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1FD28">
      <w:pPr>
        <w:pStyle w:val="59"/>
        <w:jc w:val="both"/>
        <w:rPr>
          <w:rFonts w:ascii="Times New Roman" w:eastAsia="仿宋"/>
        </w:rPr>
      </w:pPr>
      <w:bookmarkStart w:id="0" w:name="_Toc229910502"/>
      <w:bookmarkStart w:id="1" w:name="_Toc228437057"/>
      <w:bookmarkStart w:id="2" w:name="_Toc230013655"/>
      <w:bookmarkStart w:id="3" w:name="_Toc228779732"/>
      <w:bookmarkStart w:id="4" w:name="_Toc229900144"/>
      <w:bookmarkStart w:id="5" w:name="_Toc219541089"/>
      <w:bookmarkStart w:id="6" w:name="_Toc228754586"/>
      <w:bookmarkStart w:id="7" w:name="_Toc219540317"/>
      <w:bookmarkStart w:id="8" w:name="_Toc228541014"/>
      <w:r>
        <w:rPr>
          <w:rFonts w:ascii="Times New Roman" w:eastAsia="仿宋"/>
        </w:rPr>
        <w:drawing>
          <wp:inline distT="0" distB="0" distL="0" distR="0">
            <wp:extent cx="5342890" cy="8427720"/>
            <wp:effectExtent l="0" t="0" r="0" b="0"/>
            <wp:docPr id="7" name="图片 7" descr="C:\Users\ADMINI~1\AppData\Local\Temp\WeChat Files\cdfb6a0bb6296d42aa7878bb8cd6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cdfb6a0bb6296d42aa7878bb8cd675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49085" cy="8437015"/>
                    </a:xfrm>
                    <a:prstGeom prst="rect">
                      <a:avLst/>
                    </a:prstGeom>
                    <a:noFill/>
                    <a:ln>
                      <a:noFill/>
                    </a:ln>
                  </pic:spPr>
                </pic:pic>
              </a:graphicData>
            </a:graphic>
          </wp:inline>
        </w:drawing>
      </w:r>
    </w:p>
    <w:p w14:paraId="59E12D2E">
      <w:pPr>
        <w:rPr>
          <w:rFonts w:ascii="Times New Roman" w:eastAsia="仿宋"/>
          <w:sz w:val="28"/>
          <w:szCs w:val="28"/>
        </w:rPr>
      </w:pPr>
      <w:bookmarkStart w:id="551" w:name="_GoBack"/>
      <w:bookmarkEnd w:id="551"/>
      <w:r>
        <w:rPr>
          <w:rFonts w:ascii="Times New Roman" w:eastAsia="仿宋"/>
          <w:sz w:val="28"/>
          <w:szCs w:val="28"/>
        </w:rPr>
        <w:drawing>
          <wp:inline distT="0" distB="0" distL="0" distR="0">
            <wp:extent cx="5273675" cy="9024620"/>
            <wp:effectExtent l="0" t="0" r="3175" b="5080"/>
            <wp:docPr id="10" name="图片 10" descr="C:\Users\ADMINI~1\AppData\Local\Temp\WeChat Files\838cd6ec003c59614773180d2b6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838cd6ec003c59614773180d2b68491.jpg"/>
                    <pic:cNvPicPr>
                      <a:picLocks noChangeAspect="1" noChangeArrowheads="1"/>
                    </pic:cNvPicPr>
                  </pic:nvPicPr>
                  <pic:blipFill>
                    <a:blip r:embed="rId35">
                      <a:extLst>
                        <a:ext uri="{28A0092B-C50C-407E-A947-70E740481C1C}">
                          <a14:useLocalDpi xmlns:a14="http://schemas.microsoft.com/office/drawing/2010/main" val="0"/>
                        </a:ext>
                      </a:extLst>
                    </a:blip>
                    <a:srcRect t="3732"/>
                    <a:stretch>
                      <a:fillRect/>
                    </a:stretch>
                  </pic:blipFill>
                  <pic:spPr>
                    <a:xfrm>
                      <a:off x="0" y="0"/>
                      <a:ext cx="5274310" cy="9024946"/>
                    </a:xfrm>
                    <a:prstGeom prst="rect">
                      <a:avLst/>
                    </a:prstGeom>
                    <a:noFill/>
                    <a:ln>
                      <a:noFill/>
                    </a:ln>
                  </pic:spPr>
                </pic:pic>
              </a:graphicData>
            </a:graphic>
          </wp:inline>
        </w:drawing>
      </w:r>
    </w:p>
    <w:p w14:paraId="6B675A5B">
      <w:pPr>
        <w:jc w:val="center"/>
        <w:rPr>
          <w:rFonts w:ascii="Times New Roman" w:eastAsia="仿宋"/>
          <w:b/>
          <w:sz w:val="28"/>
          <w:szCs w:val="28"/>
        </w:rPr>
      </w:pPr>
    </w:p>
    <w:p w14:paraId="1AC4D57F">
      <w:pPr>
        <w:pStyle w:val="59"/>
        <w:rPr>
          <w:rFonts w:ascii="Times New Roman" w:eastAsia="仿宋"/>
          <w:sz w:val="28"/>
          <w:szCs w:val="28"/>
        </w:rPr>
      </w:pPr>
      <w:r>
        <w:rPr>
          <w:rFonts w:ascii="Times New Roman" w:eastAsia="仿宋"/>
          <w:sz w:val="32"/>
          <w:szCs w:val="28"/>
        </w:rPr>
        <w:t>目 录</w:t>
      </w:r>
    </w:p>
    <w:p w14:paraId="712AD8F8">
      <w:pPr>
        <w:pStyle w:val="59"/>
        <w:rPr>
          <w:rFonts w:asciiTheme="minorHAnsi" w:hAnsiTheme="minorHAnsi" w:eastAsiaTheme="minorEastAsia" w:cstheme="minorBidi"/>
          <w:b w:val="0"/>
          <w:bCs w:val="0"/>
          <w:kern w:val="2"/>
          <w:sz w:val="21"/>
          <w:szCs w:val="22"/>
        </w:rPr>
      </w:pPr>
      <w:r>
        <w:rPr>
          <w:rFonts w:ascii="Times New Roman" w:eastAsia="仿宋"/>
          <w:highlight w:val="yellow"/>
        </w:rPr>
        <w:fldChar w:fldCharType="begin"/>
      </w:r>
      <w:r>
        <w:rPr>
          <w:rFonts w:ascii="Times New Roman" w:eastAsia="仿宋"/>
          <w:highlight w:val="yellow"/>
        </w:rPr>
        <w:instrText xml:space="preserve"> TOC \o "1-2" \h \z \u </w:instrText>
      </w:r>
      <w:r>
        <w:rPr>
          <w:rFonts w:ascii="Times New Roman" w:eastAsia="仿宋"/>
          <w:highlight w:val="yellow"/>
        </w:rPr>
        <w:fldChar w:fldCharType="separate"/>
      </w:r>
      <w:r>
        <w:fldChar w:fldCharType="begin"/>
      </w:r>
      <w:r>
        <w:instrText xml:space="preserve"> HYPERLINK \l "_Toc182553794" </w:instrText>
      </w:r>
      <w:r>
        <w:fldChar w:fldCharType="separate"/>
      </w:r>
      <w:r>
        <w:rPr>
          <w:rStyle w:val="105"/>
          <w:rFonts w:eastAsia="仿宋"/>
          <w:color w:val="auto"/>
        </w:rPr>
        <w:t>1概述</w:t>
      </w:r>
      <w:r>
        <w:tab/>
      </w:r>
      <w:r>
        <w:fldChar w:fldCharType="begin"/>
      </w:r>
      <w:r>
        <w:instrText xml:space="preserve"> PAGEREF _Toc182553794 \h </w:instrText>
      </w:r>
      <w:r>
        <w:fldChar w:fldCharType="separate"/>
      </w:r>
      <w:r>
        <w:t>1</w:t>
      </w:r>
      <w:r>
        <w:fldChar w:fldCharType="end"/>
      </w:r>
      <w:r>
        <w:fldChar w:fldCharType="end"/>
      </w:r>
    </w:p>
    <w:p w14:paraId="7F5F148C">
      <w:pPr>
        <w:pStyle w:val="74"/>
        <w:rPr>
          <w:rFonts w:asciiTheme="minorHAnsi" w:hAnsiTheme="minorHAnsi" w:eastAsiaTheme="minorEastAsia" w:cstheme="minorBidi"/>
          <w:smallCaps w:val="0"/>
          <w:kern w:val="2"/>
          <w:sz w:val="21"/>
          <w:szCs w:val="22"/>
        </w:rPr>
      </w:pPr>
      <w:r>
        <w:fldChar w:fldCharType="begin"/>
      </w:r>
      <w:r>
        <w:instrText xml:space="preserve"> HYPERLINK \l "_Toc182553795" </w:instrText>
      </w:r>
      <w:r>
        <w:fldChar w:fldCharType="separate"/>
      </w:r>
      <w:r>
        <w:rPr>
          <w:rStyle w:val="105"/>
          <w:rFonts w:eastAsia="仿宋"/>
          <w:color w:val="auto"/>
        </w:rPr>
        <w:t>1.1任务由来</w:t>
      </w:r>
      <w:r>
        <w:tab/>
      </w:r>
      <w:r>
        <w:fldChar w:fldCharType="begin"/>
      </w:r>
      <w:r>
        <w:instrText xml:space="preserve"> PAGEREF _Toc182553795 \h </w:instrText>
      </w:r>
      <w:r>
        <w:fldChar w:fldCharType="separate"/>
      </w:r>
      <w:r>
        <w:t>1</w:t>
      </w:r>
      <w:r>
        <w:fldChar w:fldCharType="end"/>
      </w:r>
      <w:r>
        <w:fldChar w:fldCharType="end"/>
      </w:r>
    </w:p>
    <w:p w14:paraId="6B1737F4">
      <w:pPr>
        <w:pStyle w:val="74"/>
        <w:rPr>
          <w:rFonts w:asciiTheme="minorHAnsi" w:hAnsiTheme="minorHAnsi" w:eastAsiaTheme="minorEastAsia" w:cstheme="minorBidi"/>
          <w:smallCaps w:val="0"/>
          <w:kern w:val="2"/>
          <w:sz w:val="21"/>
          <w:szCs w:val="22"/>
        </w:rPr>
      </w:pPr>
      <w:r>
        <w:fldChar w:fldCharType="begin"/>
      </w:r>
      <w:r>
        <w:instrText xml:space="preserve"> HYPERLINK \l "_Toc182553796" </w:instrText>
      </w:r>
      <w:r>
        <w:fldChar w:fldCharType="separate"/>
      </w:r>
      <w:r>
        <w:rPr>
          <w:rStyle w:val="105"/>
          <w:rFonts w:eastAsia="仿宋"/>
          <w:color w:val="auto"/>
        </w:rPr>
        <w:t>1.2建设项目特点</w:t>
      </w:r>
      <w:r>
        <w:tab/>
      </w:r>
      <w:r>
        <w:fldChar w:fldCharType="begin"/>
      </w:r>
      <w:r>
        <w:instrText xml:space="preserve"> PAGEREF _Toc182553796 \h </w:instrText>
      </w:r>
      <w:r>
        <w:fldChar w:fldCharType="separate"/>
      </w:r>
      <w:r>
        <w:t>2</w:t>
      </w:r>
      <w:r>
        <w:fldChar w:fldCharType="end"/>
      </w:r>
      <w:r>
        <w:fldChar w:fldCharType="end"/>
      </w:r>
    </w:p>
    <w:p w14:paraId="39EC5B9D">
      <w:pPr>
        <w:pStyle w:val="74"/>
        <w:rPr>
          <w:rFonts w:asciiTheme="minorHAnsi" w:hAnsiTheme="minorHAnsi" w:eastAsiaTheme="minorEastAsia" w:cstheme="minorBidi"/>
          <w:smallCaps w:val="0"/>
          <w:kern w:val="2"/>
          <w:sz w:val="21"/>
          <w:szCs w:val="22"/>
        </w:rPr>
      </w:pPr>
      <w:r>
        <w:fldChar w:fldCharType="begin"/>
      </w:r>
      <w:r>
        <w:instrText xml:space="preserve"> HYPERLINK \l "_Toc182553797" </w:instrText>
      </w:r>
      <w:r>
        <w:fldChar w:fldCharType="separate"/>
      </w:r>
      <w:r>
        <w:rPr>
          <w:rStyle w:val="105"/>
          <w:rFonts w:eastAsia="仿宋"/>
          <w:color w:val="auto"/>
        </w:rPr>
        <w:t>1.3评价工作程序</w:t>
      </w:r>
      <w:r>
        <w:tab/>
      </w:r>
      <w:r>
        <w:fldChar w:fldCharType="begin"/>
      </w:r>
      <w:r>
        <w:instrText xml:space="preserve"> PAGEREF _Toc182553797 \h </w:instrText>
      </w:r>
      <w:r>
        <w:fldChar w:fldCharType="separate"/>
      </w:r>
      <w:r>
        <w:t>2</w:t>
      </w:r>
      <w:r>
        <w:fldChar w:fldCharType="end"/>
      </w:r>
      <w:r>
        <w:fldChar w:fldCharType="end"/>
      </w:r>
    </w:p>
    <w:p w14:paraId="2FA1EC03">
      <w:pPr>
        <w:pStyle w:val="74"/>
        <w:rPr>
          <w:rFonts w:asciiTheme="minorHAnsi" w:hAnsiTheme="minorHAnsi" w:eastAsiaTheme="minorEastAsia" w:cstheme="minorBidi"/>
          <w:smallCaps w:val="0"/>
          <w:kern w:val="2"/>
          <w:sz w:val="21"/>
          <w:szCs w:val="22"/>
        </w:rPr>
      </w:pPr>
      <w:r>
        <w:fldChar w:fldCharType="begin"/>
      </w:r>
      <w:r>
        <w:instrText xml:space="preserve"> HYPERLINK \l "_Toc182553798" </w:instrText>
      </w:r>
      <w:r>
        <w:fldChar w:fldCharType="separate"/>
      </w:r>
      <w:r>
        <w:rPr>
          <w:rStyle w:val="105"/>
          <w:rFonts w:eastAsia="仿宋"/>
          <w:color w:val="auto"/>
        </w:rPr>
        <w:t>1.4分析判定相关情况</w:t>
      </w:r>
      <w:r>
        <w:tab/>
      </w:r>
      <w:r>
        <w:fldChar w:fldCharType="begin"/>
      </w:r>
      <w:r>
        <w:instrText xml:space="preserve"> PAGEREF _Toc182553798 \h </w:instrText>
      </w:r>
      <w:r>
        <w:fldChar w:fldCharType="separate"/>
      </w:r>
      <w:r>
        <w:t>4</w:t>
      </w:r>
      <w:r>
        <w:fldChar w:fldCharType="end"/>
      </w:r>
      <w:r>
        <w:fldChar w:fldCharType="end"/>
      </w:r>
    </w:p>
    <w:p w14:paraId="4C10B3D4">
      <w:pPr>
        <w:pStyle w:val="74"/>
        <w:rPr>
          <w:rFonts w:asciiTheme="minorHAnsi" w:hAnsiTheme="minorHAnsi" w:eastAsiaTheme="minorEastAsia" w:cstheme="minorBidi"/>
          <w:smallCaps w:val="0"/>
          <w:kern w:val="2"/>
          <w:sz w:val="21"/>
          <w:szCs w:val="22"/>
        </w:rPr>
      </w:pPr>
      <w:r>
        <w:fldChar w:fldCharType="begin"/>
      </w:r>
      <w:r>
        <w:instrText xml:space="preserve"> HYPERLINK \l "_Toc182553799" </w:instrText>
      </w:r>
      <w:r>
        <w:fldChar w:fldCharType="separate"/>
      </w:r>
      <w:r>
        <w:rPr>
          <w:rStyle w:val="105"/>
          <w:rFonts w:eastAsia="仿宋"/>
          <w:color w:val="auto"/>
        </w:rPr>
        <w:t>1.5关注的主要环境问题及环境影响</w:t>
      </w:r>
      <w:r>
        <w:tab/>
      </w:r>
      <w:r>
        <w:fldChar w:fldCharType="begin"/>
      </w:r>
      <w:r>
        <w:instrText xml:space="preserve"> PAGEREF _Toc182553799 \h </w:instrText>
      </w:r>
      <w:r>
        <w:fldChar w:fldCharType="separate"/>
      </w:r>
      <w:r>
        <w:t>9</w:t>
      </w:r>
      <w:r>
        <w:fldChar w:fldCharType="end"/>
      </w:r>
      <w:r>
        <w:fldChar w:fldCharType="end"/>
      </w:r>
    </w:p>
    <w:p w14:paraId="6DEF897F">
      <w:pPr>
        <w:pStyle w:val="74"/>
        <w:rPr>
          <w:rFonts w:asciiTheme="minorHAnsi" w:hAnsiTheme="minorHAnsi" w:eastAsiaTheme="minorEastAsia" w:cstheme="minorBidi"/>
          <w:smallCaps w:val="0"/>
          <w:kern w:val="2"/>
          <w:sz w:val="21"/>
          <w:szCs w:val="22"/>
        </w:rPr>
      </w:pPr>
      <w:r>
        <w:fldChar w:fldCharType="begin"/>
      </w:r>
      <w:r>
        <w:instrText xml:space="preserve"> HYPERLINK \l "_Toc182553800" </w:instrText>
      </w:r>
      <w:r>
        <w:fldChar w:fldCharType="separate"/>
      </w:r>
      <w:r>
        <w:rPr>
          <w:rStyle w:val="105"/>
          <w:rFonts w:eastAsia="仿宋"/>
          <w:color w:val="auto"/>
        </w:rPr>
        <w:t>1.6主要结论</w:t>
      </w:r>
      <w:r>
        <w:tab/>
      </w:r>
      <w:r>
        <w:fldChar w:fldCharType="begin"/>
      </w:r>
      <w:r>
        <w:instrText xml:space="preserve"> PAGEREF _Toc182553800 \h </w:instrText>
      </w:r>
      <w:r>
        <w:fldChar w:fldCharType="separate"/>
      </w:r>
      <w:r>
        <w:t>10</w:t>
      </w:r>
      <w:r>
        <w:fldChar w:fldCharType="end"/>
      </w:r>
      <w:r>
        <w:fldChar w:fldCharType="end"/>
      </w:r>
    </w:p>
    <w:p w14:paraId="03D7929B">
      <w:pPr>
        <w:pStyle w:val="59"/>
        <w:rPr>
          <w:rFonts w:asciiTheme="minorHAnsi" w:hAnsiTheme="minorHAnsi" w:eastAsiaTheme="minorEastAsia" w:cstheme="minorBidi"/>
          <w:b w:val="0"/>
          <w:bCs w:val="0"/>
          <w:kern w:val="2"/>
          <w:sz w:val="21"/>
          <w:szCs w:val="22"/>
        </w:rPr>
      </w:pPr>
      <w:r>
        <w:fldChar w:fldCharType="begin"/>
      </w:r>
      <w:r>
        <w:instrText xml:space="preserve"> HYPERLINK \l "_Toc182553801" </w:instrText>
      </w:r>
      <w:r>
        <w:fldChar w:fldCharType="separate"/>
      </w:r>
      <w:r>
        <w:rPr>
          <w:rStyle w:val="105"/>
          <w:rFonts w:eastAsia="仿宋"/>
          <w:color w:val="auto"/>
        </w:rPr>
        <w:t>2总则</w:t>
      </w:r>
      <w:r>
        <w:tab/>
      </w:r>
      <w:r>
        <w:fldChar w:fldCharType="begin"/>
      </w:r>
      <w:r>
        <w:instrText xml:space="preserve"> PAGEREF _Toc182553801 \h </w:instrText>
      </w:r>
      <w:r>
        <w:fldChar w:fldCharType="separate"/>
      </w:r>
      <w:r>
        <w:t>11</w:t>
      </w:r>
      <w:r>
        <w:fldChar w:fldCharType="end"/>
      </w:r>
      <w:r>
        <w:fldChar w:fldCharType="end"/>
      </w:r>
    </w:p>
    <w:p w14:paraId="3662852D">
      <w:pPr>
        <w:pStyle w:val="74"/>
        <w:rPr>
          <w:rFonts w:asciiTheme="minorHAnsi" w:hAnsiTheme="minorHAnsi" w:eastAsiaTheme="minorEastAsia" w:cstheme="minorBidi"/>
          <w:smallCaps w:val="0"/>
          <w:kern w:val="2"/>
          <w:sz w:val="21"/>
          <w:szCs w:val="22"/>
        </w:rPr>
      </w:pPr>
      <w:r>
        <w:fldChar w:fldCharType="begin"/>
      </w:r>
      <w:r>
        <w:instrText xml:space="preserve"> HYPERLINK \l "_Toc182553802" </w:instrText>
      </w:r>
      <w:r>
        <w:fldChar w:fldCharType="separate"/>
      </w:r>
      <w:r>
        <w:rPr>
          <w:rStyle w:val="105"/>
          <w:rFonts w:eastAsia="仿宋"/>
          <w:color w:val="auto"/>
        </w:rPr>
        <w:t>2.1编制依据</w:t>
      </w:r>
      <w:r>
        <w:tab/>
      </w:r>
      <w:r>
        <w:fldChar w:fldCharType="begin"/>
      </w:r>
      <w:r>
        <w:instrText xml:space="preserve"> PAGEREF _Toc182553802 \h </w:instrText>
      </w:r>
      <w:r>
        <w:fldChar w:fldCharType="separate"/>
      </w:r>
      <w:r>
        <w:t>11</w:t>
      </w:r>
      <w:r>
        <w:fldChar w:fldCharType="end"/>
      </w:r>
      <w:r>
        <w:fldChar w:fldCharType="end"/>
      </w:r>
    </w:p>
    <w:p w14:paraId="4E129823">
      <w:pPr>
        <w:pStyle w:val="74"/>
        <w:rPr>
          <w:rFonts w:asciiTheme="minorHAnsi" w:hAnsiTheme="minorHAnsi" w:eastAsiaTheme="minorEastAsia" w:cstheme="minorBidi"/>
          <w:smallCaps w:val="0"/>
          <w:kern w:val="2"/>
          <w:sz w:val="21"/>
          <w:szCs w:val="22"/>
        </w:rPr>
      </w:pPr>
      <w:r>
        <w:fldChar w:fldCharType="begin"/>
      </w:r>
      <w:r>
        <w:instrText xml:space="preserve"> HYPERLINK \l "_Toc182553803" </w:instrText>
      </w:r>
      <w:r>
        <w:fldChar w:fldCharType="separate"/>
      </w:r>
      <w:r>
        <w:rPr>
          <w:rStyle w:val="105"/>
          <w:rFonts w:ascii="Times New Roman" w:eastAsia="仿宋"/>
          <w:b/>
          <w:color w:val="auto"/>
          <w:spacing w:val="6"/>
        </w:rPr>
        <w:t>2.2评价目的及工作原则</w:t>
      </w:r>
      <w:r>
        <w:tab/>
      </w:r>
      <w:r>
        <w:fldChar w:fldCharType="begin"/>
      </w:r>
      <w:r>
        <w:instrText xml:space="preserve"> PAGEREF _Toc182553803 \h </w:instrText>
      </w:r>
      <w:r>
        <w:fldChar w:fldCharType="separate"/>
      </w:r>
      <w:r>
        <w:t>18</w:t>
      </w:r>
      <w:r>
        <w:fldChar w:fldCharType="end"/>
      </w:r>
      <w:r>
        <w:fldChar w:fldCharType="end"/>
      </w:r>
    </w:p>
    <w:p w14:paraId="3F6EBF97">
      <w:pPr>
        <w:pStyle w:val="74"/>
        <w:rPr>
          <w:rFonts w:asciiTheme="minorHAnsi" w:hAnsiTheme="minorHAnsi" w:eastAsiaTheme="minorEastAsia" w:cstheme="minorBidi"/>
          <w:smallCaps w:val="0"/>
          <w:kern w:val="2"/>
          <w:sz w:val="21"/>
          <w:szCs w:val="22"/>
        </w:rPr>
      </w:pPr>
      <w:r>
        <w:fldChar w:fldCharType="begin"/>
      </w:r>
      <w:r>
        <w:instrText xml:space="preserve"> HYPERLINK \l "_Toc182553804" </w:instrText>
      </w:r>
      <w:r>
        <w:fldChar w:fldCharType="separate"/>
      </w:r>
      <w:r>
        <w:rPr>
          <w:rStyle w:val="105"/>
          <w:rFonts w:ascii="Times New Roman" w:eastAsia="仿宋"/>
          <w:b/>
          <w:color w:val="auto"/>
          <w:spacing w:val="6"/>
        </w:rPr>
        <w:t>2.3评价因子与评价标准</w:t>
      </w:r>
      <w:r>
        <w:tab/>
      </w:r>
      <w:r>
        <w:fldChar w:fldCharType="begin"/>
      </w:r>
      <w:r>
        <w:instrText xml:space="preserve"> PAGEREF _Toc182553804 \h </w:instrText>
      </w:r>
      <w:r>
        <w:fldChar w:fldCharType="separate"/>
      </w:r>
      <w:r>
        <w:t>19</w:t>
      </w:r>
      <w:r>
        <w:fldChar w:fldCharType="end"/>
      </w:r>
      <w:r>
        <w:fldChar w:fldCharType="end"/>
      </w:r>
    </w:p>
    <w:p w14:paraId="2F726BFC">
      <w:pPr>
        <w:pStyle w:val="74"/>
        <w:rPr>
          <w:rFonts w:asciiTheme="minorHAnsi" w:hAnsiTheme="minorHAnsi" w:eastAsiaTheme="minorEastAsia" w:cstheme="minorBidi"/>
          <w:smallCaps w:val="0"/>
          <w:kern w:val="2"/>
          <w:sz w:val="21"/>
          <w:szCs w:val="22"/>
        </w:rPr>
      </w:pPr>
      <w:r>
        <w:fldChar w:fldCharType="begin"/>
      </w:r>
      <w:r>
        <w:instrText xml:space="preserve"> HYPERLINK \l "_Toc182553805" </w:instrText>
      </w:r>
      <w:r>
        <w:fldChar w:fldCharType="separate"/>
      </w:r>
      <w:r>
        <w:rPr>
          <w:rStyle w:val="105"/>
          <w:rFonts w:eastAsia="仿宋"/>
          <w:color w:val="auto"/>
        </w:rPr>
        <w:t>2.4评价工作等级和评价重点</w:t>
      </w:r>
      <w:r>
        <w:tab/>
      </w:r>
      <w:r>
        <w:fldChar w:fldCharType="begin"/>
      </w:r>
      <w:r>
        <w:instrText xml:space="preserve"> PAGEREF _Toc182553805 \h </w:instrText>
      </w:r>
      <w:r>
        <w:fldChar w:fldCharType="separate"/>
      </w:r>
      <w:r>
        <w:t>30</w:t>
      </w:r>
      <w:r>
        <w:fldChar w:fldCharType="end"/>
      </w:r>
      <w:r>
        <w:fldChar w:fldCharType="end"/>
      </w:r>
    </w:p>
    <w:p w14:paraId="05873ED0">
      <w:pPr>
        <w:pStyle w:val="74"/>
        <w:rPr>
          <w:rFonts w:asciiTheme="minorHAnsi" w:hAnsiTheme="minorHAnsi" w:eastAsiaTheme="minorEastAsia" w:cstheme="minorBidi"/>
          <w:smallCaps w:val="0"/>
          <w:kern w:val="2"/>
          <w:sz w:val="21"/>
          <w:szCs w:val="22"/>
        </w:rPr>
      </w:pPr>
      <w:r>
        <w:fldChar w:fldCharType="begin"/>
      </w:r>
      <w:r>
        <w:instrText xml:space="preserve"> HYPERLINK \l "_Toc182553806" </w:instrText>
      </w:r>
      <w:r>
        <w:fldChar w:fldCharType="separate"/>
      </w:r>
      <w:r>
        <w:rPr>
          <w:rStyle w:val="105"/>
          <w:rFonts w:eastAsia="仿宋"/>
          <w:color w:val="auto"/>
        </w:rPr>
        <w:t>2.5评价范围和环境保护目标</w:t>
      </w:r>
      <w:r>
        <w:tab/>
      </w:r>
      <w:r>
        <w:fldChar w:fldCharType="begin"/>
      </w:r>
      <w:r>
        <w:instrText xml:space="preserve"> PAGEREF _Toc182553806 \h </w:instrText>
      </w:r>
      <w:r>
        <w:fldChar w:fldCharType="separate"/>
      </w:r>
      <w:r>
        <w:t>36</w:t>
      </w:r>
      <w:r>
        <w:fldChar w:fldCharType="end"/>
      </w:r>
      <w:r>
        <w:fldChar w:fldCharType="end"/>
      </w:r>
    </w:p>
    <w:p w14:paraId="1FFB1F57">
      <w:pPr>
        <w:pStyle w:val="74"/>
        <w:rPr>
          <w:rFonts w:asciiTheme="minorHAnsi" w:hAnsiTheme="minorHAnsi" w:eastAsiaTheme="minorEastAsia" w:cstheme="minorBidi"/>
          <w:smallCaps w:val="0"/>
          <w:kern w:val="2"/>
          <w:sz w:val="21"/>
          <w:szCs w:val="22"/>
        </w:rPr>
      </w:pPr>
      <w:r>
        <w:fldChar w:fldCharType="begin"/>
      </w:r>
      <w:r>
        <w:instrText xml:space="preserve"> HYPERLINK \l "_Toc182553807" </w:instrText>
      </w:r>
      <w:r>
        <w:fldChar w:fldCharType="separate"/>
      </w:r>
      <w:r>
        <w:rPr>
          <w:rStyle w:val="105"/>
          <w:rFonts w:eastAsia="仿宋"/>
          <w:color w:val="auto"/>
        </w:rPr>
        <w:t>2.6项目所在地相关规划及环境功能区划</w:t>
      </w:r>
      <w:r>
        <w:tab/>
      </w:r>
      <w:r>
        <w:fldChar w:fldCharType="begin"/>
      </w:r>
      <w:r>
        <w:instrText xml:space="preserve"> PAGEREF _Toc182553807 \h </w:instrText>
      </w:r>
      <w:r>
        <w:fldChar w:fldCharType="separate"/>
      </w:r>
      <w:r>
        <w:t>43</w:t>
      </w:r>
      <w:r>
        <w:fldChar w:fldCharType="end"/>
      </w:r>
      <w:r>
        <w:fldChar w:fldCharType="end"/>
      </w:r>
    </w:p>
    <w:p w14:paraId="5751005B">
      <w:pPr>
        <w:pStyle w:val="74"/>
        <w:rPr>
          <w:rFonts w:asciiTheme="minorHAnsi" w:hAnsiTheme="minorHAnsi" w:eastAsiaTheme="minorEastAsia" w:cstheme="minorBidi"/>
          <w:smallCaps w:val="0"/>
          <w:kern w:val="2"/>
          <w:sz w:val="21"/>
          <w:szCs w:val="22"/>
        </w:rPr>
      </w:pPr>
      <w:r>
        <w:fldChar w:fldCharType="begin"/>
      </w:r>
      <w:r>
        <w:instrText xml:space="preserve"> HYPERLINK \l "_Toc182553808" </w:instrText>
      </w:r>
      <w:r>
        <w:fldChar w:fldCharType="separate"/>
      </w:r>
      <w:r>
        <w:rPr>
          <w:rStyle w:val="105"/>
          <w:rFonts w:eastAsia="仿宋"/>
          <w:color w:val="auto"/>
        </w:rPr>
        <w:t>2.7产业政策相符性和选址可行性分析</w:t>
      </w:r>
      <w:r>
        <w:tab/>
      </w:r>
      <w:r>
        <w:fldChar w:fldCharType="begin"/>
      </w:r>
      <w:r>
        <w:instrText xml:space="preserve"> PAGEREF _Toc182553808 \h </w:instrText>
      </w:r>
      <w:r>
        <w:fldChar w:fldCharType="separate"/>
      </w:r>
      <w:r>
        <w:t>52</w:t>
      </w:r>
      <w:r>
        <w:fldChar w:fldCharType="end"/>
      </w:r>
      <w:r>
        <w:fldChar w:fldCharType="end"/>
      </w:r>
    </w:p>
    <w:p w14:paraId="4C923847">
      <w:pPr>
        <w:pStyle w:val="59"/>
        <w:rPr>
          <w:rFonts w:asciiTheme="minorHAnsi" w:hAnsiTheme="minorHAnsi" w:eastAsiaTheme="minorEastAsia" w:cstheme="minorBidi"/>
          <w:b w:val="0"/>
          <w:bCs w:val="0"/>
          <w:kern w:val="2"/>
          <w:sz w:val="21"/>
          <w:szCs w:val="22"/>
        </w:rPr>
      </w:pPr>
      <w:r>
        <w:fldChar w:fldCharType="begin"/>
      </w:r>
      <w:r>
        <w:instrText xml:space="preserve"> HYPERLINK \l "_Toc182553809" </w:instrText>
      </w:r>
      <w:r>
        <w:fldChar w:fldCharType="separate"/>
      </w:r>
      <w:r>
        <w:rPr>
          <w:rStyle w:val="105"/>
          <w:rFonts w:eastAsia="仿宋"/>
          <w:color w:val="auto"/>
        </w:rPr>
        <w:t>3建设项目工程分析</w:t>
      </w:r>
      <w:r>
        <w:tab/>
      </w:r>
      <w:r>
        <w:fldChar w:fldCharType="begin"/>
      </w:r>
      <w:r>
        <w:instrText xml:space="preserve"> PAGEREF _Toc182553809 \h </w:instrText>
      </w:r>
      <w:r>
        <w:fldChar w:fldCharType="separate"/>
      </w:r>
      <w:r>
        <w:t>106</w:t>
      </w:r>
      <w:r>
        <w:fldChar w:fldCharType="end"/>
      </w:r>
      <w:r>
        <w:fldChar w:fldCharType="end"/>
      </w:r>
    </w:p>
    <w:p w14:paraId="00F3E206">
      <w:pPr>
        <w:pStyle w:val="74"/>
        <w:rPr>
          <w:rFonts w:asciiTheme="minorHAnsi" w:hAnsiTheme="minorHAnsi" w:eastAsiaTheme="minorEastAsia" w:cstheme="minorBidi"/>
          <w:smallCaps w:val="0"/>
          <w:kern w:val="2"/>
          <w:sz w:val="21"/>
          <w:szCs w:val="22"/>
        </w:rPr>
      </w:pPr>
      <w:r>
        <w:fldChar w:fldCharType="begin"/>
      </w:r>
      <w:r>
        <w:instrText xml:space="preserve"> HYPERLINK \l "_Toc182553810" </w:instrText>
      </w:r>
      <w:r>
        <w:fldChar w:fldCharType="separate"/>
      </w:r>
      <w:r>
        <w:rPr>
          <w:rStyle w:val="105"/>
          <w:rFonts w:eastAsia="仿宋"/>
          <w:color w:val="auto"/>
        </w:rPr>
        <w:t>3.1项目概况</w:t>
      </w:r>
      <w:r>
        <w:tab/>
      </w:r>
      <w:r>
        <w:fldChar w:fldCharType="begin"/>
      </w:r>
      <w:r>
        <w:instrText xml:space="preserve"> PAGEREF _Toc182553810 \h </w:instrText>
      </w:r>
      <w:r>
        <w:fldChar w:fldCharType="separate"/>
      </w:r>
      <w:r>
        <w:t>106</w:t>
      </w:r>
      <w:r>
        <w:fldChar w:fldCharType="end"/>
      </w:r>
      <w:r>
        <w:fldChar w:fldCharType="end"/>
      </w:r>
    </w:p>
    <w:p w14:paraId="3EF1B012">
      <w:pPr>
        <w:pStyle w:val="74"/>
        <w:rPr>
          <w:rFonts w:asciiTheme="minorHAnsi" w:hAnsiTheme="minorHAnsi" w:eastAsiaTheme="minorEastAsia" w:cstheme="minorBidi"/>
          <w:smallCaps w:val="0"/>
          <w:kern w:val="2"/>
          <w:sz w:val="21"/>
          <w:szCs w:val="22"/>
        </w:rPr>
      </w:pPr>
      <w:r>
        <w:fldChar w:fldCharType="begin"/>
      </w:r>
      <w:r>
        <w:instrText xml:space="preserve"> HYPERLINK \l "_Toc182553811" </w:instrText>
      </w:r>
      <w:r>
        <w:fldChar w:fldCharType="separate"/>
      </w:r>
      <w:r>
        <w:rPr>
          <w:rStyle w:val="105"/>
          <w:rFonts w:eastAsia="仿宋"/>
          <w:color w:val="auto"/>
        </w:rPr>
        <w:t>3.2影响因素分析</w:t>
      </w:r>
      <w:r>
        <w:tab/>
      </w:r>
      <w:r>
        <w:fldChar w:fldCharType="begin"/>
      </w:r>
      <w:r>
        <w:instrText xml:space="preserve"> PAGEREF _Toc182553811 \h </w:instrText>
      </w:r>
      <w:r>
        <w:fldChar w:fldCharType="separate"/>
      </w:r>
      <w:r>
        <w:t>132</w:t>
      </w:r>
      <w:r>
        <w:fldChar w:fldCharType="end"/>
      </w:r>
      <w:r>
        <w:fldChar w:fldCharType="end"/>
      </w:r>
    </w:p>
    <w:p w14:paraId="47E1D102">
      <w:pPr>
        <w:pStyle w:val="74"/>
        <w:rPr>
          <w:rFonts w:asciiTheme="minorHAnsi" w:hAnsiTheme="minorHAnsi" w:eastAsiaTheme="minorEastAsia" w:cstheme="minorBidi"/>
          <w:smallCaps w:val="0"/>
          <w:kern w:val="2"/>
          <w:sz w:val="21"/>
          <w:szCs w:val="22"/>
        </w:rPr>
      </w:pPr>
      <w:r>
        <w:fldChar w:fldCharType="begin"/>
      </w:r>
      <w:r>
        <w:instrText xml:space="preserve"> HYPERLINK \l "_Toc182553812" </w:instrText>
      </w:r>
      <w:r>
        <w:fldChar w:fldCharType="separate"/>
      </w:r>
      <w:r>
        <w:rPr>
          <w:rStyle w:val="105"/>
          <w:rFonts w:eastAsia="仿宋"/>
          <w:color w:val="auto"/>
        </w:rPr>
        <w:t>3.3风险因素识别</w:t>
      </w:r>
      <w:r>
        <w:tab/>
      </w:r>
      <w:r>
        <w:fldChar w:fldCharType="begin"/>
      </w:r>
      <w:r>
        <w:instrText xml:space="preserve"> PAGEREF _Toc182553812 \h </w:instrText>
      </w:r>
      <w:r>
        <w:fldChar w:fldCharType="separate"/>
      </w:r>
      <w:r>
        <w:t>169</w:t>
      </w:r>
      <w:r>
        <w:fldChar w:fldCharType="end"/>
      </w:r>
      <w:r>
        <w:fldChar w:fldCharType="end"/>
      </w:r>
    </w:p>
    <w:p w14:paraId="7EDA3E05">
      <w:pPr>
        <w:pStyle w:val="74"/>
        <w:rPr>
          <w:rFonts w:asciiTheme="minorHAnsi" w:hAnsiTheme="minorHAnsi" w:eastAsiaTheme="minorEastAsia" w:cstheme="minorBidi"/>
          <w:smallCaps w:val="0"/>
          <w:kern w:val="2"/>
          <w:sz w:val="21"/>
          <w:szCs w:val="22"/>
        </w:rPr>
      </w:pPr>
      <w:r>
        <w:fldChar w:fldCharType="begin"/>
      </w:r>
      <w:r>
        <w:instrText xml:space="preserve"> HYPERLINK \l "_Toc182553813" </w:instrText>
      </w:r>
      <w:r>
        <w:fldChar w:fldCharType="separate"/>
      </w:r>
      <w:r>
        <w:rPr>
          <w:rStyle w:val="105"/>
          <w:rFonts w:eastAsia="仿宋"/>
          <w:color w:val="auto"/>
        </w:rPr>
        <w:t>3.4污染源源强核算</w:t>
      </w:r>
      <w:r>
        <w:tab/>
      </w:r>
      <w:r>
        <w:fldChar w:fldCharType="begin"/>
      </w:r>
      <w:r>
        <w:instrText xml:space="preserve"> PAGEREF _Toc182553813 \h </w:instrText>
      </w:r>
      <w:r>
        <w:fldChar w:fldCharType="separate"/>
      </w:r>
      <w:r>
        <w:t>175</w:t>
      </w:r>
      <w:r>
        <w:fldChar w:fldCharType="end"/>
      </w:r>
      <w:r>
        <w:fldChar w:fldCharType="end"/>
      </w:r>
    </w:p>
    <w:p w14:paraId="36CB5C8B">
      <w:pPr>
        <w:pStyle w:val="74"/>
        <w:rPr>
          <w:rFonts w:asciiTheme="minorHAnsi" w:hAnsiTheme="minorHAnsi" w:eastAsiaTheme="minorEastAsia" w:cstheme="minorBidi"/>
          <w:smallCaps w:val="0"/>
          <w:kern w:val="2"/>
          <w:sz w:val="21"/>
          <w:szCs w:val="22"/>
        </w:rPr>
      </w:pPr>
      <w:r>
        <w:fldChar w:fldCharType="begin"/>
      </w:r>
      <w:r>
        <w:instrText xml:space="preserve"> HYPERLINK \l "_Toc182553814" </w:instrText>
      </w:r>
      <w:r>
        <w:fldChar w:fldCharType="separate"/>
      </w:r>
      <w:r>
        <w:rPr>
          <w:rStyle w:val="105"/>
          <w:rFonts w:ascii="Times New Roman" w:eastAsia="仿宋"/>
          <w:b/>
          <w:color w:val="auto"/>
          <w:spacing w:val="6"/>
        </w:rPr>
        <w:t>3.5清洁生产分析</w:t>
      </w:r>
      <w:r>
        <w:tab/>
      </w:r>
      <w:r>
        <w:fldChar w:fldCharType="begin"/>
      </w:r>
      <w:r>
        <w:instrText xml:space="preserve"> PAGEREF _Toc182553814 \h </w:instrText>
      </w:r>
      <w:r>
        <w:fldChar w:fldCharType="separate"/>
      </w:r>
      <w:r>
        <w:t>190</w:t>
      </w:r>
      <w:r>
        <w:fldChar w:fldCharType="end"/>
      </w:r>
      <w:r>
        <w:fldChar w:fldCharType="end"/>
      </w:r>
    </w:p>
    <w:p w14:paraId="55DB0681">
      <w:pPr>
        <w:pStyle w:val="59"/>
        <w:rPr>
          <w:rFonts w:asciiTheme="minorHAnsi" w:hAnsiTheme="minorHAnsi" w:eastAsiaTheme="minorEastAsia" w:cstheme="minorBidi"/>
          <w:b w:val="0"/>
          <w:bCs w:val="0"/>
          <w:kern w:val="2"/>
          <w:sz w:val="21"/>
          <w:szCs w:val="22"/>
        </w:rPr>
      </w:pPr>
      <w:r>
        <w:fldChar w:fldCharType="begin"/>
      </w:r>
      <w:r>
        <w:instrText xml:space="preserve"> HYPERLINK \l "_Toc182553815" </w:instrText>
      </w:r>
      <w:r>
        <w:fldChar w:fldCharType="separate"/>
      </w:r>
      <w:r>
        <w:rPr>
          <w:rStyle w:val="105"/>
          <w:rFonts w:eastAsia="仿宋"/>
          <w:color w:val="auto"/>
        </w:rPr>
        <w:t>4环境现状调查与评价</w:t>
      </w:r>
      <w:r>
        <w:tab/>
      </w:r>
      <w:r>
        <w:fldChar w:fldCharType="begin"/>
      </w:r>
      <w:r>
        <w:instrText xml:space="preserve"> PAGEREF _Toc182553815 \h </w:instrText>
      </w:r>
      <w:r>
        <w:fldChar w:fldCharType="separate"/>
      </w:r>
      <w:r>
        <w:t>203</w:t>
      </w:r>
      <w:r>
        <w:fldChar w:fldCharType="end"/>
      </w:r>
      <w:r>
        <w:fldChar w:fldCharType="end"/>
      </w:r>
    </w:p>
    <w:p w14:paraId="630AD40D">
      <w:pPr>
        <w:pStyle w:val="74"/>
        <w:rPr>
          <w:rFonts w:asciiTheme="minorHAnsi" w:hAnsiTheme="minorHAnsi" w:eastAsiaTheme="minorEastAsia" w:cstheme="minorBidi"/>
          <w:smallCaps w:val="0"/>
          <w:kern w:val="2"/>
          <w:sz w:val="21"/>
          <w:szCs w:val="22"/>
        </w:rPr>
      </w:pPr>
      <w:r>
        <w:fldChar w:fldCharType="begin"/>
      </w:r>
      <w:r>
        <w:instrText xml:space="preserve"> HYPERLINK \l "_Toc182553816" </w:instrText>
      </w:r>
      <w:r>
        <w:fldChar w:fldCharType="separate"/>
      </w:r>
      <w:r>
        <w:rPr>
          <w:rStyle w:val="105"/>
          <w:rFonts w:eastAsia="仿宋"/>
          <w:color w:val="auto"/>
        </w:rPr>
        <w:t>4.1自然环境现状调查概况</w:t>
      </w:r>
      <w:r>
        <w:tab/>
      </w:r>
      <w:r>
        <w:fldChar w:fldCharType="begin"/>
      </w:r>
      <w:r>
        <w:instrText xml:space="preserve"> PAGEREF _Toc182553816 \h </w:instrText>
      </w:r>
      <w:r>
        <w:fldChar w:fldCharType="separate"/>
      </w:r>
      <w:r>
        <w:t>203</w:t>
      </w:r>
      <w:r>
        <w:fldChar w:fldCharType="end"/>
      </w:r>
      <w:r>
        <w:fldChar w:fldCharType="end"/>
      </w:r>
    </w:p>
    <w:p w14:paraId="5668E193">
      <w:pPr>
        <w:pStyle w:val="74"/>
        <w:rPr>
          <w:rFonts w:asciiTheme="minorHAnsi" w:hAnsiTheme="minorHAnsi" w:eastAsiaTheme="minorEastAsia" w:cstheme="minorBidi"/>
          <w:smallCaps w:val="0"/>
          <w:kern w:val="2"/>
          <w:sz w:val="21"/>
          <w:szCs w:val="22"/>
        </w:rPr>
      </w:pPr>
      <w:r>
        <w:fldChar w:fldCharType="begin"/>
      </w:r>
      <w:r>
        <w:instrText xml:space="preserve"> HYPERLINK \l "_Toc182553817" </w:instrText>
      </w:r>
      <w:r>
        <w:fldChar w:fldCharType="separate"/>
      </w:r>
      <w:r>
        <w:rPr>
          <w:rStyle w:val="105"/>
          <w:rFonts w:eastAsia="仿宋"/>
          <w:color w:val="auto"/>
        </w:rPr>
        <w:t>4.2环境现状调查与评价</w:t>
      </w:r>
      <w:r>
        <w:tab/>
      </w:r>
      <w:r>
        <w:fldChar w:fldCharType="begin"/>
      </w:r>
      <w:r>
        <w:instrText xml:space="preserve"> PAGEREF _Toc182553817 \h </w:instrText>
      </w:r>
      <w:r>
        <w:fldChar w:fldCharType="separate"/>
      </w:r>
      <w:r>
        <w:t>208</w:t>
      </w:r>
      <w:r>
        <w:fldChar w:fldCharType="end"/>
      </w:r>
      <w:r>
        <w:fldChar w:fldCharType="end"/>
      </w:r>
    </w:p>
    <w:p w14:paraId="0CC93739">
      <w:pPr>
        <w:pStyle w:val="74"/>
        <w:rPr>
          <w:rFonts w:asciiTheme="minorHAnsi" w:hAnsiTheme="minorHAnsi" w:eastAsiaTheme="minorEastAsia" w:cstheme="minorBidi"/>
          <w:smallCaps w:val="0"/>
          <w:kern w:val="2"/>
          <w:sz w:val="21"/>
          <w:szCs w:val="22"/>
        </w:rPr>
      </w:pPr>
      <w:r>
        <w:fldChar w:fldCharType="begin"/>
      </w:r>
      <w:r>
        <w:instrText xml:space="preserve"> HYPERLINK \l "_Toc182553818" </w:instrText>
      </w:r>
      <w:r>
        <w:fldChar w:fldCharType="separate"/>
      </w:r>
      <w:r>
        <w:rPr>
          <w:rStyle w:val="105"/>
          <w:rFonts w:eastAsia="仿宋"/>
          <w:color w:val="auto"/>
        </w:rPr>
        <w:t>4.3区域污染源调查与评价</w:t>
      </w:r>
      <w:r>
        <w:tab/>
      </w:r>
      <w:r>
        <w:fldChar w:fldCharType="begin"/>
      </w:r>
      <w:r>
        <w:instrText xml:space="preserve"> PAGEREF _Toc182553818 \h </w:instrText>
      </w:r>
      <w:r>
        <w:fldChar w:fldCharType="separate"/>
      </w:r>
      <w:r>
        <w:t>226</w:t>
      </w:r>
      <w:r>
        <w:fldChar w:fldCharType="end"/>
      </w:r>
      <w:r>
        <w:fldChar w:fldCharType="end"/>
      </w:r>
    </w:p>
    <w:p w14:paraId="1D606B0D">
      <w:pPr>
        <w:pStyle w:val="59"/>
        <w:rPr>
          <w:rFonts w:asciiTheme="minorHAnsi" w:hAnsiTheme="minorHAnsi" w:eastAsiaTheme="minorEastAsia" w:cstheme="minorBidi"/>
          <w:b w:val="0"/>
          <w:bCs w:val="0"/>
          <w:kern w:val="2"/>
          <w:sz w:val="21"/>
          <w:szCs w:val="22"/>
        </w:rPr>
      </w:pPr>
      <w:r>
        <w:fldChar w:fldCharType="begin"/>
      </w:r>
      <w:r>
        <w:instrText xml:space="preserve"> HYPERLINK \l "_Toc182553819" </w:instrText>
      </w:r>
      <w:r>
        <w:fldChar w:fldCharType="separate"/>
      </w:r>
      <w:r>
        <w:rPr>
          <w:rStyle w:val="105"/>
          <w:rFonts w:eastAsia="仿宋"/>
          <w:color w:val="auto"/>
        </w:rPr>
        <w:t>5环境影响预测与评价</w:t>
      </w:r>
      <w:r>
        <w:tab/>
      </w:r>
      <w:r>
        <w:fldChar w:fldCharType="begin"/>
      </w:r>
      <w:r>
        <w:instrText xml:space="preserve"> PAGEREF _Toc182553819 \h </w:instrText>
      </w:r>
      <w:r>
        <w:fldChar w:fldCharType="separate"/>
      </w:r>
      <w:r>
        <w:t>234</w:t>
      </w:r>
      <w:r>
        <w:fldChar w:fldCharType="end"/>
      </w:r>
      <w:r>
        <w:fldChar w:fldCharType="end"/>
      </w:r>
    </w:p>
    <w:p w14:paraId="2D89CDBE">
      <w:pPr>
        <w:pStyle w:val="74"/>
        <w:rPr>
          <w:rFonts w:asciiTheme="minorHAnsi" w:hAnsiTheme="minorHAnsi" w:eastAsiaTheme="minorEastAsia" w:cstheme="minorBidi"/>
          <w:smallCaps w:val="0"/>
          <w:kern w:val="2"/>
          <w:sz w:val="21"/>
          <w:szCs w:val="22"/>
        </w:rPr>
      </w:pPr>
      <w:r>
        <w:fldChar w:fldCharType="begin"/>
      </w:r>
      <w:r>
        <w:instrText xml:space="preserve"> HYPERLINK \l "_Toc182553820" </w:instrText>
      </w:r>
      <w:r>
        <w:fldChar w:fldCharType="separate"/>
      </w:r>
      <w:r>
        <w:rPr>
          <w:rStyle w:val="105"/>
          <w:rFonts w:eastAsia="仿宋"/>
          <w:color w:val="auto"/>
        </w:rPr>
        <w:t>5.1施工期环境影响评述</w:t>
      </w:r>
      <w:r>
        <w:tab/>
      </w:r>
      <w:r>
        <w:fldChar w:fldCharType="begin"/>
      </w:r>
      <w:r>
        <w:instrText xml:space="preserve"> PAGEREF _Toc182553820 \h </w:instrText>
      </w:r>
      <w:r>
        <w:fldChar w:fldCharType="separate"/>
      </w:r>
      <w:r>
        <w:t>234</w:t>
      </w:r>
      <w:r>
        <w:fldChar w:fldCharType="end"/>
      </w:r>
      <w:r>
        <w:fldChar w:fldCharType="end"/>
      </w:r>
    </w:p>
    <w:p w14:paraId="70D69E0B">
      <w:pPr>
        <w:pStyle w:val="74"/>
        <w:rPr>
          <w:rFonts w:asciiTheme="minorHAnsi" w:hAnsiTheme="minorHAnsi" w:eastAsiaTheme="minorEastAsia" w:cstheme="minorBidi"/>
          <w:smallCaps w:val="0"/>
          <w:kern w:val="2"/>
          <w:sz w:val="21"/>
          <w:szCs w:val="22"/>
        </w:rPr>
      </w:pPr>
      <w:r>
        <w:fldChar w:fldCharType="begin"/>
      </w:r>
      <w:r>
        <w:instrText xml:space="preserve"> HYPERLINK \l "_Toc182553821" </w:instrText>
      </w:r>
      <w:r>
        <w:fldChar w:fldCharType="separate"/>
      </w:r>
      <w:r>
        <w:rPr>
          <w:rStyle w:val="105"/>
          <w:rFonts w:eastAsia="仿宋"/>
          <w:color w:val="auto"/>
        </w:rPr>
        <w:t>5.2运营期环境影响预测</w:t>
      </w:r>
      <w:r>
        <w:tab/>
      </w:r>
      <w:r>
        <w:fldChar w:fldCharType="begin"/>
      </w:r>
      <w:r>
        <w:instrText xml:space="preserve"> PAGEREF _Toc182553821 \h </w:instrText>
      </w:r>
      <w:r>
        <w:fldChar w:fldCharType="separate"/>
      </w:r>
      <w:r>
        <w:t>235</w:t>
      </w:r>
      <w:r>
        <w:fldChar w:fldCharType="end"/>
      </w:r>
      <w:r>
        <w:fldChar w:fldCharType="end"/>
      </w:r>
    </w:p>
    <w:p w14:paraId="44067581">
      <w:pPr>
        <w:pStyle w:val="74"/>
        <w:rPr>
          <w:rFonts w:asciiTheme="minorHAnsi" w:hAnsiTheme="minorHAnsi" w:eastAsiaTheme="minorEastAsia" w:cstheme="minorBidi"/>
          <w:smallCaps w:val="0"/>
          <w:kern w:val="2"/>
          <w:sz w:val="21"/>
          <w:szCs w:val="22"/>
        </w:rPr>
      </w:pPr>
      <w:r>
        <w:fldChar w:fldCharType="begin"/>
      </w:r>
      <w:r>
        <w:instrText xml:space="preserve"> HYPERLINK \l "_Toc182553822" </w:instrText>
      </w:r>
      <w:r>
        <w:fldChar w:fldCharType="separate"/>
      </w:r>
      <w:r>
        <w:rPr>
          <w:rStyle w:val="105"/>
          <w:rFonts w:eastAsia="仿宋"/>
          <w:color w:val="auto"/>
        </w:rPr>
        <w:t>5.3环境风险评价</w:t>
      </w:r>
      <w:r>
        <w:tab/>
      </w:r>
      <w:r>
        <w:fldChar w:fldCharType="begin"/>
      </w:r>
      <w:r>
        <w:instrText xml:space="preserve"> PAGEREF _Toc182553822 \h </w:instrText>
      </w:r>
      <w:r>
        <w:fldChar w:fldCharType="separate"/>
      </w:r>
      <w:r>
        <w:t>318</w:t>
      </w:r>
      <w:r>
        <w:fldChar w:fldCharType="end"/>
      </w:r>
      <w:r>
        <w:fldChar w:fldCharType="end"/>
      </w:r>
    </w:p>
    <w:p w14:paraId="1B02C953">
      <w:pPr>
        <w:pStyle w:val="59"/>
        <w:rPr>
          <w:rFonts w:asciiTheme="minorHAnsi" w:hAnsiTheme="minorHAnsi" w:eastAsiaTheme="minorEastAsia" w:cstheme="minorBidi"/>
          <w:b w:val="0"/>
          <w:bCs w:val="0"/>
          <w:kern w:val="2"/>
          <w:sz w:val="21"/>
          <w:szCs w:val="22"/>
        </w:rPr>
      </w:pPr>
      <w:r>
        <w:fldChar w:fldCharType="begin"/>
      </w:r>
      <w:r>
        <w:instrText xml:space="preserve"> HYPERLINK \l "_Toc182553823" </w:instrText>
      </w:r>
      <w:r>
        <w:fldChar w:fldCharType="separate"/>
      </w:r>
      <w:r>
        <w:rPr>
          <w:rStyle w:val="105"/>
          <w:rFonts w:eastAsia="仿宋"/>
          <w:color w:val="auto"/>
        </w:rPr>
        <w:t>6环境保护措施及其可行性论证</w:t>
      </w:r>
      <w:r>
        <w:tab/>
      </w:r>
      <w:r>
        <w:fldChar w:fldCharType="begin"/>
      </w:r>
      <w:r>
        <w:instrText xml:space="preserve"> PAGEREF _Toc182553823 \h </w:instrText>
      </w:r>
      <w:r>
        <w:fldChar w:fldCharType="separate"/>
      </w:r>
      <w:r>
        <w:t>365</w:t>
      </w:r>
      <w:r>
        <w:fldChar w:fldCharType="end"/>
      </w:r>
      <w:r>
        <w:fldChar w:fldCharType="end"/>
      </w:r>
    </w:p>
    <w:p w14:paraId="38EEF3E8">
      <w:pPr>
        <w:pStyle w:val="74"/>
        <w:rPr>
          <w:rFonts w:asciiTheme="minorHAnsi" w:hAnsiTheme="minorHAnsi" w:eastAsiaTheme="minorEastAsia" w:cstheme="minorBidi"/>
          <w:smallCaps w:val="0"/>
          <w:kern w:val="2"/>
          <w:sz w:val="21"/>
          <w:szCs w:val="22"/>
        </w:rPr>
      </w:pPr>
      <w:r>
        <w:fldChar w:fldCharType="begin"/>
      </w:r>
      <w:r>
        <w:instrText xml:space="preserve"> HYPERLINK \l "_Toc182553824" </w:instrText>
      </w:r>
      <w:r>
        <w:fldChar w:fldCharType="separate"/>
      </w:r>
      <w:r>
        <w:rPr>
          <w:rStyle w:val="105"/>
          <w:rFonts w:eastAsia="仿宋"/>
          <w:color w:val="auto"/>
        </w:rPr>
        <w:t>6.1大气环境保护措施及其经济、技术论证</w:t>
      </w:r>
      <w:r>
        <w:tab/>
      </w:r>
      <w:r>
        <w:fldChar w:fldCharType="begin"/>
      </w:r>
      <w:r>
        <w:instrText xml:space="preserve"> PAGEREF _Toc182553824 \h </w:instrText>
      </w:r>
      <w:r>
        <w:fldChar w:fldCharType="separate"/>
      </w:r>
      <w:r>
        <w:t>365</w:t>
      </w:r>
      <w:r>
        <w:fldChar w:fldCharType="end"/>
      </w:r>
      <w:r>
        <w:fldChar w:fldCharType="end"/>
      </w:r>
    </w:p>
    <w:p w14:paraId="52114846">
      <w:pPr>
        <w:pStyle w:val="74"/>
        <w:rPr>
          <w:rFonts w:asciiTheme="minorHAnsi" w:hAnsiTheme="minorHAnsi" w:eastAsiaTheme="minorEastAsia" w:cstheme="minorBidi"/>
          <w:smallCaps w:val="0"/>
          <w:kern w:val="2"/>
          <w:sz w:val="21"/>
          <w:szCs w:val="22"/>
        </w:rPr>
      </w:pPr>
      <w:r>
        <w:fldChar w:fldCharType="begin"/>
      </w:r>
      <w:r>
        <w:instrText xml:space="preserve"> HYPERLINK \l "_Toc182553825" </w:instrText>
      </w:r>
      <w:r>
        <w:fldChar w:fldCharType="separate"/>
      </w:r>
      <w:r>
        <w:rPr>
          <w:rStyle w:val="105"/>
          <w:rFonts w:eastAsia="仿宋"/>
          <w:color w:val="auto"/>
        </w:rPr>
        <w:t>6.2地表水环境保护措施及其经济、技术论证</w:t>
      </w:r>
      <w:r>
        <w:tab/>
      </w:r>
      <w:r>
        <w:fldChar w:fldCharType="begin"/>
      </w:r>
      <w:r>
        <w:instrText xml:space="preserve"> PAGEREF _Toc182553825 \h </w:instrText>
      </w:r>
      <w:r>
        <w:fldChar w:fldCharType="separate"/>
      </w:r>
      <w:r>
        <w:t>378</w:t>
      </w:r>
      <w:r>
        <w:fldChar w:fldCharType="end"/>
      </w:r>
      <w:r>
        <w:fldChar w:fldCharType="end"/>
      </w:r>
    </w:p>
    <w:p w14:paraId="5EB105F9">
      <w:pPr>
        <w:pStyle w:val="74"/>
        <w:rPr>
          <w:rFonts w:asciiTheme="minorHAnsi" w:hAnsiTheme="minorHAnsi" w:eastAsiaTheme="minorEastAsia" w:cstheme="minorBidi"/>
          <w:smallCaps w:val="0"/>
          <w:kern w:val="2"/>
          <w:sz w:val="21"/>
          <w:szCs w:val="22"/>
        </w:rPr>
      </w:pPr>
      <w:r>
        <w:fldChar w:fldCharType="begin"/>
      </w:r>
      <w:r>
        <w:instrText xml:space="preserve"> HYPERLINK \l "_Toc182553826" </w:instrText>
      </w:r>
      <w:r>
        <w:fldChar w:fldCharType="separate"/>
      </w:r>
      <w:r>
        <w:rPr>
          <w:rStyle w:val="105"/>
          <w:rFonts w:eastAsia="仿宋"/>
          <w:color w:val="auto"/>
        </w:rPr>
        <w:t>6.3固体废弃物污染防治措施评述</w:t>
      </w:r>
      <w:r>
        <w:tab/>
      </w:r>
      <w:r>
        <w:fldChar w:fldCharType="begin"/>
      </w:r>
      <w:r>
        <w:instrText xml:space="preserve"> PAGEREF _Toc182553826 \h </w:instrText>
      </w:r>
      <w:r>
        <w:fldChar w:fldCharType="separate"/>
      </w:r>
      <w:r>
        <w:t>383</w:t>
      </w:r>
      <w:r>
        <w:fldChar w:fldCharType="end"/>
      </w:r>
      <w:r>
        <w:fldChar w:fldCharType="end"/>
      </w:r>
    </w:p>
    <w:p w14:paraId="3BD2BC7C">
      <w:pPr>
        <w:pStyle w:val="74"/>
        <w:rPr>
          <w:rFonts w:asciiTheme="minorHAnsi" w:hAnsiTheme="minorHAnsi" w:eastAsiaTheme="minorEastAsia" w:cstheme="minorBidi"/>
          <w:smallCaps w:val="0"/>
          <w:kern w:val="2"/>
          <w:sz w:val="21"/>
          <w:szCs w:val="22"/>
        </w:rPr>
      </w:pPr>
      <w:r>
        <w:fldChar w:fldCharType="begin"/>
      </w:r>
      <w:r>
        <w:instrText xml:space="preserve"> HYPERLINK \l "_Toc182553827" </w:instrText>
      </w:r>
      <w:r>
        <w:fldChar w:fldCharType="separate"/>
      </w:r>
      <w:r>
        <w:rPr>
          <w:rStyle w:val="105"/>
          <w:rFonts w:eastAsia="仿宋"/>
          <w:color w:val="auto"/>
        </w:rPr>
        <w:t>6.3噪声污染防治措施评述</w:t>
      </w:r>
      <w:r>
        <w:tab/>
      </w:r>
      <w:r>
        <w:fldChar w:fldCharType="begin"/>
      </w:r>
      <w:r>
        <w:instrText xml:space="preserve"> PAGEREF _Toc182553827 \h </w:instrText>
      </w:r>
      <w:r>
        <w:fldChar w:fldCharType="separate"/>
      </w:r>
      <w:r>
        <w:t>399</w:t>
      </w:r>
      <w:r>
        <w:fldChar w:fldCharType="end"/>
      </w:r>
      <w:r>
        <w:fldChar w:fldCharType="end"/>
      </w:r>
    </w:p>
    <w:p w14:paraId="6ED1605E">
      <w:pPr>
        <w:pStyle w:val="74"/>
        <w:rPr>
          <w:rFonts w:asciiTheme="minorHAnsi" w:hAnsiTheme="minorHAnsi" w:eastAsiaTheme="minorEastAsia" w:cstheme="minorBidi"/>
          <w:smallCaps w:val="0"/>
          <w:kern w:val="2"/>
          <w:sz w:val="21"/>
          <w:szCs w:val="22"/>
        </w:rPr>
      </w:pPr>
      <w:r>
        <w:fldChar w:fldCharType="begin"/>
      </w:r>
      <w:r>
        <w:instrText xml:space="preserve"> HYPERLINK \l "_Toc182553828" </w:instrText>
      </w:r>
      <w:r>
        <w:fldChar w:fldCharType="separate"/>
      </w:r>
      <w:r>
        <w:rPr>
          <w:rStyle w:val="105"/>
          <w:rFonts w:eastAsia="仿宋"/>
          <w:color w:val="auto"/>
        </w:rPr>
        <w:t>6.4土壤、地下水污染防治措施及可行性分析</w:t>
      </w:r>
      <w:r>
        <w:tab/>
      </w:r>
      <w:r>
        <w:fldChar w:fldCharType="begin"/>
      </w:r>
      <w:r>
        <w:instrText xml:space="preserve"> PAGEREF _Toc182553828 \h </w:instrText>
      </w:r>
      <w:r>
        <w:fldChar w:fldCharType="separate"/>
      </w:r>
      <w:r>
        <w:t>400</w:t>
      </w:r>
      <w:r>
        <w:fldChar w:fldCharType="end"/>
      </w:r>
      <w:r>
        <w:fldChar w:fldCharType="end"/>
      </w:r>
    </w:p>
    <w:p w14:paraId="10149F1F">
      <w:pPr>
        <w:pStyle w:val="74"/>
        <w:rPr>
          <w:rFonts w:asciiTheme="minorHAnsi" w:hAnsiTheme="minorHAnsi" w:eastAsiaTheme="minorEastAsia" w:cstheme="minorBidi"/>
          <w:smallCaps w:val="0"/>
          <w:kern w:val="2"/>
          <w:sz w:val="21"/>
          <w:szCs w:val="22"/>
        </w:rPr>
      </w:pPr>
      <w:r>
        <w:fldChar w:fldCharType="begin"/>
      </w:r>
      <w:r>
        <w:instrText xml:space="preserve"> HYPERLINK \l "_Toc182553829" </w:instrText>
      </w:r>
      <w:r>
        <w:fldChar w:fldCharType="separate"/>
      </w:r>
      <w:r>
        <w:rPr>
          <w:rStyle w:val="105"/>
          <w:rFonts w:eastAsia="仿宋"/>
          <w:color w:val="auto"/>
        </w:rPr>
        <w:t>6.5环境风险防控措施及应急要求</w:t>
      </w:r>
      <w:r>
        <w:tab/>
      </w:r>
      <w:r>
        <w:fldChar w:fldCharType="begin"/>
      </w:r>
      <w:r>
        <w:instrText xml:space="preserve"> PAGEREF _Toc182553829 \h </w:instrText>
      </w:r>
      <w:r>
        <w:fldChar w:fldCharType="separate"/>
      </w:r>
      <w:r>
        <w:t>405</w:t>
      </w:r>
      <w:r>
        <w:fldChar w:fldCharType="end"/>
      </w:r>
      <w:r>
        <w:fldChar w:fldCharType="end"/>
      </w:r>
    </w:p>
    <w:p w14:paraId="332640A3">
      <w:pPr>
        <w:pStyle w:val="74"/>
        <w:rPr>
          <w:rFonts w:asciiTheme="minorHAnsi" w:hAnsiTheme="minorHAnsi" w:eastAsiaTheme="minorEastAsia" w:cstheme="minorBidi"/>
          <w:smallCaps w:val="0"/>
          <w:kern w:val="2"/>
          <w:sz w:val="21"/>
          <w:szCs w:val="22"/>
        </w:rPr>
      </w:pPr>
      <w:r>
        <w:fldChar w:fldCharType="begin"/>
      </w:r>
      <w:r>
        <w:instrText xml:space="preserve"> HYPERLINK \l "_Toc182553830" </w:instrText>
      </w:r>
      <w:r>
        <w:fldChar w:fldCharType="separate"/>
      </w:r>
      <w:r>
        <w:rPr>
          <w:rStyle w:val="105"/>
          <w:rFonts w:eastAsia="仿宋"/>
          <w:color w:val="auto"/>
        </w:rPr>
        <w:t>6.6环保措施汇总</w:t>
      </w:r>
      <w:r>
        <w:tab/>
      </w:r>
      <w:r>
        <w:fldChar w:fldCharType="begin"/>
      </w:r>
      <w:r>
        <w:instrText xml:space="preserve"> PAGEREF _Toc182553830 \h </w:instrText>
      </w:r>
      <w:r>
        <w:fldChar w:fldCharType="separate"/>
      </w:r>
      <w:r>
        <w:t>450</w:t>
      </w:r>
      <w:r>
        <w:fldChar w:fldCharType="end"/>
      </w:r>
      <w:r>
        <w:fldChar w:fldCharType="end"/>
      </w:r>
    </w:p>
    <w:p w14:paraId="53DE91CD">
      <w:pPr>
        <w:pStyle w:val="59"/>
        <w:rPr>
          <w:rFonts w:asciiTheme="minorHAnsi" w:hAnsiTheme="minorHAnsi" w:eastAsiaTheme="minorEastAsia" w:cstheme="minorBidi"/>
          <w:b w:val="0"/>
          <w:bCs w:val="0"/>
          <w:kern w:val="2"/>
          <w:sz w:val="21"/>
          <w:szCs w:val="22"/>
        </w:rPr>
      </w:pPr>
      <w:r>
        <w:fldChar w:fldCharType="begin"/>
      </w:r>
      <w:r>
        <w:instrText xml:space="preserve"> HYPERLINK \l "_Toc182553831" </w:instrText>
      </w:r>
      <w:r>
        <w:fldChar w:fldCharType="separate"/>
      </w:r>
      <w:r>
        <w:rPr>
          <w:rStyle w:val="105"/>
          <w:rFonts w:eastAsia="仿宋"/>
          <w:color w:val="auto"/>
          <w:spacing w:val="6"/>
        </w:rPr>
        <w:t>7环境影响经济损益分析</w:t>
      </w:r>
      <w:r>
        <w:tab/>
      </w:r>
      <w:r>
        <w:fldChar w:fldCharType="begin"/>
      </w:r>
      <w:r>
        <w:instrText xml:space="preserve"> PAGEREF _Toc182553831 \h </w:instrText>
      </w:r>
      <w:r>
        <w:fldChar w:fldCharType="separate"/>
      </w:r>
      <w:r>
        <w:t>452</w:t>
      </w:r>
      <w:r>
        <w:fldChar w:fldCharType="end"/>
      </w:r>
      <w:r>
        <w:fldChar w:fldCharType="end"/>
      </w:r>
    </w:p>
    <w:p w14:paraId="6EF95ACD">
      <w:pPr>
        <w:pStyle w:val="74"/>
        <w:rPr>
          <w:rFonts w:asciiTheme="minorHAnsi" w:hAnsiTheme="minorHAnsi" w:eastAsiaTheme="minorEastAsia" w:cstheme="minorBidi"/>
          <w:smallCaps w:val="0"/>
          <w:kern w:val="2"/>
          <w:sz w:val="21"/>
          <w:szCs w:val="22"/>
        </w:rPr>
      </w:pPr>
      <w:r>
        <w:fldChar w:fldCharType="begin"/>
      </w:r>
      <w:r>
        <w:instrText xml:space="preserve"> HYPERLINK \l "_Toc182553832" </w:instrText>
      </w:r>
      <w:r>
        <w:fldChar w:fldCharType="separate"/>
      </w:r>
      <w:r>
        <w:rPr>
          <w:rStyle w:val="105"/>
          <w:rFonts w:eastAsia="仿宋"/>
          <w:color w:val="auto"/>
        </w:rPr>
        <w:t>7.1经济效益分析</w:t>
      </w:r>
      <w:r>
        <w:tab/>
      </w:r>
      <w:r>
        <w:fldChar w:fldCharType="begin"/>
      </w:r>
      <w:r>
        <w:instrText xml:space="preserve"> PAGEREF _Toc182553832 \h </w:instrText>
      </w:r>
      <w:r>
        <w:fldChar w:fldCharType="separate"/>
      </w:r>
      <w:r>
        <w:t>452</w:t>
      </w:r>
      <w:r>
        <w:fldChar w:fldCharType="end"/>
      </w:r>
      <w:r>
        <w:fldChar w:fldCharType="end"/>
      </w:r>
    </w:p>
    <w:p w14:paraId="317FF26F">
      <w:pPr>
        <w:pStyle w:val="74"/>
        <w:rPr>
          <w:rFonts w:asciiTheme="minorHAnsi" w:hAnsiTheme="minorHAnsi" w:eastAsiaTheme="minorEastAsia" w:cstheme="minorBidi"/>
          <w:smallCaps w:val="0"/>
          <w:kern w:val="2"/>
          <w:sz w:val="21"/>
          <w:szCs w:val="22"/>
        </w:rPr>
      </w:pPr>
      <w:r>
        <w:fldChar w:fldCharType="begin"/>
      </w:r>
      <w:r>
        <w:instrText xml:space="preserve"> HYPERLINK \l "_Toc182553833" </w:instrText>
      </w:r>
      <w:r>
        <w:fldChar w:fldCharType="separate"/>
      </w:r>
      <w:r>
        <w:rPr>
          <w:rStyle w:val="105"/>
          <w:rFonts w:eastAsia="仿宋"/>
          <w:color w:val="auto"/>
        </w:rPr>
        <w:t>7.2环境效益分析</w:t>
      </w:r>
      <w:r>
        <w:tab/>
      </w:r>
      <w:r>
        <w:fldChar w:fldCharType="begin"/>
      </w:r>
      <w:r>
        <w:instrText xml:space="preserve"> PAGEREF _Toc182553833 \h </w:instrText>
      </w:r>
      <w:r>
        <w:fldChar w:fldCharType="separate"/>
      </w:r>
      <w:r>
        <w:t>452</w:t>
      </w:r>
      <w:r>
        <w:fldChar w:fldCharType="end"/>
      </w:r>
      <w:r>
        <w:fldChar w:fldCharType="end"/>
      </w:r>
    </w:p>
    <w:p w14:paraId="1D10A121">
      <w:pPr>
        <w:pStyle w:val="74"/>
        <w:rPr>
          <w:rFonts w:asciiTheme="minorHAnsi" w:hAnsiTheme="minorHAnsi" w:eastAsiaTheme="minorEastAsia" w:cstheme="minorBidi"/>
          <w:smallCaps w:val="0"/>
          <w:kern w:val="2"/>
          <w:sz w:val="21"/>
          <w:szCs w:val="22"/>
        </w:rPr>
      </w:pPr>
      <w:r>
        <w:fldChar w:fldCharType="begin"/>
      </w:r>
      <w:r>
        <w:instrText xml:space="preserve"> HYPERLINK \l "_Toc182553834" </w:instrText>
      </w:r>
      <w:r>
        <w:fldChar w:fldCharType="separate"/>
      </w:r>
      <w:r>
        <w:rPr>
          <w:rStyle w:val="105"/>
          <w:rFonts w:eastAsia="仿宋"/>
          <w:color w:val="auto"/>
        </w:rPr>
        <w:t>7.3社会效益分析</w:t>
      </w:r>
      <w:r>
        <w:tab/>
      </w:r>
      <w:r>
        <w:fldChar w:fldCharType="begin"/>
      </w:r>
      <w:r>
        <w:instrText xml:space="preserve"> PAGEREF _Toc182553834 \h </w:instrText>
      </w:r>
      <w:r>
        <w:fldChar w:fldCharType="separate"/>
      </w:r>
      <w:r>
        <w:t>454</w:t>
      </w:r>
      <w:r>
        <w:fldChar w:fldCharType="end"/>
      </w:r>
      <w:r>
        <w:fldChar w:fldCharType="end"/>
      </w:r>
    </w:p>
    <w:p w14:paraId="7D8BF9A7">
      <w:pPr>
        <w:pStyle w:val="59"/>
        <w:rPr>
          <w:rFonts w:asciiTheme="minorHAnsi" w:hAnsiTheme="minorHAnsi" w:eastAsiaTheme="minorEastAsia" w:cstheme="minorBidi"/>
          <w:b w:val="0"/>
          <w:bCs w:val="0"/>
          <w:kern w:val="2"/>
          <w:sz w:val="21"/>
          <w:szCs w:val="22"/>
        </w:rPr>
      </w:pPr>
      <w:r>
        <w:fldChar w:fldCharType="begin"/>
      </w:r>
      <w:r>
        <w:instrText xml:space="preserve"> HYPERLINK \l "_Toc182553835" </w:instrText>
      </w:r>
      <w:r>
        <w:fldChar w:fldCharType="separate"/>
      </w:r>
      <w:r>
        <w:rPr>
          <w:rStyle w:val="105"/>
          <w:rFonts w:eastAsia="仿宋"/>
          <w:color w:val="auto"/>
        </w:rPr>
        <w:t>8环境管理与监测计划</w:t>
      </w:r>
      <w:r>
        <w:tab/>
      </w:r>
      <w:r>
        <w:fldChar w:fldCharType="begin"/>
      </w:r>
      <w:r>
        <w:instrText xml:space="preserve"> PAGEREF _Toc182553835 \h </w:instrText>
      </w:r>
      <w:r>
        <w:fldChar w:fldCharType="separate"/>
      </w:r>
      <w:r>
        <w:t>455</w:t>
      </w:r>
      <w:r>
        <w:fldChar w:fldCharType="end"/>
      </w:r>
      <w:r>
        <w:fldChar w:fldCharType="end"/>
      </w:r>
    </w:p>
    <w:p w14:paraId="139FC35E">
      <w:pPr>
        <w:pStyle w:val="74"/>
        <w:rPr>
          <w:rFonts w:asciiTheme="minorHAnsi" w:hAnsiTheme="minorHAnsi" w:eastAsiaTheme="minorEastAsia" w:cstheme="minorBidi"/>
          <w:smallCaps w:val="0"/>
          <w:kern w:val="2"/>
          <w:sz w:val="21"/>
          <w:szCs w:val="22"/>
        </w:rPr>
      </w:pPr>
      <w:r>
        <w:fldChar w:fldCharType="begin"/>
      </w:r>
      <w:r>
        <w:instrText xml:space="preserve"> HYPERLINK \l "_Toc182553836" </w:instrText>
      </w:r>
      <w:r>
        <w:fldChar w:fldCharType="separate"/>
      </w:r>
      <w:r>
        <w:rPr>
          <w:rStyle w:val="105"/>
          <w:rFonts w:eastAsia="仿宋"/>
          <w:color w:val="auto"/>
        </w:rPr>
        <w:t>8.1环境管理</w:t>
      </w:r>
      <w:r>
        <w:tab/>
      </w:r>
      <w:r>
        <w:fldChar w:fldCharType="begin"/>
      </w:r>
      <w:r>
        <w:instrText xml:space="preserve"> PAGEREF _Toc182553836 \h </w:instrText>
      </w:r>
      <w:r>
        <w:fldChar w:fldCharType="separate"/>
      </w:r>
      <w:r>
        <w:t>455</w:t>
      </w:r>
      <w:r>
        <w:fldChar w:fldCharType="end"/>
      </w:r>
      <w:r>
        <w:fldChar w:fldCharType="end"/>
      </w:r>
    </w:p>
    <w:p w14:paraId="4DDBC7D9">
      <w:pPr>
        <w:pStyle w:val="74"/>
        <w:rPr>
          <w:rFonts w:asciiTheme="minorHAnsi" w:hAnsiTheme="minorHAnsi" w:eastAsiaTheme="minorEastAsia" w:cstheme="minorBidi"/>
          <w:smallCaps w:val="0"/>
          <w:kern w:val="2"/>
          <w:sz w:val="21"/>
          <w:szCs w:val="22"/>
        </w:rPr>
      </w:pPr>
      <w:r>
        <w:fldChar w:fldCharType="begin"/>
      </w:r>
      <w:r>
        <w:instrText xml:space="preserve"> HYPERLINK \l "_Toc182553837" </w:instrText>
      </w:r>
      <w:r>
        <w:fldChar w:fldCharType="separate"/>
      </w:r>
      <w:r>
        <w:rPr>
          <w:rStyle w:val="105"/>
          <w:rFonts w:eastAsia="仿宋"/>
          <w:color w:val="auto"/>
        </w:rPr>
        <w:t>8.2污染物排放清单</w:t>
      </w:r>
      <w:r>
        <w:tab/>
      </w:r>
      <w:r>
        <w:fldChar w:fldCharType="begin"/>
      </w:r>
      <w:r>
        <w:instrText xml:space="preserve"> PAGEREF _Toc182553837 \h </w:instrText>
      </w:r>
      <w:r>
        <w:fldChar w:fldCharType="separate"/>
      </w:r>
      <w:r>
        <w:t>464</w:t>
      </w:r>
      <w:r>
        <w:fldChar w:fldCharType="end"/>
      </w:r>
      <w:r>
        <w:fldChar w:fldCharType="end"/>
      </w:r>
    </w:p>
    <w:p w14:paraId="0388D058">
      <w:pPr>
        <w:pStyle w:val="74"/>
        <w:rPr>
          <w:rFonts w:asciiTheme="minorHAnsi" w:hAnsiTheme="minorHAnsi" w:eastAsiaTheme="minorEastAsia" w:cstheme="minorBidi"/>
          <w:smallCaps w:val="0"/>
          <w:kern w:val="2"/>
          <w:sz w:val="21"/>
          <w:szCs w:val="22"/>
        </w:rPr>
      </w:pPr>
      <w:r>
        <w:fldChar w:fldCharType="begin"/>
      </w:r>
      <w:r>
        <w:instrText xml:space="preserve"> HYPERLINK \l "_Toc182553838" </w:instrText>
      </w:r>
      <w:r>
        <w:fldChar w:fldCharType="separate"/>
      </w:r>
      <w:r>
        <w:rPr>
          <w:rStyle w:val="105"/>
          <w:rFonts w:eastAsia="仿宋"/>
          <w:color w:val="auto"/>
        </w:rPr>
        <w:t>8.3监测计划</w:t>
      </w:r>
      <w:r>
        <w:tab/>
      </w:r>
      <w:r>
        <w:fldChar w:fldCharType="begin"/>
      </w:r>
      <w:r>
        <w:instrText xml:space="preserve"> PAGEREF _Toc182553838 \h </w:instrText>
      </w:r>
      <w:r>
        <w:fldChar w:fldCharType="separate"/>
      </w:r>
      <w:r>
        <w:t>468</w:t>
      </w:r>
      <w:r>
        <w:fldChar w:fldCharType="end"/>
      </w:r>
      <w:r>
        <w:fldChar w:fldCharType="end"/>
      </w:r>
    </w:p>
    <w:p w14:paraId="4E011695">
      <w:pPr>
        <w:pStyle w:val="74"/>
        <w:rPr>
          <w:rFonts w:asciiTheme="minorHAnsi" w:hAnsiTheme="minorHAnsi" w:eastAsiaTheme="minorEastAsia" w:cstheme="minorBidi"/>
          <w:smallCaps w:val="0"/>
          <w:kern w:val="2"/>
          <w:sz w:val="21"/>
          <w:szCs w:val="22"/>
        </w:rPr>
      </w:pPr>
      <w:r>
        <w:fldChar w:fldCharType="begin"/>
      </w:r>
      <w:r>
        <w:instrText xml:space="preserve"> HYPERLINK \l "_Toc182553839" </w:instrText>
      </w:r>
      <w:r>
        <w:fldChar w:fldCharType="separate"/>
      </w:r>
      <w:r>
        <w:rPr>
          <w:rStyle w:val="105"/>
          <w:rFonts w:eastAsia="仿宋"/>
          <w:color w:val="auto"/>
        </w:rPr>
        <w:t>8.4信息公开</w:t>
      </w:r>
      <w:r>
        <w:tab/>
      </w:r>
      <w:r>
        <w:fldChar w:fldCharType="begin"/>
      </w:r>
      <w:r>
        <w:instrText xml:space="preserve"> PAGEREF _Toc182553839 \h </w:instrText>
      </w:r>
      <w:r>
        <w:fldChar w:fldCharType="separate"/>
      </w:r>
      <w:r>
        <w:t>470</w:t>
      </w:r>
      <w:r>
        <w:fldChar w:fldCharType="end"/>
      </w:r>
      <w:r>
        <w:fldChar w:fldCharType="end"/>
      </w:r>
    </w:p>
    <w:p w14:paraId="3928A2FD">
      <w:pPr>
        <w:pStyle w:val="74"/>
        <w:rPr>
          <w:rFonts w:asciiTheme="minorHAnsi" w:hAnsiTheme="minorHAnsi" w:eastAsiaTheme="minorEastAsia" w:cstheme="minorBidi"/>
          <w:smallCaps w:val="0"/>
          <w:kern w:val="2"/>
          <w:sz w:val="21"/>
          <w:szCs w:val="22"/>
        </w:rPr>
      </w:pPr>
      <w:r>
        <w:fldChar w:fldCharType="begin"/>
      </w:r>
      <w:r>
        <w:instrText xml:space="preserve"> HYPERLINK \l "_Toc182553840" </w:instrText>
      </w:r>
      <w:r>
        <w:fldChar w:fldCharType="separate"/>
      </w:r>
      <w:r>
        <w:rPr>
          <w:rStyle w:val="105"/>
          <w:rFonts w:eastAsia="仿宋"/>
          <w:color w:val="auto"/>
        </w:rPr>
        <w:t>8.5排污口规范化整治</w:t>
      </w:r>
      <w:r>
        <w:tab/>
      </w:r>
      <w:r>
        <w:fldChar w:fldCharType="begin"/>
      </w:r>
      <w:r>
        <w:instrText xml:space="preserve"> PAGEREF _Toc182553840 \h </w:instrText>
      </w:r>
      <w:r>
        <w:fldChar w:fldCharType="separate"/>
      </w:r>
      <w:r>
        <w:t>471</w:t>
      </w:r>
      <w:r>
        <w:fldChar w:fldCharType="end"/>
      </w:r>
      <w:r>
        <w:fldChar w:fldCharType="end"/>
      </w:r>
    </w:p>
    <w:p w14:paraId="300E1DFD">
      <w:pPr>
        <w:pStyle w:val="74"/>
        <w:rPr>
          <w:rFonts w:asciiTheme="minorHAnsi" w:hAnsiTheme="minorHAnsi" w:eastAsiaTheme="minorEastAsia" w:cstheme="minorBidi"/>
          <w:smallCaps w:val="0"/>
          <w:kern w:val="2"/>
          <w:sz w:val="21"/>
          <w:szCs w:val="22"/>
        </w:rPr>
      </w:pPr>
      <w:r>
        <w:fldChar w:fldCharType="begin"/>
      </w:r>
      <w:r>
        <w:instrText xml:space="preserve"> HYPERLINK \l "_Toc182553841" </w:instrText>
      </w:r>
      <w:r>
        <w:fldChar w:fldCharType="separate"/>
      </w:r>
      <w:r>
        <w:rPr>
          <w:rStyle w:val="105"/>
          <w:rFonts w:ascii="Times New Roman" w:eastAsia="仿宋"/>
          <w:b/>
          <w:color w:val="auto"/>
          <w:spacing w:val="6"/>
        </w:rPr>
        <w:t>8.6“三同时”验收一览表</w:t>
      </w:r>
      <w:r>
        <w:tab/>
      </w:r>
      <w:r>
        <w:fldChar w:fldCharType="begin"/>
      </w:r>
      <w:r>
        <w:instrText xml:space="preserve"> PAGEREF _Toc182553841 \h </w:instrText>
      </w:r>
      <w:r>
        <w:fldChar w:fldCharType="separate"/>
      </w:r>
      <w:r>
        <w:t>473</w:t>
      </w:r>
      <w:r>
        <w:fldChar w:fldCharType="end"/>
      </w:r>
      <w:r>
        <w:fldChar w:fldCharType="end"/>
      </w:r>
    </w:p>
    <w:p w14:paraId="42DA665F">
      <w:pPr>
        <w:pStyle w:val="59"/>
        <w:rPr>
          <w:rFonts w:asciiTheme="minorHAnsi" w:hAnsiTheme="minorHAnsi" w:eastAsiaTheme="minorEastAsia" w:cstheme="minorBidi"/>
          <w:b w:val="0"/>
          <w:bCs w:val="0"/>
          <w:kern w:val="2"/>
          <w:sz w:val="21"/>
          <w:szCs w:val="22"/>
        </w:rPr>
      </w:pPr>
      <w:r>
        <w:fldChar w:fldCharType="begin"/>
      </w:r>
      <w:r>
        <w:instrText xml:space="preserve"> HYPERLINK \l "_Toc182553842" </w:instrText>
      </w:r>
      <w:r>
        <w:fldChar w:fldCharType="separate"/>
      </w:r>
      <w:r>
        <w:rPr>
          <w:rStyle w:val="105"/>
          <w:rFonts w:eastAsia="仿宋"/>
          <w:color w:val="auto"/>
          <w:spacing w:val="6"/>
        </w:rPr>
        <w:t>9环境影响评价结论</w:t>
      </w:r>
      <w:r>
        <w:tab/>
      </w:r>
      <w:r>
        <w:fldChar w:fldCharType="begin"/>
      </w:r>
      <w:r>
        <w:instrText xml:space="preserve"> PAGEREF _Toc182553842 \h </w:instrText>
      </w:r>
      <w:r>
        <w:fldChar w:fldCharType="separate"/>
      </w:r>
      <w:r>
        <w:t>475</w:t>
      </w:r>
      <w:r>
        <w:fldChar w:fldCharType="end"/>
      </w:r>
      <w:r>
        <w:fldChar w:fldCharType="end"/>
      </w:r>
    </w:p>
    <w:p w14:paraId="7FA5697F">
      <w:pPr>
        <w:pStyle w:val="74"/>
        <w:rPr>
          <w:rFonts w:asciiTheme="minorHAnsi" w:hAnsiTheme="minorHAnsi" w:eastAsiaTheme="minorEastAsia" w:cstheme="minorBidi"/>
          <w:smallCaps w:val="0"/>
          <w:kern w:val="2"/>
          <w:sz w:val="21"/>
          <w:szCs w:val="22"/>
        </w:rPr>
      </w:pPr>
      <w:r>
        <w:fldChar w:fldCharType="begin"/>
      </w:r>
      <w:r>
        <w:instrText xml:space="preserve"> HYPERLINK \l "_Toc182553843" </w:instrText>
      </w:r>
      <w:r>
        <w:fldChar w:fldCharType="separate"/>
      </w:r>
      <w:r>
        <w:rPr>
          <w:rStyle w:val="105"/>
          <w:rFonts w:eastAsia="仿宋"/>
          <w:color w:val="auto"/>
        </w:rPr>
        <w:t>9.1建设概况</w:t>
      </w:r>
      <w:r>
        <w:tab/>
      </w:r>
      <w:r>
        <w:fldChar w:fldCharType="begin"/>
      </w:r>
      <w:r>
        <w:instrText xml:space="preserve"> PAGEREF _Toc182553843 \h </w:instrText>
      </w:r>
      <w:r>
        <w:fldChar w:fldCharType="separate"/>
      </w:r>
      <w:r>
        <w:t>475</w:t>
      </w:r>
      <w:r>
        <w:fldChar w:fldCharType="end"/>
      </w:r>
      <w:r>
        <w:fldChar w:fldCharType="end"/>
      </w:r>
    </w:p>
    <w:p w14:paraId="385AB6F7">
      <w:pPr>
        <w:pStyle w:val="74"/>
        <w:rPr>
          <w:rFonts w:asciiTheme="minorHAnsi" w:hAnsiTheme="minorHAnsi" w:eastAsiaTheme="minorEastAsia" w:cstheme="minorBidi"/>
          <w:smallCaps w:val="0"/>
          <w:kern w:val="2"/>
          <w:sz w:val="21"/>
          <w:szCs w:val="22"/>
        </w:rPr>
      </w:pPr>
      <w:r>
        <w:fldChar w:fldCharType="begin"/>
      </w:r>
      <w:r>
        <w:instrText xml:space="preserve"> HYPERLINK \l "_Toc182553844" </w:instrText>
      </w:r>
      <w:r>
        <w:fldChar w:fldCharType="separate"/>
      </w:r>
      <w:r>
        <w:rPr>
          <w:rStyle w:val="105"/>
          <w:rFonts w:eastAsia="仿宋"/>
          <w:color w:val="auto"/>
        </w:rPr>
        <w:t>9.2环境质量现状</w:t>
      </w:r>
      <w:r>
        <w:tab/>
      </w:r>
      <w:r>
        <w:fldChar w:fldCharType="begin"/>
      </w:r>
      <w:r>
        <w:instrText xml:space="preserve"> PAGEREF _Toc182553844 \h </w:instrText>
      </w:r>
      <w:r>
        <w:fldChar w:fldCharType="separate"/>
      </w:r>
      <w:r>
        <w:t>475</w:t>
      </w:r>
      <w:r>
        <w:fldChar w:fldCharType="end"/>
      </w:r>
      <w:r>
        <w:fldChar w:fldCharType="end"/>
      </w:r>
    </w:p>
    <w:p w14:paraId="013EF94D">
      <w:pPr>
        <w:pStyle w:val="74"/>
        <w:rPr>
          <w:rFonts w:asciiTheme="minorHAnsi" w:hAnsiTheme="minorHAnsi" w:eastAsiaTheme="minorEastAsia" w:cstheme="minorBidi"/>
          <w:smallCaps w:val="0"/>
          <w:kern w:val="2"/>
          <w:sz w:val="21"/>
          <w:szCs w:val="22"/>
        </w:rPr>
      </w:pPr>
      <w:r>
        <w:fldChar w:fldCharType="begin"/>
      </w:r>
      <w:r>
        <w:instrText xml:space="preserve"> HYPERLINK \l "_Toc182553845" </w:instrText>
      </w:r>
      <w:r>
        <w:fldChar w:fldCharType="separate"/>
      </w:r>
      <w:r>
        <w:rPr>
          <w:rStyle w:val="105"/>
          <w:rFonts w:eastAsia="仿宋"/>
          <w:color w:val="auto"/>
        </w:rPr>
        <w:t>9.3污染物排放情况</w:t>
      </w:r>
      <w:r>
        <w:tab/>
      </w:r>
      <w:r>
        <w:fldChar w:fldCharType="begin"/>
      </w:r>
      <w:r>
        <w:instrText xml:space="preserve"> PAGEREF _Toc182553845 \h </w:instrText>
      </w:r>
      <w:r>
        <w:fldChar w:fldCharType="separate"/>
      </w:r>
      <w:r>
        <w:t>476</w:t>
      </w:r>
      <w:r>
        <w:fldChar w:fldCharType="end"/>
      </w:r>
      <w:r>
        <w:fldChar w:fldCharType="end"/>
      </w:r>
    </w:p>
    <w:p w14:paraId="33FB1131">
      <w:pPr>
        <w:pStyle w:val="74"/>
        <w:rPr>
          <w:rFonts w:asciiTheme="minorHAnsi" w:hAnsiTheme="minorHAnsi" w:eastAsiaTheme="minorEastAsia" w:cstheme="minorBidi"/>
          <w:smallCaps w:val="0"/>
          <w:kern w:val="2"/>
          <w:sz w:val="21"/>
          <w:szCs w:val="22"/>
        </w:rPr>
      </w:pPr>
      <w:r>
        <w:fldChar w:fldCharType="begin"/>
      </w:r>
      <w:r>
        <w:instrText xml:space="preserve"> HYPERLINK \l "_Toc182553846" </w:instrText>
      </w:r>
      <w:r>
        <w:fldChar w:fldCharType="separate"/>
      </w:r>
      <w:r>
        <w:rPr>
          <w:rStyle w:val="105"/>
          <w:rFonts w:eastAsia="仿宋"/>
          <w:color w:val="auto"/>
        </w:rPr>
        <w:t>9.4主要环境影响</w:t>
      </w:r>
      <w:r>
        <w:tab/>
      </w:r>
      <w:r>
        <w:fldChar w:fldCharType="begin"/>
      </w:r>
      <w:r>
        <w:instrText xml:space="preserve"> PAGEREF _Toc182553846 \h </w:instrText>
      </w:r>
      <w:r>
        <w:fldChar w:fldCharType="separate"/>
      </w:r>
      <w:r>
        <w:t>477</w:t>
      </w:r>
      <w:r>
        <w:fldChar w:fldCharType="end"/>
      </w:r>
      <w:r>
        <w:fldChar w:fldCharType="end"/>
      </w:r>
    </w:p>
    <w:p w14:paraId="6BBCB4F4">
      <w:pPr>
        <w:pStyle w:val="74"/>
        <w:rPr>
          <w:rFonts w:asciiTheme="minorHAnsi" w:hAnsiTheme="minorHAnsi" w:eastAsiaTheme="minorEastAsia" w:cstheme="minorBidi"/>
          <w:smallCaps w:val="0"/>
          <w:kern w:val="2"/>
          <w:sz w:val="21"/>
          <w:szCs w:val="22"/>
        </w:rPr>
      </w:pPr>
      <w:r>
        <w:fldChar w:fldCharType="begin"/>
      </w:r>
      <w:r>
        <w:instrText xml:space="preserve"> HYPERLINK \l "_Toc182553847" </w:instrText>
      </w:r>
      <w:r>
        <w:fldChar w:fldCharType="separate"/>
      </w:r>
      <w:r>
        <w:rPr>
          <w:rStyle w:val="105"/>
          <w:rFonts w:eastAsia="仿宋"/>
          <w:color w:val="auto"/>
        </w:rPr>
        <w:t>9.5公众意见采纳情况</w:t>
      </w:r>
      <w:r>
        <w:tab/>
      </w:r>
      <w:r>
        <w:fldChar w:fldCharType="begin"/>
      </w:r>
      <w:r>
        <w:instrText xml:space="preserve"> PAGEREF _Toc182553847 \h </w:instrText>
      </w:r>
      <w:r>
        <w:fldChar w:fldCharType="separate"/>
      </w:r>
      <w:r>
        <w:t>477</w:t>
      </w:r>
      <w:r>
        <w:fldChar w:fldCharType="end"/>
      </w:r>
      <w:r>
        <w:fldChar w:fldCharType="end"/>
      </w:r>
    </w:p>
    <w:p w14:paraId="6A72A4C7">
      <w:pPr>
        <w:pStyle w:val="74"/>
        <w:rPr>
          <w:rFonts w:asciiTheme="minorHAnsi" w:hAnsiTheme="minorHAnsi" w:eastAsiaTheme="minorEastAsia" w:cstheme="minorBidi"/>
          <w:smallCaps w:val="0"/>
          <w:kern w:val="2"/>
          <w:sz w:val="21"/>
          <w:szCs w:val="22"/>
        </w:rPr>
      </w:pPr>
      <w:r>
        <w:fldChar w:fldCharType="begin"/>
      </w:r>
      <w:r>
        <w:instrText xml:space="preserve"> HYPERLINK \l "_Toc182553848" </w:instrText>
      </w:r>
      <w:r>
        <w:fldChar w:fldCharType="separate"/>
      </w:r>
      <w:r>
        <w:rPr>
          <w:rStyle w:val="105"/>
          <w:rFonts w:eastAsia="仿宋"/>
          <w:color w:val="auto"/>
        </w:rPr>
        <w:t>9.6环境保护措施</w:t>
      </w:r>
      <w:r>
        <w:tab/>
      </w:r>
      <w:r>
        <w:fldChar w:fldCharType="begin"/>
      </w:r>
      <w:r>
        <w:instrText xml:space="preserve"> PAGEREF _Toc182553848 \h </w:instrText>
      </w:r>
      <w:r>
        <w:fldChar w:fldCharType="separate"/>
      </w:r>
      <w:r>
        <w:t>478</w:t>
      </w:r>
      <w:r>
        <w:fldChar w:fldCharType="end"/>
      </w:r>
      <w:r>
        <w:fldChar w:fldCharType="end"/>
      </w:r>
    </w:p>
    <w:p w14:paraId="06DD179B">
      <w:pPr>
        <w:pStyle w:val="74"/>
        <w:rPr>
          <w:rFonts w:asciiTheme="minorHAnsi" w:hAnsiTheme="minorHAnsi" w:eastAsiaTheme="minorEastAsia" w:cstheme="minorBidi"/>
          <w:smallCaps w:val="0"/>
          <w:kern w:val="2"/>
          <w:sz w:val="21"/>
          <w:szCs w:val="22"/>
        </w:rPr>
      </w:pPr>
      <w:r>
        <w:fldChar w:fldCharType="begin"/>
      </w:r>
      <w:r>
        <w:instrText xml:space="preserve"> HYPERLINK \l "_Toc182553849" </w:instrText>
      </w:r>
      <w:r>
        <w:fldChar w:fldCharType="separate"/>
      </w:r>
      <w:r>
        <w:rPr>
          <w:rStyle w:val="105"/>
          <w:rFonts w:eastAsia="仿宋"/>
          <w:color w:val="auto"/>
        </w:rPr>
        <w:t>9.7环境经济损益分析</w:t>
      </w:r>
      <w:r>
        <w:tab/>
      </w:r>
      <w:r>
        <w:fldChar w:fldCharType="begin"/>
      </w:r>
      <w:r>
        <w:instrText xml:space="preserve"> PAGEREF _Toc182553849 \h </w:instrText>
      </w:r>
      <w:r>
        <w:fldChar w:fldCharType="separate"/>
      </w:r>
      <w:r>
        <w:t>479</w:t>
      </w:r>
      <w:r>
        <w:fldChar w:fldCharType="end"/>
      </w:r>
      <w:r>
        <w:fldChar w:fldCharType="end"/>
      </w:r>
    </w:p>
    <w:p w14:paraId="3450629D">
      <w:pPr>
        <w:pStyle w:val="74"/>
        <w:rPr>
          <w:rFonts w:asciiTheme="minorHAnsi" w:hAnsiTheme="minorHAnsi" w:eastAsiaTheme="minorEastAsia" w:cstheme="minorBidi"/>
          <w:smallCaps w:val="0"/>
          <w:kern w:val="2"/>
          <w:sz w:val="21"/>
          <w:szCs w:val="22"/>
        </w:rPr>
      </w:pPr>
      <w:r>
        <w:fldChar w:fldCharType="begin"/>
      </w:r>
      <w:r>
        <w:instrText xml:space="preserve"> HYPERLINK \l "_Toc182553850" </w:instrText>
      </w:r>
      <w:r>
        <w:fldChar w:fldCharType="separate"/>
      </w:r>
      <w:r>
        <w:rPr>
          <w:rStyle w:val="105"/>
          <w:rFonts w:eastAsia="仿宋"/>
          <w:color w:val="auto"/>
        </w:rPr>
        <w:t>9.8环境管理与监测计划</w:t>
      </w:r>
      <w:r>
        <w:tab/>
      </w:r>
      <w:r>
        <w:fldChar w:fldCharType="begin"/>
      </w:r>
      <w:r>
        <w:instrText xml:space="preserve"> PAGEREF _Toc182553850 \h </w:instrText>
      </w:r>
      <w:r>
        <w:fldChar w:fldCharType="separate"/>
      </w:r>
      <w:r>
        <w:t>479</w:t>
      </w:r>
      <w:r>
        <w:fldChar w:fldCharType="end"/>
      </w:r>
      <w:r>
        <w:fldChar w:fldCharType="end"/>
      </w:r>
    </w:p>
    <w:p w14:paraId="3AB3154E">
      <w:pPr>
        <w:pStyle w:val="74"/>
        <w:rPr>
          <w:rFonts w:asciiTheme="minorHAnsi" w:hAnsiTheme="minorHAnsi" w:eastAsiaTheme="minorEastAsia" w:cstheme="minorBidi"/>
          <w:smallCaps w:val="0"/>
          <w:kern w:val="2"/>
          <w:sz w:val="21"/>
          <w:szCs w:val="22"/>
        </w:rPr>
      </w:pPr>
      <w:r>
        <w:fldChar w:fldCharType="begin"/>
      </w:r>
      <w:r>
        <w:instrText xml:space="preserve"> HYPERLINK \l "_Toc182553851" </w:instrText>
      </w:r>
      <w:r>
        <w:fldChar w:fldCharType="separate"/>
      </w:r>
      <w:r>
        <w:rPr>
          <w:rStyle w:val="105"/>
          <w:rFonts w:eastAsia="仿宋"/>
          <w:color w:val="auto"/>
        </w:rPr>
        <w:t>9.9总结论</w:t>
      </w:r>
      <w:r>
        <w:tab/>
      </w:r>
      <w:r>
        <w:fldChar w:fldCharType="begin"/>
      </w:r>
      <w:r>
        <w:instrText xml:space="preserve"> PAGEREF _Toc182553851 \h </w:instrText>
      </w:r>
      <w:r>
        <w:fldChar w:fldCharType="separate"/>
      </w:r>
      <w:r>
        <w:t>479</w:t>
      </w:r>
      <w:r>
        <w:fldChar w:fldCharType="end"/>
      </w:r>
      <w:r>
        <w:fldChar w:fldCharType="end"/>
      </w:r>
    </w:p>
    <w:p w14:paraId="4E3A65D8">
      <w:pPr>
        <w:rPr>
          <w:rFonts w:ascii="Times New Roman" w:eastAsia="仿宋"/>
          <w:bCs/>
          <w:highlight w:val="yellow"/>
        </w:rPr>
        <w:sectPr>
          <w:headerReference r:id="rId3" w:type="default"/>
          <w:footerReference r:id="rId4" w:type="default"/>
          <w:pgSz w:w="11906" w:h="16838"/>
          <w:pgMar w:top="1440" w:right="1800" w:bottom="1440" w:left="1800" w:header="851" w:footer="992" w:gutter="0"/>
          <w:pgNumType w:fmt="upperRoman" w:start="1"/>
          <w:cols w:space="720" w:num="1"/>
          <w:docGrid w:type="lines" w:linePitch="312" w:charSpace="0"/>
        </w:sectPr>
      </w:pPr>
      <w:r>
        <w:rPr>
          <w:rFonts w:ascii="Times New Roman" w:eastAsia="仿宋"/>
          <w:bCs/>
          <w:highlight w:val="yellow"/>
        </w:rPr>
        <w:fldChar w:fldCharType="end"/>
      </w:r>
    </w:p>
    <w:p w14:paraId="46EE06A2">
      <w:pPr>
        <w:spacing w:line="500" w:lineRule="exact"/>
        <w:rPr>
          <w:rFonts w:ascii="Times New Roman" w:eastAsia="仿宋"/>
          <w:b/>
          <w:sz w:val="28"/>
          <w:szCs w:val="28"/>
        </w:rPr>
      </w:pPr>
      <w:r>
        <w:rPr>
          <w:rFonts w:ascii="Times New Roman" w:eastAsia="仿宋"/>
          <w:b/>
          <w:sz w:val="28"/>
          <w:szCs w:val="28"/>
        </w:rPr>
        <w:t>附件：</w:t>
      </w:r>
    </w:p>
    <w:p w14:paraId="2E304466">
      <w:pPr>
        <w:spacing w:line="500" w:lineRule="exact"/>
        <w:ind w:firstLine="480" w:firstLineChars="200"/>
        <w:rPr>
          <w:rFonts w:ascii="Times New Roman" w:eastAsia="仿宋"/>
        </w:rPr>
      </w:pPr>
      <w:r>
        <w:rPr>
          <w:rFonts w:ascii="Times New Roman" w:eastAsia="仿宋"/>
        </w:rPr>
        <w:t>1、营业执照</w:t>
      </w:r>
    </w:p>
    <w:p w14:paraId="31FCF67B">
      <w:pPr>
        <w:spacing w:line="500" w:lineRule="exact"/>
        <w:ind w:firstLine="480" w:firstLineChars="200"/>
        <w:rPr>
          <w:rFonts w:ascii="Times New Roman" w:eastAsia="仿宋"/>
        </w:rPr>
      </w:pPr>
      <w:r>
        <w:rPr>
          <w:rFonts w:ascii="Times New Roman" w:eastAsia="仿宋"/>
        </w:rPr>
        <w:t>2、《江苏省投资项目备案证》（备案证号：</w:t>
      </w:r>
      <w:r>
        <w:rPr>
          <w:rFonts w:hint="eastAsia" w:ascii="Times New Roman" w:eastAsia="仿宋"/>
        </w:rPr>
        <w:t>坛发改备[202</w:t>
      </w:r>
      <w:r>
        <w:rPr>
          <w:rFonts w:ascii="Times New Roman" w:eastAsia="仿宋"/>
        </w:rPr>
        <w:t>4</w:t>
      </w:r>
      <w:r>
        <w:rPr>
          <w:rFonts w:hint="eastAsia" w:ascii="Times New Roman" w:eastAsia="仿宋"/>
        </w:rPr>
        <w:t>]481号</w:t>
      </w:r>
      <w:r>
        <w:rPr>
          <w:rFonts w:ascii="Times New Roman" w:eastAsia="仿宋"/>
        </w:rPr>
        <w:t>）；</w:t>
      </w:r>
    </w:p>
    <w:p w14:paraId="171085CA">
      <w:pPr>
        <w:spacing w:line="500" w:lineRule="exact"/>
        <w:ind w:firstLine="480" w:firstLineChars="200"/>
        <w:rPr>
          <w:rFonts w:ascii="Times New Roman" w:eastAsia="仿宋"/>
        </w:rPr>
      </w:pPr>
      <w:r>
        <w:rPr>
          <w:rFonts w:ascii="Times New Roman" w:eastAsia="仿宋"/>
        </w:rPr>
        <w:t>3、《</w:t>
      </w:r>
      <w:r>
        <w:rPr>
          <w:rFonts w:hint="eastAsia" w:ascii="Times New Roman" w:eastAsia="仿宋"/>
        </w:rPr>
        <w:t>不动产权证</w:t>
      </w:r>
      <w:r>
        <w:rPr>
          <w:rFonts w:ascii="Times New Roman" w:eastAsia="仿宋"/>
        </w:rPr>
        <w:t>》（</w:t>
      </w:r>
      <w:r>
        <w:rPr>
          <w:rFonts w:hint="eastAsia" w:ascii="Times New Roman" w:eastAsia="仿宋"/>
        </w:rPr>
        <w:t>苏（2023）金坛区不动产权第0070736号</w:t>
      </w:r>
      <w:r>
        <w:rPr>
          <w:rFonts w:ascii="Times New Roman" w:eastAsia="仿宋"/>
        </w:rPr>
        <w:t>）；</w:t>
      </w:r>
    </w:p>
    <w:p w14:paraId="133DDA89">
      <w:pPr>
        <w:spacing w:line="500" w:lineRule="exact"/>
        <w:ind w:firstLine="480" w:firstLineChars="200"/>
        <w:rPr>
          <w:rFonts w:ascii="Times New Roman" w:eastAsia="仿宋"/>
          <w:highlight w:val="yellow"/>
        </w:rPr>
      </w:pPr>
      <w:r>
        <w:rPr>
          <w:rFonts w:ascii="Times New Roman" w:eastAsia="仿宋"/>
        </w:rPr>
        <w:t>4、污水接管协议；</w:t>
      </w:r>
    </w:p>
    <w:p w14:paraId="2293CAEA">
      <w:pPr>
        <w:spacing w:line="500" w:lineRule="exact"/>
        <w:ind w:firstLine="480" w:firstLineChars="200"/>
        <w:rPr>
          <w:rFonts w:ascii="Times New Roman" w:eastAsia="仿宋"/>
        </w:rPr>
      </w:pPr>
      <w:r>
        <w:rPr>
          <w:rFonts w:ascii="Times New Roman" w:eastAsia="仿宋"/>
        </w:rPr>
        <w:t>5、江苏新莱亿智能科技有限公司不可替代说明及专家意见；</w:t>
      </w:r>
    </w:p>
    <w:p w14:paraId="4C54C29F">
      <w:pPr>
        <w:spacing w:line="500" w:lineRule="exact"/>
        <w:ind w:firstLine="480" w:firstLineChars="200"/>
        <w:rPr>
          <w:rFonts w:ascii="Times New Roman" w:eastAsia="仿宋"/>
        </w:rPr>
      </w:pPr>
      <w:r>
        <w:rPr>
          <w:rFonts w:ascii="Times New Roman" w:eastAsia="仿宋"/>
        </w:rPr>
        <w:t>6、</w:t>
      </w:r>
      <w:r>
        <w:rPr>
          <w:rFonts w:hint="eastAsia" w:ascii="Times New Roman" w:eastAsia="仿宋"/>
        </w:rPr>
        <w:t>现状</w:t>
      </w:r>
      <w:r>
        <w:rPr>
          <w:rFonts w:ascii="Times New Roman" w:eastAsia="仿宋"/>
        </w:rPr>
        <w:t>监测报告；</w:t>
      </w:r>
    </w:p>
    <w:p w14:paraId="04FE07B9">
      <w:pPr>
        <w:spacing w:line="500" w:lineRule="exact"/>
        <w:ind w:firstLine="480" w:firstLineChars="200"/>
        <w:rPr>
          <w:rFonts w:ascii="Times New Roman" w:eastAsia="仿宋"/>
        </w:rPr>
      </w:pPr>
      <w:r>
        <w:rPr>
          <w:rFonts w:ascii="Times New Roman" w:eastAsia="仿宋"/>
        </w:rPr>
        <w:t>7</w:t>
      </w:r>
      <w:r>
        <w:rPr>
          <w:rFonts w:hint="eastAsia" w:ascii="Times New Roman" w:eastAsia="仿宋"/>
        </w:rPr>
        <w:t>、原辅料MSDS及VOCs含量检测报告</w:t>
      </w:r>
    </w:p>
    <w:p w14:paraId="6FCEF52F">
      <w:pPr>
        <w:spacing w:line="500" w:lineRule="exact"/>
        <w:ind w:firstLine="480" w:firstLineChars="200"/>
        <w:rPr>
          <w:rFonts w:ascii="Times New Roman" w:eastAsia="仿宋"/>
        </w:rPr>
      </w:pPr>
      <w:r>
        <w:rPr>
          <w:rFonts w:ascii="Times New Roman" w:eastAsia="仿宋"/>
        </w:rPr>
        <w:t>8</w:t>
      </w:r>
      <w:r>
        <w:rPr>
          <w:rFonts w:hint="eastAsia" w:ascii="Times New Roman" w:eastAsia="仿宋"/>
        </w:rPr>
        <w:t>、《江苏省金坛经济开发区朱林现代产业园规划环境影响评价报告书》其审查意见（常金环审[2020]127号）</w:t>
      </w:r>
    </w:p>
    <w:p w14:paraId="44239233">
      <w:pPr>
        <w:spacing w:line="500" w:lineRule="exact"/>
        <w:ind w:firstLine="480" w:firstLineChars="200"/>
        <w:rPr>
          <w:rFonts w:ascii="Times New Roman" w:eastAsia="仿宋"/>
        </w:rPr>
      </w:pPr>
      <w:r>
        <w:rPr>
          <w:rFonts w:ascii="Times New Roman" w:eastAsia="仿宋"/>
        </w:rPr>
        <w:t>9</w:t>
      </w:r>
      <w:r>
        <w:rPr>
          <w:rFonts w:hint="eastAsia" w:ascii="Times New Roman" w:eastAsia="仿宋"/>
        </w:rPr>
        <w:t>、污水处理厂环评批复。</w:t>
      </w:r>
    </w:p>
    <w:p w14:paraId="59DDCAFE">
      <w:pPr>
        <w:spacing w:line="500" w:lineRule="exact"/>
        <w:rPr>
          <w:rFonts w:ascii="Times New Roman" w:eastAsia="仿宋"/>
          <w:b/>
          <w:sz w:val="28"/>
          <w:szCs w:val="28"/>
        </w:rPr>
      </w:pPr>
      <w:r>
        <w:rPr>
          <w:rFonts w:hint="eastAsia" w:ascii="Times New Roman" w:eastAsia="仿宋"/>
          <w:b/>
          <w:sz w:val="28"/>
          <w:szCs w:val="28"/>
        </w:rPr>
        <w:t>附图：</w:t>
      </w:r>
    </w:p>
    <w:p w14:paraId="7CC61E39">
      <w:pPr>
        <w:spacing w:line="500" w:lineRule="exact"/>
        <w:ind w:firstLine="480" w:firstLineChars="200"/>
        <w:rPr>
          <w:rFonts w:ascii="Times New Roman" w:eastAsia="仿宋"/>
        </w:rPr>
      </w:pPr>
      <w:r>
        <w:rPr>
          <w:rFonts w:hint="eastAsia" w:ascii="Times New Roman" w:eastAsia="仿宋"/>
        </w:rPr>
        <w:t>图1.1-1：项目地理位置示意图</w:t>
      </w:r>
    </w:p>
    <w:p w14:paraId="568F3FD4">
      <w:pPr>
        <w:spacing w:line="500" w:lineRule="exact"/>
        <w:ind w:firstLine="480" w:firstLineChars="200"/>
        <w:rPr>
          <w:rFonts w:ascii="Times New Roman" w:eastAsia="仿宋"/>
        </w:rPr>
      </w:pPr>
      <w:r>
        <w:rPr>
          <w:rFonts w:hint="eastAsia" w:ascii="Times New Roman" w:eastAsia="仿宋"/>
        </w:rPr>
        <w:t>图2.5-1：项目环境保护目标示意图</w:t>
      </w:r>
    </w:p>
    <w:p w14:paraId="6CC80F73">
      <w:pPr>
        <w:spacing w:line="500" w:lineRule="exact"/>
        <w:ind w:firstLine="480" w:firstLineChars="200"/>
        <w:rPr>
          <w:rFonts w:ascii="Times New Roman" w:eastAsia="仿宋"/>
        </w:rPr>
      </w:pPr>
      <w:r>
        <w:rPr>
          <w:rFonts w:hint="eastAsia" w:ascii="Times New Roman" w:eastAsia="仿宋"/>
        </w:rPr>
        <w:t>图2.6-1：常州市生态空间保护区域分布图</w:t>
      </w:r>
    </w:p>
    <w:p w14:paraId="0C636D2A">
      <w:pPr>
        <w:spacing w:line="500" w:lineRule="exact"/>
        <w:ind w:firstLine="480" w:firstLineChars="200"/>
        <w:rPr>
          <w:rFonts w:ascii="Times New Roman" w:eastAsia="仿宋"/>
        </w:rPr>
      </w:pPr>
      <w:r>
        <w:rPr>
          <w:rFonts w:hint="eastAsia" w:ascii="Times New Roman" w:eastAsia="仿宋"/>
        </w:rPr>
        <w:t>图2.6-2：常州市“三线一单”生态环境分区管控图</w:t>
      </w:r>
    </w:p>
    <w:p w14:paraId="6339A40C">
      <w:pPr>
        <w:spacing w:line="500" w:lineRule="exact"/>
        <w:ind w:firstLine="480" w:firstLineChars="200"/>
        <w:rPr>
          <w:rFonts w:ascii="Times New Roman" w:eastAsia="仿宋"/>
        </w:rPr>
      </w:pPr>
      <w:r>
        <w:rPr>
          <w:rFonts w:hint="eastAsia" w:ascii="Times New Roman" w:eastAsia="仿宋"/>
        </w:rPr>
        <w:t>图2.6-</w:t>
      </w:r>
      <w:r>
        <w:rPr>
          <w:rFonts w:ascii="Times New Roman" w:eastAsia="仿宋"/>
        </w:rPr>
        <w:t>3</w:t>
      </w:r>
      <w:r>
        <w:rPr>
          <w:rFonts w:hint="eastAsia" w:ascii="Times New Roman" w:eastAsia="仿宋"/>
        </w:rPr>
        <w:t>：常州市“三区三线”划定成果图</w:t>
      </w:r>
    </w:p>
    <w:p w14:paraId="148EA9E2">
      <w:pPr>
        <w:spacing w:line="500" w:lineRule="exact"/>
        <w:ind w:firstLine="480" w:firstLineChars="200"/>
        <w:rPr>
          <w:rFonts w:ascii="Times New Roman" w:eastAsia="仿宋"/>
        </w:rPr>
      </w:pPr>
      <w:r>
        <w:rPr>
          <w:rFonts w:hint="eastAsia" w:ascii="Times New Roman" w:eastAsia="仿宋"/>
        </w:rPr>
        <w:t>图2.6-</w:t>
      </w:r>
      <w:r>
        <w:rPr>
          <w:rFonts w:ascii="Times New Roman" w:eastAsia="仿宋"/>
        </w:rPr>
        <w:t>4</w:t>
      </w:r>
      <w:r>
        <w:rPr>
          <w:rFonts w:hint="eastAsia" w:ascii="Times New Roman" w:eastAsia="仿宋"/>
        </w:rPr>
        <w:t>：金坛经济开发区朱林现代产业园规划图</w:t>
      </w:r>
    </w:p>
    <w:p w14:paraId="5BD15F31">
      <w:pPr>
        <w:spacing w:line="500" w:lineRule="exact"/>
        <w:ind w:firstLine="480" w:firstLineChars="200"/>
        <w:rPr>
          <w:rFonts w:ascii="Times New Roman" w:eastAsia="仿宋"/>
        </w:rPr>
      </w:pPr>
      <w:r>
        <w:rPr>
          <w:rFonts w:hint="eastAsia" w:ascii="Times New Roman" w:eastAsia="仿宋"/>
        </w:rPr>
        <w:t>图3.1-4：厂区平面布置图</w:t>
      </w:r>
    </w:p>
    <w:p w14:paraId="2C9B53C6">
      <w:pPr>
        <w:spacing w:line="500" w:lineRule="exact"/>
        <w:ind w:firstLine="480" w:firstLineChars="200"/>
      </w:pPr>
      <w:r>
        <w:rPr>
          <w:rFonts w:hint="eastAsia" w:ascii="Times New Roman" w:eastAsia="仿宋"/>
        </w:rPr>
        <w:t>图3.1-5：厂区周围500米土地利用现状图</w:t>
      </w:r>
    </w:p>
    <w:p w14:paraId="7BB0BCC5">
      <w:pPr>
        <w:spacing w:line="500" w:lineRule="exact"/>
        <w:ind w:firstLine="480" w:firstLineChars="200"/>
        <w:rPr>
          <w:rFonts w:ascii="Times New Roman" w:eastAsia="仿宋"/>
        </w:rPr>
      </w:pPr>
      <w:r>
        <w:rPr>
          <w:rFonts w:hint="eastAsia" w:ascii="Times New Roman" w:eastAsia="仿宋"/>
        </w:rPr>
        <w:t>图3.1-6、3</w:t>
      </w:r>
      <w:r>
        <w:rPr>
          <w:rFonts w:ascii="Times New Roman" w:eastAsia="仿宋"/>
        </w:rPr>
        <w:t>.1-7</w:t>
      </w:r>
      <w:r>
        <w:rPr>
          <w:rFonts w:hint="eastAsia" w:ascii="Times New Roman" w:eastAsia="仿宋"/>
        </w:rPr>
        <w:t>：车间平面布置图</w:t>
      </w:r>
    </w:p>
    <w:p w14:paraId="6540A124">
      <w:pPr>
        <w:spacing w:line="500" w:lineRule="exact"/>
        <w:ind w:firstLine="480" w:firstLineChars="200"/>
        <w:rPr>
          <w:rFonts w:ascii="Times New Roman" w:eastAsia="仿宋"/>
        </w:rPr>
      </w:pPr>
      <w:r>
        <w:rPr>
          <w:rFonts w:hint="eastAsia" w:ascii="Times New Roman" w:eastAsia="仿宋"/>
        </w:rPr>
        <w:t>图4.1-1：项目所在地区域水系图（附地表水监测断面）</w:t>
      </w:r>
    </w:p>
    <w:p w14:paraId="5B1DCE93">
      <w:pPr>
        <w:spacing w:line="500" w:lineRule="exact"/>
        <w:ind w:firstLine="480" w:firstLineChars="200"/>
        <w:rPr>
          <w:rFonts w:ascii="Times New Roman" w:eastAsia="仿宋"/>
        </w:rPr>
      </w:pPr>
      <w:r>
        <w:rPr>
          <w:rFonts w:hint="eastAsia" w:ascii="Times New Roman" w:eastAsia="仿宋"/>
        </w:rPr>
        <w:t>图5.3-1：风险评价范围示意图</w:t>
      </w:r>
    </w:p>
    <w:p w14:paraId="2D721A25">
      <w:pPr>
        <w:spacing w:line="500" w:lineRule="exact"/>
        <w:ind w:firstLine="480" w:firstLineChars="200"/>
        <w:rPr>
          <w:rFonts w:ascii="Times New Roman" w:eastAsia="仿宋"/>
        </w:rPr>
      </w:pPr>
      <w:r>
        <w:rPr>
          <w:rFonts w:hint="eastAsia" w:ascii="Times New Roman" w:eastAsia="仿宋"/>
        </w:rPr>
        <w:t>图6.5-1：厂区分区防渗图</w:t>
      </w:r>
    </w:p>
    <w:p w14:paraId="2C43F968">
      <w:pPr>
        <w:spacing w:line="500" w:lineRule="exact"/>
        <w:ind w:firstLine="480" w:firstLineChars="200"/>
        <w:rPr>
          <w:rFonts w:ascii="Times New Roman" w:eastAsia="仿宋"/>
        </w:rPr>
      </w:pPr>
      <w:r>
        <w:rPr>
          <w:rFonts w:hint="eastAsia" w:ascii="Times New Roman" w:eastAsia="仿宋"/>
        </w:rPr>
        <w:t>图6.5-2：应急疏散图</w:t>
      </w:r>
    </w:p>
    <w:p w14:paraId="6749B6DA">
      <w:pPr>
        <w:spacing w:line="300" w:lineRule="exact"/>
        <w:rPr>
          <w:rFonts w:ascii="Times New Roman" w:eastAsia="仿宋"/>
          <w:bCs/>
          <w:caps/>
          <w:highlight w:val="yellow"/>
        </w:rPr>
        <w:sectPr>
          <w:headerReference r:id="rId5" w:type="default"/>
          <w:pgSz w:w="11906" w:h="16838"/>
          <w:pgMar w:top="1440" w:right="1797" w:bottom="1440" w:left="1797" w:header="851" w:footer="992" w:gutter="0"/>
          <w:pgNumType w:fmt="upperRoman" w:start="1"/>
          <w:cols w:space="720" w:num="1"/>
          <w:docGrid w:type="lines" w:linePitch="312" w:charSpace="0"/>
        </w:sectPr>
      </w:pPr>
    </w:p>
    <w:p w14:paraId="1FD83242">
      <w:pPr>
        <w:pStyle w:val="35"/>
        <w:sectPr>
          <w:pgSz w:w="11906" w:h="16838"/>
          <w:pgMar w:top="1440" w:right="1797" w:bottom="1440" w:left="1797" w:header="851" w:footer="992" w:gutter="0"/>
          <w:pgNumType w:fmt="upperRoman" w:start="1"/>
          <w:cols w:space="720" w:num="1"/>
          <w:docGrid w:type="lines" w:linePitch="312" w:charSpace="0"/>
        </w:sectPr>
      </w:pPr>
    </w:p>
    <w:bookmarkEnd w:id="0"/>
    <w:bookmarkEnd w:id="1"/>
    <w:bookmarkEnd w:id="2"/>
    <w:bookmarkEnd w:id="3"/>
    <w:bookmarkEnd w:id="4"/>
    <w:bookmarkEnd w:id="5"/>
    <w:bookmarkEnd w:id="6"/>
    <w:bookmarkEnd w:id="7"/>
    <w:bookmarkEnd w:id="8"/>
    <w:p w14:paraId="35143727">
      <w:pPr>
        <w:pStyle w:val="4"/>
        <w:spacing w:before="0" w:after="0"/>
        <w:rPr>
          <w:rFonts w:eastAsia="仿宋"/>
          <w:sz w:val="36"/>
          <w:szCs w:val="36"/>
        </w:rPr>
      </w:pPr>
      <w:bookmarkStart w:id="9" w:name="_Toc182553794"/>
      <w:r>
        <w:rPr>
          <w:rFonts w:eastAsia="仿宋"/>
          <w:sz w:val="36"/>
          <w:szCs w:val="36"/>
        </w:rPr>
        <w:t>1概述</w:t>
      </w:r>
      <w:bookmarkEnd w:id="9"/>
    </w:p>
    <w:p w14:paraId="484C1E71">
      <w:pPr>
        <w:pStyle w:val="5"/>
        <w:numPr>
          <w:ilvl w:val="0"/>
          <w:numId w:val="0"/>
        </w:numPr>
        <w:spacing w:before="156" w:after="156"/>
        <w:rPr>
          <w:rFonts w:eastAsia="仿宋"/>
          <w:color w:val="auto"/>
        </w:rPr>
      </w:pPr>
      <w:bookmarkStart w:id="10" w:name="_Toc317866775"/>
      <w:bookmarkStart w:id="11" w:name="_Toc182553795"/>
      <w:bookmarkStart w:id="12" w:name="_Toc22899958"/>
      <w:bookmarkStart w:id="13" w:name="_Toc23604716"/>
      <w:bookmarkStart w:id="14" w:name="_Toc23933427"/>
      <w:bookmarkStart w:id="15" w:name="_Toc23673840"/>
      <w:bookmarkStart w:id="16" w:name="_Toc23673994"/>
      <w:bookmarkStart w:id="17" w:name="_Toc23933250"/>
      <w:bookmarkStart w:id="18" w:name="_Toc23933484"/>
      <w:bookmarkStart w:id="19" w:name="_Toc125882607"/>
      <w:bookmarkStart w:id="20" w:name="_Toc23738042"/>
      <w:bookmarkStart w:id="21" w:name="_Toc23604804"/>
      <w:r>
        <w:rPr>
          <w:rFonts w:hint="eastAsia" w:eastAsia="仿宋"/>
          <w:color w:val="auto"/>
        </w:rPr>
        <w:t>1</w:t>
      </w:r>
      <w:r>
        <w:rPr>
          <w:rFonts w:eastAsia="仿宋"/>
          <w:color w:val="auto"/>
        </w:rPr>
        <w:t>.1任务由来</w:t>
      </w:r>
      <w:bookmarkEnd w:id="10"/>
      <w:bookmarkEnd w:id="11"/>
    </w:p>
    <w:bookmarkEnd w:id="12"/>
    <w:bookmarkEnd w:id="13"/>
    <w:bookmarkEnd w:id="14"/>
    <w:bookmarkEnd w:id="15"/>
    <w:bookmarkEnd w:id="16"/>
    <w:bookmarkEnd w:id="17"/>
    <w:bookmarkEnd w:id="18"/>
    <w:bookmarkEnd w:id="19"/>
    <w:bookmarkEnd w:id="20"/>
    <w:bookmarkEnd w:id="21"/>
    <w:p w14:paraId="44AC863F">
      <w:pPr>
        <w:spacing w:line="500" w:lineRule="exact"/>
        <w:ind w:firstLine="560" w:firstLineChars="200"/>
        <w:rPr>
          <w:rFonts w:ascii="Times New Roman" w:eastAsia="仿宋"/>
          <w:bCs/>
          <w:sz w:val="28"/>
          <w:szCs w:val="28"/>
        </w:rPr>
      </w:pPr>
      <w:r>
        <w:rPr>
          <w:rFonts w:ascii="Times New Roman" w:eastAsia="仿宋"/>
          <w:bCs/>
          <w:sz w:val="28"/>
          <w:szCs w:val="28"/>
        </w:rPr>
        <w:t>江苏新莱亿智能科技有限公司成立于2023年5月16日，注册地位于常州市金坛区朱林镇永兴路68号，经营范围包括</w:t>
      </w:r>
      <w:r>
        <w:rPr>
          <w:rFonts w:hint="eastAsia" w:ascii="Times New Roman" w:eastAsia="仿宋"/>
          <w:bCs/>
          <w:sz w:val="28"/>
          <w:szCs w:val="28"/>
        </w:rPr>
        <w:t>机械设备销售，机械设备研发，专用设备制造(不含许可类专业设备制造)，普通机械设备安装服务等</w:t>
      </w:r>
      <w:r>
        <w:rPr>
          <w:rFonts w:ascii="Times New Roman" w:eastAsia="仿宋"/>
          <w:bCs/>
          <w:sz w:val="28"/>
          <w:szCs w:val="28"/>
        </w:rPr>
        <w:t>。</w:t>
      </w:r>
    </w:p>
    <w:p w14:paraId="55895256">
      <w:pPr>
        <w:pStyle w:val="29"/>
        <w:spacing w:line="500" w:lineRule="exact"/>
        <w:ind w:firstLine="560" w:firstLineChars="200"/>
        <w:rPr>
          <w:rFonts w:eastAsia="仿宋"/>
          <w:bCs/>
          <w:sz w:val="28"/>
          <w:szCs w:val="28"/>
        </w:rPr>
      </w:pPr>
      <w:r>
        <w:rPr>
          <w:rFonts w:eastAsia="仿宋"/>
          <w:bCs/>
          <w:sz w:val="28"/>
          <w:szCs w:val="28"/>
        </w:rPr>
        <w:t>为满足市场需求和公司壮大需要，江苏新莱亿智能科技有限公司投资30000万元于上述地址，</w:t>
      </w:r>
      <w:r>
        <w:rPr>
          <w:rFonts w:hint="eastAsia" w:eastAsia="仿宋"/>
          <w:bCs/>
          <w:sz w:val="28"/>
          <w:szCs w:val="28"/>
        </w:rPr>
        <w:t>利用现有厂房16557.02平方米，购置雕刻机、冲床、表面处理线、涂装线等设备进行生产，项目建成后可达到年产新能源汽车铝单板80万平方米的生产能力。</w:t>
      </w:r>
    </w:p>
    <w:p w14:paraId="12E4DF4E">
      <w:pPr>
        <w:pStyle w:val="29"/>
        <w:spacing w:line="500" w:lineRule="exact"/>
        <w:ind w:firstLine="562" w:firstLineChars="200"/>
        <w:rPr>
          <w:rFonts w:eastAsia="仿宋"/>
          <w:b/>
          <w:sz w:val="28"/>
          <w:szCs w:val="28"/>
        </w:rPr>
      </w:pPr>
      <w:r>
        <w:rPr>
          <w:rFonts w:eastAsia="仿宋"/>
          <w:b/>
          <w:sz w:val="28"/>
          <w:szCs w:val="28"/>
        </w:rPr>
        <w:t>本项目地理位置见图1.1-1。</w:t>
      </w:r>
    </w:p>
    <w:p w14:paraId="5EDDDFC0">
      <w:pPr>
        <w:spacing w:line="500" w:lineRule="exact"/>
        <w:ind w:firstLine="560" w:firstLineChars="200"/>
        <w:rPr>
          <w:rFonts w:ascii="Times New Roman" w:eastAsia="仿宋"/>
          <w:sz w:val="28"/>
          <w:szCs w:val="28"/>
        </w:rPr>
      </w:pPr>
      <w:r>
        <w:rPr>
          <w:rFonts w:ascii="Times New Roman" w:eastAsia="仿宋"/>
          <w:sz w:val="28"/>
          <w:szCs w:val="28"/>
        </w:rPr>
        <w:t>根据《中华人民共和国环境保护法》和《建设项目环境保护管理条例》中有关规定，凡从事对环境有影响的建设项目都必须执行环境影响评价制度；按照《建设项目环境影响评价分类管理名录》，本项目属于“三十</w:t>
      </w:r>
      <w:r>
        <w:rPr>
          <w:rFonts w:hint="eastAsia" w:ascii="Times New Roman" w:eastAsia="仿宋"/>
          <w:sz w:val="28"/>
          <w:szCs w:val="28"/>
        </w:rPr>
        <w:t>三</w:t>
      </w:r>
      <w:r>
        <w:rPr>
          <w:rFonts w:ascii="Times New Roman" w:eastAsia="仿宋"/>
          <w:sz w:val="28"/>
          <w:szCs w:val="28"/>
        </w:rPr>
        <w:t>、</w:t>
      </w:r>
      <w:r>
        <w:rPr>
          <w:rFonts w:hint="eastAsia" w:ascii="Times New Roman" w:eastAsia="仿宋"/>
          <w:sz w:val="28"/>
          <w:szCs w:val="28"/>
        </w:rPr>
        <w:t>汽车制造业、71汽车零部件及配件制造</w:t>
      </w:r>
      <w:r>
        <w:rPr>
          <w:rFonts w:ascii="Times New Roman" w:eastAsia="仿宋"/>
          <w:sz w:val="28"/>
          <w:szCs w:val="28"/>
        </w:rPr>
        <w:t>，年用溶剂型涂料（含稀释剂）10吨及以上的”，须编制环境影响报告书。</w:t>
      </w:r>
    </w:p>
    <w:p w14:paraId="085C54CC">
      <w:pPr>
        <w:spacing w:line="500" w:lineRule="exact"/>
        <w:ind w:firstLine="560" w:firstLineChars="200"/>
        <w:contextualSpacing/>
        <w:rPr>
          <w:rFonts w:ascii="Times New Roman" w:eastAsia="仿宋"/>
          <w:spacing w:val="-2"/>
          <w:sz w:val="28"/>
          <w:szCs w:val="28"/>
        </w:rPr>
      </w:pPr>
      <w:r>
        <w:rPr>
          <w:rFonts w:ascii="Times New Roman" w:eastAsia="仿宋"/>
          <w:sz w:val="28"/>
          <w:szCs w:val="28"/>
        </w:rPr>
        <w:t>受</w:t>
      </w:r>
      <w:r>
        <w:rPr>
          <w:rFonts w:ascii="Times New Roman" w:eastAsia="仿宋"/>
          <w:bCs/>
          <w:sz w:val="28"/>
          <w:szCs w:val="28"/>
        </w:rPr>
        <w:t>江苏新莱亿智能科技有限公司</w:t>
      </w:r>
      <w:r>
        <w:rPr>
          <w:rFonts w:ascii="Times New Roman" w:eastAsia="仿宋"/>
          <w:sz w:val="28"/>
          <w:szCs w:val="28"/>
        </w:rPr>
        <w:t>委托，江苏龙环环境科技有限公司（证书编号：国环评证乙字第1910号）承担本项目环境影响报告书的编制工作。在研究有关文件、现场踏勘和调查的基础上，按照《</w:t>
      </w:r>
      <w:r>
        <w:rPr>
          <w:rFonts w:hint="eastAsia" w:ascii="Times New Roman" w:eastAsia="仿宋"/>
          <w:sz w:val="28"/>
          <w:szCs w:val="28"/>
        </w:rPr>
        <w:t xml:space="preserve">建设项目环境影响评价技术导则 </w:t>
      </w:r>
      <w:r>
        <w:rPr>
          <w:rFonts w:ascii="Times New Roman" w:eastAsia="仿宋"/>
          <w:sz w:val="28"/>
          <w:szCs w:val="28"/>
        </w:rPr>
        <w:t>总纲》（HJ2.1-2016）、《环境影响评价技术导则—大气环境》（HJ2.2-2018）《</w:t>
      </w:r>
      <w:r>
        <w:rPr>
          <w:rFonts w:hint="eastAsia" w:ascii="Times New Roman" w:eastAsia="仿宋"/>
          <w:sz w:val="28"/>
          <w:szCs w:val="28"/>
        </w:rPr>
        <w:t xml:space="preserve">环境影响评价技术导则 </w:t>
      </w:r>
      <w:r>
        <w:rPr>
          <w:rFonts w:ascii="Times New Roman" w:eastAsia="仿宋"/>
          <w:sz w:val="28"/>
          <w:szCs w:val="28"/>
        </w:rPr>
        <w:t>地表水环境》（HJ2.3-2018）、《</w:t>
      </w:r>
      <w:r>
        <w:rPr>
          <w:rFonts w:hint="eastAsia" w:ascii="Times New Roman" w:eastAsia="仿宋"/>
          <w:sz w:val="28"/>
          <w:szCs w:val="28"/>
        </w:rPr>
        <w:t xml:space="preserve">环境影响评价技术导则 </w:t>
      </w:r>
      <w:r>
        <w:rPr>
          <w:rFonts w:ascii="Times New Roman" w:eastAsia="仿宋"/>
          <w:sz w:val="28"/>
          <w:szCs w:val="28"/>
        </w:rPr>
        <w:t>声环境》（HJ2.4-2021）、《建设项目环境风险评价技术导则》（HJ169-2018）、《环境影响评价技术导则—生态影响》（HJ19-2022）、《环境影响评价技术导则—地下水环境》（HJ610-2016）、《环境影响评价技术导则 土壤环境》（HJ964-2018）等所规定的原则、方法、内容及要求，编制了《</w:t>
      </w:r>
      <w:r>
        <w:rPr>
          <w:rFonts w:hint="eastAsia" w:ascii="Times New Roman" w:eastAsia="仿宋"/>
          <w:sz w:val="28"/>
          <w:szCs w:val="28"/>
        </w:rPr>
        <w:t>新建年产新能源汽车铝单板80万平方米项目</w:t>
      </w:r>
      <w:r>
        <w:rPr>
          <w:rFonts w:ascii="Times New Roman" w:eastAsia="仿宋"/>
          <w:sz w:val="28"/>
          <w:szCs w:val="28"/>
        </w:rPr>
        <w:t>环境影响报告书》。</w:t>
      </w:r>
    </w:p>
    <w:p w14:paraId="74014370">
      <w:pPr>
        <w:pStyle w:val="5"/>
        <w:numPr>
          <w:ilvl w:val="0"/>
          <w:numId w:val="0"/>
        </w:numPr>
        <w:spacing w:before="156" w:after="156"/>
        <w:rPr>
          <w:rFonts w:eastAsia="仿宋"/>
          <w:color w:val="auto"/>
        </w:rPr>
      </w:pPr>
      <w:bookmarkStart w:id="22" w:name="_Toc182553796"/>
      <w:r>
        <w:rPr>
          <w:rFonts w:hint="eastAsia" w:eastAsia="仿宋"/>
          <w:color w:val="auto"/>
        </w:rPr>
        <w:t>1</w:t>
      </w:r>
      <w:r>
        <w:rPr>
          <w:rFonts w:eastAsia="仿宋"/>
          <w:color w:val="auto"/>
        </w:rPr>
        <w:t>.2建设项目特点</w:t>
      </w:r>
      <w:bookmarkEnd w:id="22"/>
    </w:p>
    <w:p w14:paraId="35A94AFE">
      <w:pPr>
        <w:spacing w:line="500" w:lineRule="exact"/>
        <w:ind w:firstLine="560" w:firstLineChars="200"/>
        <w:contextualSpacing/>
        <w:rPr>
          <w:rFonts w:ascii="Times New Roman" w:eastAsia="仿宋"/>
          <w:sz w:val="28"/>
          <w:szCs w:val="28"/>
        </w:rPr>
      </w:pPr>
      <w:r>
        <w:rPr>
          <w:rFonts w:ascii="Times New Roman" w:eastAsia="仿宋"/>
          <w:sz w:val="28"/>
          <w:szCs w:val="28"/>
        </w:rPr>
        <w:t>本项目为</w:t>
      </w:r>
      <w:r>
        <w:rPr>
          <w:rFonts w:hint="eastAsia" w:ascii="Times New Roman" w:eastAsia="仿宋"/>
          <w:sz w:val="28"/>
          <w:szCs w:val="28"/>
        </w:rPr>
        <w:t>汽车铝制板制造项目</w:t>
      </w:r>
      <w:r>
        <w:rPr>
          <w:rFonts w:ascii="Times New Roman" w:eastAsia="仿宋"/>
          <w:sz w:val="28"/>
          <w:szCs w:val="28"/>
        </w:rPr>
        <w:t>，涉及的工艺主要有</w:t>
      </w:r>
      <w:r>
        <w:rPr>
          <w:rFonts w:hint="eastAsia" w:ascii="Times New Roman" w:eastAsia="仿宋"/>
          <w:sz w:val="28"/>
          <w:szCs w:val="28"/>
        </w:rPr>
        <w:t>机加工、清洗、喷粉、喷漆、固化等</w:t>
      </w:r>
      <w:r>
        <w:rPr>
          <w:rFonts w:ascii="Times New Roman" w:eastAsia="仿宋"/>
          <w:sz w:val="28"/>
          <w:szCs w:val="28"/>
        </w:rPr>
        <w:t>，该工艺技术已相当成熟，生产设备主要采用密闭化生产设备，废气经处理后有组织排放</w:t>
      </w:r>
      <w:r>
        <w:rPr>
          <w:rFonts w:hint="eastAsia" w:ascii="Times New Roman" w:eastAsia="仿宋"/>
          <w:sz w:val="28"/>
          <w:szCs w:val="28"/>
        </w:rPr>
        <w:t>，生产废水均经厂区污水处理站处理后与生活污水一同</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集中处理。一般固废外售综合利用，危险废物委托有资质单位处置，生活垃圾由环卫部门收集。</w:t>
      </w:r>
    </w:p>
    <w:p w14:paraId="761F7E70">
      <w:pPr>
        <w:pStyle w:val="5"/>
        <w:numPr>
          <w:ilvl w:val="0"/>
          <w:numId w:val="0"/>
        </w:numPr>
        <w:spacing w:before="156" w:after="156"/>
        <w:rPr>
          <w:rFonts w:eastAsia="仿宋"/>
          <w:color w:val="auto"/>
        </w:rPr>
      </w:pPr>
      <w:bookmarkStart w:id="23" w:name="_Toc219540325"/>
      <w:bookmarkStart w:id="24" w:name="_Toc228437065"/>
      <w:bookmarkStart w:id="25" w:name="_Toc106608034"/>
      <w:bookmarkStart w:id="26" w:name="_Toc160937748"/>
      <w:bookmarkStart w:id="27" w:name="_Toc182553797"/>
      <w:bookmarkStart w:id="28" w:name="_Toc229900152"/>
      <w:bookmarkStart w:id="29" w:name="_Toc229910510"/>
      <w:bookmarkStart w:id="30" w:name="_Toc157405913"/>
      <w:bookmarkStart w:id="31" w:name="_Toc218996891"/>
      <w:bookmarkStart w:id="32" w:name="_Toc217879278"/>
      <w:bookmarkStart w:id="33" w:name="_Toc218388563"/>
      <w:bookmarkStart w:id="34" w:name="_Toc216670488"/>
      <w:bookmarkStart w:id="35" w:name="_Toc219169901"/>
      <w:bookmarkStart w:id="36" w:name="_Toc217889639"/>
      <w:bookmarkStart w:id="37" w:name="_Toc219541097"/>
      <w:bookmarkStart w:id="38" w:name="_Toc156960242"/>
      <w:bookmarkStart w:id="39" w:name="_Toc218822811"/>
      <w:bookmarkStart w:id="40" w:name="_Toc230013663"/>
      <w:bookmarkStart w:id="41" w:name="_Toc218823701"/>
      <w:bookmarkStart w:id="42" w:name="_Toc217889977"/>
      <w:bookmarkStart w:id="43" w:name="_Toc228754594"/>
      <w:bookmarkStart w:id="44" w:name="_Toc216664825"/>
      <w:bookmarkStart w:id="45" w:name="_Toc217889870"/>
      <w:bookmarkStart w:id="46" w:name="_Toc228779740"/>
      <w:bookmarkStart w:id="47" w:name="_Toc228541022"/>
      <w:r>
        <w:rPr>
          <w:rFonts w:hint="eastAsia" w:eastAsia="仿宋"/>
          <w:color w:val="auto"/>
        </w:rPr>
        <w:t>1</w:t>
      </w:r>
      <w:r>
        <w:rPr>
          <w:rFonts w:eastAsia="仿宋"/>
          <w:color w:val="auto"/>
        </w:rPr>
        <w:t>.3评价工作程序</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F6D812D">
      <w:pPr>
        <w:jc w:val="center"/>
        <w:rPr>
          <w:rFonts w:ascii="Times New Roman" w:eastAsia="仿宋"/>
          <w:b/>
        </w:rPr>
      </w:pPr>
      <w:r>
        <w:rPr>
          <w:rFonts w:ascii="Times New Roman" w:eastAsia="仿宋"/>
          <w:highlight w:val="yellow"/>
        </w:rPr>
        <w:br w:type="page"/>
      </w:r>
      <w:r>
        <w:rPr>
          <w:rFonts w:ascii="Times New Roman" w:eastAsia="仿宋"/>
        </w:rPr>
        <w:object>
          <v:shape id="_x0000_i1025" o:spt="75" type="#_x0000_t75" style="height:569.65pt;width:418.2pt;" o:ole="t" filled="f" o:preferrelative="t" stroked="f" coordsize="21600,21600">
            <v:path/>
            <v:fill on="f" focussize="0,0"/>
            <v:stroke on="f" joinstyle="miter"/>
            <v:imagedata r:id="rId37" o:title=""/>
            <o:lock v:ext="edit" aspectratio="f"/>
            <w10:wrap type="none"/>
            <w10:anchorlock/>
          </v:shape>
          <o:OLEObject Type="Embed" ProgID="Visio.Drawing.11" ShapeID="_x0000_i1025" DrawAspect="Content" ObjectID="_1468075725" r:id="rId36">
            <o:LockedField>false</o:LockedField>
          </o:OLEObject>
        </w:object>
      </w:r>
      <w:r>
        <w:rPr>
          <w:rFonts w:ascii="Times New Roman" w:eastAsia="仿宋"/>
          <w:b/>
        </w:rPr>
        <w:t>图1.3-1 环境影响评价工作程序图</w:t>
      </w:r>
    </w:p>
    <w:p w14:paraId="4061C308">
      <w:pPr>
        <w:widowControl/>
        <w:spacing w:line="500" w:lineRule="exact"/>
        <w:ind w:firstLine="482" w:firstLineChars="200"/>
        <w:jc w:val="center"/>
        <w:rPr>
          <w:rFonts w:ascii="Times New Roman" w:eastAsia="仿宋"/>
          <w:b/>
        </w:rPr>
      </w:pPr>
    </w:p>
    <w:p w14:paraId="4FC8ED4A">
      <w:pPr>
        <w:widowControl/>
        <w:spacing w:line="500" w:lineRule="exact"/>
        <w:ind w:firstLine="560" w:firstLineChars="200"/>
        <w:jc w:val="center"/>
        <w:rPr>
          <w:rFonts w:ascii="Times New Roman" w:eastAsia="仿宋"/>
          <w:sz w:val="28"/>
          <w:szCs w:val="28"/>
        </w:rPr>
      </w:pPr>
    </w:p>
    <w:p w14:paraId="093A31D3">
      <w:pPr>
        <w:pStyle w:val="5"/>
        <w:numPr>
          <w:ilvl w:val="0"/>
          <w:numId w:val="0"/>
        </w:numPr>
        <w:spacing w:before="156" w:after="156"/>
        <w:rPr>
          <w:rFonts w:eastAsia="仿宋"/>
          <w:color w:val="auto"/>
        </w:rPr>
      </w:pPr>
      <w:bookmarkStart w:id="48" w:name="_Toc182553798"/>
      <w:r>
        <w:rPr>
          <w:rFonts w:hint="eastAsia" w:eastAsia="仿宋"/>
          <w:color w:val="auto"/>
        </w:rPr>
        <w:t>1</w:t>
      </w:r>
      <w:r>
        <w:rPr>
          <w:rFonts w:eastAsia="仿宋"/>
          <w:color w:val="auto"/>
        </w:rPr>
        <w:t>.4分析判定相关情况</w:t>
      </w:r>
      <w:bookmarkEnd w:id="48"/>
    </w:p>
    <w:p w14:paraId="0BBACF94">
      <w:pPr>
        <w:pStyle w:val="6"/>
        <w:keepLines w:val="0"/>
        <w:tabs>
          <w:tab w:val="left" w:pos="709"/>
        </w:tabs>
        <w:spacing w:before="156" w:beforeLines="50" w:after="156" w:afterLines="50" w:line="500" w:lineRule="exact"/>
        <w:rPr>
          <w:rFonts w:ascii="Times New Roman" w:eastAsia="仿宋"/>
          <w:sz w:val="28"/>
          <w:szCs w:val="28"/>
        </w:rPr>
      </w:pPr>
      <w:r>
        <w:rPr>
          <w:rFonts w:hint="eastAsia" w:ascii="Times New Roman" w:eastAsia="仿宋"/>
          <w:sz w:val="28"/>
          <w:szCs w:val="28"/>
        </w:rPr>
        <w:t>1</w:t>
      </w:r>
      <w:r>
        <w:rPr>
          <w:rFonts w:ascii="Times New Roman" w:eastAsia="仿宋"/>
          <w:sz w:val="28"/>
          <w:szCs w:val="28"/>
        </w:rPr>
        <w:t>.4.1产业政策和环保政策预判分析</w:t>
      </w:r>
    </w:p>
    <w:p w14:paraId="41F38073">
      <w:pPr>
        <w:spacing w:line="500" w:lineRule="exact"/>
        <w:ind w:firstLine="560" w:firstLineChars="200"/>
        <w:rPr>
          <w:rFonts w:ascii="Times New Roman" w:eastAsia="仿宋"/>
          <w:sz w:val="28"/>
          <w:szCs w:val="28"/>
        </w:rPr>
      </w:pPr>
      <w:r>
        <w:rPr>
          <w:rFonts w:ascii="Times New Roman" w:eastAsia="仿宋"/>
          <w:sz w:val="28"/>
          <w:szCs w:val="28"/>
        </w:rPr>
        <w:t>本项目产业政策和环保政策预判情况见下表。</w:t>
      </w:r>
    </w:p>
    <w:p w14:paraId="6D954F4F">
      <w:pPr>
        <w:spacing w:line="500" w:lineRule="exact"/>
        <w:ind w:firstLine="482" w:firstLineChars="200"/>
        <w:jc w:val="center"/>
        <w:rPr>
          <w:rFonts w:ascii="Times New Roman" w:eastAsia="仿宋"/>
          <w:b/>
        </w:rPr>
      </w:pPr>
      <w:r>
        <w:rPr>
          <w:rFonts w:ascii="Times New Roman" w:eastAsia="仿宋"/>
          <w:b/>
        </w:rPr>
        <w:t>表1.4-1本项目产业政策和环保政策预判情况</w:t>
      </w:r>
    </w:p>
    <w:tbl>
      <w:tblPr>
        <w:tblStyle w:val="87"/>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017"/>
        <w:gridCol w:w="5595"/>
        <w:gridCol w:w="1276"/>
      </w:tblGrid>
      <w:tr w14:paraId="4FFC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14:paraId="612E915D">
            <w:pPr>
              <w:spacing w:line="320" w:lineRule="exact"/>
              <w:jc w:val="center"/>
              <w:rPr>
                <w:rFonts w:ascii="Times New Roman" w:eastAsia="仿宋"/>
              </w:rPr>
            </w:pPr>
            <w:r>
              <w:rPr>
                <w:rFonts w:hint="eastAsia" w:ascii="Times New Roman" w:eastAsia="仿宋"/>
              </w:rPr>
              <w:t>序号</w:t>
            </w:r>
          </w:p>
        </w:tc>
        <w:tc>
          <w:tcPr>
            <w:tcW w:w="1017" w:type="dxa"/>
            <w:tcBorders>
              <w:top w:val="single" w:color="auto" w:sz="4" w:space="0"/>
              <w:left w:val="single" w:color="auto" w:sz="4" w:space="0"/>
              <w:bottom w:val="single" w:color="auto" w:sz="4" w:space="0"/>
              <w:right w:val="single" w:color="auto" w:sz="4" w:space="0"/>
            </w:tcBorders>
            <w:vAlign w:val="center"/>
          </w:tcPr>
          <w:p w14:paraId="75125523">
            <w:pPr>
              <w:spacing w:line="320" w:lineRule="exact"/>
              <w:jc w:val="center"/>
              <w:rPr>
                <w:rFonts w:ascii="Times New Roman" w:eastAsia="仿宋"/>
              </w:rPr>
            </w:pPr>
            <w:r>
              <w:rPr>
                <w:rFonts w:hint="eastAsia" w:ascii="Times New Roman" w:eastAsia="仿宋"/>
              </w:rPr>
              <w:t>判断类型</w:t>
            </w:r>
          </w:p>
        </w:tc>
        <w:tc>
          <w:tcPr>
            <w:tcW w:w="5595" w:type="dxa"/>
            <w:tcBorders>
              <w:top w:val="single" w:color="auto" w:sz="4" w:space="0"/>
              <w:left w:val="single" w:color="auto" w:sz="4" w:space="0"/>
              <w:bottom w:val="single" w:color="auto" w:sz="4" w:space="0"/>
              <w:right w:val="single" w:color="auto" w:sz="4" w:space="0"/>
            </w:tcBorders>
            <w:vAlign w:val="center"/>
          </w:tcPr>
          <w:p w14:paraId="60955F4A">
            <w:pPr>
              <w:spacing w:line="320" w:lineRule="exact"/>
              <w:jc w:val="center"/>
              <w:rPr>
                <w:rFonts w:ascii="Times New Roman" w:eastAsia="仿宋"/>
              </w:rPr>
            </w:pPr>
            <w:r>
              <w:rPr>
                <w:rFonts w:hint="eastAsia" w:ascii="Times New Roman" w:eastAsia="仿宋"/>
              </w:rPr>
              <w:t>对照简析</w:t>
            </w:r>
          </w:p>
        </w:tc>
        <w:tc>
          <w:tcPr>
            <w:tcW w:w="1276" w:type="dxa"/>
            <w:tcBorders>
              <w:top w:val="single" w:color="auto" w:sz="4" w:space="0"/>
              <w:left w:val="single" w:color="auto" w:sz="4" w:space="0"/>
              <w:bottom w:val="single" w:color="auto" w:sz="4" w:space="0"/>
              <w:right w:val="single" w:color="auto" w:sz="4" w:space="0"/>
            </w:tcBorders>
            <w:vAlign w:val="center"/>
          </w:tcPr>
          <w:p w14:paraId="740B693A">
            <w:pPr>
              <w:spacing w:line="320" w:lineRule="exact"/>
              <w:jc w:val="center"/>
              <w:rPr>
                <w:rFonts w:ascii="Times New Roman" w:eastAsia="仿宋"/>
              </w:rPr>
            </w:pPr>
            <w:r>
              <w:rPr>
                <w:rFonts w:hint="eastAsia" w:ascii="Times New Roman" w:eastAsia="仿宋"/>
              </w:rPr>
              <w:t>本项目是否满足要求</w:t>
            </w:r>
          </w:p>
        </w:tc>
      </w:tr>
      <w:tr w14:paraId="467E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restart"/>
            <w:tcBorders>
              <w:top w:val="single" w:color="auto" w:sz="4" w:space="0"/>
              <w:left w:val="single" w:color="auto" w:sz="4" w:space="0"/>
              <w:bottom w:val="single" w:color="auto" w:sz="4" w:space="0"/>
              <w:right w:val="single" w:color="auto" w:sz="4" w:space="0"/>
            </w:tcBorders>
            <w:vAlign w:val="center"/>
          </w:tcPr>
          <w:p w14:paraId="738AB0E3">
            <w:pPr>
              <w:jc w:val="center"/>
              <w:rPr>
                <w:rFonts w:ascii="Times New Roman" w:eastAsia="仿宋"/>
              </w:rPr>
            </w:pPr>
            <w:r>
              <w:rPr>
                <w:rFonts w:ascii="Times New Roman" w:eastAsia="仿宋"/>
              </w:rPr>
              <w:t>1</w:t>
            </w:r>
          </w:p>
        </w:tc>
        <w:tc>
          <w:tcPr>
            <w:tcW w:w="1017" w:type="dxa"/>
            <w:vMerge w:val="restart"/>
            <w:tcBorders>
              <w:top w:val="single" w:color="auto" w:sz="4" w:space="0"/>
              <w:left w:val="single" w:color="auto" w:sz="4" w:space="0"/>
              <w:bottom w:val="single" w:color="auto" w:sz="4" w:space="0"/>
              <w:right w:val="single" w:color="auto" w:sz="4" w:space="0"/>
            </w:tcBorders>
            <w:vAlign w:val="center"/>
          </w:tcPr>
          <w:p w14:paraId="7E851DE6">
            <w:pPr>
              <w:jc w:val="center"/>
              <w:rPr>
                <w:rFonts w:ascii="Times New Roman" w:eastAsia="仿宋"/>
              </w:rPr>
            </w:pPr>
            <w:r>
              <w:rPr>
                <w:rFonts w:hint="eastAsia" w:ascii="Times New Roman" w:eastAsia="仿宋"/>
              </w:rPr>
              <w:t>产业政策</w:t>
            </w:r>
          </w:p>
        </w:tc>
        <w:tc>
          <w:tcPr>
            <w:tcW w:w="5595" w:type="dxa"/>
            <w:tcBorders>
              <w:top w:val="single" w:color="auto" w:sz="4" w:space="0"/>
              <w:left w:val="single" w:color="auto" w:sz="4" w:space="0"/>
              <w:bottom w:val="single" w:color="auto" w:sz="4" w:space="0"/>
              <w:right w:val="single" w:color="auto" w:sz="4" w:space="0"/>
            </w:tcBorders>
            <w:vAlign w:val="center"/>
          </w:tcPr>
          <w:p w14:paraId="72B730AC">
            <w:pPr>
              <w:rPr>
                <w:rFonts w:ascii="Times New Roman" w:eastAsia="仿宋"/>
              </w:rPr>
            </w:pPr>
            <w:r>
              <w:rPr>
                <w:rFonts w:hint="eastAsia" w:ascii="Times New Roman" w:eastAsia="仿宋"/>
              </w:rPr>
              <w:t>本项目已于2024年10月11日获得常州市金坛区发展和改革局出具的江苏省投资项目备案证（备案证号：坛发改备〔</w:t>
            </w:r>
            <w:r>
              <w:rPr>
                <w:rFonts w:ascii="Times New Roman" w:eastAsia="仿宋"/>
              </w:rPr>
              <w:t>202</w:t>
            </w:r>
            <w:r>
              <w:rPr>
                <w:rFonts w:hint="eastAsia" w:ascii="Times New Roman" w:eastAsia="仿宋"/>
              </w:rPr>
              <w:t>4〕481号）。</w:t>
            </w:r>
          </w:p>
        </w:tc>
        <w:tc>
          <w:tcPr>
            <w:tcW w:w="1276" w:type="dxa"/>
            <w:tcBorders>
              <w:top w:val="single" w:color="auto" w:sz="4" w:space="0"/>
              <w:left w:val="single" w:color="auto" w:sz="4" w:space="0"/>
              <w:bottom w:val="single" w:color="auto" w:sz="4" w:space="0"/>
              <w:right w:val="single" w:color="auto" w:sz="4" w:space="0"/>
            </w:tcBorders>
            <w:vAlign w:val="center"/>
          </w:tcPr>
          <w:p w14:paraId="1BC859A5">
            <w:pPr>
              <w:jc w:val="center"/>
              <w:rPr>
                <w:rFonts w:ascii="Times New Roman" w:eastAsia="仿宋"/>
              </w:rPr>
            </w:pPr>
            <w:r>
              <w:rPr>
                <w:rFonts w:hint="eastAsia" w:ascii="Times New Roman" w:eastAsia="仿宋"/>
              </w:rPr>
              <w:t>是</w:t>
            </w:r>
          </w:p>
        </w:tc>
      </w:tr>
      <w:tr w14:paraId="41E1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7166063C">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4FA8E880">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1E6D46A2">
            <w:pPr>
              <w:spacing w:line="320" w:lineRule="exact"/>
              <w:jc w:val="left"/>
              <w:rPr>
                <w:rFonts w:ascii="Times New Roman" w:eastAsia="仿宋"/>
              </w:rPr>
            </w:pPr>
            <w:r>
              <w:rPr>
                <w:rFonts w:hint="eastAsia" w:ascii="Times New Roman" w:eastAsia="仿宋"/>
              </w:rPr>
              <w:t>根据</w:t>
            </w:r>
            <w:r>
              <w:rPr>
                <w:rFonts w:ascii="Times New Roman" w:eastAsia="仿宋"/>
              </w:rPr>
              <w:t>《产业结构调整指导目录（2024年本）》（中华人民共和国国家发展和改革委员会令第7号，2023年12月27日）</w:t>
            </w:r>
            <w:r>
              <w:rPr>
                <w:rFonts w:hint="eastAsia" w:ascii="Times New Roman" w:eastAsia="仿宋"/>
              </w:rPr>
              <w:t>，本项目不属于</w:t>
            </w:r>
            <w:r>
              <w:rPr>
                <w:rFonts w:ascii="Times New Roman" w:eastAsia="仿宋"/>
              </w:rPr>
              <w:t>“</w:t>
            </w:r>
            <w:r>
              <w:rPr>
                <w:rFonts w:hint="eastAsia" w:ascii="Times New Roman" w:eastAsia="仿宋"/>
              </w:rPr>
              <w:t>限制类</w:t>
            </w:r>
            <w:r>
              <w:rPr>
                <w:rFonts w:ascii="Times New Roman" w:eastAsia="仿宋"/>
              </w:rPr>
              <w:t>”</w:t>
            </w:r>
            <w:r>
              <w:rPr>
                <w:rFonts w:hint="eastAsia" w:ascii="Times New Roman" w:eastAsia="仿宋"/>
              </w:rPr>
              <w:t>和</w:t>
            </w:r>
            <w:r>
              <w:rPr>
                <w:rFonts w:ascii="Times New Roman" w:eastAsia="仿宋"/>
              </w:rPr>
              <w:t>“</w:t>
            </w:r>
            <w:r>
              <w:rPr>
                <w:rFonts w:hint="eastAsia" w:ascii="Times New Roman" w:eastAsia="仿宋"/>
              </w:rPr>
              <w:t>淘汰类</w:t>
            </w:r>
            <w:r>
              <w:rPr>
                <w:rFonts w:ascii="Times New Roman" w:eastAsia="仿宋"/>
              </w:rPr>
              <w:t>”</w:t>
            </w:r>
            <w:r>
              <w:rPr>
                <w:rFonts w:hint="eastAsia" w:ascii="Times New Roman" w:eastAsia="仿宋"/>
              </w:rPr>
              <w:t>项目。</w:t>
            </w:r>
          </w:p>
        </w:tc>
        <w:tc>
          <w:tcPr>
            <w:tcW w:w="1276" w:type="dxa"/>
            <w:tcBorders>
              <w:top w:val="single" w:color="auto" w:sz="4" w:space="0"/>
              <w:left w:val="single" w:color="auto" w:sz="4" w:space="0"/>
              <w:bottom w:val="single" w:color="auto" w:sz="4" w:space="0"/>
              <w:right w:val="single" w:color="auto" w:sz="4" w:space="0"/>
            </w:tcBorders>
            <w:vAlign w:val="center"/>
          </w:tcPr>
          <w:p w14:paraId="4FF56F36">
            <w:pPr>
              <w:spacing w:line="320" w:lineRule="exact"/>
              <w:jc w:val="center"/>
              <w:rPr>
                <w:rFonts w:ascii="Times New Roman" w:eastAsia="仿宋"/>
              </w:rPr>
            </w:pPr>
            <w:r>
              <w:rPr>
                <w:rFonts w:hint="eastAsia" w:ascii="Times New Roman" w:eastAsia="仿宋"/>
              </w:rPr>
              <w:t>是</w:t>
            </w:r>
          </w:p>
        </w:tc>
      </w:tr>
      <w:tr w14:paraId="289A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4A4BD35D">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584499DA">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51271930">
            <w:pPr>
              <w:spacing w:line="320" w:lineRule="exact"/>
              <w:jc w:val="left"/>
              <w:rPr>
                <w:rFonts w:ascii="Times New Roman" w:eastAsia="仿宋"/>
              </w:rPr>
            </w:pPr>
            <w:r>
              <w:rPr>
                <w:rFonts w:hint="eastAsia" w:ascii="Times New Roman" w:eastAsia="仿宋"/>
              </w:rPr>
              <w:t>本项目不属于《江苏省工业和信息产业结构调整指导目录（</w:t>
            </w:r>
            <w:r>
              <w:rPr>
                <w:rFonts w:ascii="Times New Roman" w:eastAsia="仿宋"/>
              </w:rPr>
              <w:t>2012</w:t>
            </w:r>
            <w:r>
              <w:rPr>
                <w:rFonts w:hint="eastAsia" w:ascii="Times New Roman" w:eastAsia="仿宋"/>
              </w:rPr>
              <w:t>年本）》（苏政办发</w:t>
            </w:r>
            <w:r>
              <w:rPr>
                <w:rFonts w:ascii="Times New Roman" w:eastAsia="仿宋"/>
              </w:rPr>
              <w:t>[2013]9</w:t>
            </w:r>
            <w:r>
              <w:rPr>
                <w:rFonts w:hint="eastAsia" w:ascii="Times New Roman" w:eastAsia="仿宋"/>
              </w:rPr>
              <w:t>号）和《关于修改</w:t>
            </w:r>
            <w:r>
              <w:rPr>
                <w:rFonts w:ascii="Times New Roman" w:eastAsia="仿宋"/>
              </w:rPr>
              <w:t>&lt;</w:t>
            </w:r>
            <w:r>
              <w:rPr>
                <w:rFonts w:hint="eastAsia" w:ascii="Times New Roman" w:eastAsia="仿宋"/>
              </w:rPr>
              <w:t>江苏省工业和信息产业结构调整指导目录（</w:t>
            </w:r>
            <w:r>
              <w:rPr>
                <w:rFonts w:ascii="Times New Roman" w:eastAsia="仿宋"/>
              </w:rPr>
              <w:t>2012</w:t>
            </w:r>
            <w:r>
              <w:rPr>
                <w:rFonts w:hint="eastAsia" w:ascii="Times New Roman" w:eastAsia="仿宋"/>
              </w:rPr>
              <w:t>年本）</w:t>
            </w:r>
            <w:r>
              <w:rPr>
                <w:rFonts w:ascii="Times New Roman" w:eastAsia="仿宋"/>
              </w:rPr>
              <w:t>&gt;</w:t>
            </w:r>
            <w:r>
              <w:rPr>
                <w:rFonts w:hint="eastAsia" w:ascii="Times New Roman" w:eastAsia="仿宋"/>
              </w:rPr>
              <w:t>部分条目的通知》（苏经信产业</w:t>
            </w:r>
            <w:r>
              <w:rPr>
                <w:rFonts w:ascii="Times New Roman" w:eastAsia="仿宋"/>
              </w:rPr>
              <w:t>[2013]183</w:t>
            </w:r>
            <w:r>
              <w:rPr>
                <w:rFonts w:hint="eastAsia" w:ascii="Times New Roman" w:eastAsia="仿宋"/>
              </w:rPr>
              <w:t>号）中的限制类和淘汰类。</w:t>
            </w:r>
          </w:p>
        </w:tc>
        <w:tc>
          <w:tcPr>
            <w:tcW w:w="1276" w:type="dxa"/>
            <w:tcBorders>
              <w:top w:val="single" w:color="auto" w:sz="4" w:space="0"/>
              <w:left w:val="single" w:color="auto" w:sz="4" w:space="0"/>
              <w:bottom w:val="single" w:color="auto" w:sz="4" w:space="0"/>
              <w:right w:val="single" w:color="auto" w:sz="4" w:space="0"/>
            </w:tcBorders>
            <w:vAlign w:val="center"/>
          </w:tcPr>
          <w:p w14:paraId="08468301">
            <w:pPr>
              <w:spacing w:line="240" w:lineRule="exact"/>
              <w:jc w:val="center"/>
              <w:rPr>
                <w:rFonts w:ascii="Times New Roman" w:eastAsia="仿宋"/>
              </w:rPr>
            </w:pPr>
            <w:r>
              <w:rPr>
                <w:rFonts w:hint="eastAsia" w:ascii="Times New Roman" w:eastAsia="仿宋"/>
              </w:rPr>
              <w:t>是</w:t>
            </w:r>
          </w:p>
        </w:tc>
      </w:tr>
      <w:tr w14:paraId="668B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4968A9F3">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6946A040">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04B92FF4">
            <w:pPr>
              <w:spacing w:line="320" w:lineRule="exact"/>
              <w:jc w:val="left"/>
              <w:rPr>
                <w:rFonts w:ascii="Times New Roman" w:eastAsia="仿宋"/>
              </w:rPr>
            </w:pPr>
            <w:r>
              <w:rPr>
                <w:rFonts w:hint="eastAsia" w:ascii="Times New Roman" w:eastAsia="仿宋"/>
              </w:rPr>
              <w:t>本项目不属于《省经济和信息化委省发展和改革委江苏省工业和信息产业结构调整限制淘汰目录和能耗限额的通知》（苏政办发〔</w:t>
            </w:r>
            <w:r>
              <w:rPr>
                <w:rFonts w:ascii="Times New Roman" w:eastAsia="仿宋"/>
              </w:rPr>
              <w:t>2015</w:t>
            </w:r>
            <w:r>
              <w:rPr>
                <w:rFonts w:hint="eastAsia" w:ascii="Times New Roman" w:eastAsia="仿宋"/>
              </w:rPr>
              <w:t>〕</w:t>
            </w:r>
            <w:r>
              <w:rPr>
                <w:rFonts w:ascii="Times New Roman" w:eastAsia="仿宋"/>
              </w:rPr>
              <w:t>118</w:t>
            </w:r>
            <w:r>
              <w:rPr>
                <w:rFonts w:hint="eastAsia" w:ascii="Times New Roman" w:eastAsia="仿宋"/>
              </w:rPr>
              <w:t>号）中限制类目录中的项目，不涉及淘汰类目录中的落后工艺装备和产品。</w:t>
            </w:r>
          </w:p>
        </w:tc>
        <w:tc>
          <w:tcPr>
            <w:tcW w:w="1276" w:type="dxa"/>
            <w:tcBorders>
              <w:top w:val="single" w:color="auto" w:sz="4" w:space="0"/>
              <w:left w:val="single" w:color="auto" w:sz="4" w:space="0"/>
              <w:bottom w:val="single" w:color="auto" w:sz="4" w:space="0"/>
              <w:right w:val="single" w:color="auto" w:sz="4" w:space="0"/>
            </w:tcBorders>
            <w:vAlign w:val="center"/>
          </w:tcPr>
          <w:p w14:paraId="6338DDC7">
            <w:pPr>
              <w:spacing w:line="320" w:lineRule="exact"/>
              <w:jc w:val="center"/>
              <w:rPr>
                <w:rFonts w:ascii="Times New Roman" w:eastAsia="仿宋"/>
              </w:rPr>
            </w:pPr>
            <w:r>
              <w:rPr>
                <w:rFonts w:hint="eastAsia" w:ascii="Times New Roman" w:eastAsia="仿宋"/>
              </w:rPr>
              <w:t>是</w:t>
            </w:r>
          </w:p>
        </w:tc>
      </w:tr>
      <w:tr w14:paraId="658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5E2AEC1E">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5E87A5A5">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3750FB90">
            <w:pPr>
              <w:spacing w:line="320" w:lineRule="exact"/>
              <w:jc w:val="left"/>
              <w:rPr>
                <w:rFonts w:ascii="Times New Roman" w:eastAsia="仿宋"/>
              </w:rPr>
            </w:pPr>
            <w:r>
              <w:rPr>
                <w:rFonts w:hint="eastAsia" w:ascii="Times New Roman" w:eastAsia="仿宋"/>
              </w:rPr>
              <w:t>本项目不属于《江苏省限制用地项目目录</w:t>
            </w:r>
            <w:r>
              <w:rPr>
                <w:rFonts w:ascii="Times New Roman" w:eastAsia="仿宋"/>
              </w:rPr>
              <w:t>(2013</w:t>
            </w:r>
            <w:r>
              <w:rPr>
                <w:rFonts w:hint="eastAsia" w:ascii="Times New Roman" w:eastAsia="仿宋"/>
              </w:rPr>
              <w:t>年本</w:t>
            </w:r>
            <w:r>
              <w:rPr>
                <w:rFonts w:ascii="Times New Roman" w:eastAsia="仿宋"/>
              </w:rPr>
              <w:t>)</w:t>
            </w:r>
            <w:r>
              <w:rPr>
                <w:rFonts w:hint="eastAsia" w:ascii="Times New Roman" w:eastAsia="仿宋"/>
              </w:rPr>
              <w:t>》和《江苏省禁止用地项目目录</w:t>
            </w:r>
            <w:r>
              <w:rPr>
                <w:rFonts w:ascii="Times New Roman" w:eastAsia="仿宋"/>
              </w:rPr>
              <w:t>(2013</w:t>
            </w:r>
            <w:r>
              <w:rPr>
                <w:rFonts w:hint="eastAsia" w:ascii="Times New Roman" w:eastAsia="仿宋"/>
              </w:rPr>
              <w:t>年本</w:t>
            </w:r>
            <w:r>
              <w:rPr>
                <w:rFonts w:ascii="Times New Roman" w:eastAsia="仿宋"/>
              </w:rPr>
              <w:t>)</w:t>
            </w:r>
            <w:r>
              <w:rPr>
                <w:rFonts w:hint="eastAsia" w:ascii="Times New Roman" w:eastAsia="仿宋"/>
              </w:rPr>
              <w:t>》中的限制类及禁止类项目。</w:t>
            </w:r>
          </w:p>
        </w:tc>
        <w:tc>
          <w:tcPr>
            <w:tcW w:w="1276" w:type="dxa"/>
            <w:tcBorders>
              <w:top w:val="single" w:color="auto" w:sz="4" w:space="0"/>
              <w:left w:val="single" w:color="auto" w:sz="4" w:space="0"/>
              <w:bottom w:val="single" w:color="auto" w:sz="4" w:space="0"/>
              <w:right w:val="single" w:color="auto" w:sz="4" w:space="0"/>
            </w:tcBorders>
            <w:vAlign w:val="center"/>
          </w:tcPr>
          <w:p w14:paraId="58F0EF7D">
            <w:pPr>
              <w:spacing w:line="320" w:lineRule="exact"/>
              <w:jc w:val="center"/>
              <w:rPr>
                <w:rFonts w:ascii="Times New Roman" w:eastAsia="仿宋"/>
              </w:rPr>
            </w:pPr>
            <w:r>
              <w:rPr>
                <w:rFonts w:hint="eastAsia" w:ascii="Times New Roman" w:eastAsia="仿宋"/>
              </w:rPr>
              <w:t>是</w:t>
            </w:r>
          </w:p>
        </w:tc>
      </w:tr>
      <w:tr w14:paraId="1F31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53603993">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223C3D14">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2BF5AE74">
            <w:pPr>
              <w:spacing w:line="320" w:lineRule="exact"/>
              <w:jc w:val="left"/>
              <w:rPr>
                <w:rFonts w:ascii="Times New Roman" w:eastAsia="仿宋"/>
              </w:rPr>
            </w:pPr>
            <w:r>
              <w:rPr>
                <w:rFonts w:hint="eastAsia" w:ascii="Times New Roman" w:eastAsia="仿宋"/>
              </w:rPr>
              <w:t>经查《市场准入负面清单（</w:t>
            </w:r>
            <w:r>
              <w:rPr>
                <w:rFonts w:ascii="Times New Roman" w:eastAsia="仿宋"/>
              </w:rPr>
              <w:t>2022</w:t>
            </w:r>
            <w:r>
              <w:rPr>
                <w:rFonts w:hint="eastAsia" w:ascii="Times New Roman" w:eastAsia="仿宋"/>
              </w:rPr>
              <w:t>年版）》（发改体改规</w:t>
            </w:r>
            <w:r>
              <w:rPr>
                <w:rFonts w:ascii="Times New Roman" w:eastAsia="仿宋"/>
              </w:rPr>
              <w:t>[2022]397</w:t>
            </w:r>
            <w:r>
              <w:rPr>
                <w:rFonts w:hint="eastAsia" w:ascii="Times New Roman" w:eastAsia="仿宋"/>
              </w:rPr>
              <w:t>号），本项目不在其禁止准入类和限制准入类中。</w:t>
            </w:r>
          </w:p>
        </w:tc>
        <w:tc>
          <w:tcPr>
            <w:tcW w:w="1276" w:type="dxa"/>
            <w:tcBorders>
              <w:top w:val="single" w:color="auto" w:sz="4" w:space="0"/>
              <w:left w:val="single" w:color="auto" w:sz="4" w:space="0"/>
              <w:bottom w:val="single" w:color="auto" w:sz="4" w:space="0"/>
              <w:right w:val="single" w:color="auto" w:sz="4" w:space="0"/>
            </w:tcBorders>
            <w:vAlign w:val="center"/>
          </w:tcPr>
          <w:p w14:paraId="66A5C1BA">
            <w:pPr>
              <w:spacing w:line="320" w:lineRule="exact"/>
              <w:jc w:val="center"/>
              <w:rPr>
                <w:rFonts w:ascii="Times New Roman" w:eastAsia="仿宋"/>
              </w:rPr>
            </w:pPr>
            <w:r>
              <w:rPr>
                <w:rFonts w:hint="eastAsia" w:ascii="Times New Roman" w:eastAsia="仿宋"/>
              </w:rPr>
              <w:t>是</w:t>
            </w:r>
          </w:p>
        </w:tc>
      </w:tr>
      <w:tr w14:paraId="7199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2F76D2ED">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7AB7A558">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5BB7E689">
            <w:pPr>
              <w:spacing w:line="320" w:lineRule="exact"/>
              <w:jc w:val="left"/>
              <w:rPr>
                <w:rFonts w:ascii="Times New Roman" w:eastAsia="仿宋"/>
              </w:rPr>
            </w:pPr>
            <w:r>
              <w:rPr>
                <w:rFonts w:hint="eastAsia" w:ascii="Times New Roman" w:eastAsia="仿宋"/>
              </w:rPr>
              <w:t>本项目不属于《长江经济带发展负面清单指南》（试行，</w:t>
            </w:r>
            <w:r>
              <w:rPr>
                <w:rFonts w:ascii="Times New Roman" w:eastAsia="仿宋"/>
              </w:rPr>
              <w:t>2022</w:t>
            </w:r>
            <w:r>
              <w:rPr>
                <w:rFonts w:hint="eastAsia" w:ascii="Times New Roman" w:eastAsia="仿宋"/>
              </w:rPr>
              <w:t>年版）的通知》（长江办〔</w:t>
            </w:r>
            <w:r>
              <w:rPr>
                <w:rFonts w:ascii="Times New Roman" w:eastAsia="仿宋"/>
              </w:rPr>
              <w:t>2022</w:t>
            </w:r>
            <w:r>
              <w:rPr>
                <w:rFonts w:hint="eastAsia" w:ascii="Times New Roman" w:eastAsia="仿宋"/>
              </w:rPr>
              <w:t>〕</w:t>
            </w:r>
            <w:r>
              <w:rPr>
                <w:rFonts w:ascii="Times New Roman" w:eastAsia="仿宋"/>
              </w:rPr>
              <w:t>7</w:t>
            </w:r>
            <w:r>
              <w:rPr>
                <w:rFonts w:hint="eastAsia" w:ascii="Times New Roman" w:eastAsia="仿宋"/>
              </w:rPr>
              <w:t>号）中的禁止类项目。</w:t>
            </w:r>
          </w:p>
        </w:tc>
        <w:tc>
          <w:tcPr>
            <w:tcW w:w="1276" w:type="dxa"/>
            <w:tcBorders>
              <w:top w:val="single" w:color="auto" w:sz="4" w:space="0"/>
              <w:left w:val="single" w:color="auto" w:sz="4" w:space="0"/>
              <w:bottom w:val="single" w:color="auto" w:sz="4" w:space="0"/>
              <w:right w:val="single" w:color="auto" w:sz="4" w:space="0"/>
            </w:tcBorders>
            <w:vAlign w:val="center"/>
          </w:tcPr>
          <w:p w14:paraId="0A4EFBE8">
            <w:pPr>
              <w:spacing w:line="320" w:lineRule="exact"/>
              <w:jc w:val="center"/>
              <w:rPr>
                <w:rFonts w:ascii="Times New Roman" w:eastAsia="仿宋"/>
              </w:rPr>
            </w:pPr>
            <w:r>
              <w:rPr>
                <w:rFonts w:hint="eastAsia" w:ascii="Times New Roman" w:eastAsia="仿宋"/>
              </w:rPr>
              <w:t>是</w:t>
            </w:r>
          </w:p>
        </w:tc>
      </w:tr>
      <w:tr w14:paraId="4D98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70EDB6FB">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7D6458A4">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742B27E8">
            <w:pPr>
              <w:jc w:val="left"/>
              <w:rPr>
                <w:rFonts w:ascii="Times New Roman" w:eastAsia="仿宋"/>
              </w:rPr>
            </w:pPr>
            <w:r>
              <w:rPr>
                <w:rFonts w:hint="eastAsia" w:ascii="Times New Roman" w:eastAsia="仿宋"/>
              </w:rPr>
              <w:t>本项目行业类别为“</w:t>
            </w:r>
            <w:r>
              <w:rPr>
                <w:rFonts w:hint="eastAsia" w:ascii="Times New Roman" w:eastAsia="仿宋"/>
                <w:szCs w:val="21"/>
              </w:rPr>
              <w:t>C3670 汽车零部件及其配件制造”</w:t>
            </w:r>
            <w:r>
              <w:rPr>
                <w:rFonts w:hint="eastAsia" w:ascii="Times New Roman" w:eastAsia="仿宋"/>
              </w:rPr>
              <w:t>不属于《江苏省两高项目管理目录（2024年版）》（苏发改规发[2024]4号）中的“两高”项目。</w:t>
            </w:r>
          </w:p>
        </w:tc>
        <w:tc>
          <w:tcPr>
            <w:tcW w:w="1276" w:type="dxa"/>
            <w:tcBorders>
              <w:top w:val="single" w:color="auto" w:sz="4" w:space="0"/>
              <w:left w:val="single" w:color="auto" w:sz="4" w:space="0"/>
              <w:bottom w:val="single" w:color="auto" w:sz="4" w:space="0"/>
              <w:right w:val="single" w:color="auto" w:sz="4" w:space="0"/>
            </w:tcBorders>
            <w:vAlign w:val="center"/>
          </w:tcPr>
          <w:p w14:paraId="0D89E415">
            <w:pPr>
              <w:spacing w:line="320" w:lineRule="exact"/>
              <w:jc w:val="center"/>
              <w:rPr>
                <w:rFonts w:ascii="Times New Roman" w:eastAsia="仿宋"/>
              </w:rPr>
            </w:pPr>
            <w:r>
              <w:rPr>
                <w:rFonts w:hint="eastAsia" w:ascii="Times New Roman" w:eastAsia="仿宋"/>
              </w:rPr>
              <w:t>是</w:t>
            </w:r>
          </w:p>
        </w:tc>
      </w:tr>
      <w:tr w14:paraId="149D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top w:val="single" w:color="auto" w:sz="4" w:space="0"/>
              <w:left w:val="single" w:color="auto" w:sz="4" w:space="0"/>
              <w:bottom w:val="single" w:color="auto" w:sz="4" w:space="0"/>
              <w:right w:val="single" w:color="auto" w:sz="4" w:space="0"/>
            </w:tcBorders>
            <w:vAlign w:val="center"/>
          </w:tcPr>
          <w:p w14:paraId="6F7F4B2F">
            <w:pPr>
              <w:jc w:val="center"/>
              <w:rPr>
                <w:rFonts w:ascii="Times New Roman" w:eastAsia="仿宋"/>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14:paraId="28D973A9">
            <w:pPr>
              <w:jc w:val="cente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6159B832">
            <w:pPr>
              <w:jc w:val="left"/>
              <w:rPr>
                <w:rFonts w:ascii="Times New Roman" w:eastAsia="仿宋"/>
              </w:rPr>
            </w:pPr>
            <w:r>
              <w:rPr>
                <w:rFonts w:hint="eastAsia" w:ascii="Times New Roman" w:eastAsia="仿宋"/>
              </w:rPr>
              <w:t>本项目不属于《关于印发〈长江经济带发展负面清单指南（试行，2022年版）〉江苏省实施细则的通知》（苏长江办发〔2022〕55号）中的禁止类项目。</w:t>
            </w:r>
          </w:p>
        </w:tc>
        <w:tc>
          <w:tcPr>
            <w:tcW w:w="1276" w:type="dxa"/>
            <w:tcBorders>
              <w:top w:val="single" w:color="auto" w:sz="4" w:space="0"/>
              <w:left w:val="single" w:color="auto" w:sz="4" w:space="0"/>
              <w:bottom w:val="single" w:color="auto" w:sz="4" w:space="0"/>
              <w:right w:val="single" w:color="auto" w:sz="4" w:space="0"/>
            </w:tcBorders>
            <w:vAlign w:val="center"/>
          </w:tcPr>
          <w:p w14:paraId="54131621">
            <w:pPr>
              <w:spacing w:line="320" w:lineRule="exact"/>
              <w:jc w:val="center"/>
              <w:rPr>
                <w:rFonts w:ascii="Times New Roman" w:eastAsia="仿宋"/>
              </w:rPr>
            </w:pPr>
            <w:r>
              <w:rPr>
                <w:rFonts w:hint="eastAsia" w:ascii="Times New Roman" w:eastAsia="仿宋"/>
              </w:rPr>
              <w:t>是</w:t>
            </w:r>
          </w:p>
        </w:tc>
      </w:tr>
      <w:tr w14:paraId="06E3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restart"/>
            <w:tcBorders>
              <w:top w:val="single" w:color="auto" w:sz="4" w:space="0"/>
              <w:left w:val="single" w:color="auto" w:sz="4" w:space="0"/>
              <w:right w:val="single" w:color="auto" w:sz="4" w:space="0"/>
            </w:tcBorders>
            <w:vAlign w:val="center"/>
          </w:tcPr>
          <w:p w14:paraId="56007E8C">
            <w:pPr>
              <w:jc w:val="center"/>
              <w:rPr>
                <w:rFonts w:ascii="Times New Roman" w:eastAsia="仿宋"/>
              </w:rPr>
            </w:pPr>
            <w:r>
              <w:rPr>
                <w:rFonts w:ascii="Times New Roman" w:eastAsia="仿宋"/>
              </w:rPr>
              <w:t>2</w:t>
            </w:r>
          </w:p>
        </w:tc>
        <w:tc>
          <w:tcPr>
            <w:tcW w:w="1017" w:type="dxa"/>
            <w:vMerge w:val="restart"/>
            <w:tcBorders>
              <w:top w:val="single" w:color="auto" w:sz="4" w:space="0"/>
              <w:left w:val="single" w:color="auto" w:sz="4" w:space="0"/>
              <w:right w:val="single" w:color="auto" w:sz="4" w:space="0"/>
            </w:tcBorders>
            <w:vAlign w:val="center"/>
          </w:tcPr>
          <w:p w14:paraId="46318535">
            <w:pPr>
              <w:jc w:val="center"/>
              <w:rPr>
                <w:rFonts w:ascii="Times New Roman" w:eastAsia="仿宋"/>
              </w:rPr>
            </w:pPr>
            <w:r>
              <w:rPr>
                <w:rFonts w:hint="eastAsia" w:ascii="Times New Roman" w:eastAsia="仿宋"/>
              </w:rPr>
              <w:t>环保政策</w:t>
            </w:r>
          </w:p>
        </w:tc>
        <w:tc>
          <w:tcPr>
            <w:tcW w:w="5595" w:type="dxa"/>
            <w:tcBorders>
              <w:top w:val="single" w:color="auto" w:sz="4" w:space="0"/>
              <w:left w:val="single" w:color="auto" w:sz="4" w:space="0"/>
              <w:bottom w:val="single" w:color="auto" w:sz="4" w:space="0"/>
              <w:right w:val="single" w:color="auto" w:sz="4" w:space="0"/>
            </w:tcBorders>
            <w:vAlign w:val="center"/>
          </w:tcPr>
          <w:p w14:paraId="64831BFA">
            <w:pPr>
              <w:jc w:val="left"/>
              <w:rPr>
                <w:rFonts w:ascii="Times New Roman" w:eastAsia="仿宋"/>
              </w:rPr>
            </w:pPr>
            <w:r>
              <w:rPr>
                <w:rFonts w:hint="eastAsia" w:ascii="Times New Roman" w:eastAsia="仿宋"/>
              </w:rPr>
              <w:t>根据《太湖流域管理条例》(中华人民共和国国务院令第604号)，第二十九条：新孟河、望虞河以外的其他主要入太湖河道，自河口1万米上溯至5万米河道岸线内及其岸线两侧各1000米范围内，禁止下列行为：①新建、扩建化工、医药生产项目；②新建、扩建污水集中处理设施排污口以外的排污口；③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①设置剧毒物质、危险化学品的贮存、输送设施和废物回收场、垃圾场；②设置水上餐饮经营设施；③新建、扩建高尔夫球场；④新建、扩建畜禽养殖场；⑤新建、扩建向水体排放污染物的建设项目；⑥本条例第二十九条规定的行为。</w:t>
            </w:r>
          </w:p>
          <w:p w14:paraId="48EE4912">
            <w:pPr>
              <w:jc w:val="left"/>
              <w:rPr>
                <w:rFonts w:ascii="Times New Roman" w:eastAsia="仿宋"/>
              </w:rPr>
            </w:pPr>
            <w:r>
              <w:rPr>
                <w:rFonts w:hint="eastAsia" w:ascii="Times New Roman" w:eastAsia="仿宋"/>
              </w:rPr>
              <w:t>对照分析：本项目位于常州市金坛区朱林镇永兴路68号，不排放含氮磷的生产废水，均不在该条例第二十九条、第三十条规定的禁止建设范围内。因此本项目符合《太湖流域管理条例》（中华人民共和国国务院令第604号）相关规定。</w:t>
            </w:r>
          </w:p>
        </w:tc>
        <w:tc>
          <w:tcPr>
            <w:tcW w:w="1276" w:type="dxa"/>
            <w:tcBorders>
              <w:top w:val="single" w:color="auto" w:sz="4" w:space="0"/>
              <w:left w:val="single" w:color="auto" w:sz="4" w:space="0"/>
              <w:bottom w:val="single" w:color="auto" w:sz="4" w:space="0"/>
              <w:right w:val="single" w:color="auto" w:sz="4" w:space="0"/>
            </w:tcBorders>
            <w:vAlign w:val="center"/>
          </w:tcPr>
          <w:p w14:paraId="5452F3B4">
            <w:pPr>
              <w:jc w:val="center"/>
              <w:rPr>
                <w:rFonts w:ascii="Times New Roman" w:eastAsia="仿宋"/>
              </w:rPr>
            </w:pPr>
            <w:r>
              <w:rPr>
                <w:rFonts w:hint="eastAsia" w:ascii="Times New Roman" w:eastAsia="仿宋"/>
              </w:rPr>
              <w:t>是</w:t>
            </w:r>
          </w:p>
        </w:tc>
      </w:tr>
      <w:tr w14:paraId="5390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left w:val="single" w:color="auto" w:sz="4" w:space="0"/>
              <w:right w:val="single" w:color="auto" w:sz="4" w:space="0"/>
            </w:tcBorders>
            <w:vAlign w:val="center"/>
          </w:tcPr>
          <w:p w14:paraId="06135B16">
            <w:pPr>
              <w:rPr>
                <w:rFonts w:ascii="Times New Roman" w:eastAsia="仿宋"/>
              </w:rPr>
            </w:pPr>
          </w:p>
        </w:tc>
        <w:tc>
          <w:tcPr>
            <w:tcW w:w="1017" w:type="dxa"/>
            <w:vMerge w:val="continue"/>
            <w:tcBorders>
              <w:left w:val="single" w:color="auto" w:sz="4" w:space="0"/>
              <w:right w:val="single" w:color="auto" w:sz="4" w:space="0"/>
            </w:tcBorders>
            <w:vAlign w:val="center"/>
          </w:tcPr>
          <w:p w14:paraId="4B0593B0">
            <w:pP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0E819A79">
            <w:pPr>
              <w:jc w:val="left"/>
              <w:rPr>
                <w:rFonts w:ascii="Times New Roman" w:eastAsia="仿宋"/>
              </w:rPr>
            </w:pPr>
            <w:r>
              <w:rPr>
                <w:rFonts w:hint="eastAsia" w:ascii="Times New Roman" w:eastAsia="仿宋"/>
              </w:rPr>
              <w:t>根据《江苏省太湖水污染防治条例》规定，在太湖流域一、二、三级保护区内禁止新建、改建、扩建化学制浆造纸、制革、酿造、染料、印染、电镀以及其他排放含磷、氮等污染物的企业和项目。本项目位于太湖流域三级保护区内，不排放含氮、磷的生产废水，符合《江苏省太湖水污染防治条例》的有关规定。</w:t>
            </w:r>
          </w:p>
        </w:tc>
        <w:tc>
          <w:tcPr>
            <w:tcW w:w="1276" w:type="dxa"/>
            <w:tcBorders>
              <w:top w:val="single" w:color="auto" w:sz="4" w:space="0"/>
              <w:left w:val="single" w:color="auto" w:sz="4" w:space="0"/>
              <w:bottom w:val="single" w:color="auto" w:sz="4" w:space="0"/>
              <w:right w:val="single" w:color="auto" w:sz="4" w:space="0"/>
            </w:tcBorders>
            <w:vAlign w:val="center"/>
          </w:tcPr>
          <w:p w14:paraId="74A7B2EA">
            <w:pPr>
              <w:jc w:val="center"/>
              <w:rPr>
                <w:rFonts w:ascii="Times New Roman" w:eastAsia="仿宋"/>
              </w:rPr>
            </w:pPr>
            <w:r>
              <w:rPr>
                <w:rFonts w:hint="eastAsia" w:ascii="Times New Roman" w:eastAsia="仿宋"/>
              </w:rPr>
              <w:t>是</w:t>
            </w:r>
          </w:p>
        </w:tc>
      </w:tr>
      <w:tr w14:paraId="2157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left w:val="single" w:color="auto" w:sz="4" w:space="0"/>
              <w:right w:val="single" w:color="auto" w:sz="4" w:space="0"/>
            </w:tcBorders>
            <w:vAlign w:val="center"/>
          </w:tcPr>
          <w:p w14:paraId="6FCE54D7">
            <w:pPr>
              <w:rPr>
                <w:rFonts w:ascii="Times New Roman" w:eastAsia="仿宋"/>
              </w:rPr>
            </w:pPr>
          </w:p>
        </w:tc>
        <w:tc>
          <w:tcPr>
            <w:tcW w:w="1017" w:type="dxa"/>
            <w:vMerge w:val="continue"/>
            <w:tcBorders>
              <w:left w:val="single" w:color="auto" w:sz="4" w:space="0"/>
              <w:right w:val="single" w:color="auto" w:sz="4" w:space="0"/>
            </w:tcBorders>
            <w:vAlign w:val="center"/>
          </w:tcPr>
          <w:p w14:paraId="2417498F">
            <w:pP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00746D18">
            <w:pPr>
              <w:jc w:val="left"/>
              <w:rPr>
                <w:rFonts w:ascii="Times New Roman" w:eastAsia="仿宋"/>
              </w:rPr>
            </w:pPr>
            <w:r>
              <w:rPr>
                <w:rFonts w:hint="eastAsia" w:ascii="Times New Roman" w:eastAsia="仿宋"/>
              </w:rPr>
              <w:t>对照《关于印发开展挥发性有机物污染防治工作指导意见的通知》（苏大气办〔2012〕2号）、《关于印发江苏省重点行业挥发性有机物污染控制指南的通知》（苏环办[2014]128号）、《关于印发&lt;江苏省重点行业挥发性有机物污染整治方案&gt;的通知》（苏环办[2015]19号），本项目废气均采取的收集及处理措施是有效、可行、可靠的，处理后的废气有组织排放，符合文件要求。</w:t>
            </w:r>
          </w:p>
        </w:tc>
        <w:tc>
          <w:tcPr>
            <w:tcW w:w="1276" w:type="dxa"/>
            <w:tcBorders>
              <w:top w:val="single" w:color="auto" w:sz="4" w:space="0"/>
              <w:left w:val="single" w:color="auto" w:sz="4" w:space="0"/>
              <w:bottom w:val="single" w:color="auto" w:sz="4" w:space="0"/>
              <w:right w:val="single" w:color="auto" w:sz="4" w:space="0"/>
            </w:tcBorders>
            <w:vAlign w:val="center"/>
          </w:tcPr>
          <w:p w14:paraId="0F948C76">
            <w:pPr>
              <w:jc w:val="center"/>
              <w:rPr>
                <w:rFonts w:ascii="Times New Roman" w:eastAsia="仿宋"/>
              </w:rPr>
            </w:pPr>
            <w:r>
              <w:rPr>
                <w:rFonts w:hint="eastAsia" w:ascii="Times New Roman" w:eastAsia="仿宋"/>
              </w:rPr>
              <w:t>是</w:t>
            </w:r>
          </w:p>
        </w:tc>
      </w:tr>
      <w:tr w14:paraId="50EB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left w:val="single" w:color="auto" w:sz="4" w:space="0"/>
              <w:right w:val="single" w:color="auto" w:sz="4" w:space="0"/>
            </w:tcBorders>
            <w:vAlign w:val="center"/>
          </w:tcPr>
          <w:p w14:paraId="786345CA">
            <w:pPr>
              <w:rPr>
                <w:rFonts w:ascii="Times New Roman" w:eastAsia="仿宋"/>
              </w:rPr>
            </w:pPr>
          </w:p>
        </w:tc>
        <w:tc>
          <w:tcPr>
            <w:tcW w:w="1017" w:type="dxa"/>
            <w:vMerge w:val="continue"/>
            <w:tcBorders>
              <w:left w:val="single" w:color="auto" w:sz="4" w:space="0"/>
              <w:right w:val="single" w:color="auto" w:sz="4" w:space="0"/>
            </w:tcBorders>
            <w:vAlign w:val="center"/>
          </w:tcPr>
          <w:p w14:paraId="424ED87D">
            <w:pP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13429CB7">
            <w:pPr>
              <w:jc w:val="left"/>
              <w:rPr>
                <w:rFonts w:ascii="Times New Roman" w:eastAsia="仿宋"/>
              </w:rPr>
            </w:pPr>
            <w:r>
              <w:rPr>
                <w:rFonts w:hint="eastAsia" w:ascii="Times New Roman" w:eastAsia="仿宋"/>
              </w:rPr>
              <w:t>对照《江苏省2020年挥发性有机物专项治理工作方案》（苏大气办[2020]2号）、《江苏省挥发性有机物污染防治管理办法》（省政府令第119号）、《挥发性有机物无组织排放控制标准》（GB 37822-2019）、“关于印发《重点行业挥发性有机物综合治理方案》的通知”（环大气〔2019〕53号），本项目喷粉、固化、调漆、氟碳面漆及底漆调漆、喷漆、流平、烘干过程均在密闭空间内操作，废气均通过整体换风收集后，配备有效的废气处理措施处理，VOCs总收集、净化处理率均不低于90%，因此符合该环保政策。因此符合该环保政策。</w:t>
            </w:r>
          </w:p>
        </w:tc>
        <w:tc>
          <w:tcPr>
            <w:tcW w:w="1276" w:type="dxa"/>
            <w:tcBorders>
              <w:top w:val="single" w:color="auto" w:sz="4" w:space="0"/>
              <w:left w:val="single" w:color="auto" w:sz="4" w:space="0"/>
              <w:bottom w:val="single" w:color="auto" w:sz="4" w:space="0"/>
              <w:right w:val="single" w:color="auto" w:sz="4" w:space="0"/>
            </w:tcBorders>
            <w:vAlign w:val="center"/>
          </w:tcPr>
          <w:p w14:paraId="61289CD9">
            <w:pPr>
              <w:jc w:val="center"/>
              <w:rPr>
                <w:rFonts w:ascii="Times New Roman" w:eastAsia="仿宋"/>
              </w:rPr>
            </w:pPr>
            <w:r>
              <w:rPr>
                <w:rFonts w:hint="eastAsia" w:ascii="Times New Roman" w:eastAsia="仿宋"/>
              </w:rPr>
              <w:t>是</w:t>
            </w:r>
          </w:p>
        </w:tc>
      </w:tr>
      <w:tr w14:paraId="26EC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left w:val="single" w:color="auto" w:sz="4" w:space="0"/>
              <w:right w:val="single" w:color="auto" w:sz="4" w:space="0"/>
            </w:tcBorders>
            <w:vAlign w:val="center"/>
          </w:tcPr>
          <w:p w14:paraId="72ACFC5E">
            <w:pPr>
              <w:rPr>
                <w:rFonts w:ascii="Times New Roman" w:eastAsia="仿宋"/>
              </w:rPr>
            </w:pPr>
          </w:p>
        </w:tc>
        <w:tc>
          <w:tcPr>
            <w:tcW w:w="1017" w:type="dxa"/>
            <w:vMerge w:val="continue"/>
            <w:tcBorders>
              <w:left w:val="single" w:color="auto" w:sz="4" w:space="0"/>
              <w:right w:val="single" w:color="auto" w:sz="4" w:space="0"/>
            </w:tcBorders>
            <w:vAlign w:val="center"/>
          </w:tcPr>
          <w:p w14:paraId="6EC01928">
            <w:pP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5BB24DA9">
            <w:pPr>
              <w:jc w:val="left"/>
              <w:rPr>
                <w:rFonts w:ascii="Times New Roman" w:eastAsia="仿宋"/>
              </w:rPr>
            </w:pPr>
            <w:r>
              <w:rPr>
                <w:rFonts w:hint="eastAsia" w:ascii="Times New Roman" w:eastAsia="仿宋"/>
              </w:rPr>
              <w:t>本项目涂料中氟碳底漆、氟碳面漆施工状态下VOCs含量均符合《涂料中挥发性有机物限量》（DB32/T 3500—2019）、《车辆涂料中有害物质限量》（GB 24409-2020）、《工业防护涂料中有害物质限量》（GB30981-2020）中相关要求限值。</w:t>
            </w:r>
          </w:p>
        </w:tc>
        <w:tc>
          <w:tcPr>
            <w:tcW w:w="1276" w:type="dxa"/>
            <w:tcBorders>
              <w:top w:val="single" w:color="auto" w:sz="4" w:space="0"/>
              <w:left w:val="single" w:color="auto" w:sz="4" w:space="0"/>
              <w:bottom w:val="single" w:color="auto" w:sz="4" w:space="0"/>
              <w:right w:val="single" w:color="auto" w:sz="4" w:space="0"/>
            </w:tcBorders>
            <w:vAlign w:val="center"/>
          </w:tcPr>
          <w:p w14:paraId="5D0CFC5C">
            <w:pPr>
              <w:jc w:val="center"/>
              <w:rPr>
                <w:rFonts w:ascii="Times New Roman" w:eastAsia="仿宋"/>
              </w:rPr>
            </w:pPr>
            <w:r>
              <w:rPr>
                <w:rFonts w:hint="eastAsia" w:ascii="Times New Roman" w:eastAsia="仿宋"/>
              </w:rPr>
              <w:t>是</w:t>
            </w:r>
          </w:p>
        </w:tc>
      </w:tr>
      <w:tr w14:paraId="49B6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Merge w:val="continue"/>
            <w:tcBorders>
              <w:left w:val="single" w:color="auto" w:sz="4" w:space="0"/>
              <w:right w:val="single" w:color="auto" w:sz="4" w:space="0"/>
            </w:tcBorders>
            <w:vAlign w:val="center"/>
          </w:tcPr>
          <w:p w14:paraId="7F1745A4">
            <w:pPr>
              <w:rPr>
                <w:rFonts w:ascii="Times New Roman" w:eastAsia="仿宋"/>
              </w:rPr>
            </w:pPr>
          </w:p>
        </w:tc>
        <w:tc>
          <w:tcPr>
            <w:tcW w:w="1017" w:type="dxa"/>
            <w:vMerge w:val="continue"/>
            <w:tcBorders>
              <w:left w:val="single" w:color="auto" w:sz="4" w:space="0"/>
              <w:right w:val="single" w:color="auto" w:sz="4" w:space="0"/>
            </w:tcBorders>
            <w:vAlign w:val="center"/>
          </w:tcPr>
          <w:p w14:paraId="42C4F0C9">
            <w:pPr>
              <w:rPr>
                <w:rFonts w:ascii="Times New Roman" w:eastAsia="仿宋"/>
              </w:rPr>
            </w:pPr>
          </w:p>
        </w:tc>
        <w:tc>
          <w:tcPr>
            <w:tcW w:w="5595" w:type="dxa"/>
            <w:tcBorders>
              <w:top w:val="single" w:color="auto" w:sz="4" w:space="0"/>
              <w:left w:val="single" w:color="auto" w:sz="4" w:space="0"/>
              <w:bottom w:val="single" w:color="auto" w:sz="4" w:space="0"/>
              <w:right w:val="single" w:color="auto" w:sz="4" w:space="0"/>
            </w:tcBorders>
            <w:vAlign w:val="center"/>
          </w:tcPr>
          <w:p w14:paraId="6249F3A1">
            <w:pPr>
              <w:jc w:val="left"/>
              <w:rPr>
                <w:rFonts w:ascii="Times New Roman" w:eastAsia="仿宋"/>
              </w:rPr>
            </w:pPr>
            <w:r>
              <w:rPr>
                <w:rFonts w:hint="eastAsia" w:ascii="Times New Roman" w:eastAsia="仿宋"/>
              </w:rPr>
              <w:t>对照《关于印发常州市挥发性有机物清洁原料替代工作方案的通知》（常污防攻坚指办[2021]32号），本项目使用的油漆已取得不可替代性论证。</w:t>
            </w:r>
          </w:p>
        </w:tc>
        <w:tc>
          <w:tcPr>
            <w:tcW w:w="1276" w:type="dxa"/>
            <w:tcBorders>
              <w:top w:val="single" w:color="auto" w:sz="4" w:space="0"/>
              <w:left w:val="single" w:color="auto" w:sz="4" w:space="0"/>
              <w:bottom w:val="single" w:color="auto" w:sz="4" w:space="0"/>
              <w:right w:val="single" w:color="auto" w:sz="4" w:space="0"/>
            </w:tcBorders>
            <w:vAlign w:val="center"/>
          </w:tcPr>
          <w:p w14:paraId="5D357AA7">
            <w:pPr>
              <w:jc w:val="center"/>
              <w:rPr>
                <w:rFonts w:ascii="Times New Roman" w:eastAsia="仿宋"/>
              </w:rPr>
            </w:pPr>
            <w:r>
              <w:rPr>
                <w:rFonts w:hint="eastAsia" w:ascii="Times New Roman" w:eastAsia="仿宋"/>
              </w:rPr>
              <w:t>是</w:t>
            </w:r>
          </w:p>
        </w:tc>
      </w:tr>
      <w:tr w14:paraId="50A7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54" w:type="dxa"/>
            <w:vMerge w:val="continue"/>
            <w:tcBorders>
              <w:left w:val="single" w:color="auto" w:sz="4" w:space="0"/>
              <w:right w:val="single" w:color="auto" w:sz="4" w:space="0"/>
            </w:tcBorders>
            <w:vAlign w:val="center"/>
          </w:tcPr>
          <w:p w14:paraId="02A909D9">
            <w:pPr>
              <w:rPr>
                <w:rFonts w:ascii="Times New Roman" w:eastAsia="仿宋"/>
              </w:rPr>
            </w:pPr>
          </w:p>
        </w:tc>
        <w:tc>
          <w:tcPr>
            <w:tcW w:w="1017" w:type="dxa"/>
            <w:vMerge w:val="continue"/>
            <w:tcBorders>
              <w:left w:val="single" w:color="auto" w:sz="4" w:space="0"/>
              <w:right w:val="single" w:color="auto" w:sz="4" w:space="0"/>
            </w:tcBorders>
            <w:vAlign w:val="center"/>
          </w:tcPr>
          <w:p w14:paraId="2131AE76">
            <w:pPr>
              <w:rPr>
                <w:rFonts w:ascii="Times New Roman" w:eastAsia="仿宋"/>
              </w:rPr>
            </w:pPr>
          </w:p>
        </w:tc>
        <w:tc>
          <w:tcPr>
            <w:tcW w:w="5595" w:type="dxa"/>
            <w:tcBorders>
              <w:top w:val="single" w:color="auto" w:sz="4" w:space="0"/>
              <w:left w:val="single" w:color="auto" w:sz="4" w:space="0"/>
              <w:right w:val="single" w:color="auto" w:sz="4" w:space="0"/>
            </w:tcBorders>
            <w:vAlign w:val="center"/>
          </w:tcPr>
          <w:p w14:paraId="3A628A55">
            <w:pPr>
              <w:jc w:val="left"/>
              <w:rPr>
                <w:rFonts w:ascii="Times New Roman" w:eastAsia="仿宋"/>
              </w:rPr>
            </w:pPr>
            <w:r>
              <w:rPr>
                <w:rFonts w:hint="eastAsia" w:ascii="Times New Roman" w:eastAsia="仿宋"/>
              </w:rPr>
              <w:t>对照《</w:t>
            </w:r>
            <w:r>
              <w:rPr>
                <w:rFonts w:ascii="Times New Roman" w:eastAsia="仿宋"/>
              </w:rPr>
              <w:t>重点管控新污染物清单（2023年版）</w:t>
            </w:r>
            <w:r>
              <w:rPr>
                <w:rFonts w:hint="eastAsia" w:ascii="Times New Roman" w:eastAsia="仿宋"/>
              </w:rPr>
              <w:t>》（</w:t>
            </w:r>
            <w:r>
              <w:rPr>
                <w:rFonts w:ascii="Times New Roman" w:eastAsia="仿宋"/>
              </w:rPr>
              <w:t>生态环境部部令第28号</w:t>
            </w:r>
            <w:r>
              <w:rPr>
                <w:rFonts w:hint="eastAsia" w:ascii="Times New Roman" w:eastAsia="仿宋"/>
              </w:rPr>
              <w:t>），本项目使用的原辅料中不含有其中规定的新污染物。</w:t>
            </w:r>
          </w:p>
        </w:tc>
        <w:tc>
          <w:tcPr>
            <w:tcW w:w="1276" w:type="dxa"/>
            <w:tcBorders>
              <w:top w:val="single" w:color="auto" w:sz="4" w:space="0"/>
              <w:left w:val="single" w:color="auto" w:sz="4" w:space="0"/>
              <w:right w:val="single" w:color="auto" w:sz="4" w:space="0"/>
            </w:tcBorders>
            <w:vAlign w:val="center"/>
          </w:tcPr>
          <w:p w14:paraId="0E21722D">
            <w:pPr>
              <w:jc w:val="center"/>
              <w:rPr>
                <w:rFonts w:ascii="Times New Roman" w:eastAsia="仿宋"/>
              </w:rPr>
            </w:pPr>
            <w:r>
              <w:rPr>
                <w:rFonts w:hint="eastAsia" w:ascii="Times New Roman" w:eastAsia="仿宋"/>
              </w:rPr>
              <w:t>是</w:t>
            </w:r>
          </w:p>
        </w:tc>
      </w:tr>
    </w:tbl>
    <w:p w14:paraId="730141AD">
      <w:pPr>
        <w:pStyle w:val="6"/>
        <w:keepLines w:val="0"/>
        <w:tabs>
          <w:tab w:val="left" w:pos="709"/>
        </w:tabs>
        <w:spacing w:before="0" w:after="0" w:line="500" w:lineRule="exact"/>
        <w:rPr>
          <w:rFonts w:ascii="Times New Roman" w:eastAsia="仿宋"/>
          <w:sz w:val="28"/>
          <w:szCs w:val="28"/>
        </w:rPr>
      </w:pPr>
      <w:r>
        <w:rPr>
          <w:rFonts w:hint="eastAsia" w:ascii="Times New Roman" w:eastAsia="仿宋"/>
          <w:sz w:val="28"/>
          <w:szCs w:val="28"/>
        </w:rPr>
        <w:t>1</w:t>
      </w:r>
      <w:r>
        <w:rPr>
          <w:rFonts w:ascii="Times New Roman" w:eastAsia="仿宋"/>
          <w:sz w:val="28"/>
          <w:szCs w:val="28"/>
        </w:rPr>
        <w:t>.4.</w:t>
      </w:r>
      <w:r>
        <w:rPr>
          <w:rFonts w:hint="eastAsia" w:ascii="Times New Roman" w:eastAsia="仿宋"/>
          <w:sz w:val="28"/>
          <w:szCs w:val="28"/>
        </w:rPr>
        <w:t>2</w:t>
      </w:r>
      <w:r>
        <w:rPr>
          <w:rFonts w:ascii="Times New Roman" w:eastAsia="仿宋"/>
          <w:sz w:val="28"/>
          <w:szCs w:val="28"/>
        </w:rPr>
        <w:t>规划相符性预判分析</w:t>
      </w:r>
    </w:p>
    <w:p w14:paraId="7846C545">
      <w:pPr>
        <w:spacing w:line="500" w:lineRule="exact"/>
        <w:ind w:firstLine="560" w:firstLineChars="200"/>
        <w:rPr>
          <w:rFonts w:ascii="Times New Roman" w:eastAsia="仿宋"/>
          <w:sz w:val="28"/>
          <w:szCs w:val="28"/>
        </w:rPr>
      </w:pPr>
      <w:r>
        <w:rPr>
          <w:rFonts w:ascii="Times New Roman" w:eastAsia="仿宋"/>
          <w:sz w:val="28"/>
          <w:szCs w:val="28"/>
        </w:rPr>
        <w:t>本项目规划相符性预判情况见下表。</w:t>
      </w:r>
    </w:p>
    <w:p w14:paraId="20390C3E">
      <w:pPr>
        <w:spacing w:line="500" w:lineRule="exact"/>
        <w:ind w:firstLine="482" w:firstLineChars="200"/>
        <w:jc w:val="center"/>
        <w:rPr>
          <w:rFonts w:ascii="Times New Roman" w:eastAsia="仿宋"/>
          <w:b/>
        </w:rPr>
      </w:pPr>
      <w:r>
        <w:rPr>
          <w:rFonts w:ascii="Times New Roman" w:eastAsia="仿宋"/>
          <w:b/>
        </w:rPr>
        <w:t>表1.4-2  本项目规划相符性预判情况</w:t>
      </w:r>
    </w:p>
    <w:tbl>
      <w:tblPr>
        <w:tblStyle w:val="8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4961"/>
        <w:gridCol w:w="1276"/>
      </w:tblGrid>
      <w:tr w14:paraId="7100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B8EA1E7">
            <w:pPr>
              <w:spacing w:line="320" w:lineRule="exact"/>
              <w:jc w:val="center"/>
              <w:rPr>
                <w:rFonts w:ascii="Times New Roman" w:eastAsia="仿宋"/>
              </w:rPr>
            </w:pPr>
            <w:r>
              <w:rPr>
                <w:rFonts w:hint="eastAsia" w:ascii="Times New Roman" w:eastAsia="仿宋"/>
              </w:rPr>
              <w:t>序号</w:t>
            </w:r>
          </w:p>
        </w:tc>
        <w:tc>
          <w:tcPr>
            <w:tcW w:w="1701" w:type="dxa"/>
            <w:vAlign w:val="center"/>
          </w:tcPr>
          <w:p w14:paraId="13E372C8">
            <w:pPr>
              <w:spacing w:line="320" w:lineRule="exact"/>
              <w:jc w:val="center"/>
              <w:rPr>
                <w:rFonts w:ascii="Times New Roman" w:eastAsia="仿宋"/>
              </w:rPr>
            </w:pPr>
            <w:r>
              <w:rPr>
                <w:rFonts w:hint="eastAsia" w:ascii="Times New Roman" w:eastAsia="仿宋"/>
              </w:rPr>
              <w:t>判断类型</w:t>
            </w:r>
          </w:p>
        </w:tc>
        <w:tc>
          <w:tcPr>
            <w:tcW w:w="4961" w:type="dxa"/>
            <w:vAlign w:val="center"/>
          </w:tcPr>
          <w:p w14:paraId="729783E6">
            <w:pPr>
              <w:spacing w:line="320" w:lineRule="exact"/>
              <w:jc w:val="center"/>
              <w:rPr>
                <w:rFonts w:ascii="Times New Roman" w:eastAsia="仿宋"/>
              </w:rPr>
            </w:pPr>
            <w:r>
              <w:rPr>
                <w:rFonts w:hint="eastAsia" w:ascii="Times New Roman" w:eastAsia="仿宋"/>
              </w:rPr>
              <w:t>对照简析</w:t>
            </w:r>
          </w:p>
        </w:tc>
        <w:tc>
          <w:tcPr>
            <w:tcW w:w="1276" w:type="dxa"/>
            <w:vAlign w:val="center"/>
          </w:tcPr>
          <w:p w14:paraId="182079BC">
            <w:pPr>
              <w:spacing w:line="320" w:lineRule="exact"/>
              <w:jc w:val="center"/>
              <w:rPr>
                <w:rFonts w:ascii="Times New Roman" w:eastAsia="仿宋"/>
              </w:rPr>
            </w:pPr>
            <w:r>
              <w:rPr>
                <w:rFonts w:hint="eastAsia" w:ascii="Times New Roman" w:eastAsia="仿宋"/>
              </w:rPr>
              <w:t>本项目是否满足要求</w:t>
            </w:r>
          </w:p>
        </w:tc>
      </w:tr>
      <w:tr w14:paraId="3B18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2B4DDEB">
            <w:pPr>
              <w:pStyle w:val="170"/>
              <w:rPr>
                <w:rFonts w:ascii="Times New Roman" w:eastAsia="仿宋"/>
                <w:sz w:val="24"/>
                <w:szCs w:val="21"/>
              </w:rPr>
            </w:pPr>
            <w:r>
              <w:rPr>
                <w:rFonts w:ascii="Times New Roman" w:eastAsia="仿宋"/>
                <w:sz w:val="24"/>
                <w:szCs w:val="21"/>
              </w:rPr>
              <w:t>1</w:t>
            </w:r>
          </w:p>
        </w:tc>
        <w:tc>
          <w:tcPr>
            <w:tcW w:w="1701" w:type="dxa"/>
            <w:vAlign w:val="center"/>
          </w:tcPr>
          <w:p w14:paraId="47BF0A51">
            <w:pPr>
              <w:pStyle w:val="170"/>
              <w:rPr>
                <w:rFonts w:ascii="Times New Roman" w:eastAsia="仿宋"/>
                <w:sz w:val="24"/>
                <w:szCs w:val="21"/>
              </w:rPr>
            </w:pPr>
            <w:r>
              <w:rPr>
                <w:rFonts w:hint="eastAsia" w:ascii="Times New Roman" w:eastAsia="仿宋"/>
                <w:sz w:val="24"/>
                <w:szCs w:val="21"/>
              </w:rPr>
              <w:t>土地类型</w:t>
            </w:r>
          </w:p>
        </w:tc>
        <w:tc>
          <w:tcPr>
            <w:tcW w:w="4961" w:type="dxa"/>
            <w:vAlign w:val="center"/>
          </w:tcPr>
          <w:p w14:paraId="49CBAD04">
            <w:pPr>
              <w:pStyle w:val="170"/>
              <w:jc w:val="left"/>
              <w:rPr>
                <w:rFonts w:ascii="Times New Roman" w:eastAsia="仿宋"/>
                <w:sz w:val="24"/>
                <w:szCs w:val="21"/>
              </w:rPr>
            </w:pPr>
            <w:r>
              <w:rPr>
                <w:rFonts w:hint="eastAsia" w:ascii="Times New Roman" w:eastAsia="仿宋"/>
                <w:sz w:val="24"/>
                <w:szCs w:val="21"/>
              </w:rPr>
              <w:t>本项目在</w:t>
            </w:r>
            <w:r>
              <w:rPr>
                <w:rFonts w:ascii="Times New Roman" w:eastAsia="仿宋"/>
                <w:sz w:val="24"/>
                <w:szCs w:val="21"/>
              </w:rPr>
              <w:t>常州市金坛区朱林镇永兴路68号</w:t>
            </w:r>
            <w:r>
              <w:rPr>
                <w:rFonts w:hint="eastAsia" w:ascii="Times New Roman" w:eastAsia="仿宋"/>
                <w:sz w:val="24"/>
                <w:szCs w:val="21"/>
              </w:rPr>
              <w:t>利用现有厂房建设，根据不动产权证苏（2</w:t>
            </w:r>
            <w:r>
              <w:rPr>
                <w:rFonts w:ascii="Times New Roman" w:eastAsia="仿宋"/>
                <w:sz w:val="24"/>
                <w:szCs w:val="21"/>
              </w:rPr>
              <w:t>024</w:t>
            </w:r>
            <w:r>
              <w:rPr>
                <w:rFonts w:hint="eastAsia" w:ascii="Times New Roman" w:eastAsia="仿宋"/>
                <w:sz w:val="24"/>
                <w:szCs w:val="21"/>
              </w:rPr>
              <w:t>）金坛区不动产权第0</w:t>
            </w:r>
            <w:r>
              <w:rPr>
                <w:rFonts w:ascii="Times New Roman" w:eastAsia="仿宋"/>
                <w:sz w:val="24"/>
                <w:szCs w:val="21"/>
              </w:rPr>
              <w:t>139217</w:t>
            </w:r>
            <w:r>
              <w:rPr>
                <w:rFonts w:hint="eastAsia" w:ascii="Times New Roman" w:eastAsia="仿宋"/>
                <w:sz w:val="24"/>
                <w:szCs w:val="21"/>
              </w:rPr>
              <w:t>号，土地用地性质为工业用地。</w:t>
            </w:r>
          </w:p>
        </w:tc>
        <w:tc>
          <w:tcPr>
            <w:tcW w:w="1276" w:type="dxa"/>
            <w:vAlign w:val="center"/>
          </w:tcPr>
          <w:p w14:paraId="469B6A15">
            <w:pPr>
              <w:pStyle w:val="170"/>
              <w:rPr>
                <w:rFonts w:ascii="Times New Roman" w:eastAsia="仿宋"/>
                <w:sz w:val="24"/>
                <w:szCs w:val="21"/>
              </w:rPr>
            </w:pPr>
            <w:r>
              <w:rPr>
                <w:rFonts w:hint="eastAsia" w:ascii="Times New Roman" w:eastAsia="仿宋"/>
                <w:sz w:val="24"/>
                <w:szCs w:val="21"/>
              </w:rPr>
              <w:t>是</w:t>
            </w:r>
          </w:p>
        </w:tc>
      </w:tr>
      <w:tr w14:paraId="2B07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C4357C9">
            <w:pPr>
              <w:pStyle w:val="170"/>
              <w:rPr>
                <w:rFonts w:ascii="Times New Roman" w:eastAsia="仿宋"/>
                <w:sz w:val="24"/>
                <w:szCs w:val="21"/>
              </w:rPr>
            </w:pPr>
            <w:r>
              <w:rPr>
                <w:rFonts w:ascii="Times New Roman" w:eastAsia="仿宋"/>
                <w:sz w:val="24"/>
                <w:szCs w:val="21"/>
              </w:rPr>
              <w:t>2</w:t>
            </w:r>
          </w:p>
        </w:tc>
        <w:tc>
          <w:tcPr>
            <w:tcW w:w="1701" w:type="dxa"/>
            <w:vAlign w:val="center"/>
          </w:tcPr>
          <w:p w14:paraId="712FA033">
            <w:pPr>
              <w:pStyle w:val="170"/>
              <w:rPr>
                <w:rFonts w:ascii="Times New Roman" w:eastAsia="仿宋"/>
                <w:sz w:val="24"/>
                <w:szCs w:val="21"/>
              </w:rPr>
            </w:pPr>
            <w:r>
              <w:rPr>
                <w:rFonts w:hint="eastAsia" w:ascii="Times New Roman" w:eastAsia="仿宋"/>
                <w:sz w:val="24"/>
                <w:szCs w:val="21"/>
              </w:rPr>
              <w:t>区域规划环评</w:t>
            </w:r>
          </w:p>
        </w:tc>
        <w:tc>
          <w:tcPr>
            <w:tcW w:w="4961" w:type="dxa"/>
            <w:vAlign w:val="center"/>
          </w:tcPr>
          <w:p w14:paraId="6175A95B">
            <w:pPr>
              <w:pStyle w:val="170"/>
              <w:jc w:val="left"/>
              <w:rPr>
                <w:rFonts w:ascii="Times New Roman" w:eastAsia="仿宋"/>
                <w:sz w:val="24"/>
                <w:szCs w:val="21"/>
              </w:rPr>
            </w:pPr>
            <w:r>
              <w:rPr>
                <w:rFonts w:hint="eastAsia" w:ascii="Times New Roman" w:eastAsia="仿宋"/>
                <w:sz w:val="24"/>
                <w:szCs w:val="21"/>
              </w:rPr>
              <w:t>根据《江苏省金坛经济开发区朱林现代产业园规划环境影响评价报告书》及其环评批复，服务功能。</w:t>
            </w:r>
            <w:r>
              <w:rPr>
                <w:rFonts w:ascii="Times New Roman" w:eastAsia="仿宋"/>
                <w:sz w:val="24"/>
                <w:szCs w:val="21"/>
              </w:rPr>
              <w:t>产业定位：</w:t>
            </w:r>
            <w:r>
              <w:rPr>
                <w:rFonts w:hint="eastAsia" w:ascii="Times New Roman" w:eastAsia="仿宋"/>
                <w:sz w:val="24"/>
                <w:szCs w:val="21"/>
              </w:rPr>
              <w:t>以一类、二类工业为主导，限制三类工业。重点发展电子、缝纫/服饰加工、金属制品制造、非金属制品制造、轻机械制造、食品加工、新能源汽车及核心零部件、新一代移动通信及光伏新能源产业，形成金坛西部重要的工业板块和综合服务节点。</w:t>
            </w:r>
          </w:p>
          <w:p w14:paraId="4CAFCF9A">
            <w:pPr>
              <w:pStyle w:val="170"/>
              <w:jc w:val="left"/>
              <w:rPr>
                <w:rFonts w:ascii="Times New Roman" w:eastAsia="仿宋"/>
                <w:sz w:val="24"/>
                <w:szCs w:val="21"/>
              </w:rPr>
            </w:pPr>
            <w:r>
              <w:rPr>
                <w:rFonts w:hint="eastAsia" w:ascii="Times New Roman" w:eastAsia="仿宋"/>
                <w:sz w:val="24"/>
                <w:szCs w:val="21"/>
              </w:rPr>
              <w:t>禁止引入类项目：（1）</w:t>
            </w:r>
            <w:r>
              <w:rPr>
                <w:rFonts w:ascii="Times New Roman" w:eastAsia="仿宋"/>
                <w:sz w:val="24"/>
                <w:szCs w:val="21"/>
              </w:rPr>
              <w:t>禁止审批列入国家、省产业政策淘汰、限制类项目；不符合规划环评结论及审查意见的项目；属于《建设项目环境保护管理条例》第十一条5种不予批准的情形的项目；无法落实危险废物合理利用、处置途径的项目。</w:t>
            </w:r>
            <w:r>
              <w:rPr>
                <w:rFonts w:hint="eastAsia" w:ascii="Times New Roman" w:eastAsia="仿宋"/>
                <w:sz w:val="24"/>
                <w:szCs w:val="21"/>
              </w:rPr>
              <w:t>（2）</w:t>
            </w:r>
            <w:r>
              <w:rPr>
                <w:rFonts w:ascii="Times New Roman" w:eastAsia="仿宋"/>
                <w:sz w:val="24"/>
                <w:szCs w:val="21"/>
              </w:rPr>
              <w:t>严禁引进排放“三致”（致癌、致畸、致突变）且严重影响人身健康和环境质量的项目。</w:t>
            </w:r>
            <w:r>
              <w:rPr>
                <w:rFonts w:hint="eastAsia" w:ascii="Times New Roman" w:eastAsia="仿宋"/>
                <w:sz w:val="24"/>
                <w:szCs w:val="21"/>
              </w:rPr>
              <w:t>（3）</w:t>
            </w:r>
            <w:r>
              <w:rPr>
                <w:rFonts w:ascii="Times New Roman" w:eastAsia="仿宋"/>
                <w:sz w:val="24"/>
                <w:szCs w:val="21"/>
              </w:rPr>
              <w:t>禁止安全风险大、工艺设施落后、安全水平低的企业或项目进入。</w:t>
            </w:r>
            <w:r>
              <w:rPr>
                <w:rFonts w:hint="eastAsia" w:ascii="Times New Roman" w:eastAsia="仿宋"/>
                <w:sz w:val="24"/>
                <w:szCs w:val="21"/>
              </w:rPr>
              <w:t>（4）</w:t>
            </w:r>
            <w:r>
              <w:rPr>
                <w:rFonts w:ascii="Times New Roman" w:eastAsia="仿宋"/>
                <w:sz w:val="24"/>
                <w:szCs w:val="21"/>
              </w:rPr>
              <w:t>禁止新建、扩建技术装备、污染排放、能耗达不到相关行业准入</w:t>
            </w:r>
            <w:r>
              <w:rPr>
                <w:rFonts w:hint="eastAsia" w:ascii="Times New Roman" w:eastAsia="仿宋"/>
                <w:sz w:val="24"/>
                <w:szCs w:val="21"/>
              </w:rPr>
              <w:t>条件</w:t>
            </w:r>
            <w:r>
              <w:rPr>
                <w:rFonts w:ascii="Times New Roman" w:eastAsia="仿宋"/>
                <w:sz w:val="24"/>
                <w:szCs w:val="21"/>
              </w:rPr>
              <w:t>的项目。</w:t>
            </w:r>
            <w:r>
              <w:rPr>
                <w:rFonts w:hint="eastAsia" w:ascii="Times New Roman" w:eastAsia="仿宋"/>
                <w:sz w:val="24"/>
                <w:szCs w:val="21"/>
              </w:rPr>
              <w:t>（5）禁止引入不符合</w:t>
            </w:r>
            <w:r>
              <w:rPr>
                <w:rFonts w:ascii="Times New Roman" w:eastAsia="仿宋"/>
                <w:sz w:val="24"/>
                <w:szCs w:val="21"/>
              </w:rPr>
              <w:t>现行《江苏省太湖水污染防治条例》要求的项目</w:t>
            </w:r>
            <w:r>
              <w:rPr>
                <w:rFonts w:hint="eastAsia" w:ascii="Times New Roman" w:eastAsia="仿宋"/>
                <w:sz w:val="24"/>
                <w:szCs w:val="21"/>
              </w:rPr>
              <w:t>。</w:t>
            </w:r>
          </w:p>
          <w:p w14:paraId="45C363BD">
            <w:pPr>
              <w:pStyle w:val="170"/>
              <w:jc w:val="left"/>
              <w:rPr>
                <w:rFonts w:ascii="Times New Roman" w:eastAsia="仿宋"/>
                <w:sz w:val="24"/>
                <w:szCs w:val="21"/>
              </w:rPr>
            </w:pPr>
            <w:r>
              <w:rPr>
                <w:rFonts w:hint="eastAsia" w:ascii="Times New Roman" w:eastAsia="仿宋"/>
                <w:sz w:val="24"/>
                <w:szCs w:val="21"/>
              </w:rPr>
              <w:t>本项目的产品为汽车铝单板，国民经济行业类别为“C3670 汽车零部件及其配件制造”</w:t>
            </w:r>
            <w:r>
              <w:rPr>
                <w:rFonts w:ascii="Times New Roman" w:eastAsia="仿宋"/>
                <w:sz w:val="24"/>
                <w:szCs w:val="21"/>
              </w:rPr>
              <w:t>,</w:t>
            </w:r>
            <w:r>
              <w:rPr>
                <w:rFonts w:hint="eastAsia" w:ascii="Times New Roman" w:eastAsia="仿宋"/>
                <w:sz w:val="24"/>
                <w:szCs w:val="21"/>
              </w:rPr>
              <w:t>不属于园区禁止引入类项目，本项目位于</w:t>
            </w:r>
            <w:r>
              <w:rPr>
                <w:rFonts w:ascii="Times New Roman" w:eastAsia="仿宋"/>
                <w:sz w:val="24"/>
                <w:szCs w:val="21"/>
              </w:rPr>
              <w:t>常州市金坛区朱林镇永兴路68号</w:t>
            </w:r>
            <w:r>
              <w:rPr>
                <w:rFonts w:hint="eastAsia" w:ascii="Times New Roman" w:eastAsia="仿宋"/>
                <w:sz w:val="24"/>
                <w:szCs w:val="21"/>
              </w:rPr>
              <w:t>，所在用地为工业用地，用地性质符合要求。</w:t>
            </w:r>
          </w:p>
        </w:tc>
        <w:tc>
          <w:tcPr>
            <w:tcW w:w="1276" w:type="dxa"/>
            <w:vAlign w:val="center"/>
          </w:tcPr>
          <w:p w14:paraId="1BE24CE0">
            <w:pPr>
              <w:pStyle w:val="170"/>
              <w:jc w:val="left"/>
              <w:rPr>
                <w:rFonts w:ascii="Times New Roman" w:eastAsia="仿宋"/>
                <w:sz w:val="24"/>
                <w:szCs w:val="21"/>
              </w:rPr>
            </w:pPr>
            <w:r>
              <w:rPr>
                <w:rFonts w:hint="eastAsia" w:ascii="Times New Roman" w:eastAsia="仿宋"/>
                <w:sz w:val="24"/>
                <w:szCs w:val="21"/>
              </w:rPr>
              <w:t>是</w:t>
            </w:r>
          </w:p>
        </w:tc>
      </w:tr>
      <w:tr w14:paraId="556D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8F13A6E">
            <w:pPr>
              <w:pStyle w:val="170"/>
              <w:rPr>
                <w:rFonts w:ascii="Times New Roman" w:eastAsia="仿宋"/>
                <w:sz w:val="24"/>
                <w:szCs w:val="21"/>
              </w:rPr>
            </w:pPr>
            <w:r>
              <w:rPr>
                <w:rFonts w:ascii="Times New Roman" w:eastAsia="仿宋"/>
                <w:sz w:val="24"/>
                <w:szCs w:val="21"/>
              </w:rPr>
              <w:t>3</w:t>
            </w:r>
          </w:p>
        </w:tc>
        <w:tc>
          <w:tcPr>
            <w:tcW w:w="1701" w:type="dxa"/>
            <w:vAlign w:val="center"/>
          </w:tcPr>
          <w:p w14:paraId="12EF004A">
            <w:pPr>
              <w:pStyle w:val="170"/>
              <w:rPr>
                <w:rFonts w:ascii="Times New Roman" w:eastAsia="仿宋"/>
                <w:sz w:val="24"/>
                <w:szCs w:val="21"/>
              </w:rPr>
            </w:pPr>
            <w:r>
              <w:rPr>
                <w:rFonts w:hint="eastAsia" w:ascii="Times New Roman" w:eastAsia="仿宋"/>
                <w:sz w:val="24"/>
                <w:szCs w:val="21"/>
              </w:rPr>
              <w:t>《省政府关于印发江苏省生态空间管控区域规划的通知》</w:t>
            </w:r>
          </w:p>
        </w:tc>
        <w:tc>
          <w:tcPr>
            <w:tcW w:w="4961" w:type="dxa"/>
            <w:vAlign w:val="center"/>
          </w:tcPr>
          <w:p w14:paraId="7B38F20B">
            <w:pPr>
              <w:pStyle w:val="170"/>
              <w:jc w:val="left"/>
              <w:rPr>
                <w:rFonts w:ascii="Times New Roman" w:eastAsia="仿宋"/>
                <w:sz w:val="24"/>
                <w:szCs w:val="21"/>
              </w:rPr>
            </w:pPr>
            <w:r>
              <w:rPr>
                <w:rFonts w:hint="eastAsia" w:ascii="Times New Roman" w:eastAsia="仿宋"/>
                <w:sz w:val="24"/>
                <w:szCs w:val="21"/>
              </w:rPr>
              <w:t>对照《省政府关于印发江苏省生态空间管控区域规划的通知》（苏政发</w:t>
            </w:r>
            <w:r>
              <w:rPr>
                <w:rFonts w:ascii="Times New Roman" w:eastAsia="仿宋"/>
                <w:sz w:val="24"/>
                <w:szCs w:val="21"/>
              </w:rPr>
              <w:t>[2020]1</w:t>
            </w:r>
            <w:r>
              <w:rPr>
                <w:rFonts w:hint="eastAsia" w:ascii="Times New Roman" w:eastAsia="仿宋"/>
                <w:sz w:val="24"/>
                <w:szCs w:val="21"/>
              </w:rPr>
              <w:t>号）中规定的常州市生态空间保护区域名录，本项目所在地不在该区域内。</w:t>
            </w:r>
          </w:p>
        </w:tc>
        <w:tc>
          <w:tcPr>
            <w:tcW w:w="1276" w:type="dxa"/>
            <w:vAlign w:val="center"/>
          </w:tcPr>
          <w:p w14:paraId="0A4C546E">
            <w:pPr>
              <w:pStyle w:val="170"/>
              <w:rPr>
                <w:rFonts w:ascii="Times New Roman" w:eastAsia="仿宋"/>
                <w:sz w:val="24"/>
                <w:szCs w:val="21"/>
              </w:rPr>
            </w:pPr>
            <w:r>
              <w:rPr>
                <w:rFonts w:hint="eastAsia" w:ascii="Times New Roman" w:eastAsia="仿宋"/>
                <w:sz w:val="24"/>
                <w:szCs w:val="21"/>
              </w:rPr>
              <w:t>是</w:t>
            </w:r>
          </w:p>
        </w:tc>
      </w:tr>
      <w:tr w14:paraId="3250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9DFD8F">
            <w:pPr>
              <w:pStyle w:val="170"/>
              <w:rPr>
                <w:rFonts w:ascii="Times New Roman" w:eastAsia="仿宋"/>
                <w:sz w:val="24"/>
                <w:szCs w:val="21"/>
              </w:rPr>
            </w:pPr>
            <w:r>
              <w:rPr>
                <w:rFonts w:ascii="Times New Roman" w:eastAsia="仿宋"/>
                <w:sz w:val="24"/>
                <w:szCs w:val="21"/>
              </w:rPr>
              <w:t>4</w:t>
            </w:r>
          </w:p>
        </w:tc>
        <w:tc>
          <w:tcPr>
            <w:tcW w:w="1701" w:type="dxa"/>
            <w:vAlign w:val="center"/>
          </w:tcPr>
          <w:p w14:paraId="3E81B811">
            <w:pPr>
              <w:pStyle w:val="170"/>
              <w:rPr>
                <w:rFonts w:ascii="Times New Roman" w:eastAsia="仿宋"/>
                <w:sz w:val="24"/>
                <w:szCs w:val="21"/>
              </w:rPr>
            </w:pPr>
            <w:r>
              <w:rPr>
                <w:rFonts w:hint="eastAsia" w:ascii="Times New Roman" w:eastAsia="仿宋"/>
                <w:sz w:val="24"/>
                <w:szCs w:val="21"/>
              </w:rPr>
              <w:t>《省政府关于印发江苏省国家级生态保护红线规划的通知》</w:t>
            </w:r>
          </w:p>
        </w:tc>
        <w:tc>
          <w:tcPr>
            <w:tcW w:w="4961" w:type="dxa"/>
            <w:vAlign w:val="center"/>
          </w:tcPr>
          <w:p w14:paraId="4813581B">
            <w:pPr>
              <w:pStyle w:val="170"/>
              <w:jc w:val="left"/>
              <w:rPr>
                <w:rFonts w:ascii="Times New Roman" w:eastAsia="仿宋"/>
                <w:sz w:val="24"/>
                <w:szCs w:val="21"/>
              </w:rPr>
            </w:pPr>
            <w:r>
              <w:rPr>
                <w:rFonts w:hint="eastAsia" w:ascii="Times New Roman" w:eastAsia="仿宋"/>
                <w:sz w:val="24"/>
                <w:szCs w:val="21"/>
              </w:rPr>
              <w:t>对照《省政府关于印发江苏省国家级生态保护红线规划的通知》（苏政发〔</w:t>
            </w:r>
            <w:r>
              <w:rPr>
                <w:rFonts w:ascii="Times New Roman" w:eastAsia="仿宋"/>
                <w:sz w:val="24"/>
                <w:szCs w:val="21"/>
              </w:rPr>
              <w:t>2018</w:t>
            </w:r>
            <w:r>
              <w:rPr>
                <w:rFonts w:hint="eastAsia" w:ascii="Times New Roman" w:eastAsia="仿宋"/>
                <w:sz w:val="24"/>
                <w:szCs w:val="21"/>
              </w:rPr>
              <w:t>〕</w:t>
            </w:r>
            <w:r>
              <w:rPr>
                <w:rFonts w:ascii="Times New Roman" w:eastAsia="仿宋"/>
                <w:sz w:val="24"/>
                <w:szCs w:val="21"/>
              </w:rPr>
              <w:t>74</w:t>
            </w:r>
            <w:r>
              <w:rPr>
                <w:rFonts w:hint="eastAsia" w:ascii="Times New Roman" w:eastAsia="仿宋"/>
                <w:sz w:val="24"/>
                <w:szCs w:val="21"/>
              </w:rPr>
              <w:t>号）中规定的生态保护红线范围，项目所在地不在规定的范围内。因此，本项目选址与生态红线区域保护规划相符。</w:t>
            </w:r>
          </w:p>
        </w:tc>
        <w:tc>
          <w:tcPr>
            <w:tcW w:w="1276" w:type="dxa"/>
            <w:vAlign w:val="center"/>
          </w:tcPr>
          <w:p w14:paraId="28883265">
            <w:pPr>
              <w:pStyle w:val="170"/>
              <w:rPr>
                <w:rFonts w:ascii="Times New Roman" w:eastAsia="仿宋"/>
                <w:sz w:val="24"/>
                <w:szCs w:val="21"/>
              </w:rPr>
            </w:pPr>
            <w:r>
              <w:rPr>
                <w:rFonts w:hint="eastAsia" w:ascii="Times New Roman" w:eastAsia="仿宋"/>
                <w:sz w:val="24"/>
                <w:szCs w:val="21"/>
              </w:rPr>
              <w:t>是</w:t>
            </w:r>
          </w:p>
        </w:tc>
      </w:tr>
      <w:tr w14:paraId="0BB6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088A6FD">
            <w:pPr>
              <w:pStyle w:val="170"/>
              <w:rPr>
                <w:rFonts w:ascii="Times New Roman" w:eastAsia="仿宋"/>
                <w:sz w:val="24"/>
                <w:szCs w:val="21"/>
              </w:rPr>
            </w:pPr>
            <w:r>
              <w:rPr>
                <w:rFonts w:ascii="Times New Roman" w:eastAsia="仿宋"/>
                <w:sz w:val="24"/>
                <w:szCs w:val="21"/>
              </w:rPr>
              <w:t>5</w:t>
            </w:r>
          </w:p>
        </w:tc>
        <w:tc>
          <w:tcPr>
            <w:tcW w:w="1701" w:type="dxa"/>
            <w:vAlign w:val="center"/>
          </w:tcPr>
          <w:p w14:paraId="772C5C4A">
            <w:pPr>
              <w:jc w:val="left"/>
              <w:rPr>
                <w:rFonts w:ascii="Times New Roman" w:eastAsia="仿宋"/>
                <w:kern w:val="2"/>
                <w:szCs w:val="21"/>
              </w:rPr>
            </w:pPr>
            <w:r>
              <w:rPr>
                <w:rFonts w:ascii="Times New Roman" w:eastAsia="仿宋"/>
                <w:kern w:val="2"/>
                <w:szCs w:val="21"/>
              </w:rPr>
              <w:t>《省政府办公厅关于印发江苏省生态空间管控区域调整管理办法的通知》（苏政办发〔2021〕3号）</w:t>
            </w:r>
          </w:p>
        </w:tc>
        <w:tc>
          <w:tcPr>
            <w:tcW w:w="4961" w:type="dxa"/>
            <w:vAlign w:val="center"/>
          </w:tcPr>
          <w:p w14:paraId="4FA1A748">
            <w:pPr>
              <w:pStyle w:val="170"/>
              <w:jc w:val="left"/>
              <w:rPr>
                <w:rFonts w:ascii="Times New Roman" w:eastAsia="仿宋"/>
                <w:sz w:val="24"/>
                <w:szCs w:val="21"/>
              </w:rPr>
            </w:pPr>
            <w:r>
              <w:rPr>
                <w:rFonts w:ascii="Times New Roman" w:eastAsia="仿宋"/>
                <w:sz w:val="24"/>
                <w:szCs w:val="21"/>
              </w:rPr>
              <w:t>本项目不在《江苏省生态空间管控区域规划》中规定的生态空间保护区域内，不存在《省政府办公厅关于印发江苏省生态空间管控区域调整管理办法的通知》（苏政办发〔2021〕3号）中禁止的行为，污染物均达标排放，与文件相符。</w:t>
            </w:r>
          </w:p>
        </w:tc>
        <w:tc>
          <w:tcPr>
            <w:tcW w:w="1276" w:type="dxa"/>
            <w:vAlign w:val="center"/>
          </w:tcPr>
          <w:p w14:paraId="11DE7853">
            <w:pPr>
              <w:pStyle w:val="170"/>
              <w:rPr>
                <w:rFonts w:ascii="Times New Roman" w:eastAsia="仿宋"/>
                <w:sz w:val="24"/>
                <w:szCs w:val="21"/>
              </w:rPr>
            </w:pPr>
            <w:r>
              <w:rPr>
                <w:rFonts w:hint="eastAsia" w:ascii="Times New Roman" w:eastAsia="仿宋"/>
                <w:sz w:val="24"/>
                <w:szCs w:val="21"/>
              </w:rPr>
              <w:t>是</w:t>
            </w:r>
          </w:p>
        </w:tc>
      </w:tr>
    </w:tbl>
    <w:p w14:paraId="525725FC">
      <w:pPr>
        <w:pStyle w:val="6"/>
        <w:keepLines w:val="0"/>
        <w:tabs>
          <w:tab w:val="left" w:pos="709"/>
        </w:tabs>
        <w:spacing w:before="156" w:beforeLines="50" w:after="156" w:afterLines="50" w:line="500" w:lineRule="exact"/>
        <w:rPr>
          <w:rFonts w:ascii="Times New Roman" w:eastAsia="仿宋"/>
          <w:sz w:val="28"/>
          <w:szCs w:val="28"/>
        </w:rPr>
      </w:pPr>
      <w:r>
        <w:rPr>
          <w:rFonts w:ascii="Times New Roman" w:eastAsia="仿宋"/>
          <w:sz w:val="28"/>
          <w:szCs w:val="28"/>
        </w:rPr>
        <w:t>1.4.3“三线一单”控制要求相符性预判分析</w:t>
      </w:r>
    </w:p>
    <w:p w14:paraId="5D4C35D9">
      <w:pPr>
        <w:spacing w:line="500" w:lineRule="exact"/>
        <w:ind w:firstLine="560" w:firstLineChars="200"/>
        <w:contextualSpacing/>
        <w:rPr>
          <w:rFonts w:ascii="Times New Roman" w:eastAsia="仿宋"/>
          <w:sz w:val="28"/>
          <w:szCs w:val="28"/>
        </w:rPr>
      </w:pPr>
      <w:r>
        <w:rPr>
          <w:rFonts w:ascii="Times New Roman" w:eastAsia="仿宋"/>
          <w:sz w:val="28"/>
          <w:szCs w:val="28"/>
        </w:rPr>
        <w:t>根据《关于以改善环境质量为核心加强环境影响评价管理的通知》（环环评〔2016〕150号）</w:t>
      </w:r>
      <w:r>
        <w:rPr>
          <w:rFonts w:hint="eastAsia" w:ascii="Times New Roman" w:eastAsia="仿宋"/>
          <w:sz w:val="28"/>
          <w:szCs w:val="28"/>
        </w:rPr>
        <w:t>、《江苏省2023年度生态环境分区管控动态更新成果公告》（环办环评函﹝2023﹞81号）、《常州市生态环境</w:t>
      </w:r>
      <w:r>
        <w:rPr>
          <w:rFonts w:ascii="Times New Roman" w:eastAsia="仿宋"/>
          <w:sz w:val="28"/>
          <w:szCs w:val="28"/>
        </w:rPr>
        <w:t>分区管控动态更新成果</w:t>
      </w:r>
      <w:r>
        <w:rPr>
          <w:rFonts w:hint="eastAsia" w:ascii="Times New Roman" w:eastAsia="仿宋"/>
          <w:sz w:val="28"/>
          <w:szCs w:val="28"/>
        </w:rPr>
        <w:t>》</w:t>
      </w:r>
      <w:r>
        <w:rPr>
          <w:rFonts w:ascii="Times New Roman" w:eastAsia="仿宋"/>
          <w:sz w:val="28"/>
          <w:szCs w:val="28"/>
        </w:rPr>
        <w:t>（2023年版），对本项目建设进行“三线一单”符合性分析情况见下表。</w:t>
      </w:r>
    </w:p>
    <w:p w14:paraId="55434236">
      <w:pPr>
        <w:spacing w:line="500" w:lineRule="exact"/>
        <w:ind w:firstLine="482" w:firstLineChars="200"/>
        <w:jc w:val="center"/>
        <w:rPr>
          <w:rFonts w:ascii="Times New Roman" w:eastAsia="仿宋"/>
          <w:b/>
        </w:rPr>
      </w:pPr>
    </w:p>
    <w:p w14:paraId="5CC79A4C">
      <w:pPr>
        <w:spacing w:line="500" w:lineRule="exact"/>
        <w:ind w:firstLine="482" w:firstLineChars="200"/>
        <w:jc w:val="center"/>
        <w:rPr>
          <w:rFonts w:ascii="Times New Roman" w:eastAsia="仿宋"/>
          <w:b/>
        </w:rPr>
      </w:pPr>
      <w:r>
        <w:rPr>
          <w:rFonts w:ascii="Times New Roman" w:eastAsia="仿宋"/>
          <w:b/>
        </w:rPr>
        <w:t>表1.4-3  本项目“三线一单”控制要求相符性预判情况</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814"/>
        <w:gridCol w:w="6074"/>
        <w:gridCol w:w="990"/>
      </w:tblGrid>
      <w:tr w14:paraId="65A8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Align w:val="center"/>
          </w:tcPr>
          <w:p w14:paraId="458D2D32">
            <w:pPr>
              <w:pStyle w:val="170"/>
              <w:jc w:val="both"/>
              <w:rPr>
                <w:rFonts w:ascii="Times New Roman" w:eastAsia="仿宋"/>
                <w:sz w:val="24"/>
                <w:szCs w:val="22"/>
              </w:rPr>
            </w:pPr>
            <w:r>
              <w:rPr>
                <w:rFonts w:ascii="Times New Roman" w:eastAsia="仿宋"/>
                <w:sz w:val="24"/>
                <w:szCs w:val="22"/>
              </w:rPr>
              <w:t>序号</w:t>
            </w:r>
          </w:p>
        </w:tc>
        <w:tc>
          <w:tcPr>
            <w:tcW w:w="478" w:type="pct"/>
            <w:vAlign w:val="center"/>
          </w:tcPr>
          <w:p w14:paraId="001B5EE6">
            <w:pPr>
              <w:pStyle w:val="170"/>
              <w:rPr>
                <w:rFonts w:ascii="Times New Roman" w:eastAsia="仿宋"/>
                <w:sz w:val="24"/>
                <w:szCs w:val="22"/>
              </w:rPr>
            </w:pPr>
            <w:r>
              <w:rPr>
                <w:rFonts w:ascii="Times New Roman" w:eastAsia="仿宋"/>
                <w:sz w:val="24"/>
                <w:szCs w:val="22"/>
              </w:rPr>
              <w:t>判断</w:t>
            </w:r>
          </w:p>
          <w:p w14:paraId="0D1C323F">
            <w:pPr>
              <w:pStyle w:val="170"/>
              <w:rPr>
                <w:rFonts w:ascii="Times New Roman" w:eastAsia="仿宋"/>
                <w:sz w:val="24"/>
                <w:szCs w:val="22"/>
              </w:rPr>
            </w:pPr>
            <w:r>
              <w:rPr>
                <w:rFonts w:ascii="Times New Roman" w:eastAsia="仿宋"/>
                <w:sz w:val="24"/>
                <w:szCs w:val="22"/>
              </w:rPr>
              <w:t>类型</w:t>
            </w:r>
          </w:p>
        </w:tc>
        <w:tc>
          <w:tcPr>
            <w:tcW w:w="3565" w:type="pct"/>
            <w:vAlign w:val="center"/>
          </w:tcPr>
          <w:p w14:paraId="19B80EB0">
            <w:pPr>
              <w:pStyle w:val="170"/>
              <w:rPr>
                <w:rFonts w:ascii="Times New Roman" w:eastAsia="仿宋"/>
                <w:sz w:val="24"/>
                <w:szCs w:val="22"/>
              </w:rPr>
            </w:pPr>
            <w:r>
              <w:rPr>
                <w:rFonts w:ascii="Times New Roman" w:eastAsia="仿宋"/>
                <w:sz w:val="24"/>
                <w:szCs w:val="22"/>
              </w:rPr>
              <w:t>对照简析</w:t>
            </w:r>
          </w:p>
        </w:tc>
        <w:tc>
          <w:tcPr>
            <w:tcW w:w="582" w:type="pct"/>
            <w:vAlign w:val="center"/>
          </w:tcPr>
          <w:p w14:paraId="48072711">
            <w:pPr>
              <w:pStyle w:val="170"/>
              <w:rPr>
                <w:rFonts w:ascii="Times New Roman" w:eastAsia="仿宋"/>
                <w:sz w:val="24"/>
                <w:szCs w:val="22"/>
              </w:rPr>
            </w:pPr>
            <w:r>
              <w:rPr>
                <w:rFonts w:ascii="Times New Roman" w:eastAsia="仿宋"/>
                <w:sz w:val="24"/>
                <w:szCs w:val="22"/>
              </w:rPr>
              <w:t>本项目是否满足要求</w:t>
            </w:r>
          </w:p>
        </w:tc>
      </w:tr>
      <w:tr w14:paraId="1128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Align w:val="center"/>
          </w:tcPr>
          <w:p w14:paraId="17C25BC7">
            <w:pPr>
              <w:pStyle w:val="170"/>
              <w:rPr>
                <w:rFonts w:ascii="Times New Roman" w:eastAsia="仿宋"/>
                <w:sz w:val="24"/>
                <w:szCs w:val="22"/>
              </w:rPr>
            </w:pPr>
            <w:r>
              <w:rPr>
                <w:rFonts w:ascii="Times New Roman" w:eastAsia="仿宋"/>
                <w:sz w:val="24"/>
                <w:szCs w:val="22"/>
              </w:rPr>
              <w:t>1</w:t>
            </w:r>
          </w:p>
        </w:tc>
        <w:tc>
          <w:tcPr>
            <w:tcW w:w="478" w:type="pct"/>
            <w:vAlign w:val="center"/>
          </w:tcPr>
          <w:p w14:paraId="3957D266">
            <w:pPr>
              <w:pStyle w:val="170"/>
              <w:rPr>
                <w:rFonts w:ascii="Times New Roman" w:eastAsia="仿宋"/>
                <w:sz w:val="24"/>
                <w:szCs w:val="22"/>
              </w:rPr>
            </w:pPr>
            <w:r>
              <w:rPr>
                <w:rFonts w:ascii="Times New Roman" w:eastAsia="仿宋"/>
                <w:sz w:val="24"/>
                <w:szCs w:val="22"/>
              </w:rPr>
              <w:t>生态红线</w:t>
            </w:r>
          </w:p>
        </w:tc>
        <w:tc>
          <w:tcPr>
            <w:tcW w:w="3565" w:type="pct"/>
            <w:vAlign w:val="center"/>
          </w:tcPr>
          <w:p w14:paraId="01CB46A3">
            <w:pPr>
              <w:pStyle w:val="170"/>
              <w:jc w:val="left"/>
              <w:rPr>
                <w:rFonts w:ascii="Times New Roman" w:eastAsia="仿宋"/>
                <w:sz w:val="24"/>
                <w:szCs w:val="22"/>
              </w:rPr>
            </w:pPr>
            <w:r>
              <w:rPr>
                <w:rFonts w:ascii="Times New Roman" w:eastAsia="仿宋"/>
                <w:sz w:val="24"/>
                <w:szCs w:val="22"/>
              </w:rPr>
              <w:t>本项目位于常州市</w:t>
            </w:r>
            <w:r>
              <w:rPr>
                <w:rFonts w:hint="eastAsia" w:ascii="Times New Roman" w:eastAsia="仿宋"/>
                <w:sz w:val="24"/>
                <w:szCs w:val="22"/>
              </w:rPr>
              <w:t>金坛区朱林镇永兴路68号</w:t>
            </w:r>
            <w:r>
              <w:rPr>
                <w:rFonts w:ascii="Times New Roman" w:eastAsia="仿宋"/>
                <w:sz w:val="24"/>
                <w:szCs w:val="22"/>
              </w:rPr>
              <w:t>，不在《省政府关于印发江苏省“三线一单”生态环境分区管控方案的通知（苏政发〔2020〕49号）》、《关于印发常州市“三线一单”生态环境分区管控实施方案的通知（常环〔2020〕95号）》及《江苏省生态空间管控区域规划》（苏政发</w:t>
            </w:r>
            <w:r>
              <w:rPr>
                <w:rFonts w:hint="eastAsia" w:ascii="Times New Roman" w:eastAsia="仿宋"/>
                <w:sz w:val="24"/>
                <w:szCs w:val="22"/>
              </w:rPr>
              <w:t>〔</w:t>
            </w:r>
            <w:r>
              <w:rPr>
                <w:rFonts w:ascii="Times New Roman" w:eastAsia="仿宋"/>
                <w:sz w:val="24"/>
                <w:szCs w:val="22"/>
              </w:rPr>
              <w:t>2020</w:t>
            </w:r>
            <w:r>
              <w:rPr>
                <w:rFonts w:hint="eastAsia" w:ascii="Times New Roman" w:eastAsia="仿宋"/>
                <w:sz w:val="24"/>
                <w:szCs w:val="22"/>
              </w:rPr>
              <w:t>〕</w:t>
            </w:r>
            <w:r>
              <w:rPr>
                <w:rFonts w:ascii="Times New Roman" w:eastAsia="仿宋"/>
                <w:sz w:val="24"/>
                <w:szCs w:val="22"/>
              </w:rPr>
              <w:t>1号），本项目不在生态空间保护区域范围内规定的一级、二级管控区范围内。因此，本项目选址与江苏省国家级生态保护红线规划相符。</w:t>
            </w:r>
          </w:p>
          <w:p w14:paraId="63F095A7">
            <w:pPr>
              <w:pStyle w:val="170"/>
              <w:jc w:val="left"/>
              <w:rPr>
                <w:rFonts w:ascii="Times New Roman" w:eastAsia="仿宋"/>
                <w:sz w:val="24"/>
                <w:szCs w:val="22"/>
              </w:rPr>
            </w:pPr>
            <w:r>
              <w:rPr>
                <w:rFonts w:hint="eastAsia" w:ascii="Times New Roman" w:eastAsia="仿宋"/>
                <w:sz w:val="24"/>
                <w:szCs w:val="22"/>
              </w:rPr>
              <w:t>对照</w:t>
            </w:r>
            <w:r>
              <w:rPr>
                <w:rFonts w:ascii="Times New Roman" w:eastAsia="仿宋"/>
                <w:sz w:val="24"/>
                <w:szCs w:val="22"/>
              </w:rPr>
              <w:t>《江苏省国家级生态保护红线划定方案》（苏政发〔2018〕74号）</w:t>
            </w:r>
            <w:r>
              <w:rPr>
                <w:rFonts w:hint="eastAsia" w:ascii="Times New Roman" w:eastAsia="仿宋"/>
                <w:sz w:val="24"/>
                <w:szCs w:val="22"/>
              </w:rPr>
              <w:t>，本项目不在生态保护红线范围内。</w:t>
            </w:r>
          </w:p>
          <w:p w14:paraId="19757FFB">
            <w:pPr>
              <w:pStyle w:val="170"/>
              <w:jc w:val="left"/>
              <w:rPr>
                <w:rFonts w:ascii="Times New Roman" w:eastAsia="仿宋"/>
                <w:sz w:val="24"/>
                <w:szCs w:val="22"/>
              </w:rPr>
            </w:pPr>
            <w:r>
              <w:rPr>
                <w:rFonts w:hint="eastAsia" w:ascii="Times New Roman" w:eastAsia="仿宋"/>
                <w:sz w:val="24"/>
                <w:szCs w:val="22"/>
              </w:rPr>
              <w:t>本项目从事汽车铝制板生产，不存在</w:t>
            </w:r>
            <w:r>
              <w:rPr>
                <w:rFonts w:ascii="Times New Roman" w:eastAsia="仿宋"/>
                <w:sz w:val="24"/>
                <w:szCs w:val="22"/>
              </w:rPr>
              <w:t>《省政府办公厅关于印发江苏省生态空间管控区域调整管理办法的通知》（苏政办发〔2021〕3号）中禁止的行为，</w:t>
            </w:r>
            <w:r>
              <w:rPr>
                <w:rFonts w:hint="eastAsia" w:ascii="Times New Roman" w:eastAsia="仿宋"/>
                <w:sz w:val="24"/>
                <w:szCs w:val="22"/>
              </w:rPr>
              <w:t>同时各污染物均经有效措施治理后达标排放，与文件相符。</w:t>
            </w:r>
          </w:p>
        </w:tc>
        <w:tc>
          <w:tcPr>
            <w:tcW w:w="582" w:type="pct"/>
            <w:vAlign w:val="center"/>
          </w:tcPr>
          <w:p w14:paraId="43B646C4">
            <w:pPr>
              <w:pStyle w:val="170"/>
              <w:rPr>
                <w:rFonts w:ascii="Times New Roman" w:eastAsia="仿宋"/>
                <w:sz w:val="24"/>
                <w:szCs w:val="22"/>
              </w:rPr>
            </w:pPr>
            <w:r>
              <w:rPr>
                <w:rFonts w:ascii="Times New Roman" w:eastAsia="仿宋"/>
                <w:sz w:val="24"/>
                <w:szCs w:val="22"/>
              </w:rPr>
              <w:t>是</w:t>
            </w:r>
          </w:p>
        </w:tc>
      </w:tr>
      <w:tr w14:paraId="4721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Align w:val="center"/>
          </w:tcPr>
          <w:p w14:paraId="6309ABED">
            <w:pPr>
              <w:pStyle w:val="170"/>
              <w:rPr>
                <w:rFonts w:ascii="Times New Roman" w:eastAsia="仿宋"/>
                <w:sz w:val="24"/>
                <w:szCs w:val="22"/>
              </w:rPr>
            </w:pPr>
            <w:r>
              <w:rPr>
                <w:rFonts w:ascii="Times New Roman" w:eastAsia="仿宋"/>
                <w:sz w:val="24"/>
                <w:szCs w:val="22"/>
              </w:rPr>
              <w:t>2</w:t>
            </w:r>
          </w:p>
        </w:tc>
        <w:tc>
          <w:tcPr>
            <w:tcW w:w="478" w:type="pct"/>
            <w:vAlign w:val="center"/>
          </w:tcPr>
          <w:p w14:paraId="02A6C1FB">
            <w:pPr>
              <w:pStyle w:val="170"/>
              <w:rPr>
                <w:rFonts w:ascii="Times New Roman" w:eastAsia="仿宋"/>
                <w:sz w:val="24"/>
                <w:szCs w:val="22"/>
              </w:rPr>
            </w:pPr>
            <w:r>
              <w:rPr>
                <w:rFonts w:ascii="Times New Roman" w:eastAsia="仿宋"/>
                <w:sz w:val="24"/>
                <w:szCs w:val="22"/>
              </w:rPr>
              <w:t>环境质量底线</w:t>
            </w:r>
          </w:p>
        </w:tc>
        <w:tc>
          <w:tcPr>
            <w:tcW w:w="3565" w:type="pct"/>
            <w:vAlign w:val="center"/>
          </w:tcPr>
          <w:p w14:paraId="333BF6A4">
            <w:pPr>
              <w:pStyle w:val="170"/>
              <w:jc w:val="left"/>
              <w:rPr>
                <w:rFonts w:ascii="Times New Roman" w:eastAsia="仿宋"/>
              </w:rPr>
            </w:pPr>
            <w:r>
              <w:rPr>
                <w:rFonts w:ascii="Times New Roman" w:eastAsia="仿宋"/>
                <w:sz w:val="24"/>
                <w:szCs w:val="22"/>
              </w:rPr>
              <w:t>根据《2023年常州市生态环境状况公报》可知，项目所在地区域环境空气质量为不达标区。本项目废气经合理收集处理后达标排放，通过预测分析，本项目废气因子排放对周围保护目标影响较小，均未超过各因子的环境质量标准。因此，项目排放的大气污染物对周围空气环境影响较小。本项目防治措施可行，新增污染物排放在区域内减量替代，在实施区域削减方案后，大气环境质量状况可以得到整体改善。根据现状监测结果可知，项目所在区域大气、地表水、声、土壤环境质量能够满足相应功能区划要求，地下水环境质量符合对应质量标准。本项目无含氮磷生产废水排放，</w:t>
            </w:r>
            <w:r>
              <w:rPr>
                <w:rFonts w:hint="eastAsia" w:ascii="Times New Roman" w:eastAsia="仿宋"/>
                <w:sz w:val="24"/>
                <w:szCs w:val="22"/>
              </w:rPr>
              <w:t>生产废水经厂内污水站处理后与生活污水接管进直溪污水处理厂处理，</w:t>
            </w:r>
            <w:r>
              <w:rPr>
                <w:rFonts w:ascii="Times New Roman" w:eastAsia="仿宋"/>
                <w:sz w:val="24"/>
                <w:szCs w:val="22"/>
              </w:rPr>
              <w:t>对地表水无直接影响。本项目的建设对周边环境影响较小，建成后不会突破当地环境质量底线。本项目的建设对周边环境影响较小，建成后不会突破当地环境质量底线。</w:t>
            </w:r>
          </w:p>
        </w:tc>
        <w:tc>
          <w:tcPr>
            <w:tcW w:w="582" w:type="pct"/>
            <w:vAlign w:val="center"/>
          </w:tcPr>
          <w:p w14:paraId="155F57DC">
            <w:pPr>
              <w:pStyle w:val="170"/>
              <w:rPr>
                <w:rFonts w:ascii="Times New Roman" w:eastAsia="仿宋"/>
                <w:szCs w:val="21"/>
              </w:rPr>
            </w:pPr>
            <w:r>
              <w:rPr>
                <w:rFonts w:ascii="Times New Roman" w:eastAsia="仿宋"/>
                <w:szCs w:val="21"/>
              </w:rPr>
              <w:t>满足</w:t>
            </w:r>
          </w:p>
        </w:tc>
      </w:tr>
      <w:tr w14:paraId="23DA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Align w:val="center"/>
          </w:tcPr>
          <w:p w14:paraId="3A526250">
            <w:pPr>
              <w:pStyle w:val="170"/>
              <w:rPr>
                <w:rFonts w:ascii="Times New Roman" w:eastAsia="仿宋"/>
                <w:sz w:val="24"/>
                <w:szCs w:val="22"/>
              </w:rPr>
            </w:pPr>
            <w:r>
              <w:rPr>
                <w:rFonts w:ascii="Times New Roman" w:eastAsia="仿宋"/>
                <w:sz w:val="24"/>
                <w:szCs w:val="22"/>
              </w:rPr>
              <w:t>3</w:t>
            </w:r>
          </w:p>
        </w:tc>
        <w:tc>
          <w:tcPr>
            <w:tcW w:w="478" w:type="pct"/>
            <w:vAlign w:val="center"/>
          </w:tcPr>
          <w:p w14:paraId="1463A87F">
            <w:pPr>
              <w:pStyle w:val="170"/>
              <w:rPr>
                <w:rFonts w:ascii="Times New Roman" w:eastAsia="仿宋"/>
                <w:sz w:val="24"/>
                <w:szCs w:val="22"/>
              </w:rPr>
            </w:pPr>
            <w:r>
              <w:rPr>
                <w:rFonts w:ascii="Times New Roman" w:eastAsia="仿宋"/>
                <w:spacing w:val="6"/>
                <w:sz w:val="24"/>
                <w:szCs w:val="22"/>
              </w:rPr>
              <w:t>资源利用上线</w:t>
            </w:r>
          </w:p>
        </w:tc>
        <w:tc>
          <w:tcPr>
            <w:tcW w:w="3565" w:type="pct"/>
            <w:vAlign w:val="center"/>
          </w:tcPr>
          <w:p w14:paraId="137E147B">
            <w:pPr>
              <w:pStyle w:val="170"/>
              <w:jc w:val="left"/>
              <w:rPr>
                <w:rFonts w:ascii="Times New Roman" w:eastAsia="仿宋"/>
                <w:sz w:val="24"/>
                <w:szCs w:val="22"/>
              </w:rPr>
            </w:pPr>
            <w:r>
              <w:rPr>
                <w:rFonts w:ascii="Times New Roman" w:eastAsia="仿宋"/>
                <w:spacing w:val="6"/>
                <w:sz w:val="24"/>
                <w:szCs w:val="22"/>
              </w:rPr>
              <w:t>本项目生产过程中所用的资源主要为水、电和天然气。本项目所在地水资源丰富，</w:t>
            </w:r>
            <w:r>
              <w:rPr>
                <w:rFonts w:ascii="Times New Roman" w:eastAsia="仿宋"/>
                <w:sz w:val="24"/>
                <w:szCs w:val="22"/>
              </w:rPr>
              <w:t>节约自来水使用量，</w:t>
            </w:r>
            <w:r>
              <w:rPr>
                <w:rFonts w:ascii="Times New Roman" w:eastAsia="仿宋"/>
                <w:spacing w:val="6"/>
                <w:sz w:val="24"/>
                <w:szCs w:val="22"/>
              </w:rPr>
              <w:t>此外，企业将采取有效的节电节水措施，符合</w:t>
            </w:r>
            <w:r>
              <w:rPr>
                <w:rFonts w:ascii="Times New Roman" w:eastAsia="仿宋"/>
                <w:sz w:val="24"/>
                <w:szCs w:val="22"/>
              </w:rPr>
              <w:t>资源利用上线相关要求</w:t>
            </w:r>
            <w:r>
              <w:rPr>
                <w:rFonts w:ascii="Times New Roman" w:eastAsia="仿宋"/>
                <w:spacing w:val="6"/>
                <w:sz w:val="24"/>
                <w:szCs w:val="22"/>
              </w:rPr>
              <w:t>。</w:t>
            </w:r>
          </w:p>
        </w:tc>
        <w:tc>
          <w:tcPr>
            <w:tcW w:w="582" w:type="pct"/>
            <w:vAlign w:val="center"/>
          </w:tcPr>
          <w:p w14:paraId="6502DC4B">
            <w:pPr>
              <w:pStyle w:val="170"/>
              <w:rPr>
                <w:rFonts w:ascii="Times New Roman" w:eastAsia="仿宋"/>
                <w:sz w:val="24"/>
                <w:szCs w:val="22"/>
              </w:rPr>
            </w:pPr>
            <w:r>
              <w:rPr>
                <w:rFonts w:ascii="Times New Roman" w:eastAsia="仿宋"/>
                <w:sz w:val="24"/>
                <w:szCs w:val="22"/>
              </w:rPr>
              <w:t>是</w:t>
            </w:r>
          </w:p>
        </w:tc>
      </w:tr>
      <w:tr w14:paraId="4ADC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Align w:val="center"/>
          </w:tcPr>
          <w:p w14:paraId="1DB9C093">
            <w:pPr>
              <w:pStyle w:val="170"/>
              <w:rPr>
                <w:rFonts w:ascii="Times New Roman" w:eastAsia="仿宋"/>
                <w:sz w:val="24"/>
                <w:szCs w:val="22"/>
              </w:rPr>
            </w:pPr>
            <w:r>
              <w:rPr>
                <w:rFonts w:ascii="Times New Roman" w:eastAsia="仿宋"/>
                <w:sz w:val="24"/>
                <w:szCs w:val="22"/>
              </w:rPr>
              <w:t>4</w:t>
            </w:r>
          </w:p>
        </w:tc>
        <w:tc>
          <w:tcPr>
            <w:tcW w:w="478" w:type="pct"/>
            <w:vAlign w:val="center"/>
          </w:tcPr>
          <w:p w14:paraId="065581E2">
            <w:pPr>
              <w:pStyle w:val="170"/>
              <w:rPr>
                <w:rFonts w:ascii="Times New Roman" w:eastAsia="仿宋"/>
                <w:sz w:val="24"/>
                <w:szCs w:val="22"/>
              </w:rPr>
            </w:pPr>
            <w:r>
              <w:rPr>
                <w:rFonts w:ascii="Times New Roman" w:eastAsia="仿宋"/>
                <w:sz w:val="24"/>
                <w:szCs w:val="22"/>
              </w:rPr>
              <w:t>环境准入负面清单</w:t>
            </w:r>
          </w:p>
        </w:tc>
        <w:tc>
          <w:tcPr>
            <w:tcW w:w="3565" w:type="pct"/>
            <w:vAlign w:val="center"/>
          </w:tcPr>
          <w:p w14:paraId="579DC1DE">
            <w:pPr>
              <w:pStyle w:val="170"/>
              <w:jc w:val="left"/>
              <w:rPr>
                <w:rFonts w:ascii="Times New Roman" w:eastAsia="仿宋"/>
                <w:sz w:val="24"/>
                <w:szCs w:val="22"/>
              </w:rPr>
            </w:pPr>
            <w:r>
              <w:rPr>
                <w:rFonts w:ascii="Times New Roman" w:eastAsia="仿宋"/>
                <w:sz w:val="24"/>
                <w:szCs w:val="22"/>
              </w:rPr>
              <w:t>本项目符合现行国家产业、行业政策。本项目不在《市场准入负面清单》（2022年版）、不属于《长江经济带发展负面清单指南》（试行，2022年版）及《关于印发&lt;长江经济带发展负面清单指南（试行，2022年版）&gt;江苏省实施细则的通知》（苏长江办发[2022]55号）中禁止类项目。因此，本项目符合环境准入负面清单相关要求。</w:t>
            </w:r>
          </w:p>
        </w:tc>
        <w:tc>
          <w:tcPr>
            <w:tcW w:w="582" w:type="pct"/>
            <w:vAlign w:val="center"/>
          </w:tcPr>
          <w:p w14:paraId="3FDE9F83">
            <w:pPr>
              <w:pStyle w:val="170"/>
              <w:rPr>
                <w:rFonts w:ascii="Times New Roman" w:eastAsia="仿宋"/>
                <w:sz w:val="24"/>
                <w:szCs w:val="22"/>
              </w:rPr>
            </w:pPr>
            <w:r>
              <w:rPr>
                <w:rFonts w:ascii="Times New Roman" w:eastAsia="仿宋"/>
                <w:sz w:val="24"/>
                <w:szCs w:val="22"/>
              </w:rPr>
              <w:t>是</w:t>
            </w:r>
          </w:p>
        </w:tc>
      </w:tr>
    </w:tbl>
    <w:p w14:paraId="7A3A18D6">
      <w:pPr>
        <w:pStyle w:val="6"/>
        <w:keepLines w:val="0"/>
        <w:tabs>
          <w:tab w:val="left" w:pos="709"/>
        </w:tabs>
        <w:spacing w:before="156" w:beforeLines="50" w:after="156" w:afterLines="50" w:line="500" w:lineRule="exact"/>
        <w:rPr>
          <w:rFonts w:ascii="Times New Roman" w:eastAsia="仿宋"/>
          <w:sz w:val="28"/>
          <w:szCs w:val="28"/>
        </w:rPr>
      </w:pPr>
      <w:r>
        <w:rPr>
          <w:rFonts w:hint="eastAsia" w:ascii="Times New Roman" w:eastAsia="仿宋"/>
          <w:sz w:val="28"/>
          <w:szCs w:val="28"/>
        </w:rPr>
        <w:t>1</w:t>
      </w:r>
      <w:r>
        <w:rPr>
          <w:rFonts w:ascii="Times New Roman" w:eastAsia="仿宋"/>
          <w:sz w:val="28"/>
          <w:szCs w:val="28"/>
        </w:rPr>
        <w:t>.4.4环境相容性分析</w:t>
      </w:r>
    </w:p>
    <w:p w14:paraId="5C0A86E9">
      <w:pPr>
        <w:spacing w:line="500" w:lineRule="exact"/>
        <w:ind w:firstLine="560" w:firstLineChars="200"/>
        <w:rPr>
          <w:rFonts w:ascii="Times New Roman" w:eastAsia="仿宋"/>
          <w:sz w:val="28"/>
          <w:szCs w:val="28"/>
        </w:rPr>
      </w:pPr>
      <w:r>
        <w:rPr>
          <w:rFonts w:ascii="Times New Roman" w:eastAsia="仿宋"/>
          <w:sz w:val="28"/>
          <w:szCs w:val="28"/>
        </w:rPr>
        <w:t>项目所在地位于</w:t>
      </w:r>
      <w:r>
        <w:rPr>
          <w:rFonts w:hint="eastAsia" w:ascii="Times New Roman" w:eastAsia="仿宋"/>
          <w:sz w:val="28"/>
          <w:szCs w:val="28"/>
        </w:rPr>
        <w:t>常州市金坛区朱林镇永兴路68号</w:t>
      </w:r>
      <w:r>
        <w:rPr>
          <w:rFonts w:ascii="Times New Roman" w:eastAsia="仿宋"/>
          <w:sz w:val="28"/>
          <w:szCs w:val="28"/>
        </w:rPr>
        <w:t>，周围都是其它生产企业和园区规划用地。本项目建成后全厂卫生防护距离范围内没有居民点</w:t>
      </w:r>
      <w:r>
        <w:rPr>
          <w:rFonts w:hint="eastAsia" w:ascii="Times New Roman" w:eastAsia="仿宋"/>
          <w:sz w:val="28"/>
          <w:szCs w:val="28"/>
        </w:rPr>
        <w:t>等环境敏感目标</w:t>
      </w:r>
      <w:r>
        <w:rPr>
          <w:rFonts w:ascii="Times New Roman" w:eastAsia="仿宋"/>
          <w:sz w:val="28"/>
          <w:szCs w:val="28"/>
        </w:rPr>
        <w:t>。</w:t>
      </w:r>
    </w:p>
    <w:p w14:paraId="0DC4BE4B">
      <w:pPr>
        <w:spacing w:line="500" w:lineRule="exact"/>
        <w:ind w:firstLine="560" w:firstLineChars="200"/>
        <w:rPr>
          <w:rFonts w:ascii="Times New Roman" w:eastAsia="仿宋"/>
          <w:sz w:val="28"/>
          <w:szCs w:val="28"/>
          <w:highlight w:val="yellow"/>
        </w:rPr>
      </w:pPr>
      <w:r>
        <w:rPr>
          <w:rFonts w:ascii="Times New Roman" w:eastAsia="仿宋"/>
          <w:sz w:val="28"/>
          <w:szCs w:val="28"/>
        </w:rPr>
        <w:t>本项目废气通过采取有效的治理措施后能够达标排放，根据大气环境影响分析，各环境保护目标各废气浓度均达到相应的质量标准，无组织废气厂界达标；</w:t>
      </w:r>
      <w:r>
        <w:rPr>
          <w:rFonts w:hint="eastAsia" w:ascii="Times New Roman" w:eastAsia="仿宋"/>
          <w:sz w:val="28"/>
          <w:szCs w:val="28"/>
        </w:rPr>
        <w:t>生产废水经厂区污水处理站处理后与生活污水一同</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集中处理，对地表水无直接影响。本项目噪声经过预测，</w:t>
      </w:r>
      <w:r>
        <w:rPr>
          <w:rFonts w:ascii="Times New Roman" w:eastAsia="仿宋"/>
          <w:sz w:val="28"/>
        </w:rPr>
        <w:t>各厂界昼、夜间噪声预测值均符合《</w:t>
      </w:r>
      <w:r>
        <w:rPr>
          <w:rFonts w:ascii="Times New Roman" w:eastAsia="仿宋"/>
          <w:sz w:val="28"/>
          <w:szCs w:val="28"/>
        </w:rPr>
        <w:t>工业企业厂界环境噪声排放标准》（GB12348-2008）中3类标准；本项目固废分类收集处置，不会对周围环境产生二次污染。</w:t>
      </w:r>
    </w:p>
    <w:p w14:paraId="0BE258B2">
      <w:pPr>
        <w:pStyle w:val="6"/>
        <w:keepLines w:val="0"/>
        <w:tabs>
          <w:tab w:val="left" w:pos="709"/>
        </w:tabs>
        <w:spacing w:before="156" w:beforeLines="50" w:after="156" w:afterLines="50" w:line="500" w:lineRule="exact"/>
        <w:rPr>
          <w:rFonts w:ascii="Times New Roman" w:eastAsia="仿宋"/>
          <w:sz w:val="28"/>
          <w:szCs w:val="28"/>
        </w:rPr>
      </w:pPr>
      <w:r>
        <w:rPr>
          <w:rFonts w:hint="eastAsia" w:ascii="Times New Roman" w:eastAsia="仿宋"/>
          <w:sz w:val="28"/>
          <w:szCs w:val="28"/>
        </w:rPr>
        <w:t>1</w:t>
      </w:r>
      <w:r>
        <w:rPr>
          <w:rFonts w:ascii="Times New Roman" w:eastAsia="仿宋"/>
          <w:sz w:val="28"/>
          <w:szCs w:val="28"/>
        </w:rPr>
        <w:t>.4.6初筛结果</w:t>
      </w:r>
    </w:p>
    <w:p w14:paraId="7B944F90">
      <w:pPr>
        <w:spacing w:line="500" w:lineRule="exact"/>
        <w:ind w:firstLine="560" w:firstLineChars="200"/>
        <w:contextualSpacing/>
        <w:rPr>
          <w:rFonts w:ascii="Times New Roman" w:eastAsia="仿宋"/>
          <w:sz w:val="28"/>
          <w:szCs w:val="28"/>
        </w:rPr>
      </w:pPr>
      <w:r>
        <w:rPr>
          <w:rFonts w:ascii="Times New Roman" w:eastAsia="仿宋"/>
          <w:sz w:val="28"/>
          <w:szCs w:val="28"/>
        </w:rPr>
        <w:t>本项目符合产业政策、符合相关规划要求，项目产生的废水、废气、噪声采取相应环保措施后可达标排放，经预测对周围居民影响较小，本项目建设具备环境可行性。同时企业需加强管理，确保污染物达标排放。</w:t>
      </w:r>
    </w:p>
    <w:p w14:paraId="51D5F663">
      <w:pPr>
        <w:pStyle w:val="5"/>
        <w:numPr>
          <w:ilvl w:val="0"/>
          <w:numId w:val="0"/>
        </w:numPr>
        <w:spacing w:before="156" w:after="156"/>
        <w:rPr>
          <w:rFonts w:eastAsia="仿宋"/>
          <w:color w:val="auto"/>
        </w:rPr>
      </w:pPr>
      <w:bookmarkStart w:id="49" w:name="_Toc182553799"/>
      <w:r>
        <w:rPr>
          <w:rFonts w:hint="eastAsia" w:eastAsia="仿宋"/>
          <w:color w:val="auto"/>
        </w:rPr>
        <w:t>1</w:t>
      </w:r>
      <w:r>
        <w:rPr>
          <w:rFonts w:eastAsia="仿宋"/>
          <w:color w:val="auto"/>
        </w:rPr>
        <w:t>.5关注的主要环境问题及环境影响</w:t>
      </w:r>
      <w:bookmarkEnd w:id="49"/>
    </w:p>
    <w:p w14:paraId="3A79853D">
      <w:pPr>
        <w:widowControl/>
        <w:spacing w:line="500" w:lineRule="exact"/>
        <w:ind w:firstLine="560" w:firstLineChars="200"/>
        <w:rPr>
          <w:rFonts w:ascii="Times New Roman" w:eastAsia="仿宋"/>
          <w:sz w:val="28"/>
          <w:szCs w:val="28"/>
        </w:rPr>
      </w:pPr>
      <w:r>
        <w:rPr>
          <w:rFonts w:ascii="Times New Roman" w:eastAsia="仿宋"/>
          <w:sz w:val="28"/>
          <w:szCs w:val="28"/>
        </w:rPr>
        <w:t>本项目重点关注的主要环境问题是：</w:t>
      </w:r>
    </w:p>
    <w:p w14:paraId="7ACB03D2">
      <w:pPr>
        <w:widowControl/>
        <w:spacing w:line="500" w:lineRule="exact"/>
        <w:ind w:firstLine="560" w:firstLineChars="200"/>
        <w:rPr>
          <w:rFonts w:ascii="Times New Roman" w:eastAsia="仿宋"/>
          <w:sz w:val="28"/>
          <w:szCs w:val="28"/>
        </w:rPr>
      </w:pPr>
      <w:r>
        <w:rPr>
          <w:rFonts w:ascii="Times New Roman" w:eastAsia="仿宋"/>
          <w:sz w:val="28"/>
          <w:szCs w:val="28"/>
        </w:rPr>
        <w:t>（1）生产过程产生的废气经收集处理后，达标排放的可行性及对周边大气环境及敏感点的环境影响；</w:t>
      </w:r>
    </w:p>
    <w:p w14:paraId="5DABB31D">
      <w:pPr>
        <w:widowControl/>
        <w:spacing w:line="500" w:lineRule="exact"/>
        <w:ind w:firstLine="560" w:firstLineChars="200"/>
        <w:rPr>
          <w:rFonts w:ascii="Times New Roman" w:eastAsia="仿宋"/>
          <w:sz w:val="28"/>
          <w:szCs w:val="28"/>
        </w:rPr>
      </w:pPr>
      <w:r>
        <w:rPr>
          <w:rFonts w:ascii="Times New Roman" w:eastAsia="仿宋"/>
          <w:sz w:val="28"/>
          <w:szCs w:val="28"/>
        </w:rPr>
        <w:t>（2）工艺废水经厂内污水站预处理后</w:t>
      </w:r>
      <w:r>
        <w:rPr>
          <w:rFonts w:hint="eastAsia" w:ascii="Times New Roman" w:eastAsia="仿宋"/>
          <w:sz w:val="28"/>
          <w:szCs w:val="28"/>
        </w:rPr>
        <w:t>排放的可行性</w:t>
      </w:r>
      <w:r>
        <w:rPr>
          <w:rFonts w:ascii="Times New Roman" w:eastAsia="仿宋"/>
          <w:sz w:val="28"/>
          <w:szCs w:val="28"/>
        </w:rPr>
        <w:t>；</w:t>
      </w:r>
    </w:p>
    <w:p w14:paraId="5CB89C0A">
      <w:pPr>
        <w:widowControl/>
        <w:spacing w:line="500" w:lineRule="exact"/>
        <w:ind w:firstLine="560" w:firstLineChars="200"/>
        <w:rPr>
          <w:rFonts w:ascii="Times New Roman" w:eastAsia="仿宋"/>
          <w:sz w:val="28"/>
          <w:szCs w:val="28"/>
        </w:rPr>
      </w:pPr>
      <w:r>
        <w:rPr>
          <w:rFonts w:ascii="Times New Roman" w:eastAsia="仿宋"/>
          <w:sz w:val="28"/>
          <w:szCs w:val="28"/>
        </w:rPr>
        <w:t>（3）</w:t>
      </w:r>
      <w:r>
        <w:rPr>
          <w:rFonts w:ascii="Times New Roman" w:eastAsia="仿宋"/>
          <w:sz w:val="28"/>
        </w:rPr>
        <w:t>火灾、爆炸或物料的溢出泄漏</w:t>
      </w:r>
      <w:r>
        <w:rPr>
          <w:rFonts w:ascii="Times New Roman" w:eastAsia="仿宋"/>
          <w:sz w:val="28"/>
          <w:szCs w:val="28"/>
        </w:rPr>
        <w:t>的事故风险及对周围环境（环境空气和地表水）的影响；</w:t>
      </w:r>
    </w:p>
    <w:p w14:paraId="6E10F77D">
      <w:pPr>
        <w:widowControl/>
        <w:spacing w:line="500" w:lineRule="exact"/>
        <w:ind w:firstLine="560" w:firstLineChars="200"/>
        <w:rPr>
          <w:rFonts w:ascii="Times New Roman" w:eastAsia="仿宋"/>
          <w:sz w:val="28"/>
          <w:szCs w:val="28"/>
        </w:rPr>
      </w:pPr>
      <w:r>
        <w:rPr>
          <w:rFonts w:ascii="Times New Roman" w:eastAsia="仿宋"/>
          <w:sz w:val="28"/>
          <w:szCs w:val="28"/>
        </w:rPr>
        <w:t>（4）确保各类固体废物零排放，不会对周围环境产生二次污染。</w:t>
      </w:r>
    </w:p>
    <w:p w14:paraId="5B603DCB">
      <w:pPr>
        <w:pStyle w:val="5"/>
        <w:numPr>
          <w:ilvl w:val="0"/>
          <w:numId w:val="0"/>
        </w:numPr>
        <w:spacing w:before="156" w:after="156"/>
        <w:rPr>
          <w:rFonts w:eastAsia="仿宋"/>
          <w:color w:val="auto"/>
        </w:rPr>
      </w:pPr>
      <w:bookmarkStart w:id="50" w:name="_Toc182553800"/>
      <w:r>
        <w:rPr>
          <w:rFonts w:hint="eastAsia" w:eastAsia="仿宋"/>
          <w:color w:val="auto"/>
        </w:rPr>
        <w:t>1</w:t>
      </w:r>
      <w:r>
        <w:rPr>
          <w:rFonts w:eastAsia="仿宋"/>
          <w:color w:val="auto"/>
        </w:rPr>
        <w:t>.6主要结论</w:t>
      </w:r>
      <w:bookmarkEnd w:id="50"/>
    </w:p>
    <w:p w14:paraId="5B642252">
      <w:pPr>
        <w:spacing w:line="500" w:lineRule="exact"/>
        <w:ind w:firstLine="560" w:firstLineChars="200"/>
        <w:contextualSpacing/>
        <w:rPr>
          <w:rFonts w:ascii="Times New Roman" w:eastAsia="仿宋"/>
          <w:sz w:val="28"/>
        </w:rPr>
      </w:pPr>
      <w:r>
        <w:rPr>
          <w:rFonts w:ascii="Times New Roman" w:eastAsia="仿宋"/>
          <w:sz w:val="28"/>
          <w:szCs w:val="28"/>
        </w:rPr>
        <w:t>本项目符合现行国家和地方产业政策，选址符合相关规划，项目拟使用的生产</w:t>
      </w:r>
      <w:r>
        <w:rPr>
          <w:rFonts w:hint="eastAsia" w:ascii="Times New Roman" w:eastAsia="仿宋"/>
          <w:sz w:val="28"/>
          <w:szCs w:val="28"/>
        </w:rPr>
        <w:t>设备</w:t>
      </w:r>
      <w:r>
        <w:rPr>
          <w:rFonts w:ascii="Times New Roman" w:eastAsia="仿宋"/>
          <w:sz w:val="28"/>
          <w:szCs w:val="28"/>
        </w:rPr>
        <w:t>和采取的生产工艺具有较高的清洁生产水平，采取各项污染防治措施后，可实现各类污染物达标排放，经预测，投运后不会引起周边环境质量下降；项目污染物总量排放指标可在</w:t>
      </w:r>
      <w:r>
        <w:rPr>
          <w:rFonts w:hint="eastAsia" w:ascii="Times New Roman" w:eastAsia="仿宋"/>
          <w:sz w:val="28"/>
          <w:szCs w:val="28"/>
        </w:rPr>
        <w:t>金坛区</w:t>
      </w:r>
      <w:r>
        <w:rPr>
          <w:rFonts w:ascii="Times New Roman" w:eastAsia="仿宋"/>
          <w:sz w:val="28"/>
          <w:szCs w:val="28"/>
        </w:rPr>
        <w:t>内平衡；建立风险防范措施，并制定切实可行的应急预案后，本项目的环境风险是</w:t>
      </w:r>
      <w:r>
        <w:rPr>
          <w:rFonts w:hint="eastAsia" w:ascii="Times New Roman" w:eastAsia="仿宋"/>
          <w:sz w:val="28"/>
          <w:szCs w:val="28"/>
        </w:rPr>
        <w:t>可防控的</w:t>
      </w:r>
      <w:r>
        <w:rPr>
          <w:rFonts w:ascii="Times New Roman" w:eastAsia="仿宋"/>
          <w:sz w:val="28"/>
          <w:szCs w:val="28"/>
        </w:rPr>
        <w:t xml:space="preserve">。在落实本报告书提出的各项环保措施要求、严格执行环保“三同时”的前提下，从环保角度分析，本项目建设具有环境可行性。 </w:t>
      </w:r>
    </w:p>
    <w:p w14:paraId="2B74341B">
      <w:pPr>
        <w:ind w:firstLine="663" w:firstLineChars="237"/>
        <w:rPr>
          <w:rFonts w:ascii="Times New Roman" w:eastAsia="仿宋"/>
          <w:sz w:val="28"/>
          <w:highlight w:val="yellow"/>
        </w:rPr>
        <w:sectPr>
          <w:footerReference r:id="rId7" w:type="default"/>
          <w:headerReference r:id="rId6" w:type="even"/>
          <w:footerReference r:id="rId8" w:type="even"/>
          <w:pgSz w:w="11906" w:h="16838"/>
          <w:pgMar w:top="1440" w:right="1800" w:bottom="1440" w:left="1800" w:header="851" w:footer="992" w:gutter="0"/>
          <w:pgNumType w:start="1"/>
          <w:cols w:space="720" w:num="1"/>
          <w:docGrid w:type="lines" w:linePitch="312" w:charSpace="0"/>
        </w:sectPr>
      </w:pPr>
    </w:p>
    <w:p w14:paraId="3E0403C7">
      <w:pPr>
        <w:pStyle w:val="4"/>
        <w:spacing w:before="120" w:beforeLines="50" w:after="120" w:afterLines="50" w:line="500" w:lineRule="exact"/>
        <w:rPr>
          <w:rFonts w:eastAsia="仿宋"/>
          <w:sz w:val="36"/>
          <w:szCs w:val="36"/>
        </w:rPr>
      </w:pPr>
      <w:bookmarkStart w:id="51" w:name="_Toc182553801"/>
      <w:r>
        <w:rPr>
          <w:rFonts w:hint="eastAsia" w:eastAsia="仿宋"/>
          <w:sz w:val="36"/>
          <w:szCs w:val="36"/>
        </w:rPr>
        <w:t>2</w:t>
      </w:r>
      <w:r>
        <w:rPr>
          <w:rFonts w:eastAsia="仿宋"/>
          <w:sz w:val="36"/>
          <w:szCs w:val="36"/>
        </w:rPr>
        <w:t>总则</w:t>
      </w:r>
      <w:bookmarkEnd w:id="51"/>
    </w:p>
    <w:p w14:paraId="4394A4D3">
      <w:pPr>
        <w:pStyle w:val="5"/>
        <w:numPr>
          <w:ilvl w:val="1"/>
          <w:numId w:val="0"/>
        </w:numPr>
        <w:rPr>
          <w:rFonts w:eastAsia="仿宋"/>
          <w:color w:val="auto"/>
        </w:rPr>
      </w:pPr>
      <w:bookmarkStart w:id="52" w:name="_Toc150574733"/>
      <w:bookmarkStart w:id="53" w:name="_Toc87426735"/>
      <w:bookmarkStart w:id="54" w:name="_Toc80436889"/>
      <w:bookmarkStart w:id="55" w:name="_Toc88297641"/>
      <w:bookmarkStart w:id="56" w:name="_Toc80789878"/>
      <w:bookmarkStart w:id="57" w:name="_Toc100835971"/>
      <w:bookmarkStart w:id="58" w:name="_Toc22463449"/>
      <w:bookmarkStart w:id="59" w:name="_Toc89501955"/>
      <w:bookmarkStart w:id="60" w:name="_Toc81039000"/>
      <w:bookmarkStart w:id="61" w:name="_Toc254685590"/>
      <w:bookmarkStart w:id="62" w:name="_Toc87426561"/>
      <w:bookmarkStart w:id="63" w:name="_Toc182553802"/>
      <w:bookmarkStart w:id="64" w:name="_Toc105831167"/>
      <w:bookmarkStart w:id="65" w:name="_Toc304838063"/>
      <w:bookmarkStart w:id="66" w:name="_Toc113878986"/>
      <w:bookmarkStart w:id="67" w:name="_Toc217889972"/>
      <w:bookmarkStart w:id="68" w:name="_Toc228437060"/>
      <w:bookmarkStart w:id="69" w:name="_Toc27799016"/>
      <w:bookmarkStart w:id="70" w:name="_Toc184015952"/>
      <w:bookmarkStart w:id="71" w:name="_Toc216670483"/>
      <w:bookmarkStart w:id="72" w:name="_Toc113763372"/>
      <w:bookmarkStart w:id="73" w:name="_Toc119769916"/>
      <w:bookmarkStart w:id="74" w:name="_Toc228541017"/>
      <w:bookmarkStart w:id="75" w:name="_Toc113763485"/>
      <w:bookmarkStart w:id="76" w:name="_Toc219540320"/>
      <w:bookmarkStart w:id="77" w:name="_Toc219541092"/>
      <w:bookmarkStart w:id="78" w:name="_Toc184016073"/>
      <w:bookmarkStart w:id="79" w:name="_Toc113878720"/>
      <w:bookmarkStart w:id="80" w:name="_Toc188062783"/>
      <w:bookmarkStart w:id="81" w:name="_Toc188077290"/>
      <w:bookmarkStart w:id="82" w:name="_Toc216664820"/>
      <w:bookmarkStart w:id="83" w:name="_Toc184587202"/>
      <w:bookmarkStart w:id="84" w:name="_Toc27814918"/>
      <w:bookmarkStart w:id="85" w:name="_Toc217889865"/>
      <w:bookmarkStart w:id="86" w:name="_Toc218996886"/>
      <w:bookmarkStart w:id="87" w:name="_Toc218822806"/>
      <w:bookmarkStart w:id="88" w:name="_Toc218823696"/>
      <w:bookmarkStart w:id="89" w:name="_Toc217889634"/>
      <w:bookmarkStart w:id="90" w:name="_Toc217879273"/>
      <w:bookmarkStart w:id="91" w:name="_Toc115683387"/>
      <w:bookmarkStart w:id="92" w:name="_Toc218388558"/>
      <w:bookmarkStart w:id="93" w:name="_Toc219169896"/>
      <w:r>
        <w:rPr>
          <w:rFonts w:hint="eastAsia" w:eastAsia="仿宋"/>
          <w:color w:val="auto"/>
        </w:rPr>
        <w:t>2.1</w:t>
      </w:r>
      <w:r>
        <w:rPr>
          <w:rFonts w:eastAsia="仿宋"/>
          <w:color w:val="auto"/>
        </w:rPr>
        <w:t>编制依据</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D94C718">
      <w:pPr>
        <w:pStyle w:val="6"/>
        <w:keepLines w:val="0"/>
        <w:tabs>
          <w:tab w:val="left" w:pos="709"/>
        </w:tabs>
        <w:spacing w:before="120" w:beforeLines="50" w:after="120" w:afterLines="50" w:line="500" w:lineRule="exact"/>
        <w:rPr>
          <w:rFonts w:ascii="Times New Roman" w:eastAsia="仿宋"/>
          <w:sz w:val="28"/>
          <w:szCs w:val="28"/>
        </w:rPr>
      </w:pPr>
      <w:bookmarkStart w:id="94" w:name="_Toc87426562"/>
      <w:bookmarkStart w:id="95" w:name="_Toc22463450"/>
      <w:r>
        <w:rPr>
          <w:rFonts w:hint="eastAsia" w:ascii="Times New Roman" w:eastAsia="仿宋"/>
          <w:sz w:val="28"/>
          <w:szCs w:val="28"/>
        </w:rPr>
        <w:t>2</w:t>
      </w:r>
      <w:r>
        <w:rPr>
          <w:rFonts w:ascii="Times New Roman" w:eastAsia="仿宋"/>
          <w:sz w:val="28"/>
          <w:szCs w:val="28"/>
        </w:rPr>
        <w:t>.1.1国家现行的环境保护法律、法规、规章及规范性文件</w:t>
      </w:r>
      <w:bookmarkEnd w:id="94"/>
      <w:bookmarkEnd w:id="95"/>
    </w:p>
    <w:p w14:paraId="17E63ABD">
      <w:pPr>
        <w:spacing w:line="500" w:lineRule="exact"/>
        <w:ind w:firstLine="560" w:firstLineChars="200"/>
        <w:rPr>
          <w:rFonts w:ascii="Times New Roman" w:eastAsia="仿宋"/>
          <w:sz w:val="28"/>
          <w:szCs w:val="28"/>
        </w:rPr>
      </w:pPr>
      <w:bookmarkStart w:id="96" w:name="_Hlt115187843"/>
      <w:bookmarkEnd w:id="96"/>
      <w:r>
        <w:rPr>
          <w:rFonts w:ascii="Times New Roman" w:eastAsia="仿宋"/>
          <w:sz w:val="28"/>
          <w:szCs w:val="28"/>
        </w:rPr>
        <w:t>（1）《中华人民共和国环境保护法》，第十二届全国人民代表大会常务委员会第八次会议于2014年4月24日修订通过，2015年1月1日实施；</w:t>
      </w:r>
    </w:p>
    <w:p w14:paraId="1096A54F">
      <w:pPr>
        <w:spacing w:line="500" w:lineRule="exact"/>
        <w:ind w:firstLine="560" w:firstLineChars="200"/>
        <w:rPr>
          <w:rFonts w:ascii="Times New Roman" w:eastAsia="仿宋"/>
          <w:sz w:val="28"/>
          <w:szCs w:val="28"/>
        </w:rPr>
      </w:pPr>
      <w:r>
        <w:rPr>
          <w:rFonts w:ascii="Times New Roman" w:eastAsia="仿宋"/>
          <w:sz w:val="28"/>
          <w:szCs w:val="28"/>
        </w:rPr>
        <w:t>（2）《中华人民共和国环境影响评价法》，2018年12月29日修订并施行；</w:t>
      </w:r>
    </w:p>
    <w:p w14:paraId="21C156BF">
      <w:pPr>
        <w:spacing w:line="500" w:lineRule="exact"/>
        <w:ind w:firstLine="560" w:firstLineChars="200"/>
        <w:rPr>
          <w:rFonts w:ascii="Times New Roman" w:eastAsia="仿宋"/>
          <w:sz w:val="28"/>
          <w:szCs w:val="28"/>
        </w:rPr>
      </w:pPr>
      <w:r>
        <w:rPr>
          <w:rFonts w:ascii="Times New Roman" w:eastAsia="仿宋"/>
          <w:sz w:val="28"/>
          <w:szCs w:val="28"/>
        </w:rPr>
        <w:t>（3）《全国人民代表大会常务委员会关于修改〈中华人民共和国水污染防治法〉的决定》，由中华人民共和国第十二届全国人民代表大会常务委员会第二十八次会议于2017年6月27日通过，自2018年1月1日起施行；</w:t>
      </w:r>
    </w:p>
    <w:p w14:paraId="72F51F36">
      <w:pPr>
        <w:spacing w:line="500" w:lineRule="exact"/>
        <w:ind w:firstLine="560" w:firstLineChars="200"/>
        <w:rPr>
          <w:rFonts w:ascii="Times New Roman" w:eastAsia="仿宋"/>
          <w:sz w:val="28"/>
          <w:szCs w:val="28"/>
        </w:rPr>
      </w:pPr>
      <w:r>
        <w:rPr>
          <w:rFonts w:ascii="Times New Roman" w:eastAsia="仿宋"/>
          <w:sz w:val="28"/>
          <w:szCs w:val="28"/>
        </w:rPr>
        <w:t>（4）《中华人民共和国大气污染防治法》，2018年10月26日修订并施行；</w:t>
      </w:r>
    </w:p>
    <w:p w14:paraId="2253DD3C">
      <w:pPr>
        <w:spacing w:line="500" w:lineRule="exact"/>
        <w:ind w:firstLine="560" w:firstLineChars="200"/>
        <w:rPr>
          <w:rFonts w:ascii="Times New Roman" w:eastAsia="仿宋"/>
          <w:sz w:val="28"/>
          <w:szCs w:val="28"/>
        </w:rPr>
      </w:pPr>
      <w:r>
        <w:rPr>
          <w:rFonts w:ascii="Times New Roman" w:eastAsia="仿宋"/>
          <w:sz w:val="28"/>
          <w:szCs w:val="28"/>
        </w:rPr>
        <w:t>（5）《中华人民共和国噪声污染防治法》，2021年12月24日，第十三届全国人民代表大会常务委员会第三十二次会议通过对《中华人民共和国环境噪声污染防治法》作出修改，自2022年6月5日起实施；</w:t>
      </w:r>
    </w:p>
    <w:p w14:paraId="56075548">
      <w:pPr>
        <w:spacing w:line="500" w:lineRule="exact"/>
        <w:ind w:firstLine="560" w:firstLineChars="200"/>
        <w:rPr>
          <w:rFonts w:ascii="Times New Roman" w:eastAsia="仿宋"/>
          <w:sz w:val="28"/>
          <w:szCs w:val="28"/>
        </w:rPr>
      </w:pPr>
      <w:r>
        <w:rPr>
          <w:rFonts w:ascii="Times New Roman" w:eastAsia="仿宋"/>
          <w:sz w:val="28"/>
          <w:szCs w:val="28"/>
        </w:rPr>
        <w:t>（6）《中华人民共和国固体废物污染环境防治法》，2020年4月29日，第十三届全国人民代表大会常务委员会第十七次会议通过，自2020年9月1日起施行；</w:t>
      </w:r>
    </w:p>
    <w:p w14:paraId="0759D367">
      <w:pPr>
        <w:spacing w:line="500" w:lineRule="exact"/>
        <w:ind w:firstLine="560" w:firstLineChars="200"/>
        <w:rPr>
          <w:rFonts w:ascii="Times New Roman" w:eastAsia="仿宋"/>
          <w:sz w:val="28"/>
          <w:szCs w:val="28"/>
        </w:rPr>
      </w:pPr>
      <w:r>
        <w:rPr>
          <w:rFonts w:ascii="Times New Roman" w:eastAsia="仿宋"/>
          <w:sz w:val="28"/>
          <w:szCs w:val="28"/>
        </w:rPr>
        <w:t>（7）《中华人民共和国土壤污染防治法》，自2019年1月1日起实施；</w:t>
      </w:r>
    </w:p>
    <w:p w14:paraId="7C091789">
      <w:pPr>
        <w:spacing w:line="500" w:lineRule="exact"/>
        <w:ind w:firstLine="560" w:firstLineChars="200"/>
        <w:rPr>
          <w:rFonts w:ascii="Times New Roman" w:eastAsia="仿宋"/>
          <w:sz w:val="28"/>
          <w:szCs w:val="28"/>
        </w:rPr>
      </w:pPr>
      <w:r>
        <w:rPr>
          <w:rFonts w:ascii="Times New Roman" w:eastAsia="仿宋"/>
          <w:sz w:val="28"/>
          <w:szCs w:val="28"/>
        </w:rPr>
        <w:t>（8）《中华人民共和国水法》（2016年7月2日第十二届全国人民代表大会常务委员会第二十一次会议《关于修改〈中华人民共和国节约能源法〉等六部法律的决定》第二次修正），自2016年7月2日起施行；</w:t>
      </w:r>
    </w:p>
    <w:p w14:paraId="451EB24F">
      <w:pPr>
        <w:spacing w:line="500" w:lineRule="exact"/>
        <w:ind w:firstLine="560" w:firstLineChars="200"/>
        <w:rPr>
          <w:rFonts w:ascii="Times New Roman" w:eastAsia="仿宋"/>
          <w:sz w:val="28"/>
          <w:szCs w:val="28"/>
        </w:rPr>
      </w:pPr>
      <w:r>
        <w:rPr>
          <w:rFonts w:ascii="Times New Roman" w:eastAsia="仿宋"/>
          <w:sz w:val="28"/>
          <w:szCs w:val="28"/>
        </w:rPr>
        <w:t>（9）《中华人民共和国土地管理法》（2019年8月26日第十三届全国人民代表大会常务委员会第十二次会议《关于修改〈中华人民共和国土地管理法〉、〈中华人民共和国城市房地产管理法〉的决定》第三次修正），自2019年8月26日起施行；</w:t>
      </w:r>
    </w:p>
    <w:p w14:paraId="34818FFD">
      <w:pPr>
        <w:spacing w:line="500" w:lineRule="exact"/>
        <w:ind w:firstLine="560" w:firstLineChars="200"/>
        <w:rPr>
          <w:rFonts w:ascii="Times New Roman" w:eastAsia="仿宋"/>
          <w:sz w:val="28"/>
          <w:szCs w:val="28"/>
        </w:rPr>
      </w:pPr>
      <w:r>
        <w:rPr>
          <w:rFonts w:ascii="Times New Roman" w:eastAsia="仿宋"/>
          <w:sz w:val="28"/>
          <w:szCs w:val="28"/>
        </w:rPr>
        <w:t>（10）《中华人民共和国清洁生产促进法（2012）》，第十一届全国人民代表大会常务委员会第二十五次会议于2012年2月29日修订通过，2012年7月1日起实施；</w:t>
      </w:r>
    </w:p>
    <w:p w14:paraId="51292963">
      <w:pPr>
        <w:spacing w:line="500" w:lineRule="exact"/>
        <w:ind w:firstLine="560" w:firstLineChars="200"/>
        <w:rPr>
          <w:rFonts w:ascii="Times New Roman" w:eastAsia="仿宋"/>
          <w:sz w:val="28"/>
          <w:szCs w:val="28"/>
        </w:rPr>
      </w:pPr>
      <w:r>
        <w:rPr>
          <w:rFonts w:ascii="Times New Roman" w:eastAsia="仿宋"/>
          <w:sz w:val="28"/>
          <w:szCs w:val="28"/>
        </w:rPr>
        <w:t>（11）《建设项目环境保护管理条例》，国务院令第682号，2017年7月16日颁布，自2017年10月1日起施行；</w:t>
      </w:r>
    </w:p>
    <w:p w14:paraId="668AA206">
      <w:pPr>
        <w:spacing w:line="500" w:lineRule="exact"/>
        <w:ind w:firstLine="560" w:firstLineChars="200"/>
        <w:rPr>
          <w:rFonts w:ascii="Times New Roman" w:eastAsia="仿宋"/>
          <w:sz w:val="28"/>
          <w:szCs w:val="28"/>
        </w:rPr>
      </w:pPr>
      <w:r>
        <w:rPr>
          <w:rFonts w:ascii="Times New Roman" w:eastAsia="仿宋"/>
          <w:sz w:val="28"/>
          <w:szCs w:val="28"/>
        </w:rPr>
        <w:t>（12）《建设项目环境影响评价分类管理名录（2021年版）》，2020年11月5日生态环境部部务会议审议通过，自2021年1月1日起施行；</w:t>
      </w:r>
    </w:p>
    <w:p w14:paraId="745B695F">
      <w:pPr>
        <w:spacing w:line="500" w:lineRule="exact"/>
        <w:ind w:firstLine="560" w:firstLineChars="200"/>
        <w:rPr>
          <w:rFonts w:ascii="Times New Roman" w:eastAsia="仿宋"/>
          <w:sz w:val="28"/>
          <w:szCs w:val="28"/>
        </w:rPr>
      </w:pPr>
      <w:r>
        <w:rPr>
          <w:rFonts w:ascii="Times New Roman" w:eastAsia="仿宋"/>
          <w:sz w:val="28"/>
          <w:szCs w:val="28"/>
        </w:rPr>
        <w:t>（13）《国家危险废物名录 2021年版》，于2020年11月5日经生态环境部部务会议审议通过，自2021年1月1日起施行；</w:t>
      </w:r>
    </w:p>
    <w:p w14:paraId="37D64987">
      <w:pPr>
        <w:spacing w:line="500" w:lineRule="exact"/>
        <w:ind w:firstLine="560" w:firstLineChars="200"/>
        <w:rPr>
          <w:rFonts w:ascii="Times New Roman" w:eastAsia="仿宋"/>
          <w:sz w:val="28"/>
          <w:szCs w:val="28"/>
        </w:rPr>
      </w:pPr>
      <w:r>
        <w:rPr>
          <w:rFonts w:ascii="Times New Roman" w:eastAsia="仿宋"/>
          <w:sz w:val="28"/>
          <w:szCs w:val="28"/>
        </w:rPr>
        <w:t>（14）《危险废物转移管理办法》，生态环境部、公安部、交通运输部令第23号；</w:t>
      </w:r>
    </w:p>
    <w:p w14:paraId="44DF43C6">
      <w:pPr>
        <w:spacing w:line="500" w:lineRule="exact"/>
        <w:ind w:firstLine="560" w:firstLineChars="200"/>
        <w:rPr>
          <w:rFonts w:ascii="Times New Roman" w:eastAsia="仿宋"/>
          <w:sz w:val="28"/>
          <w:szCs w:val="28"/>
        </w:rPr>
      </w:pPr>
      <w:r>
        <w:rPr>
          <w:rFonts w:ascii="Times New Roman" w:eastAsia="仿宋"/>
          <w:sz w:val="28"/>
          <w:szCs w:val="28"/>
        </w:rPr>
        <w:t>（15）《危险化学品安全管理条例》（国务院令第645号），2013年12月7日修订并实施；</w:t>
      </w:r>
    </w:p>
    <w:p w14:paraId="2AC5F07E">
      <w:pPr>
        <w:spacing w:line="500" w:lineRule="exact"/>
        <w:ind w:firstLine="560" w:firstLineChars="200"/>
        <w:rPr>
          <w:rFonts w:ascii="Times New Roman" w:eastAsia="仿宋"/>
          <w:sz w:val="28"/>
          <w:szCs w:val="28"/>
        </w:rPr>
      </w:pPr>
      <w:r>
        <w:rPr>
          <w:rFonts w:ascii="Times New Roman" w:eastAsia="仿宋"/>
          <w:sz w:val="28"/>
          <w:szCs w:val="28"/>
        </w:rPr>
        <w:t>（16）《关于启用&lt;建设项目环境影响报告书审批基础信息表&gt;的通知》（环办环评函〔2020〕711号）；</w:t>
      </w:r>
    </w:p>
    <w:p w14:paraId="15927A96">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1</w:t>
      </w:r>
      <w:r>
        <w:rPr>
          <w:rFonts w:ascii="Times New Roman" w:eastAsia="仿宋"/>
          <w:sz w:val="28"/>
          <w:szCs w:val="28"/>
        </w:rPr>
        <w:t>7）《太湖流域管理条例》（中华人民共和国国务院令第604号），自2011年11月1日起实施；</w:t>
      </w:r>
    </w:p>
    <w:p w14:paraId="48D04215">
      <w:pPr>
        <w:spacing w:line="500" w:lineRule="exact"/>
        <w:ind w:firstLine="560" w:firstLineChars="200"/>
        <w:rPr>
          <w:rFonts w:ascii="Times New Roman" w:eastAsia="仿宋"/>
          <w:sz w:val="28"/>
          <w:szCs w:val="28"/>
        </w:rPr>
      </w:pPr>
      <w:r>
        <w:rPr>
          <w:rFonts w:ascii="Times New Roman" w:eastAsia="仿宋"/>
          <w:sz w:val="28"/>
          <w:szCs w:val="28"/>
        </w:rPr>
        <w:t>（19）《关于印发〈建设项目环境影响评价政府信息公开指南（试行）〉的通知》（环办〔2013〕103号）；</w:t>
      </w:r>
    </w:p>
    <w:p w14:paraId="6A5B17B6">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2</w:t>
      </w:r>
      <w:r>
        <w:rPr>
          <w:rFonts w:ascii="Times New Roman" w:eastAsia="仿宋"/>
          <w:sz w:val="28"/>
          <w:szCs w:val="28"/>
        </w:rPr>
        <w:t>0）《关于印发〈建设项目主要污染物排放总量指标审核及管理暂行办法〉的通知》（环发〔2014〕197号）；</w:t>
      </w:r>
    </w:p>
    <w:p w14:paraId="4E38AAD0">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2</w:t>
      </w:r>
      <w:r>
        <w:rPr>
          <w:rFonts w:ascii="Times New Roman" w:eastAsia="仿宋"/>
          <w:sz w:val="28"/>
          <w:szCs w:val="28"/>
        </w:rPr>
        <w:t>1）《挥发性有机物（VOCs）污染防治技术政策》（中华人民共和国环境保护部公告2013年第31号），2013年5月24日起实施；</w:t>
      </w:r>
    </w:p>
    <w:p w14:paraId="64ECDB11">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2</w:t>
      </w:r>
      <w:r>
        <w:rPr>
          <w:rFonts w:ascii="Times New Roman" w:eastAsia="仿宋"/>
          <w:sz w:val="28"/>
          <w:szCs w:val="28"/>
        </w:rPr>
        <w:t>3）《重点行业挥发性有机物综合治理方案》（环大气[2019]53号），2019年6月29日；</w:t>
      </w:r>
    </w:p>
    <w:p w14:paraId="1BE34CA3">
      <w:pPr>
        <w:spacing w:line="500" w:lineRule="exact"/>
        <w:ind w:firstLine="560" w:firstLineChars="200"/>
        <w:rPr>
          <w:rFonts w:ascii="Times New Roman" w:eastAsia="仿宋"/>
          <w:sz w:val="28"/>
          <w:szCs w:val="28"/>
        </w:rPr>
      </w:pPr>
      <w:r>
        <w:rPr>
          <w:rFonts w:ascii="Times New Roman" w:eastAsia="仿宋"/>
          <w:sz w:val="28"/>
          <w:szCs w:val="28"/>
        </w:rPr>
        <w:t>（24）</w:t>
      </w:r>
      <w:r>
        <w:rPr>
          <w:rFonts w:hint="eastAsia" w:ascii="Times New Roman" w:eastAsia="仿宋"/>
          <w:sz w:val="28"/>
          <w:szCs w:val="28"/>
        </w:rPr>
        <w:t>《突发环境事件应急管理办法》（部令第34号），自2015年6月5日起施行；</w:t>
      </w:r>
    </w:p>
    <w:p w14:paraId="44C1D039">
      <w:pPr>
        <w:spacing w:line="500" w:lineRule="exact"/>
        <w:ind w:firstLine="560" w:firstLineChars="200"/>
        <w:rPr>
          <w:rFonts w:ascii="Times New Roman" w:eastAsia="仿宋"/>
          <w:sz w:val="28"/>
          <w:szCs w:val="28"/>
        </w:rPr>
      </w:pPr>
      <w:r>
        <w:rPr>
          <w:rFonts w:ascii="Times New Roman" w:eastAsia="仿宋"/>
          <w:sz w:val="28"/>
          <w:szCs w:val="28"/>
        </w:rPr>
        <w:t>（25）《一般工业固体废物贮存和填埋污染控制</w:t>
      </w:r>
      <w:r>
        <w:rPr>
          <w:rFonts w:hint="eastAsia" w:ascii="Times New Roman" w:eastAsia="仿宋"/>
          <w:sz w:val="28"/>
          <w:szCs w:val="28"/>
        </w:rPr>
        <w:t>标准</w:t>
      </w:r>
      <w:r>
        <w:rPr>
          <w:rFonts w:ascii="Times New Roman" w:eastAsia="仿宋"/>
          <w:sz w:val="28"/>
          <w:szCs w:val="28"/>
        </w:rPr>
        <w:t>》（GB18599-2020），2021年7月1日实施；</w:t>
      </w:r>
    </w:p>
    <w:p w14:paraId="3083A392">
      <w:pPr>
        <w:spacing w:line="500" w:lineRule="exact"/>
        <w:ind w:firstLine="560" w:firstLineChars="200"/>
        <w:rPr>
          <w:rFonts w:ascii="Times New Roman" w:eastAsia="仿宋"/>
          <w:sz w:val="28"/>
          <w:szCs w:val="28"/>
        </w:rPr>
      </w:pPr>
      <w:r>
        <w:rPr>
          <w:rFonts w:ascii="Times New Roman" w:eastAsia="仿宋"/>
          <w:sz w:val="28"/>
          <w:szCs w:val="28"/>
        </w:rPr>
        <w:t>（26）《关于以改善环境质量为核心加强环境影响评价管理的通知》（环环评[2016]150号）；</w:t>
      </w:r>
    </w:p>
    <w:p w14:paraId="4E483290">
      <w:pPr>
        <w:spacing w:line="500" w:lineRule="exact"/>
        <w:ind w:firstLine="560" w:firstLineChars="200"/>
        <w:rPr>
          <w:rFonts w:ascii="Times New Roman" w:eastAsia="仿宋"/>
          <w:sz w:val="28"/>
          <w:szCs w:val="28"/>
        </w:rPr>
      </w:pPr>
      <w:r>
        <w:rPr>
          <w:rFonts w:ascii="Times New Roman" w:eastAsia="仿宋"/>
          <w:sz w:val="28"/>
          <w:szCs w:val="28"/>
        </w:rPr>
        <w:t>（27）关于发布《有毒有害大气污染物名录（2018年）》的公告（公告 2019年第4号）；</w:t>
      </w:r>
    </w:p>
    <w:p w14:paraId="5463B89B">
      <w:pPr>
        <w:spacing w:line="500" w:lineRule="exact"/>
        <w:ind w:firstLine="560" w:firstLineChars="200"/>
        <w:rPr>
          <w:rFonts w:ascii="Times New Roman" w:eastAsia="仿宋"/>
          <w:sz w:val="28"/>
          <w:szCs w:val="28"/>
        </w:rPr>
      </w:pPr>
      <w:r>
        <w:rPr>
          <w:rFonts w:ascii="Times New Roman" w:eastAsia="仿宋"/>
          <w:sz w:val="28"/>
          <w:szCs w:val="28"/>
        </w:rPr>
        <w:t>（28）《排污许可管理办法》（试行）（2019年修改）；</w:t>
      </w:r>
    </w:p>
    <w:p w14:paraId="5E6277BF">
      <w:pPr>
        <w:spacing w:line="500" w:lineRule="exact"/>
        <w:ind w:firstLine="560" w:firstLineChars="200"/>
        <w:rPr>
          <w:rFonts w:ascii="Times New Roman" w:eastAsia="仿宋"/>
          <w:sz w:val="28"/>
          <w:szCs w:val="28"/>
        </w:rPr>
      </w:pPr>
      <w:r>
        <w:rPr>
          <w:rFonts w:ascii="Times New Roman" w:eastAsia="仿宋"/>
          <w:sz w:val="28"/>
          <w:szCs w:val="28"/>
        </w:rPr>
        <w:t>（29）《关于做好环境影响评价与排污许可制衔接相干工作的通知》（环办环评[2017]84号）；</w:t>
      </w:r>
    </w:p>
    <w:p w14:paraId="2E5D5051">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3</w:t>
      </w:r>
      <w:r>
        <w:rPr>
          <w:rFonts w:ascii="Times New Roman" w:eastAsia="仿宋"/>
          <w:sz w:val="28"/>
          <w:szCs w:val="28"/>
        </w:rPr>
        <w:t>0）关于发布《建设项目竣工环境保护验收暂行办法》的公告（国环规环评[2017]4号）；</w:t>
      </w:r>
    </w:p>
    <w:p w14:paraId="2CE07836">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3</w:t>
      </w:r>
      <w:r>
        <w:rPr>
          <w:rFonts w:ascii="Times New Roman" w:eastAsia="仿宋"/>
          <w:sz w:val="28"/>
          <w:szCs w:val="28"/>
        </w:rPr>
        <w:t>1）《地下水管理条例》（国令第748号）；</w:t>
      </w:r>
    </w:p>
    <w:p w14:paraId="50BCE4D7">
      <w:pPr>
        <w:spacing w:line="500" w:lineRule="exact"/>
        <w:ind w:firstLine="560" w:firstLineChars="200"/>
        <w:rPr>
          <w:rFonts w:ascii="Times New Roman" w:eastAsia="仿宋"/>
          <w:sz w:val="28"/>
          <w:szCs w:val="28"/>
        </w:rPr>
      </w:pPr>
      <w:r>
        <w:rPr>
          <w:rFonts w:ascii="Times New Roman" w:eastAsia="仿宋"/>
          <w:sz w:val="28"/>
          <w:szCs w:val="28"/>
        </w:rPr>
        <w:t>（32）《关于启用〈建设项目环境影响报告书审批基础信息表〉的通知》（环办环评函〔2020〕711号）；</w:t>
      </w:r>
    </w:p>
    <w:p w14:paraId="7E07B3EB">
      <w:pPr>
        <w:spacing w:line="500" w:lineRule="exact"/>
        <w:ind w:firstLine="560" w:firstLineChars="200"/>
        <w:rPr>
          <w:rFonts w:ascii="Times New Roman" w:eastAsia="仿宋"/>
          <w:sz w:val="28"/>
          <w:szCs w:val="28"/>
        </w:rPr>
      </w:pPr>
      <w:r>
        <w:rPr>
          <w:rFonts w:ascii="Times New Roman" w:eastAsia="仿宋"/>
          <w:sz w:val="28"/>
          <w:szCs w:val="28"/>
        </w:rPr>
        <w:t>（33）《强化危险废物监管和利用处置能力改革实施方案》（国办函〔2021〕47号）；</w:t>
      </w:r>
    </w:p>
    <w:p w14:paraId="76FD9AC7">
      <w:pPr>
        <w:spacing w:line="500" w:lineRule="exact"/>
        <w:ind w:firstLine="560" w:firstLineChars="200"/>
        <w:rPr>
          <w:rFonts w:ascii="Times New Roman" w:eastAsia="仿宋"/>
          <w:sz w:val="28"/>
          <w:szCs w:val="28"/>
        </w:rPr>
      </w:pPr>
      <w:r>
        <w:rPr>
          <w:rFonts w:ascii="Times New Roman" w:eastAsia="仿宋"/>
          <w:sz w:val="28"/>
          <w:szCs w:val="28"/>
        </w:rPr>
        <w:t>（34）《关于进一步加强环保设备设施安全生产工作的通知》（安委办明电〔2022〕17号）；</w:t>
      </w:r>
    </w:p>
    <w:p w14:paraId="7DB3CFBC">
      <w:pPr>
        <w:spacing w:line="500" w:lineRule="exact"/>
        <w:ind w:firstLine="560" w:firstLineChars="200"/>
        <w:rPr>
          <w:rFonts w:ascii="Times New Roman" w:eastAsia="仿宋"/>
          <w:sz w:val="28"/>
          <w:szCs w:val="28"/>
        </w:rPr>
      </w:pPr>
      <w:r>
        <w:rPr>
          <w:rFonts w:ascii="Times New Roman" w:eastAsia="仿宋"/>
          <w:sz w:val="28"/>
          <w:szCs w:val="28"/>
        </w:rPr>
        <w:t>（35）《危险废物贮存污染控制标准》（GB18597-2023）；</w:t>
      </w:r>
    </w:p>
    <w:p w14:paraId="188A8185">
      <w:pPr>
        <w:spacing w:line="500" w:lineRule="exact"/>
        <w:ind w:firstLine="560" w:firstLineChars="200"/>
        <w:rPr>
          <w:rFonts w:ascii="Times New Roman" w:eastAsia="仿宋"/>
          <w:sz w:val="28"/>
          <w:szCs w:val="28"/>
        </w:rPr>
      </w:pPr>
      <w:r>
        <w:rPr>
          <w:rFonts w:ascii="Times New Roman" w:eastAsia="仿宋"/>
          <w:sz w:val="28"/>
          <w:szCs w:val="28"/>
        </w:rPr>
        <w:t>（36）《国家发展改革委等部门关于印发太湖流域水环境综合治理总体方案的通知》（发改地区〔2022〕959号）</w:t>
      </w:r>
      <w:r>
        <w:rPr>
          <w:rFonts w:hint="eastAsia" w:ascii="Times New Roman" w:eastAsia="仿宋"/>
          <w:sz w:val="28"/>
          <w:szCs w:val="28"/>
        </w:rPr>
        <w:t>；</w:t>
      </w:r>
    </w:p>
    <w:p w14:paraId="1B22F3C9">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37</w:t>
      </w:r>
      <w:r>
        <w:rPr>
          <w:rFonts w:hint="eastAsia" w:ascii="Times New Roman" w:eastAsia="仿宋"/>
          <w:sz w:val="28"/>
          <w:szCs w:val="28"/>
        </w:rPr>
        <w:t>）</w:t>
      </w:r>
      <w:r>
        <w:rPr>
          <w:rFonts w:ascii="Times New Roman" w:eastAsia="仿宋"/>
          <w:sz w:val="28"/>
          <w:szCs w:val="28"/>
        </w:rPr>
        <w:t>《危险废物识别标志设置技术规范》（HJ1276-2022）</w:t>
      </w:r>
      <w:r>
        <w:rPr>
          <w:rFonts w:hint="eastAsia" w:ascii="Times New Roman" w:eastAsia="仿宋"/>
          <w:sz w:val="28"/>
          <w:szCs w:val="28"/>
        </w:rPr>
        <w:t>；</w:t>
      </w:r>
    </w:p>
    <w:p w14:paraId="3B5F56DE">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.1.2产业政策与行业管理规定</w:t>
      </w:r>
    </w:p>
    <w:p w14:paraId="61E85B1B">
      <w:pPr>
        <w:adjustRightInd w:val="0"/>
        <w:snapToGrid w:val="0"/>
        <w:spacing w:line="500" w:lineRule="exact"/>
        <w:ind w:firstLine="560" w:firstLineChars="200"/>
        <w:rPr>
          <w:rFonts w:ascii="Times New Roman" w:eastAsia="仿宋"/>
          <w:bCs/>
          <w:sz w:val="28"/>
          <w:szCs w:val="28"/>
        </w:rPr>
      </w:pPr>
      <w:bookmarkStart w:id="97" w:name="_Hlk135648723"/>
      <w:r>
        <w:rPr>
          <w:rFonts w:ascii="Times New Roman" w:eastAsia="仿宋"/>
          <w:bCs/>
          <w:sz w:val="28"/>
          <w:szCs w:val="28"/>
        </w:rPr>
        <w:t>（1）《产业结构调整指导目录（2024年本）》（中华人民共和国国家发展和改革委员会令第7号，2023年12月27日）；</w:t>
      </w:r>
    </w:p>
    <w:p w14:paraId="5CF91F9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（2）《关于发布实施&lt;限制用地项目目录（2012年本）&gt;和&lt;禁止用地项目目录（2012年本）&gt;的通知》（国土资发〔2012〕98号）；</w:t>
      </w:r>
    </w:p>
    <w:p w14:paraId="70A6E229">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（3）《关于加强高耗能、高排放建设项目生态环境源头防控的指导意见》（环环评〔2021〕45号）；</w:t>
      </w:r>
    </w:p>
    <w:p w14:paraId="290F45D1">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（4）《关于印发&lt;环境保护综合名录（2021年版）&gt;的通知》（环办综合函〔2021〕495号）；</w:t>
      </w:r>
    </w:p>
    <w:p w14:paraId="40E9D871">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（5）《市场准入负面清单（2022年版）》；</w:t>
      </w:r>
    </w:p>
    <w:p w14:paraId="731E9D85">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（7）《关于发布&lt;长江经济带发展负面清单指南（试行，2022年版）&gt;江苏省实施细则的通知》（苏长江办发〔2022〕55号）；</w:t>
      </w:r>
    </w:p>
    <w:p w14:paraId="441D0922">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（8）《江苏省产业结构调整限制、淘汰和禁止目录（2018年本）》</w:t>
      </w:r>
      <w:bookmarkEnd w:id="97"/>
      <w:r>
        <w:rPr>
          <w:rFonts w:hint="eastAsia" w:ascii="Times New Roman" w:eastAsia="仿宋"/>
          <w:bCs/>
          <w:sz w:val="28"/>
          <w:szCs w:val="28"/>
        </w:rPr>
        <w:t>。</w:t>
      </w:r>
    </w:p>
    <w:p w14:paraId="2D10A1AD">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.1.3地方法规、规章及规范性文件</w:t>
      </w:r>
    </w:p>
    <w:p w14:paraId="5737EAE6">
      <w:pPr>
        <w:adjustRightInd w:val="0"/>
        <w:snapToGrid w:val="0"/>
        <w:spacing w:line="500" w:lineRule="exact"/>
        <w:ind w:firstLine="560" w:firstLineChars="200"/>
        <w:rPr>
          <w:rFonts w:ascii="Times New Roman" w:eastAsia="仿宋"/>
          <w:bCs/>
          <w:sz w:val="28"/>
          <w:szCs w:val="28"/>
        </w:rPr>
      </w:pPr>
      <w:bookmarkStart w:id="98" w:name="_Hlk135646510"/>
      <w:r>
        <w:rPr>
          <w:rFonts w:ascii="Times New Roman" w:eastAsia="仿宋"/>
          <w:bCs/>
          <w:sz w:val="28"/>
          <w:szCs w:val="28"/>
        </w:rPr>
        <w:t>（1）《江苏省太湖水污染防治条例》（2021年修订版）；</w:t>
      </w:r>
    </w:p>
    <w:p w14:paraId="618D6814">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（2）《江苏省大气污染防治条例》（2018年11月23日修正）；</w:t>
      </w:r>
    </w:p>
    <w:p w14:paraId="62EBCC88">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（3）《江苏省环境噪声污染防治条例》（2018年3月28日修正）；</w:t>
      </w:r>
    </w:p>
    <w:p w14:paraId="6AB5C85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（5）《江苏省水污染防治条例》（2021年5月1日起施行）；</w:t>
      </w:r>
    </w:p>
    <w:p w14:paraId="3A9475EA">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（6）《江苏省土壤污染防治条例》（2022年3月31日省十三届人大常委会第二十九次会议通过；</w:t>
      </w:r>
    </w:p>
    <w:p w14:paraId="65D12596">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（7）《江苏省长江水污染防治条例》（2018年3月28日江苏省第十三届人民代表大会常务委员会第二次会议修订通过），自2018年5月1日起施行；</w:t>
      </w:r>
    </w:p>
    <w:p w14:paraId="6F26B4A0">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（8）《关于印发江苏省建设项目主要污染物排放总量区域平衡方案审核管理办法的通知》（苏环办〔2011〕71号）；</w:t>
      </w:r>
    </w:p>
    <w:p w14:paraId="5B18CB6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（9）《江苏省排污口设置及规范化整治管理办法》（苏环控〔1997〕122号）；</w:t>
      </w:r>
    </w:p>
    <w:p w14:paraId="48D13A6E">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（10）《江苏省地表水（环境）功能区划（2021-2030年）》（苏环办〔2022〕82号）；</w:t>
      </w:r>
    </w:p>
    <w:p w14:paraId="7894D58F">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（11）《关于做好环境影响评价制度与排污许可制衔接相关工作的通知》（环办环评〔2017〕84号）；</w:t>
      </w:r>
    </w:p>
    <w:p w14:paraId="5A904B36">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（12）《省政府关于印发江苏省国家级生态保护红线规划的通知》苏政发〔2018〕74号）；</w:t>
      </w:r>
    </w:p>
    <w:p w14:paraId="7423685C">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（13）《江苏省生态环境厅关于进一步做好建设项目环评审批工作的通知》（苏环办〔2019〕36号）；</w:t>
      </w:r>
    </w:p>
    <w:p w14:paraId="5D81E951">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（14）《省生态环境厅关于印发江苏省危险废物贮存规范化管理专项整治行动方案的通知》（苏环办〔2019〕149号）；</w:t>
      </w:r>
    </w:p>
    <w:p w14:paraId="2655C36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（15）《省政府关于印发江苏省生态空间管控区域规划的通知》（苏政发〔2020〕1号）；</w:t>
      </w:r>
    </w:p>
    <w:p w14:paraId="04C4E274">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（16）《省政府关于印发江苏省“三线一单”生态环境分区管控方案的通知》（苏政发〔2020〕40号）；</w:t>
      </w:r>
    </w:p>
    <w:p w14:paraId="0350A893">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（17）《省生态环境厅关于做好安全生产专项整治工作实施方案》（苏环办〔2020〕16号），江苏省生态环境厅，2020年1月10日；</w:t>
      </w:r>
    </w:p>
    <w:p w14:paraId="743C194F">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（18）《江苏省政府关于印发江苏省“三线一单”生态环境分区管控方案的通知》（苏政发〔2020〕49号）；</w:t>
      </w:r>
    </w:p>
    <w:p w14:paraId="649009D4">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（19）《关于做好生态环境和应急管理部门联动工作的意见》（苏环办〔2020〕101号）；</w:t>
      </w:r>
    </w:p>
    <w:p w14:paraId="3E6A1310">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（20）《省政府办公厅关于印发江苏省生态空间管控区域调整管理办法的通知》（苏政办发〔2021〕3号）；</w:t>
      </w:r>
    </w:p>
    <w:p w14:paraId="7AE6E7A6">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（21）《省生态环境厅关于进一步加强危险废物环境管理工作的通知》（苏环办〔2021〕207号）；</w:t>
      </w:r>
    </w:p>
    <w:p w14:paraId="2B3F1EBF">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（22）《关于将排污单位活性炭使用更换纳入排污许可管理的通知》（苏环办〔2021〕218号）</w:t>
      </w:r>
    </w:p>
    <w:p w14:paraId="1D834528">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（23）《关于印发&lt;江苏省挥发性有机物清洁原料替代工作方案&gt;的通知》（苏大气办〔2021〕2号）；</w:t>
      </w:r>
    </w:p>
    <w:p w14:paraId="56EDAA25">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2</w:t>
      </w:r>
      <w:r>
        <w:rPr>
          <w:rFonts w:ascii="Times New Roman" w:eastAsia="仿宋"/>
          <w:bCs/>
          <w:sz w:val="28"/>
          <w:szCs w:val="28"/>
        </w:rPr>
        <w:t>4）《江苏省环境影响评价文件环境应急相关内容编制要点》（苏环办（2022）338号），江苏省生态环境厅发布，自2022年12月5日起实施；</w:t>
      </w:r>
    </w:p>
    <w:p w14:paraId="381803DB">
      <w:pPr>
        <w:adjustRightInd w:val="0"/>
        <w:snapToGrid w:val="0"/>
        <w:spacing w:line="500" w:lineRule="exact"/>
        <w:ind w:firstLine="560" w:firstLineChars="200"/>
        <w:rPr>
          <w:rFonts w:ascii="Times New Roman" w:eastAsia="仿宋"/>
          <w:bCs/>
          <w:sz w:val="28"/>
          <w:szCs w:val="28"/>
        </w:rPr>
      </w:pPr>
      <w:r>
        <w:rPr>
          <w:rFonts w:hint="eastAsia" w:ascii="Times New Roman" w:eastAsia="仿宋"/>
          <w:bCs/>
          <w:sz w:val="28"/>
          <w:szCs w:val="28"/>
        </w:rPr>
        <w:t>（2</w:t>
      </w:r>
      <w:r>
        <w:rPr>
          <w:rFonts w:ascii="Times New Roman" w:eastAsia="仿宋"/>
          <w:bCs/>
          <w:sz w:val="28"/>
          <w:szCs w:val="28"/>
        </w:rPr>
        <w:t>5</w:t>
      </w:r>
      <w:r>
        <w:rPr>
          <w:rFonts w:hint="eastAsia" w:ascii="Times New Roman" w:eastAsia="仿宋"/>
          <w:bCs/>
          <w:sz w:val="28"/>
          <w:szCs w:val="28"/>
        </w:rPr>
        <w:t>）区政府办公室关于印发《常州市金坛区“十四五”时期“无废城市”建设实施方案》的通知，常州市人民政府办公室，2022年12月7日；</w:t>
      </w:r>
    </w:p>
    <w:p w14:paraId="01750F30">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2</w:t>
      </w:r>
      <w:r>
        <w:rPr>
          <w:rFonts w:ascii="Times New Roman" w:eastAsia="仿宋"/>
          <w:sz w:val="28"/>
          <w:szCs w:val="28"/>
        </w:rPr>
        <w:t>6）</w:t>
      </w:r>
      <w:r>
        <w:rPr>
          <w:rFonts w:hint="eastAsia" w:ascii="Times New Roman" w:eastAsia="仿宋"/>
          <w:sz w:val="28"/>
          <w:szCs w:val="28"/>
        </w:rPr>
        <w:t>关于印发《江苏省生态环境保护公众参与办法》的通知（苏环规〔2023〕2号）</w:t>
      </w:r>
      <w:r>
        <w:rPr>
          <w:rFonts w:ascii="Times New Roman" w:eastAsia="仿宋"/>
          <w:sz w:val="28"/>
          <w:szCs w:val="28"/>
        </w:rPr>
        <w:t>；</w:t>
      </w:r>
    </w:p>
    <w:p w14:paraId="55B2CC05">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2</w:t>
      </w:r>
      <w:r>
        <w:rPr>
          <w:rFonts w:ascii="Times New Roman" w:eastAsia="仿宋"/>
          <w:bCs/>
          <w:sz w:val="28"/>
          <w:szCs w:val="28"/>
        </w:rPr>
        <w:t>7）《江苏省重点行业工业企业雨水排放环境管理办法（试行）》（苏污防攻坚指办〔2023〕71号），自2023年5月15日起实施；</w:t>
      </w:r>
    </w:p>
    <w:p w14:paraId="528CC5A2">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2</w:t>
      </w:r>
      <w:r>
        <w:rPr>
          <w:rFonts w:ascii="Times New Roman" w:eastAsia="仿宋"/>
          <w:bCs/>
          <w:sz w:val="28"/>
          <w:szCs w:val="28"/>
        </w:rPr>
        <w:t>8）《关于印发&lt;江苏省工业废水与生活污水分质处理工作推进方案&gt;的通知》（苏环办〔2023〕144号），自2023年5月18日起实施。</w:t>
      </w:r>
    </w:p>
    <w:p w14:paraId="07D9975A">
      <w:pPr>
        <w:adjustRightInd w:val="0"/>
        <w:snapToGrid w:val="0"/>
        <w:spacing w:line="500" w:lineRule="exact"/>
        <w:ind w:firstLine="560" w:firstLineChars="200"/>
        <w:rPr>
          <w:rFonts w:ascii="Times New Roman" w:eastAsia="仿宋"/>
          <w:bCs/>
          <w:sz w:val="28"/>
          <w:szCs w:val="28"/>
        </w:rPr>
      </w:pPr>
      <w:r>
        <w:rPr>
          <w:rFonts w:hint="eastAsia" w:ascii="Times New Roman" w:eastAsia="仿宋"/>
          <w:bCs/>
          <w:sz w:val="28"/>
          <w:szCs w:val="28"/>
        </w:rPr>
        <w:t>（2</w:t>
      </w:r>
      <w:r>
        <w:rPr>
          <w:rFonts w:ascii="Times New Roman" w:eastAsia="仿宋"/>
          <w:bCs/>
          <w:sz w:val="28"/>
          <w:szCs w:val="28"/>
        </w:rPr>
        <w:t>9</w:t>
      </w:r>
      <w:r>
        <w:rPr>
          <w:rFonts w:hint="eastAsia" w:ascii="Times New Roman" w:eastAsia="仿宋"/>
          <w:bCs/>
          <w:sz w:val="28"/>
          <w:szCs w:val="28"/>
        </w:rPr>
        <w:t>）《省政府办公厅关于印发推进新一轮太湖综合治理行动方案的通知》（苏办发[2023]17号），</w:t>
      </w:r>
      <w:r>
        <w:rPr>
          <w:rFonts w:ascii="Times New Roman" w:eastAsia="仿宋"/>
          <w:bCs/>
          <w:sz w:val="28"/>
          <w:szCs w:val="28"/>
        </w:rPr>
        <w:t>2023年6月26日</w:t>
      </w:r>
      <w:r>
        <w:rPr>
          <w:rFonts w:hint="eastAsia" w:ascii="Times New Roman" w:eastAsia="仿宋"/>
          <w:bCs/>
          <w:sz w:val="28"/>
          <w:szCs w:val="28"/>
        </w:rPr>
        <w:t>；</w:t>
      </w:r>
    </w:p>
    <w:p w14:paraId="5871E37C">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（30）《</w:t>
      </w:r>
      <w:r>
        <w:rPr>
          <w:rFonts w:hint="eastAsia" w:ascii="Times New Roman" w:eastAsia="仿宋"/>
          <w:bCs/>
          <w:sz w:val="28"/>
          <w:szCs w:val="28"/>
        </w:rPr>
        <w:t>江苏省污染源自动监测监控管理办法</w:t>
      </w:r>
      <w:r>
        <w:rPr>
          <w:rFonts w:ascii="Times New Roman" w:eastAsia="仿宋"/>
          <w:bCs/>
          <w:sz w:val="28"/>
          <w:szCs w:val="28"/>
        </w:rPr>
        <w:t>》（苏环发〔2022〕5号）；</w:t>
      </w:r>
    </w:p>
    <w:p w14:paraId="2E53074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（31）《江苏省固体废物全过程环境监管工作意见》(苏环办</w:t>
      </w:r>
      <w:r>
        <w:rPr>
          <w:rFonts w:hint="eastAsia" w:ascii="Times New Roman" w:eastAsia="仿宋"/>
          <w:bCs/>
          <w:sz w:val="28"/>
          <w:szCs w:val="28"/>
        </w:rPr>
        <w:t>[</w:t>
      </w:r>
      <w:r>
        <w:rPr>
          <w:rFonts w:ascii="Times New Roman" w:eastAsia="仿宋"/>
          <w:bCs/>
          <w:sz w:val="28"/>
          <w:szCs w:val="28"/>
        </w:rPr>
        <w:t>2024</w:t>
      </w:r>
      <w:r>
        <w:rPr>
          <w:rFonts w:hint="eastAsia" w:ascii="Times New Roman" w:eastAsia="仿宋"/>
          <w:bCs/>
          <w:sz w:val="28"/>
          <w:szCs w:val="28"/>
        </w:rPr>
        <w:t>]</w:t>
      </w:r>
      <w:r>
        <w:rPr>
          <w:rFonts w:ascii="Times New Roman" w:eastAsia="仿宋"/>
          <w:bCs/>
          <w:sz w:val="28"/>
          <w:szCs w:val="28"/>
        </w:rPr>
        <w:t>16号)；</w:t>
      </w:r>
    </w:p>
    <w:p w14:paraId="3CF82773">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3</w:t>
      </w:r>
      <w:r>
        <w:rPr>
          <w:rFonts w:ascii="Times New Roman" w:eastAsia="仿宋"/>
          <w:bCs/>
          <w:sz w:val="28"/>
          <w:szCs w:val="28"/>
        </w:rPr>
        <w:t>2）</w:t>
      </w:r>
      <w:r>
        <w:rPr>
          <w:rFonts w:hint="eastAsia" w:ascii="Times New Roman" w:eastAsia="仿宋"/>
          <w:bCs/>
          <w:sz w:val="28"/>
          <w:szCs w:val="28"/>
        </w:rPr>
        <w:t>市政府关于印发《常州市空气质量持续改善行动计划实施方案》的通知（常政发〔2024〕51号）</w:t>
      </w:r>
      <w:r>
        <w:rPr>
          <w:rFonts w:ascii="Times New Roman" w:eastAsia="仿宋"/>
          <w:bCs/>
          <w:sz w:val="28"/>
          <w:szCs w:val="28"/>
        </w:rPr>
        <w:t>；</w:t>
      </w:r>
    </w:p>
    <w:p w14:paraId="08C8B41B">
      <w:pPr>
        <w:adjustRightInd w:val="0"/>
        <w:snapToGrid w:val="0"/>
        <w:spacing w:line="500" w:lineRule="exact"/>
        <w:ind w:firstLine="560" w:firstLineChars="200"/>
        <w:rPr>
          <w:rFonts w:ascii="Times New Roman" w:eastAsia="仿宋"/>
          <w:bCs/>
          <w:sz w:val="28"/>
          <w:szCs w:val="28"/>
        </w:rPr>
      </w:pPr>
      <w:r>
        <w:rPr>
          <w:rFonts w:hint="eastAsia" w:ascii="Times New Roman" w:eastAsia="仿宋"/>
          <w:bCs/>
          <w:sz w:val="28"/>
          <w:szCs w:val="28"/>
        </w:rPr>
        <w:t>（3</w:t>
      </w:r>
      <w:r>
        <w:rPr>
          <w:rFonts w:ascii="Times New Roman" w:eastAsia="仿宋"/>
          <w:bCs/>
          <w:sz w:val="28"/>
          <w:szCs w:val="28"/>
        </w:rPr>
        <w:t>3</w:t>
      </w:r>
      <w:r>
        <w:rPr>
          <w:rFonts w:hint="eastAsia" w:ascii="Times New Roman" w:eastAsia="仿宋"/>
          <w:bCs/>
          <w:sz w:val="28"/>
          <w:szCs w:val="28"/>
        </w:rPr>
        <w:t>）《省生态环境厅关于进一步加强工业园区水污染防治工作的通知》（苏环办[2024]179号）</w:t>
      </w:r>
    </w:p>
    <w:p w14:paraId="16E87BE1">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3</w:t>
      </w:r>
      <w:r>
        <w:rPr>
          <w:rFonts w:ascii="Times New Roman" w:eastAsia="仿宋"/>
          <w:bCs/>
          <w:sz w:val="28"/>
          <w:szCs w:val="28"/>
        </w:rPr>
        <w:t>4）《常州市扬尘污染防治管理办法》；</w:t>
      </w:r>
    </w:p>
    <w:p w14:paraId="44E51E5B">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3</w:t>
      </w:r>
      <w:r>
        <w:rPr>
          <w:rFonts w:ascii="Times New Roman" w:eastAsia="仿宋"/>
          <w:bCs/>
          <w:sz w:val="28"/>
          <w:szCs w:val="28"/>
        </w:rPr>
        <w:t>5）《常州市“十四五”生态环境保护规划》；</w:t>
      </w:r>
    </w:p>
    <w:p w14:paraId="26716331">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3</w:t>
      </w:r>
      <w:r>
        <w:rPr>
          <w:rFonts w:ascii="Times New Roman" w:eastAsia="仿宋"/>
          <w:bCs/>
          <w:sz w:val="28"/>
          <w:szCs w:val="28"/>
        </w:rPr>
        <w:t>6）《关于印发常州市挥发性有机物清洁原料替代工作方案的通知》（常污防攻坚指办〔2021〕32号）；</w:t>
      </w:r>
    </w:p>
    <w:p w14:paraId="157D6A17">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（37）《市政府关于印发&lt;常州市环境空气质量功能区划分规定（2017）&gt;的通知》（常政发〔2017〕160号）；</w:t>
      </w:r>
    </w:p>
    <w:p w14:paraId="55956808">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w:t>
      </w:r>
      <w:r>
        <w:rPr>
          <w:rFonts w:hint="eastAsia" w:ascii="Times New Roman" w:eastAsia="仿宋"/>
          <w:bCs/>
          <w:sz w:val="28"/>
          <w:szCs w:val="28"/>
        </w:rPr>
        <w:t>3</w:t>
      </w:r>
      <w:r>
        <w:rPr>
          <w:rFonts w:ascii="Times New Roman" w:eastAsia="仿宋"/>
          <w:bCs/>
          <w:sz w:val="28"/>
          <w:szCs w:val="28"/>
        </w:rPr>
        <w:t>8）《常州市市区声环境功能区划2017》（常政发〔2017〕161号）；</w:t>
      </w:r>
    </w:p>
    <w:p w14:paraId="384B3F2A">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（39）《常州市水生态环境保护条例》；</w:t>
      </w:r>
    </w:p>
    <w:p w14:paraId="650B0AED">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（40）《关于印发常州市“三线一单”生态环境分区管控实施方案的通知》（常环〔2020〕95号）；</w:t>
      </w:r>
    </w:p>
    <w:p w14:paraId="39397653">
      <w:pPr>
        <w:adjustRightInd w:val="0"/>
        <w:snapToGrid w:val="0"/>
        <w:spacing w:line="500" w:lineRule="exact"/>
        <w:ind w:firstLine="560" w:firstLineChars="200"/>
        <w:rPr>
          <w:rFonts w:ascii="Times New Roman" w:eastAsia="仿宋"/>
          <w:bCs/>
          <w:sz w:val="28"/>
          <w:szCs w:val="28"/>
        </w:rPr>
      </w:pPr>
      <w:r>
        <w:rPr>
          <w:rFonts w:ascii="Times New Roman" w:eastAsia="仿宋"/>
          <w:bCs/>
          <w:sz w:val="28"/>
          <w:szCs w:val="28"/>
        </w:rPr>
        <w:t>（41）《江苏省固体废物污染环境防治条例》（2024年12月6日修正）；</w:t>
      </w:r>
    </w:p>
    <w:bookmarkEnd w:id="98"/>
    <w:p w14:paraId="25DDC84F">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.1.4有关技术导则</w:t>
      </w:r>
    </w:p>
    <w:p w14:paraId="034EE387">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 xml:space="preserve">环境影响评价技术导则 </w:t>
      </w:r>
      <w:r>
        <w:rPr>
          <w:rFonts w:ascii="Times New Roman" w:eastAsia="仿宋"/>
          <w:sz w:val="28"/>
          <w:szCs w:val="28"/>
        </w:rPr>
        <w:t>总纲》（HJ2.1-2016），2016年12月6日发布，2017年1月1日实施</w:t>
      </w:r>
      <w:r>
        <w:rPr>
          <w:rFonts w:hint="eastAsia" w:ascii="Times New Roman" w:eastAsia="仿宋"/>
          <w:sz w:val="28"/>
          <w:szCs w:val="28"/>
        </w:rPr>
        <w:t>；</w:t>
      </w:r>
    </w:p>
    <w:p w14:paraId="6D23BB8E">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（2）《</w:t>
      </w:r>
      <w:r>
        <w:rPr>
          <w:rFonts w:hint="eastAsia" w:ascii="Times New Roman" w:eastAsia="仿宋"/>
          <w:sz w:val="28"/>
          <w:szCs w:val="28"/>
        </w:rPr>
        <w:t xml:space="preserve">环境影响评价技术导则 </w:t>
      </w:r>
      <w:r>
        <w:rPr>
          <w:rFonts w:ascii="Times New Roman" w:eastAsia="仿宋"/>
          <w:sz w:val="28"/>
          <w:szCs w:val="28"/>
        </w:rPr>
        <w:t>大气环境》（HJ2.2-2018），2018年7月31日发布，2018年12月1日实施</w:t>
      </w:r>
      <w:r>
        <w:rPr>
          <w:rFonts w:hint="eastAsia" w:ascii="Times New Roman" w:eastAsia="仿宋"/>
          <w:sz w:val="28"/>
          <w:szCs w:val="28"/>
        </w:rPr>
        <w:t>；</w:t>
      </w:r>
    </w:p>
    <w:p w14:paraId="3C229FF2">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（3）《</w:t>
      </w:r>
      <w:r>
        <w:rPr>
          <w:rFonts w:hint="eastAsia" w:ascii="Times New Roman" w:eastAsia="仿宋"/>
          <w:sz w:val="28"/>
          <w:szCs w:val="28"/>
        </w:rPr>
        <w:t xml:space="preserve">环境影响评价技术导则 </w:t>
      </w:r>
      <w:r>
        <w:rPr>
          <w:rFonts w:ascii="Times New Roman" w:eastAsia="仿宋"/>
          <w:sz w:val="28"/>
          <w:szCs w:val="28"/>
        </w:rPr>
        <w:t>地表水环境》（HJ2.3-2018），2018年9月30日发布，2019年3月1日实施</w:t>
      </w:r>
      <w:r>
        <w:rPr>
          <w:rFonts w:hint="eastAsia" w:ascii="Times New Roman" w:eastAsia="仿宋"/>
          <w:sz w:val="28"/>
          <w:szCs w:val="28"/>
        </w:rPr>
        <w:t>；</w:t>
      </w:r>
    </w:p>
    <w:p w14:paraId="59CBBB5F">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（4）《</w:t>
      </w:r>
      <w:r>
        <w:rPr>
          <w:rFonts w:hint="eastAsia" w:ascii="Times New Roman" w:eastAsia="仿宋"/>
          <w:sz w:val="28"/>
          <w:szCs w:val="28"/>
        </w:rPr>
        <w:t xml:space="preserve">环境影响评价技术导则 </w:t>
      </w:r>
      <w:r>
        <w:rPr>
          <w:rFonts w:ascii="Times New Roman" w:eastAsia="仿宋"/>
          <w:sz w:val="28"/>
          <w:szCs w:val="28"/>
        </w:rPr>
        <w:t>声环境》（HJ2.4-2021），2021年12月24日发布，2022年7月1日实施</w:t>
      </w:r>
      <w:r>
        <w:rPr>
          <w:rFonts w:hint="eastAsia" w:ascii="Times New Roman" w:eastAsia="仿宋"/>
          <w:sz w:val="28"/>
          <w:szCs w:val="28"/>
        </w:rPr>
        <w:t>；</w:t>
      </w:r>
    </w:p>
    <w:p w14:paraId="40428B25">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（5）《</w:t>
      </w:r>
      <w:r>
        <w:rPr>
          <w:rFonts w:hint="eastAsia" w:ascii="Times New Roman" w:eastAsia="仿宋"/>
          <w:sz w:val="28"/>
          <w:szCs w:val="28"/>
        </w:rPr>
        <w:t xml:space="preserve">环境影响评价技术导则 </w:t>
      </w:r>
      <w:r>
        <w:rPr>
          <w:rFonts w:ascii="Times New Roman" w:eastAsia="仿宋"/>
          <w:sz w:val="28"/>
          <w:szCs w:val="28"/>
        </w:rPr>
        <w:t>地下水环境》（HJ610-2016），2016年1月7日实施</w:t>
      </w:r>
      <w:r>
        <w:rPr>
          <w:rFonts w:hint="eastAsia" w:ascii="Times New Roman" w:eastAsia="仿宋"/>
          <w:sz w:val="28"/>
          <w:szCs w:val="28"/>
        </w:rPr>
        <w:t>；</w:t>
      </w:r>
    </w:p>
    <w:p w14:paraId="031B2D66">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（6）《建设项目环境风险评价 技术导则》（HJ169-2018），2018年10月14日发布，2019年3月1日</w:t>
      </w:r>
      <w:r>
        <w:rPr>
          <w:rFonts w:hint="eastAsia" w:ascii="Times New Roman" w:eastAsia="仿宋"/>
          <w:sz w:val="28"/>
          <w:szCs w:val="28"/>
        </w:rPr>
        <w:t>；</w:t>
      </w:r>
    </w:p>
    <w:p w14:paraId="6086CC48">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（7）《环境影响评价技术导则 生态影响》（HJ19-2022），2022年1月15日发布，2022年7月1日实施</w:t>
      </w:r>
      <w:r>
        <w:rPr>
          <w:rFonts w:hint="eastAsia" w:ascii="Times New Roman" w:eastAsia="仿宋"/>
          <w:sz w:val="28"/>
          <w:szCs w:val="28"/>
        </w:rPr>
        <w:t>；</w:t>
      </w:r>
    </w:p>
    <w:p w14:paraId="68B00882">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（8）《环境影响评价技术导则 土壤环境（试行）》（HJ964-2018），2019年7月1日实施</w:t>
      </w:r>
      <w:r>
        <w:rPr>
          <w:rFonts w:hint="eastAsia" w:ascii="Times New Roman" w:eastAsia="仿宋"/>
          <w:sz w:val="28"/>
          <w:szCs w:val="28"/>
        </w:rPr>
        <w:t>；</w:t>
      </w:r>
    </w:p>
    <w:p w14:paraId="13BC3BAE">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（9）《危险废物收集贮存运输技术规范》（HJ 2025-2012）</w:t>
      </w:r>
      <w:r>
        <w:rPr>
          <w:rFonts w:hint="eastAsia" w:ascii="Times New Roman" w:eastAsia="仿宋"/>
          <w:sz w:val="28"/>
          <w:szCs w:val="28"/>
        </w:rPr>
        <w:t>；</w:t>
      </w:r>
    </w:p>
    <w:p w14:paraId="431DFFEC">
      <w:pPr>
        <w:adjustRightInd w:val="0"/>
        <w:snapToGrid w:val="0"/>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0</w:t>
      </w:r>
      <w:r>
        <w:rPr>
          <w:rFonts w:hint="eastAsia" w:ascii="Times New Roman" w:eastAsia="仿宋"/>
          <w:sz w:val="28"/>
        </w:rPr>
        <w:t>）《排污许可证申请与核发技术规范 总则》〔HJ 942-2018〕；</w:t>
      </w:r>
    </w:p>
    <w:p w14:paraId="4DCE8776">
      <w:pPr>
        <w:adjustRightInd w:val="0"/>
        <w:snapToGrid w:val="0"/>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1</w:t>
      </w:r>
      <w:r>
        <w:rPr>
          <w:rFonts w:hint="eastAsia" w:ascii="Times New Roman" w:eastAsia="仿宋"/>
          <w:sz w:val="28"/>
        </w:rPr>
        <w:t>）《排污单位自行监测技术指南 总则》〔HJ819- 2017〕。</w:t>
      </w:r>
    </w:p>
    <w:p w14:paraId="636D30CA">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.1.5与建设项目有关的技术文件</w:t>
      </w:r>
    </w:p>
    <w:p w14:paraId="7DF6E38D">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rPr>
        <w:t>（1）</w:t>
      </w:r>
      <w:r>
        <w:rPr>
          <w:rFonts w:ascii="Times New Roman" w:eastAsia="仿宋"/>
          <w:sz w:val="28"/>
          <w:szCs w:val="28"/>
        </w:rPr>
        <w:t>《常州市国土空间总体规划(2020-2035年)》，常州市人民政府；</w:t>
      </w:r>
    </w:p>
    <w:p w14:paraId="3BFF8FEE">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2</w:t>
      </w:r>
      <w:r>
        <w:rPr>
          <w:rFonts w:hint="eastAsia" w:ascii="Times New Roman" w:eastAsia="仿宋"/>
          <w:sz w:val="28"/>
          <w:szCs w:val="28"/>
        </w:rPr>
        <w:t>）《江苏省金坛经济开发区朱林现代产业园/常州市金坛区朱林产业新镇总体规划（2016-2030）（修编）》</w:t>
      </w:r>
      <w:r>
        <w:rPr>
          <w:rFonts w:ascii="Times New Roman" w:eastAsia="仿宋"/>
          <w:sz w:val="28"/>
          <w:szCs w:val="28"/>
        </w:rPr>
        <w:t>；</w:t>
      </w:r>
    </w:p>
    <w:p w14:paraId="65D6A8D1">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）《江苏省</w:t>
      </w:r>
      <w:r>
        <w:rPr>
          <w:rFonts w:ascii="Times New Roman" w:eastAsia="仿宋"/>
          <w:sz w:val="28"/>
          <w:szCs w:val="28"/>
        </w:rPr>
        <w:t>金坛经济开发区朱林现代产业园规划环境影响评价报告书</w:t>
      </w:r>
      <w:r>
        <w:rPr>
          <w:rFonts w:hint="eastAsia" w:ascii="Times New Roman" w:eastAsia="仿宋"/>
          <w:sz w:val="28"/>
          <w:szCs w:val="28"/>
        </w:rPr>
        <w:t>》；</w:t>
      </w:r>
    </w:p>
    <w:p w14:paraId="40C30F78">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4</w:t>
      </w:r>
      <w:r>
        <w:rPr>
          <w:rFonts w:hint="eastAsia" w:ascii="Times New Roman" w:eastAsia="仿宋"/>
          <w:sz w:val="28"/>
          <w:szCs w:val="28"/>
        </w:rPr>
        <w:t>）</w:t>
      </w:r>
      <w:r>
        <w:rPr>
          <w:rFonts w:ascii="Times New Roman" w:eastAsia="仿宋"/>
          <w:sz w:val="28"/>
          <w:szCs w:val="28"/>
        </w:rPr>
        <w:t>《</w:t>
      </w:r>
      <w:r>
        <w:rPr>
          <w:rFonts w:hint="eastAsia" w:ascii="Times New Roman" w:eastAsia="仿宋"/>
          <w:sz w:val="28"/>
          <w:szCs w:val="28"/>
        </w:rPr>
        <w:t>市生态环境局关于金坛区</w:t>
      </w:r>
      <w:r>
        <w:rPr>
          <w:rFonts w:hint="eastAsia" w:ascii="Times New Roman" w:eastAsia="仿宋"/>
          <w:bCs/>
          <w:sz w:val="28"/>
          <w:szCs w:val="28"/>
        </w:rPr>
        <w:t>直溪污水处理厂改扩建工程项目环境影响报告书</w:t>
      </w:r>
      <w:r>
        <w:rPr>
          <w:rFonts w:hint="eastAsia" w:ascii="Times New Roman" w:eastAsia="仿宋"/>
          <w:sz w:val="28"/>
          <w:szCs w:val="28"/>
        </w:rPr>
        <w:t>的批复</w:t>
      </w:r>
      <w:r>
        <w:rPr>
          <w:rFonts w:ascii="Times New Roman" w:eastAsia="仿宋"/>
          <w:sz w:val="28"/>
          <w:szCs w:val="28"/>
        </w:rPr>
        <w:t>》，常</w:t>
      </w:r>
      <w:r>
        <w:rPr>
          <w:rFonts w:hint="eastAsia" w:ascii="Times New Roman" w:eastAsia="仿宋"/>
          <w:sz w:val="28"/>
          <w:szCs w:val="28"/>
        </w:rPr>
        <w:t>金</w:t>
      </w:r>
      <w:r>
        <w:rPr>
          <w:rFonts w:ascii="Times New Roman" w:eastAsia="仿宋"/>
          <w:sz w:val="28"/>
          <w:szCs w:val="28"/>
        </w:rPr>
        <w:t>环审</w:t>
      </w:r>
      <w:r>
        <w:rPr>
          <w:rFonts w:hint="eastAsia" w:ascii="Times New Roman" w:eastAsia="仿宋"/>
          <w:sz w:val="28"/>
          <w:szCs w:val="28"/>
        </w:rPr>
        <w:t>[</w:t>
      </w:r>
      <w:r>
        <w:rPr>
          <w:rFonts w:ascii="Times New Roman" w:eastAsia="仿宋"/>
          <w:sz w:val="28"/>
          <w:szCs w:val="28"/>
        </w:rPr>
        <w:t>2022]103号；</w:t>
      </w:r>
    </w:p>
    <w:p w14:paraId="73C195A7">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（5）备案证；</w:t>
      </w:r>
    </w:p>
    <w:p w14:paraId="786CAC5E">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（6）不可替代论证；</w:t>
      </w:r>
    </w:p>
    <w:p w14:paraId="16AEC3C2">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（7）msds报告；</w:t>
      </w:r>
    </w:p>
    <w:p w14:paraId="629E81FC">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8</w:t>
      </w:r>
      <w:r>
        <w:rPr>
          <w:rFonts w:hint="eastAsia" w:ascii="Times New Roman" w:eastAsia="仿宋"/>
          <w:sz w:val="28"/>
          <w:szCs w:val="28"/>
        </w:rPr>
        <w:t>）</w:t>
      </w:r>
      <w:r>
        <w:rPr>
          <w:rFonts w:ascii="Times New Roman" w:eastAsia="仿宋"/>
          <w:sz w:val="28"/>
          <w:szCs w:val="28"/>
        </w:rPr>
        <w:t>针对本项目进行的环境质量现状监测报告。</w:t>
      </w:r>
    </w:p>
    <w:p w14:paraId="252D091B">
      <w:pPr>
        <w:keepNext/>
        <w:keepLines/>
        <w:tabs>
          <w:tab w:val="left" w:pos="0"/>
          <w:tab w:val="left" w:pos="426"/>
        </w:tabs>
        <w:spacing w:before="120" w:beforeLines="50" w:after="120" w:afterLines="50" w:line="500" w:lineRule="exact"/>
        <w:outlineLvl w:val="1"/>
        <w:rPr>
          <w:rFonts w:ascii="Times New Roman" w:eastAsia="仿宋"/>
          <w:b/>
          <w:spacing w:val="6"/>
          <w:sz w:val="30"/>
          <w:szCs w:val="30"/>
        </w:rPr>
      </w:pPr>
      <w:bookmarkStart w:id="99" w:name="_Toc109663159"/>
      <w:bookmarkStart w:id="100" w:name="_Toc86824247"/>
      <w:bookmarkStart w:id="101" w:name="_Toc182553803"/>
      <w:r>
        <w:rPr>
          <w:rFonts w:hint="eastAsia" w:ascii="Times New Roman" w:eastAsia="仿宋"/>
          <w:b/>
          <w:spacing w:val="6"/>
          <w:sz w:val="30"/>
          <w:szCs w:val="30"/>
        </w:rPr>
        <w:t>2</w:t>
      </w:r>
      <w:r>
        <w:rPr>
          <w:rFonts w:ascii="Times New Roman" w:eastAsia="仿宋"/>
          <w:b/>
          <w:spacing w:val="6"/>
          <w:sz w:val="30"/>
          <w:szCs w:val="30"/>
        </w:rPr>
        <w:t>.2评价目的及工作原则</w:t>
      </w:r>
      <w:bookmarkEnd w:id="99"/>
      <w:bookmarkEnd w:id="100"/>
      <w:bookmarkEnd w:id="101"/>
    </w:p>
    <w:p w14:paraId="5E8FE27A">
      <w:pPr>
        <w:keepNext/>
        <w:tabs>
          <w:tab w:val="left" w:pos="709"/>
        </w:tabs>
        <w:spacing w:before="120" w:beforeLines="50" w:after="120" w:afterLines="50" w:line="500" w:lineRule="exact"/>
        <w:outlineLvl w:val="2"/>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.2.1评价的目的</w:t>
      </w:r>
    </w:p>
    <w:p w14:paraId="7F49BB37">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本次评价工作主要目的是论证项目建设的必要性，分析其是否符合国家产业政策，根据工程分析及污染防治措施评述，预测分析环境影响，评价其是否能作到达标排放，达到保护环境的目的。</w:t>
      </w:r>
    </w:p>
    <w:p w14:paraId="032B2290">
      <w:pPr>
        <w:keepNext/>
        <w:tabs>
          <w:tab w:val="left" w:pos="709"/>
        </w:tabs>
        <w:spacing w:before="120" w:beforeLines="50" w:after="120" w:afterLines="50" w:line="500" w:lineRule="exact"/>
        <w:outlineLvl w:val="2"/>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.2.2评价工作原则</w:t>
      </w:r>
    </w:p>
    <w:p w14:paraId="41044696">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突出环境影响评价的源头预防作用，坚持保护和改善环境质量。</w:t>
      </w:r>
    </w:p>
    <w:p w14:paraId="201B3916">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（1）依法评价</w:t>
      </w:r>
    </w:p>
    <w:p w14:paraId="755FA053">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贯彻执行我国环境保护相关法律法规、标准、政策和规划等，优化项目建设，服务环境管理。</w:t>
      </w:r>
    </w:p>
    <w:p w14:paraId="54CE96D9">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（2）科学评价</w:t>
      </w:r>
    </w:p>
    <w:p w14:paraId="54F202A3">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规范环境影响评价方法，科学分析项目建设对环境质量的影响。</w:t>
      </w:r>
    </w:p>
    <w:p w14:paraId="77EF1B0C">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（3）突出重点</w:t>
      </w:r>
    </w:p>
    <w:p w14:paraId="000AC6F5">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根据建设项目的工程内容及其特点，明确与环境要素间的作用效应关系，根据规划环境影响评价结论和审查意见，充分利用符合时效的数据资料及成果，对建设项目主要环境影响予以重点分析和评价。</w:t>
      </w:r>
    </w:p>
    <w:p w14:paraId="614EE640">
      <w:pPr>
        <w:keepNext/>
        <w:keepLines/>
        <w:tabs>
          <w:tab w:val="left" w:pos="0"/>
          <w:tab w:val="left" w:pos="426"/>
        </w:tabs>
        <w:spacing w:before="120" w:beforeLines="50" w:after="120" w:afterLines="50" w:line="500" w:lineRule="exact"/>
        <w:outlineLvl w:val="1"/>
        <w:rPr>
          <w:rFonts w:ascii="Times New Roman" w:eastAsia="仿宋"/>
          <w:b/>
          <w:spacing w:val="6"/>
          <w:sz w:val="30"/>
          <w:szCs w:val="30"/>
        </w:rPr>
      </w:pPr>
      <w:bookmarkStart w:id="102" w:name="_Toc229900147"/>
      <w:bookmarkStart w:id="103" w:name="_Toc228754589"/>
      <w:bookmarkStart w:id="104" w:name="_Toc157405908"/>
      <w:bookmarkStart w:id="105" w:name="_Toc160937743"/>
      <w:bookmarkStart w:id="106" w:name="_Toc229910505"/>
      <w:bookmarkStart w:id="107" w:name="_Toc228779735"/>
      <w:bookmarkStart w:id="108" w:name="_Toc230013658"/>
      <w:bookmarkStart w:id="109" w:name="_Toc106608029"/>
      <w:bookmarkStart w:id="110" w:name="_Toc109663160"/>
      <w:bookmarkStart w:id="111" w:name="_Toc182553804"/>
      <w:bookmarkStart w:id="112" w:name="_Toc86824248"/>
      <w:r>
        <w:rPr>
          <w:rFonts w:hint="eastAsia" w:ascii="Times New Roman" w:eastAsia="仿宋"/>
          <w:b/>
          <w:spacing w:val="6"/>
          <w:sz w:val="30"/>
          <w:szCs w:val="30"/>
        </w:rPr>
        <w:t>2</w:t>
      </w:r>
      <w:r>
        <w:rPr>
          <w:rFonts w:ascii="Times New Roman" w:eastAsia="仿宋"/>
          <w:b/>
          <w:spacing w:val="6"/>
          <w:sz w:val="30"/>
          <w:szCs w:val="30"/>
        </w:rPr>
        <w:t>.3评价因子</w:t>
      </w:r>
      <w:bookmarkEnd w:id="102"/>
      <w:bookmarkEnd w:id="103"/>
      <w:bookmarkEnd w:id="104"/>
      <w:bookmarkEnd w:id="105"/>
      <w:bookmarkEnd w:id="106"/>
      <w:bookmarkEnd w:id="107"/>
      <w:bookmarkEnd w:id="108"/>
      <w:bookmarkEnd w:id="109"/>
      <w:r>
        <w:rPr>
          <w:rFonts w:ascii="Times New Roman" w:eastAsia="仿宋"/>
          <w:b/>
          <w:spacing w:val="6"/>
          <w:sz w:val="30"/>
          <w:szCs w:val="30"/>
        </w:rPr>
        <w:t>与评价标准</w:t>
      </w:r>
      <w:bookmarkEnd w:id="110"/>
      <w:bookmarkEnd w:id="111"/>
      <w:bookmarkEnd w:id="112"/>
    </w:p>
    <w:p w14:paraId="21D26B72">
      <w:pPr>
        <w:keepNext/>
        <w:tabs>
          <w:tab w:val="left" w:pos="709"/>
        </w:tabs>
        <w:spacing w:before="120" w:beforeLines="50" w:after="120" w:afterLines="50" w:line="500" w:lineRule="exact"/>
        <w:outlineLvl w:val="2"/>
        <w:rPr>
          <w:rFonts w:ascii="Times New Roman" w:eastAsia="仿宋"/>
          <w:b/>
          <w:bCs/>
          <w:sz w:val="28"/>
          <w:szCs w:val="28"/>
        </w:rPr>
      </w:pPr>
      <w:bookmarkStart w:id="113" w:name="_Toc446488096"/>
      <w:r>
        <w:rPr>
          <w:rFonts w:hint="eastAsia" w:ascii="Times New Roman" w:eastAsia="仿宋"/>
          <w:b/>
          <w:bCs/>
          <w:sz w:val="28"/>
          <w:szCs w:val="28"/>
        </w:rPr>
        <w:t>2</w:t>
      </w:r>
      <w:r>
        <w:rPr>
          <w:rFonts w:ascii="Times New Roman" w:eastAsia="仿宋"/>
          <w:b/>
          <w:bCs/>
          <w:sz w:val="28"/>
          <w:szCs w:val="28"/>
        </w:rPr>
        <w:t>.3</w:t>
      </w:r>
      <w:r>
        <w:rPr>
          <w:rFonts w:hint="eastAsia" w:ascii="Times New Roman" w:eastAsia="仿宋"/>
          <w:b/>
          <w:bCs/>
          <w:sz w:val="28"/>
          <w:szCs w:val="28"/>
        </w:rPr>
        <w:t>.</w:t>
      </w:r>
      <w:r>
        <w:rPr>
          <w:rFonts w:ascii="Times New Roman" w:eastAsia="仿宋"/>
          <w:b/>
          <w:bCs/>
          <w:sz w:val="28"/>
          <w:szCs w:val="28"/>
        </w:rPr>
        <w:t>1评价因子</w:t>
      </w:r>
      <w:bookmarkEnd w:id="113"/>
    </w:p>
    <w:p w14:paraId="4D58F939">
      <w:pPr>
        <w:keepNext/>
        <w:widowControl/>
        <w:tabs>
          <w:tab w:val="left" w:pos="993"/>
        </w:tabs>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.3.1.1环境影响因素识别</w:t>
      </w:r>
    </w:p>
    <w:p w14:paraId="2272ED92">
      <w:pPr>
        <w:spacing w:line="500" w:lineRule="exact"/>
        <w:ind w:firstLine="560" w:firstLineChars="200"/>
        <w:rPr>
          <w:rFonts w:ascii="Times New Roman" w:eastAsia="仿宋"/>
          <w:sz w:val="28"/>
          <w:szCs w:val="28"/>
        </w:rPr>
      </w:pPr>
      <w:r>
        <w:rPr>
          <w:rFonts w:ascii="Times New Roman" w:eastAsia="仿宋"/>
          <w:sz w:val="28"/>
          <w:szCs w:val="28"/>
        </w:rPr>
        <w:t>本项目环境影响因素识别见表2.3-1。</w:t>
      </w:r>
    </w:p>
    <w:p w14:paraId="53637268">
      <w:pPr>
        <w:spacing w:line="500" w:lineRule="exact"/>
        <w:ind w:firstLine="482" w:firstLineChars="200"/>
        <w:jc w:val="center"/>
        <w:rPr>
          <w:rFonts w:ascii="Times New Roman" w:eastAsia="仿宋"/>
          <w:b/>
          <w:bCs/>
        </w:rPr>
      </w:pPr>
      <w:r>
        <w:rPr>
          <w:rFonts w:ascii="Times New Roman" w:eastAsia="仿宋"/>
          <w:b/>
          <w:bCs/>
        </w:rPr>
        <w:t>2.3-1 环境影响因素识别一览表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192"/>
        <w:gridCol w:w="1088"/>
        <w:gridCol w:w="1087"/>
        <w:gridCol w:w="1087"/>
        <w:gridCol w:w="1087"/>
        <w:gridCol w:w="1087"/>
        <w:gridCol w:w="1087"/>
      </w:tblGrid>
      <w:tr w14:paraId="4710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6" w:type="dxa"/>
            <w:vMerge w:val="restart"/>
            <w:vAlign w:val="center"/>
          </w:tcPr>
          <w:p w14:paraId="26B816B6">
            <w:pPr>
              <w:jc w:val="center"/>
              <w:rPr>
                <w:rFonts w:ascii="Times New Roman" w:eastAsia="仿宋"/>
              </w:rPr>
            </w:pPr>
            <w:r>
              <w:rPr>
                <w:rFonts w:ascii="Times New Roman" w:eastAsia="仿宋"/>
              </w:rPr>
              <w:t>时段</w:t>
            </w:r>
          </w:p>
        </w:tc>
        <w:tc>
          <w:tcPr>
            <w:tcW w:w="1161" w:type="dxa"/>
            <w:vMerge w:val="restart"/>
            <w:vAlign w:val="center"/>
          </w:tcPr>
          <w:p w14:paraId="4D7351F6">
            <w:pPr>
              <w:jc w:val="center"/>
              <w:rPr>
                <w:rFonts w:ascii="Times New Roman" w:eastAsia="仿宋"/>
              </w:rPr>
            </w:pPr>
            <w:r>
              <w:rPr>
                <w:rFonts w:ascii="Times New Roman" w:eastAsia="仿宋"/>
              </w:rPr>
              <w:t>污染源</w:t>
            </w:r>
          </w:p>
        </w:tc>
        <w:tc>
          <w:tcPr>
            <w:tcW w:w="6355" w:type="dxa"/>
            <w:gridSpan w:val="6"/>
          </w:tcPr>
          <w:p w14:paraId="254C414D">
            <w:pPr>
              <w:jc w:val="center"/>
              <w:rPr>
                <w:rFonts w:ascii="Times New Roman" w:eastAsia="仿宋"/>
              </w:rPr>
            </w:pPr>
            <w:r>
              <w:rPr>
                <w:rFonts w:ascii="Times New Roman" w:eastAsia="仿宋"/>
              </w:rPr>
              <w:t>环境要素</w:t>
            </w:r>
          </w:p>
        </w:tc>
      </w:tr>
      <w:tr w14:paraId="3A0E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6" w:type="dxa"/>
            <w:vMerge w:val="continue"/>
            <w:vAlign w:val="center"/>
          </w:tcPr>
          <w:p w14:paraId="7937162C">
            <w:pPr>
              <w:jc w:val="center"/>
              <w:rPr>
                <w:rFonts w:ascii="Times New Roman" w:eastAsia="仿宋"/>
              </w:rPr>
            </w:pPr>
          </w:p>
        </w:tc>
        <w:tc>
          <w:tcPr>
            <w:tcW w:w="1161" w:type="dxa"/>
            <w:vMerge w:val="continue"/>
            <w:vAlign w:val="center"/>
          </w:tcPr>
          <w:p w14:paraId="0AFB2F22">
            <w:pPr>
              <w:jc w:val="center"/>
              <w:rPr>
                <w:rFonts w:ascii="Times New Roman" w:eastAsia="仿宋"/>
              </w:rPr>
            </w:pPr>
          </w:p>
        </w:tc>
        <w:tc>
          <w:tcPr>
            <w:tcW w:w="1060" w:type="dxa"/>
            <w:vAlign w:val="center"/>
          </w:tcPr>
          <w:p w14:paraId="4B1B9340">
            <w:pPr>
              <w:jc w:val="center"/>
              <w:rPr>
                <w:rFonts w:ascii="Times New Roman" w:eastAsia="仿宋"/>
              </w:rPr>
            </w:pPr>
            <w:r>
              <w:rPr>
                <w:rFonts w:ascii="Times New Roman" w:eastAsia="仿宋"/>
              </w:rPr>
              <w:t>大气</w:t>
            </w:r>
          </w:p>
        </w:tc>
        <w:tc>
          <w:tcPr>
            <w:tcW w:w="1059" w:type="dxa"/>
            <w:vAlign w:val="center"/>
          </w:tcPr>
          <w:p w14:paraId="0F5C0647">
            <w:pPr>
              <w:jc w:val="center"/>
              <w:rPr>
                <w:rFonts w:ascii="Times New Roman" w:eastAsia="仿宋"/>
              </w:rPr>
            </w:pPr>
            <w:r>
              <w:rPr>
                <w:rFonts w:ascii="Times New Roman" w:eastAsia="仿宋"/>
              </w:rPr>
              <w:t>地表水</w:t>
            </w:r>
          </w:p>
        </w:tc>
        <w:tc>
          <w:tcPr>
            <w:tcW w:w="1059" w:type="dxa"/>
            <w:vAlign w:val="center"/>
          </w:tcPr>
          <w:p w14:paraId="127D5E0B">
            <w:pPr>
              <w:jc w:val="center"/>
              <w:rPr>
                <w:rFonts w:ascii="Times New Roman" w:eastAsia="仿宋"/>
              </w:rPr>
            </w:pPr>
            <w:r>
              <w:rPr>
                <w:rFonts w:ascii="Times New Roman" w:eastAsia="仿宋"/>
              </w:rPr>
              <w:t>声</w:t>
            </w:r>
          </w:p>
        </w:tc>
        <w:tc>
          <w:tcPr>
            <w:tcW w:w="1059" w:type="dxa"/>
            <w:vAlign w:val="center"/>
          </w:tcPr>
          <w:p w14:paraId="6B76ED52">
            <w:pPr>
              <w:jc w:val="center"/>
              <w:rPr>
                <w:rFonts w:ascii="Times New Roman" w:eastAsia="仿宋"/>
              </w:rPr>
            </w:pPr>
            <w:r>
              <w:rPr>
                <w:rFonts w:ascii="Times New Roman" w:eastAsia="仿宋"/>
              </w:rPr>
              <w:t>地下水</w:t>
            </w:r>
          </w:p>
        </w:tc>
        <w:tc>
          <w:tcPr>
            <w:tcW w:w="1059" w:type="dxa"/>
          </w:tcPr>
          <w:p w14:paraId="2F29B7CE">
            <w:pPr>
              <w:jc w:val="center"/>
              <w:rPr>
                <w:rFonts w:ascii="Times New Roman" w:eastAsia="仿宋"/>
              </w:rPr>
            </w:pPr>
            <w:r>
              <w:rPr>
                <w:rFonts w:ascii="Times New Roman" w:eastAsia="仿宋"/>
              </w:rPr>
              <w:t>土壤</w:t>
            </w:r>
          </w:p>
        </w:tc>
        <w:tc>
          <w:tcPr>
            <w:tcW w:w="1059" w:type="dxa"/>
            <w:vAlign w:val="center"/>
          </w:tcPr>
          <w:p w14:paraId="6454806F">
            <w:pPr>
              <w:jc w:val="center"/>
              <w:rPr>
                <w:rFonts w:ascii="Times New Roman" w:eastAsia="仿宋"/>
              </w:rPr>
            </w:pPr>
            <w:r>
              <w:rPr>
                <w:rFonts w:ascii="Times New Roman" w:eastAsia="仿宋"/>
              </w:rPr>
              <w:t>生态</w:t>
            </w:r>
          </w:p>
        </w:tc>
      </w:tr>
      <w:tr w14:paraId="3E90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6" w:type="dxa"/>
            <w:vMerge w:val="restart"/>
            <w:vAlign w:val="center"/>
          </w:tcPr>
          <w:p w14:paraId="7BFE2444">
            <w:pPr>
              <w:jc w:val="center"/>
              <w:rPr>
                <w:rFonts w:ascii="Times New Roman" w:eastAsia="仿宋"/>
              </w:rPr>
            </w:pPr>
            <w:r>
              <w:rPr>
                <w:rFonts w:hint="eastAsia" w:ascii="Times New Roman" w:eastAsia="仿宋"/>
              </w:rPr>
              <w:t>施工期</w:t>
            </w:r>
          </w:p>
        </w:tc>
        <w:tc>
          <w:tcPr>
            <w:tcW w:w="1161" w:type="dxa"/>
            <w:vAlign w:val="center"/>
          </w:tcPr>
          <w:p w14:paraId="04480439">
            <w:pPr>
              <w:jc w:val="center"/>
              <w:rPr>
                <w:rFonts w:ascii="Times New Roman" w:eastAsia="仿宋"/>
              </w:rPr>
            </w:pPr>
            <w:r>
              <w:rPr>
                <w:rFonts w:ascii="Times New Roman" w:eastAsia="仿宋"/>
              </w:rPr>
              <w:t>废气</w:t>
            </w:r>
          </w:p>
        </w:tc>
        <w:tc>
          <w:tcPr>
            <w:tcW w:w="1060" w:type="dxa"/>
            <w:vAlign w:val="center"/>
          </w:tcPr>
          <w:p w14:paraId="11EBEE9C">
            <w:pPr>
              <w:jc w:val="center"/>
              <w:rPr>
                <w:rFonts w:ascii="Times New Roman" w:eastAsia="仿宋"/>
              </w:rPr>
            </w:pPr>
            <w:r>
              <w:rPr>
                <w:rFonts w:ascii="Times New Roman" w:eastAsia="仿宋"/>
              </w:rPr>
              <w:t>-SRDF</w:t>
            </w:r>
          </w:p>
        </w:tc>
        <w:tc>
          <w:tcPr>
            <w:tcW w:w="1059" w:type="dxa"/>
            <w:vAlign w:val="center"/>
          </w:tcPr>
          <w:p w14:paraId="1A5F26A8">
            <w:pPr>
              <w:jc w:val="center"/>
              <w:rPr>
                <w:rFonts w:ascii="Times New Roman" w:eastAsia="仿宋"/>
              </w:rPr>
            </w:pPr>
          </w:p>
        </w:tc>
        <w:tc>
          <w:tcPr>
            <w:tcW w:w="1059" w:type="dxa"/>
            <w:vAlign w:val="center"/>
          </w:tcPr>
          <w:p w14:paraId="39F910C3">
            <w:pPr>
              <w:jc w:val="center"/>
              <w:rPr>
                <w:rFonts w:ascii="Times New Roman" w:eastAsia="仿宋"/>
              </w:rPr>
            </w:pPr>
          </w:p>
        </w:tc>
        <w:tc>
          <w:tcPr>
            <w:tcW w:w="1059" w:type="dxa"/>
            <w:vAlign w:val="center"/>
          </w:tcPr>
          <w:p w14:paraId="7C5B9316">
            <w:pPr>
              <w:jc w:val="center"/>
              <w:rPr>
                <w:rFonts w:ascii="Times New Roman" w:eastAsia="仿宋"/>
              </w:rPr>
            </w:pPr>
          </w:p>
        </w:tc>
        <w:tc>
          <w:tcPr>
            <w:tcW w:w="1059" w:type="dxa"/>
            <w:vAlign w:val="center"/>
          </w:tcPr>
          <w:p w14:paraId="071DFB9A">
            <w:pPr>
              <w:jc w:val="center"/>
              <w:rPr>
                <w:rFonts w:ascii="Times New Roman" w:eastAsia="仿宋"/>
              </w:rPr>
            </w:pPr>
          </w:p>
        </w:tc>
        <w:tc>
          <w:tcPr>
            <w:tcW w:w="1059" w:type="dxa"/>
            <w:vAlign w:val="center"/>
          </w:tcPr>
          <w:p w14:paraId="61B8C6AA">
            <w:pPr>
              <w:jc w:val="center"/>
              <w:rPr>
                <w:rFonts w:ascii="Times New Roman" w:eastAsia="仿宋"/>
              </w:rPr>
            </w:pPr>
          </w:p>
        </w:tc>
      </w:tr>
      <w:tr w14:paraId="1671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6" w:type="dxa"/>
            <w:vMerge w:val="continue"/>
            <w:vAlign w:val="center"/>
          </w:tcPr>
          <w:p w14:paraId="60713DF7">
            <w:pPr>
              <w:jc w:val="center"/>
              <w:rPr>
                <w:rFonts w:ascii="Times New Roman" w:eastAsia="仿宋"/>
              </w:rPr>
            </w:pPr>
          </w:p>
        </w:tc>
        <w:tc>
          <w:tcPr>
            <w:tcW w:w="1161" w:type="dxa"/>
            <w:vAlign w:val="center"/>
          </w:tcPr>
          <w:p w14:paraId="2572108F">
            <w:pPr>
              <w:jc w:val="center"/>
              <w:rPr>
                <w:rFonts w:ascii="Times New Roman" w:eastAsia="仿宋"/>
              </w:rPr>
            </w:pPr>
            <w:r>
              <w:rPr>
                <w:rFonts w:ascii="Times New Roman" w:eastAsia="仿宋"/>
              </w:rPr>
              <w:t>废水</w:t>
            </w:r>
          </w:p>
        </w:tc>
        <w:tc>
          <w:tcPr>
            <w:tcW w:w="1060" w:type="dxa"/>
            <w:vAlign w:val="center"/>
          </w:tcPr>
          <w:p w14:paraId="23D7736D">
            <w:pPr>
              <w:jc w:val="center"/>
              <w:rPr>
                <w:rFonts w:ascii="Times New Roman" w:eastAsia="仿宋"/>
              </w:rPr>
            </w:pPr>
          </w:p>
        </w:tc>
        <w:tc>
          <w:tcPr>
            <w:tcW w:w="1059" w:type="dxa"/>
            <w:vAlign w:val="center"/>
          </w:tcPr>
          <w:p w14:paraId="37D7AFB2">
            <w:pPr>
              <w:jc w:val="center"/>
              <w:rPr>
                <w:rFonts w:ascii="Times New Roman" w:eastAsia="仿宋"/>
              </w:rPr>
            </w:pPr>
            <w:r>
              <w:rPr>
                <w:rFonts w:ascii="Times New Roman" w:eastAsia="仿宋"/>
              </w:rPr>
              <w:t>-SRDF</w:t>
            </w:r>
          </w:p>
        </w:tc>
        <w:tc>
          <w:tcPr>
            <w:tcW w:w="1059" w:type="dxa"/>
            <w:vAlign w:val="center"/>
          </w:tcPr>
          <w:p w14:paraId="46711FCF">
            <w:pPr>
              <w:jc w:val="center"/>
              <w:rPr>
                <w:rFonts w:ascii="Times New Roman" w:eastAsia="仿宋"/>
              </w:rPr>
            </w:pPr>
          </w:p>
        </w:tc>
        <w:tc>
          <w:tcPr>
            <w:tcW w:w="1059" w:type="dxa"/>
            <w:vAlign w:val="center"/>
          </w:tcPr>
          <w:p w14:paraId="6D957C7A">
            <w:pPr>
              <w:jc w:val="center"/>
              <w:rPr>
                <w:rFonts w:ascii="Times New Roman" w:eastAsia="仿宋"/>
              </w:rPr>
            </w:pPr>
            <w:r>
              <w:rPr>
                <w:rFonts w:ascii="Times New Roman" w:eastAsia="仿宋"/>
              </w:rPr>
              <w:t>I</w:t>
            </w:r>
          </w:p>
        </w:tc>
        <w:tc>
          <w:tcPr>
            <w:tcW w:w="1059" w:type="dxa"/>
            <w:vAlign w:val="center"/>
          </w:tcPr>
          <w:p w14:paraId="12A93417">
            <w:pPr>
              <w:jc w:val="center"/>
              <w:rPr>
                <w:rFonts w:ascii="Times New Roman" w:eastAsia="仿宋"/>
              </w:rPr>
            </w:pPr>
            <w:r>
              <w:rPr>
                <w:rFonts w:ascii="Times New Roman" w:eastAsia="仿宋"/>
              </w:rPr>
              <w:t>I</w:t>
            </w:r>
          </w:p>
        </w:tc>
        <w:tc>
          <w:tcPr>
            <w:tcW w:w="1059" w:type="dxa"/>
            <w:vAlign w:val="center"/>
          </w:tcPr>
          <w:p w14:paraId="230AE4C9">
            <w:pPr>
              <w:jc w:val="center"/>
              <w:rPr>
                <w:rFonts w:ascii="Times New Roman" w:eastAsia="仿宋"/>
              </w:rPr>
            </w:pPr>
          </w:p>
        </w:tc>
      </w:tr>
      <w:tr w14:paraId="7863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86" w:type="dxa"/>
            <w:vMerge w:val="continue"/>
            <w:vAlign w:val="center"/>
          </w:tcPr>
          <w:p w14:paraId="719102C5">
            <w:pPr>
              <w:jc w:val="center"/>
              <w:rPr>
                <w:rFonts w:ascii="Times New Roman" w:eastAsia="仿宋"/>
              </w:rPr>
            </w:pPr>
          </w:p>
        </w:tc>
        <w:tc>
          <w:tcPr>
            <w:tcW w:w="1161" w:type="dxa"/>
            <w:vAlign w:val="center"/>
          </w:tcPr>
          <w:p w14:paraId="66E6E7BA">
            <w:pPr>
              <w:jc w:val="center"/>
              <w:rPr>
                <w:rFonts w:ascii="Times New Roman" w:eastAsia="仿宋"/>
              </w:rPr>
            </w:pPr>
            <w:r>
              <w:rPr>
                <w:rFonts w:ascii="Times New Roman" w:eastAsia="仿宋"/>
              </w:rPr>
              <w:t>噪声</w:t>
            </w:r>
          </w:p>
        </w:tc>
        <w:tc>
          <w:tcPr>
            <w:tcW w:w="1060" w:type="dxa"/>
            <w:vAlign w:val="center"/>
          </w:tcPr>
          <w:p w14:paraId="49F44186">
            <w:pPr>
              <w:jc w:val="center"/>
              <w:rPr>
                <w:rFonts w:ascii="Times New Roman" w:eastAsia="仿宋"/>
              </w:rPr>
            </w:pPr>
          </w:p>
        </w:tc>
        <w:tc>
          <w:tcPr>
            <w:tcW w:w="1059" w:type="dxa"/>
            <w:vAlign w:val="center"/>
          </w:tcPr>
          <w:p w14:paraId="67909AFA">
            <w:pPr>
              <w:jc w:val="center"/>
              <w:rPr>
                <w:rFonts w:ascii="Times New Roman" w:eastAsia="仿宋"/>
              </w:rPr>
            </w:pPr>
          </w:p>
        </w:tc>
        <w:tc>
          <w:tcPr>
            <w:tcW w:w="1059" w:type="dxa"/>
            <w:vAlign w:val="center"/>
          </w:tcPr>
          <w:p w14:paraId="4A53EF6F">
            <w:pPr>
              <w:jc w:val="center"/>
              <w:rPr>
                <w:rFonts w:ascii="Times New Roman" w:eastAsia="仿宋"/>
              </w:rPr>
            </w:pPr>
            <w:r>
              <w:rPr>
                <w:rFonts w:ascii="Times New Roman" w:eastAsia="仿宋"/>
              </w:rPr>
              <w:t>-SRDF</w:t>
            </w:r>
          </w:p>
        </w:tc>
        <w:tc>
          <w:tcPr>
            <w:tcW w:w="1059" w:type="dxa"/>
            <w:vAlign w:val="center"/>
          </w:tcPr>
          <w:p w14:paraId="4E623DDE">
            <w:pPr>
              <w:jc w:val="center"/>
              <w:rPr>
                <w:rFonts w:ascii="Times New Roman" w:eastAsia="仿宋"/>
              </w:rPr>
            </w:pPr>
          </w:p>
        </w:tc>
        <w:tc>
          <w:tcPr>
            <w:tcW w:w="1059" w:type="dxa"/>
            <w:vAlign w:val="center"/>
          </w:tcPr>
          <w:p w14:paraId="3CA2659E">
            <w:pPr>
              <w:jc w:val="center"/>
              <w:rPr>
                <w:rFonts w:ascii="Times New Roman" w:eastAsia="仿宋"/>
              </w:rPr>
            </w:pPr>
          </w:p>
        </w:tc>
        <w:tc>
          <w:tcPr>
            <w:tcW w:w="1059" w:type="dxa"/>
            <w:vAlign w:val="center"/>
          </w:tcPr>
          <w:p w14:paraId="4AF1E16B">
            <w:pPr>
              <w:jc w:val="center"/>
              <w:rPr>
                <w:rFonts w:ascii="Times New Roman" w:eastAsia="仿宋"/>
              </w:rPr>
            </w:pPr>
          </w:p>
        </w:tc>
      </w:tr>
      <w:tr w14:paraId="00F0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6" w:type="dxa"/>
            <w:vMerge w:val="continue"/>
            <w:vAlign w:val="center"/>
          </w:tcPr>
          <w:p w14:paraId="25976BAE">
            <w:pPr>
              <w:jc w:val="center"/>
              <w:rPr>
                <w:rFonts w:ascii="Times New Roman" w:eastAsia="仿宋"/>
              </w:rPr>
            </w:pPr>
          </w:p>
        </w:tc>
        <w:tc>
          <w:tcPr>
            <w:tcW w:w="1161" w:type="dxa"/>
            <w:vAlign w:val="center"/>
          </w:tcPr>
          <w:p w14:paraId="04FBDB46">
            <w:pPr>
              <w:jc w:val="center"/>
              <w:rPr>
                <w:rFonts w:ascii="Times New Roman" w:eastAsia="仿宋"/>
              </w:rPr>
            </w:pPr>
            <w:r>
              <w:rPr>
                <w:rFonts w:ascii="Times New Roman" w:eastAsia="仿宋"/>
              </w:rPr>
              <w:t>固废</w:t>
            </w:r>
          </w:p>
        </w:tc>
        <w:tc>
          <w:tcPr>
            <w:tcW w:w="1060" w:type="dxa"/>
            <w:vAlign w:val="center"/>
          </w:tcPr>
          <w:p w14:paraId="5F9BFBC8">
            <w:pPr>
              <w:jc w:val="center"/>
              <w:rPr>
                <w:rFonts w:ascii="Times New Roman" w:eastAsia="仿宋"/>
              </w:rPr>
            </w:pPr>
            <w:r>
              <w:rPr>
                <w:rFonts w:ascii="Times New Roman" w:eastAsia="仿宋"/>
              </w:rPr>
              <w:t>-SRDF</w:t>
            </w:r>
          </w:p>
        </w:tc>
        <w:tc>
          <w:tcPr>
            <w:tcW w:w="1059" w:type="dxa"/>
            <w:vAlign w:val="center"/>
          </w:tcPr>
          <w:p w14:paraId="2A30C593">
            <w:pPr>
              <w:jc w:val="center"/>
              <w:rPr>
                <w:rFonts w:ascii="Times New Roman" w:eastAsia="仿宋"/>
              </w:rPr>
            </w:pPr>
          </w:p>
        </w:tc>
        <w:tc>
          <w:tcPr>
            <w:tcW w:w="1059" w:type="dxa"/>
            <w:vAlign w:val="center"/>
          </w:tcPr>
          <w:p w14:paraId="4BC6920C">
            <w:pPr>
              <w:jc w:val="center"/>
              <w:rPr>
                <w:rFonts w:ascii="Times New Roman" w:eastAsia="仿宋"/>
              </w:rPr>
            </w:pPr>
          </w:p>
        </w:tc>
        <w:tc>
          <w:tcPr>
            <w:tcW w:w="1059" w:type="dxa"/>
            <w:vAlign w:val="center"/>
          </w:tcPr>
          <w:p w14:paraId="6F7CABBB">
            <w:pPr>
              <w:jc w:val="center"/>
              <w:rPr>
                <w:rFonts w:ascii="Times New Roman" w:eastAsia="仿宋"/>
              </w:rPr>
            </w:pPr>
          </w:p>
        </w:tc>
        <w:tc>
          <w:tcPr>
            <w:tcW w:w="1059" w:type="dxa"/>
            <w:vAlign w:val="center"/>
          </w:tcPr>
          <w:p w14:paraId="6412F885">
            <w:pPr>
              <w:jc w:val="center"/>
              <w:rPr>
                <w:rFonts w:ascii="Times New Roman" w:eastAsia="仿宋"/>
              </w:rPr>
            </w:pPr>
          </w:p>
        </w:tc>
        <w:tc>
          <w:tcPr>
            <w:tcW w:w="1059" w:type="dxa"/>
            <w:vAlign w:val="center"/>
          </w:tcPr>
          <w:p w14:paraId="67AF06BC">
            <w:pPr>
              <w:jc w:val="center"/>
              <w:rPr>
                <w:rFonts w:ascii="Times New Roman" w:eastAsia="仿宋"/>
              </w:rPr>
            </w:pPr>
            <w:r>
              <w:rPr>
                <w:rFonts w:ascii="Times New Roman" w:eastAsia="仿宋"/>
              </w:rPr>
              <w:t>-SRDF</w:t>
            </w:r>
          </w:p>
        </w:tc>
      </w:tr>
      <w:tr w14:paraId="2F7F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14:paraId="27EB4BA7">
            <w:pPr>
              <w:jc w:val="center"/>
              <w:rPr>
                <w:rFonts w:ascii="Times New Roman" w:eastAsia="仿宋"/>
              </w:rPr>
            </w:pPr>
            <w:r>
              <w:rPr>
                <w:rFonts w:ascii="Times New Roman" w:eastAsia="仿宋"/>
              </w:rPr>
              <w:t>运营期</w:t>
            </w:r>
          </w:p>
        </w:tc>
        <w:tc>
          <w:tcPr>
            <w:tcW w:w="1161" w:type="dxa"/>
            <w:vAlign w:val="center"/>
          </w:tcPr>
          <w:p w14:paraId="62EBC6B1">
            <w:pPr>
              <w:jc w:val="center"/>
              <w:rPr>
                <w:rFonts w:ascii="Times New Roman" w:eastAsia="仿宋"/>
              </w:rPr>
            </w:pPr>
            <w:r>
              <w:rPr>
                <w:rFonts w:ascii="Times New Roman" w:eastAsia="仿宋"/>
              </w:rPr>
              <w:t>废气</w:t>
            </w:r>
          </w:p>
        </w:tc>
        <w:tc>
          <w:tcPr>
            <w:tcW w:w="1060" w:type="dxa"/>
            <w:vAlign w:val="center"/>
          </w:tcPr>
          <w:p w14:paraId="35ADDA59">
            <w:pPr>
              <w:jc w:val="center"/>
              <w:rPr>
                <w:rFonts w:ascii="Times New Roman" w:eastAsia="仿宋"/>
              </w:rPr>
            </w:pPr>
            <w:r>
              <w:rPr>
                <w:rFonts w:ascii="Times New Roman" w:eastAsia="仿宋"/>
              </w:rPr>
              <w:t>-LRDF</w:t>
            </w:r>
          </w:p>
        </w:tc>
        <w:tc>
          <w:tcPr>
            <w:tcW w:w="1059" w:type="dxa"/>
            <w:vAlign w:val="center"/>
          </w:tcPr>
          <w:p w14:paraId="3CC3470A">
            <w:pPr>
              <w:jc w:val="center"/>
              <w:rPr>
                <w:rFonts w:ascii="Times New Roman" w:eastAsia="仿宋"/>
              </w:rPr>
            </w:pPr>
          </w:p>
        </w:tc>
        <w:tc>
          <w:tcPr>
            <w:tcW w:w="1059" w:type="dxa"/>
            <w:vAlign w:val="center"/>
          </w:tcPr>
          <w:p w14:paraId="5E462C8D">
            <w:pPr>
              <w:jc w:val="center"/>
              <w:rPr>
                <w:rFonts w:ascii="Times New Roman" w:eastAsia="仿宋"/>
              </w:rPr>
            </w:pPr>
          </w:p>
        </w:tc>
        <w:tc>
          <w:tcPr>
            <w:tcW w:w="1059" w:type="dxa"/>
            <w:vAlign w:val="center"/>
          </w:tcPr>
          <w:p w14:paraId="660BB198">
            <w:pPr>
              <w:jc w:val="center"/>
              <w:rPr>
                <w:rFonts w:ascii="Times New Roman" w:eastAsia="仿宋"/>
              </w:rPr>
            </w:pPr>
          </w:p>
        </w:tc>
        <w:tc>
          <w:tcPr>
            <w:tcW w:w="1059" w:type="dxa"/>
          </w:tcPr>
          <w:p w14:paraId="5405DD9E">
            <w:pPr>
              <w:jc w:val="center"/>
              <w:rPr>
                <w:rFonts w:ascii="Times New Roman" w:eastAsia="仿宋"/>
              </w:rPr>
            </w:pPr>
            <w:r>
              <w:rPr>
                <w:rFonts w:ascii="Times New Roman" w:eastAsia="仿宋"/>
              </w:rPr>
              <w:t>-LRIC</w:t>
            </w:r>
          </w:p>
        </w:tc>
        <w:tc>
          <w:tcPr>
            <w:tcW w:w="1059" w:type="dxa"/>
            <w:vAlign w:val="center"/>
          </w:tcPr>
          <w:p w14:paraId="4D436015">
            <w:pPr>
              <w:jc w:val="center"/>
              <w:rPr>
                <w:rFonts w:ascii="Times New Roman" w:eastAsia="仿宋"/>
              </w:rPr>
            </w:pPr>
          </w:p>
        </w:tc>
      </w:tr>
      <w:tr w14:paraId="48F2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14:paraId="65ACFA1F">
            <w:pPr>
              <w:jc w:val="center"/>
              <w:rPr>
                <w:rFonts w:ascii="Times New Roman" w:eastAsia="仿宋"/>
              </w:rPr>
            </w:pPr>
          </w:p>
        </w:tc>
        <w:tc>
          <w:tcPr>
            <w:tcW w:w="1161" w:type="dxa"/>
            <w:vAlign w:val="center"/>
          </w:tcPr>
          <w:p w14:paraId="2E7056F1">
            <w:pPr>
              <w:jc w:val="center"/>
              <w:rPr>
                <w:rFonts w:ascii="Times New Roman" w:eastAsia="仿宋"/>
              </w:rPr>
            </w:pPr>
            <w:r>
              <w:rPr>
                <w:rFonts w:ascii="Times New Roman" w:eastAsia="仿宋"/>
              </w:rPr>
              <w:t>废水</w:t>
            </w:r>
          </w:p>
        </w:tc>
        <w:tc>
          <w:tcPr>
            <w:tcW w:w="1060" w:type="dxa"/>
            <w:vAlign w:val="center"/>
          </w:tcPr>
          <w:p w14:paraId="0A313D5E">
            <w:pPr>
              <w:jc w:val="center"/>
              <w:rPr>
                <w:rFonts w:ascii="Times New Roman" w:eastAsia="仿宋"/>
              </w:rPr>
            </w:pPr>
          </w:p>
        </w:tc>
        <w:tc>
          <w:tcPr>
            <w:tcW w:w="1059" w:type="dxa"/>
            <w:vAlign w:val="center"/>
          </w:tcPr>
          <w:p w14:paraId="796BAE71">
            <w:pPr>
              <w:jc w:val="center"/>
              <w:rPr>
                <w:rFonts w:ascii="Times New Roman" w:eastAsia="仿宋"/>
              </w:rPr>
            </w:pPr>
            <w:r>
              <w:rPr>
                <w:rFonts w:ascii="Times New Roman" w:eastAsia="仿宋"/>
              </w:rPr>
              <w:t>-LRIF</w:t>
            </w:r>
          </w:p>
        </w:tc>
        <w:tc>
          <w:tcPr>
            <w:tcW w:w="1059" w:type="dxa"/>
            <w:vAlign w:val="center"/>
          </w:tcPr>
          <w:p w14:paraId="5A274EFB">
            <w:pPr>
              <w:jc w:val="center"/>
              <w:rPr>
                <w:rFonts w:ascii="Times New Roman" w:eastAsia="仿宋"/>
              </w:rPr>
            </w:pPr>
          </w:p>
        </w:tc>
        <w:tc>
          <w:tcPr>
            <w:tcW w:w="1059" w:type="dxa"/>
            <w:vAlign w:val="center"/>
          </w:tcPr>
          <w:p w14:paraId="0DCD8D23">
            <w:pPr>
              <w:jc w:val="center"/>
              <w:rPr>
                <w:rFonts w:ascii="Times New Roman" w:eastAsia="仿宋"/>
              </w:rPr>
            </w:pPr>
            <w:r>
              <w:rPr>
                <w:rFonts w:ascii="Times New Roman" w:eastAsia="仿宋"/>
              </w:rPr>
              <w:t>I</w:t>
            </w:r>
          </w:p>
        </w:tc>
        <w:tc>
          <w:tcPr>
            <w:tcW w:w="1059" w:type="dxa"/>
          </w:tcPr>
          <w:p w14:paraId="3DE7182A">
            <w:pPr>
              <w:jc w:val="center"/>
              <w:rPr>
                <w:rFonts w:ascii="Times New Roman" w:eastAsia="仿宋"/>
              </w:rPr>
            </w:pPr>
          </w:p>
        </w:tc>
        <w:tc>
          <w:tcPr>
            <w:tcW w:w="1059" w:type="dxa"/>
            <w:vAlign w:val="center"/>
          </w:tcPr>
          <w:p w14:paraId="5C074DD1">
            <w:pPr>
              <w:jc w:val="center"/>
              <w:rPr>
                <w:rFonts w:ascii="Times New Roman" w:eastAsia="仿宋"/>
              </w:rPr>
            </w:pPr>
          </w:p>
        </w:tc>
      </w:tr>
      <w:tr w14:paraId="0A11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14:paraId="51F53DD7">
            <w:pPr>
              <w:jc w:val="center"/>
              <w:rPr>
                <w:rFonts w:ascii="Times New Roman" w:eastAsia="仿宋"/>
              </w:rPr>
            </w:pPr>
          </w:p>
        </w:tc>
        <w:tc>
          <w:tcPr>
            <w:tcW w:w="1161" w:type="dxa"/>
            <w:vAlign w:val="center"/>
          </w:tcPr>
          <w:p w14:paraId="2B7C6C82">
            <w:pPr>
              <w:jc w:val="center"/>
              <w:rPr>
                <w:rFonts w:ascii="Times New Roman" w:eastAsia="仿宋"/>
              </w:rPr>
            </w:pPr>
            <w:r>
              <w:rPr>
                <w:rFonts w:ascii="Times New Roman" w:eastAsia="仿宋"/>
              </w:rPr>
              <w:t>噪声</w:t>
            </w:r>
          </w:p>
        </w:tc>
        <w:tc>
          <w:tcPr>
            <w:tcW w:w="1060" w:type="dxa"/>
            <w:vAlign w:val="center"/>
          </w:tcPr>
          <w:p w14:paraId="6E82FCAD">
            <w:pPr>
              <w:jc w:val="center"/>
              <w:rPr>
                <w:rFonts w:ascii="Times New Roman" w:eastAsia="仿宋"/>
              </w:rPr>
            </w:pPr>
          </w:p>
        </w:tc>
        <w:tc>
          <w:tcPr>
            <w:tcW w:w="1059" w:type="dxa"/>
            <w:vAlign w:val="center"/>
          </w:tcPr>
          <w:p w14:paraId="563EFA0F">
            <w:pPr>
              <w:jc w:val="center"/>
              <w:rPr>
                <w:rFonts w:ascii="Times New Roman" w:eastAsia="仿宋"/>
              </w:rPr>
            </w:pPr>
          </w:p>
        </w:tc>
        <w:tc>
          <w:tcPr>
            <w:tcW w:w="1059" w:type="dxa"/>
            <w:vAlign w:val="center"/>
          </w:tcPr>
          <w:p w14:paraId="1F295005">
            <w:pPr>
              <w:jc w:val="center"/>
              <w:rPr>
                <w:rFonts w:ascii="Times New Roman" w:eastAsia="仿宋"/>
              </w:rPr>
            </w:pPr>
            <w:r>
              <w:rPr>
                <w:rFonts w:ascii="Times New Roman" w:eastAsia="仿宋"/>
              </w:rPr>
              <w:t>-LRDF</w:t>
            </w:r>
          </w:p>
        </w:tc>
        <w:tc>
          <w:tcPr>
            <w:tcW w:w="1059" w:type="dxa"/>
            <w:vAlign w:val="center"/>
          </w:tcPr>
          <w:p w14:paraId="3D6BC4AF">
            <w:pPr>
              <w:jc w:val="center"/>
              <w:rPr>
                <w:rFonts w:ascii="Times New Roman" w:eastAsia="仿宋"/>
              </w:rPr>
            </w:pPr>
          </w:p>
        </w:tc>
        <w:tc>
          <w:tcPr>
            <w:tcW w:w="1059" w:type="dxa"/>
          </w:tcPr>
          <w:p w14:paraId="4D128696">
            <w:pPr>
              <w:jc w:val="center"/>
              <w:rPr>
                <w:rFonts w:ascii="Times New Roman" w:eastAsia="仿宋"/>
              </w:rPr>
            </w:pPr>
          </w:p>
        </w:tc>
        <w:tc>
          <w:tcPr>
            <w:tcW w:w="1059" w:type="dxa"/>
            <w:vAlign w:val="center"/>
          </w:tcPr>
          <w:p w14:paraId="17A9A4E7">
            <w:pPr>
              <w:jc w:val="center"/>
              <w:rPr>
                <w:rFonts w:ascii="Times New Roman" w:eastAsia="仿宋"/>
              </w:rPr>
            </w:pPr>
          </w:p>
        </w:tc>
      </w:tr>
      <w:tr w14:paraId="6DE0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14:paraId="2796B18F">
            <w:pPr>
              <w:jc w:val="center"/>
              <w:rPr>
                <w:rFonts w:ascii="Times New Roman" w:eastAsia="仿宋"/>
              </w:rPr>
            </w:pPr>
          </w:p>
        </w:tc>
        <w:tc>
          <w:tcPr>
            <w:tcW w:w="1161" w:type="dxa"/>
            <w:vAlign w:val="center"/>
          </w:tcPr>
          <w:p w14:paraId="332E685D">
            <w:pPr>
              <w:jc w:val="center"/>
              <w:rPr>
                <w:rFonts w:ascii="Times New Roman" w:eastAsia="仿宋"/>
              </w:rPr>
            </w:pPr>
            <w:r>
              <w:rPr>
                <w:rFonts w:ascii="Times New Roman" w:eastAsia="仿宋"/>
              </w:rPr>
              <w:t>固废</w:t>
            </w:r>
          </w:p>
        </w:tc>
        <w:tc>
          <w:tcPr>
            <w:tcW w:w="1060" w:type="dxa"/>
            <w:vAlign w:val="center"/>
          </w:tcPr>
          <w:p w14:paraId="173F051E">
            <w:pPr>
              <w:jc w:val="center"/>
              <w:rPr>
                <w:rFonts w:ascii="Times New Roman" w:eastAsia="仿宋"/>
              </w:rPr>
            </w:pPr>
            <w:r>
              <w:rPr>
                <w:rFonts w:ascii="Times New Roman" w:eastAsia="仿宋"/>
              </w:rPr>
              <w:t>-LRDF</w:t>
            </w:r>
          </w:p>
        </w:tc>
        <w:tc>
          <w:tcPr>
            <w:tcW w:w="1059" w:type="dxa"/>
            <w:vAlign w:val="center"/>
          </w:tcPr>
          <w:p w14:paraId="7A2251D2">
            <w:pPr>
              <w:jc w:val="center"/>
              <w:rPr>
                <w:rFonts w:ascii="Times New Roman" w:eastAsia="仿宋"/>
              </w:rPr>
            </w:pPr>
          </w:p>
        </w:tc>
        <w:tc>
          <w:tcPr>
            <w:tcW w:w="1059" w:type="dxa"/>
            <w:vAlign w:val="center"/>
          </w:tcPr>
          <w:p w14:paraId="053B514F">
            <w:pPr>
              <w:jc w:val="center"/>
              <w:rPr>
                <w:rFonts w:ascii="Times New Roman" w:eastAsia="仿宋"/>
              </w:rPr>
            </w:pPr>
          </w:p>
        </w:tc>
        <w:tc>
          <w:tcPr>
            <w:tcW w:w="1059" w:type="dxa"/>
            <w:vAlign w:val="center"/>
          </w:tcPr>
          <w:p w14:paraId="365B7363">
            <w:pPr>
              <w:jc w:val="center"/>
              <w:rPr>
                <w:rFonts w:ascii="Times New Roman" w:eastAsia="仿宋"/>
              </w:rPr>
            </w:pPr>
          </w:p>
        </w:tc>
        <w:tc>
          <w:tcPr>
            <w:tcW w:w="1059" w:type="dxa"/>
          </w:tcPr>
          <w:p w14:paraId="1A56D4E9">
            <w:pPr>
              <w:jc w:val="center"/>
              <w:rPr>
                <w:rFonts w:ascii="Times New Roman" w:eastAsia="仿宋"/>
              </w:rPr>
            </w:pPr>
          </w:p>
        </w:tc>
        <w:tc>
          <w:tcPr>
            <w:tcW w:w="1059" w:type="dxa"/>
            <w:vAlign w:val="center"/>
          </w:tcPr>
          <w:p w14:paraId="3EDFF298">
            <w:pPr>
              <w:jc w:val="center"/>
              <w:rPr>
                <w:rFonts w:ascii="Times New Roman" w:eastAsia="仿宋"/>
              </w:rPr>
            </w:pPr>
            <w:r>
              <w:rPr>
                <w:rFonts w:ascii="Times New Roman" w:eastAsia="仿宋"/>
              </w:rPr>
              <w:t>-LRDF</w:t>
            </w:r>
          </w:p>
        </w:tc>
      </w:tr>
      <w:tr w14:paraId="4BCF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14:paraId="364897A8">
            <w:pPr>
              <w:jc w:val="center"/>
              <w:rPr>
                <w:rFonts w:ascii="Times New Roman" w:eastAsia="仿宋"/>
              </w:rPr>
            </w:pPr>
          </w:p>
        </w:tc>
        <w:tc>
          <w:tcPr>
            <w:tcW w:w="1161" w:type="dxa"/>
            <w:vAlign w:val="center"/>
          </w:tcPr>
          <w:p w14:paraId="4CC1BA94">
            <w:pPr>
              <w:jc w:val="center"/>
              <w:rPr>
                <w:rFonts w:ascii="Times New Roman" w:eastAsia="仿宋"/>
              </w:rPr>
            </w:pPr>
            <w:r>
              <w:rPr>
                <w:rFonts w:hint="eastAsia" w:ascii="Times New Roman" w:eastAsia="仿宋"/>
              </w:rPr>
              <w:t>风险</w:t>
            </w:r>
          </w:p>
        </w:tc>
        <w:tc>
          <w:tcPr>
            <w:tcW w:w="1060" w:type="dxa"/>
            <w:vAlign w:val="center"/>
          </w:tcPr>
          <w:p w14:paraId="7A52EA84">
            <w:pPr>
              <w:jc w:val="center"/>
              <w:rPr>
                <w:rFonts w:ascii="Times New Roman" w:eastAsia="仿宋"/>
              </w:rPr>
            </w:pPr>
            <w:r>
              <w:rPr>
                <w:rFonts w:ascii="Times New Roman" w:eastAsia="仿宋"/>
              </w:rPr>
              <w:t>-SRDF</w:t>
            </w:r>
          </w:p>
        </w:tc>
        <w:tc>
          <w:tcPr>
            <w:tcW w:w="1059" w:type="dxa"/>
            <w:vAlign w:val="center"/>
          </w:tcPr>
          <w:p w14:paraId="14F6C7D7">
            <w:pPr>
              <w:jc w:val="center"/>
              <w:rPr>
                <w:rFonts w:ascii="Times New Roman" w:eastAsia="仿宋"/>
              </w:rPr>
            </w:pPr>
            <w:r>
              <w:rPr>
                <w:rFonts w:ascii="Times New Roman" w:eastAsia="仿宋"/>
              </w:rPr>
              <w:t>-SRDF</w:t>
            </w:r>
          </w:p>
        </w:tc>
        <w:tc>
          <w:tcPr>
            <w:tcW w:w="1059" w:type="dxa"/>
            <w:vAlign w:val="center"/>
          </w:tcPr>
          <w:p w14:paraId="19F21F78">
            <w:pPr>
              <w:jc w:val="center"/>
              <w:rPr>
                <w:rFonts w:ascii="Times New Roman" w:eastAsia="仿宋"/>
              </w:rPr>
            </w:pPr>
          </w:p>
        </w:tc>
        <w:tc>
          <w:tcPr>
            <w:tcW w:w="1059" w:type="dxa"/>
            <w:vAlign w:val="center"/>
          </w:tcPr>
          <w:p w14:paraId="5C654B8C">
            <w:pPr>
              <w:jc w:val="center"/>
              <w:rPr>
                <w:rFonts w:ascii="Times New Roman" w:eastAsia="仿宋"/>
              </w:rPr>
            </w:pPr>
            <w:r>
              <w:rPr>
                <w:rFonts w:ascii="Times New Roman" w:eastAsia="仿宋"/>
              </w:rPr>
              <w:t>-SRDF</w:t>
            </w:r>
          </w:p>
        </w:tc>
        <w:tc>
          <w:tcPr>
            <w:tcW w:w="1059" w:type="dxa"/>
            <w:vAlign w:val="center"/>
          </w:tcPr>
          <w:p w14:paraId="012EDE68">
            <w:pPr>
              <w:jc w:val="center"/>
              <w:rPr>
                <w:rFonts w:ascii="Times New Roman" w:eastAsia="仿宋"/>
              </w:rPr>
            </w:pPr>
            <w:r>
              <w:rPr>
                <w:rFonts w:ascii="Times New Roman" w:eastAsia="仿宋"/>
              </w:rPr>
              <w:t>-SRDF</w:t>
            </w:r>
          </w:p>
        </w:tc>
        <w:tc>
          <w:tcPr>
            <w:tcW w:w="1059" w:type="dxa"/>
            <w:vAlign w:val="center"/>
          </w:tcPr>
          <w:p w14:paraId="2117E740">
            <w:pPr>
              <w:jc w:val="center"/>
              <w:rPr>
                <w:rFonts w:ascii="Times New Roman" w:eastAsia="仿宋"/>
              </w:rPr>
            </w:pPr>
            <w:r>
              <w:rPr>
                <w:rFonts w:ascii="Times New Roman" w:eastAsia="仿宋"/>
              </w:rPr>
              <w:t>-SRDF</w:t>
            </w:r>
          </w:p>
        </w:tc>
      </w:tr>
    </w:tbl>
    <w:p w14:paraId="5AFA768C">
      <w:pPr>
        <w:ind w:firstLine="482" w:firstLineChars="200"/>
        <w:rPr>
          <w:rFonts w:ascii="Times New Roman" w:eastAsia="仿宋"/>
          <w:b/>
          <w:sz w:val="28"/>
          <w:szCs w:val="28"/>
        </w:rPr>
      </w:pPr>
      <w:r>
        <w:rPr>
          <w:rFonts w:ascii="Times New Roman" w:eastAsia="仿宋"/>
          <w:b/>
        </w:rPr>
        <w:t>注：上表中，“+”表示有利影响，“-”表示不利影响；“S”表示短期影响，“L”表示长期影响；“R” 表示可逆影响，“N”表示不可逆影响；“D” 表示直接影响，“I”表示间接影响；“C” 表示累计影响，“F”表示非累积影响。</w:t>
      </w:r>
    </w:p>
    <w:p w14:paraId="2D5C0FBB">
      <w:pPr>
        <w:keepNext/>
        <w:widowControl/>
        <w:tabs>
          <w:tab w:val="left" w:pos="993"/>
        </w:tabs>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.3.1.2环境影响评价因子</w:t>
      </w:r>
    </w:p>
    <w:p w14:paraId="70D8C67B">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本项目各环境影响评价因子见下表：</w:t>
      </w:r>
    </w:p>
    <w:p w14:paraId="68AC5229">
      <w:pPr>
        <w:pStyle w:val="2"/>
        <w:sectPr>
          <w:pgSz w:w="11906" w:h="16838"/>
          <w:pgMar w:top="1843" w:right="1616" w:bottom="1440" w:left="1678" w:header="1191" w:footer="992" w:gutter="0"/>
          <w:cols w:space="720" w:num="1"/>
          <w:docGrid w:linePitch="312" w:charSpace="0"/>
        </w:sectPr>
      </w:pPr>
    </w:p>
    <w:p w14:paraId="12DCBAF3">
      <w:pPr>
        <w:spacing w:line="500" w:lineRule="exact"/>
        <w:ind w:firstLine="482" w:firstLineChars="200"/>
        <w:jc w:val="center"/>
        <w:rPr>
          <w:rFonts w:ascii="Times New Roman" w:eastAsia="仿宋"/>
          <w:b/>
          <w:bCs/>
        </w:rPr>
      </w:pPr>
      <w:r>
        <w:rPr>
          <w:rFonts w:ascii="Times New Roman" w:eastAsia="仿宋"/>
          <w:b/>
          <w:bCs/>
        </w:rPr>
        <w:t>2.3-2 环境</w:t>
      </w:r>
      <w:r>
        <w:rPr>
          <w:rFonts w:hint="eastAsia" w:ascii="Times New Roman" w:eastAsia="仿宋"/>
          <w:b/>
          <w:bCs/>
        </w:rPr>
        <w:t>影响评价因子</w:t>
      </w:r>
      <w:r>
        <w:rPr>
          <w:rFonts w:ascii="Times New Roman" w:eastAsia="仿宋"/>
          <w:b/>
          <w:bCs/>
        </w:rPr>
        <w:t>一览表</w:t>
      </w:r>
    </w:p>
    <w:tbl>
      <w:tblPr>
        <w:tblStyle w:val="88"/>
        <w:tblW w:w="13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88"/>
        <w:gridCol w:w="1338"/>
        <w:gridCol w:w="2564"/>
        <w:gridCol w:w="1538"/>
        <w:gridCol w:w="3475"/>
        <w:gridCol w:w="1212"/>
        <w:gridCol w:w="1408"/>
      </w:tblGrid>
      <w:tr w14:paraId="5FAD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FFF33DB">
            <w:pPr>
              <w:jc w:val="center"/>
              <w:rPr>
                <w:rFonts w:ascii="Times New Roman" w:eastAsia="仿宋"/>
              </w:rPr>
            </w:pPr>
            <w:r>
              <w:rPr>
                <w:rFonts w:hint="eastAsia" w:ascii="Times New Roman" w:eastAsia="仿宋"/>
              </w:rPr>
              <w:t>类型</w:t>
            </w:r>
          </w:p>
        </w:tc>
        <w:tc>
          <w:tcPr>
            <w:tcW w:w="1388" w:type="dxa"/>
            <w:vAlign w:val="center"/>
          </w:tcPr>
          <w:p w14:paraId="03952AA7">
            <w:pPr>
              <w:jc w:val="center"/>
              <w:rPr>
                <w:rFonts w:ascii="Times New Roman" w:eastAsia="仿宋"/>
              </w:rPr>
            </w:pPr>
            <w:r>
              <w:rPr>
                <w:rFonts w:hint="eastAsia" w:ascii="Times New Roman" w:eastAsia="仿宋"/>
              </w:rPr>
              <w:t>大气</w:t>
            </w:r>
          </w:p>
        </w:tc>
        <w:tc>
          <w:tcPr>
            <w:tcW w:w="1338" w:type="dxa"/>
            <w:vAlign w:val="center"/>
          </w:tcPr>
          <w:p w14:paraId="2A8A7DF4">
            <w:pPr>
              <w:jc w:val="center"/>
              <w:rPr>
                <w:rFonts w:ascii="Times New Roman" w:eastAsia="仿宋"/>
              </w:rPr>
            </w:pPr>
            <w:r>
              <w:rPr>
                <w:rFonts w:ascii="Times New Roman" w:eastAsia="仿宋"/>
                <w:sz w:val="28"/>
                <w:szCs w:val="28"/>
              </w:rPr>
              <w:t>地表水</w:t>
            </w:r>
          </w:p>
        </w:tc>
        <w:tc>
          <w:tcPr>
            <w:tcW w:w="2564" w:type="dxa"/>
            <w:vAlign w:val="center"/>
          </w:tcPr>
          <w:p w14:paraId="65B8095B">
            <w:pPr>
              <w:jc w:val="center"/>
              <w:rPr>
                <w:rFonts w:ascii="Times New Roman" w:eastAsia="仿宋"/>
              </w:rPr>
            </w:pPr>
            <w:r>
              <w:rPr>
                <w:rFonts w:hint="eastAsia" w:ascii="Times New Roman" w:eastAsia="仿宋"/>
              </w:rPr>
              <w:t>地下水</w:t>
            </w:r>
          </w:p>
        </w:tc>
        <w:tc>
          <w:tcPr>
            <w:tcW w:w="1538" w:type="dxa"/>
            <w:vAlign w:val="center"/>
          </w:tcPr>
          <w:p w14:paraId="06B3794D">
            <w:pPr>
              <w:jc w:val="center"/>
              <w:rPr>
                <w:rFonts w:ascii="Times New Roman" w:eastAsia="仿宋"/>
              </w:rPr>
            </w:pPr>
            <w:r>
              <w:rPr>
                <w:rFonts w:hint="eastAsia" w:ascii="Times New Roman" w:eastAsia="仿宋"/>
              </w:rPr>
              <w:t>声环境</w:t>
            </w:r>
          </w:p>
        </w:tc>
        <w:tc>
          <w:tcPr>
            <w:tcW w:w="3475" w:type="dxa"/>
            <w:vAlign w:val="center"/>
          </w:tcPr>
          <w:p w14:paraId="77EF513A">
            <w:pPr>
              <w:jc w:val="center"/>
              <w:rPr>
                <w:rFonts w:ascii="Times New Roman" w:eastAsia="仿宋"/>
              </w:rPr>
            </w:pPr>
            <w:r>
              <w:rPr>
                <w:rFonts w:hint="eastAsia" w:ascii="Times New Roman" w:eastAsia="仿宋"/>
              </w:rPr>
              <w:t>土壤</w:t>
            </w:r>
          </w:p>
        </w:tc>
        <w:tc>
          <w:tcPr>
            <w:tcW w:w="1212" w:type="dxa"/>
            <w:vAlign w:val="center"/>
          </w:tcPr>
          <w:p w14:paraId="7C021E98">
            <w:pPr>
              <w:jc w:val="center"/>
              <w:rPr>
                <w:rFonts w:ascii="Times New Roman" w:eastAsia="仿宋"/>
              </w:rPr>
            </w:pPr>
            <w:r>
              <w:rPr>
                <w:rFonts w:hint="eastAsia" w:ascii="Times New Roman" w:eastAsia="仿宋"/>
              </w:rPr>
              <w:t>固体废物</w:t>
            </w:r>
          </w:p>
        </w:tc>
        <w:tc>
          <w:tcPr>
            <w:tcW w:w="1408" w:type="dxa"/>
            <w:vAlign w:val="center"/>
          </w:tcPr>
          <w:p w14:paraId="31381234">
            <w:pPr>
              <w:jc w:val="center"/>
              <w:rPr>
                <w:rFonts w:ascii="Times New Roman" w:eastAsia="仿宋"/>
              </w:rPr>
            </w:pPr>
            <w:r>
              <w:rPr>
                <w:rFonts w:hint="eastAsia" w:ascii="Times New Roman" w:eastAsia="仿宋"/>
              </w:rPr>
              <w:t>风险评价</w:t>
            </w:r>
          </w:p>
        </w:tc>
      </w:tr>
      <w:tr w14:paraId="35DF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B0DD5AD">
            <w:pPr>
              <w:jc w:val="center"/>
              <w:rPr>
                <w:rFonts w:ascii="Times New Roman" w:eastAsia="仿宋"/>
              </w:rPr>
            </w:pPr>
            <w:r>
              <w:rPr>
                <w:rFonts w:ascii="Times New Roman" w:eastAsia="仿宋"/>
              </w:rPr>
              <w:t>现状评价因子</w:t>
            </w:r>
          </w:p>
        </w:tc>
        <w:tc>
          <w:tcPr>
            <w:tcW w:w="1388" w:type="dxa"/>
            <w:vAlign w:val="center"/>
          </w:tcPr>
          <w:p w14:paraId="6E11D7AF">
            <w:pPr>
              <w:jc w:val="center"/>
              <w:rPr>
                <w:rFonts w:ascii="Times New Roman" w:eastAsia="仿宋"/>
              </w:rPr>
            </w:pPr>
            <w:r>
              <w:rPr>
                <w:rFonts w:ascii="Times New Roman" w:eastAsia="仿宋"/>
              </w:rPr>
              <w:t>SO</w:t>
            </w:r>
            <w:r>
              <w:rPr>
                <w:rFonts w:ascii="Times New Roman" w:eastAsia="仿宋"/>
                <w:vertAlign w:val="subscript"/>
              </w:rPr>
              <w:t>2</w:t>
            </w:r>
            <w:r>
              <w:rPr>
                <w:rFonts w:ascii="Times New Roman" w:eastAsia="仿宋"/>
              </w:rPr>
              <w:t>、NO</w:t>
            </w:r>
            <w:r>
              <w:rPr>
                <w:rFonts w:ascii="Times New Roman" w:eastAsia="仿宋"/>
                <w:vertAlign w:val="subscript"/>
              </w:rPr>
              <w:t>2</w:t>
            </w:r>
            <w:r>
              <w:rPr>
                <w:rFonts w:ascii="Times New Roman" w:eastAsia="仿宋"/>
              </w:rPr>
              <w:t>、PM</w:t>
            </w:r>
            <w:r>
              <w:rPr>
                <w:rFonts w:ascii="Times New Roman" w:eastAsia="仿宋"/>
                <w:vertAlign w:val="subscript"/>
              </w:rPr>
              <w:t>10</w:t>
            </w:r>
            <w:r>
              <w:rPr>
                <w:rFonts w:ascii="Times New Roman" w:eastAsia="仿宋"/>
              </w:rPr>
              <w:t>、PM</w:t>
            </w:r>
            <w:r>
              <w:rPr>
                <w:rFonts w:ascii="Times New Roman" w:eastAsia="仿宋"/>
                <w:vertAlign w:val="subscript"/>
              </w:rPr>
              <w:t>2.5</w:t>
            </w:r>
            <w:r>
              <w:rPr>
                <w:rFonts w:ascii="Times New Roman" w:eastAsia="仿宋"/>
              </w:rPr>
              <w:t>、CO、O</w:t>
            </w:r>
            <w:r>
              <w:rPr>
                <w:rFonts w:ascii="Times New Roman" w:eastAsia="仿宋"/>
                <w:vertAlign w:val="subscript"/>
              </w:rPr>
              <w:t>3</w:t>
            </w:r>
            <w:r>
              <w:rPr>
                <w:rFonts w:ascii="Times New Roman" w:eastAsia="仿宋"/>
              </w:rPr>
              <w:t>、非甲烷总烃</w:t>
            </w:r>
            <w:r>
              <w:rPr>
                <w:rFonts w:hint="eastAsia" w:ascii="Times New Roman" w:eastAsia="仿宋"/>
              </w:rPr>
              <w:t>、二甲苯、氮氧化物</w:t>
            </w:r>
          </w:p>
        </w:tc>
        <w:tc>
          <w:tcPr>
            <w:tcW w:w="1338" w:type="dxa"/>
            <w:vAlign w:val="center"/>
          </w:tcPr>
          <w:p w14:paraId="3709EF94">
            <w:pPr>
              <w:jc w:val="center"/>
              <w:rPr>
                <w:rFonts w:ascii="Times New Roman" w:eastAsia="仿宋"/>
              </w:rPr>
            </w:pPr>
            <w:r>
              <w:rPr>
                <w:rFonts w:ascii="Times New Roman" w:eastAsia="仿宋"/>
              </w:rPr>
              <w:t>pH、COD、NH</w:t>
            </w:r>
            <w:r>
              <w:rPr>
                <w:rFonts w:ascii="Times New Roman" w:eastAsia="仿宋"/>
                <w:vertAlign w:val="subscript"/>
              </w:rPr>
              <w:t>3</w:t>
            </w:r>
            <w:r>
              <w:rPr>
                <w:rFonts w:ascii="Times New Roman" w:eastAsia="仿宋"/>
              </w:rPr>
              <w:t>-N、TP</w:t>
            </w:r>
            <w:r>
              <w:rPr>
                <w:rFonts w:hint="eastAsia" w:ascii="Times New Roman" w:eastAsia="仿宋"/>
              </w:rPr>
              <w:t>、T</w:t>
            </w:r>
            <w:r>
              <w:rPr>
                <w:rFonts w:ascii="Times New Roman" w:eastAsia="仿宋"/>
              </w:rPr>
              <w:t>N</w:t>
            </w:r>
            <w:r>
              <w:rPr>
                <w:rFonts w:hint="eastAsia" w:ascii="Times New Roman" w:eastAsia="仿宋"/>
              </w:rPr>
              <w:t>、水温</w:t>
            </w:r>
          </w:p>
        </w:tc>
        <w:tc>
          <w:tcPr>
            <w:tcW w:w="2564" w:type="dxa"/>
            <w:vAlign w:val="center"/>
          </w:tcPr>
          <w:p w14:paraId="5E1A3CAD">
            <w:pPr>
              <w:jc w:val="center"/>
              <w:rPr>
                <w:rFonts w:ascii="Times New Roman" w:eastAsia="仿宋"/>
              </w:rPr>
            </w:pPr>
            <w:r>
              <w:rPr>
                <w:rFonts w:hint="eastAsia" w:ascii="Times New Roman" w:eastAsia="仿宋"/>
              </w:rPr>
              <w:t>pH值、</w:t>
            </w:r>
            <w:r>
              <w:rPr>
                <w:rFonts w:ascii="Times New Roman" w:eastAsia="仿宋"/>
              </w:rPr>
              <w:t>氨氮</w:t>
            </w:r>
            <w:r>
              <w:rPr>
                <w:rFonts w:hint="eastAsia" w:ascii="Times New Roman" w:eastAsia="仿宋"/>
              </w:rPr>
              <w:t>、</w:t>
            </w:r>
            <w:r>
              <w:rPr>
                <w:rFonts w:ascii="Times New Roman" w:eastAsia="仿宋"/>
              </w:rPr>
              <w:t>硝酸</w:t>
            </w:r>
            <w:r>
              <w:rPr>
                <w:rFonts w:hint="eastAsia" w:ascii="Times New Roman" w:eastAsia="仿宋"/>
              </w:rPr>
              <w:t>根、</w:t>
            </w:r>
            <w:r>
              <w:rPr>
                <w:rFonts w:ascii="Times New Roman" w:eastAsia="仿宋"/>
              </w:rPr>
              <w:t>亚硝酸盐氮</w:t>
            </w:r>
            <w:r>
              <w:rPr>
                <w:rFonts w:hint="eastAsia" w:ascii="Times New Roman" w:eastAsia="仿宋"/>
              </w:rPr>
              <w:t>、</w:t>
            </w:r>
            <w:r>
              <w:rPr>
                <w:rFonts w:ascii="Times New Roman" w:eastAsia="仿宋"/>
              </w:rPr>
              <w:t>挥发酚</w:t>
            </w:r>
            <w:r>
              <w:rPr>
                <w:rFonts w:hint="eastAsia" w:ascii="Times New Roman" w:eastAsia="仿宋"/>
              </w:rPr>
              <w:t>、</w:t>
            </w:r>
            <w:r>
              <w:rPr>
                <w:rFonts w:ascii="Times New Roman" w:eastAsia="仿宋"/>
              </w:rPr>
              <w:t>氰化物</w:t>
            </w:r>
            <w:r>
              <w:rPr>
                <w:rFonts w:hint="eastAsia" w:ascii="Times New Roman" w:eastAsia="仿宋"/>
              </w:rPr>
              <w:t>、砷、汞、六价铬、</w:t>
            </w:r>
            <w:r>
              <w:rPr>
                <w:rFonts w:ascii="Times New Roman" w:eastAsia="仿宋"/>
              </w:rPr>
              <w:t>总硬度</w:t>
            </w:r>
            <w:r>
              <w:rPr>
                <w:rFonts w:hint="eastAsia" w:ascii="Times New Roman" w:eastAsia="仿宋"/>
              </w:rPr>
              <w:t>、</w:t>
            </w:r>
            <w:r>
              <w:rPr>
                <w:rFonts w:ascii="Times New Roman" w:eastAsia="仿宋"/>
              </w:rPr>
              <w:t>铅</w:t>
            </w:r>
            <w:r>
              <w:rPr>
                <w:rFonts w:hint="eastAsia" w:ascii="Times New Roman" w:eastAsia="仿宋"/>
              </w:rPr>
              <w:t>、氟化物、镉、</w:t>
            </w:r>
            <w:r>
              <w:rPr>
                <w:rFonts w:ascii="Times New Roman" w:eastAsia="仿宋"/>
              </w:rPr>
              <w:t>铁</w:t>
            </w:r>
            <w:r>
              <w:rPr>
                <w:rFonts w:hint="eastAsia" w:ascii="Times New Roman" w:eastAsia="仿宋"/>
              </w:rPr>
              <w:t>、</w:t>
            </w:r>
            <w:r>
              <w:rPr>
                <w:rFonts w:ascii="Times New Roman" w:eastAsia="仿宋"/>
              </w:rPr>
              <w:t>锰</w:t>
            </w:r>
            <w:r>
              <w:rPr>
                <w:rFonts w:hint="eastAsia" w:ascii="Times New Roman" w:eastAsia="仿宋"/>
              </w:rPr>
              <w:t>、溶解性固体总量、高锰酸盐指数、硫酸盐、氯</w:t>
            </w:r>
            <w:r>
              <w:rPr>
                <w:rFonts w:ascii="Times New Roman" w:eastAsia="仿宋"/>
              </w:rPr>
              <w:t>化物</w:t>
            </w:r>
            <w:r>
              <w:rPr>
                <w:rFonts w:hint="eastAsia" w:ascii="Times New Roman" w:eastAsia="仿宋"/>
              </w:rPr>
              <w:t>、</w:t>
            </w:r>
            <w:r>
              <w:rPr>
                <w:rFonts w:ascii="Times New Roman" w:eastAsia="仿宋"/>
              </w:rPr>
              <w:t>总大肠杆菌</w:t>
            </w:r>
            <w:r>
              <w:rPr>
                <w:rFonts w:hint="eastAsia" w:ascii="Times New Roman" w:eastAsia="仿宋"/>
              </w:rPr>
              <w:t>、</w:t>
            </w:r>
            <w:r>
              <w:rPr>
                <w:rFonts w:ascii="Times New Roman" w:eastAsia="仿宋"/>
              </w:rPr>
              <w:t>菌落总数</w:t>
            </w:r>
            <w:r>
              <w:rPr>
                <w:rFonts w:hint="eastAsia" w:ascii="Times New Roman" w:eastAsia="仿宋"/>
              </w:rPr>
              <w:t>、钾、</w:t>
            </w:r>
            <w:r>
              <w:rPr>
                <w:rFonts w:ascii="Times New Roman" w:eastAsia="仿宋"/>
              </w:rPr>
              <w:t>钠</w:t>
            </w:r>
            <w:r>
              <w:rPr>
                <w:rFonts w:hint="eastAsia" w:ascii="Times New Roman" w:eastAsia="仿宋"/>
              </w:rPr>
              <w:t>、</w:t>
            </w:r>
            <w:r>
              <w:rPr>
                <w:rFonts w:ascii="Times New Roman" w:eastAsia="仿宋"/>
              </w:rPr>
              <w:t>钙</w:t>
            </w:r>
            <w:r>
              <w:rPr>
                <w:rFonts w:hint="eastAsia" w:ascii="Times New Roman" w:eastAsia="仿宋"/>
              </w:rPr>
              <w:t>、</w:t>
            </w:r>
            <w:r>
              <w:rPr>
                <w:rFonts w:ascii="Times New Roman" w:eastAsia="仿宋"/>
              </w:rPr>
              <w:t>镁</w:t>
            </w:r>
            <w:r>
              <w:rPr>
                <w:rFonts w:hint="eastAsia" w:ascii="Times New Roman" w:eastAsia="仿宋"/>
              </w:rPr>
              <w:t>、</w:t>
            </w:r>
            <w:r>
              <w:rPr>
                <w:rFonts w:ascii="Times New Roman" w:eastAsia="仿宋"/>
              </w:rPr>
              <w:t>碱度</w:t>
            </w:r>
            <w:r>
              <w:rPr>
                <w:rFonts w:hint="eastAsia" w:ascii="Times New Roman" w:eastAsia="仿宋"/>
              </w:rPr>
              <w:t>、氯化物、硫酸盐、二甲苯、石油类</w:t>
            </w:r>
          </w:p>
        </w:tc>
        <w:tc>
          <w:tcPr>
            <w:tcW w:w="1538" w:type="dxa"/>
            <w:vAlign w:val="center"/>
          </w:tcPr>
          <w:p w14:paraId="545A2CF5">
            <w:pPr>
              <w:jc w:val="center"/>
              <w:rPr>
                <w:rFonts w:ascii="Times New Roman" w:eastAsia="仿宋"/>
              </w:rPr>
            </w:pPr>
            <w:r>
              <w:rPr>
                <w:rFonts w:hint="eastAsia" w:ascii="Times New Roman" w:eastAsia="仿宋"/>
              </w:rPr>
              <w:t>等效连续A声级</w:t>
            </w:r>
          </w:p>
        </w:tc>
        <w:tc>
          <w:tcPr>
            <w:tcW w:w="3475" w:type="dxa"/>
            <w:vAlign w:val="center"/>
          </w:tcPr>
          <w:p w14:paraId="299A65C2">
            <w:pPr>
              <w:jc w:val="center"/>
              <w:rPr>
                <w:rFonts w:ascii="Times New Roman" w:eastAsia="仿宋"/>
              </w:rPr>
            </w:pPr>
            <w:r>
              <w:rPr>
                <w:rFonts w:hint="eastAsia" w:ascii="Times New Roman" w:eastAsia="仿宋"/>
              </w:rPr>
              <w:t>pH值、石油烃（C</w:t>
            </w:r>
            <w:r>
              <w:rPr>
                <w:rFonts w:hint="eastAsia" w:ascii="Times New Roman" w:eastAsia="仿宋"/>
                <w:vertAlign w:val="subscript"/>
              </w:rPr>
              <w:t>10</w:t>
            </w:r>
            <w:r>
              <w:rPr>
                <w:rFonts w:hint="eastAsia" w:ascii="Times New Roman" w:eastAsia="仿宋"/>
              </w:rPr>
              <w:t>-C</w:t>
            </w:r>
            <w:r>
              <w:rPr>
                <w:rFonts w:hint="eastAsia" w:ascii="Times New Roman" w:eastAsia="仿宋"/>
                <w:vertAlign w:val="subscript"/>
              </w:rPr>
              <w:t>40</w:t>
            </w:r>
            <w:r>
              <w:rPr>
                <w:rFonts w:hint="eastAsia" w:ascii="Times New Roman" w:eastAsia="仿宋"/>
              </w:rPr>
              <w:t>)、总汞、总砷、六价铬、镉、铅、铜、镍、2-氯酚、硝基苯、萘、苯并（a）蒽、䓛、苯并（b）荧蒽、苯并（k）荧蒽、苯并（a）芘、茆并（1,2,3-cd）芘、二苯并（ah）蒽、苯胺、氯甲烷、氯乙烯、1,1-二氯乙烷、二氯甲烷、反式-1,2-二氯乙烯、1,1-二氯乙烷、顺式-1,2-二氯乙烯、氯仿、1,1,1-三氯乙烷、四氯化碳、苯、1,2-二氯乙烷、三氯乙烯、1,2-二氯丙烷、甲苯、1,1,2-三氯乙烷、四氯乙烯、氯苯、1,1,1,2-四氯乙烷、乙苯、间,对-二甲苯、邻二甲苯、苯乙烯、1,1,2,2-四氯乙烷、1,2,3-三氯丙烷、1,4-二氯苯、1,2-二氯苯</w:t>
            </w:r>
          </w:p>
        </w:tc>
        <w:tc>
          <w:tcPr>
            <w:tcW w:w="1212" w:type="dxa"/>
            <w:vAlign w:val="center"/>
          </w:tcPr>
          <w:p w14:paraId="43E87823">
            <w:pPr>
              <w:jc w:val="center"/>
              <w:rPr>
                <w:rFonts w:ascii="Times New Roman" w:eastAsia="仿宋"/>
              </w:rPr>
            </w:pPr>
            <w:r>
              <w:rPr>
                <w:rFonts w:hint="eastAsia" w:ascii="Times New Roman" w:eastAsia="仿宋"/>
              </w:rPr>
              <w:t>/</w:t>
            </w:r>
          </w:p>
        </w:tc>
        <w:tc>
          <w:tcPr>
            <w:tcW w:w="1408" w:type="dxa"/>
            <w:vAlign w:val="center"/>
          </w:tcPr>
          <w:p w14:paraId="16EDEE70">
            <w:pPr>
              <w:jc w:val="center"/>
              <w:rPr>
                <w:rFonts w:ascii="Times New Roman" w:eastAsia="仿宋"/>
              </w:rPr>
            </w:pPr>
            <w:r>
              <w:rPr>
                <w:rFonts w:hint="eastAsia" w:ascii="Times New Roman" w:eastAsia="仿宋"/>
              </w:rPr>
              <w:t>/</w:t>
            </w:r>
          </w:p>
        </w:tc>
      </w:tr>
      <w:tr w14:paraId="02B3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9996A20">
            <w:pPr>
              <w:jc w:val="center"/>
              <w:rPr>
                <w:rFonts w:ascii="Times New Roman" w:eastAsia="仿宋"/>
              </w:rPr>
            </w:pPr>
            <w:r>
              <w:rPr>
                <w:rFonts w:ascii="Times New Roman" w:eastAsia="仿宋"/>
              </w:rPr>
              <w:t>影响评价因子</w:t>
            </w:r>
          </w:p>
        </w:tc>
        <w:tc>
          <w:tcPr>
            <w:tcW w:w="1388" w:type="dxa"/>
            <w:vAlign w:val="center"/>
          </w:tcPr>
          <w:p w14:paraId="3A4C8FAD">
            <w:pPr>
              <w:jc w:val="center"/>
              <w:rPr>
                <w:rFonts w:ascii="Times New Roman" w:eastAsia="仿宋"/>
              </w:rPr>
            </w:pPr>
            <w:r>
              <w:rPr>
                <w:rFonts w:hint="eastAsia" w:ascii="Times New Roman" w:eastAsia="仿宋"/>
              </w:rPr>
              <w:t>非甲烷总烃、TVOC、二甲苯、SO</w:t>
            </w:r>
            <w:r>
              <w:rPr>
                <w:rFonts w:hint="eastAsia" w:ascii="Times New Roman" w:eastAsia="仿宋"/>
                <w:vertAlign w:val="subscript"/>
              </w:rPr>
              <w:t>2</w:t>
            </w:r>
            <w:r>
              <w:rPr>
                <w:rFonts w:hint="eastAsia" w:ascii="Times New Roman" w:eastAsia="仿宋"/>
              </w:rPr>
              <w:t>、NOx、颗粒物</w:t>
            </w:r>
          </w:p>
        </w:tc>
        <w:tc>
          <w:tcPr>
            <w:tcW w:w="1338" w:type="dxa"/>
            <w:vAlign w:val="center"/>
          </w:tcPr>
          <w:p w14:paraId="2FDA3735">
            <w:pPr>
              <w:jc w:val="center"/>
              <w:rPr>
                <w:rFonts w:ascii="Times New Roman" w:eastAsia="仿宋"/>
              </w:rPr>
            </w:pPr>
            <w:r>
              <w:rPr>
                <w:rFonts w:hint="eastAsia" w:ascii="Times New Roman" w:eastAsia="仿宋"/>
              </w:rPr>
              <w:t>COD、SS、NH</w:t>
            </w:r>
            <w:r>
              <w:rPr>
                <w:rFonts w:hint="eastAsia" w:ascii="Times New Roman" w:eastAsia="仿宋"/>
                <w:vertAlign w:val="subscript"/>
              </w:rPr>
              <w:t>3</w:t>
            </w:r>
            <w:r>
              <w:rPr>
                <w:rFonts w:hint="eastAsia" w:ascii="Times New Roman" w:eastAsia="仿宋"/>
              </w:rPr>
              <w:t>-N、TN、TP、动植物油、石油类</w:t>
            </w:r>
          </w:p>
        </w:tc>
        <w:tc>
          <w:tcPr>
            <w:tcW w:w="2564" w:type="dxa"/>
            <w:vAlign w:val="center"/>
          </w:tcPr>
          <w:p w14:paraId="5B715033">
            <w:pPr>
              <w:jc w:val="center"/>
              <w:rPr>
                <w:rFonts w:ascii="Times New Roman" w:eastAsia="仿宋"/>
              </w:rPr>
            </w:pPr>
            <w:r>
              <w:rPr>
                <w:rFonts w:hint="eastAsia" w:ascii="Times New Roman" w:eastAsia="仿宋"/>
              </w:rPr>
              <w:t>COD</w:t>
            </w:r>
            <w:r>
              <w:rPr>
                <w:rFonts w:hint="eastAsia" w:ascii="Times New Roman" w:eastAsia="仿宋"/>
                <w:vertAlign w:val="subscript"/>
              </w:rPr>
              <w:t>Mn</w:t>
            </w:r>
          </w:p>
        </w:tc>
        <w:tc>
          <w:tcPr>
            <w:tcW w:w="1538" w:type="dxa"/>
            <w:vAlign w:val="center"/>
          </w:tcPr>
          <w:p w14:paraId="21064A23">
            <w:pPr>
              <w:jc w:val="center"/>
              <w:rPr>
                <w:rFonts w:ascii="Times New Roman" w:eastAsia="仿宋"/>
              </w:rPr>
            </w:pPr>
            <w:r>
              <w:rPr>
                <w:rFonts w:hint="eastAsia" w:ascii="Times New Roman" w:eastAsia="仿宋"/>
              </w:rPr>
              <w:t>等效连续A声级</w:t>
            </w:r>
          </w:p>
        </w:tc>
        <w:tc>
          <w:tcPr>
            <w:tcW w:w="3475" w:type="dxa"/>
            <w:vAlign w:val="center"/>
          </w:tcPr>
          <w:p w14:paraId="6338E539">
            <w:pPr>
              <w:jc w:val="center"/>
              <w:rPr>
                <w:rFonts w:ascii="Times New Roman" w:eastAsia="仿宋"/>
              </w:rPr>
            </w:pPr>
            <w:r>
              <w:rPr>
                <w:rFonts w:hint="eastAsia" w:ascii="Times New Roman" w:eastAsia="仿宋"/>
              </w:rPr>
              <w:t>二甲苯</w:t>
            </w:r>
          </w:p>
        </w:tc>
        <w:tc>
          <w:tcPr>
            <w:tcW w:w="1212" w:type="dxa"/>
            <w:vAlign w:val="center"/>
          </w:tcPr>
          <w:p w14:paraId="505AED9F">
            <w:pPr>
              <w:jc w:val="center"/>
              <w:rPr>
                <w:rFonts w:ascii="Times New Roman" w:eastAsia="仿宋"/>
              </w:rPr>
            </w:pPr>
            <w:r>
              <w:rPr>
                <w:rFonts w:hint="eastAsia" w:ascii="Times New Roman" w:eastAsia="仿宋"/>
              </w:rPr>
              <w:t>/</w:t>
            </w:r>
          </w:p>
        </w:tc>
        <w:tc>
          <w:tcPr>
            <w:tcW w:w="1408" w:type="dxa"/>
            <w:vAlign w:val="center"/>
          </w:tcPr>
          <w:p w14:paraId="164225B1">
            <w:pPr>
              <w:jc w:val="center"/>
              <w:rPr>
                <w:rFonts w:ascii="Times New Roman" w:eastAsia="仿宋"/>
              </w:rPr>
            </w:pPr>
            <w:r>
              <w:rPr>
                <w:rFonts w:hint="eastAsia" w:ascii="Times New Roman" w:eastAsia="仿宋"/>
              </w:rPr>
              <w:t>二甲苯、硫酸、CO</w:t>
            </w:r>
          </w:p>
        </w:tc>
      </w:tr>
      <w:tr w14:paraId="3C79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46" w:type="dxa"/>
            <w:vAlign w:val="center"/>
          </w:tcPr>
          <w:p w14:paraId="541A0DF7">
            <w:pPr>
              <w:jc w:val="center"/>
              <w:rPr>
                <w:rFonts w:ascii="Times New Roman" w:eastAsia="仿宋"/>
              </w:rPr>
            </w:pPr>
            <w:r>
              <w:rPr>
                <w:rFonts w:ascii="Times New Roman" w:eastAsia="仿宋"/>
              </w:rPr>
              <w:t>总量控制因子</w:t>
            </w:r>
          </w:p>
        </w:tc>
        <w:tc>
          <w:tcPr>
            <w:tcW w:w="1388" w:type="dxa"/>
            <w:vAlign w:val="center"/>
          </w:tcPr>
          <w:p w14:paraId="72F8272A">
            <w:pPr>
              <w:jc w:val="center"/>
              <w:rPr>
                <w:rFonts w:ascii="Times New Roman" w:eastAsia="仿宋"/>
              </w:rPr>
            </w:pPr>
            <w:r>
              <w:rPr>
                <w:rFonts w:hint="eastAsia" w:ascii="Times New Roman" w:eastAsia="仿宋"/>
              </w:rPr>
              <w:t>颗粒物、VOCs、SO</w:t>
            </w:r>
            <w:r>
              <w:rPr>
                <w:rFonts w:hint="eastAsia" w:ascii="Times New Roman" w:eastAsia="仿宋"/>
                <w:vertAlign w:val="subscript"/>
              </w:rPr>
              <w:t>2</w:t>
            </w:r>
            <w:r>
              <w:rPr>
                <w:rFonts w:hint="eastAsia" w:ascii="Times New Roman" w:eastAsia="仿宋"/>
              </w:rPr>
              <w:t>、NOx</w:t>
            </w:r>
          </w:p>
        </w:tc>
        <w:tc>
          <w:tcPr>
            <w:tcW w:w="1338" w:type="dxa"/>
            <w:vAlign w:val="center"/>
          </w:tcPr>
          <w:p w14:paraId="2E414AE0">
            <w:pPr>
              <w:jc w:val="center"/>
              <w:rPr>
                <w:rFonts w:ascii="Times New Roman" w:eastAsia="仿宋"/>
              </w:rPr>
            </w:pPr>
            <w:r>
              <w:rPr>
                <w:rFonts w:hint="eastAsia" w:ascii="Times New Roman" w:eastAsia="仿宋"/>
              </w:rPr>
              <w:t>COD、NH</w:t>
            </w:r>
            <w:r>
              <w:rPr>
                <w:rFonts w:hint="eastAsia" w:ascii="Times New Roman" w:eastAsia="仿宋"/>
                <w:vertAlign w:val="subscript"/>
              </w:rPr>
              <w:t>3</w:t>
            </w:r>
            <w:r>
              <w:rPr>
                <w:rFonts w:hint="eastAsia" w:ascii="Times New Roman" w:eastAsia="仿宋"/>
              </w:rPr>
              <w:t>-N</w:t>
            </w:r>
          </w:p>
        </w:tc>
        <w:tc>
          <w:tcPr>
            <w:tcW w:w="2564" w:type="dxa"/>
            <w:vAlign w:val="center"/>
          </w:tcPr>
          <w:p w14:paraId="1DD6F920">
            <w:pPr>
              <w:jc w:val="center"/>
              <w:rPr>
                <w:rFonts w:ascii="Times New Roman" w:eastAsia="仿宋"/>
              </w:rPr>
            </w:pPr>
            <w:r>
              <w:rPr>
                <w:rFonts w:hint="eastAsia" w:ascii="Times New Roman" w:eastAsia="仿宋"/>
              </w:rPr>
              <w:t>/</w:t>
            </w:r>
          </w:p>
        </w:tc>
        <w:tc>
          <w:tcPr>
            <w:tcW w:w="1538" w:type="dxa"/>
            <w:vAlign w:val="center"/>
          </w:tcPr>
          <w:p w14:paraId="5565C33E">
            <w:pPr>
              <w:jc w:val="center"/>
              <w:rPr>
                <w:rFonts w:ascii="Times New Roman" w:eastAsia="仿宋"/>
              </w:rPr>
            </w:pPr>
            <w:r>
              <w:rPr>
                <w:rFonts w:hint="eastAsia" w:ascii="Times New Roman" w:eastAsia="仿宋"/>
              </w:rPr>
              <w:t>/</w:t>
            </w:r>
          </w:p>
        </w:tc>
        <w:tc>
          <w:tcPr>
            <w:tcW w:w="3475" w:type="dxa"/>
            <w:vAlign w:val="center"/>
          </w:tcPr>
          <w:p w14:paraId="3F1D18A8">
            <w:pPr>
              <w:jc w:val="center"/>
              <w:rPr>
                <w:rFonts w:ascii="Times New Roman" w:eastAsia="仿宋"/>
              </w:rPr>
            </w:pPr>
            <w:r>
              <w:rPr>
                <w:rFonts w:hint="eastAsia" w:ascii="Times New Roman" w:eastAsia="仿宋"/>
              </w:rPr>
              <w:t>/</w:t>
            </w:r>
          </w:p>
        </w:tc>
        <w:tc>
          <w:tcPr>
            <w:tcW w:w="1212" w:type="dxa"/>
            <w:vAlign w:val="center"/>
          </w:tcPr>
          <w:p w14:paraId="3321DCF7">
            <w:pPr>
              <w:jc w:val="center"/>
              <w:rPr>
                <w:rFonts w:ascii="Times New Roman" w:eastAsia="仿宋"/>
              </w:rPr>
            </w:pPr>
            <w:r>
              <w:rPr>
                <w:rFonts w:hint="eastAsia" w:ascii="Times New Roman" w:eastAsia="仿宋"/>
              </w:rPr>
              <w:t>生活垃圾、一般固废、危险废物</w:t>
            </w:r>
          </w:p>
        </w:tc>
        <w:tc>
          <w:tcPr>
            <w:tcW w:w="1408" w:type="dxa"/>
            <w:vAlign w:val="center"/>
          </w:tcPr>
          <w:p w14:paraId="2DFFA740">
            <w:pPr>
              <w:jc w:val="center"/>
              <w:rPr>
                <w:rFonts w:ascii="Times New Roman" w:eastAsia="仿宋"/>
              </w:rPr>
            </w:pPr>
            <w:r>
              <w:rPr>
                <w:rFonts w:hint="eastAsia" w:ascii="Times New Roman" w:eastAsia="仿宋"/>
              </w:rPr>
              <w:t>/</w:t>
            </w:r>
          </w:p>
        </w:tc>
      </w:tr>
    </w:tbl>
    <w:p w14:paraId="6E3C8BE6">
      <w:pPr>
        <w:pStyle w:val="2"/>
      </w:pPr>
    </w:p>
    <w:p w14:paraId="5ECDD73F">
      <w:pPr>
        <w:pStyle w:val="2"/>
      </w:pPr>
    </w:p>
    <w:p w14:paraId="03383C4D">
      <w:pPr>
        <w:pStyle w:val="2"/>
      </w:pPr>
    </w:p>
    <w:p w14:paraId="39063607">
      <w:pPr>
        <w:pStyle w:val="2"/>
        <w:sectPr>
          <w:pgSz w:w="16838" w:h="11906" w:orient="landscape"/>
          <w:pgMar w:top="1678" w:right="1843" w:bottom="1616" w:left="1440" w:header="1191" w:footer="992" w:gutter="0"/>
          <w:cols w:space="720" w:num="1"/>
          <w:docGrid w:linePitch="326" w:charSpace="0"/>
        </w:sectPr>
      </w:pPr>
    </w:p>
    <w:p w14:paraId="14393F5A">
      <w:pPr>
        <w:keepNext/>
        <w:tabs>
          <w:tab w:val="left" w:pos="709"/>
        </w:tabs>
        <w:spacing w:before="120" w:beforeLines="50" w:after="120" w:afterLines="50" w:line="500" w:lineRule="exact"/>
        <w:outlineLvl w:val="2"/>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3.2环境标准</w:t>
      </w:r>
    </w:p>
    <w:p w14:paraId="6D26B942">
      <w:pPr>
        <w:adjustRightInd w:val="0"/>
        <w:snapToGrid w:val="0"/>
        <w:spacing w:line="500" w:lineRule="exact"/>
        <w:ind w:firstLine="562" w:firstLineChars="200"/>
        <w:rPr>
          <w:rFonts w:ascii="Times New Roman" w:eastAsia="仿宋"/>
          <w:b/>
          <w:sz w:val="28"/>
          <w:szCs w:val="28"/>
        </w:rPr>
      </w:pPr>
      <w:r>
        <w:rPr>
          <w:rFonts w:ascii="Times New Roman" w:eastAsia="仿宋"/>
          <w:b/>
          <w:sz w:val="28"/>
          <w:szCs w:val="28"/>
        </w:rPr>
        <w:t>（1）环境空气质量标准</w:t>
      </w:r>
    </w:p>
    <w:p w14:paraId="5EAAAC3F">
      <w:pPr>
        <w:spacing w:line="500" w:lineRule="exact"/>
        <w:ind w:firstLine="560" w:firstLineChars="200"/>
        <w:rPr>
          <w:rFonts w:ascii="Times New Roman" w:eastAsia="仿宋"/>
          <w:b/>
        </w:rPr>
      </w:pPr>
      <w:r>
        <w:rPr>
          <w:rFonts w:ascii="Times New Roman" w:eastAsia="仿宋"/>
          <w:sz w:val="28"/>
          <w:szCs w:val="28"/>
        </w:rPr>
        <w:t>环境空气质量标准见表2.3-2。</w:t>
      </w:r>
    </w:p>
    <w:p w14:paraId="507B3CDB">
      <w:pPr>
        <w:spacing w:line="500" w:lineRule="exact"/>
        <w:ind w:firstLine="482" w:firstLineChars="200"/>
        <w:jc w:val="center"/>
        <w:rPr>
          <w:rFonts w:ascii="Times New Roman" w:eastAsia="仿宋"/>
          <w:b/>
          <w:bCs/>
        </w:rPr>
      </w:pPr>
      <w:r>
        <w:rPr>
          <w:rFonts w:ascii="Times New Roman" w:eastAsia="仿宋"/>
          <w:b/>
          <w:bCs/>
        </w:rPr>
        <w:t xml:space="preserve">表2.3-2  环境空气质量评价标准  </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154"/>
        <w:gridCol w:w="2037"/>
        <w:gridCol w:w="2428"/>
      </w:tblGrid>
      <w:tr w14:paraId="79FD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Align w:val="center"/>
          </w:tcPr>
          <w:p w14:paraId="67ADD28B">
            <w:pPr>
              <w:spacing w:line="280" w:lineRule="exact"/>
              <w:jc w:val="center"/>
              <w:rPr>
                <w:rFonts w:ascii="Times New Roman" w:eastAsia="仿宋"/>
              </w:rPr>
            </w:pPr>
            <w:r>
              <w:rPr>
                <w:rFonts w:ascii="Times New Roman" w:eastAsia="仿宋"/>
              </w:rPr>
              <w:t>评价因子</w:t>
            </w:r>
          </w:p>
        </w:tc>
        <w:tc>
          <w:tcPr>
            <w:tcW w:w="2154" w:type="dxa"/>
            <w:vAlign w:val="center"/>
          </w:tcPr>
          <w:p w14:paraId="7240E71D">
            <w:pPr>
              <w:spacing w:line="280" w:lineRule="exact"/>
              <w:jc w:val="center"/>
              <w:rPr>
                <w:rFonts w:ascii="Times New Roman" w:eastAsia="仿宋"/>
              </w:rPr>
            </w:pPr>
            <w:r>
              <w:rPr>
                <w:rFonts w:ascii="Times New Roman" w:eastAsia="仿宋"/>
              </w:rPr>
              <w:t>平均时段</w:t>
            </w:r>
          </w:p>
        </w:tc>
        <w:tc>
          <w:tcPr>
            <w:tcW w:w="2037" w:type="dxa"/>
            <w:vAlign w:val="center"/>
          </w:tcPr>
          <w:p w14:paraId="4D3F8438">
            <w:pPr>
              <w:spacing w:line="280" w:lineRule="exact"/>
              <w:jc w:val="center"/>
              <w:rPr>
                <w:rFonts w:ascii="Times New Roman" w:eastAsia="仿宋"/>
              </w:rPr>
            </w:pPr>
            <w:r>
              <w:rPr>
                <w:rFonts w:ascii="Times New Roman" w:eastAsia="仿宋"/>
              </w:rPr>
              <w:t>标准值/（μg/m</w:t>
            </w:r>
            <w:r>
              <w:rPr>
                <w:rFonts w:ascii="Times New Roman" w:eastAsia="仿宋"/>
                <w:vertAlign w:val="superscript"/>
              </w:rPr>
              <w:t>3</w:t>
            </w:r>
            <w:r>
              <w:rPr>
                <w:rFonts w:ascii="Times New Roman" w:eastAsia="仿宋"/>
              </w:rPr>
              <w:t>）</w:t>
            </w:r>
          </w:p>
        </w:tc>
        <w:tc>
          <w:tcPr>
            <w:tcW w:w="2429" w:type="dxa"/>
            <w:vAlign w:val="center"/>
          </w:tcPr>
          <w:p w14:paraId="7FE6963B">
            <w:pPr>
              <w:spacing w:line="280" w:lineRule="exact"/>
              <w:jc w:val="center"/>
              <w:rPr>
                <w:rFonts w:ascii="Times New Roman" w:eastAsia="仿宋"/>
              </w:rPr>
            </w:pPr>
            <w:r>
              <w:rPr>
                <w:rFonts w:ascii="Times New Roman" w:eastAsia="仿宋"/>
              </w:rPr>
              <w:t>标准来源</w:t>
            </w:r>
          </w:p>
        </w:tc>
      </w:tr>
      <w:tr w14:paraId="7887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45B3CD39">
            <w:pPr>
              <w:spacing w:line="280" w:lineRule="exact"/>
              <w:jc w:val="center"/>
              <w:rPr>
                <w:rFonts w:ascii="Times New Roman" w:eastAsia="仿宋"/>
              </w:rPr>
            </w:pPr>
            <w:r>
              <w:rPr>
                <w:rFonts w:ascii="Times New Roman" w:eastAsia="仿宋"/>
              </w:rPr>
              <w:t>SO</w:t>
            </w:r>
            <w:r>
              <w:rPr>
                <w:rFonts w:ascii="Times New Roman" w:eastAsia="仿宋"/>
                <w:vertAlign w:val="subscript"/>
              </w:rPr>
              <w:t>2</w:t>
            </w:r>
          </w:p>
        </w:tc>
        <w:tc>
          <w:tcPr>
            <w:tcW w:w="2154" w:type="dxa"/>
            <w:vAlign w:val="center"/>
          </w:tcPr>
          <w:p w14:paraId="499570A3">
            <w:pPr>
              <w:spacing w:line="280" w:lineRule="exact"/>
              <w:jc w:val="center"/>
              <w:rPr>
                <w:rFonts w:ascii="Times New Roman" w:eastAsia="仿宋"/>
              </w:rPr>
            </w:pPr>
            <w:r>
              <w:rPr>
                <w:rFonts w:ascii="Times New Roman" w:eastAsia="仿宋"/>
              </w:rPr>
              <w:t>年平均</w:t>
            </w:r>
          </w:p>
        </w:tc>
        <w:tc>
          <w:tcPr>
            <w:tcW w:w="2037" w:type="dxa"/>
            <w:vAlign w:val="center"/>
          </w:tcPr>
          <w:p w14:paraId="7721CD9A">
            <w:pPr>
              <w:spacing w:line="280" w:lineRule="exact"/>
              <w:jc w:val="center"/>
              <w:rPr>
                <w:rFonts w:ascii="Times New Roman" w:eastAsia="仿宋"/>
              </w:rPr>
            </w:pPr>
            <w:r>
              <w:rPr>
                <w:rFonts w:ascii="Times New Roman" w:eastAsia="仿宋"/>
              </w:rPr>
              <w:t>60</w:t>
            </w:r>
          </w:p>
        </w:tc>
        <w:tc>
          <w:tcPr>
            <w:tcW w:w="2429" w:type="dxa"/>
            <w:vMerge w:val="restart"/>
            <w:vAlign w:val="center"/>
          </w:tcPr>
          <w:p w14:paraId="23D6D35F">
            <w:pPr>
              <w:spacing w:line="280" w:lineRule="exact"/>
              <w:jc w:val="center"/>
              <w:rPr>
                <w:rFonts w:ascii="Times New Roman" w:eastAsia="仿宋"/>
              </w:rPr>
            </w:pPr>
            <w:r>
              <w:rPr>
                <w:rFonts w:ascii="Times New Roman" w:eastAsia="仿宋"/>
              </w:rPr>
              <w:t>《环境空气质量标准》（GB3095-2012）二级标准</w:t>
            </w:r>
          </w:p>
        </w:tc>
      </w:tr>
      <w:tr w14:paraId="02F3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1AA46689">
            <w:pPr>
              <w:spacing w:line="280" w:lineRule="exact"/>
              <w:jc w:val="center"/>
              <w:rPr>
                <w:rFonts w:ascii="Times New Roman" w:eastAsia="仿宋"/>
              </w:rPr>
            </w:pPr>
          </w:p>
        </w:tc>
        <w:tc>
          <w:tcPr>
            <w:tcW w:w="2154" w:type="dxa"/>
            <w:vAlign w:val="center"/>
          </w:tcPr>
          <w:p w14:paraId="2E8B986D">
            <w:pPr>
              <w:spacing w:line="280" w:lineRule="exact"/>
              <w:jc w:val="center"/>
              <w:rPr>
                <w:rFonts w:ascii="Times New Roman" w:eastAsia="仿宋"/>
              </w:rPr>
            </w:pPr>
            <w:r>
              <w:rPr>
                <w:rFonts w:ascii="Times New Roman" w:eastAsia="仿宋"/>
              </w:rPr>
              <w:t>24小时平均</w:t>
            </w:r>
          </w:p>
        </w:tc>
        <w:tc>
          <w:tcPr>
            <w:tcW w:w="2037" w:type="dxa"/>
            <w:vAlign w:val="center"/>
          </w:tcPr>
          <w:p w14:paraId="49C78703">
            <w:pPr>
              <w:spacing w:line="280" w:lineRule="exact"/>
              <w:jc w:val="center"/>
              <w:rPr>
                <w:rFonts w:ascii="Times New Roman" w:eastAsia="仿宋"/>
              </w:rPr>
            </w:pPr>
            <w:r>
              <w:rPr>
                <w:rFonts w:ascii="Times New Roman" w:eastAsia="仿宋"/>
              </w:rPr>
              <w:t>150</w:t>
            </w:r>
          </w:p>
        </w:tc>
        <w:tc>
          <w:tcPr>
            <w:tcW w:w="2429" w:type="dxa"/>
            <w:vMerge w:val="continue"/>
            <w:vAlign w:val="center"/>
          </w:tcPr>
          <w:p w14:paraId="6BAF3EB6">
            <w:pPr>
              <w:spacing w:line="280" w:lineRule="exact"/>
              <w:jc w:val="center"/>
              <w:rPr>
                <w:rFonts w:ascii="Times New Roman" w:eastAsia="仿宋"/>
              </w:rPr>
            </w:pPr>
          </w:p>
        </w:tc>
      </w:tr>
      <w:tr w14:paraId="3594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4B969A87">
            <w:pPr>
              <w:spacing w:line="280" w:lineRule="exact"/>
              <w:jc w:val="center"/>
              <w:rPr>
                <w:rFonts w:ascii="Times New Roman" w:eastAsia="仿宋"/>
              </w:rPr>
            </w:pPr>
          </w:p>
        </w:tc>
        <w:tc>
          <w:tcPr>
            <w:tcW w:w="2154" w:type="dxa"/>
            <w:vAlign w:val="center"/>
          </w:tcPr>
          <w:p w14:paraId="634AB561">
            <w:pPr>
              <w:spacing w:line="280" w:lineRule="exact"/>
              <w:jc w:val="center"/>
              <w:rPr>
                <w:rFonts w:ascii="Times New Roman" w:eastAsia="仿宋"/>
              </w:rPr>
            </w:pPr>
            <w:r>
              <w:rPr>
                <w:rFonts w:ascii="Times New Roman" w:eastAsia="仿宋"/>
              </w:rPr>
              <w:t>1小时平均</w:t>
            </w:r>
          </w:p>
        </w:tc>
        <w:tc>
          <w:tcPr>
            <w:tcW w:w="2037" w:type="dxa"/>
            <w:vAlign w:val="center"/>
          </w:tcPr>
          <w:p w14:paraId="6E57CB6D">
            <w:pPr>
              <w:spacing w:line="280" w:lineRule="exact"/>
              <w:jc w:val="center"/>
              <w:rPr>
                <w:rFonts w:ascii="Times New Roman" w:eastAsia="仿宋"/>
              </w:rPr>
            </w:pPr>
            <w:r>
              <w:rPr>
                <w:rFonts w:ascii="Times New Roman" w:eastAsia="仿宋"/>
              </w:rPr>
              <w:t>500</w:t>
            </w:r>
          </w:p>
        </w:tc>
        <w:tc>
          <w:tcPr>
            <w:tcW w:w="2429" w:type="dxa"/>
            <w:vMerge w:val="continue"/>
            <w:vAlign w:val="center"/>
          </w:tcPr>
          <w:p w14:paraId="7214BA4B">
            <w:pPr>
              <w:spacing w:line="280" w:lineRule="exact"/>
              <w:jc w:val="center"/>
              <w:rPr>
                <w:rFonts w:ascii="Times New Roman" w:eastAsia="仿宋"/>
              </w:rPr>
            </w:pPr>
          </w:p>
        </w:tc>
      </w:tr>
      <w:tr w14:paraId="796E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5F688BD8">
            <w:pPr>
              <w:spacing w:line="280" w:lineRule="exact"/>
              <w:jc w:val="center"/>
              <w:rPr>
                <w:rFonts w:ascii="Times New Roman" w:eastAsia="仿宋"/>
              </w:rPr>
            </w:pPr>
            <w:r>
              <w:rPr>
                <w:rFonts w:ascii="Times New Roman" w:eastAsia="仿宋"/>
              </w:rPr>
              <w:t>NO</w:t>
            </w:r>
            <w:r>
              <w:rPr>
                <w:rFonts w:ascii="Times New Roman" w:eastAsia="仿宋"/>
                <w:vertAlign w:val="subscript"/>
              </w:rPr>
              <w:t>2</w:t>
            </w:r>
          </w:p>
        </w:tc>
        <w:tc>
          <w:tcPr>
            <w:tcW w:w="2154" w:type="dxa"/>
            <w:vAlign w:val="center"/>
          </w:tcPr>
          <w:p w14:paraId="534E6B00">
            <w:pPr>
              <w:spacing w:line="280" w:lineRule="exact"/>
              <w:jc w:val="center"/>
              <w:rPr>
                <w:rFonts w:ascii="Times New Roman" w:eastAsia="仿宋"/>
              </w:rPr>
            </w:pPr>
            <w:r>
              <w:rPr>
                <w:rFonts w:ascii="Times New Roman" w:eastAsia="仿宋"/>
              </w:rPr>
              <w:t>年平均</w:t>
            </w:r>
          </w:p>
        </w:tc>
        <w:tc>
          <w:tcPr>
            <w:tcW w:w="2037" w:type="dxa"/>
            <w:vAlign w:val="center"/>
          </w:tcPr>
          <w:p w14:paraId="2B945A7B">
            <w:pPr>
              <w:spacing w:line="280" w:lineRule="exact"/>
              <w:jc w:val="center"/>
              <w:rPr>
                <w:rFonts w:ascii="Times New Roman" w:eastAsia="仿宋"/>
              </w:rPr>
            </w:pPr>
            <w:r>
              <w:rPr>
                <w:rFonts w:ascii="Times New Roman" w:eastAsia="仿宋"/>
              </w:rPr>
              <w:t>40</w:t>
            </w:r>
          </w:p>
        </w:tc>
        <w:tc>
          <w:tcPr>
            <w:tcW w:w="2429" w:type="dxa"/>
            <w:vMerge w:val="continue"/>
            <w:vAlign w:val="center"/>
          </w:tcPr>
          <w:p w14:paraId="54908DE7">
            <w:pPr>
              <w:spacing w:line="280" w:lineRule="exact"/>
              <w:jc w:val="center"/>
              <w:rPr>
                <w:rFonts w:ascii="Times New Roman" w:eastAsia="仿宋"/>
              </w:rPr>
            </w:pPr>
          </w:p>
        </w:tc>
      </w:tr>
      <w:tr w14:paraId="2188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02B37CC0">
            <w:pPr>
              <w:spacing w:line="280" w:lineRule="exact"/>
              <w:jc w:val="center"/>
              <w:rPr>
                <w:rFonts w:ascii="Times New Roman" w:eastAsia="仿宋"/>
              </w:rPr>
            </w:pPr>
          </w:p>
        </w:tc>
        <w:tc>
          <w:tcPr>
            <w:tcW w:w="2154" w:type="dxa"/>
            <w:vAlign w:val="center"/>
          </w:tcPr>
          <w:p w14:paraId="10576CED">
            <w:pPr>
              <w:spacing w:line="280" w:lineRule="exact"/>
              <w:jc w:val="center"/>
              <w:rPr>
                <w:rFonts w:ascii="Times New Roman" w:eastAsia="仿宋"/>
              </w:rPr>
            </w:pPr>
            <w:r>
              <w:rPr>
                <w:rFonts w:ascii="Times New Roman" w:eastAsia="仿宋"/>
              </w:rPr>
              <w:t>24小时平均</w:t>
            </w:r>
          </w:p>
        </w:tc>
        <w:tc>
          <w:tcPr>
            <w:tcW w:w="2037" w:type="dxa"/>
            <w:vAlign w:val="center"/>
          </w:tcPr>
          <w:p w14:paraId="596E9963">
            <w:pPr>
              <w:spacing w:line="280" w:lineRule="exact"/>
              <w:jc w:val="center"/>
              <w:rPr>
                <w:rFonts w:ascii="Times New Roman" w:eastAsia="仿宋"/>
              </w:rPr>
            </w:pPr>
            <w:r>
              <w:rPr>
                <w:rFonts w:ascii="Times New Roman" w:eastAsia="仿宋"/>
              </w:rPr>
              <w:t>80</w:t>
            </w:r>
          </w:p>
        </w:tc>
        <w:tc>
          <w:tcPr>
            <w:tcW w:w="2429" w:type="dxa"/>
            <w:vMerge w:val="continue"/>
            <w:vAlign w:val="center"/>
          </w:tcPr>
          <w:p w14:paraId="1AA078FB">
            <w:pPr>
              <w:spacing w:line="280" w:lineRule="exact"/>
              <w:jc w:val="center"/>
              <w:rPr>
                <w:rFonts w:ascii="Times New Roman" w:eastAsia="仿宋"/>
              </w:rPr>
            </w:pPr>
          </w:p>
        </w:tc>
      </w:tr>
      <w:tr w14:paraId="0E3E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3BEEB605">
            <w:pPr>
              <w:spacing w:line="280" w:lineRule="exact"/>
              <w:jc w:val="center"/>
              <w:rPr>
                <w:rFonts w:ascii="Times New Roman" w:eastAsia="仿宋"/>
              </w:rPr>
            </w:pPr>
          </w:p>
        </w:tc>
        <w:tc>
          <w:tcPr>
            <w:tcW w:w="2154" w:type="dxa"/>
            <w:vAlign w:val="center"/>
          </w:tcPr>
          <w:p w14:paraId="0D317ED3">
            <w:pPr>
              <w:spacing w:line="280" w:lineRule="exact"/>
              <w:jc w:val="center"/>
              <w:rPr>
                <w:rFonts w:ascii="Times New Roman" w:eastAsia="仿宋"/>
              </w:rPr>
            </w:pPr>
            <w:r>
              <w:rPr>
                <w:rFonts w:ascii="Times New Roman" w:eastAsia="仿宋"/>
              </w:rPr>
              <w:t>1小时平均</w:t>
            </w:r>
          </w:p>
        </w:tc>
        <w:tc>
          <w:tcPr>
            <w:tcW w:w="2037" w:type="dxa"/>
            <w:vAlign w:val="center"/>
          </w:tcPr>
          <w:p w14:paraId="3EF910B7">
            <w:pPr>
              <w:spacing w:line="280" w:lineRule="exact"/>
              <w:jc w:val="center"/>
              <w:rPr>
                <w:rFonts w:ascii="Times New Roman" w:eastAsia="仿宋"/>
              </w:rPr>
            </w:pPr>
            <w:r>
              <w:rPr>
                <w:rFonts w:ascii="Times New Roman" w:eastAsia="仿宋"/>
              </w:rPr>
              <w:t>200</w:t>
            </w:r>
          </w:p>
        </w:tc>
        <w:tc>
          <w:tcPr>
            <w:tcW w:w="2429" w:type="dxa"/>
            <w:vMerge w:val="continue"/>
            <w:vAlign w:val="center"/>
          </w:tcPr>
          <w:p w14:paraId="6E517E69">
            <w:pPr>
              <w:spacing w:line="280" w:lineRule="exact"/>
              <w:jc w:val="center"/>
              <w:rPr>
                <w:rFonts w:ascii="Times New Roman" w:eastAsia="仿宋"/>
              </w:rPr>
            </w:pPr>
          </w:p>
        </w:tc>
      </w:tr>
      <w:tr w14:paraId="09A3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050B386C">
            <w:pPr>
              <w:spacing w:line="280" w:lineRule="exact"/>
              <w:jc w:val="center"/>
              <w:rPr>
                <w:rFonts w:ascii="Times New Roman" w:eastAsia="仿宋"/>
              </w:rPr>
            </w:pPr>
            <w:r>
              <w:rPr>
                <w:rFonts w:ascii="Times New Roman" w:eastAsia="仿宋"/>
              </w:rPr>
              <w:t>NO</w:t>
            </w:r>
            <w:r>
              <w:rPr>
                <w:rFonts w:ascii="Times New Roman" w:eastAsia="仿宋"/>
                <w:vertAlign w:val="subscript"/>
              </w:rPr>
              <w:t>X</w:t>
            </w:r>
          </w:p>
        </w:tc>
        <w:tc>
          <w:tcPr>
            <w:tcW w:w="2154" w:type="dxa"/>
            <w:vAlign w:val="center"/>
          </w:tcPr>
          <w:p w14:paraId="4609528A">
            <w:pPr>
              <w:spacing w:line="280" w:lineRule="exact"/>
              <w:jc w:val="center"/>
              <w:rPr>
                <w:rFonts w:ascii="Times New Roman" w:eastAsia="仿宋"/>
              </w:rPr>
            </w:pPr>
            <w:r>
              <w:rPr>
                <w:rFonts w:ascii="Times New Roman" w:eastAsia="仿宋"/>
              </w:rPr>
              <w:t>年平均</w:t>
            </w:r>
          </w:p>
        </w:tc>
        <w:tc>
          <w:tcPr>
            <w:tcW w:w="2037" w:type="dxa"/>
            <w:vAlign w:val="center"/>
          </w:tcPr>
          <w:p w14:paraId="3E2C7994">
            <w:pPr>
              <w:spacing w:line="280" w:lineRule="exact"/>
              <w:jc w:val="center"/>
              <w:rPr>
                <w:rFonts w:ascii="Times New Roman" w:eastAsia="仿宋"/>
              </w:rPr>
            </w:pPr>
            <w:r>
              <w:rPr>
                <w:rFonts w:ascii="Times New Roman" w:eastAsia="仿宋"/>
              </w:rPr>
              <w:t>50</w:t>
            </w:r>
          </w:p>
        </w:tc>
        <w:tc>
          <w:tcPr>
            <w:tcW w:w="2429" w:type="dxa"/>
            <w:vMerge w:val="continue"/>
            <w:vAlign w:val="center"/>
          </w:tcPr>
          <w:p w14:paraId="4FC9DF0F">
            <w:pPr>
              <w:spacing w:line="280" w:lineRule="exact"/>
              <w:jc w:val="center"/>
              <w:rPr>
                <w:rFonts w:ascii="Times New Roman" w:eastAsia="仿宋"/>
              </w:rPr>
            </w:pPr>
          </w:p>
        </w:tc>
      </w:tr>
      <w:tr w14:paraId="3DA3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354F830B">
            <w:pPr>
              <w:spacing w:line="280" w:lineRule="exact"/>
              <w:jc w:val="center"/>
              <w:rPr>
                <w:rFonts w:ascii="Times New Roman" w:eastAsia="仿宋"/>
              </w:rPr>
            </w:pPr>
          </w:p>
        </w:tc>
        <w:tc>
          <w:tcPr>
            <w:tcW w:w="2154" w:type="dxa"/>
            <w:vAlign w:val="center"/>
          </w:tcPr>
          <w:p w14:paraId="6731BDE7">
            <w:pPr>
              <w:spacing w:line="280" w:lineRule="exact"/>
              <w:jc w:val="center"/>
              <w:rPr>
                <w:rFonts w:ascii="Times New Roman" w:eastAsia="仿宋"/>
              </w:rPr>
            </w:pPr>
            <w:r>
              <w:rPr>
                <w:rFonts w:ascii="Times New Roman" w:eastAsia="仿宋"/>
              </w:rPr>
              <w:t>24小时平均</w:t>
            </w:r>
          </w:p>
        </w:tc>
        <w:tc>
          <w:tcPr>
            <w:tcW w:w="2037" w:type="dxa"/>
            <w:vAlign w:val="center"/>
          </w:tcPr>
          <w:p w14:paraId="1E30A8C8">
            <w:pPr>
              <w:spacing w:line="280" w:lineRule="exact"/>
              <w:jc w:val="center"/>
              <w:rPr>
                <w:rFonts w:ascii="Times New Roman" w:eastAsia="仿宋"/>
              </w:rPr>
            </w:pPr>
            <w:r>
              <w:rPr>
                <w:rFonts w:ascii="Times New Roman" w:eastAsia="仿宋"/>
              </w:rPr>
              <w:t>100</w:t>
            </w:r>
          </w:p>
        </w:tc>
        <w:tc>
          <w:tcPr>
            <w:tcW w:w="2429" w:type="dxa"/>
            <w:vMerge w:val="continue"/>
            <w:vAlign w:val="center"/>
          </w:tcPr>
          <w:p w14:paraId="0662C9E4">
            <w:pPr>
              <w:spacing w:line="280" w:lineRule="exact"/>
              <w:jc w:val="center"/>
              <w:rPr>
                <w:rFonts w:ascii="Times New Roman" w:eastAsia="仿宋"/>
              </w:rPr>
            </w:pPr>
          </w:p>
        </w:tc>
      </w:tr>
      <w:tr w14:paraId="0B55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7ADDDE40">
            <w:pPr>
              <w:spacing w:line="280" w:lineRule="exact"/>
              <w:jc w:val="center"/>
              <w:rPr>
                <w:rFonts w:ascii="Times New Roman" w:eastAsia="仿宋"/>
              </w:rPr>
            </w:pPr>
          </w:p>
        </w:tc>
        <w:tc>
          <w:tcPr>
            <w:tcW w:w="2154" w:type="dxa"/>
            <w:vAlign w:val="center"/>
          </w:tcPr>
          <w:p w14:paraId="163A42FD">
            <w:pPr>
              <w:spacing w:line="280" w:lineRule="exact"/>
              <w:jc w:val="center"/>
              <w:rPr>
                <w:rFonts w:ascii="Times New Roman" w:eastAsia="仿宋"/>
              </w:rPr>
            </w:pPr>
            <w:r>
              <w:rPr>
                <w:rFonts w:ascii="Times New Roman" w:eastAsia="仿宋"/>
              </w:rPr>
              <w:t>1小时平均</w:t>
            </w:r>
          </w:p>
        </w:tc>
        <w:tc>
          <w:tcPr>
            <w:tcW w:w="2037" w:type="dxa"/>
            <w:vAlign w:val="center"/>
          </w:tcPr>
          <w:p w14:paraId="73F32C38">
            <w:pPr>
              <w:spacing w:line="280" w:lineRule="exact"/>
              <w:jc w:val="center"/>
              <w:rPr>
                <w:rFonts w:ascii="Times New Roman" w:eastAsia="仿宋"/>
              </w:rPr>
            </w:pPr>
            <w:r>
              <w:rPr>
                <w:rFonts w:ascii="Times New Roman" w:eastAsia="仿宋"/>
              </w:rPr>
              <w:t>250</w:t>
            </w:r>
          </w:p>
        </w:tc>
        <w:tc>
          <w:tcPr>
            <w:tcW w:w="2429" w:type="dxa"/>
            <w:vMerge w:val="continue"/>
            <w:vAlign w:val="center"/>
          </w:tcPr>
          <w:p w14:paraId="41EBAF1B">
            <w:pPr>
              <w:spacing w:line="280" w:lineRule="exact"/>
              <w:jc w:val="center"/>
              <w:rPr>
                <w:rFonts w:ascii="Times New Roman" w:eastAsia="仿宋"/>
              </w:rPr>
            </w:pPr>
          </w:p>
        </w:tc>
      </w:tr>
      <w:tr w14:paraId="7FE5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140FFA99">
            <w:pPr>
              <w:spacing w:line="280" w:lineRule="exact"/>
              <w:jc w:val="center"/>
              <w:rPr>
                <w:rFonts w:ascii="Times New Roman" w:eastAsia="仿宋"/>
              </w:rPr>
            </w:pPr>
            <w:r>
              <w:rPr>
                <w:rFonts w:ascii="Times New Roman" w:eastAsia="仿宋"/>
              </w:rPr>
              <w:t>PM</w:t>
            </w:r>
            <w:r>
              <w:rPr>
                <w:rFonts w:ascii="Times New Roman" w:eastAsia="仿宋"/>
                <w:vertAlign w:val="subscript"/>
              </w:rPr>
              <w:t>10</w:t>
            </w:r>
          </w:p>
        </w:tc>
        <w:tc>
          <w:tcPr>
            <w:tcW w:w="2154" w:type="dxa"/>
            <w:vAlign w:val="center"/>
          </w:tcPr>
          <w:p w14:paraId="1590C87E">
            <w:pPr>
              <w:spacing w:line="280" w:lineRule="exact"/>
              <w:jc w:val="center"/>
              <w:rPr>
                <w:rFonts w:ascii="Times New Roman" w:eastAsia="仿宋"/>
              </w:rPr>
            </w:pPr>
            <w:r>
              <w:rPr>
                <w:rFonts w:ascii="Times New Roman" w:eastAsia="仿宋"/>
              </w:rPr>
              <w:t>年平均</w:t>
            </w:r>
          </w:p>
        </w:tc>
        <w:tc>
          <w:tcPr>
            <w:tcW w:w="2037" w:type="dxa"/>
            <w:vAlign w:val="center"/>
          </w:tcPr>
          <w:p w14:paraId="0B36B54D">
            <w:pPr>
              <w:spacing w:line="280" w:lineRule="exact"/>
              <w:jc w:val="center"/>
              <w:rPr>
                <w:rFonts w:ascii="Times New Roman" w:eastAsia="仿宋"/>
              </w:rPr>
            </w:pPr>
            <w:r>
              <w:rPr>
                <w:rFonts w:ascii="Times New Roman" w:eastAsia="仿宋"/>
              </w:rPr>
              <w:t>70</w:t>
            </w:r>
          </w:p>
        </w:tc>
        <w:tc>
          <w:tcPr>
            <w:tcW w:w="2429" w:type="dxa"/>
            <w:vMerge w:val="continue"/>
            <w:vAlign w:val="center"/>
          </w:tcPr>
          <w:p w14:paraId="470703CC">
            <w:pPr>
              <w:spacing w:line="280" w:lineRule="exact"/>
              <w:jc w:val="center"/>
              <w:rPr>
                <w:rFonts w:ascii="Times New Roman" w:eastAsia="仿宋"/>
              </w:rPr>
            </w:pPr>
          </w:p>
        </w:tc>
      </w:tr>
      <w:tr w14:paraId="69A6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075B1D53">
            <w:pPr>
              <w:spacing w:line="280" w:lineRule="exact"/>
              <w:jc w:val="center"/>
              <w:rPr>
                <w:rFonts w:ascii="Times New Roman" w:eastAsia="仿宋"/>
              </w:rPr>
            </w:pPr>
          </w:p>
        </w:tc>
        <w:tc>
          <w:tcPr>
            <w:tcW w:w="2154" w:type="dxa"/>
            <w:vAlign w:val="center"/>
          </w:tcPr>
          <w:p w14:paraId="05B30959">
            <w:pPr>
              <w:spacing w:line="280" w:lineRule="exact"/>
              <w:jc w:val="center"/>
              <w:rPr>
                <w:rFonts w:ascii="Times New Roman" w:eastAsia="仿宋"/>
              </w:rPr>
            </w:pPr>
            <w:r>
              <w:rPr>
                <w:rFonts w:ascii="Times New Roman" w:eastAsia="仿宋"/>
              </w:rPr>
              <w:t>24小时平均</w:t>
            </w:r>
          </w:p>
        </w:tc>
        <w:tc>
          <w:tcPr>
            <w:tcW w:w="2037" w:type="dxa"/>
            <w:vAlign w:val="center"/>
          </w:tcPr>
          <w:p w14:paraId="49B9FD82">
            <w:pPr>
              <w:spacing w:line="280" w:lineRule="exact"/>
              <w:jc w:val="center"/>
              <w:rPr>
                <w:rFonts w:ascii="Times New Roman" w:eastAsia="仿宋"/>
              </w:rPr>
            </w:pPr>
            <w:r>
              <w:rPr>
                <w:rFonts w:ascii="Times New Roman" w:eastAsia="仿宋"/>
              </w:rPr>
              <w:t>150</w:t>
            </w:r>
          </w:p>
        </w:tc>
        <w:tc>
          <w:tcPr>
            <w:tcW w:w="2429" w:type="dxa"/>
            <w:vMerge w:val="continue"/>
            <w:vAlign w:val="center"/>
          </w:tcPr>
          <w:p w14:paraId="5E7BD1B5">
            <w:pPr>
              <w:spacing w:line="280" w:lineRule="exact"/>
              <w:jc w:val="center"/>
              <w:rPr>
                <w:rFonts w:ascii="Times New Roman" w:eastAsia="仿宋"/>
              </w:rPr>
            </w:pPr>
          </w:p>
        </w:tc>
      </w:tr>
      <w:tr w14:paraId="69A1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347D81E7">
            <w:pPr>
              <w:spacing w:line="280" w:lineRule="exact"/>
              <w:jc w:val="center"/>
              <w:rPr>
                <w:rFonts w:ascii="Times New Roman" w:eastAsia="仿宋"/>
              </w:rPr>
            </w:pPr>
            <w:r>
              <w:rPr>
                <w:rFonts w:ascii="Times New Roman" w:eastAsia="仿宋"/>
              </w:rPr>
              <w:t>PM</w:t>
            </w:r>
            <w:r>
              <w:rPr>
                <w:rFonts w:ascii="Times New Roman" w:eastAsia="仿宋"/>
                <w:vertAlign w:val="subscript"/>
              </w:rPr>
              <w:t>2.5</w:t>
            </w:r>
          </w:p>
        </w:tc>
        <w:tc>
          <w:tcPr>
            <w:tcW w:w="2154" w:type="dxa"/>
            <w:vAlign w:val="center"/>
          </w:tcPr>
          <w:p w14:paraId="73D40692">
            <w:pPr>
              <w:spacing w:line="280" w:lineRule="exact"/>
              <w:jc w:val="center"/>
              <w:rPr>
                <w:rFonts w:ascii="Times New Roman" w:eastAsia="仿宋"/>
              </w:rPr>
            </w:pPr>
            <w:r>
              <w:rPr>
                <w:rFonts w:ascii="Times New Roman" w:eastAsia="仿宋"/>
              </w:rPr>
              <w:t>年平均</w:t>
            </w:r>
          </w:p>
        </w:tc>
        <w:tc>
          <w:tcPr>
            <w:tcW w:w="2037" w:type="dxa"/>
            <w:vAlign w:val="center"/>
          </w:tcPr>
          <w:p w14:paraId="12F1F1D9">
            <w:pPr>
              <w:spacing w:line="280" w:lineRule="exact"/>
              <w:jc w:val="center"/>
              <w:rPr>
                <w:rFonts w:ascii="Times New Roman" w:eastAsia="仿宋"/>
              </w:rPr>
            </w:pPr>
            <w:r>
              <w:rPr>
                <w:rFonts w:ascii="Times New Roman" w:eastAsia="仿宋"/>
              </w:rPr>
              <w:t>35</w:t>
            </w:r>
          </w:p>
        </w:tc>
        <w:tc>
          <w:tcPr>
            <w:tcW w:w="2429" w:type="dxa"/>
            <w:vMerge w:val="continue"/>
            <w:vAlign w:val="center"/>
          </w:tcPr>
          <w:p w14:paraId="6B8AA2E9">
            <w:pPr>
              <w:spacing w:line="280" w:lineRule="exact"/>
              <w:jc w:val="center"/>
              <w:rPr>
                <w:rFonts w:ascii="Times New Roman" w:eastAsia="仿宋"/>
              </w:rPr>
            </w:pPr>
          </w:p>
        </w:tc>
      </w:tr>
      <w:tr w14:paraId="7670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605F38B9">
            <w:pPr>
              <w:spacing w:line="280" w:lineRule="exact"/>
              <w:jc w:val="center"/>
              <w:rPr>
                <w:rFonts w:ascii="Times New Roman" w:eastAsia="仿宋"/>
              </w:rPr>
            </w:pPr>
          </w:p>
        </w:tc>
        <w:tc>
          <w:tcPr>
            <w:tcW w:w="2154" w:type="dxa"/>
            <w:vAlign w:val="center"/>
          </w:tcPr>
          <w:p w14:paraId="5B538A8C">
            <w:pPr>
              <w:spacing w:line="280" w:lineRule="exact"/>
              <w:jc w:val="center"/>
              <w:rPr>
                <w:rFonts w:ascii="Times New Roman" w:eastAsia="仿宋"/>
              </w:rPr>
            </w:pPr>
            <w:r>
              <w:rPr>
                <w:rFonts w:ascii="Times New Roman" w:eastAsia="仿宋"/>
              </w:rPr>
              <w:t>24小时平均</w:t>
            </w:r>
          </w:p>
        </w:tc>
        <w:tc>
          <w:tcPr>
            <w:tcW w:w="2037" w:type="dxa"/>
            <w:vAlign w:val="center"/>
          </w:tcPr>
          <w:p w14:paraId="319AB78E">
            <w:pPr>
              <w:spacing w:line="280" w:lineRule="exact"/>
              <w:jc w:val="center"/>
              <w:rPr>
                <w:rFonts w:ascii="Times New Roman" w:eastAsia="仿宋"/>
              </w:rPr>
            </w:pPr>
            <w:r>
              <w:rPr>
                <w:rFonts w:ascii="Times New Roman" w:eastAsia="仿宋"/>
              </w:rPr>
              <w:t>75</w:t>
            </w:r>
          </w:p>
        </w:tc>
        <w:tc>
          <w:tcPr>
            <w:tcW w:w="2429" w:type="dxa"/>
            <w:vMerge w:val="continue"/>
            <w:vAlign w:val="center"/>
          </w:tcPr>
          <w:p w14:paraId="7459322B">
            <w:pPr>
              <w:spacing w:line="280" w:lineRule="exact"/>
              <w:jc w:val="center"/>
              <w:rPr>
                <w:rFonts w:ascii="Times New Roman" w:eastAsia="仿宋"/>
              </w:rPr>
            </w:pPr>
          </w:p>
        </w:tc>
      </w:tr>
      <w:tr w14:paraId="2D8B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3E264A88">
            <w:pPr>
              <w:spacing w:line="280" w:lineRule="exact"/>
              <w:jc w:val="center"/>
              <w:rPr>
                <w:rFonts w:ascii="Times New Roman" w:eastAsia="仿宋"/>
              </w:rPr>
            </w:pPr>
            <w:r>
              <w:rPr>
                <w:rFonts w:ascii="Times New Roman" w:eastAsia="仿宋"/>
              </w:rPr>
              <w:t>CO</w:t>
            </w:r>
          </w:p>
        </w:tc>
        <w:tc>
          <w:tcPr>
            <w:tcW w:w="2154" w:type="dxa"/>
            <w:vAlign w:val="center"/>
          </w:tcPr>
          <w:p w14:paraId="3BE7D3C0">
            <w:pPr>
              <w:spacing w:line="280" w:lineRule="exact"/>
              <w:jc w:val="center"/>
              <w:rPr>
                <w:rFonts w:ascii="Times New Roman" w:eastAsia="仿宋"/>
              </w:rPr>
            </w:pPr>
            <w:r>
              <w:rPr>
                <w:rFonts w:ascii="Times New Roman" w:eastAsia="仿宋"/>
              </w:rPr>
              <w:t>24小时平均</w:t>
            </w:r>
          </w:p>
        </w:tc>
        <w:tc>
          <w:tcPr>
            <w:tcW w:w="2037" w:type="dxa"/>
            <w:vAlign w:val="center"/>
          </w:tcPr>
          <w:p w14:paraId="3CF2BFF0">
            <w:pPr>
              <w:spacing w:line="280" w:lineRule="exact"/>
              <w:jc w:val="center"/>
              <w:rPr>
                <w:rFonts w:ascii="Times New Roman" w:eastAsia="仿宋"/>
              </w:rPr>
            </w:pPr>
            <w:r>
              <w:rPr>
                <w:rFonts w:ascii="Times New Roman" w:eastAsia="仿宋"/>
              </w:rPr>
              <w:t>4000</w:t>
            </w:r>
          </w:p>
        </w:tc>
        <w:tc>
          <w:tcPr>
            <w:tcW w:w="2429" w:type="dxa"/>
            <w:vMerge w:val="continue"/>
            <w:vAlign w:val="center"/>
          </w:tcPr>
          <w:p w14:paraId="3A95D090">
            <w:pPr>
              <w:spacing w:line="280" w:lineRule="exact"/>
              <w:jc w:val="center"/>
              <w:rPr>
                <w:rFonts w:ascii="Times New Roman" w:eastAsia="仿宋"/>
              </w:rPr>
            </w:pPr>
          </w:p>
        </w:tc>
      </w:tr>
      <w:tr w14:paraId="2915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continue"/>
            <w:vAlign w:val="center"/>
          </w:tcPr>
          <w:p w14:paraId="766F0D65">
            <w:pPr>
              <w:spacing w:line="280" w:lineRule="exact"/>
              <w:jc w:val="center"/>
              <w:rPr>
                <w:rFonts w:ascii="Times New Roman" w:eastAsia="仿宋"/>
              </w:rPr>
            </w:pPr>
          </w:p>
        </w:tc>
        <w:tc>
          <w:tcPr>
            <w:tcW w:w="2154" w:type="dxa"/>
            <w:vAlign w:val="center"/>
          </w:tcPr>
          <w:p w14:paraId="776FD930">
            <w:pPr>
              <w:spacing w:line="280" w:lineRule="exact"/>
              <w:jc w:val="center"/>
              <w:rPr>
                <w:rFonts w:ascii="Times New Roman" w:eastAsia="仿宋"/>
              </w:rPr>
            </w:pPr>
            <w:r>
              <w:rPr>
                <w:rFonts w:ascii="Times New Roman" w:eastAsia="仿宋"/>
              </w:rPr>
              <w:t>1小时平均</w:t>
            </w:r>
          </w:p>
        </w:tc>
        <w:tc>
          <w:tcPr>
            <w:tcW w:w="2037" w:type="dxa"/>
            <w:vAlign w:val="center"/>
          </w:tcPr>
          <w:p w14:paraId="7AA287A2">
            <w:pPr>
              <w:spacing w:line="280" w:lineRule="exact"/>
              <w:jc w:val="center"/>
              <w:rPr>
                <w:rFonts w:ascii="Times New Roman" w:eastAsia="仿宋"/>
              </w:rPr>
            </w:pPr>
            <w:r>
              <w:rPr>
                <w:rFonts w:ascii="Times New Roman" w:eastAsia="仿宋"/>
              </w:rPr>
              <w:t>10000</w:t>
            </w:r>
          </w:p>
        </w:tc>
        <w:tc>
          <w:tcPr>
            <w:tcW w:w="2429" w:type="dxa"/>
            <w:vMerge w:val="continue"/>
            <w:vAlign w:val="center"/>
          </w:tcPr>
          <w:p w14:paraId="6C81586B">
            <w:pPr>
              <w:spacing w:line="280" w:lineRule="exact"/>
              <w:jc w:val="center"/>
              <w:rPr>
                <w:rFonts w:ascii="Times New Roman" w:eastAsia="仿宋"/>
              </w:rPr>
            </w:pPr>
          </w:p>
        </w:tc>
      </w:tr>
      <w:tr w14:paraId="1658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vMerge w:val="restart"/>
            <w:vAlign w:val="center"/>
          </w:tcPr>
          <w:p w14:paraId="2AAB283D">
            <w:pPr>
              <w:spacing w:line="280" w:lineRule="exact"/>
              <w:jc w:val="center"/>
              <w:rPr>
                <w:rFonts w:ascii="Times New Roman" w:eastAsia="仿宋"/>
              </w:rPr>
            </w:pPr>
            <w:r>
              <w:rPr>
                <w:rFonts w:ascii="Times New Roman" w:eastAsia="仿宋"/>
              </w:rPr>
              <w:t>O</w:t>
            </w:r>
            <w:r>
              <w:rPr>
                <w:rFonts w:ascii="Times New Roman" w:eastAsia="仿宋"/>
                <w:vertAlign w:val="subscript"/>
              </w:rPr>
              <w:t>3</w:t>
            </w:r>
          </w:p>
        </w:tc>
        <w:tc>
          <w:tcPr>
            <w:tcW w:w="2154" w:type="dxa"/>
            <w:vAlign w:val="center"/>
          </w:tcPr>
          <w:p w14:paraId="2F5F4EA0">
            <w:pPr>
              <w:spacing w:line="280" w:lineRule="exact"/>
              <w:jc w:val="center"/>
              <w:rPr>
                <w:rFonts w:ascii="Times New Roman" w:eastAsia="仿宋"/>
              </w:rPr>
            </w:pPr>
            <w:r>
              <w:rPr>
                <w:rFonts w:ascii="Times New Roman" w:eastAsia="仿宋"/>
              </w:rPr>
              <w:t>日最大8小时平均</w:t>
            </w:r>
          </w:p>
        </w:tc>
        <w:tc>
          <w:tcPr>
            <w:tcW w:w="2037" w:type="dxa"/>
            <w:vAlign w:val="center"/>
          </w:tcPr>
          <w:p w14:paraId="69531ABC">
            <w:pPr>
              <w:spacing w:line="280" w:lineRule="exact"/>
              <w:jc w:val="center"/>
              <w:rPr>
                <w:rFonts w:ascii="Times New Roman" w:eastAsia="仿宋"/>
              </w:rPr>
            </w:pPr>
            <w:r>
              <w:rPr>
                <w:rFonts w:ascii="Times New Roman" w:eastAsia="仿宋"/>
              </w:rPr>
              <w:t>160</w:t>
            </w:r>
          </w:p>
        </w:tc>
        <w:tc>
          <w:tcPr>
            <w:tcW w:w="2429" w:type="dxa"/>
            <w:vMerge w:val="continue"/>
            <w:vAlign w:val="center"/>
          </w:tcPr>
          <w:p w14:paraId="35D80923">
            <w:pPr>
              <w:spacing w:line="280" w:lineRule="exact"/>
              <w:jc w:val="center"/>
              <w:rPr>
                <w:rFonts w:ascii="Times New Roman" w:eastAsia="仿宋"/>
              </w:rPr>
            </w:pPr>
          </w:p>
        </w:tc>
      </w:tr>
      <w:tr w14:paraId="4E42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208" w:type="dxa"/>
            <w:vMerge w:val="continue"/>
            <w:vAlign w:val="center"/>
          </w:tcPr>
          <w:p w14:paraId="3B36C9B4">
            <w:pPr>
              <w:spacing w:line="280" w:lineRule="exact"/>
              <w:jc w:val="center"/>
              <w:rPr>
                <w:rFonts w:ascii="Times New Roman" w:eastAsia="仿宋"/>
              </w:rPr>
            </w:pPr>
          </w:p>
        </w:tc>
        <w:tc>
          <w:tcPr>
            <w:tcW w:w="2154" w:type="dxa"/>
            <w:vAlign w:val="center"/>
          </w:tcPr>
          <w:p w14:paraId="6AB086A1">
            <w:pPr>
              <w:spacing w:line="280" w:lineRule="exact"/>
              <w:jc w:val="center"/>
              <w:rPr>
                <w:rFonts w:ascii="Times New Roman" w:eastAsia="仿宋"/>
              </w:rPr>
            </w:pPr>
            <w:r>
              <w:rPr>
                <w:rFonts w:ascii="Times New Roman" w:eastAsia="仿宋"/>
              </w:rPr>
              <w:t>1小时平均</w:t>
            </w:r>
          </w:p>
        </w:tc>
        <w:tc>
          <w:tcPr>
            <w:tcW w:w="2037" w:type="dxa"/>
            <w:vAlign w:val="center"/>
          </w:tcPr>
          <w:p w14:paraId="17D4D66C">
            <w:pPr>
              <w:spacing w:line="280" w:lineRule="exact"/>
              <w:jc w:val="center"/>
              <w:rPr>
                <w:rFonts w:ascii="Times New Roman" w:eastAsia="仿宋"/>
              </w:rPr>
            </w:pPr>
            <w:r>
              <w:rPr>
                <w:rFonts w:ascii="Times New Roman" w:eastAsia="仿宋"/>
              </w:rPr>
              <w:t>200</w:t>
            </w:r>
          </w:p>
        </w:tc>
        <w:tc>
          <w:tcPr>
            <w:tcW w:w="2429" w:type="dxa"/>
            <w:vMerge w:val="continue"/>
            <w:vAlign w:val="center"/>
          </w:tcPr>
          <w:p w14:paraId="7BF23FDA">
            <w:pPr>
              <w:spacing w:line="280" w:lineRule="exact"/>
              <w:jc w:val="center"/>
              <w:rPr>
                <w:rFonts w:ascii="Times New Roman" w:eastAsia="仿宋"/>
              </w:rPr>
            </w:pPr>
          </w:p>
        </w:tc>
      </w:tr>
      <w:tr w14:paraId="56AE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208" w:type="dxa"/>
            <w:vAlign w:val="center"/>
          </w:tcPr>
          <w:p w14:paraId="230B89DE">
            <w:pPr>
              <w:spacing w:line="280" w:lineRule="exact"/>
              <w:jc w:val="center"/>
              <w:rPr>
                <w:rFonts w:ascii="Times New Roman" w:eastAsia="仿宋"/>
              </w:rPr>
            </w:pPr>
            <w:r>
              <w:rPr>
                <w:rFonts w:ascii="Times New Roman" w:eastAsia="仿宋"/>
              </w:rPr>
              <w:t>非甲烷总烃</w:t>
            </w:r>
          </w:p>
        </w:tc>
        <w:tc>
          <w:tcPr>
            <w:tcW w:w="2154" w:type="dxa"/>
            <w:vAlign w:val="center"/>
          </w:tcPr>
          <w:p w14:paraId="3433CD91">
            <w:pPr>
              <w:spacing w:line="280" w:lineRule="exact"/>
              <w:jc w:val="center"/>
              <w:rPr>
                <w:rFonts w:ascii="Times New Roman" w:eastAsia="仿宋"/>
              </w:rPr>
            </w:pPr>
            <w:r>
              <w:rPr>
                <w:rFonts w:ascii="Times New Roman" w:eastAsia="仿宋"/>
              </w:rPr>
              <w:t>一次值</w:t>
            </w:r>
          </w:p>
        </w:tc>
        <w:tc>
          <w:tcPr>
            <w:tcW w:w="2037" w:type="dxa"/>
            <w:vAlign w:val="center"/>
          </w:tcPr>
          <w:p w14:paraId="3840B3A4">
            <w:pPr>
              <w:spacing w:line="280" w:lineRule="exact"/>
              <w:jc w:val="center"/>
              <w:rPr>
                <w:rFonts w:ascii="Times New Roman" w:eastAsia="仿宋"/>
              </w:rPr>
            </w:pPr>
            <w:r>
              <w:rPr>
                <w:rFonts w:ascii="Times New Roman" w:eastAsia="仿宋"/>
              </w:rPr>
              <w:t>2000</w:t>
            </w:r>
          </w:p>
        </w:tc>
        <w:tc>
          <w:tcPr>
            <w:tcW w:w="2429" w:type="dxa"/>
            <w:vAlign w:val="center"/>
          </w:tcPr>
          <w:p w14:paraId="41F347F7">
            <w:pPr>
              <w:spacing w:line="280" w:lineRule="exact"/>
              <w:jc w:val="center"/>
              <w:rPr>
                <w:rFonts w:ascii="Times New Roman" w:eastAsia="仿宋"/>
              </w:rPr>
            </w:pPr>
            <w:r>
              <w:rPr>
                <w:rFonts w:ascii="Times New Roman" w:eastAsia="仿宋"/>
              </w:rPr>
              <w:t>《大气污染物综合排放标准详解》选用标准</w:t>
            </w:r>
          </w:p>
        </w:tc>
      </w:tr>
      <w:tr w14:paraId="25C0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208" w:type="dxa"/>
            <w:vAlign w:val="center"/>
          </w:tcPr>
          <w:p w14:paraId="1541C7CC">
            <w:pPr>
              <w:spacing w:line="280" w:lineRule="exact"/>
              <w:jc w:val="center"/>
              <w:rPr>
                <w:rFonts w:ascii="Times New Roman" w:eastAsia="仿宋"/>
              </w:rPr>
            </w:pPr>
            <w:r>
              <w:rPr>
                <w:rFonts w:hint="eastAsia" w:ascii="Times New Roman" w:eastAsia="仿宋"/>
              </w:rPr>
              <w:t>TVOC</w:t>
            </w:r>
          </w:p>
        </w:tc>
        <w:tc>
          <w:tcPr>
            <w:tcW w:w="2154" w:type="dxa"/>
            <w:vAlign w:val="center"/>
          </w:tcPr>
          <w:p w14:paraId="4E8A1E12">
            <w:pPr>
              <w:jc w:val="center"/>
              <w:rPr>
                <w:rFonts w:ascii="Times New Roman" w:eastAsia="仿宋"/>
              </w:rPr>
            </w:pPr>
            <w:r>
              <w:rPr>
                <w:rFonts w:hint="eastAsia" w:ascii="Times New Roman" w:eastAsia="仿宋"/>
                <w:szCs w:val="21"/>
              </w:rPr>
              <w:t>8小时平均</w:t>
            </w:r>
          </w:p>
        </w:tc>
        <w:tc>
          <w:tcPr>
            <w:tcW w:w="2037" w:type="dxa"/>
            <w:vAlign w:val="center"/>
          </w:tcPr>
          <w:p w14:paraId="1B6E9E46">
            <w:pPr>
              <w:jc w:val="center"/>
              <w:rPr>
                <w:rFonts w:ascii="Times New Roman" w:eastAsia="仿宋"/>
              </w:rPr>
            </w:pPr>
            <w:r>
              <w:rPr>
                <w:rFonts w:hint="eastAsia" w:ascii="Times New Roman" w:eastAsia="仿宋"/>
                <w:szCs w:val="21"/>
              </w:rPr>
              <w:t>600</w:t>
            </w:r>
          </w:p>
        </w:tc>
        <w:tc>
          <w:tcPr>
            <w:tcW w:w="2429" w:type="dxa"/>
            <w:vMerge w:val="restart"/>
            <w:vAlign w:val="center"/>
          </w:tcPr>
          <w:p w14:paraId="0D1B6AAE">
            <w:pPr>
              <w:spacing w:line="280" w:lineRule="exact"/>
              <w:jc w:val="center"/>
              <w:rPr>
                <w:rFonts w:ascii="Times New Roman" w:eastAsia="仿宋"/>
              </w:rPr>
            </w:pPr>
            <w:r>
              <w:rPr>
                <w:rFonts w:hint="eastAsia" w:ascii="Times New Roman" w:eastAsia="仿宋"/>
              </w:rPr>
              <w:t>《环境影响评价技术导则 大气环境》（HJ2.2-2018）附录D</w:t>
            </w:r>
          </w:p>
        </w:tc>
      </w:tr>
      <w:tr w14:paraId="2C19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208" w:type="dxa"/>
            <w:vAlign w:val="center"/>
          </w:tcPr>
          <w:p w14:paraId="457A81D8">
            <w:pPr>
              <w:spacing w:line="280" w:lineRule="exact"/>
              <w:jc w:val="center"/>
              <w:rPr>
                <w:rFonts w:ascii="Times New Roman" w:eastAsia="仿宋"/>
              </w:rPr>
            </w:pPr>
            <w:r>
              <w:rPr>
                <w:rFonts w:hint="eastAsia" w:ascii="Times New Roman" w:eastAsia="仿宋"/>
              </w:rPr>
              <w:t>二甲苯</w:t>
            </w:r>
          </w:p>
        </w:tc>
        <w:tc>
          <w:tcPr>
            <w:tcW w:w="2154" w:type="dxa"/>
            <w:vAlign w:val="center"/>
          </w:tcPr>
          <w:p w14:paraId="0DB937BD">
            <w:pPr>
              <w:spacing w:line="280" w:lineRule="exact"/>
              <w:jc w:val="center"/>
              <w:rPr>
                <w:rFonts w:ascii="Times New Roman" w:eastAsia="仿宋"/>
              </w:rPr>
            </w:pPr>
            <w:r>
              <w:rPr>
                <w:rFonts w:hint="eastAsia" w:ascii="Times New Roman" w:eastAsia="仿宋"/>
              </w:rPr>
              <w:t>1小时平均</w:t>
            </w:r>
          </w:p>
        </w:tc>
        <w:tc>
          <w:tcPr>
            <w:tcW w:w="2037" w:type="dxa"/>
            <w:vAlign w:val="center"/>
          </w:tcPr>
          <w:p w14:paraId="11B6348C">
            <w:pPr>
              <w:spacing w:line="280" w:lineRule="exact"/>
              <w:jc w:val="center"/>
              <w:rPr>
                <w:rFonts w:ascii="Times New Roman" w:eastAsia="仿宋"/>
              </w:rPr>
            </w:pPr>
            <w:r>
              <w:rPr>
                <w:rFonts w:hint="eastAsia" w:ascii="Times New Roman" w:eastAsia="仿宋"/>
              </w:rPr>
              <w:t>200</w:t>
            </w:r>
          </w:p>
        </w:tc>
        <w:tc>
          <w:tcPr>
            <w:tcW w:w="2429" w:type="dxa"/>
            <w:vMerge w:val="continue"/>
            <w:vAlign w:val="center"/>
          </w:tcPr>
          <w:p w14:paraId="5F320FEE">
            <w:pPr>
              <w:spacing w:line="280" w:lineRule="exact"/>
              <w:jc w:val="center"/>
              <w:rPr>
                <w:rFonts w:ascii="Times New Roman" w:eastAsia="仿宋"/>
              </w:rPr>
            </w:pPr>
          </w:p>
        </w:tc>
      </w:tr>
    </w:tbl>
    <w:p w14:paraId="729BC1C9">
      <w:pPr>
        <w:adjustRightInd w:val="0"/>
        <w:snapToGrid w:val="0"/>
        <w:spacing w:line="500" w:lineRule="exact"/>
        <w:ind w:firstLine="562" w:firstLineChars="200"/>
        <w:rPr>
          <w:rFonts w:ascii="Times New Roman" w:eastAsia="仿宋"/>
          <w:b/>
          <w:sz w:val="28"/>
          <w:szCs w:val="28"/>
        </w:rPr>
      </w:pPr>
      <w:r>
        <w:rPr>
          <w:rFonts w:ascii="Times New Roman" w:eastAsia="仿宋"/>
          <w:b/>
          <w:sz w:val="28"/>
          <w:szCs w:val="28"/>
        </w:rPr>
        <w:t>（2）地表水环境质量标准</w:t>
      </w:r>
    </w:p>
    <w:p w14:paraId="293FC695">
      <w:pPr>
        <w:adjustRightInd w:val="0"/>
        <w:snapToGrid w:val="0"/>
        <w:spacing w:line="500" w:lineRule="exact"/>
        <w:ind w:firstLine="560" w:firstLineChars="200"/>
        <w:rPr>
          <w:rFonts w:ascii="Times New Roman" w:eastAsia="仿宋_GB2312"/>
          <w:kern w:val="2"/>
          <w:sz w:val="28"/>
          <w:szCs w:val="28"/>
        </w:rPr>
      </w:pPr>
      <w:r>
        <w:rPr>
          <w:rFonts w:hint="eastAsia" w:ascii="Times New Roman" w:eastAsia="仿宋_GB2312"/>
          <w:kern w:val="2"/>
          <w:sz w:val="28"/>
          <w:szCs w:val="28"/>
        </w:rPr>
        <w:t>通济河</w:t>
      </w:r>
      <w:r>
        <w:rPr>
          <w:rFonts w:ascii="Times New Roman" w:eastAsia="仿宋_GB2312"/>
          <w:kern w:val="2"/>
          <w:sz w:val="28"/>
          <w:szCs w:val="28"/>
        </w:rPr>
        <w:t>水环境质量执行《地表水环境质量标准》（GB3838－2002）表1中</w:t>
      </w:r>
      <w:r>
        <w:rPr>
          <w:rFonts w:ascii="Times New Roman" w:eastAsia="仿宋_GB2312"/>
          <w:kern w:val="2"/>
          <w:sz w:val="28"/>
          <w:szCs w:val="28"/>
        </w:rPr>
        <w:fldChar w:fldCharType="begin"/>
      </w:r>
      <w:r>
        <w:rPr>
          <w:rFonts w:ascii="Times New Roman" w:eastAsia="仿宋_GB2312"/>
          <w:kern w:val="2"/>
          <w:sz w:val="28"/>
          <w:szCs w:val="28"/>
        </w:rPr>
        <w:instrText xml:space="preserve"> = 3 \* ROMAN </w:instrText>
      </w:r>
      <w:r>
        <w:rPr>
          <w:rFonts w:ascii="Times New Roman" w:eastAsia="仿宋_GB2312"/>
          <w:kern w:val="2"/>
          <w:sz w:val="28"/>
          <w:szCs w:val="28"/>
        </w:rPr>
        <w:fldChar w:fldCharType="separate"/>
      </w:r>
      <w:r>
        <w:rPr>
          <w:rFonts w:hint="eastAsia" w:ascii="Times New Roman" w:eastAsia="仿宋_GB2312"/>
          <w:kern w:val="2"/>
          <w:sz w:val="28"/>
          <w:szCs w:val="28"/>
        </w:rPr>
        <w:t>Ⅳ</w:t>
      </w:r>
      <w:r>
        <w:rPr>
          <w:rFonts w:ascii="Times New Roman" w:eastAsia="仿宋_GB2312"/>
          <w:kern w:val="2"/>
          <w:sz w:val="28"/>
          <w:szCs w:val="28"/>
        </w:rPr>
        <w:fldChar w:fldCharType="end"/>
      </w:r>
      <w:r>
        <w:rPr>
          <w:rFonts w:hint="eastAsia" w:ascii="Times New Roman" w:eastAsia="仿宋_GB2312"/>
          <w:kern w:val="2"/>
          <w:sz w:val="28"/>
          <w:szCs w:val="28"/>
        </w:rPr>
        <w:t>类</w:t>
      </w:r>
      <w:r>
        <w:rPr>
          <w:rFonts w:ascii="Times New Roman" w:eastAsia="仿宋_GB2312"/>
          <w:kern w:val="2"/>
          <w:sz w:val="28"/>
          <w:szCs w:val="28"/>
        </w:rPr>
        <w:t>标准。具体标准值见表2.3-3。</w:t>
      </w:r>
    </w:p>
    <w:p w14:paraId="43BAB67A">
      <w:pPr>
        <w:spacing w:line="500" w:lineRule="exact"/>
        <w:jc w:val="center"/>
        <w:rPr>
          <w:rFonts w:ascii="Times New Roman" w:eastAsia="仿宋_GB2312"/>
          <w:b/>
          <w:bCs/>
          <w:kern w:val="2"/>
          <w:szCs w:val="24"/>
        </w:rPr>
      </w:pPr>
      <w:r>
        <w:rPr>
          <w:rFonts w:ascii="Times New Roman" w:eastAsia="仿宋_GB2312"/>
          <w:b/>
          <w:bCs/>
          <w:kern w:val="2"/>
          <w:szCs w:val="24"/>
        </w:rPr>
        <w:t>表2.3-</w:t>
      </w:r>
      <w:r>
        <w:rPr>
          <w:rFonts w:ascii="Times New Roman" w:eastAsia="仿宋_GB2312"/>
          <w:b/>
          <w:bCs/>
          <w:kern w:val="2"/>
          <w:szCs w:val="24"/>
        </w:rPr>
        <w:fldChar w:fldCharType="begin"/>
      </w:r>
      <w:r>
        <w:rPr>
          <w:rFonts w:ascii="Times New Roman" w:eastAsia="仿宋_GB2312"/>
          <w:b/>
          <w:bCs/>
          <w:kern w:val="2"/>
          <w:szCs w:val="24"/>
        </w:rPr>
        <w:instrText xml:space="preserve"> SEQ 表2.2- \* ARABIC </w:instrText>
      </w:r>
      <w:r>
        <w:rPr>
          <w:rFonts w:ascii="Times New Roman" w:eastAsia="仿宋_GB2312"/>
          <w:b/>
          <w:bCs/>
          <w:kern w:val="2"/>
          <w:szCs w:val="24"/>
        </w:rPr>
        <w:fldChar w:fldCharType="separate"/>
      </w:r>
      <w:r>
        <w:rPr>
          <w:rFonts w:ascii="Times New Roman" w:eastAsia="仿宋_GB2312"/>
          <w:b/>
          <w:bCs/>
          <w:kern w:val="2"/>
          <w:szCs w:val="24"/>
        </w:rPr>
        <w:t>1</w:t>
      </w:r>
      <w:r>
        <w:rPr>
          <w:rFonts w:ascii="Times New Roman" w:eastAsia="仿宋_GB2312"/>
          <w:b/>
          <w:bCs/>
          <w:kern w:val="2"/>
          <w:szCs w:val="24"/>
        </w:rPr>
        <w:fldChar w:fldCharType="end"/>
      </w:r>
      <w:r>
        <w:rPr>
          <w:rFonts w:ascii="Times New Roman" w:eastAsia="仿宋_GB2312"/>
          <w:b/>
          <w:bCs/>
          <w:kern w:val="2"/>
          <w:szCs w:val="24"/>
        </w:rPr>
        <w:t xml:space="preserve">  地表水环境质量标准  单位：mg/L</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4091"/>
        <w:gridCol w:w="2489"/>
      </w:tblGrid>
      <w:tr w14:paraId="50B7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1765" w:type="dxa"/>
            <w:vAlign w:val="center"/>
          </w:tcPr>
          <w:p w14:paraId="5A5A9DA6">
            <w:pPr>
              <w:spacing w:line="280" w:lineRule="exact"/>
              <w:jc w:val="center"/>
              <w:rPr>
                <w:rFonts w:ascii="Times New Roman" w:eastAsia="仿宋"/>
              </w:rPr>
            </w:pPr>
            <w:r>
              <w:rPr>
                <w:rFonts w:ascii="Times New Roman" w:eastAsia="仿宋"/>
              </w:rPr>
              <w:t>污染物名称</w:t>
            </w:r>
          </w:p>
        </w:tc>
        <w:tc>
          <w:tcPr>
            <w:tcW w:w="4091" w:type="dxa"/>
            <w:vAlign w:val="center"/>
          </w:tcPr>
          <w:p w14:paraId="15881947">
            <w:pPr>
              <w:spacing w:line="280" w:lineRule="exact"/>
              <w:jc w:val="center"/>
              <w:rPr>
                <w:rFonts w:ascii="Times New Roman" w:eastAsia="仿宋"/>
              </w:rPr>
            </w:pPr>
            <w:r>
              <w:rPr>
                <w:rFonts w:ascii="Times New Roman" w:eastAsia="仿宋"/>
              </w:rPr>
              <w:fldChar w:fldCharType="begin"/>
            </w:r>
            <w:r>
              <w:rPr>
                <w:rFonts w:ascii="Times New Roman" w:eastAsia="仿宋"/>
              </w:rPr>
              <w:instrText xml:space="preserve"> = 3 \* ROMAN </w:instrText>
            </w:r>
            <w:r>
              <w:rPr>
                <w:rFonts w:ascii="Times New Roman" w:eastAsia="仿宋"/>
              </w:rPr>
              <w:fldChar w:fldCharType="separate"/>
            </w:r>
            <w:r>
              <w:rPr>
                <w:rFonts w:ascii="Times New Roman" w:eastAsia="仿宋"/>
              </w:rPr>
              <w:t>III</w:t>
            </w:r>
            <w:r>
              <w:rPr>
                <w:rFonts w:ascii="Times New Roman" w:eastAsia="仿宋"/>
              </w:rPr>
              <w:fldChar w:fldCharType="end"/>
            </w:r>
            <w:r>
              <w:rPr>
                <w:rFonts w:hint="eastAsia" w:ascii="Times New Roman" w:eastAsia="仿宋"/>
              </w:rPr>
              <w:t>类</w:t>
            </w:r>
            <w:r>
              <w:rPr>
                <w:rFonts w:ascii="Times New Roman" w:eastAsia="仿宋"/>
              </w:rPr>
              <w:t>标准值(mg/L)</w:t>
            </w:r>
          </w:p>
        </w:tc>
        <w:tc>
          <w:tcPr>
            <w:tcW w:w="2489" w:type="dxa"/>
            <w:vAlign w:val="center"/>
          </w:tcPr>
          <w:p w14:paraId="56DD6852">
            <w:pPr>
              <w:spacing w:line="280" w:lineRule="exact"/>
              <w:jc w:val="center"/>
              <w:rPr>
                <w:rFonts w:ascii="Times New Roman" w:eastAsia="仿宋"/>
              </w:rPr>
            </w:pPr>
            <w:r>
              <w:rPr>
                <w:rFonts w:ascii="Times New Roman" w:eastAsia="仿宋"/>
              </w:rPr>
              <w:t>标准来源</w:t>
            </w:r>
          </w:p>
        </w:tc>
      </w:tr>
      <w:tr w14:paraId="2635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05A374AC">
            <w:pPr>
              <w:spacing w:line="280" w:lineRule="exact"/>
              <w:jc w:val="center"/>
              <w:rPr>
                <w:rFonts w:ascii="Times New Roman" w:eastAsia="仿宋"/>
              </w:rPr>
            </w:pPr>
            <w:r>
              <w:rPr>
                <w:rFonts w:ascii="Times New Roman" w:eastAsia="仿宋"/>
              </w:rPr>
              <w:t>pH</w:t>
            </w:r>
          </w:p>
        </w:tc>
        <w:tc>
          <w:tcPr>
            <w:tcW w:w="4091" w:type="dxa"/>
            <w:vAlign w:val="center"/>
          </w:tcPr>
          <w:p w14:paraId="2F38A96F">
            <w:pPr>
              <w:spacing w:line="280" w:lineRule="exact"/>
              <w:jc w:val="center"/>
              <w:rPr>
                <w:rFonts w:ascii="Times New Roman" w:eastAsia="仿宋"/>
              </w:rPr>
            </w:pPr>
            <w:r>
              <w:rPr>
                <w:rFonts w:ascii="Times New Roman" w:eastAsia="仿宋"/>
              </w:rPr>
              <w:t>6~9</w:t>
            </w:r>
          </w:p>
        </w:tc>
        <w:tc>
          <w:tcPr>
            <w:tcW w:w="2489" w:type="dxa"/>
            <w:vMerge w:val="restart"/>
            <w:vAlign w:val="center"/>
          </w:tcPr>
          <w:p w14:paraId="6D051624">
            <w:pPr>
              <w:spacing w:line="280" w:lineRule="exact"/>
              <w:jc w:val="center"/>
              <w:rPr>
                <w:rFonts w:ascii="Times New Roman" w:eastAsia="仿宋"/>
              </w:rPr>
            </w:pPr>
            <w:r>
              <w:rPr>
                <w:rFonts w:ascii="Times New Roman" w:eastAsia="仿宋"/>
              </w:rPr>
              <w:t>《地表水环境质量标准》(GB3838-2002)</w:t>
            </w:r>
            <w:r>
              <w:rPr>
                <w:rFonts w:ascii="Times New Roman" w:eastAsia="仿宋"/>
              </w:rPr>
              <w:fldChar w:fldCharType="begin"/>
            </w:r>
            <w:r>
              <w:rPr>
                <w:rFonts w:ascii="Times New Roman" w:eastAsia="仿宋"/>
              </w:rPr>
              <w:instrText xml:space="preserve"> = 3 \* ROMAN </w:instrText>
            </w:r>
            <w:r>
              <w:rPr>
                <w:rFonts w:ascii="Times New Roman" w:eastAsia="仿宋"/>
              </w:rPr>
              <w:fldChar w:fldCharType="separate"/>
            </w:r>
            <w:r>
              <w:rPr>
                <w:rFonts w:hint="eastAsia" w:ascii="Times New Roman" w:eastAsia="仿宋"/>
              </w:rPr>
              <w:t>Ⅳ</w:t>
            </w:r>
            <w:r>
              <w:rPr>
                <w:rFonts w:ascii="Times New Roman" w:eastAsia="仿宋"/>
              </w:rPr>
              <w:fldChar w:fldCharType="end"/>
            </w:r>
            <w:r>
              <w:rPr>
                <w:rFonts w:hint="eastAsia" w:ascii="Times New Roman" w:eastAsia="仿宋"/>
              </w:rPr>
              <w:t>类</w:t>
            </w:r>
            <w:r>
              <w:rPr>
                <w:rFonts w:ascii="Times New Roman" w:eastAsia="仿宋"/>
              </w:rPr>
              <w:t>标准</w:t>
            </w:r>
          </w:p>
        </w:tc>
      </w:tr>
      <w:tr w14:paraId="129B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09F83AAE">
            <w:pPr>
              <w:spacing w:line="280" w:lineRule="exact"/>
              <w:jc w:val="center"/>
              <w:rPr>
                <w:rFonts w:ascii="Times New Roman" w:eastAsia="仿宋"/>
              </w:rPr>
            </w:pPr>
            <w:r>
              <w:rPr>
                <w:rFonts w:ascii="Times New Roman" w:eastAsia="仿宋"/>
              </w:rPr>
              <w:t>COD</w:t>
            </w:r>
          </w:p>
        </w:tc>
        <w:tc>
          <w:tcPr>
            <w:tcW w:w="4091" w:type="dxa"/>
            <w:vAlign w:val="center"/>
          </w:tcPr>
          <w:p w14:paraId="410B9464">
            <w:pPr>
              <w:spacing w:line="280" w:lineRule="exact"/>
              <w:jc w:val="center"/>
              <w:rPr>
                <w:rFonts w:ascii="Times New Roman" w:eastAsia="仿宋"/>
              </w:rPr>
            </w:pPr>
            <w:r>
              <w:rPr>
                <w:rFonts w:ascii="Times New Roman" w:eastAsia="仿宋"/>
              </w:rPr>
              <w:t>≤30</w:t>
            </w:r>
          </w:p>
        </w:tc>
        <w:tc>
          <w:tcPr>
            <w:tcW w:w="2489" w:type="dxa"/>
            <w:vMerge w:val="continue"/>
            <w:vAlign w:val="center"/>
          </w:tcPr>
          <w:p w14:paraId="4481AD5E">
            <w:pPr>
              <w:widowControl/>
              <w:spacing w:line="320" w:lineRule="exact"/>
              <w:jc w:val="center"/>
              <w:rPr>
                <w:rFonts w:ascii="Times New Roman" w:eastAsia="仿宋_GB2312"/>
                <w:szCs w:val="21"/>
              </w:rPr>
            </w:pPr>
          </w:p>
        </w:tc>
      </w:tr>
      <w:tr w14:paraId="4164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2649A154">
            <w:pPr>
              <w:spacing w:line="280" w:lineRule="exact"/>
              <w:jc w:val="center"/>
              <w:rPr>
                <w:rFonts w:ascii="Times New Roman" w:eastAsia="仿宋"/>
              </w:rPr>
            </w:pPr>
            <w:r>
              <w:rPr>
                <w:rFonts w:ascii="Times New Roman" w:eastAsia="仿宋"/>
              </w:rPr>
              <w:t>NH</w:t>
            </w:r>
            <w:r>
              <w:rPr>
                <w:rFonts w:ascii="Times New Roman" w:eastAsia="仿宋"/>
                <w:vertAlign w:val="subscript"/>
              </w:rPr>
              <w:t>3</w:t>
            </w:r>
            <w:r>
              <w:rPr>
                <w:rFonts w:ascii="Times New Roman" w:eastAsia="仿宋"/>
              </w:rPr>
              <w:t>-N</w:t>
            </w:r>
          </w:p>
        </w:tc>
        <w:tc>
          <w:tcPr>
            <w:tcW w:w="4091" w:type="dxa"/>
            <w:vAlign w:val="center"/>
          </w:tcPr>
          <w:p w14:paraId="6E28F7C0">
            <w:pPr>
              <w:spacing w:line="280" w:lineRule="exact"/>
              <w:jc w:val="center"/>
              <w:rPr>
                <w:rFonts w:ascii="Times New Roman" w:eastAsia="仿宋"/>
              </w:rPr>
            </w:pPr>
            <w:r>
              <w:rPr>
                <w:rFonts w:ascii="Times New Roman" w:eastAsia="仿宋"/>
              </w:rPr>
              <w:t>≤1.5</w:t>
            </w:r>
          </w:p>
        </w:tc>
        <w:tc>
          <w:tcPr>
            <w:tcW w:w="2489" w:type="dxa"/>
            <w:vMerge w:val="continue"/>
            <w:vAlign w:val="center"/>
          </w:tcPr>
          <w:p w14:paraId="1AB68F6E">
            <w:pPr>
              <w:widowControl/>
              <w:spacing w:line="320" w:lineRule="exact"/>
              <w:jc w:val="center"/>
              <w:rPr>
                <w:rFonts w:ascii="Times New Roman" w:eastAsia="仿宋_GB2312"/>
                <w:szCs w:val="21"/>
              </w:rPr>
            </w:pPr>
          </w:p>
        </w:tc>
      </w:tr>
      <w:tr w14:paraId="0996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3A7ECA95">
            <w:pPr>
              <w:spacing w:line="280" w:lineRule="exact"/>
              <w:jc w:val="center"/>
              <w:rPr>
                <w:rFonts w:ascii="Times New Roman" w:eastAsia="仿宋"/>
              </w:rPr>
            </w:pPr>
            <w:r>
              <w:rPr>
                <w:rFonts w:ascii="Times New Roman" w:eastAsia="仿宋"/>
              </w:rPr>
              <w:t>TN</w:t>
            </w:r>
          </w:p>
        </w:tc>
        <w:tc>
          <w:tcPr>
            <w:tcW w:w="4091" w:type="dxa"/>
            <w:vAlign w:val="center"/>
          </w:tcPr>
          <w:p w14:paraId="30962B10">
            <w:pPr>
              <w:spacing w:line="280" w:lineRule="exact"/>
              <w:jc w:val="center"/>
              <w:rPr>
                <w:rFonts w:ascii="Times New Roman" w:eastAsia="仿宋"/>
              </w:rPr>
            </w:pPr>
            <w:r>
              <w:rPr>
                <w:rFonts w:ascii="Times New Roman" w:eastAsia="仿宋"/>
              </w:rPr>
              <w:t>≤1.5（湖、库，以N计）</w:t>
            </w:r>
          </w:p>
        </w:tc>
        <w:tc>
          <w:tcPr>
            <w:tcW w:w="2489" w:type="dxa"/>
            <w:vMerge w:val="continue"/>
            <w:vAlign w:val="center"/>
          </w:tcPr>
          <w:p w14:paraId="00729B2E">
            <w:pPr>
              <w:widowControl/>
              <w:spacing w:line="320" w:lineRule="exact"/>
              <w:jc w:val="center"/>
              <w:rPr>
                <w:rFonts w:ascii="Times New Roman" w:eastAsia="仿宋_GB2312"/>
                <w:szCs w:val="21"/>
              </w:rPr>
            </w:pPr>
          </w:p>
        </w:tc>
      </w:tr>
      <w:tr w14:paraId="3E4A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1AEC1E17">
            <w:pPr>
              <w:spacing w:line="280" w:lineRule="exact"/>
              <w:jc w:val="center"/>
              <w:rPr>
                <w:rFonts w:ascii="Times New Roman" w:eastAsia="仿宋"/>
              </w:rPr>
            </w:pPr>
            <w:r>
              <w:rPr>
                <w:rFonts w:ascii="Times New Roman" w:eastAsia="仿宋"/>
              </w:rPr>
              <w:t>TP</w:t>
            </w:r>
          </w:p>
        </w:tc>
        <w:tc>
          <w:tcPr>
            <w:tcW w:w="4091" w:type="dxa"/>
            <w:vAlign w:val="center"/>
          </w:tcPr>
          <w:p w14:paraId="768AC714">
            <w:pPr>
              <w:spacing w:line="280" w:lineRule="exact"/>
              <w:jc w:val="center"/>
              <w:rPr>
                <w:rFonts w:ascii="Times New Roman" w:eastAsia="仿宋"/>
              </w:rPr>
            </w:pPr>
            <w:r>
              <w:rPr>
                <w:rFonts w:ascii="Times New Roman" w:eastAsia="仿宋"/>
              </w:rPr>
              <w:t>≤0.3</w:t>
            </w:r>
          </w:p>
        </w:tc>
        <w:tc>
          <w:tcPr>
            <w:tcW w:w="2489" w:type="dxa"/>
            <w:vMerge w:val="continue"/>
            <w:vAlign w:val="center"/>
          </w:tcPr>
          <w:p w14:paraId="7EEC0384">
            <w:pPr>
              <w:widowControl/>
              <w:spacing w:line="320" w:lineRule="exact"/>
              <w:jc w:val="center"/>
              <w:rPr>
                <w:rFonts w:ascii="Times New Roman" w:eastAsia="仿宋_GB2312"/>
                <w:szCs w:val="21"/>
              </w:rPr>
            </w:pPr>
          </w:p>
        </w:tc>
      </w:tr>
      <w:tr w14:paraId="01F5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Align w:val="center"/>
          </w:tcPr>
          <w:p w14:paraId="7415ECF1">
            <w:pPr>
              <w:spacing w:line="280" w:lineRule="exact"/>
              <w:jc w:val="center"/>
              <w:rPr>
                <w:rFonts w:ascii="Times New Roman" w:eastAsia="仿宋"/>
              </w:rPr>
            </w:pPr>
            <w:r>
              <w:rPr>
                <w:rFonts w:hint="eastAsia" w:ascii="Times New Roman" w:eastAsia="仿宋"/>
              </w:rPr>
              <w:t>水温</w:t>
            </w:r>
          </w:p>
        </w:tc>
        <w:tc>
          <w:tcPr>
            <w:tcW w:w="4091" w:type="dxa"/>
            <w:vAlign w:val="center"/>
          </w:tcPr>
          <w:p w14:paraId="7B473425">
            <w:pPr>
              <w:spacing w:line="280" w:lineRule="exact"/>
              <w:jc w:val="center"/>
              <w:rPr>
                <w:rFonts w:ascii="Times New Roman" w:eastAsia="仿宋"/>
              </w:rPr>
            </w:pPr>
            <w:r>
              <w:rPr>
                <w:rFonts w:hint="eastAsia" w:ascii="Times New Roman" w:eastAsia="仿宋"/>
              </w:rPr>
              <w:t>人为造成的环境水温变化应限制在：周平均最</w:t>
            </w:r>
            <w:r>
              <w:rPr>
                <w:rFonts w:ascii="Times New Roman" w:eastAsia="仿宋"/>
              </w:rPr>
              <w:t>大温升≤1℃，周平均最大温降≤2℃</w:t>
            </w:r>
          </w:p>
        </w:tc>
        <w:tc>
          <w:tcPr>
            <w:tcW w:w="2489" w:type="dxa"/>
            <w:vMerge w:val="continue"/>
            <w:vAlign w:val="center"/>
          </w:tcPr>
          <w:p w14:paraId="6AC33EA5">
            <w:pPr>
              <w:widowControl/>
              <w:spacing w:line="320" w:lineRule="exact"/>
              <w:jc w:val="center"/>
              <w:rPr>
                <w:rFonts w:ascii="Times New Roman" w:eastAsia="仿宋_GB2312"/>
                <w:szCs w:val="21"/>
              </w:rPr>
            </w:pPr>
          </w:p>
        </w:tc>
      </w:tr>
    </w:tbl>
    <w:p w14:paraId="62F945B8">
      <w:pPr>
        <w:ind w:firstLine="482" w:firstLineChars="200"/>
        <w:rPr>
          <w:rFonts w:ascii="Times New Roman" w:eastAsia="仿宋"/>
          <w:b/>
        </w:rPr>
      </w:pPr>
      <w:r>
        <w:rPr>
          <w:rFonts w:ascii="Times New Roman" w:eastAsia="仿宋"/>
          <w:b/>
        </w:rPr>
        <w:t>注：pH无量纲。</w:t>
      </w:r>
    </w:p>
    <w:p w14:paraId="0190BA02">
      <w:pPr>
        <w:adjustRightInd w:val="0"/>
        <w:snapToGrid w:val="0"/>
        <w:spacing w:line="500" w:lineRule="exact"/>
        <w:ind w:firstLine="562" w:firstLineChars="200"/>
        <w:rPr>
          <w:rFonts w:ascii="Times New Roman" w:eastAsia="仿宋"/>
          <w:b/>
          <w:sz w:val="28"/>
          <w:szCs w:val="28"/>
        </w:rPr>
      </w:pPr>
      <w:r>
        <w:rPr>
          <w:rFonts w:ascii="Times New Roman" w:eastAsia="仿宋"/>
          <w:b/>
          <w:sz w:val="28"/>
          <w:szCs w:val="28"/>
        </w:rPr>
        <w:t>（3）地下水环境质量标准</w:t>
      </w:r>
    </w:p>
    <w:p w14:paraId="419732A7">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地下水环境质量符合《地下水质量标准》（GB/T14848-2017），具体见表2.3-4。</w:t>
      </w:r>
    </w:p>
    <w:p w14:paraId="501C0F4A">
      <w:pPr>
        <w:spacing w:line="500" w:lineRule="exact"/>
        <w:ind w:firstLine="482"/>
        <w:jc w:val="center"/>
        <w:rPr>
          <w:rFonts w:ascii="Times New Roman" w:eastAsia="仿宋"/>
          <w:b/>
        </w:rPr>
      </w:pPr>
      <w:r>
        <w:rPr>
          <w:rFonts w:ascii="Times New Roman" w:eastAsia="仿宋"/>
          <w:b/>
        </w:rPr>
        <w:t>表2.3-4  地下水质量标准   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13"/>
        <w:gridCol w:w="1051"/>
        <w:gridCol w:w="887"/>
        <w:gridCol w:w="990"/>
        <w:gridCol w:w="1469"/>
        <w:gridCol w:w="1017"/>
      </w:tblGrid>
      <w:tr w14:paraId="5EAD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81E03F2">
            <w:pPr>
              <w:spacing w:line="280" w:lineRule="exact"/>
              <w:jc w:val="center"/>
              <w:rPr>
                <w:rFonts w:ascii="Times New Roman" w:eastAsia="仿宋"/>
              </w:rPr>
            </w:pPr>
            <w:r>
              <w:rPr>
                <w:rFonts w:ascii="Times New Roman" w:eastAsia="仿宋"/>
              </w:rPr>
              <w:t>项目</w:t>
            </w:r>
          </w:p>
        </w:tc>
        <w:tc>
          <w:tcPr>
            <w:tcW w:w="970" w:type="pct"/>
            <w:vAlign w:val="center"/>
          </w:tcPr>
          <w:p w14:paraId="0AD4A0F3">
            <w:pPr>
              <w:spacing w:line="280" w:lineRule="exact"/>
              <w:jc w:val="center"/>
              <w:rPr>
                <w:rFonts w:ascii="Times New Roman" w:eastAsia="仿宋"/>
              </w:rPr>
            </w:pPr>
            <w:r>
              <w:rPr>
                <w:rFonts w:ascii="Times New Roman" w:eastAsia="仿宋"/>
              </w:rPr>
              <w:t>单位</w:t>
            </w:r>
          </w:p>
        </w:tc>
        <w:tc>
          <w:tcPr>
            <w:tcW w:w="595" w:type="pct"/>
            <w:vAlign w:val="center"/>
          </w:tcPr>
          <w:p w14:paraId="4396D948">
            <w:pPr>
              <w:spacing w:line="280" w:lineRule="exact"/>
              <w:jc w:val="center"/>
              <w:rPr>
                <w:rFonts w:ascii="Times New Roman" w:eastAsia="仿宋"/>
              </w:rPr>
            </w:pPr>
            <w:r>
              <w:rPr>
                <w:rFonts w:ascii="Times New Roman" w:eastAsia="仿宋"/>
              </w:rPr>
              <w:t>Ⅰ类</w:t>
            </w:r>
          </w:p>
        </w:tc>
        <w:tc>
          <w:tcPr>
            <w:tcW w:w="502" w:type="pct"/>
            <w:vAlign w:val="center"/>
          </w:tcPr>
          <w:p w14:paraId="22CD8789">
            <w:pPr>
              <w:spacing w:line="280" w:lineRule="exact"/>
              <w:jc w:val="center"/>
              <w:rPr>
                <w:rFonts w:ascii="Times New Roman" w:eastAsia="仿宋"/>
              </w:rPr>
            </w:pPr>
            <w:r>
              <w:rPr>
                <w:rFonts w:ascii="Times New Roman" w:eastAsia="仿宋"/>
              </w:rPr>
              <w:t>Ⅱ类</w:t>
            </w:r>
          </w:p>
        </w:tc>
        <w:tc>
          <w:tcPr>
            <w:tcW w:w="561" w:type="pct"/>
            <w:vAlign w:val="center"/>
          </w:tcPr>
          <w:p w14:paraId="2AE0DCAA">
            <w:pPr>
              <w:spacing w:line="280" w:lineRule="exact"/>
              <w:jc w:val="center"/>
              <w:rPr>
                <w:rFonts w:ascii="Times New Roman" w:eastAsia="仿宋"/>
              </w:rPr>
            </w:pPr>
            <w:r>
              <w:rPr>
                <w:rFonts w:ascii="Times New Roman" w:eastAsia="仿宋"/>
              </w:rPr>
              <w:t>Ⅲ类</w:t>
            </w:r>
          </w:p>
        </w:tc>
        <w:tc>
          <w:tcPr>
            <w:tcW w:w="832" w:type="pct"/>
            <w:vAlign w:val="center"/>
          </w:tcPr>
          <w:p w14:paraId="23076D05">
            <w:pPr>
              <w:spacing w:line="280" w:lineRule="exact"/>
              <w:jc w:val="center"/>
              <w:rPr>
                <w:rFonts w:ascii="Times New Roman" w:eastAsia="仿宋"/>
              </w:rPr>
            </w:pPr>
            <w:r>
              <w:rPr>
                <w:rFonts w:ascii="Times New Roman" w:eastAsia="仿宋"/>
              </w:rPr>
              <w:t>Ⅳ类</w:t>
            </w:r>
          </w:p>
        </w:tc>
        <w:tc>
          <w:tcPr>
            <w:tcW w:w="578" w:type="pct"/>
            <w:vAlign w:val="center"/>
          </w:tcPr>
          <w:p w14:paraId="76406830">
            <w:pPr>
              <w:spacing w:line="280" w:lineRule="exact"/>
              <w:jc w:val="center"/>
              <w:rPr>
                <w:rFonts w:ascii="Times New Roman" w:eastAsia="仿宋"/>
              </w:rPr>
            </w:pPr>
            <w:r>
              <w:rPr>
                <w:rFonts w:ascii="Times New Roman" w:eastAsia="仿宋"/>
              </w:rPr>
              <w:t>Ⅴ类</w:t>
            </w:r>
          </w:p>
        </w:tc>
      </w:tr>
      <w:tr w14:paraId="5289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75B4950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pH</w:t>
            </w:r>
          </w:p>
        </w:tc>
        <w:tc>
          <w:tcPr>
            <w:tcW w:w="970" w:type="pct"/>
            <w:vAlign w:val="center"/>
          </w:tcPr>
          <w:p w14:paraId="620C998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无量纲</w:t>
            </w:r>
          </w:p>
        </w:tc>
        <w:tc>
          <w:tcPr>
            <w:tcW w:w="1657" w:type="pct"/>
            <w:gridSpan w:val="3"/>
            <w:vAlign w:val="center"/>
          </w:tcPr>
          <w:p w14:paraId="22226440">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6.5≤PH≤8.5</w:t>
            </w:r>
          </w:p>
        </w:tc>
        <w:tc>
          <w:tcPr>
            <w:tcW w:w="832" w:type="pct"/>
            <w:vAlign w:val="center"/>
          </w:tcPr>
          <w:p w14:paraId="0D5C1AA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5.5≤PH&lt;6.5</w:t>
            </w:r>
          </w:p>
          <w:p w14:paraId="2673669B">
            <w:pPr>
              <w:adjustRightInd w:val="0"/>
              <w:snapToGrid w:val="0"/>
              <w:jc w:val="center"/>
              <w:rPr>
                <w:rFonts w:ascii="Times New Roman" w:eastAsia="仿宋"/>
                <w:bCs/>
                <w:szCs w:val="24"/>
              </w:rPr>
            </w:pPr>
            <w:r>
              <w:rPr>
                <w:rFonts w:ascii="Times New Roman" w:eastAsia="仿宋"/>
                <w:bCs/>
                <w:szCs w:val="24"/>
              </w:rPr>
              <w:t>8.5&lt;PH≤9.0</w:t>
            </w:r>
          </w:p>
        </w:tc>
        <w:tc>
          <w:tcPr>
            <w:tcW w:w="578" w:type="pct"/>
            <w:vAlign w:val="center"/>
          </w:tcPr>
          <w:p w14:paraId="43FA3AB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＜5.5或</w:t>
            </w:r>
          </w:p>
          <w:p w14:paraId="4D970BE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＞9.0</w:t>
            </w:r>
          </w:p>
        </w:tc>
      </w:tr>
      <w:tr w14:paraId="56CA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BCC3C8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总硬度（以CaCO</w:t>
            </w:r>
            <w:r>
              <w:rPr>
                <w:rFonts w:ascii="Times New Roman" w:eastAsia="仿宋"/>
                <w:bCs/>
                <w:szCs w:val="24"/>
                <w:vertAlign w:val="subscript"/>
              </w:rPr>
              <w:t>3</w:t>
            </w:r>
            <w:r>
              <w:rPr>
                <w:rFonts w:ascii="Times New Roman" w:eastAsia="仿宋"/>
                <w:bCs/>
                <w:szCs w:val="24"/>
              </w:rPr>
              <w:t>计）</w:t>
            </w:r>
          </w:p>
        </w:tc>
        <w:tc>
          <w:tcPr>
            <w:tcW w:w="970" w:type="pct"/>
            <w:vAlign w:val="center"/>
          </w:tcPr>
          <w:p w14:paraId="1E63F29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59E04EEF">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≤150</w:t>
            </w:r>
          </w:p>
        </w:tc>
        <w:tc>
          <w:tcPr>
            <w:tcW w:w="502" w:type="pct"/>
            <w:vAlign w:val="center"/>
          </w:tcPr>
          <w:p w14:paraId="7278E07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≤300</w:t>
            </w:r>
          </w:p>
        </w:tc>
        <w:tc>
          <w:tcPr>
            <w:tcW w:w="561" w:type="pct"/>
            <w:vAlign w:val="center"/>
          </w:tcPr>
          <w:p w14:paraId="6AE3DED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≤450</w:t>
            </w:r>
          </w:p>
        </w:tc>
        <w:tc>
          <w:tcPr>
            <w:tcW w:w="832" w:type="pct"/>
            <w:vAlign w:val="center"/>
          </w:tcPr>
          <w:p w14:paraId="6EA92D0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≤650</w:t>
            </w:r>
          </w:p>
        </w:tc>
        <w:tc>
          <w:tcPr>
            <w:tcW w:w="578" w:type="pct"/>
            <w:vAlign w:val="center"/>
          </w:tcPr>
          <w:p w14:paraId="5C855FE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&gt;650</w:t>
            </w:r>
          </w:p>
        </w:tc>
      </w:tr>
      <w:tr w14:paraId="326B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00334B3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高锰酸盐指数</w:t>
            </w:r>
          </w:p>
        </w:tc>
        <w:tc>
          <w:tcPr>
            <w:tcW w:w="970" w:type="pct"/>
            <w:vAlign w:val="center"/>
          </w:tcPr>
          <w:p w14:paraId="1CEF60CF">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6ADA344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w:t>
            </w:r>
          </w:p>
        </w:tc>
        <w:tc>
          <w:tcPr>
            <w:tcW w:w="502" w:type="pct"/>
            <w:vAlign w:val="center"/>
          </w:tcPr>
          <w:p w14:paraId="6548EB9F">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w:t>
            </w:r>
          </w:p>
        </w:tc>
        <w:tc>
          <w:tcPr>
            <w:tcW w:w="561" w:type="pct"/>
            <w:vAlign w:val="center"/>
          </w:tcPr>
          <w:p w14:paraId="0DD2FF4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w:t>
            </w:r>
          </w:p>
        </w:tc>
        <w:tc>
          <w:tcPr>
            <w:tcW w:w="832" w:type="pct"/>
            <w:vAlign w:val="center"/>
          </w:tcPr>
          <w:p w14:paraId="2012EC4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578" w:type="pct"/>
            <w:vAlign w:val="center"/>
          </w:tcPr>
          <w:p w14:paraId="3DB1B8D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&gt;10.0</w:t>
            </w:r>
          </w:p>
        </w:tc>
      </w:tr>
      <w:tr w14:paraId="6ED7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BEF5F5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溶解性总固体</w:t>
            </w:r>
          </w:p>
        </w:tc>
        <w:tc>
          <w:tcPr>
            <w:tcW w:w="970" w:type="pct"/>
            <w:vAlign w:val="center"/>
          </w:tcPr>
          <w:p w14:paraId="71A8E3C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5A501B4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≤300</w:t>
            </w:r>
          </w:p>
        </w:tc>
        <w:tc>
          <w:tcPr>
            <w:tcW w:w="502" w:type="pct"/>
            <w:vAlign w:val="center"/>
          </w:tcPr>
          <w:p w14:paraId="091FCBB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≤500</w:t>
            </w:r>
          </w:p>
        </w:tc>
        <w:tc>
          <w:tcPr>
            <w:tcW w:w="561" w:type="pct"/>
            <w:vAlign w:val="center"/>
          </w:tcPr>
          <w:p w14:paraId="70DA6258">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≤1000</w:t>
            </w:r>
          </w:p>
        </w:tc>
        <w:tc>
          <w:tcPr>
            <w:tcW w:w="832" w:type="pct"/>
            <w:vAlign w:val="center"/>
          </w:tcPr>
          <w:p w14:paraId="1A4EB24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≤2000</w:t>
            </w:r>
          </w:p>
        </w:tc>
        <w:tc>
          <w:tcPr>
            <w:tcW w:w="578" w:type="pct"/>
            <w:vAlign w:val="center"/>
          </w:tcPr>
          <w:p w14:paraId="0701EE0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&gt;2000</w:t>
            </w:r>
          </w:p>
        </w:tc>
      </w:tr>
      <w:tr w14:paraId="5FB8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AEB499B">
            <w:pPr>
              <w:autoSpaceDE w:val="0"/>
              <w:autoSpaceDN w:val="0"/>
              <w:adjustRightInd w:val="0"/>
              <w:snapToGrid w:val="0"/>
              <w:jc w:val="center"/>
              <w:textAlignment w:val="baseline"/>
              <w:rPr>
                <w:rFonts w:ascii="Times New Roman" w:eastAsia="仿宋"/>
                <w:bCs/>
                <w:szCs w:val="24"/>
              </w:rPr>
            </w:pPr>
            <w:r>
              <w:rPr>
                <w:rFonts w:ascii="Times New Roman" w:eastAsia="仿宋"/>
                <w:szCs w:val="24"/>
              </w:rPr>
              <w:t>硫酸盐</w:t>
            </w:r>
          </w:p>
        </w:tc>
        <w:tc>
          <w:tcPr>
            <w:tcW w:w="970" w:type="pct"/>
            <w:vAlign w:val="center"/>
          </w:tcPr>
          <w:p w14:paraId="2877C0BE">
            <w:pPr>
              <w:autoSpaceDE w:val="0"/>
              <w:autoSpaceDN w:val="0"/>
              <w:adjustRightInd w:val="0"/>
              <w:snapToGrid w:val="0"/>
              <w:jc w:val="center"/>
              <w:textAlignment w:val="baseline"/>
              <w:rPr>
                <w:rFonts w:ascii="Times New Roman" w:eastAsia="仿宋"/>
                <w:b/>
                <w:szCs w:val="24"/>
              </w:rPr>
            </w:pPr>
            <w:r>
              <w:rPr>
                <w:rFonts w:ascii="Times New Roman" w:eastAsia="仿宋"/>
                <w:bCs/>
                <w:szCs w:val="24"/>
              </w:rPr>
              <w:t>mg/L</w:t>
            </w:r>
          </w:p>
        </w:tc>
        <w:tc>
          <w:tcPr>
            <w:tcW w:w="595" w:type="pct"/>
            <w:vAlign w:val="center"/>
          </w:tcPr>
          <w:p w14:paraId="04C5FA7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≤50</w:t>
            </w:r>
          </w:p>
        </w:tc>
        <w:tc>
          <w:tcPr>
            <w:tcW w:w="502" w:type="pct"/>
            <w:vAlign w:val="center"/>
          </w:tcPr>
          <w:p w14:paraId="48CDC14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≤150</w:t>
            </w:r>
          </w:p>
        </w:tc>
        <w:tc>
          <w:tcPr>
            <w:tcW w:w="561" w:type="pct"/>
            <w:vAlign w:val="center"/>
          </w:tcPr>
          <w:p w14:paraId="7DACBA6C">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≤250</w:t>
            </w:r>
          </w:p>
        </w:tc>
        <w:tc>
          <w:tcPr>
            <w:tcW w:w="832" w:type="pct"/>
            <w:vAlign w:val="center"/>
          </w:tcPr>
          <w:p w14:paraId="14FFDFB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≤350</w:t>
            </w:r>
          </w:p>
        </w:tc>
        <w:tc>
          <w:tcPr>
            <w:tcW w:w="578" w:type="pct"/>
            <w:vAlign w:val="center"/>
          </w:tcPr>
          <w:p w14:paraId="0F5347D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&gt;350</w:t>
            </w:r>
          </w:p>
        </w:tc>
      </w:tr>
      <w:tr w14:paraId="6658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4F6FC80">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氯化物</w:t>
            </w:r>
          </w:p>
        </w:tc>
        <w:tc>
          <w:tcPr>
            <w:tcW w:w="970" w:type="pct"/>
            <w:vAlign w:val="center"/>
          </w:tcPr>
          <w:p w14:paraId="05A41A0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63A35D8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≤50</w:t>
            </w:r>
          </w:p>
        </w:tc>
        <w:tc>
          <w:tcPr>
            <w:tcW w:w="502" w:type="pct"/>
            <w:vAlign w:val="center"/>
          </w:tcPr>
          <w:p w14:paraId="356BE31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≤150</w:t>
            </w:r>
          </w:p>
        </w:tc>
        <w:tc>
          <w:tcPr>
            <w:tcW w:w="561" w:type="pct"/>
            <w:vAlign w:val="center"/>
          </w:tcPr>
          <w:p w14:paraId="2AAACD7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≤250</w:t>
            </w:r>
          </w:p>
        </w:tc>
        <w:tc>
          <w:tcPr>
            <w:tcW w:w="832" w:type="pct"/>
            <w:vAlign w:val="center"/>
          </w:tcPr>
          <w:p w14:paraId="6D940F8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≤350</w:t>
            </w:r>
          </w:p>
        </w:tc>
        <w:tc>
          <w:tcPr>
            <w:tcW w:w="578" w:type="pct"/>
            <w:vAlign w:val="center"/>
          </w:tcPr>
          <w:p w14:paraId="31C2469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&gt;350</w:t>
            </w:r>
          </w:p>
        </w:tc>
      </w:tr>
      <w:tr w14:paraId="072D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15B69FC">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铁</w:t>
            </w:r>
          </w:p>
        </w:tc>
        <w:tc>
          <w:tcPr>
            <w:tcW w:w="970" w:type="pct"/>
            <w:vAlign w:val="center"/>
          </w:tcPr>
          <w:p w14:paraId="1F8C601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70283838">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≤0.1</w:t>
            </w:r>
          </w:p>
        </w:tc>
        <w:tc>
          <w:tcPr>
            <w:tcW w:w="502" w:type="pct"/>
            <w:vAlign w:val="center"/>
          </w:tcPr>
          <w:p w14:paraId="6FA0D73C">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≤0.2</w:t>
            </w:r>
          </w:p>
        </w:tc>
        <w:tc>
          <w:tcPr>
            <w:tcW w:w="561" w:type="pct"/>
            <w:vAlign w:val="center"/>
          </w:tcPr>
          <w:p w14:paraId="47A6C38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≤0.3</w:t>
            </w:r>
          </w:p>
        </w:tc>
        <w:tc>
          <w:tcPr>
            <w:tcW w:w="832" w:type="pct"/>
            <w:vAlign w:val="center"/>
          </w:tcPr>
          <w:p w14:paraId="576B8A5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w:t>
            </w:r>
          </w:p>
        </w:tc>
        <w:tc>
          <w:tcPr>
            <w:tcW w:w="578" w:type="pct"/>
            <w:vAlign w:val="center"/>
          </w:tcPr>
          <w:p w14:paraId="394DEEB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&gt;2.0</w:t>
            </w:r>
          </w:p>
        </w:tc>
      </w:tr>
      <w:tr w14:paraId="10C2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pct"/>
            <w:vAlign w:val="center"/>
          </w:tcPr>
          <w:p w14:paraId="4156F2C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锰</w:t>
            </w:r>
          </w:p>
        </w:tc>
        <w:tc>
          <w:tcPr>
            <w:tcW w:w="970" w:type="pct"/>
            <w:vAlign w:val="center"/>
          </w:tcPr>
          <w:p w14:paraId="0234896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097A13F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≤0.05</w:t>
            </w:r>
          </w:p>
        </w:tc>
        <w:tc>
          <w:tcPr>
            <w:tcW w:w="502" w:type="pct"/>
            <w:vAlign w:val="center"/>
          </w:tcPr>
          <w:p w14:paraId="4F58804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≤0.05</w:t>
            </w:r>
          </w:p>
        </w:tc>
        <w:tc>
          <w:tcPr>
            <w:tcW w:w="561" w:type="pct"/>
            <w:vAlign w:val="center"/>
          </w:tcPr>
          <w:p w14:paraId="2202DFB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≤0.10</w:t>
            </w:r>
          </w:p>
        </w:tc>
        <w:tc>
          <w:tcPr>
            <w:tcW w:w="832" w:type="pct"/>
            <w:vAlign w:val="center"/>
          </w:tcPr>
          <w:p w14:paraId="2CA8AB80">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≤1.50</w:t>
            </w:r>
          </w:p>
        </w:tc>
        <w:tc>
          <w:tcPr>
            <w:tcW w:w="578" w:type="pct"/>
            <w:vAlign w:val="center"/>
          </w:tcPr>
          <w:p w14:paraId="1424C1D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&gt;1.50</w:t>
            </w:r>
          </w:p>
        </w:tc>
      </w:tr>
      <w:tr w14:paraId="38B1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0A23A5A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挥发性酚类</w:t>
            </w:r>
          </w:p>
          <w:p w14:paraId="379CE00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（以苯酚计）</w:t>
            </w:r>
          </w:p>
        </w:tc>
        <w:tc>
          <w:tcPr>
            <w:tcW w:w="970" w:type="pct"/>
            <w:vAlign w:val="center"/>
          </w:tcPr>
          <w:p w14:paraId="4694983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4AA5D76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≤0.001</w:t>
            </w:r>
          </w:p>
        </w:tc>
        <w:tc>
          <w:tcPr>
            <w:tcW w:w="502" w:type="pct"/>
            <w:vAlign w:val="center"/>
          </w:tcPr>
          <w:p w14:paraId="1436ACC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≤0.001</w:t>
            </w:r>
          </w:p>
        </w:tc>
        <w:tc>
          <w:tcPr>
            <w:tcW w:w="561" w:type="pct"/>
            <w:vAlign w:val="center"/>
          </w:tcPr>
          <w:p w14:paraId="2470C24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≤0.002</w:t>
            </w:r>
          </w:p>
        </w:tc>
        <w:tc>
          <w:tcPr>
            <w:tcW w:w="832" w:type="pct"/>
            <w:vAlign w:val="center"/>
          </w:tcPr>
          <w:p w14:paraId="57FEC66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≤0.01</w:t>
            </w:r>
          </w:p>
        </w:tc>
        <w:tc>
          <w:tcPr>
            <w:tcW w:w="578" w:type="pct"/>
            <w:vAlign w:val="center"/>
          </w:tcPr>
          <w:p w14:paraId="01B7934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&gt;0.01</w:t>
            </w:r>
          </w:p>
        </w:tc>
      </w:tr>
      <w:tr w14:paraId="2CC3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567CA500">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氨氮</w:t>
            </w:r>
          </w:p>
        </w:tc>
        <w:tc>
          <w:tcPr>
            <w:tcW w:w="970" w:type="pct"/>
            <w:vAlign w:val="center"/>
          </w:tcPr>
          <w:p w14:paraId="0AE6BD6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20AF0DA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≤0.02</w:t>
            </w:r>
          </w:p>
        </w:tc>
        <w:tc>
          <w:tcPr>
            <w:tcW w:w="502" w:type="pct"/>
            <w:vAlign w:val="center"/>
          </w:tcPr>
          <w:p w14:paraId="5C502AA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≤0.10</w:t>
            </w:r>
          </w:p>
        </w:tc>
        <w:tc>
          <w:tcPr>
            <w:tcW w:w="561" w:type="pct"/>
            <w:vAlign w:val="center"/>
          </w:tcPr>
          <w:p w14:paraId="62C001A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≤0.50</w:t>
            </w:r>
          </w:p>
        </w:tc>
        <w:tc>
          <w:tcPr>
            <w:tcW w:w="832" w:type="pct"/>
            <w:vAlign w:val="center"/>
          </w:tcPr>
          <w:p w14:paraId="69FD713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≤1.50</w:t>
            </w:r>
          </w:p>
        </w:tc>
        <w:tc>
          <w:tcPr>
            <w:tcW w:w="578" w:type="pct"/>
            <w:vAlign w:val="center"/>
          </w:tcPr>
          <w:p w14:paraId="3C18AB4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&gt;1.50</w:t>
            </w:r>
          </w:p>
        </w:tc>
      </w:tr>
      <w:tr w14:paraId="37E1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7CF0F806">
            <w:pPr>
              <w:autoSpaceDE w:val="0"/>
              <w:autoSpaceDN w:val="0"/>
              <w:adjustRightInd w:val="0"/>
              <w:snapToGrid w:val="0"/>
              <w:jc w:val="center"/>
              <w:textAlignment w:val="baseline"/>
              <w:rPr>
                <w:rFonts w:ascii="Times New Roman" w:eastAsia="仿宋"/>
                <w:bCs/>
                <w:szCs w:val="24"/>
              </w:rPr>
            </w:pPr>
            <w:r>
              <w:rPr>
                <w:rFonts w:ascii="Times New Roman" w:eastAsia="仿宋"/>
                <w:szCs w:val="24"/>
              </w:rPr>
              <w:t>总大肠杆菌群</w:t>
            </w:r>
          </w:p>
        </w:tc>
        <w:tc>
          <w:tcPr>
            <w:tcW w:w="970" w:type="pct"/>
            <w:vAlign w:val="center"/>
          </w:tcPr>
          <w:p w14:paraId="128F0AB7">
            <w:pPr>
              <w:adjustRightInd w:val="0"/>
              <w:snapToGrid w:val="0"/>
              <w:jc w:val="center"/>
              <w:rPr>
                <w:rFonts w:ascii="Times New Roman" w:eastAsia="仿宋"/>
                <w:bCs/>
                <w:szCs w:val="24"/>
              </w:rPr>
            </w:pPr>
            <w:r>
              <w:rPr>
                <w:rFonts w:ascii="Times New Roman" w:eastAsia="仿宋"/>
                <w:szCs w:val="24"/>
              </w:rPr>
              <w:t>MPN</w:t>
            </w:r>
            <w:r>
              <w:rPr>
                <w:rFonts w:ascii="Times New Roman" w:eastAsia="仿宋"/>
                <w:szCs w:val="24"/>
                <w:vertAlign w:val="superscript"/>
              </w:rPr>
              <w:t>b</w:t>
            </w:r>
            <w:r>
              <w:rPr>
                <w:rFonts w:ascii="Times New Roman" w:eastAsia="仿宋"/>
                <w:szCs w:val="24"/>
              </w:rPr>
              <w:t>/100mL或CFU/100mL</w:t>
            </w:r>
          </w:p>
        </w:tc>
        <w:tc>
          <w:tcPr>
            <w:tcW w:w="595" w:type="pct"/>
            <w:vAlign w:val="center"/>
          </w:tcPr>
          <w:p w14:paraId="718F2CA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w:t>
            </w:r>
          </w:p>
        </w:tc>
        <w:tc>
          <w:tcPr>
            <w:tcW w:w="502" w:type="pct"/>
            <w:vAlign w:val="center"/>
          </w:tcPr>
          <w:p w14:paraId="72ACE14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w:t>
            </w:r>
          </w:p>
        </w:tc>
        <w:tc>
          <w:tcPr>
            <w:tcW w:w="561" w:type="pct"/>
            <w:vAlign w:val="center"/>
          </w:tcPr>
          <w:p w14:paraId="28B4AC6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w:t>
            </w:r>
          </w:p>
        </w:tc>
        <w:tc>
          <w:tcPr>
            <w:tcW w:w="832" w:type="pct"/>
            <w:vAlign w:val="center"/>
          </w:tcPr>
          <w:p w14:paraId="79BDDC1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578" w:type="pct"/>
            <w:vAlign w:val="center"/>
          </w:tcPr>
          <w:p w14:paraId="0367C64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&gt;100</w:t>
            </w:r>
          </w:p>
        </w:tc>
      </w:tr>
      <w:tr w14:paraId="3F41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5D8E6B44">
            <w:pPr>
              <w:autoSpaceDE w:val="0"/>
              <w:autoSpaceDN w:val="0"/>
              <w:adjustRightInd w:val="0"/>
              <w:snapToGrid w:val="0"/>
              <w:jc w:val="center"/>
              <w:textAlignment w:val="baseline"/>
              <w:rPr>
                <w:rFonts w:ascii="Times New Roman" w:eastAsia="仿宋"/>
                <w:bCs/>
                <w:szCs w:val="24"/>
              </w:rPr>
            </w:pPr>
            <w:r>
              <w:rPr>
                <w:rFonts w:ascii="Times New Roman" w:eastAsia="仿宋"/>
                <w:szCs w:val="24"/>
              </w:rPr>
              <w:t>菌落总数</w:t>
            </w:r>
          </w:p>
        </w:tc>
        <w:tc>
          <w:tcPr>
            <w:tcW w:w="970" w:type="pct"/>
            <w:vAlign w:val="center"/>
          </w:tcPr>
          <w:p w14:paraId="194BAE48">
            <w:pPr>
              <w:adjustRightInd w:val="0"/>
              <w:snapToGrid w:val="0"/>
              <w:jc w:val="center"/>
              <w:rPr>
                <w:rFonts w:ascii="Times New Roman" w:eastAsia="仿宋"/>
                <w:bCs/>
                <w:szCs w:val="24"/>
              </w:rPr>
            </w:pPr>
            <w:r>
              <w:rPr>
                <w:rFonts w:ascii="Times New Roman" w:eastAsia="仿宋"/>
                <w:szCs w:val="24"/>
              </w:rPr>
              <w:t>CFU/mL</w:t>
            </w:r>
          </w:p>
        </w:tc>
        <w:tc>
          <w:tcPr>
            <w:tcW w:w="595" w:type="pct"/>
            <w:vAlign w:val="center"/>
          </w:tcPr>
          <w:p w14:paraId="7BA6AB6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502" w:type="pct"/>
            <w:vAlign w:val="center"/>
          </w:tcPr>
          <w:p w14:paraId="2BED7FEC">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561" w:type="pct"/>
            <w:vAlign w:val="center"/>
          </w:tcPr>
          <w:p w14:paraId="1C6AD3A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832" w:type="pct"/>
            <w:vAlign w:val="center"/>
          </w:tcPr>
          <w:p w14:paraId="59AE9D2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≤1000</w:t>
            </w:r>
          </w:p>
        </w:tc>
        <w:tc>
          <w:tcPr>
            <w:tcW w:w="578" w:type="pct"/>
            <w:vAlign w:val="center"/>
          </w:tcPr>
          <w:p w14:paraId="66C27EB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&gt;1000</w:t>
            </w:r>
          </w:p>
        </w:tc>
      </w:tr>
      <w:tr w14:paraId="1264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35E5B57">
            <w:pPr>
              <w:autoSpaceDE w:val="0"/>
              <w:autoSpaceDN w:val="0"/>
              <w:adjustRightInd w:val="0"/>
              <w:snapToGrid w:val="0"/>
              <w:jc w:val="center"/>
              <w:textAlignment w:val="baseline"/>
              <w:rPr>
                <w:rFonts w:ascii="Times New Roman" w:eastAsia="仿宋"/>
                <w:bCs/>
                <w:szCs w:val="24"/>
              </w:rPr>
            </w:pPr>
            <w:r>
              <w:rPr>
                <w:rFonts w:ascii="Times New Roman" w:eastAsia="仿宋"/>
                <w:szCs w:val="24"/>
              </w:rPr>
              <w:t>亚硝酸盐(以N计)</w:t>
            </w:r>
          </w:p>
        </w:tc>
        <w:tc>
          <w:tcPr>
            <w:tcW w:w="970" w:type="pct"/>
            <w:vAlign w:val="center"/>
          </w:tcPr>
          <w:p w14:paraId="5D1F101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6833C3A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≤0.01</w:t>
            </w:r>
          </w:p>
        </w:tc>
        <w:tc>
          <w:tcPr>
            <w:tcW w:w="502" w:type="pct"/>
            <w:vAlign w:val="center"/>
          </w:tcPr>
          <w:p w14:paraId="4C9377C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≤0.10</w:t>
            </w:r>
          </w:p>
        </w:tc>
        <w:tc>
          <w:tcPr>
            <w:tcW w:w="561" w:type="pct"/>
            <w:vAlign w:val="center"/>
          </w:tcPr>
          <w:p w14:paraId="577A982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≤1.00</w:t>
            </w:r>
          </w:p>
        </w:tc>
        <w:tc>
          <w:tcPr>
            <w:tcW w:w="832" w:type="pct"/>
            <w:vAlign w:val="center"/>
          </w:tcPr>
          <w:p w14:paraId="17B030E9">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≤4.80</w:t>
            </w:r>
          </w:p>
        </w:tc>
        <w:tc>
          <w:tcPr>
            <w:tcW w:w="578" w:type="pct"/>
            <w:vAlign w:val="center"/>
          </w:tcPr>
          <w:p w14:paraId="553D204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&gt;4.80</w:t>
            </w:r>
          </w:p>
        </w:tc>
      </w:tr>
      <w:tr w14:paraId="31FB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04380E7">
            <w:pPr>
              <w:autoSpaceDE w:val="0"/>
              <w:autoSpaceDN w:val="0"/>
              <w:adjustRightInd w:val="0"/>
              <w:snapToGrid w:val="0"/>
              <w:jc w:val="center"/>
              <w:textAlignment w:val="baseline"/>
              <w:rPr>
                <w:rFonts w:ascii="Times New Roman" w:eastAsia="仿宋"/>
                <w:bCs/>
                <w:szCs w:val="24"/>
              </w:rPr>
            </w:pPr>
            <w:r>
              <w:rPr>
                <w:rFonts w:ascii="Times New Roman" w:eastAsia="仿宋"/>
                <w:szCs w:val="24"/>
              </w:rPr>
              <w:t>硝酸盐(以N计)</w:t>
            </w:r>
          </w:p>
        </w:tc>
        <w:tc>
          <w:tcPr>
            <w:tcW w:w="970" w:type="pct"/>
            <w:vAlign w:val="center"/>
          </w:tcPr>
          <w:p w14:paraId="2F49F6D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115DB956">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w:t>
            </w:r>
          </w:p>
        </w:tc>
        <w:tc>
          <w:tcPr>
            <w:tcW w:w="502" w:type="pct"/>
            <w:vAlign w:val="center"/>
          </w:tcPr>
          <w:p w14:paraId="36833F0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≤5.0</w:t>
            </w:r>
          </w:p>
        </w:tc>
        <w:tc>
          <w:tcPr>
            <w:tcW w:w="561" w:type="pct"/>
            <w:vAlign w:val="center"/>
          </w:tcPr>
          <w:p w14:paraId="264B026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≤20.0</w:t>
            </w:r>
          </w:p>
        </w:tc>
        <w:tc>
          <w:tcPr>
            <w:tcW w:w="832" w:type="pct"/>
            <w:vAlign w:val="center"/>
          </w:tcPr>
          <w:p w14:paraId="02103BF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≤30.0</w:t>
            </w:r>
          </w:p>
        </w:tc>
        <w:tc>
          <w:tcPr>
            <w:tcW w:w="578" w:type="pct"/>
            <w:vAlign w:val="center"/>
          </w:tcPr>
          <w:p w14:paraId="12D42D7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&gt;30.0</w:t>
            </w:r>
          </w:p>
        </w:tc>
      </w:tr>
      <w:tr w14:paraId="4B6B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C08378C">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氰化物</w:t>
            </w:r>
          </w:p>
        </w:tc>
        <w:tc>
          <w:tcPr>
            <w:tcW w:w="970" w:type="pct"/>
            <w:vAlign w:val="center"/>
          </w:tcPr>
          <w:p w14:paraId="0A58DAEB">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68548F1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≤0.001</w:t>
            </w:r>
          </w:p>
        </w:tc>
        <w:tc>
          <w:tcPr>
            <w:tcW w:w="502" w:type="pct"/>
            <w:vAlign w:val="center"/>
          </w:tcPr>
          <w:p w14:paraId="1DFE975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≤0.01</w:t>
            </w:r>
          </w:p>
        </w:tc>
        <w:tc>
          <w:tcPr>
            <w:tcW w:w="561" w:type="pct"/>
            <w:vAlign w:val="center"/>
          </w:tcPr>
          <w:p w14:paraId="31725578">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≤0.05</w:t>
            </w:r>
          </w:p>
        </w:tc>
        <w:tc>
          <w:tcPr>
            <w:tcW w:w="832" w:type="pct"/>
            <w:vAlign w:val="center"/>
          </w:tcPr>
          <w:p w14:paraId="5CF503C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≤0.1</w:t>
            </w:r>
          </w:p>
        </w:tc>
        <w:tc>
          <w:tcPr>
            <w:tcW w:w="578" w:type="pct"/>
            <w:vAlign w:val="center"/>
          </w:tcPr>
          <w:p w14:paraId="3C96515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&gt;0.1</w:t>
            </w:r>
          </w:p>
        </w:tc>
      </w:tr>
      <w:tr w14:paraId="4F8F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1BDB31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氟化物</w:t>
            </w:r>
          </w:p>
        </w:tc>
        <w:tc>
          <w:tcPr>
            <w:tcW w:w="970" w:type="pct"/>
            <w:vAlign w:val="center"/>
          </w:tcPr>
          <w:p w14:paraId="7BF1E2F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17F2EBA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w:t>
            </w:r>
          </w:p>
        </w:tc>
        <w:tc>
          <w:tcPr>
            <w:tcW w:w="502" w:type="pct"/>
            <w:vAlign w:val="center"/>
          </w:tcPr>
          <w:p w14:paraId="237988D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w:t>
            </w:r>
          </w:p>
        </w:tc>
        <w:tc>
          <w:tcPr>
            <w:tcW w:w="561" w:type="pct"/>
            <w:vAlign w:val="center"/>
          </w:tcPr>
          <w:p w14:paraId="6DD1FFD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≤1.0</w:t>
            </w:r>
          </w:p>
        </w:tc>
        <w:tc>
          <w:tcPr>
            <w:tcW w:w="832" w:type="pct"/>
            <w:vAlign w:val="center"/>
          </w:tcPr>
          <w:p w14:paraId="05D3830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≤2.0</w:t>
            </w:r>
          </w:p>
        </w:tc>
        <w:tc>
          <w:tcPr>
            <w:tcW w:w="578" w:type="pct"/>
            <w:vAlign w:val="center"/>
          </w:tcPr>
          <w:p w14:paraId="26F8669F">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&gt;2.0</w:t>
            </w:r>
          </w:p>
        </w:tc>
      </w:tr>
      <w:tr w14:paraId="0D2C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3DB30A1">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汞</w:t>
            </w:r>
          </w:p>
        </w:tc>
        <w:tc>
          <w:tcPr>
            <w:tcW w:w="970" w:type="pct"/>
            <w:vAlign w:val="center"/>
          </w:tcPr>
          <w:p w14:paraId="3CA13CF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1EE0612B">
            <w:pPr>
              <w:adjustRightInd w:val="0"/>
              <w:snapToGrid w:val="0"/>
              <w:jc w:val="center"/>
              <w:rPr>
                <w:rFonts w:ascii="Times New Roman" w:eastAsia="仿宋"/>
                <w:szCs w:val="24"/>
              </w:rPr>
            </w:pPr>
            <w:r>
              <w:rPr>
                <w:rFonts w:ascii="Times New Roman" w:eastAsia="仿宋"/>
                <w:bCs/>
                <w:szCs w:val="24"/>
              </w:rPr>
              <w:t>≤0.0001</w:t>
            </w:r>
          </w:p>
        </w:tc>
        <w:tc>
          <w:tcPr>
            <w:tcW w:w="502" w:type="pct"/>
            <w:vAlign w:val="center"/>
          </w:tcPr>
          <w:p w14:paraId="65D13F64">
            <w:pPr>
              <w:adjustRightInd w:val="0"/>
              <w:snapToGrid w:val="0"/>
              <w:jc w:val="center"/>
              <w:rPr>
                <w:rFonts w:ascii="Times New Roman" w:eastAsia="仿宋"/>
                <w:szCs w:val="24"/>
              </w:rPr>
            </w:pPr>
            <w:r>
              <w:rPr>
                <w:rFonts w:ascii="Times New Roman" w:eastAsia="仿宋"/>
                <w:bCs/>
                <w:szCs w:val="24"/>
              </w:rPr>
              <w:t>≤0.0001</w:t>
            </w:r>
          </w:p>
        </w:tc>
        <w:tc>
          <w:tcPr>
            <w:tcW w:w="561" w:type="pct"/>
            <w:vAlign w:val="center"/>
          </w:tcPr>
          <w:p w14:paraId="5AC0B147">
            <w:pPr>
              <w:adjustRightInd w:val="0"/>
              <w:snapToGrid w:val="0"/>
              <w:jc w:val="center"/>
              <w:rPr>
                <w:rFonts w:ascii="Times New Roman" w:eastAsia="仿宋"/>
                <w:szCs w:val="24"/>
              </w:rPr>
            </w:pPr>
            <w:r>
              <w:rPr>
                <w:rFonts w:ascii="Times New Roman" w:eastAsia="仿宋"/>
                <w:bCs/>
                <w:szCs w:val="24"/>
              </w:rPr>
              <w:t>≤0.001</w:t>
            </w:r>
          </w:p>
        </w:tc>
        <w:tc>
          <w:tcPr>
            <w:tcW w:w="832" w:type="pct"/>
            <w:vAlign w:val="center"/>
          </w:tcPr>
          <w:p w14:paraId="01DB0893">
            <w:pPr>
              <w:adjustRightInd w:val="0"/>
              <w:snapToGrid w:val="0"/>
              <w:jc w:val="center"/>
              <w:rPr>
                <w:rFonts w:ascii="Times New Roman" w:eastAsia="仿宋"/>
                <w:szCs w:val="24"/>
              </w:rPr>
            </w:pPr>
            <w:r>
              <w:rPr>
                <w:rFonts w:ascii="Times New Roman" w:eastAsia="仿宋"/>
                <w:bCs/>
                <w:szCs w:val="24"/>
              </w:rPr>
              <w:t>≤0.002</w:t>
            </w:r>
          </w:p>
        </w:tc>
        <w:tc>
          <w:tcPr>
            <w:tcW w:w="578" w:type="pct"/>
            <w:vAlign w:val="center"/>
          </w:tcPr>
          <w:p w14:paraId="3D1CE5E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&gt;0.002</w:t>
            </w:r>
          </w:p>
        </w:tc>
      </w:tr>
      <w:tr w14:paraId="3433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A68D9E8">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砷</w:t>
            </w:r>
          </w:p>
        </w:tc>
        <w:tc>
          <w:tcPr>
            <w:tcW w:w="970" w:type="pct"/>
            <w:vAlign w:val="center"/>
          </w:tcPr>
          <w:p w14:paraId="3FCDEC4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2C3B7811">
            <w:pPr>
              <w:adjustRightInd w:val="0"/>
              <w:snapToGrid w:val="0"/>
              <w:jc w:val="center"/>
              <w:rPr>
                <w:rFonts w:ascii="Times New Roman" w:eastAsia="仿宋"/>
                <w:szCs w:val="24"/>
              </w:rPr>
            </w:pPr>
            <w:r>
              <w:rPr>
                <w:rFonts w:ascii="Times New Roman" w:eastAsia="仿宋"/>
                <w:bCs/>
                <w:szCs w:val="24"/>
              </w:rPr>
              <w:t>≤0.001</w:t>
            </w:r>
          </w:p>
        </w:tc>
        <w:tc>
          <w:tcPr>
            <w:tcW w:w="502" w:type="pct"/>
            <w:vAlign w:val="center"/>
          </w:tcPr>
          <w:p w14:paraId="6DC2DF76">
            <w:pPr>
              <w:adjustRightInd w:val="0"/>
              <w:snapToGrid w:val="0"/>
              <w:jc w:val="center"/>
              <w:rPr>
                <w:rFonts w:ascii="Times New Roman" w:eastAsia="仿宋"/>
                <w:szCs w:val="24"/>
              </w:rPr>
            </w:pPr>
            <w:r>
              <w:rPr>
                <w:rFonts w:ascii="Times New Roman" w:eastAsia="仿宋"/>
                <w:bCs/>
                <w:szCs w:val="24"/>
              </w:rPr>
              <w:t>≤0.001</w:t>
            </w:r>
          </w:p>
        </w:tc>
        <w:tc>
          <w:tcPr>
            <w:tcW w:w="561" w:type="pct"/>
            <w:vAlign w:val="center"/>
          </w:tcPr>
          <w:p w14:paraId="24688F7E">
            <w:pPr>
              <w:adjustRightInd w:val="0"/>
              <w:snapToGrid w:val="0"/>
              <w:jc w:val="center"/>
              <w:rPr>
                <w:rFonts w:ascii="Times New Roman" w:eastAsia="仿宋"/>
                <w:szCs w:val="24"/>
              </w:rPr>
            </w:pPr>
            <w:r>
              <w:rPr>
                <w:rFonts w:ascii="Times New Roman" w:eastAsia="仿宋"/>
                <w:bCs/>
                <w:szCs w:val="24"/>
              </w:rPr>
              <w:t>≤0.01</w:t>
            </w:r>
          </w:p>
        </w:tc>
        <w:tc>
          <w:tcPr>
            <w:tcW w:w="832" w:type="pct"/>
            <w:vAlign w:val="center"/>
          </w:tcPr>
          <w:p w14:paraId="5E7F106F">
            <w:pPr>
              <w:adjustRightInd w:val="0"/>
              <w:snapToGrid w:val="0"/>
              <w:jc w:val="center"/>
              <w:rPr>
                <w:rFonts w:ascii="Times New Roman" w:eastAsia="仿宋"/>
                <w:szCs w:val="24"/>
              </w:rPr>
            </w:pPr>
            <w:r>
              <w:rPr>
                <w:rFonts w:ascii="Times New Roman" w:eastAsia="仿宋"/>
                <w:bCs/>
                <w:szCs w:val="24"/>
              </w:rPr>
              <w:t>≤0.05</w:t>
            </w:r>
          </w:p>
        </w:tc>
        <w:tc>
          <w:tcPr>
            <w:tcW w:w="578" w:type="pct"/>
            <w:vAlign w:val="center"/>
          </w:tcPr>
          <w:p w14:paraId="3E35BD1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&gt;0.05</w:t>
            </w:r>
          </w:p>
        </w:tc>
      </w:tr>
      <w:tr w14:paraId="2A11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046C07D">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镉</w:t>
            </w:r>
          </w:p>
        </w:tc>
        <w:tc>
          <w:tcPr>
            <w:tcW w:w="970" w:type="pct"/>
            <w:vAlign w:val="center"/>
          </w:tcPr>
          <w:p w14:paraId="6B765807">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502EBC88">
            <w:pPr>
              <w:adjustRightInd w:val="0"/>
              <w:snapToGrid w:val="0"/>
              <w:jc w:val="center"/>
              <w:rPr>
                <w:rFonts w:ascii="Times New Roman" w:eastAsia="仿宋"/>
                <w:szCs w:val="24"/>
              </w:rPr>
            </w:pPr>
            <w:r>
              <w:rPr>
                <w:rFonts w:ascii="Times New Roman" w:eastAsia="仿宋"/>
                <w:bCs/>
                <w:szCs w:val="24"/>
              </w:rPr>
              <w:t>≤0.0001</w:t>
            </w:r>
          </w:p>
        </w:tc>
        <w:tc>
          <w:tcPr>
            <w:tcW w:w="502" w:type="pct"/>
            <w:vAlign w:val="center"/>
          </w:tcPr>
          <w:p w14:paraId="70F49A0F">
            <w:pPr>
              <w:adjustRightInd w:val="0"/>
              <w:snapToGrid w:val="0"/>
              <w:jc w:val="center"/>
              <w:rPr>
                <w:rFonts w:ascii="Times New Roman" w:eastAsia="仿宋"/>
                <w:szCs w:val="24"/>
              </w:rPr>
            </w:pPr>
            <w:r>
              <w:rPr>
                <w:rFonts w:ascii="Times New Roman" w:eastAsia="仿宋"/>
                <w:bCs/>
                <w:szCs w:val="24"/>
              </w:rPr>
              <w:t>≤0.001</w:t>
            </w:r>
          </w:p>
        </w:tc>
        <w:tc>
          <w:tcPr>
            <w:tcW w:w="561" w:type="pct"/>
            <w:vAlign w:val="center"/>
          </w:tcPr>
          <w:p w14:paraId="56C5425D">
            <w:pPr>
              <w:adjustRightInd w:val="0"/>
              <w:snapToGrid w:val="0"/>
              <w:jc w:val="center"/>
              <w:rPr>
                <w:rFonts w:ascii="Times New Roman" w:eastAsia="仿宋"/>
                <w:szCs w:val="24"/>
              </w:rPr>
            </w:pPr>
            <w:r>
              <w:rPr>
                <w:rFonts w:ascii="Times New Roman" w:eastAsia="仿宋"/>
                <w:bCs/>
                <w:szCs w:val="24"/>
              </w:rPr>
              <w:t>≤0.005</w:t>
            </w:r>
          </w:p>
        </w:tc>
        <w:tc>
          <w:tcPr>
            <w:tcW w:w="832" w:type="pct"/>
            <w:vAlign w:val="center"/>
          </w:tcPr>
          <w:p w14:paraId="67B0612D">
            <w:pPr>
              <w:adjustRightInd w:val="0"/>
              <w:snapToGrid w:val="0"/>
              <w:jc w:val="center"/>
              <w:rPr>
                <w:rFonts w:ascii="Times New Roman" w:eastAsia="仿宋"/>
                <w:szCs w:val="24"/>
              </w:rPr>
            </w:pPr>
            <w:r>
              <w:rPr>
                <w:rFonts w:ascii="Times New Roman" w:eastAsia="仿宋"/>
                <w:bCs/>
                <w:szCs w:val="24"/>
              </w:rPr>
              <w:t>≤0.01</w:t>
            </w:r>
          </w:p>
        </w:tc>
        <w:tc>
          <w:tcPr>
            <w:tcW w:w="578" w:type="pct"/>
            <w:vAlign w:val="center"/>
          </w:tcPr>
          <w:p w14:paraId="42E1CBE3">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&gt;0.01</w:t>
            </w:r>
          </w:p>
        </w:tc>
      </w:tr>
      <w:tr w14:paraId="3BAB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3DED6CBE">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铬（六价）</w:t>
            </w:r>
          </w:p>
        </w:tc>
        <w:tc>
          <w:tcPr>
            <w:tcW w:w="970" w:type="pct"/>
            <w:vAlign w:val="center"/>
          </w:tcPr>
          <w:p w14:paraId="304AA785">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60F7715F">
            <w:pPr>
              <w:adjustRightInd w:val="0"/>
              <w:snapToGrid w:val="0"/>
              <w:jc w:val="center"/>
              <w:rPr>
                <w:rFonts w:ascii="Times New Roman" w:eastAsia="仿宋"/>
                <w:bCs/>
                <w:szCs w:val="24"/>
              </w:rPr>
            </w:pPr>
            <w:r>
              <w:rPr>
                <w:rFonts w:ascii="Times New Roman" w:eastAsia="仿宋"/>
                <w:bCs/>
                <w:szCs w:val="24"/>
              </w:rPr>
              <w:t>≤0.005</w:t>
            </w:r>
          </w:p>
        </w:tc>
        <w:tc>
          <w:tcPr>
            <w:tcW w:w="502" w:type="pct"/>
            <w:vAlign w:val="center"/>
          </w:tcPr>
          <w:p w14:paraId="12EB81C2">
            <w:pPr>
              <w:adjustRightInd w:val="0"/>
              <w:snapToGrid w:val="0"/>
              <w:jc w:val="center"/>
              <w:rPr>
                <w:rFonts w:ascii="Times New Roman" w:eastAsia="仿宋"/>
                <w:szCs w:val="24"/>
              </w:rPr>
            </w:pPr>
            <w:r>
              <w:rPr>
                <w:rFonts w:ascii="Times New Roman" w:eastAsia="仿宋"/>
                <w:bCs/>
                <w:szCs w:val="24"/>
              </w:rPr>
              <w:t>≤0.01</w:t>
            </w:r>
          </w:p>
        </w:tc>
        <w:tc>
          <w:tcPr>
            <w:tcW w:w="561" w:type="pct"/>
            <w:vAlign w:val="center"/>
          </w:tcPr>
          <w:p w14:paraId="3DF29208">
            <w:pPr>
              <w:adjustRightInd w:val="0"/>
              <w:snapToGrid w:val="0"/>
              <w:jc w:val="center"/>
              <w:rPr>
                <w:rFonts w:ascii="Times New Roman" w:eastAsia="仿宋"/>
                <w:szCs w:val="24"/>
              </w:rPr>
            </w:pPr>
            <w:r>
              <w:rPr>
                <w:rFonts w:ascii="Times New Roman" w:eastAsia="仿宋"/>
                <w:bCs/>
                <w:szCs w:val="24"/>
              </w:rPr>
              <w:t>≤0.05</w:t>
            </w:r>
          </w:p>
        </w:tc>
        <w:tc>
          <w:tcPr>
            <w:tcW w:w="832" w:type="pct"/>
            <w:vAlign w:val="center"/>
          </w:tcPr>
          <w:p w14:paraId="643A3480">
            <w:pPr>
              <w:adjustRightInd w:val="0"/>
              <w:snapToGrid w:val="0"/>
              <w:jc w:val="center"/>
              <w:rPr>
                <w:rFonts w:ascii="Times New Roman" w:eastAsia="仿宋"/>
                <w:szCs w:val="24"/>
              </w:rPr>
            </w:pPr>
            <w:r>
              <w:rPr>
                <w:rFonts w:ascii="Times New Roman" w:eastAsia="仿宋"/>
                <w:bCs/>
                <w:szCs w:val="24"/>
              </w:rPr>
              <w:t>≤0.10</w:t>
            </w:r>
          </w:p>
        </w:tc>
        <w:tc>
          <w:tcPr>
            <w:tcW w:w="578" w:type="pct"/>
            <w:vAlign w:val="center"/>
          </w:tcPr>
          <w:p w14:paraId="1FE11DA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&gt;0.10</w:t>
            </w:r>
          </w:p>
        </w:tc>
      </w:tr>
      <w:tr w14:paraId="6B7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4FA29A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铅</w:t>
            </w:r>
          </w:p>
        </w:tc>
        <w:tc>
          <w:tcPr>
            <w:tcW w:w="970" w:type="pct"/>
            <w:vAlign w:val="center"/>
          </w:tcPr>
          <w:p w14:paraId="3C5B2D30">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114B4BAF">
            <w:pPr>
              <w:adjustRightInd w:val="0"/>
              <w:snapToGrid w:val="0"/>
              <w:jc w:val="center"/>
              <w:rPr>
                <w:rFonts w:ascii="Times New Roman" w:eastAsia="仿宋"/>
                <w:bCs/>
                <w:szCs w:val="24"/>
              </w:rPr>
            </w:pPr>
            <w:r>
              <w:rPr>
                <w:rFonts w:ascii="Times New Roman" w:eastAsia="仿宋"/>
                <w:bCs/>
                <w:szCs w:val="24"/>
              </w:rPr>
              <w:t>≤0.005</w:t>
            </w:r>
          </w:p>
        </w:tc>
        <w:tc>
          <w:tcPr>
            <w:tcW w:w="502" w:type="pct"/>
            <w:vAlign w:val="center"/>
          </w:tcPr>
          <w:p w14:paraId="16C6572D">
            <w:pPr>
              <w:adjustRightInd w:val="0"/>
              <w:snapToGrid w:val="0"/>
              <w:jc w:val="center"/>
              <w:rPr>
                <w:rFonts w:ascii="Times New Roman" w:eastAsia="仿宋"/>
                <w:szCs w:val="24"/>
              </w:rPr>
            </w:pPr>
            <w:r>
              <w:rPr>
                <w:rFonts w:ascii="Times New Roman" w:eastAsia="仿宋"/>
                <w:bCs/>
                <w:szCs w:val="24"/>
              </w:rPr>
              <w:t>≤0.005</w:t>
            </w:r>
          </w:p>
        </w:tc>
        <w:tc>
          <w:tcPr>
            <w:tcW w:w="561" w:type="pct"/>
            <w:vAlign w:val="center"/>
          </w:tcPr>
          <w:p w14:paraId="4E2A148D">
            <w:pPr>
              <w:adjustRightInd w:val="0"/>
              <w:snapToGrid w:val="0"/>
              <w:jc w:val="center"/>
              <w:rPr>
                <w:rFonts w:ascii="Times New Roman" w:eastAsia="仿宋"/>
                <w:szCs w:val="24"/>
              </w:rPr>
            </w:pPr>
            <w:r>
              <w:rPr>
                <w:rFonts w:ascii="Times New Roman" w:eastAsia="仿宋"/>
                <w:bCs/>
                <w:szCs w:val="24"/>
              </w:rPr>
              <w:t>≤0.01</w:t>
            </w:r>
          </w:p>
        </w:tc>
        <w:tc>
          <w:tcPr>
            <w:tcW w:w="832" w:type="pct"/>
            <w:vAlign w:val="center"/>
          </w:tcPr>
          <w:p w14:paraId="6131ED60">
            <w:pPr>
              <w:adjustRightInd w:val="0"/>
              <w:snapToGrid w:val="0"/>
              <w:jc w:val="center"/>
              <w:rPr>
                <w:rFonts w:ascii="Times New Roman" w:eastAsia="仿宋"/>
                <w:szCs w:val="24"/>
              </w:rPr>
            </w:pPr>
            <w:r>
              <w:rPr>
                <w:rFonts w:ascii="Times New Roman" w:eastAsia="仿宋"/>
                <w:bCs/>
                <w:szCs w:val="24"/>
              </w:rPr>
              <w:t>≤0.10</w:t>
            </w:r>
          </w:p>
        </w:tc>
        <w:tc>
          <w:tcPr>
            <w:tcW w:w="578" w:type="pct"/>
            <w:vAlign w:val="center"/>
          </w:tcPr>
          <w:p w14:paraId="39111C6A">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&gt;0.10</w:t>
            </w:r>
          </w:p>
        </w:tc>
      </w:tr>
      <w:tr w14:paraId="7375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07AE9CE2">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钠</w:t>
            </w:r>
          </w:p>
        </w:tc>
        <w:tc>
          <w:tcPr>
            <w:tcW w:w="970" w:type="pct"/>
            <w:vAlign w:val="center"/>
          </w:tcPr>
          <w:p w14:paraId="0D753AD8">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mg/L</w:t>
            </w:r>
          </w:p>
        </w:tc>
        <w:tc>
          <w:tcPr>
            <w:tcW w:w="595" w:type="pct"/>
            <w:vAlign w:val="center"/>
          </w:tcPr>
          <w:p w14:paraId="1736C421">
            <w:pPr>
              <w:jc w:val="center"/>
              <w:rPr>
                <w:rFonts w:ascii="Times New Roman" w:eastAsia="仿宋"/>
                <w:bCs/>
                <w:szCs w:val="24"/>
              </w:rPr>
            </w:pPr>
            <w:r>
              <w:rPr>
                <w:rFonts w:ascii="Times New Roman" w:eastAsia="仿宋"/>
                <w:bCs/>
                <w:szCs w:val="24"/>
              </w:rPr>
              <w:t>≤100</w:t>
            </w:r>
          </w:p>
        </w:tc>
        <w:tc>
          <w:tcPr>
            <w:tcW w:w="502" w:type="pct"/>
            <w:vAlign w:val="center"/>
          </w:tcPr>
          <w:p w14:paraId="1407AFA1">
            <w:pPr>
              <w:jc w:val="center"/>
              <w:rPr>
                <w:rFonts w:ascii="Times New Roman" w:eastAsia="仿宋"/>
                <w:bCs/>
                <w:szCs w:val="24"/>
              </w:rPr>
            </w:pPr>
            <w:r>
              <w:rPr>
                <w:rFonts w:ascii="Times New Roman" w:eastAsia="仿宋"/>
                <w:bCs/>
                <w:szCs w:val="24"/>
              </w:rPr>
              <w:t>≤150</w:t>
            </w:r>
          </w:p>
        </w:tc>
        <w:tc>
          <w:tcPr>
            <w:tcW w:w="561" w:type="pct"/>
            <w:vAlign w:val="center"/>
          </w:tcPr>
          <w:p w14:paraId="7CE24E43">
            <w:pPr>
              <w:jc w:val="center"/>
              <w:rPr>
                <w:rFonts w:ascii="Times New Roman" w:eastAsia="仿宋"/>
                <w:bCs/>
                <w:szCs w:val="24"/>
              </w:rPr>
            </w:pPr>
            <w:r>
              <w:rPr>
                <w:rFonts w:ascii="Times New Roman" w:eastAsia="仿宋"/>
                <w:bCs/>
                <w:szCs w:val="24"/>
              </w:rPr>
              <w:t>≤200</w:t>
            </w:r>
          </w:p>
        </w:tc>
        <w:tc>
          <w:tcPr>
            <w:tcW w:w="832" w:type="pct"/>
            <w:vAlign w:val="center"/>
          </w:tcPr>
          <w:p w14:paraId="7906C381">
            <w:pPr>
              <w:jc w:val="center"/>
              <w:rPr>
                <w:rFonts w:ascii="Times New Roman" w:eastAsia="仿宋"/>
                <w:bCs/>
                <w:szCs w:val="24"/>
              </w:rPr>
            </w:pPr>
            <w:r>
              <w:rPr>
                <w:rFonts w:ascii="Times New Roman" w:eastAsia="仿宋"/>
                <w:bCs/>
                <w:szCs w:val="24"/>
              </w:rPr>
              <w:t>≤400</w:t>
            </w:r>
          </w:p>
        </w:tc>
        <w:tc>
          <w:tcPr>
            <w:tcW w:w="578" w:type="pct"/>
            <w:vAlign w:val="center"/>
          </w:tcPr>
          <w:p w14:paraId="46F7EE24">
            <w:pPr>
              <w:jc w:val="center"/>
              <w:rPr>
                <w:rFonts w:ascii="Times New Roman" w:eastAsia="仿宋"/>
                <w:bCs/>
                <w:szCs w:val="24"/>
              </w:rPr>
            </w:pPr>
            <w:r>
              <w:rPr>
                <w:rFonts w:ascii="Times New Roman" w:eastAsia="仿宋"/>
                <w:bCs/>
                <w:szCs w:val="24"/>
              </w:rPr>
              <w:t>＞400</w:t>
            </w:r>
          </w:p>
        </w:tc>
      </w:tr>
      <w:tr w14:paraId="001A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709A3628">
            <w:pPr>
              <w:adjustRightInd w:val="0"/>
              <w:snapToGrid w:val="0"/>
              <w:jc w:val="center"/>
              <w:rPr>
                <w:rFonts w:ascii="Times New Roman" w:eastAsia="仿宋"/>
                <w:szCs w:val="24"/>
              </w:rPr>
            </w:pPr>
            <w:r>
              <w:rPr>
                <w:rFonts w:ascii="Times New Roman" w:eastAsia="仿宋"/>
                <w:szCs w:val="24"/>
              </w:rPr>
              <w:t>二甲苯（μg/L）</w:t>
            </w:r>
          </w:p>
        </w:tc>
        <w:tc>
          <w:tcPr>
            <w:tcW w:w="970" w:type="pct"/>
            <w:vAlign w:val="center"/>
          </w:tcPr>
          <w:p w14:paraId="64707E54">
            <w:pPr>
              <w:autoSpaceDE w:val="0"/>
              <w:autoSpaceDN w:val="0"/>
              <w:adjustRightInd w:val="0"/>
              <w:snapToGrid w:val="0"/>
              <w:jc w:val="center"/>
              <w:textAlignment w:val="baseline"/>
              <w:rPr>
                <w:rFonts w:ascii="Times New Roman" w:eastAsia="仿宋"/>
                <w:bCs/>
                <w:szCs w:val="24"/>
              </w:rPr>
            </w:pPr>
            <w:r>
              <w:rPr>
                <w:rFonts w:ascii="Times New Roman" w:eastAsia="仿宋"/>
                <w:bCs/>
                <w:szCs w:val="24"/>
              </w:rPr>
              <w:t>μg/L</w:t>
            </w:r>
          </w:p>
        </w:tc>
        <w:tc>
          <w:tcPr>
            <w:tcW w:w="595" w:type="pct"/>
            <w:vAlign w:val="center"/>
          </w:tcPr>
          <w:p w14:paraId="5FE594DE">
            <w:pPr>
              <w:jc w:val="center"/>
              <w:rPr>
                <w:rFonts w:ascii="Times New Roman" w:eastAsia="仿宋"/>
                <w:bCs/>
                <w:szCs w:val="24"/>
              </w:rPr>
            </w:pPr>
            <w:r>
              <w:rPr>
                <w:rFonts w:ascii="Times New Roman" w:eastAsia="仿宋"/>
                <w:bCs/>
                <w:szCs w:val="24"/>
              </w:rPr>
              <w:t>≤0.5</w:t>
            </w:r>
          </w:p>
        </w:tc>
        <w:tc>
          <w:tcPr>
            <w:tcW w:w="502" w:type="pct"/>
            <w:vAlign w:val="center"/>
          </w:tcPr>
          <w:p w14:paraId="08115F21">
            <w:pPr>
              <w:jc w:val="center"/>
              <w:rPr>
                <w:rFonts w:ascii="Times New Roman" w:eastAsia="仿宋"/>
                <w:bCs/>
                <w:szCs w:val="24"/>
              </w:rPr>
            </w:pPr>
            <w:r>
              <w:rPr>
                <w:rFonts w:ascii="Times New Roman" w:eastAsia="仿宋"/>
                <w:bCs/>
                <w:szCs w:val="24"/>
              </w:rPr>
              <w:t>≤100</w:t>
            </w:r>
          </w:p>
        </w:tc>
        <w:tc>
          <w:tcPr>
            <w:tcW w:w="561" w:type="pct"/>
            <w:vAlign w:val="center"/>
          </w:tcPr>
          <w:p w14:paraId="12611206">
            <w:pPr>
              <w:jc w:val="center"/>
              <w:rPr>
                <w:rFonts w:ascii="Times New Roman" w:eastAsia="仿宋"/>
                <w:bCs/>
                <w:szCs w:val="24"/>
              </w:rPr>
            </w:pPr>
            <w:r>
              <w:rPr>
                <w:rFonts w:ascii="Times New Roman" w:eastAsia="仿宋"/>
                <w:bCs/>
                <w:szCs w:val="24"/>
              </w:rPr>
              <w:t>≤500</w:t>
            </w:r>
          </w:p>
        </w:tc>
        <w:tc>
          <w:tcPr>
            <w:tcW w:w="832" w:type="pct"/>
            <w:vAlign w:val="center"/>
          </w:tcPr>
          <w:p w14:paraId="0F9B8C68">
            <w:pPr>
              <w:jc w:val="center"/>
              <w:rPr>
                <w:rFonts w:ascii="Times New Roman" w:eastAsia="仿宋"/>
                <w:bCs/>
                <w:szCs w:val="24"/>
              </w:rPr>
            </w:pPr>
            <w:r>
              <w:rPr>
                <w:rFonts w:ascii="Times New Roman" w:eastAsia="仿宋"/>
                <w:bCs/>
                <w:szCs w:val="24"/>
              </w:rPr>
              <w:t>≤1000</w:t>
            </w:r>
          </w:p>
        </w:tc>
        <w:tc>
          <w:tcPr>
            <w:tcW w:w="578" w:type="pct"/>
            <w:vAlign w:val="center"/>
          </w:tcPr>
          <w:p w14:paraId="11E1A2D4">
            <w:pPr>
              <w:jc w:val="center"/>
              <w:rPr>
                <w:rFonts w:ascii="Times New Roman" w:eastAsia="仿宋"/>
                <w:bCs/>
                <w:szCs w:val="24"/>
              </w:rPr>
            </w:pPr>
            <w:r>
              <w:rPr>
                <w:rFonts w:ascii="Times New Roman" w:eastAsia="仿宋"/>
                <w:bCs/>
                <w:szCs w:val="24"/>
              </w:rPr>
              <w:t>&gt;1000</w:t>
            </w:r>
          </w:p>
        </w:tc>
      </w:tr>
    </w:tbl>
    <w:p w14:paraId="67B8478C">
      <w:pPr>
        <w:spacing w:line="340" w:lineRule="exact"/>
        <w:ind w:firstLine="229" w:firstLineChars="95"/>
        <w:rPr>
          <w:rFonts w:ascii="Times New Roman" w:eastAsia="仿宋"/>
          <w:b/>
          <w:szCs w:val="21"/>
          <w:lang w:val="en-GB"/>
        </w:rPr>
      </w:pPr>
      <w:r>
        <w:rPr>
          <w:rFonts w:ascii="Times New Roman" w:eastAsia="仿宋"/>
          <w:b/>
          <w:szCs w:val="21"/>
        </w:rPr>
        <w:t>注</w:t>
      </w:r>
      <w:r>
        <w:rPr>
          <w:rFonts w:ascii="Times New Roman" w:eastAsia="仿宋"/>
          <w:b/>
          <w:szCs w:val="21"/>
          <w:lang w:val="en-GB"/>
        </w:rPr>
        <w:t>：</w:t>
      </w:r>
      <w:r>
        <w:rPr>
          <w:rFonts w:ascii="Times New Roman" w:eastAsia="仿宋"/>
          <w:b/>
          <w:szCs w:val="21"/>
        </w:rPr>
        <w:t>pH</w:t>
      </w:r>
      <w:r>
        <w:rPr>
          <w:rFonts w:ascii="Times New Roman" w:eastAsia="仿宋"/>
          <w:b/>
          <w:szCs w:val="21"/>
          <w:lang w:val="en-GB"/>
        </w:rPr>
        <w:t>无量纲。</w:t>
      </w:r>
    </w:p>
    <w:p w14:paraId="79CC0C03">
      <w:pPr>
        <w:adjustRightInd w:val="0"/>
        <w:snapToGrid w:val="0"/>
        <w:spacing w:line="500" w:lineRule="exact"/>
        <w:ind w:firstLine="562" w:firstLineChars="200"/>
        <w:rPr>
          <w:rFonts w:ascii="Times New Roman" w:eastAsia="仿宋"/>
          <w:sz w:val="28"/>
          <w:szCs w:val="28"/>
        </w:rPr>
      </w:pPr>
      <w:r>
        <w:rPr>
          <w:rFonts w:hint="eastAsia" w:ascii="Times New Roman" w:eastAsia="仿宋"/>
          <w:b/>
          <w:bCs/>
          <w:sz w:val="28"/>
          <w:szCs w:val="28"/>
        </w:rPr>
        <w:t>（4）</w:t>
      </w:r>
      <w:r>
        <w:rPr>
          <w:rFonts w:ascii="Times New Roman" w:eastAsia="仿宋"/>
          <w:b/>
          <w:bCs/>
          <w:sz w:val="28"/>
          <w:szCs w:val="28"/>
        </w:rPr>
        <w:t>土壤环境质量标准</w:t>
      </w:r>
    </w:p>
    <w:p w14:paraId="6D73D71B">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土壤环境质量符合《土壤环境质量 建设用地土壤污染风险管控标准（试行）》（GB36600-2018）中第一类和第二类用地筛选值，具体标准值见表2.3-5。</w:t>
      </w:r>
    </w:p>
    <w:p w14:paraId="1CA273E8">
      <w:pPr>
        <w:spacing w:line="500" w:lineRule="exact"/>
        <w:ind w:firstLine="482" w:firstLineChars="200"/>
        <w:jc w:val="center"/>
        <w:rPr>
          <w:rFonts w:ascii="Times New Roman" w:eastAsia="仿宋"/>
          <w:b/>
        </w:rPr>
      </w:pPr>
      <w:r>
        <w:rPr>
          <w:rFonts w:ascii="Times New Roman" w:eastAsia="仿宋"/>
          <w:b/>
        </w:rPr>
        <w:t>表2.3</w:t>
      </w:r>
      <w:r>
        <w:rPr>
          <w:rFonts w:ascii="Times New Roman" w:eastAsia="仿宋"/>
          <w:b/>
        </w:rPr>
        <w:noBreakHyphen/>
      </w:r>
      <w:r>
        <w:rPr>
          <w:rFonts w:ascii="Times New Roman" w:eastAsia="仿宋"/>
          <w:b/>
        </w:rPr>
        <w:t>5  建设用地土壤污染风险筛选值（单位：mg/kg）</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3272"/>
        <w:gridCol w:w="3810"/>
      </w:tblGrid>
      <w:tr w14:paraId="30F5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vAlign w:val="center"/>
          </w:tcPr>
          <w:p w14:paraId="79F16091">
            <w:pPr>
              <w:jc w:val="center"/>
              <w:rPr>
                <w:rFonts w:ascii="Times New Roman" w:eastAsia="仿宋"/>
                <w:szCs w:val="21"/>
              </w:rPr>
            </w:pPr>
            <w:r>
              <w:rPr>
                <w:rFonts w:ascii="Times New Roman" w:eastAsia="仿宋"/>
                <w:szCs w:val="21"/>
              </w:rPr>
              <w:t>序号</w:t>
            </w:r>
          </w:p>
        </w:tc>
        <w:tc>
          <w:tcPr>
            <w:tcW w:w="1853" w:type="pct"/>
            <w:vAlign w:val="center"/>
          </w:tcPr>
          <w:p w14:paraId="4233A30A">
            <w:pPr>
              <w:jc w:val="center"/>
              <w:rPr>
                <w:rFonts w:ascii="Times New Roman" w:eastAsia="仿宋"/>
                <w:szCs w:val="21"/>
              </w:rPr>
            </w:pPr>
            <w:r>
              <w:rPr>
                <w:rFonts w:ascii="Times New Roman" w:eastAsia="仿宋"/>
                <w:szCs w:val="21"/>
              </w:rPr>
              <w:t>污染物项目</w:t>
            </w:r>
          </w:p>
        </w:tc>
        <w:tc>
          <w:tcPr>
            <w:tcW w:w="2158" w:type="pct"/>
            <w:vAlign w:val="center"/>
          </w:tcPr>
          <w:p w14:paraId="06871235">
            <w:pPr>
              <w:jc w:val="center"/>
              <w:rPr>
                <w:rFonts w:ascii="Times New Roman" w:eastAsia="仿宋"/>
                <w:szCs w:val="21"/>
              </w:rPr>
            </w:pPr>
            <w:r>
              <w:rPr>
                <w:rFonts w:ascii="Times New Roman" w:eastAsia="仿宋"/>
                <w:szCs w:val="21"/>
              </w:rPr>
              <w:t>筛选值（第二类用地）</w:t>
            </w:r>
          </w:p>
        </w:tc>
      </w:tr>
      <w:tr w14:paraId="17A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843F529">
            <w:pPr>
              <w:jc w:val="center"/>
              <w:rPr>
                <w:rFonts w:ascii="Times New Roman" w:eastAsia="仿宋"/>
                <w:szCs w:val="21"/>
              </w:rPr>
            </w:pPr>
            <w:r>
              <w:rPr>
                <w:rFonts w:ascii="Times New Roman" w:eastAsia="仿宋"/>
                <w:szCs w:val="21"/>
              </w:rPr>
              <w:t>1</w:t>
            </w:r>
          </w:p>
        </w:tc>
        <w:tc>
          <w:tcPr>
            <w:tcW w:w="1853" w:type="pct"/>
            <w:shd w:val="clear" w:color="auto" w:fill="FFFFFF"/>
            <w:vAlign w:val="center"/>
          </w:tcPr>
          <w:p w14:paraId="35E1F508">
            <w:pPr>
              <w:jc w:val="center"/>
              <w:rPr>
                <w:rFonts w:ascii="Times New Roman" w:eastAsia="仿宋"/>
                <w:szCs w:val="21"/>
              </w:rPr>
            </w:pPr>
            <w:r>
              <w:rPr>
                <w:rFonts w:ascii="Times New Roman" w:eastAsia="仿宋"/>
                <w:szCs w:val="21"/>
              </w:rPr>
              <w:t>砷</w:t>
            </w:r>
          </w:p>
        </w:tc>
        <w:tc>
          <w:tcPr>
            <w:tcW w:w="2158" w:type="pct"/>
            <w:shd w:val="clear" w:color="auto" w:fill="FFFFFF"/>
            <w:vAlign w:val="center"/>
          </w:tcPr>
          <w:p w14:paraId="53AB2B28">
            <w:pPr>
              <w:jc w:val="center"/>
              <w:rPr>
                <w:rFonts w:ascii="Times New Roman" w:eastAsia="仿宋"/>
                <w:szCs w:val="21"/>
              </w:rPr>
            </w:pPr>
            <w:r>
              <w:rPr>
                <w:rFonts w:ascii="Times New Roman" w:eastAsia="仿宋"/>
                <w:szCs w:val="21"/>
              </w:rPr>
              <w:t>60</w:t>
            </w:r>
          </w:p>
        </w:tc>
      </w:tr>
      <w:tr w14:paraId="487F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F1E84B0">
            <w:pPr>
              <w:jc w:val="center"/>
              <w:rPr>
                <w:rFonts w:ascii="Times New Roman" w:eastAsia="仿宋"/>
                <w:szCs w:val="21"/>
              </w:rPr>
            </w:pPr>
            <w:r>
              <w:rPr>
                <w:rFonts w:ascii="Times New Roman" w:eastAsia="仿宋"/>
                <w:szCs w:val="21"/>
              </w:rPr>
              <w:t>2</w:t>
            </w:r>
          </w:p>
        </w:tc>
        <w:tc>
          <w:tcPr>
            <w:tcW w:w="1853" w:type="pct"/>
            <w:shd w:val="clear" w:color="auto" w:fill="FFFFFF"/>
            <w:vAlign w:val="center"/>
          </w:tcPr>
          <w:p w14:paraId="3E711ABC">
            <w:pPr>
              <w:jc w:val="center"/>
              <w:rPr>
                <w:rFonts w:ascii="Times New Roman" w:eastAsia="仿宋"/>
                <w:szCs w:val="21"/>
              </w:rPr>
            </w:pPr>
            <w:r>
              <w:rPr>
                <w:rFonts w:ascii="Times New Roman" w:eastAsia="仿宋"/>
                <w:szCs w:val="21"/>
              </w:rPr>
              <w:t>镉</w:t>
            </w:r>
          </w:p>
        </w:tc>
        <w:tc>
          <w:tcPr>
            <w:tcW w:w="2158" w:type="pct"/>
            <w:shd w:val="clear" w:color="auto" w:fill="FFFFFF"/>
            <w:vAlign w:val="center"/>
          </w:tcPr>
          <w:p w14:paraId="3B35FEB9">
            <w:pPr>
              <w:jc w:val="center"/>
              <w:rPr>
                <w:rFonts w:ascii="Times New Roman" w:eastAsia="仿宋"/>
                <w:szCs w:val="21"/>
              </w:rPr>
            </w:pPr>
            <w:r>
              <w:rPr>
                <w:rFonts w:ascii="Times New Roman" w:eastAsia="仿宋"/>
                <w:szCs w:val="21"/>
              </w:rPr>
              <w:t>65</w:t>
            </w:r>
          </w:p>
        </w:tc>
      </w:tr>
      <w:tr w14:paraId="1BB6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C1C8882">
            <w:pPr>
              <w:jc w:val="center"/>
              <w:rPr>
                <w:rFonts w:ascii="Times New Roman" w:eastAsia="仿宋"/>
                <w:szCs w:val="21"/>
              </w:rPr>
            </w:pPr>
            <w:r>
              <w:rPr>
                <w:rFonts w:ascii="Times New Roman" w:eastAsia="仿宋"/>
                <w:szCs w:val="21"/>
              </w:rPr>
              <w:t>3</w:t>
            </w:r>
          </w:p>
        </w:tc>
        <w:tc>
          <w:tcPr>
            <w:tcW w:w="1853" w:type="pct"/>
            <w:shd w:val="clear" w:color="auto" w:fill="FFFFFF"/>
            <w:vAlign w:val="center"/>
          </w:tcPr>
          <w:p w14:paraId="3A9404C8">
            <w:pPr>
              <w:jc w:val="center"/>
              <w:rPr>
                <w:rFonts w:ascii="Times New Roman" w:eastAsia="仿宋"/>
                <w:szCs w:val="21"/>
              </w:rPr>
            </w:pPr>
            <w:r>
              <w:rPr>
                <w:rFonts w:ascii="Times New Roman" w:eastAsia="仿宋"/>
                <w:szCs w:val="21"/>
              </w:rPr>
              <w:t>铬（六价）</w:t>
            </w:r>
          </w:p>
        </w:tc>
        <w:tc>
          <w:tcPr>
            <w:tcW w:w="2158" w:type="pct"/>
            <w:shd w:val="clear" w:color="auto" w:fill="FFFFFF"/>
            <w:vAlign w:val="center"/>
          </w:tcPr>
          <w:p w14:paraId="575EAF42">
            <w:pPr>
              <w:jc w:val="center"/>
              <w:rPr>
                <w:rFonts w:ascii="Times New Roman" w:eastAsia="仿宋"/>
                <w:szCs w:val="21"/>
              </w:rPr>
            </w:pPr>
            <w:r>
              <w:rPr>
                <w:rFonts w:ascii="Times New Roman" w:eastAsia="仿宋"/>
                <w:szCs w:val="21"/>
              </w:rPr>
              <w:t>5.7</w:t>
            </w:r>
          </w:p>
        </w:tc>
      </w:tr>
      <w:tr w14:paraId="388B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77F843F3">
            <w:pPr>
              <w:jc w:val="center"/>
              <w:rPr>
                <w:rFonts w:ascii="Times New Roman" w:eastAsia="仿宋"/>
                <w:szCs w:val="21"/>
              </w:rPr>
            </w:pPr>
            <w:r>
              <w:rPr>
                <w:rFonts w:ascii="Times New Roman" w:eastAsia="仿宋"/>
                <w:szCs w:val="21"/>
              </w:rPr>
              <w:t>4</w:t>
            </w:r>
          </w:p>
        </w:tc>
        <w:tc>
          <w:tcPr>
            <w:tcW w:w="1853" w:type="pct"/>
            <w:shd w:val="clear" w:color="auto" w:fill="FFFFFF"/>
            <w:vAlign w:val="center"/>
          </w:tcPr>
          <w:p w14:paraId="390D348E">
            <w:pPr>
              <w:jc w:val="center"/>
              <w:rPr>
                <w:rFonts w:ascii="Times New Roman" w:eastAsia="仿宋"/>
                <w:szCs w:val="21"/>
              </w:rPr>
            </w:pPr>
            <w:r>
              <w:rPr>
                <w:rFonts w:ascii="Times New Roman" w:eastAsia="仿宋"/>
                <w:szCs w:val="21"/>
              </w:rPr>
              <w:t>铜</w:t>
            </w:r>
          </w:p>
        </w:tc>
        <w:tc>
          <w:tcPr>
            <w:tcW w:w="2158" w:type="pct"/>
            <w:shd w:val="clear" w:color="auto" w:fill="FFFFFF"/>
            <w:vAlign w:val="center"/>
          </w:tcPr>
          <w:p w14:paraId="6FA1B2AE">
            <w:pPr>
              <w:jc w:val="center"/>
              <w:rPr>
                <w:rFonts w:ascii="Times New Roman" w:eastAsia="仿宋"/>
                <w:szCs w:val="21"/>
              </w:rPr>
            </w:pPr>
            <w:r>
              <w:rPr>
                <w:rFonts w:ascii="Times New Roman" w:eastAsia="仿宋"/>
                <w:szCs w:val="21"/>
              </w:rPr>
              <w:t>18000</w:t>
            </w:r>
          </w:p>
        </w:tc>
      </w:tr>
      <w:tr w14:paraId="7673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2C9486A">
            <w:pPr>
              <w:jc w:val="center"/>
              <w:rPr>
                <w:rFonts w:ascii="Times New Roman" w:eastAsia="仿宋"/>
                <w:szCs w:val="21"/>
              </w:rPr>
            </w:pPr>
            <w:r>
              <w:rPr>
                <w:rFonts w:ascii="Times New Roman" w:eastAsia="仿宋"/>
                <w:szCs w:val="21"/>
              </w:rPr>
              <w:t>5</w:t>
            </w:r>
          </w:p>
        </w:tc>
        <w:tc>
          <w:tcPr>
            <w:tcW w:w="1853" w:type="pct"/>
            <w:shd w:val="clear" w:color="auto" w:fill="FFFFFF"/>
            <w:vAlign w:val="center"/>
          </w:tcPr>
          <w:p w14:paraId="5421C724">
            <w:pPr>
              <w:jc w:val="center"/>
              <w:rPr>
                <w:rFonts w:ascii="Times New Roman" w:eastAsia="仿宋"/>
                <w:szCs w:val="21"/>
              </w:rPr>
            </w:pPr>
            <w:r>
              <w:rPr>
                <w:rFonts w:ascii="Times New Roman" w:eastAsia="仿宋"/>
                <w:szCs w:val="21"/>
              </w:rPr>
              <w:t>铅</w:t>
            </w:r>
          </w:p>
        </w:tc>
        <w:tc>
          <w:tcPr>
            <w:tcW w:w="2158" w:type="pct"/>
            <w:shd w:val="clear" w:color="auto" w:fill="FFFFFF"/>
            <w:vAlign w:val="center"/>
          </w:tcPr>
          <w:p w14:paraId="338200E4">
            <w:pPr>
              <w:jc w:val="center"/>
              <w:rPr>
                <w:rFonts w:ascii="Times New Roman" w:eastAsia="仿宋"/>
                <w:szCs w:val="21"/>
              </w:rPr>
            </w:pPr>
            <w:r>
              <w:rPr>
                <w:rFonts w:ascii="Times New Roman" w:eastAsia="仿宋"/>
                <w:szCs w:val="21"/>
              </w:rPr>
              <w:t>800</w:t>
            </w:r>
          </w:p>
        </w:tc>
      </w:tr>
      <w:tr w14:paraId="4BA3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AA6BC91">
            <w:pPr>
              <w:jc w:val="center"/>
              <w:rPr>
                <w:rFonts w:ascii="Times New Roman" w:eastAsia="仿宋"/>
                <w:szCs w:val="21"/>
              </w:rPr>
            </w:pPr>
            <w:r>
              <w:rPr>
                <w:rFonts w:ascii="Times New Roman" w:eastAsia="仿宋"/>
                <w:szCs w:val="21"/>
              </w:rPr>
              <w:t>6</w:t>
            </w:r>
          </w:p>
        </w:tc>
        <w:tc>
          <w:tcPr>
            <w:tcW w:w="1853" w:type="pct"/>
            <w:shd w:val="clear" w:color="auto" w:fill="FFFFFF"/>
            <w:vAlign w:val="center"/>
          </w:tcPr>
          <w:p w14:paraId="0F3154BD">
            <w:pPr>
              <w:jc w:val="center"/>
              <w:rPr>
                <w:rFonts w:ascii="Times New Roman" w:eastAsia="仿宋"/>
                <w:szCs w:val="21"/>
              </w:rPr>
            </w:pPr>
            <w:r>
              <w:rPr>
                <w:rFonts w:ascii="Times New Roman" w:eastAsia="仿宋"/>
                <w:szCs w:val="21"/>
              </w:rPr>
              <w:t>汞</w:t>
            </w:r>
          </w:p>
        </w:tc>
        <w:tc>
          <w:tcPr>
            <w:tcW w:w="2158" w:type="pct"/>
            <w:shd w:val="clear" w:color="auto" w:fill="FFFFFF"/>
            <w:vAlign w:val="center"/>
          </w:tcPr>
          <w:p w14:paraId="3D90A237">
            <w:pPr>
              <w:jc w:val="center"/>
              <w:rPr>
                <w:rFonts w:ascii="Times New Roman" w:eastAsia="仿宋"/>
                <w:szCs w:val="21"/>
              </w:rPr>
            </w:pPr>
            <w:r>
              <w:rPr>
                <w:rFonts w:ascii="Times New Roman" w:eastAsia="仿宋"/>
                <w:szCs w:val="21"/>
              </w:rPr>
              <w:t>38</w:t>
            </w:r>
          </w:p>
        </w:tc>
      </w:tr>
      <w:tr w14:paraId="65F2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9BFA4A6">
            <w:pPr>
              <w:jc w:val="center"/>
              <w:rPr>
                <w:rFonts w:ascii="Times New Roman" w:eastAsia="仿宋"/>
                <w:szCs w:val="21"/>
              </w:rPr>
            </w:pPr>
            <w:r>
              <w:rPr>
                <w:rFonts w:ascii="Times New Roman" w:eastAsia="仿宋"/>
                <w:szCs w:val="21"/>
              </w:rPr>
              <w:t>7</w:t>
            </w:r>
          </w:p>
        </w:tc>
        <w:tc>
          <w:tcPr>
            <w:tcW w:w="1853" w:type="pct"/>
            <w:shd w:val="clear" w:color="auto" w:fill="FFFFFF"/>
            <w:vAlign w:val="center"/>
          </w:tcPr>
          <w:p w14:paraId="411CEB65">
            <w:pPr>
              <w:jc w:val="center"/>
              <w:rPr>
                <w:rFonts w:ascii="Times New Roman" w:eastAsia="仿宋"/>
                <w:szCs w:val="21"/>
              </w:rPr>
            </w:pPr>
            <w:r>
              <w:rPr>
                <w:rFonts w:ascii="Times New Roman" w:eastAsia="仿宋"/>
                <w:szCs w:val="21"/>
              </w:rPr>
              <w:t>镍</w:t>
            </w:r>
          </w:p>
        </w:tc>
        <w:tc>
          <w:tcPr>
            <w:tcW w:w="2158" w:type="pct"/>
            <w:shd w:val="clear" w:color="auto" w:fill="FFFFFF"/>
            <w:vAlign w:val="center"/>
          </w:tcPr>
          <w:p w14:paraId="1D5C9E87">
            <w:pPr>
              <w:jc w:val="center"/>
              <w:rPr>
                <w:rFonts w:ascii="Times New Roman" w:eastAsia="仿宋"/>
                <w:szCs w:val="21"/>
              </w:rPr>
            </w:pPr>
            <w:r>
              <w:rPr>
                <w:rFonts w:ascii="Times New Roman" w:eastAsia="仿宋"/>
                <w:szCs w:val="21"/>
              </w:rPr>
              <w:t>900</w:t>
            </w:r>
          </w:p>
        </w:tc>
      </w:tr>
      <w:tr w14:paraId="0923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6507665">
            <w:pPr>
              <w:jc w:val="center"/>
              <w:rPr>
                <w:rFonts w:ascii="Times New Roman" w:eastAsia="仿宋"/>
                <w:szCs w:val="21"/>
              </w:rPr>
            </w:pPr>
            <w:r>
              <w:rPr>
                <w:rFonts w:ascii="Times New Roman" w:eastAsia="仿宋"/>
                <w:szCs w:val="21"/>
              </w:rPr>
              <w:t>8</w:t>
            </w:r>
          </w:p>
        </w:tc>
        <w:tc>
          <w:tcPr>
            <w:tcW w:w="1853" w:type="pct"/>
            <w:shd w:val="clear" w:color="auto" w:fill="FFFFFF"/>
            <w:vAlign w:val="center"/>
          </w:tcPr>
          <w:p w14:paraId="1CFA7C61">
            <w:pPr>
              <w:jc w:val="center"/>
              <w:rPr>
                <w:rFonts w:ascii="Times New Roman" w:eastAsia="仿宋"/>
                <w:szCs w:val="21"/>
              </w:rPr>
            </w:pPr>
            <w:r>
              <w:rPr>
                <w:rFonts w:ascii="Times New Roman" w:eastAsia="仿宋"/>
                <w:szCs w:val="21"/>
              </w:rPr>
              <w:t>四氯化碳</w:t>
            </w:r>
          </w:p>
        </w:tc>
        <w:tc>
          <w:tcPr>
            <w:tcW w:w="2158" w:type="pct"/>
            <w:shd w:val="clear" w:color="auto" w:fill="FFFFFF"/>
            <w:vAlign w:val="center"/>
          </w:tcPr>
          <w:p w14:paraId="04A05763">
            <w:pPr>
              <w:jc w:val="center"/>
              <w:rPr>
                <w:rFonts w:ascii="Times New Roman" w:eastAsia="仿宋"/>
                <w:szCs w:val="21"/>
              </w:rPr>
            </w:pPr>
            <w:r>
              <w:rPr>
                <w:rFonts w:ascii="Times New Roman" w:eastAsia="仿宋"/>
                <w:szCs w:val="21"/>
              </w:rPr>
              <w:t>2.8</w:t>
            </w:r>
          </w:p>
        </w:tc>
      </w:tr>
      <w:tr w14:paraId="7931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14F6E29">
            <w:pPr>
              <w:jc w:val="center"/>
              <w:rPr>
                <w:rFonts w:ascii="Times New Roman" w:eastAsia="仿宋"/>
                <w:szCs w:val="21"/>
              </w:rPr>
            </w:pPr>
            <w:r>
              <w:rPr>
                <w:rFonts w:ascii="Times New Roman" w:eastAsia="仿宋"/>
                <w:szCs w:val="21"/>
              </w:rPr>
              <w:t>9</w:t>
            </w:r>
          </w:p>
        </w:tc>
        <w:tc>
          <w:tcPr>
            <w:tcW w:w="1853" w:type="pct"/>
            <w:shd w:val="clear" w:color="auto" w:fill="FFFFFF"/>
            <w:vAlign w:val="center"/>
          </w:tcPr>
          <w:p w14:paraId="69E2564A">
            <w:pPr>
              <w:jc w:val="center"/>
              <w:rPr>
                <w:rFonts w:ascii="Times New Roman" w:eastAsia="仿宋"/>
                <w:szCs w:val="21"/>
              </w:rPr>
            </w:pPr>
            <w:r>
              <w:rPr>
                <w:rFonts w:ascii="Times New Roman" w:eastAsia="仿宋"/>
                <w:szCs w:val="21"/>
              </w:rPr>
              <w:t>氯仿</w:t>
            </w:r>
          </w:p>
        </w:tc>
        <w:tc>
          <w:tcPr>
            <w:tcW w:w="2158" w:type="pct"/>
            <w:shd w:val="clear" w:color="auto" w:fill="FFFFFF"/>
            <w:vAlign w:val="center"/>
          </w:tcPr>
          <w:p w14:paraId="0E99C250">
            <w:pPr>
              <w:jc w:val="center"/>
              <w:rPr>
                <w:rFonts w:ascii="Times New Roman" w:eastAsia="仿宋"/>
                <w:szCs w:val="21"/>
              </w:rPr>
            </w:pPr>
            <w:r>
              <w:rPr>
                <w:rFonts w:ascii="Times New Roman" w:eastAsia="仿宋"/>
                <w:szCs w:val="21"/>
              </w:rPr>
              <w:t>0.9</w:t>
            </w:r>
          </w:p>
        </w:tc>
      </w:tr>
      <w:tr w14:paraId="37BF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7530090B">
            <w:pPr>
              <w:jc w:val="center"/>
              <w:rPr>
                <w:rFonts w:ascii="Times New Roman" w:eastAsia="仿宋"/>
                <w:szCs w:val="21"/>
              </w:rPr>
            </w:pPr>
            <w:r>
              <w:rPr>
                <w:rFonts w:ascii="Times New Roman" w:eastAsia="仿宋"/>
                <w:szCs w:val="21"/>
              </w:rPr>
              <w:t>10</w:t>
            </w:r>
          </w:p>
        </w:tc>
        <w:tc>
          <w:tcPr>
            <w:tcW w:w="1853" w:type="pct"/>
            <w:shd w:val="clear" w:color="auto" w:fill="FFFFFF"/>
            <w:vAlign w:val="center"/>
          </w:tcPr>
          <w:p w14:paraId="10865A19">
            <w:pPr>
              <w:jc w:val="center"/>
              <w:rPr>
                <w:rFonts w:ascii="Times New Roman" w:eastAsia="仿宋"/>
                <w:szCs w:val="21"/>
              </w:rPr>
            </w:pPr>
            <w:r>
              <w:rPr>
                <w:rFonts w:ascii="Times New Roman" w:eastAsia="仿宋"/>
                <w:szCs w:val="21"/>
              </w:rPr>
              <w:t>氯甲烷</w:t>
            </w:r>
          </w:p>
        </w:tc>
        <w:tc>
          <w:tcPr>
            <w:tcW w:w="2158" w:type="pct"/>
            <w:shd w:val="clear" w:color="auto" w:fill="FFFFFF"/>
            <w:vAlign w:val="center"/>
          </w:tcPr>
          <w:p w14:paraId="07C11961">
            <w:pPr>
              <w:jc w:val="center"/>
              <w:rPr>
                <w:rFonts w:ascii="Times New Roman" w:eastAsia="仿宋"/>
                <w:szCs w:val="21"/>
              </w:rPr>
            </w:pPr>
            <w:r>
              <w:rPr>
                <w:rFonts w:ascii="Times New Roman" w:eastAsia="仿宋"/>
                <w:szCs w:val="21"/>
              </w:rPr>
              <w:t>37</w:t>
            </w:r>
          </w:p>
        </w:tc>
      </w:tr>
      <w:tr w14:paraId="1451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1878E98">
            <w:pPr>
              <w:jc w:val="center"/>
              <w:rPr>
                <w:rFonts w:ascii="Times New Roman" w:eastAsia="仿宋"/>
                <w:szCs w:val="21"/>
              </w:rPr>
            </w:pPr>
            <w:r>
              <w:rPr>
                <w:rFonts w:ascii="Times New Roman" w:eastAsia="仿宋"/>
                <w:szCs w:val="21"/>
              </w:rPr>
              <w:t>11</w:t>
            </w:r>
          </w:p>
        </w:tc>
        <w:tc>
          <w:tcPr>
            <w:tcW w:w="1853" w:type="pct"/>
            <w:shd w:val="clear" w:color="auto" w:fill="FFFFFF"/>
            <w:vAlign w:val="center"/>
          </w:tcPr>
          <w:p w14:paraId="454D7662">
            <w:pPr>
              <w:jc w:val="center"/>
              <w:rPr>
                <w:rFonts w:ascii="Times New Roman" w:eastAsia="仿宋"/>
                <w:szCs w:val="21"/>
              </w:rPr>
            </w:pPr>
            <w:r>
              <w:rPr>
                <w:rFonts w:ascii="Times New Roman" w:eastAsia="仿宋"/>
                <w:szCs w:val="21"/>
              </w:rPr>
              <w:t>1,1-二氯乙烷</w:t>
            </w:r>
          </w:p>
        </w:tc>
        <w:tc>
          <w:tcPr>
            <w:tcW w:w="2158" w:type="pct"/>
            <w:shd w:val="clear" w:color="auto" w:fill="FFFFFF"/>
            <w:vAlign w:val="center"/>
          </w:tcPr>
          <w:p w14:paraId="66069090">
            <w:pPr>
              <w:jc w:val="center"/>
              <w:rPr>
                <w:rFonts w:ascii="Times New Roman" w:eastAsia="仿宋"/>
                <w:szCs w:val="21"/>
              </w:rPr>
            </w:pPr>
            <w:r>
              <w:rPr>
                <w:rFonts w:ascii="Times New Roman" w:eastAsia="仿宋"/>
                <w:szCs w:val="21"/>
              </w:rPr>
              <w:t>9</w:t>
            </w:r>
          </w:p>
        </w:tc>
      </w:tr>
      <w:tr w14:paraId="5ABC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02E50DC">
            <w:pPr>
              <w:jc w:val="center"/>
              <w:rPr>
                <w:rFonts w:ascii="Times New Roman" w:eastAsia="仿宋"/>
                <w:szCs w:val="21"/>
              </w:rPr>
            </w:pPr>
            <w:r>
              <w:rPr>
                <w:rFonts w:ascii="Times New Roman" w:eastAsia="仿宋"/>
                <w:szCs w:val="21"/>
              </w:rPr>
              <w:t>12</w:t>
            </w:r>
          </w:p>
        </w:tc>
        <w:tc>
          <w:tcPr>
            <w:tcW w:w="1853" w:type="pct"/>
            <w:shd w:val="clear" w:color="auto" w:fill="FFFFFF"/>
            <w:vAlign w:val="center"/>
          </w:tcPr>
          <w:p w14:paraId="70206D52">
            <w:pPr>
              <w:jc w:val="center"/>
              <w:rPr>
                <w:rFonts w:ascii="Times New Roman" w:eastAsia="仿宋"/>
                <w:szCs w:val="21"/>
              </w:rPr>
            </w:pPr>
            <w:r>
              <w:rPr>
                <w:rFonts w:ascii="Times New Roman" w:eastAsia="仿宋"/>
                <w:szCs w:val="21"/>
              </w:rPr>
              <w:t>1,2-二氯乙烷</w:t>
            </w:r>
          </w:p>
        </w:tc>
        <w:tc>
          <w:tcPr>
            <w:tcW w:w="2158" w:type="pct"/>
            <w:shd w:val="clear" w:color="auto" w:fill="FFFFFF"/>
            <w:vAlign w:val="center"/>
          </w:tcPr>
          <w:p w14:paraId="297509A8">
            <w:pPr>
              <w:jc w:val="center"/>
              <w:rPr>
                <w:rFonts w:ascii="Times New Roman" w:eastAsia="仿宋"/>
                <w:szCs w:val="21"/>
              </w:rPr>
            </w:pPr>
            <w:r>
              <w:rPr>
                <w:rFonts w:ascii="Times New Roman" w:eastAsia="仿宋"/>
                <w:szCs w:val="21"/>
              </w:rPr>
              <w:t>5</w:t>
            </w:r>
          </w:p>
        </w:tc>
      </w:tr>
      <w:tr w14:paraId="4749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95A1E59">
            <w:pPr>
              <w:jc w:val="center"/>
              <w:rPr>
                <w:rFonts w:ascii="Times New Roman" w:eastAsia="仿宋"/>
                <w:szCs w:val="21"/>
              </w:rPr>
            </w:pPr>
            <w:r>
              <w:rPr>
                <w:rFonts w:ascii="Times New Roman" w:eastAsia="仿宋"/>
                <w:szCs w:val="21"/>
              </w:rPr>
              <w:t>13</w:t>
            </w:r>
          </w:p>
        </w:tc>
        <w:tc>
          <w:tcPr>
            <w:tcW w:w="1853" w:type="pct"/>
            <w:shd w:val="clear" w:color="auto" w:fill="FFFFFF"/>
            <w:vAlign w:val="center"/>
          </w:tcPr>
          <w:p w14:paraId="73CC66DC">
            <w:pPr>
              <w:jc w:val="center"/>
              <w:rPr>
                <w:rFonts w:ascii="Times New Roman" w:eastAsia="仿宋"/>
                <w:szCs w:val="21"/>
              </w:rPr>
            </w:pPr>
            <w:r>
              <w:rPr>
                <w:rFonts w:ascii="Times New Roman" w:eastAsia="仿宋"/>
                <w:szCs w:val="21"/>
              </w:rPr>
              <w:t>1,1-二氯乙烯</w:t>
            </w:r>
          </w:p>
        </w:tc>
        <w:tc>
          <w:tcPr>
            <w:tcW w:w="2158" w:type="pct"/>
            <w:shd w:val="clear" w:color="auto" w:fill="FFFFFF"/>
            <w:vAlign w:val="center"/>
          </w:tcPr>
          <w:p w14:paraId="46E8A39F">
            <w:pPr>
              <w:jc w:val="center"/>
              <w:rPr>
                <w:rFonts w:ascii="Times New Roman" w:eastAsia="仿宋"/>
                <w:szCs w:val="21"/>
              </w:rPr>
            </w:pPr>
            <w:r>
              <w:rPr>
                <w:rFonts w:ascii="Times New Roman" w:eastAsia="仿宋"/>
                <w:szCs w:val="21"/>
              </w:rPr>
              <w:t>66</w:t>
            </w:r>
          </w:p>
        </w:tc>
      </w:tr>
      <w:tr w14:paraId="1399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0939D341">
            <w:pPr>
              <w:jc w:val="center"/>
              <w:rPr>
                <w:rFonts w:ascii="Times New Roman" w:eastAsia="仿宋"/>
                <w:szCs w:val="21"/>
              </w:rPr>
            </w:pPr>
            <w:r>
              <w:rPr>
                <w:rFonts w:ascii="Times New Roman" w:eastAsia="仿宋"/>
                <w:szCs w:val="21"/>
              </w:rPr>
              <w:t>14</w:t>
            </w:r>
          </w:p>
        </w:tc>
        <w:tc>
          <w:tcPr>
            <w:tcW w:w="1853" w:type="pct"/>
            <w:shd w:val="clear" w:color="auto" w:fill="FFFFFF"/>
            <w:vAlign w:val="center"/>
          </w:tcPr>
          <w:p w14:paraId="4DF359FC">
            <w:pPr>
              <w:jc w:val="center"/>
              <w:rPr>
                <w:rFonts w:ascii="Times New Roman" w:eastAsia="仿宋"/>
                <w:szCs w:val="21"/>
              </w:rPr>
            </w:pPr>
            <w:r>
              <w:rPr>
                <w:rFonts w:ascii="Times New Roman" w:eastAsia="仿宋"/>
                <w:szCs w:val="21"/>
              </w:rPr>
              <w:t>顺-1,2-二氯乙烯</w:t>
            </w:r>
          </w:p>
        </w:tc>
        <w:tc>
          <w:tcPr>
            <w:tcW w:w="2158" w:type="pct"/>
            <w:shd w:val="clear" w:color="auto" w:fill="FFFFFF"/>
            <w:vAlign w:val="center"/>
          </w:tcPr>
          <w:p w14:paraId="02FCD91E">
            <w:pPr>
              <w:jc w:val="center"/>
              <w:rPr>
                <w:rFonts w:ascii="Times New Roman" w:eastAsia="仿宋"/>
                <w:szCs w:val="21"/>
              </w:rPr>
            </w:pPr>
            <w:r>
              <w:rPr>
                <w:rFonts w:ascii="Times New Roman" w:eastAsia="仿宋"/>
                <w:szCs w:val="21"/>
              </w:rPr>
              <w:t>596</w:t>
            </w:r>
          </w:p>
        </w:tc>
      </w:tr>
      <w:tr w14:paraId="3C2F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5F5D32B">
            <w:pPr>
              <w:jc w:val="center"/>
              <w:rPr>
                <w:rFonts w:ascii="Times New Roman" w:eastAsia="仿宋"/>
                <w:szCs w:val="21"/>
              </w:rPr>
            </w:pPr>
            <w:r>
              <w:rPr>
                <w:rFonts w:ascii="Times New Roman" w:eastAsia="仿宋"/>
                <w:szCs w:val="21"/>
              </w:rPr>
              <w:t>15</w:t>
            </w:r>
          </w:p>
        </w:tc>
        <w:tc>
          <w:tcPr>
            <w:tcW w:w="1853" w:type="pct"/>
            <w:shd w:val="clear" w:color="auto" w:fill="FFFFFF"/>
            <w:vAlign w:val="center"/>
          </w:tcPr>
          <w:p w14:paraId="2A6B0F14">
            <w:pPr>
              <w:jc w:val="center"/>
              <w:rPr>
                <w:rFonts w:ascii="Times New Roman" w:eastAsia="仿宋"/>
                <w:szCs w:val="21"/>
              </w:rPr>
            </w:pPr>
            <w:r>
              <w:rPr>
                <w:rFonts w:ascii="Times New Roman" w:eastAsia="仿宋"/>
                <w:szCs w:val="21"/>
              </w:rPr>
              <w:t>反-1,2-二氯乙烯</w:t>
            </w:r>
          </w:p>
        </w:tc>
        <w:tc>
          <w:tcPr>
            <w:tcW w:w="2158" w:type="pct"/>
            <w:shd w:val="clear" w:color="auto" w:fill="FFFFFF"/>
            <w:vAlign w:val="center"/>
          </w:tcPr>
          <w:p w14:paraId="19AE9D57">
            <w:pPr>
              <w:jc w:val="center"/>
              <w:rPr>
                <w:rFonts w:ascii="Times New Roman" w:eastAsia="仿宋"/>
                <w:szCs w:val="21"/>
              </w:rPr>
            </w:pPr>
            <w:r>
              <w:rPr>
                <w:rFonts w:ascii="Times New Roman" w:eastAsia="仿宋"/>
                <w:szCs w:val="21"/>
              </w:rPr>
              <w:t>54</w:t>
            </w:r>
          </w:p>
        </w:tc>
      </w:tr>
      <w:tr w14:paraId="4EA2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C98436B">
            <w:pPr>
              <w:jc w:val="center"/>
              <w:rPr>
                <w:rFonts w:ascii="Times New Roman" w:eastAsia="仿宋"/>
                <w:szCs w:val="21"/>
              </w:rPr>
            </w:pPr>
            <w:r>
              <w:rPr>
                <w:rFonts w:ascii="Times New Roman" w:eastAsia="仿宋"/>
                <w:szCs w:val="21"/>
              </w:rPr>
              <w:t>16</w:t>
            </w:r>
          </w:p>
        </w:tc>
        <w:tc>
          <w:tcPr>
            <w:tcW w:w="1853" w:type="pct"/>
            <w:shd w:val="clear" w:color="auto" w:fill="FFFFFF"/>
            <w:vAlign w:val="center"/>
          </w:tcPr>
          <w:p w14:paraId="09F26687">
            <w:pPr>
              <w:jc w:val="center"/>
              <w:rPr>
                <w:rFonts w:ascii="Times New Roman" w:eastAsia="仿宋"/>
                <w:szCs w:val="21"/>
              </w:rPr>
            </w:pPr>
            <w:r>
              <w:rPr>
                <w:rFonts w:ascii="Times New Roman" w:eastAsia="仿宋"/>
                <w:szCs w:val="21"/>
              </w:rPr>
              <w:t>二氯甲烷</w:t>
            </w:r>
          </w:p>
        </w:tc>
        <w:tc>
          <w:tcPr>
            <w:tcW w:w="2158" w:type="pct"/>
            <w:shd w:val="clear" w:color="auto" w:fill="FFFFFF"/>
            <w:vAlign w:val="center"/>
          </w:tcPr>
          <w:p w14:paraId="1C70B20E">
            <w:pPr>
              <w:jc w:val="center"/>
              <w:rPr>
                <w:rFonts w:ascii="Times New Roman" w:eastAsia="仿宋"/>
                <w:szCs w:val="21"/>
              </w:rPr>
            </w:pPr>
            <w:r>
              <w:rPr>
                <w:rFonts w:ascii="Times New Roman" w:eastAsia="仿宋"/>
                <w:szCs w:val="21"/>
              </w:rPr>
              <w:t>616</w:t>
            </w:r>
          </w:p>
        </w:tc>
      </w:tr>
      <w:tr w14:paraId="2EA4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D4B355B">
            <w:pPr>
              <w:jc w:val="center"/>
              <w:rPr>
                <w:rFonts w:ascii="Times New Roman" w:eastAsia="仿宋"/>
                <w:szCs w:val="21"/>
              </w:rPr>
            </w:pPr>
            <w:r>
              <w:rPr>
                <w:rFonts w:ascii="Times New Roman" w:eastAsia="仿宋"/>
                <w:szCs w:val="21"/>
              </w:rPr>
              <w:t>17</w:t>
            </w:r>
          </w:p>
        </w:tc>
        <w:tc>
          <w:tcPr>
            <w:tcW w:w="1853" w:type="pct"/>
            <w:shd w:val="clear" w:color="auto" w:fill="FFFFFF"/>
            <w:vAlign w:val="center"/>
          </w:tcPr>
          <w:p w14:paraId="63176D96">
            <w:pPr>
              <w:jc w:val="center"/>
              <w:rPr>
                <w:rFonts w:ascii="Times New Roman" w:eastAsia="仿宋"/>
                <w:szCs w:val="21"/>
              </w:rPr>
            </w:pPr>
            <w:r>
              <w:rPr>
                <w:rFonts w:ascii="Times New Roman" w:eastAsia="仿宋"/>
                <w:szCs w:val="21"/>
              </w:rPr>
              <w:t>1,2-二氯丙烷</w:t>
            </w:r>
          </w:p>
        </w:tc>
        <w:tc>
          <w:tcPr>
            <w:tcW w:w="2158" w:type="pct"/>
            <w:shd w:val="clear" w:color="auto" w:fill="FFFFFF"/>
            <w:vAlign w:val="center"/>
          </w:tcPr>
          <w:p w14:paraId="6E0F33F5">
            <w:pPr>
              <w:jc w:val="center"/>
              <w:rPr>
                <w:rFonts w:ascii="Times New Roman" w:eastAsia="仿宋"/>
                <w:szCs w:val="21"/>
              </w:rPr>
            </w:pPr>
            <w:r>
              <w:rPr>
                <w:rFonts w:ascii="Times New Roman" w:eastAsia="仿宋"/>
                <w:szCs w:val="21"/>
              </w:rPr>
              <w:t>5</w:t>
            </w:r>
          </w:p>
        </w:tc>
      </w:tr>
      <w:tr w14:paraId="1B4A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6A363CD">
            <w:pPr>
              <w:jc w:val="center"/>
              <w:rPr>
                <w:rFonts w:ascii="Times New Roman" w:eastAsia="仿宋"/>
                <w:szCs w:val="21"/>
              </w:rPr>
            </w:pPr>
            <w:r>
              <w:rPr>
                <w:rFonts w:ascii="Times New Roman" w:eastAsia="仿宋"/>
                <w:szCs w:val="21"/>
              </w:rPr>
              <w:t>18</w:t>
            </w:r>
          </w:p>
        </w:tc>
        <w:tc>
          <w:tcPr>
            <w:tcW w:w="1853" w:type="pct"/>
            <w:shd w:val="clear" w:color="auto" w:fill="FFFFFF"/>
            <w:vAlign w:val="center"/>
          </w:tcPr>
          <w:p w14:paraId="70BA8587">
            <w:pPr>
              <w:jc w:val="center"/>
              <w:rPr>
                <w:rFonts w:ascii="Times New Roman" w:eastAsia="仿宋"/>
                <w:szCs w:val="21"/>
              </w:rPr>
            </w:pPr>
            <w:r>
              <w:rPr>
                <w:rFonts w:ascii="Times New Roman" w:eastAsia="仿宋"/>
                <w:szCs w:val="21"/>
              </w:rPr>
              <w:t>1,1,1,2-四氯乙烷</w:t>
            </w:r>
          </w:p>
        </w:tc>
        <w:tc>
          <w:tcPr>
            <w:tcW w:w="2158" w:type="pct"/>
            <w:shd w:val="clear" w:color="auto" w:fill="FFFFFF"/>
            <w:vAlign w:val="center"/>
          </w:tcPr>
          <w:p w14:paraId="01DA527C">
            <w:pPr>
              <w:jc w:val="center"/>
              <w:rPr>
                <w:rFonts w:ascii="Times New Roman" w:eastAsia="仿宋"/>
                <w:szCs w:val="21"/>
              </w:rPr>
            </w:pPr>
            <w:r>
              <w:rPr>
                <w:rFonts w:ascii="Times New Roman" w:eastAsia="仿宋"/>
                <w:szCs w:val="21"/>
              </w:rPr>
              <w:t>10</w:t>
            </w:r>
          </w:p>
        </w:tc>
      </w:tr>
      <w:tr w14:paraId="7ACA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A0DE8D4">
            <w:pPr>
              <w:jc w:val="center"/>
              <w:rPr>
                <w:rFonts w:ascii="Times New Roman" w:eastAsia="仿宋"/>
                <w:szCs w:val="21"/>
              </w:rPr>
            </w:pPr>
            <w:r>
              <w:rPr>
                <w:rFonts w:ascii="Times New Roman" w:eastAsia="仿宋"/>
                <w:szCs w:val="21"/>
              </w:rPr>
              <w:t>19</w:t>
            </w:r>
          </w:p>
        </w:tc>
        <w:tc>
          <w:tcPr>
            <w:tcW w:w="1853" w:type="pct"/>
            <w:shd w:val="clear" w:color="auto" w:fill="FFFFFF"/>
            <w:vAlign w:val="center"/>
          </w:tcPr>
          <w:p w14:paraId="1EED16AD">
            <w:pPr>
              <w:jc w:val="center"/>
              <w:rPr>
                <w:rFonts w:ascii="Times New Roman" w:eastAsia="仿宋"/>
                <w:szCs w:val="21"/>
              </w:rPr>
            </w:pPr>
            <w:r>
              <w:rPr>
                <w:rFonts w:ascii="Times New Roman" w:eastAsia="仿宋"/>
                <w:szCs w:val="21"/>
              </w:rPr>
              <w:t>1,1,2,2-四氯乙烷</w:t>
            </w:r>
          </w:p>
        </w:tc>
        <w:tc>
          <w:tcPr>
            <w:tcW w:w="2158" w:type="pct"/>
            <w:shd w:val="clear" w:color="auto" w:fill="FFFFFF"/>
            <w:vAlign w:val="center"/>
          </w:tcPr>
          <w:p w14:paraId="01E9331E">
            <w:pPr>
              <w:jc w:val="center"/>
              <w:rPr>
                <w:rFonts w:ascii="Times New Roman" w:eastAsia="仿宋"/>
                <w:szCs w:val="21"/>
              </w:rPr>
            </w:pPr>
            <w:r>
              <w:rPr>
                <w:rFonts w:ascii="Times New Roman" w:eastAsia="仿宋"/>
                <w:szCs w:val="21"/>
              </w:rPr>
              <w:t>6.8</w:t>
            </w:r>
          </w:p>
        </w:tc>
      </w:tr>
      <w:tr w14:paraId="6D16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15F09F8E">
            <w:pPr>
              <w:jc w:val="center"/>
              <w:rPr>
                <w:rFonts w:ascii="Times New Roman" w:eastAsia="仿宋"/>
                <w:szCs w:val="21"/>
              </w:rPr>
            </w:pPr>
            <w:r>
              <w:rPr>
                <w:rFonts w:ascii="Times New Roman" w:eastAsia="仿宋"/>
                <w:szCs w:val="21"/>
              </w:rPr>
              <w:t>20</w:t>
            </w:r>
          </w:p>
        </w:tc>
        <w:tc>
          <w:tcPr>
            <w:tcW w:w="1853" w:type="pct"/>
            <w:shd w:val="clear" w:color="auto" w:fill="FFFFFF"/>
            <w:vAlign w:val="center"/>
          </w:tcPr>
          <w:p w14:paraId="762814C8">
            <w:pPr>
              <w:jc w:val="center"/>
              <w:rPr>
                <w:rFonts w:ascii="Times New Roman" w:eastAsia="仿宋"/>
                <w:szCs w:val="21"/>
              </w:rPr>
            </w:pPr>
            <w:r>
              <w:rPr>
                <w:rFonts w:ascii="Times New Roman" w:eastAsia="仿宋"/>
                <w:szCs w:val="21"/>
              </w:rPr>
              <w:t>四氯乙烯</w:t>
            </w:r>
          </w:p>
        </w:tc>
        <w:tc>
          <w:tcPr>
            <w:tcW w:w="2158" w:type="pct"/>
            <w:shd w:val="clear" w:color="auto" w:fill="FFFFFF"/>
            <w:vAlign w:val="center"/>
          </w:tcPr>
          <w:p w14:paraId="474E7B2D">
            <w:pPr>
              <w:jc w:val="center"/>
              <w:rPr>
                <w:rFonts w:ascii="Times New Roman" w:eastAsia="仿宋"/>
                <w:szCs w:val="21"/>
              </w:rPr>
            </w:pPr>
            <w:r>
              <w:rPr>
                <w:rFonts w:ascii="Times New Roman" w:eastAsia="仿宋"/>
                <w:szCs w:val="21"/>
              </w:rPr>
              <w:t>53</w:t>
            </w:r>
          </w:p>
        </w:tc>
      </w:tr>
      <w:tr w14:paraId="7616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16303D5">
            <w:pPr>
              <w:jc w:val="center"/>
              <w:rPr>
                <w:rFonts w:ascii="Times New Roman" w:eastAsia="仿宋"/>
                <w:szCs w:val="21"/>
              </w:rPr>
            </w:pPr>
            <w:r>
              <w:rPr>
                <w:rFonts w:ascii="Times New Roman" w:eastAsia="仿宋"/>
                <w:szCs w:val="21"/>
              </w:rPr>
              <w:t>21</w:t>
            </w:r>
          </w:p>
        </w:tc>
        <w:tc>
          <w:tcPr>
            <w:tcW w:w="1853" w:type="pct"/>
            <w:shd w:val="clear" w:color="auto" w:fill="FFFFFF"/>
            <w:vAlign w:val="center"/>
          </w:tcPr>
          <w:p w14:paraId="7B65A7B7">
            <w:pPr>
              <w:jc w:val="center"/>
              <w:rPr>
                <w:rFonts w:ascii="Times New Roman" w:eastAsia="仿宋"/>
                <w:szCs w:val="21"/>
              </w:rPr>
            </w:pPr>
            <w:r>
              <w:rPr>
                <w:rFonts w:ascii="Times New Roman" w:eastAsia="仿宋"/>
                <w:szCs w:val="21"/>
              </w:rPr>
              <w:t>1,1,1-三氯乙烷</w:t>
            </w:r>
          </w:p>
        </w:tc>
        <w:tc>
          <w:tcPr>
            <w:tcW w:w="2158" w:type="pct"/>
            <w:shd w:val="clear" w:color="auto" w:fill="FFFFFF"/>
            <w:vAlign w:val="center"/>
          </w:tcPr>
          <w:p w14:paraId="2D11827D">
            <w:pPr>
              <w:jc w:val="center"/>
              <w:rPr>
                <w:rFonts w:ascii="Times New Roman" w:eastAsia="仿宋"/>
                <w:szCs w:val="21"/>
              </w:rPr>
            </w:pPr>
            <w:r>
              <w:rPr>
                <w:rFonts w:ascii="Times New Roman" w:eastAsia="仿宋"/>
                <w:szCs w:val="21"/>
              </w:rPr>
              <w:t>840</w:t>
            </w:r>
          </w:p>
        </w:tc>
      </w:tr>
      <w:tr w14:paraId="7674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352E9EF">
            <w:pPr>
              <w:jc w:val="center"/>
              <w:rPr>
                <w:rFonts w:ascii="Times New Roman" w:eastAsia="仿宋"/>
                <w:szCs w:val="21"/>
              </w:rPr>
            </w:pPr>
            <w:r>
              <w:rPr>
                <w:rFonts w:ascii="Times New Roman" w:eastAsia="仿宋"/>
                <w:szCs w:val="21"/>
              </w:rPr>
              <w:t>22</w:t>
            </w:r>
          </w:p>
        </w:tc>
        <w:tc>
          <w:tcPr>
            <w:tcW w:w="1853" w:type="pct"/>
            <w:shd w:val="clear" w:color="auto" w:fill="FFFFFF"/>
            <w:vAlign w:val="center"/>
          </w:tcPr>
          <w:p w14:paraId="32472DC4">
            <w:pPr>
              <w:jc w:val="center"/>
              <w:rPr>
                <w:rFonts w:ascii="Times New Roman" w:eastAsia="仿宋"/>
                <w:szCs w:val="21"/>
              </w:rPr>
            </w:pPr>
            <w:r>
              <w:rPr>
                <w:rFonts w:ascii="Times New Roman" w:eastAsia="仿宋"/>
                <w:szCs w:val="21"/>
              </w:rPr>
              <w:t>1,1,2-三氯乙烷</w:t>
            </w:r>
          </w:p>
        </w:tc>
        <w:tc>
          <w:tcPr>
            <w:tcW w:w="2158" w:type="pct"/>
            <w:shd w:val="clear" w:color="auto" w:fill="FFFFFF"/>
            <w:vAlign w:val="center"/>
          </w:tcPr>
          <w:p w14:paraId="5656B0A0">
            <w:pPr>
              <w:jc w:val="center"/>
              <w:rPr>
                <w:rFonts w:ascii="Times New Roman" w:eastAsia="仿宋"/>
                <w:szCs w:val="21"/>
              </w:rPr>
            </w:pPr>
            <w:r>
              <w:rPr>
                <w:rFonts w:ascii="Times New Roman" w:eastAsia="仿宋"/>
                <w:szCs w:val="21"/>
              </w:rPr>
              <w:t>2.8</w:t>
            </w:r>
          </w:p>
        </w:tc>
      </w:tr>
      <w:tr w14:paraId="61B4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7531C2A1">
            <w:pPr>
              <w:jc w:val="center"/>
              <w:rPr>
                <w:rFonts w:ascii="Times New Roman" w:eastAsia="仿宋"/>
                <w:szCs w:val="21"/>
              </w:rPr>
            </w:pPr>
            <w:r>
              <w:rPr>
                <w:rFonts w:ascii="Times New Roman" w:eastAsia="仿宋"/>
                <w:szCs w:val="21"/>
              </w:rPr>
              <w:t>23</w:t>
            </w:r>
          </w:p>
        </w:tc>
        <w:tc>
          <w:tcPr>
            <w:tcW w:w="1853" w:type="pct"/>
            <w:shd w:val="clear" w:color="auto" w:fill="FFFFFF"/>
            <w:vAlign w:val="center"/>
          </w:tcPr>
          <w:p w14:paraId="482184D6">
            <w:pPr>
              <w:jc w:val="center"/>
              <w:rPr>
                <w:rFonts w:ascii="Times New Roman" w:eastAsia="仿宋"/>
                <w:szCs w:val="21"/>
              </w:rPr>
            </w:pPr>
            <w:r>
              <w:rPr>
                <w:rFonts w:ascii="Times New Roman" w:eastAsia="仿宋"/>
                <w:szCs w:val="21"/>
              </w:rPr>
              <w:t>三氯乙烯</w:t>
            </w:r>
          </w:p>
        </w:tc>
        <w:tc>
          <w:tcPr>
            <w:tcW w:w="2158" w:type="pct"/>
            <w:shd w:val="clear" w:color="auto" w:fill="FFFFFF"/>
            <w:vAlign w:val="center"/>
          </w:tcPr>
          <w:p w14:paraId="0F4528DD">
            <w:pPr>
              <w:jc w:val="center"/>
              <w:rPr>
                <w:rFonts w:ascii="Times New Roman" w:eastAsia="仿宋"/>
                <w:szCs w:val="21"/>
              </w:rPr>
            </w:pPr>
            <w:r>
              <w:rPr>
                <w:rFonts w:ascii="Times New Roman" w:eastAsia="仿宋"/>
                <w:szCs w:val="21"/>
              </w:rPr>
              <w:t>2.8</w:t>
            </w:r>
          </w:p>
        </w:tc>
      </w:tr>
      <w:tr w14:paraId="4CCA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B942795">
            <w:pPr>
              <w:jc w:val="center"/>
              <w:rPr>
                <w:rFonts w:ascii="Times New Roman" w:eastAsia="仿宋"/>
                <w:szCs w:val="21"/>
              </w:rPr>
            </w:pPr>
            <w:r>
              <w:rPr>
                <w:rFonts w:ascii="Times New Roman" w:eastAsia="仿宋"/>
                <w:szCs w:val="21"/>
              </w:rPr>
              <w:t>24</w:t>
            </w:r>
          </w:p>
        </w:tc>
        <w:tc>
          <w:tcPr>
            <w:tcW w:w="1853" w:type="pct"/>
            <w:shd w:val="clear" w:color="auto" w:fill="FFFFFF"/>
            <w:vAlign w:val="center"/>
          </w:tcPr>
          <w:p w14:paraId="70EA82A5">
            <w:pPr>
              <w:jc w:val="center"/>
              <w:rPr>
                <w:rFonts w:ascii="Times New Roman" w:eastAsia="仿宋"/>
                <w:szCs w:val="21"/>
              </w:rPr>
            </w:pPr>
            <w:r>
              <w:rPr>
                <w:rFonts w:ascii="Times New Roman" w:eastAsia="仿宋"/>
                <w:szCs w:val="21"/>
              </w:rPr>
              <w:t>1,2,3-三氯丙烷</w:t>
            </w:r>
          </w:p>
        </w:tc>
        <w:tc>
          <w:tcPr>
            <w:tcW w:w="2158" w:type="pct"/>
            <w:shd w:val="clear" w:color="auto" w:fill="FFFFFF"/>
            <w:vAlign w:val="center"/>
          </w:tcPr>
          <w:p w14:paraId="0F471190">
            <w:pPr>
              <w:jc w:val="center"/>
              <w:rPr>
                <w:rFonts w:ascii="Times New Roman" w:eastAsia="仿宋"/>
                <w:szCs w:val="21"/>
              </w:rPr>
            </w:pPr>
            <w:r>
              <w:rPr>
                <w:rFonts w:ascii="Times New Roman" w:eastAsia="仿宋"/>
                <w:szCs w:val="21"/>
              </w:rPr>
              <w:t>0.5</w:t>
            </w:r>
          </w:p>
        </w:tc>
      </w:tr>
      <w:tr w14:paraId="3BD9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70686A4">
            <w:pPr>
              <w:jc w:val="center"/>
              <w:rPr>
                <w:rFonts w:ascii="Times New Roman" w:eastAsia="仿宋"/>
                <w:szCs w:val="21"/>
              </w:rPr>
            </w:pPr>
            <w:r>
              <w:rPr>
                <w:rFonts w:ascii="Times New Roman" w:eastAsia="仿宋"/>
                <w:szCs w:val="21"/>
              </w:rPr>
              <w:t>25</w:t>
            </w:r>
          </w:p>
        </w:tc>
        <w:tc>
          <w:tcPr>
            <w:tcW w:w="1853" w:type="pct"/>
            <w:shd w:val="clear" w:color="auto" w:fill="FFFFFF"/>
            <w:vAlign w:val="center"/>
          </w:tcPr>
          <w:p w14:paraId="4049262D">
            <w:pPr>
              <w:jc w:val="center"/>
              <w:rPr>
                <w:rFonts w:ascii="Times New Roman" w:eastAsia="仿宋"/>
                <w:szCs w:val="21"/>
              </w:rPr>
            </w:pPr>
            <w:r>
              <w:rPr>
                <w:rFonts w:ascii="Times New Roman" w:eastAsia="仿宋"/>
                <w:szCs w:val="21"/>
              </w:rPr>
              <w:t>氯乙烯</w:t>
            </w:r>
          </w:p>
        </w:tc>
        <w:tc>
          <w:tcPr>
            <w:tcW w:w="2158" w:type="pct"/>
            <w:shd w:val="clear" w:color="auto" w:fill="FFFFFF"/>
            <w:vAlign w:val="center"/>
          </w:tcPr>
          <w:p w14:paraId="34C0A279">
            <w:pPr>
              <w:jc w:val="center"/>
              <w:rPr>
                <w:rFonts w:ascii="Times New Roman" w:eastAsia="仿宋"/>
                <w:szCs w:val="21"/>
              </w:rPr>
            </w:pPr>
            <w:r>
              <w:rPr>
                <w:rFonts w:ascii="Times New Roman" w:eastAsia="仿宋"/>
                <w:szCs w:val="21"/>
              </w:rPr>
              <w:t>0.43</w:t>
            </w:r>
          </w:p>
        </w:tc>
      </w:tr>
      <w:tr w14:paraId="19C5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7F93CF9">
            <w:pPr>
              <w:jc w:val="center"/>
              <w:rPr>
                <w:rFonts w:ascii="Times New Roman" w:eastAsia="仿宋"/>
                <w:szCs w:val="21"/>
              </w:rPr>
            </w:pPr>
            <w:r>
              <w:rPr>
                <w:rFonts w:ascii="Times New Roman" w:eastAsia="仿宋"/>
                <w:szCs w:val="21"/>
              </w:rPr>
              <w:t>26</w:t>
            </w:r>
          </w:p>
        </w:tc>
        <w:tc>
          <w:tcPr>
            <w:tcW w:w="1853" w:type="pct"/>
            <w:shd w:val="clear" w:color="auto" w:fill="FFFFFF"/>
            <w:vAlign w:val="center"/>
          </w:tcPr>
          <w:p w14:paraId="56A9C11E">
            <w:pPr>
              <w:jc w:val="center"/>
              <w:rPr>
                <w:rFonts w:ascii="Times New Roman" w:eastAsia="仿宋"/>
                <w:szCs w:val="21"/>
              </w:rPr>
            </w:pPr>
            <w:r>
              <w:rPr>
                <w:rFonts w:ascii="Times New Roman" w:eastAsia="仿宋"/>
                <w:szCs w:val="21"/>
              </w:rPr>
              <w:t>苯</w:t>
            </w:r>
          </w:p>
        </w:tc>
        <w:tc>
          <w:tcPr>
            <w:tcW w:w="2158" w:type="pct"/>
            <w:shd w:val="clear" w:color="auto" w:fill="FFFFFF"/>
            <w:vAlign w:val="center"/>
          </w:tcPr>
          <w:p w14:paraId="38536909">
            <w:pPr>
              <w:jc w:val="center"/>
              <w:rPr>
                <w:rFonts w:ascii="Times New Roman" w:eastAsia="仿宋"/>
                <w:szCs w:val="21"/>
              </w:rPr>
            </w:pPr>
            <w:r>
              <w:rPr>
                <w:rFonts w:ascii="Times New Roman" w:eastAsia="仿宋"/>
                <w:szCs w:val="21"/>
              </w:rPr>
              <w:t>4</w:t>
            </w:r>
          </w:p>
        </w:tc>
      </w:tr>
      <w:tr w14:paraId="7446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987" w:type="pct"/>
            <w:shd w:val="clear" w:color="auto" w:fill="FFFFFF"/>
            <w:vAlign w:val="center"/>
          </w:tcPr>
          <w:p w14:paraId="761FBBEF">
            <w:pPr>
              <w:jc w:val="center"/>
              <w:rPr>
                <w:rFonts w:ascii="Times New Roman" w:eastAsia="仿宋"/>
                <w:szCs w:val="21"/>
              </w:rPr>
            </w:pPr>
            <w:r>
              <w:rPr>
                <w:rFonts w:ascii="Times New Roman" w:eastAsia="仿宋"/>
                <w:szCs w:val="21"/>
              </w:rPr>
              <w:t>27</w:t>
            </w:r>
          </w:p>
        </w:tc>
        <w:tc>
          <w:tcPr>
            <w:tcW w:w="1853" w:type="pct"/>
            <w:shd w:val="clear" w:color="auto" w:fill="FFFFFF"/>
            <w:vAlign w:val="center"/>
          </w:tcPr>
          <w:p w14:paraId="4000C089">
            <w:pPr>
              <w:jc w:val="center"/>
              <w:rPr>
                <w:rFonts w:ascii="Times New Roman" w:eastAsia="仿宋"/>
                <w:szCs w:val="21"/>
              </w:rPr>
            </w:pPr>
            <w:r>
              <w:rPr>
                <w:rFonts w:ascii="Times New Roman" w:eastAsia="仿宋"/>
                <w:szCs w:val="21"/>
              </w:rPr>
              <w:t>氯苯</w:t>
            </w:r>
          </w:p>
        </w:tc>
        <w:tc>
          <w:tcPr>
            <w:tcW w:w="2158" w:type="pct"/>
            <w:shd w:val="clear" w:color="auto" w:fill="FFFFFF"/>
            <w:vAlign w:val="center"/>
          </w:tcPr>
          <w:p w14:paraId="77BCAC42">
            <w:pPr>
              <w:jc w:val="center"/>
              <w:rPr>
                <w:rFonts w:ascii="Times New Roman" w:eastAsia="仿宋"/>
                <w:szCs w:val="21"/>
              </w:rPr>
            </w:pPr>
            <w:r>
              <w:rPr>
                <w:rFonts w:ascii="Times New Roman" w:eastAsia="仿宋"/>
                <w:szCs w:val="21"/>
              </w:rPr>
              <w:t>270</w:t>
            </w:r>
          </w:p>
        </w:tc>
      </w:tr>
      <w:tr w14:paraId="7FA8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00B18A16">
            <w:pPr>
              <w:jc w:val="center"/>
              <w:rPr>
                <w:rFonts w:ascii="Times New Roman" w:eastAsia="仿宋"/>
                <w:szCs w:val="21"/>
              </w:rPr>
            </w:pPr>
            <w:r>
              <w:rPr>
                <w:rFonts w:ascii="Times New Roman" w:eastAsia="仿宋"/>
                <w:szCs w:val="21"/>
              </w:rPr>
              <w:t>28</w:t>
            </w:r>
          </w:p>
        </w:tc>
        <w:tc>
          <w:tcPr>
            <w:tcW w:w="1853" w:type="pct"/>
            <w:shd w:val="clear" w:color="auto" w:fill="FFFFFF"/>
            <w:vAlign w:val="center"/>
          </w:tcPr>
          <w:p w14:paraId="3554634A">
            <w:pPr>
              <w:jc w:val="center"/>
              <w:rPr>
                <w:rFonts w:ascii="Times New Roman" w:eastAsia="仿宋"/>
                <w:szCs w:val="21"/>
              </w:rPr>
            </w:pPr>
            <w:r>
              <w:rPr>
                <w:rFonts w:ascii="Times New Roman" w:eastAsia="仿宋"/>
                <w:szCs w:val="21"/>
              </w:rPr>
              <w:t>1,2-二氯苯</w:t>
            </w:r>
          </w:p>
        </w:tc>
        <w:tc>
          <w:tcPr>
            <w:tcW w:w="2158" w:type="pct"/>
            <w:shd w:val="clear" w:color="auto" w:fill="FFFFFF"/>
            <w:vAlign w:val="center"/>
          </w:tcPr>
          <w:p w14:paraId="57D31272">
            <w:pPr>
              <w:jc w:val="center"/>
              <w:rPr>
                <w:rFonts w:ascii="Times New Roman" w:eastAsia="仿宋"/>
                <w:szCs w:val="21"/>
              </w:rPr>
            </w:pPr>
            <w:r>
              <w:rPr>
                <w:rFonts w:ascii="Times New Roman" w:eastAsia="仿宋"/>
                <w:szCs w:val="21"/>
              </w:rPr>
              <w:t>560</w:t>
            </w:r>
          </w:p>
        </w:tc>
      </w:tr>
      <w:tr w14:paraId="2B89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CC161BB">
            <w:pPr>
              <w:jc w:val="center"/>
              <w:rPr>
                <w:rFonts w:ascii="Times New Roman" w:eastAsia="仿宋"/>
                <w:szCs w:val="21"/>
              </w:rPr>
            </w:pPr>
            <w:r>
              <w:rPr>
                <w:rFonts w:ascii="Times New Roman" w:eastAsia="仿宋"/>
                <w:szCs w:val="21"/>
              </w:rPr>
              <w:t>29</w:t>
            </w:r>
          </w:p>
        </w:tc>
        <w:tc>
          <w:tcPr>
            <w:tcW w:w="1853" w:type="pct"/>
            <w:shd w:val="clear" w:color="auto" w:fill="FFFFFF"/>
            <w:vAlign w:val="center"/>
          </w:tcPr>
          <w:p w14:paraId="3703FEDC">
            <w:pPr>
              <w:jc w:val="center"/>
              <w:rPr>
                <w:rFonts w:ascii="Times New Roman" w:eastAsia="仿宋"/>
                <w:szCs w:val="21"/>
              </w:rPr>
            </w:pPr>
            <w:r>
              <w:rPr>
                <w:rFonts w:ascii="Times New Roman" w:eastAsia="仿宋"/>
                <w:szCs w:val="21"/>
              </w:rPr>
              <w:t>1,4-二氯苯</w:t>
            </w:r>
          </w:p>
        </w:tc>
        <w:tc>
          <w:tcPr>
            <w:tcW w:w="2158" w:type="pct"/>
            <w:shd w:val="clear" w:color="auto" w:fill="FFFFFF"/>
            <w:vAlign w:val="center"/>
          </w:tcPr>
          <w:p w14:paraId="4DB4BC29">
            <w:pPr>
              <w:jc w:val="center"/>
              <w:rPr>
                <w:rFonts w:ascii="Times New Roman" w:eastAsia="仿宋"/>
                <w:szCs w:val="21"/>
              </w:rPr>
            </w:pPr>
            <w:r>
              <w:rPr>
                <w:rFonts w:ascii="Times New Roman" w:eastAsia="仿宋"/>
                <w:szCs w:val="21"/>
              </w:rPr>
              <w:t>20</w:t>
            </w:r>
          </w:p>
        </w:tc>
      </w:tr>
      <w:tr w14:paraId="3327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6ACCEB46">
            <w:pPr>
              <w:jc w:val="center"/>
              <w:rPr>
                <w:rFonts w:ascii="Times New Roman" w:eastAsia="仿宋"/>
                <w:szCs w:val="21"/>
              </w:rPr>
            </w:pPr>
            <w:r>
              <w:rPr>
                <w:rFonts w:ascii="Times New Roman" w:eastAsia="仿宋"/>
                <w:szCs w:val="21"/>
              </w:rPr>
              <w:t>30</w:t>
            </w:r>
          </w:p>
        </w:tc>
        <w:tc>
          <w:tcPr>
            <w:tcW w:w="1853" w:type="pct"/>
            <w:shd w:val="clear" w:color="auto" w:fill="FFFFFF"/>
            <w:vAlign w:val="center"/>
          </w:tcPr>
          <w:p w14:paraId="77BE5D6E">
            <w:pPr>
              <w:jc w:val="center"/>
              <w:rPr>
                <w:rFonts w:ascii="Times New Roman" w:eastAsia="仿宋"/>
                <w:szCs w:val="21"/>
              </w:rPr>
            </w:pPr>
            <w:r>
              <w:rPr>
                <w:rFonts w:ascii="Times New Roman" w:eastAsia="仿宋"/>
                <w:szCs w:val="21"/>
              </w:rPr>
              <w:t>乙苯</w:t>
            </w:r>
          </w:p>
        </w:tc>
        <w:tc>
          <w:tcPr>
            <w:tcW w:w="2158" w:type="pct"/>
            <w:shd w:val="clear" w:color="auto" w:fill="FFFFFF"/>
            <w:vAlign w:val="center"/>
          </w:tcPr>
          <w:p w14:paraId="70D2BD27">
            <w:pPr>
              <w:jc w:val="center"/>
              <w:rPr>
                <w:rFonts w:ascii="Times New Roman" w:eastAsia="仿宋"/>
                <w:szCs w:val="21"/>
              </w:rPr>
            </w:pPr>
            <w:r>
              <w:rPr>
                <w:rFonts w:ascii="Times New Roman" w:eastAsia="仿宋"/>
                <w:szCs w:val="21"/>
              </w:rPr>
              <w:t>28</w:t>
            </w:r>
          </w:p>
        </w:tc>
      </w:tr>
      <w:tr w14:paraId="6F2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0B6A2BD5">
            <w:pPr>
              <w:jc w:val="center"/>
              <w:rPr>
                <w:rFonts w:ascii="Times New Roman" w:eastAsia="仿宋"/>
                <w:szCs w:val="21"/>
              </w:rPr>
            </w:pPr>
            <w:r>
              <w:rPr>
                <w:rFonts w:ascii="Times New Roman" w:eastAsia="仿宋"/>
                <w:szCs w:val="21"/>
              </w:rPr>
              <w:t>31</w:t>
            </w:r>
          </w:p>
        </w:tc>
        <w:tc>
          <w:tcPr>
            <w:tcW w:w="1853" w:type="pct"/>
            <w:shd w:val="clear" w:color="auto" w:fill="FFFFFF"/>
            <w:vAlign w:val="center"/>
          </w:tcPr>
          <w:p w14:paraId="75192AD8">
            <w:pPr>
              <w:jc w:val="center"/>
              <w:rPr>
                <w:rFonts w:ascii="Times New Roman" w:eastAsia="仿宋"/>
                <w:szCs w:val="21"/>
              </w:rPr>
            </w:pPr>
            <w:r>
              <w:rPr>
                <w:rFonts w:ascii="Times New Roman" w:eastAsia="仿宋"/>
                <w:szCs w:val="21"/>
              </w:rPr>
              <w:t>苯乙烯</w:t>
            </w:r>
          </w:p>
        </w:tc>
        <w:tc>
          <w:tcPr>
            <w:tcW w:w="2158" w:type="pct"/>
            <w:shd w:val="clear" w:color="auto" w:fill="FFFFFF"/>
            <w:vAlign w:val="center"/>
          </w:tcPr>
          <w:p w14:paraId="6C0FC43C">
            <w:pPr>
              <w:jc w:val="center"/>
              <w:rPr>
                <w:rFonts w:ascii="Times New Roman" w:eastAsia="仿宋"/>
                <w:szCs w:val="21"/>
              </w:rPr>
            </w:pPr>
            <w:r>
              <w:rPr>
                <w:rFonts w:ascii="Times New Roman" w:eastAsia="仿宋"/>
                <w:szCs w:val="21"/>
              </w:rPr>
              <w:t>1290</w:t>
            </w:r>
          </w:p>
        </w:tc>
      </w:tr>
      <w:tr w14:paraId="2DFB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478DD27">
            <w:pPr>
              <w:jc w:val="center"/>
              <w:rPr>
                <w:rFonts w:ascii="Times New Roman" w:eastAsia="仿宋"/>
                <w:szCs w:val="21"/>
              </w:rPr>
            </w:pPr>
            <w:r>
              <w:rPr>
                <w:rFonts w:ascii="Times New Roman" w:eastAsia="仿宋"/>
                <w:szCs w:val="21"/>
              </w:rPr>
              <w:t>32</w:t>
            </w:r>
          </w:p>
        </w:tc>
        <w:tc>
          <w:tcPr>
            <w:tcW w:w="1853" w:type="pct"/>
            <w:shd w:val="clear" w:color="auto" w:fill="FFFFFF"/>
            <w:vAlign w:val="center"/>
          </w:tcPr>
          <w:p w14:paraId="20328014">
            <w:pPr>
              <w:jc w:val="center"/>
              <w:rPr>
                <w:rFonts w:ascii="Times New Roman" w:eastAsia="仿宋"/>
                <w:szCs w:val="21"/>
              </w:rPr>
            </w:pPr>
            <w:r>
              <w:rPr>
                <w:rFonts w:ascii="Times New Roman" w:eastAsia="仿宋"/>
                <w:szCs w:val="21"/>
              </w:rPr>
              <w:t>甲苯</w:t>
            </w:r>
          </w:p>
        </w:tc>
        <w:tc>
          <w:tcPr>
            <w:tcW w:w="2158" w:type="pct"/>
            <w:shd w:val="clear" w:color="auto" w:fill="FFFFFF"/>
            <w:vAlign w:val="center"/>
          </w:tcPr>
          <w:p w14:paraId="08AC52DF">
            <w:pPr>
              <w:jc w:val="center"/>
              <w:rPr>
                <w:rFonts w:ascii="Times New Roman" w:eastAsia="仿宋"/>
                <w:szCs w:val="21"/>
              </w:rPr>
            </w:pPr>
            <w:r>
              <w:rPr>
                <w:rFonts w:ascii="Times New Roman" w:eastAsia="仿宋"/>
                <w:szCs w:val="21"/>
              </w:rPr>
              <w:t>1200</w:t>
            </w:r>
          </w:p>
        </w:tc>
      </w:tr>
      <w:tr w14:paraId="536F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E7FFCD4">
            <w:pPr>
              <w:jc w:val="center"/>
              <w:rPr>
                <w:rFonts w:ascii="Times New Roman" w:eastAsia="仿宋"/>
                <w:szCs w:val="21"/>
              </w:rPr>
            </w:pPr>
            <w:r>
              <w:rPr>
                <w:rFonts w:ascii="Times New Roman" w:eastAsia="仿宋"/>
                <w:szCs w:val="21"/>
              </w:rPr>
              <w:t>33</w:t>
            </w:r>
          </w:p>
        </w:tc>
        <w:tc>
          <w:tcPr>
            <w:tcW w:w="1853" w:type="pct"/>
            <w:shd w:val="clear" w:color="auto" w:fill="FFFFFF"/>
            <w:vAlign w:val="center"/>
          </w:tcPr>
          <w:p w14:paraId="21ADF3D8">
            <w:pPr>
              <w:jc w:val="center"/>
              <w:rPr>
                <w:rFonts w:ascii="Times New Roman" w:eastAsia="仿宋"/>
                <w:szCs w:val="21"/>
              </w:rPr>
            </w:pPr>
            <w:r>
              <w:rPr>
                <w:rFonts w:ascii="Times New Roman" w:eastAsia="仿宋"/>
                <w:szCs w:val="21"/>
              </w:rPr>
              <w:t>间二甲苯+对二甲苯</w:t>
            </w:r>
          </w:p>
        </w:tc>
        <w:tc>
          <w:tcPr>
            <w:tcW w:w="2158" w:type="pct"/>
            <w:shd w:val="clear" w:color="auto" w:fill="FFFFFF"/>
            <w:vAlign w:val="center"/>
          </w:tcPr>
          <w:p w14:paraId="561275E3">
            <w:pPr>
              <w:jc w:val="center"/>
              <w:rPr>
                <w:rFonts w:ascii="Times New Roman" w:eastAsia="仿宋"/>
                <w:szCs w:val="21"/>
              </w:rPr>
            </w:pPr>
            <w:r>
              <w:rPr>
                <w:rFonts w:ascii="Times New Roman" w:eastAsia="仿宋"/>
                <w:szCs w:val="21"/>
              </w:rPr>
              <w:t>570</w:t>
            </w:r>
          </w:p>
        </w:tc>
      </w:tr>
      <w:tr w14:paraId="1D73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D6BE90B">
            <w:pPr>
              <w:jc w:val="center"/>
              <w:rPr>
                <w:rFonts w:ascii="Times New Roman" w:eastAsia="仿宋"/>
                <w:szCs w:val="21"/>
              </w:rPr>
            </w:pPr>
            <w:r>
              <w:rPr>
                <w:rFonts w:ascii="Times New Roman" w:eastAsia="仿宋"/>
                <w:szCs w:val="21"/>
              </w:rPr>
              <w:t>34</w:t>
            </w:r>
          </w:p>
        </w:tc>
        <w:tc>
          <w:tcPr>
            <w:tcW w:w="1853" w:type="pct"/>
            <w:shd w:val="clear" w:color="auto" w:fill="FFFFFF"/>
            <w:vAlign w:val="center"/>
          </w:tcPr>
          <w:p w14:paraId="2CAC6519">
            <w:pPr>
              <w:jc w:val="center"/>
              <w:rPr>
                <w:rFonts w:ascii="Times New Roman" w:eastAsia="仿宋"/>
                <w:szCs w:val="21"/>
              </w:rPr>
            </w:pPr>
            <w:r>
              <w:rPr>
                <w:rFonts w:ascii="Times New Roman" w:eastAsia="仿宋"/>
                <w:szCs w:val="21"/>
              </w:rPr>
              <w:t>邻二甲苯</w:t>
            </w:r>
          </w:p>
        </w:tc>
        <w:tc>
          <w:tcPr>
            <w:tcW w:w="2158" w:type="pct"/>
            <w:shd w:val="clear" w:color="auto" w:fill="FFFFFF"/>
            <w:vAlign w:val="center"/>
          </w:tcPr>
          <w:p w14:paraId="15E45CEC">
            <w:pPr>
              <w:jc w:val="center"/>
              <w:rPr>
                <w:rFonts w:ascii="Times New Roman" w:eastAsia="仿宋"/>
                <w:szCs w:val="21"/>
              </w:rPr>
            </w:pPr>
            <w:r>
              <w:rPr>
                <w:rFonts w:ascii="Times New Roman" w:eastAsia="仿宋"/>
                <w:szCs w:val="21"/>
              </w:rPr>
              <w:t>640</w:t>
            </w:r>
          </w:p>
        </w:tc>
      </w:tr>
      <w:tr w14:paraId="4586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A812D6A">
            <w:pPr>
              <w:jc w:val="center"/>
              <w:rPr>
                <w:rFonts w:ascii="Times New Roman" w:eastAsia="仿宋"/>
                <w:szCs w:val="21"/>
              </w:rPr>
            </w:pPr>
            <w:r>
              <w:rPr>
                <w:rFonts w:ascii="Times New Roman" w:eastAsia="仿宋"/>
                <w:szCs w:val="21"/>
              </w:rPr>
              <w:t>35</w:t>
            </w:r>
          </w:p>
        </w:tc>
        <w:tc>
          <w:tcPr>
            <w:tcW w:w="1853" w:type="pct"/>
            <w:shd w:val="clear" w:color="auto" w:fill="FFFFFF"/>
            <w:vAlign w:val="center"/>
          </w:tcPr>
          <w:p w14:paraId="0F65BF52">
            <w:pPr>
              <w:jc w:val="center"/>
              <w:rPr>
                <w:rFonts w:ascii="Times New Roman" w:eastAsia="仿宋"/>
                <w:szCs w:val="21"/>
              </w:rPr>
            </w:pPr>
            <w:r>
              <w:rPr>
                <w:rFonts w:ascii="Times New Roman" w:eastAsia="仿宋"/>
                <w:szCs w:val="21"/>
              </w:rPr>
              <w:t>硝基苯</w:t>
            </w:r>
          </w:p>
        </w:tc>
        <w:tc>
          <w:tcPr>
            <w:tcW w:w="2158" w:type="pct"/>
            <w:shd w:val="clear" w:color="auto" w:fill="FFFFFF"/>
            <w:vAlign w:val="center"/>
          </w:tcPr>
          <w:p w14:paraId="311D4C61">
            <w:pPr>
              <w:jc w:val="center"/>
              <w:rPr>
                <w:rFonts w:ascii="Times New Roman" w:eastAsia="仿宋"/>
                <w:szCs w:val="21"/>
              </w:rPr>
            </w:pPr>
            <w:r>
              <w:rPr>
                <w:rFonts w:ascii="Times New Roman" w:eastAsia="仿宋"/>
                <w:szCs w:val="21"/>
              </w:rPr>
              <w:t>76</w:t>
            </w:r>
          </w:p>
        </w:tc>
      </w:tr>
      <w:tr w14:paraId="5515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D53452E">
            <w:pPr>
              <w:jc w:val="center"/>
              <w:rPr>
                <w:rFonts w:ascii="Times New Roman" w:eastAsia="仿宋"/>
                <w:szCs w:val="21"/>
              </w:rPr>
            </w:pPr>
            <w:r>
              <w:rPr>
                <w:rFonts w:ascii="Times New Roman" w:eastAsia="仿宋"/>
                <w:szCs w:val="21"/>
              </w:rPr>
              <w:t>36</w:t>
            </w:r>
          </w:p>
        </w:tc>
        <w:tc>
          <w:tcPr>
            <w:tcW w:w="1853" w:type="pct"/>
            <w:shd w:val="clear" w:color="auto" w:fill="FFFFFF"/>
            <w:vAlign w:val="center"/>
          </w:tcPr>
          <w:p w14:paraId="1CA65FD8">
            <w:pPr>
              <w:jc w:val="center"/>
              <w:rPr>
                <w:rFonts w:ascii="Times New Roman" w:eastAsia="仿宋"/>
                <w:szCs w:val="21"/>
              </w:rPr>
            </w:pPr>
            <w:r>
              <w:rPr>
                <w:rFonts w:ascii="Times New Roman" w:eastAsia="仿宋"/>
                <w:szCs w:val="21"/>
              </w:rPr>
              <w:t>苯胺</w:t>
            </w:r>
          </w:p>
        </w:tc>
        <w:tc>
          <w:tcPr>
            <w:tcW w:w="2158" w:type="pct"/>
            <w:shd w:val="clear" w:color="auto" w:fill="FFFFFF"/>
            <w:vAlign w:val="center"/>
          </w:tcPr>
          <w:p w14:paraId="37255946">
            <w:pPr>
              <w:jc w:val="center"/>
              <w:rPr>
                <w:rFonts w:ascii="Times New Roman" w:eastAsia="仿宋"/>
                <w:szCs w:val="21"/>
              </w:rPr>
            </w:pPr>
            <w:r>
              <w:rPr>
                <w:rFonts w:ascii="Times New Roman" w:eastAsia="仿宋"/>
                <w:szCs w:val="21"/>
              </w:rPr>
              <w:t>260</w:t>
            </w:r>
          </w:p>
        </w:tc>
      </w:tr>
      <w:tr w14:paraId="592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A93F16B">
            <w:pPr>
              <w:jc w:val="center"/>
              <w:rPr>
                <w:rFonts w:ascii="Times New Roman" w:eastAsia="仿宋"/>
                <w:szCs w:val="21"/>
              </w:rPr>
            </w:pPr>
            <w:r>
              <w:rPr>
                <w:rFonts w:ascii="Times New Roman" w:eastAsia="仿宋"/>
                <w:szCs w:val="21"/>
              </w:rPr>
              <w:t>37</w:t>
            </w:r>
          </w:p>
        </w:tc>
        <w:tc>
          <w:tcPr>
            <w:tcW w:w="1853" w:type="pct"/>
            <w:shd w:val="clear" w:color="auto" w:fill="FFFFFF"/>
            <w:vAlign w:val="center"/>
          </w:tcPr>
          <w:p w14:paraId="4FB406EA">
            <w:pPr>
              <w:jc w:val="center"/>
              <w:rPr>
                <w:rFonts w:ascii="Times New Roman" w:eastAsia="仿宋"/>
                <w:szCs w:val="21"/>
              </w:rPr>
            </w:pPr>
            <w:r>
              <w:rPr>
                <w:rFonts w:hint="eastAsia" w:ascii="Times New Roman" w:eastAsia="仿宋"/>
                <w:szCs w:val="21"/>
              </w:rPr>
              <w:t>2-氯酚</w:t>
            </w:r>
          </w:p>
        </w:tc>
        <w:tc>
          <w:tcPr>
            <w:tcW w:w="2158" w:type="pct"/>
            <w:shd w:val="clear" w:color="auto" w:fill="FFFFFF"/>
            <w:vAlign w:val="center"/>
          </w:tcPr>
          <w:p w14:paraId="04BDA5E8">
            <w:pPr>
              <w:jc w:val="center"/>
              <w:rPr>
                <w:rFonts w:ascii="Times New Roman" w:eastAsia="仿宋"/>
                <w:szCs w:val="21"/>
              </w:rPr>
            </w:pPr>
            <w:r>
              <w:rPr>
                <w:rFonts w:ascii="Times New Roman" w:eastAsia="仿宋"/>
                <w:szCs w:val="21"/>
              </w:rPr>
              <w:t>2256</w:t>
            </w:r>
          </w:p>
        </w:tc>
      </w:tr>
      <w:tr w14:paraId="0AAF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5B2A74E8">
            <w:pPr>
              <w:jc w:val="center"/>
              <w:rPr>
                <w:rFonts w:ascii="Times New Roman" w:eastAsia="仿宋"/>
                <w:szCs w:val="21"/>
              </w:rPr>
            </w:pPr>
            <w:r>
              <w:rPr>
                <w:rFonts w:ascii="Times New Roman" w:eastAsia="仿宋"/>
                <w:szCs w:val="21"/>
              </w:rPr>
              <w:t>38</w:t>
            </w:r>
          </w:p>
        </w:tc>
        <w:tc>
          <w:tcPr>
            <w:tcW w:w="1853" w:type="pct"/>
            <w:shd w:val="clear" w:color="auto" w:fill="FFFFFF"/>
            <w:vAlign w:val="center"/>
          </w:tcPr>
          <w:p w14:paraId="1EFB491B">
            <w:pPr>
              <w:jc w:val="center"/>
              <w:rPr>
                <w:rFonts w:ascii="Times New Roman" w:eastAsia="仿宋"/>
                <w:szCs w:val="21"/>
              </w:rPr>
            </w:pPr>
            <w:r>
              <w:rPr>
                <w:rFonts w:ascii="Times New Roman" w:eastAsia="仿宋"/>
                <w:szCs w:val="21"/>
              </w:rPr>
              <w:t>苯并[a]蒽</w:t>
            </w:r>
          </w:p>
        </w:tc>
        <w:tc>
          <w:tcPr>
            <w:tcW w:w="2158" w:type="pct"/>
            <w:shd w:val="clear" w:color="auto" w:fill="FFFFFF"/>
            <w:vAlign w:val="center"/>
          </w:tcPr>
          <w:p w14:paraId="5E422B26">
            <w:pPr>
              <w:jc w:val="center"/>
              <w:rPr>
                <w:rFonts w:ascii="Times New Roman" w:eastAsia="仿宋"/>
                <w:szCs w:val="21"/>
              </w:rPr>
            </w:pPr>
            <w:r>
              <w:rPr>
                <w:rFonts w:ascii="Times New Roman" w:eastAsia="仿宋"/>
                <w:szCs w:val="21"/>
              </w:rPr>
              <w:t>15</w:t>
            </w:r>
          </w:p>
        </w:tc>
      </w:tr>
      <w:tr w14:paraId="7C90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D0A68BC">
            <w:pPr>
              <w:jc w:val="center"/>
              <w:rPr>
                <w:rFonts w:ascii="Times New Roman" w:eastAsia="仿宋"/>
                <w:szCs w:val="21"/>
              </w:rPr>
            </w:pPr>
            <w:r>
              <w:rPr>
                <w:rFonts w:ascii="Times New Roman" w:eastAsia="仿宋"/>
                <w:szCs w:val="21"/>
              </w:rPr>
              <w:t>39</w:t>
            </w:r>
          </w:p>
        </w:tc>
        <w:tc>
          <w:tcPr>
            <w:tcW w:w="1853" w:type="pct"/>
            <w:shd w:val="clear" w:color="auto" w:fill="FFFFFF"/>
            <w:vAlign w:val="center"/>
          </w:tcPr>
          <w:p w14:paraId="63CC6EB4">
            <w:pPr>
              <w:jc w:val="center"/>
              <w:rPr>
                <w:rFonts w:ascii="Times New Roman" w:eastAsia="仿宋"/>
                <w:szCs w:val="21"/>
              </w:rPr>
            </w:pPr>
            <w:r>
              <w:rPr>
                <w:rFonts w:ascii="Times New Roman" w:eastAsia="仿宋"/>
                <w:szCs w:val="21"/>
              </w:rPr>
              <w:t>苯并[a]芘</w:t>
            </w:r>
          </w:p>
        </w:tc>
        <w:tc>
          <w:tcPr>
            <w:tcW w:w="2158" w:type="pct"/>
            <w:shd w:val="clear" w:color="auto" w:fill="FFFFFF"/>
            <w:vAlign w:val="center"/>
          </w:tcPr>
          <w:p w14:paraId="078EC1F4">
            <w:pPr>
              <w:jc w:val="center"/>
              <w:rPr>
                <w:rFonts w:ascii="Times New Roman" w:eastAsia="仿宋"/>
                <w:szCs w:val="21"/>
              </w:rPr>
            </w:pPr>
            <w:r>
              <w:rPr>
                <w:rFonts w:ascii="Times New Roman" w:eastAsia="仿宋"/>
                <w:szCs w:val="21"/>
              </w:rPr>
              <w:t>1.5</w:t>
            </w:r>
          </w:p>
        </w:tc>
      </w:tr>
      <w:tr w14:paraId="0306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29059BF">
            <w:pPr>
              <w:jc w:val="center"/>
              <w:rPr>
                <w:rFonts w:ascii="Times New Roman" w:eastAsia="仿宋"/>
                <w:szCs w:val="21"/>
              </w:rPr>
            </w:pPr>
            <w:r>
              <w:rPr>
                <w:rFonts w:ascii="Times New Roman" w:eastAsia="仿宋"/>
                <w:szCs w:val="21"/>
              </w:rPr>
              <w:t>40</w:t>
            </w:r>
          </w:p>
        </w:tc>
        <w:tc>
          <w:tcPr>
            <w:tcW w:w="1853" w:type="pct"/>
            <w:shd w:val="clear" w:color="auto" w:fill="FFFFFF"/>
            <w:vAlign w:val="center"/>
          </w:tcPr>
          <w:p w14:paraId="685920E5">
            <w:pPr>
              <w:jc w:val="center"/>
              <w:rPr>
                <w:rFonts w:ascii="Times New Roman" w:eastAsia="仿宋"/>
                <w:szCs w:val="21"/>
              </w:rPr>
            </w:pPr>
            <w:r>
              <w:rPr>
                <w:rFonts w:ascii="Times New Roman" w:eastAsia="仿宋"/>
                <w:szCs w:val="21"/>
              </w:rPr>
              <w:t>苯并[b]荧蔥</w:t>
            </w:r>
          </w:p>
        </w:tc>
        <w:tc>
          <w:tcPr>
            <w:tcW w:w="2158" w:type="pct"/>
            <w:shd w:val="clear" w:color="auto" w:fill="FFFFFF"/>
            <w:vAlign w:val="center"/>
          </w:tcPr>
          <w:p w14:paraId="4F485084">
            <w:pPr>
              <w:jc w:val="center"/>
              <w:rPr>
                <w:rFonts w:ascii="Times New Roman" w:eastAsia="仿宋"/>
                <w:szCs w:val="21"/>
              </w:rPr>
            </w:pPr>
            <w:r>
              <w:rPr>
                <w:rFonts w:ascii="Times New Roman" w:eastAsia="仿宋"/>
                <w:szCs w:val="21"/>
              </w:rPr>
              <w:t>15</w:t>
            </w:r>
          </w:p>
        </w:tc>
      </w:tr>
      <w:tr w14:paraId="7742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49D05087">
            <w:pPr>
              <w:jc w:val="center"/>
              <w:rPr>
                <w:rFonts w:ascii="Times New Roman" w:eastAsia="仿宋"/>
                <w:szCs w:val="21"/>
              </w:rPr>
            </w:pPr>
            <w:r>
              <w:rPr>
                <w:rFonts w:ascii="Times New Roman" w:eastAsia="仿宋"/>
                <w:szCs w:val="21"/>
              </w:rPr>
              <w:t>41</w:t>
            </w:r>
          </w:p>
        </w:tc>
        <w:tc>
          <w:tcPr>
            <w:tcW w:w="1853" w:type="pct"/>
            <w:shd w:val="clear" w:color="auto" w:fill="FFFFFF"/>
            <w:vAlign w:val="center"/>
          </w:tcPr>
          <w:p w14:paraId="7FBD7B52">
            <w:pPr>
              <w:jc w:val="center"/>
              <w:rPr>
                <w:rFonts w:ascii="Times New Roman" w:eastAsia="仿宋"/>
                <w:szCs w:val="21"/>
              </w:rPr>
            </w:pPr>
            <w:r>
              <w:rPr>
                <w:rFonts w:ascii="Times New Roman" w:eastAsia="仿宋"/>
                <w:szCs w:val="21"/>
              </w:rPr>
              <w:t>苯并[k]荧蔥</w:t>
            </w:r>
          </w:p>
        </w:tc>
        <w:tc>
          <w:tcPr>
            <w:tcW w:w="2158" w:type="pct"/>
            <w:shd w:val="clear" w:color="auto" w:fill="FFFFFF"/>
            <w:vAlign w:val="center"/>
          </w:tcPr>
          <w:p w14:paraId="0254B4BF">
            <w:pPr>
              <w:jc w:val="center"/>
              <w:rPr>
                <w:rFonts w:ascii="Times New Roman" w:eastAsia="仿宋"/>
                <w:szCs w:val="21"/>
              </w:rPr>
            </w:pPr>
            <w:r>
              <w:rPr>
                <w:rFonts w:ascii="Times New Roman" w:eastAsia="仿宋"/>
                <w:szCs w:val="21"/>
              </w:rPr>
              <w:t>151</w:t>
            </w:r>
          </w:p>
        </w:tc>
      </w:tr>
      <w:tr w14:paraId="65C1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31F8A9C8">
            <w:pPr>
              <w:jc w:val="center"/>
              <w:rPr>
                <w:rFonts w:ascii="Times New Roman" w:eastAsia="仿宋"/>
                <w:szCs w:val="21"/>
              </w:rPr>
            </w:pPr>
            <w:r>
              <w:rPr>
                <w:rFonts w:ascii="Times New Roman" w:eastAsia="仿宋"/>
                <w:szCs w:val="21"/>
              </w:rPr>
              <w:t>42</w:t>
            </w:r>
          </w:p>
        </w:tc>
        <w:tc>
          <w:tcPr>
            <w:tcW w:w="1853" w:type="pct"/>
            <w:shd w:val="clear" w:color="auto" w:fill="FFFFFF"/>
            <w:vAlign w:val="center"/>
          </w:tcPr>
          <w:p w14:paraId="6CF1A182">
            <w:pPr>
              <w:widowControl/>
              <w:jc w:val="center"/>
              <w:rPr>
                <w:rFonts w:ascii="Times New Roman" w:eastAsia="仿宋"/>
                <w:szCs w:val="21"/>
              </w:rPr>
            </w:pPr>
            <w:r>
              <w:rPr>
                <w:rFonts w:ascii="Times New Roman" w:eastAsia="仿宋"/>
                <w:szCs w:val="21"/>
                <w:lang w:bidi="ar"/>
              </w:rPr>
              <w:t>䓛</w:t>
            </w:r>
          </w:p>
        </w:tc>
        <w:tc>
          <w:tcPr>
            <w:tcW w:w="2158" w:type="pct"/>
            <w:shd w:val="clear" w:color="auto" w:fill="FFFFFF"/>
            <w:vAlign w:val="center"/>
          </w:tcPr>
          <w:p w14:paraId="28B05C9F">
            <w:pPr>
              <w:jc w:val="center"/>
              <w:rPr>
                <w:rFonts w:ascii="Times New Roman" w:eastAsia="仿宋"/>
                <w:szCs w:val="21"/>
              </w:rPr>
            </w:pPr>
            <w:r>
              <w:rPr>
                <w:rFonts w:ascii="Times New Roman" w:eastAsia="仿宋"/>
                <w:szCs w:val="21"/>
              </w:rPr>
              <w:t>1293</w:t>
            </w:r>
          </w:p>
        </w:tc>
      </w:tr>
      <w:tr w14:paraId="70F2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24857C3">
            <w:pPr>
              <w:jc w:val="center"/>
              <w:rPr>
                <w:rFonts w:ascii="Times New Roman" w:eastAsia="仿宋"/>
                <w:szCs w:val="21"/>
              </w:rPr>
            </w:pPr>
            <w:r>
              <w:rPr>
                <w:rFonts w:ascii="Times New Roman" w:eastAsia="仿宋"/>
                <w:szCs w:val="21"/>
              </w:rPr>
              <w:t>43</w:t>
            </w:r>
          </w:p>
        </w:tc>
        <w:tc>
          <w:tcPr>
            <w:tcW w:w="1853" w:type="pct"/>
            <w:shd w:val="clear" w:color="auto" w:fill="FFFFFF"/>
            <w:vAlign w:val="center"/>
          </w:tcPr>
          <w:p w14:paraId="2A7899B4">
            <w:pPr>
              <w:jc w:val="center"/>
              <w:rPr>
                <w:rFonts w:ascii="Times New Roman" w:eastAsia="仿宋"/>
                <w:szCs w:val="21"/>
              </w:rPr>
            </w:pPr>
            <w:r>
              <w:rPr>
                <w:rFonts w:ascii="Times New Roman" w:eastAsia="仿宋"/>
                <w:szCs w:val="21"/>
              </w:rPr>
              <w:t>二苯并[a,h]蔥</w:t>
            </w:r>
          </w:p>
        </w:tc>
        <w:tc>
          <w:tcPr>
            <w:tcW w:w="2158" w:type="pct"/>
            <w:shd w:val="clear" w:color="auto" w:fill="FFFFFF"/>
            <w:vAlign w:val="center"/>
          </w:tcPr>
          <w:p w14:paraId="0C6FA217">
            <w:pPr>
              <w:jc w:val="center"/>
              <w:rPr>
                <w:rFonts w:ascii="Times New Roman" w:eastAsia="仿宋"/>
                <w:szCs w:val="21"/>
              </w:rPr>
            </w:pPr>
            <w:r>
              <w:rPr>
                <w:rFonts w:ascii="Times New Roman" w:eastAsia="仿宋"/>
                <w:szCs w:val="21"/>
              </w:rPr>
              <w:t>1.5</w:t>
            </w:r>
          </w:p>
        </w:tc>
      </w:tr>
      <w:tr w14:paraId="400A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2C421568">
            <w:pPr>
              <w:jc w:val="center"/>
              <w:rPr>
                <w:rFonts w:ascii="Times New Roman" w:eastAsia="仿宋"/>
                <w:szCs w:val="21"/>
              </w:rPr>
            </w:pPr>
            <w:r>
              <w:rPr>
                <w:rFonts w:ascii="Times New Roman" w:eastAsia="仿宋"/>
                <w:szCs w:val="21"/>
              </w:rPr>
              <w:t>44</w:t>
            </w:r>
          </w:p>
        </w:tc>
        <w:tc>
          <w:tcPr>
            <w:tcW w:w="1853" w:type="pct"/>
            <w:shd w:val="clear" w:color="auto" w:fill="FFFFFF"/>
            <w:vAlign w:val="center"/>
          </w:tcPr>
          <w:p w14:paraId="7BE97D83">
            <w:pPr>
              <w:jc w:val="center"/>
              <w:rPr>
                <w:rFonts w:ascii="Times New Roman" w:eastAsia="仿宋"/>
                <w:szCs w:val="21"/>
              </w:rPr>
            </w:pPr>
            <w:r>
              <w:rPr>
                <w:rFonts w:ascii="Times New Roman" w:eastAsia="仿宋"/>
                <w:szCs w:val="21"/>
              </w:rPr>
              <w:t>茚并[1,2,3-cd]芘</w:t>
            </w:r>
          </w:p>
        </w:tc>
        <w:tc>
          <w:tcPr>
            <w:tcW w:w="2158" w:type="pct"/>
            <w:shd w:val="clear" w:color="auto" w:fill="FFFFFF"/>
            <w:vAlign w:val="center"/>
          </w:tcPr>
          <w:p w14:paraId="5002E5B0">
            <w:pPr>
              <w:jc w:val="center"/>
              <w:rPr>
                <w:rFonts w:ascii="Times New Roman" w:eastAsia="仿宋"/>
                <w:szCs w:val="21"/>
              </w:rPr>
            </w:pPr>
            <w:r>
              <w:rPr>
                <w:rFonts w:ascii="Times New Roman" w:eastAsia="仿宋"/>
                <w:szCs w:val="21"/>
              </w:rPr>
              <w:t>15</w:t>
            </w:r>
          </w:p>
        </w:tc>
      </w:tr>
      <w:tr w14:paraId="0171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7BC0E4A6">
            <w:pPr>
              <w:jc w:val="center"/>
              <w:rPr>
                <w:rFonts w:ascii="Times New Roman" w:eastAsia="仿宋"/>
                <w:szCs w:val="21"/>
              </w:rPr>
            </w:pPr>
            <w:r>
              <w:rPr>
                <w:rFonts w:ascii="Times New Roman" w:eastAsia="仿宋"/>
                <w:szCs w:val="21"/>
              </w:rPr>
              <w:t>45</w:t>
            </w:r>
          </w:p>
        </w:tc>
        <w:tc>
          <w:tcPr>
            <w:tcW w:w="1853" w:type="pct"/>
            <w:shd w:val="clear" w:color="auto" w:fill="FFFFFF"/>
            <w:vAlign w:val="center"/>
          </w:tcPr>
          <w:p w14:paraId="6686CE5B">
            <w:pPr>
              <w:jc w:val="center"/>
              <w:rPr>
                <w:rFonts w:ascii="Times New Roman" w:eastAsia="仿宋"/>
                <w:szCs w:val="21"/>
              </w:rPr>
            </w:pPr>
            <w:r>
              <w:rPr>
                <w:rFonts w:ascii="Times New Roman" w:eastAsia="仿宋"/>
                <w:szCs w:val="21"/>
              </w:rPr>
              <w:t>萘</w:t>
            </w:r>
          </w:p>
        </w:tc>
        <w:tc>
          <w:tcPr>
            <w:tcW w:w="2158" w:type="pct"/>
            <w:shd w:val="clear" w:color="auto" w:fill="FFFFFF"/>
            <w:vAlign w:val="center"/>
          </w:tcPr>
          <w:p w14:paraId="308CB10B">
            <w:pPr>
              <w:jc w:val="center"/>
              <w:rPr>
                <w:rFonts w:ascii="Times New Roman" w:eastAsia="仿宋"/>
                <w:szCs w:val="21"/>
              </w:rPr>
            </w:pPr>
            <w:r>
              <w:rPr>
                <w:rFonts w:ascii="Times New Roman" w:eastAsia="仿宋"/>
                <w:szCs w:val="21"/>
              </w:rPr>
              <w:t>70</w:t>
            </w:r>
          </w:p>
        </w:tc>
      </w:tr>
      <w:tr w14:paraId="0B4D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pct"/>
            <w:shd w:val="clear" w:color="auto" w:fill="FFFFFF"/>
            <w:vAlign w:val="center"/>
          </w:tcPr>
          <w:p w14:paraId="143F3F78">
            <w:pPr>
              <w:jc w:val="center"/>
              <w:rPr>
                <w:rFonts w:ascii="Times New Roman" w:eastAsia="仿宋"/>
                <w:szCs w:val="21"/>
              </w:rPr>
            </w:pPr>
            <w:r>
              <w:rPr>
                <w:rFonts w:hint="eastAsia" w:ascii="Times New Roman" w:eastAsia="仿宋"/>
                <w:szCs w:val="21"/>
              </w:rPr>
              <w:t>46</w:t>
            </w:r>
          </w:p>
        </w:tc>
        <w:tc>
          <w:tcPr>
            <w:tcW w:w="1853" w:type="pct"/>
            <w:shd w:val="clear" w:color="auto" w:fill="FFFFFF"/>
            <w:vAlign w:val="center"/>
          </w:tcPr>
          <w:p w14:paraId="35DCEB5E">
            <w:pPr>
              <w:jc w:val="center"/>
              <w:rPr>
                <w:rFonts w:ascii="Times New Roman" w:eastAsia="仿宋"/>
                <w:szCs w:val="21"/>
              </w:rPr>
            </w:pPr>
            <w:r>
              <w:rPr>
                <w:rFonts w:hint="eastAsia" w:ascii="Times New Roman" w:eastAsia="仿宋"/>
                <w:szCs w:val="21"/>
              </w:rPr>
              <w:t>石油</w:t>
            </w:r>
            <w:r>
              <w:rPr>
                <w:rFonts w:hint="eastAsia" w:ascii="Times New Roman" w:eastAsia="仿宋"/>
                <w:bCs/>
                <w:szCs w:val="24"/>
              </w:rPr>
              <w:t>烃</w:t>
            </w:r>
          </w:p>
        </w:tc>
        <w:tc>
          <w:tcPr>
            <w:tcW w:w="2158" w:type="pct"/>
            <w:shd w:val="clear" w:color="auto" w:fill="FFFFFF"/>
            <w:vAlign w:val="center"/>
          </w:tcPr>
          <w:p w14:paraId="0BEFA9CC">
            <w:pPr>
              <w:jc w:val="center"/>
              <w:rPr>
                <w:rFonts w:ascii="Times New Roman" w:eastAsia="仿宋"/>
                <w:szCs w:val="21"/>
              </w:rPr>
            </w:pPr>
            <w:r>
              <w:rPr>
                <w:rFonts w:hint="eastAsia" w:ascii="Times New Roman" w:eastAsia="仿宋"/>
                <w:szCs w:val="21"/>
              </w:rPr>
              <w:t>4500</w:t>
            </w:r>
          </w:p>
        </w:tc>
      </w:tr>
    </w:tbl>
    <w:p w14:paraId="2D6D2C6F">
      <w:pPr>
        <w:spacing w:line="500" w:lineRule="exact"/>
        <w:ind w:firstLine="562" w:firstLineChars="200"/>
        <w:rPr>
          <w:rFonts w:ascii="Times New Roman" w:eastAsia="仿宋"/>
          <w:b/>
          <w:sz w:val="28"/>
          <w:szCs w:val="28"/>
        </w:rPr>
      </w:pPr>
      <w:r>
        <w:rPr>
          <w:rFonts w:ascii="Times New Roman" w:eastAsia="仿宋"/>
          <w:b/>
          <w:sz w:val="28"/>
          <w:szCs w:val="28"/>
        </w:rPr>
        <w:t>（4）环境噪声标准</w:t>
      </w:r>
    </w:p>
    <w:p w14:paraId="2F8BF079">
      <w:pPr>
        <w:adjustRightInd w:val="0"/>
        <w:snapToGrid w:val="0"/>
        <w:spacing w:line="500" w:lineRule="exact"/>
        <w:ind w:firstLine="592" w:firstLineChars="200"/>
        <w:rPr>
          <w:rFonts w:ascii="Times New Roman" w:eastAsia="仿宋"/>
          <w:sz w:val="28"/>
          <w:szCs w:val="28"/>
        </w:rPr>
      </w:pPr>
      <w:r>
        <w:rPr>
          <w:rFonts w:ascii="Times New Roman" w:eastAsia="仿宋"/>
          <w:spacing w:val="8"/>
          <w:sz w:val="28"/>
          <w:szCs w:val="28"/>
        </w:rPr>
        <w:t>根据项目所处功能区域，项目所在地执行《声环境质量标准》（GB3096－2008）中的3类标准，</w:t>
      </w:r>
      <w:r>
        <w:rPr>
          <w:rFonts w:ascii="Times New Roman" w:eastAsia="仿宋"/>
          <w:sz w:val="28"/>
          <w:szCs w:val="28"/>
        </w:rPr>
        <w:t>即：昼间≤65dB（A）、夜间≤55dB（A）。</w:t>
      </w:r>
    </w:p>
    <w:p w14:paraId="562A871F">
      <w:pPr>
        <w:keepNext/>
        <w:tabs>
          <w:tab w:val="left" w:pos="709"/>
        </w:tabs>
        <w:spacing w:after="120" w:afterLines="50" w:line="500" w:lineRule="exact"/>
        <w:outlineLvl w:val="2"/>
        <w:rPr>
          <w:rFonts w:ascii="Times New Roman" w:eastAsia="仿宋"/>
          <w:b/>
          <w:bCs/>
          <w:sz w:val="28"/>
          <w:szCs w:val="28"/>
        </w:rPr>
      </w:pPr>
      <w:r>
        <w:rPr>
          <w:rFonts w:hint="eastAsia" w:ascii="Times New Roman" w:eastAsia="仿宋"/>
          <w:b/>
          <w:bCs/>
          <w:sz w:val="28"/>
          <w:szCs w:val="28"/>
        </w:rPr>
        <w:t>2</w:t>
      </w:r>
      <w:r>
        <w:rPr>
          <w:rFonts w:ascii="Times New Roman" w:eastAsia="仿宋"/>
          <w:b/>
          <w:bCs/>
          <w:sz w:val="28"/>
          <w:szCs w:val="28"/>
        </w:rPr>
        <w:t>.3.3排放标准</w:t>
      </w:r>
    </w:p>
    <w:p w14:paraId="1476CB1F">
      <w:pPr>
        <w:adjustRightInd w:val="0"/>
        <w:snapToGrid w:val="0"/>
        <w:spacing w:line="500" w:lineRule="exact"/>
        <w:ind w:firstLine="594" w:firstLineChars="200"/>
        <w:rPr>
          <w:rFonts w:ascii="Times New Roman" w:eastAsia="仿宋"/>
          <w:b/>
          <w:spacing w:val="8"/>
          <w:sz w:val="28"/>
          <w:szCs w:val="28"/>
        </w:rPr>
      </w:pPr>
      <w:r>
        <w:rPr>
          <w:rFonts w:ascii="Times New Roman" w:eastAsia="仿宋"/>
          <w:b/>
          <w:spacing w:val="8"/>
          <w:sz w:val="28"/>
          <w:szCs w:val="28"/>
        </w:rPr>
        <w:t>（1）废气</w:t>
      </w:r>
    </w:p>
    <w:p w14:paraId="1B1FEA98">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①本项目调漆、喷漆、流平、烘干工序产生的有组织非甲烷总烃、颗粒物、二甲苯、苯系物、TVOC，喷枪清洗工序产生的有组织非甲烷总烃执行</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）表1</w:t>
      </w:r>
      <w:r>
        <w:rPr>
          <w:rFonts w:hint="eastAsia" w:ascii="Times New Roman" w:eastAsia="仿宋"/>
          <w:spacing w:val="8"/>
          <w:sz w:val="28"/>
          <w:szCs w:val="28"/>
        </w:rPr>
        <w:t>相关限值。</w:t>
      </w:r>
    </w:p>
    <w:p w14:paraId="4FAB34CF">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②本项目钝化工段产生的非甲烷总烃执行《大气污染物综合排放标准》(DB</w:t>
      </w:r>
      <w:r>
        <w:rPr>
          <w:rFonts w:ascii="Times New Roman" w:eastAsia="仿宋"/>
          <w:spacing w:val="8"/>
          <w:sz w:val="28"/>
          <w:szCs w:val="28"/>
        </w:rPr>
        <w:t xml:space="preserve"> </w:t>
      </w:r>
      <w:r>
        <w:rPr>
          <w:rFonts w:hint="eastAsia" w:ascii="Times New Roman" w:eastAsia="仿宋"/>
          <w:spacing w:val="8"/>
          <w:sz w:val="28"/>
          <w:szCs w:val="28"/>
        </w:rPr>
        <w:t>32/4041-2021)表1相关限值，固化工段产生的非甲烷总烃执行</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）表1</w:t>
      </w:r>
      <w:r>
        <w:rPr>
          <w:rFonts w:hint="eastAsia" w:ascii="Times New Roman" w:eastAsia="仿宋"/>
          <w:spacing w:val="8"/>
          <w:sz w:val="28"/>
          <w:szCs w:val="28"/>
        </w:rPr>
        <w:t>相关限值。由于钝化工段废气和喷漆、流平工段合并后经2</w:t>
      </w:r>
      <w:r>
        <w:rPr>
          <w:rFonts w:ascii="Times New Roman" w:eastAsia="仿宋"/>
          <w:spacing w:val="8"/>
          <w:sz w:val="28"/>
          <w:szCs w:val="28"/>
        </w:rPr>
        <w:t>#</w:t>
      </w:r>
      <w:r>
        <w:rPr>
          <w:rFonts w:hint="eastAsia" w:ascii="Times New Roman" w:eastAsia="仿宋"/>
          <w:spacing w:val="8"/>
          <w:sz w:val="28"/>
          <w:szCs w:val="28"/>
        </w:rPr>
        <w:t>排气筒排放，固化工段废气和烘干工段废气合并后经</w:t>
      </w:r>
      <w:r>
        <w:rPr>
          <w:rFonts w:ascii="Times New Roman" w:eastAsia="仿宋"/>
          <w:spacing w:val="8"/>
          <w:sz w:val="28"/>
          <w:szCs w:val="28"/>
        </w:rPr>
        <w:t>4#</w:t>
      </w:r>
      <w:r>
        <w:rPr>
          <w:rFonts w:hint="eastAsia" w:ascii="Times New Roman" w:eastAsia="仿宋"/>
          <w:spacing w:val="8"/>
          <w:sz w:val="28"/>
          <w:szCs w:val="28"/>
        </w:rPr>
        <w:t>排气筒排放，因此2</w:t>
      </w:r>
      <w:r>
        <w:rPr>
          <w:rFonts w:ascii="Times New Roman" w:eastAsia="仿宋"/>
          <w:spacing w:val="8"/>
          <w:sz w:val="28"/>
          <w:szCs w:val="28"/>
        </w:rPr>
        <w:t>#</w:t>
      </w:r>
      <w:r>
        <w:rPr>
          <w:rFonts w:hint="eastAsia" w:ascii="Times New Roman" w:eastAsia="仿宋"/>
          <w:spacing w:val="8"/>
          <w:sz w:val="28"/>
          <w:szCs w:val="28"/>
        </w:rPr>
        <w:t>、4</w:t>
      </w:r>
      <w:r>
        <w:rPr>
          <w:rFonts w:ascii="Times New Roman" w:eastAsia="仿宋"/>
          <w:spacing w:val="8"/>
          <w:sz w:val="28"/>
          <w:szCs w:val="28"/>
        </w:rPr>
        <w:t>#</w:t>
      </w:r>
      <w:r>
        <w:rPr>
          <w:rFonts w:hint="eastAsia" w:ascii="Times New Roman" w:eastAsia="仿宋"/>
          <w:spacing w:val="8"/>
          <w:sz w:val="28"/>
          <w:szCs w:val="28"/>
        </w:rPr>
        <w:t>排气筒中非甲烷总烃排放标准取严，执行</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）表1</w:t>
      </w:r>
      <w:r>
        <w:rPr>
          <w:rFonts w:hint="eastAsia" w:ascii="Times New Roman" w:eastAsia="仿宋"/>
          <w:spacing w:val="8"/>
          <w:sz w:val="28"/>
          <w:szCs w:val="28"/>
        </w:rPr>
        <w:t>相关限值。</w:t>
      </w:r>
    </w:p>
    <w:p w14:paraId="1F22EA5E">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③本项目氟碳漆烘干及喷粉固化工序使用天然气，产生的天然气燃烧废气中二氧化硫、氮氧化物执行《工业炉窑大气污染物排放标准》（DB 32/3728-2020）表1相关限值，颗粒物（烟尘）从严执行</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）表1</w:t>
      </w:r>
      <w:r>
        <w:rPr>
          <w:rFonts w:hint="eastAsia" w:ascii="Times New Roman" w:eastAsia="仿宋"/>
          <w:spacing w:val="8"/>
          <w:sz w:val="28"/>
          <w:szCs w:val="28"/>
        </w:rPr>
        <w:t>相关限值。</w:t>
      </w:r>
    </w:p>
    <w:p w14:paraId="5E5E8D98">
      <w:pPr>
        <w:adjustRightInd w:val="0"/>
        <w:snapToGrid w:val="0"/>
        <w:spacing w:line="500" w:lineRule="exact"/>
        <w:ind w:firstLine="592" w:firstLineChars="200"/>
        <w:rPr>
          <w:rFonts w:ascii="Times New Roman" w:eastAsia="仿宋"/>
          <w:spacing w:val="8"/>
          <w:sz w:val="28"/>
          <w:szCs w:val="28"/>
        </w:rPr>
      </w:pPr>
      <w:r>
        <w:rPr>
          <w:rFonts w:hint="eastAsia" w:ascii="仿宋" w:hAnsi="仿宋" w:eastAsia="仿宋"/>
          <w:spacing w:val="8"/>
          <w:sz w:val="28"/>
          <w:szCs w:val="28"/>
        </w:rPr>
        <w:t>④</w:t>
      </w:r>
      <w:r>
        <w:rPr>
          <w:rFonts w:hint="eastAsia" w:ascii="Times New Roman" w:eastAsia="仿宋"/>
          <w:spacing w:val="8"/>
          <w:sz w:val="28"/>
          <w:szCs w:val="28"/>
        </w:rPr>
        <w:t>本项目打磨工序产生的颗粒物执行江苏省《大气污染物综合排放标准》(DB</w:t>
      </w:r>
      <w:r>
        <w:rPr>
          <w:rFonts w:ascii="Times New Roman" w:eastAsia="仿宋"/>
          <w:spacing w:val="8"/>
          <w:sz w:val="28"/>
          <w:szCs w:val="28"/>
        </w:rPr>
        <w:t xml:space="preserve"> </w:t>
      </w:r>
      <w:r>
        <w:rPr>
          <w:rFonts w:hint="eastAsia" w:ascii="Times New Roman" w:eastAsia="仿宋"/>
          <w:spacing w:val="8"/>
          <w:sz w:val="28"/>
          <w:szCs w:val="28"/>
        </w:rPr>
        <w:t>32/4041-2021)表1相关限值。</w:t>
      </w:r>
    </w:p>
    <w:p w14:paraId="213CAC60">
      <w:pPr>
        <w:adjustRightInd w:val="0"/>
        <w:snapToGrid w:val="0"/>
        <w:spacing w:line="500" w:lineRule="exact"/>
        <w:ind w:firstLine="592" w:firstLineChars="200"/>
        <w:rPr>
          <w:rFonts w:ascii="Times New Roman" w:eastAsia="仿宋"/>
          <w:spacing w:val="8"/>
          <w:sz w:val="28"/>
          <w:szCs w:val="28"/>
        </w:rPr>
      </w:pPr>
      <w:r>
        <w:rPr>
          <w:rFonts w:hint="eastAsia" w:ascii="仿宋" w:hAnsi="仿宋" w:eastAsia="仿宋"/>
          <w:spacing w:val="8"/>
          <w:sz w:val="28"/>
          <w:szCs w:val="28"/>
        </w:rPr>
        <w:t>⑤</w:t>
      </w:r>
      <w:r>
        <w:rPr>
          <w:rFonts w:hint="eastAsia" w:ascii="Times New Roman" w:eastAsia="仿宋"/>
          <w:spacing w:val="8"/>
          <w:sz w:val="28"/>
          <w:szCs w:val="28"/>
        </w:rPr>
        <w:t>本项目喷粉工序产生的颗粒物执行</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）表1</w:t>
      </w:r>
      <w:r>
        <w:rPr>
          <w:rFonts w:hint="eastAsia" w:ascii="Times New Roman" w:eastAsia="仿宋"/>
          <w:spacing w:val="8"/>
          <w:sz w:val="28"/>
          <w:szCs w:val="28"/>
        </w:rPr>
        <w:t>相关限值。</w:t>
      </w:r>
    </w:p>
    <w:p w14:paraId="35A8AE26">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本项目有组织</w:t>
      </w:r>
      <w:r>
        <w:rPr>
          <w:rFonts w:ascii="Times New Roman" w:eastAsia="仿宋"/>
          <w:spacing w:val="8"/>
          <w:sz w:val="28"/>
          <w:szCs w:val="28"/>
        </w:rPr>
        <w:t>标准</w:t>
      </w:r>
      <w:r>
        <w:rPr>
          <w:rFonts w:hint="eastAsia" w:ascii="Times New Roman" w:eastAsia="仿宋"/>
          <w:spacing w:val="8"/>
          <w:sz w:val="28"/>
          <w:szCs w:val="28"/>
        </w:rPr>
        <w:t>限</w:t>
      </w:r>
      <w:r>
        <w:rPr>
          <w:rFonts w:ascii="Times New Roman" w:eastAsia="仿宋"/>
          <w:spacing w:val="8"/>
          <w:sz w:val="28"/>
          <w:szCs w:val="28"/>
        </w:rPr>
        <w:t>值详见下列各表。</w:t>
      </w:r>
    </w:p>
    <w:p w14:paraId="03D6898C">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实测的工业炉窑排气筒中大气污染物排放浓度，应按以下公式换算为基准氧含量下的排放浓度，并以此浓度作为判定排放是否达标的依据，本项目中干烟气基准氧含量为9</w:t>
      </w:r>
      <w:r>
        <w:rPr>
          <w:rFonts w:ascii="Times New Roman" w:eastAsia="仿宋"/>
          <w:spacing w:val="8"/>
          <w:sz w:val="28"/>
          <w:szCs w:val="28"/>
        </w:rPr>
        <w:t>%</w:t>
      </w:r>
      <w:r>
        <w:rPr>
          <w:rFonts w:hint="eastAsia" w:ascii="Times New Roman" w:eastAsia="仿宋"/>
          <w:spacing w:val="8"/>
          <w:sz w:val="28"/>
          <w:szCs w:val="28"/>
        </w:rPr>
        <w:t>。</w:t>
      </w:r>
    </w:p>
    <w:p w14:paraId="16DBF64F">
      <w:pPr>
        <w:adjustRightInd w:val="0"/>
        <w:snapToGrid w:val="0"/>
        <w:jc w:val="center"/>
        <w:rPr>
          <w:rFonts w:ascii="Times New Roman" w:eastAsia="仿宋"/>
          <w:spacing w:val="8"/>
          <w:sz w:val="28"/>
          <w:szCs w:val="28"/>
        </w:rPr>
      </w:pPr>
      <w:r>
        <w:rPr>
          <w:rFonts w:ascii="Times New Roman" w:eastAsia="仿宋"/>
          <w:spacing w:val="8"/>
          <w:sz w:val="28"/>
          <w:szCs w:val="28"/>
        </w:rPr>
        <w:drawing>
          <wp:inline distT="0" distB="0" distL="0" distR="0">
            <wp:extent cx="1913890" cy="882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13890" cy="882650"/>
                    </a:xfrm>
                    <a:prstGeom prst="rect">
                      <a:avLst/>
                    </a:prstGeom>
                    <a:noFill/>
                    <a:ln>
                      <a:noFill/>
                    </a:ln>
                  </pic:spPr>
                </pic:pic>
              </a:graphicData>
            </a:graphic>
          </wp:inline>
        </w:drawing>
      </w:r>
    </w:p>
    <w:p w14:paraId="6C5FE8E9">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式中：ρ基——大气污染物基准排放质量浓度，mg/m</w:t>
      </w:r>
      <w:r>
        <w:rPr>
          <w:rFonts w:hint="eastAsia" w:ascii="Times New Roman" w:eastAsia="仿宋"/>
          <w:spacing w:val="8"/>
          <w:sz w:val="28"/>
          <w:szCs w:val="28"/>
          <w:vertAlign w:val="superscript"/>
        </w:rPr>
        <w:t>3</w:t>
      </w:r>
      <w:r>
        <w:rPr>
          <w:rFonts w:hint="eastAsia" w:ascii="Times New Roman" w:eastAsia="仿宋"/>
          <w:spacing w:val="8"/>
          <w:sz w:val="28"/>
          <w:szCs w:val="28"/>
        </w:rPr>
        <w:t>；</w:t>
      </w:r>
    </w:p>
    <w:p w14:paraId="0A371270">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ρ实——实测大气污染物排放质量浓度，mg/m</w:t>
      </w:r>
      <w:r>
        <w:rPr>
          <w:rFonts w:hint="eastAsia" w:ascii="Times New Roman" w:eastAsia="仿宋"/>
          <w:spacing w:val="8"/>
          <w:sz w:val="28"/>
          <w:szCs w:val="28"/>
          <w:vertAlign w:val="superscript"/>
        </w:rPr>
        <w:t>3</w:t>
      </w:r>
      <w:r>
        <w:rPr>
          <w:rFonts w:hint="eastAsia" w:ascii="Times New Roman" w:eastAsia="仿宋"/>
          <w:spacing w:val="8"/>
          <w:sz w:val="28"/>
          <w:szCs w:val="28"/>
        </w:rPr>
        <w:t>；</w:t>
      </w:r>
    </w:p>
    <w:p w14:paraId="303171BF">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O基——干烟气基准含氧量，%；</w:t>
      </w:r>
    </w:p>
    <w:p w14:paraId="1DFA2D9C">
      <w:pPr>
        <w:adjustRightInd w:val="0"/>
        <w:snapToGrid w:val="0"/>
        <w:spacing w:line="500" w:lineRule="exact"/>
        <w:ind w:firstLine="592" w:firstLineChars="200"/>
        <w:rPr>
          <w:rFonts w:eastAsia="仿宋_GB2312"/>
          <w:bCs/>
          <w:spacing w:val="8"/>
          <w:szCs w:val="28"/>
        </w:rPr>
      </w:pPr>
      <w:r>
        <w:rPr>
          <w:rFonts w:hint="eastAsia" w:ascii="Times New Roman" w:eastAsia="仿宋"/>
          <w:spacing w:val="8"/>
          <w:sz w:val="28"/>
          <w:szCs w:val="28"/>
        </w:rPr>
        <w:t>O实——实测的干烟气含氧量，%</w:t>
      </w:r>
      <w:r>
        <w:rPr>
          <w:rFonts w:hint="eastAsia" w:eastAsia="仿宋_GB2312"/>
          <w:bCs/>
          <w:spacing w:val="8"/>
          <w:szCs w:val="28"/>
        </w:rPr>
        <w:t>。</w:t>
      </w:r>
    </w:p>
    <w:p w14:paraId="5D53CA83">
      <w:pPr>
        <w:spacing w:line="500" w:lineRule="exact"/>
        <w:ind w:firstLine="482" w:firstLineChars="200"/>
        <w:jc w:val="center"/>
        <w:rPr>
          <w:rFonts w:ascii="Times New Roman" w:eastAsia="仿宋"/>
          <w:b/>
        </w:rPr>
      </w:pPr>
    </w:p>
    <w:p w14:paraId="567E9629">
      <w:pPr>
        <w:spacing w:line="500" w:lineRule="exact"/>
        <w:ind w:firstLine="482" w:firstLineChars="200"/>
        <w:jc w:val="center"/>
        <w:rPr>
          <w:rFonts w:ascii="Times New Roman" w:eastAsia="仿宋"/>
          <w:b/>
        </w:rPr>
      </w:pPr>
    </w:p>
    <w:p w14:paraId="0B4C1B12">
      <w:pPr>
        <w:spacing w:line="500" w:lineRule="exact"/>
        <w:ind w:firstLine="482" w:firstLineChars="200"/>
        <w:jc w:val="center"/>
        <w:rPr>
          <w:rFonts w:ascii="Times New Roman" w:eastAsia="仿宋"/>
          <w:b/>
        </w:rPr>
      </w:pPr>
      <w:r>
        <w:rPr>
          <w:rFonts w:ascii="Times New Roman" w:eastAsia="仿宋"/>
          <w:b/>
        </w:rPr>
        <w:t>表2.3-6  大气污染物有组织排放限值</w:t>
      </w:r>
    </w:p>
    <w:tbl>
      <w:tblPr>
        <w:tblStyle w:val="87"/>
        <w:tblW w:w="5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217"/>
        <w:gridCol w:w="1668"/>
        <w:gridCol w:w="1313"/>
        <w:gridCol w:w="1230"/>
        <w:gridCol w:w="3479"/>
      </w:tblGrid>
      <w:tr w14:paraId="4BFA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307" w:type="pct"/>
            <w:vAlign w:val="center"/>
          </w:tcPr>
          <w:p w14:paraId="47AB1EAA">
            <w:pPr>
              <w:widowControl/>
              <w:jc w:val="center"/>
              <w:rPr>
                <w:rFonts w:ascii="Times New Roman" w:eastAsia="仿宋"/>
                <w:szCs w:val="21"/>
              </w:rPr>
            </w:pPr>
            <w:r>
              <w:rPr>
                <w:rFonts w:ascii="Times New Roman" w:eastAsia="仿宋"/>
                <w:szCs w:val="21"/>
              </w:rPr>
              <w:t>污染源</w:t>
            </w:r>
          </w:p>
        </w:tc>
        <w:tc>
          <w:tcPr>
            <w:tcW w:w="641" w:type="pct"/>
            <w:vAlign w:val="center"/>
          </w:tcPr>
          <w:p w14:paraId="74D87308">
            <w:pPr>
              <w:widowControl/>
              <w:jc w:val="center"/>
              <w:rPr>
                <w:rFonts w:ascii="Times New Roman" w:eastAsia="仿宋"/>
                <w:szCs w:val="21"/>
              </w:rPr>
            </w:pPr>
            <w:r>
              <w:rPr>
                <w:rFonts w:hint="eastAsia" w:ascii="Times New Roman" w:eastAsia="仿宋"/>
                <w:szCs w:val="21"/>
              </w:rPr>
              <w:t>工段</w:t>
            </w:r>
          </w:p>
        </w:tc>
        <w:tc>
          <w:tcPr>
            <w:tcW w:w="879" w:type="pct"/>
            <w:vAlign w:val="center"/>
          </w:tcPr>
          <w:p w14:paraId="7AA7ED7A">
            <w:pPr>
              <w:widowControl/>
              <w:jc w:val="center"/>
              <w:rPr>
                <w:rFonts w:ascii="Times New Roman" w:eastAsia="仿宋"/>
                <w:szCs w:val="21"/>
              </w:rPr>
            </w:pPr>
            <w:r>
              <w:rPr>
                <w:rFonts w:ascii="Times New Roman" w:eastAsia="仿宋"/>
                <w:szCs w:val="21"/>
              </w:rPr>
              <w:t>污染物</w:t>
            </w:r>
          </w:p>
        </w:tc>
        <w:tc>
          <w:tcPr>
            <w:tcW w:w="692" w:type="pct"/>
            <w:vAlign w:val="center"/>
          </w:tcPr>
          <w:p w14:paraId="7B659E92">
            <w:pPr>
              <w:widowControl/>
              <w:jc w:val="center"/>
              <w:rPr>
                <w:rFonts w:ascii="Times New Roman" w:eastAsia="仿宋"/>
                <w:szCs w:val="21"/>
              </w:rPr>
            </w:pPr>
            <w:r>
              <w:rPr>
                <w:rFonts w:ascii="Times New Roman" w:eastAsia="仿宋"/>
                <w:szCs w:val="21"/>
              </w:rPr>
              <w:t>最高允许排放浓度mg/m</w:t>
            </w:r>
            <w:r>
              <w:rPr>
                <w:rFonts w:ascii="Times New Roman" w:eastAsia="仿宋"/>
                <w:szCs w:val="21"/>
                <w:vertAlign w:val="superscript"/>
              </w:rPr>
              <w:t>3</w:t>
            </w:r>
          </w:p>
        </w:tc>
        <w:tc>
          <w:tcPr>
            <w:tcW w:w="648" w:type="pct"/>
            <w:vAlign w:val="center"/>
          </w:tcPr>
          <w:p w14:paraId="5B210736">
            <w:pPr>
              <w:widowControl/>
              <w:jc w:val="center"/>
              <w:rPr>
                <w:rFonts w:ascii="Times New Roman" w:eastAsia="仿宋"/>
                <w:szCs w:val="21"/>
              </w:rPr>
            </w:pPr>
            <w:r>
              <w:rPr>
                <w:rFonts w:ascii="Times New Roman" w:eastAsia="仿宋"/>
                <w:szCs w:val="21"/>
              </w:rPr>
              <w:t>最高允许排放速率kg/h</w:t>
            </w:r>
          </w:p>
        </w:tc>
        <w:tc>
          <w:tcPr>
            <w:tcW w:w="1833" w:type="pct"/>
            <w:vAlign w:val="center"/>
          </w:tcPr>
          <w:p w14:paraId="08A4949E">
            <w:pPr>
              <w:widowControl/>
              <w:jc w:val="center"/>
              <w:rPr>
                <w:rFonts w:ascii="Times New Roman" w:eastAsia="仿宋"/>
                <w:szCs w:val="21"/>
              </w:rPr>
            </w:pPr>
            <w:r>
              <w:rPr>
                <w:rFonts w:ascii="Times New Roman" w:eastAsia="仿宋"/>
                <w:szCs w:val="21"/>
              </w:rPr>
              <w:t>标准来源</w:t>
            </w:r>
          </w:p>
        </w:tc>
      </w:tr>
      <w:tr w14:paraId="0C8E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307" w:type="pct"/>
            <w:vAlign w:val="center"/>
          </w:tcPr>
          <w:p w14:paraId="46C298D3">
            <w:pPr>
              <w:spacing w:line="240" w:lineRule="exact"/>
              <w:jc w:val="center"/>
              <w:rPr>
                <w:rFonts w:ascii="Times New Roman" w:eastAsia="仿宋"/>
                <w:b/>
                <w:szCs w:val="21"/>
              </w:rPr>
            </w:pPr>
            <w:r>
              <w:rPr>
                <w:rFonts w:hint="eastAsia" w:ascii="Times New Roman" w:eastAsia="仿宋"/>
                <w:szCs w:val="21"/>
              </w:rPr>
              <w:t>1#</w:t>
            </w:r>
          </w:p>
        </w:tc>
        <w:tc>
          <w:tcPr>
            <w:tcW w:w="641" w:type="pct"/>
            <w:vAlign w:val="center"/>
          </w:tcPr>
          <w:p w14:paraId="01A271D7">
            <w:pPr>
              <w:adjustRightInd w:val="0"/>
              <w:snapToGrid w:val="0"/>
              <w:jc w:val="center"/>
              <w:rPr>
                <w:rFonts w:ascii="Times New Roman" w:eastAsia="仿宋"/>
                <w:szCs w:val="21"/>
              </w:rPr>
            </w:pPr>
            <w:r>
              <w:rPr>
                <w:rFonts w:hint="eastAsia" w:ascii="Times New Roman" w:eastAsia="仿宋"/>
                <w:szCs w:val="21"/>
              </w:rPr>
              <w:t>打磨</w:t>
            </w:r>
          </w:p>
        </w:tc>
        <w:tc>
          <w:tcPr>
            <w:tcW w:w="879" w:type="pct"/>
            <w:vAlign w:val="center"/>
          </w:tcPr>
          <w:p w14:paraId="2CABB405">
            <w:pPr>
              <w:adjustRightInd w:val="0"/>
              <w:snapToGrid w:val="0"/>
              <w:jc w:val="center"/>
              <w:rPr>
                <w:rFonts w:ascii="Times New Roman" w:eastAsia="仿宋"/>
                <w:szCs w:val="21"/>
              </w:rPr>
            </w:pPr>
            <w:r>
              <w:rPr>
                <w:rFonts w:hint="eastAsia" w:ascii="Times New Roman" w:eastAsia="仿宋"/>
                <w:szCs w:val="21"/>
              </w:rPr>
              <w:t>颗粒物</w:t>
            </w:r>
          </w:p>
        </w:tc>
        <w:tc>
          <w:tcPr>
            <w:tcW w:w="692" w:type="pct"/>
            <w:vAlign w:val="center"/>
          </w:tcPr>
          <w:p w14:paraId="04F2C73A">
            <w:pPr>
              <w:widowControl/>
              <w:jc w:val="center"/>
              <w:rPr>
                <w:rFonts w:ascii="Times New Roman" w:eastAsia="仿宋"/>
                <w:szCs w:val="21"/>
              </w:rPr>
            </w:pPr>
            <w:r>
              <w:rPr>
                <w:rFonts w:hint="eastAsia" w:ascii="Times New Roman" w:eastAsia="仿宋"/>
                <w:szCs w:val="21"/>
              </w:rPr>
              <w:t>20</w:t>
            </w:r>
          </w:p>
        </w:tc>
        <w:tc>
          <w:tcPr>
            <w:tcW w:w="648" w:type="pct"/>
            <w:vAlign w:val="center"/>
          </w:tcPr>
          <w:p w14:paraId="43CDE30A">
            <w:pPr>
              <w:widowControl/>
              <w:jc w:val="center"/>
              <w:rPr>
                <w:rFonts w:ascii="Times New Roman" w:eastAsia="仿宋"/>
                <w:szCs w:val="21"/>
              </w:rPr>
            </w:pPr>
            <w:r>
              <w:rPr>
                <w:rFonts w:hint="eastAsia" w:ascii="Times New Roman" w:eastAsia="仿宋"/>
                <w:szCs w:val="21"/>
              </w:rPr>
              <w:t>1</w:t>
            </w:r>
          </w:p>
        </w:tc>
        <w:tc>
          <w:tcPr>
            <w:tcW w:w="1833" w:type="pct"/>
            <w:vAlign w:val="center"/>
          </w:tcPr>
          <w:p w14:paraId="5F7C744D">
            <w:pPr>
              <w:adjustRightInd w:val="0"/>
              <w:snapToGrid w:val="0"/>
              <w:jc w:val="center"/>
              <w:rPr>
                <w:rFonts w:ascii="Times New Roman" w:eastAsia="仿宋"/>
                <w:szCs w:val="21"/>
              </w:rPr>
            </w:pPr>
            <w:r>
              <w:rPr>
                <w:rFonts w:hint="eastAsia" w:ascii="Times New Roman" w:eastAsia="仿宋"/>
                <w:szCs w:val="21"/>
              </w:rPr>
              <w:t>《大气污染物综合排放标准》(DB32/4041-2021)表1相关限值</w:t>
            </w:r>
          </w:p>
        </w:tc>
      </w:tr>
      <w:tr w14:paraId="13CF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7" w:type="pct"/>
            <w:vMerge w:val="restart"/>
            <w:vAlign w:val="center"/>
          </w:tcPr>
          <w:p w14:paraId="7113508F">
            <w:pPr>
              <w:spacing w:line="300" w:lineRule="exact"/>
              <w:jc w:val="center"/>
              <w:rPr>
                <w:rFonts w:ascii="Times New Roman" w:eastAsia="仿宋"/>
                <w:szCs w:val="21"/>
              </w:rPr>
            </w:pPr>
            <w:r>
              <w:rPr>
                <w:rFonts w:hint="eastAsia" w:ascii="Times New Roman" w:eastAsia="仿宋"/>
                <w:szCs w:val="21"/>
              </w:rPr>
              <w:t>2#</w:t>
            </w:r>
          </w:p>
        </w:tc>
        <w:tc>
          <w:tcPr>
            <w:tcW w:w="641" w:type="pct"/>
            <w:vMerge w:val="restart"/>
            <w:vAlign w:val="center"/>
          </w:tcPr>
          <w:p w14:paraId="3646BD8E">
            <w:pPr>
              <w:adjustRightInd w:val="0"/>
              <w:snapToGrid w:val="0"/>
              <w:jc w:val="center"/>
              <w:rPr>
                <w:rFonts w:ascii="Times New Roman" w:eastAsia="仿宋"/>
                <w:szCs w:val="21"/>
              </w:rPr>
            </w:pPr>
            <w:r>
              <w:rPr>
                <w:rFonts w:hint="eastAsia" w:ascii="Times New Roman" w:eastAsia="仿宋"/>
                <w:szCs w:val="21"/>
              </w:rPr>
              <w:t>钝化、喷漆、流平</w:t>
            </w:r>
          </w:p>
        </w:tc>
        <w:tc>
          <w:tcPr>
            <w:tcW w:w="879" w:type="pct"/>
            <w:vAlign w:val="center"/>
          </w:tcPr>
          <w:p w14:paraId="7DEFE033">
            <w:pPr>
              <w:adjustRightInd w:val="0"/>
              <w:snapToGrid w:val="0"/>
              <w:jc w:val="center"/>
              <w:rPr>
                <w:rFonts w:ascii="Times New Roman" w:eastAsia="仿宋"/>
                <w:szCs w:val="21"/>
              </w:rPr>
            </w:pPr>
            <w:r>
              <w:rPr>
                <w:rFonts w:ascii="Times New Roman" w:eastAsia="仿宋"/>
                <w:szCs w:val="21"/>
              </w:rPr>
              <w:t>非甲烷总烃</w:t>
            </w:r>
          </w:p>
        </w:tc>
        <w:tc>
          <w:tcPr>
            <w:tcW w:w="692" w:type="pct"/>
            <w:vAlign w:val="center"/>
          </w:tcPr>
          <w:p w14:paraId="396F0B62">
            <w:pPr>
              <w:widowControl/>
              <w:jc w:val="center"/>
              <w:rPr>
                <w:rFonts w:ascii="Times New Roman" w:eastAsia="仿宋"/>
                <w:szCs w:val="21"/>
              </w:rPr>
            </w:pPr>
            <w:r>
              <w:rPr>
                <w:rFonts w:ascii="Times New Roman" w:eastAsia="仿宋"/>
                <w:szCs w:val="21"/>
              </w:rPr>
              <w:t>40</w:t>
            </w:r>
          </w:p>
        </w:tc>
        <w:tc>
          <w:tcPr>
            <w:tcW w:w="648" w:type="pct"/>
            <w:vAlign w:val="center"/>
          </w:tcPr>
          <w:p w14:paraId="7AEBA85C">
            <w:pPr>
              <w:widowControl/>
              <w:jc w:val="center"/>
              <w:rPr>
                <w:rFonts w:ascii="Times New Roman" w:eastAsia="仿宋"/>
                <w:szCs w:val="21"/>
              </w:rPr>
            </w:pPr>
            <w:r>
              <w:rPr>
                <w:rFonts w:ascii="Times New Roman" w:eastAsia="仿宋"/>
                <w:szCs w:val="21"/>
              </w:rPr>
              <w:t>1.8</w:t>
            </w:r>
          </w:p>
        </w:tc>
        <w:tc>
          <w:tcPr>
            <w:tcW w:w="1833" w:type="pct"/>
            <w:vMerge w:val="restart"/>
            <w:vAlign w:val="center"/>
          </w:tcPr>
          <w:p w14:paraId="3F871C0C">
            <w:pPr>
              <w:spacing w:line="240" w:lineRule="exact"/>
              <w:jc w:val="center"/>
              <w:rPr>
                <w:rFonts w:ascii="Times New Roman" w:eastAsia="仿宋"/>
                <w:bCs/>
                <w:szCs w:val="21"/>
              </w:rPr>
            </w:pPr>
            <w:r>
              <w:rPr>
                <w:rFonts w:ascii="Times New Roman" w:eastAsia="仿宋"/>
                <w:spacing w:val="8"/>
                <w:szCs w:val="21"/>
              </w:rPr>
              <w:t>《</w:t>
            </w:r>
            <w:r>
              <w:rPr>
                <w:rFonts w:hint="eastAsia" w:ascii="Times New Roman" w:eastAsia="仿宋"/>
                <w:spacing w:val="8"/>
                <w:szCs w:val="21"/>
              </w:rPr>
              <w:t>表面涂装（汽车零部件）大气污染物排放标准</w:t>
            </w:r>
            <w:r>
              <w:rPr>
                <w:rFonts w:ascii="Times New Roman" w:eastAsia="仿宋"/>
                <w:spacing w:val="8"/>
                <w:szCs w:val="21"/>
              </w:rPr>
              <w:t>》（DB 32/</w:t>
            </w:r>
            <w:r>
              <w:rPr>
                <w:rFonts w:hint="eastAsia" w:ascii="Times New Roman" w:eastAsia="仿宋"/>
                <w:spacing w:val="8"/>
                <w:szCs w:val="21"/>
              </w:rPr>
              <w:t>3966</w:t>
            </w:r>
            <w:r>
              <w:rPr>
                <w:rFonts w:ascii="Times New Roman" w:eastAsia="仿宋"/>
                <w:spacing w:val="8"/>
                <w:szCs w:val="21"/>
              </w:rPr>
              <w:t>-202</w:t>
            </w:r>
            <w:r>
              <w:rPr>
                <w:rFonts w:hint="eastAsia" w:ascii="Times New Roman" w:eastAsia="仿宋"/>
                <w:spacing w:val="8"/>
                <w:szCs w:val="21"/>
              </w:rPr>
              <w:t>1</w:t>
            </w:r>
            <w:r>
              <w:rPr>
                <w:rFonts w:ascii="Times New Roman" w:eastAsia="仿宋"/>
                <w:spacing w:val="8"/>
                <w:szCs w:val="21"/>
              </w:rPr>
              <w:t>）</w:t>
            </w:r>
            <w:r>
              <w:rPr>
                <w:rFonts w:hint="eastAsia" w:ascii="Times New Roman" w:eastAsia="仿宋"/>
                <w:spacing w:val="8"/>
                <w:szCs w:val="21"/>
              </w:rPr>
              <w:t>表1相关限值</w:t>
            </w:r>
          </w:p>
        </w:tc>
      </w:tr>
      <w:tr w14:paraId="6555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4415CD9E">
            <w:pPr>
              <w:spacing w:line="300" w:lineRule="exact"/>
              <w:jc w:val="center"/>
              <w:rPr>
                <w:rFonts w:ascii="Times New Roman" w:eastAsia="仿宋"/>
                <w:szCs w:val="21"/>
              </w:rPr>
            </w:pPr>
          </w:p>
        </w:tc>
        <w:tc>
          <w:tcPr>
            <w:tcW w:w="641" w:type="pct"/>
            <w:vMerge w:val="continue"/>
            <w:vAlign w:val="center"/>
          </w:tcPr>
          <w:p w14:paraId="58C4E89F">
            <w:pPr>
              <w:adjustRightInd w:val="0"/>
              <w:snapToGrid w:val="0"/>
              <w:jc w:val="center"/>
              <w:rPr>
                <w:rFonts w:ascii="Times New Roman" w:eastAsia="仿宋"/>
                <w:szCs w:val="21"/>
              </w:rPr>
            </w:pPr>
          </w:p>
        </w:tc>
        <w:tc>
          <w:tcPr>
            <w:tcW w:w="879" w:type="pct"/>
            <w:vAlign w:val="center"/>
          </w:tcPr>
          <w:p w14:paraId="6D65712E">
            <w:pPr>
              <w:adjustRightInd w:val="0"/>
              <w:snapToGrid w:val="0"/>
              <w:jc w:val="center"/>
              <w:rPr>
                <w:rFonts w:ascii="Times New Roman" w:eastAsia="仿宋"/>
                <w:szCs w:val="21"/>
              </w:rPr>
            </w:pPr>
            <w:r>
              <w:rPr>
                <w:rFonts w:hint="eastAsia" w:ascii="Times New Roman" w:eastAsia="仿宋"/>
                <w:szCs w:val="21"/>
              </w:rPr>
              <w:t>二甲苯与甲苯</w:t>
            </w:r>
          </w:p>
        </w:tc>
        <w:tc>
          <w:tcPr>
            <w:tcW w:w="692" w:type="pct"/>
            <w:vAlign w:val="center"/>
          </w:tcPr>
          <w:p w14:paraId="3CAAE1AC">
            <w:pPr>
              <w:widowControl/>
              <w:jc w:val="center"/>
              <w:rPr>
                <w:rFonts w:ascii="Times New Roman" w:eastAsia="仿宋"/>
                <w:szCs w:val="21"/>
              </w:rPr>
            </w:pPr>
            <w:r>
              <w:rPr>
                <w:rFonts w:ascii="Times New Roman" w:eastAsia="仿宋"/>
                <w:szCs w:val="21"/>
              </w:rPr>
              <w:t>15</w:t>
            </w:r>
          </w:p>
        </w:tc>
        <w:tc>
          <w:tcPr>
            <w:tcW w:w="648" w:type="pct"/>
            <w:vAlign w:val="center"/>
          </w:tcPr>
          <w:p w14:paraId="3B193042">
            <w:pPr>
              <w:widowControl/>
              <w:jc w:val="center"/>
              <w:rPr>
                <w:rFonts w:ascii="Times New Roman" w:eastAsia="仿宋"/>
                <w:szCs w:val="21"/>
              </w:rPr>
            </w:pPr>
            <w:r>
              <w:rPr>
                <w:rFonts w:ascii="Times New Roman" w:eastAsia="仿宋"/>
                <w:szCs w:val="21"/>
              </w:rPr>
              <w:t>0.8</w:t>
            </w:r>
          </w:p>
        </w:tc>
        <w:tc>
          <w:tcPr>
            <w:tcW w:w="1833" w:type="pct"/>
            <w:vMerge w:val="continue"/>
            <w:vAlign w:val="center"/>
          </w:tcPr>
          <w:p w14:paraId="27CEC791">
            <w:pPr>
              <w:spacing w:line="240" w:lineRule="exact"/>
              <w:jc w:val="center"/>
              <w:rPr>
                <w:rFonts w:ascii="Times New Roman" w:eastAsia="仿宋"/>
                <w:bCs/>
                <w:szCs w:val="21"/>
              </w:rPr>
            </w:pPr>
          </w:p>
        </w:tc>
      </w:tr>
      <w:tr w14:paraId="0F4F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6774AD0C">
            <w:pPr>
              <w:spacing w:line="300" w:lineRule="exact"/>
              <w:jc w:val="center"/>
              <w:rPr>
                <w:rFonts w:ascii="Times New Roman" w:eastAsia="仿宋"/>
                <w:szCs w:val="21"/>
              </w:rPr>
            </w:pPr>
          </w:p>
        </w:tc>
        <w:tc>
          <w:tcPr>
            <w:tcW w:w="641" w:type="pct"/>
            <w:vMerge w:val="continue"/>
            <w:vAlign w:val="center"/>
          </w:tcPr>
          <w:p w14:paraId="0EEF1368">
            <w:pPr>
              <w:adjustRightInd w:val="0"/>
              <w:snapToGrid w:val="0"/>
              <w:jc w:val="center"/>
              <w:rPr>
                <w:rFonts w:ascii="Times New Roman" w:eastAsia="仿宋"/>
                <w:szCs w:val="21"/>
              </w:rPr>
            </w:pPr>
          </w:p>
        </w:tc>
        <w:tc>
          <w:tcPr>
            <w:tcW w:w="879" w:type="pct"/>
            <w:vAlign w:val="center"/>
          </w:tcPr>
          <w:p w14:paraId="7B36EC91">
            <w:pPr>
              <w:adjustRightInd w:val="0"/>
              <w:snapToGrid w:val="0"/>
              <w:jc w:val="center"/>
              <w:rPr>
                <w:rFonts w:ascii="Times New Roman" w:eastAsia="仿宋"/>
                <w:szCs w:val="21"/>
              </w:rPr>
            </w:pPr>
            <w:r>
              <w:rPr>
                <w:rFonts w:hint="eastAsia" w:ascii="Times New Roman" w:eastAsia="仿宋"/>
                <w:szCs w:val="21"/>
              </w:rPr>
              <w:t>苯系物</w:t>
            </w:r>
          </w:p>
        </w:tc>
        <w:tc>
          <w:tcPr>
            <w:tcW w:w="692" w:type="pct"/>
            <w:vAlign w:val="center"/>
          </w:tcPr>
          <w:p w14:paraId="1AFEAAFC">
            <w:pPr>
              <w:widowControl/>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648" w:type="pct"/>
            <w:vAlign w:val="center"/>
          </w:tcPr>
          <w:p w14:paraId="68747D5F">
            <w:pPr>
              <w:widowControl/>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833" w:type="pct"/>
            <w:vMerge w:val="continue"/>
            <w:vAlign w:val="center"/>
          </w:tcPr>
          <w:p w14:paraId="779FADF1">
            <w:pPr>
              <w:spacing w:line="240" w:lineRule="exact"/>
              <w:jc w:val="center"/>
              <w:rPr>
                <w:rFonts w:ascii="Times New Roman" w:eastAsia="仿宋"/>
                <w:bCs/>
                <w:szCs w:val="21"/>
              </w:rPr>
            </w:pPr>
          </w:p>
        </w:tc>
      </w:tr>
      <w:tr w14:paraId="58D2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3DC9E0F0">
            <w:pPr>
              <w:spacing w:line="300" w:lineRule="exact"/>
              <w:jc w:val="center"/>
              <w:rPr>
                <w:rFonts w:ascii="Times New Roman" w:eastAsia="仿宋"/>
                <w:szCs w:val="21"/>
              </w:rPr>
            </w:pPr>
          </w:p>
        </w:tc>
        <w:tc>
          <w:tcPr>
            <w:tcW w:w="641" w:type="pct"/>
            <w:vMerge w:val="continue"/>
            <w:vAlign w:val="center"/>
          </w:tcPr>
          <w:p w14:paraId="2F6A657D">
            <w:pPr>
              <w:adjustRightInd w:val="0"/>
              <w:snapToGrid w:val="0"/>
              <w:jc w:val="center"/>
              <w:rPr>
                <w:rFonts w:ascii="Times New Roman" w:eastAsia="仿宋"/>
                <w:szCs w:val="21"/>
              </w:rPr>
            </w:pPr>
          </w:p>
        </w:tc>
        <w:tc>
          <w:tcPr>
            <w:tcW w:w="879" w:type="pct"/>
            <w:vAlign w:val="center"/>
          </w:tcPr>
          <w:p w14:paraId="26292F4C">
            <w:pPr>
              <w:adjustRightInd w:val="0"/>
              <w:snapToGrid w:val="0"/>
              <w:jc w:val="center"/>
              <w:rPr>
                <w:rFonts w:ascii="Times New Roman" w:eastAsia="仿宋"/>
                <w:szCs w:val="21"/>
              </w:rPr>
            </w:pPr>
            <w:r>
              <w:rPr>
                <w:rFonts w:hint="eastAsia" w:ascii="Times New Roman" w:eastAsia="仿宋"/>
                <w:szCs w:val="21"/>
              </w:rPr>
              <w:t>颗粒物</w:t>
            </w:r>
          </w:p>
        </w:tc>
        <w:tc>
          <w:tcPr>
            <w:tcW w:w="692" w:type="pct"/>
            <w:vAlign w:val="center"/>
          </w:tcPr>
          <w:p w14:paraId="23D7D549">
            <w:pPr>
              <w:widowControl/>
              <w:jc w:val="center"/>
              <w:rPr>
                <w:rFonts w:ascii="Times New Roman" w:eastAsia="仿宋"/>
                <w:szCs w:val="21"/>
              </w:rPr>
            </w:pPr>
            <w:r>
              <w:rPr>
                <w:rFonts w:ascii="Times New Roman" w:eastAsia="仿宋"/>
                <w:szCs w:val="21"/>
              </w:rPr>
              <w:t>10</w:t>
            </w:r>
          </w:p>
        </w:tc>
        <w:tc>
          <w:tcPr>
            <w:tcW w:w="648" w:type="pct"/>
            <w:vAlign w:val="center"/>
          </w:tcPr>
          <w:p w14:paraId="0C1200A4">
            <w:pPr>
              <w:widowControl/>
              <w:jc w:val="center"/>
              <w:rPr>
                <w:rFonts w:ascii="Times New Roman" w:eastAsia="仿宋"/>
                <w:szCs w:val="21"/>
              </w:rPr>
            </w:pPr>
            <w:r>
              <w:rPr>
                <w:rFonts w:ascii="Times New Roman" w:eastAsia="仿宋"/>
                <w:szCs w:val="21"/>
              </w:rPr>
              <w:t>0.6</w:t>
            </w:r>
          </w:p>
        </w:tc>
        <w:tc>
          <w:tcPr>
            <w:tcW w:w="1833" w:type="pct"/>
            <w:vMerge w:val="continue"/>
            <w:vAlign w:val="center"/>
          </w:tcPr>
          <w:p w14:paraId="70701D9A">
            <w:pPr>
              <w:spacing w:line="240" w:lineRule="exact"/>
              <w:jc w:val="center"/>
              <w:rPr>
                <w:rFonts w:ascii="Times New Roman" w:eastAsia="仿宋"/>
                <w:bCs/>
                <w:szCs w:val="21"/>
              </w:rPr>
            </w:pPr>
          </w:p>
        </w:tc>
      </w:tr>
      <w:tr w14:paraId="7E3E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48807D0B">
            <w:pPr>
              <w:spacing w:line="300" w:lineRule="exact"/>
              <w:jc w:val="center"/>
              <w:rPr>
                <w:rFonts w:ascii="Times New Roman" w:eastAsia="仿宋"/>
                <w:szCs w:val="21"/>
              </w:rPr>
            </w:pPr>
          </w:p>
        </w:tc>
        <w:tc>
          <w:tcPr>
            <w:tcW w:w="641" w:type="pct"/>
            <w:vMerge w:val="continue"/>
            <w:vAlign w:val="center"/>
          </w:tcPr>
          <w:p w14:paraId="66F06540">
            <w:pPr>
              <w:adjustRightInd w:val="0"/>
              <w:snapToGrid w:val="0"/>
              <w:jc w:val="center"/>
              <w:rPr>
                <w:rFonts w:ascii="Times New Roman" w:eastAsia="仿宋"/>
                <w:szCs w:val="21"/>
              </w:rPr>
            </w:pPr>
          </w:p>
        </w:tc>
        <w:tc>
          <w:tcPr>
            <w:tcW w:w="879" w:type="pct"/>
            <w:vAlign w:val="center"/>
          </w:tcPr>
          <w:p w14:paraId="5A434A80">
            <w:pPr>
              <w:adjustRightInd w:val="0"/>
              <w:snapToGrid w:val="0"/>
              <w:jc w:val="center"/>
              <w:rPr>
                <w:rFonts w:ascii="Times New Roman" w:eastAsia="仿宋"/>
                <w:szCs w:val="21"/>
              </w:rPr>
            </w:pPr>
            <w:r>
              <w:rPr>
                <w:rFonts w:hint="eastAsia" w:ascii="Times New Roman" w:eastAsia="仿宋"/>
                <w:szCs w:val="21"/>
              </w:rPr>
              <w:t>TVOC</w:t>
            </w:r>
          </w:p>
        </w:tc>
        <w:tc>
          <w:tcPr>
            <w:tcW w:w="692" w:type="pct"/>
            <w:vAlign w:val="center"/>
          </w:tcPr>
          <w:p w14:paraId="40D9066C">
            <w:pPr>
              <w:widowControl/>
              <w:jc w:val="center"/>
              <w:rPr>
                <w:rFonts w:ascii="Times New Roman" w:eastAsia="仿宋"/>
                <w:szCs w:val="21"/>
              </w:rPr>
            </w:pPr>
            <w:r>
              <w:rPr>
                <w:rFonts w:hint="eastAsia" w:ascii="Times New Roman" w:eastAsia="仿宋"/>
                <w:szCs w:val="21"/>
              </w:rPr>
              <w:t>60</w:t>
            </w:r>
          </w:p>
        </w:tc>
        <w:tc>
          <w:tcPr>
            <w:tcW w:w="648" w:type="pct"/>
            <w:vAlign w:val="center"/>
          </w:tcPr>
          <w:p w14:paraId="6589CB35">
            <w:pPr>
              <w:widowControl/>
              <w:jc w:val="center"/>
              <w:rPr>
                <w:rFonts w:ascii="Times New Roman" w:eastAsia="仿宋"/>
                <w:szCs w:val="21"/>
              </w:rPr>
            </w:pPr>
            <w:r>
              <w:rPr>
                <w:rFonts w:hint="eastAsia" w:ascii="Times New Roman" w:eastAsia="仿宋"/>
                <w:szCs w:val="21"/>
              </w:rPr>
              <w:t>2.0</w:t>
            </w:r>
          </w:p>
        </w:tc>
        <w:tc>
          <w:tcPr>
            <w:tcW w:w="1833" w:type="pct"/>
            <w:vMerge w:val="continue"/>
            <w:vAlign w:val="center"/>
          </w:tcPr>
          <w:p w14:paraId="1B5A4AB9">
            <w:pPr>
              <w:spacing w:line="240" w:lineRule="exact"/>
              <w:jc w:val="center"/>
              <w:rPr>
                <w:rFonts w:ascii="Times New Roman" w:eastAsia="仿宋"/>
                <w:bCs/>
                <w:szCs w:val="21"/>
              </w:rPr>
            </w:pPr>
          </w:p>
        </w:tc>
      </w:tr>
      <w:tr w14:paraId="251A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7D24F653">
            <w:pPr>
              <w:spacing w:line="300" w:lineRule="exact"/>
              <w:jc w:val="center"/>
              <w:rPr>
                <w:rFonts w:ascii="Times New Roman" w:eastAsia="仿宋"/>
                <w:szCs w:val="21"/>
              </w:rPr>
            </w:pPr>
          </w:p>
        </w:tc>
        <w:tc>
          <w:tcPr>
            <w:tcW w:w="641" w:type="pct"/>
            <w:vMerge w:val="continue"/>
            <w:vAlign w:val="center"/>
          </w:tcPr>
          <w:p w14:paraId="5B40757C">
            <w:pPr>
              <w:adjustRightInd w:val="0"/>
              <w:snapToGrid w:val="0"/>
              <w:jc w:val="center"/>
              <w:rPr>
                <w:rFonts w:ascii="Times New Roman" w:eastAsia="仿宋"/>
                <w:szCs w:val="21"/>
              </w:rPr>
            </w:pPr>
          </w:p>
        </w:tc>
        <w:tc>
          <w:tcPr>
            <w:tcW w:w="879" w:type="pct"/>
            <w:vAlign w:val="center"/>
          </w:tcPr>
          <w:p w14:paraId="112FD830">
            <w:pPr>
              <w:adjustRightInd w:val="0"/>
              <w:snapToGrid w:val="0"/>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692" w:type="pct"/>
            <w:vAlign w:val="center"/>
          </w:tcPr>
          <w:p w14:paraId="4B0BDFF4">
            <w:pPr>
              <w:widowControl/>
              <w:jc w:val="center"/>
              <w:rPr>
                <w:rFonts w:ascii="Times New Roman" w:eastAsia="仿宋"/>
                <w:szCs w:val="21"/>
              </w:rPr>
            </w:pPr>
            <w:r>
              <w:rPr>
                <w:rFonts w:hint="eastAsia" w:ascii="Times New Roman" w:eastAsia="仿宋"/>
                <w:szCs w:val="21"/>
              </w:rPr>
              <w:t>80</w:t>
            </w:r>
          </w:p>
        </w:tc>
        <w:tc>
          <w:tcPr>
            <w:tcW w:w="648" w:type="pct"/>
            <w:vAlign w:val="center"/>
          </w:tcPr>
          <w:p w14:paraId="190F10FE">
            <w:pPr>
              <w:widowControl/>
              <w:jc w:val="center"/>
              <w:rPr>
                <w:rFonts w:ascii="Times New Roman" w:eastAsia="仿宋"/>
                <w:szCs w:val="21"/>
              </w:rPr>
            </w:pPr>
            <w:r>
              <w:rPr>
                <w:rFonts w:ascii="Times New Roman" w:eastAsia="仿宋"/>
                <w:szCs w:val="21"/>
              </w:rPr>
              <w:t>/</w:t>
            </w:r>
          </w:p>
        </w:tc>
        <w:tc>
          <w:tcPr>
            <w:tcW w:w="1833" w:type="pct"/>
            <w:vMerge w:val="restart"/>
            <w:vAlign w:val="center"/>
          </w:tcPr>
          <w:p w14:paraId="051C8F23">
            <w:pPr>
              <w:spacing w:line="240" w:lineRule="exact"/>
              <w:jc w:val="center"/>
              <w:rPr>
                <w:rFonts w:ascii="Times New Roman" w:eastAsia="仿宋"/>
                <w:bCs/>
                <w:szCs w:val="21"/>
              </w:rPr>
            </w:pPr>
            <w:r>
              <w:rPr>
                <w:rFonts w:hint="eastAsia" w:ascii="Times New Roman" w:eastAsia="仿宋"/>
                <w:bCs/>
                <w:szCs w:val="21"/>
              </w:rPr>
              <w:t>《工业炉窑大气污染物排放标准》（DB 32/3728-2020）表1相关限值</w:t>
            </w:r>
          </w:p>
        </w:tc>
      </w:tr>
      <w:tr w14:paraId="1CCF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418EC7A7">
            <w:pPr>
              <w:spacing w:line="300" w:lineRule="exact"/>
              <w:jc w:val="center"/>
              <w:rPr>
                <w:rFonts w:ascii="Times New Roman" w:eastAsia="仿宋"/>
                <w:szCs w:val="21"/>
              </w:rPr>
            </w:pPr>
          </w:p>
        </w:tc>
        <w:tc>
          <w:tcPr>
            <w:tcW w:w="641" w:type="pct"/>
            <w:vMerge w:val="continue"/>
            <w:vAlign w:val="center"/>
          </w:tcPr>
          <w:p w14:paraId="61AFDE83">
            <w:pPr>
              <w:adjustRightInd w:val="0"/>
              <w:snapToGrid w:val="0"/>
              <w:jc w:val="center"/>
              <w:rPr>
                <w:rFonts w:ascii="Times New Roman" w:eastAsia="仿宋"/>
                <w:szCs w:val="21"/>
              </w:rPr>
            </w:pPr>
          </w:p>
        </w:tc>
        <w:tc>
          <w:tcPr>
            <w:tcW w:w="879" w:type="pct"/>
            <w:vAlign w:val="center"/>
          </w:tcPr>
          <w:p w14:paraId="2867AAFE">
            <w:pPr>
              <w:adjustRightInd w:val="0"/>
              <w:snapToGrid w:val="0"/>
              <w:jc w:val="center"/>
              <w:rPr>
                <w:rFonts w:ascii="Times New Roman" w:eastAsia="仿宋"/>
                <w:szCs w:val="21"/>
              </w:rPr>
            </w:pPr>
            <w:r>
              <w:rPr>
                <w:rFonts w:ascii="Times New Roman" w:eastAsia="仿宋"/>
                <w:szCs w:val="21"/>
              </w:rPr>
              <w:t>NOx</w:t>
            </w:r>
          </w:p>
        </w:tc>
        <w:tc>
          <w:tcPr>
            <w:tcW w:w="692" w:type="pct"/>
            <w:vAlign w:val="center"/>
          </w:tcPr>
          <w:p w14:paraId="755F1276">
            <w:pPr>
              <w:widowControl/>
              <w:jc w:val="center"/>
              <w:rPr>
                <w:rFonts w:ascii="Times New Roman" w:eastAsia="仿宋"/>
                <w:szCs w:val="21"/>
              </w:rPr>
            </w:pPr>
            <w:r>
              <w:rPr>
                <w:rFonts w:hint="eastAsia" w:ascii="Times New Roman" w:eastAsia="仿宋"/>
                <w:szCs w:val="21"/>
              </w:rPr>
              <w:t>180</w:t>
            </w:r>
          </w:p>
        </w:tc>
        <w:tc>
          <w:tcPr>
            <w:tcW w:w="648" w:type="pct"/>
            <w:vAlign w:val="center"/>
          </w:tcPr>
          <w:p w14:paraId="71C43ADC">
            <w:pPr>
              <w:widowControl/>
              <w:jc w:val="center"/>
              <w:rPr>
                <w:rFonts w:ascii="Times New Roman" w:eastAsia="仿宋"/>
                <w:szCs w:val="21"/>
              </w:rPr>
            </w:pPr>
            <w:r>
              <w:rPr>
                <w:rFonts w:ascii="Times New Roman" w:eastAsia="仿宋"/>
                <w:szCs w:val="21"/>
              </w:rPr>
              <w:t>/</w:t>
            </w:r>
          </w:p>
        </w:tc>
        <w:tc>
          <w:tcPr>
            <w:tcW w:w="1833" w:type="pct"/>
            <w:vMerge w:val="continue"/>
            <w:vAlign w:val="center"/>
          </w:tcPr>
          <w:p w14:paraId="149360AC">
            <w:pPr>
              <w:spacing w:line="240" w:lineRule="exact"/>
              <w:jc w:val="center"/>
              <w:rPr>
                <w:rFonts w:ascii="Times New Roman" w:eastAsia="仿宋"/>
                <w:bCs/>
                <w:szCs w:val="21"/>
              </w:rPr>
            </w:pPr>
          </w:p>
        </w:tc>
      </w:tr>
      <w:tr w14:paraId="5A0F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restart"/>
            <w:vAlign w:val="center"/>
          </w:tcPr>
          <w:p w14:paraId="411890E3">
            <w:pPr>
              <w:spacing w:line="300" w:lineRule="exact"/>
              <w:jc w:val="center"/>
              <w:rPr>
                <w:rFonts w:ascii="Times New Roman" w:eastAsia="仿宋"/>
                <w:szCs w:val="21"/>
              </w:rPr>
            </w:pPr>
            <w:r>
              <w:rPr>
                <w:rFonts w:hint="eastAsia" w:ascii="Times New Roman" w:eastAsia="仿宋"/>
                <w:szCs w:val="21"/>
              </w:rPr>
              <w:t>3#</w:t>
            </w:r>
          </w:p>
        </w:tc>
        <w:tc>
          <w:tcPr>
            <w:tcW w:w="641" w:type="pct"/>
            <w:vMerge w:val="restart"/>
            <w:vAlign w:val="center"/>
          </w:tcPr>
          <w:p w14:paraId="0230B9B9">
            <w:pPr>
              <w:adjustRightInd w:val="0"/>
              <w:snapToGrid w:val="0"/>
              <w:jc w:val="center"/>
              <w:rPr>
                <w:rFonts w:ascii="Times New Roman" w:eastAsia="仿宋"/>
                <w:szCs w:val="21"/>
              </w:rPr>
            </w:pPr>
            <w:r>
              <w:rPr>
                <w:rFonts w:hint="eastAsia" w:ascii="Times New Roman" w:eastAsia="仿宋"/>
                <w:szCs w:val="21"/>
              </w:rPr>
              <w:t>调漆、流平、喷枪清洗</w:t>
            </w:r>
          </w:p>
        </w:tc>
        <w:tc>
          <w:tcPr>
            <w:tcW w:w="879" w:type="pct"/>
            <w:shd w:val="clear" w:color="auto" w:fill="auto"/>
            <w:vAlign w:val="center"/>
          </w:tcPr>
          <w:p w14:paraId="13AB35CC">
            <w:pPr>
              <w:adjustRightInd w:val="0"/>
              <w:snapToGrid w:val="0"/>
              <w:jc w:val="center"/>
              <w:rPr>
                <w:rFonts w:ascii="Times New Roman" w:eastAsia="仿宋"/>
                <w:szCs w:val="21"/>
              </w:rPr>
            </w:pPr>
            <w:r>
              <w:rPr>
                <w:rFonts w:ascii="Times New Roman" w:eastAsia="仿宋"/>
                <w:szCs w:val="21"/>
              </w:rPr>
              <w:t>非甲烷总烃</w:t>
            </w:r>
          </w:p>
        </w:tc>
        <w:tc>
          <w:tcPr>
            <w:tcW w:w="692" w:type="pct"/>
            <w:vAlign w:val="center"/>
          </w:tcPr>
          <w:p w14:paraId="3AFE867D">
            <w:pPr>
              <w:widowControl/>
              <w:jc w:val="center"/>
              <w:rPr>
                <w:rFonts w:ascii="Times New Roman" w:eastAsia="仿宋"/>
                <w:szCs w:val="21"/>
              </w:rPr>
            </w:pPr>
            <w:r>
              <w:rPr>
                <w:rFonts w:ascii="Times New Roman" w:eastAsia="仿宋"/>
                <w:szCs w:val="21"/>
              </w:rPr>
              <w:t>40</w:t>
            </w:r>
          </w:p>
        </w:tc>
        <w:tc>
          <w:tcPr>
            <w:tcW w:w="648" w:type="pct"/>
            <w:vAlign w:val="center"/>
          </w:tcPr>
          <w:p w14:paraId="35EB4E11">
            <w:pPr>
              <w:widowControl/>
              <w:jc w:val="center"/>
              <w:rPr>
                <w:rFonts w:ascii="Times New Roman" w:eastAsia="仿宋"/>
                <w:szCs w:val="21"/>
              </w:rPr>
            </w:pPr>
            <w:r>
              <w:rPr>
                <w:rFonts w:ascii="Times New Roman" w:eastAsia="仿宋"/>
                <w:szCs w:val="21"/>
              </w:rPr>
              <w:t>1.8</w:t>
            </w:r>
          </w:p>
        </w:tc>
        <w:tc>
          <w:tcPr>
            <w:tcW w:w="1833" w:type="pct"/>
            <w:vMerge w:val="restart"/>
            <w:vAlign w:val="center"/>
          </w:tcPr>
          <w:p w14:paraId="0A82F857">
            <w:pPr>
              <w:spacing w:line="240" w:lineRule="exact"/>
              <w:jc w:val="center"/>
              <w:rPr>
                <w:rFonts w:ascii="Times New Roman" w:eastAsia="仿宋"/>
                <w:bCs/>
                <w:szCs w:val="21"/>
              </w:rPr>
            </w:pPr>
            <w:r>
              <w:rPr>
                <w:rFonts w:ascii="Times New Roman" w:eastAsia="仿宋"/>
                <w:spacing w:val="8"/>
                <w:szCs w:val="21"/>
              </w:rPr>
              <w:t>《</w:t>
            </w:r>
            <w:r>
              <w:rPr>
                <w:rFonts w:hint="eastAsia" w:ascii="Times New Roman" w:eastAsia="仿宋"/>
                <w:spacing w:val="8"/>
                <w:szCs w:val="21"/>
              </w:rPr>
              <w:t>表面涂装（汽车零部件）大气污染物排放标准</w:t>
            </w:r>
            <w:r>
              <w:rPr>
                <w:rFonts w:ascii="Times New Roman" w:eastAsia="仿宋"/>
                <w:spacing w:val="8"/>
                <w:szCs w:val="21"/>
              </w:rPr>
              <w:t>》（DB 32/</w:t>
            </w:r>
            <w:r>
              <w:rPr>
                <w:rFonts w:hint="eastAsia" w:ascii="Times New Roman" w:eastAsia="仿宋"/>
                <w:spacing w:val="8"/>
                <w:szCs w:val="21"/>
              </w:rPr>
              <w:t>3966</w:t>
            </w:r>
            <w:r>
              <w:rPr>
                <w:rFonts w:ascii="Times New Roman" w:eastAsia="仿宋"/>
                <w:spacing w:val="8"/>
                <w:szCs w:val="21"/>
              </w:rPr>
              <w:t>-202</w:t>
            </w:r>
            <w:r>
              <w:rPr>
                <w:rFonts w:hint="eastAsia" w:ascii="Times New Roman" w:eastAsia="仿宋"/>
                <w:spacing w:val="8"/>
                <w:szCs w:val="21"/>
              </w:rPr>
              <w:t>1</w:t>
            </w:r>
            <w:r>
              <w:rPr>
                <w:rFonts w:ascii="Times New Roman" w:eastAsia="仿宋"/>
                <w:spacing w:val="8"/>
                <w:szCs w:val="21"/>
              </w:rPr>
              <w:t>）</w:t>
            </w:r>
            <w:r>
              <w:rPr>
                <w:rFonts w:hint="eastAsia" w:ascii="Times New Roman" w:eastAsia="仿宋"/>
                <w:spacing w:val="8"/>
                <w:szCs w:val="21"/>
              </w:rPr>
              <w:t>表1相关限值</w:t>
            </w:r>
          </w:p>
        </w:tc>
      </w:tr>
      <w:tr w14:paraId="3CC8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0C2CDED6">
            <w:pPr>
              <w:spacing w:line="300" w:lineRule="exact"/>
              <w:jc w:val="center"/>
              <w:rPr>
                <w:rFonts w:ascii="Times New Roman" w:eastAsia="仿宋"/>
                <w:szCs w:val="21"/>
              </w:rPr>
            </w:pPr>
          </w:p>
        </w:tc>
        <w:tc>
          <w:tcPr>
            <w:tcW w:w="641" w:type="pct"/>
            <w:vMerge w:val="continue"/>
            <w:vAlign w:val="center"/>
          </w:tcPr>
          <w:p w14:paraId="31DEB270">
            <w:pPr>
              <w:adjustRightInd w:val="0"/>
              <w:snapToGrid w:val="0"/>
              <w:jc w:val="center"/>
              <w:rPr>
                <w:rFonts w:ascii="Times New Roman" w:eastAsia="仿宋"/>
                <w:szCs w:val="21"/>
              </w:rPr>
            </w:pPr>
          </w:p>
        </w:tc>
        <w:tc>
          <w:tcPr>
            <w:tcW w:w="879" w:type="pct"/>
            <w:shd w:val="clear" w:color="auto" w:fill="auto"/>
            <w:vAlign w:val="center"/>
          </w:tcPr>
          <w:p w14:paraId="7C7E8B8C">
            <w:pPr>
              <w:adjustRightInd w:val="0"/>
              <w:snapToGrid w:val="0"/>
              <w:jc w:val="center"/>
              <w:rPr>
                <w:rFonts w:ascii="Times New Roman" w:eastAsia="仿宋"/>
                <w:szCs w:val="21"/>
              </w:rPr>
            </w:pPr>
            <w:r>
              <w:rPr>
                <w:rFonts w:hint="eastAsia" w:ascii="Times New Roman" w:eastAsia="仿宋"/>
                <w:szCs w:val="21"/>
              </w:rPr>
              <w:t>TVOC</w:t>
            </w:r>
          </w:p>
        </w:tc>
        <w:tc>
          <w:tcPr>
            <w:tcW w:w="692" w:type="pct"/>
            <w:vAlign w:val="center"/>
          </w:tcPr>
          <w:p w14:paraId="6141184E">
            <w:pPr>
              <w:widowControl/>
              <w:jc w:val="center"/>
              <w:rPr>
                <w:rFonts w:ascii="Times New Roman" w:eastAsia="仿宋"/>
                <w:szCs w:val="21"/>
              </w:rPr>
            </w:pPr>
            <w:r>
              <w:rPr>
                <w:rFonts w:hint="eastAsia" w:ascii="Times New Roman" w:eastAsia="仿宋"/>
                <w:szCs w:val="21"/>
              </w:rPr>
              <w:t>60</w:t>
            </w:r>
          </w:p>
        </w:tc>
        <w:tc>
          <w:tcPr>
            <w:tcW w:w="648" w:type="pct"/>
            <w:vAlign w:val="center"/>
          </w:tcPr>
          <w:p w14:paraId="65C2AC1C">
            <w:pPr>
              <w:widowControl/>
              <w:jc w:val="center"/>
              <w:rPr>
                <w:rFonts w:ascii="Times New Roman" w:eastAsia="仿宋"/>
                <w:szCs w:val="21"/>
              </w:rPr>
            </w:pPr>
            <w:r>
              <w:rPr>
                <w:rFonts w:hint="eastAsia" w:ascii="Times New Roman" w:eastAsia="仿宋"/>
                <w:szCs w:val="21"/>
              </w:rPr>
              <w:t>2.0</w:t>
            </w:r>
          </w:p>
        </w:tc>
        <w:tc>
          <w:tcPr>
            <w:tcW w:w="1833" w:type="pct"/>
            <w:vMerge w:val="continue"/>
            <w:vAlign w:val="center"/>
          </w:tcPr>
          <w:p w14:paraId="25ADCFAA">
            <w:pPr>
              <w:spacing w:line="240" w:lineRule="exact"/>
              <w:jc w:val="center"/>
              <w:rPr>
                <w:rFonts w:ascii="Times New Roman" w:eastAsia="仿宋"/>
                <w:spacing w:val="8"/>
                <w:szCs w:val="21"/>
              </w:rPr>
            </w:pPr>
          </w:p>
        </w:tc>
      </w:tr>
      <w:tr w14:paraId="2475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7A01BE93">
            <w:pPr>
              <w:spacing w:line="300" w:lineRule="exact"/>
              <w:jc w:val="center"/>
              <w:rPr>
                <w:rFonts w:ascii="Times New Roman" w:eastAsia="仿宋"/>
                <w:szCs w:val="21"/>
              </w:rPr>
            </w:pPr>
          </w:p>
        </w:tc>
        <w:tc>
          <w:tcPr>
            <w:tcW w:w="641" w:type="pct"/>
            <w:vMerge w:val="continue"/>
            <w:vAlign w:val="center"/>
          </w:tcPr>
          <w:p w14:paraId="77F49017">
            <w:pPr>
              <w:adjustRightInd w:val="0"/>
              <w:snapToGrid w:val="0"/>
              <w:jc w:val="center"/>
              <w:rPr>
                <w:rFonts w:ascii="Times New Roman" w:eastAsia="仿宋"/>
                <w:szCs w:val="21"/>
              </w:rPr>
            </w:pPr>
          </w:p>
        </w:tc>
        <w:tc>
          <w:tcPr>
            <w:tcW w:w="879" w:type="pct"/>
            <w:shd w:val="clear" w:color="auto" w:fill="auto"/>
            <w:vAlign w:val="center"/>
          </w:tcPr>
          <w:p w14:paraId="17C7821C">
            <w:pPr>
              <w:adjustRightInd w:val="0"/>
              <w:snapToGrid w:val="0"/>
              <w:jc w:val="center"/>
              <w:rPr>
                <w:rFonts w:ascii="Times New Roman" w:eastAsia="仿宋"/>
                <w:szCs w:val="21"/>
              </w:rPr>
            </w:pPr>
            <w:r>
              <w:rPr>
                <w:rFonts w:hint="eastAsia" w:ascii="Times New Roman" w:eastAsia="仿宋"/>
                <w:szCs w:val="21"/>
              </w:rPr>
              <w:t>二甲苯与甲苯</w:t>
            </w:r>
          </w:p>
        </w:tc>
        <w:tc>
          <w:tcPr>
            <w:tcW w:w="692" w:type="pct"/>
            <w:vAlign w:val="center"/>
          </w:tcPr>
          <w:p w14:paraId="107F6E45">
            <w:pPr>
              <w:widowControl/>
              <w:jc w:val="center"/>
              <w:rPr>
                <w:rFonts w:ascii="Times New Roman" w:eastAsia="仿宋"/>
                <w:szCs w:val="21"/>
              </w:rPr>
            </w:pPr>
            <w:r>
              <w:rPr>
                <w:rFonts w:ascii="Times New Roman" w:eastAsia="仿宋"/>
                <w:szCs w:val="21"/>
              </w:rPr>
              <w:t>15</w:t>
            </w:r>
          </w:p>
        </w:tc>
        <w:tc>
          <w:tcPr>
            <w:tcW w:w="648" w:type="pct"/>
            <w:vAlign w:val="center"/>
          </w:tcPr>
          <w:p w14:paraId="5FBB729C">
            <w:pPr>
              <w:widowControl/>
              <w:jc w:val="center"/>
              <w:rPr>
                <w:rFonts w:ascii="Times New Roman" w:eastAsia="仿宋"/>
                <w:szCs w:val="21"/>
              </w:rPr>
            </w:pPr>
            <w:r>
              <w:rPr>
                <w:rFonts w:ascii="Times New Roman" w:eastAsia="仿宋"/>
                <w:szCs w:val="21"/>
              </w:rPr>
              <w:t>0.8</w:t>
            </w:r>
          </w:p>
        </w:tc>
        <w:tc>
          <w:tcPr>
            <w:tcW w:w="1833" w:type="pct"/>
            <w:vMerge w:val="continue"/>
            <w:vAlign w:val="center"/>
          </w:tcPr>
          <w:p w14:paraId="364DDE2D">
            <w:pPr>
              <w:spacing w:line="240" w:lineRule="exact"/>
              <w:jc w:val="center"/>
              <w:rPr>
                <w:rFonts w:ascii="Times New Roman" w:eastAsia="仿宋"/>
                <w:bCs/>
                <w:szCs w:val="21"/>
              </w:rPr>
            </w:pPr>
          </w:p>
        </w:tc>
      </w:tr>
      <w:tr w14:paraId="1C75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299D7D9F">
            <w:pPr>
              <w:spacing w:line="300" w:lineRule="exact"/>
              <w:jc w:val="center"/>
              <w:rPr>
                <w:rFonts w:ascii="Times New Roman" w:eastAsia="仿宋"/>
                <w:szCs w:val="21"/>
              </w:rPr>
            </w:pPr>
          </w:p>
        </w:tc>
        <w:tc>
          <w:tcPr>
            <w:tcW w:w="641" w:type="pct"/>
            <w:vMerge w:val="continue"/>
            <w:vAlign w:val="center"/>
          </w:tcPr>
          <w:p w14:paraId="5DF3D545">
            <w:pPr>
              <w:adjustRightInd w:val="0"/>
              <w:snapToGrid w:val="0"/>
              <w:jc w:val="center"/>
              <w:rPr>
                <w:rFonts w:ascii="Times New Roman" w:eastAsia="仿宋"/>
                <w:szCs w:val="21"/>
              </w:rPr>
            </w:pPr>
          </w:p>
        </w:tc>
        <w:tc>
          <w:tcPr>
            <w:tcW w:w="879" w:type="pct"/>
            <w:shd w:val="clear" w:color="auto" w:fill="auto"/>
            <w:vAlign w:val="center"/>
          </w:tcPr>
          <w:p w14:paraId="019FE73B">
            <w:pPr>
              <w:adjustRightInd w:val="0"/>
              <w:snapToGrid w:val="0"/>
              <w:jc w:val="center"/>
              <w:rPr>
                <w:rFonts w:ascii="Times New Roman" w:eastAsia="仿宋"/>
                <w:szCs w:val="21"/>
              </w:rPr>
            </w:pPr>
            <w:r>
              <w:rPr>
                <w:rFonts w:hint="eastAsia" w:ascii="Times New Roman" w:eastAsia="仿宋"/>
                <w:szCs w:val="21"/>
              </w:rPr>
              <w:t>苯系物</w:t>
            </w:r>
          </w:p>
        </w:tc>
        <w:tc>
          <w:tcPr>
            <w:tcW w:w="692" w:type="pct"/>
            <w:vAlign w:val="center"/>
          </w:tcPr>
          <w:p w14:paraId="61E369FA">
            <w:pPr>
              <w:widowControl/>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648" w:type="pct"/>
            <w:vAlign w:val="center"/>
          </w:tcPr>
          <w:p w14:paraId="61411B1F">
            <w:pPr>
              <w:widowControl/>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833" w:type="pct"/>
            <w:vMerge w:val="continue"/>
            <w:vAlign w:val="center"/>
          </w:tcPr>
          <w:p w14:paraId="287BDF66">
            <w:pPr>
              <w:spacing w:line="240" w:lineRule="exact"/>
              <w:jc w:val="center"/>
              <w:rPr>
                <w:rFonts w:ascii="Times New Roman" w:eastAsia="仿宋"/>
                <w:bCs/>
                <w:szCs w:val="21"/>
              </w:rPr>
            </w:pPr>
          </w:p>
        </w:tc>
      </w:tr>
      <w:tr w14:paraId="02D1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7B628DA8">
            <w:pPr>
              <w:spacing w:line="300" w:lineRule="exact"/>
              <w:jc w:val="center"/>
              <w:rPr>
                <w:rFonts w:ascii="Times New Roman" w:eastAsia="仿宋"/>
                <w:szCs w:val="21"/>
              </w:rPr>
            </w:pPr>
          </w:p>
        </w:tc>
        <w:tc>
          <w:tcPr>
            <w:tcW w:w="641" w:type="pct"/>
            <w:vMerge w:val="continue"/>
            <w:vAlign w:val="center"/>
          </w:tcPr>
          <w:p w14:paraId="0DDF8827">
            <w:pPr>
              <w:adjustRightInd w:val="0"/>
              <w:snapToGrid w:val="0"/>
              <w:jc w:val="center"/>
              <w:rPr>
                <w:rFonts w:ascii="Times New Roman" w:eastAsia="仿宋"/>
                <w:szCs w:val="21"/>
              </w:rPr>
            </w:pPr>
          </w:p>
        </w:tc>
        <w:tc>
          <w:tcPr>
            <w:tcW w:w="879" w:type="pct"/>
            <w:shd w:val="clear" w:color="auto" w:fill="auto"/>
            <w:vAlign w:val="center"/>
          </w:tcPr>
          <w:p w14:paraId="3AC6C89A">
            <w:pPr>
              <w:adjustRightInd w:val="0"/>
              <w:snapToGrid w:val="0"/>
              <w:jc w:val="center"/>
              <w:rPr>
                <w:rFonts w:ascii="Times New Roman" w:eastAsia="仿宋"/>
                <w:szCs w:val="21"/>
              </w:rPr>
            </w:pPr>
            <w:r>
              <w:rPr>
                <w:rFonts w:hint="eastAsia" w:ascii="Times New Roman" w:eastAsia="仿宋"/>
                <w:szCs w:val="21"/>
              </w:rPr>
              <w:t>颗粒物</w:t>
            </w:r>
          </w:p>
        </w:tc>
        <w:tc>
          <w:tcPr>
            <w:tcW w:w="692" w:type="pct"/>
            <w:vAlign w:val="center"/>
          </w:tcPr>
          <w:p w14:paraId="1C98EC31">
            <w:pPr>
              <w:widowControl/>
              <w:jc w:val="center"/>
              <w:rPr>
                <w:rFonts w:ascii="Times New Roman" w:eastAsia="仿宋"/>
                <w:szCs w:val="21"/>
              </w:rPr>
            </w:pPr>
            <w:r>
              <w:rPr>
                <w:rFonts w:ascii="Times New Roman" w:eastAsia="仿宋"/>
                <w:szCs w:val="21"/>
              </w:rPr>
              <w:t>10</w:t>
            </w:r>
          </w:p>
        </w:tc>
        <w:tc>
          <w:tcPr>
            <w:tcW w:w="648" w:type="pct"/>
            <w:vAlign w:val="center"/>
          </w:tcPr>
          <w:p w14:paraId="5328E692">
            <w:pPr>
              <w:widowControl/>
              <w:jc w:val="center"/>
              <w:rPr>
                <w:rFonts w:ascii="Times New Roman" w:eastAsia="仿宋"/>
                <w:szCs w:val="21"/>
              </w:rPr>
            </w:pPr>
            <w:r>
              <w:rPr>
                <w:rFonts w:ascii="Times New Roman" w:eastAsia="仿宋"/>
                <w:szCs w:val="21"/>
              </w:rPr>
              <w:t>0.6</w:t>
            </w:r>
          </w:p>
        </w:tc>
        <w:tc>
          <w:tcPr>
            <w:tcW w:w="1833" w:type="pct"/>
            <w:vMerge w:val="continue"/>
            <w:vAlign w:val="center"/>
          </w:tcPr>
          <w:p w14:paraId="62043973">
            <w:pPr>
              <w:spacing w:line="240" w:lineRule="exact"/>
              <w:jc w:val="center"/>
              <w:rPr>
                <w:rFonts w:ascii="Times New Roman" w:eastAsia="仿宋"/>
                <w:bCs/>
                <w:szCs w:val="21"/>
              </w:rPr>
            </w:pPr>
          </w:p>
        </w:tc>
      </w:tr>
      <w:tr w14:paraId="1C12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restart"/>
            <w:vAlign w:val="center"/>
          </w:tcPr>
          <w:p w14:paraId="191A5CA3">
            <w:pPr>
              <w:spacing w:line="300" w:lineRule="exact"/>
              <w:jc w:val="center"/>
              <w:rPr>
                <w:rFonts w:ascii="Times New Roman" w:eastAsia="仿宋"/>
                <w:szCs w:val="21"/>
              </w:rPr>
            </w:pPr>
            <w:r>
              <w:rPr>
                <w:rFonts w:hint="eastAsia" w:ascii="Times New Roman" w:eastAsia="仿宋"/>
                <w:szCs w:val="21"/>
              </w:rPr>
              <w:t>4#</w:t>
            </w:r>
          </w:p>
        </w:tc>
        <w:tc>
          <w:tcPr>
            <w:tcW w:w="641" w:type="pct"/>
            <w:vMerge w:val="restart"/>
            <w:vAlign w:val="center"/>
          </w:tcPr>
          <w:p w14:paraId="5E53CFE2">
            <w:pPr>
              <w:adjustRightInd w:val="0"/>
              <w:snapToGrid w:val="0"/>
              <w:jc w:val="center"/>
              <w:rPr>
                <w:rFonts w:ascii="Times New Roman" w:eastAsia="仿宋"/>
                <w:szCs w:val="21"/>
              </w:rPr>
            </w:pPr>
            <w:r>
              <w:rPr>
                <w:rFonts w:hint="eastAsia" w:ascii="Times New Roman" w:eastAsia="仿宋"/>
                <w:szCs w:val="21"/>
              </w:rPr>
              <w:t>固化、烘干</w:t>
            </w:r>
          </w:p>
        </w:tc>
        <w:tc>
          <w:tcPr>
            <w:tcW w:w="879" w:type="pct"/>
            <w:shd w:val="clear" w:color="auto" w:fill="auto"/>
            <w:vAlign w:val="center"/>
          </w:tcPr>
          <w:p w14:paraId="5A55C3FE">
            <w:pPr>
              <w:adjustRightInd w:val="0"/>
              <w:snapToGrid w:val="0"/>
              <w:jc w:val="center"/>
              <w:rPr>
                <w:rFonts w:ascii="Times New Roman" w:eastAsia="仿宋"/>
                <w:szCs w:val="21"/>
              </w:rPr>
            </w:pPr>
            <w:r>
              <w:rPr>
                <w:rFonts w:ascii="Times New Roman" w:eastAsia="仿宋"/>
                <w:szCs w:val="21"/>
              </w:rPr>
              <w:t>非甲烷总烃</w:t>
            </w:r>
          </w:p>
        </w:tc>
        <w:tc>
          <w:tcPr>
            <w:tcW w:w="692" w:type="pct"/>
            <w:shd w:val="clear" w:color="auto" w:fill="auto"/>
            <w:vAlign w:val="center"/>
          </w:tcPr>
          <w:p w14:paraId="05369A73">
            <w:pPr>
              <w:widowControl/>
              <w:jc w:val="center"/>
              <w:rPr>
                <w:rFonts w:ascii="Times New Roman" w:eastAsia="仿宋"/>
                <w:szCs w:val="21"/>
              </w:rPr>
            </w:pPr>
            <w:r>
              <w:rPr>
                <w:rFonts w:ascii="Times New Roman" w:eastAsia="仿宋"/>
                <w:szCs w:val="21"/>
              </w:rPr>
              <w:t>40</w:t>
            </w:r>
          </w:p>
        </w:tc>
        <w:tc>
          <w:tcPr>
            <w:tcW w:w="648" w:type="pct"/>
            <w:shd w:val="clear" w:color="auto" w:fill="auto"/>
            <w:vAlign w:val="center"/>
          </w:tcPr>
          <w:p w14:paraId="39EEEA57">
            <w:pPr>
              <w:widowControl/>
              <w:jc w:val="center"/>
              <w:rPr>
                <w:rFonts w:ascii="Times New Roman" w:eastAsia="仿宋"/>
                <w:szCs w:val="21"/>
              </w:rPr>
            </w:pPr>
            <w:r>
              <w:rPr>
                <w:rFonts w:ascii="Times New Roman" w:eastAsia="仿宋"/>
                <w:szCs w:val="21"/>
              </w:rPr>
              <w:t>1.8</w:t>
            </w:r>
          </w:p>
        </w:tc>
        <w:tc>
          <w:tcPr>
            <w:tcW w:w="1833" w:type="pct"/>
            <w:vMerge w:val="restart"/>
            <w:vAlign w:val="center"/>
          </w:tcPr>
          <w:p w14:paraId="632C25A3">
            <w:pPr>
              <w:spacing w:line="240" w:lineRule="exact"/>
              <w:jc w:val="center"/>
              <w:rPr>
                <w:rFonts w:ascii="Times New Roman" w:eastAsia="仿宋"/>
                <w:bCs/>
                <w:szCs w:val="21"/>
              </w:rPr>
            </w:pPr>
            <w:r>
              <w:rPr>
                <w:rFonts w:ascii="Times New Roman" w:eastAsia="仿宋"/>
                <w:spacing w:val="8"/>
                <w:szCs w:val="21"/>
              </w:rPr>
              <w:t>《</w:t>
            </w:r>
            <w:r>
              <w:rPr>
                <w:rFonts w:hint="eastAsia" w:ascii="Times New Roman" w:eastAsia="仿宋"/>
                <w:spacing w:val="8"/>
                <w:szCs w:val="21"/>
              </w:rPr>
              <w:t>表面涂装（汽车零部件）大气污染物排放标准</w:t>
            </w:r>
            <w:r>
              <w:rPr>
                <w:rFonts w:ascii="Times New Roman" w:eastAsia="仿宋"/>
                <w:spacing w:val="8"/>
                <w:szCs w:val="21"/>
              </w:rPr>
              <w:t>》（DB 32/</w:t>
            </w:r>
            <w:r>
              <w:rPr>
                <w:rFonts w:hint="eastAsia" w:ascii="Times New Roman" w:eastAsia="仿宋"/>
                <w:spacing w:val="8"/>
                <w:szCs w:val="21"/>
              </w:rPr>
              <w:t>3966</w:t>
            </w:r>
            <w:r>
              <w:rPr>
                <w:rFonts w:ascii="Times New Roman" w:eastAsia="仿宋"/>
                <w:spacing w:val="8"/>
                <w:szCs w:val="21"/>
              </w:rPr>
              <w:t>-202</w:t>
            </w:r>
            <w:r>
              <w:rPr>
                <w:rFonts w:hint="eastAsia" w:ascii="Times New Roman" w:eastAsia="仿宋"/>
                <w:spacing w:val="8"/>
                <w:szCs w:val="21"/>
              </w:rPr>
              <w:t>1</w:t>
            </w:r>
            <w:r>
              <w:rPr>
                <w:rFonts w:ascii="Times New Roman" w:eastAsia="仿宋"/>
                <w:spacing w:val="8"/>
                <w:szCs w:val="21"/>
              </w:rPr>
              <w:t>）</w:t>
            </w:r>
            <w:r>
              <w:rPr>
                <w:rFonts w:hint="eastAsia" w:ascii="Times New Roman" w:eastAsia="仿宋"/>
                <w:spacing w:val="8"/>
                <w:szCs w:val="21"/>
              </w:rPr>
              <w:t>表1相关限值</w:t>
            </w:r>
          </w:p>
        </w:tc>
      </w:tr>
      <w:tr w14:paraId="5AC0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1F06B951">
            <w:pPr>
              <w:spacing w:line="300" w:lineRule="exact"/>
              <w:jc w:val="center"/>
              <w:rPr>
                <w:rFonts w:ascii="Times New Roman" w:eastAsia="仿宋"/>
                <w:szCs w:val="21"/>
              </w:rPr>
            </w:pPr>
          </w:p>
        </w:tc>
        <w:tc>
          <w:tcPr>
            <w:tcW w:w="641" w:type="pct"/>
            <w:vMerge w:val="continue"/>
            <w:vAlign w:val="center"/>
          </w:tcPr>
          <w:p w14:paraId="77BAB21E">
            <w:pPr>
              <w:adjustRightInd w:val="0"/>
              <w:snapToGrid w:val="0"/>
              <w:jc w:val="center"/>
              <w:rPr>
                <w:rFonts w:ascii="Times New Roman" w:eastAsia="仿宋"/>
                <w:szCs w:val="21"/>
              </w:rPr>
            </w:pPr>
          </w:p>
        </w:tc>
        <w:tc>
          <w:tcPr>
            <w:tcW w:w="879" w:type="pct"/>
            <w:shd w:val="clear" w:color="auto" w:fill="auto"/>
            <w:vAlign w:val="center"/>
          </w:tcPr>
          <w:p w14:paraId="59F4CF70">
            <w:pPr>
              <w:adjustRightInd w:val="0"/>
              <w:snapToGrid w:val="0"/>
              <w:jc w:val="center"/>
              <w:rPr>
                <w:rFonts w:ascii="Times New Roman" w:eastAsia="仿宋"/>
                <w:szCs w:val="21"/>
              </w:rPr>
            </w:pPr>
            <w:r>
              <w:rPr>
                <w:rFonts w:hint="eastAsia" w:ascii="Times New Roman" w:eastAsia="仿宋"/>
                <w:szCs w:val="21"/>
              </w:rPr>
              <w:t>二甲苯与甲苯</w:t>
            </w:r>
          </w:p>
        </w:tc>
        <w:tc>
          <w:tcPr>
            <w:tcW w:w="692" w:type="pct"/>
            <w:shd w:val="clear" w:color="auto" w:fill="auto"/>
            <w:vAlign w:val="center"/>
          </w:tcPr>
          <w:p w14:paraId="69D8402B">
            <w:pPr>
              <w:widowControl/>
              <w:jc w:val="center"/>
              <w:rPr>
                <w:rFonts w:ascii="Times New Roman" w:eastAsia="仿宋"/>
                <w:szCs w:val="21"/>
              </w:rPr>
            </w:pPr>
            <w:r>
              <w:rPr>
                <w:rFonts w:ascii="Times New Roman" w:eastAsia="仿宋"/>
                <w:szCs w:val="21"/>
              </w:rPr>
              <w:t>15</w:t>
            </w:r>
          </w:p>
        </w:tc>
        <w:tc>
          <w:tcPr>
            <w:tcW w:w="648" w:type="pct"/>
            <w:shd w:val="clear" w:color="auto" w:fill="auto"/>
            <w:vAlign w:val="center"/>
          </w:tcPr>
          <w:p w14:paraId="3973C85C">
            <w:pPr>
              <w:widowControl/>
              <w:jc w:val="center"/>
              <w:rPr>
                <w:rFonts w:ascii="Times New Roman" w:eastAsia="仿宋"/>
                <w:szCs w:val="21"/>
              </w:rPr>
            </w:pPr>
            <w:r>
              <w:rPr>
                <w:rFonts w:ascii="Times New Roman" w:eastAsia="仿宋"/>
                <w:szCs w:val="21"/>
              </w:rPr>
              <w:t>0.8</w:t>
            </w:r>
          </w:p>
        </w:tc>
        <w:tc>
          <w:tcPr>
            <w:tcW w:w="1833" w:type="pct"/>
            <w:vMerge w:val="continue"/>
            <w:vAlign w:val="center"/>
          </w:tcPr>
          <w:p w14:paraId="48667E8C">
            <w:pPr>
              <w:spacing w:line="240" w:lineRule="exact"/>
              <w:jc w:val="center"/>
              <w:rPr>
                <w:rFonts w:ascii="Times New Roman" w:eastAsia="仿宋"/>
                <w:bCs/>
                <w:szCs w:val="21"/>
              </w:rPr>
            </w:pPr>
          </w:p>
        </w:tc>
      </w:tr>
      <w:tr w14:paraId="1607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39EE8483">
            <w:pPr>
              <w:spacing w:line="300" w:lineRule="exact"/>
              <w:jc w:val="center"/>
              <w:rPr>
                <w:rFonts w:ascii="Times New Roman" w:eastAsia="仿宋"/>
                <w:szCs w:val="21"/>
              </w:rPr>
            </w:pPr>
          </w:p>
        </w:tc>
        <w:tc>
          <w:tcPr>
            <w:tcW w:w="641" w:type="pct"/>
            <w:vMerge w:val="continue"/>
            <w:vAlign w:val="center"/>
          </w:tcPr>
          <w:p w14:paraId="6B1A3D2B">
            <w:pPr>
              <w:adjustRightInd w:val="0"/>
              <w:snapToGrid w:val="0"/>
              <w:jc w:val="center"/>
              <w:rPr>
                <w:rFonts w:ascii="Times New Roman" w:eastAsia="仿宋"/>
                <w:szCs w:val="21"/>
              </w:rPr>
            </w:pPr>
          </w:p>
        </w:tc>
        <w:tc>
          <w:tcPr>
            <w:tcW w:w="879" w:type="pct"/>
            <w:shd w:val="clear" w:color="auto" w:fill="auto"/>
            <w:vAlign w:val="center"/>
          </w:tcPr>
          <w:p w14:paraId="5B861BCD">
            <w:pPr>
              <w:adjustRightInd w:val="0"/>
              <w:snapToGrid w:val="0"/>
              <w:jc w:val="center"/>
              <w:rPr>
                <w:rFonts w:ascii="Times New Roman" w:eastAsia="仿宋"/>
                <w:szCs w:val="21"/>
              </w:rPr>
            </w:pPr>
            <w:r>
              <w:rPr>
                <w:rFonts w:hint="eastAsia" w:ascii="Times New Roman" w:eastAsia="仿宋"/>
                <w:szCs w:val="21"/>
              </w:rPr>
              <w:t>苯系物</w:t>
            </w:r>
          </w:p>
        </w:tc>
        <w:tc>
          <w:tcPr>
            <w:tcW w:w="692" w:type="pct"/>
            <w:shd w:val="clear" w:color="auto" w:fill="auto"/>
            <w:vAlign w:val="center"/>
          </w:tcPr>
          <w:p w14:paraId="4CA14350">
            <w:pPr>
              <w:widowControl/>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648" w:type="pct"/>
            <w:shd w:val="clear" w:color="auto" w:fill="auto"/>
            <w:vAlign w:val="center"/>
          </w:tcPr>
          <w:p w14:paraId="56824474">
            <w:pPr>
              <w:widowControl/>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833" w:type="pct"/>
            <w:vMerge w:val="continue"/>
            <w:vAlign w:val="center"/>
          </w:tcPr>
          <w:p w14:paraId="0DB58304">
            <w:pPr>
              <w:spacing w:line="240" w:lineRule="exact"/>
              <w:jc w:val="center"/>
              <w:rPr>
                <w:rFonts w:ascii="Times New Roman" w:eastAsia="仿宋"/>
                <w:bCs/>
                <w:szCs w:val="21"/>
              </w:rPr>
            </w:pPr>
          </w:p>
        </w:tc>
      </w:tr>
      <w:tr w14:paraId="4E35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1527B3CC">
            <w:pPr>
              <w:spacing w:line="300" w:lineRule="exact"/>
              <w:jc w:val="center"/>
              <w:rPr>
                <w:rFonts w:ascii="Times New Roman" w:eastAsia="仿宋"/>
                <w:szCs w:val="21"/>
              </w:rPr>
            </w:pPr>
          </w:p>
        </w:tc>
        <w:tc>
          <w:tcPr>
            <w:tcW w:w="641" w:type="pct"/>
            <w:vMerge w:val="continue"/>
            <w:vAlign w:val="center"/>
          </w:tcPr>
          <w:p w14:paraId="0006A6B4">
            <w:pPr>
              <w:adjustRightInd w:val="0"/>
              <w:snapToGrid w:val="0"/>
              <w:jc w:val="center"/>
              <w:rPr>
                <w:rFonts w:ascii="Times New Roman" w:eastAsia="仿宋"/>
                <w:szCs w:val="21"/>
              </w:rPr>
            </w:pPr>
          </w:p>
        </w:tc>
        <w:tc>
          <w:tcPr>
            <w:tcW w:w="879" w:type="pct"/>
            <w:shd w:val="clear" w:color="auto" w:fill="auto"/>
            <w:vAlign w:val="center"/>
          </w:tcPr>
          <w:p w14:paraId="50942D48">
            <w:pPr>
              <w:adjustRightInd w:val="0"/>
              <w:snapToGrid w:val="0"/>
              <w:jc w:val="center"/>
              <w:rPr>
                <w:rFonts w:ascii="Times New Roman" w:eastAsia="仿宋"/>
                <w:szCs w:val="21"/>
              </w:rPr>
            </w:pPr>
            <w:r>
              <w:rPr>
                <w:rFonts w:hint="eastAsia" w:ascii="Times New Roman" w:eastAsia="仿宋"/>
                <w:szCs w:val="21"/>
              </w:rPr>
              <w:t>颗粒物</w:t>
            </w:r>
          </w:p>
        </w:tc>
        <w:tc>
          <w:tcPr>
            <w:tcW w:w="692" w:type="pct"/>
            <w:shd w:val="clear" w:color="auto" w:fill="auto"/>
            <w:vAlign w:val="center"/>
          </w:tcPr>
          <w:p w14:paraId="343ACB67">
            <w:pPr>
              <w:widowControl/>
              <w:jc w:val="center"/>
              <w:rPr>
                <w:rFonts w:ascii="Times New Roman" w:eastAsia="仿宋"/>
                <w:szCs w:val="21"/>
              </w:rPr>
            </w:pPr>
            <w:r>
              <w:rPr>
                <w:rFonts w:ascii="Times New Roman" w:eastAsia="仿宋"/>
                <w:szCs w:val="21"/>
              </w:rPr>
              <w:t>10</w:t>
            </w:r>
          </w:p>
        </w:tc>
        <w:tc>
          <w:tcPr>
            <w:tcW w:w="648" w:type="pct"/>
            <w:shd w:val="clear" w:color="auto" w:fill="auto"/>
            <w:vAlign w:val="center"/>
          </w:tcPr>
          <w:p w14:paraId="465F1D3E">
            <w:pPr>
              <w:widowControl/>
              <w:jc w:val="center"/>
              <w:rPr>
                <w:rFonts w:ascii="Times New Roman" w:eastAsia="仿宋"/>
                <w:szCs w:val="21"/>
              </w:rPr>
            </w:pPr>
            <w:r>
              <w:rPr>
                <w:rFonts w:ascii="Times New Roman" w:eastAsia="仿宋"/>
                <w:szCs w:val="21"/>
              </w:rPr>
              <w:t>0.6</w:t>
            </w:r>
          </w:p>
        </w:tc>
        <w:tc>
          <w:tcPr>
            <w:tcW w:w="1833" w:type="pct"/>
            <w:vMerge w:val="continue"/>
            <w:vAlign w:val="center"/>
          </w:tcPr>
          <w:p w14:paraId="5C468438">
            <w:pPr>
              <w:spacing w:line="240" w:lineRule="exact"/>
              <w:jc w:val="center"/>
              <w:rPr>
                <w:rFonts w:ascii="Times New Roman" w:eastAsia="仿宋"/>
                <w:bCs/>
                <w:szCs w:val="21"/>
              </w:rPr>
            </w:pPr>
          </w:p>
        </w:tc>
      </w:tr>
      <w:tr w14:paraId="3900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12BD5A37">
            <w:pPr>
              <w:spacing w:line="300" w:lineRule="exact"/>
              <w:jc w:val="center"/>
              <w:rPr>
                <w:rFonts w:ascii="Times New Roman" w:eastAsia="仿宋"/>
                <w:szCs w:val="21"/>
              </w:rPr>
            </w:pPr>
          </w:p>
        </w:tc>
        <w:tc>
          <w:tcPr>
            <w:tcW w:w="641" w:type="pct"/>
            <w:vMerge w:val="continue"/>
            <w:vAlign w:val="center"/>
          </w:tcPr>
          <w:p w14:paraId="41B5CEBF">
            <w:pPr>
              <w:adjustRightInd w:val="0"/>
              <w:snapToGrid w:val="0"/>
              <w:jc w:val="center"/>
              <w:rPr>
                <w:rFonts w:ascii="Times New Roman" w:eastAsia="仿宋"/>
                <w:szCs w:val="21"/>
              </w:rPr>
            </w:pPr>
          </w:p>
        </w:tc>
        <w:tc>
          <w:tcPr>
            <w:tcW w:w="879" w:type="pct"/>
            <w:shd w:val="clear" w:color="auto" w:fill="auto"/>
            <w:vAlign w:val="center"/>
          </w:tcPr>
          <w:p w14:paraId="7043007C">
            <w:pPr>
              <w:adjustRightInd w:val="0"/>
              <w:snapToGrid w:val="0"/>
              <w:jc w:val="center"/>
              <w:rPr>
                <w:rFonts w:ascii="Times New Roman" w:eastAsia="仿宋"/>
                <w:szCs w:val="21"/>
              </w:rPr>
            </w:pPr>
            <w:r>
              <w:rPr>
                <w:rFonts w:hint="eastAsia" w:ascii="Times New Roman" w:eastAsia="仿宋"/>
                <w:szCs w:val="21"/>
              </w:rPr>
              <w:t>TVOC</w:t>
            </w:r>
          </w:p>
        </w:tc>
        <w:tc>
          <w:tcPr>
            <w:tcW w:w="692" w:type="pct"/>
            <w:shd w:val="clear" w:color="auto" w:fill="auto"/>
            <w:vAlign w:val="center"/>
          </w:tcPr>
          <w:p w14:paraId="36665475">
            <w:pPr>
              <w:widowControl/>
              <w:jc w:val="center"/>
              <w:rPr>
                <w:rFonts w:ascii="Times New Roman" w:eastAsia="仿宋"/>
                <w:szCs w:val="21"/>
              </w:rPr>
            </w:pPr>
            <w:r>
              <w:rPr>
                <w:rFonts w:hint="eastAsia" w:ascii="Times New Roman" w:eastAsia="仿宋"/>
                <w:szCs w:val="21"/>
              </w:rPr>
              <w:t>60</w:t>
            </w:r>
          </w:p>
        </w:tc>
        <w:tc>
          <w:tcPr>
            <w:tcW w:w="648" w:type="pct"/>
            <w:shd w:val="clear" w:color="auto" w:fill="auto"/>
            <w:vAlign w:val="center"/>
          </w:tcPr>
          <w:p w14:paraId="25BB823C">
            <w:pPr>
              <w:widowControl/>
              <w:jc w:val="center"/>
              <w:rPr>
                <w:rFonts w:ascii="Times New Roman" w:eastAsia="仿宋"/>
                <w:szCs w:val="21"/>
              </w:rPr>
            </w:pPr>
            <w:r>
              <w:rPr>
                <w:rFonts w:hint="eastAsia" w:ascii="Times New Roman" w:eastAsia="仿宋"/>
                <w:szCs w:val="21"/>
              </w:rPr>
              <w:t>2.0</w:t>
            </w:r>
          </w:p>
        </w:tc>
        <w:tc>
          <w:tcPr>
            <w:tcW w:w="1833" w:type="pct"/>
            <w:vMerge w:val="continue"/>
            <w:vAlign w:val="center"/>
          </w:tcPr>
          <w:p w14:paraId="1C146ACF">
            <w:pPr>
              <w:spacing w:line="240" w:lineRule="exact"/>
              <w:jc w:val="center"/>
              <w:rPr>
                <w:rFonts w:ascii="Times New Roman" w:eastAsia="仿宋"/>
                <w:bCs/>
                <w:szCs w:val="21"/>
              </w:rPr>
            </w:pPr>
          </w:p>
        </w:tc>
      </w:tr>
      <w:tr w14:paraId="134B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33699BAE">
            <w:pPr>
              <w:spacing w:line="300" w:lineRule="exact"/>
              <w:jc w:val="center"/>
              <w:rPr>
                <w:rFonts w:ascii="Times New Roman" w:eastAsia="仿宋"/>
                <w:szCs w:val="21"/>
              </w:rPr>
            </w:pPr>
          </w:p>
        </w:tc>
        <w:tc>
          <w:tcPr>
            <w:tcW w:w="641" w:type="pct"/>
            <w:vMerge w:val="continue"/>
            <w:vAlign w:val="center"/>
          </w:tcPr>
          <w:p w14:paraId="2B38A15E">
            <w:pPr>
              <w:adjustRightInd w:val="0"/>
              <w:snapToGrid w:val="0"/>
              <w:jc w:val="center"/>
              <w:rPr>
                <w:rFonts w:ascii="Times New Roman" w:eastAsia="仿宋"/>
                <w:szCs w:val="21"/>
              </w:rPr>
            </w:pPr>
          </w:p>
        </w:tc>
        <w:tc>
          <w:tcPr>
            <w:tcW w:w="879" w:type="pct"/>
            <w:shd w:val="clear" w:color="auto" w:fill="auto"/>
            <w:vAlign w:val="center"/>
          </w:tcPr>
          <w:p w14:paraId="5B63059A">
            <w:pPr>
              <w:adjustRightInd w:val="0"/>
              <w:snapToGrid w:val="0"/>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692" w:type="pct"/>
            <w:shd w:val="clear" w:color="auto" w:fill="auto"/>
            <w:vAlign w:val="center"/>
          </w:tcPr>
          <w:p w14:paraId="4C9BD43F">
            <w:pPr>
              <w:widowControl/>
              <w:jc w:val="center"/>
              <w:rPr>
                <w:rFonts w:ascii="Times New Roman" w:eastAsia="仿宋"/>
                <w:szCs w:val="21"/>
              </w:rPr>
            </w:pPr>
            <w:r>
              <w:rPr>
                <w:rFonts w:hint="eastAsia" w:ascii="Times New Roman" w:eastAsia="仿宋"/>
                <w:szCs w:val="21"/>
              </w:rPr>
              <w:t>80</w:t>
            </w:r>
          </w:p>
        </w:tc>
        <w:tc>
          <w:tcPr>
            <w:tcW w:w="648" w:type="pct"/>
            <w:shd w:val="clear" w:color="auto" w:fill="auto"/>
            <w:vAlign w:val="center"/>
          </w:tcPr>
          <w:p w14:paraId="17D9B5F8">
            <w:pPr>
              <w:widowControl/>
              <w:jc w:val="center"/>
              <w:rPr>
                <w:rFonts w:ascii="Times New Roman" w:eastAsia="仿宋"/>
                <w:szCs w:val="21"/>
              </w:rPr>
            </w:pPr>
            <w:r>
              <w:rPr>
                <w:rFonts w:ascii="Times New Roman" w:eastAsia="仿宋"/>
                <w:szCs w:val="21"/>
              </w:rPr>
              <w:t>/</w:t>
            </w:r>
          </w:p>
        </w:tc>
        <w:tc>
          <w:tcPr>
            <w:tcW w:w="1833" w:type="pct"/>
            <w:vMerge w:val="restart"/>
            <w:vAlign w:val="center"/>
          </w:tcPr>
          <w:p w14:paraId="53110E98">
            <w:pPr>
              <w:spacing w:line="240" w:lineRule="exact"/>
              <w:jc w:val="center"/>
              <w:rPr>
                <w:rFonts w:ascii="Times New Roman" w:eastAsia="仿宋"/>
                <w:bCs/>
                <w:szCs w:val="21"/>
              </w:rPr>
            </w:pPr>
            <w:r>
              <w:rPr>
                <w:rFonts w:hint="eastAsia" w:ascii="Times New Roman" w:eastAsia="仿宋"/>
                <w:bCs/>
                <w:szCs w:val="21"/>
              </w:rPr>
              <w:t>《工业炉窑大气污染物排放标准》（DB 32/3728-2020）表1 相关限值</w:t>
            </w:r>
          </w:p>
        </w:tc>
      </w:tr>
      <w:tr w14:paraId="0D78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307" w:type="pct"/>
            <w:vMerge w:val="continue"/>
            <w:vAlign w:val="center"/>
          </w:tcPr>
          <w:p w14:paraId="01CC8636">
            <w:pPr>
              <w:spacing w:line="300" w:lineRule="exact"/>
              <w:jc w:val="center"/>
              <w:rPr>
                <w:rFonts w:ascii="Times New Roman" w:eastAsia="仿宋"/>
                <w:szCs w:val="21"/>
              </w:rPr>
            </w:pPr>
          </w:p>
        </w:tc>
        <w:tc>
          <w:tcPr>
            <w:tcW w:w="641" w:type="pct"/>
            <w:vMerge w:val="continue"/>
            <w:vAlign w:val="center"/>
          </w:tcPr>
          <w:p w14:paraId="0F82DBC1">
            <w:pPr>
              <w:adjustRightInd w:val="0"/>
              <w:snapToGrid w:val="0"/>
              <w:jc w:val="center"/>
              <w:rPr>
                <w:rFonts w:ascii="Times New Roman" w:eastAsia="仿宋"/>
                <w:szCs w:val="21"/>
              </w:rPr>
            </w:pPr>
          </w:p>
        </w:tc>
        <w:tc>
          <w:tcPr>
            <w:tcW w:w="879" w:type="pct"/>
            <w:shd w:val="clear" w:color="auto" w:fill="auto"/>
            <w:vAlign w:val="center"/>
          </w:tcPr>
          <w:p w14:paraId="6B60C573">
            <w:pPr>
              <w:adjustRightInd w:val="0"/>
              <w:snapToGrid w:val="0"/>
              <w:jc w:val="center"/>
              <w:rPr>
                <w:rFonts w:ascii="Times New Roman" w:eastAsia="仿宋"/>
                <w:szCs w:val="21"/>
              </w:rPr>
            </w:pPr>
            <w:r>
              <w:rPr>
                <w:rFonts w:ascii="Times New Roman" w:eastAsia="仿宋"/>
                <w:szCs w:val="21"/>
              </w:rPr>
              <w:t>NOx</w:t>
            </w:r>
          </w:p>
        </w:tc>
        <w:tc>
          <w:tcPr>
            <w:tcW w:w="692" w:type="pct"/>
            <w:shd w:val="clear" w:color="auto" w:fill="auto"/>
            <w:vAlign w:val="center"/>
          </w:tcPr>
          <w:p w14:paraId="03554F6B">
            <w:pPr>
              <w:widowControl/>
              <w:jc w:val="center"/>
              <w:rPr>
                <w:rFonts w:ascii="Times New Roman" w:eastAsia="仿宋"/>
                <w:szCs w:val="21"/>
              </w:rPr>
            </w:pPr>
            <w:r>
              <w:rPr>
                <w:rFonts w:hint="eastAsia" w:ascii="Times New Roman" w:eastAsia="仿宋"/>
                <w:szCs w:val="21"/>
              </w:rPr>
              <w:t>180</w:t>
            </w:r>
          </w:p>
        </w:tc>
        <w:tc>
          <w:tcPr>
            <w:tcW w:w="648" w:type="pct"/>
            <w:shd w:val="clear" w:color="auto" w:fill="auto"/>
            <w:vAlign w:val="center"/>
          </w:tcPr>
          <w:p w14:paraId="0C4C93AE">
            <w:pPr>
              <w:widowControl/>
              <w:jc w:val="center"/>
              <w:rPr>
                <w:rFonts w:ascii="Times New Roman" w:eastAsia="仿宋"/>
                <w:szCs w:val="21"/>
              </w:rPr>
            </w:pPr>
            <w:r>
              <w:rPr>
                <w:rFonts w:ascii="Times New Roman" w:eastAsia="仿宋"/>
                <w:szCs w:val="21"/>
              </w:rPr>
              <w:t>/</w:t>
            </w:r>
          </w:p>
        </w:tc>
        <w:tc>
          <w:tcPr>
            <w:tcW w:w="1833" w:type="pct"/>
            <w:vMerge w:val="continue"/>
            <w:vAlign w:val="center"/>
          </w:tcPr>
          <w:p w14:paraId="07CF4CB1">
            <w:pPr>
              <w:spacing w:line="240" w:lineRule="exact"/>
              <w:jc w:val="center"/>
              <w:rPr>
                <w:rFonts w:ascii="Times New Roman" w:eastAsia="仿宋"/>
                <w:bCs/>
                <w:szCs w:val="21"/>
              </w:rPr>
            </w:pPr>
          </w:p>
        </w:tc>
      </w:tr>
      <w:tr w14:paraId="44BF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307" w:type="pct"/>
            <w:vAlign w:val="center"/>
          </w:tcPr>
          <w:p w14:paraId="4CD0F210">
            <w:pPr>
              <w:jc w:val="center"/>
              <w:rPr>
                <w:rFonts w:ascii="Times New Roman" w:eastAsia="仿宋"/>
                <w:szCs w:val="21"/>
              </w:rPr>
            </w:pPr>
            <w:r>
              <w:rPr>
                <w:rFonts w:hint="eastAsia" w:ascii="Times New Roman" w:eastAsia="仿宋"/>
                <w:szCs w:val="21"/>
              </w:rPr>
              <w:t>5#</w:t>
            </w:r>
          </w:p>
        </w:tc>
        <w:tc>
          <w:tcPr>
            <w:tcW w:w="641" w:type="pct"/>
            <w:vAlign w:val="center"/>
          </w:tcPr>
          <w:p w14:paraId="7FEB3069">
            <w:pPr>
              <w:adjustRightInd w:val="0"/>
              <w:snapToGrid w:val="0"/>
              <w:jc w:val="center"/>
              <w:rPr>
                <w:rFonts w:ascii="Times New Roman" w:eastAsia="仿宋"/>
                <w:szCs w:val="21"/>
              </w:rPr>
            </w:pPr>
            <w:r>
              <w:rPr>
                <w:rFonts w:hint="eastAsia" w:ascii="Times New Roman" w:eastAsia="仿宋"/>
                <w:szCs w:val="21"/>
              </w:rPr>
              <w:t>喷粉</w:t>
            </w:r>
          </w:p>
        </w:tc>
        <w:tc>
          <w:tcPr>
            <w:tcW w:w="879" w:type="pct"/>
            <w:vAlign w:val="center"/>
          </w:tcPr>
          <w:p w14:paraId="247B40CE">
            <w:pPr>
              <w:adjustRightInd w:val="0"/>
              <w:snapToGrid w:val="0"/>
              <w:jc w:val="center"/>
              <w:rPr>
                <w:rFonts w:ascii="Times New Roman" w:eastAsia="仿宋"/>
                <w:szCs w:val="21"/>
              </w:rPr>
            </w:pPr>
            <w:r>
              <w:rPr>
                <w:rFonts w:hint="eastAsia" w:ascii="Times New Roman" w:eastAsia="仿宋"/>
                <w:szCs w:val="21"/>
              </w:rPr>
              <w:t>颗粒物</w:t>
            </w:r>
          </w:p>
        </w:tc>
        <w:tc>
          <w:tcPr>
            <w:tcW w:w="692" w:type="pct"/>
            <w:vAlign w:val="center"/>
          </w:tcPr>
          <w:p w14:paraId="0317FDF3">
            <w:pPr>
              <w:widowControl/>
              <w:jc w:val="center"/>
              <w:rPr>
                <w:rFonts w:ascii="Times New Roman" w:eastAsia="仿宋"/>
                <w:szCs w:val="21"/>
              </w:rPr>
            </w:pPr>
            <w:r>
              <w:rPr>
                <w:rFonts w:ascii="Times New Roman" w:eastAsia="仿宋"/>
                <w:szCs w:val="21"/>
              </w:rPr>
              <w:t>10</w:t>
            </w:r>
          </w:p>
        </w:tc>
        <w:tc>
          <w:tcPr>
            <w:tcW w:w="648" w:type="pct"/>
            <w:vAlign w:val="center"/>
          </w:tcPr>
          <w:p w14:paraId="1A111DC9">
            <w:pPr>
              <w:widowControl/>
              <w:jc w:val="center"/>
              <w:rPr>
                <w:rFonts w:ascii="Times New Roman" w:eastAsia="仿宋"/>
                <w:szCs w:val="21"/>
              </w:rPr>
            </w:pPr>
            <w:r>
              <w:rPr>
                <w:rFonts w:ascii="Times New Roman" w:eastAsia="仿宋"/>
                <w:szCs w:val="21"/>
              </w:rPr>
              <w:t>0.6</w:t>
            </w:r>
          </w:p>
        </w:tc>
        <w:tc>
          <w:tcPr>
            <w:tcW w:w="1833" w:type="pct"/>
            <w:vAlign w:val="center"/>
          </w:tcPr>
          <w:p w14:paraId="6FF78C42">
            <w:pPr>
              <w:spacing w:line="240" w:lineRule="exact"/>
              <w:jc w:val="center"/>
              <w:rPr>
                <w:rFonts w:ascii="Times New Roman" w:eastAsia="仿宋"/>
                <w:bCs/>
                <w:szCs w:val="21"/>
              </w:rPr>
            </w:pPr>
            <w:r>
              <w:rPr>
                <w:rFonts w:ascii="Times New Roman" w:eastAsia="仿宋"/>
                <w:spacing w:val="8"/>
                <w:szCs w:val="21"/>
              </w:rPr>
              <w:t>《</w:t>
            </w:r>
            <w:r>
              <w:rPr>
                <w:rFonts w:hint="eastAsia" w:ascii="Times New Roman" w:eastAsia="仿宋"/>
                <w:spacing w:val="8"/>
                <w:szCs w:val="21"/>
              </w:rPr>
              <w:t>表面涂装（汽车零部件）大气污染物排放标准</w:t>
            </w:r>
            <w:r>
              <w:rPr>
                <w:rFonts w:ascii="Times New Roman" w:eastAsia="仿宋"/>
                <w:spacing w:val="8"/>
                <w:szCs w:val="21"/>
              </w:rPr>
              <w:t>》（DB 32/</w:t>
            </w:r>
            <w:r>
              <w:rPr>
                <w:rFonts w:hint="eastAsia" w:ascii="Times New Roman" w:eastAsia="仿宋"/>
                <w:spacing w:val="8"/>
                <w:szCs w:val="21"/>
              </w:rPr>
              <w:t>3966</w:t>
            </w:r>
            <w:r>
              <w:rPr>
                <w:rFonts w:ascii="Times New Roman" w:eastAsia="仿宋"/>
                <w:spacing w:val="8"/>
                <w:szCs w:val="21"/>
              </w:rPr>
              <w:t>-202</w:t>
            </w:r>
            <w:r>
              <w:rPr>
                <w:rFonts w:hint="eastAsia" w:ascii="Times New Roman" w:eastAsia="仿宋"/>
                <w:spacing w:val="8"/>
                <w:szCs w:val="21"/>
              </w:rPr>
              <w:t>1</w:t>
            </w:r>
            <w:r>
              <w:rPr>
                <w:rFonts w:ascii="Times New Roman" w:eastAsia="仿宋"/>
                <w:spacing w:val="8"/>
                <w:szCs w:val="21"/>
              </w:rPr>
              <w:t>）</w:t>
            </w:r>
            <w:r>
              <w:rPr>
                <w:rFonts w:hint="eastAsia" w:ascii="Times New Roman" w:eastAsia="仿宋"/>
                <w:spacing w:val="8"/>
                <w:szCs w:val="21"/>
              </w:rPr>
              <w:t>表1相关限值</w:t>
            </w:r>
          </w:p>
        </w:tc>
      </w:tr>
    </w:tbl>
    <w:p w14:paraId="64FC9703">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本项目非甲烷总烃、颗粒物、二甲苯、苯系物厂界无组织排放限值执行江苏省《大气污染物综合排放标准》(DB 32/4041-2021)表3相关限值，具体见表2.3-7。</w:t>
      </w:r>
    </w:p>
    <w:p w14:paraId="2D3B00A4">
      <w:pPr>
        <w:adjustRightInd w:val="0"/>
        <w:snapToGrid w:val="0"/>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非甲烷总烃厂区内无组织排放限值执行《表面涂装（汽车零部件）大气污染物排放标准》（DB 32/3966-2021）表2标准限值；颗粒物厂区内无组织排放限值执行《工业炉窑大气污染物排放标准》（DB 32/3728-2020），具体见表2.3-8。</w:t>
      </w:r>
    </w:p>
    <w:p w14:paraId="06C24DDB">
      <w:pPr>
        <w:spacing w:line="500" w:lineRule="exact"/>
        <w:jc w:val="center"/>
        <w:rPr>
          <w:rFonts w:ascii="Times New Roman" w:eastAsia="仿宋"/>
          <w:b/>
          <w:bCs/>
        </w:rPr>
      </w:pPr>
      <w:r>
        <w:rPr>
          <w:rFonts w:ascii="Times New Roman" w:eastAsia="仿宋"/>
          <w:b/>
          <w:bCs/>
        </w:rPr>
        <w:t>表2.3-7  企业边界大气污染物浓度限值</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98"/>
        <w:gridCol w:w="2219"/>
        <w:gridCol w:w="4511"/>
      </w:tblGrid>
      <w:tr w14:paraId="1B6E1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pct"/>
            <w:vAlign w:val="center"/>
          </w:tcPr>
          <w:p w14:paraId="58B4D0E2">
            <w:pPr>
              <w:jc w:val="center"/>
              <w:rPr>
                <w:rFonts w:ascii="Times New Roman" w:eastAsia="仿宋"/>
                <w:szCs w:val="21"/>
              </w:rPr>
            </w:pPr>
            <w:r>
              <w:rPr>
                <w:rFonts w:hint="eastAsia" w:ascii="Times New Roman" w:eastAsia="仿宋"/>
                <w:szCs w:val="21"/>
              </w:rPr>
              <w:t>污染物名称</w:t>
            </w:r>
          </w:p>
        </w:tc>
        <w:tc>
          <w:tcPr>
            <w:tcW w:w="1257" w:type="pct"/>
            <w:vAlign w:val="center"/>
          </w:tcPr>
          <w:p w14:paraId="7D48F081">
            <w:pPr>
              <w:jc w:val="center"/>
              <w:rPr>
                <w:rFonts w:ascii="Times New Roman" w:eastAsia="仿宋"/>
                <w:szCs w:val="21"/>
              </w:rPr>
            </w:pPr>
            <w:r>
              <w:rPr>
                <w:rFonts w:hint="eastAsia" w:ascii="Times New Roman" w:eastAsia="仿宋"/>
                <w:szCs w:val="21"/>
              </w:rPr>
              <w:t>监控浓度限值mg/m</w:t>
            </w:r>
            <w:r>
              <w:rPr>
                <w:rFonts w:hint="eastAsia" w:ascii="Times New Roman" w:eastAsia="仿宋"/>
                <w:szCs w:val="21"/>
                <w:vertAlign w:val="superscript"/>
              </w:rPr>
              <w:t>3</w:t>
            </w:r>
          </w:p>
        </w:tc>
        <w:tc>
          <w:tcPr>
            <w:tcW w:w="2555" w:type="pct"/>
            <w:vAlign w:val="center"/>
          </w:tcPr>
          <w:p w14:paraId="5D696986">
            <w:pPr>
              <w:jc w:val="center"/>
              <w:rPr>
                <w:rFonts w:ascii="Times New Roman" w:eastAsia="仿宋"/>
                <w:szCs w:val="21"/>
              </w:rPr>
            </w:pPr>
            <w:r>
              <w:rPr>
                <w:rFonts w:hint="eastAsia" w:ascii="Times New Roman" w:eastAsia="仿宋"/>
                <w:szCs w:val="21"/>
              </w:rPr>
              <w:t>标准来源</w:t>
            </w:r>
          </w:p>
        </w:tc>
      </w:tr>
      <w:tr w14:paraId="7A8CB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pct"/>
            <w:vAlign w:val="center"/>
          </w:tcPr>
          <w:p w14:paraId="75C46A65">
            <w:pPr>
              <w:jc w:val="center"/>
              <w:rPr>
                <w:rFonts w:ascii="Times New Roman" w:eastAsia="仿宋"/>
                <w:szCs w:val="21"/>
              </w:rPr>
            </w:pPr>
            <w:r>
              <w:rPr>
                <w:rFonts w:hint="eastAsia" w:ascii="Times New Roman" w:eastAsia="仿宋"/>
                <w:szCs w:val="21"/>
              </w:rPr>
              <w:t>颗粒物</w:t>
            </w:r>
          </w:p>
        </w:tc>
        <w:tc>
          <w:tcPr>
            <w:tcW w:w="1257" w:type="pct"/>
            <w:vAlign w:val="center"/>
          </w:tcPr>
          <w:p w14:paraId="45A952DD">
            <w:pPr>
              <w:jc w:val="center"/>
              <w:rPr>
                <w:rFonts w:ascii="Times New Roman" w:eastAsia="仿宋"/>
                <w:szCs w:val="21"/>
              </w:rPr>
            </w:pPr>
            <w:r>
              <w:rPr>
                <w:rFonts w:hint="eastAsia" w:ascii="Times New Roman" w:eastAsia="仿宋"/>
                <w:szCs w:val="21"/>
              </w:rPr>
              <w:t>0.5</w:t>
            </w:r>
          </w:p>
        </w:tc>
        <w:tc>
          <w:tcPr>
            <w:tcW w:w="2555" w:type="pct"/>
            <w:vMerge w:val="restart"/>
            <w:vAlign w:val="center"/>
          </w:tcPr>
          <w:p w14:paraId="61FCDD37">
            <w:pPr>
              <w:jc w:val="center"/>
              <w:rPr>
                <w:rFonts w:ascii="Times New Roman" w:eastAsia="仿宋"/>
                <w:szCs w:val="21"/>
              </w:rPr>
            </w:pPr>
            <w:r>
              <w:rPr>
                <w:rFonts w:hint="eastAsia" w:ascii="Times New Roman" w:eastAsia="仿宋"/>
                <w:szCs w:val="21"/>
              </w:rPr>
              <w:t>《大气污染物综合排放标准》(DB 32/4041-2021)表3相关限值</w:t>
            </w:r>
          </w:p>
        </w:tc>
      </w:tr>
      <w:tr w14:paraId="75BEA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pct"/>
            <w:vAlign w:val="center"/>
          </w:tcPr>
          <w:p w14:paraId="056DCFC6">
            <w:pPr>
              <w:jc w:val="center"/>
              <w:rPr>
                <w:rFonts w:ascii="Times New Roman" w:eastAsia="仿宋"/>
                <w:szCs w:val="21"/>
              </w:rPr>
            </w:pPr>
            <w:r>
              <w:rPr>
                <w:rFonts w:hint="eastAsia" w:ascii="Times New Roman" w:eastAsia="仿宋"/>
                <w:szCs w:val="21"/>
              </w:rPr>
              <w:t>非甲烷总烃</w:t>
            </w:r>
          </w:p>
        </w:tc>
        <w:tc>
          <w:tcPr>
            <w:tcW w:w="1257" w:type="pct"/>
            <w:vAlign w:val="center"/>
          </w:tcPr>
          <w:p w14:paraId="0521B721">
            <w:pPr>
              <w:jc w:val="center"/>
              <w:rPr>
                <w:rFonts w:ascii="Times New Roman" w:eastAsia="仿宋"/>
                <w:szCs w:val="21"/>
              </w:rPr>
            </w:pPr>
            <w:r>
              <w:rPr>
                <w:rFonts w:hint="eastAsia" w:ascii="Times New Roman" w:eastAsia="仿宋"/>
                <w:szCs w:val="21"/>
              </w:rPr>
              <w:t>4.0</w:t>
            </w:r>
          </w:p>
        </w:tc>
        <w:tc>
          <w:tcPr>
            <w:tcW w:w="2555" w:type="pct"/>
            <w:vMerge w:val="continue"/>
            <w:vAlign w:val="center"/>
          </w:tcPr>
          <w:p w14:paraId="3E837920">
            <w:pPr>
              <w:spacing w:line="240" w:lineRule="exact"/>
              <w:jc w:val="center"/>
              <w:rPr>
                <w:rFonts w:ascii="Times New Roman" w:eastAsia="仿宋"/>
                <w:bCs/>
                <w:szCs w:val="21"/>
              </w:rPr>
            </w:pPr>
          </w:p>
        </w:tc>
      </w:tr>
      <w:tr w14:paraId="6FCE3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pct"/>
            <w:vAlign w:val="center"/>
          </w:tcPr>
          <w:p w14:paraId="156D4CF4">
            <w:pPr>
              <w:jc w:val="center"/>
              <w:rPr>
                <w:rFonts w:ascii="Times New Roman" w:eastAsia="仿宋"/>
                <w:szCs w:val="21"/>
              </w:rPr>
            </w:pPr>
            <w:r>
              <w:rPr>
                <w:rFonts w:hint="eastAsia" w:ascii="Times New Roman" w:eastAsia="仿宋"/>
                <w:szCs w:val="21"/>
              </w:rPr>
              <w:t>二甲苯</w:t>
            </w:r>
          </w:p>
        </w:tc>
        <w:tc>
          <w:tcPr>
            <w:tcW w:w="1257" w:type="pct"/>
            <w:vAlign w:val="center"/>
          </w:tcPr>
          <w:p w14:paraId="50B1FABF">
            <w:pPr>
              <w:jc w:val="center"/>
              <w:rPr>
                <w:rFonts w:ascii="Times New Roman" w:eastAsia="仿宋"/>
                <w:szCs w:val="21"/>
              </w:rPr>
            </w:pPr>
            <w:r>
              <w:rPr>
                <w:rFonts w:hint="eastAsia" w:ascii="Times New Roman" w:eastAsia="仿宋"/>
                <w:szCs w:val="21"/>
              </w:rPr>
              <w:t>0.2</w:t>
            </w:r>
          </w:p>
        </w:tc>
        <w:tc>
          <w:tcPr>
            <w:tcW w:w="2555" w:type="pct"/>
            <w:vMerge w:val="continue"/>
            <w:vAlign w:val="center"/>
          </w:tcPr>
          <w:p w14:paraId="0B6750CD">
            <w:pPr>
              <w:spacing w:line="240" w:lineRule="exact"/>
              <w:jc w:val="center"/>
              <w:rPr>
                <w:rFonts w:ascii="Times New Roman" w:eastAsia="仿宋"/>
                <w:bCs/>
                <w:szCs w:val="21"/>
              </w:rPr>
            </w:pPr>
          </w:p>
        </w:tc>
      </w:tr>
      <w:tr w14:paraId="2A2EC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188" w:type="pct"/>
            <w:vAlign w:val="center"/>
          </w:tcPr>
          <w:p w14:paraId="65D9D5B5">
            <w:pPr>
              <w:jc w:val="center"/>
              <w:rPr>
                <w:rFonts w:ascii="Times New Roman" w:eastAsia="仿宋"/>
                <w:szCs w:val="21"/>
              </w:rPr>
            </w:pPr>
            <w:r>
              <w:rPr>
                <w:rFonts w:hint="eastAsia" w:ascii="Times New Roman" w:eastAsia="仿宋"/>
                <w:szCs w:val="21"/>
              </w:rPr>
              <w:t>苯系物</w:t>
            </w:r>
          </w:p>
        </w:tc>
        <w:tc>
          <w:tcPr>
            <w:tcW w:w="1257" w:type="pct"/>
            <w:vAlign w:val="center"/>
          </w:tcPr>
          <w:p w14:paraId="5F22281E">
            <w:pPr>
              <w:jc w:val="center"/>
              <w:rPr>
                <w:rFonts w:ascii="Times New Roman" w:eastAsia="仿宋"/>
                <w:szCs w:val="21"/>
              </w:rPr>
            </w:pPr>
            <w:r>
              <w:rPr>
                <w:rFonts w:hint="eastAsia" w:ascii="Times New Roman" w:eastAsia="仿宋"/>
                <w:szCs w:val="21"/>
              </w:rPr>
              <w:t>0</w:t>
            </w:r>
            <w:r>
              <w:rPr>
                <w:rFonts w:ascii="Times New Roman" w:eastAsia="仿宋"/>
                <w:szCs w:val="21"/>
              </w:rPr>
              <w:t>.4</w:t>
            </w:r>
          </w:p>
        </w:tc>
        <w:tc>
          <w:tcPr>
            <w:tcW w:w="2555" w:type="pct"/>
            <w:vMerge w:val="continue"/>
            <w:vAlign w:val="center"/>
          </w:tcPr>
          <w:p w14:paraId="451E42E0">
            <w:pPr>
              <w:spacing w:line="240" w:lineRule="exact"/>
              <w:jc w:val="center"/>
              <w:rPr>
                <w:rFonts w:ascii="Times New Roman" w:eastAsia="仿宋"/>
                <w:bCs/>
                <w:szCs w:val="21"/>
              </w:rPr>
            </w:pPr>
          </w:p>
        </w:tc>
      </w:tr>
    </w:tbl>
    <w:p w14:paraId="465B0A72">
      <w:pPr>
        <w:spacing w:line="500" w:lineRule="exact"/>
        <w:jc w:val="center"/>
        <w:rPr>
          <w:rFonts w:ascii="Times New Roman" w:eastAsia="仿宋"/>
          <w:b/>
          <w:bCs/>
        </w:rPr>
      </w:pPr>
      <w:r>
        <w:rPr>
          <w:rFonts w:ascii="Times New Roman" w:eastAsia="仿宋"/>
          <w:b/>
          <w:bCs/>
        </w:rPr>
        <w:t>表2.3-8  厂区内VOCs无组织排放限值</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6"/>
        <w:gridCol w:w="1552"/>
        <w:gridCol w:w="1891"/>
        <w:gridCol w:w="1891"/>
        <w:gridCol w:w="2578"/>
      </w:tblGrid>
      <w:tr w14:paraId="794BC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4E31B1AF">
            <w:pPr>
              <w:jc w:val="center"/>
              <w:rPr>
                <w:rFonts w:ascii="Times New Roman" w:eastAsia="仿宋"/>
                <w:szCs w:val="21"/>
              </w:rPr>
            </w:pPr>
            <w:r>
              <w:rPr>
                <w:rFonts w:hint="eastAsia" w:ascii="Times New Roman" w:eastAsia="仿宋"/>
                <w:szCs w:val="21"/>
              </w:rPr>
              <w:t>污染物名称</w:t>
            </w:r>
          </w:p>
        </w:tc>
        <w:tc>
          <w:tcPr>
            <w:tcW w:w="879" w:type="pct"/>
            <w:vAlign w:val="center"/>
          </w:tcPr>
          <w:p w14:paraId="772CE7CA">
            <w:pPr>
              <w:jc w:val="center"/>
              <w:rPr>
                <w:rFonts w:ascii="Times New Roman" w:eastAsia="仿宋"/>
                <w:szCs w:val="21"/>
              </w:rPr>
            </w:pPr>
            <w:r>
              <w:rPr>
                <w:rFonts w:hint="eastAsia" w:ascii="Times New Roman" w:eastAsia="仿宋"/>
                <w:szCs w:val="21"/>
              </w:rPr>
              <w:t>特别排放限值mg/m</w:t>
            </w:r>
            <w:r>
              <w:rPr>
                <w:rFonts w:hint="eastAsia" w:ascii="Times New Roman" w:eastAsia="仿宋"/>
                <w:szCs w:val="21"/>
                <w:vertAlign w:val="superscript"/>
              </w:rPr>
              <w:t>3</w:t>
            </w:r>
          </w:p>
        </w:tc>
        <w:tc>
          <w:tcPr>
            <w:tcW w:w="1071" w:type="pct"/>
            <w:vAlign w:val="center"/>
          </w:tcPr>
          <w:p w14:paraId="6960543E">
            <w:pPr>
              <w:jc w:val="center"/>
              <w:rPr>
                <w:rFonts w:ascii="Times New Roman" w:eastAsia="仿宋"/>
                <w:szCs w:val="21"/>
              </w:rPr>
            </w:pPr>
            <w:r>
              <w:rPr>
                <w:rFonts w:hint="eastAsia" w:ascii="Times New Roman" w:eastAsia="仿宋"/>
                <w:szCs w:val="21"/>
              </w:rPr>
              <w:t>限值含义</w:t>
            </w:r>
          </w:p>
        </w:tc>
        <w:tc>
          <w:tcPr>
            <w:tcW w:w="1071" w:type="pct"/>
            <w:vAlign w:val="center"/>
          </w:tcPr>
          <w:p w14:paraId="56E84D30">
            <w:pPr>
              <w:jc w:val="center"/>
              <w:rPr>
                <w:rFonts w:ascii="Times New Roman" w:eastAsia="仿宋"/>
                <w:szCs w:val="21"/>
              </w:rPr>
            </w:pPr>
            <w:r>
              <w:rPr>
                <w:rFonts w:hint="eastAsia" w:ascii="Times New Roman" w:eastAsia="仿宋"/>
                <w:szCs w:val="21"/>
              </w:rPr>
              <w:t>无组织排放监控位置</w:t>
            </w:r>
          </w:p>
        </w:tc>
        <w:tc>
          <w:tcPr>
            <w:tcW w:w="1460" w:type="pct"/>
            <w:vAlign w:val="center"/>
          </w:tcPr>
          <w:p w14:paraId="5F7BEFE2">
            <w:pPr>
              <w:jc w:val="center"/>
              <w:rPr>
                <w:rFonts w:ascii="Times New Roman" w:eastAsia="仿宋"/>
                <w:szCs w:val="21"/>
              </w:rPr>
            </w:pPr>
            <w:r>
              <w:rPr>
                <w:rFonts w:hint="eastAsia" w:ascii="Times New Roman" w:eastAsia="仿宋"/>
                <w:szCs w:val="21"/>
              </w:rPr>
              <w:t>标准来源</w:t>
            </w:r>
          </w:p>
        </w:tc>
      </w:tr>
      <w:tr w14:paraId="75A77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restart"/>
            <w:vAlign w:val="center"/>
          </w:tcPr>
          <w:p w14:paraId="76CC0E20">
            <w:pPr>
              <w:jc w:val="center"/>
              <w:rPr>
                <w:rFonts w:ascii="Times New Roman" w:eastAsia="仿宋"/>
                <w:szCs w:val="21"/>
              </w:rPr>
            </w:pPr>
            <w:r>
              <w:rPr>
                <w:rFonts w:hint="eastAsia" w:ascii="Times New Roman" w:eastAsia="仿宋"/>
                <w:szCs w:val="21"/>
              </w:rPr>
              <w:t>非甲烷总烃</w:t>
            </w:r>
          </w:p>
        </w:tc>
        <w:tc>
          <w:tcPr>
            <w:tcW w:w="879" w:type="pct"/>
            <w:vAlign w:val="center"/>
          </w:tcPr>
          <w:p w14:paraId="7A576F97">
            <w:pPr>
              <w:jc w:val="center"/>
              <w:rPr>
                <w:rFonts w:ascii="Times New Roman" w:eastAsia="仿宋"/>
                <w:szCs w:val="21"/>
              </w:rPr>
            </w:pPr>
            <w:r>
              <w:rPr>
                <w:rFonts w:hint="eastAsia" w:ascii="Times New Roman" w:eastAsia="仿宋"/>
                <w:szCs w:val="21"/>
              </w:rPr>
              <w:t>6</w:t>
            </w:r>
          </w:p>
        </w:tc>
        <w:tc>
          <w:tcPr>
            <w:tcW w:w="1071" w:type="pct"/>
            <w:vAlign w:val="center"/>
          </w:tcPr>
          <w:p w14:paraId="7C103356">
            <w:pPr>
              <w:jc w:val="center"/>
              <w:rPr>
                <w:rFonts w:ascii="Times New Roman" w:eastAsia="仿宋"/>
                <w:szCs w:val="21"/>
              </w:rPr>
            </w:pPr>
            <w:r>
              <w:rPr>
                <w:rFonts w:hint="eastAsia" w:ascii="Times New Roman" w:eastAsia="仿宋"/>
                <w:szCs w:val="21"/>
              </w:rPr>
              <w:t>监控点处1h平均浓度值</w:t>
            </w:r>
          </w:p>
        </w:tc>
        <w:tc>
          <w:tcPr>
            <w:tcW w:w="1071" w:type="pct"/>
            <w:vMerge w:val="restart"/>
            <w:vAlign w:val="center"/>
          </w:tcPr>
          <w:p w14:paraId="2CE1CEDC">
            <w:pPr>
              <w:jc w:val="center"/>
              <w:rPr>
                <w:rFonts w:ascii="Times New Roman" w:eastAsia="仿宋"/>
                <w:szCs w:val="21"/>
              </w:rPr>
            </w:pPr>
            <w:r>
              <w:rPr>
                <w:rFonts w:hint="eastAsia" w:ascii="Times New Roman" w:eastAsia="仿宋"/>
                <w:szCs w:val="21"/>
              </w:rPr>
              <w:t>在厂房外设置监控点</w:t>
            </w:r>
          </w:p>
        </w:tc>
        <w:tc>
          <w:tcPr>
            <w:tcW w:w="1460" w:type="pct"/>
            <w:vMerge w:val="restart"/>
            <w:vAlign w:val="center"/>
          </w:tcPr>
          <w:p w14:paraId="4ADDAB35">
            <w:pPr>
              <w:jc w:val="center"/>
              <w:rPr>
                <w:rFonts w:ascii="Times New Roman" w:eastAsia="仿宋"/>
                <w:szCs w:val="21"/>
              </w:rPr>
            </w:pPr>
            <w:r>
              <w:rPr>
                <w:rFonts w:hint="eastAsia" w:ascii="Times New Roman" w:eastAsia="仿宋"/>
                <w:szCs w:val="21"/>
              </w:rPr>
              <w:t>《表面涂装（汽车零部件）大气污染物排放标准》（DB 32/3966-2021）表2相关限值</w:t>
            </w:r>
          </w:p>
        </w:tc>
      </w:tr>
      <w:tr w14:paraId="6F9AA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14:paraId="516C11A3">
            <w:pPr>
              <w:jc w:val="center"/>
              <w:rPr>
                <w:rFonts w:ascii="Times New Roman" w:eastAsia="仿宋"/>
                <w:szCs w:val="21"/>
              </w:rPr>
            </w:pPr>
          </w:p>
        </w:tc>
        <w:tc>
          <w:tcPr>
            <w:tcW w:w="879" w:type="pct"/>
            <w:vAlign w:val="center"/>
          </w:tcPr>
          <w:p w14:paraId="4A9553D4">
            <w:pPr>
              <w:jc w:val="center"/>
              <w:rPr>
                <w:rFonts w:ascii="Times New Roman" w:eastAsia="仿宋"/>
                <w:szCs w:val="21"/>
              </w:rPr>
            </w:pPr>
            <w:r>
              <w:rPr>
                <w:rFonts w:hint="eastAsia" w:ascii="Times New Roman" w:eastAsia="仿宋"/>
                <w:szCs w:val="21"/>
              </w:rPr>
              <w:t>20</w:t>
            </w:r>
          </w:p>
        </w:tc>
        <w:tc>
          <w:tcPr>
            <w:tcW w:w="1071" w:type="pct"/>
            <w:vAlign w:val="center"/>
          </w:tcPr>
          <w:p w14:paraId="1023775D">
            <w:pPr>
              <w:jc w:val="center"/>
              <w:rPr>
                <w:rFonts w:ascii="Times New Roman" w:eastAsia="仿宋"/>
                <w:szCs w:val="21"/>
              </w:rPr>
            </w:pPr>
            <w:r>
              <w:rPr>
                <w:rFonts w:hint="eastAsia" w:ascii="Times New Roman" w:eastAsia="仿宋"/>
                <w:szCs w:val="21"/>
              </w:rPr>
              <w:t>监控点处任意一次浓度值</w:t>
            </w:r>
          </w:p>
        </w:tc>
        <w:tc>
          <w:tcPr>
            <w:tcW w:w="1071" w:type="pct"/>
            <w:vMerge w:val="continue"/>
            <w:vAlign w:val="center"/>
          </w:tcPr>
          <w:p w14:paraId="6167567C">
            <w:pPr>
              <w:spacing w:line="500" w:lineRule="exact"/>
              <w:jc w:val="center"/>
              <w:rPr>
                <w:rFonts w:ascii="Times New Roman" w:eastAsia="仿宋"/>
                <w:b/>
                <w:bCs/>
                <w:szCs w:val="21"/>
              </w:rPr>
            </w:pPr>
          </w:p>
        </w:tc>
        <w:tc>
          <w:tcPr>
            <w:tcW w:w="1460" w:type="pct"/>
            <w:vMerge w:val="continue"/>
            <w:vAlign w:val="center"/>
          </w:tcPr>
          <w:p w14:paraId="5F51DBB0">
            <w:pPr>
              <w:spacing w:line="500" w:lineRule="exact"/>
              <w:jc w:val="center"/>
              <w:rPr>
                <w:rFonts w:ascii="Times New Roman" w:eastAsia="仿宋"/>
                <w:b/>
                <w:bCs/>
                <w:szCs w:val="21"/>
              </w:rPr>
            </w:pPr>
          </w:p>
        </w:tc>
      </w:tr>
    </w:tbl>
    <w:p w14:paraId="52D89445">
      <w:pPr>
        <w:spacing w:line="500" w:lineRule="exact"/>
        <w:jc w:val="center"/>
        <w:rPr>
          <w:rFonts w:ascii="Times New Roman" w:eastAsia="仿宋"/>
          <w:b/>
          <w:bCs/>
        </w:rPr>
      </w:pPr>
      <w:r>
        <w:rPr>
          <w:rFonts w:ascii="Times New Roman" w:eastAsia="仿宋"/>
          <w:b/>
          <w:bCs/>
        </w:rPr>
        <w:t>表2.3-</w:t>
      </w:r>
      <w:r>
        <w:rPr>
          <w:rFonts w:hint="eastAsia" w:ascii="Times New Roman" w:eastAsia="仿宋"/>
          <w:b/>
          <w:bCs/>
        </w:rPr>
        <w:t>9</w:t>
      </w:r>
      <w:r>
        <w:rPr>
          <w:rFonts w:ascii="Times New Roman" w:eastAsia="仿宋"/>
          <w:b/>
          <w:bCs/>
        </w:rPr>
        <w:t xml:space="preserve">  厂区内</w:t>
      </w:r>
      <w:r>
        <w:rPr>
          <w:rFonts w:hint="eastAsia" w:ascii="Times New Roman" w:eastAsia="仿宋"/>
          <w:b/>
          <w:bCs/>
        </w:rPr>
        <w:t>总悬浮颗粒物</w:t>
      </w:r>
      <w:r>
        <w:rPr>
          <w:rFonts w:ascii="Times New Roman" w:eastAsia="仿宋"/>
          <w:b/>
          <w:bCs/>
        </w:rPr>
        <w:t>无组织排放限值</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6"/>
        <w:gridCol w:w="1552"/>
        <w:gridCol w:w="1891"/>
        <w:gridCol w:w="1891"/>
        <w:gridCol w:w="2578"/>
      </w:tblGrid>
      <w:tr w14:paraId="7B246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4E62F92C">
            <w:pPr>
              <w:jc w:val="center"/>
              <w:rPr>
                <w:rFonts w:ascii="Times New Roman" w:eastAsia="仿宋"/>
                <w:szCs w:val="21"/>
              </w:rPr>
            </w:pPr>
            <w:r>
              <w:rPr>
                <w:rFonts w:hint="eastAsia" w:ascii="Times New Roman" w:eastAsia="仿宋"/>
                <w:szCs w:val="21"/>
              </w:rPr>
              <w:t>污染物名称</w:t>
            </w:r>
          </w:p>
        </w:tc>
        <w:tc>
          <w:tcPr>
            <w:tcW w:w="879" w:type="pct"/>
            <w:vAlign w:val="center"/>
          </w:tcPr>
          <w:p w14:paraId="46F22DF8">
            <w:pPr>
              <w:jc w:val="center"/>
              <w:rPr>
                <w:rFonts w:ascii="Times New Roman" w:eastAsia="仿宋"/>
                <w:szCs w:val="21"/>
              </w:rPr>
            </w:pPr>
            <w:r>
              <w:rPr>
                <w:rFonts w:hint="eastAsia" w:ascii="Times New Roman" w:eastAsia="仿宋"/>
                <w:szCs w:val="21"/>
              </w:rPr>
              <w:t>工业炉窑安装位置</w:t>
            </w:r>
          </w:p>
        </w:tc>
        <w:tc>
          <w:tcPr>
            <w:tcW w:w="1071" w:type="pct"/>
            <w:vAlign w:val="center"/>
          </w:tcPr>
          <w:p w14:paraId="1868CF2A">
            <w:pPr>
              <w:jc w:val="center"/>
              <w:rPr>
                <w:rFonts w:ascii="Times New Roman" w:eastAsia="仿宋"/>
                <w:szCs w:val="21"/>
              </w:rPr>
            </w:pPr>
            <w:r>
              <w:rPr>
                <w:rFonts w:hint="eastAsia" w:ascii="Times New Roman" w:eastAsia="仿宋"/>
                <w:szCs w:val="21"/>
              </w:rPr>
              <w:t>工业炉窑类别</w:t>
            </w:r>
          </w:p>
        </w:tc>
        <w:tc>
          <w:tcPr>
            <w:tcW w:w="1071" w:type="pct"/>
            <w:vAlign w:val="center"/>
          </w:tcPr>
          <w:p w14:paraId="42E879B3">
            <w:pPr>
              <w:jc w:val="center"/>
              <w:rPr>
                <w:rFonts w:ascii="Times New Roman" w:eastAsia="仿宋"/>
                <w:szCs w:val="21"/>
              </w:rPr>
            </w:pPr>
            <w:r>
              <w:rPr>
                <w:rFonts w:hint="eastAsia" w:ascii="Times New Roman" w:eastAsia="仿宋"/>
                <w:szCs w:val="21"/>
              </w:rPr>
              <w:t>浓度限值mg/m</w:t>
            </w:r>
            <w:r>
              <w:rPr>
                <w:rFonts w:hint="eastAsia" w:ascii="Times New Roman" w:eastAsia="仿宋"/>
                <w:szCs w:val="21"/>
                <w:vertAlign w:val="superscript"/>
              </w:rPr>
              <w:t>3</w:t>
            </w:r>
          </w:p>
        </w:tc>
        <w:tc>
          <w:tcPr>
            <w:tcW w:w="1460" w:type="pct"/>
            <w:vAlign w:val="center"/>
          </w:tcPr>
          <w:p w14:paraId="50B1D7DD">
            <w:pPr>
              <w:jc w:val="center"/>
              <w:rPr>
                <w:rFonts w:ascii="Times New Roman" w:eastAsia="仿宋"/>
                <w:szCs w:val="21"/>
              </w:rPr>
            </w:pPr>
            <w:r>
              <w:rPr>
                <w:rFonts w:hint="eastAsia" w:ascii="Times New Roman" w:eastAsia="仿宋"/>
                <w:szCs w:val="21"/>
              </w:rPr>
              <w:t>标准来源</w:t>
            </w:r>
          </w:p>
        </w:tc>
      </w:tr>
      <w:tr w14:paraId="28BD2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4313A41E">
            <w:pPr>
              <w:jc w:val="center"/>
              <w:rPr>
                <w:rFonts w:ascii="Times New Roman" w:eastAsia="仿宋"/>
                <w:szCs w:val="21"/>
              </w:rPr>
            </w:pPr>
            <w:r>
              <w:rPr>
                <w:rFonts w:hint="eastAsia" w:ascii="Times New Roman" w:eastAsia="仿宋"/>
                <w:szCs w:val="21"/>
              </w:rPr>
              <w:t>总悬浮颗粒物</w:t>
            </w:r>
          </w:p>
        </w:tc>
        <w:tc>
          <w:tcPr>
            <w:tcW w:w="879" w:type="pct"/>
            <w:vAlign w:val="center"/>
          </w:tcPr>
          <w:p w14:paraId="5F8B9CE7">
            <w:pPr>
              <w:jc w:val="center"/>
              <w:rPr>
                <w:rFonts w:ascii="Times New Roman" w:eastAsia="仿宋"/>
                <w:szCs w:val="21"/>
              </w:rPr>
            </w:pPr>
            <w:r>
              <w:rPr>
                <w:rFonts w:hint="eastAsia" w:ascii="Times New Roman" w:eastAsia="仿宋"/>
                <w:szCs w:val="21"/>
              </w:rPr>
              <w:t>有厂房车间</w:t>
            </w:r>
          </w:p>
        </w:tc>
        <w:tc>
          <w:tcPr>
            <w:tcW w:w="1071" w:type="pct"/>
            <w:vAlign w:val="center"/>
          </w:tcPr>
          <w:p w14:paraId="07B5555A">
            <w:pPr>
              <w:jc w:val="center"/>
              <w:rPr>
                <w:rFonts w:ascii="Times New Roman" w:eastAsia="仿宋"/>
                <w:szCs w:val="21"/>
              </w:rPr>
            </w:pPr>
            <w:r>
              <w:rPr>
                <w:rFonts w:hint="eastAsia" w:ascii="Times New Roman" w:eastAsia="仿宋"/>
                <w:szCs w:val="21"/>
              </w:rPr>
              <w:t>其他炉窑</w:t>
            </w:r>
          </w:p>
        </w:tc>
        <w:tc>
          <w:tcPr>
            <w:tcW w:w="1071" w:type="pct"/>
            <w:vAlign w:val="center"/>
          </w:tcPr>
          <w:p w14:paraId="2D9EFAA6">
            <w:pPr>
              <w:jc w:val="center"/>
              <w:rPr>
                <w:rFonts w:ascii="Times New Roman" w:eastAsia="仿宋"/>
                <w:szCs w:val="21"/>
              </w:rPr>
            </w:pPr>
            <w:r>
              <w:rPr>
                <w:rFonts w:hint="eastAsia" w:ascii="Times New Roman" w:eastAsia="仿宋"/>
                <w:szCs w:val="21"/>
              </w:rPr>
              <w:t>5.0</w:t>
            </w:r>
          </w:p>
        </w:tc>
        <w:tc>
          <w:tcPr>
            <w:tcW w:w="1460" w:type="pct"/>
            <w:vAlign w:val="center"/>
          </w:tcPr>
          <w:p w14:paraId="0B3BB396">
            <w:pPr>
              <w:jc w:val="center"/>
              <w:rPr>
                <w:rFonts w:ascii="Times New Roman" w:eastAsia="仿宋"/>
                <w:szCs w:val="21"/>
              </w:rPr>
            </w:pPr>
            <w:r>
              <w:rPr>
                <w:rFonts w:hint="eastAsia" w:ascii="Times New Roman" w:eastAsia="仿宋"/>
                <w:szCs w:val="21"/>
              </w:rPr>
              <w:t>《工业炉窑大气污染物排放标准》（DB 32/3728-2020）表3相关限值</w:t>
            </w:r>
          </w:p>
        </w:tc>
      </w:tr>
    </w:tbl>
    <w:p w14:paraId="78532EBF">
      <w:pPr>
        <w:adjustRightInd w:val="0"/>
        <w:snapToGrid w:val="0"/>
        <w:spacing w:line="500" w:lineRule="exact"/>
        <w:ind w:firstLine="594" w:firstLineChars="200"/>
        <w:rPr>
          <w:rFonts w:ascii="Times New Roman" w:eastAsia="仿宋"/>
          <w:b/>
          <w:spacing w:val="8"/>
          <w:sz w:val="28"/>
          <w:szCs w:val="28"/>
        </w:rPr>
      </w:pPr>
      <w:r>
        <w:rPr>
          <w:rFonts w:ascii="Times New Roman" w:eastAsia="仿宋"/>
          <w:b/>
          <w:spacing w:val="8"/>
          <w:sz w:val="28"/>
          <w:szCs w:val="28"/>
        </w:rPr>
        <w:t>（2）废水</w:t>
      </w:r>
    </w:p>
    <w:p w14:paraId="6465072E">
      <w:pPr>
        <w:pStyle w:val="201"/>
        <w:ind w:firstLine="592"/>
        <w:rPr>
          <w:rFonts w:ascii="Times New Roman" w:eastAsia="仿宋"/>
          <w:spacing w:val="8"/>
          <w:sz w:val="28"/>
          <w:szCs w:val="28"/>
        </w:rPr>
      </w:pPr>
      <w:r>
        <w:rPr>
          <w:rFonts w:ascii="Times New Roman" w:eastAsia="仿宋"/>
          <w:spacing w:val="8"/>
          <w:sz w:val="28"/>
          <w:szCs w:val="28"/>
        </w:rPr>
        <w:t>本</w:t>
      </w:r>
      <w:r>
        <w:rPr>
          <w:rFonts w:ascii="Times New Roman" w:eastAsia="仿宋"/>
          <w:sz w:val="28"/>
          <w:szCs w:val="28"/>
        </w:rPr>
        <w:t>项目</w:t>
      </w:r>
      <w:r>
        <w:rPr>
          <w:rFonts w:hint="eastAsia" w:ascii="Times New Roman" w:eastAsia="仿宋"/>
          <w:sz w:val="28"/>
          <w:szCs w:val="28"/>
        </w:rPr>
        <w:t>混合污水</w:t>
      </w:r>
      <w:r>
        <w:rPr>
          <w:rFonts w:ascii="Times New Roman" w:eastAsia="仿宋"/>
          <w:sz w:val="28"/>
          <w:szCs w:val="28"/>
        </w:rPr>
        <w:t>接管进常州市金坛区直溪污水处理厂，执行《污水排入城镇下水道水质标准》(GB/T 31962-2015)</w:t>
      </w:r>
      <w:r>
        <w:rPr>
          <w:rFonts w:ascii="Times New Roman" w:eastAsia="仿宋"/>
          <w:bCs/>
          <w:sz w:val="21"/>
          <w:szCs w:val="21"/>
        </w:rPr>
        <w:t xml:space="preserve"> </w:t>
      </w:r>
      <w:r>
        <w:rPr>
          <w:rFonts w:ascii="Times New Roman" w:eastAsia="仿宋"/>
          <w:bCs/>
          <w:sz w:val="28"/>
          <w:szCs w:val="28"/>
        </w:rPr>
        <w:t>表1中B等级标准</w:t>
      </w:r>
      <w:r>
        <w:rPr>
          <w:rFonts w:ascii="Times New Roman" w:eastAsia="仿宋"/>
          <w:sz w:val="28"/>
          <w:szCs w:val="28"/>
        </w:rPr>
        <w:t>，具体见表2.3-</w:t>
      </w:r>
      <w:r>
        <w:rPr>
          <w:rFonts w:hint="eastAsia" w:ascii="Times New Roman" w:eastAsia="仿宋"/>
          <w:sz w:val="28"/>
          <w:szCs w:val="28"/>
        </w:rPr>
        <w:t>10</w:t>
      </w:r>
      <w:r>
        <w:rPr>
          <w:rFonts w:ascii="Times New Roman" w:eastAsia="仿宋"/>
          <w:bCs/>
          <w:spacing w:val="8"/>
          <w:sz w:val="28"/>
          <w:szCs w:val="28"/>
        </w:rPr>
        <w:t>，</w:t>
      </w:r>
      <w:r>
        <w:rPr>
          <w:rFonts w:ascii="Times New Roman" w:eastAsia="仿宋"/>
          <w:sz w:val="28"/>
          <w:szCs w:val="28"/>
        </w:rPr>
        <w:t>直溪污水处理厂</w:t>
      </w:r>
      <w:r>
        <w:rPr>
          <w:rFonts w:ascii="Times New Roman" w:eastAsia="仿宋"/>
          <w:spacing w:val="8"/>
          <w:sz w:val="28"/>
          <w:szCs w:val="28"/>
        </w:rPr>
        <w:t>尾水中COD、总氮、氨氮、总磷排放浓度执行《太湖地区城镇污水处理厂及重点工业行业主要水污染物排放限值》（</w:t>
      </w:r>
      <w:r>
        <w:rPr>
          <w:rFonts w:ascii="Times New Roman" w:eastAsia="仿宋"/>
          <w:bCs/>
          <w:sz w:val="28"/>
          <w:szCs w:val="28"/>
        </w:rPr>
        <w:t>DB32/1072-2018）表2中排放限值</w:t>
      </w:r>
      <w:r>
        <w:rPr>
          <w:rFonts w:ascii="Times New Roman" w:eastAsia="仿宋"/>
          <w:spacing w:val="8"/>
          <w:sz w:val="28"/>
          <w:szCs w:val="28"/>
        </w:rPr>
        <w:t>，SS、动植物油、石油类执行《城镇污水处理厂污染物排放标准》（GB18918-2002）中一级A标准要求，执行标准见表2.3-1</w:t>
      </w:r>
      <w:r>
        <w:rPr>
          <w:rFonts w:hint="eastAsia" w:ascii="Times New Roman" w:eastAsia="仿宋"/>
          <w:spacing w:val="8"/>
          <w:sz w:val="28"/>
          <w:szCs w:val="28"/>
        </w:rPr>
        <w:t>1</w:t>
      </w:r>
      <w:r>
        <w:rPr>
          <w:rFonts w:ascii="Times New Roman" w:eastAsia="仿宋"/>
          <w:spacing w:val="8"/>
          <w:sz w:val="28"/>
          <w:szCs w:val="28"/>
        </w:rPr>
        <w:t>。</w:t>
      </w:r>
      <w:r>
        <w:rPr>
          <w:rFonts w:hint="eastAsia" w:ascii="Times New Roman" w:eastAsia="仿宋"/>
          <w:spacing w:val="8"/>
          <w:sz w:val="28"/>
          <w:szCs w:val="28"/>
        </w:rPr>
        <w:t>自2026年3月28日起，直溪污水处理厂尾水中COD、总氮、氨氮、总磷、SS、动植物油、石油类排放浓度执行《城镇污水处理厂污染物排放标准》（DB32/4440-2022）表1中</w:t>
      </w:r>
      <w:r>
        <w:rPr>
          <w:rFonts w:ascii="Times New Roman" w:eastAsia="仿宋"/>
          <w:spacing w:val="8"/>
          <w:sz w:val="28"/>
          <w:szCs w:val="28"/>
        </w:rPr>
        <w:t>C</w:t>
      </w:r>
      <w:r>
        <w:rPr>
          <w:rFonts w:hint="eastAsia" w:ascii="Times New Roman" w:eastAsia="仿宋"/>
          <w:spacing w:val="8"/>
          <w:sz w:val="28"/>
          <w:szCs w:val="28"/>
        </w:rPr>
        <w:t>标准，</w:t>
      </w:r>
      <w:r>
        <w:rPr>
          <w:rFonts w:ascii="Times New Roman" w:eastAsia="仿宋"/>
          <w:spacing w:val="8"/>
          <w:sz w:val="28"/>
          <w:szCs w:val="28"/>
        </w:rPr>
        <w:t>执行标准见表2.3-1</w:t>
      </w:r>
      <w:r>
        <w:rPr>
          <w:rFonts w:hint="eastAsia" w:ascii="Times New Roman" w:eastAsia="仿宋"/>
          <w:spacing w:val="8"/>
          <w:sz w:val="28"/>
          <w:szCs w:val="28"/>
        </w:rPr>
        <w:t>2。</w:t>
      </w:r>
    </w:p>
    <w:p w14:paraId="7BF8BCDF">
      <w:pPr>
        <w:spacing w:line="480" w:lineRule="exact"/>
        <w:ind w:firstLine="522"/>
        <w:jc w:val="center"/>
        <w:rPr>
          <w:rFonts w:ascii="Times New Roman" w:eastAsia="仿宋"/>
          <w:b/>
          <w:spacing w:val="10"/>
        </w:rPr>
      </w:pPr>
      <w:r>
        <w:rPr>
          <w:rFonts w:ascii="Times New Roman" w:eastAsia="仿宋"/>
          <w:b/>
          <w:spacing w:val="10"/>
        </w:rPr>
        <w:t>表2.3-</w:t>
      </w:r>
      <w:r>
        <w:rPr>
          <w:rFonts w:hint="eastAsia" w:ascii="Times New Roman" w:eastAsia="仿宋"/>
          <w:b/>
          <w:spacing w:val="10"/>
        </w:rPr>
        <w:t>10</w:t>
      </w:r>
      <w:r>
        <w:rPr>
          <w:rFonts w:ascii="Times New Roman" w:eastAsia="仿宋"/>
          <w:b/>
          <w:spacing w:val="10"/>
        </w:rPr>
        <w:t xml:space="preserve">  本项目污水接管标准 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338"/>
        <w:gridCol w:w="5164"/>
      </w:tblGrid>
      <w:tr w14:paraId="5A26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467A91C4">
            <w:pPr>
              <w:adjustRightInd w:val="0"/>
              <w:snapToGrid w:val="0"/>
              <w:jc w:val="center"/>
              <w:rPr>
                <w:rFonts w:ascii="Times New Roman" w:eastAsia="仿宋"/>
                <w:szCs w:val="21"/>
              </w:rPr>
            </w:pPr>
            <w:r>
              <w:rPr>
                <w:rFonts w:ascii="Times New Roman" w:eastAsia="仿宋"/>
                <w:szCs w:val="21"/>
              </w:rPr>
              <w:t>污染物</w:t>
            </w:r>
          </w:p>
        </w:tc>
        <w:tc>
          <w:tcPr>
            <w:tcW w:w="1324" w:type="pct"/>
            <w:vAlign w:val="center"/>
          </w:tcPr>
          <w:p w14:paraId="193D4EE4">
            <w:pPr>
              <w:adjustRightInd w:val="0"/>
              <w:snapToGrid w:val="0"/>
              <w:jc w:val="center"/>
              <w:rPr>
                <w:rFonts w:ascii="Times New Roman" w:eastAsia="仿宋"/>
                <w:szCs w:val="21"/>
              </w:rPr>
            </w:pPr>
            <w:r>
              <w:rPr>
                <w:rFonts w:ascii="Times New Roman" w:eastAsia="仿宋"/>
                <w:szCs w:val="21"/>
              </w:rPr>
              <w:t>标准值</w:t>
            </w:r>
          </w:p>
        </w:tc>
        <w:tc>
          <w:tcPr>
            <w:tcW w:w="2924" w:type="pct"/>
            <w:vAlign w:val="center"/>
          </w:tcPr>
          <w:p w14:paraId="551F0906">
            <w:pPr>
              <w:adjustRightInd w:val="0"/>
              <w:snapToGrid w:val="0"/>
              <w:jc w:val="center"/>
              <w:rPr>
                <w:rFonts w:ascii="Times New Roman" w:eastAsia="仿宋"/>
                <w:szCs w:val="21"/>
              </w:rPr>
            </w:pPr>
            <w:r>
              <w:rPr>
                <w:rFonts w:ascii="Times New Roman" w:eastAsia="仿宋"/>
                <w:szCs w:val="21"/>
              </w:rPr>
              <w:t>标准来源</w:t>
            </w:r>
          </w:p>
        </w:tc>
      </w:tr>
      <w:tr w14:paraId="6914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1167627B">
            <w:pPr>
              <w:adjustRightInd w:val="0"/>
              <w:snapToGrid w:val="0"/>
              <w:jc w:val="center"/>
              <w:rPr>
                <w:rFonts w:ascii="Times New Roman" w:eastAsia="仿宋"/>
                <w:szCs w:val="21"/>
              </w:rPr>
            </w:pPr>
            <w:r>
              <w:rPr>
                <w:rFonts w:ascii="Times New Roman" w:eastAsia="仿宋"/>
                <w:szCs w:val="21"/>
              </w:rPr>
              <w:t>pH</w:t>
            </w:r>
          </w:p>
        </w:tc>
        <w:tc>
          <w:tcPr>
            <w:tcW w:w="1324" w:type="pct"/>
            <w:vAlign w:val="center"/>
          </w:tcPr>
          <w:p w14:paraId="65BD36F2">
            <w:pPr>
              <w:adjustRightInd w:val="0"/>
              <w:snapToGrid w:val="0"/>
              <w:jc w:val="center"/>
              <w:rPr>
                <w:rFonts w:ascii="Times New Roman" w:eastAsia="仿宋"/>
                <w:szCs w:val="21"/>
              </w:rPr>
            </w:pPr>
            <w:r>
              <w:rPr>
                <w:rFonts w:ascii="Times New Roman" w:eastAsia="仿宋"/>
                <w:szCs w:val="21"/>
              </w:rPr>
              <w:t>6~9</w:t>
            </w:r>
          </w:p>
        </w:tc>
        <w:tc>
          <w:tcPr>
            <w:tcW w:w="2924" w:type="pct"/>
            <w:vMerge w:val="restart"/>
            <w:vAlign w:val="center"/>
          </w:tcPr>
          <w:p w14:paraId="6B49D627">
            <w:pPr>
              <w:adjustRightInd w:val="0"/>
              <w:snapToGrid w:val="0"/>
              <w:jc w:val="center"/>
              <w:rPr>
                <w:rFonts w:ascii="Times New Roman" w:eastAsia="仿宋"/>
                <w:szCs w:val="21"/>
              </w:rPr>
            </w:pPr>
            <w:r>
              <w:rPr>
                <w:rFonts w:ascii="Times New Roman" w:eastAsia="仿宋"/>
                <w:bCs/>
                <w:szCs w:val="21"/>
              </w:rPr>
              <w:t>《污水排入城镇下水道水质标准》（GB/T31962-2015）表1中B等级标准</w:t>
            </w:r>
          </w:p>
        </w:tc>
      </w:tr>
      <w:tr w14:paraId="4105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171769F8">
            <w:pPr>
              <w:adjustRightInd w:val="0"/>
              <w:snapToGrid w:val="0"/>
              <w:jc w:val="center"/>
              <w:rPr>
                <w:rFonts w:ascii="Times New Roman" w:eastAsia="仿宋"/>
                <w:szCs w:val="21"/>
              </w:rPr>
            </w:pPr>
            <w:r>
              <w:rPr>
                <w:rFonts w:ascii="Times New Roman" w:eastAsia="仿宋"/>
                <w:szCs w:val="21"/>
              </w:rPr>
              <w:t>COD</w:t>
            </w:r>
          </w:p>
        </w:tc>
        <w:tc>
          <w:tcPr>
            <w:tcW w:w="1324" w:type="pct"/>
            <w:vAlign w:val="center"/>
          </w:tcPr>
          <w:p w14:paraId="006C9389">
            <w:pPr>
              <w:adjustRightInd w:val="0"/>
              <w:snapToGrid w:val="0"/>
              <w:jc w:val="center"/>
              <w:rPr>
                <w:rFonts w:ascii="Times New Roman" w:eastAsia="仿宋"/>
                <w:szCs w:val="21"/>
              </w:rPr>
            </w:pPr>
            <w:r>
              <w:rPr>
                <w:rFonts w:ascii="Times New Roman" w:eastAsia="仿宋"/>
                <w:szCs w:val="21"/>
              </w:rPr>
              <w:t>500</w:t>
            </w:r>
          </w:p>
        </w:tc>
        <w:tc>
          <w:tcPr>
            <w:tcW w:w="2924" w:type="pct"/>
            <w:vMerge w:val="continue"/>
            <w:vAlign w:val="center"/>
          </w:tcPr>
          <w:p w14:paraId="5633F17D">
            <w:pPr>
              <w:adjustRightInd w:val="0"/>
              <w:snapToGrid w:val="0"/>
              <w:jc w:val="center"/>
              <w:rPr>
                <w:rFonts w:ascii="Times New Roman" w:eastAsia="仿宋"/>
                <w:szCs w:val="21"/>
              </w:rPr>
            </w:pPr>
          </w:p>
        </w:tc>
      </w:tr>
      <w:tr w14:paraId="2ADB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447BE1A9">
            <w:pPr>
              <w:adjustRightInd w:val="0"/>
              <w:snapToGrid w:val="0"/>
              <w:jc w:val="center"/>
              <w:rPr>
                <w:rFonts w:ascii="Times New Roman" w:eastAsia="仿宋"/>
                <w:szCs w:val="21"/>
              </w:rPr>
            </w:pPr>
            <w:r>
              <w:rPr>
                <w:rFonts w:ascii="Times New Roman" w:eastAsia="仿宋"/>
                <w:szCs w:val="21"/>
              </w:rPr>
              <w:t>SS</w:t>
            </w:r>
          </w:p>
        </w:tc>
        <w:tc>
          <w:tcPr>
            <w:tcW w:w="1324" w:type="pct"/>
            <w:vAlign w:val="center"/>
          </w:tcPr>
          <w:p w14:paraId="271C7968">
            <w:pPr>
              <w:adjustRightInd w:val="0"/>
              <w:snapToGrid w:val="0"/>
              <w:jc w:val="center"/>
              <w:rPr>
                <w:rFonts w:ascii="Times New Roman" w:eastAsia="仿宋"/>
                <w:szCs w:val="21"/>
              </w:rPr>
            </w:pPr>
            <w:r>
              <w:rPr>
                <w:rFonts w:ascii="Times New Roman" w:eastAsia="仿宋"/>
                <w:szCs w:val="21"/>
              </w:rPr>
              <w:t>400</w:t>
            </w:r>
          </w:p>
        </w:tc>
        <w:tc>
          <w:tcPr>
            <w:tcW w:w="2924" w:type="pct"/>
            <w:vMerge w:val="continue"/>
            <w:vAlign w:val="center"/>
          </w:tcPr>
          <w:p w14:paraId="6CF4A46D">
            <w:pPr>
              <w:adjustRightInd w:val="0"/>
              <w:snapToGrid w:val="0"/>
              <w:jc w:val="center"/>
              <w:rPr>
                <w:rFonts w:ascii="Times New Roman" w:eastAsia="仿宋"/>
                <w:szCs w:val="21"/>
              </w:rPr>
            </w:pPr>
          </w:p>
        </w:tc>
      </w:tr>
      <w:tr w14:paraId="0DC8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2931451F">
            <w:pPr>
              <w:adjustRightInd w:val="0"/>
              <w:snapToGrid w:val="0"/>
              <w:jc w:val="center"/>
              <w:rPr>
                <w:rFonts w:ascii="Times New Roman" w:eastAsia="仿宋"/>
                <w:szCs w:val="21"/>
              </w:rPr>
            </w:pPr>
            <w:r>
              <w:rPr>
                <w:rFonts w:ascii="Times New Roman" w:eastAsia="仿宋"/>
                <w:szCs w:val="21"/>
              </w:rPr>
              <w:t>TN</w:t>
            </w:r>
          </w:p>
        </w:tc>
        <w:tc>
          <w:tcPr>
            <w:tcW w:w="1324" w:type="pct"/>
            <w:vAlign w:val="center"/>
          </w:tcPr>
          <w:p w14:paraId="32BA4002">
            <w:pPr>
              <w:adjustRightInd w:val="0"/>
              <w:snapToGrid w:val="0"/>
              <w:jc w:val="center"/>
              <w:rPr>
                <w:rFonts w:ascii="Times New Roman" w:eastAsia="仿宋"/>
                <w:szCs w:val="21"/>
              </w:rPr>
            </w:pPr>
            <w:r>
              <w:rPr>
                <w:rFonts w:ascii="Times New Roman" w:eastAsia="仿宋"/>
                <w:szCs w:val="21"/>
              </w:rPr>
              <w:t>70</w:t>
            </w:r>
          </w:p>
        </w:tc>
        <w:tc>
          <w:tcPr>
            <w:tcW w:w="2924" w:type="pct"/>
            <w:vMerge w:val="continue"/>
            <w:vAlign w:val="center"/>
          </w:tcPr>
          <w:p w14:paraId="5C565652">
            <w:pPr>
              <w:adjustRightInd w:val="0"/>
              <w:snapToGrid w:val="0"/>
              <w:jc w:val="center"/>
              <w:rPr>
                <w:rFonts w:ascii="Times New Roman" w:eastAsia="仿宋"/>
                <w:szCs w:val="21"/>
              </w:rPr>
            </w:pPr>
          </w:p>
        </w:tc>
      </w:tr>
      <w:tr w14:paraId="624E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321505F2">
            <w:pPr>
              <w:adjustRightInd w:val="0"/>
              <w:snapToGrid w:val="0"/>
              <w:jc w:val="center"/>
              <w:rPr>
                <w:rFonts w:ascii="Times New Roman" w:eastAsia="仿宋"/>
                <w:szCs w:val="21"/>
              </w:rPr>
            </w:pPr>
            <w:r>
              <w:rPr>
                <w:rFonts w:ascii="Times New Roman" w:eastAsia="仿宋"/>
                <w:szCs w:val="21"/>
              </w:rPr>
              <w:t>NH</w:t>
            </w:r>
            <w:r>
              <w:rPr>
                <w:rFonts w:ascii="Times New Roman" w:eastAsia="仿宋"/>
                <w:szCs w:val="21"/>
                <w:vertAlign w:val="subscript"/>
              </w:rPr>
              <w:t>3</w:t>
            </w:r>
            <w:r>
              <w:rPr>
                <w:rFonts w:ascii="Times New Roman" w:eastAsia="仿宋"/>
                <w:szCs w:val="21"/>
              </w:rPr>
              <w:t>-N</w:t>
            </w:r>
          </w:p>
        </w:tc>
        <w:tc>
          <w:tcPr>
            <w:tcW w:w="1324" w:type="pct"/>
            <w:vAlign w:val="center"/>
          </w:tcPr>
          <w:p w14:paraId="4FA2D115">
            <w:pPr>
              <w:adjustRightInd w:val="0"/>
              <w:snapToGrid w:val="0"/>
              <w:jc w:val="center"/>
              <w:rPr>
                <w:rFonts w:ascii="Times New Roman" w:eastAsia="仿宋"/>
                <w:szCs w:val="21"/>
              </w:rPr>
            </w:pPr>
            <w:r>
              <w:rPr>
                <w:rFonts w:ascii="Times New Roman" w:eastAsia="仿宋"/>
                <w:szCs w:val="21"/>
              </w:rPr>
              <w:t>45</w:t>
            </w:r>
          </w:p>
        </w:tc>
        <w:tc>
          <w:tcPr>
            <w:tcW w:w="2924" w:type="pct"/>
            <w:vMerge w:val="continue"/>
            <w:vAlign w:val="center"/>
          </w:tcPr>
          <w:p w14:paraId="0DBFE70B">
            <w:pPr>
              <w:adjustRightInd w:val="0"/>
              <w:snapToGrid w:val="0"/>
              <w:jc w:val="center"/>
              <w:rPr>
                <w:rFonts w:ascii="Times New Roman" w:eastAsia="仿宋"/>
                <w:szCs w:val="21"/>
              </w:rPr>
            </w:pPr>
          </w:p>
        </w:tc>
      </w:tr>
      <w:tr w14:paraId="0F6E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3970EF59">
            <w:pPr>
              <w:adjustRightInd w:val="0"/>
              <w:snapToGrid w:val="0"/>
              <w:jc w:val="center"/>
              <w:rPr>
                <w:rFonts w:ascii="Times New Roman" w:eastAsia="仿宋"/>
                <w:szCs w:val="21"/>
              </w:rPr>
            </w:pPr>
            <w:r>
              <w:rPr>
                <w:rFonts w:ascii="Times New Roman" w:eastAsia="仿宋"/>
                <w:szCs w:val="21"/>
              </w:rPr>
              <w:t>TP</w:t>
            </w:r>
          </w:p>
        </w:tc>
        <w:tc>
          <w:tcPr>
            <w:tcW w:w="1324" w:type="pct"/>
            <w:vAlign w:val="center"/>
          </w:tcPr>
          <w:p w14:paraId="6B2F7139">
            <w:pPr>
              <w:adjustRightInd w:val="0"/>
              <w:snapToGrid w:val="0"/>
              <w:jc w:val="center"/>
              <w:rPr>
                <w:rFonts w:ascii="Times New Roman" w:eastAsia="仿宋"/>
                <w:szCs w:val="21"/>
              </w:rPr>
            </w:pPr>
            <w:r>
              <w:rPr>
                <w:rFonts w:ascii="Times New Roman" w:eastAsia="仿宋"/>
                <w:szCs w:val="21"/>
              </w:rPr>
              <w:t>8</w:t>
            </w:r>
          </w:p>
        </w:tc>
        <w:tc>
          <w:tcPr>
            <w:tcW w:w="2924" w:type="pct"/>
            <w:vMerge w:val="continue"/>
            <w:vAlign w:val="center"/>
          </w:tcPr>
          <w:p w14:paraId="54254533">
            <w:pPr>
              <w:adjustRightInd w:val="0"/>
              <w:snapToGrid w:val="0"/>
              <w:jc w:val="center"/>
              <w:rPr>
                <w:rFonts w:ascii="Times New Roman" w:eastAsia="仿宋"/>
                <w:szCs w:val="21"/>
              </w:rPr>
            </w:pPr>
          </w:p>
        </w:tc>
      </w:tr>
      <w:tr w14:paraId="47DE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1677CEA9">
            <w:pPr>
              <w:adjustRightInd w:val="0"/>
              <w:snapToGrid w:val="0"/>
              <w:jc w:val="center"/>
              <w:rPr>
                <w:rFonts w:ascii="Times New Roman" w:eastAsia="仿宋"/>
                <w:szCs w:val="21"/>
              </w:rPr>
            </w:pPr>
            <w:r>
              <w:rPr>
                <w:rFonts w:ascii="Times New Roman" w:eastAsia="仿宋"/>
                <w:szCs w:val="21"/>
              </w:rPr>
              <w:t>动植物油</w:t>
            </w:r>
          </w:p>
        </w:tc>
        <w:tc>
          <w:tcPr>
            <w:tcW w:w="1324" w:type="pct"/>
            <w:vAlign w:val="center"/>
          </w:tcPr>
          <w:p w14:paraId="19EB7057">
            <w:pPr>
              <w:adjustRightInd w:val="0"/>
              <w:snapToGrid w:val="0"/>
              <w:jc w:val="center"/>
              <w:rPr>
                <w:rFonts w:ascii="Times New Roman" w:eastAsia="仿宋"/>
                <w:szCs w:val="21"/>
              </w:rPr>
            </w:pPr>
            <w:r>
              <w:rPr>
                <w:rFonts w:ascii="Times New Roman" w:eastAsia="仿宋"/>
                <w:szCs w:val="21"/>
              </w:rPr>
              <w:t>100</w:t>
            </w:r>
          </w:p>
        </w:tc>
        <w:tc>
          <w:tcPr>
            <w:tcW w:w="2924" w:type="pct"/>
            <w:vMerge w:val="continue"/>
            <w:vAlign w:val="center"/>
          </w:tcPr>
          <w:p w14:paraId="725FE9B3">
            <w:pPr>
              <w:adjustRightInd w:val="0"/>
              <w:snapToGrid w:val="0"/>
              <w:jc w:val="center"/>
              <w:rPr>
                <w:rFonts w:ascii="Times New Roman" w:eastAsia="仿宋"/>
                <w:szCs w:val="21"/>
              </w:rPr>
            </w:pPr>
          </w:p>
        </w:tc>
      </w:tr>
      <w:tr w14:paraId="65A7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51" w:type="pct"/>
            <w:vAlign w:val="center"/>
          </w:tcPr>
          <w:p w14:paraId="6F87E7C8">
            <w:pPr>
              <w:adjustRightInd w:val="0"/>
              <w:snapToGrid w:val="0"/>
              <w:jc w:val="center"/>
              <w:rPr>
                <w:rFonts w:ascii="Times New Roman" w:eastAsia="仿宋"/>
                <w:szCs w:val="21"/>
              </w:rPr>
            </w:pPr>
            <w:r>
              <w:rPr>
                <w:rFonts w:hint="eastAsia" w:ascii="Times New Roman" w:eastAsia="仿宋"/>
                <w:szCs w:val="21"/>
              </w:rPr>
              <w:t>石油类</w:t>
            </w:r>
          </w:p>
        </w:tc>
        <w:tc>
          <w:tcPr>
            <w:tcW w:w="1324" w:type="pct"/>
            <w:vAlign w:val="center"/>
          </w:tcPr>
          <w:p w14:paraId="45B1D3A0">
            <w:pPr>
              <w:adjustRightInd w:val="0"/>
              <w:snapToGrid w:val="0"/>
              <w:jc w:val="center"/>
              <w:rPr>
                <w:rFonts w:ascii="Times New Roman" w:eastAsia="仿宋"/>
                <w:szCs w:val="21"/>
              </w:rPr>
            </w:pPr>
            <w:r>
              <w:rPr>
                <w:rFonts w:hint="eastAsia" w:ascii="Times New Roman" w:eastAsia="仿宋"/>
                <w:szCs w:val="21"/>
              </w:rPr>
              <w:t>15</w:t>
            </w:r>
          </w:p>
        </w:tc>
        <w:tc>
          <w:tcPr>
            <w:tcW w:w="2924" w:type="pct"/>
            <w:vMerge w:val="continue"/>
            <w:vAlign w:val="center"/>
          </w:tcPr>
          <w:p w14:paraId="24C34D4B">
            <w:pPr>
              <w:adjustRightInd w:val="0"/>
              <w:snapToGrid w:val="0"/>
              <w:jc w:val="center"/>
              <w:rPr>
                <w:rFonts w:ascii="Times New Roman" w:eastAsia="仿宋"/>
                <w:szCs w:val="21"/>
              </w:rPr>
            </w:pPr>
          </w:p>
        </w:tc>
      </w:tr>
    </w:tbl>
    <w:p w14:paraId="233D2A86">
      <w:pPr>
        <w:spacing w:line="480" w:lineRule="exact"/>
        <w:ind w:firstLine="522"/>
        <w:rPr>
          <w:rFonts w:ascii="Times New Roman" w:eastAsia="仿宋"/>
        </w:rPr>
      </w:pPr>
      <w:r>
        <w:rPr>
          <w:rFonts w:ascii="Times New Roman" w:eastAsia="仿宋"/>
          <w:b/>
          <w:spacing w:val="10"/>
        </w:rPr>
        <w:t>表2.3-1</w:t>
      </w:r>
      <w:r>
        <w:rPr>
          <w:rFonts w:hint="eastAsia" w:ascii="Times New Roman" w:eastAsia="仿宋"/>
          <w:b/>
          <w:spacing w:val="10"/>
        </w:rPr>
        <w:t>1</w:t>
      </w:r>
      <w:r>
        <w:rPr>
          <w:rFonts w:ascii="Times New Roman" w:eastAsia="仿宋"/>
          <w:b/>
          <w:spacing w:val="10"/>
        </w:rPr>
        <w:t xml:space="preserve"> 常州市金坛区直溪污水处理厂尾水排放标准</w:t>
      </w:r>
      <w:r>
        <w:rPr>
          <w:rFonts w:hint="eastAsia" w:ascii="Times New Roman" w:eastAsia="仿宋"/>
          <w:b/>
          <w:spacing w:val="10"/>
        </w:rPr>
        <w:t xml:space="preserve"> </w:t>
      </w:r>
      <w:r>
        <w:rPr>
          <w:rFonts w:ascii="Times New Roman" w:eastAsia="仿宋"/>
          <w:b/>
          <w:spacing w:val="10"/>
        </w:rPr>
        <w:t>单位：mg/L</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5583"/>
        <w:gridCol w:w="1849"/>
      </w:tblGrid>
      <w:tr w14:paraId="0343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0DE17F1C">
            <w:pPr>
              <w:adjustRightInd w:val="0"/>
              <w:snapToGrid w:val="0"/>
              <w:jc w:val="center"/>
              <w:rPr>
                <w:rFonts w:ascii="Times New Roman" w:eastAsia="仿宋"/>
                <w:szCs w:val="21"/>
              </w:rPr>
            </w:pPr>
            <w:r>
              <w:rPr>
                <w:rFonts w:ascii="Times New Roman" w:eastAsia="仿宋"/>
                <w:szCs w:val="21"/>
              </w:rPr>
              <w:t>污染物</w:t>
            </w:r>
          </w:p>
        </w:tc>
        <w:tc>
          <w:tcPr>
            <w:tcW w:w="3162" w:type="pct"/>
            <w:vAlign w:val="center"/>
          </w:tcPr>
          <w:p w14:paraId="31C6CB8D">
            <w:pPr>
              <w:adjustRightInd w:val="0"/>
              <w:snapToGrid w:val="0"/>
              <w:jc w:val="center"/>
              <w:rPr>
                <w:rFonts w:ascii="Times New Roman" w:eastAsia="仿宋"/>
                <w:szCs w:val="21"/>
              </w:rPr>
            </w:pPr>
            <w:r>
              <w:rPr>
                <w:rFonts w:ascii="Times New Roman" w:eastAsia="仿宋"/>
                <w:szCs w:val="21"/>
              </w:rPr>
              <w:t>标准</w:t>
            </w:r>
          </w:p>
        </w:tc>
        <w:tc>
          <w:tcPr>
            <w:tcW w:w="1047" w:type="pct"/>
            <w:vAlign w:val="center"/>
          </w:tcPr>
          <w:p w14:paraId="28C21472">
            <w:pPr>
              <w:adjustRightInd w:val="0"/>
              <w:snapToGrid w:val="0"/>
              <w:jc w:val="center"/>
              <w:rPr>
                <w:rFonts w:ascii="Times New Roman" w:eastAsia="仿宋"/>
                <w:szCs w:val="21"/>
              </w:rPr>
            </w:pPr>
            <w:r>
              <w:rPr>
                <w:rFonts w:ascii="Times New Roman" w:eastAsia="仿宋"/>
                <w:szCs w:val="21"/>
              </w:rPr>
              <w:t>污染物排放标准</w:t>
            </w:r>
          </w:p>
        </w:tc>
      </w:tr>
      <w:tr w14:paraId="6156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22F83798">
            <w:pPr>
              <w:adjustRightInd w:val="0"/>
              <w:snapToGrid w:val="0"/>
              <w:jc w:val="center"/>
              <w:rPr>
                <w:rFonts w:ascii="Times New Roman" w:eastAsia="仿宋"/>
                <w:szCs w:val="21"/>
              </w:rPr>
            </w:pPr>
            <w:r>
              <w:rPr>
                <w:rFonts w:ascii="Times New Roman" w:eastAsia="仿宋"/>
                <w:szCs w:val="21"/>
              </w:rPr>
              <w:t>COD</w:t>
            </w:r>
          </w:p>
        </w:tc>
        <w:tc>
          <w:tcPr>
            <w:tcW w:w="3162" w:type="pct"/>
            <w:vMerge w:val="restart"/>
            <w:vAlign w:val="center"/>
          </w:tcPr>
          <w:p w14:paraId="558561AD">
            <w:pPr>
              <w:adjustRightInd w:val="0"/>
              <w:snapToGrid w:val="0"/>
              <w:jc w:val="center"/>
              <w:rPr>
                <w:rFonts w:ascii="Times New Roman" w:eastAsia="仿宋"/>
                <w:szCs w:val="21"/>
              </w:rPr>
            </w:pPr>
            <w:r>
              <w:rPr>
                <w:rFonts w:ascii="Times New Roman" w:eastAsia="仿宋"/>
                <w:szCs w:val="21"/>
              </w:rPr>
              <w:t>《太湖地区城镇污水处理厂及重点工业行业主要水污染物排放限值》（DB32/1072-2018）</w:t>
            </w:r>
          </w:p>
        </w:tc>
        <w:tc>
          <w:tcPr>
            <w:tcW w:w="1047" w:type="pct"/>
            <w:vAlign w:val="center"/>
          </w:tcPr>
          <w:p w14:paraId="4648BDFB">
            <w:pPr>
              <w:adjustRightInd w:val="0"/>
              <w:snapToGrid w:val="0"/>
              <w:jc w:val="center"/>
              <w:rPr>
                <w:rFonts w:ascii="Times New Roman" w:eastAsia="仿宋"/>
                <w:szCs w:val="21"/>
              </w:rPr>
            </w:pPr>
            <w:r>
              <w:rPr>
                <w:rFonts w:ascii="Times New Roman" w:eastAsia="仿宋"/>
                <w:szCs w:val="21"/>
              </w:rPr>
              <w:t>50</w:t>
            </w:r>
          </w:p>
        </w:tc>
      </w:tr>
      <w:tr w14:paraId="168E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531E65A4">
            <w:pPr>
              <w:adjustRightInd w:val="0"/>
              <w:snapToGrid w:val="0"/>
              <w:jc w:val="center"/>
              <w:rPr>
                <w:rFonts w:ascii="Times New Roman" w:eastAsia="仿宋"/>
                <w:szCs w:val="21"/>
              </w:rPr>
            </w:pPr>
            <w:r>
              <w:rPr>
                <w:rFonts w:ascii="Times New Roman" w:eastAsia="仿宋"/>
                <w:szCs w:val="21"/>
              </w:rPr>
              <w:t>NH</w:t>
            </w:r>
            <w:r>
              <w:rPr>
                <w:rFonts w:ascii="Times New Roman" w:eastAsia="仿宋"/>
                <w:szCs w:val="21"/>
                <w:vertAlign w:val="subscript"/>
              </w:rPr>
              <w:t>3</w:t>
            </w:r>
            <w:r>
              <w:rPr>
                <w:rFonts w:ascii="Times New Roman" w:eastAsia="仿宋"/>
                <w:szCs w:val="21"/>
              </w:rPr>
              <w:t>-N</w:t>
            </w:r>
          </w:p>
        </w:tc>
        <w:tc>
          <w:tcPr>
            <w:tcW w:w="3162" w:type="pct"/>
            <w:vMerge w:val="continue"/>
            <w:vAlign w:val="center"/>
          </w:tcPr>
          <w:p w14:paraId="30E92880">
            <w:pPr>
              <w:adjustRightInd w:val="0"/>
              <w:snapToGrid w:val="0"/>
              <w:jc w:val="center"/>
              <w:rPr>
                <w:rFonts w:ascii="Times New Roman" w:eastAsia="仿宋"/>
                <w:szCs w:val="21"/>
              </w:rPr>
            </w:pPr>
          </w:p>
        </w:tc>
        <w:tc>
          <w:tcPr>
            <w:tcW w:w="1047" w:type="pct"/>
            <w:vAlign w:val="center"/>
          </w:tcPr>
          <w:p w14:paraId="7C302C3A">
            <w:pPr>
              <w:spacing w:line="320" w:lineRule="exact"/>
              <w:jc w:val="center"/>
              <w:rPr>
                <w:rFonts w:ascii="Times New Roman" w:eastAsia="仿宋"/>
                <w:szCs w:val="21"/>
              </w:rPr>
            </w:pPr>
            <w:r>
              <w:rPr>
                <w:rFonts w:ascii="Times New Roman" w:eastAsia="仿宋"/>
                <w:szCs w:val="21"/>
              </w:rPr>
              <w:t>4（6）</w:t>
            </w:r>
          </w:p>
        </w:tc>
      </w:tr>
      <w:tr w14:paraId="75A9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087C5784">
            <w:pPr>
              <w:adjustRightInd w:val="0"/>
              <w:snapToGrid w:val="0"/>
              <w:jc w:val="center"/>
              <w:rPr>
                <w:rFonts w:ascii="Times New Roman" w:eastAsia="仿宋"/>
                <w:szCs w:val="21"/>
              </w:rPr>
            </w:pPr>
            <w:r>
              <w:rPr>
                <w:rFonts w:ascii="Times New Roman" w:eastAsia="仿宋"/>
                <w:szCs w:val="21"/>
              </w:rPr>
              <w:t>TN</w:t>
            </w:r>
          </w:p>
        </w:tc>
        <w:tc>
          <w:tcPr>
            <w:tcW w:w="3162" w:type="pct"/>
            <w:vMerge w:val="continue"/>
            <w:vAlign w:val="center"/>
          </w:tcPr>
          <w:p w14:paraId="40F8D8C7">
            <w:pPr>
              <w:adjustRightInd w:val="0"/>
              <w:snapToGrid w:val="0"/>
              <w:jc w:val="center"/>
              <w:rPr>
                <w:rFonts w:ascii="Times New Roman" w:eastAsia="仿宋"/>
                <w:szCs w:val="21"/>
              </w:rPr>
            </w:pPr>
          </w:p>
        </w:tc>
        <w:tc>
          <w:tcPr>
            <w:tcW w:w="1047" w:type="pct"/>
            <w:vAlign w:val="center"/>
          </w:tcPr>
          <w:p w14:paraId="47B89912">
            <w:pPr>
              <w:spacing w:line="320" w:lineRule="exact"/>
              <w:jc w:val="center"/>
              <w:rPr>
                <w:rFonts w:ascii="Times New Roman" w:eastAsia="仿宋"/>
                <w:szCs w:val="21"/>
              </w:rPr>
            </w:pPr>
            <w:r>
              <w:rPr>
                <w:rFonts w:ascii="Times New Roman" w:eastAsia="仿宋"/>
                <w:szCs w:val="21"/>
              </w:rPr>
              <w:t>12（15）</w:t>
            </w:r>
          </w:p>
        </w:tc>
      </w:tr>
      <w:tr w14:paraId="5AE4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pct"/>
            <w:vAlign w:val="center"/>
          </w:tcPr>
          <w:p w14:paraId="37CE8756">
            <w:pPr>
              <w:adjustRightInd w:val="0"/>
              <w:snapToGrid w:val="0"/>
              <w:jc w:val="center"/>
              <w:rPr>
                <w:rFonts w:ascii="Times New Roman" w:eastAsia="仿宋"/>
                <w:szCs w:val="21"/>
              </w:rPr>
            </w:pPr>
            <w:r>
              <w:rPr>
                <w:rFonts w:ascii="Times New Roman" w:eastAsia="仿宋"/>
                <w:szCs w:val="21"/>
              </w:rPr>
              <w:t>TP</w:t>
            </w:r>
          </w:p>
        </w:tc>
        <w:tc>
          <w:tcPr>
            <w:tcW w:w="3162" w:type="pct"/>
            <w:vMerge w:val="continue"/>
            <w:vAlign w:val="center"/>
          </w:tcPr>
          <w:p w14:paraId="1CE7E50F">
            <w:pPr>
              <w:adjustRightInd w:val="0"/>
              <w:snapToGrid w:val="0"/>
              <w:jc w:val="center"/>
              <w:rPr>
                <w:rFonts w:ascii="Times New Roman" w:eastAsia="仿宋"/>
                <w:szCs w:val="21"/>
              </w:rPr>
            </w:pPr>
          </w:p>
        </w:tc>
        <w:tc>
          <w:tcPr>
            <w:tcW w:w="1047" w:type="pct"/>
            <w:vAlign w:val="center"/>
          </w:tcPr>
          <w:p w14:paraId="4FFCEA95">
            <w:pPr>
              <w:spacing w:line="320" w:lineRule="exact"/>
              <w:jc w:val="center"/>
              <w:rPr>
                <w:rFonts w:ascii="Times New Roman" w:eastAsia="仿宋"/>
                <w:szCs w:val="21"/>
              </w:rPr>
            </w:pPr>
            <w:r>
              <w:rPr>
                <w:rFonts w:ascii="Times New Roman" w:eastAsia="仿宋"/>
                <w:szCs w:val="21"/>
              </w:rPr>
              <w:t>0.5</w:t>
            </w:r>
          </w:p>
        </w:tc>
      </w:tr>
      <w:tr w14:paraId="0AC7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088835FE">
            <w:pPr>
              <w:adjustRightInd w:val="0"/>
              <w:snapToGrid w:val="0"/>
              <w:jc w:val="center"/>
              <w:rPr>
                <w:rFonts w:ascii="Times New Roman" w:eastAsia="仿宋"/>
                <w:szCs w:val="21"/>
              </w:rPr>
            </w:pPr>
            <w:r>
              <w:rPr>
                <w:rFonts w:ascii="Times New Roman" w:eastAsia="仿宋"/>
                <w:szCs w:val="21"/>
              </w:rPr>
              <w:t>SS</w:t>
            </w:r>
          </w:p>
        </w:tc>
        <w:tc>
          <w:tcPr>
            <w:tcW w:w="3162" w:type="pct"/>
            <w:vMerge w:val="restart"/>
            <w:vAlign w:val="center"/>
          </w:tcPr>
          <w:p w14:paraId="5CC48771">
            <w:pPr>
              <w:adjustRightInd w:val="0"/>
              <w:snapToGrid w:val="0"/>
              <w:jc w:val="center"/>
              <w:rPr>
                <w:rFonts w:ascii="Times New Roman" w:eastAsia="仿宋"/>
                <w:szCs w:val="21"/>
              </w:rPr>
            </w:pPr>
            <w:r>
              <w:rPr>
                <w:rFonts w:hint="eastAsia" w:ascii="Times New Roman" w:eastAsia="仿宋"/>
                <w:szCs w:val="21"/>
              </w:rPr>
              <w:t>《城镇污水处理厂污染物排放标准》（DB32/4440-2022）</w:t>
            </w:r>
          </w:p>
        </w:tc>
        <w:tc>
          <w:tcPr>
            <w:tcW w:w="1047" w:type="pct"/>
            <w:vAlign w:val="center"/>
          </w:tcPr>
          <w:p w14:paraId="4B408A23">
            <w:pPr>
              <w:adjustRightInd w:val="0"/>
              <w:snapToGrid w:val="0"/>
              <w:jc w:val="center"/>
              <w:rPr>
                <w:rFonts w:ascii="Times New Roman" w:eastAsia="仿宋"/>
                <w:szCs w:val="21"/>
              </w:rPr>
            </w:pPr>
            <w:r>
              <w:rPr>
                <w:rFonts w:ascii="Times New Roman" w:eastAsia="仿宋"/>
                <w:szCs w:val="21"/>
              </w:rPr>
              <w:t>10</w:t>
            </w:r>
          </w:p>
        </w:tc>
      </w:tr>
      <w:tr w14:paraId="45D6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61835BEF">
            <w:pPr>
              <w:adjustRightInd w:val="0"/>
              <w:snapToGrid w:val="0"/>
              <w:jc w:val="center"/>
              <w:rPr>
                <w:rFonts w:ascii="Times New Roman" w:eastAsia="仿宋"/>
                <w:szCs w:val="21"/>
              </w:rPr>
            </w:pPr>
            <w:r>
              <w:rPr>
                <w:rFonts w:hint="eastAsia" w:ascii="Times New Roman" w:eastAsia="仿宋"/>
                <w:szCs w:val="21"/>
              </w:rPr>
              <w:t>石油类</w:t>
            </w:r>
          </w:p>
        </w:tc>
        <w:tc>
          <w:tcPr>
            <w:tcW w:w="3162" w:type="pct"/>
            <w:vMerge w:val="continue"/>
            <w:vAlign w:val="center"/>
          </w:tcPr>
          <w:p w14:paraId="0AE92B58">
            <w:pPr>
              <w:adjustRightInd w:val="0"/>
              <w:snapToGrid w:val="0"/>
              <w:jc w:val="center"/>
              <w:rPr>
                <w:rFonts w:ascii="Times New Roman" w:eastAsia="仿宋"/>
                <w:szCs w:val="21"/>
              </w:rPr>
            </w:pPr>
          </w:p>
        </w:tc>
        <w:tc>
          <w:tcPr>
            <w:tcW w:w="1047" w:type="pct"/>
            <w:vAlign w:val="center"/>
          </w:tcPr>
          <w:p w14:paraId="3FC6B7DF">
            <w:pPr>
              <w:adjustRightInd w:val="0"/>
              <w:snapToGrid w:val="0"/>
              <w:jc w:val="center"/>
              <w:rPr>
                <w:rFonts w:ascii="Times New Roman" w:eastAsia="仿宋"/>
                <w:szCs w:val="21"/>
              </w:rPr>
            </w:pPr>
            <w:r>
              <w:rPr>
                <w:rFonts w:hint="eastAsia" w:ascii="Times New Roman" w:eastAsia="仿宋"/>
                <w:szCs w:val="21"/>
              </w:rPr>
              <w:t>1</w:t>
            </w:r>
          </w:p>
        </w:tc>
      </w:tr>
      <w:tr w14:paraId="16AE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9" w:type="pct"/>
            <w:vAlign w:val="center"/>
          </w:tcPr>
          <w:p w14:paraId="0277BCE9">
            <w:pPr>
              <w:adjustRightInd w:val="0"/>
              <w:snapToGrid w:val="0"/>
              <w:jc w:val="center"/>
              <w:rPr>
                <w:rFonts w:ascii="Times New Roman" w:eastAsia="仿宋"/>
                <w:szCs w:val="21"/>
              </w:rPr>
            </w:pPr>
            <w:r>
              <w:rPr>
                <w:rFonts w:ascii="Times New Roman" w:eastAsia="仿宋"/>
                <w:szCs w:val="21"/>
              </w:rPr>
              <w:t>动植物油</w:t>
            </w:r>
          </w:p>
        </w:tc>
        <w:tc>
          <w:tcPr>
            <w:tcW w:w="3162" w:type="pct"/>
            <w:vMerge w:val="continue"/>
            <w:vAlign w:val="center"/>
          </w:tcPr>
          <w:p w14:paraId="4197E614">
            <w:pPr>
              <w:adjustRightInd w:val="0"/>
              <w:snapToGrid w:val="0"/>
              <w:jc w:val="center"/>
              <w:rPr>
                <w:rFonts w:ascii="Times New Roman" w:eastAsia="仿宋"/>
                <w:szCs w:val="21"/>
              </w:rPr>
            </w:pPr>
          </w:p>
        </w:tc>
        <w:tc>
          <w:tcPr>
            <w:tcW w:w="1047" w:type="pct"/>
            <w:vAlign w:val="center"/>
          </w:tcPr>
          <w:p w14:paraId="52619851">
            <w:pPr>
              <w:adjustRightInd w:val="0"/>
              <w:snapToGrid w:val="0"/>
              <w:jc w:val="center"/>
              <w:rPr>
                <w:rFonts w:ascii="Times New Roman" w:eastAsia="仿宋"/>
                <w:szCs w:val="21"/>
              </w:rPr>
            </w:pPr>
            <w:r>
              <w:rPr>
                <w:rFonts w:ascii="Times New Roman" w:eastAsia="仿宋"/>
                <w:szCs w:val="21"/>
              </w:rPr>
              <w:t>1</w:t>
            </w:r>
          </w:p>
        </w:tc>
      </w:tr>
    </w:tbl>
    <w:p w14:paraId="79C1C54F">
      <w:pPr>
        <w:jc w:val="center"/>
        <w:rPr>
          <w:rFonts w:ascii="Times New Roman" w:eastAsia="仿宋"/>
          <w:b/>
          <w:spacing w:val="10"/>
        </w:rPr>
      </w:pPr>
      <w:r>
        <w:rPr>
          <w:rFonts w:ascii="Times New Roman" w:eastAsia="仿宋"/>
          <w:b/>
          <w:spacing w:val="10"/>
        </w:rPr>
        <w:t>表</w:t>
      </w:r>
      <w:r>
        <w:rPr>
          <w:rFonts w:hint="eastAsia" w:ascii="Times New Roman" w:eastAsia="仿宋"/>
          <w:b/>
          <w:spacing w:val="10"/>
        </w:rPr>
        <w:t>2.3</w:t>
      </w:r>
      <w:r>
        <w:rPr>
          <w:rFonts w:ascii="Times New Roman" w:eastAsia="仿宋"/>
          <w:b/>
          <w:spacing w:val="10"/>
        </w:rPr>
        <w:t>-</w:t>
      </w:r>
      <w:r>
        <w:rPr>
          <w:rFonts w:hint="eastAsia" w:ascii="Times New Roman" w:eastAsia="仿宋"/>
          <w:b/>
          <w:spacing w:val="10"/>
        </w:rPr>
        <w:t>12</w:t>
      </w:r>
      <w:r>
        <w:rPr>
          <w:rFonts w:ascii="Times New Roman" w:eastAsia="仿宋"/>
          <w:b/>
          <w:spacing w:val="10"/>
        </w:rPr>
        <w:t xml:space="preserve">  </w:t>
      </w:r>
      <w:r>
        <w:rPr>
          <w:rFonts w:hint="eastAsia" w:ascii="Times New Roman" w:eastAsia="仿宋"/>
          <w:b/>
          <w:spacing w:val="10"/>
        </w:rPr>
        <w:t>常州市金坛区直溪污水处理厂</w:t>
      </w:r>
      <w:r>
        <w:rPr>
          <w:rFonts w:ascii="Times New Roman" w:eastAsia="仿宋"/>
          <w:b/>
          <w:spacing w:val="10"/>
        </w:rPr>
        <w:t>尾水排放标准（2026年3月28日起）  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5064"/>
        <w:gridCol w:w="1848"/>
      </w:tblGrid>
      <w:tr w14:paraId="0B7E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85" w:type="pct"/>
            <w:vAlign w:val="center"/>
          </w:tcPr>
          <w:p w14:paraId="671C3E6E">
            <w:pPr>
              <w:pStyle w:val="170"/>
              <w:rPr>
                <w:rFonts w:ascii="Times New Roman" w:eastAsia="仿宋"/>
                <w:sz w:val="24"/>
                <w:szCs w:val="21"/>
              </w:rPr>
            </w:pPr>
            <w:r>
              <w:rPr>
                <w:rFonts w:ascii="Times New Roman" w:eastAsia="仿宋"/>
                <w:sz w:val="24"/>
                <w:szCs w:val="21"/>
              </w:rPr>
              <w:t>污染物</w:t>
            </w:r>
          </w:p>
        </w:tc>
        <w:tc>
          <w:tcPr>
            <w:tcW w:w="2867" w:type="pct"/>
            <w:vAlign w:val="center"/>
          </w:tcPr>
          <w:p w14:paraId="4A6CC533">
            <w:pPr>
              <w:pStyle w:val="170"/>
              <w:rPr>
                <w:rFonts w:ascii="Times New Roman" w:eastAsia="仿宋"/>
                <w:sz w:val="24"/>
                <w:szCs w:val="21"/>
              </w:rPr>
            </w:pPr>
            <w:r>
              <w:rPr>
                <w:rFonts w:ascii="Times New Roman" w:eastAsia="仿宋"/>
                <w:sz w:val="24"/>
                <w:szCs w:val="21"/>
              </w:rPr>
              <w:t>标准</w:t>
            </w:r>
          </w:p>
        </w:tc>
        <w:tc>
          <w:tcPr>
            <w:tcW w:w="1047" w:type="pct"/>
            <w:vAlign w:val="center"/>
          </w:tcPr>
          <w:p w14:paraId="253F546F">
            <w:pPr>
              <w:pStyle w:val="170"/>
              <w:rPr>
                <w:rFonts w:ascii="Times New Roman" w:eastAsia="仿宋"/>
                <w:sz w:val="24"/>
                <w:szCs w:val="21"/>
              </w:rPr>
            </w:pPr>
            <w:r>
              <w:rPr>
                <w:rFonts w:ascii="Times New Roman" w:eastAsia="仿宋"/>
                <w:sz w:val="24"/>
                <w:szCs w:val="21"/>
              </w:rPr>
              <w:t>污染物排放标准</w:t>
            </w:r>
          </w:p>
        </w:tc>
      </w:tr>
      <w:tr w14:paraId="1B1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085" w:type="pct"/>
            <w:vAlign w:val="center"/>
          </w:tcPr>
          <w:p w14:paraId="0C26CA62">
            <w:pPr>
              <w:pStyle w:val="170"/>
              <w:rPr>
                <w:rFonts w:ascii="Times New Roman" w:eastAsia="仿宋"/>
                <w:sz w:val="24"/>
                <w:szCs w:val="21"/>
              </w:rPr>
            </w:pPr>
            <w:r>
              <w:rPr>
                <w:rFonts w:ascii="Times New Roman" w:eastAsia="仿宋"/>
                <w:sz w:val="24"/>
                <w:szCs w:val="21"/>
              </w:rPr>
              <w:t>COD</w:t>
            </w:r>
          </w:p>
        </w:tc>
        <w:tc>
          <w:tcPr>
            <w:tcW w:w="2867" w:type="pct"/>
            <w:vMerge w:val="restart"/>
            <w:vAlign w:val="center"/>
          </w:tcPr>
          <w:p w14:paraId="6315E20F">
            <w:pPr>
              <w:pStyle w:val="170"/>
              <w:rPr>
                <w:rFonts w:ascii="Times New Roman" w:eastAsia="仿宋"/>
                <w:sz w:val="24"/>
                <w:szCs w:val="21"/>
              </w:rPr>
            </w:pPr>
            <w:r>
              <w:rPr>
                <w:rFonts w:ascii="Times New Roman" w:eastAsia="仿宋"/>
                <w:sz w:val="24"/>
                <w:szCs w:val="21"/>
              </w:rPr>
              <w:t>《城镇污水处理厂污染物排放标准》（DB32/4440-2022）表1中C标准</w:t>
            </w:r>
          </w:p>
        </w:tc>
        <w:tc>
          <w:tcPr>
            <w:tcW w:w="1047" w:type="pct"/>
            <w:vAlign w:val="center"/>
          </w:tcPr>
          <w:p w14:paraId="1D5E7978">
            <w:pPr>
              <w:pStyle w:val="170"/>
              <w:rPr>
                <w:rFonts w:ascii="Times New Roman" w:eastAsia="仿宋"/>
                <w:sz w:val="24"/>
                <w:szCs w:val="21"/>
              </w:rPr>
            </w:pPr>
            <w:r>
              <w:rPr>
                <w:rFonts w:ascii="Times New Roman" w:eastAsia="仿宋"/>
                <w:sz w:val="24"/>
                <w:szCs w:val="21"/>
              </w:rPr>
              <w:t>50</w:t>
            </w:r>
          </w:p>
        </w:tc>
      </w:tr>
      <w:tr w14:paraId="0D98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085" w:type="pct"/>
            <w:vAlign w:val="center"/>
          </w:tcPr>
          <w:p w14:paraId="53E99517">
            <w:pPr>
              <w:pStyle w:val="170"/>
              <w:rPr>
                <w:rFonts w:ascii="Times New Roman" w:eastAsia="仿宋"/>
                <w:sz w:val="24"/>
                <w:szCs w:val="21"/>
              </w:rPr>
            </w:pPr>
            <w:r>
              <w:rPr>
                <w:rFonts w:ascii="Times New Roman" w:eastAsia="仿宋"/>
                <w:sz w:val="24"/>
                <w:szCs w:val="21"/>
              </w:rPr>
              <w:t>SS</w:t>
            </w:r>
          </w:p>
        </w:tc>
        <w:tc>
          <w:tcPr>
            <w:tcW w:w="2867" w:type="pct"/>
            <w:vMerge w:val="continue"/>
            <w:vAlign w:val="center"/>
          </w:tcPr>
          <w:p w14:paraId="7F35ED93">
            <w:pPr>
              <w:pStyle w:val="170"/>
              <w:rPr>
                <w:rFonts w:ascii="Times New Roman" w:eastAsia="仿宋"/>
                <w:sz w:val="24"/>
                <w:szCs w:val="21"/>
              </w:rPr>
            </w:pPr>
          </w:p>
        </w:tc>
        <w:tc>
          <w:tcPr>
            <w:tcW w:w="1047" w:type="pct"/>
            <w:vAlign w:val="center"/>
          </w:tcPr>
          <w:p w14:paraId="29C97330">
            <w:pPr>
              <w:pStyle w:val="170"/>
              <w:rPr>
                <w:rFonts w:ascii="Times New Roman" w:eastAsia="仿宋"/>
                <w:sz w:val="24"/>
                <w:szCs w:val="21"/>
              </w:rPr>
            </w:pPr>
            <w:r>
              <w:rPr>
                <w:rFonts w:ascii="Times New Roman" w:eastAsia="仿宋"/>
                <w:sz w:val="24"/>
                <w:szCs w:val="21"/>
              </w:rPr>
              <w:t>10</w:t>
            </w:r>
          </w:p>
        </w:tc>
      </w:tr>
      <w:tr w14:paraId="4AA5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085" w:type="pct"/>
            <w:vAlign w:val="center"/>
          </w:tcPr>
          <w:p w14:paraId="2DD8D285">
            <w:pPr>
              <w:pStyle w:val="170"/>
              <w:rPr>
                <w:rFonts w:ascii="Times New Roman" w:eastAsia="仿宋"/>
                <w:sz w:val="24"/>
                <w:szCs w:val="21"/>
              </w:rPr>
            </w:pPr>
            <w:r>
              <w:rPr>
                <w:rFonts w:ascii="Times New Roman" w:eastAsia="仿宋"/>
                <w:sz w:val="24"/>
                <w:szCs w:val="21"/>
              </w:rPr>
              <w:t>NH</w:t>
            </w:r>
            <w:r>
              <w:rPr>
                <w:rFonts w:ascii="Times New Roman" w:eastAsia="仿宋"/>
                <w:sz w:val="24"/>
                <w:szCs w:val="21"/>
                <w:vertAlign w:val="subscript"/>
              </w:rPr>
              <w:t>3</w:t>
            </w:r>
            <w:r>
              <w:rPr>
                <w:rFonts w:ascii="Times New Roman" w:eastAsia="仿宋"/>
                <w:sz w:val="24"/>
                <w:szCs w:val="21"/>
              </w:rPr>
              <w:t>-N</w:t>
            </w:r>
          </w:p>
        </w:tc>
        <w:tc>
          <w:tcPr>
            <w:tcW w:w="2867" w:type="pct"/>
            <w:vMerge w:val="continue"/>
            <w:vAlign w:val="center"/>
          </w:tcPr>
          <w:p w14:paraId="5968C095">
            <w:pPr>
              <w:pStyle w:val="170"/>
              <w:rPr>
                <w:rFonts w:ascii="Times New Roman" w:eastAsia="仿宋"/>
                <w:sz w:val="24"/>
                <w:szCs w:val="21"/>
              </w:rPr>
            </w:pPr>
          </w:p>
        </w:tc>
        <w:tc>
          <w:tcPr>
            <w:tcW w:w="1047" w:type="pct"/>
            <w:vAlign w:val="center"/>
          </w:tcPr>
          <w:p w14:paraId="66EF4EC5">
            <w:pPr>
              <w:pStyle w:val="170"/>
              <w:rPr>
                <w:rFonts w:ascii="Times New Roman" w:eastAsia="仿宋"/>
                <w:sz w:val="24"/>
                <w:szCs w:val="21"/>
              </w:rPr>
            </w:pPr>
            <w:r>
              <w:rPr>
                <w:rFonts w:ascii="Times New Roman" w:eastAsia="仿宋"/>
                <w:sz w:val="24"/>
                <w:szCs w:val="21"/>
              </w:rPr>
              <w:t>4（6）</w:t>
            </w:r>
            <w:r>
              <w:rPr>
                <w:rFonts w:ascii="Times New Roman" w:eastAsia="仿宋"/>
                <w:bCs/>
                <w:sz w:val="24"/>
                <w:szCs w:val="21"/>
              </w:rPr>
              <w:t>*</w:t>
            </w:r>
          </w:p>
        </w:tc>
      </w:tr>
      <w:tr w14:paraId="73E4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5" w:type="pct"/>
            <w:vAlign w:val="center"/>
          </w:tcPr>
          <w:p w14:paraId="1630AE9F">
            <w:pPr>
              <w:pStyle w:val="170"/>
              <w:rPr>
                <w:rFonts w:ascii="Times New Roman" w:eastAsia="仿宋"/>
                <w:sz w:val="24"/>
                <w:szCs w:val="21"/>
              </w:rPr>
            </w:pPr>
            <w:r>
              <w:rPr>
                <w:rFonts w:ascii="Times New Roman" w:eastAsia="仿宋"/>
                <w:sz w:val="24"/>
                <w:szCs w:val="21"/>
              </w:rPr>
              <w:t>TP</w:t>
            </w:r>
          </w:p>
        </w:tc>
        <w:tc>
          <w:tcPr>
            <w:tcW w:w="2867" w:type="pct"/>
            <w:vMerge w:val="continue"/>
            <w:vAlign w:val="center"/>
          </w:tcPr>
          <w:p w14:paraId="6A1F75F6">
            <w:pPr>
              <w:pStyle w:val="170"/>
              <w:rPr>
                <w:rFonts w:ascii="Times New Roman" w:eastAsia="仿宋"/>
                <w:sz w:val="24"/>
                <w:szCs w:val="21"/>
              </w:rPr>
            </w:pPr>
          </w:p>
        </w:tc>
        <w:tc>
          <w:tcPr>
            <w:tcW w:w="1047" w:type="pct"/>
            <w:vAlign w:val="center"/>
          </w:tcPr>
          <w:p w14:paraId="41B84627">
            <w:pPr>
              <w:pStyle w:val="170"/>
              <w:rPr>
                <w:rFonts w:ascii="Times New Roman" w:eastAsia="仿宋"/>
                <w:sz w:val="24"/>
                <w:szCs w:val="21"/>
              </w:rPr>
            </w:pPr>
            <w:r>
              <w:rPr>
                <w:rFonts w:ascii="Times New Roman" w:eastAsia="仿宋"/>
                <w:sz w:val="24"/>
                <w:szCs w:val="21"/>
              </w:rPr>
              <w:t>0.5</w:t>
            </w:r>
          </w:p>
        </w:tc>
      </w:tr>
      <w:tr w14:paraId="09DA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85" w:type="pct"/>
            <w:vAlign w:val="center"/>
          </w:tcPr>
          <w:p w14:paraId="0A369E58">
            <w:pPr>
              <w:pStyle w:val="170"/>
              <w:rPr>
                <w:rFonts w:ascii="Times New Roman" w:eastAsia="仿宋"/>
                <w:sz w:val="24"/>
                <w:szCs w:val="21"/>
              </w:rPr>
            </w:pPr>
            <w:r>
              <w:rPr>
                <w:rFonts w:ascii="Times New Roman" w:eastAsia="仿宋"/>
                <w:sz w:val="24"/>
                <w:szCs w:val="21"/>
              </w:rPr>
              <w:t>TN</w:t>
            </w:r>
          </w:p>
        </w:tc>
        <w:tc>
          <w:tcPr>
            <w:tcW w:w="2867" w:type="pct"/>
            <w:vMerge w:val="continue"/>
            <w:vAlign w:val="center"/>
          </w:tcPr>
          <w:p w14:paraId="17DD9387">
            <w:pPr>
              <w:pStyle w:val="170"/>
              <w:rPr>
                <w:rFonts w:ascii="Times New Roman" w:eastAsia="仿宋"/>
                <w:sz w:val="24"/>
                <w:szCs w:val="21"/>
              </w:rPr>
            </w:pPr>
          </w:p>
        </w:tc>
        <w:tc>
          <w:tcPr>
            <w:tcW w:w="1047" w:type="pct"/>
            <w:vAlign w:val="center"/>
          </w:tcPr>
          <w:p w14:paraId="1CFB9336">
            <w:pPr>
              <w:pStyle w:val="170"/>
              <w:rPr>
                <w:rFonts w:ascii="Times New Roman" w:eastAsia="仿宋"/>
                <w:sz w:val="24"/>
                <w:szCs w:val="21"/>
              </w:rPr>
            </w:pPr>
            <w:r>
              <w:rPr>
                <w:rFonts w:ascii="Times New Roman" w:eastAsia="仿宋"/>
                <w:sz w:val="24"/>
                <w:szCs w:val="21"/>
              </w:rPr>
              <w:t>12（15）</w:t>
            </w:r>
            <w:r>
              <w:rPr>
                <w:rFonts w:ascii="Times New Roman" w:eastAsia="仿宋"/>
                <w:bCs/>
                <w:sz w:val="24"/>
                <w:szCs w:val="21"/>
              </w:rPr>
              <w:t>*</w:t>
            </w:r>
          </w:p>
        </w:tc>
      </w:tr>
      <w:tr w14:paraId="58AA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5" w:type="pct"/>
            <w:vAlign w:val="center"/>
          </w:tcPr>
          <w:p w14:paraId="5CE07232">
            <w:pPr>
              <w:pStyle w:val="170"/>
              <w:rPr>
                <w:rFonts w:ascii="Times New Roman" w:eastAsia="仿宋"/>
                <w:sz w:val="24"/>
                <w:szCs w:val="21"/>
              </w:rPr>
            </w:pPr>
            <w:r>
              <w:rPr>
                <w:rFonts w:ascii="Times New Roman" w:eastAsia="仿宋"/>
                <w:sz w:val="24"/>
                <w:szCs w:val="21"/>
              </w:rPr>
              <w:t>pH值（无量纲）</w:t>
            </w:r>
          </w:p>
        </w:tc>
        <w:tc>
          <w:tcPr>
            <w:tcW w:w="2867" w:type="pct"/>
            <w:vMerge w:val="continue"/>
            <w:vAlign w:val="center"/>
          </w:tcPr>
          <w:p w14:paraId="7554507D">
            <w:pPr>
              <w:pStyle w:val="170"/>
              <w:rPr>
                <w:rFonts w:ascii="Times New Roman" w:eastAsia="仿宋"/>
                <w:sz w:val="24"/>
                <w:szCs w:val="21"/>
              </w:rPr>
            </w:pPr>
          </w:p>
        </w:tc>
        <w:tc>
          <w:tcPr>
            <w:tcW w:w="1047" w:type="pct"/>
            <w:vAlign w:val="center"/>
          </w:tcPr>
          <w:p w14:paraId="6EAF1742">
            <w:pPr>
              <w:pStyle w:val="170"/>
              <w:rPr>
                <w:rFonts w:ascii="Times New Roman" w:eastAsia="仿宋"/>
                <w:sz w:val="24"/>
                <w:szCs w:val="21"/>
              </w:rPr>
            </w:pPr>
            <w:r>
              <w:rPr>
                <w:rFonts w:ascii="Times New Roman" w:eastAsia="仿宋"/>
                <w:sz w:val="24"/>
                <w:szCs w:val="21"/>
              </w:rPr>
              <w:t>6-9</w:t>
            </w:r>
          </w:p>
        </w:tc>
      </w:tr>
      <w:tr w14:paraId="0B1A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5" w:type="pct"/>
            <w:vAlign w:val="center"/>
          </w:tcPr>
          <w:p w14:paraId="164FD0C2">
            <w:pPr>
              <w:adjustRightInd w:val="0"/>
              <w:snapToGrid w:val="0"/>
              <w:jc w:val="center"/>
              <w:rPr>
                <w:rFonts w:ascii="Times New Roman" w:eastAsia="仿宋"/>
                <w:szCs w:val="21"/>
              </w:rPr>
            </w:pPr>
            <w:r>
              <w:rPr>
                <w:rFonts w:ascii="Times New Roman" w:eastAsia="仿宋"/>
                <w:szCs w:val="21"/>
              </w:rPr>
              <w:t>动植物油</w:t>
            </w:r>
          </w:p>
        </w:tc>
        <w:tc>
          <w:tcPr>
            <w:tcW w:w="2867" w:type="pct"/>
            <w:vMerge w:val="continue"/>
            <w:vAlign w:val="center"/>
          </w:tcPr>
          <w:p w14:paraId="2BBF73C9">
            <w:pPr>
              <w:pStyle w:val="170"/>
              <w:rPr>
                <w:rFonts w:ascii="Times New Roman" w:eastAsia="仿宋"/>
                <w:sz w:val="24"/>
                <w:szCs w:val="21"/>
              </w:rPr>
            </w:pPr>
          </w:p>
        </w:tc>
        <w:tc>
          <w:tcPr>
            <w:tcW w:w="1047" w:type="pct"/>
            <w:vAlign w:val="center"/>
          </w:tcPr>
          <w:p w14:paraId="601F5F7D">
            <w:pPr>
              <w:pStyle w:val="170"/>
              <w:rPr>
                <w:rFonts w:ascii="Times New Roman" w:eastAsia="仿宋"/>
                <w:sz w:val="24"/>
                <w:szCs w:val="21"/>
              </w:rPr>
            </w:pPr>
            <w:r>
              <w:rPr>
                <w:rFonts w:hint="eastAsia" w:ascii="Times New Roman" w:eastAsia="仿宋"/>
                <w:sz w:val="24"/>
                <w:szCs w:val="21"/>
              </w:rPr>
              <w:t>1</w:t>
            </w:r>
          </w:p>
        </w:tc>
      </w:tr>
      <w:tr w14:paraId="128D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5" w:type="pct"/>
            <w:vAlign w:val="center"/>
          </w:tcPr>
          <w:p w14:paraId="63C3CFFA">
            <w:pPr>
              <w:adjustRightInd w:val="0"/>
              <w:snapToGrid w:val="0"/>
              <w:jc w:val="center"/>
              <w:rPr>
                <w:rFonts w:ascii="Times New Roman" w:eastAsia="仿宋"/>
                <w:szCs w:val="21"/>
              </w:rPr>
            </w:pPr>
            <w:r>
              <w:rPr>
                <w:rFonts w:ascii="Times New Roman" w:eastAsia="仿宋"/>
                <w:szCs w:val="21"/>
              </w:rPr>
              <w:t>石油类</w:t>
            </w:r>
          </w:p>
        </w:tc>
        <w:tc>
          <w:tcPr>
            <w:tcW w:w="2867" w:type="pct"/>
            <w:vMerge w:val="continue"/>
            <w:vAlign w:val="center"/>
          </w:tcPr>
          <w:p w14:paraId="76F13481">
            <w:pPr>
              <w:pStyle w:val="170"/>
              <w:rPr>
                <w:rFonts w:ascii="Times New Roman" w:eastAsia="仿宋"/>
                <w:sz w:val="24"/>
                <w:szCs w:val="21"/>
              </w:rPr>
            </w:pPr>
          </w:p>
        </w:tc>
        <w:tc>
          <w:tcPr>
            <w:tcW w:w="1047" w:type="pct"/>
            <w:vAlign w:val="center"/>
          </w:tcPr>
          <w:p w14:paraId="0AC0D1C2">
            <w:pPr>
              <w:pStyle w:val="170"/>
              <w:rPr>
                <w:rFonts w:ascii="Times New Roman" w:eastAsia="仿宋"/>
                <w:sz w:val="24"/>
                <w:szCs w:val="21"/>
              </w:rPr>
            </w:pPr>
            <w:r>
              <w:rPr>
                <w:rFonts w:hint="eastAsia" w:ascii="Times New Roman" w:eastAsia="仿宋"/>
                <w:sz w:val="24"/>
                <w:szCs w:val="21"/>
              </w:rPr>
              <w:t>1</w:t>
            </w:r>
          </w:p>
        </w:tc>
      </w:tr>
    </w:tbl>
    <w:p w14:paraId="6A9A9D9F">
      <w:pPr>
        <w:spacing w:line="340" w:lineRule="exact"/>
        <w:ind w:firstLine="229" w:firstLineChars="95"/>
        <w:rPr>
          <w:rFonts w:ascii="Times New Roman" w:eastAsia="仿宋"/>
          <w:b/>
          <w:szCs w:val="21"/>
        </w:rPr>
      </w:pPr>
      <w:r>
        <w:rPr>
          <w:rFonts w:ascii="Times New Roman" w:eastAsia="仿宋"/>
          <w:b/>
          <w:szCs w:val="21"/>
        </w:rPr>
        <w:t>注：*每年11月1日至次年3月31日执行括号内排放限值。</w:t>
      </w:r>
    </w:p>
    <w:p w14:paraId="42FF1064">
      <w:pPr>
        <w:adjustRightInd w:val="0"/>
        <w:snapToGrid w:val="0"/>
        <w:spacing w:line="500" w:lineRule="exact"/>
        <w:ind w:firstLine="594" w:firstLineChars="200"/>
        <w:rPr>
          <w:rFonts w:ascii="Times New Roman" w:eastAsia="仿宋"/>
          <w:b/>
          <w:spacing w:val="8"/>
          <w:sz w:val="28"/>
          <w:szCs w:val="28"/>
        </w:rPr>
      </w:pPr>
      <w:r>
        <w:rPr>
          <w:rFonts w:ascii="Times New Roman" w:eastAsia="仿宋"/>
          <w:b/>
          <w:spacing w:val="8"/>
          <w:sz w:val="28"/>
          <w:szCs w:val="28"/>
        </w:rPr>
        <w:t>（3）噪声</w:t>
      </w:r>
    </w:p>
    <w:p w14:paraId="258FDC9E">
      <w:pPr>
        <w:autoSpaceDE w:val="0"/>
        <w:autoSpaceDN w:val="0"/>
        <w:adjustRightInd w:val="0"/>
        <w:spacing w:line="500" w:lineRule="exact"/>
        <w:ind w:firstLine="560" w:firstLineChars="200"/>
        <w:jc w:val="left"/>
        <w:rPr>
          <w:rFonts w:ascii="Times New Roman" w:eastAsia="仿宋"/>
          <w:sz w:val="28"/>
        </w:rPr>
      </w:pPr>
      <w:r>
        <w:rPr>
          <w:rFonts w:ascii="Times New Roman" w:eastAsia="仿宋"/>
          <w:sz w:val="28"/>
        </w:rPr>
        <w:t>本项目东、南、西</w:t>
      </w:r>
      <w:r>
        <w:rPr>
          <w:rFonts w:hint="eastAsia" w:ascii="Times New Roman" w:eastAsia="仿宋"/>
          <w:sz w:val="28"/>
        </w:rPr>
        <w:t>、北</w:t>
      </w:r>
      <w:r>
        <w:rPr>
          <w:rFonts w:ascii="Times New Roman" w:eastAsia="仿宋"/>
          <w:sz w:val="28"/>
        </w:rPr>
        <w:t>厂界噪声执行《工业企业厂界环境噪声排放标准》（GB12348-2008）中3类标准，具体见表2.3-13。</w:t>
      </w:r>
    </w:p>
    <w:p w14:paraId="40A8CF61">
      <w:pPr>
        <w:autoSpaceDE w:val="0"/>
        <w:autoSpaceDN w:val="0"/>
        <w:adjustRightInd w:val="0"/>
        <w:spacing w:line="500" w:lineRule="exact"/>
        <w:ind w:firstLine="482" w:firstLineChars="200"/>
        <w:jc w:val="center"/>
        <w:rPr>
          <w:rFonts w:ascii="Times New Roman" w:eastAsia="仿宋"/>
          <w:b/>
        </w:rPr>
      </w:pPr>
      <w:r>
        <w:rPr>
          <w:rFonts w:ascii="Times New Roman" w:eastAsia="仿宋"/>
          <w:b/>
        </w:rPr>
        <w:t>表2.3-13  厂界噪声排放标准</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56"/>
        <w:gridCol w:w="3443"/>
        <w:gridCol w:w="2929"/>
      </w:tblGrid>
      <w:tr w14:paraId="59391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391" w:type="pct"/>
            <w:vAlign w:val="center"/>
          </w:tcPr>
          <w:p w14:paraId="4E658E4B">
            <w:pPr>
              <w:pStyle w:val="170"/>
              <w:rPr>
                <w:rFonts w:ascii="Times New Roman" w:eastAsia="仿宋"/>
                <w:sz w:val="24"/>
                <w:szCs w:val="21"/>
              </w:rPr>
            </w:pPr>
            <w:r>
              <w:rPr>
                <w:rFonts w:ascii="Times New Roman" w:eastAsia="仿宋"/>
                <w:sz w:val="24"/>
                <w:szCs w:val="21"/>
              </w:rPr>
              <w:t>类别</w:t>
            </w:r>
          </w:p>
        </w:tc>
        <w:tc>
          <w:tcPr>
            <w:tcW w:w="1950" w:type="pct"/>
            <w:vAlign w:val="center"/>
          </w:tcPr>
          <w:p w14:paraId="6FD86B8D">
            <w:pPr>
              <w:pStyle w:val="170"/>
              <w:rPr>
                <w:rFonts w:ascii="Times New Roman" w:eastAsia="仿宋"/>
                <w:sz w:val="24"/>
                <w:szCs w:val="21"/>
              </w:rPr>
            </w:pPr>
            <w:r>
              <w:rPr>
                <w:rFonts w:ascii="Times New Roman" w:eastAsia="仿宋"/>
                <w:sz w:val="24"/>
                <w:szCs w:val="21"/>
              </w:rPr>
              <w:t>昼间</w:t>
            </w:r>
          </w:p>
        </w:tc>
        <w:tc>
          <w:tcPr>
            <w:tcW w:w="1659" w:type="pct"/>
            <w:vAlign w:val="center"/>
          </w:tcPr>
          <w:p w14:paraId="4A53E3CF">
            <w:pPr>
              <w:pStyle w:val="170"/>
              <w:rPr>
                <w:rFonts w:ascii="Times New Roman" w:eastAsia="仿宋"/>
                <w:sz w:val="24"/>
                <w:szCs w:val="21"/>
              </w:rPr>
            </w:pPr>
            <w:r>
              <w:rPr>
                <w:rFonts w:ascii="Times New Roman" w:eastAsia="仿宋"/>
                <w:sz w:val="24"/>
                <w:szCs w:val="21"/>
              </w:rPr>
              <w:t>夜间</w:t>
            </w:r>
          </w:p>
        </w:tc>
      </w:tr>
      <w:tr w14:paraId="73A310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391" w:type="pct"/>
            <w:vAlign w:val="center"/>
          </w:tcPr>
          <w:p w14:paraId="72F04135">
            <w:pPr>
              <w:spacing w:line="300" w:lineRule="exact"/>
              <w:jc w:val="center"/>
              <w:rPr>
                <w:rFonts w:ascii="Times New Roman" w:eastAsia="仿宋"/>
                <w:szCs w:val="21"/>
              </w:rPr>
            </w:pPr>
            <w:r>
              <w:rPr>
                <w:rFonts w:ascii="Times New Roman" w:eastAsia="仿宋"/>
                <w:szCs w:val="21"/>
              </w:rPr>
              <w:t>3类</w:t>
            </w:r>
          </w:p>
        </w:tc>
        <w:tc>
          <w:tcPr>
            <w:tcW w:w="1950" w:type="pct"/>
            <w:vAlign w:val="center"/>
          </w:tcPr>
          <w:p w14:paraId="5527D3ED">
            <w:pPr>
              <w:spacing w:line="300" w:lineRule="exact"/>
              <w:jc w:val="center"/>
              <w:rPr>
                <w:rFonts w:ascii="Times New Roman" w:eastAsia="仿宋"/>
                <w:szCs w:val="21"/>
              </w:rPr>
            </w:pPr>
            <w:r>
              <w:rPr>
                <w:rFonts w:ascii="Times New Roman" w:eastAsia="仿宋"/>
                <w:szCs w:val="21"/>
              </w:rPr>
              <w:t>≤65dB（A）</w:t>
            </w:r>
          </w:p>
        </w:tc>
        <w:tc>
          <w:tcPr>
            <w:tcW w:w="1659" w:type="pct"/>
            <w:vAlign w:val="center"/>
          </w:tcPr>
          <w:p w14:paraId="48FD47E6">
            <w:pPr>
              <w:spacing w:line="300" w:lineRule="exact"/>
              <w:jc w:val="center"/>
              <w:rPr>
                <w:rFonts w:ascii="Times New Roman" w:eastAsia="仿宋"/>
                <w:szCs w:val="21"/>
              </w:rPr>
            </w:pPr>
            <w:r>
              <w:rPr>
                <w:rFonts w:ascii="Times New Roman" w:eastAsia="仿宋"/>
                <w:szCs w:val="21"/>
              </w:rPr>
              <w:t>≤55dB（A）</w:t>
            </w:r>
          </w:p>
        </w:tc>
      </w:tr>
    </w:tbl>
    <w:p w14:paraId="61E0EF2D">
      <w:pPr>
        <w:adjustRightInd w:val="0"/>
        <w:snapToGrid w:val="0"/>
        <w:spacing w:line="500" w:lineRule="exact"/>
        <w:ind w:firstLine="594" w:firstLineChars="200"/>
        <w:rPr>
          <w:rFonts w:ascii="Times New Roman" w:eastAsia="仿宋"/>
          <w:b/>
          <w:spacing w:val="8"/>
          <w:sz w:val="28"/>
          <w:szCs w:val="28"/>
        </w:rPr>
      </w:pPr>
      <w:r>
        <w:rPr>
          <w:rFonts w:ascii="Times New Roman" w:eastAsia="仿宋"/>
          <w:b/>
          <w:spacing w:val="8"/>
          <w:sz w:val="28"/>
          <w:szCs w:val="28"/>
        </w:rPr>
        <w:t>（4）固废</w:t>
      </w:r>
    </w:p>
    <w:p w14:paraId="542D2242">
      <w:pPr>
        <w:adjustRightInd w:val="0"/>
        <w:snapToGrid w:val="0"/>
        <w:spacing w:line="500" w:lineRule="exact"/>
        <w:ind w:firstLine="592" w:firstLineChars="200"/>
        <w:rPr>
          <w:rFonts w:ascii="Times New Roman" w:eastAsia="仿宋"/>
          <w:spacing w:val="8"/>
          <w:sz w:val="28"/>
          <w:szCs w:val="28"/>
        </w:rPr>
      </w:pPr>
      <w:r>
        <w:rPr>
          <w:rFonts w:hint="eastAsia" w:hAnsi="宋体" w:cs="宋体"/>
          <w:spacing w:val="8"/>
          <w:sz w:val="28"/>
          <w:szCs w:val="28"/>
        </w:rPr>
        <w:t>①</w:t>
      </w:r>
      <w:r>
        <w:rPr>
          <w:rFonts w:ascii="Times New Roman" w:eastAsia="仿宋"/>
          <w:spacing w:val="8"/>
          <w:sz w:val="28"/>
          <w:szCs w:val="28"/>
        </w:rPr>
        <w:t>一般固废执行《一般工业固体废物贮存和填埋污染控制标准》（GB 18599-2020）；</w:t>
      </w:r>
    </w:p>
    <w:p w14:paraId="5922CDCB">
      <w:pPr>
        <w:pStyle w:val="201"/>
        <w:ind w:firstLine="592"/>
        <w:rPr>
          <w:rFonts w:ascii="Times New Roman" w:eastAsia="仿宋"/>
          <w:spacing w:val="8"/>
          <w:sz w:val="28"/>
          <w:szCs w:val="28"/>
        </w:rPr>
      </w:pPr>
      <w:r>
        <w:rPr>
          <w:rFonts w:hint="eastAsia" w:hAnsi="宋体" w:cs="宋体"/>
          <w:spacing w:val="8"/>
          <w:sz w:val="28"/>
          <w:szCs w:val="28"/>
        </w:rPr>
        <w:t>②</w:t>
      </w:r>
      <w:r>
        <w:rPr>
          <w:rFonts w:ascii="Times New Roman" w:eastAsia="仿宋"/>
          <w:spacing w:val="8"/>
          <w:sz w:val="28"/>
          <w:szCs w:val="28"/>
        </w:rPr>
        <w:t>危险废物执行《危险废物贮存污染控制标准》</w:t>
      </w:r>
      <w:r>
        <w:rPr>
          <w:rFonts w:ascii="Times New Roman" w:eastAsia="仿宋"/>
          <w:sz w:val="28"/>
          <w:szCs w:val="28"/>
        </w:rPr>
        <w:t>（GB18597-2023）</w:t>
      </w:r>
      <w:r>
        <w:rPr>
          <w:rFonts w:ascii="Times New Roman" w:eastAsia="仿宋"/>
          <w:spacing w:val="8"/>
          <w:sz w:val="28"/>
          <w:szCs w:val="28"/>
        </w:rPr>
        <w:t>。</w:t>
      </w:r>
    </w:p>
    <w:p w14:paraId="190BFF04">
      <w:pPr>
        <w:adjustRightInd w:val="0"/>
        <w:snapToGrid w:val="0"/>
        <w:spacing w:line="500" w:lineRule="exact"/>
        <w:ind w:firstLine="594" w:firstLineChars="200"/>
        <w:rPr>
          <w:rFonts w:ascii="Times New Roman" w:eastAsia="仿宋"/>
          <w:b/>
          <w:spacing w:val="8"/>
          <w:sz w:val="28"/>
          <w:szCs w:val="28"/>
        </w:rPr>
      </w:pPr>
      <w:r>
        <w:rPr>
          <w:rFonts w:ascii="Times New Roman" w:eastAsia="仿宋"/>
          <w:b/>
          <w:spacing w:val="8"/>
          <w:sz w:val="28"/>
          <w:szCs w:val="28"/>
        </w:rPr>
        <w:t>（5）风险</w:t>
      </w:r>
    </w:p>
    <w:p w14:paraId="76F7F27A">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根据《建设项目环境风险评价技术导则》（HJ169-2018），本项目评价标准见下表。</w:t>
      </w:r>
    </w:p>
    <w:p w14:paraId="6CA87A5B">
      <w:pPr>
        <w:adjustRightInd w:val="0"/>
        <w:snapToGrid w:val="0"/>
        <w:spacing w:line="500" w:lineRule="exact"/>
        <w:jc w:val="center"/>
        <w:rPr>
          <w:rFonts w:ascii="Times New Roman" w:eastAsia="仿宋"/>
          <w:b/>
          <w:szCs w:val="22"/>
        </w:rPr>
      </w:pPr>
      <w:r>
        <w:rPr>
          <w:rFonts w:ascii="Times New Roman" w:eastAsia="仿宋"/>
          <w:b/>
          <w:szCs w:val="22"/>
        </w:rPr>
        <w:t>表2.3-14  本项目重点关注的危险物质毒性终点浓度值选取</w:t>
      </w:r>
    </w:p>
    <w:tbl>
      <w:tblPr>
        <w:tblStyle w:val="87"/>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1453"/>
        <w:gridCol w:w="3119"/>
        <w:gridCol w:w="3242"/>
      </w:tblGrid>
      <w:tr w14:paraId="16D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18C4798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序号</w:t>
            </w:r>
          </w:p>
        </w:tc>
        <w:tc>
          <w:tcPr>
            <w:tcW w:w="1450" w:type="dxa"/>
            <w:tcBorders>
              <w:top w:val="single" w:color="auto" w:sz="4" w:space="0"/>
              <w:left w:val="single" w:color="auto" w:sz="4" w:space="0"/>
              <w:bottom w:val="single" w:color="auto" w:sz="4" w:space="0"/>
              <w:right w:val="single" w:color="auto" w:sz="4" w:space="0"/>
            </w:tcBorders>
            <w:vAlign w:val="center"/>
          </w:tcPr>
          <w:p w14:paraId="5AC7DA3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危险物质</w:t>
            </w:r>
          </w:p>
        </w:tc>
        <w:tc>
          <w:tcPr>
            <w:tcW w:w="3112" w:type="dxa"/>
            <w:tcBorders>
              <w:top w:val="single" w:color="auto" w:sz="4" w:space="0"/>
              <w:left w:val="single" w:color="auto" w:sz="4" w:space="0"/>
              <w:bottom w:val="single" w:color="auto" w:sz="4" w:space="0"/>
              <w:right w:val="single" w:color="auto" w:sz="4" w:space="0"/>
            </w:tcBorders>
            <w:vAlign w:val="center"/>
          </w:tcPr>
          <w:p w14:paraId="6C79178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指标</w:t>
            </w:r>
          </w:p>
        </w:tc>
        <w:tc>
          <w:tcPr>
            <w:tcW w:w="3235" w:type="dxa"/>
            <w:tcBorders>
              <w:top w:val="single" w:color="auto" w:sz="4" w:space="0"/>
              <w:left w:val="single" w:color="auto" w:sz="4" w:space="0"/>
              <w:bottom w:val="single" w:color="auto" w:sz="4" w:space="0"/>
              <w:right w:val="single" w:color="auto" w:sz="4" w:space="0"/>
            </w:tcBorders>
            <w:vAlign w:val="center"/>
          </w:tcPr>
          <w:p w14:paraId="3275C2B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浓度值（mg/m</w:t>
            </w:r>
            <w:r>
              <w:rPr>
                <w:rFonts w:ascii="Times New Roman" w:eastAsia="仿宋"/>
                <w:szCs w:val="24"/>
                <w:vertAlign w:val="superscript"/>
                <w:lang w:val="zh-CN"/>
              </w:rPr>
              <w:t>3</w:t>
            </w:r>
            <w:r>
              <w:rPr>
                <w:rFonts w:ascii="Times New Roman" w:eastAsia="仿宋"/>
                <w:szCs w:val="24"/>
                <w:lang w:val="zh-CN"/>
              </w:rPr>
              <w:t>）</w:t>
            </w:r>
          </w:p>
        </w:tc>
      </w:tr>
      <w:tr w14:paraId="3E10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restart"/>
            <w:tcBorders>
              <w:top w:val="single" w:color="auto" w:sz="4" w:space="0"/>
              <w:left w:val="single" w:color="auto" w:sz="4" w:space="0"/>
              <w:right w:val="single" w:color="auto" w:sz="4" w:space="0"/>
            </w:tcBorders>
            <w:vAlign w:val="center"/>
          </w:tcPr>
          <w:p w14:paraId="3650F47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w:t>
            </w:r>
          </w:p>
        </w:tc>
        <w:tc>
          <w:tcPr>
            <w:tcW w:w="1450" w:type="dxa"/>
            <w:vMerge w:val="restart"/>
            <w:tcBorders>
              <w:top w:val="single" w:color="auto" w:sz="4" w:space="0"/>
              <w:left w:val="single" w:color="auto" w:sz="4" w:space="0"/>
              <w:right w:val="single" w:color="auto" w:sz="4" w:space="0"/>
            </w:tcBorders>
            <w:vAlign w:val="center"/>
          </w:tcPr>
          <w:p w14:paraId="79A4B44E">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二甲苯</w:t>
            </w:r>
          </w:p>
        </w:tc>
        <w:tc>
          <w:tcPr>
            <w:tcW w:w="3112" w:type="dxa"/>
            <w:tcBorders>
              <w:top w:val="single" w:color="auto" w:sz="4" w:space="0"/>
              <w:left w:val="single" w:color="auto" w:sz="4" w:space="0"/>
              <w:bottom w:val="single" w:color="auto" w:sz="4" w:space="0"/>
              <w:right w:val="single" w:color="auto" w:sz="4" w:space="0"/>
            </w:tcBorders>
            <w:vAlign w:val="center"/>
          </w:tcPr>
          <w:p w14:paraId="2319114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235" w:type="dxa"/>
            <w:tcBorders>
              <w:top w:val="single" w:color="auto" w:sz="4" w:space="0"/>
              <w:left w:val="single" w:color="auto" w:sz="4" w:space="0"/>
              <w:bottom w:val="single" w:color="auto" w:sz="4" w:space="0"/>
              <w:right w:val="single" w:color="auto" w:sz="4" w:space="0"/>
            </w:tcBorders>
            <w:vAlign w:val="center"/>
          </w:tcPr>
          <w:p w14:paraId="67A269F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11000</w:t>
            </w:r>
          </w:p>
        </w:tc>
      </w:tr>
      <w:tr w14:paraId="66EA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continue"/>
            <w:tcBorders>
              <w:left w:val="single" w:color="auto" w:sz="4" w:space="0"/>
              <w:bottom w:val="single" w:color="auto" w:sz="4" w:space="0"/>
              <w:right w:val="single" w:color="auto" w:sz="4" w:space="0"/>
            </w:tcBorders>
            <w:vAlign w:val="center"/>
          </w:tcPr>
          <w:p w14:paraId="490E2339">
            <w:pPr>
              <w:kinsoku w:val="0"/>
              <w:overflowPunct w:val="0"/>
              <w:autoSpaceDE w:val="0"/>
              <w:autoSpaceDN w:val="0"/>
              <w:adjustRightInd w:val="0"/>
              <w:snapToGrid w:val="0"/>
              <w:jc w:val="center"/>
              <w:rPr>
                <w:rFonts w:ascii="Times New Roman" w:eastAsia="仿宋"/>
                <w:szCs w:val="24"/>
                <w:lang w:val="zh-CN"/>
              </w:rPr>
            </w:pPr>
          </w:p>
        </w:tc>
        <w:tc>
          <w:tcPr>
            <w:tcW w:w="1450" w:type="dxa"/>
            <w:vMerge w:val="continue"/>
            <w:tcBorders>
              <w:left w:val="single" w:color="auto" w:sz="4" w:space="0"/>
              <w:bottom w:val="single" w:color="auto" w:sz="4" w:space="0"/>
              <w:right w:val="single" w:color="auto" w:sz="4" w:space="0"/>
            </w:tcBorders>
            <w:vAlign w:val="center"/>
          </w:tcPr>
          <w:p w14:paraId="040383E7">
            <w:pPr>
              <w:kinsoku w:val="0"/>
              <w:overflowPunct w:val="0"/>
              <w:autoSpaceDE w:val="0"/>
              <w:autoSpaceDN w:val="0"/>
              <w:adjustRightInd w:val="0"/>
              <w:snapToGrid w:val="0"/>
              <w:jc w:val="center"/>
              <w:rPr>
                <w:rFonts w:ascii="Times New Roman" w:eastAsia="仿宋"/>
                <w:szCs w:val="24"/>
                <w:lang w:val="zh-CN"/>
              </w:rPr>
            </w:pPr>
          </w:p>
        </w:tc>
        <w:tc>
          <w:tcPr>
            <w:tcW w:w="3112" w:type="dxa"/>
            <w:tcBorders>
              <w:top w:val="single" w:color="auto" w:sz="4" w:space="0"/>
              <w:left w:val="single" w:color="auto" w:sz="4" w:space="0"/>
              <w:bottom w:val="single" w:color="auto" w:sz="4" w:space="0"/>
              <w:right w:val="single" w:color="auto" w:sz="4" w:space="0"/>
            </w:tcBorders>
            <w:vAlign w:val="center"/>
          </w:tcPr>
          <w:p w14:paraId="0E0EF4D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235" w:type="dxa"/>
            <w:tcBorders>
              <w:top w:val="single" w:color="auto" w:sz="4" w:space="0"/>
              <w:left w:val="single" w:color="auto" w:sz="4" w:space="0"/>
              <w:bottom w:val="single" w:color="auto" w:sz="4" w:space="0"/>
              <w:right w:val="single" w:color="auto" w:sz="4" w:space="0"/>
            </w:tcBorders>
            <w:vAlign w:val="center"/>
          </w:tcPr>
          <w:p w14:paraId="4A609EB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4000</w:t>
            </w:r>
          </w:p>
        </w:tc>
      </w:tr>
      <w:tr w14:paraId="61C6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restart"/>
            <w:tcBorders>
              <w:top w:val="single" w:color="auto" w:sz="4" w:space="0"/>
              <w:left w:val="single" w:color="auto" w:sz="4" w:space="0"/>
              <w:right w:val="single" w:color="auto" w:sz="4" w:space="0"/>
            </w:tcBorders>
            <w:vAlign w:val="center"/>
          </w:tcPr>
          <w:p w14:paraId="4C35890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w:t>
            </w:r>
          </w:p>
        </w:tc>
        <w:tc>
          <w:tcPr>
            <w:tcW w:w="1450" w:type="dxa"/>
            <w:vMerge w:val="restart"/>
            <w:tcBorders>
              <w:top w:val="single" w:color="auto" w:sz="4" w:space="0"/>
              <w:left w:val="single" w:color="auto" w:sz="4" w:space="0"/>
              <w:right w:val="single" w:color="auto" w:sz="4" w:space="0"/>
            </w:tcBorders>
            <w:vAlign w:val="center"/>
          </w:tcPr>
          <w:p w14:paraId="0331D2C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CO</w:t>
            </w:r>
          </w:p>
        </w:tc>
        <w:tc>
          <w:tcPr>
            <w:tcW w:w="3112" w:type="dxa"/>
            <w:tcBorders>
              <w:top w:val="single" w:color="auto" w:sz="4" w:space="0"/>
              <w:left w:val="single" w:color="auto" w:sz="4" w:space="0"/>
              <w:bottom w:val="single" w:color="auto" w:sz="4" w:space="0"/>
              <w:right w:val="single" w:color="auto" w:sz="4" w:space="0"/>
            </w:tcBorders>
            <w:vAlign w:val="center"/>
          </w:tcPr>
          <w:p w14:paraId="1E89575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235" w:type="dxa"/>
            <w:tcBorders>
              <w:top w:val="single" w:color="auto" w:sz="4" w:space="0"/>
              <w:left w:val="single" w:color="auto" w:sz="4" w:space="0"/>
              <w:bottom w:val="single" w:color="auto" w:sz="4" w:space="0"/>
              <w:right w:val="single" w:color="auto" w:sz="4" w:space="0"/>
            </w:tcBorders>
            <w:vAlign w:val="center"/>
          </w:tcPr>
          <w:p w14:paraId="12EFFA8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380</w:t>
            </w:r>
          </w:p>
        </w:tc>
      </w:tr>
      <w:tr w14:paraId="4645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continue"/>
            <w:tcBorders>
              <w:left w:val="single" w:color="auto" w:sz="4" w:space="0"/>
              <w:right w:val="single" w:color="auto" w:sz="4" w:space="0"/>
            </w:tcBorders>
            <w:vAlign w:val="center"/>
          </w:tcPr>
          <w:p w14:paraId="028E8D88">
            <w:pPr>
              <w:kinsoku w:val="0"/>
              <w:overflowPunct w:val="0"/>
              <w:autoSpaceDE w:val="0"/>
              <w:autoSpaceDN w:val="0"/>
              <w:adjustRightInd w:val="0"/>
              <w:snapToGrid w:val="0"/>
              <w:jc w:val="center"/>
              <w:rPr>
                <w:sz w:val="21"/>
                <w:szCs w:val="21"/>
                <w:lang w:val="zh-CN" w:bidi="zh-CN"/>
              </w:rPr>
            </w:pPr>
          </w:p>
        </w:tc>
        <w:tc>
          <w:tcPr>
            <w:tcW w:w="1450" w:type="dxa"/>
            <w:vMerge w:val="continue"/>
            <w:tcBorders>
              <w:left w:val="single" w:color="auto" w:sz="4" w:space="0"/>
              <w:right w:val="single" w:color="auto" w:sz="4" w:space="0"/>
            </w:tcBorders>
            <w:vAlign w:val="center"/>
          </w:tcPr>
          <w:p w14:paraId="0B113187">
            <w:pPr>
              <w:kinsoku w:val="0"/>
              <w:overflowPunct w:val="0"/>
              <w:autoSpaceDE w:val="0"/>
              <w:autoSpaceDN w:val="0"/>
              <w:adjustRightInd w:val="0"/>
              <w:snapToGrid w:val="0"/>
              <w:jc w:val="center"/>
              <w:rPr>
                <w:sz w:val="21"/>
                <w:szCs w:val="21"/>
                <w:lang w:val="zh-CN" w:bidi="zh-CN"/>
              </w:rPr>
            </w:pPr>
          </w:p>
        </w:tc>
        <w:tc>
          <w:tcPr>
            <w:tcW w:w="3112" w:type="dxa"/>
            <w:tcBorders>
              <w:top w:val="single" w:color="auto" w:sz="4" w:space="0"/>
              <w:left w:val="single" w:color="auto" w:sz="4" w:space="0"/>
              <w:bottom w:val="single" w:color="auto" w:sz="4" w:space="0"/>
              <w:right w:val="single" w:color="auto" w:sz="4" w:space="0"/>
            </w:tcBorders>
            <w:vAlign w:val="center"/>
          </w:tcPr>
          <w:p w14:paraId="4A6DEF0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235" w:type="dxa"/>
            <w:tcBorders>
              <w:top w:val="single" w:color="auto" w:sz="4" w:space="0"/>
              <w:left w:val="single" w:color="auto" w:sz="4" w:space="0"/>
              <w:bottom w:val="single" w:color="auto" w:sz="4" w:space="0"/>
              <w:right w:val="single" w:color="auto" w:sz="4" w:space="0"/>
            </w:tcBorders>
            <w:vAlign w:val="center"/>
          </w:tcPr>
          <w:p w14:paraId="734DF06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95</w:t>
            </w:r>
          </w:p>
        </w:tc>
      </w:tr>
      <w:tr w14:paraId="6255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restart"/>
            <w:tcBorders>
              <w:left w:val="single" w:color="auto" w:sz="4" w:space="0"/>
              <w:right w:val="single" w:color="auto" w:sz="4" w:space="0"/>
            </w:tcBorders>
            <w:vAlign w:val="center"/>
          </w:tcPr>
          <w:p w14:paraId="2F29164D">
            <w:pPr>
              <w:kinsoku w:val="0"/>
              <w:overflowPunct w:val="0"/>
              <w:autoSpaceDE w:val="0"/>
              <w:autoSpaceDN w:val="0"/>
              <w:adjustRightInd w:val="0"/>
              <w:snapToGrid w:val="0"/>
              <w:jc w:val="center"/>
              <w:rPr>
                <w:sz w:val="21"/>
                <w:szCs w:val="21"/>
                <w:lang w:bidi="zh-CN"/>
              </w:rPr>
            </w:pPr>
            <w:r>
              <w:rPr>
                <w:sz w:val="21"/>
                <w:szCs w:val="21"/>
                <w:lang w:bidi="zh-CN"/>
              </w:rPr>
              <w:t>3</w:t>
            </w:r>
          </w:p>
        </w:tc>
        <w:tc>
          <w:tcPr>
            <w:tcW w:w="1450" w:type="dxa"/>
            <w:vMerge w:val="restart"/>
            <w:tcBorders>
              <w:left w:val="single" w:color="auto" w:sz="4" w:space="0"/>
              <w:right w:val="single" w:color="auto" w:sz="4" w:space="0"/>
            </w:tcBorders>
            <w:vAlign w:val="center"/>
          </w:tcPr>
          <w:p w14:paraId="17D5DB7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硫酸</w:t>
            </w:r>
          </w:p>
        </w:tc>
        <w:tc>
          <w:tcPr>
            <w:tcW w:w="3112" w:type="dxa"/>
            <w:tcBorders>
              <w:top w:val="single" w:color="auto" w:sz="4" w:space="0"/>
              <w:left w:val="single" w:color="auto" w:sz="4" w:space="0"/>
              <w:bottom w:val="single" w:color="auto" w:sz="4" w:space="0"/>
              <w:right w:val="single" w:color="auto" w:sz="4" w:space="0"/>
            </w:tcBorders>
            <w:vAlign w:val="center"/>
          </w:tcPr>
          <w:p w14:paraId="2AE2C1C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235" w:type="dxa"/>
            <w:tcBorders>
              <w:top w:val="single" w:color="auto" w:sz="4" w:space="0"/>
              <w:left w:val="single" w:color="auto" w:sz="4" w:space="0"/>
              <w:bottom w:val="single" w:color="auto" w:sz="4" w:space="0"/>
              <w:right w:val="single" w:color="auto" w:sz="4" w:space="0"/>
            </w:tcBorders>
            <w:vAlign w:val="center"/>
          </w:tcPr>
          <w:p w14:paraId="07DAC81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w:t>
            </w:r>
            <w:r>
              <w:rPr>
                <w:rFonts w:ascii="Times New Roman" w:eastAsia="仿宋"/>
                <w:szCs w:val="24"/>
              </w:rPr>
              <w:t>60</w:t>
            </w:r>
          </w:p>
        </w:tc>
      </w:tr>
      <w:tr w14:paraId="7FC8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7" w:type="dxa"/>
            <w:vMerge w:val="continue"/>
            <w:tcBorders>
              <w:left w:val="single" w:color="auto" w:sz="4" w:space="0"/>
              <w:right w:val="single" w:color="auto" w:sz="4" w:space="0"/>
            </w:tcBorders>
            <w:vAlign w:val="center"/>
          </w:tcPr>
          <w:p w14:paraId="594E65DB">
            <w:pPr>
              <w:kinsoku w:val="0"/>
              <w:overflowPunct w:val="0"/>
              <w:autoSpaceDE w:val="0"/>
              <w:autoSpaceDN w:val="0"/>
              <w:adjustRightInd w:val="0"/>
              <w:snapToGrid w:val="0"/>
              <w:jc w:val="center"/>
              <w:rPr>
                <w:sz w:val="21"/>
                <w:szCs w:val="21"/>
                <w:lang w:val="zh-CN" w:bidi="zh-CN"/>
              </w:rPr>
            </w:pPr>
          </w:p>
        </w:tc>
        <w:tc>
          <w:tcPr>
            <w:tcW w:w="1450" w:type="dxa"/>
            <w:vMerge w:val="continue"/>
            <w:tcBorders>
              <w:left w:val="single" w:color="auto" w:sz="4" w:space="0"/>
              <w:right w:val="single" w:color="auto" w:sz="4" w:space="0"/>
            </w:tcBorders>
            <w:vAlign w:val="center"/>
          </w:tcPr>
          <w:p w14:paraId="73DFD886">
            <w:pPr>
              <w:kinsoku w:val="0"/>
              <w:overflowPunct w:val="0"/>
              <w:autoSpaceDE w:val="0"/>
              <w:autoSpaceDN w:val="0"/>
              <w:adjustRightInd w:val="0"/>
              <w:snapToGrid w:val="0"/>
              <w:jc w:val="center"/>
              <w:rPr>
                <w:rFonts w:ascii="Times New Roman" w:eastAsia="仿宋"/>
                <w:szCs w:val="24"/>
                <w:lang w:val="zh-CN"/>
              </w:rPr>
            </w:pPr>
          </w:p>
        </w:tc>
        <w:tc>
          <w:tcPr>
            <w:tcW w:w="3112" w:type="dxa"/>
            <w:tcBorders>
              <w:top w:val="single" w:color="auto" w:sz="4" w:space="0"/>
              <w:left w:val="single" w:color="auto" w:sz="4" w:space="0"/>
              <w:bottom w:val="single" w:color="auto" w:sz="4" w:space="0"/>
              <w:right w:val="single" w:color="auto" w:sz="4" w:space="0"/>
            </w:tcBorders>
            <w:vAlign w:val="center"/>
          </w:tcPr>
          <w:p w14:paraId="1694F22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235" w:type="dxa"/>
            <w:tcBorders>
              <w:top w:val="single" w:color="auto" w:sz="4" w:space="0"/>
              <w:left w:val="single" w:color="auto" w:sz="4" w:space="0"/>
              <w:bottom w:val="single" w:color="auto" w:sz="4" w:space="0"/>
              <w:right w:val="single" w:color="auto" w:sz="4" w:space="0"/>
            </w:tcBorders>
            <w:vAlign w:val="center"/>
          </w:tcPr>
          <w:p w14:paraId="15289C2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8</w:t>
            </w:r>
            <w:r>
              <w:rPr>
                <w:rFonts w:ascii="Times New Roman" w:eastAsia="仿宋"/>
                <w:szCs w:val="24"/>
              </w:rPr>
              <w:t>.7</w:t>
            </w:r>
          </w:p>
        </w:tc>
      </w:t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tbl>
    <w:p w14:paraId="26754B64">
      <w:pPr>
        <w:pStyle w:val="5"/>
        <w:numPr>
          <w:ilvl w:val="0"/>
          <w:numId w:val="0"/>
        </w:numPr>
        <w:rPr>
          <w:rFonts w:eastAsia="仿宋"/>
          <w:color w:val="auto"/>
        </w:rPr>
      </w:pPr>
      <w:bookmarkStart w:id="114" w:name="_Toc219169899"/>
      <w:bookmarkStart w:id="115" w:name="_Toc218388561"/>
      <w:bookmarkStart w:id="116" w:name="_Toc229910508"/>
      <w:bookmarkStart w:id="117" w:name="_Toc157405911"/>
      <w:bookmarkStart w:id="118" w:name="_Toc217889975"/>
      <w:bookmarkStart w:id="119" w:name="_Toc228779738"/>
      <w:bookmarkStart w:id="120" w:name="_Toc216664823"/>
      <w:bookmarkStart w:id="121" w:name="_Toc106608032"/>
      <w:bookmarkStart w:id="122" w:name="_Toc216670486"/>
      <w:bookmarkStart w:id="123" w:name="_Toc219541095"/>
      <w:bookmarkStart w:id="124" w:name="_Toc218822809"/>
      <w:bookmarkStart w:id="125" w:name="_Toc230013661"/>
      <w:bookmarkStart w:id="126" w:name="_Toc218996889"/>
      <w:bookmarkStart w:id="127" w:name="_Toc156960240"/>
      <w:bookmarkStart w:id="128" w:name="_Toc219540323"/>
      <w:bookmarkStart w:id="129" w:name="_Toc217889868"/>
      <w:bookmarkStart w:id="130" w:name="_Toc228437063"/>
      <w:bookmarkStart w:id="131" w:name="_Toc160937746"/>
      <w:bookmarkStart w:id="132" w:name="_Toc229900150"/>
      <w:bookmarkStart w:id="133" w:name="_Toc217889637"/>
      <w:bookmarkStart w:id="134" w:name="_Toc228541020"/>
      <w:bookmarkStart w:id="135" w:name="_Toc228754592"/>
      <w:bookmarkStart w:id="136" w:name="_Toc217879276"/>
      <w:bookmarkStart w:id="137" w:name="_Toc218823699"/>
      <w:bookmarkStart w:id="138" w:name="_Toc182553805"/>
      <w:r>
        <w:rPr>
          <w:rFonts w:hint="eastAsia" w:eastAsia="仿宋"/>
          <w:color w:val="auto"/>
        </w:rPr>
        <w:t>2.</w:t>
      </w:r>
      <w:r>
        <w:rPr>
          <w:rFonts w:eastAsia="仿宋"/>
          <w:color w:val="auto"/>
        </w:rPr>
        <w:t>4评价工作等级和评价</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eastAsia="仿宋"/>
          <w:color w:val="auto"/>
        </w:rPr>
        <w:t>重点</w:t>
      </w:r>
      <w:bookmarkEnd w:id="138"/>
    </w:p>
    <w:p w14:paraId="08CA4F4B">
      <w:pPr>
        <w:pStyle w:val="6"/>
        <w:keepLines w:val="0"/>
        <w:tabs>
          <w:tab w:val="left" w:pos="709"/>
        </w:tabs>
        <w:spacing w:before="120" w:beforeLines="50" w:after="0" w:line="360" w:lineRule="auto"/>
        <w:rPr>
          <w:rFonts w:ascii="Times New Roman" w:eastAsia="仿宋"/>
          <w:sz w:val="28"/>
          <w:szCs w:val="28"/>
        </w:rPr>
      </w:pPr>
      <w:r>
        <w:rPr>
          <w:rFonts w:hint="eastAsia" w:ascii="Times New Roman" w:eastAsia="仿宋"/>
          <w:sz w:val="28"/>
          <w:szCs w:val="28"/>
        </w:rPr>
        <w:t>2</w:t>
      </w:r>
      <w:r>
        <w:rPr>
          <w:rFonts w:ascii="Times New Roman" w:eastAsia="仿宋"/>
          <w:sz w:val="28"/>
          <w:szCs w:val="28"/>
        </w:rPr>
        <w:t>.4.1评价工作等级</w:t>
      </w:r>
    </w:p>
    <w:p w14:paraId="0DC9B553">
      <w:pPr>
        <w:pStyle w:val="201"/>
        <w:ind w:firstLine="560"/>
        <w:rPr>
          <w:rFonts w:ascii="Times New Roman" w:eastAsia="仿宋"/>
          <w:sz w:val="28"/>
          <w:szCs w:val="28"/>
        </w:rPr>
      </w:pPr>
      <w:r>
        <w:rPr>
          <w:rFonts w:hint="eastAsia" w:ascii="Times New Roman" w:eastAsia="仿宋"/>
          <w:sz w:val="28"/>
          <w:szCs w:val="28"/>
        </w:rPr>
        <w:t>（1）</w:t>
      </w:r>
      <w:r>
        <w:rPr>
          <w:rFonts w:ascii="Times New Roman" w:eastAsia="仿宋"/>
          <w:sz w:val="28"/>
          <w:szCs w:val="28"/>
        </w:rPr>
        <w:t>地表水评价等级</w:t>
      </w:r>
    </w:p>
    <w:p w14:paraId="20CBC402">
      <w:pPr>
        <w:spacing w:line="500" w:lineRule="exact"/>
        <w:ind w:firstLine="560" w:firstLineChars="200"/>
        <w:rPr>
          <w:rFonts w:ascii="Times New Roman" w:eastAsia="仿宋"/>
          <w:sz w:val="28"/>
          <w:szCs w:val="28"/>
        </w:rPr>
      </w:pPr>
      <w:r>
        <w:rPr>
          <w:rFonts w:ascii="Times New Roman" w:eastAsia="仿宋"/>
          <w:kern w:val="24"/>
          <w:sz w:val="28"/>
          <w:szCs w:val="28"/>
        </w:rPr>
        <w:t>本项目排放的废水接管进</w:t>
      </w:r>
      <w:r>
        <w:rPr>
          <w:rFonts w:hint="eastAsia" w:ascii="Times New Roman" w:eastAsia="仿宋"/>
          <w:kern w:val="24"/>
          <w:sz w:val="28"/>
          <w:szCs w:val="28"/>
        </w:rPr>
        <w:t>金坛区直溪污水处理厂</w:t>
      </w:r>
      <w:r>
        <w:rPr>
          <w:rFonts w:ascii="Times New Roman" w:eastAsia="仿宋"/>
          <w:kern w:val="24"/>
          <w:sz w:val="28"/>
          <w:szCs w:val="28"/>
        </w:rPr>
        <w:t>，尾水达标排入</w:t>
      </w:r>
      <w:r>
        <w:rPr>
          <w:rFonts w:hint="eastAsia" w:ascii="Times New Roman" w:eastAsia="仿宋"/>
          <w:kern w:val="24"/>
          <w:sz w:val="28"/>
          <w:szCs w:val="28"/>
        </w:rPr>
        <w:t>通济河</w:t>
      </w:r>
      <w:r>
        <w:rPr>
          <w:rFonts w:ascii="Times New Roman" w:eastAsia="仿宋"/>
          <w:kern w:val="24"/>
          <w:sz w:val="28"/>
          <w:szCs w:val="28"/>
        </w:rPr>
        <w:t>，</w:t>
      </w:r>
      <w:r>
        <w:rPr>
          <w:rFonts w:hint="eastAsia" w:ascii="Times New Roman" w:eastAsia="仿宋"/>
          <w:kern w:val="24"/>
          <w:sz w:val="28"/>
          <w:szCs w:val="28"/>
        </w:rPr>
        <w:t>通济河</w:t>
      </w:r>
      <w:r>
        <w:rPr>
          <w:rFonts w:ascii="Times New Roman" w:eastAsia="仿宋"/>
          <w:kern w:val="24"/>
          <w:sz w:val="28"/>
          <w:szCs w:val="28"/>
        </w:rPr>
        <w:t>水质为</w:t>
      </w:r>
      <w:r>
        <w:rPr>
          <w:rFonts w:ascii="Times New Roman" w:eastAsia="仿宋_GB2312"/>
          <w:kern w:val="2"/>
          <w:sz w:val="28"/>
          <w:szCs w:val="28"/>
        </w:rPr>
        <w:fldChar w:fldCharType="begin"/>
      </w:r>
      <w:r>
        <w:rPr>
          <w:rFonts w:ascii="Times New Roman" w:eastAsia="仿宋_GB2312"/>
          <w:kern w:val="2"/>
          <w:sz w:val="28"/>
          <w:szCs w:val="28"/>
        </w:rPr>
        <w:instrText xml:space="preserve"> = 3 \* ROMAN </w:instrText>
      </w:r>
      <w:r>
        <w:rPr>
          <w:rFonts w:ascii="Times New Roman" w:eastAsia="仿宋_GB2312"/>
          <w:kern w:val="2"/>
          <w:sz w:val="28"/>
          <w:szCs w:val="28"/>
        </w:rPr>
        <w:fldChar w:fldCharType="separate"/>
      </w:r>
      <w:r>
        <w:rPr>
          <w:rFonts w:hint="eastAsia" w:ascii="Times New Roman" w:eastAsia="仿宋_GB2312"/>
          <w:kern w:val="2"/>
          <w:sz w:val="28"/>
          <w:szCs w:val="28"/>
        </w:rPr>
        <w:t>Ⅳ</w:t>
      </w:r>
      <w:r>
        <w:rPr>
          <w:rFonts w:ascii="Times New Roman" w:eastAsia="仿宋_GB2312"/>
          <w:kern w:val="2"/>
          <w:sz w:val="28"/>
          <w:szCs w:val="28"/>
        </w:rPr>
        <w:fldChar w:fldCharType="end"/>
      </w:r>
      <w:r>
        <w:rPr>
          <w:rFonts w:hint="eastAsia" w:ascii="Times New Roman" w:eastAsia="仿宋_GB2312"/>
          <w:kern w:val="2"/>
          <w:sz w:val="28"/>
          <w:szCs w:val="28"/>
          <w:lang w:bidi="ar"/>
        </w:rPr>
        <w:t>类</w:t>
      </w:r>
      <w:r>
        <w:rPr>
          <w:rFonts w:ascii="Times New Roman" w:eastAsia="仿宋"/>
          <w:kern w:val="24"/>
          <w:sz w:val="28"/>
          <w:szCs w:val="28"/>
        </w:rPr>
        <w:t>水质，</w:t>
      </w:r>
      <w:r>
        <w:rPr>
          <w:rFonts w:ascii="Times New Roman" w:eastAsia="仿宋"/>
          <w:sz w:val="28"/>
          <w:szCs w:val="28"/>
        </w:rPr>
        <w:t>根据《</w:t>
      </w:r>
      <w:r>
        <w:rPr>
          <w:rFonts w:ascii="Times New Roman" w:eastAsia="仿宋"/>
          <w:bCs/>
          <w:sz w:val="28"/>
          <w:szCs w:val="28"/>
          <w:lang w:val="en"/>
        </w:rPr>
        <w:t>环境影响评价技术导则 地表水环境</w:t>
      </w:r>
      <w:r>
        <w:rPr>
          <w:rFonts w:ascii="Times New Roman" w:eastAsia="仿宋"/>
          <w:sz w:val="28"/>
          <w:szCs w:val="28"/>
        </w:rPr>
        <w:t>》（HJ2.3-2018）相关规定，本项目评价工作等级参照三级B进行。</w:t>
      </w:r>
    </w:p>
    <w:p w14:paraId="15202467">
      <w:pPr>
        <w:pStyle w:val="201"/>
        <w:ind w:firstLine="560"/>
        <w:rPr>
          <w:rFonts w:ascii="Times New Roman" w:eastAsia="仿宋"/>
          <w:sz w:val="28"/>
          <w:szCs w:val="28"/>
        </w:rPr>
      </w:pPr>
      <w:r>
        <w:rPr>
          <w:rFonts w:hint="eastAsia" w:ascii="Times New Roman" w:eastAsia="仿宋"/>
          <w:sz w:val="28"/>
          <w:szCs w:val="28"/>
        </w:rPr>
        <w:t>（2）</w:t>
      </w:r>
      <w:r>
        <w:rPr>
          <w:rFonts w:ascii="Times New Roman" w:eastAsia="仿宋"/>
          <w:sz w:val="28"/>
          <w:szCs w:val="28"/>
        </w:rPr>
        <w:t>大气评价等级</w:t>
      </w:r>
    </w:p>
    <w:p w14:paraId="3FBAB045">
      <w:pPr>
        <w:spacing w:line="500" w:lineRule="exact"/>
        <w:ind w:firstLine="480" w:firstLineChars="200"/>
        <w:rPr>
          <w:rFonts w:ascii="Times New Roman" w:eastAsia="仿宋"/>
          <w:sz w:val="28"/>
          <w:szCs w:val="28"/>
        </w:rPr>
      </w:pPr>
      <w:r>
        <w:rPr>
          <w:rFonts w:ascii="Times New Roman" w:eastAsia="仿宋"/>
        </w:rPr>
        <w:drawing>
          <wp:anchor distT="0" distB="0" distL="114300" distR="114300" simplePos="0" relativeHeight="251659264" behindDoc="0" locked="0" layoutInCell="1" allowOverlap="1">
            <wp:simplePos x="0" y="0"/>
            <wp:positionH relativeFrom="column">
              <wp:posOffset>2058670</wp:posOffset>
            </wp:positionH>
            <wp:positionV relativeFrom="paragraph">
              <wp:posOffset>1290320</wp:posOffset>
            </wp:positionV>
            <wp:extent cx="1504950" cy="561975"/>
            <wp:effectExtent l="0" t="0" r="0" b="0"/>
            <wp:wrapTopAndBottom/>
            <wp:docPr id="57" name="图片 148" descr="说明: C:\Users\Administrator\AppData\Roaming\Tencent\Users\396434842\QQ\WinTemp\RichOle\IMRN@U(@UQ%5T6FA8BTZ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8" descr="说明: C:\Users\Administrator\AppData\Roaming\Tencent\Users\396434842\QQ\WinTemp\RichOle\IMRN@U(@UQ%5T6FA8BTZAI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04950" cy="561975"/>
                    </a:xfrm>
                    <a:prstGeom prst="rect">
                      <a:avLst/>
                    </a:prstGeom>
                    <a:noFill/>
                    <a:ln>
                      <a:noFill/>
                    </a:ln>
                  </pic:spPr>
                </pic:pic>
              </a:graphicData>
            </a:graphic>
          </wp:anchor>
        </w:drawing>
      </w:r>
      <w:r>
        <w:rPr>
          <w:rFonts w:ascii="Times New Roman" w:eastAsia="仿宋"/>
          <w:sz w:val="28"/>
          <w:szCs w:val="28"/>
        </w:rPr>
        <w:t>本项目废气主要为生产工艺废气，主要污染物为</w:t>
      </w:r>
      <w:r>
        <w:rPr>
          <w:rFonts w:hint="eastAsia" w:ascii="Times New Roman" w:eastAsia="仿宋"/>
          <w:sz w:val="28"/>
          <w:szCs w:val="28"/>
        </w:rPr>
        <w:t>颗粒物</w:t>
      </w:r>
      <w:r>
        <w:rPr>
          <w:rFonts w:ascii="Times New Roman" w:eastAsia="仿宋"/>
          <w:sz w:val="28"/>
          <w:szCs w:val="28"/>
        </w:rPr>
        <w:t>、非甲烷总烃</w:t>
      </w:r>
      <w:r>
        <w:rPr>
          <w:rFonts w:hint="eastAsia" w:ascii="Times New Roman" w:eastAsia="仿宋"/>
          <w:sz w:val="28"/>
          <w:szCs w:val="28"/>
        </w:rPr>
        <w:t>、二甲苯</w:t>
      </w:r>
      <w:r>
        <w:rPr>
          <w:rFonts w:ascii="Times New Roman" w:eastAsia="仿宋"/>
          <w:sz w:val="28"/>
          <w:szCs w:val="28"/>
        </w:rPr>
        <w:t>等污染物，分别计算每种污染物的最大地面浓度占标率P</w:t>
      </w:r>
      <w:r>
        <w:rPr>
          <w:rFonts w:ascii="Times New Roman" w:eastAsia="仿宋"/>
          <w:sz w:val="28"/>
          <w:szCs w:val="28"/>
          <w:vertAlign w:val="subscript"/>
        </w:rPr>
        <w:t>i</w:t>
      </w:r>
      <w:r>
        <w:rPr>
          <w:rFonts w:ascii="Times New Roman" w:eastAsia="仿宋"/>
          <w:sz w:val="28"/>
          <w:szCs w:val="28"/>
        </w:rPr>
        <w:t>（第i种污染物），及第i个污染物的地面浓度达标准限值10%时所对应的最远距离D</w:t>
      </w:r>
      <w:r>
        <w:rPr>
          <w:rFonts w:ascii="Times New Roman" w:eastAsia="仿宋"/>
          <w:sz w:val="28"/>
          <w:szCs w:val="28"/>
          <w:vertAlign w:val="subscript"/>
        </w:rPr>
        <w:t>10%</w:t>
      </w:r>
      <w:r>
        <w:rPr>
          <w:rFonts w:ascii="Times New Roman" w:eastAsia="仿宋"/>
          <w:sz w:val="28"/>
          <w:szCs w:val="28"/>
        </w:rPr>
        <w:t>，其中P</w:t>
      </w:r>
      <w:r>
        <w:rPr>
          <w:rFonts w:ascii="Times New Roman" w:eastAsia="仿宋"/>
          <w:sz w:val="28"/>
          <w:szCs w:val="28"/>
          <w:vertAlign w:val="subscript"/>
        </w:rPr>
        <w:t>i</w:t>
      </w:r>
      <w:r>
        <w:rPr>
          <w:rFonts w:ascii="Times New Roman" w:eastAsia="仿宋"/>
          <w:sz w:val="28"/>
          <w:szCs w:val="28"/>
        </w:rPr>
        <w:t>定义为：</w:t>
      </w:r>
    </w:p>
    <w:p w14:paraId="62A6CD60">
      <w:pPr>
        <w:spacing w:line="500" w:lineRule="exact"/>
        <w:ind w:firstLine="560" w:firstLineChars="200"/>
        <w:rPr>
          <w:rFonts w:ascii="Times New Roman" w:eastAsia="仿宋"/>
          <w:sz w:val="28"/>
          <w:szCs w:val="28"/>
        </w:rPr>
      </w:pPr>
      <w:r>
        <w:rPr>
          <w:rFonts w:ascii="Times New Roman" w:eastAsia="仿宋"/>
          <w:sz w:val="28"/>
          <w:szCs w:val="28"/>
        </w:rPr>
        <w:t>式中：</w:t>
      </w:r>
    </w:p>
    <w:p w14:paraId="02E2B7A5">
      <w:pPr>
        <w:spacing w:line="500" w:lineRule="exact"/>
        <w:ind w:firstLine="560" w:firstLineChars="200"/>
        <w:rPr>
          <w:rFonts w:ascii="Times New Roman" w:eastAsia="仿宋"/>
          <w:sz w:val="28"/>
          <w:szCs w:val="28"/>
        </w:rPr>
      </w:pPr>
      <w:r>
        <w:rPr>
          <w:rFonts w:ascii="Times New Roman" w:eastAsia="仿宋"/>
          <w:sz w:val="28"/>
          <w:szCs w:val="28"/>
        </w:rPr>
        <w:t>P</w:t>
      </w:r>
      <w:r>
        <w:rPr>
          <w:rFonts w:ascii="Times New Roman" w:eastAsia="仿宋"/>
          <w:sz w:val="28"/>
          <w:szCs w:val="28"/>
          <w:vertAlign w:val="subscript"/>
        </w:rPr>
        <w:t>i</w:t>
      </w:r>
      <w:r>
        <w:rPr>
          <w:rFonts w:ascii="Times New Roman" w:eastAsia="仿宋"/>
          <w:sz w:val="28"/>
          <w:szCs w:val="28"/>
        </w:rPr>
        <w:t>—第i个污染物的最大地面空气质量浓度占标率，%；</w:t>
      </w:r>
    </w:p>
    <w:p w14:paraId="78C1A11B">
      <w:pPr>
        <w:spacing w:line="500" w:lineRule="exact"/>
        <w:ind w:firstLine="560" w:firstLineChars="200"/>
        <w:rPr>
          <w:rFonts w:ascii="Times New Roman" w:eastAsia="仿宋"/>
          <w:sz w:val="28"/>
          <w:szCs w:val="28"/>
        </w:rPr>
      </w:pPr>
      <w:r>
        <w:rPr>
          <w:rFonts w:ascii="Times New Roman" w:eastAsia="仿宋"/>
          <w:sz w:val="28"/>
          <w:szCs w:val="28"/>
        </w:rPr>
        <w:t>ρ</w:t>
      </w:r>
      <w:r>
        <w:rPr>
          <w:rFonts w:ascii="Times New Roman" w:eastAsia="仿宋"/>
          <w:sz w:val="28"/>
          <w:szCs w:val="28"/>
          <w:vertAlign w:val="subscript"/>
        </w:rPr>
        <w:t>i</w:t>
      </w:r>
      <w:r>
        <w:rPr>
          <w:rFonts w:ascii="Times New Roman" w:eastAsia="仿宋"/>
          <w:sz w:val="28"/>
          <w:szCs w:val="28"/>
        </w:rPr>
        <w:t>—采用估算模式计算出的第i个污染物的最大1h地面空气质量浓度，μg/m</w:t>
      </w:r>
      <w:r>
        <w:rPr>
          <w:rFonts w:ascii="Times New Roman" w:eastAsia="仿宋"/>
          <w:sz w:val="28"/>
          <w:szCs w:val="28"/>
          <w:vertAlign w:val="superscript"/>
        </w:rPr>
        <w:t>3</w:t>
      </w:r>
      <w:r>
        <w:rPr>
          <w:rFonts w:ascii="Times New Roman" w:eastAsia="仿宋"/>
          <w:sz w:val="28"/>
          <w:szCs w:val="28"/>
        </w:rPr>
        <w:t>；</w:t>
      </w:r>
    </w:p>
    <w:p w14:paraId="166A4C1C">
      <w:pPr>
        <w:spacing w:line="500" w:lineRule="exact"/>
        <w:ind w:firstLine="560" w:firstLineChars="200"/>
        <w:rPr>
          <w:rFonts w:ascii="Times New Roman" w:eastAsia="仿宋"/>
          <w:sz w:val="28"/>
          <w:szCs w:val="28"/>
        </w:rPr>
      </w:pPr>
      <w:r>
        <w:rPr>
          <w:rFonts w:ascii="Times New Roman" w:eastAsia="仿宋"/>
          <w:sz w:val="28"/>
          <w:szCs w:val="28"/>
        </w:rPr>
        <w:t>ρ</w:t>
      </w:r>
      <w:r>
        <w:rPr>
          <w:rFonts w:ascii="Times New Roman" w:eastAsia="仿宋"/>
          <w:sz w:val="28"/>
          <w:szCs w:val="28"/>
          <w:vertAlign w:val="subscript"/>
        </w:rPr>
        <w:t>oi</w:t>
      </w:r>
      <w:r>
        <w:rPr>
          <w:rFonts w:ascii="Times New Roman" w:eastAsia="仿宋"/>
          <w:sz w:val="28"/>
          <w:szCs w:val="28"/>
        </w:rPr>
        <w:t>—第i个污染物的环境空气质量标准，μg/m</w:t>
      </w:r>
      <w:r>
        <w:rPr>
          <w:rFonts w:ascii="Times New Roman" w:eastAsia="仿宋"/>
          <w:sz w:val="28"/>
          <w:szCs w:val="28"/>
          <w:vertAlign w:val="superscript"/>
        </w:rPr>
        <w:t>3</w:t>
      </w:r>
      <w:r>
        <w:rPr>
          <w:rFonts w:ascii="Times New Roman" w:eastAsia="仿宋"/>
          <w:sz w:val="28"/>
          <w:szCs w:val="28"/>
        </w:rPr>
        <w:t>；</w:t>
      </w:r>
    </w:p>
    <w:p w14:paraId="328B3143">
      <w:pPr>
        <w:spacing w:line="500" w:lineRule="exact"/>
        <w:ind w:firstLine="560" w:firstLineChars="200"/>
        <w:rPr>
          <w:rFonts w:ascii="Times New Roman" w:eastAsia="仿宋"/>
          <w:sz w:val="28"/>
          <w:szCs w:val="28"/>
        </w:rPr>
      </w:pPr>
      <w:r>
        <w:rPr>
          <w:rFonts w:ascii="Times New Roman" w:eastAsia="仿宋"/>
          <w:sz w:val="28"/>
          <w:szCs w:val="28"/>
        </w:rPr>
        <w:t>评价工作等级按表2.4-1的分级判据进行划分。最大地面浓度占标率按上式进行计算，如果污染物数i大于1，取P值中最大者（P</w:t>
      </w:r>
      <w:r>
        <w:rPr>
          <w:rFonts w:ascii="Times New Roman" w:eastAsia="仿宋"/>
          <w:sz w:val="28"/>
          <w:szCs w:val="28"/>
          <w:vertAlign w:val="subscript"/>
        </w:rPr>
        <w:t>max</w:t>
      </w:r>
      <w:r>
        <w:rPr>
          <w:rFonts w:ascii="Times New Roman" w:eastAsia="仿宋"/>
          <w:sz w:val="28"/>
          <w:szCs w:val="28"/>
        </w:rPr>
        <w:t>），和其对应的D</w:t>
      </w:r>
      <w:r>
        <w:rPr>
          <w:rFonts w:ascii="Times New Roman" w:eastAsia="仿宋"/>
          <w:sz w:val="28"/>
          <w:szCs w:val="28"/>
          <w:vertAlign w:val="subscript"/>
        </w:rPr>
        <w:t>10%</w:t>
      </w:r>
      <w:r>
        <w:rPr>
          <w:rFonts w:ascii="Times New Roman" w:eastAsia="仿宋"/>
          <w:sz w:val="28"/>
          <w:szCs w:val="28"/>
        </w:rPr>
        <w:t>。</w:t>
      </w:r>
    </w:p>
    <w:p w14:paraId="601AFCC3">
      <w:pPr>
        <w:spacing w:line="500" w:lineRule="exact"/>
        <w:jc w:val="center"/>
        <w:rPr>
          <w:rFonts w:ascii="Times New Roman" w:eastAsia="仿宋"/>
          <w:b/>
        </w:rPr>
      </w:pPr>
      <w:r>
        <w:rPr>
          <w:rFonts w:ascii="Times New Roman" w:eastAsia="仿宋"/>
          <w:b/>
        </w:rPr>
        <w:t>表2.4-1  评价工作等级</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5809"/>
      </w:tblGrid>
      <w:tr w14:paraId="0A73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10" w:type="pct"/>
            <w:vAlign w:val="center"/>
          </w:tcPr>
          <w:p w14:paraId="600B81CF">
            <w:pPr>
              <w:spacing w:line="400" w:lineRule="exact"/>
              <w:jc w:val="center"/>
              <w:rPr>
                <w:rFonts w:ascii="Times New Roman" w:eastAsia="仿宋"/>
                <w:szCs w:val="21"/>
              </w:rPr>
            </w:pPr>
            <w:r>
              <w:rPr>
                <w:rFonts w:ascii="Times New Roman" w:eastAsia="仿宋"/>
                <w:szCs w:val="21"/>
              </w:rPr>
              <w:t>评价工作等级</w:t>
            </w:r>
          </w:p>
        </w:tc>
        <w:tc>
          <w:tcPr>
            <w:tcW w:w="3290" w:type="pct"/>
            <w:vAlign w:val="center"/>
          </w:tcPr>
          <w:p w14:paraId="18675094">
            <w:pPr>
              <w:spacing w:line="400" w:lineRule="exact"/>
              <w:jc w:val="center"/>
              <w:rPr>
                <w:rFonts w:ascii="Times New Roman" w:eastAsia="仿宋"/>
                <w:szCs w:val="21"/>
              </w:rPr>
            </w:pPr>
            <w:r>
              <w:rPr>
                <w:rFonts w:ascii="Times New Roman" w:eastAsia="仿宋"/>
                <w:szCs w:val="21"/>
              </w:rPr>
              <w:t>评价工作分级判据</w:t>
            </w:r>
          </w:p>
        </w:tc>
      </w:tr>
      <w:tr w14:paraId="5094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vAlign w:val="center"/>
          </w:tcPr>
          <w:p w14:paraId="4552D192">
            <w:pPr>
              <w:spacing w:line="400" w:lineRule="exact"/>
              <w:jc w:val="center"/>
              <w:rPr>
                <w:rFonts w:ascii="Times New Roman" w:eastAsia="仿宋"/>
                <w:szCs w:val="21"/>
              </w:rPr>
            </w:pPr>
            <w:r>
              <w:rPr>
                <w:rFonts w:ascii="Times New Roman" w:eastAsia="仿宋"/>
                <w:szCs w:val="21"/>
              </w:rPr>
              <w:t>一级</w:t>
            </w:r>
          </w:p>
        </w:tc>
        <w:tc>
          <w:tcPr>
            <w:tcW w:w="3290" w:type="pct"/>
            <w:tcBorders>
              <w:bottom w:val="single" w:color="auto" w:sz="4" w:space="0"/>
            </w:tcBorders>
            <w:vAlign w:val="center"/>
          </w:tcPr>
          <w:p w14:paraId="43219A88">
            <w:pPr>
              <w:spacing w:line="400" w:lineRule="exact"/>
              <w:jc w:val="center"/>
              <w:rPr>
                <w:rFonts w:ascii="Times New Roman" w:eastAsia="仿宋"/>
                <w:szCs w:val="21"/>
              </w:rPr>
            </w:pPr>
            <w:r>
              <w:rPr>
                <w:rFonts w:ascii="Times New Roman" w:eastAsia="仿宋"/>
                <w:szCs w:val="21"/>
              </w:rPr>
              <w:t>P</w:t>
            </w:r>
            <w:r>
              <w:rPr>
                <w:rFonts w:ascii="Times New Roman" w:eastAsia="仿宋"/>
                <w:szCs w:val="21"/>
                <w:vertAlign w:val="subscript"/>
              </w:rPr>
              <w:t>max</w:t>
            </w:r>
            <w:r>
              <w:rPr>
                <w:rFonts w:ascii="Times New Roman" w:eastAsia="仿宋"/>
                <w:szCs w:val="21"/>
              </w:rPr>
              <w:t>≥10%</w:t>
            </w:r>
          </w:p>
        </w:tc>
      </w:tr>
      <w:tr w14:paraId="2ADB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shd w:val="clear" w:color="auto" w:fill="auto"/>
            <w:vAlign w:val="center"/>
          </w:tcPr>
          <w:p w14:paraId="055CE6C2">
            <w:pPr>
              <w:spacing w:line="400" w:lineRule="exact"/>
              <w:jc w:val="center"/>
              <w:rPr>
                <w:rFonts w:ascii="Times New Roman" w:eastAsia="仿宋"/>
                <w:szCs w:val="21"/>
              </w:rPr>
            </w:pPr>
            <w:r>
              <w:rPr>
                <w:rFonts w:ascii="Times New Roman" w:eastAsia="仿宋"/>
                <w:szCs w:val="21"/>
              </w:rPr>
              <w:t>二级</w:t>
            </w:r>
          </w:p>
        </w:tc>
        <w:tc>
          <w:tcPr>
            <w:tcW w:w="3290" w:type="pct"/>
            <w:shd w:val="clear" w:color="auto" w:fill="D9D9D9"/>
            <w:vAlign w:val="center"/>
          </w:tcPr>
          <w:p w14:paraId="18668693">
            <w:pPr>
              <w:spacing w:line="400" w:lineRule="exact"/>
              <w:jc w:val="center"/>
              <w:rPr>
                <w:rFonts w:ascii="Times New Roman" w:eastAsia="仿宋"/>
                <w:szCs w:val="21"/>
              </w:rPr>
            </w:pPr>
            <w:r>
              <w:rPr>
                <w:rFonts w:ascii="Times New Roman" w:eastAsia="仿宋"/>
                <w:szCs w:val="21"/>
              </w:rPr>
              <w:t>1%≤P</w:t>
            </w:r>
            <w:r>
              <w:rPr>
                <w:rFonts w:ascii="Times New Roman" w:eastAsia="仿宋"/>
                <w:szCs w:val="21"/>
                <w:vertAlign w:val="subscript"/>
              </w:rPr>
              <w:t>max</w:t>
            </w:r>
            <w:r>
              <w:rPr>
                <w:rFonts w:ascii="Times New Roman" w:eastAsia="仿宋"/>
                <w:szCs w:val="21"/>
              </w:rPr>
              <w:t>≤10%</w:t>
            </w:r>
          </w:p>
        </w:tc>
      </w:tr>
      <w:tr w14:paraId="00AD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10" w:type="pct"/>
            <w:vAlign w:val="center"/>
          </w:tcPr>
          <w:p w14:paraId="5946FF45">
            <w:pPr>
              <w:spacing w:line="400" w:lineRule="exact"/>
              <w:jc w:val="center"/>
              <w:rPr>
                <w:rFonts w:ascii="Times New Roman" w:eastAsia="仿宋"/>
                <w:szCs w:val="21"/>
              </w:rPr>
            </w:pPr>
            <w:r>
              <w:rPr>
                <w:rFonts w:ascii="Times New Roman" w:eastAsia="仿宋"/>
                <w:szCs w:val="21"/>
              </w:rPr>
              <w:t>三级</w:t>
            </w:r>
          </w:p>
        </w:tc>
        <w:tc>
          <w:tcPr>
            <w:tcW w:w="3290" w:type="pct"/>
            <w:vAlign w:val="center"/>
          </w:tcPr>
          <w:p w14:paraId="2D03F1D8">
            <w:pPr>
              <w:spacing w:line="400" w:lineRule="exact"/>
              <w:jc w:val="center"/>
              <w:rPr>
                <w:rFonts w:ascii="Times New Roman" w:eastAsia="仿宋"/>
                <w:szCs w:val="21"/>
              </w:rPr>
            </w:pPr>
            <w:r>
              <w:rPr>
                <w:rFonts w:ascii="Times New Roman" w:eastAsia="仿宋"/>
                <w:szCs w:val="21"/>
              </w:rPr>
              <w:t>P</w:t>
            </w:r>
            <w:r>
              <w:rPr>
                <w:rFonts w:ascii="Times New Roman" w:eastAsia="仿宋"/>
                <w:szCs w:val="21"/>
                <w:vertAlign w:val="subscript"/>
              </w:rPr>
              <w:t>max</w:t>
            </w:r>
            <w:r>
              <w:rPr>
                <w:rFonts w:ascii="Times New Roman" w:eastAsia="仿宋"/>
                <w:szCs w:val="21"/>
              </w:rPr>
              <w:t>≤1%</w:t>
            </w:r>
          </w:p>
        </w:tc>
      </w:tr>
    </w:tbl>
    <w:p w14:paraId="47AE4102">
      <w:pPr>
        <w:pStyle w:val="201"/>
        <w:ind w:firstLine="560"/>
        <w:rPr>
          <w:rFonts w:ascii="Times New Roman" w:eastAsia="仿宋"/>
          <w:sz w:val="28"/>
          <w:szCs w:val="28"/>
        </w:rPr>
      </w:pPr>
      <w:r>
        <w:rPr>
          <w:rFonts w:ascii="Times New Roman" w:eastAsia="仿宋"/>
          <w:sz w:val="28"/>
          <w:szCs w:val="28"/>
        </w:rPr>
        <w:t>本项目大气污染物最大占标率计算结果见表2.4-2。</w:t>
      </w:r>
    </w:p>
    <w:p w14:paraId="793BDE10">
      <w:pPr>
        <w:spacing w:line="500" w:lineRule="exact"/>
        <w:jc w:val="center"/>
        <w:rPr>
          <w:rFonts w:ascii="Times New Roman" w:eastAsia="仿宋"/>
          <w:b/>
        </w:rPr>
      </w:pPr>
      <w:r>
        <w:rPr>
          <w:rFonts w:ascii="Times New Roman" w:eastAsia="仿宋"/>
          <w:b/>
        </w:rPr>
        <w:t>表2.4-2  大气污染物最大占标率计算表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658"/>
        <w:gridCol w:w="1455"/>
        <w:gridCol w:w="1601"/>
        <w:gridCol w:w="1600"/>
        <w:gridCol w:w="1557"/>
      </w:tblGrid>
      <w:tr w14:paraId="3A71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42" w:type="pct"/>
            <w:tcBorders>
              <w:top w:val="single" w:color="auto" w:sz="4" w:space="0"/>
              <w:left w:val="single" w:color="auto" w:sz="4" w:space="0"/>
              <w:bottom w:val="single" w:color="auto" w:sz="4" w:space="0"/>
              <w:right w:val="single" w:color="auto" w:sz="4" w:space="0"/>
            </w:tcBorders>
            <w:vAlign w:val="center"/>
          </w:tcPr>
          <w:p w14:paraId="27B81547">
            <w:pPr>
              <w:jc w:val="center"/>
              <w:rPr>
                <w:rFonts w:ascii="Times New Roman" w:eastAsia="仿宋"/>
                <w:szCs w:val="21"/>
              </w:rPr>
            </w:pPr>
            <w:r>
              <w:rPr>
                <w:rFonts w:hint="eastAsia" w:ascii="Times New Roman" w:eastAsia="仿宋"/>
                <w:szCs w:val="21"/>
              </w:rPr>
              <w:t>废气</w:t>
            </w:r>
          </w:p>
        </w:tc>
        <w:tc>
          <w:tcPr>
            <w:tcW w:w="939" w:type="pct"/>
            <w:tcBorders>
              <w:top w:val="single" w:color="auto" w:sz="4" w:space="0"/>
              <w:left w:val="single" w:color="auto" w:sz="4" w:space="0"/>
              <w:bottom w:val="single" w:color="auto" w:sz="4" w:space="0"/>
              <w:right w:val="single" w:color="auto" w:sz="4" w:space="0"/>
            </w:tcBorders>
            <w:vAlign w:val="center"/>
          </w:tcPr>
          <w:p w14:paraId="08F817EE">
            <w:pPr>
              <w:jc w:val="center"/>
              <w:rPr>
                <w:rFonts w:ascii="Times New Roman" w:eastAsia="仿宋"/>
                <w:szCs w:val="21"/>
              </w:rPr>
            </w:pPr>
            <w:r>
              <w:rPr>
                <w:rFonts w:hint="eastAsia" w:ascii="Times New Roman" w:eastAsia="仿宋"/>
                <w:szCs w:val="21"/>
              </w:rPr>
              <w:t>排气筒</w:t>
            </w:r>
          </w:p>
        </w:tc>
        <w:tc>
          <w:tcPr>
            <w:tcW w:w="824" w:type="pct"/>
            <w:tcBorders>
              <w:top w:val="single" w:color="auto" w:sz="4" w:space="0"/>
              <w:left w:val="single" w:color="auto" w:sz="4" w:space="0"/>
              <w:bottom w:val="single" w:color="auto" w:sz="4" w:space="0"/>
              <w:right w:val="single" w:color="auto" w:sz="4" w:space="0"/>
            </w:tcBorders>
            <w:vAlign w:val="center"/>
          </w:tcPr>
          <w:p w14:paraId="576BA267">
            <w:pPr>
              <w:jc w:val="center"/>
              <w:rPr>
                <w:rFonts w:ascii="Times New Roman" w:eastAsia="仿宋"/>
                <w:szCs w:val="21"/>
              </w:rPr>
            </w:pPr>
            <w:r>
              <w:rPr>
                <w:rFonts w:hint="eastAsia" w:ascii="Times New Roman" w:eastAsia="仿宋"/>
                <w:szCs w:val="21"/>
              </w:rPr>
              <w:t>污染物名称</w:t>
            </w:r>
          </w:p>
        </w:tc>
        <w:tc>
          <w:tcPr>
            <w:tcW w:w="907" w:type="pct"/>
            <w:tcBorders>
              <w:top w:val="single" w:color="auto" w:sz="4" w:space="0"/>
              <w:left w:val="single" w:color="auto" w:sz="4" w:space="0"/>
              <w:bottom w:val="single" w:color="auto" w:sz="4" w:space="0"/>
              <w:right w:val="single" w:color="auto" w:sz="4" w:space="0"/>
            </w:tcBorders>
            <w:vAlign w:val="center"/>
          </w:tcPr>
          <w:p w14:paraId="7DB2A9C0">
            <w:pPr>
              <w:jc w:val="center"/>
              <w:rPr>
                <w:rFonts w:ascii="Times New Roman" w:eastAsia="仿宋"/>
                <w:szCs w:val="21"/>
              </w:rPr>
            </w:pPr>
            <w:r>
              <w:rPr>
                <w:rFonts w:hint="eastAsia" w:ascii="Times New Roman" w:eastAsia="仿宋"/>
                <w:szCs w:val="21"/>
              </w:rPr>
              <w:t>评价标准</w:t>
            </w:r>
            <w:r>
              <w:rPr>
                <w:rFonts w:ascii="Times New Roman" w:eastAsia="仿宋"/>
                <w:szCs w:val="21"/>
              </w:rPr>
              <w:t>(μg/m</w:t>
            </w:r>
            <w:r>
              <w:rPr>
                <w:rFonts w:ascii="Times New Roman" w:eastAsia="仿宋"/>
                <w:szCs w:val="21"/>
                <w:vertAlign w:val="superscript"/>
              </w:rPr>
              <w:t>3</w:t>
            </w:r>
            <w:r>
              <w:rPr>
                <w:rFonts w:ascii="Times New Roman" w:eastAsia="仿宋"/>
                <w:szCs w:val="21"/>
              </w:rPr>
              <w:t>)</w:t>
            </w:r>
          </w:p>
        </w:tc>
        <w:tc>
          <w:tcPr>
            <w:tcW w:w="906" w:type="pct"/>
            <w:tcBorders>
              <w:top w:val="single" w:color="auto" w:sz="4" w:space="0"/>
              <w:left w:val="single" w:color="auto" w:sz="4" w:space="0"/>
              <w:bottom w:val="single" w:color="auto" w:sz="4" w:space="0"/>
              <w:right w:val="single" w:color="auto" w:sz="4" w:space="0"/>
            </w:tcBorders>
            <w:vAlign w:val="center"/>
          </w:tcPr>
          <w:p w14:paraId="070B3D97">
            <w:pPr>
              <w:jc w:val="center"/>
              <w:rPr>
                <w:rFonts w:ascii="Times New Roman" w:eastAsia="仿宋"/>
                <w:szCs w:val="21"/>
              </w:rPr>
            </w:pPr>
            <w:r>
              <w:rPr>
                <w:rFonts w:ascii="Times New Roman" w:eastAsia="仿宋"/>
                <w:szCs w:val="21"/>
              </w:rPr>
              <w:t>Cmax(μg /m</w:t>
            </w:r>
            <w:r>
              <w:rPr>
                <w:rFonts w:ascii="Times New Roman" w:eastAsia="仿宋"/>
                <w:szCs w:val="21"/>
                <w:vertAlign w:val="superscript"/>
              </w:rPr>
              <w:t>3</w:t>
            </w:r>
            <w:r>
              <w:rPr>
                <w:rFonts w:ascii="Times New Roman" w:eastAsia="仿宋"/>
                <w:szCs w:val="21"/>
              </w:rPr>
              <w:t>)</w:t>
            </w:r>
          </w:p>
        </w:tc>
        <w:tc>
          <w:tcPr>
            <w:tcW w:w="882" w:type="pct"/>
            <w:tcBorders>
              <w:top w:val="single" w:color="auto" w:sz="4" w:space="0"/>
              <w:left w:val="single" w:color="auto" w:sz="4" w:space="0"/>
              <w:bottom w:val="single" w:color="auto" w:sz="4" w:space="0"/>
              <w:right w:val="single" w:color="auto" w:sz="4" w:space="0"/>
            </w:tcBorders>
            <w:vAlign w:val="center"/>
          </w:tcPr>
          <w:p w14:paraId="2E2F510E">
            <w:pPr>
              <w:jc w:val="center"/>
              <w:rPr>
                <w:rFonts w:ascii="Times New Roman" w:eastAsia="仿宋"/>
                <w:szCs w:val="21"/>
              </w:rPr>
            </w:pPr>
            <w:r>
              <w:rPr>
                <w:rFonts w:ascii="Times New Roman" w:eastAsia="仿宋"/>
                <w:szCs w:val="21"/>
              </w:rPr>
              <w:t>Pmax</w:t>
            </w:r>
            <w:r>
              <w:rPr>
                <w:rFonts w:hint="eastAsia" w:ascii="Times New Roman" w:eastAsia="仿宋"/>
                <w:szCs w:val="21"/>
              </w:rPr>
              <w:t>（</w:t>
            </w:r>
            <w:r>
              <w:rPr>
                <w:rFonts w:ascii="Times New Roman" w:eastAsia="仿宋"/>
                <w:szCs w:val="21"/>
              </w:rPr>
              <w:t>%</w:t>
            </w:r>
            <w:r>
              <w:rPr>
                <w:rFonts w:hint="eastAsia" w:ascii="Times New Roman" w:eastAsia="仿宋"/>
                <w:szCs w:val="21"/>
              </w:rPr>
              <w:t>）</w:t>
            </w:r>
          </w:p>
        </w:tc>
      </w:tr>
      <w:tr w14:paraId="1BD8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42" w:type="pct"/>
            <w:vMerge w:val="restart"/>
            <w:tcBorders>
              <w:top w:val="single" w:color="auto" w:sz="4" w:space="0"/>
              <w:left w:val="single" w:color="auto" w:sz="4" w:space="0"/>
              <w:right w:val="single" w:color="auto" w:sz="4" w:space="0"/>
            </w:tcBorders>
            <w:vAlign w:val="center"/>
          </w:tcPr>
          <w:p w14:paraId="598E7282">
            <w:pPr>
              <w:jc w:val="center"/>
              <w:rPr>
                <w:rFonts w:ascii="Times New Roman" w:eastAsia="仿宋"/>
                <w:szCs w:val="21"/>
              </w:rPr>
            </w:pPr>
            <w:r>
              <w:rPr>
                <w:rFonts w:hint="eastAsia" w:ascii="Times New Roman" w:eastAsia="仿宋"/>
                <w:szCs w:val="21"/>
              </w:rPr>
              <w:t>有组织废气</w:t>
            </w:r>
          </w:p>
        </w:tc>
        <w:tc>
          <w:tcPr>
            <w:tcW w:w="939" w:type="pct"/>
            <w:tcBorders>
              <w:top w:val="single" w:color="auto" w:sz="4" w:space="0"/>
              <w:left w:val="single" w:color="auto" w:sz="4" w:space="0"/>
              <w:right w:val="single" w:color="auto" w:sz="4" w:space="0"/>
            </w:tcBorders>
            <w:vAlign w:val="center"/>
          </w:tcPr>
          <w:p w14:paraId="2BAA5133">
            <w:pPr>
              <w:jc w:val="center"/>
              <w:rPr>
                <w:rFonts w:ascii="Times New Roman" w:eastAsia="仿宋"/>
                <w:szCs w:val="21"/>
              </w:rPr>
            </w:pPr>
            <w:r>
              <w:rPr>
                <w:rFonts w:hint="eastAsia" w:ascii="Times New Roman" w:eastAsia="仿宋"/>
                <w:szCs w:val="21"/>
              </w:rPr>
              <w:t>1#</w:t>
            </w:r>
          </w:p>
        </w:tc>
        <w:tc>
          <w:tcPr>
            <w:tcW w:w="824" w:type="pct"/>
            <w:tcBorders>
              <w:top w:val="single" w:color="auto" w:sz="4" w:space="0"/>
              <w:left w:val="single" w:color="auto" w:sz="4" w:space="0"/>
              <w:right w:val="single" w:color="auto" w:sz="4" w:space="0"/>
            </w:tcBorders>
            <w:vAlign w:val="center"/>
          </w:tcPr>
          <w:p w14:paraId="1FC82AC4">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right w:val="single" w:color="auto" w:sz="4" w:space="0"/>
            </w:tcBorders>
            <w:vAlign w:val="center"/>
          </w:tcPr>
          <w:p w14:paraId="23AD3FB5">
            <w:pPr>
              <w:spacing w:line="320" w:lineRule="exact"/>
              <w:jc w:val="center"/>
              <w:rPr>
                <w:rFonts w:ascii="Times New Roman" w:eastAsia="仿宋_GB2312"/>
                <w:szCs w:val="24"/>
                <w:lang w:bidi="ar"/>
              </w:rPr>
            </w:pPr>
            <w:r>
              <w:rPr>
                <w:rFonts w:hint="eastAsia" w:ascii="Times New Roman" w:eastAsia="仿宋_GB2312"/>
                <w:szCs w:val="24"/>
                <w:lang w:bidi="ar"/>
              </w:rPr>
              <w:t>450</w:t>
            </w:r>
          </w:p>
        </w:tc>
        <w:tc>
          <w:tcPr>
            <w:tcW w:w="906" w:type="pct"/>
            <w:tcBorders>
              <w:top w:val="single" w:color="auto" w:sz="4" w:space="0"/>
              <w:left w:val="single" w:color="auto" w:sz="4" w:space="0"/>
              <w:right w:val="single" w:color="auto" w:sz="4" w:space="0"/>
            </w:tcBorders>
            <w:vAlign w:val="center"/>
          </w:tcPr>
          <w:p w14:paraId="0241E5F5">
            <w:pPr>
              <w:spacing w:line="320" w:lineRule="exact"/>
              <w:jc w:val="center"/>
              <w:rPr>
                <w:rFonts w:ascii="Times New Roman" w:eastAsia="仿宋_GB2312"/>
                <w:szCs w:val="24"/>
                <w:lang w:bidi="ar"/>
              </w:rPr>
            </w:pPr>
            <w:r>
              <w:rPr>
                <w:rFonts w:ascii="Times New Roman" w:eastAsia="仿宋_GB2312"/>
                <w:szCs w:val="24"/>
                <w:lang w:bidi="ar"/>
              </w:rPr>
              <w:t>1.71</w:t>
            </w:r>
          </w:p>
        </w:tc>
        <w:tc>
          <w:tcPr>
            <w:tcW w:w="882" w:type="pct"/>
            <w:tcBorders>
              <w:top w:val="single" w:color="auto" w:sz="4" w:space="0"/>
              <w:left w:val="single" w:color="auto" w:sz="4" w:space="0"/>
              <w:bottom w:val="single" w:color="auto" w:sz="4" w:space="0"/>
              <w:right w:val="single" w:color="auto" w:sz="4" w:space="0"/>
            </w:tcBorders>
            <w:vAlign w:val="center"/>
          </w:tcPr>
          <w:p w14:paraId="3E1EA4BC">
            <w:pPr>
              <w:spacing w:line="320" w:lineRule="exact"/>
              <w:jc w:val="center"/>
              <w:rPr>
                <w:rFonts w:ascii="Times New Roman" w:eastAsia="仿宋_GB2312"/>
                <w:szCs w:val="24"/>
                <w:lang w:bidi="ar"/>
              </w:rPr>
            </w:pPr>
            <w:r>
              <w:rPr>
                <w:rFonts w:ascii="Times New Roman" w:eastAsia="仿宋_GB2312"/>
                <w:szCs w:val="24"/>
                <w:lang w:bidi="ar"/>
              </w:rPr>
              <w:t>0.38</w:t>
            </w:r>
          </w:p>
        </w:tc>
      </w:tr>
      <w:tr w14:paraId="233A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2" w:type="pct"/>
            <w:vMerge w:val="continue"/>
            <w:tcBorders>
              <w:left w:val="single" w:color="auto" w:sz="4" w:space="0"/>
              <w:right w:val="single" w:color="auto" w:sz="4" w:space="0"/>
            </w:tcBorders>
            <w:vAlign w:val="center"/>
          </w:tcPr>
          <w:p w14:paraId="1337D99E">
            <w:pPr>
              <w:jc w:val="center"/>
              <w:rPr>
                <w:rFonts w:ascii="Calibri"/>
                <w:szCs w:val="24"/>
              </w:rPr>
            </w:pPr>
          </w:p>
        </w:tc>
        <w:tc>
          <w:tcPr>
            <w:tcW w:w="939" w:type="pct"/>
            <w:vMerge w:val="restart"/>
            <w:tcBorders>
              <w:top w:val="single" w:color="auto" w:sz="4" w:space="0"/>
              <w:left w:val="single" w:color="auto" w:sz="4" w:space="0"/>
              <w:right w:val="single" w:color="auto" w:sz="4" w:space="0"/>
            </w:tcBorders>
            <w:vAlign w:val="center"/>
          </w:tcPr>
          <w:p w14:paraId="5E9C8013">
            <w:pPr>
              <w:jc w:val="center"/>
              <w:rPr>
                <w:rFonts w:ascii="Times New Roman" w:eastAsia="仿宋"/>
                <w:szCs w:val="21"/>
              </w:rPr>
            </w:pPr>
            <w:r>
              <w:rPr>
                <w:rFonts w:hint="eastAsia" w:ascii="Times New Roman" w:eastAsia="仿宋"/>
                <w:szCs w:val="21"/>
              </w:rPr>
              <w:t>2#</w:t>
            </w:r>
          </w:p>
        </w:tc>
        <w:tc>
          <w:tcPr>
            <w:tcW w:w="824" w:type="pct"/>
            <w:tcBorders>
              <w:top w:val="single" w:color="auto" w:sz="4" w:space="0"/>
              <w:left w:val="single" w:color="auto" w:sz="4" w:space="0"/>
              <w:bottom w:val="single" w:color="auto" w:sz="4" w:space="0"/>
              <w:right w:val="single" w:color="auto" w:sz="4" w:space="0"/>
            </w:tcBorders>
            <w:vAlign w:val="center"/>
          </w:tcPr>
          <w:p w14:paraId="4AFE215C">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3C7BE150">
            <w:pPr>
              <w:spacing w:line="320" w:lineRule="exact"/>
              <w:jc w:val="center"/>
              <w:rPr>
                <w:rFonts w:ascii="Times New Roman" w:eastAsia="仿宋_GB2312"/>
                <w:szCs w:val="24"/>
                <w:lang w:bidi="ar"/>
              </w:rPr>
            </w:pPr>
            <w:r>
              <w:rPr>
                <w:rFonts w:hint="eastAsia" w:ascii="Times New Roman" w:eastAsia="仿宋_GB2312"/>
                <w:szCs w:val="24"/>
                <w:lang w:bidi="ar"/>
              </w:rPr>
              <w:t>450</w:t>
            </w:r>
          </w:p>
        </w:tc>
        <w:tc>
          <w:tcPr>
            <w:tcW w:w="906" w:type="pct"/>
            <w:tcBorders>
              <w:top w:val="single" w:color="auto" w:sz="4" w:space="0"/>
              <w:left w:val="single" w:color="auto" w:sz="4" w:space="0"/>
              <w:bottom w:val="single" w:color="auto" w:sz="4" w:space="0"/>
              <w:right w:val="single" w:color="auto" w:sz="4" w:space="0"/>
            </w:tcBorders>
            <w:vAlign w:val="center"/>
          </w:tcPr>
          <w:p w14:paraId="2A005216">
            <w:pPr>
              <w:spacing w:line="320" w:lineRule="exact"/>
              <w:jc w:val="center"/>
              <w:rPr>
                <w:rFonts w:ascii="Times New Roman" w:eastAsia="仿宋_GB2312"/>
                <w:szCs w:val="24"/>
                <w:lang w:bidi="ar"/>
              </w:rPr>
            </w:pPr>
            <w:r>
              <w:rPr>
                <w:rFonts w:ascii="Times New Roman" w:eastAsia="仿宋_GB2312"/>
                <w:szCs w:val="24"/>
                <w:lang w:bidi="ar"/>
              </w:rPr>
              <w:t>0.667</w:t>
            </w:r>
          </w:p>
        </w:tc>
        <w:tc>
          <w:tcPr>
            <w:tcW w:w="882" w:type="pct"/>
            <w:tcBorders>
              <w:top w:val="single" w:color="auto" w:sz="4" w:space="0"/>
              <w:left w:val="single" w:color="auto" w:sz="4" w:space="0"/>
              <w:bottom w:val="single" w:color="auto" w:sz="4" w:space="0"/>
              <w:right w:val="single" w:color="auto" w:sz="4" w:space="0"/>
            </w:tcBorders>
            <w:vAlign w:val="center"/>
          </w:tcPr>
          <w:p w14:paraId="797B245E">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.15</w:t>
            </w:r>
          </w:p>
        </w:tc>
      </w:tr>
      <w:tr w14:paraId="3BDD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2" w:type="pct"/>
            <w:vMerge w:val="continue"/>
            <w:tcBorders>
              <w:left w:val="single" w:color="auto" w:sz="4" w:space="0"/>
              <w:right w:val="single" w:color="auto" w:sz="4" w:space="0"/>
            </w:tcBorders>
            <w:vAlign w:val="center"/>
          </w:tcPr>
          <w:p w14:paraId="383FF423">
            <w:pPr>
              <w:jc w:val="center"/>
              <w:rPr>
                <w:rFonts w:ascii="Calibri"/>
                <w:szCs w:val="24"/>
              </w:rPr>
            </w:pPr>
          </w:p>
        </w:tc>
        <w:tc>
          <w:tcPr>
            <w:tcW w:w="939" w:type="pct"/>
            <w:vMerge w:val="continue"/>
            <w:tcBorders>
              <w:left w:val="single" w:color="auto" w:sz="4" w:space="0"/>
              <w:right w:val="single" w:color="auto" w:sz="4" w:space="0"/>
            </w:tcBorders>
            <w:vAlign w:val="center"/>
          </w:tcPr>
          <w:p w14:paraId="4B8426D9">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4867746C">
            <w:pPr>
              <w:jc w:val="center"/>
              <w:rPr>
                <w:rFonts w:ascii="Times New Roman" w:eastAsia="仿宋"/>
                <w:szCs w:val="21"/>
              </w:rPr>
            </w:pPr>
            <w:r>
              <w:rPr>
                <w:rFonts w:hint="eastAsia" w:ascii="Times New Roman" w:eastAsia="仿宋"/>
                <w:szCs w:val="21"/>
              </w:rPr>
              <w:t>非甲烷总烃</w:t>
            </w:r>
          </w:p>
        </w:tc>
        <w:tc>
          <w:tcPr>
            <w:tcW w:w="907" w:type="pct"/>
            <w:tcBorders>
              <w:top w:val="single" w:color="auto" w:sz="4" w:space="0"/>
              <w:left w:val="single" w:color="auto" w:sz="4" w:space="0"/>
              <w:bottom w:val="single" w:color="auto" w:sz="4" w:space="0"/>
              <w:right w:val="single" w:color="auto" w:sz="4" w:space="0"/>
            </w:tcBorders>
            <w:vAlign w:val="center"/>
          </w:tcPr>
          <w:p w14:paraId="435847A3">
            <w:pPr>
              <w:spacing w:line="320" w:lineRule="exact"/>
              <w:jc w:val="center"/>
              <w:rPr>
                <w:rFonts w:ascii="Times New Roman" w:eastAsia="仿宋_GB2312"/>
                <w:szCs w:val="24"/>
                <w:lang w:bidi="ar"/>
              </w:rPr>
            </w:pPr>
            <w:r>
              <w:rPr>
                <w:rFonts w:hint="eastAsia" w:ascii="Times New Roman" w:eastAsia="仿宋_GB2312"/>
                <w:szCs w:val="24"/>
                <w:lang w:bidi="ar"/>
              </w:rPr>
              <w:t>2000</w:t>
            </w:r>
          </w:p>
        </w:tc>
        <w:tc>
          <w:tcPr>
            <w:tcW w:w="906" w:type="pct"/>
            <w:tcBorders>
              <w:top w:val="single" w:color="auto" w:sz="4" w:space="0"/>
              <w:left w:val="single" w:color="auto" w:sz="4" w:space="0"/>
              <w:bottom w:val="single" w:color="auto" w:sz="4" w:space="0"/>
              <w:right w:val="single" w:color="auto" w:sz="4" w:space="0"/>
            </w:tcBorders>
            <w:vAlign w:val="center"/>
          </w:tcPr>
          <w:p w14:paraId="1E210598">
            <w:pPr>
              <w:spacing w:line="320" w:lineRule="exact"/>
              <w:jc w:val="center"/>
              <w:rPr>
                <w:rFonts w:ascii="Times New Roman" w:eastAsia="仿宋_GB2312"/>
                <w:szCs w:val="24"/>
                <w:lang w:bidi="ar"/>
              </w:rPr>
            </w:pPr>
            <w:r>
              <w:rPr>
                <w:rFonts w:hint="eastAsia" w:ascii="Times New Roman" w:eastAsia="仿宋_GB2312"/>
                <w:szCs w:val="24"/>
                <w:lang w:bidi="ar"/>
              </w:rPr>
              <w:t>3</w:t>
            </w:r>
            <w:r>
              <w:rPr>
                <w:rFonts w:ascii="Times New Roman" w:eastAsia="仿宋_GB2312"/>
                <w:szCs w:val="24"/>
                <w:lang w:bidi="ar"/>
              </w:rPr>
              <w:t>.16</w:t>
            </w:r>
          </w:p>
        </w:tc>
        <w:tc>
          <w:tcPr>
            <w:tcW w:w="882" w:type="pct"/>
            <w:tcBorders>
              <w:top w:val="single" w:color="auto" w:sz="4" w:space="0"/>
              <w:left w:val="single" w:color="auto" w:sz="4" w:space="0"/>
              <w:bottom w:val="single" w:color="auto" w:sz="4" w:space="0"/>
              <w:right w:val="single" w:color="auto" w:sz="4" w:space="0"/>
            </w:tcBorders>
            <w:vAlign w:val="center"/>
          </w:tcPr>
          <w:p w14:paraId="34A18625">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.16</w:t>
            </w:r>
          </w:p>
        </w:tc>
      </w:tr>
      <w:tr w14:paraId="70B1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2" w:type="pct"/>
            <w:vMerge w:val="continue"/>
            <w:tcBorders>
              <w:left w:val="single" w:color="auto" w:sz="4" w:space="0"/>
              <w:right w:val="single" w:color="auto" w:sz="4" w:space="0"/>
            </w:tcBorders>
            <w:vAlign w:val="center"/>
          </w:tcPr>
          <w:p w14:paraId="2A12955B">
            <w:pPr>
              <w:jc w:val="center"/>
              <w:rPr>
                <w:rFonts w:ascii="Calibri"/>
                <w:szCs w:val="24"/>
              </w:rPr>
            </w:pPr>
          </w:p>
        </w:tc>
        <w:tc>
          <w:tcPr>
            <w:tcW w:w="939" w:type="pct"/>
            <w:vMerge w:val="continue"/>
            <w:tcBorders>
              <w:left w:val="single" w:color="auto" w:sz="4" w:space="0"/>
              <w:right w:val="single" w:color="auto" w:sz="4" w:space="0"/>
            </w:tcBorders>
            <w:vAlign w:val="center"/>
          </w:tcPr>
          <w:p w14:paraId="3F5C183D">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5C2D45C3">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07" w:type="pct"/>
            <w:tcBorders>
              <w:top w:val="single" w:color="auto" w:sz="4" w:space="0"/>
              <w:left w:val="single" w:color="auto" w:sz="4" w:space="0"/>
              <w:bottom w:val="single" w:color="auto" w:sz="4" w:space="0"/>
              <w:right w:val="single" w:color="auto" w:sz="4" w:space="0"/>
            </w:tcBorders>
            <w:vAlign w:val="center"/>
          </w:tcPr>
          <w:p w14:paraId="64C369E7">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906" w:type="pct"/>
            <w:tcBorders>
              <w:top w:val="single" w:color="auto" w:sz="4" w:space="0"/>
              <w:left w:val="single" w:color="auto" w:sz="4" w:space="0"/>
              <w:bottom w:val="single" w:color="auto" w:sz="4" w:space="0"/>
              <w:right w:val="single" w:color="auto" w:sz="4" w:space="0"/>
            </w:tcBorders>
            <w:vAlign w:val="center"/>
          </w:tcPr>
          <w:p w14:paraId="1547548B">
            <w:pPr>
              <w:spacing w:line="320" w:lineRule="exact"/>
              <w:jc w:val="center"/>
              <w:rPr>
                <w:rFonts w:ascii="Times New Roman" w:eastAsia="仿宋_GB2312"/>
                <w:szCs w:val="24"/>
                <w:lang w:bidi="ar"/>
              </w:rPr>
            </w:pPr>
            <w:r>
              <w:rPr>
                <w:rFonts w:ascii="Times New Roman" w:eastAsia="仿宋_GB2312"/>
                <w:szCs w:val="24"/>
                <w:lang w:bidi="ar"/>
              </w:rPr>
              <w:t>3.16</w:t>
            </w:r>
          </w:p>
        </w:tc>
        <w:tc>
          <w:tcPr>
            <w:tcW w:w="882" w:type="pct"/>
            <w:tcBorders>
              <w:top w:val="single" w:color="auto" w:sz="4" w:space="0"/>
              <w:left w:val="single" w:color="auto" w:sz="4" w:space="0"/>
              <w:bottom w:val="single" w:color="auto" w:sz="4" w:space="0"/>
              <w:right w:val="single" w:color="auto" w:sz="4" w:space="0"/>
            </w:tcBorders>
            <w:vAlign w:val="center"/>
          </w:tcPr>
          <w:p w14:paraId="64170C26">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.26</w:t>
            </w:r>
          </w:p>
        </w:tc>
      </w:tr>
      <w:tr w14:paraId="0093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2" w:type="pct"/>
            <w:vMerge w:val="continue"/>
            <w:tcBorders>
              <w:left w:val="single" w:color="auto" w:sz="4" w:space="0"/>
              <w:right w:val="single" w:color="auto" w:sz="4" w:space="0"/>
            </w:tcBorders>
            <w:vAlign w:val="center"/>
          </w:tcPr>
          <w:p w14:paraId="4F6DAD5D">
            <w:pPr>
              <w:jc w:val="center"/>
              <w:rPr>
                <w:rFonts w:ascii="Calibri"/>
                <w:szCs w:val="24"/>
              </w:rPr>
            </w:pPr>
          </w:p>
        </w:tc>
        <w:tc>
          <w:tcPr>
            <w:tcW w:w="939" w:type="pct"/>
            <w:vMerge w:val="continue"/>
            <w:tcBorders>
              <w:left w:val="single" w:color="auto" w:sz="4" w:space="0"/>
              <w:right w:val="single" w:color="auto" w:sz="4" w:space="0"/>
            </w:tcBorders>
            <w:vAlign w:val="center"/>
          </w:tcPr>
          <w:p w14:paraId="43224634">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79837FAF">
            <w:pPr>
              <w:jc w:val="center"/>
              <w:rPr>
                <w:rFonts w:ascii="Times New Roman" w:eastAsia="仿宋"/>
                <w:szCs w:val="21"/>
              </w:rPr>
            </w:pPr>
            <w:r>
              <w:rPr>
                <w:rFonts w:hint="eastAsia" w:ascii="Times New Roman" w:eastAsia="仿宋"/>
                <w:szCs w:val="21"/>
              </w:rPr>
              <w:t>二甲苯</w:t>
            </w:r>
          </w:p>
        </w:tc>
        <w:tc>
          <w:tcPr>
            <w:tcW w:w="907" w:type="pct"/>
            <w:tcBorders>
              <w:top w:val="single" w:color="auto" w:sz="4" w:space="0"/>
              <w:left w:val="single" w:color="auto" w:sz="4" w:space="0"/>
              <w:bottom w:val="single" w:color="auto" w:sz="4" w:space="0"/>
              <w:right w:val="single" w:color="auto" w:sz="4" w:space="0"/>
            </w:tcBorders>
            <w:vAlign w:val="center"/>
          </w:tcPr>
          <w:p w14:paraId="3E0A1101">
            <w:pPr>
              <w:spacing w:line="320" w:lineRule="exact"/>
              <w:jc w:val="center"/>
              <w:rPr>
                <w:rFonts w:ascii="Times New Roman" w:eastAsia="仿宋_GB2312"/>
                <w:szCs w:val="24"/>
                <w:lang w:bidi="ar"/>
              </w:rPr>
            </w:pPr>
            <w:r>
              <w:rPr>
                <w:rFonts w:hint="eastAsia" w:ascii="Times New Roman" w:eastAsia="仿宋_GB2312"/>
                <w:szCs w:val="24"/>
                <w:lang w:bidi="ar"/>
              </w:rPr>
              <w:t>200</w:t>
            </w:r>
          </w:p>
        </w:tc>
        <w:tc>
          <w:tcPr>
            <w:tcW w:w="906" w:type="pct"/>
            <w:tcBorders>
              <w:top w:val="single" w:color="auto" w:sz="4" w:space="0"/>
              <w:left w:val="single" w:color="auto" w:sz="4" w:space="0"/>
              <w:bottom w:val="single" w:color="auto" w:sz="4" w:space="0"/>
              <w:right w:val="single" w:color="auto" w:sz="4" w:space="0"/>
            </w:tcBorders>
            <w:vAlign w:val="center"/>
          </w:tcPr>
          <w:p w14:paraId="19095A05">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.28</w:t>
            </w:r>
          </w:p>
        </w:tc>
        <w:tc>
          <w:tcPr>
            <w:tcW w:w="882" w:type="pct"/>
            <w:tcBorders>
              <w:top w:val="single" w:color="auto" w:sz="4" w:space="0"/>
              <w:left w:val="single" w:color="auto" w:sz="4" w:space="0"/>
              <w:bottom w:val="single" w:color="auto" w:sz="4" w:space="0"/>
              <w:right w:val="single" w:color="auto" w:sz="4" w:space="0"/>
            </w:tcBorders>
            <w:vAlign w:val="center"/>
          </w:tcPr>
          <w:p w14:paraId="7AECD7AC">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14</w:t>
            </w:r>
          </w:p>
        </w:tc>
      </w:tr>
      <w:tr w14:paraId="16A7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2" w:type="pct"/>
            <w:vMerge w:val="continue"/>
            <w:tcBorders>
              <w:left w:val="single" w:color="auto" w:sz="4" w:space="0"/>
              <w:right w:val="single" w:color="auto" w:sz="4" w:space="0"/>
            </w:tcBorders>
            <w:vAlign w:val="center"/>
          </w:tcPr>
          <w:p w14:paraId="3BDA6716">
            <w:pPr>
              <w:jc w:val="center"/>
              <w:rPr>
                <w:rFonts w:ascii="Calibri"/>
                <w:szCs w:val="24"/>
              </w:rPr>
            </w:pPr>
          </w:p>
        </w:tc>
        <w:tc>
          <w:tcPr>
            <w:tcW w:w="939" w:type="pct"/>
            <w:vMerge w:val="continue"/>
            <w:tcBorders>
              <w:left w:val="single" w:color="auto" w:sz="4" w:space="0"/>
              <w:right w:val="single" w:color="auto" w:sz="4" w:space="0"/>
            </w:tcBorders>
            <w:vAlign w:val="center"/>
          </w:tcPr>
          <w:p w14:paraId="44E18111">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51C67AF9">
            <w:pPr>
              <w:jc w:val="center"/>
              <w:rPr>
                <w:rFonts w:ascii="Times New Roman" w:eastAsia="仿宋"/>
                <w:szCs w:val="21"/>
              </w:rPr>
            </w:pPr>
            <w:r>
              <w:rPr>
                <w:rFonts w:hint="eastAsia" w:ascii="Times New Roman" w:eastAsia="仿宋"/>
                <w:szCs w:val="21"/>
              </w:rPr>
              <w:t>二氧化硫</w:t>
            </w:r>
          </w:p>
        </w:tc>
        <w:tc>
          <w:tcPr>
            <w:tcW w:w="907" w:type="pct"/>
            <w:tcBorders>
              <w:top w:val="single" w:color="auto" w:sz="4" w:space="0"/>
              <w:left w:val="single" w:color="auto" w:sz="4" w:space="0"/>
              <w:bottom w:val="single" w:color="auto" w:sz="4" w:space="0"/>
              <w:right w:val="single" w:color="auto" w:sz="4" w:space="0"/>
            </w:tcBorders>
            <w:vAlign w:val="center"/>
          </w:tcPr>
          <w:p w14:paraId="6EC651AF">
            <w:pPr>
              <w:spacing w:line="320" w:lineRule="exact"/>
              <w:jc w:val="center"/>
              <w:rPr>
                <w:rFonts w:ascii="Times New Roman" w:eastAsia="仿宋_GB2312"/>
                <w:szCs w:val="24"/>
                <w:lang w:bidi="ar"/>
              </w:rPr>
            </w:pPr>
            <w:r>
              <w:rPr>
                <w:rFonts w:hint="eastAsia" w:ascii="Times New Roman" w:eastAsia="仿宋_GB2312"/>
                <w:szCs w:val="24"/>
                <w:lang w:bidi="ar"/>
              </w:rPr>
              <w:t>500</w:t>
            </w:r>
          </w:p>
        </w:tc>
        <w:tc>
          <w:tcPr>
            <w:tcW w:w="906" w:type="pct"/>
            <w:tcBorders>
              <w:top w:val="single" w:color="auto" w:sz="4" w:space="0"/>
              <w:left w:val="single" w:color="auto" w:sz="4" w:space="0"/>
              <w:bottom w:val="single" w:color="auto" w:sz="4" w:space="0"/>
              <w:right w:val="single" w:color="auto" w:sz="4" w:space="0"/>
            </w:tcBorders>
            <w:vAlign w:val="center"/>
          </w:tcPr>
          <w:p w14:paraId="7F359F7C">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.0175</w:t>
            </w:r>
          </w:p>
        </w:tc>
        <w:tc>
          <w:tcPr>
            <w:tcW w:w="882" w:type="pct"/>
            <w:tcBorders>
              <w:top w:val="single" w:color="auto" w:sz="4" w:space="0"/>
              <w:left w:val="single" w:color="auto" w:sz="4" w:space="0"/>
              <w:bottom w:val="single" w:color="auto" w:sz="4" w:space="0"/>
              <w:right w:val="single" w:color="auto" w:sz="4" w:space="0"/>
            </w:tcBorders>
            <w:vAlign w:val="center"/>
          </w:tcPr>
          <w:p w14:paraId="17D1F8F1">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.00</w:t>
            </w:r>
          </w:p>
        </w:tc>
      </w:tr>
      <w:tr w14:paraId="2DA5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2" w:type="pct"/>
            <w:vMerge w:val="continue"/>
            <w:tcBorders>
              <w:left w:val="single" w:color="auto" w:sz="4" w:space="0"/>
              <w:right w:val="single" w:color="auto" w:sz="4" w:space="0"/>
            </w:tcBorders>
            <w:vAlign w:val="center"/>
          </w:tcPr>
          <w:p w14:paraId="05CD9544">
            <w:pPr>
              <w:jc w:val="center"/>
              <w:rPr>
                <w:rFonts w:ascii="Calibri"/>
                <w:szCs w:val="24"/>
              </w:rPr>
            </w:pPr>
          </w:p>
        </w:tc>
        <w:tc>
          <w:tcPr>
            <w:tcW w:w="939" w:type="pct"/>
            <w:vMerge w:val="continue"/>
            <w:tcBorders>
              <w:left w:val="single" w:color="auto" w:sz="4" w:space="0"/>
              <w:bottom w:val="single" w:color="auto" w:sz="4" w:space="0"/>
              <w:right w:val="single" w:color="auto" w:sz="4" w:space="0"/>
            </w:tcBorders>
            <w:vAlign w:val="center"/>
          </w:tcPr>
          <w:p w14:paraId="357D65F8">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2974725E">
            <w:pPr>
              <w:jc w:val="center"/>
              <w:rPr>
                <w:rFonts w:ascii="Times New Roman" w:eastAsia="仿宋"/>
                <w:szCs w:val="21"/>
              </w:rPr>
            </w:pPr>
            <w:r>
              <w:rPr>
                <w:rFonts w:hint="eastAsia" w:ascii="Times New Roman" w:eastAsia="仿宋"/>
                <w:szCs w:val="21"/>
              </w:rPr>
              <w:t>氮氧化物</w:t>
            </w:r>
          </w:p>
        </w:tc>
        <w:tc>
          <w:tcPr>
            <w:tcW w:w="907" w:type="pct"/>
            <w:tcBorders>
              <w:top w:val="single" w:color="auto" w:sz="4" w:space="0"/>
              <w:left w:val="single" w:color="auto" w:sz="4" w:space="0"/>
              <w:bottom w:val="single" w:color="auto" w:sz="4" w:space="0"/>
              <w:right w:val="single" w:color="auto" w:sz="4" w:space="0"/>
            </w:tcBorders>
            <w:vAlign w:val="center"/>
          </w:tcPr>
          <w:p w14:paraId="7635A30B">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w:t>
            </w:r>
            <w:r>
              <w:rPr>
                <w:rFonts w:hint="eastAsia" w:ascii="Times New Roman" w:eastAsia="仿宋_GB2312"/>
                <w:szCs w:val="24"/>
                <w:lang w:bidi="ar"/>
              </w:rPr>
              <w:t>0</w:t>
            </w:r>
          </w:p>
        </w:tc>
        <w:tc>
          <w:tcPr>
            <w:tcW w:w="906" w:type="pct"/>
            <w:tcBorders>
              <w:top w:val="single" w:color="auto" w:sz="4" w:space="0"/>
              <w:left w:val="single" w:color="auto" w:sz="4" w:space="0"/>
              <w:bottom w:val="single" w:color="auto" w:sz="4" w:space="0"/>
              <w:right w:val="single" w:color="auto" w:sz="4" w:space="0"/>
            </w:tcBorders>
            <w:vAlign w:val="center"/>
          </w:tcPr>
          <w:p w14:paraId="24D6027E">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.8</w:t>
            </w:r>
          </w:p>
        </w:tc>
        <w:tc>
          <w:tcPr>
            <w:tcW w:w="882" w:type="pct"/>
            <w:tcBorders>
              <w:top w:val="single" w:color="auto" w:sz="4" w:space="0"/>
              <w:left w:val="single" w:color="auto" w:sz="4" w:space="0"/>
              <w:bottom w:val="single" w:color="auto" w:sz="4" w:space="0"/>
              <w:right w:val="single" w:color="auto" w:sz="4" w:space="0"/>
            </w:tcBorders>
            <w:vAlign w:val="center"/>
          </w:tcPr>
          <w:p w14:paraId="48A3B695">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.4</w:t>
            </w:r>
          </w:p>
        </w:tc>
      </w:tr>
      <w:tr w14:paraId="1A89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2" w:type="pct"/>
            <w:vMerge w:val="continue"/>
            <w:tcBorders>
              <w:left w:val="single" w:color="auto" w:sz="4" w:space="0"/>
              <w:right w:val="single" w:color="auto" w:sz="4" w:space="0"/>
            </w:tcBorders>
            <w:vAlign w:val="center"/>
          </w:tcPr>
          <w:p w14:paraId="27106CBC">
            <w:pPr>
              <w:jc w:val="center"/>
              <w:rPr>
                <w:rFonts w:ascii="Calibri"/>
                <w:szCs w:val="24"/>
              </w:rPr>
            </w:pPr>
          </w:p>
        </w:tc>
        <w:tc>
          <w:tcPr>
            <w:tcW w:w="939" w:type="pct"/>
            <w:vMerge w:val="restart"/>
            <w:tcBorders>
              <w:top w:val="single" w:color="auto" w:sz="4" w:space="0"/>
              <w:left w:val="single" w:color="auto" w:sz="4" w:space="0"/>
              <w:right w:val="single" w:color="auto" w:sz="4" w:space="0"/>
            </w:tcBorders>
            <w:vAlign w:val="center"/>
          </w:tcPr>
          <w:p w14:paraId="77A01CAB">
            <w:pPr>
              <w:jc w:val="center"/>
              <w:rPr>
                <w:rFonts w:ascii="Times New Roman" w:eastAsia="仿宋"/>
                <w:szCs w:val="21"/>
              </w:rPr>
            </w:pPr>
            <w:r>
              <w:rPr>
                <w:rFonts w:hint="eastAsia" w:ascii="Times New Roman" w:eastAsia="仿宋"/>
                <w:szCs w:val="21"/>
              </w:rPr>
              <w:t>3#</w:t>
            </w:r>
          </w:p>
        </w:tc>
        <w:tc>
          <w:tcPr>
            <w:tcW w:w="824" w:type="pct"/>
            <w:tcBorders>
              <w:top w:val="single" w:color="auto" w:sz="4" w:space="0"/>
              <w:left w:val="single" w:color="auto" w:sz="4" w:space="0"/>
              <w:bottom w:val="single" w:color="auto" w:sz="4" w:space="0"/>
              <w:right w:val="single" w:color="auto" w:sz="4" w:space="0"/>
            </w:tcBorders>
            <w:vAlign w:val="center"/>
          </w:tcPr>
          <w:p w14:paraId="7E33495D">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7C84A611">
            <w:pPr>
              <w:spacing w:line="320" w:lineRule="exact"/>
              <w:jc w:val="center"/>
              <w:rPr>
                <w:rFonts w:ascii="Times New Roman" w:eastAsia="仿宋_GB2312"/>
                <w:szCs w:val="24"/>
                <w:lang w:bidi="ar"/>
              </w:rPr>
            </w:pPr>
            <w:r>
              <w:rPr>
                <w:rFonts w:hint="eastAsia" w:ascii="Times New Roman" w:eastAsia="仿宋_GB2312"/>
                <w:szCs w:val="24"/>
                <w:lang w:bidi="ar"/>
              </w:rPr>
              <w:t>45</w:t>
            </w:r>
            <w:r>
              <w:rPr>
                <w:rFonts w:ascii="Times New Roman" w:eastAsia="仿宋_GB2312"/>
                <w:szCs w:val="24"/>
                <w:lang w:bidi="ar"/>
              </w:rPr>
              <w:t>0</w:t>
            </w:r>
          </w:p>
        </w:tc>
        <w:tc>
          <w:tcPr>
            <w:tcW w:w="906" w:type="pct"/>
            <w:tcBorders>
              <w:top w:val="single" w:color="auto" w:sz="4" w:space="0"/>
              <w:left w:val="single" w:color="auto" w:sz="4" w:space="0"/>
              <w:bottom w:val="single" w:color="auto" w:sz="4" w:space="0"/>
              <w:right w:val="single" w:color="auto" w:sz="4" w:space="0"/>
            </w:tcBorders>
            <w:vAlign w:val="center"/>
          </w:tcPr>
          <w:p w14:paraId="3F7903D8">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1.91</w:t>
            </w:r>
          </w:p>
        </w:tc>
        <w:tc>
          <w:tcPr>
            <w:tcW w:w="882" w:type="pct"/>
            <w:tcBorders>
              <w:top w:val="single" w:color="auto" w:sz="4" w:space="0"/>
              <w:left w:val="single" w:color="auto" w:sz="4" w:space="0"/>
              <w:bottom w:val="single" w:color="auto" w:sz="4" w:space="0"/>
              <w:right w:val="single" w:color="auto" w:sz="4" w:space="0"/>
            </w:tcBorders>
            <w:vAlign w:val="center"/>
          </w:tcPr>
          <w:p w14:paraId="3C4A469A">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.65</w:t>
            </w:r>
          </w:p>
        </w:tc>
      </w:tr>
      <w:tr w14:paraId="574B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2" w:type="pct"/>
            <w:vMerge w:val="continue"/>
            <w:tcBorders>
              <w:left w:val="single" w:color="auto" w:sz="4" w:space="0"/>
              <w:right w:val="single" w:color="auto" w:sz="4" w:space="0"/>
            </w:tcBorders>
            <w:vAlign w:val="center"/>
          </w:tcPr>
          <w:p w14:paraId="384FC6CB">
            <w:pPr>
              <w:jc w:val="center"/>
              <w:rPr>
                <w:rFonts w:ascii="Calibri"/>
                <w:szCs w:val="24"/>
              </w:rPr>
            </w:pPr>
          </w:p>
        </w:tc>
        <w:tc>
          <w:tcPr>
            <w:tcW w:w="939" w:type="pct"/>
            <w:vMerge w:val="continue"/>
            <w:tcBorders>
              <w:left w:val="single" w:color="auto" w:sz="4" w:space="0"/>
              <w:right w:val="single" w:color="auto" w:sz="4" w:space="0"/>
            </w:tcBorders>
            <w:vAlign w:val="center"/>
          </w:tcPr>
          <w:p w14:paraId="3C4F3F7A">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7DF87450">
            <w:pPr>
              <w:jc w:val="center"/>
              <w:rPr>
                <w:rFonts w:ascii="Times New Roman" w:eastAsia="仿宋"/>
                <w:szCs w:val="21"/>
              </w:rPr>
            </w:pPr>
            <w:r>
              <w:rPr>
                <w:rFonts w:hint="eastAsia" w:ascii="Times New Roman" w:eastAsia="仿宋"/>
                <w:szCs w:val="21"/>
              </w:rPr>
              <w:t>非甲烷总烃</w:t>
            </w:r>
          </w:p>
        </w:tc>
        <w:tc>
          <w:tcPr>
            <w:tcW w:w="907" w:type="pct"/>
            <w:tcBorders>
              <w:top w:val="single" w:color="auto" w:sz="4" w:space="0"/>
              <w:left w:val="single" w:color="auto" w:sz="4" w:space="0"/>
              <w:bottom w:val="single" w:color="auto" w:sz="4" w:space="0"/>
              <w:right w:val="single" w:color="auto" w:sz="4" w:space="0"/>
            </w:tcBorders>
            <w:vAlign w:val="center"/>
          </w:tcPr>
          <w:p w14:paraId="16998A12">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000</w:t>
            </w:r>
          </w:p>
        </w:tc>
        <w:tc>
          <w:tcPr>
            <w:tcW w:w="906" w:type="pct"/>
            <w:tcBorders>
              <w:top w:val="single" w:color="auto" w:sz="4" w:space="0"/>
              <w:left w:val="single" w:color="auto" w:sz="4" w:space="0"/>
              <w:bottom w:val="single" w:color="auto" w:sz="4" w:space="0"/>
              <w:right w:val="single" w:color="auto" w:sz="4" w:space="0"/>
            </w:tcBorders>
            <w:vAlign w:val="center"/>
          </w:tcPr>
          <w:p w14:paraId="7F15267A">
            <w:pPr>
              <w:spacing w:line="320" w:lineRule="exact"/>
              <w:jc w:val="center"/>
              <w:rPr>
                <w:rFonts w:ascii="Times New Roman" w:eastAsia="仿宋_GB2312"/>
                <w:szCs w:val="24"/>
                <w:lang w:bidi="ar"/>
              </w:rPr>
            </w:pPr>
            <w:r>
              <w:rPr>
                <w:rFonts w:hint="eastAsia" w:ascii="Times New Roman" w:eastAsia="仿宋_GB2312"/>
                <w:szCs w:val="24"/>
                <w:lang w:bidi="ar"/>
              </w:rPr>
              <w:t>4</w:t>
            </w:r>
            <w:r>
              <w:rPr>
                <w:rFonts w:ascii="Times New Roman" w:eastAsia="仿宋_GB2312"/>
                <w:szCs w:val="24"/>
                <w:lang w:bidi="ar"/>
              </w:rPr>
              <w:t>5.11</w:t>
            </w:r>
          </w:p>
        </w:tc>
        <w:tc>
          <w:tcPr>
            <w:tcW w:w="882" w:type="pct"/>
            <w:tcBorders>
              <w:top w:val="single" w:color="auto" w:sz="4" w:space="0"/>
              <w:left w:val="single" w:color="auto" w:sz="4" w:space="0"/>
              <w:bottom w:val="single" w:color="auto" w:sz="4" w:space="0"/>
              <w:right w:val="single" w:color="auto" w:sz="4" w:space="0"/>
            </w:tcBorders>
            <w:vAlign w:val="center"/>
          </w:tcPr>
          <w:p w14:paraId="79B390CF">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.25</w:t>
            </w:r>
          </w:p>
        </w:tc>
      </w:tr>
      <w:tr w14:paraId="156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2" w:type="pct"/>
            <w:vMerge w:val="continue"/>
            <w:tcBorders>
              <w:left w:val="single" w:color="auto" w:sz="4" w:space="0"/>
              <w:right w:val="single" w:color="auto" w:sz="4" w:space="0"/>
            </w:tcBorders>
            <w:vAlign w:val="center"/>
          </w:tcPr>
          <w:p w14:paraId="156B9049">
            <w:pPr>
              <w:jc w:val="center"/>
              <w:rPr>
                <w:rFonts w:ascii="Calibri"/>
                <w:szCs w:val="24"/>
              </w:rPr>
            </w:pPr>
          </w:p>
        </w:tc>
        <w:tc>
          <w:tcPr>
            <w:tcW w:w="939" w:type="pct"/>
            <w:vMerge w:val="continue"/>
            <w:tcBorders>
              <w:left w:val="single" w:color="auto" w:sz="4" w:space="0"/>
              <w:right w:val="single" w:color="auto" w:sz="4" w:space="0"/>
            </w:tcBorders>
            <w:vAlign w:val="center"/>
          </w:tcPr>
          <w:p w14:paraId="1B2C6C87">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2E1F7CC2">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07" w:type="pct"/>
            <w:tcBorders>
              <w:top w:val="single" w:color="auto" w:sz="4" w:space="0"/>
              <w:left w:val="single" w:color="auto" w:sz="4" w:space="0"/>
              <w:bottom w:val="single" w:color="auto" w:sz="4" w:space="0"/>
              <w:right w:val="single" w:color="auto" w:sz="4" w:space="0"/>
            </w:tcBorders>
            <w:vAlign w:val="center"/>
          </w:tcPr>
          <w:p w14:paraId="00283BCA">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906" w:type="pct"/>
            <w:tcBorders>
              <w:top w:val="single" w:color="auto" w:sz="4" w:space="0"/>
              <w:left w:val="single" w:color="auto" w:sz="4" w:space="0"/>
              <w:bottom w:val="single" w:color="auto" w:sz="4" w:space="0"/>
              <w:right w:val="single" w:color="auto" w:sz="4" w:space="0"/>
            </w:tcBorders>
            <w:vAlign w:val="center"/>
          </w:tcPr>
          <w:p w14:paraId="69A4EAE7">
            <w:pPr>
              <w:spacing w:line="320" w:lineRule="exact"/>
              <w:jc w:val="center"/>
              <w:rPr>
                <w:rFonts w:ascii="Times New Roman" w:eastAsia="仿宋_GB2312"/>
                <w:szCs w:val="24"/>
                <w:lang w:bidi="ar"/>
              </w:rPr>
            </w:pPr>
            <w:r>
              <w:rPr>
                <w:rFonts w:ascii="Times New Roman" w:eastAsia="仿宋_GB2312"/>
                <w:szCs w:val="24"/>
                <w:lang w:bidi="ar"/>
              </w:rPr>
              <w:t>45.11</w:t>
            </w:r>
          </w:p>
        </w:tc>
        <w:tc>
          <w:tcPr>
            <w:tcW w:w="882" w:type="pct"/>
            <w:tcBorders>
              <w:top w:val="single" w:color="auto" w:sz="4" w:space="0"/>
              <w:left w:val="single" w:color="auto" w:sz="4" w:space="0"/>
              <w:bottom w:val="single" w:color="auto" w:sz="4" w:space="0"/>
              <w:right w:val="single" w:color="auto" w:sz="4" w:space="0"/>
            </w:tcBorders>
            <w:vAlign w:val="center"/>
          </w:tcPr>
          <w:p w14:paraId="3ED7B4FE">
            <w:pPr>
              <w:spacing w:line="320" w:lineRule="exact"/>
              <w:jc w:val="center"/>
              <w:rPr>
                <w:rFonts w:ascii="Times New Roman" w:eastAsia="仿宋_GB2312"/>
                <w:szCs w:val="24"/>
                <w:lang w:bidi="ar"/>
              </w:rPr>
            </w:pPr>
            <w:r>
              <w:rPr>
                <w:rFonts w:hint="eastAsia" w:ascii="Times New Roman" w:eastAsia="仿宋_GB2312"/>
                <w:szCs w:val="24"/>
                <w:lang w:bidi="ar"/>
              </w:rPr>
              <w:t>3</w:t>
            </w:r>
            <w:r>
              <w:rPr>
                <w:rFonts w:ascii="Times New Roman" w:eastAsia="仿宋_GB2312"/>
                <w:szCs w:val="24"/>
                <w:lang w:bidi="ar"/>
              </w:rPr>
              <w:t>.75</w:t>
            </w:r>
          </w:p>
        </w:tc>
      </w:tr>
      <w:tr w14:paraId="1AC4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42" w:type="pct"/>
            <w:vMerge w:val="continue"/>
            <w:tcBorders>
              <w:left w:val="single" w:color="auto" w:sz="4" w:space="0"/>
              <w:right w:val="single" w:color="auto" w:sz="4" w:space="0"/>
            </w:tcBorders>
            <w:vAlign w:val="center"/>
          </w:tcPr>
          <w:p w14:paraId="5A4C8D44">
            <w:pPr>
              <w:jc w:val="center"/>
              <w:rPr>
                <w:rFonts w:ascii="Calibri"/>
                <w:szCs w:val="24"/>
              </w:rPr>
            </w:pPr>
          </w:p>
        </w:tc>
        <w:tc>
          <w:tcPr>
            <w:tcW w:w="939" w:type="pct"/>
            <w:vMerge w:val="continue"/>
            <w:tcBorders>
              <w:left w:val="single" w:color="auto" w:sz="4" w:space="0"/>
              <w:right w:val="single" w:color="auto" w:sz="4" w:space="0"/>
            </w:tcBorders>
            <w:vAlign w:val="center"/>
          </w:tcPr>
          <w:p w14:paraId="60A47A2A">
            <w:pPr>
              <w:jc w:val="center"/>
              <w:rPr>
                <w:rFonts w:ascii="Times New Roman" w:eastAsia="仿宋"/>
                <w:szCs w:val="21"/>
              </w:rPr>
            </w:pPr>
          </w:p>
        </w:tc>
        <w:tc>
          <w:tcPr>
            <w:tcW w:w="824" w:type="pct"/>
            <w:tcBorders>
              <w:top w:val="single" w:color="auto" w:sz="4" w:space="0"/>
              <w:left w:val="single" w:color="auto" w:sz="4" w:space="0"/>
              <w:right w:val="single" w:color="auto" w:sz="4" w:space="0"/>
            </w:tcBorders>
            <w:vAlign w:val="center"/>
          </w:tcPr>
          <w:p w14:paraId="6A746BBC">
            <w:pPr>
              <w:jc w:val="center"/>
              <w:rPr>
                <w:rFonts w:ascii="Times New Roman" w:eastAsia="仿宋"/>
                <w:szCs w:val="21"/>
              </w:rPr>
            </w:pPr>
            <w:r>
              <w:rPr>
                <w:rFonts w:hint="eastAsia" w:ascii="Times New Roman" w:eastAsia="仿宋"/>
                <w:szCs w:val="21"/>
              </w:rPr>
              <w:t>二甲苯</w:t>
            </w:r>
          </w:p>
        </w:tc>
        <w:tc>
          <w:tcPr>
            <w:tcW w:w="907" w:type="pct"/>
            <w:tcBorders>
              <w:top w:val="single" w:color="auto" w:sz="4" w:space="0"/>
              <w:left w:val="single" w:color="auto" w:sz="4" w:space="0"/>
              <w:right w:val="single" w:color="auto" w:sz="4" w:space="0"/>
            </w:tcBorders>
            <w:vAlign w:val="center"/>
          </w:tcPr>
          <w:p w14:paraId="040D5668">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w:t>
            </w:r>
          </w:p>
        </w:tc>
        <w:tc>
          <w:tcPr>
            <w:tcW w:w="906" w:type="pct"/>
            <w:tcBorders>
              <w:top w:val="single" w:color="auto" w:sz="4" w:space="0"/>
              <w:left w:val="single" w:color="auto" w:sz="4" w:space="0"/>
              <w:right w:val="single" w:color="auto" w:sz="4" w:space="0"/>
            </w:tcBorders>
            <w:vAlign w:val="center"/>
          </w:tcPr>
          <w:p w14:paraId="1C3B60C0">
            <w:pPr>
              <w:spacing w:line="320" w:lineRule="exact"/>
              <w:jc w:val="center"/>
              <w:rPr>
                <w:rFonts w:ascii="Times New Roman" w:eastAsia="仿宋_GB2312"/>
                <w:szCs w:val="24"/>
                <w:lang w:bidi="ar"/>
              </w:rPr>
            </w:pPr>
            <w:r>
              <w:rPr>
                <w:rFonts w:hint="eastAsia" w:ascii="Times New Roman" w:eastAsia="仿宋_GB2312"/>
                <w:szCs w:val="24"/>
                <w:lang w:bidi="ar"/>
              </w:rPr>
              <w:t>9.</w:t>
            </w:r>
            <w:r>
              <w:rPr>
                <w:rFonts w:ascii="Times New Roman" w:eastAsia="仿宋_GB2312"/>
                <w:szCs w:val="24"/>
                <w:lang w:bidi="ar"/>
              </w:rPr>
              <w:t>49</w:t>
            </w:r>
          </w:p>
        </w:tc>
        <w:tc>
          <w:tcPr>
            <w:tcW w:w="882" w:type="pct"/>
            <w:tcBorders>
              <w:top w:val="single" w:color="auto" w:sz="4" w:space="0"/>
              <w:left w:val="single" w:color="auto" w:sz="4" w:space="0"/>
              <w:bottom w:val="single" w:color="auto" w:sz="4" w:space="0"/>
              <w:right w:val="single" w:color="auto" w:sz="4" w:space="0"/>
            </w:tcBorders>
            <w:vAlign w:val="center"/>
          </w:tcPr>
          <w:p w14:paraId="47C8DF2E">
            <w:pPr>
              <w:spacing w:line="320" w:lineRule="exact"/>
              <w:jc w:val="center"/>
              <w:rPr>
                <w:rFonts w:ascii="Times New Roman" w:eastAsia="仿宋_GB2312"/>
                <w:szCs w:val="24"/>
                <w:lang w:bidi="ar"/>
              </w:rPr>
            </w:pPr>
            <w:r>
              <w:rPr>
                <w:rFonts w:hint="eastAsia" w:ascii="Times New Roman" w:eastAsia="仿宋_GB2312"/>
                <w:szCs w:val="24"/>
                <w:lang w:bidi="ar"/>
              </w:rPr>
              <w:t>4.</w:t>
            </w:r>
            <w:r>
              <w:rPr>
                <w:rFonts w:ascii="Times New Roman" w:eastAsia="仿宋_GB2312"/>
                <w:szCs w:val="24"/>
                <w:lang w:bidi="ar"/>
              </w:rPr>
              <w:t>74</w:t>
            </w:r>
          </w:p>
        </w:tc>
      </w:tr>
      <w:tr w14:paraId="465A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24CDE7FB">
            <w:pPr>
              <w:jc w:val="center"/>
              <w:rPr>
                <w:rFonts w:ascii="Calibri"/>
                <w:szCs w:val="24"/>
              </w:rPr>
            </w:pPr>
          </w:p>
        </w:tc>
        <w:tc>
          <w:tcPr>
            <w:tcW w:w="939" w:type="pct"/>
            <w:vMerge w:val="restart"/>
            <w:tcBorders>
              <w:top w:val="single" w:color="auto" w:sz="4" w:space="0"/>
              <w:left w:val="single" w:color="auto" w:sz="4" w:space="0"/>
              <w:right w:val="single" w:color="auto" w:sz="4" w:space="0"/>
            </w:tcBorders>
            <w:vAlign w:val="center"/>
          </w:tcPr>
          <w:p w14:paraId="5A100553">
            <w:pPr>
              <w:jc w:val="center"/>
              <w:rPr>
                <w:rFonts w:ascii="Times New Roman" w:eastAsia="仿宋"/>
                <w:szCs w:val="21"/>
              </w:rPr>
            </w:pPr>
            <w:r>
              <w:rPr>
                <w:rFonts w:hint="eastAsia" w:ascii="Times New Roman" w:eastAsia="仿宋"/>
                <w:szCs w:val="21"/>
              </w:rPr>
              <w:t>4#</w:t>
            </w:r>
          </w:p>
        </w:tc>
        <w:tc>
          <w:tcPr>
            <w:tcW w:w="824" w:type="pct"/>
            <w:tcBorders>
              <w:top w:val="single" w:color="auto" w:sz="4" w:space="0"/>
              <w:left w:val="single" w:color="auto" w:sz="4" w:space="0"/>
              <w:bottom w:val="single" w:color="auto" w:sz="4" w:space="0"/>
              <w:right w:val="single" w:color="auto" w:sz="4" w:space="0"/>
            </w:tcBorders>
            <w:vAlign w:val="center"/>
          </w:tcPr>
          <w:p w14:paraId="25203EB1">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381E7F8F">
            <w:pPr>
              <w:spacing w:line="320" w:lineRule="exact"/>
              <w:jc w:val="center"/>
              <w:rPr>
                <w:rFonts w:ascii="Times New Roman" w:eastAsia="仿宋_GB2312"/>
                <w:szCs w:val="24"/>
                <w:lang w:bidi="ar"/>
              </w:rPr>
            </w:pPr>
            <w:r>
              <w:rPr>
                <w:rFonts w:ascii="Times New Roman" w:eastAsia="仿宋_GB2312"/>
                <w:szCs w:val="24"/>
                <w:lang w:bidi="ar"/>
              </w:rPr>
              <w:t>450</w:t>
            </w:r>
          </w:p>
        </w:tc>
        <w:tc>
          <w:tcPr>
            <w:tcW w:w="906" w:type="pct"/>
            <w:tcBorders>
              <w:top w:val="single" w:color="auto" w:sz="4" w:space="0"/>
              <w:left w:val="single" w:color="auto" w:sz="4" w:space="0"/>
              <w:bottom w:val="single" w:color="auto" w:sz="4" w:space="0"/>
              <w:right w:val="single" w:color="auto" w:sz="4" w:space="0"/>
            </w:tcBorders>
            <w:vAlign w:val="center"/>
          </w:tcPr>
          <w:p w14:paraId="34256557">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.554</w:t>
            </w:r>
          </w:p>
        </w:tc>
        <w:tc>
          <w:tcPr>
            <w:tcW w:w="882" w:type="pct"/>
            <w:tcBorders>
              <w:top w:val="single" w:color="auto" w:sz="4" w:space="0"/>
              <w:left w:val="single" w:color="auto" w:sz="4" w:space="0"/>
              <w:bottom w:val="single" w:color="auto" w:sz="4" w:space="0"/>
              <w:right w:val="single" w:color="auto" w:sz="4" w:space="0"/>
            </w:tcBorders>
            <w:vAlign w:val="center"/>
          </w:tcPr>
          <w:p w14:paraId="69A9F728">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.12</w:t>
            </w:r>
          </w:p>
        </w:tc>
      </w:tr>
      <w:tr w14:paraId="23F7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5B424B05">
            <w:pPr>
              <w:jc w:val="center"/>
              <w:rPr>
                <w:rFonts w:ascii="Calibri"/>
                <w:szCs w:val="24"/>
              </w:rPr>
            </w:pPr>
          </w:p>
        </w:tc>
        <w:tc>
          <w:tcPr>
            <w:tcW w:w="939" w:type="pct"/>
            <w:vMerge w:val="continue"/>
            <w:tcBorders>
              <w:left w:val="single" w:color="auto" w:sz="4" w:space="0"/>
              <w:right w:val="single" w:color="auto" w:sz="4" w:space="0"/>
            </w:tcBorders>
            <w:vAlign w:val="center"/>
          </w:tcPr>
          <w:p w14:paraId="51FD3FB3">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656012D3">
            <w:pPr>
              <w:jc w:val="center"/>
              <w:rPr>
                <w:rFonts w:ascii="Times New Roman" w:eastAsia="仿宋"/>
                <w:szCs w:val="21"/>
              </w:rPr>
            </w:pPr>
            <w:r>
              <w:rPr>
                <w:rFonts w:hint="eastAsia" w:ascii="Times New Roman" w:eastAsia="仿宋"/>
                <w:szCs w:val="21"/>
              </w:rPr>
              <w:t>非甲烷总烃</w:t>
            </w:r>
          </w:p>
        </w:tc>
        <w:tc>
          <w:tcPr>
            <w:tcW w:w="907" w:type="pct"/>
            <w:tcBorders>
              <w:top w:val="single" w:color="auto" w:sz="4" w:space="0"/>
              <w:left w:val="single" w:color="auto" w:sz="4" w:space="0"/>
              <w:bottom w:val="single" w:color="auto" w:sz="4" w:space="0"/>
              <w:right w:val="single" w:color="auto" w:sz="4" w:space="0"/>
            </w:tcBorders>
            <w:vAlign w:val="center"/>
          </w:tcPr>
          <w:p w14:paraId="7A45DC0A">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000</w:t>
            </w:r>
          </w:p>
        </w:tc>
        <w:tc>
          <w:tcPr>
            <w:tcW w:w="906" w:type="pct"/>
            <w:tcBorders>
              <w:top w:val="single" w:color="auto" w:sz="4" w:space="0"/>
              <w:left w:val="single" w:color="auto" w:sz="4" w:space="0"/>
              <w:bottom w:val="single" w:color="auto" w:sz="4" w:space="0"/>
              <w:right w:val="single" w:color="auto" w:sz="4" w:space="0"/>
            </w:tcBorders>
            <w:vAlign w:val="center"/>
          </w:tcPr>
          <w:p w14:paraId="3A6DAAE9">
            <w:pPr>
              <w:spacing w:line="320" w:lineRule="exact"/>
              <w:jc w:val="center"/>
              <w:rPr>
                <w:rFonts w:ascii="Times New Roman" w:eastAsia="仿宋_GB2312"/>
                <w:szCs w:val="24"/>
                <w:lang w:bidi="ar"/>
              </w:rPr>
            </w:pPr>
            <w:r>
              <w:rPr>
                <w:rFonts w:hint="eastAsia" w:ascii="Times New Roman" w:eastAsia="仿宋_GB2312"/>
                <w:szCs w:val="24"/>
                <w:lang w:bidi="ar"/>
              </w:rPr>
              <w:t>7</w:t>
            </w:r>
            <w:r>
              <w:rPr>
                <w:rFonts w:ascii="Times New Roman" w:eastAsia="仿宋_GB2312"/>
                <w:szCs w:val="24"/>
                <w:lang w:bidi="ar"/>
              </w:rPr>
              <w:t>.92</w:t>
            </w:r>
          </w:p>
        </w:tc>
        <w:tc>
          <w:tcPr>
            <w:tcW w:w="882" w:type="pct"/>
            <w:tcBorders>
              <w:top w:val="single" w:color="auto" w:sz="4" w:space="0"/>
              <w:left w:val="single" w:color="auto" w:sz="4" w:space="0"/>
              <w:bottom w:val="single" w:color="auto" w:sz="4" w:space="0"/>
              <w:right w:val="single" w:color="auto" w:sz="4" w:space="0"/>
            </w:tcBorders>
            <w:vAlign w:val="center"/>
          </w:tcPr>
          <w:p w14:paraId="5EF521F7">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.40</w:t>
            </w:r>
          </w:p>
        </w:tc>
      </w:tr>
      <w:tr w14:paraId="50FE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6A3A8855">
            <w:pPr>
              <w:jc w:val="center"/>
              <w:rPr>
                <w:rFonts w:ascii="Calibri"/>
                <w:szCs w:val="24"/>
              </w:rPr>
            </w:pPr>
          </w:p>
        </w:tc>
        <w:tc>
          <w:tcPr>
            <w:tcW w:w="939" w:type="pct"/>
            <w:vMerge w:val="continue"/>
            <w:tcBorders>
              <w:left w:val="single" w:color="auto" w:sz="4" w:space="0"/>
              <w:right w:val="single" w:color="auto" w:sz="4" w:space="0"/>
            </w:tcBorders>
            <w:vAlign w:val="center"/>
          </w:tcPr>
          <w:p w14:paraId="365E5E5E">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5A6DF0EE">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07" w:type="pct"/>
            <w:tcBorders>
              <w:top w:val="single" w:color="auto" w:sz="4" w:space="0"/>
              <w:left w:val="single" w:color="auto" w:sz="4" w:space="0"/>
              <w:bottom w:val="single" w:color="auto" w:sz="4" w:space="0"/>
              <w:right w:val="single" w:color="auto" w:sz="4" w:space="0"/>
            </w:tcBorders>
            <w:vAlign w:val="center"/>
          </w:tcPr>
          <w:p w14:paraId="7113B8CB">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906" w:type="pct"/>
            <w:tcBorders>
              <w:top w:val="single" w:color="auto" w:sz="4" w:space="0"/>
              <w:left w:val="single" w:color="auto" w:sz="4" w:space="0"/>
              <w:bottom w:val="single" w:color="auto" w:sz="4" w:space="0"/>
              <w:right w:val="single" w:color="auto" w:sz="4" w:space="0"/>
            </w:tcBorders>
            <w:vAlign w:val="center"/>
          </w:tcPr>
          <w:p w14:paraId="4ACB15B2">
            <w:pPr>
              <w:spacing w:line="320" w:lineRule="exact"/>
              <w:jc w:val="center"/>
              <w:rPr>
                <w:rFonts w:ascii="Times New Roman" w:eastAsia="仿宋_GB2312"/>
                <w:szCs w:val="24"/>
                <w:lang w:bidi="ar"/>
              </w:rPr>
            </w:pPr>
            <w:r>
              <w:rPr>
                <w:rFonts w:hint="eastAsia" w:ascii="Times New Roman" w:eastAsia="仿宋_GB2312"/>
                <w:szCs w:val="24"/>
                <w:lang w:bidi="ar"/>
              </w:rPr>
              <w:t>7</w:t>
            </w:r>
            <w:r>
              <w:rPr>
                <w:rFonts w:ascii="Times New Roman" w:eastAsia="仿宋_GB2312"/>
                <w:szCs w:val="24"/>
                <w:lang w:bidi="ar"/>
              </w:rPr>
              <w:t>.92</w:t>
            </w:r>
          </w:p>
        </w:tc>
        <w:tc>
          <w:tcPr>
            <w:tcW w:w="882" w:type="pct"/>
            <w:tcBorders>
              <w:top w:val="single" w:color="auto" w:sz="4" w:space="0"/>
              <w:left w:val="single" w:color="auto" w:sz="4" w:space="0"/>
              <w:bottom w:val="single" w:color="auto" w:sz="4" w:space="0"/>
              <w:right w:val="single" w:color="auto" w:sz="4" w:space="0"/>
            </w:tcBorders>
            <w:vAlign w:val="center"/>
          </w:tcPr>
          <w:p w14:paraId="0AE682E1">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.66</w:t>
            </w:r>
          </w:p>
        </w:tc>
      </w:tr>
      <w:tr w14:paraId="604F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4ADE6615">
            <w:pPr>
              <w:jc w:val="center"/>
              <w:rPr>
                <w:rFonts w:ascii="Calibri"/>
                <w:szCs w:val="24"/>
              </w:rPr>
            </w:pPr>
          </w:p>
        </w:tc>
        <w:tc>
          <w:tcPr>
            <w:tcW w:w="939" w:type="pct"/>
            <w:vMerge w:val="continue"/>
            <w:tcBorders>
              <w:left w:val="single" w:color="auto" w:sz="4" w:space="0"/>
              <w:right w:val="single" w:color="auto" w:sz="4" w:space="0"/>
            </w:tcBorders>
            <w:vAlign w:val="center"/>
          </w:tcPr>
          <w:p w14:paraId="1BBD63BD">
            <w:pPr>
              <w:spacing w:line="320" w:lineRule="exact"/>
              <w:jc w:val="center"/>
              <w:rPr>
                <w:rFonts w:ascii="Times New Roman" w:eastAsia="仿宋_GB2312"/>
                <w:szCs w:val="24"/>
                <w:lang w:bidi="ar"/>
              </w:rPr>
            </w:pPr>
          </w:p>
        </w:tc>
        <w:tc>
          <w:tcPr>
            <w:tcW w:w="824" w:type="pct"/>
            <w:tcBorders>
              <w:top w:val="single" w:color="auto" w:sz="4" w:space="0"/>
              <w:left w:val="single" w:color="auto" w:sz="4" w:space="0"/>
              <w:bottom w:val="single" w:color="auto" w:sz="4" w:space="0"/>
              <w:right w:val="single" w:color="auto" w:sz="4" w:space="0"/>
            </w:tcBorders>
            <w:vAlign w:val="center"/>
          </w:tcPr>
          <w:p w14:paraId="37D4D18D">
            <w:pPr>
              <w:jc w:val="center"/>
              <w:rPr>
                <w:rFonts w:ascii="Times New Roman" w:eastAsia="仿宋"/>
                <w:szCs w:val="21"/>
              </w:rPr>
            </w:pPr>
            <w:r>
              <w:rPr>
                <w:rFonts w:hint="eastAsia" w:ascii="Times New Roman" w:eastAsia="仿宋"/>
                <w:szCs w:val="21"/>
              </w:rPr>
              <w:t>二甲苯</w:t>
            </w:r>
          </w:p>
        </w:tc>
        <w:tc>
          <w:tcPr>
            <w:tcW w:w="907" w:type="pct"/>
            <w:tcBorders>
              <w:top w:val="single" w:color="auto" w:sz="4" w:space="0"/>
              <w:left w:val="single" w:color="auto" w:sz="4" w:space="0"/>
              <w:bottom w:val="single" w:color="auto" w:sz="4" w:space="0"/>
              <w:right w:val="single" w:color="auto" w:sz="4" w:space="0"/>
            </w:tcBorders>
            <w:vAlign w:val="center"/>
          </w:tcPr>
          <w:p w14:paraId="2074C30F">
            <w:pPr>
              <w:jc w:val="center"/>
              <w:rPr>
                <w:rFonts w:ascii="Times New Roman" w:eastAsia="仿宋"/>
                <w:szCs w:val="21"/>
              </w:rPr>
            </w:pPr>
            <w:r>
              <w:rPr>
                <w:rFonts w:ascii="Times New Roman" w:eastAsia="仿宋"/>
                <w:szCs w:val="21"/>
              </w:rPr>
              <w:t>200</w:t>
            </w:r>
          </w:p>
        </w:tc>
        <w:tc>
          <w:tcPr>
            <w:tcW w:w="906" w:type="pct"/>
            <w:tcBorders>
              <w:top w:val="single" w:color="auto" w:sz="4" w:space="0"/>
              <w:left w:val="single" w:color="auto" w:sz="4" w:space="0"/>
              <w:bottom w:val="single" w:color="auto" w:sz="4" w:space="0"/>
              <w:right w:val="single" w:color="auto" w:sz="4" w:space="0"/>
            </w:tcBorders>
            <w:vAlign w:val="center"/>
          </w:tcPr>
          <w:p w14:paraId="6C2659A4">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c>
          <w:tcPr>
            <w:tcW w:w="882" w:type="pct"/>
            <w:tcBorders>
              <w:top w:val="single" w:color="auto" w:sz="4" w:space="0"/>
              <w:left w:val="single" w:color="auto" w:sz="4" w:space="0"/>
              <w:bottom w:val="single" w:color="auto" w:sz="4" w:space="0"/>
              <w:right w:val="single" w:color="auto" w:sz="4" w:space="0"/>
            </w:tcBorders>
            <w:vAlign w:val="center"/>
          </w:tcPr>
          <w:p w14:paraId="77AED61F">
            <w:pPr>
              <w:jc w:val="center"/>
              <w:rPr>
                <w:rFonts w:ascii="Times New Roman" w:eastAsia="仿宋"/>
                <w:szCs w:val="21"/>
              </w:rPr>
            </w:pPr>
            <w:r>
              <w:rPr>
                <w:rFonts w:hint="eastAsia" w:ascii="Times New Roman" w:eastAsia="仿宋"/>
                <w:szCs w:val="21"/>
              </w:rPr>
              <w:t>0</w:t>
            </w:r>
            <w:r>
              <w:rPr>
                <w:rFonts w:ascii="Times New Roman" w:eastAsia="仿宋"/>
                <w:szCs w:val="21"/>
              </w:rPr>
              <w:t>.99</w:t>
            </w:r>
          </w:p>
        </w:tc>
      </w:tr>
      <w:tr w14:paraId="0BC7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3EACD267">
            <w:pPr>
              <w:jc w:val="center"/>
              <w:rPr>
                <w:rFonts w:ascii="Calibri"/>
                <w:szCs w:val="24"/>
              </w:rPr>
            </w:pPr>
          </w:p>
        </w:tc>
        <w:tc>
          <w:tcPr>
            <w:tcW w:w="939" w:type="pct"/>
            <w:vMerge w:val="continue"/>
            <w:tcBorders>
              <w:left w:val="single" w:color="auto" w:sz="4" w:space="0"/>
              <w:right w:val="single" w:color="auto" w:sz="4" w:space="0"/>
            </w:tcBorders>
            <w:vAlign w:val="center"/>
          </w:tcPr>
          <w:p w14:paraId="00EEFC0A">
            <w:pPr>
              <w:spacing w:line="320" w:lineRule="exact"/>
              <w:jc w:val="center"/>
              <w:rPr>
                <w:rFonts w:ascii="Times New Roman" w:eastAsia="仿宋_GB2312"/>
                <w:szCs w:val="24"/>
                <w:lang w:bidi="ar"/>
              </w:rPr>
            </w:pPr>
          </w:p>
        </w:tc>
        <w:tc>
          <w:tcPr>
            <w:tcW w:w="824" w:type="pct"/>
            <w:tcBorders>
              <w:top w:val="single" w:color="auto" w:sz="4" w:space="0"/>
              <w:left w:val="single" w:color="auto" w:sz="4" w:space="0"/>
              <w:bottom w:val="single" w:color="auto" w:sz="4" w:space="0"/>
              <w:right w:val="single" w:color="auto" w:sz="4" w:space="0"/>
            </w:tcBorders>
            <w:vAlign w:val="center"/>
          </w:tcPr>
          <w:p w14:paraId="23A35499">
            <w:pPr>
              <w:jc w:val="center"/>
              <w:rPr>
                <w:rFonts w:ascii="Times New Roman" w:eastAsia="仿宋"/>
                <w:szCs w:val="21"/>
              </w:rPr>
            </w:pPr>
            <w:r>
              <w:rPr>
                <w:rFonts w:hint="eastAsia" w:ascii="Times New Roman" w:eastAsia="仿宋"/>
                <w:szCs w:val="21"/>
              </w:rPr>
              <w:t>二氧化硫</w:t>
            </w:r>
          </w:p>
        </w:tc>
        <w:tc>
          <w:tcPr>
            <w:tcW w:w="907" w:type="pct"/>
            <w:tcBorders>
              <w:top w:val="single" w:color="auto" w:sz="4" w:space="0"/>
              <w:left w:val="single" w:color="auto" w:sz="4" w:space="0"/>
              <w:bottom w:val="single" w:color="auto" w:sz="4" w:space="0"/>
              <w:right w:val="single" w:color="auto" w:sz="4" w:space="0"/>
            </w:tcBorders>
            <w:vAlign w:val="center"/>
          </w:tcPr>
          <w:p w14:paraId="3F05C304">
            <w:pPr>
              <w:jc w:val="center"/>
              <w:rPr>
                <w:rFonts w:ascii="Times New Roman" w:eastAsia="仿宋"/>
                <w:szCs w:val="21"/>
              </w:rPr>
            </w:pPr>
            <w:r>
              <w:rPr>
                <w:rFonts w:hint="eastAsia" w:ascii="Times New Roman" w:eastAsia="仿宋"/>
                <w:szCs w:val="21"/>
              </w:rPr>
              <w:t>5</w:t>
            </w:r>
            <w:r>
              <w:rPr>
                <w:rFonts w:ascii="Times New Roman" w:eastAsia="仿宋"/>
                <w:szCs w:val="21"/>
              </w:rPr>
              <w:t>00</w:t>
            </w:r>
          </w:p>
        </w:tc>
        <w:tc>
          <w:tcPr>
            <w:tcW w:w="906" w:type="pct"/>
            <w:tcBorders>
              <w:top w:val="single" w:color="auto" w:sz="4" w:space="0"/>
              <w:left w:val="single" w:color="auto" w:sz="4" w:space="0"/>
              <w:bottom w:val="single" w:color="auto" w:sz="4" w:space="0"/>
              <w:right w:val="single" w:color="auto" w:sz="4" w:space="0"/>
            </w:tcBorders>
            <w:vAlign w:val="center"/>
          </w:tcPr>
          <w:p w14:paraId="14BBFB68">
            <w:pPr>
              <w:jc w:val="center"/>
              <w:rPr>
                <w:rFonts w:ascii="Times New Roman" w:eastAsia="仿宋"/>
                <w:szCs w:val="21"/>
              </w:rPr>
            </w:pPr>
            <w:r>
              <w:rPr>
                <w:rFonts w:hint="eastAsia" w:ascii="Times New Roman" w:eastAsia="仿宋"/>
                <w:szCs w:val="21"/>
              </w:rPr>
              <w:t>0</w:t>
            </w:r>
            <w:r>
              <w:rPr>
                <w:rFonts w:ascii="Times New Roman" w:eastAsia="仿宋"/>
                <w:szCs w:val="21"/>
              </w:rPr>
              <w:t>.0792</w:t>
            </w:r>
          </w:p>
        </w:tc>
        <w:tc>
          <w:tcPr>
            <w:tcW w:w="882" w:type="pct"/>
            <w:tcBorders>
              <w:top w:val="single" w:color="auto" w:sz="4" w:space="0"/>
              <w:left w:val="single" w:color="auto" w:sz="4" w:space="0"/>
              <w:bottom w:val="single" w:color="auto" w:sz="4" w:space="0"/>
              <w:right w:val="single" w:color="auto" w:sz="4" w:space="0"/>
            </w:tcBorders>
            <w:vAlign w:val="center"/>
          </w:tcPr>
          <w:p w14:paraId="0C03A5EA">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r>
      <w:tr w14:paraId="55C4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4DFB8292">
            <w:pPr>
              <w:jc w:val="center"/>
              <w:rPr>
                <w:rFonts w:ascii="Calibri"/>
                <w:szCs w:val="24"/>
              </w:rPr>
            </w:pPr>
          </w:p>
        </w:tc>
        <w:tc>
          <w:tcPr>
            <w:tcW w:w="939" w:type="pct"/>
            <w:vMerge w:val="continue"/>
            <w:tcBorders>
              <w:left w:val="single" w:color="auto" w:sz="4" w:space="0"/>
              <w:bottom w:val="single" w:color="auto" w:sz="4" w:space="0"/>
              <w:right w:val="single" w:color="auto" w:sz="4" w:space="0"/>
            </w:tcBorders>
            <w:vAlign w:val="center"/>
          </w:tcPr>
          <w:p w14:paraId="1BDBF190">
            <w:pPr>
              <w:spacing w:line="320" w:lineRule="exact"/>
              <w:jc w:val="center"/>
              <w:rPr>
                <w:rFonts w:ascii="Times New Roman" w:eastAsia="仿宋_GB2312"/>
                <w:szCs w:val="24"/>
                <w:lang w:bidi="ar"/>
              </w:rPr>
            </w:pPr>
          </w:p>
        </w:tc>
        <w:tc>
          <w:tcPr>
            <w:tcW w:w="824" w:type="pct"/>
            <w:tcBorders>
              <w:top w:val="single" w:color="auto" w:sz="4" w:space="0"/>
              <w:left w:val="single" w:color="auto" w:sz="4" w:space="0"/>
              <w:bottom w:val="single" w:color="auto" w:sz="4" w:space="0"/>
              <w:right w:val="single" w:color="auto" w:sz="4" w:space="0"/>
            </w:tcBorders>
            <w:vAlign w:val="center"/>
          </w:tcPr>
          <w:p w14:paraId="5CAA6F2E">
            <w:pPr>
              <w:jc w:val="center"/>
              <w:rPr>
                <w:rFonts w:ascii="Times New Roman" w:eastAsia="仿宋"/>
                <w:szCs w:val="21"/>
              </w:rPr>
            </w:pPr>
            <w:r>
              <w:rPr>
                <w:rFonts w:hint="eastAsia" w:ascii="Times New Roman" w:eastAsia="仿宋"/>
                <w:szCs w:val="21"/>
              </w:rPr>
              <w:t>氮氧化物</w:t>
            </w:r>
          </w:p>
        </w:tc>
        <w:tc>
          <w:tcPr>
            <w:tcW w:w="907" w:type="pct"/>
            <w:tcBorders>
              <w:top w:val="single" w:color="auto" w:sz="4" w:space="0"/>
              <w:left w:val="single" w:color="auto" w:sz="4" w:space="0"/>
              <w:bottom w:val="single" w:color="auto" w:sz="4" w:space="0"/>
              <w:right w:val="single" w:color="auto" w:sz="4" w:space="0"/>
            </w:tcBorders>
            <w:vAlign w:val="center"/>
          </w:tcPr>
          <w:p w14:paraId="4198FCFF">
            <w:pPr>
              <w:jc w:val="center"/>
              <w:rPr>
                <w:rFonts w:ascii="Times New Roman" w:eastAsia="仿宋"/>
                <w:szCs w:val="21"/>
              </w:rPr>
            </w:pPr>
            <w:r>
              <w:rPr>
                <w:rFonts w:hint="eastAsia" w:ascii="Times New Roman" w:eastAsia="仿宋"/>
                <w:szCs w:val="21"/>
              </w:rPr>
              <w:t>2</w:t>
            </w:r>
            <w:r>
              <w:rPr>
                <w:rFonts w:ascii="Times New Roman" w:eastAsia="仿宋"/>
                <w:szCs w:val="21"/>
              </w:rPr>
              <w:t>00</w:t>
            </w:r>
          </w:p>
        </w:tc>
        <w:tc>
          <w:tcPr>
            <w:tcW w:w="906" w:type="pct"/>
            <w:tcBorders>
              <w:top w:val="single" w:color="auto" w:sz="4" w:space="0"/>
              <w:left w:val="single" w:color="auto" w:sz="4" w:space="0"/>
              <w:bottom w:val="single" w:color="auto" w:sz="4" w:space="0"/>
              <w:right w:val="single" w:color="auto" w:sz="4" w:space="0"/>
            </w:tcBorders>
            <w:vAlign w:val="center"/>
          </w:tcPr>
          <w:p w14:paraId="0CC415FC">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c>
          <w:tcPr>
            <w:tcW w:w="882" w:type="pct"/>
            <w:tcBorders>
              <w:top w:val="single" w:color="auto" w:sz="4" w:space="0"/>
              <w:left w:val="single" w:color="auto" w:sz="4" w:space="0"/>
              <w:bottom w:val="single" w:color="auto" w:sz="4" w:space="0"/>
              <w:right w:val="single" w:color="auto" w:sz="4" w:space="0"/>
            </w:tcBorders>
            <w:vAlign w:val="center"/>
          </w:tcPr>
          <w:p w14:paraId="34189E5D">
            <w:pPr>
              <w:jc w:val="center"/>
              <w:rPr>
                <w:rFonts w:ascii="Times New Roman" w:eastAsia="仿宋"/>
                <w:szCs w:val="21"/>
              </w:rPr>
            </w:pPr>
            <w:r>
              <w:rPr>
                <w:rFonts w:hint="eastAsia" w:ascii="Times New Roman" w:eastAsia="仿宋"/>
                <w:szCs w:val="21"/>
              </w:rPr>
              <w:t>0.</w:t>
            </w:r>
            <w:r>
              <w:rPr>
                <w:rFonts w:ascii="Times New Roman" w:eastAsia="仿宋"/>
                <w:szCs w:val="21"/>
              </w:rPr>
              <w:t>79</w:t>
            </w:r>
          </w:p>
        </w:tc>
      </w:tr>
      <w:tr w14:paraId="1855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2" w:type="pct"/>
            <w:vMerge w:val="continue"/>
            <w:tcBorders>
              <w:left w:val="single" w:color="auto" w:sz="4" w:space="0"/>
              <w:right w:val="single" w:color="auto" w:sz="4" w:space="0"/>
            </w:tcBorders>
            <w:vAlign w:val="center"/>
          </w:tcPr>
          <w:p w14:paraId="0DA7861E">
            <w:pPr>
              <w:jc w:val="center"/>
              <w:rPr>
                <w:rFonts w:ascii="Calibri"/>
                <w:szCs w:val="24"/>
              </w:rPr>
            </w:pPr>
          </w:p>
        </w:tc>
        <w:tc>
          <w:tcPr>
            <w:tcW w:w="939" w:type="pct"/>
            <w:tcBorders>
              <w:top w:val="single" w:color="auto" w:sz="4" w:space="0"/>
              <w:left w:val="single" w:color="auto" w:sz="4" w:space="0"/>
              <w:bottom w:val="single" w:color="auto" w:sz="4" w:space="0"/>
              <w:right w:val="single" w:color="auto" w:sz="4" w:space="0"/>
            </w:tcBorders>
            <w:vAlign w:val="center"/>
          </w:tcPr>
          <w:p w14:paraId="2EED04C7">
            <w:pPr>
              <w:spacing w:line="320" w:lineRule="exact"/>
              <w:jc w:val="center"/>
              <w:rPr>
                <w:rFonts w:ascii="Times New Roman" w:eastAsia="仿宋_GB2312"/>
                <w:szCs w:val="24"/>
                <w:lang w:bidi="ar"/>
              </w:rPr>
            </w:pPr>
            <w:r>
              <w:rPr>
                <w:rFonts w:hint="eastAsia" w:ascii="Times New Roman" w:eastAsia="仿宋_GB2312"/>
                <w:szCs w:val="24"/>
                <w:lang w:bidi="ar"/>
              </w:rPr>
              <w:t>5#</w:t>
            </w:r>
          </w:p>
        </w:tc>
        <w:tc>
          <w:tcPr>
            <w:tcW w:w="824" w:type="pct"/>
            <w:tcBorders>
              <w:top w:val="single" w:color="auto" w:sz="4" w:space="0"/>
              <w:left w:val="single" w:color="auto" w:sz="4" w:space="0"/>
              <w:bottom w:val="single" w:color="auto" w:sz="4" w:space="0"/>
              <w:right w:val="single" w:color="auto" w:sz="4" w:space="0"/>
            </w:tcBorders>
            <w:vAlign w:val="center"/>
          </w:tcPr>
          <w:p w14:paraId="58026D5E">
            <w:pPr>
              <w:jc w:val="center"/>
              <w:rPr>
                <w:rFonts w:ascii="Times New Roman" w:eastAsia="仿宋"/>
                <w:szCs w:val="21"/>
              </w:rPr>
            </w:pPr>
            <w:r>
              <w:rPr>
                <w:rFonts w:hint="eastAsia" w:ascii="Times New Roman" w:eastAsia="仿宋"/>
                <w:szCs w:val="21"/>
              </w:rPr>
              <w:t>氮氧化物</w:t>
            </w:r>
          </w:p>
        </w:tc>
        <w:tc>
          <w:tcPr>
            <w:tcW w:w="907" w:type="pct"/>
            <w:tcBorders>
              <w:top w:val="single" w:color="auto" w:sz="4" w:space="0"/>
              <w:left w:val="single" w:color="auto" w:sz="4" w:space="0"/>
              <w:bottom w:val="single" w:color="auto" w:sz="4" w:space="0"/>
              <w:right w:val="single" w:color="auto" w:sz="4" w:space="0"/>
            </w:tcBorders>
            <w:vAlign w:val="center"/>
          </w:tcPr>
          <w:p w14:paraId="4EA984AF">
            <w:pPr>
              <w:jc w:val="center"/>
              <w:rPr>
                <w:rFonts w:ascii="Times New Roman" w:eastAsia="仿宋"/>
                <w:szCs w:val="21"/>
              </w:rPr>
            </w:pPr>
            <w:r>
              <w:rPr>
                <w:rFonts w:hint="eastAsia" w:ascii="Times New Roman" w:eastAsia="仿宋"/>
                <w:szCs w:val="21"/>
              </w:rPr>
              <w:t>2</w:t>
            </w:r>
            <w:r>
              <w:rPr>
                <w:rFonts w:ascii="Times New Roman" w:eastAsia="仿宋"/>
                <w:szCs w:val="21"/>
              </w:rPr>
              <w:t>00</w:t>
            </w:r>
          </w:p>
        </w:tc>
        <w:tc>
          <w:tcPr>
            <w:tcW w:w="906" w:type="pct"/>
            <w:tcBorders>
              <w:top w:val="single" w:color="auto" w:sz="4" w:space="0"/>
              <w:left w:val="single" w:color="auto" w:sz="4" w:space="0"/>
              <w:bottom w:val="single" w:color="auto" w:sz="4" w:space="0"/>
              <w:right w:val="single" w:color="auto" w:sz="4" w:space="0"/>
            </w:tcBorders>
            <w:vAlign w:val="center"/>
          </w:tcPr>
          <w:p w14:paraId="4EF0BF67">
            <w:pPr>
              <w:jc w:val="center"/>
              <w:rPr>
                <w:rFonts w:ascii="Times New Roman" w:eastAsia="仿宋"/>
                <w:szCs w:val="21"/>
              </w:rPr>
            </w:pPr>
            <w:r>
              <w:rPr>
                <w:rFonts w:ascii="Times New Roman" w:eastAsia="仿宋"/>
                <w:szCs w:val="21"/>
              </w:rPr>
              <w:t>3.96</w:t>
            </w:r>
          </w:p>
        </w:tc>
        <w:tc>
          <w:tcPr>
            <w:tcW w:w="882" w:type="pct"/>
            <w:tcBorders>
              <w:top w:val="single" w:color="auto" w:sz="4" w:space="0"/>
              <w:left w:val="single" w:color="auto" w:sz="4" w:space="0"/>
              <w:bottom w:val="single" w:color="auto" w:sz="4" w:space="0"/>
              <w:right w:val="single" w:color="auto" w:sz="4" w:space="0"/>
            </w:tcBorders>
            <w:vAlign w:val="center"/>
          </w:tcPr>
          <w:p w14:paraId="4CA927A9">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r>
      <w:tr w14:paraId="78BE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restart"/>
            <w:tcBorders>
              <w:top w:val="single" w:color="auto" w:sz="4" w:space="0"/>
              <w:left w:val="single" w:color="auto" w:sz="4" w:space="0"/>
              <w:right w:val="single" w:color="auto" w:sz="4" w:space="0"/>
            </w:tcBorders>
            <w:vAlign w:val="center"/>
          </w:tcPr>
          <w:p w14:paraId="65F36528">
            <w:pPr>
              <w:jc w:val="center"/>
              <w:rPr>
                <w:rFonts w:ascii="Times New Roman" w:eastAsia="仿宋_GB2312"/>
                <w:szCs w:val="24"/>
              </w:rPr>
            </w:pPr>
            <w:r>
              <w:rPr>
                <w:rFonts w:hint="eastAsia" w:ascii="Times New Roman" w:eastAsia="仿宋"/>
                <w:szCs w:val="21"/>
              </w:rPr>
              <w:t>无组织废气</w:t>
            </w:r>
          </w:p>
        </w:tc>
        <w:tc>
          <w:tcPr>
            <w:tcW w:w="939" w:type="pct"/>
            <w:tcBorders>
              <w:top w:val="single" w:color="auto" w:sz="4" w:space="0"/>
              <w:left w:val="single" w:color="auto" w:sz="4" w:space="0"/>
              <w:bottom w:val="single" w:color="auto" w:sz="4" w:space="0"/>
              <w:right w:val="single" w:color="auto" w:sz="4" w:space="0"/>
            </w:tcBorders>
            <w:vAlign w:val="center"/>
          </w:tcPr>
          <w:p w14:paraId="2E65D8C4">
            <w:pPr>
              <w:jc w:val="center"/>
              <w:rPr>
                <w:rFonts w:ascii="Times New Roman" w:eastAsia="仿宋"/>
                <w:szCs w:val="21"/>
              </w:rPr>
            </w:pPr>
            <w:r>
              <w:rPr>
                <w:rFonts w:hint="eastAsia" w:ascii="Times New Roman" w:eastAsia="仿宋"/>
                <w:szCs w:val="21"/>
              </w:rPr>
              <w:t>1号钣金车间</w:t>
            </w:r>
          </w:p>
        </w:tc>
        <w:tc>
          <w:tcPr>
            <w:tcW w:w="824" w:type="pct"/>
            <w:tcBorders>
              <w:top w:val="single" w:color="auto" w:sz="4" w:space="0"/>
              <w:left w:val="single" w:color="auto" w:sz="4" w:space="0"/>
              <w:bottom w:val="single" w:color="auto" w:sz="4" w:space="0"/>
              <w:right w:val="single" w:color="auto" w:sz="4" w:space="0"/>
            </w:tcBorders>
            <w:vAlign w:val="center"/>
          </w:tcPr>
          <w:p w14:paraId="0F39C0CE">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2E345B26">
            <w:pPr>
              <w:jc w:val="center"/>
              <w:rPr>
                <w:rFonts w:ascii="Times New Roman" w:eastAsia="仿宋"/>
                <w:szCs w:val="21"/>
              </w:rPr>
            </w:pPr>
            <w:r>
              <w:rPr>
                <w:rFonts w:hint="eastAsia" w:ascii="Times New Roman" w:eastAsia="仿宋"/>
                <w:szCs w:val="21"/>
              </w:rPr>
              <w:t>450</w:t>
            </w:r>
          </w:p>
        </w:tc>
        <w:tc>
          <w:tcPr>
            <w:tcW w:w="906" w:type="pct"/>
            <w:tcBorders>
              <w:top w:val="single" w:color="auto" w:sz="4" w:space="0"/>
              <w:left w:val="single" w:color="auto" w:sz="4" w:space="0"/>
              <w:bottom w:val="single" w:color="auto" w:sz="4" w:space="0"/>
              <w:right w:val="single" w:color="auto" w:sz="4" w:space="0"/>
            </w:tcBorders>
            <w:vAlign w:val="center"/>
          </w:tcPr>
          <w:p w14:paraId="2F4DF1E4">
            <w:pPr>
              <w:jc w:val="center"/>
              <w:rPr>
                <w:rFonts w:ascii="Times New Roman" w:eastAsia="仿宋"/>
                <w:szCs w:val="21"/>
              </w:rPr>
            </w:pPr>
            <w:r>
              <w:rPr>
                <w:rFonts w:hint="eastAsia" w:ascii="Times New Roman" w:eastAsia="仿宋"/>
                <w:szCs w:val="21"/>
              </w:rPr>
              <w:t>0.53</w:t>
            </w:r>
          </w:p>
        </w:tc>
        <w:tc>
          <w:tcPr>
            <w:tcW w:w="882" w:type="pct"/>
            <w:tcBorders>
              <w:top w:val="single" w:color="auto" w:sz="4" w:space="0"/>
              <w:left w:val="single" w:color="auto" w:sz="4" w:space="0"/>
              <w:bottom w:val="single" w:color="auto" w:sz="4" w:space="0"/>
              <w:right w:val="single" w:color="auto" w:sz="4" w:space="0"/>
            </w:tcBorders>
            <w:vAlign w:val="center"/>
          </w:tcPr>
          <w:p w14:paraId="25737B88">
            <w:pPr>
              <w:jc w:val="center"/>
              <w:rPr>
                <w:rFonts w:ascii="Times New Roman" w:eastAsia="仿宋"/>
                <w:szCs w:val="21"/>
              </w:rPr>
            </w:pPr>
            <w:r>
              <w:rPr>
                <w:rFonts w:hint="eastAsia" w:ascii="Times New Roman" w:eastAsia="仿宋"/>
                <w:szCs w:val="21"/>
              </w:rPr>
              <w:t>0.118</w:t>
            </w:r>
          </w:p>
        </w:tc>
      </w:tr>
      <w:tr w14:paraId="1318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continue"/>
            <w:tcBorders>
              <w:left w:val="single" w:color="auto" w:sz="4" w:space="0"/>
              <w:right w:val="single" w:color="auto" w:sz="4" w:space="0"/>
            </w:tcBorders>
            <w:vAlign w:val="center"/>
          </w:tcPr>
          <w:p w14:paraId="158CA281">
            <w:pPr>
              <w:jc w:val="center"/>
              <w:rPr>
                <w:rFonts w:ascii="Calibri"/>
                <w:szCs w:val="24"/>
              </w:rPr>
            </w:pPr>
          </w:p>
        </w:tc>
        <w:tc>
          <w:tcPr>
            <w:tcW w:w="939" w:type="pct"/>
            <w:tcBorders>
              <w:top w:val="single" w:color="auto" w:sz="4" w:space="0"/>
              <w:left w:val="single" w:color="auto" w:sz="4" w:space="0"/>
              <w:right w:val="single" w:color="auto" w:sz="4" w:space="0"/>
            </w:tcBorders>
            <w:vAlign w:val="center"/>
          </w:tcPr>
          <w:p w14:paraId="337F053D">
            <w:pPr>
              <w:jc w:val="center"/>
              <w:rPr>
                <w:rFonts w:ascii="Times New Roman" w:eastAsia="仿宋"/>
                <w:szCs w:val="21"/>
              </w:rPr>
            </w:pPr>
            <w:r>
              <w:rPr>
                <w:rFonts w:hint="eastAsia" w:ascii="Times New Roman" w:eastAsia="仿宋"/>
                <w:szCs w:val="21"/>
              </w:rPr>
              <w:t>2号钣金车间</w:t>
            </w:r>
          </w:p>
        </w:tc>
        <w:tc>
          <w:tcPr>
            <w:tcW w:w="824" w:type="pct"/>
            <w:tcBorders>
              <w:top w:val="single" w:color="auto" w:sz="4" w:space="0"/>
              <w:left w:val="single" w:color="auto" w:sz="4" w:space="0"/>
              <w:bottom w:val="single" w:color="auto" w:sz="4" w:space="0"/>
              <w:right w:val="single" w:color="auto" w:sz="4" w:space="0"/>
            </w:tcBorders>
            <w:vAlign w:val="center"/>
          </w:tcPr>
          <w:p w14:paraId="745B2FCF">
            <w:pPr>
              <w:spacing w:line="320" w:lineRule="exact"/>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1BDA0AD9">
            <w:pPr>
              <w:spacing w:line="320" w:lineRule="exact"/>
              <w:jc w:val="center"/>
              <w:rPr>
                <w:rFonts w:ascii="Times New Roman" w:eastAsia="仿宋"/>
                <w:szCs w:val="21"/>
              </w:rPr>
            </w:pPr>
            <w:r>
              <w:rPr>
                <w:rFonts w:hint="eastAsia" w:ascii="Times New Roman" w:eastAsia="仿宋"/>
                <w:szCs w:val="21"/>
              </w:rPr>
              <w:t>450</w:t>
            </w:r>
          </w:p>
        </w:tc>
        <w:tc>
          <w:tcPr>
            <w:tcW w:w="906" w:type="pct"/>
            <w:tcBorders>
              <w:top w:val="single" w:color="auto" w:sz="4" w:space="0"/>
              <w:left w:val="single" w:color="auto" w:sz="4" w:space="0"/>
              <w:bottom w:val="single" w:color="auto" w:sz="4" w:space="0"/>
              <w:right w:val="single" w:color="auto" w:sz="4" w:space="0"/>
            </w:tcBorders>
            <w:vAlign w:val="center"/>
          </w:tcPr>
          <w:p w14:paraId="48F30606">
            <w:pPr>
              <w:spacing w:line="320" w:lineRule="exact"/>
              <w:jc w:val="center"/>
              <w:rPr>
                <w:rFonts w:ascii="Times New Roman" w:eastAsia="仿宋"/>
                <w:szCs w:val="21"/>
              </w:rPr>
            </w:pPr>
            <w:r>
              <w:rPr>
                <w:rFonts w:ascii="Times New Roman" w:eastAsia="仿宋"/>
                <w:szCs w:val="21"/>
              </w:rPr>
              <w:t>0.79</w:t>
            </w:r>
          </w:p>
        </w:tc>
        <w:tc>
          <w:tcPr>
            <w:tcW w:w="882" w:type="pct"/>
            <w:tcBorders>
              <w:top w:val="single" w:color="auto" w:sz="4" w:space="0"/>
              <w:left w:val="single" w:color="auto" w:sz="4" w:space="0"/>
              <w:bottom w:val="single" w:color="auto" w:sz="4" w:space="0"/>
              <w:right w:val="single" w:color="auto" w:sz="4" w:space="0"/>
            </w:tcBorders>
            <w:vAlign w:val="center"/>
          </w:tcPr>
          <w:p w14:paraId="28A617A1">
            <w:pPr>
              <w:spacing w:line="320" w:lineRule="exact"/>
              <w:jc w:val="center"/>
              <w:rPr>
                <w:rFonts w:ascii="Times New Roman" w:eastAsia="仿宋"/>
                <w:szCs w:val="21"/>
              </w:rPr>
            </w:pPr>
            <w:r>
              <w:rPr>
                <w:rFonts w:ascii="Times New Roman" w:eastAsia="仿宋"/>
                <w:szCs w:val="21"/>
              </w:rPr>
              <w:t>0.18</w:t>
            </w:r>
          </w:p>
        </w:tc>
      </w:tr>
      <w:tr w14:paraId="3EF7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continue"/>
            <w:tcBorders>
              <w:left w:val="single" w:color="auto" w:sz="4" w:space="0"/>
              <w:right w:val="single" w:color="auto" w:sz="4" w:space="0"/>
            </w:tcBorders>
            <w:vAlign w:val="center"/>
          </w:tcPr>
          <w:p w14:paraId="3CE59007">
            <w:pPr>
              <w:jc w:val="center"/>
              <w:rPr>
                <w:rFonts w:ascii="Calibri"/>
                <w:szCs w:val="24"/>
              </w:rPr>
            </w:pPr>
          </w:p>
        </w:tc>
        <w:tc>
          <w:tcPr>
            <w:tcW w:w="939" w:type="pct"/>
            <w:vMerge w:val="restart"/>
            <w:tcBorders>
              <w:left w:val="single" w:color="auto" w:sz="4" w:space="0"/>
              <w:right w:val="single" w:color="auto" w:sz="4" w:space="0"/>
            </w:tcBorders>
            <w:vAlign w:val="center"/>
          </w:tcPr>
          <w:p w14:paraId="65D86021">
            <w:pPr>
              <w:jc w:val="center"/>
              <w:rPr>
                <w:rFonts w:ascii="Times New Roman" w:eastAsia="仿宋"/>
                <w:szCs w:val="21"/>
              </w:rPr>
            </w:pPr>
            <w:r>
              <w:rPr>
                <w:rFonts w:hint="eastAsia" w:ascii="Times New Roman" w:eastAsia="仿宋"/>
                <w:szCs w:val="21"/>
              </w:rPr>
              <w:t>3号喷涂车间</w:t>
            </w:r>
          </w:p>
        </w:tc>
        <w:tc>
          <w:tcPr>
            <w:tcW w:w="824" w:type="pct"/>
            <w:tcBorders>
              <w:top w:val="single" w:color="auto" w:sz="4" w:space="0"/>
              <w:left w:val="single" w:color="auto" w:sz="4" w:space="0"/>
              <w:bottom w:val="single" w:color="auto" w:sz="4" w:space="0"/>
              <w:right w:val="single" w:color="auto" w:sz="4" w:space="0"/>
            </w:tcBorders>
            <w:vAlign w:val="center"/>
          </w:tcPr>
          <w:p w14:paraId="1562CEAA">
            <w:pPr>
              <w:jc w:val="center"/>
              <w:rPr>
                <w:rFonts w:ascii="Times New Roman" w:eastAsia="仿宋"/>
                <w:szCs w:val="21"/>
              </w:rPr>
            </w:pPr>
            <w:r>
              <w:rPr>
                <w:rFonts w:hint="eastAsia" w:ascii="Times New Roman" w:eastAsia="仿宋"/>
                <w:szCs w:val="21"/>
              </w:rPr>
              <w:t>非甲烷总烃</w:t>
            </w:r>
          </w:p>
        </w:tc>
        <w:tc>
          <w:tcPr>
            <w:tcW w:w="907" w:type="pct"/>
            <w:tcBorders>
              <w:top w:val="single" w:color="auto" w:sz="4" w:space="0"/>
              <w:left w:val="single" w:color="auto" w:sz="4" w:space="0"/>
              <w:bottom w:val="single" w:color="auto" w:sz="4" w:space="0"/>
              <w:right w:val="single" w:color="auto" w:sz="4" w:space="0"/>
            </w:tcBorders>
            <w:vAlign w:val="center"/>
          </w:tcPr>
          <w:p w14:paraId="573D2DEE">
            <w:pPr>
              <w:jc w:val="center"/>
              <w:rPr>
                <w:rFonts w:ascii="Times New Roman" w:eastAsia="仿宋"/>
                <w:szCs w:val="21"/>
              </w:rPr>
            </w:pPr>
            <w:r>
              <w:rPr>
                <w:rFonts w:hint="eastAsia" w:ascii="Times New Roman" w:eastAsia="仿宋"/>
                <w:szCs w:val="21"/>
              </w:rPr>
              <w:t>2</w:t>
            </w:r>
            <w:r>
              <w:rPr>
                <w:rFonts w:ascii="Times New Roman" w:eastAsia="仿宋"/>
                <w:szCs w:val="21"/>
              </w:rPr>
              <w:t>000</w:t>
            </w:r>
          </w:p>
        </w:tc>
        <w:tc>
          <w:tcPr>
            <w:tcW w:w="906" w:type="pct"/>
            <w:tcBorders>
              <w:top w:val="single" w:color="auto" w:sz="4" w:space="0"/>
              <w:left w:val="single" w:color="auto" w:sz="4" w:space="0"/>
              <w:bottom w:val="single" w:color="auto" w:sz="4" w:space="0"/>
              <w:right w:val="single" w:color="auto" w:sz="4" w:space="0"/>
            </w:tcBorders>
            <w:vAlign w:val="center"/>
          </w:tcPr>
          <w:p w14:paraId="2B7B57D7">
            <w:pPr>
              <w:jc w:val="center"/>
              <w:rPr>
                <w:rFonts w:ascii="Times New Roman" w:eastAsia="仿宋"/>
                <w:szCs w:val="21"/>
              </w:rPr>
            </w:pPr>
            <w:r>
              <w:rPr>
                <w:rFonts w:hint="eastAsia" w:ascii="Times New Roman" w:eastAsia="仿宋"/>
                <w:szCs w:val="21"/>
              </w:rPr>
              <w:t>160</w:t>
            </w:r>
          </w:p>
        </w:tc>
        <w:tc>
          <w:tcPr>
            <w:tcW w:w="882" w:type="pct"/>
            <w:tcBorders>
              <w:top w:val="single" w:color="auto" w:sz="4" w:space="0"/>
              <w:left w:val="single" w:color="auto" w:sz="4" w:space="0"/>
              <w:bottom w:val="single" w:color="auto" w:sz="4" w:space="0"/>
              <w:right w:val="single" w:color="auto" w:sz="4" w:space="0"/>
            </w:tcBorders>
            <w:vAlign w:val="center"/>
          </w:tcPr>
          <w:p w14:paraId="5E674073">
            <w:pPr>
              <w:jc w:val="center"/>
              <w:rPr>
                <w:rFonts w:ascii="Times New Roman" w:eastAsia="仿宋"/>
                <w:szCs w:val="21"/>
              </w:rPr>
            </w:pPr>
            <w:r>
              <w:rPr>
                <w:rFonts w:hint="eastAsia" w:ascii="Times New Roman" w:eastAsia="仿宋"/>
                <w:szCs w:val="21"/>
              </w:rPr>
              <w:t>8</w:t>
            </w:r>
          </w:p>
        </w:tc>
      </w:tr>
      <w:tr w14:paraId="2EA3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continue"/>
            <w:tcBorders>
              <w:left w:val="single" w:color="auto" w:sz="4" w:space="0"/>
              <w:right w:val="single" w:color="auto" w:sz="4" w:space="0"/>
            </w:tcBorders>
            <w:vAlign w:val="center"/>
          </w:tcPr>
          <w:p w14:paraId="12EFB4CF">
            <w:pPr>
              <w:jc w:val="center"/>
              <w:rPr>
                <w:rFonts w:ascii="Calibri"/>
                <w:szCs w:val="24"/>
              </w:rPr>
            </w:pPr>
          </w:p>
        </w:tc>
        <w:tc>
          <w:tcPr>
            <w:tcW w:w="939" w:type="pct"/>
            <w:vMerge w:val="continue"/>
            <w:tcBorders>
              <w:left w:val="single" w:color="auto" w:sz="4" w:space="0"/>
              <w:right w:val="single" w:color="auto" w:sz="4" w:space="0"/>
            </w:tcBorders>
            <w:vAlign w:val="center"/>
          </w:tcPr>
          <w:p w14:paraId="1D48FA8C">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67C44697">
            <w:pPr>
              <w:jc w:val="center"/>
              <w:rPr>
                <w:rFonts w:ascii="Times New Roman" w:eastAsia="仿宋"/>
                <w:szCs w:val="21"/>
              </w:rPr>
            </w:pPr>
            <w:r>
              <w:rPr>
                <w:rFonts w:hint="eastAsia" w:ascii="Times New Roman" w:eastAsia="仿宋"/>
                <w:szCs w:val="21"/>
              </w:rPr>
              <w:t>颗粒物</w:t>
            </w:r>
          </w:p>
        </w:tc>
        <w:tc>
          <w:tcPr>
            <w:tcW w:w="907" w:type="pct"/>
            <w:tcBorders>
              <w:top w:val="single" w:color="auto" w:sz="4" w:space="0"/>
              <w:left w:val="single" w:color="auto" w:sz="4" w:space="0"/>
              <w:bottom w:val="single" w:color="auto" w:sz="4" w:space="0"/>
              <w:right w:val="single" w:color="auto" w:sz="4" w:space="0"/>
            </w:tcBorders>
            <w:vAlign w:val="center"/>
          </w:tcPr>
          <w:p w14:paraId="1FC1D995">
            <w:pPr>
              <w:jc w:val="center"/>
              <w:rPr>
                <w:rFonts w:ascii="Times New Roman" w:eastAsia="仿宋"/>
                <w:szCs w:val="21"/>
              </w:rPr>
            </w:pPr>
            <w:r>
              <w:rPr>
                <w:rFonts w:hint="eastAsia" w:ascii="Times New Roman" w:eastAsia="仿宋"/>
                <w:szCs w:val="21"/>
              </w:rPr>
              <w:t>450</w:t>
            </w:r>
          </w:p>
        </w:tc>
        <w:tc>
          <w:tcPr>
            <w:tcW w:w="906" w:type="pct"/>
            <w:tcBorders>
              <w:top w:val="single" w:color="auto" w:sz="4" w:space="0"/>
              <w:left w:val="single" w:color="auto" w:sz="4" w:space="0"/>
              <w:bottom w:val="single" w:color="auto" w:sz="4" w:space="0"/>
              <w:right w:val="single" w:color="auto" w:sz="4" w:space="0"/>
            </w:tcBorders>
            <w:vAlign w:val="center"/>
          </w:tcPr>
          <w:p w14:paraId="3A9B797A">
            <w:pPr>
              <w:jc w:val="center"/>
              <w:rPr>
                <w:rFonts w:ascii="Times New Roman" w:eastAsia="仿宋"/>
                <w:szCs w:val="21"/>
              </w:rPr>
            </w:pPr>
            <w:r>
              <w:rPr>
                <w:rFonts w:hint="eastAsia" w:ascii="Times New Roman" w:eastAsia="仿宋"/>
                <w:szCs w:val="21"/>
              </w:rPr>
              <w:t>23</w:t>
            </w:r>
          </w:p>
        </w:tc>
        <w:tc>
          <w:tcPr>
            <w:tcW w:w="882" w:type="pct"/>
            <w:tcBorders>
              <w:top w:val="single" w:color="auto" w:sz="4" w:space="0"/>
              <w:left w:val="single" w:color="auto" w:sz="4" w:space="0"/>
              <w:bottom w:val="single" w:color="auto" w:sz="4" w:space="0"/>
              <w:right w:val="single" w:color="auto" w:sz="4" w:space="0"/>
            </w:tcBorders>
            <w:vAlign w:val="center"/>
          </w:tcPr>
          <w:p w14:paraId="362B2D4C">
            <w:pPr>
              <w:jc w:val="center"/>
              <w:rPr>
                <w:rFonts w:ascii="Times New Roman" w:eastAsia="仿宋"/>
                <w:szCs w:val="21"/>
              </w:rPr>
            </w:pPr>
            <w:r>
              <w:rPr>
                <w:rFonts w:hint="eastAsia" w:ascii="Times New Roman" w:eastAsia="仿宋"/>
                <w:szCs w:val="21"/>
              </w:rPr>
              <w:t>5.11</w:t>
            </w:r>
          </w:p>
        </w:tc>
      </w:tr>
      <w:tr w14:paraId="7E39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continue"/>
            <w:tcBorders>
              <w:left w:val="single" w:color="auto" w:sz="4" w:space="0"/>
              <w:right w:val="single" w:color="auto" w:sz="4" w:space="0"/>
            </w:tcBorders>
            <w:vAlign w:val="center"/>
          </w:tcPr>
          <w:p w14:paraId="29864E0E">
            <w:pPr>
              <w:jc w:val="center"/>
              <w:rPr>
                <w:rFonts w:ascii="Calibri"/>
                <w:szCs w:val="24"/>
              </w:rPr>
            </w:pPr>
          </w:p>
        </w:tc>
        <w:tc>
          <w:tcPr>
            <w:tcW w:w="939" w:type="pct"/>
            <w:vMerge w:val="continue"/>
            <w:tcBorders>
              <w:left w:val="single" w:color="auto" w:sz="4" w:space="0"/>
              <w:bottom w:val="single" w:color="auto" w:sz="4" w:space="0"/>
              <w:right w:val="single" w:color="auto" w:sz="4" w:space="0"/>
            </w:tcBorders>
            <w:vAlign w:val="center"/>
          </w:tcPr>
          <w:p w14:paraId="2B02CD76">
            <w:pPr>
              <w:jc w:val="center"/>
              <w:rPr>
                <w:rFonts w:ascii="Times New Roman" w:eastAsia="仿宋"/>
                <w:szCs w:val="21"/>
              </w:rPr>
            </w:pPr>
          </w:p>
        </w:tc>
        <w:tc>
          <w:tcPr>
            <w:tcW w:w="824" w:type="pct"/>
            <w:tcBorders>
              <w:top w:val="single" w:color="auto" w:sz="4" w:space="0"/>
              <w:left w:val="single" w:color="auto" w:sz="4" w:space="0"/>
              <w:bottom w:val="single" w:color="auto" w:sz="4" w:space="0"/>
              <w:right w:val="single" w:color="auto" w:sz="4" w:space="0"/>
            </w:tcBorders>
            <w:vAlign w:val="center"/>
          </w:tcPr>
          <w:p w14:paraId="4D180A43">
            <w:pPr>
              <w:jc w:val="center"/>
              <w:rPr>
                <w:rFonts w:ascii="Times New Roman" w:eastAsia="仿宋"/>
                <w:szCs w:val="21"/>
              </w:rPr>
            </w:pPr>
            <w:r>
              <w:rPr>
                <w:rFonts w:hint="eastAsia" w:ascii="Times New Roman" w:eastAsia="仿宋"/>
                <w:szCs w:val="21"/>
              </w:rPr>
              <w:t>二甲苯</w:t>
            </w:r>
          </w:p>
        </w:tc>
        <w:tc>
          <w:tcPr>
            <w:tcW w:w="907" w:type="pct"/>
            <w:tcBorders>
              <w:top w:val="single" w:color="auto" w:sz="4" w:space="0"/>
              <w:left w:val="single" w:color="auto" w:sz="4" w:space="0"/>
              <w:bottom w:val="single" w:color="auto" w:sz="4" w:space="0"/>
              <w:right w:val="single" w:color="auto" w:sz="4" w:space="0"/>
            </w:tcBorders>
            <w:vAlign w:val="center"/>
          </w:tcPr>
          <w:p w14:paraId="285194CE">
            <w:pPr>
              <w:jc w:val="center"/>
              <w:rPr>
                <w:rFonts w:ascii="Times New Roman" w:eastAsia="仿宋"/>
                <w:szCs w:val="21"/>
              </w:rPr>
            </w:pPr>
            <w:r>
              <w:rPr>
                <w:rFonts w:hint="eastAsia" w:ascii="Times New Roman" w:eastAsia="仿宋"/>
                <w:szCs w:val="21"/>
              </w:rPr>
              <w:t>200</w:t>
            </w:r>
          </w:p>
        </w:tc>
        <w:tc>
          <w:tcPr>
            <w:tcW w:w="906" w:type="pct"/>
            <w:tcBorders>
              <w:top w:val="single" w:color="auto" w:sz="4" w:space="0"/>
              <w:left w:val="single" w:color="auto" w:sz="4" w:space="0"/>
              <w:bottom w:val="single" w:color="auto" w:sz="4" w:space="0"/>
              <w:right w:val="single" w:color="auto" w:sz="4" w:space="0"/>
            </w:tcBorders>
            <w:vAlign w:val="center"/>
          </w:tcPr>
          <w:p w14:paraId="7E5B8259">
            <w:pPr>
              <w:jc w:val="center"/>
              <w:rPr>
                <w:rFonts w:ascii="Times New Roman" w:eastAsia="仿宋"/>
                <w:szCs w:val="21"/>
              </w:rPr>
            </w:pPr>
            <w:r>
              <w:rPr>
                <w:rFonts w:hint="eastAsia" w:ascii="Times New Roman" w:eastAsia="仿宋"/>
                <w:szCs w:val="21"/>
              </w:rPr>
              <w:t>17</w:t>
            </w:r>
          </w:p>
        </w:tc>
        <w:tc>
          <w:tcPr>
            <w:tcW w:w="882" w:type="pct"/>
            <w:tcBorders>
              <w:top w:val="single" w:color="auto" w:sz="4" w:space="0"/>
              <w:left w:val="single" w:color="auto" w:sz="4" w:space="0"/>
              <w:bottom w:val="single" w:color="auto" w:sz="4" w:space="0"/>
              <w:right w:val="single" w:color="auto" w:sz="4" w:space="0"/>
            </w:tcBorders>
            <w:vAlign w:val="center"/>
          </w:tcPr>
          <w:p w14:paraId="5985BBA3">
            <w:pPr>
              <w:jc w:val="center"/>
              <w:rPr>
                <w:rFonts w:ascii="Times New Roman" w:eastAsia="仿宋"/>
                <w:szCs w:val="21"/>
              </w:rPr>
            </w:pPr>
            <w:r>
              <w:rPr>
                <w:rFonts w:hint="eastAsia" w:ascii="Times New Roman" w:eastAsia="仿宋"/>
                <w:szCs w:val="21"/>
              </w:rPr>
              <w:t>8.5</w:t>
            </w:r>
          </w:p>
        </w:tc>
      </w:tr>
      <w:tr w14:paraId="36D8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2" w:type="pct"/>
            <w:vMerge w:val="continue"/>
            <w:tcBorders>
              <w:left w:val="single" w:color="auto" w:sz="4" w:space="0"/>
              <w:right w:val="single" w:color="auto" w:sz="4" w:space="0"/>
            </w:tcBorders>
            <w:vAlign w:val="center"/>
          </w:tcPr>
          <w:p w14:paraId="6283AF8C">
            <w:pPr>
              <w:jc w:val="center"/>
              <w:rPr>
                <w:rFonts w:ascii="Calibri"/>
                <w:szCs w:val="24"/>
              </w:rPr>
            </w:pPr>
          </w:p>
        </w:tc>
        <w:tc>
          <w:tcPr>
            <w:tcW w:w="939" w:type="pct"/>
            <w:vAlign w:val="center"/>
          </w:tcPr>
          <w:p w14:paraId="4B408C71">
            <w:pPr>
              <w:jc w:val="center"/>
              <w:rPr>
                <w:rFonts w:ascii="Times New Roman" w:eastAsia="仿宋"/>
                <w:szCs w:val="21"/>
              </w:rPr>
            </w:pPr>
            <w:r>
              <w:rPr>
                <w:rFonts w:hint="eastAsia" w:ascii="Times New Roman" w:eastAsia="仿宋"/>
                <w:szCs w:val="21"/>
              </w:rPr>
              <w:t>4号钣金车间</w:t>
            </w:r>
          </w:p>
        </w:tc>
        <w:tc>
          <w:tcPr>
            <w:tcW w:w="824" w:type="pct"/>
            <w:vAlign w:val="center"/>
          </w:tcPr>
          <w:p w14:paraId="0B8BF375">
            <w:pPr>
              <w:jc w:val="center"/>
              <w:rPr>
                <w:rFonts w:ascii="Times New Roman" w:eastAsia="仿宋"/>
                <w:szCs w:val="21"/>
              </w:rPr>
            </w:pPr>
            <w:r>
              <w:rPr>
                <w:rFonts w:hint="eastAsia" w:ascii="Times New Roman" w:eastAsia="仿宋"/>
                <w:szCs w:val="21"/>
              </w:rPr>
              <w:t>颗粒物</w:t>
            </w:r>
          </w:p>
        </w:tc>
        <w:tc>
          <w:tcPr>
            <w:tcW w:w="907" w:type="pct"/>
            <w:vAlign w:val="center"/>
          </w:tcPr>
          <w:p w14:paraId="4089CAFC">
            <w:pPr>
              <w:jc w:val="center"/>
              <w:rPr>
                <w:rFonts w:ascii="Times New Roman" w:eastAsia="仿宋"/>
                <w:szCs w:val="21"/>
              </w:rPr>
            </w:pPr>
            <w:r>
              <w:rPr>
                <w:rFonts w:hint="eastAsia" w:ascii="Times New Roman" w:eastAsia="仿宋"/>
                <w:szCs w:val="21"/>
              </w:rPr>
              <w:t>450</w:t>
            </w:r>
          </w:p>
        </w:tc>
        <w:tc>
          <w:tcPr>
            <w:tcW w:w="906" w:type="pct"/>
            <w:vAlign w:val="center"/>
          </w:tcPr>
          <w:p w14:paraId="3BCD173F">
            <w:pPr>
              <w:jc w:val="center"/>
              <w:rPr>
                <w:rFonts w:ascii="Times New Roman" w:eastAsia="仿宋"/>
                <w:szCs w:val="21"/>
              </w:rPr>
            </w:pPr>
            <w:r>
              <w:rPr>
                <w:rFonts w:hint="eastAsia" w:ascii="Times New Roman" w:eastAsia="仿宋"/>
                <w:szCs w:val="21"/>
              </w:rPr>
              <w:t>0.79</w:t>
            </w:r>
          </w:p>
        </w:tc>
        <w:tc>
          <w:tcPr>
            <w:tcW w:w="882" w:type="pct"/>
            <w:vAlign w:val="center"/>
          </w:tcPr>
          <w:p w14:paraId="2BDCA7B5">
            <w:pPr>
              <w:jc w:val="center"/>
              <w:rPr>
                <w:rFonts w:ascii="Times New Roman" w:eastAsia="仿宋"/>
                <w:szCs w:val="21"/>
              </w:rPr>
            </w:pPr>
            <w:r>
              <w:rPr>
                <w:rFonts w:hint="eastAsia" w:ascii="Times New Roman" w:eastAsia="仿宋"/>
                <w:szCs w:val="21"/>
              </w:rPr>
              <w:t>0.17</w:t>
            </w:r>
          </w:p>
        </w:tc>
      </w:tr>
    </w:tbl>
    <w:p w14:paraId="17754F48">
      <w:pPr>
        <w:pStyle w:val="201"/>
        <w:ind w:firstLine="560"/>
        <w:rPr>
          <w:rFonts w:ascii="Times New Roman" w:eastAsia="仿宋"/>
          <w:sz w:val="28"/>
          <w:szCs w:val="28"/>
        </w:rPr>
      </w:pPr>
      <w:r>
        <w:rPr>
          <w:rFonts w:ascii="Times New Roman" w:eastAsia="仿宋"/>
          <w:sz w:val="28"/>
          <w:szCs w:val="28"/>
        </w:rPr>
        <w:t>综合以上分析，本项目P</w:t>
      </w:r>
      <w:r>
        <w:rPr>
          <w:rFonts w:ascii="Times New Roman" w:eastAsia="仿宋"/>
          <w:sz w:val="28"/>
          <w:szCs w:val="28"/>
          <w:vertAlign w:val="subscript"/>
        </w:rPr>
        <w:t>max</w:t>
      </w:r>
      <w:r>
        <w:rPr>
          <w:rFonts w:ascii="Times New Roman" w:eastAsia="仿宋"/>
          <w:sz w:val="28"/>
          <w:szCs w:val="28"/>
        </w:rPr>
        <w:t>最大值出现为</w:t>
      </w:r>
      <w:r>
        <w:rPr>
          <w:rFonts w:hint="eastAsia" w:ascii="Times New Roman" w:eastAsia="仿宋"/>
          <w:sz w:val="28"/>
          <w:szCs w:val="28"/>
        </w:rPr>
        <w:t>3</w:t>
      </w:r>
      <w:r>
        <w:rPr>
          <w:rFonts w:ascii="Times New Roman" w:eastAsia="仿宋"/>
          <w:sz w:val="28"/>
          <w:szCs w:val="28"/>
        </w:rPr>
        <w:t>#</w:t>
      </w:r>
      <w:r>
        <w:rPr>
          <w:rFonts w:hint="eastAsia" w:ascii="Times New Roman" w:eastAsia="仿宋"/>
          <w:sz w:val="28"/>
          <w:szCs w:val="28"/>
        </w:rPr>
        <w:t>排气筒</w:t>
      </w:r>
      <w:r>
        <w:rPr>
          <w:rFonts w:ascii="Times New Roman" w:eastAsia="仿宋"/>
          <w:sz w:val="28"/>
          <w:szCs w:val="28"/>
        </w:rPr>
        <w:t>排放的</w:t>
      </w:r>
      <w:r>
        <w:rPr>
          <w:rFonts w:hint="eastAsia" w:ascii="Times New Roman" w:eastAsia="仿宋"/>
          <w:sz w:val="28"/>
          <w:szCs w:val="28"/>
        </w:rPr>
        <w:t>二甲苯</w:t>
      </w:r>
      <w:r>
        <w:rPr>
          <w:rFonts w:ascii="Times New Roman" w:eastAsia="仿宋"/>
          <w:sz w:val="28"/>
          <w:szCs w:val="28"/>
        </w:rPr>
        <w:t>，P</w:t>
      </w:r>
      <w:r>
        <w:rPr>
          <w:rFonts w:ascii="Times New Roman" w:eastAsia="仿宋"/>
          <w:sz w:val="28"/>
          <w:szCs w:val="28"/>
          <w:vertAlign w:val="subscript"/>
        </w:rPr>
        <w:t>max</w:t>
      </w:r>
      <w:r>
        <w:rPr>
          <w:rFonts w:ascii="Times New Roman" w:eastAsia="仿宋"/>
          <w:sz w:val="28"/>
          <w:szCs w:val="28"/>
        </w:rPr>
        <w:t>值为4</w:t>
      </w:r>
      <w:r>
        <w:rPr>
          <w:rFonts w:hint="eastAsia" w:ascii="Times New Roman" w:eastAsia="仿宋"/>
          <w:sz w:val="28"/>
          <w:szCs w:val="28"/>
        </w:rPr>
        <w:t>.74</w:t>
      </w:r>
      <w:r>
        <w:rPr>
          <w:rFonts w:ascii="Times New Roman" w:eastAsia="仿宋"/>
          <w:sz w:val="28"/>
          <w:szCs w:val="28"/>
        </w:rPr>
        <w:t>%，根据《环境影响评价技术导则 大气环境》(HJ2.2-2018)分级判据，确定本项目大气环境影响评价工作等级为二级。</w:t>
      </w:r>
    </w:p>
    <w:p w14:paraId="57B5F4CD">
      <w:pPr>
        <w:pStyle w:val="201"/>
        <w:ind w:firstLine="560"/>
        <w:rPr>
          <w:rFonts w:ascii="Times New Roman" w:eastAsia="仿宋"/>
          <w:sz w:val="28"/>
          <w:szCs w:val="28"/>
        </w:rPr>
      </w:pPr>
      <w:r>
        <w:rPr>
          <w:rFonts w:hint="eastAsia" w:ascii="Times New Roman" w:eastAsia="仿宋"/>
          <w:sz w:val="28"/>
          <w:szCs w:val="28"/>
        </w:rPr>
        <w:t>（3）</w:t>
      </w:r>
      <w:r>
        <w:rPr>
          <w:rFonts w:ascii="Times New Roman" w:eastAsia="仿宋"/>
          <w:sz w:val="28"/>
          <w:szCs w:val="28"/>
        </w:rPr>
        <w:t>噪声评价等级</w:t>
      </w:r>
    </w:p>
    <w:p w14:paraId="0CC96DA3">
      <w:pPr>
        <w:spacing w:line="500" w:lineRule="exact"/>
        <w:ind w:firstLine="560" w:firstLineChars="200"/>
        <w:rPr>
          <w:rFonts w:ascii="Times New Roman" w:eastAsia="仿宋"/>
          <w:sz w:val="28"/>
          <w:szCs w:val="28"/>
        </w:rPr>
      </w:pPr>
      <w:r>
        <w:rPr>
          <w:rFonts w:ascii="Times New Roman" w:eastAsia="仿宋"/>
          <w:sz w:val="28"/>
          <w:szCs w:val="28"/>
        </w:rPr>
        <w:t>本项目所处的声环境功能区为《声环境质量标准》(GB3096-2008)中规定的3类地区，对照《</w:t>
      </w:r>
      <w:r>
        <w:rPr>
          <w:rFonts w:hint="eastAsia" w:ascii="Times New Roman" w:eastAsia="仿宋"/>
          <w:sz w:val="28"/>
          <w:szCs w:val="28"/>
        </w:rPr>
        <w:t xml:space="preserve">环境影响评价技术导则 </w:t>
      </w:r>
      <w:r>
        <w:rPr>
          <w:rFonts w:ascii="Times New Roman" w:eastAsia="仿宋"/>
          <w:sz w:val="28"/>
          <w:szCs w:val="28"/>
        </w:rPr>
        <w:t>声环境》（HJ2.4-2021）中的有关规定“建设项目所处的声环境功能区为GB3096规定的3类地区……按三级评价”。本项目所在地为《声环境质量标准》（GB3096-2008）中3类区，评价范围内无声环境保护目标。根据噪声环境影响评价导则与方法中工作等级划分判据及建设项目所在地的声环境功能要求，确定声环境影响等级为三级。</w:t>
      </w:r>
    </w:p>
    <w:p w14:paraId="758C0EBB">
      <w:pPr>
        <w:spacing w:line="500" w:lineRule="exact"/>
        <w:ind w:firstLine="560" w:firstLineChars="200"/>
        <w:rPr>
          <w:rFonts w:ascii="Times New Roman" w:eastAsia="仿宋"/>
          <w:sz w:val="28"/>
          <w:szCs w:val="28"/>
        </w:rPr>
      </w:pPr>
      <w:r>
        <w:rPr>
          <w:rFonts w:hint="eastAsia" w:ascii="Times New Roman" w:eastAsia="仿宋"/>
          <w:sz w:val="28"/>
          <w:szCs w:val="28"/>
        </w:rPr>
        <w:t>（4）</w:t>
      </w:r>
      <w:r>
        <w:rPr>
          <w:rFonts w:ascii="Times New Roman" w:eastAsia="仿宋"/>
          <w:sz w:val="28"/>
          <w:szCs w:val="28"/>
        </w:rPr>
        <w:t>地下水评价等级</w:t>
      </w:r>
    </w:p>
    <w:p w14:paraId="7F1B7C14">
      <w:pPr>
        <w:spacing w:line="500" w:lineRule="exact"/>
        <w:ind w:firstLine="560" w:firstLineChars="200"/>
        <w:rPr>
          <w:rFonts w:ascii="Times New Roman" w:eastAsia="仿宋"/>
          <w:sz w:val="28"/>
          <w:szCs w:val="28"/>
        </w:rPr>
      </w:pPr>
      <w:r>
        <w:rPr>
          <w:rFonts w:ascii="Times New Roman" w:eastAsia="仿宋"/>
          <w:sz w:val="28"/>
          <w:szCs w:val="28"/>
        </w:rPr>
        <w:t>根据《环境影响评价技术导则地下水环境》(HJ610-2016) 附录A 确定建设项目所属的地下水环境影响评价项目类别。</w:t>
      </w:r>
    </w:p>
    <w:p w14:paraId="04D2E7AB">
      <w:pPr>
        <w:spacing w:line="500" w:lineRule="exact"/>
        <w:jc w:val="center"/>
        <w:rPr>
          <w:rFonts w:ascii="Times New Roman" w:eastAsia="仿宋"/>
          <w:b/>
        </w:rPr>
      </w:pPr>
      <w:r>
        <w:rPr>
          <w:rFonts w:ascii="Times New Roman" w:eastAsia="仿宋"/>
          <w:b/>
        </w:rPr>
        <w:t>表2.4-3   附录A  地下水环境影响评价行业分类表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464"/>
        <w:gridCol w:w="1372"/>
        <w:gridCol w:w="1508"/>
        <w:gridCol w:w="1441"/>
      </w:tblGrid>
      <w:tr w14:paraId="23BC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0" w:type="dxa"/>
            <w:vMerge w:val="restart"/>
            <w:tcBorders>
              <w:tl2br w:val="single" w:color="auto" w:sz="4" w:space="0"/>
            </w:tcBorders>
            <w:vAlign w:val="center"/>
          </w:tcPr>
          <w:p w14:paraId="13C01946">
            <w:pPr>
              <w:jc w:val="center"/>
              <w:rPr>
                <w:rFonts w:ascii="Times New Roman" w:eastAsia="仿宋"/>
                <w:szCs w:val="21"/>
              </w:rPr>
            </w:pPr>
            <w:r>
              <w:rPr>
                <w:rFonts w:ascii="Times New Roman" w:eastAsia="仿宋"/>
                <w:szCs w:val="21"/>
              </w:rPr>
              <w:t xml:space="preserve">      环评类别</w:t>
            </w:r>
          </w:p>
          <w:p w14:paraId="44329088">
            <w:pPr>
              <w:rPr>
                <w:rFonts w:ascii="Times New Roman" w:eastAsia="仿宋"/>
                <w:szCs w:val="21"/>
              </w:rPr>
            </w:pPr>
            <w:r>
              <w:rPr>
                <w:rFonts w:ascii="Times New Roman" w:eastAsia="仿宋"/>
                <w:szCs w:val="21"/>
              </w:rPr>
              <w:t>行业类别</w:t>
            </w:r>
          </w:p>
        </w:tc>
        <w:tc>
          <w:tcPr>
            <w:tcW w:w="2552" w:type="dxa"/>
            <w:vMerge w:val="restart"/>
            <w:vAlign w:val="center"/>
          </w:tcPr>
          <w:p w14:paraId="33FC9705">
            <w:pPr>
              <w:spacing w:line="360" w:lineRule="auto"/>
              <w:jc w:val="center"/>
              <w:rPr>
                <w:rFonts w:ascii="Times New Roman" w:eastAsia="仿宋"/>
                <w:szCs w:val="21"/>
              </w:rPr>
            </w:pPr>
            <w:r>
              <w:rPr>
                <w:rFonts w:ascii="Times New Roman" w:eastAsia="仿宋"/>
                <w:szCs w:val="21"/>
              </w:rPr>
              <w:t>报告书</w:t>
            </w:r>
          </w:p>
        </w:tc>
        <w:tc>
          <w:tcPr>
            <w:tcW w:w="1417" w:type="dxa"/>
            <w:vMerge w:val="restart"/>
            <w:vAlign w:val="center"/>
          </w:tcPr>
          <w:p w14:paraId="222C79DB">
            <w:pPr>
              <w:spacing w:line="360" w:lineRule="auto"/>
              <w:jc w:val="center"/>
              <w:rPr>
                <w:rFonts w:ascii="Times New Roman" w:eastAsia="仿宋"/>
                <w:szCs w:val="21"/>
              </w:rPr>
            </w:pPr>
            <w:r>
              <w:rPr>
                <w:rFonts w:ascii="Times New Roman" w:eastAsia="仿宋"/>
                <w:szCs w:val="21"/>
              </w:rPr>
              <w:t>报告表</w:t>
            </w:r>
          </w:p>
        </w:tc>
        <w:tc>
          <w:tcPr>
            <w:tcW w:w="3050" w:type="dxa"/>
            <w:gridSpan w:val="2"/>
            <w:vAlign w:val="center"/>
          </w:tcPr>
          <w:p w14:paraId="6F62ED39">
            <w:pPr>
              <w:jc w:val="center"/>
              <w:rPr>
                <w:rFonts w:ascii="Times New Roman" w:eastAsia="仿宋"/>
                <w:szCs w:val="21"/>
              </w:rPr>
            </w:pPr>
            <w:r>
              <w:rPr>
                <w:rFonts w:ascii="Times New Roman" w:eastAsia="仿宋"/>
                <w:szCs w:val="21"/>
              </w:rPr>
              <w:t>地下水环境影响评价项目类别</w:t>
            </w:r>
          </w:p>
        </w:tc>
      </w:tr>
      <w:tr w14:paraId="0CFD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10" w:type="dxa"/>
            <w:vMerge w:val="continue"/>
            <w:tcBorders>
              <w:top w:val="nil"/>
              <w:tl2br w:val="single" w:color="auto" w:sz="4" w:space="0"/>
            </w:tcBorders>
            <w:vAlign w:val="center"/>
          </w:tcPr>
          <w:p w14:paraId="5B1BC801">
            <w:pPr>
              <w:jc w:val="center"/>
              <w:rPr>
                <w:rFonts w:ascii="Times New Roman" w:eastAsia="仿宋"/>
                <w:szCs w:val="21"/>
              </w:rPr>
            </w:pPr>
          </w:p>
        </w:tc>
        <w:tc>
          <w:tcPr>
            <w:tcW w:w="2552" w:type="dxa"/>
            <w:vMerge w:val="continue"/>
            <w:vAlign w:val="center"/>
          </w:tcPr>
          <w:p w14:paraId="611019D0">
            <w:pPr>
              <w:spacing w:line="360" w:lineRule="auto"/>
              <w:jc w:val="center"/>
              <w:rPr>
                <w:rFonts w:ascii="Times New Roman" w:eastAsia="仿宋"/>
                <w:szCs w:val="21"/>
              </w:rPr>
            </w:pPr>
          </w:p>
        </w:tc>
        <w:tc>
          <w:tcPr>
            <w:tcW w:w="1417" w:type="dxa"/>
            <w:vMerge w:val="continue"/>
            <w:vAlign w:val="center"/>
          </w:tcPr>
          <w:p w14:paraId="3A928455">
            <w:pPr>
              <w:spacing w:line="360" w:lineRule="auto"/>
              <w:jc w:val="center"/>
              <w:rPr>
                <w:rFonts w:ascii="Times New Roman" w:eastAsia="仿宋"/>
                <w:szCs w:val="21"/>
              </w:rPr>
            </w:pPr>
          </w:p>
        </w:tc>
        <w:tc>
          <w:tcPr>
            <w:tcW w:w="1560" w:type="dxa"/>
            <w:vAlign w:val="center"/>
          </w:tcPr>
          <w:p w14:paraId="6E7B7B15">
            <w:pPr>
              <w:jc w:val="center"/>
              <w:rPr>
                <w:rFonts w:ascii="Times New Roman" w:eastAsia="仿宋"/>
                <w:szCs w:val="21"/>
              </w:rPr>
            </w:pPr>
            <w:r>
              <w:rPr>
                <w:rFonts w:ascii="Times New Roman" w:eastAsia="仿宋"/>
                <w:szCs w:val="21"/>
              </w:rPr>
              <w:t>报告书</w:t>
            </w:r>
          </w:p>
        </w:tc>
        <w:tc>
          <w:tcPr>
            <w:tcW w:w="1490" w:type="dxa"/>
            <w:vAlign w:val="center"/>
          </w:tcPr>
          <w:p w14:paraId="7F42625C">
            <w:pPr>
              <w:jc w:val="center"/>
              <w:rPr>
                <w:rFonts w:ascii="Times New Roman" w:eastAsia="仿宋"/>
                <w:szCs w:val="21"/>
              </w:rPr>
            </w:pPr>
            <w:r>
              <w:rPr>
                <w:rFonts w:ascii="Times New Roman" w:eastAsia="仿宋"/>
                <w:szCs w:val="21"/>
              </w:rPr>
              <w:t>报告表</w:t>
            </w:r>
          </w:p>
        </w:tc>
      </w:tr>
      <w:tr w14:paraId="3DF7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9" w:type="dxa"/>
            <w:gridSpan w:val="5"/>
            <w:vAlign w:val="center"/>
          </w:tcPr>
          <w:p w14:paraId="25EFF95B">
            <w:pPr>
              <w:jc w:val="center"/>
              <w:rPr>
                <w:rFonts w:ascii="Times New Roman" w:eastAsia="仿宋"/>
                <w:szCs w:val="21"/>
              </w:rPr>
            </w:pPr>
            <w:r>
              <w:rPr>
                <w:rFonts w:ascii="Times New Roman" w:eastAsia="仿宋"/>
                <w:szCs w:val="21"/>
              </w:rPr>
              <w:t>K 机械、电子</w:t>
            </w:r>
          </w:p>
        </w:tc>
      </w:tr>
      <w:tr w14:paraId="38A1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0" w:type="dxa"/>
            <w:shd w:val="clear" w:color="auto" w:fill="auto"/>
            <w:vAlign w:val="center"/>
          </w:tcPr>
          <w:p w14:paraId="0F132D42">
            <w:pPr>
              <w:jc w:val="center"/>
              <w:rPr>
                <w:rFonts w:ascii="Times New Roman" w:eastAsia="仿宋"/>
                <w:szCs w:val="21"/>
              </w:rPr>
            </w:pPr>
            <w:r>
              <w:rPr>
                <w:rFonts w:ascii="Times New Roman" w:eastAsia="仿宋"/>
                <w:szCs w:val="21"/>
              </w:rPr>
              <w:t>73、</w:t>
            </w:r>
            <w:r>
              <w:rPr>
                <w:rFonts w:hint="eastAsia" w:ascii="Times New Roman" w:eastAsia="仿宋"/>
                <w:szCs w:val="21"/>
              </w:rPr>
              <w:t>汽车、摩托车制造</w:t>
            </w:r>
          </w:p>
        </w:tc>
        <w:tc>
          <w:tcPr>
            <w:tcW w:w="2552" w:type="dxa"/>
            <w:shd w:val="clear" w:color="auto" w:fill="auto"/>
            <w:vAlign w:val="center"/>
          </w:tcPr>
          <w:p w14:paraId="05870E40">
            <w:pPr>
              <w:jc w:val="center"/>
              <w:rPr>
                <w:rFonts w:ascii="Times New Roman" w:eastAsia="仿宋"/>
                <w:szCs w:val="21"/>
              </w:rPr>
            </w:pPr>
            <w:r>
              <w:rPr>
                <w:rFonts w:hint="eastAsia" w:ascii="Times New Roman" w:eastAsia="仿宋"/>
                <w:szCs w:val="21"/>
              </w:rPr>
              <w:t>整车制造；发动机生产；有电镀或喷漆工艺的零部件生产</w:t>
            </w:r>
          </w:p>
        </w:tc>
        <w:tc>
          <w:tcPr>
            <w:tcW w:w="1417" w:type="dxa"/>
            <w:shd w:val="clear" w:color="auto" w:fill="auto"/>
            <w:vAlign w:val="center"/>
          </w:tcPr>
          <w:p w14:paraId="08019EAD">
            <w:pPr>
              <w:jc w:val="center"/>
              <w:rPr>
                <w:rFonts w:ascii="Times New Roman" w:eastAsia="仿宋"/>
                <w:szCs w:val="21"/>
              </w:rPr>
            </w:pPr>
            <w:r>
              <w:rPr>
                <w:rFonts w:ascii="Times New Roman" w:eastAsia="仿宋"/>
                <w:szCs w:val="21"/>
              </w:rPr>
              <w:t>其他</w:t>
            </w:r>
          </w:p>
        </w:tc>
        <w:tc>
          <w:tcPr>
            <w:tcW w:w="1560" w:type="dxa"/>
            <w:shd w:val="clear" w:color="auto" w:fill="A6A6A6"/>
            <w:vAlign w:val="center"/>
          </w:tcPr>
          <w:p w14:paraId="0C58E963">
            <w:pPr>
              <w:jc w:val="center"/>
              <w:rPr>
                <w:rFonts w:ascii="Times New Roman" w:eastAsia="仿宋"/>
                <w:szCs w:val="21"/>
              </w:rPr>
            </w:pPr>
            <w:r>
              <w:rPr>
                <w:rFonts w:ascii="Times New Roman" w:eastAsia="仿宋"/>
                <w:szCs w:val="21"/>
              </w:rPr>
              <w:t>Ⅲ类</w:t>
            </w:r>
          </w:p>
        </w:tc>
        <w:tc>
          <w:tcPr>
            <w:tcW w:w="1490" w:type="dxa"/>
            <w:vAlign w:val="center"/>
          </w:tcPr>
          <w:p w14:paraId="24A0621C">
            <w:pPr>
              <w:jc w:val="center"/>
              <w:rPr>
                <w:rFonts w:ascii="Times New Roman" w:eastAsia="仿宋"/>
                <w:szCs w:val="21"/>
              </w:rPr>
            </w:pPr>
            <w:r>
              <w:rPr>
                <w:rFonts w:ascii="Times New Roman" w:eastAsia="仿宋"/>
                <w:szCs w:val="21"/>
              </w:rPr>
              <w:t>Ⅳ类</w:t>
            </w:r>
          </w:p>
        </w:tc>
      </w:tr>
    </w:tbl>
    <w:p w14:paraId="24292B0D">
      <w:pPr>
        <w:spacing w:line="500" w:lineRule="exact"/>
        <w:ind w:firstLine="560" w:firstLineChars="200"/>
        <w:rPr>
          <w:rFonts w:ascii="Times New Roman" w:eastAsia="仿宋"/>
          <w:sz w:val="28"/>
          <w:szCs w:val="28"/>
        </w:rPr>
      </w:pPr>
      <w:r>
        <w:rPr>
          <w:rFonts w:ascii="Times New Roman" w:eastAsia="仿宋"/>
          <w:sz w:val="28"/>
          <w:szCs w:val="28"/>
        </w:rPr>
        <w:t>建设项目的地下水环境敏感程度可分为敏感、较敏感、不敏感三级，分级原则见表2.4-4。</w:t>
      </w:r>
    </w:p>
    <w:p w14:paraId="72587415">
      <w:pPr>
        <w:spacing w:line="500" w:lineRule="exact"/>
        <w:jc w:val="center"/>
        <w:rPr>
          <w:rFonts w:ascii="Times New Roman" w:eastAsia="仿宋"/>
          <w:b/>
        </w:rPr>
      </w:pPr>
      <w:r>
        <w:rPr>
          <w:rFonts w:ascii="Times New Roman" w:eastAsia="仿宋"/>
          <w:b/>
        </w:rPr>
        <w:t>表2.4-4    地下水环境敏感程度分级表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7642"/>
      </w:tblGrid>
      <w:tr w14:paraId="067B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743E137B">
            <w:pPr>
              <w:jc w:val="center"/>
              <w:rPr>
                <w:rFonts w:ascii="Times New Roman" w:eastAsia="仿宋"/>
                <w:szCs w:val="21"/>
              </w:rPr>
            </w:pPr>
            <w:r>
              <w:rPr>
                <w:rFonts w:ascii="Times New Roman" w:eastAsia="仿宋"/>
                <w:szCs w:val="21"/>
              </w:rPr>
              <w:t>敏感程度</w:t>
            </w:r>
          </w:p>
        </w:tc>
        <w:tc>
          <w:tcPr>
            <w:tcW w:w="4327" w:type="pct"/>
            <w:vAlign w:val="center"/>
          </w:tcPr>
          <w:p w14:paraId="176E6F38">
            <w:pPr>
              <w:jc w:val="center"/>
              <w:rPr>
                <w:rFonts w:ascii="Times New Roman" w:eastAsia="仿宋"/>
                <w:szCs w:val="21"/>
              </w:rPr>
            </w:pPr>
            <w:r>
              <w:rPr>
                <w:rFonts w:ascii="Times New Roman" w:eastAsia="仿宋"/>
                <w:szCs w:val="21"/>
              </w:rPr>
              <w:t>地下水环境敏感特征</w:t>
            </w:r>
          </w:p>
        </w:tc>
      </w:tr>
      <w:tr w14:paraId="02BB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45D8979F">
            <w:pPr>
              <w:jc w:val="center"/>
              <w:rPr>
                <w:rFonts w:ascii="Times New Roman" w:eastAsia="仿宋"/>
                <w:szCs w:val="21"/>
              </w:rPr>
            </w:pPr>
            <w:r>
              <w:rPr>
                <w:rFonts w:ascii="Times New Roman" w:eastAsia="仿宋"/>
                <w:szCs w:val="21"/>
              </w:rPr>
              <w:t>敏感</w:t>
            </w:r>
          </w:p>
        </w:tc>
        <w:tc>
          <w:tcPr>
            <w:tcW w:w="4327" w:type="pct"/>
            <w:vAlign w:val="center"/>
          </w:tcPr>
          <w:p w14:paraId="331D5F8A">
            <w:pPr>
              <w:autoSpaceDE w:val="0"/>
              <w:autoSpaceDN w:val="0"/>
              <w:rPr>
                <w:rFonts w:ascii="Times New Roman" w:eastAsia="仿宋"/>
                <w:szCs w:val="21"/>
              </w:rPr>
            </w:pPr>
            <w:r>
              <w:rPr>
                <w:rFonts w:ascii="Times New Roman" w:eastAsia="仿宋"/>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45ED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bottom w:val="single" w:color="auto" w:sz="4" w:space="0"/>
            </w:tcBorders>
            <w:vAlign w:val="center"/>
          </w:tcPr>
          <w:p w14:paraId="0E254245">
            <w:pPr>
              <w:jc w:val="center"/>
              <w:rPr>
                <w:rFonts w:ascii="Times New Roman" w:eastAsia="仿宋"/>
                <w:szCs w:val="21"/>
              </w:rPr>
            </w:pPr>
            <w:r>
              <w:rPr>
                <w:rFonts w:ascii="Times New Roman" w:eastAsia="仿宋"/>
                <w:szCs w:val="21"/>
              </w:rPr>
              <w:t>较敏感</w:t>
            </w:r>
          </w:p>
        </w:tc>
        <w:tc>
          <w:tcPr>
            <w:tcW w:w="4327" w:type="pct"/>
            <w:vAlign w:val="center"/>
          </w:tcPr>
          <w:p w14:paraId="0B2D38A2">
            <w:pPr>
              <w:autoSpaceDE w:val="0"/>
              <w:autoSpaceDN w:val="0"/>
              <w:rPr>
                <w:rFonts w:ascii="Times New Roman" w:eastAsia="仿宋"/>
                <w:szCs w:val="21"/>
              </w:rPr>
            </w:pPr>
            <w:r>
              <w:rPr>
                <w:rFonts w:ascii="Times New Roman" w:eastAsia="仿宋"/>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14:paraId="626C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shd w:val="clear" w:color="auto" w:fill="A6A6A6"/>
            <w:vAlign w:val="center"/>
          </w:tcPr>
          <w:p w14:paraId="12D3B788">
            <w:pPr>
              <w:jc w:val="center"/>
              <w:rPr>
                <w:rFonts w:ascii="Times New Roman" w:eastAsia="仿宋"/>
                <w:szCs w:val="21"/>
              </w:rPr>
            </w:pPr>
            <w:r>
              <w:rPr>
                <w:rFonts w:ascii="Times New Roman" w:eastAsia="仿宋"/>
                <w:szCs w:val="21"/>
              </w:rPr>
              <w:t>不敏感</w:t>
            </w:r>
          </w:p>
        </w:tc>
        <w:tc>
          <w:tcPr>
            <w:tcW w:w="4327" w:type="pct"/>
            <w:vAlign w:val="center"/>
          </w:tcPr>
          <w:p w14:paraId="5B6FFC44">
            <w:pPr>
              <w:rPr>
                <w:rFonts w:ascii="Times New Roman" w:eastAsia="仿宋"/>
                <w:szCs w:val="21"/>
              </w:rPr>
            </w:pPr>
            <w:r>
              <w:rPr>
                <w:rFonts w:ascii="Times New Roman" w:eastAsia="仿宋"/>
                <w:szCs w:val="21"/>
              </w:rPr>
              <w:t>上述地区之外的其它地区。</w:t>
            </w:r>
          </w:p>
        </w:tc>
      </w:tr>
      <w:tr w14:paraId="0F3F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517EA33B">
            <w:pPr>
              <w:jc w:val="center"/>
              <w:rPr>
                <w:rFonts w:ascii="Times New Roman" w:eastAsia="仿宋"/>
                <w:szCs w:val="21"/>
              </w:rPr>
            </w:pPr>
            <w:r>
              <w:rPr>
                <w:rFonts w:ascii="Times New Roman" w:eastAsia="仿宋"/>
                <w:szCs w:val="21"/>
              </w:rPr>
              <w:t>注：a“环境敏感区”是指《建设项目环境影响评价分类管理名录》中所界定的涉及地下水的环境敏感区。</w:t>
            </w:r>
          </w:p>
        </w:tc>
      </w:tr>
    </w:tbl>
    <w:p w14:paraId="3BD31298">
      <w:pPr>
        <w:spacing w:line="500" w:lineRule="exact"/>
        <w:ind w:firstLine="560" w:firstLineChars="200"/>
        <w:rPr>
          <w:rFonts w:ascii="Times New Roman" w:eastAsia="仿宋"/>
          <w:sz w:val="28"/>
          <w:szCs w:val="28"/>
        </w:rPr>
      </w:pPr>
      <w:r>
        <w:rPr>
          <w:rFonts w:hint="eastAsia" w:ascii="Times New Roman" w:eastAsia="仿宋"/>
          <w:sz w:val="28"/>
          <w:szCs w:val="28"/>
        </w:rPr>
        <w:t>本项目所在地无上述环境敏感区，属于不敏感地区。</w:t>
      </w:r>
    </w:p>
    <w:p w14:paraId="3FFB5DD1">
      <w:pPr>
        <w:spacing w:line="500" w:lineRule="exact"/>
        <w:ind w:firstLine="560" w:firstLineChars="200"/>
        <w:rPr>
          <w:rFonts w:ascii="Times New Roman" w:eastAsia="仿宋"/>
          <w:sz w:val="28"/>
          <w:szCs w:val="28"/>
        </w:rPr>
      </w:pPr>
      <w:r>
        <w:rPr>
          <w:rFonts w:ascii="Times New Roman" w:eastAsia="仿宋"/>
          <w:sz w:val="28"/>
          <w:szCs w:val="28"/>
        </w:rPr>
        <w:t>建设项目地下水环境影响评价工作等级划分见表2.4-5。</w:t>
      </w:r>
    </w:p>
    <w:p w14:paraId="1676B84F">
      <w:pPr>
        <w:spacing w:line="500" w:lineRule="exact"/>
        <w:jc w:val="center"/>
        <w:rPr>
          <w:rFonts w:ascii="Times New Roman" w:eastAsia="仿宋"/>
          <w:b/>
        </w:rPr>
      </w:pPr>
      <w:r>
        <w:rPr>
          <w:rFonts w:ascii="Times New Roman" w:eastAsia="仿宋"/>
          <w:b/>
        </w:rPr>
        <w:t>表2.4-5    评价工作等级分级表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1962"/>
        <w:gridCol w:w="1962"/>
        <w:gridCol w:w="1962"/>
      </w:tblGrid>
      <w:tr w14:paraId="751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666" w:type="pct"/>
            <w:tcBorders>
              <w:tl2br w:val="single" w:color="auto" w:sz="4" w:space="0"/>
            </w:tcBorders>
            <w:vAlign w:val="center"/>
          </w:tcPr>
          <w:p w14:paraId="155FF92C">
            <w:pPr>
              <w:spacing w:line="360" w:lineRule="auto"/>
              <w:jc w:val="center"/>
              <w:rPr>
                <w:rFonts w:ascii="Times New Roman" w:eastAsia="仿宋"/>
                <w:szCs w:val="21"/>
              </w:rPr>
            </w:pPr>
            <w:r>
              <w:rPr>
                <w:rFonts w:ascii="Times New Roman" w:eastAsia="仿宋"/>
                <w:szCs w:val="21"/>
              </w:rPr>
              <w:t xml:space="preserve">          项目类别</w:t>
            </w:r>
          </w:p>
          <w:p w14:paraId="39E2DA31">
            <w:pPr>
              <w:spacing w:line="360" w:lineRule="auto"/>
              <w:jc w:val="left"/>
              <w:rPr>
                <w:rFonts w:ascii="Times New Roman" w:eastAsia="仿宋"/>
                <w:szCs w:val="21"/>
              </w:rPr>
            </w:pPr>
            <w:r>
              <w:rPr>
                <w:rFonts w:ascii="Times New Roman" w:eastAsia="仿宋"/>
                <w:szCs w:val="21"/>
              </w:rPr>
              <w:t>环境敏感程度</w:t>
            </w:r>
          </w:p>
        </w:tc>
        <w:tc>
          <w:tcPr>
            <w:tcW w:w="1111" w:type="pct"/>
            <w:vAlign w:val="center"/>
          </w:tcPr>
          <w:p w14:paraId="215400B9">
            <w:pPr>
              <w:spacing w:line="360" w:lineRule="auto"/>
              <w:jc w:val="center"/>
              <w:rPr>
                <w:rFonts w:ascii="Times New Roman" w:eastAsia="仿宋"/>
                <w:szCs w:val="21"/>
              </w:rPr>
            </w:pPr>
            <w:r>
              <w:rPr>
                <w:rFonts w:ascii="Times New Roman" w:eastAsia="仿宋"/>
                <w:szCs w:val="21"/>
              </w:rPr>
              <w:t>Ⅰ类项目</w:t>
            </w:r>
          </w:p>
        </w:tc>
        <w:tc>
          <w:tcPr>
            <w:tcW w:w="1111" w:type="pct"/>
            <w:vAlign w:val="center"/>
          </w:tcPr>
          <w:p w14:paraId="7BB669E3">
            <w:pPr>
              <w:spacing w:line="360" w:lineRule="auto"/>
              <w:jc w:val="center"/>
              <w:rPr>
                <w:rFonts w:ascii="Times New Roman" w:eastAsia="仿宋"/>
                <w:szCs w:val="21"/>
              </w:rPr>
            </w:pPr>
            <w:r>
              <w:rPr>
                <w:rFonts w:ascii="Times New Roman" w:eastAsia="仿宋"/>
                <w:szCs w:val="21"/>
              </w:rPr>
              <w:t>Ⅱ类项目</w:t>
            </w:r>
          </w:p>
        </w:tc>
        <w:tc>
          <w:tcPr>
            <w:tcW w:w="1111" w:type="pct"/>
            <w:vAlign w:val="center"/>
          </w:tcPr>
          <w:p w14:paraId="74BC7198">
            <w:pPr>
              <w:spacing w:line="360" w:lineRule="auto"/>
              <w:jc w:val="center"/>
              <w:rPr>
                <w:rFonts w:ascii="Times New Roman" w:eastAsia="仿宋"/>
                <w:szCs w:val="21"/>
              </w:rPr>
            </w:pPr>
            <w:r>
              <w:rPr>
                <w:rFonts w:ascii="Times New Roman" w:eastAsia="仿宋"/>
                <w:szCs w:val="21"/>
              </w:rPr>
              <w:t>Ⅲ类项目</w:t>
            </w:r>
          </w:p>
        </w:tc>
      </w:tr>
      <w:tr w14:paraId="6C17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6858EF0B">
            <w:pPr>
              <w:jc w:val="center"/>
              <w:rPr>
                <w:rFonts w:ascii="Times New Roman" w:eastAsia="仿宋"/>
                <w:szCs w:val="21"/>
              </w:rPr>
            </w:pPr>
            <w:r>
              <w:rPr>
                <w:rFonts w:ascii="Times New Roman" w:eastAsia="仿宋"/>
                <w:szCs w:val="21"/>
              </w:rPr>
              <w:t>敏感</w:t>
            </w:r>
          </w:p>
        </w:tc>
        <w:tc>
          <w:tcPr>
            <w:tcW w:w="1111" w:type="pct"/>
            <w:vAlign w:val="center"/>
          </w:tcPr>
          <w:p w14:paraId="299F60C4">
            <w:pPr>
              <w:jc w:val="center"/>
              <w:rPr>
                <w:rFonts w:ascii="Times New Roman" w:eastAsia="仿宋"/>
                <w:szCs w:val="21"/>
              </w:rPr>
            </w:pPr>
            <w:r>
              <w:rPr>
                <w:rFonts w:ascii="Times New Roman" w:eastAsia="仿宋"/>
                <w:szCs w:val="21"/>
              </w:rPr>
              <w:t>一</w:t>
            </w:r>
          </w:p>
        </w:tc>
        <w:tc>
          <w:tcPr>
            <w:tcW w:w="1111" w:type="pct"/>
            <w:vAlign w:val="center"/>
          </w:tcPr>
          <w:p w14:paraId="7221B2A0">
            <w:pPr>
              <w:jc w:val="center"/>
              <w:rPr>
                <w:rFonts w:ascii="Times New Roman" w:eastAsia="仿宋"/>
                <w:szCs w:val="21"/>
              </w:rPr>
            </w:pPr>
            <w:r>
              <w:rPr>
                <w:rFonts w:ascii="Times New Roman" w:eastAsia="仿宋"/>
                <w:szCs w:val="21"/>
              </w:rPr>
              <w:t>一</w:t>
            </w:r>
          </w:p>
        </w:tc>
        <w:tc>
          <w:tcPr>
            <w:tcW w:w="1111" w:type="pct"/>
            <w:vAlign w:val="center"/>
          </w:tcPr>
          <w:p w14:paraId="01C104FC">
            <w:pPr>
              <w:jc w:val="center"/>
              <w:rPr>
                <w:rFonts w:ascii="Times New Roman" w:eastAsia="仿宋"/>
                <w:szCs w:val="21"/>
              </w:rPr>
            </w:pPr>
            <w:r>
              <w:rPr>
                <w:rFonts w:ascii="Times New Roman" w:eastAsia="仿宋"/>
                <w:szCs w:val="21"/>
              </w:rPr>
              <w:t>二</w:t>
            </w:r>
          </w:p>
        </w:tc>
      </w:tr>
      <w:tr w14:paraId="0D15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09A5D7C7">
            <w:pPr>
              <w:jc w:val="center"/>
              <w:rPr>
                <w:rFonts w:ascii="Times New Roman" w:eastAsia="仿宋"/>
                <w:szCs w:val="21"/>
              </w:rPr>
            </w:pPr>
            <w:r>
              <w:rPr>
                <w:rFonts w:ascii="Times New Roman" w:eastAsia="仿宋"/>
                <w:szCs w:val="21"/>
              </w:rPr>
              <w:t>较敏感</w:t>
            </w:r>
          </w:p>
        </w:tc>
        <w:tc>
          <w:tcPr>
            <w:tcW w:w="1111" w:type="pct"/>
            <w:vAlign w:val="center"/>
          </w:tcPr>
          <w:p w14:paraId="39730AD5">
            <w:pPr>
              <w:jc w:val="center"/>
              <w:rPr>
                <w:rFonts w:ascii="Times New Roman" w:eastAsia="仿宋"/>
                <w:szCs w:val="21"/>
              </w:rPr>
            </w:pPr>
            <w:r>
              <w:rPr>
                <w:rFonts w:ascii="Times New Roman" w:eastAsia="仿宋"/>
                <w:szCs w:val="21"/>
              </w:rPr>
              <w:t>一</w:t>
            </w:r>
          </w:p>
        </w:tc>
        <w:tc>
          <w:tcPr>
            <w:tcW w:w="1111" w:type="pct"/>
            <w:vAlign w:val="center"/>
          </w:tcPr>
          <w:p w14:paraId="19DDD6A6">
            <w:pPr>
              <w:jc w:val="center"/>
              <w:rPr>
                <w:rFonts w:ascii="Times New Roman" w:eastAsia="仿宋"/>
                <w:szCs w:val="21"/>
              </w:rPr>
            </w:pPr>
            <w:r>
              <w:rPr>
                <w:rFonts w:ascii="Times New Roman" w:eastAsia="仿宋"/>
                <w:szCs w:val="21"/>
              </w:rPr>
              <w:t>二</w:t>
            </w:r>
          </w:p>
        </w:tc>
        <w:tc>
          <w:tcPr>
            <w:tcW w:w="1111" w:type="pct"/>
            <w:tcBorders>
              <w:bottom w:val="single" w:color="auto" w:sz="4" w:space="0"/>
            </w:tcBorders>
            <w:vAlign w:val="center"/>
          </w:tcPr>
          <w:p w14:paraId="1F4F87BB">
            <w:pPr>
              <w:jc w:val="center"/>
              <w:rPr>
                <w:rFonts w:ascii="Times New Roman" w:eastAsia="仿宋"/>
                <w:szCs w:val="21"/>
              </w:rPr>
            </w:pPr>
            <w:r>
              <w:rPr>
                <w:rFonts w:ascii="Times New Roman" w:eastAsia="仿宋"/>
                <w:szCs w:val="21"/>
              </w:rPr>
              <w:t>三</w:t>
            </w:r>
          </w:p>
        </w:tc>
      </w:tr>
      <w:tr w14:paraId="3DED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shd w:val="clear" w:color="auto" w:fill="auto"/>
            <w:vAlign w:val="center"/>
          </w:tcPr>
          <w:p w14:paraId="2E4AFDBF">
            <w:pPr>
              <w:jc w:val="center"/>
              <w:rPr>
                <w:rFonts w:ascii="Times New Roman" w:eastAsia="仿宋"/>
                <w:szCs w:val="21"/>
              </w:rPr>
            </w:pPr>
            <w:r>
              <w:rPr>
                <w:rFonts w:ascii="Times New Roman" w:eastAsia="仿宋"/>
                <w:szCs w:val="21"/>
              </w:rPr>
              <w:t>不敏感</w:t>
            </w:r>
          </w:p>
        </w:tc>
        <w:tc>
          <w:tcPr>
            <w:tcW w:w="1111" w:type="pct"/>
            <w:shd w:val="clear" w:color="auto" w:fill="auto"/>
            <w:vAlign w:val="center"/>
          </w:tcPr>
          <w:p w14:paraId="673112A5">
            <w:pPr>
              <w:jc w:val="center"/>
              <w:rPr>
                <w:rFonts w:ascii="Times New Roman" w:eastAsia="仿宋"/>
                <w:szCs w:val="21"/>
              </w:rPr>
            </w:pPr>
            <w:r>
              <w:rPr>
                <w:rFonts w:ascii="Times New Roman" w:eastAsia="仿宋"/>
                <w:szCs w:val="21"/>
              </w:rPr>
              <w:t>二</w:t>
            </w:r>
          </w:p>
        </w:tc>
        <w:tc>
          <w:tcPr>
            <w:tcW w:w="1111" w:type="pct"/>
            <w:shd w:val="clear" w:color="auto" w:fill="auto"/>
            <w:vAlign w:val="center"/>
          </w:tcPr>
          <w:p w14:paraId="4DE4FE52">
            <w:pPr>
              <w:jc w:val="center"/>
              <w:rPr>
                <w:rFonts w:ascii="Times New Roman" w:eastAsia="仿宋"/>
                <w:szCs w:val="21"/>
              </w:rPr>
            </w:pPr>
            <w:r>
              <w:rPr>
                <w:rFonts w:ascii="Times New Roman" w:eastAsia="仿宋"/>
                <w:szCs w:val="21"/>
              </w:rPr>
              <w:t>三</w:t>
            </w:r>
          </w:p>
        </w:tc>
        <w:tc>
          <w:tcPr>
            <w:tcW w:w="1111" w:type="pct"/>
            <w:shd w:val="clear" w:color="auto" w:fill="A6A6A6"/>
            <w:vAlign w:val="center"/>
          </w:tcPr>
          <w:p w14:paraId="07D7F48B">
            <w:pPr>
              <w:jc w:val="center"/>
              <w:rPr>
                <w:rFonts w:ascii="Times New Roman" w:eastAsia="仿宋"/>
                <w:szCs w:val="21"/>
              </w:rPr>
            </w:pPr>
            <w:r>
              <w:rPr>
                <w:rFonts w:ascii="Times New Roman" w:eastAsia="仿宋"/>
                <w:szCs w:val="21"/>
              </w:rPr>
              <w:t>三</w:t>
            </w:r>
          </w:p>
        </w:tc>
      </w:tr>
    </w:tbl>
    <w:p w14:paraId="38DA0CD4">
      <w:pPr>
        <w:spacing w:line="500" w:lineRule="exact"/>
        <w:ind w:firstLine="560" w:firstLineChars="200"/>
        <w:rPr>
          <w:rFonts w:ascii="Times New Roman" w:eastAsia="仿宋"/>
          <w:sz w:val="28"/>
          <w:szCs w:val="28"/>
        </w:rPr>
      </w:pPr>
      <w:r>
        <w:rPr>
          <w:rFonts w:ascii="Times New Roman" w:eastAsia="仿宋"/>
          <w:sz w:val="28"/>
          <w:szCs w:val="28"/>
        </w:rPr>
        <w:t>综上所述，本项目地下水影响评价等级为三级。</w:t>
      </w:r>
    </w:p>
    <w:p w14:paraId="20225E72">
      <w:pPr>
        <w:pStyle w:val="201"/>
        <w:ind w:firstLine="560"/>
        <w:rPr>
          <w:rFonts w:ascii="Times New Roman" w:eastAsia="仿宋"/>
          <w:sz w:val="28"/>
          <w:szCs w:val="28"/>
        </w:rPr>
      </w:pPr>
      <w:r>
        <w:rPr>
          <w:rFonts w:hint="eastAsia" w:ascii="Times New Roman" w:eastAsia="仿宋"/>
          <w:sz w:val="28"/>
          <w:szCs w:val="28"/>
        </w:rPr>
        <w:t>（</w:t>
      </w:r>
      <w:r>
        <w:rPr>
          <w:rFonts w:ascii="Times New Roman" w:eastAsia="仿宋"/>
          <w:sz w:val="28"/>
          <w:szCs w:val="28"/>
        </w:rPr>
        <w:t>5</w:t>
      </w:r>
      <w:r>
        <w:rPr>
          <w:rFonts w:hint="eastAsia" w:ascii="Times New Roman" w:eastAsia="仿宋"/>
          <w:sz w:val="28"/>
          <w:szCs w:val="28"/>
        </w:rPr>
        <w:t>）</w:t>
      </w:r>
      <w:r>
        <w:rPr>
          <w:rFonts w:ascii="Times New Roman" w:eastAsia="仿宋"/>
          <w:sz w:val="28"/>
          <w:szCs w:val="28"/>
        </w:rPr>
        <w:t>风险评价等级</w:t>
      </w:r>
    </w:p>
    <w:p w14:paraId="759D50D9">
      <w:pPr>
        <w:spacing w:line="500" w:lineRule="exact"/>
        <w:ind w:firstLine="560" w:firstLineChars="200"/>
        <w:rPr>
          <w:rFonts w:ascii="Times New Roman" w:eastAsia="仿宋"/>
          <w:sz w:val="28"/>
          <w:szCs w:val="28"/>
        </w:rPr>
      </w:pPr>
      <w:r>
        <w:rPr>
          <w:rFonts w:ascii="Times New Roman" w:eastAsia="仿宋"/>
          <w:sz w:val="28"/>
          <w:szCs w:val="28"/>
        </w:rPr>
        <w:t>根根据《建设项目环境风险评价技术导则》（HJ169-2018）</w:t>
      </w:r>
      <w:r>
        <w:rPr>
          <w:rFonts w:hint="eastAsia" w:ascii="Times New Roman" w:eastAsia="仿宋"/>
          <w:sz w:val="28"/>
          <w:szCs w:val="28"/>
        </w:rPr>
        <w:t>，</w:t>
      </w:r>
      <w:r>
        <w:rPr>
          <w:rFonts w:hint="eastAsia" w:eastAsia="仿宋"/>
          <w:sz w:val="28"/>
          <w:szCs w:val="28"/>
        </w:rPr>
        <w:t>本</w:t>
      </w:r>
      <w:r>
        <w:rPr>
          <w:rFonts w:eastAsia="仿宋"/>
          <w:sz w:val="28"/>
          <w:szCs w:val="28"/>
        </w:rPr>
        <w:t>项目的大气环境风险潜势等级为</w:t>
      </w:r>
      <w:r>
        <w:rPr>
          <w:rFonts w:hint="eastAsia" w:hAnsi="宋体" w:cs="宋体"/>
          <w:sz w:val="28"/>
          <w:szCs w:val="28"/>
        </w:rPr>
        <w:t>Ⅲ</w:t>
      </w:r>
      <w:r>
        <w:rPr>
          <w:rFonts w:eastAsia="仿宋"/>
          <w:sz w:val="28"/>
          <w:szCs w:val="28"/>
        </w:rPr>
        <w:t>，应进行</w:t>
      </w:r>
      <w:r>
        <w:rPr>
          <w:rFonts w:hint="eastAsia" w:eastAsia="仿宋"/>
          <w:sz w:val="28"/>
          <w:szCs w:val="28"/>
        </w:rPr>
        <w:t>二</w:t>
      </w:r>
      <w:r>
        <w:rPr>
          <w:rFonts w:eastAsia="仿宋"/>
          <w:sz w:val="28"/>
          <w:szCs w:val="28"/>
        </w:rPr>
        <w:t>级评价；地表水环境风险潜势等级为Ⅱ，应进行</w:t>
      </w:r>
      <w:r>
        <w:rPr>
          <w:rFonts w:hint="eastAsia" w:eastAsia="仿宋"/>
          <w:sz w:val="28"/>
          <w:szCs w:val="28"/>
        </w:rPr>
        <w:t>三级评价</w:t>
      </w:r>
      <w:r>
        <w:rPr>
          <w:rFonts w:eastAsia="仿宋"/>
          <w:sz w:val="28"/>
          <w:szCs w:val="28"/>
        </w:rPr>
        <w:t>；地下水环境风险潜势等级为Ⅰ，应进行</w:t>
      </w:r>
      <w:r>
        <w:rPr>
          <w:rFonts w:hint="eastAsia" w:eastAsia="仿宋"/>
          <w:sz w:val="28"/>
          <w:szCs w:val="28"/>
        </w:rPr>
        <w:t>简单分析</w:t>
      </w:r>
      <w:r>
        <w:rPr>
          <w:rFonts w:eastAsia="仿宋"/>
          <w:sz w:val="28"/>
          <w:szCs w:val="28"/>
        </w:rPr>
        <w:t>。</w:t>
      </w:r>
      <w:r>
        <w:rPr>
          <w:rFonts w:hint="eastAsia" w:eastAsia="仿宋"/>
          <w:sz w:val="28"/>
          <w:szCs w:val="28"/>
        </w:rPr>
        <w:t>因此本项目风险评价等级为二级</w:t>
      </w:r>
      <w:r>
        <w:rPr>
          <w:rFonts w:ascii="Times New Roman" w:eastAsia="仿宋"/>
          <w:sz w:val="28"/>
          <w:szCs w:val="28"/>
        </w:rPr>
        <w:t>。</w:t>
      </w:r>
    </w:p>
    <w:p w14:paraId="648872DA">
      <w:pPr>
        <w:spacing w:line="500" w:lineRule="exact"/>
        <w:ind w:firstLine="560" w:firstLineChars="200"/>
        <w:rPr>
          <w:rFonts w:ascii="Times New Roman" w:eastAsia="仿宋"/>
          <w:sz w:val="28"/>
        </w:rPr>
      </w:pPr>
      <w:r>
        <w:rPr>
          <w:rFonts w:hint="eastAsia" w:ascii="Times New Roman" w:eastAsia="仿宋"/>
          <w:sz w:val="28"/>
        </w:rPr>
        <w:t>（6）</w:t>
      </w:r>
      <w:r>
        <w:rPr>
          <w:rFonts w:ascii="Times New Roman" w:eastAsia="仿宋"/>
          <w:sz w:val="28"/>
        </w:rPr>
        <w:t>土壤评价等级</w:t>
      </w:r>
    </w:p>
    <w:p w14:paraId="20A97C9E">
      <w:pPr>
        <w:spacing w:line="500" w:lineRule="exact"/>
        <w:ind w:firstLine="560" w:firstLineChars="200"/>
        <w:rPr>
          <w:rFonts w:ascii="Times New Roman" w:eastAsia="仿宋"/>
          <w:sz w:val="28"/>
        </w:rPr>
      </w:pPr>
      <w:r>
        <w:rPr>
          <w:rFonts w:ascii="Times New Roman" w:eastAsia="仿宋"/>
          <w:sz w:val="28"/>
        </w:rPr>
        <w:t>根据《环境影响评价技术导则土壤环境（试行）》（HJ964-2018）中要求根据土壤环境影响评价项目类别、占地规模与敏感程度划分评价工作等级。根据附录A表A.1，本项目属于I类项目；占地面积为</w:t>
      </w:r>
      <w:r>
        <w:rPr>
          <w:rFonts w:ascii="Times New Roman" w:eastAsia="仿宋"/>
          <w:sz w:val="28"/>
          <w:szCs w:val="28"/>
        </w:rPr>
        <w:t>26613m</w:t>
      </w:r>
      <w:r>
        <w:rPr>
          <w:rFonts w:ascii="Times New Roman" w:eastAsia="仿宋"/>
          <w:sz w:val="28"/>
          <w:szCs w:val="28"/>
          <w:vertAlign w:val="superscript"/>
        </w:rPr>
        <w:t>2</w:t>
      </w:r>
      <w:r>
        <w:rPr>
          <w:rFonts w:ascii="Times New Roman" w:eastAsia="仿宋"/>
          <w:sz w:val="28"/>
        </w:rPr>
        <w:t>，为小型（＜5hm</w:t>
      </w:r>
      <w:r>
        <w:rPr>
          <w:rFonts w:ascii="Times New Roman" w:eastAsia="仿宋"/>
          <w:sz w:val="28"/>
          <w:vertAlign w:val="superscript"/>
        </w:rPr>
        <w:t>2</w:t>
      </w:r>
      <w:r>
        <w:rPr>
          <w:rFonts w:ascii="Times New Roman" w:eastAsia="仿宋"/>
          <w:sz w:val="28"/>
        </w:rPr>
        <w:t>）；本项目</w:t>
      </w:r>
      <w:r>
        <w:rPr>
          <w:rFonts w:hint="eastAsia" w:ascii="Times New Roman" w:eastAsia="仿宋"/>
          <w:sz w:val="28"/>
        </w:rPr>
        <w:t>北</w:t>
      </w:r>
      <w:r>
        <w:rPr>
          <w:rFonts w:ascii="Times New Roman" w:eastAsia="仿宋"/>
          <w:sz w:val="28"/>
        </w:rPr>
        <w:t>侧</w:t>
      </w:r>
      <w:r>
        <w:rPr>
          <w:rFonts w:hint="eastAsia" w:ascii="Times New Roman" w:eastAsia="仿宋"/>
          <w:sz w:val="28"/>
        </w:rPr>
        <w:t>五联路，隔路为常州思泉汽车科技有限公司，东侧为永兴路</w:t>
      </w:r>
      <w:r>
        <w:rPr>
          <w:rFonts w:ascii="Times New Roman" w:eastAsia="仿宋"/>
          <w:sz w:val="28"/>
        </w:rPr>
        <w:t>，</w:t>
      </w:r>
      <w:r>
        <w:rPr>
          <w:rFonts w:hint="eastAsia" w:ascii="Times New Roman" w:eastAsia="仿宋"/>
          <w:sz w:val="28"/>
        </w:rPr>
        <w:t>隔路为江苏中电线缆研究院有限公司，西侧和南侧为空地</w:t>
      </w:r>
      <w:r>
        <w:rPr>
          <w:rFonts w:ascii="Times New Roman" w:eastAsia="仿宋"/>
          <w:sz w:val="28"/>
        </w:rPr>
        <w:t>，</w:t>
      </w:r>
      <w:r>
        <w:rPr>
          <w:rFonts w:hint="eastAsia" w:ascii="Times New Roman" w:eastAsia="仿宋"/>
          <w:sz w:val="28"/>
        </w:rPr>
        <w:t>周边200m范围内不存在耕地、园地、牧草地、饮用水源地或居民区、学校、医院、疗养院、养老院等土壤环境敏感目标，以及其他未列明土壤环境敏感目标，</w:t>
      </w:r>
      <w:r>
        <w:rPr>
          <w:rFonts w:hint="eastAsia" w:ascii="Times New Roman" w:eastAsia="仿宋"/>
          <w:sz w:val="28"/>
          <w:szCs w:val="28"/>
        </w:rPr>
        <w:t>生产废水均经厂区污水处理站处理后与生活污水一同</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集中处理</w:t>
      </w:r>
      <w:r>
        <w:rPr>
          <w:rFonts w:hint="eastAsia" w:ascii="Times New Roman" w:eastAsia="仿宋"/>
          <w:sz w:val="28"/>
        </w:rPr>
        <w:t>，不涉及地表径流，最近保护目标唐巷村距离本项目850米</w:t>
      </w:r>
      <w:r>
        <w:rPr>
          <w:rFonts w:ascii="Times New Roman" w:eastAsia="仿宋"/>
          <w:sz w:val="28"/>
        </w:rPr>
        <w:t>，根据下表敏感程度分级表，为“不敏感”。因此根据导则中表4评价等级为二级评价。</w:t>
      </w:r>
    </w:p>
    <w:p w14:paraId="0BDB7D21">
      <w:pPr>
        <w:spacing w:line="500" w:lineRule="exact"/>
        <w:ind w:firstLine="560" w:firstLineChars="200"/>
        <w:rPr>
          <w:rFonts w:ascii="Times New Roman" w:eastAsia="仿宋"/>
          <w:sz w:val="28"/>
        </w:rPr>
      </w:pPr>
      <w:r>
        <w:rPr>
          <w:rFonts w:ascii="Times New Roman" w:eastAsia="仿宋"/>
          <w:sz w:val="28"/>
        </w:rPr>
        <w:t>本项目土壤各要素具体判定依据详见表2.4-6至2.4-8。</w:t>
      </w:r>
    </w:p>
    <w:p w14:paraId="7EB70B2D">
      <w:pPr>
        <w:spacing w:line="500" w:lineRule="exact"/>
        <w:jc w:val="center"/>
        <w:rPr>
          <w:rFonts w:ascii="Times New Roman" w:eastAsia="仿宋"/>
          <w:b/>
          <w:bCs/>
        </w:rPr>
      </w:pPr>
      <w:r>
        <w:rPr>
          <w:rFonts w:ascii="Times New Roman" w:eastAsia="仿宋"/>
          <w:b/>
          <w:bCs/>
        </w:rPr>
        <w:t>表2.4-6  土壤环境敏感程度分级表</w:t>
      </w:r>
    </w:p>
    <w:tbl>
      <w:tblPr>
        <w:tblStyle w:val="8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1"/>
        <w:gridCol w:w="7687"/>
      </w:tblGrid>
      <w:tr w14:paraId="5847F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exact"/>
        </w:trPr>
        <w:tc>
          <w:tcPr>
            <w:tcW w:w="646" w:type="pct"/>
            <w:vAlign w:val="center"/>
          </w:tcPr>
          <w:p w14:paraId="381AAF8D">
            <w:pPr>
              <w:widowControl/>
              <w:jc w:val="center"/>
              <w:rPr>
                <w:rFonts w:ascii="Times New Roman" w:eastAsia="仿宋"/>
              </w:rPr>
            </w:pPr>
            <w:r>
              <w:rPr>
                <w:rFonts w:ascii="Times New Roman" w:eastAsia="仿宋"/>
              </w:rPr>
              <w:t>敏感程度</w:t>
            </w:r>
          </w:p>
        </w:tc>
        <w:tc>
          <w:tcPr>
            <w:tcW w:w="4354" w:type="pct"/>
            <w:vAlign w:val="center"/>
          </w:tcPr>
          <w:p w14:paraId="44C46D36">
            <w:pPr>
              <w:widowControl/>
              <w:jc w:val="center"/>
              <w:rPr>
                <w:rFonts w:ascii="Times New Roman" w:eastAsia="仿宋"/>
              </w:rPr>
            </w:pPr>
            <w:r>
              <w:rPr>
                <w:rFonts w:ascii="Times New Roman" w:eastAsia="仿宋"/>
              </w:rPr>
              <w:t>土壤环境敏感特征</w:t>
            </w:r>
          </w:p>
        </w:tc>
      </w:tr>
      <w:tr w14:paraId="0D544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8" w:hRule="exact"/>
        </w:trPr>
        <w:tc>
          <w:tcPr>
            <w:tcW w:w="646" w:type="pct"/>
            <w:vAlign w:val="center"/>
          </w:tcPr>
          <w:p w14:paraId="67AF80EC">
            <w:pPr>
              <w:widowControl/>
              <w:jc w:val="center"/>
              <w:rPr>
                <w:rFonts w:ascii="Times New Roman" w:eastAsia="仿宋"/>
              </w:rPr>
            </w:pPr>
            <w:r>
              <w:rPr>
                <w:rFonts w:ascii="Times New Roman" w:eastAsia="仿宋"/>
              </w:rPr>
              <w:t>敏感</w:t>
            </w:r>
          </w:p>
        </w:tc>
        <w:tc>
          <w:tcPr>
            <w:tcW w:w="4354" w:type="pct"/>
            <w:vAlign w:val="center"/>
          </w:tcPr>
          <w:p w14:paraId="3EA2F13B">
            <w:pPr>
              <w:widowControl/>
              <w:jc w:val="center"/>
              <w:rPr>
                <w:rFonts w:ascii="Times New Roman" w:eastAsia="仿宋"/>
              </w:rPr>
            </w:pPr>
            <w:r>
              <w:rPr>
                <w:rFonts w:ascii="Times New Roman" w:eastAsia="仿宋"/>
              </w:rPr>
              <w:t>建设项目周边存在耕地、园地、牧草地、饮用水水源地或居民区、学校、医院、疗养院、养老院等土壤环境敏感目标的</w:t>
            </w:r>
          </w:p>
        </w:tc>
      </w:tr>
      <w:tr w14:paraId="5D40F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exact"/>
        </w:trPr>
        <w:tc>
          <w:tcPr>
            <w:tcW w:w="646" w:type="pct"/>
            <w:vAlign w:val="center"/>
          </w:tcPr>
          <w:p w14:paraId="66A6DA99">
            <w:pPr>
              <w:widowControl/>
              <w:jc w:val="center"/>
              <w:rPr>
                <w:rFonts w:ascii="Times New Roman" w:eastAsia="仿宋"/>
              </w:rPr>
            </w:pPr>
            <w:r>
              <w:rPr>
                <w:rFonts w:ascii="Times New Roman" w:eastAsia="仿宋"/>
              </w:rPr>
              <w:t>较敏感</w:t>
            </w:r>
          </w:p>
        </w:tc>
        <w:tc>
          <w:tcPr>
            <w:tcW w:w="4354" w:type="pct"/>
            <w:vAlign w:val="center"/>
          </w:tcPr>
          <w:p w14:paraId="325FF0B6">
            <w:pPr>
              <w:widowControl/>
              <w:jc w:val="center"/>
              <w:rPr>
                <w:rFonts w:ascii="Times New Roman" w:eastAsia="仿宋"/>
              </w:rPr>
            </w:pPr>
            <w:r>
              <w:rPr>
                <w:rFonts w:ascii="Times New Roman" w:eastAsia="仿宋"/>
              </w:rPr>
              <w:t>建设项目周边存在其他土壤环境敏感目标的</w:t>
            </w:r>
          </w:p>
        </w:tc>
      </w:tr>
      <w:tr w14:paraId="28A5A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8" w:hRule="exact"/>
        </w:trPr>
        <w:tc>
          <w:tcPr>
            <w:tcW w:w="646" w:type="pct"/>
            <w:shd w:val="clear" w:color="auto" w:fill="A6A6A6"/>
            <w:vAlign w:val="center"/>
          </w:tcPr>
          <w:p w14:paraId="188D6520">
            <w:pPr>
              <w:widowControl/>
              <w:jc w:val="center"/>
              <w:rPr>
                <w:rFonts w:ascii="Times New Roman" w:eastAsia="仿宋"/>
              </w:rPr>
            </w:pPr>
            <w:r>
              <w:rPr>
                <w:rFonts w:ascii="Times New Roman" w:eastAsia="仿宋"/>
              </w:rPr>
              <w:t>不敏感</w:t>
            </w:r>
          </w:p>
        </w:tc>
        <w:tc>
          <w:tcPr>
            <w:tcW w:w="4354" w:type="pct"/>
            <w:shd w:val="clear" w:color="auto" w:fill="A6A6A6"/>
            <w:vAlign w:val="center"/>
          </w:tcPr>
          <w:p w14:paraId="451A39D1">
            <w:pPr>
              <w:widowControl/>
              <w:jc w:val="center"/>
              <w:rPr>
                <w:rFonts w:ascii="Times New Roman" w:eastAsia="仿宋"/>
              </w:rPr>
            </w:pPr>
            <w:r>
              <w:rPr>
                <w:rFonts w:ascii="Times New Roman" w:eastAsia="仿宋"/>
              </w:rPr>
              <w:t>其他情况</w:t>
            </w:r>
          </w:p>
        </w:tc>
      </w:tr>
    </w:tbl>
    <w:p w14:paraId="6F4E326E">
      <w:pPr>
        <w:spacing w:line="500" w:lineRule="exact"/>
        <w:jc w:val="center"/>
        <w:rPr>
          <w:rFonts w:ascii="Times New Roman" w:eastAsia="仿宋"/>
          <w:b/>
          <w:bCs/>
        </w:rPr>
      </w:pPr>
      <w:r>
        <w:rPr>
          <w:rFonts w:ascii="Times New Roman" w:eastAsia="仿宋"/>
          <w:b/>
          <w:bCs/>
        </w:rPr>
        <w:t>表2.4-7  土壤环境影响评价项目类别</w:t>
      </w:r>
    </w:p>
    <w:tbl>
      <w:tblPr>
        <w:tblStyle w:val="8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15"/>
        <w:gridCol w:w="2650"/>
        <w:gridCol w:w="1469"/>
        <w:gridCol w:w="1322"/>
        <w:gridCol w:w="1372"/>
      </w:tblGrid>
      <w:tr w14:paraId="11226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1" w:hRule="exact"/>
        </w:trPr>
        <w:tc>
          <w:tcPr>
            <w:tcW w:w="1141" w:type="pct"/>
            <w:vMerge w:val="restart"/>
            <w:vAlign w:val="center"/>
          </w:tcPr>
          <w:p w14:paraId="56E6ADA7">
            <w:pPr>
              <w:widowControl/>
              <w:jc w:val="center"/>
              <w:rPr>
                <w:rFonts w:ascii="Times New Roman" w:eastAsia="仿宋"/>
              </w:rPr>
            </w:pPr>
            <w:r>
              <w:rPr>
                <w:rFonts w:ascii="Times New Roman" w:eastAsia="仿宋"/>
              </w:rPr>
              <w:t>行业类别</w:t>
            </w:r>
          </w:p>
        </w:tc>
        <w:tc>
          <w:tcPr>
            <w:tcW w:w="3859" w:type="pct"/>
            <w:gridSpan w:val="4"/>
            <w:vAlign w:val="center"/>
          </w:tcPr>
          <w:p w14:paraId="44BE0B05">
            <w:pPr>
              <w:widowControl/>
              <w:jc w:val="center"/>
              <w:rPr>
                <w:rFonts w:ascii="Times New Roman" w:eastAsia="仿宋"/>
              </w:rPr>
            </w:pPr>
            <w:r>
              <w:rPr>
                <w:rFonts w:ascii="Times New Roman" w:eastAsia="仿宋"/>
              </w:rPr>
              <w:t>项目类别</w:t>
            </w:r>
          </w:p>
        </w:tc>
      </w:tr>
      <w:tr w14:paraId="70550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exact"/>
        </w:trPr>
        <w:tc>
          <w:tcPr>
            <w:tcW w:w="1141" w:type="pct"/>
            <w:vMerge w:val="continue"/>
            <w:vAlign w:val="center"/>
          </w:tcPr>
          <w:p w14:paraId="091E6492">
            <w:pPr>
              <w:widowControl/>
              <w:jc w:val="center"/>
              <w:rPr>
                <w:rFonts w:ascii="Times New Roman" w:eastAsia="仿宋"/>
              </w:rPr>
            </w:pPr>
          </w:p>
        </w:tc>
        <w:tc>
          <w:tcPr>
            <w:tcW w:w="1501" w:type="pct"/>
            <w:tcBorders>
              <w:bottom w:val="single" w:color="auto" w:sz="6" w:space="0"/>
            </w:tcBorders>
            <w:vAlign w:val="center"/>
          </w:tcPr>
          <w:p w14:paraId="66EAE04D">
            <w:pPr>
              <w:widowControl/>
              <w:jc w:val="center"/>
              <w:rPr>
                <w:rFonts w:ascii="Times New Roman" w:eastAsia="仿宋"/>
              </w:rPr>
            </w:pPr>
            <w:r>
              <w:rPr>
                <w:rFonts w:ascii="Times New Roman" w:eastAsia="仿宋"/>
              </w:rPr>
              <w:fldChar w:fldCharType="begin"/>
            </w:r>
            <w:r>
              <w:rPr>
                <w:rFonts w:ascii="Times New Roman" w:eastAsia="仿宋"/>
              </w:rPr>
              <w:instrText xml:space="preserve"> = 1 \* ROMAN </w:instrText>
            </w:r>
            <w:r>
              <w:rPr>
                <w:rFonts w:ascii="Times New Roman" w:eastAsia="仿宋"/>
              </w:rPr>
              <w:fldChar w:fldCharType="separate"/>
            </w:r>
            <w:r>
              <w:rPr>
                <w:rFonts w:ascii="Times New Roman" w:eastAsia="仿宋"/>
              </w:rPr>
              <w:t>I</w:t>
            </w:r>
            <w:r>
              <w:rPr>
                <w:rFonts w:ascii="Times New Roman" w:eastAsia="仿宋"/>
              </w:rPr>
              <w:fldChar w:fldCharType="end"/>
            </w:r>
            <w:r>
              <w:rPr>
                <w:rFonts w:ascii="Times New Roman" w:eastAsia="仿宋"/>
              </w:rPr>
              <w:t>类</w:t>
            </w:r>
          </w:p>
        </w:tc>
        <w:tc>
          <w:tcPr>
            <w:tcW w:w="832" w:type="pct"/>
            <w:vAlign w:val="center"/>
          </w:tcPr>
          <w:p w14:paraId="2217ADA5">
            <w:pPr>
              <w:widowControl/>
              <w:jc w:val="center"/>
              <w:rPr>
                <w:rFonts w:ascii="Times New Roman" w:eastAsia="仿宋"/>
              </w:rPr>
            </w:pPr>
            <w:r>
              <w:rPr>
                <w:rFonts w:ascii="Times New Roman" w:eastAsia="仿宋"/>
              </w:rPr>
              <w:fldChar w:fldCharType="begin"/>
            </w:r>
            <w:r>
              <w:rPr>
                <w:rFonts w:ascii="Times New Roman" w:eastAsia="仿宋"/>
              </w:rPr>
              <w:instrText xml:space="preserve"> = 2 \* ROMAN </w:instrText>
            </w:r>
            <w:r>
              <w:rPr>
                <w:rFonts w:ascii="Times New Roman" w:eastAsia="仿宋"/>
              </w:rPr>
              <w:fldChar w:fldCharType="separate"/>
            </w:r>
            <w:r>
              <w:rPr>
                <w:rFonts w:ascii="Times New Roman" w:eastAsia="仿宋"/>
              </w:rPr>
              <w:t>II</w:t>
            </w:r>
            <w:r>
              <w:rPr>
                <w:rFonts w:ascii="Times New Roman" w:eastAsia="仿宋"/>
              </w:rPr>
              <w:fldChar w:fldCharType="end"/>
            </w:r>
            <w:r>
              <w:rPr>
                <w:rFonts w:ascii="Times New Roman" w:eastAsia="仿宋"/>
              </w:rPr>
              <w:t>类</w:t>
            </w:r>
          </w:p>
        </w:tc>
        <w:tc>
          <w:tcPr>
            <w:tcW w:w="749" w:type="pct"/>
            <w:vAlign w:val="center"/>
          </w:tcPr>
          <w:p w14:paraId="76B59A0E">
            <w:pPr>
              <w:widowControl/>
              <w:jc w:val="center"/>
              <w:rPr>
                <w:rFonts w:ascii="Times New Roman" w:eastAsia="仿宋"/>
              </w:rPr>
            </w:pPr>
            <w:r>
              <w:rPr>
                <w:rFonts w:ascii="Times New Roman" w:eastAsia="仿宋"/>
              </w:rPr>
              <w:fldChar w:fldCharType="begin"/>
            </w:r>
            <w:r>
              <w:rPr>
                <w:rFonts w:ascii="Times New Roman" w:eastAsia="仿宋"/>
              </w:rPr>
              <w:instrText xml:space="preserve"> = 3 \* ROMAN </w:instrText>
            </w:r>
            <w:r>
              <w:rPr>
                <w:rFonts w:ascii="Times New Roman" w:eastAsia="仿宋"/>
              </w:rPr>
              <w:fldChar w:fldCharType="separate"/>
            </w:r>
            <w:r>
              <w:rPr>
                <w:rFonts w:ascii="Times New Roman" w:eastAsia="仿宋"/>
              </w:rPr>
              <w:t>III</w:t>
            </w:r>
            <w:r>
              <w:rPr>
                <w:rFonts w:ascii="Times New Roman" w:eastAsia="仿宋"/>
              </w:rPr>
              <w:fldChar w:fldCharType="end"/>
            </w:r>
            <w:r>
              <w:rPr>
                <w:rFonts w:ascii="Times New Roman" w:eastAsia="仿宋"/>
              </w:rPr>
              <w:t>类</w:t>
            </w:r>
          </w:p>
        </w:tc>
        <w:tc>
          <w:tcPr>
            <w:tcW w:w="777" w:type="pct"/>
            <w:vAlign w:val="center"/>
          </w:tcPr>
          <w:p w14:paraId="300E2467">
            <w:pPr>
              <w:widowControl/>
              <w:jc w:val="center"/>
              <w:rPr>
                <w:rFonts w:ascii="Times New Roman" w:eastAsia="仿宋"/>
              </w:rPr>
            </w:pPr>
            <w:r>
              <w:rPr>
                <w:rFonts w:ascii="Times New Roman" w:eastAsia="仿宋"/>
              </w:rPr>
              <w:fldChar w:fldCharType="begin"/>
            </w:r>
            <w:r>
              <w:rPr>
                <w:rFonts w:ascii="Times New Roman" w:eastAsia="仿宋"/>
              </w:rPr>
              <w:instrText xml:space="preserve"> = 4 \* ROMAN </w:instrText>
            </w:r>
            <w:r>
              <w:rPr>
                <w:rFonts w:ascii="Times New Roman" w:eastAsia="仿宋"/>
              </w:rPr>
              <w:fldChar w:fldCharType="separate"/>
            </w:r>
            <w:r>
              <w:rPr>
                <w:rFonts w:ascii="Times New Roman" w:eastAsia="仿宋"/>
              </w:rPr>
              <w:t>IV</w:t>
            </w:r>
            <w:r>
              <w:rPr>
                <w:rFonts w:ascii="Times New Roman" w:eastAsia="仿宋"/>
              </w:rPr>
              <w:fldChar w:fldCharType="end"/>
            </w:r>
            <w:r>
              <w:rPr>
                <w:rFonts w:ascii="Times New Roman" w:eastAsia="仿宋"/>
              </w:rPr>
              <w:t>类</w:t>
            </w:r>
          </w:p>
        </w:tc>
      </w:tr>
      <w:tr w14:paraId="088EE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2" w:hRule="exact"/>
        </w:trPr>
        <w:tc>
          <w:tcPr>
            <w:tcW w:w="1141" w:type="pct"/>
            <w:shd w:val="clear" w:color="auto" w:fill="auto"/>
            <w:vAlign w:val="center"/>
          </w:tcPr>
          <w:p w14:paraId="40334912">
            <w:pPr>
              <w:widowControl/>
              <w:jc w:val="center"/>
              <w:rPr>
                <w:rFonts w:ascii="Times New Roman" w:eastAsia="仿宋"/>
              </w:rPr>
            </w:pPr>
            <w:r>
              <w:rPr>
                <w:rFonts w:ascii="Times New Roman" w:eastAsia="仿宋"/>
              </w:rPr>
              <w:t>设备制造、金属制造、汽车制造及其他用品制造</w:t>
            </w:r>
          </w:p>
        </w:tc>
        <w:tc>
          <w:tcPr>
            <w:tcW w:w="1501" w:type="pct"/>
            <w:shd w:val="clear" w:color="auto" w:fill="A6A6A6"/>
            <w:vAlign w:val="center"/>
          </w:tcPr>
          <w:p w14:paraId="0AEFD234">
            <w:pPr>
              <w:widowControl/>
              <w:jc w:val="center"/>
              <w:rPr>
                <w:rFonts w:ascii="Times New Roman" w:eastAsia="仿宋"/>
              </w:rPr>
            </w:pPr>
            <w:r>
              <w:rPr>
                <w:rFonts w:ascii="Times New Roman" w:eastAsia="仿宋"/>
              </w:rPr>
              <w:t>有电镀工艺的；金属制品表面处理及热处理加工的；使用有机涂层的（喷粉、喷塑和电泳除外）；有钝化工艺的热镀锌</w:t>
            </w:r>
          </w:p>
        </w:tc>
        <w:tc>
          <w:tcPr>
            <w:tcW w:w="832" w:type="pct"/>
            <w:vAlign w:val="center"/>
          </w:tcPr>
          <w:p w14:paraId="11C5218A">
            <w:pPr>
              <w:widowControl/>
              <w:jc w:val="center"/>
              <w:rPr>
                <w:rFonts w:ascii="Times New Roman" w:eastAsia="仿宋"/>
              </w:rPr>
            </w:pPr>
            <w:r>
              <w:rPr>
                <w:rFonts w:ascii="Times New Roman" w:eastAsia="仿宋"/>
              </w:rPr>
              <w:t>有化学处理工艺的</w:t>
            </w:r>
          </w:p>
        </w:tc>
        <w:tc>
          <w:tcPr>
            <w:tcW w:w="749" w:type="pct"/>
            <w:vAlign w:val="center"/>
          </w:tcPr>
          <w:p w14:paraId="550891F1">
            <w:pPr>
              <w:widowControl/>
              <w:jc w:val="center"/>
              <w:rPr>
                <w:rFonts w:ascii="Times New Roman" w:eastAsia="仿宋"/>
              </w:rPr>
            </w:pPr>
            <w:r>
              <w:rPr>
                <w:rFonts w:ascii="Times New Roman" w:eastAsia="仿宋"/>
              </w:rPr>
              <w:t>其他</w:t>
            </w:r>
          </w:p>
        </w:tc>
        <w:tc>
          <w:tcPr>
            <w:tcW w:w="777" w:type="pct"/>
            <w:vAlign w:val="center"/>
          </w:tcPr>
          <w:p w14:paraId="4663E25D">
            <w:pPr>
              <w:widowControl/>
              <w:jc w:val="center"/>
              <w:rPr>
                <w:rFonts w:ascii="Times New Roman" w:eastAsia="仿宋"/>
              </w:rPr>
            </w:pPr>
          </w:p>
        </w:tc>
      </w:tr>
    </w:tbl>
    <w:p w14:paraId="76640640">
      <w:pPr>
        <w:spacing w:line="500" w:lineRule="exact"/>
        <w:jc w:val="center"/>
        <w:rPr>
          <w:rFonts w:ascii="Times New Roman" w:eastAsia="仿宋"/>
          <w:b/>
          <w:bCs/>
        </w:rPr>
      </w:pPr>
      <w:r>
        <w:rPr>
          <w:rFonts w:ascii="Times New Roman" w:eastAsia="仿宋"/>
        </w:rPr>
        <mc:AlternateContent>
          <mc:Choice Requires="wps">
            <w:drawing>
              <wp:anchor distT="0" distB="0" distL="114300" distR="114300" simplePos="0" relativeHeight="251660288" behindDoc="0" locked="0" layoutInCell="1" allowOverlap="1">
                <wp:simplePos x="0" y="0"/>
                <wp:positionH relativeFrom="column">
                  <wp:posOffset>154940</wp:posOffset>
                </wp:positionH>
                <wp:positionV relativeFrom="paragraph">
                  <wp:posOffset>341630</wp:posOffset>
                </wp:positionV>
                <wp:extent cx="1028700" cy="695325"/>
                <wp:effectExtent l="10795" t="9525" r="8255" b="9525"/>
                <wp:wrapNone/>
                <wp:docPr id="56" name="自选图形 13300"/>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695325"/>
                        </a:xfrm>
                        <a:prstGeom prst="straightConnector1">
                          <a:avLst/>
                        </a:prstGeom>
                        <a:noFill/>
                        <a:ln w="9525">
                          <a:solidFill>
                            <a:srgbClr val="000000"/>
                          </a:solidFill>
                          <a:round/>
                        </a:ln>
                        <a:effectLst/>
                      </wps:spPr>
                      <wps:bodyPr/>
                    </wps:wsp>
                  </a:graphicData>
                </a:graphic>
              </wp:anchor>
            </w:drawing>
          </mc:Choice>
          <mc:Fallback>
            <w:pict>
              <v:shape id="自选图形 13300" o:spid="_x0000_s1026" o:spt="32" type="#_x0000_t32" style="position:absolute;left:0pt;flip:x y;margin-left:12.2pt;margin-top:26.9pt;height:54.75pt;width:81pt;z-index:251660288;mso-width-relative:page;mso-height-relative:page;" filled="f" stroked="t" coordsize="21600,21600" o:gfxdata="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XPiTZAAAACQEAAA8AAAAAAAAAAQAgAAAAIgAAAGRy&#10;cy9kb3ducmV2LnhtbFBLAQIUABQAAAAIAIdO4kAWt9MFBAIAAOEDAAAOAAAAAAAAAAEAIAAAACgB&#10;AABkcnMvZTJvRG9jLnhtbFBLBQYAAAAABgAGAFkBAACeBQAAAAA=&#10;">
                <v:fill on="f" focussize="0,0"/>
                <v:stroke color="#000000" joinstyle="round"/>
                <v:imagedata o:title=""/>
                <o:lock v:ext="edit" aspectratio="f"/>
              </v:shape>
            </w:pict>
          </mc:Fallback>
        </mc:AlternateContent>
      </w:r>
      <w:r>
        <w:rPr>
          <w:rFonts w:ascii="Times New Roman" w:eastAsia="仿宋"/>
          <w:b/>
          <w:bCs/>
        </w:rPr>
        <w:t>表2.4-8  土壤评价工作等级分级表</w:t>
      </w:r>
    </w:p>
    <w:tbl>
      <w:tblPr>
        <w:tblStyle w:val="87"/>
        <w:tblW w:w="497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12"/>
        <w:gridCol w:w="785"/>
        <w:gridCol w:w="785"/>
        <w:gridCol w:w="785"/>
        <w:gridCol w:w="734"/>
        <w:gridCol w:w="734"/>
        <w:gridCol w:w="737"/>
        <w:gridCol w:w="734"/>
        <w:gridCol w:w="734"/>
        <w:gridCol w:w="737"/>
      </w:tblGrid>
      <w:tr w14:paraId="09DD9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1147" w:type="pct"/>
            <w:vMerge w:val="restart"/>
            <w:vAlign w:val="center"/>
          </w:tcPr>
          <w:p w14:paraId="062C9857">
            <w:pPr>
              <w:widowControl/>
              <w:jc w:val="center"/>
              <w:rPr>
                <w:rFonts w:ascii="Times New Roman" w:eastAsia="仿宋"/>
              </w:rPr>
            </w:pPr>
            <w:r>
              <w:rPr>
                <w:rFonts w:ascii="Times New Roman" w:eastAsia="仿宋"/>
              </w:rPr>
              <w:t xml:space="preserve">      占地规模</w:t>
            </w:r>
          </w:p>
          <w:p w14:paraId="4C3C5FD8">
            <w:pPr>
              <w:widowControl/>
              <w:rPr>
                <w:rFonts w:ascii="Times New Roman" w:eastAsia="仿宋"/>
              </w:rPr>
            </w:pPr>
            <w:r>
              <w:rPr>
                <w:rFonts w:ascii="Times New Roman" w:eastAsia="仿宋"/>
              </w:rPr>
              <mc:AlternateContent>
                <mc:Choice Requires="wps">
                  <w:drawing>
                    <wp:anchor distT="0" distB="0" distL="114300" distR="114300" simplePos="0" relativeHeight="251661312" behindDoc="0" locked="0" layoutInCell="1" allowOverlap="1">
                      <wp:simplePos x="0" y="0"/>
                      <wp:positionH relativeFrom="column">
                        <wp:posOffset>-83185</wp:posOffset>
                      </wp:positionH>
                      <wp:positionV relativeFrom="paragraph">
                        <wp:posOffset>255270</wp:posOffset>
                      </wp:positionV>
                      <wp:extent cx="1243965" cy="268605"/>
                      <wp:effectExtent l="10795" t="9525" r="12065" b="7620"/>
                      <wp:wrapNone/>
                      <wp:docPr id="55" name="自选图形 13301"/>
                      <wp:cNvGraphicFramePr/>
                      <a:graphic xmlns:a="http://schemas.openxmlformats.org/drawingml/2006/main">
                        <a:graphicData uri="http://schemas.microsoft.com/office/word/2010/wordprocessingShape">
                          <wps:wsp>
                            <wps:cNvCnPr>
                              <a:cxnSpLocks noChangeShapeType="1"/>
                            </wps:cNvCnPr>
                            <wps:spPr bwMode="auto">
                              <a:xfrm flipH="1" flipV="1">
                                <a:off x="0" y="0"/>
                                <a:ext cx="1243965" cy="268605"/>
                              </a:xfrm>
                              <a:prstGeom prst="straightConnector1">
                                <a:avLst/>
                              </a:prstGeom>
                              <a:noFill/>
                              <a:ln w="9525">
                                <a:solidFill>
                                  <a:srgbClr val="000000"/>
                                </a:solidFill>
                                <a:round/>
                              </a:ln>
                              <a:effectLst/>
                            </wps:spPr>
                            <wps:bodyPr/>
                          </wps:wsp>
                        </a:graphicData>
                      </a:graphic>
                    </wp:anchor>
                  </w:drawing>
                </mc:Choice>
                <mc:Fallback>
                  <w:pict>
                    <v:shape id="自选图形 13301" o:spid="_x0000_s1026" o:spt="32" type="#_x0000_t32" style="position:absolute;left:0pt;flip:x y;margin-left:-6.55pt;margin-top:20.1pt;height:21.15pt;width:97.95pt;z-index:251661312;mso-width-relative:page;mso-height-relative:page;" filled="f" stroked="t" coordsize="21600,21600" o:gfxdata="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&#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HVwX2QAAAAkBAAAPAAAAAAAAAAEAIAAAACIAAABk&#10;cnMvZG93bnJldi54bWxQSwECFAAUAAAACACHTuJAUhh0EgUCAADhAwAADgAAAAAAAAABACAAAAAo&#10;AQAAZHJzL2Uyb0RvYy54bWxQSwUGAAAAAAYABgBZAQAAnwUAAAAA&#10;">
                      <v:fill on="f" focussize="0,0"/>
                      <v:stroke color="#000000" joinstyle="round"/>
                      <v:imagedata o:title=""/>
                      <o:lock v:ext="edit" aspectratio="f"/>
                    </v:shape>
                  </w:pict>
                </mc:Fallback>
              </mc:AlternateContent>
            </w:r>
            <w:r>
              <w:rPr>
                <w:rFonts w:ascii="Times New Roman" w:eastAsia="仿宋"/>
              </w:rPr>
              <w:t>评价工作等级</w:t>
            </w:r>
          </w:p>
          <w:p w14:paraId="07BD2074">
            <w:pPr>
              <w:widowControl/>
              <w:jc w:val="center"/>
              <w:rPr>
                <w:rFonts w:ascii="Times New Roman" w:eastAsia="仿宋"/>
              </w:rPr>
            </w:pPr>
          </w:p>
          <w:p w14:paraId="377589A1">
            <w:pPr>
              <w:widowControl/>
              <w:rPr>
                <w:rFonts w:ascii="Times New Roman" w:eastAsia="仿宋"/>
              </w:rPr>
            </w:pPr>
            <w:r>
              <w:rPr>
                <w:rFonts w:ascii="Times New Roman" w:eastAsia="仿宋"/>
              </w:rPr>
              <w:t>敏感程度</w:t>
            </w:r>
          </w:p>
        </w:tc>
        <w:tc>
          <w:tcPr>
            <w:tcW w:w="1341" w:type="pct"/>
            <w:gridSpan w:val="3"/>
            <w:vAlign w:val="center"/>
          </w:tcPr>
          <w:p w14:paraId="7A5D283C">
            <w:pPr>
              <w:widowControl/>
              <w:jc w:val="center"/>
              <w:rPr>
                <w:rFonts w:ascii="Times New Roman" w:eastAsia="仿宋"/>
              </w:rPr>
            </w:pPr>
            <w:r>
              <w:rPr>
                <w:rFonts w:ascii="Times New Roman" w:eastAsia="仿宋"/>
              </w:rPr>
              <w:fldChar w:fldCharType="begin"/>
            </w:r>
            <w:r>
              <w:rPr>
                <w:rFonts w:ascii="Times New Roman" w:eastAsia="仿宋"/>
              </w:rPr>
              <w:instrText xml:space="preserve"> = 1 \* ROMAN </w:instrText>
            </w:r>
            <w:r>
              <w:rPr>
                <w:rFonts w:ascii="Times New Roman" w:eastAsia="仿宋"/>
              </w:rPr>
              <w:fldChar w:fldCharType="separate"/>
            </w:r>
            <w:r>
              <w:rPr>
                <w:rFonts w:ascii="Times New Roman" w:eastAsia="仿宋"/>
              </w:rPr>
              <w:t>I</w:t>
            </w:r>
            <w:r>
              <w:rPr>
                <w:rFonts w:ascii="Times New Roman" w:eastAsia="仿宋"/>
              </w:rPr>
              <w:fldChar w:fldCharType="end"/>
            </w:r>
            <w:r>
              <w:rPr>
                <w:rFonts w:ascii="Times New Roman" w:eastAsia="仿宋"/>
              </w:rPr>
              <w:t>类</w:t>
            </w:r>
          </w:p>
        </w:tc>
        <w:tc>
          <w:tcPr>
            <w:tcW w:w="1256" w:type="pct"/>
            <w:gridSpan w:val="3"/>
            <w:vAlign w:val="center"/>
          </w:tcPr>
          <w:p w14:paraId="49C7EB7C">
            <w:pPr>
              <w:widowControl/>
              <w:jc w:val="center"/>
              <w:rPr>
                <w:rFonts w:ascii="Times New Roman" w:eastAsia="仿宋"/>
              </w:rPr>
            </w:pPr>
            <w:r>
              <w:rPr>
                <w:rFonts w:ascii="Times New Roman" w:eastAsia="仿宋"/>
              </w:rPr>
              <w:fldChar w:fldCharType="begin"/>
            </w:r>
            <w:r>
              <w:rPr>
                <w:rFonts w:ascii="Times New Roman" w:eastAsia="仿宋"/>
              </w:rPr>
              <w:instrText xml:space="preserve"> = 2 \* ROMAN </w:instrText>
            </w:r>
            <w:r>
              <w:rPr>
                <w:rFonts w:ascii="Times New Roman" w:eastAsia="仿宋"/>
              </w:rPr>
              <w:fldChar w:fldCharType="separate"/>
            </w:r>
            <w:r>
              <w:rPr>
                <w:rFonts w:ascii="Times New Roman" w:eastAsia="仿宋"/>
              </w:rPr>
              <w:t>II</w:t>
            </w:r>
            <w:r>
              <w:rPr>
                <w:rFonts w:ascii="Times New Roman" w:eastAsia="仿宋"/>
              </w:rPr>
              <w:fldChar w:fldCharType="end"/>
            </w:r>
            <w:r>
              <w:rPr>
                <w:rFonts w:ascii="Times New Roman" w:eastAsia="仿宋"/>
              </w:rPr>
              <w:t>类</w:t>
            </w:r>
          </w:p>
        </w:tc>
        <w:tc>
          <w:tcPr>
            <w:tcW w:w="1256" w:type="pct"/>
            <w:gridSpan w:val="3"/>
            <w:vAlign w:val="center"/>
          </w:tcPr>
          <w:p w14:paraId="59BB0F88">
            <w:pPr>
              <w:widowControl/>
              <w:jc w:val="center"/>
              <w:rPr>
                <w:rFonts w:ascii="Times New Roman" w:eastAsia="仿宋"/>
              </w:rPr>
            </w:pPr>
            <w:r>
              <w:rPr>
                <w:rFonts w:ascii="Times New Roman" w:eastAsia="仿宋"/>
              </w:rPr>
              <w:fldChar w:fldCharType="begin"/>
            </w:r>
            <w:r>
              <w:rPr>
                <w:rFonts w:ascii="Times New Roman" w:eastAsia="仿宋"/>
              </w:rPr>
              <w:instrText xml:space="preserve"> = 3 \* ROMAN </w:instrText>
            </w:r>
            <w:r>
              <w:rPr>
                <w:rFonts w:ascii="Times New Roman" w:eastAsia="仿宋"/>
              </w:rPr>
              <w:fldChar w:fldCharType="separate"/>
            </w:r>
            <w:r>
              <w:rPr>
                <w:rFonts w:ascii="Times New Roman" w:eastAsia="仿宋"/>
              </w:rPr>
              <w:t>III</w:t>
            </w:r>
            <w:r>
              <w:rPr>
                <w:rFonts w:ascii="Times New Roman" w:eastAsia="仿宋"/>
              </w:rPr>
              <w:fldChar w:fldCharType="end"/>
            </w:r>
            <w:r>
              <w:rPr>
                <w:rFonts w:ascii="Times New Roman" w:eastAsia="仿宋"/>
              </w:rPr>
              <w:t>类</w:t>
            </w:r>
          </w:p>
        </w:tc>
      </w:tr>
      <w:tr w14:paraId="7B66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0" w:hRule="exact"/>
        </w:trPr>
        <w:tc>
          <w:tcPr>
            <w:tcW w:w="1147" w:type="pct"/>
            <w:vMerge w:val="continue"/>
            <w:vAlign w:val="center"/>
          </w:tcPr>
          <w:p w14:paraId="27343D18">
            <w:pPr>
              <w:widowControl/>
              <w:jc w:val="center"/>
              <w:rPr>
                <w:rFonts w:ascii="Times New Roman" w:eastAsia="仿宋"/>
              </w:rPr>
            </w:pPr>
          </w:p>
        </w:tc>
        <w:tc>
          <w:tcPr>
            <w:tcW w:w="447" w:type="pct"/>
            <w:vAlign w:val="center"/>
          </w:tcPr>
          <w:p w14:paraId="2AB04ED4">
            <w:pPr>
              <w:widowControl/>
              <w:jc w:val="center"/>
              <w:rPr>
                <w:rFonts w:ascii="Times New Roman" w:eastAsia="仿宋"/>
              </w:rPr>
            </w:pPr>
            <w:r>
              <w:rPr>
                <w:rFonts w:ascii="Times New Roman" w:eastAsia="仿宋"/>
              </w:rPr>
              <w:t>大</w:t>
            </w:r>
          </w:p>
        </w:tc>
        <w:tc>
          <w:tcPr>
            <w:tcW w:w="447" w:type="pct"/>
            <w:vAlign w:val="center"/>
          </w:tcPr>
          <w:p w14:paraId="066D97FA">
            <w:pPr>
              <w:widowControl/>
              <w:jc w:val="center"/>
              <w:rPr>
                <w:rFonts w:ascii="Times New Roman" w:eastAsia="仿宋"/>
              </w:rPr>
            </w:pPr>
            <w:r>
              <w:rPr>
                <w:rFonts w:ascii="Times New Roman" w:eastAsia="仿宋"/>
              </w:rPr>
              <w:t>中</w:t>
            </w:r>
          </w:p>
        </w:tc>
        <w:tc>
          <w:tcPr>
            <w:tcW w:w="447" w:type="pct"/>
            <w:vAlign w:val="center"/>
          </w:tcPr>
          <w:p w14:paraId="43E6037D">
            <w:pPr>
              <w:widowControl/>
              <w:jc w:val="center"/>
              <w:rPr>
                <w:rFonts w:ascii="Times New Roman" w:eastAsia="仿宋"/>
              </w:rPr>
            </w:pPr>
            <w:r>
              <w:rPr>
                <w:rFonts w:ascii="Times New Roman" w:eastAsia="仿宋"/>
              </w:rPr>
              <w:t>小</w:t>
            </w:r>
          </w:p>
        </w:tc>
        <w:tc>
          <w:tcPr>
            <w:tcW w:w="418" w:type="pct"/>
            <w:vAlign w:val="center"/>
          </w:tcPr>
          <w:p w14:paraId="749B702D">
            <w:pPr>
              <w:widowControl/>
              <w:jc w:val="center"/>
              <w:rPr>
                <w:rFonts w:ascii="Times New Roman" w:eastAsia="仿宋"/>
              </w:rPr>
            </w:pPr>
            <w:r>
              <w:rPr>
                <w:rFonts w:ascii="Times New Roman" w:eastAsia="仿宋"/>
              </w:rPr>
              <w:t>大</w:t>
            </w:r>
          </w:p>
        </w:tc>
        <w:tc>
          <w:tcPr>
            <w:tcW w:w="418" w:type="pct"/>
            <w:vAlign w:val="center"/>
          </w:tcPr>
          <w:p w14:paraId="270024A5">
            <w:pPr>
              <w:widowControl/>
              <w:jc w:val="center"/>
              <w:rPr>
                <w:rFonts w:ascii="Times New Roman" w:eastAsia="仿宋"/>
              </w:rPr>
            </w:pPr>
            <w:r>
              <w:rPr>
                <w:rFonts w:ascii="Times New Roman" w:eastAsia="仿宋"/>
              </w:rPr>
              <w:t>中</w:t>
            </w:r>
          </w:p>
        </w:tc>
        <w:tc>
          <w:tcPr>
            <w:tcW w:w="419" w:type="pct"/>
            <w:vAlign w:val="center"/>
          </w:tcPr>
          <w:p w14:paraId="567E0AC2">
            <w:pPr>
              <w:widowControl/>
              <w:jc w:val="center"/>
              <w:rPr>
                <w:rFonts w:ascii="Times New Roman" w:eastAsia="仿宋"/>
              </w:rPr>
            </w:pPr>
            <w:r>
              <w:rPr>
                <w:rFonts w:ascii="Times New Roman" w:eastAsia="仿宋"/>
              </w:rPr>
              <w:t>小</w:t>
            </w:r>
          </w:p>
        </w:tc>
        <w:tc>
          <w:tcPr>
            <w:tcW w:w="418" w:type="pct"/>
            <w:vAlign w:val="center"/>
          </w:tcPr>
          <w:p w14:paraId="7B2040A6">
            <w:pPr>
              <w:widowControl/>
              <w:jc w:val="center"/>
              <w:rPr>
                <w:rFonts w:ascii="Times New Roman" w:eastAsia="仿宋"/>
              </w:rPr>
            </w:pPr>
            <w:r>
              <w:rPr>
                <w:rFonts w:ascii="Times New Roman" w:eastAsia="仿宋"/>
              </w:rPr>
              <w:t>大</w:t>
            </w:r>
          </w:p>
        </w:tc>
        <w:tc>
          <w:tcPr>
            <w:tcW w:w="418" w:type="pct"/>
            <w:vAlign w:val="center"/>
          </w:tcPr>
          <w:p w14:paraId="7BD0EC26">
            <w:pPr>
              <w:widowControl/>
              <w:jc w:val="center"/>
              <w:rPr>
                <w:rFonts w:ascii="Times New Roman" w:eastAsia="仿宋"/>
              </w:rPr>
            </w:pPr>
            <w:r>
              <w:rPr>
                <w:rFonts w:ascii="Times New Roman" w:eastAsia="仿宋"/>
              </w:rPr>
              <w:t>中</w:t>
            </w:r>
          </w:p>
        </w:tc>
        <w:tc>
          <w:tcPr>
            <w:tcW w:w="420" w:type="pct"/>
            <w:vAlign w:val="center"/>
          </w:tcPr>
          <w:p w14:paraId="564D62A1">
            <w:pPr>
              <w:widowControl/>
              <w:jc w:val="center"/>
              <w:rPr>
                <w:rFonts w:ascii="Times New Roman" w:eastAsia="仿宋"/>
              </w:rPr>
            </w:pPr>
            <w:r>
              <w:rPr>
                <w:rFonts w:ascii="Times New Roman" w:eastAsia="仿宋"/>
              </w:rPr>
              <w:t>小</w:t>
            </w:r>
          </w:p>
        </w:tc>
      </w:tr>
      <w:tr w14:paraId="06D6A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9" w:hRule="exact"/>
        </w:trPr>
        <w:tc>
          <w:tcPr>
            <w:tcW w:w="1147" w:type="pct"/>
            <w:vAlign w:val="center"/>
          </w:tcPr>
          <w:p w14:paraId="422A943C">
            <w:pPr>
              <w:widowControl/>
              <w:jc w:val="center"/>
              <w:rPr>
                <w:rFonts w:ascii="Times New Roman" w:eastAsia="仿宋"/>
              </w:rPr>
            </w:pPr>
            <w:r>
              <w:rPr>
                <w:rFonts w:ascii="Times New Roman" w:eastAsia="仿宋"/>
              </w:rPr>
              <w:t>敏感</w:t>
            </w:r>
          </w:p>
        </w:tc>
        <w:tc>
          <w:tcPr>
            <w:tcW w:w="447" w:type="pct"/>
            <w:vAlign w:val="center"/>
          </w:tcPr>
          <w:p w14:paraId="19375CF0">
            <w:pPr>
              <w:widowControl/>
              <w:jc w:val="center"/>
              <w:rPr>
                <w:rFonts w:ascii="Times New Roman" w:eastAsia="仿宋"/>
              </w:rPr>
            </w:pPr>
            <w:r>
              <w:rPr>
                <w:rFonts w:ascii="Times New Roman" w:eastAsia="仿宋"/>
              </w:rPr>
              <w:t>一级</w:t>
            </w:r>
          </w:p>
        </w:tc>
        <w:tc>
          <w:tcPr>
            <w:tcW w:w="447" w:type="pct"/>
            <w:vAlign w:val="center"/>
          </w:tcPr>
          <w:p w14:paraId="284945DB">
            <w:pPr>
              <w:widowControl/>
              <w:jc w:val="center"/>
              <w:rPr>
                <w:rFonts w:ascii="Times New Roman" w:eastAsia="仿宋"/>
              </w:rPr>
            </w:pPr>
            <w:r>
              <w:rPr>
                <w:rFonts w:ascii="Times New Roman" w:eastAsia="仿宋"/>
              </w:rPr>
              <w:t>一级</w:t>
            </w:r>
          </w:p>
        </w:tc>
        <w:tc>
          <w:tcPr>
            <w:tcW w:w="447" w:type="pct"/>
            <w:vAlign w:val="center"/>
          </w:tcPr>
          <w:p w14:paraId="68B81A1D">
            <w:pPr>
              <w:widowControl/>
              <w:jc w:val="center"/>
              <w:rPr>
                <w:rFonts w:ascii="Times New Roman" w:eastAsia="仿宋"/>
              </w:rPr>
            </w:pPr>
            <w:r>
              <w:rPr>
                <w:rFonts w:ascii="Times New Roman" w:eastAsia="仿宋"/>
              </w:rPr>
              <w:t>一级</w:t>
            </w:r>
          </w:p>
        </w:tc>
        <w:tc>
          <w:tcPr>
            <w:tcW w:w="418" w:type="pct"/>
            <w:vAlign w:val="center"/>
          </w:tcPr>
          <w:p w14:paraId="6511C604">
            <w:pPr>
              <w:widowControl/>
              <w:jc w:val="center"/>
              <w:rPr>
                <w:rFonts w:ascii="Times New Roman" w:eastAsia="仿宋"/>
              </w:rPr>
            </w:pPr>
            <w:r>
              <w:rPr>
                <w:rFonts w:ascii="Times New Roman" w:eastAsia="仿宋"/>
              </w:rPr>
              <w:t>二级</w:t>
            </w:r>
          </w:p>
        </w:tc>
        <w:tc>
          <w:tcPr>
            <w:tcW w:w="418" w:type="pct"/>
            <w:vAlign w:val="center"/>
          </w:tcPr>
          <w:p w14:paraId="6AAD77CB">
            <w:pPr>
              <w:widowControl/>
              <w:jc w:val="center"/>
              <w:rPr>
                <w:rFonts w:ascii="Times New Roman" w:eastAsia="仿宋"/>
              </w:rPr>
            </w:pPr>
            <w:r>
              <w:rPr>
                <w:rFonts w:ascii="Times New Roman" w:eastAsia="仿宋"/>
              </w:rPr>
              <w:t>二级</w:t>
            </w:r>
          </w:p>
        </w:tc>
        <w:tc>
          <w:tcPr>
            <w:tcW w:w="419" w:type="pct"/>
            <w:vAlign w:val="center"/>
          </w:tcPr>
          <w:p w14:paraId="1440CC91">
            <w:pPr>
              <w:widowControl/>
              <w:jc w:val="center"/>
              <w:rPr>
                <w:rFonts w:ascii="Times New Roman" w:eastAsia="仿宋"/>
              </w:rPr>
            </w:pPr>
            <w:r>
              <w:rPr>
                <w:rFonts w:ascii="Times New Roman" w:eastAsia="仿宋"/>
              </w:rPr>
              <w:t>二级</w:t>
            </w:r>
          </w:p>
        </w:tc>
        <w:tc>
          <w:tcPr>
            <w:tcW w:w="418" w:type="pct"/>
            <w:vAlign w:val="center"/>
          </w:tcPr>
          <w:p w14:paraId="78DFA65A">
            <w:pPr>
              <w:widowControl/>
              <w:jc w:val="center"/>
              <w:rPr>
                <w:rFonts w:ascii="Times New Roman" w:eastAsia="仿宋"/>
              </w:rPr>
            </w:pPr>
            <w:r>
              <w:rPr>
                <w:rFonts w:ascii="Times New Roman" w:eastAsia="仿宋"/>
              </w:rPr>
              <w:t>二级</w:t>
            </w:r>
          </w:p>
        </w:tc>
        <w:tc>
          <w:tcPr>
            <w:tcW w:w="418" w:type="pct"/>
            <w:vAlign w:val="center"/>
          </w:tcPr>
          <w:p w14:paraId="00BD695E">
            <w:pPr>
              <w:widowControl/>
              <w:jc w:val="center"/>
              <w:rPr>
                <w:rFonts w:ascii="Times New Roman" w:eastAsia="仿宋"/>
              </w:rPr>
            </w:pPr>
            <w:r>
              <w:rPr>
                <w:rFonts w:ascii="Times New Roman" w:eastAsia="仿宋"/>
              </w:rPr>
              <w:t>三级</w:t>
            </w:r>
          </w:p>
        </w:tc>
        <w:tc>
          <w:tcPr>
            <w:tcW w:w="420" w:type="pct"/>
            <w:vAlign w:val="center"/>
          </w:tcPr>
          <w:p w14:paraId="1C30990D">
            <w:pPr>
              <w:widowControl/>
              <w:jc w:val="center"/>
              <w:rPr>
                <w:rFonts w:ascii="Times New Roman" w:eastAsia="仿宋"/>
              </w:rPr>
            </w:pPr>
            <w:r>
              <w:rPr>
                <w:rFonts w:ascii="Times New Roman" w:eastAsia="仿宋"/>
              </w:rPr>
              <w:t>三级</w:t>
            </w:r>
          </w:p>
        </w:tc>
      </w:tr>
      <w:tr w14:paraId="2BA09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exact"/>
        </w:trPr>
        <w:tc>
          <w:tcPr>
            <w:tcW w:w="1147" w:type="pct"/>
            <w:vAlign w:val="center"/>
          </w:tcPr>
          <w:p w14:paraId="50347361">
            <w:pPr>
              <w:widowControl/>
              <w:jc w:val="center"/>
              <w:rPr>
                <w:rFonts w:ascii="Times New Roman" w:eastAsia="仿宋"/>
              </w:rPr>
            </w:pPr>
            <w:r>
              <w:rPr>
                <w:rFonts w:ascii="Times New Roman" w:eastAsia="仿宋"/>
              </w:rPr>
              <w:t>较敏感</w:t>
            </w:r>
          </w:p>
        </w:tc>
        <w:tc>
          <w:tcPr>
            <w:tcW w:w="447" w:type="pct"/>
            <w:vAlign w:val="center"/>
          </w:tcPr>
          <w:p w14:paraId="2E22D3DC">
            <w:pPr>
              <w:widowControl/>
              <w:jc w:val="center"/>
              <w:rPr>
                <w:rFonts w:ascii="Times New Roman" w:eastAsia="仿宋"/>
              </w:rPr>
            </w:pPr>
            <w:r>
              <w:rPr>
                <w:rFonts w:ascii="Times New Roman" w:eastAsia="仿宋"/>
              </w:rPr>
              <w:t>一级</w:t>
            </w:r>
          </w:p>
        </w:tc>
        <w:tc>
          <w:tcPr>
            <w:tcW w:w="447" w:type="pct"/>
            <w:tcBorders>
              <w:bottom w:val="single" w:color="auto" w:sz="6" w:space="0"/>
            </w:tcBorders>
            <w:vAlign w:val="center"/>
          </w:tcPr>
          <w:p w14:paraId="5494F4C9">
            <w:pPr>
              <w:widowControl/>
              <w:jc w:val="center"/>
              <w:rPr>
                <w:rFonts w:ascii="Times New Roman" w:eastAsia="仿宋"/>
              </w:rPr>
            </w:pPr>
            <w:r>
              <w:rPr>
                <w:rFonts w:ascii="Times New Roman" w:eastAsia="仿宋"/>
              </w:rPr>
              <w:t>一级</w:t>
            </w:r>
          </w:p>
        </w:tc>
        <w:tc>
          <w:tcPr>
            <w:tcW w:w="447" w:type="pct"/>
            <w:tcBorders>
              <w:bottom w:val="single" w:color="auto" w:sz="6" w:space="0"/>
            </w:tcBorders>
            <w:vAlign w:val="center"/>
          </w:tcPr>
          <w:p w14:paraId="6751328E">
            <w:pPr>
              <w:widowControl/>
              <w:jc w:val="center"/>
              <w:rPr>
                <w:rFonts w:ascii="Times New Roman" w:eastAsia="仿宋"/>
              </w:rPr>
            </w:pPr>
            <w:r>
              <w:rPr>
                <w:rFonts w:ascii="Times New Roman" w:eastAsia="仿宋"/>
              </w:rPr>
              <w:t>二级</w:t>
            </w:r>
          </w:p>
        </w:tc>
        <w:tc>
          <w:tcPr>
            <w:tcW w:w="418" w:type="pct"/>
            <w:vAlign w:val="center"/>
          </w:tcPr>
          <w:p w14:paraId="2DF3BBD2">
            <w:pPr>
              <w:widowControl/>
              <w:jc w:val="center"/>
              <w:rPr>
                <w:rFonts w:ascii="Times New Roman" w:eastAsia="仿宋"/>
              </w:rPr>
            </w:pPr>
            <w:r>
              <w:rPr>
                <w:rFonts w:ascii="Times New Roman" w:eastAsia="仿宋"/>
              </w:rPr>
              <w:t>二级</w:t>
            </w:r>
          </w:p>
        </w:tc>
        <w:tc>
          <w:tcPr>
            <w:tcW w:w="418" w:type="pct"/>
            <w:vAlign w:val="center"/>
          </w:tcPr>
          <w:p w14:paraId="38330B49">
            <w:pPr>
              <w:widowControl/>
              <w:jc w:val="center"/>
              <w:rPr>
                <w:rFonts w:ascii="Times New Roman" w:eastAsia="仿宋"/>
              </w:rPr>
            </w:pPr>
            <w:r>
              <w:rPr>
                <w:rFonts w:ascii="Times New Roman" w:eastAsia="仿宋"/>
              </w:rPr>
              <w:t>二级</w:t>
            </w:r>
          </w:p>
        </w:tc>
        <w:tc>
          <w:tcPr>
            <w:tcW w:w="419" w:type="pct"/>
            <w:vAlign w:val="center"/>
          </w:tcPr>
          <w:p w14:paraId="2A0AC57F">
            <w:pPr>
              <w:widowControl/>
              <w:jc w:val="center"/>
              <w:rPr>
                <w:rFonts w:ascii="Times New Roman" w:eastAsia="仿宋"/>
              </w:rPr>
            </w:pPr>
            <w:r>
              <w:rPr>
                <w:rFonts w:ascii="Times New Roman" w:eastAsia="仿宋"/>
              </w:rPr>
              <w:t>二级</w:t>
            </w:r>
          </w:p>
        </w:tc>
        <w:tc>
          <w:tcPr>
            <w:tcW w:w="418" w:type="pct"/>
            <w:vAlign w:val="center"/>
          </w:tcPr>
          <w:p w14:paraId="42306586">
            <w:pPr>
              <w:widowControl/>
              <w:jc w:val="center"/>
              <w:rPr>
                <w:rFonts w:ascii="Times New Roman" w:eastAsia="仿宋"/>
              </w:rPr>
            </w:pPr>
            <w:r>
              <w:rPr>
                <w:rFonts w:ascii="Times New Roman" w:eastAsia="仿宋"/>
              </w:rPr>
              <w:t>三级</w:t>
            </w:r>
          </w:p>
        </w:tc>
        <w:tc>
          <w:tcPr>
            <w:tcW w:w="418" w:type="pct"/>
            <w:vAlign w:val="center"/>
          </w:tcPr>
          <w:p w14:paraId="2EB0129D">
            <w:pPr>
              <w:widowControl/>
              <w:jc w:val="center"/>
              <w:rPr>
                <w:rFonts w:ascii="Times New Roman" w:eastAsia="仿宋"/>
              </w:rPr>
            </w:pPr>
            <w:r>
              <w:rPr>
                <w:rFonts w:ascii="Times New Roman" w:eastAsia="仿宋"/>
              </w:rPr>
              <w:t>三级</w:t>
            </w:r>
          </w:p>
        </w:tc>
        <w:tc>
          <w:tcPr>
            <w:tcW w:w="420" w:type="pct"/>
            <w:vAlign w:val="center"/>
          </w:tcPr>
          <w:p w14:paraId="4F0BAF09">
            <w:pPr>
              <w:widowControl/>
              <w:jc w:val="center"/>
              <w:rPr>
                <w:rFonts w:ascii="Times New Roman" w:eastAsia="仿宋"/>
              </w:rPr>
            </w:pPr>
            <w:r>
              <w:rPr>
                <w:rFonts w:ascii="Times New Roman" w:eastAsia="仿宋"/>
              </w:rPr>
              <w:t>-</w:t>
            </w:r>
          </w:p>
        </w:tc>
      </w:tr>
      <w:tr w14:paraId="53F41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exact"/>
        </w:trPr>
        <w:tc>
          <w:tcPr>
            <w:tcW w:w="1147" w:type="pct"/>
            <w:shd w:val="clear" w:color="auto" w:fill="auto"/>
            <w:vAlign w:val="center"/>
          </w:tcPr>
          <w:p w14:paraId="19473EF9">
            <w:pPr>
              <w:widowControl/>
              <w:jc w:val="center"/>
              <w:rPr>
                <w:rFonts w:ascii="Times New Roman" w:eastAsia="仿宋"/>
              </w:rPr>
            </w:pPr>
            <w:r>
              <w:rPr>
                <w:rFonts w:ascii="Times New Roman" w:eastAsia="仿宋"/>
              </w:rPr>
              <w:t>不敏感</w:t>
            </w:r>
          </w:p>
        </w:tc>
        <w:tc>
          <w:tcPr>
            <w:tcW w:w="447" w:type="pct"/>
            <w:shd w:val="clear" w:color="auto" w:fill="auto"/>
            <w:vAlign w:val="center"/>
          </w:tcPr>
          <w:p w14:paraId="5809CB3B">
            <w:pPr>
              <w:widowControl/>
              <w:jc w:val="center"/>
              <w:rPr>
                <w:rFonts w:ascii="Times New Roman" w:eastAsia="仿宋"/>
              </w:rPr>
            </w:pPr>
            <w:r>
              <w:rPr>
                <w:rFonts w:ascii="Times New Roman" w:eastAsia="仿宋"/>
              </w:rPr>
              <w:t>一级</w:t>
            </w:r>
          </w:p>
        </w:tc>
        <w:tc>
          <w:tcPr>
            <w:tcW w:w="447" w:type="pct"/>
            <w:shd w:val="clear" w:color="auto" w:fill="auto"/>
            <w:vAlign w:val="center"/>
          </w:tcPr>
          <w:p w14:paraId="557A93E1">
            <w:pPr>
              <w:widowControl/>
              <w:jc w:val="center"/>
              <w:rPr>
                <w:rFonts w:ascii="Times New Roman" w:eastAsia="仿宋"/>
              </w:rPr>
            </w:pPr>
            <w:r>
              <w:rPr>
                <w:rFonts w:ascii="Times New Roman" w:eastAsia="仿宋"/>
              </w:rPr>
              <w:t>二级</w:t>
            </w:r>
          </w:p>
        </w:tc>
        <w:tc>
          <w:tcPr>
            <w:tcW w:w="447" w:type="pct"/>
            <w:shd w:val="clear" w:color="auto" w:fill="808080"/>
            <w:vAlign w:val="center"/>
          </w:tcPr>
          <w:p w14:paraId="3B473FC6">
            <w:pPr>
              <w:widowControl/>
              <w:jc w:val="center"/>
              <w:rPr>
                <w:rFonts w:ascii="Times New Roman" w:eastAsia="仿宋"/>
              </w:rPr>
            </w:pPr>
            <w:r>
              <w:rPr>
                <w:rFonts w:ascii="Times New Roman" w:eastAsia="仿宋"/>
              </w:rPr>
              <w:t>二级</w:t>
            </w:r>
          </w:p>
        </w:tc>
        <w:tc>
          <w:tcPr>
            <w:tcW w:w="418" w:type="pct"/>
            <w:vAlign w:val="center"/>
          </w:tcPr>
          <w:p w14:paraId="7563EC92">
            <w:pPr>
              <w:widowControl/>
              <w:jc w:val="center"/>
              <w:rPr>
                <w:rFonts w:ascii="Times New Roman" w:eastAsia="仿宋"/>
              </w:rPr>
            </w:pPr>
            <w:r>
              <w:rPr>
                <w:rFonts w:ascii="Times New Roman" w:eastAsia="仿宋"/>
              </w:rPr>
              <w:t>二级</w:t>
            </w:r>
          </w:p>
        </w:tc>
        <w:tc>
          <w:tcPr>
            <w:tcW w:w="418" w:type="pct"/>
            <w:vAlign w:val="center"/>
          </w:tcPr>
          <w:p w14:paraId="4C38118F">
            <w:pPr>
              <w:widowControl/>
              <w:jc w:val="center"/>
              <w:rPr>
                <w:rFonts w:ascii="Times New Roman" w:eastAsia="仿宋"/>
              </w:rPr>
            </w:pPr>
            <w:r>
              <w:rPr>
                <w:rFonts w:ascii="Times New Roman" w:eastAsia="仿宋"/>
              </w:rPr>
              <w:t>二级</w:t>
            </w:r>
          </w:p>
        </w:tc>
        <w:tc>
          <w:tcPr>
            <w:tcW w:w="419" w:type="pct"/>
            <w:vAlign w:val="center"/>
          </w:tcPr>
          <w:p w14:paraId="79E19261">
            <w:pPr>
              <w:widowControl/>
              <w:jc w:val="center"/>
              <w:rPr>
                <w:rFonts w:ascii="Times New Roman" w:eastAsia="仿宋"/>
              </w:rPr>
            </w:pPr>
            <w:r>
              <w:rPr>
                <w:rFonts w:ascii="Times New Roman" w:eastAsia="仿宋"/>
              </w:rPr>
              <w:t>三级</w:t>
            </w:r>
          </w:p>
        </w:tc>
        <w:tc>
          <w:tcPr>
            <w:tcW w:w="418" w:type="pct"/>
            <w:vAlign w:val="center"/>
          </w:tcPr>
          <w:p w14:paraId="1C5B818D">
            <w:pPr>
              <w:widowControl/>
              <w:jc w:val="center"/>
              <w:rPr>
                <w:rFonts w:ascii="Times New Roman" w:eastAsia="仿宋"/>
              </w:rPr>
            </w:pPr>
            <w:r>
              <w:rPr>
                <w:rFonts w:ascii="Times New Roman" w:eastAsia="仿宋"/>
              </w:rPr>
              <w:t>三级</w:t>
            </w:r>
          </w:p>
        </w:tc>
        <w:tc>
          <w:tcPr>
            <w:tcW w:w="418" w:type="pct"/>
            <w:vAlign w:val="center"/>
          </w:tcPr>
          <w:p w14:paraId="238BE4B9">
            <w:pPr>
              <w:widowControl/>
              <w:jc w:val="center"/>
              <w:rPr>
                <w:rFonts w:ascii="Times New Roman" w:eastAsia="仿宋"/>
              </w:rPr>
            </w:pPr>
            <w:r>
              <w:rPr>
                <w:rFonts w:ascii="Times New Roman" w:eastAsia="仿宋"/>
              </w:rPr>
              <w:t>-</w:t>
            </w:r>
          </w:p>
        </w:tc>
        <w:tc>
          <w:tcPr>
            <w:tcW w:w="420" w:type="pct"/>
            <w:vAlign w:val="center"/>
          </w:tcPr>
          <w:p w14:paraId="49552546">
            <w:pPr>
              <w:widowControl/>
              <w:jc w:val="center"/>
              <w:rPr>
                <w:rFonts w:ascii="Times New Roman" w:eastAsia="仿宋"/>
              </w:rPr>
            </w:pPr>
            <w:r>
              <w:rPr>
                <w:rFonts w:ascii="Times New Roman" w:eastAsia="仿宋"/>
              </w:rPr>
              <w:t>-</w:t>
            </w:r>
          </w:p>
        </w:tc>
      </w:tr>
      <w:tr w14:paraId="0AAAA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exact"/>
        </w:trPr>
        <w:tc>
          <w:tcPr>
            <w:tcW w:w="5000" w:type="pct"/>
            <w:gridSpan w:val="10"/>
            <w:vAlign w:val="center"/>
          </w:tcPr>
          <w:p w14:paraId="661E3071">
            <w:pPr>
              <w:widowControl/>
              <w:jc w:val="left"/>
              <w:rPr>
                <w:rFonts w:ascii="Times New Roman" w:eastAsia="仿宋"/>
              </w:rPr>
            </w:pPr>
            <w:r>
              <w:rPr>
                <w:rFonts w:ascii="Times New Roman" w:eastAsia="仿宋"/>
              </w:rPr>
              <w:t>注：“-”表示可不开展土壤环境影响评价工作</w:t>
            </w:r>
          </w:p>
        </w:tc>
      </w:tr>
    </w:tbl>
    <w:p w14:paraId="75A126D0">
      <w:pPr>
        <w:spacing w:line="500" w:lineRule="exact"/>
        <w:ind w:firstLine="560" w:firstLineChars="200"/>
        <w:rPr>
          <w:rFonts w:ascii="Times New Roman" w:eastAsia="仿宋"/>
          <w:sz w:val="28"/>
          <w:szCs w:val="28"/>
        </w:rPr>
      </w:pPr>
      <w:r>
        <w:rPr>
          <w:rFonts w:hint="eastAsia" w:hAnsi="宋体" w:cs="宋体"/>
          <w:sz w:val="28"/>
          <w:szCs w:val="28"/>
        </w:rPr>
        <w:t>（7）</w:t>
      </w:r>
      <w:r>
        <w:rPr>
          <w:rFonts w:ascii="Times New Roman" w:eastAsia="仿宋"/>
          <w:sz w:val="28"/>
          <w:szCs w:val="28"/>
        </w:rPr>
        <w:t>生态评价等级</w:t>
      </w:r>
    </w:p>
    <w:p w14:paraId="1AEBFB85">
      <w:pPr>
        <w:spacing w:line="500" w:lineRule="exact"/>
        <w:ind w:firstLine="560" w:firstLineChars="200"/>
        <w:rPr>
          <w:rFonts w:ascii="Times New Roman" w:eastAsia="仿宋"/>
          <w:sz w:val="28"/>
          <w:szCs w:val="28"/>
        </w:rPr>
      </w:pPr>
      <w:r>
        <w:rPr>
          <w:rFonts w:ascii="Times New Roman" w:eastAsia="仿宋"/>
          <w:sz w:val="28"/>
          <w:szCs w:val="28"/>
        </w:rPr>
        <w:t>根据《环境影响评价技术导则  生态影响》（HJ19-2022），符合生态环境分区管控要求且位于原厂界（或永久用地）范围内的污染影响类项目，位于已批准规划环评的产业园区内且符合规划环评要求、不涉及生态敏感区的污染影响类建设项目，可不确定评价等级，直接进行生态影响简单分析。</w:t>
      </w:r>
    </w:p>
    <w:p w14:paraId="31D14200">
      <w:pPr>
        <w:spacing w:line="500" w:lineRule="exact"/>
        <w:ind w:firstLine="560" w:firstLineChars="200"/>
        <w:rPr>
          <w:rFonts w:ascii="Times New Roman" w:eastAsia="仿宋"/>
          <w:sz w:val="28"/>
          <w:szCs w:val="28"/>
        </w:rPr>
      </w:pPr>
      <w:r>
        <w:rPr>
          <w:rFonts w:ascii="Times New Roman" w:eastAsia="仿宋"/>
          <w:sz w:val="28"/>
          <w:szCs w:val="28"/>
        </w:rPr>
        <w:t>本项目属于污染影响类项目，位于</w:t>
      </w:r>
      <w:r>
        <w:rPr>
          <w:rFonts w:ascii="Times New Roman" w:eastAsia="仿宋"/>
          <w:bCs/>
          <w:sz w:val="28"/>
          <w:szCs w:val="28"/>
        </w:rPr>
        <w:t>金坛区</w:t>
      </w:r>
      <w:r>
        <w:rPr>
          <w:rFonts w:hint="eastAsia" w:ascii="Times New Roman" w:eastAsia="仿宋"/>
          <w:sz w:val="28"/>
          <w:szCs w:val="28"/>
        </w:rPr>
        <w:t>朱林镇工业园区</w:t>
      </w:r>
      <w:r>
        <w:rPr>
          <w:rFonts w:ascii="Times New Roman" w:eastAsia="仿宋"/>
          <w:sz w:val="28"/>
          <w:szCs w:val="28"/>
        </w:rPr>
        <w:t>，符合规划环评要求、不涉及生态敏感区，直接进行生态影响简单分析。</w:t>
      </w:r>
    </w:p>
    <w:p w14:paraId="172DF2BB">
      <w:pPr>
        <w:pStyle w:val="6"/>
        <w:keepLines w:val="0"/>
        <w:tabs>
          <w:tab w:val="left" w:pos="709"/>
        </w:tabs>
        <w:spacing w:before="120" w:beforeLines="50" w:after="0" w:line="360" w:lineRule="auto"/>
        <w:rPr>
          <w:rFonts w:ascii="Times New Roman" w:eastAsia="仿宋"/>
          <w:sz w:val="28"/>
          <w:szCs w:val="28"/>
        </w:rPr>
      </w:pPr>
      <w:r>
        <w:rPr>
          <w:rFonts w:hint="eastAsia" w:ascii="Times New Roman" w:eastAsia="仿宋"/>
          <w:sz w:val="28"/>
          <w:szCs w:val="28"/>
        </w:rPr>
        <w:t>2</w:t>
      </w:r>
      <w:r>
        <w:rPr>
          <w:rFonts w:ascii="Times New Roman" w:eastAsia="仿宋"/>
          <w:sz w:val="28"/>
          <w:szCs w:val="28"/>
        </w:rPr>
        <w:t>.4.2评价重点</w:t>
      </w:r>
    </w:p>
    <w:p w14:paraId="0D4776BC">
      <w:pPr>
        <w:spacing w:line="500" w:lineRule="exact"/>
        <w:ind w:firstLine="560" w:firstLineChars="200"/>
        <w:rPr>
          <w:rFonts w:ascii="Times New Roman" w:eastAsia="仿宋"/>
          <w:sz w:val="28"/>
        </w:rPr>
      </w:pPr>
      <w:r>
        <w:rPr>
          <w:rFonts w:ascii="Times New Roman" w:eastAsia="仿宋"/>
          <w:sz w:val="28"/>
        </w:rPr>
        <w:t>根据本项目的环境影响特征和项目所处区域的环境现状情况，结合当前环保管理的有关要求，确定本次评价重点如下：</w:t>
      </w:r>
    </w:p>
    <w:p w14:paraId="216D8B3A">
      <w:pPr>
        <w:spacing w:line="500" w:lineRule="exact"/>
        <w:ind w:firstLine="560" w:firstLineChars="200"/>
        <w:rPr>
          <w:rFonts w:ascii="Times New Roman" w:eastAsia="仿宋"/>
          <w:sz w:val="28"/>
        </w:rPr>
      </w:pPr>
      <w:r>
        <w:rPr>
          <w:rFonts w:ascii="Times New Roman" w:eastAsia="仿宋"/>
          <w:sz w:val="28"/>
          <w:szCs w:val="28"/>
        </w:rPr>
        <w:t>（1）</w:t>
      </w:r>
      <w:r>
        <w:rPr>
          <w:rFonts w:ascii="Times New Roman" w:eastAsia="仿宋"/>
          <w:sz w:val="28"/>
        </w:rPr>
        <w:t>工程分析</w:t>
      </w:r>
    </w:p>
    <w:p w14:paraId="7B5E0A3C">
      <w:pPr>
        <w:spacing w:line="500" w:lineRule="exact"/>
        <w:ind w:firstLine="560" w:firstLineChars="200"/>
        <w:rPr>
          <w:rFonts w:ascii="Times New Roman" w:eastAsia="仿宋"/>
          <w:sz w:val="28"/>
        </w:rPr>
      </w:pPr>
      <w:r>
        <w:rPr>
          <w:rFonts w:ascii="Times New Roman" w:eastAsia="仿宋"/>
          <w:sz w:val="28"/>
        </w:rPr>
        <w:t>突出工程分析，</w:t>
      </w:r>
      <w:r>
        <w:rPr>
          <w:rFonts w:hint="eastAsia" w:ascii="Times New Roman" w:eastAsia="仿宋"/>
          <w:sz w:val="28"/>
        </w:rPr>
        <w:t>分析原有项目在生产过程中各类污染物的排放点、排放规律及排放量，重点关注项目的涂装生产线，使用油性氟碳底漆、氟碳面漆在</w:t>
      </w:r>
      <w:r>
        <w:rPr>
          <w:rFonts w:ascii="Times New Roman" w:eastAsia="仿宋"/>
          <w:sz w:val="28"/>
        </w:rPr>
        <w:t>生产过程中各类污染物的排放点、排放规律及排放量，为影响评价打好基础，为搞好污染防治提供依据。同时还要搞好工程各类污染物排放量的计算，科学合理地确定工程的排放总量。</w:t>
      </w:r>
    </w:p>
    <w:p w14:paraId="45798BDD">
      <w:pPr>
        <w:spacing w:line="500" w:lineRule="exact"/>
        <w:ind w:firstLine="560" w:firstLineChars="200"/>
        <w:rPr>
          <w:rFonts w:ascii="Times New Roman" w:eastAsia="仿宋"/>
          <w:sz w:val="28"/>
        </w:rPr>
      </w:pPr>
      <w:r>
        <w:rPr>
          <w:rFonts w:ascii="Times New Roman" w:eastAsia="仿宋"/>
          <w:sz w:val="28"/>
          <w:szCs w:val="28"/>
        </w:rPr>
        <w:t>（2）</w:t>
      </w:r>
      <w:r>
        <w:rPr>
          <w:rFonts w:ascii="Times New Roman" w:eastAsia="仿宋"/>
          <w:sz w:val="28"/>
        </w:rPr>
        <w:t>污染防治措施评价及对策建议</w:t>
      </w:r>
    </w:p>
    <w:p w14:paraId="02E7961F">
      <w:pPr>
        <w:spacing w:line="500" w:lineRule="exact"/>
        <w:ind w:firstLine="560" w:firstLineChars="200"/>
        <w:rPr>
          <w:rFonts w:ascii="Times New Roman" w:eastAsia="仿宋"/>
          <w:sz w:val="28"/>
        </w:rPr>
      </w:pPr>
      <w:r>
        <w:rPr>
          <w:rFonts w:ascii="Times New Roman" w:eastAsia="仿宋"/>
          <w:sz w:val="28"/>
        </w:rPr>
        <w:t>从经济、技术、环境三个方面，对项目的污染防治措施进行评价，</w:t>
      </w:r>
      <w:r>
        <w:rPr>
          <w:rFonts w:hint="eastAsia" w:ascii="Times New Roman" w:eastAsia="仿宋"/>
          <w:sz w:val="28"/>
        </w:rPr>
        <w:t>重点评价本次项目对废气处理措施的提升改造，重点从</w:t>
      </w:r>
      <w:r>
        <w:rPr>
          <w:rFonts w:ascii="Times New Roman" w:eastAsia="仿宋"/>
          <w:sz w:val="28"/>
        </w:rPr>
        <w:t>经济、技术、环境三个方面，对项目的污染防治措施进行评价，在此基础上，提出进一步的对策建议。</w:t>
      </w:r>
    </w:p>
    <w:p w14:paraId="48FCF23B">
      <w:pPr>
        <w:spacing w:line="500" w:lineRule="exact"/>
        <w:ind w:firstLine="560" w:firstLineChars="200"/>
        <w:rPr>
          <w:rFonts w:ascii="Times New Roman" w:eastAsia="仿宋"/>
          <w:sz w:val="28"/>
        </w:rPr>
      </w:pPr>
      <w:r>
        <w:rPr>
          <w:rFonts w:ascii="Times New Roman" w:eastAsia="仿宋"/>
          <w:sz w:val="28"/>
          <w:szCs w:val="28"/>
        </w:rPr>
        <w:t>（3）</w:t>
      </w:r>
      <w:r>
        <w:rPr>
          <w:rFonts w:ascii="Times New Roman" w:eastAsia="仿宋"/>
          <w:sz w:val="28"/>
        </w:rPr>
        <w:t>环境影响评价</w:t>
      </w:r>
    </w:p>
    <w:p w14:paraId="4CFD4F37">
      <w:pPr>
        <w:spacing w:line="500" w:lineRule="exact"/>
        <w:ind w:firstLine="560" w:firstLineChars="200"/>
        <w:rPr>
          <w:rFonts w:ascii="Times New Roman" w:eastAsia="仿宋"/>
          <w:sz w:val="28"/>
        </w:rPr>
      </w:pPr>
      <w:r>
        <w:rPr>
          <w:rFonts w:ascii="Times New Roman" w:eastAsia="仿宋"/>
          <w:sz w:val="28"/>
        </w:rPr>
        <w:t>在工程分析的基础上，重点预测评价该工程对环境空气的影响，保证预测结果的可靠性。</w:t>
      </w:r>
    </w:p>
    <w:p w14:paraId="555C7AFB">
      <w:pPr>
        <w:spacing w:line="500" w:lineRule="exact"/>
        <w:ind w:firstLine="560" w:firstLineChars="200"/>
        <w:rPr>
          <w:rFonts w:ascii="Times New Roman" w:eastAsia="仿宋"/>
          <w:sz w:val="28"/>
        </w:rPr>
      </w:pPr>
      <w:r>
        <w:rPr>
          <w:rFonts w:ascii="Times New Roman" w:eastAsia="仿宋"/>
          <w:sz w:val="28"/>
          <w:szCs w:val="28"/>
        </w:rPr>
        <w:t>（4）</w:t>
      </w:r>
      <w:r>
        <w:rPr>
          <w:rFonts w:ascii="Times New Roman" w:eastAsia="仿宋"/>
          <w:sz w:val="28"/>
        </w:rPr>
        <w:t>环境影响经济损益分析</w:t>
      </w:r>
    </w:p>
    <w:p w14:paraId="3444D7AE">
      <w:pPr>
        <w:spacing w:line="500" w:lineRule="exact"/>
        <w:ind w:firstLine="560" w:firstLineChars="200"/>
        <w:rPr>
          <w:rFonts w:ascii="Times New Roman" w:eastAsia="仿宋"/>
          <w:sz w:val="28"/>
        </w:rPr>
      </w:pPr>
      <w:r>
        <w:rPr>
          <w:rFonts w:ascii="Times New Roman" w:eastAsia="仿宋"/>
          <w:sz w:val="28"/>
        </w:rPr>
        <w:t>从环境影响的正负两方面，以定性与定量相结合的方式，对建设项目的环境影响后果进行评估分析。</w:t>
      </w:r>
    </w:p>
    <w:p w14:paraId="3A88BF32">
      <w:pPr>
        <w:spacing w:line="500" w:lineRule="exact"/>
        <w:ind w:firstLine="560" w:firstLineChars="200"/>
        <w:rPr>
          <w:rFonts w:ascii="Times New Roman" w:eastAsia="仿宋"/>
          <w:sz w:val="28"/>
        </w:rPr>
      </w:pPr>
      <w:r>
        <w:rPr>
          <w:rFonts w:ascii="Times New Roman" w:eastAsia="仿宋"/>
          <w:sz w:val="28"/>
          <w:szCs w:val="28"/>
        </w:rPr>
        <w:t>（5）</w:t>
      </w:r>
      <w:r>
        <w:rPr>
          <w:rFonts w:ascii="Times New Roman" w:eastAsia="仿宋"/>
          <w:sz w:val="28"/>
        </w:rPr>
        <w:t>环境管理与监测计划</w:t>
      </w:r>
    </w:p>
    <w:p w14:paraId="633146EE">
      <w:pPr>
        <w:spacing w:line="500" w:lineRule="exact"/>
        <w:ind w:firstLine="560" w:firstLineChars="200"/>
        <w:rPr>
          <w:rFonts w:ascii="Times New Roman" w:eastAsia="仿宋"/>
          <w:sz w:val="28"/>
        </w:rPr>
      </w:pPr>
      <w:r>
        <w:rPr>
          <w:rFonts w:ascii="Times New Roman" w:eastAsia="仿宋"/>
          <w:sz w:val="28"/>
        </w:rPr>
        <w:t>按建设项目建设阶段、生产运行等不同阶段，针对不同工况、不同环境影响和环境风险特征，提出具体环境管理要求。另外，根据项目特点并结合周围环境概况，制定环境监测计划，包括污染源监测计划和环境质量监测计划。</w:t>
      </w:r>
    </w:p>
    <w:p w14:paraId="2C654F7B">
      <w:pPr>
        <w:pStyle w:val="5"/>
        <w:numPr>
          <w:ilvl w:val="0"/>
          <w:numId w:val="0"/>
        </w:numPr>
        <w:rPr>
          <w:rFonts w:eastAsia="仿宋"/>
          <w:color w:val="auto"/>
        </w:rPr>
      </w:pPr>
      <w:bookmarkStart w:id="139" w:name="_Toc182553806"/>
      <w:r>
        <w:rPr>
          <w:rFonts w:hint="eastAsia" w:eastAsia="仿宋"/>
          <w:color w:val="auto"/>
        </w:rPr>
        <w:t>2</w:t>
      </w:r>
      <w:r>
        <w:rPr>
          <w:rFonts w:eastAsia="仿宋"/>
          <w:color w:val="auto"/>
        </w:rPr>
        <w:t>.5评价范围和环境保护目标</w:t>
      </w:r>
      <w:bookmarkEnd w:id="139"/>
    </w:p>
    <w:p w14:paraId="6672D8F2">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.5.1评价范围</w:t>
      </w:r>
    </w:p>
    <w:p w14:paraId="35F1DAC7">
      <w:pPr>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地表水评价范围</w:t>
      </w:r>
    </w:p>
    <w:p w14:paraId="12297E56">
      <w:pPr>
        <w:spacing w:line="500" w:lineRule="exact"/>
        <w:ind w:firstLine="560" w:firstLineChars="200"/>
        <w:rPr>
          <w:rFonts w:ascii="Times New Roman" w:eastAsia="仿宋"/>
          <w:sz w:val="28"/>
          <w:szCs w:val="28"/>
        </w:rPr>
      </w:pPr>
      <w:r>
        <w:rPr>
          <w:rFonts w:ascii="Times New Roman" w:eastAsia="仿宋"/>
          <w:sz w:val="28"/>
          <w:szCs w:val="28"/>
        </w:rPr>
        <w:t>根据《</w:t>
      </w:r>
      <w:r>
        <w:rPr>
          <w:rFonts w:ascii="Times New Roman" w:eastAsia="仿宋"/>
          <w:bCs/>
          <w:sz w:val="28"/>
          <w:szCs w:val="28"/>
          <w:lang w:val="en"/>
        </w:rPr>
        <w:t>环境影响评价技术导则 地表水环境</w:t>
      </w:r>
      <w:r>
        <w:rPr>
          <w:rFonts w:ascii="Times New Roman" w:eastAsia="仿宋"/>
          <w:sz w:val="28"/>
          <w:szCs w:val="28"/>
        </w:rPr>
        <w:t>》（HJ2.3-2018）的要求，结合本项目特点，三级B评价范围应符合以下要求：a）应满足其依托污水处理设施环境可行性分析的要求；b）涉及地表水环境风险的，应覆盖环境风险影响范围所及的水环境保护目标水域</w:t>
      </w:r>
      <w:r>
        <w:rPr>
          <w:rFonts w:hint="eastAsia" w:ascii="Times New Roman" w:eastAsia="仿宋"/>
          <w:sz w:val="28"/>
          <w:szCs w:val="28"/>
        </w:rPr>
        <w:t>，故本项目地表水评价范围涉及通济河、砂石河。</w:t>
      </w:r>
    </w:p>
    <w:p w14:paraId="760FC6FA">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大气评价范围</w:t>
      </w:r>
    </w:p>
    <w:p w14:paraId="519E6B45">
      <w:pPr>
        <w:spacing w:line="500" w:lineRule="exact"/>
        <w:ind w:firstLine="560" w:firstLineChars="200"/>
        <w:rPr>
          <w:rFonts w:ascii="Times New Roman" w:eastAsia="仿宋"/>
          <w:sz w:val="28"/>
          <w:szCs w:val="28"/>
        </w:rPr>
      </w:pPr>
      <w:r>
        <w:rPr>
          <w:rFonts w:ascii="Times New Roman" w:eastAsia="仿宋"/>
          <w:sz w:val="28"/>
          <w:szCs w:val="28"/>
        </w:rPr>
        <w:t>根据《</w:t>
      </w:r>
      <w:r>
        <w:rPr>
          <w:rFonts w:hint="eastAsia" w:ascii="Times New Roman" w:eastAsia="仿宋"/>
          <w:sz w:val="28"/>
          <w:szCs w:val="28"/>
        </w:rPr>
        <w:t xml:space="preserve">环境影响评价技术导则 </w:t>
      </w:r>
      <w:r>
        <w:rPr>
          <w:rFonts w:ascii="Times New Roman" w:eastAsia="仿宋"/>
          <w:sz w:val="28"/>
          <w:szCs w:val="28"/>
        </w:rPr>
        <w:t>大气环境》（HJ2.2-2018）规定，本项目为二级评价项目，评价范围边长取5km，因此，本项目大气评价范围确定为以厂区边界外延边长5km的矩形区域。</w:t>
      </w:r>
    </w:p>
    <w:p w14:paraId="3EEEBDC8">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w:t>
      </w:r>
      <w:r>
        <w:rPr>
          <w:rFonts w:ascii="Times New Roman" w:eastAsia="仿宋"/>
          <w:sz w:val="28"/>
          <w:szCs w:val="28"/>
        </w:rPr>
        <w:t>噪声影响评价范围</w:t>
      </w:r>
    </w:p>
    <w:p w14:paraId="3CB7D25C">
      <w:pPr>
        <w:spacing w:line="500" w:lineRule="exact"/>
        <w:ind w:firstLine="560" w:firstLineChars="200"/>
        <w:rPr>
          <w:rFonts w:ascii="Times New Roman" w:eastAsia="仿宋"/>
          <w:sz w:val="28"/>
          <w:szCs w:val="28"/>
        </w:rPr>
      </w:pPr>
      <w:r>
        <w:rPr>
          <w:rFonts w:ascii="Times New Roman" w:eastAsia="仿宋"/>
          <w:sz w:val="28"/>
          <w:szCs w:val="28"/>
        </w:rPr>
        <w:t>根据噪声环境影响评价技术原则与方法中工作等级划分判据及建设项目所在地的声环境功能要求，确定声环境影响评价等级为三级，评价范围厂界外200米以内。</w:t>
      </w:r>
    </w:p>
    <w:p w14:paraId="473F58B5">
      <w:pPr>
        <w:spacing w:line="500" w:lineRule="exact"/>
        <w:ind w:firstLine="560" w:firstLineChars="200"/>
        <w:rPr>
          <w:rFonts w:ascii="Times New Roman" w:eastAsia="仿宋"/>
          <w:sz w:val="28"/>
          <w:szCs w:val="28"/>
        </w:rPr>
      </w:pPr>
      <w:r>
        <w:rPr>
          <w:rFonts w:hint="eastAsia" w:ascii="Times New Roman" w:eastAsia="仿宋"/>
          <w:sz w:val="28"/>
          <w:szCs w:val="28"/>
        </w:rPr>
        <w:t>（4）</w:t>
      </w:r>
      <w:r>
        <w:rPr>
          <w:rFonts w:ascii="Times New Roman" w:eastAsia="仿宋"/>
          <w:sz w:val="28"/>
          <w:szCs w:val="28"/>
        </w:rPr>
        <w:t>地下水评价范围</w:t>
      </w:r>
    </w:p>
    <w:p w14:paraId="766BB623">
      <w:pPr>
        <w:spacing w:line="500" w:lineRule="exact"/>
        <w:ind w:firstLine="560" w:firstLineChars="200"/>
        <w:rPr>
          <w:rFonts w:ascii="Times New Roman" w:eastAsia="仿宋"/>
          <w:sz w:val="28"/>
          <w:szCs w:val="28"/>
        </w:rPr>
      </w:pPr>
      <w:r>
        <w:rPr>
          <w:rFonts w:ascii="Times New Roman" w:eastAsia="仿宋"/>
          <w:sz w:val="28"/>
          <w:szCs w:val="28"/>
        </w:rPr>
        <w:t>按评价导则的规定，本项目地下水影响评价等级为三级，确定本次地下水评价范围为周边6km</w:t>
      </w:r>
      <w:r>
        <w:rPr>
          <w:rFonts w:ascii="Times New Roman" w:eastAsia="仿宋"/>
          <w:sz w:val="28"/>
          <w:szCs w:val="28"/>
          <w:vertAlign w:val="superscript"/>
        </w:rPr>
        <w:t>2</w:t>
      </w:r>
      <w:r>
        <w:rPr>
          <w:rFonts w:ascii="Times New Roman" w:eastAsia="仿宋"/>
          <w:sz w:val="28"/>
          <w:szCs w:val="28"/>
        </w:rPr>
        <w:t>。</w:t>
      </w:r>
    </w:p>
    <w:p w14:paraId="15DD21F5">
      <w:pPr>
        <w:spacing w:line="500" w:lineRule="exact"/>
        <w:ind w:firstLine="560" w:firstLineChars="200"/>
        <w:rPr>
          <w:rFonts w:ascii="Times New Roman" w:eastAsia="仿宋"/>
          <w:sz w:val="28"/>
          <w:szCs w:val="28"/>
        </w:rPr>
      </w:pPr>
      <w:r>
        <w:rPr>
          <w:rFonts w:hint="eastAsia" w:ascii="Times New Roman" w:eastAsia="仿宋"/>
          <w:sz w:val="28"/>
          <w:szCs w:val="28"/>
        </w:rPr>
        <w:t>（5）</w:t>
      </w:r>
      <w:r>
        <w:rPr>
          <w:rFonts w:ascii="Times New Roman" w:eastAsia="仿宋"/>
          <w:sz w:val="28"/>
          <w:szCs w:val="28"/>
        </w:rPr>
        <w:t>风险评价范围</w:t>
      </w:r>
    </w:p>
    <w:p w14:paraId="5DED6988">
      <w:pPr>
        <w:spacing w:line="500" w:lineRule="exact"/>
        <w:ind w:firstLine="560" w:firstLineChars="200"/>
        <w:rPr>
          <w:rFonts w:ascii="Times New Roman" w:eastAsia="仿宋"/>
          <w:sz w:val="28"/>
          <w:szCs w:val="28"/>
        </w:rPr>
      </w:pPr>
      <w:r>
        <w:rPr>
          <w:rFonts w:ascii="Times New Roman" w:eastAsia="仿宋"/>
          <w:sz w:val="28"/>
          <w:szCs w:val="28"/>
        </w:rPr>
        <w:t>根据《建设项目环境风险评价技术导则》，本项目风险评价等级为</w:t>
      </w:r>
      <w:r>
        <w:rPr>
          <w:rFonts w:hint="eastAsia" w:ascii="Times New Roman" w:eastAsia="仿宋"/>
          <w:sz w:val="28"/>
          <w:szCs w:val="28"/>
        </w:rPr>
        <w:t>二级</w:t>
      </w:r>
      <w:r>
        <w:rPr>
          <w:rFonts w:ascii="Times New Roman" w:eastAsia="仿宋"/>
          <w:sz w:val="28"/>
          <w:szCs w:val="28"/>
        </w:rPr>
        <w:t>，评价范围参照三级取距离风险源5km范围。</w:t>
      </w:r>
    </w:p>
    <w:p w14:paraId="24DF3E4F">
      <w:pPr>
        <w:spacing w:line="500" w:lineRule="exact"/>
        <w:ind w:firstLine="560" w:firstLineChars="200"/>
        <w:rPr>
          <w:rFonts w:ascii="Times New Roman" w:eastAsia="仿宋"/>
          <w:sz w:val="28"/>
          <w:szCs w:val="28"/>
        </w:rPr>
      </w:pPr>
      <w:bookmarkStart w:id="140" w:name="_Toc160937747"/>
      <w:bookmarkStart w:id="141" w:name="_Toc157405912"/>
      <w:bookmarkStart w:id="142" w:name="_Toc156960241"/>
      <w:bookmarkStart w:id="143" w:name="_Toc106608033"/>
      <w:r>
        <w:rPr>
          <w:rFonts w:hint="eastAsia" w:ascii="Times New Roman" w:eastAsia="仿宋"/>
          <w:sz w:val="28"/>
          <w:szCs w:val="28"/>
        </w:rPr>
        <w:t>（6）</w:t>
      </w:r>
      <w:r>
        <w:rPr>
          <w:rFonts w:ascii="Times New Roman" w:eastAsia="仿宋"/>
          <w:sz w:val="28"/>
          <w:szCs w:val="28"/>
        </w:rPr>
        <w:t>土壤评价范围</w:t>
      </w:r>
    </w:p>
    <w:p w14:paraId="4F669AF3">
      <w:pPr>
        <w:spacing w:line="500" w:lineRule="exact"/>
        <w:ind w:firstLine="560" w:firstLineChars="200"/>
        <w:rPr>
          <w:rFonts w:ascii="Times New Roman" w:eastAsia="仿宋"/>
          <w:sz w:val="28"/>
          <w:szCs w:val="28"/>
        </w:rPr>
      </w:pPr>
      <w:r>
        <w:rPr>
          <w:rFonts w:ascii="Times New Roman" w:eastAsia="仿宋"/>
          <w:sz w:val="28"/>
          <w:szCs w:val="28"/>
        </w:rPr>
        <w:t>根据评价等级，结合项目实际情况，确定土壤评价范围为建设项目边界外扩0.2km范围以内。</w:t>
      </w:r>
    </w:p>
    <w:p w14:paraId="0832C81E">
      <w:pPr>
        <w:spacing w:line="500" w:lineRule="exact"/>
        <w:ind w:firstLine="560" w:firstLineChars="200"/>
        <w:rPr>
          <w:rFonts w:ascii="Times New Roman" w:eastAsia="仿宋"/>
          <w:sz w:val="28"/>
          <w:szCs w:val="28"/>
        </w:rPr>
      </w:pPr>
      <w:r>
        <w:rPr>
          <w:rFonts w:hint="eastAsia" w:ascii="Times New Roman" w:eastAsia="仿宋"/>
          <w:sz w:val="28"/>
          <w:szCs w:val="28"/>
        </w:rPr>
        <w:t>（7）</w:t>
      </w:r>
      <w:r>
        <w:rPr>
          <w:rFonts w:ascii="Times New Roman" w:eastAsia="仿宋"/>
          <w:sz w:val="28"/>
          <w:szCs w:val="28"/>
        </w:rPr>
        <w:t>生态评价范围</w:t>
      </w:r>
    </w:p>
    <w:p w14:paraId="3B9A91DC">
      <w:pPr>
        <w:spacing w:line="500" w:lineRule="exact"/>
        <w:ind w:firstLine="560" w:firstLineChars="200"/>
        <w:rPr>
          <w:rFonts w:ascii="Times New Roman" w:eastAsia="仿宋"/>
          <w:sz w:val="28"/>
          <w:szCs w:val="28"/>
        </w:rPr>
        <w:sectPr>
          <w:pgSz w:w="11906" w:h="16838"/>
          <w:pgMar w:top="1843" w:right="1616" w:bottom="1440" w:left="1678" w:header="1191" w:footer="992" w:gutter="0"/>
          <w:cols w:space="720" w:num="1"/>
          <w:docGrid w:linePitch="312" w:charSpace="0"/>
        </w:sectPr>
      </w:pPr>
      <w:r>
        <w:rPr>
          <w:rFonts w:ascii="Times New Roman" w:eastAsia="仿宋"/>
          <w:sz w:val="28"/>
          <w:szCs w:val="28"/>
        </w:rPr>
        <w:t>本项目生态影响简单分析，不涉及生态评价范围。</w:t>
      </w:r>
    </w:p>
    <w:p w14:paraId="032CF96A">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.5.2环境保护目标</w:t>
      </w:r>
    </w:p>
    <w:p w14:paraId="12DBC825">
      <w:pPr>
        <w:spacing w:line="500" w:lineRule="exact"/>
        <w:ind w:firstLine="560" w:firstLineChars="200"/>
        <w:rPr>
          <w:rFonts w:ascii="Times New Roman" w:eastAsia="仿宋"/>
          <w:sz w:val="28"/>
          <w:szCs w:val="28"/>
        </w:rPr>
      </w:pPr>
      <w:r>
        <w:rPr>
          <w:rFonts w:ascii="Times New Roman" w:eastAsia="仿宋"/>
          <w:sz w:val="28"/>
          <w:szCs w:val="28"/>
        </w:rPr>
        <w:t>主要环境保护目标见表2.5-1</w:t>
      </w:r>
      <w:r>
        <w:rPr>
          <w:rFonts w:hint="eastAsia" w:ascii="Times New Roman" w:eastAsia="仿宋"/>
          <w:sz w:val="28"/>
          <w:szCs w:val="28"/>
        </w:rPr>
        <w:t>，附图见2.5-1</w:t>
      </w:r>
      <w:r>
        <w:rPr>
          <w:rFonts w:ascii="Times New Roman" w:eastAsia="仿宋"/>
          <w:sz w:val="28"/>
          <w:szCs w:val="28"/>
        </w:rPr>
        <w:t>。</w:t>
      </w:r>
    </w:p>
    <w:p w14:paraId="08FDCF3D">
      <w:pPr>
        <w:pStyle w:val="168"/>
        <w:ind w:firstLine="0" w:firstLineChars="0"/>
        <w:rPr>
          <w:rFonts w:ascii="Times New Roman" w:eastAsia="仿宋"/>
        </w:rPr>
      </w:pPr>
      <w:bookmarkStart w:id="144" w:name="_Ref322963204"/>
      <w:r>
        <w:rPr>
          <w:rFonts w:ascii="Times New Roman" w:eastAsia="仿宋"/>
        </w:rPr>
        <w:t>表</w:t>
      </w:r>
      <w:bookmarkEnd w:id="144"/>
      <w:r>
        <w:rPr>
          <w:rFonts w:ascii="Times New Roman" w:eastAsia="仿宋"/>
        </w:rPr>
        <w:t>2.5-1  主要环境保护目标</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2130"/>
        <w:gridCol w:w="1559"/>
        <w:gridCol w:w="1390"/>
        <w:gridCol w:w="151"/>
        <w:gridCol w:w="1542"/>
        <w:gridCol w:w="1222"/>
        <w:gridCol w:w="89"/>
        <w:gridCol w:w="1134"/>
        <w:gridCol w:w="2268"/>
      </w:tblGrid>
      <w:tr w14:paraId="173B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tcPr>
          <w:p w14:paraId="277C1351">
            <w:pPr>
              <w:jc w:val="center"/>
              <w:rPr>
                <w:rFonts w:ascii="Times New Roman" w:eastAsia="仿宋"/>
                <w:szCs w:val="21"/>
              </w:rPr>
            </w:pPr>
            <w:r>
              <w:rPr>
                <w:rFonts w:ascii="Times New Roman" w:eastAsia="仿宋"/>
                <w:szCs w:val="21"/>
              </w:rPr>
              <w:t>环境</w:t>
            </w:r>
          </w:p>
          <w:p w14:paraId="3731D296">
            <w:pPr>
              <w:pStyle w:val="168"/>
              <w:spacing w:line="240" w:lineRule="auto"/>
              <w:ind w:firstLine="0" w:firstLineChars="0"/>
              <w:rPr>
                <w:rFonts w:ascii="Times New Roman" w:eastAsia="仿宋"/>
                <w:b w:val="0"/>
                <w:bCs w:val="0"/>
                <w:kern w:val="0"/>
                <w:szCs w:val="21"/>
              </w:rPr>
            </w:pPr>
            <w:r>
              <w:rPr>
                <w:rFonts w:ascii="Times New Roman" w:eastAsia="仿宋"/>
                <w:b w:val="0"/>
                <w:bCs w:val="0"/>
                <w:kern w:val="0"/>
                <w:szCs w:val="21"/>
              </w:rPr>
              <w:t>要素</w:t>
            </w:r>
          </w:p>
        </w:tc>
        <w:tc>
          <w:tcPr>
            <w:tcW w:w="2130" w:type="dxa"/>
            <w:vMerge w:val="restart"/>
          </w:tcPr>
          <w:p w14:paraId="06EC9FDB">
            <w:pPr>
              <w:pStyle w:val="168"/>
              <w:spacing w:line="240" w:lineRule="auto"/>
              <w:ind w:firstLine="0" w:firstLineChars="0"/>
              <w:rPr>
                <w:rFonts w:ascii="Times New Roman" w:eastAsia="仿宋"/>
                <w:b w:val="0"/>
                <w:bCs w:val="0"/>
                <w:kern w:val="0"/>
                <w:szCs w:val="21"/>
              </w:rPr>
            </w:pPr>
            <w:r>
              <w:rPr>
                <w:rFonts w:ascii="Times New Roman" w:eastAsia="仿宋"/>
                <w:b w:val="0"/>
                <w:bCs w:val="0"/>
                <w:kern w:val="0"/>
                <w:szCs w:val="21"/>
              </w:rPr>
              <w:t>环境保护对象名称</w:t>
            </w:r>
          </w:p>
        </w:tc>
        <w:tc>
          <w:tcPr>
            <w:tcW w:w="2949" w:type="dxa"/>
            <w:gridSpan w:val="2"/>
          </w:tcPr>
          <w:p w14:paraId="75EB359E">
            <w:pPr>
              <w:pStyle w:val="168"/>
              <w:spacing w:line="240" w:lineRule="auto"/>
              <w:ind w:firstLine="0" w:firstLineChars="0"/>
              <w:rPr>
                <w:rFonts w:ascii="Times New Roman" w:eastAsia="仿宋"/>
                <w:b w:val="0"/>
                <w:bCs w:val="0"/>
                <w:kern w:val="0"/>
                <w:szCs w:val="21"/>
              </w:rPr>
            </w:pPr>
            <w:r>
              <w:rPr>
                <w:rFonts w:ascii="Times New Roman" w:eastAsia="仿宋"/>
                <w:b w:val="0"/>
                <w:bCs w:val="0"/>
                <w:kern w:val="0"/>
                <w:szCs w:val="21"/>
              </w:rPr>
              <w:t>坐标</w:t>
            </w:r>
            <w:r>
              <w:rPr>
                <w:rFonts w:hint="eastAsia" w:ascii="Times New Roman" w:eastAsia="仿宋"/>
                <w:b w:val="0"/>
                <w:bCs w:val="0"/>
                <w:kern w:val="0"/>
                <w:szCs w:val="21"/>
              </w:rPr>
              <w:t>（°）</w:t>
            </w:r>
          </w:p>
        </w:tc>
        <w:tc>
          <w:tcPr>
            <w:tcW w:w="1693" w:type="dxa"/>
            <w:gridSpan w:val="2"/>
            <w:vMerge w:val="restart"/>
            <w:vAlign w:val="center"/>
          </w:tcPr>
          <w:p w14:paraId="76FF75FD">
            <w:pPr>
              <w:jc w:val="center"/>
              <w:rPr>
                <w:rFonts w:ascii="Times New Roman" w:eastAsia="仿宋"/>
                <w:szCs w:val="21"/>
              </w:rPr>
            </w:pPr>
            <w:r>
              <w:rPr>
                <w:rFonts w:ascii="Times New Roman" w:eastAsia="仿宋"/>
                <w:szCs w:val="21"/>
              </w:rPr>
              <w:t>离本项目最近距离（m）</w:t>
            </w:r>
          </w:p>
        </w:tc>
        <w:tc>
          <w:tcPr>
            <w:tcW w:w="1311" w:type="dxa"/>
            <w:gridSpan w:val="2"/>
            <w:vMerge w:val="restart"/>
            <w:vAlign w:val="center"/>
          </w:tcPr>
          <w:p w14:paraId="307DF34D">
            <w:pPr>
              <w:jc w:val="center"/>
              <w:rPr>
                <w:rFonts w:ascii="Times New Roman" w:eastAsia="仿宋"/>
                <w:szCs w:val="21"/>
              </w:rPr>
            </w:pPr>
            <w:r>
              <w:rPr>
                <w:rFonts w:ascii="Times New Roman" w:eastAsia="仿宋"/>
                <w:szCs w:val="21"/>
              </w:rPr>
              <w:t>方位</w:t>
            </w:r>
          </w:p>
        </w:tc>
        <w:tc>
          <w:tcPr>
            <w:tcW w:w="1134" w:type="dxa"/>
            <w:vMerge w:val="restart"/>
            <w:vAlign w:val="center"/>
          </w:tcPr>
          <w:p w14:paraId="01DE047F">
            <w:pPr>
              <w:jc w:val="center"/>
              <w:rPr>
                <w:rFonts w:ascii="Times New Roman" w:eastAsia="仿宋"/>
                <w:szCs w:val="21"/>
              </w:rPr>
            </w:pPr>
            <w:r>
              <w:rPr>
                <w:rFonts w:hint="eastAsia" w:ascii="Times New Roman" w:eastAsia="仿宋"/>
                <w:szCs w:val="21"/>
              </w:rPr>
              <w:t>规模（人）</w:t>
            </w:r>
          </w:p>
        </w:tc>
        <w:tc>
          <w:tcPr>
            <w:tcW w:w="2268" w:type="dxa"/>
            <w:vMerge w:val="restart"/>
            <w:vAlign w:val="center"/>
          </w:tcPr>
          <w:p w14:paraId="50699E8C">
            <w:pPr>
              <w:pStyle w:val="168"/>
              <w:spacing w:line="240" w:lineRule="auto"/>
              <w:ind w:firstLine="0" w:firstLineChars="0"/>
              <w:rPr>
                <w:rFonts w:ascii="Times New Roman" w:eastAsia="仿宋"/>
                <w:b w:val="0"/>
                <w:bCs w:val="0"/>
                <w:kern w:val="0"/>
                <w:szCs w:val="21"/>
              </w:rPr>
            </w:pPr>
            <w:r>
              <w:rPr>
                <w:rFonts w:ascii="Times New Roman" w:eastAsia="仿宋"/>
                <w:b w:val="0"/>
                <w:bCs w:val="0"/>
                <w:kern w:val="0"/>
                <w:szCs w:val="21"/>
              </w:rPr>
              <w:t>环境功能</w:t>
            </w:r>
          </w:p>
        </w:tc>
      </w:tr>
      <w:tr w14:paraId="2A23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E5B39C8">
            <w:pPr>
              <w:jc w:val="center"/>
              <w:rPr>
                <w:rFonts w:ascii="Times New Roman" w:eastAsia="仿宋"/>
                <w:szCs w:val="21"/>
              </w:rPr>
            </w:pPr>
          </w:p>
        </w:tc>
        <w:tc>
          <w:tcPr>
            <w:tcW w:w="2130" w:type="dxa"/>
            <w:vMerge w:val="continue"/>
          </w:tcPr>
          <w:p w14:paraId="60FB0C72">
            <w:pPr>
              <w:jc w:val="center"/>
              <w:rPr>
                <w:rFonts w:ascii="Times New Roman" w:eastAsia="仿宋"/>
                <w:szCs w:val="21"/>
              </w:rPr>
            </w:pPr>
          </w:p>
        </w:tc>
        <w:tc>
          <w:tcPr>
            <w:tcW w:w="1559" w:type="dxa"/>
            <w:vAlign w:val="center"/>
          </w:tcPr>
          <w:p w14:paraId="604A6750">
            <w:pPr>
              <w:jc w:val="center"/>
              <w:rPr>
                <w:rFonts w:ascii="Times New Roman" w:eastAsia="仿宋"/>
                <w:szCs w:val="21"/>
              </w:rPr>
            </w:pPr>
            <w:r>
              <w:rPr>
                <w:rFonts w:ascii="Times New Roman" w:eastAsia="仿宋"/>
                <w:szCs w:val="21"/>
              </w:rPr>
              <w:t>X</w:t>
            </w:r>
          </w:p>
        </w:tc>
        <w:tc>
          <w:tcPr>
            <w:tcW w:w="1390" w:type="dxa"/>
            <w:vAlign w:val="center"/>
          </w:tcPr>
          <w:p w14:paraId="5717BC2A">
            <w:pPr>
              <w:jc w:val="center"/>
              <w:rPr>
                <w:rFonts w:ascii="Times New Roman" w:eastAsia="仿宋"/>
                <w:szCs w:val="21"/>
              </w:rPr>
            </w:pPr>
            <w:r>
              <w:rPr>
                <w:rFonts w:ascii="Times New Roman" w:eastAsia="仿宋"/>
                <w:szCs w:val="21"/>
              </w:rPr>
              <w:t>Y</w:t>
            </w:r>
          </w:p>
        </w:tc>
        <w:tc>
          <w:tcPr>
            <w:tcW w:w="1693" w:type="dxa"/>
            <w:gridSpan w:val="2"/>
            <w:vMerge w:val="continue"/>
          </w:tcPr>
          <w:p w14:paraId="7121C908">
            <w:pPr>
              <w:pStyle w:val="168"/>
              <w:ind w:firstLine="0" w:firstLineChars="0"/>
              <w:rPr>
                <w:rFonts w:ascii="Times New Roman" w:eastAsia="仿宋"/>
              </w:rPr>
            </w:pPr>
          </w:p>
        </w:tc>
        <w:tc>
          <w:tcPr>
            <w:tcW w:w="1311" w:type="dxa"/>
            <w:gridSpan w:val="2"/>
            <w:vMerge w:val="continue"/>
          </w:tcPr>
          <w:p w14:paraId="3AB764A9">
            <w:pPr>
              <w:pStyle w:val="168"/>
              <w:ind w:firstLine="0" w:firstLineChars="0"/>
              <w:rPr>
                <w:rFonts w:ascii="Times New Roman" w:eastAsia="仿宋"/>
              </w:rPr>
            </w:pPr>
          </w:p>
        </w:tc>
        <w:tc>
          <w:tcPr>
            <w:tcW w:w="1134" w:type="dxa"/>
            <w:vMerge w:val="continue"/>
          </w:tcPr>
          <w:p w14:paraId="34980D9F">
            <w:pPr>
              <w:spacing w:line="320" w:lineRule="exact"/>
              <w:jc w:val="center"/>
              <w:rPr>
                <w:rFonts w:ascii="Times New Roman" w:eastAsia="仿宋_GB2312"/>
                <w:szCs w:val="24"/>
                <w:lang w:bidi="ar"/>
              </w:rPr>
            </w:pPr>
          </w:p>
        </w:tc>
        <w:tc>
          <w:tcPr>
            <w:tcW w:w="2268" w:type="dxa"/>
            <w:vMerge w:val="continue"/>
          </w:tcPr>
          <w:p w14:paraId="4B6D7EC1">
            <w:pPr>
              <w:pStyle w:val="168"/>
              <w:ind w:firstLine="0" w:firstLineChars="0"/>
              <w:rPr>
                <w:rFonts w:ascii="Times New Roman" w:eastAsia="仿宋"/>
              </w:rPr>
            </w:pPr>
          </w:p>
        </w:tc>
      </w:tr>
      <w:tr w14:paraId="44FB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vAlign w:val="center"/>
          </w:tcPr>
          <w:p w14:paraId="5676232E">
            <w:pPr>
              <w:jc w:val="center"/>
              <w:rPr>
                <w:rFonts w:ascii="Times New Roman" w:eastAsia="仿宋"/>
                <w:szCs w:val="21"/>
              </w:rPr>
            </w:pPr>
            <w:r>
              <w:rPr>
                <w:rFonts w:hint="eastAsia" w:ascii="Times New Roman" w:eastAsia="仿宋"/>
                <w:szCs w:val="21"/>
              </w:rPr>
              <w:t>空气环境及环境风险</w:t>
            </w:r>
          </w:p>
        </w:tc>
        <w:tc>
          <w:tcPr>
            <w:tcW w:w="2130" w:type="dxa"/>
            <w:vAlign w:val="center"/>
          </w:tcPr>
          <w:p w14:paraId="405A04FF">
            <w:pPr>
              <w:spacing w:line="320" w:lineRule="exact"/>
              <w:jc w:val="center"/>
              <w:rPr>
                <w:rFonts w:ascii="Times New Roman" w:eastAsia="仿宋"/>
                <w:szCs w:val="21"/>
              </w:rPr>
            </w:pPr>
            <w:r>
              <w:rPr>
                <w:rFonts w:hint="eastAsia" w:ascii="Times New Roman" w:eastAsia="仿宋"/>
                <w:szCs w:val="21"/>
              </w:rPr>
              <w:t>塘大圩</w:t>
            </w:r>
          </w:p>
        </w:tc>
        <w:tc>
          <w:tcPr>
            <w:tcW w:w="1559" w:type="dxa"/>
            <w:vAlign w:val="center"/>
          </w:tcPr>
          <w:p w14:paraId="52767BFC">
            <w:pPr>
              <w:spacing w:line="320" w:lineRule="exact"/>
              <w:jc w:val="center"/>
              <w:rPr>
                <w:rFonts w:ascii="Times New Roman" w:eastAsia="仿宋"/>
                <w:szCs w:val="21"/>
              </w:rPr>
            </w:pPr>
            <w:r>
              <w:rPr>
                <w:rFonts w:hint="eastAsia" w:ascii="Times New Roman" w:eastAsia="仿宋"/>
                <w:szCs w:val="21"/>
              </w:rPr>
              <w:t>119.46236</w:t>
            </w:r>
          </w:p>
        </w:tc>
        <w:tc>
          <w:tcPr>
            <w:tcW w:w="1390" w:type="dxa"/>
            <w:vAlign w:val="center"/>
          </w:tcPr>
          <w:p w14:paraId="35388764">
            <w:pPr>
              <w:spacing w:line="320" w:lineRule="exact"/>
              <w:jc w:val="center"/>
              <w:rPr>
                <w:rFonts w:ascii="Times New Roman" w:eastAsia="仿宋"/>
                <w:szCs w:val="21"/>
              </w:rPr>
            </w:pPr>
            <w:r>
              <w:rPr>
                <w:rFonts w:hint="eastAsia" w:ascii="Times New Roman" w:eastAsia="仿宋"/>
                <w:szCs w:val="21"/>
              </w:rPr>
              <w:t>31.73057</w:t>
            </w:r>
          </w:p>
        </w:tc>
        <w:tc>
          <w:tcPr>
            <w:tcW w:w="1693" w:type="dxa"/>
            <w:gridSpan w:val="2"/>
            <w:vAlign w:val="center"/>
          </w:tcPr>
          <w:p w14:paraId="114436EF">
            <w:pPr>
              <w:spacing w:line="320" w:lineRule="exact"/>
              <w:jc w:val="center"/>
              <w:rPr>
                <w:rFonts w:ascii="Times New Roman" w:eastAsia="仿宋"/>
                <w:szCs w:val="21"/>
              </w:rPr>
            </w:pPr>
            <w:r>
              <w:rPr>
                <w:rFonts w:hint="eastAsia" w:ascii="Times New Roman" w:eastAsia="仿宋"/>
                <w:szCs w:val="21"/>
              </w:rPr>
              <w:t>约2570</w:t>
            </w:r>
          </w:p>
        </w:tc>
        <w:tc>
          <w:tcPr>
            <w:tcW w:w="1311" w:type="dxa"/>
            <w:gridSpan w:val="2"/>
            <w:vAlign w:val="center"/>
          </w:tcPr>
          <w:p w14:paraId="47F9F9E7">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2DBF6A43">
            <w:pPr>
              <w:spacing w:line="320" w:lineRule="exact"/>
              <w:jc w:val="center"/>
              <w:rPr>
                <w:rFonts w:ascii="Times New Roman" w:eastAsia="仿宋"/>
                <w:szCs w:val="21"/>
              </w:rPr>
            </w:pPr>
            <w:r>
              <w:rPr>
                <w:rFonts w:hint="eastAsia" w:ascii="Times New Roman" w:eastAsia="仿宋"/>
                <w:szCs w:val="21"/>
              </w:rPr>
              <w:t>约240</w:t>
            </w:r>
          </w:p>
        </w:tc>
        <w:tc>
          <w:tcPr>
            <w:tcW w:w="2268" w:type="dxa"/>
            <w:vMerge w:val="restart"/>
            <w:vAlign w:val="center"/>
          </w:tcPr>
          <w:p w14:paraId="0C72FF1A">
            <w:pPr>
              <w:spacing w:line="320" w:lineRule="exact"/>
              <w:jc w:val="center"/>
              <w:rPr>
                <w:rFonts w:ascii="Times New Roman" w:eastAsia="仿宋"/>
                <w:szCs w:val="21"/>
              </w:rPr>
            </w:pPr>
            <w:r>
              <w:rPr>
                <w:rFonts w:ascii="Times New Roman" w:eastAsia="仿宋"/>
                <w:szCs w:val="21"/>
              </w:rPr>
              <w:t>执行《环境空气质量标准》(GB3095-2012)二级标准</w:t>
            </w:r>
          </w:p>
        </w:tc>
      </w:tr>
      <w:tr w14:paraId="11B0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8A4B4DC">
            <w:pPr>
              <w:jc w:val="center"/>
              <w:rPr>
                <w:rFonts w:ascii="Times New Roman" w:eastAsia="仿宋"/>
                <w:szCs w:val="21"/>
              </w:rPr>
            </w:pPr>
          </w:p>
        </w:tc>
        <w:tc>
          <w:tcPr>
            <w:tcW w:w="2130" w:type="dxa"/>
            <w:vAlign w:val="center"/>
          </w:tcPr>
          <w:p w14:paraId="7B428E0F">
            <w:pPr>
              <w:spacing w:line="320" w:lineRule="exact"/>
              <w:jc w:val="center"/>
              <w:rPr>
                <w:rFonts w:ascii="Times New Roman" w:eastAsia="仿宋"/>
                <w:szCs w:val="21"/>
              </w:rPr>
            </w:pPr>
            <w:r>
              <w:rPr>
                <w:rFonts w:hint="eastAsia" w:ascii="Times New Roman" w:eastAsia="仿宋"/>
                <w:szCs w:val="21"/>
              </w:rPr>
              <w:t>红旗圩村</w:t>
            </w:r>
          </w:p>
        </w:tc>
        <w:tc>
          <w:tcPr>
            <w:tcW w:w="1559" w:type="dxa"/>
            <w:vAlign w:val="center"/>
          </w:tcPr>
          <w:p w14:paraId="10BE3C20">
            <w:pPr>
              <w:spacing w:line="320" w:lineRule="exact"/>
              <w:jc w:val="center"/>
              <w:rPr>
                <w:rFonts w:ascii="Times New Roman" w:eastAsia="仿宋"/>
                <w:szCs w:val="21"/>
              </w:rPr>
            </w:pPr>
            <w:r>
              <w:rPr>
                <w:rFonts w:hint="eastAsia" w:ascii="Times New Roman" w:eastAsia="仿宋"/>
                <w:szCs w:val="21"/>
              </w:rPr>
              <w:t>119.46266</w:t>
            </w:r>
          </w:p>
        </w:tc>
        <w:tc>
          <w:tcPr>
            <w:tcW w:w="1390" w:type="dxa"/>
            <w:vAlign w:val="center"/>
          </w:tcPr>
          <w:p w14:paraId="61BF94CE">
            <w:pPr>
              <w:spacing w:line="320" w:lineRule="exact"/>
              <w:jc w:val="center"/>
              <w:rPr>
                <w:rFonts w:ascii="Times New Roman" w:eastAsia="仿宋"/>
                <w:szCs w:val="21"/>
              </w:rPr>
            </w:pPr>
            <w:r>
              <w:rPr>
                <w:rFonts w:hint="eastAsia" w:ascii="Times New Roman" w:eastAsia="仿宋"/>
                <w:szCs w:val="21"/>
              </w:rPr>
              <w:t>31.73545</w:t>
            </w:r>
          </w:p>
        </w:tc>
        <w:tc>
          <w:tcPr>
            <w:tcW w:w="1693" w:type="dxa"/>
            <w:gridSpan w:val="2"/>
            <w:vAlign w:val="center"/>
          </w:tcPr>
          <w:p w14:paraId="188D685D">
            <w:pPr>
              <w:spacing w:line="320" w:lineRule="exact"/>
              <w:jc w:val="center"/>
              <w:rPr>
                <w:rFonts w:ascii="Times New Roman" w:eastAsia="仿宋"/>
                <w:szCs w:val="21"/>
              </w:rPr>
            </w:pPr>
            <w:r>
              <w:rPr>
                <w:rFonts w:hint="eastAsia" w:ascii="Times New Roman" w:eastAsia="仿宋"/>
                <w:szCs w:val="21"/>
              </w:rPr>
              <w:t>约2750</w:t>
            </w:r>
          </w:p>
        </w:tc>
        <w:tc>
          <w:tcPr>
            <w:tcW w:w="1311" w:type="dxa"/>
            <w:gridSpan w:val="2"/>
            <w:vAlign w:val="center"/>
          </w:tcPr>
          <w:p w14:paraId="7C2E5693">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4A0D3FC8">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0F47D371">
            <w:pPr>
              <w:spacing w:line="320" w:lineRule="exact"/>
              <w:jc w:val="center"/>
              <w:rPr>
                <w:rFonts w:ascii="Times New Roman" w:eastAsia="仿宋"/>
                <w:szCs w:val="21"/>
              </w:rPr>
            </w:pPr>
          </w:p>
        </w:tc>
      </w:tr>
      <w:tr w14:paraId="005F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44CF30B">
            <w:pPr>
              <w:jc w:val="center"/>
              <w:rPr>
                <w:rFonts w:ascii="Times New Roman" w:eastAsia="仿宋"/>
                <w:szCs w:val="21"/>
              </w:rPr>
            </w:pPr>
          </w:p>
        </w:tc>
        <w:tc>
          <w:tcPr>
            <w:tcW w:w="2130" w:type="dxa"/>
            <w:vAlign w:val="center"/>
          </w:tcPr>
          <w:p w14:paraId="3A33DAD6">
            <w:pPr>
              <w:spacing w:line="320" w:lineRule="exact"/>
              <w:jc w:val="center"/>
              <w:rPr>
                <w:rFonts w:ascii="Times New Roman" w:eastAsia="仿宋"/>
                <w:szCs w:val="21"/>
              </w:rPr>
            </w:pPr>
            <w:r>
              <w:rPr>
                <w:rFonts w:hint="eastAsia" w:ascii="Times New Roman" w:eastAsia="仿宋"/>
                <w:szCs w:val="21"/>
              </w:rPr>
              <w:t>丁东</w:t>
            </w:r>
          </w:p>
        </w:tc>
        <w:tc>
          <w:tcPr>
            <w:tcW w:w="1559" w:type="dxa"/>
            <w:vAlign w:val="center"/>
          </w:tcPr>
          <w:p w14:paraId="0CDE0875">
            <w:pPr>
              <w:spacing w:line="320" w:lineRule="exact"/>
              <w:jc w:val="center"/>
              <w:rPr>
                <w:rFonts w:ascii="Times New Roman" w:eastAsia="仿宋"/>
                <w:szCs w:val="21"/>
              </w:rPr>
            </w:pPr>
            <w:r>
              <w:rPr>
                <w:rFonts w:hint="eastAsia" w:ascii="Times New Roman" w:eastAsia="仿宋"/>
                <w:szCs w:val="21"/>
              </w:rPr>
              <w:t>119.46534</w:t>
            </w:r>
          </w:p>
        </w:tc>
        <w:tc>
          <w:tcPr>
            <w:tcW w:w="1390" w:type="dxa"/>
            <w:vAlign w:val="center"/>
          </w:tcPr>
          <w:p w14:paraId="190D4DA1">
            <w:pPr>
              <w:spacing w:line="320" w:lineRule="exact"/>
              <w:jc w:val="center"/>
              <w:rPr>
                <w:rFonts w:ascii="Times New Roman" w:eastAsia="仿宋"/>
                <w:szCs w:val="21"/>
              </w:rPr>
            </w:pPr>
            <w:r>
              <w:rPr>
                <w:rFonts w:hint="eastAsia" w:ascii="Times New Roman" w:eastAsia="仿宋"/>
                <w:szCs w:val="21"/>
              </w:rPr>
              <w:t>31.72382</w:t>
            </w:r>
          </w:p>
        </w:tc>
        <w:tc>
          <w:tcPr>
            <w:tcW w:w="1693" w:type="dxa"/>
            <w:gridSpan w:val="2"/>
            <w:vAlign w:val="center"/>
          </w:tcPr>
          <w:p w14:paraId="1D8F5E89">
            <w:pPr>
              <w:spacing w:line="320" w:lineRule="exact"/>
              <w:jc w:val="center"/>
              <w:rPr>
                <w:rFonts w:ascii="Times New Roman" w:eastAsia="仿宋"/>
                <w:szCs w:val="21"/>
              </w:rPr>
            </w:pPr>
            <w:r>
              <w:rPr>
                <w:rFonts w:hint="eastAsia" w:ascii="Times New Roman" w:eastAsia="仿宋"/>
                <w:szCs w:val="21"/>
              </w:rPr>
              <w:t>约2900</w:t>
            </w:r>
          </w:p>
        </w:tc>
        <w:tc>
          <w:tcPr>
            <w:tcW w:w="1311" w:type="dxa"/>
            <w:gridSpan w:val="2"/>
            <w:vAlign w:val="center"/>
          </w:tcPr>
          <w:p w14:paraId="4494BC29">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70FD43C4">
            <w:pPr>
              <w:spacing w:line="320" w:lineRule="exact"/>
              <w:jc w:val="center"/>
              <w:rPr>
                <w:rFonts w:ascii="Times New Roman" w:eastAsia="仿宋"/>
                <w:szCs w:val="21"/>
              </w:rPr>
            </w:pPr>
            <w:r>
              <w:rPr>
                <w:rFonts w:hint="eastAsia" w:ascii="Times New Roman" w:eastAsia="仿宋"/>
                <w:szCs w:val="21"/>
              </w:rPr>
              <w:t>约276</w:t>
            </w:r>
          </w:p>
        </w:tc>
        <w:tc>
          <w:tcPr>
            <w:tcW w:w="2268" w:type="dxa"/>
            <w:vMerge w:val="continue"/>
          </w:tcPr>
          <w:p w14:paraId="1AA50D96">
            <w:pPr>
              <w:spacing w:line="320" w:lineRule="exact"/>
              <w:jc w:val="center"/>
              <w:rPr>
                <w:rFonts w:ascii="Times New Roman" w:eastAsia="仿宋"/>
                <w:szCs w:val="21"/>
              </w:rPr>
            </w:pPr>
          </w:p>
        </w:tc>
      </w:tr>
      <w:tr w14:paraId="40BC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F683299">
            <w:pPr>
              <w:jc w:val="center"/>
              <w:rPr>
                <w:rFonts w:ascii="Times New Roman" w:eastAsia="仿宋"/>
                <w:szCs w:val="21"/>
              </w:rPr>
            </w:pPr>
          </w:p>
        </w:tc>
        <w:tc>
          <w:tcPr>
            <w:tcW w:w="2130" w:type="dxa"/>
            <w:vAlign w:val="center"/>
          </w:tcPr>
          <w:p w14:paraId="4BD6F3FE">
            <w:pPr>
              <w:spacing w:line="320" w:lineRule="exact"/>
              <w:jc w:val="center"/>
              <w:rPr>
                <w:rFonts w:ascii="Times New Roman" w:eastAsia="仿宋"/>
                <w:szCs w:val="21"/>
              </w:rPr>
            </w:pPr>
            <w:r>
              <w:rPr>
                <w:rFonts w:hint="eastAsia" w:ascii="Times New Roman" w:eastAsia="仿宋"/>
                <w:szCs w:val="21"/>
              </w:rPr>
              <w:t>王家村</w:t>
            </w:r>
          </w:p>
        </w:tc>
        <w:tc>
          <w:tcPr>
            <w:tcW w:w="1559" w:type="dxa"/>
            <w:vAlign w:val="center"/>
          </w:tcPr>
          <w:p w14:paraId="34A3E326">
            <w:pPr>
              <w:spacing w:line="320" w:lineRule="exact"/>
              <w:jc w:val="center"/>
              <w:rPr>
                <w:rFonts w:ascii="Times New Roman" w:eastAsia="仿宋"/>
                <w:szCs w:val="21"/>
              </w:rPr>
            </w:pPr>
            <w:r>
              <w:rPr>
                <w:rFonts w:hint="eastAsia" w:ascii="Times New Roman" w:eastAsia="仿宋"/>
                <w:szCs w:val="21"/>
              </w:rPr>
              <w:t>119.46951</w:t>
            </w:r>
          </w:p>
        </w:tc>
        <w:tc>
          <w:tcPr>
            <w:tcW w:w="1390" w:type="dxa"/>
            <w:vAlign w:val="center"/>
          </w:tcPr>
          <w:p w14:paraId="3B847202">
            <w:pPr>
              <w:spacing w:line="320" w:lineRule="exact"/>
              <w:jc w:val="center"/>
              <w:rPr>
                <w:rFonts w:ascii="Times New Roman" w:eastAsia="仿宋"/>
                <w:szCs w:val="21"/>
              </w:rPr>
            </w:pPr>
            <w:r>
              <w:rPr>
                <w:rFonts w:hint="eastAsia" w:ascii="Times New Roman" w:eastAsia="仿宋"/>
                <w:szCs w:val="21"/>
              </w:rPr>
              <w:t>31.72437</w:t>
            </w:r>
          </w:p>
        </w:tc>
        <w:tc>
          <w:tcPr>
            <w:tcW w:w="1693" w:type="dxa"/>
            <w:gridSpan w:val="2"/>
            <w:vAlign w:val="center"/>
          </w:tcPr>
          <w:p w14:paraId="1C2668EA">
            <w:pPr>
              <w:spacing w:line="320" w:lineRule="exact"/>
              <w:jc w:val="center"/>
              <w:rPr>
                <w:rFonts w:ascii="Times New Roman" w:eastAsia="仿宋"/>
                <w:szCs w:val="21"/>
              </w:rPr>
            </w:pPr>
            <w:r>
              <w:rPr>
                <w:rFonts w:hint="eastAsia" w:ascii="Times New Roman" w:eastAsia="仿宋"/>
                <w:szCs w:val="21"/>
              </w:rPr>
              <w:t>约3250</w:t>
            </w:r>
          </w:p>
        </w:tc>
        <w:tc>
          <w:tcPr>
            <w:tcW w:w="1311" w:type="dxa"/>
            <w:gridSpan w:val="2"/>
            <w:vAlign w:val="center"/>
          </w:tcPr>
          <w:p w14:paraId="5C421F2A">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29A93C08">
            <w:pPr>
              <w:spacing w:line="320" w:lineRule="exact"/>
              <w:jc w:val="center"/>
              <w:rPr>
                <w:rFonts w:ascii="Times New Roman" w:eastAsia="仿宋"/>
                <w:szCs w:val="21"/>
              </w:rPr>
            </w:pPr>
            <w:r>
              <w:rPr>
                <w:rFonts w:hint="eastAsia" w:ascii="Times New Roman" w:eastAsia="仿宋"/>
                <w:szCs w:val="21"/>
              </w:rPr>
              <w:t>约120</w:t>
            </w:r>
          </w:p>
        </w:tc>
        <w:tc>
          <w:tcPr>
            <w:tcW w:w="2268" w:type="dxa"/>
            <w:vMerge w:val="continue"/>
          </w:tcPr>
          <w:p w14:paraId="5E3C91F2">
            <w:pPr>
              <w:spacing w:line="320" w:lineRule="exact"/>
              <w:jc w:val="center"/>
              <w:rPr>
                <w:rFonts w:ascii="Times New Roman" w:eastAsia="仿宋"/>
                <w:szCs w:val="21"/>
              </w:rPr>
            </w:pPr>
          </w:p>
        </w:tc>
      </w:tr>
      <w:tr w14:paraId="567B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789803E">
            <w:pPr>
              <w:jc w:val="center"/>
              <w:rPr>
                <w:rFonts w:ascii="Times New Roman" w:eastAsia="仿宋"/>
                <w:szCs w:val="21"/>
              </w:rPr>
            </w:pPr>
          </w:p>
        </w:tc>
        <w:tc>
          <w:tcPr>
            <w:tcW w:w="2130" w:type="dxa"/>
            <w:vAlign w:val="center"/>
          </w:tcPr>
          <w:p w14:paraId="2D73BA58">
            <w:pPr>
              <w:spacing w:line="320" w:lineRule="exact"/>
              <w:jc w:val="center"/>
              <w:rPr>
                <w:rFonts w:ascii="Times New Roman" w:eastAsia="仿宋"/>
                <w:szCs w:val="21"/>
              </w:rPr>
            </w:pPr>
            <w:r>
              <w:rPr>
                <w:rFonts w:hint="eastAsia" w:ascii="Times New Roman" w:eastAsia="仿宋"/>
                <w:szCs w:val="21"/>
              </w:rPr>
              <w:t>袁家村</w:t>
            </w:r>
          </w:p>
        </w:tc>
        <w:tc>
          <w:tcPr>
            <w:tcW w:w="1559" w:type="dxa"/>
            <w:vAlign w:val="center"/>
          </w:tcPr>
          <w:p w14:paraId="5762E30D">
            <w:pPr>
              <w:spacing w:line="320" w:lineRule="exact"/>
              <w:jc w:val="center"/>
              <w:rPr>
                <w:rFonts w:ascii="Times New Roman" w:eastAsia="仿宋"/>
                <w:szCs w:val="21"/>
              </w:rPr>
            </w:pPr>
            <w:r>
              <w:rPr>
                <w:rFonts w:hint="eastAsia" w:ascii="Times New Roman" w:eastAsia="仿宋"/>
                <w:szCs w:val="21"/>
              </w:rPr>
              <w:t>119.47294</w:t>
            </w:r>
          </w:p>
        </w:tc>
        <w:tc>
          <w:tcPr>
            <w:tcW w:w="1390" w:type="dxa"/>
            <w:vAlign w:val="center"/>
          </w:tcPr>
          <w:p w14:paraId="3A03CF73">
            <w:pPr>
              <w:spacing w:line="320" w:lineRule="exact"/>
              <w:jc w:val="center"/>
              <w:rPr>
                <w:rFonts w:ascii="Times New Roman" w:eastAsia="仿宋"/>
                <w:szCs w:val="21"/>
              </w:rPr>
            </w:pPr>
            <w:r>
              <w:rPr>
                <w:rFonts w:hint="eastAsia" w:ascii="Times New Roman" w:eastAsia="仿宋"/>
                <w:szCs w:val="21"/>
              </w:rPr>
              <w:t>31.73454</w:t>
            </w:r>
          </w:p>
        </w:tc>
        <w:tc>
          <w:tcPr>
            <w:tcW w:w="1693" w:type="dxa"/>
            <w:gridSpan w:val="2"/>
            <w:vAlign w:val="center"/>
          </w:tcPr>
          <w:p w14:paraId="51898B22">
            <w:pPr>
              <w:spacing w:line="320" w:lineRule="exact"/>
              <w:jc w:val="center"/>
              <w:rPr>
                <w:rFonts w:ascii="Times New Roman" w:eastAsia="仿宋"/>
                <w:szCs w:val="21"/>
              </w:rPr>
            </w:pPr>
            <w:r>
              <w:rPr>
                <w:rFonts w:hint="eastAsia" w:ascii="Times New Roman" w:eastAsia="仿宋"/>
                <w:szCs w:val="21"/>
              </w:rPr>
              <w:t>约3650</w:t>
            </w:r>
          </w:p>
        </w:tc>
        <w:tc>
          <w:tcPr>
            <w:tcW w:w="1311" w:type="dxa"/>
            <w:gridSpan w:val="2"/>
            <w:vAlign w:val="center"/>
          </w:tcPr>
          <w:p w14:paraId="20841F09">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40531479">
            <w:pPr>
              <w:spacing w:line="320" w:lineRule="exact"/>
              <w:jc w:val="center"/>
              <w:rPr>
                <w:rFonts w:ascii="Times New Roman" w:eastAsia="仿宋"/>
                <w:szCs w:val="21"/>
              </w:rPr>
            </w:pPr>
            <w:r>
              <w:rPr>
                <w:rFonts w:hint="eastAsia" w:ascii="Times New Roman" w:eastAsia="仿宋"/>
                <w:szCs w:val="21"/>
              </w:rPr>
              <w:t>约300</w:t>
            </w:r>
          </w:p>
        </w:tc>
        <w:tc>
          <w:tcPr>
            <w:tcW w:w="2268" w:type="dxa"/>
            <w:vMerge w:val="continue"/>
          </w:tcPr>
          <w:p w14:paraId="6B51A217">
            <w:pPr>
              <w:spacing w:line="320" w:lineRule="exact"/>
              <w:jc w:val="center"/>
              <w:rPr>
                <w:rFonts w:ascii="Times New Roman" w:eastAsia="仿宋"/>
                <w:szCs w:val="21"/>
              </w:rPr>
            </w:pPr>
          </w:p>
        </w:tc>
      </w:tr>
      <w:tr w14:paraId="557D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4509E56">
            <w:pPr>
              <w:jc w:val="center"/>
              <w:rPr>
                <w:rFonts w:ascii="Times New Roman" w:eastAsia="仿宋"/>
                <w:szCs w:val="21"/>
              </w:rPr>
            </w:pPr>
          </w:p>
        </w:tc>
        <w:tc>
          <w:tcPr>
            <w:tcW w:w="2130" w:type="dxa"/>
            <w:vAlign w:val="center"/>
          </w:tcPr>
          <w:p w14:paraId="2E5AE910">
            <w:pPr>
              <w:spacing w:line="320" w:lineRule="exact"/>
              <w:jc w:val="center"/>
              <w:rPr>
                <w:rFonts w:ascii="Times New Roman" w:eastAsia="仿宋"/>
                <w:szCs w:val="21"/>
              </w:rPr>
            </w:pPr>
            <w:r>
              <w:rPr>
                <w:rFonts w:hint="eastAsia" w:ascii="Times New Roman" w:eastAsia="仿宋"/>
                <w:szCs w:val="21"/>
              </w:rPr>
              <w:t>马口村</w:t>
            </w:r>
          </w:p>
        </w:tc>
        <w:tc>
          <w:tcPr>
            <w:tcW w:w="1559" w:type="dxa"/>
            <w:vAlign w:val="center"/>
          </w:tcPr>
          <w:p w14:paraId="66ADCFC5">
            <w:pPr>
              <w:spacing w:line="320" w:lineRule="exact"/>
              <w:jc w:val="center"/>
              <w:rPr>
                <w:rFonts w:ascii="Times New Roman" w:eastAsia="仿宋"/>
                <w:szCs w:val="21"/>
              </w:rPr>
            </w:pPr>
            <w:r>
              <w:rPr>
                <w:rFonts w:hint="eastAsia" w:ascii="Times New Roman" w:eastAsia="仿宋"/>
                <w:szCs w:val="21"/>
              </w:rPr>
              <w:t>119.47386</w:t>
            </w:r>
          </w:p>
        </w:tc>
        <w:tc>
          <w:tcPr>
            <w:tcW w:w="1390" w:type="dxa"/>
            <w:vAlign w:val="center"/>
          </w:tcPr>
          <w:p w14:paraId="6B2C2C78">
            <w:pPr>
              <w:spacing w:line="320" w:lineRule="exact"/>
              <w:jc w:val="center"/>
              <w:rPr>
                <w:rFonts w:ascii="Times New Roman" w:eastAsia="仿宋"/>
                <w:szCs w:val="21"/>
              </w:rPr>
            </w:pPr>
            <w:r>
              <w:rPr>
                <w:rFonts w:hint="eastAsia" w:ascii="Times New Roman" w:eastAsia="仿宋"/>
                <w:szCs w:val="21"/>
              </w:rPr>
              <w:t>31.72950</w:t>
            </w:r>
          </w:p>
        </w:tc>
        <w:tc>
          <w:tcPr>
            <w:tcW w:w="1693" w:type="dxa"/>
            <w:gridSpan w:val="2"/>
            <w:vAlign w:val="center"/>
          </w:tcPr>
          <w:p w14:paraId="79C14741">
            <w:pPr>
              <w:spacing w:line="320" w:lineRule="exact"/>
              <w:jc w:val="center"/>
              <w:rPr>
                <w:rFonts w:ascii="Times New Roman" w:eastAsia="仿宋"/>
                <w:szCs w:val="21"/>
              </w:rPr>
            </w:pPr>
            <w:r>
              <w:rPr>
                <w:rFonts w:hint="eastAsia" w:ascii="Times New Roman" w:eastAsia="仿宋"/>
                <w:szCs w:val="21"/>
              </w:rPr>
              <w:t>约3650</w:t>
            </w:r>
          </w:p>
        </w:tc>
        <w:tc>
          <w:tcPr>
            <w:tcW w:w="1311" w:type="dxa"/>
            <w:gridSpan w:val="2"/>
            <w:vAlign w:val="center"/>
          </w:tcPr>
          <w:p w14:paraId="322A1AD7">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079F2A25">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tcPr>
          <w:p w14:paraId="7ACF4ADC">
            <w:pPr>
              <w:spacing w:line="320" w:lineRule="exact"/>
              <w:jc w:val="center"/>
              <w:rPr>
                <w:rFonts w:ascii="Times New Roman" w:eastAsia="仿宋"/>
                <w:szCs w:val="21"/>
              </w:rPr>
            </w:pPr>
          </w:p>
        </w:tc>
      </w:tr>
      <w:tr w14:paraId="6DEE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5FDA385">
            <w:pPr>
              <w:jc w:val="center"/>
              <w:rPr>
                <w:rFonts w:ascii="Times New Roman" w:eastAsia="仿宋"/>
                <w:szCs w:val="21"/>
              </w:rPr>
            </w:pPr>
          </w:p>
        </w:tc>
        <w:tc>
          <w:tcPr>
            <w:tcW w:w="2130" w:type="dxa"/>
            <w:vAlign w:val="center"/>
          </w:tcPr>
          <w:p w14:paraId="6C7205E3">
            <w:pPr>
              <w:spacing w:line="320" w:lineRule="exact"/>
              <w:jc w:val="center"/>
              <w:rPr>
                <w:rFonts w:ascii="Times New Roman" w:eastAsia="仿宋"/>
                <w:szCs w:val="21"/>
              </w:rPr>
            </w:pPr>
            <w:r>
              <w:rPr>
                <w:rFonts w:hint="eastAsia" w:ascii="Times New Roman" w:eastAsia="仿宋"/>
                <w:szCs w:val="21"/>
              </w:rPr>
              <w:t>方家圩</w:t>
            </w:r>
          </w:p>
        </w:tc>
        <w:tc>
          <w:tcPr>
            <w:tcW w:w="1559" w:type="dxa"/>
            <w:vAlign w:val="center"/>
          </w:tcPr>
          <w:p w14:paraId="6E6AA55C">
            <w:pPr>
              <w:spacing w:line="320" w:lineRule="exact"/>
              <w:jc w:val="center"/>
              <w:rPr>
                <w:rFonts w:ascii="Times New Roman" w:eastAsia="仿宋"/>
                <w:szCs w:val="21"/>
              </w:rPr>
            </w:pPr>
            <w:r>
              <w:rPr>
                <w:rFonts w:hint="eastAsia" w:ascii="Times New Roman" w:eastAsia="仿宋"/>
                <w:szCs w:val="21"/>
              </w:rPr>
              <w:t>119.47422</w:t>
            </w:r>
          </w:p>
        </w:tc>
        <w:tc>
          <w:tcPr>
            <w:tcW w:w="1390" w:type="dxa"/>
            <w:vAlign w:val="center"/>
          </w:tcPr>
          <w:p w14:paraId="7C5705D1">
            <w:pPr>
              <w:spacing w:line="320" w:lineRule="exact"/>
              <w:jc w:val="center"/>
              <w:rPr>
                <w:rFonts w:ascii="Times New Roman" w:eastAsia="仿宋"/>
                <w:szCs w:val="21"/>
              </w:rPr>
            </w:pPr>
            <w:r>
              <w:rPr>
                <w:rFonts w:hint="eastAsia" w:ascii="Times New Roman" w:eastAsia="仿宋"/>
                <w:szCs w:val="21"/>
              </w:rPr>
              <w:t>31.72779</w:t>
            </w:r>
          </w:p>
        </w:tc>
        <w:tc>
          <w:tcPr>
            <w:tcW w:w="1693" w:type="dxa"/>
            <w:gridSpan w:val="2"/>
            <w:vAlign w:val="center"/>
          </w:tcPr>
          <w:p w14:paraId="0F2163EA">
            <w:pPr>
              <w:spacing w:line="320" w:lineRule="exact"/>
              <w:jc w:val="center"/>
              <w:rPr>
                <w:rFonts w:ascii="Times New Roman" w:eastAsia="仿宋"/>
                <w:szCs w:val="21"/>
              </w:rPr>
            </w:pPr>
            <w:r>
              <w:rPr>
                <w:rFonts w:hint="eastAsia" w:ascii="Times New Roman" w:eastAsia="仿宋"/>
                <w:szCs w:val="21"/>
              </w:rPr>
              <w:t>约3700</w:t>
            </w:r>
          </w:p>
        </w:tc>
        <w:tc>
          <w:tcPr>
            <w:tcW w:w="1311" w:type="dxa"/>
            <w:gridSpan w:val="2"/>
            <w:vAlign w:val="center"/>
          </w:tcPr>
          <w:p w14:paraId="66A4D04F">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3ED19A97">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tcPr>
          <w:p w14:paraId="17B7BC8B">
            <w:pPr>
              <w:spacing w:line="320" w:lineRule="exact"/>
              <w:jc w:val="center"/>
              <w:rPr>
                <w:rFonts w:ascii="Times New Roman" w:eastAsia="仿宋"/>
                <w:szCs w:val="21"/>
              </w:rPr>
            </w:pPr>
          </w:p>
        </w:tc>
      </w:tr>
      <w:tr w14:paraId="4FBA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vAlign w:val="center"/>
          </w:tcPr>
          <w:p w14:paraId="79825A82">
            <w:pPr>
              <w:jc w:val="center"/>
              <w:rPr>
                <w:rFonts w:ascii="Times New Roman" w:eastAsia="仿宋"/>
                <w:szCs w:val="21"/>
              </w:rPr>
            </w:pPr>
          </w:p>
        </w:tc>
        <w:tc>
          <w:tcPr>
            <w:tcW w:w="2130" w:type="dxa"/>
            <w:vAlign w:val="center"/>
          </w:tcPr>
          <w:p w14:paraId="5DBCFB4E">
            <w:pPr>
              <w:spacing w:line="320" w:lineRule="exact"/>
              <w:jc w:val="center"/>
              <w:rPr>
                <w:rFonts w:ascii="Times New Roman" w:eastAsia="仿宋"/>
                <w:szCs w:val="21"/>
              </w:rPr>
            </w:pPr>
            <w:r>
              <w:rPr>
                <w:rFonts w:hint="eastAsia" w:ascii="Times New Roman" w:eastAsia="仿宋"/>
                <w:szCs w:val="21"/>
              </w:rPr>
              <w:t>下圩村</w:t>
            </w:r>
          </w:p>
        </w:tc>
        <w:tc>
          <w:tcPr>
            <w:tcW w:w="1559" w:type="dxa"/>
            <w:vAlign w:val="center"/>
          </w:tcPr>
          <w:p w14:paraId="3F055071">
            <w:pPr>
              <w:spacing w:line="320" w:lineRule="exact"/>
              <w:jc w:val="center"/>
              <w:rPr>
                <w:rFonts w:ascii="Times New Roman" w:eastAsia="仿宋"/>
                <w:szCs w:val="21"/>
              </w:rPr>
            </w:pPr>
            <w:r>
              <w:rPr>
                <w:rFonts w:hint="eastAsia" w:ascii="Times New Roman" w:eastAsia="仿宋"/>
                <w:szCs w:val="21"/>
              </w:rPr>
              <w:t>119.47781</w:t>
            </w:r>
          </w:p>
        </w:tc>
        <w:tc>
          <w:tcPr>
            <w:tcW w:w="1390" w:type="dxa"/>
            <w:vAlign w:val="center"/>
          </w:tcPr>
          <w:p w14:paraId="16C728B4">
            <w:pPr>
              <w:spacing w:line="320" w:lineRule="exact"/>
              <w:jc w:val="center"/>
              <w:rPr>
                <w:rFonts w:ascii="Times New Roman" w:eastAsia="仿宋"/>
                <w:szCs w:val="21"/>
              </w:rPr>
            </w:pPr>
            <w:r>
              <w:rPr>
                <w:rFonts w:hint="eastAsia" w:ascii="Times New Roman" w:eastAsia="仿宋"/>
                <w:szCs w:val="21"/>
              </w:rPr>
              <w:t>31.7299</w:t>
            </w:r>
            <w:r>
              <w:rPr>
                <w:rFonts w:ascii="Times New Roman" w:eastAsia="仿宋"/>
                <w:szCs w:val="21"/>
              </w:rPr>
              <w:t>3</w:t>
            </w:r>
          </w:p>
        </w:tc>
        <w:tc>
          <w:tcPr>
            <w:tcW w:w="1693" w:type="dxa"/>
            <w:gridSpan w:val="2"/>
            <w:vAlign w:val="center"/>
          </w:tcPr>
          <w:p w14:paraId="1AEED68C">
            <w:pPr>
              <w:spacing w:line="320" w:lineRule="exact"/>
              <w:jc w:val="center"/>
              <w:rPr>
                <w:rFonts w:ascii="Times New Roman" w:eastAsia="仿宋"/>
                <w:szCs w:val="21"/>
              </w:rPr>
            </w:pPr>
            <w:r>
              <w:rPr>
                <w:rFonts w:hint="eastAsia" w:ascii="Times New Roman" w:eastAsia="仿宋"/>
                <w:szCs w:val="21"/>
              </w:rPr>
              <w:t>约4050</w:t>
            </w:r>
          </w:p>
        </w:tc>
        <w:tc>
          <w:tcPr>
            <w:tcW w:w="1311" w:type="dxa"/>
            <w:gridSpan w:val="2"/>
            <w:vAlign w:val="center"/>
          </w:tcPr>
          <w:p w14:paraId="2838FEAC">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245101BB">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vAlign w:val="center"/>
          </w:tcPr>
          <w:p w14:paraId="2D0B0248">
            <w:pPr>
              <w:spacing w:line="320" w:lineRule="exact"/>
              <w:jc w:val="center"/>
              <w:rPr>
                <w:rFonts w:ascii="Times New Roman" w:eastAsia="仿宋"/>
                <w:szCs w:val="21"/>
              </w:rPr>
            </w:pPr>
          </w:p>
        </w:tc>
      </w:tr>
      <w:tr w14:paraId="17D7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vAlign w:val="center"/>
          </w:tcPr>
          <w:p w14:paraId="6C2488F2">
            <w:pPr>
              <w:jc w:val="center"/>
              <w:rPr>
                <w:rFonts w:ascii="Times New Roman" w:eastAsia="仿宋"/>
                <w:szCs w:val="21"/>
              </w:rPr>
            </w:pPr>
          </w:p>
        </w:tc>
        <w:tc>
          <w:tcPr>
            <w:tcW w:w="2130" w:type="dxa"/>
            <w:vAlign w:val="center"/>
          </w:tcPr>
          <w:p w14:paraId="278840F5">
            <w:pPr>
              <w:spacing w:line="320" w:lineRule="exact"/>
              <w:jc w:val="center"/>
              <w:rPr>
                <w:rFonts w:ascii="Times New Roman" w:eastAsia="仿宋"/>
                <w:szCs w:val="21"/>
              </w:rPr>
            </w:pPr>
            <w:r>
              <w:rPr>
                <w:rFonts w:hint="eastAsia" w:ascii="Times New Roman" w:eastAsia="仿宋"/>
                <w:szCs w:val="21"/>
              </w:rPr>
              <w:t>张家村</w:t>
            </w:r>
          </w:p>
        </w:tc>
        <w:tc>
          <w:tcPr>
            <w:tcW w:w="1559" w:type="dxa"/>
            <w:vAlign w:val="center"/>
          </w:tcPr>
          <w:p w14:paraId="72B97AC6">
            <w:pPr>
              <w:spacing w:line="320" w:lineRule="exact"/>
              <w:jc w:val="center"/>
              <w:rPr>
                <w:rFonts w:ascii="Times New Roman" w:eastAsia="仿宋"/>
                <w:szCs w:val="21"/>
              </w:rPr>
            </w:pPr>
            <w:r>
              <w:rPr>
                <w:rFonts w:hint="eastAsia" w:ascii="Times New Roman" w:eastAsia="仿宋"/>
                <w:szCs w:val="21"/>
              </w:rPr>
              <w:t>119.47758</w:t>
            </w:r>
          </w:p>
        </w:tc>
        <w:tc>
          <w:tcPr>
            <w:tcW w:w="1390" w:type="dxa"/>
            <w:vAlign w:val="center"/>
          </w:tcPr>
          <w:p w14:paraId="27142F98">
            <w:pPr>
              <w:spacing w:line="320" w:lineRule="exact"/>
              <w:jc w:val="center"/>
              <w:rPr>
                <w:rFonts w:ascii="Times New Roman" w:eastAsia="仿宋"/>
                <w:szCs w:val="21"/>
              </w:rPr>
            </w:pPr>
            <w:r>
              <w:rPr>
                <w:rFonts w:hint="eastAsia" w:ascii="Times New Roman" w:eastAsia="仿宋"/>
                <w:szCs w:val="21"/>
              </w:rPr>
              <w:t>31.72356</w:t>
            </w:r>
          </w:p>
        </w:tc>
        <w:tc>
          <w:tcPr>
            <w:tcW w:w="1693" w:type="dxa"/>
            <w:gridSpan w:val="2"/>
            <w:vAlign w:val="center"/>
          </w:tcPr>
          <w:p w14:paraId="7068075E">
            <w:pPr>
              <w:spacing w:line="320" w:lineRule="exact"/>
              <w:jc w:val="center"/>
              <w:rPr>
                <w:rFonts w:ascii="Times New Roman" w:eastAsia="仿宋"/>
                <w:szCs w:val="21"/>
              </w:rPr>
            </w:pPr>
            <w:r>
              <w:rPr>
                <w:rFonts w:hint="eastAsia" w:ascii="Times New Roman" w:eastAsia="仿宋"/>
                <w:szCs w:val="21"/>
              </w:rPr>
              <w:t>约4050</w:t>
            </w:r>
          </w:p>
        </w:tc>
        <w:tc>
          <w:tcPr>
            <w:tcW w:w="1311" w:type="dxa"/>
            <w:gridSpan w:val="2"/>
            <w:vAlign w:val="center"/>
          </w:tcPr>
          <w:p w14:paraId="06E2E0F9">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23793580">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vAlign w:val="center"/>
          </w:tcPr>
          <w:p w14:paraId="0192CD93">
            <w:pPr>
              <w:spacing w:line="320" w:lineRule="exact"/>
              <w:jc w:val="center"/>
              <w:rPr>
                <w:rFonts w:ascii="Times New Roman" w:eastAsia="仿宋"/>
                <w:szCs w:val="21"/>
              </w:rPr>
            </w:pPr>
          </w:p>
        </w:tc>
      </w:tr>
      <w:tr w14:paraId="0DAD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vAlign w:val="center"/>
          </w:tcPr>
          <w:p w14:paraId="4F04FE9C">
            <w:pPr>
              <w:jc w:val="center"/>
              <w:rPr>
                <w:rFonts w:ascii="Times New Roman" w:eastAsia="仿宋"/>
                <w:szCs w:val="21"/>
              </w:rPr>
            </w:pPr>
          </w:p>
        </w:tc>
        <w:tc>
          <w:tcPr>
            <w:tcW w:w="2130" w:type="dxa"/>
            <w:vAlign w:val="center"/>
          </w:tcPr>
          <w:p w14:paraId="11BFC681">
            <w:pPr>
              <w:spacing w:line="320" w:lineRule="exact"/>
              <w:jc w:val="center"/>
              <w:rPr>
                <w:rFonts w:ascii="Times New Roman" w:eastAsia="仿宋"/>
                <w:szCs w:val="21"/>
              </w:rPr>
            </w:pPr>
            <w:r>
              <w:rPr>
                <w:rFonts w:hint="eastAsia" w:ascii="Times New Roman" w:eastAsia="仿宋"/>
                <w:szCs w:val="21"/>
              </w:rPr>
              <w:t>倒坛村</w:t>
            </w:r>
          </w:p>
        </w:tc>
        <w:tc>
          <w:tcPr>
            <w:tcW w:w="1559" w:type="dxa"/>
            <w:vAlign w:val="center"/>
          </w:tcPr>
          <w:p w14:paraId="7845B488">
            <w:pPr>
              <w:spacing w:line="320" w:lineRule="exact"/>
              <w:jc w:val="center"/>
              <w:rPr>
                <w:rFonts w:ascii="Times New Roman" w:eastAsia="仿宋"/>
                <w:szCs w:val="21"/>
              </w:rPr>
            </w:pPr>
            <w:r>
              <w:rPr>
                <w:rFonts w:hint="eastAsia" w:ascii="Times New Roman" w:eastAsia="仿宋"/>
                <w:szCs w:val="21"/>
              </w:rPr>
              <w:t>119.4786</w:t>
            </w:r>
            <w:r>
              <w:rPr>
                <w:rFonts w:ascii="Times New Roman" w:eastAsia="仿宋"/>
                <w:szCs w:val="21"/>
              </w:rPr>
              <w:t>1</w:t>
            </w:r>
          </w:p>
        </w:tc>
        <w:tc>
          <w:tcPr>
            <w:tcW w:w="1390" w:type="dxa"/>
            <w:vAlign w:val="center"/>
          </w:tcPr>
          <w:p w14:paraId="1B06D404">
            <w:pPr>
              <w:spacing w:line="320" w:lineRule="exact"/>
              <w:jc w:val="center"/>
              <w:rPr>
                <w:rFonts w:ascii="Times New Roman" w:eastAsia="仿宋"/>
                <w:szCs w:val="21"/>
              </w:rPr>
            </w:pPr>
            <w:r>
              <w:rPr>
                <w:rFonts w:hint="eastAsia" w:ascii="Times New Roman" w:eastAsia="仿宋"/>
                <w:szCs w:val="21"/>
              </w:rPr>
              <w:t>31.73737</w:t>
            </w:r>
          </w:p>
        </w:tc>
        <w:tc>
          <w:tcPr>
            <w:tcW w:w="1693" w:type="dxa"/>
            <w:gridSpan w:val="2"/>
            <w:vAlign w:val="center"/>
          </w:tcPr>
          <w:p w14:paraId="3C03B1B1">
            <w:pPr>
              <w:spacing w:line="320" w:lineRule="exact"/>
              <w:jc w:val="center"/>
              <w:rPr>
                <w:rFonts w:ascii="Times New Roman" w:eastAsia="仿宋"/>
                <w:szCs w:val="21"/>
              </w:rPr>
            </w:pPr>
            <w:r>
              <w:rPr>
                <w:rFonts w:hint="eastAsia" w:ascii="Times New Roman" w:eastAsia="仿宋"/>
                <w:szCs w:val="21"/>
              </w:rPr>
              <w:t>约4250</w:t>
            </w:r>
          </w:p>
        </w:tc>
        <w:tc>
          <w:tcPr>
            <w:tcW w:w="1311" w:type="dxa"/>
            <w:gridSpan w:val="2"/>
            <w:vAlign w:val="center"/>
          </w:tcPr>
          <w:p w14:paraId="67F7C15A">
            <w:pPr>
              <w:spacing w:line="320" w:lineRule="exact"/>
              <w:jc w:val="center"/>
              <w:rPr>
                <w:rFonts w:ascii="Times New Roman" w:eastAsia="仿宋"/>
                <w:szCs w:val="21"/>
              </w:rPr>
            </w:pPr>
            <w:r>
              <w:rPr>
                <w:rFonts w:hint="eastAsia" w:ascii="Times New Roman" w:eastAsia="仿宋"/>
                <w:szCs w:val="21"/>
              </w:rPr>
              <w:t>E</w:t>
            </w:r>
          </w:p>
        </w:tc>
        <w:tc>
          <w:tcPr>
            <w:tcW w:w="1134" w:type="dxa"/>
            <w:vAlign w:val="center"/>
          </w:tcPr>
          <w:p w14:paraId="7EE76428">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vAlign w:val="center"/>
          </w:tcPr>
          <w:p w14:paraId="06E3BE61">
            <w:pPr>
              <w:spacing w:line="320" w:lineRule="exact"/>
              <w:jc w:val="center"/>
              <w:rPr>
                <w:rFonts w:ascii="Times New Roman" w:eastAsia="仿宋"/>
                <w:szCs w:val="21"/>
              </w:rPr>
            </w:pPr>
          </w:p>
        </w:tc>
      </w:tr>
      <w:tr w14:paraId="1539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4A69191">
            <w:pPr>
              <w:jc w:val="center"/>
              <w:rPr>
                <w:rFonts w:ascii="Times New Roman" w:eastAsia="仿宋"/>
                <w:szCs w:val="21"/>
              </w:rPr>
            </w:pPr>
          </w:p>
        </w:tc>
        <w:tc>
          <w:tcPr>
            <w:tcW w:w="2130" w:type="dxa"/>
            <w:vAlign w:val="center"/>
          </w:tcPr>
          <w:p w14:paraId="489DE21C">
            <w:pPr>
              <w:spacing w:line="320" w:lineRule="exact"/>
              <w:jc w:val="center"/>
              <w:rPr>
                <w:rFonts w:ascii="Times New Roman" w:eastAsia="仿宋"/>
                <w:szCs w:val="21"/>
              </w:rPr>
            </w:pPr>
            <w:r>
              <w:rPr>
                <w:rFonts w:hint="eastAsia" w:ascii="Times New Roman" w:eastAsia="仿宋"/>
                <w:szCs w:val="21"/>
              </w:rPr>
              <w:t>庄基村</w:t>
            </w:r>
          </w:p>
        </w:tc>
        <w:tc>
          <w:tcPr>
            <w:tcW w:w="1559" w:type="dxa"/>
            <w:vAlign w:val="center"/>
          </w:tcPr>
          <w:p w14:paraId="4B0EDDEA">
            <w:pPr>
              <w:spacing w:line="320" w:lineRule="exact"/>
              <w:jc w:val="center"/>
              <w:rPr>
                <w:rFonts w:ascii="Times New Roman" w:eastAsia="仿宋"/>
                <w:szCs w:val="21"/>
              </w:rPr>
            </w:pPr>
            <w:r>
              <w:rPr>
                <w:rFonts w:hint="eastAsia" w:ascii="Times New Roman" w:eastAsia="仿宋"/>
                <w:szCs w:val="21"/>
              </w:rPr>
              <w:t>119.43914</w:t>
            </w:r>
          </w:p>
        </w:tc>
        <w:tc>
          <w:tcPr>
            <w:tcW w:w="1390" w:type="dxa"/>
            <w:vAlign w:val="center"/>
          </w:tcPr>
          <w:p w14:paraId="7654BD89">
            <w:pPr>
              <w:spacing w:line="320" w:lineRule="exact"/>
              <w:jc w:val="center"/>
              <w:rPr>
                <w:rFonts w:ascii="Times New Roman" w:eastAsia="仿宋"/>
                <w:szCs w:val="21"/>
              </w:rPr>
            </w:pPr>
            <w:r>
              <w:rPr>
                <w:rFonts w:hint="eastAsia" w:ascii="Times New Roman" w:eastAsia="仿宋"/>
                <w:szCs w:val="21"/>
              </w:rPr>
              <w:t>31.71541</w:t>
            </w:r>
          </w:p>
        </w:tc>
        <w:tc>
          <w:tcPr>
            <w:tcW w:w="1693" w:type="dxa"/>
            <w:gridSpan w:val="2"/>
            <w:vAlign w:val="center"/>
          </w:tcPr>
          <w:p w14:paraId="2AC85028">
            <w:pPr>
              <w:spacing w:line="320" w:lineRule="exact"/>
              <w:jc w:val="center"/>
              <w:rPr>
                <w:rFonts w:ascii="Times New Roman" w:eastAsia="仿宋"/>
                <w:szCs w:val="21"/>
              </w:rPr>
            </w:pPr>
            <w:r>
              <w:rPr>
                <w:rFonts w:hint="eastAsia" w:ascii="Times New Roman" w:eastAsia="仿宋"/>
                <w:szCs w:val="21"/>
              </w:rPr>
              <w:t>约1400</w:t>
            </w:r>
          </w:p>
        </w:tc>
        <w:tc>
          <w:tcPr>
            <w:tcW w:w="1311" w:type="dxa"/>
            <w:gridSpan w:val="2"/>
            <w:vAlign w:val="center"/>
          </w:tcPr>
          <w:p w14:paraId="2AC1D3F3">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0F33CD1A">
            <w:pPr>
              <w:spacing w:line="320" w:lineRule="exact"/>
              <w:jc w:val="center"/>
              <w:rPr>
                <w:rFonts w:ascii="Times New Roman" w:eastAsia="仿宋"/>
                <w:szCs w:val="21"/>
              </w:rPr>
            </w:pPr>
            <w:r>
              <w:rPr>
                <w:rFonts w:hint="eastAsia" w:ascii="Times New Roman" w:eastAsia="仿宋"/>
                <w:szCs w:val="21"/>
              </w:rPr>
              <w:t>约540</w:t>
            </w:r>
          </w:p>
        </w:tc>
        <w:tc>
          <w:tcPr>
            <w:tcW w:w="2268" w:type="dxa"/>
            <w:vMerge w:val="continue"/>
          </w:tcPr>
          <w:p w14:paraId="478863DE">
            <w:pPr>
              <w:spacing w:line="320" w:lineRule="exact"/>
              <w:jc w:val="center"/>
              <w:rPr>
                <w:rFonts w:ascii="Times New Roman" w:eastAsia="仿宋"/>
                <w:szCs w:val="21"/>
              </w:rPr>
            </w:pPr>
          </w:p>
        </w:tc>
      </w:tr>
      <w:tr w14:paraId="51A3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B1FE06D">
            <w:pPr>
              <w:jc w:val="center"/>
              <w:rPr>
                <w:rFonts w:ascii="Times New Roman" w:eastAsia="仿宋"/>
                <w:szCs w:val="21"/>
              </w:rPr>
            </w:pPr>
          </w:p>
        </w:tc>
        <w:tc>
          <w:tcPr>
            <w:tcW w:w="2130" w:type="dxa"/>
            <w:vAlign w:val="center"/>
          </w:tcPr>
          <w:p w14:paraId="252E3C0F">
            <w:pPr>
              <w:spacing w:line="320" w:lineRule="exact"/>
              <w:jc w:val="center"/>
              <w:rPr>
                <w:rFonts w:ascii="Times New Roman" w:eastAsia="仿宋"/>
                <w:szCs w:val="21"/>
              </w:rPr>
            </w:pPr>
            <w:r>
              <w:rPr>
                <w:rFonts w:hint="eastAsia" w:ascii="Times New Roman" w:eastAsia="仿宋"/>
                <w:szCs w:val="21"/>
              </w:rPr>
              <w:t>西贺家村</w:t>
            </w:r>
          </w:p>
        </w:tc>
        <w:tc>
          <w:tcPr>
            <w:tcW w:w="1559" w:type="dxa"/>
            <w:vAlign w:val="center"/>
          </w:tcPr>
          <w:p w14:paraId="195A5731">
            <w:pPr>
              <w:spacing w:line="320" w:lineRule="exact"/>
              <w:jc w:val="center"/>
              <w:rPr>
                <w:rFonts w:ascii="Times New Roman" w:eastAsia="仿宋"/>
                <w:szCs w:val="21"/>
              </w:rPr>
            </w:pPr>
            <w:r>
              <w:rPr>
                <w:rFonts w:hint="eastAsia" w:ascii="Times New Roman" w:eastAsia="仿宋"/>
                <w:szCs w:val="21"/>
              </w:rPr>
              <w:t>119.45272</w:t>
            </w:r>
          </w:p>
        </w:tc>
        <w:tc>
          <w:tcPr>
            <w:tcW w:w="1390" w:type="dxa"/>
            <w:vAlign w:val="center"/>
          </w:tcPr>
          <w:p w14:paraId="10452C12">
            <w:pPr>
              <w:spacing w:line="320" w:lineRule="exact"/>
              <w:jc w:val="center"/>
              <w:rPr>
                <w:rFonts w:ascii="Times New Roman" w:eastAsia="仿宋"/>
                <w:szCs w:val="21"/>
              </w:rPr>
            </w:pPr>
            <w:r>
              <w:rPr>
                <w:rFonts w:hint="eastAsia" w:ascii="Times New Roman" w:eastAsia="仿宋"/>
                <w:szCs w:val="21"/>
              </w:rPr>
              <w:t>31.71240</w:t>
            </w:r>
          </w:p>
        </w:tc>
        <w:tc>
          <w:tcPr>
            <w:tcW w:w="1693" w:type="dxa"/>
            <w:gridSpan w:val="2"/>
            <w:vAlign w:val="center"/>
          </w:tcPr>
          <w:p w14:paraId="05AF6F25">
            <w:pPr>
              <w:spacing w:line="320" w:lineRule="exact"/>
              <w:jc w:val="center"/>
              <w:rPr>
                <w:rFonts w:ascii="Times New Roman" w:eastAsia="仿宋"/>
                <w:szCs w:val="21"/>
              </w:rPr>
            </w:pPr>
            <w:r>
              <w:rPr>
                <w:rFonts w:hint="eastAsia" w:ascii="Times New Roman" w:eastAsia="仿宋"/>
                <w:szCs w:val="21"/>
              </w:rPr>
              <w:t>约2400</w:t>
            </w:r>
          </w:p>
        </w:tc>
        <w:tc>
          <w:tcPr>
            <w:tcW w:w="1311" w:type="dxa"/>
            <w:gridSpan w:val="2"/>
            <w:vAlign w:val="center"/>
          </w:tcPr>
          <w:p w14:paraId="3A65570B">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5D56A9EA">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tcPr>
          <w:p w14:paraId="48DF9677">
            <w:pPr>
              <w:spacing w:line="320" w:lineRule="exact"/>
              <w:jc w:val="center"/>
              <w:rPr>
                <w:rFonts w:ascii="Times New Roman" w:eastAsia="仿宋"/>
                <w:szCs w:val="21"/>
              </w:rPr>
            </w:pPr>
          </w:p>
        </w:tc>
      </w:tr>
      <w:tr w14:paraId="3343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BFF71F5">
            <w:pPr>
              <w:jc w:val="center"/>
              <w:rPr>
                <w:rFonts w:ascii="Times New Roman" w:eastAsia="仿宋"/>
                <w:szCs w:val="21"/>
              </w:rPr>
            </w:pPr>
          </w:p>
        </w:tc>
        <w:tc>
          <w:tcPr>
            <w:tcW w:w="2130" w:type="dxa"/>
            <w:vAlign w:val="center"/>
          </w:tcPr>
          <w:p w14:paraId="601165CF">
            <w:pPr>
              <w:spacing w:line="320" w:lineRule="exact"/>
              <w:jc w:val="center"/>
              <w:rPr>
                <w:rFonts w:ascii="Times New Roman" w:eastAsia="仿宋"/>
                <w:szCs w:val="21"/>
              </w:rPr>
            </w:pPr>
            <w:r>
              <w:rPr>
                <w:rFonts w:hint="eastAsia" w:ascii="Times New Roman" w:eastAsia="仿宋"/>
                <w:szCs w:val="21"/>
              </w:rPr>
              <w:t>沈店</w:t>
            </w:r>
          </w:p>
        </w:tc>
        <w:tc>
          <w:tcPr>
            <w:tcW w:w="1559" w:type="dxa"/>
            <w:vAlign w:val="center"/>
          </w:tcPr>
          <w:p w14:paraId="3136B533">
            <w:pPr>
              <w:spacing w:line="320" w:lineRule="exact"/>
              <w:jc w:val="center"/>
              <w:rPr>
                <w:rFonts w:ascii="Times New Roman" w:eastAsia="仿宋"/>
                <w:szCs w:val="21"/>
              </w:rPr>
            </w:pPr>
            <w:r>
              <w:rPr>
                <w:rFonts w:hint="eastAsia" w:ascii="Times New Roman" w:eastAsia="仿宋"/>
                <w:szCs w:val="21"/>
              </w:rPr>
              <w:t>119.44019</w:t>
            </w:r>
          </w:p>
        </w:tc>
        <w:tc>
          <w:tcPr>
            <w:tcW w:w="1390" w:type="dxa"/>
            <w:vAlign w:val="center"/>
          </w:tcPr>
          <w:p w14:paraId="0E3D9C3F">
            <w:pPr>
              <w:spacing w:line="320" w:lineRule="exact"/>
              <w:jc w:val="center"/>
              <w:rPr>
                <w:rFonts w:ascii="Times New Roman" w:eastAsia="仿宋"/>
                <w:szCs w:val="21"/>
              </w:rPr>
            </w:pPr>
            <w:r>
              <w:rPr>
                <w:rFonts w:hint="eastAsia" w:ascii="Times New Roman" w:eastAsia="仿宋"/>
                <w:szCs w:val="21"/>
              </w:rPr>
              <w:t>31.70603</w:t>
            </w:r>
          </w:p>
        </w:tc>
        <w:tc>
          <w:tcPr>
            <w:tcW w:w="1693" w:type="dxa"/>
            <w:gridSpan w:val="2"/>
            <w:vAlign w:val="center"/>
          </w:tcPr>
          <w:p w14:paraId="0D1CA36F">
            <w:pPr>
              <w:spacing w:line="320" w:lineRule="exact"/>
              <w:jc w:val="center"/>
              <w:rPr>
                <w:rFonts w:ascii="Times New Roman" w:eastAsia="仿宋"/>
                <w:szCs w:val="21"/>
              </w:rPr>
            </w:pPr>
            <w:r>
              <w:rPr>
                <w:rFonts w:hint="eastAsia" w:ascii="Times New Roman" w:eastAsia="仿宋"/>
                <w:szCs w:val="21"/>
              </w:rPr>
              <w:t>约2400</w:t>
            </w:r>
          </w:p>
        </w:tc>
        <w:tc>
          <w:tcPr>
            <w:tcW w:w="1311" w:type="dxa"/>
            <w:gridSpan w:val="2"/>
            <w:vAlign w:val="center"/>
          </w:tcPr>
          <w:p w14:paraId="0E04F28E">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7E39D8E0">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tcPr>
          <w:p w14:paraId="04F68218">
            <w:pPr>
              <w:spacing w:line="320" w:lineRule="exact"/>
              <w:jc w:val="center"/>
              <w:rPr>
                <w:rFonts w:ascii="Times New Roman" w:eastAsia="仿宋"/>
                <w:szCs w:val="21"/>
              </w:rPr>
            </w:pPr>
          </w:p>
        </w:tc>
      </w:tr>
      <w:tr w14:paraId="085D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834EE1C">
            <w:pPr>
              <w:jc w:val="center"/>
              <w:rPr>
                <w:rFonts w:ascii="Times New Roman" w:eastAsia="仿宋"/>
                <w:szCs w:val="21"/>
              </w:rPr>
            </w:pPr>
          </w:p>
        </w:tc>
        <w:tc>
          <w:tcPr>
            <w:tcW w:w="2130" w:type="dxa"/>
            <w:vAlign w:val="center"/>
          </w:tcPr>
          <w:p w14:paraId="2D6A0198">
            <w:pPr>
              <w:spacing w:line="320" w:lineRule="exact"/>
              <w:jc w:val="center"/>
              <w:rPr>
                <w:rFonts w:ascii="Times New Roman" w:eastAsia="仿宋"/>
                <w:szCs w:val="21"/>
              </w:rPr>
            </w:pPr>
            <w:r>
              <w:rPr>
                <w:rFonts w:hint="eastAsia" w:ascii="Times New Roman" w:eastAsia="仿宋"/>
                <w:szCs w:val="21"/>
              </w:rPr>
              <w:t>新丰村</w:t>
            </w:r>
          </w:p>
        </w:tc>
        <w:tc>
          <w:tcPr>
            <w:tcW w:w="1559" w:type="dxa"/>
            <w:vAlign w:val="center"/>
          </w:tcPr>
          <w:p w14:paraId="48060DCD">
            <w:pPr>
              <w:spacing w:line="320" w:lineRule="exact"/>
              <w:jc w:val="center"/>
              <w:rPr>
                <w:rFonts w:ascii="Times New Roman" w:eastAsia="仿宋"/>
                <w:szCs w:val="21"/>
              </w:rPr>
            </w:pPr>
            <w:r>
              <w:rPr>
                <w:rFonts w:hint="eastAsia" w:ascii="Times New Roman" w:eastAsia="仿宋"/>
                <w:szCs w:val="21"/>
              </w:rPr>
              <w:t>119.45796</w:t>
            </w:r>
          </w:p>
        </w:tc>
        <w:tc>
          <w:tcPr>
            <w:tcW w:w="1390" w:type="dxa"/>
            <w:vAlign w:val="center"/>
          </w:tcPr>
          <w:p w14:paraId="42398420">
            <w:pPr>
              <w:spacing w:line="320" w:lineRule="exact"/>
              <w:jc w:val="center"/>
              <w:rPr>
                <w:rFonts w:ascii="Times New Roman" w:eastAsia="仿宋"/>
                <w:szCs w:val="21"/>
              </w:rPr>
            </w:pPr>
            <w:r>
              <w:rPr>
                <w:rFonts w:hint="eastAsia" w:ascii="Times New Roman" w:eastAsia="仿宋"/>
                <w:szCs w:val="21"/>
              </w:rPr>
              <w:t>31.71208</w:t>
            </w:r>
          </w:p>
        </w:tc>
        <w:tc>
          <w:tcPr>
            <w:tcW w:w="1693" w:type="dxa"/>
            <w:gridSpan w:val="2"/>
            <w:vAlign w:val="center"/>
          </w:tcPr>
          <w:p w14:paraId="0B76D08F">
            <w:pPr>
              <w:spacing w:line="320" w:lineRule="exact"/>
              <w:jc w:val="center"/>
              <w:rPr>
                <w:rFonts w:ascii="Times New Roman" w:eastAsia="仿宋"/>
                <w:szCs w:val="21"/>
              </w:rPr>
            </w:pPr>
            <w:r>
              <w:rPr>
                <w:rFonts w:hint="eastAsia" w:ascii="Times New Roman" w:eastAsia="仿宋"/>
                <w:szCs w:val="21"/>
              </w:rPr>
              <w:t>约2750</w:t>
            </w:r>
          </w:p>
        </w:tc>
        <w:tc>
          <w:tcPr>
            <w:tcW w:w="1311" w:type="dxa"/>
            <w:gridSpan w:val="2"/>
            <w:vAlign w:val="center"/>
          </w:tcPr>
          <w:p w14:paraId="08F97A16">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0A7407C8">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5E215951">
            <w:pPr>
              <w:spacing w:line="320" w:lineRule="exact"/>
              <w:jc w:val="center"/>
              <w:rPr>
                <w:rFonts w:ascii="Times New Roman" w:eastAsia="仿宋"/>
                <w:szCs w:val="21"/>
              </w:rPr>
            </w:pPr>
          </w:p>
        </w:tc>
      </w:tr>
      <w:tr w14:paraId="3D03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46702E6">
            <w:pPr>
              <w:jc w:val="center"/>
              <w:rPr>
                <w:rFonts w:ascii="Times New Roman" w:eastAsia="仿宋"/>
                <w:szCs w:val="21"/>
              </w:rPr>
            </w:pPr>
          </w:p>
        </w:tc>
        <w:tc>
          <w:tcPr>
            <w:tcW w:w="2130" w:type="dxa"/>
            <w:vAlign w:val="center"/>
          </w:tcPr>
          <w:p w14:paraId="499CD2A3">
            <w:pPr>
              <w:spacing w:line="320" w:lineRule="exact"/>
              <w:jc w:val="center"/>
              <w:rPr>
                <w:rFonts w:ascii="Times New Roman" w:eastAsia="仿宋"/>
                <w:szCs w:val="21"/>
              </w:rPr>
            </w:pPr>
            <w:r>
              <w:rPr>
                <w:rFonts w:hint="eastAsia" w:ascii="Times New Roman" w:eastAsia="仿宋"/>
                <w:szCs w:val="21"/>
              </w:rPr>
              <w:t>沈家桥</w:t>
            </w:r>
          </w:p>
        </w:tc>
        <w:tc>
          <w:tcPr>
            <w:tcW w:w="1559" w:type="dxa"/>
            <w:vAlign w:val="center"/>
          </w:tcPr>
          <w:p w14:paraId="27FDB923">
            <w:pPr>
              <w:spacing w:line="320" w:lineRule="exact"/>
              <w:jc w:val="center"/>
              <w:rPr>
                <w:rFonts w:ascii="Times New Roman" w:eastAsia="仿宋"/>
                <w:szCs w:val="21"/>
              </w:rPr>
            </w:pPr>
            <w:r>
              <w:rPr>
                <w:rFonts w:hint="eastAsia" w:ascii="Times New Roman" w:eastAsia="仿宋"/>
                <w:szCs w:val="21"/>
              </w:rPr>
              <w:t>119.44215</w:t>
            </w:r>
          </w:p>
        </w:tc>
        <w:tc>
          <w:tcPr>
            <w:tcW w:w="1390" w:type="dxa"/>
            <w:vAlign w:val="center"/>
          </w:tcPr>
          <w:p w14:paraId="39F8CBC7">
            <w:pPr>
              <w:spacing w:line="320" w:lineRule="exact"/>
              <w:jc w:val="center"/>
              <w:rPr>
                <w:rFonts w:ascii="Times New Roman" w:eastAsia="仿宋"/>
                <w:szCs w:val="21"/>
              </w:rPr>
            </w:pPr>
            <w:r>
              <w:rPr>
                <w:rFonts w:hint="eastAsia" w:ascii="Times New Roman" w:eastAsia="仿宋"/>
                <w:szCs w:val="21"/>
              </w:rPr>
              <w:t>31.70153</w:t>
            </w:r>
          </w:p>
        </w:tc>
        <w:tc>
          <w:tcPr>
            <w:tcW w:w="1693" w:type="dxa"/>
            <w:gridSpan w:val="2"/>
            <w:vAlign w:val="center"/>
          </w:tcPr>
          <w:p w14:paraId="4487B6AA">
            <w:pPr>
              <w:spacing w:line="320" w:lineRule="exact"/>
              <w:jc w:val="center"/>
              <w:rPr>
                <w:rFonts w:ascii="Times New Roman" w:eastAsia="仿宋"/>
                <w:szCs w:val="21"/>
              </w:rPr>
            </w:pPr>
            <w:r>
              <w:rPr>
                <w:rFonts w:hint="eastAsia" w:ascii="Times New Roman" w:eastAsia="仿宋"/>
                <w:szCs w:val="21"/>
              </w:rPr>
              <w:t>约2950</w:t>
            </w:r>
          </w:p>
        </w:tc>
        <w:tc>
          <w:tcPr>
            <w:tcW w:w="1311" w:type="dxa"/>
            <w:gridSpan w:val="2"/>
            <w:vAlign w:val="center"/>
          </w:tcPr>
          <w:p w14:paraId="686EAA93">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4E2D7E3B">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4008D644">
            <w:pPr>
              <w:spacing w:line="320" w:lineRule="exact"/>
              <w:jc w:val="center"/>
              <w:rPr>
                <w:rFonts w:ascii="Times New Roman" w:eastAsia="仿宋"/>
                <w:szCs w:val="21"/>
              </w:rPr>
            </w:pPr>
          </w:p>
        </w:tc>
      </w:tr>
      <w:tr w14:paraId="440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1EDDC6D">
            <w:pPr>
              <w:jc w:val="center"/>
              <w:rPr>
                <w:rFonts w:ascii="Times New Roman" w:eastAsia="仿宋"/>
                <w:szCs w:val="21"/>
              </w:rPr>
            </w:pPr>
          </w:p>
        </w:tc>
        <w:tc>
          <w:tcPr>
            <w:tcW w:w="2130" w:type="dxa"/>
            <w:vAlign w:val="center"/>
          </w:tcPr>
          <w:p w14:paraId="0BCEA1F8">
            <w:pPr>
              <w:spacing w:line="320" w:lineRule="exact"/>
              <w:jc w:val="center"/>
              <w:rPr>
                <w:rFonts w:ascii="Times New Roman" w:eastAsia="仿宋"/>
                <w:szCs w:val="21"/>
              </w:rPr>
            </w:pPr>
            <w:r>
              <w:rPr>
                <w:rFonts w:hint="eastAsia" w:ascii="Times New Roman" w:eastAsia="仿宋"/>
                <w:szCs w:val="21"/>
              </w:rPr>
              <w:t>东贺家村</w:t>
            </w:r>
          </w:p>
        </w:tc>
        <w:tc>
          <w:tcPr>
            <w:tcW w:w="1559" w:type="dxa"/>
            <w:vAlign w:val="center"/>
          </w:tcPr>
          <w:p w14:paraId="6171E25A">
            <w:pPr>
              <w:spacing w:line="320" w:lineRule="exact"/>
              <w:jc w:val="center"/>
              <w:rPr>
                <w:rFonts w:ascii="Times New Roman" w:eastAsia="仿宋"/>
                <w:szCs w:val="21"/>
              </w:rPr>
            </w:pPr>
            <w:r>
              <w:rPr>
                <w:rFonts w:hint="eastAsia" w:ascii="Times New Roman" w:eastAsia="仿宋"/>
                <w:szCs w:val="21"/>
              </w:rPr>
              <w:t>119.45855</w:t>
            </w:r>
          </w:p>
        </w:tc>
        <w:tc>
          <w:tcPr>
            <w:tcW w:w="1390" w:type="dxa"/>
            <w:vAlign w:val="center"/>
          </w:tcPr>
          <w:p w14:paraId="133E253E">
            <w:pPr>
              <w:spacing w:line="320" w:lineRule="exact"/>
              <w:jc w:val="center"/>
              <w:rPr>
                <w:rFonts w:ascii="Times New Roman" w:eastAsia="仿宋"/>
                <w:szCs w:val="21"/>
              </w:rPr>
            </w:pPr>
            <w:r>
              <w:rPr>
                <w:rFonts w:hint="eastAsia" w:ascii="Times New Roman" w:eastAsia="仿宋"/>
                <w:szCs w:val="21"/>
              </w:rPr>
              <w:t>31.70944</w:t>
            </w:r>
          </w:p>
        </w:tc>
        <w:tc>
          <w:tcPr>
            <w:tcW w:w="1693" w:type="dxa"/>
            <w:gridSpan w:val="2"/>
            <w:vAlign w:val="center"/>
          </w:tcPr>
          <w:p w14:paraId="6359AB6A">
            <w:pPr>
              <w:spacing w:line="320" w:lineRule="exact"/>
              <w:jc w:val="center"/>
              <w:rPr>
                <w:rFonts w:ascii="Times New Roman" w:eastAsia="仿宋"/>
                <w:szCs w:val="21"/>
              </w:rPr>
            </w:pPr>
            <w:r>
              <w:rPr>
                <w:rFonts w:hint="eastAsia" w:ascii="Times New Roman" w:eastAsia="仿宋"/>
                <w:szCs w:val="21"/>
              </w:rPr>
              <w:t>约3000</w:t>
            </w:r>
          </w:p>
        </w:tc>
        <w:tc>
          <w:tcPr>
            <w:tcW w:w="1311" w:type="dxa"/>
            <w:gridSpan w:val="2"/>
            <w:vAlign w:val="center"/>
          </w:tcPr>
          <w:p w14:paraId="01029CF9">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02F0005A">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tcPr>
          <w:p w14:paraId="2B4F1287">
            <w:pPr>
              <w:spacing w:line="320" w:lineRule="exact"/>
              <w:jc w:val="center"/>
              <w:rPr>
                <w:rFonts w:ascii="Times New Roman" w:eastAsia="仿宋"/>
                <w:szCs w:val="21"/>
              </w:rPr>
            </w:pPr>
          </w:p>
        </w:tc>
      </w:tr>
      <w:tr w14:paraId="3C29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B5B8128">
            <w:pPr>
              <w:jc w:val="center"/>
              <w:rPr>
                <w:rFonts w:ascii="Times New Roman" w:eastAsia="仿宋"/>
                <w:szCs w:val="21"/>
              </w:rPr>
            </w:pPr>
          </w:p>
        </w:tc>
        <w:tc>
          <w:tcPr>
            <w:tcW w:w="2130" w:type="dxa"/>
            <w:vAlign w:val="center"/>
          </w:tcPr>
          <w:p w14:paraId="00AEE7A3">
            <w:pPr>
              <w:spacing w:line="320" w:lineRule="exact"/>
              <w:jc w:val="center"/>
              <w:rPr>
                <w:rFonts w:ascii="Times New Roman" w:eastAsia="仿宋"/>
                <w:szCs w:val="21"/>
              </w:rPr>
            </w:pPr>
            <w:r>
              <w:rPr>
                <w:rFonts w:hint="eastAsia" w:ascii="Times New Roman" w:eastAsia="仿宋"/>
                <w:szCs w:val="21"/>
              </w:rPr>
              <w:t>强家坝</w:t>
            </w:r>
          </w:p>
        </w:tc>
        <w:tc>
          <w:tcPr>
            <w:tcW w:w="1559" w:type="dxa"/>
            <w:vAlign w:val="center"/>
          </w:tcPr>
          <w:p w14:paraId="5CAFF4C0">
            <w:pPr>
              <w:spacing w:line="320" w:lineRule="exact"/>
              <w:jc w:val="center"/>
              <w:rPr>
                <w:rFonts w:ascii="Times New Roman" w:eastAsia="仿宋"/>
                <w:szCs w:val="21"/>
              </w:rPr>
            </w:pPr>
            <w:r>
              <w:rPr>
                <w:rFonts w:hint="eastAsia" w:ascii="Times New Roman" w:eastAsia="仿宋"/>
                <w:szCs w:val="21"/>
              </w:rPr>
              <w:t>119.45955</w:t>
            </w:r>
          </w:p>
        </w:tc>
        <w:tc>
          <w:tcPr>
            <w:tcW w:w="1390" w:type="dxa"/>
            <w:vAlign w:val="center"/>
          </w:tcPr>
          <w:p w14:paraId="2FD91B2A">
            <w:pPr>
              <w:spacing w:line="320" w:lineRule="exact"/>
              <w:jc w:val="center"/>
              <w:rPr>
                <w:rFonts w:ascii="Times New Roman" w:eastAsia="仿宋"/>
                <w:szCs w:val="21"/>
              </w:rPr>
            </w:pPr>
            <w:r>
              <w:rPr>
                <w:rFonts w:hint="eastAsia" w:ascii="Times New Roman" w:eastAsia="仿宋"/>
                <w:szCs w:val="21"/>
              </w:rPr>
              <w:t>31.70775</w:t>
            </w:r>
          </w:p>
        </w:tc>
        <w:tc>
          <w:tcPr>
            <w:tcW w:w="1693" w:type="dxa"/>
            <w:gridSpan w:val="2"/>
            <w:vAlign w:val="center"/>
          </w:tcPr>
          <w:p w14:paraId="79E2E875">
            <w:pPr>
              <w:spacing w:line="320" w:lineRule="exact"/>
              <w:jc w:val="center"/>
              <w:rPr>
                <w:rFonts w:ascii="Times New Roman" w:eastAsia="仿宋"/>
                <w:szCs w:val="21"/>
              </w:rPr>
            </w:pPr>
            <w:r>
              <w:rPr>
                <w:rFonts w:hint="eastAsia" w:ascii="Times New Roman" w:eastAsia="仿宋"/>
                <w:szCs w:val="21"/>
              </w:rPr>
              <w:t>约3200</w:t>
            </w:r>
          </w:p>
        </w:tc>
        <w:tc>
          <w:tcPr>
            <w:tcW w:w="1311" w:type="dxa"/>
            <w:gridSpan w:val="2"/>
            <w:vAlign w:val="center"/>
          </w:tcPr>
          <w:p w14:paraId="5A971496">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599E0E94">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4E320A7E">
            <w:pPr>
              <w:spacing w:line="320" w:lineRule="exact"/>
              <w:jc w:val="center"/>
              <w:rPr>
                <w:rFonts w:ascii="Times New Roman" w:eastAsia="仿宋"/>
                <w:szCs w:val="21"/>
              </w:rPr>
            </w:pPr>
          </w:p>
        </w:tc>
      </w:tr>
      <w:tr w14:paraId="65D4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205E57D">
            <w:pPr>
              <w:jc w:val="center"/>
              <w:rPr>
                <w:rFonts w:ascii="Times New Roman" w:eastAsia="仿宋"/>
                <w:szCs w:val="21"/>
              </w:rPr>
            </w:pPr>
          </w:p>
        </w:tc>
        <w:tc>
          <w:tcPr>
            <w:tcW w:w="2130" w:type="dxa"/>
            <w:vAlign w:val="center"/>
          </w:tcPr>
          <w:p w14:paraId="30AD1900">
            <w:pPr>
              <w:spacing w:line="320" w:lineRule="exact"/>
              <w:jc w:val="center"/>
              <w:rPr>
                <w:rFonts w:ascii="Times New Roman" w:eastAsia="仿宋"/>
                <w:szCs w:val="21"/>
              </w:rPr>
            </w:pPr>
            <w:r>
              <w:rPr>
                <w:rFonts w:hint="eastAsia" w:ascii="Times New Roman" w:eastAsia="仿宋"/>
                <w:szCs w:val="21"/>
              </w:rPr>
              <w:t>东坝头</w:t>
            </w:r>
          </w:p>
        </w:tc>
        <w:tc>
          <w:tcPr>
            <w:tcW w:w="1559" w:type="dxa"/>
            <w:vAlign w:val="center"/>
          </w:tcPr>
          <w:p w14:paraId="5E0012FE">
            <w:pPr>
              <w:spacing w:line="320" w:lineRule="exact"/>
              <w:jc w:val="center"/>
              <w:rPr>
                <w:rFonts w:ascii="Times New Roman" w:eastAsia="仿宋"/>
                <w:szCs w:val="21"/>
              </w:rPr>
            </w:pPr>
            <w:r>
              <w:rPr>
                <w:rFonts w:hint="eastAsia" w:ascii="Times New Roman" w:eastAsia="仿宋"/>
                <w:szCs w:val="21"/>
              </w:rPr>
              <w:t>119.45591</w:t>
            </w:r>
          </w:p>
        </w:tc>
        <w:tc>
          <w:tcPr>
            <w:tcW w:w="1390" w:type="dxa"/>
            <w:vAlign w:val="center"/>
          </w:tcPr>
          <w:p w14:paraId="41DBCB06">
            <w:pPr>
              <w:spacing w:line="320" w:lineRule="exact"/>
              <w:jc w:val="center"/>
              <w:rPr>
                <w:rFonts w:ascii="Times New Roman" w:eastAsia="仿宋"/>
                <w:szCs w:val="21"/>
              </w:rPr>
            </w:pPr>
            <w:r>
              <w:rPr>
                <w:rFonts w:hint="eastAsia" w:ascii="Times New Roman" w:eastAsia="仿宋"/>
                <w:szCs w:val="21"/>
              </w:rPr>
              <w:t>31.70406</w:t>
            </w:r>
          </w:p>
        </w:tc>
        <w:tc>
          <w:tcPr>
            <w:tcW w:w="1693" w:type="dxa"/>
            <w:gridSpan w:val="2"/>
            <w:vAlign w:val="center"/>
          </w:tcPr>
          <w:p w14:paraId="46CA2C56">
            <w:pPr>
              <w:spacing w:line="320" w:lineRule="exact"/>
              <w:jc w:val="center"/>
              <w:rPr>
                <w:rFonts w:ascii="Times New Roman" w:eastAsia="仿宋"/>
                <w:szCs w:val="21"/>
              </w:rPr>
            </w:pPr>
            <w:r>
              <w:rPr>
                <w:rFonts w:hint="eastAsia" w:ascii="Times New Roman" w:eastAsia="仿宋"/>
                <w:szCs w:val="21"/>
              </w:rPr>
              <w:t>约3200</w:t>
            </w:r>
          </w:p>
        </w:tc>
        <w:tc>
          <w:tcPr>
            <w:tcW w:w="1311" w:type="dxa"/>
            <w:gridSpan w:val="2"/>
            <w:vAlign w:val="center"/>
          </w:tcPr>
          <w:p w14:paraId="76349C76">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47D67EF0">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1C1C33DB">
            <w:pPr>
              <w:spacing w:line="320" w:lineRule="exact"/>
              <w:jc w:val="center"/>
              <w:rPr>
                <w:rFonts w:ascii="Times New Roman" w:eastAsia="仿宋"/>
                <w:szCs w:val="21"/>
              </w:rPr>
            </w:pPr>
          </w:p>
        </w:tc>
      </w:tr>
      <w:tr w14:paraId="006D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93D7A60">
            <w:pPr>
              <w:jc w:val="center"/>
              <w:rPr>
                <w:rFonts w:ascii="Times New Roman" w:eastAsia="仿宋"/>
                <w:szCs w:val="21"/>
              </w:rPr>
            </w:pPr>
          </w:p>
        </w:tc>
        <w:tc>
          <w:tcPr>
            <w:tcW w:w="2130" w:type="dxa"/>
            <w:vAlign w:val="center"/>
          </w:tcPr>
          <w:p w14:paraId="3B0FA61A">
            <w:pPr>
              <w:spacing w:line="320" w:lineRule="exact"/>
              <w:jc w:val="center"/>
              <w:rPr>
                <w:rFonts w:ascii="Times New Roman" w:eastAsia="仿宋"/>
                <w:szCs w:val="21"/>
              </w:rPr>
            </w:pPr>
            <w:r>
              <w:rPr>
                <w:rFonts w:hint="eastAsia" w:ascii="Times New Roman" w:eastAsia="仿宋"/>
                <w:szCs w:val="21"/>
              </w:rPr>
              <w:t>刘家村</w:t>
            </w:r>
          </w:p>
        </w:tc>
        <w:tc>
          <w:tcPr>
            <w:tcW w:w="1559" w:type="dxa"/>
            <w:vAlign w:val="center"/>
          </w:tcPr>
          <w:p w14:paraId="3E24DE4A">
            <w:pPr>
              <w:spacing w:line="320" w:lineRule="exact"/>
              <w:jc w:val="center"/>
              <w:rPr>
                <w:rFonts w:ascii="Times New Roman" w:eastAsia="仿宋"/>
                <w:szCs w:val="21"/>
              </w:rPr>
            </w:pPr>
            <w:r>
              <w:rPr>
                <w:rFonts w:hint="eastAsia" w:ascii="Times New Roman" w:eastAsia="仿宋"/>
                <w:szCs w:val="21"/>
              </w:rPr>
              <w:t>119.46695</w:t>
            </w:r>
          </w:p>
        </w:tc>
        <w:tc>
          <w:tcPr>
            <w:tcW w:w="1390" w:type="dxa"/>
            <w:vAlign w:val="center"/>
          </w:tcPr>
          <w:p w14:paraId="0A299856">
            <w:pPr>
              <w:spacing w:line="320" w:lineRule="exact"/>
              <w:jc w:val="center"/>
              <w:rPr>
                <w:rFonts w:ascii="Times New Roman" w:eastAsia="仿宋"/>
                <w:szCs w:val="21"/>
              </w:rPr>
            </w:pPr>
            <w:r>
              <w:rPr>
                <w:rFonts w:hint="eastAsia" w:ascii="Times New Roman" w:eastAsia="仿宋"/>
                <w:szCs w:val="21"/>
              </w:rPr>
              <w:t>31.71652</w:t>
            </w:r>
          </w:p>
        </w:tc>
        <w:tc>
          <w:tcPr>
            <w:tcW w:w="1693" w:type="dxa"/>
            <w:gridSpan w:val="2"/>
            <w:vAlign w:val="center"/>
          </w:tcPr>
          <w:p w14:paraId="49AF7167">
            <w:pPr>
              <w:spacing w:line="320" w:lineRule="exact"/>
              <w:jc w:val="center"/>
              <w:rPr>
                <w:rFonts w:ascii="Times New Roman" w:eastAsia="仿宋"/>
                <w:szCs w:val="21"/>
              </w:rPr>
            </w:pPr>
            <w:r>
              <w:rPr>
                <w:rFonts w:hint="eastAsia" w:ascii="Times New Roman" w:eastAsia="仿宋"/>
                <w:szCs w:val="21"/>
              </w:rPr>
              <w:t>约3250</w:t>
            </w:r>
          </w:p>
        </w:tc>
        <w:tc>
          <w:tcPr>
            <w:tcW w:w="1311" w:type="dxa"/>
            <w:gridSpan w:val="2"/>
            <w:vAlign w:val="center"/>
          </w:tcPr>
          <w:p w14:paraId="71BE95D5">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330B3FD2">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54FF62D4">
            <w:pPr>
              <w:spacing w:line="320" w:lineRule="exact"/>
              <w:jc w:val="center"/>
              <w:rPr>
                <w:rFonts w:ascii="Times New Roman" w:eastAsia="仿宋"/>
                <w:szCs w:val="21"/>
              </w:rPr>
            </w:pPr>
          </w:p>
        </w:tc>
      </w:tr>
      <w:tr w14:paraId="6A91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3206DE4">
            <w:pPr>
              <w:jc w:val="center"/>
              <w:rPr>
                <w:rFonts w:ascii="Times New Roman" w:eastAsia="仿宋"/>
                <w:szCs w:val="21"/>
              </w:rPr>
            </w:pPr>
          </w:p>
        </w:tc>
        <w:tc>
          <w:tcPr>
            <w:tcW w:w="2130" w:type="dxa"/>
            <w:vAlign w:val="center"/>
          </w:tcPr>
          <w:p w14:paraId="0DAB0EB3">
            <w:pPr>
              <w:spacing w:line="320" w:lineRule="exact"/>
              <w:jc w:val="center"/>
              <w:rPr>
                <w:rFonts w:ascii="Times New Roman" w:eastAsia="仿宋"/>
                <w:szCs w:val="21"/>
              </w:rPr>
            </w:pPr>
            <w:r>
              <w:rPr>
                <w:rFonts w:hint="eastAsia" w:ascii="Times New Roman" w:eastAsia="仿宋"/>
                <w:szCs w:val="21"/>
              </w:rPr>
              <w:t>北庄</w:t>
            </w:r>
          </w:p>
        </w:tc>
        <w:tc>
          <w:tcPr>
            <w:tcW w:w="1559" w:type="dxa"/>
            <w:vAlign w:val="center"/>
          </w:tcPr>
          <w:p w14:paraId="4D4856D5">
            <w:pPr>
              <w:spacing w:line="320" w:lineRule="exact"/>
              <w:jc w:val="center"/>
              <w:rPr>
                <w:rFonts w:ascii="Times New Roman" w:eastAsia="仿宋"/>
                <w:szCs w:val="21"/>
              </w:rPr>
            </w:pPr>
            <w:r>
              <w:rPr>
                <w:rFonts w:hint="eastAsia" w:ascii="Times New Roman" w:eastAsia="仿宋"/>
                <w:szCs w:val="21"/>
              </w:rPr>
              <w:t>119.44285</w:t>
            </w:r>
          </w:p>
        </w:tc>
        <w:tc>
          <w:tcPr>
            <w:tcW w:w="1390" w:type="dxa"/>
            <w:vAlign w:val="center"/>
          </w:tcPr>
          <w:p w14:paraId="259C7736">
            <w:pPr>
              <w:spacing w:line="320" w:lineRule="exact"/>
              <w:jc w:val="center"/>
              <w:rPr>
                <w:rFonts w:ascii="Times New Roman" w:eastAsia="仿宋"/>
                <w:szCs w:val="21"/>
              </w:rPr>
            </w:pPr>
            <w:r>
              <w:rPr>
                <w:rFonts w:hint="eastAsia" w:ascii="Times New Roman" w:eastAsia="仿宋"/>
                <w:szCs w:val="21"/>
              </w:rPr>
              <w:t>31.69733</w:t>
            </w:r>
          </w:p>
        </w:tc>
        <w:tc>
          <w:tcPr>
            <w:tcW w:w="1693" w:type="dxa"/>
            <w:gridSpan w:val="2"/>
            <w:vAlign w:val="center"/>
          </w:tcPr>
          <w:p w14:paraId="3F1F202E">
            <w:pPr>
              <w:spacing w:line="320" w:lineRule="exact"/>
              <w:jc w:val="center"/>
              <w:rPr>
                <w:rFonts w:ascii="Times New Roman" w:eastAsia="仿宋"/>
                <w:szCs w:val="21"/>
              </w:rPr>
            </w:pPr>
            <w:r>
              <w:rPr>
                <w:rFonts w:hint="eastAsia" w:ascii="Times New Roman" w:eastAsia="仿宋"/>
                <w:szCs w:val="21"/>
              </w:rPr>
              <w:t>约3400</w:t>
            </w:r>
          </w:p>
        </w:tc>
        <w:tc>
          <w:tcPr>
            <w:tcW w:w="1311" w:type="dxa"/>
            <w:gridSpan w:val="2"/>
            <w:vAlign w:val="center"/>
          </w:tcPr>
          <w:p w14:paraId="44A49FBA">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2653D10A">
            <w:pPr>
              <w:spacing w:line="320" w:lineRule="exact"/>
              <w:jc w:val="center"/>
              <w:rPr>
                <w:rFonts w:ascii="Times New Roman" w:eastAsia="仿宋"/>
                <w:szCs w:val="21"/>
              </w:rPr>
            </w:pPr>
            <w:r>
              <w:rPr>
                <w:rFonts w:hint="eastAsia" w:ascii="Times New Roman" w:eastAsia="仿宋"/>
                <w:szCs w:val="21"/>
              </w:rPr>
              <w:t>约600</w:t>
            </w:r>
          </w:p>
        </w:tc>
        <w:tc>
          <w:tcPr>
            <w:tcW w:w="2268" w:type="dxa"/>
            <w:vMerge w:val="continue"/>
          </w:tcPr>
          <w:p w14:paraId="7C8EE8D7">
            <w:pPr>
              <w:spacing w:line="320" w:lineRule="exact"/>
              <w:jc w:val="center"/>
              <w:rPr>
                <w:rFonts w:ascii="Times New Roman" w:eastAsia="仿宋"/>
                <w:szCs w:val="21"/>
              </w:rPr>
            </w:pPr>
          </w:p>
        </w:tc>
      </w:tr>
      <w:tr w14:paraId="0CEF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07AE128">
            <w:pPr>
              <w:jc w:val="center"/>
              <w:rPr>
                <w:rFonts w:ascii="Times New Roman" w:eastAsia="仿宋"/>
                <w:szCs w:val="21"/>
              </w:rPr>
            </w:pPr>
          </w:p>
        </w:tc>
        <w:tc>
          <w:tcPr>
            <w:tcW w:w="2130" w:type="dxa"/>
            <w:vAlign w:val="center"/>
          </w:tcPr>
          <w:p w14:paraId="5F0BA7CA">
            <w:pPr>
              <w:spacing w:line="320" w:lineRule="exact"/>
              <w:jc w:val="center"/>
              <w:rPr>
                <w:rFonts w:ascii="Times New Roman" w:eastAsia="仿宋"/>
                <w:szCs w:val="21"/>
              </w:rPr>
            </w:pPr>
            <w:r>
              <w:rPr>
                <w:rFonts w:hint="eastAsia" w:ascii="Times New Roman" w:eastAsia="仿宋"/>
                <w:szCs w:val="21"/>
              </w:rPr>
              <w:t>江北村</w:t>
            </w:r>
          </w:p>
        </w:tc>
        <w:tc>
          <w:tcPr>
            <w:tcW w:w="1559" w:type="dxa"/>
            <w:vAlign w:val="center"/>
          </w:tcPr>
          <w:p w14:paraId="6DDFF102">
            <w:pPr>
              <w:spacing w:line="320" w:lineRule="exact"/>
              <w:jc w:val="center"/>
              <w:rPr>
                <w:rFonts w:ascii="Times New Roman" w:eastAsia="仿宋"/>
                <w:szCs w:val="21"/>
              </w:rPr>
            </w:pPr>
            <w:r>
              <w:rPr>
                <w:rFonts w:hint="eastAsia" w:ascii="Times New Roman" w:eastAsia="仿宋"/>
                <w:szCs w:val="21"/>
              </w:rPr>
              <w:t>119.47152</w:t>
            </w:r>
          </w:p>
        </w:tc>
        <w:tc>
          <w:tcPr>
            <w:tcW w:w="1390" w:type="dxa"/>
            <w:vAlign w:val="center"/>
          </w:tcPr>
          <w:p w14:paraId="7DF0D99F">
            <w:pPr>
              <w:spacing w:line="320" w:lineRule="exact"/>
              <w:jc w:val="center"/>
              <w:rPr>
                <w:rFonts w:ascii="Times New Roman" w:eastAsia="仿宋"/>
                <w:szCs w:val="21"/>
              </w:rPr>
            </w:pPr>
            <w:r>
              <w:rPr>
                <w:rFonts w:hint="eastAsia" w:ascii="Times New Roman" w:eastAsia="仿宋"/>
                <w:szCs w:val="21"/>
              </w:rPr>
              <w:t>31.71759</w:t>
            </w:r>
          </w:p>
        </w:tc>
        <w:tc>
          <w:tcPr>
            <w:tcW w:w="1693" w:type="dxa"/>
            <w:gridSpan w:val="2"/>
            <w:vAlign w:val="center"/>
          </w:tcPr>
          <w:p w14:paraId="47C238AB">
            <w:pPr>
              <w:spacing w:line="320" w:lineRule="exact"/>
              <w:jc w:val="center"/>
              <w:rPr>
                <w:rFonts w:ascii="Times New Roman" w:eastAsia="仿宋"/>
                <w:szCs w:val="21"/>
              </w:rPr>
            </w:pPr>
            <w:r>
              <w:rPr>
                <w:rFonts w:hint="eastAsia" w:ascii="Times New Roman" w:eastAsia="仿宋"/>
                <w:szCs w:val="21"/>
              </w:rPr>
              <w:t>约3600</w:t>
            </w:r>
          </w:p>
        </w:tc>
        <w:tc>
          <w:tcPr>
            <w:tcW w:w="1311" w:type="dxa"/>
            <w:gridSpan w:val="2"/>
            <w:vAlign w:val="center"/>
          </w:tcPr>
          <w:p w14:paraId="64E4AD4F">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67166FA6">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712A47D0">
            <w:pPr>
              <w:spacing w:line="320" w:lineRule="exact"/>
              <w:jc w:val="center"/>
              <w:rPr>
                <w:rFonts w:ascii="Times New Roman" w:eastAsia="仿宋"/>
                <w:szCs w:val="21"/>
              </w:rPr>
            </w:pPr>
          </w:p>
        </w:tc>
      </w:tr>
      <w:tr w14:paraId="5237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3A52FB9">
            <w:pPr>
              <w:jc w:val="center"/>
              <w:rPr>
                <w:rFonts w:ascii="Times New Roman" w:eastAsia="仿宋"/>
                <w:szCs w:val="21"/>
              </w:rPr>
            </w:pPr>
          </w:p>
        </w:tc>
        <w:tc>
          <w:tcPr>
            <w:tcW w:w="2130" w:type="dxa"/>
            <w:vAlign w:val="center"/>
          </w:tcPr>
          <w:p w14:paraId="02EDFF03">
            <w:pPr>
              <w:spacing w:line="320" w:lineRule="exact"/>
              <w:jc w:val="center"/>
              <w:rPr>
                <w:rFonts w:ascii="Times New Roman" w:eastAsia="仿宋"/>
                <w:szCs w:val="21"/>
              </w:rPr>
            </w:pPr>
            <w:r>
              <w:rPr>
                <w:rFonts w:hint="eastAsia" w:ascii="Times New Roman" w:eastAsia="仿宋"/>
                <w:szCs w:val="21"/>
              </w:rPr>
              <w:t>范家村</w:t>
            </w:r>
          </w:p>
        </w:tc>
        <w:tc>
          <w:tcPr>
            <w:tcW w:w="1559" w:type="dxa"/>
            <w:vAlign w:val="center"/>
          </w:tcPr>
          <w:p w14:paraId="6A1B2503">
            <w:pPr>
              <w:spacing w:line="320" w:lineRule="exact"/>
              <w:jc w:val="center"/>
              <w:rPr>
                <w:rFonts w:ascii="Times New Roman" w:eastAsia="仿宋"/>
                <w:szCs w:val="21"/>
              </w:rPr>
            </w:pPr>
            <w:r>
              <w:rPr>
                <w:rFonts w:hint="eastAsia" w:ascii="Times New Roman" w:eastAsia="仿宋"/>
                <w:szCs w:val="21"/>
              </w:rPr>
              <w:t>119.46465</w:t>
            </w:r>
          </w:p>
        </w:tc>
        <w:tc>
          <w:tcPr>
            <w:tcW w:w="1390" w:type="dxa"/>
            <w:vAlign w:val="center"/>
          </w:tcPr>
          <w:p w14:paraId="356E9D9C">
            <w:pPr>
              <w:spacing w:line="320" w:lineRule="exact"/>
              <w:jc w:val="center"/>
              <w:rPr>
                <w:rFonts w:ascii="Times New Roman" w:eastAsia="仿宋"/>
                <w:szCs w:val="21"/>
              </w:rPr>
            </w:pPr>
            <w:r>
              <w:rPr>
                <w:rFonts w:hint="eastAsia" w:ascii="Times New Roman" w:eastAsia="仿宋"/>
                <w:szCs w:val="21"/>
              </w:rPr>
              <w:t>31.70659</w:t>
            </w:r>
          </w:p>
        </w:tc>
        <w:tc>
          <w:tcPr>
            <w:tcW w:w="1693" w:type="dxa"/>
            <w:gridSpan w:val="2"/>
            <w:vAlign w:val="center"/>
          </w:tcPr>
          <w:p w14:paraId="1A15CB21">
            <w:pPr>
              <w:spacing w:line="320" w:lineRule="exact"/>
              <w:jc w:val="center"/>
              <w:rPr>
                <w:rFonts w:ascii="Times New Roman" w:eastAsia="仿宋"/>
                <w:szCs w:val="21"/>
              </w:rPr>
            </w:pPr>
            <w:r>
              <w:rPr>
                <w:rFonts w:hint="eastAsia" w:ascii="Times New Roman" w:eastAsia="仿宋"/>
                <w:szCs w:val="21"/>
              </w:rPr>
              <w:t>约3650</w:t>
            </w:r>
          </w:p>
        </w:tc>
        <w:tc>
          <w:tcPr>
            <w:tcW w:w="1311" w:type="dxa"/>
            <w:gridSpan w:val="2"/>
            <w:vAlign w:val="center"/>
          </w:tcPr>
          <w:p w14:paraId="71142667">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3FD0795F">
            <w:pPr>
              <w:spacing w:line="320" w:lineRule="exact"/>
              <w:jc w:val="center"/>
              <w:rPr>
                <w:rFonts w:ascii="Times New Roman" w:eastAsia="仿宋"/>
                <w:szCs w:val="21"/>
              </w:rPr>
            </w:pPr>
            <w:r>
              <w:rPr>
                <w:rFonts w:hint="eastAsia" w:ascii="Times New Roman" w:eastAsia="仿宋"/>
                <w:szCs w:val="21"/>
              </w:rPr>
              <w:t>约384</w:t>
            </w:r>
          </w:p>
        </w:tc>
        <w:tc>
          <w:tcPr>
            <w:tcW w:w="2268" w:type="dxa"/>
            <w:vMerge w:val="continue"/>
          </w:tcPr>
          <w:p w14:paraId="57ED9662">
            <w:pPr>
              <w:spacing w:line="320" w:lineRule="exact"/>
              <w:jc w:val="center"/>
              <w:rPr>
                <w:rFonts w:ascii="Times New Roman" w:eastAsia="仿宋"/>
                <w:szCs w:val="21"/>
              </w:rPr>
            </w:pPr>
          </w:p>
        </w:tc>
      </w:tr>
      <w:tr w14:paraId="203E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C195DB4">
            <w:pPr>
              <w:jc w:val="center"/>
              <w:rPr>
                <w:rFonts w:ascii="Times New Roman" w:eastAsia="仿宋"/>
                <w:szCs w:val="21"/>
              </w:rPr>
            </w:pPr>
          </w:p>
        </w:tc>
        <w:tc>
          <w:tcPr>
            <w:tcW w:w="2130" w:type="dxa"/>
            <w:vAlign w:val="center"/>
          </w:tcPr>
          <w:p w14:paraId="2E23D12A">
            <w:pPr>
              <w:spacing w:line="320" w:lineRule="exact"/>
              <w:jc w:val="center"/>
              <w:rPr>
                <w:rFonts w:ascii="Times New Roman" w:eastAsia="仿宋"/>
                <w:szCs w:val="21"/>
              </w:rPr>
            </w:pPr>
            <w:r>
              <w:rPr>
                <w:rFonts w:hint="eastAsia" w:ascii="Times New Roman" w:eastAsia="仿宋"/>
                <w:szCs w:val="21"/>
              </w:rPr>
              <w:t>南河村</w:t>
            </w:r>
          </w:p>
        </w:tc>
        <w:tc>
          <w:tcPr>
            <w:tcW w:w="1559" w:type="dxa"/>
            <w:vAlign w:val="center"/>
          </w:tcPr>
          <w:p w14:paraId="11747F25">
            <w:pPr>
              <w:spacing w:line="320" w:lineRule="exact"/>
              <w:jc w:val="center"/>
              <w:rPr>
                <w:rFonts w:ascii="Times New Roman" w:eastAsia="仿宋"/>
                <w:szCs w:val="21"/>
              </w:rPr>
            </w:pPr>
            <w:r>
              <w:rPr>
                <w:rFonts w:hint="eastAsia" w:ascii="Times New Roman" w:eastAsia="仿宋"/>
                <w:szCs w:val="21"/>
              </w:rPr>
              <w:t>119.46319</w:t>
            </w:r>
          </w:p>
        </w:tc>
        <w:tc>
          <w:tcPr>
            <w:tcW w:w="1390" w:type="dxa"/>
            <w:vAlign w:val="center"/>
          </w:tcPr>
          <w:p w14:paraId="1A8B2CC9">
            <w:pPr>
              <w:spacing w:line="320" w:lineRule="exact"/>
              <w:jc w:val="center"/>
              <w:rPr>
                <w:rFonts w:ascii="Times New Roman" w:eastAsia="仿宋"/>
                <w:szCs w:val="21"/>
              </w:rPr>
            </w:pPr>
            <w:r>
              <w:rPr>
                <w:rFonts w:hint="eastAsia" w:ascii="Times New Roman" w:eastAsia="仿宋"/>
                <w:szCs w:val="21"/>
              </w:rPr>
              <w:t>31.69777</w:t>
            </w:r>
          </w:p>
        </w:tc>
        <w:tc>
          <w:tcPr>
            <w:tcW w:w="1693" w:type="dxa"/>
            <w:gridSpan w:val="2"/>
            <w:vAlign w:val="center"/>
          </w:tcPr>
          <w:p w14:paraId="0CE64EE0">
            <w:pPr>
              <w:spacing w:line="320" w:lineRule="exact"/>
              <w:jc w:val="center"/>
              <w:rPr>
                <w:rFonts w:ascii="Times New Roman" w:eastAsia="仿宋"/>
                <w:szCs w:val="21"/>
              </w:rPr>
            </w:pPr>
            <w:r>
              <w:rPr>
                <w:rFonts w:hint="eastAsia" w:ascii="Times New Roman" w:eastAsia="仿宋"/>
                <w:szCs w:val="21"/>
              </w:rPr>
              <w:t>约4250</w:t>
            </w:r>
          </w:p>
        </w:tc>
        <w:tc>
          <w:tcPr>
            <w:tcW w:w="1311" w:type="dxa"/>
            <w:gridSpan w:val="2"/>
            <w:vAlign w:val="center"/>
          </w:tcPr>
          <w:p w14:paraId="2C212FC4">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17164C2E">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4344A8D1">
            <w:pPr>
              <w:spacing w:line="320" w:lineRule="exact"/>
              <w:jc w:val="center"/>
              <w:rPr>
                <w:rFonts w:ascii="Times New Roman" w:eastAsia="仿宋"/>
                <w:szCs w:val="21"/>
              </w:rPr>
            </w:pPr>
          </w:p>
        </w:tc>
      </w:tr>
      <w:tr w14:paraId="6958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759D2D2">
            <w:pPr>
              <w:jc w:val="center"/>
              <w:rPr>
                <w:rFonts w:ascii="Times New Roman" w:eastAsia="仿宋"/>
                <w:szCs w:val="21"/>
              </w:rPr>
            </w:pPr>
          </w:p>
        </w:tc>
        <w:tc>
          <w:tcPr>
            <w:tcW w:w="2130" w:type="dxa"/>
            <w:vAlign w:val="center"/>
          </w:tcPr>
          <w:p w14:paraId="31BBEB84">
            <w:pPr>
              <w:spacing w:line="320" w:lineRule="exact"/>
              <w:jc w:val="center"/>
              <w:rPr>
                <w:rFonts w:ascii="Times New Roman" w:eastAsia="仿宋"/>
                <w:szCs w:val="21"/>
              </w:rPr>
            </w:pPr>
            <w:r>
              <w:rPr>
                <w:rFonts w:hint="eastAsia" w:ascii="Times New Roman" w:eastAsia="仿宋"/>
                <w:szCs w:val="21"/>
              </w:rPr>
              <w:t>中河村</w:t>
            </w:r>
          </w:p>
        </w:tc>
        <w:tc>
          <w:tcPr>
            <w:tcW w:w="1559" w:type="dxa"/>
            <w:vAlign w:val="center"/>
          </w:tcPr>
          <w:p w14:paraId="065DB75C">
            <w:pPr>
              <w:spacing w:line="320" w:lineRule="exact"/>
              <w:jc w:val="center"/>
              <w:rPr>
                <w:rFonts w:ascii="Times New Roman" w:eastAsia="仿宋"/>
                <w:szCs w:val="21"/>
              </w:rPr>
            </w:pPr>
            <w:r>
              <w:rPr>
                <w:rFonts w:hint="eastAsia" w:ascii="Times New Roman" w:eastAsia="仿宋"/>
                <w:szCs w:val="21"/>
              </w:rPr>
              <w:t>119.46617</w:t>
            </w:r>
          </w:p>
        </w:tc>
        <w:tc>
          <w:tcPr>
            <w:tcW w:w="1390" w:type="dxa"/>
            <w:vAlign w:val="center"/>
          </w:tcPr>
          <w:p w14:paraId="543F1FD1">
            <w:pPr>
              <w:spacing w:line="320" w:lineRule="exact"/>
              <w:jc w:val="center"/>
              <w:rPr>
                <w:rFonts w:ascii="Times New Roman" w:eastAsia="仿宋"/>
                <w:szCs w:val="21"/>
              </w:rPr>
            </w:pPr>
            <w:r>
              <w:rPr>
                <w:rFonts w:hint="eastAsia" w:ascii="Times New Roman" w:eastAsia="仿宋"/>
                <w:szCs w:val="21"/>
              </w:rPr>
              <w:t>31.69876</w:t>
            </w:r>
          </w:p>
        </w:tc>
        <w:tc>
          <w:tcPr>
            <w:tcW w:w="1693" w:type="dxa"/>
            <w:gridSpan w:val="2"/>
            <w:vAlign w:val="center"/>
          </w:tcPr>
          <w:p w14:paraId="2EE77BB1">
            <w:pPr>
              <w:spacing w:line="320" w:lineRule="exact"/>
              <w:jc w:val="center"/>
              <w:rPr>
                <w:rFonts w:ascii="Times New Roman" w:eastAsia="仿宋"/>
                <w:szCs w:val="21"/>
              </w:rPr>
            </w:pPr>
            <w:r>
              <w:rPr>
                <w:rFonts w:hint="eastAsia" w:ascii="Times New Roman" w:eastAsia="仿宋"/>
                <w:szCs w:val="21"/>
              </w:rPr>
              <w:t>约4350</w:t>
            </w:r>
          </w:p>
        </w:tc>
        <w:tc>
          <w:tcPr>
            <w:tcW w:w="1311" w:type="dxa"/>
            <w:gridSpan w:val="2"/>
            <w:vAlign w:val="center"/>
          </w:tcPr>
          <w:p w14:paraId="600E4D45">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566D3C39">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11056F1F">
            <w:pPr>
              <w:spacing w:line="320" w:lineRule="exact"/>
              <w:jc w:val="center"/>
              <w:rPr>
                <w:rFonts w:ascii="Times New Roman" w:eastAsia="仿宋"/>
                <w:szCs w:val="21"/>
              </w:rPr>
            </w:pPr>
          </w:p>
        </w:tc>
      </w:tr>
      <w:tr w14:paraId="2F18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FB089FA">
            <w:pPr>
              <w:jc w:val="center"/>
              <w:rPr>
                <w:rFonts w:ascii="Times New Roman" w:eastAsia="仿宋"/>
                <w:szCs w:val="21"/>
              </w:rPr>
            </w:pPr>
          </w:p>
        </w:tc>
        <w:tc>
          <w:tcPr>
            <w:tcW w:w="2130" w:type="dxa"/>
            <w:vAlign w:val="center"/>
          </w:tcPr>
          <w:p w14:paraId="4844AF77">
            <w:pPr>
              <w:spacing w:line="320" w:lineRule="exact"/>
              <w:jc w:val="center"/>
              <w:rPr>
                <w:rFonts w:ascii="Times New Roman" w:eastAsia="仿宋"/>
                <w:szCs w:val="21"/>
              </w:rPr>
            </w:pPr>
            <w:r>
              <w:rPr>
                <w:rFonts w:hint="eastAsia" w:ascii="Times New Roman" w:eastAsia="仿宋"/>
                <w:szCs w:val="21"/>
              </w:rPr>
              <w:t>范家圩</w:t>
            </w:r>
          </w:p>
        </w:tc>
        <w:tc>
          <w:tcPr>
            <w:tcW w:w="1559" w:type="dxa"/>
            <w:vAlign w:val="center"/>
          </w:tcPr>
          <w:p w14:paraId="394D96D1">
            <w:pPr>
              <w:spacing w:line="320" w:lineRule="exact"/>
              <w:jc w:val="center"/>
              <w:rPr>
                <w:rFonts w:ascii="Times New Roman" w:eastAsia="仿宋"/>
                <w:szCs w:val="21"/>
              </w:rPr>
            </w:pPr>
            <w:r>
              <w:rPr>
                <w:rFonts w:hint="eastAsia" w:ascii="Times New Roman" w:eastAsia="仿宋"/>
                <w:szCs w:val="21"/>
              </w:rPr>
              <w:t>119.47430</w:t>
            </w:r>
          </w:p>
        </w:tc>
        <w:tc>
          <w:tcPr>
            <w:tcW w:w="1390" w:type="dxa"/>
            <w:vAlign w:val="center"/>
          </w:tcPr>
          <w:p w14:paraId="6BABFCFE">
            <w:pPr>
              <w:spacing w:line="320" w:lineRule="exact"/>
              <w:jc w:val="center"/>
              <w:rPr>
                <w:rFonts w:ascii="Times New Roman" w:eastAsia="仿宋"/>
                <w:szCs w:val="21"/>
              </w:rPr>
            </w:pPr>
            <w:r>
              <w:rPr>
                <w:rFonts w:hint="eastAsia" w:ascii="Times New Roman" w:eastAsia="仿宋"/>
                <w:szCs w:val="21"/>
              </w:rPr>
              <w:t>31.70577</w:t>
            </w:r>
          </w:p>
        </w:tc>
        <w:tc>
          <w:tcPr>
            <w:tcW w:w="1693" w:type="dxa"/>
            <w:gridSpan w:val="2"/>
            <w:vAlign w:val="center"/>
          </w:tcPr>
          <w:p w14:paraId="64F9CF76">
            <w:pPr>
              <w:spacing w:line="320" w:lineRule="exact"/>
              <w:jc w:val="center"/>
              <w:rPr>
                <w:rFonts w:ascii="Times New Roman" w:eastAsia="仿宋"/>
                <w:szCs w:val="21"/>
              </w:rPr>
            </w:pPr>
            <w:r>
              <w:rPr>
                <w:rFonts w:hint="eastAsia" w:ascii="Times New Roman" w:eastAsia="仿宋"/>
                <w:szCs w:val="21"/>
              </w:rPr>
              <w:t>约4450</w:t>
            </w:r>
          </w:p>
        </w:tc>
        <w:tc>
          <w:tcPr>
            <w:tcW w:w="1311" w:type="dxa"/>
            <w:gridSpan w:val="2"/>
            <w:vAlign w:val="center"/>
          </w:tcPr>
          <w:p w14:paraId="72E1ACD2">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67C207EE">
            <w:pPr>
              <w:spacing w:line="320" w:lineRule="exact"/>
              <w:jc w:val="center"/>
              <w:rPr>
                <w:rFonts w:ascii="Times New Roman" w:eastAsia="仿宋"/>
                <w:szCs w:val="21"/>
              </w:rPr>
            </w:pPr>
            <w:r>
              <w:rPr>
                <w:rFonts w:hint="eastAsia" w:ascii="Times New Roman" w:eastAsia="仿宋"/>
                <w:szCs w:val="21"/>
              </w:rPr>
              <w:t>约312</w:t>
            </w:r>
          </w:p>
        </w:tc>
        <w:tc>
          <w:tcPr>
            <w:tcW w:w="2268" w:type="dxa"/>
            <w:vMerge w:val="continue"/>
          </w:tcPr>
          <w:p w14:paraId="151DB4B4">
            <w:pPr>
              <w:spacing w:line="320" w:lineRule="exact"/>
              <w:jc w:val="center"/>
              <w:rPr>
                <w:rFonts w:ascii="Times New Roman" w:eastAsia="仿宋"/>
                <w:szCs w:val="21"/>
              </w:rPr>
            </w:pPr>
          </w:p>
        </w:tc>
      </w:tr>
      <w:tr w14:paraId="1D79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E8C546D">
            <w:pPr>
              <w:jc w:val="center"/>
              <w:rPr>
                <w:rFonts w:ascii="Times New Roman" w:eastAsia="仿宋"/>
                <w:szCs w:val="21"/>
              </w:rPr>
            </w:pPr>
          </w:p>
        </w:tc>
        <w:tc>
          <w:tcPr>
            <w:tcW w:w="2130" w:type="dxa"/>
            <w:vAlign w:val="center"/>
          </w:tcPr>
          <w:p w14:paraId="3895DEF3">
            <w:pPr>
              <w:spacing w:line="320" w:lineRule="exact"/>
              <w:jc w:val="center"/>
              <w:rPr>
                <w:rFonts w:ascii="Times New Roman" w:eastAsia="仿宋"/>
                <w:szCs w:val="21"/>
              </w:rPr>
            </w:pPr>
            <w:r>
              <w:rPr>
                <w:rFonts w:hint="eastAsia" w:ascii="Times New Roman" w:eastAsia="仿宋"/>
                <w:szCs w:val="21"/>
              </w:rPr>
              <w:t>土山村</w:t>
            </w:r>
          </w:p>
        </w:tc>
        <w:tc>
          <w:tcPr>
            <w:tcW w:w="1559" w:type="dxa"/>
            <w:vAlign w:val="center"/>
          </w:tcPr>
          <w:p w14:paraId="7E008F13">
            <w:pPr>
              <w:spacing w:line="320" w:lineRule="exact"/>
              <w:jc w:val="center"/>
              <w:rPr>
                <w:rFonts w:ascii="Times New Roman" w:eastAsia="仿宋"/>
                <w:szCs w:val="21"/>
              </w:rPr>
            </w:pPr>
            <w:r>
              <w:rPr>
                <w:rFonts w:hint="eastAsia" w:ascii="Times New Roman" w:eastAsia="仿宋"/>
                <w:szCs w:val="21"/>
              </w:rPr>
              <w:t>119.45087</w:t>
            </w:r>
          </w:p>
        </w:tc>
        <w:tc>
          <w:tcPr>
            <w:tcW w:w="1390" w:type="dxa"/>
            <w:vAlign w:val="center"/>
          </w:tcPr>
          <w:p w14:paraId="45B531D6">
            <w:pPr>
              <w:spacing w:line="320" w:lineRule="exact"/>
              <w:jc w:val="center"/>
              <w:rPr>
                <w:rFonts w:ascii="Times New Roman" w:eastAsia="仿宋"/>
                <w:szCs w:val="21"/>
              </w:rPr>
            </w:pPr>
            <w:r>
              <w:rPr>
                <w:rFonts w:hint="eastAsia" w:ascii="Times New Roman" w:eastAsia="仿宋"/>
                <w:szCs w:val="21"/>
              </w:rPr>
              <w:t>31.68989</w:t>
            </w:r>
          </w:p>
        </w:tc>
        <w:tc>
          <w:tcPr>
            <w:tcW w:w="1693" w:type="dxa"/>
            <w:gridSpan w:val="2"/>
            <w:vAlign w:val="center"/>
          </w:tcPr>
          <w:p w14:paraId="192C0141">
            <w:pPr>
              <w:spacing w:line="320" w:lineRule="exact"/>
              <w:jc w:val="center"/>
              <w:rPr>
                <w:rFonts w:ascii="Times New Roman" w:eastAsia="仿宋"/>
                <w:szCs w:val="21"/>
              </w:rPr>
            </w:pPr>
            <w:r>
              <w:rPr>
                <w:rFonts w:hint="eastAsia" w:ascii="Times New Roman" w:eastAsia="仿宋"/>
                <w:szCs w:val="21"/>
              </w:rPr>
              <w:t>约4450</w:t>
            </w:r>
          </w:p>
        </w:tc>
        <w:tc>
          <w:tcPr>
            <w:tcW w:w="1311" w:type="dxa"/>
            <w:gridSpan w:val="2"/>
            <w:vAlign w:val="center"/>
          </w:tcPr>
          <w:p w14:paraId="0E9BC4BC">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61AD0119">
            <w:pPr>
              <w:spacing w:line="320" w:lineRule="exact"/>
              <w:jc w:val="center"/>
              <w:rPr>
                <w:rFonts w:ascii="Times New Roman" w:eastAsia="仿宋"/>
                <w:szCs w:val="21"/>
              </w:rPr>
            </w:pPr>
            <w:r>
              <w:rPr>
                <w:rFonts w:hint="eastAsia" w:ascii="Times New Roman" w:eastAsia="仿宋"/>
                <w:szCs w:val="21"/>
              </w:rPr>
              <w:t>约660</w:t>
            </w:r>
          </w:p>
        </w:tc>
        <w:tc>
          <w:tcPr>
            <w:tcW w:w="2268" w:type="dxa"/>
            <w:vMerge w:val="continue"/>
          </w:tcPr>
          <w:p w14:paraId="7B85A94B">
            <w:pPr>
              <w:spacing w:line="320" w:lineRule="exact"/>
              <w:jc w:val="center"/>
              <w:rPr>
                <w:rFonts w:ascii="Times New Roman" w:eastAsia="仿宋"/>
                <w:szCs w:val="21"/>
              </w:rPr>
            </w:pPr>
          </w:p>
        </w:tc>
      </w:tr>
      <w:tr w14:paraId="7F84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65F64BD">
            <w:pPr>
              <w:jc w:val="center"/>
              <w:rPr>
                <w:rFonts w:ascii="Times New Roman" w:eastAsia="仿宋"/>
                <w:szCs w:val="21"/>
              </w:rPr>
            </w:pPr>
          </w:p>
        </w:tc>
        <w:tc>
          <w:tcPr>
            <w:tcW w:w="2130" w:type="dxa"/>
            <w:vAlign w:val="center"/>
          </w:tcPr>
          <w:p w14:paraId="360F39A6">
            <w:pPr>
              <w:spacing w:line="320" w:lineRule="exact"/>
              <w:jc w:val="center"/>
              <w:rPr>
                <w:rFonts w:ascii="Times New Roman" w:eastAsia="仿宋"/>
                <w:szCs w:val="21"/>
              </w:rPr>
            </w:pPr>
            <w:r>
              <w:rPr>
                <w:rFonts w:hint="eastAsia" w:ascii="Times New Roman" w:eastAsia="仿宋"/>
                <w:szCs w:val="21"/>
              </w:rPr>
              <w:t>火烧圩</w:t>
            </w:r>
          </w:p>
        </w:tc>
        <w:tc>
          <w:tcPr>
            <w:tcW w:w="1559" w:type="dxa"/>
            <w:vAlign w:val="center"/>
          </w:tcPr>
          <w:p w14:paraId="6E0ADB98">
            <w:pPr>
              <w:spacing w:line="320" w:lineRule="exact"/>
              <w:jc w:val="center"/>
              <w:rPr>
                <w:rFonts w:ascii="Times New Roman" w:eastAsia="仿宋"/>
                <w:szCs w:val="21"/>
              </w:rPr>
            </w:pPr>
            <w:r>
              <w:rPr>
                <w:rFonts w:hint="eastAsia" w:ascii="Times New Roman" w:eastAsia="仿宋"/>
                <w:szCs w:val="21"/>
              </w:rPr>
              <w:t>119.48098</w:t>
            </w:r>
          </w:p>
        </w:tc>
        <w:tc>
          <w:tcPr>
            <w:tcW w:w="1390" w:type="dxa"/>
            <w:vAlign w:val="center"/>
          </w:tcPr>
          <w:p w14:paraId="36D59CD2">
            <w:pPr>
              <w:spacing w:line="320" w:lineRule="exact"/>
              <w:jc w:val="center"/>
              <w:rPr>
                <w:rFonts w:ascii="Times New Roman" w:eastAsia="仿宋"/>
                <w:szCs w:val="21"/>
              </w:rPr>
            </w:pPr>
            <w:r>
              <w:rPr>
                <w:rFonts w:hint="eastAsia" w:ascii="Times New Roman" w:eastAsia="仿宋"/>
                <w:szCs w:val="21"/>
              </w:rPr>
              <w:t>31.71368</w:t>
            </w:r>
          </w:p>
        </w:tc>
        <w:tc>
          <w:tcPr>
            <w:tcW w:w="1693" w:type="dxa"/>
            <w:gridSpan w:val="2"/>
            <w:vAlign w:val="center"/>
          </w:tcPr>
          <w:p w14:paraId="0ECD7B6C">
            <w:pPr>
              <w:spacing w:line="320" w:lineRule="exact"/>
              <w:jc w:val="center"/>
              <w:rPr>
                <w:rFonts w:ascii="Times New Roman" w:eastAsia="仿宋"/>
                <w:szCs w:val="21"/>
              </w:rPr>
            </w:pPr>
            <w:r>
              <w:rPr>
                <w:rFonts w:hint="eastAsia" w:ascii="Times New Roman" w:eastAsia="仿宋"/>
                <w:szCs w:val="21"/>
              </w:rPr>
              <w:t>约4550</w:t>
            </w:r>
          </w:p>
        </w:tc>
        <w:tc>
          <w:tcPr>
            <w:tcW w:w="1311" w:type="dxa"/>
            <w:gridSpan w:val="2"/>
            <w:vAlign w:val="center"/>
          </w:tcPr>
          <w:p w14:paraId="7F08030B">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3BCDE52F">
            <w:pPr>
              <w:spacing w:line="320" w:lineRule="exact"/>
              <w:jc w:val="center"/>
              <w:rPr>
                <w:rFonts w:ascii="Times New Roman" w:eastAsia="仿宋"/>
                <w:szCs w:val="21"/>
              </w:rPr>
            </w:pPr>
            <w:r>
              <w:rPr>
                <w:rFonts w:hint="eastAsia" w:ascii="Times New Roman" w:eastAsia="仿宋"/>
                <w:szCs w:val="21"/>
              </w:rPr>
              <w:t>约312</w:t>
            </w:r>
          </w:p>
        </w:tc>
        <w:tc>
          <w:tcPr>
            <w:tcW w:w="2268" w:type="dxa"/>
            <w:vMerge w:val="continue"/>
          </w:tcPr>
          <w:p w14:paraId="4F6BE3B5">
            <w:pPr>
              <w:spacing w:line="320" w:lineRule="exact"/>
              <w:jc w:val="center"/>
              <w:rPr>
                <w:rFonts w:ascii="Times New Roman" w:eastAsia="仿宋"/>
                <w:szCs w:val="21"/>
              </w:rPr>
            </w:pPr>
          </w:p>
        </w:tc>
      </w:tr>
      <w:tr w14:paraId="2E2C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B671662">
            <w:pPr>
              <w:jc w:val="center"/>
              <w:rPr>
                <w:rFonts w:ascii="Times New Roman" w:eastAsia="仿宋"/>
                <w:szCs w:val="21"/>
              </w:rPr>
            </w:pPr>
          </w:p>
        </w:tc>
        <w:tc>
          <w:tcPr>
            <w:tcW w:w="2130" w:type="dxa"/>
            <w:vAlign w:val="center"/>
          </w:tcPr>
          <w:p w14:paraId="35A72867">
            <w:pPr>
              <w:spacing w:line="320" w:lineRule="exact"/>
              <w:jc w:val="center"/>
              <w:rPr>
                <w:rFonts w:ascii="Times New Roman" w:eastAsia="仿宋"/>
                <w:szCs w:val="21"/>
              </w:rPr>
            </w:pPr>
            <w:r>
              <w:rPr>
                <w:rFonts w:hint="eastAsia" w:ascii="Times New Roman" w:eastAsia="仿宋"/>
                <w:szCs w:val="21"/>
              </w:rPr>
              <w:t>张家棚</w:t>
            </w:r>
          </w:p>
        </w:tc>
        <w:tc>
          <w:tcPr>
            <w:tcW w:w="1559" w:type="dxa"/>
            <w:vAlign w:val="center"/>
          </w:tcPr>
          <w:p w14:paraId="29C6D733">
            <w:pPr>
              <w:spacing w:line="320" w:lineRule="exact"/>
              <w:jc w:val="center"/>
              <w:rPr>
                <w:rFonts w:ascii="Times New Roman" w:eastAsia="仿宋"/>
                <w:szCs w:val="21"/>
              </w:rPr>
            </w:pPr>
            <w:r>
              <w:rPr>
                <w:rFonts w:hint="eastAsia" w:ascii="Times New Roman" w:eastAsia="仿宋"/>
                <w:szCs w:val="21"/>
              </w:rPr>
              <w:t>119.47798</w:t>
            </w:r>
          </w:p>
        </w:tc>
        <w:tc>
          <w:tcPr>
            <w:tcW w:w="1390" w:type="dxa"/>
            <w:vAlign w:val="center"/>
          </w:tcPr>
          <w:p w14:paraId="6B7C006B">
            <w:pPr>
              <w:spacing w:line="320" w:lineRule="exact"/>
              <w:jc w:val="center"/>
              <w:rPr>
                <w:rFonts w:ascii="Times New Roman" w:eastAsia="仿宋"/>
                <w:szCs w:val="21"/>
              </w:rPr>
            </w:pPr>
            <w:r>
              <w:rPr>
                <w:rFonts w:hint="eastAsia" w:ascii="Times New Roman" w:eastAsia="仿宋"/>
                <w:szCs w:val="21"/>
              </w:rPr>
              <w:t>31.70413</w:t>
            </w:r>
          </w:p>
        </w:tc>
        <w:tc>
          <w:tcPr>
            <w:tcW w:w="1693" w:type="dxa"/>
            <w:gridSpan w:val="2"/>
            <w:vAlign w:val="center"/>
          </w:tcPr>
          <w:p w14:paraId="3BD1DBBD">
            <w:pPr>
              <w:spacing w:line="320" w:lineRule="exact"/>
              <w:jc w:val="center"/>
              <w:rPr>
                <w:rFonts w:ascii="Times New Roman" w:eastAsia="仿宋"/>
                <w:szCs w:val="21"/>
              </w:rPr>
            </w:pPr>
            <w:r>
              <w:rPr>
                <w:rFonts w:hint="eastAsia" w:ascii="Times New Roman" w:eastAsia="仿宋"/>
                <w:szCs w:val="21"/>
              </w:rPr>
              <w:t>约4800</w:t>
            </w:r>
          </w:p>
        </w:tc>
        <w:tc>
          <w:tcPr>
            <w:tcW w:w="1311" w:type="dxa"/>
            <w:gridSpan w:val="2"/>
            <w:vAlign w:val="center"/>
          </w:tcPr>
          <w:p w14:paraId="00D6A892">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2ECBE91A">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2035E0AC">
            <w:pPr>
              <w:spacing w:line="320" w:lineRule="exact"/>
              <w:jc w:val="center"/>
              <w:rPr>
                <w:rFonts w:ascii="Times New Roman" w:eastAsia="仿宋"/>
                <w:szCs w:val="21"/>
              </w:rPr>
            </w:pPr>
          </w:p>
        </w:tc>
      </w:tr>
      <w:tr w14:paraId="49EB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6A58CC4">
            <w:pPr>
              <w:jc w:val="center"/>
              <w:rPr>
                <w:rFonts w:ascii="Times New Roman" w:eastAsia="仿宋"/>
                <w:szCs w:val="21"/>
              </w:rPr>
            </w:pPr>
          </w:p>
        </w:tc>
        <w:tc>
          <w:tcPr>
            <w:tcW w:w="2130" w:type="dxa"/>
            <w:vAlign w:val="center"/>
          </w:tcPr>
          <w:p w14:paraId="2360C70D">
            <w:pPr>
              <w:spacing w:line="320" w:lineRule="exact"/>
              <w:jc w:val="center"/>
              <w:rPr>
                <w:rFonts w:ascii="Times New Roman" w:eastAsia="仿宋"/>
                <w:szCs w:val="21"/>
              </w:rPr>
            </w:pPr>
            <w:r>
              <w:rPr>
                <w:rFonts w:hint="eastAsia" w:ascii="Times New Roman" w:eastAsia="仿宋"/>
                <w:szCs w:val="21"/>
              </w:rPr>
              <w:t>金坛区西岗小学</w:t>
            </w:r>
          </w:p>
        </w:tc>
        <w:tc>
          <w:tcPr>
            <w:tcW w:w="1559" w:type="dxa"/>
            <w:vAlign w:val="center"/>
          </w:tcPr>
          <w:p w14:paraId="67553D07">
            <w:pPr>
              <w:spacing w:line="320" w:lineRule="exact"/>
              <w:jc w:val="center"/>
              <w:rPr>
                <w:rFonts w:ascii="Times New Roman" w:eastAsia="仿宋"/>
                <w:szCs w:val="21"/>
              </w:rPr>
            </w:pPr>
            <w:r>
              <w:rPr>
                <w:rFonts w:hint="eastAsia" w:ascii="Times New Roman" w:eastAsia="仿宋"/>
                <w:szCs w:val="21"/>
              </w:rPr>
              <w:t>119.47370</w:t>
            </w:r>
          </w:p>
        </w:tc>
        <w:tc>
          <w:tcPr>
            <w:tcW w:w="1390" w:type="dxa"/>
            <w:vAlign w:val="center"/>
          </w:tcPr>
          <w:p w14:paraId="67C8E5E5">
            <w:pPr>
              <w:spacing w:line="320" w:lineRule="exact"/>
              <w:jc w:val="center"/>
              <w:rPr>
                <w:rFonts w:ascii="Times New Roman" w:eastAsia="仿宋"/>
                <w:szCs w:val="21"/>
              </w:rPr>
            </w:pPr>
            <w:r>
              <w:rPr>
                <w:rFonts w:hint="eastAsia" w:ascii="Times New Roman" w:eastAsia="仿宋"/>
                <w:szCs w:val="21"/>
              </w:rPr>
              <w:t>31.69883</w:t>
            </w:r>
          </w:p>
        </w:tc>
        <w:tc>
          <w:tcPr>
            <w:tcW w:w="1693" w:type="dxa"/>
            <w:gridSpan w:val="2"/>
            <w:vAlign w:val="center"/>
          </w:tcPr>
          <w:p w14:paraId="2FD75907">
            <w:pPr>
              <w:spacing w:line="320" w:lineRule="exact"/>
              <w:jc w:val="center"/>
              <w:rPr>
                <w:rFonts w:ascii="Times New Roman" w:eastAsia="仿宋"/>
                <w:szCs w:val="21"/>
              </w:rPr>
            </w:pPr>
            <w:r>
              <w:rPr>
                <w:rFonts w:hint="eastAsia" w:ascii="Times New Roman" w:eastAsia="仿宋"/>
                <w:szCs w:val="21"/>
              </w:rPr>
              <w:t>约4800</w:t>
            </w:r>
          </w:p>
        </w:tc>
        <w:tc>
          <w:tcPr>
            <w:tcW w:w="1311" w:type="dxa"/>
            <w:gridSpan w:val="2"/>
            <w:vAlign w:val="center"/>
          </w:tcPr>
          <w:p w14:paraId="13041F27">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125A3C03">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113BB982">
            <w:pPr>
              <w:spacing w:line="320" w:lineRule="exact"/>
              <w:jc w:val="center"/>
              <w:rPr>
                <w:rFonts w:ascii="Times New Roman" w:eastAsia="仿宋"/>
                <w:szCs w:val="21"/>
              </w:rPr>
            </w:pPr>
          </w:p>
        </w:tc>
      </w:tr>
      <w:tr w14:paraId="608E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1032161">
            <w:pPr>
              <w:jc w:val="center"/>
              <w:rPr>
                <w:rFonts w:ascii="Times New Roman" w:eastAsia="仿宋"/>
                <w:szCs w:val="21"/>
              </w:rPr>
            </w:pPr>
          </w:p>
        </w:tc>
        <w:tc>
          <w:tcPr>
            <w:tcW w:w="2130" w:type="dxa"/>
            <w:vAlign w:val="center"/>
          </w:tcPr>
          <w:p w14:paraId="3E77EB99">
            <w:pPr>
              <w:spacing w:line="320" w:lineRule="exact"/>
              <w:jc w:val="center"/>
              <w:rPr>
                <w:rFonts w:ascii="Times New Roman" w:eastAsia="仿宋"/>
                <w:szCs w:val="21"/>
              </w:rPr>
            </w:pPr>
            <w:r>
              <w:rPr>
                <w:rFonts w:hint="eastAsia" w:ascii="Times New Roman" w:eastAsia="仿宋"/>
                <w:szCs w:val="21"/>
              </w:rPr>
              <w:t>李家村</w:t>
            </w:r>
          </w:p>
        </w:tc>
        <w:tc>
          <w:tcPr>
            <w:tcW w:w="1559" w:type="dxa"/>
            <w:vAlign w:val="center"/>
          </w:tcPr>
          <w:p w14:paraId="2D306C05">
            <w:pPr>
              <w:spacing w:line="320" w:lineRule="exact"/>
              <w:jc w:val="center"/>
              <w:rPr>
                <w:rFonts w:ascii="Times New Roman" w:eastAsia="仿宋"/>
                <w:szCs w:val="21"/>
              </w:rPr>
            </w:pPr>
            <w:r>
              <w:rPr>
                <w:rFonts w:hint="eastAsia" w:ascii="Times New Roman" w:eastAsia="仿宋"/>
                <w:szCs w:val="21"/>
              </w:rPr>
              <w:t>119.46680</w:t>
            </w:r>
          </w:p>
        </w:tc>
        <w:tc>
          <w:tcPr>
            <w:tcW w:w="1390" w:type="dxa"/>
            <w:vAlign w:val="center"/>
          </w:tcPr>
          <w:p w14:paraId="49E638A2">
            <w:pPr>
              <w:spacing w:line="320" w:lineRule="exact"/>
              <w:jc w:val="center"/>
              <w:rPr>
                <w:rFonts w:ascii="Times New Roman" w:eastAsia="仿宋"/>
                <w:szCs w:val="21"/>
              </w:rPr>
            </w:pPr>
            <w:r>
              <w:rPr>
                <w:rFonts w:hint="eastAsia" w:ascii="Times New Roman" w:eastAsia="仿宋"/>
                <w:szCs w:val="21"/>
              </w:rPr>
              <w:t>31.69328</w:t>
            </w:r>
          </w:p>
        </w:tc>
        <w:tc>
          <w:tcPr>
            <w:tcW w:w="1693" w:type="dxa"/>
            <w:gridSpan w:val="2"/>
            <w:vAlign w:val="center"/>
          </w:tcPr>
          <w:p w14:paraId="0BA24426">
            <w:pPr>
              <w:spacing w:line="320" w:lineRule="exact"/>
              <w:jc w:val="center"/>
              <w:rPr>
                <w:rFonts w:ascii="Times New Roman" w:eastAsia="仿宋"/>
                <w:szCs w:val="21"/>
              </w:rPr>
            </w:pPr>
            <w:r>
              <w:rPr>
                <w:rFonts w:hint="eastAsia" w:ascii="Times New Roman" w:eastAsia="仿宋"/>
                <w:szCs w:val="21"/>
              </w:rPr>
              <w:t>约4800</w:t>
            </w:r>
          </w:p>
        </w:tc>
        <w:tc>
          <w:tcPr>
            <w:tcW w:w="1311" w:type="dxa"/>
            <w:gridSpan w:val="2"/>
            <w:vAlign w:val="center"/>
          </w:tcPr>
          <w:p w14:paraId="4ECA6FBC">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6A834C95">
            <w:pPr>
              <w:spacing w:line="320" w:lineRule="exact"/>
              <w:jc w:val="center"/>
              <w:rPr>
                <w:rFonts w:ascii="Times New Roman" w:eastAsia="仿宋"/>
                <w:szCs w:val="21"/>
              </w:rPr>
            </w:pPr>
            <w:r>
              <w:rPr>
                <w:rFonts w:hint="eastAsia" w:ascii="Times New Roman" w:eastAsia="仿宋"/>
                <w:szCs w:val="21"/>
              </w:rPr>
              <w:t>约384</w:t>
            </w:r>
          </w:p>
        </w:tc>
        <w:tc>
          <w:tcPr>
            <w:tcW w:w="2268" w:type="dxa"/>
            <w:vMerge w:val="continue"/>
          </w:tcPr>
          <w:p w14:paraId="425B65A1">
            <w:pPr>
              <w:spacing w:line="320" w:lineRule="exact"/>
              <w:jc w:val="center"/>
              <w:rPr>
                <w:rFonts w:ascii="Times New Roman" w:eastAsia="仿宋"/>
                <w:szCs w:val="21"/>
              </w:rPr>
            </w:pPr>
          </w:p>
        </w:tc>
      </w:tr>
      <w:tr w14:paraId="6F2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92240EF">
            <w:pPr>
              <w:jc w:val="center"/>
              <w:rPr>
                <w:rFonts w:ascii="Times New Roman" w:eastAsia="仿宋"/>
                <w:szCs w:val="21"/>
              </w:rPr>
            </w:pPr>
          </w:p>
        </w:tc>
        <w:tc>
          <w:tcPr>
            <w:tcW w:w="2130" w:type="dxa"/>
            <w:vAlign w:val="center"/>
          </w:tcPr>
          <w:p w14:paraId="1CD23849">
            <w:pPr>
              <w:spacing w:line="320" w:lineRule="exact"/>
              <w:jc w:val="center"/>
              <w:rPr>
                <w:rFonts w:ascii="Times New Roman" w:eastAsia="仿宋"/>
                <w:szCs w:val="21"/>
              </w:rPr>
            </w:pPr>
            <w:r>
              <w:rPr>
                <w:rFonts w:hint="eastAsia" w:ascii="Times New Roman" w:eastAsia="仿宋"/>
                <w:szCs w:val="21"/>
              </w:rPr>
              <w:t>前朱</w:t>
            </w:r>
          </w:p>
        </w:tc>
        <w:tc>
          <w:tcPr>
            <w:tcW w:w="1559" w:type="dxa"/>
            <w:vAlign w:val="center"/>
          </w:tcPr>
          <w:p w14:paraId="591D8818">
            <w:pPr>
              <w:spacing w:line="320" w:lineRule="exact"/>
              <w:jc w:val="center"/>
              <w:rPr>
                <w:rFonts w:ascii="Times New Roman" w:eastAsia="仿宋"/>
                <w:szCs w:val="21"/>
              </w:rPr>
            </w:pPr>
            <w:r>
              <w:rPr>
                <w:rFonts w:hint="eastAsia" w:ascii="Times New Roman" w:eastAsia="仿宋"/>
                <w:szCs w:val="21"/>
              </w:rPr>
              <w:t>119.44728</w:t>
            </w:r>
          </w:p>
        </w:tc>
        <w:tc>
          <w:tcPr>
            <w:tcW w:w="1390" w:type="dxa"/>
            <w:vAlign w:val="center"/>
          </w:tcPr>
          <w:p w14:paraId="1DC78FF1">
            <w:pPr>
              <w:spacing w:line="320" w:lineRule="exact"/>
              <w:jc w:val="center"/>
              <w:rPr>
                <w:rFonts w:ascii="Times New Roman" w:eastAsia="仿宋"/>
                <w:szCs w:val="21"/>
              </w:rPr>
            </w:pPr>
            <w:r>
              <w:rPr>
                <w:rFonts w:hint="eastAsia" w:ascii="Times New Roman" w:eastAsia="仿宋"/>
                <w:szCs w:val="21"/>
              </w:rPr>
              <w:t>31.68511</w:t>
            </w:r>
          </w:p>
        </w:tc>
        <w:tc>
          <w:tcPr>
            <w:tcW w:w="1693" w:type="dxa"/>
            <w:gridSpan w:val="2"/>
            <w:vAlign w:val="center"/>
          </w:tcPr>
          <w:p w14:paraId="2789793C">
            <w:pPr>
              <w:spacing w:line="320" w:lineRule="exact"/>
              <w:jc w:val="center"/>
              <w:rPr>
                <w:rFonts w:ascii="Times New Roman" w:eastAsia="仿宋"/>
                <w:szCs w:val="21"/>
              </w:rPr>
            </w:pPr>
            <w:r>
              <w:rPr>
                <w:rFonts w:hint="eastAsia" w:ascii="Times New Roman" w:eastAsia="仿宋"/>
                <w:szCs w:val="21"/>
              </w:rPr>
              <w:t>约4800</w:t>
            </w:r>
          </w:p>
        </w:tc>
        <w:tc>
          <w:tcPr>
            <w:tcW w:w="1311" w:type="dxa"/>
            <w:gridSpan w:val="2"/>
            <w:vAlign w:val="center"/>
          </w:tcPr>
          <w:p w14:paraId="3F588029">
            <w:pPr>
              <w:spacing w:line="320" w:lineRule="exact"/>
              <w:jc w:val="center"/>
              <w:rPr>
                <w:rFonts w:ascii="Times New Roman" w:eastAsia="仿宋"/>
                <w:szCs w:val="21"/>
              </w:rPr>
            </w:pPr>
            <w:r>
              <w:rPr>
                <w:rFonts w:hint="eastAsia" w:ascii="Times New Roman" w:eastAsia="仿宋"/>
                <w:szCs w:val="21"/>
              </w:rPr>
              <w:t>SE</w:t>
            </w:r>
          </w:p>
        </w:tc>
        <w:tc>
          <w:tcPr>
            <w:tcW w:w="1134" w:type="dxa"/>
            <w:vAlign w:val="center"/>
          </w:tcPr>
          <w:p w14:paraId="0CC85B8C">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3A620A97">
            <w:pPr>
              <w:spacing w:line="320" w:lineRule="exact"/>
              <w:jc w:val="center"/>
              <w:rPr>
                <w:rFonts w:ascii="Times New Roman" w:eastAsia="仿宋"/>
                <w:szCs w:val="21"/>
              </w:rPr>
            </w:pPr>
          </w:p>
        </w:tc>
      </w:tr>
      <w:tr w14:paraId="0F54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ED8B77E">
            <w:pPr>
              <w:jc w:val="center"/>
              <w:rPr>
                <w:rFonts w:ascii="Times New Roman" w:eastAsia="仿宋"/>
                <w:szCs w:val="21"/>
              </w:rPr>
            </w:pPr>
          </w:p>
        </w:tc>
        <w:tc>
          <w:tcPr>
            <w:tcW w:w="2130" w:type="dxa"/>
            <w:vAlign w:val="center"/>
          </w:tcPr>
          <w:p w14:paraId="0A6BFEF2">
            <w:pPr>
              <w:spacing w:line="320" w:lineRule="exact"/>
              <w:jc w:val="center"/>
              <w:rPr>
                <w:rFonts w:ascii="Times New Roman" w:eastAsia="仿宋"/>
                <w:szCs w:val="21"/>
              </w:rPr>
            </w:pPr>
            <w:r>
              <w:rPr>
                <w:rFonts w:hint="eastAsia" w:ascii="Times New Roman" w:eastAsia="仿宋"/>
                <w:szCs w:val="21"/>
              </w:rPr>
              <w:t>六房庄</w:t>
            </w:r>
          </w:p>
        </w:tc>
        <w:tc>
          <w:tcPr>
            <w:tcW w:w="1559" w:type="dxa"/>
            <w:vAlign w:val="center"/>
          </w:tcPr>
          <w:p w14:paraId="4B895E3A">
            <w:pPr>
              <w:spacing w:line="320" w:lineRule="exact"/>
              <w:jc w:val="center"/>
              <w:rPr>
                <w:rFonts w:ascii="Times New Roman" w:eastAsia="仿宋"/>
                <w:szCs w:val="21"/>
              </w:rPr>
            </w:pPr>
            <w:r>
              <w:rPr>
                <w:rFonts w:hint="eastAsia" w:ascii="Times New Roman" w:eastAsia="仿宋"/>
                <w:szCs w:val="21"/>
              </w:rPr>
              <w:t>119.43328</w:t>
            </w:r>
          </w:p>
        </w:tc>
        <w:tc>
          <w:tcPr>
            <w:tcW w:w="1390" w:type="dxa"/>
            <w:vAlign w:val="center"/>
          </w:tcPr>
          <w:p w14:paraId="2557A8EC">
            <w:pPr>
              <w:spacing w:line="320" w:lineRule="exact"/>
              <w:jc w:val="center"/>
              <w:rPr>
                <w:rFonts w:ascii="Times New Roman" w:eastAsia="仿宋"/>
                <w:szCs w:val="21"/>
              </w:rPr>
            </w:pPr>
            <w:r>
              <w:rPr>
                <w:rFonts w:hint="eastAsia" w:ascii="Times New Roman" w:eastAsia="仿宋"/>
                <w:szCs w:val="21"/>
              </w:rPr>
              <w:t>31.71872</w:t>
            </w:r>
          </w:p>
        </w:tc>
        <w:tc>
          <w:tcPr>
            <w:tcW w:w="1693" w:type="dxa"/>
            <w:gridSpan w:val="2"/>
            <w:vAlign w:val="center"/>
          </w:tcPr>
          <w:p w14:paraId="31DF62E9">
            <w:pPr>
              <w:spacing w:line="320" w:lineRule="exact"/>
              <w:jc w:val="center"/>
              <w:rPr>
                <w:rFonts w:ascii="Times New Roman" w:eastAsia="仿宋"/>
                <w:szCs w:val="21"/>
              </w:rPr>
            </w:pPr>
            <w:r>
              <w:rPr>
                <w:rFonts w:hint="eastAsia" w:ascii="Times New Roman" w:eastAsia="仿宋"/>
                <w:szCs w:val="21"/>
              </w:rPr>
              <w:t>约1000</w:t>
            </w:r>
          </w:p>
        </w:tc>
        <w:tc>
          <w:tcPr>
            <w:tcW w:w="1311" w:type="dxa"/>
            <w:gridSpan w:val="2"/>
            <w:vAlign w:val="center"/>
          </w:tcPr>
          <w:p w14:paraId="09FB1190">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75F6FAFE">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4AAC5E36">
            <w:pPr>
              <w:spacing w:line="320" w:lineRule="exact"/>
              <w:jc w:val="center"/>
              <w:rPr>
                <w:rFonts w:ascii="Times New Roman" w:eastAsia="仿宋"/>
                <w:szCs w:val="21"/>
              </w:rPr>
            </w:pPr>
          </w:p>
        </w:tc>
      </w:tr>
      <w:tr w14:paraId="2500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CB71CAD">
            <w:pPr>
              <w:jc w:val="center"/>
              <w:rPr>
                <w:rFonts w:ascii="Times New Roman" w:eastAsia="仿宋"/>
                <w:szCs w:val="21"/>
              </w:rPr>
            </w:pPr>
          </w:p>
        </w:tc>
        <w:tc>
          <w:tcPr>
            <w:tcW w:w="2130" w:type="dxa"/>
            <w:vAlign w:val="center"/>
          </w:tcPr>
          <w:p w14:paraId="0B3D80C9">
            <w:pPr>
              <w:spacing w:line="320" w:lineRule="exact"/>
              <w:jc w:val="center"/>
              <w:rPr>
                <w:rFonts w:ascii="Times New Roman" w:eastAsia="仿宋"/>
                <w:szCs w:val="21"/>
              </w:rPr>
            </w:pPr>
            <w:r>
              <w:rPr>
                <w:rFonts w:hint="eastAsia" w:ascii="Times New Roman" w:eastAsia="仿宋"/>
                <w:szCs w:val="21"/>
              </w:rPr>
              <w:t>汤家墩</w:t>
            </w:r>
          </w:p>
        </w:tc>
        <w:tc>
          <w:tcPr>
            <w:tcW w:w="1559" w:type="dxa"/>
            <w:vAlign w:val="center"/>
          </w:tcPr>
          <w:p w14:paraId="0C7274CC">
            <w:pPr>
              <w:spacing w:line="320" w:lineRule="exact"/>
              <w:jc w:val="center"/>
              <w:rPr>
                <w:rFonts w:ascii="Times New Roman" w:eastAsia="仿宋"/>
                <w:szCs w:val="21"/>
              </w:rPr>
            </w:pPr>
            <w:r>
              <w:rPr>
                <w:rFonts w:hint="eastAsia" w:ascii="Times New Roman" w:eastAsia="仿宋"/>
                <w:szCs w:val="21"/>
              </w:rPr>
              <w:t>119.42115</w:t>
            </w:r>
          </w:p>
        </w:tc>
        <w:tc>
          <w:tcPr>
            <w:tcW w:w="1390" w:type="dxa"/>
            <w:vAlign w:val="center"/>
          </w:tcPr>
          <w:p w14:paraId="7F582712">
            <w:pPr>
              <w:spacing w:line="320" w:lineRule="exact"/>
              <w:jc w:val="center"/>
              <w:rPr>
                <w:rFonts w:ascii="Times New Roman" w:eastAsia="仿宋"/>
                <w:szCs w:val="21"/>
              </w:rPr>
            </w:pPr>
            <w:r>
              <w:rPr>
                <w:rFonts w:hint="eastAsia" w:ascii="Times New Roman" w:eastAsia="仿宋"/>
                <w:szCs w:val="21"/>
              </w:rPr>
              <w:t>31.61241</w:t>
            </w:r>
          </w:p>
        </w:tc>
        <w:tc>
          <w:tcPr>
            <w:tcW w:w="1693" w:type="dxa"/>
            <w:gridSpan w:val="2"/>
            <w:vAlign w:val="center"/>
          </w:tcPr>
          <w:p w14:paraId="583C3220">
            <w:pPr>
              <w:spacing w:line="320" w:lineRule="exact"/>
              <w:jc w:val="center"/>
              <w:rPr>
                <w:rFonts w:ascii="Times New Roman" w:eastAsia="仿宋"/>
                <w:szCs w:val="21"/>
              </w:rPr>
            </w:pPr>
            <w:r>
              <w:rPr>
                <w:rFonts w:hint="eastAsia" w:ascii="Times New Roman" w:eastAsia="仿宋"/>
                <w:szCs w:val="21"/>
              </w:rPr>
              <w:t>约23</w:t>
            </w:r>
            <w:r>
              <w:rPr>
                <w:rFonts w:ascii="Times New Roman" w:eastAsia="仿宋"/>
                <w:szCs w:val="21"/>
              </w:rPr>
              <w:t>00</w:t>
            </w:r>
          </w:p>
        </w:tc>
        <w:tc>
          <w:tcPr>
            <w:tcW w:w="1311" w:type="dxa"/>
            <w:gridSpan w:val="2"/>
            <w:vAlign w:val="center"/>
          </w:tcPr>
          <w:p w14:paraId="2A664D70">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0A022C6D">
            <w:pPr>
              <w:spacing w:line="320" w:lineRule="exact"/>
              <w:jc w:val="center"/>
              <w:rPr>
                <w:rFonts w:ascii="Times New Roman" w:eastAsia="仿宋"/>
                <w:szCs w:val="21"/>
              </w:rPr>
            </w:pPr>
            <w:r>
              <w:rPr>
                <w:rFonts w:hint="eastAsia" w:ascii="Times New Roman" w:eastAsia="仿宋"/>
                <w:szCs w:val="21"/>
              </w:rPr>
              <w:t>约220</w:t>
            </w:r>
          </w:p>
        </w:tc>
        <w:tc>
          <w:tcPr>
            <w:tcW w:w="2268" w:type="dxa"/>
            <w:vMerge w:val="continue"/>
          </w:tcPr>
          <w:p w14:paraId="33AAA4B5">
            <w:pPr>
              <w:spacing w:line="320" w:lineRule="exact"/>
              <w:jc w:val="center"/>
              <w:rPr>
                <w:rFonts w:ascii="Times New Roman" w:eastAsia="仿宋"/>
                <w:szCs w:val="21"/>
              </w:rPr>
            </w:pPr>
          </w:p>
        </w:tc>
      </w:tr>
      <w:tr w14:paraId="4C3D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F771337">
            <w:pPr>
              <w:jc w:val="center"/>
              <w:rPr>
                <w:rFonts w:ascii="Times New Roman" w:eastAsia="仿宋"/>
                <w:szCs w:val="21"/>
              </w:rPr>
            </w:pPr>
          </w:p>
        </w:tc>
        <w:tc>
          <w:tcPr>
            <w:tcW w:w="2130" w:type="dxa"/>
            <w:vAlign w:val="center"/>
          </w:tcPr>
          <w:p w14:paraId="19FB9B69">
            <w:pPr>
              <w:spacing w:line="320" w:lineRule="exact"/>
              <w:jc w:val="center"/>
              <w:rPr>
                <w:rFonts w:ascii="Times New Roman" w:eastAsia="仿宋"/>
                <w:szCs w:val="21"/>
              </w:rPr>
            </w:pPr>
            <w:r>
              <w:rPr>
                <w:rFonts w:hint="eastAsia" w:ascii="Times New Roman" w:eastAsia="仿宋"/>
                <w:szCs w:val="21"/>
              </w:rPr>
              <w:t>溪北</w:t>
            </w:r>
          </w:p>
        </w:tc>
        <w:tc>
          <w:tcPr>
            <w:tcW w:w="1559" w:type="dxa"/>
            <w:vAlign w:val="center"/>
          </w:tcPr>
          <w:p w14:paraId="5C556520">
            <w:pPr>
              <w:spacing w:line="320" w:lineRule="exact"/>
              <w:jc w:val="center"/>
              <w:rPr>
                <w:rFonts w:ascii="Times New Roman" w:eastAsia="仿宋"/>
                <w:szCs w:val="21"/>
              </w:rPr>
            </w:pPr>
            <w:r>
              <w:rPr>
                <w:rFonts w:hint="eastAsia" w:ascii="Times New Roman" w:eastAsia="仿宋"/>
                <w:szCs w:val="21"/>
              </w:rPr>
              <w:t>119.42949</w:t>
            </w:r>
          </w:p>
        </w:tc>
        <w:tc>
          <w:tcPr>
            <w:tcW w:w="1390" w:type="dxa"/>
            <w:vAlign w:val="center"/>
          </w:tcPr>
          <w:p w14:paraId="605591D5">
            <w:pPr>
              <w:spacing w:line="320" w:lineRule="exact"/>
              <w:jc w:val="center"/>
              <w:rPr>
                <w:rFonts w:ascii="Times New Roman" w:eastAsia="仿宋"/>
                <w:szCs w:val="21"/>
              </w:rPr>
            </w:pPr>
            <w:r>
              <w:rPr>
                <w:rFonts w:hint="eastAsia" w:ascii="Times New Roman" w:eastAsia="仿宋"/>
                <w:szCs w:val="21"/>
              </w:rPr>
              <w:t>31.69278</w:t>
            </w:r>
          </w:p>
        </w:tc>
        <w:tc>
          <w:tcPr>
            <w:tcW w:w="1693" w:type="dxa"/>
            <w:gridSpan w:val="2"/>
            <w:vAlign w:val="center"/>
          </w:tcPr>
          <w:p w14:paraId="3AF5569D">
            <w:pPr>
              <w:spacing w:line="320" w:lineRule="exact"/>
              <w:jc w:val="center"/>
              <w:rPr>
                <w:rFonts w:ascii="Times New Roman" w:eastAsia="仿宋"/>
                <w:szCs w:val="21"/>
              </w:rPr>
            </w:pPr>
            <w:r>
              <w:rPr>
                <w:rFonts w:hint="eastAsia" w:ascii="Times New Roman" w:eastAsia="仿宋"/>
                <w:szCs w:val="21"/>
              </w:rPr>
              <w:t>约3900</w:t>
            </w:r>
          </w:p>
        </w:tc>
        <w:tc>
          <w:tcPr>
            <w:tcW w:w="1311" w:type="dxa"/>
            <w:gridSpan w:val="2"/>
            <w:vAlign w:val="center"/>
          </w:tcPr>
          <w:p w14:paraId="35AD634E">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64F39338">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62558C63">
            <w:pPr>
              <w:spacing w:line="320" w:lineRule="exact"/>
              <w:jc w:val="center"/>
              <w:rPr>
                <w:rFonts w:ascii="Times New Roman" w:eastAsia="仿宋"/>
                <w:szCs w:val="21"/>
              </w:rPr>
            </w:pPr>
          </w:p>
        </w:tc>
      </w:tr>
      <w:tr w14:paraId="1EA9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666F673">
            <w:pPr>
              <w:jc w:val="center"/>
              <w:rPr>
                <w:rFonts w:ascii="Times New Roman" w:eastAsia="仿宋"/>
                <w:szCs w:val="21"/>
              </w:rPr>
            </w:pPr>
          </w:p>
        </w:tc>
        <w:tc>
          <w:tcPr>
            <w:tcW w:w="2130" w:type="dxa"/>
            <w:vAlign w:val="center"/>
          </w:tcPr>
          <w:p w14:paraId="7F9D8359">
            <w:pPr>
              <w:spacing w:line="320" w:lineRule="exact"/>
              <w:jc w:val="center"/>
              <w:rPr>
                <w:rFonts w:ascii="Times New Roman" w:eastAsia="仿宋"/>
                <w:szCs w:val="21"/>
              </w:rPr>
            </w:pPr>
            <w:r>
              <w:rPr>
                <w:rFonts w:hint="eastAsia" w:ascii="Times New Roman" w:eastAsia="仿宋"/>
                <w:szCs w:val="21"/>
              </w:rPr>
              <w:t>下庄</w:t>
            </w:r>
          </w:p>
        </w:tc>
        <w:tc>
          <w:tcPr>
            <w:tcW w:w="1559" w:type="dxa"/>
            <w:vAlign w:val="center"/>
          </w:tcPr>
          <w:p w14:paraId="2C077F05">
            <w:pPr>
              <w:spacing w:line="320" w:lineRule="exact"/>
              <w:jc w:val="center"/>
              <w:rPr>
                <w:rFonts w:ascii="Times New Roman" w:eastAsia="仿宋"/>
                <w:szCs w:val="21"/>
              </w:rPr>
            </w:pPr>
            <w:r>
              <w:rPr>
                <w:rFonts w:hint="eastAsia" w:ascii="Times New Roman" w:eastAsia="仿宋"/>
                <w:szCs w:val="21"/>
              </w:rPr>
              <w:t>119.42323</w:t>
            </w:r>
          </w:p>
        </w:tc>
        <w:tc>
          <w:tcPr>
            <w:tcW w:w="1390" w:type="dxa"/>
            <w:vAlign w:val="center"/>
          </w:tcPr>
          <w:p w14:paraId="14FCA490">
            <w:pPr>
              <w:spacing w:line="320" w:lineRule="exact"/>
              <w:jc w:val="center"/>
              <w:rPr>
                <w:rFonts w:ascii="Times New Roman" w:eastAsia="仿宋"/>
                <w:szCs w:val="21"/>
              </w:rPr>
            </w:pPr>
            <w:r>
              <w:rPr>
                <w:rFonts w:hint="eastAsia" w:ascii="Times New Roman" w:eastAsia="仿宋"/>
                <w:szCs w:val="21"/>
              </w:rPr>
              <w:t>31.69263</w:t>
            </w:r>
          </w:p>
        </w:tc>
        <w:tc>
          <w:tcPr>
            <w:tcW w:w="1693" w:type="dxa"/>
            <w:gridSpan w:val="2"/>
            <w:vAlign w:val="center"/>
          </w:tcPr>
          <w:p w14:paraId="2B6DB133">
            <w:pPr>
              <w:spacing w:line="320" w:lineRule="exact"/>
              <w:jc w:val="center"/>
              <w:rPr>
                <w:rFonts w:ascii="Times New Roman" w:eastAsia="仿宋"/>
                <w:szCs w:val="21"/>
              </w:rPr>
            </w:pPr>
            <w:r>
              <w:rPr>
                <w:rFonts w:hint="eastAsia" w:ascii="Times New Roman" w:eastAsia="仿宋"/>
                <w:szCs w:val="21"/>
              </w:rPr>
              <w:t>约4050</w:t>
            </w:r>
          </w:p>
        </w:tc>
        <w:tc>
          <w:tcPr>
            <w:tcW w:w="1311" w:type="dxa"/>
            <w:gridSpan w:val="2"/>
            <w:vAlign w:val="center"/>
          </w:tcPr>
          <w:p w14:paraId="278AB441">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08319611">
            <w:pPr>
              <w:spacing w:line="320" w:lineRule="exact"/>
              <w:jc w:val="center"/>
              <w:rPr>
                <w:rFonts w:ascii="Times New Roman" w:eastAsia="仿宋"/>
                <w:szCs w:val="21"/>
              </w:rPr>
            </w:pPr>
            <w:r>
              <w:rPr>
                <w:rFonts w:hint="eastAsia" w:ascii="Times New Roman" w:eastAsia="仿宋"/>
                <w:szCs w:val="21"/>
              </w:rPr>
              <w:t>约384</w:t>
            </w:r>
          </w:p>
        </w:tc>
        <w:tc>
          <w:tcPr>
            <w:tcW w:w="2268" w:type="dxa"/>
            <w:vMerge w:val="continue"/>
          </w:tcPr>
          <w:p w14:paraId="20E77831">
            <w:pPr>
              <w:spacing w:line="320" w:lineRule="exact"/>
              <w:jc w:val="center"/>
              <w:rPr>
                <w:rFonts w:ascii="Times New Roman" w:eastAsia="仿宋"/>
                <w:szCs w:val="21"/>
              </w:rPr>
            </w:pPr>
          </w:p>
        </w:tc>
      </w:tr>
      <w:tr w14:paraId="6663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CB66348">
            <w:pPr>
              <w:jc w:val="center"/>
              <w:rPr>
                <w:rFonts w:ascii="Times New Roman" w:eastAsia="仿宋"/>
                <w:szCs w:val="21"/>
              </w:rPr>
            </w:pPr>
          </w:p>
        </w:tc>
        <w:tc>
          <w:tcPr>
            <w:tcW w:w="2130" w:type="dxa"/>
            <w:vAlign w:val="center"/>
          </w:tcPr>
          <w:p w14:paraId="0AB18822">
            <w:pPr>
              <w:spacing w:line="320" w:lineRule="exact"/>
              <w:jc w:val="center"/>
              <w:rPr>
                <w:rFonts w:ascii="Times New Roman" w:eastAsia="仿宋"/>
                <w:szCs w:val="21"/>
              </w:rPr>
            </w:pPr>
            <w:r>
              <w:rPr>
                <w:rFonts w:hint="eastAsia" w:ascii="Times New Roman" w:eastAsia="仿宋"/>
                <w:szCs w:val="21"/>
              </w:rPr>
              <w:t>单桥村</w:t>
            </w:r>
          </w:p>
        </w:tc>
        <w:tc>
          <w:tcPr>
            <w:tcW w:w="1559" w:type="dxa"/>
            <w:vAlign w:val="center"/>
          </w:tcPr>
          <w:p w14:paraId="37DFEE4B">
            <w:pPr>
              <w:spacing w:line="320" w:lineRule="exact"/>
              <w:jc w:val="center"/>
              <w:rPr>
                <w:rFonts w:ascii="Times New Roman" w:eastAsia="仿宋"/>
                <w:szCs w:val="21"/>
              </w:rPr>
            </w:pPr>
            <w:r>
              <w:rPr>
                <w:rFonts w:hint="eastAsia" w:ascii="Times New Roman" w:eastAsia="仿宋"/>
                <w:szCs w:val="21"/>
              </w:rPr>
              <w:t>119.43722</w:t>
            </w:r>
          </w:p>
        </w:tc>
        <w:tc>
          <w:tcPr>
            <w:tcW w:w="1390" w:type="dxa"/>
            <w:vAlign w:val="center"/>
          </w:tcPr>
          <w:p w14:paraId="4762AD51">
            <w:pPr>
              <w:spacing w:line="320" w:lineRule="exact"/>
              <w:jc w:val="center"/>
              <w:rPr>
                <w:rFonts w:ascii="Times New Roman" w:eastAsia="仿宋"/>
                <w:szCs w:val="21"/>
              </w:rPr>
            </w:pPr>
            <w:r>
              <w:rPr>
                <w:rFonts w:hint="eastAsia" w:ascii="Times New Roman" w:eastAsia="仿宋"/>
                <w:szCs w:val="21"/>
              </w:rPr>
              <w:t>31.69018</w:t>
            </w:r>
          </w:p>
        </w:tc>
        <w:tc>
          <w:tcPr>
            <w:tcW w:w="1693" w:type="dxa"/>
            <w:gridSpan w:val="2"/>
            <w:vAlign w:val="center"/>
          </w:tcPr>
          <w:p w14:paraId="16BB0148">
            <w:pPr>
              <w:spacing w:line="320" w:lineRule="exact"/>
              <w:jc w:val="center"/>
              <w:rPr>
                <w:rFonts w:ascii="Times New Roman" w:eastAsia="仿宋"/>
                <w:szCs w:val="21"/>
              </w:rPr>
            </w:pPr>
            <w:r>
              <w:rPr>
                <w:rFonts w:hint="eastAsia" w:ascii="Times New Roman" w:eastAsia="仿宋"/>
                <w:szCs w:val="21"/>
              </w:rPr>
              <w:t>约4100</w:t>
            </w:r>
          </w:p>
        </w:tc>
        <w:tc>
          <w:tcPr>
            <w:tcW w:w="1311" w:type="dxa"/>
            <w:gridSpan w:val="2"/>
            <w:vAlign w:val="center"/>
          </w:tcPr>
          <w:p w14:paraId="11FBB285">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354BF368">
            <w:pPr>
              <w:spacing w:line="320" w:lineRule="exact"/>
              <w:jc w:val="center"/>
              <w:rPr>
                <w:rFonts w:ascii="Times New Roman" w:eastAsia="仿宋"/>
                <w:szCs w:val="21"/>
              </w:rPr>
            </w:pPr>
            <w:r>
              <w:rPr>
                <w:rFonts w:hint="eastAsia" w:ascii="Times New Roman" w:eastAsia="仿宋"/>
                <w:szCs w:val="21"/>
              </w:rPr>
              <w:t>约540</w:t>
            </w:r>
          </w:p>
        </w:tc>
        <w:tc>
          <w:tcPr>
            <w:tcW w:w="2268" w:type="dxa"/>
            <w:vMerge w:val="continue"/>
          </w:tcPr>
          <w:p w14:paraId="6C05A965">
            <w:pPr>
              <w:spacing w:line="320" w:lineRule="exact"/>
              <w:jc w:val="center"/>
              <w:rPr>
                <w:rFonts w:ascii="Times New Roman" w:eastAsia="仿宋"/>
                <w:szCs w:val="21"/>
              </w:rPr>
            </w:pPr>
          </w:p>
        </w:tc>
      </w:tr>
      <w:tr w14:paraId="406A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838B61E">
            <w:pPr>
              <w:jc w:val="center"/>
              <w:rPr>
                <w:rFonts w:ascii="Times New Roman" w:eastAsia="仿宋"/>
                <w:szCs w:val="21"/>
              </w:rPr>
            </w:pPr>
          </w:p>
        </w:tc>
        <w:tc>
          <w:tcPr>
            <w:tcW w:w="2130" w:type="dxa"/>
            <w:vAlign w:val="center"/>
          </w:tcPr>
          <w:p w14:paraId="02B8F142">
            <w:pPr>
              <w:spacing w:line="320" w:lineRule="exact"/>
              <w:jc w:val="center"/>
              <w:rPr>
                <w:rFonts w:ascii="Times New Roman" w:eastAsia="仿宋"/>
                <w:szCs w:val="21"/>
              </w:rPr>
            </w:pPr>
            <w:r>
              <w:rPr>
                <w:rFonts w:hint="eastAsia" w:ascii="Times New Roman" w:eastAsia="仿宋"/>
                <w:szCs w:val="21"/>
              </w:rPr>
              <w:t>马场村</w:t>
            </w:r>
          </w:p>
        </w:tc>
        <w:tc>
          <w:tcPr>
            <w:tcW w:w="1559" w:type="dxa"/>
            <w:vAlign w:val="center"/>
          </w:tcPr>
          <w:p w14:paraId="684BEEEA">
            <w:pPr>
              <w:spacing w:line="320" w:lineRule="exact"/>
              <w:jc w:val="center"/>
              <w:rPr>
                <w:rFonts w:ascii="Times New Roman" w:eastAsia="仿宋"/>
                <w:szCs w:val="21"/>
              </w:rPr>
            </w:pPr>
            <w:r>
              <w:rPr>
                <w:rFonts w:hint="eastAsia" w:ascii="Times New Roman" w:eastAsia="仿宋"/>
                <w:szCs w:val="21"/>
              </w:rPr>
              <w:t>119.44130</w:t>
            </w:r>
          </w:p>
        </w:tc>
        <w:tc>
          <w:tcPr>
            <w:tcW w:w="1390" w:type="dxa"/>
            <w:vAlign w:val="center"/>
          </w:tcPr>
          <w:p w14:paraId="64B105F2">
            <w:pPr>
              <w:spacing w:line="320" w:lineRule="exact"/>
              <w:jc w:val="center"/>
              <w:rPr>
                <w:rFonts w:ascii="Times New Roman" w:eastAsia="仿宋"/>
                <w:szCs w:val="21"/>
              </w:rPr>
            </w:pPr>
            <w:r>
              <w:rPr>
                <w:rFonts w:hint="eastAsia" w:ascii="Times New Roman" w:eastAsia="仿宋"/>
                <w:szCs w:val="21"/>
              </w:rPr>
              <w:t>31.68963</w:t>
            </w:r>
          </w:p>
        </w:tc>
        <w:tc>
          <w:tcPr>
            <w:tcW w:w="1693" w:type="dxa"/>
            <w:gridSpan w:val="2"/>
            <w:vAlign w:val="center"/>
          </w:tcPr>
          <w:p w14:paraId="4A0A90F7">
            <w:pPr>
              <w:spacing w:line="320" w:lineRule="exact"/>
              <w:jc w:val="center"/>
              <w:rPr>
                <w:rFonts w:ascii="Times New Roman" w:eastAsia="仿宋"/>
                <w:szCs w:val="21"/>
              </w:rPr>
            </w:pPr>
            <w:r>
              <w:rPr>
                <w:rFonts w:hint="eastAsia" w:ascii="Times New Roman" w:eastAsia="仿宋"/>
                <w:szCs w:val="21"/>
              </w:rPr>
              <w:t>约4200</w:t>
            </w:r>
          </w:p>
        </w:tc>
        <w:tc>
          <w:tcPr>
            <w:tcW w:w="1311" w:type="dxa"/>
            <w:gridSpan w:val="2"/>
            <w:vAlign w:val="center"/>
          </w:tcPr>
          <w:p w14:paraId="589D1BB3">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3050EB00">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77339C4C">
            <w:pPr>
              <w:spacing w:line="320" w:lineRule="exact"/>
              <w:jc w:val="center"/>
              <w:rPr>
                <w:rFonts w:ascii="Times New Roman" w:eastAsia="仿宋"/>
                <w:szCs w:val="21"/>
              </w:rPr>
            </w:pPr>
          </w:p>
        </w:tc>
      </w:tr>
      <w:tr w14:paraId="456E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58B3EA6">
            <w:pPr>
              <w:jc w:val="center"/>
              <w:rPr>
                <w:rFonts w:ascii="Times New Roman" w:eastAsia="仿宋"/>
                <w:szCs w:val="21"/>
              </w:rPr>
            </w:pPr>
          </w:p>
        </w:tc>
        <w:tc>
          <w:tcPr>
            <w:tcW w:w="2130" w:type="dxa"/>
            <w:vAlign w:val="center"/>
          </w:tcPr>
          <w:p w14:paraId="6F7CEBF0">
            <w:pPr>
              <w:spacing w:line="320" w:lineRule="exact"/>
              <w:jc w:val="center"/>
              <w:rPr>
                <w:rFonts w:ascii="Times New Roman" w:eastAsia="仿宋"/>
                <w:szCs w:val="21"/>
              </w:rPr>
            </w:pPr>
            <w:r>
              <w:rPr>
                <w:rFonts w:hint="eastAsia" w:ascii="Times New Roman" w:eastAsia="仿宋"/>
                <w:szCs w:val="21"/>
              </w:rPr>
              <w:t>西街</w:t>
            </w:r>
          </w:p>
        </w:tc>
        <w:tc>
          <w:tcPr>
            <w:tcW w:w="1559" w:type="dxa"/>
            <w:vAlign w:val="center"/>
          </w:tcPr>
          <w:p w14:paraId="79DCD1EE">
            <w:pPr>
              <w:spacing w:line="320" w:lineRule="exact"/>
              <w:jc w:val="center"/>
              <w:rPr>
                <w:rFonts w:ascii="Times New Roman" w:eastAsia="仿宋"/>
                <w:szCs w:val="21"/>
              </w:rPr>
            </w:pPr>
            <w:r>
              <w:rPr>
                <w:rFonts w:hint="eastAsia" w:ascii="Times New Roman" w:eastAsia="仿宋"/>
                <w:szCs w:val="21"/>
              </w:rPr>
              <w:t>119.42613</w:t>
            </w:r>
          </w:p>
        </w:tc>
        <w:tc>
          <w:tcPr>
            <w:tcW w:w="1390" w:type="dxa"/>
            <w:vAlign w:val="center"/>
          </w:tcPr>
          <w:p w14:paraId="23B7CBD0">
            <w:pPr>
              <w:spacing w:line="320" w:lineRule="exact"/>
              <w:jc w:val="center"/>
              <w:rPr>
                <w:rFonts w:ascii="Times New Roman" w:eastAsia="仿宋"/>
                <w:szCs w:val="21"/>
              </w:rPr>
            </w:pPr>
            <w:r>
              <w:rPr>
                <w:rFonts w:hint="eastAsia" w:ascii="Times New Roman" w:eastAsia="仿宋"/>
                <w:szCs w:val="21"/>
              </w:rPr>
              <w:t>31.68927</w:t>
            </w:r>
          </w:p>
        </w:tc>
        <w:tc>
          <w:tcPr>
            <w:tcW w:w="1693" w:type="dxa"/>
            <w:gridSpan w:val="2"/>
            <w:vAlign w:val="center"/>
          </w:tcPr>
          <w:p w14:paraId="2651CC89">
            <w:pPr>
              <w:spacing w:line="320" w:lineRule="exact"/>
              <w:jc w:val="center"/>
              <w:rPr>
                <w:rFonts w:ascii="Times New Roman" w:eastAsia="仿宋"/>
                <w:szCs w:val="21"/>
              </w:rPr>
            </w:pPr>
            <w:r>
              <w:rPr>
                <w:rFonts w:hint="eastAsia" w:ascii="Times New Roman" w:eastAsia="仿宋"/>
                <w:szCs w:val="21"/>
              </w:rPr>
              <w:t>约4300</w:t>
            </w:r>
          </w:p>
        </w:tc>
        <w:tc>
          <w:tcPr>
            <w:tcW w:w="1311" w:type="dxa"/>
            <w:gridSpan w:val="2"/>
            <w:vAlign w:val="center"/>
          </w:tcPr>
          <w:p w14:paraId="43ED1A18">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4D35C5B1">
            <w:pPr>
              <w:spacing w:line="320" w:lineRule="exact"/>
              <w:jc w:val="center"/>
              <w:rPr>
                <w:rFonts w:ascii="Times New Roman" w:eastAsia="仿宋"/>
                <w:szCs w:val="21"/>
              </w:rPr>
            </w:pPr>
            <w:r>
              <w:rPr>
                <w:rFonts w:hint="eastAsia" w:ascii="Times New Roman" w:eastAsia="仿宋"/>
                <w:szCs w:val="21"/>
              </w:rPr>
              <w:t>约432</w:t>
            </w:r>
          </w:p>
        </w:tc>
        <w:tc>
          <w:tcPr>
            <w:tcW w:w="2268" w:type="dxa"/>
            <w:vMerge w:val="continue"/>
          </w:tcPr>
          <w:p w14:paraId="769518B8">
            <w:pPr>
              <w:spacing w:line="320" w:lineRule="exact"/>
              <w:jc w:val="center"/>
              <w:rPr>
                <w:rFonts w:ascii="Times New Roman" w:eastAsia="仿宋"/>
                <w:szCs w:val="21"/>
              </w:rPr>
            </w:pPr>
          </w:p>
        </w:tc>
      </w:tr>
      <w:tr w14:paraId="108C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93" w:type="dxa"/>
            <w:vMerge w:val="continue"/>
          </w:tcPr>
          <w:p w14:paraId="4AA81FA4">
            <w:pPr>
              <w:jc w:val="center"/>
              <w:rPr>
                <w:rFonts w:ascii="Times New Roman" w:eastAsia="仿宋"/>
                <w:szCs w:val="21"/>
              </w:rPr>
            </w:pPr>
          </w:p>
        </w:tc>
        <w:tc>
          <w:tcPr>
            <w:tcW w:w="2130" w:type="dxa"/>
            <w:vAlign w:val="center"/>
          </w:tcPr>
          <w:p w14:paraId="5D96A66B">
            <w:pPr>
              <w:spacing w:line="320" w:lineRule="exact"/>
              <w:jc w:val="center"/>
              <w:rPr>
                <w:rFonts w:ascii="Times New Roman" w:eastAsia="仿宋"/>
                <w:szCs w:val="21"/>
              </w:rPr>
            </w:pPr>
            <w:r>
              <w:rPr>
                <w:rFonts w:hint="eastAsia" w:ascii="Times New Roman" w:eastAsia="仿宋"/>
                <w:szCs w:val="21"/>
              </w:rPr>
              <w:t>金坛村唐王小学</w:t>
            </w:r>
          </w:p>
        </w:tc>
        <w:tc>
          <w:tcPr>
            <w:tcW w:w="1559" w:type="dxa"/>
            <w:vAlign w:val="center"/>
          </w:tcPr>
          <w:p w14:paraId="737F46C6">
            <w:pPr>
              <w:spacing w:line="320" w:lineRule="exact"/>
              <w:jc w:val="center"/>
              <w:rPr>
                <w:rFonts w:ascii="Times New Roman" w:eastAsia="仿宋"/>
                <w:szCs w:val="21"/>
              </w:rPr>
            </w:pPr>
            <w:r>
              <w:rPr>
                <w:rFonts w:hint="eastAsia" w:ascii="Times New Roman" w:eastAsia="仿宋"/>
                <w:szCs w:val="21"/>
              </w:rPr>
              <w:t>119.43168</w:t>
            </w:r>
          </w:p>
        </w:tc>
        <w:tc>
          <w:tcPr>
            <w:tcW w:w="1390" w:type="dxa"/>
            <w:vAlign w:val="center"/>
          </w:tcPr>
          <w:p w14:paraId="144797E8">
            <w:pPr>
              <w:spacing w:line="320" w:lineRule="exact"/>
              <w:jc w:val="center"/>
              <w:rPr>
                <w:rFonts w:ascii="Times New Roman" w:eastAsia="仿宋"/>
                <w:szCs w:val="21"/>
              </w:rPr>
            </w:pPr>
            <w:r>
              <w:rPr>
                <w:rFonts w:hint="eastAsia" w:ascii="Times New Roman" w:eastAsia="仿宋"/>
                <w:szCs w:val="21"/>
              </w:rPr>
              <w:t>31.68829</w:t>
            </w:r>
          </w:p>
        </w:tc>
        <w:tc>
          <w:tcPr>
            <w:tcW w:w="1693" w:type="dxa"/>
            <w:gridSpan w:val="2"/>
            <w:vAlign w:val="center"/>
          </w:tcPr>
          <w:p w14:paraId="25B47895">
            <w:pPr>
              <w:spacing w:line="320" w:lineRule="exact"/>
              <w:jc w:val="center"/>
              <w:rPr>
                <w:rFonts w:ascii="Times New Roman" w:eastAsia="仿宋"/>
                <w:szCs w:val="21"/>
              </w:rPr>
            </w:pPr>
            <w:r>
              <w:rPr>
                <w:rFonts w:hint="eastAsia" w:ascii="Times New Roman" w:eastAsia="仿宋"/>
                <w:szCs w:val="21"/>
              </w:rPr>
              <w:t>约4350</w:t>
            </w:r>
          </w:p>
        </w:tc>
        <w:tc>
          <w:tcPr>
            <w:tcW w:w="1311" w:type="dxa"/>
            <w:gridSpan w:val="2"/>
            <w:vAlign w:val="center"/>
          </w:tcPr>
          <w:p w14:paraId="139FAA70">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79EAA41F">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3CCB1F8C">
            <w:pPr>
              <w:spacing w:line="320" w:lineRule="exact"/>
              <w:jc w:val="center"/>
              <w:rPr>
                <w:rFonts w:ascii="Times New Roman" w:eastAsia="仿宋"/>
                <w:szCs w:val="21"/>
              </w:rPr>
            </w:pPr>
          </w:p>
        </w:tc>
      </w:tr>
      <w:tr w14:paraId="292D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F40D7A5">
            <w:pPr>
              <w:jc w:val="center"/>
              <w:rPr>
                <w:rFonts w:ascii="Times New Roman" w:eastAsia="仿宋"/>
                <w:szCs w:val="21"/>
              </w:rPr>
            </w:pPr>
          </w:p>
        </w:tc>
        <w:tc>
          <w:tcPr>
            <w:tcW w:w="2130" w:type="dxa"/>
            <w:vAlign w:val="center"/>
          </w:tcPr>
          <w:p w14:paraId="77F44923">
            <w:pPr>
              <w:spacing w:line="320" w:lineRule="exact"/>
              <w:jc w:val="center"/>
              <w:rPr>
                <w:rFonts w:ascii="Times New Roman" w:eastAsia="仿宋"/>
                <w:szCs w:val="21"/>
              </w:rPr>
            </w:pPr>
            <w:r>
              <w:rPr>
                <w:rFonts w:hint="eastAsia" w:ascii="Times New Roman" w:eastAsia="仿宋"/>
                <w:szCs w:val="21"/>
              </w:rPr>
              <w:t>西庄</w:t>
            </w:r>
          </w:p>
        </w:tc>
        <w:tc>
          <w:tcPr>
            <w:tcW w:w="1559" w:type="dxa"/>
            <w:vAlign w:val="center"/>
          </w:tcPr>
          <w:p w14:paraId="4B3D3B40">
            <w:pPr>
              <w:spacing w:line="320" w:lineRule="exact"/>
              <w:jc w:val="center"/>
              <w:rPr>
                <w:rFonts w:ascii="Times New Roman" w:eastAsia="仿宋"/>
                <w:szCs w:val="21"/>
              </w:rPr>
            </w:pPr>
            <w:r>
              <w:rPr>
                <w:rFonts w:hint="eastAsia" w:ascii="Times New Roman" w:eastAsia="仿宋"/>
                <w:szCs w:val="21"/>
              </w:rPr>
              <w:t>119.42216</w:t>
            </w:r>
          </w:p>
        </w:tc>
        <w:tc>
          <w:tcPr>
            <w:tcW w:w="1390" w:type="dxa"/>
            <w:vAlign w:val="center"/>
          </w:tcPr>
          <w:p w14:paraId="37CB3951">
            <w:pPr>
              <w:spacing w:line="320" w:lineRule="exact"/>
              <w:jc w:val="center"/>
              <w:rPr>
                <w:rFonts w:ascii="Times New Roman" w:eastAsia="仿宋"/>
                <w:szCs w:val="21"/>
              </w:rPr>
            </w:pPr>
            <w:r>
              <w:rPr>
                <w:rFonts w:hint="eastAsia" w:ascii="Times New Roman" w:eastAsia="仿宋"/>
                <w:szCs w:val="21"/>
              </w:rPr>
              <w:t>31.68893</w:t>
            </w:r>
          </w:p>
        </w:tc>
        <w:tc>
          <w:tcPr>
            <w:tcW w:w="1693" w:type="dxa"/>
            <w:gridSpan w:val="2"/>
            <w:vAlign w:val="center"/>
          </w:tcPr>
          <w:p w14:paraId="75CA1F9F">
            <w:pPr>
              <w:spacing w:line="320" w:lineRule="exact"/>
              <w:jc w:val="center"/>
              <w:rPr>
                <w:rFonts w:ascii="Times New Roman" w:eastAsia="仿宋"/>
                <w:szCs w:val="21"/>
              </w:rPr>
            </w:pPr>
            <w:r>
              <w:rPr>
                <w:rFonts w:hint="eastAsia" w:ascii="Times New Roman" w:eastAsia="仿宋"/>
                <w:szCs w:val="21"/>
              </w:rPr>
              <w:t>约4450</w:t>
            </w:r>
          </w:p>
        </w:tc>
        <w:tc>
          <w:tcPr>
            <w:tcW w:w="1311" w:type="dxa"/>
            <w:gridSpan w:val="2"/>
            <w:vAlign w:val="center"/>
          </w:tcPr>
          <w:p w14:paraId="47C9EE11">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1B789F2F">
            <w:pPr>
              <w:spacing w:line="320" w:lineRule="exact"/>
              <w:jc w:val="center"/>
              <w:rPr>
                <w:rFonts w:ascii="Times New Roman" w:eastAsia="仿宋"/>
                <w:szCs w:val="21"/>
              </w:rPr>
            </w:pPr>
            <w:r>
              <w:rPr>
                <w:rFonts w:hint="eastAsia" w:ascii="Times New Roman" w:eastAsia="仿宋"/>
                <w:szCs w:val="21"/>
              </w:rPr>
              <w:t>约264</w:t>
            </w:r>
          </w:p>
        </w:tc>
        <w:tc>
          <w:tcPr>
            <w:tcW w:w="2268" w:type="dxa"/>
            <w:vMerge w:val="continue"/>
          </w:tcPr>
          <w:p w14:paraId="4BD6C43A">
            <w:pPr>
              <w:spacing w:line="320" w:lineRule="exact"/>
              <w:jc w:val="center"/>
              <w:rPr>
                <w:rFonts w:ascii="Times New Roman" w:eastAsia="仿宋"/>
                <w:szCs w:val="21"/>
              </w:rPr>
            </w:pPr>
          </w:p>
        </w:tc>
      </w:tr>
      <w:tr w14:paraId="338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693" w:type="dxa"/>
            <w:vMerge w:val="continue"/>
          </w:tcPr>
          <w:p w14:paraId="3DB9D0D1">
            <w:pPr>
              <w:jc w:val="center"/>
              <w:rPr>
                <w:rFonts w:ascii="Times New Roman" w:eastAsia="仿宋"/>
                <w:szCs w:val="21"/>
              </w:rPr>
            </w:pPr>
          </w:p>
        </w:tc>
        <w:tc>
          <w:tcPr>
            <w:tcW w:w="2130" w:type="dxa"/>
            <w:vAlign w:val="center"/>
          </w:tcPr>
          <w:p w14:paraId="54818EEF">
            <w:pPr>
              <w:spacing w:line="320" w:lineRule="exact"/>
              <w:jc w:val="center"/>
              <w:rPr>
                <w:rFonts w:ascii="Times New Roman" w:eastAsia="仿宋"/>
                <w:szCs w:val="21"/>
              </w:rPr>
            </w:pPr>
            <w:r>
              <w:rPr>
                <w:rFonts w:hint="eastAsia" w:ascii="Times New Roman" w:eastAsia="仿宋"/>
                <w:szCs w:val="21"/>
              </w:rPr>
              <w:t>唐埠</w:t>
            </w:r>
          </w:p>
        </w:tc>
        <w:tc>
          <w:tcPr>
            <w:tcW w:w="1559" w:type="dxa"/>
            <w:vAlign w:val="center"/>
          </w:tcPr>
          <w:p w14:paraId="4AA58349">
            <w:pPr>
              <w:spacing w:line="320" w:lineRule="exact"/>
              <w:jc w:val="center"/>
              <w:rPr>
                <w:rFonts w:ascii="Times New Roman" w:eastAsia="仿宋"/>
                <w:szCs w:val="21"/>
              </w:rPr>
            </w:pPr>
            <w:r>
              <w:rPr>
                <w:rFonts w:hint="eastAsia" w:ascii="Times New Roman" w:eastAsia="仿宋"/>
                <w:szCs w:val="21"/>
              </w:rPr>
              <w:t>119.42629</w:t>
            </w:r>
          </w:p>
        </w:tc>
        <w:tc>
          <w:tcPr>
            <w:tcW w:w="1390" w:type="dxa"/>
            <w:vAlign w:val="center"/>
          </w:tcPr>
          <w:p w14:paraId="0688CDB4">
            <w:pPr>
              <w:spacing w:line="320" w:lineRule="exact"/>
              <w:jc w:val="center"/>
              <w:rPr>
                <w:rFonts w:ascii="Times New Roman" w:eastAsia="仿宋"/>
                <w:szCs w:val="21"/>
              </w:rPr>
            </w:pPr>
            <w:r>
              <w:rPr>
                <w:rFonts w:hint="eastAsia" w:ascii="Times New Roman" w:eastAsia="仿宋"/>
                <w:szCs w:val="21"/>
              </w:rPr>
              <w:t>31.68199</w:t>
            </w:r>
          </w:p>
        </w:tc>
        <w:tc>
          <w:tcPr>
            <w:tcW w:w="1693" w:type="dxa"/>
            <w:gridSpan w:val="2"/>
            <w:vAlign w:val="center"/>
          </w:tcPr>
          <w:p w14:paraId="64841D6D">
            <w:pPr>
              <w:spacing w:line="320" w:lineRule="exact"/>
              <w:jc w:val="center"/>
              <w:rPr>
                <w:rFonts w:ascii="Times New Roman" w:eastAsia="仿宋"/>
                <w:szCs w:val="21"/>
              </w:rPr>
            </w:pPr>
            <w:r>
              <w:rPr>
                <w:rFonts w:hint="eastAsia" w:ascii="Times New Roman" w:eastAsia="仿宋"/>
                <w:szCs w:val="21"/>
              </w:rPr>
              <w:t>约5050</w:t>
            </w:r>
          </w:p>
        </w:tc>
        <w:tc>
          <w:tcPr>
            <w:tcW w:w="1311" w:type="dxa"/>
            <w:gridSpan w:val="2"/>
            <w:vAlign w:val="center"/>
          </w:tcPr>
          <w:p w14:paraId="309E8F1B">
            <w:pPr>
              <w:spacing w:line="320" w:lineRule="exact"/>
              <w:jc w:val="center"/>
              <w:rPr>
                <w:rFonts w:ascii="Times New Roman" w:eastAsia="仿宋"/>
                <w:szCs w:val="21"/>
              </w:rPr>
            </w:pPr>
            <w:r>
              <w:rPr>
                <w:rFonts w:hint="eastAsia" w:ascii="Times New Roman" w:eastAsia="仿宋"/>
                <w:szCs w:val="21"/>
              </w:rPr>
              <w:t>S</w:t>
            </w:r>
          </w:p>
        </w:tc>
        <w:tc>
          <w:tcPr>
            <w:tcW w:w="1134" w:type="dxa"/>
            <w:vAlign w:val="center"/>
          </w:tcPr>
          <w:p w14:paraId="5F0DE61E">
            <w:pPr>
              <w:spacing w:line="320" w:lineRule="exact"/>
              <w:jc w:val="center"/>
              <w:rPr>
                <w:rFonts w:ascii="Times New Roman" w:eastAsia="仿宋"/>
                <w:szCs w:val="21"/>
              </w:rPr>
            </w:pPr>
            <w:r>
              <w:rPr>
                <w:rFonts w:hint="eastAsia" w:ascii="Times New Roman" w:eastAsia="仿宋"/>
                <w:szCs w:val="21"/>
              </w:rPr>
              <w:t>约276</w:t>
            </w:r>
          </w:p>
        </w:tc>
        <w:tc>
          <w:tcPr>
            <w:tcW w:w="2268" w:type="dxa"/>
            <w:vMerge w:val="continue"/>
          </w:tcPr>
          <w:p w14:paraId="66348E1F">
            <w:pPr>
              <w:spacing w:line="320" w:lineRule="exact"/>
              <w:jc w:val="center"/>
              <w:rPr>
                <w:rFonts w:ascii="Times New Roman" w:eastAsia="仿宋"/>
                <w:szCs w:val="21"/>
              </w:rPr>
            </w:pPr>
          </w:p>
        </w:tc>
      </w:tr>
      <w:tr w14:paraId="4B11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693" w:type="dxa"/>
            <w:vMerge w:val="continue"/>
          </w:tcPr>
          <w:p w14:paraId="48CB0EC2">
            <w:pPr>
              <w:jc w:val="center"/>
              <w:rPr>
                <w:rFonts w:ascii="Times New Roman" w:eastAsia="仿宋"/>
                <w:szCs w:val="21"/>
              </w:rPr>
            </w:pPr>
          </w:p>
        </w:tc>
        <w:tc>
          <w:tcPr>
            <w:tcW w:w="2130" w:type="dxa"/>
            <w:vAlign w:val="center"/>
          </w:tcPr>
          <w:p w14:paraId="788FF20B">
            <w:pPr>
              <w:spacing w:line="320" w:lineRule="exact"/>
              <w:jc w:val="center"/>
              <w:rPr>
                <w:rFonts w:ascii="Times New Roman" w:eastAsia="仿宋"/>
                <w:szCs w:val="21"/>
              </w:rPr>
            </w:pPr>
            <w:r>
              <w:rPr>
                <w:rFonts w:hint="eastAsia" w:ascii="Times New Roman" w:eastAsia="仿宋"/>
                <w:szCs w:val="21"/>
              </w:rPr>
              <w:t>唐巷村</w:t>
            </w:r>
          </w:p>
        </w:tc>
        <w:tc>
          <w:tcPr>
            <w:tcW w:w="1559" w:type="dxa"/>
            <w:vAlign w:val="center"/>
          </w:tcPr>
          <w:p w14:paraId="315D3C04">
            <w:pPr>
              <w:spacing w:line="320" w:lineRule="exact"/>
              <w:jc w:val="center"/>
              <w:rPr>
                <w:rFonts w:ascii="Times New Roman" w:eastAsia="仿宋"/>
                <w:szCs w:val="21"/>
              </w:rPr>
            </w:pPr>
            <w:r>
              <w:rPr>
                <w:rFonts w:hint="eastAsia" w:ascii="Times New Roman" w:eastAsia="仿宋"/>
                <w:szCs w:val="21"/>
              </w:rPr>
              <w:t>119.43055</w:t>
            </w:r>
          </w:p>
        </w:tc>
        <w:tc>
          <w:tcPr>
            <w:tcW w:w="1390" w:type="dxa"/>
            <w:vAlign w:val="center"/>
          </w:tcPr>
          <w:p w14:paraId="18776001">
            <w:pPr>
              <w:spacing w:line="320" w:lineRule="exact"/>
              <w:jc w:val="center"/>
              <w:rPr>
                <w:rFonts w:ascii="Times New Roman" w:eastAsia="仿宋"/>
                <w:szCs w:val="21"/>
              </w:rPr>
            </w:pPr>
            <w:r>
              <w:rPr>
                <w:rFonts w:hint="eastAsia" w:ascii="Times New Roman" w:eastAsia="仿宋"/>
                <w:szCs w:val="21"/>
              </w:rPr>
              <w:t>31.72101</w:t>
            </w:r>
          </w:p>
        </w:tc>
        <w:tc>
          <w:tcPr>
            <w:tcW w:w="1693" w:type="dxa"/>
            <w:gridSpan w:val="2"/>
            <w:vAlign w:val="center"/>
          </w:tcPr>
          <w:p w14:paraId="4262FF0B">
            <w:pPr>
              <w:spacing w:line="320" w:lineRule="exact"/>
              <w:jc w:val="center"/>
              <w:rPr>
                <w:rFonts w:ascii="Times New Roman" w:eastAsia="仿宋"/>
                <w:szCs w:val="21"/>
              </w:rPr>
            </w:pPr>
            <w:r>
              <w:rPr>
                <w:rFonts w:hint="eastAsia" w:ascii="Times New Roman" w:eastAsia="仿宋"/>
                <w:szCs w:val="21"/>
              </w:rPr>
              <w:t>约850</w:t>
            </w:r>
          </w:p>
        </w:tc>
        <w:tc>
          <w:tcPr>
            <w:tcW w:w="1311" w:type="dxa"/>
            <w:gridSpan w:val="2"/>
            <w:vAlign w:val="center"/>
          </w:tcPr>
          <w:p w14:paraId="5AE95672">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10B305B7">
            <w:pPr>
              <w:spacing w:line="320" w:lineRule="exact"/>
              <w:jc w:val="center"/>
              <w:rPr>
                <w:rFonts w:ascii="Times New Roman" w:eastAsia="仿宋"/>
                <w:szCs w:val="21"/>
              </w:rPr>
            </w:pPr>
            <w:r>
              <w:rPr>
                <w:rFonts w:hint="eastAsia" w:ascii="Times New Roman" w:eastAsia="仿宋"/>
                <w:szCs w:val="21"/>
              </w:rPr>
              <w:t>约456</w:t>
            </w:r>
          </w:p>
        </w:tc>
        <w:tc>
          <w:tcPr>
            <w:tcW w:w="2268" w:type="dxa"/>
            <w:vMerge w:val="continue"/>
          </w:tcPr>
          <w:p w14:paraId="23F237A4">
            <w:pPr>
              <w:spacing w:line="320" w:lineRule="exact"/>
              <w:jc w:val="center"/>
              <w:rPr>
                <w:rFonts w:ascii="Times New Roman" w:eastAsia="仿宋"/>
                <w:szCs w:val="21"/>
              </w:rPr>
            </w:pPr>
          </w:p>
        </w:tc>
      </w:tr>
      <w:tr w14:paraId="275D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8404B0C">
            <w:pPr>
              <w:jc w:val="center"/>
              <w:rPr>
                <w:rFonts w:ascii="Times New Roman" w:eastAsia="仿宋"/>
                <w:szCs w:val="21"/>
              </w:rPr>
            </w:pPr>
          </w:p>
        </w:tc>
        <w:tc>
          <w:tcPr>
            <w:tcW w:w="2130" w:type="dxa"/>
            <w:vAlign w:val="center"/>
          </w:tcPr>
          <w:p w14:paraId="0C16241D">
            <w:pPr>
              <w:spacing w:line="320" w:lineRule="exact"/>
              <w:jc w:val="center"/>
              <w:rPr>
                <w:rFonts w:ascii="Times New Roman" w:eastAsia="仿宋"/>
                <w:szCs w:val="21"/>
              </w:rPr>
            </w:pPr>
            <w:r>
              <w:rPr>
                <w:rFonts w:hint="eastAsia" w:ascii="Times New Roman" w:eastAsia="仿宋"/>
                <w:szCs w:val="21"/>
              </w:rPr>
              <w:t>西庄背</w:t>
            </w:r>
          </w:p>
        </w:tc>
        <w:tc>
          <w:tcPr>
            <w:tcW w:w="1559" w:type="dxa"/>
            <w:vAlign w:val="center"/>
          </w:tcPr>
          <w:p w14:paraId="1C78151F">
            <w:pPr>
              <w:spacing w:line="320" w:lineRule="exact"/>
              <w:jc w:val="center"/>
              <w:rPr>
                <w:rFonts w:ascii="Times New Roman" w:eastAsia="仿宋"/>
                <w:szCs w:val="21"/>
              </w:rPr>
            </w:pPr>
            <w:r>
              <w:rPr>
                <w:rFonts w:hint="eastAsia" w:ascii="Times New Roman" w:eastAsia="仿宋"/>
                <w:szCs w:val="21"/>
              </w:rPr>
              <w:t>119.41125</w:t>
            </w:r>
          </w:p>
        </w:tc>
        <w:tc>
          <w:tcPr>
            <w:tcW w:w="1390" w:type="dxa"/>
            <w:vAlign w:val="center"/>
          </w:tcPr>
          <w:p w14:paraId="3556BBC4">
            <w:pPr>
              <w:spacing w:line="320" w:lineRule="exact"/>
              <w:jc w:val="center"/>
              <w:rPr>
                <w:rFonts w:ascii="Times New Roman" w:eastAsia="仿宋"/>
                <w:szCs w:val="21"/>
              </w:rPr>
            </w:pPr>
            <w:r>
              <w:rPr>
                <w:rFonts w:hint="eastAsia" w:ascii="Times New Roman" w:eastAsia="仿宋"/>
                <w:szCs w:val="21"/>
              </w:rPr>
              <w:t>31.7</w:t>
            </w:r>
            <w:r>
              <w:rPr>
                <w:rFonts w:ascii="Times New Roman" w:eastAsia="仿宋"/>
                <w:szCs w:val="21"/>
              </w:rPr>
              <w:t>1</w:t>
            </w:r>
            <w:r>
              <w:rPr>
                <w:rFonts w:hint="eastAsia" w:ascii="Times New Roman" w:eastAsia="仿宋"/>
                <w:szCs w:val="21"/>
              </w:rPr>
              <w:t>62</w:t>
            </w:r>
            <w:r>
              <w:rPr>
                <w:rFonts w:ascii="Times New Roman" w:eastAsia="仿宋"/>
                <w:szCs w:val="21"/>
              </w:rPr>
              <w:t>3</w:t>
            </w:r>
          </w:p>
        </w:tc>
        <w:tc>
          <w:tcPr>
            <w:tcW w:w="1693" w:type="dxa"/>
            <w:gridSpan w:val="2"/>
            <w:vAlign w:val="center"/>
          </w:tcPr>
          <w:p w14:paraId="2392F23F">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100</w:t>
            </w:r>
          </w:p>
        </w:tc>
        <w:tc>
          <w:tcPr>
            <w:tcW w:w="1311" w:type="dxa"/>
            <w:gridSpan w:val="2"/>
            <w:vAlign w:val="center"/>
          </w:tcPr>
          <w:p w14:paraId="41ABE3B5">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4D08A26F">
            <w:pPr>
              <w:spacing w:line="320" w:lineRule="exact"/>
              <w:jc w:val="center"/>
              <w:rPr>
                <w:rFonts w:ascii="Times New Roman" w:eastAsia="仿宋"/>
                <w:szCs w:val="21"/>
              </w:rPr>
            </w:pPr>
            <w:r>
              <w:rPr>
                <w:rFonts w:hint="eastAsia" w:ascii="Times New Roman" w:eastAsia="仿宋"/>
                <w:szCs w:val="21"/>
              </w:rPr>
              <w:t>约200</w:t>
            </w:r>
          </w:p>
        </w:tc>
        <w:tc>
          <w:tcPr>
            <w:tcW w:w="2268" w:type="dxa"/>
            <w:vMerge w:val="continue"/>
          </w:tcPr>
          <w:p w14:paraId="0B059A6D">
            <w:pPr>
              <w:spacing w:line="320" w:lineRule="exact"/>
              <w:jc w:val="center"/>
              <w:rPr>
                <w:rFonts w:ascii="Times New Roman" w:eastAsia="仿宋"/>
                <w:szCs w:val="21"/>
              </w:rPr>
            </w:pPr>
          </w:p>
        </w:tc>
      </w:tr>
      <w:tr w14:paraId="3B5A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F2D8B86">
            <w:pPr>
              <w:jc w:val="center"/>
              <w:rPr>
                <w:rFonts w:ascii="Times New Roman" w:eastAsia="仿宋"/>
                <w:szCs w:val="21"/>
              </w:rPr>
            </w:pPr>
          </w:p>
        </w:tc>
        <w:tc>
          <w:tcPr>
            <w:tcW w:w="2130" w:type="dxa"/>
            <w:vAlign w:val="center"/>
          </w:tcPr>
          <w:p w14:paraId="6556B8CF">
            <w:pPr>
              <w:spacing w:line="320" w:lineRule="exact"/>
              <w:jc w:val="center"/>
              <w:rPr>
                <w:rFonts w:ascii="Times New Roman" w:eastAsia="仿宋"/>
                <w:szCs w:val="21"/>
              </w:rPr>
            </w:pPr>
            <w:r>
              <w:rPr>
                <w:rFonts w:hint="eastAsia" w:ascii="Times New Roman" w:eastAsia="仿宋"/>
                <w:szCs w:val="21"/>
              </w:rPr>
              <w:t>蒋巷圩</w:t>
            </w:r>
          </w:p>
        </w:tc>
        <w:tc>
          <w:tcPr>
            <w:tcW w:w="1559" w:type="dxa"/>
            <w:vAlign w:val="center"/>
          </w:tcPr>
          <w:p w14:paraId="54FC6620">
            <w:pPr>
              <w:spacing w:line="320" w:lineRule="exact"/>
              <w:jc w:val="center"/>
              <w:rPr>
                <w:rFonts w:ascii="Times New Roman" w:eastAsia="仿宋"/>
                <w:szCs w:val="21"/>
              </w:rPr>
            </w:pPr>
            <w:r>
              <w:rPr>
                <w:rFonts w:hint="eastAsia" w:ascii="Times New Roman" w:eastAsia="仿宋"/>
                <w:szCs w:val="21"/>
              </w:rPr>
              <w:t>119.42104</w:t>
            </w:r>
          </w:p>
        </w:tc>
        <w:tc>
          <w:tcPr>
            <w:tcW w:w="1390" w:type="dxa"/>
            <w:vAlign w:val="center"/>
          </w:tcPr>
          <w:p w14:paraId="6505D34C">
            <w:pPr>
              <w:spacing w:line="320" w:lineRule="exact"/>
              <w:jc w:val="center"/>
              <w:rPr>
                <w:rFonts w:ascii="Times New Roman" w:eastAsia="仿宋"/>
                <w:szCs w:val="21"/>
              </w:rPr>
            </w:pPr>
            <w:r>
              <w:rPr>
                <w:rFonts w:hint="eastAsia" w:ascii="Times New Roman" w:eastAsia="仿宋"/>
                <w:szCs w:val="21"/>
              </w:rPr>
              <w:t>31.70827</w:t>
            </w:r>
          </w:p>
        </w:tc>
        <w:tc>
          <w:tcPr>
            <w:tcW w:w="1693" w:type="dxa"/>
            <w:gridSpan w:val="2"/>
            <w:vAlign w:val="center"/>
          </w:tcPr>
          <w:p w14:paraId="5CEA46F7">
            <w:pPr>
              <w:spacing w:line="320" w:lineRule="exact"/>
              <w:jc w:val="center"/>
              <w:rPr>
                <w:rFonts w:ascii="Times New Roman" w:eastAsia="仿宋"/>
                <w:szCs w:val="21"/>
              </w:rPr>
            </w:pPr>
            <w:r>
              <w:rPr>
                <w:rFonts w:hint="eastAsia" w:ascii="Times New Roman" w:eastAsia="仿宋"/>
                <w:szCs w:val="21"/>
              </w:rPr>
              <w:t>约2500</w:t>
            </w:r>
          </w:p>
        </w:tc>
        <w:tc>
          <w:tcPr>
            <w:tcW w:w="1311" w:type="dxa"/>
            <w:gridSpan w:val="2"/>
            <w:vAlign w:val="center"/>
          </w:tcPr>
          <w:p w14:paraId="0159E891">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1018BA58">
            <w:pPr>
              <w:spacing w:line="320" w:lineRule="exact"/>
              <w:jc w:val="center"/>
              <w:rPr>
                <w:rFonts w:ascii="Times New Roman" w:eastAsia="仿宋"/>
                <w:szCs w:val="21"/>
              </w:rPr>
            </w:pPr>
            <w:r>
              <w:rPr>
                <w:rFonts w:hint="eastAsia" w:ascii="Times New Roman" w:eastAsia="仿宋"/>
                <w:szCs w:val="21"/>
              </w:rPr>
              <w:t>约396</w:t>
            </w:r>
          </w:p>
        </w:tc>
        <w:tc>
          <w:tcPr>
            <w:tcW w:w="2268" w:type="dxa"/>
            <w:vMerge w:val="continue"/>
          </w:tcPr>
          <w:p w14:paraId="28336283">
            <w:pPr>
              <w:spacing w:line="320" w:lineRule="exact"/>
              <w:jc w:val="center"/>
              <w:rPr>
                <w:rFonts w:ascii="Times New Roman" w:eastAsia="仿宋"/>
                <w:szCs w:val="21"/>
              </w:rPr>
            </w:pPr>
          </w:p>
        </w:tc>
      </w:tr>
      <w:tr w14:paraId="4C90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C7AADCE">
            <w:pPr>
              <w:jc w:val="center"/>
              <w:rPr>
                <w:rFonts w:ascii="Times New Roman" w:eastAsia="仿宋"/>
                <w:szCs w:val="21"/>
              </w:rPr>
            </w:pPr>
          </w:p>
        </w:tc>
        <w:tc>
          <w:tcPr>
            <w:tcW w:w="2130" w:type="dxa"/>
            <w:vAlign w:val="center"/>
          </w:tcPr>
          <w:p w14:paraId="3E39AB3A">
            <w:pPr>
              <w:spacing w:line="320" w:lineRule="exact"/>
              <w:jc w:val="center"/>
              <w:rPr>
                <w:rFonts w:ascii="Times New Roman" w:eastAsia="仿宋"/>
                <w:szCs w:val="21"/>
              </w:rPr>
            </w:pPr>
            <w:r>
              <w:rPr>
                <w:rFonts w:hint="eastAsia" w:ascii="Times New Roman" w:eastAsia="仿宋"/>
                <w:szCs w:val="21"/>
              </w:rPr>
              <w:t>屯山村</w:t>
            </w:r>
          </w:p>
        </w:tc>
        <w:tc>
          <w:tcPr>
            <w:tcW w:w="1559" w:type="dxa"/>
            <w:vAlign w:val="center"/>
          </w:tcPr>
          <w:p w14:paraId="7B619F64">
            <w:pPr>
              <w:spacing w:line="320" w:lineRule="exact"/>
              <w:jc w:val="center"/>
              <w:rPr>
                <w:rFonts w:ascii="Times New Roman" w:eastAsia="仿宋"/>
                <w:szCs w:val="21"/>
              </w:rPr>
            </w:pPr>
            <w:r>
              <w:rPr>
                <w:rFonts w:hint="eastAsia" w:ascii="Times New Roman" w:eastAsia="仿宋"/>
                <w:szCs w:val="21"/>
              </w:rPr>
              <w:t>119.41387</w:t>
            </w:r>
          </w:p>
        </w:tc>
        <w:tc>
          <w:tcPr>
            <w:tcW w:w="1390" w:type="dxa"/>
            <w:vAlign w:val="center"/>
          </w:tcPr>
          <w:p w14:paraId="3F3B052B">
            <w:pPr>
              <w:spacing w:line="320" w:lineRule="exact"/>
              <w:jc w:val="center"/>
              <w:rPr>
                <w:rFonts w:ascii="Times New Roman" w:eastAsia="仿宋"/>
                <w:szCs w:val="21"/>
              </w:rPr>
            </w:pPr>
            <w:r>
              <w:rPr>
                <w:rFonts w:hint="eastAsia" w:ascii="Times New Roman" w:eastAsia="仿宋"/>
                <w:szCs w:val="21"/>
              </w:rPr>
              <w:t>31.71508</w:t>
            </w:r>
          </w:p>
        </w:tc>
        <w:tc>
          <w:tcPr>
            <w:tcW w:w="1693" w:type="dxa"/>
            <w:gridSpan w:val="2"/>
            <w:vAlign w:val="center"/>
          </w:tcPr>
          <w:p w14:paraId="793CD704">
            <w:pPr>
              <w:spacing w:line="320" w:lineRule="exact"/>
              <w:jc w:val="center"/>
              <w:rPr>
                <w:rFonts w:ascii="Times New Roman" w:eastAsia="仿宋"/>
                <w:szCs w:val="21"/>
              </w:rPr>
            </w:pPr>
            <w:r>
              <w:rPr>
                <w:rFonts w:hint="eastAsia" w:ascii="Times New Roman" w:eastAsia="仿宋"/>
                <w:szCs w:val="21"/>
              </w:rPr>
              <w:t>约2500</w:t>
            </w:r>
          </w:p>
        </w:tc>
        <w:tc>
          <w:tcPr>
            <w:tcW w:w="1311" w:type="dxa"/>
            <w:gridSpan w:val="2"/>
            <w:vAlign w:val="center"/>
          </w:tcPr>
          <w:p w14:paraId="5C25929C">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1A30D1B5">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71D3F3D0">
            <w:pPr>
              <w:spacing w:line="320" w:lineRule="exact"/>
              <w:jc w:val="center"/>
              <w:rPr>
                <w:rFonts w:ascii="Times New Roman" w:eastAsia="仿宋"/>
                <w:szCs w:val="21"/>
              </w:rPr>
            </w:pPr>
          </w:p>
        </w:tc>
      </w:tr>
      <w:tr w14:paraId="4FE5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ABC3A61">
            <w:pPr>
              <w:jc w:val="center"/>
              <w:rPr>
                <w:rFonts w:ascii="Times New Roman" w:eastAsia="仿宋"/>
                <w:szCs w:val="21"/>
              </w:rPr>
            </w:pPr>
          </w:p>
        </w:tc>
        <w:tc>
          <w:tcPr>
            <w:tcW w:w="2130" w:type="dxa"/>
            <w:vAlign w:val="center"/>
          </w:tcPr>
          <w:p w14:paraId="59BA2C54">
            <w:pPr>
              <w:spacing w:line="320" w:lineRule="exact"/>
              <w:jc w:val="center"/>
              <w:rPr>
                <w:rFonts w:ascii="Times New Roman" w:eastAsia="仿宋"/>
                <w:szCs w:val="21"/>
              </w:rPr>
            </w:pPr>
            <w:r>
              <w:rPr>
                <w:rFonts w:hint="eastAsia" w:ascii="Times New Roman" w:eastAsia="仿宋"/>
                <w:szCs w:val="21"/>
              </w:rPr>
              <w:t>王家墩</w:t>
            </w:r>
          </w:p>
        </w:tc>
        <w:tc>
          <w:tcPr>
            <w:tcW w:w="1559" w:type="dxa"/>
            <w:vAlign w:val="center"/>
          </w:tcPr>
          <w:p w14:paraId="2F403ACA">
            <w:pPr>
              <w:spacing w:line="320" w:lineRule="exact"/>
              <w:jc w:val="center"/>
              <w:rPr>
                <w:rFonts w:ascii="Times New Roman" w:eastAsia="仿宋"/>
                <w:szCs w:val="21"/>
              </w:rPr>
            </w:pPr>
            <w:r>
              <w:rPr>
                <w:rFonts w:hint="eastAsia" w:ascii="Times New Roman" w:eastAsia="仿宋"/>
                <w:szCs w:val="21"/>
              </w:rPr>
              <w:t>119.41957</w:t>
            </w:r>
          </w:p>
        </w:tc>
        <w:tc>
          <w:tcPr>
            <w:tcW w:w="1390" w:type="dxa"/>
            <w:vAlign w:val="center"/>
          </w:tcPr>
          <w:p w14:paraId="10CF1A6D">
            <w:pPr>
              <w:spacing w:line="320" w:lineRule="exact"/>
              <w:jc w:val="center"/>
              <w:rPr>
                <w:rFonts w:ascii="Times New Roman" w:eastAsia="仿宋"/>
                <w:szCs w:val="21"/>
              </w:rPr>
            </w:pPr>
            <w:r>
              <w:rPr>
                <w:rFonts w:hint="eastAsia" w:ascii="Times New Roman" w:eastAsia="仿宋"/>
                <w:szCs w:val="21"/>
              </w:rPr>
              <w:t>31.70154</w:t>
            </w:r>
          </w:p>
        </w:tc>
        <w:tc>
          <w:tcPr>
            <w:tcW w:w="1693" w:type="dxa"/>
            <w:gridSpan w:val="2"/>
            <w:vAlign w:val="center"/>
          </w:tcPr>
          <w:p w14:paraId="72140BB8">
            <w:pPr>
              <w:spacing w:line="320" w:lineRule="exact"/>
              <w:jc w:val="center"/>
              <w:rPr>
                <w:rFonts w:ascii="Times New Roman" w:eastAsia="仿宋"/>
                <w:szCs w:val="21"/>
              </w:rPr>
            </w:pPr>
            <w:r>
              <w:rPr>
                <w:rFonts w:hint="eastAsia" w:ascii="Times New Roman" w:eastAsia="仿宋"/>
                <w:szCs w:val="21"/>
              </w:rPr>
              <w:t>约3200</w:t>
            </w:r>
          </w:p>
        </w:tc>
        <w:tc>
          <w:tcPr>
            <w:tcW w:w="1311" w:type="dxa"/>
            <w:gridSpan w:val="2"/>
            <w:vAlign w:val="center"/>
          </w:tcPr>
          <w:p w14:paraId="2EEAAE65">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2819A6AF">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59E4BAD9">
            <w:pPr>
              <w:spacing w:line="320" w:lineRule="exact"/>
              <w:jc w:val="center"/>
              <w:rPr>
                <w:rFonts w:ascii="Times New Roman" w:eastAsia="仿宋"/>
                <w:szCs w:val="21"/>
              </w:rPr>
            </w:pPr>
          </w:p>
        </w:tc>
      </w:tr>
      <w:tr w14:paraId="577A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D76780F">
            <w:pPr>
              <w:jc w:val="center"/>
              <w:rPr>
                <w:rFonts w:ascii="Times New Roman" w:eastAsia="仿宋"/>
                <w:szCs w:val="21"/>
              </w:rPr>
            </w:pPr>
          </w:p>
        </w:tc>
        <w:tc>
          <w:tcPr>
            <w:tcW w:w="2130" w:type="dxa"/>
            <w:vAlign w:val="center"/>
          </w:tcPr>
          <w:p w14:paraId="117573BB">
            <w:pPr>
              <w:spacing w:line="320" w:lineRule="exact"/>
              <w:jc w:val="center"/>
              <w:rPr>
                <w:rFonts w:ascii="Times New Roman" w:eastAsia="仿宋"/>
                <w:szCs w:val="21"/>
              </w:rPr>
            </w:pPr>
            <w:r>
              <w:rPr>
                <w:rFonts w:hint="eastAsia" w:ascii="Times New Roman" w:eastAsia="仿宋"/>
                <w:szCs w:val="21"/>
              </w:rPr>
              <w:t>高家圩</w:t>
            </w:r>
          </w:p>
        </w:tc>
        <w:tc>
          <w:tcPr>
            <w:tcW w:w="1559" w:type="dxa"/>
            <w:vAlign w:val="center"/>
          </w:tcPr>
          <w:p w14:paraId="537B9CC2">
            <w:pPr>
              <w:spacing w:line="320" w:lineRule="exact"/>
              <w:jc w:val="center"/>
              <w:rPr>
                <w:rFonts w:ascii="Times New Roman" w:eastAsia="仿宋"/>
                <w:szCs w:val="21"/>
              </w:rPr>
            </w:pPr>
            <w:r>
              <w:rPr>
                <w:rFonts w:hint="eastAsia" w:ascii="Times New Roman" w:eastAsia="仿宋"/>
                <w:szCs w:val="21"/>
              </w:rPr>
              <w:t>119.41230</w:t>
            </w:r>
          </w:p>
        </w:tc>
        <w:tc>
          <w:tcPr>
            <w:tcW w:w="1390" w:type="dxa"/>
            <w:vAlign w:val="center"/>
          </w:tcPr>
          <w:p w14:paraId="19A04C4F">
            <w:pPr>
              <w:spacing w:line="320" w:lineRule="exact"/>
              <w:jc w:val="center"/>
              <w:rPr>
                <w:rFonts w:ascii="Times New Roman" w:eastAsia="仿宋"/>
                <w:szCs w:val="21"/>
              </w:rPr>
            </w:pPr>
            <w:r>
              <w:rPr>
                <w:rFonts w:hint="eastAsia" w:ascii="Times New Roman" w:eastAsia="仿宋"/>
                <w:szCs w:val="21"/>
              </w:rPr>
              <w:t>31.70652</w:t>
            </w:r>
          </w:p>
        </w:tc>
        <w:tc>
          <w:tcPr>
            <w:tcW w:w="1693" w:type="dxa"/>
            <w:gridSpan w:val="2"/>
            <w:vAlign w:val="center"/>
          </w:tcPr>
          <w:p w14:paraId="4A237DEE">
            <w:pPr>
              <w:spacing w:line="320" w:lineRule="exact"/>
              <w:jc w:val="center"/>
              <w:rPr>
                <w:rFonts w:ascii="Times New Roman" w:eastAsia="仿宋"/>
                <w:szCs w:val="21"/>
              </w:rPr>
            </w:pPr>
            <w:r>
              <w:rPr>
                <w:rFonts w:hint="eastAsia" w:ascii="Times New Roman" w:eastAsia="仿宋"/>
                <w:szCs w:val="21"/>
              </w:rPr>
              <w:t>约3250</w:t>
            </w:r>
          </w:p>
        </w:tc>
        <w:tc>
          <w:tcPr>
            <w:tcW w:w="1311" w:type="dxa"/>
            <w:gridSpan w:val="2"/>
            <w:vAlign w:val="center"/>
          </w:tcPr>
          <w:p w14:paraId="00FDD591">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67DD8AC7">
            <w:pPr>
              <w:spacing w:line="320" w:lineRule="exact"/>
              <w:jc w:val="center"/>
              <w:rPr>
                <w:rFonts w:ascii="Times New Roman" w:eastAsia="仿宋"/>
                <w:szCs w:val="21"/>
              </w:rPr>
            </w:pPr>
            <w:r>
              <w:rPr>
                <w:rFonts w:hint="eastAsia" w:ascii="Times New Roman" w:eastAsia="仿宋"/>
                <w:szCs w:val="21"/>
              </w:rPr>
              <w:t>约336</w:t>
            </w:r>
          </w:p>
        </w:tc>
        <w:tc>
          <w:tcPr>
            <w:tcW w:w="2268" w:type="dxa"/>
            <w:vMerge w:val="continue"/>
          </w:tcPr>
          <w:p w14:paraId="495B1A7A">
            <w:pPr>
              <w:spacing w:line="320" w:lineRule="exact"/>
              <w:jc w:val="center"/>
              <w:rPr>
                <w:rFonts w:ascii="Times New Roman" w:eastAsia="仿宋"/>
                <w:szCs w:val="21"/>
              </w:rPr>
            </w:pPr>
          </w:p>
        </w:tc>
      </w:tr>
      <w:tr w14:paraId="5792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7DFAEE8">
            <w:pPr>
              <w:jc w:val="center"/>
              <w:rPr>
                <w:rFonts w:ascii="Times New Roman" w:eastAsia="仿宋"/>
                <w:szCs w:val="21"/>
              </w:rPr>
            </w:pPr>
          </w:p>
        </w:tc>
        <w:tc>
          <w:tcPr>
            <w:tcW w:w="2130" w:type="dxa"/>
            <w:vAlign w:val="center"/>
          </w:tcPr>
          <w:p w14:paraId="4F1D185D">
            <w:pPr>
              <w:spacing w:line="320" w:lineRule="exact"/>
              <w:jc w:val="center"/>
              <w:rPr>
                <w:rFonts w:ascii="Times New Roman" w:eastAsia="仿宋"/>
                <w:szCs w:val="21"/>
              </w:rPr>
            </w:pPr>
            <w:r>
              <w:rPr>
                <w:rFonts w:hint="eastAsia" w:ascii="Times New Roman" w:eastAsia="仿宋"/>
                <w:szCs w:val="21"/>
              </w:rPr>
              <w:t>南圩桥</w:t>
            </w:r>
          </w:p>
        </w:tc>
        <w:tc>
          <w:tcPr>
            <w:tcW w:w="1559" w:type="dxa"/>
            <w:vAlign w:val="center"/>
          </w:tcPr>
          <w:p w14:paraId="71615091">
            <w:pPr>
              <w:spacing w:line="320" w:lineRule="exact"/>
              <w:jc w:val="center"/>
              <w:rPr>
                <w:rFonts w:ascii="Times New Roman" w:eastAsia="仿宋"/>
                <w:szCs w:val="21"/>
              </w:rPr>
            </w:pPr>
            <w:r>
              <w:rPr>
                <w:rFonts w:hint="eastAsia" w:ascii="Times New Roman" w:eastAsia="仿宋"/>
                <w:szCs w:val="21"/>
              </w:rPr>
              <w:t>119.41520</w:t>
            </w:r>
          </w:p>
        </w:tc>
        <w:tc>
          <w:tcPr>
            <w:tcW w:w="1390" w:type="dxa"/>
            <w:vAlign w:val="center"/>
          </w:tcPr>
          <w:p w14:paraId="57A0426C">
            <w:pPr>
              <w:spacing w:line="320" w:lineRule="exact"/>
              <w:jc w:val="center"/>
              <w:rPr>
                <w:rFonts w:ascii="Times New Roman" w:eastAsia="仿宋"/>
                <w:szCs w:val="21"/>
              </w:rPr>
            </w:pPr>
            <w:r>
              <w:rPr>
                <w:rFonts w:hint="eastAsia" w:ascii="Times New Roman" w:eastAsia="仿宋"/>
                <w:szCs w:val="21"/>
              </w:rPr>
              <w:t>31.69807</w:t>
            </w:r>
          </w:p>
        </w:tc>
        <w:tc>
          <w:tcPr>
            <w:tcW w:w="1693" w:type="dxa"/>
            <w:gridSpan w:val="2"/>
            <w:vAlign w:val="center"/>
          </w:tcPr>
          <w:p w14:paraId="028B35DF">
            <w:pPr>
              <w:spacing w:line="320" w:lineRule="exact"/>
              <w:jc w:val="center"/>
              <w:rPr>
                <w:rFonts w:ascii="Times New Roman" w:eastAsia="仿宋"/>
                <w:szCs w:val="21"/>
              </w:rPr>
            </w:pPr>
            <w:r>
              <w:rPr>
                <w:rFonts w:hint="eastAsia" w:ascii="Times New Roman" w:eastAsia="仿宋"/>
                <w:szCs w:val="21"/>
              </w:rPr>
              <w:t>约3800</w:t>
            </w:r>
          </w:p>
        </w:tc>
        <w:tc>
          <w:tcPr>
            <w:tcW w:w="1311" w:type="dxa"/>
            <w:gridSpan w:val="2"/>
            <w:vAlign w:val="center"/>
          </w:tcPr>
          <w:p w14:paraId="65FA03A6">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6FE50F3A">
            <w:pPr>
              <w:spacing w:line="320" w:lineRule="exact"/>
              <w:jc w:val="center"/>
              <w:rPr>
                <w:rFonts w:ascii="Times New Roman" w:eastAsia="仿宋"/>
                <w:szCs w:val="21"/>
              </w:rPr>
            </w:pPr>
            <w:r>
              <w:rPr>
                <w:rFonts w:hint="eastAsia" w:ascii="Times New Roman" w:eastAsia="仿宋"/>
                <w:szCs w:val="21"/>
              </w:rPr>
              <w:t>约252</w:t>
            </w:r>
          </w:p>
        </w:tc>
        <w:tc>
          <w:tcPr>
            <w:tcW w:w="2268" w:type="dxa"/>
            <w:vMerge w:val="continue"/>
          </w:tcPr>
          <w:p w14:paraId="3198561F">
            <w:pPr>
              <w:spacing w:line="320" w:lineRule="exact"/>
              <w:jc w:val="center"/>
              <w:rPr>
                <w:rFonts w:ascii="Times New Roman" w:eastAsia="仿宋"/>
                <w:szCs w:val="21"/>
              </w:rPr>
            </w:pPr>
          </w:p>
        </w:tc>
      </w:tr>
      <w:tr w14:paraId="6F5D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F8200C4">
            <w:pPr>
              <w:jc w:val="center"/>
              <w:rPr>
                <w:rFonts w:ascii="Times New Roman" w:eastAsia="仿宋"/>
                <w:szCs w:val="21"/>
              </w:rPr>
            </w:pPr>
          </w:p>
        </w:tc>
        <w:tc>
          <w:tcPr>
            <w:tcW w:w="2130" w:type="dxa"/>
            <w:vAlign w:val="center"/>
          </w:tcPr>
          <w:p w14:paraId="4C4FC939">
            <w:pPr>
              <w:spacing w:line="320" w:lineRule="exact"/>
              <w:jc w:val="center"/>
              <w:rPr>
                <w:rFonts w:ascii="Times New Roman" w:eastAsia="仿宋"/>
                <w:szCs w:val="21"/>
              </w:rPr>
            </w:pPr>
            <w:r>
              <w:rPr>
                <w:rFonts w:hint="eastAsia" w:ascii="Times New Roman" w:eastAsia="仿宋"/>
                <w:szCs w:val="21"/>
              </w:rPr>
              <w:t>杨家墩</w:t>
            </w:r>
          </w:p>
        </w:tc>
        <w:tc>
          <w:tcPr>
            <w:tcW w:w="1559" w:type="dxa"/>
            <w:vAlign w:val="center"/>
          </w:tcPr>
          <w:p w14:paraId="47477B77">
            <w:pPr>
              <w:spacing w:line="320" w:lineRule="exact"/>
              <w:jc w:val="center"/>
              <w:rPr>
                <w:rFonts w:ascii="Times New Roman" w:eastAsia="仿宋"/>
                <w:szCs w:val="21"/>
              </w:rPr>
            </w:pPr>
            <w:r>
              <w:rPr>
                <w:rFonts w:hint="eastAsia" w:ascii="Times New Roman" w:eastAsia="仿宋"/>
                <w:szCs w:val="21"/>
              </w:rPr>
              <w:t>119.40767</w:t>
            </w:r>
          </w:p>
        </w:tc>
        <w:tc>
          <w:tcPr>
            <w:tcW w:w="1390" w:type="dxa"/>
            <w:vAlign w:val="center"/>
          </w:tcPr>
          <w:p w14:paraId="50ED724E">
            <w:pPr>
              <w:spacing w:line="320" w:lineRule="exact"/>
              <w:jc w:val="center"/>
              <w:rPr>
                <w:rFonts w:ascii="Times New Roman" w:eastAsia="仿宋"/>
                <w:szCs w:val="21"/>
              </w:rPr>
            </w:pPr>
            <w:r>
              <w:rPr>
                <w:rFonts w:hint="eastAsia" w:ascii="Times New Roman" w:eastAsia="仿宋"/>
                <w:szCs w:val="21"/>
              </w:rPr>
              <w:t>31.70307</w:t>
            </w:r>
          </w:p>
        </w:tc>
        <w:tc>
          <w:tcPr>
            <w:tcW w:w="1693" w:type="dxa"/>
            <w:gridSpan w:val="2"/>
            <w:vAlign w:val="center"/>
          </w:tcPr>
          <w:p w14:paraId="77082631">
            <w:pPr>
              <w:spacing w:line="320" w:lineRule="exact"/>
              <w:jc w:val="center"/>
              <w:rPr>
                <w:rFonts w:ascii="Times New Roman" w:eastAsia="仿宋"/>
                <w:szCs w:val="21"/>
              </w:rPr>
            </w:pPr>
            <w:r>
              <w:rPr>
                <w:rFonts w:hint="eastAsia" w:ascii="Times New Roman" w:eastAsia="仿宋"/>
                <w:szCs w:val="21"/>
              </w:rPr>
              <w:t>约3800</w:t>
            </w:r>
          </w:p>
        </w:tc>
        <w:tc>
          <w:tcPr>
            <w:tcW w:w="1311" w:type="dxa"/>
            <w:gridSpan w:val="2"/>
            <w:vAlign w:val="center"/>
          </w:tcPr>
          <w:p w14:paraId="498A0395">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02EA7A2E">
            <w:pPr>
              <w:spacing w:line="320" w:lineRule="exact"/>
              <w:jc w:val="center"/>
              <w:rPr>
                <w:rFonts w:ascii="Times New Roman" w:eastAsia="仿宋"/>
                <w:szCs w:val="21"/>
              </w:rPr>
            </w:pPr>
            <w:r>
              <w:rPr>
                <w:rFonts w:hint="eastAsia" w:ascii="Times New Roman" w:eastAsia="仿宋"/>
                <w:szCs w:val="21"/>
              </w:rPr>
              <w:t>约420</w:t>
            </w:r>
          </w:p>
        </w:tc>
        <w:tc>
          <w:tcPr>
            <w:tcW w:w="2268" w:type="dxa"/>
            <w:vMerge w:val="continue"/>
          </w:tcPr>
          <w:p w14:paraId="784562B4">
            <w:pPr>
              <w:spacing w:line="320" w:lineRule="exact"/>
              <w:jc w:val="center"/>
              <w:rPr>
                <w:rFonts w:ascii="Times New Roman" w:eastAsia="仿宋"/>
                <w:szCs w:val="21"/>
              </w:rPr>
            </w:pPr>
          </w:p>
        </w:tc>
      </w:tr>
      <w:tr w14:paraId="7A4B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B8F02C3">
            <w:pPr>
              <w:jc w:val="center"/>
              <w:rPr>
                <w:rFonts w:ascii="Times New Roman" w:eastAsia="仿宋"/>
                <w:szCs w:val="21"/>
              </w:rPr>
            </w:pPr>
          </w:p>
        </w:tc>
        <w:tc>
          <w:tcPr>
            <w:tcW w:w="2130" w:type="dxa"/>
            <w:vAlign w:val="center"/>
          </w:tcPr>
          <w:p w14:paraId="7CA79B70">
            <w:pPr>
              <w:spacing w:line="320" w:lineRule="exact"/>
              <w:jc w:val="center"/>
              <w:rPr>
                <w:rFonts w:ascii="Times New Roman" w:eastAsia="仿宋"/>
                <w:szCs w:val="21"/>
              </w:rPr>
            </w:pPr>
            <w:r>
              <w:rPr>
                <w:rFonts w:hint="eastAsia" w:ascii="Times New Roman" w:eastAsia="仿宋"/>
                <w:szCs w:val="21"/>
              </w:rPr>
              <w:t>虞家村</w:t>
            </w:r>
          </w:p>
        </w:tc>
        <w:tc>
          <w:tcPr>
            <w:tcW w:w="1559" w:type="dxa"/>
            <w:vAlign w:val="center"/>
          </w:tcPr>
          <w:p w14:paraId="525DE4AF">
            <w:pPr>
              <w:spacing w:line="320" w:lineRule="exact"/>
              <w:jc w:val="center"/>
              <w:rPr>
                <w:rFonts w:ascii="Times New Roman" w:eastAsia="仿宋"/>
                <w:szCs w:val="21"/>
              </w:rPr>
            </w:pPr>
            <w:r>
              <w:rPr>
                <w:rFonts w:hint="eastAsia" w:ascii="Times New Roman" w:eastAsia="仿宋"/>
                <w:szCs w:val="21"/>
              </w:rPr>
              <w:t>119.4009</w:t>
            </w:r>
            <w:r>
              <w:rPr>
                <w:rFonts w:ascii="Times New Roman" w:eastAsia="仿宋"/>
                <w:szCs w:val="21"/>
              </w:rPr>
              <w:t>7</w:t>
            </w:r>
          </w:p>
        </w:tc>
        <w:tc>
          <w:tcPr>
            <w:tcW w:w="1390" w:type="dxa"/>
            <w:vAlign w:val="center"/>
          </w:tcPr>
          <w:p w14:paraId="6FEDF234">
            <w:pPr>
              <w:spacing w:line="320" w:lineRule="exact"/>
              <w:jc w:val="center"/>
              <w:rPr>
                <w:rFonts w:ascii="Times New Roman" w:eastAsia="仿宋"/>
                <w:szCs w:val="21"/>
              </w:rPr>
            </w:pPr>
            <w:r>
              <w:rPr>
                <w:rFonts w:hint="eastAsia" w:ascii="Times New Roman" w:eastAsia="仿宋"/>
                <w:szCs w:val="21"/>
              </w:rPr>
              <w:t>31.70378</w:t>
            </w:r>
          </w:p>
        </w:tc>
        <w:tc>
          <w:tcPr>
            <w:tcW w:w="1693" w:type="dxa"/>
            <w:gridSpan w:val="2"/>
            <w:vAlign w:val="center"/>
          </w:tcPr>
          <w:p w14:paraId="46A4CCD4">
            <w:pPr>
              <w:spacing w:line="320" w:lineRule="exact"/>
              <w:jc w:val="center"/>
              <w:rPr>
                <w:rFonts w:ascii="Times New Roman" w:eastAsia="仿宋"/>
                <w:szCs w:val="21"/>
              </w:rPr>
            </w:pPr>
            <w:r>
              <w:rPr>
                <w:rFonts w:hint="eastAsia" w:ascii="Times New Roman" w:eastAsia="仿宋"/>
                <w:szCs w:val="21"/>
              </w:rPr>
              <w:t>约4200</w:t>
            </w:r>
          </w:p>
        </w:tc>
        <w:tc>
          <w:tcPr>
            <w:tcW w:w="1311" w:type="dxa"/>
            <w:gridSpan w:val="2"/>
            <w:vAlign w:val="center"/>
          </w:tcPr>
          <w:p w14:paraId="505F4C19">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54861097">
            <w:pPr>
              <w:spacing w:line="320" w:lineRule="exact"/>
              <w:jc w:val="center"/>
              <w:rPr>
                <w:rFonts w:ascii="Times New Roman" w:eastAsia="仿宋"/>
                <w:szCs w:val="21"/>
              </w:rPr>
            </w:pPr>
            <w:r>
              <w:rPr>
                <w:rFonts w:hint="eastAsia" w:ascii="Times New Roman" w:eastAsia="仿宋"/>
                <w:szCs w:val="21"/>
              </w:rPr>
              <w:t>约396</w:t>
            </w:r>
          </w:p>
        </w:tc>
        <w:tc>
          <w:tcPr>
            <w:tcW w:w="2268" w:type="dxa"/>
            <w:vMerge w:val="continue"/>
          </w:tcPr>
          <w:p w14:paraId="4E53FEF3">
            <w:pPr>
              <w:spacing w:line="320" w:lineRule="exact"/>
              <w:jc w:val="center"/>
              <w:rPr>
                <w:rFonts w:ascii="Times New Roman" w:eastAsia="仿宋"/>
                <w:szCs w:val="21"/>
              </w:rPr>
            </w:pPr>
          </w:p>
        </w:tc>
      </w:tr>
      <w:tr w14:paraId="334F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B1AEE67">
            <w:pPr>
              <w:jc w:val="center"/>
              <w:rPr>
                <w:rFonts w:ascii="Times New Roman" w:eastAsia="仿宋"/>
                <w:szCs w:val="21"/>
              </w:rPr>
            </w:pPr>
          </w:p>
        </w:tc>
        <w:tc>
          <w:tcPr>
            <w:tcW w:w="2130" w:type="dxa"/>
            <w:vAlign w:val="center"/>
          </w:tcPr>
          <w:p w14:paraId="72679A9B">
            <w:pPr>
              <w:spacing w:line="320" w:lineRule="exact"/>
              <w:jc w:val="center"/>
              <w:rPr>
                <w:rFonts w:ascii="Times New Roman" w:eastAsia="仿宋"/>
                <w:szCs w:val="21"/>
              </w:rPr>
            </w:pPr>
            <w:r>
              <w:rPr>
                <w:rFonts w:hint="eastAsia" w:ascii="Times New Roman" w:eastAsia="仿宋"/>
                <w:szCs w:val="21"/>
              </w:rPr>
              <w:t>窑墩头</w:t>
            </w:r>
          </w:p>
        </w:tc>
        <w:tc>
          <w:tcPr>
            <w:tcW w:w="1559" w:type="dxa"/>
            <w:vAlign w:val="center"/>
          </w:tcPr>
          <w:p w14:paraId="3DD4DA02">
            <w:pPr>
              <w:spacing w:line="320" w:lineRule="exact"/>
              <w:jc w:val="center"/>
              <w:rPr>
                <w:rFonts w:ascii="Times New Roman" w:eastAsia="仿宋"/>
                <w:szCs w:val="21"/>
              </w:rPr>
            </w:pPr>
            <w:r>
              <w:rPr>
                <w:rFonts w:hint="eastAsia" w:ascii="Times New Roman" w:eastAsia="仿宋"/>
                <w:szCs w:val="21"/>
              </w:rPr>
              <w:t>119.40256</w:t>
            </w:r>
          </w:p>
        </w:tc>
        <w:tc>
          <w:tcPr>
            <w:tcW w:w="1390" w:type="dxa"/>
            <w:vAlign w:val="center"/>
          </w:tcPr>
          <w:p w14:paraId="50EDBE5F">
            <w:pPr>
              <w:spacing w:line="320" w:lineRule="exact"/>
              <w:jc w:val="center"/>
              <w:rPr>
                <w:rFonts w:ascii="Times New Roman" w:eastAsia="仿宋"/>
                <w:szCs w:val="21"/>
              </w:rPr>
            </w:pPr>
            <w:r>
              <w:rPr>
                <w:rFonts w:hint="eastAsia" w:ascii="Times New Roman" w:eastAsia="仿宋"/>
                <w:szCs w:val="21"/>
              </w:rPr>
              <w:t>31.69944</w:t>
            </w:r>
          </w:p>
        </w:tc>
        <w:tc>
          <w:tcPr>
            <w:tcW w:w="1693" w:type="dxa"/>
            <w:gridSpan w:val="2"/>
            <w:vAlign w:val="center"/>
          </w:tcPr>
          <w:p w14:paraId="6C4DF5F7">
            <w:pPr>
              <w:spacing w:line="320" w:lineRule="exact"/>
              <w:jc w:val="center"/>
              <w:rPr>
                <w:rFonts w:ascii="Times New Roman" w:eastAsia="仿宋"/>
                <w:szCs w:val="21"/>
              </w:rPr>
            </w:pPr>
            <w:r>
              <w:rPr>
                <w:rFonts w:hint="eastAsia" w:ascii="Times New Roman" w:eastAsia="仿宋"/>
                <w:szCs w:val="21"/>
              </w:rPr>
              <w:t>约4400</w:t>
            </w:r>
          </w:p>
        </w:tc>
        <w:tc>
          <w:tcPr>
            <w:tcW w:w="1311" w:type="dxa"/>
            <w:gridSpan w:val="2"/>
            <w:vAlign w:val="center"/>
          </w:tcPr>
          <w:p w14:paraId="24B88AD8">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079DEBAC">
            <w:pPr>
              <w:spacing w:line="320" w:lineRule="exact"/>
              <w:jc w:val="center"/>
              <w:rPr>
                <w:rFonts w:ascii="Times New Roman" w:eastAsia="仿宋"/>
                <w:szCs w:val="21"/>
              </w:rPr>
            </w:pPr>
            <w:r>
              <w:rPr>
                <w:rFonts w:hint="eastAsia" w:ascii="Times New Roman" w:eastAsia="仿宋"/>
                <w:szCs w:val="21"/>
              </w:rPr>
              <w:t>约384</w:t>
            </w:r>
          </w:p>
        </w:tc>
        <w:tc>
          <w:tcPr>
            <w:tcW w:w="2268" w:type="dxa"/>
            <w:vMerge w:val="continue"/>
          </w:tcPr>
          <w:p w14:paraId="684EF3CA">
            <w:pPr>
              <w:spacing w:line="320" w:lineRule="exact"/>
              <w:jc w:val="center"/>
              <w:rPr>
                <w:rFonts w:ascii="Times New Roman" w:eastAsia="仿宋"/>
                <w:szCs w:val="21"/>
              </w:rPr>
            </w:pPr>
          </w:p>
        </w:tc>
      </w:tr>
      <w:tr w14:paraId="131E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1CC34CD">
            <w:pPr>
              <w:jc w:val="center"/>
              <w:rPr>
                <w:rFonts w:ascii="Times New Roman" w:eastAsia="仿宋"/>
                <w:szCs w:val="21"/>
              </w:rPr>
            </w:pPr>
          </w:p>
        </w:tc>
        <w:tc>
          <w:tcPr>
            <w:tcW w:w="2130" w:type="dxa"/>
            <w:vAlign w:val="center"/>
          </w:tcPr>
          <w:p w14:paraId="31AA28FE">
            <w:pPr>
              <w:spacing w:line="320" w:lineRule="exact"/>
              <w:jc w:val="center"/>
              <w:rPr>
                <w:rFonts w:ascii="Times New Roman" w:eastAsia="仿宋"/>
                <w:szCs w:val="21"/>
              </w:rPr>
            </w:pPr>
            <w:r>
              <w:rPr>
                <w:rFonts w:hint="eastAsia" w:ascii="Times New Roman" w:eastAsia="仿宋"/>
                <w:szCs w:val="21"/>
              </w:rPr>
              <w:t>登科</w:t>
            </w:r>
          </w:p>
        </w:tc>
        <w:tc>
          <w:tcPr>
            <w:tcW w:w="1559" w:type="dxa"/>
            <w:vAlign w:val="center"/>
          </w:tcPr>
          <w:p w14:paraId="7F06F16D">
            <w:pPr>
              <w:spacing w:line="320" w:lineRule="exact"/>
              <w:jc w:val="center"/>
              <w:rPr>
                <w:rFonts w:ascii="Times New Roman" w:eastAsia="仿宋"/>
                <w:szCs w:val="21"/>
              </w:rPr>
            </w:pPr>
            <w:r>
              <w:rPr>
                <w:rFonts w:hint="eastAsia" w:ascii="Times New Roman" w:eastAsia="仿宋"/>
                <w:szCs w:val="21"/>
              </w:rPr>
              <w:t>119.41460</w:t>
            </w:r>
          </w:p>
        </w:tc>
        <w:tc>
          <w:tcPr>
            <w:tcW w:w="1390" w:type="dxa"/>
            <w:vAlign w:val="center"/>
          </w:tcPr>
          <w:p w14:paraId="65FD56E6">
            <w:pPr>
              <w:spacing w:line="320" w:lineRule="exact"/>
              <w:jc w:val="center"/>
              <w:rPr>
                <w:rFonts w:ascii="Times New Roman" w:eastAsia="仿宋"/>
                <w:szCs w:val="21"/>
              </w:rPr>
            </w:pPr>
            <w:r>
              <w:rPr>
                <w:rFonts w:hint="eastAsia" w:ascii="Times New Roman" w:eastAsia="仿宋"/>
                <w:szCs w:val="21"/>
              </w:rPr>
              <w:t>31.69146</w:t>
            </w:r>
          </w:p>
        </w:tc>
        <w:tc>
          <w:tcPr>
            <w:tcW w:w="1693" w:type="dxa"/>
            <w:gridSpan w:val="2"/>
            <w:vAlign w:val="center"/>
          </w:tcPr>
          <w:p w14:paraId="3C2D3104">
            <w:pPr>
              <w:spacing w:line="320" w:lineRule="exact"/>
              <w:jc w:val="center"/>
              <w:rPr>
                <w:rFonts w:ascii="Times New Roman" w:eastAsia="仿宋"/>
                <w:szCs w:val="21"/>
              </w:rPr>
            </w:pPr>
            <w:r>
              <w:rPr>
                <w:rFonts w:hint="eastAsia" w:ascii="Times New Roman" w:eastAsia="仿宋"/>
                <w:szCs w:val="21"/>
              </w:rPr>
              <w:t>约4500</w:t>
            </w:r>
          </w:p>
        </w:tc>
        <w:tc>
          <w:tcPr>
            <w:tcW w:w="1311" w:type="dxa"/>
            <w:gridSpan w:val="2"/>
            <w:vAlign w:val="center"/>
          </w:tcPr>
          <w:p w14:paraId="3DD319CF">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5A3DB833">
            <w:pPr>
              <w:spacing w:line="320" w:lineRule="exact"/>
              <w:jc w:val="center"/>
              <w:rPr>
                <w:rFonts w:ascii="Times New Roman" w:eastAsia="仿宋"/>
                <w:szCs w:val="21"/>
              </w:rPr>
            </w:pPr>
            <w:r>
              <w:rPr>
                <w:rFonts w:hint="eastAsia" w:ascii="Times New Roman" w:eastAsia="仿宋"/>
                <w:szCs w:val="21"/>
              </w:rPr>
              <w:t>约504</w:t>
            </w:r>
          </w:p>
        </w:tc>
        <w:tc>
          <w:tcPr>
            <w:tcW w:w="2268" w:type="dxa"/>
            <w:vMerge w:val="continue"/>
          </w:tcPr>
          <w:p w14:paraId="31A79ED0">
            <w:pPr>
              <w:spacing w:line="320" w:lineRule="exact"/>
              <w:jc w:val="center"/>
              <w:rPr>
                <w:rFonts w:ascii="Times New Roman" w:eastAsia="仿宋"/>
                <w:szCs w:val="21"/>
              </w:rPr>
            </w:pPr>
          </w:p>
        </w:tc>
      </w:tr>
      <w:tr w14:paraId="7104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B7D42FA">
            <w:pPr>
              <w:jc w:val="center"/>
              <w:rPr>
                <w:rFonts w:ascii="Times New Roman" w:eastAsia="仿宋"/>
                <w:szCs w:val="21"/>
              </w:rPr>
            </w:pPr>
          </w:p>
        </w:tc>
        <w:tc>
          <w:tcPr>
            <w:tcW w:w="2130" w:type="dxa"/>
            <w:vAlign w:val="center"/>
          </w:tcPr>
          <w:p w14:paraId="6472B822">
            <w:pPr>
              <w:spacing w:line="320" w:lineRule="exact"/>
              <w:jc w:val="center"/>
              <w:rPr>
                <w:rFonts w:ascii="Times New Roman" w:eastAsia="仿宋"/>
                <w:szCs w:val="21"/>
              </w:rPr>
            </w:pPr>
            <w:r>
              <w:rPr>
                <w:rFonts w:hint="eastAsia" w:ascii="Times New Roman" w:eastAsia="仿宋"/>
                <w:szCs w:val="21"/>
              </w:rPr>
              <w:t>下元头村</w:t>
            </w:r>
          </w:p>
        </w:tc>
        <w:tc>
          <w:tcPr>
            <w:tcW w:w="1559" w:type="dxa"/>
            <w:vAlign w:val="center"/>
          </w:tcPr>
          <w:p w14:paraId="62120113">
            <w:pPr>
              <w:spacing w:line="320" w:lineRule="exact"/>
              <w:jc w:val="center"/>
              <w:rPr>
                <w:rFonts w:ascii="Times New Roman" w:eastAsia="仿宋"/>
                <w:szCs w:val="21"/>
              </w:rPr>
            </w:pPr>
            <w:r>
              <w:rPr>
                <w:rFonts w:hint="eastAsia" w:ascii="Times New Roman" w:eastAsia="仿宋"/>
                <w:szCs w:val="21"/>
              </w:rPr>
              <w:t>119.40580</w:t>
            </w:r>
          </w:p>
        </w:tc>
        <w:tc>
          <w:tcPr>
            <w:tcW w:w="1390" w:type="dxa"/>
            <w:vAlign w:val="center"/>
          </w:tcPr>
          <w:p w14:paraId="6FE6519F">
            <w:pPr>
              <w:spacing w:line="320" w:lineRule="exact"/>
              <w:jc w:val="center"/>
              <w:rPr>
                <w:rFonts w:ascii="Times New Roman" w:eastAsia="仿宋"/>
                <w:szCs w:val="21"/>
              </w:rPr>
            </w:pPr>
            <w:r>
              <w:rPr>
                <w:rFonts w:hint="eastAsia" w:ascii="Times New Roman" w:eastAsia="仿宋"/>
                <w:szCs w:val="21"/>
              </w:rPr>
              <w:t>31.69575</w:t>
            </w:r>
          </w:p>
        </w:tc>
        <w:tc>
          <w:tcPr>
            <w:tcW w:w="1693" w:type="dxa"/>
            <w:gridSpan w:val="2"/>
            <w:vAlign w:val="center"/>
          </w:tcPr>
          <w:p w14:paraId="06533B95">
            <w:pPr>
              <w:spacing w:line="320" w:lineRule="exact"/>
              <w:jc w:val="center"/>
              <w:rPr>
                <w:rFonts w:ascii="Times New Roman" w:eastAsia="仿宋"/>
                <w:szCs w:val="21"/>
              </w:rPr>
            </w:pPr>
            <w:r>
              <w:rPr>
                <w:rFonts w:hint="eastAsia" w:ascii="Times New Roman" w:eastAsia="仿宋"/>
                <w:szCs w:val="21"/>
              </w:rPr>
              <w:t>约4500</w:t>
            </w:r>
          </w:p>
        </w:tc>
        <w:tc>
          <w:tcPr>
            <w:tcW w:w="1311" w:type="dxa"/>
            <w:gridSpan w:val="2"/>
            <w:vAlign w:val="center"/>
          </w:tcPr>
          <w:p w14:paraId="0395CECA">
            <w:pPr>
              <w:spacing w:line="320" w:lineRule="exact"/>
              <w:jc w:val="center"/>
              <w:rPr>
                <w:rFonts w:ascii="Times New Roman" w:eastAsia="仿宋"/>
                <w:szCs w:val="21"/>
              </w:rPr>
            </w:pPr>
            <w:r>
              <w:rPr>
                <w:rFonts w:hint="eastAsia" w:ascii="Times New Roman" w:eastAsia="仿宋"/>
                <w:szCs w:val="21"/>
              </w:rPr>
              <w:t>SW</w:t>
            </w:r>
          </w:p>
        </w:tc>
        <w:tc>
          <w:tcPr>
            <w:tcW w:w="1134" w:type="dxa"/>
            <w:vAlign w:val="center"/>
          </w:tcPr>
          <w:p w14:paraId="4C85C1DE">
            <w:pPr>
              <w:spacing w:line="320" w:lineRule="exact"/>
              <w:jc w:val="center"/>
              <w:rPr>
                <w:rFonts w:ascii="Times New Roman" w:eastAsia="仿宋"/>
                <w:szCs w:val="21"/>
              </w:rPr>
            </w:pPr>
            <w:r>
              <w:rPr>
                <w:rFonts w:hint="eastAsia" w:ascii="Times New Roman" w:eastAsia="仿宋"/>
                <w:szCs w:val="21"/>
              </w:rPr>
              <w:t>约600</w:t>
            </w:r>
          </w:p>
        </w:tc>
        <w:tc>
          <w:tcPr>
            <w:tcW w:w="2268" w:type="dxa"/>
            <w:vMerge w:val="continue"/>
          </w:tcPr>
          <w:p w14:paraId="0C1C37A8">
            <w:pPr>
              <w:spacing w:line="320" w:lineRule="exact"/>
              <w:jc w:val="center"/>
              <w:rPr>
                <w:rFonts w:ascii="Times New Roman" w:eastAsia="仿宋"/>
                <w:szCs w:val="21"/>
              </w:rPr>
            </w:pPr>
          </w:p>
        </w:tc>
      </w:tr>
      <w:tr w14:paraId="3A09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CED5962">
            <w:pPr>
              <w:jc w:val="center"/>
              <w:rPr>
                <w:rFonts w:ascii="Times New Roman" w:eastAsia="仿宋"/>
                <w:szCs w:val="21"/>
              </w:rPr>
            </w:pPr>
          </w:p>
        </w:tc>
        <w:tc>
          <w:tcPr>
            <w:tcW w:w="2130" w:type="dxa"/>
            <w:vAlign w:val="center"/>
          </w:tcPr>
          <w:p w14:paraId="2D1403AC">
            <w:pPr>
              <w:spacing w:line="320" w:lineRule="exact"/>
              <w:jc w:val="center"/>
              <w:rPr>
                <w:rFonts w:ascii="Times New Roman" w:eastAsia="仿宋"/>
                <w:szCs w:val="21"/>
              </w:rPr>
            </w:pPr>
            <w:r>
              <w:rPr>
                <w:rFonts w:hint="eastAsia" w:ascii="Times New Roman" w:eastAsia="仿宋"/>
                <w:szCs w:val="21"/>
              </w:rPr>
              <w:t>杨家棚</w:t>
            </w:r>
          </w:p>
        </w:tc>
        <w:tc>
          <w:tcPr>
            <w:tcW w:w="1559" w:type="dxa"/>
            <w:vAlign w:val="center"/>
          </w:tcPr>
          <w:p w14:paraId="2A843B2D">
            <w:pPr>
              <w:spacing w:line="320" w:lineRule="exact"/>
              <w:jc w:val="center"/>
              <w:rPr>
                <w:rFonts w:ascii="Times New Roman" w:eastAsia="仿宋"/>
                <w:szCs w:val="21"/>
              </w:rPr>
            </w:pPr>
            <w:r>
              <w:rPr>
                <w:rFonts w:hint="eastAsia" w:ascii="Times New Roman" w:eastAsia="仿宋"/>
                <w:szCs w:val="21"/>
              </w:rPr>
              <w:t>119.41471</w:t>
            </w:r>
          </w:p>
        </w:tc>
        <w:tc>
          <w:tcPr>
            <w:tcW w:w="1390" w:type="dxa"/>
            <w:vAlign w:val="center"/>
          </w:tcPr>
          <w:p w14:paraId="7C1A228A">
            <w:pPr>
              <w:spacing w:line="320" w:lineRule="exact"/>
              <w:jc w:val="center"/>
              <w:rPr>
                <w:rFonts w:ascii="Times New Roman" w:eastAsia="仿宋"/>
                <w:szCs w:val="21"/>
              </w:rPr>
            </w:pPr>
            <w:r>
              <w:rPr>
                <w:rFonts w:hint="eastAsia" w:ascii="Times New Roman" w:eastAsia="仿宋"/>
                <w:szCs w:val="21"/>
              </w:rPr>
              <w:t>31.7286</w:t>
            </w:r>
            <w:r>
              <w:rPr>
                <w:rFonts w:ascii="Times New Roman" w:eastAsia="仿宋"/>
                <w:szCs w:val="21"/>
              </w:rPr>
              <w:t>2</w:t>
            </w:r>
          </w:p>
        </w:tc>
        <w:tc>
          <w:tcPr>
            <w:tcW w:w="1693" w:type="dxa"/>
            <w:gridSpan w:val="2"/>
            <w:vAlign w:val="center"/>
          </w:tcPr>
          <w:p w14:paraId="3695C78E">
            <w:pPr>
              <w:spacing w:line="320" w:lineRule="exact"/>
              <w:jc w:val="center"/>
              <w:rPr>
                <w:rFonts w:ascii="Times New Roman" w:eastAsia="仿宋"/>
                <w:szCs w:val="21"/>
              </w:rPr>
            </w:pPr>
            <w:r>
              <w:rPr>
                <w:rFonts w:hint="eastAsia" w:ascii="Times New Roman" w:eastAsia="仿宋"/>
                <w:szCs w:val="21"/>
              </w:rPr>
              <w:t>约1950</w:t>
            </w:r>
          </w:p>
        </w:tc>
        <w:tc>
          <w:tcPr>
            <w:tcW w:w="1311" w:type="dxa"/>
            <w:gridSpan w:val="2"/>
            <w:vAlign w:val="center"/>
          </w:tcPr>
          <w:p w14:paraId="535D7C1E">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75841D1C">
            <w:pPr>
              <w:spacing w:line="320" w:lineRule="exact"/>
              <w:jc w:val="center"/>
              <w:rPr>
                <w:rFonts w:ascii="Times New Roman" w:eastAsia="仿宋"/>
                <w:szCs w:val="21"/>
              </w:rPr>
            </w:pPr>
            <w:r>
              <w:rPr>
                <w:rFonts w:hint="eastAsia" w:ascii="Times New Roman" w:eastAsia="仿宋"/>
                <w:szCs w:val="21"/>
              </w:rPr>
              <w:t>约158</w:t>
            </w:r>
          </w:p>
        </w:tc>
        <w:tc>
          <w:tcPr>
            <w:tcW w:w="2268" w:type="dxa"/>
            <w:vMerge w:val="continue"/>
          </w:tcPr>
          <w:p w14:paraId="3F1AC80F">
            <w:pPr>
              <w:spacing w:line="320" w:lineRule="exact"/>
              <w:jc w:val="center"/>
              <w:rPr>
                <w:rFonts w:ascii="Times New Roman" w:eastAsia="仿宋"/>
                <w:szCs w:val="21"/>
              </w:rPr>
            </w:pPr>
          </w:p>
        </w:tc>
      </w:tr>
      <w:tr w14:paraId="114A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D82ED26">
            <w:pPr>
              <w:jc w:val="center"/>
              <w:rPr>
                <w:rFonts w:ascii="Times New Roman" w:eastAsia="仿宋"/>
                <w:szCs w:val="21"/>
              </w:rPr>
            </w:pPr>
          </w:p>
        </w:tc>
        <w:tc>
          <w:tcPr>
            <w:tcW w:w="2130" w:type="dxa"/>
            <w:vAlign w:val="center"/>
          </w:tcPr>
          <w:p w14:paraId="6123EE57">
            <w:pPr>
              <w:spacing w:line="320" w:lineRule="exact"/>
              <w:jc w:val="center"/>
              <w:rPr>
                <w:rFonts w:ascii="Times New Roman" w:eastAsia="仿宋"/>
                <w:szCs w:val="21"/>
              </w:rPr>
            </w:pPr>
            <w:r>
              <w:rPr>
                <w:rFonts w:hint="eastAsia" w:ascii="Times New Roman" w:eastAsia="仿宋"/>
                <w:szCs w:val="21"/>
              </w:rPr>
              <w:t>裕巷村</w:t>
            </w:r>
          </w:p>
        </w:tc>
        <w:tc>
          <w:tcPr>
            <w:tcW w:w="1559" w:type="dxa"/>
            <w:vAlign w:val="center"/>
          </w:tcPr>
          <w:p w14:paraId="68F7A883">
            <w:pPr>
              <w:spacing w:line="320" w:lineRule="exact"/>
              <w:jc w:val="center"/>
              <w:rPr>
                <w:rFonts w:ascii="Times New Roman" w:eastAsia="仿宋"/>
                <w:szCs w:val="21"/>
              </w:rPr>
            </w:pPr>
            <w:r>
              <w:rPr>
                <w:rFonts w:hint="eastAsia" w:ascii="Times New Roman" w:eastAsia="仿宋"/>
                <w:szCs w:val="21"/>
              </w:rPr>
              <w:t>119.41480</w:t>
            </w:r>
          </w:p>
        </w:tc>
        <w:tc>
          <w:tcPr>
            <w:tcW w:w="1390" w:type="dxa"/>
            <w:vAlign w:val="center"/>
          </w:tcPr>
          <w:p w14:paraId="366C7025">
            <w:pPr>
              <w:spacing w:line="320" w:lineRule="exact"/>
              <w:jc w:val="center"/>
              <w:rPr>
                <w:rFonts w:ascii="Times New Roman" w:eastAsia="仿宋"/>
                <w:szCs w:val="21"/>
              </w:rPr>
            </w:pPr>
            <w:r>
              <w:rPr>
                <w:rFonts w:hint="eastAsia" w:ascii="Times New Roman" w:eastAsia="仿宋"/>
                <w:szCs w:val="21"/>
              </w:rPr>
              <w:t>31.72370</w:t>
            </w:r>
          </w:p>
        </w:tc>
        <w:tc>
          <w:tcPr>
            <w:tcW w:w="1693" w:type="dxa"/>
            <w:gridSpan w:val="2"/>
            <w:vAlign w:val="center"/>
          </w:tcPr>
          <w:p w14:paraId="55806673">
            <w:pPr>
              <w:spacing w:line="320" w:lineRule="exact"/>
              <w:jc w:val="center"/>
              <w:rPr>
                <w:rFonts w:ascii="Times New Roman" w:eastAsia="仿宋"/>
                <w:szCs w:val="21"/>
              </w:rPr>
            </w:pPr>
            <w:r>
              <w:rPr>
                <w:rFonts w:hint="eastAsia" w:ascii="Times New Roman" w:eastAsia="仿宋"/>
                <w:szCs w:val="21"/>
              </w:rPr>
              <w:t>约2000</w:t>
            </w:r>
          </w:p>
        </w:tc>
        <w:tc>
          <w:tcPr>
            <w:tcW w:w="1311" w:type="dxa"/>
            <w:gridSpan w:val="2"/>
            <w:vAlign w:val="center"/>
          </w:tcPr>
          <w:p w14:paraId="178F49C8">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640819D1">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1A2B3E4F">
            <w:pPr>
              <w:spacing w:line="320" w:lineRule="exact"/>
              <w:jc w:val="center"/>
              <w:rPr>
                <w:rFonts w:ascii="Times New Roman" w:eastAsia="仿宋"/>
                <w:szCs w:val="21"/>
              </w:rPr>
            </w:pPr>
          </w:p>
        </w:tc>
      </w:tr>
      <w:tr w14:paraId="574F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D44EDF2">
            <w:pPr>
              <w:jc w:val="center"/>
              <w:rPr>
                <w:rFonts w:ascii="Times New Roman" w:eastAsia="仿宋"/>
                <w:szCs w:val="21"/>
              </w:rPr>
            </w:pPr>
          </w:p>
        </w:tc>
        <w:tc>
          <w:tcPr>
            <w:tcW w:w="2130" w:type="dxa"/>
            <w:vAlign w:val="center"/>
          </w:tcPr>
          <w:p w14:paraId="554434F0">
            <w:pPr>
              <w:spacing w:line="320" w:lineRule="exact"/>
              <w:jc w:val="center"/>
              <w:rPr>
                <w:rFonts w:ascii="Times New Roman" w:eastAsia="仿宋"/>
                <w:szCs w:val="21"/>
              </w:rPr>
            </w:pPr>
            <w:r>
              <w:rPr>
                <w:rFonts w:hint="eastAsia" w:ascii="Times New Roman" w:eastAsia="仿宋"/>
                <w:szCs w:val="21"/>
              </w:rPr>
              <w:t>三官堂</w:t>
            </w:r>
          </w:p>
        </w:tc>
        <w:tc>
          <w:tcPr>
            <w:tcW w:w="1559" w:type="dxa"/>
            <w:vAlign w:val="center"/>
          </w:tcPr>
          <w:p w14:paraId="275EC277">
            <w:pPr>
              <w:spacing w:line="320" w:lineRule="exact"/>
              <w:jc w:val="center"/>
              <w:rPr>
                <w:rFonts w:ascii="Times New Roman" w:eastAsia="仿宋"/>
                <w:szCs w:val="21"/>
              </w:rPr>
            </w:pPr>
            <w:r>
              <w:rPr>
                <w:rFonts w:hint="eastAsia" w:ascii="Times New Roman" w:eastAsia="仿宋"/>
                <w:szCs w:val="21"/>
              </w:rPr>
              <w:t>119.41310</w:t>
            </w:r>
          </w:p>
        </w:tc>
        <w:tc>
          <w:tcPr>
            <w:tcW w:w="1390" w:type="dxa"/>
            <w:vAlign w:val="center"/>
          </w:tcPr>
          <w:p w14:paraId="34CA6DF5">
            <w:pPr>
              <w:spacing w:line="320" w:lineRule="exact"/>
              <w:jc w:val="center"/>
              <w:rPr>
                <w:rFonts w:ascii="Times New Roman" w:eastAsia="仿宋"/>
                <w:szCs w:val="21"/>
              </w:rPr>
            </w:pPr>
            <w:r>
              <w:rPr>
                <w:rFonts w:hint="eastAsia" w:ascii="Times New Roman" w:eastAsia="仿宋"/>
                <w:szCs w:val="21"/>
              </w:rPr>
              <w:t>31.73073</w:t>
            </w:r>
          </w:p>
        </w:tc>
        <w:tc>
          <w:tcPr>
            <w:tcW w:w="1693" w:type="dxa"/>
            <w:gridSpan w:val="2"/>
            <w:vAlign w:val="center"/>
          </w:tcPr>
          <w:p w14:paraId="3D4188EA">
            <w:pPr>
              <w:spacing w:line="320" w:lineRule="exact"/>
              <w:jc w:val="center"/>
              <w:rPr>
                <w:rFonts w:ascii="Times New Roman" w:eastAsia="仿宋"/>
                <w:szCs w:val="21"/>
              </w:rPr>
            </w:pPr>
            <w:r>
              <w:rPr>
                <w:rFonts w:hint="eastAsia" w:ascii="Times New Roman" w:eastAsia="仿宋"/>
                <w:szCs w:val="21"/>
              </w:rPr>
              <w:t>约2150</w:t>
            </w:r>
          </w:p>
        </w:tc>
        <w:tc>
          <w:tcPr>
            <w:tcW w:w="1311" w:type="dxa"/>
            <w:gridSpan w:val="2"/>
            <w:vAlign w:val="center"/>
          </w:tcPr>
          <w:p w14:paraId="0ED61FEC">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51720889">
            <w:pPr>
              <w:spacing w:line="320" w:lineRule="exact"/>
              <w:jc w:val="center"/>
              <w:rPr>
                <w:rFonts w:ascii="Times New Roman" w:eastAsia="仿宋"/>
                <w:szCs w:val="21"/>
              </w:rPr>
            </w:pPr>
            <w:r>
              <w:rPr>
                <w:rFonts w:hint="eastAsia" w:ascii="Times New Roman" w:eastAsia="仿宋"/>
                <w:szCs w:val="21"/>
              </w:rPr>
              <w:t>约204</w:t>
            </w:r>
          </w:p>
        </w:tc>
        <w:tc>
          <w:tcPr>
            <w:tcW w:w="2268" w:type="dxa"/>
            <w:vMerge w:val="continue"/>
          </w:tcPr>
          <w:p w14:paraId="365DE568">
            <w:pPr>
              <w:spacing w:line="320" w:lineRule="exact"/>
              <w:jc w:val="center"/>
              <w:rPr>
                <w:rFonts w:ascii="Times New Roman" w:eastAsia="仿宋"/>
                <w:szCs w:val="21"/>
              </w:rPr>
            </w:pPr>
          </w:p>
        </w:tc>
      </w:tr>
      <w:tr w14:paraId="1971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6D2BA85">
            <w:pPr>
              <w:jc w:val="center"/>
              <w:rPr>
                <w:rFonts w:ascii="Times New Roman" w:eastAsia="仿宋"/>
                <w:szCs w:val="21"/>
              </w:rPr>
            </w:pPr>
          </w:p>
        </w:tc>
        <w:tc>
          <w:tcPr>
            <w:tcW w:w="2130" w:type="dxa"/>
            <w:vAlign w:val="center"/>
          </w:tcPr>
          <w:p w14:paraId="62EEEC55">
            <w:pPr>
              <w:spacing w:line="320" w:lineRule="exact"/>
              <w:jc w:val="center"/>
              <w:rPr>
                <w:rFonts w:ascii="Times New Roman" w:eastAsia="仿宋"/>
                <w:szCs w:val="21"/>
              </w:rPr>
            </w:pPr>
            <w:r>
              <w:rPr>
                <w:rFonts w:hint="eastAsia" w:ascii="Times New Roman" w:eastAsia="仿宋"/>
                <w:szCs w:val="21"/>
              </w:rPr>
              <w:t>柳庄</w:t>
            </w:r>
          </w:p>
        </w:tc>
        <w:tc>
          <w:tcPr>
            <w:tcW w:w="1559" w:type="dxa"/>
            <w:vAlign w:val="center"/>
          </w:tcPr>
          <w:p w14:paraId="539A44F7">
            <w:pPr>
              <w:spacing w:line="320" w:lineRule="exact"/>
              <w:jc w:val="center"/>
              <w:rPr>
                <w:rFonts w:ascii="Times New Roman" w:eastAsia="仿宋"/>
                <w:szCs w:val="21"/>
              </w:rPr>
            </w:pPr>
            <w:r>
              <w:rPr>
                <w:rFonts w:hint="eastAsia" w:ascii="Times New Roman" w:eastAsia="仿宋"/>
                <w:szCs w:val="21"/>
              </w:rPr>
              <w:t>119.40699</w:t>
            </w:r>
          </w:p>
        </w:tc>
        <w:tc>
          <w:tcPr>
            <w:tcW w:w="1390" w:type="dxa"/>
            <w:vAlign w:val="center"/>
          </w:tcPr>
          <w:p w14:paraId="5E5FDA95">
            <w:pPr>
              <w:spacing w:line="320" w:lineRule="exact"/>
              <w:jc w:val="center"/>
              <w:rPr>
                <w:rFonts w:ascii="Times New Roman" w:eastAsia="仿宋"/>
                <w:szCs w:val="21"/>
              </w:rPr>
            </w:pPr>
            <w:r>
              <w:rPr>
                <w:rFonts w:hint="eastAsia" w:ascii="Times New Roman" w:eastAsia="仿宋"/>
                <w:szCs w:val="21"/>
              </w:rPr>
              <w:t>31.72389</w:t>
            </w:r>
          </w:p>
        </w:tc>
        <w:tc>
          <w:tcPr>
            <w:tcW w:w="1693" w:type="dxa"/>
            <w:gridSpan w:val="2"/>
            <w:vAlign w:val="center"/>
          </w:tcPr>
          <w:p w14:paraId="264002D4">
            <w:pPr>
              <w:spacing w:line="320" w:lineRule="exact"/>
              <w:jc w:val="center"/>
              <w:rPr>
                <w:rFonts w:ascii="Times New Roman" w:eastAsia="仿宋"/>
                <w:szCs w:val="21"/>
              </w:rPr>
            </w:pPr>
            <w:r>
              <w:rPr>
                <w:rFonts w:hint="eastAsia" w:ascii="Times New Roman" w:eastAsia="仿宋"/>
                <w:szCs w:val="21"/>
              </w:rPr>
              <w:t>约2750</w:t>
            </w:r>
          </w:p>
        </w:tc>
        <w:tc>
          <w:tcPr>
            <w:tcW w:w="1311" w:type="dxa"/>
            <w:gridSpan w:val="2"/>
            <w:vAlign w:val="center"/>
          </w:tcPr>
          <w:p w14:paraId="3CC318CD">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423FDE63">
            <w:pPr>
              <w:spacing w:line="320" w:lineRule="exact"/>
              <w:jc w:val="center"/>
              <w:rPr>
                <w:rFonts w:ascii="Times New Roman" w:eastAsia="仿宋"/>
                <w:szCs w:val="21"/>
              </w:rPr>
            </w:pPr>
            <w:r>
              <w:rPr>
                <w:rFonts w:hint="eastAsia" w:ascii="Times New Roman" w:eastAsia="仿宋"/>
                <w:szCs w:val="21"/>
              </w:rPr>
              <w:t>约840</w:t>
            </w:r>
          </w:p>
        </w:tc>
        <w:tc>
          <w:tcPr>
            <w:tcW w:w="2268" w:type="dxa"/>
            <w:vMerge w:val="continue"/>
          </w:tcPr>
          <w:p w14:paraId="7BFE72BE">
            <w:pPr>
              <w:spacing w:line="320" w:lineRule="exact"/>
              <w:jc w:val="center"/>
              <w:rPr>
                <w:rFonts w:ascii="Times New Roman" w:eastAsia="仿宋"/>
                <w:szCs w:val="21"/>
              </w:rPr>
            </w:pPr>
          </w:p>
        </w:tc>
      </w:tr>
      <w:tr w14:paraId="4AF7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4F53128">
            <w:pPr>
              <w:jc w:val="center"/>
              <w:rPr>
                <w:rFonts w:ascii="Times New Roman" w:eastAsia="仿宋"/>
                <w:szCs w:val="21"/>
              </w:rPr>
            </w:pPr>
          </w:p>
        </w:tc>
        <w:tc>
          <w:tcPr>
            <w:tcW w:w="2130" w:type="dxa"/>
            <w:vAlign w:val="center"/>
          </w:tcPr>
          <w:p w14:paraId="53610AC4">
            <w:pPr>
              <w:spacing w:line="320" w:lineRule="exact"/>
              <w:jc w:val="center"/>
              <w:rPr>
                <w:rFonts w:ascii="Times New Roman" w:eastAsia="仿宋"/>
                <w:szCs w:val="21"/>
              </w:rPr>
            </w:pPr>
            <w:r>
              <w:rPr>
                <w:rFonts w:hint="eastAsia" w:ascii="Times New Roman" w:eastAsia="仿宋"/>
                <w:szCs w:val="21"/>
              </w:rPr>
              <w:t>花山村</w:t>
            </w:r>
          </w:p>
        </w:tc>
        <w:tc>
          <w:tcPr>
            <w:tcW w:w="1559" w:type="dxa"/>
            <w:vAlign w:val="center"/>
          </w:tcPr>
          <w:p w14:paraId="57238AC0">
            <w:pPr>
              <w:spacing w:line="320" w:lineRule="exact"/>
              <w:jc w:val="center"/>
              <w:rPr>
                <w:rFonts w:ascii="Times New Roman" w:eastAsia="仿宋"/>
                <w:szCs w:val="21"/>
              </w:rPr>
            </w:pPr>
            <w:r>
              <w:rPr>
                <w:rFonts w:hint="eastAsia" w:ascii="Times New Roman" w:eastAsia="仿宋"/>
                <w:szCs w:val="21"/>
              </w:rPr>
              <w:t>119.40148</w:t>
            </w:r>
          </w:p>
        </w:tc>
        <w:tc>
          <w:tcPr>
            <w:tcW w:w="1390" w:type="dxa"/>
            <w:vAlign w:val="center"/>
          </w:tcPr>
          <w:p w14:paraId="028E278C">
            <w:pPr>
              <w:spacing w:line="320" w:lineRule="exact"/>
              <w:jc w:val="center"/>
              <w:rPr>
                <w:rFonts w:ascii="Times New Roman" w:eastAsia="仿宋"/>
                <w:szCs w:val="21"/>
              </w:rPr>
            </w:pPr>
            <w:r>
              <w:rPr>
                <w:rFonts w:hint="eastAsia" w:ascii="Times New Roman" w:eastAsia="仿宋"/>
                <w:szCs w:val="21"/>
              </w:rPr>
              <w:t>31.73395</w:t>
            </w:r>
          </w:p>
        </w:tc>
        <w:tc>
          <w:tcPr>
            <w:tcW w:w="1693" w:type="dxa"/>
            <w:gridSpan w:val="2"/>
            <w:vAlign w:val="center"/>
          </w:tcPr>
          <w:p w14:paraId="3B4FF5AF">
            <w:pPr>
              <w:spacing w:line="320" w:lineRule="exact"/>
              <w:jc w:val="center"/>
              <w:rPr>
                <w:rFonts w:ascii="Times New Roman" w:eastAsia="仿宋"/>
                <w:szCs w:val="21"/>
              </w:rPr>
            </w:pPr>
            <w:r>
              <w:rPr>
                <w:rFonts w:hint="eastAsia" w:ascii="Times New Roman" w:eastAsia="仿宋"/>
                <w:szCs w:val="21"/>
              </w:rPr>
              <w:t>约3300</w:t>
            </w:r>
          </w:p>
        </w:tc>
        <w:tc>
          <w:tcPr>
            <w:tcW w:w="1311" w:type="dxa"/>
            <w:gridSpan w:val="2"/>
            <w:vAlign w:val="center"/>
          </w:tcPr>
          <w:p w14:paraId="49F57E4D">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75FB4A6E">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7AEFBAB2">
            <w:pPr>
              <w:spacing w:line="320" w:lineRule="exact"/>
              <w:jc w:val="center"/>
              <w:rPr>
                <w:rFonts w:ascii="Times New Roman" w:eastAsia="仿宋"/>
                <w:szCs w:val="21"/>
              </w:rPr>
            </w:pPr>
          </w:p>
        </w:tc>
      </w:tr>
      <w:tr w14:paraId="6810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D9CC31B">
            <w:pPr>
              <w:jc w:val="center"/>
              <w:rPr>
                <w:rFonts w:ascii="Times New Roman" w:eastAsia="仿宋"/>
                <w:szCs w:val="21"/>
              </w:rPr>
            </w:pPr>
          </w:p>
        </w:tc>
        <w:tc>
          <w:tcPr>
            <w:tcW w:w="2130" w:type="dxa"/>
            <w:vAlign w:val="center"/>
          </w:tcPr>
          <w:p w14:paraId="7F03F3E3">
            <w:pPr>
              <w:spacing w:line="320" w:lineRule="exact"/>
              <w:jc w:val="center"/>
              <w:rPr>
                <w:rFonts w:ascii="Times New Roman" w:eastAsia="仿宋"/>
                <w:szCs w:val="21"/>
              </w:rPr>
            </w:pPr>
            <w:r>
              <w:rPr>
                <w:rFonts w:hint="eastAsia" w:ascii="Times New Roman" w:eastAsia="仿宋"/>
                <w:szCs w:val="21"/>
              </w:rPr>
              <w:t>西山脚</w:t>
            </w:r>
          </w:p>
        </w:tc>
        <w:tc>
          <w:tcPr>
            <w:tcW w:w="1559" w:type="dxa"/>
            <w:vAlign w:val="center"/>
          </w:tcPr>
          <w:p w14:paraId="50518C0B">
            <w:pPr>
              <w:spacing w:line="320" w:lineRule="exact"/>
              <w:jc w:val="center"/>
              <w:rPr>
                <w:rFonts w:ascii="Times New Roman" w:eastAsia="仿宋"/>
                <w:szCs w:val="21"/>
              </w:rPr>
            </w:pPr>
            <w:r>
              <w:rPr>
                <w:rFonts w:hint="eastAsia" w:ascii="Times New Roman" w:eastAsia="仿宋"/>
                <w:szCs w:val="21"/>
              </w:rPr>
              <w:t>119.39347</w:t>
            </w:r>
          </w:p>
        </w:tc>
        <w:tc>
          <w:tcPr>
            <w:tcW w:w="1390" w:type="dxa"/>
            <w:vAlign w:val="center"/>
          </w:tcPr>
          <w:p w14:paraId="2440ABDE">
            <w:pPr>
              <w:spacing w:line="320" w:lineRule="exact"/>
              <w:jc w:val="center"/>
              <w:rPr>
                <w:rFonts w:ascii="Times New Roman" w:eastAsia="仿宋"/>
                <w:szCs w:val="21"/>
              </w:rPr>
            </w:pPr>
            <w:r>
              <w:rPr>
                <w:rFonts w:hint="eastAsia" w:ascii="Times New Roman" w:eastAsia="仿宋"/>
                <w:szCs w:val="21"/>
              </w:rPr>
              <w:t>31.73573</w:t>
            </w:r>
          </w:p>
        </w:tc>
        <w:tc>
          <w:tcPr>
            <w:tcW w:w="1693" w:type="dxa"/>
            <w:gridSpan w:val="2"/>
            <w:vAlign w:val="center"/>
          </w:tcPr>
          <w:p w14:paraId="5E7D7A94">
            <w:pPr>
              <w:spacing w:line="320" w:lineRule="exact"/>
              <w:jc w:val="center"/>
              <w:rPr>
                <w:rFonts w:ascii="Times New Roman" w:eastAsia="仿宋"/>
                <w:szCs w:val="21"/>
              </w:rPr>
            </w:pPr>
            <w:r>
              <w:rPr>
                <w:rFonts w:hint="eastAsia" w:ascii="Times New Roman" w:eastAsia="仿宋"/>
                <w:szCs w:val="21"/>
              </w:rPr>
              <w:t>约4050</w:t>
            </w:r>
          </w:p>
        </w:tc>
        <w:tc>
          <w:tcPr>
            <w:tcW w:w="1311" w:type="dxa"/>
            <w:gridSpan w:val="2"/>
            <w:vAlign w:val="center"/>
          </w:tcPr>
          <w:p w14:paraId="6965F4D4">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3CE2DEC6">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tcPr>
          <w:p w14:paraId="6568D6FD">
            <w:pPr>
              <w:spacing w:line="320" w:lineRule="exact"/>
              <w:jc w:val="center"/>
              <w:rPr>
                <w:rFonts w:ascii="Times New Roman" w:eastAsia="仿宋"/>
                <w:szCs w:val="21"/>
              </w:rPr>
            </w:pPr>
          </w:p>
        </w:tc>
      </w:tr>
      <w:tr w14:paraId="52D1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8BC06A5">
            <w:pPr>
              <w:jc w:val="center"/>
              <w:rPr>
                <w:rFonts w:ascii="Times New Roman" w:eastAsia="仿宋"/>
                <w:szCs w:val="21"/>
              </w:rPr>
            </w:pPr>
          </w:p>
        </w:tc>
        <w:tc>
          <w:tcPr>
            <w:tcW w:w="2130" w:type="dxa"/>
            <w:vAlign w:val="center"/>
          </w:tcPr>
          <w:p w14:paraId="4BF22F52">
            <w:pPr>
              <w:spacing w:line="320" w:lineRule="exact"/>
              <w:jc w:val="center"/>
              <w:rPr>
                <w:rFonts w:ascii="Times New Roman" w:eastAsia="仿宋"/>
                <w:szCs w:val="21"/>
              </w:rPr>
            </w:pPr>
            <w:r>
              <w:rPr>
                <w:rFonts w:hint="eastAsia" w:ascii="Times New Roman" w:eastAsia="仿宋"/>
                <w:szCs w:val="21"/>
              </w:rPr>
              <w:t>夏霄</w:t>
            </w:r>
          </w:p>
        </w:tc>
        <w:tc>
          <w:tcPr>
            <w:tcW w:w="1559" w:type="dxa"/>
            <w:vAlign w:val="center"/>
          </w:tcPr>
          <w:p w14:paraId="1532B6CA">
            <w:pPr>
              <w:spacing w:line="320" w:lineRule="exact"/>
              <w:jc w:val="center"/>
              <w:rPr>
                <w:rFonts w:ascii="Times New Roman" w:eastAsia="仿宋"/>
                <w:szCs w:val="21"/>
              </w:rPr>
            </w:pPr>
            <w:r>
              <w:rPr>
                <w:rFonts w:hint="eastAsia" w:ascii="Times New Roman" w:eastAsia="仿宋"/>
                <w:szCs w:val="21"/>
              </w:rPr>
              <w:t>119.38847</w:t>
            </w:r>
          </w:p>
        </w:tc>
        <w:tc>
          <w:tcPr>
            <w:tcW w:w="1390" w:type="dxa"/>
            <w:vAlign w:val="center"/>
          </w:tcPr>
          <w:p w14:paraId="3B0895C5">
            <w:pPr>
              <w:spacing w:line="320" w:lineRule="exact"/>
              <w:jc w:val="center"/>
              <w:rPr>
                <w:rFonts w:ascii="Times New Roman" w:eastAsia="仿宋"/>
                <w:szCs w:val="21"/>
              </w:rPr>
            </w:pPr>
            <w:r>
              <w:rPr>
                <w:rFonts w:hint="eastAsia" w:ascii="Times New Roman" w:eastAsia="仿宋"/>
                <w:szCs w:val="21"/>
              </w:rPr>
              <w:t>31.7253</w:t>
            </w:r>
            <w:r>
              <w:rPr>
                <w:rFonts w:ascii="Times New Roman" w:eastAsia="仿宋"/>
                <w:szCs w:val="21"/>
              </w:rPr>
              <w:t>4</w:t>
            </w:r>
          </w:p>
        </w:tc>
        <w:tc>
          <w:tcPr>
            <w:tcW w:w="1693" w:type="dxa"/>
            <w:gridSpan w:val="2"/>
            <w:vAlign w:val="center"/>
          </w:tcPr>
          <w:p w14:paraId="6258B101">
            <w:pPr>
              <w:spacing w:line="320" w:lineRule="exact"/>
              <w:jc w:val="center"/>
              <w:rPr>
                <w:rFonts w:ascii="Times New Roman" w:eastAsia="仿宋"/>
                <w:szCs w:val="21"/>
              </w:rPr>
            </w:pPr>
            <w:r>
              <w:rPr>
                <w:rFonts w:hint="eastAsia" w:ascii="Times New Roman" w:eastAsia="仿宋"/>
                <w:szCs w:val="21"/>
              </w:rPr>
              <w:t>约4450</w:t>
            </w:r>
          </w:p>
        </w:tc>
        <w:tc>
          <w:tcPr>
            <w:tcW w:w="1311" w:type="dxa"/>
            <w:gridSpan w:val="2"/>
            <w:vAlign w:val="center"/>
          </w:tcPr>
          <w:p w14:paraId="03E6DDCF">
            <w:pPr>
              <w:spacing w:line="320" w:lineRule="exact"/>
              <w:jc w:val="center"/>
              <w:rPr>
                <w:rFonts w:ascii="Times New Roman" w:eastAsia="仿宋"/>
                <w:szCs w:val="21"/>
              </w:rPr>
            </w:pPr>
            <w:r>
              <w:rPr>
                <w:rFonts w:hint="eastAsia" w:ascii="Times New Roman" w:eastAsia="仿宋"/>
                <w:szCs w:val="21"/>
              </w:rPr>
              <w:t>W</w:t>
            </w:r>
          </w:p>
        </w:tc>
        <w:tc>
          <w:tcPr>
            <w:tcW w:w="1134" w:type="dxa"/>
            <w:vAlign w:val="center"/>
          </w:tcPr>
          <w:p w14:paraId="02EFDBD7">
            <w:pPr>
              <w:spacing w:line="320" w:lineRule="exact"/>
              <w:jc w:val="center"/>
              <w:rPr>
                <w:rFonts w:ascii="Times New Roman" w:eastAsia="仿宋"/>
                <w:szCs w:val="21"/>
              </w:rPr>
            </w:pPr>
            <w:r>
              <w:rPr>
                <w:rFonts w:hint="eastAsia" w:ascii="Times New Roman" w:eastAsia="仿宋"/>
                <w:szCs w:val="21"/>
              </w:rPr>
              <w:t>约960</w:t>
            </w:r>
          </w:p>
        </w:tc>
        <w:tc>
          <w:tcPr>
            <w:tcW w:w="2268" w:type="dxa"/>
            <w:vMerge w:val="continue"/>
          </w:tcPr>
          <w:p w14:paraId="5C0B088B">
            <w:pPr>
              <w:spacing w:line="320" w:lineRule="exact"/>
              <w:jc w:val="center"/>
              <w:rPr>
                <w:rFonts w:ascii="Times New Roman" w:eastAsia="仿宋"/>
                <w:szCs w:val="21"/>
              </w:rPr>
            </w:pPr>
          </w:p>
        </w:tc>
      </w:tr>
      <w:tr w14:paraId="7025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53E779D">
            <w:pPr>
              <w:jc w:val="center"/>
              <w:rPr>
                <w:rFonts w:ascii="Times New Roman" w:eastAsia="仿宋"/>
                <w:szCs w:val="21"/>
              </w:rPr>
            </w:pPr>
          </w:p>
        </w:tc>
        <w:tc>
          <w:tcPr>
            <w:tcW w:w="2130" w:type="dxa"/>
            <w:vAlign w:val="center"/>
          </w:tcPr>
          <w:p w14:paraId="5F2FF546">
            <w:pPr>
              <w:spacing w:line="320" w:lineRule="exact"/>
              <w:jc w:val="center"/>
              <w:rPr>
                <w:rFonts w:ascii="Times New Roman" w:eastAsia="仿宋"/>
                <w:szCs w:val="21"/>
              </w:rPr>
            </w:pPr>
            <w:r>
              <w:rPr>
                <w:rFonts w:hint="eastAsia" w:ascii="Times New Roman" w:eastAsia="仿宋"/>
                <w:szCs w:val="21"/>
              </w:rPr>
              <w:t>花山村</w:t>
            </w:r>
          </w:p>
        </w:tc>
        <w:tc>
          <w:tcPr>
            <w:tcW w:w="1559" w:type="dxa"/>
            <w:vAlign w:val="center"/>
          </w:tcPr>
          <w:p w14:paraId="2FBF63B4">
            <w:pPr>
              <w:spacing w:line="320" w:lineRule="exact"/>
              <w:jc w:val="center"/>
              <w:rPr>
                <w:rFonts w:ascii="Times New Roman" w:eastAsia="仿宋"/>
                <w:szCs w:val="21"/>
              </w:rPr>
            </w:pPr>
            <w:r>
              <w:rPr>
                <w:rFonts w:hint="eastAsia" w:ascii="Times New Roman" w:eastAsia="仿宋"/>
                <w:szCs w:val="21"/>
              </w:rPr>
              <w:t>119.41047</w:t>
            </w:r>
          </w:p>
        </w:tc>
        <w:tc>
          <w:tcPr>
            <w:tcW w:w="1390" w:type="dxa"/>
            <w:vAlign w:val="center"/>
          </w:tcPr>
          <w:p w14:paraId="3A18F696">
            <w:pPr>
              <w:spacing w:line="320" w:lineRule="exact"/>
              <w:jc w:val="center"/>
              <w:rPr>
                <w:rFonts w:ascii="Times New Roman" w:eastAsia="仿宋"/>
                <w:szCs w:val="21"/>
              </w:rPr>
            </w:pPr>
            <w:r>
              <w:rPr>
                <w:rFonts w:hint="eastAsia" w:ascii="Times New Roman" w:eastAsia="仿宋"/>
                <w:szCs w:val="21"/>
              </w:rPr>
              <w:t>31.74995</w:t>
            </w:r>
          </w:p>
        </w:tc>
        <w:tc>
          <w:tcPr>
            <w:tcW w:w="1693" w:type="dxa"/>
            <w:gridSpan w:val="2"/>
            <w:vAlign w:val="center"/>
          </w:tcPr>
          <w:p w14:paraId="602FEA90">
            <w:pPr>
              <w:spacing w:line="320" w:lineRule="exact"/>
              <w:jc w:val="center"/>
              <w:rPr>
                <w:rFonts w:ascii="Times New Roman" w:eastAsia="仿宋"/>
                <w:szCs w:val="21"/>
              </w:rPr>
            </w:pPr>
            <w:r>
              <w:rPr>
                <w:rFonts w:hint="eastAsia" w:ascii="Times New Roman" w:eastAsia="仿宋"/>
                <w:szCs w:val="21"/>
              </w:rPr>
              <w:t>约2400</w:t>
            </w:r>
          </w:p>
        </w:tc>
        <w:tc>
          <w:tcPr>
            <w:tcW w:w="1311" w:type="dxa"/>
            <w:gridSpan w:val="2"/>
            <w:vAlign w:val="center"/>
          </w:tcPr>
          <w:p w14:paraId="47C93321">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215C3F6B">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282594E3">
            <w:pPr>
              <w:spacing w:line="320" w:lineRule="exact"/>
              <w:jc w:val="center"/>
              <w:rPr>
                <w:rFonts w:ascii="Times New Roman" w:eastAsia="仿宋"/>
                <w:szCs w:val="21"/>
              </w:rPr>
            </w:pPr>
          </w:p>
        </w:tc>
      </w:tr>
      <w:tr w14:paraId="3F9E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6D10EAE">
            <w:pPr>
              <w:jc w:val="center"/>
              <w:rPr>
                <w:rFonts w:ascii="Times New Roman" w:eastAsia="仿宋"/>
                <w:szCs w:val="21"/>
              </w:rPr>
            </w:pPr>
          </w:p>
        </w:tc>
        <w:tc>
          <w:tcPr>
            <w:tcW w:w="2130" w:type="dxa"/>
            <w:vAlign w:val="center"/>
          </w:tcPr>
          <w:p w14:paraId="2CF5C6A4">
            <w:pPr>
              <w:spacing w:line="320" w:lineRule="exact"/>
              <w:jc w:val="center"/>
              <w:rPr>
                <w:rFonts w:ascii="Times New Roman" w:eastAsia="仿宋"/>
                <w:szCs w:val="21"/>
              </w:rPr>
            </w:pPr>
            <w:r>
              <w:rPr>
                <w:rFonts w:hint="eastAsia" w:ascii="Times New Roman" w:eastAsia="仿宋"/>
                <w:szCs w:val="21"/>
              </w:rPr>
              <w:t>后咀头</w:t>
            </w:r>
          </w:p>
        </w:tc>
        <w:tc>
          <w:tcPr>
            <w:tcW w:w="1559" w:type="dxa"/>
            <w:vAlign w:val="center"/>
          </w:tcPr>
          <w:p w14:paraId="7C72210F">
            <w:pPr>
              <w:spacing w:line="320" w:lineRule="exact"/>
              <w:jc w:val="center"/>
              <w:rPr>
                <w:rFonts w:ascii="Times New Roman" w:eastAsia="仿宋"/>
                <w:szCs w:val="21"/>
              </w:rPr>
            </w:pPr>
            <w:r>
              <w:rPr>
                <w:rFonts w:hint="eastAsia" w:ascii="Times New Roman" w:eastAsia="仿宋"/>
                <w:szCs w:val="21"/>
              </w:rPr>
              <w:t>119.42618</w:t>
            </w:r>
          </w:p>
        </w:tc>
        <w:tc>
          <w:tcPr>
            <w:tcW w:w="1390" w:type="dxa"/>
            <w:vAlign w:val="center"/>
          </w:tcPr>
          <w:p w14:paraId="71F8292A">
            <w:pPr>
              <w:spacing w:line="320" w:lineRule="exact"/>
              <w:jc w:val="center"/>
              <w:rPr>
                <w:rFonts w:ascii="Times New Roman" w:eastAsia="仿宋"/>
                <w:szCs w:val="21"/>
              </w:rPr>
            </w:pPr>
            <w:r>
              <w:rPr>
                <w:rFonts w:hint="eastAsia" w:ascii="Times New Roman" w:eastAsia="仿宋"/>
                <w:szCs w:val="21"/>
              </w:rPr>
              <w:t>31.7477</w:t>
            </w:r>
            <w:r>
              <w:rPr>
                <w:rFonts w:ascii="Times New Roman" w:eastAsia="仿宋"/>
                <w:szCs w:val="21"/>
              </w:rPr>
              <w:t>7</w:t>
            </w:r>
          </w:p>
        </w:tc>
        <w:tc>
          <w:tcPr>
            <w:tcW w:w="1693" w:type="dxa"/>
            <w:gridSpan w:val="2"/>
            <w:vAlign w:val="center"/>
          </w:tcPr>
          <w:p w14:paraId="37CF1460">
            <w:pPr>
              <w:spacing w:line="320" w:lineRule="exact"/>
              <w:jc w:val="center"/>
              <w:rPr>
                <w:rFonts w:ascii="Times New Roman" w:eastAsia="仿宋"/>
                <w:szCs w:val="21"/>
              </w:rPr>
            </w:pPr>
            <w:r>
              <w:rPr>
                <w:rFonts w:hint="eastAsia" w:ascii="Times New Roman" w:eastAsia="仿宋"/>
                <w:szCs w:val="21"/>
              </w:rPr>
              <w:t>约2400</w:t>
            </w:r>
          </w:p>
        </w:tc>
        <w:tc>
          <w:tcPr>
            <w:tcW w:w="1311" w:type="dxa"/>
            <w:gridSpan w:val="2"/>
            <w:vAlign w:val="center"/>
          </w:tcPr>
          <w:p w14:paraId="5E837015">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7ECD26B2">
            <w:pPr>
              <w:spacing w:line="320" w:lineRule="exact"/>
              <w:jc w:val="center"/>
              <w:rPr>
                <w:rFonts w:ascii="Times New Roman" w:eastAsia="仿宋"/>
                <w:szCs w:val="21"/>
              </w:rPr>
            </w:pPr>
            <w:r>
              <w:rPr>
                <w:rFonts w:hint="eastAsia" w:ascii="Times New Roman" w:eastAsia="仿宋"/>
                <w:szCs w:val="21"/>
              </w:rPr>
              <w:t>约276</w:t>
            </w:r>
          </w:p>
        </w:tc>
        <w:tc>
          <w:tcPr>
            <w:tcW w:w="2268" w:type="dxa"/>
            <w:vMerge w:val="continue"/>
          </w:tcPr>
          <w:p w14:paraId="77802826">
            <w:pPr>
              <w:spacing w:line="320" w:lineRule="exact"/>
              <w:jc w:val="center"/>
              <w:rPr>
                <w:rFonts w:ascii="Times New Roman" w:eastAsia="仿宋"/>
                <w:szCs w:val="21"/>
              </w:rPr>
            </w:pPr>
          </w:p>
        </w:tc>
      </w:tr>
      <w:tr w14:paraId="5785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4DD30F8">
            <w:pPr>
              <w:jc w:val="center"/>
              <w:rPr>
                <w:rFonts w:ascii="Times New Roman" w:eastAsia="仿宋"/>
                <w:szCs w:val="21"/>
              </w:rPr>
            </w:pPr>
          </w:p>
        </w:tc>
        <w:tc>
          <w:tcPr>
            <w:tcW w:w="2130" w:type="dxa"/>
            <w:vAlign w:val="center"/>
          </w:tcPr>
          <w:p w14:paraId="2CE0B26B">
            <w:pPr>
              <w:spacing w:line="320" w:lineRule="exact"/>
              <w:jc w:val="center"/>
              <w:rPr>
                <w:rFonts w:ascii="Times New Roman" w:eastAsia="仿宋"/>
                <w:szCs w:val="21"/>
              </w:rPr>
            </w:pPr>
            <w:r>
              <w:rPr>
                <w:rFonts w:hint="eastAsia" w:ascii="Times New Roman" w:eastAsia="仿宋"/>
                <w:szCs w:val="21"/>
              </w:rPr>
              <w:t>马路山</w:t>
            </w:r>
          </w:p>
        </w:tc>
        <w:tc>
          <w:tcPr>
            <w:tcW w:w="1559" w:type="dxa"/>
            <w:vAlign w:val="center"/>
          </w:tcPr>
          <w:p w14:paraId="2B6E1B67">
            <w:pPr>
              <w:spacing w:line="320" w:lineRule="exact"/>
              <w:jc w:val="center"/>
              <w:rPr>
                <w:rFonts w:ascii="Times New Roman" w:eastAsia="仿宋"/>
                <w:szCs w:val="21"/>
              </w:rPr>
            </w:pPr>
            <w:r>
              <w:rPr>
                <w:rFonts w:hint="eastAsia" w:ascii="Times New Roman" w:eastAsia="仿宋"/>
                <w:szCs w:val="21"/>
              </w:rPr>
              <w:t>119.41317</w:t>
            </w:r>
          </w:p>
        </w:tc>
        <w:tc>
          <w:tcPr>
            <w:tcW w:w="1390" w:type="dxa"/>
            <w:vAlign w:val="center"/>
          </w:tcPr>
          <w:p w14:paraId="7C8463D4">
            <w:pPr>
              <w:spacing w:line="320" w:lineRule="exact"/>
              <w:jc w:val="center"/>
              <w:rPr>
                <w:rFonts w:ascii="Times New Roman" w:eastAsia="仿宋"/>
                <w:szCs w:val="21"/>
              </w:rPr>
            </w:pPr>
            <w:r>
              <w:rPr>
                <w:rFonts w:hint="eastAsia" w:ascii="Times New Roman" w:eastAsia="仿宋"/>
                <w:szCs w:val="21"/>
              </w:rPr>
              <w:t>31.74031</w:t>
            </w:r>
          </w:p>
        </w:tc>
        <w:tc>
          <w:tcPr>
            <w:tcW w:w="1693" w:type="dxa"/>
            <w:gridSpan w:val="2"/>
            <w:vAlign w:val="center"/>
          </w:tcPr>
          <w:p w14:paraId="185B7850">
            <w:pPr>
              <w:spacing w:line="320" w:lineRule="exact"/>
              <w:jc w:val="center"/>
              <w:rPr>
                <w:rFonts w:ascii="Times New Roman" w:eastAsia="仿宋"/>
                <w:szCs w:val="21"/>
              </w:rPr>
            </w:pPr>
            <w:r>
              <w:rPr>
                <w:rFonts w:hint="eastAsia" w:ascii="Times New Roman" w:eastAsia="仿宋"/>
                <w:szCs w:val="21"/>
              </w:rPr>
              <w:t>约2500</w:t>
            </w:r>
          </w:p>
        </w:tc>
        <w:tc>
          <w:tcPr>
            <w:tcW w:w="1311" w:type="dxa"/>
            <w:gridSpan w:val="2"/>
            <w:vAlign w:val="center"/>
          </w:tcPr>
          <w:p w14:paraId="2D0490FC">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294FD73D">
            <w:pPr>
              <w:spacing w:line="320" w:lineRule="exact"/>
              <w:jc w:val="center"/>
              <w:rPr>
                <w:rFonts w:ascii="Times New Roman" w:eastAsia="仿宋"/>
                <w:szCs w:val="21"/>
              </w:rPr>
            </w:pPr>
            <w:r>
              <w:rPr>
                <w:rFonts w:hint="eastAsia" w:ascii="Times New Roman" w:eastAsia="仿宋"/>
                <w:szCs w:val="21"/>
              </w:rPr>
              <w:t>约144</w:t>
            </w:r>
          </w:p>
        </w:tc>
        <w:tc>
          <w:tcPr>
            <w:tcW w:w="2268" w:type="dxa"/>
            <w:vMerge w:val="continue"/>
          </w:tcPr>
          <w:p w14:paraId="70A8CA2F">
            <w:pPr>
              <w:spacing w:line="320" w:lineRule="exact"/>
              <w:jc w:val="center"/>
              <w:rPr>
                <w:rFonts w:ascii="Times New Roman" w:eastAsia="仿宋"/>
                <w:szCs w:val="21"/>
              </w:rPr>
            </w:pPr>
          </w:p>
        </w:tc>
      </w:tr>
      <w:tr w14:paraId="6703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35B2011">
            <w:pPr>
              <w:jc w:val="center"/>
              <w:rPr>
                <w:rFonts w:ascii="Times New Roman" w:eastAsia="仿宋"/>
                <w:szCs w:val="21"/>
              </w:rPr>
            </w:pPr>
          </w:p>
        </w:tc>
        <w:tc>
          <w:tcPr>
            <w:tcW w:w="2130" w:type="dxa"/>
            <w:vAlign w:val="center"/>
          </w:tcPr>
          <w:p w14:paraId="6FDE84C9">
            <w:pPr>
              <w:spacing w:line="320" w:lineRule="exact"/>
              <w:jc w:val="center"/>
              <w:rPr>
                <w:rFonts w:ascii="Times New Roman" w:eastAsia="仿宋"/>
                <w:szCs w:val="21"/>
              </w:rPr>
            </w:pPr>
            <w:r>
              <w:rPr>
                <w:rFonts w:hint="eastAsia" w:ascii="Times New Roman" w:eastAsia="仿宋"/>
                <w:szCs w:val="21"/>
              </w:rPr>
              <w:t>南庄村</w:t>
            </w:r>
          </w:p>
        </w:tc>
        <w:tc>
          <w:tcPr>
            <w:tcW w:w="1559" w:type="dxa"/>
            <w:vAlign w:val="center"/>
          </w:tcPr>
          <w:p w14:paraId="2E5A9513">
            <w:pPr>
              <w:spacing w:line="320" w:lineRule="exact"/>
              <w:jc w:val="center"/>
              <w:rPr>
                <w:rFonts w:ascii="Times New Roman" w:eastAsia="仿宋"/>
                <w:szCs w:val="21"/>
              </w:rPr>
            </w:pPr>
            <w:r>
              <w:rPr>
                <w:rFonts w:hint="eastAsia" w:ascii="Times New Roman" w:eastAsia="仿宋"/>
                <w:szCs w:val="21"/>
              </w:rPr>
              <w:t>119.41892</w:t>
            </w:r>
          </w:p>
        </w:tc>
        <w:tc>
          <w:tcPr>
            <w:tcW w:w="1390" w:type="dxa"/>
            <w:vAlign w:val="center"/>
          </w:tcPr>
          <w:p w14:paraId="2935F9C8">
            <w:pPr>
              <w:spacing w:line="320" w:lineRule="exact"/>
              <w:jc w:val="center"/>
              <w:rPr>
                <w:rFonts w:ascii="Times New Roman" w:eastAsia="仿宋"/>
                <w:szCs w:val="21"/>
              </w:rPr>
            </w:pPr>
            <w:r>
              <w:rPr>
                <w:rFonts w:hint="eastAsia" w:ascii="Times New Roman" w:eastAsia="仿宋"/>
                <w:szCs w:val="21"/>
              </w:rPr>
              <w:t>31.75278</w:t>
            </w:r>
          </w:p>
        </w:tc>
        <w:tc>
          <w:tcPr>
            <w:tcW w:w="1693" w:type="dxa"/>
            <w:gridSpan w:val="2"/>
            <w:vAlign w:val="center"/>
          </w:tcPr>
          <w:p w14:paraId="6121B8DA">
            <w:pPr>
              <w:spacing w:line="320" w:lineRule="exact"/>
              <w:jc w:val="center"/>
              <w:rPr>
                <w:rFonts w:ascii="Times New Roman" w:eastAsia="仿宋"/>
                <w:szCs w:val="21"/>
              </w:rPr>
            </w:pPr>
            <w:r>
              <w:rPr>
                <w:rFonts w:hint="eastAsia" w:ascii="Times New Roman" w:eastAsia="仿宋"/>
                <w:szCs w:val="21"/>
              </w:rPr>
              <w:t>约3150</w:t>
            </w:r>
          </w:p>
        </w:tc>
        <w:tc>
          <w:tcPr>
            <w:tcW w:w="1311" w:type="dxa"/>
            <w:gridSpan w:val="2"/>
            <w:vAlign w:val="center"/>
          </w:tcPr>
          <w:p w14:paraId="5C630867">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36330F9B">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63F93C44">
            <w:pPr>
              <w:spacing w:line="320" w:lineRule="exact"/>
              <w:jc w:val="center"/>
              <w:rPr>
                <w:rFonts w:ascii="Times New Roman" w:eastAsia="仿宋"/>
                <w:szCs w:val="21"/>
              </w:rPr>
            </w:pPr>
          </w:p>
        </w:tc>
      </w:tr>
      <w:tr w14:paraId="7982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D78F50D">
            <w:pPr>
              <w:jc w:val="center"/>
              <w:rPr>
                <w:rFonts w:ascii="Times New Roman" w:eastAsia="仿宋"/>
                <w:szCs w:val="21"/>
              </w:rPr>
            </w:pPr>
          </w:p>
        </w:tc>
        <w:tc>
          <w:tcPr>
            <w:tcW w:w="2130" w:type="dxa"/>
            <w:vAlign w:val="center"/>
          </w:tcPr>
          <w:p w14:paraId="7FDB2229">
            <w:pPr>
              <w:spacing w:line="320" w:lineRule="exact"/>
              <w:jc w:val="center"/>
              <w:rPr>
                <w:rFonts w:ascii="Times New Roman" w:eastAsia="仿宋"/>
                <w:szCs w:val="21"/>
              </w:rPr>
            </w:pPr>
            <w:r>
              <w:rPr>
                <w:rFonts w:hint="eastAsia" w:ascii="Times New Roman" w:eastAsia="仿宋"/>
                <w:szCs w:val="21"/>
              </w:rPr>
              <w:t>大坝头</w:t>
            </w:r>
          </w:p>
        </w:tc>
        <w:tc>
          <w:tcPr>
            <w:tcW w:w="1559" w:type="dxa"/>
            <w:vAlign w:val="center"/>
          </w:tcPr>
          <w:p w14:paraId="74EAB5C6">
            <w:pPr>
              <w:spacing w:line="320" w:lineRule="exact"/>
              <w:jc w:val="center"/>
              <w:rPr>
                <w:rFonts w:ascii="Times New Roman" w:eastAsia="仿宋"/>
                <w:szCs w:val="21"/>
              </w:rPr>
            </w:pPr>
            <w:r>
              <w:rPr>
                <w:rFonts w:hint="eastAsia" w:ascii="Times New Roman" w:eastAsia="仿宋"/>
                <w:szCs w:val="21"/>
              </w:rPr>
              <w:t>119.40991</w:t>
            </w:r>
          </w:p>
        </w:tc>
        <w:tc>
          <w:tcPr>
            <w:tcW w:w="1390" w:type="dxa"/>
            <w:vAlign w:val="center"/>
          </w:tcPr>
          <w:p w14:paraId="60638CE7">
            <w:pPr>
              <w:spacing w:line="320" w:lineRule="exact"/>
              <w:jc w:val="center"/>
              <w:rPr>
                <w:rFonts w:ascii="Times New Roman" w:eastAsia="仿宋"/>
                <w:szCs w:val="21"/>
              </w:rPr>
            </w:pPr>
            <w:r>
              <w:rPr>
                <w:rFonts w:hint="eastAsia" w:ascii="Times New Roman" w:eastAsia="仿宋"/>
                <w:szCs w:val="21"/>
              </w:rPr>
              <w:t>31.75166</w:t>
            </w:r>
          </w:p>
        </w:tc>
        <w:tc>
          <w:tcPr>
            <w:tcW w:w="1693" w:type="dxa"/>
            <w:gridSpan w:val="2"/>
            <w:vAlign w:val="center"/>
          </w:tcPr>
          <w:p w14:paraId="741DB741">
            <w:pPr>
              <w:spacing w:line="320" w:lineRule="exact"/>
              <w:jc w:val="center"/>
              <w:rPr>
                <w:rFonts w:ascii="Times New Roman" w:eastAsia="仿宋"/>
                <w:szCs w:val="21"/>
              </w:rPr>
            </w:pPr>
            <w:r>
              <w:rPr>
                <w:rFonts w:hint="eastAsia" w:ascii="Times New Roman" w:eastAsia="仿宋"/>
                <w:szCs w:val="21"/>
              </w:rPr>
              <w:t>约3600</w:t>
            </w:r>
          </w:p>
        </w:tc>
        <w:tc>
          <w:tcPr>
            <w:tcW w:w="1311" w:type="dxa"/>
            <w:gridSpan w:val="2"/>
            <w:vAlign w:val="center"/>
          </w:tcPr>
          <w:p w14:paraId="465AC4ED">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0B876D21">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49C8A3F7">
            <w:pPr>
              <w:spacing w:line="320" w:lineRule="exact"/>
              <w:jc w:val="center"/>
              <w:rPr>
                <w:rFonts w:ascii="Times New Roman" w:eastAsia="仿宋"/>
                <w:szCs w:val="21"/>
              </w:rPr>
            </w:pPr>
          </w:p>
        </w:tc>
      </w:tr>
      <w:tr w14:paraId="10BD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257B587">
            <w:pPr>
              <w:jc w:val="center"/>
              <w:rPr>
                <w:rFonts w:ascii="Times New Roman" w:eastAsia="仿宋"/>
                <w:szCs w:val="21"/>
              </w:rPr>
            </w:pPr>
          </w:p>
        </w:tc>
        <w:tc>
          <w:tcPr>
            <w:tcW w:w="2130" w:type="dxa"/>
            <w:vAlign w:val="center"/>
          </w:tcPr>
          <w:p w14:paraId="510AF02D">
            <w:pPr>
              <w:spacing w:line="320" w:lineRule="exact"/>
              <w:jc w:val="center"/>
              <w:rPr>
                <w:rFonts w:ascii="Times New Roman" w:eastAsia="仿宋"/>
                <w:szCs w:val="21"/>
              </w:rPr>
            </w:pPr>
            <w:r>
              <w:rPr>
                <w:rFonts w:hint="eastAsia" w:ascii="Times New Roman" w:eastAsia="仿宋"/>
                <w:szCs w:val="21"/>
              </w:rPr>
              <w:t>金坛区花山小学</w:t>
            </w:r>
          </w:p>
        </w:tc>
        <w:tc>
          <w:tcPr>
            <w:tcW w:w="1559" w:type="dxa"/>
            <w:vAlign w:val="center"/>
          </w:tcPr>
          <w:p w14:paraId="2FD1DAEE">
            <w:pPr>
              <w:spacing w:line="320" w:lineRule="exact"/>
              <w:jc w:val="center"/>
              <w:rPr>
                <w:rFonts w:ascii="Times New Roman" w:eastAsia="仿宋"/>
                <w:szCs w:val="21"/>
              </w:rPr>
            </w:pPr>
            <w:r>
              <w:rPr>
                <w:rFonts w:hint="eastAsia" w:ascii="Times New Roman" w:eastAsia="仿宋"/>
                <w:szCs w:val="21"/>
              </w:rPr>
              <w:t>119.41379</w:t>
            </w:r>
          </w:p>
        </w:tc>
        <w:tc>
          <w:tcPr>
            <w:tcW w:w="1390" w:type="dxa"/>
            <w:vAlign w:val="center"/>
          </w:tcPr>
          <w:p w14:paraId="6A810015">
            <w:pPr>
              <w:spacing w:line="320" w:lineRule="exact"/>
              <w:jc w:val="center"/>
              <w:rPr>
                <w:rFonts w:ascii="Times New Roman" w:eastAsia="仿宋"/>
                <w:szCs w:val="21"/>
              </w:rPr>
            </w:pPr>
            <w:r>
              <w:rPr>
                <w:rFonts w:hint="eastAsia" w:ascii="Times New Roman" w:eastAsia="仿宋"/>
                <w:szCs w:val="21"/>
              </w:rPr>
              <w:t>31.75559</w:t>
            </w:r>
          </w:p>
        </w:tc>
        <w:tc>
          <w:tcPr>
            <w:tcW w:w="1693" w:type="dxa"/>
            <w:gridSpan w:val="2"/>
            <w:vAlign w:val="center"/>
          </w:tcPr>
          <w:p w14:paraId="2AF5BC63">
            <w:pPr>
              <w:spacing w:line="320" w:lineRule="exact"/>
              <w:jc w:val="center"/>
              <w:rPr>
                <w:rFonts w:ascii="Times New Roman" w:eastAsia="仿宋"/>
                <w:szCs w:val="21"/>
              </w:rPr>
            </w:pPr>
            <w:r>
              <w:rPr>
                <w:rFonts w:hint="eastAsia" w:ascii="Times New Roman" w:eastAsia="仿宋"/>
                <w:szCs w:val="21"/>
              </w:rPr>
              <w:t>约3700</w:t>
            </w:r>
          </w:p>
        </w:tc>
        <w:tc>
          <w:tcPr>
            <w:tcW w:w="1311" w:type="dxa"/>
            <w:gridSpan w:val="2"/>
            <w:vAlign w:val="center"/>
          </w:tcPr>
          <w:p w14:paraId="324FFCBA">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32F9D294">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4BA8C65A">
            <w:pPr>
              <w:spacing w:line="320" w:lineRule="exact"/>
              <w:jc w:val="center"/>
              <w:rPr>
                <w:rFonts w:ascii="Times New Roman" w:eastAsia="仿宋"/>
                <w:szCs w:val="21"/>
              </w:rPr>
            </w:pPr>
          </w:p>
        </w:tc>
      </w:tr>
      <w:tr w14:paraId="6D3E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2ACFBF3">
            <w:pPr>
              <w:jc w:val="center"/>
              <w:rPr>
                <w:rFonts w:ascii="Times New Roman" w:eastAsia="仿宋"/>
                <w:szCs w:val="21"/>
              </w:rPr>
            </w:pPr>
          </w:p>
        </w:tc>
        <w:tc>
          <w:tcPr>
            <w:tcW w:w="2130" w:type="dxa"/>
            <w:vAlign w:val="center"/>
          </w:tcPr>
          <w:p w14:paraId="75CCE190">
            <w:pPr>
              <w:spacing w:line="320" w:lineRule="exact"/>
              <w:jc w:val="center"/>
              <w:rPr>
                <w:rFonts w:ascii="Times New Roman" w:eastAsia="仿宋"/>
                <w:szCs w:val="21"/>
              </w:rPr>
            </w:pPr>
            <w:r>
              <w:rPr>
                <w:rFonts w:hint="eastAsia" w:ascii="Times New Roman" w:eastAsia="仿宋"/>
                <w:szCs w:val="21"/>
              </w:rPr>
              <w:t>中央庙村</w:t>
            </w:r>
          </w:p>
        </w:tc>
        <w:tc>
          <w:tcPr>
            <w:tcW w:w="1559" w:type="dxa"/>
            <w:vAlign w:val="center"/>
          </w:tcPr>
          <w:p w14:paraId="08FF4A62">
            <w:pPr>
              <w:spacing w:line="320" w:lineRule="exact"/>
              <w:jc w:val="center"/>
              <w:rPr>
                <w:rFonts w:ascii="Times New Roman" w:eastAsia="仿宋"/>
                <w:szCs w:val="21"/>
              </w:rPr>
            </w:pPr>
            <w:r>
              <w:rPr>
                <w:rFonts w:hint="eastAsia" w:ascii="Times New Roman" w:eastAsia="仿宋"/>
                <w:szCs w:val="21"/>
              </w:rPr>
              <w:t>119.41675</w:t>
            </w:r>
          </w:p>
        </w:tc>
        <w:tc>
          <w:tcPr>
            <w:tcW w:w="1390" w:type="dxa"/>
            <w:vAlign w:val="center"/>
          </w:tcPr>
          <w:p w14:paraId="3155A628">
            <w:pPr>
              <w:spacing w:line="320" w:lineRule="exact"/>
              <w:jc w:val="center"/>
              <w:rPr>
                <w:rFonts w:ascii="Times New Roman" w:eastAsia="仿宋"/>
                <w:szCs w:val="21"/>
              </w:rPr>
            </w:pPr>
            <w:r>
              <w:rPr>
                <w:rFonts w:hint="eastAsia" w:ascii="Times New Roman" w:eastAsia="仿宋"/>
                <w:szCs w:val="21"/>
              </w:rPr>
              <w:t>31.75709</w:t>
            </w:r>
          </w:p>
        </w:tc>
        <w:tc>
          <w:tcPr>
            <w:tcW w:w="1693" w:type="dxa"/>
            <w:gridSpan w:val="2"/>
            <w:vAlign w:val="center"/>
          </w:tcPr>
          <w:p w14:paraId="1094ACF8">
            <w:pPr>
              <w:spacing w:line="320" w:lineRule="exact"/>
              <w:jc w:val="center"/>
              <w:rPr>
                <w:rFonts w:ascii="Times New Roman" w:eastAsia="仿宋"/>
                <w:szCs w:val="21"/>
              </w:rPr>
            </w:pPr>
            <w:r>
              <w:rPr>
                <w:rFonts w:hint="eastAsia" w:ascii="Times New Roman" w:eastAsia="仿宋"/>
                <w:szCs w:val="21"/>
              </w:rPr>
              <w:t>约3700</w:t>
            </w:r>
          </w:p>
        </w:tc>
        <w:tc>
          <w:tcPr>
            <w:tcW w:w="1311" w:type="dxa"/>
            <w:gridSpan w:val="2"/>
            <w:vAlign w:val="center"/>
          </w:tcPr>
          <w:p w14:paraId="1E0617EB">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44927658">
            <w:pPr>
              <w:spacing w:line="320" w:lineRule="exact"/>
              <w:jc w:val="center"/>
              <w:rPr>
                <w:rFonts w:ascii="Times New Roman" w:eastAsia="仿宋"/>
                <w:szCs w:val="21"/>
              </w:rPr>
            </w:pPr>
            <w:r>
              <w:rPr>
                <w:rFonts w:hint="eastAsia" w:ascii="Times New Roman" w:eastAsia="仿宋"/>
                <w:szCs w:val="21"/>
              </w:rPr>
              <w:t>约384</w:t>
            </w:r>
          </w:p>
        </w:tc>
        <w:tc>
          <w:tcPr>
            <w:tcW w:w="2268" w:type="dxa"/>
            <w:vMerge w:val="continue"/>
          </w:tcPr>
          <w:p w14:paraId="520939E6">
            <w:pPr>
              <w:spacing w:line="320" w:lineRule="exact"/>
              <w:jc w:val="center"/>
              <w:rPr>
                <w:rFonts w:ascii="Times New Roman" w:eastAsia="仿宋"/>
                <w:szCs w:val="21"/>
              </w:rPr>
            </w:pPr>
          </w:p>
        </w:tc>
      </w:tr>
      <w:tr w14:paraId="1B38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F7DA2AC">
            <w:pPr>
              <w:jc w:val="center"/>
              <w:rPr>
                <w:rFonts w:ascii="Times New Roman" w:eastAsia="仿宋"/>
                <w:szCs w:val="21"/>
              </w:rPr>
            </w:pPr>
          </w:p>
        </w:tc>
        <w:tc>
          <w:tcPr>
            <w:tcW w:w="2130" w:type="dxa"/>
            <w:vAlign w:val="center"/>
          </w:tcPr>
          <w:p w14:paraId="7C231A40">
            <w:pPr>
              <w:spacing w:line="320" w:lineRule="exact"/>
              <w:jc w:val="center"/>
              <w:rPr>
                <w:rFonts w:ascii="Times New Roman" w:eastAsia="仿宋"/>
                <w:szCs w:val="21"/>
              </w:rPr>
            </w:pPr>
            <w:r>
              <w:rPr>
                <w:rFonts w:hint="eastAsia" w:ascii="Times New Roman" w:eastAsia="仿宋"/>
                <w:szCs w:val="21"/>
              </w:rPr>
              <w:t>东窑村</w:t>
            </w:r>
          </w:p>
        </w:tc>
        <w:tc>
          <w:tcPr>
            <w:tcW w:w="1559" w:type="dxa"/>
            <w:vAlign w:val="center"/>
          </w:tcPr>
          <w:p w14:paraId="1809844B">
            <w:pPr>
              <w:spacing w:line="320" w:lineRule="exact"/>
              <w:jc w:val="center"/>
              <w:rPr>
                <w:rFonts w:ascii="Times New Roman" w:eastAsia="仿宋"/>
                <w:szCs w:val="21"/>
              </w:rPr>
            </w:pPr>
            <w:r>
              <w:rPr>
                <w:rFonts w:hint="eastAsia" w:ascii="Times New Roman" w:eastAsia="仿宋"/>
                <w:szCs w:val="21"/>
              </w:rPr>
              <w:t>119.42308</w:t>
            </w:r>
          </w:p>
        </w:tc>
        <w:tc>
          <w:tcPr>
            <w:tcW w:w="1390" w:type="dxa"/>
            <w:vAlign w:val="center"/>
          </w:tcPr>
          <w:p w14:paraId="013B200A">
            <w:pPr>
              <w:spacing w:line="320" w:lineRule="exact"/>
              <w:jc w:val="center"/>
              <w:rPr>
                <w:rFonts w:ascii="Times New Roman" w:eastAsia="仿宋"/>
                <w:szCs w:val="21"/>
              </w:rPr>
            </w:pPr>
            <w:r>
              <w:rPr>
                <w:rFonts w:hint="eastAsia" w:ascii="Times New Roman" w:eastAsia="仿宋"/>
                <w:szCs w:val="21"/>
              </w:rPr>
              <w:t>31.75902</w:t>
            </w:r>
          </w:p>
        </w:tc>
        <w:tc>
          <w:tcPr>
            <w:tcW w:w="1693" w:type="dxa"/>
            <w:gridSpan w:val="2"/>
            <w:vAlign w:val="center"/>
          </w:tcPr>
          <w:p w14:paraId="64AE3B49">
            <w:pPr>
              <w:spacing w:line="320" w:lineRule="exact"/>
              <w:jc w:val="center"/>
              <w:rPr>
                <w:rFonts w:ascii="Times New Roman" w:eastAsia="仿宋"/>
                <w:szCs w:val="21"/>
              </w:rPr>
            </w:pPr>
            <w:r>
              <w:rPr>
                <w:rFonts w:hint="eastAsia" w:ascii="Times New Roman" w:eastAsia="仿宋"/>
                <w:szCs w:val="21"/>
              </w:rPr>
              <w:t>约3700</w:t>
            </w:r>
          </w:p>
        </w:tc>
        <w:tc>
          <w:tcPr>
            <w:tcW w:w="1311" w:type="dxa"/>
            <w:gridSpan w:val="2"/>
            <w:vAlign w:val="center"/>
          </w:tcPr>
          <w:p w14:paraId="56709DF4">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1F58F9C4">
            <w:pPr>
              <w:spacing w:line="320" w:lineRule="exact"/>
              <w:jc w:val="center"/>
              <w:rPr>
                <w:rFonts w:ascii="Times New Roman" w:eastAsia="仿宋"/>
                <w:szCs w:val="21"/>
              </w:rPr>
            </w:pPr>
            <w:r>
              <w:rPr>
                <w:rFonts w:hint="eastAsia" w:ascii="Times New Roman" w:eastAsia="仿宋"/>
                <w:szCs w:val="21"/>
              </w:rPr>
              <w:t>约780</w:t>
            </w:r>
          </w:p>
        </w:tc>
        <w:tc>
          <w:tcPr>
            <w:tcW w:w="2268" w:type="dxa"/>
            <w:vMerge w:val="continue"/>
          </w:tcPr>
          <w:p w14:paraId="48C52B48">
            <w:pPr>
              <w:spacing w:line="320" w:lineRule="exact"/>
              <w:jc w:val="center"/>
              <w:rPr>
                <w:rFonts w:ascii="Times New Roman" w:eastAsia="仿宋"/>
                <w:szCs w:val="21"/>
              </w:rPr>
            </w:pPr>
          </w:p>
        </w:tc>
      </w:tr>
      <w:tr w14:paraId="42D5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CF29F9E">
            <w:pPr>
              <w:jc w:val="center"/>
              <w:rPr>
                <w:rFonts w:ascii="Times New Roman" w:eastAsia="仿宋"/>
                <w:szCs w:val="21"/>
              </w:rPr>
            </w:pPr>
          </w:p>
        </w:tc>
        <w:tc>
          <w:tcPr>
            <w:tcW w:w="2130" w:type="dxa"/>
            <w:vAlign w:val="center"/>
          </w:tcPr>
          <w:p w14:paraId="11B4DCA8">
            <w:pPr>
              <w:spacing w:line="320" w:lineRule="exact"/>
              <w:jc w:val="center"/>
              <w:rPr>
                <w:rFonts w:ascii="Times New Roman" w:eastAsia="仿宋"/>
                <w:szCs w:val="21"/>
              </w:rPr>
            </w:pPr>
            <w:r>
              <w:rPr>
                <w:rFonts w:hint="eastAsia" w:ascii="Times New Roman" w:eastAsia="仿宋"/>
                <w:szCs w:val="21"/>
              </w:rPr>
              <w:t>河巷</w:t>
            </w:r>
          </w:p>
        </w:tc>
        <w:tc>
          <w:tcPr>
            <w:tcW w:w="1559" w:type="dxa"/>
            <w:vAlign w:val="center"/>
          </w:tcPr>
          <w:p w14:paraId="634F774D">
            <w:pPr>
              <w:spacing w:line="320" w:lineRule="exact"/>
              <w:jc w:val="center"/>
              <w:rPr>
                <w:rFonts w:ascii="Times New Roman" w:eastAsia="仿宋"/>
                <w:szCs w:val="21"/>
              </w:rPr>
            </w:pPr>
            <w:r>
              <w:rPr>
                <w:rFonts w:hint="eastAsia" w:ascii="Times New Roman" w:eastAsia="仿宋"/>
                <w:szCs w:val="21"/>
              </w:rPr>
              <w:t>119.41454</w:t>
            </w:r>
          </w:p>
        </w:tc>
        <w:tc>
          <w:tcPr>
            <w:tcW w:w="1390" w:type="dxa"/>
            <w:vAlign w:val="center"/>
          </w:tcPr>
          <w:p w14:paraId="5270B4F9">
            <w:pPr>
              <w:spacing w:line="320" w:lineRule="exact"/>
              <w:jc w:val="center"/>
              <w:rPr>
                <w:rFonts w:ascii="Times New Roman" w:eastAsia="仿宋"/>
                <w:szCs w:val="21"/>
              </w:rPr>
            </w:pPr>
            <w:r>
              <w:rPr>
                <w:rFonts w:hint="eastAsia" w:ascii="Times New Roman" w:eastAsia="仿宋"/>
                <w:szCs w:val="21"/>
              </w:rPr>
              <w:t>31.75742</w:t>
            </w:r>
          </w:p>
        </w:tc>
        <w:tc>
          <w:tcPr>
            <w:tcW w:w="1693" w:type="dxa"/>
            <w:gridSpan w:val="2"/>
            <w:vAlign w:val="center"/>
          </w:tcPr>
          <w:p w14:paraId="3BDC2FAE">
            <w:pPr>
              <w:spacing w:line="320" w:lineRule="exact"/>
              <w:jc w:val="center"/>
              <w:rPr>
                <w:rFonts w:ascii="Times New Roman" w:eastAsia="仿宋"/>
                <w:szCs w:val="21"/>
              </w:rPr>
            </w:pPr>
            <w:r>
              <w:rPr>
                <w:rFonts w:hint="eastAsia" w:ascii="Times New Roman" w:eastAsia="仿宋"/>
                <w:szCs w:val="21"/>
              </w:rPr>
              <w:t>约3850</w:t>
            </w:r>
          </w:p>
        </w:tc>
        <w:tc>
          <w:tcPr>
            <w:tcW w:w="1311" w:type="dxa"/>
            <w:gridSpan w:val="2"/>
            <w:vAlign w:val="center"/>
          </w:tcPr>
          <w:p w14:paraId="272A9C07">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117F300A">
            <w:pPr>
              <w:spacing w:line="320" w:lineRule="exact"/>
              <w:jc w:val="center"/>
              <w:rPr>
                <w:rFonts w:ascii="Times New Roman" w:eastAsia="仿宋"/>
                <w:szCs w:val="21"/>
              </w:rPr>
            </w:pPr>
            <w:r>
              <w:rPr>
                <w:rFonts w:hint="eastAsia" w:ascii="Times New Roman" w:eastAsia="仿宋"/>
                <w:szCs w:val="21"/>
              </w:rPr>
              <w:t>约504</w:t>
            </w:r>
          </w:p>
        </w:tc>
        <w:tc>
          <w:tcPr>
            <w:tcW w:w="2268" w:type="dxa"/>
            <w:vMerge w:val="continue"/>
          </w:tcPr>
          <w:p w14:paraId="2C616939">
            <w:pPr>
              <w:spacing w:line="320" w:lineRule="exact"/>
              <w:jc w:val="center"/>
              <w:rPr>
                <w:rFonts w:ascii="Times New Roman" w:eastAsia="仿宋"/>
                <w:szCs w:val="21"/>
              </w:rPr>
            </w:pPr>
          </w:p>
        </w:tc>
      </w:tr>
      <w:tr w14:paraId="3771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271F4A29">
            <w:pPr>
              <w:jc w:val="center"/>
              <w:rPr>
                <w:rFonts w:ascii="Times New Roman" w:eastAsia="仿宋"/>
                <w:szCs w:val="21"/>
              </w:rPr>
            </w:pPr>
          </w:p>
        </w:tc>
        <w:tc>
          <w:tcPr>
            <w:tcW w:w="2130" w:type="dxa"/>
            <w:vAlign w:val="center"/>
          </w:tcPr>
          <w:p w14:paraId="617D2876">
            <w:pPr>
              <w:spacing w:line="320" w:lineRule="exact"/>
              <w:jc w:val="center"/>
              <w:rPr>
                <w:rFonts w:ascii="Times New Roman" w:eastAsia="仿宋"/>
                <w:szCs w:val="21"/>
              </w:rPr>
            </w:pPr>
            <w:r>
              <w:rPr>
                <w:rFonts w:hint="eastAsia" w:ascii="Times New Roman" w:eastAsia="仿宋"/>
                <w:szCs w:val="21"/>
              </w:rPr>
              <w:t>下山头</w:t>
            </w:r>
          </w:p>
        </w:tc>
        <w:tc>
          <w:tcPr>
            <w:tcW w:w="1559" w:type="dxa"/>
            <w:vAlign w:val="center"/>
          </w:tcPr>
          <w:p w14:paraId="4B1A8170">
            <w:pPr>
              <w:spacing w:line="320" w:lineRule="exact"/>
              <w:jc w:val="center"/>
              <w:rPr>
                <w:rFonts w:ascii="Times New Roman" w:eastAsia="仿宋"/>
                <w:szCs w:val="21"/>
              </w:rPr>
            </w:pPr>
            <w:r>
              <w:rPr>
                <w:rFonts w:hint="eastAsia" w:ascii="Times New Roman" w:eastAsia="仿宋"/>
                <w:szCs w:val="21"/>
              </w:rPr>
              <w:t>119.40287</w:t>
            </w:r>
          </w:p>
        </w:tc>
        <w:tc>
          <w:tcPr>
            <w:tcW w:w="1390" w:type="dxa"/>
            <w:vAlign w:val="center"/>
          </w:tcPr>
          <w:p w14:paraId="47FCF2E3">
            <w:pPr>
              <w:spacing w:line="320" w:lineRule="exact"/>
              <w:jc w:val="center"/>
              <w:rPr>
                <w:rFonts w:ascii="Times New Roman" w:eastAsia="仿宋"/>
                <w:szCs w:val="21"/>
              </w:rPr>
            </w:pPr>
            <w:r>
              <w:rPr>
                <w:rFonts w:hint="eastAsia" w:ascii="Times New Roman" w:eastAsia="仿宋"/>
                <w:szCs w:val="21"/>
              </w:rPr>
              <w:t>31.74952</w:t>
            </w:r>
          </w:p>
        </w:tc>
        <w:tc>
          <w:tcPr>
            <w:tcW w:w="1693" w:type="dxa"/>
            <w:gridSpan w:val="2"/>
            <w:vAlign w:val="center"/>
          </w:tcPr>
          <w:p w14:paraId="389438B3">
            <w:pPr>
              <w:spacing w:line="320" w:lineRule="exact"/>
              <w:jc w:val="center"/>
              <w:rPr>
                <w:rFonts w:ascii="Times New Roman" w:eastAsia="仿宋"/>
                <w:szCs w:val="21"/>
              </w:rPr>
            </w:pPr>
            <w:r>
              <w:rPr>
                <w:rFonts w:hint="eastAsia" w:ascii="Times New Roman" w:eastAsia="仿宋"/>
                <w:szCs w:val="21"/>
              </w:rPr>
              <w:t>约3900</w:t>
            </w:r>
          </w:p>
        </w:tc>
        <w:tc>
          <w:tcPr>
            <w:tcW w:w="1311" w:type="dxa"/>
            <w:gridSpan w:val="2"/>
            <w:vAlign w:val="center"/>
          </w:tcPr>
          <w:p w14:paraId="0E2471C0">
            <w:pPr>
              <w:spacing w:line="320" w:lineRule="exact"/>
              <w:jc w:val="center"/>
              <w:rPr>
                <w:rFonts w:ascii="Times New Roman" w:eastAsia="仿宋"/>
                <w:szCs w:val="21"/>
              </w:rPr>
            </w:pPr>
            <w:r>
              <w:rPr>
                <w:rFonts w:hint="eastAsia" w:ascii="Times New Roman" w:eastAsia="仿宋"/>
                <w:szCs w:val="21"/>
              </w:rPr>
              <w:t>NW</w:t>
            </w:r>
          </w:p>
        </w:tc>
        <w:tc>
          <w:tcPr>
            <w:tcW w:w="1134" w:type="dxa"/>
            <w:vAlign w:val="center"/>
          </w:tcPr>
          <w:p w14:paraId="34F5EEBA">
            <w:pPr>
              <w:spacing w:line="320" w:lineRule="exact"/>
              <w:jc w:val="center"/>
              <w:rPr>
                <w:rFonts w:ascii="Times New Roman" w:eastAsia="仿宋"/>
                <w:szCs w:val="21"/>
              </w:rPr>
            </w:pPr>
            <w:r>
              <w:rPr>
                <w:rFonts w:hint="eastAsia" w:ascii="Times New Roman" w:eastAsia="仿宋"/>
                <w:szCs w:val="21"/>
              </w:rPr>
              <w:t>约312</w:t>
            </w:r>
          </w:p>
        </w:tc>
        <w:tc>
          <w:tcPr>
            <w:tcW w:w="2268" w:type="dxa"/>
            <w:vMerge w:val="continue"/>
          </w:tcPr>
          <w:p w14:paraId="3C896E8C">
            <w:pPr>
              <w:spacing w:line="320" w:lineRule="exact"/>
              <w:jc w:val="center"/>
              <w:rPr>
                <w:rFonts w:ascii="Times New Roman" w:eastAsia="仿宋"/>
                <w:szCs w:val="21"/>
              </w:rPr>
            </w:pPr>
          </w:p>
        </w:tc>
      </w:tr>
      <w:tr w14:paraId="3EEA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8CD4D82">
            <w:pPr>
              <w:jc w:val="center"/>
              <w:rPr>
                <w:rFonts w:ascii="Times New Roman" w:eastAsia="仿宋"/>
                <w:szCs w:val="21"/>
              </w:rPr>
            </w:pPr>
          </w:p>
        </w:tc>
        <w:tc>
          <w:tcPr>
            <w:tcW w:w="2130" w:type="dxa"/>
            <w:vAlign w:val="center"/>
          </w:tcPr>
          <w:p w14:paraId="3C22169F">
            <w:pPr>
              <w:spacing w:line="320" w:lineRule="exact"/>
              <w:jc w:val="center"/>
              <w:rPr>
                <w:rFonts w:ascii="Times New Roman" w:eastAsia="仿宋"/>
                <w:szCs w:val="21"/>
              </w:rPr>
            </w:pPr>
            <w:r>
              <w:rPr>
                <w:rFonts w:hint="eastAsia" w:ascii="Times New Roman" w:eastAsia="仿宋"/>
                <w:szCs w:val="21"/>
              </w:rPr>
              <w:t>杨桥</w:t>
            </w:r>
          </w:p>
        </w:tc>
        <w:tc>
          <w:tcPr>
            <w:tcW w:w="1559" w:type="dxa"/>
            <w:vAlign w:val="center"/>
          </w:tcPr>
          <w:p w14:paraId="15135105">
            <w:pPr>
              <w:spacing w:line="320" w:lineRule="exact"/>
              <w:jc w:val="center"/>
              <w:rPr>
                <w:rFonts w:ascii="Times New Roman" w:eastAsia="仿宋"/>
                <w:szCs w:val="21"/>
              </w:rPr>
            </w:pPr>
            <w:r>
              <w:rPr>
                <w:rFonts w:hint="eastAsia" w:ascii="Times New Roman" w:eastAsia="仿宋"/>
                <w:szCs w:val="21"/>
              </w:rPr>
              <w:t>119.43038</w:t>
            </w:r>
          </w:p>
        </w:tc>
        <w:tc>
          <w:tcPr>
            <w:tcW w:w="1390" w:type="dxa"/>
            <w:vAlign w:val="center"/>
          </w:tcPr>
          <w:p w14:paraId="2144CC50">
            <w:pPr>
              <w:spacing w:line="320" w:lineRule="exact"/>
              <w:jc w:val="center"/>
              <w:rPr>
                <w:rFonts w:ascii="Times New Roman" w:eastAsia="仿宋"/>
                <w:szCs w:val="21"/>
              </w:rPr>
            </w:pPr>
            <w:r>
              <w:rPr>
                <w:rFonts w:hint="eastAsia" w:ascii="Times New Roman" w:eastAsia="仿宋"/>
                <w:szCs w:val="21"/>
              </w:rPr>
              <w:t>31.74293</w:t>
            </w:r>
          </w:p>
        </w:tc>
        <w:tc>
          <w:tcPr>
            <w:tcW w:w="1693" w:type="dxa"/>
            <w:gridSpan w:val="2"/>
            <w:vAlign w:val="center"/>
          </w:tcPr>
          <w:p w14:paraId="02A80A79">
            <w:pPr>
              <w:spacing w:line="320" w:lineRule="exact"/>
              <w:jc w:val="center"/>
              <w:rPr>
                <w:rFonts w:ascii="Times New Roman" w:eastAsia="仿宋"/>
                <w:szCs w:val="21"/>
              </w:rPr>
            </w:pPr>
            <w:r>
              <w:rPr>
                <w:rFonts w:hint="eastAsia" w:ascii="Times New Roman" w:eastAsia="仿宋"/>
                <w:szCs w:val="21"/>
              </w:rPr>
              <w:t>约1750</w:t>
            </w:r>
          </w:p>
        </w:tc>
        <w:tc>
          <w:tcPr>
            <w:tcW w:w="1311" w:type="dxa"/>
            <w:gridSpan w:val="2"/>
            <w:vAlign w:val="center"/>
          </w:tcPr>
          <w:p w14:paraId="31D47FF6">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21424E2D">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02617DCB">
            <w:pPr>
              <w:spacing w:line="320" w:lineRule="exact"/>
              <w:jc w:val="center"/>
              <w:rPr>
                <w:rFonts w:ascii="Times New Roman" w:eastAsia="仿宋"/>
                <w:szCs w:val="21"/>
              </w:rPr>
            </w:pPr>
          </w:p>
        </w:tc>
      </w:tr>
      <w:tr w14:paraId="3D43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6E4AD94">
            <w:pPr>
              <w:jc w:val="center"/>
              <w:rPr>
                <w:rFonts w:ascii="Times New Roman" w:eastAsia="仿宋"/>
                <w:szCs w:val="21"/>
              </w:rPr>
            </w:pPr>
          </w:p>
        </w:tc>
        <w:tc>
          <w:tcPr>
            <w:tcW w:w="2130" w:type="dxa"/>
            <w:vAlign w:val="center"/>
          </w:tcPr>
          <w:p w14:paraId="5C1A839D">
            <w:pPr>
              <w:spacing w:line="320" w:lineRule="exact"/>
              <w:jc w:val="center"/>
              <w:rPr>
                <w:rFonts w:ascii="Times New Roman" w:eastAsia="仿宋"/>
                <w:szCs w:val="21"/>
              </w:rPr>
            </w:pPr>
            <w:r>
              <w:rPr>
                <w:rFonts w:hint="eastAsia" w:ascii="Times New Roman" w:eastAsia="仿宋"/>
                <w:szCs w:val="21"/>
              </w:rPr>
              <w:t>大姆墩</w:t>
            </w:r>
          </w:p>
        </w:tc>
        <w:tc>
          <w:tcPr>
            <w:tcW w:w="1559" w:type="dxa"/>
            <w:vAlign w:val="center"/>
          </w:tcPr>
          <w:p w14:paraId="5F13FC93">
            <w:pPr>
              <w:spacing w:line="320" w:lineRule="exact"/>
              <w:jc w:val="center"/>
              <w:rPr>
                <w:rFonts w:ascii="Times New Roman" w:eastAsia="仿宋"/>
                <w:szCs w:val="21"/>
              </w:rPr>
            </w:pPr>
            <w:r>
              <w:rPr>
                <w:rFonts w:hint="eastAsia" w:ascii="Times New Roman" w:eastAsia="仿宋"/>
                <w:szCs w:val="21"/>
              </w:rPr>
              <w:t>119.43364</w:t>
            </w:r>
          </w:p>
        </w:tc>
        <w:tc>
          <w:tcPr>
            <w:tcW w:w="1390" w:type="dxa"/>
            <w:vAlign w:val="center"/>
          </w:tcPr>
          <w:p w14:paraId="6439DDBA">
            <w:pPr>
              <w:spacing w:line="320" w:lineRule="exact"/>
              <w:jc w:val="center"/>
              <w:rPr>
                <w:rFonts w:ascii="Times New Roman" w:eastAsia="仿宋"/>
                <w:szCs w:val="21"/>
              </w:rPr>
            </w:pPr>
            <w:r>
              <w:rPr>
                <w:rFonts w:hint="eastAsia" w:ascii="Times New Roman" w:eastAsia="仿宋"/>
                <w:szCs w:val="21"/>
              </w:rPr>
              <w:t>31.74336</w:t>
            </w:r>
          </w:p>
        </w:tc>
        <w:tc>
          <w:tcPr>
            <w:tcW w:w="1693" w:type="dxa"/>
            <w:gridSpan w:val="2"/>
            <w:vAlign w:val="center"/>
          </w:tcPr>
          <w:p w14:paraId="38D57B56">
            <w:pPr>
              <w:spacing w:line="320" w:lineRule="exact"/>
              <w:jc w:val="center"/>
              <w:rPr>
                <w:rFonts w:ascii="Times New Roman" w:eastAsia="仿宋"/>
                <w:szCs w:val="21"/>
              </w:rPr>
            </w:pPr>
            <w:r>
              <w:rPr>
                <w:rFonts w:hint="eastAsia" w:ascii="Times New Roman" w:eastAsia="仿宋"/>
                <w:szCs w:val="21"/>
              </w:rPr>
              <w:t>约1800</w:t>
            </w:r>
          </w:p>
        </w:tc>
        <w:tc>
          <w:tcPr>
            <w:tcW w:w="1311" w:type="dxa"/>
            <w:gridSpan w:val="2"/>
            <w:vAlign w:val="center"/>
          </w:tcPr>
          <w:p w14:paraId="451E6987">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008D4D46">
            <w:pPr>
              <w:spacing w:line="320" w:lineRule="exact"/>
              <w:jc w:val="center"/>
              <w:rPr>
                <w:rFonts w:ascii="Times New Roman" w:eastAsia="仿宋"/>
                <w:szCs w:val="21"/>
              </w:rPr>
            </w:pPr>
            <w:r>
              <w:rPr>
                <w:rFonts w:hint="eastAsia" w:ascii="Times New Roman" w:eastAsia="仿宋"/>
                <w:szCs w:val="21"/>
              </w:rPr>
              <w:t>约552</w:t>
            </w:r>
          </w:p>
        </w:tc>
        <w:tc>
          <w:tcPr>
            <w:tcW w:w="2268" w:type="dxa"/>
            <w:vMerge w:val="continue"/>
          </w:tcPr>
          <w:p w14:paraId="59182445">
            <w:pPr>
              <w:spacing w:line="320" w:lineRule="exact"/>
              <w:jc w:val="center"/>
              <w:rPr>
                <w:rFonts w:ascii="Times New Roman" w:eastAsia="仿宋"/>
                <w:szCs w:val="21"/>
              </w:rPr>
            </w:pPr>
          </w:p>
        </w:tc>
      </w:tr>
      <w:tr w14:paraId="6AF1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45728BB">
            <w:pPr>
              <w:jc w:val="center"/>
              <w:rPr>
                <w:rFonts w:ascii="Times New Roman" w:eastAsia="仿宋"/>
                <w:szCs w:val="21"/>
              </w:rPr>
            </w:pPr>
          </w:p>
        </w:tc>
        <w:tc>
          <w:tcPr>
            <w:tcW w:w="2130" w:type="dxa"/>
            <w:vAlign w:val="center"/>
          </w:tcPr>
          <w:p w14:paraId="1841B92D">
            <w:pPr>
              <w:spacing w:line="320" w:lineRule="exact"/>
              <w:jc w:val="center"/>
              <w:rPr>
                <w:rFonts w:ascii="Times New Roman" w:eastAsia="仿宋"/>
                <w:szCs w:val="21"/>
              </w:rPr>
            </w:pPr>
            <w:r>
              <w:rPr>
                <w:rFonts w:hint="eastAsia" w:ascii="Times New Roman" w:eastAsia="仿宋"/>
                <w:szCs w:val="21"/>
              </w:rPr>
              <w:t>咀头村</w:t>
            </w:r>
          </w:p>
        </w:tc>
        <w:tc>
          <w:tcPr>
            <w:tcW w:w="1559" w:type="dxa"/>
            <w:vAlign w:val="center"/>
          </w:tcPr>
          <w:p w14:paraId="1EDF8105">
            <w:pPr>
              <w:spacing w:line="320" w:lineRule="exact"/>
              <w:jc w:val="center"/>
              <w:rPr>
                <w:rFonts w:ascii="Times New Roman" w:eastAsia="仿宋"/>
                <w:szCs w:val="21"/>
              </w:rPr>
            </w:pPr>
            <w:r>
              <w:rPr>
                <w:rFonts w:hint="eastAsia" w:ascii="Times New Roman" w:eastAsia="仿宋"/>
                <w:szCs w:val="21"/>
              </w:rPr>
              <w:t>119.43293</w:t>
            </w:r>
          </w:p>
        </w:tc>
        <w:tc>
          <w:tcPr>
            <w:tcW w:w="1390" w:type="dxa"/>
            <w:vAlign w:val="center"/>
          </w:tcPr>
          <w:p w14:paraId="3A0C34D5">
            <w:pPr>
              <w:spacing w:line="320" w:lineRule="exact"/>
              <w:jc w:val="center"/>
              <w:rPr>
                <w:rFonts w:ascii="Times New Roman" w:eastAsia="仿宋"/>
                <w:szCs w:val="21"/>
              </w:rPr>
            </w:pPr>
            <w:r>
              <w:rPr>
                <w:rFonts w:hint="eastAsia" w:ascii="Times New Roman" w:eastAsia="仿宋"/>
                <w:szCs w:val="21"/>
              </w:rPr>
              <w:t>31.74858</w:t>
            </w:r>
          </w:p>
        </w:tc>
        <w:tc>
          <w:tcPr>
            <w:tcW w:w="1693" w:type="dxa"/>
            <w:gridSpan w:val="2"/>
            <w:vAlign w:val="center"/>
          </w:tcPr>
          <w:p w14:paraId="4F1DB5F1">
            <w:pPr>
              <w:spacing w:line="320" w:lineRule="exact"/>
              <w:jc w:val="center"/>
              <w:rPr>
                <w:rFonts w:ascii="Times New Roman" w:eastAsia="仿宋"/>
                <w:szCs w:val="21"/>
              </w:rPr>
            </w:pPr>
            <w:r>
              <w:rPr>
                <w:rFonts w:hint="eastAsia" w:ascii="Times New Roman" w:eastAsia="仿宋"/>
                <w:szCs w:val="21"/>
              </w:rPr>
              <w:t>约2350</w:t>
            </w:r>
          </w:p>
        </w:tc>
        <w:tc>
          <w:tcPr>
            <w:tcW w:w="1311" w:type="dxa"/>
            <w:gridSpan w:val="2"/>
            <w:vAlign w:val="center"/>
          </w:tcPr>
          <w:p w14:paraId="09199A81">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753F8900">
            <w:pPr>
              <w:spacing w:line="320" w:lineRule="exact"/>
              <w:jc w:val="center"/>
              <w:rPr>
                <w:rFonts w:ascii="Times New Roman" w:eastAsia="仿宋"/>
                <w:szCs w:val="21"/>
              </w:rPr>
            </w:pPr>
            <w:r>
              <w:rPr>
                <w:rFonts w:hint="eastAsia" w:ascii="Times New Roman" w:eastAsia="仿宋"/>
                <w:szCs w:val="21"/>
              </w:rPr>
              <w:t>约672</w:t>
            </w:r>
          </w:p>
        </w:tc>
        <w:tc>
          <w:tcPr>
            <w:tcW w:w="2268" w:type="dxa"/>
            <w:vMerge w:val="continue"/>
          </w:tcPr>
          <w:p w14:paraId="61B81820">
            <w:pPr>
              <w:spacing w:line="320" w:lineRule="exact"/>
              <w:jc w:val="center"/>
              <w:rPr>
                <w:rFonts w:ascii="Times New Roman" w:eastAsia="仿宋"/>
                <w:szCs w:val="21"/>
              </w:rPr>
            </w:pPr>
          </w:p>
        </w:tc>
      </w:tr>
      <w:tr w14:paraId="1E68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669F9F2">
            <w:pPr>
              <w:jc w:val="center"/>
              <w:rPr>
                <w:rFonts w:ascii="Times New Roman" w:eastAsia="仿宋"/>
                <w:szCs w:val="21"/>
              </w:rPr>
            </w:pPr>
          </w:p>
        </w:tc>
        <w:tc>
          <w:tcPr>
            <w:tcW w:w="2130" w:type="dxa"/>
            <w:vAlign w:val="center"/>
          </w:tcPr>
          <w:p w14:paraId="30FA5446">
            <w:pPr>
              <w:spacing w:line="320" w:lineRule="exact"/>
              <w:jc w:val="center"/>
              <w:rPr>
                <w:rFonts w:ascii="Times New Roman" w:eastAsia="仿宋"/>
                <w:szCs w:val="21"/>
              </w:rPr>
            </w:pPr>
            <w:r>
              <w:rPr>
                <w:rFonts w:hint="eastAsia" w:ascii="Times New Roman" w:eastAsia="仿宋"/>
                <w:szCs w:val="21"/>
              </w:rPr>
              <w:t>安家墩</w:t>
            </w:r>
          </w:p>
        </w:tc>
        <w:tc>
          <w:tcPr>
            <w:tcW w:w="1559" w:type="dxa"/>
            <w:vAlign w:val="center"/>
          </w:tcPr>
          <w:p w14:paraId="62F0C6D2">
            <w:pPr>
              <w:spacing w:line="320" w:lineRule="exact"/>
              <w:jc w:val="center"/>
              <w:rPr>
                <w:rFonts w:ascii="Times New Roman" w:eastAsia="仿宋"/>
                <w:szCs w:val="21"/>
              </w:rPr>
            </w:pPr>
            <w:r>
              <w:rPr>
                <w:rFonts w:hint="eastAsia" w:ascii="Times New Roman" w:eastAsia="仿宋"/>
                <w:szCs w:val="21"/>
              </w:rPr>
              <w:t>119.44405</w:t>
            </w:r>
          </w:p>
        </w:tc>
        <w:tc>
          <w:tcPr>
            <w:tcW w:w="1390" w:type="dxa"/>
            <w:vAlign w:val="center"/>
          </w:tcPr>
          <w:p w14:paraId="67AE3C45">
            <w:pPr>
              <w:spacing w:line="320" w:lineRule="exact"/>
              <w:jc w:val="center"/>
              <w:rPr>
                <w:rFonts w:ascii="Times New Roman" w:eastAsia="仿宋"/>
                <w:szCs w:val="21"/>
              </w:rPr>
            </w:pPr>
            <w:r>
              <w:rPr>
                <w:rFonts w:hint="eastAsia" w:ascii="Times New Roman" w:eastAsia="仿宋"/>
                <w:szCs w:val="21"/>
              </w:rPr>
              <w:t>31.75148</w:t>
            </w:r>
          </w:p>
        </w:tc>
        <w:tc>
          <w:tcPr>
            <w:tcW w:w="1693" w:type="dxa"/>
            <w:gridSpan w:val="2"/>
            <w:vAlign w:val="center"/>
          </w:tcPr>
          <w:p w14:paraId="37E1C3BF">
            <w:pPr>
              <w:spacing w:line="320" w:lineRule="exact"/>
              <w:jc w:val="center"/>
              <w:rPr>
                <w:rFonts w:ascii="Times New Roman" w:eastAsia="仿宋"/>
                <w:szCs w:val="21"/>
              </w:rPr>
            </w:pPr>
            <w:r>
              <w:rPr>
                <w:rFonts w:hint="eastAsia" w:ascii="Times New Roman" w:eastAsia="仿宋"/>
                <w:szCs w:val="21"/>
              </w:rPr>
              <w:t>约2800</w:t>
            </w:r>
          </w:p>
        </w:tc>
        <w:tc>
          <w:tcPr>
            <w:tcW w:w="1311" w:type="dxa"/>
            <w:gridSpan w:val="2"/>
            <w:vAlign w:val="center"/>
          </w:tcPr>
          <w:p w14:paraId="24415C99">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6D273C9B">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6E671DE0">
            <w:pPr>
              <w:spacing w:line="320" w:lineRule="exact"/>
              <w:jc w:val="center"/>
              <w:rPr>
                <w:rFonts w:ascii="Times New Roman" w:eastAsia="仿宋"/>
                <w:szCs w:val="21"/>
              </w:rPr>
            </w:pPr>
          </w:p>
        </w:tc>
      </w:tr>
      <w:tr w14:paraId="004C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A06E815">
            <w:pPr>
              <w:jc w:val="center"/>
              <w:rPr>
                <w:rFonts w:ascii="Times New Roman" w:eastAsia="仿宋"/>
                <w:szCs w:val="21"/>
              </w:rPr>
            </w:pPr>
          </w:p>
        </w:tc>
        <w:tc>
          <w:tcPr>
            <w:tcW w:w="2130" w:type="dxa"/>
            <w:vAlign w:val="center"/>
          </w:tcPr>
          <w:p w14:paraId="34F7E145">
            <w:pPr>
              <w:spacing w:line="320" w:lineRule="exact"/>
              <w:jc w:val="center"/>
              <w:rPr>
                <w:rFonts w:ascii="Times New Roman" w:eastAsia="仿宋"/>
                <w:szCs w:val="21"/>
              </w:rPr>
            </w:pPr>
            <w:r>
              <w:rPr>
                <w:rFonts w:hint="eastAsia" w:ascii="Times New Roman" w:eastAsia="仿宋"/>
                <w:szCs w:val="21"/>
              </w:rPr>
              <w:t>迎丰桥村</w:t>
            </w:r>
          </w:p>
        </w:tc>
        <w:tc>
          <w:tcPr>
            <w:tcW w:w="1559" w:type="dxa"/>
            <w:vAlign w:val="center"/>
          </w:tcPr>
          <w:p w14:paraId="5AE7FD18">
            <w:pPr>
              <w:spacing w:line="320" w:lineRule="exact"/>
              <w:jc w:val="center"/>
              <w:rPr>
                <w:rFonts w:ascii="Times New Roman" w:eastAsia="仿宋"/>
                <w:szCs w:val="21"/>
              </w:rPr>
            </w:pPr>
            <w:r>
              <w:rPr>
                <w:rFonts w:hint="eastAsia" w:ascii="Times New Roman" w:eastAsia="仿宋"/>
                <w:szCs w:val="21"/>
              </w:rPr>
              <w:t>119.45264</w:t>
            </w:r>
          </w:p>
        </w:tc>
        <w:tc>
          <w:tcPr>
            <w:tcW w:w="1390" w:type="dxa"/>
            <w:vAlign w:val="center"/>
          </w:tcPr>
          <w:p w14:paraId="6349072C">
            <w:pPr>
              <w:spacing w:line="320" w:lineRule="exact"/>
              <w:jc w:val="center"/>
              <w:rPr>
                <w:rFonts w:ascii="Times New Roman" w:eastAsia="仿宋"/>
                <w:szCs w:val="21"/>
              </w:rPr>
            </w:pPr>
            <w:r>
              <w:rPr>
                <w:rFonts w:hint="eastAsia" w:ascii="Times New Roman" w:eastAsia="仿宋"/>
                <w:szCs w:val="21"/>
              </w:rPr>
              <w:t>31.74850</w:t>
            </w:r>
          </w:p>
        </w:tc>
        <w:tc>
          <w:tcPr>
            <w:tcW w:w="1693" w:type="dxa"/>
            <w:gridSpan w:val="2"/>
            <w:vAlign w:val="center"/>
          </w:tcPr>
          <w:p w14:paraId="0549A01D">
            <w:pPr>
              <w:spacing w:line="320" w:lineRule="exact"/>
              <w:jc w:val="center"/>
              <w:rPr>
                <w:rFonts w:ascii="Times New Roman" w:eastAsia="仿宋"/>
                <w:szCs w:val="21"/>
              </w:rPr>
            </w:pPr>
            <w:r>
              <w:rPr>
                <w:rFonts w:hint="eastAsia" w:ascii="Times New Roman" w:eastAsia="仿宋"/>
                <w:szCs w:val="21"/>
              </w:rPr>
              <w:t>约2850</w:t>
            </w:r>
          </w:p>
        </w:tc>
        <w:tc>
          <w:tcPr>
            <w:tcW w:w="1311" w:type="dxa"/>
            <w:gridSpan w:val="2"/>
            <w:vAlign w:val="center"/>
          </w:tcPr>
          <w:p w14:paraId="1129AAD4">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2EC6463D">
            <w:pPr>
              <w:spacing w:line="320" w:lineRule="exact"/>
              <w:jc w:val="center"/>
              <w:rPr>
                <w:rFonts w:ascii="Times New Roman" w:eastAsia="仿宋"/>
                <w:szCs w:val="21"/>
              </w:rPr>
            </w:pPr>
            <w:r>
              <w:rPr>
                <w:rFonts w:hint="eastAsia" w:ascii="Times New Roman" w:eastAsia="仿宋"/>
                <w:szCs w:val="21"/>
              </w:rPr>
              <w:t>约456</w:t>
            </w:r>
          </w:p>
        </w:tc>
        <w:tc>
          <w:tcPr>
            <w:tcW w:w="2268" w:type="dxa"/>
            <w:vMerge w:val="continue"/>
          </w:tcPr>
          <w:p w14:paraId="7C3DAD32">
            <w:pPr>
              <w:spacing w:line="320" w:lineRule="exact"/>
              <w:jc w:val="center"/>
              <w:rPr>
                <w:rFonts w:ascii="Times New Roman" w:eastAsia="仿宋"/>
                <w:szCs w:val="21"/>
              </w:rPr>
            </w:pPr>
          </w:p>
        </w:tc>
      </w:tr>
      <w:tr w14:paraId="186A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3E7FD530">
            <w:pPr>
              <w:jc w:val="center"/>
              <w:rPr>
                <w:rFonts w:ascii="Times New Roman" w:eastAsia="仿宋"/>
                <w:szCs w:val="21"/>
              </w:rPr>
            </w:pPr>
          </w:p>
        </w:tc>
        <w:tc>
          <w:tcPr>
            <w:tcW w:w="2130" w:type="dxa"/>
            <w:vAlign w:val="center"/>
          </w:tcPr>
          <w:p w14:paraId="175E56BF">
            <w:pPr>
              <w:spacing w:line="320" w:lineRule="exact"/>
              <w:jc w:val="center"/>
              <w:rPr>
                <w:rFonts w:ascii="Times New Roman" w:eastAsia="仿宋"/>
                <w:szCs w:val="21"/>
              </w:rPr>
            </w:pPr>
            <w:r>
              <w:rPr>
                <w:rFonts w:hint="eastAsia" w:ascii="Times New Roman" w:eastAsia="仿宋"/>
                <w:szCs w:val="21"/>
              </w:rPr>
              <w:t>郑家凹</w:t>
            </w:r>
          </w:p>
        </w:tc>
        <w:tc>
          <w:tcPr>
            <w:tcW w:w="1559" w:type="dxa"/>
            <w:vAlign w:val="center"/>
          </w:tcPr>
          <w:p w14:paraId="7077F6B1">
            <w:pPr>
              <w:spacing w:line="320" w:lineRule="exact"/>
              <w:jc w:val="center"/>
              <w:rPr>
                <w:rFonts w:ascii="Times New Roman" w:eastAsia="仿宋"/>
                <w:szCs w:val="21"/>
              </w:rPr>
            </w:pPr>
            <w:r>
              <w:rPr>
                <w:rFonts w:hint="eastAsia" w:ascii="Times New Roman" w:eastAsia="仿宋"/>
                <w:szCs w:val="21"/>
              </w:rPr>
              <w:t>119.44287</w:t>
            </w:r>
          </w:p>
        </w:tc>
        <w:tc>
          <w:tcPr>
            <w:tcW w:w="1390" w:type="dxa"/>
            <w:vAlign w:val="center"/>
          </w:tcPr>
          <w:p w14:paraId="06F17523">
            <w:pPr>
              <w:spacing w:line="320" w:lineRule="exact"/>
              <w:jc w:val="center"/>
              <w:rPr>
                <w:rFonts w:ascii="Times New Roman" w:eastAsia="仿宋"/>
                <w:szCs w:val="21"/>
              </w:rPr>
            </w:pPr>
            <w:r>
              <w:rPr>
                <w:rFonts w:hint="eastAsia" w:ascii="Times New Roman" w:eastAsia="仿宋"/>
                <w:szCs w:val="21"/>
              </w:rPr>
              <w:t>31.75489</w:t>
            </w:r>
          </w:p>
        </w:tc>
        <w:tc>
          <w:tcPr>
            <w:tcW w:w="1693" w:type="dxa"/>
            <w:gridSpan w:val="2"/>
            <w:vAlign w:val="center"/>
          </w:tcPr>
          <w:p w14:paraId="1A12D715">
            <w:pPr>
              <w:spacing w:line="320" w:lineRule="exact"/>
              <w:jc w:val="center"/>
              <w:rPr>
                <w:rFonts w:ascii="Times New Roman" w:eastAsia="仿宋"/>
                <w:szCs w:val="21"/>
              </w:rPr>
            </w:pPr>
            <w:r>
              <w:rPr>
                <w:rFonts w:hint="eastAsia" w:ascii="Times New Roman" w:eastAsia="仿宋"/>
                <w:szCs w:val="21"/>
              </w:rPr>
              <w:t>约3150</w:t>
            </w:r>
          </w:p>
        </w:tc>
        <w:tc>
          <w:tcPr>
            <w:tcW w:w="1311" w:type="dxa"/>
            <w:gridSpan w:val="2"/>
            <w:vAlign w:val="center"/>
          </w:tcPr>
          <w:p w14:paraId="29EFF6F1">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5D3AFF63">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tcPr>
          <w:p w14:paraId="1AECA1AA">
            <w:pPr>
              <w:spacing w:line="320" w:lineRule="exact"/>
              <w:jc w:val="center"/>
              <w:rPr>
                <w:rFonts w:ascii="Times New Roman" w:eastAsia="仿宋"/>
                <w:szCs w:val="21"/>
              </w:rPr>
            </w:pPr>
          </w:p>
        </w:tc>
      </w:tr>
      <w:tr w14:paraId="3D9E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E5B7149">
            <w:pPr>
              <w:jc w:val="center"/>
              <w:rPr>
                <w:rFonts w:ascii="Times New Roman" w:eastAsia="仿宋"/>
                <w:szCs w:val="21"/>
              </w:rPr>
            </w:pPr>
          </w:p>
        </w:tc>
        <w:tc>
          <w:tcPr>
            <w:tcW w:w="2130" w:type="dxa"/>
            <w:vAlign w:val="center"/>
          </w:tcPr>
          <w:p w14:paraId="5107081A">
            <w:pPr>
              <w:spacing w:line="320" w:lineRule="exact"/>
              <w:jc w:val="center"/>
              <w:rPr>
                <w:rFonts w:ascii="Times New Roman" w:eastAsia="仿宋"/>
                <w:szCs w:val="21"/>
              </w:rPr>
            </w:pPr>
            <w:r>
              <w:rPr>
                <w:rFonts w:hint="eastAsia" w:ascii="Times New Roman" w:eastAsia="仿宋"/>
                <w:szCs w:val="21"/>
              </w:rPr>
              <w:t>头渡</w:t>
            </w:r>
          </w:p>
        </w:tc>
        <w:tc>
          <w:tcPr>
            <w:tcW w:w="1559" w:type="dxa"/>
            <w:vAlign w:val="center"/>
          </w:tcPr>
          <w:p w14:paraId="706DBE82">
            <w:pPr>
              <w:spacing w:line="320" w:lineRule="exact"/>
              <w:jc w:val="center"/>
              <w:rPr>
                <w:rFonts w:ascii="Times New Roman" w:eastAsia="仿宋"/>
                <w:szCs w:val="21"/>
              </w:rPr>
            </w:pPr>
            <w:r>
              <w:rPr>
                <w:rFonts w:hint="eastAsia" w:ascii="Times New Roman" w:eastAsia="仿宋"/>
                <w:szCs w:val="21"/>
              </w:rPr>
              <w:t>119.43515</w:t>
            </w:r>
          </w:p>
        </w:tc>
        <w:tc>
          <w:tcPr>
            <w:tcW w:w="1390" w:type="dxa"/>
            <w:vAlign w:val="center"/>
          </w:tcPr>
          <w:p w14:paraId="4869832D">
            <w:pPr>
              <w:spacing w:line="320" w:lineRule="exact"/>
              <w:jc w:val="center"/>
              <w:rPr>
                <w:rFonts w:ascii="Times New Roman" w:eastAsia="仿宋"/>
                <w:szCs w:val="21"/>
              </w:rPr>
            </w:pPr>
            <w:r>
              <w:rPr>
                <w:rFonts w:hint="eastAsia" w:ascii="Times New Roman" w:eastAsia="仿宋"/>
                <w:szCs w:val="21"/>
              </w:rPr>
              <w:t>31.75735</w:t>
            </w:r>
          </w:p>
        </w:tc>
        <w:tc>
          <w:tcPr>
            <w:tcW w:w="1693" w:type="dxa"/>
            <w:gridSpan w:val="2"/>
            <w:vAlign w:val="center"/>
          </w:tcPr>
          <w:p w14:paraId="2B2834FD">
            <w:pPr>
              <w:spacing w:line="320" w:lineRule="exact"/>
              <w:jc w:val="center"/>
              <w:rPr>
                <w:rFonts w:ascii="Times New Roman" w:eastAsia="仿宋"/>
                <w:szCs w:val="21"/>
              </w:rPr>
            </w:pPr>
            <w:r>
              <w:rPr>
                <w:rFonts w:hint="eastAsia" w:ascii="Times New Roman" w:eastAsia="仿宋"/>
                <w:szCs w:val="21"/>
              </w:rPr>
              <w:t>约3300</w:t>
            </w:r>
          </w:p>
        </w:tc>
        <w:tc>
          <w:tcPr>
            <w:tcW w:w="1311" w:type="dxa"/>
            <w:gridSpan w:val="2"/>
            <w:vAlign w:val="center"/>
          </w:tcPr>
          <w:p w14:paraId="5084F5D0">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1B61FC6F">
            <w:pPr>
              <w:spacing w:line="320" w:lineRule="exact"/>
              <w:jc w:val="center"/>
              <w:rPr>
                <w:rFonts w:ascii="Times New Roman" w:eastAsia="仿宋"/>
                <w:szCs w:val="21"/>
              </w:rPr>
            </w:pPr>
            <w:r>
              <w:rPr>
                <w:rFonts w:hint="eastAsia" w:ascii="Times New Roman" w:eastAsia="仿宋"/>
                <w:szCs w:val="21"/>
              </w:rPr>
              <w:t>约432</w:t>
            </w:r>
          </w:p>
        </w:tc>
        <w:tc>
          <w:tcPr>
            <w:tcW w:w="2268" w:type="dxa"/>
            <w:vMerge w:val="continue"/>
          </w:tcPr>
          <w:p w14:paraId="6E94D880">
            <w:pPr>
              <w:spacing w:line="320" w:lineRule="exact"/>
              <w:jc w:val="center"/>
              <w:rPr>
                <w:rFonts w:ascii="Times New Roman" w:eastAsia="仿宋"/>
                <w:szCs w:val="21"/>
              </w:rPr>
            </w:pPr>
          </w:p>
        </w:tc>
      </w:tr>
      <w:tr w14:paraId="3F37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21165FF">
            <w:pPr>
              <w:jc w:val="center"/>
              <w:rPr>
                <w:rFonts w:ascii="Times New Roman" w:eastAsia="仿宋"/>
                <w:szCs w:val="21"/>
              </w:rPr>
            </w:pPr>
          </w:p>
        </w:tc>
        <w:tc>
          <w:tcPr>
            <w:tcW w:w="2130" w:type="dxa"/>
            <w:vAlign w:val="center"/>
          </w:tcPr>
          <w:p w14:paraId="58639CC3">
            <w:pPr>
              <w:spacing w:line="320" w:lineRule="exact"/>
              <w:jc w:val="center"/>
              <w:rPr>
                <w:rFonts w:ascii="Times New Roman" w:eastAsia="仿宋"/>
                <w:szCs w:val="21"/>
              </w:rPr>
            </w:pPr>
            <w:r>
              <w:rPr>
                <w:rFonts w:hint="eastAsia" w:ascii="Times New Roman" w:eastAsia="仿宋"/>
                <w:szCs w:val="21"/>
              </w:rPr>
              <w:t>管山村</w:t>
            </w:r>
          </w:p>
        </w:tc>
        <w:tc>
          <w:tcPr>
            <w:tcW w:w="1559" w:type="dxa"/>
            <w:vAlign w:val="center"/>
          </w:tcPr>
          <w:p w14:paraId="3D0B4C57">
            <w:pPr>
              <w:spacing w:line="320" w:lineRule="exact"/>
              <w:jc w:val="center"/>
              <w:rPr>
                <w:rFonts w:ascii="Times New Roman" w:eastAsia="仿宋"/>
                <w:szCs w:val="21"/>
              </w:rPr>
            </w:pPr>
            <w:r>
              <w:rPr>
                <w:rFonts w:hint="eastAsia" w:ascii="Times New Roman" w:eastAsia="仿宋"/>
                <w:szCs w:val="21"/>
              </w:rPr>
              <w:t>119.44910</w:t>
            </w:r>
          </w:p>
        </w:tc>
        <w:tc>
          <w:tcPr>
            <w:tcW w:w="1390" w:type="dxa"/>
            <w:vAlign w:val="center"/>
          </w:tcPr>
          <w:p w14:paraId="04000BCE">
            <w:pPr>
              <w:spacing w:line="320" w:lineRule="exact"/>
              <w:jc w:val="center"/>
              <w:rPr>
                <w:rFonts w:ascii="Times New Roman" w:eastAsia="仿宋"/>
                <w:szCs w:val="21"/>
              </w:rPr>
            </w:pPr>
            <w:r>
              <w:rPr>
                <w:rFonts w:hint="eastAsia" w:ascii="Times New Roman" w:eastAsia="仿宋"/>
                <w:szCs w:val="21"/>
              </w:rPr>
              <w:t>31.76049</w:t>
            </w:r>
          </w:p>
        </w:tc>
        <w:tc>
          <w:tcPr>
            <w:tcW w:w="1693" w:type="dxa"/>
            <w:gridSpan w:val="2"/>
            <w:vAlign w:val="center"/>
          </w:tcPr>
          <w:p w14:paraId="6BCC2B71">
            <w:pPr>
              <w:spacing w:line="320" w:lineRule="exact"/>
              <w:jc w:val="center"/>
              <w:rPr>
                <w:rFonts w:ascii="Times New Roman" w:eastAsia="仿宋"/>
                <w:szCs w:val="21"/>
              </w:rPr>
            </w:pPr>
            <w:r>
              <w:rPr>
                <w:rFonts w:hint="eastAsia" w:ascii="Times New Roman" w:eastAsia="仿宋"/>
                <w:szCs w:val="21"/>
              </w:rPr>
              <w:t>约3850</w:t>
            </w:r>
          </w:p>
        </w:tc>
        <w:tc>
          <w:tcPr>
            <w:tcW w:w="1311" w:type="dxa"/>
            <w:gridSpan w:val="2"/>
            <w:vAlign w:val="center"/>
          </w:tcPr>
          <w:p w14:paraId="37B24CC2">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7EA999B5">
            <w:pPr>
              <w:spacing w:line="320" w:lineRule="exact"/>
              <w:jc w:val="center"/>
              <w:rPr>
                <w:rFonts w:ascii="Times New Roman" w:eastAsia="仿宋"/>
                <w:szCs w:val="21"/>
              </w:rPr>
            </w:pPr>
            <w:r>
              <w:rPr>
                <w:rFonts w:hint="eastAsia" w:ascii="Times New Roman" w:eastAsia="仿宋"/>
                <w:szCs w:val="21"/>
              </w:rPr>
              <w:t>约180</w:t>
            </w:r>
          </w:p>
        </w:tc>
        <w:tc>
          <w:tcPr>
            <w:tcW w:w="2268" w:type="dxa"/>
            <w:vMerge w:val="continue"/>
          </w:tcPr>
          <w:p w14:paraId="3C73E09C">
            <w:pPr>
              <w:spacing w:line="320" w:lineRule="exact"/>
              <w:jc w:val="center"/>
              <w:rPr>
                <w:rFonts w:ascii="Times New Roman" w:eastAsia="仿宋"/>
                <w:szCs w:val="21"/>
              </w:rPr>
            </w:pPr>
          </w:p>
        </w:tc>
      </w:tr>
      <w:tr w14:paraId="7F00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AB83497">
            <w:pPr>
              <w:jc w:val="center"/>
              <w:rPr>
                <w:rFonts w:ascii="Times New Roman" w:eastAsia="仿宋"/>
                <w:szCs w:val="21"/>
              </w:rPr>
            </w:pPr>
          </w:p>
        </w:tc>
        <w:tc>
          <w:tcPr>
            <w:tcW w:w="2130" w:type="dxa"/>
            <w:vAlign w:val="center"/>
          </w:tcPr>
          <w:p w14:paraId="1799811A">
            <w:pPr>
              <w:spacing w:line="320" w:lineRule="exact"/>
              <w:jc w:val="center"/>
              <w:rPr>
                <w:rFonts w:ascii="Times New Roman" w:eastAsia="仿宋"/>
                <w:szCs w:val="21"/>
              </w:rPr>
            </w:pPr>
            <w:r>
              <w:rPr>
                <w:rFonts w:hint="eastAsia" w:ascii="Times New Roman" w:eastAsia="仿宋"/>
                <w:szCs w:val="21"/>
              </w:rPr>
              <w:t>万家棚</w:t>
            </w:r>
          </w:p>
        </w:tc>
        <w:tc>
          <w:tcPr>
            <w:tcW w:w="1559" w:type="dxa"/>
            <w:vAlign w:val="center"/>
          </w:tcPr>
          <w:p w14:paraId="1152E374">
            <w:pPr>
              <w:spacing w:line="320" w:lineRule="exact"/>
              <w:jc w:val="center"/>
              <w:rPr>
                <w:rFonts w:ascii="Times New Roman" w:eastAsia="仿宋"/>
                <w:szCs w:val="21"/>
              </w:rPr>
            </w:pPr>
            <w:r>
              <w:rPr>
                <w:rFonts w:hint="eastAsia" w:ascii="Times New Roman" w:eastAsia="仿宋"/>
                <w:szCs w:val="21"/>
              </w:rPr>
              <w:t>119.44713</w:t>
            </w:r>
          </w:p>
        </w:tc>
        <w:tc>
          <w:tcPr>
            <w:tcW w:w="1390" w:type="dxa"/>
            <w:vAlign w:val="center"/>
          </w:tcPr>
          <w:p w14:paraId="37AA439E">
            <w:pPr>
              <w:spacing w:line="320" w:lineRule="exact"/>
              <w:jc w:val="center"/>
              <w:rPr>
                <w:rFonts w:ascii="Times New Roman" w:eastAsia="仿宋"/>
                <w:szCs w:val="21"/>
              </w:rPr>
            </w:pPr>
            <w:r>
              <w:rPr>
                <w:rFonts w:hint="eastAsia" w:ascii="Times New Roman" w:eastAsia="仿宋"/>
                <w:szCs w:val="21"/>
              </w:rPr>
              <w:t>31.77178</w:t>
            </w:r>
          </w:p>
        </w:tc>
        <w:tc>
          <w:tcPr>
            <w:tcW w:w="1693" w:type="dxa"/>
            <w:gridSpan w:val="2"/>
            <w:vAlign w:val="center"/>
          </w:tcPr>
          <w:p w14:paraId="54A27DB8">
            <w:pPr>
              <w:spacing w:line="320" w:lineRule="exact"/>
              <w:jc w:val="center"/>
              <w:rPr>
                <w:rFonts w:ascii="Times New Roman" w:eastAsia="仿宋"/>
                <w:szCs w:val="21"/>
              </w:rPr>
            </w:pPr>
            <w:r>
              <w:rPr>
                <w:rFonts w:hint="eastAsia" w:ascii="Times New Roman" w:eastAsia="仿宋"/>
                <w:szCs w:val="21"/>
              </w:rPr>
              <w:t>约5000</w:t>
            </w:r>
          </w:p>
        </w:tc>
        <w:tc>
          <w:tcPr>
            <w:tcW w:w="1311" w:type="dxa"/>
            <w:gridSpan w:val="2"/>
            <w:vAlign w:val="center"/>
          </w:tcPr>
          <w:p w14:paraId="5ACA670F">
            <w:pPr>
              <w:spacing w:line="320" w:lineRule="exact"/>
              <w:jc w:val="center"/>
              <w:rPr>
                <w:rFonts w:ascii="Times New Roman" w:eastAsia="仿宋"/>
                <w:szCs w:val="21"/>
              </w:rPr>
            </w:pPr>
            <w:r>
              <w:rPr>
                <w:rFonts w:hint="eastAsia" w:ascii="Times New Roman" w:eastAsia="仿宋"/>
                <w:szCs w:val="21"/>
              </w:rPr>
              <w:t>N</w:t>
            </w:r>
          </w:p>
        </w:tc>
        <w:tc>
          <w:tcPr>
            <w:tcW w:w="1134" w:type="dxa"/>
            <w:vAlign w:val="center"/>
          </w:tcPr>
          <w:p w14:paraId="196D6B19">
            <w:pPr>
              <w:spacing w:line="320" w:lineRule="exact"/>
              <w:jc w:val="center"/>
              <w:rPr>
                <w:rFonts w:ascii="Times New Roman" w:eastAsia="仿宋"/>
                <w:szCs w:val="21"/>
              </w:rPr>
            </w:pPr>
            <w:r>
              <w:rPr>
                <w:rFonts w:hint="eastAsia" w:ascii="Times New Roman" w:eastAsia="仿宋"/>
                <w:szCs w:val="21"/>
              </w:rPr>
              <w:t>约120</w:t>
            </w:r>
          </w:p>
        </w:tc>
        <w:tc>
          <w:tcPr>
            <w:tcW w:w="2268" w:type="dxa"/>
            <w:vMerge w:val="continue"/>
          </w:tcPr>
          <w:p w14:paraId="32FBC1A5">
            <w:pPr>
              <w:spacing w:line="320" w:lineRule="exact"/>
              <w:jc w:val="center"/>
              <w:rPr>
                <w:rFonts w:ascii="Times New Roman" w:eastAsia="仿宋"/>
                <w:szCs w:val="21"/>
              </w:rPr>
            </w:pPr>
          </w:p>
        </w:tc>
      </w:tr>
      <w:tr w14:paraId="4EAA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C6D21B2">
            <w:pPr>
              <w:jc w:val="center"/>
              <w:rPr>
                <w:rFonts w:ascii="Times New Roman" w:eastAsia="仿宋"/>
                <w:szCs w:val="21"/>
              </w:rPr>
            </w:pPr>
          </w:p>
        </w:tc>
        <w:tc>
          <w:tcPr>
            <w:tcW w:w="2130" w:type="dxa"/>
            <w:vAlign w:val="center"/>
          </w:tcPr>
          <w:p w14:paraId="7969F2E6">
            <w:pPr>
              <w:spacing w:line="320" w:lineRule="exact"/>
              <w:jc w:val="center"/>
              <w:rPr>
                <w:rFonts w:ascii="Times New Roman" w:eastAsia="仿宋"/>
                <w:szCs w:val="21"/>
              </w:rPr>
            </w:pPr>
            <w:r>
              <w:rPr>
                <w:rFonts w:hint="eastAsia" w:ascii="Times New Roman" w:eastAsia="仿宋"/>
                <w:szCs w:val="21"/>
              </w:rPr>
              <w:t>龙溪新村</w:t>
            </w:r>
          </w:p>
        </w:tc>
        <w:tc>
          <w:tcPr>
            <w:tcW w:w="1559" w:type="dxa"/>
            <w:vAlign w:val="center"/>
          </w:tcPr>
          <w:p w14:paraId="1A01E741">
            <w:pPr>
              <w:spacing w:line="320" w:lineRule="exact"/>
              <w:jc w:val="center"/>
              <w:rPr>
                <w:rFonts w:ascii="Times New Roman" w:eastAsia="仿宋"/>
                <w:szCs w:val="21"/>
              </w:rPr>
            </w:pPr>
            <w:r>
              <w:rPr>
                <w:rFonts w:hint="eastAsia" w:ascii="Times New Roman" w:eastAsia="仿宋"/>
                <w:szCs w:val="21"/>
              </w:rPr>
              <w:t>119.4</w:t>
            </w:r>
            <w:r>
              <w:rPr>
                <w:rFonts w:ascii="Times New Roman" w:eastAsia="仿宋"/>
                <w:szCs w:val="21"/>
              </w:rPr>
              <w:t>352</w:t>
            </w:r>
            <w:r>
              <w:rPr>
                <w:rFonts w:hint="eastAsia" w:ascii="Times New Roman" w:eastAsia="仿宋"/>
                <w:szCs w:val="21"/>
              </w:rPr>
              <w:t>1</w:t>
            </w:r>
          </w:p>
        </w:tc>
        <w:tc>
          <w:tcPr>
            <w:tcW w:w="1390" w:type="dxa"/>
            <w:vAlign w:val="center"/>
          </w:tcPr>
          <w:p w14:paraId="7ABA0A60">
            <w:pPr>
              <w:spacing w:line="320" w:lineRule="exact"/>
              <w:jc w:val="center"/>
              <w:rPr>
                <w:rFonts w:ascii="Times New Roman" w:eastAsia="仿宋"/>
                <w:szCs w:val="21"/>
              </w:rPr>
            </w:pPr>
            <w:r>
              <w:rPr>
                <w:rFonts w:hint="eastAsia" w:ascii="Times New Roman" w:eastAsia="仿宋"/>
                <w:szCs w:val="21"/>
              </w:rPr>
              <w:t>31.7</w:t>
            </w:r>
            <w:r>
              <w:rPr>
                <w:rFonts w:ascii="Times New Roman" w:eastAsia="仿宋"/>
                <w:szCs w:val="21"/>
              </w:rPr>
              <w:t>4</w:t>
            </w:r>
            <w:r>
              <w:rPr>
                <w:rFonts w:hint="eastAsia" w:ascii="Times New Roman" w:eastAsia="仿宋"/>
                <w:szCs w:val="21"/>
              </w:rPr>
              <w:t>1</w:t>
            </w:r>
            <w:r>
              <w:rPr>
                <w:rFonts w:ascii="Times New Roman" w:eastAsia="仿宋"/>
                <w:szCs w:val="21"/>
              </w:rPr>
              <w:t>32</w:t>
            </w:r>
          </w:p>
        </w:tc>
        <w:tc>
          <w:tcPr>
            <w:tcW w:w="1693" w:type="dxa"/>
            <w:gridSpan w:val="2"/>
            <w:vAlign w:val="center"/>
          </w:tcPr>
          <w:p w14:paraId="3D3557A1">
            <w:pPr>
              <w:spacing w:line="320" w:lineRule="exact"/>
              <w:jc w:val="center"/>
              <w:rPr>
                <w:rFonts w:ascii="Times New Roman" w:eastAsia="仿宋"/>
                <w:szCs w:val="21"/>
              </w:rPr>
            </w:pPr>
            <w:r>
              <w:rPr>
                <w:rFonts w:hint="eastAsia" w:ascii="Times New Roman" w:eastAsia="仿宋"/>
                <w:szCs w:val="21"/>
              </w:rPr>
              <w:t>约1</w:t>
            </w:r>
            <w:r>
              <w:rPr>
                <w:rFonts w:ascii="Times New Roman" w:eastAsia="仿宋"/>
                <w:szCs w:val="21"/>
              </w:rPr>
              <w:t>4</w:t>
            </w:r>
            <w:r>
              <w:rPr>
                <w:rFonts w:hint="eastAsia" w:ascii="Times New Roman" w:eastAsia="仿宋"/>
                <w:szCs w:val="21"/>
              </w:rPr>
              <w:t>00</w:t>
            </w:r>
          </w:p>
        </w:tc>
        <w:tc>
          <w:tcPr>
            <w:tcW w:w="1311" w:type="dxa"/>
            <w:gridSpan w:val="2"/>
            <w:vAlign w:val="center"/>
          </w:tcPr>
          <w:p w14:paraId="1A8938B6">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5A5B3094">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10</w:t>
            </w:r>
            <w:r>
              <w:rPr>
                <w:rFonts w:hint="eastAsia" w:ascii="Times New Roman" w:eastAsia="仿宋"/>
                <w:szCs w:val="21"/>
              </w:rPr>
              <w:t>00</w:t>
            </w:r>
          </w:p>
        </w:tc>
        <w:tc>
          <w:tcPr>
            <w:tcW w:w="2268" w:type="dxa"/>
            <w:vMerge w:val="continue"/>
          </w:tcPr>
          <w:p w14:paraId="621E2343">
            <w:pPr>
              <w:spacing w:line="320" w:lineRule="exact"/>
              <w:jc w:val="center"/>
              <w:rPr>
                <w:rFonts w:ascii="Times New Roman" w:eastAsia="仿宋"/>
                <w:szCs w:val="21"/>
              </w:rPr>
            </w:pPr>
          </w:p>
        </w:tc>
      </w:tr>
      <w:tr w14:paraId="2862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03861B3">
            <w:pPr>
              <w:jc w:val="center"/>
              <w:rPr>
                <w:rFonts w:ascii="Times New Roman" w:eastAsia="仿宋"/>
                <w:szCs w:val="21"/>
              </w:rPr>
            </w:pPr>
          </w:p>
        </w:tc>
        <w:tc>
          <w:tcPr>
            <w:tcW w:w="2130" w:type="dxa"/>
            <w:vAlign w:val="center"/>
          </w:tcPr>
          <w:p w14:paraId="07A34654">
            <w:pPr>
              <w:spacing w:line="320" w:lineRule="exact"/>
              <w:jc w:val="center"/>
              <w:rPr>
                <w:rFonts w:ascii="Times New Roman" w:eastAsia="仿宋"/>
                <w:szCs w:val="21"/>
              </w:rPr>
            </w:pPr>
            <w:r>
              <w:rPr>
                <w:rFonts w:hint="eastAsia" w:ascii="Times New Roman" w:eastAsia="仿宋"/>
                <w:szCs w:val="21"/>
              </w:rPr>
              <w:t>王家墩</w:t>
            </w:r>
          </w:p>
        </w:tc>
        <w:tc>
          <w:tcPr>
            <w:tcW w:w="1559" w:type="dxa"/>
            <w:vAlign w:val="center"/>
          </w:tcPr>
          <w:p w14:paraId="2D793AAE">
            <w:pPr>
              <w:spacing w:line="320" w:lineRule="exact"/>
              <w:jc w:val="center"/>
              <w:rPr>
                <w:rFonts w:ascii="Times New Roman" w:eastAsia="仿宋"/>
                <w:szCs w:val="21"/>
              </w:rPr>
            </w:pPr>
            <w:r>
              <w:rPr>
                <w:rFonts w:hint="eastAsia" w:ascii="Times New Roman" w:eastAsia="仿宋"/>
                <w:szCs w:val="21"/>
              </w:rPr>
              <w:t>119.44</w:t>
            </w:r>
            <w:r>
              <w:rPr>
                <w:rFonts w:ascii="Times New Roman" w:eastAsia="仿宋"/>
                <w:szCs w:val="21"/>
              </w:rPr>
              <w:t>22</w:t>
            </w:r>
            <w:r>
              <w:rPr>
                <w:rFonts w:hint="eastAsia" w:ascii="Times New Roman" w:eastAsia="仿宋"/>
                <w:szCs w:val="21"/>
              </w:rPr>
              <w:t>3</w:t>
            </w:r>
          </w:p>
        </w:tc>
        <w:tc>
          <w:tcPr>
            <w:tcW w:w="1390" w:type="dxa"/>
            <w:vAlign w:val="center"/>
          </w:tcPr>
          <w:p w14:paraId="236AAB84">
            <w:pPr>
              <w:spacing w:line="320" w:lineRule="exact"/>
              <w:jc w:val="center"/>
              <w:rPr>
                <w:rFonts w:ascii="Times New Roman" w:eastAsia="仿宋"/>
                <w:szCs w:val="21"/>
              </w:rPr>
            </w:pPr>
            <w:r>
              <w:rPr>
                <w:rFonts w:hint="eastAsia" w:ascii="Times New Roman" w:eastAsia="仿宋"/>
                <w:szCs w:val="21"/>
              </w:rPr>
              <w:t>31.73</w:t>
            </w:r>
            <w:r>
              <w:rPr>
                <w:rFonts w:ascii="Times New Roman" w:eastAsia="仿宋"/>
                <w:szCs w:val="21"/>
              </w:rPr>
              <w:t>224</w:t>
            </w:r>
          </w:p>
        </w:tc>
        <w:tc>
          <w:tcPr>
            <w:tcW w:w="1693" w:type="dxa"/>
            <w:gridSpan w:val="2"/>
            <w:vAlign w:val="center"/>
          </w:tcPr>
          <w:p w14:paraId="22F010AE">
            <w:pPr>
              <w:spacing w:line="320" w:lineRule="exact"/>
              <w:jc w:val="center"/>
              <w:rPr>
                <w:rFonts w:ascii="Times New Roman" w:eastAsia="仿宋"/>
                <w:szCs w:val="21"/>
              </w:rPr>
            </w:pPr>
            <w:r>
              <w:rPr>
                <w:rFonts w:hint="eastAsia" w:ascii="Times New Roman" w:eastAsia="仿宋"/>
                <w:szCs w:val="21"/>
              </w:rPr>
              <w:t>约1</w:t>
            </w:r>
            <w:r>
              <w:rPr>
                <w:rFonts w:ascii="Times New Roman" w:eastAsia="仿宋"/>
                <w:szCs w:val="21"/>
              </w:rPr>
              <w:t>5</w:t>
            </w:r>
            <w:r>
              <w:rPr>
                <w:rFonts w:hint="eastAsia" w:ascii="Times New Roman" w:eastAsia="仿宋"/>
                <w:szCs w:val="21"/>
              </w:rPr>
              <w:t>00</w:t>
            </w:r>
          </w:p>
        </w:tc>
        <w:tc>
          <w:tcPr>
            <w:tcW w:w="1311" w:type="dxa"/>
            <w:gridSpan w:val="2"/>
            <w:vAlign w:val="center"/>
          </w:tcPr>
          <w:p w14:paraId="7FDCCC42">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1398E229">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6</w:t>
            </w:r>
            <w:r>
              <w:rPr>
                <w:rFonts w:hint="eastAsia" w:ascii="Times New Roman" w:eastAsia="仿宋"/>
                <w:szCs w:val="21"/>
              </w:rPr>
              <w:t>00</w:t>
            </w:r>
          </w:p>
        </w:tc>
        <w:tc>
          <w:tcPr>
            <w:tcW w:w="2268" w:type="dxa"/>
            <w:vMerge w:val="continue"/>
          </w:tcPr>
          <w:p w14:paraId="72583185">
            <w:pPr>
              <w:spacing w:line="320" w:lineRule="exact"/>
              <w:jc w:val="center"/>
              <w:rPr>
                <w:rFonts w:ascii="Times New Roman" w:eastAsia="仿宋"/>
                <w:szCs w:val="21"/>
              </w:rPr>
            </w:pPr>
          </w:p>
        </w:tc>
      </w:tr>
      <w:tr w14:paraId="2BAC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FD33B5E">
            <w:pPr>
              <w:jc w:val="center"/>
              <w:rPr>
                <w:rFonts w:ascii="Times New Roman" w:eastAsia="仿宋"/>
                <w:szCs w:val="21"/>
              </w:rPr>
            </w:pPr>
          </w:p>
        </w:tc>
        <w:tc>
          <w:tcPr>
            <w:tcW w:w="2130" w:type="dxa"/>
            <w:vAlign w:val="center"/>
          </w:tcPr>
          <w:p w14:paraId="1ED8E284">
            <w:pPr>
              <w:spacing w:line="320" w:lineRule="exact"/>
              <w:jc w:val="center"/>
              <w:rPr>
                <w:rFonts w:ascii="Times New Roman" w:eastAsia="仿宋"/>
                <w:szCs w:val="21"/>
              </w:rPr>
            </w:pPr>
            <w:r>
              <w:rPr>
                <w:rFonts w:hint="eastAsia" w:ascii="Times New Roman" w:eastAsia="仿宋"/>
                <w:szCs w:val="21"/>
              </w:rPr>
              <w:t>龙溪二村</w:t>
            </w:r>
          </w:p>
        </w:tc>
        <w:tc>
          <w:tcPr>
            <w:tcW w:w="1559" w:type="dxa"/>
            <w:vAlign w:val="center"/>
          </w:tcPr>
          <w:p w14:paraId="7A7E7620">
            <w:pPr>
              <w:spacing w:line="320" w:lineRule="exact"/>
              <w:jc w:val="center"/>
              <w:rPr>
                <w:rFonts w:ascii="Times New Roman" w:eastAsia="仿宋"/>
                <w:szCs w:val="21"/>
              </w:rPr>
            </w:pPr>
            <w:r>
              <w:rPr>
                <w:rFonts w:hint="eastAsia" w:ascii="Times New Roman" w:eastAsia="仿宋"/>
                <w:szCs w:val="21"/>
              </w:rPr>
              <w:t>119.44953</w:t>
            </w:r>
          </w:p>
        </w:tc>
        <w:tc>
          <w:tcPr>
            <w:tcW w:w="1390" w:type="dxa"/>
            <w:vAlign w:val="center"/>
          </w:tcPr>
          <w:p w14:paraId="5B361C71">
            <w:pPr>
              <w:spacing w:line="320" w:lineRule="exact"/>
              <w:jc w:val="center"/>
              <w:rPr>
                <w:rFonts w:ascii="Times New Roman" w:eastAsia="仿宋"/>
                <w:szCs w:val="21"/>
              </w:rPr>
            </w:pPr>
            <w:r>
              <w:rPr>
                <w:rFonts w:hint="eastAsia" w:ascii="Times New Roman" w:eastAsia="仿宋"/>
                <w:szCs w:val="21"/>
              </w:rPr>
              <w:t>31.73814</w:t>
            </w:r>
          </w:p>
        </w:tc>
        <w:tc>
          <w:tcPr>
            <w:tcW w:w="1693" w:type="dxa"/>
            <w:gridSpan w:val="2"/>
            <w:vAlign w:val="center"/>
          </w:tcPr>
          <w:p w14:paraId="31D549FD">
            <w:pPr>
              <w:spacing w:line="320" w:lineRule="exact"/>
              <w:jc w:val="center"/>
              <w:rPr>
                <w:rFonts w:ascii="Times New Roman" w:eastAsia="仿宋"/>
                <w:szCs w:val="21"/>
              </w:rPr>
            </w:pPr>
            <w:r>
              <w:rPr>
                <w:rFonts w:hint="eastAsia" w:ascii="Times New Roman" w:eastAsia="仿宋"/>
                <w:szCs w:val="21"/>
              </w:rPr>
              <w:t>约1800</w:t>
            </w:r>
          </w:p>
        </w:tc>
        <w:tc>
          <w:tcPr>
            <w:tcW w:w="1311" w:type="dxa"/>
            <w:gridSpan w:val="2"/>
            <w:vAlign w:val="center"/>
          </w:tcPr>
          <w:p w14:paraId="5D62177B">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55C0C4F7">
            <w:pPr>
              <w:spacing w:line="320" w:lineRule="exact"/>
              <w:jc w:val="center"/>
              <w:rPr>
                <w:rFonts w:ascii="Times New Roman" w:eastAsia="仿宋"/>
                <w:szCs w:val="21"/>
              </w:rPr>
            </w:pPr>
            <w:r>
              <w:rPr>
                <w:rFonts w:hint="eastAsia" w:ascii="Times New Roman" w:eastAsia="仿宋"/>
                <w:szCs w:val="21"/>
              </w:rPr>
              <w:t>约1200</w:t>
            </w:r>
          </w:p>
        </w:tc>
        <w:tc>
          <w:tcPr>
            <w:tcW w:w="2268" w:type="dxa"/>
            <w:vMerge w:val="continue"/>
          </w:tcPr>
          <w:p w14:paraId="0232BA50">
            <w:pPr>
              <w:spacing w:line="320" w:lineRule="exact"/>
              <w:jc w:val="center"/>
              <w:rPr>
                <w:rFonts w:ascii="Times New Roman" w:eastAsia="仿宋"/>
                <w:szCs w:val="21"/>
              </w:rPr>
            </w:pPr>
          </w:p>
        </w:tc>
      </w:tr>
      <w:tr w14:paraId="1CB9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1DFE362">
            <w:pPr>
              <w:jc w:val="center"/>
              <w:rPr>
                <w:rFonts w:ascii="Times New Roman" w:eastAsia="仿宋"/>
                <w:szCs w:val="21"/>
              </w:rPr>
            </w:pPr>
          </w:p>
        </w:tc>
        <w:tc>
          <w:tcPr>
            <w:tcW w:w="2130" w:type="dxa"/>
            <w:vAlign w:val="center"/>
          </w:tcPr>
          <w:p w14:paraId="031DA716">
            <w:pPr>
              <w:spacing w:line="320" w:lineRule="exact"/>
              <w:jc w:val="center"/>
              <w:rPr>
                <w:rFonts w:ascii="Times New Roman" w:eastAsia="仿宋"/>
                <w:szCs w:val="21"/>
              </w:rPr>
            </w:pPr>
            <w:r>
              <w:rPr>
                <w:rFonts w:hint="eastAsia" w:ascii="Times New Roman" w:eastAsia="仿宋"/>
                <w:szCs w:val="21"/>
              </w:rPr>
              <w:t>南街</w:t>
            </w:r>
          </w:p>
        </w:tc>
        <w:tc>
          <w:tcPr>
            <w:tcW w:w="1559" w:type="dxa"/>
            <w:vAlign w:val="center"/>
          </w:tcPr>
          <w:p w14:paraId="66BF6C76">
            <w:pPr>
              <w:spacing w:line="320" w:lineRule="exact"/>
              <w:jc w:val="center"/>
              <w:rPr>
                <w:rFonts w:ascii="Times New Roman" w:eastAsia="仿宋"/>
                <w:szCs w:val="21"/>
              </w:rPr>
            </w:pPr>
            <w:r>
              <w:rPr>
                <w:rFonts w:hint="eastAsia" w:ascii="Times New Roman" w:eastAsia="仿宋"/>
                <w:szCs w:val="21"/>
              </w:rPr>
              <w:t>119.45264</w:t>
            </w:r>
          </w:p>
        </w:tc>
        <w:tc>
          <w:tcPr>
            <w:tcW w:w="1390" w:type="dxa"/>
            <w:vAlign w:val="center"/>
          </w:tcPr>
          <w:p w14:paraId="70BCA5FB">
            <w:pPr>
              <w:spacing w:line="320" w:lineRule="exact"/>
              <w:jc w:val="center"/>
              <w:rPr>
                <w:rFonts w:ascii="Times New Roman" w:eastAsia="仿宋"/>
                <w:szCs w:val="21"/>
              </w:rPr>
            </w:pPr>
            <w:r>
              <w:rPr>
                <w:rFonts w:hint="eastAsia" w:ascii="Times New Roman" w:eastAsia="仿宋"/>
                <w:szCs w:val="21"/>
              </w:rPr>
              <w:t>31.73834</w:t>
            </w:r>
          </w:p>
        </w:tc>
        <w:tc>
          <w:tcPr>
            <w:tcW w:w="1693" w:type="dxa"/>
            <w:gridSpan w:val="2"/>
            <w:vAlign w:val="center"/>
          </w:tcPr>
          <w:p w14:paraId="0CBC9F25">
            <w:pPr>
              <w:spacing w:line="320" w:lineRule="exact"/>
              <w:jc w:val="center"/>
              <w:rPr>
                <w:rFonts w:ascii="Times New Roman" w:eastAsia="仿宋"/>
                <w:szCs w:val="21"/>
              </w:rPr>
            </w:pPr>
            <w:r>
              <w:rPr>
                <w:rFonts w:hint="eastAsia" w:ascii="Times New Roman" w:eastAsia="仿宋"/>
                <w:szCs w:val="21"/>
              </w:rPr>
              <w:t>约2050</w:t>
            </w:r>
          </w:p>
        </w:tc>
        <w:tc>
          <w:tcPr>
            <w:tcW w:w="1311" w:type="dxa"/>
            <w:gridSpan w:val="2"/>
            <w:vAlign w:val="center"/>
          </w:tcPr>
          <w:p w14:paraId="5E3DFDFE">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32A7F3F2">
            <w:pPr>
              <w:spacing w:line="320" w:lineRule="exact"/>
              <w:jc w:val="center"/>
              <w:rPr>
                <w:rFonts w:ascii="Times New Roman" w:eastAsia="仿宋"/>
                <w:szCs w:val="21"/>
              </w:rPr>
            </w:pPr>
            <w:r>
              <w:rPr>
                <w:rFonts w:hint="eastAsia" w:ascii="Times New Roman" w:eastAsia="仿宋"/>
                <w:szCs w:val="21"/>
              </w:rPr>
              <w:t>约1080</w:t>
            </w:r>
          </w:p>
        </w:tc>
        <w:tc>
          <w:tcPr>
            <w:tcW w:w="2268" w:type="dxa"/>
            <w:vMerge w:val="continue"/>
          </w:tcPr>
          <w:p w14:paraId="55AC323A">
            <w:pPr>
              <w:spacing w:line="320" w:lineRule="exact"/>
              <w:jc w:val="center"/>
              <w:rPr>
                <w:rFonts w:ascii="Times New Roman" w:eastAsia="仿宋"/>
                <w:szCs w:val="21"/>
              </w:rPr>
            </w:pPr>
          </w:p>
        </w:tc>
      </w:tr>
      <w:tr w14:paraId="2C82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EE1D69C">
            <w:pPr>
              <w:jc w:val="center"/>
              <w:rPr>
                <w:rFonts w:ascii="Times New Roman" w:eastAsia="仿宋"/>
                <w:szCs w:val="21"/>
              </w:rPr>
            </w:pPr>
          </w:p>
        </w:tc>
        <w:tc>
          <w:tcPr>
            <w:tcW w:w="2130" w:type="dxa"/>
            <w:vAlign w:val="center"/>
          </w:tcPr>
          <w:p w14:paraId="798C44E0">
            <w:pPr>
              <w:spacing w:line="320" w:lineRule="exact"/>
              <w:jc w:val="center"/>
              <w:rPr>
                <w:rFonts w:ascii="Times New Roman" w:eastAsia="仿宋"/>
                <w:szCs w:val="21"/>
              </w:rPr>
            </w:pPr>
            <w:r>
              <w:rPr>
                <w:rFonts w:hint="eastAsia" w:ascii="Times New Roman" w:eastAsia="仿宋"/>
                <w:szCs w:val="21"/>
              </w:rPr>
              <w:t>金坛区朱林中心小学</w:t>
            </w:r>
          </w:p>
        </w:tc>
        <w:tc>
          <w:tcPr>
            <w:tcW w:w="1559" w:type="dxa"/>
            <w:vAlign w:val="center"/>
          </w:tcPr>
          <w:p w14:paraId="5877A4EF">
            <w:pPr>
              <w:spacing w:line="320" w:lineRule="exact"/>
              <w:jc w:val="center"/>
              <w:rPr>
                <w:rFonts w:ascii="Times New Roman" w:eastAsia="仿宋"/>
                <w:szCs w:val="21"/>
              </w:rPr>
            </w:pPr>
            <w:r>
              <w:rPr>
                <w:rFonts w:hint="eastAsia" w:ascii="Times New Roman" w:eastAsia="仿宋"/>
                <w:szCs w:val="21"/>
              </w:rPr>
              <w:t>119.45631</w:t>
            </w:r>
          </w:p>
        </w:tc>
        <w:tc>
          <w:tcPr>
            <w:tcW w:w="1390" w:type="dxa"/>
            <w:vAlign w:val="center"/>
          </w:tcPr>
          <w:p w14:paraId="375D1178">
            <w:pPr>
              <w:spacing w:line="320" w:lineRule="exact"/>
              <w:jc w:val="center"/>
              <w:rPr>
                <w:rFonts w:ascii="Times New Roman" w:eastAsia="仿宋"/>
                <w:szCs w:val="21"/>
              </w:rPr>
            </w:pPr>
            <w:r>
              <w:rPr>
                <w:rFonts w:hint="eastAsia" w:ascii="Times New Roman" w:eastAsia="仿宋"/>
                <w:szCs w:val="21"/>
              </w:rPr>
              <w:t>31.73805</w:t>
            </w:r>
          </w:p>
        </w:tc>
        <w:tc>
          <w:tcPr>
            <w:tcW w:w="1693" w:type="dxa"/>
            <w:gridSpan w:val="2"/>
            <w:vAlign w:val="center"/>
          </w:tcPr>
          <w:p w14:paraId="6E6C25AB">
            <w:pPr>
              <w:spacing w:line="320" w:lineRule="exact"/>
              <w:jc w:val="center"/>
              <w:rPr>
                <w:rFonts w:ascii="Times New Roman" w:eastAsia="仿宋"/>
                <w:szCs w:val="21"/>
              </w:rPr>
            </w:pPr>
            <w:r>
              <w:rPr>
                <w:rFonts w:hint="eastAsia" w:ascii="Times New Roman" w:eastAsia="仿宋"/>
                <w:szCs w:val="21"/>
              </w:rPr>
              <w:t>约2300</w:t>
            </w:r>
          </w:p>
        </w:tc>
        <w:tc>
          <w:tcPr>
            <w:tcW w:w="1311" w:type="dxa"/>
            <w:gridSpan w:val="2"/>
            <w:vAlign w:val="center"/>
          </w:tcPr>
          <w:p w14:paraId="3A7C80BF">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7AF0CCFB">
            <w:pPr>
              <w:spacing w:line="320" w:lineRule="exact"/>
              <w:jc w:val="center"/>
              <w:rPr>
                <w:rFonts w:ascii="Times New Roman" w:eastAsia="仿宋"/>
                <w:szCs w:val="21"/>
              </w:rPr>
            </w:pPr>
            <w:r>
              <w:rPr>
                <w:rFonts w:hint="eastAsia" w:ascii="Times New Roman" w:eastAsia="仿宋"/>
                <w:szCs w:val="21"/>
              </w:rPr>
              <w:t>约720</w:t>
            </w:r>
          </w:p>
        </w:tc>
        <w:tc>
          <w:tcPr>
            <w:tcW w:w="2268" w:type="dxa"/>
            <w:vMerge w:val="continue"/>
          </w:tcPr>
          <w:p w14:paraId="4FFCDD33">
            <w:pPr>
              <w:spacing w:line="320" w:lineRule="exact"/>
              <w:jc w:val="center"/>
              <w:rPr>
                <w:rFonts w:ascii="Times New Roman" w:eastAsia="仿宋"/>
                <w:szCs w:val="21"/>
              </w:rPr>
            </w:pPr>
          </w:p>
        </w:tc>
      </w:tr>
      <w:tr w14:paraId="7642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EC303F6">
            <w:pPr>
              <w:jc w:val="center"/>
              <w:rPr>
                <w:rFonts w:ascii="Times New Roman" w:eastAsia="仿宋"/>
                <w:szCs w:val="21"/>
              </w:rPr>
            </w:pPr>
          </w:p>
        </w:tc>
        <w:tc>
          <w:tcPr>
            <w:tcW w:w="2130" w:type="dxa"/>
            <w:vAlign w:val="center"/>
          </w:tcPr>
          <w:p w14:paraId="67DD4C93">
            <w:pPr>
              <w:spacing w:line="320" w:lineRule="exact"/>
              <w:jc w:val="center"/>
              <w:rPr>
                <w:rFonts w:ascii="Times New Roman" w:eastAsia="仿宋"/>
                <w:szCs w:val="21"/>
              </w:rPr>
            </w:pPr>
            <w:r>
              <w:rPr>
                <w:rFonts w:hint="eastAsia" w:ascii="Times New Roman" w:eastAsia="仿宋"/>
                <w:szCs w:val="21"/>
              </w:rPr>
              <w:t>英凤桥</w:t>
            </w:r>
          </w:p>
        </w:tc>
        <w:tc>
          <w:tcPr>
            <w:tcW w:w="1559" w:type="dxa"/>
            <w:vAlign w:val="center"/>
          </w:tcPr>
          <w:p w14:paraId="0FC39534">
            <w:pPr>
              <w:spacing w:line="320" w:lineRule="exact"/>
              <w:jc w:val="center"/>
              <w:rPr>
                <w:rFonts w:ascii="Times New Roman" w:eastAsia="仿宋"/>
                <w:szCs w:val="21"/>
              </w:rPr>
            </w:pPr>
            <w:r>
              <w:rPr>
                <w:rFonts w:hint="eastAsia" w:ascii="Times New Roman" w:eastAsia="仿宋"/>
                <w:szCs w:val="21"/>
              </w:rPr>
              <w:t>119.4</w:t>
            </w:r>
            <w:r>
              <w:rPr>
                <w:rFonts w:ascii="Times New Roman" w:eastAsia="仿宋"/>
                <w:szCs w:val="21"/>
              </w:rPr>
              <w:t>4</w:t>
            </w:r>
            <w:r>
              <w:rPr>
                <w:rFonts w:hint="eastAsia" w:ascii="Times New Roman" w:eastAsia="仿宋"/>
                <w:szCs w:val="21"/>
              </w:rPr>
              <w:t>6</w:t>
            </w:r>
            <w:r>
              <w:rPr>
                <w:rFonts w:ascii="Times New Roman" w:eastAsia="仿宋"/>
                <w:szCs w:val="21"/>
              </w:rPr>
              <w:t>23</w:t>
            </w:r>
          </w:p>
        </w:tc>
        <w:tc>
          <w:tcPr>
            <w:tcW w:w="1390" w:type="dxa"/>
            <w:vAlign w:val="center"/>
          </w:tcPr>
          <w:p w14:paraId="390EC164">
            <w:pPr>
              <w:spacing w:line="320" w:lineRule="exact"/>
              <w:jc w:val="center"/>
              <w:rPr>
                <w:rFonts w:ascii="Times New Roman" w:eastAsia="仿宋"/>
                <w:szCs w:val="21"/>
              </w:rPr>
            </w:pPr>
            <w:r>
              <w:rPr>
                <w:rFonts w:hint="eastAsia" w:ascii="Times New Roman" w:eastAsia="仿宋"/>
                <w:szCs w:val="21"/>
              </w:rPr>
              <w:t>31.7</w:t>
            </w:r>
            <w:r>
              <w:rPr>
                <w:rFonts w:ascii="Times New Roman" w:eastAsia="仿宋"/>
                <w:szCs w:val="21"/>
              </w:rPr>
              <w:t>3321</w:t>
            </w:r>
          </w:p>
        </w:tc>
        <w:tc>
          <w:tcPr>
            <w:tcW w:w="1693" w:type="dxa"/>
            <w:gridSpan w:val="2"/>
            <w:vAlign w:val="center"/>
          </w:tcPr>
          <w:p w14:paraId="0DB13B29">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74</w:t>
            </w:r>
            <w:r>
              <w:rPr>
                <w:rFonts w:hint="eastAsia" w:ascii="Times New Roman" w:eastAsia="仿宋"/>
                <w:szCs w:val="21"/>
              </w:rPr>
              <w:t>0</w:t>
            </w:r>
          </w:p>
        </w:tc>
        <w:tc>
          <w:tcPr>
            <w:tcW w:w="1311" w:type="dxa"/>
            <w:gridSpan w:val="2"/>
            <w:vAlign w:val="center"/>
          </w:tcPr>
          <w:p w14:paraId="63201DC4">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6BDA8C32">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120</w:t>
            </w:r>
            <w:r>
              <w:rPr>
                <w:rFonts w:hint="eastAsia" w:ascii="Times New Roman" w:eastAsia="仿宋"/>
                <w:szCs w:val="21"/>
              </w:rPr>
              <w:t>0</w:t>
            </w:r>
          </w:p>
        </w:tc>
        <w:tc>
          <w:tcPr>
            <w:tcW w:w="2268" w:type="dxa"/>
            <w:vMerge w:val="continue"/>
          </w:tcPr>
          <w:p w14:paraId="3FFDEFA0">
            <w:pPr>
              <w:spacing w:line="320" w:lineRule="exact"/>
              <w:jc w:val="center"/>
              <w:rPr>
                <w:rFonts w:ascii="Times New Roman" w:eastAsia="仿宋"/>
                <w:szCs w:val="21"/>
              </w:rPr>
            </w:pPr>
          </w:p>
        </w:tc>
      </w:tr>
      <w:tr w14:paraId="6C22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3A64CC6">
            <w:pPr>
              <w:jc w:val="center"/>
              <w:rPr>
                <w:rFonts w:ascii="Times New Roman" w:eastAsia="仿宋"/>
                <w:szCs w:val="21"/>
              </w:rPr>
            </w:pPr>
          </w:p>
        </w:tc>
        <w:tc>
          <w:tcPr>
            <w:tcW w:w="2130" w:type="dxa"/>
            <w:vAlign w:val="center"/>
          </w:tcPr>
          <w:p w14:paraId="3C0C2682">
            <w:pPr>
              <w:spacing w:line="320" w:lineRule="exact"/>
              <w:jc w:val="center"/>
              <w:rPr>
                <w:rFonts w:ascii="Times New Roman" w:eastAsia="仿宋"/>
                <w:szCs w:val="21"/>
              </w:rPr>
            </w:pPr>
            <w:r>
              <w:rPr>
                <w:rFonts w:hint="eastAsia" w:ascii="Times New Roman" w:eastAsia="仿宋"/>
                <w:szCs w:val="21"/>
              </w:rPr>
              <w:t>水岸风华园</w:t>
            </w:r>
          </w:p>
        </w:tc>
        <w:tc>
          <w:tcPr>
            <w:tcW w:w="1559" w:type="dxa"/>
            <w:vAlign w:val="center"/>
          </w:tcPr>
          <w:p w14:paraId="2D149B56">
            <w:pPr>
              <w:spacing w:line="320" w:lineRule="exact"/>
              <w:jc w:val="center"/>
              <w:rPr>
                <w:rFonts w:ascii="Times New Roman" w:eastAsia="仿宋"/>
                <w:szCs w:val="21"/>
              </w:rPr>
            </w:pPr>
            <w:r>
              <w:rPr>
                <w:rFonts w:hint="eastAsia" w:ascii="Times New Roman" w:eastAsia="仿宋"/>
                <w:szCs w:val="21"/>
              </w:rPr>
              <w:t>119.46090</w:t>
            </w:r>
          </w:p>
        </w:tc>
        <w:tc>
          <w:tcPr>
            <w:tcW w:w="1390" w:type="dxa"/>
            <w:vAlign w:val="center"/>
          </w:tcPr>
          <w:p w14:paraId="60C13D22">
            <w:pPr>
              <w:spacing w:line="320" w:lineRule="exact"/>
              <w:jc w:val="center"/>
              <w:rPr>
                <w:rFonts w:ascii="Times New Roman" w:eastAsia="仿宋"/>
                <w:szCs w:val="21"/>
              </w:rPr>
            </w:pPr>
            <w:r>
              <w:rPr>
                <w:rFonts w:hint="eastAsia" w:ascii="Times New Roman" w:eastAsia="仿宋"/>
                <w:szCs w:val="21"/>
              </w:rPr>
              <w:t>31.74167</w:t>
            </w:r>
          </w:p>
        </w:tc>
        <w:tc>
          <w:tcPr>
            <w:tcW w:w="1693" w:type="dxa"/>
            <w:gridSpan w:val="2"/>
            <w:vAlign w:val="center"/>
          </w:tcPr>
          <w:p w14:paraId="6140E8D5">
            <w:pPr>
              <w:spacing w:line="320" w:lineRule="exact"/>
              <w:jc w:val="center"/>
              <w:rPr>
                <w:rFonts w:ascii="Times New Roman" w:eastAsia="仿宋"/>
                <w:szCs w:val="21"/>
              </w:rPr>
            </w:pPr>
            <w:r>
              <w:rPr>
                <w:rFonts w:hint="eastAsia" w:ascii="Times New Roman" w:eastAsia="仿宋"/>
                <w:szCs w:val="21"/>
              </w:rPr>
              <w:t>约2850</w:t>
            </w:r>
          </w:p>
        </w:tc>
        <w:tc>
          <w:tcPr>
            <w:tcW w:w="1311" w:type="dxa"/>
            <w:gridSpan w:val="2"/>
            <w:vAlign w:val="center"/>
          </w:tcPr>
          <w:p w14:paraId="4299E8DF">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368F8C3C">
            <w:pPr>
              <w:spacing w:line="320" w:lineRule="exact"/>
              <w:jc w:val="center"/>
              <w:rPr>
                <w:rFonts w:ascii="Times New Roman" w:eastAsia="仿宋"/>
                <w:szCs w:val="21"/>
              </w:rPr>
            </w:pPr>
            <w:r>
              <w:rPr>
                <w:rFonts w:hint="eastAsia" w:ascii="Times New Roman" w:eastAsia="仿宋"/>
                <w:szCs w:val="21"/>
              </w:rPr>
              <w:t>约696</w:t>
            </w:r>
          </w:p>
        </w:tc>
        <w:tc>
          <w:tcPr>
            <w:tcW w:w="2268" w:type="dxa"/>
            <w:vMerge w:val="continue"/>
          </w:tcPr>
          <w:p w14:paraId="2AA14404">
            <w:pPr>
              <w:spacing w:line="320" w:lineRule="exact"/>
              <w:jc w:val="center"/>
              <w:rPr>
                <w:rFonts w:ascii="Times New Roman" w:eastAsia="仿宋"/>
                <w:szCs w:val="21"/>
              </w:rPr>
            </w:pPr>
          </w:p>
        </w:tc>
      </w:tr>
      <w:tr w14:paraId="2F91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C1DF501">
            <w:pPr>
              <w:jc w:val="center"/>
              <w:rPr>
                <w:rFonts w:ascii="Times New Roman" w:eastAsia="仿宋"/>
                <w:szCs w:val="21"/>
              </w:rPr>
            </w:pPr>
          </w:p>
        </w:tc>
        <w:tc>
          <w:tcPr>
            <w:tcW w:w="2130" w:type="dxa"/>
            <w:vAlign w:val="center"/>
          </w:tcPr>
          <w:p w14:paraId="22A943F3">
            <w:pPr>
              <w:spacing w:line="320" w:lineRule="exact"/>
              <w:jc w:val="center"/>
              <w:rPr>
                <w:rFonts w:ascii="Times New Roman" w:eastAsia="仿宋"/>
                <w:szCs w:val="21"/>
              </w:rPr>
            </w:pPr>
            <w:r>
              <w:rPr>
                <w:rFonts w:hint="eastAsia" w:ascii="Times New Roman" w:eastAsia="仿宋"/>
                <w:szCs w:val="21"/>
              </w:rPr>
              <w:t>后塘</w:t>
            </w:r>
          </w:p>
        </w:tc>
        <w:tc>
          <w:tcPr>
            <w:tcW w:w="1559" w:type="dxa"/>
            <w:vAlign w:val="center"/>
          </w:tcPr>
          <w:p w14:paraId="05292175">
            <w:pPr>
              <w:spacing w:line="320" w:lineRule="exact"/>
              <w:jc w:val="center"/>
              <w:rPr>
                <w:rFonts w:ascii="Times New Roman" w:eastAsia="仿宋"/>
                <w:szCs w:val="21"/>
              </w:rPr>
            </w:pPr>
            <w:r>
              <w:rPr>
                <w:rFonts w:hint="eastAsia" w:ascii="Times New Roman" w:eastAsia="仿宋"/>
                <w:szCs w:val="21"/>
              </w:rPr>
              <w:t>119.4</w:t>
            </w:r>
            <w:r>
              <w:rPr>
                <w:rFonts w:ascii="Times New Roman" w:eastAsia="仿宋"/>
                <w:szCs w:val="21"/>
              </w:rPr>
              <w:t>71</w:t>
            </w:r>
            <w:r>
              <w:rPr>
                <w:rFonts w:hint="eastAsia" w:ascii="Times New Roman" w:eastAsia="仿宋"/>
                <w:szCs w:val="21"/>
              </w:rPr>
              <w:t>9</w:t>
            </w:r>
            <w:r>
              <w:rPr>
                <w:rFonts w:ascii="Times New Roman" w:eastAsia="仿宋"/>
                <w:szCs w:val="21"/>
              </w:rPr>
              <w:t>1</w:t>
            </w:r>
          </w:p>
        </w:tc>
        <w:tc>
          <w:tcPr>
            <w:tcW w:w="1390" w:type="dxa"/>
            <w:vAlign w:val="center"/>
          </w:tcPr>
          <w:p w14:paraId="02EB3387">
            <w:pPr>
              <w:spacing w:line="320" w:lineRule="exact"/>
              <w:jc w:val="center"/>
              <w:rPr>
                <w:rFonts w:ascii="Times New Roman" w:eastAsia="仿宋"/>
                <w:szCs w:val="21"/>
              </w:rPr>
            </w:pPr>
            <w:r>
              <w:rPr>
                <w:rFonts w:hint="eastAsia" w:ascii="Times New Roman" w:eastAsia="仿宋"/>
                <w:szCs w:val="21"/>
              </w:rPr>
              <w:t>31.7</w:t>
            </w:r>
            <w:r>
              <w:rPr>
                <w:rFonts w:ascii="Times New Roman" w:eastAsia="仿宋"/>
                <w:szCs w:val="21"/>
              </w:rPr>
              <w:t>2241</w:t>
            </w:r>
          </w:p>
        </w:tc>
        <w:tc>
          <w:tcPr>
            <w:tcW w:w="1693" w:type="dxa"/>
            <w:gridSpan w:val="2"/>
            <w:vAlign w:val="center"/>
          </w:tcPr>
          <w:p w14:paraId="31290974">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900</w:t>
            </w:r>
          </w:p>
        </w:tc>
        <w:tc>
          <w:tcPr>
            <w:tcW w:w="1311" w:type="dxa"/>
            <w:gridSpan w:val="2"/>
            <w:vAlign w:val="center"/>
          </w:tcPr>
          <w:p w14:paraId="58F43E70">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2C29A8C8">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1000</w:t>
            </w:r>
          </w:p>
        </w:tc>
        <w:tc>
          <w:tcPr>
            <w:tcW w:w="2268" w:type="dxa"/>
            <w:vMerge w:val="continue"/>
          </w:tcPr>
          <w:p w14:paraId="3BA0FC79">
            <w:pPr>
              <w:spacing w:line="320" w:lineRule="exact"/>
              <w:jc w:val="center"/>
              <w:rPr>
                <w:rFonts w:ascii="Times New Roman" w:eastAsia="仿宋"/>
                <w:szCs w:val="21"/>
              </w:rPr>
            </w:pPr>
          </w:p>
        </w:tc>
      </w:tr>
      <w:tr w14:paraId="092F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6D2DF42">
            <w:pPr>
              <w:jc w:val="center"/>
              <w:rPr>
                <w:rFonts w:ascii="Times New Roman" w:eastAsia="仿宋"/>
                <w:szCs w:val="21"/>
              </w:rPr>
            </w:pPr>
          </w:p>
        </w:tc>
        <w:tc>
          <w:tcPr>
            <w:tcW w:w="2130" w:type="dxa"/>
            <w:vAlign w:val="center"/>
          </w:tcPr>
          <w:p w14:paraId="78C79D4B">
            <w:pPr>
              <w:spacing w:line="320" w:lineRule="exact"/>
              <w:jc w:val="center"/>
              <w:rPr>
                <w:rFonts w:ascii="Times New Roman" w:eastAsia="仿宋"/>
                <w:szCs w:val="21"/>
              </w:rPr>
            </w:pPr>
            <w:r>
              <w:rPr>
                <w:rFonts w:hint="eastAsia" w:ascii="Times New Roman" w:eastAsia="仿宋"/>
                <w:szCs w:val="21"/>
              </w:rPr>
              <w:t>朱林镇长兴社区卫生室</w:t>
            </w:r>
          </w:p>
        </w:tc>
        <w:tc>
          <w:tcPr>
            <w:tcW w:w="1559" w:type="dxa"/>
            <w:vAlign w:val="center"/>
          </w:tcPr>
          <w:p w14:paraId="3D81600C">
            <w:pPr>
              <w:spacing w:line="320" w:lineRule="exact"/>
              <w:jc w:val="center"/>
              <w:rPr>
                <w:rFonts w:ascii="Times New Roman" w:eastAsia="仿宋"/>
                <w:szCs w:val="21"/>
              </w:rPr>
            </w:pPr>
            <w:r>
              <w:rPr>
                <w:rFonts w:hint="eastAsia" w:ascii="Times New Roman" w:eastAsia="仿宋"/>
                <w:szCs w:val="21"/>
              </w:rPr>
              <w:t>119.47449</w:t>
            </w:r>
          </w:p>
        </w:tc>
        <w:tc>
          <w:tcPr>
            <w:tcW w:w="1390" w:type="dxa"/>
            <w:vAlign w:val="center"/>
          </w:tcPr>
          <w:p w14:paraId="68D02914">
            <w:pPr>
              <w:spacing w:line="320" w:lineRule="exact"/>
              <w:jc w:val="center"/>
              <w:rPr>
                <w:rFonts w:ascii="Times New Roman" w:eastAsia="仿宋"/>
                <w:szCs w:val="21"/>
              </w:rPr>
            </w:pPr>
            <w:r>
              <w:rPr>
                <w:rFonts w:hint="eastAsia" w:ascii="Times New Roman" w:eastAsia="仿宋"/>
                <w:szCs w:val="21"/>
              </w:rPr>
              <w:t>31.74108</w:t>
            </w:r>
          </w:p>
        </w:tc>
        <w:tc>
          <w:tcPr>
            <w:tcW w:w="1693" w:type="dxa"/>
            <w:gridSpan w:val="2"/>
            <w:vAlign w:val="center"/>
          </w:tcPr>
          <w:p w14:paraId="38916C97">
            <w:pPr>
              <w:spacing w:line="320" w:lineRule="exact"/>
              <w:jc w:val="center"/>
              <w:rPr>
                <w:rFonts w:ascii="Times New Roman" w:eastAsia="仿宋"/>
                <w:szCs w:val="21"/>
              </w:rPr>
            </w:pPr>
            <w:r>
              <w:rPr>
                <w:rFonts w:hint="eastAsia" w:ascii="Times New Roman" w:eastAsia="仿宋"/>
                <w:szCs w:val="21"/>
              </w:rPr>
              <w:t>约4050</w:t>
            </w:r>
          </w:p>
        </w:tc>
        <w:tc>
          <w:tcPr>
            <w:tcW w:w="1311" w:type="dxa"/>
            <w:gridSpan w:val="2"/>
            <w:vAlign w:val="center"/>
          </w:tcPr>
          <w:p w14:paraId="48EDE2B2">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1D688CBF">
            <w:pPr>
              <w:spacing w:line="320" w:lineRule="exact"/>
              <w:jc w:val="center"/>
              <w:rPr>
                <w:rFonts w:ascii="Times New Roman" w:eastAsia="仿宋"/>
                <w:szCs w:val="21"/>
              </w:rPr>
            </w:pPr>
            <w:r>
              <w:rPr>
                <w:rFonts w:hint="eastAsia" w:ascii="Times New Roman" w:eastAsia="仿宋"/>
                <w:szCs w:val="21"/>
              </w:rPr>
              <w:t>约600</w:t>
            </w:r>
          </w:p>
        </w:tc>
        <w:tc>
          <w:tcPr>
            <w:tcW w:w="2268" w:type="dxa"/>
            <w:vMerge w:val="continue"/>
          </w:tcPr>
          <w:p w14:paraId="16CF6B73">
            <w:pPr>
              <w:spacing w:line="320" w:lineRule="exact"/>
              <w:jc w:val="center"/>
              <w:rPr>
                <w:rFonts w:ascii="Times New Roman" w:eastAsia="仿宋"/>
                <w:szCs w:val="21"/>
              </w:rPr>
            </w:pPr>
          </w:p>
        </w:tc>
      </w:tr>
      <w:tr w14:paraId="6CE7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12E9FF3">
            <w:pPr>
              <w:jc w:val="center"/>
              <w:rPr>
                <w:rFonts w:ascii="Times New Roman" w:eastAsia="仿宋"/>
                <w:szCs w:val="21"/>
              </w:rPr>
            </w:pPr>
          </w:p>
        </w:tc>
        <w:tc>
          <w:tcPr>
            <w:tcW w:w="2130" w:type="dxa"/>
            <w:vAlign w:val="center"/>
          </w:tcPr>
          <w:p w14:paraId="279D7101">
            <w:pPr>
              <w:spacing w:line="320" w:lineRule="exact"/>
              <w:jc w:val="center"/>
              <w:rPr>
                <w:rFonts w:ascii="Times New Roman" w:eastAsia="仿宋"/>
                <w:szCs w:val="21"/>
              </w:rPr>
            </w:pPr>
            <w:r>
              <w:rPr>
                <w:rFonts w:hint="eastAsia" w:ascii="Times New Roman" w:eastAsia="仿宋"/>
                <w:szCs w:val="21"/>
              </w:rPr>
              <w:t>大竹棵村</w:t>
            </w:r>
          </w:p>
        </w:tc>
        <w:tc>
          <w:tcPr>
            <w:tcW w:w="1559" w:type="dxa"/>
            <w:vAlign w:val="center"/>
          </w:tcPr>
          <w:p w14:paraId="6BBF525A">
            <w:pPr>
              <w:spacing w:line="320" w:lineRule="exact"/>
              <w:jc w:val="center"/>
              <w:rPr>
                <w:rFonts w:ascii="Times New Roman" w:eastAsia="仿宋"/>
                <w:szCs w:val="21"/>
              </w:rPr>
            </w:pPr>
            <w:r>
              <w:rPr>
                <w:rFonts w:hint="eastAsia" w:ascii="Times New Roman" w:eastAsia="仿宋"/>
                <w:szCs w:val="21"/>
              </w:rPr>
              <w:t>119.47168</w:t>
            </w:r>
          </w:p>
        </w:tc>
        <w:tc>
          <w:tcPr>
            <w:tcW w:w="1390" w:type="dxa"/>
            <w:vAlign w:val="center"/>
          </w:tcPr>
          <w:p w14:paraId="1029D3BC">
            <w:pPr>
              <w:spacing w:line="320" w:lineRule="exact"/>
              <w:jc w:val="center"/>
              <w:rPr>
                <w:rFonts w:ascii="Times New Roman" w:eastAsia="仿宋"/>
                <w:szCs w:val="21"/>
              </w:rPr>
            </w:pPr>
            <w:r>
              <w:rPr>
                <w:rFonts w:hint="eastAsia" w:ascii="Times New Roman" w:eastAsia="仿宋"/>
                <w:szCs w:val="21"/>
              </w:rPr>
              <w:t>31.74804</w:t>
            </w:r>
          </w:p>
        </w:tc>
        <w:tc>
          <w:tcPr>
            <w:tcW w:w="1693" w:type="dxa"/>
            <w:gridSpan w:val="2"/>
            <w:vAlign w:val="center"/>
          </w:tcPr>
          <w:p w14:paraId="770468E9">
            <w:pPr>
              <w:spacing w:line="320" w:lineRule="exact"/>
              <w:jc w:val="center"/>
              <w:rPr>
                <w:rFonts w:ascii="Times New Roman" w:eastAsia="仿宋"/>
                <w:szCs w:val="21"/>
              </w:rPr>
            </w:pPr>
            <w:r>
              <w:rPr>
                <w:rFonts w:hint="eastAsia" w:ascii="Times New Roman" w:eastAsia="仿宋"/>
                <w:szCs w:val="21"/>
              </w:rPr>
              <w:t>约4150</w:t>
            </w:r>
          </w:p>
        </w:tc>
        <w:tc>
          <w:tcPr>
            <w:tcW w:w="1311" w:type="dxa"/>
            <w:gridSpan w:val="2"/>
            <w:vAlign w:val="center"/>
          </w:tcPr>
          <w:p w14:paraId="3C7BA718">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2BB24939">
            <w:pPr>
              <w:spacing w:line="320" w:lineRule="exact"/>
              <w:jc w:val="center"/>
              <w:rPr>
                <w:rFonts w:ascii="Times New Roman" w:eastAsia="仿宋"/>
                <w:szCs w:val="21"/>
              </w:rPr>
            </w:pPr>
            <w:r>
              <w:rPr>
                <w:rFonts w:hint="eastAsia" w:ascii="Times New Roman" w:eastAsia="仿宋"/>
                <w:szCs w:val="21"/>
              </w:rPr>
              <w:t>约200</w:t>
            </w:r>
          </w:p>
        </w:tc>
        <w:tc>
          <w:tcPr>
            <w:tcW w:w="2268" w:type="dxa"/>
            <w:vMerge w:val="continue"/>
          </w:tcPr>
          <w:p w14:paraId="34A8A75F">
            <w:pPr>
              <w:spacing w:line="320" w:lineRule="exact"/>
              <w:jc w:val="center"/>
              <w:rPr>
                <w:rFonts w:ascii="Times New Roman" w:eastAsia="仿宋"/>
                <w:szCs w:val="21"/>
              </w:rPr>
            </w:pPr>
          </w:p>
        </w:tc>
      </w:tr>
      <w:tr w14:paraId="1E6F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7E109D57">
            <w:pPr>
              <w:jc w:val="center"/>
              <w:rPr>
                <w:rFonts w:ascii="Times New Roman" w:eastAsia="仿宋"/>
                <w:szCs w:val="21"/>
              </w:rPr>
            </w:pPr>
          </w:p>
        </w:tc>
        <w:tc>
          <w:tcPr>
            <w:tcW w:w="2130" w:type="dxa"/>
            <w:vAlign w:val="center"/>
          </w:tcPr>
          <w:p w14:paraId="29F1202E">
            <w:pPr>
              <w:spacing w:line="320" w:lineRule="exact"/>
              <w:jc w:val="center"/>
              <w:rPr>
                <w:rFonts w:ascii="Times New Roman" w:eastAsia="仿宋"/>
                <w:szCs w:val="21"/>
              </w:rPr>
            </w:pPr>
            <w:r>
              <w:rPr>
                <w:rFonts w:hint="eastAsia" w:ascii="Times New Roman" w:eastAsia="仿宋"/>
                <w:szCs w:val="21"/>
              </w:rPr>
              <w:t>张家圩</w:t>
            </w:r>
          </w:p>
        </w:tc>
        <w:tc>
          <w:tcPr>
            <w:tcW w:w="1559" w:type="dxa"/>
            <w:vAlign w:val="center"/>
          </w:tcPr>
          <w:p w14:paraId="1EEAEB31">
            <w:pPr>
              <w:spacing w:line="320" w:lineRule="exact"/>
              <w:jc w:val="center"/>
              <w:rPr>
                <w:rFonts w:ascii="Times New Roman" w:eastAsia="仿宋"/>
                <w:szCs w:val="21"/>
              </w:rPr>
            </w:pPr>
            <w:r>
              <w:rPr>
                <w:rFonts w:hint="eastAsia" w:ascii="Times New Roman" w:eastAsia="仿宋"/>
                <w:szCs w:val="21"/>
              </w:rPr>
              <w:t>119.45784</w:t>
            </w:r>
          </w:p>
        </w:tc>
        <w:tc>
          <w:tcPr>
            <w:tcW w:w="1390" w:type="dxa"/>
            <w:vAlign w:val="center"/>
          </w:tcPr>
          <w:p w14:paraId="71014815">
            <w:pPr>
              <w:spacing w:line="320" w:lineRule="exact"/>
              <w:jc w:val="center"/>
              <w:rPr>
                <w:rFonts w:ascii="Times New Roman" w:eastAsia="仿宋"/>
                <w:szCs w:val="21"/>
              </w:rPr>
            </w:pPr>
            <w:r>
              <w:rPr>
                <w:rFonts w:hint="eastAsia" w:ascii="Times New Roman" w:eastAsia="仿宋"/>
                <w:szCs w:val="21"/>
              </w:rPr>
              <w:t>31.76038</w:t>
            </w:r>
          </w:p>
        </w:tc>
        <w:tc>
          <w:tcPr>
            <w:tcW w:w="1693" w:type="dxa"/>
            <w:gridSpan w:val="2"/>
            <w:vAlign w:val="center"/>
          </w:tcPr>
          <w:p w14:paraId="29A3660B">
            <w:pPr>
              <w:spacing w:line="320" w:lineRule="exact"/>
              <w:jc w:val="center"/>
              <w:rPr>
                <w:rFonts w:ascii="Times New Roman" w:eastAsia="仿宋"/>
                <w:szCs w:val="21"/>
              </w:rPr>
            </w:pPr>
            <w:r>
              <w:rPr>
                <w:rFonts w:hint="eastAsia" w:ascii="Times New Roman" w:eastAsia="仿宋"/>
                <w:szCs w:val="21"/>
              </w:rPr>
              <w:t>约4250</w:t>
            </w:r>
          </w:p>
        </w:tc>
        <w:tc>
          <w:tcPr>
            <w:tcW w:w="1311" w:type="dxa"/>
            <w:gridSpan w:val="2"/>
            <w:vAlign w:val="center"/>
          </w:tcPr>
          <w:p w14:paraId="2ABFF962">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5DDD6DDC">
            <w:pPr>
              <w:spacing w:line="320" w:lineRule="exact"/>
              <w:jc w:val="center"/>
              <w:rPr>
                <w:rFonts w:ascii="Times New Roman" w:eastAsia="仿宋"/>
                <w:szCs w:val="21"/>
              </w:rPr>
            </w:pPr>
            <w:r>
              <w:rPr>
                <w:rFonts w:hint="eastAsia" w:ascii="Times New Roman" w:eastAsia="仿宋"/>
                <w:szCs w:val="21"/>
              </w:rPr>
              <w:t>约240</w:t>
            </w:r>
          </w:p>
        </w:tc>
        <w:tc>
          <w:tcPr>
            <w:tcW w:w="2268" w:type="dxa"/>
            <w:vMerge w:val="continue"/>
          </w:tcPr>
          <w:p w14:paraId="22C72390">
            <w:pPr>
              <w:spacing w:line="320" w:lineRule="exact"/>
              <w:jc w:val="center"/>
              <w:rPr>
                <w:rFonts w:ascii="Times New Roman" w:eastAsia="仿宋"/>
                <w:szCs w:val="21"/>
              </w:rPr>
            </w:pPr>
          </w:p>
        </w:tc>
      </w:tr>
      <w:tr w14:paraId="00CA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5EBEF183">
            <w:pPr>
              <w:jc w:val="center"/>
              <w:rPr>
                <w:rFonts w:ascii="Times New Roman" w:eastAsia="仿宋"/>
                <w:szCs w:val="21"/>
              </w:rPr>
            </w:pPr>
          </w:p>
        </w:tc>
        <w:tc>
          <w:tcPr>
            <w:tcW w:w="2130" w:type="dxa"/>
            <w:vAlign w:val="center"/>
          </w:tcPr>
          <w:p w14:paraId="715C7A20">
            <w:pPr>
              <w:spacing w:line="320" w:lineRule="exact"/>
              <w:jc w:val="center"/>
              <w:rPr>
                <w:rFonts w:ascii="Times New Roman" w:eastAsia="仿宋"/>
                <w:szCs w:val="21"/>
              </w:rPr>
            </w:pPr>
            <w:r>
              <w:rPr>
                <w:rFonts w:hint="eastAsia" w:ascii="Times New Roman" w:eastAsia="仿宋"/>
                <w:szCs w:val="21"/>
              </w:rPr>
              <w:t>荷花滩</w:t>
            </w:r>
          </w:p>
        </w:tc>
        <w:tc>
          <w:tcPr>
            <w:tcW w:w="1559" w:type="dxa"/>
            <w:vAlign w:val="center"/>
          </w:tcPr>
          <w:p w14:paraId="69A95F0E">
            <w:pPr>
              <w:spacing w:line="320" w:lineRule="exact"/>
              <w:jc w:val="center"/>
              <w:rPr>
                <w:rFonts w:ascii="Times New Roman" w:eastAsia="仿宋"/>
                <w:szCs w:val="21"/>
              </w:rPr>
            </w:pPr>
            <w:r>
              <w:rPr>
                <w:rFonts w:hint="eastAsia" w:ascii="Times New Roman" w:eastAsia="仿宋"/>
                <w:szCs w:val="21"/>
              </w:rPr>
              <w:t>119.46803</w:t>
            </w:r>
          </w:p>
        </w:tc>
        <w:tc>
          <w:tcPr>
            <w:tcW w:w="1390" w:type="dxa"/>
            <w:vAlign w:val="center"/>
          </w:tcPr>
          <w:p w14:paraId="41FCEDA8">
            <w:pPr>
              <w:spacing w:line="320" w:lineRule="exact"/>
              <w:jc w:val="center"/>
              <w:rPr>
                <w:rFonts w:ascii="Times New Roman" w:eastAsia="仿宋"/>
                <w:szCs w:val="21"/>
              </w:rPr>
            </w:pPr>
            <w:r>
              <w:rPr>
                <w:rFonts w:hint="eastAsia" w:ascii="Times New Roman" w:eastAsia="仿宋"/>
                <w:szCs w:val="21"/>
              </w:rPr>
              <w:t>31.75280</w:t>
            </w:r>
          </w:p>
        </w:tc>
        <w:tc>
          <w:tcPr>
            <w:tcW w:w="1693" w:type="dxa"/>
            <w:gridSpan w:val="2"/>
            <w:vAlign w:val="center"/>
          </w:tcPr>
          <w:p w14:paraId="368B19E6">
            <w:pPr>
              <w:spacing w:line="320" w:lineRule="exact"/>
              <w:jc w:val="center"/>
              <w:rPr>
                <w:rFonts w:ascii="Times New Roman" w:eastAsia="仿宋"/>
                <w:szCs w:val="21"/>
              </w:rPr>
            </w:pPr>
            <w:r>
              <w:rPr>
                <w:rFonts w:hint="eastAsia" w:ascii="Times New Roman" w:eastAsia="仿宋"/>
                <w:szCs w:val="21"/>
              </w:rPr>
              <w:t>约4250</w:t>
            </w:r>
          </w:p>
        </w:tc>
        <w:tc>
          <w:tcPr>
            <w:tcW w:w="1311" w:type="dxa"/>
            <w:gridSpan w:val="2"/>
            <w:vAlign w:val="center"/>
          </w:tcPr>
          <w:p w14:paraId="1AE82674">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4E948876">
            <w:pPr>
              <w:spacing w:line="320" w:lineRule="exact"/>
              <w:jc w:val="center"/>
              <w:rPr>
                <w:rFonts w:ascii="Times New Roman" w:eastAsia="仿宋"/>
                <w:szCs w:val="21"/>
              </w:rPr>
            </w:pPr>
            <w:r>
              <w:rPr>
                <w:rFonts w:hint="eastAsia" w:ascii="Times New Roman" w:eastAsia="仿宋"/>
                <w:szCs w:val="21"/>
              </w:rPr>
              <w:t>约324</w:t>
            </w:r>
          </w:p>
        </w:tc>
        <w:tc>
          <w:tcPr>
            <w:tcW w:w="2268" w:type="dxa"/>
            <w:vMerge w:val="continue"/>
          </w:tcPr>
          <w:p w14:paraId="35B47D78">
            <w:pPr>
              <w:spacing w:line="320" w:lineRule="exact"/>
              <w:jc w:val="center"/>
              <w:rPr>
                <w:rFonts w:ascii="Times New Roman" w:eastAsia="仿宋"/>
                <w:szCs w:val="21"/>
              </w:rPr>
            </w:pPr>
          </w:p>
        </w:tc>
      </w:tr>
      <w:tr w14:paraId="61A5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38964F2">
            <w:pPr>
              <w:jc w:val="center"/>
              <w:rPr>
                <w:rFonts w:ascii="Times New Roman" w:eastAsia="仿宋"/>
                <w:szCs w:val="21"/>
              </w:rPr>
            </w:pPr>
          </w:p>
        </w:tc>
        <w:tc>
          <w:tcPr>
            <w:tcW w:w="2130" w:type="dxa"/>
            <w:vAlign w:val="center"/>
          </w:tcPr>
          <w:p w14:paraId="4E772CB5">
            <w:pPr>
              <w:spacing w:line="320" w:lineRule="exact"/>
              <w:jc w:val="center"/>
              <w:rPr>
                <w:rFonts w:ascii="Times New Roman" w:eastAsia="仿宋"/>
                <w:szCs w:val="21"/>
              </w:rPr>
            </w:pPr>
            <w:r>
              <w:rPr>
                <w:rFonts w:hint="eastAsia" w:ascii="Times New Roman" w:eastAsia="仿宋"/>
                <w:szCs w:val="21"/>
              </w:rPr>
              <w:t>钱家村</w:t>
            </w:r>
          </w:p>
        </w:tc>
        <w:tc>
          <w:tcPr>
            <w:tcW w:w="1559" w:type="dxa"/>
            <w:vAlign w:val="center"/>
          </w:tcPr>
          <w:p w14:paraId="1469F0B4">
            <w:pPr>
              <w:spacing w:line="320" w:lineRule="exact"/>
              <w:jc w:val="center"/>
              <w:rPr>
                <w:rFonts w:ascii="Times New Roman" w:eastAsia="仿宋"/>
                <w:szCs w:val="21"/>
              </w:rPr>
            </w:pPr>
            <w:r>
              <w:rPr>
                <w:rFonts w:hint="eastAsia" w:ascii="Times New Roman" w:eastAsia="仿宋"/>
                <w:szCs w:val="21"/>
              </w:rPr>
              <w:t>119.45456</w:t>
            </w:r>
          </w:p>
        </w:tc>
        <w:tc>
          <w:tcPr>
            <w:tcW w:w="1390" w:type="dxa"/>
            <w:vAlign w:val="center"/>
          </w:tcPr>
          <w:p w14:paraId="3DCA7B0C">
            <w:pPr>
              <w:spacing w:line="320" w:lineRule="exact"/>
              <w:jc w:val="center"/>
              <w:rPr>
                <w:rFonts w:ascii="Times New Roman" w:eastAsia="仿宋"/>
                <w:szCs w:val="21"/>
              </w:rPr>
            </w:pPr>
            <w:r>
              <w:rPr>
                <w:rFonts w:hint="eastAsia" w:ascii="Times New Roman" w:eastAsia="仿宋"/>
                <w:szCs w:val="21"/>
              </w:rPr>
              <w:t>31.76361</w:t>
            </w:r>
          </w:p>
        </w:tc>
        <w:tc>
          <w:tcPr>
            <w:tcW w:w="1693" w:type="dxa"/>
            <w:gridSpan w:val="2"/>
            <w:vAlign w:val="center"/>
          </w:tcPr>
          <w:p w14:paraId="4D570F11">
            <w:pPr>
              <w:spacing w:line="320" w:lineRule="exact"/>
              <w:jc w:val="center"/>
              <w:rPr>
                <w:rFonts w:ascii="Times New Roman" w:eastAsia="仿宋"/>
                <w:szCs w:val="21"/>
              </w:rPr>
            </w:pPr>
            <w:r>
              <w:rPr>
                <w:rFonts w:hint="eastAsia" w:ascii="Times New Roman" w:eastAsia="仿宋"/>
                <w:szCs w:val="21"/>
              </w:rPr>
              <w:t>约4450</w:t>
            </w:r>
          </w:p>
        </w:tc>
        <w:tc>
          <w:tcPr>
            <w:tcW w:w="1311" w:type="dxa"/>
            <w:gridSpan w:val="2"/>
            <w:vAlign w:val="center"/>
          </w:tcPr>
          <w:p w14:paraId="16E6CA9A">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6C444038">
            <w:pPr>
              <w:spacing w:line="320" w:lineRule="exact"/>
              <w:jc w:val="center"/>
              <w:rPr>
                <w:rFonts w:ascii="Times New Roman" w:eastAsia="仿宋"/>
                <w:szCs w:val="21"/>
              </w:rPr>
            </w:pPr>
            <w:r>
              <w:rPr>
                <w:rFonts w:hint="eastAsia" w:ascii="Times New Roman" w:eastAsia="仿宋"/>
                <w:szCs w:val="21"/>
              </w:rPr>
              <w:t>约360</w:t>
            </w:r>
          </w:p>
        </w:tc>
        <w:tc>
          <w:tcPr>
            <w:tcW w:w="2268" w:type="dxa"/>
            <w:vMerge w:val="continue"/>
          </w:tcPr>
          <w:p w14:paraId="1A3CD789">
            <w:pPr>
              <w:spacing w:line="320" w:lineRule="exact"/>
              <w:jc w:val="center"/>
              <w:rPr>
                <w:rFonts w:ascii="Times New Roman" w:eastAsia="仿宋"/>
                <w:szCs w:val="21"/>
              </w:rPr>
            </w:pPr>
          </w:p>
        </w:tc>
      </w:tr>
      <w:tr w14:paraId="1908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664B950C">
            <w:pPr>
              <w:jc w:val="center"/>
              <w:rPr>
                <w:rFonts w:ascii="Times New Roman" w:eastAsia="仿宋"/>
                <w:szCs w:val="21"/>
              </w:rPr>
            </w:pPr>
          </w:p>
        </w:tc>
        <w:tc>
          <w:tcPr>
            <w:tcW w:w="2130" w:type="dxa"/>
            <w:vAlign w:val="center"/>
          </w:tcPr>
          <w:p w14:paraId="02585F39">
            <w:pPr>
              <w:spacing w:line="320" w:lineRule="exact"/>
              <w:jc w:val="center"/>
              <w:rPr>
                <w:rFonts w:ascii="Times New Roman" w:eastAsia="仿宋"/>
                <w:szCs w:val="21"/>
              </w:rPr>
            </w:pPr>
            <w:r>
              <w:rPr>
                <w:rFonts w:hint="eastAsia" w:ascii="Times New Roman" w:eastAsia="仿宋"/>
                <w:szCs w:val="21"/>
              </w:rPr>
              <w:t>上马滩</w:t>
            </w:r>
          </w:p>
        </w:tc>
        <w:tc>
          <w:tcPr>
            <w:tcW w:w="1559" w:type="dxa"/>
            <w:vAlign w:val="center"/>
          </w:tcPr>
          <w:p w14:paraId="1D817DF9">
            <w:pPr>
              <w:spacing w:line="320" w:lineRule="exact"/>
              <w:jc w:val="center"/>
              <w:rPr>
                <w:rFonts w:ascii="Times New Roman" w:eastAsia="仿宋"/>
                <w:szCs w:val="21"/>
              </w:rPr>
            </w:pPr>
            <w:r>
              <w:rPr>
                <w:rFonts w:hint="eastAsia" w:ascii="Times New Roman" w:eastAsia="仿宋"/>
                <w:szCs w:val="21"/>
              </w:rPr>
              <w:t>119.46839</w:t>
            </w:r>
          </w:p>
        </w:tc>
        <w:tc>
          <w:tcPr>
            <w:tcW w:w="1390" w:type="dxa"/>
            <w:vAlign w:val="center"/>
          </w:tcPr>
          <w:p w14:paraId="5760E91D">
            <w:pPr>
              <w:spacing w:line="320" w:lineRule="exact"/>
              <w:jc w:val="center"/>
              <w:rPr>
                <w:rFonts w:ascii="Times New Roman" w:eastAsia="仿宋"/>
                <w:szCs w:val="21"/>
              </w:rPr>
            </w:pPr>
            <w:r>
              <w:rPr>
                <w:rFonts w:hint="eastAsia" w:ascii="Times New Roman" w:eastAsia="仿宋"/>
                <w:szCs w:val="21"/>
              </w:rPr>
              <w:t>31.76003</w:t>
            </w:r>
          </w:p>
        </w:tc>
        <w:tc>
          <w:tcPr>
            <w:tcW w:w="1693" w:type="dxa"/>
            <w:gridSpan w:val="2"/>
            <w:vAlign w:val="center"/>
          </w:tcPr>
          <w:p w14:paraId="368C36E4">
            <w:pPr>
              <w:spacing w:line="320" w:lineRule="exact"/>
              <w:jc w:val="center"/>
              <w:rPr>
                <w:rFonts w:ascii="Times New Roman" w:eastAsia="仿宋"/>
                <w:szCs w:val="21"/>
              </w:rPr>
            </w:pPr>
            <w:r>
              <w:rPr>
                <w:rFonts w:hint="eastAsia" w:ascii="Times New Roman" w:eastAsia="仿宋"/>
                <w:szCs w:val="21"/>
              </w:rPr>
              <w:t>约4800</w:t>
            </w:r>
          </w:p>
        </w:tc>
        <w:tc>
          <w:tcPr>
            <w:tcW w:w="1311" w:type="dxa"/>
            <w:gridSpan w:val="2"/>
            <w:vAlign w:val="center"/>
          </w:tcPr>
          <w:p w14:paraId="75DA8268">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7BF8C9D7">
            <w:pPr>
              <w:spacing w:line="320" w:lineRule="exact"/>
              <w:jc w:val="center"/>
              <w:rPr>
                <w:rFonts w:ascii="Times New Roman" w:eastAsia="仿宋"/>
                <w:szCs w:val="21"/>
              </w:rPr>
            </w:pPr>
            <w:r>
              <w:rPr>
                <w:rFonts w:hint="eastAsia" w:ascii="Times New Roman" w:eastAsia="仿宋"/>
                <w:szCs w:val="21"/>
              </w:rPr>
              <w:t>约216</w:t>
            </w:r>
          </w:p>
        </w:tc>
        <w:tc>
          <w:tcPr>
            <w:tcW w:w="2268" w:type="dxa"/>
            <w:vMerge w:val="continue"/>
          </w:tcPr>
          <w:p w14:paraId="3C8FFBA2">
            <w:pPr>
              <w:spacing w:line="320" w:lineRule="exact"/>
              <w:jc w:val="center"/>
              <w:rPr>
                <w:rFonts w:ascii="Times New Roman" w:eastAsia="仿宋"/>
                <w:szCs w:val="21"/>
              </w:rPr>
            </w:pPr>
          </w:p>
        </w:tc>
      </w:tr>
      <w:tr w14:paraId="491A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0E2067F3">
            <w:pPr>
              <w:jc w:val="center"/>
              <w:rPr>
                <w:rFonts w:ascii="Times New Roman" w:eastAsia="仿宋"/>
                <w:szCs w:val="21"/>
              </w:rPr>
            </w:pPr>
          </w:p>
        </w:tc>
        <w:tc>
          <w:tcPr>
            <w:tcW w:w="2130" w:type="dxa"/>
            <w:vAlign w:val="center"/>
          </w:tcPr>
          <w:p w14:paraId="621A4FA1">
            <w:pPr>
              <w:spacing w:line="320" w:lineRule="exact"/>
              <w:jc w:val="center"/>
              <w:rPr>
                <w:rFonts w:ascii="Times New Roman" w:eastAsia="仿宋"/>
                <w:szCs w:val="21"/>
              </w:rPr>
            </w:pPr>
            <w:r>
              <w:rPr>
                <w:rFonts w:hint="eastAsia" w:ascii="Times New Roman" w:eastAsia="仿宋"/>
                <w:szCs w:val="21"/>
              </w:rPr>
              <w:t>杨家村</w:t>
            </w:r>
          </w:p>
        </w:tc>
        <w:tc>
          <w:tcPr>
            <w:tcW w:w="1559" w:type="dxa"/>
            <w:vAlign w:val="center"/>
          </w:tcPr>
          <w:p w14:paraId="1CEAE78B">
            <w:pPr>
              <w:spacing w:line="320" w:lineRule="exact"/>
              <w:jc w:val="center"/>
              <w:rPr>
                <w:rFonts w:ascii="Times New Roman" w:eastAsia="仿宋"/>
                <w:szCs w:val="21"/>
              </w:rPr>
            </w:pPr>
            <w:r>
              <w:rPr>
                <w:rFonts w:hint="eastAsia" w:ascii="Times New Roman" w:eastAsia="仿宋"/>
                <w:szCs w:val="21"/>
              </w:rPr>
              <w:t>119.48050</w:t>
            </w:r>
          </w:p>
        </w:tc>
        <w:tc>
          <w:tcPr>
            <w:tcW w:w="1390" w:type="dxa"/>
            <w:vAlign w:val="center"/>
          </w:tcPr>
          <w:p w14:paraId="396EF336">
            <w:pPr>
              <w:spacing w:line="320" w:lineRule="exact"/>
              <w:jc w:val="center"/>
              <w:rPr>
                <w:rFonts w:ascii="Times New Roman" w:eastAsia="仿宋"/>
                <w:szCs w:val="21"/>
              </w:rPr>
            </w:pPr>
            <w:r>
              <w:rPr>
                <w:rFonts w:hint="eastAsia" w:ascii="Times New Roman" w:eastAsia="仿宋"/>
                <w:szCs w:val="21"/>
              </w:rPr>
              <w:t>31.74909</w:t>
            </w:r>
          </w:p>
        </w:tc>
        <w:tc>
          <w:tcPr>
            <w:tcW w:w="1693" w:type="dxa"/>
            <w:gridSpan w:val="2"/>
            <w:vAlign w:val="center"/>
          </w:tcPr>
          <w:p w14:paraId="54471386">
            <w:pPr>
              <w:spacing w:line="320" w:lineRule="exact"/>
              <w:jc w:val="center"/>
              <w:rPr>
                <w:rFonts w:ascii="Times New Roman" w:eastAsia="仿宋"/>
                <w:szCs w:val="21"/>
              </w:rPr>
            </w:pPr>
            <w:r>
              <w:rPr>
                <w:rFonts w:hint="eastAsia" w:ascii="Times New Roman" w:eastAsia="仿宋"/>
                <w:szCs w:val="21"/>
              </w:rPr>
              <w:t>约4950</w:t>
            </w:r>
          </w:p>
        </w:tc>
        <w:tc>
          <w:tcPr>
            <w:tcW w:w="1311" w:type="dxa"/>
            <w:gridSpan w:val="2"/>
            <w:vAlign w:val="center"/>
          </w:tcPr>
          <w:p w14:paraId="35AF1672">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3583448B">
            <w:pPr>
              <w:spacing w:line="320" w:lineRule="exact"/>
              <w:jc w:val="center"/>
              <w:rPr>
                <w:rFonts w:ascii="Times New Roman" w:eastAsia="仿宋"/>
                <w:szCs w:val="21"/>
              </w:rPr>
            </w:pPr>
            <w:r>
              <w:rPr>
                <w:rFonts w:hint="eastAsia" w:ascii="Times New Roman" w:eastAsia="仿宋"/>
                <w:szCs w:val="21"/>
              </w:rPr>
              <w:t>约480</w:t>
            </w:r>
          </w:p>
        </w:tc>
        <w:tc>
          <w:tcPr>
            <w:tcW w:w="2268" w:type="dxa"/>
            <w:vMerge w:val="continue"/>
          </w:tcPr>
          <w:p w14:paraId="6FCDB457">
            <w:pPr>
              <w:spacing w:line="320" w:lineRule="exact"/>
              <w:jc w:val="center"/>
              <w:rPr>
                <w:rFonts w:ascii="Times New Roman" w:eastAsia="仿宋"/>
                <w:szCs w:val="21"/>
              </w:rPr>
            </w:pPr>
          </w:p>
        </w:tc>
      </w:tr>
      <w:tr w14:paraId="31A7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1B13C482">
            <w:pPr>
              <w:jc w:val="center"/>
              <w:rPr>
                <w:rFonts w:ascii="Times New Roman" w:eastAsia="仿宋"/>
                <w:szCs w:val="21"/>
              </w:rPr>
            </w:pPr>
          </w:p>
        </w:tc>
        <w:tc>
          <w:tcPr>
            <w:tcW w:w="2130" w:type="dxa"/>
            <w:vAlign w:val="center"/>
          </w:tcPr>
          <w:p w14:paraId="40939A4C">
            <w:pPr>
              <w:spacing w:line="320" w:lineRule="exact"/>
              <w:jc w:val="center"/>
              <w:rPr>
                <w:rFonts w:ascii="Times New Roman" w:eastAsia="仿宋"/>
                <w:szCs w:val="21"/>
              </w:rPr>
            </w:pPr>
            <w:r>
              <w:rPr>
                <w:rFonts w:hint="eastAsia" w:ascii="Times New Roman" w:eastAsia="仿宋"/>
                <w:szCs w:val="21"/>
              </w:rPr>
              <w:t>型坞</w:t>
            </w:r>
          </w:p>
        </w:tc>
        <w:tc>
          <w:tcPr>
            <w:tcW w:w="1559" w:type="dxa"/>
            <w:vAlign w:val="center"/>
          </w:tcPr>
          <w:p w14:paraId="52F8C103">
            <w:pPr>
              <w:spacing w:line="320" w:lineRule="exact"/>
              <w:jc w:val="center"/>
              <w:rPr>
                <w:rFonts w:ascii="Times New Roman" w:eastAsia="仿宋"/>
                <w:szCs w:val="21"/>
              </w:rPr>
            </w:pPr>
            <w:r>
              <w:rPr>
                <w:rFonts w:hint="eastAsia" w:ascii="Times New Roman" w:eastAsia="仿宋"/>
                <w:szCs w:val="21"/>
              </w:rPr>
              <w:t>119.46110</w:t>
            </w:r>
          </w:p>
        </w:tc>
        <w:tc>
          <w:tcPr>
            <w:tcW w:w="1390" w:type="dxa"/>
            <w:vAlign w:val="center"/>
          </w:tcPr>
          <w:p w14:paraId="3489A203">
            <w:pPr>
              <w:spacing w:line="320" w:lineRule="exact"/>
              <w:jc w:val="center"/>
              <w:rPr>
                <w:rFonts w:ascii="Times New Roman" w:eastAsia="仿宋"/>
                <w:szCs w:val="21"/>
              </w:rPr>
            </w:pPr>
            <w:r>
              <w:rPr>
                <w:rFonts w:hint="eastAsia" w:ascii="Times New Roman" w:eastAsia="仿宋"/>
                <w:szCs w:val="21"/>
              </w:rPr>
              <w:t>31.76701</w:t>
            </w:r>
          </w:p>
        </w:tc>
        <w:tc>
          <w:tcPr>
            <w:tcW w:w="1693" w:type="dxa"/>
            <w:gridSpan w:val="2"/>
            <w:vAlign w:val="center"/>
          </w:tcPr>
          <w:p w14:paraId="7E6B1E15">
            <w:pPr>
              <w:spacing w:line="320" w:lineRule="exact"/>
              <w:jc w:val="center"/>
              <w:rPr>
                <w:rFonts w:ascii="Times New Roman" w:eastAsia="仿宋"/>
                <w:szCs w:val="21"/>
              </w:rPr>
            </w:pPr>
            <w:r>
              <w:rPr>
                <w:rFonts w:hint="eastAsia" w:ascii="Times New Roman" w:eastAsia="仿宋"/>
                <w:szCs w:val="21"/>
              </w:rPr>
              <w:t>约5000</w:t>
            </w:r>
          </w:p>
        </w:tc>
        <w:tc>
          <w:tcPr>
            <w:tcW w:w="1311" w:type="dxa"/>
            <w:gridSpan w:val="2"/>
            <w:vAlign w:val="center"/>
          </w:tcPr>
          <w:p w14:paraId="65FD051D">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446A8B74">
            <w:pPr>
              <w:spacing w:line="320" w:lineRule="exact"/>
              <w:jc w:val="center"/>
              <w:rPr>
                <w:rFonts w:ascii="Times New Roman" w:eastAsia="仿宋"/>
                <w:szCs w:val="21"/>
              </w:rPr>
            </w:pPr>
            <w:r>
              <w:rPr>
                <w:rFonts w:hint="eastAsia" w:ascii="Times New Roman" w:eastAsia="仿宋"/>
                <w:szCs w:val="21"/>
              </w:rPr>
              <w:t>约672</w:t>
            </w:r>
          </w:p>
        </w:tc>
        <w:tc>
          <w:tcPr>
            <w:tcW w:w="2268" w:type="dxa"/>
            <w:vMerge w:val="continue"/>
          </w:tcPr>
          <w:p w14:paraId="10403F0B">
            <w:pPr>
              <w:spacing w:line="320" w:lineRule="exact"/>
              <w:jc w:val="center"/>
              <w:rPr>
                <w:rFonts w:ascii="Times New Roman" w:eastAsia="仿宋"/>
                <w:szCs w:val="21"/>
              </w:rPr>
            </w:pPr>
          </w:p>
        </w:tc>
      </w:tr>
      <w:tr w14:paraId="15DC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Pr>
          <w:p w14:paraId="457A6A46">
            <w:pPr>
              <w:jc w:val="center"/>
              <w:rPr>
                <w:rFonts w:ascii="Times New Roman" w:eastAsia="仿宋"/>
                <w:szCs w:val="21"/>
              </w:rPr>
            </w:pPr>
          </w:p>
        </w:tc>
        <w:tc>
          <w:tcPr>
            <w:tcW w:w="2130" w:type="dxa"/>
            <w:vAlign w:val="center"/>
          </w:tcPr>
          <w:p w14:paraId="4582F4FA">
            <w:pPr>
              <w:spacing w:line="320" w:lineRule="exact"/>
              <w:jc w:val="center"/>
              <w:rPr>
                <w:rFonts w:ascii="Times New Roman" w:eastAsia="仿宋"/>
                <w:szCs w:val="21"/>
              </w:rPr>
            </w:pPr>
            <w:r>
              <w:rPr>
                <w:rFonts w:hint="eastAsia" w:ascii="Times New Roman" w:eastAsia="仿宋"/>
                <w:szCs w:val="21"/>
              </w:rPr>
              <w:t>曹家村</w:t>
            </w:r>
          </w:p>
        </w:tc>
        <w:tc>
          <w:tcPr>
            <w:tcW w:w="1559" w:type="dxa"/>
            <w:vAlign w:val="center"/>
          </w:tcPr>
          <w:p w14:paraId="0652B1EC">
            <w:pPr>
              <w:spacing w:line="320" w:lineRule="exact"/>
              <w:jc w:val="center"/>
              <w:rPr>
                <w:rFonts w:ascii="Times New Roman" w:eastAsia="仿宋"/>
                <w:szCs w:val="21"/>
              </w:rPr>
            </w:pPr>
            <w:r>
              <w:rPr>
                <w:rFonts w:hint="eastAsia" w:ascii="Times New Roman" w:eastAsia="仿宋"/>
                <w:szCs w:val="21"/>
              </w:rPr>
              <w:t>119.47442</w:t>
            </w:r>
          </w:p>
        </w:tc>
        <w:tc>
          <w:tcPr>
            <w:tcW w:w="1390" w:type="dxa"/>
            <w:vAlign w:val="center"/>
          </w:tcPr>
          <w:p w14:paraId="26695A67">
            <w:pPr>
              <w:spacing w:line="320" w:lineRule="exact"/>
              <w:jc w:val="center"/>
              <w:rPr>
                <w:rFonts w:ascii="Times New Roman" w:eastAsia="仿宋"/>
                <w:szCs w:val="21"/>
              </w:rPr>
            </w:pPr>
            <w:r>
              <w:rPr>
                <w:rFonts w:hint="eastAsia" w:ascii="Times New Roman" w:eastAsia="仿宋"/>
                <w:szCs w:val="21"/>
              </w:rPr>
              <w:t>31.75825</w:t>
            </w:r>
          </w:p>
        </w:tc>
        <w:tc>
          <w:tcPr>
            <w:tcW w:w="1693" w:type="dxa"/>
            <w:gridSpan w:val="2"/>
            <w:vAlign w:val="center"/>
          </w:tcPr>
          <w:p w14:paraId="6C10743E">
            <w:pPr>
              <w:spacing w:line="320" w:lineRule="exact"/>
              <w:jc w:val="center"/>
              <w:rPr>
                <w:rFonts w:ascii="Times New Roman" w:eastAsia="仿宋"/>
                <w:szCs w:val="21"/>
              </w:rPr>
            </w:pPr>
            <w:r>
              <w:rPr>
                <w:rFonts w:hint="eastAsia" w:ascii="Times New Roman" w:eastAsia="仿宋"/>
                <w:szCs w:val="21"/>
              </w:rPr>
              <w:t>约5050</w:t>
            </w:r>
          </w:p>
        </w:tc>
        <w:tc>
          <w:tcPr>
            <w:tcW w:w="1311" w:type="dxa"/>
            <w:gridSpan w:val="2"/>
            <w:vAlign w:val="center"/>
          </w:tcPr>
          <w:p w14:paraId="03DA27F9">
            <w:pPr>
              <w:spacing w:line="320" w:lineRule="exact"/>
              <w:jc w:val="center"/>
              <w:rPr>
                <w:rFonts w:ascii="Times New Roman" w:eastAsia="仿宋"/>
                <w:szCs w:val="21"/>
              </w:rPr>
            </w:pPr>
            <w:r>
              <w:rPr>
                <w:rFonts w:hint="eastAsia" w:ascii="Times New Roman" w:eastAsia="仿宋"/>
                <w:szCs w:val="21"/>
              </w:rPr>
              <w:t>NE</w:t>
            </w:r>
          </w:p>
        </w:tc>
        <w:tc>
          <w:tcPr>
            <w:tcW w:w="1134" w:type="dxa"/>
            <w:vAlign w:val="center"/>
          </w:tcPr>
          <w:p w14:paraId="39815DC7">
            <w:pPr>
              <w:spacing w:line="320" w:lineRule="exact"/>
              <w:jc w:val="center"/>
              <w:rPr>
                <w:rFonts w:ascii="Times New Roman" w:eastAsia="仿宋"/>
                <w:szCs w:val="21"/>
              </w:rPr>
            </w:pPr>
            <w:r>
              <w:rPr>
                <w:rFonts w:hint="eastAsia" w:ascii="Times New Roman" w:eastAsia="仿宋"/>
                <w:szCs w:val="21"/>
              </w:rPr>
              <w:t>约336</w:t>
            </w:r>
          </w:p>
        </w:tc>
        <w:tc>
          <w:tcPr>
            <w:tcW w:w="2268" w:type="dxa"/>
            <w:vMerge w:val="continue"/>
          </w:tcPr>
          <w:p w14:paraId="7168B8CB">
            <w:pPr>
              <w:spacing w:line="320" w:lineRule="exact"/>
              <w:jc w:val="center"/>
              <w:rPr>
                <w:rFonts w:ascii="Times New Roman" w:eastAsia="仿宋"/>
                <w:szCs w:val="21"/>
              </w:rPr>
            </w:pPr>
          </w:p>
        </w:tc>
      </w:tr>
      <w:tr w14:paraId="4025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vAlign w:val="center"/>
          </w:tcPr>
          <w:p w14:paraId="5ABA52E7">
            <w:pPr>
              <w:pStyle w:val="162"/>
              <w:spacing w:line="360" w:lineRule="exact"/>
              <w:rPr>
                <w:rFonts w:eastAsia="仿宋"/>
                <w:sz w:val="24"/>
              </w:rPr>
            </w:pPr>
            <w:r>
              <w:rPr>
                <w:rFonts w:eastAsia="仿宋"/>
                <w:sz w:val="24"/>
              </w:rPr>
              <w:t>地表水环境</w:t>
            </w:r>
          </w:p>
        </w:tc>
        <w:tc>
          <w:tcPr>
            <w:tcW w:w="2130" w:type="dxa"/>
            <w:vAlign w:val="center"/>
          </w:tcPr>
          <w:p w14:paraId="653878CF">
            <w:pPr>
              <w:jc w:val="center"/>
              <w:rPr>
                <w:rFonts w:ascii="Times New Roman" w:eastAsia="仿宋"/>
                <w:szCs w:val="21"/>
              </w:rPr>
            </w:pPr>
            <w:r>
              <w:rPr>
                <w:rFonts w:ascii="Times New Roman" w:eastAsia="仿宋"/>
                <w:szCs w:val="21"/>
              </w:rPr>
              <w:t>通济河</w:t>
            </w:r>
          </w:p>
        </w:tc>
        <w:tc>
          <w:tcPr>
            <w:tcW w:w="1559" w:type="dxa"/>
            <w:vAlign w:val="center"/>
          </w:tcPr>
          <w:p w14:paraId="1682B5BF">
            <w:pPr>
              <w:spacing w:line="360" w:lineRule="exact"/>
              <w:jc w:val="center"/>
              <w:rPr>
                <w:rFonts w:ascii="Times New Roman" w:eastAsia="仿宋"/>
                <w:szCs w:val="21"/>
              </w:rPr>
            </w:pPr>
            <w:r>
              <w:rPr>
                <w:rFonts w:ascii="Times New Roman" w:eastAsia="仿宋"/>
                <w:szCs w:val="21"/>
              </w:rPr>
              <w:t>/</w:t>
            </w:r>
          </w:p>
        </w:tc>
        <w:tc>
          <w:tcPr>
            <w:tcW w:w="1390" w:type="dxa"/>
            <w:vAlign w:val="center"/>
          </w:tcPr>
          <w:p w14:paraId="40AB3521">
            <w:pPr>
              <w:spacing w:line="360" w:lineRule="exact"/>
              <w:jc w:val="center"/>
              <w:rPr>
                <w:rFonts w:ascii="Times New Roman" w:eastAsia="仿宋"/>
                <w:szCs w:val="21"/>
              </w:rPr>
            </w:pPr>
            <w:r>
              <w:rPr>
                <w:rFonts w:ascii="Times New Roman" w:eastAsia="仿宋"/>
                <w:szCs w:val="21"/>
              </w:rPr>
              <w:t>/</w:t>
            </w:r>
          </w:p>
        </w:tc>
        <w:tc>
          <w:tcPr>
            <w:tcW w:w="1693" w:type="dxa"/>
            <w:gridSpan w:val="2"/>
            <w:vAlign w:val="center"/>
          </w:tcPr>
          <w:p w14:paraId="020935B6">
            <w:pPr>
              <w:spacing w:line="360" w:lineRule="exact"/>
              <w:jc w:val="center"/>
              <w:rPr>
                <w:rFonts w:ascii="Times New Roman" w:eastAsia="仿宋"/>
                <w:szCs w:val="21"/>
              </w:rPr>
            </w:pPr>
            <w:r>
              <w:rPr>
                <w:rFonts w:ascii="Times New Roman" w:eastAsia="仿宋"/>
              </w:rPr>
              <w:t>约</w:t>
            </w:r>
            <w:r>
              <w:rPr>
                <w:rFonts w:ascii="Times New Roman" w:eastAsia="仿宋"/>
                <w:szCs w:val="21"/>
              </w:rPr>
              <w:t>1400</w:t>
            </w:r>
          </w:p>
        </w:tc>
        <w:tc>
          <w:tcPr>
            <w:tcW w:w="1311" w:type="dxa"/>
            <w:gridSpan w:val="2"/>
            <w:vAlign w:val="center"/>
          </w:tcPr>
          <w:p w14:paraId="303DE120">
            <w:pPr>
              <w:spacing w:line="360" w:lineRule="exact"/>
              <w:jc w:val="center"/>
              <w:rPr>
                <w:rFonts w:ascii="Times New Roman" w:eastAsia="仿宋"/>
                <w:szCs w:val="21"/>
              </w:rPr>
            </w:pPr>
            <w:r>
              <w:rPr>
                <w:rFonts w:hint="eastAsia" w:ascii="Times New Roman" w:eastAsia="仿宋"/>
                <w:szCs w:val="21"/>
              </w:rPr>
              <w:t>S</w:t>
            </w:r>
          </w:p>
        </w:tc>
        <w:tc>
          <w:tcPr>
            <w:tcW w:w="1134" w:type="dxa"/>
            <w:vAlign w:val="center"/>
          </w:tcPr>
          <w:p w14:paraId="393D5ECB">
            <w:pPr>
              <w:spacing w:line="320" w:lineRule="exact"/>
              <w:jc w:val="center"/>
              <w:rPr>
                <w:rFonts w:ascii="Times New Roman" w:eastAsia="仿宋_GB2312"/>
                <w:szCs w:val="24"/>
                <w:lang w:bidi="ar"/>
              </w:rPr>
            </w:pPr>
            <w:r>
              <w:rPr>
                <w:rFonts w:hint="eastAsia" w:ascii="Times New Roman" w:eastAsia="仿宋_GB2312"/>
                <w:szCs w:val="24"/>
                <w:lang w:bidi="ar"/>
              </w:rPr>
              <w:t>/</w:t>
            </w:r>
          </w:p>
        </w:tc>
        <w:tc>
          <w:tcPr>
            <w:tcW w:w="2268" w:type="dxa"/>
            <w:vMerge w:val="restart"/>
            <w:vAlign w:val="center"/>
          </w:tcPr>
          <w:p w14:paraId="6D22E4D6">
            <w:pPr>
              <w:spacing w:line="360" w:lineRule="exact"/>
              <w:jc w:val="center"/>
              <w:rPr>
                <w:rFonts w:ascii="Times New Roman" w:eastAsia="仿宋"/>
                <w:szCs w:val="21"/>
              </w:rPr>
            </w:pPr>
            <w:r>
              <w:rPr>
                <w:rFonts w:ascii="Times New Roman" w:eastAsia="仿宋"/>
                <w:szCs w:val="21"/>
              </w:rPr>
              <w:t xml:space="preserve">执行《地表水环境质量标准》(GB3838-2002) </w:t>
            </w:r>
            <w:r>
              <w:rPr>
                <w:rFonts w:hint="eastAsia" w:ascii="Times New Roman" w:eastAsia="仿宋"/>
                <w:szCs w:val="21"/>
              </w:rPr>
              <w:t>Ⅳ</w:t>
            </w:r>
            <w:r>
              <w:rPr>
                <w:rFonts w:ascii="Times New Roman" w:eastAsia="仿宋"/>
                <w:szCs w:val="21"/>
              </w:rPr>
              <w:t>类标准</w:t>
            </w:r>
          </w:p>
        </w:tc>
      </w:tr>
      <w:tr w14:paraId="3F69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vAlign w:val="center"/>
          </w:tcPr>
          <w:p w14:paraId="07863344">
            <w:pPr>
              <w:pStyle w:val="162"/>
              <w:spacing w:line="360" w:lineRule="exact"/>
              <w:rPr>
                <w:rFonts w:eastAsia="仿宋"/>
                <w:sz w:val="24"/>
              </w:rPr>
            </w:pPr>
          </w:p>
        </w:tc>
        <w:tc>
          <w:tcPr>
            <w:tcW w:w="2130" w:type="dxa"/>
            <w:vAlign w:val="center"/>
          </w:tcPr>
          <w:p w14:paraId="3500E691">
            <w:pPr>
              <w:jc w:val="center"/>
              <w:rPr>
                <w:rFonts w:ascii="Times New Roman" w:eastAsia="仿宋"/>
                <w:szCs w:val="21"/>
              </w:rPr>
            </w:pPr>
            <w:r>
              <w:rPr>
                <w:rFonts w:hint="eastAsia" w:ascii="Times New Roman" w:eastAsia="仿宋"/>
                <w:szCs w:val="21"/>
              </w:rPr>
              <w:t>砂石河</w:t>
            </w:r>
          </w:p>
        </w:tc>
        <w:tc>
          <w:tcPr>
            <w:tcW w:w="1559" w:type="dxa"/>
            <w:vAlign w:val="center"/>
          </w:tcPr>
          <w:p w14:paraId="776D3F85">
            <w:pPr>
              <w:spacing w:line="360" w:lineRule="exact"/>
              <w:jc w:val="center"/>
              <w:rPr>
                <w:rFonts w:ascii="Times New Roman" w:eastAsia="仿宋"/>
                <w:szCs w:val="21"/>
              </w:rPr>
            </w:pPr>
            <w:r>
              <w:rPr>
                <w:rFonts w:ascii="Times New Roman" w:eastAsia="仿宋"/>
                <w:szCs w:val="21"/>
              </w:rPr>
              <w:t>/</w:t>
            </w:r>
          </w:p>
        </w:tc>
        <w:tc>
          <w:tcPr>
            <w:tcW w:w="1390" w:type="dxa"/>
            <w:vAlign w:val="center"/>
          </w:tcPr>
          <w:p w14:paraId="5D985B28">
            <w:pPr>
              <w:spacing w:line="360" w:lineRule="exact"/>
              <w:jc w:val="center"/>
              <w:rPr>
                <w:rFonts w:ascii="Times New Roman" w:eastAsia="仿宋"/>
                <w:szCs w:val="21"/>
              </w:rPr>
            </w:pPr>
            <w:r>
              <w:rPr>
                <w:rFonts w:ascii="Times New Roman" w:eastAsia="仿宋"/>
                <w:szCs w:val="21"/>
              </w:rPr>
              <w:t>/</w:t>
            </w:r>
          </w:p>
        </w:tc>
        <w:tc>
          <w:tcPr>
            <w:tcW w:w="1693" w:type="dxa"/>
            <w:gridSpan w:val="2"/>
            <w:vAlign w:val="center"/>
          </w:tcPr>
          <w:p w14:paraId="5E55F097">
            <w:pPr>
              <w:spacing w:line="360" w:lineRule="exact"/>
              <w:jc w:val="center"/>
              <w:rPr>
                <w:rFonts w:ascii="Times New Roman" w:eastAsia="仿宋"/>
              </w:rPr>
            </w:pPr>
            <w:r>
              <w:rPr>
                <w:rFonts w:hint="eastAsia" w:ascii="Times New Roman" w:eastAsia="仿宋"/>
              </w:rPr>
              <w:t>约3</w:t>
            </w:r>
            <w:r>
              <w:rPr>
                <w:rFonts w:ascii="Times New Roman" w:eastAsia="仿宋"/>
              </w:rPr>
              <w:t>6</w:t>
            </w:r>
          </w:p>
        </w:tc>
        <w:tc>
          <w:tcPr>
            <w:tcW w:w="1311" w:type="dxa"/>
            <w:gridSpan w:val="2"/>
            <w:vAlign w:val="center"/>
          </w:tcPr>
          <w:p w14:paraId="65A81D40">
            <w:pPr>
              <w:spacing w:line="360" w:lineRule="exact"/>
              <w:jc w:val="center"/>
              <w:rPr>
                <w:rFonts w:ascii="Times New Roman" w:eastAsia="仿宋"/>
                <w:szCs w:val="21"/>
              </w:rPr>
            </w:pPr>
            <w:r>
              <w:rPr>
                <w:rFonts w:hint="eastAsia" w:ascii="Times New Roman" w:eastAsia="仿宋"/>
                <w:szCs w:val="21"/>
              </w:rPr>
              <w:t>W</w:t>
            </w:r>
          </w:p>
        </w:tc>
        <w:tc>
          <w:tcPr>
            <w:tcW w:w="1134" w:type="dxa"/>
            <w:vAlign w:val="center"/>
          </w:tcPr>
          <w:p w14:paraId="311723C5">
            <w:pPr>
              <w:spacing w:line="320" w:lineRule="exact"/>
              <w:jc w:val="center"/>
              <w:rPr>
                <w:rFonts w:ascii="Times New Roman" w:eastAsia="仿宋_GB2312"/>
                <w:szCs w:val="24"/>
                <w:lang w:bidi="ar"/>
              </w:rPr>
            </w:pPr>
            <w:r>
              <w:rPr>
                <w:rFonts w:hint="eastAsia" w:ascii="Times New Roman" w:eastAsia="仿宋_GB2312"/>
                <w:szCs w:val="24"/>
                <w:lang w:bidi="ar"/>
              </w:rPr>
              <w:t>/</w:t>
            </w:r>
          </w:p>
        </w:tc>
        <w:tc>
          <w:tcPr>
            <w:tcW w:w="2268" w:type="dxa"/>
            <w:vMerge w:val="continue"/>
            <w:vAlign w:val="center"/>
          </w:tcPr>
          <w:p w14:paraId="251DCE45">
            <w:pPr>
              <w:spacing w:line="360" w:lineRule="exact"/>
              <w:jc w:val="center"/>
              <w:rPr>
                <w:rFonts w:ascii="Times New Roman" w:eastAsia="仿宋"/>
                <w:szCs w:val="21"/>
              </w:rPr>
            </w:pPr>
          </w:p>
        </w:tc>
      </w:tr>
      <w:tr w14:paraId="6912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Align w:val="center"/>
          </w:tcPr>
          <w:p w14:paraId="0CC884DF">
            <w:pPr>
              <w:spacing w:line="360" w:lineRule="exact"/>
              <w:jc w:val="center"/>
              <w:rPr>
                <w:rFonts w:ascii="Times New Roman" w:eastAsia="仿宋"/>
                <w:szCs w:val="21"/>
              </w:rPr>
            </w:pPr>
            <w:r>
              <w:rPr>
                <w:rFonts w:ascii="Times New Roman" w:eastAsia="仿宋"/>
                <w:szCs w:val="21"/>
              </w:rPr>
              <w:t>地下水</w:t>
            </w:r>
          </w:p>
          <w:p w14:paraId="3E76C2A6">
            <w:pPr>
              <w:spacing w:line="360" w:lineRule="exact"/>
              <w:jc w:val="center"/>
              <w:rPr>
                <w:rFonts w:ascii="Times New Roman" w:eastAsia="仿宋"/>
                <w:szCs w:val="21"/>
              </w:rPr>
            </w:pPr>
            <w:r>
              <w:rPr>
                <w:rFonts w:ascii="Times New Roman" w:eastAsia="仿宋"/>
                <w:szCs w:val="21"/>
              </w:rPr>
              <w:t>环境</w:t>
            </w:r>
          </w:p>
        </w:tc>
        <w:tc>
          <w:tcPr>
            <w:tcW w:w="9217" w:type="dxa"/>
            <w:gridSpan w:val="8"/>
            <w:vAlign w:val="center"/>
          </w:tcPr>
          <w:p w14:paraId="2ADF0B52">
            <w:pPr>
              <w:spacing w:line="360" w:lineRule="exact"/>
              <w:jc w:val="center"/>
              <w:rPr>
                <w:rFonts w:ascii="Times New Roman" w:eastAsia="仿宋_GB2312"/>
                <w:szCs w:val="24"/>
                <w:lang w:bidi="ar"/>
              </w:rPr>
            </w:pPr>
            <w:r>
              <w:rPr>
                <w:rFonts w:hint="eastAsia" w:ascii="Times New Roman" w:eastAsia="仿宋"/>
                <w:szCs w:val="21"/>
              </w:rPr>
              <w:t>地下水评价范围内无地下水环境敏感保护目标，无居民水井以及《建设项目环境影响评价分类管理名录》所界定的涉及地下水环境敏感区</w:t>
            </w:r>
          </w:p>
        </w:tc>
        <w:tc>
          <w:tcPr>
            <w:tcW w:w="2268" w:type="dxa"/>
            <w:vAlign w:val="center"/>
          </w:tcPr>
          <w:p w14:paraId="5DE95089">
            <w:pPr>
              <w:spacing w:line="360" w:lineRule="exact"/>
              <w:jc w:val="center"/>
              <w:rPr>
                <w:rFonts w:ascii="Times New Roman" w:eastAsia="仿宋"/>
                <w:szCs w:val="21"/>
              </w:rPr>
            </w:pPr>
            <w:r>
              <w:rPr>
                <w:rFonts w:ascii="Times New Roman" w:eastAsia="仿宋"/>
                <w:szCs w:val="21"/>
              </w:rPr>
              <w:t>执行《地下水质量标准》(GB/T14848-2017)相应标准</w:t>
            </w:r>
          </w:p>
        </w:tc>
      </w:tr>
      <w:tr w14:paraId="06D1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Align w:val="center"/>
          </w:tcPr>
          <w:p w14:paraId="4D8C2C31">
            <w:pPr>
              <w:spacing w:line="360" w:lineRule="exact"/>
              <w:jc w:val="center"/>
              <w:rPr>
                <w:rFonts w:ascii="Times New Roman" w:eastAsia="仿宋"/>
                <w:szCs w:val="21"/>
              </w:rPr>
            </w:pPr>
            <w:r>
              <w:rPr>
                <w:rFonts w:ascii="Times New Roman" w:eastAsia="仿宋"/>
                <w:szCs w:val="21"/>
              </w:rPr>
              <w:t>声环境</w:t>
            </w:r>
          </w:p>
        </w:tc>
        <w:tc>
          <w:tcPr>
            <w:tcW w:w="9217" w:type="dxa"/>
            <w:gridSpan w:val="8"/>
            <w:vAlign w:val="center"/>
          </w:tcPr>
          <w:p w14:paraId="6BB71BB9">
            <w:pPr>
              <w:spacing w:line="360" w:lineRule="exact"/>
              <w:jc w:val="center"/>
              <w:rPr>
                <w:rFonts w:ascii="Times New Roman" w:eastAsia="仿宋"/>
                <w:szCs w:val="21"/>
              </w:rPr>
            </w:pPr>
            <w:r>
              <w:rPr>
                <w:rFonts w:ascii="Times New Roman" w:eastAsia="仿宋"/>
                <w:szCs w:val="21"/>
              </w:rPr>
              <w:t>厂界外扩200米以内的范围内不存在医院、学校、机关、科研单位、住宅、自然保护区等对噪声敏感的建筑物或区域</w:t>
            </w:r>
          </w:p>
        </w:tc>
        <w:tc>
          <w:tcPr>
            <w:tcW w:w="2268" w:type="dxa"/>
            <w:vAlign w:val="center"/>
          </w:tcPr>
          <w:p w14:paraId="286A16A3">
            <w:pPr>
              <w:spacing w:line="360" w:lineRule="exact"/>
              <w:jc w:val="center"/>
              <w:rPr>
                <w:rFonts w:ascii="Times New Roman" w:eastAsia="仿宋"/>
                <w:szCs w:val="21"/>
              </w:rPr>
            </w:pPr>
            <w:r>
              <w:rPr>
                <w:rFonts w:ascii="Times New Roman" w:eastAsia="仿宋"/>
                <w:szCs w:val="21"/>
              </w:rPr>
              <w:t>/</w:t>
            </w:r>
          </w:p>
        </w:tc>
      </w:tr>
      <w:tr w14:paraId="0784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Align w:val="center"/>
          </w:tcPr>
          <w:p w14:paraId="19086BA7">
            <w:pPr>
              <w:spacing w:line="360" w:lineRule="exact"/>
              <w:jc w:val="center"/>
              <w:rPr>
                <w:rFonts w:ascii="Times New Roman" w:eastAsia="仿宋"/>
                <w:szCs w:val="21"/>
              </w:rPr>
            </w:pPr>
            <w:r>
              <w:rPr>
                <w:rFonts w:ascii="Times New Roman" w:eastAsia="仿宋"/>
                <w:szCs w:val="21"/>
              </w:rPr>
              <w:t>土壤环境</w:t>
            </w:r>
          </w:p>
        </w:tc>
        <w:tc>
          <w:tcPr>
            <w:tcW w:w="9217" w:type="dxa"/>
            <w:gridSpan w:val="8"/>
            <w:vAlign w:val="center"/>
          </w:tcPr>
          <w:p w14:paraId="590797F9">
            <w:pPr>
              <w:spacing w:line="360" w:lineRule="exact"/>
              <w:jc w:val="center"/>
              <w:rPr>
                <w:rFonts w:ascii="Times New Roman" w:eastAsia="仿宋"/>
                <w:szCs w:val="21"/>
              </w:rPr>
            </w:pPr>
            <w:r>
              <w:rPr>
                <w:rFonts w:ascii="Times New Roman" w:eastAsia="仿宋"/>
                <w:szCs w:val="21"/>
              </w:rPr>
              <w:t>项目厂界内以及厂界外扩200米的范围内不存在耕地、园地、牧草地、饮用水水源地以及居民区、学校、医院、疗养院、养老院等土壤环境敏感目标</w:t>
            </w:r>
          </w:p>
        </w:tc>
        <w:tc>
          <w:tcPr>
            <w:tcW w:w="2268" w:type="dxa"/>
            <w:vAlign w:val="center"/>
          </w:tcPr>
          <w:p w14:paraId="5C7094C4">
            <w:pPr>
              <w:spacing w:line="360" w:lineRule="exact"/>
              <w:jc w:val="center"/>
              <w:rPr>
                <w:rFonts w:ascii="Times New Roman" w:eastAsia="仿宋"/>
                <w:szCs w:val="21"/>
              </w:rPr>
            </w:pPr>
            <w:r>
              <w:rPr>
                <w:rFonts w:ascii="Times New Roman" w:eastAsia="仿宋"/>
                <w:szCs w:val="21"/>
              </w:rPr>
              <w:t>/</w:t>
            </w:r>
          </w:p>
        </w:tc>
      </w:tr>
      <w:tr w14:paraId="41E4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vAlign w:val="center"/>
          </w:tcPr>
          <w:p w14:paraId="60B9B48D">
            <w:pPr>
              <w:spacing w:line="360" w:lineRule="exact"/>
              <w:jc w:val="center"/>
              <w:rPr>
                <w:rFonts w:ascii="Times New Roman" w:eastAsia="仿宋"/>
                <w:szCs w:val="21"/>
              </w:rPr>
            </w:pPr>
            <w:r>
              <w:rPr>
                <w:rFonts w:ascii="Times New Roman" w:eastAsia="仿宋"/>
                <w:szCs w:val="21"/>
              </w:rPr>
              <w:t>生态环境</w:t>
            </w:r>
          </w:p>
        </w:tc>
        <w:tc>
          <w:tcPr>
            <w:tcW w:w="2130" w:type="dxa"/>
            <w:vAlign w:val="center"/>
          </w:tcPr>
          <w:p w14:paraId="338A6561">
            <w:pPr>
              <w:spacing w:line="360" w:lineRule="exact"/>
              <w:jc w:val="center"/>
              <w:rPr>
                <w:rFonts w:ascii="Times New Roman" w:eastAsia="仿宋"/>
                <w:szCs w:val="21"/>
              </w:rPr>
            </w:pPr>
            <w:r>
              <w:rPr>
                <w:rFonts w:ascii="Times New Roman" w:eastAsia="仿宋"/>
                <w:szCs w:val="21"/>
              </w:rPr>
              <w:t>天荒湖重要渔业水域</w:t>
            </w:r>
          </w:p>
        </w:tc>
        <w:tc>
          <w:tcPr>
            <w:tcW w:w="3100" w:type="dxa"/>
            <w:gridSpan w:val="3"/>
            <w:vAlign w:val="center"/>
          </w:tcPr>
          <w:p w14:paraId="60FCA9AD">
            <w:pPr>
              <w:spacing w:line="360" w:lineRule="exact"/>
              <w:jc w:val="center"/>
              <w:rPr>
                <w:rFonts w:ascii="Times New Roman" w:eastAsia="仿宋"/>
                <w:szCs w:val="21"/>
              </w:rPr>
            </w:pPr>
            <w:r>
              <w:rPr>
                <w:rFonts w:hint="eastAsia" w:ascii="Times New Roman" w:eastAsia="仿宋"/>
                <w:szCs w:val="21"/>
              </w:rPr>
              <w:t>/</w:t>
            </w:r>
          </w:p>
        </w:tc>
        <w:tc>
          <w:tcPr>
            <w:tcW w:w="1542" w:type="dxa"/>
            <w:vAlign w:val="center"/>
          </w:tcPr>
          <w:p w14:paraId="29466F09">
            <w:pPr>
              <w:spacing w:line="360" w:lineRule="exact"/>
              <w:jc w:val="center"/>
              <w:rPr>
                <w:rFonts w:ascii="Times New Roman" w:eastAsia="仿宋"/>
                <w:szCs w:val="21"/>
              </w:rPr>
            </w:pPr>
            <w:r>
              <w:rPr>
                <w:rFonts w:hint="eastAsia" w:ascii="Times New Roman" w:eastAsia="仿宋"/>
                <w:szCs w:val="21"/>
              </w:rPr>
              <w:t>约</w:t>
            </w:r>
            <w:r>
              <w:rPr>
                <w:rFonts w:ascii="Times New Roman" w:eastAsia="仿宋"/>
                <w:szCs w:val="21"/>
              </w:rPr>
              <w:t>9300</w:t>
            </w:r>
          </w:p>
        </w:tc>
        <w:tc>
          <w:tcPr>
            <w:tcW w:w="1222" w:type="dxa"/>
            <w:vAlign w:val="center"/>
          </w:tcPr>
          <w:p w14:paraId="5A4EC26E">
            <w:pPr>
              <w:spacing w:line="320" w:lineRule="exact"/>
              <w:jc w:val="center"/>
              <w:rPr>
                <w:rFonts w:ascii="Times New Roman" w:eastAsia="仿宋_GB2312"/>
                <w:szCs w:val="24"/>
                <w:lang w:bidi="ar"/>
              </w:rPr>
            </w:pPr>
            <w:r>
              <w:rPr>
                <w:rFonts w:ascii="Times New Roman" w:eastAsia="仿宋_GB2312"/>
                <w:szCs w:val="24"/>
                <w:lang w:bidi="ar"/>
              </w:rPr>
              <w:t>NE</w:t>
            </w:r>
          </w:p>
        </w:tc>
        <w:tc>
          <w:tcPr>
            <w:tcW w:w="1223" w:type="dxa"/>
            <w:gridSpan w:val="2"/>
            <w:vAlign w:val="center"/>
          </w:tcPr>
          <w:p w14:paraId="7AD906E1">
            <w:pPr>
              <w:spacing w:line="320" w:lineRule="exact"/>
              <w:jc w:val="center"/>
              <w:rPr>
                <w:rFonts w:ascii="Times New Roman" w:eastAsia="仿宋_GB2312"/>
                <w:szCs w:val="24"/>
                <w:lang w:bidi="ar"/>
              </w:rPr>
            </w:pPr>
            <w:r>
              <w:rPr>
                <w:rFonts w:hint="eastAsia" w:ascii="Times New Roman" w:eastAsia="仿宋_GB2312"/>
                <w:szCs w:val="24"/>
                <w:lang w:bidi="ar"/>
              </w:rPr>
              <w:t>/</w:t>
            </w:r>
          </w:p>
        </w:tc>
        <w:tc>
          <w:tcPr>
            <w:tcW w:w="2268" w:type="dxa"/>
            <w:vMerge w:val="restart"/>
            <w:vAlign w:val="center"/>
          </w:tcPr>
          <w:p w14:paraId="644EC036">
            <w:pPr>
              <w:spacing w:line="360" w:lineRule="exact"/>
              <w:jc w:val="center"/>
              <w:rPr>
                <w:rFonts w:ascii="Times New Roman" w:eastAsia="仿宋"/>
                <w:szCs w:val="21"/>
              </w:rPr>
            </w:pPr>
            <w:r>
              <w:rPr>
                <w:rFonts w:ascii="Times New Roman" w:eastAsia="仿宋"/>
                <w:szCs w:val="21"/>
              </w:rPr>
              <w:t>《常州市生态红线区域名录》</w:t>
            </w:r>
            <w:r>
              <w:rPr>
                <w:rFonts w:hint="eastAsia" w:ascii="Times New Roman" w:eastAsia="仿宋"/>
                <w:szCs w:val="21"/>
              </w:rPr>
              <w:t>渔业资源</w:t>
            </w:r>
            <w:r>
              <w:rPr>
                <w:rFonts w:ascii="Times New Roman" w:eastAsia="仿宋"/>
                <w:szCs w:val="21"/>
              </w:rPr>
              <w:t>保护</w:t>
            </w:r>
          </w:p>
        </w:tc>
      </w:tr>
      <w:tr w14:paraId="7E11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vAlign w:val="center"/>
          </w:tcPr>
          <w:p w14:paraId="49428B3F">
            <w:pPr>
              <w:spacing w:line="360" w:lineRule="exact"/>
              <w:jc w:val="center"/>
              <w:rPr>
                <w:rFonts w:ascii="Times New Roman" w:eastAsia="仿宋"/>
                <w:szCs w:val="21"/>
              </w:rPr>
            </w:pPr>
          </w:p>
        </w:tc>
        <w:tc>
          <w:tcPr>
            <w:tcW w:w="2130" w:type="dxa"/>
            <w:vAlign w:val="center"/>
          </w:tcPr>
          <w:p w14:paraId="0FF5BA3B">
            <w:pPr>
              <w:spacing w:line="360" w:lineRule="exact"/>
              <w:jc w:val="center"/>
              <w:rPr>
                <w:rFonts w:ascii="Times New Roman" w:eastAsia="仿宋"/>
                <w:szCs w:val="21"/>
              </w:rPr>
            </w:pPr>
            <w:r>
              <w:rPr>
                <w:rFonts w:hint="eastAsia" w:ascii="Times New Roman" w:eastAsia="仿宋"/>
                <w:szCs w:val="21"/>
              </w:rPr>
              <w:t>钱资荡重要湿地</w:t>
            </w:r>
          </w:p>
        </w:tc>
        <w:tc>
          <w:tcPr>
            <w:tcW w:w="3100" w:type="dxa"/>
            <w:gridSpan w:val="3"/>
            <w:vAlign w:val="center"/>
          </w:tcPr>
          <w:p w14:paraId="7A667CA7">
            <w:pPr>
              <w:spacing w:line="360" w:lineRule="exact"/>
              <w:jc w:val="center"/>
              <w:rPr>
                <w:rFonts w:ascii="Times New Roman" w:eastAsia="仿宋"/>
                <w:szCs w:val="21"/>
              </w:rPr>
            </w:pPr>
            <w:r>
              <w:rPr>
                <w:rFonts w:hint="eastAsia" w:ascii="Times New Roman" w:eastAsia="仿宋"/>
                <w:szCs w:val="21"/>
              </w:rPr>
              <w:t>/</w:t>
            </w:r>
          </w:p>
        </w:tc>
        <w:tc>
          <w:tcPr>
            <w:tcW w:w="1542" w:type="dxa"/>
            <w:vAlign w:val="center"/>
          </w:tcPr>
          <w:p w14:paraId="4223039A">
            <w:pPr>
              <w:spacing w:line="360" w:lineRule="exact"/>
              <w:jc w:val="center"/>
              <w:rPr>
                <w:rFonts w:ascii="Times New Roman" w:eastAsia="仿宋"/>
                <w:szCs w:val="21"/>
              </w:rPr>
            </w:pPr>
            <w:r>
              <w:rPr>
                <w:rFonts w:hint="eastAsia" w:ascii="Times New Roman" w:eastAsia="仿宋"/>
                <w:szCs w:val="21"/>
              </w:rPr>
              <w:t>约1</w:t>
            </w:r>
            <w:r>
              <w:rPr>
                <w:rFonts w:ascii="Times New Roman" w:eastAsia="仿宋"/>
                <w:szCs w:val="21"/>
              </w:rPr>
              <w:t>1400</w:t>
            </w:r>
          </w:p>
        </w:tc>
        <w:tc>
          <w:tcPr>
            <w:tcW w:w="1222" w:type="dxa"/>
            <w:vAlign w:val="center"/>
          </w:tcPr>
          <w:p w14:paraId="0E957ECB">
            <w:pPr>
              <w:spacing w:line="320" w:lineRule="exact"/>
              <w:jc w:val="center"/>
              <w:rPr>
                <w:rFonts w:ascii="Times New Roman" w:eastAsia="仿宋_GB2312"/>
                <w:szCs w:val="24"/>
                <w:lang w:bidi="ar"/>
              </w:rPr>
            </w:pPr>
            <w:r>
              <w:rPr>
                <w:rFonts w:hint="eastAsia" w:ascii="Times New Roman" w:eastAsia="仿宋_GB2312"/>
                <w:szCs w:val="24"/>
                <w:lang w:bidi="ar"/>
              </w:rPr>
              <w:t>S</w:t>
            </w:r>
            <w:r>
              <w:rPr>
                <w:rFonts w:ascii="Times New Roman" w:eastAsia="仿宋_GB2312"/>
                <w:szCs w:val="24"/>
                <w:lang w:bidi="ar"/>
              </w:rPr>
              <w:t>E</w:t>
            </w:r>
          </w:p>
        </w:tc>
        <w:tc>
          <w:tcPr>
            <w:tcW w:w="1223" w:type="dxa"/>
            <w:gridSpan w:val="2"/>
            <w:vAlign w:val="center"/>
          </w:tcPr>
          <w:p w14:paraId="5045E0C5">
            <w:pPr>
              <w:spacing w:line="320" w:lineRule="exact"/>
              <w:jc w:val="center"/>
              <w:rPr>
                <w:rFonts w:ascii="Times New Roman" w:eastAsia="仿宋_GB2312"/>
                <w:szCs w:val="24"/>
                <w:lang w:bidi="ar"/>
              </w:rPr>
            </w:pPr>
            <w:r>
              <w:rPr>
                <w:rFonts w:hint="eastAsia" w:ascii="Times New Roman" w:eastAsia="仿宋_GB2312"/>
                <w:szCs w:val="24"/>
                <w:lang w:bidi="ar"/>
              </w:rPr>
              <w:t>/</w:t>
            </w:r>
          </w:p>
        </w:tc>
        <w:tc>
          <w:tcPr>
            <w:tcW w:w="2268" w:type="dxa"/>
            <w:vMerge w:val="continue"/>
            <w:vAlign w:val="center"/>
          </w:tcPr>
          <w:p w14:paraId="5200F210">
            <w:pPr>
              <w:spacing w:line="360" w:lineRule="exact"/>
              <w:jc w:val="center"/>
              <w:rPr>
                <w:rFonts w:ascii="Times New Roman" w:eastAsia="仿宋"/>
                <w:szCs w:val="21"/>
              </w:rPr>
            </w:pPr>
          </w:p>
        </w:tc>
      </w:tr>
    </w:tbl>
    <w:p w14:paraId="558C1E76">
      <w:pPr>
        <w:pStyle w:val="168"/>
        <w:ind w:firstLine="0" w:firstLineChars="0"/>
        <w:rPr>
          <w:rFonts w:ascii="Times New Roman" w:eastAsia="仿宋"/>
        </w:rPr>
      </w:pPr>
    </w:p>
    <w:p w14:paraId="5BEF7A14">
      <w:pPr>
        <w:pStyle w:val="5"/>
        <w:rPr>
          <w:rFonts w:eastAsia="仿宋"/>
          <w:color w:val="auto"/>
        </w:rPr>
        <w:sectPr>
          <w:pgSz w:w="16838" w:h="11906" w:orient="landscape"/>
          <w:pgMar w:top="1678" w:right="1843" w:bottom="1616" w:left="1440" w:header="1191" w:footer="992" w:gutter="0"/>
          <w:cols w:space="720" w:num="1"/>
          <w:docGrid w:linePitch="312" w:charSpace="0"/>
        </w:sectPr>
      </w:pPr>
      <w:bookmarkStart w:id="145" w:name="_Toc85180757"/>
      <w:bookmarkStart w:id="146" w:name="_Toc149991887"/>
      <w:bookmarkStart w:id="147" w:name="_Toc87426739"/>
      <w:bookmarkStart w:id="148" w:name="_Toc105831174"/>
      <w:bookmarkStart w:id="149" w:name="_Toc53416246"/>
      <w:bookmarkStart w:id="150" w:name="_Toc328747110"/>
      <w:bookmarkStart w:id="151" w:name="_Toc88297645"/>
      <w:bookmarkStart w:id="152" w:name="_Toc85012459"/>
      <w:bookmarkStart w:id="153" w:name="_Toc51146451"/>
      <w:bookmarkStart w:id="154" w:name="_Toc160271879"/>
      <w:bookmarkStart w:id="155" w:name="_Toc100835975"/>
      <w:bookmarkStart w:id="156" w:name="_Toc48119067"/>
      <w:bookmarkStart w:id="157" w:name="_Toc89501959"/>
      <w:bookmarkStart w:id="158" w:name="_Toc51932983"/>
      <w:bookmarkStart w:id="159" w:name="_Toc51583795"/>
      <w:bookmarkStart w:id="160" w:name="_Toc75316701"/>
      <w:bookmarkStart w:id="161" w:name="_Toc87426569"/>
    </w:p>
    <w:p w14:paraId="5D9F549D">
      <w:pPr>
        <w:pStyle w:val="5"/>
        <w:numPr>
          <w:ilvl w:val="0"/>
          <w:numId w:val="0"/>
        </w:numPr>
        <w:rPr>
          <w:rFonts w:eastAsia="仿宋"/>
          <w:color w:val="auto"/>
        </w:rPr>
      </w:pPr>
      <w:bookmarkStart w:id="162" w:name="_Toc182553807"/>
      <w:r>
        <w:rPr>
          <w:rFonts w:hint="eastAsia" w:eastAsia="仿宋"/>
          <w:color w:val="auto"/>
        </w:rPr>
        <w:t>2.</w:t>
      </w:r>
      <w:r>
        <w:rPr>
          <w:rFonts w:eastAsia="仿宋"/>
          <w:color w:val="auto"/>
        </w:rPr>
        <w:t>6项目所在地相关规划</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eastAsia="仿宋"/>
          <w:color w:val="auto"/>
        </w:rPr>
        <w:t>及环境功能区划</w:t>
      </w:r>
      <w:bookmarkEnd w:id="162"/>
    </w:p>
    <w:p w14:paraId="467B0E39">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.6.1</w:t>
      </w:r>
      <w:r>
        <w:rPr>
          <w:rFonts w:ascii="Times New Roman" w:eastAsia="仿宋"/>
          <w:bCs w:val="0"/>
          <w:spacing w:val="6"/>
          <w:sz w:val="30"/>
          <w:szCs w:val="30"/>
        </w:rPr>
        <w:t>生态保护规划</w:t>
      </w:r>
    </w:p>
    <w:p w14:paraId="1FD5F9AA">
      <w:pPr>
        <w:spacing w:line="500" w:lineRule="exact"/>
        <w:ind w:firstLine="560" w:firstLineChars="200"/>
        <w:rPr>
          <w:rFonts w:ascii="Times New Roman" w:eastAsia="仿宋"/>
          <w:sz w:val="28"/>
          <w:szCs w:val="28"/>
        </w:rPr>
      </w:pPr>
      <w:r>
        <w:rPr>
          <w:rFonts w:ascii="Times New Roman" w:eastAsia="仿宋"/>
          <w:sz w:val="28"/>
          <w:szCs w:val="28"/>
        </w:rPr>
        <w:t>对照《省政府关于印发江苏省生态空间管控区域规划的通知》（苏政发〔2020〕1号）及《常州市生态空间保护区域名录》，本项目所在地</w:t>
      </w:r>
      <w:r>
        <w:rPr>
          <w:rFonts w:hint="eastAsia" w:ascii="Times New Roman" w:eastAsia="仿宋"/>
          <w:sz w:val="28"/>
          <w:szCs w:val="28"/>
        </w:rPr>
        <w:t>金坛区</w:t>
      </w:r>
      <w:r>
        <w:rPr>
          <w:rFonts w:ascii="Times New Roman" w:eastAsia="仿宋"/>
          <w:sz w:val="28"/>
          <w:szCs w:val="28"/>
        </w:rPr>
        <w:t>生态空间保护区如下。</w:t>
      </w:r>
    </w:p>
    <w:p w14:paraId="1018C701">
      <w:pPr>
        <w:pStyle w:val="168"/>
        <w:ind w:firstLine="0" w:firstLineChars="0"/>
        <w:rPr>
          <w:rFonts w:ascii="Times New Roman" w:eastAsia="仿宋"/>
        </w:rPr>
      </w:pPr>
      <w:r>
        <w:rPr>
          <w:rFonts w:ascii="Times New Roman" w:eastAsia="仿宋"/>
        </w:rPr>
        <w:t xml:space="preserve">表2.6-1  </w:t>
      </w:r>
      <w:r>
        <w:rPr>
          <w:rFonts w:hint="eastAsia" w:ascii="Times New Roman" w:eastAsia="仿宋"/>
        </w:rPr>
        <w:t>金坛</w:t>
      </w:r>
      <w:r>
        <w:rPr>
          <w:rFonts w:ascii="Times New Roman" w:eastAsia="仿宋"/>
        </w:rPr>
        <w:t>区生态红线区域保护规划</w:t>
      </w:r>
    </w:p>
    <w:tbl>
      <w:tblPr>
        <w:tblStyle w:val="87"/>
        <w:tblW w:w="921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571"/>
        <w:gridCol w:w="1553"/>
        <w:gridCol w:w="992"/>
        <w:gridCol w:w="2977"/>
        <w:gridCol w:w="3118"/>
      </w:tblGrid>
      <w:tr w14:paraId="64F3AA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restart"/>
            <w:vAlign w:val="center"/>
          </w:tcPr>
          <w:p w14:paraId="6DBFA17B">
            <w:pPr>
              <w:spacing w:line="360" w:lineRule="exact"/>
              <w:jc w:val="center"/>
              <w:rPr>
                <w:rFonts w:ascii="Times New Roman" w:eastAsia="仿宋"/>
                <w:szCs w:val="21"/>
              </w:rPr>
            </w:pPr>
            <w:r>
              <w:rPr>
                <w:rFonts w:ascii="Times New Roman" w:eastAsia="仿宋"/>
                <w:szCs w:val="21"/>
              </w:rPr>
              <w:t>地区</w:t>
            </w:r>
          </w:p>
        </w:tc>
        <w:tc>
          <w:tcPr>
            <w:tcW w:w="1553" w:type="dxa"/>
            <w:vMerge w:val="restart"/>
            <w:vAlign w:val="center"/>
          </w:tcPr>
          <w:p w14:paraId="6C02C78C">
            <w:pPr>
              <w:spacing w:line="360" w:lineRule="exact"/>
              <w:jc w:val="center"/>
              <w:rPr>
                <w:rFonts w:ascii="Times New Roman" w:eastAsia="仿宋"/>
                <w:szCs w:val="21"/>
              </w:rPr>
            </w:pPr>
            <w:r>
              <w:rPr>
                <w:rFonts w:ascii="Times New Roman" w:eastAsia="仿宋"/>
                <w:szCs w:val="21"/>
              </w:rPr>
              <w:t>红线区域</w:t>
            </w:r>
          </w:p>
          <w:p w14:paraId="5CFF0581">
            <w:pPr>
              <w:spacing w:line="360" w:lineRule="exact"/>
              <w:jc w:val="center"/>
              <w:rPr>
                <w:rFonts w:ascii="Times New Roman" w:eastAsia="仿宋"/>
                <w:szCs w:val="21"/>
              </w:rPr>
            </w:pPr>
            <w:r>
              <w:rPr>
                <w:rFonts w:ascii="Times New Roman" w:eastAsia="仿宋"/>
                <w:szCs w:val="21"/>
              </w:rPr>
              <w:t>名称</w:t>
            </w:r>
          </w:p>
        </w:tc>
        <w:tc>
          <w:tcPr>
            <w:tcW w:w="992" w:type="dxa"/>
            <w:vMerge w:val="restart"/>
            <w:vAlign w:val="center"/>
          </w:tcPr>
          <w:p w14:paraId="15CD469B">
            <w:pPr>
              <w:spacing w:line="360" w:lineRule="exact"/>
              <w:jc w:val="center"/>
              <w:rPr>
                <w:rFonts w:ascii="Times New Roman" w:eastAsia="仿宋"/>
                <w:szCs w:val="21"/>
              </w:rPr>
            </w:pPr>
            <w:r>
              <w:rPr>
                <w:rFonts w:ascii="Times New Roman" w:eastAsia="仿宋"/>
                <w:szCs w:val="21"/>
              </w:rPr>
              <w:t>主导生态</w:t>
            </w:r>
          </w:p>
          <w:p w14:paraId="1A35508D">
            <w:pPr>
              <w:spacing w:line="360" w:lineRule="exact"/>
              <w:jc w:val="center"/>
              <w:rPr>
                <w:rFonts w:ascii="Times New Roman" w:eastAsia="仿宋"/>
                <w:szCs w:val="21"/>
              </w:rPr>
            </w:pPr>
            <w:r>
              <w:rPr>
                <w:rFonts w:ascii="Times New Roman" w:eastAsia="仿宋"/>
                <w:szCs w:val="21"/>
              </w:rPr>
              <w:t>功能</w:t>
            </w:r>
          </w:p>
        </w:tc>
        <w:tc>
          <w:tcPr>
            <w:tcW w:w="6095" w:type="dxa"/>
            <w:gridSpan w:val="2"/>
            <w:vAlign w:val="center"/>
          </w:tcPr>
          <w:p w14:paraId="41388E14">
            <w:pPr>
              <w:spacing w:line="360" w:lineRule="exact"/>
              <w:jc w:val="center"/>
              <w:rPr>
                <w:rFonts w:ascii="Times New Roman" w:eastAsia="仿宋"/>
                <w:szCs w:val="21"/>
              </w:rPr>
            </w:pPr>
            <w:r>
              <w:rPr>
                <w:rFonts w:ascii="Times New Roman" w:eastAsia="仿宋"/>
                <w:szCs w:val="21"/>
              </w:rPr>
              <w:t>红线区域范围</w:t>
            </w:r>
          </w:p>
        </w:tc>
      </w:tr>
      <w:tr w14:paraId="4D0F28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3047DDC1">
            <w:pPr>
              <w:spacing w:line="360" w:lineRule="exact"/>
              <w:jc w:val="center"/>
              <w:rPr>
                <w:rFonts w:ascii="Times New Roman" w:eastAsia="仿宋"/>
                <w:szCs w:val="21"/>
              </w:rPr>
            </w:pPr>
          </w:p>
        </w:tc>
        <w:tc>
          <w:tcPr>
            <w:tcW w:w="1553" w:type="dxa"/>
            <w:vMerge w:val="continue"/>
            <w:vAlign w:val="center"/>
          </w:tcPr>
          <w:p w14:paraId="30C95CB0">
            <w:pPr>
              <w:spacing w:line="360" w:lineRule="exact"/>
              <w:jc w:val="center"/>
              <w:rPr>
                <w:rFonts w:ascii="Times New Roman" w:eastAsia="仿宋"/>
                <w:szCs w:val="21"/>
              </w:rPr>
            </w:pPr>
          </w:p>
        </w:tc>
        <w:tc>
          <w:tcPr>
            <w:tcW w:w="992" w:type="dxa"/>
            <w:vMerge w:val="continue"/>
            <w:vAlign w:val="center"/>
          </w:tcPr>
          <w:p w14:paraId="6A2599E3">
            <w:pPr>
              <w:spacing w:line="360" w:lineRule="exact"/>
              <w:jc w:val="center"/>
              <w:rPr>
                <w:rFonts w:ascii="Times New Roman" w:eastAsia="仿宋"/>
                <w:szCs w:val="21"/>
              </w:rPr>
            </w:pPr>
          </w:p>
        </w:tc>
        <w:tc>
          <w:tcPr>
            <w:tcW w:w="2977" w:type="dxa"/>
            <w:vAlign w:val="center"/>
          </w:tcPr>
          <w:p w14:paraId="5A1BDA57">
            <w:pPr>
              <w:spacing w:line="360" w:lineRule="exact"/>
              <w:jc w:val="center"/>
              <w:rPr>
                <w:rFonts w:ascii="Times New Roman" w:eastAsia="仿宋"/>
                <w:szCs w:val="21"/>
              </w:rPr>
            </w:pPr>
            <w:r>
              <w:rPr>
                <w:rFonts w:ascii="Times New Roman" w:eastAsia="仿宋"/>
                <w:szCs w:val="21"/>
              </w:rPr>
              <w:t>国家级生态保护红线范围</w:t>
            </w:r>
          </w:p>
        </w:tc>
        <w:tc>
          <w:tcPr>
            <w:tcW w:w="3118" w:type="dxa"/>
            <w:vAlign w:val="center"/>
          </w:tcPr>
          <w:p w14:paraId="776B5153">
            <w:pPr>
              <w:spacing w:line="360" w:lineRule="exact"/>
              <w:jc w:val="center"/>
              <w:rPr>
                <w:rFonts w:ascii="Times New Roman" w:eastAsia="仿宋"/>
                <w:szCs w:val="21"/>
              </w:rPr>
            </w:pPr>
            <w:r>
              <w:rPr>
                <w:rFonts w:ascii="Times New Roman" w:eastAsia="仿宋"/>
                <w:szCs w:val="21"/>
              </w:rPr>
              <w:t>生态空间管控区域范围</w:t>
            </w:r>
          </w:p>
        </w:tc>
      </w:tr>
      <w:tr w14:paraId="655A80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restart"/>
            <w:vAlign w:val="center"/>
          </w:tcPr>
          <w:p w14:paraId="50CAD9B6">
            <w:pPr>
              <w:spacing w:line="360" w:lineRule="exact"/>
              <w:jc w:val="center"/>
              <w:rPr>
                <w:rFonts w:ascii="Times New Roman" w:eastAsia="仿宋"/>
                <w:szCs w:val="21"/>
              </w:rPr>
            </w:pPr>
            <w:r>
              <w:rPr>
                <w:rFonts w:ascii="Times New Roman" w:eastAsia="仿宋"/>
                <w:szCs w:val="21"/>
              </w:rPr>
              <w:t>金坛区</w:t>
            </w:r>
          </w:p>
        </w:tc>
        <w:tc>
          <w:tcPr>
            <w:tcW w:w="1553" w:type="dxa"/>
            <w:vAlign w:val="center"/>
          </w:tcPr>
          <w:p w14:paraId="163FAB6D">
            <w:pPr>
              <w:spacing w:line="360" w:lineRule="exact"/>
              <w:jc w:val="center"/>
              <w:rPr>
                <w:rFonts w:ascii="Times New Roman" w:eastAsia="仿宋"/>
                <w:szCs w:val="21"/>
              </w:rPr>
            </w:pPr>
            <w:r>
              <w:rPr>
                <w:rFonts w:ascii="Times New Roman" w:eastAsia="仿宋"/>
                <w:szCs w:val="21"/>
              </w:rPr>
              <w:t>新孟河（金坛区）清水通道维护区</w:t>
            </w:r>
          </w:p>
        </w:tc>
        <w:tc>
          <w:tcPr>
            <w:tcW w:w="992" w:type="dxa"/>
            <w:vAlign w:val="center"/>
          </w:tcPr>
          <w:p w14:paraId="3A1D44CB">
            <w:pPr>
              <w:spacing w:line="360" w:lineRule="exact"/>
              <w:jc w:val="center"/>
              <w:rPr>
                <w:rFonts w:ascii="Times New Roman" w:eastAsia="仿宋"/>
                <w:szCs w:val="21"/>
              </w:rPr>
            </w:pPr>
            <w:r>
              <w:rPr>
                <w:rFonts w:ascii="Times New Roman" w:eastAsia="仿宋"/>
                <w:szCs w:val="21"/>
              </w:rPr>
              <w:t>水源水质保护</w:t>
            </w:r>
          </w:p>
        </w:tc>
        <w:tc>
          <w:tcPr>
            <w:tcW w:w="2977" w:type="dxa"/>
            <w:vAlign w:val="center"/>
          </w:tcPr>
          <w:p w14:paraId="24E781AE">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25998F57">
            <w:pPr>
              <w:spacing w:line="360" w:lineRule="exact"/>
              <w:jc w:val="center"/>
              <w:rPr>
                <w:rFonts w:ascii="Times New Roman" w:eastAsia="仿宋"/>
                <w:szCs w:val="21"/>
              </w:rPr>
            </w:pPr>
            <w:r>
              <w:rPr>
                <w:rFonts w:ascii="Times New Roman" w:eastAsia="仿宋"/>
                <w:szCs w:val="21"/>
              </w:rPr>
              <w:t>新孟河及河道两侧1公里范围</w:t>
            </w:r>
          </w:p>
        </w:tc>
      </w:tr>
      <w:tr w14:paraId="736E373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591DBB4C">
            <w:pPr>
              <w:spacing w:line="360" w:lineRule="exact"/>
              <w:jc w:val="center"/>
              <w:rPr>
                <w:rFonts w:ascii="Times New Roman" w:eastAsia="仿宋"/>
                <w:szCs w:val="21"/>
              </w:rPr>
            </w:pPr>
          </w:p>
        </w:tc>
        <w:tc>
          <w:tcPr>
            <w:tcW w:w="1553" w:type="dxa"/>
            <w:vAlign w:val="center"/>
          </w:tcPr>
          <w:p w14:paraId="1C868361">
            <w:pPr>
              <w:spacing w:line="360" w:lineRule="exact"/>
              <w:jc w:val="center"/>
              <w:rPr>
                <w:rFonts w:ascii="Times New Roman" w:eastAsia="仿宋"/>
                <w:szCs w:val="21"/>
              </w:rPr>
            </w:pPr>
            <w:r>
              <w:rPr>
                <w:rFonts w:ascii="Times New Roman" w:eastAsia="仿宋"/>
                <w:szCs w:val="21"/>
              </w:rPr>
              <w:t>天荒湖重要渔业水域</w:t>
            </w:r>
          </w:p>
        </w:tc>
        <w:tc>
          <w:tcPr>
            <w:tcW w:w="992" w:type="dxa"/>
            <w:vAlign w:val="center"/>
          </w:tcPr>
          <w:p w14:paraId="5F766F0E">
            <w:pPr>
              <w:spacing w:line="360" w:lineRule="exact"/>
              <w:jc w:val="center"/>
              <w:rPr>
                <w:rFonts w:ascii="Times New Roman" w:eastAsia="仿宋"/>
                <w:szCs w:val="21"/>
              </w:rPr>
            </w:pPr>
            <w:r>
              <w:rPr>
                <w:rFonts w:ascii="Times New Roman" w:eastAsia="仿宋"/>
                <w:szCs w:val="21"/>
              </w:rPr>
              <w:t>渔业资源保护</w:t>
            </w:r>
          </w:p>
        </w:tc>
        <w:tc>
          <w:tcPr>
            <w:tcW w:w="2977" w:type="dxa"/>
            <w:vAlign w:val="center"/>
          </w:tcPr>
          <w:p w14:paraId="4E287908">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37500BD6">
            <w:pPr>
              <w:spacing w:line="360" w:lineRule="exact"/>
              <w:jc w:val="center"/>
              <w:rPr>
                <w:rFonts w:ascii="Times New Roman" w:eastAsia="仿宋"/>
                <w:szCs w:val="21"/>
              </w:rPr>
            </w:pPr>
            <w:r>
              <w:rPr>
                <w:rFonts w:ascii="Times New Roman" w:eastAsia="仿宋"/>
                <w:szCs w:val="21"/>
              </w:rPr>
              <w:t>中天荒、北天荒、养殖场、东至北于、西至建昌村、南至茅山河一线范围，包括南天荒全部水面区域</w:t>
            </w:r>
          </w:p>
        </w:tc>
      </w:tr>
      <w:tr w14:paraId="1BCC61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36DC220F">
            <w:pPr>
              <w:spacing w:line="360" w:lineRule="exact"/>
              <w:jc w:val="center"/>
              <w:rPr>
                <w:rFonts w:ascii="Times New Roman" w:eastAsia="仿宋"/>
                <w:szCs w:val="21"/>
              </w:rPr>
            </w:pPr>
          </w:p>
        </w:tc>
        <w:tc>
          <w:tcPr>
            <w:tcW w:w="1553" w:type="dxa"/>
            <w:vAlign w:val="center"/>
          </w:tcPr>
          <w:p w14:paraId="2139CA53">
            <w:pPr>
              <w:spacing w:line="360" w:lineRule="exact"/>
              <w:jc w:val="center"/>
              <w:rPr>
                <w:rFonts w:ascii="Times New Roman" w:eastAsia="仿宋"/>
                <w:szCs w:val="21"/>
              </w:rPr>
            </w:pPr>
            <w:r>
              <w:rPr>
                <w:rFonts w:ascii="Times New Roman" w:eastAsia="仿宋"/>
                <w:szCs w:val="21"/>
              </w:rPr>
              <w:t>向阳水库水源涵养区</w:t>
            </w:r>
          </w:p>
        </w:tc>
        <w:tc>
          <w:tcPr>
            <w:tcW w:w="992" w:type="dxa"/>
            <w:vAlign w:val="center"/>
          </w:tcPr>
          <w:p w14:paraId="5BEE8EC1">
            <w:pPr>
              <w:spacing w:line="360" w:lineRule="exact"/>
              <w:jc w:val="center"/>
              <w:rPr>
                <w:rFonts w:ascii="Times New Roman" w:eastAsia="仿宋"/>
                <w:szCs w:val="21"/>
              </w:rPr>
            </w:pPr>
            <w:r>
              <w:rPr>
                <w:rFonts w:ascii="Times New Roman" w:eastAsia="仿宋"/>
                <w:szCs w:val="21"/>
              </w:rPr>
              <w:t>水源涵养</w:t>
            </w:r>
          </w:p>
        </w:tc>
        <w:tc>
          <w:tcPr>
            <w:tcW w:w="2977" w:type="dxa"/>
            <w:vAlign w:val="center"/>
          </w:tcPr>
          <w:p w14:paraId="787C9E99">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7864C896">
            <w:pPr>
              <w:spacing w:line="360" w:lineRule="exact"/>
              <w:jc w:val="center"/>
              <w:rPr>
                <w:rFonts w:ascii="Times New Roman" w:eastAsia="仿宋"/>
                <w:szCs w:val="21"/>
              </w:rPr>
            </w:pPr>
            <w:r>
              <w:rPr>
                <w:rFonts w:ascii="Times New Roman" w:eastAsia="仿宋"/>
                <w:szCs w:val="21"/>
              </w:rPr>
              <w:t>东以扬溧高速公路为界（除罗村集镇），南以市界为界，西以市界为界，北以X304县道、方山（金坛）森林公园为界，包括向阳水库湖面区域</w:t>
            </w:r>
          </w:p>
        </w:tc>
      </w:tr>
      <w:tr w14:paraId="7AB9FA0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2843A20A">
            <w:pPr>
              <w:spacing w:line="360" w:lineRule="exact"/>
              <w:jc w:val="center"/>
              <w:rPr>
                <w:rFonts w:ascii="Times New Roman" w:eastAsia="仿宋"/>
                <w:szCs w:val="21"/>
              </w:rPr>
            </w:pPr>
          </w:p>
        </w:tc>
        <w:tc>
          <w:tcPr>
            <w:tcW w:w="1553" w:type="dxa"/>
            <w:vAlign w:val="center"/>
          </w:tcPr>
          <w:p w14:paraId="42DFA5A3">
            <w:pPr>
              <w:spacing w:line="360" w:lineRule="exact"/>
              <w:jc w:val="center"/>
              <w:rPr>
                <w:rFonts w:ascii="Times New Roman" w:eastAsia="仿宋"/>
                <w:szCs w:val="21"/>
              </w:rPr>
            </w:pPr>
            <w:r>
              <w:rPr>
                <w:rFonts w:ascii="Times New Roman" w:eastAsia="仿宋"/>
                <w:szCs w:val="21"/>
              </w:rPr>
              <w:t>长荡湖重要渔业水域</w:t>
            </w:r>
          </w:p>
        </w:tc>
        <w:tc>
          <w:tcPr>
            <w:tcW w:w="992" w:type="dxa"/>
            <w:vAlign w:val="center"/>
          </w:tcPr>
          <w:p w14:paraId="03C98C6D">
            <w:pPr>
              <w:spacing w:line="360" w:lineRule="exact"/>
              <w:jc w:val="center"/>
              <w:rPr>
                <w:rFonts w:ascii="Times New Roman" w:eastAsia="仿宋"/>
                <w:szCs w:val="21"/>
              </w:rPr>
            </w:pPr>
            <w:r>
              <w:rPr>
                <w:rFonts w:ascii="Times New Roman" w:eastAsia="仿宋"/>
                <w:szCs w:val="21"/>
              </w:rPr>
              <w:t>渔业资源保护</w:t>
            </w:r>
          </w:p>
        </w:tc>
        <w:tc>
          <w:tcPr>
            <w:tcW w:w="2977" w:type="dxa"/>
            <w:vAlign w:val="center"/>
          </w:tcPr>
          <w:p w14:paraId="625F49BE">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4046A299">
            <w:pPr>
              <w:spacing w:line="360" w:lineRule="exact"/>
              <w:jc w:val="center"/>
              <w:rPr>
                <w:rFonts w:ascii="Times New Roman" w:eastAsia="仿宋"/>
                <w:szCs w:val="21"/>
              </w:rPr>
            </w:pPr>
            <w:r>
              <w:rPr>
                <w:rFonts w:ascii="Times New Roman" w:eastAsia="仿宋"/>
                <w:szCs w:val="21"/>
              </w:rPr>
              <w:t>东接儒林镇，西依指前镇，南濒溧阳市，北临金城镇和尧塘街道</w:t>
            </w:r>
          </w:p>
        </w:tc>
      </w:tr>
      <w:tr w14:paraId="270581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756B3842">
            <w:pPr>
              <w:spacing w:line="360" w:lineRule="exact"/>
              <w:jc w:val="center"/>
              <w:rPr>
                <w:rFonts w:ascii="Times New Roman" w:eastAsia="仿宋"/>
                <w:szCs w:val="21"/>
              </w:rPr>
            </w:pPr>
          </w:p>
        </w:tc>
        <w:tc>
          <w:tcPr>
            <w:tcW w:w="1553" w:type="dxa"/>
            <w:vAlign w:val="center"/>
          </w:tcPr>
          <w:p w14:paraId="17A32938">
            <w:pPr>
              <w:spacing w:line="360" w:lineRule="exact"/>
              <w:jc w:val="center"/>
              <w:rPr>
                <w:rFonts w:ascii="Times New Roman" w:eastAsia="仿宋"/>
                <w:szCs w:val="21"/>
              </w:rPr>
            </w:pPr>
            <w:r>
              <w:rPr>
                <w:rFonts w:ascii="Times New Roman" w:eastAsia="仿宋"/>
                <w:szCs w:val="21"/>
              </w:rPr>
              <w:t>长荡湖国家级水产种质资源保护区</w:t>
            </w:r>
          </w:p>
        </w:tc>
        <w:tc>
          <w:tcPr>
            <w:tcW w:w="992" w:type="dxa"/>
            <w:vAlign w:val="center"/>
          </w:tcPr>
          <w:p w14:paraId="78A258DB">
            <w:pPr>
              <w:spacing w:line="360" w:lineRule="exact"/>
              <w:jc w:val="center"/>
              <w:rPr>
                <w:rFonts w:ascii="Times New Roman" w:eastAsia="仿宋"/>
                <w:szCs w:val="21"/>
              </w:rPr>
            </w:pPr>
            <w:r>
              <w:rPr>
                <w:rFonts w:ascii="Times New Roman" w:eastAsia="仿宋"/>
                <w:szCs w:val="21"/>
              </w:rPr>
              <w:t>渔业资源保护</w:t>
            </w:r>
          </w:p>
        </w:tc>
        <w:tc>
          <w:tcPr>
            <w:tcW w:w="2977" w:type="dxa"/>
            <w:vAlign w:val="center"/>
          </w:tcPr>
          <w:p w14:paraId="6C15DB41">
            <w:pPr>
              <w:spacing w:line="360" w:lineRule="exact"/>
              <w:jc w:val="center"/>
              <w:rPr>
                <w:rFonts w:ascii="Times New Roman" w:eastAsia="仿宋"/>
                <w:szCs w:val="21"/>
              </w:rPr>
            </w:pPr>
            <w:r>
              <w:rPr>
                <w:rFonts w:ascii="Times New Roman" w:eastAsia="仿宋"/>
                <w:szCs w:val="21"/>
              </w:rPr>
              <w:t>水产种质资源保护区的核心区，核心区拐点坐标分别为（119°32′39"E，31°38' 06"N；119°34′03"E，31°37′26"N；119°32′00"E，31°935'17"N；119°31'11"E，31°35′31"N）</w:t>
            </w:r>
          </w:p>
        </w:tc>
        <w:tc>
          <w:tcPr>
            <w:tcW w:w="3118" w:type="dxa"/>
            <w:vAlign w:val="center"/>
          </w:tcPr>
          <w:p w14:paraId="07EAEA60">
            <w:pPr>
              <w:spacing w:line="360" w:lineRule="exact"/>
              <w:jc w:val="center"/>
              <w:rPr>
                <w:rFonts w:ascii="Times New Roman" w:eastAsia="仿宋"/>
                <w:szCs w:val="21"/>
              </w:rPr>
            </w:pPr>
            <w:r>
              <w:rPr>
                <w:rFonts w:ascii="Times New Roman" w:eastAsia="仿宋"/>
                <w:szCs w:val="21"/>
              </w:rPr>
              <w:t>水产种质资源保护区范围</w:t>
            </w:r>
          </w:p>
        </w:tc>
      </w:tr>
      <w:tr w14:paraId="42F2BA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72B2A5D5">
            <w:pPr>
              <w:spacing w:line="360" w:lineRule="exact"/>
              <w:jc w:val="center"/>
              <w:rPr>
                <w:rFonts w:ascii="Times New Roman" w:eastAsia="仿宋"/>
                <w:szCs w:val="21"/>
              </w:rPr>
            </w:pPr>
          </w:p>
        </w:tc>
        <w:tc>
          <w:tcPr>
            <w:tcW w:w="1553" w:type="dxa"/>
            <w:vAlign w:val="center"/>
          </w:tcPr>
          <w:p w14:paraId="2E8A3E24">
            <w:pPr>
              <w:spacing w:line="360" w:lineRule="exact"/>
              <w:jc w:val="center"/>
              <w:rPr>
                <w:rFonts w:ascii="Times New Roman" w:eastAsia="仿宋"/>
                <w:szCs w:val="21"/>
              </w:rPr>
            </w:pPr>
            <w:r>
              <w:rPr>
                <w:rFonts w:ascii="Times New Roman" w:eastAsia="仿宋"/>
                <w:szCs w:val="21"/>
              </w:rPr>
              <w:t>长荡湖（金坛区）重要湿地</w:t>
            </w:r>
          </w:p>
        </w:tc>
        <w:tc>
          <w:tcPr>
            <w:tcW w:w="992" w:type="dxa"/>
            <w:vAlign w:val="center"/>
          </w:tcPr>
          <w:p w14:paraId="73C35D6A">
            <w:pPr>
              <w:spacing w:line="360" w:lineRule="exact"/>
              <w:jc w:val="center"/>
              <w:rPr>
                <w:rFonts w:ascii="Times New Roman" w:eastAsia="仿宋"/>
                <w:szCs w:val="21"/>
              </w:rPr>
            </w:pPr>
            <w:r>
              <w:rPr>
                <w:rFonts w:ascii="Times New Roman" w:eastAsia="仿宋"/>
                <w:szCs w:val="21"/>
              </w:rPr>
              <w:t>湿地生态系统保护</w:t>
            </w:r>
          </w:p>
        </w:tc>
        <w:tc>
          <w:tcPr>
            <w:tcW w:w="2977" w:type="dxa"/>
            <w:vAlign w:val="center"/>
          </w:tcPr>
          <w:p w14:paraId="3F5A557B">
            <w:pPr>
              <w:spacing w:line="360" w:lineRule="exact"/>
              <w:jc w:val="center"/>
              <w:rPr>
                <w:rFonts w:ascii="Times New Roman" w:eastAsia="仿宋"/>
                <w:szCs w:val="21"/>
              </w:rPr>
            </w:pPr>
            <w:r>
              <w:rPr>
                <w:rFonts w:ascii="Times New Roman" w:eastAsia="仿宋"/>
                <w:szCs w:val="21"/>
              </w:rPr>
              <w:t>长荡湖湖体水域</w:t>
            </w:r>
          </w:p>
        </w:tc>
        <w:tc>
          <w:tcPr>
            <w:tcW w:w="3118" w:type="dxa"/>
            <w:vAlign w:val="center"/>
          </w:tcPr>
          <w:p w14:paraId="65CD7406">
            <w:pPr>
              <w:spacing w:line="360" w:lineRule="exact"/>
              <w:jc w:val="center"/>
              <w:rPr>
                <w:rFonts w:ascii="Times New Roman" w:eastAsia="仿宋"/>
                <w:szCs w:val="21"/>
              </w:rPr>
            </w:pPr>
            <w:r>
              <w:rPr>
                <w:rFonts w:ascii="Times New Roman" w:eastAsia="仿宋"/>
                <w:szCs w:val="21"/>
              </w:rPr>
              <w:t>/</w:t>
            </w:r>
          </w:p>
        </w:tc>
      </w:tr>
      <w:tr w14:paraId="0F20209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3AEDD17C">
            <w:pPr>
              <w:spacing w:line="360" w:lineRule="exact"/>
              <w:jc w:val="center"/>
              <w:rPr>
                <w:rFonts w:ascii="Times New Roman" w:eastAsia="仿宋"/>
                <w:szCs w:val="21"/>
              </w:rPr>
            </w:pPr>
          </w:p>
        </w:tc>
        <w:tc>
          <w:tcPr>
            <w:tcW w:w="1553" w:type="dxa"/>
            <w:vAlign w:val="center"/>
          </w:tcPr>
          <w:p w14:paraId="21723517">
            <w:pPr>
              <w:spacing w:line="360" w:lineRule="exact"/>
              <w:jc w:val="center"/>
              <w:rPr>
                <w:rFonts w:ascii="Times New Roman" w:eastAsia="仿宋"/>
                <w:szCs w:val="21"/>
              </w:rPr>
            </w:pPr>
            <w:r>
              <w:rPr>
                <w:rFonts w:ascii="Times New Roman" w:eastAsia="仿宋"/>
                <w:szCs w:val="21"/>
              </w:rPr>
              <w:t>钱资荡重要湿地</w:t>
            </w:r>
          </w:p>
        </w:tc>
        <w:tc>
          <w:tcPr>
            <w:tcW w:w="992" w:type="dxa"/>
            <w:vAlign w:val="center"/>
          </w:tcPr>
          <w:p w14:paraId="145CC2EB">
            <w:pPr>
              <w:spacing w:line="360" w:lineRule="exact"/>
              <w:jc w:val="center"/>
              <w:rPr>
                <w:rFonts w:ascii="Times New Roman" w:eastAsia="仿宋"/>
                <w:szCs w:val="21"/>
              </w:rPr>
            </w:pPr>
            <w:r>
              <w:rPr>
                <w:rFonts w:ascii="Times New Roman" w:eastAsia="仿宋"/>
                <w:szCs w:val="21"/>
              </w:rPr>
              <w:t>湿地生态系统保护</w:t>
            </w:r>
          </w:p>
        </w:tc>
        <w:tc>
          <w:tcPr>
            <w:tcW w:w="2977" w:type="dxa"/>
            <w:vAlign w:val="center"/>
          </w:tcPr>
          <w:p w14:paraId="652B56DA">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0CEC6083">
            <w:pPr>
              <w:spacing w:line="360" w:lineRule="exact"/>
              <w:jc w:val="center"/>
              <w:rPr>
                <w:rFonts w:ascii="Times New Roman" w:eastAsia="仿宋"/>
                <w:szCs w:val="21"/>
              </w:rPr>
            </w:pPr>
            <w:r>
              <w:rPr>
                <w:rFonts w:ascii="Times New Roman" w:eastAsia="仿宋"/>
                <w:szCs w:val="21"/>
              </w:rPr>
              <w:t>钱资荡湖面区域</w:t>
            </w:r>
          </w:p>
        </w:tc>
      </w:tr>
      <w:tr w14:paraId="724927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2E4775AD">
            <w:pPr>
              <w:spacing w:line="360" w:lineRule="exact"/>
              <w:jc w:val="center"/>
              <w:rPr>
                <w:rFonts w:ascii="Times New Roman" w:eastAsia="仿宋"/>
                <w:szCs w:val="21"/>
              </w:rPr>
            </w:pPr>
          </w:p>
        </w:tc>
        <w:tc>
          <w:tcPr>
            <w:tcW w:w="1553" w:type="dxa"/>
            <w:vAlign w:val="center"/>
          </w:tcPr>
          <w:p w14:paraId="0F8B8B41">
            <w:pPr>
              <w:spacing w:line="360" w:lineRule="exact"/>
              <w:jc w:val="center"/>
              <w:rPr>
                <w:rFonts w:ascii="Times New Roman" w:eastAsia="仿宋"/>
                <w:szCs w:val="21"/>
              </w:rPr>
            </w:pPr>
            <w:r>
              <w:rPr>
                <w:rFonts w:ascii="Times New Roman" w:eastAsia="仿宋"/>
                <w:szCs w:val="21"/>
              </w:rPr>
              <w:t>四棚洼生态公益林</w:t>
            </w:r>
          </w:p>
        </w:tc>
        <w:tc>
          <w:tcPr>
            <w:tcW w:w="992" w:type="dxa"/>
            <w:vAlign w:val="center"/>
          </w:tcPr>
          <w:p w14:paraId="340E730E">
            <w:pPr>
              <w:spacing w:line="360" w:lineRule="exact"/>
              <w:jc w:val="center"/>
              <w:rPr>
                <w:rFonts w:ascii="Times New Roman" w:eastAsia="仿宋"/>
                <w:szCs w:val="21"/>
              </w:rPr>
            </w:pPr>
            <w:r>
              <w:rPr>
                <w:rFonts w:ascii="Times New Roman" w:eastAsia="仿宋"/>
                <w:szCs w:val="21"/>
              </w:rPr>
              <w:t>水土保持</w:t>
            </w:r>
          </w:p>
        </w:tc>
        <w:tc>
          <w:tcPr>
            <w:tcW w:w="2977" w:type="dxa"/>
            <w:vAlign w:val="center"/>
          </w:tcPr>
          <w:p w14:paraId="52D7396A">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3E4E03B2">
            <w:pPr>
              <w:spacing w:line="360" w:lineRule="exact"/>
              <w:jc w:val="center"/>
              <w:rPr>
                <w:rFonts w:ascii="Times New Roman" w:eastAsia="仿宋"/>
                <w:szCs w:val="21"/>
              </w:rPr>
            </w:pPr>
            <w:r>
              <w:rPr>
                <w:rFonts w:ascii="Times New Roman" w:eastAsia="仿宋"/>
                <w:szCs w:val="21"/>
              </w:rPr>
              <w:t>地处茅山东麓</w:t>
            </w:r>
          </w:p>
        </w:tc>
      </w:tr>
      <w:tr w14:paraId="54F0B3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6D79E4EE">
            <w:pPr>
              <w:spacing w:line="360" w:lineRule="exact"/>
              <w:jc w:val="center"/>
              <w:rPr>
                <w:rFonts w:ascii="Times New Roman" w:eastAsia="仿宋"/>
                <w:szCs w:val="21"/>
              </w:rPr>
            </w:pPr>
          </w:p>
        </w:tc>
        <w:tc>
          <w:tcPr>
            <w:tcW w:w="1553" w:type="dxa"/>
            <w:vAlign w:val="center"/>
          </w:tcPr>
          <w:p w14:paraId="10E19845">
            <w:pPr>
              <w:spacing w:line="360" w:lineRule="exact"/>
              <w:jc w:val="center"/>
              <w:rPr>
                <w:rFonts w:ascii="Times New Roman" w:eastAsia="仿宋"/>
                <w:szCs w:val="21"/>
              </w:rPr>
            </w:pPr>
            <w:r>
              <w:rPr>
                <w:rFonts w:ascii="Times New Roman" w:eastAsia="仿宋"/>
                <w:szCs w:val="21"/>
              </w:rPr>
              <w:t>方山（金坛区）森林公园</w:t>
            </w:r>
          </w:p>
        </w:tc>
        <w:tc>
          <w:tcPr>
            <w:tcW w:w="992" w:type="dxa"/>
            <w:vAlign w:val="center"/>
          </w:tcPr>
          <w:p w14:paraId="7ADC19D4">
            <w:pPr>
              <w:spacing w:line="360" w:lineRule="exact"/>
              <w:jc w:val="center"/>
              <w:rPr>
                <w:rFonts w:ascii="Times New Roman" w:eastAsia="仿宋"/>
                <w:szCs w:val="21"/>
              </w:rPr>
            </w:pPr>
            <w:r>
              <w:rPr>
                <w:rFonts w:ascii="Times New Roman" w:eastAsia="仿宋"/>
                <w:szCs w:val="21"/>
              </w:rPr>
              <w:t>自然与人文景观保护</w:t>
            </w:r>
          </w:p>
        </w:tc>
        <w:tc>
          <w:tcPr>
            <w:tcW w:w="2977" w:type="dxa"/>
            <w:vAlign w:val="center"/>
          </w:tcPr>
          <w:p w14:paraId="3D634F71">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420B3E02">
            <w:pPr>
              <w:spacing w:line="360" w:lineRule="exact"/>
              <w:jc w:val="center"/>
              <w:rPr>
                <w:rFonts w:ascii="Times New Roman" w:eastAsia="仿宋"/>
                <w:szCs w:val="21"/>
              </w:rPr>
            </w:pPr>
            <w:r>
              <w:rPr>
                <w:rFonts w:ascii="Times New Roman" w:eastAsia="仿宋"/>
                <w:szCs w:val="21"/>
              </w:rPr>
              <w:t>方山森林公园范围，以方山为主体:西至市界，北至常溧公路，东至顺水桥、中竹棵、唐家棚、种猪场和方麓茶场一线，南至唐王到竹箦矿公路和市界</w:t>
            </w:r>
          </w:p>
        </w:tc>
      </w:tr>
      <w:tr w14:paraId="380BB6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2B392946">
            <w:pPr>
              <w:spacing w:line="360" w:lineRule="exact"/>
              <w:jc w:val="center"/>
              <w:rPr>
                <w:rFonts w:ascii="Times New Roman" w:eastAsia="仿宋"/>
                <w:szCs w:val="21"/>
              </w:rPr>
            </w:pPr>
          </w:p>
        </w:tc>
        <w:tc>
          <w:tcPr>
            <w:tcW w:w="1553" w:type="dxa"/>
            <w:vAlign w:val="center"/>
          </w:tcPr>
          <w:p w14:paraId="75AB003F">
            <w:pPr>
              <w:spacing w:line="360" w:lineRule="exact"/>
              <w:jc w:val="center"/>
              <w:rPr>
                <w:rFonts w:ascii="Times New Roman" w:eastAsia="仿宋"/>
                <w:szCs w:val="21"/>
              </w:rPr>
            </w:pPr>
            <w:r>
              <w:rPr>
                <w:rFonts w:ascii="Times New Roman" w:eastAsia="仿宋"/>
                <w:szCs w:val="21"/>
              </w:rPr>
              <w:t>金坛长荡湖国家湿地公园（试点）</w:t>
            </w:r>
          </w:p>
        </w:tc>
        <w:tc>
          <w:tcPr>
            <w:tcW w:w="992" w:type="dxa"/>
            <w:vAlign w:val="center"/>
          </w:tcPr>
          <w:p w14:paraId="632C9569">
            <w:pPr>
              <w:spacing w:line="360" w:lineRule="exact"/>
              <w:jc w:val="center"/>
              <w:rPr>
                <w:rFonts w:ascii="Times New Roman" w:eastAsia="仿宋"/>
                <w:szCs w:val="21"/>
              </w:rPr>
            </w:pPr>
            <w:r>
              <w:rPr>
                <w:rFonts w:ascii="Times New Roman" w:eastAsia="仿宋"/>
                <w:szCs w:val="21"/>
              </w:rPr>
              <w:t>湿地生态系统保护</w:t>
            </w:r>
          </w:p>
        </w:tc>
        <w:tc>
          <w:tcPr>
            <w:tcW w:w="2977" w:type="dxa"/>
            <w:vAlign w:val="center"/>
          </w:tcPr>
          <w:p w14:paraId="10D5FA7B">
            <w:pPr>
              <w:spacing w:line="360" w:lineRule="exact"/>
              <w:jc w:val="center"/>
              <w:rPr>
                <w:rFonts w:ascii="Times New Roman" w:eastAsia="仿宋"/>
                <w:szCs w:val="21"/>
              </w:rPr>
            </w:pPr>
            <w:r>
              <w:rPr>
                <w:rFonts w:ascii="Times New Roman" w:eastAsia="仿宋"/>
                <w:szCs w:val="21"/>
              </w:rPr>
              <w:t>金坛长荡湖国家湿地公园（试点）总体规划中确定的范围（包括湿地保育区和恢有重建区等）</w:t>
            </w:r>
          </w:p>
        </w:tc>
        <w:tc>
          <w:tcPr>
            <w:tcW w:w="3118" w:type="dxa"/>
            <w:vAlign w:val="center"/>
          </w:tcPr>
          <w:p w14:paraId="111F0C5B">
            <w:pPr>
              <w:spacing w:line="360" w:lineRule="exact"/>
              <w:jc w:val="center"/>
              <w:rPr>
                <w:rFonts w:ascii="Times New Roman" w:eastAsia="仿宋"/>
                <w:szCs w:val="21"/>
              </w:rPr>
            </w:pPr>
            <w:r>
              <w:rPr>
                <w:rFonts w:ascii="Times New Roman" w:eastAsia="仿宋"/>
                <w:szCs w:val="21"/>
              </w:rPr>
              <w:t>/</w:t>
            </w:r>
          </w:p>
        </w:tc>
      </w:tr>
      <w:tr w14:paraId="4AF4A9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361D856F">
            <w:pPr>
              <w:spacing w:line="360" w:lineRule="exact"/>
              <w:jc w:val="center"/>
              <w:rPr>
                <w:rFonts w:ascii="Times New Roman" w:eastAsia="仿宋"/>
                <w:szCs w:val="21"/>
              </w:rPr>
            </w:pPr>
          </w:p>
        </w:tc>
        <w:tc>
          <w:tcPr>
            <w:tcW w:w="1553" w:type="dxa"/>
            <w:vAlign w:val="center"/>
          </w:tcPr>
          <w:p w14:paraId="122E2E78">
            <w:pPr>
              <w:spacing w:line="360" w:lineRule="exact"/>
              <w:jc w:val="center"/>
              <w:rPr>
                <w:rFonts w:ascii="Times New Roman" w:eastAsia="仿宋"/>
                <w:szCs w:val="21"/>
              </w:rPr>
            </w:pPr>
            <w:r>
              <w:rPr>
                <w:rFonts w:ascii="Times New Roman" w:eastAsia="仿宋"/>
                <w:szCs w:val="21"/>
              </w:rPr>
              <w:t>茅东山地水源涵养区</w:t>
            </w:r>
          </w:p>
        </w:tc>
        <w:tc>
          <w:tcPr>
            <w:tcW w:w="992" w:type="dxa"/>
            <w:vAlign w:val="center"/>
          </w:tcPr>
          <w:p w14:paraId="1267C5CD">
            <w:pPr>
              <w:spacing w:line="360" w:lineRule="exact"/>
              <w:jc w:val="center"/>
              <w:rPr>
                <w:rFonts w:ascii="Times New Roman" w:eastAsia="仿宋"/>
                <w:szCs w:val="21"/>
              </w:rPr>
            </w:pPr>
            <w:r>
              <w:rPr>
                <w:rFonts w:ascii="Times New Roman" w:eastAsia="仿宋"/>
                <w:szCs w:val="21"/>
              </w:rPr>
              <w:t>水源涵养</w:t>
            </w:r>
          </w:p>
        </w:tc>
        <w:tc>
          <w:tcPr>
            <w:tcW w:w="2977" w:type="dxa"/>
            <w:vAlign w:val="center"/>
          </w:tcPr>
          <w:p w14:paraId="443CF56E">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666B93BA">
            <w:pPr>
              <w:spacing w:line="360" w:lineRule="exact"/>
              <w:jc w:val="center"/>
              <w:rPr>
                <w:rFonts w:ascii="Times New Roman" w:eastAsia="仿宋"/>
                <w:szCs w:val="21"/>
              </w:rPr>
            </w:pPr>
            <w:r>
              <w:rPr>
                <w:rFonts w:ascii="Times New Roman" w:eastAsia="仿宋"/>
                <w:szCs w:val="21"/>
              </w:rPr>
              <w:t>北至丹徒县界，东以海底水库坝址至乾元观公路和仙姑至南山门公路为界，再沿常溧公路南侧，南行包括茅东水库沿岸，西以市界为界</w:t>
            </w:r>
          </w:p>
        </w:tc>
      </w:tr>
      <w:tr w14:paraId="263F12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0D582D05">
            <w:pPr>
              <w:spacing w:line="360" w:lineRule="exact"/>
              <w:jc w:val="center"/>
              <w:rPr>
                <w:rFonts w:ascii="Times New Roman" w:eastAsia="仿宋"/>
                <w:szCs w:val="21"/>
              </w:rPr>
            </w:pPr>
          </w:p>
        </w:tc>
        <w:tc>
          <w:tcPr>
            <w:tcW w:w="1553" w:type="dxa"/>
            <w:vAlign w:val="center"/>
          </w:tcPr>
          <w:p w14:paraId="3502EEAD">
            <w:pPr>
              <w:spacing w:line="360" w:lineRule="exact"/>
              <w:jc w:val="center"/>
              <w:rPr>
                <w:rFonts w:ascii="Times New Roman" w:eastAsia="仿宋"/>
                <w:szCs w:val="21"/>
              </w:rPr>
            </w:pPr>
            <w:r>
              <w:rPr>
                <w:rFonts w:ascii="Times New Roman" w:eastAsia="仿宋"/>
                <w:szCs w:val="21"/>
              </w:rPr>
              <w:t>茅东省级森林公园</w:t>
            </w:r>
          </w:p>
        </w:tc>
        <w:tc>
          <w:tcPr>
            <w:tcW w:w="992" w:type="dxa"/>
            <w:vAlign w:val="center"/>
          </w:tcPr>
          <w:p w14:paraId="4ACB9217">
            <w:pPr>
              <w:spacing w:line="360" w:lineRule="exact"/>
              <w:jc w:val="center"/>
              <w:rPr>
                <w:rFonts w:ascii="Times New Roman" w:eastAsia="仿宋"/>
                <w:szCs w:val="21"/>
              </w:rPr>
            </w:pPr>
            <w:r>
              <w:rPr>
                <w:rFonts w:ascii="Times New Roman" w:eastAsia="仿宋"/>
                <w:szCs w:val="21"/>
              </w:rPr>
              <w:t>自然与人文景观保护</w:t>
            </w:r>
          </w:p>
        </w:tc>
        <w:tc>
          <w:tcPr>
            <w:tcW w:w="2977" w:type="dxa"/>
            <w:vAlign w:val="center"/>
          </w:tcPr>
          <w:p w14:paraId="391FA41B">
            <w:pPr>
              <w:spacing w:line="360" w:lineRule="exact"/>
              <w:jc w:val="center"/>
              <w:rPr>
                <w:rFonts w:ascii="Times New Roman" w:eastAsia="仿宋"/>
                <w:szCs w:val="21"/>
              </w:rPr>
            </w:pPr>
            <w:r>
              <w:rPr>
                <w:rFonts w:ascii="Times New Roman" w:eastAsia="仿宋"/>
                <w:szCs w:val="21"/>
              </w:rPr>
              <w:t>茅东省级森林公园总体规划中确定的范围（包括生态保育区和核心景观区等）</w:t>
            </w:r>
          </w:p>
        </w:tc>
        <w:tc>
          <w:tcPr>
            <w:tcW w:w="3118" w:type="dxa"/>
            <w:vAlign w:val="center"/>
          </w:tcPr>
          <w:p w14:paraId="63AE469F">
            <w:pPr>
              <w:spacing w:line="360" w:lineRule="exact"/>
              <w:jc w:val="center"/>
              <w:rPr>
                <w:rFonts w:ascii="Times New Roman" w:eastAsia="仿宋"/>
                <w:szCs w:val="21"/>
              </w:rPr>
            </w:pPr>
            <w:r>
              <w:rPr>
                <w:rFonts w:ascii="Times New Roman" w:eastAsia="仿宋"/>
                <w:szCs w:val="21"/>
              </w:rPr>
              <w:t>/</w:t>
            </w:r>
          </w:p>
        </w:tc>
      </w:tr>
      <w:tr w14:paraId="48BB26F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2196222B">
            <w:pPr>
              <w:spacing w:line="360" w:lineRule="exact"/>
              <w:jc w:val="center"/>
              <w:rPr>
                <w:rFonts w:ascii="Times New Roman" w:eastAsia="仿宋"/>
                <w:szCs w:val="21"/>
              </w:rPr>
            </w:pPr>
          </w:p>
        </w:tc>
        <w:tc>
          <w:tcPr>
            <w:tcW w:w="1553" w:type="dxa"/>
            <w:vAlign w:val="center"/>
          </w:tcPr>
          <w:p w14:paraId="1ED29312">
            <w:pPr>
              <w:spacing w:line="360" w:lineRule="exact"/>
              <w:jc w:val="center"/>
              <w:rPr>
                <w:rFonts w:ascii="Times New Roman" w:eastAsia="仿宋"/>
                <w:szCs w:val="21"/>
              </w:rPr>
            </w:pPr>
            <w:r>
              <w:rPr>
                <w:rFonts w:ascii="Times New Roman" w:eastAsia="仿宋"/>
                <w:szCs w:val="21"/>
              </w:rPr>
              <w:t>丹金溧漕河（金坛区）洪水调蓄区</w:t>
            </w:r>
          </w:p>
        </w:tc>
        <w:tc>
          <w:tcPr>
            <w:tcW w:w="992" w:type="dxa"/>
            <w:vAlign w:val="center"/>
          </w:tcPr>
          <w:p w14:paraId="60151ACD">
            <w:pPr>
              <w:spacing w:line="360" w:lineRule="exact"/>
              <w:jc w:val="center"/>
              <w:rPr>
                <w:rFonts w:ascii="Times New Roman" w:eastAsia="仿宋"/>
                <w:szCs w:val="21"/>
              </w:rPr>
            </w:pPr>
            <w:r>
              <w:rPr>
                <w:rFonts w:ascii="Times New Roman" w:eastAsia="仿宋"/>
                <w:szCs w:val="21"/>
              </w:rPr>
              <w:t>洪水调蓄</w:t>
            </w:r>
          </w:p>
        </w:tc>
        <w:tc>
          <w:tcPr>
            <w:tcW w:w="2977" w:type="dxa"/>
            <w:vAlign w:val="center"/>
          </w:tcPr>
          <w:p w14:paraId="0F46735E">
            <w:pPr>
              <w:spacing w:line="360" w:lineRule="exact"/>
              <w:jc w:val="center"/>
              <w:rPr>
                <w:rFonts w:ascii="Times New Roman" w:eastAsia="仿宋"/>
                <w:szCs w:val="21"/>
              </w:rPr>
            </w:pPr>
            <w:r>
              <w:rPr>
                <w:rFonts w:ascii="Times New Roman" w:eastAsia="仿宋"/>
                <w:szCs w:val="21"/>
              </w:rPr>
              <w:t>/</w:t>
            </w:r>
          </w:p>
        </w:tc>
        <w:tc>
          <w:tcPr>
            <w:tcW w:w="3118" w:type="dxa"/>
            <w:vAlign w:val="center"/>
          </w:tcPr>
          <w:p w14:paraId="4DDD9FA3">
            <w:pPr>
              <w:spacing w:line="360" w:lineRule="exact"/>
              <w:jc w:val="center"/>
              <w:rPr>
                <w:rFonts w:ascii="Times New Roman" w:eastAsia="仿宋"/>
                <w:szCs w:val="21"/>
              </w:rPr>
            </w:pPr>
            <w:r>
              <w:rPr>
                <w:rFonts w:ascii="Times New Roman" w:eastAsia="仿宋"/>
                <w:szCs w:val="21"/>
              </w:rPr>
              <w:t>新、老丹金溧漕河（除老丹金溧漕河市区段）两岸河堤之间的范围</w:t>
            </w:r>
          </w:p>
        </w:tc>
      </w:tr>
      <w:tr w14:paraId="6D1E94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71" w:type="dxa"/>
            <w:vMerge w:val="continue"/>
            <w:vAlign w:val="center"/>
          </w:tcPr>
          <w:p w14:paraId="224C34B3">
            <w:pPr>
              <w:spacing w:line="360" w:lineRule="exact"/>
              <w:jc w:val="center"/>
              <w:rPr>
                <w:rFonts w:ascii="Times New Roman" w:eastAsia="仿宋"/>
                <w:szCs w:val="21"/>
              </w:rPr>
            </w:pPr>
          </w:p>
        </w:tc>
        <w:tc>
          <w:tcPr>
            <w:tcW w:w="1553" w:type="dxa"/>
            <w:vAlign w:val="center"/>
          </w:tcPr>
          <w:p w14:paraId="1306098D">
            <w:pPr>
              <w:spacing w:line="360" w:lineRule="exact"/>
              <w:jc w:val="center"/>
              <w:rPr>
                <w:rFonts w:ascii="Times New Roman" w:eastAsia="仿宋"/>
                <w:szCs w:val="21"/>
              </w:rPr>
            </w:pPr>
            <w:r>
              <w:rPr>
                <w:rFonts w:ascii="Times New Roman" w:eastAsia="仿宋"/>
                <w:szCs w:val="21"/>
              </w:rPr>
              <w:t>茅山省级风景名胜区（金坛区）</w:t>
            </w:r>
          </w:p>
        </w:tc>
        <w:tc>
          <w:tcPr>
            <w:tcW w:w="992" w:type="dxa"/>
            <w:vAlign w:val="center"/>
          </w:tcPr>
          <w:p w14:paraId="1E7A90B7">
            <w:pPr>
              <w:spacing w:line="360" w:lineRule="exact"/>
              <w:jc w:val="center"/>
              <w:rPr>
                <w:rFonts w:ascii="Times New Roman" w:eastAsia="仿宋"/>
                <w:szCs w:val="21"/>
              </w:rPr>
            </w:pPr>
            <w:r>
              <w:rPr>
                <w:rFonts w:ascii="Times New Roman" w:eastAsia="仿宋"/>
                <w:szCs w:val="21"/>
              </w:rPr>
              <w:t>自然与人文景观保护</w:t>
            </w:r>
          </w:p>
        </w:tc>
        <w:tc>
          <w:tcPr>
            <w:tcW w:w="2977" w:type="dxa"/>
            <w:vAlign w:val="center"/>
          </w:tcPr>
          <w:p w14:paraId="1C5D87D0">
            <w:pPr>
              <w:spacing w:line="360" w:lineRule="exact"/>
              <w:jc w:val="center"/>
              <w:rPr>
                <w:rFonts w:ascii="Times New Roman" w:eastAsia="仿宋"/>
                <w:szCs w:val="21"/>
              </w:rPr>
            </w:pPr>
            <w:r>
              <w:rPr>
                <w:rFonts w:ascii="Times New Roman" w:eastAsia="仿宋"/>
                <w:szCs w:val="21"/>
              </w:rPr>
              <w:t>茅山省级风景名胜区总体规划中的确定的范围（包括核心景区等）</w:t>
            </w:r>
          </w:p>
        </w:tc>
        <w:tc>
          <w:tcPr>
            <w:tcW w:w="3118" w:type="dxa"/>
            <w:vAlign w:val="center"/>
          </w:tcPr>
          <w:p w14:paraId="11F15DBA">
            <w:pPr>
              <w:spacing w:line="360" w:lineRule="exact"/>
              <w:jc w:val="center"/>
              <w:rPr>
                <w:rFonts w:ascii="Times New Roman" w:eastAsia="仿宋"/>
                <w:szCs w:val="21"/>
              </w:rPr>
            </w:pPr>
            <w:r>
              <w:rPr>
                <w:rFonts w:ascii="Times New Roman" w:eastAsia="仿宋"/>
                <w:szCs w:val="21"/>
              </w:rPr>
              <w:t>/</w:t>
            </w:r>
          </w:p>
        </w:tc>
      </w:tr>
    </w:tbl>
    <w:p w14:paraId="286E03F7">
      <w:pPr>
        <w:spacing w:line="500" w:lineRule="exact"/>
        <w:ind w:firstLine="560" w:firstLineChars="200"/>
        <w:rPr>
          <w:rFonts w:ascii="Times New Roman" w:eastAsia="仿宋"/>
          <w:sz w:val="28"/>
          <w:szCs w:val="28"/>
        </w:rPr>
      </w:pPr>
      <w:r>
        <w:rPr>
          <w:rFonts w:ascii="Times New Roman" w:eastAsia="仿宋"/>
          <w:sz w:val="28"/>
          <w:szCs w:val="28"/>
        </w:rPr>
        <w:t>本项目距离最近的红线区域为天荒湖重要渔业水域，直线距离约9.3km，</w:t>
      </w:r>
      <w:bookmarkStart w:id="163" w:name="_Hlk86995120"/>
      <w:r>
        <w:rPr>
          <w:rFonts w:ascii="Times New Roman" w:eastAsia="仿宋"/>
          <w:b/>
          <w:bCs/>
          <w:sz w:val="28"/>
          <w:szCs w:val="28"/>
        </w:rPr>
        <w:t>常州市生态空间管控区域分布图见图2.6-1</w:t>
      </w:r>
      <w:bookmarkEnd w:id="163"/>
      <w:r>
        <w:rPr>
          <w:rFonts w:ascii="Times New Roman" w:eastAsia="仿宋"/>
          <w:b/>
          <w:bCs/>
          <w:sz w:val="28"/>
          <w:szCs w:val="28"/>
        </w:rPr>
        <w:t>，常州市“三线一单”生态环境分区管控图见图2.6-2</w:t>
      </w:r>
      <w:r>
        <w:rPr>
          <w:rFonts w:hint="eastAsia" w:ascii="Times New Roman" w:eastAsia="仿宋"/>
          <w:b/>
          <w:bCs/>
          <w:sz w:val="28"/>
          <w:szCs w:val="28"/>
        </w:rPr>
        <w:t>。</w:t>
      </w:r>
    </w:p>
    <w:p w14:paraId="037E5ECB">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.6.2常州市国土空间总体规划</w:t>
      </w:r>
      <w:r>
        <w:rPr>
          <w:rFonts w:hint="eastAsia" w:ascii="Times New Roman" w:eastAsia="仿宋"/>
          <w:sz w:val="28"/>
          <w:szCs w:val="28"/>
        </w:rPr>
        <w:t>（202</w:t>
      </w:r>
      <w:r>
        <w:rPr>
          <w:rFonts w:ascii="Times New Roman" w:eastAsia="仿宋"/>
          <w:sz w:val="28"/>
          <w:szCs w:val="28"/>
        </w:rPr>
        <w:t>1</w:t>
      </w:r>
      <w:r>
        <w:rPr>
          <w:rFonts w:hint="eastAsia" w:ascii="Times New Roman" w:eastAsia="仿宋"/>
          <w:sz w:val="28"/>
          <w:szCs w:val="28"/>
        </w:rPr>
        <w:t>-2035年）</w:t>
      </w:r>
    </w:p>
    <w:p w14:paraId="12B4A7E6">
      <w:pPr>
        <w:spacing w:line="500" w:lineRule="exact"/>
        <w:ind w:firstLine="560" w:firstLineChars="200"/>
        <w:rPr>
          <w:rFonts w:ascii="Times New Roman" w:eastAsia="仿宋"/>
          <w:sz w:val="28"/>
          <w:szCs w:val="28"/>
        </w:rPr>
      </w:pPr>
      <w:r>
        <w:rPr>
          <w:rFonts w:ascii="Times New Roman" w:eastAsia="仿宋"/>
          <w:sz w:val="28"/>
          <w:szCs w:val="28"/>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616DA58D">
      <w:pPr>
        <w:spacing w:line="500" w:lineRule="exact"/>
        <w:ind w:firstLine="560" w:firstLineChars="200"/>
        <w:rPr>
          <w:rFonts w:ascii="Times New Roman" w:eastAsia="仿宋"/>
          <w:sz w:val="28"/>
          <w:szCs w:val="28"/>
        </w:rPr>
      </w:pPr>
      <w:r>
        <w:rPr>
          <w:rFonts w:hint="eastAsia" w:ascii="Times New Roman" w:eastAsia="仿宋"/>
          <w:sz w:val="28"/>
          <w:szCs w:val="28"/>
        </w:rPr>
        <w:t>（1）市域城镇空间结构</w:t>
      </w:r>
    </w:p>
    <w:p w14:paraId="767B3A78">
      <w:pPr>
        <w:spacing w:line="500" w:lineRule="exact"/>
        <w:ind w:firstLine="560" w:firstLineChars="200"/>
        <w:rPr>
          <w:rFonts w:ascii="Times New Roman" w:eastAsia="仿宋"/>
          <w:sz w:val="28"/>
          <w:szCs w:val="28"/>
        </w:rPr>
      </w:pPr>
      <w:r>
        <w:rPr>
          <w:rFonts w:ascii="Times New Roman" w:eastAsia="仿宋"/>
          <w:sz w:val="28"/>
          <w:szCs w:val="28"/>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70D63728">
      <w:pPr>
        <w:spacing w:line="500" w:lineRule="exact"/>
        <w:ind w:firstLine="560" w:firstLineChars="200"/>
        <w:rPr>
          <w:rFonts w:ascii="Times New Roman" w:eastAsia="仿宋"/>
          <w:sz w:val="28"/>
          <w:szCs w:val="28"/>
        </w:rPr>
      </w:pPr>
      <w:r>
        <w:rPr>
          <w:rFonts w:hint="eastAsia" w:ascii="Times New Roman" w:eastAsia="仿宋"/>
          <w:sz w:val="28"/>
          <w:szCs w:val="28"/>
        </w:rPr>
        <w:t>一极：</w:t>
      </w:r>
      <w:r>
        <w:rPr>
          <w:rFonts w:ascii="Times New Roman" w:eastAsia="仿宋"/>
          <w:sz w:val="28"/>
          <w:szCs w:val="28"/>
        </w:rPr>
        <w:t>溧阳发展极。打造长三角休闲康旅目的城市，宁杭科创资源外溢和京深沪先进制造产业拓展承载地，苏浙皖省际边界地区生态创新合作的示范城市。</w:t>
      </w:r>
    </w:p>
    <w:p w14:paraId="0E7762D0">
      <w:pPr>
        <w:spacing w:line="500" w:lineRule="exact"/>
        <w:ind w:firstLine="560" w:firstLineChars="200"/>
        <w:rPr>
          <w:rFonts w:ascii="Times New Roman" w:eastAsia="仿宋"/>
          <w:sz w:val="28"/>
          <w:szCs w:val="28"/>
        </w:rPr>
      </w:pPr>
      <w:r>
        <w:rPr>
          <w:rFonts w:hint="eastAsia" w:ascii="Times New Roman" w:eastAsia="仿宋"/>
          <w:sz w:val="28"/>
          <w:szCs w:val="28"/>
        </w:rPr>
        <w:t>三轴：</w:t>
      </w:r>
      <w:r>
        <w:rPr>
          <w:rFonts w:ascii="Times New Roman" w:eastAsia="仿宋"/>
          <w:sz w:val="28"/>
          <w:szCs w:val="28"/>
        </w:rPr>
        <w:t>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3939D0FC">
      <w:pPr>
        <w:spacing w:line="500" w:lineRule="exact"/>
        <w:ind w:firstLine="560" w:firstLineChars="200"/>
        <w:rPr>
          <w:rFonts w:ascii="Times New Roman" w:eastAsia="仿宋"/>
          <w:sz w:val="28"/>
          <w:szCs w:val="28"/>
        </w:rPr>
      </w:pPr>
      <w:r>
        <w:rPr>
          <w:rFonts w:hint="eastAsia" w:ascii="Times New Roman" w:eastAsia="仿宋"/>
          <w:sz w:val="28"/>
          <w:szCs w:val="28"/>
        </w:rPr>
        <w:t>（2）生态空间结构</w:t>
      </w:r>
    </w:p>
    <w:p w14:paraId="74CFA688">
      <w:pPr>
        <w:spacing w:line="500" w:lineRule="exact"/>
        <w:ind w:firstLine="560" w:firstLineChars="200"/>
        <w:rPr>
          <w:rFonts w:ascii="Times New Roman" w:eastAsia="仿宋"/>
          <w:sz w:val="28"/>
          <w:szCs w:val="28"/>
        </w:rPr>
      </w:pPr>
      <w:r>
        <w:rPr>
          <w:rFonts w:ascii="Times New Roman" w:eastAsia="仿宋"/>
          <w:sz w:val="28"/>
          <w:szCs w:val="28"/>
        </w:rPr>
        <w:t>构建“一江带三湖，九脉串城池，青山护绿城，河网绕圩田”的市域生态保护格局。</w:t>
      </w:r>
    </w:p>
    <w:p w14:paraId="162CF830">
      <w:pPr>
        <w:spacing w:line="500" w:lineRule="exact"/>
        <w:ind w:firstLine="560" w:firstLineChars="200"/>
        <w:rPr>
          <w:rFonts w:ascii="Times New Roman" w:eastAsia="仿宋"/>
          <w:sz w:val="28"/>
          <w:szCs w:val="28"/>
        </w:rPr>
      </w:pPr>
      <w:r>
        <w:rPr>
          <w:rFonts w:ascii="Times New Roman" w:eastAsia="仿宋"/>
          <w:sz w:val="28"/>
          <w:szCs w:val="28"/>
        </w:rPr>
        <w:t>“一江带三湖”：长江、太湖、滆湖、长荡湖为主体的生态空间；</w:t>
      </w:r>
    </w:p>
    <w:p w14:paraId="05EE2D64">
      <w:pPr>
        <w:spacing w:line="500" w:lineRule="exact"/>
        <w:ind w:firstLine="560" w:firstLineChars="200"/>
        <w:rPr>
          <w:rFonts w:ascii="Times New Roman" w:eastAsia="仿宋"/>
          <w:sz w:val="28"/>
          <w:szCs w:val="28"/>
        </w:rPr>
      </w:pPr>
      <w:r>
        <w:rPr>
          <w:rFonts w:ascii="Times New Roman" w:eastAsia="仿宋"/>
          <w:sz w:val="28"/>
          <w:szCs w:val="28"/>
        </w:rPr>
        <w:t>“九脉”：“四横五纵”的九条生态廊道。包括京杭大运河（含京杭运河老线段、关河）、通济河-夏溪河-武南河、通济河-北干河-太滆运河、芜申运河-南河、丹金溧漕河、新孟河、德胜河-武宜运河、澡港河-东支河-横塘河-丁塘港-采菱港-永安河、新沟河等主要水系形成的生态廊道；“青山”：茅山、南山、小黄山、横山、竺山等山体为主体的</w:t>
      </w:r>
      <w:r>
        <w:rPr>
          <w:rFonts w:hint="eastAsia" w:ascii="Times New Roman" w:eastAsia="仿宋"/>
          <w:sz w:val="28"/>
          <w:szCs w:val="28"/>
        </w:rPr>
        <w:t>生态空间。</w:t>
      </w:r>
    </w:p>
    <w:p w14:paraId="31F6568C">
      <w:pPr>
        <w:spacing w:line="500" w:lineRule="exact"/>
        <w:ind w:firstLine="560" w:firstLineChars="200"/>
        <w:rPr>
          <w:rFonts w:ascii="Times New Roman" w:eastAsia="仿宋"/>
          <w:sz w:val="28"/>
          <w:szCs w:val="28"/>
        </w:rPr>
      </w:pPr>
      <w:r>
        <w:rPr>
          <w:rFonts w:hint="eastAsia" w:ascii="Times New Roman" w:eastAsia="仿宋"/>
          <w:sz w:val="28"/>
          <w:szCs w:val="28"/>
        </w:rPr>
        <w:t>（3）农业空间结构</w:t>
      </w:r>
    </w:p>
    <w:p w14:paraId="10719BE8">
      <w:pPr>
        <w:spacing w:line="500" w:lineRule="exact"/>
        <w:ind w:firstLine="560" w:firstLineChars="200"/>
        <w:rPr>
          <w:rFonts w:ascii="Times New Roman" w:eastAsia="仿宋"/>
          <w:sz w:val="28"/>
          <w:szCs w:val="28"/>
        </w:rPr>
      </w:pPr>
      <w:r>
        <w:rPr>
          <w:rFonts w:ascii="Times New Roman" w:eastAsia="仿宋"/>
          <w:sz w:val="28"/>
          <w:szCs w:val="28"/>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22AA38FE">
      <w:pPr>
        <w:spacing w:line="500" w:lineRule="exact"/>
        <w:ind w:firstLine="560" w:firstLineChars="200"/>
        <w:rPr>
          <w:rFonts w:ascii="Times New Roman" w:eastAsia="仿宋"/>
          <w:sz w:val="28"/>
          <w:szCs w:val="28"/>
        </w:rPr>
      </w:pPr>
      <w:r>
        <w:rPr>
          <w:rFonts w:ascii="Times New Roman" w:eastAsia="仿宋"/>
          <w:sz w:val="28"/>
          <w:szCs w:val="28"/>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745398E5">
      <w:pPr>
        <w:spacing w:line="500" w:lineRule="exact"/>
        <w:ind w:firstLine="560" w:firstLineChars="200"/>
        <w:rPr>
          <w:rFonts w:ascii="Times New Roman" w:eastAsia="仿宋"/>
          <w:sz w:val="28"/>
          <w:szCs w:val="28"/>
        </w:rPr>
      </w:pPr>
      <w:r>
        <w:rPr>
          <w:rFonts w:hint="eastAsia" w:ascii="Times New Roman" w:eastAsia="仿宋"/>
          <w:sz w:val="28"/>
          <w:szCs w:val="28"/>
        </w:rPr>
        <w:t>（4）生态保护红线</w:t>
      </w:r>
    </w:p>
    <w:p w14:paraId="17228E4D">
      <w:pPr>
        <w:spacing w:line="500" w:lineRule="exact"/>
        <w:ind w:firstLine="560" w:firstLineChars="200"/>
        <w:rPr>
          <w:rFonts w:ascii="Times New Roman" w:eastAsia="仿宋"/>
          <w:sz w:val="28"/>
          <w:szCs w:val="28"/>
        </w:rPr>
      </w:pPr>
      <w:r>
        <w:rPr>
          <w:rFonts w:ascii="Times New Roman" w:eastAsia="仿宋"/>
          <w:sz w:val="28"/>
          <w:szCs w:val="28"/>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w:t>
      </w:r>
      <w:r>
        <w:rPr>
          <w:rFonts w:hint="eastAsia" w:ascii="Times New Roman" w:eastAsia="仿宋"/>
          <w:sz w:val="28"/>
          <w:szCs w:val="28"/>
        </w:rPr>
        <w:t>园</w:t>
      </w:r>
      <w:r>
        <w:rPr>
          <w:rFonts w:ascii="Times New Roman" w:eastAsia="仿宋"/>
          <w:sz w:val="28"/>
          <w:szCs w:val="28"/>
        </w:rPr>
        <w:t>、江苏溧阳天目湖国家湿地公园、吕庄水库、江苏常州溧阳瓦屋山省级森林公园、太湖风景名胜区阳羡景区（溧阳市）、江苏常州溧阳上黄水母山省级地质公园、长荡湖重要湿地。</w:t>
      </w:r>
    </w:p>
    <w:p w14:paraId="0701D722">
      <w:pPr>
        <w:spacing w:line="500" w:lineRule="exact"/>
        <w:ind w:firstLine="560" w:firstLineChars="200"/>
        <w:rPr>
          <w:rFonts w:ascii="Times New Roman" w:eastAsia="仿宋"/>
          <w:sz w:val="28"/>
          <w:szCs w:val="28"/>
        </w:rPr>
      </w:pPr>
      <w:r>
        <w:rPr>
          <w:rFonts w:hint="eastAsia" w:ascii="Times New Roman" w:eastAsia="仿宋"/>
          <w:sz w:val="28"/>
          <w:szCs w:val="28"/>
        </w:rPr>
        <w:t>（5）永久基本农田</w:t>
      </w:r>
    </w:p>
    <w:p w14:paraId="74335195">
      <w:pPr>
        <w:spacing w:line="500" w:lineRule="exact"/>
        <w:ind w:firstLine="560" w:firstLineChars="200"/>
        <w:rPr>
          <w:rFonts w:ascii="Times New Roman" w:eastAsia="仿宋"/>
          <w:sz w:val="28"/>
          <w:szCs w:val="28"/>
        </w:rPr>
      </w:pPr>
      <w:r>
        <w:rPr>
          <w:rFonts w:ascii="Times New Roman" w:eastAsia="仿宋"/>
          <w:sz w:val="28"/>
          <w:szCs w:val="28"/>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4B6CD2F6">
      <w:pPr>
        <w:spacing w:line="500" w:lineRule="exact"/>
        <w:ind w:firstLine="560" w:firstLineChars="200"/>
        <w:rPr>
          <w:rFonts w:ascii="Times New Roman" w:eastAsia="仿宋"/>
          <w:sz w:val="28"/>
          <w:szCs w:val="28"/>
        </w:rPr>
      </w:pPr>
      <w:r>
        <w:rPr>
          <w:rFonts w:hint="eastAsia" w:ascii="Times New Roman" w:eastAsia="仿宋"/>
          <w:sz w:val="28"/>
          <w:szCs w:val="28"/>
        </w:rPr>
        <w:t>（6）城镇开发边界</w:t>
      </w:r>
    </w:p>
    <w:p w14:paraId="68BE1247">
      <w:pPr>
        <w:spacing w:line="500" w:lineRule="exact"/>
        <w:ind w:firstLine="560" w:firstLineChars="200"/>
        <w:rPr>
          <w:rFonts w:ascii="Times New Roman" w:eastAsia="仿宋"/>
          <w:sz w:val="28"/>
          <w:szCs w:val="28"/>
        </w:rPr>
      </w:pPr>
      <w:r>
        <w:rPr>
          <w:rFonts w:ascii="Times New Roman" w:eastAsia="仿宋"/>
          <w:sz w:val="28"/>
          <w:szCs w:val="28"/>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1F2F810A">
      <w:pPr>
        <w:spacing w:line="500" w:lineRule="exact"/>
        <w:ind w:firstLine="560" w:firstLineChars="200"/>
        <w:rPr>
          <w:rFonts w:ascii="Times New Roman" w:eastAsia="仿宋"/>
          <w:sz w:val="28"/>
          <w:szCs w:val="28"/>
        </w:rPr>
      </w:pPr>
      <w:r>
        <w:rPr>
          <w:rFonts w:ascii="Times New Roman" w:eastAsia="仿宋"/>
          <w:sz w:val="28"/>
          <w:szCs w:val="28"/>
        </w:rPr>
        <w:t>溧阳市城镇开发边界在其国土空间总体规划中单独划定。</w:t>
      </w:r>
    </w:p>
    <w:p w14:paraId="4377B1A1">
      <w:pPr>
        <w:spacing w:line="500" w:lineRule="exact"/>
        <w:ind w:firstLine="560" w:firstLineChars="200"/>
        <w:rPr>
          <w:rFonts w:ascii="Times New Roman" w:eastAsia="仿宋"/>
          <w:sz w:val="28"/>
          <w:szCs w:val="28"/>
        </w:rPr>
      </w:pPr>
      <w:r>
        <w:rPr>
          <w:rFonts w:hint="eastAsia" w:ascii="Times New Roman" w:eastAsia="仿宋"/>
          <w:sz w:val="28"/>
          <w:szCs w:val="28"/>
        </w:rPr>
        <w:t>对照分析：本项目位于常州市金坛区朱林镇永兴路68号，项目所在地已规划为工业用地，属于国土空间规划中城镇发展区，距离本项目最近的生态保护红线为</w:t>
      </w:r>
      <w:r>
        <w:rPr>
          <w:rFonts w:ascii="Times New Roman" w:eastAsia="仿宋"/>
          <w:sz w:val="28"/>
          <w:szCs w:val="28"/>
        </w:rPr>
        <w:t>天荒湖重要渔业水域</w:t>
      </w:r>
      <w:r>
        <w:rPr>
          <w:rFonts w:hint="eastAsia" w:ascii="Times New Roman" w:eastAsia="仿宋"/>
          <w:sz w:val="28"/>
          <w:szCs w:val="28"/>
        </w:rPr>
        <w:t>，位于本项目东北侧</w:t>
      </w:r>
      <w:r>
        <w:rPr>
          <w:rFonts w:ascii="Times New Roman" w:eastAsia="仿宋"/>
          <w:sz w:val="28"/>
          <w:szCs w:val="28"/>
        </w:rPr>
        <w:t>9.3</w:t>
      </w:r>
      <w:r>
        <w:rPr>
          <w:rFonts w:hint="eastAsia" w:ascii="Times New Roman" w:eastAsia="仿宋"/>
          <w:sz w:val="28"/>
          <w:szCs w:val="28"/>
        </w:rPr>
        <w:t>km，不在生态保护红线范围内，本项目所在地不涉及永久基本农田。综上所述，本项目符合常州市国土空间规划。</w:t>
      </w:r>
    </w:p>
    <w:p w14:paraId="4061614E">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.6.3</w:t>
      </w:r>
      <w:r>
        <w:rPr>
          <w:rFonts w:hint="eastAsia" w:ascii="Times New Roman" w:eastAsia="仿宋"/>
          <w:sz w:val="28"/>
          <w:szCs w:val="28"/>
        </w:rPr>
        <w:t>常州市“三区三线”划定成果</w:t>
      </w:r>
    </w:p>
    <w:p w14:paraId="50B6C5D8">
      <w:pPr>
        <w:spacing w:line="500" w:lineRule="exact"/>
        <w:ind w:firstLine="560" w:firstLineChars="200"/>
        <w:rPr>
          <w:rFonts w:ascii="Times New Roman" w:eastAsia="仿宋"/>
          <w:sz w:val="28"/>
          <w:szCs w:val="28"/>
        </w:rPr>
      </w:pPr>
      <w:r>
        <w:rPr>
          <w:rFonts w:ascii="Times New Roman" w:eastAsia="仿宋"/>
          <w:sz w:val="28"/>
          <w:szCs w:val="28"/>
        </w:rPr>
        <w:t>内容要点：</w:t>
      </w:r>
    </w:p>
    <w:p w14:paraId="62393104">
      <w:pPr>
        <w:spacing w:line="500" w:lineRule="exact"/>
        <w:ind w:firstLine="560" w:firstLineChars="200"/>
        <w:rPr>
          <w:rFonts w:ascii="Times New Roman" w:eastAsia="仿宋"/>
          <w:sz w:val="28"/>
          <w:szCs w:val="28"/>
        </w:rPr>
      </w:pPr>
      <w:r>
        <w:rPr>
          <w:rFonts w:ascii="Times New Roman" w:eastAsia="仿宋"/>
          <w:sz w:val="28"/>
          <w:szCs w:val="28"/>
        </w:rPr>
        <w:t>“三区三线”：根据城镇空间、农业空间、生态空间三种类型的空间，分别对应划定的城镇开发边界、永久基本农田保护红线、生态保护红线三条控制线。</w:t>
      </w:r>
    </w:p>
    <w:p w14:paraId="3217DEF6">
      <w:pPr>
        <w:spacing w:line="500" w:lineRule="exact"/>
        <w:ind w:firstLine="560" w:firstLineChars="200"/>
        <w:rPr>
          <w:rFonts w:ascii="Times New Roman" w:eastAsia="仿宋"/>
          <w:sz w:val="28"/>
          <w:szCs w:val="28"/>
        </w:rPr>
      </w:pPr>
      <w:r>
        <w:rPr>
          <w:rFonts w:ascii="Times New Roman" w:eastAsia="仿宋"/>
          <w:sz w:val="28"/>
          <w:szCs w:val="28"/>
        </w:rPr>
        <w:t>永久基本农田：常州市永久基本农田保护任务为114.9600万亩，市域划定永久基本农田112.9589万亩，占市域面积的17.22%。</w:t>
      </w:r>
    </w:p>
    <w:p w14:paraId="1D0225F8">
      <w:pPr>
        <w:spacing w:line="500" w:lineRule="exact"/>
        <w:ind w:firstLine="560" w:firstLineChars="200"/>
        <w:rPr>
          <w:rFonts w:ascii="Times New Roman" w:eastAsia="仿宋"/>
          <w:sz w:val="28"/>
          <w:szCs w:val="28"/>
        </w:rPr>
      </w:pPr>
      <w:r>
        <w:rPr>
          <w:rFonts w:ascii="Times New Roman" w:eastAsia="仿宋"/>
          <w:sz w:val="28"/>
          <w:szCs w:val="28"/>
        </w:rPr>
        <w:t>生态保护红线：市域划定生态保护红线346.10平方公里，占市域面积的7.92%。</w:t>
      </w:r>
    </w:p>
    <w:p w14:paraId="297C0D3C">
      <w:pPr>
        <w:spacing w:line="500" w:lineRule="exact"/>
        <w:ind w:firstLine="560" w:firstLineChars="200"/>
        <w:rPr>
          <w:rFonts w:ascii="Times New Roman" w:eastAsia="仿宋"/>
          <w:sz w:val="28"/>
          <w:szCs w:val="28"/>
        </w:rPr>
      </w:pPr>
      <w:r>
        <w:rPr>
          <w:rFonts w:ascii="Times New Roman" w:eastAsia="仿宋"/>
          <w:sz w:val="28"/>
          <w:szCs w:val="28"/>
        </w:rPr>
        <w:t>城镇开发边界：市域划定城镇开发边界925.05平方公里，占市域面积的21.16%。其中，城镇集中建设区911.38平方公里，城镇弹性发展区13.67平方公里。</w:t>
      </w:r>
    </w:p>
    <w:p w14:paraId="2EC62248">
      <w:pPr>
        <w:spacing w:line="500" w:lineRule="exact"/>
        <w:ind w:firstLine="560" w:firstLineChars="200"/>
        <w:rPr>
          <w:rFonts w:ascii="Times New Roman" w:eastAsia="仿宋"/>
          <w:b/>
          <w:bCs/>
          <w:sz w:val="28"/>
          <w:szCs w:val="28"/>
        </w:rPr>
      </w:pPr>
      <w:r>
        <w:rPr>
          <w:rFonts w:ascii="Times New Roman" w:eastAsia="仿宋"/>
          <w:sz w:val="28"/>
          <w:szCs w:val="28"/>
        </w:rPr>
        <w:t>对照分析：本项目位于</w:t>
      </w:r>
      <w:r>
        <w:rPr>
          <w:rFonts w:hint="eastAsia" w:ascii="Times New Roman" w:eastAsia="仿宋"/>
          <w:sz w:val="28"/>
          <w:szCs w:val="28"/>
        </w:rPr>
        <w:t>常州市金坛区朱林镇永兴路68号</w:t>
      </w:r>
      <w:r>
        <w:rPr>
          <w:rFonts w:ascii="Times New Roman" w:eastAsia="仿宋"/>
          <w:sz w:val="28"/>
          <w:szCs w:val="28"/>
        </w:rPr>
        <w:t>，项目所在地为工业用地，属于国土空间规划中城镇发展区，不属于农业空间区域，不在生态保护红线范围内，不涉及永久基本农田</w:t>
      </w:r>
      <w:r>
        <w:rPr>
          <w:rFonts w:hint="eastAsia" w:ascii="Times New Roman" w:eastAsia="仿宋"/>
          <w:sz w:val="28"/>
          <w:szCs w:val="28"/>
        </w:rPr>
        <w:t>。</w:t>
      </w:r>
      <w:r>
        <w:rPr>
          <w:rFonts w:hint="eastAsia" w:ascii="Times New Roman" w:eastAsia="仿宋"/>
          <w:b/>
          <w:bCs/>
          <w:sz w:val="28"/>
          <w:szCs w:val="28"/>
        </w:rPr>
        <w:t>常州市“三区三线”划定成果见附图</w:t>
      </w:r>
      <w:r>
        <w:rPr>
          <w:rFonts w:ascii="Times New Roman" w:eastAsia="仿宋"/>
          <w:b/>
          <w:bCs/>
          <w:sz w:val="28"/>
          <w:szCs w:val="28"/>
        </w:rPr>
        <w:t>2</w:t>
      </w:r>
      <w:r>
        <w:rPr>
          <w:rFonts w:hint="eastAsia" w:ascii="Times New Roman" w:eastAsia="仿宋"/>
          <w:b/>
          <w:bCs/>
          <w:sz w:val="28"/>
          <w:szCs w:val="28"/>
        </w:rPr>
        <w:t>.6</w:t>
      </w:r>
      <w:r>
        <w:rPr>
          <w:rFonts w:ascii="Times New Roman" w:eastAsia="仿宋"/>
          <w:b/>
          <w:bCs/>
          <w:sz w:val="28"/>
          <w:szCs w:val="28"/>
        </w:rPr>
        <w:t>-3。</w:t>
      </w:r>
    </w:p>
    <w:p w14:paraId="7594D22B">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.6.4</w:t>
      </w:r>
      <w:r>
        <w:rPr>
          <w:rFonts w:hint="eastAsia" w:ascii="Times New Roman" w:eastAsia="仿宋"/>
          <w:sz w:val="28"/>
          <w:szCs w:val="28"/>
        </w:rPr>
        <w:t>金坛区概况</w:t>
      </w:r>
    </w:p>
    <w:p w14:paraId="0FCB4B61">
      <w:pPr>
        <w:spacing w:line="490" w:lineRule="exact"/>
        <w:ind w:firstLine="560" w:firstLineChars="200"/>
        <w:rPr>
          <w:rFonts w:ascii="Times New Roman" w:eastAsia="仿宋"/>
          <w:sz w:val="28"/>
          <w:szCs w:val="28"/>
        </w:rPr>
      </w:pPr>
      <w:r>
        <w:rPr>
          <w:rFonts w:hint="eastAsia" w:ascii="Times New Roman" w:eastAsia="仿宋"/>
          <w:sz w:val="28"/>
          <w:szCs w:val="28"/>
        </w:rPr>
        <w:t>金坛历史悠久，早在石器时代即有先民栖息、生存。春秋时期，金坛属吴地，战国时期为越、楚所割，秦汉归曲阿县，晋系延陵县金山乡。隋末农民起义中乡人自立金山县。武周垂拱四年（688年）改为金坛县。县名一直未变，但境域和隶属关系多有变动。1949年4月24日，金坛解放，属苏南行政公署武进行政分区，11月改属常州专区。1953年1月，撤常州专区，属镇江专区。1958年8月撤镇江专区，属常州专区。1959年9月，撤常州专区，属镇江专区。1983年3月，实行市管县体制，金坛县属常州市。1993年11月10日，经国务院批准，撤销金坛县，设立金坛市（县级），以原县行政区域为市行政区域，金坛市由江苏省直辖。2015年4月，经国务院批准，撤销县级金坛市，设立常州市金坛区。</w:t>
      </w:r>
    </w:p>
    <w:p w14:paraId="2E213F88">
      <w:pPr>
        <w:spacing w:line="490" w:lineRule="exact"/>
        <w:ind w:firstLine="560" w:firstLineChars="200"/>
        <w:rPr>
          <w:rFonts w:ascii="Times New Roman" w:eastAsia="仿宋"/>
          <w:sz w:val="28"/>
          <w:szCs w:val="28"/>
        </w:rPr>
      </w:pPr>
      <w:r>
        <w:rPr>
          <w:rFonts w:hint="eastAsia" w:ascii="Times New Roman" w:eastAsia="仿宋"/>
          <w:sz w:val="28"/>
          <w:szCs w:val="28"/>
        </w:rPr>
        <w:t>常州市金坛区地处江苏省南部，位于北纬31°33′42″～31°53′22″，东经119°17′45″～119°44′59″，为宁（南京）、沪（上海）、杭（杭州）地理中心。常州至溧水公路东西横贯，镇江至广德公路南北穿越。境内水陆交通便捷，东与常州市武进区相连；西界茅山，与句容市接壤；南濒长荡湖，与溧阳、宜兴市依水相望；北与丹阳市、镇江丹徒区毗邻。全区总面积975.46平方公里，其中陆地面积781.27平方公里，水域面积194.22平方公里。</w:t>
      </w:r>
    </w:p>
    <w:p w14:paraId="0B375DFA">
      <w:pPr>
        <w:spacing w:line="490" w:lineRule="exact"/>
        <w:ind w:firstLine="560" w:firstLineChars="200"/>
        <w:rPr>
          <w:rFonts w:ascii="Times New Roman" w:eastAsia="仿宋"/>
          <w:sz w:val="28"/>
          <w:szCs w:val="28"/>
        </w:rPr>
      </w:pPr>
      <w:r>
        <w:rPr>
          <w:rFonts w:hint="eastAsia" w:ascii="Times New Roman" w:eastAsia="仿宋"/>
          <w:sz w:val="28"/>
          <w:szCs w:val="28"/>
        </w:rPr>
        <w:t>金坛的水陆空交通非常方便。京沪铁路、沪宁高速公路、常州港、镇江港、常州机场临近我区北侧，距离均在50公里之内。到上海港和张家港分别为2.5小时和1.5个小时的车程。距国际空港南京禄口机场、上海浦东机场分别为60公里、250公里。丹金漕河和通济河组成的水运体系与长江和太湖相连通，可长年航行500－1000吨级的货船。</w:t>
      </w:r>
    </w:p>
    <w:p w14:paraId="54B608B4">
      <w:pPr>
        <w:spacing w:line="490" w:lineRule="exact"/>
        <w:ind w:firstLine="560" w:firstLineChars="200"/>
        <w:rPr>
          <w:rFonts w:ascii="Times New Roman" w:eastAsia="仿宋"/>
          <w:sz w:val="28"/>
          <w:szCs w:val="28"/>
        </w:rPr>
      </w:pPr>
      <w:r>
        <w:rPr>
          <w:rFonts w:hint="eastAsia" w:ascii="Times New Roman" w:eastAsia="仿宋"/>
          <w:sz w:val="28"/>
          <w:szCs w:val="28"/>
        </w:rPr>
        <w:t>202</w:t>
      </w:r>
      <w:r>
        <w:rPr>
          <w:rFonts w:ascii="Times New Roman" w:eastAsia="仿宋"/>
          <w:sz w:val="28"/>
          <w:szCs w:val="28"/>
        </w:rPr>
        <w:t>2</w:t>
      </w:r>
      <w:r>
        <w:rPr>
          <w:rFonts w:hint="eastAsia" w:ascii="Times New Roman" w:eastAsia="仿宋"/>
          <w:sz w:val="28"/>
          <w:szCs w:val="28"/>
        </w:rPr>
        <w:t>年金坛区实现地区生产总值（GDP）1216.40亿元，按可比价计算，同比增长6.8%。其中，第一产业增加值43.49亿元，增长5.5%；第二产业增加值669.20亿元，增长11.7%；第三产业增加值503.71亿元，增长1.4%。三次产业增加值比例为3.6:55.0:41.4。金坛区2</w:t>
      </w:r>
      <w:r>
        <w:rPr>
          <w:rFonts w:ascii="Times New Roman" w:eastAsia="仿宋"/>
          <w:sz w:val="28"/>
          <w:szCs w:val="28"/>
        </w:rPr>
        <w:t>022</w:t>
      </w:r>
      <w:r>
        <w:rPr>
          <w:rFonts w:hint="eastAsia" w:ascii="Times New Roman" w:eastAsia="仿宋"/>
          <w:sz w:val="28"/>
          <w:szCs w:val="28"/>
        </w:rPr>
        <w:t>年实现一般公共预算收入51.27亿元，扣除留抵退税后增长5.0%。税收收入41.03亿元，占一般公共预算收入的比重为80.0%，其中，个人所得税4.87亿元，同比增长55.8%；企业所得税7.43亿元，同比增长10.4%；增值税5.54亿元，同比下降62.2%。</w:t>
      </w:r>
    </w:p>
    <w:p w14:paraId="431DF44E">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.6.5</w:t>
      </w:r>
      <w:r>
        <w:rPr>
          <w:rFonts w:hint="eastAsia" w:ascii="Times New Roman" w:eastAsia="仿宋"/>
          <w:sz w:val="28"/>
          <w:szCs w:val="28"/>
        </w:rPr>
        <w:t>朱林产业新镇总体规划</w:t>
      </w:r>
    </w:p>
    <w:p w14:paraId="722CB674">
      <w:pPr>
        <w:tabs>
          <w:tab w:val="left" w:pos="1931"/>
        </w:tabs>
        <w:spacing w:line="500" w:lineRule="exact"/>
        <w:ind w:firstLine="560" w:firstLineChars="200"/>
        <w:rPr>
          <w:rFonts w:ascii="仿宋_GB2312" w:hAnsi="仿宋_GB2312" w:eastAsia="仿宋_GB2312" w:cs="仿宋_GB2312"/>
          <w:sz w:val="28"/>
          <w:szCs w:val="30"/>
        </w:rPr>
      </w:pPr>
      <w:r>
        <w:rPr>
          <w:rFonts w:hint="eastAsia" w:ascii="Times New Roman" w:eastAsia="仿宋"/>
          <w:sz w:val="28"/>
          <w:szCs w:val="28"/>
        </w:rPr>
        <w:t>根据《江苏省金坛经济开发区朱林现代产业园/常州市金坛区朱林产业新镇总体规划(2016-2030)》，朱林城镇发展的总目标是，</w:t>
      </w:r>
      <w:r>
        <w:rPr>
          <w:rFonts w:hint="eastAsia" w:ascii="仿宋_GB2312" w:hAnsi="仿宋_GB2312" w:eastAsia="仿宋_GB2312" w:cs="仿宋_GB2312"/>
          <w:sz w:val="28"/>
          <w:szCs w:val="30"/>
        </w:rPr>
        <w:t>坚持产镇融合和城乡发展一体化，推动城镇发展模式转型，将朱林建设成为社会经济繁荣、人民幸福和谐、生态环境优美的产业新镇和宜居家园。</w:t>
      </w:r>
    </w:p>
    <w:p w14:paraId="5223890E">
      <w:pPr>
        <w:spacing w:line="490" w:lineRule="exact"/>
        <w:ind w:firstLine="560" w:firstLineChars="200"/>
        <w:rPr>
          <w:rFonts w:ascii="Times New Roman" w:eastAsia="仿宋"/>
          <w:sz w:val="28"/>
          <w:szCs w:val="28"/>
        </w:rPr>
      </w:pPr>
      <w:r>
        <w:rPr>
          <w:rFonts w:hint="eastAsia" w:ascii="Times New Roman" w:eastAsia="仿宋"/>
          <w:sz w:val="28"/>
          <w:szCs w:val="28"/>
        </w:rPr>
        <w:t>产业定位：以一类、二类工业为主导，限制三类工业。重点发展电子、缝纫/服饰加工、金属制品制造、非金属制品制造、轻机械制造、食品加工、新能源汽车及核心零部件、新一代移动通信及光伏新能源产业，形成金坛西部重要的工业板块和综合服务节点。</w:t>
      </w:r>
    </w:p>
    <w:p w14:paraId="1B821FB1">
      <w:pPr>
        <w:spacing w:line="490" w:lineRule="exact"/>
        <w:ind w:firstLine="560" w:firstLineChars="200"/>
        <w:rPr>
          <w:rFonts w:ascii="Times New Roman" w:eastAsia="仿宋"/>
          <w:sz w:val="28"/>
          <w:szCs w:val="28"/>
        </w:rPr>
      </w:pPr>
      <w:r>
        <w:rPr>
          <w:rFonts w:hint="eastAsia" w:ascii="Times New Roman" w:eastAsia="仿宋"/>
          <w:sz w:val="28"/>
          <w:szCs w:val="28"/>
        </w:rPr>
        <w:t>产业布局：通过构建良好的低碳、生态环境，安排因地制宜的开发强度继续落实上位规划提出的总体布局结构，可以概括为 “一心一点、双轴两片多廊”的空间结构。</w:t>
      </w:r>
    </w:p>
    <w:p w14:paraId="1CDBEAEE">
      <w:pPr>
        <w:spacing w:line="490" w:lineRule="exact"/>
        <w:ind w:firstLine="560" w:firstLineChars="200"/>
        <w:rPr>
          <w:rFonts w:ascii="Times New Roman" w:eastAsia="仿宋"/>
          <w:sz w:val="28"/>
          <w:szCs w:val="28"/>
        </w:rPr>
      </w:pPr>
      <w:r>
        <w:rPr>
          <w:rFonts w:hint="eastAsia" w:ascii="Times New Roman" w:eastAsia="仿宋"/>
          <w:sz w:val="28"/>
          <w:szCs w:val="28"/>
        </w:rPr>
        <w:t>一心：城镇综合服务核心；</w:t>
      </w:r>
    </w:p>
    <w:p w14:paraId="64AEDAA6">
      <w:pPr>
        <w:spacing w:line="490" w:lineRule="exact"/>
        <w:ind w:firstLine="560" w:firstLineChars="200"/>
        <w:rPr>
          <w:rFonts w:ascii="Times New Roman" w:eastAsia="仿宋"/>
          <w:sz w:val="28"/>
          <w:szCs w:val="28"/>
        </w:rPr>
      </w:pPr>
      <w:r>
        <w:rPr>
          <w:rFonts w:hint="eastAsia" w:ascii="Times New Roman" w:eastAsia="仿宋"/>
          <w:sz w:val="28"/>
          <w:szCs w:val="28"/>
        </w:rPr>
        <w:t>一点：金坛经济开发区朱林现代产业园邻里服务中心；</w:t>
      </w:r>
    </w:p>
    <w:p w14:paraId="7ACFDA9C">
      <w:pPr>
        <w:spacing w:line="490" w:lineRule="exact"/>
        <w:ind w:firstLine="560" w:firstLineChars="200"/>
        <w:rPr>
          <w:rFonts w:ascii="Times New Roman" w:eastAsia="仿宋"/>
          <w:sz w:val="28"/>
          <w:szCs w:val="28"/>
        </w:rPr>
      </w:pPr>
      <w:r>
        <w:rPr>
          <w:rFonts w:hint="eastAsia" w:ascii="Times New Roman" w:eastAsia="仿宋"/>
          <w:sz w:val="28"/>
          <w:szCs w:val="28"/>
        </w:rPr>
        <w:t>双轴：朱林大道城镇功能联系轴；龙溪大道产镇融合发展轴；</w:t>
      </w:r>
    </w:p>
    <w:p w14:paraId="2664D7E6">
      <w:pPr>
        <w:spacing w:line="490" w:lineRule="exact"/>
        <w:ind w:firstLine="560" w:firstLineChars="200"/>
        <w:rPr>
          <w:rFonts w:ascii="Times New Roman" w:eastAsia="仿宋"/>
          <w:sz w:val="28"/>
          <w:szCs w:val="28"/>
        </w:rPr>
      </w:pPr>
      <w:r>
        <w:rPr>
          <w:rFonts w:hint="eastAsia" w:ascii="Times New Roman" w:eastAsia="仿宋"/>
          <w:sz w:val="28"/>
          <w:szCs w:val="28"/>
        </w:rPr>
        <w:t>两片：镇区生活区版块；工业版块；</w:t>
      </w:r>
    </w:p>
    <w:p w14:paraId="5DFDF213">
      <w:pPr>
        <w:spacing w:line="490" w:lineRule="exact"/>
        <w:ind w:firstLine="560" w:firstLineChars="200"/>
        <w:rPr>
          <w:rFonts w:ascii="Times New Roman" w:eastAsia="仿宋"/>
          <w:sz w:val="28"/>
          <w:szCs w:val="28"/>
        </w:rPr>
      </w:pPr>
      <w:r>
        <w:rPr>
          <w:rFonts w:hint="eastAsia" w:ascii="Times New Roman" w:eastAsia="仿宋"/>
          <w:sz w:val="28"/>
          <w:szCs w:val="28"/>
        </w:rPr>
        <w:t>多廊：沿常溧公路、扬溧高速公路、常合高速公路、茅山旅游大道-马口桥河-河口河等形成的多条景观廊道。</w:t>
      </w:r>
    </w:p>
    <w:p w14:paraId="479A3529">
      <w:pPr>
        <w:spacing w:line="490" w:lineRule="exact"/>
        <w:ind w:firstLine="560" w:firstLineChars="200"/>
        <w:rPr>
          <w:rFonts w:ascii="Times New Roman" w:eastAsia="仿宋"/>
          <w:sz w:val="28"/>
          <w:szCs w:val="28"/>
        </w:rPr>
      </w:pPr>
      <w:r>
        <w:rPr>
          <w:rFonts w:hint="eastAsia" w:ascii="Times New Roman" w:eastAsia="仿宋"/>
          <w:sz w:val="28"/>
          <w:szCs w:val="28"/>
        </w:rPr>
        <w:t>规划范围：规划区范围为朱林镇域行政区范围，总面积</w:t>
      </w:r>
      <w:r>
        <w:rPr>
          <w:rFonts w:ascii="Times New Roman" w:eastAsia="仿宋"/>
          <w:sz w:val="28"/>
          <w:szCs w:val="28"/>
        </w:rPr>
        <w:t>77.5</w:t>
      </w:r>
      <w:r>
        <w:rPr>
          <w:rFonts w:hint="eastAsia" w:ascii="Times New Roman" w:eastAsia="仿宋"/>
          <w:sz w:val="28"/>
          <w:szCs w:val="28"/>
        </w:rPr>
        <w:t>平方公里。其中，镇区规划范围为</w:t>
      </w:r>
      <w:r>
        <w:rPr>
          <w:rFonts w:hint="eastAsia" w:ascii="仿宋_GB2312" w:hAnsi="仿宋_GB2312" w:eastAsia="仿宋_GB2312" w:cs="仿宋_GB2312"/>
          <w:sz w:val="28"/>
          <w:szCs w:val="30"/>
        </w:rPr>
        <w:t>东至华林路—朱林北河—河口河，北至常溧公路（S340），西至扬溧高速公路，南至常合高速公路—茅山旅游大道</w:t>
      </w:r>
      <w:r>
        <w:rPr>
          <w:rFonts w:hint="eastAsia" w:ascii="Times New Roman" w:eastAsia="仿宋"/>
          <w:sz w:val="28"/>
          <w:szCs w:val="28"/>
        </w:rPr>
        <w:t>围合的区域，总面积</w:t>
      </w:r>
      <w:r>
        <w:rPr>
          <w:rFonts w:ascii="Times New Roman" w:eastAsia="仿宋"/>
          <w:sz w:val="28"/>
          <w:szCs w:val="28"/>
        </w:rPr>
        <w:t>7.80</w:t>
      </w:r>
      <w:r>
        <w:rPr>
          <w:rFonts w:hint="eastAsia" w:ascii="Times New Roman" w:eastAsia="仿宋"/>
          <w:sz w:val="28"/>
          <w:szCs w:val="28"/>
        </w:rPr>
        <w:t>平方公里。</w:t>
      </w:r>
    </w:p>
    <w:p w14:paraId="7A63C261">
      <w:pPr>
        <w:spacing w:line="490" w:lineRule="exact"/>
        <w:ind w:firstLine="560" w:firstLineChars="200"/>
        <w:rPr>
          <w:rFonts w:ascii="Times New Roman" w:eastAsia="仿宋"/>
          <w:sz w:val="28"/>
          <w:szCs w:val="28"/>
        </w:rPr>
      </w:pPr>
      <w:r>
        <w:rPr>
          <w:rFonts w:hint="eastAsia" w:ascii="Times New Roman" w:eastAsia="仿宋"/>
          <w:sz w:val="28"/>
          <w:szCs w:val="28"/>
        </w:rPr>
        <w:t>规划期限：规划期限为20</w:t>
      </w:r>
      <w:r>
        <w:rPr>
          <w:rFonts w:ascii="Times New Roman" w:eastAsia="仿宋"/>
          <w:sz w:val="28"/>
          <w:szCs w:val="28"/>
        </w:rPr>
        <w:t>16</w:t>
      </w:r>
      <w:r>
        <w:rPr>
          <w:rFonts w:hint="eastAsia" w:ascii="Times New Roman" w:eastAsia="仿宋"/>
          <w:sz w:val="28"/>
          <w:szCs w:val="28"/>
        </w:rPr>
        <w:t>-203</w:t>
      </w:r>
      <w:r>
        <w:rPr>
          <w:rFonts w:ascii="Times New Roman" w:eastAsia="仿宋"/>
          <w:sz w:val="28"/>
          <w:szCs w:val="28"/>
        </w:rPr>
        <w:t>0</w:t>
      </w:r>
      <w:r>
        <w:rPr>
          <w:rFonts w:hint="eastAsia" w:ascii="Times New Roman" w:eastAsia="仿宋"/>
          <w:sz w:val="28"/>
          <w:szCs w:val="28"/>
        </w:rPr>
        <w:t>年</w:t>
      </w:r>
      <w:r>
        <w:rPr>
          <w:rFonts w:ascii="Times New Roman" w:eastAsia="仿宋"/>
          <w:sz w:val="28"/>
          <w:szCs w:val="28"/>
        </w:rPr>
        <w:t>。</w:t>
      </w:r>
    </w:p>
    <w:p w14:paraId="2E5CED4A">
      <w:pPr>
        <w:spacing w:line="490" w:lineRule="exact"/>
        <w:ind w:firstLine="560" w:firstLineChars="200"/>
        <w:rPr>
          <w:rFonts w:ascii="Times New Roman" w:eastAsia="仿宋"/>
          <w:sz w:val="28"/>
          <w:szCs w:val="28"/>
        </w:rPr>
      </w:pPr>
      <w:r>
        <w:rPr>
          <w:rFonts w:hint="eastAsia" w:ascii="Times New Roman" w:eastAsia="仿宋"/>
          <w:sz w:val="28"/>
          <w:szCs w:val="28"/>
        </w:rPr>
        <w:t>本次项目建设地点为</w:t>
      </w:r>
      <w:r>
        <w:rPr>
          <w:rFonts w:ascii="Times New Roman" w:eastAsia="仿宋"/>
          <w:sz w:val="28"/>
          <w:szCs w:val="28"/>
        </w:rPr>
        <w:t>常州市金坛区朱林镇永兴路68号</w:t>
      </w:r>
      <w:r>
        <w:rPr>
          <w:rFonts w:hint="eastAsia" w:ascii="Times New Roman" w:eastAsia="仿宋"/>
          <w:sz w:val="28"/>
          <w:szCs w:val="28"/>
        </w:rPr>
        <w:t>，属于工业板块，厂区已取得不动产权证（证书编号：苏（2</w:t>
      </w:r>
      <w:r>
        <w:rPr>
          <w:rFonts w:ascii="Times New Roman" w:eastAsia="仿宋"/>
          <w:sz w:val="28"/>
          <w:szCs w:val="28"/>
        </w:rPr>
        <w:t>024</w:t>
      </w:r>
      <w:r>
        <w:rPr>
          <w:rFonts w:hint="eastAsia" w:ascii="Times New Roman" w:eastAsia="仿宋"/>
          <w:sz w:val="28"/>
          <w:szCs w:val="28"/>
        </w:rPr>
        <w:t>）金坛区不动产权第01</w:t>
      </w:r>
      <w:r>
        <w:rPr>
          <w:rFonts w:ascii="Times New Roman" w:eastAsia="仿宋"/>
          <w:sz w:val="28"/>
          <w:szCs w:val="28"/>
        </w:rPr>
        <w:t>39217</w:t>
      </w:r>
      <w:r>
        <w:rPr>
          <w:rFonts w:hint="eastAsia" w:ascii="Times New Roman" w:eastAsia="仿宋"/>
          <w:sz w:val="28"/>
          <w:szCs w:val="28"/>
        </w:rPr>
        <w:t>号），用地性质为工业用地，本次建设项目利用现有厂房，不新增用地。本项目的产品为汽车铝单板，国民经济行业类别为“C3670 汽车零部件及其配件制造”，建设内容符合朱林镇总体规划要求。</w:t>
      </w:r>
    </w:p>
    <w:p w14:paraId="15A2E3F9">
      <w:pPr>
        <w:spacing w:line="490" w:lineRule="exact"/>
        <w:ind w:firstLine="562" w:firstLineChars="200"/>
        <w:rPr>
          <w:rFonts w:ascii="Times New Roman" w:eastAsia="仿宋"/>
          <w:sz w:val="28"/>
          <w:szCs w:val="28"/>
        </w:rPr>
      </w:pPr>
      <w:r>
        <w:rPr>
          <w:rFonts w:hint="eastAsia" w:ascii="Times New Roman" w:eastAsia="仿宋"/>
          <w:b/>
          <w:bCs/>
          <w:sz w:val="28"/>
          <w:szCs w:val="28"/>
        </w:rPr>
        <w:t>江苏省金坛经济开发区朱林现代产业园/常州市金坛区朱林产业新镇总体规划见图2.6-</w:t>
      </w:r>
      <w:r>
        <w:rPr>
          <w:rFonts w:ascii="Times New Roman" w:eastAsia="仿宋"/>
          <w:b/>
          <w:bCs/>
          <w:sz w:val="28"/>
          <w:szCs w:val="28"/>
        </w:rPr>
        <w:t>4</w:t>
      </w:r>
      <w:r>
        <w:rPr>
          <w:rFonts w:hint="eastAsia" w:ascii="Times New Roman" w:eastAsia="仿宋"/>
          <w:sz w:val="28"/>
          <w:szCs w:val="28"/>
        </w:rPr>
        <w:t>。</w:t>
      </w:r>
    </w:p>
    <w:p w14:paraId="4BD3840A">
      <w:pPr>
        <w:spacing w:line="490" w:lineRule="exact"/>
        <w:ind w:firstLine="560" w:firstLineChars="200"/>
        <w:rPr>
          <w:rFonts w:ascii="Times New Roman" w:eastAsia="仿宋"/>
          <w:sz w:val="28"/>
          <w:szCs w:val="28"/>
        </w:rPr>
      </w:pPr>
      <w:r>
        <w:rPr>
          <w:rFonts w:hint="eastAsia" w:ascii="Times New Roman" w:eastAsia="仿宋"/>
          <w:sz w:val="28"/>
          <w:szCs w:val="28"/>
        </w:rPr>
        <w:t>基础设施规划</w:t>
      </w:r>
    </w:p>
    <w:p w14:paraId="46D489C7">
      <w:pPr>
        <w:spacing w:line="490" w:lineRule="exact"/>
        <w:ind w:firstLine="560" w:firstLineChars="200"/>
        <w:rPr>
          <w:rFonts w:ascii="Times New Roman" w:eastAsia="仿宋"/>
          <w:sz w:val="28"/>
          <w:szCs w:val="28"/>
        </w:rPr>
      </w:pPr>
      <w:r>
        <w:rPr>
          <w:rFonts w:hint="eastAsia" w:ascii="Times New Roman" w:eastAsia="仿宋"/>
          <w:sz w:val="28"/>
          <w:szCs w:val="28"/>
        </w:rPr>
        <w:t>（1）给水</w:t>
      </w:r>
    </w:p>
    <w:p w14:paraId="032B74A6">
      <w:pPr>
        <w:spacing w:line="490" w:lineRule="exact"/>
        <w:ind w:firstLine="560" w:firstLineChars="200"/>
        <w:rPr>
          <w:rFonts w:ascii="Times New Roman" w:eastAsia="仿宋"/>
          <w:sz w:val="28"/>
          <w:szCs w:val="28"/>
        </w:rPr>
      </w:pPr>
      <w:r>
        <w:rPr>
          <w:rFonts w:hint="eastAsia" w:ascii="Times New Roman" w:eastAsia="仿宋"/>
          <w:sz w:val="28"/>
          <w:szCs w:val="28"/>
        </w:rPr>
        <w:t>①供水方式</w:t>
      </w:r>
    </w:p>
    <w:p w14:paraId="5C860574">
      <w:pPr>
        <w:spacing w:line="490" w:lineRule="exact"/>
        <w:ind w:firstLine="560" w:firstLineChars="200"/>
        <w:rPr>
          <w:rFonts w:ascii="Times New Roman" w:eastAsia="仿宋"/>
          <w:sz w:val="28"/>
          <w:szCs w:val="28"/>
        </w:rPr>
      </w:pPr>
      <w:r>
        <w:rPr>
          <w:rFonts w:hint="eastAsia" w:ascii="Times New Roman" w:eastAsia="仿宋"/>
          <w:sz w:val="28"/>
          <w:szCs w:val="28"/>
        </w:rPr>
        <w:t>从金坛全域统筹出发，依据《金坛市城乡统筹市政设施总体规划》，朱林镇纳入金坛区域供水系统，由金坛长荡湖水厂供水，区域供水沿常溧公路、建西路敷设DN800、DN600输水管，向朱林镇供水。</w:t>
      </w:r>
    </w:p>
    <w:p w14:paraId="37FC8411">
      <w:pPr>
        <w:spacing w:line="490" w:lineRule="exact"/>
        <w:ind w:firstLine="560" w:firstLineChars="200"/>
        <w:rPr>
          <w:rFonts w:ascii="Times New Roman" w:eastAsia="仿宋"/>
          <w:sz w:val="28"/>
          <w:szCs w:val="28"/>
        </w:rPr>
      </w:pPr>
      <w:r>
        <w:rPr>
          <w:rFonts w:hint="eastAsia" w:ascii="Times New Roman" w:eastAsia="仿宋"/>
          <w:sz w:val="28"/>
          <w:szCs w:val="28"/>
        </w:rPr>
        <w:t>②给水管网</w:t>
      </w:r>
    </w:p>
    <w:p w14:paraId="0220E5B3">
      <w:pPr>
        <w:spacing w:line="490" w:lineRule="exact"/>
        <w:ind w:firstLine="560" w:firstLineChars="200"/>
        <w:rPr>
          <w:rFonts w:ascii="Times New Roman" w:eastAsia="仿宋"/>
          <w:sz w:val="28"/>
          <w:szCs w:val="28"/>
        </w:rPr>
      </w:pPr>
      <w:r>
        <w:rPr>
          <w:rFonts w:hint="eastAsia" w:ascii="Times New Roman" w:eastAsia="仿宋"/>
          <w:sz w:val="28"/>
          <w:szCs w:val="28"/>
        </w:rPr>
        <w:t>1、依据金坛全域市政设施统筹规划，健全输水干管网络，提高供水安全性。</w:t>
      </w:r>
    </w:p>
    <w:p w14:paraId="0F3BAF46">
      <w:pPr>
        <w:spacing w:line="490" w:lineRule="exact"/>
        <w:ind w:firstLine="560" w:firstLineChars="200"/>
        <w:rPr>
          <w:rFonts w:ascii="Times New Roman" w:eastAsia="仿宋"/>
          <w:sz w:val="28"/>
          <w:szCs w:val="28"/>
        </w:rPr>
      </w:pPr>
      <w:r>
        <w:rPr>
          <w:rFonts w:hint="eastAsia" w:ascii="Times New Roman" w:eastAsia="仿宋"/>
          <w:sz w:val="28"/>
          <w:szCs w:val="28"/>
        </w:rPr>
        <w:t>2、镇区管网考虑供水的安全延续性，管网以环状布置，保留现状干管，支管采用DN300-DN200。给水管一般沿镇区道路西、北侧埋设。</w:t>
      </w:r>
    </w:p>
    <w:p w14:paraId="2B52B663">
      <w:pPr>
        <w:spacing w:line="490" w:lineRule="exact"/>
        <w:ind w:firstLine="560" w:firstLineChars="200"/>
        <w:rPr>
          <w:rFonts w:ascii="Times New Roman" w:eastAsia="仿宋"/>
          <w:sz w:val="28"/>
          <w:szCs w:val="28"/>
        </w:rPr>
      </w:pPr>
      <w:r>
        <w:rPr>
          <w:rFonts w:hint="eastAsia" w:ascii="Times New Roman" w:eastAsia="仿宋"/>
          <w:sz w:val="28"/>
          <w:szCs w:val="28"/>
        </w:rPr>
        <w:t>3、农村管网以支状布置，管径DN200-DN100，沿镇村道路西、北侧埋设。</w:t>
      </w:r>
    </w:p>
    <w:p w14:paraId="47E0767B">
      <w:pPr>
        <w:spacing w:line="490" w:lineRule="exact"/>
        <w:ind w:firstLine="560" w:firstLineChars="200"/>
        <w:rPr>
          <w:rFonts w:ascii="Times New Roman" w:eastAsia="仿宋"/>
          <w:sz w:val="28"/>
          <w:szCs w:val="28"/>
        </w:rPr>
      </w:pPr>
      <w:r>
        <w:rPr>
          <w:rFonts w:hint="eastAsia" w:ascii="Times New Roman" w:eastAsia="仿宋"/>
          <w:sz w:val="28"/>
          <w:szCs w:val="28"/>
        </w:rPr>
        <w:t>4、改造乡镇管网中落后陈旧管道，重点对年代久远的管道及材质差、经常爆管、积垢淤塞的管道进行改造并合理选用经济实用的管材。</w:t>
      </w:r>
    </w:p>
    <w:p w14:paraId="729E6E6C">
      <w:pPr>
        <w:spacing w:line="490" w:lineRule="exact"/>
        <w:ind w:firstLine="560" w:firstLineChars="200"/>
        <w:rPr>
          <w:rFonts w:ascii="Times New Roman" w:eastAsia="仿宋"/>
          <w:sz w:val="28"/>
          <w:szCs w:val="28"/>
        </w:rPr>
      </w:pPr>
      <w:r>
        <w:rPr>
          <w:rFonts w:hint="eastAsia" w:ascii="Times New Roman" w:eastAsia="仿宋"/>
          <w:sz w:val="28"/>
          <w:szCs w:val="28"/>
        </w:rPr>
        <w:t>5、朱林镇西规划区域性给水增压站一座（2万m</w:t>
      </w:r>
      <w:r>
        <w:rPr>
          <w:rFonts w:hint="eastAsia" w:ascii="Times New Roman" w:eastAsia="仿宋"/>
          <w:sz w:val="28"/>
          <w:szCs w:val="28"/>
          <w:vertAlign w:val="superscript"/>
        </w:rPr>
        <w:t>3</w:t>
      </w:r>
      <w:r>
        <w:rPr>
          <w:rFonts w:hint="eastAsia" w:ascii="Times New Roman" w:eastAsia="仿宋"/>
          <w:sz w:val="28"/>
          <w:szCs w:val="28"/>
        </w:rPr>
        <w:t>/天），上游来水增压后向西部山区转输。</w:t>
      </w:r>
    </w:p>
    <w:p w14:paraId="267699BA">
      <w:pPr>
        <w:spacing w:line="490" w:lineRule="exact"/>
        <w:ind w:firstLine="560" w:firstLineChars="200"/>
        <w:rPr>
          <w:rFonts w:ascii="Times New Roman" w:eastAsia="仿宋"/>
          <w:sz w:val="28"/>
          <w:szCs w:val="28"/>
        </w:rPr>
      </w:pPr>
      <w:r>
        <w:rPr>
          <w:rFonts w:hint="eastAsia" w:ascii="Times New Roman" w:eastAsia="仿宋"/>
          <w:sz w:val="28"/>
          <w:szCs w:val="28"/>
        </w:rPr>
        <w:t>（2）排水</w:t>
      </w:r>
    </w:p>
    <w:p w14:paraId="690A8AB9">
      <w:pPr>
        <w:spacing w:line="490" w:lineRule="exact"/>
        <w:ind w:firstLine="560" w:firstLineChars="200"/>
        <w:rPr>
          <w:rFonts w:ascii="Times New Roman" w:eastAsia="仿宋"/>
          <w:sz w:val="28"/>
          <w:szCs w:val="28"/>
        </w:rPr>
      </w:pPr>
      <w:r>
        <w:rPr>
          <w:rFonts w:hint="eastAsia" w:ascii="Times New Roman" w:eastAsia="仿宋"/>
          <w:sz w:val="28"/>
          <w:szCs w:val="28"/>
        </w:rPr>
        <w:t>采用雨污分流的排水体制。规划区内污水分片收集后，经泵站提升进直溪污水处理厂处理。</w:t>
      </w:r>
    </w:p>
    <w:p w14:paraId="7E446B12">
      <w:pPr>
        <w:spacing w:line="490" w:lineRule="exact"/>
        <w:ind w:firstLine="560" w:firstLineChars="200"/>
        <w:rPr>
          <w:rFonts w:ascii="Times New Roman" w:eastAsia="仿宋"/>
          <w:sz w:val="28"/>
          <w:szCs w:val="28"/>
        </w:rPr>
      </w:pPr>
      <w:r>
        <w:rPr>
          <w:rFonts w:hint="eastAsia" w:ascii="Times New Roman" w:eastAsia="仿宋"/>
          <w:sz w:val="28"/>
          <w:szCs w:val="28"/>
        </w:rPr>
        <w:t>污水收集处理系统：</w:t>
      </w:r>
    </w:p>
    <w:p w14:paraId="139BE166">
      <w:pPr>
        <w:spacing w:line="490" w:lineRule="exact"/>
        <w:ind w:firstLine="560" w:firstLineChars="200"/>
        <w:rPr>
          <w:rFonts w:ascii="Times New Roman" w:eastAsia="仿宋"/>
          <w:sz w:val="28"/>
          <w:szCs w:val="28"/>
        </w:rPr>
      </w:pPr>
      <w:r>
        <w:rPr>
          <w:rFonts w:hint="eastAsia" w:ascii="Times New Roman" w:eastAsia="仿宋"/>
          <w:sz w:val="28"/>
          <w:szCs w:val="28"/>
        </w:rPr>
        <w:t>1、工业板块：沿菜园路、朱林大街、朱林大道（朱林大街以北）敷设DN600至D1000污水干管收集朱林大道以西工业区污水，保留工业区现有污水管道系统，沿龙溪路、创业路敷设DN300污水压力管直接将砂石河污水泵站、砚塘污水泵站的污水提升至菜园路污水干管。</w:t>
      </w:r>
    </w:p>
    <w:p w14:paraId="71F82E20">
      <w:pPr>
        <w:spacing w:line="490" w:lineRule="exact"/>
        <w:ind w:firstLine="560" w:firstLineChars="200"/>
        <w:rPr>
          <w:rFonts w:ascii="Times New Roman" w:eastAsia="仿宋"/>
          <w:sz w:val="28"/>
          <w:szCs w:val="28"/>
        </w:rPr>
      </w:pPr>
      <w:r>
        <w:rPr>
          <w:rFonts w:hint="eastAsia" w:ascii="Times New Roman" w:eastAsia="仿宋"/>
          <w:sz w:val="28"/>
          <w:szCs w:val="28"/>
        </w:rPr>
        <w:t>2、生活板块：规划沿朱林大街（朱林大道——华林路）新建d800污水管接入朱林大道规划d1000污水干管，沿其余新建道路敷设DN400~DN600污水收集管。规划废除华林路、340省道、朱林大道（朱林大街——340省道）上的现状DN300~DN400污水管，沿华林路、晨风路新建DN400污水管道接入朱林大道污水系统。</w:t>
      </w:r>
    </w:p>
    <w:p w14:paraId="57977DE6">
      <w:pPr>
        <w:spacing w:line="490" w:lineRule="exact"/>
        <w:ind w:firstLine="560" w:firstLineChars="200"/>
        <w:rPr>
          <w:rFonts w:ascii="Times New Roman" w:eastAsia="仿宋"/>
          <w:sz w:val="28"/>
          <w:szCs w:val="28"/>
        </w:rPr>
      </w:pPr>
      <w:r>
        <w:rPr>
          <w:rFonts w:hint="eastAsia" w:ascii="Times New Roman" w:eastAsia="仿宋"/>
          <w:sz w:val="28"/>
          <w:szCs w:val="28"/>
        </w:rPr>
        <w:t>3、移建朱林污水泵站，规模适当放大按2万m</w:t>
      </w:r>
      <w:r>
        <w:rPr>
          <w:rFonts w:hint="eastAsia" w:ascii="Times New Roman" w:eastAsia="仿宋"/>
          <w:sz w:val="28"/>
          <w:szCs w:val="28"/>
          <w:vertAlign w:val="superscript"/>
        </w:rPr>
        <w:t>3</w:t>
      </w:r>
      <w:r>
        <w:rPr>
          <w:rFonts w:hint="eastAsia" w:ascii="Times New Roman" w:eastAsia="仿宋"/>
          <w:sz w:val="28"/>
          <w:szCs w:val="28"/>
        </w:rPr>
        <w:t>/d设计，规划泵站位于朱林大道与河口河相交处，河口河南侧，控制用地0.15公顷。保留工业园现状2提升泵站，预留扩建用地，保留镇政府南侧现状后北河污水泵站。马口河桥以南设置文化路污水泵站一座，将马口河桥以南地块污水提升至文化路污水主管。</w:t>
      </w:r>
    </w:p>
    <w:p w14:paraId="4ECA22FE">
      <w:pPr>
        <w:spacing w:line="490" w:lineRule="exact"/>
        <w:ind w:firstLine="560" w:firstLineChars="200"/>
        <w:rPr>
          <w:rFonts w:ascii="Times New Roman" w:eastAsia="仿宋"/>
          <w:sz w:val="28"/>
          <w:szCs w:val="28"/>
        </w:rPr>
      </w:pPr>
      <w:r>
        <w:rPr>
          <w:rFonts w:hint="eastAsia" w:ascii="Times New Roman" w:eastAsia="仿宋"/>
          <w:sz w:val="28"/>
          <w:szCs w:val="28"/>
        </w:rPr>
        <w:t>根据《金坛区直溪污水处理厂改扩建工程项目环境影响报告书》，直溪污水处理厂总处理规模为</w:t>
      </w:r>
      <w:r>
        <w:rPr>
          <w:rFonts w:ascii="Times New Roman" w:eastAsia="仿宋"/>
          <w:sz w:val="28"/>
          <w:szCs w:val="28"/>
        </w:rPr>
        <w:t>2</w:t>
      </w:r>
      <w:r>
        <w:rPr>
          <w:rFonts w:hint="eastAsia" w:ascii="Times New Roman" w:eastAsia="仿宋"/>
          <w:sz w:val="28"/>
          <w:szCs w:val="28"/>
        </w:rPr>
        <w:t>万m</w:t>
      </w:r>
      <w:r>
        <w:rPr>
          <w:rFonts w:hint="eastAsia" w:ascii="Times New Roman" w:eastAsia="仿宋"/>
          <w:sz w:val="28"/>
          <w:szCs w:val="28"/>
          <w:vertAlign w:val="superscript"/>
        </w:rPr>
        <w:t>3</w:t>
      </w:r>
      <w:r>
        <w:rPr>
          <w:rFonts w:hint="eastAsia" w:ascii="Times New Roman" w:eastAsia="仿宋"/>
          <w:sz w:val="28"/>
          <w:szCs w:val="28"/>
        </w:rPr>
        <w:t>/d，此项目目前已通过验收，本项目实施后，全厂拟接管水量约为1</w:t>
      </w:r>
      <w:r>
        <w:rPr>
          <w:rFonts w:ascii="Times New Roman" w:eastAsia="仿宋"/>
          <w:sz w:val="28"/>
          <w:szCs w:val="28"/>
        </w:rPr>
        <w:t>4.48</w:t>
      </w:r>
      <w:r>
        <w:rPr>
          <w:rFonts w:hint="eastAsia" w:ascii="Times New Roman" w:eastAsia="仿宋"/>
          <w:sz w:val="28"/>
          <w:szCs w:val="28"/>
        </w:rPr>
        <w:t>m</w:t>
      </w:r>
      <w:r>
        <w:rPr>
          <w:rFonts w:hint="eastAsia" w:ascii="Times New Roman" w:eastAsia="仿宋"/>
          <w:sz w:val="28"/>
          <w:szCs w:val="28"/>
          <w:vertAlign w:val="superscript"/>
        </w:rPr>
        <w:t>3</w:t>
      </w:r>
      <w:r>
        <w:rPr>
          <w:rFonts w:hint="eastAsia" w:ascii="Times New Roman" w:eastAsia="仿宋"/>
          <w:sz w:val="28"/>
          <w:szCs w:val="28"/>
        </w:rPr>
        <w:t>/d，占直溪污水处理厂处理余量的比例较小，因此，从水量分析，直溪污水处理厂有容量接纳本公司的接管污水。</w:t>
      </w:r>
    </w:p>
    <w:p w14:paraId="23B7D125">
      <w:pPr>
        <w:spacing w:line="490" w:lineRule="exact"/>
        <w:ind w:firstLine="560" w:firstLineChars="200"/>
        <w:rPr>
          <w:rFonts w:ascii="Times New Roman" w:eastAsia="仿宋"/>
          <w:sz w:val="28"/>
          <w:szCs w:val="28"/>
        </w:rPr>
      </w:pPr>
      <w:r>
        <w:rPr>
          <w:rFonts w:hint="eastAsia" w:ascii="Times New Roman" w:eastAsia="仿宋"/>
          <w:sz w:val="28"/>
          <w:szCs w:val="28"/>
        </w:rPr>
        <w:t>（3）燃气</w:t>
      </w:r>
    </w:p>
    <w:p w14:paraId="7C6A2CA1">
      <w:pPr>
        <w:spacing w:line="490" w:lineRule="exact"/>
        <w:ind w:firstLine="560" w:firstLineChars="200"/>
        <w:rPr>
          <w:rFonts w:ascii="Times New Roman" w:eastAsia="仿宋"/>
          <w:sz w:val="28"/>
          <w:szCs w:val="28"/>
        </w:rPr>
      </w:pPr>
      <w:r>
        <w:rPr>
          <w:rFonts w:hint="eastAsia" w:ascii="Times New Roman" w:eastAsia="仿宋"/>
          <w:sz w:val="28"/>
          <w:szCs w:val="28"/>
        </w:rPr>
        <w:t>规划区以西气东输和川气东送作为气源。天然气除充分满足居民、公建用气外，还适量为工业提供用气。沿镇区主干道逐步构建中压网络，结合大型社区及公建设置中低压调压站。</w:t>
      </w:r>
    </w:p>
    <w:p w14:paraId="79FE804C">
      <w:pPr>
        <w:spacing w:line="490" w:lineRule="exact"/>
        <w:ind w:firstLine="560" w:firstLineChars="200"/>
        <w:rPr>
          <w:rFonts w:ascii="Times New Roman" w:eastAsia="仿宋"/>
          <w:sz w:val="28"/>
          <w:szCs w:val="28"/>
        </w:rPr>
      </w:pPr>
      <w:r>
        <w:rPr>
          <w:rFonts w:hint="eastAsia" w:ascii="Times New Roman" w:eastAsia="仿宋"/>
          <w:sz w:val="28"/>
          <w:szCs w:val="28"/>
        </w:rPr>
        <w:t>（4）供电</w:t>
      </w:r>
    </w:p>
    <w:p w14:paraId="7318422D">
      <w:pPr>
        <w:spacing w:line="500" w:lineRule="exact"/>
        <w:ind w:firstLine="560" w:firstLineChars="200"/>
        <w:rPr>
          <w:rFonts w:ascii="Times New Roman" w:eastAsia="仿宋"/>
          <w:sz w:val="28"/>
          <w:szCs w:val="28"/>
        </w:rPr>
      </w:pPr>
      <w:r>
        <w:rPr>
          <w:rFonts w:hint="eastAsia" w:ascii="Times New Roman" w:eastAsia="仿宋"/>
          <w:sz w:val="28"/>
          <w:szCs w:val="28"/>
        </w:rPr>
        <w:t>扩建110kV五联变，规划主变容量达到2×80MVA（占地0.53公顷）；35kV朱林变移位扩建为110kV，主变容量至2×50MVA。</w:t>
      </w:r>
    </w:p>
    <w:p w14:paraId="4D48EC40">
      <w:pPr>
        <w:pStyle w:val="6"/>
        <w:keepLines w:val="0"/>
        <w:tabs>
          <w:tab w:val="left" w:pos="709"/>
        </w:tabs>
        <w:spacing w:before="120" w:beforeLines="50" w:after="120" w:afterLines="50" w:line="500" w:lineRule="exact"/>
        <w:rPr>
          <w:rFonts w:ascii="Times New Roman" w:eastAsia="仿宋"/>
          <w:sz w:val="28"/>
          <w:szCs w:val="28"/>
        </w:rPr>
      </w:pPr>
      <w:bookmarkStart w:id="164" w:name="_Toc446488114"/>
      <w:r>
        <w:rPr>
          <w:rFonts w:hint="eastAsia" w:ascii="Times New Roman" w:eastAsia="仿宋"/>
          <w:sz w:val="28"/>
          <w:szCs w:val="28"/>
        </w:rPr>
        <w:t>2</w:t>
      </w:r>
      <w:r>
        <w:rPr>
          <w:rFonts w:ascii="Times New Roman" w:eastAsia="仿宋"/>
          <w:sz w:val="28"/>
          <w:szCs w:val="28"/>
        </w:rPr>
        <w:t>.6.6环境功能区划</w:t>
      </w:r>
      <w:bookmarkEnd w:id="164"/>
    </w:p>
    <w:p w14:paraId="2725EA8E">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地表水</w:t>
      </w:r>
    </w:p>
    <w:p w14:paraId="3574B406">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本项目污水接管进</w:t>
      </w:r>
      <w:r>
        <w:rPr>
          <w:rFonts w:hint="eastAsia" w:ascii="Times New Roman" w:eastAsia="仿宋"/>
          <w:sz w:val="28"/>
          <w:szCs w:val="28"/>
        </w:rPr>
        <w:t>金坛区直溪污水处理厂</w:t>
      </w:r>
      <w:r>
        <w:rPr>
          <w:rFonts w:ascii="Times New Roman" w:eastAsia="仿宋"/>
          <w:sz w:val="28"/>
          <w:szCs w:val="28"/>
        </w:rPr>
        <w:t>，污水经处理后尾水排入</w:t>
      </w:r>
      <w:r>
        <w:rPr>
          <w:rFonts w:hint="eastAsia" w:ascii="Times New Roman" w:eastAsia="仿宋"/>
          <w:sz w:val="28"/>
          <w:szCs w:val="28"/>
        </w:rPr>
        <w:t>通济河</w:t>
      </w:r>
      <w:r>
        <w:rPr>
          <w:rFonts w:ascii="Times New Roman" w:eastAsia="仿宋"/>
          <w:sz w:val="28"/>
          <w:szCs w:val="28"/>
        </w:rPr>
        <w:t>，《江苏省地表水（环境）功能区划（2021-2030年）》，</w:t>
      </w:r>
      <w:r>
        <w:rPr>
          <w:rFonts w:hint="eastAsia" w:ascii="Times New Roman" w:eastAsia="仿宋"/>
          <w:sz w:val="28"/>
          <w:szCs w:val="28"/>
        </w:rPr>
        <w:t>通济河</w:t>
      </w:r>
      <w:r>
        <w:rPr>
          <w:rFonts w:ascii="Times New Roman" w:eastAsia="仿宋"/>
          <w:sz w:val="28"/>
          <w:szCs w:val="28"/>
        </w:rPr>
        <w:t>属于</w:t>
      </w:r>
      <w:r>
        <w:rPr>
          <w:rFonts w:hint="eastAsia" w:ascii="Times New Roman" w:eastAsia="仿宋"/>
          <w:sz w:val="28"/>
          <w:szCs w:val="28"/>
        </w:rPr>
        <w:t>Ⅳ</w:t>
      </w:r>
      <w:r>
        <w:rPr>
          <w:rFonts w:ascii="Times New Roman" w:eastAsia="仿宋"/>
          <w:sz w:val="28"/>
          <w:szCs w:val="28"/>
        </w:rPr>
        <w:t>类地表水，执行《地表水环境质量标准》(GB3838-2002)中</w:t>
      </w:r>
      <w:r>
        <w:rPr>
          <w:rFonts w:hint="eastAsia" w:ascii="Times New Roman" w:eastAsia="仿宋"/>
          <w:sz w:val="28"/>
          <w:szCs w:val="28"/>
        </w:rPr>
        <w:t>Ⅳ</w:t>
      </w:r>
      <w:r>
        <w:rPr>
          <w:rFonts w:ascii="Times New Roman" w:eastAsia="仿宋"/>
          <w:sz w:val="28"/>
          <w:szCs w:val="28"/>
        </w:rPr>
        <w:t>类水质标准。</w:t>
      </w:r>
    </w:p>
    <w:p w14:paraId="61D1E229">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环境空气</w:t>
      </w:r>
    </w:p>
    <w:p w14:paraId="63B4386D">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根据《常州市环境空气质量功能区划分规定（2017）》（常州市人民政府办公室，常政发</w:t>
      </w:r>
      <w:r>
        <w:rPr>
          <w:rFonts w:hint="eastAsia" w:ascii="Times New Roman" w:eastAsia="仿宋"/>
          <w:sz w:val="28"/>
          <w:szCs w:val="28"/>
        </w:rPr>
        <w:t>[</w:t>
      </w:r>
      <w:r>
        <w:rPr>
          <w:rFonts w:ascii="Times New Roman" w:eastAsia="仿宋"/>
          <w:sz w:val="28"/>
          <w:szCs w:val="28"/>
        </w:rPr>
        <w:t>2017]160号），本项目所在地位于二类区，环境空气执行《环境空气质量标准》(GB3095-2012)中二级标准。</w:t>
      </w:r>
    </w:p>
    <w:p w14:paraId="0CE6F12F">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（3）</w:t>
      </w:r>
      <w:r>
        <w:rPr>
          <w:rFonts w:ascii="Times New Roman" w:eastAsia="仿宋"/>
          <w:sz w:val="28"/>
          <w:szCs w:val="28"/>
        </w:rPr>
        <w:t>环境噪声</w:t>
      </w:r>
    </w:p>
    <w:p w14:paraId="2DE2F137">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本项目所在地为工业用地，</w:t>
      </w:r>
      <w:r>
        <w:rPr>
          <w:rFonts w:hint="eastAsia" w:ascii="Times New Roman" w:eastAsia="仿宋"/>
          <w:sz w:val="28"/>
          <w:szCs w:val="28"/>
        </w:rPr>
        <w:t>厂界四周</w:t>
      </w:r>
      <w:r>
        <w:rPr>
          <w:rFonts w:ascii="Times New Roman" w:eastAsia="仿宋"/>
          <w:sz w:val="28"/>
          <w:szCs w:val="28"/>
        </w:rPr>
        <w:t>执行《声环境质量标准》(GB3096-2008)中的3类标准。</w:t>
      </w:r>
    </w:p>
    <w:p w14:paraId="1B13CDCD">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（4）</w:t>
      </w:r>
      <w:r>
        <w:rPr>
          <w:rFonts w:ascii="Times New Roman" w:eastAsia="仿宋"/>
          <w:sz w:val="28"/>
          <w:szCs w:val="28"/>
        </w:rPr>
        <w:t>地下水</w:t>
      </w:r>
    </w:p>
    <w:p w14:paraId="5AA4B671">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本项目所在区域地下水执行《地下水质量标准》（GB/T14848-2017）中标准。</w:t>
      </w:r>
    </w:p>
    <w:p w14:paraId="4B4910B5">
      <w:pPr>
        <w:adjustRightInd w:val="0"/>
        <w:snapToGrid w:val="0"/>
        <w:spacing w:line="500" w:lineRule="exact"/>
        <w:ind w:firstLine="560" w:firstLineChars="200"/>
        <w:rPr>
          <w:rFonts w:ascii="Times New Roman" w:eastAsia="仿宋"/>
          <w:sz w:val="28"/>
          <w:szCs w:val="28"/>
        </w:rPr>
      </w:pPr>
      <w:r>
        <w:rPr>
          <w:rFonts w:hint="eastAsia" w:ascii="Times New Roman" w:eastAsia="仿宋"/>
          <w:sz w:val="28"/>
          <w:szCs w:val="28"/>
        </w:rPr>
        <w:t>（5）</w:t>
      </w:r>
      <w:r>
        <w:rPr>
          <w:rFonts w:ascii="Times New Roman" w:eastAsia="仿宋"/>
          <w:sz w:val="28"/>
          <w:szCs w:val="28"/>
        </w:rPr>
        <w:t>土壤</w:t>
      </w:r>
    </w:p>
    <w:p w14:paraId="6698DD70">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本项目所在地土壤为第二类用地，执行《土壤环境质量 建设用地土壤污染风险管控标准(试行)(GB36600-2018)》中第二类用地筛选值。</w:t>
      </w:r>
    </w:p>
    <w:p w14:paraId="64CC39A1">
      <w:pPr>
        <w:pStyle w:val="5"/>
        <w:numPr>
          <w:ilvl w:val="0"/>
          <w:numId w:val="0"/>
        </w:numPr>
        <w:rPr>
          <w:rFonts w:eastAsia="仿宋"/>
          <w:color w:val="auto"/>
        </w:rPr>
      </w:pPr>
      <w:bookmarkStart w:id="165" w:name="_Toc182553808"/>
      <w:r>
        <w:rPr>
          <w:rFonts w:hint="eastAsia" w:eastAsia="仿宋"/>
          <w:color w:val="auto"/>
        </w:rPr>
        <w:t>2</w:t>
      </w:r>
      <w:r>
        <w:rPr>
          <w:rFonts w:eastAsia="仿宋"/>
          <w:color w:val="auto"/>
        </w:rPr>
        <w:t>.7产业政策相符性和选址可行性分析</w:t>
      </w:r>
      <w:bookmarkEnd w:id="165"/>
    </w:p>
    <w:p w14:paraId="4BD39BF0">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.7.1产业政策相符</w:t>
      </w:r>
      <w:r>
        <w:rPr>
          <w:rFonts w:hint="eastAsia" w:ascii="Times New Roman" w:eastAsia="仿宋"/>
          <w:sz w:val="28"/>
          <w:szCs w:val="28"/>
        </w:rPr>
        <w:t>性</w:t>
      </w:r>
    </w:p>
    <w:p w14:paraId="4A279154">
      <w:pPr>
        <w:pStyle w:val="70"/>
        <w:spacing w:after="0" w:line="500" w:lineRule="exact"/>
        <w:ind w:left="0" w:leftChars="0" w:firstLine="560" w:firstLineChars="200"/>
        <w:rPr>
          <w:rFonts w:eastAsia="仿宋"/>
          <w:sz w:val="28"/>
          <w:szCs w:val="28"/>
        </w:rPr>
      </w:pPr>
      <w:r>
        <w:rPr>
          <w:rFonts w:hint="eastAsia" w:eastAsia="仿宋"/>
          <w:sz w:val="28"/>
          <w:szCs w:val="28"/>
        </w:rPr>
        <w:t>（1）本项目生产工艺、生产设备和产品均不属于《产业结构调整指导目录（2024年本）》（中华人民共和国国家发展和改革委员会令第7号，2023年12月27日）中的限制和淘汰类项目。</w:t>
      </w:r>
    </w:p>
    <w:p w14:paraId="6AFB443B">
      <w:pPr>
        <w:pStyle w:val="70"/>
        <w:spacing w:after="0" w:line="500" w:lineRule="exact"/>
        <w:ind w:left="0" w:leftChars="0" w:firstLine="560" w:firstLineChars="200"/>
        <w:rPr>
          <w:rFonts w:eastAsia="仿宋"/>
          <w:sz w:val="28"/>
          <w:szCs w:val="28"/>
        </w:rPr>
      </w:pPr>
      <w:r>
        <w:rPr>
          <w:rFonts w:hint="eastAsia" w:eastAsia="仿宋"/>
          <w:sz w:val="28"/>
          <w:szCs w:val="28"/>
        </w:rPr>
        <w:t>（2）本项目不属于《江苏省产业结构调整限制、淘汰和禁止目录（2018年本）》中的限制、淘汰及禁止类项目。</w:t>
      </w:r>
    </w:p>
    <w:p w14:paraId="5E452D3C">
      <w:pPr>
        <w:pStyle w:val="70"/>
        <w:spacing w:after="0" w:line="500" w:lineRule="exact"/>
        <w:ind w:left="0" w:leftChars="0" w:firstLine="560" w:firstLineChars="200"/>
        <w:rPr>
          <w:rFonts w:eastAsia="仿宋"/>
          <w:sz w:val="28"/>
          <w:szCs w:val="28"/>
        </w:rPr>
      </w:pPr>
      <w:r>
        <w:rPr>
          <w:rFonts w:hint="eastAsia" w:eastAsia="仿宋"/>
          <w:sz w:val="28"/>
          <w:szCs w:val="28"/>
        </w:rPr>
        <w:t>（3）本项目不属于《限制用地项目目录（2012年本）》和《禁止用地项目目录（2012年本）》中的限制类及禁止类项目。</w:t>
      </w:r>
    </w:p>
    <w:p w14:paraId="25945327">
      <w:pPr>
        <w:pStyle w:val="70"/>
        <w:spacing w:after="0" w:line="500" w:lineRule="exact"/>
        <w:ind w:left="0" w:leftChars="0" w:firstLine="560" w:firstLineChars="200"/>
        <w:rPr>
          <w:rFonts w:eastAsia="仿宋"/>
          <w:sz w:val="28"/>
          <w:szCs w:val="28"/>
        </w:rPr>
      </w:pPr>
      <w:r>
        <w:rPr>
          <w:rFonts w:hint="eastAsia" w:eastAsia="仿宋"/>
          <w:sz w:val="28"/>
          <w:szCs w:val="28"/>
        </w:rPr>
        <w:t>（4）本项目不属于《江苏省限制用地项目目录（2013年本）》和《江苏省禁止用地项目（2013年本）》中的限制类及禁止类项目。</w:t>
      </w:r>
    </w:p>
    <w:p w14:paraId="792B46BA">
      <w:pPr>
        <w:pStyle w:val="70"/>
        <w:spacing w:after="0" w:line="500" w:lineRule="exact"/>
        <w:ind w:left="0" w:leftChars="0" w:firstLine="560" w:firstLineChars="200"/>
        <w:rPr>
          <w:rFonts w:eastAsia="仿宋"/>
          <w:sz w:val="28"/>
          <w:szCs w:val="28"/>
        </w:rPr>
      </w:pPr>
      <w:r>
        <w:rPr>
          <w:rFonts w:hint="eastAsia" w:eastAsia="仿宋"/>
          <w:sz w:val="28"/>
          <w:szCs w:val="28"/>
        </w:rPr>
        <w:t>（5）本项目不属于《长江经济带发展负面清单指南（试行，2022年版）》及《关于印发&lt;长江经济带发展负面清单指南（试行，2022年版）&gt;江苏省实施细则的通知》（苏长江办发〔2022〕55号）中禁止类条款，符合实施细则管控要求。</w:t>
      </w:r>
    </w:p>
    <w:p w14:paraId="1C1418BB">
      <w:pPr>
        <w:pStyle w:val="70"/>
        <w:spacing w:after="0" w:line="500" w:lineRule="exact"/>
        <w:ind w:left="0" w:leftChars="0" w:firstLine="560" w:firstLineChars="200"/>
        <w:rPr>
          <w:rFonts w:eastAsia="仿宋"/>
          <w:sz w:val="28"/>
          <w:szCs w:val="28"/>
        </w:rPr>
      </w:pPr>
      <w:r>
        <w:rPr>
          <w:rFonts w:hint="eastAsia" w:eastAsia="仿宋"/>
          <w:sz w:val="28"/>
          <w:szCs w:val="28"/>
        </w:rPr>
        <w:t>（6）本项目不属于《市场准入负面清单（2022年版）》中禁止准入类和限制准入类项目。</w:t>
      </w:r>
    </w:p>
    <w:p w14:paraId="69DDA26B">
      <w:pPr>
        <w:pStyle w:val="70"/>
        <w:spacing w:after="0" w:line="500" w:lineRule="exact"/>
        <w:ind w:left="0" w:leftChars="0" w:firstLine="560" w:firstLineChars="200"/>
        <w:rPr>
          <w:rFonts w:eastAsia="仿宋"/>
          <w:sz w:val="28"/>
          <w:szCs w:val="28"/>
        </w:rPr>
      </w:pPr>
      <w:r>
        <w:rPr>
          <w:rFonts w:hint="eastAsia" w:eastAsia="仿宋"/>
          <w:sz w:val="28"/>
          <w:szCs w:val="28"/>
        </w:rPr>
        <w:t>（7）对照《关于印发环境保护综合名录（2021年版）的通知》（环办综合函〔2021〕495号），本项目的产品为汽车铝单板，不在“高污染、高环境风险”产品名录中。</w:t>
      </w:r>
    </w:p>
    <w:p w14:paraId="73B67C8D">
      <w:pPr>
        <w:pStyle w:val="70"/>
        <w:spacing w:after="0" w:line="500" w:lineRule="exact"/>
        <w:ind w:left="0" w:leftChars="0" w:firstLine="560" w:firstLineChars="200"/>
        <w:rPr>
          <w:rFonts w:eastAsia="仿宋"/>
          <w:sz w:val="28"/>
          <w:szCs w:val="28"/>
        </w:rPr>
      </w:pPr>
      <w:r>
        <w:rPr>
          <w:rFonts w:hint="eastAsia" w:eastAsia="仿宋"/>
          <w:sz w:val="28"/>
          <w:szCs w:val="28"/>
        </w:rPr>
        <w:t>（</w:t>
      </w:r>
      <w:r>
        <w:rPr>
          <w:rFonts w:eastAsia="仿宋"/>
          <w:sz w:val="28"/>
          <w:szCs w:val="28"/>
        </w:rPr>
        <w:t>8</w:t>
      </w:r>
      <w:r>
        <w:rPr>
          <w:rFonts w:hint="eastAsia" w:eastAsia="仿宋"/>
          <w:sz w:val="28"/>
          <w:szCs w:val="28"/>
        </w:rPr>
        <w:t>）本项目的产品为汽车铝单板，国民经济行业类别为“C3670 汽车零部件及其配件制造”，不属于《江苏省太湖流域禁止和限制的产业产品目录（2024年本）》（苏发改规发〔2024〕3号）中限制、淘汰及禁止类项目。</w:t>
      </w:r>
    </w:p>
    <w:p w14:paraId="5C3C26B8">
      <w:pPr>
        <w:pStyle w:val="70"/>
        <w:spacing w:after="0" w:line="500" w:lineRule="exact"/>
        <w:ind w:left="0" w:leftChars="0" w:firstLine="560" w:firstLineChars="200"/>
        <w:rPr>
          <w:rFonts w:eastAsia="仿宋"/>
          <w:sz w:val="28"/>
          <w:szCs w:val="28"/>
        </w:rPr>
      </w:pPr>
      <w:r>
        <w:rPr>
          <w:rFonts w:hint="eastAsia" w:eastAsia="仿宋"/>
          <w:sz w:val="28"/>
          <w:szCs w:val="28"/>
        </w:rPr>
        <w:t>（</w:t>
      </w:r>
      <w:r>
        <w:rPr>
          <w:rFonts w:eastAsia="仿宋"/>
          <w:sz w:val="28"/>
          <w:szCs w:val="28"/>
        </w:rPr>
        <w:t>9</w:t>
      </w:r>
      <w:r>
        <w:rPr>
          <w:rFonts w:hint="eastAsia" w:eastAsia="仿宋"/>
          <w:sz w:val="28"/>
          <w:szCs w:val="28"/>
        </w:rPr>
        <w:t>）本项目的产品为汽车铝单板，国民经济行业类别为“C3670 汽车零部件及其配件制造”，不属于《江苏省“两高”项目管理目录（2</w:t>
      </w:r>
      <w:r>
        <w:rPr>
          <w:rFonts w:eastAsia="仿宋"/>
          <w:sz w:val="28"/>
          <w:szCs w:val="28"/>
        </w:rPr>
        <w:t>024</w:t>
      </w:r>
      <w:r>
        <w:rPr>
          <w:rFonts w:hint="eastAsia" w:eastAsia="仿宋"/>
          <w:sz w:val="28"/>
          <w:szCs w:val="28"/>
        </w:rPr>
        <w:t>年版）》（苏发改规发[</w:t>
      </w:r>
      <w:r>
        <w:rPr>
          <w:rFonts w:eastAsia="仿宋"/>
          <w:sz w:val="28"/>
          <w:szCs w:val="28"/>
        </w:rPr>
        <w:t>2024]4</w:t>
      </w:r>
      <w:r>
        <w:rPr>
          <w:rFonts w:hint="eastAsia" w:eastAsia="仿宋"/>
          <w:sz w:val="28"/>
          <w:szCs w:val="28"/>
        </w:rPr>
        <w:t>号）中的“两高”项目。</w:t>
      </w:r>
    </w:p>
    <w:p w14:paraId="77CD1E63">
      <w:pPr>
        <w:pStyle w:val="70"/>
        <w:spacing w:after="0" w:line="500" w:lineRule="exact"/>
        <w:ind w:left="0" w:leftChars="0" w:firstLine="560" w:firstLineChars="200"/>
        <w:rPr>
          <w:rFonts w:eastAsia="仿宋"/>
          <w:sz w:val="28"/>
          <w:szCs w:val="28"/>
        </w:rPr>
      </w:pPr>
      <w:r>
        <w:rPr>
          <w:rFonts w:hint="eastAsia" w:eastAsia="仿宋"/>
          <w:sz w:val="28"/>
          <w:szCs w:val="28"/>
        </w:rPr>
        <w:t>（1</w:t>
      </w:r>
      <w:r>
        <w:rPr>
          <w:rFonts w:eastAsia="仿宋"/>
          <w:sz w:val="28"/>
          <w:szCs w:val="28"/>
        </w:rPr>
        <w:t>0</w:t>
      </w:r>
      <w:r>
        <w:rPr>
          <w:rFonts w:hint="eastAsia" w:eastAsia="仿宋"/>
          <w:sz w:val="28"/>
          <w:szCs w:val="28"/>
        </w:rPr>
        <w:t>）本项目已于2024年10月11日获得常州市金坛区发展和改革局出具的《江苏省投资项目备案证》（坛发改备[2024]481号）。</w:t>
      </w:r>
    </w:p>
    <w:p w14:paraId="3F49D081">
      <w:pPr>
        <w:pStyle w:val="70"/>
        <w:spacing w:after="0" w:line="500" w:lineRule="exact"/>
        <w:ind w:left="0" w:leftChars="0" w:firstLine="560" w:firstLineChars="200"/>
        <w:rPr>
          <w:rFonts w:eastAsia="仿宋"/>
          <w:sz w:val="28"/>
          <w:szCs w:val="28"/>
        </w:rPr>
      </w:pPr>
      <w:r>
        <w:rPr>
          <w:rFonts w:hint="eastAsia" w:eastAsia="仿宋"/>
          <w:sz w:val="28"/>
          <w:szCs w:val="28"/>
        </w:rPr>
        <w:t>（1</w:t>
      </w:r>
      <w:r>
        <w:rPr>
          <w:rFonts w:eastAsia="仿宋"/>
          <w:sz w:val="28"/>
          <w:szCs w:val="28"/>
        </w:rPr>
        <w:t>1</w:t>
      </w:r>
      <w:r>
        <w:rPr>
          <w:rFonts w:hint="eastAsia" w:eastAsia="仿宋"/>
          <w:sz w:val="28"/>
          <w:szCs w:val="28"/>
        </w:rPr>
        <w:t>）</w:t>
      </w:r>
      <w:r>
        <w:rPr>
          <w:rFonts w:hint="eastAsia" w:eastAsia="仿宋"/>
          <w:sz w:val="28"/>
        </w:rPr>
        <w:t>对照国家污染防治技术指导目录(2024年，限制类和淘汰类)分析湿式除尘装置豁免范围为：(1)易燃易爆粉尘气体洗涤净化;(2)高温高湿、易结露，黏性，含油，水溶性粉尘气体除尘;(3)预除尘。本项目涉及的粉尘主要为铝粉尘，为易爆粉尘，本项目使用湿式除尘器处理铝粉尘，因此属于豁免范围</w:t>
      </w:r>
      <w:r>
        <w:rPr>
          <w:rFonts w:hint="eastAsia" w:eastAsia="仿宋"/>
          <w:sz w:val="28"/>
          <w:szCs w:val="28"/>
        </w:rPr>
        <w:t>，不属于</w:t>
      </w:r>
      <w:r>
        <w:rPr>
          <w:rFonts w:eastAsia="仿宋"/>
          <w:sz w:val="28"/>
          <w:szCs w:val="28"/>
        </w:rPr>
        <w:t>《国家污染防治技术指导目录（2024年，限制类和淘汰类）》</w:t>
      </w:r>
      <w:r>
        <w:rPr>
          <w:rFonts w:hint="eastAsia" w:eastAsia="仿宋"/>
          <w:sz w:val="28"/>
          <w:szCs w:val="28"/>
        </w:rPr>
        <w:t>中限制、淘汰及禁止类项目。</w:t>
      </w:r>
    </w:p>
    <w:p w14:paraId="4A7106F1">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.7.2</w:t>
      </w:r>
      <w:r>
        <w:rPr>
          <w:rFonts w:hint="eastAsia" w:ascii="Times New Roman" w:eastAsia="仿宋"/>
          <w:sz w:val="28"/>
          <w:szCs w:val="28"/>
        </w:rPr>
        <w:t>相关环保政策相符</w:t>
      </w:r>
      <w:r>
        <w:rPr>
          <w:rFonts w:ascii="Times New Roman" w:eastAsia="仿宋"/>
          <w:sz w:val="28"/>
          <w:szCs w:val="28"/>
        </w:rPr>
        <w:t>性</w:t>
      </w:r>
    </w:p>
    <w:p w14:paraId="36D63CEA">
      <w:pPr>
        <w:autoSpaceDE w:val="0"/>
        <w:autoSpaceDN w:val="0"/>
        <w:spacing w:line="500" w:lineRule="exact"/>
        <w:ind w:firstLine="562" w:firstLineChars="200"/>
        <w:rPr>
          <w:rFonts w:ascii="Times New Roman" w:eastAsia="仿宋"/>
          <w:b/>
          <w:sz w:val="28"/>
        </w:rPr>
      </w:pPr>
      <w:r>
        <w:rPr>
          <w:rFonts w:hint="eastAsia" w:ascii="Times New Roman" w:eastAsia="仿宋"/>
          <w:b/>
          <w:sz w:val="28"/>
        </w:rPr>
        <w:t>1、与《江苏省太湖水污染防治条例》相符性分析</w:t>
      </w:r>
    </w:p>
    <w:p w14:paraId="4AEB80A3">
      <w:pPr>
        <w:pStyle w:val="70"/>
        <w:spacing w:after="0" w:line="500" w:lineRule="exact"/>
        <w:ind w:left="0" w:leftChars="0" w:firstLine="560" w:firstLineChars="200"/>
        <w:rPr>
          <w:rFonts w:eastAsia="仿宋"/>
          <w:sz w:val="28"/>
          <w:szCs w:val="28"/>
        </w:rPr>
      </w:pPr>
      <w:r>
        <w:rPr>
          <w:rFonts w:hint="eastAsia" w:eastAsia="仿宋"/>
          <w:sz w:val="28"/>
          <w:szCs w:val="28"/>
        </w:rPr>
        <w:t>“第四十三条  太湖流域一、二、三级保护区禁止下列行为：</w:t>
      </w:r>
    </w:p>
    <w:p w14:paraId="4CCDE2FC">
      <w:pPr>
        <w:pStyle w:val="70"/>
        <w:spacing w:after="0" w:line="500" w:lineRule="exact"/>
        <w:ind w:left="0" w:leftChars="0" w:firstLine="560" w:firstLineChars="200"/>
        <w:rPr>
          <w:rFonts w:eastAsia="仿宋"/>
          <w:sz w:val="28"/>
          <w:szCs w:val="28"/>
        </w:rPr>
      </w:pPr>
      <w:r>
        <w:rPr>
          <w:rFonts w:hint="eastAsia" w:eastAsia="仿宋"/>
          <w:sz w:val="28"/>
          <w:szCs w:val="28"/>
        </w:rPr>
        <w:t>新建、改建、扩建化学制浆造纸、制革、酿造、染料、印染、电镀以及其他排放含磷、氮等污染物的企业和项目，城镇污水集中处理等环境基础设施项目和第四十六条规定的情形除外；……”</w:t>
      </w:r>
    </w:p>
    <w:p w14:paraId="6D87A89A">
      <w:pPr>
        <w:pStyle w:val="70"/>
        <w:spacing w:after="0" w:line="500" w:lineRule="exact"/>
        <w:ind w:left="0" w:leftChars="0" w:firstLine="560" w:firstLineChars="200"/>
        <w:rPr>
          <w:rFonts w:eastAsia="仿宋"/>
          <w:sz w:val="28"/>
          <w:szCs w:val="28"/>
        </w:rPr>
      </w:pPr>
      <w:r>
        <w:rPr>
          <w:rFonts w:hint="eastAsia" w:eastAsia="仿宋"/>
          <w:sz w:val="28"/>
          <w:szCs w:val="28"/>
        </w:rPr>
        <w:t>“第四十六条  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p w14:paraId="62B95B7B">
      <w:pPr>
        <w:pStyle w:val="70"/>
        <w:spacing w:after="0" w:line="500" w:lineRule="exact"/>
        <w:ind w:left="0" w:leftChars="0" w:firstLine="560" w:firstLineChars="200"/>
        <w:rPr>
          <w:rFonts w:eastAsia="仿宋"/>
          <w:sz w:val="28"/>
          <w:szCs w:val="28"/>
        </w:rPr>
      </w:pPr>
      <w:r>
        <w:rPr>
          <w:rFonts w:hint="eastAsia" w:eastAsia="仿宋"/>
          <w:sz w:val="28"/>
          <w:szCs w:val="28"/>
        </w:rPr>
        <w:t>本项目为汽车零部件及其配件制造业，不属于条例中禁止的项目，本项目新增脱脂清洗废水、水洗槽废水经厂内污水处理站处理后与生活污水一同接管进直溪污水处理厂处理，生产废水不含氮、磷污染物，符合《江苏省太湖水污染防治条例》相关规定。</w:t>
      </w:r>
    </w:p>
    <w:p w14:paraId="42544F0C">
      <w:pPr>
        <w:autoSpaceDE w:val="0"/>
        <w:autoSpaceDN w:val="0"/>
        <w:spacing w:line="500" w:lineRule="exact"/>
        <w:ind w:firstLine="562" w:firstLineChars="200"/>
        <w:rPr>
          <w:rFonts w:ascii="Times New Roman" w:eastAsia="仿宋"/>
          <w:b/>
          <w:sz w:val="28"/>
        </w:rPr>
      </w:pPr>
      <w:r>
        <w:rPr>
          <w:rFonts w:hint="eastAsia" w:ascii="Times New Roman" w:eastAsia="仿宋"/>
          <w:b/>
          <w:sz w:val="28"/>
        </w:rPr>
        <w:t>2、与《太湖流域管理条例》（中华人民共和国国务院令第604号）相符性分析</w:t>
      </w:r>
    </w:p>
    <w:p w14:paraId="1594836D">
      <w:pPr>
        <w:pStyle w:val="70"/>
        <w:spacing w:after="0" w:line="500" w:lineRule="exact"/>
        <w:ind w:left="0" w:leftChars="0" w:firstLine="560" w:firstLineChars="200"/>
        <w:rPr>
          <w:rFonts w:eastAsia="仿宋"/>
          <w:sz w:val="28"/>
          <w:szCs w:val="28"/>
        </w:rPr>
      </w:pPr>
      <w:r>
        <w:rPr>
          <w:rFonts w:hint="eastAsia" w:eastAsia="仿宋"/>
          <w:sz w:val="28"/>
          <w:szCs w:val="28"/>
        </w:rPr>
        <w:t>第二十九条：新孟河、望虞河以外的其他主要入太湖河道，自河口1万米上溯至5万米河道岸线内及其岸线两侧各1000米范围内，禁止下列行为：</w:t>
      </w:r>
    </w:p>
    <w:p w14:paraId="016E5559">
      <w:pPr>
        <w:pStyle w:val="70"/>
        <w:spacing w:after="0" w:line="500" w:lineRule="exact"/>
        <w:ind w:left="0" w:leftChars="0" w:firstLine="560" w:firstLineChars="200"/>
        <w:rPr>
          <w:rFonts w:eastAsia="仿宋"/>
          <w:sz w:val="28"/>
          <w:szCs w:val="28"/>
        </w:rPr>
      </w:pPr>
      <w:r>
        <w:rPr>
          <w:rFonts w:hint="eastAsia" w:eastAsia="仿宋"/>
          <w:sz w:val="28"/>
          <w:szCs w:val="28"/>
        </w:rPr>
        <w:t>①新建、扩建化工、医药生产项目；</w:t>
      </w:r>
    </w:p>
    <w:p w14:paraId="2AB9E9B4">
      <w:pPr>
        <w:pStyle w:val="70"/>
        <w:spacing w:after="0" w:line="500" w:lineRule="exact"/>
        <w:ind w:left="0" w:leftChars="0" w:firstLine="560" w:firstLineChars="200"/>
        <w:rPr>
          <w:rFonts w:eastAsia="仿宋"/>
          <w:sz w:val="28"/>
          <w:szCs w:val="28"/>
        </w:rPr>
      </w:pPr>
      <w:r>
        <w:rPr>
          <w:rFonts w:hint="eastAsia" w:eastAsia="仿宋"/>
          <w:sz w:val="28"/>
          <w:szCs w:val="28"/>
        </w:rPr>
        <w:t>②新建、扩建污水集中处理设施排污口以外的排污口；</w:t>
      </w:r>
    </w:p>
    <w:p w14:paraId="79A27706">
      <w:pPr>
        <w:pStyle w:val="70"/>
        <w:spacing w:after="0" w:line="500" w:lineRule="exact"/>
        <w:ind w:left="0" w:leftChars="0" w:firstLine="560" w:firstLineChars="200"/>
        <w:rPr>
          <w:rFonts w:eastAsia="仿宋"/>
          <w:sz w:val="28"/>
          <w:szCs w:val="28"/>
        </w:rPr>
      </w:pPr>
      <w:r>
        <w:rPr>
          <w:rFonts w:hint="eastAsia" w:eastAsia="仿宋"/>
          <w:sz w:val="28"/>
          <w:szCs w:val="28"/>
        </w:rPr>
        <w:t>③扩大水产养殖规模。</w:t>
      </w:r>
    </w:p>
    <w:p w14:paraId="1B347D2B">
      <w:pPr>
        <w:pStyle w:val="70"/>
        <w:spacing w:after="0" w:line="500" w:lineRule="exact"/>
        <w:ind w:left="0" w:leftChars="0" w:firstLine="560" w:firstLineChars="200"/>
        <w:rPr>
          <w:rFonts w:eastAsia="仿宋"/>
          <w:sz w:val="28"/>
          <w:szCs w:val="28"/>
        </w:rPr>
      </w:pPr>
      <w:r>
        <w:rPr>
          <w:rFonts w:hint="eastAsia" w:eastAsia="仿宋"/>
          <w:sz w:val="28"/>
          <w:szCs w:val="28"/>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7491D5A1">
      <w:pPr>
        <w:pStyle w:val="70"/>
        <w:spacing w:after="0" w:line="500" w:lineRule="exact"/>
        <w:ind w:left="0" w:leftChars="0" w:firstLine="560" w:firstLineChars="200"/>
        <w:rPr>
          <w:rFonts w:eastAsia="仿宋"/>
          <w:sz w:val="28"/>
          <w:szCs w:val="28"/>
        </w:rPr>
      </w:pPr>
      <w:r>
        <w:rPr>
          <w:rFonts w:hint="eastAsia" w:eastAsia="仿宋"/>
          <w:sz w:val="28"/>
          <w:szCs w:val="28"/>
        </w:rPr>
        <w:t>①设置剧毒物质、危险化学品的贮存、输送设施和废物回收场、垃圾场；</w:t>
      </w:r>
    </w:p>
    <w:p w14:paraId="49E7C770">
      <w:pPr>
        <w:pStyle w:val="70"/>
        <w:spacing w:after="0" w:line="500" w:lineRule="exact"/>
        <w:ind w:left="0" w:leftChars="0" w:firstLine="560" w:firstLineChars="200"/>
        <w:rPr>
          <w:rFonts w:eastAsia="仿宋"/>
          <w:sz w:val="28"/>
          <w:szCs w:val="28"/>
        </w:rPr>
      </w:pPr>
      <w:r>
        <w:rPr>
          <w:rFonts w:hint="eastAsia" w:eastAsia="仿宋"/>
          <w:sz w:val="28"/>
          <w:szCs w:val="28"/>
        </w:rPr>
        <w:t>②设置水上餐饮经营设施；</w:t>
      </w:r>
    </w:p>
    <w:p w14:paraId="5D2DC605">
      <w:pPr>
        <w:pStyle w:val="70"/>
        <w:spacing w:after="0" w:line="500" w:lineRule="exact"/>
        <w:ind w:left="0" w:leftChars="0" w:firstLine="560" w:firstLineChars="200"/>
        <w:rPr>
          <w:rFonts w:eastAsia="仿宋"/>
          <w:sz w:val="28"/>
          <w:szCs w:val="28"/>
        </w:rPr>
      </w:pPr>
      <w:r>
        <w:rPr>
          <w:rFonts w:hint="eastAsia" w:eastAsia="仿宋"/>
          <w:sz w:val="28"/>
          <w:szCs w:val="28"/>
        </w:rPr>
        <w:t>③新建、扩建高尔夫球场；</w:t>
      </w:r>
    </w:p>
    <w:p w14:paraId="7FAA6467">
      <w:pPr>
        <w:pStyle w:val="70"/>
        <w:spacing w:after="0" w:line="500" w:lineRule="exact"/>
        <w:ind w:left="0" w:leftChars="0" w:firstLine="560" w:firstLineChars="200"/>
        <w:rPr>
          <w:rFonts w:eastAsia="仿宋"/>
          <w:sz w:val="28"/>
          <w:szCs w:val="28"/>
        </w:rPr>
      </w:pPr>
      <w:r>
        <w:rPr>
          <w:rFonts w:hint="eastAsia" w:eastAsia="仿宋"/>
          <w:sz w:val="28"/>
          <w:szCs w:val="28"/>
        </w:rPr>
        <w:t>④新建、扩建畜禽养殖场；</w:t>
      </w:r>
    </w:p>
    <w:p w14:paraId="4F89732A">
      <w:pPr>
        <w:pStyle w:val="70"/>
        <w:spacing w:after="0" w:line="500" w:lineRule="exact"/>
        <w:ind w:left="0" w:leftChars="0" w:firstLine="560" w:firstLineChars="200"/>
        <w:rPr>
          <w:rFonts w:eastAsia="仿宋"/>
          <w:sz w:val="28"/>
          <w:szCs w:val="28"/>
        </w:rPr>
      </w:pPr>
      <w:r>
        <w:rPr>
          <w:rFonts w:hint="eastAsia" w:eastAsia="仿宋"/>
          <w:sz w:val="28"/>
          <w:szCs w:val="28"/>
        </w:rPr>
        <w:t>⑤新建、扩建向水体排放污染物的建设项目；</w:t>
      </w:r>
    </w:p>
    <w:p w14:paraId="49921955">
      <w:pPr>
        <w:pStyle w:val="70"/>
        <w:spacing w:after="0" w:line="500" w:lineRule="exact"/>
        <w:ind w:left="0" w:leftChars="0" w:firstLine="560" w:firstLineChars="200"/>
        <w:rPr>
          <w:rFonts w:eastAsia="仿宋"/>
          <w:sz w:val="28"/>
          <w:szCs w:val="28"/>
        </w:rPr>
      </w:pPr>
      <w:r>
        <w:rPr>
          <w:rFonts w:hint="eastAsia" w:eastAsia="仿宋"/>
          <w:sz w:val="28"/>
          <w:szCs w:val="28"/>
        </w:rPr>
        <w:t>⑥本条例第二十九条规定的行为。</w:t>
      </w:r>
    </w:p>
    <w:p w14:paraId="187ACE69">
      <w:pPr>
        <w:pStyle w:val="70"/>
        <w:spacing w:after="0" w:line="500" w:lineRule="exact"/>
        <w:ind w:left="0" w:leftChars="0" w:firstLine="560" w:firstLineChars="200"/>
        <w:rPr>
          <w:rFonts w:eastAsia="仿宋"/>
          <w:sz w:val="28"/>
          <w:szCs w:val="28"/>
        </w:rPr>
      </w:pPr>
      <w:r>
        <w:rPr>
          <w:rFonts w:hint="eastAsia" w:eastAsia="仿宋"/>
          <w:sz w:val="28"/>
          <w:szCs w:val="28"/>
        </w:rPr>
        <w:t>本项目位于常州市金坛区朱林镇永兴路68号，项目的产品为汽车铝单板，国民经济行业类别属于“C3670 汽车零部件及其配件制造”，均不位于该条例第二十八条、第二十九条、第三十条规定的禁止建设范围内。项目产生的污水通过厂区污水管网接入市政污水管网，最终排入直溪污水处理厂集中处理，达标后尾水排入通济河。</w:t>
      </w:r>
      <w:bookmarkStart w:id="166" w:name="_Hlk138580633"/>
      <w:r>
        <w:rPr>
          <w:rFonts w:hint="eastAsia" w:eastAsia="仿宋"/>
          <w:sz w:val="28"/>
          <w:szCs w:val="28"/>
        </w:rPr>
        <w:t>因此本项目符合《太湖流域管理条例》</w:t>
      </w:r>
      <w:bookmarkEnd w:id="166"/>
      <w:r>
        <w:rPr>
          <w:rFonts w:hint="eastAsia" w:eastAsia="仿宋"/>
          <w:sz w:val="28"/>
          <w:szCs w:val="28"/>
        </w:rPr>
        <w:t>（中华人民共和国国务院令第604号）相关规定。</w:t>
      </w:r>
    </w:p>
    <w:p w14:paraId="0A2B211E">
      <w:pPr>
        <w:autoSpaceDE w:val="0"/>
        <w:autoSpaceDN w:val="0"/>
        <w:spacing w:line="500" w:lineRule="exact"/>
        <w:ind w:firstLine="562" w:firstLineChars="200"/>
        <w:rPr>
          <w:rFonts w:ascii="Times New Roman" w:eastAsia="仿宋"/>
          <w:b/>
          <w:sz w:val="28"/>
        </w:rPr>
      </w:pPr>
      <w:r>
        <w:rPr>
          <w:rFonts w:hint="eastAsia" w:ascii="Times New Roman" w:eastAsia="仿宋"/>
          <w:b/>
          <w:sz w:val="28"/>
        </w:rPr>
        <w:t>3、与《关于印发&lt;江苏省重点行业挥发性有机物污染控制指南&gt;的通知》（苏环办〔2014〕128号）相符性分析</w:t>
      </w:r>
    </w:p>
    <w:p w14:paraId="0D56E20E">
      <w:pPr>
        <w:widowControl/>
        <w:spacing w:line="500" w:lineRule="exact"/>
        <w:jc w:val="center"/>
        <w:rPr>
          <w:rFonts w:ascii="Times New Roman" w:eastAsia="仿宋"/>
          <w:b/>
        </w:rPr>
      </w:pPr>
    </w:p>
    <w:p w14:paraId="2AF9C31E">
      <w:pPr>
        <w:widowControl/>
        <w:spacing w:line="500" w:lineRule="exact"/>
        <w:jc w:val="center"/>
        <w:rPr>
          <w:rFonts w:ascii="Times New Roman" w:eastAsia="仿宋"/>
          <w:b/>
        </w:rPr>
      </w:pPr>
    </w:p>
    <w:p w14:paraId="0127D041">
      <w:pPr>
        <w:widowControl/>
        <w:spacing w:line="500" w:lineRule="exact"/>
        <w:jc w:val="center"/>
        <w:rPr>
          <w:rFonts w:ascii="Times New Roman" w:eastAsia="仿宋"/>
          <w:b/>
        </w:rPr>
      </w:pPr>
    </w:p>
    <w:p w14:paraId="3FDB662D">
      <w:pPr>
        <w:widowControl/>
        <w:spacing w:line="500" w:lineRule="exact"/>
        <w:jc w:val="center"/>
        <w:rPr>
          <w:rFonts w:ascii="Times New Roman" w:eastAsia="仿宋"/>
          <w:b/>
        </w:rPr>
      </w:pPr>
    </w:p>
    <w:p w14:paraId="3304667E">
      <w:pPr>
        <w:widowControl/>
        <w:spacing w:line="500" w:lineRule="exact"/>
        <w:jc w:val="center"/>
        <w:rPr>
          <w:rFonts w:ascii="Times New Roman" w:eastAsia="仿宋"/>
          <w:b/>
        </w:rPr>
      </w:pPr>
    </w:p>
    <w:p w14:paraId="117E6DDE">
      <w:pPr>
        <w:pStyle w:val="2"/>
      </w:pPr>
    </w:p>
    <w:p w14:paraId="39F6D5A3">
      <w:pPr>
        <w:widowControl/>
        <w:spacing w:line="500" w:lineRule="exact"/>
        <w:jc w:val="center"/>
        <w:rPr>
          <w:rFonts w:ascii="Times New Roman" w:eastAsia="仿宋"/>
          <w:b/>
        </w:rPr>
      </w:pPr>
      <w:r>
        <w:rPr>
          <w:rFonts w:ascii="Times New Roman" w:eastAsia="仿宋"/>
          <w:b/>
        </w:rPr>
        <w:t>表2.</w:t>
      </w:r>
      <w:r>
        <w:rPr>
          <w:rFonts w:hint="eastAsia" w:ascii="Times New Roman" w:eastAsia="仿宋"/>
          <w:b/>
        </w:rPr>
        <w:t>7</w:t>
      </w:r>
      <w:r>
        <w:rPr>
          <w:rFonts w:ascii="Times New Roman" w:eastAsia="仿宋"/>
          <w:b/>
        </w:rPr>
        <w:t>-1  本项目与苏环办〔2014〕128号相符性</w:t>
      </w:r>
    </w:p>
    <w:tbl>
      <w:tblPr>
        <w:tblStyle w:val="87"/>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17"/>
        <w:gridCol w:w="4287"/>
        <w:gridCol w:w="2666"/>
        <w:gridCol w:w="1027"/>
      </w:tblGrid>
      <w:tr w14:paraId="5D1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5702DEB9">
            <w:pPr>
              <w:widowControl/>
              <w:adjustRightInd w:val="0"/>
              <w:snapToGrid w:val="0"/>
              <w:jc w:val="center"/>
              <w:rPr>
                <w:rFonts w:ascii="Times New Roman" w:eastAsia="仿宋"/>
              </w:rPr>
            </w:pPr>
            <w:r>
              <w:rPr>
                <w:rFonts w:ascii="Times New Roman" w:eastAsia="仿宋"/>
              </w:rPr>
              <w:t>序号</w:t>
            </w:r>
          </w:p>
        </w:tc>
        <w:tc>
          <w:tcPr>
            <w:tcW w:w="817" w:type="dxa"/>
            <w:vAlign w:val="center"/>
          </w:tcPr>
          <w:p w14:paraId="75C3D010">
            <w:pPr>
              <w:widowControl/>
              <w:adjustRightInd w:val="0"/>
              <w:snapToGrid w:val="0"/>
              <w:jc w:val="center"/>
              <w:rPr>
                <w:rFonts w:ascii="Times New Roman" w:eastAsia="仿宋"/>
              </w:rPr>
            </w:pPr>
            <w:r>
              <w:rPr>
                <w:rFonts w:ascii="Times New Roman" w:eastAsia="仿宋"/>
              </w:rPr>
              <w:t>判断类型</w:t>
            </w:r>
          </w:p>
        </w:tc>
        <w:tc>
          <w:tcPr>
            <w:tcW w:w="4287" w:type="dxa"/>
            <w:vAlign w:val="center"/>
          </w:tcPr>
          <w:p w14:paraId="2EFB2D58">
            <w:pPr>
              <w:widowControl/>
              <w:adjustRightInd w:val="0"/>
              <w:snapToGrid w:val="0"/>
              <w:jc w:val="center"/>
              <w:rPr>
                <w:rFonts w:ascii="Times New Roman" w:eastAsia="仿宋"/>
              </w:rPr>
            </w:pPr>
            <w:r>
              <w:rPr>
                <w:rFonts w:ascii="Times New Roman" w:eastAsia="仿宋"/>
              </w:rPr>
              <w:t>对照内容</w:t>
            </w:r>
          </w:p>
        </w:tc>
        <w:tc>
          <w:tcPr>
            <w:tcW w:w="2666" w:type="dxa"/>
            <w:vAlign w:val="center"/>
          </w:tcPr>
          <w:p w14:paraId="4F6E3E19">
            <w:pPr>
              <w:widowControl/>
              <w:adjustRightInd w:val="0"/>
              <w:snapToGrid w:val="0"/>
              <w:jc w:val="center"/>
              <w:rPr>
                <w:rFonts w:ascii="Times New Roman" w:eastAsia="仿宋"/>
              </w:rPr>
            </w:pPr>
            <w:r>
              <w:rPr>
                <w:rFonts w:ascii="Times New Roman" w:eastAsia="仿宋"/>
              </w:rPr>
              <w:t>本项目情况</w:t>
            </w:r>
          </w:p>
        </w:tc>
        <w:tc>
          <w:tcPr>
            <w:tcW w:w="1027" w:type="dxa"/>
            <w:vAlign w:val="center"/>
          </w:tcPr>
          <w:p w14:paraId="08DD9753">
            <w:pPr>
              <w:widowControl/>
              <w:adjustRightInd w:val="0"/>
              <w:snapToGrid w:val="0"/>
              <w:jc w:val="center"/>
              <w:rPr>
                <w:rFonts w:ascii="Times New Roman" w:eastAsia="仿宋"/>
              </w:rPr>
            </w:pPr>
            <w:r>
              <w:rPr>
                <w:rFonts w:ascii="Times New Roman" w:eastAsia="仿宋"/>
              </w:rPr>
              <w:t>相符性</w:t>
            </w:r>
          </w:p>
        </w:tc>
      </w:tr>
      <w:tr w14:paraId="76FF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1ACF09DD">
            <w:pPr>
              <w:widowControl/>
              <w:adjustRightInd w:val="0"/>
              <w:snapToGrid w:val="0"/>
              <w:jc w:val="center"/>
              <w:rPr>
                <w:rFonts w:ascii="Times New Roman" w:eastAsia="仿宋"/>
              </w:rPr>
            </w:pPr>
            <w:r>
              <w:rPr>
                <w:rFonts w:ascii="Times New Roman" w:eastAsia="仿宋"/>
              </w:rPr>
              <w:t>1</w:t>
            </w:r>
          </w:p>
        </w:tc>
        <w:tc>
          <w:tcPr>
            <w:tcW w:w="817" w:type="dxa"/>
            <w:vMerge w:val="restart"/>
            <w:vAlign w:val="center"/>
          </w:tcPr>
          <w:p w14:paraId="3DFD7358">
            <w:pPr>
              <w:widowControl/>
              <w:adjustRightInd w:val="0"/>
              <w:snapToGrid w:val="0"/>
              <w:jc w:val="center"/>
              <w:rPr>
                <w:rFonts w:ascii="Times New Roman" w:eastAsia="仿宋"/>
              </w:rPr>
            </w:pPr>
            <w:r>
              <w:rPr>
                <w:rFonts w:ascii="Times New Roman" w:eastAsia="仿宋"/>
              </w:rPr>
              <w:t>一、总体要求</w:t>
            </w:r>
          </w:p>
        </w:tc>
        <w:tc>
          <w:tcPr>
            <w:tcW w:w="4287" w:type="dxa"/>
            <w:vAlign w:val="center"/>
          </w:tcPr>
          <w:p w14:paraId="295BD0FE">
            <w:pPr>
              <w:widowControl/>
              <w:adjustRightInd w:val="0"/>
              <w:snapToGrid w:val="0"/>
              <w:jc w:val="center"/>
              <w:rPr>
                <w:rFonts w:ascii="Times New Roman" w:eastAsia="仿宋"/>
              </w:rPr>
            </w:pPr>
            <w:r>
              <w:rPr>
                <w:rFonts w:ascii="Times New Roman" w:eastAsia="仿宋"/>
              </w:rPr>
              <w:t>（一）所有产生有机废气污染的企业，应优先采用环保型原辅料、生产工艺和装备，对相应生产单元或设施进行密闭，从源头控制VOCs的产生，减少废气污染物排放。</w:t>
            </w:r>
          </w:p>
        </w:tc>
        <w:tc>
          <w:tcPr>
            <w:tcW w:w="2666" w:type="dxa"/>
            <w:vAlign w:val="center"/>
          </w:tcPr>
          <w:p w14:paraId="0B3E5FB5">
            <w:pPr>
              <w:widowControl/>
              <w:adjustRightInd w:val="0"/>
              <w:snapToGrid w:val="0"/>
              <w:jc w:val="center"/>
              <w:rPr>
                <w:rFonts w:ascii="Times New Roman" w:eastAsia="仿宋"/>
              </w:rPr>
            </w:pPr>
            <w:r>
              <w:rPr>
                <w:rFonts w:ascii="Times New Roman" w:eastAsia="仿宋"/>
              </w:rPr>
              <w:t>本项目VOCs主要来源于</w:t>
            </w:r>
            <w:r>
              <w:rPr>
                <w:rFonts w:hint="eastAsia" w:ascii="Times New Roman" w:eastAsia="仿宋"/>
              </w:rPr>
              <w:t>调漆、喷漆、流平及烘干工段</w:t>
            </w:r>
            <w:r>
              <w:rPr>
                <w:rFonts w:ascii="Times New Roman" w:eastAsia="仿宋"/>
              </w:rPr>
              <w:t>，各工段均从源头控制VOCs的产生，减少废气污染物排放。</w:t>
            </w:r>
          </w:p>
        </w:tc>
        <w:tc>
          <w:tcPr>
            <w:tcW w:w="1027" w:type="dxa"/>
            <w:vAlign w:val="center"/>
          </w:tcPr>
          <w:p w14:paraId="65549BE1">
            <w:pPr>
              <w:widowControl/>
              <w:adjustRightInd w:val="0"/>
              <w:snapToGrid w:val="0"/>
              <w:jc w:val="center"/>
              <w:rPr>
                <w:rFonts w:ascii="Times New Roman" w:eastAsia="仿宋"/>
              </w:rPr>
            </w:pPr>
            <w:r>
              <w:rPr>
                <w:rFonts w:ascii="Times New Roman" w:eastAsia="仿宋"/>
              </w:rPr>
              <w:t>相符</w:t>
            </w:r>
          </w:p>
        </w:tc>
      </w:tr>
      <w:tr w14:paraId="003D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6A7042D8">
            <w:pPr>
              <w:widowControl/>
              <w:adjustRightInd w:val="0"/>
              <w:snapToGrid w:val="0"/>
              <w:jc w:val="center"/>
              <w:rPr>
                <w:rFonts w:ascii="Times New Roman" w:eastAsia="仿宋"/>
              </w:rPr>
            </w:pPr>
            <w:r>
              <w:rPr>
                <w:rFonts w:ascii="Times New Roman" w:eastAsia="仿宋"/>
              </w:rPr>
              <w:t>2</w:t>
            </w:r>
          </w:p>
        </w:tc>
        <w:tc>
          <w:tcPr>
            <w:tcW w:w="817" w:type="dxa"/>
            <w:vMerge w:val="continue"/>
            <w:vAlign w:val="center"/>
          </w:tcPr>
          <w:p w14:paraId="696B113B">
            <w:pPr>
              <w:widowControl/>
              <w:adjustRightInd w:val="0"/>
              <w:snapToGrid w:val="0"/>
              <w:jc w:val="center"/>
              <w:rPr>
                <w:rFonts w:ascii="Times New Roman" w:eastAsia="仿宋"/>
              </w:rPr>
            </w:pPr>
          </w:p>
        </w:tc>
        <w:tc>
          <w:tcPr>
            <w:tcW w:w="4287" w:type="dxa"/>
            <w:vAlign w:val="center"/>
          </w:tcPr>
          <w:p w14:paraId="78D9212F">
            <w:pPr>
              <w:widowControl/>
              <w:adjustRightInd w:val="0"/>
              <w:snapToGrid w:val="0"/>
              <w:jc w:val="center"/>
              <w:rPr>
                <w:rFonts w:ascii="Times New Roman" w:eastAsia="仿宋"/>
              </w:rPr>
            </w:pPr>
            <w:r>
              <w:rPr>
                <w:rFonts w:ascii="Times New Roman" w:eastAsia="仿宋"/>
              </w:rPr>
              <w:t>（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具体要求如下：1、对于5000ppm以上的高浓度VOCs废气，优先采用冷凝、吸附回收等技术对废气中的VOCs回收利用，并辅以其他治理技术实现达标排放。2、对于1000ppm～5000ppm的中等浓度VOCs废气，具备回收价值的宜采用吸附技术回收有机溶剂，不具备回收价值的可采用催化燃烧、RTO炉高温焚烧等技术净化后达标排放。当采用热力焚烧技术进行净化时，宜对燃烧后的热量回收利用。3、对于1000ppm以下的低浓度VOCs废气，有回收价值时宜采用吸附技术回收处理，无回收价值时优先采用吸附浓缩－高温燃烧、微生物处理、填料塔吸收等技术净化处理后达标排放。4、含恶臭类的气体可采用微生物净化技术、低温等离子技术、吸附或吸收技术、热力焚烧技术等净化后达标排放，同时不对周边敏感保护目标产生影响。5、对含尘、含气溶胶、高湿废气，在采用活性炭吸附、催化燃烧、RTO焚烧、低温等离子等工艺处理前应先采用高效除尘、除雾等装置进行预处理。6、对于高温焚烧过程中产生的含硫、氮、氯等的无机废气，以及吸附、吸收、冷凝、生物等治理工艺过程中所产生的含有机物的废水，应处理后达标排放。废吸附剂应按照相关管理要求规范处置，防范二次污染。</w:t>
            </w:r>
          </w:p>
        </w:tc>
        <w:tc>
          <w:tcPr>
            <w:tcW w:w="2666" w:type="dxa"/>
            <w:vAlign w:val="center"/>
          </w:tcPr>
          <w:p w14:paraId="6185ED83">
            <w:pPr>
              <w:widowControl/>
              <w:adjustRightInd w:val="0"/>
              <w:snapToGrid w:val="0"/>
              <w:jc w:val="center"/>
              <w:rPr>
                <w:rFonts w:ascii="Times New Roman" w:eastAsia="仿宋"/>
              </w:rPr>
            </w:pPr>
            <w:r>
              <w:rPr>
                <w:rFonts w:ascii="Times New Roman" w:eastAsia="仿宋"/>
              </w:rPr>
              <w:t>本项目</w:t>
            </w:r>
            <w:r>
              <w:rPr>
                <w:rFonts w:hint="eastAsia" w:ascii="Times New Roman" w:eastAsia="仿宋"/>
              </w:rPr>
              <w:t>钝化、</w:t>
            </w:r>
            <w:r>
              <w:rPr>
                <w:rFonts w:hint="eastAsia" w:ascii="Times New Roman" w:eastAsia="仿宋"/>
                <w:szCs w:val="24"/>
              </w:rPr>
              <w:t>氟碳底漆喷漆、流平</w:t>
            </w:r>
            <w:r>
              <w:rPr>
                <w:rFonts w:ascii="Times New Roman" w:eastAsia="仿宋"/>
              </w:rPr>
              <w:t>工段产生的</w:t>
            </w:r>
            <w:r>
              <w:rPr>
                <w:rFonts w:hint="eastAsia" w:ascii="Times New Roman" w:eastAsia="仿宋"/>
              </w:rPr>
              <w:t>废气</w:t>
            </w:r>
            <w:r>
              <w:rPr>
                <w:rFonts w:ascii="Times New Roman" w:eastAsia="仿宋"/>
              </w:rPr>
              <w:t>经</w:t>
            </w:r>
            <w:r>
              <w:rPr>
                <w:rFonts w:hint="eastAsia" w:ascii="Times New Roman" w:eastAsia="仿宋"/>
                <w:szCs w:val="21"/>
              </w:rPr>
              <w:t>1号水帘式循环过滤系统+水喷淋+干式过滤器+活性炭吸附脱附+催化燃烧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2</w:t>
            </w:r>
            <w:r>
              <w:rPr>
                <w:rFonts w:ascii="Times New Roman" w:eastAsia="仿宋"/>
              </w:rPr>
              <w:t>#）排放，风机风量2</w:t>
            </w:r>
            <w:r>
              <w:rPr>
                <w:rFonts w:hint="eastAsia" w:ascii="Times New Roman" w:eastAsia="仿宋"/>
              </w:rPr>
              <w:t>6</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szCs w:val="24"/>
              </w:rPr>
              <w:t>氟碳面漆及底漆调漆、氟碳面漆喷漆、氟碳面漆流平、喷枪清洗工段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rPr>
              <w:t>2</w:t>
            </w:r>
            <w:r>
              <w:rPr>
                <w:rFonts w:hint="eastAsia" w:ascii="Times New Roman" w:eastAsia="仿宋"/>
                <w:szCs w:val="21"/>
              </w:rPr>
              <w:t>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3</w:t>
            </w:r>
            <w:r>
              <w:rPr>
                <w:rFonts w:ascii="Times New Roman" w:eastAsia="仿宋"/>
              </w:rPr>
              <w:t>#）排放，风机风量2</w:t>
            </w:r>
            <w:r>
              <w:rPr>
                <w:rFonts w:hint="eastAsia" w:ascii="Times New Roman" w:eastAsia="仿宋"/>
              </w:rPr>
              <w:t>8</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rPr>
              <w:t>固化工段、</w:t>
            </w:r>
            <w:r>
              <w:rPr>
                <w:rFonts w:hint="eastAsia" w:ascii="Times New Roman" w:eastAsia="仿宋"/>
                <w:szCs w:val="24"/>
              </w:rPr>
              <w:t>氟碳面漆烘干、氟碳底漆烘干工段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szCs w:val="21"/>
              </w:rPr>
              <w:t>3号水帘式循环过滤系统+水喷淋+干式过滤器+活性炭吸附脱附+催化燃烧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4</w:t>
            </w:r>
            <w:r>
              <w:rPr>
                <w:rFonts w:ascii="Times New Roman" w:eastAsia="仿宋"/>
              </w:rPr>
              <w:t>#）排放，风机风量2</w:t>
            </w:r>
            <w:r>
              <w:rPr>
                <w:rFonts w:hint="eastAsia" w:ascii="Times New Roman" w:eastAsia="仿宋"/>
              </w:rPr>
              <w:t>1</w:t>
            </w:r>
            <w:r>
              <w:rPr>
                <w:rFonts w:ascii="Times New Roman" w:eastAsia="仿宋"/>
              </w:rPr>
              <w:t>000m</w:t>
            </w:r>
            <w:r>
              <w:rPr>
                <w:rFonts w:ascii="Times New Roman" w:eastAsia="仿宋"/>
                <w:vertAlign w:val="superscript"/>
              </w:rPr>
              <w:t>3</w:t>
            </w:r>
            <w:r>
              <w:rPr>
                <w:rFonts w:ascii="Times New Roman" w:eastAsia="仿宋"/>
              </w:rPr>
              <w:t>/h</w:t>
            </w:r>
          </w:p>
        </w:tc>
        <w:tc>
          <w:tcPr>
            <w:tcW w:w="1027" w:type="dxa"/>
            <w:vAlign w:val="center"/>
          </w:tcPr>
          <w:p w14:paraId="543846A1">
            <w:pPr>
              <w:widowControl/>
              <w:adjustRightInd w:val="0"/>
              <w:snapToGrid w:val="0"/>
              <w:jc w:val="center"/>
              <w:rPr>
                <w:rFonts w:ascii="Times New Roman" w:eastAsia="仿宋"/>
              </w:rPr>
            </w:pPr>
            <w:r>
              <w:rPr>
                <w:rFonts w:ascii="Times New Roman" w:eastAsia="仿宋"/>
              </w:rPr>
              <w:t>相符</w:t>
            </w:r>
          </w:p>
        </w:tc>
      </w:tr>
      <w:tr w14:paraId="6332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0A28E3D1">
            <w:pPr>
              <w:widowControl/>
              <w:adjustRightInd w:val="0"/>
              <w:snapToGrid w:val="0"/>
              <w:jc w:val="center"/>
              <w:rPr>
                <w:rFonts w:ascii="Times New Roman" w:eastAsia="仿宋"/>
              </w:rPr>
            </w:pPr>
            <w:r>
              <w:rPr>
                <w:rFonts w:ascii="Times New Roman" w:eastAsia="仿宋"/>
              </w:rPr>
              <w:t>3</w:t>
            </w:r>
          </w:p>
        </w:tc>
        <w:tc>
          <w:tcPr>
            <w:tcW w:w="817" w:type="dxa"/>
            <w:vMerge w:val="continue"/>
            <w:vAlign w:val="center"/>
          </w:tcPr>
          <w:p w14:paraId="3FBB545B">
            <w:pPr>
              <w:widowControl/>
              <w:adjustRightInd w:val="0"/>
              <w:snapToGrid w:val="0"/>
              <w:jc w:val="center"/>
              <w:rPr>
                <w:rFonts w:ascii="Times New Roman" w:eastAsia="仿宋"/>
              </w:rPr>
            </w:pPr>
          </w:p>
        </w:tc>
        <w:tc>
          <w:tcPr>
            <w:tcW w:w="4287" w:type="dxa"/>
            <w:vAlign w:val="center"/>
          </w:tcPr>
          <w:p w14:paraId="503E46F8">
            <w:pPr>
              <w:widowControl/>
              <w:adjustRightInd w:val="0"/>
              <w:snapToGrid w:val="0"/>
              <w:jc w:val="center"/>
              <w:rPr>
                <w:rFonts w:ascii="Times New Roman" w:eastAsia="仿宋"/>
              </w:rPr>
            </w:pPr>
            <w:r>
              <w:rPr>
                <w:rFonts w:ascii="Times New Roman" w:eastAsia="仿宋"/>
              </w:rPr>
              <w:t>（三）含高浓度挥发性有机物的母液和废水宜采用密闭管道收集，存在VOCs和恶臭污染的污水处理单元应予以封闭，废气经有效处理后达标排放。</w:t>
            </w:r>
          </w:p>
        </w:tc>
        <w:tc>
          <w:tcPr>
            <w:tcW w:w="2666" w:type="dxa"/>
            <w:vAlign w:val="center"/>
          </w:tcPr>
          <w:p w14:paraId="1B2C435A">
            <w:pPr>
              <w:widowControl/>
              <w:adjustRightInd w:val="0"/>
              <w:snapToGrid w:val="0"/>
              <w:jc w:val="center"/>
              <w:rPr>
                <w:rFonts w:ascii="Times New Roman" w:eastAsia="仿宋"/>
              </w:rPr>
            </w:pPr>
            <w:r>
              <w:rPr>
                <w:rFonts w:ascii="Times New Roman" w:eastAsia="仿宋"/>
              </w:rPr>
              <w:t>本项目不涉及。</w:t>
            </w:r>
          </w:p>
        </w:tc>
        <w:tc>
          <w:tcPr>
            <w:tcW w:w="1027" w:type="dxa"/>
            <w:vAlign w:val="center"/>
          </w:tcPr>
          <w:p w14:paraId="39FF549D">
            <w:pPr>
              <w:widowControl/>
              <w:adjustRightInd w:val="0"/>
              <w:snapToGrid w:val="0"/>
              <w:jc w:val="center"/>
              <w:rPr>
                <w:rFonts w:ascii="Times New Roman" w:eastAsia="仿宋"/>
              </w:rPr>
            </w:pPr>
            <w:r>
              <w:rPr>
                <w:rFonts w:ascii="Times New Roman" w:eastAsia="仿宋"/>
              </w:rPr>
              <w:t>相符</w:t>
            </w:r>
          </w:p>
        </w:tc>
      </w:tr>
      <w:tr w14:paraId="20A8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19FBAA96">
            <w:pPr>
              <w:widowControl/>
              <w:adjustRightInd w:val="0"/>
              <w:snapToGrid w:val="0"/>
              <w:jc w:val="center"/>
              <w:rPr>
                <w:rFonts w:ascii="Times New Roman" w:eastAsia="仿宋"/>
              </w:rPr>
            </w:pPr>
            <w:r>
              <w:rPr>
                <w:rFonts w:ascii="Times New Roman" w:eastAsia="仿宋"/>
              </w:rPr>
              <w:t>4</w:t>
            </w:r>
          </w:p>
        </w:tc>
        <w:tc>
          <w:tcPr>
            <w:tcW w:w="817" w:type="dxa"/>
            <w:vMerge w:val="continue"/>
            <w:vAlign w:val="center"/>
          </w:tcPr>
          <w:p w14:paraId="73066911">
            <w:pPr>
              <w:widowControl/>
              <w:adjustRightInd w:val="0"/>
              <w:snapToGrid w:val="0"/>
              <w:jc w:val="center"/>
              <w:rPr>
                <w:rFonts w:ascii="Times New Roman" w:eastAsia="仿宋"/>
              </w:rPr>
            </w:pPr>
          </w:p>
        </w:tc>
        <w:tc>
          <w:tcPr>
            <w:tcW w:w="4287" w:type="dxa"/>
            <w:vAlign w:val="center"/>
          </w:tcPr>
          <w:p w14:paraId="4043B168">
            <w:pPr>
              <w:widowControl/>
              <w:adjustRightInd w:val="0"/>
              <w:snapToGrid w:val="0"/>
              <w:jc w:val="center"/>
              <w:rPr>
                <w:rFonts w:ascii="Times New Roman" w:eastAsia="仿宋"/>
              </w:rPr>
            </w:pPr>
            <w:r>
              <w:rPr>
                <w:rFonts w:ascii="Times New Roman" w:eastAsia="仿宋"/>
              </w:rPr>
              <w:t>（四）企业应提出针对VOCs的废气处理方案，明确处理装置长期有效运行的管理方案和监控方案，经审核备案后作为环境监察的依据。管理方案和监控方案应满足以下基本要求：1、采用焚烧（含热氧化）、吸附、吸收、微生物、低温等离子等方式处理的必须建设中控系统。2、采用焚烧（含热氧化）方式处理的必须对焚烧温度实施在线监控，温度记录至少保存3年，未与环保部门联网的应每月报送温度曲线数据。3、采用非焚烧方式处理的重点监控企业，可安装TVOCs浓度在线连续检测装置（包括光离子检测器（PID）、火焰离子检测器（FID）等，并设置废气采样设施。</w:t>
            </w:r>
          </w:p>
        </w:tc>
        <w:tc>
          <w:tcPr>
            <w:tcW w:w="2666" w:type="dxa"/>
            <w:vAlign w:val="center"/>
          </w:tcPr>
          <w:p w14:paraId="4DB46739">
            <w:pPr>
              <w:widowControl/>
              <w:adjustRightInd w:val="0"/>
              <w:snapToGrid w:val="0"/>
              <w:jc w:val="center"/>
              <w:rPr>
                <w:rFonts w:ascii="Times New Roman" w:eastAsia="仿宋"/>
              </w:rPr>
            </w:pPr>
            <w:r>
              <w:rPr>
                <w:rFonts w:ascii="Times New Roman" w:eastAsia="仿宋"/>
              </w:rPr>
              <w:t>本项目废气装置应配套中控系统。</w:t>
            </w:r>
          </w:p>
        </w:tc>
        <w:tc>
          <w:tcPr>
            <w:tcW w:w="1027" w:type="dxa"/>
            <w:vAlign w:val="center"/>
          </w:tcPr>
          <w:p w14:paraId="3986A9E9">
            <w:pPr>
              <w:widowControl/>
              <w:adjustRightInd w:val="0"/>
              <w:snapToGrid w:val="0"/>
              <w:jc w:val="center"/>
              <w:rPr>
                <w:rFonts w:ascii="Times New Roman" w:eastAsia="仿宋"/>
              </w:rPr>
            </w:pPr>
            <w:r>
              <w:rPr>
                <w:rFonts w:ascii="Times New Roman" w:eastAsia="仿宋"/>
              </w:rPr>
              <w:t>相符</w:t>
            </w:r>
          </w:p>
        </w:tc>
      </w:tr>
      <w:tr w14:paraId="4965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1E201B58">
            <w:pPr>
              <w:widowControl/>
              <w:adjustRightInd w:val="0"/>
              <w:snapToGrid w:val="0"/>
              <w:jc w:val="center"/>
              <w:rPr>
                <w:rFonts w:ascii="Times New Roman" w:eastAsia="仿宋"/>
              </w:rPr>
            </w:pPr>
            <w:r>
              <w:rPr>
                <w:rFonts w:ascii="Times New Roman" w:eastAsia="仿宋"/>
              </w:rPr>
              <w:t>5</w:t>
            </w:r>
          </w:p>
        </w:tc>
        <w:tc>
          <w:tcPr>
            <w:tcW w:w="817" w:type="dxa"/>
            <w:vMerge w:val="continue"/>
            <w:vAlign w:val="center"/>
          </w:tcPr>
          <w:p w14:paraId="15D83C49">
            <w:pPr>
              <w:widowControl/>
              <w:adjustRightInd w:val="0"/>
              <w:snapToGrid w:val="0"/>
              <w:jc w:val="center"/>
              <w:rPr>
                <w:rFonts w:ascii="Times New Roman" w:eastAsia="仿宋"/>
              </w:rPr>
            </w:pPr>
          </w:p>
        </w:tc>
        <w:tc>
          <w:tcPr>
            <w:tcW w:w="4287" w:type="dxa"/>
            <w:vAlign w:val="center"/>
          </w:tcPr>
          <w:p w14:paraId="206981FF">
            <w:pPr>
              <w:widowControl/>
              <w:adjustRightInd w:val="0"/>
              <w:snapToGrid w:val="0"/>
              <w:jc w:val="center"/>
              <w:rPr>
                <w:rFonts w:ascii="Times New Roman" w:eastAsia="仿宋"/>
              </w:rPr>
            </w:pPr>
            <w:r>
              <w:rPr>
                <w:rFonts w:ascii="Times New Roman" w:eastAsia="仿宋"/>
              </w:rPr>
              <w:t>（五）企业在VOCs污染防治设施验收时应监测TVOCs净化效率，并记录在线连续检测装置或其他检测方法获取的TVOCs排放浓度，以作为设施日常稳定运行情况的考核依据。环境监察部门应不定期对净化效率、TVOCs排放浓度或其他替代性监控指标进行监察，其结果作为减排量核定的重要依据。</w:t>
            </w:r>
          </w:p>
        </w:tc>
        <w:tc>
          <w:tcPr>
            <w:tcW w:w="2666" w:type="dxa"/>
            <w:vAlign w:val="center"/>
          </w:tcPr>
          <w:p w14:paraId="26BD07C6">
            <w:pPr>
              <w:widowControl/>
              <w:adjustRightInd w:val="0"/>
              <w:snapToGrid w:val="0"/>
              <w:jc w:val="center"/>
              <w:rPr>
                <w:rFonts w:ascii="Times New Roman" w:eastAsia="仿宋"/>
              </w:rPr>
            </w:pPr>
            <w:r>
              <w:rPr>
                <w:rFonts w:ascii="Times New Roman" w:eastAsia="仿宋"/>
              </w:rPr>
              <w:t>本项目建成后，企业在验收时应监测VOCs污染防治设施的净化效率，并记录检测装置等测得的有机物排放浓度，以作为设施日常稳定运行情况的考核依据。</w:t>
            </w:r>
          </w:p>
        </w:tc>
        <w:tc>
          <w:tcPr>
            <w:tcW w:w="1027" w:type="dxa"/>
            <w:vAlign w:val="center"/>
          </w:tcPr>
          <w:p w14:paraId="0E64598E">
            <w:pPr>
              <w:widowControl/>
              <w:adjustRightInd w:val="0"/>
              <w:snapToGrid w:val="0"/>
              <w:jc w:val="center"/>
              <w:rPr>
                <w:rFonts w:ascii="Times New Roman" w:eastAsia="仿宋"/>
              </w:rPr>
            </w:pPr>
            <w:r>
              <w:rPr>
                <w:rFonts w:ascii="Times New Roman" w:eastAsia="仿宋"/>
              </w:rPr>
              <w:t>相符</w:t>
            </w:r>
          </w:p>
        </w:tc>
      </w:tr>
      <w:tr w14:paraId="3947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1D5CB730">
            <w:pPr>
              <w:widowControl/>
              <w:adjustRightInd w:val="0"/>
              <w:snapToGrid w:val="0"/>
              <w:jc w:val="center"/>
              <w:rPr>
                <w:rFonts w:ascii="Times New Roman" w:eastAsia="仿宋"/>
              </w:rPr>
            </w:pPr>
            <w:r>
              <w:rPr>
                <w:rFonts w:ascii="Times New Roman" w:eastAsia="仿宋"/>
              </w:rPr>
              <w:t>6</w:t>
            </w:r>
          </w:p>
        </w:tc>
        <w:tc>
          <w:tcPr>
            <w:tcW w:w="817" w:type="dxa"/>
            <w:vMerge w:val="continue"/>
            <w:vAlign w:val="center"/>
          </w:tcPr>
          <w:p w14:paraId="3DAA13A5">
            <w:pPr>
              <w:widowControl/>
              <w:adjustRightInd w:val="0"/>
              <w:snapToGrid w:val="0"/>
              <w:jc w:val="center"/>
              <w:rPr>
                <w:rFonts w:ascii="Times New Roman" w:eastAsia="仿宋"/>
              </w:rPr>
            </w:pPr>
          </w:p>
        </w:tc>
        <w:tc>
          <w:tcPr>
            <w:tcW w:w="4287" w:type="dxa"/>
            <w:vAlign w:val="center"/>
          </w:tcPr>
          <w:p w14:paraId="007991B3">
            <w:pPr>
              <w:widowControl/>
              <w:adjustRightInd w:val="0"/>
              <w:snapToGrid w:val="0"/>
              <w:jc w:val="center"/>
              <w:rPr>
                <w:rFonts w:ascii="Times New Roman" w:eastAsia="仿宋"/>
              </w:rPr>
            </w:pPr>
            <w:r>
              <w:rPr>
                <w:rFonts w:ascii="Times New Roman" w:eastAsia="仿宋"/>
              </w:rPr>
              <w:t>（六）企业应安排有关机构和专门人员负责VOCs污染控制的相关工作。需定期更换吸附剂、催化剂或吸收液的，应有详细的购买及更换台账，提供采购发票复印件，每月报环保部门备案，相关记录至少保存3年。</w:t>
            </w:r>
          </w:p>
        </w:tc>
        <w:tc>
          <w:tcPr>
            <w:tcW w:w="2666" w:type="dxa"/>
            <w:vAlign w:val="center"/>
          </w:tcPr>
          <w:p w14:paraId="4E2C3DF1">
            <w:pPr>
              <w:widowControl/>
              <w:adjustRightInd w:val="0"/>
              <w:snapToGrid w:val="0"/>
              <w:jc w:val="center"/>
              <w:rPr>
                <w:rFonts w:ascii="Times New Roman" w:eastAsia="仿宋"/>
              </w:rPr>
            </w:pPr>
            <w:r>
              <w:rPr>
                <w:rFonts w:ascii="Times New Roman" w:eastAsia="仿宋"/>
              </w:rPr>
              <w:t>企业安排专门人员负责VOCs污染控制的相关工作进行详细的购买及更换台账记录并定期报备，保存3年记录。</w:t>
            </w:r>
          </w:p>
        </w:tc>
        <w:tc>
          <w:tcPr>
            <w:tcW w:w="1027" w:type="dxa"/>
            <w:vAlign w:val="center"/>
          </w:tcPr>
          <w:p w14:paraId="5C069A8B">
            <w:pPr>
              <w:widowControl/>
              <w:adjustRightInd w:val="0"/>
              <w:snapToGrid w:val="0"/>
              <w:jc w:val="center"/>
              <w:rPr>
                <w:rFonts w:ascii="Times New Roman" w:eastAsia="仿宋"/>
              </w:rPr>
            </w:pPr>
            <w:r>
              <w:rPr>
                <w:rFonts w:ascii="Times New Roman" w:eastAsia="仿宋"/>
              </w:rPr>
              <w:t>相符</w:t>
            </w:r>
          </w:p>
        </w:tc>
      </w:tr>
      <w:tr w14:paraId="5CAA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5" w:type="dxa"/>
            <w:vAlign w:val="center"/>
          </w:tcPr>
          <w:p w14:paraId="68C1FF47">
            <w:pPr>
              <w:widowControl/>
              <w:adjustRightInd w:val="0"/>
              <w:snapToGrid w:val="0"/>
              <w:jc w:val="center"/>
              <w:rPr>
                <w:rFonts w:ascii="Times New Roman" w:eastAsia="仿宋"/>
              </w:rPr>
            </w:pPr>
            <w:r>
              <w:rPr>
                <w:rFonts w:ascii="Times New Roman" w:eastAsia="仿宋"/>
              </w:rPr>
              <w:t>室和烘干室应设7</w:t>
            </w:r>
          </w:p>
        </w:tc>
        <w:tc>
          <w:tcPr>
            <w:tcW w:w="817" w:type="dxa"/>
            <w:vAlign w:val="center"/>
          </w:tcPr>
          <w:p w14:paraId="54DEF49B">
            <w:pPr>
              <w:widowControl/>
              <w:adjustRightInd w:val="0"/>
              <w:snapToGrid w:val="0"/>
              <w:jc w:val="center"/>
              <w:rPr>
                <w:rFonts w:ascii="Times New Roman" w:eastAsia="仿宋"/>
              </w:rPr>
            </w:pPr>
            <w:r>
              <w:rPr>
                <w:rFonts w:ascii="Times New Roman" w:eastAsia="仿宋"/>
              </w:rPr>
              <w:t>二、行业VOCs排放控制指南</w:t>
            </w:r>
          </w:p>
        </w:tc>
        <w:tc>
          <w:tcPr>
            <w:tcW w:w="4287" w:type="dxa"/>
            <w:vAlign w:val="center"/>
          </w:tcPr>
          <w:p w14:paraId="681BF410">
            <w:pPr>
              <w:widowControl/>
              <w:adjustRightInd w:val="0"/>
              <w:snapToGrid w:val="0"/>
              <w:jc w:val="center"/>
              <w:rPr>
                <w:rFonts w:ascii="Times New Roman" w:eastAsia="仿宋"/>
              </w:rPr>
            </w:pPr>
            <w:r>
              <w:rPr>
                <w:rFonts w:ascii="Times New Roman" w:eastAsia="仿宋"/>
              </w:rPr>
              <w:t>（二）表面涂装行业1、根据涂装工艺的不同，鼓励使用水性、高固份、粉末、紫外光固化涂料等低VOCs含量的环保型涂料，限制使用溶剂型涂料，其中汽车制造、家具制造、电子和电器产品制造企业环保型涂料使用比例达到50%以上。2、推广采用静电喷涂、淋涂、辊涂、浸涂等涂装效率较高的涂装工艺，推广汽车行业先进涂装工艺技术的使用，优化喷漆工艺与设备，小型乘用车单位涂装面积的挥发性有机物排放量控制在35克/平方米以下。3、喷漆室、流平置成完全封闭的围护结构体，配备有机废气收集和处理系统，原则上禁止露天和敞开式喷涂作业。若工艺有特殊要求，不能实现封闭作业，应报环保部门批准。4、烘干废气应收集后采用焚烧方式处理，流平废气原则上纳入烘干废气处理系统一并处理。5、喷漆废气应先采用干式过滤高效除漆雾、湿式水帘+多级过滤等工艺进行预处理，再采用转轮吸附浓缩+高温焚烧方式处理，小型涂装企业也可采用蜂窝活性炭吸附-催化燃烧、填料塔吸收、活性炭吸附等多种方式净化后达标排放。6、使用溶剂型涂料的表面涂装应安装高效回收净化设施。7、溶剂储存可参考《江苏省化工行业废气污染防治技术规范》相关要求。</w:t>
            </w:r>
          </w:p>
        </w:tc>
        <w:tc>
          <w:tcPr>
            <w:tcW w:w="2666" w:type="dxa"/>
            <w:vAlign w:val="center"/>
          </w:tcPr>
          <w:p w14:paraId="2643A357">
            <w:pPr>
              <w:widowControl/>
              <w:adjustRightInd w:val="0"/>
              <w:snapToGrid w:val="0"/>
              <w:jc w:val="center"/>
              <w:rPr>
                <w:rFonts w:ascii="Times New Roman" w:eastAsia="仿宋"/>
              </w:rPr>
            </w:pPr>
            <w:r>
              <w:rPr>
                <w:rFonts w:ascii="Times New Roman" w:eastAsia="仿宋"/>
              </w:rPr>
              <w:t>本项目VOCs主要来源于</w:t>
            </w:r>
            <w:r>
              <w:rPr>
                <w:rFonts w:hint="eastAsia" w:ascii="Times New Roman" w:eastAsia="仿宋"/>
              </w:rPr>
              <w:t>调漆、喷漆、流平及烘干工段</w:t>
            </w:r>
            <w:r>
              <w:rPr>
                <w:rFonts w:ascii="Times New Roman" w:eastAsia="仿宋"/>
              </w:rPr>
              <w:t>，</w:t>
            </w:r>
            <w:r>
              <w:rPr>
                <w:rFonts w:hint="eastAsia" w:ascii="Times New Roman" w:eastAsia="仿宋"/>
              </w:rPr>
              <w:t>本次项目涂装工序使用油性涂料，根据涂料的V</w:t>
            </w:r>
            <w:r>
              <w:rPr>
                <w:rFonts w:ascii="Times New Roman" w:eastAsia="仿宋"/>
              </w:rPr>
              <w:t>OC</w:t>
            </w:r>
            <w:r>
              <w:rPr>
                <w:rFonts w:hint="eastAsia" w:ascii="Times New Roman" w:eastAsia="仿宋"/>
              </w:rPr>
              <w:t>s检测报告，涂料符合相关标准和政策要求。从漆膜厚度、表面附着力、耐腐蚀及耐冲击、绝缘等方面考察，油性涂料总体性能优于水性涂料。同时由于产品使用环境的限制、油漆防护要求的限制、工艺及硬件的限制等，本项目使用油性涂料具有必要性，必要性论证详见不可替代性论证报告。</w:t>
            </w:r>
          </w:p>
        </w:tc>
        <w:tc>
          <w:tcPr>
            <w:tcW w:w="1027" w:type="dxa"/>
            <w:vAlign w:val="center"/>
          </w:tcPr>
          <w:p w14:paraId="784E68D2">
            <w:pPr>
              <w:widowControl/>
              <w:adjustRightInd w:val="0"/>
              <w:snapToGrid w:val="0"/>
              <w:jc w:val="center"/>
              <w:rPr>
                <w:rFonts w:ascii="Times New Roman" w:eastAsia="仿宋"/>
              </w:rPr>
            </w:pPr>
            <w:r>
              <w:rPr>
                <w:rFonts w:ascii="Times New Roman" w:eastAsia="仿宋"/>
              </w:rPr>
              <w:t>相符</w:t>
            </w:r>
          </w:p>
        </w:tc>
      </w:tr>
    </w:tbl>
    <w:p w14:paraId="641645EF">
      <w:pPr>
        <w:autoSpaceDE w:val="0"/>
        <w:autoSpaceDN w:val="0"/>
        <w:spacing w:line="500" w:lineRule="exact"/>
        <w:ind w:firstLine="562" w:firstLineChars="200"/>
        <w:rPr>
          <w:rFonts w:ascii="Times New Roman" w:eastAsia="仿宋"/>
          <w:b/>
          <w:sz w:val="28"/>
        </w:rPr>
      </w:pPr>
      <w:r>
        <w:rPr>
          <w:rFonts w:hint="eastAsia" w:ascii="Times New Roman" w:eastAsia="仿宋"/>
          <w:b/>
          <w:sz w:val="28"/>
        </w:rPr>
        <w:t>4、与省大气办关于印发《挥发性有机物无组织排放控制标准》（GB37822-2019）相符性分析</w:t>
      </w:r>
    </w:p>
    <w:p w14:paraId="13709B3B">
      <w:pPr>
        <w:widowControl/>
        <w:spacing w:line="500" w:lineRule="exact"/>
        <w:jc w:val="center"/>
        <w:rPr>
          <w:rFonts w:ascii="Times New Roman" w:eastAsia="仿宋"/>
          <w:b/>
        </w:rPr>
      </w:pPr>
      <w:r>
        <w:rPr>
          <w:rFonts w:ascii="Times New Roman" w:eastAsia="仿宋"/>
          <w:b/>
        </w:rPr>
        <w:t>表2.7-2 与《挥发性有机物无组织排放控制标准》（GB37822-2019）对照情况</w:t>
      </w:r>
    </w:p>
    <w:tbl>
      <w:tblPr>
        <w:tblStyle w:val="87"/>
        <w:tblW w:w="9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061"/>
        <w:gridCol w:w="4262"/>
        <w:gridCol w:w="2275"/>
        <w:gridCol w:w="882"/>
      </w:tblGrid>
      <w:tr w14:paraId="7026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Align w:val="center"/>
          </w:tcPr>
          <w:p w14:paraId="03F502AC">
            <w:pPr>
              <w:widowControl/>
              <w:adjustRightInd w:val="0"/>
              <w:snapToGrid w:val="0"/>
              <w:jc w:val="center"/>
              <w:rPr>
                <w:rFonts w:ascii="Times New Roman" w:eastAsia="仿宋"/>
              </w:rPr>
            </w:pPr>
            <w:r>
              <w:rPr>
                <w:rFonts w:ascii="Times New Roman" w:eastAsia="仿宋"/>
              </w:rPr>
              <w:t>类别</w:t>
            </w:r>
          </w:p>
        </w:tc>
        <w:tc>
          <w:tcPr>
            <w:tcW w:w="1061" w:type="dxa"/>
            <w:vAlign w:val="center"/>
          </w:tcPr>
          <w:p w14:paraId="47AF70C2">
            <w:pPr>
              <w:widowControl/>
              <w:adjustRightInd w:val="0"/>
              <w:snapToGrid w:val="0"/>
              <w:jc w:val="center"/>
              <w:rPr>
                <w:rFonts w:ascii="Times New Roman" w:eastAsia="仿宋"/>
              </w:rPr>
            </w:pPr>
            <w:r>
              <w:rPr>
                <w:rFonts w:ascii="Times New Roman" w:eastAsia="仿宋"/>
              </w:rPr>
              <w:t>判断类型</w:t>
            </w:r>
          </w:p>
        </w:tc>
        <w:tc>
          <w:tcPr>
            <w:tcW w:w="4262" w:type="dxa"/>
            <w:vAlign w:val="center"/>
          </w:tcPr>
          <w:p w14:paraId="09DAAAC3">
            <w:pPr>
              <w:widowControl/>
              <w:adjustRightInd w:val="0"/>
              <w:snapToGrid w:val="0"/>
              <w:jc w:val="center"/>
              <w:rPr>
                <w:rFonts w:ascii="Times New Roman" w:eastAsia="仿宋"/>
              </w:rPr>
            </w:pPr>
            <w:r>
              <w:rPr>
                <w:rFonts w:ascii="Times New Roman" w:eastAsia="仿宋"/>
              </w:rPr>
              <w:t>对照内容</w:t>
            </w:r>
          </w:p>
        </w:tc>
        <w:tc>
          <w:tcPr>
            <w:tcW w:w="2275" w:type="dxa"/>
            <w:vAlign w:val="center"/>
          </w:tcPr>
          <w:p w14:paraId="17407E0A">
            <w:pPr>
              <w:widowControl/>
              <w:adjustRightInd w:val="0"/>
              <w:snapToGrid w:val="0"/>
              <w:jc w:val="center"/>
              <w:rPr>
                <w:rFonts w:ascii="Times New Roman" w:eastAsia="仿宋"/>
              </w:rPr>
            </w:pPr>
            <w:r>
              <w:rPr>
                <w:rFonts w:ascii="Times New Roman" w:eastAsia="仿宋"/>
              </w:rPr>
              <w:t>本项目情况</w:t>
            </w:r>
          </w:p>
        </w:tc>
        <w:tc>
          <w:tcPr>
            <w:tcW w:w="882" w:type="dxa"/>
            <w:vAlign w:val="center"/>
          </w:tcPr>
          <w:p w14:paraId="7605E5DB">
            <w:pPr>
              <w:widowControl/>
              <w:adjustRightInd w:val="0"/>
              <w:snapToGrid w:val="0"/>
              <w:jc w:val="center"/>
              <w:rPr>
                <w:rFonts w:ascii="Times New Roman" w:eastAsia="仿宋"/>
              </w:rPr>
            </w:pPr>
            <w:r>
              <w:rPr>
                <w:rFonts w:ascii="Times New Roman" w:eastAsia="仿宋"/>
              </w:rPr>
              <w:t>相符性</w:t>
            </w:r>
          </w:p>
        </w:tc>
      </w:tr>
      <w:tr w14:paraId="7F09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Align w:val="center"/>
          </w:tcPr>
          <w:p w14:paraId="0E35A379">
            <w:pPr>
              <w:widowControl/>
              <w:adjustRightInd w:val="0"/>
              <w:snapToGrid w:val="0"/>
              <w:jc w:val="center"/>
              <w:rPr>
                <w:rFonts w:ascii="Times New Roman" w:eastAsia="仿宋"/>
              </w:rPr>
            </w:pPr>
            <w:r>
              <w:rPr>
                <w:rFonts w:ascii="Times New Roman" w:eastAsia="仿宋"/>
              </w:rPr>
              <w:t>5</w:t>
            </w:r>
          </w:p>
          <w:p w14:paraId="21400803">
            <w:pPr>
              <w:widowControl/>
              <w:adjustRightInd w:val="0"/>
              <w:snapToGrid w:val="0"/>
              <w:jc w:val="center"/>
              <w:rPr>
                <w:rFonts w:ascii="Times New Roman" w:eastAsia="仿宋"/>
              </w:rPr>
            </w:pPr>
            <w:r>
              <w:rPr>
                <w:rFonts w:ascii="Times New Roman" w:eastAsia="仿宋"/>
              </w:rPr>
              <w:t>VOCs物料储存无组织排放控制要求</w:t>
            </w:r>
          </w:p>
        </w:tc>
        <w:tc>
          <w:tcPr>
            <w:tcW w:w="1061" w:type="dxa"/>
            <w:vAlign w:val="center"/>
          </w:tcPr>
          <w:p w14:paraId="11E284D1">
            <w:pPr>
              <w:widowControl/>
              <w:adjustRightInd w:val="0"/>
              <w:snapToGrid w:val="0"/>
              <w:jc w:val="center"/>
              <w:rPr>
                <w:rFonts w:ascii="Times New Roman" w:eastAsia="仿宋"/>
              </w:rPr>
            </w:pPr>
            <w:r>
              <w:rPr>
                <w:rFonts w:ascii="Times New Roman" w:eastAsia="仿宋"/>
              </w:rPr>
              <w:t>5.1基本要求</w:t>
            </w:r>
          </w:p>
        </w:tc>
        <w:tc>
          <w:tcPr>
            <w:tcW w:w="4262" w:type="dxa"/>
            <w:vAlign w:val="center"/>
          </w:tcPr>
          <w:p w14:paraId="122E4E6D">
            <w:pPr>
              <w:widowControl/>
              <w:adjustRightInd w:val="0"/>
              <w:snapToGrid w:val="0"/>
              <w:jc w:val="center"/>
              <w:rPr>
                <w:rFonts w:ascii="Times New Roman" w:eastAsia="仿宋"/>
              </w:rPr>
            </w:pPr>
            <w:r>
              <w:rPr>
                <w:rFonts w:ascii="Times New Roman" w:eastAsia="仿宋"/>
              </w:rPr>
              <w:t>5.1.1VOCs物料应储存于密闭的容器、包装袋、储罐、储库、料仓中。</w:t>
            </w:r>
          </w:p>
          <w:p w14:paraId="49B6231E">
            <w:pPr>
              <w:widowControl/>
              <w:adjustRightInd w:val="0"/>
              <w:snapToGrid w:val="0"/>
              <w:jc w:val="center"/>
              <w:rPr>
                <w:rFonts w:ascii="Times New Roman" w:eastAsia="仿宋"/>
              </w:rPr>
            </w:pPr>
            <w:r>
              <w:rPr>
                <w:rFonts w:ascii="Times New Roman" w:eastAsia="仿宋"/>
              </w:rPr>
              <w:t>5.1.2盛装VOCs物料的容器或包装袋应存放于室内，或存放于设置有雨棚、遮阳和防渗设施的专用场地。盛装VOCs物料的容器或包装袋在非取用状态时应加盖、封口，保持密闭。</w:t>
            </w:r>
          </w:p>
          <w:p w14:paraId="5B42423B">
            <w:pPr>
              <w:widowControl/>
              <w:adjustRightInd w:val="0"/>
              <w:snapToGrid w:val="0"/>
              <w:jc w:val="center"/>
              <w:rPr>
                <w:rFonts w:ascii="Times New Roman" w:eastAsia="仿宋"/>
              </w:rPr>
            </w:pPr>
            <w:r>
              <w:rPr>
                <w:rFonts w:ascii="Times New Roman" w:eastAsia="仿宋"/>
              </w:rPr>
              <w:t>5.1.3VOCs 物料储罐应密封良好，其中挥发性有机液体储罐应符合5.2条规定。</w:t>
            </w:r>
          </w:p>
          <w:p w14:paraId="4E78B55D">
            <w:pPr>
              <w:widowControl/>
              <w:adjustRightInd w:val="0"/>
              <w:snapToGrid w:val="0"/>
              <w:jc w:val="center"/>
              <w:rPr>
                <w:rFonts w:ascii="Times New Roman" w:eastAsia="仿宋"/>
              </w:rPr>
            </w:pPr>
            <w:r>
              <w:rPr>
                <w:rFonts w:ascii="Times New Roman" w:eastAsia="仿宋"/>
              </w:rPr>
              <w:t>5.1.4VOCs物料储库、料仓应满足3.6条对密闭空间的要求。</w:t>
            </w:r>
          </w:p>
        </w:tc>
        <w:tc>
          <w:tcPr>
            <w:tcW w:w="2275" w:type="dxa"/>
            <w:vAlign w:val="center"/>
          </w:tcPr>
          <w:p w14:paraId="0887D2EF">
            <w:pPr>
              <w:widowControl/>
              <w:adjustRightInd w:val="0"/>
              <w:snapToGrid w:val="0"/>
              <w:jc w:val="center"/>
              <w:rPr>
                <w:rFonts w:ascii="Times New Roman" w:eastAsia="仿宋"/>
              </w:rPr>
            </w:pPr>
            <w:r>
              <w:rPr>
                <w:rFonts w:ascii="Times New Roman" w:eastAsia="仿宋"/>
              </w:rPr>
              <w:t>本项目VOCs物料均储存于密闭的容器、包装内，并分类放置于对应仓库中，非取用状态时加盖、封口保持密闭。</w:t>
            </w:r>
          </w:p>
        </w:tc>
        <w:tc>
          <w:tcPr>
            <w:tcW w:w="882" w:type="dxa"/>
            <w:vAlign w:val="center"/>
          </w:tcPr>
          <w:p w14:paraId="056A6B76">
            <w:pPr>
              <w:widowControl/>
              <w:adjustRightInd w:val="0"/>
              <w:snapToGrid w:val="0"/>
              <w:jc w:val="center"/>
              <w:rPr>
                <w:rFonts w:ascii="Times New Roman" w:eastAsia="仿宋"/>
              </w:rPr>
            </w:pPr>
            <w:r>
              <w:rPr>
                <w:rFonts w:ascii="Times New Roman" w:eastAsia="仿宋"/>
              </w:rPr>
              <w:t>相符</w:t>
            </w:r>
          </w:p>
        </w:tc>
      </w:tr>
      <w:tr w14:paraId="0290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restart"/>
            <w:vAlign w:val="center"/>
          </w:tcPr>
          <w:p w14:paraId="44095DB4">
            <w:pPr>
              <w:widowControl/>
              <w:adjustRightInd w:val="0"/>
              <w:snapToGrid w:val="0"/>
              <w:jc w:val="center"/>
              <w:rPr>
                <w:rFonts w:ascii="Times New Roman" w:eastAsia="仿宋"/>
              </w:rPr>
            </w:pPr>
            <w:r>
              <w:rPr>
                <w:rFonts w:ascii="Times New Roman" w:eastAsia="仿宋"/>
              </w:rPr>
              <w:t>7</w:t>
            </w:r>
          </w:p>
          <w:p w14:paraId="6FBCDC38">
            <w:pPr>
              <w:widowControl/>
              <w:adjustRightInd w:val="0"/>
              <w:snapToGrid w:val="0"/>
              <w:jc w:val="center"/>
              <w:rPr>
                <w:rFonts w:ascii="Times New Roman" w:eastAsia="仿宋"/>
              </w:rPr>
            </w:pPr>
            <w:r>
              <w:rPr>
                <w:rFonts w:ascii="Times New Roman" w:eastAsia="仿宋"/>
              </w:rPr>
              <w:t>工艺过程VOCs无组织排放控制要求</w:t>
            </w:r>
          </w:p>
        </w:tc>
        <w:tc>
          <w:tcPr>
            <w:tcW w:w="1061" w:type="dxa"/>
            <w:vAlign w:val="center"/>
          </w:tcPr>
          <w:p w14:paraId="77AF0051">
            <w:pPr>
              <w:widowControl/>
              <w:adjustRightInd w:val="0"/>
              <w:snapToGrid w:val="0"/>
              <w:jc w:val="center"/>
              <w:rPr>
                <w:rFonts w:ascii="Times New Roman" w:eastAsia="仿宋"/>
              </w:rPr>
            </w:pPr>
            <w:r>
              <w:rPr>
                <w:rFonts w:ascii="Times New Roman" w:eastAsia="仿宋"/>
              </w:rPr>
              <w:t>7.1涉VOCs物料的化工生产过程</w:t>
            </w:r>
          </w:p>
        </w:tc>
        <w:tc>
          <w:tcPr>
            <w:tcW w:w="4262" w:type="dxa"/>
            <w:vAlign w:val="center"/>
          </w:tcPr>
          <w:p w14:paraId="608DA857">
            <w:pPr>
              <w:widowControl/>
              <w:adjustRightInd w:val="0"/>
              <w:snapToGrid w:val="0"/>
              <w:jc w:val="center"/>
              <w:rPr>
                <w:rFonts w:ascii="Times New Roman" w:eastAsia="仿宋"/>
              </w:rPr>
            </w:pPr>
            <w:r>
              <w:rPr>
                <w:rFonts w:ascii="Times New Roman" w:eastAsia="仿宋"/>
              </w:rPr>
              <w:t>/</w:t>
            </w:r>
          </w:p>
        </w:tc>
        <w:tc>
          <w:tcPr>
            <w:tcW w:w="2275" w:type="dxa"/>
            <w:vAlign w:val="center"/>
          </w:tcPr>
          <w:p w14:paraId="56A04C47">
            <w:pPr>
              <w:widowControl/>
              <w:adjustRightInd w:val="0"/>
              <w:snapToGrid w:val="0"/>
              <w:jc w:val="center"/>
              <w:rPr>
                <w:rFonts w:ascii="Times New Roman" w:eastAsia="仿宋"/>
              </w:rPr>
            </w:pPr>
            <w:r>
              <w:rPr>
                <w:rFonts w:ascii="Times New Roman" w:eastAsia="仿宋"/>
              </w:rPr>
              <w:t>本项目不涉及化工生产过程。</w:t>
            </w:r>
          </w:p>
        </w:tc>
        <w:tc>
          <w:tcPr>
            <w:tcW w:w="882" w:type="dxa"/>
            <w:vAlign w:val="center"/>
          </w:tcPr>
          <w:p w14:paraId="09504DFC">
            <w:pPr>
              <w:widowControl/>
              <w:adjustRightInd w:val="0"/>
              <w:snapToGrid w:val="0"/>
              <w:jc w:val="center"/>
              <w:rPr>
                <w:rFonts w:ascii="Times New Roman" w:eastAsia="仿宋"/>
              </w:rPr>
            </w:pPr>
            <w:r>
              <w:rPr>
                <w:rFonts w:ascii="Times New Roman" w:eastAsia="仿宋"/>
              </w:rPr>
              <w:t>相符</w:t>
            </w:r>
          </w:p>
        </w:tc>
      </w:tr>
      <w:tr w14:paraId="0839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095E0211">
            <w:pPr>
              <w:widowControl/>
              <w:adjustRightInd w:val="0"/>
              <w:snapToGrid w:val="0"/>
              <w:jc w:val="center"/>
              <w:rPr>
                <w:rFonts w:ascii="Times New Roman" w:eastAsia="仿宋"/>
              </w:rPr>
            </w:pPr>
          </w:p>
        </w:tc>
        <w:tc>
          <w:tcPr>
            <w:tcW w:w="1061" w:type="dxa"/>
            <w:vAlign w:val="center"/>
          </w:tcPr>
          <w:p w14:paraId="3B9F38DA">
            <w:pPr>
              <w:widowControl/>
              <w:adjustRightInd w:val="0"/>
              <w:snapToGrid w:val="0"/>
              <w:jc w:val="center"/>
              <w:rPr>
                <w:rFonts w:ascii="Times New Roman" w:eastAsia="仿宋"/>
              </w:rPr>
            </w:pPr>
            <w:r>
              <w:rPr>
                <w:rFonts w:ascii="Times New Roman" w:eastAsia="仿宋"/>
              </w:rPr>
              <w:t>7.2含VOCs产品的使用过程</w:t>
            </w:r>
          </w:p>
        </w:tc>
        <w:tc>
          <w:tcPr>
            <w:tcW w:w="4262" w:type="dxa"/>
            <w:vAlign w:val="center"/>
          </w:tcPr>
          <w:p w14:paraId="709C07BD">
            <w:pPr>
              <w:widowControl/>
              <w:adjustRightInd w:val="0"/>
              <w:snapToGrid w:val="0"/>
              <w:jc w:val="center"/>
              <w:rPr>
                <w:rFonts w:ascii="Times New Roman" w:eastAsia="仿宋"/>
              </w:rPr>
            </w:pPr>
            <w:r>
              <w:rPr>
                <w:rFonts w:ascii="Times New Roman" w:eastAsia="仿宋"/>
              </w:rPr>
              <w:t>7.2.1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15864C0D">
            <w:pPr>
              <w:widowControl/>
              <w:adjustRightInd w:val="0"/>
              <w:snapToGrid w:val="0"/>
              <w:jc w:val="center"/>
              <w:rPr>
                <w:rFonts w:ascii="Times New Roman" w:eastAsia="仿宋"/>
              </w:rPr>
            </w:pPr>
            <w:r>
              <w:rPr>
                <w:rFonts w:ascii="Times New Roman" w:eastAsia="仿宋"/>
              </w:rPr>
              <w:t>a)调配（混合、搅拌等）；b)涂装（喷涂、浸涂、淋涂、辊涂、刷涂、涂布等）；c)印刷（平版、凸版、凹版、孔版等）；d)粘结（涂胶、热压、复合、贴合等）；e)印染（染色、印花、定型等）；f)干燥（烘干、风干、晾干等）；g)清洗（浸洗、喷洗、淋洗、冲洗、擦洗等）。</w:t>
            </w:r>
          </w:p>
          <w:p w14:paraId="5321AB6C">
            <w:pPr>
              <w:widowControl/>
              <w:adjustRightInd w:val="0"/>
              <w:snapToGrid w:val="0"/>
              <w:jc w:val="center"/>
              <w:rPr>
                <w:rFonts w:ascii="Times New Roman" w:eastAsia="仿宋"/>
              </w:rPr>
            </w:pPr>
            <w:r>
              <w:rPr>
                <w:rFonts w:ascii="Times New Roman" w:eastAsia="仿宋"/>
              </w:rPr>
              <w:t>7.2.2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2275" w:type="dxa"/>
            <w:vAlign w:val="center"/>
          </w:tcPr>
          <w:p w14:paraId="4D682B27">
            <w:pPr>
              <w:widowControl/>
              <w:adjustRightInd w:val="0"/>
              <w:snapToGrid w:val="0"/>
              <w:jc w:val="center"/>
              <w:rPr>
                <w:rFonts w:ascii="Times New Roman" w:eastAsia="仿宋"/>
              </w:rPr>
            </w:pPr>
            <w:r>
              <w:rPr>
                <w:rFonts w:ascii="Times New Roman" w:eastAsia="仿宋"/>
              </w:rPr>
              <w:t>本项目含VOCs产品均采用密闭设备或在密闭空间内操作，其中油漆喷涂及对应流平烘干工段采取气体收集措施后排至VOCs废气收集处理系统后有组织排放。</w:t>
            </w:r>
          </w:p>
        </w:tc>
        <w:tc>
          <w:tcPr>
            <w:tcW w:w="882" w:type="dxa"/>
            <w:vAlign w:val="center"/>
          </w:tcPr>
          <w:p w14:paraId="4B106A86">
            <w:pPr>
              <w:widowControl/>
              <w:adjustRightInd w:val="0"/>
              <w:snapToGrid w:val="0"/>
              <w:jc w:val="center"/>
              <w:rPr>
                <w:rFonts w:ascii="Times New Roman" w:eastAsia="仿宋"/>
              </w:rPr>
            </w:pPr>
            <w:r>
              <w:rPr>
                <w:rFonts w:ascii="Times New Roman" w:eastAsia="仿宋"/>
              </w:rPr>
              <w:t>相符</w:t>
            </w:r>
          </w:p>
        </w:tc>
      </w:tr>
      <w:tr w14:paraId="4040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1DCF4566">
            <w:pPr>
              <w:widowControl/>
              <w:adjustRightInd w:val="0"/>
              <w:snapToGrid w:val="0"/>
              <w:jc w:val="center"/>
              <w:rPr>
                <w:rFonts w:ascii="Times New Roman" w:eastAsia="仿宋"/>
              </w:rPr>
            </w:pPr>
          </w:p>
        </w:tc>
        <w:tc>
          <w:tcPr>
            <w:tcW w:w="1061" w:type="dxa"/>
            <w:vAlign w:val="center"/>
          </w:tcPr>
          <w:p w14:paraId="6B99F5E8">
            <w:pPr>
              <w:widowControl/>
              <w:adjustRightInd w:val="0"/>
              <w:snapToGrid w:val="0"/>
              <w:jc w:val="center"/>
              <w:rPr>
                <w:rFonts w:ascii="Times New Roman" w:eastAsia="仿宋"/>
              </w:rPr>
            </w:pPr>
            <w:r>
              <w:rPr>
                <w:rFonts w:ascii="Times New Roman" w:eastAsia="仿宋"/>
              </w:rPr>
              <w:t>7.3其他要求</w:t>
            </w:r>
          </w:p>
        </w:tc>
        <w:tc>
          <w:tcPr>
            <w:tcW w:w="4262" w:type="dxa"/>
            <w:vAlign w:val="center"/>
          </w:tcPr>
          <w:p w14:paraId="65071C13">
            <w:pPr>
              <w:widowControl/>
              <w:adjustRightInd w:val="0"/>
              <w:snapToGrid w:val="0"/>
              <w:jc w:val="center"/>
              <w:rPr>
                <w:rFonts w:ascii="Times New Roman" w:eastAsia="仿宋"/>
              </w:rPr>
            </w:pPr>
            <w:r>
              <w:rPr>
                <w:rFonts w:ascii="Times New Roman" w:eastAsia="仿宋"/>
              </w:rPr>
              <w:t>7.3.1企业应建立台账，记录含VOCs原辅材料和含VOCs产品的名称、使用量、回收量、废弃量、去向以及VOCs含量等信息。台账保存期限不少于3年。</w:t>
            </w:r>
          </w:p>
          <w:p w14:paraId="2F2A78D9">
            <w:pPr>
              <w:widowControl/>
              <w:adjustRightInd w:val="0"/>
              <w:snapToGrid w:val="0"/>
              <w:jc w:val="center"/>
              <w:rPr>
                <w:rFonts w:ascii="Times New Roman" w:eastAsia="仿宋"/>
              </w:rPr>
            </w:pPr>
            <w:r>
              <w:rPr>
                <w:rFonts w:ascii="Times New Roman" w:eastAsia="仿宋"/>
              </w:rPr>
              <w:t>7.3.2通风生产设备、操作工位、车间厂房等应在符合安全生产、职业卫生相关规定的前提下，根据行业作业规程与标准、工业建筑及洁净厂房通风设计规范等的要求，采用合理的通风量。</w:t>
            </w:r>
          </w:p>
          <w:p w14:paraId="2DF73C03">
            <w:pPr>
              <w:widowControl/>
              <w:adjustRightInd w:val="0"/>
              <w:snapToGrid w:val="0"/>
              <w:jc w:val="center"/>
              <w:rPr>
                <w:rFonts w:ascii="Times New Roman" w:eastAsia="仿宋"/>
              </w:rPr>
            </w:pPr>
            <w:r>
              <w:rPr>
                <w:rFonts w:ascii="Times New Roman" w:eastAsia="仿宋"/>
              </w:rPr>
              <w:t>7.3.3载有VOCs物料的设备及其管道在开停工（车）、检维修和清洗时，应在退料阶段将残存物料退净，并用密闭容器盛装，退料过程废气应排至VOCs废气收集处理系统；清洗及吹扫过程排气应排至VOCs废气收集处理系统。</w:t>
            </w:r>
          </w:p>
          <w:p w14:paraId="38F0BB7F">
            <w:pPr>
              <w:widowControl/>
              <w:adjustRightInd w:val="0"/>
              <w:snapToGrid w:val="0"/>
              <w:jc w:val="center"/>
              <w:rPr>
                <w:rFonts w:ascii="Times New Roman" w:eastAsia="仿宋"/>
              </w:rPr>
            </w:pPr>
            <w:r>
              <w:rPr>
                <w:rFonts w:ascii="Times New Roman" w:eastAsia="仿宋"/>
              </w:rPr>
              <w:t>7.3.4工艺过程产生的含VOCs废料（渣、液）应按照第5章、第6章的要求进行储存、转移和输送。盛装过VOCs物料的废包装容器应加盖密闭。</w:t>
            </w:r>
          </w:p>
        </w:tc>
        <w:tc>
          <w:tcPr>
            <w:tcW w:w="2275" w:type="dxa"/>
            <w:vAlign w:val="center"/>
          </w:tcPr>
          <w:p w14:paraId="376331F1">
            <w:pPr>
              <w:widowControl/>
              <w:adjustRightInd w:val="0"/>
              <w:snapToGrid w:val="0"/>
              <w:jc w:val="center"/>
              <w:rPr>
                <w:rFonts w:ascii="Times New Roman" w:eastAsia="仿宋"/>
              </w:rPr>
            </w:pPr>
            <w:r>
              <w:rPr>
                <w:rFonts w:ascii="Times New Roman" w:eastAsia="仿宋"/>
              </w:rPr>
              <w:t>公司配套含VOCs原辅材料和含VOCs产品的VOCs全流程台账且保存期限不少于3年；公司履行安评及职业卫生评价等手续，厂房内进行通风；开停工（车）、检维修和清洗时VOCs物料退净，并用密闭容器盛装，过程废气排至VOCs废气收集处理系统。</w:t>
            </w:r>
          </w:p>
        </w:tc>
        <w:tc>
          <w:tcPr>
            <w:tcW w:w="882" w:type="dxa"/>
            <w:vAlign w:val="center"/>
          </w:tcPr>
          <w:p w14:paraId="57A73ED1">
            <w:pPr>
              <w:widowControl/>
              <w:adjustRightInd w:val="0"/>
              <w:snapToGrid w:val="0"/>
              <w:jc w:val="center"/>
              <w:rPr>
                <w:rFonts w:ascii="Times New Roman" w:eastAsia="仿宋"/>
              </w:rPr>
            </w:pPr>
            <w:r>
              <w:rPr>
                <w:rFonts w:ascii="Times New Roman" w:eastAsia="仿宋"/>
              </w:rPr>
              <w:t>相符</w:t>
            </w:r>
          </w:p>
        </w:tc>
      </w:tr>
      <w:tr w14:paraId="3D6F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Align w:val="center"/>
          </w:tcPr>
          <w:p w14:paraId="07716B0E">
            <w:pPr>
              <w:widowControl/>
              <w:adjustRightInd w:val="0"/>
              <w:snapToGrid w:val="0"/>
              <w:jc w:val="center"/>
              <w:rPr>
                <w:rFonts w:ascii="Times New Roman" w:eastAsia="仿宋"/>
              </w:rPr>
            </w:pPr>
            <w:r>
              <w:rPr>
                <w:rFonts w:ascii="Times New Roman" w:eastAsia="仿宋"/>
              </w:rPr>
              <w:t>8</w:t>
            </w:r>
          </w:p>
          <w:p w14:paraId="4882A121">
            <w:pPr>
              <w:widowControl/>
              <w:adjustRightInd w:val="0"/>
              <w:snapToGrid w:val="0"/>
              <w:jc w:val="center"/>
              <w:rPr>
                <w:rFonts w:ascii="Times New Roman" w:eastAsia="仿宋"/>
              </w:rPr>
            </w:pPr>
            <w:r>
              <w:rPr>
                <w:rFonts w:ascii="Times New Roman" w:eastAsia="仿宋"/>
              </w:rPr>
              <w:t>设备与管线组件VOCs泄漏控制要求</w:t>
            </w:r>
          </w:p>
        </w:tc>
        <w:tc>
          <w:tcPr>
            <w:tcW w:w="1061" w:type="dxa"/>
            <w:vAlign w:val="center"/>
          </w:tcPr>
          <w:p w14:paraId="51ED1159">
            <w:pPr>
              <w:widowControl/>
              <w:adjustRightInd w:val="0"/>
              <w:snapToGrid w:val="0"/>
              <w:jc w:val="center"/>
              <w:rPr>
                <w:rFonts w:ascii="Times New Roman" w:eastAsia="仿宋"/>
              </w:rPr>
            </w:pPr>
            <w:r>
              <w:rPr>
                <w:rFonts w:ascii="Times New Roman" w:eastAsia="仿宋"/>
              </w:rPr>
              <w:t>8.1管控范围等</w:t>
            </w:r>
          </w:p>
          <w:p w14:paraId="2E39FA18">
            <w:pPr>
              <w:widowControl/>
              <w:adjustRightInd w:val="0"/>
              <w:snapToGrid w:val="0"/>
              <w:jc w:val="center"/>
              <w:rPr>
                <w:rFonts w:ascii="Times New Roman" w:eastAsia="仿宋"/>
              </w:rPr>
            </w:pPr>
          </w:p>
        </w:tc>
        <w:tc>
          <w:tcPr>
            <w:tcW w:w="4262" w:type="dxa"/>
            <w:vAlign w:val="center"/>
          </w:tcPr>
          <w:p w14:paraId="6CE61216">
            <w:pPr>
              <w:widowControl/>
              <w:adjustRightInd w:val="0"/>
              <w:snapToGrid w:val="0"/>
              <w:jc w:val="center"/>
              <w:rPr>
                <w:rFonts w:ascii="Times New Roman" w:eastAsia="仿宋"/>
              </w:rPr>
            </w:pPr>
            <w:r>
              <w:rPr>
                <w:rFonts w:ascii="Times New Roman" w:eastAsia="仿宋"/>
              </w:rPr>
              <w:t>企业中载有气态VOCs物料、液态VOCs物料的设备与管线组件的密封点≥2000个，应开展泄漏检测与修复工作。设备与管线组件包括：</w:t>
            </w:r>
          </w:p>
          <w:p w14:paraId="555A1E14">
            <w:pPr>
              <w:widowControl/>
              <w:adjustRightInd w:val="0"/>
              <w:snapToGrid w:val="0"/>
              <w:jc w:val="center"/>
              <w:rPr>
                <w:rFonts w:ascii="Times New Roman" w:eastAsia="仿宋"/>
              </w:rPr>
            </w:pPr>
            <w:r>
              <w:rPr>
                <w:rFonts w:ascii="Times New Roman" w:eastAsia="仿宋"/>
              </w:rPr>
              <w:t>a)泵；b)压缩机；c)搅拌器（机）；d)阀门；e)开口阀或开口管线；f)法兰及其他连接件；g)泄压设备；h)取样连接系统；i)其他密封设备。</w:t>
            </w:r>
          </w:p>
        </w:tc>
        <w:tc>
          <w:tcPr>
            <w:tcW w:w="2275" w:type="dxa"/>
            <w:vAlign w:val="center"/>
          </w:tcPr>
          <w:p w14:paraId="69DAC479">
            <w:pPr>
              <w:widowControl/>
              <w:adjustRightInd w:val="0"/>
              <w:snapToGrid w:val="0"/>
              <w:jc w:val="center"/>
              <w:rPr>
                <w:rFonts w:ascii="Times New Roman" w:eastAsia="仿宋"/>
              </w:rPr>
            </w:pPr>
            <w:r>
              <w:rPr>
                <w:rFonts w:ascii="Times New Roman" w:eastAsia="仿宋"/>
              </w:rPr>
              <w:t>企业运行中如载有气态VOCs物料、液态VOCs物料的设备与管线组件的密封点≥2000个，应开展泄漏检测与修复工作。</w:t>
            </w:r>
          </w:p>
        </w:tc>
        <w:tc>
          <w:tcPr>
            <w:tcW w:w="882" w:type="dxa"/>
            <w:vAlign w:val="center"/>
          </w:tcPr>
          <w:p w14:paraId="4027B7AA">
            <w:pPr>
              <w:widowControl/>
              <w:adjustRightInd w:val="0"/>
              <w:snapToGrid w:val="0"/>
              <w:jc w:val="center"/>
              <w:rPr>
                <w:rFonts w:ascii="Times New Roman" w:eastAsia="仿宋"/>
              </w:rPr>
            </w:pPr>
            <w:r>
              <w:rPr>
                <w:rFonts w:ascii="Times New Roman" w:eastAsia="仿宋"/>
              </w:rPr>
              <w:t>相符</w:t>
            </w:r>
          </w:p>
        </w:tc>
      </w:tr>
      <w:tr w14:paraId="3602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restart"/>
            <w:vAlign w:val="center"/>
          </w:tcPr>
          <w:p w14:paraId="54DB143E">
            <w:pPr>
              <w:widowControl/>
              <w:adjustRightInd w:val="0"/>
              <w:snapToGrid w:val="0"/>
              <w:jc w:val="center"/>
              <w:rPr>
                <w:rFonts w:ascii="Times New Roman" w:eastAsia="仿宋"/>
              </w:rPr>
            </w:pPr>
            <w:r>
              <w:rPr>
                <w:rFonts w:ascii="Times New Roman" w:eastAsia="仿宋"/>
              </w:rPr>
              <w:t>9</w:t>
            </w:r>
          </w:p>
          <w:p w14:paraId="0F6FF2C2">
            <w:pPr>
              <w:widowControl/>
              <w:adjustRightInd w:val="0"/>
              <w:snapToGrid w:val="0"/>
              <w:jc w:val="center"/>
              <w:rPr>
                <w:rFonts w:ascii="Times New Roman" w:eastAsia="仿宋"/>
              </w:rPr>
            </w:pPr>
            <w:r>
              <w:rPr>
                <w:rFonts w:ascii="Times New Roman" w:eastAsia="仿宋"/>
              </w:rPr>
              <w:t>敞开液面VOCs无组织排放控制要求</w:t>
            </w:r>
          </w:p>
        </w:tc>
        <w:tc>
          <w:tcPr>
            <w:tcW w:w="1061" w:type="dxa"/>
            <w:vAlign w:val="center"/>
          </w:tcPr>
          <w:p w14:paraId="090E176F">
            <w:pPr>
              <w:widowControl/>
              <w:adjustRightInd w:val="0"/>
              <w:snapToGrid w:val="0"/>
              <w:jc w:val="center"/>
              <w:rPr>
                <w:rFonts w:ascii="Times New Roman" w:eastAsia="仿宋"/>
              </w:rPr>
            </w:pPr>
            <w:r>
              <w:rPr>
                <w:rFonts w:ascii="Times New Roman" w:eastAsia="仿宋"/>
              </w:rPr>
              <w:t>9.1废水液面控制要求</w:t>
            </w:r>
          </w:p>
        </w:tc>
        <w:tc>
          <w:tcPr>
            <w:tcW w:w="4262" w:type="dxa"/>
            <w:vAlign w:val="center"/>
          </w:tcPr>
          <w:p w14:paraId="0CACF992">
            <w:pPr>
              <w:widowControl/>
              <w:adjustRightInd w:val="0"/>
              <w:snapToGrid w:val="0"/>
              <w:jc w:val="center"/>
              <w:rPr>
                <w:rFonts w:ascii="Times New Roman" w:eastAsia="仿宋"/>
              </w:rPr>
            </w:pPr>
            <w:r>
              <w:rPr>
                <w:rFonts w:ascii="Times New Roman" w:eastAsia="仿宋"/>
              </w:rPr>
              <w:t>9.1.1废水集输系统</w:t>
            </w:r>
          </w:p>
          <w:p w14:paraId="2CFA4FE0">
            <w:pPr>
              <w:widowControl/>
              <w:adjustRightInd w:val="0"/>
              <w:snapToGrid w:val="0"/>
              <w:jc w:val="center"/>
              <w:rPr>
                <w:rFonts w:ascii="Times New Roman" w:eastAsia="仿宋"/>
              </w:rPr>
            </w:pPr>
            <w:r>
              <w:rPr>
                <w:rFonts w:ascii="Times New Roman" w:eastAsia="仿宋"/>
              </w:rPr>
              <w:t>对于工艺过程排放的含VOCs废水，集输系统应符合下列规定之一：</w:t>
            </w:r>
          </w:p>
          <w:p w14:paraId="4C18F150">
            <w:pPr>
              <w:widowControl/>
              <w:adjustRightInd w:val="0"/>
              <w:snapToGrid w:val="0"/>
              <w:jc w:val="center"/>
              <w:rPr>
                <w:rFonts w:ascii="Times New Roman" w:eastAsia="仿宋"/>
              </w:rPr>
            </w:pPr>
            <w:r>
              <w:rPr>
                <w:rFonts w:ascii="Times New Roman" w:eastAsia="仿宋"/>
              </w:rPr>
              <w:t>a)采用密闭管道输送，接入口和排出口采取与环境空气隔离的措施；</w:t>
            </w:r>
          </w:p>
          <w:p w14:paraId="15B9743C">
            <w:pPr>
              <w:widowControl/>
              <w:adjustRightInd w:val="0"/>
              <w:snapToGrid w:val="0"/>
              <w:jc w:val="center"/>
              <w:rPr>
                <w:rFonts w:ascii="Times New Roman" w:eastAsia="仿宋"/>
              </w:rPr>
            </w:pPr>
            <w:r>
              <w:rPr>
                <w:rFonts w:ascii="Times New Roman" w:eastAsia="仿宋"/>
              </w:rPr>
              <w:t>b)采用沟渠输送，若敞开液面上方100 mm处VOCs检测浓度≥200 μmo/mol,应加盖密闭，接入口和排出口采取与环境空气隔离的措施。</w:t>
            </w:r>
          </w:p>
          <w:p w14:paraId="02FDD146">
            <w:pPr>
              <w:widowControl/>
              <w:adjustRightInd w:val="0"/>
              <w:snapToGrid w:val="0"/>
              <w:jc w:val="center"/>
              <w:rPr>
                <w:rFonts w:ascii="Times New Roman" w:eastAsia="仿宋"/>
              </w:rPr>
            </w:pPr>
            <w:r>
              <w:rPr>
                <w:rFonts w:ascii="Times New Roman" w:eastAsia="仿宋"/>
              </w:rPr>
              <w:t>9.1.2废水储存、处理设施</w:t>
            </w:r>
          </w:p>
          <w:p w14:paraId="2E862E97">
            <w:pPr>
              <w:widowControl/>
              <w:adjustRightInd w:val="0"/>
              <w:snapToGrid w:val="0"/>
              <w:jc w:val="center"/>
              <w:rPr>
                <w:rFonts w:ascii="Times New Roman" w:eastAsia="仿宋"/>
              </w:rPr>
            </w:pPr>
            <w:r>
              <w:rPr>
                <w:rFonts w:ascii="Times New Roman" w:eastAsia="仿宋"/>
              </w:rPr>
              <w:t>含VOCs废水储存和处理设施敞开液面上方100mm处VOCs检测浓度≥200μmo/mol，应符合下列规定之一：</w:t>
            </w:r>
          </w:p>
          <w:p w14:paraId="708FAB78">
            <w:pPr>
              <w:widowControl/>
              <w:adjustRightInd w:val="0"/>
              <w:snapToGrid w:val="0"/>
              <w:jc w:val="center"/>
              <w:rPr>
                <w:rFonts w:ascii="Times New Roman" w:eastAsia="仿宋"/>
              </w:rPr>
            </w:pPr>
            <w:r>
              <w:rPr>
                <w:rFonts w:ascii="Times New Roman" w:eastAsia="仿宋"/>
              </w:rPr>
              <w:t>a)采用浮动顶盖；b)采用固定顶盖，收集废气至VOCs废气收集处理系统；c)其他等效措施。</w:t>
            </w:r>
          </w:p>
        </w:tc>
        <w:tc>
          <w:tcPr>
            <w:tcW w:w="2275" w:type="dxa"/>
            <w:vMerge w:val="restart"/>
            <w:vAlign w:val="center"/>
          </w:tcPr>
          <w:p w14:paraId="73205162">
            <w:pPr>
              <w:widowControl/>
              <w:adjustRightInd w:val="0"/>
              <w:snapToGrid w:val="0"/>
              <w:jc w:val="center"/>
              <w:rPr>
                <w:rFonts w:ascii="Times New Roman" w:eastAsia="仿宋"/>
              </w:rPr>
            </w:pPr>
            <w:r>
              <w:rPr>
                <w:rFonts w:ascii="Times New Roman" w:eastAsia="仿宋"/>
              </w:rPr>
              <w:t>本项目不排放含VOCs废水。</w:t>
            </w:r>
          </w:p>
        </w:tc>
        <w:tc>
          <w:tcPr>
            <w:tcW w:w="882" w:type="dxa"/>
            <w:vMerge w:val="restart"/>
            <w:vAlign w:val="center"/>
          </w:tcPr>
          <w:p w14:paraId="48431ED6">
            <w:pPr>
              <w:widowControl/>
              <w:adjustRightInd w:val="0"/>
              <w:snapToGrid w:val="0"/>
              <w:jc w:val="center"/>
              <w:rPr>
                <w:rFonts w:ascii="Times New Roman" w:eastAsia="仿宋"/>
              </w:rPr>
            </w:pPr>
            <w:r>
              <w:rPr>
                <w:rFonts w:ascii="Times New Roman" w:eastAsia="仿宋"/>
              </w:rPr>
              <w:t>相符</w:t>
            </w:r>
          </w:p>
        </w:tc>
      </w:tr>
      <w:tr w14:paraId="5984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7BC039EF">
            <w:pPr>
              <w:widowControl/>
              <w:adjustRightInd w:val="0"/>
              <w:snapToGrid w:val="0"/>
              <w:jc w:val="center"/>
              <w:rPr>
                <w:rFonts w:ascii="Times New Roman" w:eastAsia="仿宋"/>
              </w:rPr>
            </w:pPr>
          </w:p>
        </w:tc>
        <w:tc>
          <w:tcPr>
            <w:tcW w:w="1061" w:type="dxa"/>
            <w:vAlign w:val="center"/>
          </w:tcPr>
          <w:p w14:paraId="123A701D">
            <w:pPr>
              <w:widowControl/>
              <w:adjustRightInd w:val="0"/>
              <w:snapToGrid w:val="0"/>
              <w:jc w:val="center"/>
              <w:rPr>
                <w:rFonts w:ascii="Times New Roman" w:eastAsia="仿宋"/>
              </w:rPr>
            </w:pPr>
            <w:r>
              <w:rPr>
                <w:rFonts w:ascii="Times New Roman" w:eastAsia="仿宋"/>
              </w:rPr>
              <w:t>9.2废水液面特别控制要求</w:t>
            </w:r>
          </w:p>
        </w:tc>
        <w:tc>
          <w:tcPr>
            <w:tcW w:w="4262" w:type="dxa"/>
            <w:vAlign w:val="center"/>
          </w:tcPr>
          <w:p w14:paraId="290881C9">
            <w:pPr>
              <w:widowControl/>
              <w:adjustRightInd w:val="0"/>
              <w:snapToGrid w:val="0"/>
              <w:jc w:val="center"/>
              <w:rPr>
                <w:rFonts w:ascii="Times New Roman" w:eastAsia="仿宋"/>
              </w:rPr>
            </w:pPr>
            <w:r>
              <w:rPr>
                <w:rFonts w:ascii="Times New Roman" w:eastAsia="仿宋"/>
              </w:rPr>
              <w:t>9.2.1废水集输系统</w:t>
            </w:r>
          </w:p>
          <w:p w14:paraId="765BD304">
            <w:pPr>
              <w:widowControl/>
              <w:adjustRightInd w:val="0"/>
              <w:snapToGrid w:val="0"/>
              <w:jc w:val="center"/>
              <w:rPr>
                <w:rFonts w:ascii="Times New Roman" w:eastAsia="仿宋"/>
              </w:rPr>
            </w:pPr>
            <w:r>
              <w:rPr>
                <w:rFonts w:ascii="Times New Roman" w:eastAsia="仿宋"/>
              </w:rPr>
              <w:t>对于工艺过程排放的含VOCs废水，集输系统应符合下列规定之一：</w:t>
            </w:r>
          </w:p>
          <w:p w14:paraId="590F8E11">
            <w:pPr>
              <w:widowControl/>
              <w:adjustRightInd w:val="0"/>
              <w:snapToGrid w:val="0"/>
              <w:jc w:val="center"/>
              <w:rPr>
                <w:rFonts w:ascii="Times New Roman" w:eastAsia="仿宋"/>
              </w:rPr>
            </w:pPr>
            <w:r>
              <w:rPr>
                <w:rFonts w:ascii="Times New Roman" w:eastAsia="仿宋"/>
              </w:rPr>
              <w:t>a)采用密闭管道输送，接入口和排出口采取与环境空气隔离的措施；</w:t>
            </w:r>
          </w:p>
          <w:p w14:paraId="41BC2F18">
            <w:pPr>
              <w:widowControl/>
              <w:adjustRightInd w:val="0"/>
              <w:snapToGrid w:val="0"/>
              <w:jc w:val="center"/>
              <w:rPr>
                <w:rFonts w:ascii="Times New Roman" w:eastAsia="仿宋"/>
              </w:rPr>
            </w:pPr>
            <w:r>
              <w:rPr>
                <w:rFonts w:ascii="Times New Roman" w:eastAsia="仿宋"/>
              </w:rPr>
              <w:t>b)采用沟渠输送，若敞开液面上方100 mm处VOCs检测浓度≥100 μmolmol，应加盖密闭，接入口和排出口采取与环境空气隔离的措施。</w:t>
            </w:r>
          </w:p>
          <w:p w14:paraId="29AC5ABE">
            <w:pPr>
              <w:widowControl/>
              <w:adjustRightInd w:val="0"/>
              <w:snapToGrid w:val="0"/>
              <w:jc w:val="center"/>
              <w:rPr>
                <w:rFonts w:ascii="Times New Roman" w:eastAsia="仿宋"/>
              </w:rPr>
            </w:pPr>
            <w:r>
              <w:rPr>
                <w:rFonts w:ascii="Times New Roman" w:eastAsia="仿宋"/>
              </w:rPr>
              <w:t>9.2.2废水储存、处理设施</w:t>
            </w:r>
          </w:p>
          <w:p w14:paraId="6F072CA9">
            <w:pPr>
              <w:widowControl/>
              <w:adjustRightInd w:val="0"/>
              <w:snapToGrid w:val="0"/>
              <w:jc w:val="center"/>
              <w:rPr>
                <w:rFonts w:ascii="Times New Roman" w:eastAsia="仿宋"/>
              </w:rPr>
            </w:pPr>
            <w:r>
              <w:rPr>
                <w:rFonts w:ascii="Times New Roman" w:eastAsia="仿宋"/>
              </w:rPr>
              <w:t>含VOCs废水储存和处理设施敞开液面上方100mm处VOCs检测浓度≥100μmol/mol，应符合下列规定之一：</w:t>
            </w:r>
          </w:p>
          <w:p w14:paraId="5A71396C">
            <w:pPr>
              <w:widowControl/>
              <w:adjustRightInd w:val="0"/>
              <w:snapToGrid w:val="0"/>
              <w:jc w:val="center"/>
              <w:rPr>
                <w:rFonts w:ascii="Times New Roman" w:eastAsia="仿宋"/>
              </w:rPr>
            </w:pPr>
            <w:r>
              <w:rPr>
                <w:rFonts w:ascii="Times New Roman" w:eastAsia="仿宋"/>
              </w:rPr>
              <w:t>a)采用浮动顶盖；b)采用固定顶盖，收集废气至VOCs废气收集处理系统；c)其他等效措施。</w:t>
            </w:r>
          </w:p>
        </w:tc>
        <w:tc>
          <w:tcPr>
            <w:tcW w:w="2275" w:type="dxa"/>
            <w:vMerge w:val="continue"/>
            <w:vAlign w:val="center"/>
          </w:tcPr>
          <w:p w14:paraId="7E7033E0">
            <w:pPr>
              <w:widowControl/>
              <w:adjustRightInd w:val="0"/>
              <w:snapToGrid w:val="0"/>
              <w:jc w:val="center"/>
              <w:rPr>
                <w:rFonts w:ascii="Times New Roman" w:eastAsia="仿宋"/>
              </w:rPr>
            </w:pPr>
          </w:p>
        </w:tc>
        <w:tc>
          <w:tcPr>
            <w:tcW w:w="882" w:type="dxa"/>
            <w:vMerge w:val="continue"/>
            <w:vAlign w:val="center"/>
          </w:tcPr>
          <w:p w14:paraId="145DE1A3">
            <w:pPr>
              <w:widowControl/>
              <w:adjustRightInd w:val="0"/>
              <w:snapToGrid w:val="0"/>
              <w:jc w:val="center"/>
              <w:rPr>
                <w:rFonts w:ascii="Times New Roman" w:eastAsia="仿宋"/>
              </w:rPr>
            </w:pPr>
          </w:p>
        </w:tc>
      </w:tr>
      <w:tr w14:paraId="734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642707F7">
            <w:pPr>
              <w:widowControl/>
              <w:adjustRightInd w:val="0"/>
              <w:snapToGrid w:val="0"/>
              <w:jc w:val="center"/>
              <w:rPr>
                <w:rFonts w:ascii="Times New Roman" w:eastAsia="仿宋"/>
              </w:rPr>
            </w:pPr>
          </w:p>
        </w:tc>
        <w:tc>
          <w:tcPr>
            <w:tcW w:w="1061" w:type="dxa"/>
            <w:vAlign w:val="center"/>
          </w:tcPr>
          <w:p w14:paraId="27BA52C7">
            <w:pPr>
              <w:widowControl/>
              <w:adjustRightInd w:val="0"/>
              <w:snapToGrid w:val="0"/>
              <w:jc w:val="center"/>
              <w:rPr>
                <w:rFonts w:ascii="Times New Roman" w:eastAsia="仿宋"/>
              </w:rPr>
            </w:pPr>
            <w:r>
              <w:rPr>
                <w:rFonts w:ascii="Times New Roman" w:eastAsia="仿宋"/>
              </w:rPr>
              <w:t>9.3循环冷却水系统要求</w:t>
            </w:r>
          </w:p>
        </w:tc>
        <w:tc>
          <w:tcPr>
            <w:tcW w:w="4262" w:type="dxa"/>
            <w:vAlign w:val="center"/>
          </w:tcPr>
          <w:p w14:paraId="7A2A288C">
            <w:pPr>
              <w:widowControl/>
              <w:adjustRightInd w:val="0"/>
              <w:snapToGrid w:val="0"/>
              <w:jc w:val="center"/>
              <w:rPr>
                <w:rFonts w:ascii="Times New Roman" w:eastAsia="仿宋"/>
              </w:rPr>
            </w:pPr>
            <w:r>
              <w:rPr>
                <w:rFonts w:ascii="Times New Roman" w:eastAsia="仿宋"/>
              </w:rPr>
              <w:t>对开式循环冷却水系统，每6个月对流经换热器进口和出口的循环冷却水中的总有机碳（TOC）浓度进行检测，若出口浓度大于进口浓度10%，则认定发生了泄漏，应按照8.4条、8.5条规定进行泄漏源修复与记录。</w:t>
            </w:r>
          </w:p>
        </w:tc>
        <w:tc>
          <w:tcPr>
            <w:tcW w:w="2275" w:type="dxa"/>
            <w:vMerge w:val="continue"/>
            <w:vAlign w:val="center"/>
          </w:tcPr>
          <w:p w14:paraId="7347A42B">
            <w:pPr>
              <w:widowControl/>
              <w:adjustRightInd w:val="0"/>
              <w:snapToGrid w:val="0"/>
              <w:jc w:val="center"/>
              <w:rPr>
                <w:rFonts w:ascii="Times New Roman" w:eastAsia="仿宋"/>
              </w:rPr>
            </w:pPr>
          </w:p>
        </w:tc>
        <w:tc>
          <w:tcPr>
            <w:tcW w:w="882" w:type="dxa"/>
            <w:vMerge w:val="continue"/>
            <w:vAlign w:val="center"/>
          </w:tcPr>
          <w:p w14:paraId="44B44C41">
            <w:pPr>
              <w:widowControl/>
              <w:adjustRightInd w:val="0"/>
              <w:snapToGrid w:val="0"/>
              <w:jc w:val="center"/>
              <w:rPr>
                <w:rFonts w:ascii="Times New Roman" w:eastAsia="仿宋"/>
              </w:rPr>
            </w:pPr>
          </w:p>
        </w:tc>
      </w:tr>
      <w:tr w14:paraId="19AE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restart"/>
            <w:vAlign w:val="center"/>
          </w:tcPr>
          <w:p w14:paraId="21FAADA0">
            <w:pPr>
              <w:widowControl/>
              <w:adjustRightInd w:val="0"/>
              <w:snapToGrid w:val="0"/>
              <w:jc w:val="center"/>
              <w:rPr>
                <w:rFonts w:ascii="Times New Roman" w:eastAsia="仿宋"/>
              </w:rPr>
            </w:pPr>
            <w:r>
              <w:rPr>
                <w:rFonts w:ascii="Times New Roman" w:eastAsia="仿宋"/>
              </w:rPr>
              <w:t>10</w:t>
            </w:r>
          </w:p>
          <w:p w14:paraId="6A4E6A16">
            <w:pPr>
              <w:widowControl/>
              <w:adjustRightInd w:val="0"/>
              <w:snapToGrid w:val="0"/>
              <w:jc w:val="center"/>
              <w:rPr>
                <w:rFonts w:ascii="Times New Roman" w:eastAsia="仿宋"/>
              </w:rPr>
            </w:pPr>
            <w:r>
              <w:rPr>
                <w:rFonts w:ascii="Times New Roman" w:eastAsia="仿宋"/>
              </w:rPr>
              <w:t>VOCs无组织排放废气收集处理系统要求</w:t>
            </w:r>
          </w:p>
        </w:tc>
        <w:tc>
          <w:tcPr>
            <w:tcW w:w="1061" w:type="dxa"/>
            <w:vAlign w:val="center"/>
          </w:tcPr>
          <w:p w14:paraId="0FFA4932">
            <w:pPr>
              <w:widowControl/>
              <w:adjustRightInd w:val="0"/>
              <w:snapToGrid w:val="0"/>
              <w:jc w:val="center"/>
              <w:rPr>
                <w:rFonts w:ascii="Times New Roman" w:eastAsia="仿宋"/>
              </w:rPr>
            </w:pPr>
            <w:r>
              <w:rPr>
                <w:rFonts w:ascii="Times New Roman" w:eastAsia="仿宋"/>
              </w:rPr>
              <w:t>10.1基本要求</w:t>
            </w:r>
          </w:p>
        </w:tc>
        <w:tc>
          <w:tcPr>
            <w:tcW w:w="4262" w:type="dxa"/>
            <w:vAlign w:val="center"/>
          </w:tcPr>
          <w:p w14:paraId="14D29651">
            <w:pPr>
              <w:widowControl/>
              <w:adjustRightInd w:val="0"/>
              <w:snapToGrid w:val="0"/>
              <w:jc w:val="center"/>
              <w:rPr>
                <w:rFonts w:ascii="Times New Roman" w:eastAsia="仿宋"/>
              </w:rPr>
            </w:pPr>
            <w:r>
              <w:rPr>
                <w:rFonts w:ascii="Times New Roman" w:eastAsia="仿宋"/>
              </w:rPr>
              <w:t>10.1.1针对VOCs无组织排放设置的废气收集处理系统应满足本章要求。</w:t>
            </w:r>
          </w:p>
          <w:p w14:paraId="05A10D51">
            <w:pPr>
              <w:widowControl/>
              <w:adjustRightInd w:val="0"/>
              <w:snapToGrid w:val="0"/>
              <w:jc w:val="center"/>
              <w:rPr>
                <w:rFonts w:ascii="Times New Roman" w:eastAsia="仿宋"/>
              </w:rPr>
            </w:pPr>
            <w:r>
              <w:rPr>
                <w:rFonts w:ascii="Times New Roman" w:eastAsia="仿宋"/>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275" w:type="dxa"/>
            <w:vAlign w:val="center"/>
          </w:tcPr>
          <w:p w14:paraId="0B922C02">
            <w:pPr>
              <w:widowControl/>
              <w:adjustRightInd w:val="0"/>
              <w:snapToGrid w:val="0"/>
              <w:jc w:val="center"/>
              <w:rPr>
                <w:rFonts w:ascii="Times New Roman" w:eastAsia="仿宋"/>
              </w:rPr>
            </w:pPr>
            <w:r>
              <w:rPr>
                <w:rFonts w:ascii="Times New Roman" w:eastAsia="仿宋"/>
              </w:rPr>
              <w:t>本项目VOCs废气收集处理系统应与生产工艺设备同步运行。</w:t>
            </w:r>
          </w:p>
        </w:tc>
        <w:tc>
          <w:tcPr>
            <w:tcW w:w="882" w:type="dxa"/>
            <w:vAlign w:val="center"/>
          </w:tcPr>
          <w:p w14:paraId="5DF6C385">
            <w:pPr>
              <w:widowControl/>
              <w:adjustRightInd w:val="0"/>
              <w:snapToGrid w:val="0"/>
              <w:jc w:val="center"/>
              <w:rPr>
                <w:rFonts w:ascii="Times New Roman" w:eastAsia="仿宋"/>
              </w:rPr>
            </w:pPr>
            <w:r>
              <w:rPr>
                <w:rFonts w:ascii="Times New Roman" w:eastAsia="仿宋"/>
              </w:rPr>
              <w:t>相符</w:t>
            </w:r>
          </w:p>
        </w:tc>
      </w:tr>
      <w:tr w14:paraId="50B9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4F16D547">
            <w:pPr>
              <w:widowControl/>
              <w:adjustRightInd w:val="0"/>
              <w:snapToGrid w:val="0"/>
              <w:jc w:val="center"/>
              <w:rPr>
                <w:rFonts w:ascii="Times New Roman" w:eastAsia="仿宋"/>
              </w:rPr>
            </w:pPr>
          </w:p>
        </w:tc>
        <w:tc>
          <w:tcPr>
            <w:tcW w:w="1061" w:type="dxa"/>
            <w:vAlign w:val="center"/>
          </w:tcPr>
          <w:p w14:paraId="26AE5D1E">
            <w:pPr>
              <w:widowControl/>
              <w:adjustRightInd w:val="0"/>
              <w:snapToGrid w:val="0"/>
              <w:jc w:val="center"/>
              <w:rPr>
                <w:rFonts w:ascii="Times New Roman" w:eastAsia="仿宋"/>
              </w:rPr>
            </w:pPr>
            <w:r>
              <w:rPr>
                <w:rFonts w:ascii="Times New Roman" w:eastAsia="仿宋"/>
              </w:rPr>
              <w:t>10.2废气收集系统要求</w:t>
            </w:r>
          </w:p>
        </w:tc>
        <w:tc>
          <w:tcPr>
            <w:tcW w:w="4262" w:type="dxa"/>
            <w:vAlign w:val="center"/>
          </w:tcPr>
          <w:p w14:paraId="7C2ABCD7">
            <w:pPr>
              <w:widowControl/>
              <w:adjustRightInd w:val="0"/>
              <w:snapToGrid w:val="0"/>
              <w:jc w:val="center"/>
              <w:rPr>
                <w:rFonts w:ascii="Times New Roman" w:eastAsia="仿宋"/>
              </w:rPr>
            </w:pPr>
            <w:r>
              <w:rPr>
                <w:rFonts w:ascii="Times New Roman" w:eastAsia="仿宋"/>
              </w:rPr>
              <w:t>10.2.1企业应考虑生产工艺、操作方式、废气性质、处理方法等因素，对VOCs废气进行分类收集。</w:t>
            </w:r>
          </w:p>
          <w:p w14:paraId="70899203">
            <w:pPr>
              <w:widowControl/>
              <w:adjustRightInd w:val="0"/>
              <w:snapToGrid w:val="0"/>
              <w:jc w:val="center"/>
              <w:rPr>
                <w:rFonts w:ascii="Times New Roman" w:eastAsia="仿宋"/>
              </w:rPr>
            </w:pPr>
            <w:r>
              <w:rPr>
                <w:rFonts w:ascii="Times New Roman" w:eastAsia="仿宋"/>
              </w:rPr>
              <w:t>10.2.2废气收集系统排风罩（集气罩）的设置应符合GB/T 16758 的规定。采用外部排风罩的，应按GB/T16758、AQ/T4274-2016规定的方法测量控制风速，测量点应选取在距排风罩开口面最远处的VOCs无组织排放位置，控制风速不应低于0.3m/s（行业相关规范有具体规定的，按相关规定执行）。</w:t>
            </w:r>
          </w:p>
          <w:p w14:paraId="09E5B450">
            <w:pPr>
              <w:widowControl/>
              <w:adjustRightInd w:val="0"/>
              <w:snapToGrid w:val="0"/>
              <w:jc w:val="center"/>
              <w:rPr>
                <w:rFonts w:ascii="Times New Roman" w:eastAsia="仿宋"/>
              </w:rPr>
            </w:pPr>
            <w:r>
              <w:rPr>
                <w:rFonts w:ascii="Times New Roman" w:eastAsia="仿宋"/>
              </w:rPr>
              <w:t>10.2.3废气收集系统的输送管道应密闭。废气收集系统应在负压下运行，若处于正压状态，应对输送管道组件的密封点进行泄漏检测，泄漏检测值不应超过500μmol/mol，亦不应有感官可察觉泄漏。泄漏检测频次、修复与记录的要求按照第8章规定执行。</w:t>
            </w:r>
          </w:p>
        </w:tc>
        <w:tc>
          <w:tcPr>
            <w:tcW w:w="2275" w:type="dxa"/>
            <w:vAlign w:val="center"/>
          </w:tcPr>
          <w:p w14:paraId="273E006B">
            <w:pPr>
              <w:widowControl/>
              <w:adjustRightInd w:val="0"/>
              <w:snapToGrid w:val="0"/>
              <w:jc w:val="center"/>
              <w:rPr>
                <w:rFonts w:ascii="Times New Roman" w:eastAsia="仿宋"/>
              </w:rPr>
            </w:pPr>
            <w:r>
              <w:rPr>
                <w:rFonts w:ascii="Times New Roman" w:eastAsia="仿宋"/>
              </w:rPr>
              <w:t>本项目废气收集系统排风罩（集气罩）按照GB/T16758的规定进行设置。</w:t>
            </w:r>
          </w:p>
        </w:tc>
        <w:tc>
          <w:tcPr>
            <w:tcW w:w="882" w:type="dxa"/>
            <w:vAlign w:val="center"/>
          </w:tcPr>
          <w:p w14:paraId="70A1982D">
            <w:pPr>
              <w:widowControl/>
              <w:adjustRightInd w:val="0"/>
              <w:snapToGrid w:val="0"/>
              <w:jc w:val="center"/>
              <w:rPr>
                <w:rFonts w:ascii="Times New Roman" w:eastAsia="仿宋"/>
              </w:rPr>
            </w:pPr>
            <w:r>
              <w:rPr>
                <w:rFonts w:ascii="Times New Roman" w:eastAsia="仿宋"/>
              </w:rPr>
              <w:t>相符</w:t>
            </w:r>
          </w:p>
        </w:tc>
      </w:tr>
      <w:tr w14:paraId="17E1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5F9506BF">
            <w:pPr>
              <w:widowControl/>
              <w:adjustRightInd w:val="0"/>
              <w:snapToGrid w:val="0"/>
              <w:jc w:val="center"/>
              <w:rPr>
                <w:rFonts w:ascii="Times New Roman" w:eastAsia="仿宋"/>
              </w:rPr>
            </w:pPr>
          </w:p>
        </w:tc>
        <w:tc>
          <w:tcPr>
            <w:tcW w:w="1061" w:type="dxa"/>
            <w:vAlign w:val="center"/>
          </w:tcPr>
          <w:p w14:paraId="46415455">
            <w:pPr>
              <w:widowControl/>
              <w:adjustRightInd w:val="0"/>
              <w:snapToGrid w:val="0"/>
              <w:jc w:val="center"/>
              <w:rPr>
                <w:rFonts w:ascii="Times New Roman" w:eastAsia="仿宋"/>
              </w:rPr>
            </w:pPr>
            <w:r>
              <w:rPr>
                <w:rFonts w:ascii="Times New Roman" w:eastAsia="仿宋"/>
              </w:rPr>
              <w:t>10.3VOCs排放控制要求</w:t>
            </w:r>
          </w:p>
        </w:tc>
        <w:tc>
          <w:tcPr>
            <w:tcW w:w="4262" w:type="dxa"/>
            <w:vAlign w:val="center"/>
          </w:tcPr>
          <w:p w14:paraId="48097DDD">
            <w:pPr>
              <w:widowControl/>
              <w:adjustRightInd w:val="0"/>
              <w:snapToGrid w:val="0"/>
              <w:jc w:val="center"/>
              <w:rPr>
                <w:rFonts w:ascii="Times New Roman" w:eastAsia="仿宋"/>
              </w:rPr>
            </w:pPr>
            <w:r>
              <w:rPr>
                <w:rFonts w:ascii="Times New Roman" w:eastAsia="仿宋"/>
              </w:rPr>
              <w:t>10.3.1VOCs废气收集处理系统污染物排放应符合GB 16297或相关行业排放标准的规定。</w:t>
            </w:r>
          </w:p>
          <w:p w14:paraId="5D98F3E5">
            <w:pPr>
              <w:widowControl/>
              <w:adjustRightInd w:val="0"/>
              <w:snapToGrid w:val="0"/>
              <w:jc w:val="center"/>
              <w:rPr>
                <w:rFonts w:ascii="Times New Roman" w:eastAsia="仿宋"/>
              </w:rPr>
            </w:pPr>
            <w:r>
              <w:rPr>
                <w:rFonts w:ascii="Times New Roman" w:eastAsia="仿宋"/>
              </w:rPr>
              <w:t>10.3.2收集的废气中NMHC初始排放速率≥3 kg/h时，应配置VOCs处理设施，处理效率不应低于80%；对于重点地区，收集的废气中NMHC初始排放速率≥2kg/h时，应配置VOCs处理设施，处理效率不应低于80%；采用的原辅材料符合国家有关低VOCs含量产品规定的除外。</w:t>
            </w:r>
          </w:p>
          <w:p w14:paraId="2E33D824">
            <w:pPr>
              <w:widowControl/>
              <w:adjustRightInd w:val="0"/>
              <w:snapToGrid w:val="0"/>
              <w:jc w:val="center"/>
              <w:rPr>
                <w:rFonts w:ascii="Times New Roman" w:eastAsia="仿宋"/>
              </w:rPr>
            </w:pPr>
            <w:r>
              <w:rPr>
                <w:rFonts w:ascii="Times New Roman" w:eastAsia="仿宋"/>
              </w:rPr>
              <w:t>10.3.3进入VOCs燃烧（焚烧、氧化）装置的废气需要补充空气进行燃烧、氧化反应的，排气筒中实测大气污染物排放浓度，应按式(1)换算为基准含氧量为3%的大气污染物基准排放浓度。利用锅炉、工业炉窑、固废焚烧炉焚烧处理有机废气的，烟气基准含氧量按其排放标准规定执行。</w:t>
            </w:r>
          </w:p>
          <w:p w14:paraId="1624992F">
            <w:pPr>
              <w:widowControl/>
              <w:adjustRightInd w:val="0"/>
              <w:snapToGrid w:val="0"/>
              <w:jc w:val="center"/>
              <w:rPr>
                <w:rFonts w:ascii="Times New Roman" w:eastAsia="仿宋"/>
              </w:rPr>
            </w:pPr>
            <w:r>
              <w:rPr>
                <w:rFonts w:ascii="Times New Roman" w:eastAsia="仿宋"/>
              </w:rPr>
              <w:t>进入VOCs燃烧（焚烧、氧化）装置中废气含氧量可满足自身燃烧、氧化反应需要，不需另外补充空气的（燃烧器需要补充空气助燃的除外），以实测质量浓度作为达标判定依据，但装置出口烟气含氧量不得高于装置进口废气含氧量。</w:t>
            </w:r>
          </w:p>
          <w:p w14:paraId="59D48922">
            <w:pPr>
              <w:widowControl/>
              <w:adjustRightInd w:val="0"/>
              <w:snapToGrid w:val="0"/>
              <w:jc w:val="center"/>
              <w:rPr>
                <w:rFonts w:ascii="Times New Roman" w:eastAsia="仿宋"/>
              </w:rPr>
            </w:pPr>
            <w:r>
              <w:rPr>
                <w:rFonts w:ascii="Times New Roman" w:eastAsia="仿宋"/>
              </w:rPr>
              <w:t>吸附、吸收、冷凝、生物、膜分离等其他VOCs处理设施，以实测质量浓度作为达标判定依据，不得稀释排放。</w:t>
            </w:r>
          </w:p>
          <w:p w14:paraId="60436389">
            <w:pPr>
              <w:widowControl/>
              <w:adjustRightInd w:val="0"/>
              <w:snapToGrid w:val="0"/>
              <w:jc w:val="center"/>
              <w:rPr>
                <w:rFonts w:ascii="Times New Roman" w:eastAsia="仿宋"/>
              </w:rPr>
            </w:pPr>
            <w:r>
              <w:rPr>
                <w:rFonts w:ascii="Times New Roman" w:eastAsia="仿宋"/>
              </w:rPr>
              <w:t>10.3.4排气筒 高度不低于15m（因安全考虑或有特殊工艺要求的除外），具体高度以及与周围建筑物的相对高度关系应根据环境影响评价文件确定。</w:t>
            </w:r>
          </w:p>
          <w:p w14:paraId="234A1CEE">
            <w:pPr>
              <w:widowControl/>
              <w:adjustRightInd w:val="0"/>
              <w:snapToGrid w:val="0"/>
              <w:jc w:val="center"/>
              <w:rPr>
                <w:rFonts w:ascii="Times New Roman" w:eastAsia="仿宋"/>
              </w:rPr>
            </w:pPr>
            <w:r>
              <w:rPr>
                <w:rFonts w:ascii="Times New Roman" w:eastAsia="仿宋"/>
              </w:rPr>
              <w:t>10.3.5当执行不同排放控制要求的废气合并排气筒排放时，应在废气混合前进行监测，并执行相应的排放控制要求；若可选择的监控位置只能对混合后的废气进行监测，则应按各排放控制要求中最严格的规定执行。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275" w:type="dxa"/>
            <w:vAlign w:val="center"/>
          </w:tcPr>
          <w:p w14:paraId="0FA51052">
            <w:pPr>
              <w:widowControl/>
              <w:adjustRightInd w:val="0"/>
              <w:snapToGrid w:val="0"/>
              <w:jc w:val="center"/>
              <w:rPr>
                <w:rFonts w:ascii="Times New Roman" w:eastAsia="仿宋"/>
              </w:rPr>
            </w:pPr>
            <w:r>
              <w:rPr>
                <w:rFonts w:ascii="Times New Roman" w:eastAsia="仿宋"/>
              </w:rPr>
              <w:t>本项目</w:t>
            </w:r>
            <w:r>
              <w:rPr>
                <w:rFonts w:hint="eastAsia" w:ascii="Times New Roman" w:eastAsia="仿宋"/>
              </w:rPr>
              <w:t>钝化、</w:t>
            </w:r>
            <w:r>
              <w:rPr>
                <w:rFonts w:hint="eastAsia" w:ascii="Times New Roman" w:eastAsia="仿宋"/>
                <w:szCs w:val="24"/>
              </w:rPr>
              <w:t>氟碳底漆喷漆、流平</w:t>
            </w:r>
            <w:r>
              <w:rPr>
                <w:rFonts w:ascii="Times New Roman" w:eastAsia="仿宋"/>
              </w:rPr>
              <w:t>工段产生的</w:t>
            </w:r>
            <w:r>
              <w:rPr>
                <w:rFonts w:hint="eastAsia" w:ascii="Times New Roman" w:eastAsia="仿宋"/>
              </w:rPr>
              <w:t>废气</w:t>
            </w:r>
            <w:r>
              <w:rPr>
                <w:rFonts w:ascii="Times New Roman" w:eastAsia="仿宋"/>
              </w:rPr>
              <w:t>经</w:t>
            </w:r>
            <w:r>
              <w:rPr>
                <w:rFonts w:hint="eastAsia" w:ascii="Times New Roman" w:eastAsia="仿宋"/>
                <w:szCs w:val="21"/>
              </w:rPr>
              <w:t>1号水帘式循环过滤系统+水喷淋+干式过滤器+活性炭吸附脱附+催化燃烧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2</w:t>
            </w:r>
            <w:r>
              <w:rPr>
                <w:rFonts w:ascii="Times New Roman" w:eastAsia="仿宋"/>
              </w:rPr>
              <w:t>#）排放，风机风量2</w:t>
            </w:r>
            <w:r>
              <w:rPr>
                <w:rFonts w:hint="eastAsia" w:ascii="Times New Roman" w:eastAsia="仿宋"/>
              </w:rPr>
              <w:t>6</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szCs w:val="24"/>
              </w:rPr>
              <w:t>氟碳面漆及底漆调漆、氟碳面漆喷漆、氟碳面漆流平、喷枪清洗工段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rPr>
              <w:t>2</w:t>
            </w:r>
            <w:r>
              <w:rPr>
                <w:rFonts w:hint="eastAsia" w:ascii="Times New Roman" w:eastAsia="仿宋"/>
                <w:szCs w:val="21"/>
              </w:rPr>
              <w:t>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3</w:t>
            </w:r>
            <w:r>
              <w:rPr>
                <w:rFonts w:ascii="Times New Roman" w:eastAsia="仿宋"/>
              </w:rPr>
              <w:t>#）排放，风机风量2</w:t>
            </w:r>
            <w:r>
              <w:rPr>
                <w:rFonts w:hint="eastAsia" w:ascii="Times New Roman" w:eastAsia="仿宋"/>
              </w:rPr>
              <w:t>8</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rPr>
              <w:t>固化工段、</w:t>
            </w:r>
            <w:r>
              <w:rPr>
                <w:rFonts w:hint="eastAsia" w:ascii="Times New Roman" w:eastAsia="仿宋"/>
                <w:szCs w:val="24"/>
              </w:rPr>
              <w:t>氟碳面漆烘干、氟碳底漆烘干工段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szCs w:val="21"/>
              </w:rPr>
              <w:t>3号水帘式循环过滤系统+水喷淋+干式过滤器+活性炭吸附脱附+催化燃烧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4</w:t>
            </w:r>
            <w:r>
              <w:rPr>
                <w:rFonts w:ascii="Times New Roman" w:eastAsia="仿宋"/>
              </w:rPr>
              <w:t>#）排放，风机风量2</w:t>
            </w:r>
            <w:r>
              <w:rPr>
                <w:rFonts w:hint="eastAsia" w:ascii="Times New Roman" w:eastAsia="仿宋"/>
              </w:rPr>
              <w:t>1</w:t>
            </w:r>
            <w:r>
              <w:rPr>
                <w:rFonts w:ascii="Times New Roman" w:eastAsia="仿宋"/>
              </w:rPr>
              <w:t>000m</w:t>
            </w:r>
            <w:r>
              <w:rPr>
                <w:rFonts w:ascii="Times New Roman" w:eastAsia="仿宋"/>
                <w:vertAlign w:val="superscript"/>
              </w:rPr>
              <w:t>3</w:t>
            </w:r>
            <w:r>
              <w:rPr>
                <w:rFonts w:ascii="Times New Roman" w:eastAsia="仿宋"/>
              </w:rPr>
              <w:t>/h</w:t>
            </w:r>
          </w:p>
        </w:tc>
        <w:tc>
          <w:tcPr>
            <w:tcW w:w="882" w:type="dxa"/>
            <w:vAlign w:val="center"/>
          </w:tcPr>
          <w:p w14:paraId="261840C3">
            <w:pPr>
              <w:widowControl/>
              <w:adjustRightInd w:val="0"/>
              <w:snapToGrid w:val="0"/>
              <w:jc w:val="center"/>
              <w:rPr>
                <w:rFonts w:ascii="Times New Roman" w:eastAsia="仿宋"/>
              </w:rPr>
            </w:pPr>
            <w:r>
              <w:rPr>
                <w:rFonts w:ascii="Times New Roman" w:eastAsia="仿宋"/>
              </w:rPr>
              <w:t>相符</w:t>
            </w:r>
          </w:p>
        </w:tc>
      </w:tr>
      <w:tr w14:paraId="58B9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 w:type="dxa"/>
            <w:vMerge w:val="continue"/>
            <w:vAlign w:val="center"/>
          </w:tcPr>
          <w:p w14:paraId="468FA50F">
            <w:pPr>
              <w:widowControl/>
              <w:adjustRightInd w:val="0"/>
              <w:snapToGrid w:val="0"/>
              <w:jc w:val="center"/>
              <w:rPr>
                <w:rFonts w:ascii="Times New Roman" w:eastAsia="仿宋"/>
              </w:rPr>
            </w:pPr>
          </w:p>
        </w:tc>
        <w:tc>
          <w:tcPr>
            <w:tcW w:w="1061" w:type="dxa"/>
            <w:vAlign w:val="center"/>
          </w:tcPr>
          <w:p w14:paraId="237719B8">
            <w:pPr>
              <w:widowControl/>
              <w:adjustRightInd w:val="0"/>
              <w:snapToGrid w:val="0"/>
              <w:jc w:val="center"/>
              <w:rPr>
                <w:rFonts w:ascii="Times New Roman" w:eastAsia="仿宋"/>
              </w:rPr>
            </w:pPr>
            <w:r>
              <w:rPr>
                <w:rFonts w:ascii="Times New Roman" w:eastAsia="仿宋"/>
              </w:rPr>
              <w:t>10.4记录要求</w:t>
            </w:r>
          </w:p>
        </w:tc>
        <w:tc>
          <w:tcPr>
            <w:tcW w:w="4262" w:type="dxa"/>
            <w:vAlign w:val="center"/>
          </w:tcPr>
          <w:p w14:paraId="2DD9CC71">
            <w:pPr>
              <w:widowControl/>
              <w:adjustRightInd w:val="0"/>
              <w:snapToGrid w:val="0"/>
              <w:jc w:val="center"/>
              <w:rPr>
                <w:rFonts w:ascii="Times New Roman" w:eastAsia="仿宋"/>
              </w:rPr>
            </w:pPr>
            <w:r>
              <w:rPr>
                <w:rFonts w:ascii="Times New Roman" w:eastAsia="仿宋"/>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275" w:type="dxa"/>
            <w:vAlign w:val="center"/>
          </w:tcPr>
          <w:p w14:paraId="73A9EDA4">
            <w:pPr>
              <w:widowControl/>
              <w:adjustRightInd w:val="0"/>
              <w:snapToGrid w:val="0"/>
              <w:jc w:val="center"/>
              <w:rPr>
                <w:rFonts w:ascii="Times New Roman" w:eastAsia="仿宋"/>
              </w:rPr>
            </w:pPr>
            <w:r>
              <w:rPr>
                <w:rFonts w:ascii="Times New Roman" w:eastAsia="仿宋"/>
              </w:rPr>
              <w:t>企业建立台账，记录废气收集系统、VOCs处理设施的主要运行和维护信息。</w:t>
            </w:r>
          </w:p>
        </w:tc>
        <w:tc>
          <w:tcPr>
            <w:tcW w:w="882" w:type="dxa"/>
            <w:vAlign w:val="center"/>
          </w:tcPr>
          <w:p w14:paraId="4212E8C0">
            <w:pPr>
              <w:widowControl/>
              <w:adjustRightInd w:val="0"/>
              <w:snapToGrid w:val="0"/>
              <w:jc w:val="center"/>
              <w:rPr>
                <w:rFonts w:ascii="Times New Roman" w:eastAsia="仿宋"/>
              </w:rPr>
            </w:pPr>
            <w:r>
              <w:rPr>
                <w:rFonts w:ascii="Times New Roman" w:eastAsia="仿宋"/>
              </w:rPr>
              <w:t>相符</w:t>
            </w:r>
          </w:p>
        </w:tc>
      </w:tr>
    </w:tbl>
    <w:p w14:paraId="758BB412">
      <w:pPr>
        <w:autoSpaceDE w:val="0"/>
        <w:autoSpaceDN w:val="0"/>
        <w:spacing w:line="500" w:lineRule="exact"/>
        <w:ind w:firstLine="562" w:firstLineChars="200"/>
        <w:rPr>
          <w:rFonts w:ascii="Times New Roman" w:eastAsia="仿宋"/>
          <w:b/>
          <w:sz w:val="28"/>
        </w:rPr>
      </w:pPr>
      <w:r>
        <w:rPr>
          <w:rFonts w:hint="eastAsia" w:ascii="Times New Roman" w:eastAsia="仿宋"/>
          <w:b/>
          <w:sz w:val="28"/>
        </w:rPr>
        <w:t>5、与《江苏省挥发性有机物污染防治管理办法》（省政府令第119号）相符性分析</w:t>
      </w:r>
    </w:p>
    <w:p w14:paraId="6CE4680F">
      <w:pPr>
        <w:widowControl/>
        <w:spacing w:line="500" w:lineRule="exact"/>
        <w:jc w:val="center"/>
        <w:rPr>
          <w:rFonts w:ascii="Times New Roman" w:eastAsia="仿宋"/>
          <w:b/>
        </w:rPr>
      </w:pPr>
      <w:r>
        <w:rPr>
          <w:rFonts w:ascii="Times New Roman" w:eastAsia="仿宋"/>
          <w:b/>
        </w:rPr>
        <w:t>表2.7-3  本项目与省政府令第119号文件相符性分析</w:t>
      </w:r>
    </w:p>
    <w:tbl>
      <w:tblPr>
        <w:tblStyle w:val="87"/>
        <w:tblW w:w="53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222"/>
        <w:gridCol w:w="679"/>
      </w:tblGrid>
      <w:tr w14:paraId="5238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8" w:type="pct"/>
            <w:vAlign w:val="center"/>
          </w:tcPr>
          <w:p w14:paraId="225A86FF">
            <w:pPr>
              <w:widowControl/>
              <w:adjustRightInd w:val="0"/>
              <w:snapToGrid w:val="0"/>
              <w:jc w:val="center"/>
              <w:rPr>
                <w:rFonts w:ascii="Times New Roman" w:eastAsia="仿宋"/>
              </w:rPr>
            </w:pPr>
            <w:r>
              <w:rPr>
                <w:rFonts w:ascii="Times New Roman" w:eastAsia="仿宋"/>
              </w:rPr>
              <w:t>文件要求</w:t>
            </w:r>
          </w:p>
        </w:tc>
        <w:tc>
          <w:tcPr>
            <w:tcW w:w="2240" w:type="pct"/>
            <w:vAlign w:val="center"/>
          </w:tcPr>
          <w:p w14:paraId="454B94C1">
            <w:pPr>
              <w:widowControl/>
              <w:adjustRightInd w:val="0"/>
              <w:snapToGrid w:val="0"/>
              <w:jc w:val="center"/>
              <w:rPr>
                <w:rFonts w:ascii="Times New Roman" w:eastAsia="仿宋"/>
              </w:rPr>
            </w:pPr>
            <w:r>
              <w:rPr>
                <w:rFonts w:ascii="Times New Roman" w:eastAsia="仿宋"/>
              </w:rPr>
              <w:t>本项目情况</w:t>
            </w:r>
          </w:p>
        </w:tc>
        <w:tc>
          <w:tcPr>
            <w:tcW w:w="360" w:type="pct"/>
            <w:vAlign w:val="center"/>
          </w:tcPr>
          <w:p w14:paraId="05072627">
            <w:pPr>
              <w:widowControl/>
              <w:adjustRightInd w:val="0"/>
              <w:snapToGrid w:val="0"/>
              <w:jc w:val="center"/>
              <w:rPr>
                <w:rFonts w:ascii="Times New Roman" w:eastAsia="仿宋"/>
              </w:rPr>
            </w:pPr>
            <w:r>
              <w:rPr>
                <w:rFonts w:ascii="Times New Roman" w:eastAsia="仿宋"/>
              </w:rPr>
              <w:t>相符性</w:t>
            </w:r>
          </w:p>
        </w:tc>
      </w:tr>
      <w:tr w14:paraId="7D5B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8" w:type="pct"/>
            <w:vAlign w:val="center"/>
          </w:tcPr>
          <w:p w14:paraId="32F9C929">
            <w:pPr>
              <w:widowControl/>
              <w:adjustRightInd w:val="0"/>
              <w:snapToGrid w:val="0"/>
              <w:jc w:val="center"/>
              <w:rPr>
                <w:rFonts w:ascii="Times New Roman" w:eastAsia="仿宋"/>
              </w:rPr>
            </w:pPr>
            <w:r>
              <w:rPr>
                <w:rFonts w:ascii="Times New Roman" w:eastAsia="仿宋"/>
              </w:rPr>
              <w:t>第三条 挥发性有机物污染防治坚持源头控制、综合治理、损害担责、公众参与的原则，重点防治工业源排放的挥发性有机物，强化生活源、农业源等挥发性有机物污染防治。</w:t>
            </w:r>
          </w:p>
        </w:tc>
        <w:tc>
          <w:tcPr>
            <w:tcW w:w="2240" w:type="pct"/>
            <w:vAlign w:val="center"/>
          </w:tcPr>
          <w:p w14:paraId="5A1E69E3">
            <w:pPr>
              <w:widowControl/>
              <w:adjustRightInd w:val="0"/>
              <w:snapToGrid w:val="0"/>
              <w:jc w:val="center"/>
              <w:rPr>
                <w:rFonts w:ascii="Times New Roman" w:eastAsia="仿宋"/>
              </w:rPr>
            </w:pPr>
            <w:r>
              <w:rPr>
                <w:rFonts w:ascii="Times New Roman" w:eastAsia="仿宋"/>
              </w:rPr>
              <w:t>本项目采取源头控制方式，选用低有机物含量的油漆等原料，并对生产过程中产生的废气收集处理后有组织排放。</w:t>
            </w:r>
          </w:p>
        </w:tc>
        <w:tc>
          <w:tcPr>
            <w:tcW w:w="360" w:type="pct"/>
            <w:vAlign w:val="center"/>
          </w:tcPr>
          <w:p w14:paraId="3E8434C6">
            <w:pPr>
              <w:widowControl/>
              <w:adjustRightInd w:val="0"/>
              <w:snapToGrid w:val="0"/>
              <w:jc w:val="center"/>
              <w:rPr>
                <w:rFonts w:ascii="Times New Roman" w:eastAsia="仿宋"/>
              </w:rPr>
            </w:pPr>
            <w:r>
              <w:rPr>
                <w:rFonts w:ascii="Times New Roman" w:eastAsia="仿宋"/>
              </w:rPr>
              <w:t>相符</w:t>
            </w:r>
          </w:p>
        </w:tc>
      </w:tr>
      <w:tr w14:paraId="2BB5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8" w:type="pct"/>
            <w:vAlign w:val="center"/>
          </w:tcPr>
          <w:p w14:paraId="29D1F3EF">
            <w:pPr>
              <w:widowControl/>
              <w:adjustRightInd w:val="0"/>
              <w:snapToGrid w:val="0"/>
              <w:jc w:val="center"/>
              <w:rPr>
                <w:rFonts w:ascii="Times New Roman" w:eastAsia="仿宋"/>
              </w:rPr>
            </w:pPr>
            <w:r>
              <w:rPr>
                <w:rFonts w:ascii="Times New Roman" w:eastAsia="仿宋"/>
              </w:rPr>
              <w:t>新建、改建、扩建排放挥发性有机物的建设项目，应当依法进行环境影响评价。新增挥发性有机物排放总量指标的不足部分，可以依照有关规定通过排污权交易取得。</w:t>
            </w:r>
          </w:p>
          <w:p w14:paraId="03A92330">
            <w:pPr>
              <w:widowControl/>
              <w:adjustRightInd w:val="0"/>
              <w:snapToGrid w:val="0"/>
              <w:jc w:val="center"/>
              <w:rPr>
                <w:rFonts w:ascii="Times New Roman" w:eastAsia="仿宋"/>
              </w:rPr>
            </w:pPr>
            <w:r>
              <w:rPr>
                <w:rFonts w:ascii="Times New Roman" w:eastAsia="仿宋"/>
              </w:rPr>
              <w:t>建设项目的环境影响评价文件未经审查或者审查后未予批准的，建设单位不得开工建设。</w:t>
            </w:r>
          </w:p>
        </w:tc>
        <w:tc>
          <w:tcPr>
            <w:tcW w:w="2240" w:type="pct"/>
            <w:vAlign w:val="center"/>
          </w:tcPr>
          <w:p w14:paraId="55431ACC">
            <w:pPr>
              <w:widowControl/>
              <w:adjustRightInd w:val="0"/>
              <w:snapToGrid w:val="0"/>
              <w:jc w:val="center"/>
              <w:rPr>
                <w:rFonts w:ascii="Times New Roman" w:eastAsia="仿宋"/>
              </w:rPr>
            </w:pPr>
            <w:r>
              <w:rPr>
                <w:rFonts w:ascii="Times New Roman" w:eastAsia="仿宋"/>
              </w:rPr>
              <w:t>本项目依法履行环境影响评价手续。新增挥发性有机物排放总量将申请排放总量，建设项目的环境影响评价文件未经审查或者审查后未予批准的，建设单位不得开工建设。</w:t>
            </w:r>
          </w:p>
        </w:tc>
        <w:tc>
          <w:tcPr>
            <w:tcW w:w="360" w:type="pct"/>
            <w:vAlign w:val="center"/>
          </w:tcPr>
          <w:p w14:paraId="4F340976">
            <w:pPr>
              <w:widowControl/>
              <w:adjustRightInd w:val="0"/>
              <w:snapToGrid w:val="0"/>
              <w:jc w:val="center"/>
              <w:rPr>
                <w:rFonts w:ascii="Times New Roman" w:eastAsia="仿宋"/>
              </w:rPr>
            </w:pPr>
            <w:r>
              <w:rPr>
                <w:rFonts w:ascii="Times New Roman" w:eastAsia="仿宋"/>
              </w:rPr>
              <w:t>相符</w:t>
            </w:r>
          </w:p>
        </w:tc>
      </w:tr>
      <w:tr w14:paraId="6825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8" w:type="pct"/>
            <w:vAlign w:val="center"/>
          </w:tcPr>
          <w:p w14:paraId="42DB54B2">
            <w:pPr>
              <w:widowControl/>
              <w:adjustRightInd w:val="0"/>
              <w:snapToGrid w:val="0"/>
              <w:jc w:val="center"/>
              <w:rPr>
                <w:rFonts w:ascii="Times New Roman" w:eastAsia="仿宋"/>
              </w:rPr>
            </w:pPr>
            <w:r>
              <w:rPr>
                <w:rFonts w:ascii="Times New Roman" w:eastAsia="仿宋"/>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tc>
        <w:tc>
          <w:tcPr>
            <w:tcW w:w="2240" w:type="pct"/>
            <w:vAlign w:val="center"/>
          </w:tcPr>
          <w:p w14:paraId="1F310422">
            <w:pPr>
              <w:widowControl/>
              <w:adjustRightInd w:val="0"/>
              <w:snapToGrid w:val="0"/>
              <w:jc w:val="center"/>
              <w:rPr>
                <w:rFonts w:ascii="Times New Roman" w:eastAsia="仿宋"/>
              </w:rPr>
            </w:pPr>
            <w:r>
              <w:rPr>
                <w:rFonts w:ascii="Times New Roman" w:eastAsia="仿宋"/>
              </w:rPr>
              <w:t>生产场所、生产设备应当按照环境保护和安全生产等要求设计、安装和有效运行挥发性有机物回收或者净化设施；固体废物、废水、废气处理系统产生的废气应当收集和处理。</w:t>
            </w:r>
          </w:p>
        </w:tc>
        <w:tc>
          <w:tcPr>
            <w:tcW w:w="360" w:type="pct"/>
            <w:vAlign w:val="center"/>
          </w:tcPr>
          <w:p w14:paraId="1329DFAD">
            <w:pPr>
              <w:widowControl/>
              <w:adjustRightInd w:val="0"/>
              <w:snapToGrid w:val="0"/>
              <w:jc w:val="center"/>
              <w:rPr>
                <w:rFonts w:ascii="Times New Roman" w:eastAsia="仿宋"/>
              </w:rPr>
            </w:pPr>
            <w:r>
              <w:rPr>
                <w:rFonts w:ascii="Times New Roman" w:eastAsia="仿宋"/>
              </w:rPr>
              <w:t>相符</w:t>
            </w:r>
          </w:p>
        </w:tc>
      </w:tr>
      <w:tr w14:paraId="690F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8" w:type="pct"/>
            <w:vAlign w:val="center"/>
          </w:tcPr>
          <w:p w14:paraId="38E8D29F">
            <w:pPr>
              <w:widowControl/>
              <w:adjustRightInd w:val="0"/>
              <w:snapToGrid w:val="0"/>
              <w:jc w:val="center"/>
              <w:rPr>
                <w:rFonts w:ascii="Times New Roman" w:eastAsia="仿宋"/>
              </w:rPr>
            </w:pPr>
            <w:r>
              <w:rPr>
                <w:rFonts w:ascii="Times New Roman" w:eastAsia="仿宋"/>
              </w:rPr>
              <w:t>第二十七条 喷涂、烘干作业应当在装有废气处理或者收集装置的密闭车间内进行；禁止露天喷涂、烘干作业。</w:t>
            </w:r>
          </w:p>
        </w:tc>
        <w:tc>
          <w:tcPr>
            <w:tcW w:w="2240" w:type="pct"/>
            <w:vAlign w:val="center"/>
          </w:tcPr>
          <w:p w14:paraId="6C56C1BB">
            <w:pPr>
              <w:widowControl/>
              <w:adjustRightInd w:val="0"/>
              <w:snapToGrid w:val="0"/>
              <w:jc w:val="center"/>
              <w:rPr>
                <w:rFonts w:ascii="Times New Roman" w:eastAsia="仿宋"/>
              </w:rPr>
            </w:pPr>
            <w:r>
              <w:rPr>
                <w:rFonts w:ascii="Times New Roman" w:eastAsia="仿宋"/>
              </w:rPr>
              <w:t>本项目使用的含挥发性有机物的物料均暂存于密闭仓库内，本项目产生挥发性有机物的工段为涂装线，本项目</w:t>
            </w:r>
            <w:r>
              <w:rPr>
                <w:rFonts w:hint="eastAsia" w:ascii="Times New Roman" w:eastAsia="仿宋"/>
              </w:rPr>
              <w:t>调漆、喷漆</w:t>
            </w:r>
            <w:r>
              <w:rPr>
                <w:rFonts w:ascii="Times New Roman" w:eastAsia="仿宋"/>
              </w:rPr>
              <w:t>等涂装线作业在密闭车间内进行且配备废气收集装置后有组织排放。综上，本项目与《江苏省挥发性有机物污染防治管理办法》要求相符。</w:t>
            </w:r>
          </w:p>
        </w:tc>
        <w:tc>
          <w:tcPr>
            <w:tcW w:w="360" w:type="pct"/>
            <w:vAlign w:val="center"/>
          </w:tcPr>
          <w:p w14:paraId="36F887B1">
            <w:pPr>
              <w:widowControl/>
              <w:adjustRightInd w:val="0"/>
              <w:snapToGrid w:val="0"/>
              <w:jc w:val="center"/>
              <w:rPr>
                <w:rFonts w:ascii="Times New Roman" w:eastAsia="仿宋"/>
              </w:rPr>
            </w:pPr>
            <w:r>
              <w:rPr>
                <w:rFonts w:ascii="Times New Roman" w:eastAsia="仿宋"/>
              </w:rPr>
              <w:t>相符</w:t>
            </w:r>
          </w:p>
        </w:tc>
      </w:tr>
    </w:tbl>
    <w:p w14:paraId="4E931028">
      <w:pPr>
        <w:autoSpaceDE w:val="0"/>
        <w:autoSpaceDN w:val="0"/>
        <w:spacing w:line="500" w:lineRule="exact"/>
        <w:ind w:firstLine="562" w:firstLineChars="200"/>
        <w:rPr>
          <w:rFonts w:ascii="Times New Roman" w:eastAsia="仿宋"/>
          <w:b/>
          <w:sz w:val="28"/>
        </w:rPr>
      </w:pPr>
      <w:r>
        <w:rPr>
          <w:rFonts w:hint="eastAsia" w:ascii="Times New Roman" w:eastAsia="仿宋"/>
          <w:b/>
          <w:sz w:val="28"/>
        </w:rPr>
        <w:t>6、与《重点行业挥发性有机物综合治理方案》（环大气〔2019〕53号）相符性分析</w:t>
      </w:r>
    </w:p>
    <w:p w14:paraId="1B251C11">
      <w:pPr>
        <w:widowControl/>
        <w:spacing w:line="500" w:lineRule="exact"/>
        <w:jc w:val="center"/>
        <w:rPr>
          <w:rFonts w:ascii="Times New Roman" w:eastAsia="仿宋"/>
          <w:b/>
        </w:rPr>
      </w:pPr>
      <w:r>
        <w:rPr>
          <w:rFonts w:ascii="Times New Roman" w:eastAsia="仿宋"/>
          <w:b/>
        </w:rPr>
        <w:t>表2.7-4  与重点行业挥发性有机物综合治理方案相符性分析</w:t>
      </w:r>
    </w:p>
    <w:tbl>
      <w:tblPr>
        <w:tblStyle w:val="87"/>
        <w:tblW w:w="54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4529"/>
        <w:gridCol w:w="903"/>
      </w:tblGrid>
      <w:tr w14:paraId="6A99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84" w:type="pct"/>
            <w:vAlign w:val="center"/>
          </w:tcPr>
          <w:p w14:paraId="0FE64BD1">
            <w:pPr>
              <w:widowControl/>
              <w:adjustRightInd w:val="0"/>
              <w:snapToGrid w:val="0"/>
              <w:jc w:val="center"/>
              <w:rPr>
                <w:rFonts w:ascii="Times New Roman" w:eastAsia="仿宋"/>
              </w:rPr>
            </w:pPr>
            <w:r>
              <w:rPr>
                <w:rFonts w:ascii="Times New Roman" w:eastAsia="仿宋"/>
              </w:rPr>
              <w:t>文件要求</w:t>
            </w:r>
          </w:p>
        </w:tc>
        <w:tc>
          <w:tcPr>
            <w:tcW w:w="2348" w:type="pct"/>
            <w:vAlign w:val="center"/>
          </w:tcPr>
          <w:p w14:paraId="26394EBC">
            <w:pPr>
              <w:widowControl/>
              <w:adjustRightInd w:val="0"/>
              <w:snapToGrid w:val="0"/>
              <w:jc w:val="center"/>
              <w:rPr>
                <w:rFonts w:ascii="Times New Roman" w:eastAsia="仿宋"/>
              </w:rPr>
            </w:pPr>
            <w:r>
              <w:rPr>
                <w:rFonts w:ascii="Times New Roman" w:eastAsia="仿宋"/>
              </w:rPr>
              <w:t>本项目情况</w:t>
            </w:r>
          </w:p>
        </w:tc>
        <w:tc>
          <w:tcPr>
            <w:tcW w:w="468" w:type="pct"/>
            <w:vAlign w:val="center"/>
          </w:tcPr>
          <w:p w14:paraId="4725C65F">
            <w:pPr>
              <w:widowControl/>
              <w:adjustRightInd w:val="0"/>
              <w:snapToGrid w:val="0"/>
              <w:jc w:val="center"/>
              <w:rPr>
                <w:rFonts w:ascii="Times New Roman" w:eastAsia="仿宋"/>
              </w:rPr>
            </w:pPr>
            <w:r>
              <w:rPr>
                <w:rFonts w:ascii="Times New Roman" w:eastAsia="仿宋"/>
              </w:rPr>
              <w:t>相符性</w:t>
            </w:r>
          </w:p>
        </w:tc>
      </w:tr>
      <w:tr w14:paraId="1E16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4" w:type="pct"/>
            <w:vAlign w:val="center"/>
          </w:tcPr>
          <w:p w14:paraId="3B4E58B9">
            <w:pPr>
              <w:widowControl/>
              <w:adjustRightInd w:val="0"/>
              <w:snapToGrid w:val="0"/>
              <w:jc w:val="center"/>
              <w:rPr>
                <w:rFonts w:ascii="Times New Roman" w:eastAsia="仿宋"/>
              </w:rPr>
            </w:pPr>
            <w:r>
              <w:rPr>
                <w:rFonts w:ascii="Times New Roman" w:eastAsia="仿宋"/>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通过采用全密闭、连续化、自动化等生产技术，以及高效工艺与设备等，减少工艺过程无组织排放。</w:t>
            </w:r>
          </w:p>
        </w:tc>
        <w:tc>
          <w:tcPr>
            <w:tcW w:w="2348" w:type="pct"/>
            <w:vMerge w:val="restart"/>
            <w:vAlign w:val="center"/>
          </w:tcPr>
          <w:p w14:paraId="12E0C8BD">
            <w:pPr>
              <w:widowControl/>
              <w:adjustRightInd w:val="0"/>
              <w:snapToGrid w:val="0"/>
              <w:jc w:val="center"/>
              <w:rPr>
                <w:rFonts w:ascii="Times New Roman" w:eastAsia="仿宋"/>
              </w:rPr>
            </w:pPr>
            <w:r>
              <w:rPr>
                <w:rFonts w:ascii="Times New Roman" w:eastAsia="仿宋"/>
              </w:rPr>
              <w:t>本项目国民经济行业类别属于“</w:t>
            </w:r>
            <w:r>
              <w:rPr>
                <w:rFonts w:hint="eastAsia" w:ascii="Times New Roman" w:eastAsia="仿宋"/>
              </w:rPr>
              <w:t>C3670 汽车零部件及其配件制造</w:t>
            </w:r>
            <w:r>
              <w:rPr>
                <w:rFonts w:ascii="Times New Roman" w:eastAsia="仿宋"/>
              </w:rPr>
              <w:t>”，涉及VOCs的物料通过采取设备与场所密闭、工艺改进、废气有效收集等措施，削减VOCs无组织排放，废气均配备有效的废气收集系统。</w:t>
            </w:r>
          </w:p>
        </w:tc>
        <w:tc>
          <w:tcPr>
            <w:tcW w:w="468" w:type="pct"/>
            <w:vAlign w:val="center"/>
          </w:tcPr>
          <w:p w14:paraId="4C88DFD5">
            <w:pPr>
              <w:widowControl/>
              <w:adjustRightInd w:val="0"/>
              <w:snapToGrid w:val="0"/>
              <w:jc w:val="center"/>
              <w:rPr>
                <w:rFonts w:ascii="Times New Roman" w:eastAsia="仿宋"/>
              </w:rPr>
            </w:pPr>
            <w:r>
              <w:rPr>
                <w:rFonts w:ascii="Times New Roman" w:eastAsia="仿宋"/>
              </w:rPr>
              <w:t>相符</w:t>
            </w:r>
          </w:p>
        </w:tc>
      </w:tr>
      <w:tr w14:paraId="0D5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4" w:type="pct"/>
            <w:vAlign w:val="center"/>
          </w:tcPr>
          <w:p w14:paraId="76570418">
            <w:pPr>
              <w:widowControl/>
              <w:adjustRightInd w:val="0"/>
              <w:snapToGrid w:val="0"/>
              <w:jc w:val="center"/>
              <w:rPr>
                <w:rFonts w:ascii="Times New Roman" w:eastAsia="仿宋"/>
              </w:rPr>
            </w:pPr>
            <w:r>
              <w:rPr>
                <w:rFonts w:ascii="Times New Roman" w:eastAsia="仿宋"/>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2348" w:type="pct"/>
            <w:vMerge w:val="continue"/>
            <w:vAlign w:val="center"/>
          </w:tcPr>
          <w:p w14:paraId="37D8A373">
            <w:pPr>
              <w:widowControl/>
              <w:adjustRightInd w:val="0"/>
              <w:snapToGrid w:val="0"/>
              <w:jc w:val="center"/>
              <w:rPr>
                <w:rFonts w:ascii="Times New Roman" w:eastAsia="仿宋"/>
              </w:rPr>
            </w:pPr>
          </w:p>
        </w:tc>
        <w:tc>
          <w:tcPr>
            <w:tcW w:w="468" w:type="pct"/>
            <w:vAlign w:val="center"/>
          </w:tcPr>
          <w:p w14:paraId="050D37AB">
            <w:pPr>
              <w:widowControl/>
              <w:adjustRightInd w:val="0"/>
              <w:snapToGrid w:val="0"/>
              <w:jc w:val="center"/>
              <w:rPr>
                <w:rFonts w:ascii="Times New Roman" w:eastAsia="仿宋"/>
              </w:rPr>
            </w:pPr>
            <w:r>
              <w:rPr>
                <w:rFonts w:ascii="Times New Roman" w:eastAsia="仿宋"/>
              </w:rPr>
              <w:t>相符</w:t>
            </w:r>
          </w:p>
        </w:tc>
      </w:tr>
      <w:tr w14:paraId="4DC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4" w:type="pct"/>
            <w:vAlign w:val="center"/>
          </w:tcPr>
          <w:p w14:paraId="5F931A3D">
            <w:pPr>
              <w:widowControl/>
              <w:adjustRightInd w:val="0"/>
              <w:snapToGrid w:val="0"/>
              <w:jc w:val="center"/>
              <w:rPr>
                <w:rFonts w:ascii="Times New Roman" w:eastAsia="仿宋"/>
              </w:rPr>
            </w:pPr>
            <w:r>
              <w:rPr>
                <w:rFonts w:ascii="Times New Roman" w:eastAsia="仿宋"/>
              </w:rPr>
              <w:t>推进建设适宜高效的治污设施。低浓度、大风量废气，宜采用沸石转轮吸附、活性炭吸附、减风增浓等浓缩技术，提高VOCs浓度后净化处理。</w:t>
            </w:r>
          </w:p>
        </w:tc>
        <w:tc>
          <w:tcPr>
            <w:tcW w:w="2348" w:type="pct"/>
            <w:vAlign w:val="center"/>
          </w:tcPr>
          <w:p w14:paraId="24851A5D">
            <w:pPr>
              <w:widowControl/>
              <w:adjustRightInd w:val="0"/>
              <w:snapToGrid w:val="0"/>
              <w:jc w:val="center"/>
              <w:rPr>
                <w:rFonts w:ascii="Times New Roman" w:eastAsia="仿宋"/>
              </w:rPr>
            </w:pPr>
            <w:r>
              <w:rPr>
                <w:rFonts w:ascii="Times New Roman" w:eastAsia="仿宋"/>
              </w:rPr>
              <w:t>本项目</w:t>
            </w:r>
            <w:r>
              <w:rPr>
                <w:rFonts w:hint="eastAsia" w:ascii="Times New Roman" w:eastAsia="仿宋"/>
              </w:rPr>
              <w:t>钝化、</w:t>
            </w:r>
            <w:r>
              <w:rPr>
                <w:rFonts w:hint="eastAsia" w:ascii="Times New Roman" w:eastAsia="仿宋"/>
                <w:szCs w:val="24"/>
              </w:rPr>
              <w:t>氟碳底漆喷漆、流平</w:t>
            </w:r>
            <w:r>
              <w:rPr>
                <w:rFonts w:ascii="Times New Roman" w:eastAsia="仿宋"/>
              </w:rPr>
              <w:t>工段产生的</w:t>
            </w:r>
            <w:r>
              <w:rPr>
                <w:rFonts w:hint="eastAsia" w:ascii="Times New Roman" w:eastAsia="仿宋"/>
              </w:rPr>
              <w:t>废气</w:t>
            </w:r>
            <w:r>
              <w:rPr>
                <w:rFonts w:ascii="Times New Roman" w:eastAsia="仿宋"/>
              </w:rPr>
              <w:t>经</w:t>
            </w:r>
            <w:r>
              <w:rPr>
                <w:rFonts w:hint="eastAsia" w:ascii="Times New Roman" w:eastAsia="仿宋"/>
                <w:szCs w:val="21"/>
              </w:rPr>
              <w:t>1号水帘式循环过滤系统+水喷淋+干式过滤器+活性炭吸附脱附+催化燃烧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2</w:t>
            </w:r>
            <w:r>
              <w:rPr>
                <w:rFonts w:ascii="Times New Roman" w:eastAsia="仿宋"/>
              </w:rPr>
              <w:t>#）排放，风机风量2</w:t>
            </w:r>
            <w:r>
              <w:rPr>
                <w:rFonts w:hint="eastAsia" w:ascii="Times New Roman" w:eastAsia="仿宋"/>
              </w:rPr>
              <w:t>6</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szCs w:val="24"/>
              </w:rPr>
              <w:t>氟碳面漆及底漆调漆、氟碳面漆喷漆、氟碳面漆流平、喷枪清洗工段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rPr>
              <w:t>2</w:t>
            </w:r>
            <w:r>
              <w:rPr>
                <w:rFonts w:hint="eastAsia" w:ascii="Times New Roman" w:eastAsia="仿宋"/>
                <w:szCs w:val="21"/>
              </w:rPr>
              <w:t>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3</w:t>
            </w:r>
            <w:r>
              <w:rPr>
                <w:rFonts w:ascii="Times New Roman" w:eastAsia="仿宋"/>
              </w:rPr>
              <w:t>#）排放，风机风量2</w:t>
            </w:r>
            <w:r>
              <w:rPr>
                <w:rFonts w:hint="eastAsia" w:ascii="Times New Roman" w:eastAsia="仿宋"/>
              </w:rPr>
              <w:t>8</w:t>
            </w:r>
            <w:r>
              <w:rPr>
                <w:rFonts w:ascii="Times New Roman" w:eastAsia="仿宋"/>
              </w:rPr>
              <w:t>000m</w:t>
            </w:r>
            <w:r>
              <w:rPr>
                <w:rFonts w:ascii="Times New Roman" w:eastAsia="仿宋"/>
                <w:vertAlign w:val="superscript"/>
              </w:rPr>
              <w:t>3</w:t>
            </w:r>
            <w:r>
              <w:rPr>
                <w:rFonts w:ascii="Times New Roman" w:eastAsia="仿宋"/>
              </w:rPr>
              <w:t>/h；</w:t>
            </w:r>
            <w:r>
              <w:rPr>
                <w:rFonts w:hint="eastAsia" w:ascii="Times New Roman" w:eastAsia="仿宋"/>
              </w:rPr>
              <w:t>固化工段、</w:t>
            </w:r>
            <w:r>
              <w:rPr>
                <w:rFonts w:hint="eastAsia" w:ascii="Times New Roman" w:eastAsia="仿宋"/>
                <w:szCs w:val="24"/>
              </w:rPr>
              <w:t>氟碳面漆烘干、氟碳底漆烘干工段</w:t>
            </w:r>
            <w:r>
              <w:rPr>
                <w:rFonts w:ascii="Times New Roman" w:eastAsia="仿宋"/>
              </w:rPr>
              <w:t>产生的</w:t>
            </w:r>
            <w:r>
              <w:rPr>
                <w:rFonts w:hint="eastAsia" w:ascii="Times New Roman" w:eastAsia="仿宋"/>
              </w:rPr>
              <w:t>废气</w:t>
            </w:r>
            <w:r>
              <w:rPr>
                <w:rFonts w:ascii="Times New Roman" w:eastAsia="仿宋"/>
              </w:rPr>
              <w:t>经</w:t>
            </w:r>
            <w:r>
              <w:rPr>
                <w:rFonts w:hint="eastAsia" w:ascii="Times New Roman" w:eastAsia="仿宋"/>
                <w:szCs w:val="21"/>
              </w:rPr>
              <w:t>3号水帘式循环过滤系统+水喷淋+干式过滤器+活性炭吸附脱附+催化燃烧</w:t>
            </w:r>
            <w:r>
              <w:rPr>
                <w:rFonts w:hint="eastAsia" w:ascii="Times New Roman" w:eastAsia="仿宋"/>
              </w:rPr>
              <w:t>装置</w:t>
            </w:r>
            <w:r>
              <w:rPr>
                <w:rFonts w:ascii="Times New Roman" w:eastAsia="仿宋"/>
              </w:rPr>
              <w:t>处理后由1根</w:t>
            </w:r>
            <w:r>
              <w:rPr>
                <w:rFonts w:hint="eastAsia" w:ascii="Times New Roman" w:eastAsia="仿宋"/>
              </w:rPr>
              <w:t>15</w:t>
            </w:r>
            <w:r>
              <w:rPr>
                <w:rFonts w:ascii="Times New Roman" w:eastAsia="仿宋"/>
              </w:rPr>
              <w:t>米高排气筒（</w:t>
            </w:r>
            <w:r>
              <w:rPr>
                <w:rFonts w:hint="eastAsia" w:ascii="Times New Roman" w:eastAsia="仿宋"/>
              </w:rPr>
              <w:t>4</w:t>
            </w:r>
            <w:r>
              <w:rPr>
                <w:rFonts w:ascii="Times New Roman" w:eastAsia="仿宋"/>
              </w:rPr>
              <w:t>#）排放，风机风量2</w:t>
            </w:r>
            <w:r>
              <w:rPr>
                <w:rFonts w:hint="eastAsia" w:ascii="Times New Roman" w:eastAsia="仿宋"/>
              </w:rPr>
              <w:t>1</w:t>
            </w:r>
            <w:r>
              <w:rPr>
                <w:rFonts w:ascii="Times New Roman" w:eastAsia="仿宋"/>
              </w:rPr>
              <w:t>000m</w:t>
            </w:r>
            <w:r>
              <w:rPr>
                <w:rFonts w:ascii="Times New Roman" w:eastAsia="仿宋"/>
                <w:vertAlign w:val="superscript"/>
              </w:rPr>
              <w:t>3</w:t>
            </w:r>
            <w:r>
              <w:rPr>
                <w:rFonts w:ascii="Times New Roman" w:eastAsia="仿宋"/>
              </w:rPr>
              <w:t>/h</w:t>
            </w:r>
          </w:p>
        </w:tc>
        <w:tc>
          <w:tcPr>
            <w:tcW w:w="468" w:type="pct"/>
            <w:vAlign w:val="center"/>
          </w:tcPr>
          <w:p w14:paraId="64CD778F">
            <w:pPr>
              <w:widowControl/>
              <w:adjustRightInd w:val="0"/>
              <w:snapToGrid w:val="0"/>
              <w:jc w:val="center"/>
              <w:rPr>
                <w:rFonts w:ascii="Times New Roman" w:eastAsia="仿宋"/>
              </w:rPr>
            </w:pPr>
            <w:r>
              <w:rPr>
                <w:rFonts w:ascii="Times New Roman" w:eastAsia="仿宋"/>
              </w:rPr>
              <w:t>相符</w:t>
            </w:r>
          </w:p>
        </w:tc>
      </w:tr>
    </w:tbl>
    <w:p w14:paraId="59F4A3E6">
      <w:pPr>
        <w:autoSpaceDE w:val="0"/>
        <w:autoSpaceDN w:val="0"/>
        <w:spacing w:line="500" w:lineRule="exact"/>
        <w:ind w:firstLine="562" w:firstLineChars="200"/>
        <w:rPr>
          <w:rFonts w:ascii="Times New Roman" w:eastAsia="仿宋"/>
          <w:b/>
          <w:sz w:val="28"/>
        </w:rPr>
      </w:pPr>
      <w:r>
        <w:rPr>
          <w:rFonts w:hint="eastAsia" w:ascii="Times New Roman" w:eastAsia="仿宋"/>
          <w:b/>
          <w:sz w:val="28"/>
        </w:rPr>
        <w:t>7</w:t>
      </w:r>
      <w:r>
        <w:rPr>
          <w:rFonts w:ascii="Times New Roman" w:eastAsia="仿宋"/>
          <w:b/>
          <w:sz w:val="28"/>
        </w:rPr>
        <w:t>、与《省生态环境厅关于进一步做好建设项目环评审批工作的通知》（苏环办[2019]36号）的对照分析</w:t>
      </w:r>
    </w:p>
    <w:p w14:paraId="6213EB79">
      <w:pPr>
        <w:widowControl/>
        <w:spacing w:line="500" w:lineRule="exact"/>
        <w:jc w:val="center"/>
        <w:rPr>
          <w:rFonts w:ascii="Times New Roman" w:eastAsia="仿宋"/>
          <w:b/>
        </w:rPr>
      </w:pPr>
      <w:r>
        <w:rPr>
          <w:rFonts w:ascii="Times New Roman" w:eastAsia="仿宋"/>
          <w:b/>
        </w:rPr>
        <w:t>表2.7-5  与苏环办[2019]36号文有关内容对照</w:t>
      </w:r>
    </w:p>
    <w:tbl>
      <w:tblPr>
        <w:tblStyle w:val="87"/>
        <w:tblW w:w="551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2"/>
        <w:gridCol w:w="3267"/>
        <w:gridCol w:w="4354"/>
      </w:tblGrid>
      <w:tr w14:paraId="70BC7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3356AEEA">
            <w:pPr>
              <w:widowControl/>
              <w:adjustRightInd w:val="0"/>
              <w:snapToGrid w:val="0"/>
              <w:jc w:val="center"/>
              <w:rPr>
                <w:rFonts w:ascii="Times New Roman" w:eastAsia="仿宋"/>
              </w:rPr>
            </w:pPr>
            <w:r>
              <w:rPr>
                <w:rFonts w:ascii="Times New Roman" w:eastAsia="仿宋"/>
              </w:rPr>
              <w:t>类别</w:t>
            </w:r>
          </w:p>
        </w:tc>
        <w:tc>
          <w:tcPr>
            <w:tcW w:w="1676" w:type="pct"/>
            <w:vAlign w:val="center"/>
          </w:tcPr>
          <w:p w14:paraId="39E769BD">
            <w:pPr>
              <w:adjustRightInd w:val="0"/>
              <w:snapToGrid w:val="0"/>
              <w:jc w:val="center"/>
              <w:rPr>
                <w:rFonts w:ascii="Times New Roman" w:eastAsia="仿宋"/>
                <w:szCs w:val="21"/>
              </w:rPr>
            </w:pPr>
            <w:r>
              <w:rPr>
                <w:rFonts w:ascii="Times New Roman" w:eastAsia="仿宋"/>
                <w:szCs w:val="21"/>
              </w:rPr>
              <w:t>文件要求</w:t>
            </w:r>
          </w:p>
        </w:tc>
        <w:tc>
          <w:tcPr>
            <w:tcW w:w="2234" w:type="pct"/>
            <w:vAlign w:val="center"/>
          </w:tcPr>
          <w:p w14:paraId="208DCA72">
            <w:pPr>
              <w:adjustRightInd w:val="0"/>
              <w:snapToGrid w:val="0"/>
              <w:jc w:val="center"/>
              <w:rPr>
                <w:rFonts w:ascii="Times New Roman" w:eastAsia="仿宋"/>
                <w:szCs w:val="21"/>
              </w:rPr>
            </w:pPr>
            <w:r>
              <w:rPr>
                <w:rFonts w:ascii="Times New Roman" w:eastAsia="仿宋"/>
                <w:szCs w:val="21"/>
              </w:rPr>
              <w:t>对照分析</w:t>
            </w:r>
          </w:p>
        </w:tc>
      </w:tr>
      <w:tr w14:paraId="3EE427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322859D7">
            <w:pPr>
              <w:widowControl/>
              <w:adjustRightInd w:val="0"/>
              <w:snapToGrid w:val="0"/>
              <w:jc w:val="center"/>
              <w:rPr>
                <w:rFonts w:ascii="Times New Roman" w:eastAsia="仿宋"/>
              </w:rPr>
            </w:pPr>
            <w:r>
              <w:rPr>
                <w:rFonts w:ascii="Times New Roman" w:eastAsia="仿宋"/>
              </w:rPr>
              <w:t>《建设项目环境保护管理条例》</w:t>
            </w:r>
          </w:p>
        </w:tc>
        <w:tc>
          <w:tcPr>
            <w:tcW w:w="1676" w:type="pct"/>
            <w:vAlign w:val="center"/>
          </w:tcPr>
          <w:p w14:paraId="2DFEC688">
            <w:pPr>
              <w:widowControl/>
              <w:adjustRightInd w:val="0"/>
              <w:snapToGrid w:val="0"/>
              <w:rPr>
                <w:rFonts w:ascii="Times New Roman" w:eastAsia="仿宋"/>
              </w:rPr>
            </w:pPr>
            <w:r>
              <w:rPr>
                <w:rFonts w:ascii="Times New Roman" w:eastAsia="仿宋"/>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w:t>
            </w:r>
          </w:p>
        </w:tc>
        <w:tc>
          <w:tcPr>
            <w:tcW w:w="2234" w:type="pct"/>
            <w:vAlign w:val="center"/>
          </w:tcPr>
          <w:p w14:paraId="3D742320">
            <w:pPr>
              <w:widowControl/>
              <w:adjustRightInd w:val="0"/>
              <w:snapToGrid w:val="0"/>
              <w:rPr>
                <w:rFonts w:ascii="Times New Roman" w:eastAsia="仿宋"/>
              </w:rPr>
            </w:pPr>
            <w:r>
              <w:rPr>
                <w:rFonts w:ascii="Times New Roman" w:eastAsia="仿宋"/>
              </w:rPr>
              <w:t>（1）建设项目类型及其选址、布局、规模等符合环境保护法律法规和相关法定规划；（2）本项目所在地为不达标区，在实施区域削减方案后，本项目建成后大气环境质量能够得到改善；（3）建设项目采取的污染防治措施可确保各项污染物排放达到国家和地方排放标准。因此，符合文件要求。</w:t>
            </w:r>
          </w:p>
        </w:tc>
      </w:tr>
      <w:tr w14:paraId="155E5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4739B718">
            <w:pPr>
              <w:widowControl/>
              <w:adjustRightInd w:val="0"/>
              <w:snapToGrid w:val="0"/>
              <w:jc w:val="center"/>
              <w:rPr>
                <w:rFonts w:ascii="Times New Roman" w:eastAsia="仿宋"/>
                <w:spacing w:val="-4"/>
              </w:rPr>
            </w:pPr>
            <w:r>
              <w:rPr>
                <w:rFonts w:ascii="Times New Roman" w:eastAsia="仿宋"/>
                <w:spacing w:val="-4"/>
              </w:rPr>
              <w:t>《农用地土壤环境管理办法（试行）》（环境保护部 农业部令第46号）</w:t>
            </w:r>
          </w:p>
        </w:tc>
        <w:tc>
          <w:tcPr>
            <w:tcW w:w="1676" w:type="pct"/>
            <w:vAlign w:val="center"/>
          </w:tcPr>
          <w:p w14:paraId="7B359670">
            <w:pPr>
              <w:widowControl/>
              <w:adjustRightInd w:val="0"/>
              <w:snapToGrid w:val="0"/>
              <w:rPr>
                <w:rFonts w:ascii="Times New Roman" w:eastAsia="仿宋"/>
              </w:rPr>
            </w:pPr>
            <w:r>
              <w:rPr>
                <w:rFonts w:ascii="Times New Roman" w:eastAsia="仿宋"/>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234" w:type="pct"/>
            <w:vAlign w:val="center"/>
          </w:tcPr>
          <w:p w14:paraId="10B5DC7C">
            <w:pPr>
              <w:widowControl/>
              <w:adjustRightInd w:val="0"/>
              <w:snapToGrid w:val="0"/>
              <w:rPr>
                <w:rFonts w:ascii="Times New Roman" w:eastAsia="仿宋"/>
              </w:rPr>
            </w:pPr>
            <w:r>
              <w:rPr>
                <w:rFonts w:ascii="Times New Roman" w:eastAsia="仿宋"/>
              </w:rPr>
              <w:t>本项目不属于有色金属冶炼、石油加工、化工、焦化、电镀、制革等行业，建设地点位于朱林镇永兴路68号，项目所在地用地性质是工业用地，不属于优先保护类耕地集中区域，符合文件要求。</w:t>
            </w:r>
          </w:p>
        </w:tc>
      </w:tr>
      <w:tr w14:paraId="61C7B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3A17BBF6">
            <w:pPr>
              <w:widowControl/>
              <w:adjustRightInd w:val="0"/>
              <w:snapToGrid w:val="0"/>
              <w:jc w:val="center"/>
              <w:rPr>
                <w:rFonts w:ascii="Times New Roman" w:eastAsia="仿宋"/>
              </w:rPr>
            </w:pPr>
            <w:r>
              <w:rPr>
                <w:rFonts w:ascii="Times New Roman" w:eastAsia="仿宋"/>
              </w:rPr>
              <w:t>《关于印发&lt;建设项目主要污染物排放总量指标审核及管理暂行办法&gt;的通知》（环发[2014]197号）</w:t>
            </w:r>
          </w:p>
        </w:tc>
        <w:tc>
          <w:tcPr>
            <w:tcW w:w="1676" w:type="pct"/>
            <w:vAlign w:val="center"/>
          </w:tcPr>
          <w:p w14:paraId="01E5D08F">
            <w:pPr>
              <w:widowControl/>
              <w:adjustRightInd w:val="0"/>
              <w:snapToGrid w:val="0"/>
              <w:rPr>
                <w:rFonts w:ascii="Times New Roman" w:eastAsia="仿宋"/>
              </w:rPr>
            </w:pPr>
            <w:r>
              <w:rPr>
                <w:rFonts w:ascii="Times New Roman" w:eastAsia="仿宋"/>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234" w:type="pct"/>
            <w:vAlign w:val="center"/>
          </w:tcPr>
          <w:p w14:paraId="73CBE284">
            <w:pPr>
              <w:widowControl/>
              <w:adjustRightInd w:val="0"/>
              <w:snapToGrid w:val="0"/>
              <w:rPr>
                <w:rFonts w:ascii="Times New Roman" w:eastAsia="仿宋"/>
              </w:rPr>
            </w:pPr>
            <w:r>
              <w:rPr>
                <w:rFonts w:ascii="Times New Roman" w:eastAsia="仿宋"/>
              </w:rPr>
              <w:t>目前，本项目处于环评编制阶段，在环评审批前将严格落实主要污染物排放总量指标控制制度，取得主要污染物排放总量的控制指标和平衡方案，故符合文件要求。</w:t>
            </w:r>
          </w:p>
        </w:tc>
      </w:tr>
      <w:tr w14:paraId="3EF7EE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172C19F7">
            <w:pPr>
              <w:widowControl/>
              <w:adjustRightInd w:val="0"/>
              <w:snapToGrid w:val="0"/>
              <w:jc w:val="center"/>
              <w:rPr>
                <w:rFonts w:ascii="Times New Roman" w:eastAsia="仿宋"/>
              </w:rPr>
            </w:pPr>
            <w:r>
              <w:rPr>
                <w:rFonts w:ascii="Times New Roman" w:eastAsia="仿宋"/>
              </w:rPr>
              <w:t xml:space="preserve">《关于以改善环境质量为核心加强环境影响评价管理的通知》（环环评[2016]150号） </w:t>
            </w:r>
          </w:p>
        </w:tc>
        <w:tc>
          <w:tcPr>
            <w:tcW w:w="1676" w:type="pct"/>
            <w:vAlign w:val="center"/>
          </w:tcPr>
          <w:p w14:paraId="5F6C9D8F">
            <w:pPr>
              <w:widowControl/>
              <w:adjustRightInd w:val="0"/>
              <w:snapToGrid w:val="0"/>
              <w:rPr>
                <w:rFonts w:ascii="Times New Roman" w:eastAsia="仿宋"/>
              </w:rPr>
            </w:pPr>
            <w:r>
              <w:rPr>
                <w:rFonts w:ascii="Times New Roman" w:eastAsia="仿宋"/>
              </w:rPr>
              <w:t>（1）规划环评要作为规划所包含项目环评的重要依据，对于不符合规划环评结论及审查意见的项目环评，依法不予审批。（2）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2234" w:type="pct"/>
            <w:vAlign w:val="center"/>
          </w:tcPr>
          <w:p w14:paraId="7FBC888F">
            <w:pPr>
              <w:widowControl/>
              <w:adjustRightInd w:val="0"/>
              <w:snapToGrid w:val="0"/>
              <w:rPr>
                <w:rFonts w:ascii="Times New Roman" w:eastAsia="仿宋"/>
              </w:rPr>
            </w:pPr>
            <w:r>
              <w:rPr>
                <w:rFonts w:ascii="Times New Roman" w:eastAsia="仿宋"/>
              </w:rPr>
              <w:t>（1）本项目所在地位于朱林镇</w:t>
            </w:r>
            <w:r>
              <w:rPr>
                <w:rFonts w:hint="eastAsia" w:ascii="Times New Roman" w:eastAsia="仿宋"/>
              </w:rPr>
              <w:t>永兴路68号</w:t>
            </w:r>
            <w:r>
              <w:rPr>
                <w:rFonts w:ascii="Times New Roman" w:eastAsia="仿宋"/>
              </w:rPr>
              <w:t>，项目类型不在负面清单内，故符合区域环评中的用地性质要求及产业定位，与区域环评及跟踪评价相符。（2）本项目所在地为不达标区，在实施区域削减方案后，本项目建成后大气环境质量能够得到改善。因此，符合文件要求。</w:t>
            </w:r>
          </w:p>
        </w:tc>
      </w:tr>
      <w:tr w14:paraId="2DCA0D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729B1872">
            <w:pPr>
              <w:widowControl/>
              <w:adjustRightInd w:val="0"/>
              <w:snapToGrid w:val="0"/>
              <w:jc w:val="center"/>
              <w:rPr>
                <w:rFonts w:ascii="Times New Roman" w:eastAsia="仿宋"/>
              </w:rPr>
            </w:pPr>
            <w:r>
              <w:rPr>
                <w:rFonts w:ascii="Times New Roman" w:eastAsia="仿宋"/>
              </w:rPr>
              <w:t>《关于全面加强生态环境保护坚决打好污染防治攻坚战的实施意见》（苏发[2018]24号）</w:t>
            </w:r>
          </w:p>
        </w:tc>
        <w:tc>
          <w:tcPr>
            <w:tcW w:w="1676" w:type="pct"/>
            <w:vAlign w:val="center"/>
          </w:tcPr>
          <w:p w14:paraId="275AABE0">
            <w:pPr>
              <w:widowControl/>
              <w:adjustRightInd w:val="0"/>
              <w:snapToGrid w:val="0"/>
              <w:rPr>
                <w:rFonts w:ascii="Times New Roman" w:eastAsia="仿宋"/>
              </w:rPr>
            </w:pPr>
            <w:r>
              <w:rPr>
                <w:rFonts w:ascii="Times New Roman" w:eastAsia="仿宋"/>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2234" w:type="pct"/>
            <w:vAlign w:val="center"/>
          </w:tcPr>
          <w:p w14:paraId="61AA9DE1">
            <w:pPr>
              <w:widowControl/>
              <w:adjustRightInd w:val="0"/>
              <w:snapToGrid w:val="0"/>
              <w:rPr>
                <w:rFonts w:ascii="Times New Roman" w:eastAsia="仿宋"/>
              </w:rPr>
            </w:pPr>
            <w:r>
              <w:rPr>
                <w:rFonts w:ascii="Times New Roman" w:eastAsia="仿宋"/>
              </w:rPr>
              <w:t>本项目不在长江干流及主要支流岸线1公里范围内，不属于化工项目。因此，符合文件要求。</w:t>
            </w:r>
          </w:p>
        </w:tc>
      </w:tr>
      <w:tr w14:paraId="1B0DFC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76C38279">
            <w:pPr>
              <w:widowControl/>
              <w:adjustRightInd w:val="0"/>
              <w:snapToGrid w:val="0"/>
              <w:jc w:val="center"/>
              <w:rPr>
                <w:rFonts w:ascii="Times New Roman" w:eastAsia="仿宋"/>
              </w:rPr>
            </w:pPr>
            <w:r>
              <w:rPr>
                <w:rFonts w:ascii="Times New Roman" w:eastAsia="仿宋"/>
              </w:rPr>
              <w:t>《省政府关于印发江苏省国家级生态保护红线规划的通知》（苏政发[2018]74号）</w:t>
            </w:r>
          </w:p>
        </w:tc>
        <w:tc>
          <w:tcPr>
            <w:tcW w:w="1676" w:type="pct"/>
            <w:vAlign w:val="center"/>
          </w:tcPr>
          <w:p w14:paraId="02B24F94">
            <w:pPr>
              <w:widowControl/>
              <w:adjustRightInd w:val="0"/>
              <w:snapToGrid w:val="0"/>
              <w:rPr>
                <w:rFonts w:ascii="Times New Roman" w:eastAsia="仿宋"/>
              </w:rPr>
            </w:pPr>
            <w:r>
              <w:rPr>
                <w:rFonts w:ascii="Times New Roman" w:eastAsia="仿宋"/>
              </w:rPr>
              <w:t>生态保护红线原则上按禁止开发区域的要求进行管理，严禁不符合主体功能定位的各类开发活动，严禁任意改变用途。</w:t>
            </w:r>
          </w:p>
        </w:tc>
        <w:tc>
          <w:tcPr>
            <w:tcW w:w="2234" w:type="pct"/>
            <w:vAlign w:val="center"/>
          </w:tcPr>
          <w:p w14:paraId="7B0D39FA">
            <w:pPr>
              <w:widowControl/>
              <w:adjustRightInd w:val="0"/>
              <w:snapToGrid w:val="0"/>
              <w:rPr>
                <w:rFonts w:ascii="Times New Roman" w:eastAsia="仿宋"/>
              </w:rPr>
            </w:pPr>
            <w:r>
              <w:rPr>
                <w:rFonts w:ascii="Times New Roman" w:eastAsia="仿宋"/>
              </w:rPr>
              <w:t>本项目不在江苏省及国家生态保护红线规划中规定的一级、二级管控区内，符合文件要求。</w:t>
            </w:r>
          </w:p>
        </w:tc>
      </w:tr>
      <w:tr w14:paraId="4CD4B4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89" w:type="pct"/>
            <w:vAlign w:val="center"/>
          </w:tcPr>
          <w:p w14:paraId="65A37DA6">
            <w:pPr>
              <w:widowControl/>
              <w:adjustRightInd w:val="0"/>
              <w:snapToGrid w:val="0"/>
              <w:jc w:val="center"/>
              <w:rPr>
                <w:rFonts w:ascii="Times New Roman" w:eastAsia="仿宋"/>
              </w:rPr>
            </w:pPr>
            <w:r>
              <w:rPr>
                <w:rFonts w:ascii="Times New Roman" w:eastAsia="仿宋"/>
              </w:rPr>
              <w:t>《省政府办公厅关于加强危险废物污染防治工作的意见》（苏政办发〔2018〕91号）</w:t>
            </w:r>
          </w:p>
        </w:tc>
        <w:tc>
          <w:tcPr>
            <w:tcW w:w="1676" w:type="pct"/>
            <w:vAlign w:val="center"/>
          </w:tcPr>
          <w:p w14:paraId="7EFA5399">
            <w:pPr>
              <w:widowControl/>
              <w:adjustRightInd w:val="0"/>
              <w:snapToGrid w:val="0"/>
              <w:rPr>
                <w:rFonts w:ascii="Times New Roman" w:eastAsia="仿宋"/>
              </w:rPr>
            </w:pPr>
            <w:r>
              <w:rPr>
                <w:rFonts w:ascii="Times New Roman" w:eastAsia="仿宋"/>
              </w:rPr>
              <w:t>禁止审批无法落实危险废物利用、处置途径的项目，从严审批危险废物产生量大、本地无配套利用处置能力、且需设区市统筹解决的项目。</w:t>
            </w:r>
          </w:p>
        </w:tc>
        <w:tc>
          <w:tcPr>
            <w:tcW w:w="2234" w:type="pct"/>
            <w:vAlign w:val="center"/>
          </w:tcPr>
          <w:p w14:paraId="718E157F">
            <w:pPr>
              <w:widowControl/>
              <w:adjustRightInd w:val="0"/>
              <w:snapToGrid w:val="0"/>
              <w:rPr>
                <w:rFonts w:ascii="Times New Roman" w:eastAsia="仿宋"/>
              </w:rPr>
            </w:pPr>
            <w:r>
              <w:rPr>
                <w:rFonts w:ascii="Times New Roman" w:eastAsia="仿宋"/>
              </w:rPr>
              <w:t>本项目产生的危险废物拟委托有资质单位处置。</w:t>
            </w:r>
          </w:p>
        </w:tc>
      </w:tr>
    </w:tbl>
    <w:p w14:paraId="7D4C79FF">
      <w:pPr>
        <w:pStyle w:val="70"/>
        <w:spacing w:after="0" w:line="500" w:lineRule="exact"/>
        <w:ind w:left="0" w:leftChars="0" w:firstLine="560" w:firstLineChars="200"/>
        <w:rPr>
          <w:rFonts w:eastAsia="仿宋"/>
          <w:bCs/>
          <w:sz w:val="28"/>
          <w:szCs w:val="20"/>
        </w:rPr>
      </w:pPr>
      <w:r>
        <w:rPr>
          <w:rFonts w:eastAsia="仿宋"/>
          <w:bCs/>
          <w:sz w:val="28"/>
          <w:szCs w:val="20"/>
        </w:rPr>
        <w:t>由上表可知，本项目符合《省生态环境厅关于进一步做好建设项目环评审批工作的通知》（苏环办[2019]36号）要求。</w:t>
      </w:r>
    </w:p>
    <w:p w14:paraId="4A47AB58">
      <w:pPr>
        <w:tabs>
          <w:tab w:val="left" w:pos="2880"/>
        </w:tabs>
        <w:autoSpaceDE w:val="0"/>
        <w:autoSpaceDN w:val="0"/>
        <w:spacing w:line="500" w:lineRule="exact"/>
        <w:ind w:firstLine="562" w:firstLineChars="200"/>
        <w:rPr>
          <w:rFonts w:ascii="Times New Roman" w:eastAsia="仿宋"/>
          <w:b/>
          <w:sz w:val="28"/>
        </w:rPr>
      </w:pPr>
      <w:r>
        <w:rPr>
          <w:rFonts w:hint="eastAsia" w:ascii="Times New Roman" w:eastAsia="仿宋"/>
          <w:b/>
          <w:sz w:val="28"/>
        </w:rPr>
        <w:t>8</w:t>
      </w:r>
      <w:r>
        <w:rPr>
          <w:rFonts w:ascii="Times New Roman" w:eastAsia="仿宋"/>
          <w:b/>
          <w:sz w:val="28"/>
        </w:rPr>
        <w:t>、与《</w:t>
      </w:r>
      <w:r>
        <w:rPr>
          <w:rFonts w:ascii="Times New Roman" w:eastAsia="仿宋"/>
          <w:b/>
          <w:bCs/>
          <w:sz w:val="28"/>
        </w:rPr>
        <w:t>省生态环境厅关于进一步加强建设项目环评审批和服务工作的指导意见</w:t>
      </w:r>
      <w:r>
        <w:rPr>
          <w:rFonts w:ascii="Times New Roman" w:eastAsia="仿宋"/>
          <w:b/>
          <w:sz w:val="28"/>
        </w:rPr>
        <w:t>》（</w:t>
      </w:r>
      <w:r>
        <w:rPr>
          <w:rFonts w:ascii="Times New Roman" w:eastAsia="仿宋"/>
          <w:b/>
          <w:bCs/>
          <w:sz w:val="28"/>
        </w:rPr>
        <w:t>苏环办[2020]225号</w:t>
      </w:r>
      <w:r>
        <w:rPr>
          <w:rFonts w:ascii="Times New Roman" w:eastAsia="仿宋"/>
          <w:b/>
          <w:sz w:val="28"/>
        </w:rPr>
        <w:t>）的对照分析</w:t>
      </w:r>
    </w:p>
    <w:p w14:paraId="0CFBAB85">
      <w:pPr>
        <w:tabs>
          <w:tab w:val="left" w:pos="2880"/>
        </w:tabs>
        <w:autoSpaceDE w:val="0"/>
        <w:autoSpaceDN w:val="0"/>
        <w:spacing w:line="500" w:lineRule="exact"/>
        <w:ind w:firstLine="482" w:firstLineChars="200"/>
        <w:jc w:val="center"/>
        <w:rPr>
          <w:rFonts w:ascii="Times New Roman" w:eastAsia="仿宋"/>
          <w:b/>
        </w:rPr>
      </w:pPr>
      <w:r>
        <w:rPr>
          <w:rFonts w:ascii="Times New Roman" w:eastAsia="仿宋"/>
          <w:b/>
        </w:rPr>
        <w:t>表2.7-6  与</w:t>
      </w:r>
      <w:r>
        <w:rPr>
          <w:rFonts w:ascii="Times New Roman" w:eastAsia="仿宋"/>
          <w:b/>
          <w:bCs/>
        </w:rPr>
        <w:t>苏环办[2020]225号</w:t>
      </w:r>
      <w:r>
        <w:rPr>
          <w:rFonts w:ascii="Times New Roman" w:eastAsia="仿宋"/>
          <w:b/>
        </w:rPr>
        <w:t>对照分析</w:t>
      </w:r>
    </w:p>
    <w:tbl>
      <w:tblPr>
        <w:tblStyle w:val="87"/>
        <w:tblW w:w="5438"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5021"/>
        <w:gridCol w:w="3098"/>
      </w:tblGrid>
      <w:tr w14:paraId="5115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2" w:type="pct"/>
            <w:vAlign w:val="center"/>
          </w:tcPr>
          <w:p w14:paraId="4F112F88">
            <w:pPr>
              <w:adjustRightInd w:val="0"/>
              <w:snapToGrid w:val="0"/>
              <w:jc w:val="center"/>
              <w:rPr>
                <w:rFonts w:ascii="Times New Roman" w:eastAsia="仿宋"/>
                <w:bCs/>
              </w:rPr>
            </w:pPr>
            <w:r>
              <w:rPr>
                <w:rFonts w:ascii="Times New Roman" w:eastAsia="仿宋"/>
                <w:bCs/>
              </w:rPr>
              <w:t>类别</w:t>
            </w:r>
          </w:p>
        </w:tc>
        <w:tc>
          <w:tcPr>
            <w:tcW w:w="2615" w:type="pct"/>
            <w:vAlign w:val="center"/>
          </w:tcPr>
          <w:p w14:paraId="455E7B23">
            <w:pPr>
              <w:adjustRightInd w:val="0"/>
              <w:snapToGrid w:val="0"/>
              <w:jc w:val="center"/>
              <w:rPr>
                <w:rFonts w:ascii="Times New Roman" w:eastAsia="仿宋"/>
                <w:bCs/>
                <w:szCs w:val="21"/>
              </w:rPr>
            </w:pPr>
            <w:r>
              <w:rPr>
                <w:rFonts w:ascii="Times New Roman" w:eastAsia="仿宋"/>
                <w:bCs/>
                <w:szCs w:val="21"/>
              </w:rPr>
              <w:t>文件要求</w:t>
            </w:r>
          </w:p>
        </w:tc>
        <w:tc>
          <w:tcPr>
            <w:tcW w:w="1613" w:type="pct"/>
            <w:vAlign w:val="center"/>
          </w:tcPr>
          <w:p w14:paraId="755FAD3E">
            <w:pPr>
              <w:adjustRightInd w:val="0"/>
              <w:snapToGrid w:val="0"/>
              <w:jc w:val="center"/>
              <w:rPr>
                <w:rFonts w:ascii="Times New Roman" w:eastAsia="仿宋"/>
                <w:bCs/>
                <w:szCs w:val="21"/>
              </w:rPr>
            </w:pPr>
            <w:r>
              <w:rPr>
                <w:rFonts w:ascii="Times New Roman" w:eastAsia="仿宋"/>
                <w:bCs/>
                <w:szCs w:val="21"/>
              </w:rPr>
              <w:t>对照分析</w:t>
            </w:r>
          </w:p>
        </w:tc>
      </w:tr>
      <w:tr w14:paraId="3EBA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2" w:type="pct"/>
            <w:vAlign w:val="center"/>
          </w:tcPr>
          <w:p w14:paraId="7B354BFB">
            <w:pPr>
              <w:adjustRightInd w:val="0"/>
              <w:snapToGrid w:val="0"/>
              <w:jc w:val="center"/>
              <w:rPr>
                <w:rFonts w:ascii="Times New Roman" w:eastAsia="仿宋"/>
                <w:bCs/>
              </w:rPr>
            </w:pPr>
            <w:r>
              <w:rPr>
                <w:rFonts w:ascii="Times New Roman" w:eastAsia="仿宋"/>
                <w:bCs/>
              </w:rPr>
              <w:t>严守生态环境质量底线</w:t>
            </w:r>
          </w:p>
        </w:tc>
        <w:tc>
          <w:tcPr>
            <w:tcW w:w="2615" w:type="pct"/>
            <w:vAlign w:val="center"/>
          </w:tcPr>
          <w:p w14:paraId="0012524D">
            <w:pPr>
              <w:adjustRightInd w:val="0"/>
              <w:snapToGrid w:val="0"/>
              <w:rPr>
                <w:rFonts w:ascii="Times New Roman" w:eastAsia="仿宋"/>
                <w:bCs/>
              </w:rPr>
            </w:pPr>
            <w:r>
              <w:rPr>
                <w:rFonts w:ascii="Times New Roman" w:eastAsia="仿宋"/>
                <w:bCs/>
              </w:rPr>
              <w:t>坚持以改善环境质量为核心，开发建设活动不得突破区域生态环境承载能力，确保“生态环境质量只能更好、不能变坏”。</w:t>
            </w:r>
          </w:p>
          <w:p w14:paraId="45275580">
            <w:pPr>
              <w:adjustRightInd w:val="0"/>
              <w:snapToGrid w:val="0"/>
              <w:rPr>
                <w:rFonts w:ascii="Times New Roman" w:eastAsia="仿宋"/>
                <w:bCs/>
              </w:rPr>
            </w:pPr>
            <w:r>
              <w:rPr>
                <w:rFonts w:ascii="Times New Roman" w:eastAsia="仿宋"/>
                <w:bCs/>
              </w:rPr>
              <w:t>（一）建设项目所在区域环境质量未达到国家或地方环境质量标准，且项目拟采取的污染防治措施不能满足区域环境质量改善目标管理要求的，一律不得审批。</w:t>
            </w:r>
          </w:p>
          <w:p w14:paraId="7C5B0E7B">
            <w:pPr>
              <w:adjustRightInd w:val="0"/>
              <w:snapToGrid w:val="0"/>
              <w:rPr>
                <w:rFonts w:ascii="Times New Roman" w:eastAsia="仿宋"/>
                <w:bCs/>
              </w:rPr>
            </w:pPr>
            <w:r>
              <w:rPr>
                <w:rFonts w:ascii="Times New Roman" w:eastAsia="仿宋"/>
                <w:bCs/>
              </w:rPr>
              <w:t>（二）加强规划环评与建设项目环评联动，对不符合规划环评结论及审查意见的项目环评，依法不予审批。规划所包含项目的环评内容，可根据规划环评结论和审查意见予以简化。</w:t>
            </w:r>
          </w:p>
          <w:p w14:paraId="1EE79560">
            <w:pPr>
              <w:adjustRightInd w:val="0"/>
              <w:snapToGrid w:val="0"/>
              <w:rPr>
                <w:rFonts w:ascii="Times New Roman" w:eastAsia="仿宋"/>
                <w:bCs/>
              </w:rPr>
            </w:pPr>
            <w:r>
              <w:rPr>
                <w:rFonts w:ascii="Times New Roman" w:eastAsia="仿宋"/>
                <w:bCs/>
              </w:rPr>
              <w:t>（三）切实加强区域环境容量、环境承载力研究，不得审批突破环境容量和环境承载力的建设项目。</w:t>
            </w:r>
          </w:p>
          <w:p w14:paraId="06D73701">
            <w:pPr>
              <w:adjustRightInd w:val="0"/>
              <w:snapToGrid w:val="0"/>
              <w:rPr>
                <w:rFonts w:ascii="Times New Roman" w:eastAsia="仿宋"/>
                <w:bCs/>
              </w:rPr>
            </w:pPr>
            <w:r>
              <w:rPr>
                <w:rFonts w:ascii="Times New Roman" w:eastAsia="仿宋"/>
                <w:bCs/>
              </w:rPr>
              <w:t>（四）应将“三线一单”作为建设项目环评审批的重要依据，严格落实生态环境分区管控要求，从严把好环境准入关。</w:t>
            </w:r>
          </w:p>
        </w:tc>
        <w:tc>
          <w:tcPr>
            <w:tcW w:w="1613" w:type="pct"/>
            <w:vAlign w:val="center"/>
          </w:tcPr>
          <w:p w14:paraId="4D3335F9">
            <w:pPr>
              <w:adjustRightInd w:val="0"/>
              <w:snapToGrid w:val="0"/>
              <w:jc w:val="center"/>
              <w:rPr>
                <w:rFonts w:ascii="Times New Roman" w:eastAsia="仿宋"/>
                <w:bCs/>
                <w:spacing w:val="-4"/>
              </w:rPr>
            </w:pPr>
            <w:r>
              <w:rPr>
                <w:rFonts w:hint="eastAsia" w:ascii="Times New Roman" w:eastAsia="仿宋"/>
                <w:bCs/>
                <w:szCs w:val="21"/>
              </w:rPr>
              <w:t>①</w:t>
            </w:r>
            <w:r>
              <w:rPr>
                <w:rFonts w:ascii="Times New Roman" w:eastAsia="仿宋"/>
                <w:bCs/>
                <w:szCs w:val="21"/>
              </w:rPr>
              <w:t>项目所在地为大气污染物O</w:t>
            </w:r>
            <w:r>
              <w:rPr>
                <w:rFonts w:ascii="Times New Roman" w:eastAsia="仿宋"/>
                <w:bCs/>
                <w:szCs w:val="21"/>
                <w:vertAlign w:val="subscript"/>
              </w:rPr>
              <w:t>3</w:t>
            </w:r>
            <w:r>
              <w:rPr>
                <w:rFonts w:ascii="Times New Roman" w:eastAsia="仿宋"/>
                <w:bCs/>
                <w:szCs w:val="21"/>
              </w:rPr>
              <w:t>和PM</w:t>
            </w:r>
            <w:r>
              <w:rPr>
                <w:rFonts w:ascii="Times New Roman" w:eastAsia="仿宋"/>
                <w:bCs/>
                <w:szCs w:val="21"/>
                <w:vertAlign w:val="subscript"/>
              </w:rPr>
              <w:t>2.5</w:t>
            </w:r>
            <w:r>
              <w:rPr>
                <w:rFonts w:ascii="Times New Roman" w:eastAsia="仿宋"/>
                <w:bCs/>
                <w:szCs w:val="21"/>
              </w:rPr>
              <w:t>环境质量不达标区，通过预测分析，本项目各废气因子排放量较小，对周围保护目标影响均较小，均未超过各因子的环境质量标准。</w:t>
            </w:r>
            <w:r>
              <w:rPr>
                <w:rFonts w:hint="eastAsia" w:ascii="Times New Roman" w:eastAsia="仿宋"/>
                <w:bCs/>
                <w:szCs w:val="21"/>
              </w:rPr>
              <w:t>②</w:t>
            </w:r>
            <w:r>
              <w:rPr>
                <w:rFonts w:ascii="Times New Roman" w:eastAsia="仿宋"/>
                <w:bCs/>
                <w:szCs w:val="21"/>
              </w:rPr>
              <w:t>本项目建设内容及其选址、布局、规模等均符合环境保护法律法规和相关法定规划内容。</w:t>
            </w:r>
            <w:r>
              <w:rPr>
                <w:rFonts w:hint="eastAsia" w:ascii="Times New Roman" w:eastAsia="仿宋"/>
                <w:bCs/>
                <w:szCs w:val="21"/>
              </w:rPr>
              <w:t>③</w:t>
            </w:r>
            <w:r>
              <w:rPr>
                <w:rFonts w:ascii="Times New Roman" w:eastAsia="仿宋"/>
                <w:bCs/>
                <w:szCs w:val="21"/>
              </w:rPr>
              <w:t>本项目废气和生活污水排放的污染物不突破环境容量和环境承载力。</w:t>
            </w:r>
            <w:r>
              <w:rPr>
                <w:rFonts w:hint="eastAsia" w:ascii="Times New Roman" w:eastAsia="仿宋"/>
                <w:bCs/>
                <w:szCs w:val="21"/>
              </w:rPr>
              <w:t>④</w:t>
            </w:r>
            <w:r>
              <w:rPr>
                <w:rFonts w:ascii="Times New Roman" w:eastAsia="仿宋"/>
                <w:bCs/>
                <w:szCs w:val="21"/>
              </w:rPr>
              <w:t>本项目符合“三线一单”相关要求</w:t>
            </w:r>
          </w:p>
        </w:tc>
      </w:tr>
      <w:tr w14:paraId="3E4D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2" w:type="pct"/>
            <w:vAlign w:val="center"/>
          </w:tcPr>
          <w:p w14:paraId="5DAE8228">
            <w:pPr>
              <w:adjustRightInd w:val="0"/>
              <w:snapToGrid w:val="0"/>
              <w:jc w:val="center"/>
              <w:rPr>
                <w:rFonts w:ascii="Times New Roman" w:eastAsia="仿宋"/>
                <w:bCs/>
                <w:kern w:val="32"/>
              </w:rPr>
            </w:pPr>
            <w:r>
              <w:rPr>
                <w:rFonts w:ascii="Times New Roman" w:eastAsia="仿宋"/>
                <w:bCs/>
              </w:rPr>
              <w:t>规范项目环评审批程序</w:t>
            </w:r>
          </w:p>
        </w:tc>
        <w:tc>
          <w:tcPr>
            <w:tcW w:w="2615" w:type="pct"/>
            <w:vAlign w:val="center"/>
          </w:tcPr>
          <w:p w14:paraId="35F82D8E">
            <w:pPr>
              <w:adjustRightInd w:val="0"/>
              <w:snapToGrid w:val="0"/>
              <w:rPr>
                <w:rFonts w:ascii="Times New Roman" w:eastAsia="仿宋"/>
                <w:bCs/>
              </w:rPr>
            </w:pPr>
            <w:r>
              <w:rPr>
                <w:rFonts w:ascii="Times New Roman" w:eastAsia="仿宋"/>
                <w:bCs/>
              </w:rPr>
              <w:t>严格落实法律法规规定，进一步规范完善建设项目环评审批程序，规范环评审批行为。</w:t>
            </w:r>
          </w:p>
          <w:p w14:paraId="6ACA7B08">
            <w:pPr>
              <w:adjustRightInd w:val="0"/>
              <w:snapToGrid w:val="0"/>
              <w:rPr>
                <w:rFonts w:ascii="Times New Roman" w:eastAsia="仿宋"/>
                <w:bCs/>
              </w:rPr>
            </w:pPr>
            <w:r>
              <w:rPr>
                <w:rFonts w:ascii="Times New Roman" w:eastAsia="仿宋"/>
                <w:bCs/>
              </w:rPr>
              <w:t>（十五）严格执行建设项目环评分级审批管理规定，严禁超越权限审批、违反法定程序或法定条件审批。</w:t>
            </w:r>
          </w:p>
          <w:p w14:paraId="7ACE0875">
            <w:pPr>
              <w:adjustRightInd w:val="0"/>
              <w:snapToGrid w:val="0"/>
              <w:rPr>
                <w:rFonts w:ascii="Times New Roman" w:eastAsia="仿宋"/>
                <w:bCs/>
              </w:rPr>
            </w:pPr>
            <w:r>
              <w:rPr>
                <w:rFonts w:ascii="Times New Roman" w:eastAsia="仿宋"/>
                <w:bCs/>
              </w:rPr>
              <w:t>（十六）建立建设项目环保和安全审批联动机制，互通项目环保和安全信息，特别是涉及危险化学品的建设项目，必要时可会商审查和联合审批，形成监管合力。</w:t>
            </w:r>
          </w:p>
          <w:p w14:paraId="01475CAD">
            <w:pPr>
              <w:adjustRightInd w:val="0"/>
              <w:snapToGrid w:val="0"/>
              <w:rPr>
                <w:rFonts w:ascii="Times New Roman" w:eastAsia="仿宋"/>
                <w:bCs/>
              </w:rPr>
            </w:pPr>
            <w:r>
              <w:rPr>
                <w:rFonts w:ascii="Times New Roman" w:eastAsia="仿宋"/>
                <w:bCs/>
              </w:rPr>
              <w:t>（十七）在产业园区（市级及以上）规划环评未通过审查、项目主要污染物排放指标未落实、重大环境风险隐患未消除的情况下，原则上不可先行审批项目环评。</w:t>
            </w:r>
          </w:p>
          <w:p w14:paraId="2F1EC2C2">
            <w:pPr>
              <w:adjustRightInd w:val="0"/>
              <w:snapToGrid w:val="0"/>
              <w:rPr>
                <w:rFonts w:ascii="Times New Roman" w:eastAsia="仿宋"/>
                <w:bCs/>
              </w:rPr>
            </w:pPr>
            <w:r>
              <w:rPr>
                <w:rFonts w:ascii="Times New Roman" w:eastAsia="仿宋"/>
                <w:bCs/>
              </w:rPr>
              <w:t>（十八）认真落实环评公众参与有关规定，依规公示项目环评受理、审查、审批等信息，保障公众参与的有效性和真实性</w:t>
            </w:r>
          </w:p>
        </w:tc>
        <w:tc>
          <w:tcPr>
            <w:tcW w:w="1613" w:type="pct"/>
            <w:vAlign w:val="center"/>
          </w:tcPr>
          <w:p w14:paraId="21D49B1C">
            <w:pPr>
              <w:adjustRightInd w:val="0"/>
              <w:snapToGrid w:val="0"/>
              <w:rPr>
                <w:rFonts w:ascii="Times New Roman" w:eastAsia="仿宋"/>
                <w:bCs/>
              </w:rPr>
            </w:pPr>
            <w:r>
              <w:rPr>
                <w:rFonts w:ascii="Times New Roman" w:eastAsia="仿宋"/>
                <w:bCs/>
              </w:rPr>
              <w:t>本项目编制类别为环境影响报告书，审批部门为区级生态环境管理部门；</w:t>
            </w:r>
          </w:p>
          <w:p w14:paraId="48E98ACD">
            <w:pPr>
              <w:adjustRightInd w:val="0"/>
              <w:snapToGrid w:val="0"/>
              <w:rPr>
                <w:rFonts w:ascii="Times New Roman" w:eastAsia="仿宋"/>
                <w:bCs/>
              </w:rPr>
            </w:pPr>
            <w:r>
              <w:rPr>
                <w:rFonts w:ascii="Times New Roman" w:eastAsia="仿宋"/>
                <w:bCs/>
              </w:rPr>
              <w:t>本项目位于</w:t>
            </w:r>
            <w:r>
              <w:rPr>
                <w:rFonts w:hint="eastAsia" w:ascii="Times New Roman" w:eastAsia="仿宋"/>
                <w:bCs/>
              </w:rPr>
              <w:t>朱林镇永兴路68号</w:t>
            </w:r>
            <w:r>
              <w:rPr>
                <w:rFonts w:ascii="Times New Roman" w:eastAsia="仿宋"/>
                <w:bCs/>
              </w:rPr>
              <w:t>，符合</w:t>
            </w:r>
            <w:r>
              <w:rPr>
                <w:rFonts w:hint="eastAsia" w:ascii="Times New Roman" w:eastAsia="仿宋"/>
                <w:bCs/>
              </w:rPr>
              <w:t>朱林镇</w:t>
            </w:r>
            <w:r>
              <w:rPr>
                <w:rFonts w:ascii="Times New Roman" w:eastAsia="仿宋"/>
                <w:bCs/>
              </w:rPr>
              <w:t>发展规划；本项目将认真落实环评公众参与有关规定，依规公示项目环评受理、审查、审批等信息，保障公众参与的有效性和真实性</w:t>
            </w:r>
          </w:p>
        </w:tc>
      </w:tr>
    </w:tbl>
    <w:p w14:paraId="5C8D8584">
      <w:pPr>
        <w:pStyle w:val="70"/>
        <w:spacing w:after="0" w:line="500" w:lineRule="exact"/>
        <w:ind w:left="0" w:leftChars="0" w:firstLine="560" w:firstLineChars="200"/>
        <w:rPr>
          <w:rFonts w:eastAsia="仿宋"/>
          <w:bCs/>
          <w:sz w:val="28"/>
          <w:szCs w:val="20"/>
        </w:rPr>
      </w:pPr>
      <w:r>
        <w:rPr>
          <w:rFonts w:eastAsia="仿宋"/>
          <w:bCs/>
          <w:sz w:val="28"/>
          <w:szCs w:val="20"/>
        </w:rPr>
        <w:t>由上表可知，本项目符合《省生态环境厅关于进一步加强建设项目环评审批和服务工作的指导意见》（苏环办[2020]225号）的相关要求。</w:t>
      </w:r>
    </w:p>
    <w:p w14:paraId="5FE60B6D">
      <w:pPr>
        <w:pStyle w:val="70"/>
        <w:spacing w:after="0" w:line="500" w:lineRule="exact"/>
        <w:ind w:left="0" w:leftChars="0" w:firstLine="562" w:firstLineChars="200"/>
        <w:rPr>
          <w:rFonts w:eastAsia="仿宋"/>
          <w:b/>
          <w:bCs/>
          <w:sz w:val="28"/>
          <w:szCs w:val="20"/>
        </w:rPr>
      </w:pPr>
      <w:r>
        <w:rPr>
          <w:rFonts w:eastAsia="仿宋"/>
          <w:b/>
          <w:bCs/>
          <w:sz w:val="28"/>
          <w:szCs w:val="20"/>
        </w:rPr>
        <w:t>1</w:t>
      </w:r>
      <w:r>
        <w:rPr>
          <w:rFonts w:hint="eastAsia" w:eastAsia="仿宋"/>
          <w:b/>
          <w:bCs/>
          <w:sz w:val="28"/>
          <w:szCs w:val="20"/>
        </w:rPr>
        <w:t>0</w:t>
      </w:r>
      <w:r>
        <w:rPr>
          <w:rFonts w:eastAsia="仿宋"/>
          <w:b/>
          <w:bCs/>
          <w:sz w:val="28"/>
          <w:szCs w:val="20"/>
        </w:rPr>
        <w:t>、与《涂料中挥发性有机物限量》（DB32/T 3500—2019）</w:t>
      </w:r>
      <w:r>
        <w:rPr>
          <w:rFonts w:hint="eastAsia" w:eastAsia="仿宋"/>
          <w:b/>
          <w:bCs/>
          <w:sz w:val="28"/>
          <w:szCs w:val="20"/>
        </w:rPr>
        <w:t>、《车辆涂料中有害物质限量》（GB 24409-2020）、《工业防护涂料中有害物质限量》（GB30981-2020）</w:t>
      </w:r>
      <w:r>
        <w:rPr>
          <w:rFonts w:eastAsia="仿宋"/>
          <w:b/>
          <w:bCs/>
          <w:sz w:val="28"/>
          <w:szCs w:val="20"/>
        </w:rPr>
        <w:t>的相符性分析</w:t>
      </w:r>
    </w:p>
    <w:p w14:paraId="7458C0C7">
      <w:pPr>
        <w:pStyle w:val="70"/>
        <w:spacing w:after="0" w:line="500" w:lineRule="exact"/>
        <w:ind w:left="0" w:leftChars="0" w:firstLine="560" w:firstLineChars="200"/>
        <w:rPr>
          <w:rFonts w:eastAsia="仿宋"/>
          <w:bCs/>
          <w:sz w:val="28"/>
          <w:szCs w:val="20"/>
        </w:rPr>
      </w:pPr>
      <w:r>
        <w:rPr>
          <w:rFonts w:eastAsia="仿宋"/>
          <w:sz w:val="28"/>
          <w:szCs w:val="20"/>
        </w:rPr>
        <w:t>本项目</w:t>
      </w:r>
      <w:r>
        <w:rPr>
          <w:rFonts w:eastAsia="仿宋"/>
          <w:bCs/>
          <w:sz w:val="28"/>
          <w:szCs w:val="20"/>
        </w:rPr>
        <w:t>行业类别属于</w:t>
      </w:r>
      <w:r>
        <w:rPr>
          <w:rFonts w:hint="eastAsia" w:eastAsia="仿宋"/>
          <w:bCs/>
          <w:sz w:val="28"/>
          <w:szCs w:val="20"/>
        </w:rPr>
        <w:t>C3670汽车零部件及配件制造</w:t>
      </w:r>
      <w:r>
        <w:rPr>
          <w:rFonts w:eastAsia="仿宋"/>
          <w:bCs/>
          <w:sz w:val="28"/>
          <w:szCs w:val="20"/>
        </w:rPr>
        <w:t>，</w:t>
      </w:r>
      <w:r>
        <w:rPr>
          <w:rFonts w:hint="eastAsia" w:eastAsia="仿宋"/>
          <w:bCs/>
          <w:sz w:val="28"/>
          <w:szCs w:val="20"/>
        </w:rPr>
        <w:t>由于产品</w:t>
      </w:r>
      <w:r>
        <w:rPr>
          <w:rFonts w:hint="eastAsia" w:hAnsi="仿宋" w:eastAsia="仿宋"/>
          <w:bCs/>
          <w:sz w:val="28"/>
          <w:szCs w:val="28"/>
        </w:rPr>
        <w:t>使用环境及性能要求的限制、</w:t>
      </w:r>
      <w:r>
        <w:rPr>
          <w:rFonts w:hAnsi="仿宋" w:eastAsia="仿宋"/>
          <w:sz w:val="28"/>
          <w:szCs w:val="28"/>
        </w:rPr>
        <w:t>从漆膜厚度、表面附着力、耐腐蚀及耐冲击、耐磨性等几个方面考察，</w:t>
      </w:r>
      <w:r>
        <w:rPr>
          <w:rFonts w:hint="eastAsia" w:hAnsi="仿宋" w:eastAsia="仿宋"/>
          <w:sz w:val="28"/>
          <w:szCs w:val="28"/>
        </w:rPr>
        <w:t>水性涂料无法满足供应商对产品性能的要求，部分工件</w:t>
      </w:r>
      <w:r>
        <w:rPr>
          <w:rFonts w:hint="eastAsia" w:eastAsia="仿宋"/>
          <w:bCs/>
          <w:sz w:val="28"/>
          <w:szCs w:val="20"/>
        </w:rPr>
        <w:t>喷涂工艺采用溶剂型氟碳底漆、氟碳面漆。</w:t>
      </w:r>
    </w:p>
    <w:p w14:paraId="041C5393">
      <w:pPr>
        <w:pStyle w:val="70"/>
        <w:spacing w:after="0" w:line="500" w:lineRule="exact"/>
        <w:ind w:left="0" w:leftChars="0" w:firstLine="560" w:firstLineChars="200"/>
        <w:rPr>
          <w:rFonts w:eastAsia="仿宋"/>
          <w:bCs/>
          <w:sz w:val="28"/>
          <w:szCs w:val="20"/>
        </w:rPr>
      </w:pPr>
      <w:r>
        <w:rPr>
          <w:rFonts w:hint="eastAsia" w:eastAsia="仿宋"/>
          <w:bCs/>
          <w:sz w:val="28"/>
          <w:szCs w:val="20"/>
        </w:rPr>
        <w:t>对照《涂料中挥发性有机物限量》（DB32/T 3500—2019）</w:t>
      </w:r>
      <w:r>
        <w:rPr>
          <w:rFonts w:eastAsia="仿宋"/>
          <w:bCs/>
          <w:sz w:val="28"/>
          <w:szCs w:val="20"/>
        </w:rPr>
        <w:t>中</w:t>
      </w:r>
      <w:r>
        <w:rPr>
          <w:rFonts w:hint="eastAsia" w:eastAsia="仿宋"/>
          <w:bCs/>
          <w:sz w:val="28"/>
          <w:szCs w:val="20"/>
        </w:rPr>
        <w:t>的表2</w:t>
      </w:r>
      <w:r>
        <w:rPr>
          <w:rFonts w:eastAsia="仿宋"/>
          <w:bCs/>
          <w:sz w:val="28"/>
          <w:szCs w:val="20"/>
        </w:rPr>
        <w:t>车辆涂料</w:t>
      </w:r>
      <w:r>
        <w:rPr>
          <w:rFonts w:hint="eastAsia" w:eastAsia="仿宋"/>
          <w:bCs/>
          <w:sz w:val="28"/>
          <w:szCs w:val="20"/>
        </w:rPr>
        <w:t>挥发性有机物含量限值、《车辆涂料中有害物质限量》（GB 24409-2020）表2中车辆用零部件涂料，以及《工业防护涂料中有害物质限量》（GB30981-2020）表2中型材涂料</w:t>
      </w:r>
      <w:r>
        <w:rPr>
          <w:rFonts w:eastAsia="仿宋"/>
          <w:bCs/>
          <w:sz w:val="28"/>
          <w:szCs w:val="20"/>
        </w:rPr>
        <w:t>。</w:t>
      </w:r>
    </w:p>
    <w:p w14:paraId="43E2B44F">
      <w:pPr>
        <w:pStyle w:val="70"/>
        <w:spacing w:after="0" w:line="500" w:lineRule="exact"/>
        <w:ind w:left="0" w:leftChars="0" w:firstLine="560" w:firstLineChars="200"/>
        <w:rPr>
          <w:rFonts w:eastAsia="仿宋"/>
          <w:sz w:val="28"/>
          <w:szCs w:val="20"/>
        </w:rPr>
      </w:pPr>
      <w:r>
        <w:rPr>
          <w:rFonts w:hint="eastAsia" w:eastAsia="仿宋"/>
          <w:sz w:val="28"/>
          <w:szCs w:val="20"/>
        </w:rPr>
        <w:t>由下表可知，本项目涂料中氟碳底漆、氟碳面漆、水性烤瓷涂料施工状态下VOCs含量均符合《涂料中挥发性有机物限量》（DB32/T 3500—2019）、《车辆涂料中有害物质限量》（GB 24409-2020）、《工业防护涂料中有害物质限量》（GB30981-2020）中相关要求限值。</w:t>
      </w:r>
    </w:p>
    <w:p w14:paraId="4EA021D7">
      <w:pPr>
        <w:tabs>
          <w:tab w:val="left" w:pos="2880"/>
        </w:tabs>
        <w:autoSpaceDE w:val="0"/>
        <w:autoSpaceDN w:val="0"/>
        <w:jc w:val="center"/>
        <w:rPr>
          <w:rFonts w:ascii="Times New Roman" w:eastAsia="仿宋"/>
          <w:b/>
        </w:rPr>
      </w:pPr>
      <w:r>
        <w:rPr>
          <w:rFonts w:ascii="Times New Roman" w:eastAsia="仿宋"/>
          <w:b/>
        </w:rPr>
        <w:t xml:space="preserve">表2.7-7 </w:t>
      </w:r>
      <w:r>
        <w:rPr>
          <w:rFonts w:hint="eastAsia" w:ascii="Times New Roman" w:eastAsia="仿宋"/>
          <w:b/>
        </w:rPr>
        <w:t>与《涂料中挥发性有机物限量》（DB32/T 3500—2019）等的相符性分析</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35"/>
        <w:gridCol w:w="881"/>
        <w:gridCol w:w="964"/>
        <w:gridCol w:w="858"/>
        <w:gridCol w:w="881"/>
        <w:gridCol w:w="925"/>
        <w:gridCol w:w="874"/>
        <w:gridCol w:w="872"/>
        <w:gridCol w:w="1704"/>
      </w:tblGrid>
      <w:tr w14:paraId="38C1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246" w:type="pct"/>
            <w:vMerge w:val="restart"/>
            <w:vAlign w:val="center"/>
          </w:tcPr>
          <w:p w14:paraId="7345343D">
            <w:pPr>
              <w:jc w:val="center"/>
              <w:rPr>
                <w:rFonts w:ascii="Times New Roman" w:eastAsia="仿宋"/>
                <w:bCs/>
                <w:sz w:val="21"/>
                <w:szCs w:val="21"/>
              </w:rPr>
            </w:pPr>
            <w:r>
              <w:rPr>
                <w:rFonts w:ascii="Times New Roman" w:hAnsi="仿宋" w:eastAsia="仿宋"/>
                <w:bCs/>
                <w:sz w:val="21"/>
                <w:szCs w:val="21"/>
              </w:rPr>
              <w:t>产品</w:t>
            </w:r>
          </w:p>
        </w:tc>
        <w:tc>
          <w:tcPr>
            <w:tcW w:w="246" w:type="pct"/>
            <w:vMerge w:val="restart"/>
            <w:vAlign w:val="center"/>
          </w:tcPr>
          <w:p w14:paraId="4AE1D287">
            <w:pPr>
              <w:jc w:val="center"/>
              <w:rPr>
                <w:rFonts w:ascii="Times New Roman" w:eastAsia="仿宋"/>
                <w:bCs/>
                <w:sz w:val="21"/>
                <w:szCs w:val="21"/>
              </w:rPr>
            </w:pPr>
            <w:r>
              <w:rPr>
                <w:rFonts w:ascii="Times New Roman" w:hAnsi="仿宋" w:eastAsia="仿宋"/>
                <w:bCs/>
                <w:sz w:val="21"/>
                <w:szCs w:val="21"/>
              </w:rPr>
              <w:t>原料</w:t>
            </w:r>
          </w:p>
        </w:tc>
        <w:tc>
          <w:tcPr>
            <w:tcW w:w="498" w:type="pct"/>
            <w:vMerge w:val="restart"/>
            <w:vAlign w:val="center"/>
          </w:tcPr>
          <w:p w14:paraId="75EF8D27">
            <w:pPr>
              <w:jc w:val="center"/>
              <w:rPr>
                <w:rFonts w:ascii="Times New Roman" w:eastAsia="仿宋"/>
                <w:bCs/>
                <w:sz w:val="21"/>
                <w:szCs w:val="21"/>
              </w:rPr>
            </w:pPr>
            <w:r>
              <w:rPr>
                <w:rFonts w:ascii="Times New Roman" w:hAnsi="仿宋" w:eastAsia="仿宋"/>
                <w:bCs/>
                <w:sz w:val="21"/>
                <w:szCs w:val="21"/>
              </w:rPr>
              <w:t>原料用量（</w:t>
            </w:r>
            <w:r>
              <w:rPr>
                <w:rFonts w:ascii="Times New Roman" w:eastAsia="仿宋"/>
                <w:bCs/>
                <w:sz w:val="21"/>
                <w:szCs w:val="21"/>
              </w:rPr>
              <w:t>t/a</w:t>
            </w:r>
            <w:r>
              <w:rPr>
                <w:rFonts w:ascii="Times New Roman" w:hAnsi="仿宋" w:eastAsia="仿宋"/>
                <w:bCs/>
                <w:sz w:val="21"/>
                <w:szCs w:val="21"/>
              </w:rPr>
              <w:t>）</w:t>
            </w:r>
          </w:p>
        </w:tc>
        <w:tc>
          <w:tcPr>
            <w:tcW w:w="546" w:type="pct"/>
            <w:vMerge w:val="restart"/>
            <w:vAlign w:val="center"/>
          </w:tcPr>
          <w:p w14:paraId="38EF18EB">
            <w:pPr>
              <w:jc w:val="center"/>
              <w:rPr>
                <w:rFonts w:ascii="Times New Roman" w:eastAsia="仿宋"/>
                <w:bCs/>
                <w:sz w:val="21"/>
                <w:szCs w:val="21"/>
              </w:rPr>
            </w:pPr>
            <w:r>
              <w:rPr>
                <w:rFonts w:ascii="Times New Roman" w:hAnsi="仿宋" w:eastAsia="仿宋"/>
                <w:bCs/>
                <w:sz w:val="21"/>
                <w:szCs w:val="21"/>
              </w:rPr>
              <w:t>组分</w:t>
            </w:r>
          </w:p>
        </w:tc>
        <w:tc>
          <w:tcPr>
            <w:tcW w:w="486" w:type="pct"/>
            <w:vMerge w:val="restart"/>
            <w:vAlign w:val="center"/>
          </w:tcPr>
          <w:p w14:paraId="46735255">
            <w:pPr>
              <w:jc w:val="center"/>
              <w:rPr>
                <w:rFonts w:ascii="Times New Roman" w:eastAsia="仿宋"/>
                <w:bCs/>
                <w:sz w:val="21"/>
                <w:szCs w:val="21"/>
              </w:rPr>
            </w:pPr>
            <w:r>
              <w:rPr>
                <w:rFonts w:hint="eastAsia" w:ascii="Times New Roman" w:eastAsia="仿宋"/>
                <w:bCs/>
                <w:sz w:val="21"/>
                <w:szCs w:val="21"/>
              </w:rPr>
              <w:t>占比</w:t>
            </w:r>
          </w:p>
        </w:tc>
        <w:tc>
          <w:tcPr>
            <w:tcW w:w="499" w:type="pct"/>
            <w:vMerge w:val="restart"/>
            <w:vAlign w:val="center"/>
          </w:tcPr>
          <w:p w14:paraId="6C49B1E5">
            <w:pPr>
              <w:jc w:val="center"/>
              <w:rPr>
                <w:rFonts w:ascii="Times New Roman" w:eastAsia="仿宋"/>
                <w:bCs/>
                <w:sz w:val="21"/>
                <w:szCs w:val="21"/>
              </w:rPr>
            </w:pPr>
            <w:r>
              <w:rPr>
                <w:rFonts w:ascii="Times New Roman" w:hAnsi="仿宋" w:eastAsia="仿宋"/>
                <w:bCs/>
                <w:sz w:val="21"/>
                <w:szCs w:val="21"/>
              </w:rPr>
              <w:t>密度（</w:t>
            </w:r>
            <w:r>
              <w:rPr>
                <w:rFonts w:ascii="Times New Roman" w:eastAsia="仿宋"/>
                <w:bCs/>
                <w:sz w:val="21"/>
                <w:szCs w:val="21"/>
              </w:rPr>
              <w:t>g/L</w:t>
            </w:r>
            <w:r>
              <w:rPr>
                <w:rFonts w:ascii="Times New Roman" w:hAnsi="仿宋" w:eastAsia="仿宋"/>
                <w:bCs/>
                <w:sz w:val="21"/>
                <w:szCs w:val="21"/>
              </w:rPr>
              <w:t>）</w:t>
            </w:r>
          </w:p>
        </w:tc>
        <w:tc>
          <w:tcPr>
            <w:tcW w:w="524" w:type="pct"/>
            <w:vMerge w:val="restart"/>
            <w:vAlign w:val="center"/>
          </w:tcPr>
          <w:p w14:paraId="1B5690FB">
            <w:pPr>
              <w:jc w:val="center"/>
              <w:rPr>
                <w:rFonts w:ascii="Times New Roman" w:eastAsia="仿宋"/>
                <w:bCs/>
                <w:sz w:val="21"/>
                <w:szCs w:val="21"/>
              </w:rPr>
            </w:pPr>
            <w:r>
              <w:rPr>
                <w:rFonts w:ascii="Times New Roman" w:hAnsi="仿宋" w:eastAsia="仿宋"/>
                <w:bCs/>
                <w:sz w:val="21"/>
                <w:szCs w:val="21"/>
              </w:rPr>
              <w:t>施工状态下理论计算</w:t>
            </w:r>
            <w:r>
              <w:rPr>
                <w:rFonts w:ascii="Times New Roman" w:eastAsia="仿宋"/>
                <w:bCs/>
                <w:sz w:val="21"/>
                <w:szCs w:val="21"/>
              </w:rPr>
              <w:t>VOCs</w:t>
            </w:r>
            <w:r>
              <w:rPr>
                <w:rFonts w:ascii="Times New Roman" w:hAnsi="仿宋" w:eastAsia="仿宋"/>
                <w:bCs/>
                <w:sz w:val="21"/>
                <w:szCs w:val="21"/>
              </w:rPr>
              <w:t>含量（</w:t>
            </w:r>
            <w:r>
              <w:rPr>
                <w:rFonts w:ascii="Times New Roman" w:eastAsia="仿宋"/>
                <w:bCs/>
                <w:sz w:val="21"/>
                <w:szCs w:val="21"/>
              </w:rPr>
              <w:t>g/L</w:t>
            </w:r>
            <w:r>
              <w:rPr>
                <w:rFonts w:ascii="Times New Roman" w:hAnsi="仿宋" w:eastAsia="仿宋"/>
                <w:bCs/>
                <w:sz w:val="21"/>
                <w:szCs w:val="21"/>
              </w:rPr>
              <w:t>）</w:t>
            </w:r>
          </w:p>
        </w:tc>
        <w:tc>
          <w:tcPr>
            <w:tcW w:w="495" w:type="pct"/>
            <w:vMerge w:val="restart"/>
            <w:vAlign w:val="center"/>
          </w:tcPr>
          <w:p w14:paraId="2B45DE8D">
            <w:pPr>
              <w:jc w:val="center"/>
              <w:rPr>
                <w:rFonts w:ascii="Times New Roman" w:eastAsia="仿宋"/>
                <w:bCs/>
                <w:sz w:val="21"/>
                <w:szCs w:val="21"/>
              </w:rPr>
            </w:pPr>
            <w:r>
              <w:rPr>
                <w:rFonts w:ascii="Times New Roman" w:hAnsi="仿宋" w:eastAsia="仿宋"/>
                <w:bCs/>
                <w:sz w:val="21"/>
                <w:szCs w:val="21"/>
              </w:rPr>
              <w:t>施工状态下检测</w:t>
            </w:r>
            <w:r>
              <w:rPr>
                <w:rFonts w:ascii="Times New Roman" w:eastAsia="仿宋"/>
                <w:bCs/>
                <w:sz w:val="21"/>
                <w:szCs w:val="21"/>
              </w:rPr>
              <w:t>VOCs</w:t>
            </w:r>
            <w:r>
              <w:rPr>
                <w:rFonts w:ascii="Times New Roman" w:hAnsi="仿宋" w:eastAsia="仿宋"/>
                <w:bCs/>
                <w:sz w:val="21"/>
                <w:szCs w:val="21"/>
              </w:rPr>
              <w:t>含量（</w:t>
            </w:r>
            <w:r>
              <w:rPr>
                <w:rFonts w:ascii="Times New Roman" w:eastAsia="仿宋"/>
                <w:bCs/>
                <w:sz w:val="21"/>
                <w:szCs w:val="21"/>
              </w:rPr>
              <w:t>g/L</w:t>
            </w:r>
            <w:r>
              <w:rPr>
                <w:rFonts w:ascii="Times New Roman" w:hAnsi="仿宋" w:eastAsia="仿宋"/>
                <w:bCs/>
                <w:sz w:val="21"/>
                <w:szCs w:val="21"/>
              </w:rPr>
              <w:t>）</w:t>
            </w:r>
          </w:p>
        </w:tc>
        <w:tc>
          <w:tcPr>
            <w:tcW w:w="1459" w:type="pct"/>
            <w:gridSpan w:val="2"/>
            <w:vAlign w:val="center"/>
          </w:tcPr>
          <w:p w14:paraId="0AE588C1">
            <w:pPr>
              <w:jc w:val="center"/>
              <w:rPr>
                <w:rFonts w:ascii="Times New Roman" w:eastAsia="仿宋"/>
                <w:bCs/>
                <w:sz w:val="21"/>
                <w:szCs w:val="21"/>
              </w:rPr>
            </w:pPr>
            <w:r>
              <w:rPr>
                <w:rFonts w:hint="eastAsia" w:ascii="Times New Roman" w:eastAsia="仿宋"/>
                <w:bCs/>
                <w:sz w:val="21"/>
                <w:szCs w:val="21"/>
              </w:rPr>
              <w:t>标准</w:t>
            </w:r>
          </w:p>
        </w:tc>
      </w:tr>
      <w:tr w14:paraId="3BA9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246" w:type="pct"/>
            <w:vMerge w:val="continue"/>
            <w:vAlign w:val="center"/>
          </w:tcPr>
          <w:p w14:paraId="23ED1367">
            <w:pPr>
              <w:jc w:val="center"/>
              <w:rPr>
                <w:sz w:val="21"/>
                <w:szCs w:val="21"/>
              </w:rPr>
            </w:pPr>
          </w:p>
        </w:tc>
        <w:tc>
          <w:tcPr>
            <w:tcW w:w="246" w:type="pct"/>
            <w:vMerge w:val="continue"/>
            <w:vAlign w:val="center"/>
          </w:tcPr>
          <w:p w14:paraId="337CFF89">
            <w:pPr>
              <w:jc w:val="center"/>
              <w:rPr>
                <w:sz w:val="21"/>
                <w:szCs w:val="21"/>
              </w:rPr>
            </w:pPr>
          </w:p>
        </w:tc>
        <w:tc>
          <w:tcPr>
            <w:tcW w:w="498" w:type="pct"/>
            <w:vMerge w:val="continue"/>
            <w:vAlign w:val="center"/>
          </w:tcPr>
          <w:p w14:paraId="136D0E30">
            <w:pPr>
              <w:jc w:val="center"/>
              <w:rPr>
                <w:sz w:val="21"/>
                <w:szCs w:val="21"/>
              </w:rPr>
            </w:pPr>
          </w:p>
        </w:tc>
        <w:tc>
          <w:tcPr>
            <w:tcW w:w="546" w:type="pct"/>
            <w:vMerge w:val="continue"/>
            <w:vAlign w:val="center"/>
          </w:tcPr>
          <w:p w14:paraId="53B15E0A">
            <w:pPr>
              <w:jc w:val="center"/>
              <w:rPr>
                <w:sz w:val="21"/>
                <w:szCs w:val="21"/>
              </w:rPr>
            </w:pPr>
          </w:p>
        </w:tc>
        <w:tc>
          <w:tcPr>
            <w:tcW w:w="486" w:type="pct"/>
            <w:vMerge w:val="continue"/>
            <w:vAlign w:val="center"/>
          </w:tcPr>
          <w:p w14:paraId="61EC9A8F">
            <w:pPr>
              <w:jc w:val="center"/>
              <w:rPr>
                <w:sz w:val="21"/>
                <w:szCs w:val="21"/>
              </w:rPr>
            </w:pPr>
          </w:p>
        </w:tc>
        <w:tc>
          <w:tcPr>
            <w:tcW w:w="499" w:type="pct"/>
            <w:vMerge w:val="continue"/>
            <w:vAlign w:val="center"/>
          </w:tcPr>
          <w:p w14:paraId="18475746">
            <w:pPr>
              <w:jc w:val="center"/>
              <w:rPr>
                <w:sz w:val="21"/>
                <w:szCs w:val="21"/>
              </w:rPr>
            </w:pPr>
          </w:p>
        </w:tc>
        <w:tc>
          <w:tcPr>
            <w:tcW w:w="524" w:type="pct"/>
            <w:vMerge w:val="continue"/>
            <w:vAlign w:val="center"/>
          </w:tcPr>
          <w:p w14:paraId="6753E19D">
            <w:pPr>
              <w:jc w:val="center"/>
              <w:rPr>
                <w:sz w:val="21"/>
                <w:szCs w:val="21"/>
              </w:rPr>
            </w:pPr>
          </w:p>
        </w:tc>
        <w:tc>
          <w:tcPr>
            <w:tcW w:w="495" w:type="pct"/>
            <w:vMerge w:val="continue"/>
            <w:vAlign w:val="center"/>
          </w:tcPr>
          <w:p w14:paraId="6F09C029">
            <w:pPr>
              <w:jc w:val="center"/>
              <w:rPr>
                <w:sz w:val="21"/>
                <w:szCs w:val="21"/>
              </w:rPr>
            </w:pPr>
          </w:p>
        </w:tc>
        <w:tc>
          <w:tcPr>
            <w:tcW w:w="1459" w:type="pct"/>
            <w:gridSpan w:val="2"/>
            <w:vAlign w:val="center"/>
          </w:tcPr>
          <w:p w14:paraId="611814E0">
            <w:pPr>
              <w:jc w:val="center"/>
              <w:rPr>
                <w:rFonts w:ascii="Times New Roman" w:hAnsi="仿宋" w:eastAsia="仿宋"/>
                <w:bCs/>
                <w:sz w:val="21"/>
                <w:szCs w:val="21"/>
              </w:rPr>
            </w:pPr>
            <w:r>
              <w:rPr>
                <w:rFonts w:hint="eastAsia" w:ascii="Times New Roman" w:hAnsi="仿宋" w:eastAsia="仿宋"/>
                <w:bCs/>
                <w:sz w:val="21"/>
                <w:szCs w:val="21"/>
              </w:rPr>
              <w:t>挥发分含量</w:t>
            </w:r>
            <w:r>
              <w:rPr>
                <w:rFonts w:hint="eastAsia" w:ascii="Times New Roman" w:eastAsia="仿宋"/>
                <w:bCs/>
                <w:sz w:val="21"/>
                <w:szCs w:val="21"/>
                <w:lang w:bidi="ar"/>
              </w:rPr>
              <w:t>（</w:t>
            </w:r>
            <w:r>
              <w:rPr>
                <w:rFonts w:ascii="Times New Roman" w:eastAsia="仿宋"/>
                <w:bCs/>
                <w:sz w:val="21"/>
                <w:szCs w:val="21"/>
                <w:lang w:bidi="ar"/>
              </w:rPr>
              <w:t>g/L</w:t>
            </w:r>
            <w:r>
              <w:rPr>
                <w:rFonts w:hint="eastAsia" w:ascii="Times New Roman" w:eastAsia="仿宋"/>
                <w:bCs/>
                <w:sz w:val="21"/>
                <w:szCs w:val="21"/>
                <w:lang w:bidi="ar"/>
              </w:rPr>
              <w:t>）</w:t>
            </w:r>
          </w:p>
        </w:tc>
      </w:tr>
      <w:tr w14:paraId="2B7F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restart"/>
            <w:vAlign w:val="center"/>
          </w:tcPr>
          <w:p w14:paraId="4C0ED1FA">
            <w:pPr>
              <w:jc w:val="center"/>
              <w:rPr>
                <w:rFonts w:ascii="Times New Roman" w:eastAsia="仿宋"/>
                <w:sz w:val="21"/>
                <w:szCs w:val="21"/>
              </w:rPr>
            </w:pPr>
            <w:r>
              <w:rPr>
                <w:rFonts w:ascii="Times New Roman" w:hAnsi="仿宋" w:eastAsia="仿宋"/>
                <w:sz w:val="21"/>
                <w:szCs w:val="21"/>
              </w:rPr>
              <w:t>汽车铝制板</w:t>
            </w:r>
          </w:p>
        </w:tc>
        <w:tc>
          <w:tcPr>
            <w:tcW w:w="246" w:type="pct"/>
            <w:vMerge w:val="restart"/>
            <w:vAlign w:val="center"/>
          </w:tcPr>
          <w:p w14:paraId="18090504">
            <w:pPr>
              <w:widowControl/>
              <w:jc w:val="center"/>
              <w:rPr>
                <w:rFonts w:ascii="Times New Roman" w:eastAsia="仿宋"/>
                <w:sz w:val="21"/>
                <w:szCs w:val="21"/>
              </w:rPr>
            </w:pPr>
            <w:r>
              <w:rPr>
                <w:rFonts w:ascii="Times New Roman" w:hAnsi="仿宋" w:eastAsia="仿宋"/>
                <w:sz w:val="21"/>
                <w:szCs w:val="21"/>
              </w:rPr>
              <w:t>氟碳底漆</w:t>
            </w:r>
          </w:p>
        </w:tc>
        <w:tc>
          <w:tcPr>
            <w:tcW w:w="498" w:type="pct"/>
            <w:vMerge w:val="restart"/>
            <w:vAlign w:val="center"/>
          </w:tcPr>
          <w:p w14:paraId="4562D2DB">
            <w:pPr>
              <w:jc w:val="center"/>
              <w:rPr>
                <w:rFonts w:ascii="Times New Roman" w:eastAsia="仿宋"/>
                <w:sz w:val="21"/>
                <w:szCs w:val="21"/>
              </w:rPr>
            </w:pPr>
            <w:r>
              <w:rPr>
                <w:rFonts w:hint="eastAsia" w:ascii="Times New Roman" w:eastAsia="仿宋"/>
                <w:sz w:val="21"/>
                <w:szCs w:val="21"/>
              </w:rPr>
              <w:t>22.875</w:t>
            </w:r>
          </w:p>
        </w:tc>
        <w:tc>
          <w:tcPr>
            <w:tcW w:w="546" w:type="pct"/>
            <w:vAlign w:val="center"/>
          </w:tcPr>
          <w:p w14:paraId="59812A8E">
            <w:pPr>
              <w:autoSpaceDE w:val="0"/>
              <w:autoSpaceDN w:val="0"/>
              <w:adjustRightInd w:val="0"/>
              <w:jc w:val="center"/>
              <w:rPr>
                <w:rFonts w:ascii="Times New Roman" w:eastAsia="仿宋"/>
                <w:b/>
                <w:bCs/>
                <w:sz w:val="21"/>
                <w:szCs w:val="21"/>
              </w:rPr>
            </w:pPr>
            <w:r>
              <w:rPr>
                <w:rFonts w:ascii="Times New Roman" w:hAnsi="仿宋" w:eastAsia="仿宋"/>
                <w:sz w:val="21"/>
                <w:szCs w:val="21"/>
              </w:rPr>
              <w:t>丙烯酸树脂</w:t>
            </w:r>
          </w:p>
        </w:tc>
        <w:tc>
          <w:tcPr>
            <w:tcW w:w="486" w:type="pct"/>
            <w:vAlign w:val="center"/>
          </w:tcPr>
          <w:p w14:paraId="29CD457A">
            <w:pPr>
              <w:autoSpaceDE w:val="0"/>
              <w:autoSpaceDN w:val="0"/>
              <w:adjustRightInd w:val="0"/>
              <w:jc w:val="center"/>
              <w:rPr>
                <w:rFonts w:ascii="Times New Roman" w:eastAsia="仿宋"/>
                <w:b/>
                <w:bCs/>
                <w:sz w:val="21"/>
                <w:szCs w:val="21"/>
              </w:rPr>
            </w:pPr>
            <w:r>
              <w:rPr>
                <w:rFonts w:ascii="Times New Roman" w:eastAsia="仿宋"/>
                <w:sz w:val="21"/>
                <w:szCs w:val="21"/>
              </w:rPr>
              <w:t>15%</w:t>
            </w:r>
          </w:p>
        </w:tc>
        <w:tc>
          <w:tcPr>
            <w:tcW w:w="499" w:type="pct"/>
            <w:vMerge w:val="restart"/>
            <w:vAlign w:val="center"/>
          </w:tcPr>
          <w:p w14:paraId="2224F328">
            <w:pPr>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004</w:t>
            </w:r>
          </w:p>
        </w:tc>
        <w:tc>
          <w:tcPr>
            <w:tcW w:w="524" w:type="pct"/>
            <w:vMerge w:val="restart"/>
            <w:vAlign w:val="center"/>
          </w:tcPr>
          <w:p w14:paraId="22816063">
            <w:pPr>
              <w:jc w:val="center"/>
              <w:rPr>
                <w:rFonts w:ascii="Times New Roman" w:eastAsia="仿宋"/>
                <w:sz w:val="21"/>
                <w:szCs w:val="21"/>
              </w:rPr>
            </w:pPr>
            <w:r>
              <w:rPr>
                <w:rFonts w:hint="eastAsia" w:ascii="Times New Roman" w:eastAsia="仿宋"/>
                <w:sz w:val="21"/>
                <w:szCs w:val="21"/>
              </w:rPr>
              <w:t>6</w:t>
            </w:r>
            <w:r>
              <w:rPr>
                <w:rFonts w:ascii="Times New Roman" w:eastAsia="仿宋"/>
                <w:sz w:val="21"/>
                <w:szCs w:val="21"/>
              </w:rPr>
              <w:t>62.64</w:t>
            </w:r>
          </w:p>
        </w:tc>
        <w:tc>
          <w:tcPr>
            <w:tcW w:w="495" w:type="pct"/>
            <w:vMerge w:val="restart"/>
            <w:vAlign w:val="center"/>
          </w:tcPr>
          <w:p w14:paraId="7754241B">
            <w:pPr>
              <w:jc w:val="center"/>
              <w:rPr>
                <w:rFonts w:ascii="Times New Roman" w:eastAsia="仿宋"/>
                <w:sz w:val="21"/>
                <w:szCs w:val="21"/>
              </w:rPr>
            </w:pPr>
            <w:r>
              <w:rPr>
                <w:rFonts w:hint="eastAsia" w:ascii="Times New Roman" w:eastAsia="仿宋"/>
                <w:sz w:val="21"/>
                <w:szCs w:val="21"/>
              </w:rPr>
              <w:t>627</w:t>
            </w:r>
          </w:p>
        </w:tc>
        <w:tc>
          <w:tcPr>
            <w:tcW w:w="494" w:type="pct"/>
            <w:vMerge w:val="restart"/>
            <w:vAlign w:val="center"/>
          </w:tcPr>
          <w:p w14:paraId="6931E3FF">
            <w:pPr>
              <w:widowControl/>
              <w:adjustRightInd w:val="0"/>
              <w:snapToGrid w:val="0"/>
              <w:ind w:left="-120" w:leftChars="-50" w:right="-120" w:rightChars="-50"/>
              <w:jc w:val="center"/>
              <w:rPr>
                <w:rFonts w:ascii="Times New Roman" w:eastAsia="仿宋"/>
                <w:sz w:val="21"/>
                <w:szCs w:val="21"/>
              </w:rPr>
            </w:pPr>
            <w:r>
              <w:rPr>
                <w:rFonts w:ascii="Times New Roman" w:eastAsia="仿宋"/>
                <w:sz w:val="21"/>
                <w:szCs w:val="21"/>
                <w:lang w:bidi="ar"/>
              </w:rPr>
              <w:t>670</w:t>
            </w:r>
          </w:p>
        </w:tc>
        <w:tc>
          <w:tcPr>
            <w:tcW w:w="965" w:type="pct"/>
            <w:vMerge w:val="restart"/>
            <w:vAlign w:val="center"/>
          </w:tcPr>
          <w:p w14:paraId="26FA86C7">
            <w:pPr>
              <w:widowControl/>
              <w:adjustRightInd w:val="0"/>
              <w:snapToGrid w:val="0"/>
              <w:ind w:left="-120" w:leftChars="-50" w:right="-120" w:rightChars="-50"/>
              <w:jc w:val="center"/>
              <w:rPr>
                <w:rFonts w:ascii="Times New Roman" w:eastAsia="仿宋"/>
                <w:sz w:val="21"/>
                <w:szCs w:val="21"/>
              </w:rPr>
            </w:pPr>
            <w:r>
              <w:rPr>
                <w:rFonts w:ascii="Times New Roman" w:eastAsia="仿宋"/>
                <w:sz w:val="21"/>
                <w:szCs w:val="21"/>
              </w:rPr>
              <w:t>GB24409-2020</w:t>
            </w:r>
            <w:r>
              <w:rPr>
                <w:rFonts w:hint="eastAsia" w:ascii="Times New Roman" w:eastAsia="仿宋"/>
                <w:sz w:val="21"/>
                <w:szCs w:val="21"/>
              </w:rPr>
              <w:t>中车辆用零部件涂料中金属件用涂料底漆标准</w:t>
            </w:r>
          </w:p>
        </w:tc>
      </w:tr>
      <w:tr w14:paraId="2839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Merge w:val="continue"/>
            <w:vAlign w:val="center"/>
          </w:tcPr>
          <w:p w14:paraId="4C2A4BEF">
            <w:pPr>
              <w:jc w:val="center"/>
              <w:rPr>
                <w:rFonts w:ascii="Times New Roman" w:eastAsia="仿宋"/>
                <w:sz w:val="21"/>
                <w:szCs w:val="21"/>
              </w:rPr>
            </w:pPr>
          </w:p>
        </w:tc>
        <w:tc>
          <w:tcPr>
            <w:tcW w:w="246" w:type="pct"/>
            <w:vMerge w:val="continue"/>
            <w:vAlign w:val="center"/>
          </w:tcPr>
          <w:p w14:paraId="50BAFA3B">
            <w:pPr>
              <w:widowControl/>
              <w:jc w:val="center"/>
              <w:rPr>
                <w:rFonts w:ascii="Times New Roman" w:eastAsia="仿宋"/>
                <w:sz w:val="21"/>
                <w:szCs w:val="21"/>
              </w:rPr>
            </w:pPr>
          </w:p>
        </w:tc>
        <w:tc>
          <w:tcPr>
            <w:tcW w:w="498" w:type="pct"/>
            <w:vMerge w:val="continue"/>
            <w:vAlign w:val="center"/>
          </w:tcPr>
          <w:p w14:paraId="6267750D">
            <w:pPr>
              <w:jc w:val="center"/>
              <w:rPr>
                <w:rFonts w:ascii="Times New Roman" w:eastAsia="仿宋"/>
                <w:sz w:val="21"/>
                <w:szCs w:val="21"/>
              </w:rPr>
            </w:pPr>
          </w:p>
        </w:tc>
        <w:tc>
          <w:tcPr>
            <w:tcW w:w="546" w:type="pct"/>
            <w:vAlign w:val="center"/>
          </w:tcPr>
          <w:p w14:paraId="31B803B8">
            <w:pPr>
              <w:autoSpaceDE w:val="0"/>
              <w:autoSpaceDN w:val="0"/>
              <w:adjustRightInd w:val="0"/>
              <w:jc w:val="center"/>
              <w:rPr>
                <w:rFonts w:ascii="Times New Roman" w:eastAsia="仿宋"/>
                <w:sz w:val="21"/>
                <w:szCs w:val="21"/>
              </w:rPr>
            </w:pPr>
            <w:r>
              <w:rPr>
                <w:rFonts w:ascii="Times New Roman" w:hAnsi="仿宋" w:eastAsia="仿宋"/>
                <w:sz w:val="21"/>
                <w:szCs w:val="21"/>
              </w:rPr>
              <w:t>二氧化钛</w:t>
            </w:r>
          </w:p>
        </w:tc>
        <w:tc>
          <w:tcPr>
            <w:tcW w:w="486" w:type="pct"/>
            <w:vAlign w:val="center"/>
          </w:tcPr>
          <w:p w14:paraId="2F26036E">
            <w:pPr>
              <w:autoSpaceDE w:val="0"/>
              <w:autoSpaceDN w:val="0"/>
              <w:adjustRightInd w:val="0"/>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29CF741E">
            <w:pPr>
              <w:jc w:val="center"/>
              <w:rPr>
                <w:rFonts w:ascii="Times New Roman" w:eastAsia="仿宋"/>
                <w:sz w:val="21"/>
                <w:szCs w:val="21"/>
              </w:rPr>
            </w:pPr>
          </w:p>
        </w:tc>
        <w:tc>
          <w:tcPr>
            <w:tcW w:w="524" w:type="pct"/>
            <w:vMerge w:val="continue"/>
            <w:vAlign w:val="center"/>
          </w:tcPr>
          <w:p w14:paraId="60F0310E">
            <w:pPr>
              <w:jc w:val="center"/>
              <w:rPr>
                <w:rFonts w:ascii="Times New Roman" w:eastAsia="仿宋"/>
                <w:sz w:val="21"/>
                <w:szCs w:val="21"/>
              </w:rPr>
            </w:pPr>
          </w:p>
        </w:tc>
        <w:tc>
          <w:tcPr>
            <w:tcW w:w="495" w:type="pct"/>
            <w:vMerge w:val="continue"/>
            <w:vAlign w:val="center"/>
          </w:tcPr>
          <w:p w14:paraId="06F3C30C">
            <w:pPr>
              <w:jc w:val="center"/>
              <w:rPr>
                <w:rFonts w:ascii="Times New Roman" w:eastAsia="仿宋"/>
                <w:sz w:val="21"/>
                <w:szCs w:val="21"/>
              </w:rPr>
            </w:pPr>
          </w:p>
        </w:tc>
        <w:tc>
          <w:tcPr>
            <w:tcW w:w="494" w:type="pct"/>
            <w:vMerge w:val="continue"/>
            <w:vAlign w:val="center"/>
          </w:tcPr>
          <w:p w14:paraId="3EB496E4">
            <w:pPr>
              <w:jc w:val="center"/>
              <w:rPr>
                <w:rFonts w:ascii="Times New Roman" w:eastAsia="仿宋"/>
                <w:sz w:val="21"/>
                <w:szCs w:val="21"/>
              </w:rPr>
            </w:pPr>
          </w:p>
        </w:tc>
        <w:tc>
          <w:tcPr>
            <w:tcW w:w="965" w:type="pct"/>
            <w:vMerge w:val="continue"/>
            <w:vAlign w:val="center"/>
          </w:tcPr>
          <w:p w14:paraId="56FAFA0A">
            <w:pPr>
              <w:jc w:val="center"/>
              <w:rPr>
                <w:rFonts w:ascii="Times New Roman" w:eastAsia="仿宋"/>
                <w:sz w:val="21"/>
                <w:szCs w:val="21"/>
              </w:rPr>
            </w:pPr>
          </w:p>
        </w:tc>
      </w:tr>
      <w:tr w14:paraId="242A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20FD3B2E">
            <w:pPr>
              <w:jc w:val="center"/>
              <w:rPr>
                <w:rFonts w:ascii="Times New Roman" w:eastAsia="仿宋"/>
                <w:sz w:val="21"/>
                <w:szCs w:val="21"/>
              </w:rPr>
            </w:pPr>
          </w:p>
        </w:tc>
        <w:tc>
          <w:tcPr>
            <w:tcW w:w="246" w:type="pct"/>
            <w:vMerge w:val="continue"/>
            <w:vAlign w:val="center"/>
          </w:tcPr>
          <w:p w14:paraId="13F8FD7E">
            <w:pPr>
              <w:widowControl/>
              <w:jc w:val="center"/>
              <w:rPr>
                <w:rFonts w:ascii="Times New Roman" w:eastAsia="仿宋"/>
                <w:sz w:val="21"/>
                <w:szCs w:val="21"/>
              </w:rPr>
            </w:pPr>
          </w:p>
        </w:tc>
        <w:tc>
          <w:tcPr>
            <w:tcW w:w="498" w:type="pct"/>
            <w:vMerge w:val="continue"/>
            <w:vAlign w:val="center"/>
          </w:tcPr>
          <w:p w14:paraId="0CD31CDC">
            <w:pPr>
              <w:jc w:val="center"/>
              <w:rPr>
                <w:rFonts w:ascii="Times New Roman" w:eastAsia="仿宋"/>
                <w:sz w:val="21"/>
                <w:szCs w:val="21"/>
              </w:rPr>
            </w:pPr>
          </w:p>
        </w:tc>
        <w:tc>
          <w:tcPr>
            <w:tcW w:w="546" w:type="pct"/>
            <w:vAlign w:val="center"/>
          </w:tcPr>
          <w:p w14:paraId="27E9337A">
            <w:pPr>
              <w:autoSpaceDE w:val="0"/>
              <w:autoSpaceDN w:val="0"/>
              <w:adjustRightInd w:val="0"/>
              <w:jc w:val="center"/>
              <w:rPr>
                <w:rFonts w:ascii="Times New Roman" w:eastAsia="仿宋"/>
                <w:sz w:val="21"/>
                <w:szCs w:val="21"/>
              </w:rPr>
            </w:pPr>
            <w:r>
              <w:rPr>
                <w:rFonts w:ascii="Times New Roman" w:hAnsi="仿宋" w:eastAsia="仿宋"/>
                <w:sz w:val="21"/>
                <w:szCs w:val="21"/>
              </w:rPr>
              <w:t>重晶石粉</w:t>
            </w:r>
          </w:p>
        </w:tc>
        <w:tc>
          <w:tcPr>
            <w:tcW w:w="486" w:type="pct"/>
            <w:vAlign w:val="center"/>
          </w:tcPr>
          <w:p w14:paraId="2CFD8221">
            <w:pPr>
              <w:autoSpaceDE w:val="0"/>
              <w:autoSpaceDN w:val="0"/>
              <w:adjustRightInd w:val="0"/>
              <w:jc w:val="center"/>
              <w:rPr>
                <w:rFonts w:ascii="Times New Roman" w:eastAsia="仿宋"/>
                <w:sz w:val="21"/>
                <w:szCs w:val="21"/>
              </w:rPr>
            </w:pPr>
            <w:r>
              <w:rPr>
                <w:rFonts w:ascii="Times New Roman" w:eastAsia="仿宋"/>
                <w:sz w:val="21"/>
                <w:szCs w:val="21"/>
              </w:rPr>
              <w:t>15%</w:t>
            </w:r>
          </w:p>
        </w:tc>
        <w:tc>
          <w:tcPr>
            <w:tcW w:w="499" w:type="pct"/>
            <w:vMerge w:val="continue"/>
            <w:vAlign w:val="center"/>
          </w:tcPr>
          <w:p w14:paraId="20284DBF">
            <w:pPr>
              <w:jc w:val="center"/>
              <w:rPr>
                <w:rFonts w:ascii="Times New Roman" w:eastAsia="仿宋"/>
                <w:sz w:val="21"/>
                <w:szCs w:val="21"/>
              </w:rPr>
            </w:pPr>
          </w:p>
        </w:tc>
        <w:tc>
          <w:tcPr>
            <w:tcW w:w="524" w:type="pct"/>
            <w:vMerge w:val="continue"/>
            <w:vAlign w:val="center"/>
          </w:tcPr>
          <w:p w14:paraId="4759F631">
            <w:pPr>
              <w:jc w:val="center"/>
              <w:rPr>
                <w:rFonts w:ascii="Times New Roman" w:eastAsia="仿宋"/>
                <w:sz w:val="21"/>
                <w:szCs w:val="21"/>
              </w:rPr>
            </w:pPr>
          </w:p>
        </w:tc>
        <w:tc>
          <w:tcPr>
            <w:tcW w:w="495" w:type="pct"/>
            <w:vMerge w:val="continue"/>
            <w:vAlign w:val="center"/>
          </w:tcPr>
          <w:p w14:paraId="6DE9A9AF">
            <w:pPr>
              <w:jc w:val="center"/>
              <w:rPr>
                <w:rFonts w:ascii="Times New Roman" w:eastAsia="仿宋"/>
                <w:sz w:val="21"/>
                <w:szCs w:val="21"/>
              </w:rPr>
            </w:pPr>
          </w:p>
        </w:tc>
        <w:tc>
          <w:tcPr>
            <w:tcW w:w="494" w:type="pct"/>
            <w:vMerge w:val="continue"/>
            <w:vAlign w:val="center"/>
          </w:tcPr>
          <w:p w14:paraId="60564C23">
            <w:pPr>
              <w:jc w:val="center"/>
              <w:rPr>
                <w:rFonts w:ascii="Times New Roman" w:eastAsia="仿宋"/>
                <w:sz w:val="21"/>
                <w:szCs w:val="21"/>
              </w:rPr>
            </w:pPr>
          </w:p>
        </w:tc>
        <w:tc>
          <w:tcPr>
            <w:tcW w:w="965" w:type="pct"/>
            <w:vMerge w:val="continue"/>
            <w:vAlign w:val="center"/>
          </w:tcPr>
          <w:p w14:paraId="42412CC4">
            <w:pPr>
              <w:jc w:val="center"/>
              <w:rPr>
                <w:rFonts w:ascii="Times New Roman" w:eastAsia="仿宋"/>
                <w:sz w:val="21"/>
                <w:szCs w:val="21"/>
              </w:rPr>
            </w:pPr>
          </w:p>
        </w:tc>
      </w:tr>
      <w:tr w14:paraId="478E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54EA41D1">
            <w:pPr>
              <w:jc w:val="center"/>
              <w:rPr>
                <w:rFonts w:ascii="Times New Roman" w:eastAsia="仿宋"/>
                <w:sz w:val="21"/>
                <w:szCs w:val="21"/>
              </w:rPr>
            </w:pPr>
          </w:p>
        </w:tc>
        <w:tc>
          <w:tcPr>
            <w:tcW w:w="246" w:type="pct"/>
            <w:vMerge w:val="continue"/>
            <w:vAlign w:val="center"/>
          </w:tcPr>
          <w:p w14:paraId="56BFFD40">
            <w:pPr>
              <w:widowControl/>
              <w:jc w:val="center"/>
              <w:rPr>
                <w:rFonts w:ascii="Times New Roman" w:eastAsia="仿宋"/>
                <w:sz w:val="21"/>
                <w:szCs w:val="21"/>
              </w:rPr>
            </w:pPr>
          </w:p>
        </w:tc>
        <w:tc>
          <w:tcPr>
            <w:tcW w:w="498" w:type="pct"/>
            <w:vMerge w:val="continue"/>
            <w:vAlign w:val="center"/>
          </w:tcPr>
          <w:p w14:paraId="42F5DEEB">
            <w:pPr>
              <w:jc w:val="center"/>
              <w:rPr>
                <w:rFonts w:ascii="Times New Roman" w:eastAsia="仿宋"/>
                <w:sz w:val="21"/>
                <w:szCs w:val="21"/>
              </w:rPr>
            </w:pPr>
          </w:p>
        </w:tc>
        <w:tc>
          <w:tcPr>
            <w:tcW w:w="546" w:type="pct"/>
            <w:vAlign w:val="center"/>
          </w:tcPr>
          <w:p w14:paraId="606967C6">
            <w:pPr>
              <w:autoSpaceDE w:val="0"/>
              <w:autoSpaceDN w:val="0"/>
              <w:adjustRightInd w:val="0"/>
              <w:jc w:val="center"/>
              <w:rPr>
                <w:rFonts w:ascii="Times New Roman" w:eastAsia="仿宋"/>
                <w:sz w:val="21"/>
                <w:szCs w:val="21"/>
              </w:rPr>
            </w:pPr>
            <w:r>
              <w:rPr>
                <w:rFonts w:ascii="Times New Roman" w:eastAsia="仿宋"/>
                <w:sz w:val="21"/>
                <w:szCs w:val="21"/>
              </w:rPr>
              <w:t>PVDF</w:t>
            </w:r>
            <w:r>
              <w:rPr>
                <w:rFonts w:ascii="Times New Roman" w:hAnsi="仿宋" w:eastAsia="仿宋"/>
                <w:sz w:val="21"/>
                <w:szCs w:val="21"/>
              </w:rPr>
              <w:t>树脂</w:t>
            </w:r>
          </w:p>
        </w:tc>
        <w:tc>
          <w:tcPr>
            <w:tcW w:w="486" w:type="pct"/>
            <w:vAlign w:val="center"/>
          </w:tcPr>
          <w:p w14:paraId="403B23B2">
            <w:pPr>
              <w:autoSpaceDE w:val="0"/>
              <w:autoSpaceDN w:val="0"/>
              <w:adjustRightInd w:val="0"/>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1C208A0B">
            <w:pPr>
              <w:jc w:val="center"/>
              <w:rPr>
                <w:rFonts w:ascii="Times New Roman" w:eastAsia="仿宋"/>
                <w:sz w:val="21"/>
                <w:szCs w:val="21"/>
              </w:rPr>
            </w:pPr>
          </w:p>
        </w:tc>
        <w:tc>
          <w:tcPr>
            <w:tcW w:w="524" w:type="pct"/>
            <w:vMerge w:val="continue"/>
            <w:vAlign w:val="center"/>
          </w:tcPr>
          <w:p w14:paraId="76E808E1">
            <w:pPr>
              <w:jc w:val="center"/>
              <w:rPr>
                <w:rFonts w:ascii="Times New Roman" w:eastAsia="仿宋"/>
                <w:sz w:val="21"/>
                <w:szCs w:val="21"/>
              </w:rPr>
            </w:pPr>
          </w:p>
        </w:tc>
        <w:tc>
          <w:tcPr>
            <w:tcW w:w="495" w:type="pct"/>
            <w:vMerge w:val="continue"/>
            <w:vAlign w:val="center"/>
          </w:tcPr>
          <w:p w14:paraId="573BFD58">
            <w:pPr>
              <w:jc w:val="center"/>
              <w:rPr>
                <w:rFonts w:ascii="Times New Roman" w:eastAsia="仿宋"/>
                <w:sz w:val="21"/>
                <w:szCs w:val="21"/>
              </w:rPr>
            </w:pPr>
          </w:p>
        </w:tc>
        <w:tc>
          <w:tcPr>
            <w:tcW w:w="494" w:type="pct"/>
            <w:vMerge w:val="continue"/>
            <w:vAlign w:val="center"/>
          </w:tcPr>
          <w:p w14:paraId="75757D65">
            <w:pPr>
              <w:jc w:val="center"/>
              <w:rPr>
                <w:rFonts w:ascii="Times New Roman" w:eastAsia="仿宋"/>
                <w:sz w:val="21"/>
                <w:szCs w:val="21"/>
              </w:rPr>
            </w:pPr>
          </w:p>
        </w:tc>
        <w:tc>
          <w:tcPr>
            <w:tcW w:w="965" w:type="pct"/>
            <w:vMerge w:val="continue"/>
            <w:vAlign w:val="center"/>
          </w:tcPr>
          <w:p w14:paraId="2BC04928">
            <w:pPr>
              <w:jc w:val="center"/>
              <w:rPr>
                <w:rFonts w:ascii="Times New Roman" w:eastAsia="仿宋"/>
                <w:sz w:val="21"/>
                <w:szCs w:val="21"/>
              </w:rPr>
            </w:pPr>
          </w:p>
        </w:tc>
      </w:tr>
      <w:tr w14:paraId="7910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06CE9BE9">
            <w:pPr>
              <w:jc w:val="center"/>
              <w:rPr>
                <w:rFonts w:ascii="Times New Roman" w:eastAsia="仿宋"/>
                <w:sz w:val="21"/>
                <w:szCs w:val="21"/>
              </w:rPr>
            </w:pPr>
          </w:p>
        </w:tc>
        <w:tc>
          <w:tcPr>
            <w:tcW w:w="246" w:type="pct"/>
            <w:vMerge w:val="continue"/>
            <w:vAlign w:val="center"/>
          </w:tcPr>
          <w:p w14:paraId="306BC6D3">
            <w:pPr>
              <w:widowControl/>
              <w:jc w:val="center"/>
              <w:rPr>
                <w:rFonts w:ascii="Times New Roman" w:eastAsia="仿宋"/>
                <w:sz w:val="21"/>
                <w:szCs w:val="21"/>
              </w:rPr>
            </w:pPr>
          </w:p>
        </w:tc>
        <w:tc>
          <w:tcPr>
            <w:tcW w:w="498" w:type="pct"/>
            <w:vMerge w:val="continue"/>
            <w:vAlign w:val="center"/>
          </w:tcPr>
          <w:p w14:paraId="495CBD3E">
            <w:pPr>
              <w:jc w:val="center"/>
              <w:rPr>
                <w:rFonts w:ascii="Times New Roman" w:eastAsia="仿宋"/>
                <w:sz w:val="21"/>
                <w:szCs w:val="21"/>
              </w:rPr>
            </w:pPr>
          </w:p>
        </w:tc>
        <w:tc>
          <w:tcPr>
            <w:tcW w:w="546" w:type="pct"/>
            <w:vAlign w:val="center"/>
          </w:tcPr>
          <w:p w14:paraId="1FFC9718">
            <w:pPr>
              <w:autoSpaceDE w:val="0"/>
              <w:autoSpaceDN w:val="0"/>
              <w:adjustRightInd w:val="0"/>
              <w:jc w:val="center"/>
              <w:rPr>
                <w:rFonts w:ascii="Times New Roman" w:eastAsia="仿宋"/>
                <w:sz w:val="21"/>
                <w:szCs w:val="21"/>
              </w:rPr>
            </w:pPr>
            <w:r>
              <w:rPr>
                <w:rFonts w:ascii="Times New Roman" w:hAnsi="仿宋" w:eastAsia="仿宋"/>
                <w:sz w:val="21"/>
                <w:szCs w:val="21"/>
              </w:rPr>
              <w:t>二价酸酯</w:t>
            </w:r>
          </w:p>
        </w:tc>
        <w:tc>
          <w:tcPr>
            <w:tcW w:w="486" w:type="pct"/>
            <w:vAlign w:val="center"/>
          </w:tcPr>
          <w:p w14:paraId="73D837A9">
            <w:pPr>
              <w:autoSpaceDE w:val="0"/>
              <w:autoSpaceDN w:val="0"/>
              <w:adjustRightInd w:val="0"/>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44234D99">
            <w:pPr>
              <w:jc w:val="center"/>
              <w:rPr>
                <w:rFonts w:ascii="Times New Roman" w:eastAsia="仿宋"/>
                <w:sz w:val="21"/>
                <w:szCs w:val="21"/>
              </w:rPr>
            </w:pPr>
          </w:p>
        </w:tc>
        <w:tc>
          <w:tcPr>
            <w:tcW w:w="524" w:type="pct"/>
            <w:vMerge w:val="continue"/>
            <w:vAlign w:val="center"/>
          </w:tcPr>
          <w:p w14:paraId="577A77C9">
            <w:pPr>
              <w:jc w:val="center"/>
              <w:rPr>
                <w:rFonts w:ascii="Times New Roman" w:eastAsia="仿宋"/>
                <w:sz w:val="21"/>
                <w:szCs w:val="21"/>
              </w:rPr>
            </w:pPr>
          </w:p>
        </w:tc>
        <w:tc>
          <w:tcPr>
            <w:tcW w:w="495" w:type="pct"/>
            <w:vMerge w:val="continue"/>
            <w:vAlign w:val="center"/>
          </w:tcPr>
          <w:p w14:paraId="49714C58">
            <w:pPr>
              <w:jc w:val="center"/>
              <w:rPr>
                <w:rFonts w:ascii="Times New Roman" w:eastAsia="仿宋"/>
                <w:sz w:val="21"/>
                <w:szCs w:val="21"/>
              </w:rPr>
            </w:pPr>
          </w:p>
        </w:tc>
        <w:tc>
          <w:tcPr>
            <w:tcW w:w="494" w:type="pct"/>
            <w:vMerge w:val="restart"/>
            <w:vAlign w:val="center"/>
          </w:tcPr>
          <w:p w14:paraId="1861840E">
            <w:pPr>
              <w:jc w:val="center"/>
              <w:rPr>
                <w:rFonts w:ascii="Times New Roman" w:eastAsia="仿宋"/>
                <w:sz w:val="21"/>
                <w:szCs w:val="21"/>
              </w:rPr>
            </w:pPr>
            <w:r>
              <w:rPr>
                <w:rFonts w:ascii="Times New Roman" w:eastAsia="仿宋"/>
                <w:sz w:val="21"/>
                <w:szCs w:val="21"/>
                <w:lang w:bidi="ar"/>
              </w:rPr>
              <w:t>690</w:t>
            </w:r>
          </w:p>
        </w:tc>
        <w:tc>
          <w:tcPr>
            <w:tcW w:w="965" w:type="pct"/>
            <w:vMerge w:val="restart"/>
            <w:vAlign w:val="center"/>
          </w:tcPr>
          <w:p w14:paraId="24B02DDA">
            <w:pPr>
              <w:widowControl/>
              <w:adjustRightInd w:val="0"/>
              <w:snapToGrid w:val="0"/>
              <w:ind w:left="-120" w:leftChars="-50" w:right="-120" w:rightChars="-50"/>
              <w:jc w:val="center"/>
              <w:rPr>
                <w:rFonts w:ascii="Times New Roman" w:eastAsia="仿宋"/>
                <w:sz w:val="21"/>
                <w:szCs w:val="21"/>
              </w:rPr>
            </w:pPr>
            <w:r>
              <w:rPr>
                <w:rFonts w:hint="eastAsia" w:ascii="Times New Roman" w:eastAsia="仿宋"/>
                <w:sz w:val="21"/>
                <w:szCs w:val="21"/>
              </w:rPr>
              <w:t>GB32/T3500-2019中整车涂料中底漆标准</w:t>
            </w:r>
          </w:p>
        </w:tc>
      </w:tr>
      <w:tr w14:paraId="5ABE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5597A3BB">
            <w:pPr>
              <w:jc w:val="center"/>
              <w:rPr>
                <w:rFonts w:ascii="Times New Roman" w:eastAsia="仿宋"/>
                <w:sz w:val="21"/>
                <w:szCs w:val="21"/>
              </w:rPr>
            </w:pPr>
          </w:p>
        </w:tc>
        <w:tc>
          <w:tcPr>
            <w:tcW w:w="246" w:type="pct"/>
            <w:vMerge w:val="continue"/>
            <w:vAlign w:val="center"/>
          </w:tcPr>
          <w:p w14:paraId="492B86D1">
            <w:pPr>
              <w:widowControl/>
              <w:jc w:val="center"/>
              <w:rPr>
                <w:rFonts w:ascii="Times New Roman" w:eastAsia="仿宋"/>
                <w:sz w:val="21"/>
                <w:szCs w:val="21"/>
              </w:rPr>
            </w:pPr>
          </w:p>
        </w:tc>
        <w:tc>
          <w:tcPr>
            <w:tcW w:w="498" w:type="pct"/>
            <w:vMerge w:val="continue"/>
            <w:vAlign w:val="center"/>
          </w:tcPr>
          <w:p w14:paraId="1591B331">
            <w:pPr>
              <w:jc w:val="center"/>
              <w:rPr>
                <w:rFonts w:ascii="Times New Roman" w:eastAsia="仿宋"/>
                <w:sz w:val="21"/>
                <w:szCs w:val="21"/>
              </w:rPr>
            </w:pPr>
          </w:p>
        </w:tc>
        <w:tc>
          <w:tcPr>
            <w:tcW w:w="546" w:type="pct"/>
            <w:vAlign w:val="center"/>
          </w:tcPr>
          <w:p w14:paraId="00D196B3">
            <w:pPr>
              <w:autoSpaceDE w:val="0"/>
              <w:autoSpaceDN w:val="0"/>
              <w:adjustRightInd w:val="0"/>
              <w:jc w:val="center"/>
              <w:rPr>
                <w:rFonts w:ascii="Times New Roman" w:eastAsia="仿宋"/>
                <w:sz w:val="21"/>
                <w:szCs w:val="21"/>
              </w:rPr>
            </w:pPr>
            <w:r>
              <w:rPr>
                <w:rFonts w:ascii="Times New Roman" w:hAnsi="仿宋" w:eastAsia="仿宋"/>
                <w:sz w:val="21"/>
                <w:szCs w:val="21"/>
              </w:rPr>
              <w:t>助剂</w:t>
            </w:r>
          </w:p>
        </w:tc>
        <w:tc>
          <w:tcPr>
            <w:tcW w:w="486" w:type="pct"/>
            <w:vAlign w:val="center"/>
          </w:tcPr>
          <w:p w14:paraId="5AFB9F40">
            <w:pPr>
              <w:autoSpaceDE w:val="0"/>
              <w:autoSpaceDN w:val="0"/>
              <w:adjustRightInd w:val="0"/>
              <w:jc w:val="center"/>
              <w:rPr>
                <w:rFonts w:ascii="Times New Roman" w:eastAsia="仿宋"/>
                <w:sz w:val="21"/>
                <w:szCs w:val="21"/>
              </w:rPr>
            </w:pPr>
            <w:r>
              <w:rPr>
                <w:rFonts w:ascii="Times New Roman" w:eastAsia="仿宋"/>
                <w:sz w:val="21"/>
                <w:szCs w:val="21"/>
              </w:rPr>
              <w:t>3%</w:t>
            </w:r>
          </w:p>
        </w:tc>
        <w:tc>
          <w:tcPr>
            <w:tcW w:w="499" w:type="pct"/>
            <w:vMerge w:val="continue"/>
            <w:vAlign w:val="center"/>
          </w:tcPr>
          <w:p w14:paraId="20945C32">
            <w:pPr>
              <w:jc w:val="center"/>
              <w:rPr>
                <w:rFonts w:ascii="Times New Roman" w:eastAsia="仿宋"/>
                <w:sz w:val="21"/>
                <w:szCs w:val="21"/>
              </w:rPr>
            </w:pPr>
          </w:p>
        </w:tc>
        <w:tc>
          <w:tcPr>
            <w:tcW w:w="524" w:type="pct"/>
            <w:vMerge w:val="continue"/>
            <w:vAlign w:val="center"/>
          </w:tcPr>
          <w:p w14:paraId="55D66194">
            <w:pPr>
              <w:jc w:val="center"/>
              <w:rPr>
                <w:rFonts w:ascii="Times New Roman" w:eastAsia="仿宋"/>
                <w:sz w:val="21"/>
                <w:szCs w:val="21"/>
              </w:rPr>
            </w:pPr>
          </w:p>
        </w:tc>
        <w:tc>
          <w:tcPr>
            <w:tcW w:w="495" w:type="pct"/>
            <w:vMerge w:val="continue"/>
            <w:vAlign w:val="center"/>
          </w:tcPr>
          <w:p w14:paraId="3A659A2D">
            <w:pPr>
              <w:jc w:val="center"/>
              <w:rPr>
                <w:rFonts w:ascii="Times New Roman" w:eastAsia="仿宋"/>
                <w:sz w:val="21"/>
                <w:szCs w:val="21"/>
              </w:rPr>
            </w:pPr>
          </w:p>
        </w:tc>
        <w:tc>
          <w:tcPr>
            <w:tcW w:w="494" w:type="pct"/>
            <w:vMerge w:val="continue"/>
            <w:vAlign w:val="center"/>
          </w:tcPr>
          <w:p w14:paraId="28C949DD">
            <w:pPr>
              <w:jc w:val="center"/>
              <w:rPr>
                <w:rFonts w:ascii="Times New Roman" w:eastAsia="仿宋"/>
                <w:sz w:val="21"/>
                <w:szCs w:val="21"/>
              </w:rPr>
            </w:pPr>
          </w:p>
        </w:tc>
        <w:tc>
          <w:tcPr>
            <w:tcW w:w="965" w:type="pct"/>
            <w:vMerge w:val="continue"/>
            <w:vAlign w:val="center"/>
          </w:tcPr>
          <w:p w14:paraId="66829642">
            <w:pPr>
              <w:jc w:val="center"/>
              <w:rPr>
                <w:rFonts w:ascii="Times New Roman" w:eastAsia="仿宋"/>
                <w:sz w:val="21"/>
                <w:szCs w:val="21"/>
              </w:rPr>
            </w:pPr>
          </w:p>
        </w:tc>
      </w:tr>
      <w:tr w14:paraId="190A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04B7DA2C">
            <w:pPr>
              <w:jc w:val="center"/>
              <w:rPr>
                <w:rFonts w:ascii="Times New Roman" w:eastAsia="仿宋"/>
                <w:sz w:val="21"/>
                <w:szCs w:val="21"/>
              </w:rPr>
            </w:pPr>
          </w:p>
        </w:tc>
        <w:tc>
          <w:tcPr>
            <w:tcW w:w="246" w:type="pct"/>
            <w:vMerge w:val="continue"/>
            <w:vAlign w:val="center"/>
          </w:tcPr>
          <w:p w14:paraId="41ABFABD">
            <w:pPr>
              <w:widowControl/>
              <w:jc w:val="center"/>
              <w:rPr>
                <w:rFonts w:ascii="Times New Roman" w:eastAsia="仿宋"/>
                <w:sz w:val="21"/>
                <w:szCs w:val="21"/>
              </w:rPr>
            </w:pPr>
          </w:p>
        </w:tc>
        <w:tc>
          <w:tcPr>
            <w:tcW w:w="498" w:type="pct"/>
            <w:vMerge w:val="continue"/>
            <w:vAlign w:val="center"/>
          </w:tcPr>
          <w:p w14:paraId="5380C23F">
            <w:pPr>
              <w:jc w:val="center"/>
              <w:rPr>
                <w:rFonts w:ascii="Times New Roman" w:eastAsia="仿宋"/>
                <w:sz w:val="21"/>
                <w:szCs w:val="21"/>
              </w:rPr>
            </w:pPr>
          </w:p>
        </w:tc>
        <w:tc>
          <w:tcPr>
            <w:tcW w:w="546" w:type="pct"/>
            <w:vAlign w:val="center"/>
          </w:tcPr>
          <w:p w14:paraId="083820E2">
            <w:pPr>
              <w:autoSpaceDE w:val="0"/>
              <w:autoSpaceDN w:val="0"/>
              <w:adjustRightInd w:val="0"/>
              <w:jc w:val="center"/>
              <w:rPr>
                <w:rFonts w:ascii="Times New Roman" w:eastAsia="仿宋"/>
                <w:sz w:val="21"/>
                <w:szCs w:val="21"/>
              </w:rPr>
            </w:pPr>
            <w:r>
              <w:rPr>
                <w:rFonts w:ascii="Times New Roman" w:hAnsi="仿宋" w:eastAsia="仿宋"/>
                <w:sz w:val="21"/>
                <w:szCs w:val="21"/>
              </w:rPr>
              <w:t>邻苯二甲酸二甲酯</w:t>
            </w:r>
          </w:p>
        </w:tc>
        <w:tc>
          <w:tcPr>
            <w:tcW w:w="486" w:type="pct"/>
            <w:vAlign w:val="center"/>
          </w:tcPr>
          <w:p w14:paraId="24D098C3">
            <w:pPr>
              <w:autoSpaceDE w:val="0"/>
              <w:autoSpaceDN w:val="0"/>
              <w:adjustRightInd w:val="0"/>
              <w:jc w:val="center"/>
              <w:rPr>
                <w:rFonts w:ascii="Times New Roman" w:eastAsia="仿宋"/>
                <w:sz w:val="21"/>
                <w:szCs w:val="21"/>
              </w:rPr>
            </w:pPr>
            <w:r>
              <w:rPr>
                <w:rFonts w:ascii="Times New Roman" w:eastAsia="仿宋"/>
                <w:sz w:val="21"/>
                <w:szCs w:val="21"/>
              </w:rPr>
              <w:t>6%</w:t>
            </w:r>
          </w:p>
        </w:tc>
        <w:tc>
          <w:tcPr>
            <w:tcW w:w="499" w:type="pct"/>
            <w:vMerge w:val="continue"/>
            <w:vAlign w:val="center"/>
          </w:tcPr>
          <w:p w14:paraId="2B46B9E3">
            <w:pPr>
              <w:jc w:val="center"/>
              <w:rPr>
                <w:rFonts w:ascii="Times New Roman" w:eastAsia="仿宋"/>
                <w:sz w:val="21"/>
                <w:szCs w:val="21"/>
              </w:rPr>
            </w:pPr>
          </w:p>
        </w:tc>
        <w:tc>
          <w:tcPr>
            <w:tcW w:w="524" w:type="pct"/>
            <w:vMerge w:val="continue"/>
            <w:vAlign w:val="center"/>
          </w:tcPr>
          <w:p w14:paraId="02B25149">
            <w:pPr>
              <w:jc w:val="center"/>
              <w:rPr>
                <w:rFonts w:ascii="Times New Roman" w:eastAsia="仿宋"/>
                <w:sz w:val="21"/>
                <w:szCs w:val="21"/>
              </w:rPr>
            </w:pPr>
          </w:p>
        </w:tc>
        <w:tc>
          <w:tcPr>
            <w:tcW w:w="495" w:type="pct"/>
            <w:vMerge w:val="continue"/>
            <w:vAlign w:val="center"/>
          </w:tcPr>
          <w:p w14:paraId="720C8296">
            <w:pPr>
              <w:jc w:val="center"/>
              <w:rPr>
                <w:rFonts w:ascii="Times New Roman" w:eastAsia="仿宋"/>
                <w:sz w:val="21"/>
                <w:szCs w:val="21"/>
              </w:rPr>
            </w:pPr>
          </w:p>
        </w:tc>
        <w:tc>
          <w:tcPr>
            <w:tcW w:w="494" w:type="pct"/>
            <w:vMerge w:val="continue"/>
            <w:vAlign w:val="center"/>
          </w:tcPr>
          <w:p w14:paraId="3EACAF0C">
            <w:pPr>
              <w:jc w:val="center"/>
              <w:rPr>
                <w:rFonts w:ascii="Times New Roman" w:eastAsia="仿宋"/>
                <w:sz w:val="21"/>
                <w:szCs w:val="21"/>
              </w:rPr>
            </w:pPr>
          </w:p>
        </w:tc>
        <w:tc>
          <w:tcPr>
            <w:tcW w:w="965" w:type="pct"/>
            <w:vMerge w:val="continue"/>
            <w:vAlign w:val="center"/>
          </w:tcPr>
          <w:p w14:paraId="36701604">
            <w:pPr>
              <w:jc w:val="center"/>
              <w:rPr>
                <w:rFonts w:ascii="Times New Roman" w:eastAsia="仿宋"/>
                <w:sz w:val="21"/>
                <w:szCs w:val="21"/>
              </w:rPr>
            </w:pPr>
          </w:p>
        </w:tc>
      </w:tr>
      <w:tr w14:paraId="48ED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40B2B734">
            <w:pPr>
              <w:jc w:val="center"/>
              <w:rPr>
                <w:rFonts w:ascii="Times New Roman" w:eastAsia="仿宋"/>
                <w:sz w:val="21"/>
                <w:szCs w:val="21"/>
              </w:rPr>
            </w:pPr>
          </w:p>
        </w:tc>
        <w:tc>
          <w:tcPr>
            <w:tcW w:w="246" w:type="pct"/>
            <w:vMerge w:val="continue"/>
            <w:vAlign w:val="center"/>
          </w:tcPr>
          <w:p w14:paraId="041B26A6">
            <w:pPr>
              <w:widowControl/>
              <w:jc w:val="center"/>
              <w:rPr>
                <w:rFonts w:ascii="Times New Roman" w:eastAsia="仿宋"/>
                <w:sz w:val="21"/>
                <w:szCs w:val="21"/>
              </w:rPr>
            </w:pPr>
          </w:p>
        </w:tc>
        <w:tc>
          <w:tcPr>
            <w:tcW w:w="498" w:type="pct"/>
            <w:vMerge w:val="continue"/>
            <w:vAlign w:val="center"/>
          </w:tcPr>
          <w:p w14:paraId="10C65254">
            <w:pPr>
              <w:jc w:val="center"/>
              <w:rPr>
                <w:rFonts w:ascii="Times New Roman" w:eastAsia="仿宋"/>
                <w:sz w:val="21"/>
                <w:szCs w:val="21"/>
              </w:rPr>
            </w:pPr>
          </w:p>
        </w:tc>
        <w:tc>
          <w:tcPr>
            <w:tcW w:w="546" w:type="pct"/>
            <w:vAlign w:val="center"/>
          </w:tcPr>
          <w:p w14:paraId="5DE316DB">
            <w:pPr>
              <w:autoSpaceDE w:val="0"/>
              <w:autoSpaceDN w:val="0"/>
              <w:adjustRightInd w:val="0"/>
              <w:jc w:val="center"/>
              <w:rPr>
                <w:rFonts w:ascii="Times New Roman" w:eastAsia="仿宋"/>
                <w:sz w:val="21"/>
                <w:szCs w:val="21"/>
              </w:rPr>
            </w:pPr>
            <w:r>
              <w:rPr>
                <w:rFonts w:ascii="Times New Roman" w:hAnsi="仿宋" w:eastAsia="仿宋"/>
                <w:sz w:val="21"/>
                <w:szCs w:val="21"/>
              </w:rPr>
              <w:t>二甲苯</w:t>
            </w:r>
          </w:p>
        </w:tc>
        <w:tc>
          <w:tcPr>
            <w:tcW w:w="486" w:type="pct"/>
            <w:vAlign w:val="center"/>
          </w:tcPr>
          <w:p w14:paraId="658E6591">
            <w:pPr>
              <w:autoSpaceDE w:val="0"/>
              <w:autoSpaceDN w:val="0"/>
              <w:adjustRightInd w:val="0"/>
              <w:jc w:val="center"/>
              <w:rPr>
                <w:rFonts w:ascii="Times New Roman" w:eastAsia="仿宋"/>
                <w:sz w:val="21"/>
                <w:szCs w:val="21"/>
              </w:rPr>
            </w:pPr>
            <w:r>
              <w:rPr>
                <w:rFonts w:ascii="Times New Roman" w:eastAsia="仿宋"/>
                <w:sz w:val="21"/>
                <w:szCs w:val="21"/>
              </w:rPr>
              <w:t>31%</w:t>
            </w:r>
          </w:p>
        </w:tc>
        <w:tc>
          <w:tcPr>
            <w:tcW w:w="499" w:type="pct"/>
            <w:vMerge w:val="continue"/>
            <w:vAlign w:val="center"/>
          </w:tcPr>
          <w:p w14:paraId="5CC18BD6">
            <w:pPr>
              <w:jc w:val="center"/>
              <w:rPr>
                <w:rFonts w:ascii="Times New Roman" w:eastAsia="仿宋"/>
                <w:sz w:val="21"/>
                <w:szCs w:val="21"/>
              </w:rPr>
            </w:pPr>
          </w:p>
        </w:tc>
        <w:tc>
          <w:tcPr>
            <w:tcW w:w="524" w:type="pct"/>
            <w:vMerge w:val="continue"/>
            <w:vAlign w:val="center"/>
          </w:tcPr>
          <w:p w14:paraId="36B0DD3A">
            <w:pPr>
              <w:jc w:val="center"/>
              <w:rPr>
                <w:rFonts w:ascii="Times New Roman" w:eastAsia="仿宋"/>
                <w:sz w:val="21"/>
                <w:szCs w:val="21"/>
              </w:rPr>
            </w:pPr>
          </w:p>
        </w:tc>
        <w:tc>
          <w:tcPr>
            <w:tcW w:w="495" w:type="pct"/>
            <w:vMerge w:val="continue"/>
            <w:vAlign w:val="center"/>
          </w:tcPr>
          <w:p w14:paraId="5CE422D0">
            <w:pPr>
              <w:jc w:val="center"/>
              <w:rPr>
                <w:rFonts w:ascii="Times New Roman" w:eastAsia="仿宋"/>
                <w:sz w:val="21"/>
                <w:szCs w:val="21"/>
              </w:rPr>
            </w:pPr>
          </w:p>
        </w:tc>
        <w:tc>
          <w:tcPr>
            <w:tcW w:w="494" w:type="pct"/>
            <w:vMerge w:val="continue"/>
            <w:vAlign w:val="center"/>
          </w:tcPr>
          <w:p w14:paraId="0A24990D">
            <w:pPr>
              <w:jc w:val="center"/>
              <w:rPr>
                <w:rFonts w:ascii="Times New Roman" w:eastAsia="仿宋"/>
                <w:sz w:val="21"/>
                <w:szCs w:val="21"/>
              </w:rPr>
            </w:pPr>
          </w:p>
        </w:tc>
        <w:tc>
          <w:tcPr>
            <w:tcW w:w="965" w:type="pct"/>
            <w:vMerge w:val="continue"/>
            <w:vAlign w:val="center"/>
          </w:tcPr>
          <w:p w14:paraId="26EB4615">
            <w:pPr>
              <w:jc w:val="center"/>
              <w:rPr>
                <w:rFonts w:ascii="Times New Roman" w:eastAsia="仿宋"/>
                <w:sz w:val="21"/>
                <w:szCs w:val="21"/>
              </w:rPr>
            </w:pPr>
          </w:p>
        </w:tc>
      </w:tr>
      <w:tr w14:paraId="556E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Merge w:val="continue"/>
            <w:vAlign w:val="center"/>
          </w:tcPr>
          <w:p w14:paraId="2F52B94C">
            <w:pPr>
              <w:jc w:val="center"/>
              <w:rPr>
                <w:rFonts w:ascii="Times New Roman" w:eastAsia="仿宋"/>
                <w:sz w:val="21"/>
                <w:szCs w:val="21"/>
              </w:rPr>
            </w:pPr>
          </w:p>
        </w:tc>
        <w:tc>
          <w:tcPr>
            <w:tcW w:w="246" w:type="pct"/>
            <w:vMerge w:val="restart"/>
            <w:vAlign w:val="center"/>
          </w:tcPr>
          <w:p w14:paraId="71B6D765">
            <w:pPr>
              <w:widowControl/>
              <w:jc w:val="center"/>
              <w:rPr>
                <w:rFonts w:ascii="Times New Roman" w:eastAsia="仿宋"/>
                <w:sz w:val="21"/>
                <w:szCs w:val="21"/>
              </w:rPr>
            </w:pPr>
            <w:r>
              <w:rPr>
                <w:rFonts w:hint="eastAsia" w:ascii="Times New Roman" w:eastAsia="仿宋"/>
                <w:sz w:val="21"/>
                <w:szCs w:val="21"/>
              </w:rPr>
              <w:t>稀释剂</w:t>
            </w:r>
          </w:p>
        </w:tc>
        <w:tc>
          <w:tcPr>
            <w:tcW w:w="498" w:type="pct"/>
            <w:vMerge w:val="restart"/>
            <w:vAlign w:val="center"/>
          </w:tcPr>
          <w:p w14:paraId="536C0583">
            <w:pPr>
              <w:jc w:val="center"/>
              <w:rPr>
                <w:rFonts w:ascii="Times New Roman" w:eastAsia="仿宋"/>
                <w:sz w:val="21"/>
                <w:szCs w:val="21"/>
              </w:rPr>
            </w:pPr>
            <w:r>
              <w:rPr>
                <w:rFonts w:hint="eastAsia" w:ascii="Times New Roman" w:eastAsia="仿宋"/>
                <w:sz w:val="21"/>
                <w:szCs w:val="21"/>
              </w:rPr>
              <w:t>13.725</w:t>
            </w:r>
          </w:p>
        </w:tc>
        <w:tc>
          <w:tcPr>
            <w:tcW w:w="546" w:type="pct"/>
            <w:vAlign w:val="center"/>
          </w:tcPr>
          <w:p w14:paraId="09AD2EDB">
            <w:pPr>
              <w:jc w:val="center"/>
              <w:rPr>
                <w:rFonts w:ascii="Times New Roman" w:eastAsia="仿宋"/>
                <w:sz w:val="21"/>
                <w:szCs w:val="21"/>
              </w:rPr>
            </w:pPr>
            <w:r>
              <w:rPr>
                <w:rFonts w:ascii="Times New Roman" w:hAnsi="仿宋" w:eastAsia="仿宋"/>
                <w:sz w:val="21"/>
                <w:szCs w:val="21"/>
              </w:rPr>
              <w:t>乙醇</w:t>
            </w:r>
          </w:p>
        </w:tc>
        <w:tc>
          <w:tcPr>
            <w:tcW w:w="486" w:type="pct"/>
            <w:vAlign w:val="center"/>
          </w:tcPr>
          <w:p w14:paraId="5DD995BC">
            <w:pPr>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26898A82">
            <w:pPr>
              <w:jc w:val="center"/>
              <w:rPr>
                <w:rFonts w:ascii="Times New Roman" w:eastAsia="仿宋"/>
                <w:sz w:val="21"/>
                <w:szCs w:val="21"/>
              </w:rPr>
            </w:pPr>
          </w:p>
        </w:tc>
        <w:tc>
          <w:tcPr>
            <w:tcW w:w="524" w:type="pct"/>
            <w:vMerge w:val="continue"/>
            <w:vAlign w:val="center"/>
          </w:tcPr>
          <w:p w14:paraId="0B5AC38F">
            <w:pPr>
              <w:jc w:val="center"/>
              <w:rPr>
                <w:rFonts w:ascii="Times New Roman" w:eastAsia="仿宋"/>
                <w:sz w:val="21"/>
                <w:szCs w:val="21"/>
              </w:rPr>
            </w:pPr>
          </w:p>
        </w:tc>
        <w:tc>
          <w:tcPr>
            <w:tcW w:w="495" w:type="pct"/>
            <w:vMerge w:val="continue"/>
            <w:vAlign w:val="center"/>
          </w:tcPr>
          <w:p w14:paraId="58B2BDBD">
            <w:pPr>
              <w:jc w:val="center"/>
              <w:rPr>
                <w:rFonts w:ascii="Times New Roman" w:eastAsia="仿宋"/>
                <w:sz w:val="21"/>
                <w:szCs w:val="21"/>
              </w:rPr>
            </w:pPr>
          </w:p>
        </w:tc>
        <w:tc>
          <w:tcPr>
            <w:tcW w:w="494" w:type="pct"/>
            <w:vMerge w:val="restart"/>
            <w:vAlign w:val="center"/>
          </w:tcPr>
          <w:p w14:paraId="07D4B764">
            <w:pPr>
              <w:jc w:val="center"/>
              <w:rPr>
                <w:rFonts w:ascii="Times New Roman" w:eastAsia="仿宋"/>
                <w:sz w:val="21"/>
                <w:szCs w:val="21"/>
              </w:rPr>
            </w:pPr>
            <w:r>
              <w:rPr>
                <w:rFonts w:ascii="Times New Roman" w:eastAsia="仿宋"/>
                <w:sz w:val="21"/>
                <w:szCs w:val="21"/>
                <w:lang w:bidi="ar"/>
              </w:rPr>
              <w:t>780</w:t>
            </w:r>
          </w:p>
        </w:tc>
        <w:tc>
          <w:tcPr>
            <w:tcW w:w="965" w:type="pct"/>
            <w:vMerge w:val="restart"/>
            <w:vAlign w:val="center"/>
          </w:tcPr>
          <w:p w14:paraId="150C0637">
            <w:pPr>
              <w:jc w:val="center"/>
              <w:rPr>
                <w:rFonts w:ascii="Times New Roman" w:eastAsia="仿宋"/>
                <w:sz w:val="21"/>
                <w:szCs w:val="21"/>
              </w:rPr>
            </w:pPr>
            <w:r>
              <w:rPr>
                <w:rFonts w:hint="eastAsia" w:ascii="Times New Roman" w:eastAsia="仿宋"/>
                <w:sz w:val="21"/>
                <w:szCs w:val="21"/>
              </w:rPr>
              <w:t>GB 30981-2020中氟树脂涂料标准</w:t>
            </w:r>
          </w:p>
        </w:tc>
      </w:tr>
      <w:tr w14:paraId="1A39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7A4923D9">
            <w:pPr>
              <w:jc w:val="center"/>
              <w:rPr>
                <w:rFonts w:ascii="Times New Roman" w:eastAsia="仿宋"/>
                <w:sz w:val="21"/>
                <w:szCs w:val="21"/>
              </w:rPr>
            </w:pPr>
          </w:p>
        </w:tc>
        <w:tc>
          <w:tcPr>
            <w:tcW w:w="246" w:type="pct"/>
            <w:vMerge w:val="continue"/>
            <w:vAlign w:val="center"/>
          </w:tcPr>
          <w:p w14:paraId="32B4D62D">
            <w:pPr>
              <w:widowControl/>
              <w:jc w:val="center"/>
              <w:rPr>
                <w:rFonts w:ascii="Times New Roman" w:eastAsia="仿宋"/>
                <w:sz w:val="21"/>
                <w:szCs w:val="21"/>
              </w:rPr>
            </w:pPr>
          </w:p>
        </w:tc>
        <w:tc>
          <w:tcPr>
            <w:tcW w:w="498" w:type="pct"/>
            <w:vMerge w:val="continue"/>
            <w:vAlign w:val="center"/>
          </w:tcPr>
          <w:p w14:paraId="3B134766">
            <w:pPr>
              <w:jc w:val="center"/>
              <w:rPr>
                <w:rFonts w:ascii="Times New Roman" w:eastAsia="仿宋"/>
                <w:sz w:val="21"/>
                <w:szCs w:val="21"/>
              </w:rPr>
            </w:pPr>
          </w:p>
        </w:tc>
        <w:tc>
          <w:tcPr>
            <w:tcW w:w="546" w:type="pct"/>
            <w:vAlign w:val="center"/>
          </w:tcPr>
          <w:p w14:paraId="706AB274">
            <w:pPr>
              <w:jc w:val="center"/>
              <w:rPr>
                <w:rFonts w:ascii="Times New Roman" w:eastAsia="仿宋"/>
                <w:sz w:val="21"/>
                <w:szCs w:val="21"/>
              </w:rPr>
            </w:pPr>
            <w:r>
              <w:rPr>
                <w:rFonts w:ascii="Times New Roman" w:hAnsi="仿宋" w:eastAsia="仿宋"/>
                <w:sz w:val="21"/>
                <w:szCs w:val="21"/>
              </w:rPr>
              <w:t>环己酮</w:t>
            </w:r>
          </w:p>
        </w:tc>
        <w:tc>
          <w:tcPr>
            <w:tcW w:w="486" w:type="pct"/>
            <w:vAlign w:val="center"/>
          </w:tcPr>
          <w:p w14:paraId="16DDFBD8">
            <w:pPr>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6BC70D04">
            <w:pPr>
              <w:jc w:val="center"/>
              <w:rPr>
                <w:rFonts w:ascii="Times New Roman" w:eastAsia="仿宋"/>
                <w:sz w:val="21"/>
                <w:szCs w:val="21"/>
              </w:rPr>
            </w:pPr>
          </w:p>
        </w:tc>
        <w:tc>
          <w:tcPr>
            <w:tcW w:w="524" w:type="pct"/>
            <w:vMerge w:val="continue"/>
            <w:vAlign w:val="center"/>
          </w:tcPr>
          <w:p w14:paraId="3BA5D61B">
            <w:pPr>
              <w:jc w:val="center"/>
              <w:rPr>
                <w:rFonts w:ascii="Times New Roman" w:eastAsia="仿宋"/>
                <w:sz w:val="21"/>
                <w:szCs w:val="21"/>
              </w:rPr>
            </w:pPr>
          </w:p>
        </w:tc>
        <w:tc>
          <w:tcPr>
            <w:tcW w:w="495" w:type="pct"/>
            <w:vMerge w:val="continue"/>
            <w:vAlign w:val="center"/>
          </w:tcPr>
          <w:p w14:paraId="4B8644EB">
            <w:pPr>
              <w:jc w:val="center"/>
              <w:rPr>
                <w:rFonts w:ascii="Times New Roman" w:eastAsia="仿宋"/>
                <w:sz w:val="21"/>
                <w:szCs w:val="21"/>
              </w:rPr>
            </w:pPr>
          </w:p>
        </w:tc>
        <w:tc>
          <w:tcPr>
            <w:tcW w:w="494" w:type="pct"/>
            <w:vMerge w:val="continue"/>
            <w:vAlign w:val="center"/>
          </w:tcPr>
          <w:p w14:paraId="1256C44B">
            <w:pPr>
              <w:jc w:val="center"/>
              <w:rPr>
                <w:rFonts w:ascii="Times New Roman" w:eastAsia="仿宋"/>
                <w:sz w:val="21"/>
                <w:szCs w:val="21"/>
              </w:rPr>
            </w:pPr>
          </w:p>
        </w:tc>
        <w:tc>
          <w:tcPr>
            <w:tcW w:w="965" w:type="pct"/>
            <w:vMerge w:val="continue"/>
            <w:vAlign w:val="center"/>
          </w:tcPr>
          <w:p w14:paraId="63502BED">
            <w:pPr>
              <w:jc w:val="center"/>
              <w:rPr>
                <w:rFonts w:ascii="Times New Roman" w:eastAsia="仿宋"/>
                <w:sz w:val="21"/>
                <w:szCs w:val="21"/>
              </w:rPr>
            </w:pPr>
          </w:p>
        </w:tc>
      </w:tr>
      <w:tr w14:paraId="48E3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5FE8EDA8">
            <w:pPr>
              <w:jc w:val="center"/>
              <w:rPr>
                <w:rFonts w:ascii="Times New Roman" w:eastAsia="仿宋"/>
                <w:sz w:val="21"/>
                <w:szCs w:val="21"/>
              </w:rPr>
            </w:pPr>
          </w:p>
        </w:tc>
        <w:tc>
          <w:tcPr>
            <w:tcW w:w="246" w:type="pct"/>
            <w:vMerge w:val="continue"/>
            <w:vAlign w:val="center"/>
          </w:tcPr>
          <w:p w14:paraId="67A9B5E2">
            <w:pPr>
              <w:widowControl/>
              <w:jc w:val="center"/>
              <w:rPr>
                <w:rFonts w:ascii="Times New Roman" w:eastAsia="仿宋"/>
                <w:sz w:val="21"/>
                <w:szCs w:val="21"/>
              </w:rPr>
            </w:pPr>
          </w:p>
        </w:tc>
        <w:tc>
          <w:tcPr>
            <w:tcW w:w="498" w:type="pct"/>
            <w:vMerge w:val="continue"/>
            <w:vAlign w:val="center"/>
          </w:tcPr>
          <w:p w14:paraId="329F885B">
            <w:pPr>
              <w:jc w:val="center"/>
              <w:rPr>
                <w:rFonts w:ascii="Times New Roman" w:eastAsia="仿宋"/>
                <w:sz w:val="21"/>
                <w:szCs w:val="21"/>
              </w:rPr>
            </w:pPr>
          </w:p>
        </w:tc>
        <w:tc>
          <w:tcPr>
            <w:tcW w:w="546" w:type="pct"/>
            <w:vAlign w:val="center"/>
          </w:tcPr>
          <w:p w14:paraId="2E2AC7FA">
            <w:pPr>
              <w:jc w:val="center"/>
              <w:rPr>
                <w:rFonts w:ascii="Times New Roman" w:eastAsia="仿宋"/>
                <w:sz w:val="21"/>
                <w:szCs w:val="21"/>
              </w:rPr>
            </w:pPr>
            <w:r>
              <w:rPr>
                <w:rFonts w:ascii="Times New Roman" w:hAnsi="仿宋" w:eastAsia="仿宋"/>
                <w:sz w:val="21"/>
                <w:szCs w:val="21"/>
              </w:rPr>
              <w:t>醋酸乙酯</w:t>
            </w:r>
          </w:p>
        </w:tc>
        <w:tc>
          <w:tcPr>
            <w:tcW w:w="486" w:type="pct"/>
            <w:vAlign w:val="center"/>
          </w:tcPr>
          <w:p w14:paraId="10938143">
            <w:pPr>
              <w:jc w:val="center"/>
              <w:rPr>
                <w:rFonts w:ascii="Times New Roman" w:eastAsia="仿宋"/>
                <w:sz w:val="21"/>
                <w:szCs w:val="21"/>
              </w:rPr>
            </w:pPr>
            <w:r>
              <w:rPr>
                <w:rFonts w:ascii="Times New Roman" w:eastAsia="仿宋"/>
                <w:sz w:val="21"/>
                <w:szCs w:val="21"/>
              </w:rPr>
              <w:t>40%</w:t>
            </w:r>
          </w:p>
        </w:tc>
        <w:tc>
          <w:tcPr>
            <w:tcW w:w="499" w:type="pct"/>
            <w:vMerge w:val="continue"/>
            <w:vAlign w:val="center"/>
          </w:tcPr>
          <w:p w14:paraId="5D5DE1A0">
            <w:pPr>
              <w:jc w:val="center"/>
              <w:rPr>
                <w:rFonts w:ascii="Times New Roman" w:eastAsia="仿宋"/>
                <w:sz w:val="21"/>
                <w:szCs w:val="21"/>
              </w:rPr>
            </w:pPr>
          </w:p>
        </w:tc>
        <w:tc>
          <w:tcPr>
            <w:tcW w:w="524" w:type="pct"/>
            <w:vMerge w:val="continue"/>
            <w:vAlign w:val="center"/>
          </w:tcPr>
          <w:p w14:paraId="4634981D">
            <w:pPr>
              <w:jc w:val="center"/>
              <w:rPr>
                <w:rFonts w:ascii="Times New Roman" w:eastAsia="仿宋"/>
                <w:sz w:val="21"/>
                <w:szCs w:val="21"/>
              </w:rPr>
            </w:pPr>
          </w:p>
        </w:tc>
        <w:tc>
          <w:tcPr>
            <w:tcW w:w="495" w:type="pct"/>
            <w:vMerge w:val="continue"/>
            <w:vAlign w:val="center"/>
          </w:tcPr>
          <w:p w14:paraId="57DD499B">
            <w:pPr>
              <w:jc w:val="center"/>
              <w:rPr>
                <w:rFonts w:ascii="Times New Roman" w:eastAsia="仿宋"/>
                <w:sz w:val="21"/>
                <w:szCs w:val="21"/>
              </w:rPr>
            </w:pPr>
          </w:p>
        </w:tc>
        <w:tc>
          <w:tcPr>
            <w:tcW w:w="494" w:type="pct"/>
            <w:vMerge w:val="continue"/>
            <w:vAlign w:val="center"/>
          </w:tcPr>
          <w:p w14:paraId="4BDD9C38">
            <w:pPr>
              <w:jc w:val="center"/>
              <w:rPr>
                <w:rFonts w:ascii="Times New Roman" w:eastAsia="仿宋"/>
                <w:sz w:val="21"/>
                <w:szCs w:val="21"/>
              </w:rPr>
            </w:pPr>
          </w:p>
        </w:tc>
        <w:tc>
          <w:tcPr>
            <w:tcW w:w="965" w:type="pct"/>
            <w:vMerge w:val="continue"/>
            <w:vAlign w:val="center"/>
          </w:tcPr>
          <w:p w14:paraId="32293688">
            <w:pPr>
              <w:jc w:val="center"/>
              <w:rPr>
                <w:rFonts w:ascii="Times New Roman" w:eastAsia="仿宋"/>
                <w:sz w:val="21"/>
                <w:szCs w:val="21"/>
              </w:rPr>
            </w:pPr>
          </w:p>
        </w:tc>
      </w:tr>
      <w:tr w14:paraId="7363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74D4E5A8">
            <w:pPr>
              <w:jc w:val="center"/>
              <w:rPr>
                <w:rFonts w:ascii="Times New Roman" w:eastAsia="仿宋"/>
                <w:sz w:val="21"/>
                <w:szCs w:val="21"/>
              </w:rPr>
            </w:pPr>
          </w:p>
        </w:tc>
        <w:tc>
          <w:tcPr>
            <w:tcW w:w="246" w:type="pct"/>
            <w:vMerge w:val="continue"/>
            <w:vAlign w:val="center"/>
          </w:tcPr>
          <w:p w14:paraId="005F287B">
            <w:pPr>
              <w:widowControl/>
              <w:jc w:val="center"/>
              <w:rPr>
                <w:rFonts w:ascii="Times New Roman" w:eastAsia="仿宋"/>
                <w:sz w:val="21"/>
                <w:szCs w:val="21"/>
              </w:rPr>
            </w:pPr>
          </w:p>
        </w:tc>
        <w:tc>
          <w:tcPr>
            <w:tcW w:w="498" w:type="pct"/>
            <w:vMerge w:val="continue"/>
            <w:vAlign w:val="center"/>
          </w:tcPr>
          <w:p w14:paraId="1FFA8724">
            <w:pPr>
              <w:jc w:val="center"/>
              <w:rPr>
                <w:rFonts w:ascii="Times New Roman" w:eastAsia="仿宋"/>
                <w:sz w:val="21"/>
                <w:szCs w:val="21"/>
              </w:rPr>
            </w:pPr>
          </w:p>
        </w:tc>
        <w:tc>
          <w:tcPr>
            <w:tcW w:w="546" w:type="pct"/>
            <w:vAlign w:val="center"/>
          </w:tcPr>
          <w:p w14:paraId="1DEA0D3F">
            <w:pPr>
              <w:jc w:val="center"/>
              <w:rPr>
                <w:rFonts w:ascii="Times New Roman" w:eastAsia="仿宋"/>
                <w:sz w:val="21"/>
                <w:szCs w:val="21"/>
              </w:rPr>
            </w:pPr>
            <w:r>
              <w:rPr>
                <w:rFonts w:ascii="Times New Roman" w:hAnsi="仿宋" w:eastAsia="仿宋"/>
                <w:sz w:val="21"/>
                <w:szCs w:val="21"/>
              </w:rPr>
              <w:t>醋酸丁酯</w:t>
            </w:r>
          </w:p>
        </w:tc>
        <w:tc>
          <w:tcPr>
            <w:tcW w:w="486" w:type="pct"/>
            <w:vAlign w:val="center"/>
          </w:tcPr>
          <w:p w14:paraId="65952F02">
            <w:pPr>
              <w:jc w:val="center"/>
              <w:rPr>
                <w:rFonts w:ascii="Times New Roman" w:eastAsia="仿宋"/>
                <w:sz w:val="21"/>
                <w:szCs w:val="21"/>
              </w:rPr>
            </w:pPr>
            <w:r>
              <w:rPr>
                <w:rFonts w:ascii="Times New Roman" w:eastAsia="仿宋"/>
                <w:sz w:val="21"/>
                <w:szCs w:val="21"/>
              </w:rPr>
              <w:t>40%</w:t>
            </w:r>
          </w:p>
        </w:tc>
        <w:tc>
          <w:tcPr>
            <w:tcW w:w="499" w:type="pct"/>
            <w:vMerge w:val="continue"/>
            <w:vAlign w:val="center"/>
          </w:tcPr>
          <w:p w14:paraId="539F469E">
            <w:pPr>
              <w:jc w:val="center"/>
              <w:rPr>
                <w:rFonts w:ascii="Times New Roman" w:eastAsia="仿宋"/>
                <w:sz w:val="21"/>
                <w:szCs w:val="21"/>
              </w:rPr>
            </w:pPr>
          </w:p>
        </w:tc>
        <w:tc>
          <w:tcPr>
            <w:tcW w:w="524" w:type="pct"/>
            <w:vMerge w:val="continue"/>
            <w:vAlign w:val="center"/>
          </w:tcPr>
          <w:p w14:paraId="0320FB40">
            <w:pPr>
              <w:jc w:val="center"/>
              <w:rPr>
                <w:rFonts w:ascii="Times New Roman" w:eastAsia="仿宋"/>
                <w:sz w:val="21"/>
                <w:szCs w:val="21"/>
              </w:rPr>
            </w:pPr>
          </w:p>
        </w:tc>
        <w:tc>
          <w:tcPr>
            <w:tcW w:w="495" w:type="pct"/>
            <w:vMerge w:val="continue"/>
            <w:vAlign w:val="center"/>
          </w:tcPr>
          <w:p w14:paraId="61E57C47">
            <w:pPr>
              <w:jc w:val="center"/>
              <w:rPr>
                <w:rFonts w:ascii="Times New Roman" w:eastAsia="仿宋"/>
                <w:sz w:val="21"/>
                <w:szCs w:val="21"/>
              </w:rPr>
            </w:pPr>
          </w:p>
        </w:tc>
        <w:tc>
          <w:tcPr>
            <w:tcW w:w="494" w:type="pct"/>
            <w:vMerge w:val="continue"/>
            <w:vAlign w:val="center"/>
          </w:tcPr>
          <w:p w14:paraId="3ECD4CEC">
            <w:pPr>
              <w:jc w:val="center"/>
              <w:rPr>
                <w:rFonts w:ascii="Times New Roman" w:eastAsia="仿宋"/>
                <w:sz w:val="21"/>
                <w:szCs w:val="21"/>
              </w:rPr>
            </w:pPr>
          </w:p>
        </w:tc>
        <w:tc>
          <w:tcPr>
            <w:tcW w:w="965" w:type="pct"/>
            <w:vMerge w:val="continue"/>
            <w:vAlign w:val="center"/>
          </w:tcPr>
          <w:p w14:paraId="5FFB6149">
            <w:pPr>
              <w:jc w:val="center"/>
              <w:rPr>
                <w:rFonts w:ascii="Times New Roman" w:eastAsia="仿宋"/>
                <w:sz w:val="21"/>
                <w:szCs w:val="21"/>
              </w:rPr>
            </w:pPr>
          </w:p>
        </w:tc>
      </w:tr>
      <w:tr w14:paraId="5F96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432C00E8">
            <w:pPr>
              <w:jc w:val="center"/>
              <w:rPr>
                <w:rFonts w:ascii="Times New Roman" w:eastAsia="仿宋"/>
                <w:sz w:val="21"/>
                <w:szCs w:val="21"/>
              </w:rPr>
            </w:pPr>
          </w:p>
        </w:tc>
        <w:tc>
          <w:tcPr>
            <w:tcW w:w="246" w:type="pct"/>
            <w:vMerge w:val="restart"/>
            <w:vAlign w:val="center"/>
          </w:tcPr>
          <w:p w14:paraId="374702ED">
            <w:pPr>
              <w:widowControl/>
              <w:jc w:val="center"/>
              <w:rPr>
                <w:rFonts w:ascii="Times New Roman" w:eastAsia="仿宋"/>
                <w:sz w:val="21"/>
                <w:szCs w:val="21"/>
              </w:rPr>
            </w:pPr>
            <w:r>
              <w:rPr>
                <w:rFonts w:ascii="Times New Roman" w:hAnsi="仿宋" w:eastAsia="仿宋"/>
                <w:sz w:val="21"/>
                <w:szCs w:val="21"/>
              </w:rPr>
              <w:t>氟碳面漆</w:t>
            </w:r>
          </w:p>
        </w:tc>
        <w:tc>
          <w:tcPr>
            <w:tcW w:w="498" w:type="pct"/>
            <w:vMerge w:val="restart"/>
            <w:vAlign w:val="center"/>
          </w:tcPr>
          <w:p w14:paraId="4731E67A">
            <w:pPr>
              <w:jc w:val="center"/>
              <w:rPr>
                <w:rFonts w:ascii="Times New Roman" w:eastAsia="仿宋"/>
                <w:sz w:val="21"/>
                <w:szCs w:val="21"/>
              </w:rPr>
            </w:pPr>
            <w:r>
              <w:rPr>
                <w:rFonts w:ascii="Times New Roman" w:eastAsia="仿宋"/>
                <w:sz w:val="21"/>
                <w:szCs w:val="21"/>
              </w:rPr>
              <w:t>38.2</w:t>
            </w:r>
          </w:p>
        </w:tc>
        <w:tc>
          <w:tcPr>
            <w:tcW w:w="546" w:type="pct"/>
            <w:vAlign w:val="center"/>
          </w:tcPr>
          <w:p w14:paraId="582297E8">
            <w:pPr>
              <w:autoSpaceDE w:val="0"/>
              <w:autoSpaceDN w:val="0"/>
              <w:adjustRightInd w:val="0"/>
              <w:jc w:val="center"/>
              <w:rPr>
                <w:rFonts w:ascii="Times New Roman" w:eastAsia="仿宋"/>
                <w:sz w:val="21"/>
                <w:szCs w:val="21"/>
              </w:rPr>
            </w:pPr>
            <w:r>
              <w:rPr>
                <w:rFonts w:ascii="Times New Roman" w:hAnsi="仿宋" w:eastAsia="仿宋"/>
                <w:sz w:val="21"/>
                <w:szCs w:val="21"/>
              </w:rPr>
              <w:t>丙烯酸树脂</w:t>
            </w:r>
          </w:p>
        </w:tc>
        <w:tc>
          <w:tcPr>
            <w:tcW w:w="486" w:type="pct"/>
            <w:vAlign w:val="center"/>
          </w:tcPr>
          <w:p w14:paraId="13CE73EB">
            <w:pPr>
              <w:autoSpaceDE w:val="0"/>
              <w:autoSpaceDN w:val="0"/>
              <w:adjustRightInd w:val="0"/>
              <w:jc w:val="center"/>
              <w:rPr>
                <w:rFonts w:ascii="Times New Roman" w:eastAsia="仿宋"/>
                <w:sz w:val="21"/>
                <w:szCs w:val="21"/>
              </w:rPr>
            </w:pPr>
            <w:r>
              <w:rPr>
                <w:rFonts w:ascii="Times New Roman" w:eastAsia="仿宋"/>
                <w:sz w:val="21"/>
                <w:szCs w:val="21"/>
              </w:rPr>
              <w:t>12.5%</w:t>
            </w:r>
          </w:p>
        </w:tc>
        <w:tc>
          <w:tcPr>
            <w:tcW w:w="499" w:type="pct"/>
            <w:vMerge w:val="restart"/>
            <w:vAlign w:val="center"/>
          </w:tcPr>
          <w:p w14:paraId="0C8CD444">
            <w:pPr>
              <w:jc w:val="center"/>
              <w:rPr>
                <w:rFonts w:ascii="Times New Roman" w:eastAsia="仿宋"/>
                <w:sz w:val="21"/>
                <w:szCs w:val="21"/>
              </w:rPr>
            </w:pPr>
            <w:r>
              <w:rPr>
                <w:rFonts w:hint="eastAsia" w:ascii="Times New Roman" w:eastAsia="仿宋"/>
                <w:sz w:val="21"/>
                <w:szCs w:val="21"/>
              </w:rPr>
              <w:t>9</w:t>
            </w:r>
            <w:r>
              <w:rPr>
                <w:rFonts w:ascii="Times New Roman" w:eastAsia="仿宋"/>
                <w:sz w:val="21"/>
                <w:szCs w:val="21"/>
              </w:rPr>
              <w:t>64.7</w:t>
            </w:r>
          </w:p>
        </w:tc>
        <w:tc>
          <w:tcPr>
            <w:tcW w:w="524" w:type="pct"/>
            <w:vMerge w:val="restart"/>
            <w:vAlign w:val="center"/>
          </w:tcPr>
          <w:p w14:paraId="5B671907">
            <w:pPr>
              <w:jc w:val="center"/>
              <w:rPr>
                <w:rFonts w:ascii="Times New Roman" w:eastAsia="仿宋"/>
                <w:sz w:val="21"/>
                <w:szCs w:val="21"/>
              </w:rPr>
            </w:pPr>
            <w:r>
              <w:rPr>
                <w:rFonts w:hint="eastAsia" w:ascii="Times New Roman" w:eastAsia="仿宋"/>
                <w:sz w:val="21"/>
                <w:szCs w:val="21"/>
              </w:rPr>
              <w:t>6</w:t>
            </w:r>
            <w:r>
              <w:rPr>
                <w:rFonts w:ascii="Times New Roman" w:eastAsia="仿宋"/>
                <w:sz w:val="21"/>
                <w:szCs w:val="21"/>
              </w:rPr>
              <w:t>06.8</w:t>
            </w:r>
          </w:p>
        </w:tc>
        <w:tc>
          <w:tcPr>
            <w:tcW w:w="495" w:type="pct"/>
            <w:vMerge w:val="restart"/>
            <w:vAlign w:val="center"/>
          </w:tcPr>
          <w:p w14:paraId="571A642F">
            <w:pPr>
              <w:jc w:val="center"/>
              <w:rPr>
                <w:rFonts w:ascii="Times New Roman" w:eastAsia="仿宋"/>
                <w:sz w:val="21"/>
                <w:szCs w:val="21"/>
              </w:rPr>
            </w:pPr>
            <w:r>
              <w:rPr>
                <w:rFonts w:hint="eastAsia" w:ascii="Times New Roman" w:eastAsia="仿宋"/>
                <w:sz w:val="21"/>
                <w:szCs w:val="21"/>
              </w:rPr>
              <w:t>657</w:t>
            </w:r>
          </w:p>
        </w:tc>
        <w:tc>
          <w:tcPr>
            <w:tcW w:w="494" w:type="pct"/>
            <w:vMerge w:val="restart"/>
            <w:vAlign w:val="center"/>
          </w:tcPr>
          <w:p w14:paraId="49FF9D9F">
            <w:pPr>
              <w:jc w:val="center"/>
              <w:rPr>
                <w:rFonts w:ascii="Times New Roman" w:eastAsia="仿宋"/>
                <w:sz w:val="21"/>
                <w:szCs w:val="21"/>
              </w:rPr>
            </w:pPr>
            <w:r>
              <w:rPr>
                <w:rFonts w:ascii="Times New Roman" w:eastAsia="仿宋"/>
                <w:sz w:val="21"/>
                <w:szCs w:val="21"/>
                <w:lang w:bidi="ar"/>
              </w:rPr>
              <w:t>680</w:t>
            </w:r>
          </w:p>
        </w:tc>
        <w:tc>
          <w:tcPr>
            <w:tcW w:w="965" w:type="pct"/>
            <w:vMerge w:val="restart"/>
            <w:vAlign w:val="center"/>
          </w:tcPr>
          <w:p w14:paraId="524C9BE6">
            <w:pPr>
              <w:jc w:val="center"/>
              <w:rPr>
                <w:rFonts w:ascii="Times New Roman" w:eastAsia="仿宋"/>
                <w:sz w:val="21"/>
                <w:szCs w:val="21"/>
              </w:rPr>
            </w:pPr>
            <w:r>
              <w:rPr>
                <w:rFonts w:hint="eastAsia" w:ascii="Times New Roman" w:eastAsia="仿宋"/>
                <w:sz w:val="21"/>
                <w:szCs w:val="21"/>
              </w:rPr>
              <w:t>GB24409-2020中车辆用零部件涂料中金属件用涂料色漆标准</w:t>
            </w:r>
          </w:p>
        </w:tc>
      </w:tr>
      <w:tr w14:paraId="416A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70F7A3B8">
            <w:pPr>
              <w:jc w:val="center"/>
              <w:rPr>
                <w:rFonts w:ascii="Times New Roman" w:eastAsia="仿宋"/>
                <w:sz w:val="21"/>
                <w:szCs w:val="21"/>
              </w:rPr>
            </w:pPr>
          </w:p>
        </w:tc>
        <w:tc>
          <w:tcPr>
            <w:tcW w:w="246" w:type="pct"/>
            <w:vMerge w:val="continue"/>
            <w:vAlign w:val="center"/>
          </w:tcPr>
          <w:p w14:paraId="559AFC1A">
            <w:pPr>
              <w:widowControl/>
              <w:jc w:val="center"/>
              <w:rPr>
                <w:rFonts w:ascii="Times New Roman" w:eastAsia="仿宋"/>
                <w:sz w:val="21"/>
                <w:szCs w:val="21"/>
              </w:rPr>
            </w:pPr>
          </w:p>
        </w:tc>
        <w:tc>
          <w:tcPr>
            <w:tcW w:w="498" w:type="pct"/>
            <w:vMerge w:val="continue"/>
            <w:vAlign w:val="center"/>
          </w:tcPr>
          <w:p w14:paraId="4618FB08">
            <w:pPr>
              <w:jc w:val="center"/>
              <w:rPr>
                <w:rFonts w:ascii="Times New Roman" w:eastAsia="仿宋"/>
                <w:sz w:val="21"/>
                <w:szCs w:val="21"/>
              </w:rPr>
            </w:pPr>
          </w:p>
        </w:tc>
        <w:tc>
          <w:tcPr>
            <w:tcW w:w="546" w:type="pct"/>
            <w:vAlign w:val="center"/>
          </w:tcPr>
          <w:p w14:paraId="567FA2E5">
            <w:pPr>
              <w:autoSpaceDE w:val="0"/>
              <w:autoSpaceDN w:val="0"/>
              <w:adjustRightInd w:val="0"/>
              <w:jc w:val="center"/>
              <w:rPr>
                <w:rFonts w:ascii="Times New Roman" w:eastAsia="仿宋"/>
                <w:sz w:val="21"/>
                <w:szCs w:val="21"/>
              </w:rPr>
            </w:pPr>
            <w:r>
              <w:rPr>
                <w:rFonts w:ascii="Times New Roman" w:eastAsia="仿宋"/>
                <w:sz w:val="21"/>
                <w:szCs w:val="21"/>
              </w:rPr>
              <w:t>PVDF</w:t>
            </w:r>
            <w:r>
              <w:rPr>
                <w:rFonts w:ascii="Times New Roman" w:hAnsi="仿宋" w:eastAsia="仿宋"/>
                <w:sz w:val="21"/>
                <w:szCs w:val="21"/>
              </w:rPr>
              <w:t>树脂</w:t>
            </w:r>
          </w:p>
        </w:tc>
        <w:tc>
          <w:tcPr>
            <w:tcW w:w="486" w:type="pct"/>
            <w:vAlign w:val="center"/>
          </w:tcPr>
          <w:p w14:paraId="76A1FBD4">
            <w:pPr>
              <w:autoSpaceDE w:val="0"/>
              <w:autoSpaceDN w:val="0"/>
              <w:adjustRightInd w:val="0"/>
              <w:jc w:val="center"/>
              <w:rPr>
                <w:rFonts w:ascii="Times New Roman" w:eastAsia="仿宋"/>
                <w:sz w:val="21"/>
                <w:szCs w:val="21"/>
              </w:rPr>
            </w:pPr>
            <w:r>
              <w:rPr>
                <w:rFonts w:ascii="Times New Roman" w:eastAsia="仿宋"/>
                <w:sz w:val="21"/>
                <w:szCs w:val="21"/>
              </w:rPr>
              <w:t>30%</w:t>
            </w:r>
          </w:p>
        </w:tc>
        <w:tc>
          <w:tcPr>
            <w:tcW w:w="499" w:type="pct"/>
            <w:vMerge w:val="continue"/>
            <w:vAlign w:val="center"/>
          </w:tcPr>
          <w:p w14:paraId="1A23279D">
            <w:pPr>
              <w:jc w:val="center"/>
              <w:rPr>
                <w:rFonts w:ascii="Times New Roman" w:eastAsia="仿宋"/>
                <w:sz w:val="21"/>
                <w:szCs w:val="21"/>
              </w:rPr>
            </w:pPr>
          </w:p>
        </w:tc>
        <w:tc>
          <w:tcPr>
            <w:tcW w:w="524" w:type="pct"/>
            <w:vMerge w:val="continue"/>
            <w:vAlign w:val="center"/>
          </w:tcPr>
          <w:p w14:paraId="2DF4A8C9">
            <w:pPr>
              <w:jc w:val="center"/>
              <w:rPr>
                <w:rFonts w:ascii="Times New Roman" w:eastAsia="仿宋"/>
                <w:sz w:val="21"/>
                <w:szCs w:val="21"/>
              </w:rPr>
            </w:pPr>
          </w:p>
        </w:tc>
        <w:tc>
          <w:tcPr>
            <w:tcW w:w="495" w:type="pct"/>
            <w:vMerge w:val="continue"/>
            <w:vAlign w:val="center"/>
          </w:tcPr>
          <w:p w14:paraId="421E4882">
            <w:pPr>
              <w:jc w:val="center"/>
              <w:rPr>
                <w:rFonts w:ascii="Times New Roman" w:eastAsia="仿宋"/>
                <w:sz w:val="21"/>
                <w:szCs w:val="21"/>
              </w:rPr>
            </w:pPr>
          </w:p>
        </w:tc>
        <w:tc>
          <w:tcPr>
            <w:tcW w:w="494" w:type="pct"/>
            <w:vMerge w:val="continue"/>
            <w:vAlign w:val="center"/>
          </w:tcPr>
          <w:p w14:paraId="2D31216A">
            <w:pPr>
              <w:jc w:val="center"/>
              <w:rPr>
                <w:rFonts w:ascii="Times New Roman" w:eastAsia="仿宋"/>
                <w:sz w:val="21"/>
                <w:szCs w:val="21"/>
              </w:rPr>
            </w:pPr>
          </w:p>
        </w:tc>
        <w:tc>
          <w:tcPr>
            <w:tcW w:w="965" w:type="pct"/>
            <w:vMerge w:val="continue"/>
            <w:vAlign w:val="center"/>
          </w:tcPr>
          <w:p w14:paraId="654993BF">
            <w:pPr>
              <w:jc w:val="center"/>
              <w:rPr>
                <w:rFonts w:ascii="Times New Roman" w:eastAsia="仿宋"/>
                <w:sz w:val="21"/>
                <w:szCs w:val="21"/>
              </w:rPr>
            </w:pPr>
          </w:p>
        </w:tc>
      </w:tr>
      <w:tr w14:paraId="5B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6DEEBAB0">
            <w:pPr>
              <w:jc w:val="center"/>
              <w:rPr>
                <w:rFonts w:ascii="Times New Roman" w:eastAsia="仿宋"/>
                <w:sz w:val="21"/>
                <w:szCs w:val="21"/>
              </w:rPr>
            </w:pPr>
          </w:p>
        </w:tc>
        <w:tc>
          <w:tcPr>
            <w:tcW w:w="246" w:type="pct"/>
            <w:vMerge w:val="continue"/>
            <w:vAlign w:val="center"/>
          </w:tcPr>
          <w:p w14:paraId="2B9120BA">
            <w:pPr>
              <w:widowControl/>
              <w:jc w:val="center"/>
              <w:rPr>
                <w:rFonts w:ascii="Times New Roman" w:eastAsia="仿宋"/>
                <w:sz w:val="21"/>
                <w:szCs w:val="21"/>
              </w:rPr>
            </w:pPr>
          </w:p>
        </w:tc>
        <w:tc>
          <w:tcPr>
            <w:tcW w:w="498" w:type="pct"/>
            <w:vMerge w:val="continue"/>
            <w:vAlign w:val="center"/>
          </w:tcPr>
          <w:p w14:paraId="29078AE3">
            <w:pPr>
              <w:jc w:val="center"/>
              <w:rPr>
                <w:rFonts w:ascii="Times New Roman" w:eastAsia="仿宋"/>
                <w:sz w:val="21"/>
                <w:szCs w:val="21"/>
              </w:rPr>
            </w:pPr>
          </w:p>
        </w:tc>
        <w:tc>
          <w:tcPr>
            <w:tcW w:w="546" w:type="pct"/>
            <w:vAlign w:val="center"/>
          </w:tcPr>
          <w:p w14:paraId="21EAF1DE">
            <w:pPr>
              <w:jc w:val="center"/>
              <w:rPr>
                <w:rFonts w:ascii="Times New Roman" w:eastAsia="仿宋"/>
                <w:sz w:val="21"/>
                <w:szCs w:val="21"/>
              </w:rPr>
            </w:pPr>
            <w:r>
              <w:rPr>
                <w:rFonts w:ascii="Times New Roman" w:hAnsi="仿宋" w:eastAsia="仿宋"/>
                <w:sz w:val="21"/>
                <w:szCs w:val="21"/>
              </w:rPr>
              <w:t>二氧化钛</w:t>
            </w:r>
          </w:p>
        </w:tc>
        <w:tc>
          <w:tcPr>
            <w:tcW w:w="486" w:type="pct"/>
            <w:vAlign w:val="center"/>
          </w:tcPr>
          <w:p w14:paraId="1630BF11">
            <w:pPr>
              <w:autoSpaceDE w:val="0"/>
              <w:autoSpaceDN w:val="0"/>
              <w:adjustRightInd w:val="0"/>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4E7D8A05">
            <w:pPr>
              <w:jc w:val="center"/>
              <w:rPr>
                <w:rFonts w:ascii="Times New Roman" w:eastAsia="仿宋"/>
                <w:sz w:val="21"/>
                <w:szCs w:val="21"/>
              </w:rPr>
            </w:pPr>
          </w:p>
        </w:tc>
        <w:tc>
          <w:tcPr>
            <w:tcW w:w="524" w:type="pct"/>
            <w:vMerge w:val="continue"/>
            <w:vAlign w:val="center"/>
          </w:tcPr>
          <w:p w14:paraId="18870D8F">
            <w:pPr>
              <w:jc w:val="center"/>
              <w:rPr>
                <w:rFonts w:ascii="Times New Roman" w:eastAsia="仿宋"/>
                <w:sz w:val="21"/>
                <w:szCs w:val="21"/>
              </w:rPr>
            </w:pPr>
          </w:p>
        </w:tc>
        <w:tc>
          <w:tcPr>
            <w:tcW w:w="495" w:type="pct"/>
            <w:vMerge w:val="continue"/>
            <w:vAlign w:val="center"/>
          </w:tcPr>
          <w:p w14:paraId="31AED069">
            <w:pPr>
              <w:jc w:val="center"/>
              <w:rPr>
                <w:rFonts w:ascii="Times New Roman" w:eastAsia="仿宋"/>
                <w:sz w:val="21"/>
                <w:szCs w:val="21"/>
              </w:rPr>
            </w:pPr>
          </w:p>
        </w:tc>
        <w:tc>
          <w:tcPr>
            <w:tcW w:w="494" w:type="pct"/>
            <w:vMerge w:val="continue"/>
            <w:vAlign w:val="center"/>
          </w:tcPr>
          <w:p w14:paraId="2C49873A">
            <w:pPr>
              <w:jc w:val="center"/>
              <w:rPr>
                <w:rFonts w:ascii="Times New Roman" w:eastAsia="仿宋"/>
                <w:sz w:val="21"/>
                <w:szCs w:val="21"/>
              </w:rPr>
            </w:pPr>
          </w:p>
        </w:tc>
        <w:tc>
          <w:tcPr>
            <w:tcW w:w="965" w:type="pct"/>
            <w:vMerge w:val="continue"/>
            <w:vAlign w:val="center"/>
          </w:tcPr>
          <w:p w14:paraId="53CF45EF">
            <w:pPr>
              <w:jc w:val="center"/>
              <w:rPr>
                <w:rFonts w:ascii="Times New Roman" w:eastAsia="仿宋"/>
                <w:sz w:val="21"/>
                <w:szCs w:val="21"/>
              </w:rPr>
            </w:pPr>
          </w:p>
        </w:tc>
      </w:tr>
      <w:tr w14:paraId="6D1A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46" w:type="pct"/>
            <w:vMerge w:val="continue"/>
            <w:vAlign w:val="center"/>
          </w:tcPr>
          <w:p w14:paraId="1B0DDBFB">
            <w:pPr>
              <w:jc w:val="center"/>
              <w:rPr>
                <w:rFonts w:ascii="Times New Roman" w:eastAsia="仿宋"/>
                <w:sz w:val="21"/>
                <w:szCs w:val="21"/>
              </w:rPr>
            </w:pPr>
          </w:p>
        </w:tc>
        <w:tc>
          <w:tcPr>
            <w:tcW w:w="246" w:type="pct"/>
            <w:vMerge w:val="continue"/>
            <w:vAlign w:val="center"/>
          </w:tcPr>
          <w:p w14:paraId="3BA8E487">
            <w:pPr>
              <w:widowControl/>
              <w:jc w:val="center"/>
              <w:rPr>
                <w:rFonts w:ascii="Times New Roman" w:eastAsia="仿宋"/>
                <w:sz w:val="21"/>
                <w:szCs w:val="21"/>
              </w:rPr>
            </w:pPr>
          </w:p>
        </w:tc>
        <w:tc>
          <w:tcPr>
            <w:tcW w:w="498" w:type="pct"/>
            <w:vMerge w:val="continue"/>
            <w:vAlign w:val="center"/>
          </w:tcPr>
          <w:p w14:paraId="0552D883">
            <w:pPr>
              <w:jc w:val="center"/>
              <w:rPr>
                <w:rFonts w:ascii="Times New Roman" w:eastAsia="仿宋"/>
                <w:sz w:val="21"/>
                <w:szCs w:val="21"/>
              </w:rPr>
            </w:pPr>
          </w:p>
        </w:tc>
        <w:tc>
          <w:tcPr>
            <w:tcW w:w="546" w:type="pct"/>
            <w:vAlign w:val="center"/>
          </w:tcPr>
          <w:p w14:paraId="118A8772">
            <w:pPr>
              <w:autoSpaceDE w:val="0"/>
              <w:autoSpaceDN w:val="0"/>
              <w:adjustRightInd w:val="0"/>
              <w:jc w:val="center"/>
              <w:rPr>
                <w:rFonts w:ascii="Times New Roman" w:eastAsia="仿宋"/>
                <w:sz w:val="21"/>
                <w:szCs w:val="21"/>
              </w:rPr>
            </w:pPr>
            <w:r>
              <w:rPr>
                <w:rFonts w:ascii="Times New Roman" w:hAnsi="仿宋" w:eastAsia="仿宋"/>
                <w:sz w:val="21"/>
                <w:szCs w:val="21"/>
              </w:rPr>
              <w:t>二价酸酯</w:t>
            </w:r>
          </w:p>
        </w:tc>
        <w:tc>
          <w:tcPr>
            <w:tcW w:w="486" w:type="pct"/>
            <w:vAlign w:val="center"/>
          </w:tcPr>
          <w:p w14:paraId="7AAE9B7B">
            <w:pPr>
              <w:autoSpaceDE w:val="0"/>
              <w:autoSpaceDN w:val="0"/>
              <w:adjustRightInd w:val="0"/>
              <w:jc w:val="center"/>
              <w:rPr>
                <w:rFonts w:ascii="Times New Roman" w:eastAsia="仿宋"/>
                <w:sz w:val="21"/>
                <w:szCs w:val="21"/>
              </w:rPr>
            </w:pPr>
            <w:r>
              <w:rPr>
                <w:rFonts w:ascii="Times New Roman" w:eastAsia="仿宋"/>
                <w:sz w:val="21"/>
                <w:szCs w:val="21"/>
              </w:rPr>
              <w:t>15%</w:t>
            </w:r>
          </w:p>
        </w:tc>
        <w:tc>
          <w:tcPr>
            <w:tcW w:w="499" w:type="pct"/>
            <w:vMerge w:val="continue"/>
            <w:vAlign w:val="center"/>
          </w:tcPr>
          <w:p w14:paraId="549D7D71">
            <w:pPr>
              <w:jc w:val="center"/>
              <w:rPr>
                <w:rFonts w:ascii="Times New Roman" w:eastAsia="仿宋"/>
                <w:sz w:val="21"/>
                <w:szCs w:val="21"/>
              </w:rPr>
            </w:pPr>
          </w:p>
        </w:tc>
        <w:tc>
          <w:tcPr>
            <w:tcW w:w="524" w:type="pct"/>
            <w:vMerge w:val="continue"/>
            <w:vAlign w:val="center"/>
          </w:tcPr>
          <w:p w14:paraId="12EBF6D5">
            <w:pPr>
              <w:jc w:val="center"/>
              <w:rPr>
                <w:rFonts w:ascii="Times New Roman" w:eastAsia="仿宋"/>
                <w:sz w:val="21"/>
                <w:szCs w:val="21"/>
              </w:rPr>
            </w:pPr>
          </w:p>
        </w:tc>
        <w:tc>
          <w:tcPr>
            <w:tcW w:w="495" w:type="pct"/>
            <w:vMerge w:val="continue"/>
            <w:vAlign w:val="center"/>
          </w:tcPr>
          <w:p w14:paraId="588B7FEE">
            <w:pPr>
              <w:jc w:val="center"/>
              <w:rPr>
                <w:rFonts w:ascii="Times New Roman" w:eastAsia="仿宋"/>
                <w:sz w:val="21"/>
                <w:szCs w:val="21"/>
              </w:rPr>
            </w:pPr>
          </w:p>
        </w:tc>
        <w:tc>
          <w:tcPr>
            <w:tcW w:w="494" w:type="pct"/>
            <w:vMerge w:val="continue"/>
            <w:vAlign w:val="center"/>
          </w:tcPr>
          <w:p w14:paraId="7DE714CD">
            <w:pPr>
              <w:jc w:val="center"/>
              <w:rPr>
                <w:rFonts w:ascii="Times New Roman" w:eastAsia="仿宋"/>
                <w:sz w:val="21"/>
                <w:szCs w:val="21"/>
              </w:rPr>
            </w:pPr>
          </w:p>
        </w:tc>
        <w:tc>
          <w:tcPr>
            <w:tcW w:w="965" w:type="pct"/>
            <w:vMerge w:val="continue"/>
            <w:vAlign w:val="center"/>
          </w:tcPr>
          <w:p w14:paraId="6B7D63FA">
            <w:pPr>
              <w:jc w:val="center"/>
              <w:rPr>
                <w:rFonts w:ascii="Times New Roman" w:eastAsia="仿宋"/>
                <w:sz w:val="21"/>
                <w:szCs w:val="21"/>
              </w:rPr>
            </w:pPr>
          </w:p>
        </w:tc>
      </w:tr>
      <w:tr w14:paraId="52CC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31E8419F">
            <w:pPr>
              <w:jc w:val="center"/>
              <w:rPr>
                <w:rFonts w:ascii="Times New Roman" w:eastAsia="仿宋"/>
                <w:sz w:val="21"/>
                <w:szCs w:val="21"/>
              </w:rPr>
            </w:pPr>
          </w:p>
        </w:tc>
        <w:tc>
          <w:tcPr>
            <w:tcW w:w="246" w:type="pct"/>
            <w:vMerge w:val="continue"/>
            <w:vAlign w:val="center"/>
          </w:tcPr>
          <w:p w14:paraId="3C49058D">
            <w:pPr>
              <w:widowControl/>
              <w:jc w:val="center"/>
              <w:rPr>
                <w:rFonts w:ascii="Times New Roman" w:eastAsia="仿宋"/>
                <w:sz w:val="21"/>
                <w:szCs w:val="21"/>
              </w:rPr>
            </w:pPr>
          </w:p>
        </w:tc>
        <w:tc>
          <w:tcPr>
            <w:tcW w:w="498" w:type="pct"/>
            <w:vMerge w:val="continue"/>
            <w:vAlign w:val="center"/>
          </w:tcPr>
          <w:p w14:paraId="2010D5AD">
            <w:pPr>
              <w:jc w:val="center"/>
              <w:rPr>
                <w:rFonts w:ascii="Times New Roman" w:eastAsia="仿宋"/>
                <w:sz w:val="21"/>
                <w:szCs w:val="21"/>
              </w:rPr>
            </w:pPr>
          </w:p>
        </w:tc>
        <w:tc>
          <w:tcPr>
            <w:tcW w:w="546" w:type="pct"/>
            <w:vAlign w:val="center"/>
          </w:tcPr>
          <w:p w14:paraId="5213B202">
            <w:pPr>
              <w:autoSpaceDE w:val="0"/>
              <w:autoSpaceDN w:val="0"/>
              <w:adjustRightInd w:val="0"/>
              <w:jc w:val="center"/>
              <w:rPr>
                <w:rFonts w:ascii="Times New Roman" w:eastAsia="仿宋"/>
                <w:sz w:val="21"/>
                <w:szCs w:val="21"/>
              </w:rPr>
            </w:pPr>
            <w:r>
              <w:rPr>
                <w:rFonts w:ascii="Times New Roman" w:hAnsi="仿宋" w:eastAsia="仿宋"/>
                <w:sz w:val="21"/>
                <w:szCs w:val="21"/>
              </w:rPr>
              <w:t>邻苯二甲酸二甲酯</w:t>
            </w:r>
          </w:p>
        </w:tc>
        <w:tc>
          <w:tcPr>
            <w:tcW w:w="486" w:type="pct"/>
            <w:vAlign w:val="center"/>
          </w:tcPr>
          <w:p w14:paraId="09C6569F">
            <w:pPr>
              <w:autoSpaceDE w:val="0"/>
              <w:autoSpaceDN w:val="0"/>
              <w:adjustRightInd w:val="0"/>
              <w:jc w:val="center"/>
              <w:rPr>
                <w:rFonts w:ascii="Times New Roman" w:eastAsia="仿宋"/>
                <w:sz w:val="21"/>
                <w:szCs w:val="21"/>
              </w:rPr>
            </w:pPr>
            <w:r>
              <w:rPr>
                <w:rFonts w:ascii="Times New Roman" w:eastAsia="仿宋"/>
                <w:sz w:val="21"/>
                <w:szCs w:val="21"/>
              </w:rPr>
              <w:t>5%</w:t>
            </w:r>
          </w:p>
        </w:tc>
        <w:tc>
          <w:tcPr>
            <w:tcW w:w="499" w:type="pct"/>
            <w:vMerge w:val="continue"/>
            <w:vAlign w:val="center"/>
          </w:tcPr>
          <w:p w14:paraId="71D7B798">
            <w:pPr>
              <w:jc w:val="center"/>
              <w:rPr>
                <w:rFonts w:ascii="Times New Roman" w:eastAsia="仿宋"/>
                <w:sz w:val="21"/>
                <w:szCs w:val="21"/>
              </w:rPr>
            </w:pPr>
          </w:p>
        </w:tc>
        <w:tc>
          <w:tcPr>
            <w:tcW w:w="524" w:type="pct"/>
            <w:vMerge w:val="continue"/>
            <w:vAlign w:val="center"/>
          </w:tcPr>
          <w:p w14:paraId="073B3239">
            <w:pPr>
              <w:jc w:val="center"/>
              <w:rPr>
                <w:rFonts w:ascii="Times New Roman" w:eastAsia="仿宋"/>
                <w:sz w:val="21"/>
                <w:szCs w:val="21"/>
              </w:rPr>
            </w:pPr>
          </w:p>
        </w:tc>
        <w:tc>
          <w:tcPr>
            <w:tcW w:w="495" w:type="pct"/>
            <w:vMerge w:val="continue"/>
            <w:vAlign w:val="center"/>
          </w:tcPr>
          <w:p w14:paraId="003DC979">
            <w:pPr>
              <w:jc w:val="center"/>
              <w:rPr>
                <w:rFonts w:ascii="Times New Roman" w:eastAsia="仿宋"/>
                <w:sz w:val="21"/>
                <w:szCs w:val="21"/>
              </w:rPr>
            </w:pPr>
          </w:p>
        </w:tc>
        <w:tc>
          <w:tcPr>
            <w:tcW w:w="494" w:type="pct"/>
            <w:vMerge w:val="restart"/>
            <w:vAlign w:val="center"/>
          </w:tcPr>
          <w:p w14:paraId="7201F7B1">
            <w:pPr>
              <w:jc w:val="center"/>
              <w:rPr>
                <w:rFonts w:ascii="Times New Roman" w:eastAsia="仿宋"/>
                <w:sz w:val="21"/>
                <w:szCs w:val="21"/>
              </w:rPr>
            </w:pPr>
            <w:r>
              <w:rPr>
                <w:rFonts w:ascii="Times New Roman" w:eastAsia="仿宋"/>
                <w:sz w:val="21"/>
                <w:szCs w:val="21"/>
                <w:lang w:bidi="ar"/>
              </w:rPr>
              <w:t>690</w:t>
            </w:r>
          </w:p>
        </w:tc>
        <w:tc>
          <w:tcPr>
            <w:tcW w:w="965" w:type="pct"/>
            <w:vMerge w:val="restart"/>
            <w:vAlign w:val="center"/>
          </w:tcPr>
          <w:p w14:paraId="0E7296E9">
            <w:pPr>
              <w:jc w:val="center"/>
              <w:rPr>
                <w:rFonts w:ascii="Times New Roman" w:eastAsia="仿宋"/>
                <w:sz w:val="21"/>
                <w:szCs w:val="21"/>
              </w:rPr>
            </w:pPr>
            <w:r>
              <w:rPr>
                <w:rFonts w:hint="eastAsia" w:ascii="Times New Roman" w:eastAsia="仿宋"/>
                <w:sz w:val="21"/>
                <w:szCs w:val="21"/>
              </w:rPr>
              <w:t>GB32/T3500-2019中整车涂料中面漆标准</w:t>
            </w:r>
          </w:p>
        </w:tc>
      </w:tr>
      <w:tr w14:paraId="0D9D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54836E4B">
            <w:pPr>
              <w:jc w:val="center"/>
              <w:rPr>
                <w:rFonts w:ascii="Times New Roman" w:eastAsia="仿宋"/>
                <w:sz w:val="21"/>
                <w:szCs w:val="21"/>
              </w:rPr>
            </w:pPr>
          </w:p>
        </w:tc>
        <w:tc>
          <w:tcPr>
            <w:tcW w:w="246" w:type="pct"/>
            <w:vMerge w:val="continue"/>
            <w:vAlign w:val="center"/>
          </w:tcPr>
          <w:p w14:paraId="248CDBC9">
            <w:pPr>
              <w:widowControl/>
              <w:jc w:val="center"/>
              <w:rPr>
                <w:rFonts w:ascii="Times New Roman" w:eastAsia="仿宋"/>
                <w:sz w:val="21"/>
                <w:szCs w:val="21"/>
              </w:rPr>
            </w:pPr>
          </w:p>
        </w:tc>
        <w:tc>
          <w:tcPr>
            <w:tcW w:w="498" w:type="pct"/>
            <w:vMerge w:val="continue"/>
            <w:vAlign w:val="center"/>
          </w:tcPr>
          <w:p w14:paraId="6EB3A684">
            <w:pPr>
              <w:jc w:val="center"/>
              <w:rPr>
                <w:rFonts w:ascii="Times New Roman" w:eastAsia="仿宋"/>
                <w:sz w:val="21"/>
                <w:szCs w:val="21"/>
              </w:rPr>
            </w:pPr>
          </w:p>
        </w:tc>
        <w:tc>
          <w:tcPr>
            <w:tcW w:w="546" w:type="pct"/>
            <w:vAlign w:val="center"/>
          </w:tcPr>
          <w:p w14:paraId="2704A8CA">
            <w:pPr>
              <w:autoSpaceDE w:val="0"/>
              <w:autoSpaceDN w:val="0"/>
              <w:adjustRightInd w:val="0"/>
              <w:jc w:val="center"/>
              <w:rPr>
                <w:rFonts w:ascii="Times New Roman" w:eastAsia="仿宋"/>
                <w:sz w:val="21"/>
                <w:szCs w:val="21"/>
              </w:rPr>
            </w:pPr>
            <w:r>
              <w:rPr>
                <w:rFonts w:ascii="Times New Roman" w:hAnsi="仿宋" w:eastAsia="仿宋"/>
                <w:sz w:val="21"/>
                <w:szCs w:val="21"/>
              </w:rPr>
              <w:t>二甲苯</w:t>
            </w:r>
          </w:p>
        </w:tc>
        <w:tc>
          <w:tcPr>
            <w:tcW w:w="486" w:type="pct"/>
            <w:vAlign w:val="center"/>
          </w:tcPr>
          <w:p w14:paraId="5FED5C9F">
            <w:pPr>
              <w:autoSpaceDE w:val="0"/>
              <w:autoSpaceDN w:val="0"/>
              <w:adjustRightInd w:val="0"/>
              <w:jc w:val="center"/>
              <w:rPr>
                <w:rFonts w:ascii="Times New Roman" w:eastAsia="仿宋"/>
                <w:sz w:val="21"/>
                <w:szCs w:val="21"/>
              </w:rPr>
            </w:pPr>
            <w:r>
              <w:rPr>
                <w:rFonts w:ascii="Times New Roman" w:eastAsia="仿宋"/>
                <w:sz w:val="21"/>
                <w:szCs w:val="21"/>
              </w:rPr>
              <w:t>24.5%</w:t>
            </w:r>
          </w:p>
        </w:tc>
        <w:tc>
          <w:tcPr>
            <w:tcW w:w="499" w:type="pct"/>
            <w:vMerge w:val="continue"/>
            <w:vAlign w:val="center"/>
          </w:tcPr>
          <w:p w14:paraId="443C78E1">
            <w:pPr>
              <w:jc w:val="center"/>
              <w:rPr>
                <w:rFonts w:ascii="Times New Roman" w:eastAsia="仿宋"/>
                <w:sz w:val="21"/>
                <w:szCs w:val="21"/>
              </w:rPr>
            </w:pPr>
          </w:p>
        </w:tc>
        <w:tc>
          <w:tcPr>
            <w:tcW w:w="524" w:type="pct"/>
            <w:vMerge w:val="continue"/>
            <w:vAlign w:val="center"/>
          </w:tcPr>
          <w:p w14:paraId="1205EE2C">
            <w:pPr>
              <w:jc w:val="center"/>
              <w:rPr>
                <w:rFonts w:ascii="Times New Roman" w:eastAsia="仿宋"/>
                <w:sz w:val="21"/>
                <w:szCs w:val="21"/>
              </w:rPr>
            </w:pPr>
          </w:p>
        </w:tc>
        <w:tc>
          <w:tcPr>
            <w:tcW w:w="495" w:type="pct"/>
            <w:vMerge w:val="continue"/>
            <w:vAlign w:val="center"/>
          </w:tcPr>
          <w:p w14:paraId="3BA15363">
            <w:pPr>
              <w:jc w:val="center"/>
              <w:rPr>
                <w:rFonts w:ascii="Times New Roman" w:eastAsia="仿宋"/>
                <w:sz w:val="21"/>
                <w:szCs w:val="21"/>
              </w:rPr>
            </w:pPr>
          </w:p>
        </w:tc>
        <w:tc>
          <w:tcPr>
            <w:tcW w:w="494" w:type="pct"/>
            <w:vMerge w:val="continue"/>
            <w:vAlign w:val="center"/>
          </w:tcPr>
          <w:p w14:paraId="1A779F80">
            <w:pPr>
              <w:jc w:val="center"/>
              <w:rPr>
                <w:rFonts w:ascii="Times New Roman" w:eastAsia="仿宋"/>
                <w:sz w:val="21"/>
                <w:szCs w:val="21"/>
              </w:rPr>
            </w:pPr>
          </w:p>
        </w:tc>
        <w:tc>
          <w:tcPr>
            <w:tcW w:w="965" w:type="pct"/>
            <w:vMerge w:val="continue"/>
            <w:vAlign w:val="center"/>
          </w:tcPr>
          <w:p w14:paraId="68657897">
            <w:pPr>
              <w:jc w:val="center"/>
              <w:rPr>
                <w:rFonts w:ascii="Times New Roman" w:eastAsia="仿宋"/>
                <w:sz w:val="21"/>
                <w:szCs w:val="21"/>
              </w:rPr>
            </w:pPr>
          </w:p>
        </w:tc>
      </w:tr>
      <w:tr w14:paraId="4672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vMerge w:val="continue"/>
            <w:vAlign w:val="center"/>
          </w:tcPr>
          <w:p w14:paraId="355F374D">
            <w:pPr>
              <w:jc w:val="center"/>
              <w:rPr>
                <w:rFonts w:ascii="Times New Roman" w:eastAsia="仿宋"/>
                <w:sz w:val="21"/>
                <w:szCs w:val="21"/>
              </w:rPr>
            </w:pPr>
          </w:p>
        </w:tc>
        <w:tc>
          <w:tcPr>
            <w:tcW w:w="246" w:type="pct"/>
            <w:vMerge w:val="continue"/>
            <w:vAlign w:val="center"/>
          </w:tcPr>
          <w:p w14:paraId="2D30623F">
            <w:pPr>
              <w:widowControl/>
              <w:jc w:val="center"/>
              <w:rPr>
                <w:rFonts w:ascii="Times New Roman" w:eastAsia="仿宋"/>
                <w:sz w:val="21"/>
                <w:szCs w:val="21"/>
              </w:rPr>
            </w:pPr>
          </w:p>
        </w:tc>
        <w:tc>
          <w:tcPr>
            <w:tcW w:w="498" w:type="pct"/>
            <w:vMerge w:val="continue"/>
            <w:vAlign w:val="center"/>
          </w:tcPr>
          <w:p w14:paraId="7C4697E2">
            <w:pPr>
              <w:jc w:val="center"/>
              <w:rPr>
                <w:rFonts w:ascii="Times New Roman" w:eastAsia="仿宋"/>
                <w:sz w:val="21"/>
                <w:szCs w:val="21"/>
              </w:rPr>
            </w:pPr>
          </w:p>
        </w:tc>
        <w:tc>
          <w:tcPr>
            <w:tcW w:w="546" w:type="pct"/>
            <w:vAlign w:val="center"/>
          </w:tcPr>
          <w:p w14:paraId="28647127">
            <w:pPr>
              <w:autoSpaceDE w:val="0"/>
              <w:autoSpaceDN w:val="0"/>
              <w:adjustRightInd w:val="0"/>
              <w:jc w:val="center"/>
              <w:rPr>
                <w:rFonts w:ascii="Times New Roman" w:eastAsia="仿宋"/>
                <w:sz w:val="21"/>
                <w:szCs w:val="21"/>
              </w:rPr>
            </w:pPr>
            <w:r>
              <w:rPr>
                <w:rFonts w:ascii="Times New Roman" w:hAnsi="仿宋" w:eastAsia="仿宋"/>
                <w:sz w:val="21"/>
                <w:szCs w:val="21"/>
              </w:rPr>
              <w:t>助剂</w:t>
            </w:r>
          </w:p>
        </w:tc>
        <w:tc>
          <w:tcPr>
            <w:tcW w:w="486" w:type="pct"/>
            <w:vAlign w:val="center"/>
          </w:tcPr>
          <w:p w14:paraId="3BF61998">
            <w:pPr>
              <w:autoSpaceDE w:val="0"/>
              <w:autoSpaceDN w:val="0"/>
              <w:adjustRightInd w:val="0"/>
              <w:jc w:val="center"/>
              <w:rPr>
                <w:rFonts w:ascii="Times New Roman" w:eastAsia="仿宋"/>
                <w:sz w:val="21"/>
                <w:szCs w:val="21"/>
              </w:rPr>
            </w:pPr>
            <w:r>
              <w:rPr>
                <w:rFonts w:ascii="Times New Roman" w:eastAsia="仿宋"/>
                <w:sz w:val="21"/>
                <w:szCs w:val="21"/>
              </w:rPr>
              <w:t>3 %</w:t>
            </w:r>
          </w:p>
        </w:tc>
        <w:tc>
          <w:tcPr>
            <w:tcW w:w="499" w:type="pct"/>
            <w:vMerge w:val="continue"/>
            <w:vAlign w:val="center"/>
          </w:tcPr>
          <w:p w14:paraId="469596A7">
            <w:pPr>
              <w:jc w:val="center"/>
              <w:rPr>
                <w:rFonts w:ascii="Times New Roman" w:eastAsia="仿宋"/>
                <w:sz w:val="21"/>
                <w:szCs w:val="21"/>
              </w:rPr>
            </w:pPr>
          </w:p>
        </w:tc>
        <w:tc>
          <w:tcPr>
            <w:tcW w:w="524" w:type="pct"/>
            <w:vMerge w:val="continue"/>
            <w:vAlign w:val="center"/>
          </w:tcPr>
          <w:p w14:paraId="27A13577">
            <w:pPr>
              <w:jc w:val="center"/>
              <w:rPr>
                <w:rFonts w:ascii="Times New Roman" w:eastAsia="仿宋"/>
                <w:sz w:val="21"/>
                <w:szCs w:val="21"/>
              </w:rPr>
            </w:pPr>
          </w:p>
        </w:tc>
        <w:tc>
          <w:tcPr>
            <w:tcW w:w="495" w:type="pct"/>
            <w:vMerge w:val="continue"/>
            <w:vAlign w:val="center"/>
          </w:tcPr>
          <w:p w14:paraId="215DB9E4">
            <w:pPr>
              <w:jc w:val="center"/>
              <w:rPr>
                <w:rFonts w:ascii="Times New Roman" w:eastAsia="仿宋"/>
                <w:sz w:val="21"/>
                <w:szCs w:val="21"/>
              </w:rPr>
            </w:pPr>
          </w:p>
        </w:tc>
        <w:tc>
          <w:tcPr>
            <w:tcW w:w="494" w:type="pct"/>
            <w:vMerge w:val="continue"/>
            <w:vAlign w:val="center"/>
          </w:tcPr>
          <w:p w14:paraId="474E4174">
            <w:pPr>
              <w:jc w:val="center"/>
              <w:rPr>
                <w:rFonts w:ascii="Times New Roman" w:eastAsia="仿宋"/>
                <w:sz w:val="21"/>
                <w:szCs w:val="21"/>
              </w:rPr>
            </w:pPr>
          </w:p>
        </w:tc>
        <w:tc>
          <w:tcPr>
            <w:tcW w:w="965" w:type="pct"/>
            <w:vMerge w:val="continue"/>
            <w:vAlign w:val="center"/>
          </w:tcPr>
          <w:p w14:paraId="75316651">
            <w:pPr>
              <w:jc w:val="center"/>
              <w:rPr>
                <w:rFonts w:ascii="Times New Roman" w:eastAsia="仿宋"/>
                <w:sz w:val="21"/>
                <w:szCs w:val="21"/>
              </w:rPr>
            </w:pPr>
          </w:p>
        </w:tc>
      </w:tr>
      <w:tr w14:paraId="0991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vMerge w:val="continue"/>
            <w:vAlign w:val="center"/>
          </w:tcPr>
          <w:p w14:paraId="3E9BB5D9">
            <w:pPr>
              <w:jc w:val="center"/>
              <w:rPr>
                <w:rFonts w:ascii="Times New Roman" w:eastAsia="仿宋"/>
                <w:sz w:val="21"/>
                <w:szCs w:val="21"/>
              </w:rPr>
            </w:pPr>
          </w:p>
        </w:tc>
        <w:tc>
          <w:tcPr>
            <w:tcW w:w="246" w:type="pct"/>
            <w:vMerge w:val="restart"/>
            <w:vAlign w:val="center"/>
          </w:tcPr>
          <w:p w14:paraId="631FEB39">
            <w:pPr>
              <w:widowControl/>
              <w:jc w:val="center"/>
              <w:rPr>
                <w:rFonts w:ascii="Times New Roman" w:eastAsia="仿宋"/>
                <w:sz w:val="21"/>
                <w:szCs w:val="21"/>
              </w:rPr>
            </w:pPr>
            <w:r>
              <w:rPr>
                <w:rFonts w:ascii="Times New Roman" w:hAnsi="仿宋" w:eastAsia="仿宋"/>
                <w:sz w:val="21"/>
                <w:szCs w:val="21"/>
              </w:rPr>
              <w:t>稀释剂</w:t>
            </w:r>
          </w:p>
        </w:tc>
        <w:tc>
          <w:tcPr>
            <w:tcW w:w="498" w:type="pct"/>
            <w:vMerge w:val="restart"/>
            <w:vAlign w:val="center"/>
          </w:tcPr>
          <w:p w14:paraId="5A37FBCA">
            <w:pPr>
              <w:jc w:val="center"/>
              <w:rPr>
                <w:rFonts w:ascii="Times New Roman" w:eastAsia="仿宋"/>
                <w:sz w:val="21"/>
                <w:szCs w:val="21"/>
              </w:rPr>
            </w:pPr>
            <w:r>
              <w:rPr>
                <w:rFonts w:ascii="Times New Roman" w:eastAsia="仿宋"/>
                <w:sz w:val="21"/>
                <w:szCs w:val="21"/>
              </w:rPr>
              <w:t>19.1</w:t>
            </w:r>
          </w:p>
        </w:tc>
        <w:tc>
          <w:tcPr>
            <w:tcW w:w="546" w:type="pct"/>
            <w:vAlign w:val="center"/>
          </w:tcPr>
          <w:p w14:paraId="25489436">
            <w:pPr>
              <w:jc w:val="center"/>
              <w:rPr>
                <w:rFonts w:ascii="Times New Roman" w:eastAsia="仿宋"/>
                <w:sz w:val="21"/>
                <w:szCs w:val="21"/>
              </w:rPr>
            </w:pPr>
            <w:r>
              <w:rPr>
                <w:rFonts w:ascii="Times New Roman" w:hAnsi="仿宋" w:eastAsia="仿宋"/>
                <w:sz w:val="21"/>
                <w:szCs w:val="21"/>
              </w:rPr>
              <w:t>乙醇</w:t>
            </w:r>
          </w:p>
        </w:tc>
        <w:tc>
          <w:tcPr>
            <w:tcW w:w="486" w:type="pct"/>
            <w:vAlign w:val="center"/>
          </w:tcPr>
          <w:p w14:paraId="484AA0FD">
            <w:pPr>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77A84993">
            <w:pPr>
              <w:jc w:val="center"/>
              <w:rPr>
                <w:rFonts w:ascii="Times New Roman" w:eastAsia="仿宋"/>
                <w:sz w:val="21"/>
                <w:szCs w:val="21"/>
              </w:rPr>
            </w:pPr>
          </w:p>
        </w:tc>
        <w:tc>
          <w:tcPr>
            <w:tcW w:w="524" w:type="pct"/>
            <w:vMerge w:val="continue"/>
            <w:vAlign w:val="center"/>
          </w:tcPr>
          <w:p w14:paraId="1D85E216">
            <w:pPr>
              <w:jc w:val="center"/>
              <w:rPr>
                <w:rFonts w:ascii="Times New Roman" w:eastAsia="仿宋"/>
                <w:sz w:val="21"/>
                <w:szCs w:val="21"/>
              </w:rPr>
            </w:pPr>
          </w:p>
        </w:tc>
        <w:tc>
          <w:tcPr>
            <w:tcW w:w="495" w:type="pct"/>
            <w:vMerge w:val="continue"/>
            <w:vAlign w:val="center"/>
          </w:tcPr>
          <w:p w14:paraId="23A6F091">
            <w:pPr>
              <w:jc w:val="center"/>
              <w:rPr>
                <w:rFonts w:ascii="Times New Roman" w:eastAsia="仿宋"/>
                <w:sz w:val="21"/>
                <w:szCs w:val="21"/>
              </w:rPr>
            </w:pPr>
          </w:p>
        </w:tc>
        <w:tc>
          <w:tcPr>
            <w:tcW w:w="494" w:type="pct"/>
            <w:vMerge w:val="continue"/>
            <w:vAlign w:val="center"/>
          </w:tcPr>
          <w:p w14:paraId="3F432BA5">
            <w:pPr>
              <w:jc w:val="center"/>
              <w:rPr>
                <w:rFonts w:ascii="Times New Roman" w:eastAsia="仿宋"/>
                <w:sz w:val="21"/>
                <w:szCs w:val="21"/>
              </w:rPr>
            </w:pPr>
          </w:p>
        </w:tc>
        <w:tc>
          <w:tcPr>
            <w:tcW w:w="965" w:type="pct"/>
            <w:vMerge w:val="continue"/>
            <w:vAlign w:val="center"/>
          </w:tcPr>
          <w:p w14:paraId="33732A89">
            <w:pPr>
              <w:jc w:val="center"/>
              <w:rPr>
                <w:rFonts w:ascii="Times New Roman" w:eastAsia="仿宋"/>
                <w:sz w:val="21"/>
                <w:szCs w:val="21"/>
              </w:rPr>
            </w:pPr>
          </w:p>
        </w:tc>
      </w:tr>
      <w:tr w14:paraId="6CD3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vMerge w:val="continue"/>
            <w:vAlign w:val="center"/>
          </w:tcPr>
          <w:p w14:paraId="3DD6F462">
            <w:pPr>
              <w:jc w:val="center"/>
              <w:rPr>
                <w:rFonts w:ascii="Times New Roman" w:eastAsia="仿宋"/>
                <w:sz w:val="21"/>
                <w:szCs w:val="21"/>
              </w:rPr>
            </w:pPr>
          </w:p>
        </w:tc>
        <w:tc>
          <w:tcPr>
            <w:tcW w:w="246" w:type="pct"/>
            <w:vMerge w:val="continue"/>
            <w:vAlign w:val="center"/>
          </w:tcPr>
          <w:p w14:paraId="1EC3C006">
            <w:pPr>
              <w:widowControl/>
              <w:jc w:val="center"/>
              <w:rPr>
                <w:rFonts w:ascii="Times New Roman" w:eastAsia="仿宋"/>
                <w:sz w:val="21"/>
                <w:szCs w:val="21"/>
              </w:rPr>
            </w:pPr>
          </w:p>
        </w:tc>
        <w:tc>
          <w:tcPr>
            <w:tcW w:w="498" w:type="pct"/>
            <w:vMerge w:val="continue"/>
            <w:vAlign w:val="center"/>
          </w:tcPr>
          <w:p w14:paraId="03550C5B">
            <w:pPr>
              <w:jc w:val="center"/>
              <w:rPr>
                <w:rFonts w:ascii="Times New Roman" w:eastAsia="仿宋"/>
                <w:sz w:val="21"/>
                <w:szCs w:val="21"/>
              </w:rPr>
            </w:pPr>
          </w:p>
        </w:tc>
        <w:tc>
          <w:tcPr>
            <w:tcW w:w="546" w:type="pct"/>
            <w:vAlign w:val="center"/>
          </w:tcPr>
          <w:p w14:paraId="592025C8">
            <w:pPr>
              <w:jc w:val="center"/>
              <w:rPr>
                <w:rFonts w:ascii="Times New Roman" w:eastAsia="仿宋"/>
                <w:sz w:val="21"/>
                <w:szCs w:val="21"/>
              </w:rPr>
            </w:pPr>
            <w:r>
              <w:rPr>
                <w:rFonts w:ascii="Times New Roman" w:hAnsi="仿宋" w:eastAsia="仿宋"/>
                <w:sz w:val="21"/>
                <w:szCs w:val="21"/>
              </w:rPr>
              <w:t>环己酮</w:t>
            </w:r>
          </w:p>
        </w:tc>
        <w:tc>
          <w:tcPr>
            <w:tcW w:w="486" w:type="pct"/>
            <w:vAlign w:val="center"/>
          </w:tcPr>
          <w:p w14:paraId="0AB28577">
            <w:pPr>
              <w:jc w:val="center"/>
              <w:rPr>
                <w:rFonts w:ascii="Times New Roman" w:eastAsia="仿宋"/>
                <w:sz w:val="21"/>
                <w:szCs w:val="21"/>
              </w:rPr>
            </w:pPr>
            <w:r>
              <w:rPr>
                <w:rFonts w:ascii="Times New Roman" w:eastAsia="仿宋"/>
                <w:sz w:val="21"/>
                <w:szCs w:val="21"/>
              </w:rPr>
              <w:t>10%</w:t>
            </w:r>
          </w:p>
        </w:tc>
        <w:tc>
          <w:tcPr>
            <w:tcW w:w="499" w:type="pct"/>
            <w:vMerge w:val="continue"/>
            <w:vAlign w:val="center"/>
          </w:tcPr>
          <w:p w14:paraId="1E28B178">
            <w:pPr>
              <w:jc w:val="center"/>
              <w:rPr>
                <w:rFonts w:ascii="Times New Roman" w:eastAsia="仿宋"/>
                <w:sz w:val="21"/>
                <w:szCs w:val="21"/>
              </w:rPr>
            </w:pPr>
          </w:p>
        </w:tc>
        <w:tc>
          <w:tcPr>
            <w:tcW w:w="524" w:type="pct"/>
            <w:vMerge w:val="continue"/>
            <w:vAlign w:val="center"/>
          </w:tcPr>
          <w:p w14:paraId="6D8D344E">
            <w:pPr>
              <w:jc w:val="center"/>
              <w:rPr>
                <w:rFonts w:ascii="Times New Roman" w:eastAsia="仿宋"/>
                <w:sz w:val="21"/>
                <w:szCs w:val="21"/>
              </w:rPr>
            </w:pPr>
          </w:p>
        </w:tc>
        <w:tc>
          <w:tcPr>
            <w:tcW w:w="495" w:type="pct"/>
            <w:vMerge w:val="continue"/>
            <w:vAlign w:val="center"/>
          </w:tcPr>
          <w:p w14:paraId="4902F788">
            <w:pPr>
              <w:jc w:val="center"/>
              <w:rPr>
                <w:rFonts w:ascii="Times New Roman" w:eastAsia="仿宋"/>
                <w:sz w:val="21"/>
                <w:szCs w:val="21"/>
              </w:rPr>
            </w:pPr>
          </w:p>
        </w:tc>
        <w:tc>
          <w:tcPr>
            <w:tcW w:w="494" w:type="pct"/>
            <w:vMerge w:val="restart"/>
            <w:vAlign w:val="center"/>
          </w:tcPr>
          <w:p w14:paraId="4ED26FF5">
            <w:pPr>
              <w:jc w:val="center"/>
              <w:rPr>
                <w:rFonts w:ascii="Times New Roman" w:eastAsia="仿宋"/>
                <w:sz w:val="21"/>
                <w:szCs w:val="21"/>
              </w:rPr>
            </w:pPr>
            <w:r>
              <w:rPr>
                <w:rFonts w:ascii="Times New Roman" w:eastAsia="仿宋"/>
                <w:sz w:val="21"/>
                <w:szCs w:val="21"/>
                <w:lang w:bidi="ar"/>
              </w:rPr>
              <w:t>780</w:t>
            </w:r>
          </w:p>
        </w:tc>
        <w:tc>
          <w:tcPr>
            <w:tcW w:w="965" w:type="pct"/>
            <w:vMerge w:val="restart"/>
            <w:vAlign w:val="center"/>
          </w:tcPr>
          <w:p w14:paraId="0FDDFB97">
            <w:pPr>
              <w:jc w:val="center"/>
              <w:rPr>
                <w:rFonts w:ascii="Times New Roman" w:eastAsia="仿宋"/>
                <w:sz w:val="21"/>
                <w:szCs w:val="21"/>
              </w:rPr>
            </w:pPr>
            <w:r>
              <w:rPr>
                <w:rFonts w:hint="eastAsia" w:ascii="Times New Roman" w:eastAsia="仿宋"/>
                <w:sz w:val="21"/>
                <w:szCs w:val="21"/>
              </w:rPr>
              <w:t>GB 30981-2020中氟树脂涂料标准</w:t>
            </w:r>
          </w:p>
        </w:tc>
      </w:tr>
      <w:tr w14:paraId="795F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vMerge w:val="continue"/>
            <w:vAlign w:val="center"/>
          </w:tcPr>
          <w:p w14:paraId="258DB0AA">
            <w:pPr>
              <w:jc w:val="center"/>
              <w:rPr>
                <w:rFonts w:ascii="Times New Roman" w:eastAsia="仿宋"/>
                <w:sz w:val="21"/>
                <w:szCs w:val="21"/>
              </w:rPr>
            </w:pPr>
          </w:p>
        </w:tc>
        <w:tc>
          <w:tcPr>
            <w:tcW w:w="246" w:type="pct"/>
            <w:vMerge w:val="continue"/>
            <w:vAlign w:val="center"/>
          </w:tcPr>
          <w:p w14:paraId="05232115">
            <w:pPr>
              <w:widowControl/>
              <w:jc w:val="center"/>
              <w:rPr>
                <w:rFonts w:ascii="Times New Roman" w:eastAsia="仿宋"/>
                <w:sz w:val="21"/>
                <w:szCs w:val="21"/>
              </w:rPr>
            </w:pPr>
          </w:p>
        </w:tc>
        <w:tc>
          <w:tcPr>
            <w:tcW w:w="498" w:type="pct"/>
            <w:vMerge w:val="continue"/>
            <w:vAlign w:val="center"/>
          </w:tcPr>
          <w:p w14:paraId="60D361C5">
            <w:pPr>
              <w:jc w:val="center"/>
              <w:rPr>
                <w:rFonts w:ascii="Times New Roman" w:eastAsia="仿宋"/>
                <w:sz w:val="21"/>
                <w:szCs w:val="21"/>
              </w:rPr>
            </w:pPr>
          </w:p>
        </w:tc>
        <w:tc>
          <w:tcPr>
            <w:tcW w:w="546" w:type="pct"/>
            <w:vAlign w:val="center"/>
          </w:tcPr>
          <w:p w14:paraId="1C0D1FFD">
            <w:pPr>
              <w:jc w:val="center"/>
              <w:rPr>
                <w:rFonts w:ascii="Times New Roman" w:eastAsia="仿宋"/>
                <w:sz w:val="21"/>
                <w:szCs w:val="21"/>
              </w:rPr>
            </w:pPr>
            <w:r>
              <w:rPr>
                <w:rFonts w:ascii="Times New Roman" w:hAnsi="仿宋" w:eastAsia="仿宋"/>
                <w:sz w:val="21"/>
                <w:szCs w:val="21"/>
              </w:rPr>
              <w:t>醋酸乙酯</w:t>
            </w:r>
          </w:p>
        </w:tc>
        <w:tc>
          <w:tcPr>
            <w:tcW w:w="486" w:type="pct"/>
            <w:vAlign w:val="center"/>
          </w:tcPr>
          <w:p w14:paraId="702E51CD">
            <w:pPr>
              <w:jc w:val="center"/>
              <w:rPr>
                <w:rFonts w:ascii="Times New Roman" w:eastAsia="仿宋"/>
                <w:sz w:val="21"/>
                <w:szCs w:val="21"/>
              </w:rPr>
            </w:pPr>
            <w:r>
              <w:rPr>
                <w:rFonts w:ascii="Times New Roman" w:eastAsia="仿宋"/>
                <w:sz w:val="21"/>
                <w:szCs w:val="21"/>
              </w:rPr>
              <w:t>40%</w:t>
            </w:r>
          </w:p>
        </w:tc>
        <w:tc>
          <w:tcPr>
            <w:tcW w:w="499" w:type="pct"/>
            <w:vMerge w:val="continue"/>
            <w:vAlign w:val="center"/>
          </w:tcPr>
          <w:p w14:paraId="091B2F0F">
            <w:pPr>
              <w:jc w:val="center"/>
              <w:rPr>
                <w:rFonts w:ascii="Times New Roman" w:eastAsia="仿宋"/>
                <w:sz w:val="21"/>
                <w:szCs w:val="21"/>
              </w:rPr>
            </w:pPr>
          </w:p>
        </w:tc>
        <w:tc>
          <w:tcPr>
            <w:tcW w:w="524" w:type="pct"/>
            <w:vMerge w:val="continue"/>
            <w:vAlign w:val="center"/>
          </w:tcPr>
          <w:p w14:paraId="7E6950B0">
            <w:pPr>
              <w:jc w:val="center"/>
              <w:rPr>
                <w:rFonts w:ascii="Times New Roman" w:eastAsia="仿宋"/>
                <w:sz w:val="21"/>
                <w:szCs w:val="21"/>
              </w:rPr>
            </w:pPr>
          </w:p>
        </w:tc>
        <w:tc>
          <w:tcPr>
            <w:tcW w:w="495" w:type="pct"/>
            <w:vMerge w:val="continue"/>
            <w:vAlign w:val="center"/>
          </w:tcPr>
          <w:p w14:paraId="69D737D7">
            <w:pPr>
              <w:jc w:val="center"/>
              <w:rPr>
                <w:rFonts w:ascii="Times New Roman" w:eastAsia="仿宋"/>
                <w:sz w:val="21"/>
                <w:szCs w:val="21"/>
              </w:rPr>
            </w:pPr>
          </w:p>
        </w:tc>
        <w:tc>
          <w:tcPr>
            <w:tcW w:w="494" w:type="pct"/>
            <w:vMerge w:val="continue"/>
            <w:vAlign w:val="center"/>
          </w:tcPr>
          <w:p w14:paraId="7D4830FD">
            <w:pPr>
              <w:jc w:val="center"/>
              <w:rPr>
                <w:rFonts w:ascii="Times New Roman" w:eastAsia="仿宋"/>
                <w:sz w:val="21"/>
                <w:szCs w:val="21"/>
              </w:rPr>
            </w:pPr>
          </w:p>
        </w:tc>
        <w:tc>
          <w:tcPr>
            <w:tcW w:w="965" w:type="pct"/>
            <w:vMerge w:val="continue"/>
            <w:vAlign w:val="center"/>
          </w:tcPr>
          <w:p w14:paraId="1C974016">
            <w:pPr>
              <w:jc w:val="center"/>
              <w:rPr>
                <w:rFonts w:ascii="Times New Roman" w:eastAsia="仿宋"/>
                <w:sz w:val="21"/>
                <w:szCs w:val="21"/>
              </w:rPr>
            </w:pPr>
          </w:p>
        </w:tc>
      </w:tr>
      <w:tr w14:paraId="5880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vMerge w:val="continue"/>
            <w:vAlign w:val="center"/>
          </w:tcPr>
          <w:p w14:paraId="1A636D17">
            <w:pPr>
              <w:jc w:val="center"/>
              <w:rPr>
                <w:rFonts w:ascii="Times New Roman" w:eastAsia="仿宋"/>
                <w:sz w:val="21"/>
                <w:szCs w:val="21"/>
              </w:rPr>
            </w:pPr>
          </w:p>
        </w:tc>
        <w:tc>
          <w:tcPr>
            <w:tcW w:w="246" w:type="pct"/>
            <w:vMerge w:val="continue"/>
            <w:vAlign w:val="center"/>
          </w:tcPr>
          <w:p w14:paraId="1F6A5DA0">
            <w:pPr>
              <w:widowControl/>
              <w:jc w:val="center"/>
              <w:rPr>
                <w:rFonts w:ascii="Times New Roman" w:eastAsia="仿宋"/>
                <w:sz w:val="21"/>
                <w:szCs w:val="21"/>
              </w:rPr>
            </w:pPr>
          </w:p>
        </w:tc>
        <w:tc>
          <w:tcPr>
            <w:tcW w:w="498" w:type="pct"/>
            <w:vMerge w:val="continue"/>
            <w:vAlign w:val="center"/>
          </w:tcPr>
          <w:p w14:paraId="53E17A74">
            <w:pPr>
              <w:jc w:val="center"/>
              <w:rPr>
                <w:rFonts w:ascii="Times New Roman" w:eastAsia="仿宋"/>
                <w:sz w:val="21"/>
                <w:szCs w:val="21"/>
              </w:rPr>
            </w:pPr>
          </w:p>
        </w:tc>
        <w:tc>
          <w:tcPr>
            <w:tcW w:w="546" w:type="pct"/>
            <w:vAlign w:val="center"/>
          </w:tcPr>
          <w:p w14:paraId="0994FC08">
            <w:pPr>
              <w:jc w:val="center"/>
              <w:rPr>
                <w:rFonts w:ascii="Times New Roman" w:eastAsia="仿宋"/>
                <w:sz w:val="21"/>
                <w:szCs w:val="21"/>
              </w:rPr>
            </w:pPr>
            <w:r>
              <w:rPr>
                <w:rFonts w:ascii="Times New Roman" w:hAnsi="仿宋" w:eastAsia="仿宋"/>
                <w:sz w:val="21"/>
                <w:szCs w:val="21"/>
              </w:rPr>
              <w:t>醋酸丁酯</w:t>
            </w:r>
          </w:p>
        </w:tc>
        <w:tc>
          <w:tcPr>
            <w:tcW w:w="486" w:type="pct"/>
            <w:vAlign w:val="center"/>
          </w:tcPr>
          <w:p w14:paraId="66F138F2">
            <w:pPr>
              <w:jc w:val="center"/>
              <w:rPr>
                <w:rFonts w:ascii="Times New Roman" w:eastAsia="仿宋"/>
                <w:sz w:val="21"/>
                <w:szCs w:val="21"/>
              </w:rPr>
            </w:pPr>
            <w:r>
              <w:rPr>
                <w:rFonts w:ascii="Times New Roman" w:eastAsia="仿宋"/>
                <w:sz w:val="21"/>
                <w:szCs w:val="21"/>
              </w:rPr>
              <w:t>40%</w:t>
            </w:r>
          </w:p>
        </w:tc>
        <w:tc>
          <w:tcPr>
            <w:tcW w:w="499" w:type="pct"/>
            <w:vMerge w:val="continue"/>
            <w:vAlign w:val="center"/>
          </w:tcPr>
          <w:p w14:paraId="316A4A54">
            <w:pPr>
              <w:jc w:val="center"/>
              <w:rPr>
                <w:rFonts w:ascii="Times New Roman" w:eastAsia="仿宋"/>
                <w:sz w:val="21"/>
                <w:szCs w:val="21"/>
              </w:rPr>
            </w:pPr>
          </w:p>
        </w:tc>
        <w:tc>
          <w:tcPr>
            <w:tcW w:w="524" w:type="pct"/>
            <w:vMerge w:val="continue"/>
            <w:vAlign w:val="center"/>
          </w:tcPr>
          <w:p w14:paraId="0A244BD3">
            <w:pPr>
              <w:jc w:val="center"/>
              <w:rPr>
                <w:rFonts w:ascii="Times New Roman" w:eastAsia="仿宋"/>
                <w:sz w:val="21"/>
                <w:szCs w:val="21"/>
              </w:rPr>
            </w:pPr>
          </w:p>
        </w:tc>
        <w:tc>
          <w:tcPr>
            <w:tcW w:w="495" w:type="pct"/>
            <w:vMerge w:val="continue"/>
            <w:vAlign w:val="center"/>
          </w:tcPr>
          <w:p w14:paraId="20625C96">
            <w:pPr>
              <w:jc w:val="center"/>
              <w:rPr>
                <w:rFonts w:ascii="Times New Roman" w:eastAsia="仿宋"/>
                <w:sz w:val="21"/>
                <w:szCs w:val="21"/>
              </w:rPr>
            </w:pPr>
          </w:p>
        </w:tc>
        <w:tc>
          <w:tcPr>
            <w:tcW w:w="494" w:type="pct"/>
            <w:vMerge w:val="continue"/>
            <w:vAlign w:val="center"/>
          </w:tcPr>
          <w:p w14:paraId="14F523D1">
            <w:pPr>
              <w:jc w:val="center"/>
              <w:rPr>
                <w:rFonts w:ascii="Times New Roman" w:eastAsia="仿宋"/>
                <w:sz w:val="21"/>
                <w:szCs w:val="21"/>
              </w:rPr>
            </w:pPr>
          </w:p>
        </w:tc>
        <w:tc>
          <w:tcPr>
            <w:tcW w:w="965" w:type="pct"/>
            <w:vMerge w:val="continue"/>
            <w:vAlign w:val="center"/>
          </w:tcPr>
          <w:p w14:paraId="78752CE4">
            <w:pPr>
              <w:jc w:val="center"/>
              <w:rPr>
                <w:rFonts w:ascii="Times New Roman" w:eastAsia="仿宋"/>
                <w:sz w:val="21"/>
                <w:szCs w:val="21"/>
              </w:rPr>
            </w:pPr>
          </w:p>
        </w:tc>
      </w:tr>
    </w:tbl>
    <w:p w14:paraId="4DA549B4">
      <w:pPr>
        <w:pStyle w:val="70"/>
        <w:spacing w:after="0" w:line="500" w:lineRule="exact"/>
        <w:ind w:left="0" w:leftChars="0" w:firstLine="562" w:firstLineChars="200"/>
        <w:rPr>
          <w:rFonts w:eastAsia="仿宋"/>
          <w:b/>
          <w:bCs/>
          <w:sz w:val="28"/>
          <w:szCs w:val="20"/>
        </w:rPr>
      </w:pPr>
      <w:r>
        <w:rPr>
          <w:rFonts w:eastAsia="仿宋"/>
          <w:b/>
          <w:bCs/>
          <w:sz w:val="28"/>
          <w:szCs w:val="20"/>
        </w:rPr>
        <w:t>11、与《省大气办关于印发《江苏省挥发性有机物清洁原料替代工作方案》的通知》（苏大气办[2021]2号）的相符性分析</w:t>
      </w:r>
    </w:p>
    <w:p w14:paraId="507FCADA">
      <w:pPr>
        <w:tabs>
          <w:tab w:val="left" w:pos="2880"/>
        </w:tabs>
        <w:autoSpaceDE w:val="0"/>
        <w:autoSpaceDN w:val="0"/>
        <w:spacing w:line="500" w:lineRule="exact"/>
        <w:ind w:firstLine="482" w:firstLineChars="200"/>
        <w:jc w:val="center"/>
        <w:rPr>
          <w:rFonts w:ascii="Times New Roman" w:eastAsia="仿宋"/>
          <w:b/>
        </w:rPr>
      </w:pPr>
      <w:r>
        <w:rPr>
          <w:rFonts w:ascii="Times New Roman" w:eastAsia="仿宋"/>
          <w:b/>
        </w:rPr>
        <w:t>表2.7-8  与</w:t>
      </w:r>
      <w:r>
        <w:rPr>
          <w:rFonts w:ascii="Times New Roman" w:eastAsia="仿宋"/>
          <w:b/>
          <w:bCs/>
        </w:rPr>
        <w:t>苏大气办[2021]2号</w:t>
      </w:r>
      <w:r>
        <w:rPr>
          <w:rFonts w:ascii="Times New Roman" w:eastAsia="仿宋"/>
          <w:b/>
        </w:rPr>
        <w:t>相符性分析</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4097"/>
        <w:gridCol w:w="3475"/>
      </w:tblGrid>
      <w:tr w14:paraId="2F7E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11" w:type="pct"/>
            <w:vAlign w:val="center"/>
          </w:tcPr>
          <w:p w14:paraId="096AB013">
            <w:pPr>
              <w:adjustRightInd w:val="0"/>
              <w:snapToGrid w:val="0"/>
              <w:spacing w:line="300" w:lineRule="exact"/>
              <w:jc w:val="center"/>
              <w:rPr>
                <w:rFonts w:ascii="Times New Roman" w:eastAsia="仿宋"/>
              </w:rPr>
            </w:pPr>
            <w:r>
              <w:rPr>
                <w:rFonts w:ascii="Times New Roman" w:eastAsia="仿宋"/>
              </w:rPr>
              <w:t>类别</w:t>
            </w:r>
          </w:p>
        </w:tc>
        <w:tc>
          <w:tcPr>
            <w:tcW w:w="2320" w:type="pct"/>
            <w:vAlign w:val="center"/>
          </w:tcPr>
          <w:p w14:paraId="7F1AECDC">
            <w:pPr>
              <w:adjustRightInd w:val="0"/>
              <w:snapToGrid w:val="0"/>
              <w:spacing w:line="300" w:lineRule="exact"/>
              <w:jc w:val="center"/>
              <w:rPr>
                <w:rFonts w:ascii="Times New Roman" w:eastAsia="仿宋"/>
              </w:rPr>
            </w:pPr>
            <w:r>
              <w:rPr>
                <w:rFonts w:ascii="Times New Roman" w:eastAsia="仿宋"/>
              </w:rPr>
              <w:t>文件要求</w:t>
            </w:r>
          </w:p>
        </w:tc>
        <w:tc>
          <w:tcPr>
            <w:tcW w:w="1968" w:type="pct"/>
            <w:vAlign w:val="center"/>
          </w:tcPr>
          <w:p w14:paraId="45342EF9">
            <w:pPr>
              <w:adjustRightInd w:val="0"/>
              <w:snapToGrid w:val="0"/>
              <w:spacing w:line="300" w:lineRule="exact"/>
              <w:jc w:val="center"/>
              <w:rPr>
                <w:rFonts w:ascii="Times New Roman" w:eastAsia="仿宋"/>
              </w:rPr>
            </w:pPr>
            <w:r>
              <w:rPr>
                <w:rFonts w:ascii="Times New Roman" w:eastAsia="仿宋"/>
              </w:rPr>
              <w:t>本项目</w:t>
            </w:r>
          </w:p>
        </w:tc>
      </w:tr>
      <w:tr w14:paraId="7A96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restart"/>
            <w:vAlign w:val="center"/>
          </w:tcPr>
          <w:p w14:paraId="34950C0B">
            <w:pPr>
              <w:jc w:val="center"/>
              <w:rPr>
                <w:rFonts w:ascii="Times New Roman" w:eastAsia="仿宋"/>
                <w:szCs w:val="21"/>
              </w:rPr>
            </w:pPr>
            <w:r>
              <w:rPr>
                <w:rFonts w:ascii="Times New Roman" w:eastAsia="仿宋"/>
                <w:szCs w:val="21"/>
              </w:rPr>
              <w:t>重点任务</w:t>
            </w:r>
          </w:p>
        </w:tc>
        <w:tc>
          <w:tcPr>
            <w:tcW w:w="2320" w:type="pct"/>
            <w:vAlign w:val="center"/>
          </w:tcPr>
          <w:p w14:paraId="1420304C">
            <w:pPr>
              <w:rPr>
                <w:rFonts w:ascii="Times New Roman" w:eastAsia="仿宋"/>
                <w:szCs w:val="21"/>
              </w:rPr>
            </w:pPr>
            <w:r>
              <w:rPr>
                <w:rFonts w:ascii="Times New Roman" w:eastAsia="仿宋"/>
                <w:szCs w:val="21"/>
              </w:rPr>
              <w:t>（一）明确替代要求。以工业涂装、包装印刷、木材加工、纺织等行业为重点，按照省大气办《关于印发江苏省挥发性有机物清洁原料替代工作方案的通知》中源头替代具体要求，加快推进182 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 含量的限值要求。</w:t>
            </w:r>
          </w:p>
        </w:tc>
        <w:tc>
          <w:tcPr>
            <w:tcW w:w="1968" w:type="pct"/>
            <w:vMerge w:val="restart"/>
            <w:vAlign w:val="center"/>
          </w:tcPr>
          <w:p w14:paraId="720A5596">
            <w:pPr>
              <w:adjustRightInd w:val="0"/>
              <w:snapToGrid w:val="0"/>
              <w:spacing w:line="300" w:lineRule="exact"/>
              <w:rPr>
                <w:rFonts w:ascii="Times New Roman" w:eastAsia="仿宋"/>
                <w:kern w:val="32"/>
              </w:rPr>
            </w:pPr>
            <w:r>
              <w:rPr>
                <w:rFonts w:ascii="Times New Roman" w:eastAsia="仿宋"/>
                <w:kern w:val="32"/>
              </w:rPr>
              <w:t>本项目属于C3670汽车零部件及配件制造，涉VOCs的原辅料主要包括</w:t>
            </w:r>
            <w:r>
              <w:rPr>
                <w:rFonts w:hint="eastAsia" w:ascii="Times New Roman" w:eastAsia="仿宋"/>
                <w:kern w:val="32"/>
              </w:rPr>
              <w:t>油漆、稀释剂</w:t>
            </w:r>
            <w:r>
              <w:rPr>
                <w:rFonts w:ascii="Times New Roman" w:eastAsia="仿宋"/>
                <w:kern w:val="32"/>
              </w:rPr>
              <w:t>。</w:t>
            </w:r>
          </w:p>
          <w:p w14:paraId="006A5957">
            <w:pPr>
              <w:rPr>
                <w:rFonts w:ascii="Times New Roman" w:eastAsia="仿宋"/>
                <w:szCs w:val="21"/>
              </w:rPr>
            </w:pPr>
            <w:r>
              <w:rPr>
                <w:rFonts w:ascii="Times New Roman" w:eastAsia="仿宋"/>
                <w:szCs w:val="21"/>
              </w:rPr>
              <w:t>本项目</w:t>
            </w:r>
            <w:r>
              <w:rPr>
                <w:rFonts w:hint="eastAsia" w:ascii="Times New Roman" w:eastAsia="仿宋"/>
                <w:szCs w:val="21"/>
              </w:rPr>
              <w:t>由于产品质量要求，需使用溶剂型氟碳底漆、氟碳面漆进行喷涂，根据专家论证（详见附件），暂无替代方案。</w:t>
            </w:r>
          </w:p>
          <w:p w14:paraId="7EDA02D0">
            <w:pPr>
              <w:rPr>
                <w:rFonts w:ascii="Times New Roman" w:eastAsia="仿宋"/>
                <w:szCs w:val="21"/>
              </w:rPr>
            </w:pPr>
            <w:r>
              <w:rPr>
                <w:rFonts w:ascii="Times New Roman" w:eastAsia="仿宋"/>
                <w:szCs w:val="21"/>
              </w:rPr>
              <w:t>本项目</w:t>
            </w:r>
            <w:r>
              <w:rPr>
                <w:rFonts w:hint="eastAsia" w:ascii="Times New Roman" w:eastAsia="仿宋"/>
                <w:szCs w:val="21"/>
              </w:rPr>
              <w:t>使用的</w:t>
            </w:r>
            <w:r>
              <w:rPr>
                <w:rFonts w:ascii="Times New Roman" w:eastAsia="仿宋"/>
                <w:szCs w:val="21"/>
              </w:rPr>
              <w:t>溶剂型涂料</w:t>
            </w:r>
            <w:r>
              <w:rPr>
                <w:rFonts w:hint="eastAsia" w:ascii="Times New Roman" w:eastAsia="仿宋"/>
                <w:szCs w:val="21"/>
              </w:rPr>
              <w:t>施工状态下</w:t>
            </w:r>
            <w:r>
              <w:rPr>
                <w:rFonts w:hint="eastAsia" w:ascii="Times New Roman" w:eastAsia="仿宋"/>
                <w:kern w:val="32"/>
              </w:rPr>
              <w:t>VOCs含量满足《涂料中挥发性有机物限量》（DB32/T 3500—2019）、《车辆涂料中有害物质限量》（GB 24409-2020）、《工业防护涂料中有害物质限量》（GB30981-2020）中相关要求限值。</w:t>
            </w:r>
          </w:p>
          <w:p w14:paraId="6F418D98">
            <w:pPr>
              <w:adjustRightInd w:val="0"/>
              <w:snapToGrid w:val="0"/>
              <w:spacing w:line="300" w:lineRule="exact"/>
              <w:rPr>
                <w:rFonts w:ascii="Times New Roman" w:eastAsia="仿宋"/>
                <w:kern w:val="32"/>
              </w:rPr>
            </w:pPr>
            <w:r>
              <w:rPr>
                <w:rFonts w:ascii="Times New Roman" w:eastAsia="仿宋"/>
                <w:kern w:val="32"/>
              </w:rPr>
              <w:t>本项目所使用的清洗剂</w:t>
            </w:r>
            <w:r>
              <w:rPr>
                <w:rFonts w:hint="eastAsia" w:ascii="Times New Roman" w:eastAsia="仿宋"/>
                <w:kern w:val="32"/>
              </w:rPr>
              <w:t>中挥发性成分主要为硫酸，非挥发性有机物。</w:t>
            </w:r>
          </w:p>
        </w:tc>
      </w:tr>
      <w:tr w14:paraId="03F1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5E9A8E85">
            <w:pPr>
              <w:jc w:val="center"/>
              <w:rPr>
                <w:rFonts w:ascii="Times New Roman" w:eastAsia="仿宋"/>
                <w:szCs w:val="21"/>
              </w:rPr>
            </w:pPr>
          </w:p>
        </w:tc>
        <w:tc>
          <w:tcPr>
            <w:tcW w:w="2320" w:type="pct"/>
            <w:vAlign w:val="center"/>
          </w:tcPr>
          <w:p w14:paraId="3944E3D0">
            <w:pPr>
              <w:rPr>
                <w:rFonts w:ascii="Times New Roman" w:eastAsia="仿宋"/>
                <w:szCs w:val="21"/>
              </w:rPr>
            </w:pPr>
            <w:r>
              <w:rPr>
                <w:rFonts w:ascii="Times New Roman" w:eastAsia="仿宋"/>
                <w:szCs w:val="21"/>
              </w:rPr>
              <w:t>（二）严格准入条件。禁止建设生产和使用高VOCs 含量的涂料、油墨、胶黏剂等项目。2021 年起，全市工业涂装、包装印刷、纺织、木材加工等行业以及涂料、油墨等生产企业的新（改、扩）建项目需满足低（无）VOCs 含量限值要求。全市市场上流通的水性涂料等低挥发性有机物含量涂料产品，执行国家《低挥发性有机化合物含量涂料产品技术要求》（GB/T 38597-2020）。</w:t>
            </w:r>
          </w:p>
        </w:tc>
        <w:tc>
          <w:tcPr>
            <w:tcW w:w="1968" w:type="pct"/>
            <w:vMerge w:val="continue"/>
            <w:vAlign w:val="center"/>
          </w:tcPr>
          <w:p w14:paraId="570B0E5C">
            <w:pPr>
              <w:rPr>
                <w:rFonts w:ascii="Times New Roman" w:eastAsia="仿宋"/>
                <w:szCs w:val="21"/>
              </w:rPr>
            </w:pPr>
          </w:p>
        </w:tc>
      </w:tr>
      <w:tr w14:paraId="59CA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42D694C1">
            <w:pPr>
              <w:jc w:val="center"/>
              <w:rPr>
                <w:rFonts w:ascii="Times New Roman" w:eastAsia="仿宋"/>
                <w:szCs w:val="21"/>
              </w:rPr>
            </w:pPr>
          </w:p>
        </w:tc>
        <w:tc>
          <w:tcPr>
            <w:tcW w:w="2320" w:type="pct"/>
            <w:vAlign w:val="center"/>
          </w:tcPr>
          <w:p w14:paraId="62F0C51F">
            <w:pPr>
              <w:widowControl/>
              <w:shd w:val="clear" w:color="auto" w:fill="FFFFFF"/>
              <w:rPr>
                <w:rFonts w:ascii="Times New Roman" w:eastAsia="仿宋"/>
                <w:szCs w:val="21"/>
              </w:rPr>
            </w:pPr>
            <w:r>
              <w:rPr>
                <w:rFonts w:ascii="Times New Roman" w:eastAsia="仿宋"/>
                <w:szCs w:val="21"/>
              </w:rPr>
              <w:t>（三）强化排查整治。各地在推动182 家企业实施源头替代的基础上，举一反三，对工业涂装、包装印刷、木材加工、纺织等涉VOCs 重点行业进行再排查、再梳理，督促企业建立涂料等原辅材料购销台账，如实记录使用情况。对具备替代条件的，要列入治理清单，推动企业实施清洁原料替代；对替代技术尚不成熟的，要开展论证核实，并加强现场监管，确保VOCs 无组织排放得到有效控制，废气排气口达到国家及地方VOCs 排放控制标准要求。</w:t>
            </w:r>
          </w:p>
        </w:tc>
        <w:tc>
          <w:tcPr>
            <w:tcW w:w="1968" w:type="pct"/>
            <w:vAlign w:val="center"/>
          </w:tcPr>
          <w:p w14:paraId="276E942D">
            <w:pPr>
              <w:adjustRightInd w:val="0"/>
              <w:snapToGrid w:val="0"/>
              <w:spacing w:line="300" w:lineRule="exact"/>
              <w:rPr>
                <w:rFonts w:ascii="Times New Roman" w:eastAsia="仿宋"/>
                <w:kern w:val="32"/>
              </w:rPr>
            </w:pPr>
            <w:r>
              <w:rPr>
                <w:rFonts w:ascii="Times New Roman" w:eastAsia="仿宋"/>
                <w:kern w:val="32"/>
              </w:rPr>
              <w:t>企业建立了涂料等原辅材料购销台账，如实记录使用情况，加强现场监管，确保VOCs 无组织排放得到有效控制，废气排气口达到《工业涂装工序大气污染物排放标准》（DB 32/4439-2022）要求。</w:t>
            </w:r>
          </w:p>
        </w:tc>
      </w:tr>
      <w:tr w14:paraId="04DA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restart"/>
            <w:vAlign w:val="center"/>
          </w:tcPr>
          <w:p w14:paraId="17E01E56">
            <w:pPr>
              <w:jc w:val="center"/>
              <w:rPr>
                <w:rFonts w:ascii="Times New Roman" w:eastAsia="仿宋"/>
                <w:szCs w:val="21"/>
              </w:rPr>
            </w:pPr>
            <w:r>
              <w:rPr>
                <w:rFonts w:ascii="Times New Roman" w:eastAsia="仿宋"/>
                <w:szCs w:val="21"/>
              </w:rPr>
              <w:t>保障措施</w:t>
            </w:r>
          </w:p>
        </w:tc>
        <w:tc>
          <w:tcPr>
            <w:tcW w:w="2320" w:type="pct"/>
            <w:vAlign w:val="center"/>
          </w:tcPr>
          <w:p w14:paraId="00DBAD16">
            <w:pPr>
              <w:widowControl/>
              <w:shd w:val="clear" w:color="auto" w:fill="FFFFFF"/>
              <w:rPr>
                <w:rFonts w:ascii="Times New Roman" w:eastAsia="仿宋"/>
                <w:szCs w:val="21"/>
              </w:rPr>
            </w:pPr>
            <w:r>
              <w:rPr>
                <w:rFonts w:ascii="Times New Roman" w:eastAsia="仿宋"/>
                <w:szCs w:val="21"/>
              </w:rPr>
              <w:t>（一）加强组织领导。各辖市区要组织发改、工信、市场监管、生态环境等部门开展联合行动，负责 VOCs 清洁原料推广替代工作的具体组织、协调、调度工作。工信部门要牵头指导、督促企业开展清洁原料替代技术改造；发改、工信部门要将清洁原料替代纳入新建及技改项目审批要求，对不符合要求的，不予立项或备案；市场监管部门要牵头对涂料、油墨、胶黏剂等产品的生产、销售、流通等环节的执法检查；生态环境部门要牵头指导、督促企业依法对 VOCs 废气进行收集和治理，同时对相关部门移交的问题企业依法处置。各辖市区请于每月 10 日将本地区清洁原料替代台账及汇总表报送至市大气办。</w:t>
            </w:r>
          </w:p>
        </w:tc>
        <w:tc>
          <w:tcPr>
            <w:tcW w:w="1968" w:type="pct"/>
            <w:vMerge w:val="restart"/>
            <w:vAlign w:val="center"/>
          </w:tcPr>
          <w:p w14:paraId="6DD0E0B4">
            <w:pPr>
              <w:adjustRightInd w:val="0"/>
              <w:snapToGrid w:val="0"/>
              <w:spacing w:line="300" w:lineRule="exact"/>
              <w:rPr>
                <w:rFonts w:ascii="Times New Roman" w:eastAsia="仿宋"/>
                <w:kern w:val="32"/>
              </w:rPr>
            </w:pPr>
            <w:r>
              <w:rPr>
                <w:rFonts w:ascii="Times New Roman" w:eastAsia="仿宋"/>
                <w:kern w:val="32"/>
              </w:rPr>
              <w:t>本项目建成后将严格落实以上保障措施</w:t>
            </w:r>
            <w:r>
              <w:rPr>
                <w:rFonts w:hint="eastAsia" w:ascii="Times New Roman" w:eastAsia="仿宋"/>
                <w:kern w:val="32"/>
              </w:rPr>
              <w:t>。</w:t>
            </w:r>
          </w:p>
        </w:tc>
      </w:tr>
      <w:tr w14:paraId="70A7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569537C3">
            <w:pPr>
              <w:jc w:val="center"/>
              <w:rPr>
                <w:rFonts w:ascii="Times New Roman" w:eastAsia="仿宋"/>
                <w:szCs w:val="21"/>
              </w:rPr>
            </w:pPr>
          </w:p>
        </w:tc>
        <w:tc>
          <w:tcPr>
            <w:tcW w:w="2320" w:type="pct"/>
            <w:vAlign w:val="center"/>
          </w:tcPr>
          <w:p w14:paraId="3F941C7E">
            <w:pPr>
              <w:widowControl/>
              <w:shd w:val="clear" w:color="auto" w:fill="FFFFFF"/>
              <w:rPr>
                <w:rFonts w:ascii="Times New Roman" w:eastAsia="仿宋"/>
                <w:szCs w:val="21"/>
              </w:rPr>
            </w:pPr>
            <w:r>
              <w:rPr>
                <w:rFonts w:ascii="Times New Roman" w:eastAsia="仿宋"/>
                <w:szCs w:val="21"/>
              </w:rPr>
              <w:t>（二）强化执法监管。把低（无）VOCs 含量清洁原料替代工作纳入各地专项督查和执法检查的重点内容。对列入正面清单的企业无事不扰；对替代进度慢，末端治理仅采用低温等离子、光催化、光氧化、一次性活性炭吸附等技术或存在敞开式作业的企业，加大联合执法检查力度，问题突出的依法责令停产整治。</w:t>
            </w:r>
          </w:p>
        </w:tc>
        <w:tc>
          <w:tcPr>
            <w:tcW w:w="1968" w:type="pct"/>
            <w:vMerge w:val="continue"/>
            <w:vAlign w:val="center"/>
          </w:tcPr>
          <w:p w14:paraId="1DBC4CA8">
            <w:pPr>
              <w:adjustRightInd w:val="0"/>
              <w:snapToGrid w:val="0"/>
              <w:spacing w:line="300" w:lineRule="exact"/>
              <w:rPr>
                <w:rFonts w:ascii="Times New Roman" w:eastAsia="仿宋"/>
                <w:kern w:val="32"/>
              </w:rPr>
            </w:pPr>
          </w:p>
        </w:tc>
      </w:tr>
      <w:tr w14:paraId="0267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64DA151F">
            <w:pPr>
              <w:jc w:val="center"/>
              <w:rPr>
                <w:rFonts w:ascii="Times New Roman" w:eastAsia="仿宋"/>
                <w:szCs w:val="21"/>
              </w:rPr>
            </w:pPr>
          </w:p>
        </w:tc>
        <w:tc>
          <w:tcPr>
            <w:tcW w:w="2320" w:type="pct"/>
            <w:vAlign w:val="center"/>
          </w:tcPr>
          <w:p w14:paraId="660C0DA3">
            <w:pPr>
              <w:widowControl/>
              <w:shd w:val="clear" w:color="auto" w:fill="FFFFFF"/>
              <w:rPr>
                <w:rFonts w:ascii="Times New Roman" w:eastAsia="仿宋"/>
                <w:szCs w:val="21"/>
              </w:rPr>
            </w:pPr>
            <w:r>
              <w:rPr>
                <w:rFonts w:ascii="Times New Roman" w:eastAsia="仿宋"/>
                <w:szCs w:val="21"/>
              </w:rPr>
              <w:t>（三）加大宣传引导。对已经完成低（无）VOCs 含量清洁原料替代或工艺改造的企业，要及时总结经验成果，通过召开行业现场观摩会，推广绿色产品使用理念，增强企业环保意识，推进清洁原料替代工作落实。通过电视、报纸、公众号等渠道向公众宣传推广使用水性涂料等清洁原料的重要性、迫切性，鼓励公众购买水性涂料等低挥发性有机物含量产品，倡导绿色消费理念。</w:t>
            </w:r>
          </w:p>
        </w:tc>
        <w:tc>
          <w:tcPr>
            <w:tcW w:w="1968" w:type="pct"/>
            <w:vMerge w:val="continue"/>
            <w:vAlign w:val="center"/>
          </w:tcPr>
          <w:p w14:paraId="0F9F3CC9">
            <w:pPr>
              <w:adjustRightInd w:val="0"/>
              <w:snapToGrid w:val="0"/>
              <w:spacing w:line="300" w:lineRule="exact"/>
              <w:rPr>
                <w:rFonts w:ascii="Times New Roman" w:eastAsia="仿宋"/>
                <w:kern w:val="32"/>
              </w:rPr>
            </w:pPr>
          </w:p>
        </w:tc>
      </w:tr>
      <w:tr w14:paraId="0874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Align w:val="center"/>
          </w:tcPr>
          <w:p w14:paraId="291B949C">
            <w:pPr>
              <w:jc w:val="center"/>
              <w:rPr>
                <w:rFonts w:ascii="Times New Roman" w:eastAsia="仿宋"/>
                <w:szCs w:val="21"/>
              </w:rPr>
            </w:pPr>
            <w:r>
              <w:rPr>
                <w:rFonts w:ascii="Times New Roman" w:eastAsia="仿宋"/>
                <w:szCs w:val="21"/>
              </w:rPr>
              <w:t>附件1：省大气办关于源头替代具体要求</w:t>
            </w:r>
          </w:p>
        </w:tc>
        <w:tc>
          <w:tcPr>
            <w:tcW w:w="2320" w:type="pct"/>
            <w:vAlign w:val="center"/>
          </w:tcPr>
          <w:p w14:paraId="70976361">
            <w:pPr>
              <w:widowControl/>
              <w:shd w:val="clear" w:color="auto" w:fill="FFFFFF"/>
              <w:rPr>
                <w:rFonts w:ascii="Times New Roman" w:eastAsia="仿宋"/>
                <w:szCs w:val="21"/>
              </w:rPr>
            </w:pPr>
            <w:r>
              <w:rPr>
                <w:rFonts w:ascii="Times New Roman" w:eastAsia="仿宋"/>
                <w:szCs w:val="21"/>
              </w:rPr>
              <w:t>其他行业企业涉VOCs 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p w14:paraId="1EAC4E2B">
            <w:pPr>
              <w:widowControl/>
              <w:shd w:val="clear" w:color="auto" w:fill="FFFFFF"/>
              <w:rPr>
                <w:rFonts w:ascii="Times New Roman" w:eastAsia="仿宋"/>
                <w:szCs w:val="21"/>
              </w:rPr>
            </w:pPr>
            <w:r>
              <w:rPr>
                <w:rFonts w:ascii="Times New Roman" w:eastAsia="仿宋"/>
                <w:szCs w:val="21"/>
              </w:rPr>
              <w:t>若确实无法达到上述要求，应提供相应的论证说明。使用的涂料、清洗剂、胶粘剂、油墨中VOCs 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 33372-2020）、《油墨中可挥发性有机化合物（VOCs）含量的限值》（GB38507-2020）中的限值要求。</w:t>
            </w:r>
          </w:p>
        </w:tc>
        <w:tc>
          <w:tcPr>
            <w:tcW w:w="1968" w:type="pct"/>
            <w:vAlign w:val="center"/>
          </w:tcPr>
          <w:p w14:paraId="7BF3DA41">
            <w:pPr>
              <w:adjustRightInd w:val="0"/>
              <w:snapToGrid w:val="0"/>
              <w:spacing w:line="300" w:lineRule="exact"/>
              <w:rPr>
                <w:rFonts w:ascii="Times New Roman" w:eastAsia="仿宋"/>
                <w:kern w:val="32"/>
              </w:rPr>
            </w:pPr>
            <w:r>
              <w:rPr>
                <w:rFonts w:ascii="Times New Roman" w:eastAsia="仿宋"/>
                <w:kern w:val="32"/>
              </w:rPr>
              <w:t>本项目属于C3670汽车零部件及配件制造，涉VOCs的原辅料主要包括涂料（含油漆、稀释剂）、清洗剂。</w:t>
            </w:r>
          </w:p>
          <w:p w14:paraId="35482C88">
            <w:pPr>
              <w:rPr>
                <w:rFonts w:ascii="Times New Roman" w:eastAsia="仿宋"/>
                <w:szCs w:val="21"/>
              </w:rPr>
            </w:pPr>
            <w:r>
              <w:rPr>
                <w:rFonts w:ascii="Times New Roman" w:eastAsia="仿宋"/>
                <w:szCs w:val="21"/>
              </w:rPr>
              <w:t>本项目</w:t>
            </w:r>
            <w:r>
              <w:rPr>
                <w:rFonts w:hint="eastAsia" w:ascii="Times New Roman" w:eastAsia="仿宋"/>
                <w:szCs w:val="21"/>
              </w:rPr>
              <w:t>由于产品质量要求，需使用溶剂型氟碳底漆、氟碳面漆进行喷涂，根据专家论证，暂无替代方案。</w:t>
            </w:r>
          </w:p>
          <w:p w14:paraId="63F14326">
            <w:pPr>
              <w:adjustRightInd w:val="0"/>
              <w:snapToGrid w:val="0"/>
              <w:spacing w:line="300" w:lineRule="exact"/>
              <w:rPr>
                <w:rFonts w:ascii="Times New Roman" w:eastAsia="仿宋"/>
                <w:kern w:val="32"/>
              </w:rPr>
            </w:pPr>
            <w:r>
              <w:rPr>
                <w:rFonts w:ascii="Times New Roman" w:eastAsia="仿宋"/>
                <w:szCs w:val="21"/>
              </w:rPr>
              <w:t>本项目</w:t>
            </w:r>
            <w:r>
              <w:rPr>
                <w:rFonts w:hint="eastAsia" w:ascii="Times New Roman" w:eastAsia="仿宋"/>
                <w:szCs w:val="21"/>
              </w:rPr>
              <w:t>使用的</w:t>
            </w:r>
            <w:r>
              <w:rPr>
                <w:rFonts w:ascii="Times New Roman" w:eastAsia="仿宋"/>
                <w:szCs w:val="21"/>
              </w:rPr>
              <w:t>溶剂型涂料</w:t>
            </w:r>
            <w:r>
              <w:rPr>
                <w:rFonts w:hint="eastAsia" w:ascii="Times New Roman" w:eastAsia="仿宋"/>
                <w:szCs w:val="21"/>
              </w:rPr>
              <w:t>施工状态下</w:t>
            </w:r>
            <w:r>
              <w:rPr>
                <w:rFonts w:hint="eastAsia" w:ascii="Times New Roman" w:eastAsia="仿宋"/>
                <w:kern w:val="32"/>
              </w:rPr>
              <w:t>VOCs含量满足《涂料中挥发性有机物限量》（DB32/T 3500—2019）、《车辆涂料中有害物质限量》（GB 24409-2020）、《工业防护涂料中有害物质限量》（GB30981-2020）中相关要求限值。</w:t>
            </w:r>
          </w:p>
        </w:tc>
      </w:tr>
    </w:tbl>
    <w:p w14:paraId="6C596FD3">
      <w:pPr>
        <w:pStyle w:val="70"/>
        <w:spacing w:after="0" w:line="500" w:lineRule="exact"/>
        <w:ind w:left="0" w:leftChars="0" w:firstLine="562" w:firstLineChars="200"/>
        <w:rPr>
          <w:rFonts w:eastAsia="仿宋"/>
          <w:b/>
        </w:rPr>
      </w:pPr>
      <w:r>
        <w:rPr>
          <w:rFonts w:eastAsia="仿宋"/>
          <w:b/>
          <w:bCs/>
          <w:sz w:val="28"/>
          <w:szCs w:val="20"/>
        </w:rPr>
        <w:t>12、与《关于印发常州市挥发性有机物清洁原料替代工作方案的通知》（常污防攻坚指办〔2021〕32号）的相符性分析</w:t>
      </w:r>
    </w:p>
    <w:p w14:paraId="7F16439E">
      <w:pPr>
        <w:tabs>
          <w:tab w:val="left" w:pos="2880"/>
        </w:tabs>
        <w:autoSpaceDE w:val="0"/>
        <w:autoSpaceDN w:val="0"/>
        <w:spacing w:line="500" w:lineRule="exact"/>
        <w:ind w:firstLine="482" w:firstLineChars="200"/>
        <w:jc w:val="center"/>
        <w:rPr>
          <w:rFonts w:ascii="Times New Roman" w:eastAsia="仿宋"/>
          <w:b/>
        </w:rPr>
      </w:pPr>
      <w:r>
        <w:rPr>
          <w:rFonts w:ascii="Times New Roman" w:eastAsia="仿宋"/>
          <w:b/>
        </w:rPr>
        <w:t>表2.7-9  与常污防攻坚指办〔2021〕32号相符性分析</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4097"/>
        <w:gridCol w:w="3475"/>
      </w:tblGrid>
      <w:tr w14:paraId="5A6A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11" w:type="pct"/>
            <w:vAlign w:val="center"/>
          </w:tcPr>
          <w:p w14:paraId="3809A25F">
            <w:pPr>
              <w:adjustRightInd w:val="0"/>
              <w:snapToGrid w:val="0"/>
              <w:spacing w:line="300" w:lineRule="exact"/>
              <w:jc w:val="center"/>
              <w:rPr>
                <w:rFonts w:ascii="Times New Roman" w:eastAsia="仿宋"/>
              </w:rPr>
            </w:pPr>
            <w:r>
              <w:rPr>
                <w:rFonts w:ascii="Times New Roman" w:eastAsia="仿宋"/>
              </w:rPr>
              <w:t>类别</w:t>
            </w:r>
          </w:p>
        </w:tc>
        <w:tc>
          <w:tcPr>
            <w:tcW w:w="2320" w:type="pct"/>
            <w:vAlign w:val="center"/>
          </w:tcPr>
          <w:p w14:paraId="01D2549F">
            <w:pPr>
              <w:adjustRightInd w:val="0"/>
              <w:snapToGrid w:val="0"/>
              <w:spacing w:line="300" w:lineRule="exact"/>
              <w:jc w:val="center"/>
              <w:rPr>
                <w:rFonts w:ascii="Times New Roman" w:eastAsia="仿宋"/>
              </w:rPr>
            </w:pPr>
            <w:r>
              <w:rPr>
                <w:rFonts w:ascii="Times New Roman" w:eastAsia="仿宋"/>
              </w:rPr>
              <w:t>文件要求</w:t>
            </w:r>
          </w:p>
        </w:tc>
        <w:tc>
          <w:tcPr>
            <w:tcW w:w="1968" w:type="pct"/>
            <w:vAlign w:val="center"/>
          </w:tcPr>
          <w:p w14:paraId="1E4E7271">
            <w:pPr>
              <w:adjustRightInd w:val="0"/>
              <w:snapToGrid w:val="0"/>
              <w:spacing w:line="300" w:lineRule="exact"/>
              <w:jc w:val="center"/>
              <w:rPr>
                <w:rFonts w:ascii="Times New Roman" w:eastAsia="仿宋"/>
              </w:rPr>
            </w:pPr>
            <w:r>
              <w:rPr>
                <w:rFonts w:ascii="Times New Roman" w:eastAsia="仿宋"/>
              </w:rPr>
              <w:t>本项目</w:t>
            </w:r>
          </w:p>
        </w:tc>
      </w:tr>
      <w:tr w14:paraId="35D1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restart"/>
            <w:vAlign w:val="center"/>
          </w:tcPr>
          <w:p w14:paraId="7B332498">
            <w:pPr>
              <w:jc w:val="center"/>
              <w:rPr>
                <w:rFonts w:ascii="Times New Roman" w:eastAsia="仿宋"/>
                <w:szCs w:val="21"/>
              </w:rPr>
            </w:pPr>
            <w:r>
              <w:rPr>
                <w:rFonts w:ascii="Times New Roman" w:eastAsia="仿宋"/>
                <w:szCs w:val="21"/>
              </w:rPr>
              <w:t>重点任务</w:t>
            </w:r>
          </w:p>
        </w:tc>
        <w:tc>
          <w:tcPr>
            <w:tcW w:w="2320" w:type="pct"/>
            <w:vAlign w:val="center"/>
          </w:tcPr>
          <w:p w14:paraId="7198186E">
            <w:pPr>
              <w:rPr>
                <w:rFonts w:ascii="Times New Roman" w:eastAsia="仿宋"/>
                <w:szCs w:val="21"/>
              </w:rPr>
            </w:pPr>
            <w:r>
              <w:rPr>
                <w:rFonts w:ascii="Times New Roman" w:eastAsia="仿宋"/>
                <w:szCs w:val="21"/>
              </w:rPr>
              <w:t>（一）明确替代要求。以工业涂装、包装印刷、木材加工、纺织等行业为重点，按照省大气办《关于印发江苏省挥发性有机物清洁原料替代工作方案的通知》中源头替代具体要求，加快推进182 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 含量的限值要求。</w:t>
            </w:r>
          </w:p>
        </w:tc>
        <w:tc>
          <w:tcPr>
            <w:tcW w:w="1968" w:type="pct"/>
            <w:vMerge w:val="restart"/>
            <w:vAlign w:val="center"/>
          </w:tcPr>
          <w:p w14:paraId="0EF5D573">
            <w:pPr>
              <w:adjustRightInd w:val="0"/>
              <w:snapToGrid w:val="0"/>
              <w:spacing w:line="300" w:lineRule="exact"/>
              <w:rPr>
                <w:rFonts w:ascii="Times New Roman" w:eastAsia="仿宋"/>
                <w:kern w:val="32"/>
              </w:rPr>
            </w:pPr>
            <w:r>
              <w:rPr>
                <w:rFonts w:ascii="Times New Roman" w:eastAsia="仿宋"/>
                <w:kern w:val="32"/>
              </w:rPr>
              <w:t>本项目属于C3670汽车零部件及配件制造，涉VOCs的原辅料主要包括涂料（含油漆、稀释剂）、清洗剂</w:t>
            </w:r>
            <w:r>
              <w:rPr>
                <w:rFonts w:hint="eastAsia" w:ascii="Times New Roman" w:eastAsia="仿宋"/>
                <w:kern w:val="32"/>
              </w:rPr>
              <w:t>和聚氨酯胶</w:t>
            </w:r>
            <w:r>
              <w:rPr>
                <w:rFonts w:ascii="Times New Roman" w:eastAsia="仿宋"/>
                <w:kern w:val="32"/>
              </w:rPr>
              <w:t>。</w:t>
            </w:r>
          </w:p>
          <w:p w14:paraId="2EB05CF8">
            <w:pPr>
              <w:rPr>
                <w:rFonts w:ascii="Times New Roman" w:eastAsia="仿宋"/>
                <w:szCs w:val="21"/>
              </w:rPr>
            </w:pPr>
            <w:r>
              <w:rPr>
                <w:rFonts w:ascii="Times New Roman" w:eastAsia="仿宋"/>
                <w:szCs w:val="21"/>
              </w:rPr>
              <w:t>本项目</w:t>
            </w:r>
            <w:r>
              <w:rPr>
                <w:rFonts w:hint="eastAsia" w:ascii="Times New Roman" w:eastAsia="仿宋"/>
                <w:szCs w:val="21"/>
              </w:rPr>
              <w:t>由于产品质量要求，需使用溶剂型氟碳底漆、氟碳面漆进行喷涂，根据专家论证，暂无替代方案。</w:t>
            </w:r>
          </w:p>
          <w:p w14:paraId="0C5A736C">
            <w:pPr>
              <w:adjustRightInd w:val="0"/>
              <w:snapToGrid w:val="0"/>
              <w:spacing w:line="300" w:lineRule="exact"/>
              <w:rPr>
                <w:rFonts w:ascii="Times New Roman" w:eastAsia="仿宋"/>
                <w:kern w:val="32"/>
              </w:rPr>
            </w:pPr>
            <w:r>
              <w:rPr>
                <w:rFonts w:ascii="Times New Roman" w:eastAsia="仿宋"/>
                <w:szCs w:val="21"/>
              </w:rPr>
              <w:t>本项目</w:t>
            </w:r>
            <w:r>
              <w:rPr>
                <w:rFonts w:hint="eastAsia" w:ascii="Times New Roman" w:eastAsia="仿宋"/>
                <w:szCs w:val="21"/>
              </w:rPr>
              <w:t>使用的</w:t>
            </w:r>
            <w:r>
              <w:rPr>
                <w:rFonts w:ascii="Times New Roman" w:eastAsia="仿宋"/>
                <w:szCs w:val="21"/>
              </w:rPr>
              <w:t>溶剂型涂料</w:t>
            </w:r>
            <w:r>
              <w:rPr>
                <w:rFonts w:hint="eastAsia" w:ascii="Times New Roman" w:eastAsia="仿宋"/>
                <w:szCs w:val="21"/>
              </w:rPr>
              <w:t>施工状态下</w:t>
            </w:r>
            <w:r>
              <w:rPr>
                <w:rFonts w:hint="eastAsia" w:ascii="Times New Roman" w:eastAsia="仿宋"/>
                <w:kern w:val="32"/>
              </w:rPr>
              <w:t>VOCs含量满足《涂料中挥发性有机物限量》（DB32/T 3500—2019）、《车辆涂料中有害物质限量》（GB 24409-2020）、《工业防护涂料中有害物质限量》（GB30981-2020）中相关要求限值。</w:t>
            </w:r>
          </w:p>
        </w:tc>
      </w:tr>
      <w:tr w14:paraId="14E1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438CECD5">
            <w:pPr>
              <w:jc w:val="center"/>
              <w:rPr>
                <w:rFonts w:ascii="Times New Roman" w:eastAsia="仿宋"/>
                <w:szCs w:val="21"/>
              </w:rPr>
            </w:pPr>
          </w:p>
        </w:tc>
        <w:tc>
          <w:tcPr>
            <w:tcW w:w="2320" w:type="pct"/>
            <w:vAlign w:val="center"/>
          </w:tcPr>
          <w:p w14:paraId="25898964">
            <w:pPr>
              <w:rPr>
                <w:rFonts w:ascii="Times New Roman" w:eastAsia="仿宋"/>
                <w:szCs w:val="21"/>
              </w:rPr>
            </w:pPr>
            <w:r>
              <w:rPr>
                <w:rFonts w:ascii="Times New Roman" w:eastAsia="仿宋"/>
                <w:szCs w:val="21"/>
              </w:rPr>
              <w:t>（二）严格准入条件。禁止建设生产和使用高VOCs 含量的涂料、油墨、胶黏剂等项目。2021 年起，全市工业涂装、包装印刷、纺织、木材加工等行业以及涂料、油墨等生产企业的新（改、扩）建项目需满足低（无）VOCs 含量限值要求。全市市场上流通的水性涂料等低挥发性有机物含量涂料产品，执行国家《低挥发性有机化合物含量涂料产品技术要求》（GB/T 38597-2020）。</w:t>
            </w:r>
          </w:p>
        </w:tc>
        <w:tc>
          <w:tcPr>
            <w:tcW w:w="1968" w:type="pct"/>
            <w:vMerge w:val="continue"/>
            <w:vAlign w:val="center"/>
          </w:tcPr>
          <w:p w14:paraId="23955FE5">
            <w:pPr>
              <w:rPr>
                <w:rFonts w:ascii="Times New Roman" w:eastAsia="仿宋"/>
                <w:szCs w:val="21"/>
              </w:rPr>
            </w:pPr>
          </w:p>
        </w:tc>
      </w:tr>
      <w:tr w14:paraId="504D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14E9CA0C">
            <w:pPr>
              <w:jc w:val="center"/>
              <w:rPr>
                <w:rFonts w:ascii="Times New Roman" w:eastAsia="仿宋"/>
                <w:szCs w:val="21"/>
              </w:rPr>
            </w:pPr>
          </w:p>
        </w:tc>
        <w:tc>
          <w:tcPr>
            <w:tcW w:w="2320" w:type="pct"/>
            <w:vAlign w:val="center"/>
          </w:tcPr>
          <w:p w14:paraId="5CE6BC07">
            <w:pPr>
              <w:widowControl/>
              <w:shd w:val="clear" w:color="auto" w:fill="FFFFFF"/>
              <w:rPr>
                <w:rFonts w:ascii="Times New Roman" w:eastAsia="仿宋"/>
                <w:szCs w:val="21"/>
              </w:rPr>
            </w:pPr>
            <w:r>
              <w:rPr>
                <w:rFonts w:ascii="Times New Roman" w:eastAsia="仿宋"/>
                <w:szCs w:val="21"/>
              </w:rPr>
              <w:t>（三）强化排查整治。各地在推动182 家企业实施源头替代的基础上，举一反三，对工业涂装、包装印刷、木材加工、纺织等涉VOCs 重点行业进行再排查、再梳理，督促企业建立涂料等原辅材料购销台账，如实记录使用情况。对具备替代条件的，要列入治理清单，推动企业实施清洁原料替代；对替代技术尚不成熟的，要开展论证核实，并加强现场监管，确保VOCs 无组织排放得到有效控制，废气排气口达到国家及地方VOCs 排放控制标准要求。</w:t>
            </w:r>
          </w:p>
        </w:tc>
        <w:tc>
          <w:tcPr>
            <w:tcW w:w="1968" w:type="pct"/>
            <w:vAlign w:val="center"/>
          </w:tcPr>
          <w:p w14:paraId="2271B1AB">
            <w:pPr>
              <w:adjustRightInd w:val="0"/>
              <w:snapToGrid w:val="0"/>
              <w:spacing w:line="300" w:lineRule="exact"/>
              <w:rPr>
                <w:rFonts w:ascii="Times New Roman" w:eastAsia="仿宋"/>
                <w:kern w:val="32"/>
              </w:rPr>
            </w:pPr>
            <w:r>
              <w:rPr>
                <w:rFonts w:ascii="Times New Roman" w:eastAsia="仿宋"/>
                <w:kern w:val="32"/>
              </w:rPr>
              <w:t>企业建立了涂料等原辅材料购销台账，如实记录使用情况，加强现场监管，确保VOCs 无组织排放得到有效控制，废气排气口达到</w:t>
            </w:r>
            <w:r>
              <w:rPr>
                <w:rFonts w:ascii="Times New Roman" w:eastAsia="仿宋"/>
                <w:bCs/>
                <w:szCs w:val="21"/>
              </w:rPr>
              <w:t>《工业涂装工序大气污染物排放标准》（DB 32/4439-2022）</w:t>
            </w:r>
            <w:r>
              <w:rPr>
                <w:rFonts w:ascii="Times New Roman" w:eastAsia="仿宋"/>
                <w:kern w:val="32"/>
              </w:rPr>
              <w:t>要求。</w:t>
            </w:r>
          </w:p>
        </w:tc>
      </w:tr>
      <w:tr w14:paraId="299E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restart"/>
            <w:vAlign w:val="center"/>
          </w:tcPr>
          <w:p w14:paraId="215E78EE">
            <w:pPr>
              <w:jc w:val="center"/>
              <w:rPr>
                <w:rFonts w:ascii="Times New Roman" w:eastAsia="仿宋"/>
                <w:szCs w:val="21"/>
              </w:rPr>
            </w:pPr>
            <w:r>
              <w:rPr>
                <w:rFonts w:ascii="Times New Roman" w:eastAsia="仿宋"/>
                <w:szCs w:val="21"/>
              </w:rPr>
              <w:t>保障措施</w:t>
            </w:r>
          </w:p>
        </w:tc>
        <w:tc>
          <w:tcPr>
            <w:tcW w:w="2320" w:type="pct"/>
            <w:vAlign w:val="center"/>
          </w:tcPr>
          <w:p w14:paraId="296C61F7">
            <w:pPr>
              <w:widowControl/>
              <w:shd w:val="clear" w:color="auto" w:fill="FFFFFF"/>
              <w:rPr>
                <w:rFonts w:ascii="Times New Roman" w:eastAsia="仿宋"/>
                <w:szCs w:val="21"/>
              </w:rPr>
            </w:pPr>
            <w:r>
              <w:rPr>
                <w:rFonts w:ascii="Times New Roman" w:eastAsia="仿宋"/>
                <w:szCs w:val="21"/>
              </w:rPr>
              <w:t>（一）加强组织领导。各辖市区要组织发改、工信、市场监管、生态环境等部门开展联合行动，负责 VOCs 清洁原料推广替代工作的具体组织、协调、调度工作。工信部门要牵头指导、督促企业开展清洁原料替代技术改造；发改、工信部门要将清洁原料替代纳入新建及技改项目审批要求，对不符合要求的，不予立项或备案；市场监管部门要牵头对涂料、油墨、胶黏剂等产品的生产、销售、流通等环节的执法检查；生态环境部门要牵头指导、督促企业依法对 VOCs 废气进行收集和治理，同时对相关部门移交的问题企业依法处置。各辖市区请于每月 10 日将本地区清洁原料替代台账及汇总表报送至市大气办。</w:t>
            </w:r>
          </w:p>
        </w:tc>
        <w:tc>
          <w:tcPr>
            <w:tcW w:w="1968" w:type="pct"/>
            <w:vMerge w:val="restart"/>
            <w:vAlign w:val="center"/>
          </w:tcPr>
          <w:p w14:paraId="7B0926C2">
            <w:pPr>
              <w:adjustRightInd w:val="0"/>
              <w:snapToGrid w:val="0"/>
              <w:spacing w:line="300" w:lineRule="exact"/>
              <w:rPr>
                <w:rFonts w:ascii="Times New Roman" w:eastAsia="仿宋"/>
                <w:kern w:val="32"/>
              </w:rPr>
            </w:pPr>
            <w:r>
              <w:rPr>
                <w:rFonts w:ascii="Times New Roman" w:eastAsia="仿宋"/>
                <w:kern w:val="32"/>
              </w:rPr>
              <w:t>本项目建成后将严格落实以上保障措施</w:t>
            </w:r>
          </w:p>
        </w:tc>
      </w:tr>
      <w:tr w14:paraId="2B60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0B9DFFDF">
            <w:pPr>
              <w:jc w:val="center"/>
              <w:rPr>
                <w:rFonts w:ascii="Times New Roman" w:eastAsia="仿宋"/>
                <w:szCs w:val="21"/>
              </w:rPr>
            </w:pPr>
          </w:p>
        </w:tc>
        <w:tc>
          <w:tcPr>
            <w:tcW w:w="2320" w:type="pct"/>
            <w:vAlign w:val="center"/>
          </w:tcPr>
          <w:p w14:paraId="4C36D42D">
            <w:pPr>
              <w:widowControl/>
              <w:shd w:val="clear" w:color="auto" w:fill="FFFFFF"/>
              <w:rPr>
                <w:rFonts w:ascii="Times New Roman" w:eastAsia="仿宋"/>
                <w:szCs w:val="21"/>
              </w:rPr>
            </w:pPr>
            <w:r>
              <w:rPr>
                <w:rFonts w:ascii="Times New Roman" w:eastAsia="仿宋"/>
                <w:szCs w:val="21"/>
              </w:rPr>
              <w:t>（二）强化执法监管。把低（无）VOCs 含量清洁原料替代工作纳入各地专项督查和执法检查的重点内容。对列入正面清单的企业无事不扰；对替代进度慢，末端治理仅采用低温等离子、光催化、光氧化、一次性活性炭吸附等技术或存在敞开式作业的企业，加大联合执法检查力度，问题突出的依法责令停产整治。</w:t>
            </w:r>
          </w:p>
        </w:tc>
        <w:tc>
          <w:tcPr>
            <w:tcW w:w="1968" w:type="pct"/>
            <w:vMerge w:val="continue"/>
            <w:vAlign w:val="center"/>
          </w:tcPr>
          <w:p w14:paraId="14410FC7">
            <w:pPr>
              <w:adjustRightInd w:val="0"/>
              <w:snapToGrid w:val="0"/>
              <w:spacing w:line="300" w:lineRule="exact"/>
              <w:rPr>
                <w:rFonts w:ascii="Times New Roman" w:eastAsia="仿宋"/>
                <w:kern w:val="32"/>
              </w:rPr>
            </w:pPr>
          </w:p>
        </w:tc>
      </w:tr>
      <w:tr w14:paraId="3A6B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Merge w:val="continue"/>
            <w:vAlign w:val="center"/>
          </w:tcPr>
          <w:p w14:paraId="346E4D05">
            <w:pPr>
              <w:jc w:val="center"/>
              <w:rPr>
                <w:rFonts w:ascii="Times New Roman" w:eastAsia="仿宋"/>
                <w:szCs w:val="21"/>
              </w:rPr>
            </w:pPr>
          </w:p>
        </w:tc>
        <w:tc>
          <w:tcPr>
            <w:tcW w:w="2320" w:type="pct"/>
            <w:vAlign w:val="center"/>
          </w:tcPr>
          <w:p w14:paraId="717A5F6B">
            <w:pPr>
              <w:widowControl/>
              <w:shd w:val="clear" w:color="auto" w:fill="FFFFFF"/>
              <w:rPr>
                <w:rFonts w:ascii="Times New Roman" w:eastAsia="仿宋"/>
                <w:szCs w:val="21"/>
              </w:rPr>
            </w:pPr>
            <w:r>
              <w:rPr>
                <w:rFonts w:ascii="Times New Roman" w:eastAsia="仿宋"/>
                <w:szCs w:val="21"/>
              </w:rPr>
              <w:t>（三）加大宣传引导。对已经完成低（无）VOCs 含量清洁原料替代或工艺改造的企业，要及时总结经验成果，通过召开行业现场观摩会，推广绿色产品使用理念，增强企业环保意识，推进清洁原料替代工作落实。通过电视、报纸、公众号等渠道向公众宣传推广使用水性涂料等清洁原料的重要性、迫切性，鼓励公众购买水性涂料等低挥发性有机物含量产品，倡导绿色消费理念。</w:t>
            </w:r>
          </w:p>
        </w:tc>
        <w:tc>
          <w:tcPr>
            <w:tcW w:w="1968" w:type="pct"/>
            <w:vMerge w:val="continue"/>
            <w:vAlign w:val="center"/>
          </w:tcPr>
          <w:p w14:paraId="606EED52">
            <w:pPr>
              <w:adjustRightInd w:val="0"/>
              <w:snapToGrid w:val="0"/>
              <w:spacing w:line="300" w:lineRule="exact"/>
              <w:rPr>
                <w:rFonts w:ascii="Times New Roman" w:eastAsia="仿宋"/>
                <w:kern w:val="32"/>
              </w:rPr>
            </w:pPr>
          </w:p>
        </w:tc>
      </w:tr>
      <w:tr w14:paraId="7605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1" w:type="pct"/>
            <w:vAlign w:val="center"/>
          </w:tcPr>
          <w:p w14:paraId="393F9E6A">
            <w:pPr>
              <w:jc w:val="center"/>
              <w:rPr>
                <w:rFonts w:ascii="Times New Roman" w:eastAsia="仿宋"/>
                <w:szCs w:val="21"/>
              </w:rPr>
            </w:pPr>
            <w:r>
              <w:rPr>
                <w:rFonts w:ascii="Times New Roman" w:eastAsia="仿宋"/>
                <w:szCs w:val="21"/>
              </w:rPr>
              <w:t>附件1：省大气办关于源头替代具体要求</w:t>
            </w:r>
          </w:p>
        </w:tc>
        <w:tc>
          <w:tcPr>
            <w:tcW w:w="2320" w:type="pct"/>
            <w:vAlign w:val="center"/>
          </w:tcPr>
          <w:p w14:paraId="1C1AD6BB">
            <w:pPr>
              <w:widowControl/>
              <w:shd w:val="clear" w:color="auto" w:fill="FFFFFF"/>
              <w:rPr>
                <w:rFonts w:ascii="Times New Roman" w:eastAsia="仿宋"/>
                <w:szCs w:val="21"/>
              </w:rPr>
            </w:pPr>
            <w:r>
              <w:rPr>
                <w:rFonts w:ascii="Times New Roman" w:eastAsia="仿宋"/>
                <w:szCs w:val="21"/>
              </w:rPr>
              <w:t>其他行业企业涉VOCs 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p w14:paraId="7A5CFE0B">
            <w:pPr>
              <w:widowControl/>
              <w:shd w:val="clear" w:color="auto" w:fill="FFFFFF"/>
              <w:rPr>
                <w:rFonts w:ascii="Times New Roman" w:eastAsia="仿宋"/>
                <w:szCs w:val="21"/>
              </w:rPr>
            </w:pPr>
            <w:r>
              <w:rPr>
                <w:rFonts w:ascii="Times New Roman" w:eastAsia="仿宋"/>
                <w:szCs w:val="21"/>
              </w:rPr>
              <w:t>若确实无法达到上述要求，应提供相应的论证说明。使用的涂料、清洗剂、胶粘剂、油墨中VOCs 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 33372-2020）、《油墨中可挥发性有机化合物（VOCs）含量的限值》（GB38507-2020）中的限值要求。</w:t>
            </w:r>
          </w:p>
        </w:tc>
        <w:tc>
          <w:tcPr>
            <w:tcW w:w="1968" w:type="pct"/>
            <w:vAlign w:val="center"/>
          </w:tcPr>
          <w:p w14:paraId="6511DB63">
            <w:pPr>
              <w:adjustRightInd w:val="0"/>
              <w:snapToGrid w:val="0"/>
              <w:spacing w:line="300" w:lineRule="exact"/>
              <w:rPr>
                <w:rFonts w:ascii="Times New Roman" w:eastAsia="仿宋"/>
                <w:kern w:val="32"/>
              </w:rPr>
            </w:pPr>
            <w:r>
              <w:rPr>
                <w:rFonts w:ascii="Times New Roman" w:eastAsia="仿宋"/>
                <w:kern w:val="32"/>
              </w:rPr>
              <w:t>本项目属于C3670汽车零部件及配件制造，涉VOCs的原辅料主要包括涂料、清洗剂</w:t>
            </w:r>
            <w:r>
              <w:rPr>
                <w:rFonts w:hint="eastAsia" w:ascii="Times New Roman" w:eastAsia="仿宋"/>
                <w:kern w:val="32"/>
              </w:rPr>
              <w:t>和聚氨酯胶</w:t>
            </w:r>
            <w:r>
              <w:rPr>
                <w:rFonts w:ascii="Times New Roman" w:eastAsia="仿宋"/>
                <w:kern w:val="32"/>
              </w:rPr>
              <w:t>。</w:t>
            </w:r>
          </w:p>
          <w:p w14:paraId="4DD62058">
            <w:pPr>
              <w:rPr>
                <w:rFonts w:ascii="Times New Roman" w:eastAsia="仿宋"/>
                <w:szCs w:val="21"/>
              </w:rPr>
            </w:pPr>
            <w:r>
              <w:rPr>
                <w:rFonts w:ascii="Times New Roman" w:eastAsia="仿宋"/>
                <w:szCs w:val="21"/>
              </w:rPr>
              <w:t>本项目</w:t>
            </w:r>
            <w:r>
              <w:rPr>
                <w:rFonts w:hint="eastAsia" w:ascii="Times New Roman" w:eastAsia="仿宋"/>
                <w:szCs w:val="21"/>
              </w:rPr>
              <w:t>由于产品质量要求，需使用溶剂型氟碳底漆、氟碳面漆进行喷涂，根据专家论证，暂无替代方案。</w:t>
            </w:r>
          </w:p>
          <w:p w14:paraId="67B0191B">
            <w:pPr>
              <w:adjustRightInd w:val="0"/>
              <w:snapToGrid w:val="0"/>
              <w:spacing w:line="300" w:lineRule="exact"/>
              <w:rPr>
                <w:rFonts w:ascii="Times New Roman" w:eastAsia="仿宋"/>
                <w:kern w:val="32"/>
              </w:rPr>
            </w:pPr>
            <w:r>
              <w:rPr>
                <w:rFonts w:ascii="Times New Roman" w:eastAsia="仿宋"/>
                <w:szCs w:val="21"/>
              </w:rPr>
              <w:t>本项目</w:t>
            </w:r>
            <w:r>
              <w:rPr>
                <w:rFonts w:hint="eastAsia" w:ascii="Times New Roman" w:eastAsia="仿宋"/>
                <w:szCs w:val="21"/>
              </w:rPr>
              <w:t>使用的</w:t>
            </w:r>
            <w:r>
              <w:rPr>
                <w:rFonts w:ascii="Times New Roman" w:eastAsia="仿宋"/>
                <w:szCs w:val="21"/>
              </w:rPr>
              <w:t>溶剂型涂料</w:t>
            </w:r>
            <w:r>
              <w:rPr>
                <w:rFonts w:hint="eastAsia" w:ascii="Times New Roman" w:eastAsia="仿宋"/>
                <w:szCs w:val="21"/>
              </w:rPr>
              <w:t>施工状态下</w:t>
            </w:r>
            <w:r>
              <w:rPr>
                <w:rFonts w:hint="eastAsia" w:ascii="Times New Roman" w:eastAsia="仿宋"/>
                <w:kern w:val="32"/>
              </w:rPr>
              <w:t>VOCs含量满足《涂料中挥发性有机物限量》（DB32/T 3500—2019）、《车辆涂料中有害物质限量》（GB 24409-2020）、《工业防护涂料中有害物质限量》（GB30981-2020）中相关要求限值</w:t>
            </w:r>
            <w:r>
              <w:rPr>
                <w:rFonts w:hint="eastAsia" w:ascii="Times New Roman" w:hAnsi="仿宋" w:eastAsia="仿宋"/>
                <w:bCs/>
                <w:szCs w:val="24"/>
                <w:lang w:bidi="ar"/>
              </w:rPr>
              <w:t>。</w:t>
            </w:r>
          </w:p>
        </w:tc>
      </w:tr>
    </w:tbl>
    <w:p w14:paraId="586BC7CD">
      <w:pPr>
        <w:spacing w:line="500" w:lineRule="exact"/>
        <w:ind w:firstLine="562" w:firstLineChars="200"/>
        <w:rPr>
          <w:rFonts w:ascii="Times New Roman" w:eastAsia="仿宋"/>
          <w:b/>
          <w:sz w:val="28"/>
          <w:szCs w:val="28"/>
        </w:rPr>
      </w:pPr>
      <w:r>
        <w:rPr>
          <w:rFonts w:ascii="Times New Roman" w:eastAsia="仿宋"/>
          <w:b/>
          <w:sz w:val="28"/>
          <w:szCs w:val="28"/>
        </w:rPr>
        <w:t>13、与《关于做好生态环境和应急管理部门联动工作的意见》（苏环办[2020]101号）相符性分析</w:t>
      </w:r>
    </w:p>
    <w:p w14:paraId="669302FD">
      <w:pPr>
        <w:spacing w:line="500" w:lineRule="exact"/>
        <w:jc w:val="center"/>
        <w:rPr>
          <w:rFonts w:ascii="Times New Roman" w:eastAsia="仿宋"/>
          <w:b/>
        </w:rPr>
      </w:pPr>
      <w:r>
        <w:rPr>
          <w:rFonts w:ascii="Times New Roman" w:eastAsia="仿宋"/>
          <w:b/>
          <w:bCs/>
        </w:rPr>
        <w:t>表2.7-10 与苏环办[2020]101号对照分析</w:t>
      </w:r>
    </w:p>
    <w:tbl>
      <w:tblPr>
        <w:tblStyle w:val="87"/>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4379"/>
        <w:gridCol w:w="3284"/>
      </w:tblGrid>
      <w:tr w14:paraId="3D7F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pct"/>
            <w:vAlign w:val="center"/>
          </w:tcPr>
          <w:p w14:paraId="539EDD04">
            <w:pPr>
              <w:spacing w:line="320" w:lineRule="exact"/>
              <w:jc w:val="center"/>
              <w:rPr>
                <w:rFonts w:ascii="Times New Roman" w:eastAsia="仿宋"/>
                <w:bCs/>
                <w:spacing w:val="-6"/>
                <w:kern w:val="32"/>
              </w:rPr>
            </w:pPr>
            <w:r>
              <w:rPr>
                <w:rFonts w:ascii="Times New Roman" w:eastAsia="仿宋"/>
                <w:bCs/>
                <w:spacing w:val="-6"/>
                <w:kern w:val="32"/>
              </w:rPr>
              <w:t>类别</w:t>
            </w:r>
          </w:p>
        </w:tc>
        <w:tc>
          <w:tcPr>
            <w:tcW w:w="2429" w:type="pct"/>
            <w:vAlign w:val="center"/>
          </w:tcPr>
          <w:p w14:paraId="632D04B6">
            <w:pPr>
              <w:spacing w:line="320" w:lineRule="exact"/>
              <w:jc w:val="center"/>
              <w:rPr>
                <w:rFonts w:ascii="Times New Roman" w:eastAsia="仿宋"/>
                <w:bCs/>
                <w:spacing w:val="-6"/>
                <w:kern w:val="32"/>
              </w:rPr>
            </w:pPr>
            <w:r>
              <w:rPr>
                <w:rFonts w:ascii="Times New Roman" w:eastAsia="仿宋"/>
                <w:bCs/>
                <w:spacing w:val="-6"/>
                <w:kern w:val="32"/>
              </w:rPr>
              <w:t>文件要求</w:t>
            </w:r>
          </w:p>
        </w:tc>
        <w:tc>
          <w:tcPr>
            <w:tcW w:w="1821" w:type="pct"/>
            <w:vAlign w:val="center"/>
          </w:tcPr>
          <w:p w14:paraId="44CC34D1">
            <w:pPr>
              <w:spacing w:line="320" w:lineRule="exact"/>
              <w:jc w:val="center"/>
              <w:rPr>
                <w:rFonts w:ascii="Times New Roman" w:eastAsia="仿宋"/>
                <w:bCs/>
                <w:spacing w:val="-6"/>
                <w:kern w:val="32"/>
              </w:rPr>
            </w:pPr>
            <w:r>
              <w:rPr>
                <w:rFonts w:ascii="Times New Roman" w:eastAsia="仿宋"/>
                <w:bCs/>
                <w:spacing w:val="-6"/>
                <w:kern w:val="32"/>
              </w:rPr>
              <w:t>对照分析</w:t>
            </w:r>
          </w:p>
        </w:tc>
      </w:tr>
      <w:tr w14:paraId="6277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pct"/>
            <w:vMerge w:val="restart"/>
            <w:vAlign w:val="center"/>
          </w:tcPr>
          <w:p w14:paraId="3CA6CF6C">
            <w:pPr>
              <w:spacing w:line="320" w:lineRule="exact"/>
              <w:jc w:val="center"/>
              <w:rPr>
                <w:rFonts w:ascii="Times New Roman" w:eastAsia="仿宋"/>
                <w:bCs/>
                <w:spacing w:val="-6"/>
                <w:kern w:val="32"/>
              </w:rPr>
            </w:pPr>
            <w:r>
              <w:rPr>
                <w:rFonts w:ascii="Times New Roman" w:eastAsia="仿宋"/>
                <w:bCs/>
                <w:spacing w:val="-6"/>
                <w:kern w:val="32"/>
              </w:rPr>
              <w:t>建立危险废物监管联动机制</w:t>
            </w:r>
          </w:p>
        </w:tc>
        <w:tc>
          <w:tcPr>
            <w:tcW w:w="2429" w:type="pct"/>
            <w:vAlign w:val="center"/>
          </w:tcPr>
          <w:p w14:paraId="7A51392F">
            <w:pPr>
              <w:spacing w:line="320" w:lineRule="exact"/>
              <w:jc w:val="center"/>
              <w:rPr>
                <w:rFonts w:ascii="Times New Roman" w:eastAsia="仿宋"/>
                <w:bCs/>
                <w:spacing w:val="-6"/>
                <w:kern w:val="32"/>
              </w:rPr>
            </w:pPr>
            <w:r>
              <w:rPr>
                <w:rFonts w:ascii="Times New Roman" w:eastAsia="仿宋"/>
                <w:bCs/>
                <w:spacing w:val="-6"/>
                <w:kern w:val="32"/>
              </w:rPr>
              <w:t>企业法定代表人和实际控制人是企业废弃危险化学品等危险废物安全环保全过程管理的第一责任人。</w:t>
            </w:r>
          </w:p>
        </w:tc>
        <w:tc>
          <w:tcPr>
            <w:tcW w:w="1821" w:type="pct"/>
            <w:vAlign w:val="center"/>
          </w:tcPr>
          <w:p w14:paraId="4E7437FC">
            <w:pPr>
              <w:spacing w:line="320" w:lineRule="exact"/>
              <w:jc w:val="center"/>
              <w:rPr>
                <w:rFonts w:ascii="Times New Roman" w:eastAsia="仿宋"/>
                <w:bCs/>
                <w:spacing w:val="-6"/>
                <w:kern w:val="32"/>
              </w:rPr>
            </w:pPr>
            <w:r>
              <w:rPr>
                <w:rFonts w:ascii="Times New Roman" w:eastAsia="仿宋"/>
                <w:bCs/>
                <w:spacing w:val="-6"/>
                <w:kern w:val="32"/>
              </w:rPr>
              <w:t>企业法定代表人和实际控制人是企业废弃危险化学品等危险废物安全环保全过程管理的第一责任人。</w:t>
            </w:r>
          </w:p>
        </w:tc>
      </w:tr>
      <w:tr w14:paraId="4B16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pct"/>
            <w:vMerge w:val="continue"/>
            <w:vAlign w:val="center"/>
          </w:tcPr>
          <w:p w14:paraId="19D0662E">
            <w:pPr>
              <w:spacing w:line="320" w:lineRule="exact"/>
              <w:jc w:val="center"/>
              <w:rPr>
                <w:rFonts w:ascii="Times New Roman" w:eastAsia="仿宋"/>
                <w:bCs/>
                <w:spacing w:val="-6"/>
                <w:kern w:val="32"/>
              </w:rPr>
            </w:pPr>
          </w:p>
        </w:tc>
        <w:tc>
          <w:tcPr>
            <w:tcW w:w="2429" w:type="pct"/>
            <w:vAlign w:val="center"/>
          </w:tcPr>
          <w:p w14:paraId="1B4DFFD5">
            <w:pPr>
              <w:spacing w:line="320" w:lineRule="exact"/>
              <w:jc w:val="center"/>
              <w:rPr>
                <w:rFonts w:ascii="Times New Roman" w:eastAsia="仿宋"/>
                <w:bCs/>
                <w:spacing w:val="-6"/>
                <w:kern w:val="32"/>
              </w:rPr>
            </w:pPr>
            <w:r>
              <w:rPr>
                <w:rFonts w:ascii="Times New Roman" w:eastAsia="仿宋"/>
                <w:bCs/>
                <w:spacing w:val="-6"/>
                <w:kern w:val="32"/>
              </w:rPr>
              <w:t>企业要切实履行好从危险废物产生、收集、贮存、运输、利用、处置等环节各项环保和安全职责；要制定危险废物管理计划并报属地生态环境部门备案。</w:t>
            </w:r>
          </w:p>
        </w:tc>
        <w:tc>
          <w:tcPr>
            <w:tcW w:w="1821" w:type="pct"/>
            <w:vAlign w:val="center"/>
          </w:tcPr>
          <w:p w14:paraId="4965A855">
            <w:pPr>
              <w:spacing w:line="320" w:lineRule="exact"/>
              <w:jc w:val="center"/>
              <w:rPr>
                <w:rFonts w:ascii="Times New Roman" w:eastAsia="仿宋"/>
                <w:bCs/>
                <w:spacing w:val="-6"/>
                <w:kern w:val="32"/>
              </w:rPr>
            </w:pPr>
            <w:r>
              <w:rPr>
                <w:rFonts w:ascii="Times New Roman" w:eastAsia="仿宋"/>
                <w:bCs/>
                <w:spacing w:val="-6"/>
                <w:kern w:val="32"/>
              </w:rPr>
              <w:t>本项目将严格按照该要求规定进行执行。</w:t>
            </w:r>
          </w:p>
        </w:tc>
      </w:tr>
      <w:tr w14:paraId="2F90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pct"/>
            <w:vAlign w:val="center"/>
          </w:tcPr>
          <w:p w14:paraId="0482154C">
            <w:pPr>
              <w:spacing w:line="320" w:lineRule="exact"/>
              <w:jc w:val="center"/>
              <w:rPr>
                <w:rFonts w:ascii="Times New Roman" w:eastAsia="仿宋"/>
                <w:bCs/>
                <w:spacing w:val="-6"/>
                <w:kern w:val="32"/>
              </w:rPr>
            </w:pPr>
            <w:r>
              <w:rPr>
                <w:rFonts w:ascii="Times New Roman" w:eastAsia="仿宋"/>
                <w:bCs/>
                <w:spacing w:val="-6"/>
                <w:kern w:val="32"/>
              </w:rPr>
              <w:t>建立环境治理设施监管联动机制</w:t>
            </w:r>
          </w:p>
        </w:tc>
        <w:tc>
          <w:tcPr>
            <w:tcW w:w="2429" w:type="pct"/>
            <w:vAlign w:val="center"/>
          </w:tcPr>
          <w:p w14:paraId="054CB177">
            <w:pPr>
              <w:spacing w:line="320" w:lineRule="exact"/>
              <w:jc w:val="center"/>
              <w:rPr>
                <w:rFonts w:ascii="Times New Roman" w:eastAsia="仿宋"/>
                <w:bCs/>
                <w:spacing w:val="-6"/>
                <w:kern w:val="32"/>
              </w:rPr>
            </w:pPr>
            <w:r>
              <w:rPr>
                <w:rFonts w:ascii="Times New Roman" w:eastAsia="仿宋"/>
                <w:bCs/>
                <w:spacing w:val="-6"/>
                <w:kern w:val="32"/>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21" w:type="pct"/>
            <w:vAlign w:val="center"/>
          </w:tcPr>
          <w:p w14:paraId="14CA8C5F">
            <w:pPr>
              <w:spacing w:line="320" w:lineRule="exact"/>
              <w:jc w:val="center"/>
              <w:rPr>
                <w:rFonts w:ascii="Times New Roman" w:eastAsia="仿宋"/>
                <w:bCs/>
                <w:spacing w:val="-6"/>
                <w:kern w:val="32"/>
              </w:rPr>
            </w:pPr>
            <w:r>
              <w:rPr>
                <w:rFonts w:ascii="Times New Roman" w:eastAsia="仿宋"/>
                <w:bCs/>
                <w:spacing w:val="-6"/>
                <w:kern w:val="32"/>
              </w:rPr>
              <w:t>本项目涉及污水处理、粉尘治理等环节治理设施，将严格按照该要求规定进行执行。</w:t>
            </w:r>
          </w:p>
        </w:tc>
      </w:tr>
    </w:tbl>
    <w:p w14:paraId="6550358D">
      <w:pPr>
        <w:spacing w:line="500" w:lineRule="exact"/>
        <w:ind w:firstLine="562" w:firstLineChars="200"/>
        <w:rPr>
          <w:rFonts w:ascii="Times New Roman" w:eastAsia="仿宋"/>
          <w:b/>
          <w:sz w:val="28"/>
          <w:szCs w:val="28"/>
        </w:rPr>
      </w:pPr>
      <w:r>
        <w:rPr>
          <w:rFonts w:hint="eastAsia" w:ascii="Times New Roman" w:eastAsia="仿宋"/>
          <w:b/>
          <w:sz w:val="28"/>
          <w:szCs w:val="28"/>
        </w:rPr>
        <w:t>1</w:t>
      </w:r>
      <w:r>
        <w:rPr>
          <w:rFonts w:ascii="Times New Roman" w:eastAsia="仿宋"/>
          <w:b/>
          <w:sz w:val="28"/>
          <w:szCs w:val="28"/>
        </w:rPr>
        <w:t>4</w:t>
      </w:r>
      <w:r>
        <w:rPr>
          <w:rFonts w:hint="eastAsia" w:ascii="Times New Roman" w:eastAsia="仿宋"/>
          <w:b/>
          <w:sz w:val="28"/>
          <w:szCs w:val="28"/>
        </w:rPr>
        <w:t>、</w:t>
      </w:r>
      <w:r>
        <w:rPr>
          <w:rFonts w:ascii="Times New Roman" w:eastAsia="仿宋"/>
          <w:b/>
          <w:sz w:val="28"/>
          <w:szCs w:val="28"/>
        </w:rPr>
        <w:t>与</w:t>
      </w:r>
      <w:r>
        <w:rPr>
          <w:rFonts w:hint="eastAsia" w:ascii="Times New Roman" w:eastAsia="仿宋"/>
          <w:b/>
          <w:sz w:val="28"/>
          <w:szCs w:val="28"/>
        </w:rPr>
        <w:t>《关于印发&lt;江苏省地表水氟化物污染治理工作方案（2023—2025年）&gt;的通知》（苏污防攻坚指办〔2023〕2号）</w:t>
      </w:r>
      <w:r>
        <w:rPr>
          <w:rFonts w:ascii="Times New Roman" w:eastAsia="仿宋"/>
          <w:b/>
          <w:sz w:val="28"/>
          <w:szCs w:val="28"/>
        </w:rPr>
        <w:t>相符性分析</w:t>
      </w:r>
    </w:p>
    <w:p w14:paraId="6B85941D">
      <w:pPr>
        <w:spacing w:line="500" w:lineRule="exact"/>
        <w:jc w:val="center"/>
        <w:rPr>
          <w:rFonts w:ascii="Times New Roman" w:eastAsia="仿宋"/>
          <w:b/>
        </w:rPr>
      </w:pPr>
      <w:r>
        <w:rPr>
          <w:rFonts w:ascii="Times New Roman" w:eastAsia="仿宋"/>
          <w:b/>
          <w:bCs/>
        </w:rPr>
        <w:t>表2.7-11 与</w:t>
      </w:r>
      <w:r>
        <w:rPr>
          <w:rFonts w:hint="eastAsia" w:ascii="Times New Roman" w:eastAsia="仿宋"/>
          <w:b/>
          <w:bCs/>
        </w:rPr>
        <w:t>苏污防攻坚指办〔2023〕2号</w:t>
      </w:r>
      <w:r>
        <w:rPr>
          <w:rFonts w:ascii="Times New Roman" w:eastAsia="仿宋"/>
          <w:b/>
          <w:bCs/>
        </w:rPr>
        <w:t>对照分析</w:t>
      </w:r>
    </w:p>
    <w:tbl>
      <w:tblPr>
        <w:tblStyle w:val="87"/>
        <w:tblW w:w="51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4096"/>
        <w:gridCol w:w="3807"/>
      </w:tblGrid>
      <w:tr w14:paraId="69F7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86" w:type="pct"/>
            <w:vAlign w:val="center"/>
          </w:tcPr>
          <w:p w14:paraId="1D9D5FEE">
            <w:pPr>
              <w:adjustRightInd w:val="0"/>
              <w:snapToGrid w:val="0"/>
              <w:spacing w:line="300" w:lineRule="exact"/>
              <w:jc w:val="center"/>
              <w:rPr>
                <w:rFonts w:ascii="Times New Roman" w:eastAsia="仿宋"/>
              </w:rPr>
            </w:pPr>
            <w:r>
              <w:rPr>
                <w:rFonts w:ascii="Times New Roman" w:eastAsia="仿宋"/>
              </w:rPr>
              <w:t>类别</w:t>
            </w:r>
          </w:p>
        </w:tc>
        <w:tc>
          <w:tcPr>
            <w:tcW w:w="2236" w:type="pct"/>
            <w:vAlign w:val="center"/>
          </w:tcPr>
          <w:p w14:paraId="0A2EE65E">
            <w:pPr>
              <w:adjustRightInd w:val="0"/>
              <w:snapToGrid w:val="0"/>
              <w:spacing w:line="300" w:lineRule="exact"/>
              <w:jc w:val="center"/>
              <w:rPr>
                <w:rFonts w:ascii="Times New Roman" w:eastAsia="仿宋"/>
              </w:rPr>
            </w:pPr>
            <w:r>
              <w:rPr>
                <w:rFonts w:ascii="Times New Roman" w:eastAsia="仿宋"/>
              </w:rPr>
              <w:t>文件要求</w:t>
            </w:r>
          </w:p>
        </w:tc>
        <w:tc>
          <w:tcPr>
            <w:tcW w:w="2078" w:type="pct"/>
            <w:vAlign w:val="center"/>
          </w:tcPr>
          <w:p w14:paraId="79F13605">
            <w:pPr>
              <w:adjustRightInd w:val="0"/>
              <w:snapToGrid w:val="0"/>
              <w:spacing w:line="300" w:lineRule="exact"/>
              <w:jc w:val="center"/>
              <w:rPr>
                <w:rFonts w:ascii="Times New Roman" w:eastAsia="仿宋"/>
              </w:rPr>
            </w:pPr>
            <w:r>
              <w:rPr>
                <w:rFonts w:ascii="Times New Roman" w:eastAsia="仿宋"/>
              </w:rPr>
              <w:t>本项目</w:t>
            </w:r>
          </w:p>
        </w:tc>
      </w:tr>
      <w:tr w14:paraId="54F2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6" w:type="pct"/>
            <w:vMerge w:val="restart"/>
            <w:vAlign w:val="center"/>
          </w:tcPr>
          <w:p w14:paraId="7BE714FA">
            <w:pPr>
              <w:jc w:val="center"/>
              <w:rPr>
                <w:rFonts w:ascii="Times New Roman" w:eastAsia="仿宋"/>
                <w:szCs w:val="21"/>
              </w:rPr>
            </w:pPr>
            <w:r>
              <w:rPr>
                <w:rFonts w:hint="eastAsia" w:ascii="Times New Roman" w:eastAsia="仿宋"/>
                <w:szCs w:val="21"/>
              </w:rPr>
              <w:t>基本原则</w:t>
            </w:r>
          </w:p>
        </w:tc>
        <w:tc>
          <w:tcPr>
            <w:tcW w:w="2236" w:type="pct"/>
            <w:vAlign w:val="center"/>
          </w:tcPr>
          <w:p w14:paraId="1BD37F8B">
            <w:pPr>
              <w:adjustRightInd w:val="0"/>
              <w:snapToGrid w:val="0"/>
              <w:spacing w:line="300" w:lineRule="exact"/>
              <w:rPr>
                <w:rFonts w:ascii="Times New Roman" w:eastAsia="仿宋"/>
                <w:kern w:val="32"/>
              </w:rPr>
            </w:pPr>
            <w:r>
              <w:rPr>
                <w:rFonts w:hint="eastAsia" w:ascii="Times New Roman" w:eastAsia="仿宋"/>
                <w:kern w:val="32"/>
              </w:rPr>
              <w:t>（一）</w:t>
            </w:r>
            <w:r>
              <w:rPr>
                <w:rFonts w:ascii="Times New Roman" w:eastAsia="仿宋"/>
                <w:kern w:val="32"/>
              </w:rPr>
              <w:t>坚持源头治理。考虑涉氟企业及园区现状分布,结合碳达峰、碳中和背景下光伏产业将快速发展的预期，未雨绸缪，提前筹划涉氟产业布局和项目准入要求。</w:t>
            </w:r>
          </w:p>
        </w:tc>
        <w:tc>
          <w:tcPr>
            <w:tcW w:w="2078" w:type="pct"/>
            <w:vMerge w:val="restart"/>
            <w:vAlign w:val="center"/>
          </w:tcPr>
          <w:p w14:paraId="4415ED43">
            <w:pPr>
              <w:adjustRightInd w:val="0"/>
              <w:snapToGrid w:val="0"/>
              <w:spacing w:line="300" w:lineRule="exact"/>
              <w:rPr>
                <w:rFonts w:ascii="Times New Roman" w:eastAsia="仿宋"/>
                <w:kern w:val="32"/>
              </w:rPr>
            </w:pPr>
            <w:r>
              <w:rPr>
                <w:rFonts w:ascii="Times New Roman" w:eastAsia="仿宋"/>
                <w:kern w:val="32"/>
              </w:rPr>
              <w:t>本项目</w:t>
            </w:r>
            <w:r>
              <w:rPr>
                <w:rFonts w:hint="eastAsia" w:ascii="Times New Roman" w:eastAsia="仿宋"/>
                <w:kern w:val="32"/>
              </w:rPr>
              <w:t>使用涂料中含氟，含氟废水作为危废委托有资质单位处理，不外排。</w:t>
            </w:r>
          </w:p>
        </w:tc>
      </w:tr>
      <w:tr w14:paraId="7A0E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6" w:type="pct"/>
            <w:vMerge w:val="continue"/>
            <w:vAlign w:val="center"/>
          </w:tcPr>
          <w:p w14:paraId="0F287C01"/>
        </w:tc>
        <w:tc>
          <w:tcPr>
            <w:tcW w:w="2236" w:type="pct"/>
            <w:vAlign w:val="center"/>
          </w:tcPr>
          <w:p w14:paraId="15B5970B">
            <w:pPr>
              <w:adjustRightInd w:val="0"/>
              <w:snapToGrid w:val="0"/>
              <w:spacing w:line="300" w:lineRule="exact"/>
              <w:rPr>
                <w:rFonts w:ascii="Times New Roman" w:eastAsia="仿宋"/>
                <w:kern w:val="32"/>
              </w:rPr>
            </w:pPr>
            <w:r>
              <w:rPr>
                <w:rFonts w:hint="eastAsia" w:ascii="Times New Roman" w:eastAsia="仿宋"/>
                <w:kern w:val="32"/>
              </w:rPr>
              <w:t>（二）</w:t>
            </w:r>
            <w:r>
              <w:rPr>
                <w:rFonts w:ascii="Times New Roman" w:eastAsia="仿宋"/>
                <w:kern w:val="32"/>
              </w:rPr>
              <w:t>坚持系统观念。从原料、工艺、产品、污染控制及资源化利用等可能造成氟化物污染的全生命周期出发，以生态环境质量目标为导向，系统谋划、整体推进，强化各环节协同控制和治理。</w:t>
            </w:r>
          </w:p>
        </w:tc>
        <w:tc>
          <w:tcPr>
            <w:tcW w:w="2078" w:type="pct"/>
            <w:vMerge w:val="continue"/>
            <w:vAlign w:val="center"/>
          </w:tcPr>
          <w:p w14:paraId="69BACA7E">
            <w:pPr>
              <w:rPr>
                <w:rFonts w:hAnsi="宋体" w:cs="宋体"/>
                <w:szCs w:val="24"/>
              </w:rPr>
            </w:pPr>
          </w:p>
        </w:tc>
      </w:tr>
      <w:tr w14:paraId="2115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6" w:type="pct"/>
            <w:vMerge w:val="continue"/>
            <w:vAlign w:val="center"/>
          </w:tcPr>
          <w:p w14:paraId="5CE98022">
            <w:pPr>
              <w:rPr>
                <w:rFonts w:hAnsi="宋体" w:cs="宋体"/>
                <w:szCs w:val="24"/>
              </w:rPr>
            </w:pPr>
          </w:p>
        </w:tc>
        <w:tc>
          <w:tcPr>
            <w:tcW w:w="2236" w:type="pct"/>
            <w:vAlign w:val="center"/>
          </w:tcPr>
          <w:p w14:paraId="21A15055">
            <w:pPr>
              <w:adjustRightInd w:val="0"/>
              <w:snapToGrid w:val="0"/>
              <w:spacing w:line="300" w:lineRule="exact"/>
              <w:rPr>
                <w:rFonts w:ascii="Times New Roman" w:eastAsia="仿宋"/>
                <w:kern w:val="32"/>
              </w:rPr>
            </w:pPr>
            <w:r>
              <w:rPr>
                <w:rFonts w:hint="eastAsia" w:ascii="Times New Roman" w:eastAsia="仿宋"/>
                <w:kern w:val="32"/>
              </w:rPr>
              <w:t>（三）</w:t>
            </w:r>
            <w:r>
              <w:rPr>
                <w:rFonts w:ascii="Times New Roman" w:eastAsia="仿宋"/>
                <w:kern w:val="32"/>
              </w:rPr>
              <w:t>坚持问题导向。围绕国、省考断面氟化物超标的突出问题，聚焦重点区域、重点行业，坚持精准治污、科学治污、依法治污，进一步提升治理的针对性和有效性。</w:t>
            </w:r>
          </w:p>
        </w:tc>
        <w:tc>
          <w:tcPr>
            <w:tcW w:w="2078" w:type="pct"/>
            <w:vMerge w:val="continue"/>
            <w:vAlign w:val="center"/>
          </w:tcPr>
          <w:p w14:paraId="00DA4174">
            <w:pPr>
              <w:rPr>
                <w:rFonts w:hAnsi="宋体" w:cs="宋体"/>
                <w:szCs w:val="24"/>
              </w:rPr>
            </w:pPr>
          </w:p>
        </w:tc>
      </w:tr>
      <w:tr w14:paraId="068C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6" w:type="pct"/>
            <w:vMerge w:val="continue"/>
            <w:vAlign w:val="center"/>
          </w:tcPr>
          <w:p w14:paraId="081483C2"/>
        </w:tc>
        <w:tc>
          <w:tcPr>
            <w:tcW w:w="2236" w:type="pct"/>
            <w:vAlign w:val="center"/>
          </w:tcPr>
          <w:p w14:paraId="3631E4AA">
            <w:pPr>
              <w:adjustRightInd w:val="0"/>
              <w:snapToGrid w:val="0"/>
              <w:spacing w:line="300" w:lineRule="exact"/>
              <w:rPr>
                <w:rFonts w:ascii="Times New Roman" w:eastAsia="仿宋"/>
                <w:kern w:val="32"/>
              </w:rPr>
            </w:pPr>
            <w:r>
              <w:rPr>
                <w:rFonts w:hint="eastAsia" w:ascii="Times New Roman" w:eastAsia="仿宋"/>
                <w:kern w:val="32"/>
              </w:rPr>
              <w:t>（四）</w:t>
            </w:r>
            <w:r>
              <w:rPr>
                <w:rFonts w:ascii="Times New Roman" w:eastAsia="仿宋"/>
                <w:kern w:val="32"/>
              </w:rPr>
              <w:t>强化管理支撑。围绕氟化物污染治理目标，建立健全氟化物污染物排放及在线监测监控标准体系，加强氟化物治理关键技术研究，进一步提升治理的能力和水平。</w:t>
            </w:r>
          </w:p>
        </w:tc>
        <w:tc>
          <w:tcPr>
            <w:tcW w:w="2078" w:type="pct"/>
            <w:vMerge w:val="continue"/>
            <w:vAlign w:val="center"/>
          </w:tcPr>
          <w:p w14:paraId="179ED961">
            <w:pPr>
              <w:rPr>
                <w:rFonts w:hAnsi="宋体" w:cs="宋体"/>
                <w:szCs w:val="24"/>
              </w:rPr>
            </w:pPr>
          </w:p>
        </w:tc>
      </w:tr>
      <w:tr w14:paraId="5EA0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6" w:type="pct"/>
            <w:vMerge w:val="restart"/>
            <w:vAlign w:val="center"/>
          </w:tcPr>
          <w:p w14:paraId="59A6569E">
            <w:pPr>
              <w:jc w:val="center"/>
              <w:rPr>
                <w:rFonts w:ascii="Times New Roman" w:eastAsia="仿宋"/>
                <w:szCs w:val="21"/>
              </w:rPr>
            </w:pPr>
            <w:r>
              <w:rPr>
                <w:rFonts w:hint="eastAsia" w:ascii="Times New Roman" w:eastAsia="仿宋"/>
                <w:szCs w:val="21"/>
              </w:rPr>
              <w:t>总体目标</w:t>
            </w:r>
          </w:p>
        </w:tc>
        <w:tc>
          <w:tcPr>
            <w:tcW w:w="2236" w:type="pct"/>
            <w:vAlign w:val="center"/>
          </w:tcPr>
          <w:p w14:paraId="1A09C1C3">
            <w:pPr>
              <w:widowControl/>
              <w:shd w:val="clear" w:color="auto" w:fill="FFFFFF"/>
              <w:rPr>
                <w:rFonts w:ascii="Times New Roman" w:eastAsia="仿宋"/>
                <w:szCs w:val="21"/>
              </w:rPr>
            </w:pPr>
            <w:r>
              <w:rPr>
                <w:rFonts w:ascii="Times New Roman" w:eastAsia="仿宋"/>
                <w:szCs w:val="21"/>
              </w:rPr>
              <w:t>（一）</w:t>
            </w:r>
            <w:r>
              <w:rPr>
                <w:rFonts w:hint="eastAsia" w:ascii="Times New Roman" w:eastAsia="仿宋"/>
                <w:szCs w:val="21"/>
              </w:rPr>
              <w:t>治理能力现代化。有序推进工业废水与生活污水分类收集、分质处理，完善含氟废水收集处理体系建设，新建企业含氟废水不得接入城镇污水处理厂，已接管的企业开展全面排查评估。到2025年，氟化物污染治理能力能够与地表水环境质量要求相匹配。</w:t>
            </w:r>
          </w:p>
        </w:tc>
        <w:tc>
          <w:tcPr>
            <w:tcW w:w="2078" w:type="pct"/>
            <w:vMerge w:val="restart"/>
            <w:vAlign w:val="center"/>
          </w:tcPr>
          <w:p w14:paraId="0084B0D5">
            <w:pPr>
              <w:adjustRightInd w:val="0"/>
              <w:snapToGrid w:val="0"/>
              <w:spacing w:line="300" w:lineRule="exact"/>
              <w:rPr>
                <w:rFonts w:ascii="Times New Roman" w:eastAsia="仿宋"/>
                <w:kern w:val="32"/>
              </w:rPr>
            </w:pPr>
            <w:r>
              <w:rPr>
                <w:rFonts w:ascii="Times New Roman" w:eastAsia="仿宋"/>
                <w:kern w:val="32"/>
              </w:rPr>
              <w:t>本项目</w:t>
            </w:r>
            <w:r>
              <w:rPr>
                <w:rFonts w:hint="eastAsia" w:ascii="Times New Roman" w:eastAsia="仿宋"/>
                <w:kern w:val="32"/>
              </w:rPr>
              <w:t>使用涂料中含氟，含氟废水作为危废委托有资质单位处理，不外排。</w:t>
            </w:r>
          </w:p>
        </w:tc>
      </w:tr>
      <w:tr w14:paraId="0ADD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6" w:type="pct"/>
            <w:vMerge w:val="continue"/>
            <w:vAlign w:val="center"/>
          </w:tcPr>
          <w:p w14:paraId="0D66B4C7">
            <w:pPr>
              <w:jc w:val="center"/>
              <w:rPr>
                <w:rFonts w:ascii="Times New Roman" w:eastAsia="仿宋"/>
                <w:szCs w:val="21"/>
              </w:rPr>
            </w:pPr>
          </w:p>
        </w:tc>
        <w:tc>
          <w:tcPr>
            <w:tcW w:w="2236" w:type="pct"/>
            <w:vAlign w:val="center"/>
          </w:tcPr>
          <w:p w14:paraId="4AF916FF">
            <w:pPr>
              <w:widowControl/>
              <w:shd w:val="clear" w:color="auto" w:fill="FFFFFF"/>
              <w:rPr>
                <w:rFonts w:ascii="Times New Roman" w:eastAsia="仿宋"/>
                <w:szCs w:val="21"/>
              </w:rPr>
            </w:pPr>
            <w:r>
              <w:rPr>
                <w:rFonts w:hint="eastAsia" w:ascii="Times New Roman" w:eastAsia="仿宋"/>
                <w:szCs w:val="21"/>
              </w:rPr>
              <w:t>（二）监控能力现代化。积极推进氟化物污染物排放及水环境质量的监测监控，到2024年，涉氟污水处理厂及重点涉氟企业雨水污水排放口、部分重点国省考断面安装氟化物自动监控系统，并与省、市生态环境大数据平台联网。逐步实行氟化物排放浓度和总量“双控”，完善排污许可核发规范。</w:t>
            </w:r>
          </w:p>
        </w:tc>
        <w:tc>
          <w:tcPr>
            <w:tcW w:w="2078" w:type="pct"/>
            <w:vMerge w:val="continue"/>
            <w:vAlign w:val="center"/>
          </w:tcPr>
          <w:p w14:paraId="5BA328E1">
            <w:pPr>
              <w:adjustRightInd w:val="0"/>
              <w:snapToGrid w:val="0"/>
              <w:spacing w:line="300" w:lineRule="exact"/>
              <w:rPr>
                <w:rFonts w:ascii="Times New Roman" w:eastAsia="仿宋"/>
                <w:kern w:val="32"/>
              </w:rPr>
            </w:pPr>
          </w:p>
        </w:tc>
      </w:tr>
      <w:tr w14:paraId="448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6" w:type="pct"/>
            <w:vMerge w:val="continue"/>
            <w:vAlign w:val="center"/>
          </w:tcPr>
          <w:p w14:paraId="781FDCE5">
            <w:pPr>
              <w:jc w:val="center"/>
              <w:rPr>
                <w:rFonts w:ascii="Times New Roman" w:eastAsia="仿宋"/>
                <w:szCs w:val="21"/>
              </w:rPr>
            </w:pPr>
          </w:p>
        </w:tc>
        <w:tc>
          <w:tcPr>
            <w:tcW w:w="2236" w:type="pct"/>
            <w:vAlign w:val="center"/>
          </w:tcPr>
          <w:p w14:paraId="0526598A">
            <w:pPr>
              <w:widowControl/>
              <w:shd w:val="clear" w:color="auto" w:fill="FFFFFF"/>
              <w:rPr>
                <w:rFonts w:ascii="Times New Roman" w:eastAsia="仿宋"/>
                <w:szCs w:val="21"/>
              </w:rPr>
            </w:pPr>
            <w:r>
              <w:rPr>
                <w:rFonts w:hint="eastAsia" w:ascii="Times New Roman" w:eastAsia="仿宋"/>
                <w:szCs w:val="21"/>
              </w:rPr>
              <w:t>（三）管理能力现代化。到2025年， 全省氟化物非现场监管能力初步形成，围绕超标企业、超标园区、超标断面，建立数据归集、风险预警、信息推送、督办反馈工作机制，运用科学的污染溯源思维、方法和手段，实现污染源精细管理，确保氟化物超标问题能够立查立改，氟化物系统治理工作取得明显成效。</w:t>
            </w:r>
          </w:p>
        </w:tc>
        <w:tc>
          <w:tcPr>
            <w:tcW w:w="2078" w:type="pct"/>
            <w:vMerge w:val="continue"/>
            <w:vAlign w:val="center"/>
          </w:tcPr>
          <w:p w14:paraId="4831DE4D">
            <w:pPr>
              <w:adjustRightInd w:val="0"/>
              <w:snapToGrid w:val="0"/>
              <w:spacing w:line="300" w:lineRule="exact"/>
              <w:rPr>
                <w:rFonts w:ascii="Times New Roman" w:eastAsia="仿宋"/>
                <w:kern w:val="32"/>
              </w:rPr>
            </w:pPr>
          </w:p>
        </w:tc>
      </w:tr>
      <w:tr w14:paraId="69E0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6" w:type="pct"/>
            <w:vMerge w:val="restart"/>
            <w:vAlign w:val="center"/>
          </w:tcPr>
          <w:p w14:paraId="2F1F7854">
            <w:pPr>
              <w:jc w:val="center"/>
              <w:rPr>
                <w:rFonts w:ascii="Times New Roman" w:eastAsia="仿宋"/>
                <w:szCs w:val="21"/>
              </w:rPr>
            </w:pPr>
            <w:r>
              <w:rPr>
                <w:rFonts w:hint="eastAsia" w:ascii="Times New Roman" w:eastAsia="仿宋"/>
                <w:szCs w:val="21"/>
              </w:rPr>
              <w:t>重点任务</w:t>
            </w:r>
          </w:p>
        </w:tc>
        <w:tc>
          <w:tcPr>
            <w:tcW w:w="2236" w:type="pct"/>
            <w:vAlign w:val="center"/>
          </w:tcPr>
          <w:p w14:paraId="6494F1F1">
            <w:pPr>
              <w:widowControl/>
              <w:shd w:val="clear" w:color="auto" w:fill="FFFFFF"/>
              <w:rPr>
                <w:rFonts w:ascii="Times New Roman" w:eastAsia="仿宋"/>
                <w:szCs w:val="21"/>
              </w:rPr>
            </w:pPr>
            <w:r>
              <w:rPr>
                <w:rFonts w:hint="eastAsia" w:ascii="Times New Roman" w:eastAsia="仿宋"/>
                <w:szCs w:val="21"/>
              </w:rPr>
              <w:t>(一)科学规划布局，严格项目准入</w:t>
            </w:r>
          </w:p>
          <w:p w14:paraId="350A5FA7">
            <w:pPr>
              <w:widowControl/>
              <w:shd w:val="clear" w:color="auto" w:fill="FFFFFF"/>
              <w:rPr>
                <w:rFonts w:ascii="Times New Roman" w:eastAsia="仿宋"/>
                <w:szCs w:val="21"/>
              </w:rPr>
            </w:pPr>
            <w:r>
              <w:rPr>
                <w:rFonts w:hint="eastAsia" w:ascii="Times New Roman" w:eastAsia="仿宋"/>
                <w:szCs w:val="21"/>
              </w:rPr>
              <w:t>1、加强规划引领。各地应立足土地、生态、能源等资源禀赋，结合区域氟化物背景值、国省考断面分布等实际，科学规划涉氟产业发展，合理确定优先保护区域和优先发展区域，并与国</w:t>
            </w:r>
          </w:p>
          <w:p w14:paraId="540D2008">
            <w:pPr>
              <w:widowControl/>
              <w:shd w:val="clear" w:color="auto" w:fill="FFFFFF"/>
              <w:rPr>
                <w:rFonts w:ascii="Times New Roman" w:eastAsia="仿宋"/>
                <w:szCs w:val="21"/>
              </w:rPr>
            </w:pPr>
            <w:r>
              <w:rPr>
                <w:rFonts w:hint="eastAsia" w:ascii="Times New Roman" w:eastAsia="仿宋"/>
                <w:szCs w:val="21"/>
              </w:rPr>
              <w:t>土空间规划、“十四五”工业绿色发展规划、“十四五”化工产业高端发展规划、“十四五”生态环境保护规划等相衔接。</w:t>
            </w:r>
          </w:p>
          <w:p w14:paraId="70AF5B80">
            <w:pPr>
              <w:widowControl/>
              <w:shd w:val="clear" w:color="auto" w:fill="FFFFFF"/>
              <w:rPr>
                <w:rFonts w:ascii="Times New Roman" w:eastAsia="仿宋"/>
                <w:szCs w:val="21"/>
              </w:rPr>
            </w:pPr>
            <w:r>
              <w:rPr>
                <w:rFonts w:hint="eastAsia" w:ascii="Times New Roman" w:eastAsia="仿宋"/>
                <w:szCs w:val="21"/>
              </w:rPr>
              <w:t>2、优化产业布局。统筹有序设立光伏、电子、硅材料等涉氟产业园，引导涉氟产业向重点园区集聚，打造江苏高科技氟化学工业园、苏州高新区光伏产业园等示范性园区。积极推动和引</w:t>
            </w:r>
          </w:p>
          <w:p w14:paraId="0AE1EE89">
            <w:pPr>
              <w:widowControl/>
              <w:shd w:val="clear" w:color="auto" w:fill="FFFFFF"/>
              <w:rPr>
                <w:rFonts w:ascii="Times New Roman" w:eastAsia="仿宋"/>
                <w:szCs w:val="21"/>
              </w:rPr>
            </w:pPr>
            <w:r>
              <w:rPr>
                <w:rFonts w:hint="eastAsia" w:ascii="Times New Roman" w:eastAsia="仿宋"/>
                <w:szCs w:val="21"/>
              </w:rPr>
              <w:t>导涉氟企业入园进区，对现有区外企业依法依规实施环保整治提升，保障区域经济、生态环境协同高质量发展。</w:t>
            </w:r>
          </w:p>
          <w:p w14:paraId="67818DF6">
            <w:pPr>
              <w:widowControl/>
              <w:shd w:val="clear" w:color="auto" w:fill="FFFFFF"/>
              <w:rPr>
                <w:rFonts w:ascii="Times New Roman" w:eastAsia="仿宋"/>
                <w:szCs w:val="21"/>
              </w:rPr>
            </w:pPr>
            <w:r>
              <w:rPr>
                <w:rFonts w:hint="eastAsia" w:ascii="Times New Roman" w:eastAsia="仿宋"/>
                <w:szCs w:val="21"/>
              </w:rPr>
              <w:t>3、严格项目准入。强化项目环评与规划环评、现有项目环境管理、区域环境质量联动的“三挂钩”机制，新建涉氟企业原则上不得设置入河入海排污口，应进入具备产业定位的工业园区。存在国省考断面氟化物超标的区域，要针对性提出相应的氟化物区域削减措施，新、改、扩建项目应严格遵守“增产不增污”原则。优先选择涉氟重点区域开展氟化物排放总量控制试点工作。</w:t>
            </w:r>
          </w:p>
          <w:p w14:paraId="7E7E51BD">
            <w:pPr>
              <w:widowControl/>
              <w:shd w:val="clear" w:color="auto" w:fill="FFFFFF"/>
              <w:rPr>
                <w:rFonts w:ascii="Times New Roman" w:eastAsia="仿宋"/>
                <w:szCs w:val="21"/>
              </w:rPr>
            </w:pPr>
            <w:r>
              <w:rPr>
                <w:rFonts w:hint="eastAsia" w:ascii="Times New Roman" w:eastAsia="仿宋"/>
                <w:szCs w:val="21"/>
              </w:rPr>
              <w:t>4、加强清洁审核。发展改革、工信、生态环境等相关主管部门应将氟化物削减和控制作为清洁生产的重要内容,完善清洁生产标准体系，全面推行清洁生产审核,鼓励氢氟酸清洗原料替代及含氟，废酸资源化利用等有利于氟化物削减和控制的工艺技术和防控措施。属地生态环境部门应综合考虑区域环境质量、涉氟重点行业发展规划及现状,提出涉氟重点企业强制性清洁生产审核名单并报省生态环境厅核定。各级生态环境部门要加强监督检查，对不实施强制性清洁生产审核、在清洁生产审核中弄虚作假、不报告或者不如实报告清洁生产审核结果的企业，责令限期改正，对拒不改正的企业加大处罚力度。</w:t>
            </w:r>
          </w:p>
        </w:tc>
        <w:tc>
          <w:tcPr>
            <w:tcW w:w="2078" w:type="pct"/>
            <w:vAlign w:val="center"/>
          </w:tcPr>
          <w:p w14:paraId="1DE2A064">
            <w:pPr>
              <w:adjustRightInd w:val="0"/>
              <w:snapToGrid w:val="0"/>
              <w:spacing w:line="300" w:lineRule="exact"/>
              <w:rPr>
                <w:rFonts w:ascii="Times New Roman" w:eastAsia="仿宋"/>
                <w:kern w:val="32"/>
              </w:rPr>
            </w:pPr>
            <w:r>
              <w:rPr>
                <w:rFonts w:hint="eastAsia" w:ascii="Times New Roman" w:eastAsia="仿宋"/>
                <w:kern w:val="32"/>
              </w:rPr>
              <w:t>企业位于</w:t>
            </w:r>
            <w:r>
              <w:rPr>
                <w:rFonts w:ascii="Times New Roman" w:eastAsia="仿宋"/>
                <w:kern w:val="32"/>
              </w:rPr>
              <w:t>常州市金坛区朱林镇永兴路68号</w:t>
            </w:r>
            <w:r>
              <w:rPr>
                <w:rFonts w:hint="eastAsia" w:ascii="Times New Roman" w:eastAsia="仿宋"/>
                <w:kern w:val="32"/>
              </w:rPr>
              <w:t>，</w:t>
            </w:r>
            <w:r>
              <w:rPr>
                <w:rFonts w:ascii="Times New Roman" w:eastAsia="仿宋"/>
                <w:kern w:val="32"/>
              </w:rPr>
              <w:t>本项目属于C3670汽车零部件及配件制造，</w:t>
            </w:r>
            <w:r>
              <w:rPr>
                <w:rFonts w:hint="eastAsia" w:ascii="Times New Roman" w:eastAsia="仿宋"/>
                <w:kern w:val="32"/>
              </w:rPr>
              <w:t>使用含氟涂料，含氟废水作为危废委托有资质单位处理，不外排。</w:t>
            </w:r>
          </w:p>
        </w:tc>
      </w:tr>
      <w:tr w14:paraId="0D4E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6" w:type="pct"/>
            <w:vMerge w:val="continue"/>
            <w:vAlign w:val="center"/>
          </w:tcPr>
          <w:p w14:paraId="42A86475">
            <w:pPr>
              <w:jc w:val="center"/>
              <w:rPr>
                <w:rFonts w:ascii="Times New Roman" w:eastAsia="仿宋"/>
                <w:szCs w:val="21"/>
              </w:rPr>
            </w:pPr>
          </w:p>
        </w:tc>
        <w:tc>
          <w:tcPr>
            <w:tcW w:w="2236" w:type="pct"/>
            <w:vAlign w:val="center"/>
          </w:tcPr>
          <w:p w14:paraId="44FA799D">
            <w:pPr>
              <w:widowControl/>
              <w:shd w:val="clear" w:color="auto" w:fill="FFFFFF"/>
              <w:rPr>
                <w:rFonts w:ascii="Times New Roman" w:eastAsia="仿宋"/>
                <w:szCs w:val="21"/>
              </w:rPr>
            </w:pPr>
            <w:r>
              <w:rPr>
                <w:rFonts w:hint="eastAsia" w:ascii="Times New Roman" w:eastAsia="仿宋"/>
                <w:szCs w:val="21"/>
              </w:rPr>
              <w:t>(三)加强能力建设，夯实治理基础</w:t>
            </w:r>
          </w:p>
          <w:p w14:paraId="038482F0">
            <w:pPr>
              <w:widowControl/>
              <w:shd w:val="clear" w:color="auto" w:fill="FFFFFF"/>
              <w:rPr>
                <w:rFonts w:ascii="Times New Roman" w:eastAsia="仿宋"/>
                <w:szCs w:val="21"/>
              </w:rPr>
            </w:pPr>
            <w:r>
              <w:rPr>
                <w:rFonts w:hint="eastAsia" w:ascii="Times New Roman" w:eastAsia="仿宋"/>
                <w:szCs w:val="21"/>
              </w:rPr>
              <w:t>8、完善基础设施。涉氟企业应做到“雨污分流、清污分流”，鼓励企业采用“一企一管，明管(专管)输送”的收集方式。加快推进含氟废水与生活污水分类收集、分质处理。新建企业含氟</w:t>
            </w:r>
          </w:p>
          <w:p w14:paraId="3C214399">
            <w:pPr>
              <w:widowControl/>
              <w:shd w:val="clear" w:color="auto" w:fill="FFFFFF"/>
              <w:rPr>
                <w:rFonts w:ascii="Times New Roman" w:eastAsia="仿宋"/>
                <w:szCs w:val="21"/>
              </w:rPr>
            </w:pPr>
            <w:r>
              <w:rPr>
                <w:rFonts w:hint="eastAsia" w:ascii="Times New Roman" w:eastAsia="仿宋"/>
                <w:szCs w:val="21"/>
              </w:rPr>
              <w:t>废水不得接入城镇污水处理设施,现有企业已接管城镇污水集中收集处理设施的须组织排查评估，认定不能接入的限期退出，认定可以接入的须经预处理达标后方可接入。</w:t>
            </w:r>
          </w:p>
          <w:p w14:paraId="49DDDA73">
            <w:pPr>
              <w:widowControl/>
              <w:shd w:val="clear" w:color="auto" w:fill="FFFFFF"/>
              <w:rPr>
                <w:rFonts w:ascii="Times New Roman" w:eastAsia="仿宋"/>
                <w:szCs w:val="21"/>
              </w:rPr>
            </w:pPr>
            <w:r>
              <w:rPr>
                <w:rFonts w:hint="eastAsia" w:ascii="Times New Roman" w:eastAsia="仿宋"/>
                <w:szCs w:val="21"/>
              </w:rPr>
              <w:t>9、强化排污许可。完善申报及核发要求，将氟化物纳入总量许可范围。结合排污许可管理有关要求，督促企业依法申领排污许可证或填写排污登记表,并在其中载明执行的污染控制标准要求及采取的污染控制措施。</w:t>
            </w:r>
          </w:p>
          <w:p w14:paraId="0B1D118C">
            <w:pPr>
              <w:widowControl/>
              <w:shd w:val="clear" w:color="auto" w:fill="FFFFFF"/>
              <w:rPr>
                <w:rFonts w:ascii="Times New Roman" w:eastAsia="仿宋"/>
                <w:szCs w:val="21"/>
              </w:rPr>
            </w:pPr>
            <w:r>
              <w:rPr>
                <w:rFonts w:hint="eastAsia" w:ascii="Times New Roman" w:eastAsia="仿宋"/>
                <w:szCs w:val="21"/>
              </w:rPr>
              <w:t>10、加强监测监控。结合工业园区限值限量管理，逐步实行氟化物排放浓度和总量“双控”。积极推进涉氟污水处理厂及涉氟企业雨水污水排放口、部分重点国省考断面安装氟化物自动监控系统，并与省、市生态环境大数据平台联网，实时监控。强化对重点时期、重点区域、重点断面的加密监测，一旦发现异常，及时调查处置。到2023年底，涉氟污水处理厂和部分重点国省考断面试点安装氟化物在线监控装置并联网;到2024年底，涉氟重点企业全面安装氟化物在线监控装置并联网。</w:t>
            </w:r>
          </w:p>
          <w:p w14:paraId="73278F54">
            <w:pPr>
              <w:widowControl/>
              <w:shd w:val="clear" w:color="auto" w:fill="FFFFFF"/>
              <w:rPr>
                <w:rFonts w:ascii="Times New Roman" w:eastAsia="仿宋"/>
                <w:szCs w:val="21"/>
              </w:rPr>
            </w:pPr>
            <w:r>
              <w:rPr>
                <w:rFonts w:hint="eastAsia" w:ascii="Times New Roman" w:eastAsia="仿宋"/>
                <w:szCs w:val="21"/>
              </w:rPr>
              <w:t>11、建立水质“指纹库”。在重点区域、重点断面周边收集涉氟企业原料、产品、设备及污染源特征等相关资料,建立污染源排污精细化动态监管系统，为“企业雨污水排口-园区雨污水</w:t>
            </w:r>
          </w:p>
          <w:p w14:paraId="62F13443">
            <w:pPr>
              <w:widowControl/>
              <w:shd w:val="clear" w:color="auto" w:fill="FFFFFF"/>
              <w:rPr>
                <w:rFonts w:ascii="Times New Roman" w:eastAsia="仿宋"/>
                <w:szCs w:val="21"/>
              </w:rPr>
            </w:pPr>
            <w:r>
              <w:rPr>
                <w:rFonts w:hint="eastAsia" w:ascii="Times New Roman" w:eastAsia="仿宋"/>
                <w:szCs w:val="21"/>
              </w:rPr>
              <w:t>泵站-污水厂进出水-园区入河排口-水体重点断面”全流程监管提供新型高效抓手，实现对区域污染源排污行为的动态监管，提高污染源排污精细化监管水平。到2025年底，涉氟重点园区试点完成水质“指纹库”的建设。</w:t>
            </w:r>
          </w:p>
          <w:p w14:paraId="2274AAC9">
            <w:pPr>
              <w:widowControl/>
              <w:shd w:val="clear" w:color="auto" w:fill="FFFFFF"/>
              <w:rPr>
                <w:rFonts w:ascii="Times New Roman" w:eastAsia="仿宋"/>
                <w:szCs w:val="21"/>
              </w:rPr>
            </w:pPr>
            <w:r>
              <w:rPr>
                <w:rFonts w:hint="eastAsia" w:ascii="Times New Roman" w:eastAsia="仿宋"/>
                <w:szCs w:val="21"/>
              </w:rPr>
              <w:t>12、推动“绿岛”建设。因地制宜，坚持“集约建设，共享治污”的思路，鼓励各地依据涉氟企业分布情况，针对电子、光伏、硅产业等涉氟中小微企业，建设含氟工业废水处理的“工业绿岛”项目，提升集中治污能力，降低废水治理成本，减轻企业负担。</w:t>
            </w:r>
          </w:p>
        </w:tc>
        <w:tc>
          <w:tcPr>
            <w:tcW w:w="2078" w:type="pct"/>
            <w:vAlign w:val="center"/>
          </w:tcPr>
          <w:p w14:paraId="3EA9929A">
            <w:pPr>
              <w:adjustRightInd w:val="0"/>
              <w:snapToGrid w:val="0"/>
              <w:spacing w:line="300" w:lineRule="exact"/>
              <w:rPr>
                <w:rFonts w:ascii="Times New Roman" w:eastAsia="仿宋"/>
                <w:kern w:val="32"/>
              </w:rPr>
            </w:pPr>
            <w:r>
              <w:rPr>
                <w:rFonts w:ascii="Times New Roman" w:eastAsia="仿宋"/>
                <w:kern w:val="32"/>
              </w:rPr>
              <w:t>本项目</w:t>
            </w:r>
            <w:r>
              <w:rPr>
                <w:rFonts w:hint="eastAsia" w:ascii="Times New Roman" w:eastAsia="仿宋"/>
                <w:kern w:val="32"/>
              </w:rPr>
              <w:t>使用涂料中含氟，含氟废水作为危废委托有资质单位处理，不外排。</w:t>
            </w:r>
          </w:p>
        </w:tc>
      </w:tr>
    </w:tbl>
    <w:p w14:paraId="4BCBE291">
      <w:pPr>
        <w:spacing w:line="500" w:lineRule="exact"/>
        <w:ind w:firstLine="562" w:firstLineChars="200"/>
        <w:rPr>
          <w:rFonts w:ascii="Times New Roman" w:eastAsia="仿宋"/>
          <w:b/>
          <w:sz w:val="28"/>
          <w:szCs w:val="28"/>
        </w:rPr>
      </w:pPr>
      <w:r>
        <w:rPr>
          <w:rFonts w:ascii="Times New Roman" w:eastAsia="仿宋"/>
          <w:b/>
          <w:sz w:val="28"/>
          <w:szCs w:val="28"/>
        </w:rPr>
        <w:t>15、与《〈长江经济带发展负面清单指南〉江苏省实施细则（试行）》（苏长江办发〔2022〕55号）相符性分析</w:t>
      </w:r>
    </w:p>
    <w:p w14:paraId="1AEA035C">
      <w:pPr>
        <w:spacing w:line="500" w:lineRule="exact"/>
        <w:jc w:val="center"/>
        <w:rPr>
          <w:rFonts w:ascii="Times New Roman" w:eastAsia="仿宋"/>
          <w:b/>
          <w:bCs/>
        </w:rPr>
      </w:pPr>
      <w:r>
        <w:rPr>
          <w:rFonts w:ascii="Times New Roman" w:eastAsia="仿宋"/>
          <w:b/>
          <w:bCs/>
        </w:rPr>
        <w:t>表</w:t>
      </w:r>
      <w:r>
        <w:rPr>
          <w:rFonts w:hint="eastAsia" w:ascii="Times New Roman" w:eastAsia="仿宋"/>
          <w:b/>
          <w:bCs/>
        </w:rPr>
        <w:t>2.7-1</w:t>
      </w:r>
      <w:r>
        <w:rPr>
          <w:rFonts w:ascii="Times New Roman" w:eastAsia="仿宋"/>
          <w:b/>
          <w:bCs/>
        </w:rPr>
        <w:t>2 本项目与苏长江办发〔2022〕55号对照情况</w:t>
      </w:r>
    </w:p>
    <w:tbl>
      <w:tblPr>
        <w:tblStyle w:val="87"/>
        <w:tblW w:w="89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4"/>
        <w:gridCol w:w="3609"/>
        <w:gridCol w:w="3118"/>
        <w:gridCol w:w="863"/>
      </w:tblGrid>
      <w:tr w14:paraId="10DEA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4" w:type="dxa"/>
            <w:tcBorders>
              <w:top w:val="single" w:color="auto" w:sz="2" w:space="0"/>
              <w:left w:val="single" w:color="auto" w:sz="2" w:space="0"/>
              <w:bottom w:val="single" w:color="auto" w:sz="2" w:space="0"/>
              <w:right w:val="single" w:color="auto" w:sz="2" w:space="0"/>
            </w:tcBorders>
            <w:vAlign w:val="center"/>
          </w:tcPr>
          <w:p w14:paraId="64075C60">
            <w:pPr>
              <w:adjustRightInd w:val="0"/>
              <w:snapToGrid w:val="0"/>
              <w:jc w:val="center"/>
              <w:rPr>
                <w:rFonts w:ascii="Times New Roman" w:eastAsia="仿宋"/>
                <w:bCs/>
              </w:rPr>
            </w:pPr>
            <w:r>
              <w:rPr>
                <w:rFonts w:ascii="Times New Roman" w:eastAsia="仿宋"/>
                <w:bCs/>
              </w:rPr>
              <w:t>类别</w:t>
            </w:r>
          </w:p>
        </w:tc>
        <w:tc>
          <w:tcPr>
            <w:tcW w:w="3609" w:type="dxa"/>
            <w:tcBorders>
              <w:top w:val="single" w:color="auto" w:sz="2" w:space="0"/>
              <w:left w:val="single" w:color="auto" w:sz="2" w:space="0"/>
              <w:bottom w:val="single" w:color="auto" w:sz="2" w:space="0"/>
              <w:right w:val="single" w:color="auto" w:sz="2" w:space="0"/>
            </w:tcBorders>
            <w:vAlign w:val="center"/>
          </w:tcPr>
          <w:p w14:paraId="23CE50C8">
            <w:pPr>
              <w:adjustRightInd w:val="0"/>
              <w:snapToGrid w:val="0"/>
              <w:jc w:val="center"/>
              <w:rPr>
                <w:rFonts w:ascii="Times New Roman" w:eastAsia="仿宋"/>
                <w:bCs/>
              </w:rPr>
            </w:pPr>
            <w:r>
              <w:rPr>
                <w:rFonts w:ascii="Times New Roman" w:eastAsia="仿宋"/>
                <w:bCs/>
              </w:rPr>
              <w:t>文件要求</w:t>
            </w:r>
          </w:p>
        </w:tc>
        <w:tc>
          <w:tcPr>
            <w:tcW w:w="3118" w:type="dxa"/>
            <w:tcBorders>
              <w:top w:val="single" w:color="auto" w:sz="2" w:space="0"/>
              <w:left w:val="single" w:color="auto" w:sz="2" w:space="0"/>
              <w:bottom w:val="single" w:color="auto" w:sz="2" w:space="0"/>
              <w:right w:val="single" w:color="auto" w:sz="2" w:space="0"/>
            </w:tcBorders>
            <w:vAlign w:val="center"/>
          </w:tcPr>
          <w:p w14:paraId="5E5E94F6">
            <w:pPr>
              <w:adjustRightInd w:val="0"/>
              <w:snapToGrid w:val="0"/>
              <w:jc w:val="center"/>
              <w:rPr>
                <w:rFonts w:ascii="Times New Roman" w:eastAsia="仿宋"/>
                <w:bCs/>
              </w:rPr>
            </w:pPr>
            <w:r>
              <w:rPr>
                <w:rFonts w:ascii="Times New Roman" w:eastAsia="仿宋"/>
                <w:bCs/>
              </w:rPr>
              <w:t>本项目情况</w:t>
            </w:r>
          </w:p>
        </w:tc>
        <w:tc>
          <w:tcPr>
            <w:tcW w:w="863" w:type="dxa"/>
            <w:tcBorders>
              <w:top w:val="single" w:color="auto" w:sz="2" w:space="0"/>
              <w:left w:val="single" w:color="auto" w:sz="2" w:space="0"/>
              <w:bottom w:val="single" w:color="auto" w:sz="2" w:space="0"/>
              <w:right w:val="single" w:color="auto" w:sz="2" w:space="0"/>
            </w:tcBorders>
            <w:vAlign w:val="center"/>
          </w:tcPr>
          <w:p w14:paraId="33D45787">
            <w:pPr>
              <w:adjustRightInd w:val="0"/>
              <w:snapToGrid w:val="0"/>
              <w:jc w:val="center"/>
              <w:rPr>
                <w:rFonts w:ascii="Times New Roman" w:eastAsia="仿宋"/>
                <w:bCs/>
              </w:rPr>
            </w:pPr>
            <w:r>
              <w:rPr>
                <w:rFonts w:ascii="Times New Roman" w:eastAsia="仿宋"/>
                <w:bCs/>
              </w:rPr>
              <w:t>相符性</w:t>
            </w:r>
          </w:p>
        </w:tc>
      </w:tr>
      <w:tr w14:paraId="4CF0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4" w:type="dxa"/>
            <w:tcBorders>
              <w:top w:val="single" w:color="auto" w:sz="2" w:space="0"/>
              <w:left w:val="single" w:color="auto" w:sz="2" w:space="0"/>
              <w:bottom w:val="single" w:color="auto" w:sz="2" w:space="0"/>
              <w:right w:val="single" w:color="auto" w:sz="2" w:space="0"/>
            </w:tcBorders>
            <w:vAlign w:val="center"/>
          </w:tcPr>
          <w:p w14:paraId="3F71302D">
            <w:pPr>
              <w:snapToGrid w:val="0"/>
              <w:jc w:val="center"/>
              <w:rPr>
                <w:rFonts w:eastAsia="仿宋"/>
                <w:szCs w:val="21"/>
              </w:rPr>
            </w:pPr>
            <w:r>
              <w:rPr>
                <w:rFonts w:eastAsia="仿宋"/>
                <w:szCs w:val="21"/>
              </w:rPr>
              <w:t>河段利用与岸线开发</w:t>
            </w:r>
          </w:p>
        </w:tc>
        <w:tc>
          <w:tcPr>
            <w:tcW w:w="3609" w:type="dxa"/>
            <w:tcBorders>
              <w:top w:val="single" w:color="auto" w:sz="2" w:space="0"/>
              <w:left w:val="single" w:color="auto" w:sz="2" w:space="0"/>
              <w:bottom w:val="single" w:color="auto" w:sz="2" w:space="0"/>
              <w:right w:val="single" w:color="auto" w:sz="2" w:space="0"/>
            </w:tcBorders>
            <w:vAlign w:val="center"/>
          </w:tcPr>
          <w:p w14:paraId="60934513">
            <w:pPr>
              <w:snapToGrid w:val="0"/>
              <w:rPr>
                <w:rFonts w:eastAsia="仿宋"/>
                <w:szCs w:val="21"/>
              </w:rPr>
            </w:pPr>
            <w:r>
              <w:rPr>
                <w:rFonts w:eastAsia="仿宋"/>
                <w:szCs w:val="21"/>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118" w:type="dxa"/>
            <w:tcBorders>
              <w:top w:val="single" w:color="auto" w:sz="2" w:space="0"/>
              <w:left w:val="single" w:color="auto" w:sz="2" w:space="0"/>
              <w:bottom w:val="single" w:color="auto" w:sz="2" w:space="0"/>
              <w:right w:val="single" w:color="auto" w:sz="2" w:space="0"/>
            </w:tcBorders>
            <w:vAlign w:val="center"/>
          </w:tcPr>
          <w:p w14:paraId="6DCEED09">
            <w:pPr>
              <w:snapToGrid w:val="0"/>
              <w:rPr>
                <w:rFonts w:eastAsia="仿宋"/>
                <w:szCs w:val="21"/>
              </w:rPr>
            </w:pPr>
            <w:r>
              <w:rPr>
                <w:rFonts w:eastAsia="仿宋"/>
                <w:szCs w:val="21"/>
              </w:rPr>
              <w:t>本项目所在地不涉及饮用水水源一级保护区及二级保护区的岸线和河段范围、不涉及利用占用长江流域河湖岸线等负面清单范围。</w:t>
            </w:r>
          </w:p>
        </w:tc>
        <w:tc>
          <w:tcPr>
            <w:tcW w:w="863" w:type="dxa"/>
            <w:tcBorders>
              <w:top w:val="single" w:color="auto" w:sz="2" w:space="0"/>
              <w:left w:val="single" w:color="auto" w:sz="2" w:space="0"/>
              <w:bottom w:val="single" w:color="auto" w:sz="2" w:space="0"/>
              <w:right w:val="single" w:color="auto" w:sz="2" w:space="0"/>
            </w:tcBorders>
            <w:vAlign w:val="center"/>
          </w:tcPr>
          <w:p w14:paraId="315F6F05">
            <w:pPr>
              <w:snapToGrid w:val="0"/>
              <w:jc w:val="center"/>
              <w:rPr>
                <w:rFonts w:eastAsia="仿宋"/>
                <w:szCs w:val="21"/>
              </w:rPr>
            </w:pPr>
            <w:r>
              <w:rPr>
                <w:rFonts w:eastAsia="仿宋"/>
                <w:szCs w:val="21"/>
              </w:rPr>
              <w:t>相符</w:t>
            </w:r>
          </w:p>
        </w:tc>
      </w:tr>
      <w:tr w14:paraId="59907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4" w:type="dxa"/>
            <w:tcBorders>
              <w:top w:val="single" w:color="auto" w:sz="2" w:space="0"/>
              <w:left w:val="single" w:color="auto" w:sz="2" w:space="0"/>
              <w:bottom w:val="single" w:color="auto" w:sz="2" w:space="0"/>
              <w:right w:val="single" w:color="auto" w:sz="2" w:space="0"/>
            </w:tcBorders>
            <w:vAlign w:val="center"/>
          </w:tcPr>
          <w:p w14:paraId="616BC64F">
            <w:pPr>
              <w:snapToGrid w:val="0"/>
              <w:jc w:val="center"/>
              <w:rPr>
                <w:rFonts w:eastAsia="仿宋"/>
                <w:szCs w:val="21"/>
              </w:rPr>
            </w:pPr>
            <w:r>
              <w:rPr>
                <w:rFonts w:eastAsia="仿宋"/>
                <w:szCs w:val="21"/>
              </w:rPr>
              <w:t>区域活动</w:t>
            </w:r>
          </w:p>
        </w:tc>
        <w:tc>
          <w:tcPr>
            <w:tcW w:w="3609" w:type="dxa"/>
            <w:tcBorders>
              <w:top w:val="single" w:color="auto" w:sz="2" w:space="0"/>
              <w:left w:val="single" w:color="auto" w:sz="2" w:space="0"/>
              <w:bottom w:val="single" w:color="auto" w:sz="2" w:space="0"/>
              <w:right w:val="single" w:color="auto" w:sz="2" w:space="0"/>
            </w:tcBorders>
            <w:vAlign w:val="center"/>
          </w:tcPr>
          <w:p w14:paraId="611C5641">
            <w:pPr>
              <w:snapToGrid w:val="0"/>
              <w:rPr>
                <w:rFonts w:eastAsia="仿宋"/>
                <w:szCs w:val="21"/>
              </w:rPr>
            </w:pPr>
            <w:r>
              <w:rPr>
                <w:rFonts w:eastAsia="仿宋"/>
                <w:szCs w:val="21"/>
              </w:rPr>
              <w:t>禁止在太湖流域一、二、三级保护区内开展《江苏省太湖水污染防治条例》禁止的投资建设活动。</w:t>
            </w:r>
          </w:p>
        </w:tc>
        <w:tc>
          <w:tcPr>
            <w:tcW w:w="3118" w:type="dxa"/>
            <w:tcBorders>
              <w:top w:val="single" w:color="auto" w:sz="2" w:space="0"/>
              <w:left w:val="single" w:color="auto" w:sz="2" w:space="0"/>
              <w:bottom w:val="single" w:color="auto" w:sz="2" w:space="0"/>
              <w:right w:val="single" w:color="auto" w:sz="2" w:space="0"/>
            </w:tcBorders>
            <w:vAlign w:val="center"/>
          </w:tcPr>
          <w:p w14:paraId="3E9B16B5">
            <w:pPr>
              <w:snapToGrid w:val="0"/>
              <w:rPr>
                <w:rFonts w:ascii="Times New Roman" w:eastAsia="仿宋"/>
                <w:szCs w:val="21"/>
              </w:rPr>
            </w:pPr>
            <w:r>
              <w:rPr>
                <w:rFonts w:ascii="Times New Roman" w:eastAsia="仿宋"/>
                <w:szCs w:val="21"/>
              </w:rPr>
              <w:t>本项目位于太湖流域三级保护区，不在《太湖流域管理条例》第二十九条、第三十条规定的禁止建设范围内，符合《太湖流域管理条例》（中华人民共和国国务院令第604号）相关规定。</w:t>
            </w:r>
          </w:p>
        </w:tc>
        <w:tc>
          <w:tcPr>
            <w:tcW w:w="863" w:type="dxa"/>
            <w:tcBorders>
              <w:top w:val="single" w:color="auto" w:sz="2" w:space="0"/>
              <w:left w:val="single" w:color="auto" w:sz="2" w:space="0"/>
              <w:bottom w:val="single" w:color="auto" w:sz="2" w:space="0"/>
              <w:right w:val="single" w:color="auto" w:sz="2" w:space="0"/>
            </w:tcBorders>
            <w:vAlign w:val="center"/>
          </w:tcPr>
          <w:p w14:paraId="76241D53">
            <w:pPr>
              <w:jc w:val="center"/>
              <w:rPr>
                <w:rFonts w:eastAsia="仿宋"/>
                <w:szCs w:val="21"/>
              </w:rPr>
            </w:pPr>
            <w:r>
              <w:rPr>
                <w:rFonts w:eastAsia="仿宋"/>
                <w:szCs w:val="21"/>
              </w:rPr>
              <w:t>相符</w:t>
            </w:r>
          </w:p>
        </w:tc>
      </w:tr>
      <w:tr w14:paraId="56880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4" w:type="dxa"/>
            <w:vMerge w:val="restart"/>
            <w:tcBorders>
              <w:top w:val="single" w:color="auto" w:sz="2" w:space="0"/>
              <w:left w:val="single" w:color="auto" w:sz="2" w:space="0"/>
              <w:bottom w:val="single" w:color="auto" w:sz="2" w:space="0"/>
              <w:right w:val="single" w:color="auto" w:sz="2" w:space="0"/>
            </w:tcBorders>
            <w:vAlign w:val="center"/>
          </w:tcPr>
          <w:p w14:paraId="426C1387">
            <w:pPr>
              <w:snapToGrid w:val="0"/>
              <w:jc w:val="center"/>
              <w:rPr>
                <w:rFonts w:eastAsia="仿宋"/>
                <w:szCs w:val="21"/>
              </w:rPr>
            </w:pPr>
            <w:r>
              <w:rPr>
                <w:rFonts w:eastAsia="仿宋"/>
                <w:szCs w:val="21"/>
              </w:rPr>
              <w:t>产业发展</w:t>
            </w:r>
          </w:p>
        </w:tc>
        <w:tc>
          <w:tcPr>
            <w:tcW w:w="3609" w:type="dxa"/>
            <w:tcBorders>
              <w:top w:val="single" w:color="auto" w:sz="2" w:space="0"/>
              <w:left w:val="single" w:color="auto" w:sz="2" w:space="0"/>
              <w:bottom w:val="single" w:color="auto" w:sz="2" w:space="0"/>
              <w:right w:val="single" w:color="auto" w:sz="2" w:space="0"/>
            </w:tcBorders>
            <w:vAlign w:val="center"/>
          </w:tcPr>
          <w:p w14:paraId="77FD353F">
            <w:pPr>
              <w:snapToGrid w:val="0"/>
              <w:rPr>
                <w:rFonts w:eastAsia="仿宋"/>
                <w:szCs w:val="21"/>
              </w:rPr>
            </w:pPr>
            <w:r>
              <w:rPr>
                <w:rFonts w:eastAsia="仿宋"/>
                <w:szCs w:val="21"/>
              </w:rPr>
              <w:t>禁止新建、扩建不符合国家产能置换要求的严重过剩产能行业的项目。</w:t>
            </w:r>
          </w:p>
        </w:tc>
        <w:tc>
          <w:tcPr>
            <w:tcW w:w="3118" w:type="dxa"/>
            <w:tcBorders>
              <w:top w:val="single" w:color="auto" w:sz="2" w:space="0"/>
              <w:left w:val="single" w:color="auto" w:sz="2" w:space="0"/>
              <w:bottom w:val="single" w:color="auto" w:sz="2" w:space="0"/>
              <w:right w:val="single" w:color="auto" w:sz="2" w:space="0"/>
            </w:tcBorders>
            <w:vAlign w:val="center"/>
          </w:tcPr>
          <w:p w14:paraId="1ADF6B6C">
            <w:pPr>
              <w:snapToGrid w:val="0"/>
              <w:rPr>
                <w:rFonts w:ascii="Times New Roman" w:eastAsia="仿宋"/>
                <w:szCs w:val="21"/>
              </w:rPr>
            </w:pPr>
            <w:r>
              <w:rPr>
                <w:rFonts w:ascii="Times New Roman" w:eastAsia="仿宋"/>
                <w:szCs w:val="21"/>
              </w:rPr>
              <w:t>本项目行业类别为C3670汽车零部件及配件制造，不属于国家产能置换要求的严重过剩产能行业的项目。</w:t>
            </w:r>
          </w:p>
        </w:tc>
        <w:tc>
          <w:tcPr>
            <w:tcW w:w="863" w:type="dxa"/>
            <w:tcBorders>
              <w:top w:val="single" w:color="auto" w:sz="2" w:space="0"/>
              <w:left w:val="single" w:color="auto" w:sz="2" w:space="0"/>
              <w:bottom w:val="single" w:color="auto" w:sz="2" w:space="0"/>
              <w:right w:val="single" w:color="auto" w:sz="2" w:space="0"/>
            </w:tcBorders>
            <w:vAlign w:val="center"/>
          </w:tcPr>
          <w:p w14:paraId="3D6176F5">
            <w:pPr>
              <w:jc w:val="center"/>
              <w:rPr>
                <w:rFonts w:eastAsia="仿宋"/>
                <w:szCs w:val="21"/>
              </w:rPr>
            </w:pPr>
            <w:r>
              <w:rPr>
                <w:rFonts w:eastAsia="仿宋"/>
                <w:szCs w:val="21"/>
              </w:rPr>
              <w:t>相符</w:t>
            </w:r>
          </w:p>
        </w:tc>
      </w:tr>
      <w:tr w14:paraId="591F6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4" w:type="dxa"/>
            <w:vMerge w:val="continue"/>
            <w:tcBorders>
              <w:top w:val="single" w:color="auto" w:sz="2" w:space="0"/>
              <w:left w:val="single" w:color="auto" w:sz="2" w:space="0"/>
              <w:bottom w:val="single" w:color="auto" w:sz="2" w:space="0"/>
              <w:right w:val="single" w:color="auto" w:sz="2" w:space="0"/>
            </w:tcBorders>
            <w:vAlign w:val="center"/>
          </w:tcPr>
          <w:p w14:paraId="407A3547">
            <w:pPr>
              <w:snapToGrid w:val="0"/>
              <w:jc w:val="center"/>
              <w:rPr>
                <w:rFonts w:eastAsia="仿宋"/>
                <w:szCs w:val="21"/>
              </w:rPr>
            </w:pPr>
          </w:p>
        </w:tc>
        <w:tc>
          <w:tcPr>
            <w:tcW w:w="3609" w:type="dxa"/>
            <w:tcBorders>
              <w:top w:val="single" w:color="auto" w:sz="2" w:space="0"/>
              <w:left w:val="single" w:color="auto" w:sz="2" w:space="0"/>
              <w:bottom w:val="single" w:color="auto" w:sz="2" w:space="0"/>
              <w:right w:val="single" w:color="auto" w:sz="2" w:space="0"/>
            </w:tcBorders>
            <w:vAlign w:val="center"/>
          </w:tcPr>
          <w:p w14:paraId="61A7FE34">
            <w:pPr>
              <w:snapToGrid w:val="0"/>
              <w:rPr>
                <w:rFonts w:eastAsia="仿宋"/>
                <w:szCs w:val="21"/>
              </w:rPr>
            </w:pPr>
            <w:r>
              <w:rPr>
                <w:rFonts w:eastAsia="仿宋"/>
                <w:szCs w:val="21"/>
              </w:rPr>
              <w:t>禁止新建、扩建国家《产业结构调整指导目录》《江苏省产业结构调整限制、淘汰和禁止目录》明确的限制类、淘汰类、禁止类项目</w:t>
            </w:r>
            <w:r>
              <w:rPr>
                <w:rFonts w:hint="eastAsia" w:eastAsia="仿宋"/>
                <w:szCs w:val="21"/>
              </w:rPr>
              <w:t>，</w:t>
            </w:r>
            <w:r>
              <w:rPr>
                <w:rFonts w:eastAsia="仿宋"/>
                <w:szCs w:val="21"/>
              </w:rPr>
              <w:t>法律法规和相关政策明令禁止的落后产能项目，以及明令淘汰的安全生产落后工艺及装备项目。</w:t>
            </w:r>
          </w:p>
        </w:tc>
        <w:tc>
          <w:tcPr>
            <w:tcW w:w="3118" w:type="dxa"/>
            <w:tcBorders>
              <w:top w:val="single" w:color="auto" w:sz="2" w:space="0"/>
              <w:left w:val="single" w:color="auto" w:sz="2" w:space="0"/>
              <w:bottom w:val="single" w:color="auto" w:sz="2" w:space="0"/>
              <w:right w:val="single" w:color="auto" w:sz="2" w:space="0"/>
            </w:tcBorders>
            <w:vAlign w:val="center"/>
          </w:tcPr>
          <w:p w14:paraId="36115CDF">
            <w:pPr>
              <w:adjustRightInd w:val="0"/>
              <w:snapToGrid w:val="0"/>
              <w:rPr>
                <w:rFonts w:eastAsia="仿宋"/>
                <w:szCs w:val="21"/>
              </w:rPr>
            </w:pPr>
            <w:r>
              <w:rPr>
                <w:rFonts w:eastAsia="仿宋"/>
                <w:szCs w:val="21"/>
              </w:rPr>
              <w:t>本项目行业类别为</w:t>
            </w:r>
            <w:r>
              <w:rPr>
                <w:rFonts w:ascii="Times New Roman" w:eastAsia="仿宋"/>
                <w:kern w:val="32"/>
              </w:rPr>
              <w:t>C3670汽车零部件及配件制造</w:t>
            </w:r>
            <w:r>
              <w:rPr>
                <w:rFonts w:eastAsia="仿宋"/>
                <w:szCs w:val="21"/>
              </w:rPr>
              <w:t>，不属于国家《产业结构调整指导目录》明确的限制类、淘汰类、禁止类项目</w:t>
            </w:r>
            <w:r>
              <w:rPr>
                <w:rFonts w:hint="eastAsia" w:eastAsia="仿宋"/>
                <w:szCs w:val="21"/>
              </w:rPr>
              <w:t>，</w:t>
            </w:r>
            <w:r>
              <w:rPr>
                <w:rFonts w:eastAsia="仿宋"/>
                <w:szCs w:val="21"/>
              </w:rPr>
              <w:t>法律法规和相关政策明令禁止的落后产能项目，以及明令淘汰的安全生产落后工艺及装备项目。</w:t>
            </w:r>
          </w:p>
        </w:tc>
        <w:tc>
          <w:tcPr>
            <w:tcW w:w="863" w:type="dxa"/>
            <w:tcBorders>
              <w:top w:val="single" w:color="auto" w:sz="2" w:space="0"/>
              <w:left w:val="single" w:color="auto" w:sz="2" w:space="0"/>
              <w:bottom w:val="single" w:color="auto" w:sz="2" w:space="0"/>
              <w:right w:val="single" w:color="auto" w:sz="2" w:space="0"/>
            </w:tcBorders>
            <w:vAlign w:val="center"/>
          </w:tcPr>
          <w:p w14:paraId="248E5405">
            <w:pPr>
              <w:jc w:val="center"/>
              <w:rPr>
                <w:rFonts w:eastAsia="仿宋"/>
                <w:szCs w:val="21"/>
              </w:rPr>
            </w:pPr>
            <w:r>
              <w:rPr>
                <w:rFonts w:eastAsia="仿宋"/>
                <w:szCs w:val="21"/>
              </w:rPr>
              <w:t>相符</w:t>
            </w:r>
          </w:p>
        </w:tc>
      </w:tr>
    </w:tbl>
    <w:p w14:paraId="16FB51AA">
      <w:pPr>
        <w:spacing w:line="500" w:lineRule="exact"/>
        <w:ind w:firstLine="562" w:firstLineChars="200"/>
        <w:rPr>
          <w:rFonts w:ascii="Times New Roman" w:eastAsia="仿宋"/>
          <w:b/>
          <w:sz w:val="28"/>
          <w:szCs w:val="28"/>
        </w:rPr>
      </w:pPr>
      <w:r>
        <w:rPr>
          <w:rFonts w:hint="eastAsia" w:ascii="Times New Roman" w:eastAsia="仿宋"/>
          <w:b/>
          <w:sz w:val="28"/>
          <w:szCs w:val="28"/>
        </w:rPr>
        <w:t>1</w:t>
      </w:r>
      <w:r>
        <w:rPr>
          <w:rFonts w:ascii="Times New Roman" w:eastAsia="仿宋"/>
          <w:b/>
          <w:sz w:val="28"/>
          <w:szCs w:val="28"/>
        </w:rPr>
        <w:t>6</w:t>
      </w:r>
      <w:r>
        <w:rPr>
          <w:rFonts w:hint="eastAsia" w:ascii="Times New Roman" w:eastAsia="仿宋"/>
          <w:b/>
          <w:sz w:val="28"/>
          <w:szCs w:val="28"/>
        </w:rPr>
        <w:t>、与《江苏省污染源自动监控管理办法》(2022年修订)相符性分析</w:t>
      </w:r>
    </w:p>
    <w:p w14:paraId="24E0D5A8">
      <w:pPr>
        <w:spacing w:line="500" w:lineRule="exact"/>
        <w:jc w:val="center"/>
        <w:rPr>
          <w:rFonts w:ascii="Times New Roman" w:eastAsia="仿宋"/>
          <w:b/>
        </w:rPr>
      </w:pPr>
      <w:r>
        <w:rPr>
          <w:rFonts w:ascii="Times New Roman" w:eastAsia="仿宋"/>
          <w:b/>
          <w:bCs/>
        </w:rPr>
        <w:t>表2.7-13</w:t>
      </w:r>
      <w:r>
        <w:rPr>
          <w:rFonts w:hint="eastAsia" w:ascii="Times New Roman" w:eastAsia="仿宋"/>
          <w:b/>
          <w:bCs/>
        </w:rPr>
        <w:t xml:space="preserve"> </w:t>
      </w:r>
      <w:r>
        <w:rPr>
          <w:rFonts w:ascii="Times New Roman" w:eastAsia="仿宋"/>
          <w:b/>
          <w:bCs/>
        </w:rPr>
        <w:t>与</w:t>
      </w:r>
      <w:r>
        <w:rPr>
          <w:rFonts w:hint="eastAsia" w:ascii="Times New Roman" w:eastAsia="仿宋"/>
          <w:b/>
          <w:bCs/>
        </w:rPr>
        <w:t>苏环发〔2021〕3号</w:t>
      </w:r>
      <w:r>
        <w:rPr>
          <w:rFonts w:ascii="Times New Roman" w:eastAsia="仿宋"/>
          <w:b/>
          <w:bCs/>
        </w:rPr>
        <w:t>对照分析</w:t>
      </w:r>
    </w:p>
    <w:tbl>
      <w:tblPr>
        <w:tblStyle w:val="87"/>
        <w:tblW w:w="51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4703"/>
        <w:gridCol w:w="3346"/>
      </w:tblGrid>
      <w:tr w14:paraId="55C0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09" w:type="pct"/>
            <w:vAlign w:val="center"/>
          </w:tcPr>
          <w:p w14:paraId="419E326F">
            <w:pPr>
              <w:adjustRightInd w:val="0"/>
              <w:snapToGrid w:val="0"/>
              <w:spacing w:line="300" w:lineRule="exact"/>
              <w:jc w:val="center"/>
              <w:rPr>
                <w:rFonts w:ascii="Times New Roman" w:eastAsia="仿宋"/>
              </w:rPr>
            </w:pPr>
            <w:r>
              <w:rPr>
                <w:rFonts w:ascii="Times New Roman" w:eastAsia="仿宋"/>
              </w:rPr>
              <w:t>类别</w:t>
            </w:r>
          </w:p>
        </w:tc>
        <w:tc>
          <w:tcPr>
            <w:tcW w:w="2566" w:type="pct"/>
            <w:vAlign w:val="center"/>
          </w:tcPr>
          <w:p w14:paraId="15850CB3">
            <w:pPr>
              <w:adjustRightInd w:val="0"/>
              <w:snapToGrid w:val="0"/>
              <w:spacing w:line="300" w:lineRule="exact"/>
              <w:jc w:val="center"/>
              <w:rPr>
                <w:rFonts w:ascii="Times New Roman" w:eastAsia="仿宋"/>
              </w:rPr>
            </w:pPr>
            <w:r>
              <w:rPr>
                <w:rFonts w:ascii="Times New Roman" w:eastAsia="仿宋"/>
              </w:rPr>
              <w:t>文件要求</w:t>
            </w:r>
          </w:p>
        </w:tc>
        <w:tc>
          <w:tcPr>
            <w:tcW w:w="1825" w:type="pct"/>
            <w:vAlign w:val="center"/>
          </w:tcPr>
          <w:p w14:paraId="1C9BE7A9">
            <w:pPr>
              <w:adjustRightInd w:val="0"/>
              <w:snapToGrid w:val="0"/>
              <w:spacing w:line="300" w:lineRule="exact"/>
              <w:jc w:val="center"/>
              <w:rPr>
                <w:rFonts w:ascii="Times New Roman" w:eastAsia="仿宋"/>
              </w:rPr>
            </w:pPr>
            <w:r>
              <w:rPr>
                <w:rFonts w:ascii="Times New Roman" w:eastAsia="仿宋"/>
              </w:rPr>
              <w:t>本项目</w:t>
            </w:r>
          </w:p>
        </w:tc>
      </w:tr>
      <w:tr w14:paraId="613D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09" w:type="pct"/>
            <w:vMerge w:val="restart"/>
            <w:vAlign w:val="center"/>
          </w:tcPr>
          <w:p w14:paraId="6EB50C0B">
            <w:pPr>
              <w:jc w:val="center"/>
              <w:rPr>
                <w:rFonts w:ascii="Times New Roman" w:eastAsia="仿宋"/>
                <w:szCs w:val="21"/>
              </w:rPr>
            </w:pPr>
            <w:r>
              <w:rPr>
                <w:rFonts w:hint="eastAsia" w:ascii="Times New Roman" w:eastAsia="仿宋"/>
                <w:szCs w:val="21"/>
              </w:rPr>
              <w:t>自动监测设备安装要求</w:t>
            </w:r>
          </w:p>
        </w:tc>
        <w:tc>
          <w:tcPr>
            <w:tcW w:w="2566" w:type="pct"/>
            <w:vAlign w:val="center"/>
          </w:tcPr>
          <w:p w14:paraId="70765086">
            <w:pPr>
              <w:adjustRightInd w:val="0"/>
              <w:snapToGrid w:val="0"/>
              <w:spacing w:line="300" w:lineRule="exact"/>
              <w:rPr>
                <w:rFonts w:ascii="Times New Roman" w:eastAsia="仿宋"/>
                <w:kern w:val="32"/>
              </w:rPr>
            </w:pPr>
            <w:r>
              <w:rPr>
                <w:rFonts w:hint="eastAsia" w:ascii="Times New Roman" w:eastAsia="仿宋"/>
                <w:kern w:val="32"/>
              </w:rPr>
              <w:t>符合以下情形之一的排污单位应当安装自动监测设备:</w:t>
            </w:r>
          </w:p>
          <w:p w14:paraId="1A804584">
            <w:pPr>
              <w:adjustRightInd w:val="0"/>
              <w:snapToGrid w:val="0"/>
              <w:spacing w:line="300" w:lineRule="exact"/>
              <w:rPr>
                <w:rFonts w:ascii="Times New Roman" w:eastAsia="仿宋"/>
                <w:kern w:val="32"/>
              </w:rPr>
            </w:pPr>
            <w:r>
              <w:rPr>
                <w:rFonts w:hint="eastAsia" w:ascii="Times New Roman" w:eastAsia="仿宋"/>
                <w:kern w:val="32"/>
              </w:rPr>
              <w:t>（一）纳入水环境重点排污单位名录或大气环境重点排污单位名录的；</w:t>
            </w:r>
          </w:p>
          <w:p w14:paraId="16C1A44F">
            <w:pPr>
              <w:adjustRightInd w:val="0"/>
              <w:snapToGrid w:val="0"/>
              <w:spacing w:line="300" w:lineRule="exact"/>
              <w:rPr>
                <w:rFonts w:ascii="Times New Roman" w:eastAsia="仿宋"/>
                <w:kern w:val="32"/>
              </w:rPr>
            </w:pPr>
            <w:r>
              <w:rPr>
                <w:rFonts w:hint="eastAsia" w:ascii="Times New Roman" w:eastAsia="仿宋"/>
                <w:kern w:val="32"/>
              </w:rPr>
              <w:t>（二）排污许可证申请与核发技术规范或排污单位自行监测 指南中要求自动监测的</w:t>
            </w:r>
          </w:p>
          <w:p w14:paraId="0D443403">
            <w:pPr>
              <w:adjustRightInd w:val="0"/>
              <w:snapToGrid w:val="0"/>
              <w:spacing w:line="300" w:lineRule="exact"/>
              <w:rPr>
                <w:rFonts w:ascii="Times New Roman" w:eastAsia="仿宋"/>
                <w:kern w:val="32"/>
              </w:rPr>
            </w:pPr>
            <w:r>
              <w:rPr>
                <w:rFonts w:hint="eastAsia" w:ascii="Times New Roman" w:eastAsia="仿宋"/>
                <w:kern w:val="32"/>
              </w:rPr>
              <w:t>（三）环评报告书（表）、环评报告书（表）批复意见中要求实施自动监测的；</w:t>
            </w:r>
          </w:p>
          <w:p w14:paraId="0A853846">
            <w:pPr>
              <w:adjustRightInd w:val="0"/>
              <w:snapToGrid w:val="0"/>
              <w:spacing w:line="300" w:lineRule="exact"/>
              <w:rPr>
                <w:rFonts w:ascii="Times New Roman" w:eastAsia="仿宋"/>
                <w:kern w:val="32"/>
              </w:rPr>
            </w:pPr>
            <w:r>
              <w:rPr>
                <w:rFonts w:hint="eastAsia" w:ascii="Times New Roman" w:eastAsia="仿宋"/>
                <w:kern w:val="32"/>
              </w:rPr>
              <w:t>（四）设区市及以上生态环境主管部门相关文件要求实施自 动监测的；</w:t>
            </w:r>
          </w:p>
          <w:p w14:paraId="1885E144">
            <w:pPr>
              <w:adjustRightInd w:val="0"/>
              <w:snapToGrid w:val="0"/>
              <w:spacing w:line="300" w:lineRule="exact"/>
            </w:pPr>
            <w:r>
              <w:rPr>
                <w:rFonts w:hint="eastAsia" w:ascii="Times New Roman" w:eastAsia="仿宋"/>
                <w:kern w:val="32"/>
              </w:rPr>
              <w:t>（五）其他应开展自动监测的。</w:t>
            </w:r>
          </w:p>
        </w:tc>
        <w:tc>
          <w:tcPr>
            <w:tcW w:w="1825" w:type="pct"/>
            <w:vMerge w:val="restart"/>
            <w:vAlign w:val="center"/>
          </w:tcPr>
          <w:p w14:paraId="4F5D28AA">
            <w:pPr>
              <w:adjustRightInd w:val="0"/>
              <w:snapToGrid w:val="0"/>
              <w:spacing w:line="300" w:lineRule="exact"/>
              <w:rPr>
                <w:rFonts w:ascii="Times New Roman" w:eastAsia="仿宋"/>
                <w:kern w:val="32"/>
              </w:rPr>
            </w:pPr>
            <w:r>
              <w:rPr>
                <w:rFonts w:ascii="Times New Roman" w:eastAsia="仿宋"/>
                <w:kern w:val="32"/>
              </w:rPr>
              <w:t>本项目属于C3670汽车零部件及配件制造，</w:t>
            </w:r>
            <w:r>
              <w:rPr>
                <w:rFonts w:hint="eastAsia" w:ascii="Times New Roman" w:eastAsia="仿宋"/>
                <w:kern w:val="32"/>
              </w:rPr>
              <w:t>企业不在《2022年常州市重点排污单位名录》中，对照排污许可管理名录属于简化管理。单排气筒风量均小于3万m</w:t>
            </w:r>
            <w:r>
              <w:rPr>
                <w:rFonts w:hint="eastAsia" w:ascii="Times New Roman" w:eastAsia="仿宋"/>
                <w:kern w:val="32"/>
                <w:vertAlign w:val="superscript"/>
              </w:rPr>
              <w:t>3</w:t>
            </w:r>
            <w:r>
              <w:rPr>
                <w:rFonts w:hint="eastAsia" w:ascii="Times New Roman" w:eastAsia="仿宋"/>
                <w:kern w:val="32"/>
              </w:rPr>
              <w:t>/h，无需安装VOCs自动监测设备。</w:t>
            </w:r>
          </w:p>
        </w:tc>
      </w:tr>
      <w:tr w14:paraId="2683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09" w:type="pct"/>
            <w:vMerge w:val="continue"/>
            <w:vAlign w:val="center"/>
          </w:tcPr>
          <w:p w14:paraId="564B8DCE">
            <w:pPr>
              <w:adjustRightInd w:val="0"/>
              <w:snapToGrid w:val="0"/>
              <w:spacing w:line="300" w:lineRule="exact"/>
            </w:pPr>
          </w:p>
        </w:tc>
        <w:tc>
          <w:tcPr>
            <w:tcW w:w="2566" w:type="pct"/>
            <w:vAlign w:val="center"/>
          </w:tcPr>
          <w:p w14:paraId="52519A2B">
            <w:pPr>
              <w:adjustRightInd w:val="0"/>
              <w:snapToGrid w:val="0"/>
              <w:spacing w:line="300" w:lineRule="exact"/>
              <w:rPr>
                <w:rFonts w:ascii="Times New Roman" w:eastAsia="仿宋"/>
                <w:kern w:val="32"/>
              </w:rPr>
            </w:pPr>
            <w:r>
              <w:rPr>
                <w:rFonts w:hint="eastAsia" w:ascii="Times New Roman" w:eastAsia="仿宋"/>
                <w:kern w:val="32"/>
              </w:rPr>
              <w:t>有下列情形之一的，排污单位可以暂不安装自动监测监控设备及其配套设施:</w:t>
            </w:r>
          </w:p>
          <w:p w14:paraId="33A7536B">
            <w:pPr>
              <w:adjustRightInd w:val="0"/>
              <w:snapToGrid w:val="0"/>
              <w:spacing w:line="300" w:lineRule="exact"/>
              <w:rPr>
                <w:rFonts w:ascii="Times New Roman" w:eastAsia="仿宋"/>
                <w:kern w:val="32"/>
              </w:rPr>
            </w:pPr>
            <w:r>
              <w:rPr>
                <w:rFonts w:hint="eastAsia" w:ascii="Times New Roman" w:eastAsia="仿宋"/>
                <w:kern w:val="32"/>
              </w:rPr>
              <w:t>（一）停产一年以上或已经关闭、拆除、搬迁的；</w:t>
            </w:r>
          </w:p>
          <w:p w14:paraId="18F2C8F6">
            <w:pPr>
              <w:adjustRightInd w:val="0"/>
              <w:snapToGrid w:val="0"/>
              <w:spacing w:line="300" w:lineRule="exact"/>
              <w:rPr>
                <w:rFonts w:ascii="Times New Roman" w:eastAsia="仿宋"/>
                <w:kern w:val="32"/>
              </w:rPr>
            </w:pPr>
            <w:r>
              <w:rPr>
                <w:rFonts w:hint="eastAsia" w:ascii="Times New Roman" w:eastAsia="仿宋"/>
                <w:kern w:val="32"/>
              </w:rPr>
              <w:t>（二）监测因子排放浓度长期低于可用仪器检出限的；</w:t>
            </w:r>
          </w:p>
          <w:p w14:paraId="0E527BFE">
            <w:pPr>
              <w:adjustRightInd w:val="0"/>
              <w:snapToGrid w:val="0"/>
              <w:spacing w:line="300" w:lineRule="exact"/>
              <w:rPr>
                <w:rFonts w:ascii="Times New Roman" w:eastAsia="仿宋"/>
                <w:kern w:val="32"/>
              </w:rPr>
            </w:pPr>
            <w:r>
              <w:rPr>
                <w:rFonts w:hint="eastAsia" w:ascii="Times New Roman" w:eastAsia="仿宋"/>
                <w:kern w:val="32"/>
              </w:rPr>
              <w:t>（三）国家规定的其他可以暂不安装的情形。</w:t>
            </w:r>
          </w:p>
        </w:tc>
        <w:tc>
          <w:tcPr>
            <w:tcW w:w="1825" w:type="pct"/>
            <w:vMerge w:val="continue"/>
            <w:vAlign w:val="center"/>
          </w:tcPr>
          <w:p w14:paraId="0FD133A7">
            <w:pPr>
              <w:adjustRightInd w:val="0"/>
              <w:snapToGrid w:val="0"/>
              <w:spacing w:line="300" w:lineRule="exact"/>
              <w:rPr>
                <w:rFonts w:ascii="Times New Roman" w:eastAsia="仿宋"/>
                <w:kern w:val="32"/>
              </w:rPr>
            </w:pPr>
          </w:p>
        </w:tc>
      </w:tr>
      <w:tr w14:paraId="0AF7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09" w:type="pct"/>
            <w:vMerge w:val="continue"/>
            <w:vAlign w:val="center"/>
          </w:tcPr>
          <w:p w14:paraId="3418642C">
            <w:pPr>
              <w:adjustRightInd w:val="0"/>
              <w:snapToGrid w:val="0"/>
              <w:spacing w:line="300" w:lineRule="exact"/>
              <w:rPr>
                <w:rFonts w:ascii="Times New Roman" w:eastAsia="仿宋"/>
                <w:kern w:val="32"/>
              </w:rPr>
            </w:pPr>
          </w:p>
        </w:tc>
        <w:tc>
          <w:tcPr>
            <w:tcW w:w="2566" w:type="pct"/>
            <w:vAlign w:val="center"/>
          </w:tcPr>
          <w:p w14:paraId="7FB3AFB6">
            <w:pPr>
              <w:adjustRightInd w:val="0"/>
              <w:snapToGrid w:val="0"/>
              <w:spacing w:line="300" w:lineRule="exact"/>
              <w:rPr>
                <w:rFonts w:ascii="Times New Roman" w:eastAsia="仿宋"/>
                <w:kern w:val="32"/>
              </w:rPr>
            </w:pPr>
            <w:r>
              <w:rPr>
                <w:rFonts w:hint="eastAsia" w:ascii="Times New Roman" w:eastAsia="仿宋"/>
                <w:kern w:val="32"/>
              </w:rPr>
              <w:t>排污单位的污染物自动监测因子应当按照排污许可证申请与核发技术规范和排污单位自行监测指南以及生态环境部相关要求执行，并应符合下列规定:</w:t>
            </w:r>
          </w:p>
          <w:p w14:paraId="4498A29E">
            <w:pPr>
              <w:adjustRightInd w:val="0"/>
              <w:snapToGrid w:val="0"/>
              <w:spacing w:line="300" w:lineRule="exact"/>
              <w:rPr>
                <w:rFonts w:ascii="Times New Roman" w:eastAsia="仿宋"/>
                <w:kern w:val="32"/>
              </w:rPr>
            </w:pPr>
            <w:r>
              <w:rPr>
                <w:rFonts w:hint="eastAsia" w:ascii="Times New Roman" w:eastAsia="仿宋"/>
                <w:kern w:val="32"/>
              </w:rPr>
              <w:t>(一)排污单位排气筒高度超过45米的高架源监测因子至少包含二氧化硫、氮氧化物、颗粒物。其中，燃料为天然气的可以不监控二氧化硫、颗粒物；</w:t>
            </w:r>
          </w:p>
          <w:p w14:paraId="57031506">
            <w:pPr>
              <w:adjustRightInd w:val="0"/>
              <w:snapToGrid w:val="0"/>
              <w:spacing w:line="300" w:lineRule="exact"/>
              <w:rPr>
                <w:rFonts w:ascii="Times New Roman" w:eastAsia="仿宋"/>
                <w:kern w:val="32"/>
              </w:rPr>
            </w:pPr>
            <w:r>
              <w:rPr>
                <w:rFonts w:hint="eastAsia" w:ascii="Times New Roman" w:eastAsia="仿宋"/>
                <w:kern w:val="32"/>
              </w:rPr>
              <w:t>(二)单排放口设计小时废气排放量6万立方米及以上的钢铁、石化、化工行业及其他工业炉窑等废气排放口，监测因子至少包含二氧化硫、氮氧化物、颗粒物。其中，燃料为天然气的可以不监控二氧化硫、颗粒物；</w:t>
            </w:r>
          </w:p>
          <w:p w14:paraId="254C6696">
            <w:pPr>
              <w:adjustRightInd w:val="0"/>
              <w:snapToGrid w:val="0"/>
              <w:spacing w:line="300" w:lineRule="exact"/>
              <w:rPr>
                <w:rFonts w:ascii="Times New Roman" w:eastAsia="仿宋"/>
                <w:kern w:val="32"/>
              </w:rPr>
            </w:pPr>
            <w:r>
              <w:rPr>
                <w:rFonts w:hint="eastAsia" w:ascii="Times New Roman" w:eastAsia="仿宋"/>
                <w:kern w:val="32"/>
              </w:rPr>
              <w:t>(三)危险废物焚烧企业、生活垃圾焚烧企业，监测因子至少包含二氧化硫、氮氧化物、颗粒物、一氧化碳、氯化氢、炉膛温度等参数；</w:t>
            </w:r>
          </w:p>
          <w:p w14:paraId="652E9743">
            <w:pPr>
              <w:adjustRightInd w:val="0"/>
              <w:snapToGrid w:val="0"/>
              <w:spacing w:line="300" w:lineRule="exact"/>
              <w:rPr>
                <w:rFonts w:ascii="Times New Roman" w:eastAsia="仿宋"/>
                <w:kern w:val="32"/>
              </w:rPr>
            </w:pPr>
            <w:r>
              <w:rPr>
                <w:rFonts w:hint="eastAsia" w:ascii="Times New Roman" w:eastAsia="仿宋"/>
                <w:kern w:val="32"/>
              </w:rPr>
              <w:t>(四)单排放口VOCs排放设计小时废气排放量1万立方米及以上的化工行业、3万立方米及以上的其他行业安装VOCs自动监测设备；</w:t>
            </w:r>
          </w:p>
          <w:p w14:paraId="4B1E0667">
            <w:pPr>
              <w:adjustRightInd w:val="0"/>
              <w:snapToGrid w:val="0"/>
              <w:spacing w:line="300" w:lineRule="exact"/>
              <w:rPr>
                <w:rFonts w:ascii="Times New Roman" w:eastAsia="仿宋"/>
                <w:kern w:val="32"/>
              </w:rPr>
            </w:pPr>
            <w:r>
              <w:rPr>
                <w:rFonts w:hint="eastAsia" w:ascii="Times New Roman" w:eastAsia="仿宋"/>
                <w:kern w:val="32"/>
              </w:rPr>
              <w:t>(五)污水处理厂进、出口安装COD、氨氮、总磷、总氮、pH、温度自动监测仪；</w:t>
            </w:r>
          </w:p>
          <w:p w14:paraId="4053A293">
            <w:pPr>
              <w:adjustRightInd w:val="0"/>
              <w:snapToGrid w:val="0"/>
              <w:spacing w:line="300" w:lineRule="exact"/>
              <w:rPr>
                <w:rFonts w:ascii="Times New Roman" w:eastAsia="仿宋"/>
                <w:kern w:val="32"/>
              </w:rPr>
            </w:pPr>
            <w:r>
              <w:rPr>
                <w:rFonts w:hint="eastAsia" w:ascii="Times New Roman" w:eastAsia="仿宋"/>
                <w:kern w:val="32"/>
              </w:rPr>
              <w:t>(六)日均排放废水量100吨以上或COD30千克以上的安装COD自动监测仪；日均排放氨氮10千克以上的安装氨氮自动监测仪；</w:t>
            </w:r>
          </w:p>
          <w:p w14:paraId="6049CA10">
            <w:pPr>
              <w:adjustRightInd w:val="0"/>
              <w:snapToGrid w:val="0"/>
              <w:spacing w:line="300" w:lineRule="exact"/>
              <w:rPr>
                <w:rFonts w:ascii="Times New Roman" w:eastAsia="仿宋"/>
                <w:kern w:val="32"/>
              </w:rPr>
            </w:pPr>
            <w:r>
              <w:rPr>
                <w:rFonts w:hint="eastAsia" w:ascii="Times New Roman" w:eastAsia="仿宋"/>
                <w:kern w:val="32"/>
              </w:rPr>
              <w:t>(七)按上述规定安装自动监测监控设备的各排污单位应当配套安装流量(速)计、数采仪，同时应当在监控站房、排放口、治污设施关键位置安装视频监控设备并与省、市生态环境主管部门联网。废水类应当安装温度计、水质自动采样设备，废气类应当安装温度、压力、湿度、氧量等辅助参数设备;纳入重污染天气应急管控清单的排污单位应当在生产设施、治污设施安装用电监控设备并与省、市生态环境主管部门联网;其他依据排污许可证、建设项目环境影响评价文件、国家和省生态环境主管部门要求安装的监测因子从其规定。</w:t>
            </w:r>
          </w:p>
        </w:tc>
        <w:tc>
          <w:tcPr>
            <w:tcW w:w="1825" w:type="pct"/>
            <w:vMerge w:val="continue"/>
            <w:vAlign w:val="center"/>
          </w:tcPr>
          <w:p w14:paraId="5BC098C8">
            <w:pPr>
              <w:adjustRightInd w:val="0"/>
              <w:snapToGrid w:val="0"/>
              <w:spacing w:line="300" w:lineRule="exact"/>
              <w:rPr>
                <w:rFonts w:ascii="Times New Roman" w:eastAsia="仿宋"/>
                <w:kern w:val="32"/>
              </w:rPr>
            </w:pPr>
          </w:p>
        </w:tc>
      </w:tr>
    </w:tbl>
    <w:p w14:paraId="2A457FE2">
      <w:pPr>
        <w:spacing w:line="500" w:lineRule="exact"/>
        <w:ind w:firstLine="562" w:firstLineChars="200"/>
        <w:rPr>
          <w:rFonts w:ascii="Times New Roman" w:eastAsia="仿宋"/>
          <w:b/>
          <w:sz w:val="28"/>
          <w:szCs w:val="28"/>
        </w:rPr>
      </w:pPr>
      <w:r>
        <w:rPr>
          <w:rFonts w:hint="eastAsia" w:ascii="Times New Roman" w:eastAsia="仿宋"/>
          <w:b/>
          <w:sz w:val="28"/>
          <w:szCs w:val="28"/>
        </w:rPr>
        <w:t>17、与《省政府办公厅关于印发推进新一轮太湖综合治理行动方案的通知》（苏办发[2023]17号）相符性分析</w:t>
      </w:r>
    </w:p>
    <w:p w14:paraId="3B407A08">
      <w:pPr>
        <w:spacing w:line="500" w:lineRule="exact"/>
        <w:jc w:val="center"/>
        <w:rPr>
          <w:rFonts w:ascii="Times New Roman" w:eastAsia="仿宋"/>
          <w:b/>
          <w:bCs/>
        </w:rPr>
      </w:pPr>
      <w:r>
        <w:rPr>
          <w:rFonts w:hint="eastAsia" w:ascii="Times New Roman" w:eastAsia="仿宋"/>
          <w:b/>
          <w:bCs/>
        </w:rPr>
        <w:t>表2.7-14 与（苏办发[2023]17号）相符性分析</w:t>
      </w:r>
    </w:p>
    <w:tbl>
      <w:tblPr>
        <w:tblStyle w:val="88"/>
        <w:tblW w:w="893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4888"/>
        <w:gridCol w:w="3050"/>
      </w:tblGrid>
      <w:tr w14:paraId="0169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1B8364BB">
            <w:pPr>
              <w:adjustRightInd w:val="0"/>
              <w:snapToGrid w:val="0"/>
              <w:spacing w:line="300" w:lineRule="exact"/>
              <w:jc w:val="center"/>
              <w:rPr>
                <w:rFonts w:ascii="Times New Roman" w:eastAsia="仿宋"/>
              </w:rPr>
            </w:pPr>
            <w:r>
              <w:rPr>
                <w:rFonts w:ascii="Times New Roman" w:eastAsia="仿宋"/>
              </w:rPr>
              <w:t>类别</w:t>
            </w:r>
          </w:p>
        </w:tc>
        <w:tc>
          <w:tcPr>
            <w:tcW w:w="4888" w:type="dxa"/>
            <w:vAlign w:val="center"/>
          </w:tcPr>
          <w:p w14:paraId="36B50EB6">
            <w:pPr>
              <w:adjustRightInd w:val="0"/>
              <w:snapToGrid w:val="0"/>
              <w:spacing w:line="300" w:lineRule="exact"/>
              <w:jc w:val="center"/>
              <w:rPr>
                <w:rFonts w:ascii="Times New Roman" w:eastAsia="仿宋"/>
              </w:rPr>
            </w:pPr>
            <w:r>
              <w:rPr>
                <w:rFonts w:ascii="Times New Roman" w:eastAsia="仿宋"/>
              </w:rPr>
              <w:t>文件要求</w:t>
            </w:r>
          </w:p>
        </w:tc>
        <w:tc>
          <w:tcPr>
            <w:tcW w:w="3050" w:type="dxa"/>
            <w:vAlign w:val="center"/>
          </w:tcPr>
          <w:p w14:paraId="29B2D69F">
            <w:pPr>
              <w:adjustRightInd w:val="0"/>
              <w:snapToGrid w:val="0"/>
              <w:spacing w:line="300" w:lineRule="exact"/>
              <w:jc w:val="center"/>
              <w:rPr>
                <w:rFonts w:ascii="Times New Roman" w:eastAsia="仿宋"/>
              </w:rPr>
            </w:pPr>
            <w:r>
              <w:rPr>
                <w:rFonts w:ascii="Times New Roman" w:eastAsia="仿宋"/>
              </w:rPr>
              <w:t>本项目</w:t>
            </w:r>
          </w:p>
        </w:tc>
      </w:tr>
      <w:tr w14:paraId="444A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794F69C5">
            <w:pPr>
              <w:adjustRightInd w:val="0"/>
              <w:snapToGrid w:val="0"/>
              <w:spacing w:line="300" w:lineRule="exact"/>
              <w:jc w:val="center"/>
              <w:rPr>
                <w:rFonts w:ascii="Times New Roman" w:eastAsia="仿宋"/>
              </w:rPr>
            </w:pPr>
            <w:r>
              <w:rPr>
                <w:rFonts w:hint="eastAsia" w:ascii="Times New Roman" w:eastAsia="仿宋"/>
              </w:rPr>
              <w:t>强力推进工业污染治理</w:t>
            </w:r>
          </w:p>
        </w:tc>
        <w:tc>
          <w:tcPr>
            <w:tcW w:w="4888" w:type="dxa"/>
            <w:vAlign w:val="center"/>
          </w:tcPr>
          <w:p w14:paraId="4308CDF1">
            <w:pPr>
              <w:adjustRightInd w:val="0"/>
              <w:snapToGrid w:val="0"/>
              <w:spacing w:line="300" w:lineRule="exact"/>
              <w:rPr>
                <w:rFonts w:ascii="Times New Roman" w:eastAsia="仿宋"/>
                <w:kern w:val="32"/>
              </w:rPr>
            </w:pPr>
            <w:r>
              <w:rPr>
                <w:rFonts w:hint="eastAsia" w:ascii="Times New Roman" w:eastAsia="仿宋"/>
                <w:kern w:val="32"/>
              </w:rPr>
              <w:t>1、依法加强环境准入管理。严格执行《江苏省太湖水污染防治条例》，加快形成有利于减污降碳的产业结构。加强对产业升级的指导与引导……2025年底前完成一级保护区内工业企业关闭搬迁、改造提升任务。</w:t>
            </w:r>
          </w:p>
          <w:p w14:paraId="0F45C529">
            <w:pPr>
              <w:adjustRightInd w:val="0"/>
              <w:snapToGrid w:val="0"/>
              <w:spacing w:line="300" w:lineRule="exact"/>
              <w:rPr>
                <w:rFonts w:ascii="Times New Roman" w:eastAsia="仿宋"/>
                <w:kern w:val="32"/>
              </w:rPr>
            </w:pPr>
            <w:r>
              <w:rPr>
                <w:rFonts w:hint="eastAsia" w:ascii="Times New Roman" w:eastAsia="仿宋"/>
                <w:kern w:val="32"/>
              </w:rPr>
              <w:t>2、全面系统开展涉磷企业专项排查整治。建立涉磷企业清单化动态管理制度，对所有涉磷企业建立“磷账本”……逾期未完成整改的，其整改方案不纳入涉磷企业管理依据。</w:t>
            </w:r>
          </w:p>
          <w:p w14:paraId="68D329F6">
            <w:pPr>
              <w:adjustRightInd w:val="0"/>
              <w:snapToGrid w:val="0"/>
              <w:spacing w:line="300" w:lineRule="exact"/>
              <w:rPr>
                <w:rFonts w:ascii="Times New Roman" w:eastAsia="仿宋"/>
                <w:kern w:val="32"/>
              </w:rPr>
            </w:pPr>
            <w:r>
              <w:rPr>
                <w:rFonts w:hint="eastAsia" w:ascii="Times New Roman" w:eastAsia="仿宋"/>
                <w:kern w:val="32"/>
              </w:rPr>
              <w:t>3、持续深化重点传统产业升级改造。更大力度推动印染、化工、造纸、钢铁、电镀、食品等传统产业升级……支持无锡、苏州印染、化工等传统行业转型升级，常州“危污乱散低”综合治理和镇江“散乱污”企业整治。</w:t>
            </w:r>
          </w:p>
          <w:p w14:paraId="3D2F1B9B">
            <w:pPr>
              <w:adjustRightInd w:val="0"/>
              <w:snapToGrid w:val="0"/>
              <w:spacing w:line="300" w:lineRule="exact"/>
              <w:rPr>
                <w:rFonts w:ascii="Times New Roman" w:eastAsia="仿宋"/>
                <w:kern w:val="32"/>
              </w:rPr>
            </w:pPr>
            <w:r>
              <w:rPr>
                <w:rFonts w:hint="eastAsia" w:ascii="Times New Roman" w:eastAsia="仿宋"/>
                <w:kern w:val="32"/>
              </w:rPr>
              <w:t>4、稳妥推进废水分类收集处理。加快建设工业废水处理系统，推进工业废水与生活污水分类收集……大力推进印染、化工、造纸、钢铁、电镀、食品(啤酒、味精)等行业直排企业废水深度处理。</w:t>
            </w:r>
          </w:p>
          <w:p w14:paraId="449101AE">
            <w:pPr>
              <w:pStyle w:val="2"/>
              <w:ind w:firstLine="0"/>
              <w:rPr>
                <w:rFonts w:eastAsia="仿宋"/>
                <w:sz w:val="24"/>
              </w:rPr>
            </w:pPr>
            <w:r>
              <w:rPr>
                <w:rFonts w:hint="eastAsia" w:eastAsia="仿宋"/>
                <w:sz w:val="24"/>
              </w:rPr>
              <w:t>5、着力提高水资源利用效率。严格用水定额管理制度:推进取用水规范化管理，科学制定用水定额并动态调整</w:t>
            </w:r>
            <w:r>
              <w:rPr>
                <w:rFonts w:hint="eastAsia" w:eastAsia="仿宋"/>
                <w:kern w:val="32"/>
              </w:rPr>
              <w:t>……</w:t>
            </w:r>
            <w:r>
              <w:rPr>
                <w:rFonts w:hint="eastAsia" w:eastAsia="仿宋"/>
                <w:sz w:val="24"/>
              </w:rPr>
              <w:t>支持有条件的园区、企业开展雨水等非常规水源集蓄利用。</w:t>
            </w:r>
          </w:p>
        </w:tc>
        <w:tc>
          <w:tcPr>
            <w:tcW w:w="3050" w:type="dxa"/>
            <w:vAlign w:val="center"/>
          </w:tcPr>
          <w:p w14:paraId="7A37286D">
            <w:pPr>
              <w:adjustRightInd w:val="0"/>
              <w:snapToGrid w:val="0"/>
              <w:spacing w:line="300" w:lineRule="exact"/>
              <w:jc w:val="center"/>
              <w:rPr>
                <w:rFonts w:ascii="Times New Roman" w:eastAsia="仿宋"/>
              </w:rPr>
            </w:pPr>
            <w:r>
              <w:rPr>
                <w:rFonts w:hint="eastAsia" w:ascii="Times New Roman" w:eastAsia="仿宋"/>
                <w:kern w:val="32"/>
              </w:rPr>
              <w:t>企业位于常州市金坛区朱林镇永兴路68号，本项目属于C3670汽车零部件及配件制造，不属于《国家污染防治技术指导目录（2024年，限制类和淘汰类）》中限制、淘汰及禁止类项目，本项目新增脱脂清洗废水、水洗槽废水经厂内污水处理站处理后与生活污水一同接管进直溪污水处理厂处理，生产废水不含氮、磷污染物。</w:t>
            </w:r>
          </w:p>
        </w:tc>
      </w:tr>
    </w:tbl>
    <w:p w14:paraId="28515AA4">
      <w:pPr>
        <w:spacing w:line="500" w:lineRule="exact"/>
        <w:ind w:firstLine="562" w:firstLineChars="200"/>
        <w:rPr>
          <w:rFonts w:ascii="Times New Roman" w:eastAsia="仿宋"/>
          <w:b/>
          <w:sz w:val="28"/>
          <w:szCs w:val="28"/>
        </w:rPr>
      </w:pPr>
      <w:r>
        <w:rPr>
          <w:rFonts w:hint="eastAsia" w:ascii="Times New Roman" w:eastAsia="仿宋"/>
          <w:b/>
          <w:sz w:val="28"/>
          <w:szCs w:val="28"/>
        </w:rPr>
        <w:t>1</w:t>
      </w:r>
      <w:r>
        <w:rPr>
          <w:rFonts w:ascii="Times New Roman" w:eastAsia="仿宋"/>
          <w:b/>
          <w:sz w:val="28"/>
          <w:szCs w:val="28"/>
        </w:rPr>
        <w:t>8</w:t>
      </w:r>
      <w:r>
        <w:rPr>
          <w:rFonts w:hint="eastAsia" w:ascii="Times New Roman" w:eastAsia="仿宋"/>
          <w:b/>
          <w:sz w:val="28"/>
          <w:szCs w:val="28"/>
        </w:rPr>
        <w:t>、与</w:t>
      </w:r>
      <w:r>
        <w:rPr>
          <w:rFonts w:ascii="Times New Roman" w:eastAsia="仿宋"/>
          <w:b/>
          <w:sz w:val="28"/>
          <w:szCs w:val="28"/>
        </w:rPr>
        <w:t>《关于印发&lt;江苏省工业废水与生活污水分质处理工作推进方案&gt;的通知》（苏环办〔2023〕144号）</w:t>
      </w:r>
      <w:r>
        <w:rPr>
          <w:rFonts w:hint="eastAsia" w:ascii="Times New Roman" w:eastAsia="仿宋"/>
          <w:b/>
          <w:sz w:val="28"/>
          <w:szCs w:val="28"/>
        </w:rPr>
        <w:t>的相符性分析：</w:t>
      </w:r>
    </w:p>
    <w:p w14:paraId="02C04EF5">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根据苏环办〔2023〕144号文件要求，本项目工业废水纳入城镇污水处理厂处理需满足以下该文件附件1中准入条件及评估原则，具体如下：</w:t>
      </w:r>
    </w:p>
    <w:p w14:paraId="78A8F6DE">
      <w:pPr>
        <w:spacing w:line="500" w:lineRule="exact"/>
        <w:jc w:val="center"/>
        <w:rPr>
          <w:rFonts w:ascii="Times New Roman" w:eastAsia="仿宋"/>
          <w:b/>
          <w:bCs/>
        </w:rPr>
      </w:pPr>
      <w:r>
        <w:rPr>
          <w:rFonts w:hint="eastAsia" w:ascii="Times New Roman" w:eastAsia="仿宋"/>
          <w:b/>
          <w:bCs/>
        </w:rPr>
        <w:t>表2.7-15 与（苏环办〔2023〕144号）相符性分析</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4864"/>
        <w:gridCol w:w="2845"/>
      </w:tblGrid>
      <w:tr w14:paraId="4DE3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7FBFA7C1">
            <w:pPr>
              <w:adjustRightInd w:val="0"/>
              <w:snapToGrid w:val="0"/>
              <w:spacing w:line="300" w:lineRule="exact"/>
              <w:jc w:val="center"/>
              <w:rPr>
                <w:rFonts w:ascii="Times New Roman" w:eastAsia="仿宋"/>
              </w:rPr>
            </w:pPr>
            <w:r>
              <w:rPr>
                <w:rFonts w:hint="eastAsia" w:ascii="Times New Roman" w:eastAsia="仿宋"/>
              </w:rPr>
              <w:t>评估原则</w:t>
            </w:r>
          </w:p>
        </w:tc>
        <w:tc>
          <w:tcPr>
            <w:tcW w:w="5033" w:type="dxa"/>
            <w:vAlign w:val="center"/>
          </w:tcPr>
          <w:p w14:paraId="40545FE7">
            <w:pPr>
              <w:adjustRightInd w:val="0"/>
              <w:snapToGrid w:val="0"/>
              <w:spacing w:line="300" w:lineRule="exact"/>
              <w:jc w:val="center"/>
              <w:rPr>
                <w:rFonts w:ascii="Times New Roman" w:eastAsia="仿宋"/>
              </w:rPr>
            </w:pPr>
            <w:r>
              <w:rPr>
                <w:rFonts w:hint="eastAsia" w:ascii="Times New Roman" w:eastAsia="仿宋"/>
              </w:rPr>
              <w:t>原则解释</w:t>
            </w:r>
          </w:p>
        </w:tc>
        <w:tc>
          <w:tcPr>
            <w:tcW w:w="2944" w:type="dxa"/>
            <w:vAlign w:val="center"/>
          </w:tcPr>
          <w:p w14:paraId="76B62582">
            <w:pPr>
              <w:adjustRightInd w:val="0"/>
              <w:snapToGrid w:val="0"/>
              <w:spacing w:line="300" w:lineRule="exact"/>
              <w:jc w:val="center"/>
              <w:rPr>
                <w:rFonts w:ascii="Times New Roman" w:eastAsia="仿宋"/>
              </w:rPr>
            </w:pPr>
            <w:r>
              <w:rPr>
                <w:rFonts w:hint="eastAsia" w:ascii="Times New Roman" w:eastAsia="仿宋"/>
              </w:rPr>
              <w:t>本项目情况</w:t>
            </w:r>
          </w:p>
        </w:tc>
      </w:tr>
      <w:tr w14:paraId="45E6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03832780">
            <w:pPr>
              <w:adjustRightInd w:val="0"/>
              <w:snapToGrid w:val="0"/>
              <w:spacing w:line="300" w:lineRule="exact"/>
              <w:jc w:val="center"/>
              <w:rPr>
                <w:rFonts w:ascii="Times New Roman" w:eastAsia="仿宋"/>
              </w:rPr>
            </w:pPr>
            <w:r>
              <w:rPr>
                <w:rFonts w:hint="eastAsia" w:ascii="Times New Roman" w:eastAsia="仿宋"/>
              </w:rPr>
              <w:t>可生化优先原则</w:t>
            </w:r>
          </w:p>
        </w:tc>
        <w:tc>
          <w:tcPr>
            <w:tcW w:w="5033" w:type="dxa"/>
            <w:vAlign w:val="center"/>
          </w:tcPr>
          <w:p w14:paraId="7898B4D2">
            <w:pPr>
              <w:adjustRightInd w:val="0"/>
              <w:snapToGrid w:val="0"/>
              <w:spacing w:line="300" w:lineRule="exact"/>
              <w:jc w:val="center"/>
              <w:rPr>
                <w:rFonts w:ascii="Times New Roman" w:eastAsia="仿宋"/>
              </w:rPr>
            </w:pPr>
            <w:r>
              <w:rPr>
                <w:rFonts w:hint="eastAsia" w:ascii="Times New Roman" w:eastAsia="仿宋"/>
              </w:rPr>
              <w:t>以下制造业工业企业，生产废水可生化性较好，有利于城镇污水处理厂提高处理效能，与城镇污水处理厂约定纳管标准限值、签订书面合同、变更排污及排水许可证内容、完成备案手续后可优先接入城镇污水处理厂：①发酵酒精和白酒、啤酒、味精、制糖工业（依据行业标准修改单和排污许可证技术规范，排放浓度可协商）；②淀粉、酵母、柠檬酸工业（依据行业标准修改单征求意见稿，排放浓度可协商）；③肉类加工工业（依据行业标准，BOD5浓度可放宽至600mg/L，CODCr浓度可放宽至 1000mg/L）除发酵酒精、白酒、啤酒外的酒和饮料制造工业；除柠檬酸、酵母、味精外的调味品和发酵制品制造工业；乳制品制造工业；方便食品、食品及饲料添加剂制造工业；饲料加工、植物油加工工业；水产品加工工业等执行《污水综合排放标准》 （GB8978-1996）的三级排放限值，待国家有关行业排放标准发布后，污染物许可排放浓度从其规定。</w:t>
            </w:r>
          </w:p>
        </w:tc>
        <w:tc>
          <w:tcPr>
            <w:tcW w:w="2944" w:type="dxa"/>
            <w:vAlign w:val="center"/>
          </w:tcPr>
          <w:p w14:paraId="65E5A595">
            <w:pPr>
              <w:adjustRightInd w:val="0"/>
              <w:snapToGrid w:val="0"/>
              <w:spacing w:line="300" w:lineRule="exact"/>
              <w:jc w:val="center"/>
              <w:rPr>
                <w:rFonts w:ascii="Times New Roman" w:eastAsia="仿宋"/>
              </w:rPr>
            </w:pPr>
            <w:r>
              <w:rPr>
                <w:rFonts w:hint="eastAsia" w:ascii="Times New Roman" w:eastAsia="仿宋"/>
              </w:rPr>
              <w:t>本项目不属于上述行业，不适用可生化优先原则。</w:t>
            </w:r>
          </w:p>
          <w:p w14:paraId="7B85B7FE">
            <w:pPr>
              <w:adjustRightInd w:val="0"/>
              <w:snapToGrid w:val="0"/>
              <w:spacing w:line="300" w:lineRule="exact"/>
              <w:jc w:val="center"/>
              <w:rPr>
                <w:rFonts w:ascii="Times New Roman" w:eastAsia="仿宋"/>
              </w:rPr>
            </w:pPr>
          </w:p>
        </w:tc>
      </w:tr>
      <w:tr w14:paraId="0F0E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31664030">
            <w:pPr>
              <w:adjustRightInd w:val="0"/>
              <w:snapToGrid w:val="0"/>
              <w:spacing w:line="300" w:lineRule="exact"/>
              <w:jc w:val="center"/>
              <w:rPr>
                <w:rFonts w:ascii="Times New Roman" w:eastAsia="仿宋"/>
              </w:rPr>
            </w:pPr>
            <w:r>
              <w:rPr>
                <w:rFonts w:hint="eastAsia" w:ascii="Times New Roman" w:eastAsia="仿宋"/>
              </w:rPr>
              <w:t>纳管浓度达标原则</w:t>
            </w:r>
          </w:p>
          <w:p w14:paraId="55C612B7">
            <w:pPr>
              <w:adjustRightInd w:val="0"/>
              <w:snapToGrid w:val="0"/>
              <w:spacing w:line="300" w:lineRule="exact"/>
              <w:jc w:val="center"/>
              <w:rPr>
                <w:rFonts w:ascii="Times New Roman" w:eastAsia="仿宋"/>
              </w:rPr>
            </w:pPr>
          </w:p>
        </w:tc>
        <w:tc>
          <w:tcPr>
            <w:tcW w:w="5033" w:type="dxa"/>
            <w:vAlign w:val="center"/>
          </w:tcPr>
          <w:p w14:paraId="35ECF267">
            <w:pPr>
              <w:adjustRightInd w:val="0"/>
              <w:snapToGrid w:val="0"/>
              <w:spacing w:line="300" w:lineRule="exact"/>
              <w:jc w:val="center"/>
              <w:rPr>
                <w:rFonts w:ascii="Times New Roman" w:eastAsia="仿宋"/>
              </w:rPr>
            </w:pPr>
            <w:r>
              <w:rPr>
                <w:rFonts w:hint="eastAsia" w:ascii="Times New Roman" w:eastAsia="仿宋"/>
              </w:rPr>
              <w:t>纳管工业废水常规污染物和特征污染物需达到相应的纳管标准和协议要求，其中1）冶金（再生铜、铝、铅、锌工业）；2）电镀（有电镀、化学镀、转化处理等生产工序的）；3）石油化学工业、石油炼制工业、化学工业；4）生物制药工业（提取、制剂、发酵、生物工程、生物医药研发机构）部分行业污染物须达到行业直接排放限值，方可接入；其他工业废水需达到相应排放限值方可接入。</w:t>
            </w:r>
          </w:p>
        </w:tc>
        <w:tc>
          <w:tcPr>
            <w:tcW w:w="2944" w:type="dxa"/>
            <w:vAlign w:val="center"/>
          </w:tcPr>
          <w:p w14:paraId="4D02BF5A">
            <w:pPr>
              <w:adjustRightInd w:val="0"/>
              <w:snapToGrid w:val="0"/>
              <w:spacing w:line="300" w:lineRule="exact"/>
              <w:jc w:val="center"/>
              <w:rPr>
                <w:rFonts w:ascii="Times New Roman" w:eastAsia="仿宋"/>
              </w:rPr>
            </w:pPr>
            <w:r>
              <w:rPr>
                <w:rFonts w:hint="eastAsia" w:ascii="Times New Roman" w:eastAsia="仿宋"/>
              </w:rPr>
              <w:t>本项目废水属于其他工业废水，污水接管口各污染物浓度能达到直溪污水处理厂接管标准，符合纳管浓度达标原则。</w:t>
            </w:r>
          </w:p>
          <w:p w14:paraId="7AD69F07">
            <w:pPr>
              <w:adjustRightInd w:val="0"/>
              <w:snapToGrid w:val="0"/>
              <w:spacing w:line="300" w:lineRule="exact"/>
              <w:jc w:val="center"/>
              <w:rPr>
                <w:rFonts w:ascii="Times New Roman" w:eastAsia="仿宋"/>
              </w:rPr>
            </w:pPr>
          </w:p>
        </w:tc>
      </w:tr>
      <w:tr w14:paraId="40BB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6D355ECC">
            <w:pPr>
              <w:adjustRightInd w:val="0"/>
              <w:snapToGrid w:val="0"/>
              <w:spacing w:line="300" w:lineRule="exact"/>
              <w:jc w:val="center"/>
              <w:rPr>
                <w:rFonts w:ascii="Times New Roman" w:eastAsia="仿宋"/>
              </w:rPr>
            </w:pPr>
            <w:r>
              <w:rPr>
                <w:rFonts w:hint="eastAsia" w:ascii="Times New Roman" w:eastAsia="仿宋"/>
              </w:rPr>
              <w:t>总量达标双控原则</w:t>
            </w:r>
          </w:p>
        </w:tc>
        <w:tc>
          <w:tcPr>
            <w:tcW w:w="5033" w:type="dxa"/>
            <w:vAlign w:val="center"/>
          </w:tcPr>
          <w:p w14:paraId="5E833810">
            <w:pPr>
              <w:adjustRightInd w:val="0"/>
              <w:snapToGrid w:val="0"/>
              <w:spacing w:line="300" w:lineRule="exact"/>
              <w:jc w:val="center"/>
              <w:rPr>
                <w:rFonts w:ascii="Times New Roman" w:eastAsia="仿宋"/>
              </w:rPr>
            </w:pPr>
            <w:r>
              <w:rPr>
                <w:rFonts w:hint="eastAsia" w:ascii="Times New Roman" w:eastAsia="仿宋"/>
              </w:rPr>
              <w:t>接入城镇污水厂处理的工业企业，其排放的废水和污染物总量不得高于环评报告及其批复、排污及排水许可证等核定的纳管总量控制限值，同时，城镇污水处理厂排放的某项特征污染物的总量不得高于所有纳管工业企业按照相应行业标准直接排放限值核算的该项特征污染物排放总量之和。</w:t>
            </w:r>
          </w:p>
        </w:tc>
        <w:tc>
          <w:tcPr>
            <w:tcW w:w="2944" w:type="dxa"/>
            <w:vAlign w:val="center"/>
          </w:tcPr>
          <w:p w14:paraId="1AAC3984">
            <w:pPr>
              <w:adjustRightInd w:val="0"/>
              <w:snapToGrid w:val="0"/>
              <w:spacing w:line="300" w:lineRule="exact"/>
              <w:jc w:val="center"/>
              <w:rPr>
                <w:rFonts w:ascii="Times New Roman" w:eastAsia="仿宋"/>
              </w:rPr>
            </w:pPr>
            <w:r>
              <w:rPr>
                <w:rFonts w:hint="eastAsia" w:ascii="Times New Roman" w:eastAsia="仿宋"/>
              </w:rPr>
              <w:t>本项目混合污水接管至直溪污水处理厂，直溪污水处理厂为城镇污水处理厂，本项目将严格按照环评报告及其批复排放废水和污染物。同时根据直溪污水处理厂的验收报告，目前直溪污水处理厂排放的特征污染物（COD、BOD</w:t>
            </w:r>
            <w:r>
              <w:rPr>
                <w:rFonts w:hint="eastAsia" w:ascii="Times New Roman" w:eastAsia="仿宋"/>
                <w:vertAlign w:val="subscript"/>
              </w:rPr>
              <w:t>5</w:t>
            </w:r>
            <w:r>
              <w:rPr>
                <w:rFonts w:hint="eastAsia" w:ascii="Times New Roman" w:eastAsia="仿宋"/>
              </w:rPr>
              <w:t>、氨氮、总氮、总磷、悬浮物、氟化物、石油类、阴离子表面活性剂）的总量不高于所有纳管工业企业排放总量之和，且仍有处理余量，可满足本项目新增废水纳管需求。</w:t>
            </w:r>
          </w:p>
        </w:tc>
      </w:tr>
      <w:tr w14:paraId="0C82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3C54B29E">
            <w:pPr>
              <w:adjustRightInd w:val="0"/>
              <w:snapToGrid w:val="0"/>
              <w:spacing w:line="300" w:lineRule="exact"/>
              <w:jc w:val="center"/>
              <w:rPr>
                <w:rFonts w:ascii="Times New Roman" w:eastAsia="仿宋"/>
              </w:rPr>
            </w:pPr>
            <w:r>
              <w:rPr>
                <w:rFonts w:hint="eastAsia" w:ascii="Times New Roman" w:eastAsia="仿宋"/>
              </w:rPr>
              <w:t>工业废水限量纳管原则</w:t>
            </w:r>
          </w:p>
        </w:tc>
        <w:tc>
          <w:tcPr>
            <w:tcW w:w="5033" w:type="dxa"/>
            <w:vAlign w:val="center"/>
          </w:tcPr>
          <w:p w14:paraId="4C953EC0">
            <w:pPr>
              <w:adjustRightInd w:val="0"/>
              <w:snapToGrid w:val="0"/>
              <w:spacing w:line="300" w:lineRule="exact"/>
              <w:jc w:val="center"/>
              <w:rPr>
                <w:rFonts w:ascii="Times New Roman" w:eastAsia="仿宋"/>
              </w:rPr>
            </w:pPr>
            <w:r>
              <w:rPr>
                <w:rFonts w:hint="eastAsia" w:ascii="Times New Roman" w:eastAsia="仿宋"/>
              </w:rPr>
              <w:t>工业废水总量超过1万吨/日的省级以上工业园区，或者工业废水纳管量占比超过40%的城镇污水处理厂所在区域，原则上应配套专业的工业废水处理厂。</w:t>
            </w:r>
          </w:p>
        </w:tc>
        <w:tc>
          <w:tcPr>
            <w:tcW w:w="2944" w:type="dxa"/>
            <w:vAlign w:val="center"/>
          </w:tcPr>
          <w:p w14:paraId="26595DC9">
            <w:pPr>
              <w:adjustRightInd w:val="0"/>
              <w:snapToGrid w:val="0"/>
              <w:spacing w:line="300" w:lineRule="exact"/>
              <w:jc w:val="center"/>
              <w:rPr>
                <w:rFonts w:ascii="Times New Roman" w:eastAsia="仿宋"/>
              </w:rPr>
            </w:pPr>
            <w:r>
              <w:rPr>
                <w:rFonts w:hint="eastAsia" w:ascii="Times New Roman" w:eastAsia="仿宋"/>
              </w:rPr>
              <w:t>本项目废水接管进入直溪污水处理厂，根据直溪污水处理厂的验收报告，直溪污水处理厂工业废水主要为东方日升、富联升辉两公司的工业废水，目前污水厂工业废水纳管量占比未超过40%，原则上所在区域无需配套专业的工业废水处理厂。</w:t>
            </w:r>
          </w:p>
        </w:tc>
      </w:tr>
      <w:tr w14:paraId="5A1D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6C03789B">
            <w:pPr>
              <w:adjustRightInd w:val="0"/>
              <w:snapToGrid w:val="0"/>
              <w:spacing w:line="300" w:lineRule="exact"/>
              <w:jc w:val="center"/>
              <w:rPr>
                <w:rFonts w:ascii="Times New Roman" w:eastAsia="仿宋"/>
              </w:rPr>
            </w:pPr>
            <w:r>
              <w:rPr>
                <w:rFonts w:hint="eastAsia" w:ascii="Times New Roman" w:eastAsia="仿宋"/>
              </w:rPr>
              <w:t>污水处理厂稳定运行原则</w:t>
            </w:r>
          </w:p>
        </w:tc>
        <w:tc>
          <w:tcPr>
            <w:tcW w:w="5033" w:type="dxa"/>
            <w:vAlign w:val="center"/>
          </w:tcPr>
          <w:p w14:paraId="621240B4">
            <w:pPr>
              <w:adjustRightInd w:val="0"/>
              <w:snapToGrid w:val="0"/>
              <w:spacing w:line="300" w:lineRule="exact"/>
              <w:jc w:val="center"/>
              <w:rPr>
                <w:rFonts w:ascii="Times New Roman" w:eastAsia="仿宋"/>
              </w:rPr>
            </w:pPr>
            <w:r>
              <w:rPr>
                <w:rFonts w:hint="eastAsia" w:ascii="Times New Roman" w:eastAsia="仿宋"/>
              </w:rPr>
              <w:t>纳管的工业企业废水不得影响城镇污水处理厂的稳定运行和达标排放。</w:t>
            </w:r>
          </w:p>
        </w:tc>
        <w:tc>
          <w:tcPr>
            <w:tcW w:w="2944" w:type="dxa"/>
            <w:vAlign w:val="center"/>
          </w:tcPr>
          <w:p w14:paraId="4E90A2A9">
            <w:pPr>
              <w:adjustRightInd w:val="0"/>
              <w:snapToGrid w:val="0"/>
              <w:spacing w:line="300" w:lineRule="exact"/>
              <w:jc w:val="center"/>
              <w:rPr>
                <w:rFonts w:ascii="Times New Roman" w:eastAsia="仿宋"/>
              </w:rPr>
            </w:pPr>
            <w:r>
              <w:rPr>
                <w:rFonts w:hint="eastAsia" w:ascii="Times New Roman" w:eastAsia="仿宋"/>
              </w:rPr>
              <w:t>本项目接管废水水质相对比较简单，废水中主要污染物浓度均能达到直溪污水处理厂接管标准，不会对污水处理厂运行产生冲击负荷，以污水处理厂现有工艺和实际运行情况，完全能够对本项目接管废水进行处理并达标排放，对污水处理厂的正常运行不会造成影响。</w:t>
            </w:r>
          </w:p>
        </w:tc>
      </w:tr>
      <w:tr w14:paraId="16CF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2A9928B9">
            <w:pPr>
              <w:adjustRightInd w:val="0"/>
              <w:snapToGrid w:val="0"/>
              <w:spacing w:line="300" w:lineRule="exact"/>
              <w:jc w:val="center"/>
              <w:rPr>
                <w:rFonts w:ascii="Times New Roman" w:eastAsia="仿宋"/>
              </w:rPr>
            </w:pPr>
            <w:r>
              <w:rPr>
                <w:rFonts w:hint="eastAsia" w:ascii="Times New Roman" w:eastAsia="仿宋"/>
              </w:rPr>
              <w:t>环境质量达标原则</w:t>
            </w:r>
          </w:p>
        </w:tc>
        <w:tc>
          <w:tcPr>
            <w:tcW w:w="5033" w:type="dxa"/>
            <w:vAlign w:val="center"/>
          </w:tcPr>
          <w:p w14:paraId="33CD33F4">
            <w:pPr>
              <w:adjustRightInd w:val="0"/>
              <w:snapToGrid w:val="0"/>
              <w:spacing w:line="300" w:lineRule="exact"/>
              <w:jc w:val="center"/>
              <w:rPr>
                <w:rFonts w:ascii="Times New Roman" w:eastAsia="仿宋"/>
              </w:rPr>
            </w:pPr>
            <w:r>
              <w:rPr>
                <w:rFonts w:hint="eastAsia" w:ascii="Times New Roman" w:eastAsia="仿宋"/>
              </w:rPr>
              <w:t>区域内主要水体（特别是国省考断面、水源地等）不得出现氟化物、挥发酚等特征污染物检出超标情况。</w:t>
            </w:r>
          </w:p>
        </w:tc>
        <w:tc>
          <w:tcPr>
            <w:tcW w:w="2944" w:type="dxa"/>
            <w:vAlign w:val="center"/>
          </w:tcPr>
          <w:p w14:paraId="1BB89216">
            <w:pPr>
              <w:adjustRightInd w:val="0"/>
              <w:snapToGrid w:val="0"/>
              <w:spacing w:line="300" w:lineRule="exact"/>
              <w:jc w:val="center"/>
              <w:rPr>
                <w:rFonts w:ascii="Times New Roman" w:eastAsia="仿宋"/>
              </w:rPr>
            </w:pPr>
            <w:r>
              <w:rPr>
                <w:rFonts w:hint="eastAsia" w:ascii="Times New Roman" w:eastAsia="仿宋"/>
              </w:rPr>
              <w:t>本项目所在区域内主要水体未出现上述情况。</w:t>
            </w:r>
          </w:p>
        </w:tc>
      </w:tr>
      <w:tr w14:paraId="41F1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dxa"/>
            <w:vAlign w:val="center"/>
          </w:tcPr>
          <w:p w14:paraId="18CC126C">
            <w:pPr>
              <w:adjustRightInd w:val="0"/>
              <w:snapToGrid w:val="0"/>
              <w:spacing w:line="300" w:lineRule="exact"/>
              <w:jc w:val="center"/>
              <w:rPr>
                <w:rFonts w:ascii="Times New Roman" w:eastAsia="仿宋"/>
              </w:rPr>
            </w:pPr>
            <w:r>
              <w:rPr>
                <w:rFonts w:hint="eastAsia" w:ascii="Times New Roman" w:eastAsia="仿宋"/>
              </w:rPr>
              <w:t>污水处理厂出水负责原则</w:t>
            </w:r>
          </w:p>
        </w:tc>
        <w:tc>
          <w:tcPr>
            <w:tcW w:w="5033" w:type="dxa"/>
            <w:vAlign w:val="center"/>
          </w:tcPr>
          <w:p w14:paraId="76F4DC75">
            <w:pPr>
              <w:adjustRightInd w:val="0"/>
              <w:snapToGrid w:val="0"/>
              <w:spacing w:line="300" w:lineRule="exact"/>
              <w:jc w:val="center"/>
              <w:rPr>
                <w:rFonts w:ascii="Times New Roman" w:eastAsia="仿宋"/>
              </w:rPr>
            </w:pPr>
            <w:r>
              <w:rPr>
                <w:rFonts w:hint="eastAsia" w:ascii="Times New Roman" w:eastAsia="仿宋"/>
              </w:rPr>
              <w:t>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tc>
        <w:tc>
          <w:tcPr>
            <w:tcW w:w="2944" w:type="dxa"/>
            <w:vAlign w:val="center"/>
          </w:tcPr>
          <w:p w14:paraId="1709F201">
            <w:pPr>
              <w:adjustRightInd w:val="0"/>
              <w:snapToGrid w:val="0"/>
              <w:spacing w:line="300" w:lineRule="exact"/>
              <w:jc w:val="center"/>
              <w:rPr>
                <w:rFonts w:ascii="Times New Roman" w:eastAsia="仿宋"/>
              </w:rPr>
            </w:pPr>
            <w:r>
              <w:rPr>
                <w:rFonts w:hint="eastAsia" w:ascii="Times New Roman" w:eastAsia="仿宋"/>
              </w:rPr>
              <w:t>本项目废水接管进入直溪污水处理厂，该污水厂及其运营单位，对出水水质负责，将积极参与纳管企业水质水量对污水处理设施正常运行影响的评估工作。</w:t>
            </w:r>
          </w:p>
        </w:tc>
      </w:tr>
    </w:tbl>
    <w:p w14:paraId="7B3E18BD">
      <w:pPr>
        <w:spacing w:line="500" w:lineRule="exact"/>
        <w:ind w:firstLine="562" w:firstLineChars="200"/>
        <w:rPr>
          <w:rFonts w:ascii="Times New Roman" w:eastAsia="仿宋"/>
          <w:b/>
          <w:sz w:val="28"/>
          <w:szCs w:val="28"/>
        </w:rPr>
      </w:pPr>
      <w:r>
        <w:rPr>
          <w:rFonts w:ascii="Times New Roman" w:eastAsia="仿宋"/>
          <w:b/>
          <w:sz w:val="28"/>
          <w:szCs w:val="28"/>
        </w:rPr>
        <w:t>19</w:t>
      </w:r>
      <w:r>
        <w:rPr>
          <w:rFonts w:hint="eastAsia" w:ascii="Times New Roman" w:eastAsia="仿宋"/>
          <w:b/>
          <w:sz w:val="28"/>
          <w:szCs w:val="28"/>
        </w:rPr>
        <w:t>、与关于印发《常州市铝镁金属粉尘企业安全生产专项治理行动方案》（常安办〔2024〕20号）的通知相符性分析</w:t>
      </w:r>
    </w:p>
    <w:p w14:paraId="1777D311">
      <w:pPr>
        <w:spacing w:line="500" w:lineRule="exact"/>
        <w:jc w:val="center"/>
        <w:rPr>
          <w:rFonts w:ascii="Times New Roman" w:eastAsia="仿宋"/>
          <w:b/>
          <w:bCs/>
        </w:rPr>
      </w:pPr>
      <w:r>
        <w:rPr>
          <w:rFonts w:hint="eastAsia" w:ascii="Times New Roman" w:eastAsia="仿宋"/>
          <w:b/>
          <w:bCs/>
        </w:rPr>
        <w:t>表2.7-16 与（常安办〔2024〕20号）相符性分析</w:t>
      </w:r>
    </w:p>
    <w:tbl>
      <w:tblPr>
        <w:tblStyle w:val="87"/>
        <w:tblW w:w="51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4704"/>
        <w:gridCol w:w="3346"/>
      </w:tblGrid>
      <w:tr w14:paraId="5623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07" w:type="pct"/>
            <w:vAlign w:val="center"/>
          </w:tcPr>
          <w:p w14:paraId="4CE07B08">
            <w:pPr>
              <w:adjustRightInd w:val="0"/>
              <w:snapToGrid w:val="0"/>
              <w:spacing w:line="300" w:lineRule="exact"/>
              <w:jc w:val="center"/>
              <w:rPr>
                <w:rFonts w:ascii="Times New Roman" w:eastAsia="仿宋"/>
              </w:rPr>
            </w:pPr>
            <w:r>
              <w:rPr>
                <w:rFonts w:ascii="Times New Roman" w:eastAsia="仿宋"/>
              </w:rPr>
              <w:t>类别</w:t>
            </w:r>
          </w:p>
        </w:tc>
        <w:tc>
          <w:tcPr>
            <w:tcW w:w="2566" w:type="pct"/>
            <w:vAlign w:val="center"/>
          </w:tcPr>
          <w:p w14:paraId="305C5921">
            <w:pPr>
              <w:adjustRightInd w:val="0"/>
              <w:snapToGrid w:val="0"/>
              <w:spacing w:line="300" w:lineRule="exact"/>
              <w:jc w:val="center"/>
              <w:rPr>
                <w:rFonts w:ascii="Times New Roman" w:eastAsia="仿宋"/>
              </w:rPr>
            </w:pPr>
            <w:r>
              <w:rPr>
                <w:rFonts w:ascii="Times New Roman" w:eastAsia="仿宋"/>
              </w:rPr>
              <w:t>文件要求</w:t>
            </w:r>
          </w:p>
        </w:tc>
        <w:tc>
          <w:tcPr>
            <w:tcW w:w="1825" w:type="pct"/>
            <w:vAlign w:val="center"/>
          </w:tcPr>
          <w:p w14:paraId="203AAAD3">
            <w:pPr>
              <w:adjustRightInd w:val="0"/>
              <w:snapToGrid w:val="0"/>
              <w:spacing w:line="300" w:lineRule="exact"/>
              <w:jc w:val="center"/>
              <w:rPr>
                <w:rFonts w:ascii="Times New Roman" w:eastAsia="仿宋"/>
              </w:rPr>
            </w:pPr>
            <w:r>
              <w:rPr>
                <w:rFonts w:hint="eastAsia" w:ascii="Times New Roman" w:eastAsia="仿宋"/>
              </w:rPr>
              <w:t>本项目</w:t>
            </w:r>
          </w:p>
        </w:tc>
      </w:tr>
      <w:tr w14:paraId="6528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07" w:type="pct"/>
            <w:vMerge w:val="restart"/>
            <w:vAlign w:val="center"/>
          </w:tcPr>
          <w:p w14:paraId="6335602F">
            <w:pPr>
              <w:adjustRightInd w:val="0"/>
              <w:snapToGrid w:val="0"/>
              <w:spacing w:line="300" w:lineRule="exact"/>
              <w:jc w:val="center"/>
              <w:rPr>
                <w:rFonts w:ascii="Times New Roman" w:eastAsia="仿宋"/>
              </w:rPr>
            </w:pPr>
            <w:r>
              <w:rPr>
                <w:rFonts w:hint="eastAsia" w:ascii="Times New Roman" w:eastAsia="仿宋"/>
              </w:rPr>
              <w:t>治理重点</w:t>
            </w:r>
          </w:p>
        </w:tc>
        <w:tc>
          <w:tcPr>
            <w:tcW w:w="2566" w:type="pct"/>
            <w:vAlign w:val="center"/>
          </w:tcPr>
          <w:p w14:paraId="55F28639">
            <w:pPr>
              <w:adjustRightInd w:val="0"/>
              <w:snapToGrid w:val="0"/>
              <w:spacing w:line="300" w:lineRule="exact"/>
              <w:jc w:val="left"/>
              <w:rPr>
                <w:rFonts w:ascii="Times New Roman" w:eastAsia="仿宋"/>
              </w:rPr>
            </w:pPr>
            <w:r>
              <w:rPr>
                <w:rFonts w:hint="eastAsia" w:ascii="Times New Roman" w:eastAsia="仿宋"/>
              </w:rPr>
              <w:t>（一）除尘工艺“应湿尽湿”</w:t>
            </w:r>
          </w:p>
          <w:p w14:paraId="058B5217">
            <w:pPr>
              <w:adjustRightInd w:val="0"/>
              <w:snapToGrid w:val="0"/>
              <w:spacing w:line="300" w:lineRule="exact"/>
              <w:jc w:val="left"/>
              <w:rPr>
                <w:rFonts w:ascii="Times New Roman" w:eastAsia="仿宋"/>
              </w:rPr>
            </w:pPr>
            <w:r>
              <w:rPr>
                <w:rFonts w:hint="eastAsia" w:ascii="Times New Roman" w:eastAsia="仿宋"/>
              </w:rPr>
              <w:t>1.打磨抛光工序能使用湿式打磨的必须使用湿式。打磨抛光除尘系统除采用可靠惰化措施外必须采用湿式除尘方式。抛丸工序采用干式除尘方式的，需采取可靠的控爆措施，并经省级专家评估论证。</w:t>
            </w:r>
          </w:p>
          <w:p w14:paraId="1BAFDF6A">
            <w:pPr>
              <w:adjustRightInd w:val="0"/>
              <w:snapToGrid w:val="0"/>
              <w:spacing w:line="300" w:lineRule="exact"/>
              <w:jc w:val="left"/>
              <w:rPr>
                <w:rFonts w:ascii="Times New Roman" w:eastAsia="仿宋"/>
              </w:rPr>
            </w:pPr>
            <w:r>
              <w:rPr>
                <w:rFonts w:hint="eastAsia" w:ascii="Times New Roman" w:eastAsia="仿宋"/>
              </w:rPr>
              <w:t>2.严禁湿式打磨、湿式除尘干式或缺水运行，供水系统必须安装水液位、流速监测报警装置，并与主体设备连锁，确保缺水停机。</w:t>
            </w:r>
          </w:p>
        </w:tc>
        <w:tc>
          <w:tcPr>
            <w:tcW w:w="1825" w:type="pct"/>
            <w:vMerge w:val="restart"/>
            <w:vAlign w:val="center"/>
          </w:tcPr>
          <w:p w14:paraId="20FA3B06">
            <w:pPr>
              <w:adjustRightInd w:val="0"/>
              <w:snapToGrid w:val="0"/>
              <w:spacing w:line="300" w:lineRule="exact"/>
              <w:jc w:val="left"/>
              <w:rPr>
                <w:rFonts w:ascii="Times New Roman" w:eastAsia="仿宋"/>
              </w:rPr>
            </w:pPr>
            <w:r>
              <w:rPr>
                <w:rFonts w:hint="eastAsia" w:ascii="Times New Roman" w:eastAsia="仿宋"/>
              </w:rPr>
              <w:t>本项目打磨工序为人工手持打磨机于打磨房内进行，本项目打磨旨在打磨处理平坦表面和弯曲度小的焊接区域，不需进行湿式打磨，由于打磨房产生的铝粉尘采用密闭收集后进湿式除尘器处理后排放，湿式除尘器设置在厂房外部，与厂房之间采用实体墙进行隔离</w:t>
            </w:r>
          </w:p>
        </w:tc>
      </w:tr>
      <w:tr w14:paraId="3BE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07" w:type="pct"/>
            <w:vMerge w:val="continue"/>
            <w:vAlign w:val="center"/>
          </w:tcPr>
          <w:p w14:paraId="5EF0B1E0">
            <w:pPr>
              <w:adjustRightInd w:val="0"/>
              <w:snapToGrid w:val="0"/>
              <w:spacing w:line="300" w:lineRule="exact"/>
              <w:jc w:val="center"/>
              <w:rPr>
                <w:rFonts w:ascii="Times New Roman" w:eastAsia="仿宋"/>
              </w:rPr>
            </w:pPr>
          </w:p>
        </w:tc>
        <w:tc>
          <w:tcPr>
            <w:tcW w:w="2566" w:type="pct"/>
            <w:vAlign w:val="center"/>
          </w:tcPr>
          <w:p w14:paraId="4C00AB2D">
            <w:pPr>
              <w:adjustRightInd w:val="0"/>
              <w:snapToGrid w:val="0"/>
              <w:spacing w:line="300" w:lineRule="exact"/>
              <w:jc w:val="left"/>
              <w:rPr>
                <w:rFonts w:ascii="Times New Roman" w:eastAsia="仿宋"/>
              </w:rPr>
            </w:pPr>
            <w:r>
              <w:rPr>
                <w:rFonts w:hint="eastAsia" w:ascii="Times New Roman" w:eastAsia="仿宋"/>
              </w:rPr>
              <w:t>（二）互联互通管道“应拆尽拆”</w:t>
            </w:r>
          </w:p>
          <w:p w14:paraId="4DE7B4F5">
            <w:pPr>
              <w:adjustRightInd w:val="0"/>
              <w:snapToGrid w:val="0"/>
              <w:spacing w:line="300" w:lineRule="exact"/>
              <w:jc w:val="left"/>
              <w:rPr>
                <w:rFonts w:ascii="Times New Roman" w:eastAsia="仿宋"/>
              </w:rPr>
            </w:pPr>
            <w:r>
              <w:rPr>
                <w:rFonts w:hint="eastAsia" w:ascii="Times New Roman" w:eastAsia="仿宋"/>
              </w:rPr>
              <w:t>打磨抛光工位原则上不得通过收集管道相互连通</w:t>
            </w:r>
          </w:p>
          <w:p w14:paraId="715DE741">
            <w:pPr>
              <w:adjustRightInd w:val="0"/>
              <w:snapToGrid w:val="0"/>
              <w:spacing w:line="300" w:lineRule="exact"/>
              <w:jc w:val="left"/>
              <w:rPr>
                <w:rFonts w:ascii="Times New Roman" w:eastAsia="仿宋"/>
              </w:rPr>
            </w:pPr>
            <w:r>
              <w:rPr>
                <w:rFonts w:hint="eastAsia" w:ascii="Times New Roman" w:eastAsia="仿宋"/>
              </w:rPr>
              <w:t>推进除尘设备单机化，使用单机除尘和设备本体除尘的:不得再通过管道相互连通</w:t>
            </w:r>
          </w:p>
        </w:tc>
        <w:tc>
          <w:tcPr>
            <w:tcW w:w="1825" w:type="pct"/>
            <w:vMerge w:val="continue"/>
            <w:vAlign w:val="center"/>
          </w:tcPr>
          <w:p w14:paraId="795B9A6D">
            <w:pPr>
              <w:adjustRightInd w:val="0"/>
              <w:snapToGrid w:val="0"/>
              <w:spacing w:line="300" w:lineRule="exact"/>
              <w:jc w:val="left"/>
              <w:rPr>
                <w:rFonts w:ascii="Times New Roman" w:eastAsia="仿宋"/>
              </w:rPr>
            </w:pPr>
          </w:p>
        </w:tc>
      </w:tr>
      <w:tr w14:paraId="06E5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07" w:type="pct"/>
            <w:vMerge w:val="continue"/>
            <w:vAlign w:val="center"/>
          </w:tcPr>
          <w:p w14:paraId="72582887">
            <w:pPr>
              <w:adjustRightInd w:val="0"/>
              <w:snapToGrid w:val="0"/>
              <w:spacing w:line="300" w:lineRule="exact"/>
              <w:jc w:val="center"/>
              <w:rPr>
                <w:rFonts w:ascii="Times New Roman" w:eastAsia="仿宋"/>
              </w:rPr>
            </w:pPr>
          </w:p>
        </w:tc>
        <w:tc>
          <w:tcPr>
            <w:tcW w:w="2566" w:type="pct"/>
            <w:vAlign w:val="center"/>
          </w:tcPr>
          <w:p w14:paraId="4CD34EF0">
            <w:pPr>
              <w:adjustRightInd w:val="0"/>
              <w:snapToGrid w:val="0"/>
              <w:spacing w:line="300" w:lineRule="exact"/>
              <w:jc w:val="left"/>
              <w:rPr>
                <w:rFonts w:ascii="Times New Roman" w:eastAsia="仿宋"/>
              </w:rPr>
            </w:pPr>
            <w:r>
              <w:rPr>
                <w:rFonts w:hint="eastAsia" w:ascii="Times New Roman" w:eastAsia="仿宋"/>
              </w:rPr>
              <w:t>(三)危险场所和设备“应清尽清”</w:t>
            </w:r>
          </w:p>
          <w:p w14:paraId="4E2CC80B">
            <w:pPr>
              <w:adjustRightInd w:val="0"/>
              <w:snapToGrid w:val="0"/>
              <w:spacing w:line="300" w:lineRule="exact"/>
              <w:jc w:val="left"/>
              <w:rPr>
                <w:rFonts w:ascii="Times New Roman" w:eastAsia="仿宋"/>
              </w:rPr>
            </w:pPr>
            <w:r>
              <w:rPr>
                <w:rFonts w:hint="eastAsia" w:ascii="Times New Roman" w:eastAsia="仿宋"/>
              </w:rPr>
              <w:t>5.严禁铝镁金属粉尘企业违规设置在非框架结构的多层厂房内。</w:t>
            </w:r>
          </w:p>
          <w:p w14:paraId="38ACFC3D">
            <w:pPr>
              <w:adjustRightInd w:val="0"/>
              <w:snapToGrid w:val="0"/>
              <w:spacing w:line="300" w:lineRule="exact"/>
              <w:jc w:val="left"/>
              <w:rPr>
                <w:rFonts w:ascii="Times New Roman" w:eastAsia="仿宋"/>
              </w:rPr>
            </w:pPr>
            <w:r>
              <w:rPr>
                <w:rFonts w:hint="eastAsia" w:ascii="Times New Roman" w:eastAsia="仿宋"/>
              </w:rPr>
              <w:t>6.集中除尘器应布置在厂房外部，与厂房之间采用实体墙进行隔离。</w:t>
            </w:r>
          </w:p>
        </w:tc>
        <w:tc>
          <w:tcPr>
            <w:tcW w:w="1825" w:type="pct"/>
            <w:vMerge w:val="continue"/>
            <w:vAlign w:val="center"/>
          </w:tcPr>
          <w:p w14:paraId="2FB614A4">
            <w:pPr>
              <w:adjustRightInd w:val="0"/>
              <w:snapToGrid w:val="0"/>
              <w:spacing w:line="300" w:lineRule="exact"/>
              <w:jc w:val="left"/>
              <w:rPr>
                <w:rFonts w:ascii="Times New Roman" w:eastAsia="仿宋"/>
              </w:rPr>
            </w:pPr>
          </w:p>
        </w:tc>
      </w:tr>
    </w:tbl>
    <w:p w14:paraId="615B071C">
      <w:pPr>
        <w:spacing w:line="500" w:lineRule="exact"/>
        <w:ind w:firstLine="562" w:firstLineChars="200"/>
        <w:rPr>
          <w:rFonts w:ascii="Times New Roman" w:eastAsia="仿宋"/>
          <w:b/>
          <w:sz w:val="28"/>
          <w:szCs w:val="28"/>
        </w:rPr>
      </w:pPr>
      <w:r>
        <w:rPr>
          <w:rFonts w:hint="eastAsia" w:ascii="Times New Roman" w:eastAsia="仿宋"/>
          <w:b/>
          <w:sz w:val="28"/>
          <w:szCs w:val="28"/>
        </w:rPr>
        <w:t>2</w:t>
      </w:r>
      <w:r>
        <w:rPr>
          <w:rFonts w:ascii="Times New Roman" w:eastAsia="仿宋"/>
          <w:b/>
          <w:sz w:val="28"/>
          <w:szCs w:val="28"/>
        </w:rPr>
        <w:t>0</w:t>
      </w:r>
      <w:r>
        <w:rPr>
          <w:rFonts w:hint="eastAsia" w:ascii="Times New Roman" w:eastAsia="仿宋"/>
          <w:b/>
          <w:sz w:val="28"/>
          <w:szCs w:val="28"/>
        </w:rPr>
        <w:t>、与</w:t>
      </w:r>
      <w:r>
        <w:rPr>
          <w:rFonts w:ascii="Times New Roman" w:eastAsia="仿宋"/>
          <w:b/>
          <w:sz w:val="28"/>
          <w:szCs w:val="28"/>
        </w:rPr>
        <w:t>与《省生态环境厅关于加强重点管控新污染物及优先控制化学品环 境管理工作的通知》（苏环办〔2023〕314号）相符性分析</w:t>
      </w:r>
    </w:p>
    <w:p w14:paraId="0A043EF9">
      <w:pPr>
        <w:spacing w:line="500" w:lineRule="exact"/>
        <w:jc w:val="center"/>
        <w:rPr>
          <w:rFonts w:ascii="Times New Roman" w:eastAsia="仿宋"/>
          <w:b/>
          <w:bCs/>
        </w:rPr>
      </w:pPr>
      <w:r>
        <w:rPr>
          <w:rFonts w:hint="eastAsia" w:ascii="Times New Roman" w:eastAsia="仿宋"/>
          <w:b/>
          <w:bCs/>
        </w:rPr>
        <w:t>表2.7-17 与（</w:t>
      </w:r>
      <w:r>
        <w:rPr>
          <w:rFonts w:ascii="Times New Roman" w:eastAsia="仿宋"/>
          <w:b/>
          <w:bCs/>
        </w:rPr>
        <w:t>苏环办〔2023〕314号</w:t>
      </w:r>
      <w:r>
        <w:rPr>
          <w:rFonts w:hint="eastAsia" w:ascii="Times New Roman" w:eastAsia="仿宋"/>
          <w:b/>
          <w:bCs/>
        </w:rPr>
        <w:t>）相符性分析</w:t>
      </w:r>
    </w:p>
    <w:tbl>
      <w:tblPr>
        <w:tblStyle w:val="87"/>
        <w:tblW w:w="51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4220"/>
        <w:gridCol w:w="3346"/>
      </w:tblGrid>
      <w:tr w14:paraId="25F6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0C6F9401">
            <w:pPr>
              <w:adjustRightInd w:val="0"/>
              <w:snapToGrid w:val="0"/>
              <w:spacing w:line="300" w:lineRule="exact"/>
              <w:jc w:val="center"/>
              <w:rPr>
                <w:rFonts w:ascii="Times New Roman" w:eastAsia="仿宋"/>
              </w:rPr>
            </w:pPr>
            <w:r>
              <w:rPr>
                <w:rFonts w:ascii="Times New Roman" w:eastAsia="仿宋"/>
              </w:rPr>
              <w:t>类别</w:t>
            </w:r>
          </w:p>
        </w:tc>
        <w:tc>
          <w:tcPr>
            <w:tcW w:w="2303" w:type="pct"/>
            <w:vAlign w:val="center"/>
          </w:tcPr>
          <w:p w14:paraId="17C56EDF">
            <w:pPr>
              <w:adjustRightInd w:val="0"/>
              <w:snapToGrid w:val="0"/>
              <w:spacing w:line="300" w:lineRule="exact"/>
              <w:jc w:val="center"/>
              <w:rPr>
                <w:rFonts w:ascii="Times New Roman" w:eastAsia="仿宋"/>
              </w:rPr>
            </w:pPr>
            <w:r>
              <w:rPr>
                <w:rFonts w:ascii="Times New Roman" w:eastAsia="仿宋"/>
              </w:rPr>
              <w:t>文件要求</w:t>
            </w:r>
          </w:p>
        </w:tc>
        <w:tc>
          <w:tcPr>
            <w:tcW w:w="1826" w:type="pct"/>
            <w:vAlign w:val="center"/>
          </w:tcPr>
          <w:p w14:paraId="31B771B8">
            <w:pPr>
              <w:adjustRightInd w:val="0"/>
              <w:snapToGrid w:val="0"/>
              <w:spacing w:line="300" w:lineRule="exact"/>
              <w:jc w:val="center"/>
              <w:rPr>
                <w:rFonts w:ascii="Times New Roman" w:eastAsia="仿宋"/>
              </w:rPr>
            </w:pPr>
            <w:r>
              <w:rPr>
                <w:rFonts w:hint="eastAsia" w:ascii="Times New Roman" w:eastAsia="仿宋"/>
              </w:rPr>
              <w:t>本项目</w:t>
            </w:r>
          </w:p>
        </w:tc>
      </w:tr>
      <w:tr w14:paraId="79BC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4B61A39A">
            <w:pPr>
              <w:adjustRightInd w:val="0"/>
              <w:snapToGrid w:val="0"/>
              <w:spacing w:line="300" w:lineRule="exact"/>
              <w:jc w:val="center"/>
              <w:rPr>
                <w:rFonts w:ascii="Times New Roman" w:eastAsia="仿宋"/>
              </w:rPr>
            </w:pPr>
            <w:r>
              <w:rPr>
                <w:rFonts w:ascii="Times New Roman" w:eastAsia="仿宋"/>
              </w:rPr>
              <w:t>落实《重点管控新污染物清单》环境风险管控措施</w:t>
            </w:r>
          </w:p>
        </w:tc>
        <w:tc>
          <w:tcPr>
            <w:tcW w:w="2303" w:type="pct"/>
            <w:vAlign w:val="center"/>
          </w:tcPr>
          <w:p w14:paraId="2F2E7A02">
            <w:pPr>
              <w:adjustRightInd w:val="0"/>
              <w:snapToGrid w:val="0"/>
              <w:spacing w:line="300" w:lineRule="exact"/>
              <w:jc w:val="center"/>
              <w:rPr>
                <w:rFonts w:ascii="Times New Roman" w:eastAsia="仿宋"/>
              </w:rPr>
            </w:pPr>
            <w:r>
              <w:rPr>
                <w:rFonts w:ascii="Times New Roman" w:eastAsia="仿宋"/>
              </w:rPr>
              <w:t>按照《重点管控新污染物清单（2023年版）》要求，对列入清单的重点管控新污染物，采取相应的禁止、限制、限排、环境监测、隐患排查</w:t>
            </w:r>
            <w:r>
              <w:rPr>
                <w:rFonts w:hint="eastAsia" w:ascii="Calibri" w:hAnsi="Calibri" w:eastAsia="仿宋" w:cs="Calibri"/>
              </w:rPr>
              <w:t>……</w:t>
            </w:r>
            <w:r>
              <w:rPr>
                <w:rFonts w:ascii="Times New Roman" w:eastAsia="仿宋"/>
              </w:rPr>
              <w:t>依法严厉打击已淘汰持久性有机污染物等管控物质的非法生产和加工使用行为。</w:t>
            </w:r>
          </w:p>
        </w:tc>
        <w:tc>
          <w:tcPr>
            <w:tcW w:w="1826" w:type="pct"/>
            <w:vAlign w:val="center"/>
          </w:tcPr>
          <w:p w14:paraId="7C824117">
            <w:pPr>
              <w:adjustRightInd w:val="0"/>
              <w:snapToGrid w:val="0"/>
              <w:spacing w:line="300" w:lineRule="exact"/>
              <w:jc w:val="left"/>
              <w:rPr>
                <w:rFonts w:ascii="Times New Roman" w:eastAsia="仿宋"/>
              </w:rPr>
            </w:pPr>
            <w:r>
              <w:rPr>
                <w:rFonts w:ascii="Times New Roman" w:eastAsia="仿宋"/>
              </w:rPr>
              <w:t>本项目建成后编制应急预案与风险评估报告并备案，落实环境风险管控措施；本项目不涉及已淘汰有机污染物的生产和使用。</w:t>
            </w:r>
          </w:p>
        </w:tc>
      </w:tr>
      <w:tr w14:paraId="72DC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4DA82F9A">
            <w:pPr>
              <w:adjustRightInd w:val="0"/>
              <w:snapToGrid w:val="0"/>
              <w:spacing w:line="300" w:lineRule="exact"/>
              <w:jc w:val="center"/>
              <w:rPr>
                <w:rFonts w:ascii="Times New Roman" w:eastAsia="仿宋"/>
              </w:rPr>
            </w:pPr>
            <w:r>
              <w:rPr>
                <w:rFonts w:ascii="Times New Roman" w:eastAsia="仿宋"/>
              </w:rPr>
              <w:t>落实《优先控制化学品名录》环境风险管控措施</w:t>
            </w:r>
          </w:p>
        </w:tc>
        <w:tc>
          <w:tcPr>
            <w:tcW w:w="2303" w:type="pct"/>
            <w:vAlign w:val="center"/>
          </w:tcPr>
          <w:p w14:paraId="4DB2FD87">
            <w:pPr>
              <w:adjustRightInd w:val="0"/>
              <w:snapToGrid w:val="0"/>
              <w:spacing w:line="300" w:lineRule="exact"/>
              <w:jc w:val="center"/>
              <w:rPr>
                <w:rFonts w:ascii="Times New Roman" w:eastAsia="仿宋"/>
              </w:rPr>
            </w:pPr>
            <w:r>
              <w:rPr>
                <w:rFonts w:ascii="Times New Roman" w:eastAsia="仿宋"/>
              </w:rPr>
              <w:t>对列入《优先控制化学品名录》的化学品，针对其产生环境与健康风险的主要环节，依据相关政策法规，结合经济技术可行性，</w:t>
            </w:r>
            <w:r>
              <w:rPr>
                <w:rFonts w:hint="eastAsia" w:ascii="Times New Roman" w:eastAsia="仿宋"/>
              </w:rPr>
              <w:t>……</w:t>
            </w:r>
            <w:r>
              <w:rPr>
                <w:rFonts w:ascii="Times New Roman" w:eastAsia="仿宋"/>
              </w:rPr>
              <w:t>会同有关部门每年至少组织开展一次跨部门联合检查。</w:t>
            </w:r>
          </w:p>
        </w:tc>
        <w:tc>
          <w:tcPr>
            <w:tcW w:w="1826" w:type="pct"/>
            <w:vAlign w:val="center"/>
          </w:tcPr>
          <w:p w14:paraId="6DB46130">
            <w:pPr>
              <w:adjustRightInd w:val="0"/>
              <w:snapToGrid w:val="0"/>
              <w:spacing w:line="300" w:lineRule="exact"/>
              <w:jc w:val="left"/>
              <w:rPr>
                <w:rFonts w:ascii="Times New Roman" w:eastAsia="仿宋"/>
              </w:rPr>
            </w:pPr>
            <w:r>
              <w:rPr>
                <w:rFonts w:ascii="Times New Roman" w:eastAsia="仿宋"/>
              </w:rPr>
              <w:t>本项目已建成后按规定申请排污许可；企业清洁生产可达到国内清洁生产先进水平。</w:t>
            </w:r>
          </w:p>
        </w:tc>
      </w:tr>
      <w:tr w14:paraId="18C8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0635724D">
            <w:pPr>
              <w:adjustRightInd w:val="0"/>
              <w:snapToGrid w:val="0"/>
              <w:spacing w:line="300" w:lineRule="exact"/>
              <w:jc w:val="center"/>
              <w:rPr>
                <w:rFonts w:ascii="Times New Roman" w:eastAsia="仿宋"/>
              </w:rPr>
            </w:pPr>
            <w:r>
              <w:rPr>
                <w:rFonts w:ascii="Times New Roman" w:eastAsia="仿宋"/>
              </w:rPr>
              <w:t>落实《有毒有害水污染物名录》《有毒有害大气污染物名录》要求。</w:t>
            </w:r>
          </w:p>
        </w:tc>
        <w:tc>
          <w:tcPr>
            <w:tcW w:w="2303" w:type="pct"/>
            <w:vAlign w:val="center"/>
          </w:tcPr>
          <w:p w14:paraId="549EE8D6">
            <w:pPr>
              <w:adjustRightInd w:val="0"/>
              <w:snapToGrid w:val="0"/>
              <w:spacing w:line="300" w:lineRule="exact"/>
              <w:jc w:val="center"/>
              <w:rPr>
                <w:rFonts w:ascii="Times New Roman" w:eastAsia="仿宋"/>
              </w:rPr>
            </w:pPr>
            <w:r>
              <w:rPr>
                <w:rFonts w:ascii="Times New Roman" w:eastAsia="仿宋"/>
              </w:rPr>
              <w:t>建立排放《有毒有害水污染物名录》所列有毒有害水污染物的企业事业单位和其他生产经营者清单。依据《中华人民共和国水污染防治法》，</w:t>
            </w:r>
            <w:r>
              <w:rPr>
                <w:rFonts w:hint="eastAsia" w:ascii="Times New Roman" w:eastAsia="仿宋"/>
              </w:rPr>
              <w:t>……</w:t>
            </w:r>
            <w:r>
              <w:rPr>
                <w:rFonts w:ascii="Times New Roman" w:eastAsia="仿宋"/>
              </w:rPr>
              <w:t>每年组织开展企业环境监测情 况及企业有毒有害水、大气污染物信息公开情况检 查。</w:t>
            </w:r>
          </w:p>
        </w:tc>
        <w:tc>
          <w:tcPr>
            <w:tcW w:w="1826" w:type="pct"/>
            <w:vAlign w:val="center"/>
          </w:tcPr>
          <w:p w14:paraId="0CA648AA">
            <w:pPr>
              <w:adjustRightInd w:val="0"/>
              <w:snapToGrid w:val="0"/>
              <w:spacing w:line="300" w:lineRule="exact"/>
              <w:jc w:val="left"/>
              <w:rPr>
                <w:rFonts w:ascii="Times New Roman" w:eastAsia="仿宋"/>
              </w:rPr>
            </w:pPr>
            <w:r>
              <w:rPr>
                <w:rFonts w:ascii="Times New Roman" w:eastAsia="仿宋"/>
              </w:rPr>
              <w:t>本项目不涉及含有毒有害水污染物的废水排放，对于有毒有害大气污染物的排放做到总量控制、定期监测。</w:t>
            </w:r>
          </w:p>
        </w:tc>
      </w:tr>
      <w:tr w14:paraId="0626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155EBA27">
            <w:pPr>
              <w:adjustRightInd w:val="0"/>
              <w:snapToGrid w:val="0"/>
              <w:spacing w:line="300" w:lineRule="exact"/>
              <w:jc w:val="center"/>
              <w:rPr>
                <w:rFonts w:ascii="Times New Roman" w:eastAsia="仿宋"/>
              </w:rPr>
            </w:pPr>
            <w:r>
              <w:rPr>
                <w:rFonts w:ascii="Times New Roman" w:eastAsia="仿宋"/>
              </w:rPr>
              <w:t>加强新化学物质环境管理</w:t>
            </w:r>
          </w:p>
        </w:tc>
        <w:tc>
          <w:tcPr>
            <w:tcW w:w="2303" w:type="pct"/>
            <w:vAlign w:val="center"/>
          </w:tcPr>
          <w:p w14:paraId="391572A2">
            <w:pPr>
              <w:adjustRightInd w:val="0"/>
              <w:snapToGrid w:val="0"/>
              <w:spacing w:line="300" w:lineRule="exact"/>
              <w:jc w:val="center"/>
              <w:rPr>
                <w:rFonts w:ascii="Times New Roman" w:eastAsia="仿宋"/>
              </w:rPr>
            </w:pPr>
            <w:r>
              <w:rPr>
                <w:rFonts w:ascii="Times New Roman" w:eastAsia="仿宋"/>
              </w:rPr>
              <w:t>依据《新化学物质环境管理登记办法》，监督相关企业事业单位落实相关要求，</w:t>
            </w:r>
            <w:r>
              <w:rPr>
                <w:rFonts w:hint="eastAsia" w:ascii="Times New Roman" w:eastAsia="仿宋"/>
              </w:rPr>
              <w:t>……</w:t>
            </w:r>
            <w:r>
              <w:rPr>
                <w:rFonts w:ascii="Times New Roman" w:eastAsia="仿宋"/>
              </w:rPr>
              <w:t>每年组织新化学物质环境管理登记执法检查活动并形成报告。</w:t>
            </w:r>
          </w:p>
        </w:tc>
        <w:tc>
          <w:tcPr>
            <w:tcW w:w="1826" w:type="pct"/>
            <w:vAlign w:val="center"/>
          </w:tcPr>
          <w:p w14:paraId="20830D1C">
            <w:pPr>
              <w:adjustRightInd w:val="0"/>
              <w:snapToGrid w:val="0"/>
              <w:spacing w:line="300" w:lineRule="exact"/>
              <w:jc w:val="left"/>
              <w:rPr>
                <w:rFonts w:ascii="Times New Roman" w:eastAsia="仿宋"/>
              </w:rPr>
            </w:pPr>
            <w:r>
              <w:rPr>
                <w:rFonts w:ascii="Times New Roman" w:eastAsia="仿宋"/>
              </w:rPr>
              <w:t>企业不涉及新化学物质的使用</w:t>
            </w:r>
            <w:r>
              <w:rPr>
                <w:rFonts w:hint="eastAsia" w:ascii="Times New Roman" w:eastAsia="仿宋"/>
              </w:rPr>
              <w:t>。</w:t>
            </w:r>
          </w:p>
        </w:tc>
      </w:tr>
      <w:tr w14:paraId="38D1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71" w:type="pct"/>
            <w:vAlign w:val="center"/>
          </w:tcPr>
          <w:p w14:paraId="5199CA96">
            <w:pPr>
              <w:adjustRightInd w:val="0"/>
              <w:snapToGrid w:val="0"/>
              <w:spacing w:line="300" w:lineRule="exact"/>
              <w:jc w:val="center"/>
              <w:rPr>
                <w:rFonts w:ascii="Times New Roman" w:eastAsia="仿宋"/>
              </w:rPr>
            </w:pPr>
            <w:r>
              <w:rPr>
                <w:rFonts w:ascii="Times New Roman" w:eastAsia="仿宋"/>
              </w:rPr>
              <w:t>加强相关企业清洁生产</w:t>
            </w:r>
          </w:p>
        </w:tc>
        <w:tc>
          <w:tcPr>
            <w:tcW w:w="2303" w:type="pct"/>
            <w:vAlign w:val="center"/>
          </w:tcPr>
          <w:p w14:paraId="7670A260">
            <w:pPr>
              <w:adjustRightInd w:val="0"/>
              <w:snapToGrid w:val="0"/>
              <w:spacing w:line="300" w:lineRule="exact"/>
              <w:jc w:val="center"/>
              <w:rPr>
                <w:rFonts w:ascii="Times New Roman" w:eastAsia="仿宋"/>
              </w:rPr>
            </w:pPr>
            <w:r>
              <w:rPr>
                <w:rFonts w:ascii="Times New Roman" w:eastAsia="仿宋"/>
              </w:rPr>
              <w:t>组织行政区域内生产、使用或排放《重点管控新污染 物清单》《优先控制化学品名录》所列化学物质的企业按要求实施强制性清洁生产审核，</w:t>
            </w:r>
            <w:r>
              <w:rPr>
                <w:rFonts w:hint="eastAsia" w:ascii="Times New Roman" w:eastAsia="仿宋"/>
              </w:rPr>
              <w:t>……</w:t>
            </w:r>
            <w:r>
              <w:rPr>
                <w:rFonts w:ascii="Times New Roman" w:eastAsia="仿宋"/>
              </w:rPr>
              <w:t>废农药以及抗生素生产过程中产 生的废母液、废反应基和废培养基等废物的收集利用处置要求。</w:t>
            </w:r>
          </w:p>
        </w:tc>
        <w:tc>
          <w:tcPr>
            <w:tcW w:w="1826" w:type="pct"/>
            <w:vAlign w:val="center"/>
          </w:tcPr>
          <w:p w14:paraId="447B68BF">
            <w:pPr>
              <w:adjustRightInd w:val="0"/>
              <w:snapToGrid w:val="0"/>
              <w:spacing w:line="300" w:lineRule="exact"/>
              <w:jc w:val="left"/>
              <w:rPr>
                <w:rFonts w:ascii="Times New Roman" w:eastAsia="仿宋"/>
              </w:rPr>
            </w:pPr>
            <w:r>
              <w:rPr>
                <w:rFonts w:ascii="Times New Roman" w:eastAsia="仿宋"/>
              </w:rPr>
              <w:t>企业清洁生产可达到国</w:t>
            </w:r>
            <w:r>
              <w:rPr>
                <w:rFonts w:hint="eastAsia" w:ascii="Times New Roman" w:eastAsia="仿宋"/>
              </w:rPr>
              <w:t>内先进</w:t>
            </w:r>
            <w:r>
              <w:rPr>
                <w:rFonts w:ascii="Times New Roman" w:eastAsia="仿宋"/>
              </w:rPr>
              <w:t>水平，本项目建成后进行清洁生产审核。企业生产过程中产生的废品均作为危废进行处置。</w:t>
            </w:r>
          </w:p>
        </w:tc>
      </w:tr>
    </w:tbl>
    <w:p w14:paraId="6889D464">
      <w:pPr>
        <w:pStyle w:val="6"/>
        <w:keepLines w:val="0"/>
        <w:tabs>
          <w:tab w:val="left" w:pos="709"/>
        </w:tabs>
        <w:spacing w:before="120" w:beforeLines="50" w:after="120" w:afterLines="50" w:line="500" w:lineRule="exact"/>
        <w:rPr>
          <w:rFonts w:ascii="Times New Roman" w:eastAsia="仿宋"/>
          <w:sz w:val="28"/>
          <w:szCs w:val="28"/>
        </w:rPr>
      </w:pPr>
      <w:r>
        <w:rPr>
          <w:rFonts w:hint="eastAsia" w:ascii="Times New Roman" w:eastAsia="仿宋"/>
          <w:sz w:val="28"/>
          <w:szCs w:val="28"/>
        </w:rPr>
        <w:t>2</w:t>
      </w:r>
      <w:r>
        <w:rPr>
          <w:rFonts w:ascii="Times New Roman" w:eastAsia="仿宋"/>
          <w:sz w:val="28"/>
          <w:szCs w:val="28"/>
        </w:rPr>
        <w:t>.7.3项目选址可行性</w:t>
      </w:r>
    </w:p>
    <w:p w14:paraId="665D1D02">
      <w:pPr>
        <w:pStyle w:val="7"/>
        <w:keepLines w:val="0"/>
        <w:widowControl/>
        <w:tabs>
          <w:tab w:val="left" w:pos="993"/>
        </w:tabs>
        <w:adjustRightInd w:val="0"/>
        <w:snapToGrid w:val="0"/>
        <w:spacing w:after="120" w:afterLines="50"/>
        <w:jc w:val="left"/>
        <w:rPr>
          <w:rFonts w:ascii="Times New Roman" w:hAnsi="Times New Roman" w:eastAsia="仿宋"/>
          <w:b/>
        </w:rPr>
      </w:pPr>
      <w:bookmarkStart w:id="167" w:name="_Toc115683464"/>
      <w:bookmarkStart w:id="168" w:name="_Toc119769986"/>
      <w:bookmarkStart w:id="169" w:name="_Toc63800069"/>
      <w:bookmarkStart w:id="170" w:name="_Toc188547651"/>
      <w:bookmarkStart w:id="171" w:name="_Toc47925370"/>
      <w:bookmarkStart w:id="172" w:name="_Toc113763565"/>
      <w:bookmarkStart w:id="173" w:name="_Toc58943028"/>
      <w:bookmarkStart w:id="174" w:name="_Toc113879063"/>
      <w:bookmarkStart w:id="175" w:name="_Toc61341435"/>
      <w:bookmarkStart w:id="176" w:name="_Toc103322901"/>
      <w:bookmarkStart w:id="177" w:name="_Toc61341607"/>
      <w:bookmarkStart w:id="178" w:name="_Toc104233085"/>
      <w:bookmarkStart w:id="179" w:name="_Toc103248194"/>
      <w:bookmarkStart w:id="180" w:name="_Toc103322739"/>
      <w:bookmarkStart w:id="181" w:name="_Toc184016151"/>
      <w:bookmarkStart w:id="182" w:name="_Toc188077377"/>
      <w:bookmarkStart w:id="183" w:name="_Toc66499402"/>
      <w:bookmarkStart w:id="184" w:name="_Toc61341174"/>
      <w:bookmarkStart w:id="185" w:name="_Toc184587282"/>
      <w:bookmarkStart w:id="186" w:name="_Toc113878797"/>
      <w:bookmarkStart w:id="187" w:name="_Toc81019914"/>
      <w:bookmarkStart w:id="188" w:name="_Toc103248383"/>
      <w:bookmarkStart w:id="189" w:name="_Toc63915932"/>
      <w:bookmarkStart w:id="190" w:name="_Toc113763452"/>
      <w:bookmarkStart w:id="191" w:name="_Toc84928137"/>
      <w:bookmarkStart w:id="192" w:name="_Toc103322649"/>
      <w:bookmarkStart w:id="193" w:name="_Toc184016029"/>
      <w:bookmarkStart w:id="194" w:name="_Toc188062869"/>
      <w:r>
        <w:rPr>
          <w:rFonts w:hint="eastAsia" w:ascii="Times New Roman" w:hAnsi="Times New Roman" w:eastAsia="仿宋"/>
          <w:b/>
        </w:rPr>
        <w:t>2</w:t>
      </w:r>
      <w:r>
        <w:rPr>
          <w:rFonts w:ascii="Times New Roman" w:hAnsi="Times New Roman" w:eastAsia="仿宋"/>
          <w:b/>
        </w:rPr>
        <w:t>.7.3.1三线一单”控制要求的相符性分析</w:t>
      </w:r>
    </w:p>
    <w:p w14:paraId="3698F086">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（1）根据《关于以改善环境质量为核心加强环境影响评价管理的通知》（环环评〔2016〕150号）</w:t>
      </w:r>
      <w:r>
        <w:rPr>
          <w:rFonts w:hint="eastAsia" w:ascii="Times New Roman" w:eastAsia="仿宋"/>
          <w:sz w:val="28"/>
          <w:szCs w:val="28"/>
        </w:rPr>
        <w:t>、《江苏省2023年度生态环境分区管控动态更新成果公告》（环办环评函﹝2023﹞81号）、《常州市生态环境</w:t>
      </w:r>
      <w:r>
        <w:rPr>
          <w:rFonts w:ascii="Times New Roman" w:eastAsia="仿宋"/>
          <w:sz w:val="28"/>
          <w:szCs w:val="28"/>
        </w:rPr>
        <w:t>分区管控动态更新成果</w:t>
      </w:r>
      <w:r>
        <w:rPr>
          <w:rFonts w:hint="eastAsia" w:ascii="Times New Roman" w:eastAsia="仿宋"/>
          <w:sz w:val="28"/>
          <w:szCs w:val="28"/>
        </w:rPr>
        <w:t>》</w:t>
      </w:r>
      <w:r>
        <w:rPr>
          <w:rFonts w:ascii="Times New Roman" w:eastAsia="仿宋"/>
          <w:sz w:val="28"/>
          <w:szCs w:val="28"/>
        </w:rPr>
        <w:t>（2023年版），对本项目建设进行“三线一单”符合性分析。</w:t>
      </w:r>
    </w:p>
    <w:p w14:paraId="5FD48549">
      <w:pPr>
        <w:spacing w:line="500" w:lineRule="exact"/>
        <w:jc w:val="center"/>
        <w:rPr>
          <w:rFonts w:ascii="Times New Roman" w:eastAsia="仿宋"/>
          <w:b/>
          <w:bCs/>
        </w:rPr>
      </w:pPr>
      <w:r>
        <w:rPr>
          <w:rFonts w:ascii="Times New Roman" w:eastAsia="仿宋"/>
          <w:b/>
          <w:bCs/>
        </w:rPr>
        <w:t>表2.7-1</w:t>
      </w:r>
      <w:r>
        <w:rPr>
          <w:rFonts w:hint="eastAsia" w:ascii="Times New Roman" w:eastAsia="仿宋"/>
          <w:b/>
          <w:bCs/>
        </w:rPr>
        <w:t>8</w:t>
      </w:r>
      <w:r>
        <w:rPr>
          <w:rFonts w:ascii="Times New Roman" w:eastAsia="仿宋"/>
          <w:b/>
          <w:bCs/>
        </w:rPr>
        <w:t xml:space="preserve">  本项目“三线一单”符合性分析</w:t>
      </w:r>
    </w:p>
    <w:tbl>
      <w:tblPr>
        <w:tblStyle w:val="87"/>
        <w:tblW w:w="5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589"/>
        <w:gridCol w:w="8062"/>
        <w:gridCol w:w="925"/>
      </w:tblGrid>
      <w:tr w14:paraId="4AC4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 w:type="pct"/>
            <w:tcMar>
              <w:left w:w="0" w:type="dxa"/>
              <w:right w:w="0" w:type="dxa"/>
            </w:tcMar>
            <w:vAlign w:val="center"/>
          </w:tcPr>
          <w:p w14:paraId="5D2D053A">
            <w:pPr>
              <w:adjustRightInd w:val="0"/>
              <w:snapToGrid w:val="0"/>
              <w:jc w:val="center"/>
              <w:rPr>
                <w:rFonts w:ascii="Times New Roman" w:eastAsia="仿宋"/>
                <w:bCs/>
              </w:rPr>
            </w:pPr>
            <w:r>
              <w:rPr>
                <w:rFonts w:ascii="Times New Roman" w:eastAsia="仿宋"/>
                <w:bCs/>
              </w:rPr>
              <w:t>序号</w:t>
            </w:r>
          </w:p>
        </w:tc>
        <w:tc>
          <w:tcPr>
            <w:tcW w:w="294" w:type="pct"/>
            <w:tcMar>
              <w:left w:w="0" w:type="dxa"/>
              <w:right w:w="0" w:type="dxa"/>
            </w:tcMar>
            <w:vAlign w:val="center"/>
          </w:tcPr>
          <w:p w14:paraId="24C3ECC2">
            <w:pPr>
              <w:adjustRightInd w:val="0"/>
              <w:snapToGrid w:val="0"/>
              <w:jc w:val="center"/>
              <w:rPr>
                <w:rFonts w:ascii="Times New Roman" w:eastAsia="仿宋"/>
                <w:bCs/>
              </w:rPr>
            </w:pPr>
            <w:r>
              <w:rPr>
                <w:rFonts w:ascii="Times New Roman" w:eastAsia="仿宋"/>
                <w:bCs/>
              </w:rPr>
              <w:t>判断类型</w:t>
            </w:r>
          </w:p>
        </w:tc>
        <w:tc>
          <w:tcPr>
            <w:tcW w:w="4026" w:type="pct"/>
            <w:tcMar>
              <w:left w:w="0" w:type="dxa"/>
              <w:right w:w="0" w:type="dxa"/>
            </w:tcMar>
            <w:vAlign w:val="center"/>
          </w:tcPr>
          <w:p w14:paraId="04C737EE">
            <w:pPr>
              <w:adjustRightInd w:val="0"/>
              <w:snapToGrid w:val="0"/>
              <w:jc w:val="center"/>
              <w:rPr>
                <w:rFonts w:ascii="Times New Roman" w:eastAsia="仿宋"/>
                <w:bCs/>
              </w:rPr>
            </w:pPr>
            <w:r>
              <w:rPr>
                <w:rFonts w:ascii="Times New Roman" w:eastAsia="仿宋"/>
                <w:bCs/>
              </w:rPr>
              <w:t>对照简析</w:t>
            </w:r>
          </w:p>
        </w:tc>
        <w:tc>
          <w:tcPr>
            <w:tcW w:w="462" w:type="pct"/>
            <w:tcMar>
              <w:left w:w="0" w:type="dxa"/>
              <w:right w:w="0" w:type="dxa"/>
            </w:tcMar>
            <w:vAlign w:val="center"/>
          </w:tcPr>
          <w:p w14:paraId="2204E1C3">
            <w:pPr>
              <w:adjustRightInd w:val="0"/>
              <w:snapToGrid w:val="0"/>
              <w:jc w:val="center"/>
              <w:rPr>
                <w:rFonts w:ascii="Times New Roman" w:eastAsia="仿宋"/>
                <w:bCs/>
              </w:rPr>
            </w:pPr>
            <w:r>
              <w:rPr>
                <w:rFonts w:ascii="Times New Roman" w:eastAsia="仿宋"/>
                <w:bCs/>
              </w:rPr>
              <w:t>本项目是否满足要求</w:t>
            </w:r>
          </w:p>
        </w:tc>
      </w:tr>
      <w:tr w14:paraId="398A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 w:type="pct"/>
            <w:tcMar>
              <w:left w:w="0" w:type="dxa"/>
              <w:right w:w="0" w:type="dxa"/>
            </w:tcMar>
            <w:vAlign w:val="center"/>
          </w:tcPr>
          <w:p w14:paraId="5C9BAEFC">
            <w:pPr>
              <w:adjustRightInd w:val="0"/>
              <w:snapToGrid w:val="0"/>
              <w:jc w:val="center"/>
              <w:rPr>
                <w:rFonts w:ascii="Times New Roman" w:eastAsia="仿宋"/>
                <w:bCs/>
              </w:rPr>
            </w:pPr>
            <w:r>
              <w:rPr>
                <w:rFonts w:ascii="Times New Roman" w:eastAsia="仿宋"/>
                <w:bCs/>
              </w:rPr>
              <w:t>1</w:t>
            </w:r>
          </w:p>
        </w:tc>
        <w:tc>
          <w:tcPr>
            <w:tcW w:w="294" w:type="pct"/>
            <w:tcMar>
              <w:left w:w="0" w:type="dxa"/>
              <w:right w:w="0" w:type="dxa"/>
            </w:tcMar>
            <w:vAlign w:val="center"/>
          </w:tcPr>
          <w:p w14:paraId="2985728F">
            <w:pPr>
              <w:adjustRightInd w:val="0"/>
              <w:snapToGrid w:val="0"/>
              <w:jc w:val="center"/>
              <w:rPr>
                <w:rFonts w:ascii="Times New Roman" w:eastAsia="仿宋"/>
                <w:bCs/>
              </w:rPr>
            </w:pPr>
            <w:r>
              <w:rPr>
                <w:rFonts w:ascii="Times New Roman" w:eastAsia="仿宋"/>
                <w:bCs/>
              </w:rPr>
              <w:t>生态保护红线</w:t>
            </w:r>
          </w:p>
        </w:tc>
        <w:tc>
          <w:tcPr>
            <w:tcW w:w="4026" w:type="pct"/>
            <w:tcMar>
              <w:left w:w="0" w:type="dxa"/>
              <w:right w:w="0" w:type="dxa"/>
            </w:tcMar>
            <w:vAlign w:val="center"/>
          </w:tcPr>
          <w:p w14:paraId="74B73634">
            <w:pPr>
              <w:adjustRightInd w:val="0"/>
              <w:snapToGrid w:val="0"/>
              <w:jc w:val="center"/>
              <w:rPr>
                <w:rFonts w:ascii="Times New Roman" w:eastAsia="仿宋"/>
                <w:bCs/>
              </w:rPr>
            </w:pPr>
            <w:r>
              <w:rPr>
                <w:rFonts w:ascii="Times New Roman" w:eastAsia="仿宋"/>
                <w:bCs/>
              </w:rPr>
              <w:t>根据《省政府关于印发江苏省生态空间管控区域规划的通知》（苏政发〔2020〕1号）及《省政府关于印发江苏省国家级生态保护红线规划的通知》（苏政发〔2018〕74号），本项目位于</w:t>
            </w:r>
            <w:r>
              <w:rPr>
                <w:rFonts w:ascii="Times New Roman" w:eastAsia="仿宋"/>
                <w:kern w:val="32"/>
              </w:rPr>
              <w:t>常州市金坛区朱林镇永兴路68号</w:t>
            </w:r>
            <w:r>
              <w:rPr>
                <w:rFonts w:ascii="Times New Roman" w:eastAsia="仿宋"/>
                <w:bCs/>
              </w:rPr>
              <w:t>，距</w:t>
            </w:r>
            <w:r>
              <w:rPr>
                <w:rFonts w:ascii="Times New Roman" w:eastAsia="仿宋"/>
                <w:szCs w:val="21"/>
              </w:rPr>
              <w:t>天荒湖重要渔业水域</w:t>
            </w:r>
            <w:r>
              <w:rPr>
                <w:rFonts w:ascii="Times New Roman" w:eastAsia="仿宋"/>
                <w:bCs/>
              </w:rPr>
              <w:t>直线距离约9.3km，不在《江苏省生态空间管控区域规划》及《江苏省国家级生态保护红线规划》中规定的生态空间保护区域内。因此，本项目选址与生态空间管控区域规划相符。</w:t>
            </w:r>
          </w:p>
        </w:tc>
        <w:tc>
          <w:tcPr>
            <w:tcW w:w="462" w:type="pct"/>
            <w:tcMar>
              <w:left w:w="0" w:type="dxa"/>
              <w:right w:w="0" w:type="dxa"/>
            </w:tcMar>
            <w:vAlign w:val="center"/>
          </w:tcPr>
          <w:p w14:paraId="51434770">
            <w:pPr>
              <w:adjustRightInd w:val="0"/>
              <w:snapToGrid w:val="0"/>
              <w:jc w:val="center"/>
              <w:rPr>
                <w:rFonts w:ascii="Times New Roman" w:eastAsia="仿宋"/>
                <w:bCs/>
              </w:rPr>
            </w:pPr>
            <w:r>
              <w:rPr>
                <w:rFonts w:ascii="Times New Roman" w:eastAsia="仿宋"/>
                <w:bCs/>
              </w:rPr>
              <w:t>满足</w:t>
            </w:r>
          </w:p>
        </w:tc>
      </w:tr>
      <w:tr w14:paraId="03BA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 w:type="pct"/>
            <w:tcMar>
              <w:left w:w="0" w:type="dxa"/>
              <w:right w:w="0" w:type="dxa"/>
            </w:tcMar>
            <w:vAlign w:val="center"/>
          </w:tcPr>
          <w:p w14:paraId="5F0F24F9">
            <w:pPr>
              <w:adjustRightInd w:val="0"/>
              <w:snapToGrid w:val="0"/>
              <w:jc w:val="center"/>
              <w:rPr>
                <w:rFonts w:ascii="Times New Roman" w:eastAsia="仿宋"/>
                <w:bCs/>
              </w:rPr>
            </w:pPr>
            <w:r>
              <w:rPr>
                <w:rFonts w:ascii="Times New Roman" w:eastAsia="仿宋"/>
                <w:bCs/>
              </w:rPr>
              <w:t>2</w:t>
            </w:r>
          </w:p>
        </w:tc>
        <w:tc>
          <w:tcPr>
            <w:tcW w:w="294" w:type="pct"/>
            <w:tcMar>
              <w:left w:w="0" w:type="dxa"/>
              <w:right w:w="0" w:type="dxa"/>
            </w:tcMar>
            <w:vAlign w:val="center"/>
          </w:tcPr>
          <w:p w14:paraId="780596C6">
            <w:pPr>
              <w:adjustRightInd w:val="0"/>
              <w:snapToGrid w:val="0"/>
              <w:jc w:val="center"/>
              <w:rPr>
                <w:rFonts w:ascii="Times New Roman" w:eastAsia="仿宋"/>
                <w:bCs/>
              </w:rPr>
            </w:pPr>
            <w:r>
              <w:rPr>
                <w:rFonts w:ascii="Times New Roman" w:eastAsia="仿宋"/>
                <w:bCs/>
              </w:rPr>
              <w:t>环境质量底线</w:t>
            </w:r>
          </w:p>
        </w:tc>
        <w:tc>
          <w:tcPr>
            <w:tcW w:w="4026" w:type="pct"/>
            <w:tcMar>
              <w:left w:w="0" w:type="dxa"/>
              <w:right w:w="0" w:type="dxa"/>
            </w:tcMar>
            <w:vAlign w:val="center"/>
          </w:tcPr>
          <w:p w14:paraId="521CEE9F">
            <w:pPr>
              <w:adjustRightInd w:val="0"/>
              <w:snapToGrid w:val="0"/>
              <w:jc w:val="center"/>
              <w:rPr>
                <w:rFonts w:ascii="Times New Roman" w:eastAsia="仿宋"/>
                <w:bCs/>
              </w:rPr>
            </w:pPr>
            <w:r>
              <w:rPr>
                <w:rFonts w:ascii="Times New Roman" w:eastAsia="仿宋"/>
                <w:bCs/>
              </w:rPr>
              <w:t>根据《常州市生态环境状况公报（2023年）》中环境空气质量数据及现状监测结果可知，项目所在区域地表水、声环境质量能够满足相应功能区划要求，项目所在地大气环境O</w:t>
            </w:r>
            <w:r>
              <w:rPr>
                <w:rFonts w:ascii="Times New Roman" w:eastAsia="仿宋"/>
                <w:bCs/>
                <w:vertAlign w:val="subscript"/>
              </w:rPr>
              <w:t>3</w:t>
            </w:r>
            <w:r>
              <w:rPr>
                <w:rFonts w:ascii="Times New Roman" w:eastAsia="仿宋"/>
                <w:bCs/>
              </w:rPr>
              <w:t>、PM</w:t>
            </w:r>
            <w:r>
              <w:rPr>
                <w:rFonts w:ascii="Times New Roman" w:eastAsia="仿宋"/>
                <w:bCs/>
                <w:vertAlign w:val="subscript"/>
              </w:rPr>
              <w:t>2.5</w:t>
            </w:r>
            <w:r>
              <w:rPr>
                <w:rFonts w:ascii="Times New Roman" w:eastAsia="仿宋"/>
                <w:bCs/>
              </w:rPr>
              <w:t>超标，为不达标区。</w:t>
            </w:r>
          </w:p>
          <w:p w14:paraId="0446346D">
            <w:pPr>
              <w:adjustRightInd w:val="0"/>
              <w:snapToGrid w:val="0"/>
              <w:jc w:val="center"/>
              <w:rPr>
                <w:rFonts w:ascii="Times New Roman" w:eastAsia="仿宋"/>
                <w:bCs/>
              </w:rPr>
            </w:pPr>
            <w:r>
              <w:rPr>
                <w:rFonts w:ascii="Times New Roman" w:eastAsia="仿宋"/>
                <w:bCs/>
              </w:rPr>
              <w:t>本项目位于工业园区内，本项目废气经合理收集处理后达标排放，通过预测分析，本项目废气因子排放对周围保护目标影响较小，均未超过各因子的环境质量标准。因此，项目排放的大气污染物对周围空气环境影响较小。本项目防治措施可行，新增污染物排放在区域内减量替代，在实施区域削减方案后，大气环境质量状况可以得到整体改善。根据现状监测结果可知，项目所在区域大气、地表水、声、土壤环境质量能够满足相应功能区划要求，地下水环境质量符合对应质量标准。本项目无含氮磷生产废水排放，</w:t>
            </w:r>
            <w:r>
              <w:rPr>
                <w:rFonts w:hint="eastAsia" w:ascii="Times New Roman" w:eastAsia="仿宋"/>
                <w:bCs/>
              </w:rPr>
              <w:t>生产废水均经厂区污水处理站处理后与生活污水一同</w:t>
            </w:r>
            <w:r>
              <w:rPr>
                <w:rFonts w:ascii="Times New Roman" w:eastAsia="仿宋"/>
                <w:bCs/>
              </w:rPr>
              <w:t>接入市政污水管网进</w:t>
            </w:r>
            <w:r>
              <w:rPr>
                <w:rFonts w:hint="eastAsia" w:ascii="Times New Roman" w:eastAsia="仿宋"/>
                <w:bCs/>
              </w:rPr>
              <w:t>金坛区直溪污水处理厂</w:t>
            </w:r>
            <w:r>
              <w:rPr>
                <w:rFonts w:ascii="Times New Roman" w:eastAsia="仿宋"/>
                <w:bCs/>
              </w:rPr>
              <w:t>集中处理，对地表水无直接影响。本项目的建设对周边环境影响较小，建成后不会突破当地环境质量底线。</w:t>
            </w:r>
          </w:p>
        </w:tc>
        <w:tc>
          <w:tcPr>
            <w:tcW w:w="462" w:type="pct"/>
            <w:tcMar>
              <w:left w:w="0" w:type="dxa"/>
              <w:right w:w="0" w:type="dxa"/>
            </w:tcMar>
            <w:vAlign w:val="center"/>
          </w:tcPr>
          <w:p w14:paraId="75388B5C">
            <w:pPr>
              <w:adjustRightInd w:val="0"/>
              <w:snapToGrid w:val="0"/>
              <w:jc w:val="center"/>
              <w:rPr>
                <w:rFonts w:ascii="Times New Roman" w:eastAsia="仿宋"/>
                <w:bCs/>
              </w:rPr>
            </w:pPr>
            <w:r>
              <w:rPr>
                <w:rFonts w:ascii="Times New Roman" w:eastAsia="仿宋"/>
                <w:bCs/>
              </w:rPr>
              <w:t>满足</w:t>
            </w:r>
          </w:p>
        </w:tc>
      </w:tr>
      <w:tr w14:paraId="7365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 w:type="pct"/>
            <w:tcMar>
              <w:left w:w="0" w:type="dxa"/>
              <w:right w:w="0" w:type="dxa"/>
            </w:tcMar>
            <w:vAlign w:val="center"/>
          </w:tcPr>
          <w:p w14:paraId="3111330B">
            <w:pPr>
              <w:adjustRightInd w:val="0"/>
              <w:snapToGrid w:val="0"/>
              <w:jc w:val="center"/>
              <w:rPr>
                <w:rFonts w:ascii="Times New Roman" w:eastAsia="仿宋"/>
                <w:bCs/>
              </w:rPr>
            </w:pPr>
            <w:r>
              <w:rPr>
                <w:rFonts w:ascii="Times New Roman" w:eastAsia="仿宋"/>
                <w:bCs/>
              </w:rPr>
              <w:t>3</w:t>
            </w:r>
          </w:p>
        </w:tc>
        <w:tc>
          <w:tcPr>
            <w:tcW w:w="294" w:type="pct"/>
            <w:tcMar>
              <w:left w:w="0" w:type="dxa"/>
              <w:right w:w="0" w:type="dxa"/>
            </w:tcMar>
            <w:vAlign w:val="center"/>
          </w:tcPr>
          <w:p w14:paraId="11D9DB45">
            <w:pPr>
              <w:adjustRightInd w:val="0"/>
              <w:snapToGrid w:val="0"/>
              <w:jc w:val="center"/>
              <w:rPr>
                <w:rFonts w:ascii="Times New Roman" w:eastAsia="仿宋"/>
                <w:bCs/>
              </w:rPr>
            </w:pPr>
            <w:r>
              <w:rPr>
                <w:rFonts w:ascii="Times New Roman" w:eastAsia="仿宋"/>
                <w:bCs/>
              </w:rPr>
              <w:t>资源利用上线</w:t>
            </w:r>
          </w:p>
        </w:tc>
        <w:tc>
          <w:tcPr>
            <w:tcW w:w="4026" w:type="pct"/>
            <w:tcMar>
              <w:left w:w="0" w:type="dxa"/>
              <w:right w:w="0" w:type="dxa"/>
            </w:tcMar>
            <w:vAlign w:val="center"/>
          </w:tcPr>
          <w:p w14:paraId="2C6BD1FE">
            <w:pPr>
              <w:adjustRightInd w:val="0"/>
              <w:snapToGrid w:val="0"/>
              <w:jc w:val="center"/>
              <w:rPr>
                <w:rFonts w:ascii="Times New Roman" w:eastAsia="仿宋"/>
                <w:bCs/>
              </w:rPr>
            </w:pPr>
            <w:r>
              <w:rPr>
                <w:rFonts w:ascii="Times New Roman" w:eastAsia="仿宋"/>
                <w:bCs/>
              </w:rPr>
              <w:t>本项目国民经济行业类别属于“</w:t>
            </w:r>
            <w:r>
              <w:rPr>
                <w:rFonts w:hint="eastAsia" w:ascii="Times New Roman" w:eastAsia="仿宋"/>
                <w:bCs/>
              </w:rPr>
              <w:t>C3670汽车零部件及配件制造</w:t>
            </w:r>
            <w:r>
              <w:rPr>
                <w:rFonts w:ascii="Times New Roman" w:eastAsia="仿宋"/>
                <w:bCs/>
              </w:rPr>
              <w:t>”，不属于“两高一资”型企业，项目所在地不属于资源、能源紧缺区域；营运过程中所使用的资源能源主要为水、电</w:t>
            </w:r>
            <w:r>
              <w:rPr>
                <w:rFonts w:hint="eastAsia" w:ascii="Times New Roman" w:eastAsia="仿宋"/>
                <w:bCs/>
              </w:rPr>
              <w:t>、天然气</w:t>
            </w:r>
            <w:r>
              <w:rPr>
                <w:rFonts w:ascii="Times New Roman" w:eastAsia="仿宋"/>
                <w:bCs/>
              </w:rPr>
              <w:t>。本项目所在地水资源丰富，可满足项目用水需求；电力资源由当地电网公司输送，区域供电能力及现有厂内电器设施可以满足本项目用电需求，</w:t>
            </w:r>
            <w:r>
              <w:rPr>
                <w:rFonts w:hint="eastAsia" w:ascii="Times New Roman" w:eastAsia="仿宋"/>
                <w:bCs/>
              </w:rPr>
              <w:t>天然气由当地天然气公司输送，</w:t>
            </w:r>
            <w:r>
              <w:rPr>
                <w:rFonts w:ascii="Times New Roman" w:eastAsia="仿宋"/>
                <w:bCs/>
              </w:rPr>
              <w:t>符合资源利用上线相关要求。</w:t>
            </w:r>
          </w:p>
        </w:tc>
        <w:tc>
          <w:tcPr>
            <w:tcW w:w="462" w:type="pct"/>
            <w:tcMar>
              <w:left w:w="0" w:type="dxa"/>
              <w:right w:w="0" w:type="dxa"/>
            </w:tcMar>
            <w:vAlign w:val="center"/>
          </w:tcPr>
          <w:p w14:paraId="5CD4FE72">
            <w:pPr>
              <w:adjustRightInd w:val="0"/>
              <w:snapToGrid w:val="0"/>
              <w:jc w:val="center"/>
              <w:rPr>
                <w:rFonts w:ascii="Times New Roman" w:eastAsia="仿宋"/>
                <w:bCs/>
              </w:rPr>
            </w:pPr>
            <w:r>
              <w:rPr>
                <w:rFonts w:ascii="Times New Roman" w:eastAsia="仿宋"/>
                <w:bCs/>
              </w:rPr>
              <w:t>满足</w:t>
            </w:r>
          </w:p>
        </w:tc>
      </w:tr>
      <w:tr w14:paraId="73F8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 w:type="pct"/>
            <w:tcMar>
              <w:left w:w="0" w:type="dxa"/>
              <w:right w:w="0" w:type="dxa"/>
            </w:tcMar>
            <w:vAlign w:val="center"/>
          </w:tcPr>
          <w:p w14:paraId="4B10F9D1">
            <w:pPr>
              <w:adjustRightInd w:val="0"/>
              <w:snapToGrid w:val="0"/>
              <w:jc w:val="center"/>
              <w:rPr>
                <w:rFonts w:ascii="Times New Roman" w:eastAsia="仿宋"/>
                <w:bCs/>
              </w:rPr>
            </w:pPr>
            <w:r>
              <w:rPr>
                <w:rFonts w:ascii="Times New Roman" w:eastAsia="仿宋"/>
                <w:bCs/>
              </w:rPr>
              <w:t>4</w:t>
            </w:r>
          </w:p>
        </w:tc>
        <w:tc>
          <w:tcPr>
            <w:tcW w:w="294" w:type="pct"/>
            <w:tcMar>
              <w:left w:w="0" w:type="dxa"/>
              <w:right w:w="0" w:type="dxa"/>
            </w:tcMar>
            <w:vAlign w:val="center"/>
          </w:tcPr>
          <w:p w14:paraId="5C5305D6">
            <w:pPr>
              <w:adjustRightInd w:val="0"/>
              <w:snapToGrid w:val="0"/>
              <w:jc w:val="center"/>
              <w:rPr>
                <w:rFonts w:ascii="Times New Roman" w:eastAsia="仿宋"/>
                <w:bCs/>
              </w:rPr>
            </w:pPr>
            <w:r>
              <w:rPr>
                <w:rFonts w:ascii="Times New Roman" w:eastAsia="仿宋"/>
                <w:bCs/>
              </w:rPr>
              <w:t>环境准入负面清单</w:t>
            </w:r>
          </w:p>
        </w:tc>
        <w:tc>
          <w:tcPr>
            <w:tcW w:w="4026" w:type="pct"/>
            <w:tcMar>
              <w:left w:w="0" w:type="dxa"/>
              <w:right w:w="0" w:type="dxa"/>
            </w:tcMar>
            <w:vAlign w:val="center"/>
          </w:tcPr>
          <w:p w14:paraId="08705074">
            <w:pPr>
              <w:adjustRightInd w:val="0"/>
              <w:snapToGrid w:val="0"/>
              <w:jc w:val="center"/>
              <w:rPr>
                <w:rFonts w:ascii="Times New Roman" w:eastAsia="仿宋"/>
                <w:bCs/>
              </w:rPr>
            </w:pPr>
            <w:r>
              <w:rPr>
                <w:rFonts w:ascii="Times New Roman" w:eastAsia="仿宋"/>
                <w:bCs/>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禁止准入类和限准入类，不在《</w:t>
            </w:r>
            <w:r>
              <w:rPr>
                <w:rFonts w:hint="eastAsia" w:ascii="Times New Roman" w:eastAsia="仿宋"/>
              </w:rPr>
              <w:t>《江苏省两高项目管理目录（2024年版）》（苏发改规发[2024]4号）</w:t>
            </w:r>
            <w:r>
              <w:rPr>
                <w:rFonts w:ascii="Times New Roman" w:eastAsia="仿宋"/>
                <w:bCs/>
              </w:rPr>
              <w:t>项目管理目录中，此本项目符合环境准入负面清单相关要求。</w:t>
            </w:r>
          </w:p>
        </w:tc>
        <w:tc>
          <w:tcPr>
            <w:tcW w:w="462" w:type="pct"/>
            <w:tcMar>
              <w:left w:w="0" w:type="dxa"/>
              <w:right w:w="0" w:type="dxa"/>
            </w:tcMar>
            <w:vAlign w:val="center"/>
          </w:tcPr>
          <w:p w14:paraId="05C83DFA">
            <w:pPr>
              <w:adjustRightInd w:val="0"/>
              <w:snapToGrid w:val="0"/>
              <w:jc w:val="center"/>
              <w:rPr>
                <w:rFonts w:ascii="Times New Roman" w:eastAsia="仿宋"/>
                <w:bCs/>
              </w:rPr>
            </w:pPr>
            <w:r>
              <w:rPr>
                <w:rFonts w:ascii="Times New Roman" w:eastAsia="仿宋"/>
                <w:bCs/>
              </w:rPr>
              <w:t>满足</w:t>
            </w:r>
          </w:p>
        </w:tc>
      </w:tr>
    </w:tbl>
    <w:p w14:paraId="617E4F32">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（2）与《省政府关于印发江苏省“三线一单”生态环境分区管控方案的通知》（苏政发〔2020〕49号）</w:t>
      </w:r>
      <w:r>
        <w:rPr>
          <w:rFonts w:hint="eastAsia" w:ascii="Times New Roman" w:eastAsia="仿宋"/>
          <w:sz w:val="28"/>
          <w:szCs w:val="28"/>
        </w:rPr>
        <w:t>、《江苏省2023年度生态环境分区管控动态更新成果公告》（环办环评函﹝2023﹞81号）及《常州市生态环境</w:t>
      </w:r>
      <w:r>
        <w:rPr>
          <w:rFonts w:ascii="Times New Roman" w:eastAsia="仿宋"/>
          <w:sz w:val="28"/>
          <w:szCs w:val="28"/>
        </w:rPr>
        <w:t>分区管控动态更新成果</w:t>
      </w:r>
      <w:r>
        <w:rPr>
          <w:rFonts w:hint="eastAsia" w:ascii="Times New Roman" w:eastAsia="仿宋"/>
          <w:sz w:val="28"/>
          <w:szCs w:val="28"/>
        </w:rPr>
        <w:t>》</w:t>
      </w:r>
      <w:r>
        <w:rPr>
          <w:rFonts w:ascii="Times New Roman" w:eastAsia="仿宋"/>
          <w:sz w:val="28"/>
          <w:szCs w:val="28"/>
        </w:rPr>
        <w:t>（2023年版）符合性分析</w:t>
      </w:r>
    </w:p>
    <w:p w14:paraId="4E9D1193">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本项目位于常州市金坛区朱林镇永兴路68号，对照江苏省重点区域（流域）生态环境分区管控要求，具体分析如下表。</w:t>
      </w:r>
    </w:p>
    <w:p w14:paraId="1E5D5214">
      <w:pPr>
        <w:spacing w:line="500" w:lineRule="exact"/>
        <w:jc w:val="center"/>
        <w:rPr>
          <w:rFonts w:ascii="Times New Roman" w:eastAsia="仿宋"/>
          <w:b/>
          <w:bCs/>
        </w:rPr>
      </w:pPr>
      <w:r>
        <w:rPr>
          <w:rFonts w:ascii="Times New Roman" w:eastAsia="仿宋"/>
          <w:b/>
          <w:bCs/>
        </w:rPr>
        <w:t>表2.7-1</w:t>
      </w:r>
      <w:r>
        <w:rPr>
          <w:rFonts w:hint="eastAsia" w:ascii="Times New Roman" w:eastAsia="仿宋"/>
          <w:b/>
          <w:bCs/>
        </w:rPr>
        <w:t>9</w:t>
      </w:r>
      <w:r>
        <w:rPr>
          <w:rFonts w:ascii="Times New Roman" w:eastAsia="仿宋"/>
          <w:b/>
          <w:bCs/>
        </w:rPr>
        <w:t xml:space="preserve">  江苏省重点区域（长江流域）生态环境分区管控要求对照分析</w:t>
      </w:r>
    </w:p>
    <w:tbl>
      <w:tblPr>
        <w:tblStyle w:val="8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4966"/>
        <w:gridCol w:w="2678"/>
        <w:gridCol w:w="992"/>
      </w:tblGrid>
      <w:tr w14:paraId="6171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dxa"/>
            <w:vAlign w:val="center"/>
          </w:tcPr>
          <w:p w14:paraId="26BFE6C4">
            <w:pPr>
              <w:adjustRightInd w:val="0"/>
              <w:snapToGrid w:val="0"/>
              <w:jc w:val="center"/>
              <w:rPr>
                <w:rFonts w:ascii="Times New Roman" w:eastAsia="仿宋"/>
                <w:bCs/>
              </w:rPr>
            </w:pPr>
            <w:r>
              <w:rPr>
                <w:rFonts w:ascii="Times New Roman" w:eastAsia="仿宋"/>
                <w:bCs/>
              </w:rPr>
              <w:t>管控</w:t>
            </w:r>
          </w:p>
          <w:p w14:paraId="53BDBE47">
            <w:pPr>
              <w:adjustRightInd w:val="0"/>
              <w:snapToGrid w:val="0"/>
              <w:jc w:val="center"/>
              <w:rPr>
                <w:rFonts w:ascii="Times New Roman" w:eastAsia="仿宋"/>
                <w:bCs/>
              </w:rPr>
            </w:pPr>
            <w:r>
              <w:rPr>
                <w:rFonts w:ascii="Times New Roman" w:eastAsia="仿宋"/>
                <w:bCs/>
              </w:rPr>
              <w:t>类别</w:t>
            </w:r>
          </w:p>
        </w:tc>
        <w:tc>
          <w:tcPr>
            <w:tcW w:w="4966" w:type="dxa"/>
            <w:vAlign w:val="center"/>
          </w:tcPr>
          <w:p w14:paraId="531A34FC">
            <w:pPr>
              <w:adjustRightInd w:val="0"/>
              <w:snapToGrid w:val="0"/>
              <w:jc w:val="center"/>
              <w:rPr>
                <w:rFonts w:ascii="Times New Roman" w:eastAsia="仿宋"/>
                <w:bCs/>
              </w:rPr>
            </w:pPr>
            <w:r>
              <w:rPr>
                <w:rFonts w:ascii="Times New Roman" w:eastAsia="仿宋"/>
                <w:bCs/>
              </w:rPr>
              <w:t>重点管控要求</w:t>
            </w:r>
          </w:p>
        </w:tc>
        <w:tc>
          <w:tcPr>
            <w:tcW w:w="2678" w:type="dxa"/>
            <w:vAlign w:val="center"/>
          </w:tcPr>
          <w:p w14:paraId="07C17D94">
            <w:pPr>
              <w:adjustRightInd w:val="0"/>
              <w:snapToGrid w:val="0"/>
              <w:jc w:val="center"/>
              <w:rPr>
                <w:rFonts w:ascii="Times New Roman" w:eastAsia="仿宋"/>
                <w:bCs/>
              </w:rPr>
            </w:pPr>
            <w:r>
              <w:rPr>
                <w:rFonts w:ascii="Times New Roman" w:eastAsia="仿宋"/>
                <w:bCs/>
              </w:rPr>
              <w:t>本项目情况</w:t>
            </w:r>
          </w:p>
        </w:tc>
        <w:tc>
          <w:tcPr>
            <w:tcW w:w="992" w:type="dxa"/>
            <w:vAlign w:val="center"/>
          </w:tcPr>
          <w:p w14:paraId="4C5D9EAC">
            <w:pPr>
              <w:adjustRightInd w:val="0"/>
              <w:snapToGrid w:val="0"/>
              <w:jc w:val="center"/>
              <w:rPr>
                <w:rFonts w:ascii="Times New Roman" w:eastAsia="仿宋"/>
                <w:bCs/>
              </w:rPr>
            </w:pPr>
            <w:r>
              <w:rPr>
                <w:rFonts w:ascii="Times New Roman" w:eastAsia="仿宋"/>
                <w:bCs/>
              </w:rPr>
              <w:t>符合性</w:t>
            </w:r>
          </w:p>
        </w:tc>
      </w:tr>
      <w:tr w14:paraId="429A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dxa"/>
            <w:vAlign w:val="center"/>
          </w:tcPr>
          <w:p w14:paraId="56FA3880">
            <w:pPr>
              <w:adjustRightInd w:val="0"/>
              <w:snapToGrid w:val="0"/>
              <w:jc w:val="center"/>
              <w:rPr>
                <w:rFonts w:ascii="Times New Roman" w:eastAsia="仿宋"/>
                <w:bCs/>
              </w:rPr>
            </w:pPr>
            <w:r>
              <w:rPr>
                <w:rFonts w:ascii="Times New Roman" w:eastAsia="仿宋"/>
                <w:bCs/>
              </w:rPr>
              <w:t>空间布局约束</w:t>
            </w:r>
          </w:p>
        </w:tc>
        <w:tc>
          <w:tcPr>
            <w:tcW w:w="4966" w:type="dxa"/>
            <w:vAlign w:val="center"/>
          </w:tcPr>
          <w:p w14:paraId="2D22F233">
            <w:pPr>
              <w:adjustRightInd w:val="0"/>
              <w:snapToGrid w:val="0"/>
              <w:rPr>
                <w:rFonts w:ascii="Times New Roman" w:eastAsia="仿宋"/>
                <w:bCs/>
              </w:rPr>
            </w:pPr>
            <w:r>
              <w:rPr>
                <w:rFonts w:ascii="Times New Roman" w:eastAsia="仿宋"/>
                <w:bCs/>
              </w:rPr>
              <w:t>（1）始终把长江生态修复放在首位，坚持共抓大保护、不搞大开发，引导长江流域产业转型升级和布局优化调整，实现科学发展、有序发展、高质量发展。</w:t>
            </w:r>
          </w:p>
          <w:p w14:paraId="5765A9EE">
            <w:pPr>
              <w:adjustRightInd w:val="0"/>
              <w:snapToGrid w:val="0"/>
              <w:rPr>
                <w:rFonts w:ascii="Times New Roman" w:eastAsia="仿宋"/>
                <w:bCs/>
              </w:rPr>
            </w:pPr>
            <w:r>
              <w:rPr>
                <w:rFonts w:ascii="Times New Roman" w:eastAsia="仿宋"/>
                <w:bCs/>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743EFBA">
            <w:pPr>
              <w:adjustRightInd w:val="0"/>
              <w:snapToGrid w:val="0"/>
              <w:rPr>
                <w:rFonts w:ascii="Times New Roman" w:eastAsia="仿宋"/>
                <w:bCs/>
              </w:rPr>
            </w:pPr>
            <w:r>
              <w:rPr>
                <w:rFonts w:ascii="Times New Roman" w:eastAsia="仿宋"/>
                <w:bCs/>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3C654785">
            <w:pPr>
              <w:adjustRightInd w:val="0"/>
              <w:snapToGrid w:val="0"/>
              <w:rPr>
                <w:rFonts w:ascii="Times New Roman" w:eastAsia="仿宋"/>
                <w:bCs/>
              </w:rPr>
            </w:pPr>
            <w:r>
              <w:rPr>
                <w:rFonts w:ascii="Times New Roman" w:eastAsia="仿宋"/>
                <w:bCs/>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182A08A5">
            <w:pPr>
              <w:adjustRightInd w:val="0"/>
              <w:snapToGrid w:val="0"/>
              <w:rPr>
                <w:rFonts w:ascii="Times New Roman" w:eastAsia="仿宋"/>
                <w:bCs/>
              </w:rPr>
            </w:pPr>
            <w:r>
              <w:rPr>
                <w:rFonts w:ascii="Times New Roman" w:eastAsia="仿宋"/>
                <w:bCs/>
              </w:rPr>
              <w:t>（5）禁止新建独立焦化项目。</w:t>
            </w:r>
          </w:p>
        </w:tc>
        <w:tc>
          <w:tcPr>
            <w:tcW w:w="2678" w:type="dxa"/>
            <w:vAlign w:val="center"/>
          </w:tcPr>
          <w:p w14:paraId="51EEC9D7">
            <w:pPr>
              <w:adjustRightInd w:val="0"/>
              <w:snapToGrid w:val="0"/>
              <w:rPr>
                <w:rFonts w:ascii="Times New Roman" w:eastAsia="仿宋"/>
                <w:bCs/>
              </w:rPr>
            </w:pPr>
            <w:r>
              <w:rPr>
                <w:rFonts w:ascii="Times New Roman" w:eastAsia="仿宋"/>
                <w:bCs/>
              </w:rPr>
              <w:t>本项目的产品为汽车</w:t>
            </w:r>
            <w:r>
              <w:rPr>
                <w:rFonts w:hint="eastAsia" w:ascii="Times New Roman" w:eastAsia="仿宋"/>
                <w:bCs/>
              </w:rPr>
              <w:t>铝单板</w:t>
            </w:r>
            <w:r>
              <w:rPr>
                <w:rFonts w:ascii="Times New Roman" w:eastAsia="仿宋"/>
                <w:bCs/>
              </w:rPr>
              <w:t>，国民经济行业类别属于“</w:t>
            </w:r>
            <w:r>
              <w:rPr>
                <w:rFonts w:hint="eastAsia" w:ascii="Times New Roman" w:eastAsia="仿宋"/>
                <w:bCs/>
              </w:rPr>
              <w:t>C3670汽车零部件及配件制造</w:t>
            </w:r>
            <w:r>
              <w:rPr>
                <w:rFonts w:ascii="Times New Roman" w:eastAsia="仿宋"/>
                <w:bCs/>
              </w:rPr>
              <w:t>”，</w:t>
            </w:r>
            <w:r>
              <w:rPr>
                <w:rFonts w:hint="eastAsia" w:ascii="Times New Roman" w:eastAsia="仿宋"/>
                <w:kern w:val="32"/>
              </w:rPr>
              <w:t>位于</w:t>
            </w:r>
            <w:r>
              <w:rPr>
                <w:rFonts w:ascii="Times New Roman" w:eastAsia="仿宋"/>
                <w:kern w:val="32"/>
              </w:rPr>
              <w:t>常州市金坛区朱林镇永兴路68号</w:t>
            </w:r>
            <w:r>
              <w:rPr>
                <w:rFonts w:ascii="Times New Roman" w:eastAsia="仿宋"/>
                <w:bCs/>
              </w:rPr>
              <w:t>，不在长江沿江1公里范围内，不涉及基本农田占用问题，不涉及新建港口及过江干线项目，不属于焦化项目。</w:t>
            </w:r>
          </w:p>
        </w:tc>
        <w:tc>
          <w:tcPr>
            <w:tcW w:w="992" w:type="dxa"/>
            <w:vAlign w:val="center"/>
          </w:tcPr>
          <w:p w14:paraId="0790C19E">
            <w:pPr>
              <w:adjustRightInd w:val="0"/>
              <w:snapToGrid w:val="0"/>
              <w:jc w:val="center"/>
              <w:rPr>
                <w:rFonts w:ascii="Times New Roman" w:eastAsia="仿宋"/>
                <w:bCs/>
              </w:rPr>
            </w:pPr>
            <w:r>
              <w:rPr>
                <w:rFonts w:ascii="Times New Roman" w:eastAsia="仿宋"/>
                <w:bCs/>
              </w:rPr>
              <w:t>符合</w:t>
            </w:r>
          </w:p>
        </w:tc>
      </w:tr>
      <w:tr w14:paraId="1E10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dxa"/>
            <w:vAlign w:val="center"/>
          </w:tcPr>
          <w:p w14:paraId="6D1576F4">
            <w:pPr>
              <w:adjustRightInd w:val="0"/>
              <w:snapToGrid w:val="0"/>
              <w:jc w:val="center"/>
              <w:rPr>
                <w:rFonts w:ascii="Times New Roman" w:eastAsia="仿宋"/>
                <w:bCs/>
              </w:rPr>
            </w:pPr>
            <w:r>
              <w:rPr>
                <w:rFonts w:ascii="Times New Roman" w:eastAsia="仿宋"/>
                <w:bCs/>
              </w:rPr>
              <w:t>污染物排放管控</w:t>
            </w:r>
          </w:p>
        </w:tc>
        <w:tc>
          <w:tcPr>
            <w:tcW w:w="4966" w:type="dxa"/>
            <w:vAlign w:val="center"/>
          </w:tcPr>
          <w:p w14:paraId="668EC275">
            <w:pPr>
              <w:adjustRightInd w:val="0"/>
              <w:snapToGrid w:val="0"/>
              <w:rPr>
                <w:rFonts w:ascii="Times New Roman" w:eastAsia="仿宋"/>
                <w:bCs/>
              </w:rPr>
            </w:pPr>
            <w:r>
              <w:rPr>
                <w:rFonts w:ascii="Times New Roman" w:eastAsia="仿宋"/>
                <w:bCs/>
              </w:rPr>
              <w:t>（1）根据《江苏省长江水污染防治条例》实施污染物总量控制制度。</w:t>
            </w:r>
          </w:p>
          <w:p w14:paraId="4ABB5BE0">
            <w:pPr>
              <w:adjustRightInd w:val="0"/>
              <w:snapToGrid w:val="0"/>
              <w:rPr>
                <w:rFonts w:ascii="Times New Roman" w:eastAsia="仿宋"/>
                <w:bCs/>
              </w:rPr>
            </w:pPr>
            <w:r>
              <w:rPr>
                <w:rFonts w:ascii="Times New Roman" w:eastAsia="仿宋"/>
                <w:bCs/>
              </w:rPr>
              <w:t>（2）全面加强和规范长江入河排污口管理，有效管控入河污染物排放，形成权责清晰、监控到位、管理规范的长江入河排污口监管体系，加快改善长江水环境质量。</w:t>
            </w:r>
          </w:p>
        </w:tc>
        <w:tc>
          <w:tcPr>
            <w:tcW w:w="2678" w:type="dxa"/>
            <w:vAlign w:val="center"/>
          </w:tcPr>
          <w:p w14:paraId="2464EA59">
            <w:pPr>
              <w:adjustRightInd w:val="0"/>
              <w:snapToGrid w:val="0"/>
              <w:rPr>
                <w:rFonts w:ascii="Times New Roman" w:eastAsia="仿宋"/>
                <w:bCs/>
              </w:rPr>
            </w:pPr>
            <w:r>
              <w:rPr>
                <w:rFonts w:ascii="Times New Roman" w:eastAsia="仿宋"/>
                <w:bCs/>
              </w:rPr>
              <w:t>目前，本项目处于环评编制阶段，在环评审批前将严格落实主要污染物排放总量指标控制制度，取得主要污染物排放总量的控制指标和平衡方案，故符合文件要求。</w:t>
            </w:r>
          </w:p>
        </w:tc>
        <w:tc>
          <w:tcPr>
            <w:tcW w:w="992" w:type="dxa"/>
            <w:vAlign w:val="center"/>
          </w:tcPr>
          <w:p w14:paraId="6586A345">
            <w:pPr>
              <w:adjustRightInd w:val="0"/>
              <w:snapToGrid w:val="0"/>
              <w:jc w:val="center"/>
              <w:rPr>
                <w:rFonts w:ascii="Times New Roman" w:eastAsia="仿宋"/>
                <w:bCs/>
              </w:rPr>
            </w:pPr>
            <w:r>
              <w:rPr>
                <w:rFonts w:ascii="Times New Roman" w:eastAsia="仿宋"/>
                <w:bCs/>
              </w:rPr>
              <w:t>符合</w:t>
            </w:r>
          </w:p>
        </w:tc>
      </w:tr>
      <w:tr w14:paraId="039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dxa"/>
            <w:vAlign w:val="center"/>
          </w:tcPr>
          <w:p w14:paraId="009B1622">
            <w:pPr>
              <w:adjustRightInd w:val="0"/>
              <w:snapToGrid w:val="0"/>
              <w:jc w:val="center"/>
              <w:rPr>
                <w:rFonts w:ascii="Times New Roman" w:eastAsia="仿宋"/>
                <w:bCs/>
              </w:rPr>
            </w:pPr>
            <w:r>
              <w:rPr>
                <w:rFonts w:ascii="Times New Roman" w:eastAsia="仿宋"/>
                <w:bCs/>
              </w:rPr>
              <w:t>环境风险防控</w:t>
            </w:r>
          </w:p>
        </w:tc>
        <w:tc>
          <w:tcPr>
            <w:tcW w:w="4966" w:type="dxa"/>
            <w:vAlign w:val="center"/>
          </w:tcPr>
          <w:p w14:paraId="1CBE8912">
            <w:pPr>
              <w:adjustRightInd w:val="0"/>
              <w:snapToGrid w:val="0"/>
              <w:rPr>
                <w:rFonts w:ascii="Times New Roman" w:eastAsia="仿宋"/>
                <w:bCs/>
              </w:rPr>
            </w:pPr>
            <w:r>
              <w:rPr>
                <w:rFonts w:ascii="Times New Roman" w:eastAsia="仿宋"/>
                <w:bCs/>
              </w:rPr>
              <w:t>（1）防范沿江环境风险。深化沿江石化、化工、医药、纺织、印染、化纤、危化品和石油类仓储、涉重金属和危险废物处置等重点企业环境风险防控。</w:t>
            </w:r>
          </w:p>
          <w:p w14:paraId="78214984">
            <w:pPr>
              <w:adjustRightInd w:val="0"/>
              <w:snapToGrid w:val="0"/>
              <w:rPr>
                <w:rFonts w:ascii="Times New Roman" w:eastAsia="仿宋"/>
                <w:bCs/>
              </w:rPr>
            </w:pPr>
            <w:r>
              <w:rPr>
                <w:rFonts w:ascii="Times New Roman" w:eastAsia="仿宋"/>
                <w:bCs/>
              </w:rPr>
              <w:t>（2）加强饮用水水源保护。优化水源保护区划定，推动饮用水水源地规范化建设。</w:t>
            </w:r>
          </w:p>
        </w:tc>
        <w:tc>
          <w:tcPr>
            <w:tcW w:w="2678" w:type="dxa"/>
            <w:vAlign w:val="center"/>
          </w:tcPr>
          <w:p w14:paraId="2A5465BD">
            <w:pPr>
              <w:adjustRightInd w:val="0"/>
              <w:snapToGrid w:val="0"/>
              <w:rPr>
                <w:rFonts w:ascii="Times New Roman" w:eastAsia="仿宋"/>
                <w:bCs/>
              </w:rPr>
            </w:pPr>
            <w:r>
              <w:rPr>
                <w:rFonts w:ascii="Times New Roman" w:eastAsia="仿宋"/>
                <w:bCs/>
              </w:rPr>
              <w:t>本项目的产品为汽车</w:t>
            </w:r>
            <w:r>
              <w:rPr>
                <w:rFonts w:hint="eastAsia" w:ascii="Times New Roman" w:eastAsia="仿宋"/>
                <w:bCs/>
              </w:rPr>
              <w:t>灯具</w:t>
            </w:r>
            <w:r>
              <w:rPr>
                <w:rFonts w:ascii="Times New Roman" w:eastAsia="仿宋"/>
                <w:bCs/>
              </w:rPr>
              <w:t>，国民经济行业类别属于“</w:t>
            </w:r>
            <w:r>
              <w:rPr>
                <w:rFonts w:hint="eastAsia" w:ascii="Times New Roman" w:eastAsia="仿宋"/>
                <w:bCs/>
              </w:rPr>
              <w:t>C3670汽车零部件及配件制造</w:t>
            </w:r>
            <w:r>
              <w:rPr>
                <w:rFonts w:ascii="Times New Roman" w:eastAsia="仿宋"/>
                <w:bCs/>
              </w:rPr>
              <w:t>”，位于</w:t>
            </w:r>
            <w:r>
              <w:rPr>
                <w:rFonts w:ascii="Times New Roman" w:eastAsia="仿宋"/>
                <w:kern w:val="32"/>
              </w:rPr>
              <w:t>常州市金坛区朱林镇永兴路68号</w:t>
            </w:r>
            <w:r>
              <w:rPr>
                <w:rFonts w:ascii="Times New Roman" w:eastAsia="仿宋"/>
                <w:bCs/>
              </w:rPr>
              <w:t>，不在长江沿江1公里范围内，企业在生产过程中将制定企业突发环境风险事故应急预案，加强日常应急演练。</w:t>
            </w:r>
          </w:p>
        </w:tc>
        <w:tc>
          <w:tcPr>
            <w:tcW w:w="992" w:type="dxa"/>
            <w:vAlign w:val="center"/>
          </w:tcPr>
          <w:p w14:paraId="5B2BBB9F">
            <w:pPr>
              <w:adjustRightInd w:val="0"/>
              <w:snapToGrid w:val="0"/>
              <w:jc w:val="center"/>
              <w:rPr>
                <w:rFonts w:ascii="Times New Roman" w:eastAsia="仿宋"/>
                <w:bCs/>
              </w:rPr>
            </w:pPr>
            <w:r>
              <w:rPr>
                <w:rFonts w:ascii="Times New Roman" w:eastAsia="仿宋"/>
                <w:bCs/>
              </w:rPr>
              <w:t>符合</w:t>
            </w:r>
          </w:p>
        </w:tc>
      </w:tr>
      <w:tr w14:paraId="2318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dxa"/>
            <w:vAlign w:val="center"/>
          </w:tcPr>
          <w:p w14:paraId="7F11A8C6">
            <w:pPr>
              <w:adjustRightInd w:val="0"/>
              <w:snapToGrid w:val="0"/>
              <w:jc w:val="center"/>
              <w:rPr>
                <w:rFonts w:ascii="Times New Roman" w:eastAsia="仿宋"/>
                <w:bCs/>
              </w:rPr>
            </w:pPr>
            <w:r>
              <w:rPr>
                <w:rFonts w:ascii="Times New Roman" w:eastAsia="仿宋"/>
                <w:bCs/>
              </w:rPr>
              <w:t>资源利用效率要求</w:t>
            </w:r>
          </w:p>
        </w:tc>
        <w:tc>
          <w:tcPr>
            <w:tcW w:w="4966" w:type="dxa"/>
            <w:vAlign w:val="center"/>
          </w:tcPr>
          <w:p w14:paraId="3C9FCB66">
            <w:pPr>
              <w:adjustRightInd w:val="0"/>
              <w:snapToGrid w:val="0"/>
              <w:rPr>
                <w:rFonts w:ascii="Times New Roman" w:eastAsia="仿宋"/>
                <w:bCs/>
              </w:rPr>
            </w:pPr>
            <w:r>
              <w:rPr>
                <w:rFonts w:ascii="Times New Roman" w:eastAsia="仿宋"/>
                <w:bCs/>
              </w:rPr>
              <w:t>到2020年长江干支流自然岸线保有率达到国家要求。</w:t>
            </w:r>
          </w:p>
        </w:tc>
        <w:tc>
          <w:tcPr>
            <w:tcW w:w="2678" w:type="dxa"/>
            <w:vAlign w:val="center"/>
          </w:tcPr>
          <w:p w14:paraId="6E726843">
            <w:pPr>
              <w:adjustRightInd w:val="0"/>
              <w:snapToGrid w:val="0"/>
              <w:rPr>
                <w:rFonts w:ascii="Times New Roman" w:eastAsia="仿宋"/>
                <w:bCs/>
              </w:rPr>
            </w:pPr>
            <w:r>
              <w:rPr>
                <w:rFonts w:ascii="Times New Roman" w:eastAsia="仿宋"/>
                <w:bCs/>
              </w:rPr>
              <w:t>本项目不涉及缩减长江干支流自然岸线。</w:t>
            </w:r>
          </w:p>
        </w:tc>
        <w:tc>
          <w:tcPr>
            <w:tcW w:w="992" w:type="dxa"/>
            <w:vAlign w:val="center"/>
          </w:tcPr>
          <w:p w14:paraId="37148AA5">
            <w:pPr>
              <w:adjustRightInd w:val="0"/>
              <w:jc w:val="center"/>
              <w:rPr>
                <w:rFonts w:ascii="Times New Roman" w:eastAsia="仿宋"/>
                <w:bCs/>
              </w:rPr>
            </w:pPr>
            <w:r>
              <w:rPr>
                <w:rFonts w:ascii="Times New Roman" w:eastAsia="仿宋"/>
                <w:bCs/>
              </w:rPr>
              <w:t>符合</w:t>
            </w:r>
          </w:p>
        </w:tc>
      </w:tr>
    </w:tbl>
    <w:p w14:paraId="0B43BC7F">
      <w:pPr>
        <w:spacing w:line="500" w:lineRule="exact"/>
        <w:jc w:val="center"/>
        <w:rPr>
          <w:b/>
          <w:szCs w:val="24"/>
        </w:rPr>
      </w:pPr>
      <w:r>
        <w:rPr>
          <w:rFonts w:ascii="Times New Roman" w:eastAsia="仿宋"/>
          <w:b/>
          <w:bCs/>
        </w:rPr>
        <w:t>表2.7-</w:t>
      </w:r>
      <w:r>
        <w:rPr>
          <w:rFonts w:hint="eastAsia" w:ascii="Times New Roman" w:eastAsia="仿宋"/>
          <w:b/>
          <w:bCs/>
        </w:rPr>
        <w:t>20</w:t>
      </w:r>
      <w:r>
        <w:rPr>
          <w:rFonts w:ascii="Times New Roman" w:eastAsia="仿宋"/>
          <w:b/>
          <w:bCs/>
        </w:rPr>
        <w:t xml:space="preserve">  江苏省重点区域（太湖流域）生态环境分区管控要求对照分析</w:t>
      </w:r>
    </w:p>
    <w:tbl>
      <w:tblPr>
        <w:tblStyle w:val="8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5113"/>
        <w:gridCol w:w="2835"/>
        <w:gridCol w:w="1134"/>
      </w:tblGrid>
      <w:tr w14:paraId="51DB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Align w:val="center"/>
          </w:tcPr>
          <w:p w14:paraId="53BBD3AB">
            <w:pPr>
              <w:adjustRightInd w:val="0"/>
              <w:snapToGrid w:val="0"/>
              <w:jc w:val="center"/>
              <w:rPr>
                <w:rFonts w:ascii="Times New Roman" w:eastAsia="仿宋"/>
                <w:bCs/>
              </w:rPr>
            </w:pPr>
            <w:r>
              <w:rPr>
                <w:rFonts w:ascii="Times New Roman" w:eastAsia="仿宋"/>
                <w:bCs/>
              </w:rPr>
              <w:t>管控</w:t>
            </w:r>
          </w:p>
          <w:p w14:paraId="771632E2">
            <w:pPr>
              <w:adjustRightInd w:val="0"/>
              <w:snapToGrid w:val="0"/>
              <w:jc w:val="center"/>
              <w:rPr>
                <w:rFonts w:ascii="Times New Roman" w:eastAsia="仿宋"/>
                <w:bCs/>
              </w:rPr>
            </w:pPr>
            <w:r>
              <w:rPr>
                <w:rFonts w:ascii="Times New Roman" w:eastAsia="仿宋"/>
                <w:bCs/>
              </w:rPr>
              <w:t>类别</w:t>
            </w:r>
          </w:p>
        </w:tc>
        <w:tc>
          <w:tcPr>
            <w:tcW w:w="5113" w:type="dxa"/>
            <w:vAlign w:val="center"/>
          </w:tcPr>
          <w:p w14:paraId="1B8661DF">
            <w:pPr>
              <w:adjustRightInd w:val="0"/>
              <w:snapToGrid w:val="0"/>
              <w:jc w:val="center"/>
              <w:rPr>
                <w:rFonts w:ascii="Times New Roman" w:eastAsia="仿宋"/>
                <w:bCs/>
              </w:rPr>
            </w:pPr>
            <w:r>
              <w:rPr>
                <w:rFonts w:ascii="Times New Roman" w:eastAsia="仿宋"/>
                <w:bCs/>
              </w:rPr>
              <w:t>重点管控要求</w:t>
            </w:r>
          </w:p>
        </w:tc>
        <w:tc>
          <w:tcPr>
            <w:tcW w:w="2835" w:type="dxa"/>
            <w:vAlign w:val="center"/>
          </w:tcPr>
          <w:p w14:paraId="653A20EA">
            <w:pPr>
              <w:adjustRightInd w:val="0"/>
              <w:snapToGrid w:val="0"/>
              <w:jc w:val="center"/>
              <w:rPr>
                <w:rFonts w:ascii="Times New Roman" w:eastAsia="仿宋"/>
                <w:bCs/>
              </w:rPr>
            </w:pPr>
            <w:r>
              <w:rPr>
                <w:rFonts w:ascii="Times New Roman" w:eastAsia="仿宋"/>
                <w:bCs/>
              </w:rPr>
              <w:t>本项目情况</w:t>
            </w:r>
          </w:p>
        </w:tc>
        <w:tc>
          <w:tcPr>
            <w:tcW w:w="1134" w:type="dxa"/>
            <w:vAlign w:val="center"/>
          </w:tcPr>
          <w:p w14:paraId="5742F54D">
            <w:pPr>
              <w:adjustRightInd w:val="0"/>
              <w:snapToGrid w:val="0"/>
              <w:jc w:val="center"/>
              <w:rPr>
                <w:rFonts w:ascii="Times New Roman" w:eastAsia="仿宋"/>
                <w:bCs/>
              </w:rPr>
            </w:pPr>
            <w:r>
              <w:rPr>
                <w:rFonts w:ascii="Times New Roman" w:eastAsia="仿宋"/>
                <w:bCs/>
              </w:rPr>
              <w:t>符合性</w:t>
            </w:r>
          </w:p>
        </w:tc>
      </w:tr>
      <w:tr w14:paraId="5DE1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Align w:val="center"/>
          </w:tcPr>
          <w:p w14:paraId="38217932">
            <w:pPr>
              <w:adjustRightInd w:val="0"/>
              <w:snapToGrid w:val="0"/>
              <w:jc w:val="center"/>
              <w:rPr>
                <w:rFonts w:ascii="Times New Roman" w:eastAsia="仿宋"/>
                <w:bCs/>
              </w:rPr>
            </w:pPr>
            <w:r>
              <w:rPr>
                <w:rFonts w:ascii="Times New Roman" w:eastAsia="仿宋"/>
                <w:bCs/>
              </w:rPr>
              <w:t>空间布局约束</w:t>
            </w:r>
          </w:p>
        </w:tc>
        <w:tc>
          <w:tcPr>
            <w:tcW w:w="5113" w:type="dxa"/>
            <w:vAlign w:val="center"/>
          </w:tcPr>
          <w:p w14:paraId="4CDB8B0E">
            <w:pPr>
              <w:adjustRightInd w:val="0"/>
              <w:snapToGrid w:val="0"/>
              <w:rPr>
                <w:rFonts w:ascii="Times New Roman" w:eastAsia="仿宋"/>
                <w:bCs/>
              </w:rPr>
            </w:pPr>
            <w:r>
              <w:rPr>
                <w:rFonts w:ascii="Times New Roman" w:eastAsia="仿宋"/>
                <w:bCs/>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01FF81CC">
            <w:pPr>
              <w:adjustRightInd w:val="0"/>
              <w:snapToGrid w:val="0"/>
              <w:rPr>
                <w:rFonts w:ascii="Times New Roman" w:eastAsia="仿宋"/>
                <w:bCs/>
              </w:rPr>
            </w:pPr>
            <w:r>
              <w:rPr>
                <w:rFonts w:ascii="Times New Roman" w:eastAsia="仿宋"/>
                <w:bCs/>
              </w:rPr>
              <w:t>（2）在太湖流城一级保护区，禁止新建、扩建向水体排放污染物的建设项目，禁止新建、扩建畜禽养殖场，禁止新建、扩建高尔夫球场、水上游乐等开发项目以及设置水上餐饮经营设施。</w:t>
            </w:r>
          </w:p>
          <w:p w14:paraId="12690519">
            <w:pPr>
              <w:adjustRightInd w:val="0"/>
              <w:snapToGrid w:val="0"/>
              <w:rPr>
                <w:rFonts w:ascii="Times New Roman" w:eastAsia="仿宋"/>
                <w:bCs/>
              </w:rPr>
            </w:pPr>
            <w:r>
              <w:rPr>
                <w:rFonts w:ascii="Times New Roman" w:eastAsia="仿宋"/>
                <w:bCs/>
              </w:rPr>
              <w:t>（3）在太湖流域二级保护区，禁止新建、扩建化工、医药生产项目，禁止新建、扩建污水集中处理设施排污口以外的排污口。</w:t>
            </w:r>
          </w:p>
        </w:tc>
        <w:tc>
          <w:tcPr>
            <w:tcW w:w="2835" w:type="dxa"/>
            <w:vAlign w:val="center"/>
          </w:tcPr>
          <w:p w14:paraId="6C43DE4A">
            <w:pPr>
              <w:adjustRightInd w:val="0"/>
              <w:snapToGrid w:val="0"/>
              <w:rPr>
                <w:rFonts w:ascii="Times New Roman" w:eastAsia="仿宋"/>
                <w:bCs/>
              </w:rPr>
            </w:pPr>
            <w:r>
              <w:rPr>
                <w:rFonts w:ascii="Times New Roman" w:eastAsia="仿宋"/>
                <w:bCs/>
              </w:rPr>
              <w:t>本项目位于太湖流域三级保护区，运营期不排放含氮、磷等污染物的生产废水。</w:t>
            </w:r>
          </w:p>
        </w:tc>
        <w:tc>
          <w:tcPr>
            <w:tcW w:w="1134" w:type="dxa"/>
            <w:vAlign w:val="center"/>
          </w:tcPr>
          <w:p w14:paraId="4060B9D7">
            <w:pPr>
              <w:adjustRightInd w:val="0"/>
              <w:snapToGrid w:val="0"/>
              <w:jc w:val="center"/>
              <w:rPr>
                <w:rFonts w:ascii="Times New Roman" w:eastAsia="仿宋"/>
                <w:bCs/>
              </w:rPr>
            </w:pPr>
            <w:r>
              <w:rPr>
                <w:rFonts w:ascii="Times New Roman" w:eastAsia="仿宋"/>
                <w:bCs/>
              </w:rPr>
              <w:t>符合</w:t>
            </w:r>
          </w:p>
        </w:tc>
      </w:tr>
      <w:tr w14:paraId="78C1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Align w:val="center"/>
          </w:tcPr>
          <w:p w14:paraId="08F4EC0C">
            <w:pPr>
              <w:adjustRightInd w:val="0"/>
              <w:snapToGrid w:val="0"/>
              <w:jc w:val="center"/>
              <w:rPr>
                <w:rFonts w:ascii="Times New Roman" w:eastAsia="仿宋"/>
                <w:bCs/>
              </w:rPr>
            </w:pPr>
            <w:r>
              <w:rPr>
                <w:rFonts w:ascii="Times New Roman" w:eastAsia="仿宋"/>
                <w:bCs/>
              </w:rPr>
              <w:t>污染物排放管控</w:t>
            </w:r>
          </w:p>
        </w:tc>
        <w:tc>
          <w:tcPr>
            <w:tcW w:w="5113" w:type="dxa"/>
            <w:vAlign w:val="center"/>
          </w:tcPr>
          <w:p w14:paraId="36D1351D">
            <w:pPr>
              <w:adjustRightInd w:val="0"/>
              <w:snapToGrid w:val="0"/>
              <w:rPr>
                <w:rFonts w:ascii="Times New Roman" w:eastAsia="仿宋"/>
                <w:bCs/>
              </w:rPr>
            </w:pPr>
            <w:r>
              <w:rPr>
                <w:rFonts w:ascii="Times New Roman" w:eastAsia="仿宋"/>
                <w:bCs/>
              </w:rPr>
              <w:t>城镇污水处理厂、纺织工业、化学工业、造纸工业、钢铁工业、电镀工业和食品工业的污水处理设施执行《太湖地区城镇污水处理排放管控厂及重点工业行业主要水污染物排放限值》。</w:t>
            </w:r>
          </w:p>
        </w:tc>
        <w:tc>
          <w:tcPr>
            <w:tcW w:w="2835" w:type="dxa"/>
            <w:vAlign w:val="center"/>
          </w:tcPr>
          <w:p w14:paraId="1F64534B">
            <w:pPr>
              <w:adjustRightInd w:val="0"/>
              <w:snapToGrid w:val="0"/>
              <w:rPr>
                <w:rFonts w:ascii="Times New Roman" w:eastAsia="仿宋"/>
                <w:bCs/>
              </w:rPr>
            </w:pPr>
            <w:r>
              <w:rPr>
                <w:rFonts w:ascii="Times New Roman" w:eastAsia="仿宋"/>
                <w:bCs/>
              </w:rPr>
              <w:t>本项目废水接管进入</w:t>
            </w:r>
            <w:r>
              <w:rPr>
                <w:rFonts w:hint="eastAsia" w:ascii="Times New Roman" w:eastAsia="仿宋"/>
                <w:bCs/>
              </w:rPr>
              <w:t>直溪污水处理厂</w:t>
            </w:r>
            <w:r>
              <w:rPr>
                <w:rFonts w:ascii="Times New Roman" w:eastAsia="仿宋"/>
                <w:bCs/>
              </w:rPr>
              <w:t>，其执行《城镇污水处理厂污染物排放标准》（GB18918-2002）中表1基本控制项目（常规污染物）日均排放限值。</w:t>
            </w:r>
          </w:p>
        </w:tc>
        <w:tc>
          <w:tcPr>
            <w:tcW w:w="1134" w:type="dxa"/>
            <w:vAlign w:val="center"/>
          </w:tcPr>
          <w:p w14:paraId="28071159">
            <w:pPr>
              <w:adjustRightInd w:val="0"/>
              <w:snapToGrid w:val="0"/>
              <w:jc w:val="center"/>
              <w:rPr>
                <w:rFonts w:ascii="Times New Roman" w:eastAsia="仿宋"/>
                <w:bCs/>
              </w:rPr>
            </w:pPr>
            <w:r>
              <w:rPr>
                <w:rFonts w:ascii="Times New Roman" w:eastAsia="仿宋"/>
                <w:bCs/>
              </w:rPr>
              <w:t>符合</w:t>
            </w:r>
          </w:p>
        </w:tc>
      </w:tr>
      <w:tr w14:paraId="4F25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Align w:val="center"/>
          </w:tcPr>
          <w:p w14:paraId="4D96142C">
            <w:pPr>
              <w:adjustRightInd w:val="0"/>
              <w:snapToGrid w:val="0"/>
              <w:jc w:val="center"/>
              <w:rPr>
                <w:rFonts w:ascii="Times New Roman" w:eastAsia="仿宋"/>
                <w:bCs/>
              </w:rPr>
            </w:pPr>
            <w:r>
              <w:rPr>
                <w:rFonts w:ascii="Times New Roman" w:eastAsia="仿宋"/>
                <w:bCs/>
              </w:rPr>
              <w:t>环境风险防控</w:t>
            </w:r>
          </w:p>
        </w:tc>
        <w:tc>
          <w:tcPr>
            <w:tcW w:w="5113" w:type="dxa"/>
            <w:vAlign w:val="center"/>
          </w:tcPr>
          <w:p w14:paraId="06EA9143">
            <w:pPr>
              <w:adjustRightInd w:val="0"/>
              <w:snapToGrid w:val="0"/>
              <w:rPr>
                <w:rFonts w:ascii="Times New Roman" w:eastAsia="仿宋"/>
                <w:bCs/>
              </w:rPr>
            </w:pPr>
            <w:r>
              <w:rPr>
                <w:rFonts w:ascii="Times New Roman" w:eastAsia="仿宋"/>
                <w:bCs/>
              </w:rPr>
              <w:t>（1）运输剧毒物质、危险化学品的船舶不得进入太湖。</w:t>
            </w:r>
          </w:p>
          <w:p w14:paraId="6AE977A4">
            <w:pPr>
              <w:adjustRightInd w:val="0"/>
              <w:snapToGrid w:val="0"/>
              <w:rPr>
                <w:rFonts w:ascii="Times New Roman" w:eastAsia="仿宋"/>
                <w:bCs/>
              </w:rPr>
            </w:pPr>
            <w:r>
              <w:rPr>
                <w:rFonts w:ascii="Times New Roman" w:eastAsia="仿宋"/>
                <w:bCs/>
              </w:rPr>
              <w:t>（2）禁止向太湖流域水体排放或者倾倒油类、酸液、碱液、剧毒废渣废液、含放射性废渣废液、含病原体污水、工业废渣以及其他废弃物。</w:t>
            </w:r>
          </w:p>
          <w:p w14:paraId="07E2E795">
            <w:pPr>
              <w:adjustRightInd w:val="0"/>
              <w:snapToGrid w:val="0"/>
              <w:rPr>
                <w:rFonts w:ascii="Times New Roman" w:eastAsia="仿宋"/>
                <w:bCs/>
              </w:rPr>
            </w:pPr>
            <w:r>
              <w:rPr>
                <w:rFonts w:ascii="Times New Roman" w:eastAsia="仿宋"/>
                <w:bCs/>
              </w:rPr>
              <w:t>（3）加强太湖流域生态环境风险应急管控，着力提高防控太湖蓝藻水华风险预警和应急处置能力。</w:t>
            </w:r>
          </w:p>
        </w:tc>
        <w:tc>
          <w:tcPr>
            <w:tcW w:w="2835" w:type="dxa"/>
            <w:vAlign w:val="center"/>
          </w:tcPr>
          <w:p w14:paraId="20647DB7">
            <w:pPr>
              <w:adjustRightInd w:val="0"/>
              <w:snapToGrid w:val="0"/>
              <w:rPr>
                <w:rFonts w:ascii="Times New Roman" w:eastAsia="仿宋"/>
                <w:bCs/>
              </w:rPr>
            </w:pPr>
            <w:r>
              <w:rPr>
                <w:rFonts w:ascii="Times New Roman" w:eastAsia="仿宋"/>
                <w:bCs/>
              </w:rPr>
              <w:t>本项目原辅料均为陆域运输，废水接管至</w:t>
            </w:r>
            <w:r>
              <w:rPr>
                <w:rFonts w:hint="eastAsia" w:ascii="Times New Roman" w:eastAsia="仿宋"/>
                <w:bCs/>
              </w:rPr>
              <w:t>常州市直溪污水处理厂</w:t>
            </w:r>
            <w:r>
              <w:rPr>
                <w:rFonts w:ascii="Times New Roman" w:eastAsia="仿宋"/>
                <w:bCs/>
              </w:rPr>
              <w:t>，危废委托有资质单位处置。</w:t>
            </w:r>
          </w:p>
        </w:tc>
        <w:tc>
          <w:tcPr>
            <w:tcW w:w="1134" w:type="dxa"/>
            <w:vAlign w:val="center"/>
          </w:tcPr>
          <w:p w14:paraId="5CF6BFC2">
            <w:pPr>
              <w:adjustRightInd w:val="0"/>
              <w:snapToGrid w:val="0"/>
              <w:jc w:val="center"/>
              <w:rPr>
                <w:rFonts w:ascii="Times New Roman" w:eastAsia="仿宋"/>
                <w:bCs/>
              </w:rPr>
            </w:pPr>
            <w:r>
              <w:rPr>
                <w:rFonts w:ascii="Times New Roman" w:eastAsia="仿宋"/>
                <w:bCs/>
              </w:rPr>
              <w:t>符合</w:t>
            </w:r>
          </w:p>
        </w:tc>
      </w:tr>
      <w:tr w14:paraId="68FB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Align w:val="center"/>
          </w:tcPr>
          <w:p w14:paraId="69126949">
            <w:pPr>
              <w:adjustRightInd w:val="0"/>
              <w:snapToGrid w:val="0"/>
              <w:jc w:val="center"/>
              <w:rPr>
                <w:rFonts w:ascii="Times New Roman" w:eastAsia="仿宋"/>
                <w:bCs/>
              </w:rPr>
            </w:pPr>
            <w:r>
              <w:rPr>
                <w:rFonts w:ascii="Times New Roman" w:eastAsia="仿宋"/>
                <w:bCs/>
              </w:rPr>
              <w:t>资源利用效率要求</w:t>
            </w:r>
          </w:p>
        </w:tc>
        <w:tc>
          <w:tcPr>
            <w:tcW w:w="5113" w:type="dxa"/>
            <w:vAlign w:val="center"/>
          </w:tcPr>
          <w:p w14:paraId="1C6069C9">
            <w:pPr>
              <w:adjustRightInd w:val="0"/>
              <w:snapToGrid w:val="0"/>
              <w:rPr>
                <w:rFonts w:ascii="Times New Roman" w:eastAsia="仿宋"/>
                <w:bCs/>
              </w:rPr>
            </w:pPr>
            <w:r>
              <w:rPr>
                <w:rFonts w:ascii="Times New Roman" w:eastAsia="仿宋"/>
                <w:bCs/>
              </w:rPr>
              <w:t>（1）太湖流域加强水资源配置与调度，优先满足居民生活用水，兼顾生产、生态用水以及航运等需要。</w:t>
            </w:r>
          </w:p>
          <w:p w14:paraId="2CC83A79">
            <w:pPr>
              <w:adjustRightInd w:val="0"/>
              <w:snapToGrid w:val="0"/>
              <w:rPr>
                <w:rFonts w:ascii="Times New Roman" w:eastAsia="仿宋"/>
                <w:bCs/>
              </w:rPr>
            </w:pPr>
            <w:r>
              <w:rPr>
                <w:rFonts w:ascii="Times New Roman" w:eastAsia="仿宋"/>
                <w:bCs/>
              </w:rPr>
              <w:t>（2）2020年底前，太湖流域所有省级以上开发区开展园区循环化改造。</w:t>
            </w:r>
          </w:p>
        </w:tc>
        <w:tc>
          <w:tcPr>
            <w:tcW w:w="2835" w:type="dxa"/>
            <w:vAlign w:val="center"/>
          </w:tcPr>
          <w:p w14:paraId="6B82DD24">
            <w:pPr>
              <w:adjustRightInd w:val="0"/>
              <w:snapToGrid w:val="0"/>
              <w:rPr>
                <w:rFonts w:ascii="Times New Roman" w:eastAsia="仿宋"/>
                <w:bCs/>
              </w:rPr>
            </w:pPr>
            <w:r>
              <w:rPr>
                <w:rFonts w:ascii="Times New Roman" w:eastAsia="仿宋"/>
                <w:bCs/>
              </w:rPr>
              <w:t>本项目用水来源于城市自来水厂，可满足本项目供水需求。</w:t>
            </w:r>
          </w:p>
        </w:tc>
        <w:tc>
          <w:tcPr>
            <w:tcW w:w="1134" w:type="dxa"/>
            <w:vAlign w:val="center"/>
          </w:tcPr>
          <w:p w14:paraId="76645F43">
            <w:pPr>
              <w:adjustRightInd w:val="0"/>
              <w:jc w:val="center"/>
              <w:rPr>
                <w:rFonts w:ascii="Times New Roman" w:eastAsia="仿宋"/>
                <w:bCs/>
              </w:rPr>
            </w:pPr>
            <w:r>
              <w:rPr>
                <w:rFonts w:ascii="Times New Roman" w:eastAsia="仿宋"/>
                <w:bCs/>
              </w:rPr>
              <w:t>符合</w:t>
            </w:r>
          </w:p>
        </w:tc>
      </w:tr>
    </w:tbl>
    <w:p w14:paraId="54E3CFE9">
      <w:pPr>
        <w:spacing w:line="500" w:lineRule="exact"/>
        <w:jc w:val="center"/>
        <w:rPr>
          <w:rFonts w:ascii="Times New Roman" w:eastAsia="仿宋"/>
          <w:b/>
          <w:bCs/>
        </w:rPr>
      </w:pPr>
      <w:r>
        <w:rPr>
          <w:rFonts w:ascii="Times New Roman" w:eastAsia="仿宋"/>
          <w:b/>
          <w:bCs/>
        </w:rPr>
        <w:t>表2.7-</w:t>
      </w:r>
      <w:r>
        <w:rPr>
          <w:rFonts w:hint="eastAsia" w:ascii="Times New Roman" w:eastAsia="仿宋"/>
          <w:b/>
          <w:bCs/>
        </w:rPr>
        <w:t>21</w:t>
      </w:r>
      <w:r>
        <w:rPr>
          <w:rFonts w:ascii="Times New Roman" w:eastAsia="仿宋"/>
          <w:b/>
          <w:bCs/>
        </w:rPr>
        <w:t xml:space="preserve">  </w:t>
      </w:r>
      <w:r>
        <w:rPr>
          <w:rFonts w:hint="eastAsia" w:ascii="Times New Roman" w:eastAsia="仿宋"/>
          <w:b/>
          <w:bCs/>
        </w:rPr>
        <w:t>与</w:t>
      </w:r>
      <w:r>
        <w:rPr>
          <w:rFonts w:ascii="Times New Roman" w:eastAsia="仿宋"/>
          <w:b/>
          <w:bCs/>
        </w:rPr>
        <w:t>江苏省2023年度生态环境分区管控动态更新成果公告</w:t>
      </w:r>
      <w:r>
        <w:rPr>
          <w:rFonts w:hint="eastAsia" w:ascii="Times New Roman" w:eastAsia="仿宋"/>
          <w:b/>
          <w:bCs/>
        </w:rPr>
        <w:t>相符性分析</w:t>
      </w:r>
    </w:p>
    <w:tbl>
      <w:tblPr>
        <w:tblStyle w:val="8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49"/>
        <w:gridCol w:w="4335"/>
        <w:gridCol w:w="2179"/>
        <w:gridCol w:w="1084"/>
      </w:tblGrid>
      <w:tr w14:paraId="7733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Align w:val="center"/>
          </w:tcPr>
          <w:p w14:paraId="207982B9">
            <w:pPr>
              <w:adjustRightInd w:val="0"/>
              <w:snapToGrid w:val="0"/>
              <w:jc w:val="center"/>
              <w:rPr>
                <w:rFonts w:ascii="Times New Roman" w:eastAsia="仿宋"/>
                <w:bCs/>
              </w:rPr>
            </w:pPr>
            <w:r>
              <w:rPr>
                <w:rFonts w:ascii="Times New Roman" w:eastAsia="仿宋"/>
                <w:bCs/>
              </w:rPr>
              <w:t>环境管控单元</w:t>
            </w:r>
          </w:p>
        </w:tc>
        <w:tc>
          <w:tcPr>
            <w:tcW w:w="949" w:type="dxa"/>
            <w:vAlign w:val="center"/>
          </w:tcPr>
          <w:p w14:paraId="3AF36454">
            <w:pPr>
              <w:adjustRightInd w:val="0"/>
              <w:snapToGrid w:val="0"/>
              <w:jc w:val="center"/>
              <w:rPr>
                <w:rFonts w:ascii="Times New Roman" w:eastAsia="仿宋"/>
                <w:bCs/>
              </w:rPr>
            </w:pPr>
            <w:r>
              <w:rPr>
                <w:rFonts w:ascii="Times New Roman" w:eastAsia="仿宋"/>
                <w:bCs/>
              </w:rPr>
              <w:t>类别</w:t>
            </w:r>
          </w:p>
        </w:tc>
        <w:tc>
          <w:tcPr>
            <w:tcW w:w="4335" w:type="dxa"/>
            <w:vAlign w:val="center"/>
          </w:tcPr>
          <w:p w14:paraId="60A0A6A3">
            <w:pPr>
              <w:adjustRightInd w:val="0"/>
              <w:snapToGrid w:val="0"/>
              <w:jc w:val="center"/>
              <w:rPr>
                <w:rFonts w:ascii="Times New Roman" w:eastAsia="仿宋"/>
                <w:bCs/>
              </w:rPr>
            </w:pPr>
            <w:r>
              <w:rPr>
                <w:rFonts w:ascii="Times New Roman" w:eastAsia="仿宋"/>
                <w:bCs/>
              </w:rPr>
              <w:t>要求</w:t>
            </w:r>
          </w:p>
        </w:tc>
        <w:tc>
          <w:tcPr>
            <w:tcW w:w="2179" w:type="dxa"/>
            <w:vAlign w:val="center"/>
          </w:tcPr>
          <w:p w14:paraId="4AA89CCD">
            <w:pPr>
              <w:adjustRightInd w:val="0"/>
              <w:snapToGrid w:val="0"/>
              <w:jc w:val="center"/>
              <w:rPr>
                <w:rFonts w:ascii="Times New Roman" w:eastAsia="仿宋"/>
                <w:bCs/>
              </w:rPr>
            </w:pPr>
            <w:r>
              <w:rPr>
                <w:rFonts w:ascii="Times New Roman" w:eastAsia="仿宋"/>
                <w:bCs/>
              </w:rPr>
              <w:t>对照情况</w:t>
            </w:r>
          </w:p>
        </w:tc>
        <w:tc>
          <w:tcPr>
            <w:tcW w:w="1084" w:type="dxa"/>
            <w:vAlign w:val="center"/>
          </w:tcPr>
          <w:p w14:paraId="31DCD2E7">
            <w:pPr>
              <w:adjustRightInd w:val="0"/>
              <w:snapToGrid w:val="0"/>
              <w:jc w:val="center"/>
              <w:rPr>
                <w:rFonts w:ascii="Times New Roman" w:eastAsia="仿宋"/>
                <w:bCs/>
              </w:rPr>
            </w:pPr>
            <w:r>
              <w:rPr>
                <w:rFonts w:ascii="Times New Roman" w:eastAsia="仿宋"/>
                <w:bCs/>
              </w:rPr>
              <w:t>符合性</w:t>
            </w:r>
          </w:p>
        </w:tc>
      </w:tr>
      <w:tr w14:paraId="618C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restart"/>
            <w:vAlign w:val="center"/>
          </w:tcPr>
          <w:p w14:paraId="355FEEDC">
            <w:pPr>
              <w:adjustRightInd w:val="0"/>
              <w:snapToGrid w:val="0"/>
              <w:jc w:val="center"/>
              <w:rPr>
                <w:rFonts w:ascii="Times New Roman" w:eastAsia="仿宋"/>
                <w:bCs/>
              </w:rPr>
            </w:pPr>
            <w:r>
              <w:rPr>
                <w:rFonts w:hint="eastAsia" w:ascii="Times New Roman" w:eastAsia="仿宋"/>
                <w:bCs/>
              </w:rPr>
              <w:t>江苏省省域生态环境管控要求</w:t>
            </w:r>
          </w:p>
        </w:tc>
        <w:tc>
          <w:tcPr>
            <w:tcW w:w="949" w:type="dxa"/>
            <w:vAlign w:val="center"/>
          </w:tcPr>
          <w:p w14:paraId="75B0B64A">
            <w:pPr>
              <w:adjustRightInd w:val="0"/>
              <w:snapToGrid w:val="0"/>
              <w:jc w:val="center"/>
              <w:rPr>
                <w:rFonts w:ascii="Times New Roman" w:eastAsia="仿宋"/>
                <w:bCs/>
              </w:rPr>
            </w:pPr>
            <w:r>
              <w:rPr>
                <w:rFonts w:hint="eastAsia" w:ascii="Times New Roman" w:eastAsia="仿宋"/>
                <w:bCs/>
              </w:rPr>
              <w:t>空间布局约束</w:t>
            </w:r>
          </w:p>
        </w:tc>
        <w:tc>
          <w:tcPr>
            <w:tcW w:w="4335" w:type="dxa"/>
            <w:vAlign w:val="center"/>
          </w:tcPr>
          <w:p w14:paraId="52379875">
            <w:pPr>
              <w:adjustRightInd w:val="0"/>
              <w:snapToGrid w:val="0"/>
              <w:jc w:val="center"/>
              <w:rPr>
                <w:rFonts w:ascii="Times New Roman" w:eastAsia="仿宋"/>
                <w:bCs/>
              </w:rPr>
            </w:pPr>
            <w:r>
              <w:rPr>
                <w:rFonts w:hint="eastAsia" w:ascii="Times New Roman" w:eastAsia="仿宋"/>
                <w:bCs/>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6B53058B">
            <w:pPr>
              <w:adjustRightInd w:val="0"/>
              <w:snapToGrid w:val="0"/>
              <w:jc w:val="center"/>
              <w:rPr>
                <w:rFonts w:ascii="Times New Roman" w:eastAsia="仿宋"/>
                <w:bCs/>
              </w:rPr>
            </w:pPr>
            <w:r>
              <w:rPr>
                <w:rFonts w:hint="eastAsia" w:ascii="Times New Roman" w:eastAsia="仿宋"/>
                <w:bCs/>
              </w:rPr>
              <w:t>2．牢牢把握推动长江经济带发展“共抓大保护，不搞大开发”战略导向，对省域范围内需要重点保护的岸线、河段和区域实行严格管控，管住控好排放量大、耗能高、产能过剩的产业，推动长江经济带高质量发展。</w:t>
            </w:r>
          </w:p>
          <w:p w14:paraId="0504A655">
            <w:pPr>
              <w:adjustRightInd w:val="0"/>
              <w:snapToGrid w:val="0"/>
              <w:jc w:val="center"/>
              <w:rPr>
                <w:rFonts w:ascii="Times New Roman" w:eastAsia="仿宋"/>
                <w:bCs/>
              </w:rPr>
            </w:pPr>
            <w:r>
              <w:rPr>
                <w:rFonts w:hint="eastAsia" w:ascii="Times New Roman" w:eastAsia="仿宋"/>
                <w:bCs/>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22DF3383">
            <w:pPr>
              <w:adjustRightInd w:val="0"/>
              <w:snapToGrid w:val="0"/>
              <w:jc w:val="center"/>
              <w:rPr>
                <w:rFonts w:ascii="Times New Roman" w:eastAsia="仿宋"/>
                <w:bCs/>
              </w:rPr>
            </w:pPr>
            <w:r>
              <w:rPr>
                <w:rFonts w:hint="eastAsia" w:ascii="Times New Roman" w:eastAsia="仿宋"/>
                <w:bCs/>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0A0472DB">
            <w:pPr>
              <w:adjustRightInd w:val="0"/>
              <w:snapToGrid w:val="0"/>
              <w:jc w:val="center"/>
              <w:rPr>
                <w:rFonts w:ascii="Times New Roman" w:eastAsia="仿宋"/>
                <w:bCs/>
              </w:rPr>
            </w:pPr>
            <w:r>
              <w:rPr>
                <w:rFonts w:hint="eastAsia" w:ascii="Times New Roman" w:eastAsia="仿宋"/>
                <w:bCs/>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2179" w:type="dxa"/>
            <w:vAlign w:val="center"/>
          </w:tcPr>
          <w:p w14:paraId="5DD6420F">
            <w:pPr>
              <w:adjustRightInd w:val="0"/>
              <w:snapToGrid w:val="0"/>
              <w:jc w:val="center"/>
              <w:rPr>
                <w:rFonts w:ascii="Times New Roman" w:eastAsia="仿宋"/>
                <w:bCs/>
              </w:rPr>
            </w:pPr>
            <w:r>
              <w:rPr>
                <w:rFonts w:hint="eastAsia" w:ascii="Times New Roman" w:eastAsia="仿宋"/>
                <w:bCs/>
              </w:rPr>
              <w:t>1.本项目不在江苏省生态空间管控区域规划中规定的生态空间保护区域内、不在江苏省国家级生态保护红线规划内、不在常州市生态空间管控区域名录内，本项目选址与国土空间规划相符；</w:t>
            </w:r>
          </w:p>
          <w:p w14:paraId="32A40E95">
            <w:pPr>
              <w:adjustRightInd w:val="0"/>
              <w:snapToGrid w:val="0"/>
              <w:jc w:val="center"/>
              <w:rPr>
                <w:rFonts w:ascii="Times New Roman" w:eastAsia="仿宋"/>
                <w:bCs/>
              </w:rPr>
            </w:pPr>
            <w:r>
              <w:rPr>
                <w:rFonts w:hint="eastAsia" w:ascii="Times New Roman" w:eastAsia="仿宋"/>
                <w:bCs/>
              </w:rPr>
              <w:t>2.本项目不属于高耗能项目、亦不属于排放量大、产能过剩的产业；</w:t>
            </w:r>
          </w:p>
          <w:p w14:paraId="39DC51DC">
            <w:pPr>
              <w:adjustRightInd w:val="0"/>
              <w:snapToGrid w:val="0"/>
              <w:jc w:val="center"/>
              <w:rPr>
                <w:rFonts w:ascii="Times New Roman" w:eastAsia="仿宋"/>
                <w:bCs/>
              </w:rPr>
            </w:pPr>
            <w:r>
              <w:rPr>
                <w:rFonts w:hint="eastAsia" w:ascii="Times New Roman" w:eastAsia="仿宋"/>
                <w:bCs/>
              </w:rPr>
              <w:t>3.本项目不在长江1km管理范围等敏感管控区内，本项目不属于化工项目；</w:t>
            </w:r>
          </w:p>
          <w:p w14:paraId="6F13BB2D">
            <w:pPr>
              <w:adjustRightInd w:val="0"/>
              <w:snapToGrid w:val="0"/>
              <w:jc w:val="center"/>
              <w:rPr>
                <w:rFonts w:ascii="Times New Roman" w:eastAsia="仿宋"/>
                <w:bCs/>
              </w:rPr>
            </w:pPr>
            <w:r>
              <w:rPr>
                <w:rFonts w:hint="eastAsia" w:ascii="Times New Roman" w:eastAsia="仿宋"/>
                <w:bCs/>
              </w:rPr>
              <w:t>4.本项目不属于钢铁行业；</w:t>
            </w:r>
          </w:p>
          <w:p w14:paraId="3C7E02F5">
            <w:pPr>
              <w:adjustRightInd w:val="0"/>
              <w:snapToGrid w:val="0"/>
              <w:jc w:val="center"/>
              <w:rPr>
                <w:rFonts w:ascii="Times New Roman" w:eastAsia="仿宋"/>
                <w:bCs/>
              </w:rPr>
            </w:pPr>
            <w:r>
              <w:rPr>
                <w:rFonts w:hint="eastAsia" w:ascii="Times New Roman" w:eastAsia="仿宋"/>
                <w:bCs/>
              </w:rPr>
              <w:t>5.本项目不属于重大民生项目、基础设施项目。</w:t>
            </w:r>
          </w:p>
        </w:tc>
        <w:tc>
          <w:tcPr>
            <w:tcW w:w="1084" w:type="dxa"/>
            <w:vAlign w:val="center"/>
          </w:tcPr>
          <w:p w14:paraId="5AE1A63A">
            <w:pPr>
              <w:adjustRightInd w:val="0"/>
              <w:snapToGrid w:val="0"/>
              <w:jc w:val="center"/>
              <w:rPr>
                <w:rFonts w:ascii="Times New Roman" w:eastAsia="仿宋"/>
                <w:bCs/>
              </w:rPr>
            </w:pPr>
            <w:r>
              <w:rPr>
                <w:rFonts w:hint="eastAsia" w:ascii="Times New Roman" w:eastAsia="仿宋"/>
                <w:bCs/>
              </w:rPr>
              <w:t>符合</w:t>
            </w:r>
          </w:p>
        </w:tc>
      </w:tr>
      <w:tr w14:paraId="7E2A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1E22CBCF">
            <w:pPr>
              <w:snapToGrid w:val="0"/>
              <w:jc w:val="center"/>
              <w:rPr>
                <w:sz w:val="21"/>
                <w:szCs w:val="21"/>
              </w:rPr>
            </w:pPr>
          </w:p>
        </w:tc>
        <w:tc>
          <w:tcPr>
            <w:tcW w:w="949" w:type="dxa"/>
            <w:vAlign w:val="center"/>
          </w:tcPr>
          <w:p w14:paraId="1C8EE088">
            <w:pPr>
              <w:adjustRightInd w:val="0"/>
              <w:snapToGrid w:val="0"/>
              <w:jc w:val="center"/>
              <w:rPr>
                <w:rFonts w:ascii="Times New Roman" w:eastAsia="仿宋"/>
                <w:bCs/>
              </w:rPr>
            </w:pPr>
            <w:r>
              <w:rPr>
                <w:rFonts w:hint="eastAsia" w:ascii="Times New Roman" w:eastAsia="仿宋"/>
                <w:bCs/>
              </w:rPr>
              <w:t>污染物</w:t>
            </w:r>
          </w:p>
          <w:p w14:paraId="17ED6DDF">
            <w:pPr>
              <w:adjustRightInd w:val="0"/>
              <w:snapToGrid w:val="0"/>
              <w:jc w:val="center"/>
              <w:rPr>
                <w:rFonts w:ascii="Times New Roman" w:eastAsia="仿宋"/>
                <w:bCs/>
              </w:rPr>
            </w:pPr>
            <w:r>
              <w:rPr>
                <w:rFonts w:hint="eastAsia" w:ascii="Times New Roman" w:eastAsia="仿宋"/>
                <w:bCs/>
              </w:rPr>
              <w:t>排放管控</w:t>
            </w:r>
          </w:p>
        </w:tc>
        <w:tc>
          <w:tcPr>
            <w:tcW w:w="4335" w:type="dxa"/>
            <w:vAlign w:val="center"/>
          </w:tcPr>
          <w:p w14:paraId="2AAE12E5">
            <w:pPr>
              <w:adjustRightInd w:val="0"/>
              <w:snapToGrid w:val="0"/>
              <w:jc w:val="center"/>
              <w:rPr>
                <w:rFonts w:ascii="Times New Roman" w:eastAsia="仿宋"/>
                <w:bCs/>
              </w:rPr>
            </w:pPr>
            <w:r>
              <w:rPr>
                <w:rFonts w:hint="eastAsia" w:ascii="Times New Roman" w:eastAsia="仿宋"/>
                <w:bCs/>
              </w:rPr>
              <w:t>1．坚持生态环境质量只能更好、不能变坏，实施污染物总量控制，以环境容量定产业、定项目、定规模，确保开发建设行为不突破生态环境承载力。</w:t>
            </w:r>
          </w:p>
          <w:p w14:paraId="6835731E">
            <w:pPr>
              <w:adjustRightInd w:val="0"/>
              <w:snapToGrid w:val="0"/>
              <w:jc w:val="center"/>
              <w:rPr>
                <w:rFonts w:ascii="Times New Roman" w:eastAsia="仿宋"/>
                <w:bCs/>
              </w:rPr>
            </w:pPr>
            <w:r>
              <w:rPr>
                <w:rFonts w:hint="eastAsia" w:ascii="Times New Roman" w:eastAsia="仿宋"/>
                <w:bCs/>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2179" w:type="dxa"/>
            <w:vAlign w:val="center"/>
          </w:tcPr>
          <w:p w14:paraId="1F1015F7">
            <w:pPr>
              <w:adjustRightInd w:val="0"/>
              <w:snapToGrid w:val="0"/>
              <w:jc w:val="center"/>
              <w:rPr>
                <w:rFonts w:ascii="Times New Roman" w:eastAsia="仿宋"/>
                <w:bCs/>
              </w:rPr>
            </w:pPr>
            <w:r>
              <w:rPr>
                <w:rFonts w:hint="eastAsia" w:ascii="Times New Roman" w:eastAsia="仿宋"/>
                <w:bCs/>
              </w:rPr>
              <w:t>目前，本项目处于环评编制阶段，在环评审批前将严格落实主要污染物排放总量指标控制制度，取得主要污染物排放总量的控制指标和平衡方案，故符合文件要求。</w:t>
            </w:r>
          </w:p>
        </w:tc>
        <w:tc>
          <w:tcPr>
            <w:tcW w:w="1084" w:type="dxa"/>
            <w:vAlign w:val="center"/>
          </w:tcPr>
          <w:p w14:paraId="2527A5AF">
            <w:pPr>
              <w:adjustRightInd w:val="0"/>
              <w:snapToGrid w:val="0"/>
              <w:jc w:val="center"/>
              <w:rPr>
                <w:rFonts w:ascii="Times New Roman" w:eastAsia="仿宋"/>
                <w:bCs/>
              </w:rPr>
            </w:pPr>
            <w:r>
              <w:rPr>
                <w:rFonts w:hint="eastAsia" w:ascii="Times New Roman" w:eastAsia="仿宋"/>
                <w:bCs/>
              </w:rPr>
              <w:t>符合</w:t>
            </w:r>
          </w:p>
        </w:tc>
      </w:tr>
      <w:tr w14:paraId="6EF9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65E2F9AD">
            <w:pPr>
              <w:snapToGrid w:val="0"/>
              <w:jc w:val="center"/>
              <w:rPr>
                <w:sz w:val="21"/>
                <w:szCs w:val="21"/>
              </w:rPr>
            </w:pPr>
          </w:p>
        </w:tc>
        <w:tc>
          <w:tcPr>
            <w:tcW w:w="949" w:type="dxa"/>
            <w:vAlign w:val="center"/>
          </w:tcPr>
          <w:p w14:paraId="27FA52D1">
            <w:pPr>
              <w:adjustRightInd w:val="0"/>
              <w:snapToGrid w:val="0"/>
              <w:jc w:val="center"/>
              <w:rPr>
                <w:rFonts w:ascii="Times New Roman" w:eastAsia="仿宋"/>
                <w:bCs/>
              </w:rPr>
            </w:pPr>
            <w:r>
              <w:rPr>
                <w:rFonts w:hint="eastAsia" w:ascii="Times New Roman" w:eastAsia="仿宋"/>
                <w:bCs/>
              </w:rPr>
              <w:t>环境风险防控</w:t>
            </w:r>
          </w:p>
        </w:tc>
        <w:tc>
          <w:tcPr>
            <w:tcW w:w="4335" w:type="dxa"/>
            <w:vAlign w:val="center"/>
          </w:tcPr>
          <w:p w14:paraId="33A3E9D8">
            <w:pPr>
              <w:adjustRightInd w:val="0"/>
              <w:snapToGrid w:val="0"/>
              <w:jc w:val="center"/>
              <w:rPr>
                <w:rFonts w:ascii="Times New Roman" w:eastAsia="仿宋"/>
                <w:bCs/>
              </w:rPr>
            </w:pPr>
            <w:r>
              <w:rPr>
                <w:rFonts w:hint="eastAsia" w:ascii="Times New Roman" w:eastAsia="仿宋"/>
                <w:bCs/>
              </w:rPr>
              <w:t>1．强化饮用水水源环境风险管控。县级以上城市全部建成应急水源或双源供水。</w:t>
            </w:r>
          </w:p>
          <w:p w14:paraId="2D118C98">
            <w:pPr>
              <w:adjustRightInd w:val="0"/>
              <w:snapToGrid w:val="0"/>
              <w:jc w:val="center"/>
              <w:rPr>
                <w:rFonts w:ascii="Times New Roman" w:eastAsia="仿宋"/>
                <w:bCs/>
              </w:rPr>
            </w:pPr>
            <w:r>
              <w:rPr>
                <w:rFonts w:hint="eastAsia" w:ascii="Times New Roman" w:eastAsia="仿宋"/>
                <w:bCs/>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52D19DBE">
            <w:pPr>
              <w:adjustRightInd w:val="0"/>
              <w:snapToGrid w:val="0"/>
              <w:jc w:val="center"/>
              <w:rPr>
                <w:rFonts w:ascii="Times New Roman" w:eastAsia="仿宋"/>
                <w:bCs/>
              </w:rPr>
            </w:pPr>
            <w:r>
              <w:rPr>
                <w:rFonts w:hint="eastAsia" w:ascii="Times New Roman" w:eastAsia="仿宋"/>
                <w:bCs/>
              </w:rPr>
              <w:t>3．强化环境事故应急管理。深化跨部门、跨区域环境应急协调联动，分区域建立环境应急物资储备库。各级工业园区（集聚区）和企业的环境应急装备和储备物资应纳入储备体系。</w:t>
            </w:r>
          </w:p>
          <w:p w14:paraId="784BE9D2">
            <w:pPr>
              <w:adjustRightInd w:val="0"/>
              <w:snapToGrid w:val="0"/>
              <w:jc w:val="center"/>
              <w:rPr>
                <w:rFonts w:ascii="Times New Roman" w:eastAsia="仿宋"/>
                <w:bCs/>
              </w:rPr>
            </w:pPr>
            <w:r>
              <w:rPr>
                <w:rFonts w:hint="eastAsia" w:ascii="Times New Roman" w:eastAsia="仿宋"/>
                <w:bCs/>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2179" w:type="dxa"/>
            <w:vAlign w:val="center"/>
          </w:tcPr>
          <w:p w14:paraId="405E1F1E">
            <w:pPr>
              <w:adjustRightInd w:val="0"/>
              <w:snapToGrid w:val="0"/>
              <w:jc w:val="center"/>
              <w:rPr>
                <w:rFonts w:ascii="Times New Roman" w:eastAsia="仿宋"/>
                <w:bCs/>
              </w:rPr>
            </w:pPr>
            <w:r>
              <w:rPr>
                <w:rFonts w:hint="eastAsia" w:ascii="Times New Roman" w:eastAsia="仿宋"/>
                <w:bCs/>
              </w:rPr>
              <w:t>1.本项目不涉及饮用水水源保护区；</w:t>
            </w:r>
          </w:p>
          <w:p w14:paraId="191D04BC">
            <w:pPr>
              <w:adjustRightInd w:val="0"/>
              <w:snapToGrid w:val="0"/>
              <w:jc w:val="center"/>
              <w:rPr>
                <w:rFonts w:ascii="Times New Roman" w:eastAsia="仿宋"/>
                <w:bCs/>
              </w:rPr>
            </w:pPr>
            <w:r>
              <w:rPr>
                <w:rFonts w:hint="eastAsia" w:ascii="Times New Roman" w:eastAsia="仿宋"/>
                <w:bCs/>
              </w:rPr>
              <w:t>2.本项目不属于化工行业；</w:t>
            </w:r>
          </w:p>
          <w:p w14:paraId="20404CF6">
            <w:pPr>
              <w:adjustRightInd w:val="0"/>
              <w:snapToGrid w:val="0"/>
              <w:jc w:val="center"/>
              <w:rPr>
                <w:rFonts w:ascii="Times New Roman" w:eastAsia="仿宋"/>
                <w:bCs/>
              </w:rPr>
            </w:pPr>
            <w:r>
              <w:rPr>
                <w:rFonts w:hint="eastAsia" w:ascii="Times New Roman" w:eastAsia="仿宋"/>
                <w:bCs/>
              </w:rPr>
              <w:t>3.本厂区定期修编应急预案并按照要求进行演练；</w:t>
            </w:r>
          </w:p>
          <w:p w14:paraId="74869014">
            <w:pPr>
              <w:adjustRightInd w:val="0"/>
              <w:snapToGrid w:val="0"/>
              <w:jc w:val="center"/>
              <w:rPr>
                <w:rFonts w:ascii="Times New Roman" w:eastAsia="仿宋"/>
                <w:bCs/>
              </w:rPr>
            </w:pPr>
            <w:r>
              <w:rPr>
                <w:rFonts w:hint="eastAsia" w:ascii="Times New Roman" w:eastAsia="仿宋"/>
                <w:bCs/>
              </w:rPr>
              <w:t>4.区域设置突发环境风险预警联防联控机制。</w:t>
            </w:r>
          </w:p>
        </w:tc>
        <w:tc>
          <w:tcPr>
            <w:tcW w:w="1084" w:type="dxa"/>
            <w:vAlign w:val="center"/>
          </w:tcPr>
          <w:p w14:paraId="0996AF38">
            <w:pPr>
              <w:adjustRightInd w:val="0"/>
              <w:snapToGrid w:val="0"/>
              <w:jc w:val="center"/>
              <w:rPr>
                <w:rFonts w:ascii="Times New Roman" w:eastAsia="仿宋"/>
                <w:bCs/>
              </w:rPr>
            </w:pPr>
            <w:r>
              <w:rPr>
                <w:rFonts w:hint="eastAsia" w:ascii="Times New Roman" w:eastAsia="仿宋"/>
                <w:bCs/>
              </w:rPr>
              <w:t>符合</w:t>
            </w:r>
          </w:p>
        </w:tc>
      </w:tr>
      <w:tr w14:paraId="2722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35DE26E6">
            <w:pPr>
              <w:snapToGrid w:val="0"/>
              <w:jc w:val="center"/>
              <w:rPr>
                <w:sz w:val="21"/>
                <w:szCs w:val="21"/>
              </w:rPr>
            </w:pPr>
          </w:p>
        </w:tc>
        <w:tc>
          <w:tcPr>
            <w:tcW w:w="949" w:type="dxa"/>
            <w:vAlign w:val="center"/>
          </w:tcPr>
          <w:p w14:paraId="646CD01B">
            <w:pPr>
              <w:adjustRightInd w:val="0"/>
              <w:snapToGrid w:val="0"/>
              <w:jc w:val="center"/>
              <w:rPr>
                <w:rFonts w:ascii="Times New Roman" w:eastAsia="仿宋"/>
                <w:bCs/>
              </w:rPr>
            </w:pPr>
            <w:r>
              <w:rPr>
                <w:rFonts w:hint="eastAsia" w:ascii="Times New Roman" w:eastAsia="仿宋"/>
                <w:bCs/>
              </w:rPr>
              <w:t>资源利用效率要求</w:t>
            </w:r>
          </w:p>
        </w:tc>
        <w:tc>
          <w:tcPr>
            <w:tcW w:w="4335" w:type="dxa"/>
            <w:vAlign w:val="center"/>
          </w:tcPr>
          <w:p w14:paraId="263CDCB4">
            <w:pPr>
              <w:adjustRightInd w:val="0"/>
              <w:snapToGrid w:val="0"/>
              <w:jc w:val="center"/>
              <w:rPr>
                <w:rFonts w:ascii="Times New Roman" w:eastAsia="仿宋"/>
                <w:bCs/>
              </w:rPr>
            </w:pPr>
            <w:r>
              <w:rPr>
                <w:rFonts w:hint="eastAsia" w:ascii="Times New Roman" w:eastAsia="仿宋"/>
                <w:bCs/>
              </w:rPr>
              <w:t>1．水资源利用总量及效率要求：到2025年，全省用水总量控制在525.9亿立方米以内，万元地区生产总值用水量、万元工业增加值用水量下降完成国家下达目标，农田灌溉水有效利用系数提高到0.625。</w:t>
            </w:r>
          </w:p>
          <w:p w14:paraId="79E2B972">
            <w:pPr>
              <w:adjustRightInd w:val="0"/>
              <w:snapToGrid w:val="0"/>
              <w:jc w:val="center"/>
              <w:rPr>
                <w:rFonts w:ascii="Times New Roman" w:eastAsia="仿宋"/>
                <w:bCs/>
              </w:rPr>
            </w:pPr>
            <w:r>
              <w:rPr>
                <w:rFonts w:hint="eastAsia" w:ascii="Times New Roman" w:eastAsia="仿宋"/>
                <w:bCs/>
              </w:rPr>
              <w:t>2．土地资源总量要求：到2025年，江苏省耕地保有量不低于5977万亩，其中永久基本农田保护面积不低于5344万亩。</w:t>
            </w:r>
          </w:p>
          <w:p w14:paraId="41674276">
            <w:pPr>
              <w:adjustRightInd w:val="0"/>
              <w:snapToGrid w:val="0"/>
              <w:jc w:val="center"/>
              <w:rPr>
                <w:rFonts w:ascii="Times New Roman" w:eastAsia="仿宋"/>
                <w:bCs/>
              </w:rPr>
            </w:pPr>
            <w:r>
              <w:rPr>
                <w:rFonts w:hint="eastAsia" w:ascii="Times New Roman" w:eastAsia="仿宋"/>
                <w:bCs/>
              </w:rPr>
              <w:t>3．禁燃区要求：在禁燃区内，禁止销售、燃用高污染燃料；禁止新建、扩建燃用高污染燃料的设施，已建成的，应当在城市人民政府规定的期限内改用天然气、页岩气、液化石油气、电或者其他清洁能源。</w:t>
            </w:r>
          </w:p>
        </w:tc>
        <w:tc>
          <w:tcPr>
            <w:tcW w:w="2179" w:type="dxa"/>
            <w:vAlign w:val="center"/>
          </w:tcPr>
          <w:p w14:paraId="37731B84">
            <w:pPr>
              <w:adjustRightInd w:val="0"/>
              <w:snapToGrid w:val="0"/>
              <w:jc w:val="center"/>
              <w:rPr>
                <w:rFonts w:ascii="Times New Roman" w:eastAsia="仿宋"/>
                <w:bCs/>
              </w:rPr>
            </w:pPr>
            <w:r>
              <w:rPr>
                <w:rFonts w:hint="eastAsia" w:ascii="Times New Roman" w:eastAsia="仿宋"/>
                <w:bCs/>
              </w:rPr>
              <w:t>本项目用地性质为工业用地，不涉及基本农田；本项目不涉及高污染燃料的使用，本项目使用水、电等清洁能源</w:t>
            </w:r>
          </w:p>
        </w:tc>
        <w:tc>
          <w:tcPr>
            <w:tcW w:w="1084" w:type="dxa"/>
            <w:vAlign w:val="center"/>
          </w:tcPr>
          <w:p w14:paraId="53D29AF1">
            <w:pPr>
              <w:adjustRightInd w:val="0"/>
              <w:snapToGrid w:val="0"/>
              <w:jc w:val="center"/>
              <w:rPr>
                <w:rFonts w:ascii="Times New Roman" w:eastAsia="仿宋"/>
                <w:bCs/>
              </w:rPr>
            </w:pPr>
            <w:r>
              <w:rPr>
                <w:rFonts w:hint="eastAsia" w:ascii="Times New Roman" w:eastAsia="仿宋"/>
                <w:bCs/>
              </w:rPr>
              <w:t>符合</w:t>
            </w:r>
          </w:p>
        </w:tc>
      </w:tr>
      <w:tr w14:paraId="7D05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restart"/>
            <w:vAlign w:val="center"/>
          </w:tcPr>
          <w:p w14:paraId="4DDAAFCC">
            <w:pPr>
              <w:adjustRightInd w:val="0"/>
              <w:snapToGrid w:val="0"/>
              <w:jc w:val="center"/>
              <w:rPr>
                <w:rFonts w:ascii="Times New Roman" w:eastAsia="仿宋"/>
                <w:bCs/>
              </w:rPr>
            </w:pPr>
            <w:r>
              <w:rPr>
                <w:rFonts w:hint="eastAsia" w:ascii="Times New Roman" w:eastAsia="仿宋"/>
                <w:bCs/>
              </w:rPr>
              <w:t>一、长江流域</w:t>
            </w:r>
          </w:p>
        </w:tc>
        <w:tc>
          <w:tcPr>
            <w:tcW w:w="949" w:type="dxa"/>
            <w:vAlign w:val="center"/>
          </w:tcPr>
          <w:p w14:paraId="3265FA5B">
            <w:pPr>
              <w:adjustRightInd w:val="0"/>
              <w:snapToGrid w:val="0"/>
              <w:jc w:val="center"/>
              <w:rPr>
                <w:rFonts w:ascii="Times New Roman" w:eastAsia="仿宋"/>
                <w:bCs/>
              </w:rPr>
            </w:pPr>
            <w:r>
              <w:rPr>
                <w:rFonts w:hint="eastAsia" w:ascii="Times New Roman" w:eastAsia="仿宋"/>
                <w:bCs/>
              </w:rPr>
              <w:t>空间布局</w:t>
            </w:r>
          </w:p>
        </w:tc>
        <w:tc>
          <w:tcPr>
            <w:tcW w:w="4335" w:type="dxa"/>
            <w:vAlign w:val="center"/>
          </w:tcPr>
          <w:p w14:paraId="2E3473DC">
            <w:pPr>
              <w:adjustRightInd w:val="0"/>
              <w:snapToGrid w:val="0"/>
              <w:jc w:val="center"/>
              <w:rPr>
                <w:rFonts w:ascii="Times New Roman" w:eastAsia="仿宋"/>
                <w:bCs/>
              </w:rPr>
            </w:pPr>
            <w:r>
              <w:rPr>
                <w:rFonts w:hint="eastAsia" w:ascii="Times New Roman" w:eastAsia="仿宋"/>
                <w:bCs/>
              </w:rPr>
              <w:t>l.始终把长江生态修复放在首位，坚持共抓大保护、不搞大开发，引导长江流域产业转型升级和布局优化调整，现科学发展、有序发展、高质量发展2.加强生态空间保护，禁止在国家确定的生态保护红线和永久基本农田范圆内，投资建设除国家重大战略资源勒项目、生态保护修复和地质灾害治理项目、重大基础设施项目、军事国防项目以及农民基本生产生活等必要的民项目以外的项目。3.禁止在沿江地区新建或扩建化学工业园区，禁止新建或扩建以大宗进口油气资源为原料的石油加工、石油化工基础有机无机化工、煤化工项目; 禁止在长江干流和主要支流岸线1公里范围内新建危化品码头。4.强化港口布局优化，禁止建设不符合国家港口布局规划和《江苏省沿江沿海港口布局规划(2015-2030年)》《苏省内河港口布局规划(2017-2035年)》的码头项目，禁止建设未纳入《长江干线过江通道布局规划》的过江干通道项目。5</w:t>
            </w:r>
            <w:r>
              <w:rPr>
                <w:rFonts w:ascii="Times New Roman" w:eastAsia="仿宋"/>
                <w:bCs/>
              </w:rPr>
              <w:t>.</w:t>
            </w:r>
            <w:r>
              <w:rPr>
                <w:rFonts w:hint="eastAsia" w:ascii="Times New Roman" w:eastAsia="仿宋"/>
                <w:bCs/>
              </w:rPr>
              <w:t>禁止新建独立售化项目</w:t>
            </w:r>
          </w:p>
        </w:tc>
        <w:tc>
          <w:tcPr>
            <w:tcW w:w="2179" w:type="dxa"/>
            <w:vAlign w:val="center"/>
          </w:tcPr>
          <w:p w14:paraId="0121C1B3">
            <w:pPr>
              <w:adjustRightInd w:val="0"/>
              <w:snapToGrid w:val="0"/>
              <w:jc w:val="center"/>
              <w:rPr>
                <w:rFonts w:ascii="Times New Roman" w:eastAsia="仿宋"/>
                <w:bCs/>
              </w:rPr>
            </w:pPr>
            <w:r>
              <w:rPr>
                <w:rFonts w:ascii="Times New Roman" w:eastAsia="仿宋"/>
                <w:bCs/>
              </w:rPr>
              <w:t>本项目不在长江沿江1公里范围内。不涉及基本农田占用问题，不涉及新建港口及过江干线项目，不属于焦化项目。</w:t>
            </w:r>
          </w:p>
        </w:tc>
        <w:tc>
          <w:tcPr>
            <w:tcW w:w="1084" w:type="dxa"/>
            <w:vAlign w:val="center"/>
          </w:tcPr>
          <w:p w14:paraId="0339A417">
            <w:pPr>
              <w:adjustRightInd w:val="0"/>
              <w:snapToGrid w:val="0"/>
              <w:jc w:val="center"/>
              <w:rPr>
                <w:rFonts w:ascii="Times New Roman" w:eastAsia="仿宋"/>
                <w:bCs/>
              </w:rPr>
            </w:pPr>
            <w:r>
              <w:rPr>
                <w:rFonts w:hint="eastAsia" w:ascii="Times New Roman" w:eastAsia="仿宋"/>
                <w:bCs/>
              </w:rPr>
              <w:t>符合</w:t>
            </w:r>
          </w:p>
        </w:tc>
      </w:tr>
      <w:tr w14:paraId="2CC1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7210EC73">
            <w:pPr>
              <w:snapToGrid w:val="0"/>
              <w:jc w:val="center"/>
              <w:rPr>
                <w:sz w:val="21"/>
                <w:szCs w:val="21"/>
              </w:rPr>
            </w:pPr>
          </w:p>
        </w:tc>
        <w:tc>
          <w:tcPr>
            <w:tcW w:w="949" w:type="dxa"/>
            <w:vAlign w:val="center"/>
          </w:tcPr>
          <w:p w14:paraId="4A4110C9">
            <w:pPr>
              <w:adjustRightInd w:val="0"/>
              <w:snapToGrid w:val="0"/>
              <w:jc w:val="center"/>
              <w:rPr>
                <w:rFonts w:ascii="Times New Roman" w:eastAsia="仿宋"/>
                <w:bCs/>
              </w:rPr>
            </w:pPr>
            <w:r>
              <w:rPr>
                <w:rFonts w:hint="eastAsia" w:ascii="Times New Roman" w:eastAsia="仿宋"/>
                <w:bCs/>
              </w:rPr>
              <w:t>污染物排放管控</w:t>
            </w:r>
          </w:p>
        </w:tc>
        <w:tc>
          <w:tcPr>
            <w:tcW w:w="4335" w:type="dxa"/>
            <w:vAlign w:val="center"/>
          </w:tcPr>
          <w:p w14:paraId="23A91233">
            <w:pPr>
              <w:adjustRightInd w:val="0"/>
              <w:snapToGrid w:val="0"/>
              <w:jc w:val="center"/>
              <w:rPr>
                <w:rFonts w:ascii="Times New Roman" w:eastAsia="仿宋"/>
                <w:bCs/>
              </w:rPr>
            </w:pPr>
            <w:r>
              <w:rPr>
                <w:rFonts w:hint="eastAsia" w:ascii="Times New Roman" w:eastAsia="仿宋"/>
                <w:bCs/>
              </w:rPr>
              <w:t>1.根据《江苏省长江水污染防治条例》实施污染物总量控制制度。2.全面加强和规范长江入河排污口管理，有效管控入河污染物排放，形成权责清晰、监控到位、管理规范的长江》河排污口监管体系，加快改善长江水环境质量。</w:t>
            </w:r>
          </w:p>
        </w:tc>
        <w:tc>
          <w:tcPr>
            <w:tcW w:w="2179" w:type="dxa"/>
            <w:vAlign w:val="center"/>
          </w:tcPr>
          <w:p w14:paraId="45C8560D">
            <w:pPr>
              <w:adjustRightInd w:val="0"/>
              <w:snapToGrid w:val="0"/>
              <w:jc w:val="center"/>
              <w:rPr>
                <w:rFonts w:ascii="Times New Roman" w:eastAsia="仿宋"/>
                <w:bCs/>
              </w:rPr>
            </w:pPr>
            <w:r>
              <w:rPr>
                <w:rFonts w:ascii="Times New Roman" w:eastAsia="仿宋"/>
                <w:bCs/>
              </w:rPr>
              <w:t>目前，本项目处于环评编制阶段，在环评审批前将严格落实主要污染物排放总量指标控制制度，取得主要污染物排放总量的控制指标和平衡方案，故符合文件要求。</w:t>
            </w:r>
          </w:p>
        </w:tc>
        <w:tc>
          <w:tcPr>
            <w:tcW w:w="1084" w:type="dxa"/>
            <w:vAlign w:val="center"/>
          </w:tcPr>
          <w:p w14:paraId="02A4BD30">
            <w:pPr>
              <w:adjustRightInd w:val="0"/>
              <w:snapToGrid w:val="0"/>
              <w:jc w:val="center"/>
              <w:rPr>
                <w:rFonts w:ascii="Times New Roman" w:eastAsia="仿宋"/>
                <w:bCs/>
              </w:rPr>
            </w:pPr>
            <w:r>
              <w:rPr>
                <w:rFonts w:hint="eastAsia" w:ascii="Times New Roman" w:eastAsia="仿宋"/>
                <w:bCs/>
              </w:rPr>
              <w:t>符合</w:t>
            </w:r>
          </w:p>
        </w:tc>
      </w:tr>
      <w:tr w14:paraId="6522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51065280">
            <w:pPr>
              <w:snapToGrid w:val="0"/>
              <w:jc w:val="center"/>
              <w:rPr>
                <w:sz w:val="21"/>
                <w:szCs w:val="21"/>
              </w:rPr>
            </w:pPr>
          </w:p>
        </w:tc>
        <w:tc>
          <w:tcPr>
            <w:tcW w:w="949" w:type="dxa"/>
            <w:vAlign w:val="center"/>
          </w:tcPr>
          <w:p w14:paraId="2F5EB665">
            <w:pPr>
              <w:adjustRightInd w:val="0"/>
              <w:snapToGrid w:val="0"/>
              <w:jc w:val="center"/>
              <w:rPr>
                <w:rFonts w:ascii="Times New Roman" w:eastAsia="仿宋"/>
                <w:bCs/>
              </w:rPr>
            </w:pPr>
            <w:r>
              <w:rPr>
                <w:rFonts w:hint="eastAsia" w:ascii="Times New Roman" w:eastAsia="仿宋"/>
                <w:bCs/>
              </w:rPr>
              <w:t>环境风险防控</w:t>
            </w:r>
          </w:p>
        </w:tc>
        <w:tc>
          <w:tcPr>
            <w:tcW w:w="4335" w:type="dxa"/>
            <w:vAlign w:val="center"/>
          </w:tcPr>
          <w:p w14:paraId="33072CCD">
            <w:pPr>
              <w:adjustRightInd w:val="0"/>
              <w:snapToGrid w:val="0"/>
              <w:jc w:val="center"/>
              <w:rPr>
                <w:rFonts w:ascii="Times New Roman" w:eastAsia="仿宋"/>
                <w:bCs/>
              </w:rPr>
            </w:pPr>
            <w:r>
              <w:rPr>
                <w:rFonts w:hint="eastAsia" w:ascii="Times New Roman" w:eastAsia="仿宋"/>
                <w:bCs/>
              </w:rPr>
              <w:t>1.防范沿江环境风险。深化沿江石化、化工、医药、纺织、印染、化纤、危化品和石油类仓储、涉重金属和危险废物处置等重点企业环境风险防控。2.加强饮用水水源保护。优化水源保护区划定，推动饮用水水源地规范化建设。</w:t>
            </w:r>
          </w:p>
        </w:tc>
        <w:tc>
          <w:tcPr>
            <w:tcW w:w="2179" w:type="dxa"/>
            <w:vAlign w:val="center"/>
          </w:tcPr>
          <w:p w14:paraId="1C84903E">
            <w:pPr>
              <w:adjustRightInd w:val="0"/>
              <w:snapToGrid w:val="0"/>
              <w:jc w:val="center"/>
              <w:rPr>
                <w:rFonts w:ascii="Times New Roman" w:eastAsia="仿宋"/>
                <w:bCs/>
              </w:rPr>
            </w:pPr>
            <w:r>
              <w:rPr>
                <w:rFonts w:ascii="Times New Roman" w:eastAsia="仿宋"/>
                <w:bCs/>
              </w:rPr>
              <w:t>本项目不在长江沿江1公里范围内。在生产过程中将制定企业突发环境风险事故应急预案，加强日常应急演练。</w:t>
            </w:r>
          </w:p>
        </w:tc>
        <w:tc>
          <w:tcPr>
            <w:tcW w:w="1084" w:type="dxa"/>
            <w:vAlign w:val="center"/>
          </w:tcPr>
          <w:p w14:paraId="6D794E15">
            <w:pPr>
              <w:adjustRightInd w:val="0"/>
              <w:snapToGrid w:val="0"/>
              <w:jc w:val="center"/>
              <w:rPr>
                <w:rFonts w:ascii="Times New Roman" w:eastAsia="仿宋"/>
                <w:bCs/>
              </w:rPr>
            </w:pPr>
            <w:r>
              <w:rPr>
                <w:rFonts w:hint="eastAsia" w:ascii="Times New Roman" w:eastAsia="仿宋"/>
                <w:bCs/>
              </w:rPr>
              <w:t>符合</w:t>
            </w:r>
          </w:p>
        </w:tc>
      </w:tr>
      <w:tr w14:paraId="57C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2025401F">
            <w:pPr>
              <w:snapToGrid w:val="0"/>
              <w:jc w:val="center"/>
              <w:rPr>
                <w:sz w:val="21"/>
                <w:szCs w:val="21"/>
              </w:rPr>
            </w:pPr>
          </w:p>
        </w:tc>
        <w:tc>
          <w:tcPr>
            <w:tcW w:w="949" w:type="dxa"/>
            <w:vAlign w:val="center"/>
          </w:tcPr>
          <w:p w14:paraId="4658F2F1">
            <w:pPr>
              <w:adjustRightInd w:val="0"/>
              <w:snapToGrid w:val="0"/>
              <w:jc w:val="center"/>
              <w:rPr>
                <w:rFonts w:ascii="Times New Roman" w:eastAsia="仿宋"/>
                <w:bCs/>
              </w:rPr>
            </w:pPr>
            <w:r>
              <w:rPr>
                <w:rFonts w:hint="eastAsia" w:ascii="Times New Roman" w:eastAsia="仿宋"/>
                <w:bCs/>
              </w:rPr>
              <w:t>资源利用效率要求</w:t>
            </w:r>
          </w:p>
        </w:tc>
        <w:tc>
          <w:tcPr>
            <w:tcW w:w="4335" w:type="dxa"/>
            <w:vAlign w:val="center"/>
          </w:tcPr>
          <w:p w14:paraId="360E1C64">
            <w:pPr>
              <w:adjustRightInd w:val="0"/>
              <w:snapToGrid w:val="0"/>
              <w:jc w:val="center"/>
              <w:rPr>
                <w:rFonts w:ascii="Times New Roman" w:eastAsia="仿宋"/>
                <w:bCs/>
              </w:rPr>
            </w:pPr>
            <w:r>
              <w:rPr>
                <w:rFonts w:hint="eastAsia" w:ascii="Times New Roman" w:eastAsia="仿宋"/>
                <w:bCs/>
              </w:rPr>
              <w:t>禁止在长江千支流岸线管控范圆内新建、扩建化工园区和化工项目。禁止在长江干流岸线和重要支流岸线管控范围内新建、改建、扩建尾矿库，但是以提升安全、生态环境保护水平为目的的改建除外。</w:t>
            </w:r>
          </w:p>
        </w:tc>
        <w:tc>
          <w:tcPr>
            <w:tcW w:w="2179" w:type="dxa"/>
            <w:vAlign w:val="center"/>
          </w:tcPr>
          <w:p w14:paraId="78AA4EDB">
            <w:pPr>
              <w:adjustRightInd w:val="0"/>
              <w:snapToGrid w:val="0"/>
              <w:jc w:val="center"/>
              <w:rPr>
                <w:rFonts w:ascii="Times New Roman" w:eastAsia="仿宋"/>
                <w:bCs/>
              </w:rPr>
            </w:pPr>
            <w:r>
              <w:rPr>
                <w:rFonts w:ascii="Times New Roman" w:eastAsia="仿宋"/>
                <w:bCs/>
              </w:rPr>
              <w:t>本项目不在</w:t>
            </w:r>
            <w:r>
              <w:rPr>
                <w:rFonts w:hint="eastAsia" w:ascii="Times New Roman" w:eastAsia="仿宋"/>
                <w:bCs/>
              </w:rPr>
              <w:t>长江千支流岸线管控范圆内，不在长江干流岸线和重要支流岸线管控范围内</w:t>
            </w:r>
            <w:r>
              <w:rPr>
                <w:rFonts w:ascii="Times New Roman" w:eastAsia="仿宋"/>
                <w:bCs/>
              </w:rPr>
              <w:t>。</w:t>
            </w:r>
          </w:p>
        </w:tc>
        <w:tc>
          <w:tcPr>
            <w:tcW w:w="1084" w:type="dxa"/>
            <w:vAlign w:val="center"/>
          </w:tcPr>
          <w:p w14:paraId="2FE17754">
            <w:pPr>
              <w:adjustRightInd w:val="0"/>
              <w:snapToGrid w:val="0"/>
              <w:jc w:val="center"/>
              <w:rPr>
                <w:rFonts w:ascii="Times New Roman" w:eastAsia="仿宋"/>
                <w:bCs/>
              </w:rPr>
            </w:pPr>
            <w:r>
              <w:rPr>
                <w:rFonts w:hint="eastAsia" w:ascii="Times New Roman" w:eastAsia="仿宋"/>
                <w:bCs/>
              </w:rPr>
              <w:t>符合</w:t>
            </w:r>
          </w:p>
        </w:tc>
      </w:tr>
      <w:tr w14:paraId="4DB1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restart"/>
            <w:vAlign w:val="center"/>
          </w:tcPr>
          <w:p w14:paraId="6417AF48">
            <w:pPr>
              <w:adjustRightInd w:val="0"/>
              <w:snapToGrid w:val="0"/>
              <w:jc w:val="center"/>
              <w:rPr>
                <w:rFonts w:ascii="Times New Roman" w:eastAsia="仿宋"/>
                <w:bCs/>
              </w:rPr>
            </w:pPr>
            <w:r>
              <w:rPr>
                <w:rFonts w:hint="eastAsia" w:ascii="Times New Roman" w:eastAsia="仿宋"/>
                <w:bCs/>
              </w:rPr>
              <w:t>太湖流域</w:t>
            </w:r>
          </w:p>
        </w:tc>
        <w:tc>
          <w:tcPr>
            <w:tcW w:w="949" w:type="dxa"/>
            <w:vAlign w:val="center"/>
          </w:tcPr>
          <w:p w14:paraId="6E32EB4E">
            <w:pPr>
              <w:adjustRightInd w:val="0"/>
              <w:snapToGrid w:val="0"/>
              <w:jc w:val="center"/>
              <w:rPr>
                <w:rFonts w:ascii="Times New Roman" w:eastAsia="仿宋"/>
                <w:bCs/>
              </w:rPr>
            </w:pPr>
            <w:r>
              <w:rPr>
                <w:rFonts w:hint="eastAsia" w:ascii="Times New Roman" w:eastAsia="仿宋"/>
                <w:bCs/>
              </w:rPr>
              <w:t>空间布局约束</w:t>
            </w:r>
          </w:p>
        </w:tc>
        <w:tc>
          <w:tcPr>
            <w:tcW w:w="4335" w:type="dxa"/>
            <w:vAlign w:val="center"/>
          </w:tcPr>
          <w:p w14:paraId="04C14B21">
            <w:pPr>
              <w:adjustRightInd w:val="0"/>
              <w:snapToGrid w:val="0"/>
              <w:jc w:val="center"/>
              <w:rPr>
                <w:rFonts w:ascii="Times New Roman" w:eastAsia="仿宋"/>
                <w:bCs/>
              </w:rPr>
            </w:pPr>
            <w:r>
              <w:rPr>
                <w:rFonts w:hint="eastAsia" w:ascii="Times New Roman" w:eastAsia="仿宋"/>
                <w:bCs/>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F70E58F">
            <w:pPr>
              <w:adjustRightInd w:val="0"/>
              <w:snapToGrid w:val="0"/>
              <w:jc w:val="center"/>
              <w:rPr>
                <w:rFonts w:ascii="Times New Roman" w:eastAsia="仿宋"/>
                <w:bCs/>
              </w:rPr>
            </w:pPr>
            <w:r>
              <w:rPr>
                <w:rFonts w:hint="eastAsia" w:ascii="Times New Roman" w:eastAsia="仿宋"/>
                <w:bCs/>
              </w:rPr>
              <w:t>2．在太湖流域一级保护区，禁止新建、扩建向水体排放污染物的建设项目，禁止新建、扩建畜禽养殖场，禁止新建、扩建高尔夫球场、水上游乐等开发项目以及设置水上餐饮经营设施。</w:t>
            </w:r>
          </w:p>
          <w:p w14:paraId="1C13BB97">
            <w:pPr>
              <w:adjustRightInd w:val="0"/>
              <w:snapToGrid w:val="0"/>
              <w:jc w:val="center"/>
              <w:rPr>
                <w:rFonts w:ascii="Times New Roman" w:eastAsia="仿宋"/>
                <w:bCs/>
              </w:rPr>
            </w:pPr>
            <w:r>
              <w:rPr>
                <w:rFonts w:hint="eastAsia" w:ascii="Times New Roman" w:eastAsia="仿宋"/>
                <w:bCs/>
              </w:rPr>
              <w:t>3．在太湖流域二级保护区，禁止新建、扩建化工、医药生产项目，禁止新建、扩建污水集中处理设施排污口以外的排污口。</w:t>
            </w:r>
          </w:p>
        </w:tc>
        <w:tc>
          <w:tcPr>
            <w:tcW w:w="2179" w:type="dxa"/>
            <w:vAlign w:val="center"/>
          </w:tcPr>
          <w:p w14:paraId="321B9E4C">
            <w:pPr>
              <w:adjustRightInd w:val="0"/>
              <w:snapToGrid w:val="0"/>
              <w:jc w:val="center"/>
              <w:rPr>
                <w:rFonts w:ascii="Times New Roman" w:eastAsia="仿宋"/>
                <w:bCs/>
              </w:rPr>
            </w:pPr>
            <w:r>
              <w:rPr>
                <w:rFonts w:hint="eastAsia" w:ascii="Times New Roman" w:eastAsia="仿宋"/>
                <w:bCs/>
              </w:rPr>
              <w:t>本项目位于太湖流域三级保护区内，不在左述限制和禁止行业范围内，符合国家产业政策；本项目不排放含氮磷生产废水。</w:t>
            </w:r>
          </w:p>
        </w:tc>
        <w:tc>
          <w:tcPr>
            <w:tcW w:w="1084" w:type="dxa"/>
            <w:vAlign w:val="center"/>
          </w:tcPr>
          <w:p w14:paraId="7CB334FF">
            <w:pPr>
              <w:adjustRightInd w:val="0"/>
              <w:snapToGrid w:val="0"/>
              <w:jc w:val="center"/>
              <w:rPr>
                <w:rFonts w:ascii="Times New Roman" w:eastAsia="仿宋"/>
                <w:bCs/>
              </w:rPr>
            </w:pPr>
            <w:r>
              <w:rPr>
                <w:rFonts w:hint="eastAsia" w:ascii="Times New Roman" w:eastAsia="仿宋"/>
                <w:bCs/>
              </w:rPr>
              <w:t>符合</w:t>
            </w:r>
          </w:p>
        </w:tc>
      </w:tr>
      <w:tr w14:paraId="2203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7D054999">
            <w:pPr>
              <w:snapToGrid w:val="0"/>
              <w:jc w:val="center"/>
              <w:rPr>
                <w:sz w:val="21"/>
                <w:szCs w:val="21"/>
              </w:rPr>
            </w:pPr>
          </w:p>
        </w:tc>
        <w:tc>
          <w:tcPr>
            <w:tcW w:w="949" w:type="dxa"/>
            <w:vAlign w:val="center"/>
          </w:tcPr>
          <w:p w14:paraId="294E3EF4">
            <w:pPr>
              <w:adjustRightInd w:val="0"/>
              <w:snapToGrid w:val="0"/>
              <w:jc w:val="center"/>
              <w:rPr>
                <w:rFonts w:ascii="Times New Roman" w:eastAsia="仿宋"/>
                <w:bCs/>
              </w:rPr>
            </w:pPr>
            <w:r>
              <w:rPr>
                <w:rFonts w:hint="eastAsia" w:ascii="Times New Roman" w:eastAsia="仿宋"/>
                <w:bCs/>
              </w:rPr>
              <w:t>污染物排放管控</w:t>
            </w:r>
          </w:p>
        </w:tc>
        <w:tc>
          <w:tcPr>
            <w:tcW w:w="4335" w:type="dxa"/>
            <w:vAlign w:val="center"/>
          </w:tcPr>
          <w:p w14:paraId="6653BD94">
            <w:pPr>
              <w:adjustRightInd w:val="0"/>
              <w:snapToGrid w:val="0"/>
              <w:jc w:val="center"/>
              <w:rPr>
                <w:rFonts w:ascii="Times New Roman" w:eastAsia="仿宋"/>
                <w:bCs/>
              </w:rPr>
            </w:pPr>
            <w:r>
              <w:rPr>
                <w:rFonts w:hint="eastAsia" w:ascii="Times New Roman" w:eastAsia="仿宋"/>
                <w:bCs/>
              </w:rPr>
              <w:t>城镇污水处理厂、纺织工业、化学工业、造纸工业、钢铁工业、电镀工业和食品工业的污水处理设施执行《太湖地区城镇污水处理厂及重点工业行业主要水污染物排放限值》。</w:t>
            </w:r>
          </w:p>
        </w:tc>
        <w:tc>
          <w:tcPr>
            <w:tcW w:w="2179" w:type="dxa"/>
            <w:vAlign w:val="center"/>
          </w:tcPr>
          <w:p w14:paraId="675698A8">
            <w:pPr>
              <w:adjustRightInd w:val="0"/>
              <w:snapToGrid w:val="0"/>
              <w:jc w:val="center"/>
              <w:rPr>
                <w:rFonts w:ascii="Times New Roman" w:eastAsia="仿宋"/>
                <w:bCs/>
              </w:rPr>
            </w:pPr>
            <w:r>
              <w:rPr>
                <w:rFonts w:hint="eastAsia" w:ascii="Times New Roman" w:eastAsia="仿宋"/>
                <w:bCs/>
              </w:rPr>
              <w:t>本项目不属于左述行业。</w:t>
            </w:r>
          </w:p>
        </w:tc>
        <w:tc>
          <w:tcPr>
            <w:tcW w:w="1084" w:type="dxa"/>
            <w:vAlign w:val="center"/>
          </w:tcPr>
          <w:p w14:paraId="23227A40">
            <w:pPr>
              <w:adjustRightInd w:val="0"/>
              <w:snapToGrid w:val="0"/>
              <w:jc w:val="center"/>
              <w:rPr>
                <w:rFonts w:ascii="Times New Roman" w:eastAsia="仿宋"/>
                <w:bCs/>
              </w:rPr>
            </w:pPr>
            <w:r>
              <w:rPr>
                <w:rFonts w:hint="eastAsia" w:ascii="Times New Roman" w:eastAsia="仿宋"/>
                <w:bCs/>
              </w:rPr>
              <w:t>符合</w:t>
            </w:r>
          </w:p>
        </w:tc>
      </w:tr>
      <w:tr w14:paraId="4408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0ED635A5">
            <w:pPr>
              <w:snapToGrid w:val="0"/>
              <w:jc w:val="center"/>
              <w:rPr>
                <w:sz w:val="21"/>
                <w:szCs w:val="21"/>
              </w:rPr>
            </w:pPr>
          </w:p>
        </w:tc>
        <w:tc>
          <w:tcPr>
            <w:tcW w:w="949" w:type="dxa"/>
            <w:vAlign w:val="center"/>
          </w:tcPr>
          <w:p w14:paraId="7B000E7F">
            <w:pPr>
              <w:adjustRightInd w:val="0"/>
              <w:snapToGrid w:val="0"/>
              <w:jc w:val="center"/>
              <w:rPr>
                <w:rFonts w:ascii="Times New Roman" w:eastAsia="仿宋"/>
                <w:bCs/>
              </w:rPr>
            </w:pPr>
            <w:r>
              <w:rPr>
                <w:rFonts w:hint="eastAsia" w:ascii="Times New Roman" w:eastAsia="仿宋"/>
                <w:bCs/>
              </w:rPr>
              <w:t>环境风险防控</w:t>
            </w:r>
          </w:p>
        </w:tc>
        <w:tc>
          <w:tcPr>
            <w:tcW w:w="4335" w:type="dxa"/>
            <w:vAlign w:val="center"/>
          </w:tcPr>
          <w:p w14:paraId="32BA6A15">
            <w:pPr>
              <w:adjustRightInd w:val="0"/>
              <w:snapToGrid w:val="0"/>
              <w:jc w:val="center"/>
              <w:rPr>
                <w:rFonts w:ascii="Times New Roman" w:eastAsia="仿宋"/>
                <w:bCs/>
              </w:rPr>
            </w:pPr>
            <w:r>
              <w:rPr>
                <w:rFonts w:hint="eastAsia" w:ascii="Times New Roman" w:eastAsia="仿宋"/>
                <w:bCs/>
              </w:rPr>
              <w:t>1．运输剧毒物质、危险化学品的船舶不得进入太湖。</w:t>
            </w:r>
          </w:p>
          <w:p w14:paraId="1850F525">
            <w:pPr>
              <w:adjustRightInd w:val="0"/>
              <w:snapToGrid w:val="0"/>
              <w:jc w:val="center"/>
              <w:rPr>
                <w:rFonts w:ascii="Times New Roman" w:eastAsia="仿宋"/>
                <w:bCs/>
              </w:rPr>
            </w:pPr>
            <w:r>
              <w:rPr>
                <w:rFonts w:hint="eastAsia" w:ascii="Times New Roman" w:eastAsia="仿宋"/>
                <w:bCs/>
              </w:rPr>
              <w:t>2．禁止向太湖流域水体排放或者倾倒油类、酸液、碱液、剧毒废渣废液、含放射性废渣废液、含病原体污水、工业废渣以及其他废弃物。</w:t>
            </w:r>
          </w:p>
          <w:p w14:paraId="7D7A777C">
            <w:pPr>
              <w:adjustRightInd w:val="0"/>
              <w:snapToGrid w:val="0"/>
              <w:jc w:val="center"/>
              <w:rPr>
                <w:rFonts w:ascii="Times New Roman" w:eastAsia="仿宋"/>
                <w:bCs/>
              </w:rPr>
            </w:pPr>
            <w:r>
              <w:rPr>
                <w:rFonts w:hint="eastAsia" w:ascii="Times New Roman" w:eastAsia="仿宋"/>
                <w:bCs/>
              </w:rPr>
              <w:t>3．加强太湖流域生态环境风险应急管控，着力提高防控太湖蓝藻水华风险预警和应急处置能力</w:t>
            </w:r>
          </w:p>
        </w:tc>
        <w:tc>
          <w:tcPr>
            <w:tcW w:w="2179" w:type="dxa"/>
            <w:vAlign w:val="center"/>
          </w:tcPr>
          <w:p w14:paraId="7992C646">
            <w:pPr>
              <w:adjustRightInd w:val="0"/>
              <w:snapToGrid w:val="0"/>
              <w:jc w:val="center"/>
              <w:rPr>
                <w:rFonts w:ascii="Times New Roman" w:eastAsia="仿宋"/>
                <w:bCs/>
              </w:rPr>
            </w:pPr>
            <w:r>
              <w:rPr>
                <w:rFonts w:hint="eastAsia" w:ascii="Times New Roman" w:eastAsia="仿宋"/>
                <w:bCs/>
              </w:rPr>
              <w:t>本项目使用原辅料均在专门区域妥善贮存，本项目</w:t>
            </w:r>
            <w:r>
              <w:rPr>
                <w:rFonts w:ascii="Times New Roman" w:eastAsia="仿宋"/>
                <w:bCs/>
              </w:rPr>
              <w:t>雨污分流，</w:t>
            </w:r>
            <w:r>
              <w:rPr>
                <w:rFonts w:hint="eastAsia" w:ascii="Times New Roman" w:eastAsia="仿宋"/>
                <w:bCs/>
              </w:rPr>
              <w:t>生产废水经厂区污水处理站处理后与生活污水一同</w:t>
            </w:r>
            <w:r>
              <w:rPr>
                <w:rFonts w:ascii="Times New Roman" w:eastAsia="仿宋"/>
                <w:bCs/>
              </w:rPr>
              <w:t>接入市政污水管网进</w:t>
            </w:r>
            <w:r>
              <w:rPr>
                <w:rFonts w:hint="eastAsia" w:ascii="Times New Roman" w:eastAsia="仿宋"/>
                <w:bCs/>
              </w:rPr>
              <w:t>金坛区直溪污水处理厂</w:t>
            </w:r>
            <w:r>
              <w:rPr>
                <w:rFonts w:ascii="Times New Roman" w:eastAsia="仿宋"/>
                <w:bCs/>
              </w:rPr>
              <w:t>集中处理；雨水接入市政雨水管网。</w:t>
            </w:r>
          </w:p>
        </w:tc>
        <w:tc>
          <w:tcPr>
            <w:tcW w:w="1084" w:type="dxa"/>
            <w:vAlign w:val="center"/>
          </w:tcPr>
          <w:p w14:paraId="48B8B63F">
            <w:pPr>
              <w:adjustRightInd w:val="0"/>
              <w:snapToGrid w:val="0"/>
              <w:jc w:val="center"/>
              <w:rPr>
                <w:rFonts w:ascii="Times New Roman" w:eastAsia="仿宋"/>
                <w:bCs/>
              </w:rPr>
            </w:pPr>
            <w:r>
              <w:rPr>
                <w:rFonts w:hint="eastAsia" w:ascii="Times New Roman" w:eastAsia="仿宋"/>
                <w:bCs/>
              </w:rPr>
              <w:t>符合</w:t>
            </w:r>
          </w:p>
        </w:tc>
      </w:tr>
      <w:tr w14:paraId="27C7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71" w:type="dxa"/>
            <w:vMerge w:val="continue"/>
            <w:vAlign w:val="center"/>
          </w:tcPr>
          <w:p w14:paraId="61E2704A">
            <w:pPr>
              <w:snapToGrid w:val="0"/>
              <w:jc w:val="center"/>
              <w:rPr>
                <w:sz w:val="21"/>
                <w:szCs w:val="21"/>
              </w:rPr>
            </w:pPr>
          </w:p>
        </w:tc>
        <w:tc>
          <w:tcPr>
            <w:tcW w:w="949" w:type="dxa"/>
            <w:vAlign w:val="center"/>
          </w:tcPr>
          <w:p w14:paraId="15FF0F82">
            <w:pPr>
              <w:adjustRightInd w:val="0"/>
              <w:snapToGrid w:val="0"/>
              <w:jc w:val="center"/>
              <w:rPr>
                <w:rFonts w:ascii="Times New Roman" w:eastAsia="仿宋"/>
                <w:bCs/>
              </w:rPr>
            </w:pPr>
            <w:r>
              <w:rPr>
                <w:rFonts w:hint="eastAsia" w:ascii="Times New Roman" w:eastAsia="仿宋"/>
                <w:bCs/>
              </w:rPr>
              <w:t>资源利用效率要求</w:t>
            </w:r>
          </w:p>
        </w:tc>
        <w:tc>
          <w:tcPr>
            <w:tcW w:w="4335" w:type="dxa"/>
            <w:vAlign w:val="center"/>
          </w:tcPr>
          <w:p w14:paraId="7F357DFD">
            <w:pPr>
              <w:adjustRightInd w:val="0"/>
              <w:snapToGrid w:val="0"/>
              <w:jc w:val="center"/>
              <w:rPr>
                <w:rFonts w:ascii="Times New Roman" w:eastAsia="仿宋"/>
                <w:bCs/>
              </w:rPr>
            </w:pPr>
            <w:r>
              <w:rPr>
                <w:rFonts w:hint="eastAsia" w:ascii="Times New Roman" w:eastAsia="仿宋"/>
                <w:bCs/>
              </w:rPr>
              <w:t>1．严格用水定额管理制度，推进取用水规范化管理，科学制定用水定额并动态调整，对超过用水定额标准的企业分类分步先期实施节水改造，鼓励重点用水企业、园区建立智慧用水管理系统。</w:t>
            </w:r>
          </w:p>
          <w:p w14:paraId="2D746D42">
            <w:pPr>
              <w:adjustRightInd w:val="0"/>
              <w:snapToGrid w:val="0"/>
              <w:jc w:val="center"/>
              <w:rPr>
                <w:rFonts w:ascii="Times New Roman" w:eastAsia="仿宋"/>
                <w:bCs/>
              </w:rPr>
            </w:pPr>
            <w:r>
              <w:rPr>
                <w:rFonts w:hint="eastAsia" w:ascii="Times New Roman" w:eastAsia="仿宋"/>
                <w:bCs/>
              </w:rPr>
              <w:t>2．推进新孟河、新沟河、望虞河、走马塘等河道联合调度，科学调控太湖水位。</w:t>
            </w:r>
          </w:p>
        </w:tc>
        <w:tc>
          <w:tcPr>
            <w:tcW w:w="2179" w:type="dxa"/>
            <w:vAlign w:val="center"/>
          </w:tcPr>
          <w:p w14:paraId="433701AD">
            <w:pPr>
              <w:adjustRightInd w:val="0"/>
              <w:snapToGrid w:val="0"/>
              <w:jc w:val="center"/>
              <w:rPr>
                <w:rFonts w:ascii="Times New Roman" w:eastAsia="仿宋"/>
                <w:bCs/>
              </w:rPr>
            </w:pPr>
            <w:r>
              <w:rPr>
                <w:rFonts w:hint="eastAsia" w:ascii="Times New Roman" w:eastAsia="仿宋"/>
                <w:bCs/>
              </w:rPr>
              <w:t>本项目严格用水定额管理制度。</w:t>
            </w:r>
          </w:p>
        </w:tc>
        <w:tc>
          <w:tcPr>
            <w:tcW w:w="1084" w:type="dxa"/>
            <w:vAlign w:val="center"/>
          </w:tcPr>
          <w:p w14:paraId="185FC555">
            <w:pPr>
              <w:adjustRightInd w:val="0"/>
              <w:snapToGrid w:val="0"/>
              <w:jc w:val="center"/>
              <w:rPr>
                <w:rFonts w:ascii="Times New Roman" w:eastAsia="仿宋"/>
                <w:bCs/>
              </w:rPr>
            </w:pPr>
            <w:r>
              <w:rPr>
                <w:rFonts w:hint="eastAsia" w:ascii="Times New Roman" w:eastAsia="仿宋"/>
                <w:bCs/>
              </w:rPr>
              <w:t>符合</w:t>
            </w:r>
          </w:p>
        </w:tc>
      </w:tr>
    </w:tbl>
    <w:p w14:paraId="7659006C">
      <w:pPr>
        <w:spacing w:line="500" w:lineRule="exact"/>
        <w:jc w:val="center"/>
        <w:rPr>
          <w:rFonts w:ascii="Times New Roman" w:eastAsia="仿宋"/>
          <w:b/>
          <w:bCs/>
        </w:rPr>
      </w:pPr>
      <w:r>
        <w:rPr>
          <w:rFonts w:ascii="Times New Roman" w:eastAsia="仿宋"/>
          <w:b/>
          <w:bCs/>
        </w:rPr>
        <w:t>表2.7-2</w:t>
      </w:r>
      <w:r>
        <w:rPr>
          <w:rFonts w:hint="eastAsia" w:ascii="Times New Roman" w:eastAsia="仿宋"/>
          <w:b/>
          <w:bCs/>
        </w:rPr>
        <w:t>2</w:t>
      </w:r>
      <w:r>
        <w:rPr>
          <w:rFonts w:ascii="Times New Roman" w:eastAsia="仿宋"/>
          <w:b/>
          <w:bCs/>
        </w:rPr>
        <w:t xml:space="preserve">  与常州市生态环境管控总体要求符合性预判情况分析</w:t>
      </w:r>
    </w:p>
    <w:tbl>
      <w:tblPr>
        <w:tblStyle w:val="87"/>
        <w:tblW w:w="57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5428"/>
        <w:gridCol w:w="2898"/>
        <w:gridCol w:w="1165"/>
      </w:tblGrid>
      <w:tr w14:paraId="3E53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noWrap/>
            <w:vAlign w:val="center"/>
          </w:tcPr>
          <w:p w14:paraId="4541BBE3">
            <w:pPr>
              <w:adjustRightInd w:val="0"/>
              <w:snapToGrid w:val="0"/>
              <w:jc w:val="center"/>
              <w:rPr>
                <w:rFonts w:ascii="Times New Roman" w:eastAsia="仿宋"/>
                <w:bCs/>
              </w:rPr>
            </w:pPr>
            <w:r>
              <w:rPr>
                <w:rFonts w:ascii="Times New Roman" w:eastAsia="仿宋"/>
                <w:bCs/>
              </w:rPr>
              <w:t>管控</w:t>
            </w:r>
          </w:p>
          <w:p w14:paraId="427B1E77">
            <w:pPr>
              <w:adjustRightInd w:val="0"/>
              <w:snapToGrid w:val="0"/>
              <w:jc w:val="center"/>
              <w:rPr>
                <w:rFonts w:ascii="Times New Roman" w:eastAsia="仿宋"/>
                <w:bCs/>
              </w:rPr>
            </w:pPr>
            <w:r>
              <w:rPr>
                <w:rFonts w:ascii="Times New Roman" w:eastAsia="仿宋"/>
                <w:bCs/>
              </w:rPr>
              <w:t>类别</w:t>
            </w:r>
          </w:p>
        </w:tc>
        <w:tc>
          <w:tcPr>
            <w:tcW w:w="2666" w:type="pct"/>
            <w:noWrap/>
            <w:vAlign w:val="center"/>
          </w:tcPr>
          <w:p w14:paraId="3660EFBD">
            <w:pPr>
              <w:adjustRightInd w:val="0"/>
              <w:snapToGrid w:val="0"/>
              <w:jc w:val="center"/>
              <w:rPr>
                <w:rFonts w:ascii="Times New Roman" w:eastAsia="仿宋"/>
                <w:bCs/>
              </w:rPr>
            </w:pPr>
            <w:r>
              <w:rPr>
                <w:rFonts w:ascii="Times New Roman" w:eastAsia="仿宋"/>
                <w:bCs/>
              </w:rPr>
              <w:t>重点管控要求</w:t>
            </w:r>
          </w:p>
        </w:tc>
        <w:tc>
          <w:tcPr>
            <w:tcW w:w="1423" w:type="pct"/>
            <w:noWrap/>
            <w:vAlign w:val="center"/>
          </w:tcPr>
          <w:p w14:paraId="5134A27D">
            <w:pPr>
              <w:adjustRightInd w:val="0"/>
              <w:snapToGrid w:val="0"/>
              <w:jc w:val="center"/>
              <w:rPr>
                <w:rFonts w:ascii="Times New Roman" w:eastAsia="仿宋"/>
                <w:bCs/>
              </w:rPr>
            </w:pPr>
            <w:r>
              <w:rPr>
                <w:rFonts w:ascii="Times New Roman" w:eastAsia="仿宋"/>
                <w:bCs/>
              </w:rPr>
              <w:t>对照分析</w:t>
            </w:r>
          </w:p>
        </w:tc>
        <w:tc>
          <w:tcPr>
            <w:tcW w:w="572" w:type="pct"/>
            <w:noWrap/>
            <w:vAlign w:val="center"/>
          </w:tcPr>
          <w:p w14:paraId="39E9C904">
            <w:pPr>
              <w:adjustRightInd w:val="0"/>
              <w:snapToGrid w:val="0"/>
              <w:jc w:val="center"/>
              <w:rPr>
                <w:rFonts w:ascii="Times New Roman" w:eastAsia="仿宋"/>
                <w:bCs/>
              </w:rPr>
            </w:pPr>
            <w:r>
              <w:rPr>
                <w:rFonts w:ascii="Times New Roman" w:eastAsia="仿宋"/>
                <w:bCs/>
              </w:rPr>
              <w:t>是否满足要求</w:t>
            </w:r>
          </w:p>
        </w:tc>
      </w:tr>
      <w:tr w14:paraId="7638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noWrap/>
            <w:vAlign w:val="center"/>
          </w:tcPr>
          <w:p w14:paraId="1CF5F1CE">
            <w:pPr>
              <w:adjustRightInd w:val="0"/>
              <w:snapToGrid w:val="0"/>
              <w:jc w:val="center"/>
              <w:rPr>
                <w:rFonts w:ascii="Times New Roman" w:eastAsia="仿宋"/>
                <w:bCs/>
              </w:rPr>
            </w:pPr>
            <w:r>
              <w:rPr>
                <w:rFonts w:ascii="Times New Roman" w:eastAsia="仿宋"/>
                <w:bCs/>
              </w:rPr>
              <w:t>空间布局约束</w:t>
            </w:r>
          </w:p>
        </w:tc>
        <w:tc>
          <w:tcPr>
            <w:tcW w:w="2666" w:type="pct"/>
            <w:noWrap/>
            <w:vAlign w:val="center"/>
          </w:tcPr>
          <w:p w14:paraId="7204231E">
            <w:pPr>
              <w:adjustRightInd w:val="0"/>
              <w:snapToGrid w:val="0"/>
              <w:jc w:val="center"/>
              <w:rPr>
                <w:rFonts w:ascii="Times New Roman" w:eastAsia="仿宋"/>
                <w:bCs/>
              </w:rPr>
            </w:pPr>
            <w:r>
              <w:rPr>
                <w:rFonts w:ascii="Times New Roman" w:eastAsia="仿宋"/>
                <w:bCs/>
              </w:rPr>
              <w:t>（1）严格执行《江苏省“三线一单”生态环境分区管控方案》（苏政发〔2020〕49号）附件3江苏省省域生态环境管控要求中“空间布局约束”的相关要求。</w:t>
            </w:r>
          </w:p>
          <w:p w14:paraId="2043FCB9">
            <w:pPr>
              <w:adjustRightInd w:val="0"/>
              <w:snapToGrid w:val="0"/>
              <w:jc w:val="center"/>
              <w:rPr>
                <w:rFonts w:ascii="Times New Roman" w:eastAsia="仿宋"/>
                <w:bCs/>
              </w:rPr>
            </w:pPr>
            <w:r>
              <w:rPr>
                <w:rFonts w:ascii="Times New Roman" w:eastAsia="仿宋"/>
                <w:bCs/>
              </w:rPr>
              <w:t>（2）严格执行《关于印发各设区市2023年深入打好污染防治攻坚战目标任务书的通知》（苏污防攻坚指办〔2023〕53号）《2023年常州市生态文明建设工作方案》（常政发〔2023〕23号）等文件要求。</w:t>
            </w:r>
          </w:p>
          <w:p w14:paraId="4DF7BDF3">
            <w:pPr>
              <w:adjustRightInd w:val="0"/>
              <w:snapToGrid w:val="0"/>
              <w:jc w:val="center"/>
              <w:rPr>
                <w:rFonts w:ascii="Times New Roman" w:eastAsia="仿宋"/>
                <w:bCs/>
              </w:rPr>
            </w:pPr>
            <w:r>
              <w:rPr>
                <w:rFonts w:ascii="Times New Roman" w:eastAsia="仿宋"/>
                <w:bCs/>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35E5CEA8">
            <w:pPr>
              <w:adjustRightInd w:val="0"/>
              <w:snapToGrid w:val="0"/>
              <w:jc w:val="center"/>
              <w:rPr>
                <w:rFonts w:ascii="Times New Roman" w:eastAsia="仿宋"/>
                <w:bCs/>
              </w:rPr>
            </w:pPr>
            <w:r>
              <w:rPr>
                <w:rFonts w:ascii="Times New Roman" w:eastAsia="仿宋"/>
                <w:bCs/>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423" w:type="pct"/>
            <w:noWrap/>
            <w:vAlign w:val="center"/>
          </w:tcPr>
          <w:p w14:paraId="7BB28245">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，国民经济行业类别属于“</w:t>
            </w:r>
            <w:r>
              <w:rPr>
                <w:rFonts w:hint="eastAsia" w:ascii="Times New Roman" w:eastAsia="仿宋"/>
                <w:bCs/>
              </w:rPr>
              <w:t>“C3670汽车零部件及配件制造</w:t>
            </w:r>
            <w:r>
              <w:rPr>
                <w:rFonts w:ascii="Times New Roman" w:eastAsia="仿宋"/>
                <w:bCs/>
              </w:rPr>
              <w:t>”，不在长江干支流1公里范围内，符合《江苏省“三线一单”生态环境分区管控方案》（苏政发〔2020〕49号）；本项目各废气均收集后经有效、可行、可靠的污染物控制措施治理后达标排放；本项目属于《产业结构调整指导目录（2024年本）（修正）》中“鼓励类”项目，不属于《江苏省产业结构调整限制、淘汰和禁止目录》、《江苏省工业和信息产业结构调整、限制、淘汰目录及能耗限额》淘汰类的产业，不属于禁止引进的项目。</w:t>
            </w:r>
          </w:p>
        </w:tc>
        <w:tc>
          <w:tcPr>
            <w:tcW w:w="572" w:type="pct"/>
            <w:noWrap/>
            <w:vAlign w:val="center"/>
          </w:tcPr>
          <w:p w14:paraId="5CF59AB8">
            <w:pPr>
              <w:adjustRightInd w:val="0"/>
              <w:snapToGrid w:val="0"/>
              <w:jc w:val="center"/>
              <w:rPr>
                <w:rFonts w:ascii="Times New Roman" w:eastAsia="仿宋"/>
                <w:bCs/>
              </w:rPr>
            </w:pPr>
            <w:r>
              <w:rPr>
                <w:rFonts w:ascii="Times New Roman" w:eastAsia="仿宋"/>
                <w:bCs/>
              </w:rPr>
              <w:t>是</w:t>
            </w:r>
          </w:p>
        </w:tc>
      </w:tr>
      <w:tr w14:paraId="18C9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noWrap/>
            <w:vAlign w:val="center"/>
          </w:tcPr>
          <w:p w14:paraId="16451292">
            <w:pPr>
              <w:adjustRightInd w:val="0"/>
              <w:snapToGrid w:val="0"/>
              <w:jc w:val="center"/>
              <w:rPr>
                <w:rFonts w:ascii="Times New Roman" w:eastAsia="仿宋"/>
                <w:bCs/>
              </w:rPr>
            </w:pPr>
            <w:r>
              <w:rPr>
                <w:rFonts w:ascii="Times New Roman" w:eastAsia="仿宋"/>
                <w:bCs/>
              </w:rPr>
              <w:t>污染物排放管控</w:t>
            </w:r>
          </w:p>
        </w:tc>
        <w:tc>
          <w:tcPr>
            <w:tcW w:w="2666" w:type="pct"/>
            <w:noWrap/>
            <w:vAlign w:val="center"/>
          </w:tcPr>
          <w:p w14:paraId="329515C9">
            <w:pPr>
              <w:adjustRightInd w:val="0"/>
              <w:snapToGrid w:val="0"/>
              <w:jc w:val="center"/>
              <w:rPr>
                <w:rFonts w:ascii="Times New Roman" w:eastAsia="仿宋"/>
                <w:bCs/>
              </w:rPr>
            </w:pPr>
            <w:r>
              <w:rPr>
                <w:rFonts w:ascii="Times New Roman" w:eastAsia="仿宋"/>
                <w:bCs/>
              </w:rPr>
              <w:t>（1）坚持生态环境质量只能更好、不能变坏，实施污染物总量控制，以环境容量定产业、定项目、定规模，确保开发建设行为不突破生态环境承载力。</w:t>
            </w:r>
          </w:p>
          <w:p w14:paraId="5DDBAB84">
            <w:pPr>
              <w:adjustRightInd w:val="0"/>
              <w:snapToGrid w:val="0"/>
              <w:jc w:val="center"/>
              <w:rPr>
                <w:rFonts w:ascii="Times New Roman" w:eastAsia="仿宋"/>
                <w:bCs/>
              </w:rPr>
            </w:pPr>
            <w:r>
              <w:rPr>
                <w:rFonts w:ascii="Times New Roman" w:eastAsia="仿宋"/>
                <w:bCs/>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23" w:type="pct"/>
            <w:noWrap/>
            <w:vAlign w:val="center"/>
          </w:tcPr>
          <w:p w14:paraId="1534D6F2">
            <w:pPr>
              <w:adjustRightInd w:val="0"/>
              <w:snapToGrid w:val="0"/>
              <w:jc w:val="center"/>
              <w:rPr>
                <w:rFonts w:ascii="Times New Roman" w:eastAsia="仿宋"/>
                <w:bCs/>
              </w:rPr>
            </w:pPr>
            <w:r>
              <w:rPr>
                <w:rFonts w:ascii="Times New Roman" w:eastAsia="仿宋"/>
                <w:bCs/>
              </w:rPr>
              <w:t>目前，本项目处于环评编制阶段，在环评审批前将严格落实主要污染物排放总量指标控制制度，取得主要污染物排放总量的控制指标和平衡方案，故符合文件要求。</w:t>
            </w:r>
          </w:p>
        </w:tc>
        <w:tc>
          <w:tcPr>
            <w:tcW w:w="572" w:type="pct"/>
            <w:noWrap/>
            <w:vAlign w:val="center"/>
          </w:tcPr>
          <w:p w14:paraId="50038F30">
            <w:pPr>
              <w:adjustRightInd w:val="0"/>
              <w:snapToGrid w:val="0"/>
              <w:jc w:val="center"/>
              <w:rPr>
                <w:rFonts w:ascii="Times New Roman" w:eastAsia="仿宋"/>
                <w:bCs/>
              </w:rPr>
            </w:pPr>
            <w:r>
              <w:rPr>
                <w:rFonts w:ascii="Times New Roman" w:eastAsia="仿宋"/>
                <w:bCs/>
              </w:rPr>
              <w:t>是</w:t>
            </w:r>
          </w:p>
        </w:tc>
      </w:tr>
      <w:tr w14:paraId="03F2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noWrap/>
            <w:vAlign w:val="center"/>
          </w:tcPr>
          <w:p w14:paraId="428551BA">
            <w:pPr>
              <w:adjustRightInd w:val="0"/>
              <w:snapToGrid w:val="0"/>
              <w:jc w:val="center"/>
              <w:rPr>
                <w:rFonts w:ascii="Times New Roman" w:eastAsia="仿宋"/>
                <w:bCs/>
              </w:rPr>
            </w:pPr>
            <w:r>
              <w:rPr>
                <w:rFonts w:ascii="Times New Roman" w:eastAsia="仿宋"/>
                <w:bCs/>
              </w:rPr>
              <w:t>环境风险防控</w:t>
            </w:r>
          </w:p>
        </w:tc>
        <w:tc>
          <w:tcPr>
            <w:tcW w:w="2666" w:type="pct"/>
            <w:noWrap/>
            <w:vAlign w:val="center"/>
          </w:tcPr>
          <w:p w14:paraId="553C9079">
            <w:pPr>
              <w:adjustRightInd w:val="0"/>
              <w:snapToGrid w:val="0"/>
              <w:jc w:val="center"/>
              <w:rPr>
                <w:rFonts w:ascii="Times New Roman" w:eastAsia="仿宋"/>
                <w:bCs/>
              </w:rPr>
            </w:pPr>
            <w:r>
              <w:rPr>
                <w:rFonts w:ascii="Times New Roman" w:eastAsia="仿宋"/>
                <w:bCs/>
              </w:rPr>
              <w:t>（1）严格执行《江苏省“三线一单”生态环境分区管控方案》（苏政发〔2020〕49号）附件3江苏省省域生态环境管控要求中“环境风险防控”的相关要求。</w:t>
            </w:r>
          </w:p>
          <w:p w14:paraId="22EA8610">
            <w:pPr>
              <w:adjustRightInd w:val="0"/>
              <w:snapToGrid w:val="0"/>
              <w:jc w:val="center"/>
              <w:rPr>
                <w:rFonts w:ascii="Times New Roman" w:eastAsia="仿宋"/>
                <w:bCs/>
              </w:rPr>
            </w:pPr>
            <w:r>
              <w:rPr>
                <w:rFonts w:ascii="Times New Roman" w:eastAsia="仿宋"/>
                <w:bCs/>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0809B3A1">
            <w:pPr>
              <w:adjustRightInd w:val="0"/>
              <w:snapToGrid w:val="0"/>
              <w:jc w:val="center"/>
              <w:rPr>
                <w:rFonts w:ascii="Times New Roman" w:eastAsia="仿宋"/>
                <w:bCs/>
              </w:rPr>
            </w:pPr>
            <w:r>
              <w:rPr>
                <w:rFonts w:ascii="Times New Roman" w:eastAsia="仿宋"/>
                <w:bCs/>
              </w:rPr>
              <w:t>（3）强化饮用水水源环境风险管控，建成应急水源工程。</w:t>
            </w:r>
          </w:p>
          <w:p w14:paraId="2DE27A99">
            <w:pPr>
              <w:adjustRightInd w:val="0"/>
              <w:snapToGrid w:val="0"/>
              <w:jc w:val="center"/>
              <w:rPr>
                <w:rFonts w:ascii="Times New Roman" w:eastAsia="仿宋"/>
                <w:bCs/>
              </w:rPr>
            </w:pPr>
            <w:r>
              <w:rPr>
                <w:rFonts w:ascii="Times New Roman" w:eastAsia="仿宋"/>
                <w:bCs/>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23" w:type="pct"/>
            <w:noWrap/>
            <w:vAlign w:val="center"/>
          </w:tcPr>
          <w:p w14:paraId="19DB09A1">
            <w:pPr>
              <w:adjustRightInd w:val="0"/>
              <w:snapToGrid w:val="0"/>
              <w:jc w:val="center"/>
              <w:rPr>
                <w:rFonts w:ascii="Times New Roman" w:eastAsia="仿宋"/>
                <w:bCs/>
              </w:rPr>
            </w:pPr>
            <w:r>
              <w:rPr>
                <w:rFonts w:ascii="Times New Roman" w:eastAsia="仿宋"/>
                <w:bCs/>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本项目按要求建立并完善隐患排查管理机构，建立健全隐患排查治理制度。</w:t>
            </w:r>
          </w:p>
        </w:tc>
        <w:tc>
          <w:tcPr>
            <w:tcW w:w="572" w:type="pct"/>
            <w:noWrap/>
            <w:vAlign w:val="center"/>
          </w:tcPr>
          <w:p w14:paraId="7016C758">
            <w:pPr>
              <w:adjustRightInd w:val="0"/>
              <w:snapToGrid w:val="0"/>
              <w:jc w:val="center"/>
              <w:rPr>
                <w:rFonts w:ascii="Times New Roman" w:eastAsia="仿宋"/>
                <w:bCs/>
              </w:rPr>
            </w:pPr>
            <w:r>
              <w:rPr>
                <w:rFonts w:ascii="Times New Roman" w:eastAsia="仿宋"/>
                <w:bCs/>
              </w:rPr>
              <w:t>是</w:t>
            </w:r>
          </w:p>
        </w:tc>
      </w:tr>
      <w:tr w14:paraId="6F96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9" w:type="pct"/>
            <w:noWrap/>
            <w:vAlign w:val="center"/>
          </w:tcPr>
          <w:p w14:paraId="323521C5">
            <w:pPr>
              <w:adjustRightInd w:val="0"/>
              <w:snapToGrid w:val="0"/>
              <w:jc w:val="center"/>
              <w:rPr>
                <w:rFonts w:ascii="Times New Roman" w:eastAsia="仿宋"/>
                <w:bCs/>
              </w:rPr>
            </w:pPr>
            <w:r>
              <w:rPr>
                <w:rFonts w:ascii="Times New Roman" w:eastAsia="仿宋"/>
                <w:bCs/>
              </w:rPr>
              <w:t>资源利用效率要求</w:t>
            </w:r>
          </w:p>
        </w:tc>
        <w:tc>
          <w:tcPr>
            <w:tcW w:w="2666" w:type="pct"/>
            <w:noWrap/>
            <w:vAlign w:val="center"/>
          </w:tcPr>
          <w:p w14:paraId="7D046BF8">
            <w:pPr>
              <w:adjustRightInd w:val="0"/>
              <w:snapToGrid w:val="0"/>
              <w:jc w:val="center"/>
              <w:rPr>
                <w:rFonts w:ascii="Times New Roman" w:eastAsia="仿宋"/>
                <w:bCs/>
              </w:rPr>
            </w:pPr>
            <w:r>
              <w:rPr>
                <w:rFonts w:ascii="Times New Roman" w:eastAsia="仿宋"/>
                <w:bCs/>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0711B270">
            <w:pPr>
              <w:adjustRightInd w:val="0"/>
              <w:snapToGrid w:val="0"/>
              <w:jc w:val="center"/>
              <w:rPr>
                <w:rFonts w:ascii="Times New Roman" w:eastAsia="仿宋"/>
                <w:bCs/>
              </w:rPr>
            </w:pPr>
            <w:r>
              <w:rPr>
                <w:rFonts w:ascii="Times New Roman" w:eastAsia="仿宋"/>
                <w:bCs/>
              </w:rPr>
              <w:t>（2）根据《常州市国土空间总体规划（2021-2035年）》，永久基本农田实际划定是7.53万公顷，2035年任务量为7.66万公顷。</w:t>
            </w:r>
          </w:p>
          <w:p w14:paraId="37BE5EE2">
            <w:pPr>
              <w:adjustRightInd w:val="0"/>
              <w:snapToGrid w:val="0"/>
              <w:jc w:val="center"/>
              <w:rPr>
                <w:rFonts w:ascii="Times New Roman" w:eastAsia="仿宋"/>
                <w:bCs/>
              </w:rPr>
            </w:pPr>
            <w:r>
              <w:rPr>
                <w:rFonts w:ascii="Times New Roman" w:eastAsia="仿宋"/>
                <w:bCs/>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r>
              <w:rPr>
                <w:rFonts w:hint="eastAsia" w:hAnsi="宋体" w:cs="宋体"/>
                <w:bCs/>
              </w:rPr>
              <w:t>①</w:t>
            </w:r>
            <w:r>
              <w:rPr>
                <w:rFonts w:ascii="Times New Roman" w:eastAsia="仿宋"/>
                <w:bCs/>
              </w:rPr>
              <w:t>“II类”（较严），具体包括：除单台出力大于等于20蒸吨/小时锅炉以外燃用的煤炭及其制品；石油焦、油页岩、原油、重油、渣油、煤焦油。</w:t>
            </w:r>
            <w:r>
              <w:rPr>
                <w:rFonts w:hint="eastAsia" w:hAnsi="宋体" w:cs="宋体"/>
                <w:bCs/>
              </w:rPr>
              <w:t>②</w:t>
            </w:r>
            <w:r>
              <w:rPr>
                <w:rFonts w:ascii="Times New Roman" w:eastAsia="仿宋"/>
                <w:bCs/>
              </w:rPr>
              <w:t>“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2FD04C66">
            <w:pPr>
              <w:adjustRightInd w:val="0"/>
              <w:snapToGrid w:val="0"/>
              <w:jc w:val="center"/>
              <w:rPr>
                <w:rFonts w:ascii="Times New Roman" w:eastAsia="仿宋"/>
                <w:bCs/>
              </w:rPr>
            </w:pPr>
            <w:r>
              <w:rPr>
                <w:rFonts w:ascii="Times New Roman" w:eastAsia="仿宋"/>
                <w:bCs/>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23" w:type="pct"/>
            <w:noWrap/>
            <w:vAlign w:val="center"/>
          </w:tcPr>
          <w:p w14:paraId="1F25FCEC">
            <w:pPr>
              <w:adjustRightInd w:val="0"/>
              <w:snapToGrid w:val="0"/>
              <w:jc w:val="center"/>
              <w:rPr>
                <w:rFonts w:ascii="Times New Roman" w:eastAsia="仿宋"/>
                <w:bCs/>
              </w:rPr>
            </w:pPr>
            <w:r>
              <w:rPr>
                <w:rFonts w:ascii="Times New Roman" w:eastAsia="仿宋"/>
                <w:bCs/>
              </w:rPr>
              <w:t>本项目所在地规划用地性质为工业用地，不占用耕地，本项目使用电</w:t>
            </w:r>
            <w:r>
              <w:rPr>
                <w:rFonts w:hint="eastAsia" w:ascii="Times New Roman" w:eastAsia="仿宋"/>
                <w:bCs/>
              </w:rPr>
              <w:t>、天然气</w:t>
            </w:r>
            <w:r>
              <w:rPr>
                <w:rFonts w:ascii="Times New Roman" w:eastAsia="仿宋"/>
                <w:bCs/>
              </w:rPr>
              <w:t>等清洁能源，不涉及燃用高污染燃料的项目和设施。</w:t>
            </w:r>
          </w:p>
        </w:tc>
        <w:tc>
          <w:tcPr>
            <w:tcW w:w="572" w:type="pct"/>
            <w:noWrap/>
            <w:vAlign w:val="center"/>
          </w:tcPr>
          <w:p w14:paraId="2FE3E4DB">
            <w:pPr>
              <w:adjustRightInd w:val="0"/>
              <w:snapToGrid w:val="0"/>
              <w:jc w:val="center"/>
              <w:rPr>
                <w:rFonts w:ascii="Times New Roman" w:eastAsia="仿宋"/>
                <w:bCs/>
              </w:rPr>
            </w:pPr>
            <w:r>
              <w:rPr>
                <w:rFonts w:ascii="Times New Roman" w:eastAsia="仿宋"/>
                <w:bCs/>
              </w:rPr>
              <w:t>是</w:t>
            </w:r>
          </w:p>
        </w:tc>
      </w:tr>
    </w:tbl>
    <w:p w14:paraId="1657EE52">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（3）根据《常州市“三线一单”生态环境分区管控实施方案》附件3中常州市环境管控单元名录，本项目位于</w:t>
      </w:r>
      <w:r>
        <w:rPr>
          <w:rFonts w:hint="eastAsia" w:ascii="Times New Roman" w:eastAsia="仿宋"/>
          <w:sz w:val="28"/>
          <w:szCs w:val="28"/>
        </w:rPr>
        <w:t>金坛区朱林现代产业园</w:t>
      </w:r>
      <w:r>
        <w:rPr>
          <w:rFonts w:ascii="Times New Roman" w:eastAsia="仿宋"/>
          <w:sz w:val="28"/>
          <w:szCs w:val="28"/>
        </w:rPr>
        <w:t>，属于“重点管控单元”。</w:t>
      </w:r>
    </w:p>
    <w:p w14:paraId="65AC6A63">
      <w:pPr>
        <w:spacing w:line="500" w:lineRule="exact"/>
        <w:jc w:val="center"/>
        <w:rPr>
          <w:rFonts w:ascii="Times New Roman" w:eastAsia="仿宋"/>
          <w:b/>
          <w:bCs/>
        </w:rPr>
      </w:pPr>
      <w:r>
        <w:rPr>
          <w:rFonts w:ascii="Times New Roman" w:eastAsia="仿宋"/>
          <w:b/>
          <w:bCs/>
        </w:rPr>
        <w:t>表2.7-2</w:t>
      </w:r>
      <w:r>
        <w:rPr>
          <w:rFonts w:hint="eastAsia" w:ascii="Times New Roman" w:eastAsia="仿宋"/>
          <w:b/>
          <w:bCs/>
        </w:rPr>
        <w:t>3</w:t>
      </w:r>
      <w:r>
        <w:rPr>
          <w:rFonts w:ascii="Times New Roman" w:eastAsia="仿宋"/>
          <w:b/>
          <w:bCs/>
        </w:rPr>
        <w:t xml:space="preserve">  与</w:t>
      </w:r>
      <w:r>
        <w:rPr>
          <w:rFonts w:hint="eastAsia" w:ascii="Times New Roman" w:eastAsia="仿宋"/>
          <w:b/>
          <w:bCs/>
        </w:rPr>
        <w:t>朱林现代产业园</w:t>
      </w:r>
      <w:r>
        <w:rPr>
          <w:rFonts w:ascii="Times New Roman" w:eastAsia="仿宋"/>
          <w:b/>
          <w:bCs/>
        </w:rPr>
        <w:t>生态环境准入清单符合性预判情况</w:t>
      </w:r>
    </w:p>
    <w:tbl>
      <w:tblPr>
        <w:tblStyle w:val="87"/>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049"/>
        <w:gridCol w:w="2928"/>
        <w:gridCol w:w="806"/>
      </w:tblGrid>
      <w:tr w14:paraId="558F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Align w:val="center"/>
          </w:tcPr>
          <w:p w14:paraId="55ED6AFF">
            <w:pPr>
              <w:adjustRightInd w:val="0"/>
              <w:snapToGrid w:val="0"/>
              <w:jc w:val="center"/>
              <w:rPr>
                <w:rFonts w:ascii="Times New Roman" w:eastAsia="仿宋"/>
                <w:bCs/>
              </w:rPr>
            </w:pPr>
            <w:r>
              <w:rPr>
                <w:rFonts w:ascii="Times New Roman" w:eastAsia="仿宋"/>
                <w:bCs/>
              </w:rPr>
              <w:t>名称</w:t>
            </w:r>
          </w:p>
        </w:tc>
        <w:tc>
          <w:tcPr>
            <w:tcW w:w="5049" w:type="dxa"/>
            <w:vAlign w:val="center"/>
          </w:tcPr>
          <w:p w14:paraId="65AEB201">
            <w:pPr>
              <w:adjustRightInd w:val="0"/>
              <w:snapToGrid w:val="0"/>
              <w:jc w:val="center"/>
              <w:rPr>
                <w:rFonts w:ascii="Times New Roman" w:eastAsia="仿宋"/>
                <w:bCs/>
              </w:rPr>
            </w:pPr>
            <w:r>
              <w:rPr>
                <w:rFonts w:ascii="Times New Roman" w:eastAsia="仿宋"/>
                <w:bCs/>
              </w:rPr>
              <w:t>生态环境准入清单</w:t>
            </w:r>
          </w:p>
        </w:tc>
        <w:tc>
          <w:tcPr>
            <w:tcW w:w="2928" w:type="dxa"/>
            <w:vAlign w:val="center"/>
          </w:tcPr>
          <w:p w14:paraId="5CF0ABBC">
            <w:pPr>
              <w:adjustRightInd w:val="0"/>
              <w:snapToGrid w:val="0"/>
              <w:jc w:val="center"/>
              <w:rPr>
                <w:rFonts w:ascii="Times New Roman" w:eastAsia="仿宋"/>
                <w:bCs/>
              </w:rPr>
            </w:pPr>
            <w:r>
              <w:rPr>
                <w:rFonts w:ascii="Times New Roman" w:eastAsia="仿宋"/>
                <w:bCs/>
              </w:rPr>
              <w:t>本项目情况</w:t>
            </w:r>
          </w:p>
        </w:tc>
        <w:tc>
          <w:tcPr>
            <w:tcW w:w="806" w:type="dxa"/>
            <w:vAlign w:val="center"/>
          </w:tcPr>
          <w:p w14:paraId="74997AA8">
            <w:pPr>
              <w:adjustRightInd w:val="0"/>
              <w:snapToGrid w:val="0"/>
              <w:jc w:val="center"/>
              <w:rPr>
                <w:rFonts w:ascii="Times New Roman" w:eastAsia="仿宋"/>
                <w:bCs/>
              </w:rPr>
            </w:pPr>
            <w:r>
              <w:rPr>
                <w:rFonts w:ascii="Times New Roman" w:eastAsia="仿宋"/>
                <w:bCs/>
              </w:rPr>
              <w:t>相符性</w:t>
            </w:r>
          </w:p>
        </w:tc>
      </w:tr>
      <w:tr w14:paraId="6C67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Align w:val="center"/>
          </w:tcPr>
          <w:p w14:paraId="26312902">
            <w:pPr>
              <w:adjustRightInd w:val="0"/>
              <w:snapToGrid w:val="0"/>
              <w:jc w:val="center"/>
              <w:rPr>
                <w:rFonts w:ascii="Times New Roman" w:eastAsia="仿宋"/>
                <w:bCs/>
              </w:rPr>
            </w:pPr>
            <w:r>
              <w:rPr>
                <w:rFonts w:ascii="Times New Roman" w:eastAsia="仿宋"/>
                <w:bCs/>
              </w:rPr>
              <w:t>空间布局约束</w:t>
            </w:r>
          </w:p>
        </w:tc>
        <w:tc>
          <w:tcPr>
            <w:tcW w:w="5049" w:type="dxa"/>
            <w:vAlign w:val="center"/>
          </w:tcPr>
          <w:p w14:paraId="78AC95A3">
            <w:pPr>
              <w:adjustRightInd w:val="0"/>
              <w:snapToGrid w:val="0"/>
              <w:jc w:val="center"/>
              <w:rPr>
                <w:rFonts w:ascii="Times New Roman" w:eastAsia="仿宋"/>
                <w:bCs/>
              </w:rPr>
            </w:pPr>
            <w:r>
              <w:rPr>
                <w:rFonts w:hint="eastAsia" w:ascii="Times New Roman" w:eastAsia="仿宋"/>
                <w:bCs/>
              </w:rPr>
              <w:t>（1）禁止审批列入国家、省产业政策淘汰、限制类项目;不符合规划环评结论及审查意见的项目;属于《建设项目环境保护管理条例》第十一条5种不予批准的情形的项目;无法落实危险废物合理利用、处置途径的项目。</w:t>
            </w:r>
          </w:p>
          <w:p w14:paraId="6CAA189F">
            <w:pPr>
              <w:adjustRightInd w:val="0"/>
              <w:snapToGrid w:val="0"/>
              <w:jc w:val="center"/>
              <w:rPr>
                <w:rFonts w:ascii="Times New Roman" w:eastAsia="仿宋"/>
                <w:bCs/>
              </w:rPr>
            </w:pPr>
            <w:r>
              <w:rPr>
                <w:rFonts w:hint="eastAsia" w:ascii="Times New Roman" w:eastAsia="仿宋"/>
                <w:bCs/>
              </w:rPr>
              <w:t>（2）禁止安全风险大、工艺设施落后、安全水平低的企业或项目进入。</w:t>
            </w:r>
          </w:p>
          <w:p w14:paraId="58BB8CAC">
            <w:pPr>
              <w:adjustRightInd w:val="0"/>
              <w:snapToGrid w:val="0"/>
              <w:jc w:val="center"/>
              <w:rPr>
                <w:rFonts w:ascii="Times New Roman" w:eastAsia="仿宋"/>
                <w:bCs/>
              </w:rPr>
            </w:pPr>
            <w:r>
              <w:rPr>
                <w:rFonts w:hint="eastAsia" w:ascii="Times New Roman" w:eastAsia="仿宋"/>
                <w:bCs/>
              </w:rPr>
              <w:t>（3）禁止新建、扩建技术装备、污染排放、能耗达不到相关行业准入条件的项目。</w:t>
            </w:r>
          </w:p>
          <w:p w14:paraId="3860A17C">
            <w:pPr>
              <w:adjustRightInd w:val="0"/>
              <w:snapToGrid w:val="0"/>
              <w:jc w:val="center"/>
              <w:rPr>
                <w:rFonts w:ascii="Times New Roman" w:eastAsia="仿宋"/>
                <w:bCs/>
              </w:rPr>
            </w:pPr>
            <w:r>
              <w:rPr>
                <w:rFonts w:hint="eastAsia" w:ascii="Times New Roman" w:eastAsia="仿宋"/>
                <w:bCs/>
              </w:rPr>
              <w:t>（4）禁止引入不符合现行《江苏省太湖水污染防治条例》要求的项目。</w:t>
            </w:r>
          </w:p>
        </w:tc>
        <w:tc>
          <w:tcPr>
            <w:tcW w:w="2928" w:type="dxa"/>
            <w:vAlign w:val="center"/>
          </w:tcPr>
          <w:p w14:paraId="030A48E7">
            <w:pPr>
              <w:adjustRightInd w:val="0"/>
              <w:snapToGrid w:val="0"/>
              <w:jc w:val="center"/>
              <w:rPr>
                <w:rFonts w:ascii="Times New Roman" w:eastAsia="仿宋"/>
                <w:bCs/>
              </w:rPr>
            </w:pPr>
            <w:r>
              <w:rPr>
                <w:rFonts w:hint="eastAsia" w:ascii="Times New Roman" w:eastAsia="仿宋"/>
                <w:bCs/>
              </w:rPr>
              <w:t>（1）</w:t>
            </w:r>
            <w:r>
              <w:rPr>
                <w:rFonts w:ascii="Times New Roman" w:eastAsia="仿宋"/>
                <w:bCs/>
              </w:rPr>
              <w:t>本项目国民经济行业类别属于“</w:t>
            </w:r>
            <w:r>
              <w:rPr>
                <w:rFonts w:hint="eastAsia" w:ascii="Times New Roman" w:eastAsia="仿宋"/>
                <w:bCs/>
              </w:rPr>
              <w:t>C3670汽车零部件及配件制造</w:t>
            </w:r>
            <w:r>
              <w:rPr>
                <w:rFonts w:ascii="Times New Roman" w:eastAsia="仿宋"/>
                <w:bCs/>
              </w:rPr>
              <w:t>”，</w:t>
            </w:r>
            <w:r>
              <w:rPr>
                <w:rFonts w:hint="eastAsia" w:ascii="Times New Roman" w:eastAsia="仿宋"/>
                <w:bCs/>
              </w:rPr>
              <w:t>不属于国家、省产业政策淘汰、限制类项目；根据《江苏省金坛经济开发区朱林现代产业园规划环境影响评价报告书》及其环评批复，本项目本项目的产品为汽车铝单板,不属于园区禁止引入类项目，本项目不属于《建设项目环境保护管理条例》第十一条5种不予批准的情形的项目，本项目建成后危险废物委托有资质单位进行处理，可落实危险废物合理利用、处置途径；（2）根据3.6章节可知，本项目安全风险较低、工艺设施较先进、安全水平较高；（3）根据3.6章节可知，本项目技术装备、污染排放、能耗均达到相关行业准入条件；（4）本项目位于太湖流域三级保护区内，不排放含氮、磷的生产废水，符合《江苏省太湖水污染防治条例》的有关规定。</w:t>
            </w:r>
          </w:p>
        </w:tc>
        <w:tc>
          <w:tcPr>
            <w:tcW w:w="806" w:type="dxa"/>
            <w:vAlign w:val="center"/>
          </w:tcPr>
          <w:p w14:paraId="211D0245">
            <w:pPr>
              <w:adjustRightInd w:val="0"/>
              <w:snapToGrid w:val="0"/>
              <w:jc w:val="center"/>
              <w:rPr>
                <w:rFonts w:ascii="Times New Roman" w:eastAsia="仿宋"/>
                <w:bCs/>
              </w:rPr>
            </w:pPr>
            <w:r>
              <w:rPr>
                <w:rFonts w:ascii="Times New Roman" w:eastAsia="仿宋"/>
                <w:bCs/>
              </w:rPr>
              <w:t>符合要求</w:t>
            </w:r>
          </w:p>
        </w:tc>
      </w:tr>
      <w:tr w14:paraId="4B09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Align w:val="center"/>
          </w:tcPr>
          <w:p w14:paraId="21B10075">
            <w:pPr>
              <w:adjustRightInd w:val="0"/>
              <w:snapToGrid w:val="0"/>
              <w:jc w:val="center"/>
              <w:rPr>
                <w:rFonts w:ascii="Times New Roman" w:eastAsia="仿宋"/>
                <w:bCs/>
              </w:rPr>
            </w:pPr>
            <w:r>
              <w:rPr>
                <w:rFonts w:ascii="Times New Roman" w:eastAsia="仿宋"/>
                <w:bCs/>
              </w:rPr>
              <w:t>污染物排放管控</w:t>
            </w:r>
          </w:p>
        </w:tc>
        <w:tc>
          <w:tcPr>
            <w:tcW w:w="5049" w:type="dxa"/>
            <w:vAlign w:val="center"/>
          </w:tcPr>
          <w:p w14:paraId="79880D60">
            <w:pPr>
              <w:numPr>
                <w:ilvl w:val="0"/>
                <w:numId w:val="6"/>
              </w:numPr>
              <w:adjustRightInd w:val="0"/>
              <w:snapToGrid w:val="0"/>
              <w:rPr>
                <w:rFonts w:ascii="Times New Roman" w:eastAsia="仿宋"/>
                <w:bCs/>
              </w:rPr>
            </w:pPr>
            <w:r>
              <w:rPr>
                <w:rFonts w:hint="eastAsia" w:ascii="Times New Roman" w:eastAsia="仿宋"/>
                <w:bCs/>
              </w:rPr>
              <w:t>严格实施污染物总量控制制度，根据区域环境质量改善目标，采取有效措施减少主要污染物排放总量，确保区域环境质量持续改善。</w:t>
            </w:r>
          </w:p>
          <w:p w14:paraId="7A2148A3">
            <w:pPr>
              <w:numPr>
                <w:ilvl w:val="0"/>
                <w:numId w:val="6"/>
              </w:numPr>
              <w:adjustRightInd w:val="0"/>
              <w:snapToGrid w:val="0"/>
              <w:rPr>
                <w:rFonts w:ascii="Times New Roman" w:eastAsia="仿宋"/>
                <w:bCs/>
              </w:rPr>
            </w:pPr>
            <w:r>
              <w:rPr>
                <w:rFonts w:hint="eastAsia" w:ascii="Times New Roman" w:eastAsia="仿宋"/>
                <w:bCs/>
              </w:rPr>
              <w:t>园区污染物排放总量不得突破环评报告及批复的总量。</w:t>
            </w:r>
          </w:p>
        </w:tc>
        <w:tc>
          <w:tcPr>
            <w:tcW w:w="2928" w:type="dxa"/>
            <w:vAlign w:val="center"/>
          </w:tcPr>
          <w:p w14:paraId="1B0487D3">
            <w:pPr>
              <w:adjustRightInd w:val="0"/>
              <w:snapToGrid w:val="0"/>
              <w:jc w:val="center"/>
              <w:rPr>
                <w:rFonts w:ascii="Times New Roman" w:eastAsia="仿宋"/>
                <w:bCs/>
              </w:rPr>
            </w:pPr>
            <w:r>
              <w:rPr>
                <w:rFonts w:ascii="Times New Roman" w:eastAsia="仿宋"/>
                <w:bCs/>
              </w:rPr>
              <w:t>本项目产生的废气采取相应的污染防治措施进行处理后达标排放，厂区废水达标接管入</w:t>
            </w:r>
            <w:r>
              <w:rPr>
                <w:rFonts w:hint="eastAsia" w:ascii="Times New Roman" w:eastAsia="仿宋"/>
                <w:bCs/>
              </w:rPr>
              <w:t>直溪</w:t>
            </w:r>
            <w:r>
              <w:rPr>
                <w:rFonts w:ascii="Times New Roman" w:eastAsia="仿宋"/>
                <w:bCs/>
              </w:rPr>
              <w:t>污水处理厂。目前，本项目处于环评编制阶段，在环评审批前将严格落实主要污染物排放总量指标控制制度，取得主要污染物排放总量的控制指标和平衡方案，故符合文件要求。</w:t>
            </w:r>
          </w:p>
        </w:tc>
        <w:tc>
          <w:tcPr>
            <w:tcW w:w="806" w:type="dxa"/>
            <w:vAlign w:val="center"/>
          </w:tcPr>
          <w:p w14:paraId="19D8DBFD">
            <w:pPr>
              <w:adjustRightInd w:val="0"/>
              <w:snapToGrid w:val="0"/>
              <w:jc w:val="center"/>
              <w:rPr>
                <w:rFonts w:ascii="Times New Roman" w:eastAsia="仿宋"/>
                <w:bCs/>
              </w:rPr>
            </w:pPr>
            <w:r>
              <w:rPr>
                <w:rFonts w:ascii="Times New Roman" w:eastAsia="仿宋"/>
                <w:bCs/>
              </w:rPr>
              <w:t>符合要求</w:t>
            </w:r>
          </w:p>
        </w:tc>
      </w:tr>
      <w:tr w14:paraId="57BA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Align w:val="center"/>
          </w:tcPr>
          <w:p w14:paraId="40CBFBBA">
            <w:pPr>
              <w:adjustRightInd w:val="0"/>
              <w:snapToGrid w:val="0"/>
              <w:jc w:val="center"/>
              <w:rPr>
                <w:rFonts w:ascii="Times New Roman" w:eastAsia="仿宋"/>
                <w:bCs/>
              </w:rPr>
            </w:pPr>
            <w:r>
              <w:rPr>
                <w:rFonts w:ascii="Times New Roman" w:eastAsia="仿宋"/>
                <w:bCs/>
              </w:rPr>
              <w:t>环境风险防控</w:t>
            </w:r>
          </w:p>
        </w:tc>
        <w:tc>
          <w:tcPr>
            <w:tcW w:w="5049" w:type="dxa"/>
            <w:vAlign w:val="center"/>
          </w:tcPr>
          <w:p w14:paraId="05F21B6F">
            <w:pPr>
              <w:adjustRightInd w:val="0"/>
              <w:snapToGrid w:val="0"/>
              <w:jc w:val="center"/>
              <w:rPr>
                <w:rFonts w:ascii="Times New Roman" w:eastAsia="仿宋"/>
                <w:bCs/>
              </w:rPr>
            </w:pPr>
            <w:r>
              <w:rPr>
                <w:rFonts w:hint="eastAsia" w:ascii="Times New Roman" w:eastAsia="仿宋"/>
                <w:bCs/>
              </w:rPr>
              <w:t>（1）园区建立环境应急体系，完善事故应急救援体系，加强应急物资装备储备，编制突发环境事件应急预案，定期开展演练。</w:t>
            </w:r>
          </w:p>
          <w:p w14:paraId="245CDC36">
            <w:pPr>
              <w:adjustRightInd w:val="0"/>
              <w:snapToGrid w:val="0"/>
              <w:jc w:val="center"/>
              <w:rPr>
                <w:rFonts w:ascii="Times New Roman" w:eastAsia="仿宋"/>
                <w:bCs/>
              </w:rPr>
            </w:pPr>
            <w:r>
              <w:rPr>
                <w:rFonts w:hint="eastAsia" w:ascii="Times New Roman" w:eastAsia="仿宋"/>
                <w:bCs/>
              </w:rPr>
              <w:t>（2）生产、使用、储存危险化学品或其他存在环境风险的企事业单位，应当制定风险防范措施，编制完善突发环境事件应急预案，防止发生环境污染事故。</w:t>
            </w:r>
          </w:p>
          <w:p w14:paraId="4C4EDBEA">
            <w:pPr>
              <w:adjustRightInd w:val="0"/>
              <w:snapToGrid w:val="0"/>
              <w:jc w:val="center"/>
              <w:rPr>
                <w:rFonts w:ascii="Times New Roman" w:eastAsia="仿宋"/>
                <w:bCs/>
              </w:rPr>
            </w:pPr>
            <w:r>
              <w:rPr>
                <w:rFonts w:hint="eastAsia" w:ascii="Times New Roman" w:eastAsia="仿宋"/>
                <w:bCs/>
              </w:rPr>
              <w:t>（3）加强环境影响跟踪监测，建立健全各环境要素监控体系，完善并落实园区日常环境监测与污染源监控计划。</w:t>
            </w:r>
          </w:p>
        </w:tc>
        <w:tc>
          <w:tcPr>
            <w:tcW w:w="2928" w:type="dxa"/>
            <w:vAlign w:val="center"/>
          </w:tcPr>
          <w:p w14:paraId="398162B3">
            <w:pPr>
              <w:adjustRightInd w:val="0"/>
              <w:snapToGrid w:val="0"/>
              <w:jc w:val="center"/>
              <w:rPr>
                <w:rFonts w:ascii="Times New Roman" w:eastAsia="仿宋"/>
                <w:bCs/>
              </w:rPr>
            </w:pPr>
            <w:r>
              <w:rPr>
                <w:rFonts w:ascii="Times New Roman" w:eastAsia="仿宋"/>
                <w:bCs/>
              </w:rPr>
              <w:t>本项目在生产过程中建立事故应急救援体系，加强应急物资装备储备，编制突发环境事件应急预案，定期开展演练。本项目建成后将落实污染物自行监测计划，加强环境影响监测。</w:t>
            </w:r>
          </w:p>
        </w:tc>
        <w:tc>
          <w:tcPr>
            <w:tcW w:w="806" w:type="dxa"/>
            <w:vAlign w:val="center"/>
          </w:tcPr>
          <w:p w14:paraId="7130BE2A">
            <w:pPr>
              <w:adjustRightInd w:val="0"/>
              <w:snapToGrid w:val="0"/>
              <w:jc w:val="center"/>
              <w:rPr>
                <w:rFonts w:ascii="Times New Roman" w:eastAsia="仿宋"/>
                <w:bCs/>
              </w:rPr>
            </w:pPr>
            <w:r>
              <w:rPr>
                <w:rFonts w:ascii="Times New Roman" w:eastAsia="仿宋"/>
                <w:bCs/>
              </w:rPr>
              <w:t>符合要求</w:t>
            </w:r>
          </w:p>
        </w:tc>
      </w:tr>
      <w:tr w14:paraId="644F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vAlign w:val="center"/>
          </w:tcPr>
          <w:p w14:paraId="68D9E14A">
            <w:pPr>
              <w:adjustRightInd w:val="0"/>
              <w:snapToGrid w:val="0"/>
              <w:jc w:val="center"/>
              <w:rPr>
                <w:rFonts w:ascii="Times New Roman" w:eastAsia="仿宋"/>
                <w:bCs/>
              </w:rPr>
            </w:pPr>
            <w:r>
              <w:rPr>
                <w:rFonts w:ascii="Times New Roman" w:eastAsia="仿宋"/>
                <w:bCs/>
              </w:rPr>
              <w:t>资源开发效率要求</w:t>
            </w:r>
          </w:p>
        </w:tc>
        <w:tc>
          <w:tcPr>
            <w:tcW w:w="5049" w:type="dxa"/>
            <w:vAlign w:val="center"/>
          </w:tcPr>
          <w:p w14:paraId="08018D9A">
            <w:pPr>
              <w:adjustRightInd w:val="0"/>
              <w:snapToGrid w:val="0"/>
              <w:rPr>
                <w:rFonts w:ascii="Times New Roman" w:eastAsia="仿宋"/>
                <w:bCs/>
              </w:rPr>
            </w:pPr>
            <w:r>
              <w:rPr>
                <w:rFonts w:hint="eastAsia" w:ascii="Times New Roman" w:eastAsia="仿宋"/>
                <w:bCs/>
              </w:rPr>
              <w:t>（1）大力倡导使用清洁能源。</w:t>
            </w:r>
          </w:p>
          <w:p w14:paraId="3B255E66">
            <w:pPr>
              <w:adjustRightInd w:val="0"/>
              <w:snapToGrid w:val="0"/>
              <w:jc w:val="center"/>
              <w:rPr>
                <w:rFonts w:ascii="Times New Roman" w:eastAsia="仿宋"/>
                <w:bCs/>
              </w:rPr>
            </w:pPr>
            <w:r>
              <w:rPr>
                <w:rFonts w:hint="eastAsia" w:ascii="Times New Roman" w:eastAsia="仿宋"/>
                <w:bCs/>
              </w:rPr>
              <w:t>（2）提升废水资源化技术，提高水资源回用率。</w:t>
            </w:r>
          </w:p>
          <w:p w14:paraId="5238E1AD">
            <w:pPr>
              <w:adjustRightInd w:val="0"/>
              <w:snapToGrid w:val="0"/>
              <w:rPr>
                <w:rFonts w:ascii="Times New Roman" w:eastAsia="仿宋"/>
                <w:bCs/>
              </w:rPr>
            </w:pPr>
            <w:r>
              <w:rPr>
                <w:rFonts w:ascii="Times New Roman" w:eastAsia="仿宋"/>
                <w:bCs/>
              </w:rPr>
              <w:t>（3）</w:t>
            </w:r>
            <w:r>
              <w:rPr>
                <w:rFonts w:hint="eastAsia" w:ascii="Times New Roman" w:eastAsia="仿宋"/>
                <w:bCs/>
              </w:rPr>
              <w:t>严禁自建燃煤设施</w:t>
            </w:r>
          </w:p>
        </w:tc>
        <w:tc>
          <w:tcPr>
            <w:tcW w:w="2928" w:type="dxa"/>
            <w:vAlign w:val="center"/>
          </w:tcPr>
          <w:p w14:paraId="10079E77">
            <w:pPr>
              <w:adjustRightInd w:val="0"/>
              <w:snapToGrid w:val="0"/>
              <w:jc w:val="center"/>
              <w:rPr>
                <w:rFonts w:ascii="Times New Roman" w:eastAsia="仿宋"/>
                <w:bCs/>
              </w:rPr>
            </w:pPr>
            <w:r>
              <w:rPr>
                <w:rFonts w:ascii="Times New Roman" w:eastAsia="仿宋"/>
                <w:bCs/>
              </w:rPr>
              <w:t>本项目使用电</w:t>
            </w:r>
            <w:r>
              <w:rPr>
                <w:rFonts w:hint="eastAsia" w:ascii="Times New Roman" w:eastAsia="仿宋"/>
                <w:bCs/>
              </w:rPr>
              <w:t>、天然气</w:t>
            </w:r>
            <w:r>
              <w:rPr>
                <w:rFonts w:ascii="Times New Roman" w:eastAsia="仿宋"/>
                <w:bCs/>
              </w:rPr>
              <w:t>作为能源，厂区废水达标接管入</w:t>
            </w:r>
            <w:r>
              <w:rPr>
                <w:rFonts w:hint="eastAsia" w:ascii="Times New Roman" w:eastAsia="仿宋"/>
                <w:bCs/>
              </w:rPr>
              <w:t>直溪</w:t>
            </w:r>
            <w:r>
              <w:rPr>
                <w:rFonts w:ascii="Times New Roman" w:eastAsia="仿宋"/>
                <w:bCs/>
              </w:rPr>
              <w:t>污水处理厂，无燃煤设施。</w:t>
            </w:r>
          </w:p>
        </w:tc>
        <w:tc>
          <w:tcPr>
            <w:tcW w:w="806" w:type="dxa"/>
            <w:vAlign w:val="center"/>
          </w:tcPr>
          <w:p w14:paraId="3392DD62">
            <w:pPr>
              <w:adjustRightInd w:val="0"/>
              <w:snapToGrid w:val="0"/>
              <w:jc w:val="center"/>
              <w:rPr>
                <w:rFonts w:ascii="Times New Roman" w:eastAsia="仿宋"/>
                <w:bCs/>
              </w:rPr>
            </w:pPr>
            <w:r>
              <w:rPr>
                <w:rFonts w:ascii="Times New Roman" w:eastAsia="仿宋"/>
                <w:bCs/>
              </w:rPr>
              <w:t>符合要求</w:t>
            </w:r>
          </w:p>
        </w:tc>
      </w:tr>
    </w:tbl>
    <w:p w14:paraId="642B941F">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（4）与《市场准入负面清单（2022年版）》对照分析</w:t>
      </w:r>
    </w:p>
    <w:p w14:paraId="77CE509F">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《市场准入负面清单（2022年版）》（发改体改〔2022〕397号）于2022年3月12日由国家发展改革委和商务部印发。</w:t>
      </w:r>
    </w:p>
    <w:p w14:paraId="3BEE23A6">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经对照分析，本项目不属于“禁止准入类”事项（见下表）。</w:t>
      </w:r>
    </w:p>
    <w:p w14:paraId="4A192274">
      <w:pPr>
        <w:spacing w:line="500" w:lineRule="exact"/>
        <w:jc w:val="center"/>
        <w:rPr>
          <w:rFonts w:ascii="Times New Roman" w:eastAsia="仿宋"/>
          <w:b/>
          <w:bCs/>
        </w:rPr>
      </w:pPr>
      <w:r>
        <w:rPr>
          <w:rFonts w:ascii="Times New Roman" w:eastAsia="仿宋"/>
          <w:b/>
          <w:bCs/>
        </w:rPr>
        <w:t>表2.7-2</w:t>
      </w:r>
      <w:r>
        <w:rPr>
          <w:rFonts w:hint="eastAsia" w:ascii="Times New Roman" w:eastAsia="仿宋"/>
          <w:b/>
          <w:bCs/>
        </w:rPr>
        <w:t>4</w:t>
      </w:r>
      <w:r>
        <w:rPr>
          <w:rFonts w:ascii="Times New Roman" w:eastAsia="仿宋"/>
          <w:b/>
          <w:bCs/>
        </w:rPr>
        <w:t xml:space="preserve">  本项目与《市场准入负面清单（2022年版）》环境准入要求对照表</w:t>
      </w:r>
    </w:p>
    <w:tbl>
      <w:tblPr>
        <w:tblStyle w:val="87"/>
        <w:tblW w:w="5682" w:type="pct"/>
        <w:jc w:val="center"/>
        <w:tblLayout w:type="autofit"/>
        <w:tblCellMar>
          <w:top w:w="0" w:type="dxa"/>
          <w:left w:w="108" w:type="dxa"/>
          <w:bottom w:w="0" w:type="dxa"/>
          <w:right w:w="108" w:type="dxa"/>
        </w:tblCellMar>
      </w:tblPr>
      <w:tblGrid>
        <w:gridCol w:w="2709"/>
        <w:gridCol w:w="4075"/>
        <w:gridCol w:w="1958"/>
        <w:gridCol w:w="1290"/>
      </w:tblGrid>
      <w:tr w14:paraId="7B30B23D">
        <w:tblPrEx>
          <w:tblCellMar>
            <w:top w:w="0" w:type="dxa"/>
            <w:left w:w="108" w:type="dxa"/>
            <w:bottom w:w="0" w:type="dxa"/>
            <w:right w:w="108" w:type="dxa"/>
          </w:tblCellMar>
        </w:tblPrEx>
        <w:trPr>
          <w:trHeight w:val="454" w:hRule="atLeast"/>
          <w:jc w:val="center"/>
        </w:trPr>
        <w:tc>
          <w:tcPr>
            <w:tcW w:w="3381" w:type="pct"/>
            <w:gridSpan w:val="2"/>
            <w:tcBorders>
              <w:top w:val="single" w:color="auto" w:sz="4" w:space="0"/>
              <w:left w:val="single" w:color="auto" w:sz="4" w:space="0"/>
              <w:bottom w:val="single" w:color="auto" w:sz="4" w:space="0"/>
              <w:right w:val="single" w:color="auto" w:sz="4" w:space="0"/>
            </w:tcBorders>
            <w:vAlign w:val="center"/>
          </w:tcPr>
          <w:p w14:paraId="7B10279C">
            <w:pPr>
              <w:adjustRightInd w:val="0"/>
              <w:snapToGrid w:val="0"/>
              <w:jc w:val="center"/>
              <w:rPr>
                <w:rFonts w:ascii="Times New Roman" w:eastAsia="仿宋"/>
                <w:bCs/>
              </w:rPr>
            </w:pPr>
            <w:r>
              <w:rPr>
                <w:rFonts w:ascii="Times New Roman" w:eastAsia="仿宋"/>
                <w:bCs/>
              </w:rPr>
              <w:t>市场准入负面清单内容</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14:paraId="071DF808">
            <w:pPr>
              <w:adjustRightInd w:val="0"/>
              <w:snapToGrid w:val="0"/>
              <w:jc w:val="center"/>
              <w:rPr>
                <w:rFonts w:ascii="Times New Roman" w:eastAsia="仿宋"/>
                <w:bCs/>
              </w:rPr>
            </w:pPr>
            <w:r>
              <w:rPr>
                <w:rFonts w:ascii="Times New Roman" w:eastAsia="仿宋"/>
                <w:bCs/>
              </w:rPr>
              <w:t>本项目情况</w:t>
            </w:r>
          </w:p>
        </w:tc>
        <w:tc>
          <w:tcPr>
            <w:tcW w:w="643" w:type="pct"/>
            <w:vMerge w:val="restart"/>
            <w:tcBorders>
              <w:top w:val="single" w:color="auto" w:sz="4" w:space="0"/>
              <w:left w:val="single" w:color="auto" w:sz="4" w:space="0"/>
              <w:bottom w:val="single" w:color="auto" w:sz="4" w:space="0"/>
              <w:right w:val="single" w:color="auto" w:sz="4" w:space="0"/>
            </w:tcBorders>
            <w:vAlign w:val="center"/>
          </w:tcPr>
          <w:p w14:paraId="07C0D551">
            <w:pPr>
              <w:adjustRightInd w:val="0"/>
              <w:snapToGrid w:val="0"/>
              <w:jc w:val="center"/>
              <w:rPr>
                <w:rFonts w:ascii="Times New Roman" w:eastAsia="仿宋"/>
                <w:bCs/>
              </w:rPr>
            </w:pPr>
            <w:r>
              <w:rPr>
                <w:rFonts w:ascii="Times New Roman" w:eastAsia="仿宋"/>
                <w:bCs/>
              </w:rPr>
              <w:t>符合性</w:t>
            </w:r>
          </w:p>
        </w:tc>
      </w:tr>
      <w:tr w14:paraId="3CE3AFC3">
        <w:tblPrEx>
          <w:tblCellMar>
            <w:top w:w="0" w:type="dxa"/>
            <w:left w:w="108" w:type="dxa"/>
            <w:bottom w:w="0" w:type="dxa"/>
            <w:right w:w="108" w:type="dxa"/>
          </w:tblCellMar>
        </w:tblPrEx>
        <w:trPr>
          <w:trHeight w:val="454" w:hRule="atLeast"/>
          <w:jc w:val="center"/>
        </w:trPr>
        <w:tc>
          <w:tcPr>
            <w:tcW w:w="1350" w:type="pct"/>
            <w:tcBorders>
              <w:top w:val="single" w:color="auto" w:sz="4" w:space="0"/>
              <w:left w:val="single" w:color="auto" w:sz="4" w:space="0"/>
              <w:bottom w:val="single" w:color="auto" w:sz="4" w:space="0"/>
              <w:right w:val="single" w:color="auto" w:sz="4" w:space="0"/>
            </w:tcBorders>
            <w:vAlign w:val="center"/>
          </w:tcPr>
          <w:p w14:paraId="175A071D">
            <w:pPr>
              <w:adjustRightInd w:val="0"/>
              <w:snapToGrid w:val="0"/>
              <w:jc w:val="center"/>
              <w:rPr>
                <w:rFonts w:ascii="Times New Roman" w:eastAsia="仿宋"/>
                <w:bCs/>
              </w:rPr>
            </w:pPr>
            <w:r>
              <w:rPr>
                <w:rFonts w:ascii="Times New Roman" w:eastAsia="仿宋"/>
                <w:bCs/>
              </w:rPr>
              <w:t>禁止或许可事项</w:t>
            </w:r>
          </w:p>
        </w:tc>
        <w:tc>
          <w:tcPr>
            <w:tcW w:w="2031" w:type="pct"/>
            <w:tcBorders>
              <w:top w:val="single" w:color="auto" w:sz="4" w:space="0"/>
              <w:left w:val="single" w:color="auto" w:sz="4" w:space="0"/>
              <w:bottom w:val="single" w:color="auto" w:sz="4" w:space="0"/>
              <w:right w:val="single" w:color="auto" w:sz="4" w:space="0"/>
            </w:tcBorders>
            <w:vAlign w:val="center"/>
          </w:tcPr>
          <w:p w14:paraId="762FDC5C">
            <w:pPr>
              <w:adjustRightInd w:val="0"/>
              <w:snapToGrid w:val="0"/>
              <w:jc w:val="center"/>
              <w:rPr>
                <w:rFonts w:ascii="Times New Roman" w:eastAsia="仿宋"/>
                <w:bCs/>
              </w:rPr>
            </w:pPr>
            <w:r>
              <w:rPr>
                <w:rFonts w:ascii="Times New Roman" w:eastAsia="仿宋"/>
                <w:bCs/>
              </w:rPr>
              <w:t>禁止或许可准入措施描述</w:t>
            </w:r>
          </w:p>
        </w:tc>
        <w:tc>
          <w:tcPr>
            <w:tcW w:w="976" w:type="pct"/>
            <w:vMerge w:val="continue"/>
            <w:tcBorders>
              <w:top w:val="single" w:color="auto" w:sz="4" w:space="0"/>
              <w:left w:val="single" w:color="auto" w:sz="4" w:space="0"/>
              <w:bottom w:val="single" w:color="auto" w:sz="4" w:space="0"/>
              <w:right w:val="single" w:color="auto" w:sz="4" w:space="0"/>
            </w:tcBorders>
            <w:vAlign w:val="center"/>
          </w:tcPr>
          <w:p w14:paraId="6D78E690">
            <w:pPr>
              <w:adjustRightInd w:val="0"/>
              <w:snapToGrid w:val="0"/>
              <w:jc w:val="center"/>
              <w:rPr>
                <w:rFonts w:ascii="Times New Roman" w:eastAsia="仿宋"/>
                <w:bCs/>
              </w:rPr>
            </w:pPr>
          </w:p>
        </w:tc>
        <w:tc>
          <w:tcPr>
            <w:tcW w:w="643" w:type="pct"/>
            <w:vMerge w:val="continue"/>
            <w:tcBorders>
              <w:top w:val="single" w:color="auto" w:sz="4" w:space="0"/>
              <w:left w:val="single" w:color="auto" w:sz="4" w:space="0"/>
              <w:bottom w:val="single" w:color="auto" w:sz="4" w:space="0"/>
              <w:right w:val="single" w:color="auto" w:sz="4" w:space="0"/>
            </w:tcBorders>
            <w:vAlign w:val="center"/>
          </w:tcPr>
          <w:p w14:paraId="09006DDB">
            <w:pPr>
              <w:adjustRightInd w:val="0"/>
              <w:snapToGrid w:val="0"/>
              <w:jc w:val="center"/>
              <w:rPr>
                <w:rFonts w:ascii="Times New Roman" w:eastAsia="仿宋"/>
                <w:bCs/>
              </w:rPr>
            </w:pPr>
          </w:p>
        </w:tc>
      </w:tr>
      <w:tr w14:paraId="3920117C">
        <w:tblPrEx>
          <w:tblCellMar>
            <w:top w:w="0" w:type="dxa"/>
            <w:left w:w="108" w:type="dxa"/>
            <w:bottom w:w="0" w:type="dxa"/>
            <w:right w:w="108" w:type="dxa"/>
          </w:tblCellMar>
        </w:tblPrEx>
        <w:trPr>
          <w:trHeight w:val="45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1CC0220">
            <w:pPr>
              <w:adjustRightInd w:val="0"/>
              <w:snapToGrid w:val="0"/>
              <w:jc w:val="center"/>
              <w:rPr>
                <w:rFonts w:ascii="Times New Roman" w:eastAsia="仿宋"/>
                <w:bCs/>
              </w:rPr>
            </w:pPr>
            <w:r>
              <w:rPr>
                <w:rFonts w:ascii="Times New Roman" w:eastAsia="仿宋"/>
                <w:bCs/>
              </w:rPr>
              <w:t>一、禁止准入类</w:t>
            </w:r>
          </w:p>
        </w:tc>
      </w:tr>
      <w:tr w14:paraId="6820B863">
        <w:tblPrEx>
          <w:tblCellMar>
            <w:top w:w="0" w:type="dxa"/>
            <w:left w:w="108" w:type="dxa"/>
            <w:bottom w:w="0" w:type="dxa"/>
            <w:right w:w="108" w:type="dxa"/>
          </w:tblCellMar>
        </w:tblPrEx>
        <w:trPr>
          <w:trHeight w:val="454" w:hRule="atLeast"/>
          <w:jc w:val="center"/>
        </w:trPr>
        <w:tc>
          <w:tcPr>
            <w:tcW w:w="1350" w:type="pct"/>
            <w:tcBorders>
              <w:top w:val="single" w:color="auto" w:sz="4" w:space="0"/>
              <w:left w:val="single" w:color="auto" w:sz="4" w:space="0"/>
              <w:bottom w:val="single" w:color="auto" w:sz="4" w:space="0"/>
              <w:right w:val="single" w:color="auto" w:sz="4" w:space="0"/>
            </w:tcBorders>
            <w:vAlign w:val="center"/>
          </w:tcPr>
          <w:p w14:paraId="32B1F093">
            <w:pPr>
              <w:adjustRightInd w:val="0"/>
              <w:snapToGrid w:val="0"/>
              <w:jc w:val="center"/>
              <w:rPr>
                <w:rFonts w:ascii="Times New Roman" w:eastAsia="仿宋"/>
                <w:bCs/>
              </w:rPr>
            </w:pPr>
            <w:r>
              <w:rPr>
                <w:rFonts w:ascii="Times New Roman" w:eastAsia="仿宋"/>
                <w:bCs/>
              </w:rPr>
              <w:t>1、法律、法规、国务院决定等明确设立且与市场准入相关的禁止性规定。</w:t>
            </w:r>
          </w:p>
        </w:tc>
        <w:tc>
          <w:tcPr>
            <w:tcW w:w="2031" w:type="pct"/>
            <w:tcBorders>
              <w:top w:val="single" w:color="auto" w:sz="4" w:space="0"/>
              <w:left w:val="single" w:color="auto" w:sz="4" w:space="0"/>
              <w:bottom w:val="single" w:color="auto" w:sz="4" w:space="0"/>
              <w:right w:val="single" w:color="auto" w:sz="4" w:space="0"/>
            </w:tcBorders>
            <w:vAlign w:val="center"/>
          </w:tcPr>
          <w:p w14:paraId="3D8E8A30">
            <w:pPr>
              <w:adjustRightInd w:val="0"/>
              <w:snapToGrid w:val="0"/>
              <w:jc w:val="center"/>
              <w:rPr>
                <w:rFonts w:ascii="Times New Roman" w:eastAsia="仿宋"/>
                <w:bCs/>
              </w:rPr>
            </w:pPr>
            <w:r>
              <w:rPr>
                <w:rFonts w:ascii="Times New Roman" w:eastAsia="仿宋"/>
                <w:bCs/>
              </w:rPr>
              <w:t>法律、法规、国务院决定等明确设立，且与市场准入相关的禁止性规定</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14:paraId="1314D5D8">
            <w:pPr>
              <w:adjustRightInd w:val="0"/>
              <w:snapToGrid w:val="0"/>
              <w:jc w:val="center"/>
              <w:rPr>
                <w:rFonts w:ascii="Times New Roman" w:eastAsia="仿宋"/>
                <w:bCs/>
              </w:rPr>
            </w:pPr>
            <w:r>
              <w:rPr>
                <w:rFonts w:ascii="Times New Roman" w:eastAsia="仿宋"/>
                <w:bCs/>
              </w:rPr>
              <w:t>本项目不涉及与市场准入相关的禁止性规定，不属于《产业结构调整指导目录》中的淘汰类项目、限制类项目，符合主体功能区建设要求。</w:t>
            </w:r>
          </w:p>
        </w:tc>
        <w:tc>
          <w:tcPr>
            <w:tcW w:w="643" w:type="pct"/>
            <w:vMerge w:val="restart"/>
            <w:tcBorders>
              <w:top w:val="single" w:color="auto" w:sz="4" w:space="0"/>
              <w:left w:val="single" w:color="auto" w:sz="4" w:space="0"/>
              <w:bottom w:val="single" w:color="auto" w:sz="4" w:space="0"/>
              <w:right w:val="single" w:color="auto" w:sz="4" w:space="0"/>
            </w:tcBorders>
            <w:vAlign w:val="center"/>
          </w:tcPr>
          <w:p w14:paraId="395975BF">
            <w:pPr>
              <w:adjustRightInd w:val="0"/>
              <w:snapToGrid w:val="0"/>
              <w:jc w:val="center"/>
              <w:rPr>
                <w:rFonts w:ascii="Times New Roman" w:eastAsia="仿宋"/>
                <w:bCs/>
              </w:rPr>
            </w:pPr>
            <w:r>
              <w:rPr>
                <w:rFonts w:ascii="Times New Roman" w:eastAsia="仿宋"/>
                <w:bCs/>
              </w:rPr>
              <w:t>符合</w:t>
            </w:r>
          </w:p>
        </w:tc>
      </w:tr>
      <w:tr w14:paraId="2B05E3EF">
        <w:tblPrEx>
          <w:tblCellMar>
            <w:top w:w="0" w:type="dxa"/>
            <w:left w:w="108" w:type="dxa"/>
            <w:bottom w:w="0" w:type="dxa"/>
            <w:right w:w="108" w:type="dxa"/>
          </w:tblCellMar>
        </w:tblPrEx>
        <w:trPr>
          <w:trHeight w:val="454" w:hRule="atLeast"/>
          <w:jc w:val="center"/>
        </w:trPr>
        <w:tc>
          <w:tcPr>
            <w:tcW w:w="1350" w:type="pct"/>
            <w:tcBorders>
              <w:top w:val="single" w:color="auto" w:sz="4" w:space="0"/>
              <w:left w:val="single" w:color="auto" w:sz="4" w:space="0"/>
              <w:bottom w:val="single" w:color="auto" w:sz="4" w:space="0"/>
              <w:right w:val="single" w:color="auto" w:sz="4" w:space="0"/>
            </w:tcBorders>
            <w:vAlign w:val="center"/>
          </w:tcPr>
          <w:p w14:paraId="1A8D79CF">
            <w:pPr>
              <w:adjustRightInd w:val="0"/>
              <w:snapToGrid w:val="0"/>
              <w:jc w:val="center"/>
              <w:rPr>
                <w:rFonts w:ascii="Times New Roman" w:eastAsia="仿宋"/>
                <w:bCs/>
              </w:rPr>
            </w:pPr>
            <w:r>
              <w:rPr>
                <w:rFonts w:ascii="Times New Roman" w:eastAsia="仿宋"/>
                <w:bCs/>
              </w:rPr>
              <w:t>2、国家产业政策明令淘汰和限制的产品、技术、工艺、设备及行为。</w:t>
            </w:r>
          </w:p>
        </w:tc>
        <w:tc>
          <w:tcPr>
            <w:tcW w:w="2031" w:type="pct"/>
            <w:tcBorders>
              <w:top w:val="single" w:color="auto" w:sz="4" w:space="0"/>
              <w:left w:val="single" w:color="auto" w:sz="4" w:space="0"/>
              <w:bottom w:val="single" w:color="auto" w:sz="4" w:space="0"/>
              <w:right w:val="single" w:color="auto" w:sz="4" w:space="0"/>
            </w:tcBorders>
            <w:vAlign w:val="center"/>
          </w:tcPr>
          <w:p w14:paraId="5628E2BA">
            <w:pPr>
              <w:adjustRightInd w:val="0"/>
              <w:snapToGrid w:val="0"/>
              <w:jc w:val="center"/>
              <w:rPr>
                <w:rFonts w:ascii="Times New Roman" w:eastAsia="仿宋"/>
                <w:bCs/>
              </w:rPr>
            </w:pPr>
            <w:r>
              <w:rPr>
                <w:rFonts w:ascii="Times New Roman" w:eastAsia="仿宋"/>
                <w:bCs/>
              </w:rPr>
              <w:t>《产业结构调整指导目录》中的淘汰类项目，禁止投资；限制类项目，禁止新建。禁止投资建设《汽车产业投资管理规定》所列的汽车投资禁止类事项</w:t>
            </w:r>
          </w:p>
        </w:tc>
        <w:tc>
          <w:tcPr>
            <w:tcW w:w="976" w:type="pct"/>
            <w:vMerge w:val="continue"/>
            <w:tcBorders>
              <w:top w:val="single" w:color="auto" w:sz="4" w:space="0"/>
              <w:left w:val="single" w:color="auto" w:sz="4" w:space="0"/>
              <w:bottom w:val="single" w:color="auto" w:sz="4" w:space="0"/>
              <w:right w:val="single" w:color="auto" w:sz="4" w:space="0"/>
            </w:tcBorders>
            <w:vAlign w:val="center"/>
          </w:tcPr>
          <w:p w14:paraId="7B1846FC">
            <w:pPr>
              <w:adjustRightInd w:val="0"/>
              <w:snapToGrid w:val="0"/>
              <w:jc w:val="center"/>
              <w:rPr>
                <w:rFonts w:ascii="Times New Roman" w:eastAsia="仿宋"/>
                <w:bCs/>
              </w:rPr>
            </w:pPr>
          </w:p>
        </w:tc>
        <w:tc>
          <w:tcPr>
            <w:tcW w:w="643" w:type="pct"/>
            <w:vMerge w:val="continue"/>
            <w:tcBorders>
              <w:top w:val="single" w:color="auto" w:sz="4" w:space="0"/>
              <w:left w:val="single" w:color="auto" w:sz="4" w:space="0"/>
              <w:bottom w:val="single" w:color="auto" w:sz="4" w:space="0"/>
              <w:right w:val="single" w:color="auto" w:sz="4" w:space="0"/>
            </w:tcBorders>
            <w:vAlign w:val="center"/>
          </w:tcPr>
          <w:p w14:paraId="3F058C30">
            <w:pPr>
              <w:adjustRightInd w:val="0"/>
              <w:snapToGrid w:val="0"/>
              <w:jc w:val="center"/>
              <w:rPr>
                <w:rFonts w:ascii="Times New Roman" w:eastAsia="仿宋"/>
                <w:bCs/>
              </w:rPr>
            </w:pPr>
          </w:p>
        </w:tc>
      </w:tr>
      <w:tr w14:paraId="224A1FF8">
        <w:tblPrEx>
          <w:tblCellMar>
            <w:top w:w="0" w:type="dxa"/>
            <w:left w:w="108" w:type="dxa"/>
            <w:bottom w:w="0" w:type="dxa"/>
            <w:right w:w="108" w:type="dxa"/>
          </w:tblCellMar>
        </w:tblPrEx>
        <w:trPr>
          <w:trHeight w:val="454" w:hRule="atLeast"/>
          <w:jc w:val="center"/>
        </w:trPr>
        <w:tc>
          <w:tcPr>
            <w:tcW w:w="1350" w:type="pct"/>
            <w:tcBorders>
              <w:top w:val="single" w:color="auto" w:sz="4" w:space="0"/>
              <w:left w:val="single" w:color="auto" w:sz="4" w:space="0"/>
              <w:bottom w:val="single" w:color="auto" w:sz="4" w:space="0"/>
              <w:right w:val="single" w:color="auto" w:sz="4" w:space="0"/>
            </w:tcBorders>
            <w:vAlign w:val="center"/>
          </w:tcPr>
          <w:p w14:paraId="0216A7C3">
            <w:pPr>
              <w:adjustRightInd w:val="0"/>
              <w:snapToGrid w:val="0"/>
              <w:jc w:val="center"/>
              <w:rPr>
                <w:rFonts w:ascii="Times New Roman" w:eastAsia="仿宋"/>
                <w:bCs/>
              </w:rPr>
            </w:pPr>
            <w:r>
              <w:rPr>
                <w:rFonts w:ascii="Times New Roman" w:eastAsia="仿宋"/>
                <w:bCs/>
              </w:rPr>
              <w:t>3、不符合主体功能区建设要求的各类开发活动。</w:t>
            </w:r>
          </w:p>
        </w:tc>
        <w:tc>
          <w:tcPr>
            <w:tcW w:w="2031" w:type="pct"/>
            <w:tcBorders>
              <w:top w:val="single" w:color="auto" w:sz="4" w:space="0"/>
              <w:left w:val="single" w:color="auto" w:sz="4" w:space="0"/>
              <w:bottom w:val="single" w:color="auto" w:sz="4" w:space="0"/>
              <w:right w:val="single" w:color="auto" w:sz="4" w:space="0"/>
            </w:tcBorders>
            <w:vAlign w:val="center"/>
          </w:tcPr>
          <w:p w14:paraId="0B4911F7">
            <w:pPr>
              <w:adjustRightInd w:val="0"/>
              <w:snapToGrid w:val="0"/>
              <w:jc w:val="center"/>
              <w:rPr>
                <w:rFonts w:ascii="Times New Roman" w:eastAsia="仿宋"/>
                <w:bCs/>
              </w:rPr>
            </w:pPr>
            <w:r>
              <w:rPr>
                <w:rFonts w:ascii="Times New Roman" w:eastAsia="仿宋"/>
                <w:bCs/>
              </w:rPr>
              <w:t>地方国家重点生态功能区产业准入负面清单（或禁止限制目录）、农产品主产区产业准入负面清单（或禁止限制目录）所列事项。</w:t>
            </w:r>
          </w:p>
        </w:tc>
        <w:tc>
          <w:tcPr>
            <w:tcW w:w="976" w:type="pct"/>
            <w:vMerge w:val="continue"/>
            <w:tcBorders>
              <w:top w:val="single" w:color="auto" w:sz="4" w:space="0"/>
              <w:left w:val="single" w:color="auto" w:sz="4" w:space="0"/>
              <w:bottom w:val="single" w:color="auto" w:sz="4" w:space="0"/>
              <w:right w:val="single" w:color="auto" w:sz="4" w:space="0"/>
            </w:tcBorders>
            <w:vAlign w:val="center"/>
          </w:tcPr>
          <w:p w14:paraId="70506361">
            <w:pPr>
              <w:adjustRightInd w:val="0"/>
              <w:snapToGrid w:val="0"/>
              <w:jc w:val="center"/>
              <w:rPr>
                <w:rFonts w:ascii="Times New Roman" w:eastAsia="仿宋"/>
                <w:bCs/>
              </w:rPr>
            </w:pPr>
          </w:p>
        </w:tc>
        <w:tc>
          <w:tcPr>
            <w:tcW w:w="643" w:type="pct"/>
            <w:vMerge w:val="continue"/>
            <w:tcBorders>
              <w:top w:val="single" w:color="auto" w:sz="4" w:space="0"/>
              <w:left w:val="single" w:color="auto" w:sz="4" w:space="0"/>
              <w:bottom w:val="single" w:color="auto" w:sz="4" w:space="0"/>
              <w:right w:val="single" w:color="auto" w:sz="4" w:space="0"/>
            </w:tcBorders>
            <w:vAlign w:val="center"/>
          </w:tcPr>
          <w:p w14:paraId="0B7C939A">
            <w:pPr>
              <w:adjustRightInd w:val="0"/>
              <w:snapToGrid w:val="0"/>
              <w:jc w:val="center"/>
              <w:rPr>
                <w:rFonts w:ascii="Times New Roman" w:eastAsia="仿宋"/>
                <w:bCs/>
              </w:rPr>
            </w:pPr>
          </w:p>
        </w:tc>
      </w:tr>
      <w:tr w14:paraId="6F820266">
        <w:tblPrEx>
          <w:tblCellMar>
            <w:top w:w="0" w:type="dxa"/>
            <w:left w:w="108" w:type="dxa"/>
            <w:bottom w:w="0" w:type="dxa"/>
            <w:right w:w="108" w:type="dxa"/>
          </w:tblCellMar>
        </w:tblPrEx>
        <w:trPr>
          <w:trHeight w:val="45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68575C1">
            <w:pPr>
              <w:adjustRightInd w:val="0"/>
              <w:snapToGrid w:val="0"/>
              <w:jc w:val="center"/>
              <w:rPr>
                <w:rFonts w:ascii="Times New Roman" w:eastAsia="仿宋"/>
                <w:bCs/>
              </w:rPr>
            </w:pPr>
            <w:r>
              <w:rPr>
                <w:rFonts w:ascii="Times New Roman" w:eastAsia="仿宋"/>
                <w:bCs/>
              </w:rPr>
              <w:t>二、许可准入类</w:t>
            </w:r>
          </w:p>
        </w:tc>
      </w:tr>
      <w:tr w14:paraId="55E55870">
        <w:tblPrEx>
          <w:tblCellMar>
            <w:top w:w="0" w:type="dxa"/>
            <w:left w:w="108" w:type="dxa"/>
            <w:bottom w:w="0" w:type="dxa"/>
            <w:right w:w="108" w:type="dxa"/>
          </w:tblCellMar>
        </w:tblPrEx>
        <w:trPr>
          <w:trHeight w:val="454" w:hRule="atLeast"/>
          <w:jc w:val="center"/>
        </w:trPr>
        <w:tc>
          <w:tcPr>
            <w:tcW w:w="1350" w:type="pct"/>
            <w:tcBorders>
              <w:top w:val="single" w:color="auto" w:sz="4" w:space="0"/>
              <w:left w:val="single" w:color="auto" w:sz="4" w:space="0"/>
              <w:bottom w:val="single" w:color="auto" w:sz="4" w:space="0"/>
              <w:right w:val="single" w:color="auto" w:sz="4" w:space="0"/>
            </w:tcBorders>
            <w:vAlign w:val="center"/>
          </w:tcPr>
          <w:p w14:paraId="450B6260">
            <w:pPr>
              <w:adjustRightInd w:val="0"/>
              <w:snapToGrid w:val="0"/>
              <w:jc w:val="center"/>
              <w:rPr>
                <w:rFonts w:ascii="Times New Roman" w:eastAsia="仿宋"/>
                <w:bCs/>
              </w:rPr>
            </w:pPr>
            <w:r>
              <w:rPr>
                <w:rFonts w:ascii="Times New Roman" w:eastAsia="仿宋"/>
                <w:bCs/>
              </w:rPr>
              <w:t>39、未取得许可，不得从事建筑业及房屋、土木工程、涉河项目、海洋工程等相关项目建设</w:t>
            </w:r>
          </w:p>
        </w:tc>
        <w:tc>
          <w:tcPr>
            <w:tcW w:w="2031" w:type="pct"/>
            <w:tcBorders>
              <w:top w:val="single" w:color="auto" w:sz="4" w:space="0"/>
              <w:left w:val="single" w:color="auto" w:sz="4" w:space="0"/>
              <w:bottom w:val="single" w:color="auto" w:sz="4" w:space="0"/>
              <w:right w:val="single" w:color="auto" w:sz="4" w:space="0"/>
            </w:tcBorders>
            <w:vAlign w:val="center"/>
          </w:tcPr>
          <w:p w14:paraId="2C6CE87D">
            <w:pPr>
              <w:adjustRightInd w:val="0"/>
              <w:snapToGrid w:val="0"/>
              <w:jc w:val="center"/>
              <w:rPr>
                <w:rFonts w:ascii="Times New Roman" w:eastAsia="仿宋"/>
                <w:bCs/>
              </w:rPr>
            </w:pPr>
            <w:r>
              <w:rPr>
                <w:rFonts w:ascii="Times New Roman" w:eastAsia="仿宋"/>
                <w:bCs/>
              </w:rPr>
              <w:t>一般建设项目环境影响评价审批（按备案管理的除外）</w:t>
            </w:r>
          </w:p>
        </w:tc>
        <w:tc>
          <w:tcPr>
            <w:tcW w:w="976" w:type="pct"/>
            <w:tcBorders>
              <w:top w:val="single" w:color="auto" w:sz="4" w:space="0"/>
              <w:left w:val="single" w:color="auto" w:sz="4" w:space="0"/>
              <w:bottom w:val="single" w:color="auto" w:sz="4" w:space="0"/>
              <w:right w:val="single" w:color="auto" w:sz="4" w:space="0"/>
            </w:tcBorders>
            <w:vAlign w:val="center"/>
          </w:tcPr>
          <w:p w14:paraId="021209DB">
            <w:pPr>
              <w:adjustRightInd w:val="0"/>
              <w:snapToGrid w:val="0"/>
              <w:jc w:val="center"/>
              <w:rPr>
                <w:rFonts w:ascii="Times New Roman" w:eastAsia="仿宋"/>
                <w:bCs/>
              </w:rPr>
            </w:pPr>
            <w:r>
              <w:rPr>
                <w:rFonts w:ascii="Times New Roman" w:eastAsia="仿宋"/>
                <w:bCs/>
              </w:rPr>
              <w:t>本项目不属于建筑业、土木工程等相关项目建设</w:t>
            </w:r>
          </w:p>
        </w:tc>
        <w:tc>
          <w:tcPr>
            <w:tcW w:w="643" w:type="pct"/>
            <w:tcBorders>
              <w:top w:val="single" w:color="auto" w:sz="4" w:space="0"/>
              <w:left w:val="single" w:color="auto" w:sz="4" w:space="0"/>
              <w:bottom w:val="single" w:color="auto" w:sz="4" w:space="0"/>
              <w:right w:val="single" w:color="auto" w:sz="4" w:space="0"/>
            </w:tcBorders>
            <w:vAlign w:val="center"/>
          </w:tcPr>
          <w:p w14:paraId="4C395384">
            <w:pPr>
              <w:adjustRightInd w:val="0"/>
              <w:snapToGrid w:val="0"/>
              <w:jc w:val="center"/>
              <w:rPr>
                <w:rFonts w:ascii="Times New Roman" w:eastAsia="仿宋"/>
                <w:bCs/>
              </w:rPr>
            </w:pPr>
            <w:r>
              <w:rPr>
                <w:rFonts w:ascii="Times New Roman" w:eastAsia="仿宋"/>
                <w:bCs/>
              </w:rPr>
              <w:t>符合</w:t>
            </w:r>
          </w:p>
        </w:tc>
      </w:tr>
    </w:tbl>
    <w:p w14:paraId="4F8AB989">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（5）与《〈长江经济带发展负面清单指南（试行，2022年版）〉江苏省实施细则》的通知（苏长江办发〔2022〕55号）对照分析</w:t>
      </w:r>
    </w:p>
    <w:p w14:paraId="7C6C6AB7">
      <w:pPr>
        <w:spacing w:line="500" w:lineRule="exact"/>
        <w:jc w:val="center"/>
        <w:rPr>
          <w:rFonts w:ascii="Times New Roman" w:eastAsia="仿宋"/>
          <w:b/>
          <w:bCs/>
        </w:rPr>
      </w:pPr>
      <w:r>
        <w:rPr>
          <w:rFonts w:ascii="Times New Roman" w:eastAsia="仿宋"/>
          <w:b/>
          <w:bCs/>
        </w:rPr>
        <w:t>表2.7-2</w:t>
      </w:r>
      <w:r>
        <w:rPr>
          <w:rFonts w:hint="eastAsia" w:ascii="Times New Roman" w:eastAsia="仿宋"/>
          <w:b/>
          <w:bCs/>
        </w:rPr>
        <w:t>5</w:t>
      </w:r>
      <w:r>
        <w:rPr>
          <w:rFonts w:ascii="Times New Roman" w:eastAsia="仿宋"/>
          <w:b/>
          <w:bCs/>
        </w:rPr>
        <w:t xml:space="preserve">  与《长江经济带发展负面清单指南》对照分析</w:t>
      </w:r>
    </w:p>
    <w:tbl>
      <w:tblPr>
        <w:tblStyle w:val="87"/>
        <w:tblW w:w="56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5"/>
        <w:gridCol w:w="3166"/>
        <w:gridCol w:w="1591"/>
      </w:tblGrid>
      <w:tr w14:paraId="3368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73360034">
            <w:pPr>
              <w:adjustRightInd w:val="0"/>
              <w:snapToGrid w:val="0"/>
              <w:jc w:val="center"/>
              <w:rPr>
                <w:rFonts w:ascii="Times New Roman" w:eastAsia="仿宋"/>
                <w:bCs/>
              </w:rPr>
            </w:pPr>
            <w:r>
              <w:rPr>
                <w:rFonts w:ascii="Times New Roman" w:eastAsia="仿宋"/>
                <w:bCs/>
              </w:rPr>
              <w:t>负面清单管控条款</w:t>
            </w:r>
          </w:p>
        </w:tc>
        <w:tc>
          <w:tcPr>
            <w:tcW w:w="1578" w:type="pct"/>
            <w:vAlign w:val="center"/>
          </w:tcPr>
          <w:p w14:paraId="6C387381">
            <w:pPr>
              <w:adjustRightInd w:val="0"/>
              <w:snapToGrid w:val="0"/>
              <w:jc w:val="center"/>
              <w:rPr>
                <w:rFonts w:ascii="Times New Roman" w:eastAsia="仿宋"/>
                <w:bCs/>
              </w:rPr>
            </w:pPr>
            <w:r>
              <w:rPr>
                <w:rFonts w:ascii="Times New Roman" w:eastAsia="仿宋"/>
                <w:bCs/>
              </w:rPr>
              <w:t>本项目情况</w:t>
            </w:r>
          </w:p>
        </w:tc>
        <w:tc>
          <w:tcPr>
            <w:tcW w:w="793" w:type="pct"/>
            <w:vAlign w:val="center"/>
          </w:tcPr>
          <w:p w14:paraId="6BAEAA31">
            <w:pPr>
              <w:adjustRightInd w:val="0"/>
              <w:snapToGrid w:val="0"/>
              <w:jc w:val="center"/>
              <w:rPr>
                <w:rFonts w:ascii="Times New Roman" w:eastAsia="仿宋"/>
                <w:bCs/>
              </w:rPr>
            </w:pPr>
            <w:r>
              <w:rPr>
                <w:rFonts w:ascii="Times New Roman" w:eastAsia="仿宋"/>
                <w:bCs/>
              </w:rPr>
              <w:t>符合性</w:t>
            </w:r>
          </w:p>
        </w:tc>
      </w:tr>
      <w:tr w14:paraId="6B80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69AACAEE">
            <w:pPr>
              <w:adjustRightInd w:val="0"/>
              <w:snapToGrid w:val="0"/>
              <w:jc w:val="center"/>
              <w:rPr>
                <w:rFonts w:ascii="Times New Roman" w:eastAsia="仿宋"/>
                <w:bCs/>
              </w:rPr>
            </w:pPr>
            <w:r>
              <w:rPr>
                <w:rFonts w:ascii="Times New Roman" w:eastAsia="仿宋"/>
                <w:bCs/>
              </w:rPr>
              <w:t>1.禁止建设不符合全国和省级港口布局规划以及港口总体规划的码头项目，禁止建设不符合《长江干线过江通道布局规划》的过长江通道项目。</w:t>
            </w:r>
          </w:p>
        </w:tc>
        <w:tc>
          <w:tcPr>
            <w:tcW w:w="1578" w:type="pct"/>
            <w:vAlign w:val="center"/>
          </w:tcPr>
          <w:p w14:paraId="05918AEB">
            <w:pPr>
              <w:adjustRightInd w:val="0"/>
              <w:snapToGrid w:val="0"/>
              <w:jc w:val="center"/>
              <w:rPr>
                <w:rFonts w:ascii="Times New Roman" w:eastAsia="仿宋"/>
                <w:bCs/>
              </w:rPr>
            </w:pPr>
            <w:r>
              <w:rPr>
                <w:rFonts w:ascii="Times New Roman" w:eastAsia="仿宋"/>
                <w:bCs/>
              </w:rPr>
              <w:t>本项目不属于码头项目且不属于过长江通道项目。</w:t>
            </w:r>
          </w:p>
        </w:tc>
        <w:tc>
          <w:tcPr>
            <w:tcW w:w="793" w:type="pct"/>
            <w:vAlign w:val="center"/>
          </w:tcPr>
          <w:p w14:paraId="2AA7D114">
            <w:pPr>
              <w:adjustRightInd w:val="0"/>
              <w:snapToGrid w:val="0"/>
              <w:jc w:val="center"/>
              <w:rPr>
                <w:rFonts w:ascii="Times New Roman" w:eastAsia="仿宋"/>
                <w:bCs/>
              </w:rPr>
            </w:pPr>
            <w:r>
              <w:rPr>
                <w:rFonts w:ascii="Times New Roman" w:eastAsia="仿宋"/>
                <w:bCs/>
              </w:rPr>
              <w:t>不属于负面清单</w:t>
            </w:r>
          </w:p>
        </w:tc>
      </w:tr>
      <w:tr w14:paraId="73C9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426824FB">
            <w:pPr>
              <w:adjustRightInd w:val="0"/>
              <w:snapToGrid w:val="0"/>
              <w:jc w:val="center"/>
              <w:rPr>
                <w:rFonts w:ascii="Times New Roman" w:eastAsia="仿宋"/>
                <w:bCs/>
              </w:rPr>
            </w:pPr>
            <w:r>
              <w:rPr>
                <w:rFonts w:ascii="Times New Roman" w:eastAsia="仿宋"/>
                <w:bCs/>
              </w:rPr>
              <w:t>2.禁止在自然保护区核心区、缓冲区的岸线和河段范围内投资建设旅游和生产经营项目。禁止在风景名胜区核心景区的岸线和河段范围内投资建设与风景名胜资源保护无关的项目。</w:t>
            </w:r>
          </w:p>
        </w:tc>
        <w:tc>
          <w:tcPr>
            <w:tcW w:w="1578" w:type="pct"/>
            <w:vAlign w:val="center"/>
          </w:tcPr>
          <w:p w14:paraId="1D2E75F6">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，不在自然保护区核心区、缓冲区的岸线和河段范围内投资建设旅游和生产经营项目。</w:t>
            </w:r>
          </w:p>
        </w:tc>
        <w:tc>
          <w:tcPr>
            <w:tcW w:w="793" w:type="pct"/>
            <w:vAlign w:val="center"/>
          </w:tcPr>
          <w:p w14:paraId="1FF71A5F">
            <w:pPr>
              <w:adjustRightInd w:val="0"/>
              <w:snapToGrid w:val="0"/>
              <w:jc w:val="center"/>
              <w:rPr>
                <w:rFonts w:ascii="Times New Roman" w:eastAsia="仿宋"/>
                <w:bCs/>
              </w:rPr>
            </w:pPr>
            <w:r>
              <w:rPr>
                <w:rFonts w:ascii="Times New Roman" w:eastAsia="仿宋"/>
                <w:bCs/>
              </w:rPr>
              <w:t>不属于负面清单</w:t>
            </w:r>
          </w:p>
        </w:tc>
      </w:tr>
      <w:tr w14:paraId="17D4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7D14446B">
            <w:pPr>
              <w:adjustRightInd w:val="0"/>
              <w:snapToGrid w:val="0"/>
              <w:jc w:val="center"/>
              <w:rPr>
                <w:rFonts w:ascii="Times New Roman" w:eastAsia="仿宋"/>
                <w:bCs/>
              </w:rPr>
            </w:pPr>
            <w:r>
              <w:rPr>
                <w:rFonts w:ascii="Times New Roman" w:eastAsia="仿宋"/>
                <w:bCs/>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78" w:type="pct"/>
            <w:vAlign w:val="center"/>
          </w:tcPr>
          <w:p w14:paraId="1F76F63D">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，不在饮用水水源一级保护区的岸线和河段范围内，也不在饮用水水源二级保护区的岸线和河段范围内。</w:t>
            </w:r>
          </w:p>
        </w:tc>
        <w:tc>
          <w:tcPr>
            <w:tcW w:w="793" w:type="pct"/>
            <w:vAlign w:val="center"/>
          </w:tcPr>
          <w:p w14:paraId="45CA98F9">
            <w:pPr>
              <w:adjustRightInd w:val="0"/>
              <w:snapToGrid w:val="0"/>
              <w:jc w:val="center"/>
              <w:rPr>
                <w:rFonts w:ascii="Times New Roman" w:eastAsia="仿宋"/>
                <w:bCs/>
              </w:rPr>
            </w:pPr>
            <w:r>
              <w:rPr>
                <w:rFonts w:ascii="Times New Roman" w:eastAsia="仿宋"/>
                <w:bCs/>
              </w:rPr>
              <w:t>不属于负面清单</w:t>
            </w:r>
          </w:p>
        </w:tc>
      </w:tr>
      <w:tr w14:paraId="4DF4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04BA1ED9">
            <w:pPr>
              <w:adjustRightInd w:val="0"/>
              <w:snapToGrid w:val="0"/>
              <w:jc w:val="center"/>
              <w:rPr>
                <w:rFonts w:ascii="Times New Roman" w:eastAsia="仿宋"/>
                <w:bCs/>
              </w:rPr>
            </w:pPr>
            <w:r>
              <w:rPr>
                <w:rFonts w:ascii="Times New Roman" w:eastAsia="仿宋"/>
                <w:bCs/>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78" w:type="pct"/>
            <w:vAlign w:val="center"/>
          </w:tcPr>
          <w:p w14:paraId="47169B75">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，不在水产种质资源保护区的岸线和河段范围内，也不在国家湿地公园的岸线和河段范围内。</w:t>
            </w:r>
          </w:p>
        </w:tc>
        <w:tc>
          <w:tcPr>
            <w:tcW w:w="793" w:type="pct"/>
            <w:vAlign w:val="center"/>
          </w:tcPr>
          <w:p w14:paraId="1A15AC62">
            <w:pPr>
              <w:adjustRightInd w:val="0"/>
              <w:snapToGrid w:val="0"/>
              <w:jc w:val="center"/>
              <w:rPr>
                <w:rFonts w:ascii="Times New Roman" w:eastAsia="仿宋"/>
                <w:bCs/>
              </w:rPr>
            </w:pPr>
            <w:r>
              <w:rPr>
                <w:rFonts w:ascii="Times New Roman" w:eastAsia="仿宋"/>
                <w:bCs/>
              </w:rPr>
              <w:t>不属于负面清单</w:t>
            </w:r>
          </w:p>
        </w:tc>
      </w:tr>
      <w:tr w14:paraId="1F54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5357C580">
            <w:pPr>
              <w:adjustRightInd w:val="0"/>
              <w:snapToGrid w:val="0"/>
              <w:jc w:val="center"/>
              <w:rPr>
                <w:rFonts w:ascii="Times New Roman" w:eastAsia="仿宋"/>
                <w:bCs/>
              </w:rPr>
            </w:pPr>
            <w:r>
              <w:rPr>
                <w:rFonts w:ascii="Times New Roman" w:eastAsia="仿宋"/>
                <w:bCs/>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78" w:type="pct"/>
            <w:vAlign w:val="center"/>
          </w:tcPr>
          <w:p w14:paraId="734FCE17">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，不涉及利用、占用长江流域河湖岸线，且本项目不属于《全国重要江河湖泊水功能区划》划定的河段及湖泊保护区、保留区内投资建设不利于水资源及自然生态保护的项目。</w:t>
            </w:r>
          </w:p>
        </w:tc>
        <w:tc>
          <w:tcPr>
            <w:tcW w:w="793" w:type="pct"/>
            <w:vAlign w:val="center"/>
          </w:tcPr>
          <w:p w14:paraId="0B156EC2">
            <w:pPr>
              <w:adjustRightInd w:val="0"/>
              <w:snapToGrid w:val="0"/>
              <w:jc w:val="center"/>
              <w:rPr>
                <w:rFonts w:ascii="Times New Roman" w:eastAsia="仿宋"/>
                <w:bCs/>
              </w:rPr>
            </w:pPr>
            <w:r>
              <w:rPr>
                <w:rFonts w:ascii="Times New Roman" w:eastAsia="仿宋"/>
                <w:bCs/>
              </w:rPr>
              <w:t>不属于负面清单</w:t>
            </w:r>
          </w:p>
        </w:tc>
      </w:tr>
      <w:tr w14:paraId="068C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4D41E99C">
            <w:pPr>
              <w:adjustRightInd w:val="0"/>
              <w:snapToGrid w:val="0"/>
              <w:jc w:val="center"/>
              <w:rPr>
                <w:rFonts w:ascii="Times New Roman" w:eastAsia="仿宋"/>
                <w:bCs/>
              </w:rPr>
            </w:pPr>
            <w:r>
              <w:rPr>
                <w:rFonts w:ascii="Times New Roman" w:eastAsia="仿宋"/>
                <w:bCs/>
              </w:rPr>
              <w:t>6.禁止未经许可在长江干支流及湖泊新设、改设或扩大排污口。</w:t>
            </w:r>
          </w:p>
        </w:tc>
        <w:tc>
          <w:tcPr>
            <w:tcW w:w="1578" w:type="pct"/>
            <w:vAlign w:val="center"/>
          </w:tcPr>
          <w:p w14:paraId="465EC728">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，不属于长江干支流及湖泊新设、改设或扩大排污口。</w:t>
            </w:r>
          </w:p>
        </w:tc>
        <w:tc>
          <w:tcPr>
            <w:tcW w:w="793" w:type="pct"/>
            <w:vAlign w:val="center"/>
          </w:tcPr>
          <w:p w14:paraId="5687E355">
            <w:pPr>
              <w:adjustRightInd w:val="0"/>
              <w:snapToGrid w:val="0"/>
              <w:jc w:val="center"/>
              <w:rPr>
                <w:rFonts w:ascii="Times New Roman" w:eastAsia="仿宋"/>
                <w:bCs/>
              </w:rPr>
            </w:pPr>
            <w:r>
              <w:rPr>
                <w:rFonts w:ascii="Times New Roman" w:eastAsia="仿宋"/>
                <w:bCs/>
              </w:rPr>
              <w:t>不属于负面清单</w:t>
            </w:r>
          </w:p>
        </w:tc>
      </w:tr>
      <w:tr w14:paraId="7BA6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05948980">
            <w:pPr>
              <w:adjustRightInd w:val="0"/>
              <w:snapToGrid w:val="0"/>
              <w:jc w:val="center"/>
              <w:rPr>
                <w:rFonts w:ascii="Times New Roman" w:eastAsia="仿宋"/>
                <w:bCs/>
              </w:rPr>
            </w:pPr>
            <w:r>
              <w:rPr>
                <w:rFonts w:ascii="Times New Roman" w:eastAsia="仿宋"/>
                <w:bCs/>
              </w:rPr>
              <w:t>7.禁止在“一江一口两湖七河”和332个水生生物保护区开展生产性捕捞。</w:t>
            </w:r>
          </w:p>
        </w:tc>
        <w:tc>
          <w:tcPr>
            <w:tcW w:w="1578" w:type="pct"/>
            <w:vAlign w:val="center"/>
          </w:tcPr>
          <w:p w14:paraId="4319EE99">
            <w:pPr>
              <w:adjustRightInd w:val="0"/>
              <w:snapToGrid w:val="0"/>
              <w:jc w:val="center"/>
              <w:rPr>
                <w:rFonts w:ascii="Times New Roman" w:eastAsia="仿宋"/>
                <w:bCs/>
              </w:rPr>
            </w:pPr>
            <w:r>
              <w:rPr>
                <w:rFonts w:ascii="Times New Roman" w:eastAsia="仿宋"/>
                <w:bCs/>
              </w:rPr>
              <w:t>本项目为汽车</w:t>
            </w:r>
            <w:r>
              <w:rPr>
                <w:rFonts w:hint="eastAsia" w:ascii="Times New Roman" w:eastAsia="仿宋"/>
                <w:bCs/>
              </w:rPr>
              <w:t>铝单板造</w:t>
            </w:r>
            <w:r>
              <w:rPr>
                <w:rFonts w:ascii="Times New Roman" w:eastAsia="仿宋"/>
                <w:bCs/>
              </w:rPr>
              <w:t>项目，不会在“一江一口两湖七河”和332个水生生物保护区开展生产性捕捞。</w:t>
            </w:r>
          </w:p>
        </w:tc>
        <w:tc>
          <w:tcPr>
            <w:tcW w:w="793" w:type="pct"/>
            <w:vAlign w:val="center"/>
          </w:tcPr>
          <w:p w14:paraId="43855ACC">
            <w:pPr>
              <w:adjustRightInd w:val="0"/>
              <w:snapToGrid w:val="0"/>
              <w:jc w:val="center"/>
              <w:rPr>
                <w:rFonts w:ascii="Times New Roman" w:eastAsia="仿宋"/>
                <w:bCs/>
              </w:rPr>
            </w:pPr>
            <w:r>
              <w:rPr>
                <w:rFonts w:ascii="Times New Roman" w:eastAsia="仿宋"/>
                <w:bCs/>
              </w:rPr>
              <w:t>不属于负面清单</w:t>
            </w:r>
          </w:p>
        </w:tc>
      </w:tr>
      <w:tr w14:paraId="5058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6A6D2F9D">
            <w:pPr>
              <w:adjustRightInd w:val="0"/>
              <w:snapToGrid w:val="0"/>
              <w:jc w:val="center"/>
              <w:rPr>
                <w:rFonts w:ascii="Times New Roman" w:eastAsia="仿宋"/>
                <w:bCs/>
              </w:rPr>
            </w:pPr>
            <w:r>
              <w:rPr>
                <w:rFonts w:ascii="Times New Roman" w:eastAsia="仿宋"/>
                <w:bCs/>
              </w:rPr>
              <w:t>8. 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78" w:type="pct"/>
            <w:vAlign w:val="center"/>
          </w:tcPr>
          <w:p w14:paraId="2A48956D">
            <w:pPr>
              <w:adjustRightInd w:val="0"/>
              <w:snapToGrid w:val="0"/>
              <w:jc w:val="center"/>
              <w:rPr>
                <w:rFonts w:ascii="Times New Roman" w:eastAsia="仿宋"/>
                <w:bCs/>
              </w:rPr>
            </w:pPr>
            <w:r>
              <w:rPr>
                <w:rFonts w:ascii="Times New Roman" w:eastAsia="仿宋"/>
                <w:bCs/>
              </w:rPr>
              <w:t>本项目位于</w:t>
            </w:r>
            <w:r>
              <w:rPr>
                <w:rFonts w:ascii="Times New Roman" w:eastAsia="仿宋"/>
                <w:kern w:val="32"/>
              </w:rPr>
              <w:t>常州市金坛区朱林镇永兴路68号</w:t>
            </w:r>
            <w:r>
              <w:rPr>
                <w:rFonts w:ascii="Times New Roman" w:eastAsia="仿宋"/>
                <w:bCs/>
              </w:rPr>
              <w:t>，不在长江干支流、重要湖泊岸线一公里范围内，本项目不属于化工项目，不会在长江干流岸线三公里范围内和重要支流岸线一公里范围内新建、改建、扩建尾矿库、冶炼渣库和磷石膏库。</w:t>
            </w:r>
          </w:p>
        </w:tc>
        <w:tc>
          <w:tcPr>
            <w:tcW w:w="793" w:type="pct"/>
            <w:vAlign w:val="center"/>
          </w:tcPr>
          <w:p w14:paraId="7406254B">
            <w:pPr>
              <w:adjustRightInd w:val="0"/>
              <w:snapToGrid w:val="0"/>
              <w:jc w:val="center"/>
              <w:rPr>
                <w:rFonts w:ascii="Times New Roman" w:eastAsia="仿宋"/>
                <w:bCs/>
              </w:rPr>
            </w:pPr>
            <w:r>
              <w:rPr>
                <w:rFonts w:ascii="Times New Roman" w:eastAsia="仿宋"/>
                <w:bCs/>
              </w:rPr>
              <w:t>不属于负面清单</w:t>
            </w:r>
          </w:p>
        </w:tc>
      </w:tr>
      <w:tr w14:paraId="7F1B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65374C92">
            <w:pPr>
              <w:adjustRightInd w:val="0"/>
              <w:snapToGrid w:val="0"/>
              <w:jc w:val="center"/>
              <w:rPr>
                <w:rFonts w:ascii="Times New Roman" w:eastAsia="仿宋"/>
                <w:bCs/>
              </w:rPr>
            </w:pPr>
            <w:r>
              <w:rPr>
                <w:rFonts w:ascii="Times New Roman" w:eastAsia="仿宋"/>
                <w:bCs/>
              </w:rPr>
              <w:t>9.禁止在合规园区外新建、扩建钢铁、石化、化工、焦化、建材、有色、制浆造纸等高污染项目。</w:t>
            </w:r>
          </w:p>
        </w:tc>
        <w:tc>
          <w:tcPr>
            <w:tcW w:w="1578" w:type="pct"/>
            <w:vAlign w:val="center"/>
          </w:tcPr>
          <w:p w14:paraId="15C9B86C">
            <w:pPr>
              <w:adjustRightInd w:val="0"/>
              <w:snapToGrid w:val="0"/>
              <w:jc w:val="center"/>
              <w:rPr>
                <w:rFonts w:ascii="Times New Roman" w:eastAsia="仿宋"/>
                <w:bCs/>
              </w:rPr>
            </w:pPr>
            <w:r>
              <w:rPr>
                <w:rFonts w:ascii="Times New Roman" w:eastAsia="仿宋"/>
                <w:bCs/>
              </w:rPr>
              <w:t>本项目在工业园区内，本项目不属于高污染项目。</w:t>
            </w:r>
          </w:p>
        </w:tc>
        <w:tc>
          <w:tcPr>
            <w:tcW w:w="793" w:type="pct"/>
            <w:vAlign w:val="center"/>
          </w:tcPr>
          <w:p w14:paraId="724F7603">
            <w:pPr>
              <w:adjustRightInd w:val="0"/>
              <w:snapToGrid w:val="0"/>
              <w:jc w:val="center"/>
              <w:rPr>
                <w:rFonts w:ascii="Times New Roman" w:eastAsia="仿宋"/>
                <w:bCs/>
              </w:rPr>
            </w:pPr>
            <w:r>
              <w:rPr>
                <w:rFonts w:ascii="Times New Roman" w:eastAsia="仿宋"/>
                <w:bCs/>
              </w:rPr>
              <w:t>不属于负面清单</w:t>
            </w:r>
          </w:p>
        </w:tc>
      </w:tr>
      <w:tr w14:paraId="49EA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09619C5D">
            <w:pPr>
              <w:adjustRightInd w:val="0"/>
              <w:snapToGrid w:val="0"/>
              <w:jc w:val="center"/>
              <w:rPr>
                <w:rFonts w:ascii="Times New Roman" w:eastAsia="仿宋"/>
                <w:bCs/>
              </w:rPr>
            </w:pPr>
            <w:r>
              <w:rPr>
                <w:rFonts w:ascii="Times New Roman" w:eastAsia="仿宋"/>
                <w:bCs/>
              </w:rPr>
              <w:t>10. 禁止新建、扩建不符合国家石化、现代煤化工等产业布局规划的项目。</w:t>
            </w:r>
          </w:p>
        </w:tc>
        <w:tc>
          <w:tcPr>
            <w:tcW w:w="1578" w:type="pct"/>
            <w:vAlign w:val="center"/>
          </w:tcPr>
          <w:p w14:paraId="40984A4A">
            <w:pPr>
              <w:adjustRightInd w:val="0"/>
              <w:snapToGrid w:val="0"/>
              <w:jc w:val="center"/>
              <w:rPr>
                <w:rFonts w:ascii="Times New Roman" w:eastAsia="仿宋"/>
                <w:bCs/>
              </w:rPr>
            </w:pPr>
            <w:r>
              <w:rPr>
                <w:rFonts w:ascii="Times New Roman" w:eastAsia="仿宋"/>
                <w:bCs/>
              </w:rPr>
              <w:t>本项目在工业园区内，本项目为</w:t>
            </w:r>
            <w:r>
              <w:rPr>
                <w:rFonts w:hint="eastAsia" w:ascii="Times New Roman" w:eastAsia="仿宋"/>
                <w:bCs/>
              </w:rPr>
              <w:t>汽车铝单板生产项目，</w:t>
            </w:r>
            <w:r>
              <w:rPr>
                <w:rFonts w:ascii="Times New Roman" w:eastAsia="仿宋"/>
                <w:bCs/>
              </w:rPr>
              <w:t>不属于新建、扩建不符合国家石化、现代煤化工等产业布局规划的项目。</w:t>
            </w:r>
          </w:p>
        </w:tc>
        <w:tc>
          <w:tcPr>
            <w:tcW w:w="793" w:type="pct"/>
            <w:vAlign w:val="center"/>
          </w:tcPr>
          <w:p w14:paraId="1E350FB9">
            <w:pPr>
              <w:adjustRightInd w:val="0"/>
              <w:snapToGrid w:val="0"/>
              <w:jc w:val="center"/>
              <w:rPr>
                <w:rFonts w:ascii="Times New Roman" w:eastAsia="仿宋"/>
                <w:bCs/>
              </w:rPr>
            </w:pPr>
            <w:r>
              <w:rPr>
                <w:rFonts w:ascii="Times New Roman" w:eastAsia="仿宋"/>
                <w:bCs/>
              </w:rPr>
              <w:t>不属于负面清单</w:t>
            </w:r>
          </w:p>
        </w:tc>
      </w:tr>
      <w:tr w14:paraId="744E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9" w:type="pct"/>
            <w:vAlign w:val="center"/>
          </w:tcPr>
          <w:p w14:paraId="09A9489E">
            <w:pPr>
              <w:adjustRightInd w:val="0"/>
              <w:snapToGrid w:val="0"/>
              <w:jc w:val="center"/>
              <w:rPr>
                <w:rFonts w:ascii="Times New Roman" w:eastAsia="仿宋"/>
                <w:bCs/>
              </w:rPr>
            </w:pPr>
            <w:r>
              <w:rPr>
                <w:rFonts w:ascii="Times New Roman" w:eastAsia="仿宋"/>
                <w:bCs/>
              </w:rPr>
              <w:t>11. 禁止新建、扩建法律法规和相关政策明令禁止的落后产能项目。禁止新建、扩建不符合国家产能置换要求的严重过剩产能行业的项目。禁止新建、扩建不符合要求的高耗能高排放项目。</w:t>
            </w:r>
          </w:p>
        </w:tc>
        <w:tc>
          <w:tcPr>
            <w:tcW w:w="1578" w:type="pct"/>
            <w:vAlign w:val="center"/>
          </w:tcPr>
          <w:p w14:paraId="1B18D56B">
            <w:pPr>
              <w:adjustRightInd w:val="0"/>
              <w:snapToGrid w:val="0"/>
              <w:jc w:val="center"/>
              <w:rPr>
                <w:rFonts w:ascii="Times New Roman" w:eastAsia="仿宋"/>
                <w:bCs/>
              </w:rPr>
            </w:pPr>
            <w:r>
              <w:rPr>
                <w:rFonts w:ascii="Times New Roman" w:eastAsia="仿宋"/>
                <w:bCs/>
              </w:rPr>
              <w:t>本项目不属于新建、扩建法律法规和相关政策明令禁止的落后产能项目。也不属于不符合国家产能置换要求的严重过剩产能行业的项目。不属于不符合要求的高耗能高排放项目。</w:t>
            </w:r>
          </w:p>
        </w:tc>
        <w:tc>
          <w:tcPr>
            <w:tcW w:w="793" w:type="pct"/>
            <w:vAlign w:val="center"/>
          </w:tcPr>
          <w:p w14:paraId="67558A32">
            <w:pPr>
              <w:adjustRightInd w:val="0"/>
              <w:snapToGrid w:val="0"/>
              <w:jc w:val="center"/>
              <w:rPr>
                <w:rFonts w:ascii="Times New Roman" w:eastAsia="仿宋"/>
                <w:bCs/>
              </w:rPr>
            </w:pPr>
            <w:r>
              <w:rPr>
                <w:rFonts w:ascii="Times New Roman" w:eastAsia="仿宋"/>
                <w:bCs/>
              </w:rPr>
              <w:t>不属于负面清单</w:t>
            </w:r>
          </w:p>
        </w:tc>
      </w:tr>
    </w:tbl>
    <w:p w14:paraId="4C3031E4">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综上，本项目不属于《〈长江经济带发展负面清单指南〉江苏省实施细则（试行）》所列的禁止类项目，项目建设符合《关于印发&lt;长江经济带发展负面清单指南&gt;（试行，2022年版）的通知》（长江办〔2022〕7号）的要求。</w:t>
      </w:r>
    </w:p>
    <w:p w14:paraId="78BF94A6">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因此，本项目符合环境准入负面清单相关要求，符合主体功能区建设要求。</w:t>
      </w:r>
    </w:p>
    <w:p w14:paraId="71340E6B">
      <w:pPr>
        <w:pStyle w:val="7"/>
        <w:keepLines w:val="0"/>
        <w:widowControl/>
        <w:tabs>
          <w:tab w:val="left" w:pos="993"/>
        </w:tabs>
        <w:adjustRightInd w:val="0"/>
        <w:snapToGrid w:val="0"/>
        <w:spacing w:after="120" w:afterLines="50"/>
        <w:jc w:val="left"/>
        <w:rPr>
          <w:rFonts w:ascii="Times New Roman" w:hAnsi="Times New Roman" w:eastAsia="仿宋"/>
          <w:b/>
        </w:rPr>
      </w:pPr>
      <w:r>
        <w:rPr>
          <w:rFonts w:hint="eastAsia" w:ascii="Times New Roman" w:hAnsi="Times New Roman" w:eastAsia="仿宋"/>
          <w:b/>
        </w:rPr>
        <w:t>2</w:t>
      </w:r>
      <w:r>
        <w:rPr>
          <w:rFonts w:ascii="Times New Roman" w:hAnsi="Times New Roman" w:eastAsia="仿宋"/>
          <w:b/>
        </w:rPr>
        <w:t>.7.3.2与规划的相容性</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E39AE6E">
      <w:pPr>
        <w:numPr>
          <w:ilvl w:val="0"/>
          <w:numId w:val="7"/>
        </w:numPr>
        <w:adjustRightInd w:val="0"/>
        <w:snapToGrid w:val="0"/>
        <w:spacing w:line="500" w:lineRule="exact"/>
        <w:ind w:firstLine="562" w:firstLineChars="200"/>
        <w:rPr>
          <w:rFonts w:ascii="Times New Roman" w:eastAsia="仿宋"/>
          <w:b/>
          <w:sz w:val="28"/>
          <w:szCs w:val="28"/>
        </w:rPr>
      </w:pPr>
      <w:r>
        <w:rPr>
          <w:rFonts w:hint="eastAsia" w:ascii="Times New Roman" w:eastAsia="仿宋"/>
          <w:b/>
          <w:sz w:val="28"/>
          <w:szCs w:val="28"/>
        </w:rPr>
        <w:t>与</w:t>
      </w:r>
      <w:r>
        <w:rPr>
          <w:rFonts w:ascii="Times New Roman" w:eastAsia="仿宋"/>
          <w:b/>
          <w:sz w:val="28"/>
          <w:szCs w:val="28"/>
        </w:rPr>
        <w:t>常州市国土空间总体规划</w:t>
      </w:r>
      <w:r>
        <w:rPr>
          <w:rFonts w:hint="eastAsia" w:ascii="Times New Roman" w:eastAsia="仿宋"/>
          <w:b/>
          <w:sz w:val="28"/>
          <w:szCs w:val="28"/>
        </w:rPr>
        <w:t>及批复相符性分析</w:t>
      </w:r>
    </w:p>
    <w:p w14:paraId="252E1A82">
      <w:pPr>
        <w:widowControl/>
        <w:tabs>
          <w:tab w:val="left" w:pos="3225"/>
        </w:tabs>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根据2.6.2章节，本项目位于常州市金坛区朱林镇永兴路68号，项目所在地已规划为工业用地，属于国土空间规划中城镇发展区，距离本项目最近的生态保护红线为</w:t>
      </w:r>
      <w:r>
        <w:rPr>
          <w:rFonts w:ascii="Times New Roman" w:eastAsia="仿宋"/>
          <w:sz w:val="28"/>
          <w:szCs w:val="28"/>
        </w:rPr>
        <w:t>天荒湖重要渔业水域</w:t>
      </w:r>
      <w:r>
        <w:rPr>
          <w:rFonts w:hint="eastAsia" w:ascii="Times New Roman" w:eastAsia="仿宋"/>
          <w:sz w:val="28"/>
          <w:szCs w:val="28"/>
        </w:rPr>
        <w:t>，位于本项目东北侧</w:t>
      </w:r>
      <w:r>
        <w:rPr>
          <w:rFonts w:ascii="Times New Roman" w:eastAsia="仿宋"/>
          <w:sz w:val="28"/>
          <w:szCs w:val="28"/>
        </w:rPr>
        <w:t>9.3</w:t>
      </w:r>
      <w:r>
        <w:rPr>
          <w:rFonts w:hint="eastAsia" w:ascii="Times New Roman" w:eastAsia="仿宋"/>
          <w:sz w:val="28"/>
          <w:szCs w:val="28"/>
        </w:rPr>
        <w:t>km，不在生态保护红线范围内，本项目所在地不涉及永久基本农田。综上所述，本项目符合常州市国土空间规划。</w:t>
      </w:r>
    </w:p>
    <w:p w14:paraId="52D26F00">
      <w:pPr>
        <w:widowControl/>
        <w:tabs>
          <w:tab w:val="left" w:pos="3225"/>
        </w:tabs>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根据国务院关于《常州市国土空间总体规划（2021—2035年）》的批复（国函〔2025〕9号），批复中要求如下：</w:t>
      </w:r>
    </w:p>
    <w:p w14:paraId="26C46D8F">
      <w:pPr>
        <w:spacing w:line="500" w:lineRule="exact"/>
        <w:jc w:val="center"/>
        <w:rPr>
          <w:rFonts w:ascii="Times New Roman" w:eastAsia="仿宋"/>
          <w:b/>
          <w:bCs/>
        </w:rPr>
      </w:pPr>
      <w:r>
        <w:rPr>
          <w:rFonts w:ascii="Times New Roman" w:eastAsia="仿宋"/>
          <w:b/>
          <w:bCs/>
        </w:rPr>
        <w:t>表2.7-2</w:t>
      </w:r>
      <w:r>
        <w:rPr>
          <w:rFonts w:hint="eastAsia" w:ascii="Times New Roman" w:eastAsia="仿宋"/>
          <w:b/>
          <w:bCs/>
        </w:rPr>
        <w:t>6</w:t>
      </w:r>
      <w:r>
        <w:rPr>
          <w:rFonts w:ascii="Times New Roman" w:eastAsia="仿宋"/>
          <w:b/>
          <w:bCs/>
        </w:rPr>
        <w:t xml:space="preserve">  </w:t>
      </w:r>
      <w:r>
        <w:rPr>
          <w:rFonts w:hint="eastAsia" w:ascii="Times New Roman" w:eastAsia="仿宋"/>
          <w:b/>
          <w:bCs/>
        </w:rPr>
        <w:t>园区产业发展负面清单</w:t>
      </w:r>
    </w:p>
    <w:tbl>
      <w:tblPr>
        <w:tblStyle w:val="87"/>
        <w:tblW w:w="8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195"/>
        <w:gridCol w:w="2275"/>
        <w:gridCol w:w="882"/>
      </w:tblGrid>
      <w:tr w14:paraId="313B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0" w:type="dxa"/>
            <w:vAlign w:val="center"/>
          </w:tcPr>
          <w:p w14:paraId="036D6769">
            <w:pPr>
              <w:widowControl/>
              <w:adjustRightInd w:val="0"/>
              <w:snapToGrid w:val="0"/>
              <w:jc w:val="center"/>
              <w:rPr>
                <w:rFonts w:ascii="Times New Roman" w:eastAsia="仿宋"/>
              </w:rPr>
            </w:pPr>
            <w:r>
              <w:rPr>
                <w:rFonts w:ascii="Times New Roman" w:eastAsia="仿宋"/>
              </w:rPr>
              <w:t>类别</w:t>
            </w:r>
          </w:p>
        </w:tc>
        <w:tc>
          <w:tcPr>
            <w:tcW w:w="3195" w:type="dxa"/>
            <w:vAlign w:val="center"/>
          </w:tcPr>
          <w:p w14:paraId="318462AB">
            <w:pPr>
              <w:widowControl/>
              <w:adjustRightInd w:val="0"/>
              <w:snapToGrid w:val="0"/>
              <w:jc w:val="center"/>
              <w:rPr>
                <w:rFonts w:ascii="Times New Roman" w:eastAsia="仿宋"/>
              </w:rPr>
            </w:pPr>
            <w:r>
              <w:rPr>
                <w:rFonts w:ascii="Times New Roman" w:eastAsia="仿宋"/>
              </w:rPr>
              <w:t>对照内容</w:t>
            </w:r>
          </w:p>
        </w:tc>
        <w:tc>
          <w:tcPr>
            <w:tcW w:w="2275" w:type="dxa"/>
            <w:vAlign w:val="center"/>
          </w:tcPr>
          <w:p w14:paraId="0F617E4F">
            <w:pPr>
              <w:widowControl/>
              <w:adjustRightInd w:val="0"/>
              <w:snapToGrid w:val="0"/>
              <w:jc w:val="center"/>
              <w:rPr>
                <w:rFonts w:ascii="Times New Roman" w:eastAsia="仿宋"/>
              </w:rPr>
            </w:pPr>
            <w:r>
              <w:rPr>
                <w:rFonts w:ascii="Times New Roman" w:eastAsia="仿宋"/>
              </w:rPr>
              <w:t>本项目情况</w:t>
            </w:r>
          </w:p>
        </w:tc>
        <w:tc>
          <w:tcPr>
            <w:tcW w:w="882" w:type="dxa"/>
            <w:vAlign w:val="center"/>
          </w:tcPr>
          <w:p w14:paraId="743387FC">
            <w:pPr>
              <w:widowControl/>
              <w:adjustRightInd w:val="0"/>
              <w:snapToGrid w:val="0"/>
              <w:jc w:val="center"/>
              <w:rPr>
                <w:rFonts w:ascii="Times New Roman" w:eastAsia="仿宋"/>
              </w:rPr>
            </w:pPr>
            <w:r>
              <w:rPr>
                <w:rFonts w:ascii="Times New Roman" w:eastAsia="仿宋"/>
              </w:rPr>
              <w:t>相符性</w:t>
            </w:r>
          </w:p>
        </w:tc>
      </w:tr>
      <w:tr w14:paraId="6114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40" w:type="dxa"/>
            <w:vAlign w:val="center"/>
          </w:tcPr>
          <w:p w14:paraId="46055411">
            <w:pPr>
              <w:widowControl/>
              <w:adjustRightInd w:val="0"/>
              <w:snapToGrid w:val="0"/>
              <w:jc w:val="center"/>
              <w:rPr>
                <w:rFonts w:ascii="Times New Roman" w:eastAsia="仿宋"/>
              </w:rPr>
            </w:pPr>
            <w:r>
              <w:rPr>
                <w:rFonts w:hint="eastAsia" w:ascii="Times New Roman" w:eastAsia="仿宋"/>
              </w:rPr>
              <w:t>四、</w:t>
            </w:r>
            <w:r>
              <w:rPr>
                <w:rFonts w:ascii="Times New Roman" w:eastAsia="仿宋"/>
              </w:rPr>
              <w:t>系统优化国土空间开发保护格局。</w:t>
            </w:r>
          </w:p>
        </w:tc>
        <w:tc>
          <w:tcPr>
            <w:tcW w:w="3195" w:type="dxa"/>
            <w:vAlign w:val="center"/>
          </w:tcPr>
          <w:p w14:paraId="787D8C07">
            <w:pPr>
              <w:widowControl/>
              <w:adjustRightInd w:val="0"/>
              <w:snapToGrid w:val="0"/>
              <w:jc w:val="center"/>
              <w:rPr>
                <w:rFonts w:ascii="Times New Roman" w:eastAsia="仿宋"/>
              </w:rPr>
            </w:pPr>
            <w:r>
              <w:rPr>
                <w:rFonts w:ascii="Times New Roman" w:eastAsia="仿宋"/>
              </w:rPr>
              <w:t>加快构建区域协调、城乡融合的城镇体系，提升中心城区服务能级</w:t>
            </w:r>
            <w:r>
              <w:rPr>
                <w:rFonts w:hint="eastAsia" w:ascii="Times New Roman" w:eastAsia="仿宋"/>
              </w:rPr>
              <w:t>……</w:t>
            </w:r>
            <w:r>
              <w:rPr>
                <w:rFonts w:ascii="Times New Roman" w:eastAsia="仿宋"/>
              </w:rPr>
              <w:t>保护好历史城区和历史文化街区，构建文化资源、自然资源、景观资源整体保护的空间体系。</w:t>
            </w:r>
          </w:p>
        </w:tc>
        <w:tc>
          <w:tcPr>
            <w:tcW w:w="2275" w:type="dxa"/>
            <w:vAlign w:val="center"/>
          </w:tcPr>
          <w:p w14:paraId="5DFF0F97">
            <w:pPr>
              <w:widowControl/>
              <w:adjustRightInd w:val="0"/>
              <w:snapToGrid w:val="0"/>
              <w:jc w:val="center"/>
              <w:rPr>
                <w:rFonts w:ascii="Times New Roman" w:eastAsia="仿宋"/>
              </w:rPr>
            </w:pPr>
            <w:r>
              <w:rPr>
                <w:rFonts w:ascii="Times New Roman" w:eastAsia="仿宋"/>
                <w:bCs/>
              </w:rPr>
              <w:t>本项目位于</w:t>
            </w:r>
            <w:r>
              <w:rPr>
                <w:rFonts w:ascii="Times New Roman" w:eastAsia="仿宋"/>
                <w:kern w:val="32"/>
              </w:rPr>
              <w:t>常州市金坛区朱林镇永兴路68号</w:t>
            </w:r>
            <w:r>
              <w:rPr>
                <w:rFonts w:hint="eastAsia" w:ascii="Times New Roman" w:eastAsia="仿宋"/>
                <w:kern w:val="32"/>
              </w:rPr>
              <w:t>，项目所在地已规划为工业用地，属于国土空间规划中城镇发展区，</w:t>
            </w:r>
            <w:r>
              <w:rPr>
                <w:rFonts w:ascii="Times New Roman" w:eastAsia="仿宋"/>
                <w:kern w:val="32"/>
              </w:rPr>
              <w:t>不</w:t>
            </w:r>
            <w:r>
              <w:rPr>
                <w:rFonts w:ascii="Times New Roman" w:eastAsia="仿宋"/>
                <w:bCs/>
              </w:rPr>
              <w:t>在《江苏省生态空间管控区域规划》及《江苏省国家级生态保护红线规划》中规定的生态空间保护区域内。</w:t>
            </w:r>
          </w:p>
        </w:tc>
        <w:tc>
          <w:tcPr>
            <w:tcW w:w="882" w:type="dxa"/>
            <w:vAlign w:val="center"/>
          </w:tcPr>
          <w:p w14:paraId="506F5FCB">
            <w:pPr>
              <w:widowControl/>
              <w:adjustRightInd w:val="0"/>
              <w:snapToGrid w:val="0"/>
              <w:jc w:val="center"/>
              <w:rPr>
                <w:rFonts w:ascii="Times New Roman" w:eastAsia="仿宋"/>
              </w:rPr>
            </w:pPr>
            <w:r>
              <w:rPr>
                <w:rFonts w:hint="eastAsia" w:ascii="Times New Roman" w:eastAsia="仿宋"/>
              </w:rPr>
              <w:t>相符</w:t>
            </w:r>
          </w:p>
        </w:tc>
      </w:tr>
    </w:tbl>
    <w:p w14:paraId="32B42111">
      <w:pPr>
        <w:adjustRightInd w:val="0"/>
        <w:snapToGrid w:val="0"/>
        <w:spacing w:line="500" w:lineRule="exact"/>
        <w:ind w:firstLine="562" w:firstLineChars="200"/>
        <w:rPr>
          <w:rFonts w:ascii="Times New Roman" w:eastAsia="仿宋"/>
          <w:b/>
          <w:sz w:val="28"/>
          <w:szCs w:val="28"/>
        </w:rPr>
      </w:pPr>
      <w:r>
        <w:rPr>
          <w:rFonts w:hint="eastAsia" w:ascii="Times New Roman" w:eastAsia="仿宋"/>
          <w:b/>
          <w:sz w:val="28"/>
          <w:szCs w:val="28"/>
        </w:rPr>
        <w:t>二</w:t>
      </w:r>
      <w:r>
        <w:rPr>
          <w:rFonts w:ascii="Times New Roman" w:eastAsia="仿宋"/>
          <w:b/>
          <w:sz w:val="28"/>
          <w:szCs w:val="28"/>
        </w:rPr>
        <w:t>、与区域环评及批复相符性分析</w:t>
      </w:r>
    </w:p>
    <w:p w14:paraId="6BE4C9A8">
      <w:pPr>
        <w:widowControl/>
        <w:tabs>
          <w:tab w:val="left" w:pos="3225"/>
        </w:tabs>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本项目</w:t>
      </w:r>
      <w:r>
        <w:rPr>
          <w:rFonts w:ascii="Times New Roman" w:eastAsia="仿宋"/>
          <w:sz w:val="28"/>
          <w:szCs w:val="28"/>
        </w:rPr>
        <w:t>对照《</w:t>
      </w:r>
      <w:r>
        <w:rPr>
          <w:rFonts w:hint="eastAsia" w:ascii="Times New Roman" w:eastAsia="仿宋"/>
          <w:sz w:val="28"/>
          <w:szCs w:val="28"/>
        </w:rPr>
        <w:t>江苏省金坛经济开发区朱林现代产业园规划环境影响评价报告书</w:t>
      </w:r>
      <w:r>
        <w:rPr>
          <w:rFonts w:ascii="Times New Roman" w:eastAsia="仿宋"/>
          <w:sz w:val="28"/>
          <w:szCs w:val="28"/>
        </w:rPr>
        <w:t>》</w:t>
      </w:r>
      <w:r>
        <w:rPr>
          <w:rFonts w:hint="eastAsia" w:ascii="Times New Roman" w:eastAsia="仿宋"/>
          <w:sz w:val="28"/>
          <w:szCs w:val="28"/>
        </w:rPr>
        <w:t>及其审查意见（常金环审[20</w:t>
      </w:r>
      <w:r>
        <w:rPr>
          <w:rFonts w:ascii="Times New Roman" w:eastAsia="仿宋"/>
          <w:sz w:val="28"/>
          <w:szCs w:val="28"/>
        </w:rPr>
        <w:t>20</w:t>
      </w:r>
      <w:r>
        <w:rPr>
          <w:rFonts w:hint="eastAsia" w:ascii="Times New Roman" w:eastAsia="仿宋"/>
          <w:sz w:val="28"/>
          <w:szCs w:val="28"/>
        </w:rPr>
        <w:t>]</w:t>
      </w:r>
      <w:r>
        <w:rPr>
          <w:rFonts w:ascii="Times New Roman" w:eastAsia="仿宋"/>
          <w:sz w:val="28"/>
          <w:szCs w:val="28"/>
        </w:rPr>
        <w:t>127</w:t>
      </w:r>
      <w:r>
        <w:rPr>
          <w:rFonts w:hint="eastAsia" w:ascii="Times New Roman" w:eastAsia="仿宋"/>
          <w:sz w:val="28"/>
          <w:szCs w:val="28"/>
        </w:rPr>
        <w:t>号）</w:t>
      </w:r>
      <w:r>
        <w:rPr>
          <w:rFonts w:ascii="Times New Roman" w:eastAsia="仿宋"/>
          <w:sz w:val="28"/>
          <w:szCs w:val="28"/>
        </w:rPr>
        <w:t>，产业定位：</w:t>
      </w:r>
      <w:r>
        <w:rPr>
          <w:rFonts w:hint="eastAsia" w:ascii="Times New Roman" w:eastAsia="仿宋"/>
          <w:sz w:val="28"/>
          <w:szCs w:val="28"/>
        </w:rPr>
        <w:t>以一类、二类工业为主导，限制三类工业。重点发展电子、缝纫/服饰加工、金属制品制造、非金属制品制造、轻机械制造、食品加工、新能源汽车及核心零部件、新一代移动通信及光伏新能源产业，形成金坛西部重要的工业板块和综合服务节点。</w:t>
      </w:r>
    </w:p>
    <w:p w14:paraId="0C872649">
      <w:pPr>
        <w:widowControl/>
        <w:tabs>
          <w:tab w:val="left" w:pos="3225"/>
        </w:tabs>
        <w:adjustRightInd w:val="0"/>
        <w:spacing w:line="500" w:lineRule="exact"/>
        <w:ind w:firstLine="560" w:firstLineChars="200"/>
        <w:jc w:val="left"/>
        <w:rPr>
          <w:rFonts w:ascii="Times New Roman" w:eastAsia="仿宋"/>
          <w:sz w:val="28"/>
          <w:szCs w:val="28"/>
        </w:rPr>
      </w:pPr>
      <w:r>
        <w:rPr>
          <w:rFonts w:ascii="Times New Roman" w:eastAsia="仿宋"/>
          <w:sz w:val="28"/>
          <w:szCs w:val="28"/>
        </w:rPr>
        <w:t>依据本项目《江苏省投资项目备案证》，并对照《国民经济行业分类》（GB/T4754-2017），本项目行业类别属于</w:t>
      </w:r>
      <w:r>
        <w:rPr>
          <w:rFonts w:hint="eastAsia" w:ascii="Times New Roman" w:eastAsia="仿宋"/>
          <w:sz w:val="28"/>
          <w:szCs w:val="28"/>
        </w:rPr>
        <w:t>“C3670汽车零部件及配件制造”，属于鼓励类中交通工具及配件、零件制造，</w:t>
      </w:r>
      <w:r>
        <w:rPr>
          <w:rFonts w:ascii="Times New Roman" w:eastAsia="仿宋"/>
          <w:sz w:val="28"/>
          <w:szCs w:val="28"/>
        </w:rPr>
        <w:t>不属于三类工业，营运期不排放含氮、磷生产废水，废气、噪声、固废均配套相应污染防治措施，符合园区产业定位符合园区规划环评相关控制要求。</w:t>
      </w:r>
    </w:p>
    <w:p w14:paraId="2DA447F8">
      <w:pPr>
        <w:widowControl/>
        <w:tabs>
          <w:tab w:val="left" w:pos="3225"/>
        </w:tabs>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根据园区规划环评报告书批复，园区产业发展负面清单如下表所示。</w:t>
      </w:r>
    </w:p>
    <w:p w14:paraId="2437F659">
      <w:pPr>
        <w:spacing w:line="500" w:lineRule="exact"/>
        <w:jc w:val="center"/>
        <w:rPr>
          <w:rFonts w:ascii="Times New Roman" w:eastAsia="仿宋"/>
          <w:b/>
          <w:bCs/>
        </w:rPr>
      </w:pPr>
      <w:r>
        <w:rPr>
          <w:rFonts w:ascii="Times New Roman" w:eastAsia="仿宋"/>
          <w:b/>
          <w:bCs/>
        </w:rPr>
        <w:t xml:space="preserve">表2.7-27  </w:t>
      </w:r>
      <w:r>
        <w:rPr>
          <w:rFonts w:hint="eastAsia" w:ascii="Times New Roman" w:eastAsia="仿宋"/>
          <w:b/>
          <w:bCs/>
        </w:rPr>
        <w:t>园区产业发展负面清单</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573"/>
      </w:tblGrid>
      <w:tr w14:paraId="44B5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shd w:val="clear" w:color="auto" w:fill="auto"/>
            <w:vAlign w:val="center"/>
          </w:tcPr>
          <w:p w14:paraId="35A97633">
            <w:pPr>
              <w:adjustRightInd w:val="0"/>
              <w:snapToGrid w:val="0"/>
              <w:jc w:val="center"/>
              <w:rPr>
                <w:rFonts w:ascii="Times New Roman" w:eastAsia="仿宋"/>
                <w:bCs/>
              </w:rPr>
            </w:pPr>
            <w:r>
              <w:rPr>
                <w:rFonts w:ascii="Times New Roman" w:eastAsia="仿宋"/>
                <w:bCs/>
              </w:rPr>
              <w:t>类别</w:t>
            </w:r>
          </w:p>
        </w:tc>
        <w:tc>
          <w:tcPr>
            <w:tcW w:w="7573" w:type="dxa"/>
            <w:shd w:val="clear" w:color="auto" w:fill="auto"/>
            <w:vAlign w:val="center"/>
          </w:tcPr>
          <w:p w14:paraId="1A52B5F7">
            <w:pPr>
              <w:adjustRightInd w:val="0"/>
              <w:snapToGrid w:val="0"/>
              <w:jc w:val="center"/>
              <w:rPr>
                <w:rFonts w:ascii="Times New Roman" w:eastAsia="仿宋"/>
                <w:bCs/>
              </w:rPr>
            </w:pPr>
            <w:r>
              <w:rPr>
                <w:rFonts w:ascii="Times New Roman" w:eastAsia="仿宋"/>
                <w:bCs/>
              </w:rPr>
              <w:t>负面清单</w:t>
            </w:r>
          </w:p>
        </w:tc>
      </w:tr>
      <w:tr w14:paraId="0747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Merge w:val="restart"/>
            <w:shd w:val="clear" w:color="auto" w:fill="auto"/>
            <w:vAlign w:val="center"/>
          </w:tcPr>
          <w:p w14:paraId="208CAC71">
            <w:pPr>
              <w:adjustRightInd w:val="0"/>
              <w:snapToGrid w:val="0"/>
              <w:jc w:val="center"/>
              <w:rPr>
                <w:rFonts w:ascii="Times New Roman" w:eastAsia="仿宋"/>
                <w:bCs/>
              </w:rPr>
            </w:pPr>
            <w:r>
              <w:rPr>
                <w:rFonts w:ascii="Times New Roman" w:eastAsia="仿宋"/>
                <w:bCs/>
              </w:rPr>
              <w:t>禁止引入类项目</w:t>
            </w:r>
          </w:p>
        </w:tc>
        <w:tc>
          <w:tcPr>
            <w:tcW w:w="7573" w:type="dxa"/>
            <w:shd w:val="clear" w:color="auto" w:fill="auto"/>
            <w:vAlign w:val="center"/>
          </w:tcPr>
          <w:p w14:paraId="109B8F65">
            <w:pPr>
              <w:adjustRightInd w:val="0"/>
              <w:snapToGrid w:val="0"/>
              <w:jc w:val="left"/>
              <w:rPr>
                <w:rFonts w:ascii="Times New Roman" w:eastAsia="仿宋"/>
                <w:bCs/>
              </w:rPr>
            </w:pPr>
            <w:r>
              <w:rPr>
                <w:rFonts w:ascii="Times New Roman" w:eastAsia="仿宋"/>
                <w:bCs/>
              </w:rPr>
              <w:t>禁止审批列入国家、省产业政策淘汰、限制类项目；不符合规划环评结论及审查意见的项目；属于《建设项目环境保护管理条例》第十一条5种不予批准的情形的项目；无法落实危险废物合理利用、处置途径的项目。</w:t>
            </w:r>
          </w:p>
        </w:tc>
      </w:tr>
      <w:tr w14:paraId="7EC7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94" w:type="dxa"/>
            <w:vMerge w:val="continue"/>
            <w:shd w:val="clear" w:color="auto" w:fill="auto"/>
            <w:vAlign w:val="center"/>
          </w:tcPr>
          <w:p w14:paraId="6A24AAE9">
            <w:pPr>
              <w:adjustRightInd w:val="0"/>
              <w:snapToGrid w:val="0"/>
              <w:jc w:val="center"/>
              <w:rPr>
                <w:rFonts w:ascii="Times New Roman" w:eastAsia="仿宋"/>
                <w:bCs/>
              </w:rPr>
            </w:pPr>
          </w:p>
        </w:tc>
        <w:tc>
          <w:tcPr>
            <w:tcW w:w="7573" w:type="dxa"/>
            <w:shd w:val="clear" w:color="auto" w:fill="auto"/>
            <w:vAlign w:val="center"/>
          </w:tcPr>
          <w:p w14:paraId="7BFBBFBC">
            <w:pPr>
              <w:adjustRightInd w:val="0"/>
              <w:snapToGrid w:val="0"/>
              <w:jc w:val="left"/>
              <w:rPr>
                <w:rFonts w:ascii="Times New Roman" w:eastAsia="仿宋"/>
                <w:bCs/>
              </w:rPr>
            </w:pPr>
            <w:r>
              <w:rPr>
                <w:rFonts w:ascii="Times New Roman" w:eastAsia="仿宋"/>
                <w:bCs/>
              </w:rPr>
              <w:t>严禁引进排放“三致”（致癌、致畸、致突变）且严重影响人身健康和环境质量的项目。</w:t>
            </w:r>
          </w:p>
        </w:tc>
      </w:tr>
      <w:tr w14:paraId="3C86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4" w:type="dxa"/>
            <w:vMerge w:val="continue"/>
            <w:shd w:val="clear" w:color="auto" w:fill="auto"/>
            <w:vAlign w:val="center"/>
          </w:tcPr>
          <w:p w14:paraId="2AC59143">
            <w:pPr>
              <w:adjustRightInd w:val="0"/>
              <w:snapToGrid w:val="0"/>
              <w:jc w:val="center"/>
              <w:rPr>
                <w:rFonts w:ascii="Times New Roman" w:eastAsia="仿宋"/>
                <w:bCs/>
              </w:rPr>
            </w:pPr>
          </w:p>
        </w:tc>
        <w:tc>
          <w:tcPr>
            <w:tcW w:w="7573" w:type="dxa"/>
            <w:shd w:val="clear" w:color="auto" w:fill="auto"/>
            <w:vAlign w:val="center"/>
          </w:tcPr>
          <w:p w14:paraId="7267AD16">
            <w:pPr>
              <w:adjustRightInd w:val="0"/>
              <w:snapToGrid w:val="0"/>
              <w:jc w:val="left"/>
              <w:rPr>
                <w:rFonts w:ascii="Times New Roman" w:eastAsia="仿宋"/>
                <w:bCs/>
              </w:rPr>
            </w:pPr>
            <w:r>
              <w:rPr>
                <w:rFonts w:ascii="Times New Roman" w:eastAsia="仿宋"/>
                <w:bCs/>
              </w:rPr>
              <w:t>禁止安全风险大、工艺设施落后、安全水平低的企业或项目进入。</w:t>
            </w:r>
          </w:p>
        </w:tc>
      </w:tr>
      <w:tr w14:paraId="1DE3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Merge w:val="continue"/>
            <w:shd w:val="clear" w:color="auto" w:fill="auto"/>
            <w:vAlign w:val="center"/>
          </w:tcPr>
          <w:p w14:paraId="215E9380">
            <w:pPr>
              <w:adjustRightInd w:val="0"/>
              <w:snapToGrid w:val="0"/>
              <w:jc w:val="center"/>
              <w:rPr>
                <w:rFonts w:ascii="Times New Roman" w:eastAsia="仿宋"/>
                <w:bCs/>
              </w:rPr>
            </w:pPr>
          </w:p>
        </w:tc>
        <w:tc>
          <w:tcPr>
            <w:tcW w:w="7573" w:type="dxa"/>
            <w:shd w:val="clear" w:color="auto" w:fill="auto"/>
            <w:vAlign w:val="center"/>
          </w:tcPr>
          <w:p w14:paraId="2A46E3E0">
            <w:pPr>
              <w:adjustRightInd w:val="0"/>
              <w:snapToGrid w:val="0"/>
              <w:jc w:val="left"/>
              <w:rPr>
                <w:rFonts w:ascii="Times New Roman" w:eastAsia="仿宋"/>
                <w:bCs/>
              </w:rPr>
            </w:pPr>
            <w:r>
              <w:rPr>
                <w:rFonts w:ascii="Times New Roman" w:eastAsia="仿宋"/>
                <w:bCs/>
              </w:rPr>
              <w:t>禁止新建、扩建技术装备、污染排放、能耗达不到相关行业准入</w:t>
            </w:r>
            <w:r>
              <w:rPr>
                <w:rFonts w:hint="eastAsia" w:ascii="Times New Roman" w:eastAsia="仿宋"/>
                <w:bCs/>
              </w:rPr>
              <w:t>条件</w:t>
            </w:r>
            <w:r>
              <w:rPr>
                <w:rFonts w:ascii="Times New Roman" w:eastAsia="仿宋"/>
                <w:bCs/>
              </w:rPr>
              <w:t>的项目。</w:t>
            </w:r>
          </w:p>
        </w:tc>
      </w:tr>
      <w:tr w14:paraId="3E86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Merge w:val="continue"/>
            <w:shd w:val="clear" w:color="auto" w:fill="auto"/>
            <w:vAlign w:val="center"/>
          </w:tcPr>
          <w:p w14:paraId="3CAD950D">
            <w:pPr>
              <w:adjustRightInd w:val="0"/>
              <w:snapToGrid w:val="0"/>
              <w:jc w:val="center"/>
              <w:rPr>
                <w:rFonts w:ascii="Times New Roman" w:eastAsia="仿宋"/>
                <w:bCs/>
              </w:rPr>
            </w:pPr>
          </w:p>
        </w:tc>
        <w:tc>
          <w:tcPr>
            <w:tcW w:w="7573" w:type="dxa"/>
            <w:shd w:val="clear" w:color="auto" w:fill="auto"/>
            <w:vAlign w:val="center"/>
          </w:tcPr>
          <w:p w14:paraId="2AEFFC6D">
            <w:pPr>
              <w:adjustRightInd w:val="0"/>
              <w:snapToGrid w:val="0"/>
              <w:jc w:val="left"/>
              <w:rPr>
                <w:rFonts w:ascii="Times New Roman" w:eastAsia="仿宋"/>
                <w:bCs/>
              </w:rPr>
            </w:pPr>
            <w:r>
              <w:rPr>
                <w:rFonts w:hint="eastAsia" w:ascii="Times New Roman" w:eastAsia="仿宋"/>
                <w:bCs/>
              </w:rPr>
              <w:t>禁止引入不符合</w:t>
            </w:r>
            <w:r>
              <w:rPr>
                <w:rFonts w:ascii="Times New Roman" w:eastAsia="仿宋"/>
                <w:bCs/>
              </w:rPr>
              <w:t>现行《江苏省太湖水污染防治条例》要求的项目</w:t>
            </w:r>
            <w:r>
              <w:rPr>
                <w:rFonts w:hint="eastAsia" w:ascii="Times New Roman" w:eastAsia="仿宋"/>
                <w:bCs/>
              </w:rPr>
              <w:t>。</w:t>
            </w:r>
          </w:p>
        </w:tc>
      </w:tr>
      <w:tr w14:paraId="621C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94" w:type="dxa"/>
            <w:shd w:val="clear" w:color="auto" w:fill="auto"/>
            <w:vAlign w:val="center"/>
          </w:tcPr>
          <w:p w14:paraId="25417E9E">
            <w:pPr>
              <w:adjustRightInd w:val="0"/>
              <w:snapToGrid w:val="0"/>
              <w:jc w:val="center"/>
              <w:rPr>
                <w:rFonts w:ascii="Times New Roman" w:eastAsia="仿宋"/>
                <w:bCs/>
              </w:rPr>
            </w:pPr>
            <w:r>
              <w:rPr>
                <w:rFonts w:ascii="Times New Roman" w:eastAsia="仿宋"/>
                <w:bCs/>
              </w:rPr>
              <w:t>限制引入类项目</w:t>
            </w:r>
          </w:p>
        </w:tc>
        <w:tc>
          <w:tcPr>
            <w:tcW w:w="7573" w:type="dxa"/>
            <w:shd w:val="clear" w:color="auto" w:fill="auto"/>
            <w:vAlign w:val="center"/>
          </w:tcPr>
          <w:p w14:paraId="5C287B5B">
            <w:pPr>
              <w:adjustRightInd w:val="0"/>
              <w:snapToGrid w:val="0"/>
              <w:jc w:val="left"/>
              <w:rPr>
                <w:rFonts w:ascii="Times New Roman" w:eastAsia="仿宋"/>
                <w:bCs/>
              </w:rPr>
            </w:pPr>
            <w:r>
              <w:rPr>
                <w:rFonts w:ascii="Times New Roman" w:eastAsia="仿宋"/>
                <w:bCs/>
              </w:rPr>
              <w:t>工业园应严格限制氮氧化物</w:t>
            </w:r>
            <w:r>
              <w:rPr>
                <w:rFonts w:hint="eastAsia" w:ascii="Times New Roman" w:eastAsia="仿宋"/>
                <w:bCs/>
              </w:rPr>
              <w:t>、</w:t>
            </w:r>
            <w:r>
              <w:rPr>
                <w:rFonts w:ascii="Times New Roman" w:eastAsia="仿宋"/>
                <w:bCs/>
              </w:rPr>
              <w:t>颗粒物排放量大的企业入区，并实行总量控制。</w:t>
            </w:r>
          </w:p>
        </w:tc>
      </w:tr>
      <w:tr w14:paraId="2C9E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shd w:val="clear" w:color="auto" w:fill="auto"/>
            <w:vAlign w:val="center"/>
          </w:tcPr>
          <w:p w14:paraId="04D70B29">
            <w:pPr>
              <w:adjustRightInd w:val="0"/>
              <w:snapToGrid w:val="0"/>
              <w:jc w:val="center"/>
              <w:rPr>
                <w:rFonts w:ascii="Times New Roman" w:eastAsia="仿宋"/>
                <w:bCs/>
              </w:rPr>
            </w:pPr>
            <w:r>
              <w:rPr>
                <w:rFonts w:ascii="Times New Roman" w:eastAsia="仿宋"/>
                <w:bCs/>
              </w:rPr>
              <w:t>空间管制要求</w:t>
            </w:r>
          </w:p>
        </w:tc>
        <w:tc>
          <w:tcPr>
            <w:tcW w:w="7573" w:type="dxa"/>
            <w:shd w:val="clear" w:color="auto" w:fill="auto"/>
            <w:vAlign w:val="center"/>
          </w:tcPr>
          <w:p w14:paraId="18B79785">
            <w:pPr>
              <w:adjustRightInd w:val="0"/>
              <w:snapToGrid w:val="0"/>
              <w:jc w:val="left"/>
              <w:rPr>
                <w:rFonts w:ascii="Times New Roman" w:eastAsia="仿宋"/>
                <w:bCs/>
              </w:rPr>
            </w:pPr>
            <w:r>
              <w:rPr>
                <w:rFonts w:ascii="Times New Roman" w:eastAsia="仿宋"/>
                <w:bCs/>
              </w:rPr>
              <w:t>不能满足环评测算出的环境防护距离，或环评事故风险防范和应急措施难以落实到位的项目。</w:t>
            </w:r>
          </w:p>
        </w:tc>
      </w:tr>
      <w:tr w14:paraId="0C6E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shd w:val="clear" w:color="auto" w:fill="auto"/>
            <w:vAlign w:val="center"/>
          </w:tcPr>
          <w:p w14:paraId="45FA896F">
            <w:pPr>
              <w:adjustRightInd w:val="0"/>
              <w:snapToGrid w:val="0"/>
              <w:jc w:val="center"/>
              <w:rPr>
                <w:rFonts w:ascii="Times New Roman" w:eastAsia="仿宋"/>
                <w:bCs/>
              </w:rPr>
            </w:pPr>
            <w:r>
              <w:rPr>
                <w:rFonts w:ascii="Times New Roman" w:eastAsia="仿宋"/>
                <w:bCs/>
              </w:rPr>
              <w:t>污染物排放总量控制</w:t>
            </w:r>
          </w:p>
        </w:tc>
        <w:tc>
          <w:tcPr>
            <w:tcW w:w="7573" w:type="dxa"/>
            <w:shd w:val="clear" w:color="auto" w:fill="auto"/>
            <w:vAlign w:val="center"/>
          </w:tcPr>
          <w:p w14:paraId="79C8CCEF">
            <w:pPr>
              <w:adjustRightInd w:val="0"/>
              <w:snapToGrid w:val="0"/>
              <w:jc w:val="left"/>
              <w:rPr>
                <w:rFonts w:ascii="Times New Roman" w:eastAsia="仿宋"/>
                <w:bCs/>
              </w:rPr>
            </w:pPr>
            <w:r>
              <w:rPr>
                <w:rFonts w:ascii="Times New Roman" w:eastAsia="仿宋"/>
                <w:bCs/>
              </w:rPr>
              <w:t>大气污染物：二氧化硫</w:t>
            </w:r>
            <w:r>
              <w:rPr>
                <w:rFonts w:hint="eastAsia" w:ascii="Times New Roman" w:eastAsia="仿宋"/>
                <w:bCs/>
              </w:rPr>
              <w:t>53.1</w:t>
            </w:r>
            <w:r>
              <w:rPr>
                <w:rFonts w:ascii="Times New Roman" w:eastAsia="仿宋"/>
                <w:bCs/>
              </w:rPr>
              <w:t>吨/年、烟（粉）尘</w:t>
            </w:r>
            <w:r>
              <w:rPr>
                <w:rFonts w:hint="eastAsia" w:ascii="Times New Roman" w:eastAsia="仿宋"/>
                <w:bCs/>
              </w:rPr>
              <w:t>36.494</w:t>
            </w:r>
            <w:r>
              <w:rPr>
                <w:rFonts w:ascii="Times New Roman" w:eastAsia="仿宋"/>
                <w:bCs/>
              </w:rPr>
              <w:t>吨/年、氮氧化物43.38吨/年、挥发性有机物</w:t>
            </w:r>
            <w:r>
              <w:rPr>
                <w:rFonts w:hint="eastAsia" w:ascii="Times New Roman" w:eastAsia="仿宋"/>
                <w:bCs/>
              </w:rPr>
              <w:t>27.885</w:t>
            </w:r>
            <w:r>
              <w:rPr>
                <w:rFonts w:ascii="Times New Roman" w:eastAsia="仿宋"/>
                <w:bCs/>
              </w:rPr>
              <w:t>吨/年。</w:t>
            </w:r>
          </w:p>
          <w:p w14:paraId="12333EAC">
            <w:pPr>
              <w:adjustRightInd w:val="0"/>
              <w:snapToGrid w:val="0"/>
              <w:jc w:val="left"/>
              <w:rPr>
                <w:rFonts w:ascii="Times New Roman" w:eastAsia="仿宋"/>
                <w:bCs/>
              </w:rPr>
            </w:pPr>
            <w:r>
              <w:rPr>
                <w:rFonts w:ascii="Times New Roman" w:eastAsia="仿宋"/>
                <w:bCs/>
              </w:rPr>
              <w:t>废水污染物（排入外环境量）：废水排放量</w:t>
            </w:r>
            <w:r>
              <w:rPr>
                <w:rFonts w:hint="eastAsia" w:ascii="Times New Roman" w:eastAsia="仿宋"/>
                <w:bCs/>
              </w:rPr>
              <w:t>4</w:t>
            </w:r>
            <w:r>
              <w:rPr>
                <w:rFonts w:ascii="Times New Roman" w:eastAsia="仿宋"/>
                <w:bCs/>
              </w:rPr>
              <w:t>17.38万立方米/年，COD208.69吨/年、氨氮16</w:t>
            </w:r>
            <w:r>
              <w:rPr>
                <w:rFonts w:hint="eastAsia" w:ascii="Times New Roman" w:eastAsia="仿宋"/>
                <w:bCs/>
              </w:rPr>
              <w:t>.7</w:t>
            </w:r>
            <w:r>
              <w:rPr>
                <w:rFonts w:ascii="Times New Roman" w:eastAsia="仿宋"/>
                <w:bCs/>
              </w:rPr>
              <w:t>吨/年、总磷2.09吨/年。</w:t>
            </w:r>
          </w:p>
        </w:tc>
      </w:tr>
    </w:tbl>
    <w:p w14:paraId="2FC4871D">
      <w:pPr>
        <w:spacing w:line="500" w:lineRule="exact"/>
        <w:ind w:firstLine="560" w:firstLineChars="200"/>
        <w:rPr>
          <w:rFonts w:ascii="Times New Roman" w:eastAsia="仿宋"/>
          <w:bCs/>
          <w:sz w:val="28"/>
          <w:szCs w:val="28"/>
        </w:rPr>
      </w:pPr>
      <w:r>
        <w:rPr>
          <w:rFonts w:hint="eastAsia" w:ascii="Times New Roman" w:eastAsia="仿宋"/>
          <w:bCs/>
          <w:sz w:val="28"/>
          <w:szCs w:val="28"/>
        </w:rPr>
        <w:t>对照分析：</w:t>
      </w:r>
      <w:r>
        <w:rPr>
          <w:rFonts w:ascii="Times New Roman" w:eastAsia="仿宋"/>
          <w:bCs/>
          <w:sz w:val="28"/>
          <w:szCs w:val="28"/>
        </w:rPr>
        <w:t>本项目国民经济行业</w:t>
      </w:r>
      <w:r>
        <w:rPr>
          <w:rFonts w:hint="eastAsia" w:ascii="Times New Roman" w:eastAsia="仿宋"/>
          <w:bCs/>
          <w:sz w:val="28"/>
          <w:szCs w:val="28"/>
        </w:rPr>
        <w:t>类别</w:t>
      </w:r>
      <w:r>
        <w:rPr>
          <w:rFonts w:ascii="Times New Roman" w:eastAsia="仿宋"/>
          <w:bCs/>
          <w:sz w:val="28"/>
          <w:szCs w:val="28"/>
        </w:rPr>
        <w:t>属于“C3670汽车零部件及配件制造”，</w:t>
      </w:r>
      <w:r>
        <w:rPr>
          <w:rFonts w:hint="eastAsia" w:ascii="Times New Roman" w:eastAsia="仿宋"/>
          <w:bCs/>
          <w:sz w:val="28"/>
          <w:szCs w:val="28"/>
        </w:rPr>
        <w:t>主要从事汽车铝单板的制造，符合园区产业定位，不属于</w:t>
      </w:r>
      <w:r>
        <w:rPr>
          <w:rFonts w:ascii="Times New Roman" w:eastAsia="仿宋"/>
          <w:bCs/>
          <w:sz w:val="28"/>
          <w:szCs w:val="28"/>
        </w:rPr>
        <w:t>《</w:t>
      </w:r>
      <w:r>
        <w:rPr>
          <w:rFonts w:hint="eastAsia" w:ascii="Times New Roman" w:eastAsia="仿宋"/>
          <w:bCs/>
          <w:sz w:val="28"/>
          <w:szCs w:val="28"/>
        </w:rPr>
        <w:t>产业结构调整指导目录（2024年本）中“限制类”、“禁止类”及“淘汰类”项目，不属于</w:t>
      </w:r>
      <w:r>
        <w:rPr>
          <w:rFonts w:ascii="Times New Roman" w:eastAsia="仿宋"/>
          <w:bCs/>
          <w:sz w:val="28"/>
          <w:szCs w:val="28"/>
        </w:rPr>
        <w:t>《市场准入负面清单（2022年版）》（发改体改规[2022]397号）</w:t>
      </w:r>
      <w:r>
        <w:rPr>
          <w:rFonts w:hint="eastAsia" w:ascii="Times New Roman" w:eastAsia="仿宋"/>
          <w:bCs/>
          <w:sz w:val="28"/>
          <w:szCs w:val="28"/>
        </w:rPr>
        <w:t>、《长江经济带发展负面清单指南》中禁止类、限制类项目；本项目运营期不排放“三致”类污染物</w:t>
      </w:r>
      <w:r>
        <w:rPr>
          <w:rFonts w:ascii="Times New Roman" w:eastAsia="仿宋"/>
          <w:bCs/>
          <w:sz w:val="28"/>
          <w:szCs w:val="28"/>
        </w:rPr>
        <w:t>。</w:t>
      </w:r>
      <w:r>
        <w:rPr>
          <w:rFonts w:hint="eastAsia" w:ascii="Times New Roman" w:eastAsia="仿宋"/>
          <w:bCs/>
          <w:sz w:val="28"/>
          <w:szCs w:val="28"/>
        </w:rPr>
        <w:t>本项目建设时安全防范措施一并进行建设，安全水平较高。根据3</w:t>
      </w:r>
      <w:r>
        <w:rPr>
          <w:rFonts w:ascii="Times New Roman" w:eastAsia="仿宋"/>
          <w:bCs/>
          <w:sz w:val="28"/>
          <w:szCs w:val="28"/>
        </w:rPr>
        <w:t>.5</w:t>
      </w:r>
      <w:r>
        <w:rPr>
          <w:rFonts w:hint="eastAsia" w:ascii="Times New Roman" w:eastAsia="仿宋"/>
          <w:bCs/>
          <w:sz w:val="28"/>
          <w:szCs w:val="28"/>
        </w:rPr>
        <w:t>章节，本项目</w:t>
      </w:r>
      <w:r>
        <w:rPr>
          <w:rFonts w:ascii="Times New Roman" w:eastAsia="仿宋"/>
          <w:bCs/>
          <w:sz w:val="28"/>
          <w:szCs w:val="28"/>
        </w:rPr>
        <w:t>技术装备、污染排放、能耗</w:t>
      </w:r>
      <w:r>
        <w:rPr>
          <w:rFonts w:hint="eastAsia" w:ascii="Times New Roman" w:eastAsia="仿宋"/>
          <w:bCs/>
          <w:sz w:val="28"/>
          <w:szCs w:val="28"/>
        </w:rPr>
        <w:t>能达到行业准入条件。</w:t>
      </w:r>
      <w:r>
        <w:rPr>
          <w:rFonts w:hint="eastAsia" w:eastAsia="仿宋"/>
          <w:sz w:val="28"/>
          <w:szCs w:val="28"/>
        </w:rPr>
        <w:t>本项目为汽车零部件及其配件制造业，本项目新增脱脂清洗废水、水洗槽废水经厂内污水处理站处理后与生活污水一同接管进直溪污水处理厂处理，生产废水不含氮、磷污染物，符合《江苏省太湖水污染防治条例》相关规定</w:t>
      </w:r>
      <w:r>
        <w:rPr>
          <w:rFonts w:hint="eastAsia" w:ascii="Times New Roman" w:eastAsia="仿宋"/>
          <w:bCs/>
          <w:sz w:val="28"/>
          <w:szCs w:val="28"/>
        </w:rPr>
        <w:t>。本项目</w:t>
      </w:r>
      <w:r>
        <w:rPr>
          <w:rFonts w:ascii="Times New Roman" w:eastAsia="仿宋"/>
          <w:bCs/>
          <w:sz w:val="28"/>
          <w:szCs w:val="28"/>
        </w:rPr>
        <w:t>生产工艺成熟，</w:t>
      </w:r>
      <w:r>
        <w:rPr>
          <w:rFonts w:hint="eastAsia" w:ascii="Times New Roman" w:eastAsia="仿宋"/>
          <w:bCs/>
          <w:sz w:val="28"/>
          <w:szCs w:val="28"/>
        </w:rPr>
        <w:t>使用的涂料中</w:t>
      </w:r>
      <w:r>
        <w:rPr>
          <w:rFonts w:ascii="Times New Roman" w:eastAsia="仿宋"/>
          <w:bCs/>
          <w:sz w:val="28"/>
          <w:szCs w:val="28"/>
        </w:rPr>
        <w:t>VOCs含量均符合《涂料中挥发性有机物限量》（DB32/T 3500—2019）、《车辆涂料中有害物质限量》（GB 24409-2020）、</w:t>
      </w:r>
      <w:r>
        <w:rPr>
          <w:rFonts w:hint="eastAsia" w:ascii="Times New Roman" w:eastAsia="仿宋"/>
          <w:bCs/>
          <w:sz w:val="28"/>
          <w:szCs w:val="28"/>
        </w:rPr>
        <w:t>《低挥发性有机化合物含量涂料产技术要求》（GB/T38597-2020）</w:t>
      </w:r>
      <w:r>
        <w:rPr>
          <w:rFonts w:ascii="Times New Roman" w:eastAsia="仿宋"/>
          <w:bCs/>
          <w:sz w:val="28"/>
          <w:szCs w:val="28"/>
        </w:rPr>
        <w:t>中相关要求限值。本项目使用的</w:t>
      </w:r>
      <w:r>
        <w:rPr>
          <w:rFonts w:hint="eastAsia" w:ascii="Times New Roman" w:eastAsia="仿宋"/>
          <w:bCs/>
          <w:sz w:val="28"/>
          <w:szCs w:val="28"/>
        </w:rPr>
        <w:t>溶剂型</w:t>
      </w:r>
      <w:r>
        <w:rPr>
          <w:rFonts w:ascii="Times New Roman" w:eastAsia="仿宋"/>
          <w:bCs/>
          <w:sz w:val="28"/>
          <w:szCs w:val="28"/>
        </w:rPr>
        <w:t>涂料已完成不可替代论证并取得专家意见。</w:t>
      </w:r>
      <w:r>
        <w:rPr>
          <w:rFonts w:hint="eastAsia" w:ascii="Times New Roman" w:eastAsia="仿宋"/>
          <w:sz w:val="28"/>
          <w:szCs w:val="28"/>
        </w:rPr>
        <w:t>本项目</w:t>
      </w:r>
      <w:r>
        <w:rPr>
          <w:rFonts w:ascii="Times New Roman" w:eastAsia="仿宋"/>
          <w:sz w:val="28"/>
          <w:szCs w:val="28"/>
        </w:rPr>
        <w:t>的卫生防护距离为</w:t>
      </w:r>
      <w:r>
        <w:rPr>
          <w:rFonts w:hint="eastAsia" w:ascii="Times New Roman" w:eastAsia="仿宋"/>
          <w:sz w:val="28"/>
          <w:szCs w:val="28"/>
        </w:rPr>
        <w:t>1号、2号、4号钣金车间边界外扩50米范围、3号喷涂车间外扩100米范围形成的最大包络线</w:t>
      </w:r>
      <w:r>
        <w:rPr>
          <w:rFonts w:ascii="Times New Roman" w:eastAsia="仿宋"/>
          <w:sz w:val="28"/>
          <w:szCs w:val="28"/>
        </w:rPr>
        <w:t>区域。在此范围内无居民点等环境敏感目标</w:t>
      </w:r>
      <w:r>
        <w:rPr>
          <w:rFonts w:ascii="Times New Roman" w:eastAsia="仿宋"/>
          <w:bCs/>
          <w:sz w:val="28"/>
          <w:szCs w:val="28"/>
        </w:rPr>
        <w:t>。</w:t>
      </w:r>
    </w:p>
    <w:p w14:paraId="5B8A7D48">
      <w:pPr>
        <w:pStyle w:val="35"/>
        <w:spacing w:after="0" w:line="500" w:lineRule="exact"/>
        <w:ind w:firstLine="560"/>
        <w:rPr>
          <w:rFonts w:eastAsia="仿宋"/>
          <w:b/>
          <w:bCs/>
          <w:sz w:val="28"/>
          <w:szCs w:val="28"/>
        </w:rPr>
      </w:pPr>
      <w:r>
        <w:rPr>
          <w:rFonts w:hint="eastAsia" w:eastAsia="仿宋"/>
          <w:b/>
          <w:bCs/>
          <w:sz w:val="28"/>
          <w:szCs w:val="28"/>
        </w:rPr>
        <w:t>三</w:t>
      </w:r>
      <w:r>
        <w:rPr>
          <w:rFonts w:eastAsia="仿宋"/>
          <w:b/>
          <w:bCs/>
          <w:sz w:val="28"/>
          <w:szCs w:val="28"/>
        </w:rPr>
        <w:t>、与园区环保设施的相容性</w:t>
      </w:r>
    </w:p>
    <w:p w14:paraId="79CED6BD">
      <w:pPr>
        <w:spacing w:line="500" w:lineRule="exact"/>
        <w:ind w:firstLine="560" w:firstLineChars="200"/>
        <w:rPr>
          <w:rFonts w:ascii="Times New Roman" w:eastAsia="仿宋"/>
          <w:bCs/>
          <w:sz w:val="28"/>
          <w:szCs w:val="28"/>
        </w:rPr>
      </w:pPr>
      <w:r>
        <w:rPr>
          <w:rFonts w:ascii="Times New Roman" w:eastAsia="仿宋"/>
          <w:bCs/>
          <w:sz w:val="28"/>
          <w:szCs w:val="28"/>
        </w:rPr>
        <w:t>园区生活用水和工业用水由</w:t>
      </w:r>
      <w:r>
        <w:rPr>
          <w:rFonts w:hint="eastAsia" w:ascii="Times New Roman" w:eastAsia="仿宋"/>
          <w:bCs/>
          <w:sz w:val="28"/>
          <w:szCs w:val="28"/>
        </w:rPr>
        <w:t>金坛长荡湖水厂供水</w:t>
      </w:r>
      <w:r>
        <w:rPr>
          <w:rFonts w:ascii="Times New Roman" w:eastAsia="仿宋"/>
          <w:bCs/>
          <w:sz w:val="28"/>
          <w:szCs w:val="28"/>
        </w:rPr>
        <w:t>，可以满足本项目供水需求。</w:t>
      </w:r>
    </w:p>
    <w:p w14:paraId="25E98EB2">
      <w:pPr>
        <w:spacing w:line="500" w:lineRule="exact"/>
        <w:ind w:firstLine="560" w:firstLineChars="200"/>
        <w:rPr>
          <w:rFonts w:ascii="Times New Roman" w:eastAsia="仿宋"/>
          <w:bCs/>
          <w:sz w:val="28"/>
          <w:szCs w:val="28"/>
        </w:rPr>
      </w:pPr>
      <w:r>
        <w:rPr>
          <w:rFonts w:ascii="Times New Roman" w:eastAsia="仿宋"/>
          <w:bCs/>
          <w:sz w:val="28"/>
          <w:szCs w:val="28"/>
        </w:rPr>
        <w:t>本项目实施雨污分流制，雨水依托</w:t>
      </w:r>
      <w:r>
        <w:rPr>
          <w:rFonts w:hint="eastAsia" w:ascii="Times New Roman" w:eastAsia="仿宋"/>
          <w:bCs/>
          <w:sz w:val="28"/>
          <w:szCs w:val="28"/>
        </w:rPr>
        <w:t>厂区北侧五联路上的</w:t>
      </w:r>
      <w:r>
        <w:rPr>
          <w:rFonts w:ascii="Times New Roman" w:eastAsia="仿宋"/>
          <w:bCs/>
          <w:sz w:val="28"/>
          <w:szCs w:val="28"/>
        </w:rPr>
        <w:t>雨水排口，接入市政雨水管网。</w:t>
      </w:r>
      <w:r>
        <w:rPr>
          <w:rFonts w:hint="eastAsia" w:ascii="Times New Roman" w:eastAsia="仿宋"/>
          <w:bCs/>
          <w:sz w:val="28"/>
          <w:szCs w:val="28"/>
        </w:rPr>
        <w:t>混合</w:t>
      </w:r>
      <w:r>
        <w:rPr>
          <w:rFonts w:ascii="Times New Roman" w:eastAsia="仿宋"/>
          <w:bCs/>
          <w:sz w:val="28"/>
          <w:szCs w:val="28"/>
        </w:rPr>
        <w:t>污水达到</w:t>
      </w:r>
      <w:r>
        <w:rPr>
          <w:rFonts w:ascii="Times New Roman" w:eastAsia="仿宋"/>
          <w:sz w:val="28"/>
          <w:szCs w:val="28"/>
        </w:rPr>
        <w:t>《污水排入城镇下水道水质标准》(GB/T 31962-2015)</w:t>
      </w:r>
      <w:r>
        <w:rPr>
          <w:rFonts w:ascii="Times New Roman" w:eastAsia="仿宋"/>
          <w:bCs/>
          <w:sz w:val="28"/>
          <w:szCs w:val="28"/>
        </w:rPr>
        <w:t>中B 等级标准后进入市政污水管网，进</w:t>
      </w:r>
      <w:r>
        <w:rPr>
          <w:rFonts w:hint="eastAsia" w:ascii="Times New Roman" w:eastAsia="仿宋"/>
          <w:bCs/>
          <w:sz w:val="28"/>
          <w:szCs w:val="28"/>
        </w:rPr>
        <w:t>金坛区直溪污水处理厂</w:t>
      </w:r>
      <w:r>
        <w:rPr>
          <w:rFonts w:ascii="Times New Roman" w:eastAsia="仿宋"/>
          <w:bCs/>
          <w:sz w:val="28"/>
          <w:szCs w:val="28"/>
        </w:rPr>
        <w:t>集中处理，达到《城镇污水处理厂污染物排放标准》（GB18918-2002）和《太湖地区城镇污水处理厂及重点行业主要水污染排放限值》（DB32/T1072-2018）后排入</w:t>
      </w:r>
      <w:r>
        <w:rPr>
          <w:rFonts w:hint="eastAsia" w:ascii="Times New Roman" w:eastAsia="仿宋"/>
          <w:bCs/>
          <w:sz w:val="28"/>
          <w:szCs w:val="28"/>
        </w:rPr>
        <w:t>通济河</w:t>
      </w:r>
      <w:r>
        <w:rPr>
          <w:rFonts w:ascii="Times New Roman" w:eastAsia="仿宋"/>
          <w:bCs/>
          <w:sz w:val="28"/>
          <w:szCs w:val="28"/>
        </w:rPr>
        <w:t>。</w:t>
      </w:r>
    </w:p>
    <w:p w14:paraId="731E4309">
      <w:pPr>
        <w:pStyle w:val="35"/>
        <w:spacing w:after="0" w:line="500" w:lineRule="exact"/>
        <w:ind w:firstLine="560" w:firstLineChars="200"/>
        <w:rPr>
          <w:rFonts w:eastAsia="仿宋"/>
          <w:bCs/>
          <w:sz w:val="28"/>
          <w:szCs w:val="28"/>
        </w:rPr>
      </w:pPr>
      <w:r>
        <w:rPr>
          <w:rFonts w:hint="eastAsia" w:eastAsia="仿宋"/>
          <w:bCs/>
          <w:sz w:val="28"/>
          <w:szCs w:val="28"/>
        </w:rPr>
        <w:t>根据</w:t>
      </w:r>
      <w:r>
        <w:rPr>
          <w:rFonts w:hint="eastAsia" w:eastAsia="仿宋"/>
          <w:bCs/>
          <w:kern w:val="0"/>
          <w:sz w:val="28"/>
          <w:szCs w:val="28"/>
        </w:rPr>
        <w:t>《金坛区直溪污水处理厂改扩建工程项目环境影响报告书》及</w:t>
      </w:r>
      <w:r>
        <w:rPr>
          <w:rFonts w:hint="eastAsia" w:eastAsia="仿宋"/>
          <w:bCs/>
          <w:sz w:val="28"/>
          <w:szCs w:val="28"/>
        </w:rPr>
        <w:t>环评批复（常金环审（2</w:t>
      </w:r>
      <w:r>
        <w:rPr>
          <w:rFonts w:eastAsia="仿宋"/>
          <w:bCs/>
          <w:sz w:val="28"/>
          <w:szCs w:val="28"/>
        </w:rPr>
        <w:t>022</w:t>
      </w:r>
      <w:r>
        <w:rPr>
          <w:rFonts w:hint="eastAsia" w:eastAsia="仿宋"/>
          <w:bCs/>
          <w:sz w:val="28"/>
          <w:szCs w:val="28"/>
        </w:rPr>
        <w:t>）1</w:t>
      </w:r>
      <w:r>
        <w:rPr>
          <w:rFonts w:eastAsia="仿宋"/>
          <w:bCs/>
          <w:sz w:val="28"/>
          <w:szCs w:val="28"/>
        </w:rPr>
        <w:t>03</w:t>
      </w:r>
      <w:r>
        <w:rPr>
          <w:rFonts w:hint="eastAsia" w:eastAsia="仿宋"/>
          <w:bCs/>
          <w:sz w:val="28"/>
          <w:szCs w:val="28"/>
        </w:rPr>
        <w:t>号），金坛区直溪污水处理厂扩建后总处理规模为</w:t>
      </w:r>
      <w:r>
        <w:rPr>
          <w:rFonts w:eastAsia="仿宋"/>
          <w:bCs/>
          <w:sz w:val="28"/>
          <w:szCs w:val="28"/>
        </w:rPr>
        <w:t>2.0</w:t>
      </w:r>
      <w:r>
        <w:rPr>
          <w:rFonts w:hint="eastAsia" w:eastAsia="仿宋"/>
          <w:bCs/>
          <w:sz w:val="28"/>
          <w:szCs w:val="28"/>
        </w:rPr>
        <w:t>万m</w:t>
      </w:r>
      <w:r>
        <w:rPr>
          <w:rFonts w:hint="eastAsia" w:eastAsia="仿宋"/>
          <w:bCs/>
          <w:sz w:val="28"/>
          <w:szCs w:val="28"/>
          <w:vertAlign w:val="superscript"/>
        </w:rPr>
        <w:t>3</w:t>
      </w:r>
      <w:r>
        <w:rPr>
          <w:rFonts w:hint="eastAsia" w:eastAsia="仿宋"/>
          <w:bCs/>
          <w:sz w:val="28"/>
          <w:szCs w:val="28"/>
        </w:rPr>
        <w:t>/d，目前扩建项目已通过验收。现污水处理为</w:t>
      </w:r>
      <w:r>
        <w:rPr>
          <w:rFonts w:eastAsia="仿宋"/>
          <w:bCs/>
          <w:sz w:val="28"/>
          <w:szCs w:val="28"/>
        </w:rPr>
        <w:t>2</w:t>
      </w:r>
      <w:r>
        <w:rPr>
          <w:rFonts w:hint="eastAsia" w:eastAsia="仿宋"/>
          <w:bCs/>
          <w:sz w:val="28"/>
          <w:szCs w:val="28"/>
        </w:rPr>
        <w:t>万m</w:t>
      </w:r>
      <w:r>
        <w:rPr>
          <w:rFonts w:hint="eastAsia" w:eastAsia="仿宋"/>
          <w:bCs/>
          <w:sz w:val="28"/>
          <w:szCs w:val="28"/>
          <w:vertAlign w:val="superscript"/>
        </w:rPr>
        <w:t>3</w:t>
      </w:r>
      <w:r>
        <w:rPr>
          <w:rFonts w:hint="eastAsia" w:eastAsia="仿宋"/>
          <w:bCs/>
          <w:sz w:val="28"/>
          <w:szCs w:val="28"/>
        </w:rPr>
        <w:t>/d，</w:t>
      </w:r>
      <w:r>
        <w:rPr>
          <w:rFonts w:eastAsia="仿宋"/>
          <w:sz w:val="28"/>
          <w:szCs w:val="28"/>
        </w:rPr>
        <w:t>本项目建成后接入</w:t>
      </w:r>
      <w:r>
        <w:rPr>
          <w:rFonts w:hint="eastAsia" w:eastAsia="仿宋"/>
          <w:sz w:val="28"/>
          <w:szCs w:val="28"/>
        </w:rPr>
        <w:t>污水</w:t>
      </w:r>
      <w:r>
        <w:rPr>
          <w:rFonts w:eastAsia="仿宋"/>
          <w:sz w:val="28"/>
          <w:szCs w:val="28"/>
        </w:rPr>
        <w:t>总量约为</w:t>
      </w:r>
      <w:r>
        <w:rPr>
          <w:rFonts w:hint="eastAsia" w:eastAsia="仿宋"/>
          <w:sz w:val="28"/>
          <w:szCs w:val="28"/>
        </w:rPr>
        <w:t>14.</w:t>
      </w:r>
      <w:r>
        <w:rPr>
          <w:rFonts w:eastAsia="仿宋"/>
          <w:sz w:val="28"/>
          <w:szCs w:val="28"/>
        </w:rPr>
        <w:t>48m</w:t>
      </w:r>
      <w:r>
        <w:rPr>
          <w:rFonts w:eastAsia="仿宋"/>
          <w:sz w:val="28"/>
          <w:szCs w:val="28"/>
          <w:vertAlign w:val="superscript"/>
        </w:rPr>
        <w:t>3</w:t>
      </w:r>
      <w:r>
        <w:rPr>
          <w:rFonts w:eastAsia="仿宋"/>
          <w:sz w:val="28"/>
          <w:szCs w:val="28"/>
        </w:rPr>
        <w:t>/d，</w:t>
      </w:r>
      <w:r>
        <w:rPr>
          <w:rFonts w:eastAsia="仿宋"/>
          <w:bCs/>
          <w:sz w:val="28"/>
          <w:szCs w:val="28"/>
        </w:rPr>
        <w:t>故常州市金坛区直溪污水处理厂有能力接纳本项目产生的废水。本项目废水水质比较简单，接入常州市金坛区直溪污水处理厂不会对其运行产生显著影响，符合接管要求。</w:t>
      </w:r>
    </w:p>
    <w:p w14:paraId="0B13AD58">
      <w:pPr>
        <w:pStyle w:val="35"/>
        <w:spacing w:after="0" w:line="500" w:lineRule="exact"/>
        <w:ind w:firstLine="562" w:firstLineChars="200"/>
        <w:rPr>
          <w:rFonts w:eastAsia="仿宋"/>
          <w:b/>
          <w:bCs/>
          <w:sz w:val="28"/>
          <w:szCs w:val="28"/>
        </w:rPr>
      </w:pPr>
      <w:r>
        <w:rPr>
          <w:rFonts w:eastAsia="仿宋"/>
          <w:b/>
          <w:bCs/>
          <w:sz w:val="28"/>
          <w:szCs w:val="28"/>
        </w:rPr>
        <w:t>三、规划及土地手续落实情况</w:t>
      </w:r>
    </w:p>
    <w:p w14:paraId="536260A3">
      <w:pPr>
        <w:pStyle w:val="35"/>
        <w:spacing w:after="0" w:line="500" w:lineRule="exact"/>
        <w:ind w:firstLine="560" w:firstLineChars="200"/>
        <w:rPr>
          <w:rFonts w:eastAsia="仿宋"/>
          <w:bCs/>
          <w:sz w:val="28"/>
          <w:szCs w:val="28"/>
        </w:rPr>
      </w:pPr>
      <w:r>
        <w:rPr>
          <w:rFonts w:hint="eastAsia" w:eastAsia="仿宋"/>
          <w:sz w:val="28"/>
          <w:szCs w:val="28"/>
        </w:rPr>
        <w:t>江苏新莱亿智能科技有限公司于2</w:t>
      </w:r>
      <w:r>
        <w:rPr>
          <w:rFonts w:eastAsia="仿宋"/>
          <w:sz w:val="28"/>
          <w:szCs w:val="28"/>
        </w:rPr>
        <w:t>024</w:t>
      </w:r>
      <w:r>
        <w:rPr>
          <w:rFonts w:hint="eastAsia" w:eastAsia="仿宋"/>
          <w:sz w:val="28"/>
          <w:szCs w:val="28"/>
        </w:rPr>
        <w:t>年8月2</w:t>
      </w:r>
      <w:r>
        <w:rPr>
          <w:rFonts w:eastAsia="仿宋"/>
          <w:sz w:val="28"/>
          <w:szCs w:val="28"/>
        </w:rPr>
        <w:t>9</w:t>
      </w:r>
      <w:r>
        <w:rPr>
          <w:rFonts w:hint="eastAsia" w:eastAsia="仿宋"/>
          <w:sz w:val="28"/>
          <w:szCs w:val="28"/>
        </w:rPr>
        <w:t>日取得常州市金坛区朱林镇永兴路68号的不动产[不动产权证号：苏（20</w:t>
      </w:r>
      <w:r>
        <w:rPr>
          <w:rFonts w:eastAsia="仿宋"/>
          <w:sz w:val="28"/>
          <w:szCs w:val="28"/>
        </w:rPr>
        <w:t>24</w:t>
      </w:r>
      <w:r>
        <w:rPr>
          <w:rFonts w:hint="eastAsia" w:eastAsia="仿宋"/>
          <w:sz w:val="28"/>
          <w:szCs w:val="28"/>
        </w:rPr>
        <w:t>）金坛区不动产权第</w:t>
      </w:r>
      <w:r>
        <w:rPr>
          <w:rFonts w:eastAsia="仿宋"/>
          <w:sz w:val="28"/>
          <w:szCs w:val="28"/>
        </w:rPr>
        <w:t>0139217</w:t>
      </w:r>
      <w:r>
        <w:rPr>
          <w:rFonts w:hint="eastAsia" w:eastAsia="仿宋"/>
          <w:sz w:val="28"/>
          <w:szCs w:val="28"/>
        </w:rPr>
        <w:t>号]。项目建设地点为</w:t>
      </w:r>
      <w:r>
        <w:rPr>
          <w:rFonts w:eastAsia="仿宋"/>
          <w:bCs/>
          <w:sz w:val="28"/>
          <w:szCs w:val="28"/>
        </w:rPr>
        <w:t>常州市金坛区朱林镇永兴路68号</w:t>
      </w:r>
      <w:r>
        <w:rPr>
          <w:rFonts w:hint="eastAsia" w:eastAsia="仿宋"/>
          <w:bCs/>
          <w:sz w:val="28"/>
          <w:szCs w:val="28"/>
        </w:rPr>
        <w:t>，</w:t>
      </w:r>
      <w:r>
        <w:rPr>
          <w:rFonts w:hint="eastAsia" w:eastAsia="仿宋"/>
          <w:sz w:val="28"/>
          <w:szCs w:val="28"/>
        </w:rPr>
        <w:t>厂区用地性质为工业用地，本次建设项目利用现有厂房，不新增用地。</w:t>
      </w:r>
      <w:r>
        <w:rPr>
          <w:rFonts w:eastAsia="仿宋"/>
          <w:bCs/>
          <w:sz w:val="28"/>
          <w:szCs w:val="28"/>
        </w:rPr>
        <w:t>与规划相符。</w:t>
      </w:r>
    </w:p>
    <w:p w14:paraId="1D4DF7E9">
      <w:pPr>
        <w:pStyle w:val="7"/>
        <w:keepLines w:val="0"/>
        <w:widowControl/>
        <w:tabs>
          <w:tab w:val="left" w:pos="993"/>
        </w:tabs>
        <w:adjustRightInd w:val="0"/>
        <w:snapToGrid w:val="0"/>
        <w:spacing w:after="120" w:afterLines="50"/>
        <w:jc w:val="left"/>
        <w:rPr>
          <w:rFonts w:ascii="Times New Roman" w:hAnsi="Times New Roman" w:eastAsia="仿宋"/>
          <w:b/>
        </w:rPr>
      </w:pPr>
      <w:r>
        <w:rPr>
          <w:rFonts w:hint="eastAsia" w:ascii="Times New Roman" w:hAnsi="Times New Roman" w:eastAsia="仿宋"/>
          <w:b/>
        </w:rPr>
        <w:t>2</w:t>
      </w:r>
      <w:r>
        <w:rPr>
          <w:rFonts w:ascii="Times New Roman" w:hAnsi="Times New Roman" w:eastAsia="仿宋"/>
          <w:b/>
        </w:rPr>
        <w:t>.7.3.3环境可行性分析</w:t>
      </w:r>
    </w:p>
    <w:p w14:paraId="6B326609">
      <w:pPr>
        <w:pStyle w:val="35"/>
        <w:spacing w:after="0" w:line="500" w:lineRule="exact"/>
        <w:ind w:firstLine="560" w:firstLineChars="200"/>
        <w:rPr>
          <w:rFonts w:eastAsia="仿宋"/>
          <w:bCs/>
          <w:sz w:val="28"/>
          <w:szCs w:val="28"/>
        </w:rPr>
      </w:pPr>
      <w:r>
        <w:rPr>
          <w:rFonts w:eastAsia="仿宋"/>
          <w:bCs/>
          <w:sz w:val="28"/>
          <w:szCs w:val="28"/>
        </w:rPr>
        <w:t>从工程分析结果可知，项目对周围环境主要的影响为废气，本项目废气通过采取有效的治理措施后能够达标排放，根据大气环境影响分析，项目排放的大气污染物对周边保护目标影响较小。本项目产生的</w:t>
      </w:r>
      <w:r>
        <w:rPr>
          <w:rFonts w:hint="eastAsia" w:eastAsia="仿宋"/>
          <w:bCs/>
          <w:sz w:val="28"/>
          <w:szCs w:val="28"/>
        </w:rPr>
        <w:t>生产废水经厂区污水处理站处理后与生活</w:t>
      </w:r>
      <w:r>
        <w:rPr>
          <w:rFonts w:eastAsia="仿宋"/>
          <w:bCs/>
          <w:sz w:val="28"/>
          <w:szCs w:val="28"/>
        </w:rPr>
        <w:t>污水接入市政污水管网，进</w:t>
      </w:r>
      <w:r>
        <w:rPr>
          <w:rFonts w:hint="eastAsia" w:eastAsia="仿宋"/>
          <w:bCs/>
          <w:sz w:val="28"/>
          <w:szCs w:val="28"/>
        </w:rPr>
        <w:t>金坛区直溪污水处理厂</w:t>
      </w:r>
      <w:r>
        <w:rPr>
          <w:rFonts w:eastAsia="仿宋"/>
          <w:bCs/>
          <w:sz w:val="28"/>
          <w:szCs w:val="28"/>
        </w:rPr>
        <w:t>处理，对地表水无直接影响。项目产生的噪声采取严格的消音、隔声等降噪措施后，根据噪声环境影响分析，厂界和周边保护目标噪声基本维持现状，生产噪声对厂界和敏感点的影响较小。本项目产生的危险废物委托有资质单位收集处置。</w:t>
      </w:r>
    </w:p>
    <w:p w14:paraId="25D83EFE">
      <w:pPr>
        <w:pStyle w:val="35"/>
        <w:spacing w:after="0" w:line="500" w:lineRule="exact"/>
        <w:ind w:firstLine="560" w:firstLineChars="200"/>
        <w:rPr>
          <w:rFonts w:eastAsia="仿宋"/>
          <w:bCs/>
          <w:sz w:val="28"/>
          <w:szCs w:val="28"/>
        </w:rPr>
      </w:pPr>
      <w:r>
        <w:rPr>
          <w:rFonts w:eastAsia="仿宋"/>
          <w:bCs/>
          <w:sz w:val="28"/>
          <w:szCs w:val="28"/>
        </w:rPr>
        <w:t>因此，落实本报告提出的各项污染防治措施，从项目对周围敏感点的影响方面来看，本项目的选址基本合理。</w:t>
      </w:r>
    </w:p>
    <w:p w14:paraId="62844529">
      <w:pPr>
        <w:pStyle w:val="7"/>
        <w:keepLines w:val="0"/>
        <w:widowControl/>
        <w:tabs>
          <w:tab w:val="left" w:pos="993"/>
        </w:tabs>
        <w:adjustRightInd w:val="0"/>
        <w:snapToGrid w:val="0"/>
        <w:spacing w:after="120" w:afterLines="50"/>
        <w:jc w:val="left"/>
        <w:rPr>
          <w:rFonts w:ascii="Times New Roman" w:hAnsi="Times New Roman" w:eastAsia="仿宋"/>
          <w:b/>
        </w:rPr>
      </w:pPr>
      <w:r>
        <w:rPr>
          <w:rFonts w:hint="eastAsia" w:ascii="Times New Roman" w:hAnsi="Times New Roman" w:eastAsia="仿宋"/>
          <w:b/>
        </w:rPr>
        <w:t>2</w:t>
      </w:r>
      <w:r>
        <w:rPr>
          <w:rFonts w:ascii="Times New Roman" w:hAnsi="Times New Roman" w:eastAsia="仿宋"/>
          <w:b/>
        </w:rPr>
        <w:t>.7.3.4厂区平面布置合理性分析</w:t>
      </w:r>
    </w:p>
    <w:p w14:paraId="6C286420">
      <w:pPr>
        <w:pStyle w:val="35"/>
        <w:spacing w:after="0" w:line="500" w:lineRule="exact"/>
        <w:ind w:firstLine="561"/>
        <w:rPr>
          <w:rFonts w:eastAsia="仿宋"/>
          <w:bCs/>
          <w:sz w:val="28"/>
          <w:szCs w:val="28"/>
        </w:rPr>
      </w:pPr>
      <w:r>
        <w:rPr>
          <w:rFonts w:eastAsia="仿宋"/>
          <w:bCs/>
          <w:sz w:val="28"/>
          <w:szCs w:val="28"/>
        </w:rPr>
        <w:t>本项目平面布置设计按《建筑设计防火规范》（GB50016-2018）执行，厂内建筑设施之间间距以及与周边企业的安全间距都能达到规定，符合安全要求。从厂区平面布置图来看，本项目位于将所有生产工序均设置在生产车间内，减轻了噪声扰民的风险。</w:t>
      </w:r>
    </w:p>
    <w:p w14:paraId="74365A1B">
      <w:pPr>
        <w:pStyle w:val="35"/>
        <w:spacing w:after="0" w:line="500" w:lineRule="exact"/>
        <w:ind w:firstLine="561"/>
        <w:rPr>
          <w:rFonts w:eastAsia="仿宋"/>
          <w:spacing w:val="8"/>
          <w:sz w:val="28"/>
          <w:szCs w:val="28"/>
        </w:rPr>
      </w:pPr>
      <w:r>
        <w:rPr>
          <w:rFonts w:eastAsia="仿宋"/>
          <w:bCs/>
          <w:sz w:val="28"/>
          <w:szCs w:val="28"/>
        </w:rPr>
        <w:t>从周边500米范围图可以看出：</w:t>
      </w:r>
      <w:r>
        <w:rPr>
          <w:rFonts w:eastAsia="仿宋"/>
          <w:sz w:val="28"/>
        </w:rPr>
        <w:t>本项目</w:t>
      </w:r>
      <w:r>
        <w:rPr>
          <w:rFonts w:hint="eastAsia" w:eastAsia="仿宋"/>
          <w:sz w:val="28"/>
        </w:rPr>
        <w:t>北</w:t>
      </w:r>
      <w:r>
        <w:rPr>
          <w:rFonts w:eastAsia="仿宋"/>
          <w:sz w:val="28"/>
        </w:rPr>
        <w:t>侧</w:t>
      </w:r>
      <w:r>
        <w:rPr>
          <w:rFonts w:hint="eastAsia" w:eastAsia="仿宋"/>
          <w:sz w:val="28"/>
        </w:rPr>
        <w:t>为五联路，隔路为常州思泉汽车科技有限公司，东侧为永兴路</w:t>
      </w:r>
      <w:r>
        <w:rPr>
          <w:rFonts w:eastAsia="仿宋"/>
          <w:sz w:val="28"/>
        </w:rPr>
        <w:t>，</w:t>
      </w:r>
      <w:r>
        <w:rPr>
          <w:rFonts w:hint="eastAsia" w:eastAsia="仿宋"/>
          <w:sz w:val="28"/>
        </w:rPr>
        <w:t>隔路为江苏中电线缆研究院有限公司，西侧和南侧为空地</w:t>
      </w:r>
      <w:r>
        <w:rPr>
          <w:rFonts w:eastAsia="仿宋"/>
          <w:sz w:val="28"/>
        </w:rPr>
        <w:t>，</w:t>
      </w:r>
      <w:r>
        <w:rPr>
          <w:rFonts w:hint="eastAsia" w:eastAsia="仿宋"/>
          <w:sz w:val="28"/>
        </w:rPr>
        <w:t>周边200m范围内不存在耕地、园地、牧草地、饮用水源地或居民区、学校、医院、疗养院、养老院等土壤环境敏感目标</w:t>
      </w:r>
      <w:r>
        <w:rPr>
          <w:rFonts w:hint="eastAsia" w:eastAsia="仿宋"/>
          <w:spacing w:val="8"/>
          <w:sz w:val="28"/>
          <w:szCs w:val="28"/>
        </w:rPr>
        <w:t>。</w:t>
      </w:r>
    </w:p>
    <w:p w14:paraId="28FA2144">
      <w:pPr>
        <w:pStyle w:val="35"/>
        <w:spacing w:after="0" w:line="500" w:lineRule="exact"/>
        <w:ind w:firstLine="561"/>
        <w:rPr>
          <w:rFonts w:eastAsia="仿宋"/>
          <w:bCs/>
          <w:sz w:val="28"/>
          <w:szCs w:val="28"/>
        </w:rPr>
      </w:pPr>
      <w:r>
        <w:rPr>
          <w:rFonts w:eastAsia="仿宋"/>
          <w:bCs/>
          <w:sz w:val="28"/>
          <w:szCs w:val="28"/>
        </w:rPr>
        <w:t>下面从大气环境影响、噪声影响、事故风险影响方面进行厂区平面布局合理性分析。</w:t>
      </w:r>
    </w:p>
    <w:p w14:paraId="72A75E02">
      <w:pPr>
        <w:pStyle w:val="35"/>
        <w:spacing w:after="0" w:line="500" w:lineRule="exact"/>
        <w:ind w:firstLine="561"/>
        <w:rPr>
          <w:rFonts w:eastAsia="仿宋"/>
          <w:bCs/>
          <w:sz w:val="28"/>
          <w:szCs w:val="28"/>
        </w:rPr>
      </w:pPr>
      <w:r>
        <w:rPr>
          <w:rFonts w:eastAsia="仿宋"/>
          <w:bCs/>
          <w:sz w:val="28"/>
          <w:szCs w:val="28"/>
        </w:rPr>
        <w:t>大气环境影响：根据预测结果，本项目有组织排放的废气对周围环境空气影响较小，不会引起本项目地块环境功能下降。本项目各测点均无超标点，不设大气环境防护距离；</w:t>
      </w:r>
      <w:r>
        <w:rPr>
          <w:rFonts w:hint="eastAsia" w:eastAsia="仿宋"/>
          <w:sz w:val="28"/>
          <w:szCs w:val="28"/>
        </w:rPr>
        <w:t>本项目</w:t>
      </w:r>
      <w:r>
        <w:rPr>
          <w:rFonts w:eastAsia="仿宋"/>
          <w:sz w:val="28"/>
          <w:szCs w:val="28"/>
        </w:rPr>
        <w:t>的卫生防护距离为</w:t>
      </w:r>
      <w:r>
        <w:rPr>
          <w:rFonts w:hint="eastAsia" w:eastAsia="仿宋"/>
          <w:sz w:val="28"/>
          <w:szCs w:val="28"/>
        </w:rPr>
        <w:t>1号、2号、4号钣金车间边界外扩50米范围、3号喷涂车间外扩100米范围形成的最大包络线</w:t>
      </w:r>
      <w:r>
        <w:rPr>
          <w:rFonts w:eastAsia="仿宋"/>
          <w:sz w:val="28"/>
          <w:szCs w:val="28"/>
        </w:rPr>
        <w:t>区域。在此范围内无居民点等环境敏感目标</w:t>
      </w:r>
      <w:r>
        <w:rPr>
          <w:rFonts w:hint="eastAsia" w:eastAsia="仿宋"/>
          <w:sz w:val="28"/>
          <w:szCs w:val="28"/>
        </w:rPr>
        <w:t>，</w:t>
      </w:r>
      <w:r>
        <w:rPr>
          <w:rFonts w:eastAsia="仿宋"/>
          <w:sz w:val="28"/>
          <w:szCs w:val="28"/>
        </w:rPr>
        <w:t>经调查，本项目卫生防护距离内无居民等敏感点，不涉及居民拆迁。</w:t>
      </w:r>
    </w:p>
    <w:p w14:paraId="158D4D38">
      <w:pPr>
        <w:pStyle w:val="35"/>
        <w:spacing w:after="0" w:line="500" w:lineRule="exact"/>
        <w:ind w:firstLine="561"/>
        <w:rPr>
          <w:rFonts w:eastAsia="仿宋"/>
          <w:bCs/>
          <w:sz w:val="28"/>
          <w:szCs w:val="28"/>
        </w:rPr>
      </w:pPr>
      <w:r>
        <w:rPr>
          <w:rFonts w:eastAsia="仿宋"/>
          <w:bCs/>
          <w:sz w:val="28"/>
          <w:szCs w:val="28"/>
        </w:rPr>
        <w:t>噪声环境影响：项目建成后，在采取噪声防治措施的前提下，本项目东、</w:t>
      </w:r>
      <w:r>
        <w:rPr>
          <w:rFonts w:eastAsia="仿宋"/>
          <w:sz w:val="28"/>
        </w:rPr>
        <w:t>南、西</w:t>
      </w:r>
      <w:r>
        <w:rPr>
          <w:rFonts w:hint="eastAsia" w:eastAsia="仿宋"/>
          <w:sz w:val="28"/>
        </w:rPr>
        <w:t>、北</w:t>
      </w:r>
      <w:r>
        <w:rPr>
          <w:rFonts w:eastAsia="仿宋"/>
          <w:sz w:val="28"/>
        </w:rPr>
        <w:t>厂界噪声</w:t>
      </w:r>
      <w:r>
        <w:rPr>
          <w:rFonts w:hint="eastAsia" w:eastAsia="仿宋"/>
          <w:sz w:val="28"/>
        </w:rPr>
        <w:t>符合</w:t>
      </w:r>
      <w:r>
        <w:rPr>
          <w:rFonts w:eastAsia="仿宋"/>
          <w:sz w:val="28"/>
        </w:rPr>
        <w:t>《工业企业厂界环境噪声排放标准》（GB12348-2008）中3类标准</w:t>
      </w:r>
      <w:r>
        <w:rPr>
          <w:rFonts w:eastAsia="仿宋"/>
          <w:bCs/>
          <w:sz w:val="28"/>
          <w:szCs w:val="28"/>
        </w:rPr>
        <w:t>。</w:t>
      </w:r>
    </w:p>
    <w:p w14:paraId="0380AD7E">
      <w:pPr>
        <w:snapToGrid w:val="0"/>
        <w:spacing w:line="500" w:lineRule="exact"/>
        <w:ind w:firstLine="561"/>
        <w:rPr>
          <w:rFonts w:ascii="Times New Roman" w:eastAsia="仿宋"/>
          <w:sz w:val="28"/>
          <w:szCs w:val="28"/>
        </w:rPr>
      </w:pPr>
      <w:r>
        <w:rPr>
          <w:rFonts w:ascii="Times New Roman" w:eastAsia="仿宋"/>
          <w:bCs/>
          <w:sz w:val="28"/>
          <w:szCs w:val="28"/>
        </w:rPr>
        <w:t>事故风险影响:</w:t>
      </w:r>
      <w:r>
        <w:rPr>
          <w:rFonts w:ascii="Times New Roman" w:eastAsia="仿宋"/>
          <w:sz w:val="28"/>
          <w:szCs w:val="28"/>
        </w:rPr>
        <w:t>依据物质危险性、重大危险源、环境风险敏感地区的辨识结果，本项目建成后全厂未构成重大危险源，本项目发生大的泄漏事故概率较小，工艺废气事故排放时对周围保护目标（居民居住地）影响较小。</w:t>
      </w:r>
    </w:p>
    <w:p w14:paraId="2EBE354F">
      <w:pPr>
        <w:snapToGrid w:val="0"/>
        <w:spacing w:line="500" w:lineRule="exact"/>
        <w:ind w:firstLine="561"/>
        <w:rPr>
          <w:rFonts w:ascii="Times New Roman" w:eastAsia="仿宋"/>
          <w:sz w:val="28"/>
          <w:szCs w:val="28"/>
        </w:rPr>
      </w:pPr>
      <w:r>
        <w:rPr>
          <w:rFonts w:ascii="Times New Roman" w:eastAsia="仿宋"/>
          <w:bCs/>
          <w:sz w:val="28"/>
          <w:szCs w:val="28"/>
        </w:rPr>
        <w:t>事故风险影响:</w:t>
      </w:r>
      <w:r>
        <w:rPr>
          <w:rFonts w:ascii="Times New Roman" w:eastAsia="仿宋"/>
          <w:sz w:val="28"/>
          <w:szCs w:val="28"/>
        </w:rPr>
        <w:t>依据物质危险性、重大危险源、环境风险敏感地区的辨识结果，本项目建成后全厂未构成重大危险源，本项目发生大的泄漏事故概率较小，工艺废气事故排放时对周围保护目标（居民居住地）影响较小。</w:t>
      </w:r>
    </w:p>
    <w:p w14:paraId="1C47D884">
      <w:pPr>
        <w:pStyle w:val="35"/>
        <w:spacing w:after="0" w:line="500" w:lineRule="exact"/>
        <w:ind w:firstLine="561"/>
        <w:rPr>
          <w:rFonts w:eastAsia="仿宋"/>
          <w:bCs/>
          <w:sz w:val="28"/>
          <w:szCs w:val="28"/>
        </w:rPr>
      </w:pPr>
      <w:r>
        <w:rPr>
          <w:rFonts w:eastAsia="仿宋"/>
          <w:sz w:val="28"/>
          <w:szCs w:val="28"/>
        </w:rPr>
        <w:t>但企业仍应该认真做好各项风险防范措施，完善现有的生产设施以及生产管理制度，储运、生产过程应该严格操作，杜绝风险事故。严格履行风险应急预案，一旦发生突发事故，企业除了根据内部制定和履行最快最有效的应急预案自救外，应立即报当地环保部门，与区域应急预案衔接，在上级环保部门到达之后，要从大局考虑，服从环保部门的领导，共同协商统一部署，将污染事故降低到最小。</w:t>
      </w:r>
    </w:p>
    <w:p w14:paraId="24899A7F">
      <w:pPr>
        <w:pStyle w:val="35"/>
        <w:spacing w:after="0" w:line="500" w:lineRule="exact"/>
        <w:ind w:firstLine="561"/>
        <w:rPr>
          <w:rFonts w:eastAsia="仿宋"/>
          <w:bCs/>
          <w:sz w:val="28"/>
          <w:szCs w:val="28"/>
        </w:rPr>
      </w:pPr>
      <w:r>
        <w:rPr>
          <w:rFonts w:eastAsia="仿宋"/>
          <w:bCs/>
          <w:sz w:val="28"/>
          <w:szCs w:val="28"/>
        </w:rPr>
        <w:t>综上所述，本项目平面布置较为合理，能够较大程度的减轻对厂界外的环境影响。</w:t>
      </w:r>
    </w:p>
    <w:p w14:paraId="32029376">
      <w:pPr>
        <w:pStyle w:val="7"/>
        <w:keepLines w:val="0"/>
        <w:widowControl/>
        <w:tabs>
          <w:tab w:val="left" w:pos="993"/>
        </w:tabs>
        <w:adjustRightInd w:val="0"/>
        <w:snapToGrid w:val="0"/>
        <w:spacing w:after="120" w:afterLines="50"/>
        <w:jc w:val="left"/>
        <w:rPr>
          <w:rFonts w:ascii="Times New Roman" w:hAnsi="Times New Roman" w:eastAsia="仿宋"/>
          <w:b/>
        </w:rPr>
      </w:pPr>
      <w:r>
        <w:rPr>
          <w:rFonts w:hint="eastAsia" w:ascii="Times New Roman" w:hAnsi="Times New Roman" w:eastAsia="仿宋"/>
          <w:b/>
        </w:rPr>
        <w:t>2</w:t>
      </w:r>
      <w:r>
        <w:rPr>
          <w:rFonts w:ascii="Times New Roman" w:hAnsi="Times New Roman" w:eastAsia="仿宋"/>
          <w:b/>
        </w:rPr>
        <w:t>.7.3.5结论</w:t>
      </w:r>
    </w:p>
    <w:p w14:paraId="352B78F6">
      <w:pPr>
        <w:pStyle w:val="35"/>
        <w:spacing w:after="0" w:line="500" w:lineRule="exact"/>
        <w:ind w:firstLine="560"/>
        <w:rPr>
          <w:rFonts w:eastAsia="仿宋"/>
          <w:bCs/>
          <w:sz w:val="28"/>
          <w:szCs w:val="28"/>
        </w:rPr>
      </w:pPr>
      <w:r>
        <w:rPr>
          <w:rFonts w:eastAsia="仿宋"/>
          <w:bCs/>
          <w:sz w:val="28"/>
          <w:szCs w:val="28"/>
        </w:rPr>
        <w:t>综上所述，本项目与区域规划、规划环评相符，基础设施完备，选址规划部门的同意，且项目正常排放的废气、废水、噪声、固废对周围环境及敏感点的影响均较小。同时建设单位必须加强管理，确保各污染物稳定达标排放，防止各类污染事故的发生，同时作好应急措施。因此，本项目选址合理。</w:t>
      </w:r>
    </w:p>
    <w:p w14:paraId="192B3385">
      <w:pPr>
        <w:pStyle w:val="35"/>
        <w:spacing w:after="0" w:line="500" w:lineRule="exact"/>
        <w:ind w:firstLine="560"/>
        <w:rPr>
          <w:rFonts w:eastAsia="仿宋"/>
          <w:bCs/>
          <w:sz w:val="28"/>
          <w:szCs w:val="28"/>
        </w:rPr>
      </w:pPr>
    </w:p>
    <w:p w14:paraId="01B74C8A">
      <w:pPr>
        <w:pStyle w:val="35"/>
        <w:spacing w:after="0" w:line="500" w:lineRule="exact"/>
        <w:ind w:firstLine="560"/>
        <w:rPr>
          <w:rFonts w:eastAsia="仿宋"/>
          <w:bCs/>
          <w:sz w:val="28"/>
          <w:szCs w:val="28"/>
        </w:rPr>
        <w:sectPr>
          <w:pgSz w:w="11906" w:h="16838"/>
          <w:pgMar w:top="1843" w:right="1616" w:bottom="1440" w:left="1678" w:header="1191" w:footer="992" w:gutter="0"/>
          <w:cols w:space="720" w:num="1"/>
          <w:docGrid w:linePitch="312" w:charSpace="0"/>
        </w:sectPr>
      </w:pPr>
    </w:p>
    <w:bookmarkEnd w:id="140"/>
    <w:bookmarkEnd w:id="141"/>
    <w:bookmarkEnd w:id="142"/>
    <w:bookmarkEnd w:id="143"/>
    <w:p w14:paraId="39A1B620">
      <w:pPr>
        <w:pStyle w:val="4"/>
        <w:spacing w:before="0" w:after="0" w:line="500" w:lineRule="exact"/>
        <w:rPr>
          <w:rFonts w:eastAsia="仿宋"/>
          <w:sz w:val="36"/>
          <w:szCs w:val="36"/>
        </w:rPr>
      </w:pPr>
      <w:bookmarkStart w:id="195" w:name="_Hlt98841853"/>
      <w:bookmarkEnd w:id="195"/>
      <w:bookmarkStart w:id="196" w:name="_Hlt104720014"/>
      <w:bookmarkEnd w:id="196"/>
      <w:bookmarkStart w:id="197" w:name="_Toc182553809"/>
      <w:r>
        <w:rPr>
          <w:rFonts w:hint="eastAsia" w:eastAsia="仿宋"/>
          <w:sz w:val="36"/>
          <w:szCs w:val="36"/>
        </w:rPr>
        <w:t>3</w:t>
      </w:r>
      <w:r>
        <w:rPr>
          <w:rFonts w:eastAsia="仿宋"/>
          <w:sz w:val="36"/>
          <w:szCs w:val="36"/>
        </w:rPr>
        <w:t>建设项目工程分析</w:t>
      </w:r>
      <w:bookmarkEnd w:id="197"/>
    </w:p>
    <w:p w14:paraId="197AA917">
      <w:pPr>
        <w:pStyle w:val="5"/>
        <w:numPr>
          <w:ilvl w:val="0"/>
          <w:numId w:val="0"/>
        </w:numPr>
        <w:rPr>
          <w:rFonts w:eastAsia="仿宋"/>
          <w:color w:val="auto"/>
        </w:rPr>
      </w:pPr>
      <w:bookmarkStart w:id="198" w:name="_Toc182553810"/>
      <w:bookmarkStart w:id="199" w:name="_Toc396374783"/>
      <w:bookmarkStart w:id="200" w:name="_Toc106437845"/>
      <w:bookmarkStart w:id="201" w:name="_Toc51583816"/>
      <w:bookmarkStart w:id="202" w:name="_Toc53396327"/>
      <w:bookmarkStart w:id="203" w:name="_Toc106533274"/>
      <w:bookmarkStart w:id="204" w:name="_Toc51146472"/>
      <w:bookmarkStart w:id="205" w:name="_Toc51933004"/>
      <w:bookmarkStart w:id="206" w:name="_Toc106006206"/>
      <w:bookmarkStart w:id="207" w:name="_Toc54775515"/>
      <w:bookmarkStart w:id="208" w:name="_Toc54085529"/>
      <w:bookmarkStart w:id="209" w:name="_Toc53416267"/>
      <w:bookmarkStart w:id="210" w:name="_Toc107661226"/>
      <w:bookmarkStart w:id="211" w:name="_Toc107787814"/>
      <w:bookmarkStart w:id="212" w:name="_Toc107772584"/>
      <w:bookmarkStart w:id="213" w:name="_Hlt24191066"/>
      <w:bookmarkStart w:id="214" w:name="_Toc22463472"/>
      <w:r>
        <w:rPr>
          <w:rFonts w:eastAsia="仿宋"/>
          <w:color w:val="auto"/>
        </w:rPr>
        <w:t>3.</w:t>
      </w:r>
      <w:r>
        <w:rPr>
          <w:rFonts w:hint="eastAsia" w:eastAsia="仿宋"/>
          <w:color w:val="auto"/>
        </w:rPr>
        <w:t>1</w:t>
      </w:r>
      <w:r>
        <w:rPr>
          <w:rFonts w:eastAsia="仿宋"/>
          <w:color w:val="auto"/>
        </w:rPr>
        <w:t>项目概况</w:t>
      </w:r>
      <w:bookmarkEnd w:id="198"/>
      <w:bookmarkEnd w:id="199"/>
    </w:p>
    <w:p w14:paraId="50213D70">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.1项目名称、项目性质及建设地</w:t>
      </w:r>
      <w:r>
        <w:rPr>
          <w:rFonts w:hint="eastAsia" w:ascii="Times New Roman" w:eastAsia="仿宋"/>
          <w:sz w:val="28"/>
          <w:szCs w:val="28"/>
        </w:rPr>
        <w:t>点</w:t>
      </w:r>
    </w:p>
    <w:p w14:paraId="7BB6495E">
      <w:pPr>
        <w:spacing w:line="500" w:lineRule="exact"/>
        <w:ind w:firstLine="560" w:firstLineChars="200"/>
        <w:rPr>
          <w:rFonts w:ascii="Times New Roman" w:eastAsia="仿宋"/>
          <w:sz w:val="28"/>
          <w:szCs w:val="28"/>
        </w:rPr>
      </w:pPr>
      <w:r>
        <w:rPr>
          <w:rFonts w:ascii="Times New Roman" w:eastAsia="仿宋"/>
          <w:sz w:val="28"/>
          <w:szCs w:val="28"/>
        </w:rPr>
        <w:t>（1）项目名称：</w:t>
      </w:r>
      <w:r>
        <w:rPr>
          <w:rFonts w:hint="eastAsia" w:ascii="Times New Roman" w:eastAsia="仿宋"/>
          <w:sz w:val="28"/>
          <w:szCs w:val="28"/>
        </w:rPr>
        <w:t>新建年产新能源汽车铝单板8</w:t>
      </w:r>
      <w:r>
        <w:rPr>
          <w:rFonts w:ascii="Times New Roman" w:eastAsia="仿宋"/>
          <w:sz w:val="28"/>
          <w:szCs w:val="28"/>
        </w:rPr>
        <w:t>0</w:t>
      </w:r>
      <w:r>
        <w:rPr>
          <w:rFonts w:hint="eastAsia" w:ascii="Times New Roman" w:eastAsia="仿宋"/>
          <w:sz w:val="28"/>
          <w:szCs w:val="28"/>
        </w:rPr>
        <w:t>万平方米</w:t>
      </w:r>
      <w:r>
        <w:rPr>
          <w:rFonts w:ascii="Times New Roman" w:eastAsia="仿宋"/>
          <w:sz w:val="28"/>
          <w:szCs w:val="28"/>
        </w:rPr>
        <w:t>项目</w:t>
      </w:r>
    </w:p>
    <w:p w14:paraId="6C69B3AD">
      <w:pPr>
        <w:spacing w:line="500" w:lineRule="exact"/>
        <w:ind w:firstLine="560" w:firstLineChars="200"/>
        <w:rPr>
          <w:rFonts w:ascii="Times New Roman" w:eastAsia="仿宋"/>
          <w:sz w:val="28"/>
          <w:szCs w:val="28"/>
        </w:rPr>
      </w:pPr>
      <w:r>
        <w:rPr>
          <w:rFonts w:ascii="Times New Roman" w:eastAsia="仿宋"/>
          <w:sz w:val="28"/>
          <w:szCs w:val="28"/>
        </w:rPr>
        <w:t>（2）建设单位：江苏新莱亿智能科技有限公司</w:t>
      </w:r>
    </w:p>
    <w:p w14:paraId="727DBECA">
      <w:pPr>
        <w:spacing w:line="500" w:lineRule="exact"/>
        <w:ind w:firstLine="560" w:firstLineChars="200"/>
        <w:rPr>
          <w:rFonts w:ascii="Times New Roman" w:eastAsia="仿宋"/>
          <w:sz w:val="28"/>
          <w:szCs w:val="28"/>
        </w:rPr>
      </w:pPr>
      <w:r>
        <w:rPr>
          <w:rFonts w:ascii="Times New Roman" w:eastAsia="仿宋"/>
          <w:sz w:val="28"/>
          <w:szCs w:val="28"/>
        </w:rPr>
        <w:t>（3）建设地点：</w:t>
      </w:r>
      <w:r>
        <w:rPr>
          <w:rFonts w:ascii="Times New Roman" w:eastAsia="仿宋"/>
          <w:bCs/>
          <w:sz w:val="28"/>
          <w:szCs w:val="28"/>
        </w:rPr>
        <w:t>常州市金坛区朱林镇永兴路68号</w:t>
      </w:r>
    </w:p>
    <w:p w14:paraId="17A14154">
      <w:pPr>
        <w:spacing w:line="500" w:lineRule="exact"/>
        <w:ind w:firstLine="560" w:firstLineChars="200"/>
        <w:rPr>
          <w:rFonts w:ascii="Times New Roman" w:eastAsia="仿宋"/>
          <w:sz w:val="28"/>
          <w:szCs w:val="28"/>
        </w:rPr>
      </w:pPr>
      <w:r>
        <w:rPr>
          <w:rFonts w:ascii="Times New Roman" w:eastAsia="仿宋"/>
          <w:sz w:val="28"/>
          <w:szCs w:val="28"/>
        </w:rPr>
        <w:t>（4）占地面积：26613m</w:t>
      </w:r>
      <w:r>
        <w:rPr>
          <w:rFonts w:ascii="Times New Roman" w:eastAsia="仿宋"/>
          <w:sz w:val="28"/>
          <w:szCs w:val="28"/>
          <w:vertAlign w:val="superscript"/>
        </w:rPr>
        <w:t>2</w:t>
      </w:r>
      <w:r>
        <w:rPr>
          <w:rFonts w:ascii="Times New Roman" w:eastAsia="仿宋"/>
          <w:sz w:val="28"/>
          <w:szCs w:val="28"/>
        </w:rPr>
        <w:t>（利用现有厂房，不新增用地）</w:t>
      </w:r>
    </w:p>
    <w:p w14:paraId="77CBFCB2">
      <w:pPr>
        <w:spacing w:line="500" w:lineRule="exact"/>
        <w:ind w:firstLine="560" w:firstLineChars="200"/>
        <w:rPr>
          <w:rFonts w:ascii="Times New Roman" w:eastAsia="仿宋"/>
          <w:sz w:val="28"/>
          <w:szCs w:val="28"/>
        </w:rPr>
      </w:pPr>
      <w:r>
        <w:rPr>
          <w:rFonts w:ascii="Times New Roman" w:eastAsia="仿宋"/>
          <w:sz w:val="28"/>
          <w:szCs w:val="28"/>
        </w:rPr>
        <w:t>（5）项目性质：</w:t>
      </w:r>
      <w:r>
        <w:rPr>
          <w:rFonts w:hint="eastAsia" w:ascii="Times New Roman" w:eastAsia="仿宋"/>
          <w:sz w:val="28"/>
          <w:szCs w:val="28"/>
        </w:rPr>
        <w:t>新建</w:t>
      </w:r>
    </w:p>
    <w:p w14:paraId="669430C6">
      <w:pPr>
        <w:spacing w:line="500" w:lineRule="exact"/>
        <w:ind w:firstLine="560" w:firstLineChars="200"/>
        <w:rPr>
          <w:rFonts w:ascii="Times New Roman" w:eastAsia="仿宋"/>
          <w:sz w:val="28"/>
          <w:szCs w:val="28"/>
        </w:rPr>
      </w:pPr>
      <w:r>
        <w:rPr>
          <w:rFonts w:ascii="Times New Roman" w:eastAsia="仿宋"/>
          <w:sz w:val="28"/>
          <w:szCs w:val="28"/>
        </w:rPr>
        <w:t>（6）</w:t>
      </w:r>
      <w:r>
        <w:rPr>
          <w:rFonts w:hint="eastAsia" w:ascii="Times New Roman" w:eastAsia="仿宋"/>
          <w:sz w:val="28"/>
          <w:szCs w:val="28"/>
        </w:rPr>
        <w:t>行业类别：</w:t>
      </w:r>
      <w:r>
        <w:rPr>
          <w:rFonts w:ascii="Times New Roman" w:eastAsia="仿宋"/>
          <w:bCs/>
          <w:sz w:val="28"/>
          <w:szCs w:val="28"/>
        </w:rPr>
        <w:t>C3670</w:t>
      </w:r>
      <w:r>
        <w:rPr>
          <w:rFonts w:hint="eastAsia" w:ascii="Times New Roman" w:eastAsia="仿宋"/>
          <w:bCs/>
          <w:sz w:val="28"/>
          <w:szCs w:val="28"/>
        </w:rPr>
        <w:t>汽车零部件及配件制造</w:t>
      </w:r>
    </w:p>
    <w:p w14:paraId="7779CA60">
      <w:pPr>
        <w:spacing w:line="500" w:lineRule="exact"/>
        <w:ind w:firstLine="560" w:firstLineChars="200"/>
        <w:rPr>
          <w:rFonts w:ascii="Times New Roman" w:eastAsia="仿宋"/>
          <w:sz w:val="28"/>
          <w:szCs w:val="28"/>
        </w:rPr>
      </w:pPr>
      <w:r>
        <w:rPr>
          <w:rFonts w:hint="eastAsia" w:ascii="Times New Roman" w:eastAsia="仿宋"/>
          <w:sz w:val="28"/>
          <w:szCs w:val="28"/>
        </w:rPr>
        <w:t>（7）</w:t>
      </w:r>
      <w:r>
        <w:rPr>
          <w:rFonts w:ascii="Times New Roman" w:eastAsia="仿宋"/>
          <w:sz w:val="28"/>
          <w:szCs w:val="28"/>
        </w:rPr>
        <w:t>投资总额：30000万元</w:t>
      </w:r>
    </w:p>
    <w:p w14:paraId="1E93D98F">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8</w:t>
      </w:r>
      <w:r>
        <w:rPr>
          <w:rFonts w:ascii="Times New Roman" w:eastAsia="仿宋"/>
          <w:sz w:val="28"/>
          <w:szCs w:val="28"/>
        </w:rPr>
        <w:t>）员工人数：全厂定员50人</w:t>
      </w:r>
    </w:p>
    <w:p w14:paraId="52642934">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9</w:t>
      </w:r>
      <w:r>
        <w:rPr>
          <w:rFonts w:ascii="Times New Roman" w:eastAsia="仿宋"/>
          <w:sz w:val="28"/>
          <w:szCs w:val="28"/>
        </w:rPr>
        <w:t>）生产班制：</w:t>
      </w:r>
      <w:r>
        <w:rPr>
          <w:rFonts w:hint="eastAsia" w:ascii="Times New Roman" w:eastAsia="仿宋"/>
          <w:sz w:val="28"/>
          <w:szCs w:val="28"/>
        </w:rPr>
        <w:t>两</w:t>
      </w:r>
      <w:r>
        <w:rPr>
          <w:rFonts w:ascii="Times New Roman" w:eastAsia="仿宋"/>
          <w:sz w:val="28"/>
          <w:szCs w:val="28"/>
        </w:rPr>
        <w:t>班制（8小时/班），年工作300天</w:t>
      </w:r>
    </w:p>
    <w:p w14:paraId="78305092">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10</w:t>
      </w:r>
      <w:r>
        <w:rPr>
          <w:rFonts w:ascii="Times New Roman" w:eastAsia="仿宋"/>
          <w:sz w:val="28"/>
          <w:szCs w:val="28"/>
        </w:rPr>
        <w:t>）预计投产日期：2025年2月</w:t>
      </w:r>
    </w:p>
    <w:p w14:paraId="6E7FA4A6">
      <w:pPr>
        <w:spacing w:line="500" w:lineRule="exact"/>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1</w:t>
      </w:r>
      <w:r>
        <w:rPr>
          <w:rFonts w:ascii="Times New Roman" w:eastAsia="仿宋"/>
          <w:sz w:val="28"/>
          <w:szCs w:val="28"/>
        </w:rPr>
        <w:t>）建设规模：</w:t>
      </w:r>
      <w:r>
        <w:rPr>
          <w:rFonts w:hint="eastAsia" w:ascii="Times New Roman" w:eastAsia="仿宋"/>
          <w:sz w:val="28"/>
          <w:szCs w:val="28"/>
        </w:rPr>
        <w:t>年产新能源汽车铝单板8</w:t>
      </w:r>
      <w:r>
        <w:rPr>
          <w:rFonts w:ascii="Times New Roman" w:eastAsia="仿宋"/>
          <w:sz w:val="28"/>
          <w:szCs w:val="28"/>
        </w:rPr>
        <w:t>0</w:t>
      </w:r>
      <w:r>
        <w:rPr>
          <w:rFonts w:hint="eastAsia" w:ascii="Times New Roman" w:eastAsia="仿宋"/>
          <w:sz w:val="28"/>
          <w:szCs w:val="28"/>
        </w:rPr>
        <w:t>万平方米</w:t>
      </w:r>
    </w:p>
    <w:p w14:paraId="31B1CB2A">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.2</w:t>
      </w:r>
      <w:r>
        <w:rPr>
          <w:rFonts w:hint="eastAsia" w:ascii="Times New Roman" w:eastAsia="仿宋"/>
          <w:sz w:val="28"/>
          <w:szCs w:val="28"/>
        </w:rPr>
        <w:t>厂址原企业建设内容</w:t>
      </w:r>
    </w:p>
    <w:p w14:paraId="6053FDB3">
      <w:pPr>
        <w:autoSpaceDE w:val="0"/>
        <w:autoSpaceDN w:val="0"/>
        <w:adjustRightInd w:val="0"/>
        <w:spacing w:line="500" w:lineRule="exact"/>
        <w:ind w:firstLine="560" w:firstLineChars="200"/>
        <w:rPr>
          <w:rFonts w:ascii="Times New Roman" w:eastAsia="仿宋"/>
          <w:bCs/>
          <w:sz w:val="28"/>
          <w:szCs w:val="28"/>
        </w:rPr>
      </w:pPr>
      <w:r>
        <w:rPr>
          <w:rFonts w:ascii="Times New Roman" w:eastAsia="仿宋"/>
          <w:bCs/>
          <w:sz w:val="28"/>
          <w:szCs w:val="28"/>
        </w:rPr>
        <w:t>常州市金坛区朱林镇永兴路68号</w:t>
      </w:r>
      <w:r>
        <w:rPr>
          <w:rFonts w:hint="eastAsia" w:ascii="Times New Roman" w:eastAsia="仿宋"/>
          <w:bCs/>
          <w:sz w:val="28"/>
          <w:szCs w:val="28"/>
        </w:rPr>
        <w:t>原有企业为江苏法勒卫浴有限公司，经营范围为“卫生洁具、人造石台盆、浴室柜制造、加工、销售；水暖器材、五金制品销售；自营和代理各类商品及技术的进出口业务。企业于2</w:t>
      </w:r>
      <w:r>
        <w:rPr>
          <w:rFonts w:ascii="Times New Roman" w:eastAsia="仿宋"/>
          <w:bCs/>
          <w:sz w:val="28"/>
          <w:szCs w:val="28"/>
        </w:rPr>
        <w:t>018</w:t>
      </w:r>
      <w:r>
        <w:rPr>
          <w:rFonts w:hint="eastAsia" w:ascii="Times New Roman" w:eastAsia="仿宋"/>
          <w:bCs/>
          <w:sz w:val="28"/>
          <w:szCs w:val="28"/>
        </w:rPr>
        <w:t>年报批了《新建年产4</w:t>
      </w:r>
      <w:r>
        <w:rPr>
          <w:rFonts w:ascii="Times New Roman" w:eastAsia="仿宋"/>
          <w:bCs/>
          <w:sz w:val="28"/>
          <w:szCs w:val="28"/>
        </w:rPr>
        <w:t>0000</w:t>
      </w:r>
      <w:r>
        <w:rPr>
          <w:rFonts w:hint="eastAsia" w:ascii="Times New Roman" w:eastAsia="仿宋"/>
          <w:bCs/>
          <w:sz w:val="28"/>
          <w:szCs w:val="28"/>
        </w:rPr>
        <w:t>台高档整体浴室柜项目》，并于同年取得批复。建设内容为，新建生产车间一、生产车间二、生产车间三、生产车间四、生产车间五、门卫及消防泵房等厂房设施，并购置胶衣喷房、底漆喷房、面漆喷房、自动浇注机、切边机、打磨机、抛光机、空气压缩机等生产及辅助设备，从事高档整体浴室柜的生产。</w:t>
      </w:r>
    </w:p>
    <w:p w14:paraId="2079FCD4">
      <w:pPr>
        <w:autoSpaceDE w:val="0"/>
        <w:autoSpaceDN w:val="0"/>
        <w:adjustRightInd w:val="0"/>
        <w:spacing w:line="500" w:lineRule="exact"/>
        <w:ind w:firstLine="560" w:firstLineChars="200"/>
        <w:rPr>
          <w:rFonts w:ascii="Times New Roman" w:eastAsia="仿宋"/>
          <w:bCs/>
          <w:sz w:val="28"/>
          <w:szCs w:val="28"/>
        </w:rPr>
      </w:pPr>
      <w:r>
        <w:rPr>
          <w:rFonts w:hint="eastAsia" w:ascii="Times New Roman" w:eastAsia="仿宋"/>
          <w:bCs/>
          <w:sz w:val="28"/>
          <w:szCs w:val="28"/>
        </w:rPr>
        <w:t>此项目胶衣喷房废气经吸风装置收集后，送入</w:t>
      </w:r>
      <w:r>
        <w:rPr>
          <w:rFonts w:ascii="Times New Roman" w:eastAsia="仿宋"/>
          <w:bCs/>
          <w:sz w:val="28"/>
          <w:szCs w:val="28"/>
        </w:rPr>
        <w:t>1</w:t>
      </w:r>
      <w:r>
        <w:rPr>
          <w:rFonts w:hint="eastAsia" w:ascii="Times New Roman" w:eastAsia="仿宋"/>
          <w:bCs/>
          <w:sz w:val="28"/>
          <w:szCs w:val="28"/>
        </w:rPr>
        <w:t>套水帘柜</w:t>
      </w:r>
      <w:r>
        <w:rPr>
          <w:rFonts w:ascii="Times New Roman" w:eastAsia="仿宋"/>
          <w:bCs/>
          <w:sz w:val="28"/>
          <w:szCs w:val="28"/>
        </w:rPr>
        <w:t>+</w:t>
      </w:r>
      <w:r>
        <w:rPr>
          <w:rFonts w:hint="eastAsia" w:ascii="Times New Roman" w:eastAsia="仿宋"/>
          <w:bCs/>
          <w:sz w:val="28"/>
          <w:szCs w:val="28"/>
        </w:rPr>
        <w:t>水喷淋净化塔</w:t>
      </w:r>
      <w:r>
        <w:rPr>
          <w:rFonts w:ascii="Times New Roman" w:eastAsia="仿宋"/>
          <w:bCs/>
          <w:sz w:val="28"/>
          <w:szCs w:val="28"/>
        </w:rPr>
        <w:t>+</w:t>
      </w:r>
      <w:r>
        <w:rPr>
          <w:rFonts w:hint="eastAsia" w:ascii="Times New Roman" w:eastAsia="仿宋"/>
          <w:bCs/>
          <w:sz w:val="28"/>
          <w:szCs w:val="28"/>
        </w:rPr>
        <w:t>高效干式过滤器</w:t>
      </w:r>
      <w:r>
        <w:rPr>
          <w:rFonts w:ascii="Times New Roman" w:eastAsia="仿宋"/>
          <w:bCs/>
          <w:sz w:val="28"/>
          <w:szCs w:val="28"/>
        </w:rPr>
        <w:t>+</w:t>
      </w:r>
      <w:r>
        <w:rPr>
          <w:rFonts w:hint="eastAsia" w:ascii="Times New Roman" w:eastAsia="仿宋"/>
          <w:bCs/>
          <w:sz w:val="28"/>
          <w:szCs w:val="28"/>
        </w:rPr>
        <w:t>光氧催化净化装置</w:t>
      </w:r>
      <w:r>
        <w:rPr>
          <w:rFonts w:ascii="Times New Roman" w:eastAsia="仿宋"/>
          <w:bCs/>
          <w:sz w:val="28"/>
          <w:szCs w:val="28"/>
        </w:rPr>
        <w:t>+</w:t>
      </w:r>
      <w:r>
        <w:rPr>
          <w:rFonts w:hint="eastAsia" w:ascii="Times New Roman" w:eastAsia="仿宋"/>
          <w:bCs/>
          <w:sz w:val="28"/>
          <w:szCs w:val="28"/>
        </w:rPr>
        <w:t>活性炭吸附装置净化处理后达标排放；制模间、胶衣晾干烘房及台盆浇注烘干房废气分别经吸风装置收集后，一起送入</w:t>
      </w:r>
      <w:r>
        <w:rPr>
          <w:rFonts w:ascii="Times New Roman" w:eastAsia="仿宋"/>
          <w:bCs/>
          <w:sz w:val="28"/>
          <w:szCs w:val="28"/>
        </w:rPr>
        <w:t>1</w:t>
      </w:r>
      <w:r>
        <w:rPr>
          <w:rFonts w:hint="eastAsia" w:ascii="Times New Roman" w:eastAsia="仿宋"/>
          <w:bCs/>
          <w:sz w:val="28"/>
          <w:szCs w:val="28"/>
        </w:rPr>
        <w:t>套过滤棉吸附装置</w:t>
      </w:r>
      <w:r>
        <w:rPr>
          <w:rFonts w:ascii="Times New Roman" w:eastAsia="仿宋"/>
          <w:bCs/>
          <w:sz w:val="28"/>
          <w:szCs w:val="28"/>
        </w:rPr>
        <w:t>+</w:t>
      </w:r>
      <w:r>
        <w:rPr>
          <w:rFonts w:hint="eastAsia" w:ascii="Times New Roman" w:eastAsia="仿宋"/>
          <w:bCs/>
          <w:sz w:val="28"/>
          <w:szCs w:val="28"/>
        </w:rPr>
        <w:t>光氧催化净化装置</w:t>
      </w:r>
      <w:r>
        <w:rPr>
          <w:rFonts w:ascii="Times New Roman" w:eastAsia="仿宋"/>
          <w:bCs/>
          <w:sz w:val="28"/>
          <w:szCs w:val="28"/>
        </w:rPr>
        <w:t>+</w:t>
      </w:r>
      <w:r>
        <w:rPr>
          <w:rFonts w:hint="eastAsia" w:ascii="Times New Roman" w:eastAsia="仿宋"/>
          <w:bCs/>
          <w:sz w:val="28"/>
          <w:szCs w:val="28"/>
        </w:rPr>
        <w:t>活性炭吸附装置净化处理后达标排放；底漆待干房及批灰晾干房废气分别经吸风装置收集后，与经吸风装置收集并采用水帘柜处理后的底漆喷房废气一起送入</w:t>
      </w:r>
      <w:r>
        <w:rPr>
          <w:rFonts w:ascii="Times New Roman" w:eastAsia="仿宋"/>
          <w:bCs/>
          <w:sz w:val="28"/>
          <w:szCs w:val="28"/>
        </w:rPr>
        <w:t>1</w:t>
      </w:r>
      <w:r>
        <w:rPr>
          <w:rFonts w:hint="eastAsia" w:ascii="Times New Roman" w:eastAsia="仿宋"/>
          <w:bCs/>
          <w:sz w:val="28"/>
          <w:szCs w:val="28"/>
        </w:rPr>
        <w:t>套水喷淋净化塔</w:t>
      </w:r>
      <w:r>
        <w:rPr>
          <w:rFonts w:ascii="Times New Roman" w:eastAsia="仿宋"/>
          <w:bCs/>
          <w:sz w:val="28"/>
          <w:szCs w:val="28"/>
        </w:rPr>
        <w:t>+</w:t>
      </w:r>
      <w:r>
        <w:rPr>
          <w:rFonts w:hint="eastAsia" w:ascii="Times New Roman" w:eastAsia="仿宋"/>
          <w:bCs/>
          <w:sz w:val="28"/>
          <w:szCs w:val="28"/>
        </w:rPr>
        <w:t>高效干式过滤器</w:t>
      </w:r>
      <w:r>
        <w:rPr>
          <w:rFonts w:ascii="Times New Roman" w:eastAsia="仿宋"/>
          <w:bCs/>
          <w:sz w:val="28"/>
          <w:szCs w:val="28"/>
        </w:rPr>
        <w:t>+</w:t>
      </w:r>
      <w:r>
        <w:rPr>
          <w:rFonts w:hint="eastAsia" w:ascii="Times New Roman" w:eastAsia="仿宋"/>
          <w:bCs/>
          <w:sz w:val="28"/>
          <w:szCs w:val="28"/>
        </w:rPr>
        <w:t>光氧催化净化装置</w:t>
      </w:r>
      <w:r>
        <w:rPr>
          <w:rFonts w:ascii="Times New Roman" w:eastAsia="仿宋"/>
          <w:bCs/>
          <w:sz w:val="28"/>
          <w:szCs w:val="28"/>
        </w:rPr>
        <w:t>+</w:t>
      </w:r>
      <w:r>
        <w:rPr>
          <w:rFonts w:hint="eastAsia" w:ascii="Times New Roman" w:eastAsia="仿宋"/>
          <w:bCs/>
          <w:sz w:val="28"/>
          <w:szCs w:val="28"/>
        </w:rPr>
        <w:t>活性炭吸附装置净化处理后达标排放；</w:t>
      </w:r>
      <w:r>
        <w:rPr>
          <w:rFonts w:ascii="Times New Roman" w:eastAsia="仿宋"/>
          <w:bCs/>
          <w:sz w:val="28"/>
          <w:szCs w:val="28"/>
        </w:rPr>
        <w:t>5</w:t>
      </w:r>
      <w:r>
        <w:rPr>
          <w:rFonts w:hint="eastAsia" w:ascii="Times New Roman" w:eastAsia="仿宋"/>
          <w:bCs/>
          <w:sz w:val="28"/>
          <w:szCs w:val="28"/>
        </w:rPr>
        <w:t>个面漆待干房吸风装置收集的面漆晾干废气与</w:t>
      </w:r>
      <w:r>
        <w:rPr>
          <w:rFonts w:ascii="Times New Roman" w:eastAsia="仿宋"/>
          <w:bCs/>
          <w:sz w:val="28"/>
          <w:szCs w:val="28"/>
        </w:rPr>
        <w:t>5</w:t>
      </w:r>
      <w:r>
        <w:rPr>
          <w:rFonts w:hint="eastAsia" w:ascii="Times New Roman" w:eastAsia="仿宋"/>
          <w:bCs/>
          <w:sz w:val="28"/>
          <w:szCs w:val="28"/>
        </w:rPr>
        <w:t>个面漆喷房吸风装置收集并采用水帘柜处理后的面漆喷房废气分别送入</w:t>
      </w:r>
      <w:r>
        <w:rPr>
          <w:rFonts w:ascii="Times New Roman" w:eastAsia="仿宋"/>
          <w:bCs/>
          <w:sz w:val="28"/>
          <w:szCs w:val="28"/>
        </w:rPr>
        <w:t>5</w:t>
      </w:r>
      <w:r>
        <w:rPr>
          <w:rFonts w:hint="eastAsia" w:ascii="Times New Roman" w:eastAsia="仿宋"/>
          <w:bCs/>
          <w:sz w:val="28"/>
          <w:szCs w:val="28"/>
        </w:rPr>
        <w:t>套水喷淋净化塔</w:t>
      </w:r>
      <w:r>
        <w:rPr>
          <w:rFonts w:ascii="Times New Roman" w:eastAsia="仿宋"/>
          <w:bCs/>
          <w:sz w:val="28"/>
          <w:szCs w:val="28"/>
        </w:rPr>
        <w:t>+</w:t>
      </w:r>
      <w:r>
        <w:rPr>
          <w:rFonts w:hint="eastAsia" w:ascii="Times New Roman" w:eastAsia="仿宋"/>
          <w:bCs/>
          <w:sz w:val="28"/>
          <w:szCs w:val="28"/>
        </w:rPr>
        <w:t>高效干式过滤器</w:t>
      </w:r>
      <w:r>
        <w:rPr>
          <w:rFonts w:ascii="Times New Roman" w:eastAsia="仿宋"/>
          <w:bCs/>
          <w:sz w:val="28"/>
          <w:szCs w:val="28"/>
        </w:rPr>
        <w:t>+</w:t>
      </w:r>
      <w:r>
        <w:rPr>
          <w:rFonts w:hint="eastAsia" w:ascii="Times New Roman" w:eastAsia="仿宋"/>
          <w:bCs/>
          <w:sz w:val="28"/>
          <w:szCs w:val="28"/>
        </w:rPr>
        <w:t>光氧催化净化装置</w:t>
      </w:r>
      <w:r>
        <w:rPr>
          <w:rFonts w:ascii="Times New Roman" w:eastAsia="仿宋"/>
          <w:bCs/>
          <w:sz w:val="28"/>
          <w:szCs w:val="28"/>
        </w:rPr>
        <w:t>+</w:t>
      </w:r>
      <w:r>
        <w:rPr>
          <w:rFonts w:hint="eastAsia" w:ascii="Times New Roman" w:eastAsia="仿宋"/>
          <w:bCs/>
          <w:sz w:val="28"/>
          <w:szCs w:val="28"/>
        </w:rPr>
        <w:t>活性炭吸附装置净化处理后达标排放；</w:t>
      </w:r>
      <w:r>
        <w:rPr>
          <w:rFonts w:ascii="Times New Roman" w:eastAsia="仿宋"/>
          <w:bCs/>
          <w:sz w:val="28"/>
          <w:szCs w:val="28"/>
        </w:rPr>
        <w:t>PVC</w:t>
      </w:r>
      <w:r>
        <w:rPr>
          <w:rFonts w:hint="eastAsia" w:ascii="Times New Roman" w:eastAsia="仿宋"/>
          <w:bCs/>
          <w:sz w:val="28"/>
          <w:szCs w:val="28"/>
        </w:rPr>
        <w:t>板下料、封边、排孔、立铣粉尘经风管收集后，送入</w:t>
      </w:r>
      <w:r>
        <w:rPr>
          <w:rFonts w:ascii="Times New Roman" w:eastAsia="仿宋"/>
          <w:bCs/>
          <w:sz w:val="28"/>
          <w:szCs w:val="28"/>
        </w:rPr>
        <w:t>1</w:t>
      </w:r>
      <w:r>
        <w:rPr>
          <w:rFonts w:hint="eastAsia" w:ascii="Times New Roman" w:eastAsia="仿宋"/>
          <w:bCs/>
          <w:sz w:val="28"/>
          <w:szCs w:val="28"/>
        </w:rPr>
        <w:t>套中央除尘系统收集处理后达标排放；密度板下料粉尘、免漆板下料、封边、排孔、立铣粉尘经风管收集后，通过</w:t>
      </w:r>
      <w:r>
        <w:rPr>
          <w:rFonts w:ascii="Times New Roman" w:eastAsia="仿宋"/>
          <w:bCs/>
          <w:sz w:val="28"/>
          <w:szCs w:val="28"/>
        </w:rPr>
        <w:t>9</w:t>
      </w:r>
      <w:r>
        <w:rPr>
          <w:rFonts w:hint="eastAsia" w:ascii="Times New Roman" w:eastAsia="仿宋"/>
          <w:bCs/>
          <w:sz w:val="28"/>
          <w:szCs w:val="28"/>
        </w:rPr>
        <w:t>台布袋除尘器进行处理后达标排放；模具开发一次打磨、二次打磨及浴室柜生产批灰及喷底漆后道打磨工序产生的粉尘通过</w:t>
      </w:r>
      <w:r>
        <w:rPr>
          <w:rFonts w:ascii="Times New Roman" w:eastAsia="仿宋"/>
          <w:bCs/>
          <w:sz w:val="28"/>
          <w:szCs w:val="28"/>
        </w:rPr>
        <w:t>19</w:t>
      </w:r>
      <w:r>
        <w:rPr>
          <w:rFonts w:hint="eastAsia" w:ascii="Times New Roman" w:eastAsia="仿宋"/>
          <w:bCs/>
          <w:sz w:val="28"/>
          <w:szCs w:val="28"/>
        </w:rPr>
        <w:t>台侧吸风滤芯除尘器进行收集处理后达标排放；模具开发打磨、切边、抛光及台盆生产切边、打孔、打磨、抛光粉尘通过</w:t>
      </w:r>
      <w:r>
        <w:rPr>
          <w:rFonts w:ascii="Times New Roman" w:eastAsia="仿宋"/>
          <w:bCs/>
          <w:sz w:val="28"/>
          <w:szCs w:val="28"/>
        </w:rPr>
        <w:t>14</w:t>
      </w:r>
      <w:r>
        <w:rPr>
          <w:rFonts w:hint="eastAsia" w:ascii="Times New Roman" w:eastAsia="仿宋"/>
          <w:bCs/>
          <w:sz w:val="28"/>
          <w:szCs w:val="28"/>
        </w:rPr>
        <w:t>台侧吸风湿式除尘器进行收集处理后达标排放。项目产生挥发性有机物废气、颗粒物的工序均采取了有效的防治措施</w:t>
      </w:r>
      <w:r>
        <w:rPr>
          <w:rFonts w:ascii="Times New Roman" w:eastAsia="仿宋"/>
          <w:bCs/>
          <w:sz w:val="28"/>
          <w:szCs w:val="28"/>
        </w:rPr>
        <w:t>,</w:t>
      </w:r>
      <w:r>
        <w:rPr>
          <w:rFonts w:hint="eastAsia" w:ascii="Times New Roman" w:eastAsia="仿宋"/>
          <w:bCs/>
          <w:sz w:val="28"/>
          <w:szCs w:val="28"/>
        </w:rPr>
        <w:t>以减少废气排放量。此项目喷枪清洗废水及湿式除尘设备更换废水经压滤机处理后全部用作各喷房配套水帘柜及水喷淋净化塔补充用水不外排；职工生活污水</w:t>
      </w:r>
      <w:r>
        <w:rPr>
          <w:rFonts w:ascii="Times New Roman" w:eastAsia="仿宋"/>
          <w:bCs/>
          <w:sz w:val="28"/>
          <w:szCs w:val="28"/>
        </w:rPr>
        <w:t>8100t/</w:t>
      </w:r>
      <w:r>
        <w:rPr>
          <w:rFonts w:hint="eastAsia" w:ascii="Times New Roman" w:eastAsia="仿宋"/>
          <w:bCs/>
          <w:sz w:val="28"/>
          <w:szCs w:val="28"/>
        </w:rPr>
        <w:t>经化粪池预处理达接管要求后，排入当地市政污水管网，最终排入常州市金坛区直溪污水处理厂集中处理。此项目产生的噪声经消声、减震及厂房隔声等措施处理后达标排放。此项目产生的一般固废外售综合利用，危废委托有资质单位处置。</w:t>
      </w:r>
    </w:p>
    <w:p w14:paraId="24E1CD6F">
      <w:pPr>
        <w:autoSpaceDE w:val="0"/>
        <w:autoSpaceDN w:val="0"/>
        <w:adjustRightInd w:val="0"/>
        <w:spacing w:line="500" w:lineRule="exact"/>
        <w:ind w:firstLine="560" w:firstLineChars="200"/>
        <w:rPr>
          <w:rFonts w:ascii="Times New Roman" w:eastAsia="仿宋"/>
          <w:bCs/>
          <w:sz w:val="28"/>
          <w:szCs w:val="28"/>
        </w:rPr>
      </w:pPr>
      <w:r>
        <w:rPr>
          <w:rFonts w:hint="eastAsia" w:ascii="Times New Roman" w:eastAsia="仿宋"/>
          <w:bCs/>
          <w:sz w:val="28"/>
          <w:szCs w:val="28"/>
        </w:rPr>
        <w:t>目前</w:t>
      </w:r>
      <w:r>
        <w:rPr>
          <w:rFonts w:ascii="Times New Roman" w:eastAsia="仿宋"/>
          <w:bCs/>
          <w:sz w:val="28"/>
          <w:szCs w:val="28"/>
        </w:rPr>
        <w:t>企业</w:t>
      </w:r>
      <w:r>
        <w:rPr>
          <w:rFonts w:hint="eastAsia" w:ascii="Times New Roman" w:eastAsia="仿宋"/>
          <w:bCs/>
          <w:sz w:val="28"/>
          <w:szCs w:val="28"/>
        </w:rPr>
        <w:t>已搬迁</w:t>
      </w:r>
      <w:r>
        <w:rPr>
          <w:rFonts w:ascii="Times New Roman" w:eastAsia="仿宋"/>
          <w:bCs/>
          <w:sz w:val="28"/>
          <w:szCs w:val="28"/>
        </w:rPr>
        <w:t>，</w:t>
      </w:r>
      <w:r>
        <w:rPr>
          <w:rFonts w:hint="eastAsia" w:ascii="Times New Roman" w:eastAsia="仿宋"/>
          <w:bCs/>
          <w:sz w:val="28"/>
          <w:szCs w:val="28"/>
        </w:rPr>
        <w:t>原有污染</w:t>
      </w:r>
      <w:r>
        <w:rPr>
          <w:rFonts w:ascii="Times New Roman" w:eastAsia="仿宋"/>
          <w:bCs/>
          <w:sz w:val="28"/>
          <w:szCs w:val="28"/>
        </w:rPr>
        <w:t>情况</w:t>
      </w:r>
      <w:r>
        <w:rPr>
          <w:rFonts w:hint="eastAsia" w:ascii="Times New Roman" w:eastAsia="仿宋"/>
          <w:bCs/>
          <w:sz w:val="28"/>
          <w:szCs w:val="28"/>
        </w:rPr>
        <w:t>已消除</w:t>
      </w:r>
      <w:r>
        <w:rPr>
          <w:rFonts w:ascii="Times New Roman" w:eastAsia="仿宋"/>
          <w:bCs/>
          <w:sz w:val="28"/>
          <w:szCs w:val="28"/>
        </w:rPr>
        <w:t>，</w:t>
      </w:r>
      <w:r>
        <w:rPr>
          <w:rFonts w:hint="eastAsia" w:ascii="Times New Roman" w:eastAsia="仿宋"/>
          <w:bCs/>
          <w:sz w:val="28"/>
          <w:szCs w:val="28"/>
        </w:rPr>
        <w:t>无</w:t>
      </w:r>
      <w:r>
        <w:rPr>
          <w:rFonts w:ascii="Times New Roman" w:eastAsia="仿宋"/>
          <w:bCs/>
          <w:sz w:val="28"/>
          <w:szCs w:val="28"/>
        </w:rPr>
        <w:t>遗留环境问题。</w:t>
      </w:r>
    </w:p>
    <w:p w14:paraId="023E389B">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.3建设内容</w:t>
      </w:r>
    </w:p>
    <w:p w14:paraId="44A63CCD">
      <w:pPr>
        <w:autoSpaceDE w:val="0"/>
        <w:autoSpaceDN w:val="0"/>
        <w:adjustRightInd w:val="0"/>
        <w:spacing w:line="500" w:lineRule="exact"/>
        <w:ind w:firstLine="560" w:firstLineChars="200"/>
        <w:rPr>
          <w:rFonts w:ascii="Times New Roman" w:eastAsia="仿宋"/>
          <w:bCs/>
          <w:sz w:val="28"/>
          <w:szCs w:val="28"/>
        </w:rPr>
      </w:pPr>
      <w:r>
        <w:rPr>
          <w:rFonts w:ascii="Times New Roman" w:eastAsia="仿宋"/>
          <w:bCs/>
          <w:sz w:val="28"/>
          <w:szCs w:val="28"/>
        </w:rPr>
        <w:t>为满足市场需求和公司壮大需要，江苏新莱亿智能科技有限公司投资30000万元于上述地址，利用现有厂房16557</w:t>
      </w:r>
      <w:r>
        <w:rPr>
          <w:rFonts w:hint="eastAsia" w:ascii="Times New Roman" w:eastAsia="仿宋"/>
          <w:bCs/>
          <w:sz w:val="28"/>
          <w:szCs w:val="28"/>
        </w:rPr>
        <w:t>.</w:t>
      </w:r>
      <w:r>
        <w:rPr>
          <w:rFonts w:ascii="Times New Roman" w:eastAsia="仿宋"/>
          <w:bCs/>
          <w:sz w:val="28"/>
          <w:szCs w:val="28"/>
        </w:rPr>
        <w:t>02平方米，</w:t>
      </w:r>
      <w:r>
        <w:rPr>
          <w:rFonts w:hint="eastAsia" w:ascii="Times New Roman" w:eastAsia="仿宋"/>
          <w:bCs/>
          <w:sz w:val="28"/>
          <w:szCs w:val="28"/>
        </w:rPr>
        <w:t>购置剪板机、雕刻机、喷涂线、表面处理线等设备，本项目建成后全厂形成年产</w:t>
      </w:r>
      <w:r>
        <w:rPr>
          <w:rFonts w:ascii="Times New Roman" w:eastAsia="仿宋"/>
          <w:bCs/>
          <w:sz w:val="28"/>
          <w:szCs w:val="28"/>
        </w:rPr>
        <w:t>80</w:t>
      </w:r>
      <w:r>
        <w:rPr>
          <w:rFonts w:hint="eastAsia" w:ascii="Times New Roman" w:eastAsia="仿宋"/>
          <w:bCs/>
          <w:sz w:val="28"/>
          <w:szCs w:val="28"/>
        </w:rPr>
        <w:t>万平方米新能源汽车铝制板的生产能力。本项目产品主要应用于新能源汽车车门、顶板以及汽车前后翼子板等部位。</w:t>
      </w:r>
    </w:p>
    <w:p w14:paraId="4CE103DF">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.4项目建设必要性</w:t>
      </w:r>
    </w:p>
    <w:p w14:paraId="2076B4B5">
      <w:pPr>
        <w:spacing w:line="560" w:lineRule="exact"/>
        <w:ind w:firstLine="476" w:firstLineChars="170"/>
        <w:rPr>
          <w:rFonts w:ascii="Times New Roman" w:hAnsi="仿宋" w:eastAsia="仿宋"/>
          <w:sz w:val="28"/>
          <w:szCs w:val="28"/>
        </w:rPr>
      </w:pPr>
      <w:r>
        <w:rPr>
          <w:rFonts w:hint="eastAsia" w:ascii="Times New Roman" w:eastAsia="仿宋"/>
          <w:sz w:val="28"/>
          <w:szCs w:val="28"/>
        </w:rPr>
        <w:t>目前新能源汽车轻量化是行业发展的主要方向，而在汽车轻量化材料中,铝合金材料综合性价比高于钢、镁、塑料和复合材料，无论应用技术还是运行安全性及循环再生利用都具有比较大的优势。铝材的密度只有钢材的1/3，其减重和节能效果明显，且在保证安全的前提下能更好的提升乘坐舒适性。同时，铝材更加易于回收循环利用。铝材的综合性价比优势，决定了其成为汽车轻量化应用的最佳选择，目前铝材已成为汽车制造业中最为广泛使用的轻量化材料。同时，由于铝材与钢材相比，更容易收到碰撞或刮擦而损坏，新能源汽车车身喷漆主要目的是起到防锈、防腐蚀、耐磨耐刮等防护目的，在日常使用中</w:t>
      </w:r>
      <w:r>
        <w:rPr>
          <w:rFonts w:hint="eastAsia" w:ascii="Times New Roman" w:hAnsi="仿宋" w:eastAsia="仿宋"/>
          <w:sz w:val="28"/>
          <w:szCs w:val="28"/>
        </w:rPr>
        <w:t>容易受</w:t>
      </w:r>
      <w:r>
        <w:rPr>
          <w:rFonts w:hint="eastAsia" w:ascii="Times New Roman" w:hAnsi="仿宋" w:eastAsia="仿宋"/>
          <w:bCs/>
          <w:sz w:val="28"/>
          <w:szCs w:val="28"/>
        </w:rPr>
        <w:t>各种雨天、雪天、暴晒等极热极寒天气影响，</w:t>
      </w:r>
      <w:r>
        <w:rPr>
          <w:rFonts w:ascii="Times New Roman" w:hAnsi="仿宋" w:eastAsia="仿宋"/>
          <w:sz w:val="28"/>
          <w:szCs w:val="28"/>
        </w:rPr>
        <w:t>对产品油漆防护的要求</w:t>
      </w:r>
      <w:r>
        <w:rPr>
          <w:rFonts w:hint="eastAsia" w:ascii="Times New Roman" w:hAnsi="仿宋" w:eastAsia="仿宋"/>
          <w:sz w:val="28"/>
          <w:szCs w:val="28"/>
        </w:rPr>
        <w:t>如</w:t>
      </w:r>
      <w:r>
        <w:rPr>
          <w:rFonts w:ascii="Times New Roman" w:hAnsi="仿宋" w:eastAsia="仿宋"/>
          <w:sz w:val="28"/>
          <w:szCs w:val="28"/>
        </w:rPr>
        <w:t>：</w:t>
      </w:r>
      <w:r>
        <w:rPr>
          <w:rFonts w:hint="eastAsia" w:ascii="Times New Roman" w:hAnsi="仿宋" w:eastAsia="仿宋"/>
          <w:sz w:val="28"/>
          <w:szCs w:val="28"/>
        </w:rPr>
        <w:t>附着力、耐磨性、耐腐蚀性及耐受日常的极寒极热天气等性能要求较高，因此采用水性涂料不能满足供应商对产品性能的要求。</w:t>
      </w:r>
    </w:p>
    <w:p w14:paraId="00154A4D">
      <w:pPr>
        <w:autoSpaceDE w:val="0"/>
        <w:autoSpaceDN w:val="0"/>
        <w:adjustRightInd w:val="0"/>
        <w:spacing w:line="500" w:lineRule="exact"/>
        <w:ind w:firstLine="560" w:firstLineChars="200"/>
        <w:jc w:val="left"/>
        <w:rPr>
          <w:rFonts w:ascii="Times New Roman" w:eastAsia="仿宋"/>
          <w:sz w:val="28"/>
          <w:szCs w:val="28"/>
        </w:rPr>
      </w:pPr>
      <w:r>
        <w:rPr>
          <w:rFonts w:hint="eastAsia" w:ascii="Times New Roman" w:hAnsi="仿宋" w:eastAsia="仿宋"/>
          <w:bCs/>
          <w:sz w:val="28"/>
          <w:szCs w:val="28"/>
        </w:rPr>
        <w:t>本次产品为汽车铝制板，主要应用于新能源汽车行业，</w:t>
      </w:r>
      <w:r>
        <w:rPr>
          <w:rFonts w:ascii="Times New Roman" w:eastAsia="仿宋"/>
          <w:sz w:val="28"/>
          <w:szCs w:val="28"/>
        </w:rPr>
        <w:t>综合工装比较复杂，</w:t>
      </w:r>
      <w:r>
        <w:rPr>
          <w:rFonts w:hint="eastAsia" w:ascii="Times New Roman" w:eastAsia="仿宋"/>
          <w:sz w:val="28"/>
          <w:szCs w:val="28"/>
        </w:rPr>
        <w:t>且产品</w:t>
      </w:r>
      <w:r>
        <w:rPr>
          <w:rFonts w:hint="eastAsia" w:ascii="Times New Roman" w:hAnsi="仿宋" w:eastAsia="仿宋"/>
          <w:bCs/>
          <w:sz w:val="28"/>
          <w:szCs w:val="28"/>
        </w:rPr>
        <w:t>应用环境主要为户外，且环境较为多变、复杂，对于涂料的附着力、耐磨性、耐腐蚀性及耐受日常的各种雨天、雪天、暴晒等极热极寒天气的性能要求较高。考虑到本项目产品使用环境及性能要求的限制、</w:t>
      </w:r>
      <w:r>
        <w:rPr>
          <w:rFonts w:ascii="Times New Roman" w:hAnsi="仿宋" w:eastAsia="仿宋"/>
          <w:sz w:val="28"/>
          <w:szCs w:val="28"/>
        </w:rPr>
        <w:t>从漆膜厚度、表面附着力、耐腐蚀及耐冲击、耐磨性等几个方面考察，</w:t>
      </w:r>
      <w:r>
        <w:rPr>
          <w:rFonts w:hint="eastAsia" w:ascii="Times New Roman" w:hAnsi="仿宋" w:eastAsia="仿宋"/>
          <w:sz w:val="28"/>
          <w:szCs w:val="28"/>
        </w:rPr>
        <w:t>油性氟碳漆</w:t>
      </w:r>
      <w:r>
        <w:rPr>
          <w:rFonts w:ascii="Times New Roman" w:hAnsi="仿宋" w:eastAsia="仿宋"/>
          <w:sz w:val="28"/>
          <w:szCs w:val="28"/>
        </w:rPr>
        <w:t>总体性能优于以水性漆进行喷涂加工的工件</w:t>
      </w:r>
      <w:r>
        <w:rPr>
          <w:rFonts w:hint="eastAsia" w:ascii="Times New Roman" w:hAnsi="仿宋" w:eastAsia="仿宋"/>
          <w:sz w:val="28"/>
          <w:szCs w:val="28"/>
        </w:rPr>
        <w:t>，</w:t>
      </w:r>
      <w:r>
        <w:rPr>
          <w:rFonts w:ascii="Times New Roman" w:eastAsia="仿宋"/>
          <w:sz w:val="28"/>
          <w:szCs w:val="28"/>
        </w:rPr>
        <w:t>使用水性漆喷涂的产品无法满足供应商对产品性能的要求，部分产品需采用油性漆进行喷涂。本项目产能为年产</w:t>
      </w:r>
      <w:r>
        <w:rPr>
          <w:rFonts w:hint="eastAsia" w:ascii="Times New Roman" w:eastAsia="仿宋"/>
          <w:sz w:val="28"/>
          <w:szCs w:val="28"/>
        </w:rPr>
        <w:t>8</w:t>
      </w:r>
      <w:r>
        <w:rPr>
          <w:rFonts w:ascii="Times New Roman" w:eastAsia="仿宋"/>
          <w:sz w:val="28"/>
          <w:szCs w:val="28"/>
        </w:rPr>
        <w:t>0万平方米新能源汽车铝制板，根据供应商对产品性能的要求，其中有</w:t>
      </w:r>
      <w:r>
        <w:rPr>
          <w:rFonts w:hint="eastAsia" w:ascii="Times New Roman" w:eastAsia="仿宋"/>
          <w:sz w:val="28"/>
          <w:szCs w:val="28"/>
        </w:rPr>
        <w:t>3</w:t>
      </w:r>
      <w:r>
        <w:rPr>
          <w:rFonts w:ascii="Times New Roman" w:eastAsia="仿宋"/>
          <w:sz w:val="28"/>
          <w:szCs w:val="28"/>
        </w:rPr>
        <w:t>0万平方米产品需要使用油性漆进行喷涂。</w:t>
      </w:r>
      <w:r>
        <w:rPr>
          <w:rFonts w:hint="eastAsia" w:ascii="Times New Roman" w:eastAsia="仿宋"/>
          <w:sz w:val="28"/>
          <w:szCs w:val="28"/>
        </w:rPr>
        <w:t>下面将从三个方面介绍本项目的建设必要性。</w:t>
      </w:r>
    </w:p>
    <w:p w14:paraId="16C904AF">
      <w:pPr>
        <w:autoSpaceDE w:val="0"/>
        <w:autoSpaceDN w:val="0"/>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1</w:t>
      </w:r>
      <w:r>
        <w:rPr>
          <w:rFonts w:ascii="Times New Roman" w:eastAsia="仿宋"/>
          <w:sz w:val="28"/>
          <w:szCs w:val="28"/>
        </w:rPr>
        <w:t>、</w:t>
      </w:r>
      <w:r>
        <w:rPr>
          <w:rFonts w:hint="eastAsia" w:ascii="Times New Roman" w:eastAsia="仿宋"/>
          <w:sz w:val="28"/>
          <w:szCs w:val="28"/>
        </w:rPr>
        <w:t>工艺</w:t>
      </w:r>
      <w:r>
        <w:rPr>
          <w:rFonts w:ascii="Times New Roman" w:eastAsia="仿宋"/>
          <w:sz w:val="28"/>
          <w:szCs w:val="28"/>
        </w:rPr>
        <w:t>需求</w:t>
      </w:r>
    </w:p>
    <w:p w14:paraId="4D5AA536">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工业生产中的表面喷涂加工主要作用是：①保护作用。涂料干结后能形成一层连续的膜，牢固的附着在被涂物的表面上，保护物体不直接受到周围环境的影响。例如在降雨过程中，雨水中含有各类污染物质，会对汽车零部件有腐蚀作用。如果在其表面上涂上一层油漆，使之与大气和其它介质隔离起来，起到一种“屏蔽”作用，导致汽车零部件的使用寿命就会大大延长。②装饰作用。喷涂过程可以选择各种彩色的涂料，不仅可以起到保护作用，而且可以美化外观，给人们以美的享受，达到装饰美的目的。③其他特殊作用。</w:t>
      </w:r>
      <w:r>
        <w:rPr>
          <w:rFonts w:ascii="Times New Roman" w:eastAsia="仿宋"/>
          <w:sz w:val="28"/>
          <w:szCs w:val="28"/>
        </w:rPr>
        <w:fldChar w:fldCharType="begin"/>
      </w:r>
      <w:r>
        <w:rPr>
          <w:rFonts w:ascii="Times New Roman" w:eastAsia="仿宋"/>
          <w:sz w:val="28"/>
          <w:szCs w:val="28"/>
        </w:rPr>
        <w:instrText xml:space="preserve">= 4 \* GB3</w:instrText>
      </w:r>
      <w:r>
        <w:rPr>
          <w:rFonts w:ascii="Times New Roman" w:eastAsia="仿宋"/>
          <w:sz w:val="28"/>
          <w:szCs w:val="28"/>
        </w:rPr>
        <w:fldChar w:fldCharType="separate"/>
      </w:r>
      <w:r>
        <w:rPr>
          <w:rFonts w:ascii="Times New Roman" w:eastAsia="仿宋"/>
          <w:sz w:val="28"/>
          <w:szCs w:val="28"/>
        </w:rPr>
        <w:t>④</w:t>
      </w:r>
      <w:r>
        <w:rPr>
          <w:rFonts w:ascii="Times New Roman" w:eastAsia="仿宋"/>
          <w:sz w:val="28"/>
          <w:szCs w:val="28"/>
        </w:rPr>
        <w:fldChar w:fldCharType="end"/>
      </w:r>
      <w:r>
        <w:rPr>
          <w:rFonts w:ascii="Times New Roman" w:eastAsia="仿宋"/>
          <w:sz w:val="28"/>
          <w:szCs w:val="28"/>
        </w:rPr>
        <w:t>一些特种涂料还具有防锈、防污、防垢、防滑、防腐蚀、防辐射、放火、防霉、导电、导磁、示温、隔音、绝缘等作用。</w:t>
      </w:r>
    </w:p>
    <w:p w14:paraId="40108A2E">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工业涂装中</w:t>
      </w:r>
      <w:r>
        <w:rPr>
          <w:rFonts w:hint="eastAsia" w:ascii="Times New Roman" w:eastAsia="仿宋"/>
          <w:sz w:val="28"/>
          <w:szCs w:val="28"/>
        </w:rPr>
        <w:t>无论使用水性漆还是油性漆，喷漆后都会在工件表面形成涂层，涂层中有机溶剂或者水均需要从涂层中挥发出来，以达到涂层的性能质量要求。水与有机溶剂作为涂料的稀释剂主要差别如下：</w:t>
      </w:r>
    </w:p>
    <w:p w14:paraId="5D34B579">
      <w:pPr>
        <w:spacing w:line="500" w:lineRule="exact"/>
        <w:jc w:val="center"/>
        <w:rPr>
          <w:rFonts w:ascii="Times New Roman" w:eastAsia="仿宋"/>
          <w:b/>
        </w:rPr>
      </w:pPr>
      <w:r>
        <w:rPr>
          <w:rFonts w:hint="eastAsia" w:ascii="Times New Roman" w:eastAsia="仿宋"/>
          <w:b/>
        </w:rPr>
        <w:t>表3.</w:t>
      </w:r>
      <w:r>
        <w:rPr>
          <w:rFonts w:ascii="Times New Roman" w:eastAsia="仿宋"/>
          <w:b/>
        </w:rPr>
        <w:t>1</w:t>
      </w:r>
      <w:r>
        <w:rPr>
          <w:rFonts w:hint="eastAsia" w:ascii="Times New Roman" w:eastAsia="仿宋"/>
          <w:b/>
        </w:rPr>
        <w:t>-1</w:t>
      </w:r>
      <w:r>
        <w:rPr>
          <w:rFonts w:ascii="Times New Roman" w:eastAsia="仿宋"/>
          <w:b/>
        </w:rPr>
        <w:t xml:space="preserve">  </w:t>
      </w:r>
      <w:r>
        <w:rPr>
          <w:rFonts w:hint="eastAsia" w:ascii="Times New Roman" w:eastAsia="仿宋"/>
          <w:b/>
        </w:rPr>
        <w:t>水与有机溶剂作为涂料的稀释剂主要差别表</w:t>
      </w:r>
    </w:p>
    <w:tbl>
      <w:tblPr>
        <w:tblStyle w:val="8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823"/>
        <w:gridCol w:w="1350"/>
        <w:gridCol w:w="1329"/>
        <w:gridCol w:w="1331"/>
        <w:gridCol w:w="1647"/>
        <w:gridCol w:w="1071"/>
      </w:tblGrid>
      <w:tr w14:paraId="424D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2931E4FD">
            <w:pPr>
              <w:adjustRightInd w:val="0"/>
              <w:snapToGrid w:val="0"/>
              <w:jc w:val="center"/>
              <w:rPr>
                <w:rFonts w:ascii="Times New Roman" w:eastAsia="仿宋"/>
                <w:bCs/>
              </w:rPr>
            </w:pPr>
            <w:r>
              <w:rPr>
                <w:rFonts w:hint="eastAsia" w:ascii="Times New Roman" w:eastAsia="仿宋"/>
                <w:bCs/>
              </w:rPr>
              <w:t>溶剂</w:t>
            </w:r>
          </w:p>
        </w:tc>
        <w:tc>
          <w:tcPr>
            <w:tcW w:w="445" w:type="pct"/>
            <w:tcBorders>
              <w:top w:val="single" w:color="auto" w:sz="4" w:space="0"/>
              <w:left w:val="single" w:color="auto" w:sz="4" w:space="0"/>
              <w:bottom w:val="single" w:color="auto" w:sz="4" w:space="0"/>
              <w:right w:val="single" w:color="auto" w:sz="4" w:space="0"/>
            </w:tcBorders>
            <w:vAlign w:val="center"/>
          </w:tcPr>
          <w:p w14:paraId="1AC2609B">
            <w:pPr>
              <w:adjustRightInd w:val="0"/>
              <w:snapToGrid w:val="0"/>
              <w:jc w:val="center"/>
              <w:rPr>
                <w:rFonts w:ascii="Times New Roman" w:eastAsia="仿宋"/>
                <w:bCs/>
              </w:rPr>
            </w:pPr>
            <w:r>
              <w:rPr>
                <w:rFonts w:hint="eastAsia" w:ascii="Times New Roman" w:eastAsia="仿宋"/>
                <w:bCs/>
              </w:rPr>
              <w:t>沸点</w:t>
            </w:r>
          </w:p>
          <w:p w14:paraId="70270FB8">
            <w:pPr>
              <w:adjustRightInd w:val="0"/>
              <w:snapToGrid w:val="0"/>
              <w:jc w:val="center"/>
              <w:rPr>
                <w:rFonts w:ascii="Times New Roman" w:eastAsia="仿宋"/>
                <w:bCs/>
              </w:rPr>
            </w:pPr>
            <w:r>
              <w:rPr>
                <w:rFonts w:hint="eastAsia" w:ascii="Times New Roman" w:eastAsia="仿宋"/>
                <w:bCs/>
              </w:rPr>
              <w:t>℃</w:t>
            </w:r>
          </w:p>
        </w:tc>
        <w:tc>
          <w:tcPr>
            <w:tcW w:w="730" w:type="pct"/>
            <w:tcBorders>
              <w:top w:val="single" w:color="auto" w:sz="4" w:space="0"/>
              <w:left w:val="single" w:color="auto" w:sz="4" w:space="0"/>
              <w:bottom w:val="single" w:color="auto" w:sz="4" w:space="0"/>
              <w:right w:val="single" w:color="auto" w:sz="4" w:space="0"/>
            </w:tcBorders>
            <w:vAlign w:val="center"/>
          </w:tcPr>
          <w:p w14:paraId="4AD91262">
            <w:pPr>
              <w:adjustRightInd w:val="0"/>
              <w:snapToGrid w:val="0"/>
              <w:jc w:val="center"/>
              <w:rPr>
                <w:rFonts w:ascii="Times New Roman" w:eastAsia="仿宋"/>
                <w:bCs/>
              </w:rPr>
            </w:pPr>
            <w:r>
              <w:rPr>
                <w:rFonts w:hint="eastAsia" w:ascii="Times New Roman" w:eastAsia="仿宋"/>
                <w:bCs/>
              </w:rPr>
              <w:t>蒸发潜热</w:t>
            </w:r>
          </w:p>
          <w:p w14:paraId="3FD37C35">
            <w:pPr>
              <w:adjustRightInd w:val="0"/>
              <w:snapToGrid w:val="0"/>
              <w:jc w:val="center"/>
              <w:rPr>
                <w:rFonts w:ascii="Times New Roman" w:eastAsia="仿宋"/>
                <w:bCs/>
              </w:rPr>
            </w:pPr>
            <w:r>
              <w:rPr>
                <w:rFonts w:ascii="Times New Roman" w:eastAsia="仿宋"/>
                <w:bCs/>
              </w:rPr>
              <w:t>cal/g</w:t>
            </w:r>
          </w:p>
        </w:tc>
        <w:tc>
          <w:tcPr>
            <w:tcW w:w="719" w:type="pct"/>
            <w:tcBorders>
              <w:top w:val="single" w:color="auto" w:sz="4" w:space="0"/>
              <w:left w:val="single" w:color="auto" w:sz="4" w:space="0"/>
              <w:bottom w:val="single" w:color="auto" w:sz="4" w:space="0"/>
              <w:right w:val="single" w:color="auto" w:sz="4" w:space="0"/>
            </w:tcBorders>
            <w:vAlign w:val="center"/>
          </w:tcPr>
          <w:p w14:paraId="7E5DD7F1">
            <w:pPr>
              <w:adjustRightInd w:val="0"/>
              <w:snapToGrid w:val="0"/>
              <w:jc w:val="center"/>
              <w:rPr>
                <w:rFonts w:ascii="Times New Roman" w:eastAsia="仿宋"/>
                <w:bCs/>
              </w:rPr>
            </w:pPr>
            <w:r>
              <w:rPr>
                <w:rFonts w:hint="eastAsia" w:ascii="Times New Roman" w:eastAsia="仿宋"/>
                <w:bCs/>
              </w:rPr>
              <w:t>挥发速率</w:t>
            </w:r>
          </w:p>
          <w:p w14:paraId="1EFD6A77">
            <w:pPr>
              <w:adjustRightInd w:val="0"/>
              <w:snapToGrid w:val="0"/>
              <w:jc w:val="center"/>
              <w:rPr>
                <w:rFonts w:ascii="Times New Roman" w:eastAsia="仿宋"/>
                <w:bCs/>
              </w:rPr>
            </w:pPr>
            <w:r>
              <w:rPr>
                <w:rFonts w:ascii="Times New Roman" w:eastAsia="仿宋"/>
                <w:bCs/>
              </w:rPr>
              <w:t>g/h</w:t>
            </w:r>
          </w:p>
        </w:tc>
        <w:tc>
          <w:tcPr>
            <w:tcW w:w="720" w:type="pct"/>
            <w:tcBorders>
              <w:top w:val="single" w:color="auto" w:sz="4" w:space="0"/>
              <w:left w:val="single" w:color="auto" w:sz="4" w:space="0"/>
              <w:bottom w:val="single" w:color="auto" w:sz="4" w:space="0"/>
              <w:right w:val="single" w:color="auto" w:sz="4" w:space="0"/>
            </w:tcBorders>
            <w:vAlign w:val="center"/>
          </w:tcPr>
          <w:p w14:paraId="7326B3FB">
            <w:pPr>
              <w:adjustRightInd w:val="0"/>
              <w:snapToGrid w:val="0"/>
              <w:jc w:val="center"/>
              <w:rPr>
                <w:rFonts w:ascii="Times New Roman" w:eastAsia="仿宋"/>
                <w:bCs/>
              </w:rPr>
            </w:pPr>
            <w:r>
              <w:rPr>
                <w:rFonts w:hint="eastAsia" w:ascii="Times New Roman" w:eastAsia="仿宋"/>
                <w:bCs/>
              </w:rPr>
              <w:t>表面张力</w:t>
            </w:r>
          </w:p>
          <w:p w14:paraId="66C8C506">
            <w:pPr>
              <w:adjustRightInd w:val="0"/>
              <w:snapToGrid w:val="0"/>
              <w:jc w:val="center"/>
              <w:rPr>
                <w:rFonts w:ascii="Times New Roman" w:eastAsia="仿宋"/>
                <w:bCs/>
              </w:rPr>
            </w:pPr>
            <w:r>
              <w:rPr>
                <w:rFonts w:ascii="Times New Roman" w:eastAsia="仿宋"/>
                <w:bCs/>
              </w:rPr>
              <w:t>dyn/ cm</w:t>
            </w:r>
            <w:r>
              <w:rPr>
                <w:rFonts w:ascii="Times New Roman" w:eastAsia="仿宋"/>
                <w:bCs/>
                <w:vertAlign w:val="superscript"/>
              </w:rPr>
              <w:t>2</w:t>
            </w:r>
          </w:p>
        </w:tc>
        <w:tc>
          <w:tcPr>
            <w:tcW w:w="891" w:type="pct"/>
            <w:tcBorders>
              <w:top w:val="single" w:color="auto" w:sz="4" w:space="0"/>
              <w:left w:val="single" w:color="auto" w:sz="4" w:space="0"/>
              <w:bottom w:val="single" w:color="auto" w:sz="4" w:space="0"/>
              <w:right w:val="single" w:color="auto" w:sz="4" w:space="0"/>
            </w:tcBorders>
            <w:vAlign w:val="center"/>
          </w:tcPr>
          <w:p w14:paraId="7E576E15">
            <w:pPr>
              <w:adjustRightInd w:val="0"/>
              <w:snapToGrid w:val="0"/>
              <w:jc w:val="center"/>
              <w:rPr>
                <w:rFonts w:ascii="Times New Roman" w:eastAsia="仿宋"/>
                <w:bCs/>
              </w:rPr>
            </w:pPr>
            <w:r>
              <w:rPr>
                <w:rFonts w:hint="eastAsia" w:ascii="Times New Roman" w:eastAsia="仿宋"/>
                <w:bCs/>
              </w:rPr>
              <w:t>电导率</w:t>
            </w:r>
            <w:r>
              <w:rPr>
                <w:rFonts w:ascii="Times New Roman" w:eastAsia="仿宋"/>
                <w:bCs/>
              </w:rPr>
              <w:t>25</w:t>
            </w:r>
            <w:r>
              <w:rPr>
                <w:rFonts w:hint="eastAsia" w:ascii="Times New Roman" w:eastAsia="仿宋"/>
                <w:bCs/>
              </w:rPr>
              <w:t>℃</w:t>
            </w:r>
          </w:p>
          <w:p w14:paraId="120714CE">
            <w:pPr>
              <w:adjustRightInd w:val="0"/>
              <w:snapToGrid w:val="0"/>
              <w:jc w:val="center"/>
              <w:rPr>
                <w:rFonts w:ascii="Times New Roman" w:eastAsia="仿宋"/>
                <w:bCs/>
              </w:rPr>
            </w:pPr>
            <w:r>
              <w:rPr>
                <w:rFonts w:ascii="Times New Roman" w:eastAsia="仿宋"/>
                <w:bCs/>
              </w:rPr>
              <w:t>us/cm</w:t>
            </w:r>
          </w:p>
        </w:tc>
        <w:tc>
          <w:tcPr>
            <w:tcW w:w="579" w:type="pct"/>
            <w:tcBorders>
              <w:top w:val="single" w:color="auto" w:sz="4" w:space="0"/>
              <w:left w:val="single" w:color="auto" w:sz="4" w:space="0"/>
              <w:bottom w:val="single" w:color="auto" w:sz="4" w:space="0"/>
              <w:right w:val="single" w:color="auto" w:sz="4" w:space="0"/>
            </w:tcBorders>
            <w:vAlign w:val="center"/>
          </w:tcPr>
          <w:p w14:paraId="7690DE3E">
            <w:pPr>
              <w:adjustRightInd w:val="0"/>
              <w:snapToGrid w:val="0"/>
              <w:jc w:val="center"/>
              <w:rPr>
                <w:rFonts w:ascii="Times New Roman" w:eastAsia="仿宋"/>
                <w:bCs/>
              </w:rPr>
            </w:pPr>
            <w:r>
              <w:rPr>
                <w:rFonts w:hint="eastAsia" w:ascii="Times New Roman" w:eastAsia="仿宋"/>
                <w:bCs/>
              </w:rPr>
              <w:t>熔点</w:t>
            </w:r>
          </w:p>
          <w:p w14:paraId="41F4873B">
            <w:pPr>
              <w:adjustRightInd w:val="0"/>
              <w:snapToGrid w:val="0"/>
              <w:jc w:val="center"/>
              <w:rPr>
                <w:rFonts w:ascii="Times New Roman" w:eastAsia="仿宋"/>
                <w:bCs/>
              </w:rPr>
            </w:pPr>
            <w:r>
              <w:rPr>
                <w:rFonts w:hint="eastAsia" w:ascii="Times New Roman" w:eastAsia="仿宋"/>
                <w:bCs/>
              </w:rPr>
              <w:t>℃</w:t>
            </w:r>
          </w:p>
        </w:tc>
      </w:tr>
      <w:tr w14:paraId="4FDF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67AC9946">
            <w:pPr>
              <w:adjustRightInd w:val="0"/>
              <w:snapToGrid w:val="0"/>
              <w:jc w:val="center"/>
              <w:rPr>
                <w:rFonts w:ascii="Times New Roman" w:eastAsia="仿宋"/>
                <w:bCs/>
              </w:rPr>
            </w:pPr>
            <w:r>
              <w:rPr>
                <w:rFonts w:hint="eastAsia" w:ascii="Times New Roman" w:eastAsia="仿宋"/>
                <w:bCs/>
              </w:rPr>
              <w:t>水</w:t>
            </w:r>
          </w:p>
        </w:tc>
        <w:tc>
          <w:tcPr>
            <w:tcW w:w="445" w:type="pct"/>
            <w:tcBorders>
              <w:top w:val="single" w:color="auto" w:sz="4" w:space="0"/>
              <w:left w:val="single" w:color="auto" w:sz="4" w:space="0"/>
              <w:bottom w:val="single" w:color="auto" w:sz="4" w:space="0"/>
              <w:right w:val="single" w:color="auto" w:sz="4" w:space="0"/>
            </w:tcBorders>
            <w:vAlign w:val="center"/>
          </w:tcPr>
          <w:p w14:paraId="216352AD">
            <w:pPr>
              <w:adjustRightInd w:val="0"/>
              <w:snapToGrid w:val="0"/>
              <w:jc w:val="center"/>
              <w:rPr>
                <w:rFonts w:ascii="Times New Roman" w:eastAsia="仿宋"/>
                <w:bCs/>
              </w:rPr>
            </w:pPr>
            <w:r>
              <w:rPr>
                <w:rFonts w:ascii="Times New Roman" w:eastAsia="仿宋"/>
                <w:bCs/>
              </w:rPr>
              <w:t>100</w:t>
            </w:r>
          </w:p>
        </w:tc>
        <w:tc>
          <w:tcPr>
            <w:tcW w:w="730" w:type="pct"/>
            <w:tcBorders>
              <w:top w:val="single" w:color="auto" w:sz="4" w:space="0"/>
              <w:left w:val="single" w:color="auto" w:sz="4" w:space="0"/>
              <w:bottom w:val="single" w:color="auto" w:sz="4" w:space="0"/>
              <w:right w:val="single" w:color="auto" w:sz="4" w:space="0"/>
            </w:tcBorders>
            <w:vAlign w:val="center"/>
          </w:tcPr>
          <w:p w14:paraId="1E3911A0">
            <w:pPr>
              <w:adjustRightInd w:val="0"/>
              <w:snapToGrid w:val="0"/>
              <w:jc w:val="center"/>
              <w:rPr>
                <w:rFonts w:ascii="Times New Roman" w:eastAsia="仿宋"/>
                <w:bCs/>
              </w:rPr>
            </w:pPr>
            <w:r>
              <w:rPr>
                <w:rFonts w:ascii="Times New Roman" w:eastAsia="仿宋"/>
                <w:bCs/>
              </w:rPr>
              <w:t>540</w:t>
            </w:r>
          </w:p>
        </w:tc>
        <w:tc>
          <w:tcPr>
            <w:tcW w:w="719" w:type="pct"/>
            <w:tcBorders>
              <w:top w:val="single" w:color="auto" w:sz="4" w:space="0"/>
              <w:left w:val="single" w:color="auto" w:sz="4" w:space="0"/>
              <w:bottom w:val="single" w:color="auto" w:sz="4" w:space="0"/>
              <w:right w:val="single" w:color="auto" w:sz="4" w:space="0"/>
            </w:tcBorders>
            <w:vAlign w:val="center"/>
          </w:tcPr>
          <w:p w14:paraId="6A7F9966">
            <w:pPr>
              <w:adjustRightInd w:val="0"/>
              <w:snapToGrid w:val="0"/>
              <w:jc w:val="center"/>
              <w:rPr>
                <w:rFonts w:ascii="Times New Roman" w:eastAsia="仿宋"/>
                <w:bCs/>
              </w:rPr>
            </w:pPr>
            <w:r>
              <w:rPr>
                <w:rFonts w:ascii="Times New Roman" w:eastAsia="仿宋"/>
                <w:bCs/>
              </w:rPr>
              <w:t>36</w:t>
            </w:r>
          </w:p>
        </w:tc>
        <w:tc>
          <w:tcPr>
            <w:tcW w:w="720" w:type="pct"/>
            <w:tcBorders>
              <w:top w:val="single" w:color="auto" w:sz="4" w:space="0"/>
              <w:left w:val="single" w:color="auto" w:sz="4" w:space="0"/>
              <w:bottom w:val="single" w:color="auto" w:sz="4" w:space="0"/>
              <w:right w:val="single" w:color="auto" w:sz="4" w:space="0"/>
            </w:tcBorders>
            <w:vAlign w:val="center"/>
          </w:tcPr>
          <w:p w14:paraId="192A3015">
            <w:pPr>
              <w:adjustRightInd w:val="0"/>
              <w:snapToGrid w:val="0"/>
              <w:jc w:val="center"/>
              <w:rPr>
                <w:rFonts w:ascii="Times New Roman" w:eastAsia="仿宋"/>
                <w:bCs/>
              </w:rPr>
            </w:pPr>
            <w:r>
              <w:rPr>
                <w:rFonts w:ascii="Times New Roman" w:eastAsia="仿宋"/>
                <w:bCs/>
              </w:rPr>
              <w:t>73</w:t>
            </w:r>
          </w:p>
        </w:tc>
        <w:tc>
          <w:tcPr>
            <w:tcW w:w="891" w:type="pct"/>
            <w:tcBorders>
              <w:top w:val="single" w:color="auto" w:sz="4" w:space="0"/>
              <w:left w:val="single" w:color="auto" w:sz="4" w:space="0"/>
              <w:bottom w:val="single" w:color="auto" w:sz="4" w:space="0"/>
              <w:right w:val="single" w:color="auto" w:sz="4" w:space="0"/>
            </w:tcBorders>
            <w:vAlign w:val="center"/>
          </w:tcPr>
          <w:p w14:paraId="30855080">
            <w:pPr>
              <w:adjustRightInd w:val="0"/>
              <w:snapToGrid w:val="0"/>
              <w:jc w:val="center"/>
              <w:rPr>
                <w:rFonts w:ascii="Times New Roman" w:eastAsia="仿宋"/>
                <w:bCs/>
              </w:rPr>
            </w:pPr>
            <w:r>
              <w:rPr>
                <w:rFonts w:ascii="Times New Roman" w:eastAsia="仿宋"/>
                <w:bCs/>
              </w:rPr>
              <w:t>78</w:t>
            </w:r>
          </w:p>
        </w:tc>
        <w:tc>
          <w:tcPr>
            <w:tcW w:w="579" w:type="pct"/>
            <w:tcBorders>
              <w:top w:val="single" w:color="auto" w:sz="4" w:space="0"/>
              <w:left w:val="single" w:color="auto" w:sz="4" w:space="0"/>
              <w:bottom w:val="single" w:color="auto" w:sz="4" w:space="0"/>
              <w:right w:val="single" w:color="auto" w:sz="4" w:space="0"/>
            </w:tcBorders>
            <w:vAlign w:val="center"/>
          </w:tcPr>
          <w:p w14:paraId="28B378ED">
            <w:pPr>
              <w:adjustRightInd w:val="0"/>
              <w:snapToGrid w:val="0"/>
              <w:jc w:val="center"/>
              <w:rPr>
                <w:rFonts w:ascii="Times New Roman" w:eastAsia="仿宋"/>
                <w:bCs/>
              </w:rPr>
            </w:pPr>
            <w:r>
              <w:rPr>
                <w:rFonts w:ascii="Times New Roman" w:eastAsia="仿宋"/>
                <w:bCs/>
              </w:rPr>
              <w:t>0</w:t>
            </w:r>
          </w:p>
        </w:tc>
      </w:tr>
      <w:tr w14:paraId="65BA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07924C59">
            <w:pPr>
              <w:adjustRightInd w:val="0"/>
              <w:snapToGrid w:val="0"/>
              <w:jc w:val="center"/>
              <w:rPr>
                <w:rFonts w:ascii="Times New Roman" w:eastAsia="仿宋"/>
                <w:bCs/>
              </w:rPr>
            </w:pPr>
            <w:r>
              <w:rPr>
                <w:rFonts w:hint="eastAsia" w:ascii="Times New Roman" w:eastAsia="仿宋"/>
                <w:bCs/>
              </w:rPr>
              <w:t>甲苯</w:t>
            </w:r>
          </w:p>
        </w:tc>
        <w:tc>
          <w:tcPr>
            <w:tcW w:w="445" w:type="pct"/>
            <w:tcBorders>
              <w:top w:val="single" w:color="auto" w:sz="4" w:space="0"/>
              <w:left w:val="single" w:color="auto" w:sz="4" w:space="0"/>
              <w:bottom w:val="single" w:color="auto" w:sz="4" w:space="0"/>
              <w:right w:val="single" w:color="auto" w:sz="4" w:space="0"/>
            </w:tcBorders>
            <w:vAlign w:val="center"/>
          </w:tcPr>
          <w:p w14:paraId="0E3C7070">
            <w:pPr>
              <w:adjustRightInd w:val="0"/>
              <w:snapToGrid w:val="0"/>
              <w:jc w:val="center"/>
              <w:rPr>
                <w:rFonts w:ascii="Times New Roman" w:eastAsia="仿宋"/>
                <w:bCs/>
              </w:rPr>
            </w:pPr>
            <w:r>
              <w:rPr>
                <w:rFonts w:ascii="Times New Roman" w:eastAsia="仿宋"/>
                <w:bCs/>
              </w:rPr>
              <w:t>110</w:t>
            </w:r>
          </w:p>
        </w:tc>
        <w:tc>
          <w:tcPr>
            <w:tcW w:w="730" w:type="pct"/>
            <w:tcBorders>
              <w:top w:val="single" w:color="auto" w:sz="4" w:space="0"/>
              <w:left w:val="single" w:color="auto" w:sz="4" w:space="0"/>
              <w:bottom w:val="single" w:color="auto" w:sz="4" w:space="0"/>
              <w:right w:val="single" w:color="auto" w:sz="4" w:space="0"/>
            </w:tcBorders>
            <w:vAlign w:val="center"/>
          </w:tcPr>
          <w:p w14:paraId="5C835E43">
            <w:pPr>
              <w:adjustRightInd w:val="0"/>
              <w:snapToGrid w:val="0"/>
              <w:jc w:val="center"/>
              <w:rPr>
                <w:rFonts w:ascii="Times New Roman" w:eastAsia="仿宋"/>
                <w:bCs/>
              </w:rPr>
            </w:pPr>
            <w:r>
              <w:rPr>
                <w:rFonts w:ascii="Times New Roman" w:eastAsia="仿宋"/>
                <w:bCs/>
              </w:rPr>
              <w:t>86</w:t>
            </w:r>
          </w:p>
        </w:tc>
        <w:tc>
          <w:tcPr>
            <w:tcW w:w="719" w:type="pct"/>
            <w:tcBorders>
              <w:top w:val="single" w:color="auto" w:sz="4" w:space="0"/>
              <w:left w:val="single" w:color="auto" w:sz="4" w:space="0"/>
              <w:bottom w:val="single" w:color="auto" w:sz="4" w:space="0"/>
              <w:right w:val="single" w:color="auto" w:sz="4" w:space="0"/>
            </w:tcBorders>
            <w:vAlign w:val="center"/>
          </w:tcPr>
          <w:p w14:paraId="72FA80BA">
            <w:pPr>
              <w:adjustRightInd w:val="0"/>
              <w:snapToGrid w:val="0"/>
              <w:jc w:val="center"/>
              <w:rPr>
                <w:rFonts w:ascii="Times New Roman" w:eastAsia="仿宋"/>
                <w:bCs/>
              </w:rPr>
            </w:pPr>
            <w:r>
              <w:rPr>
                <w:rFonts w:ascii="Times New Roman" w:eastAsia="仿宋"/>
                <w:bCs/>
              </w:rPr>
              <w:t>195</w:t>
            </w:r>
          </w:p>
        </w:tc>
        <w:tc>
          <w:tcPr>
            <w:tcW w:w="720" w:type="pct"/>
            <w:tcBorders>
              <w:top w:val="single" w:color="auto" w:sz="4" w:space="0"/>
              <w:left w:val="single" w:color="auto" w:sz="4" w:space="0"/>
              <w:bottom w:val="single" w:color="auto" w:sz="4" w:space="0"/>
              <w:right w:val="single" w:color="auto" w:sz="4" w:space="0"/>
            </w:tcBorders>
            <w:vAlign w:val="center"/>
          </w:tcPr>
          <w:p w14:paraId="610E9061">
            <w:pPr>
              <w:adjustRightInd w:val="0"/>
              <w:snapToGrid w:val="0"/>
              <w:jc w:val="center"/>
              <w:rPr>
                <w:rFonts w:ascii="Times New Roman" w:eastAsia="仿宋"/>
                <w:bCs/>
              </w:rPr>
            </w:pPr>
            <w:r>
              <w:rPr>
                <w:rFonts w:ascii="Times New Roman" w:eastAsia="仿宋"/>
                <w:bCs/>
              </w:rPr>
              <w:t>29</w:t>
            </w:r>
          </w:p>
        </w:tc>
        <w:tc>
          <w:tcPr>
            <w:tcW w:w="891" w:type="pct"/>
            <w:tcBorders>
              <w:top w:val="single" w:color="auto" w:sz="4" w:space="0"/>
              <w:left w:val="single" w:color="auto" w:sz="4" w:space="0"/>
              <w:bottom w:val="single" w:color="auto" w:sz="4" w:space="0"/>
              <w:right w:val="single" w:color="auto" w:sz="4" w:space="0"/>
            </w:tcBorders>
            <w:vAlign w:val="center"/>
          </w:tcPr>
          <w:p w14:paraId="10BB6027">
            <w:pPr>
              <w:adjustRightInd w:val="0"/>
              <w:snapToGrid w:val="0"/>
              <w:jc w:val="center"/>
              <w:rPr>
                <w:rFonts w:ascii="Times New Roman" w:eastAsia="仿宋"/>
                <w:bCs/>
              </w:rPr>
            </w:pPr>
            <w:r>
              <w:rPr>
                <w:rFonts w:ascii="Times New Roman" w:eastAsia="仿宋"/>
                <w:bCs/>
              </w:rPr>
              <w:t>2.4</w:t>
            </w:r>
          </w:p>
        </w:tc>
        <w:tc>
          <w:tcPr>
            <w:tcW w:w="579" w:type="pct"/>
            <w:tcBorders>
              <w:top w:val="single" w:color="auto" w:sz="4" w:space="0"/>
              <w:left w:val="single" w:color="auto" w:sz="4" w:space="0"/>
              <w:bottom w:val="single" w:color="auto" w:sz="4" w:space="0"/>
              <w:right w:val="single" w:color="auto" w:sz="4" w:space="0"/>
            </w:tcBorders>
            <w:vAlign w:val="center"/>
          </w:tcPr>
          <w:p w14:paraId="6603716B">
            <w:pPr>
              <w:adjustRightInd w:val="0"/>
              <w:snapToGrid w:val="0"/>
              <w:jc w:val="center"/>
              <w:rPr>
                <w:rFonts w:ascii="Times New Roman" w:eastAsia="仿宋"/>
                <w:bCs/>
              </w:rPr>
            </w:pPr>
            <w:r>
              <w:rPr>
                <w:rFonts w:ascii="Times New Roman" w:eastAsia="仿宋"/>
                <w:bCs/>
              </w:rPr>
              <w:t>-95</w:t>
            </w:r>
          </w:p>
        </w:tc>
      </w:tr>
      <w:tr w14:paraId="7B3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749FB130">
            <w:pPr>
              <w:adjustRightInd w:val="0"/>
              <w:snapToGrid w:val="0"/>
              <w:jc w:val="center"/>
              <w:rPr>
                <w:rFonts w:ascii="Times New Roman" w:eastAsia="仿宋"/>
                <w:bCs/>
              </w:rPr>
            </w:pPr>
            <w:r>
              <w:rPr>
                <w:rFonts w:hint="eastAsia" w:ascii="Times New Roman" w:eastAsia="仿宋"/>
                <w:bCs/>
              </w:rPr>
              <w:t>二甲苯</w:t>
            </w:r>
          </w:p>
        </w:tc>
        <w:tc>
          <w:tcPr>
            <w:tcW w:w="445" w:type="pct"/>
            <w:tcBorders>
              <w:top w:val="single" w:color="auto" w:sz="4" w:space="0"/>
              <w:left w:val="single" w:color="auto" w:sz="4" w:space="0"/>
              <w:bottom w:val="single" w:color="auto" w:sz="4" w:space="0"/>
              <w:right w:val="single" w:color="auto" w:sz="4" w:space="0"/>
            </w:tcBorders>
            <w:vAlign w:val="center"/>
          </w:tcPr>
          <w:p w14:paraId="582F4A5E">
            <w:pPr>
              <w:adjustRightInd w:val="0"/>
              <w:snapToGrid w:val="0"/>
              <w:jc w:val="center"/>
              <w:rPr>
                <w:rFonts w:ascii="Times New Roman" w:eastAsia="仿宋"/>
                <w:bCs/>
              </w:rPr>
            </w:pPr>
            <w:r>
              <w:rPr>
                <w:rFonts w:ascii="Times New Roman" w:eastAsia="仿宋"/>
                <w:bCs/>
              </w:rPr>
              <w:t>144</w:t>
            </w:r>
          </w:p>
        </w:tc>
        <w:tc>
          <w:tcPr>
            <w:tcW w:w="730" w:type="pct"/>
            <w:tcBorders>
              <w:top w:val="single" w:color="auto" w:sz="4" w:space="0"/>
              <w:left w:val="single" w:color="auto" w:sz="4" w:space="0"/>
              <w:bottom w:val="single" w:color="auto" w:sz="4" w:space="0"/>
              <w:right w:val="single" w:color="auto" w:sz="4" w:space="0"/>
            </w:tcBorders>
            <w:vAlign w:val="center"/>
          </w:tcPr>
          <w:p w14:paraId="657476D9">
            <w:pPr>
              <w:adjustRightInd w:val="0"/>
              <w:snapToGrid w:val="0"/>
              <w:jc w:val="center"/>
              <w:rPr>
                <w:rFonts w:ascii="Times New Roman" w:eastAsia="仿宋"/>
                <w:bCs/>
              </w:rPr>
            </w:pPr>
            <w:r>
              <w:rPr>
                <w:rFonts w:ascii="Times New Roman" w:eastAsia="仿宋"/>
                <w:bCs/>
              </w:rPr>
              <w:t>83</w:t>
            </w:r>
          </w:p>
        </w:tc>
        <w:tc>
          <w:tcPr>
            <w:tcW w:w="719" w:type="pct"/>
            <w:tcBorders>
              <w:top w:val="single" w:color="auto" w:sz="4" w:space="0"/>
              <w:left w:val="single" w:color="auto" w:sz="4" w:space="0"/>
              <w:bottom w:val="single" w:color="auto" w:sz="4" w:space="0"/>
              <w:right w:val="single" w:color="auto" w:sz="4" w:space="0"/>
            </w:tcBorders>
            <w:vAlign w:val="center"/>
          </w:tcPr>
          <w:p w14:paraId="44EC5E20">
            <w:pPr>
              <w:adjustRightInd w:val="0"/>
              <w:snapToGrid w:val="0"/>
              <w:jc w:val="center"/>
              <w:rPr>
                <w:rFonts w:ascii="Times New Roman" w:eastAsia="仿宋"/>
                <w:bCs/>
              </w:rPr>
            </w:pPr>
            <w:r>
              <w:rPr>
                <w:rFonts w:ascii="Times New Roman" w:eastAsia="仿宋"/>
                <w:bCs/>
              </w:rPr>
              <w:t>68</w:t>
            </w:r>
          </w:p>
        </w:tc>
        <w:tc>
          <w:tcPr>
            <w:tcW w:w="720" w:type="pct"/>
            <w:tcBorders>
              <w:top w:val="single" w:color="auto" w:sz="4" w:space="0"/>
              <w:left w:val="single" w:color="auto" w:sz="4" w:space="0"/>
              <w:bottom w:val="single" w:color="auto" w:sz="4" w:space="0"/>
              <w:right w:val="single" w:color="auto" w:sz="4" w:space="0"/>
            </w:tcBorders>
            <w:vAlign w:val="center"/>
          </w:tcPr>
          <w:p w14:paraId="75179706">
            <w:pPr>
              <w:adjustRightInd w:val="0"/>
              <w:snapToGrid w:val="0"/>
              <w:jc w:val="center"/>
              <w:rPr>
                <w:rFonts w:ascii="Times New Roman" w:eastAsia="仿宋"/>
                <w:bCs/>
              </w:rPr>
            </w:pPr>
            <w:r>
              <w:rPr>
                <w:rFonts w:ascii="Times New Roman" w:eastAsia="仿宋"/>
                <w:bCs/>
              </w:rPr>
              <w:t>30</w:t>
            </w:r>
          </w:p>
        </w:tc>
        <w:tc>
          <w:tcPr>
            <w:tcW w:w="891" w:type="pct"/>
            <w:tcBorders>
              <w:top w:val="single" w:color="auto" w:sz="4" w:space="0"/>
              <w:left w:val="single" w:color="auto" w:sz="4" w:space="0"/>
              <w:bottom w:val="single" w:color="auto" w:sz="4" w:space="0"/>
              <w:right w:val="single" w:color="auto" w:sz="4" w:space="0"/>
            </w:tcBorders>
            <w:vAlign w:val="center"/>
          </w:tcPr>
          <w:p w14:paraId="47D15B56">
            <w:pPr>
              <w:adjustRightInd w:val="0"/>
              <w:snapToGrid w:val="0"/>
              <w:jc w:val="center"/>
              <w:rPr>
                <w:rFonts w:ascii="Times New Roman" w:eastAsia="仿宋"/>
                <w:bCs/>
              </w:rPr>
            </w:pPr>
            <w:r>
              <w:rPr>
                <w:rFonts w:ascii="Times New Roman" w:eastAsia="仿宋"/>
                <w:bCs/>
              </w:rPr>
              <w:t>2.6</w:t>
            </w:r>
          </w:p>
        </w:tc>
        <w:tc>
          <w:tcPr>
            <w:tcW w:w="579" w:type="pct"/>
            <w:tcBorders>
              <w:top w:val="single" w:color="auto" w:sz="4" w:space="0"/>
              <w:left w:val="single" w:color="auto" w:sz="4" w:space="0"/>
              <w:bottom w:val="single" w:color="auto" w:sz="4" w:space="0"/>
              <w:right w:val="single" w:color="auto" w:sz="4" w:space="0"/>
            </w:tcBorders>
            <w:vAlign w:val="center"/>
          </w:tcPr>
          <w:p w14:paraId="3E2B8C8A">
            <w:pPr>
              <w:adjustRightInd w:val="0"/>
              <w:snapToGrid w:val="0"/>
              <w:jc w:val="center"/>
              <w:rPr>
                <w:rFonts w:ascii="Times New Roman" w:eastAsia="仿宋"/>
                <w:bCs/>
              </w:rPr>
            </w:pPr>
            <w:r>
              <w:rPr>
                <w:rFonts w:ascii="Times New Roman" w:eastAsia="仿宋"/>
                <w:bCs/>
              </w:rPr>
              <w:t>-25</w:t>
            </w:r>
          </w:p>
        </w:tc>
      </w:tr>
      <w:tr w14:paraId="6972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2" w:type="pct"/>
            <w:tcBorders>
              <w:top w:val="single" w:color="auto" w:sz="4" w:space="0"/>
              <w:left w:val="single" w:color="auto" w:sz="4" w:space="0"/>
              <w:bottom w:val="single" w:color="auto" w:sz="4" w:space="0"/>
              <w:right w:val="single" w:color="auto" w:sz="4" w:space="0"/>
            </w:tcBorders>
            <w:vAlign w:val="center"/>
          </w:tcPr>
          <w:p w14:paraId="1576590A">
            <w:pPr>
              <w:adjustRightInd w:val="0"/>
              <w:snapToGrid w:val="0"/>
              <w:jc w:val="center"/>
              <w:rPr>
                <w:rFonts w:ascii="Times New Roman" w:eastAsia="仿宋"/>
                <w:bCs/>
              </w:rPr>
            </w:pPr>
            <w:r>
              <w:rPr>
                <w:rFonts w:hint="eastAsia" w:ascii="Times New Roman" w:eastAsia="仿宋"/>
                <w:bCs/>
              </w:rPr>
              <w:t>其它有机溶剂</w:t>
            </w:r>
          </w:p>
        </w:tc>
        <w:tc>
          <w:tcPr>
            <w:tcW w:w="445" w:type="pct"/>
            <w:tcBorders>
              <w:top w:val="single" w:color="auto" w:sz="4" w:space="0"/>
              <w:left w:val="single" w:color="auto" w:sz="4" w:space="0"/>
              <w:bottom w:val="single" w:color="auto" w:sz="4" w:space="0"/>
              <w:right w:val="single" w:color="auto" w:sz="4" w:space="0"/>
            </w:tcBorders>
            <w:vAlign w:val="center"/>
          </w:tcPr>
          <w:p w14:paraId="38932062">
            <w:pPr>
              <w:adjustRightInd w:val="0"/>
              <w:snapToGrid w:val="0"/>
              <w:jc w:val="center"/>
              <w:rPr>
                <w:rFonts w:ascii="Times New Roman" w:eastAsia="仿宋"/>
                <w:bCs/>
              </w:rPr>
            </w:pPr>
            <w:r>
              <w:rPr>
                <w:rFonts w:ascii="Times New Roman" w:eastAsia="仿宋"/>
                <w:bCs/>
              </w:rPr>
              <w:t>/</w:t>
            </w:r>
          </w:p>
        </w:tc>
        <w:tc>
          <w:tcPr>
            <w:tcW w:w="730" w:type="pct"/>
            <w:tcBorders>
              <w:top w:val="single" w:color="auto" w:sz="4" w:space="0"/>
              <w:left w:val="single" w:color="auto" w:sz="4" w:space="0"/>
              <w:bottom w:val="single" w:color="auto" w:sz="4" w:space="0"/>
              <w:right w:val="single" w:color="auto" w:sz="4" w:space="0"/>
            </w:tcBorders>
            <w:vAlign w:val="center"/>
          </w:tcPr>
          <w:p w14:paraId="4E4D72A0">
            <w:pPr>
              <w:adjustRightInd w:val="0"/>
              <w:snapToGrid w:val="0"/>
              <w:jc w:val="center"/>
              <w:rPr>
                <w:rFonts w:ascii="Times New Roman" w:eastAsia="仿宋"/>
                <w:bCs/>
              </w:rPr>
            </w:pPr>
            <w:r>
              <w:rPr>
                <w:rFonts w:ascii="Times New Roman" w:eastAsia="仿宋"/>
                <w:bCs/>
              </w:rPr>
              <w:t>100</w:t>
            </w:r>
            <w:r>
              <w:rPr>
                <w:rFonts w:hint="eastAsia" w:ascii="Times New Roman" w:eastAsia="仿宋"/>
                <w:bCs/>
              </w:rPr>
              <w:t>以下</w:t>
            </w:r>
          </w:p>
        </w:tc>
        <w:tc>
          <w:tcPr>
            <w:tcW w:w="719" w:type="pct"/>
            <w:tcBorders>
              <w:top w:val="single" w:color="auto" w:sz="4" w:space="0"/>
              <w:left w:val="single" w:color="auto" w:sz="4" w:space="0"/>
              <w:bottom w:val="single" w:color="auto" w:sz="4" w:space="0"/>
              <w:right w:val="single" w:color="auto" w:sz="4" w:space="0"/>
            </w:tcBorders>
            <w:vAlign w:val="center"/>
          </w:tcPr>
          <w:p w14:paraId="4C61EDE1">
            <w:pPr>
              <w:adjustRightInd w:val="0"/>
              <w:snapToGrid w:val="0"/>
              <w:jc w:val="center"/>
              <w:rPr>
                <w:rFonts w:ascii="Times New Roman" w:eastAsia="仿宋"/>
                <w:bCs/>
              </w:rPr>
            </w:pPr>
            <w:r>
              <w:rPr>
                <w:rFonts w:ascii="Times New Roman" w:eastAsia="仿宋"/>
                <w:bCs/>
              </w:rPr>
              <w:t>/</w:t>
            </w:r>
          </w:p>
        </w:tc>
        <w:tc>
          <w:tcPr>
            <w:tcW w:w="720" w:type="pct"/>
            <w:tcBorders>
              <w:top w:val="single" w:color="auto" w:sz="4" w:space="0"/>
              <w:left w:val="single" w:color="auto" w:sz="4" w:space="0"/>
              <w:bottom w:val="single" w:color="auto" w:sz="4" w:space="0"/>
              <w:right w:val="single" w:color="auto" w:sz="4" w:space="0"/>
            </w:tcBorders>
            <w:vAlign w:val="center"/>
          </w:tcPr>
          <w:p w14:paraId="20A5299B">
            <w:pPr>
              <w:adjustRightInd w:val="0"/>
              <w:snapToGrid w:val="0"/>
              <w:jc w:val="center"/>
              <w:rPr>
                <w:rFonts w:ascii="Times New Roman" w:eastAsia="仿宋"/>
                <w:bCs/>
              </w:rPr>
            </w:pPr>
            <w:r>
              <w:rPr>
                <w:rFonts w:ascii="Times New Roman" w:eastAsia="仿宋"/>
                <w:bCs/>
              </w:rPr>
              <w:t>29</w:t>
            </w:r>
          </w:p>
        </w:tc>
        <w:tc>
          <w:tcPr>
            <w:tcW w:w="891" w:type="pct"/>
            <w:tcBorders>
              <w:top w:val="single" w:color="auto" w:sz="4" w:space="0"/>
              <w:left w:val="single" w:color="auto" w:sz="4" w:space="0"/>
              <w:bottom w:val="single" w:color="auto" w:sz="4" w:space="0"/>
              <w:right w:val="single" w:color="auto" w:sz="4" w:space="0"/>
            </w:tcBorders>
            <w:vAlign w:val="center"/>
          </w:tcPr>
          <w:p w14:paraId="572A6153">
            <w:pPr>
              <w:adjustRightInd w:val="0"/>
              <w:snapToGrid w:val="0"/>
              <w:jc w:val="center"/>
              <w:rPr>
                <w:rFonts w:ascii="Times New Roman" w:eastAsia="仿宋"/>
                <w:bCs/>
              </w:rPr>
            </w:pPr>
            <w:r>
              <w:rPr>
                <w:rFonts w:hint="eastAsia" w:ascii="Times New Roman" w:eastAsia="仿宋"/>
                <w:bCs/>
              </w:rPr>
              <w:t>不导电</w:t>
            </w:r>
          </w:p>
          <w:p w14:paraId="0CB5E8CF">
            <w:pPr>
              <w:adjustRightInd w:val="0"/>
              <w:snapToGrid w:val="0"/>
              <w:jc w:val="center"/>
              <w:rPr>
                <w:rFonts w:ascii="Times New Roman" w:eastAsia="仿宋"/>
                <w:bCs/>
              </w:rPr>
            </w:pPr>
            <w:r>
              <w:rPr>
                <w:rFonts w:ascii="Times New Roman" w:eastAsia="仿宋"/>
                <w:bCs/>
              </w:rPr>
              <w:t>2.37</w:t>
            </w:r>
            <w:r>
              <w:rPr>
                <w:rFonts w:hint="eastAsia" w:ascii="Times New Roman" w:eastAsia="仿宋"/>
                <w:bCs/>
              </w:rPr>
              <w:t>～</w:t>
            </w:r>
            <w:r>
              <w:rPr>
                <w:rFonts w:ascii="Times New Roman" w:eastAsia="仿宋"/>
                <w:bCs/>
              </w:rPr>
              <w:t>5.10</w:t>
            </w:r>
          </w:p>
        </w:tc>
        <w:tc>
          <w:tcPr>
            <w:tcW w:w="579" w:type="pct"/>
            <w:tcBorders>
              <w:top w:val="single" w:color="auto" w:sz="4" w:space="0"/>
              <w:left w:val="single" w:color="auto" w:sz="4" w:space="0"/>
              <w:bottom w:val="single" w:color="auto" w:sz="4" w:space="0"/>
              <w:right w:val="single" w:color="auto" w:sz="4" w:space="0"/>
            </w:tcBorders>
            <w:vAlign w:val="center"/>
          </w:tcPr>
          <w:p w14:paraId="1376BEC6">
            <w:pPr>
              <w:adjustRightInd w:val="0"/>
              <w:snapToGrid w:val="0"/>
              <w:jc w:val="center"/>
              <w:rPr>
                <w:rFonts w:ascii="Times New Roman" w:eastAsia="仿宋"/>
                <w:bCs/>
              </w:rPr>
            </w:pPr>
            <w:r>
              <w:rPr>
                <w:rFonts w:ascii="Times New Roman" w:eastAsia="仿宋"/>
                <w:bCs/>
              </w:rPr>
              <w:t>/</w:t>
            </w:r>
          </w:p>
        </w:tc>
      </w:tr>
    </w:tbl>
    <w:p w14:paraId="6FD8BF66">
      <w:pPr>
        <w:autoSpaceDE w:val="0"/>
        <w:autoSpaceDN w:val="0"/>
        <w:adjustRightInd w:val="0"/>
        <w:spacing w:line="500" w:lineRule="exact"/>
        <w:ind w:firstLine="560" w:firstLineChars="200"/>
        <w:jc w:val="left"/>
        <w:rPr>
          <w:rFonts w:ascii="Times New Roman" w:eastAsia="仿宋"/>
          <w:sz w:val="28"/>
          <w:szCs w:val="28"/>
        </w:rPr>
      </w:pPr>
      <w:r>
        <w:rPr>
          <w:rFonts w:hint="eastAsia" w:ascii="Times New Roman" w:eastAsia="仿宋"/>
          <w:sz w:val="28"/>
          <w:szCs w:val="28"/>
        </w:rPr>
        <w:t>上表中水与有机溶剂有明显差异的五个特性：蒸发潜热、挥发速率、表面张力、电导率、熔点，这些特性差异决定了水性漆在工艺方面与油性漆的差异，具体如下：</w:t>
      </w:r>
    </w:p>
    <w:p w14:paraId="4C9F9761">
      <w:pPr>
        <w:spacing w:line="500" w:lineRule="exact"/>
        <w:jc w:val="center"/>
        <w:rPr>
          <w:rFonts w:ascii="Times New Roman" w:eastAsia="仿宋"/>
          <w:b/>
        </w:rPr>
      </w:pPr>
    </w:p>
    <w:p w14:paraId="486A2513">
      <w:pPr>
        <w:spacing w:line="500" w:lineRule="exact"/>
        <w:jc w:val="center"/>
        <w:rPr>
          <w:rFonts w:ascii="Times New Roman" w:eastAsia="仿宋"/>
          <w:b/>
        </w:rPr>
      </w:pPr>
    </w:p>
    <w:p w14:paraId="260C41FC">
      <w:pPr>
        <w:spacing w:line="500" w:lineRule="exact"/>
        <w:jc w:val="center"/>
        <w:rPr>
          <w:rFonts w:ascii="Times New Roman" w:eastAsia="仿宋"/>
          <w:b/>
        </w:rPr>
      </w:pPr>
    </w:p>
    <w:p w14:paraId="2516095B">
      <w:pPr>
        <w:spacing w:line="500" w:lineRule="exact"/>
        <w:jc w:val="center"/>
        <w:rPr>
          <w:rFonts w:ascii="Times New Roman" w:eastAsia="仿宋"/>
          <w:b/>
        </w:rPr>
      </w:pPr>
      <w:r>
        <w:rPr>
          <w:rFonts w:ascii="Times New Roman" w:eastAsia="仿宋"/>
          <w:b/>
        </w:rPr>
        <w:t>表3.1-</w:t>
      </w:r>
      <w:r>
        <w:rPr>
          <w:rFonts w:hint="eastAsia" w:ascii="Times New Roman" w:eastAsia="仿宋"/>
          <w:b/>
        </w:rPr>
        <w:t>2</w:t>
      </w:r>
      <w:r>
        <w:rPr>
          <w:rFonts w:ascii="Times New Roman" w:eastAsia="仿宋"/>
          <w:b/>
        </w:rPr>
        <w:t xml:space="preserve">  水性漆与油性漆对比情况一览表</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458"/>
        <w:gridCol w:w="3743"/>
      </w:tblGrid>
      <w:tr w14:paraId="1916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7E0F0D3E">
            <w:pPr>
              <w:adjustRightInd w:val="0"/>
              <w:snapToGrid w:val="0"/>
              <w:jc w:val="center"/>
              <w:rPr>
                <w:rFonts w:ascii="Times New Roman" w:eastAsia="仿宋"/>
                <w:bCs/>
              </w:rPr>
            </w:pPr>
            <w:r>
              <w:rPr>
                <w:rFonts w:ascii="Times New Roman" w:eastAsia="仿宋"/>
                <w:bCs/>
              </w:rPr>
              <w:t>类别</w:t>
            </w:r>
          </w:p>
        </w:tc>
        <w:tc>
          <w:tcPr>
            <w:tcW w:w="2412" w:type="pct"/>
            <w:tcBorders>
              <w:top w:val="single" w:color="auto" w:sz="4" w:space="0"/>
              <w:left w:val="single" w:color="auto" w:sz="4" w:space="0"/>
              <w:bottom w:val="single" w:color="auto" w:sz="4" w:space="0"/>
              <w:right w:val="single" w:color="auto" w:sz="4" w:space="0"/>
            </w:tcBorders>
            <w:vAlign w:val="center"/>
          </w:tcPr>
          <w:p w14:paraId="0F560BC8">
            <w:pPr>
              <w:adjustRightInd w:val="0"/>
              <w:snapToGrid w:val="0"/>
              <w:jc w:val="center"/>
              <w:rPr>
                <w:rFonts w:ascii="Times New Roman" w:eastAsia="仿宋"/>
                <w:bCs/>
              </w:rPr>
            </w:pPr>
            <w:r>
              <w:rPr>
                <w:rFonts w:ascii="Times New Roman" w:eastAsia="仿宋"/>
                <w:bCs/>
              </w:rPr>
              <w:t>油性漆</w:t>
            </w:r>
          </w:p>
        </w:tc>
        <w:tc>
          <w:tcPr>
            <w:tcW w:w="2025" w:type="pct"/>
            <w:tcBorders>
              <w:top w:val="single" w:color="auto" w:sz="4" w:space="0"/>
              <w:left w:val="single" w:color="auto" w:sz="4" w:space="0"/>
              <w:bottom w:val="single" w:color="auto" w:sz="4" w:space="0"/>
              <w:right w:val="single" w:color="auto" w:sz="4" w:space="0"/>
            </w:tcBorders>
            <w:vAlign w:val="center"/>
          </w:tcPr>
          <w:p w14:paraId="5B644E21">
            <w:pPr>
              <w:adjustRightInd w:val="0"/>
              <w:snapToGrid w:val="0"/>
              <w:jc w:val="center"/>
              <w:rPr>
                <w:rFonts w:ascii="Times New Roman" w:eastAsia="仿宋"/>
                <w:bCs/>
              </w:rPr>
            </w:pPr>
            <w:r>
              <w:rPr>
                <w:rFonts w:ascii="Times New Roman" w:eastAsia="仿宋"/>
                <w:bCs/>
              </w:rPr>
              <w:t>水性漆</w:t>
            </w:r>
          </w:p>
        </w:tc>
      </w:tr>
      <w:tr w14:paraId="5534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6A0686C0">
            <w:pPr>
              <w:widowControl/>
              <w:adjustRightInd w:val="0"/>
              <w:snapToGrid w:val="0"/>
              <w:jc w:val="center"/>
              <w:rPr>
                <w:rFonts w:ascii="Times New Roman" w:eastAsia="仿宋"/>
                <w:szCs w:val="21"/>
              </w:rPr>
            </w:pPr>
            <w:r>
              <w:rPr>
                <w:rFonts w:ascii="Times New Roman" w:eastAsia="仿宋"/>
                <w:szCs w:val="21"/>
              </w:rPr>
              <w:t>蒸发潜热及挥发速率</w:t>
            </w:r>
          </w:p>
        </w:tc>
        <w:tc>
          <w:tcPr>
            <w:tcW w:w="2412" w:type="pct"/>
            <w:tcBorders>
              <w:top w:val="single" w:color="auto" w:sz="4" w:space="0"/>
              <w:left w:val="single" w:color="auto" w:sz="4" w:space="0"/>
              <w:bottom w:val="single" w:color="auto" w:sz="4" w:space="0"/>
              <w:right w:val="single" w:color="auto" w:sz="4" w:space="0"/>
            </w:tcBorders>
            <w:vAlign w:val="center"/>
          </w:tcPr>
          <w:p w14:paraId="6F5C07EC">
            <w:pPr>
              <w:widowControl/>
              <w:adjustRightInd w:val="0"/>
              <w:snapToGrid w:val="0"/>
              <w:jc w:val="center"/>
              <w:rPr>
                <w:rFonts w:ascii="Times New Roman" w:eastAsia="仿宋"/>
                <w:szCs w:val="21"/>
              </w:rPr>
            </w:pPr>
            <w:r>
              <w:rPr>
                <w:rFonts w:ascii="Times New Roman" w:eastAsia="仿宋"/>
                <w:szCs w:val="21"/>
              </w:rPr>
              <w:t>喷涂后有机溶剂可以在常温下快速挥发，不需要辅助加热，可以自然表干、流平</w:t>
            </w:r>
          </w:p>
        </w:tc>
        <w:tc>
          <w:tcPr>
            <w:tcW w:w="2025" w:type="pct"/>
            <w:tcBorders>
              <w:top w:val="single" w:color="auto" w:sz="4" w:space="0"/>
              <w:left w:val="single" w:color="auto" w:sz="4" w:space="0"/>
              <w:bottom w:val="single" w:color="auto" w:sz="4" w:space="0"/>
              <w:right w:val="single" w:color="auto" w:sz="4" w:space="0"/>
            </w:tcBorders>
            <w:vAlign w:val="center"/>
          </w:tcPr>
          <w:p w14:paraId="1EB60E1F">
            <w:pPr>
              <w:widowControl/>
              <w:adjustRightInd w:val="0"/>
              <w:snapToGrid w:val="0"/>
              <w:jc w:val="center"/>
              <w:rPr>
                <w:rFonts w:ascii="Times New Roman" w:eastAsia="仿宋"/>
                <w:szCs w:val="21"/>
              </w:rPr>
            </w:pPr>
            <w:r>
              <w:rPr>
                <w:rFonts w:ascii="Times New Roman" w:eastAsia="仿宋"/>
                <w:szCs w:val="21"/>
              </w:rPr>
              <w:t>喷涂后水在常温下自然挥发很慢，容易形成流挂、起泡无法达到生产质量要求，必须辅助加热，加快涂层中的水分挥发</w:t>
            </w:r>
          </w:p>
        </w:tc>
      </w:tr>
      <w:tr w14:paraId="4802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6B426D58">
            <w:pPr>
              <w:widowControl/>
              <w:adjustRightInd w:val="0"/>
              <w:snapToGrid w:val="0"/>
              <w:jc w:val="center"/>
              <w:rPr>
                <w:rFonts w:ascii="Times New Roman" w:eastAsia="仿宋"/>
                <w:szCs w:val="21"/>
              </w:rPr>
            </w:pPr>
            <w:r>
              <w:rPr>
                <w:rFonts w:ascii="Times New Roman" w:eastAsia="仿宋"/>
                <w:szCs w:val="21"/>
              </w:rPr>
              <w:t>表面</w:t>
            </w:r>
          </w:p>
          <w:p w14:paraId="41D93E84">
            <w:pPr>
              <w:widowControl/>
              <w:adjustRightInd w:val="0"/>
              <w:snapToGrid w:val="0"/>
              <w:jc w:val="center"/>
              <w:rPr>
                <w:rFonts w:ascii="Times New Roman" w:eastAsia="仿宋"/>
                <w:szCs w:val="21"/>
              </w:rPr>
            </w:pPr>
            <w:r>
              <w:rPr>
                <w:rFonts w:ascii="Times New Roman" w:eastAsia="仿宋"/>
                <w:szCs w:val="21"/>
              </w:rPr>
              <w:t>张力</w:t>
            </w:r>
          </w:p>
        </w:tc>
        <w:tc>
          <w:tcPr>
            <w:tcW w:w="2412" w:type="pct"/>
            <w:tcBorders>
              <w:top w:val="single" w:color="auto" w:sz="4" w:space="0"/>
              <w:left w:val="single" w:color="auto" w:sz="4" w:space="0"/>
              <w:bottom w:val="single" w:color="auto" w:sz="4" w:space="0"/>
              <w:right w:val="single" w:color="auto" w:sz="4" w:space="0"/>
            </w:tcBorders>
            <w:vAlign w:val="center"/>
          </w:tcPr>
          <w:p w14:paraId="3FCAD50F">
            <w:pPr>
              <w:widowControl/>
              <w:adjustRightInd w:val="0"/>
              <w:snapToGrid w:val="0"/>
              <w:jc w:val="center"/>
              <w:rPr>
                <w:rFonts w:ascii="Times New Roman" w:eastAsia="仿宋"/>
                <w:szCs w:val="21"/>
              </w:rPr>
            </w:pPr>
            <w:r>
              <w:rPr>
                <w:rFonts w:ascii="Times New Roman" w:eastAsia="仿宋"/>
                <w:szCs w:val="21"/>
              </w:rPr>
              <w:t>与底层润湿性好，涂层易流平，涂层外观质量容易控制，在工件表面附着性能好</w:t>
            </w:r>
          </w:p>
        </w:tc>
        <w:tc>
          <w:tcPr>
            <w:tcW w:w="2025" w:type="pct"/>
            <w:tcBorders>
              <w:top w:val="single" w:color="auto" w:sz="4" w:space="0"/>
              <w:left w:val="single" w:color="auto" w:sz="4" w:space="0"/>
              <w:bottom w:val="single" w:color="auto" w:sz="4" w:space="0"/>
              <w:right w:val="single" w:color="auto" w:sz="4" w:space="0"/>
            </w:tcBorders>
            <w:vAlign w:val="center"/>
          </w:tcPr>
          <w:p w14:paraId="3D8A4B9A">
            <w:pPr>
              <w:widowControl/>
              <w:adjustRightInd w:val="0"/>
              <w:snapToGrid w:val="0"/>
              <w:jc w:val="center"/>
              <w:rPr>
                <w:rFonts w:ascii="Times New Roman" w:eastAsia="仿宋"/>
                <w:szCs w:val="21"/>
              </w:rPr>
            </w:pPr>
            <w:r>
              <w:rPr>
                <w:rFonts w:ascii="Times New Roman" w:eastAsia="仿宋"/>
                <w:szCs w:val="21"/>
              </w:rPr>
              <w:t>与底层润湿性差，涂层流平性差，很容易形成缩孔、橘皮等缺陷，涂层外观质量不易控制</w:t>
            </w:r>
          </w:p>
        </w:tc>
      </w:tr>
      <w:tr w14:paraId="653A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31179D8C">
            <w:pPr>
              <w:widowControl/>
              <w:adjustRightInd w:val="0"/>
              <w:snapToGrid w:val="0"/>
              <w:jc w:val="center"/>
              <w:rPr>
                <w:rFonts w:ascii="Times New Roman" w:eastAsia="仿宋"/>
                <w:szCs w:val="21"/>
              </w:rPr>
            </w:pPr>
            <w:r>
              <w:rPr>
                <w:rFonts w:ascii="Times New Roman" w:eastAsia="仿宋"/>
                <w:szCs w:val="21"/>
              </w:rPr>
              <w:t>电导率</w:t>
            </w:r>
          </w:p>
        </w:tc>
        <w:tc>
          <w:tcPr>
            <w:tcW w:w="2412" w:type="pct"/>
            <w:tcBorders>
              <w:top w:val="single" w:color="auto" w:sz="4" w:space="0"/>
              <w:left w:val="single" w:color="auto" w:sz="4" w:space="0"/>
              <w:bottom w:val="single" w:color="auto" w:sz="4" w:space="0"/>
              <w:right w:val="single" w:color="auto" w:sz="4" w:space="0"/>
            </w:tcBorders>
            <w:vAlign w:val="center"/>
          </w:tcPr>
          <w:p w14:paraId="5C83FC22">
            <w:pPr>
              <w:widowControl/>
              <w:adjustRightInd w:val="0"/>
              <w:snapToGrid w:val="0"/>
              <w:jc w:val="center"/>
              <w:rPr>
                <w:rFonts w:ascii="Times New Roman" w:eastAsia="仿宋"/>
                <w:szCs w:val="21"/>
              </w:rPr>
            </w:pPr>
            <w:r>
              <w:rPr>
                <w:rFonts w:ascii="Times New Roman" w:eastAsia="仿宋"/>
                <w:szCs w:val="21"/>
              </w:rPr>
              <w:t>不导电，可以直接使用静电涂装工艺</w:t>
            </w:r>
          </w:p>
        </w:tc>
        <w:tc>
          <w:tcPr>
            <w:tcW w:w="2025" w:type="pct"/>
            <w:tcBorders>
              <w:top w:val="single" w:color="auto" w:sz="4" w:space="0"/>
              <w:left w:val="single" w:color="auto" w:sz="4" w:space="0"/>
              <w:bottom w:val="single" w:color="auto" w:sz="4" w:space="0"/>
              <w:right w:val="single" w:color="auto" w:sz="4" w:space="0"/>
            </w:tcBorders>
            <w:vAlign w:val="center"/>
          </w:tcPr>
          <w:p w14:paraId="12B6CB96">
            <w:pPr>
              <w:widowControl/>
              <w:adjustRightInd w:val="0"/>
              <w:snapToGrid w:val="0"/>
              <w:jc w:val="center"/>
              <w:rPr>
                <w:rFonts w:ascii="Times New Roman" w:eastAsia="仿宋"/>
                <w:szCs w:val="21"/>
              </w:rPr>
            </w:pPr>
            <w:r>
              <w:rPr>
                <w:rFonts w:ascii="Times New Roman" w:eastAsia="仿宋"/>
                <w:szCs w:val="21"/>
              </w:rPr>
              <w:t>水易导电，如果使用静电涂装工艺，供漆系统与静电涂装喷涂的涂料直接必须绝缘</w:t>
            </w:r>
          </w:p>
        </w:tc>
      </w:tr>
      <w:tr w14:paraId="479D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42501125">
            <w:pPr>
              <w:widowControl/>
              <w:adjustRightInd w:val="0"/>
              <w:snapToGrid w:val="0"/>
              <w:jc w:val="center"/>
              <w:rPr>
                <w:rFonts w:ascii="Times New Roman" w:eastAsia="仿宋"/>
                <w:szCs w:val="21"/>
              </w:rPr>
            </w:pPr>
            <w:r>
              <w:rPr>
                <w:rFonts w:ascii="Times New Roman" w:eastAsia="仿宋"/>
                <w:szCs w:val="21"/>
              </w:rPr>
              <w:t>熔点</w:t>
            </w:r>
          </w:p>
        </w:tc>
        <w:tc>
          <w:tcPr>
            <w:tcW w:w="2412" w:type="pct"/>
            <w:tcBorders>
              <w:top w:val="single" w:color="auto" w:sz="4" w:space="0"/>
              <w:left w:val="single" w:color="auto" w:sz="4" w:space="0"/>
              <w:bottom w:val="single" w:color="auto" w:sz="4" w:space="0"/>
              <w:right w:val="single" w:color="auto" w:sz="4" w:space="0"/>
            </w:tcBorders>
            <w:vAlign w:val="center"/>
          </w:tcPr>
          <w:p w14:paraId="37E27AD5">
            <w:pPr>
              <w:widowControl/>
              <w:adjustRightInd w:val="0"/>
              <w:snapToGrid w:val="0"/>
              <w:jc w:val="center"/>
              <w:rPr>
                <w:rFonts w:ascii="Times New Roman" w:eastAsia="仿宋"/>
                <w:szCs w:val="21"/>
              </w:rPr>
            </w:pPr>
            <w:r>
              <w:rPr>
                <w:rFonts w:ascii="Times New Roman" w:eastAsia="仿宋"/>
                <w:szCs w:val="21"/>
              </w:rPr>
              <w:t>储存运输、储存条件没有严格要求，正常室温下都可以满足</w:t>
            </w:r>
          </w:p>
        </w:tc>
        <w:tc>
          <w:tcPr>
            <w:tcW w:w="2025" w:type="pct"/>
            <w:tcBorders>
              <w:top w:val="single" w:color="auto" w:sz="4" w:space="0"/>
              <w:left w:val="single" w:color="auto" w:sz="4" w:space="0"/>
              <w:bottom w:val="single" w:color="auto" w:sz="4" w:space="0"/>
              <w:right w:val="single" w:color="auto" w:sz="4" w:space="0"/>
            </w:tcBorders>
            <w:vAlign w:val="center"/>
          </w:tcPr>
          <w:p w14:paraId="34611D27">
            <w:pPr>
              <w:widowControl/>
              <w:adjustRightInd w:val="0"/>
              <w:snapToGrid w:val="0"/>
              <w:jc w:val="center"/>
              <w:rPr>
                <w:rFonts w:ascii="Times New Roman" w:eastAsia="仿宋"/>
                <w:szCs w:val="21"/>
              </w:rPr>
            </w:pPr>
            <w:r>
              <w:rPr>
                <w:rFonts w:ascii="Times New Roman" w:eastAsia="仿宋"/>
                <w:szCs w:val="21"/>
              </w:rPr>
              <w:t>水性的运输、储存需要保温措施，尤其是冬季气温较低的情况下，水如果结冰涂料就报废</w:t>
            </w:r>
          </w:p>
        </w:tc>
      </w:tr>
      <w:tr w14:paraId="469F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pct"/>
            <w:tcBorders>
              <w:top w:val="single" w:color="auto" w:sz="4" w:space="0"/>
              <w:left w:val="single" w:color="auto" w:sz="4" w:space="0"/>
              <w:bottom w:val="single" w:color="auto" w:sz="4" w:space="0"/>
              <w:right w:val="single" w:color="auto" w:sz="4" w:space="0"/>
            </w:tcBorders>
            <w:vAlign w:val="center"/>
          </w:tcPr>
          <w:p w14:paraId="37053C17">
            <w:pPr>
              <w:widowControl/>
              <w:adjustRightInd w:val="0"/>
              <w:snapToGrid w:val="0"/>
              <w:jc w:val="center"/>
              <w:rPr>
                <w:rFonts w:ascii="Times New Roman" w:eastAsia="仿宋"/>
                <w:szCs w:val="21"/>
              </w:rPr>
            </w:pPr>
            <w:r>
              <w:rPr>
                <w:rFonts w:ascii="Times New Roman" w:eastAsia="仿宋"/>
                <w:szCs w:val="21"/>
              </w:rPr>
              <w:t>其他</w:t>
            </w:r>
          </w:p>
        </w:tc>
        <w:tc>
          <w:tcPr>
            <w:tcW w:w="2412" w:type="pct"/>
            <w:tcBorders>
              <w:top w:val="single" w:color="auto" w:sz="4" w:space="0"/>
              <w:left w:val="single" w:color="auto" w:sz="4" w:space="0"/>
              <w:bottom w:val="single" w:color="auto" w:sz="4" w:space="0"/>
              <w:right w:val="single" w:color="auto" w:sz="4" w:space="0"/>
            </w:tcBorders>
            <w:vAlign w:val="center"/>
          </w:tcPr>
          <w:p w14:paraId="422BCD17">
            <w:pPr>
              <w:widowControl/>
              <w:adjustRightInd w:val="0"/>
              <w:snapToGrid w:val="0"/>
              <w:jc w:val="center"/>
              <w:rPr>
                <w:rFonts w:ascii="Times New Roman" w:eastAsia="仿宋"/>
                <w:szCs w:val="21"/>
              </w:rPr>
            </w:pPr>
            <w:r>
              <w:rPr>
                <w:rFonts w:ascii="Times New Roman" w:eastAsia="仿宋"/>
                <w:szCs w:val="21"/>
              </w:rPr>
              <w:t>具有防腐、防水、防油、耐光、耐温等优势。在工件表面涂以油性涂料，形成一层保护膜，能够阻止或延迟这些破坏现象的发生和发展，使各种材料的使用寿命延长。</w:t>
            </w:r>
          </w:p>
        </w:tc>
        <w:tc>
          <w:tcPr>
            <w:tcW w:w="2025" w:type="pct"/>
            <w:tcBorders>
              <w:top w:val="single" w:color="auto" w:sz="4" w:space="0"/>
              <w:left w:val="single" w:color="auto" w:sz="4" w:space="0"/>
              <w:bottom w:val="single" w:color="auto" w:sz="4" w:space="0"/>
              <w:right w:val="single" w:color="auto" w:sz="4" w:space="0"/>
            </w:tcBorders>
            <w:vAlign w:val="center"/>
          </w:tcPr>
          <w:p w14:paraId="484FC7F3">
            <w:pPr>
              <w:widowControl/>
              <w:adjustRightInd w:val="0"/>
              <w:snapToGrid w:val="0"/>
              <w:jc w:val="center"/>
              <w:rPr>
                <w:rFonts w:ascii="Times New Roman" w:eastAsia="仿宋"/>
                <w:szCs w:val="21"/>
              </w:rPr>
            </w:pPr>
            <w:r>
              <w:rPr>
                <w:rFonts w:ascii="Times New Roman" w:eastAsia="仿宋"/>
                <w:szCs w:val="21"/>
              </w:rPr>
              <w:t>水性涂料存在涂膜耐水性差的问题，使涂料的稳定性差。</w:t>
            </w:r>
          </w:p>
        </w:tc>
      </w:tr>
    </w:tbl>
    <w:p w14:paraId="4ADAF674">
      <w:pPr>
        <w:autoSpaceDE w:val="0"/>
        <w:autoSpaceDN w:val="0"/>
        <w:adjustRightInd w:val="0"/>
        <w:spacing w:line="500" w:lineRule="exact"/>
        <w:ind w:firstLine="560" w:firstLineChars="200"/>
        <w:jc w:val="left"/>
        <w:rPr>
          <w:rFonts w:ascii="Times New Roman" w:eastAsia="仿宋"/>
          <w:sz w:val="28"/>
          <w:szCs w:val="28"/>
        </w:rPr>
      </w:pPr>
      <w:r>
        <w:rPr>
          <w:rFonts w:hint="eastAsia" w:ascii="Times New Roman" w:hAnsi="仿宋" w:eastAsia="仿宋"/>
          <w:bCs/>
          <w:sz w:val="28"/>
          <w:szCs w:val="28"/>
        </w:rPr>
        <w:t>本次产品为汽车铝制板，主要应用于新能源汽车行业，</w:t>
      </w:r>
      <w:r>
        <w:rPr>
          <w:rFonts w:ascii="Times New Roman" w:eastAsia="仿宋"/>
          <w:sz w:val="28"/>
          <w:szCs w:val="28"/>
        </w:rPr>
        <w:t>综合工装比较复杂，</w:t>
      </w:r>
      <w:r>
        <w:rPr>
          <w:rFonts w:hint="eastAsia" w:ascii="Times New Roman" w:eastAsia="仿宋"/>
          <w:sz w:val="28"/>
          <w:szCs w:val="28"/>
        </w:rPr>
        <w:t>且产品</w:t>
      </w:r>
      <w:r>
        <w:rPr>
          <w:rFonts w:hint="eastAsia" w:ascii="Times New Roman" w:hAnsi="仿宋" w:eastAsia="仿宋"/>
          <w:bCs/>
          <w:sz w:val="28"/>
          <w:szCs w:val="28"/>
        </w:rPr>
        <w:t>应用环境主要为户外，且环境较为多变、复杂，对于涂料的附着力、耐磨性、耐腐蚀性及耐受日常的各种雨天、雪天、暴晒等极热极寒天气的性能要求较高。考虑到本项目产品使用环境及性能要求的限制、</w:t>
      </w:r>
      <w:r>
        <w:rPr>
          <w:rFonts w:ascii="Times New Roman" w:hAnsi="仿宋" w:eastAsia="仿宋"/>
          <w:sz w:val="28"/>
          <w:szCs w:val="28"/>
        </w:rPr>
        <w:t>从漆膜厚度、表面附着力、耐腐蚀及耐冲击、耐磨性等几个方面考察，</w:t>
      </w:r>
      <w:r>
        <w:rPr>
          <w:rFonts w:hint="eastAsia" w:ascii="Times New Roman" w:hAnsi="仿宋" w:eastAsia="仿宋"/>
          <w:sz w:val="28"/>
          <w:szCs w:val="28"/>
        </w:rPr>
        <w:t>油性氟碳漆</w:t>
      </w:r>
      <w:r>
        <w:rPr>
          <w:rFonts w:ascii="Times New Roman" w:hAnsi="仿宋" w:eastAsia="仿宋"/>
          <w:sz w:val="28"/>
          <w:szCs w:val="28"/>
        </w:rPr>
        <w:t>总体性能优于以水性漆进行喷涂加工的工件</w:t>
      </w:r>
      <w:r>
        <w:rPr>
          <w:rFonts w:hint="eastAsia" w:ascii="Times New Roman" w:hAnsi="仿宋" w:eastAsia="仿宋"/>
          <w:sz w:val="28"/>
          <w:szCs w:val="28"/>
        </w:rPr>
        <w:t>，</w:t>
      </w:r>
      <w:r>
        <w:rPr>
          <w:rFonts w:ascii="Times New Roman" w:eastAsia="仿宋"/>
          <w:sz w:val="28"/>
          <w:szCs w:val="28"/>
        </w:rPr>
        <w:t>使用水性漆喷涂的产品无法满足供应商对产品性能的要求，部分产品需采用油性漆进行喷涂。本项目产能为年产</w:t>
      </w:r>
      <w:r>
        <w:rPr>
          <w:rFonts w:hint="eastAsia" w:ascii="Times New Roman" w:eastAsia="仿宋"/>
          <w:sz w:val="28"/>
          <w:szCs w:val="28"/>
        </w:rPr>
        <w:t>8</w:t>
      </w:r>
      <w:r>
        <w:rPr>
          <w:rFonts w:ascii="Times New Roman" w:eastAsia="仿宋"/>
          <w:sz w:val="28"/>
          <w:szCs w:val="28"/>
        </w:rPr>
        <w:t>0万平方米新能源汽车铝制板，根据供应商对产品性能的要求，其中有</w:t>
      </w:r>
      <w:r>
        <w:rPr>
          <w:rFonts w:hint="eastAsia" w:ascii="Times New Roman" w:eastAsia="仿宋"/>
          <w:sz w:val="28"/>
          <w:szCs w:val="28"/>
        </w:rPr>
        <w:t>3</w:t>
      </w:r>
      <w:r>
        <w:rPr>
          <w:rFonts w:ascii="Times New Roman" w:eastAsia="仿宋"/>
          <w:sz w:val="28"/>
          <w:szCs w:val="28"/>
        </w:rPr>
        <w:t>0万平方米产品需要使用油性漆进行喷涂。</w:t>
      </w:r>
    </w:p>
    <w:p w14:paraId="53284CE1">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2、满足市场需求</w:t>
      </w:r>
    </w:p>
    <w:p w14:paraId="5574229C">
      <w:pPr>
        <w:spacing w:line="500" w:lineRule="exact"/>
        <w:ind w:firstLine="560" w:firstLineChars="200"/>
        <w:rPr>
          <w:rFonts w:ascii="Times New Roman" w:eastAsia="仿宋"/>
          <w:sz w:val="28"/>
          <w:szCs w:val="28"/>
        </w:rPr>
      </w:pPr>
      <w:r>
        <w:rPr>
          <w:rFonts w:ascii="Times New Roman" w:eastAsia="仿宋"/>
          <w:sz w:val="28"/>
          <w:szCs w:val="28"/>
        </w:rPr>
        <w:t>常州市一直以来被称为“制造之都”，全市拥有37个工业大类、工业企业超6万家，产业覆盖度全国领先，在全国先进制造业城市中列第16位。以新能源汽车及汽车核心零部件、高端装备、新材料为核心的十大先进制造业集群已成为“常州智造”产业名片。近年来，常州在新能源领域具有较强的产业基础和技术实力，已经形成了以动力电池、新能源汽车、光伏等为代表的一批行业领军企业。同时，常州还在不断加大对新能源产业的投入和扶持力度，推动新能源产业链的完善和发展。</w:t>
      </w:r>
    </w:p>
    <w:p w14:paraId="7645E0AB">
      <w:pPr>
        <w:spacing w:line="500" w:lineRule="exact"/>
        <w:ind w:firstLine="560" w:firstLineChars="200"/>
        <w:rPr>
          <w:rFonts w:ascii="Times New Roman" w:eastAsia="仿宋"/>
          <w:sz w:val="28"/>
          <w:szCs w:val="28"/>
        </w:rPr>
      </w:pPr>
      <w:r>
        <w:rPr>
          <w:rFonts w:ascii="Times New Roman" w:eastAsia="仿宋"/>
          <w:sz w:val="28"/>
          <w:szCs w:val="28"/>
        </w:rPr>
        <w:t>本项目产品主要应用于新能源汽车行业，随着常州市新能源产业发展，市场需求将逐年增大。</w:t>
      </w:r>
    </w:p>
    <w:p w14:paraId="07F8BE9D">
      <w:pPr>
        <w:spacing w:line="500" w:lineRule="exact"/>
        <w:ind w:firstLine="560" w:firstLineChars="200"/>
        <w:rPr>
          <w:rFonts w:ascii="Times New Roman" w:eastAsia="仿宋"/>
          <w:sz w:val="28"/>
          <w:szCs w:val="28"/>
        </w:rPr>
      </w:pPr>
      <w:r>
        <w:rPr>
          <w:rFonts w:hint="eastAsia" w:ascii="Times New Roman" w:eastAsia="仿宋"/>
          <w:sz w:val="28"/>
          <w:szCs w:val="28"/>
        </w:rPr>
        <w:t>3、产品先进性分析</w:t>
      </w:r>
    </w:p>
    <w:p w14:paraId="046C06F6">
      <w:pPr>
        <w:spacing w:line="500" w:lineRule="exact"/>
        <w:ind w:firstLine="560" w:firstLineChars="200"/>
        <w:rPr>
          <w:rFonts w:ascii="Times New Roman" w:eastAsia="仿宋"/>
          <w:sz w:val="28"/>
          <w:szCs w:val="28"/>
        </w:rPr>
      </w:pPr>
      <w:r>
        <w:rPr>
          <w:rFonts w:hint="eastAsia" w:ascii="Times New Roman" w:eastAsia="仿宋"/>
          <w:sz w:val="28"/>
          <w:szCs w:val="28"/>
        </w:rPr>
        <w:t>为减缓全球气候变暖进程，减少温室气体排放，汽车作为碳排放的主要载体之一，加速推动汽车电气化进程有助于实现低碳经济，在此背景下，新能源汽车产业驶入高速发展车道，汽车低碳化发展是大势所趋，“里程焦虑”是制约新能源汽车发展的重要因素之一，而汽车轻量化是快速提升汽车续航能力的最有效途径。</w:t>
      </w:r>
    </w:p>
    <w:p w14:paraId="2001D716">
      <w:pPr>
        <w:spacing w:line="500" w:lineRule="exact"/>
        <w:ind w:firstLine="560" w:firstLineChars="200"/>
        <w:rPr>
          <w:rFonts w:ascii="Times New Roman" w:eastAsia="仿宋"/>
          <w:sz w:val="28"/>
          <w:szCs w:val="28"/>
        </w:rPr>
      </w:pPr>
      <w:r>
        <w:rPr>
          <w:rFonts w:hint="eastAsia" w:ascii="Times New Roman" w:eastAsia="仿宋"/>
          <w:sz w:val="28"/>
          <w:szCs w:val="28"/>
        </w:rPr>
        <w:t>汽车轻量化是目前汽车行业的发展方向，而铝材比重仅为钢材的三分之一，出于降低能耗、增加续航的考虑，铝合金已经成为了一种比较理想的轻量化材料，铝合金还可以按照添加合金的不同和比例的不同以及制造工艺的区别，应用在汽车车门、汽车引擎盖、以及汽车前后翼子板等部位。汽车用铝板具有质量轻，强度高，拉伸性能好，抗腐蚀，节油、减排、安全、提升性能等优点，将铝板应用在汽车轻量化中有如下优势：</w:t>
      </w:r>
    </w:p>
    <w:p w14:paraId="45DC18FE">
      <w:pPr>
        <w:spacing w:line="500" w:lineRule="exact"/>
        <w:ind w:firstLine="560" w:firstLineChars="200"/>
        <w:rPr>
          <w:rFonts w:ascii="Times New Roman" w:eastAsia="仿宋"/>
          <w:sz w:val="28"/>
          <w:szCs w:val="28"/>
        </w:rPr>
      </w:pPr>
      <w:r>
        <w:rPr>
          <w:rFonts w:hint="eastAsia" w:ascii="Times New Roman" w:eastAsia="仿宋"/>
          <w:sz w:val="28"/>
          <w:szCs w:val="28"/>
        </w:rPr>
        <w:t>（1）减重和节能效果较明显：铝其密度低，质量轻，具有较好的导热性能和机加工性能；</w:t>
      </w:r>
    </w:p>
    <w:p w14:paraId="038EE95F">
      <w:pPr>
        <w:spacing w:line="500" w:lineRule="exact"/>
        <w:ind w:firstLine="560" w:firstLineChars="200"/>
        <w:rPr>
          <w:rFonts w:ascii="Times New Roman" w:eastAsia="仿宋"/>
          <w:sz w:val="28"/>
          <w:szCs w:val="28"/>
        </w:rPr>
      </w:pPr>
      <w:r>
        <w:rPr>
          <w:rFonts w:hint="eastAsia" w:ascii="Times New Roman" w:eastAsia="仿宋"/>
          <w:sz w:val="28"/>
          <w:szCs w:val="28"/>
        </w:rPr>
        <w:t>（2）耐腐蚀性能优良：铝具有较好的耐腐蚀性能，经久耐用，耐久性能好；</w:t>
      </w:r>
    </w:p>
    <w:p w14:paraId="7F5C8141">
      <w:pPr>
        <w:spacing w:line="500" w:lineRule="exact"/>
        <w:ind w:firstLine="560" w:firstLineChars="200"/>
        <w:rPr>
          <w:rFonts w:ascii="Times New Roman" w:eastAsia="仿宋"/>
          <w:sz w:val="28"/>
          <w:szCs w:val="28"/>
        </w:rPr>
      </w:pPr>
      <w:r>
        <w:rPr>
          <w:rFonts w:hint="eastAsia" w:ascii="Times New Roman" w:eastAsia="仿宋"/>
          <w:sz w:val="28"/>
          <w:szCs w:val="28"/>
        </w:rPr>
        <w:t>（3）安全及舒适性能好：铝质轻，能更好减轻汽车自重，其行驶更加稳定、舒适；</w:t>
      </w:r>
    </w:p>
    <w:p w14:paraId="5677B4B1">
      <w:pPr>
        <w:spacing w:line="500" w:lineRule="exact"/>
        <w:ind w:firstLine="560" w:firstLineChars="200"/>
        <w:rPr>
          <w:rFonts w:ascii="Times New Roman" w:eastAsia="仿宋"/>
          <w:sz w:val="28"/>
          <w:szCs w:val="28"/>
        </w:rPr>
      </w:pPr>
      <w:r>
        <w:rPr>
          <w:rFonts w:hint="eastAsia" w:ascii="Times New Roman" w:eastAsia="仿宋"/>
          <w:sz w:val="28"/>
          <w:szCs w:val="28"/>
        </w:rPr>
        <w:t>（5）可回收再利用率高：铝是一种可持续发展的材料，其回收率非常高，具有良好的可回收性，促进可再生金属反复循环利用。</w:t>
      </w:r>
    </w:p>
    <w:p w14:paraId="5A9D3383">
      <w:pPr>
        <w:spacing w:line="500" w:lineRule="exact"/>
        <w:ind w:firstLine="560" w:firstLineChars="200"/>
        <w:rPr>
          <w:rFonts w:ascii="Times New Roman" w:eastAsia="仿宋"/>
          <w:sz w:val="28"/>
          <w:szCs w:val="28"/>
        </w:rPr>
      </w:pPr>
      <w:r>
        <w:rPr>
          <w:rFonts w:hint="eastAsia" w:ascii="Times New Roman" w:eastAsia="仿宋"/>
          <w:sz w:val="28"/>
          <w:szCs w:val="28"/>
        </w:rPr>
        <w:t>本项目产品为新能源汽车铝制板，主要应用于新能源汽车车门、顶板以及汽车前后翼子板等部位，具有质量轻、耐腐蚀性高、强度高、性能稳定的特点，可更好减轻汽车自重，使行驶更加稳定、舒适、安全。</w:t>
      </w:r>
    </w:p>
    <w:p w14:paraId="0CEA7E45">
      <w:pPr>
        <w:autoSpaceDE w:val="0"/>
        <w:autoSpaceDN w:val="0"/>
        <w:adjustRightInd w:val="0"/>
        <w:spacing w:line="500" w:lineRule="exact"/>
        <w:ind w:firstLine="560" w:firstLineChars="200"/>
        <w:rPr>
          <w:rFonts w:ascii="Times New Roman" w:eastAsia="仿宋"/>
          <w:sz w:val="28"/>
          <w:szCs w:val="28"/>
        </w:rPr>
      </w:pPr>
      <w:r>
        <w:rPr>
          <w:rFonts w:ascii="Times New Roman" w:eastAsia="仿宋"/>
          <w:sz w:val="28"/>
          <w:szCs w:val="28"/>
        </w:rPr>
        <w:t>基于上述背景，</w:t>
      </w:r>
      <w:r>
        <w:rPr>
          <w:rFonts w:hint="eastAsia" w:ascii="Times New Roman" w:eastAsia="仿宋"/>
          <w:sz w:val="28"/>
          <w:szCs w:val="28"/>
        </w:rPr>
        <w:t>企业拟</w:t>
      </w:r>
      <w:r>
        <w:rPr>
          <w:rFonts w:ascii="Times New Roman" w:eastAsia="仿宋"/>
          <w:sz w:val="28"/>
          <w:szCs w:val="28"/>
        </w:rPr>
        <w:t>投资</w:t>
      </w:r>
      <w:r>
        <w:rPr>
          <w:rFonts w:hint="eastAsia" w:ascii="Times New Roman" w:eastAsia="仿宋"/>
          <w:sz w:val="28"/>
          <w:szCs w:val="28"/>
        </w:rPr>
        <w:t>3</w:t>
      </w:r>
      <w:r>
        <w:rPr>
          <w:rFonts w:ascii="Times New Roman" w:eastAsia="仿宋"/>
          <w:sz w:val="28"/>
          <w:szCs w:val="28"/>
        </w:rPr>
        <w:t>0000万元</w:t>
      </w:r>
      <w:r>
        <w:rPr>
          <w:rFonts w:hint="eastAsia" w:ascii="Times New Roman" w:eastAsia="仿宋"/>
          <w:sz w:val="28"/>
          <w:szCs w:val="28"/>
        </w:rPr>
        <w:t>建设“</w:t>
      </w:r>
      <w:r>
        <w:rPr>
          <w:rFonts w:ascii="Times New Roman" w:eastAsia="仿宋"/>
          <w:sz w:val="28"/>
          <w:szCs w:val="28"/>
        </w:rPr>
        <w:t>年产</w:t>
      </w:r>
      <w:r>
        <w:rPr>
          <w:rFonts w:hint="eastAsia" w:ascii="Times New Roman" w:eastAsia="仿宋"/>
          <w:sz w:val="28"/>
          <w:szCs w:val="28"/>
        </w:rPr>
        <w:t>新能源汽车铝单板80万平方米项目”</w:t>
      </w:r>
      <w:r>
        <w:rPr>
          <w:rFonts w:ascii="Times New Roman" w:eastAsia="仿宋"/>
          <w:sz w:val="28"/>
          <w:szCs w:val="28"/>
        </w:rPr>
        <w:t>，</w:t>
      </w:r>
      <w:r>
        <w:rPr>
          <w:rFonts w:ascii="Times New Roman" w:eastAsia="仿宋"/>
          <w:bCs/>
          <w:sz w:val="28"/>
          <w:szCs w:val="28"/>
        </w:rPr>
        <w:t>利用现有厂房16557.02平方米，</w:t>
      </w:r>
      <w:r>
        <w:rPr>
          <w:rFonts w:hint="eastAsia" w:ascii="Times New Roman" w:eastAsia="仿宋"/>
          <w:bCs/>
          <w:sz w:val="28"/>
          <w:szCs w:val="28"/>
        </w:rPr>
        <w:t>购置剪板机、雕刻机、喷涂线、表面处理线等设备，本项目建成后全厂形成年产</w:t>
      </w:r>
      <w:r>
        <w:rPr>
          <w:rFonts w:ascii="Times New Roman" w:eastAsia="仿宋"/>
          <w:bCs/>
          <w:sz w:val="28"/>
          <w:szCs w:val="28"/>
        </w:rPr>
        <w:t>80</w:t>
      </w:r>
      <w:r>
        <w:rPr>
          <w:rFonts w:hint="eastAsia" w:ascii="Times New Roman" w:eastAsia="仿宋"/>
          <w:bCs/>
          <w:sz w:val="28"/>
          <w:szCs w:val="28"/>
        </w:rPr>
        <w:t>万平方米新能源汽车铝制板的生产能力。</w:t>
      </w:r>
    </w:p>
    <w:p w14:paraId="623002B5">
      <w:pPr>
        <w:spacing w:line="500" w:lineRule="exact"/>
        <w:ind w:firstLine="560" w:firstLineChars="200"/>
        <w:rPr>
          <w:rFonts w:ascii="Times New Roman" w:eastAsia="仿宋"/>
          <w:sz w:val="28"/>
          <w:szCs w:val="28"/>
        </w:rPr>
      </w:pPr>
      <w:r>
        <w:rPr>
          <w:rFonts w:ascii="Times New Roman" w:eastAsia="仿宋"/>
          <w:sz w:val="28"/>
          <w:szCs w:val="28"/>
        </w:rPr>
        <w:t>本项目已取得常州市金坛区发展和改革局的备案（坛发改备[202</w:t>
      </w:r>
      <w:r>
        <w:rPr>
          <w:rFonts w:hint="eastAsia" w:ascii="Times New Roman" w:eastAsia="仿宋"/>
          <w:sz w:val="28"/>
          <w:szCs w:val="28"/>
        </w:rPr>
        <w:t>4</w:t>
      </w:r>
      <w:r>
        <w:rPr>
          <w:rFonts w:ascii="Times New Roman" w:eastAsia="仿宋"/>
          <w:sz w:val="28"/>
          <w:szCs w:val="28"/>
        </w:rPr>
        <w:t>]</w:t>
      </w:r>
      <w:r>
        <w:rPr>
          <w:rFonts w:hint="eastAsia" w:ascii="Times New Roman" w:eastAsia="仿宋"/>
          <w:sz w:val="28"/>
          <w:szCs w:val="28"/>
        </w:rPr>
        <w:t>481</w:t>
      </w:r>
      <w:r>
        <w:rPr>
          <w:rFonts w:ascii="Times New Roman" w:eastAsia="仿宋"/>
          <w:sz w:val="28"/>
          <w:szCs w:val="28"/>
        </w:rPr>
        <w:t>号）。</w:t>
      </w:r>
    </w:p>
    <w:p w14:paraId="7335702E">
      <w:pPr>
        <w:spacing w:line="500" w:lineRule="exact"/>
        <w:ind w:firstLine="560" w:firstLineChars="200"/>
        <w:rPr>
          <w:rFonts w:ascii="Times New Roman" w:eastAsia="仿宋"/>
          <w:sz w:val="28"/>
          <w:szCs w:val="28"/>
        </w:rPr>
      </w:pPr>
      <w:r>
        <w:rPr>
          <w:rFonts w:ascii="Times New Roman" w:eastAsia="仿宋"/>
          <w:sz w:val="28"/>
          <w:szCs w:val="28"/>
        </w:rPr>
        <w:t>综上所述，本项目建设并投入运行后可以满足新能源汽车行业市场需求，具有较好的节能性，同时可实现较好的经济效益，其建设非常必要。</w:t>
      </w:r>
    </w:p>
    <w:p w14:paraId="22CC8D5C">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.5产品方案</w:t>
      </w:r>
    </w:p>
    <w:p w14:paraId="38975024">
      <w:pPr>
        <w:spacing w:line="500" w:lineRule="exact"/>
        <w:ind w:firstLine="840" w:firstLineChars="300"/>
        <w:rPr>
          <w:rFonts w:ascii="Times New Roman" w:eastAsia="仿宋"/>
          <w:sz w:val="28"/>
          <w:szCs w:val="28"/>
        </w:rPr>
      </w:pPr>
      <w:r>
        <w:rPr>
          <w:rFonts w:ascii="Times New Roman" w:eastAsia="仿宋"/>
          <w:sz w:val="28"/>
          <w:szCs w:val="28"/>
        </w:rPr>
        <w:t>本项目产品方案见表3.1-3。</w:t>
      </w:r>
    </w:p>
    <w:p w14:paraId="583C66C3">
      <w:pPr>
        <w:pStyle w:val="168"/>
        <w:ind w:firstLine="0" w:firstLineChars="0"/>
        <w:rPr>
          <w:rFonts w:ascii="Times New Roman" w:eastAsia="仿宋"/>
        </w:rPr>
      </w:pPr>
      <w:bookmarkStart w:id="215" w:name="_Ref369255786"/>
      <w:r>
        <w:rPr>
          <w:rFonts w:ascii="Times New Roman" w:eastAsia="仿宋"/>
        </w:rPr>
        <w:t>表</w:t>
      </w:r>
      <w:bookmarkEnd w:id="215"/>
      <w:r>
        <w:rPr>
          <w:rFonts w:ascii="Times New Roman" w:eastAsia="仿宋"/>
        </w:rPr>
        <w:t>3.1-3  本项目产品</w:t>
      </w:r>
      <w:bookmarkStart w:id="216" w:name="_Hlt80433869"/>
      <w:bookmarkEnd w:id="216"/>
      <w:r>
        <w:rPr>
          <w:rFonts w:ascii="Times New Roman" w:eastAsia="仿宋"/>
        </w:rPr>
        <w:t>方案表</w:t>
      </w:r>
    </w:p>
    <w:tbl>
      <w:tblPr>
        <w:tblStyle w:val="87"/>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2079"/>
        <w:gridCol w:w="1454"/>
        <w:gridCol w:w="1598"/>
        <w:gridCol w:w="1300"/>
        <w:gridCol w:w="976"/>
      </w:tblGrid>
      <w:tr w14:paraId="7BD3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796" w:type="pct"/>
            <w:vAlign w:val="center"/>
          </w:tcPr>
          <w:p w14:paraId="4B7F4F96">
            <w:pPr>
              <w:jc w:val="center"/>
              <w:rPr>
                <w:rFonts w:ascii="Times New Roman" w:eastAsia="仿宋"/>
                <w:szCs w:val="21"/>
              </w:rPr>
            </w:pPr>
            <w:r>
              <w:rPr>
                <w:rFonts w:ascii="Times New Roman" w:eastAsia="仿宋"/>
                <w:szCs w:val="21"/>
              </w:rPr>
              <w:t>工程名称</w:t>
            </w:r>
          </w:p>
        </w:tc>
        <w:tc>
          <w:tcPr>
            <w:tcW w:w="2005" w:type="pct"/>
            <w:gridSpan w:val="2"/>
            <w:vAlign w:val="center"/>
          </w:tcPr>
          <w:p w14:paraId="7C382C08">
            <w:pPr>
              <w:jc w:val="center"/>
              <w:rPr>
                <w:rFonts w:ascii="Times New Roman" w:eastAsia="仿宋"/>
                <w:szCs w:val="21"/>
              </w:rPr>
            </w:pPr>
            <w:r>
              <w:rPr>
                <w:rFonts w:ascii="Times New Roman" w:eastAsia="仿宋"/>
                <w:szCs w:val="21"/>
              </w:rPr>
              <w:t>产品名称及规格</w:t>
            </w:r>
          </w:p>
        </w:tc>
        <w:tc>
          <w:tcPr>
            <w:tcW w:w="1645" w:type="pct"/>
            <w:gridSpan w:val="2"/>
            <w:vAlign w:val="center"/>
          </w:tcPr>
          <w:p w14:paraId="344E92D2">
            <w:pPr>
              <w:jc w:val="center"/>
              <w:rPr>
                <w:rFonts w:ascii="Times New Roman" w:eastAsia="仿宋"/>
                <w:szCs w:val="21"/>
              </w:rPr>
            </w:pPr>
            <w:r>
              <w:rPr>
                <w:rFonts w:ascii="Times New Roman" w:eastAsia="仿宋"/>
                <w:szCs w:val="21"/>
              </w:rPr>
              <w:t>设计能力</w:t>
            </w:r>
            <w:r>
              <w:rPr>
                <w:rFonts w:hint="eastAsia" w:ascii="Times New Roman" w:eastAsia="仿宋"/>
                <w:szCs w:val="21"/>
              </w:rPr>
              <w:t>（万平方米/年）</w:t>
            </w:r>
          </w:p>
        </w:tc>
        <w:tc>
          <w:tcPr>
            <w:tcW w:w="554" w:type="pct"/>
            <w:vAlign w:val="center"/>
          </w:tcPr>
          <w:p w14:paraId="42822078">
            <w:pPr>
              <w:jc w:val="center"/>
              <w:rPr>
                <w:rFonts w:ascii="Times New Roman" w:eastAsia="仿宋"/>
                <w:szCs w:val="21"/>
              </w:rPr>
            </w:pPr>
            <w:r>
              <w:rPr>
                <w:rFonts w:ascii="Times New Roman" w:eastAsia="仿宋"/>
                <w:szCs w:val="21"/>
              </w:rPr>
              <w:t>年运行时数</w:t>
            </w:r>
          </w:p>
        </w:tc>
      </w:tr>
      <w:tr w14:paraId="1CE2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96" w:type="pct"/>
            <w:vMerge w:val="restart"/>
            <w:vAlign w:val="center"/>
          </w:tcPr>
          <w:p w14:paraId="4FA1BB88">
            <w:pPr>
              <w:jc w:val="center"/>
              <w:rPr>
                <w:rFonts w:ascii="Times New Roman" w:eastAsia="仿宋"/>
                <w:bCs/>
                <w:szCs w:val="21"/>
              </w:rPr>
            </w:pPr>
            <w:r>
              <w:rPr>
                <w:rFonts w:ascii="Times New Roman" w:eastAsia="仿宋"/>
                <w:bCs/>
                <w:szCs w:val="21"/>
              </w:rPr>
              <w:t>新能源汽车铝制板生产线</w:t>
            </w:r>
          </w:p>
        </w:tc>
        <w:tc>
          <w:tcPr>
            <w:tcW w:w="1180" w:type="pct"/>
            <w:vMerge w:val="restart"/>
            <w:vAlign w:val="center"/>
          </w:tcPr>
          <w:p w14:paraId="0CB6CAFD">
            <w:pPr>
              <w:jc w:val="center"/>
              <w:rPr>
                <w:rFonts w:ascii="Times New Roman" w:eastAsia="仿宋"/>
                <w:bCs/>
                <w:szCs w:val="21"/>
              </w:rPr>
            </w:pPr>
            <w:r>
              <w:rPr>
                <w:rFonts w:ascii="Times New Roman" w:eastAsia="仿宋"/>
                <w:bCs/>
                <w:szCs w:val="21"/>
              </w:rPr>
              <w:t>新能源汽车铝制板</w:t>
            </w:r>
          </w:p>
        </w:tc>
        <w:tc>
          <w:tcPr>
            <w:tcW w:w="825" w:type="pct"/>
            <w:vAlign w:val="center"/>
          </w:tcPr>
          <w:p w14:paraId="129AE43A">
            <w:pPr>
              <w:jc w:val="center"/>
              <w:rPr>
                <w:rFonts w:ascii="Times New Roman" w:eastAsia="仿宋"/>
                <w:bCs/>
                <w:szCs w:val="21"/>
              </w:rPr>
            </w:pPr>
            <w:r>
              <w:rPr>
                <w:rFonts w:hint="eastAsia" w:ascii="Times New Roman" w:eastAsia="仿宋"/>
                <w:bCs/>
                <w:szCs w:val="21"/>
              </w:rPr>
              <w:t>喷漆</w:t>
            </w:r>
          </w:p>
        </w:tc>
        <w:tc>
          <w:tcPr>
            <w:tcW w:w="907" w:type="pct"/>
            <w:vAlign w:val="center"/>
          </w:tcPr>
          <w:p w14:paraId="28CD4F36">
            <w:pPr>
              <w:jc w:val="center"/>
              <w:rPr>
                <w:rFonts w:ascii="Times New Roman" w:eastAsia="仿宋"/>
                <w:bCs/>
                <w:szCs w:val="21"/>
              </w:rPr>
            </w:pPr>
            <w:r>
              <w:rPr>
                <w:rFonts w:hint="eastAsia" w:ascii="Times New Roman" w:eastAsia="仿宋"/>
                <w:bCs/>
                <w:szCs w:val="21"/>
              </w:rPr>
              <w:t>30</w:t>
            </w:r>
          </w:p>
        </w:tc>
        <w:tc>
          <w:tcPr>
            <w:tcW w:w="738" w:type="pct"/>
            <w:vMerge w:val="restart"/>
            <w:vAlign w:val="center"/>
          </w:tcPr>
          <w:p w14:paraId="24C48B8B">
            <w:pPr>
              <w:jc w:val="center"/>
              <w:rPr>
                <w:rFonts w:ascii="Times New Roman" w:eastAsia="仿宋"/>
                <w:bCs/>
                <w:szCs w:val="21"/>
              </w:rPr>
            </w:pPr>
            <w:r>
              <w:rPr>
                <w:rFonts w:hint="eastAsia" w:ascii="Times New Roman" w:eastAsia="仿宋"/>
                <w:bCs/>
                <w:szCs w:val="21"/>
              </w:rPr>
              <w:t>8</w:t>
            </w:r>
            <w:r>
              <w:rPr>
                <w:rFonts w:ascii="Times New Roman" w:eastAsia="仿宋"/>
                <w:bCs/>
                <w:szCs w:val="21"/>
              </w:rPr>
              <w:t>0</w:t>
            </w:r>
          </w:p>
        </w:tc>
        <w:tc>
          <w:tcPr>
            <w:tcW w:w="554" w:type="pct"/>
            <w:vMerge w:val="restart"/>
            <w:vAlign w:val="center"/>
          </w:tcPr>
          <w:p w14:paraId="5C3C57A8">
            <w:pPr>
              <w:jc w:val="center"/>
              <w:rPr>
                <w:rFonts w:ascii="Times New Roman" w:eastAsia="仿宋"/>
                <w:bCs/>
                <w:szCs w:val="21"/>
              </w:rPr>
            </w:pPr>
            <w:r>
              <w:rPr>
                <w:rFonts w:ascii="Times New Roman" w:eastAsia="仿宋"/>
                <w:bCs/>
                <w:szCs w:val="21"/>
              </w:rPr>
              <w:t>4800h</w:t>
            </w:r>
          </w:p>
        </w:tc>
      </w:tr>
      <w:tr w14:paraId="4364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6" w:type="pct"/>
            <w:vMerge w:val="continue"/>
            <w:vAlign w:val="center"/>
          </w:tcPr>
          <w:p w14:paraId="35096A8E">
            <w:pPr>
              <w:jc w:val="center"/>
            </w:pPr>
          </w:p>
        </w:tc>
        <w:tc>
          <w:tcPr>
            <w:tcW w:w="1180" w:type="pct"/>
            <w:vMerge w:val="continue"/>
            <w:vAlign w:val="center"/>
          </w:tcPr>
          <w:p w14:paraId="1D59BC5C">
            <w:pPr>
              <w:jc w:val="center"/>
            </w:pPr>
          </w:p>
        </w:tc>
        <w:tc>
          <w:tcPr>
            <w:tcW w:w="825" w:type="pct"/>
            <w:vAlign w:val="center"/>
          </w:tcPr>
          <w:p w14:paraId="3E7EF60A">
            <w:pPr>
              <w:jc w:val="center"/>
              <w:rPr>
                <w:rFonts w:ascii="Times New Roman" w:eastAsia="仿宋"/>
                <w:bCs/>
                <w:szCs w:val="21"/>
              </w:rPr>
            </w:pPr>
            <w:r>
              <w:rPr>
                <w:rFonts w:hint="eastAsia" w:ascii="Times New Roman" w:eastAsia="仿宋"/>
                <w:bCs/>
                <w:szCs w:val="21"/>
              </w:rPr>
              <w:t>喷粉</w:t>
            </w:r>
          </w:p>
        </w:tc>
        <w:tc>
          <w:tcPr>
            <w:tcW w:w="907" w:type="pct"/>
            <w:vAlign w:val="center"/>
          </w:tcPr>
          <w:p w14:paraId="0E98B359">
            <w:pPr>
              <w:jc w:val="center"/>
              <w:rPr>
                <w:rFonts w:ascii="Times New Roman" w:eastAsia="仿宋"/>
                <w:bCs/>
                <w:szCs w:val="21"/>
              </w:rPr>
            </w:pPr>
            <w:r>
              <w:rPr>
                <w:rFonts w:hint="eastAsia" w:ascii="Times New Roman" w:eastAsia="仿宋"/>
                <w:bCs/>
                <w:szCs w:val="21"/>
              </w:rPr>
              <w:t>50</w:t>
            </w:r>
          </w:p>
        </w:tc>
        <w:tc>
          <w:tcPr>
            <w:tcW w:w="738" w:type="pct"/>
            <w:vMerge w:val="continue"/>
            <w:vAlign w:val="center"/>
          </w:tcPr>
          <w:p w14:paraId="207DB8A3">
            <w:pPr>
              <w:jc w:val="center"/>
              <w:rPr>
                <w:rFonts w:ascii="Times New Roman" w:eastAsia="仿宋"/>
                <w:bCs/>
                <w:szCs w:val="21"/>
              </w:rPr>
            </w:pPr>
          </w:p>
        </w:tc>
        <w:tc>
          <w:tcPr>
            <w:tcW w:w="554" w:type="pct"/>
            <w:vMerge w:val="continue"/>
            <w:vAlign w:val="center"/>
          </w:tcPr>
          <w:p w14:paraId="21A28BF7">
            <w:pPr>
              <w:jc w:val="center"/>
              <w:rPr>
                <w:rFonts w:ascii="Times New Roman" w:eastAsia="仿宋"/>
                <w:bCs/>
                <w:szCs w:val="21"/>
              </w:rPr>
            </w:pPr>
          </w:p>
        </w:tc>
      </w:tr>
    </w:tbl>
    <w:p w14:paraId="55B92EC7">
      <w:pPr>
        <w:ind w:firstLine="480" w:firstLineChars="200"/>
        <w:jc w:val="left"/>
        <w:rPr>
          <w:rFonts w:ascii="Times New Roman" w:eastAsia="仿宋"/>
          <w:bCs/>
          <w:szCs w:val="24"/>
        </w:rPr>
      </w:pPr>
      <w:r>
        <w:rPr>
          <w:rFonts w:ascii="Times New Roman" w:eastAsia="仿宋"/>
          <w:bCs/>
          <w:szCs w:val="24"/>
        </w:rPr>
        <w:t>本项目板材根据厚度分为不同规格，</w:t>
      </w:r>
      <w:r>
        <w:rPr>
          <w:rFonts w:hint="eastAsia" w:ascii="Times New Roman" w:eastAsia="仿宋"/>
          <w:bCs/>
          <w:szCs w:val="24"/>
        </w:rPr>
        <w:t>根据企业提供资料，单位面积产品平均重量约为6.25kg，则80万m</w:t>
      </w:r>
      <w:r>
        <w:rPr>
          <w:rFonts w:hint="eastAsia" w:ascii="Times New Roman" w:eastAsia="仿宋"/>
          <w:bCs/>
          <w:szCs w:val="24"/>
          <w:vertAlign w:val="superscript"/>
        </w:rPr>
        <w:t>2</w:t>
      </w:r>
      <w:r>
        <w:rPr>
          <w:rFonts w:hint="eastAsia" w:ascii="Times New Roman" w:eastAsia="仿宋"/>
          <w:bCs/>
          <w:szCs w:val="24"/>
        </w:rPr>
        <w:t>铝制板产品核算重量为5000t。本项目产品双面喷涂。</w:t>
      </w:r>
    </w:p>
    <w:p w14:paraId="79E5527A">
      <w:pPr>
        <w:spacing w:line="500" w:lineRule="exact"/>
        <w:ind w:firstLine="560" w:firstLineChars="200"/>
        <w:rPr>
          <w:rFonts w:ascii="Times New Roman" w:eastAsia="仿宋"/>
          <w:sz w:val="28"/>
          <w:szCs w:val="28"/>
        </w:rPr>
      </w:pPr>
      <w:r>
        <w:rPr>
          <w:rFonts w:hint="eastAsia" w:ascii="Times New Roman" w:eastAsia="仿宋"/>
          <w:sz w:val="28"/>
          <w:szCs w:val="28"/>
        </w:rPr>
        <w:t>本项目产品为新能源汽车铝制板，主要应用于新能源汽车行业，作为汽车配件。本项目产品主要应用于新能源汽车车门、顶板以及汽车前后翼子板等部位，铝板具有质量轻、耐腐蚀性高、强度高、性能稳定的特点，可更好减轻汽车自重，使行驶更加稳定、舒适、安全。</w:t>
      </w:r>
    </w:p>
    <w:p w14:paraId="1011F391">
      <w:pPr>
        <w:pStyle w:val="2"/>
      </w:pPr>
    </w:p>
    <w:p w14:paraId="601DE2ED">
      <w:pPr>
        <w:pStyle w:val="2"/>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486"/>
      </w:tblGrid>
      <w:tr w14:paraId="36D1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2C0FA51C">
            <w:pPr>
              <w:pStyle w:val="2"/>
              <w:ind w:firstLine="0"/>
              <w:jc w:val="center"/>
            </w:pPr>
            <w:r>
              <w:rPr>
                <w:rFonts w:hint="eastAsia" w:eastAsia="仿宋"/>
                <w:sz w:val="28"/>
                <w:szCs w:val="28"/>
              </w:rPr>
              <w:drawing>
                <wp:inline distT="0" distB="0" distL="114300" distR="114300">
                  <wp:extent cx="2250440" cy="1778000"/>
                  <wp:effectExtent l="0" t="0" r="0" b="0"/>
                  <wp:docPr id="11" name="图片 11" descr="a64435056cc96d5cd21cc684281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4435056cc96d5cd21cc6842815801"/>
                          <pic:cNvPicPr>
                            <a:picLocks noChangeAspect="1"/>
                          </pic:cNvPicPr>
                        </pic:nvPicPr>
                        <pic:blipFill>
                          <a:blip r:embed="rId40"/>
                          <a:srcRect r="-661" b="22450"/>
                          <a:stretch>
                            <a:fillRect/>
                          </a:stretch>
                        </pic:blipFill>
                        <pic:spPr>
                          <a:xfrm>
                            <a:off x="0" y="0"/>
                            <a:ext cx="2258240" cy="1783739"/>
                          </a:xfrm>
                          <a:prstGeom prst="rect">
                            <a:avLst/>
                          </a:prstGeom>
                        </pic:spPr>
                      </pic:pic>
                    </a:graphicData>
                  </a:graphic>
                </wp:inline>
              </w:drawing>
            </w:r>
          </w:p>
          <w:p w14:paraId="2C758FCF">
            <w:pPr>
              <w:ind w:firstLine="723" w:firstLineChars="300"/>
              <w:rPr>
                <w:rFonts w:ascii="Times New Roman" w:eastAsia="仿宋"/>
                <w:b/>
              </w:rPr>
            </w:pPr>
            <w:r>
              <w:rPr>
                <w:rFonts w:ascii="Times New Roman" w:eastAsia="仿宋"/>
                <w:b/>
              </w:rPr>
              <w:t>图3.1-1</w:t>
            </w:r>
            <w:r>
              <w:rPr>
                <w:rFonts w:hint="eastAsia" w:ascii="Times New Roman" w:eastAsia="仿宋"/>
                <w:b/>
              </w:rPr>
              <w:t xml:space="preserve">  本项目产品示意图</w:t>
            </w:r>
          </w:p>
          <w:p w14:paraId="0855AF90">
            <w:pPr>
              <w:pStyle w:val="2"/>
              <w:ind w:firstLine="0"/>
            </w:pPr>
            <w:r>
              <w:rPr>
                <w:rFonts w:hint="eastAsia" w:eastAsia="仿宋"/>
                <w:b/>
                <w:kern w:val="0"/>
                <w:sz w:val="24"/>
                <w:szCs w:val="20"/>
              </w:rPr>
              <w:t xml:space="preserve">（汽车门板 </w:t>
            </w:r>
            <w:r>
              <w:rPr>
                <w:rFonts w:eastAsia="仿宋"/>
                <w:b/>
                <w:kern w:val="0"/>
                <w:sz w:val="24"/>
                <w:szCs w:val="20"/>
              </w:rPr>
              <w:t xml:space="preserve"> </w:t>
            </w:r>
            <w:r>
              <w:rPr>
                <w:rFonts w:hint="eastAsia" w:eastAsia="仿宋"/>
                <w:b/>
                <w:kern w:val="0"/>
                <w:sz w:val="24"/>
                <w:szCs w:val="20"/>
              </w:rPr>
              <w:t>平均规格</w:t>
            </w:r>
            <w:r>
              <w:rPr>
                <w:rFonts w:eastAsia="仿宋"/>
                <w:b/>
                <w:kern w:val="0"/>
                <w:sz w:val="24"/>
                <w:szCs w:val="20"/>
              </w:rPr>
              <w:t>958*1350</w:t>
            </w:r>
            <w:r>
              <w:rPr>
                <w:rFonts w:hint="eastAsia" w:eastAsia="仿宋"/>
                <w:b/>
                <w:kern w:val="0"/>
                <w:sz w:val="24"/>
                <w:szCs w:val="20"/>
              </w:rPr>
              <w:t>mm）</w:t>
            </w:r>
          </w:p>
        </w:tc>
        <w:tc>
          <w:tcPr>
            <w:tcW w:w="4486" w:type="dxa"/>
          </w:tcPr>
          <w:p w14:paraId="70AB3E2D">
            <w:pPr>
              <w:pStyle w:val="2"/>
              <w:ind w:firstLine="0"/>
              <w:jc w:val="center"/>
            </w:pPr>
            <w:r>
              <w:drawing>
                <wp:inline distT="0" distB="0" distL="0" distR="0">
                  <wp:extent cx="2355850" cy="1800225"/>
                  <wp:effectExtent l="0" t="0" r="6350" b="0"/>
                  <wp:docPr id="8" name="图片 8" descr="C:\Users\ADMINI~1\AppData\Local\Temp\WeChat Files\9d238718662e81c8a57547bda95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9d238718662e81c8a57547bda9514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377331" cy="1816151"/>
                          </a:xfrm>
                          <a:prstGeom prst="rect">
                            <a:avLst/>
                          </a:prstGeom>
                          <a:noFill/>
                          <a:ln>
                            <a:noFill/>
                          </a:ln>
                        </pic:spPr>
                      </pic:pic>
                    </a:graphicData>
                  </a:graphic>
                </wp:inline>
              </w:drawing>
            </w:r>
          </w:p>
          <w:p w14:paraId="689CBF64">
            <w:pPr>
              <w:ind w:firstLine="723" w:firstLineChars="300"/>
              <w:rPr>
                <w:rFonts w:ascii="Times New Roman" w:eastAsia="仿宋"/>
                <w:b/>
              </w:rPr>
            </w:pPr>
            <w:r>
              <w:rPr>
                <w:rFonts w:ascii="Times New Roman" w:eastAsia="仿宋"/>
                <w:b/>
              </w:rPr>
              <w:t>图3.1-2</w:t>
            </w:r>
            <w:r>
              <w:rPr>
                <w:rFonts w:hint="eastAsia" w:ascii="Times New Roman" w:eastAsia="仿宋"/>
                <w:b/>
              </w:rPr>
              <w:t xml:space="preserve">  本项目产品示意图</w:t>
            </w:r>
          </w:p>
          <w:p w14:paraId="1DE0F5A6">
            <w:pPr>
              <w:pStyle w:val="2"/>
              <w:ind w:firstLine="0"/>
              <w:jc w:val="center"/>
            </w:pPr>
            <w:r>
              <w:rPr>
                <w:rFonts w:hint="eastAsia" w:eastAsia="仿宋"/>
                <w:b/>
                <w:kern w:val="0"/>
                <w:sz w:val="24"/>
                <w:szCs w:val="20"/>
              </w:rPr>
              <w:t xml:space="preserve">（汽车顶板 </w:t>
            </w:r>
            <w:r>
              <w:rPr>
                <w:rFonts w:eastAsia="仿宋"/>
                <w:b/>
                <w:kern w:val="0"/>
                <w:sz w:val="24"/>
                <w:szCs w:val="20"/>
              </w:rPr>
              <w:t xml:space="preserve"> </w:t>
            </w:r>
            <w:r>
              <w:rPr>
                <w:rFonts w:hint="eastAsia" w:eastAsia="仿宋"/>
                <w:b/>
                <w:kern w:val="0"/>
                <w:sz w:val="24"/>
                <w:szCs w:val="20"/>
              </w:rPr>
              <w:t>平均规格</w:t>
            </w:r>
            <w:r>
              <w:rPr>
                <w:rFonts w:eastAsia="仿宋"/>
                <w:b/>
                <w:kern w:val="0"/>
                <w:sz w:val="24"/>
                <w:szCs w:val="20"/>
              </w:rPr>
              <w:t>1200*1450</w:t>
            </w:r>
            <w:r>
              <w:rPr>
                <w:rFonts w:hint="eastAsia" w:eastAsia="仿宋"/>
                <w:b/>
                <w:kern w:val="0"/>
                <w:sz w:val="24"/>
                <w:szCs w:val="20"/>
              </w:rPr>
              <w:t>mm）</w:t>
            </w:r>
          </w:p>
        </w:tc>
      </w:tr>
    </w:tbl>
    <w:p w14:paraId="72CC9FC3">
      <w:pPr>
        <w:spacing w:line="500"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典型产品涂装</w:t>
      </w:r>
      <w:r>
        <w:rPr>
          <w:rFonts w:ascii="Times New Roman" w:eastAsia="仿宋"/>
          <w:sz w:val="28"/>
          <w:szCs w:val="28"/>
        </w:rPr>
        <w:t>参数如下：</w:t>
      </w:r>
    </w:p>
    <w:p w14:paraId="4821C700">
      <w:pPr>
        <w:spacing w:line="480" w:lineRule="exact"/>
        <w:ind w:firstLine="482" w:firstLineChars="200"/>
        <w:jc w:val="center"/>
        <w:rPr>
          <w:rFonts w:ascii="Times New Roman" w:eastAsia="仿宋"/>
          <w:b/>
        </w:rPr>
      </w:pPr>
      <w:r>
        <w:rPr>
          <w:rFonts w:ascii="Times New Roman" w:eastAsia="仿宋"/>
          <w:b/>
        </w:rPr>
        <w:t xml:space="preserve">表3.1-4  </w:t>
      </w:r>
      <w:r>
        <w:rPr>
          <w:rFonts w:hint="eastAsia" w:ascii="Times New Roman" w:eastAsia="仿宋"/>
          <w:b/>
        </w:rPr>
        <w:t>喷漆产能</w:t>
      </w:r>
      <w:r>
        <w:rPr>
          <w:rFonts w:ascii="Times New Roman" w:eastAsia="仿宋"/>
          <w:b/>
        </w:rPr>
        <w:t>汇总表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127"/>
        <w:gridCol w:w="1749"/>
        <w:gridCol w:w="1193"/>
        <w:gridCol w:w="1126"/>
        <w:gridCol w:w="1126"/>
      </w:tblGrid>
      <w:tr w14:paraId="4526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670E469">
            <w:pPr>
              <w:widowControl/>
              <w:jc w:val="center"/>
              <w:rPr>
                <w:rFonts w:ascii="Times New Roman" w:eastAsia="仿宋"/>
                <w:szCs w:val="21"/>
              </w:rPr>
            </w:pPr>
            <w:r>
              <w:rPr>
                <w:rFonts w:hint="eastAsia" w:ascii="Times New Roman" w:eastAsia="仿宋"/>
                <w:szCs w:val="21"/>
              </w:rPr>
              <w:t>产品名称</w:t>
            </w:r>
          </w:p>
        </w:tc>
        <w:tc>
          <w:tcPr>
            <w:tcW w:w="2127" w:type="dxa"/>
            <w:vAlign w:val="center"/>
          </w:tcPr>
          <w:p w14:paraId="7C1DBC39">
            <w:pPr>
              <w:widowControl/>
              <w:jc w:val="center"/>
              <w:rPr>
                <w:rFonts w:ascii="Times New Roman" w:eastAsia="仿宋"/>
                <w:szCs w:val="21"/>
              </w:rPr>
            </w:pPr>
            <w:r>
              <w:rPr>
                <w:rFonts w:hint="eastAsia" w:ascii="Times New Roman" w:eastAsia="仿宋"/>
                <w:szCs w:val="21"/>
              </w:rPr>
              <w:t>涂装面积</w:t>
            </w:r>
            <w:r>
              <w:rPr>
                <w:rFonts w:ascii="Times New Roman" w:eastAsia="仿宋"/>
                <w:szCs w:val="21"/>
              </w:rPr>
              <w:t>（m</w:t>
            </w:r>
            <w:r>
              <w:rPr>
                <w:rFonts w:ascii="Times New Roman" w:eastAsia="仿宋"/>
                <w:szCs w:val="21"/>
                <w:vertAlign w:val="superscript"/>
              </w:rPr>
              <w:t>2</w:t>
            </w:r>
            <w:r>
              <w:rPr>
                <w:rFonts w:ascii="Times New Roman" w:eastAsia="仿宋"/>
                <w:szCs w:val="21"/>
              </w:rPr>
              <w:t>）</w:t>
            </w:r>
          </w:p>
        </w:tc>
        <w:tc>
          <w:tcPr>
            <w:tcW w:w="1749" w:type="dxa"/>
            <w:vAlign w:val="center"/>
          </w:tcPr>
          <w:p w14:paraId="32621E35">
            <w:pPr>
              <w:widowControl/>
              <w:jc w:val="center"/>
              <w:rPr>
                <w:rFonts w:ascii="Times New Roman" w:eastAsia="仿宋"/>
                <w:szCs w:val="21"/>
              </w:rPr>
            </w:pPr>
            <w:r>
              <w:rPr>
                <w:rFonts w:ascii="Times New Roman" w:eastAsia="仿宋"/>
                <w:szCs w:val="21"/>
              </w:rPr>
              <w:t>涂装厚度（μm）</w:t>
            </w:r>
          </w:p>
        </w:tc>
        <w:tc>
          <w:tcPr>
            <w:tcW w:w="1193" w:type="dxa"/>
            <w:vAlign w:val="center"/>
          </w:tcPr>
          <w:p w14:paraId="28CF9674">
            <w:pPr>
              <w:widowControl/>
              <w:jc w:val="center"/>
              <w:rPr>
                <w:rFonts w:ascii="Times New Roman" w:eastAsia="仿宋"/>
                <w:szCs w:val="21"/>
              </w:rPr>
            </w:pPr>
            <w:r>
              <w:rPr>
                <w:rFonts w:hint="eastAsia" w:ascii="Times New Roman" w:eastAsia="仿宋"/>
                <w:szCs w:val="21"/>
              </w:rPr>
              <w:t>年产量（万套）</w:t>
            </w:r>
          </w:p>
        </w:tc>
        <w:tc>
          <w:tcPr>
            <w:tcW w:w="1126" w:type="dxa"/>
            <w:vAlign w:val="center"/>
          </w:tcPr>
          <w:p w14:paraId="4A2069B1">
            <w:pPr>
              <w:widowControl/>
              <w:jc w:val="center"/>
              <w:rPr>
                <w:rFonts w:ascii="Times New Roman" w:eastAsia="仿宋"/>
                <w:szCs w:val="21"/>
              </w:rPr>
            </w:pPr>
            <w:r>
              <w:rPr>
                <w:rFonts w:ascii="Times New Roman" w:eastAsia="仿宋"/>
                <w:szCs w:val="21"/>
              </w:rPr>
              <w:t>氟碳底漆</w:t>
            </w:r>
            <w:r>
              <w:rPr>
                <w:rFonts w:hint="eastAsia" w:ascii="Times New Roman" w:eastAsia="仿宋"/>
                <w:szCs w:val="21"/>
              </w:rPr>
              <w:t>用量（t）</w:t>
            </w:r>
          </w:p>
        </w:tc>
        <w:tc>
          <w:tcPr>
            <w:tcW w:w="1126" w:type="dxa"/>
            <w:vAlign w:val="center"/>
          </w:tcPr>
          <w:p w14:paraId="1122585B">
            <w:pPr>
              <w:widowControl/>
              <w:jc w:val="center"/>
              <w:rPr>
                <w:rFonts w:ascii="Times New Roman" w:eastAsia="仿宋"/>
                <w:szCs w:val="21"/>
              </w:rPr>
            </w:pPr>
            <w:r>
              <w:rPr>
                <w:rFonts w:ascii="Times New Roman" w:eastAsia="仿宋"/>
                <w:szCs w:val="21"/>
              </w:rPr>
              <w:t>氟碳</w:t>
            </w:r>
            <w:r>
              <w:rPr>
                <w:rFonts w:hint="eastAsia" w:ascii="Times New Roman" w:eastAsia="仿宋"/>
                <w:szCs w:val="21"/>
              </w:rPr>
              <w:t>面漆用量（t）</w:t>
            </w:r>
          </w:p>
        </w:tc>
      </w:tr>
      <w:tr w14:paraId="5BFB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5807FB99">
            <w:pPr>
              <w:widowControl/>
              <w:jc w:val="center"/>
              <w:rPr>
                <w:rFonts w:ascii="Times New Roman" w:eastAsia="仿宋"/>
                <w:szCs w:val="21"/>
              </w:rPr>
            </w:pPr>
            <w:r>
              <w:rPr>
                <w:rFonts w:hint="eastAsia" w:ascii="Times New Roman" w:eastAsia="仿宋"/>
                <w:szCs w:val="21"/>
              </w:rPr>
              <w:t>汽车门板</w:t>
            </w:r>
          </w:p>
        </w:tc>
        <w:tc>
          <w:tcPr>
            <w:tcW w:w="2127" w:type="dxa"/>
            <w:vMerge w:val="restart"/>
            <w:vAlign w:val="center"/>
          </w:tcPr>
          <w:p w14:paraId="7AAEEC7F">
            <w:pPr>
              <w:widowControl/>
              <w:jc w:val="center"/>
              <w:rPr>
                <w:rFonts w:ascii="Times New Roman" w:eastAsia="仿宋"/>
                <w:szCs w:val="21"/>
              </w:rPr>
            </w:pPr>
            <w:r>
              <w:rPr>
                <w:rFonts w:ascii="Times New Roman" w:eastAsia="仿宋"/>
                <w:szCs w:val="21"/>
              </w:rPr>
              <w:t>1.6</w:t>
            </w:r>
            <w:r>
              <w:rPr>
                <w:rFonts w:hint="eastAsia" w:ascii="Times New Roman" w:eastAsia="仿宋"/>
                <w:szCs w:val="21"/>
              </w:rPr>
              <w:t>（双面喷涂）</w:t>
            </w:r>
          </w:p>
        </w:tc>
        <w:tc>
          <w:tcPr>
            <w:tcW w:w="1749" w:type="dxa"/>
            <w:vAlign w:val="center"/>
          </w:tcPr>
          <w:p w14:paraId="727B8B7C">
            <w:pPr>
              <w:widowControl/>
              <w:jc w:val="center"/>
              <w:rPr>
                <w:rFonts w:ascii="Times New Roman" w:eastAsia="仿宋"/>
                <w:szCs w:val="21"/>
              </w:rPr>
            </w:pPr>
            <w:r>
              <w:rPr>
                <w:rFonts w:hint="eastAsia" w:ascii="Times New Roman" w:eastAsia="仿宋"/>
                <w:szCs w:val="21"/>
              </w:rPr>
              <w:t>底漆：</w:t>
            </w:r>
            <w:r>
              <w:rPr>
                <w:rFonts w:ascii="Times New Roman" w:eastAsia="仿宋"/>
                <w:szCs w:val="21"/>
              </w:rPr>
              <w:t>78</w:t>
            </w:r>
          </w:p>
        </w:tc>
        <w:tc>
          <w:tcPr>
            <w:tcW w:w="1193" w:type="dxa"/>
            <w:vMerge w:val="restart"/>
            <w:vAlign w:val="center"/>
          </w:tcPr>
          <w:p w14:paraId="0FDBD017">
            <w:pPr>
              <w:widowControl/>
              <w:jc w:val="center"/>
              <w:rPr>
                <w:rFonts w:ascii="Times New Roman" w:eastAsia="仿宋"/>
                <w:szCs w:val="21"/>
              </w:rPr>
            </w:pPr>
            <w:r>
              <w:rPr>
                <w:rFonts w:hint="eastAsia" w:ascii="Times New Roman" w:eastAsia="仿宋"/>
                <w:szCs w:val="21"/>
              </w:rPr>
              <w:t>1</w:t>
            </w:r>
            <w:r>
              <w:rPr>
                <w:rFonts w:ascii="Times New Roman" w:eastAsia="仿宋"/>
                <w:szCs w:val="21"/>
              </w:rPr>
              <w:t>2.5</w:t>
            </w:r>
          </w:p>
        </w:tc>
        <w:tc>
          <w:tcPr>
            <w:tcW w:w="1126" w:type="dxa"/>
            <w:vMerge w:val="restart"/>
            <w:vAlign w:val="center"/>
          </w:tcPr>
          <w:p w14:paraId="0C03878F">
            <w:pPr>
              <w:widowControl/>
              <w:jc w:val="center"/>
              <w:rPr>
                <w:rFonts w:ascii="Times New Roman" w:eastAsia="仿宋"/>
                <w:szCs w:val="21"/>
              </w:rPr>
            </w:pPr>
            <w:r>
              <w:rPr>
                <w:rFonts w:hint="eastAsia" w:ascii="Times New Roman" w:eastAsia="仿宋"/>
                <w:szCs w:val="21"/>
              </w:rPr>
              <w:t>1</w:t>
            </w:r>
            <w:r>
              <w:rPr>
                <w:rFonts w:ascii="Times New Roman" w:eastAsia="仿宋"/>
                <w:szCs w:val="21"/>
              </w:rPr>
              <w:t>1.9</w:t>
            </w:r>
          </w:p>
        </w:tc>
        <w:tc>
          <w:tcPr>
            <w:tcW w:w="1126" w:type="dxa"/>
            <w:vMerge w:val="restart"/>
            <w:vAlign w:val="center"/>
          </w:tcPr>
          <w:p w14:paraId="7E311F90">
            <w:pPr>
              <w:widowControl/>
              <w:jc w:val="center"/>
              <w:rPr>
                <w:rFonts w:ascii="Times New Roman" w:eastAsia="仿宋"/>
                <w:szCs w:val="21"/>
              </w:rPr>
            </w:pPr>
            <w:r>
              <w:rPr>
                <w:rFonts w:ascii="Times New Roman" w:eastAsia="仿宋"/>
                <w:szCs w:val="21"/>
              </w:rPr>
              <w:t>17.9</w:t>
            </w:r>
          </w:p>
        </w:tc>
      </w:tr>
      <w:tr w14:paraId="35B4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2B3EB921">
            <w:pPr>
              <w:widowControl/>
              <w:jc w:val="center"/>
              <w:rPr>
                <w:rFonts w:ascii="Times New Roman" w:eastAsia="仿宋"/>
                <w:szCs w:val="21"/>
              </w:rPr>
            </w:pPr>
          </w:p>
        </w:tc>
        <w:tc>
          <w:tcPr>
            <w:tcW w:w="2127" w:type="dxa"/>
            <w:vMerge w:val="continue"/>
            <w:vAlign w:val="center"/>
          </w:tcPr>
          <w:p w14:paraId="40C24CB8">
            <w:pPr>
              <w:widowControl/>
              <w:jc w:val="center"/>
              <w:rPr>
                <w:rFonts w:ascii="Times New Roman" w:eastAsia="仿宋"/>
                <w:szCs w:val="21"/>
              </w:rPr>
            </w:pPr>
          </w:p>
        </w:tc>
        <w:tc>
          <w:tcPr>
            <w:tcW w:w="1749" w:type="dxa"/>
            <w:vAlign w:val="center"/>
          </w:tcPr>
          <w:p w14:paraId="054C4F54">
            <w:pPr>
              <w:widowControl/>
              <w:jc w:val="center"/>
              <w:rPr>
                <w:rFonts w:ascii="Times New Roman" w:eastAsia="仿宋"/>
                <w:szCs w:val="21"/>
              </w:rPr>
            </w:pPr>
            <w:r>
              <w:rPr>
                <w:rFonts w:hint="eastAsia" w:ascii="Times New Roman" w:eastAsia="仿宋"/>
                <w:szCs w:val="21"/>
              </w:rPr>
              <w:t>面漆：</w:t>
            </w:r>
            <w:r>
              <w:rPr>
                <w:rFonts w:ascii="Times New Roman" w:eastAsia="仿宋"/>
                <w:szCs w:val="21"/>
              </w:rPr>
              <w:t>124</w:t>
            </w:r>
          </w:p>
        </w:tc>
        <w:tc>
          <w:tcPr>
            <w:tcW w:w="1193" w:type="dxa"/>
            <w:vMerge w:val="continue"/>
            <w:vAlign w:val="center"/>
          </w:tcPr>
          <w:p w14:paraId="7E3875F5">
            <w:pPr>
              <w:widowControl/>
              <w:jc w:val="center"/>
              <w:rPr>
                <w:rFonts w:ascii="Times New Roman" w:eastAsia="仿宋"/>
                <w:szCs w:val="21"/>
              </w:rPr>
            </w:pPr>
          </w:p>
        </w:tc>
        <w:tc>
          <w:tcPr>
            <w:tcW w:w="1126" w:type="dxa"/>
            <w:vMerge w:val="continue"/>
            <w:vAlign w:val="center"/>
          </w:tcPr>
          <w:p w14:paraId="72219267">
            <w:pPr>
              <w:widowControl/>
              <w:jc w:val="center"/>
              <w:rPr>
                <w:rFonts w:ascii="Times New Roman" w:eastAsia="仿宋"/>
                <w:szCs w:val="21"/>
              </w:rPr>
            </w:pPr>
          </w:p>
        </w:tc>
        <w:tc>
          <w:tcPr>
            <w:tcW w:w="1126" w:type="dxa"/>
            <w:vMerge w:val="continue"/>
            <w:vAlign w:val="center"/>
          </w:tcPr>
          <w:p w14:paraId="78E563FD">
            <w:pPr>
              <w:widowControl/>
              <w:jc w:val="center"/>
              <w:rPr>
                <w:rFonts w:ascii="Times New Roman" w:eastAsia="仿宋"/>
                <w:szCs w:val="21"/>
              </w:rPr>
            </w:pPr>
          </w:p>
        </w:tc>
      </w:tr>
      <w:tr w14:paraId="6F63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5C192B05">
            <w:pPr>
              <w:widowControl/>
              <w:jc w:val="center"/>
              <w:rPr>
                <w:rFonts w:ascii="Times New Roman" w:eastAsia="仿宋"/>
                <w:szCs w:val="21"/>
              </w:rPr>
            </w:pPr>
            <w:r>
              <w:rPr>
                <w:rFonts w:hint="eastAsia" w:ascii="Times New Roman" w:eastAsia="仿宋"/>
                <w:szCs w:val="21"/>
              </w:rPr>
              <w:t>汽车顶板</w:t>
            </w:r>
          </w:p>
        </w:tc>
        <w:tc>
          <w:tcPr>
            <w:tcW w:w="2127" w:type="dxa"/>
            <w:vMerge w:val="restart"/>
            <w:vAlign w:val="center"/>
          </w:tcPr>
          <w:p w14:paraId="2F06A557">
            <w:pPr>
              <w:widowControl/>
              <w:jc w:val="center"/>
              <w:rPr>
                <w:rFonts w:ascii="Times New Roman" w:eastAsia="仿宋"/>
                <w:szCs w:val="21"/>
              </w:rPr>
            </w:pPr>
            <w:r>
              <w:rPr>
                <w:rFonts w:ascii="Times New Roman" w:eastAsia="仿宋"/>
                <w:szCs w:val="21"/>
              </w:rPr>
              <w:t>1</w:t>
            </w:r>
            <w:r>
              <w:rPr>
                <w:rFonts w:hint="eastAsia" w:ascii="Times New Roman" w:eastAsia="仿宋"/>
                <w:szCs w:val="21"/>
              </w:rPr>
              <w:t>（双面喷涂）</w:t>
            </w:r>
          </w:p>
        </w:tc>
        <w:tc>
          <w:tcPr>
            <w:tcW w:w="1749" w:type="dxa"/>
            <w:vAlign w:val="center"/>
          </w:tcPr>
          <w:p w14:paraId="56C5CF22">
            <w:pPr>
              <w:widowControl/>
              <w:jc w:val="center"/>
              <w:rPr>
                <w:rFonts w:ascii="Times New Roman" w:eastAsia="仿宋"/>
                <w:szCs w:val="21"/>
              </w:rPr>
            </w:pPr>
            <w:r>
              <w:rPr>
                <w:rFonts w:hint="eastAsia" w:ascii="Times New Roman" w:eastAsia="仿宋"/>
                <w:szCs w:val="21"/>
              </w:rPr>
              <w:t>底漆：8</w:t>
            </w:r>
            <w:r>
              <w:rPr>
                <w:rFonts w:ascii="Times New Roman" w:eastAsia="仿宋"/>
                <w:szCs w:val="21"/>
              </w:rPr>
              <w:t>1</w:t>
            </w:r>
          </w:p>
        </w:tc>
        <w:tc>
          <w:tcPr>
            <w:tcW w:w="1193" w:type="dxa"/>
            <w:vMerge w:val="restart"/>
            <w:vAlign w:val="center"/>
          </w:tcPr>
          <w:p w14:paraId="0E0E9788">
            <w:pPr>
              <w:widowControl/>
              <w:jc w:val="center"/>
              <w:rPr>
                <w:rFonts w:ascii="Times New Roman" w:eastAsia="仿宋"/>
                <w:szCs w:val="21"/>
              </w:rPr>
            </w:pPr>
            <w:r>
              <w:rPr>
                <w:rFonts w:ascii="Times New Roman" w:eastAsia="仿宋"/>
                <w:szCs w:val="21"/>
              </w:rPr>
              <w:t>40</w:t>
            </w:r>
          </w:p>
        </w:tc>
        <w:tc>
          <w:tcPr>
            <w:tcW w:w="1126" w:type="dxa"/>
            <w:vMerge w:val="restart"/>
            <w:vAlign w:val="center"/>
          </w:tcPr>
          <w:p w14:paraId="5D571C2D">
            <w:pPr>
              <w:widowControl/>
              <w:jc w:val="center"/>
              <w:rPr>
                <w:rFonts w:ascii="Times New Roman" w:eastAsia="仿宋"/>
                <w:szCs w:val="21"/>
              </w:rPr>
            </w:pPr>
            <w:r>
              <w:rPr>
                <w:rFonts w:hint="eastAsia" w:ascii="Times New Roman" w:eastAsia="仿宋"/>
                <w:szCs w:val="21"/>
              </w:rPr>
              <w:t>2</w:t>
            </w:r>
            <w:r>
              <w:rPr>
                <w:rFonts w:ascii="Times New Roman" w:eastAsia="仿宋"/>
                <w:szCs w:val="21"/>
              </w:rPr>
              <w:t>4.7</w:t>
            </w:r>
          </w:p>
        </w:tc>
        <w:tc>
          <w:tcPr>
            <w:tcW w:w="1126" w:type="dxa"/>
            <w:vMerge w:val="restart"/>
            <w:vAlign w:val="center"/>
          </w:tcPr>
          <w:p w14:paraId="64EACDE4">
            <w:pPr>
              <w:widowControl/>
              <w:jc w:val="center"/>
              <w:rPr>
                <w:rFonts w:ascii="Times New Roman" w:eastAsia="仿宋"/>
                <w:szCs w:val="21"/>
              </w:rPr>
            </w:pPr>
            <w:r>
              <w:rPr>
                <w:rFonts w:ascii="Times New Roman" w:eastAsia="仿宋"/>
                <w:szCs w:val="21"/>
              </w:rPr>
              <w:t>39.4</w:t>
            </w:r>
          </w:p>
        </w:tc>
      </w:tr>
      <w:tr w14:paraId="467C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48199094">
            <w:pPr>
              <w:widowControl/>
              <w:jc w:val="center"/>
              <w:rPr>
                <w:rFonts w:ascii="Times New Roman" w:eastAsia="仿宋"/>
                <w:szCs w:val="21"/>
              </w:rPr>
            </w:pPr>
          </w:p>
        </w:tc>
        <w:tc>
          <w:tcPr>
            <w:tcW w:w="2127" w:type="dxa"/>
            <w:vMerge w:val="continue"/>
            <w:vAlign w:val="center"/>
          </w:tcPr>
          <w:p w14:paraId="37DAAB7A">
            <w:pPr>
              <w:widowControl/>
              <w:jc w:val="center"/>
              <w:rPr>
                <w:rFonts w:ascii="Times New Roman" w:eastAsia="仿宋"/>
                <w:szCs w:val="21"/>
              </w:rPr>
            </w:pPr>
          </w:p>
        </w:tc>
        <w:tc>
          <w:tcPr>
            <w:tcW w:w="1749" w:type="dxa"/>
            <w:vAlign w:val="center"/>
          </w:tcPr>
          <w:p w14:paraId="35B58DAA">
            <w:pPr>
              <w:widowControl/>
              <w:jc w:val="center"/>
              <w:rPr>
                <w:rFonts w:ascii="Times New Roman" w:eastAsia="仿宋"/>
                <w:szCs w:val="21"/>
              </w:rPr>
            </w:pPr>
            <w:r>
              <w:rPr>
                <w:rFonts w:hint="eastAsia" w:ascii="Times New Roman" w:eastAsia="仿宋"/>
                <w:szCs w:val="21"/>
              </w:rPr>
              <w:t>面漆：</w:t>
            </w:r>
            <w:r>
              <w:rPr>
                <w:rFonts w:ascii="Times New Roman" w:eastAsia="仿宋"/>
                <w:szCs w:val="21"/>
              </w:rPr>
              <w:t>136</w:t>
            </w:r>
          </w:p>
        </w:tc>
        <w:tc>
          <w:tcPr>
            <w:tcW w:w="1193" w:type="dxa"/>
            <w:vMerge w:val="continue"/>
            <w:vAlign w:val="center"/>
          </w:tcPr>
          <w:p w14:paraId="43CB1BC1">
            <w:pPr>
              <w:widowControl/>
              <w:jc w:val="center"/>
              <w:rPr>
                <w:rFonts w:ascii="Times New Roman" w:eastAsia="仿宋"/>
                <w:szCs w:val="21"/>
              </w:rPr>
            </w:pPr>
          </w:p>
        </w:tc>
        <w:tc>
          <w:tcPr>
            <w:tcW w:w="1126" w:type="dxa"/>
            <w:vMerge w:val="continue"/>
            <w:vAlign w:val="center"/>
          </w:tcPr>
          <w:p w14:paraId="26F48129">
            <w:pPr>
              <w:widowControl/>
              <w:jc w:val="center"/>
              <w:rPr>
                <w:rFonts w:ascii="Times New Roman" w:eastAsia="仿宋"/>
                <w:szCs w:val="21"/>
              </w:rPr>
            </w:pPr>
          </w:p>
        </w:tc>
        <w:tc>
          <w:tcPr>
            <w:tcW w:w="1126" w:type="dxa"/>
            <w:vMerge w:val="continue"/>
            <w:vAlign w:val="center"/>
          </w:tcPr>
          <w:p w14:paraId="56A0BBC1">
            <w:pPr>
              <w:widowControl/>
              <w:jc w:val="center"/>
              <w:rPr>
                <w:rFonts w:ascii="Times New Roman" w:eastAsia="仿宋"/>
                <w:szCs w:val="21"/>
              </w:rPr>
            </w:pPr>
          </w:p>
        </w:tc>
      </w:tr>
    </w:tbl>
    <w:p w14:paraId="60F56DEE">
      <w:pPr>
        <w:spacing w:line="480" w:lineRule="exact"/>
        <w:ind w:firstLine="482" w:firstLineChars="200"/>
        <w:jc w:val="center"/>
        <w:rPr>
          <w:rFonts w:ascii="Times New Roman" w:eastAsia="仿宋"/>
          <w:b/>
        </w:rPr>
      </w:pPr>
      <w:r>
        <w:rPr>
          <w:rFonts w:ascii="Times New Roman" w:eastAsia="仿宋"/>
          <w:b/>
        </w:rPr>
        <w:t xml:space="preserve">表3.1-5  </w:t>
      </w:r>
      <w:r>
        <w:rPr>
          <w:rFonts w:hint="eastAsia" w:ascii="Times New Roman" w:eastAsia="仿宋"/>
          <w:b/>
        </w:rPr>
        <w:t>喷粉产能</w:t>
      </w:r>
      <w:r>
        <w:rPr>
          <w:rFonts w:ascii="Times New Roman" w:eastAsia="仿宋"/>
          <w:b/>
        </w:rPr>
        <w:t>汇总表</w:t>
      </w:r>
    </w:p>
    <w:tbl>
      <w:tblPr>
        <w:tblStyle w:val="88"/>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2433"/>
        <w:gridCol w:w="2001"/>
        <w:gridCol w:w="1365"/>
        <w:gridCol w:w="1288"/>
      </w:tblGrid>
      <w:tr w14:paraId="4EDB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940" w:type="dxa"/>
            <w:vAlign w:val="center"/>
          </w:tcPr>
          <w:p w14:paraId="3A0BC6C7">
            <w:pPr>
              <w:widowControl/>
              <w:jc w:val="center"/>
              <w:rPr>
                <w:rFonts w:ascii="Times New Roman" w:eastAsia="仿宋"/>
                <w:szCs w:val="21"/>
              </w:rPr>
            </w:pPr>
            <w:r>
              <w:rPr>
                <w:rFonts w:hint="eastAsia" w:ascii="Times New Roman" w:eastAsia="仿宋"/>
                <w:szCs w:val="21"/>
              </w:rPr>
              <w:t>产品名称</w:t>
            </w:r>
          </w:p>
        </w:tc>
        <w:tc>
          <w:tcPr>
            <w:tcW w:w="2433" w:type="dxa"/>
            <w:vAlign w:val="center"/>
          </w:tcPr>
          <w:p w14:paraId="72D98450">
            <w:pPr>
              <w:widowControl/>
              <w:jc w:val="center"/>
              <w:rPr>
                <w:rFonts w:ascii="Times New Roman" w:eastAsia="仿宋"/>
                <w:szCs w:val="21"/>
              </w:rPr>
            </w:pPr>
            <w:r>
              <w:rPr>
                <w:rFonts w:hint="eastAsia" w:ascii="Times New Roman" w:eastAsia="仿宋"/>
                <w:szCs w:val="21"/>
              </w:rPr>
              <w:t>涂装面积</w:t>
            </w:r>
            <w:r>
              <w:rPr>
                <w:rFonts w:ascii="Times New Roman" w:eastAsia="仿宋"/>
                <w:szCs w:val="21"/>
              </w:rPr>
              <w:t>（m</w:t>
            </w:r>
            <w:r>
              <w:rPr>
                <w:rFonts w:ascii="Times New Roman" w:eastAsia="仿宋"/>
                <w:szCs w:val="21"/>
                <w:vertAlign w:val="superscript"/>
              </w:rPr>
              <w:t>2</w:t>
            </w:r>
            <w:r>
              <w:rPr>
                <w:rFonts w:ascii="Times New Roman" w:eastAsia="仿宋"/>
                <w:szCs w:val="21"/>
              </w:rPr>
              <w:t>）</w:t>
            </w:r>
          </w:p>
        </w:tc>
        <w:tc>
          <w:tcPr>
            <w:tcW w:w="2001" w:type="dxa"/>
            <w:vAlign w:val="center"/>
          </w:tcPr>
          <w:p w14:paraId="44D6AB9D">
            <w:pPr>
              <w:widowControl/>
              <w:jc w:val="center"/>
              <w:rPr>
                <w:rFonts w:ascii="Times New Roman" w:eastAsia="仿宋"/>
                <w:szCs w:val="21"/>
              </w:rPr>
            </w:pPr>
            <w:r>
              <w:rPr>
                <w:rFonts w:ascii="Times New Roman" w:eastAsia="仿宋"/>
                <w:szCs w:val="21"/>
              </w:rPr>
              <w:t>涂装厚度（μm）</w:t>
            </w:r>
          </w:p>
        </w:tc>
        <w:tc>
          <w:tcPr>
            <w:tcW w:w="1365" w:type="dxa"/>
            <w:vAlign w:val="center"/>
          </w:tcPr>
          <w:p w14:paraId="1F77BF45">
            <w:pPr>
              <w:widowControl/>
              <w:jc w:val="center"/>
              <w:rPr>
                <w:rFonts w:ascii="Times New Roman" w:eastAsia="仿宋"/>
                <w:szCs w:val="21"/>
              </w:rPr>
            </w:pPr>
            <w:r>
              <w:rPr>
                <w:rFonts w:hint="eastAsia" w:ascii="Times New Roman" w:eastAsia="仿宋"/>
                <w:szCs w:val="21"/>
              </w:rPr>
              <w:t>年产量（万套）</w:t>
            </w:r>
          </w:p>
        </w:tc>
        <w:tc>
          <w:tcPr>
            <w:tcW w:w="1288" w:type="dxa"/>
            <w:vAlign w:val="center"/>
          </w:tcPr>
          <w:p w14:paraId="1EAD4333">
            <w:pPr>
              <w:widowControl/>
              <w:jc w:val="center"/>
              <w:rPr>
                <w:rFonts w:ascii="Times New Roman" w:eastAsia="仿宋"/>
                <w:szCs w:val="21"/>
              </w:rPr>
            </w:pPr>
            <w:r>
              <w:rPr>
                <w:rFonts w:hint="eastAsia" w:ascii="Times New Roman" w:eastAsia="仿宋"/>
                <w:szCs w:val="21"/>
              </w:rPr>
              <w:t>塑粉用量（t）</w:t>
            </w:r>
          </w:p>
        </w:tc>
      </w:tr>
      <w:tr w14:paraId="18A4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40" w:type="dxa"/>
            <w:vAlign w:val="center"/>
          </w:tcPr>
          <w:p w14:paraId="494B34BF">
            <w:pPr>
              <w:widowControl/>
              <w:jc w:val="center"/>
              <w:rPr>
                <w:rFonts w:ascii="Times New Roman" w:eastAsia="仿宋"/>
                <w:szCs w:val="21"/>
              </w:rPr>
            </w:pPr>
            <w:r>
              <w:rPr>
                <w:rFonts w:hint="eastAsia" w:ascii="Times New Roman" w:eastAsia="仿宋"/>
                <w:szCs w:val="21"/>
              </w:rPr>
              <w:t>汽车门板</w:t>
            </w:r>
          </w:p>
        </w:tc>
        <w:tc>
          <w:tcPr>
            <w:tcW w:w="2433" w:type="dxa"/>
            <w:vAlign w:val="center"/>
          </w:tcPr>
          <w:p w14:paraId="42C884BE">
            <w:pPr>
              <w:widowControl/>
              <w:jc w:val="center"/>
              <w:rPr>
                <w:rFonts w:ascii="Times New Roman" w:eastAsia="仿宋"/>
                <w:szCs w:val="21"/>
              </w:rPr>
            </w:pPr>
            <w:r>
              <w:rPr>
                <w:rFonts w:ascii="Times New Roman" w:eastAsia="仿宋"/>
                <w:szCs w:val="21"/>
              </w:rPr>
              <w:t>1</w:t>
            </w:r>
          </w:p>
        </w:tc>
        <w:tc>
          <w:tcPr>
            <w:tcW w:w="2001" w:type="dxa"/>
            <w:vAlign w:val="center"/>
          </w:tcPr>
          <w:p w14:paraId="6EB68C4A">
            <w:pPr>
              <w:jc w:val="center"/>
              <w:rPr>
                <w:rFonts w:ascii="Times New Roman" w:eastAsia="仿宋"/>
                <w:szCs w:val="21"/>
              </w:rPr>
            </w:pPr>
            <w:r>
              <w:rPr>
                <w:rFonts w:ascii="Times New Roman" w:eastAsia="仿宋"/>
                <w:szCs w:val="21"/>
              </w:rPr>
              <w:t>50</w:t>
            </w:r>
          </w:p>
        </w:tc>
        <w:tc>
          <w:tcPr>
            <w:tcW w:w="1365" w:type="dxa"/>
            <w:vAlign w:val="center"/>
          </w:tcPr>
          <w:p w14:paraId="4B2B19EB">
            <w:pPr>
              <w:widowControl/>
              <w:jc w:val="center"/>
              <w:rPr>
                <w:rFonts w:ascii="Times New Roman" w:eastAsia="仿宋"/>
                <w:szCs w:val="21"/>
              </w:rPr>
            </w:pPr>
            <w:r>
              <w:rPr>
                <w:rFonts w:ascii="Times New Roman" w:eastAsia="仿宋"/>
                <w:szCs w:val="21"/>
              </w:rPr>
              <w:t>25</w:t>
            </w:r>
          </w:p>
        </w:tc>
        <w:tc>
          <w:tcPr>
            <w:tcW w:w="1288" w:type="dxa"/>
            <w:vAlign w:val="center"/>
          </w:tcPr>
          <w:p w14:paraId="4BFC7A22">
            <w:pPr>
              <w:widowControl/>
              <w:jc w:val="center"/>
              <w:rPr>
                <w:rFonts w:ascii="Times New Roman" w:eastAsia="仿宋"/>
                <w:szCs w:val="21"/>
              </w:rPr>
            </w:pPr>
            <w:r>
              <w:rPr>
                <w:rFonts w:ascii="Times New Roman" w:eastAsia="仿宋"/>
                <w:szCs w:val="21"/>
              </w:rPr>
              <w:t>22</w:t>
            </w:r>
          </w:p>
        </w:tc>
      </w:tr>
      <w:tr w14:paraId="682E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40" w:type="dxa"/>
            <w:vAlign w:val="center"/>
          </w:tcPr>
          <w:p w14:paraId="37BB36A2">
            <w:pPr>
              <w:widowControl/>
              <w:jc w:val="center"/>
              <w:rPr>
                <w:rFonts w:ascii="Times New Roman" w:eastAsia="仿宋"/>
                <w:szCs w:val="21"/>
              </w:rPr>
            </w:pPr>
            <w:r>
              <w:rPr>
                <w:rFonts w:hint="eastAsia" w:ascii="Times New Roman" w:eastAsia="仿宋"/>
                <w:szCs w:val="21"/>
              </w:rPr>
              <w:t>汽车顶板</w:t>
            </w:r>
          </w:p>
        </w:tc>
        <w:tc>
          <w:tcPr>
            <w:tcW w:w="2433" w:type="dxa"/>
            <w:vAlign w:val="center"/>
          </w:tcPr>
          <w:p w14:paraId="14CA880E">
            <w:pPr>
              <w:widowControl/>
              <w:jc w:val="center"/>
              <w:rPr>
                <w:rFonts w:ascii="Times New Roman" w:eastAsia="仿宋"/>
                <w:szCs w:val="21"/>
              </w:rPr>
            </w:pPr>
            <w:r>
              <w:rPr>
                <w:rFonts w:ascii="Times New Roman" w:eastAsia="仿宋"/>
                <w:szCs w:val="21"/>
              </w:rPr>
              <w:t>1</w:t>
            </w:r>
          </w:p>
        </w:tc>
        <w:tc>
          <w:tcPr>
            <w:tcW w:w="2001" w:type="dxa"/>
            <w:vAlign w:val="center"/>
          </w:tcPr>
          <w:p w14:paraId="3070320A">
            <w:pPr>
              <w:jc w:val="center"/>
              <w:rPr>
                <w:rFonts w:ascii="Times New Roman" w:eastAsia="仿宋"/>
                <w:szCs w:val="21"/>
              </w:rPr>
            </w:pPr>
            <w:r>
              <w:rPr>
                <w:rFonts w:ascii="Times New Roman" w:eastAsia="仿宋"/>
                <w:szCs w:val="21"/>
              </w:rPr>
              <w:t>54</w:t>
            </w:r>
          </w:p>
        </w:tc>
        <w:tc>
          <w:tcPr>
            <w:tcW w:w="1365" w:type="dxa"/>
            <w:vAlign w:val="center"/>
          </w:tcPr>
          <w:p w14:paraId="0786BE9A">
            <w:pPr>
              <w:widowControl/>
              <w:jc w:val="center"/>
              <w:rPr>
                <w:rFonts w:ascii="Times New Roman" w:eastAsia="仿宋"/>
                <w:szCs w:val="21"/>
              </w:rPr>
            </w:pPr>
            <w:r>
              <w:rPr>
                <w:rFonts w:ascii="Times New Roman" w:eastAsia="仿宋"/>
                <w:szCs w:val="21"/>
              </w:rPr>
              <w:t>25</w:t>
            </w:r>
          </w:p>
        </w:tc>
        <w:tc>
          <w:tcPr>
            <w:tcW w:w="1288" w:type="dxa"/>
            <w:vAlign w:val="center"/>
          </w:tcPr>
          <w:p w14:paraId="67A3A6E4">
            <w:pPr>
              <w:widowControl/>
              <w:jc w:val="center"/>
              <w:rPr>
                <w:rFonts w:ascii="Times New Roman" w:eastAsia="仿宋"/>
                <w:szCs w:val="21"/>
              </w:rPr>
            </w:pPr>
            <w:r>
              <w:rPr>
                <w:rFonts w:ascii="Times New Roman" w:eastAsia="仿宋"/>
                <w:szCs w:val="21"/>
              </w:rPr>
              <w:t>23</w:t>
            </w:r>
          </w:p>
        </w:tc>
      </w:tr>
    </w:tbl>
    <w:p w14:paraId="799C7566">
      <w:pPr>
        <w:spacing w:line="500" w:lineRule="exact"/>
        <w:ind w:firstLine="560" w:firstLineChars="200"/>
        <w:rPr>
          <w:rFonts w:ascii="Times New Roman" w:eastAsia="仿宋"/>
          <w:b/>
        </w:rPr>
      </w:pPr>
      <w:r>
        <w:rPr>
          <w:rFonts w:ascii="Times New Roman" w:eastAsia="仿宋"/>
          <w:sz w:val="28"/>
          <w:szCs w:val="28"/>
        </w:rPr>
        <w:t>本项目喷漆参数如下：</w:t>
      </w:r>
    </w:p>
    <w:p w14:paraId="502136DA">
      <w:pPr>
        <w:spacing w:line="480" w:lineRule="exact"/>
        <w:ind w:firstLine="482" w:firstLineChars="200"/>
        <w:jc w:val="center"/>
        <w:rPr>
          <w:rFonts w:ascii="Times New Roman" w:eastAsia="仿宋"/>
          <w:b/>
        </w:rPr>
      </w:pPr>
      <w:r>
        <w:rPr>
          <w:rFonts w:ascii="Times New Roman" w:eastAsia="仿宋"/>
          <w:b/>
        </w:rPr>
        <w:t>表3.1-6  涂装面积、厚度汇总表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1896"/>
        <w:gridCol w:w="2018"/>
        <w:gridCol w:w="1436"/>
        <w:gridCol w:w="1433"/>
      </w:tblGrid>
      <w:tr w14:paraId="0FC2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noWrap/>
            <w:vAlign w:val="center"/>
          </w:tcPr>
          <w:p w14:paraId="651CCA50">
            <w:pPr>
              <w:widowControl/>
              <w:jc w:val="center"/>
              <w:rPr>
                <w:rFonts w:ascii="Times New Roman" w:eastAsia="仿宋"/>
                <w:szCs w:val="21"/>
              </w:rPr>
            </w:pPr>
            <w:r>
              <w:rPr>
                <w:rFonts w:ascii="Times New Roman" w:eastAsia="仿宋"/>
                <w:szCs w:val="21"/>
              </w:rPr>
              <w:t>涂料名称</w:t>
            </w:r>
          </w:p>
        </w:tc>
        <w:tc>
          <w:tcPr>
            <w:tcW w:w="1026" w:type="pct"/>
            <w:noWrap/>
            <w:vAlign w:val="center"/>
          </w:tcPr>
          <w:p w14:paraId="213BCB64">
            <w:pPr>
              <w:widowControl/>
              <w:jc w:val="center"/>
              <w:rPr>
                <w:rFonts w:ascii="Times New Roman" w:eastAsia="仿宋"/>
                <w:szCs w:val="21"/>
              </w:rPr>
            </w:pPr>
            <w:r>
              <w:rPr>
                <w:rFonts w:ascii="Times New Roman" w:eastAsia="仿宋"/>
                <w:szCs w:val="21"/>
              </w:rPr>
              <w:t>涂装面积（</w:t>
            </w:r>
            <w:r>
              <w:rPr>
                <w:rFonts w:hint="eastAsia" w:ascii="Times New Roman" w:eastAsia="仿宋"/>
                <w:szCs w:val="21"/>
              </w:rPr>
              <w:t>万</w:t>
            </w:r>
            <w:r>
              <w:rPr>
                <w:rFonts w:ascii="Times New Roman" w:eastAsia="仿宋"/>
                <w:szCs w:val="21"/>
              </w:rPr>
              <w:t>m</w:t>
            </w:r>
            <w:r>
              <w:rPr>
                <w:rFonts w:ascii="Times New Roman" w:eastAsia="仿宋"/>
                <w:szCs w:val="21"/>
                <w:vertAlign w:val="superscript"/>
              </w:rPr>
              <w:t>2</w:t>
            </w:r>
            <w:r>
              <w:rPr>
                <w:rFonts w:ascii="Times New Roman" w:eastAsia="仿宋"/>
                <w:szCs w:val="21"/>
              </w:rPr>
              <w:t>）</w:t>
            </w:r>
          </w:p>
        </w:tc>
        <w:tc>
          <w:tcPr>
            <w:tcW w:w="1092" w:type="pct"/>
            <w:vAlign w:val="center"/>
          </w:tcPr>
          <w:p w14:paraId="1D62F54E">
            <w:pPr>
              <w:widowControl/>
              <w:jc w:val="center"/>
              <w:rPr>
                <w:rFonts w:ascii="Times New Roman" w:eastAsia="仿宋"/>
                <w:szCs w:val="21"/>
              </w:rPr>
            </w:pPr>
            <w:r>
              <w:rPr>
                <w:rFonts w:ascii="Times New Roman" w:eastAsia="仿宋"/>
                <w:szCs w:val="21"/>
              </w:rPr>
              <w:t>涂装厚度（μm）</w:t>
            </w:r>
          </w:p>
        </w:tc>
        <w:tc>
          <w:tcPr>
            <w:tcW w:w="777" w:type="pct"/>
            <w:vAlign w:val="center"/>
          </w:tcPr>
          <w:p w14:paraId="36C2B185">
            <w:pPr>
              <w:widowControl/>
              <w:jc w:val="center"/>
              <w:rPr>
                <w:rFonts w:ascii="Times New Roman" w:eastAsia="仿宋"/>
                <w:szCs w:val="21"/>
              </w:rPr>
            </w:pPr>
            <w:r>
              <w:rPr>
                <w:rFonts w:ascii="Times New Roman" w:eastAsia="仿宋"/>
                <w:szCs w:val="21"/>
              </w:rPr>
              <w:t>密度（g/L）</w:t>
            </w:r>
          </w:p>
        </w:tc>
        <w:tc>
          <w:tcPr>
            <w:tcW w:w="776" w:type="pct"/>
            <w:vAlign w:val="center"/>
          </w:tcPr>
          <w:p w14:paraId="155676AC">
            <w:pPr>
              <w:widowControl/>
              <w:jc w:val="center"/>
              <w:rPr>
                <w:rFonts w:ascii="Times New Roman" w:eastAsia="仿宋"/>
                <w:szCs w:val="21"/>
              </w:rPr>
            </w:pPr>
            <w:r>
              <w:rPr>
                <w:rFonts w:hint="eastAsia" w:ascii="Times New Roman" w:eastAsia="仿宋"/>
                <w:szCs w:val="21"/>
              </w:rPr>
              <w:t>附着率</w:t>
            </w:r>
            <w:r>
              <w:rPr>
                <w:rFonts w:ascii="Times New Roman" w:eastAsia="仿宋"/>
                <w:szCs w:val="21"/>
              </w:rPr>
              <w:t>（%）</w:t>
            </w:r>
          </w:p>
        </w:tc>
      </w:tr>
      <w:tr w14:paraId="3276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noWrap/>
            <w:vAlign w:val="center"/>
          </w:tcPr>
          <w:p w14:paraId="54052CCC">
            <w:pPr>
              <w:widowControl/>
              <w:jc w:val="center"/>
              <w:rPr>
                <w:rFonts w:ascii="Times New Roman" w:eastAsia="仿宋"/>
                <w:szCs w:val="21"/>
              </w:rPr>
            </w:pPr>
            <w:r>
              <w:rPr>
                <w:rFonts w:ascii="Times New Roman" w:eastAsia="仿宋"/>
                <w:szCs w:val="21"/>
              </w:rPr>
              <w:t>氟碳底漆</w:t>
            </w:r>
          </w:p>
        </w:tc>
        <w:tc>
          <w:tcPr>
            <w:tcW w:w="1026" w:type="pct"/>
            <w:noWrap/>
            <w:vAlign w:val="center"/>
          </w:tcPr>
          <w:p w14:paraId="68DDBF69">
            <w:pPr>
              <w:widowControl/>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092" w:type="pct"/>
            <w:vAlign w:val="center"/>
          </w:tcPr>
          <w:p w14:paraId="21370FC5">
            <w:pPr>
              <w:spacing w:line="360" w:lineRule="exact"/>
              <w:jc w:val="center"/>
              <w:rPr>
                <w:rFonts w:ascii="Times New Roman" w:eastAsia="仿宋"/>
                <w:szCs w:val="21"/>
              </w:rPr>
            </w:pPr>
            <w:r>
              <w:rPr>
                <w:rFonts w:hint="eastAsia" w:ascii="Times New Roman" w:eastAsia="仿宋"/>
                <w:szCs w:val="21"/>
              </w:rPr>
              <w:t>70-90</w:t>
            </w:r>
          </w:p>
          <w:p w14:paraId="0A9A75B0">
            <w:pPr>
              <w:pStyle w:val="35"/>
              <w:jc w:val="center"/>
            </w:pPr>
            <w:r>
              <w:rPr>
                <w:rFonts w:hint="eastAsia" w:eastAsia="仿宋"/>
                <w:kern w:val="0"/>
                <w:sz w:val="24"/>
                <w:szCs w:val="21"/>
              </w:rPr>
              <w:t>（平均80）</w:t>
            </w:r>
          </w:p>
        </w:tc>
        <w:tc>
          <w:tcPr>
            <w:tcW w:w="777" w:type="pct"/>
            <w:vAlign w:val="center"/>
          </w:tcPr>
          <w:p w14:paraId="6CF04AE3">
            <w:pPr>
              <w:widowControl/>
              <w:jc w:val="center"/>
              <w:rPr>
                <w:rFonts w:ascii="Times New Roman" w:eastAsia="仿宋"/>
                <w:szCs w:val="21"/>
              </w:rPr>
            </w:pPr>
            <w:r>
              <w:rPr>
                <w:rFonts w:hint="eastAsia" w:ascii="Times New Roman" w:eastAsia="仿宋"/>
                <w:szCs w:val="21"/>
              </w:rPr>
              <w:t>1030</w:t>
            </w:r>
          </w:p>
        </w:tc>
        <w:tc>
          <w:tcPr>
            <w:tcW w:w="776" w:type="pct"/>
            <w:vAlign w:val="center"/>
          </w:tcPr>
          <w:p w14:paraId="7CC1BA4F">
            <w:pPr>
              <w:widowControl/>
              <w:jc w:val="center"/>
              <w:rPr>
                <w:rFonts w:ascii="Times New Roman" w:eastAsia="仿宋"/>
                <w:szCs w:val="21"/>
              </w:rPr>
            </w:pPr>
            <w:r>
              <w:rPr>
                <w:rFonts w:hint="eastAsia" w:ascii="Times New Roman" w:eastAsia="仿宋"/>
                <w:szCs w:val="21"/>
              </w:rPr>
              <w:t>70</w:t>
            </w:r>
          </w:p>
        </w:tc>
      </w:tr>
      <w:tr w14:paraId="31F4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noWrap/>
            <w:vAlign w:val="center"/>
          </w:tcPr>
          <w:p w14:paraId="66C249B2">
            <w:pPr>
              <w:widowControl/>
              <w:jc w:val="center"/>
              <w:rPr>
                <w:rFonts w:ascii="Times New Roman" w:eastAsia="仿宋"/>
                <w:szCs w:val="21"/>
              </w:rPr>
            </w:pPr>
            <w:r>
              <w:rPr>
                <w:rFonts w:ascii="Times New Roman" w:eastAsia="仿宋"/>
                <w:szCs w:val="21"/>
              </w:rPr>
              <w:t>氟碳面漆</w:t>
            </w:r>
          </w:p>
        </w:tc>
        <w:tc>
          <w:tcPr>
            <w:tcW w:w="1026" w:type="pct"/>
            <w:noWrap/>
            <w:vAlign w:val="center"/>
          </w:tcPr>
          <w:p w14:paraId="7CBD2B46">
            <w:pPr>
              <w:widowControl/>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092" w:type="pct"/>
            <w:vAlign w:val="center"/>
          </w:tcPr>
          <w:p w14:paraId="4283096E">
            <w:pPr>
              <w:spacing w:line="360" w:lineRule="exact"/>
              <w:jc w:val="center"/>
              <w:rPr>
                <w:rFonts w:ascii="Times New Roman" w:eastAsia="仿宋"/>
                <w:szCs w:val="21"/>
              </w:rPr>
            </w:pPr>
            <w:r>
              <w:rPr>
                <w:rFonts w:hint="eastAsia" w:ascii="Times New Roman" w:eastAsia="仿宋"/>
                <w:szCs w:val="21"/>
              </w:rPr>
              <w:t>120-144</w:t>
            </w:r>
          </w:p>
          <w:p w14:paraId="4E270DCE">
            <w:pPr>
              <w:spacing w:line="360" w:lineRule="exact"/>
              <w:jc w:val="center"/>
              <w:rPr>
                <w:rFonts w:ascii="Times New Roman" w:eastAsia="仿宋"/>
                <w:szCs w:val="21"/>
              </w:rPr>
            </w:pPr>
            <w:r>
              <w:rPr>
                <w:rFonts w:hint="eastAsia" w:ascii="Times New Roman" w:eastAsia="仿宋"/>
                <w:szCs w:val="21"/>
              </w:rPr>
              <w:t>（平均132）</w:t>
            </w:r>
          </w:p>
        </w:tc>
        <w:tc>
          <w:tcPr>
            <w:tcW w:w="777" w:type="pct"/>
            <w:vAlign w:val="center"/>
          </w:tcPr>
          <w:p w14:paraId="5622FDC4">
            <w:pPr>
              <w:spacing w:line="360" w:lineRule="exact"/>
              <w:jc w:val="center"/>
              <w:rPr>
                <w:rFonts w:ascii="Times New Roman" w:eastAsia="仿宋"/>
                <w:szCs w:val="21"/>
              </w:rPr>
            </w:pPr>
            <w:r>
              <w:rPr>
                <w:rFonts w:hint="eastAsia" w:ascii="Times New Roman" w:eastAsia="仿宋"/>
                <w:szCs w:val="21"/>
              </w:rPr>
              <w:t>976.7</w:t>
            </w:r>
          </w:p>
        </w:tc>
        <w:tc>
          <w:tcPr>
            <w:tcW w:w="776" w:type="pct"/>
            <w:vAlign w:val="center"/>
          </w:tcPr>
          <w:p w14:paraId="72011013">
            <w:pPr>
              <w:widowControl/>
              <w:jc w:val="center"/>
              <w:rPr>
                <w:rFonts w:ascii="Times New Roman" w:eastAsia="仿宋"/>
                <w:szCs w:val="21"/>
              </w:rPr>
            </w:pPr>
            <w:r>
              <w:rPr>
                <w:rFonts w:hint="eastAsia" w:ascii="Times New Roman" w:eastAsia="仿宋"/>
                <w:szCs w:val="21"/>
              </w:rPr>
              <w:t>70</w:t>
            </w:r>
          </w:p>
        </w:tc>
      </w:tr>
      <w:tr w14:paraId="10EA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noWrap/>
            <w:vAlign w:val="center"/>
          </w:tcPr>
          <w:p w14:paraId="7D8BB7D6">
            <w:pPr>
              <w:widowControl/>
              <w:jc w:val="center"/>
              <w:rPr>
                <w:rFonts w:ascii="Times New Roman" w:eastAsia="仿宋"/>
                <w:szCs w:val="21"/>
              </w:rPr>
            </w:pPr>
            <w:r>
              <w:rPr>
                <w:rFonts w:hint="eastAsia" w:ascii="Times New Roman" w:eastAsia="仿宋"/>
                <w:szCs w:val="21"/>
              </w:rPr>
              <w:t>塑粉</w:t>
            </w:r>
          </w:p>
        </w:tc>
        <w:tc>
          <w:tcPr>
            <w:tcW w:w="1026" w:type="pct"/>
            <w:noWrap/>
            <w:vAlign w:val="center"/>
          </w:tcPr>
          <w:p w14:paraId="77CA1595">
            <w:pPr>
              <w:widowControl/>
              <w:jc w:val="center"/>
              <w:rPr>
                <w:rFonts w:ascii="Times New Roman" w:eastAsia="仿宋"/>
                <w:szCs w:val="21"/>
              </w:rPr>
            </w:pPr>
            <w:r>
              <w:rPr>
                <w:rFonts w:hint="eastAsia" w:ascii="Times New Roman" w:eastAsia="仿宋"/>
                <w:szCs w:val="21"/>
              </w:rPr>
              <w:t>50</w:t>
            </w:r>
          </w:p>
        </w:tc>
        <w:tc>
          <w:tcPr>
            <w:tcW w:w="1092" w:type="pct"/>
            <w:vAlign w:val="center"/>
          </w:tcPr>
          <w:p w14:paraId="319B5BE0">
            <w:pPr>
              <w:spacing w:line="360" w:lineRule="exact"/>
              <w:jc w:val="center"/>
              <w:rPr>
                <w:rFonts w:ascii="Times New Roman" w:eastAsia="仿宋"/>
                <w:szCs w:val="21"/>
              </w:rPr>
            </w:pPr>
            <w:r>
              <w:rPr>
                <w:rFonts w:hint="eastAsia" w:ascii="Times New Roman" w:eastAsia="仿宋"/>
                <w:szCs w:val="21"/>
              </w:rPr>
              <w:t>48-80</w:t>
            </w:r>
          </w:p>
          <w:p w14:paraId="1EC73274">
            <w:pPr>
              <w:spacing w:line="360" w:lineRule="exact"/>
              <w:jc w:val="center"/>
              <w:rPr>
                <w:rFonts w:ascii="Times New Roman" w:eastAsia="仿宋"/>
                <w:szCs w:val="21"/>
              </w:rPr>
            </w:pPr>
            <w:r>
              <w:rPr>
                <w:rFonts w:hint="eastAsia" w:ascii="Times New Roman" w:eastAsia="仿宋"/>
                <w:szCs w:val="21"/>
              </w:rPr>
              <w:t>（平均64）</w:t>
            </w:r>
          </w:p>
        </w:tc>
        <w:tc>
          <w:tcPr>
            <w:tcW w:w="777" w:type="pct"/>
            <w:vAlign w:val="center"/>
          </w:tcPr>
          <w:p w14:paraId="4898FBCE">
            <w:pPr>
              <w:spacing w:line="360" w:lineRule="exact"/>
              <w:jc w:val="center"/>
              <w:rPr>
                <w:rFonts w:ascii="Times New Roman" w:eastAsia="仿宋"/>
                <w:szCs w:val="21"/>
              </w:rPr>
            </w:pPr>
            <w:r>
              <w:rPr>
                <w:rFonts w:hint="eastAsia" w:ascii="Times New Roman" w:eastAsia="仿宋"/>
                <w:szCs w:val="21"/>
              </w:rPr>
              <w:t>1200</w:t>
            </w:r>
          </w:p>
        </w:tc>
        <w:tc>
          <w:tcPr>
            <w:tcW w:w="776" w:type="pct"/>
            <w:vAlign w:val="center"/>
          </w:tcPr>
          <w:p w14:paraId="123C7B13">
            <w:pPr>
              <w:widowControl/>
              <w:jc w:val="center"/>
              <w:rPr>
                <w:rFonts w:ascii="Times New Roman" w:eastAsia="仿宋"/>
                <w:szCs w:val="21"/>
              </w:rPr>
            </w:pPr>
            <w:r>
              <w:rPr>
                <w:rFonts w:ascii="Times New Roman" w:eastAsia="仿宋"/>
                <w:szCs w:val="21"/>
              </w:rPr>
              <w:t>68</w:t>
            </w:r>
          </w:p>
        </w:tc>
      </w:tr>
    </w:tbl>
    <w:p w14:paraId="5B8A776A">
      <w:pPr>
        <w:spacing w:line="500" w:lineRule="exact"/>
        <w:ind w:firstLine="560" w:firstLineChars="200"/>
        <w:rPr>
          <w:rFonts w:ascii="Times New Roman" w:eastAsia="仿宋"/>
          <w:sz w:val="28"/>
          <w:szCs w:val="28"/>
        </w:rPr>
      </w:pPr>
      <w:r>
        <w:rPr>
          <w:rFonts w:hint="eastAsia" w:ascii="Times New Roman" w:eastAsia="仿宋"/>
          <w:sz w:val="28"/>
          <w:szCs w:val="28"/>
        </w:rPr>
        <w:t>根据喷涂面积、喷涂厚度及着漆率核算本项目涂料用量，核算结果如下：</w:t>
      </w:r>
    </w:p>
    <w:p w14:paraId="16AAA230">
      <w:pPr>
        <w:spacing w:line="480" w:lineRule="exact"/>
        <w:ind w:firstLine="482" w:firstLineChars="200"/>
        <w:jc w:val="center"/>
        <w:rPr>
          <w:rFonts w:ascii="Times New Roman" w:eastAsia="仿宋"/>
          <w:b/>
        </w:rPr>
      </w:pPr>
      <w:r>
        <w:rPr>
          <w:rFonts w:ascii="Times New Roman" w:eastAsia="仿宋"/>
          <w:b/>
        </w:rPr>
        <w:t xml:space="preserve">表3.1-7  </w:t>
      </w:r>
      <w:r>
        <w:rPr>
          <w:rFonts w:hint="eastAsia" w:ascii="Times New Roman" w:eastAsia="仿宋"/>
          <w:b/>
        </w:rPr>
        <w:t>本项目涂料使用量核算一览表</w:t>
      </w:r>
    </w:p>
    <w:tbl>
      <w:tblPr>
        <w:tblStyle w:val="87"/>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1475"/>
        <w:gridCol w:w="1119"/>
        <w:gridCol w:w="842"/>
        <w:gridCol w:w="842"/>
        <w:gridCol w:w="842"/>
        <w:gridCol w:w="855"/>
        <w:gridCol w:w="855"/>
      </w:tblGrid>
      <w:tr w14:paraId="6128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4" w:type="dxa"/>
            <w:noWrap/>
            <w:vAlign w:val="center"/>
          </w:tcPr>
          <w:p w14:paraId="3EA2F187">
            <w:pPr>
              <w:widowControl/>
              <w:jc w:val="center"/>
              <w:rPr>
                <w:rFonts w:ascii="Times New Roman" w:eastAsia="仿宋"/>
                <w:szCs w:val="21"/>
              </w:rPr>
            </w:pPr>
            <w:r>
              <w:rPr>
                <w:rFonts w:hint="eastAsia" w:ascii="Times New Roman" w:eastAsia="仿宋"/>
                <w:szCs w:val="21"/>
              </w:rPr>
              <w:t>涂料名称</w:t>
            </w:r>
          </w:p>
        </w:tc>
        <w:tc>
          <w:tcPr>
            <w:tcW w:w="1439" w:type="dxa"/>
            <w:noWrap/>
            <w:vAlign w:val="center"/>
          </w:tcPr>
          <w:p w14:paraId="38944427">
            <w:pPr>
              <w:widowControl/>
              <w:jc w:val="center"/>
              <w:rPr>
                <w:rFonts w:ascii="Times New Roman" w:eastAsia="仿宋"/>
                <w:szCs w:val="21"/>
              </w:rPr>
            </w:pPr>
            <w:r>
              <w:rPr>
                <w:rFonts w:hint="eastAsia" w:ascii="Times New Roman" w:eastAsia="仿宋"/>
                <w:szCs w:val="21"/>
              </w:rPr>
              <w:t>涂装面积（万</w:t>
            </w:r>
            <w:r>
              <w:rPr>
                <w:rFonts w:ascii="Times New Roman" w:eastAsia="仿宋"/>
                <w:szCs w:val="21"/>
              </w:rPr>
              <w:t>m</w:t>
            </w:r>
            <w:r>
              <w:rPr>
                <w:rFonts w:ascii="Times New Roman" w:eastAsia="仿宋"/>
                <w:szCs w:val="21"/>
                <w:vertAlign w:val="superscript"/>
              </w:rPr>
              <w:t>2</w:t>
            </w:r>
            <w:r>
              <w:rPr>
                <w:rFonts w:hint="eastAsia" w:ascii="Times New Roman" w:eastAsia="仿宋"/>
                <w:szCs w:val="21"/>
              </w:rPr>
              <w:t>）</w:t>
            </w:r>
          </w:p>
        </w:tc>
        <w:tc>
          <w:tcPr>
            <w:tcW w:w="1092" w:type="dxa"/>
            <w:vAlign w:val="center"/>
          </w:tcPr>
          <w:p w14:paraId="44EB7B96">
            <w:pPr>
              <w:widowControl/>
              <w:jc w:val="center"/>
              <w:rPr>
                <w:rFonts w:ascii="Times New Roman" w:eastAsia="仿宋"/>
                <w:szCs w:val="21"/>
              </w:rPr>
            </w:pPr>
            <w:r>
              <w:rPr>
                <w:rFonts w:hint="eastAsia" w:ascii="Times New Roman" w:eastAsia="仿宋"/>
                <w:szCs w:val="21"/>
              </w:rPr>
              <w:t>涂装厚度（</w:t>
            </w:r>
            <w:r>
              <w:rPr>
                <w:rFonts w:ascii="Times New Roman" w:eastAsia="仿宋"/>
                <w:szCs w:val="21"/>
              </w:rPr>
              <w:t>μm</w:t>
            </w:r>
            <w:r>
              <w:rPr>
                <w:rFonts w:hint="eastAsia" w:ascii="Times New Roman" w:eastAsia="仿宋"/>
                <w:szCs w:val="21"/>
              </w:rPr>
              <w:t>）</w:t>
            </w:r>
          </w:p>
        </w:tc>
        <w:tc>
          <w:tcPr>
            <w:tcW w:w="820" w:type="dxa"/>
            <w:vAlign w:val="center"/>
          </w:tcPr>
          <w:p w14:paraId="4BE6E4BA">
            <w:pPr>
              <w:widowControl/>
              <w:jc w:val="center"/>
              <w:rPr>
                <w:rFonts w:ascii="Times New Roman" w:eastAsia="仿宋"/>
                <w:szCs w:val="21"/>
              </w:rPr>
            </w:pPr>
            <w:r>
              <w:rPr>
                <w:rFonts w:hint="eastAsia" w:ascii="Times New Roman" w:eastAsia="仿宋"/>
                <w:szCs w:val="21"/>
              </w:rPr>
              <w:t>密度（</w:t>
            </w:r>
            <w:r>
              <w:rPr>
                <w:rFonts w:ascii="Times New Roman" w:eastAsia="仿宋"/>
                <w:szCs w:val="21"/>
              </w:rPr>
              <w:t>g/L</w:t>
            </w:r>
            <w:r>
              <w:rPr>
                <w:rFonts w:hint="eastAsia" w:ascii="Times New Roman" w:eastAsia="仿宋"/>
                <w:szCs w:val="21"/>
              </w:rPr>
              <w:t>）</w:t>
            </w:r>
          </w:p>
        </w:tc>
        <w:tc>
          <w:tcPr>
            <w:tcW w:w="820" w:type="dxa"/>
            <w:vAlign w:val="center"/>
          </w:tcPr>
          <w:p w14:paraId="1677DC1C">
            <w:pPr>
              <w:widowControl/>
              <w:jc w:val="center"/>
              <w:rPr>
                <w:rFonts w:ascii="Times New Roman" w:eastAsia="仿宋"/>
                <w:szCs w:val="21"/>
              </w:rPr>
            </w:pPr>
            <w:r>
              <w:rPr>
                <w:rFonts w:hint="eastAsia" w:ascii="Times New Roman" w:eastAsia="仿宋"/>
                <w:szCs w:val="21"/>
              </w:rPr>
              <w:t>成品率（</w:t>
            </w:r>
            <w:r>
              <w:rPr>
                <w:rFonts w:ascii="Times New Roman" w:eastAsia="仿宋"/>
                <w:szCs w:val="21"/>
              </w:rPr>
              <w:t>%</w:t>
            </w:r>
            <w:r>
              <w:rPr>
                <w:rFonts w:hint="eastAsia" w:ascii="Times New Roman" w:eastAsia="仿宋"/>
                <w:szCs w:val="21"/>
              </w:rPr>
              <w:t>）</w:t>
            </w:r>
          </w:p>
        </w:tc>
        <w:tc>
          <w:tcPr>
            <w:tcW w:w="820" w:type="dxa"/>
            <w:vAlign w:val="center"/>
          </w:tcPr>
          <w:p w14:paraId="1F5B457C">
            <w:pPr>
              <w:widowControl/>
              <w:jc w:val="center"/>
              <w:rPr>
                <w:rFonts w:ascii="Times New Roman" w:eastAsia="仿宋"/>
                <w:szCs w:val="21"/>
              </w:rPr>
            </w:pPr>
            <w:r>
              <w:rPr>
                <w:rFonts w:hint="eastAsia" w:ascii="Times New Roman" w:eastAsia="仿宋"/>
                <w:szCs w:val="21"/>
              </w:rPr>
              <w:t>附着率（</w:t>
            </w:r>
            <w:r>
              <w:rPr>
                <w:rFonts w:ascii="Times New Roman" w:eastAsia="仿宋"/>
                <w:szCs w:val="21"/>
              </w:rPr>
              <w:t>%</w:t>
            </w:r>
            <w:r>
              <w:rPr>
                <w:rFonts w:hint="eastAsia" w:ascii="Times New Roman" w:eastAsia="仿宋"/>
                <w:szCs w:val="21"/>
              </w:rPr>
              <w:t>）</w:t>
            </w:r>
          </w:p>
        </w:tc>
        <w:tc>
          <w:tcPr>
            <w:tcW w:w="833" w:type="dxa"/>
            <w:vAlign w:val="center"/>
          </w:tcPr>
          <w:p w14:paraId="4433ACEC">
            <w:pPr>
              <w:widowControl/>
              <w:jc w:val="center"/>
              <w:rPr>
                <w:rFonts w:ascii="Times New Roman" w:eastAsia="仿宋"/>
                <w:szCs w:val="21"/>
              </w:rPr>
            </w:pPr>
            <w:r>
              <w:rPr>
                <w:rFonts w:hint="eastAsia" w:ascii="Times New Roman" w:eastAsia="仿宋"/>
                <w:szCs w:val="21"/>
              </w:rPr>
              <w:t>成品用量（t）</w:t>
            </w:r>
          </w:p>
        </w:tc>
        <w:tc>
          <w:tcPr>
            <w:tcW w:w="833" w:type="dxa"/>
            <w:vAlign w:val="center"/>
          </w:tcPr>
          <w:p w14:paraId="5B579EF6">
            <w:pPr>
              <w:widowControl/>
              <w:jc w:val="center"/>
              <w:rPr>
                <w:rFonts w:ascii="Times New Roman" w:eastAsia="仿宋"/>
                <w:szCs w:val="21"/>
              </w:rPr>
            </w:pPr>
            <w:r>
              <w:rPr>
                <w:rFonts w:hint="eastAsia" w:ascii="Times New Roman" w:eastAsia="仿宋"/>
                <w:szCs w:val="21"/>
              </w:rPr>
              <w:t>实际用量（t）</w:t>
            </w:r>
          </w:p>
        </w:tc>
      </w:tr>
      <w:tr w14:paraId="007F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4" w:type="dxa"/>
            <w:noWrap/>
            <w:vAlign w:val="center"/>
          </w:tcPr>
          <w:p w14:paraId="7421396D">
            <w:pPr>
              <w:widowControl/>
              <w:jc w:val="center"/>
              <w:rPr>
                <w:rFonts w:ascii="Times New Roman" w:eastAsia="仿宋"/>
                <w:szCs w:val="21"/>
              </w:rPr>
            </w:pPr>
            <w:r>
              <w:rPr>
                <w:rFonts w:hint="eastAsia" w:ascii="Times New Roman" w:eastAsia="仿宋"/>
                <w:szCs w:val="21"/>
              </w:rPr>
              <w:t>氟碳底漆（含稀释剂）</w:t>
            </w:r>
          </w:p>
        </w:tc>
        <w:tc>
          <w:tcPr>
            <w:tcW w:w="1439" w:type="dxa"/>
            <w:noWrap/>
            <w:vAlign w:val="center"/>
          </w:tcPr>
          <w:p w14:paraId="25CC1AF3">
            <w:pPr>
              <w:widowControl/>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092" w:type="dxa"/>
            <w:vAlign w:val="center"/>
          </w:tcPr>
          <w:p w14:paraId="69BE0AB8">
            <w:pPr>
              <w:widowControl/>
              <w:jc w:val="center"/>
              <w:rPr>
                <w:rFonts w:ascii="Times New Roman" w:eastAsia="仿宋"/>
                <w:szCs w:val="21"/>
              </w:rPr>
            </w:pPr>
            <w:r>
              <w:rPr>
                <w:rFonts w:hint="eastAsia" w:ascii="Times New Roman" w:eastAsia="仿宋"/>
                <w:szCs w:val="21"/>
              </w:rPr>
              <w:t>平均80</w:t>
            </w:r>
          </w:p>
        </w:tc>
        <w:tc>
          <w:tcPr>
            <w:tcW w:w="820" w:type="dxa"/>
            <w:vAlign w:val="center"/>
          </w:tcPr>
          <w:p w14:paraId="3C033791">
            <w:pPr>
              <w:widowControl/>
              <w:jc w:val="center"/>
              <w:rPr>
                <w:rFonts w:ascii="Times New Roman" w:eastAsia="仿宋"/>
                <w:szCs w:val="21"/>
              </w:rPr>
            </w:pPr>
            <w:r>
              <w:rPr>
                <w:rFonts w:hint="eastAsia" w:ascii="Times New Roman" w:eastAsia="仿宋"/>
                <w:szCs w:val="21"/>
              </w:rPr>
              <w:t>1030</w:t>
            </w:r>
          </w:p>
        </w:tc>
        <w:tc>
          <w:tcPr>
            <w:tcW w:w="820" w:type="dxa"/>
            <w:vMerge w:val="restart"/>
            <w:vAlign w:val="center"/>
          </w:tcPr>
          <w:p w14:paraId="15A66771">
            <w:pPr>
              <w:widowControl/>
              <w:jc w:val="center"/>
              <w:rPr>
                <w:rFonts w:ascii="Times New Roman" w:eastAsia="仿宋"/>
                <w:szCs w:val="21"/>
              </w:rPr>
            </w:pPr>
            <w:r>
              <w:rPr>
                <w:rFonts w:ascii="Times New Roman" w:eastAsia="仿宋"/>
                <w:szCs w:val="21"/>
              </w:rPr>
              <w:t>96.5</w:t>
            </w:r>
          </w:p>
        </w:tc>
        <w:tc>
          <w:tcPr>
            <w:tcW w:w="820" w:type="dxa"/>
            <w:vAlign w:val="center"/>
          </w:tcPr>
          <w:p w14:paraId="03D2D2A7">
            <w:pPr>
              <w:widowControl/>
              <w:jc w:val="center"/>
              <w:rPr>
                <w:rFonts w:ascii="Times New Roman" w:eastAsia="仿宋"/>
                <w:szCs w:val="21"/>
              </w:rPr>
            </w:pPr>
            <w:r>
              <w:rPr>
                <w:rFonts w:ascii="Times New Roman" w:eastAsia="仿宋"/>
                <w:szCs w:val="21"/>
              </w:rPr>
              <w:t>70</w:t>
            </w:r>
          </w:p>
        </w:tc>
        <w:tc>
          <w:tcPr>
            <w:tcW w:w="833" w:type="dxa"/>
            <w:vAlign w:val="center"/>
          </w:tcPr>
          <w:p w14:paraId="4BAD600B">
            <w:pPr>
              <w:widowControl/>
              <w:jc w:val="center"/>
              <w:rPr>
                <w:rFonts w:ascii="Times New Roman" w:eastAsia="仿宋"/>
                <w:szCs w:val="21"/>
              </w:rPr>
            </w:pPr>
            <w:r>
              <w:rPr>
                <w:rFonts w:hint="eastAsia" w:ascii="Times New Roman" w:eastAsia="仿宋"/>
                <w:szCs w:val="21"/>
              </w:rPr>
              <w:t>24.72</w:t>
            </w:r>
          </w:p>
        </w:tc>
        <w:tc>
          <w:tcPr>
            <w:tcW w:w="833" w:type="dxa"/>
            <w:vAlign w:val="center"/>
          </w:tcPr>
          <w:p w14:paraId="02CA1BE3">
            <w:pPr>
              <w:widowControl/>
              <w:jc w:val="center"/>
              <w:rPr>
                <w:rFonts w:ascii="Times New Roman" w:eastAsia="仿宋"/>
                <w:szCs w:val="21"/>
              </w:rPr>
            </w:pPr>
            <w:r>
              <w:rPr>
                <w:rFonts w:hint="eastAsia" w:ascii="Times New Roman" w:eastAsia="仿宋"/>
                <w:szCs w:val="21"/>
              </w:rPr>
              <w:t>36.6</w:t>
            </w:r>
          </w:p>
        </w:tc>
      </w:tr>
      <w:tr w14:paraId="4245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4" w:type="dxa"/>
            <w:noWrap/>
            <w:vAlign w:val="center"/>
          </w:tcPr>
          <w:p w14:paraId="7AEC2361">
            <w:pPr>
              <w:widowControl/>
              <w:jc w:val="center"/>
              <w:rPr>
                <w:rFonts w:ascii="Times New Roman" w:eastAsia="仿宋"/>
                <w:szCs w:val="21"/>
              </w:rPr>
            </w:pPr>
            <w:r>
              <w:rPr>
                <w:rFonts w:hint="eastAsia" w:ascii="Times New Roman" w:eastAsia="仿宋"/>
                <w:szCs w:val="21"/>
              </w:rPr>
              <w:t>氟碳面漆（含稀释剂）</w:t>
            </w:r>
          </w:p>
        </w:tc>
        <w:tc>
          <w:tcPr>
            <w:tcW w:w="1439" w:type="dxa"/>
            <w:noWrap/>
            <w:vAlign w:val="center"/>
          </w:tcPr>
          <w:p w14:paraId="3507D9C9">
            <w:pPr>
              <w:widowControl/>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092" w:type="dxa"/>
            <w:vAlign w:val="center"/>
          </w:tcPr>
          <w:p w14:paraId="31C12EBD">
            <w:pPr>
              <w:widowControl/>
              <w:jc w:val="center"/>
              <w:rPr>
                <w:rFonts w:ascii="Times New Roman" w:eastAsia="仿宋"/>
                <w:szCs w:val="21"/>
              </w:rPr>
            </w:pPr>
            <w:r>
              <w:rPr>
                <w:rFonts w:hint="eastAsia" w:ascii="Times New Roman" w:eastAsia="仿宋"/>
                <w:szCs w:val="21"/>
              </w:rPr>
              <w:t>平均132</w:t>
            </w:r>
          </w:p>
        </w:tc>
        <w:tc>
          <w:tcPr>
            <w:tcW w:w="820" w:type="dxa"/>
            <w:vAlign w:val="center"/>
          </w:tcPr>
          <w:p w14:paraId="51393CB3">
            <w:pPr>
              <w:spacing w:line="360" w:lineRule="exact"/>
              <w:jc w:val="center"/>
              <w:rPr>
                <w:rFonts w:ascii="Times New Roman" w:eastAsia="仿宋"/>
                <w:szCs w:val="21"/>
              </w:rPr>
            </w:pPr>
            <w:r>
              <w:rPr>
                <w:rFonts w:hint="eastAsia" w:ascii="Times New Roman" w:eastAsia="仿宋"/>
                <w:szCs w:val="21"/>
              </w:rPr>
              <w:t>976.7</w:t>
            </w:r>
          </w:p>
        </w:tc>
        <w:tc>
          <w:tcPr>
            <w:tcW w:w="820" w:type="dxa"/>
            <w:vMerge w:val="continue"/>
            <w:vAlign w:val="center"/>
          </w:tcPr>
          <w:p w14:paraId="0B9485CC">
            <w:pPr>
              <w:spacing w:line="360" w:lineRule="exact"/>
              <w:jc w:val="center"/>
              <w:rPr>
                <w:rFonts w:ascii="Times New Roman" w:eastAsia="仿宋"/>
                <w:szCs w:val="21"/>
              </w:rPr>
            </w:pPr>
          </w:p>
        </w:tc>
        <w:tc>
          <w:tcPr>
            <w:tcW w:w="820" w:type="dxa"/>
            <w:vAlign w:val="center"/>
          </w:tcPr>
          <w:p w14:paraId="0B3B22EA">
            <w:pPr>
              <w:widowControl/>
              <w:jc w:val="center"/>
              <w:rPr>
                <w:rFonts w:ascii="Times New Roman" w:eastAsia="仿宋"/>
                <w:szCs w:val="21"/>
              </w:rPr>
            </w:pPr>
            <w:r>
              <w:rPr>
                <w:rFonts w:ascii="Times New Roman" w:eastAsia="仿宋"/>
                <w:szCs w:val="21"/>
              </w:rPr>
              <w:t>70</w:t>
            </w:r>
          </w:p>
        </w:tc>
        <w:tc>
          <w:tcPr>
            <w:tcW w:w="833" w:type="dxa"/>
            <w:vAlign w:val="center"/>
          </w:tcPr>
          <w:p w14:paraId="5CD5F5E8">
            <w:pPr>
              <w:widowControl/>
              <w:jc w:val="center"/>
              <w:rPr>
                <w:rFonts w:ascii="Times New Roman" w:eastAsia="仿宋"/>
                <w:szCs w:val="21"/>
              </w:rPr>
            </w:pPr>
            <w:r>
              <w:rPr>
                <w:rFonts w:hint="eastAsia" w:ascii="Times New Roman" w:eastAsia="仿宋"/>
                <w:szCs w:val="21"/>
              </w:rPr>
              <w:t>38.68</w:t>
            </w:r>
          </w:p>
        </w:tc>
        <w:tc>
          <w:tcPr>
            <w:tcW w:w="833" w:type="dxa"/>
            <w:vAlign w:val="center"/>
          </w:tcPr>
          <w:p w14:paraId="1CDBDE57">
            <w:pPr>
              <w:widowControl/>
              <w:jc w:val="center"/>
              <w:rPr>
                <w:rFonts w:ascii="Times New Roman" w:eastAsia="仿宋"/>
                <w:szCs w:val="21"/>
              </w:rPr>
            </w:pPr>
            <w:r>
              <w:rPr>
                <w:rFonts w:hint="eastAsia" w:ascii="Times New Roman" w:eastAsia="仿宋"/>
                <w:szCs w:val="21"/>
              </w:rPr>
              <w:t>57.3</w:t>
            </w:r>
          </w:p>
        </w:tc>
      </w:tr>
    </w:tbl>
    <w:p w14:paraId="1E1A1E16">
      <w:pPr>
        <w:spacing w:line="480" w:lineRule="exact"/>
        <w:ind w:firstLine="482" w:firstLineChars="200"/>
        <w:rPr>
          <w:rFonts w:ascii="Times New Roman" w:eastAsia="仿宋"/>
          <w:b/>
        </w:rPr>
      </w:pPr>
      <w:r>
        <w:rPr>
          <w:rFonts w:hint="eastAsia" w:ascii="Times New Roman" w:eastAsia="仿宋"/>
          <w:b/>
        </w:rPr>
        <w:t>注：损耗率中3%进入不合格品，0.5%进入危废。</w:t>
      </w:r>
    </w:p>
    <w:p w14:paraId="7FFE7EAD">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.6主要原辅材料消耗及理化性质汇总</w:t>
      </w:r>
    </w:p>
    <w:p w14:paraId="3DBBA326">
      <w:pPr>
        <w:pStyle w:val="7"/>
        <w:spacing w:before="120"/>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.6.1原辅料消耗情况</w:t>
      </w:r>
    </w:p>
    <w:p w14:paraId="70FFACD9">
      <w:pPr>
        <w:spacing w:line="500" w:lineRule="exact"/>
        <w:ind w:firstLine="560" w:firstLineChars="200"/>
        <w:rPr>
          <w:rFonts w:ascii="Times New Roman" w:eastAsia="仿宋"/>
          <w:b/>
          <w:bCs/>
          <w:szCs w:val="28"/>
        </w:rPr>
      </w:pPr>
      <w:bookmarkStart w:id="217" w:name="_Ref388623550"/>
      <w:r>
        <w:rPr>
          <w:rFonts w:hint="eastAsia" w:ascii="Times New Roman" w:eastAsia="仿宋"/>
          <w:sz w:val="28"/>
          <w:szCs w:val="28"/>
        </w:rPr>
        <w:t>本项目</w:t>
      </w:r>
      <w:r>
        <w:rPr>
          <w:rFonts w:ascii="Times New Roman" w:eastAsia="仿宋"/>
          <w:sz w:val="28"/>
          <w:szCs w:val="28"/>
        </w:rPr>
        <w:t>主要原辅材料消耗见表3.1-8。</w:t>
      </w:r>
    </w:p>
    <w:p w14:paraId="2D76E1B2">
      <w:pPr>
        <w:spacing w:line="500" w:lineRule="exact"/>
        <w:ind w:firstLine="482" w:firstLineChars="200"/>
        <w:jc w:val="center"/>
        <w:rPr>
          <w:rFonts w:ascii="Times New Roman" w:eastAsia="仿宋"/>
          <w:b/>
          <w:bCs/>
        </w:rPr>
      </w:pPr>
      <w:r>
        <w:rPr>
          <w:rFonts w:hint="eastAsia" w:ascii="Times New Roman" w:eastAsia="仿宋"/>
          <w:b/>
          <w:bCs/>
          <w:szCs w:val="28"/>
        </w:rPr>
        <w:t>表3.</w:t>
      </w:r>
      <w:r>
        <w:rPr>
          <w:rFonts w:ascii="Times New Roman" w:eastAsia="仿宋"/>
          <w:b/>
          <w:bCs/>
          <w:szCs w:val="28"/>
        </w:rPr>
        <w:t>1</w:t>
      </w:r>
      <w:r>
        <w:rPr>
          <w:rFonts w:hint="eastAsia" w:ascii="Times New Roman" w:eastAsia="仿宋"/>
          <w:b/>
          <w:bCs/>
          <w:szCs w:val="28"/>
        </w:rPr>
        <w:t>-</w:t>
      </w:r>
      <w:r>
        <w:rPr>
          <w:rFonts w:ascii="Times New Roman" w:eastAsia="仿宋"/>
          <w:b/>
          <w:bCs/>
          <w:szCs w:val="28"/>
        </w:rPr>
        <w:t>8</w:t>
      </w:r>
      <w:r>
        <w:rPr>
          <w:rFonts w:hint="eastAsia" w:ascii="Times New Roman" w:eastAsia="仿宋"/>
          <w:b/>
          <w:bCs/>
          <w:szCs w:val="28"/>
        </w:rPr>
        <w:t xml:space="preserve">  </w:t>
      </w:r>
      <w:r>
        <w:rPr>
          <w:rFonts w:ascii="Times New Roman" w:eastAsia="仿宋"/>
          <w:b/>
          <w:bCs/>
          <w:szCs w:val="28"/>
        </w:rPr>
        <w:t>本项目原辅材料一览表</w:t>
      </w:r>
    </w:p>
    <w:tbl>
      <w:tblPr>
        <w:tblStyle w:val="8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00"/>
        <w:gridCol w:w="2145"/>
        <w:gridCol w:w="898"/>
        <w:gridCol w:w="565"/>
        <w:gridCol w:w="839"/>
        <w:gridCol w:w="837"/>
        <w:gridCol w:w="905"/>
        <w:gridCol w:w="1075"/>
        <w:gridCol w:w="706"/>
      </w:tblGrid>
      <w:tr w14:paraId="4DA0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Align w:val="center"/>
          </w:tcPr>
          <w:p w14:paraId="411E9019">
            <w:pPr>
              <w:pStyle w:val="81"/>
              <w:adjustRightInd w:val="0"/>
              <w:jc w:val="center"/>
              <w:rPr>
                <w:rFonts w:eastAsia="仿宋"/>
              </w:rPr>
            </w:pPr>
            <w:r>
              <w:rPr>
                <w:rFonts w:eastAsia="仿宋"/>
              </w:rPr>
              <w:t>序号</w:t>
            </w:r>
          </w:p>
        </w:tc>
        <w:tc>
          <w:tcPr>
            <w:tcW w:w="433" w:type="pct"/>
            <w:vAlign w:val="center"/>
          </w:tcPr>
          <w:p w14:paraId="13D040DD">
            <w:pPr>
              <w:pStyle w:val="81"/>
              <w:adjustRightInd w:val="0"/>
              <w:jc w:val="center"/>
              <w:rPr>
                <w:rFonts w:eastAsia="仿宋"/>
              </w:rPr>
            </w:pPr>
            <w:r>
              <w:rPr>
                <w:rFonts w:eastAsia="仿宋"/>
              </w:rPr>
              <w:t>名称</w:t>
            </w:r>
          </w:p>
        </w:tc>
        <w:tc>
          <w:tcPr>
            <w:tcW w:w="1161" w:type="pct"/>
            <w:vAlign w:val="center"/>
          </w:tcPr>
          <w:p w14:paraId="765FC1DE">
            <w:pPr>
              <w:pStyle w:val="81"/>
              <w:adjustRightInd w:val="0"/>
              <w:jc w:val="center"/>
              <w:rPr>
                <w:rFonts w:eastAsia="仿宋"/>
              </w:rPr>
            </w:pPr>
            <w:r>
              <w:rPr>
                <w:rFonts w:eastAsia="仿宋"/>
              </w:rPr>
              <w:t>组分</w:t>
            </w:r>
          </w:p>
        </w:tc>
        <w:tc>
          <w:tcPr>
            <w:tcW w:w="486" w:type="pct"/>
            <w:vAlign w:val="center"/>
          </w:tcPr>
          <w:p w14:paraId="34293F93">
            <w:pPr>
              <w:pStyle w:val="81"/>
              <w:adjustRightInd w:val="0"/>
              <w:jc w:val="center"/>
              <w:rPr>
                <w:rFonts w:eastAsia="仿宋"/>
              </w:rPr>
            </w:pPr>
            <w:r>
              <w:rPr>
                <w:rFonts w:eastAsia="仿宋"/>
              </w:rPr>
              <w:t>年用量</w:t>
            </w:r>
          </w:p>
        </w:tc>
        <w:tc>
          <w:tcPr>
            <w:tcW w:w="306" w:type="pct"/>
            <w:vAlign w:val="center"/>
          </w:tcPr>
          <w:p w14:paraId="2D30A905">
            <w:pPr>
              <w:pStyle w:val="81"/>
              <w:adjustRightInd w:val="0"/>
              <w:jc w:val="center"/>
              <w:rPr>
                <w:rFonts w:eastAsia="仿宋"/>
              </w:rPr>
            </w:pPr>
            <w:r>
              <w:rPr>
                <w:rFonts w:eastAsia="仿宋"/>
              </w:rPr>
              <w:t>单位</w:t>
            </w:r>
          </w:p>
        </w:tc>
        <w:tc>
          <w:tcPr>
            <w:tcW w:w="454" w:type="pct"/>
            <w:vAlign w:val="center"/>
          </w:tcPr>
          <w:p w14:paraId="42A5861A">
            <w:pPr>
              <w:pStyle w:val="81"/>
              <w:adjustRightInd w:val="0"/>
              <w:jc w:val="center"/>
              <w:rPr>
                <w:rFonts w:eastAsia="仿宋"/>
              </w:rPr>
            </w:pPr>
            <w:r>
              <w:rPr>
                <w:rFonts w:eastAsia="仿宋"/>
              </w:rPr>
              <w:t>形态</w:t>
            </w:r>
          </w:p>
        </w:tc>
        <w:tc>
          <w:tcPr>
            <w:tcW w:w="453" w:type="pct"/>
            <w:vAlign w:val="center"/>
          </w:tcPr>
          <w:p w14:paraId="542FD345">
            <w:pPr>
              <w:pStyle w:val="81"/>
              <w:adjustRightInd w:val="0"/>
              <w:jc w:val="center"/>
              <w:rPr>
                <w:rFonts w:eastAsia="仿宋"/>
              </w:rPr>
            </w:pPr>
            <w:r>
              <w:rPr>
                <w:rFonts w:eastAsia="仿宋"/>
              </w:rPr>
              <w:t>最大存储量（t）</w:t>
            </w:r>
          </w:p>
        </w:tc>
        <w:tc>
          <w:tcPr>
            <w:tcW w:w="490" w:type="pct"/>
            <w:vAlign w:val="center"/>
          </w:tcPr>
          <w:p w14:paraId="110DFCDB">
            <w:pPr>
              <w:pStyle w:val="81"/>
              <w:adjustRightInd w:val="0"/>
              <w:jc w:val="center"/>
              <w:rPr>
                <w:rFonts w:eastAsia="仿宋"/>
              </w:rPr>
            </w:pPr>
            <w:r>
              <w:rPr>
                <w:rFonts w:eastAsia="仿宋"/>
              </w:rPr>
              <w:t>包装规格</w:t>
            </w:r>
          </w:p>
        </w:tc>
        <w:tc>
          <w:tcPr>
            <w:tcW w:w="582" w:type="pct"/>
            <w:vAlign w:val="center"/>
          </w:tcPr>
          <w:p w14:paraId="112FC5C6">
            <w:pPr>
              <w:pStyle w:val="81"/>
              <w:adjustRightInd w:val="0"/>
              <w:jc w:val="center"/>
              <w:rPr>
                <w:rFonts w:eastAsia="仿宋"/>
              </w:rPr>
            </w:pPr>
            <w:r>
              <w:rPr>
                <w:rFonts w:eastAsia="仿宋"/>
              </w:rPr>
              <w:t>贮存位置</w:t>
            </w:r>
          </w:p>
        </w:tc>
        <w:tc>
          <w:tcPr>
            <w:tcW w:w="382" w:type="pct"/>
            <w:vAlign w:val="center"/>
          </w:tcPr>
          <w:p w14:paraId="1251C858">
            <w:pPr>
              <w:pStyle w:val="81"/>
              <w:adjustRightInd w:val="0"/>
              <w:jc w:val="center"/>
              <w:rPr>
                <w:rFonts w:eastAsia="仿宋"/>
              </w:rPr>
            </w:pPr>
            <w:r>
              <w:rPr>
                <w:rFonts w:hint="eastAsia" w:eastAsia="仿宋"/>
              </w:rPr>
              <w:t>运输方式</w:t>
            </w:r>
          </w:p>
        </w:tc>
      </w:tr>
      <w:tr w14:paraId="4DC5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22526619">
            <w:pPr>
              <w:pStyle w:val="81"/>
              <w:adjustRightInd w:val="0"/>
              <w:jc w:val="center"/>
              <w:rPr>
                <w:rFonts w:eastAsia="仿宋"/>
              </w:rPr>
            </w:pPr>
            <w:r>
              <w:rPr>
                <w:rFonts w:eastAsia="仿宋"/>
              </w:rPr>
              <w:t>1</w:t>
            </w:r>
          </w:p>
        </w:tc>
        <w:tc>
          <w:tcPr>
            <w:tcW w:w="433" w:type="pct"/>
            <w:vAlign w:val="center"/>
          </w:tcPr>
          <w:p w14:paraId="489D0DD1">
            <w:pPr>
              <w:pStyle w:val="81"/>
              <w:adjustRightInd w:val="0"/>
              <w:jc w:val="center"/>
              <w:rPr>
                <w:rFonts w:eastAsia="仿宋"/>
              </w:rPr>
            </w:pPr>
            <w:r>
              <w:rPr>
                <w:rFonts w:eastAsia="仿宋"/>
              </w:rPr>
              <w:t>铝板</w:t>
            </w:r>
          </w:p>
        </w:tc>
        <w:tc>
          <w:tcPr>
            <w:tcW w:w="1161" w:type="pct"/>
            <w:vAlign w:val="center"/>
          </w:tcPr>
          <w:p w14:paraId="2B49BE57">
            <w:pPr>
              <w:pStyle w:val="81"/>
              <w:adjustRightInd w:val="0"/>
              <w:jc w:val="center"/>
              <w:rPr>
                <w:rFonts w:eastAsia="仿宋"/>
              </w:rPr>
            </w:pPr>
            <w:r>
              <w:rPr>
                <w:rFonts w:eastAsia="仿宋"/>
              </w:rPr>
              <w:t>铝</w:t>
            </w:r>
            <w:r>
              <w:rPr>
                <w:rFonts w:hint="eastAsia" w:eastAsia="仿宋"/>
              </w:rPr>
              <w:t>合金</w:t>
            </w:r>
          </w:p>
        </w:tc>
        <w:tc>
          <w:tcPr>
            <w:tcW w:w="486" w:type="pct"/>
            <w:vAlign w:val="center"/>
          </w:tcPr>
          <w:p w14:paraId="6A2BC2DE">
            <w:pPr>
              <w:pStyle w:val="81"/>
              <w:adjustRightInd w:val="0"/>
              <w:jc w:val="center"/>
              <w:rPr>
                <w:rFonts w:eastAsia="仿宋"/>
              </w:rPr>
            </w:pPr>
            <w:r>
              <w:rPr>
                <w:rFonts w:eastAsia="仿宋"/>
              </w:rPr>
              <w:t>5000</w:t>
            </w:r>
          </w:p>
        </w:tc>
        <w:tc>
          <w:tcPr>
            <w:tcW w:w="306" w:type="pct"/>
            <w:vAlign w:val="center"/>
          </w:tcPr>
          <w:p w14:paraId="36118296">
            <w:pPr>
              <w:pStyle w:val="81"/>
              <w:adjustRightInd w:val="0"/>
              <w:jc w:val="center"/>
              <w:rPr>
                <w:rFonts w:eastAsia="仿宋"/>
              </w:rPr>
            </w:pPr>
            <w:r>
              <w:rPr>
                <w:rFonts w:eastAsia="仿宋"/>
              </w:rPr>
              <w:t>t/a</w:t>
            </w:r>
          </w:p>
        </w:tc>
        <w:tc>
          <w:tcPr>
            <w:tcW w:w="454" w:type="pct"/>
            <w:vAlign w:val="center"/>
          </w:tcPr>
          <w:p w14:paraId="41712BBD">
            <w:pPr>
              <w:pStyle w:val="81"/>
              <w:adjustRightInd w:val="0"/>
              <w:jc w:val="center"/>
              <w:rPr>
                <w:rFonts w:eastAsia="仿宋"/>
              </w:rPr>
            </w:pPr>
            <w:r>
              <w:rPr>
                <w:rFonts w:eastAsia="仿宋"/>
              </w:rPr>
              <w:t>固态</w:t>
            </w:r>
          </w:p>
        </w:tc>
        <w:tc>
          <w:tcPr>
            <w:tcW w:w="453" w:type="pct"/>
            <w:vAlign w:val="center"/>
          </w:tcPr>
          <w:p w14:paraId="356941DB">
            <w:pPr>
              <w:pStyle w:val="81"/>
              <w:adjustRightInd w:val="0"/>
              <w:jc w:val="center"/>
              <w:rPr>
                <w:rFonts w:eastAsia="仿宋"/>
              </w:rPr>
            </w:pPr>
            <w:r>
              <w:rPr>
                <w:rFonts w:hint="eastAsia" w:eastAsia="仿宋"/>
              </w:rPr>
              <w:t>350</w:t>
            </w:r>
          </w:p>
        </w:tc>
        <w:tc>
          <w:tcPr>
            <w:tcW w:w="490" w:type="pct"/>
            <w:vAlign w:val="center"/>
          </w:tcPr>
          <w:p w14:paraId="157D42A5">
            <w:pPr>
              <w:pStyle w:val="81"/>
              <w:adjustRightInd w:val="0"/>
              <w:jc w:val="center"/>
              <w:rPr>
                <w:rFonts w:eastAsia="仿宋"/>
              </w:rPr>
            </w:pPr>
            <w:r>
              <w:rPr>
                <w:rFonts w:eastAsia="仿宋"/>
              </w:rPr>
              <w:t>/</w:t>
            </w:r>
          </w:p>
        </w:tc>
        <w:tc>
          <w:tcPr>
            <w:tcW w:w="582" w:type="pct"/>
            <w:vAlign w:val="center"/>
          </w:tcPr>
          <w:p w14:paraId="7EED48D2">
            <w:pPr>
              <w:pStyle w:val="81"/>
              <w:adjustRightInd w:val="0"/>
              <w:jc w:val="center"/>
              <w:rPr>
                <w:rFonts w:eastAsia="仿宋"/>
              </w:rPr>
            </w:pPr>
            <w:r>
              <w:rPr>
                <w:rFonts w:hint="eastAsia" w:eastAsia="仿宋"/>
              </w:rPr>
              <w:t>原料堆放区</w:t>
            </w:r>
          </w:p>
        </w:tc>
        <w:tc>
          <w:tcPr>
            <w:tcW w:w="382" w:type="pct"/>
            <w:vAlign w:val="center"/>
          </w:tcPr>
          <w:p w14:paraId="1005B422">
            <w:pPr>
              <w:pStyle w:val="81"/>
              <w:adjustRightInd w:val="0"/>
              <w:jc w:val="center"/>
              <w:rPr>
                <w:rFonts w:eastAsia="仿宋"/>
              </w:rPr>
            </w:pPr>
            <w:r>
              <w:rPr>
                <w:rFonts w:hint="eastAsia" w:eastAsia="仿宋"/>
              </w:rPr>
              <w:t>汽车</w:t>
            </w:r>
          </w:p>
        </w:tc>
      </w:tr>
      <w:tr w14:paraId="65CD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41A3672C">
            <w:pPr>
              <w:pStyle w:val="81"/>
              <w:adjustRightInd w:val="0"/>
              <w:jc w:val="center"/>
              <w:rPr>
                <w:rFonts w:eastAsia="仿宋"/>
              </w:rPr>
            </w:pPr>
            <w:r>
              <w:rPr>
                <w:rFonts w:eastAsia="仿宋"/>
              </w:rPr>
              <w:t>2</w:t>
            </w:r>
          </w:p>
        </w:tc>
        <w:tc>
          <w:tcPr>
            <w:tcW w:w="433" w:type="pct"/>
            <w:vAlign w:val="center"/>
          </w:tcPr>
          <w:p w14:paraId="22643BA9">
            <w:pPr>
              <w:pStyle w:val="81"/>
              <w:adjustRightInd w:val="0"/>
              <w:jc w:val="center"/>
              <w:rPr>
                <w:rFonts w:eastAsia="仿宋"/>
              </w:rPr>
            </w:pPr>
            <w:r>
              <w:rPr>
                <w:rFonts w:eastAsia="仿宋"/>
              </w:rPr>
              <w:t>焊材</w:t>
            </w:r>
          </w:p>
        </w:tc>
        <w:tc>
          <w:tcPr>
            <w:tcW w:w="1161" w:type="pct"/>
            <w:vAlign w:val="center"/>
          </w:tcPr>
          <w:p w14:paraId="16CBE2A5">
            <w:pPr>
              <w:pStyle w:val="81"/>
              <w:adjustRightInd w:val="0"/>
              <w:jc w:val="center"/>
              <w:rPr>
                <w:rFonts w:eastAsia="仿宋"/>
              </w:rPr>
            </w:pPr>
            <w:r>
              <w:rPr>
                <w:rFonts w:hint="eastAsia" w:eastAsia="仿宋"/>
                <w:szCs w:val="21"/>
              </w:rPr>
              <w:t>金属</w:t>
            </w:r>
            <w:r>
              <w:rPr>
                <w:rFonts w:eastAsia="仿宋"/>
                <w:szCs w:val="21"/>
              </w:rPr>
              <w:t>锡</w:t>
            </w:r>
            <w:r>
              <w:rPr>
                <w:rFonts w:hint="eastAsia" w:eastAsia="仿宋"/>
                <w:szCs w:val="21"/>
              </w:rPr>
              <w:t>99.3</w:t>
            </w:r>
            <w:r>
              <w:rPr>
                <w:rFonts w:eastAsia="仿宋"/>
                <w:szCs w:val="21"/>
              </w:rPr>
              <w:t>%、</w:t>
            </w:r>
            <w:r>
              <w:rPr>
                <w:rFonts w:hint="eastAsia" w:eastAsia="仿宋"/>
                <w:szCs w:val="21"/>
              </w:rPr>
              <w:t>银0.1</w:t>
            </w:r>
            <w:r>
              <w:rPr>
                <w:rFonts w:eastAsia="仿宋"/>
                <w:szCs w:val="21"/>
              </w:rPr>
              <w:t>%、</w:t>
            </w:r>
            <w:r>
              <w:rPr>
                <w:rFonts w:hint="eastAsia" w:eastAsia="仿宋"/>
                <w:szCs w:val="21"/>
              </w:rPr>
              <w:t>铜0.6</w:t>
            </w:r>
            <w:r>
              <w:rPr>
                <w:rFonts w:eastAsia="仿宋"/>
                <w:szCs w:val="21"/>
              </w:rPr>
              <w:t>%</w:t>
            </w:r>
          </w:p>
        </w:tc>
        <w:tc>
          <w:tcPr>
            <w:tcW w:w="486" w:type="pct"/>
            <w:vAlign w:val="center"/>
          </w:tcPr>
          <w:p w14:paraId="31C43695">
            <w:pPr>
              <w:pStyle w:val="81"/>
              <w:adjustRightInd w:val="0"/>
              <w:jc w:val="center"/>
              <w:rPr>
                <w:rFonts w:eastAsia="仿宋"/>
              </w:rPr>
            </w:pPr>
            <w:r>
              <w:rPr>
                <w:rFonts w:eastAsia="仿宋"/>
              </w:rPr>
              <w:t>5</w:t>
            </w:r>
          </w:p>
        </w:tc>
        <w:tc>
          <w:tcPr>
            <w:tcW w:w="306" w:type="pct"/>
            <w:vAlign w:val="center"/>
          </w:tcPr>
          <w:p w14:paraId="5D846FA7">
            <w:pPr>
              <w:pStyle w:val="81"/>
              <w:adjustRightInd w:val="0"/>
              <w:jc w:val="center"/>
              <w:rPr>
                <w:rFonts w:eastAsia="仿宋"/>
              </w:rPr>
            </w:pPr>
            <w:r>
              <w:rPr>
                <w:rFonts w:eastAsia="仿宋"/>
              </w:rPr>
              <w:t>t/a</w:t>
            </w:r>
          </w:p>
        </w:tc>
        <w:tc>
          <w:tcPr>
            <w:tcW w:w="454" w:type="pct"/>
            <w:vAlign w:val="center"/>
          </w:tcPr>
          <w:p w14:paraId="46328BC4">
            <w:pPr>
              <w:pStyle w:val="81"/>
              <w:adjustRightInd w:val="0"/>
              <w:jc w:val="center"/>
              <w:rPr>
                <w:rFonts w:eastAsia="仿宋"/>
              </w:rPr>
            </w:pPr>
            <w:r>
              <w:rPr>
                <w:rFonts w:eastAsia="仿宋"/>
              </w:rPr>
              <w:t>固态</w:t>
            </w:r>
          </w:p>
        </w:tc>
        <w:tc>
          <w:tcPr>
            <w:tcW w:w="453" w:type="pct"/>
            <w:vAlign w:val="center"/>
          </w:tcPr>
          <w:p w14:paraId="58D0D364">
            <w:pPr>
              <w:pStyle w:val="81"/>
              <w:adjustRightInd w:val="0"/>
              <w:jc w:val="center"/>
              <w:rPr>
                <w:rFonts w:eastAsia="仿宋"/>
              </w:rPr>
            </w:pPr>
            <w:r>
              <w:rPr>
                <w:rFonts w:hint="eastAsia" w:eastAsia="仿宋"/>
              </w:rPr>
              <w:t>0.5</w:t>
            </w:r>
          </w:p>
        </w:tc>
        <w:tc>
          <w:tcPr>
            <w:tcW w:w="490" w:type="pct"/>
            <w:vAlign w:val="center"/>
          </w:tcPr>
          <w:p w14:paraId="6401D79E">
            <w:pPr>
              <w:pStyle w:val="81"/>
              <w:adjustRightInd w:val="0"/>
              <w:jc w:val="center"/>
              <w:rPr>
                <w:rFonts w:eastAsia="仿宋"/>
              </w:rPr>
            </w:pPr>
            <w:r>
              <w:rPr>
                <w:rFonts w:eastAsia="仿宋"/>
              </w:rPr>
              <w:t>/</w:t>
            </w:r>
          </w:p>
        </w:tc>
        <w:tc>
          <w:tcPr>
            <w:tcW w:w="582" w:type="pct"/>
            <w:vAlign w:val="center"/>
          </w:tcPr>
          <w:p w14:paraId="64DADD3D">
            <w:pPr>
              <w:pStyle w:val="81"/>
              <w:adjustRightInd w:val="0"/>
              <w:jc w:val="center"/>
              <w:rPr>
                <w:rFonts w:eastAsia="仿宋"/>
              </w:rPr>
            </w:pPr>
            <w:r>
              <w:rPr>
                <w:rFonts w:hint="eastAsia" w:eastAsia="仿宋"/>
              </w:rPr>
              <w:t>原料堆放区</w:t>
            </w:r>
          </w:p>
        </w:tc>
        <w:tc>
          <w:tcPr>
            <w:tcW w:w="382" w:type="pct"/>
            <w:vAlign w:val="center"/>
          </w:tcPr>
          <w:p w14:paraId="16B4ED52">
            <w:pPr>
              <w:pStyle w:val="81"/>
              <w:adjustRightInd w:val="0"/>
              <w:jc w:val="center"/>
              <w:rPr>
                <w:rFonts w:eastAsia="仿宋"/>
              </w:rPr>
            </w:pPr>
            <w:r>
              <w:rPr>
                <w:rFonts w:hint="eastAsia" w:eastAsia="仿宋"/>
              </w:rPr>
              <w:t>汽车</w:t>
            </w:r>
          </w:p>
        </w:tc>
      </w:tr>
      <w:tr w14:paraId="7AF9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100AB298">
            <w:pPr>
              <w:pStyle w:val="81"/>
              <w:adjustRightInd w:val="0"/>
              <w:jc w:val="center"/>
              <w:rPr>
                <w:rFonts w:eastAsia="仿宋"/>
              </w:rPr>
            </w:pPr>
            <w:r>
              <w:rPr>
                <w:rFonts w:eastAsia="仿宋"/>
              </w:rPr>
              <w:t>3</w:t>
            </w:r>
          </w:p>
        </w:tc>
        <w:tc>
          <w:tcPr>
            <w:tcW w:w="433" w:type="pct"/>
            <w:vAlign w:val="center"/>
          </w:tcPr>
          <w:p w14:paraId="0ED8D204">
            <w:pPr>
              <w:pStyle w:val="81"/>
              <w:adjustRightInd w:val="0"/>
              <w:jc w:val="center"/>
              <w:rPr>
                <w:rFonts w:eastAsia="仿宋"/>
              </w:rPr>
            </w:pPr>
            <w:r>
              <w:rPr>
                <w:rFonts w:hint="eastAsia" w:eastAsia="仿宋"/>
              </w:rPr>
              <w:t>脱脂剂</w:t>
            </w:r>
          </w:p>
        </w:tc>
        <w:tc>
          <w:tcPr>
            <w:tcW w:w="1161" w:type="pct"/>
            <w:vAlign w:val="center"/>
          </w:tcPr>
          <w:p w14:paraId="43FADB61">
            <w:pPr>
              <w:pStyle w:val="81"/>
              <w:adjustRightInd w:val="0"/>
              <w:jc w:val="center"/>
              <w:rPr>
                <w:rFonts w:eastAsia="仿宋"/>
              </w:rPr>
            </w:pPr>
            <w:r>
              <w:rPr>
                <w:rFonts w:hint="eastAsia" w:eastAsia="仿宋"/>
              </w:rPr>
              <w:t>草酸3%、硫酸20%、α-异十三烷基-ω-羟基-聚(氧-1,2-亚乙基)20%、水57%</w:t>
            </w:r>
          </w:p>
        </w:tc>
        <w:tc>
          <w:tcPr>
            <w:tcW w:w="486" w:type="pct"/>
            <w:vAlign w:val="center"/>
          </w:tcPr>
          <w:p w14:paraId="5B58638C">
            <w:pPr>
              <w:pStyle w:val="81"/>
              <w:adjustRightInd w:val="0"/>
              <w:jc w:val="center"/>
              <w:rPr>
                <w:rFonts w:eastAsia="仿宋"/>
              </w:rPr>
            </w:pPr>
            <w:r>
              <w:rPr>
                <w:rFonts w:eastAsia="仿宋"/>
              </w:rPr>
              <w:t>25</w:t>
            </w:r>
          </w:p>
        </w:tc>
        <w:tc>
          <w:tcPr>
            <w:tcW w:w="306" w:type="pct"/>
            <w:vAlign w:val="center"/>
          </w:tcPr>
          <w:p w14:paraId="33898787">
            <w:pPr>
              <w:pStyle w:val="81"/>
              <w:adjustRightInd w:val="0"/>
              <w:jc w:val="center"/>
              <w:rPr>
                <w:rFonts w:eastAsia="仿宋"/>
              </w:rPr>
            </w:pPr>
            <w:r>
              <w:rPr>
                <w:rFonts w:eastAsia="仿宋"/>
              </w:rPr>
              <w:t>t/a</w:t>
            </w:r>
          </w:p>
        </w:tc>
        <w:tc>
          <w:tcPr>
            <w:tcW w:w="454" w:type="pct"/>
            <w:vAlign w:val="center"/>
          </w:tcPr>
          <w:p w14:paraId="6F86E03E">
            <w:pPr>
              <w:pStyle w:val="81"/>
              <w:adjustRightInd w:val="0"/>
              <w:jc w:val="center"/>
              <w:rPr>
                <w:rFonts w:eastAsia="仿宋"/>
              </w:rPr>
            </w:pPr>
            <w:r>
              <w:rPr>
                <w:rFonts w:eastAsia="仿宋"/>
              </w:rPr>
              <w:t>液态</w:t>
            </w:r>
          </w:p>
        </w:tc>
        <w:tc>
          <w:tcPr>
            <w:tcW w:w="453" w:type="pct"/>
            <w:vAlign w:val="center"/>
          </w:tcPr>
          <w:p w14:paraId="3DCEEA7A">
            <w:pPr>
              <w:pStyle w:val="81"/>
              <w:adjustRightInd w:val="0"/>
              <w:jc w:val="center"/>
              <w:rPr>
                <w:rFonts w:eastAsia="仿宋"/>
              </w:rPr>
            </w:pPr>
            <w:r>
              <w:rPr>
                <w:rFonts w:hint="eastAsia" w:eastAsia="仿宋"/>
              </w:rPr>
              <w:t>3</w:t>
            </w:r>
          </w:p>
        </w:tc>
        <w:tc>
          <w:tcPr>
            <w:tcW w:w="490" w:type="pct"/>
            <w:vAlign w:val="center"/>
          </w:tcPr>
          <w:p w14:paraId="10428597">
            <w:pPr>
              <w:pStyle w:val="81"/>
              <w:adjustRightInd w:val="0"/>
              <w:jc w:val="center"/>
              <w:rPr>
                <w:rFonts w:eastAsia="仿宋"/>
              </w:rPr>
            </w:pPr>
            <w:r>
              <w:rPr>
                <w:rFonts w:eastAsia="仿宋"/>
              </w:rPr>
              <w:t>吨桶装</w:t>
            </w:r>
          </w:p>
        </w:tc>
        <w:tc>
          <w:tcPr>
            <w:tcW w:w="582" w:type="pct"/>
            <w:vAlign w:val="center"/>
          </w:tcPr>
          <w:p w14:paraId="625EBC2C">
            <w:pPr>
              <w:pStyle w:val="81"/>
              <w:adjustRightInd w:val="0"/>
              <w:jc w:val="center"/>
              <w:rPr>
                <w:rFonts w:eastAsia="仿宋"/>
              </w:rPr>
            </w:pPr>
            <w:r>
              <w:rPr>
                <w:rFonts w:hint="eastAsia" w:eastAsia="仿宋"/>
              </w:rPr>
              <w:t>仓库</w:t>
            </w:r>
          </w:p>
        </w:tc>
        <w:tc>
          <w:tcPr>
            <w:tcW w:w="382" w:type="pct"/>
            <w:vAlign w:val="center"/>
          </w:tcPr>
          <w:p w14:paraId="30B1EA60">
            <w:pPr>
              <w:pStyle w:val="81"/>
              <w:adjustRightInd w:val="0"/>
              <w:jc w:val="center"/>
              <w:rPr>
                <w:rFonts w:eastAsia="仿宋"/>
              </w:rPr>
            </w:pPr>
            <w:r>
              <w:rPr>
                <w:rFonts w:hint="eastAsia" w:eastAsia="仿宋"/>
              </w:rPr>
              <w:t>汽车</w:t>
            </w:r>
          </w:p>
        </w:tc>
      </w:tr>
      <w:tr w14:paraId="602F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4C2032A4">
            <w:pPr>
              <w:pStyle w:val="81"/>
              <w:adjustRightInd w:val="0"/>
              <w:jc w:val="center"/>
              <w:rPr>
                <w:rFonts w:eastAsia="仿宋"/>
              </w:rPr>
            </w:pPr>
            <w:r>
              <w:rPr>
                <w:rFonts w:hint="eastAsia" w:eastAsia="仿宋"/>
              </w:rPr>
              <w:t>4</w:t>
            </w:r>
          </w:p>
        </w:tc>
        <w:tc>
          <w:tcPr>
            <w:tcW w:w="433" w:type="pct"/>
            <w:vAlign w:val="center"/>
          </w:tcPr>
          <w:p w14:paraId="2F21C41E">
            <w:pPr>
              <w:pStyle w:val="81"/>
              <w:adjustRightInd w:val="0"/>
              <w:jc w:val="center"/>
              <w:rPr>
                <w:rFonts w:eastAsia="仿宋"/>
              </w:rPr>
            </w:pPr>
            <w:r>
              <w:rPr>
                <w:rFonts w:hint="eastAsia" w:eastAsia="仿宋"/>
              </w:rPr>
              <w:t>钝化剂</w:t>
            </w:r>
          </w:p>
        </w:tc>
        <w:tc>
          <w:tcPr>
            <w:tcW w:w="1161" w:type="pct"/>
            <w:vAlign w:val="center"/>
          </w:tcPr>
          <w:p w14:paraId="1B3BD0C7">
            <w:pPr>
              <w:pStyle w:val="81"/>
              <w:adjustRightInd w:val="0"/>
              <w:jc w:val="center"/>
              <w:rPr>
                <w:rFonts w:eastAsia="仿宋"/>
              </w:rPr>
            </w:pPr>
            <w:r>
              <w:rPr>
                <w:rFonts w:hint="eastAsia" w:eastAsia="仿宋"/>
              </w:rPr>
              <w:t>3-缩水甘油醚氧基丙基三甲氧基硅烷26%、丙烯酸树脂4%、乙醇35%、水35%</w:t>
            </w:r>
          </w:p>
        </w:tc>
        <w:tc>
          <w:tcPr>
            <w:tcW w:w="486" w:type="pct"/>
            <w:vAlign w:val="center"/>
          </w:tcPr>
          <w:p w14:paraId="1309C2FF">
            <w:pPr>
              <w:pStyle w:val="81"/>
              <w:adjustRightInd w:val="0"/>
              <w:jc w:val="center"/>
              <w:rPr>
                <w:rFonts w:eastAsia="仿宋"/>
              </w:rPr>
            </w:pPr>
            <w:r>
              <w:rPr>
                <w:rFonts w:hint="eastAsia" w:eastAsia="仿宋"/>
              </w:rPr>
              <w:t>25</w:t>
            </w:r>
          </w:p>
        </w:tc>
        <w:tc>
          <w:tcPr>
            <w:tcW w:w="306" w:type="pct"/>
            <w:vAlign w:val="center"/>
          </w:tcPr>
          <w:p w14:paraId="2E81F7CB">
            <w:pPr>
              <w:pStyle w:val="81"/>
              <w:adjustRightInd w:val="0"/>
              <w:jc w:val="center"/>
              <w:rPr>
                <w:rFonts w:eastAsia="仿宋"/>
              </w:rPr>
            </w:pPr>
            <w:r>
              <w:rPr>
                <w:rFonts w:eastAsia="仿宋"/>
              </w:rPr>
              <w:t>t/a</w:t>
            </w:r>
          </w:p>
        </w:tc>
        <w:tc>
          <w:tcPr>
            <w:tcW w:w="454" w:type="pct"/>
            <w:vAlign w:val="center"/>
          </w:tcPr>
          <w:p w14:paraId="45BF740B">
            <w:pPr>
              <w:pStyle w:val="81"/>
              <w:adjustRightInd w:val="0"/>
              <w:jc w:val="center"/>
              <w:rPr>
                <w:rFonts w:eastAsia="仿宋"/>
              </w:rPr>
            </w:pPr>
            <w:r>
              <w:rPr>
                <w:rFonts w:eastAsia="仿宋"/>
              </w:rPr>
              <w:t>液态</w:t>
            </w:r>
          </w:p>
        </w:tc>
        <w:tc>
          <w:tcPr>
            <w:tcW w:w="453" w:type="pct"/>
            <w:vAlign w:val="center"/>
          </w:tcPr>
          <w:p w14:paraId="49FCBE75">
            <w:pPr>
              <w:pStyle w:val="81"/>
              <w:adjustRightInd w:val="0"/>
              <w:jc w:val="center"/>
              <w:rPr>
                <w:rFonts w:eastAsia="仿宋"/>
              </w:rPr>
            </w:pPr>
            <w:r>
              <w:rPr>
                <w:rFonts w:hint="eastAsia" w:eastAsia="仿宋"/>
              </w:rPr>
              <w:t>3</w:t>
            </w:r>
          </w:p>
        </w:tc>
        <w:tc>
          <w:tcPr>
            <w:tcW w:w="490" w:type="pct"/>
            <w:vAlign w:val="center"/>
          </w:tcPr>
          <w:p w14:paraId="558A81B2">
            <w:pPr>
              <w:pStyle w:val="81"/>
              <w:adjustRightInd w:val="0"/>
              <w:jc w:val="center"/>
              <w:rPr>
                <w:rFonts w:eastAsia="仿宋"/>
              </w:rPr>
            </w:pPr>
            <w:r>
              <w:rPr>
                <w:rFonts w:eastAsia="仿宋"/>
              </w:rPr>
              <w:t>吨桶装</w:t>
            </w:r>
          </w:p>
        </w:tc>
        <w:tc>
          <w:tcPr>
            <w:tcW w:w="582" w:type="pct"/>
            <w:vAlign w:val="center"/>
          </w:tcPr>
          <w:p w14:paraId="141C54E4">
            <w:pPr>
              <w:pStyle w:val="81"/>
              <w:adjustRightInd w:val="0"/>
              <w:jc w:val="center"/>
              <w:rPr>
                <w:rFonts w:eastAsia="仿宋"/>
              </w:rPr>
            </w:pPr>
            <w:r>
              <w:rPr>
                <w:rFonts w:hint="eastAsia" w:eastAsia="仿宋"/>
              </w:rPr>
              <w:t>仓库</w:t>
            </w:r>
          </w:p>
        </w:tc>
        <w:tc>
          <w:tcPr>
            <w:tcW w:w="382" w:type="pct"/>
            <w:vAlign w:val="center"/>
          </w:tcPr>
          <w:p w14:paraId="4AEC1526">
            <w:pPr>
              <w:pStyle w:val="81"/>
              <w:adjustRightInd w:val="0"/>
              <w:jc w:val="center"/>
              <w:rPr>
                <w:rFonts w:eastAsia="仿宋"/>
              </w:rPr>
            </w:pPr>
            <w:r>
              <w:rPr>
                <w:rFonts w:hint="eastAsia" w:eastAsia="仿宋"/>
              </w:rPr>
              <w:t>汽车</w:t>
            </w:r>
          </w:p>
        </w:tc>
      </w:tr>
      <w:tr w14:paraId="767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6153B562">
            <w:pPr>
              <w:pStyle w:val="81"/>
              <w:adjustRightInd w:val="0"/>
              <w:jc w:val="center"/>
              <w:rPr>
                <w:rFonts w:eastAsia="仿宋"/>
              </w:rPr>
            </w:pPr>
            <w:r>
              <w:rPr>
                <w:rFonts w:eastAsia="仿宋"/>
              </w:rPr>
              <w:t>4</w:t>
            </w:r>
          </w:p>
        </w:tc>
        <w:tc>
          <w:tcPr>
            <w:tcW w:w="433" w:type="pct"/>
            <w:vAlign w:val="center"/>
          </w:tcPr>
          <w:p w14:paraId="5C0337A9">
            <w:pPr>
              <w:pStyle w:val="81"/>
              <w:adjustRightInd w:val="0"/>
              <w:jc w:val="center"/>
              <w:rPr>
                <w:rFonts w:eastAsia="仿宋"/>
              </w:rPr>
            </w:pPr>
            <w:r>
              <w:rPr>
                <w:rFonts w:eastAsia="仿宋"/>
              </w:rPr>
              <w:t>氟碳</w:t>
            </w:r>
            <w:r>
              <w:rPr>
                <w:rFonts w:hint="eastAsia" w:eastAsia="仿宋"/>
              </w:rPr>
              <w:t>底</w:t>
            </w:r>
            <w:r>
              <w:rPr>
                <w:rFonts w:eastAsia="仿宋"/>
              </w:rPr>
              <w:t>漆</w:t>
            </w:r>
          </w:p>
        </w:tc>
        <w:tc>
          <w:tcPr>
            <w:tcW w:w="1161" w:type="pct"/>
            <w:vAlign w:val="center"/>
          </w:tcPr>
          <w:p w14:paraId="5028453D">
            <w:pPr>
              <w:pStyle w:val="81"/>
              <w:adjustRightInd w:val="0"/>
              <w:jc w:val="center"/>
              <w:rPr>
                <w:rFonts w:eastAsia="仿宋"/>
              </w:rPr>
            </w:pPr>
            <w:r>
              <w:rPr>
                <w:rFonts w:eastAsia="仿宋"/>
              </w:rPr>
              <w:t>丙烯酸树脂15%、二氧化钛10%</w:t>
            </w:r>
            <w:r>
              <w:rPr>
                <w:rFonts w:hint="eastAsia" w:eastAsia="仿宋"/>
              </w:rPr>
              <w:t>、重晶石粉1</w:t>
            </w:r>
            <w:r>
              <w:rPr>
                <w:rFonts w:eastAsia="仿宋"/>
              </w:rPr>
              <w:t>5%</w:t>
            </w:r>
            <w:r>
              <w:rPr>
                <w:rFonts w:hint="eastAsia" w:eastAsia="仿宋"/>
              </w:rPr>
              <w:t>、P</w:t>
            </w:r>
            <w:r>
              <w:rPr>
                <w:rFonts w:eastAsia="仿宋"/>
              </w:rPr>
              <w:t>VDF</w:t>
            </w:r>
            <w:r>
              <w:rPr>
                <w:rFonts w:hint="eastAsia" w:eastAsia="仿宋"/>
              </w:rPr>
              <w:t>树脂1</w:t>
            </w:r>
            <w:r>
              <w:rPr>
                <w:rFonts w:eastAsia="仿宋"/>
              </w:rPr>
              <w:t>0%</w:t>
            </w:r>
            <w:r>
              <w:rPr>
                <w:rFonts w:hint="eastAsia" w:eastAsia="仿宋"/>
              </w:rPr>
              <w:t>、高分子化合物3</w:t>
            </w:r>
            <w:r>
              <w:rPr>
                <w:rFonts w:eastAsia="仿宋"/>
              </w:rPr>
              <w:t>%</w:t>
            </w:r>
            <w:r>
              <w:rPr>
                <w:rFonts w:hint="eastAsia" w:eastAsia="仿宋"/>
              </w:rPr>
              <w:t>、二价酸酯1</w:t>
            </w:r>
            <w:r>
              <w:rPr>
                <w:rFonts w:eastAsia="仿宋"/>
              </w:rPr>
              <w:t>0%</w:t>
            </w:r>
            <w:r>
              <w:rPr>
                <w:rFonts w:hint="eastAsia" w:eastAsia="仿宋"/>
              </w:rPr>
              <w:t>、邻苯二甲酸二甲酯6</w:t>
            </w:r>
            <w:r>
              <w:rPr>
                <w:rFonts w:eastAsia="仿宋"/>
              </w:rPr>
              <w:t>%</w:t>
            </w:r>
            <w:r>
              <w:rPr>
                <w:rFonts w:hint="eastAsia" w:eastAsia="仿宋"/>
              </w:rPr>
              <w:t>、二甲苯3</w:t>
            </w:r>
            <w:r>
              <w:rPr>
                <w:rFonts w:eastAsia="仿宋"/>
              </w:rPr>
              <w:t>1%</w:t>
            </w:r>
          </w:p>
        </w:tc>
        <w:tc>
          <w:tcPr>
            <w:tcW w:w="486" w:type="pct"/>
            <w:vAlign w:val="center"/>
          </w:tcPr>
          <w:p w14:paraId="40B0100A">
            <w:pPr>
              <w:pStyle w:val="81"/>
              <w:adjustRightInd w:val="0"/>
              <w:jc w:val="center"/>
              <w:rPr>
                <w:rFonts w:eastAsia="仿宋"/>
              </w:rPr>
            </w:pPr>
            <w:r>
              <w:rPr>
                <w:rFonts w:hint="eastAsia" w:eastAsia="仿宋"/>
              </w:rPr>
              <w:t>2</w:t>
            </w:r>
            <w:r>
              <w:rPr>
                <w:rFonts w:eastAsia="仿宋"/>
              </w:rPr>
              <w:t>2.875</w:t>
            </w:r>
          </w:p>
        </w:tc>
        <w:tc>
          <w:tcPr>
            <w:tcW w:w="306" w:type="pct"/>
            <w:vAlign w:val="center"/>
          </w:tcPr>
          <w:p w14:paraId="37112113">
            <w:pPr>
              <w:pStyle w:val="81"/>
              <w:adjustRightInd w:val="0"/>
              <w:jc w:val="center"/>
              <w:rPr>
                <w:rFonts w:eastAsia="仿宋"/>
              </w:rPr>
            </w:pPr>
            <w:r>
              <w:rPr>
                <w:rFonts w:eastAsia="仿宋"/>
              </w:rPr>
              <w:t>t/a</w:t>
            </w:r>
          </w:p>
        </w:tc>
        <w:tc>
          <w:tcPr>
            <w:tcW w:w="454" w:type="pct"/>
            <w:vAlign w:val="center"/>
          </w:tcPr>
          <w:p w14:paraId="12FA553B">
            <w:pPr>
              <w:pStyle w:val="81"/>
              <w:adjustRightInd w:val="0"/>
              <w:jc w:val="center"/>
              <w:rPr>
                <w:rFonts w:eastAsia="仿宋"/>
              </w:rPr>
            </w:pPr>
            <w:r>
              <w:rPr>
                <w:rFonts w:eastAsia="仿宋"/>
              </w:rPr>
              <w:t>液态</w:t>
            </w:r>
          </w:p>
        </w:tc>
        <w:tc>
          <w:tcPr>
            <w:tcW w:w="453" w:type="pct"/>
            <w:vAlign w:val="center"/>
          </w:tcPr>
          <w:p w14:paraId="362BAD13">
            <w:pPr>
              <w:pStyle w:val="81"/>
              <w:adjustRightInd w:val="0"/>
              <w:jc w:val="center"/>
              <w:rPr>
                <w:rFonts w:eastAsia="仿宋"/>
              </w:rPr>
            </w:pPr>
            <w:r>
              <w:rPr>
                <w:rFonts w:eastAsia="仿宋"/>
              </w:rPr>
              <w:t>4.8</w:t>
            </w:r>
          </w:p>
        </w:tc>
        <w:tc>
          <w:tcPr>
            <w:tcW w:w="490" w:type="pct"/>
            <w:vAlign w:val="center"/>
          </w:tcPr>
          <w:p w14:paraId="67FF8B04">
            <w:pPr>
              <w:pStyle w:val="81"/>
              <w:adjustRightInd w:val="0"/>
              <w:jc w:val="center"/>
              <w:rPr>
                <w:rFonts w:eastAsia="仿宋"/>
              </w:rPr>
            </w:pPr>
            <w:r>
              <w:rPr>
                <w:rFonts w:eastAsia="仿宋"/>
              </w:rPr>
              <w:t>24kg/桶装</w:t>
            </w:r>
          </w:p>
        </w:tc>
        <w:tc>
          <w:tcPr>
            <w:tcW w:w="582" w:type="pct"/>
            <w:vAlign w:val="center"/>
          </w:tcPr>
          <w:p w14:paraId="7CCC849F">
            <w:pPr>
              <w:pStyle w:val="81"/>
              <w:adjustRightInd w:val="0"/>
              <w:jc w:val="center"/>
              <w:rPr>
                <w:rFonts w:eastAsia="仿宋"/>
              </w:rPr>
            </w:pPr>
            <w:r>
              <w:rPr>
                <w:rFonts w:hint="eastAsia" w:eastAsia="仿宋"/>
              </w:rPr>
              <w:t>油漆仓库</w:t>
            </w:r>
          </w:p>
        </w:tc>
        <w:tc>
          <w:tcPr>
            <w:tcW w:w="382" w:type="pct"/>
            <w:vAlign w:val="center"/>
          </w:tcPr>
          <w:p w14:paraId="7B936ECA">
            <w:pPr>
              <w:pStyle w:val="81"/>
              <w:adjustRightInd w:val="0"/>
              <w:jc w:val="center"/>
              <w:rPr>
                <w:rFonts w:eastAsia="仿宋"/>
              </w:rPr>
            </w:pPr>
            <w:r>
              <w:rPr>
                <w:rFonts w:hint="eastAsia" w:eastAsia="仿宋"/>
              </w:rPr>
              <w:t>汽车</w:t>
            </w:r>
          </w:p>
        </w:tc>
      </w:tr>
      <w:tr w14:paraId="6325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1105F041">
            <w:pPr>
              <w:pStyle w:val="81"/>
              <w:adjustRightInd w:val="0"/>
              <w:jc w:val="center"/>
              <w:rPr>
                <w:rFonts w:eastAsia="仿宋"/>
              </w:rPr>
            </w:pPr>
            <w:r>
              <w:rPr>
                <w:rFonts w:eastAsia="仿宋"/>
              </w:rPr>
              <w:t>5</w:t>
            </w:r>
          </w:p>
        </w:tc>
        <w:tc>
          <w:tcPr>
            <w:tcW w:w="433" w:type="pct"/>
            <w:vAlign w:val="center"/>
          </w:tcPr>
          <w:p w14:paraId="16B3BFE3">
            <w:pPr>
              <w:pStyle w:val="81"/>
              <w:adjustRightInd w:val="0"/>
              <w:jc w:val="center"/>
              <w:rPr>
                <w:rFonts w:eastAsia="仿宋"/>
              </w:rPr>
            </w:pPr>
            <w:r>
              <w:rPr>
                <w:rFonts w:eastAsia="仿宋"/>
              </w:rPr>
              <w:t>氟碳</w:t>
            </w:r>
            <w:r>
              <w:rPr>
                <w:rFonts w:hint="eastAsia" w:eastAsia="仿宋"/>
              </w:rPr>
              <w:t>面</w:t>
            </w:r>
            <w:r>
              <w:rPr>
                <w:rFonts w:eastAsia="仿宋"/>
              </w:rPr>
              <w:t>漆</w:t>
            </w:r>
          </w:p>
        </w:tc>
        <w:tc>
          <w:tcPr>
            <w:tcW w:w="1161" w:type="pct"/>
            <w:vAlign w:val="center"/>
          </w:tcPr>
          <w:p w14:paraId="2280CCF9">
            <w:pPr>
              <w:pStyle w:val="81"/>
              <w:adjustRightInd w:val="0"/>
              <w:jc w:val="center"/>
              <w:rPr>
                <w:rFonts w:eastAsia="仿宋"/>
              </w:rPr>
            </w:pPr>
            <w:r>
              <w:rPr>
                <w:rFonts w:eastAsia="仿宋"/>
              </w:rPr>
              <w:t>丙烯酸树脂12.5%、二氧化钛10%、PVDF树脂30%、</w:t>
            </w:r>
            <w:r>
              <w:rPr>
                <w:rFonts w:hint="eastAsia" w:eastAsia="仿宋"/>
              </w:rPr>
              <w:t>高分子化合物</w:t>
            </w:r>
            <w:r>
              <w:rPr>
                <w:rFonts w:eastAsia="仿宋"/>
              </w:rPr>
              <w:t>3%、邻苯二甲酸二甲酯5%、二价酸酯15%</w:t>
            </w:r>
            <w:r>
              <w:rPr>
                <w:rFonts w:hint="eastAsia" w:eastAsia="仿宋"/>
              </w:rPr>
              <w:t>、二甲苯2</w:t>
            </w:r>
            <w:r>
              <w:rPr>
                <w:rFonts w:eastAsia="仿宋"/>
              </w:rPr>
              <w:t>4.5%</w:t>
            </w:r>
          </w:p>
        </w:tc>
        <w:tc>
          <w:tcPr>
            <w:tcW w:w="486" w:type="pct"/>
            <w:vAlign w:val="center"/>
          </w:tcPr>
          <w:p w14:paraId="0D65FC4C">
            <w:pPr>
              <w:pStyle w:val="81"/>
              <w:adjustRightInd w:val="0"/>
              <w:jc w:val="center"/>
              <w:rPr>
                <w:rFonts w:eastAsia="仿宋"/>
              </w:rPr>
            </w:pPr>
            <w:r>
              <w:rPr>
                <w:rFonts w:hint="eastAsia" w:eastAsia="仿宋"/>
              </w:rPr>
              <w:t>3</w:t>
            </w:r>
            <w:r>
              <w:rPr>
                <w:rFonts w:eastAsia="仿宋"/>
              </w:rPr>
              <w:t>8.2</w:t>
            </w:r>
          </w:p>
        </w:tc>
        <w:tc>
          <w:tcPr>
            <w:tcW w:w="306" w:type="pct"/>
            <w:vAlign w:val="center"/>
          </w:tcPr>
          <w:p w14:paraId="3B7DAB59">
            <w:pPr>
              <w:pStyle w:val="81"/>
              <w:adjustRightInd w:val="0"/>
              <w:jc w:val="center"/>
              <w:rPr>
                <w:rFonts w:eastAsia="仿宋"/>
              </w:rPr>
            </w:pPr>
            <w:r>
              <w:rPr>
                <w:rFonts w:eastAsia="仿宋"/>
              </w:rPr>
              <w:t>t/a</w:t>
            </w:r>
          </w:p>
        </w:tc>
        <w:tc>
          <w:tcPr>
            <w:tcW w:w="454" w:type="pct"/>
            <w:vAlign w:val="center"/>
          </w:tcPr>
          <w:p w14:paraId="310CAEA2">
            <w:pPr>
              <w:pStyle w:val="81"/>
              <w:adjustRightInd w:val="0"/>
              <w:jc w:val="center"/>
              <w:rPr>
                <w:rFonts w:eastAsia="仿宋"/>
              </w:rPr>
            </w:pPr>
            <w:r>
              <w:rPr>
                <w:rFonts w:eastAsia="仿宋"/>
              </w:rPr>
              <w:t>液态</w:t>
            </w:r>
          </w:p>
        </w:tc>
        <w:tc>
          <w:tcPr>
            <w:tcW w:w="453" w:type="pct"/>
            <w:vAlign w:val="center"/>
          </w:tcPr>
          <w:p w14:paraId="284DE38A">
            <w:pPr>
              <w:pStyle w:val="81"/>
              <w:adjustRightInd w:val="0"/>
              <w:jc w:val="center"/>
              <w:rPr>
                <w:rFonts w:eastAsia="仿宋"/>
              </w:rPr>
            </w:pPr>
            <w:r>
              <w:rPr>
                <w:rFonts w:eastAsia="仿宋"/>
              </w:rPr>
              <w:t>4.8</w:t>
            </w:r>
          </w:p>
        </w:tc>
        <w:tc>
          <w:tcPr>
            <w:tcW w:w="490" w:type="pct"/>
            <w:vAlign w:val="center"/>
          </w:tcPr>
          <w:p w14:paraId="3B277C45">
            <w:pPr>
              <w:pStyle w:val="81"/>
              <w:adjustRightInd w:val="0"/>
              <w:jc w:val="center"/>
              <w:rPr>
                <w:rFonts w:eastAsia="仿宋"/>
              </w:rPr>
            </w:pPr>
            <w:r>
              <w:rPr>
                <w:rFonts w:eastAsia="仿宋"/>
              </w:rPr>
              <w:t>24kg/桶装</w:t>
            </w:r>
          </w:p>
        </w:tc>
        <w:tc>
          <w:tcPr>
            <w:tcW w:w="582" w:type="pct"/>
            <w:vAlign w:val="center"/>
          </w:tcPr>
          <w:p w14:paraId="63BB1FF3">
            <w:pPr>
              <w:jc w:val="center"/>
              <w:rPr>
                <w:rFonts w:ascii="Times New Roman" w:eastAsia="仿宋"/>
                <w:szCs w:val="24"/>
              </w:rPr>
            </w:pPr>
            <w:r>
              <w:rPr>
                <w:rFonts w:hint="eastAsia" w:eastAsia="仿宋"/>
              </w:rPr>
              <w:t>油漆仓库</w:t>
            </w:r>
          </w:p>
        </w:tc>
        <w:tc>
          <w:tcPr>
            <w:tcW w:w="382" w:type="pct"/>
            <w:vAlign w:val="center"/>
          </w:tcPr>
          <w:p w14:paraId="277CB6AF">
            <w:pPr>
              <w:jc w:val="center"/>
              <w:rPr>
                <w:rFonts w:ascii="Times New Roman" w:eastAsia="仿宋"/>
                <w:szCs w:val="24"/>
              </w:rPr>
            </w:pPr>
            <w:r>
              <w:rPr>
                <w:rFonts w:hint="eastAsia" w:eastAsia="仿宋"/>
              </w:rPr>
              <w:t>汽车</w:t>
            </w:r>
          </w:p>
        </w:tc>
      </w:tr>
      <w:tr w14:paraId="30C7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2632D364">
            <w:pPr>
              <w:pStyle w:val="81"/>
              <w:adjustRightInd w:val="0"/>
              <w:jc w:val="center"/>
              <w:rPr>
                <w:rFonts w:eastAsia="仿宋"/>
              </w:rPr>
            </w:pPr>
            <w:r>
              <w:rPr>
                <w:rFonts w:eastAsia="仿宋"/>
              </w:rPr>
              <w:t>6</w:t>
            </w:r>
          </w:p>
        </w:tc>
        <w:tc>
          <w:tcPr>
            <w:tcW w:w="433" w:type="pct"/>
            <w:vAlign w:val="center"/>
          </w:tcPr>
          <w:p w14:paraId="34BF6682">
            <w:pPr>
              <w:pStyle w:val="81"/>
              <w:adjustRightInd w:val="0"/>
              <w:jc w:val="center"/>
              <w:rPr>
                <w:rFonts w:eastAsia="仿宋"/>
              </w:rPr>
            </w:pPr>
            <w:r>
              <w:rPr>
                <w:rFonts w:eastAsia="仿宋"/>
              </w:rPr>
              <w:t>稀释剂</w:t>
            </w:r>
          </w:p>
        </w:tc>
        <w:tc>
          <w:tcPr>
            <w:tcW w:w="1161" w:type="pct"/>
            <w:vAlign w:val="center"/>
          </w:tcPr>
          <w:p w14:paraId="123AB99E">
            <w:pPr>
              <w:pStyle w:val="81"/>
              <w:adjustRightInd w:val="0"/>
              <w:jc w:val="center"/>
              <w:rPr>
                <w:rFonts w:eastAsia="仿宋"/>
              </w:rPr>
            </w:pPr>
            <w:r>
              <w:rPr>
                <w:rFonts w:eastAsia="仿宋"/>
              </w:rPr>
              <w:t>乙醇10%、环己酮10%、醋酸乙酯40%、醋酸丁酯40%</w:t>
            </w:r>
          </w:p>
        </w:tc>
        <w:tc>
          <w:tcPr>
            <w:tcW w:w="486" w:type="pct"/>
            <w:vAlign w:val="center"/>
          </w:tcPr>
          <w:p w14:paraId="788A93C0">
            <w:pPr>
              <w:pStyle w:val="81"/>
              <w:adjustRightInd w:val="0"/>
              <w:jc w:val="center"/>
              <w:rPr>
                <w:rFonts w:eastAsia="仿宋"/>
              </w:rPr>
            </w:pPr>
            <w:r>
              <w:rPr>
                <w:rFonts w:hint="eastAsia" w:eastAsia="仿宋"/>
              </w:rPr>
              <w:t>37</w:t>
            </w:r>
            <w:r>
              <w:rPr>
                <w:rFonts w:eastAsia="仿宋"/>
              </w:rPr>
              <w:t>.825</w:t>
            </w:r>
          </w:p>
        </w:tc>
        <w:tc>
          <w:tcPr>
            <w:tcW w:w="306" w:type="pct"/>
            <w:vAlign w:val="center"/>
          </w:tcPr>
          <w:p w14:paraId="794FA122">
            <w:pPr>
              <w:pStyle w:val="81"/>
              <w:adjustRightInd w:val="0"/>
              <w:jc w:val="center"/>
              <w:rPr>
                <w:rFonts w:eastAsia="仿宋"/>
              </w:rPr>
            </w:pPr>
            <w:r>
              <w:rPr>
                <w:rFonts w:eastAsia="仿宋"/>
              </w:rPr>
              <w:t>t/a</w:t>
            </w:r>
          </w:p>
        </w:tc>
        <w:tc>
          <w:tcPr>
            <w:tcW w:w="454" w:type="pct"/>
            <w:vAlign w:val="center"/>
          </w:tcPr>
          <w:p w14:paraId="0A281171">
            <w:pPr>
              <w:pStyle w:val="81"/>
              <w:adjustRightInd w:val="0"/>
              <w:jc w:val="center"/>
              <w:rPr>
                <w:rFonts w:eastAsia="仿宋"/>
              </w:rPr>
            </w:pPr>
            <w:r>
              <w:rPr>
                <w:rFonts w:eastAsia="仿宋"/>
              </w:rPr>
              <w:t>液态</w:t>
            </w:r>
          </w:p>
        </w:tc>
        <w:tc>
          <w:tcPr>
            <w:tcW w:w="453" w:type="pct"/>
            <w:vAlign w:val="center"/>
          </w:tcPr>
          <w:p w14:paraId="08E4C845">
            <w:pPr>
              <w:pStyle w:val="81"/>
              <w:adjustRightInd w:val="0"/>
              <w:jc w:val="center"/>
              <w:rPr>
                <w:rFonts w:eastAsia="仿宋"/>
              </w:rPr>
            </w:pPr>
            <w:r>
              <w:rPr>
                <w:rFonts w:hint="eastAsia" w:eastAsia="仿宋"/>
              </w:rPr>
              <w:t>4</w:t>
            </w:r>
          </w:p>
        </w:tc>
        <w:tc>
          <w:tcPr>
            <w:tcW w:w="490" w:type="pct"/>
            <w:vAlign w:val="center"/>
          </w:tcPr>
          <w:p w14:paraId="628BFCB8">
            <w:pPr>
              <w:pStyle w:val="81"/>
              <w:adjustRightInd w:val="0"/>
              <w:jc w:val="center"/>
              <w:rPr>
                <w:rFonts w:eastAsia="仿宋"/>
              </w:rPr>
            </w:pPr>
            <w:r>
              <w:rPr>
                <w:rFonts w:eastAsia="仿宋"/>
              </w:rPr>
              <w:t>200kg/桶装</w:t>
            </w:r>
          </w:p>
        </w:tc>
        <w:tc>
          <w:tcPr>
            <w:tcW w:w="582" w:type="pct"/>
            <w:vAlign w:val="center"/>
          </w:tcPr>
          <w:p w14:paraId="268F5720">
            <w:pPr>
              <w:jc w:val="center"/>
              <w:rPr>
                <w:rFonts w:ascii="Times New Roman" w:eastAsia="仿宋"/>
                <w:szCs w:val="24"/>
              </w:rPr>
            </w:pPr>
            <w:r>
              <w:rPr>
                <w:rFonts w:hint="eastAsia" w:eastAsia="仿宋"/>
              </w:rPr>
              <w:t>油漆仓库</w:t>
            </w:r>
          </w:p>
        </w:tc>
        <w:tc>
          <w:tcPr>
            <w:tcW w:w="382" w:type="pct"/>
            <w:vAlign w:val="center"/>
          </w:tcPr>
          <w:p w14:paraId="2FC3518B">
            <w:pPr>
              <w:jc w:val="center"/>
              <w:rPr>
                <w:rFonts w:ascii="Times New Roman" w:eastAsia="仿宋"/>
                <w:szCs w:val="24"/>
              </w:rPr>
            </w:pPr>
            <w:r>
              <w:rPr>
                <w:rFonts w:hint="eastAsia" w:eastAsia="仿宋"/>
              </w:rPr>
              <w:t>汽车</w:t>
            </w:r>
          </w:p>
        </w:tc>
      </w:tr>
      <w:tr w14:paraId="0859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3E4792CE">
            <w:pPr>
              <w:pStyle w:val="81"/>
              <w:adjustRightInd w:val="0"/>
              <w:jc w:val="center"/>
              <w:rPr>
                <w:rFonts w:eastAsia="仿宋"/>
              </w:rPr>
            </w:pPr>
            <w:r>
              <w:rPr>
                <w:rFonts w:eastAsia="仿宋"/>
              </w:rPr>
              <w:t>9</w:t>
            </w:r>
          </w:p>
        </w:tc>
        <w:tc>
          <w:tcPr>
            <w:tcW w:w="433" w:type="pct"/>
            <w:vAlign w:val="center"/>
          </w:tcPr>
          <w:p w14:paraId="5578BE4B">
            <w:pPr>
              <w:pStyle w:val="81"/>
              <w:adjustRightInd w:val="0"/>
              <w:jc w:val="center"/>
              <w:rPr>
                <w:rFonts w:eastAsia="仿宋"/>
              </w:rPr>
            </w:pPr>
            <w:r>
              <w:rPr>
                <w:rFonts w:eastAsia="仿宋"/>
              </w:rPr>
              <w:t>塑粉</w:t>
            </w:r>
          </w:p>
        </w:tc>
        <w:tc>
          <w:tcPr>
            <w:tcW w:w="1161" w:type="pct"/>
            <w:vAlign w:val="center"/>
          </w:tcPr>
          <w:p w14:paraId="41415ADE">
            <w:pPr>
              <w:pStyle w:val="81"/>
              <w:adjustRightInd w:val="0"/>
              <w:jc w:val="center"/>
              <w:rPr>
                <w:rFonts w:eastAsia="仿宋"/>
              </w:rPr>
            </w:pPr>
            <w:r>
              <w:rPr>
                <w:rFonts w:eastAsia="仿宋"/>
              </w:rPr>
              <w:t>聚酯树脂55-65%、固化剂2-5%、颜料30-40%、</w:t>
            </w:r>
            <w:r>
              <w:rPr>
                <w:rFonts w:hint="eastAsia" w:eastAsia="仿宋"/>
              </w:rPr>
              <w:t>助剂</w:t>
            </w:r>
            <w:r>
              <w:rPr>
                <w:rFonts w:eastAsia="仿宋"/>
              </w:rPr>
              <w:t>5-10%</w:t>
            </w:r>
          </w:p>
        </w:tc>
        <w:tc>
          <w:tcPr>
            <w:tcW w:w="486" w:type="pct"/>
            <w:vAlign w:val="center"/>
          </w:tcPr>
          <w:p w14:paraId="03882277">
            <w:pPr>
              <w:pStyle w:val="81"/>
              <w:adjustRightInd w:val="0"/>
              <w:jc w:val="center"/>
              <w:rPr>
                <w:rFonts w:eastAsia="仿宋"/>
              </w:rPr>
            </w:pPr>
            <w:r>
              <w:rPr>
                <w:rFonts w:eastAsia="仿宋"/>
              </w:rPr>
              <w:t>45</w:t>
            </w:r>
          </w:p>
        </w:tc>
        <w:tc>
          <w:tcPr>
            <w:tcW w:w="306" w:type="pct"/>
            <w:vAlign w:val="center"/>
          </w:tcPr>
          <w:p w14:paraId="546B9B4A">
            <w:pPr>
              <w:pStyle w:val="81"/>
              <w:adjustRightInd w:val="0"/>
              <w:jc w:val="center"/>
              <w:rPr>
                <w:rFonts w:eastAsia="仿宋"/>
              </w:rPr>
            </w:pPr>
            <w:r>
              <w:rPr>
                <w:rFonts w:eastAsia="仿宋"/>
              </w:rPr>
              <w:t>t/a</w:t>
            </w:r>
          </w:p>
        </w:tc>
        <w:tc>
          <w:tcPr>
            <w:tcW w:w="454" w:type="pct"/>
            <w:vAlign w:val="center"/>
          </w:tcPr>
          <w:p w14:paraId="691D4366">
            <w:pPr>
              <w:pStyle w:val="81"/>
              <w:adjustRightInd w:val="0"/>
              <w:jc w:val="center"/>
              <w:rPr>
                <w:rFonts w:eastAsia="仿宋"/>
              </w:rPr>
            </w:pPr>
            <w:r>
              <w:rPr>
                <w:rFonts w:eastAsia="仿宋"/>
              </w:rPr>
              <w:t>固态</w:t>
            </w:r>
          </w:p>
        </w:tc>
        <w:tc>
          <w:tcPr>
            <w:tcW w:w="453" w:type="pct"/>
            <w:vAlign w:val="center"/>
          </w:tcPr>
          <w:p w14:paraId="59AB0606">
            <w:pPr>
              <w:pStyle w:val="81"/>
              <w:adjustRightInd w:val="0"/>
              <w:jc w:val="center"/>
              <w:rPr>
                <w:rFonts w:eastAsia="仿宋"/>
              </w:rPr>
            </w:pPr>
            <w:r>
              <w:rPr>
                <w:rFonts w:eastAsia="仿宋"/>
              </w:rPr>
              <w:t>1</w:t>
            </w:r>
            <w:r>
              <w:rPr>
                <w:rFonts w:hint="eastAsia" w:eastAsia="仿宋"/>
              </w:rPr>
              <w:t>.5</w:t>
            </w:r>
          </w:p>
        </w:tc>
        <w:tc>
          <w:tcPr>
            <w:tcW w:w="490" w:type="pct"/>
            <w:vAlign w:val="center"/>
          </w:tcPr>
          <w:p w14:paraId="23F80AA5">
            <w:pPr>
              <w:pStyle w:val="81"/>
              <w:adjustRightInd w:val="0"/>
              <w:jc w:val="center"/>
              <w:rPr>
                <w:rFonts w:eastAsia="仿宋"/>
              </w:rPr>
            </w:pPr>
            <w:r>
              <w:rPr>
                <w:rFonts w:eastAsia="仿宋"/>
              </w:rPr>
              <w:t>25kg/袋装</w:t>
            </w:r>
          </w:p>
        </w:tc>
        <w:tc>
          <w:tcPr>
            <w:tcW w:w="582" w:type="pct"/>
            <w:vAlign w:val="center"/>
          </w:tcPr>
          <w:p w14:paraId="09A4711A">
            <w:pPr>
              <w:jc w:val="center"/>
              <w:rPr>
                <w:rFonts w:ascii="Times New Roman" w:eastAsia="仿宋"/>
                <w:szCs w:val="24"/>
              </w:rPr>
            </w:pPr>
            <w:r>
              <w:rPr>
                <w:rFonts w:hint="eastAsia" w:ascii="Times New Roman" w:eastAsia="仿宋"/>
                <w:szCs w:val="24"/>
              </w:rPr>
              <w:t>粉仓库</w:t>
            </w:r>
          </w:p>
        </w:tc>
        <w:tc>
          <w:tcPr>
            <w:tcW w:w="382" w:type="pct"/>
            <w:vAlign w:val="center"/>
          </w:tcPr>
          <w:p w14:paraId="47EFDD51">
            <w:pPr>
              <w:jc w:val="center"/>
              <w:rPr>
                <w:rFonts w:ascii="Times New Roman" w:eastAsia="仿宋"/>
                <w:szCs w:val="24"/>
              </w:rPr>
            </w:pPr>
            <w:r>
              <w:rPr>
                <w:rFonts w:hint="eastAsia" w:eastAsia="仿宋"/>
              </w:rPr>
              <w:t>汽车</w:t>
            </w:r>
          </w:p>
        </w:tc>
      </w:tr>
      <w:tr w14:paraId="564B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42E65825">
            <w:pPr>
              <w:pStyle w:val="81"/>
              <w:adjustRightInd w:val="0"/>
              <w:jc w:val="center"/>
              <w:rPr>
                <w:rFonts w:eastAsia="仿宋"/>
              </w:rPr>
            </w:pPr>
            <w:r>
              <w:rPr>
                <w:rFonts w:eastAsia="仿宋"/>
              </w:rPr>
              <w:t>10</w:t>
            </w:r>
          </w:p>
        </w:tc>
        <w:tc>
          <w:tcPr>
            <w:tcW w:w="433" w:type="pct"/>
            <w:vAlign w:val="center"/>
          </w:tcPr>
          <w:p w14:paraId="68771710">
            <w:pPr>
              <w:pStyle w:val="81"/>
              <w:adjustRightInd w:val="0"/>
              <w:jc w:val="center"/>
              <w:rPr>
                <w:rFonts w:eastAsia="仿宋"/>
              </w:rPr>
            </w:pPr>
            <w:r>
              <w:rPr>
                <w:rFonts w:hint="eastAsia" w:eastAsia="仿宋"/>
              </w:rPr>
              <w:t>润滑油</w:t>
            </w:r>
          </w:p>
        </w:tc>
        <w:tc>
          <w:tcPr>
            <w:tcW w:w="1161" w:type="pct"/>
            <w:vAlign w:val="center"/>
          </w:tcPr>
          <w:p w14:paraId="2580797D">
            <w:pPr>
              <w:pStyle w:val="81"/>
              <w:adjustRightInd w:val="0"/>
              <w:jc w:val="center"/>
              <w:rPr>
                <w:rFonts w:eastAsia="仿宋"/>
              </w:rPr>
            </w:pPr>
            <w:r>
              <w:rPr>
                <w:rFonts w:eastAsia="仿宋"/>
              </w:rPr>
              <w:t>矿物油</w:t>
            </w:r>
          </w:p>
        </w:tc>
        <w:tc>
          <w:tcPr>
            <w:tcW w:w="486" w:type="pct"/>
            <w:vAlign w:val="center"/>
          </w:tcPr>
          <w:p w14:paraId="33EB198B">
            <w:pPr>
              <w:pStyle w:val="81"/>
              <w:adjustRightInd w:val="0"/>
              <w:jc w:val="center"/>
              <w:rPr>
                <w:rFonts w:eastAsia="仿宋"/>
              </w:rPr>
            </w:pPr>
            <w:r>
              <w:rPr>
                <w:rFonts w:eastAsia="仿宋"/>
              </w:rPr>
              <w:t>3</w:t>
            </w:r>
          </w:p>
        </w:tc>
        <w:tc>
          <w:tcPr>
            <w:tcW w:w="306" w:type="pct"/>
            <w:vAlign w:val="center"/>
          </w:tcPr>
          <w:p w14:paraId="106AA0F5">
            <w:pPr>
              <w:pStyle w:val="81"/>
              <w:adjustRightInd w:val="0"/>
              <w:jc w:val="center"/>
              <w:rPr>
                <w:rFonts w:eastAsia="仿宋"/>
              </w:rPr>
            </w:pPr>
            <w:r>
              <w:rPr>
                <w:rFonts w:eastAsia="仿宋"/>
              </w:rPr>
              <w:t>t/a</w:t>
            </w:r>
          </w:p>
        </w:tc>
        <w:tc>
          <w:tcPr>
            <w:tcW w:w="454" w:type="pct"/>
            <w:vAlign w:val="center"/>
          </w:tcPr>
          <w:p w14:paraId="48153015">
            <w:pPr>
              <w:pStyle w:val="81"/>
              <w:adjustRightInd w:val="0"/>
              <w:jc w:val="center"/>
              <w:rPr>
                <w:rFonts w:eastAsia="仿宋"/>
              </w:rPr>
            </w:pPr>
            <w:r>
              <w:rPr>
                <w:rFonts w:eastAsia="仿宋"/>
              </w:rPr>
              <w:t>液态</w:t>
            </w:r>
          </w:p>
        </w:tc>
        <w:tc>
          <w:tcPr>
            <w:tcW w:w="453" w:type="pct"/>
            <w:vAlign w:val="center"/>
          </w:tcPr>
          <w:p w14:paraId="3FFF0D8F">
            <w:pPr>
              <w:pStyle w:val="81"/>
              <w:adjustRightInd w:val="0"/>
              <w:jc w:val="center"/>
              <w:rPr>
                <w:rFonts w:eastAsia="仿宋"/>
              </w:rPr>
            </w:pPr>
            <w:r>
              <w:rPr>
                <w:rFonts w:eastAsia="仿宋"/>
              </w:rPr>
              <w:t>0</w:t>
            </w:r>
            <w:r>
              <w:rPr>
                <w:rFonts w:hint="eastAsia" w:eastAsia="仿宋"/>
              </w:rPr>
              <w:t>.</w:t>
            </w:r>
            <w:r>
              <w:rPr>
                <w:rFonts w:eastAsia="仿宋"/>
              </w:rPr>
              <w:t>4</w:t>
            </w:r>
          </w:p>
        </w:tc>
        <w:tc>
          <w:tcPr>
            <w:tcW w:w="490" w:type="pct"/>
            <w:vAlign w:val="center"/>
          </w:tcPr>
          <w:p w14:paraId="7FE45C22">
            <w:pPr>
              <w:pStyle w:val="81"/>
              <w:adjustRightInd w:val="0"/>
              <w:jc w:val="center"/>
              <w:rPr>
                <w:rFonts w:eastAsia="仿宋"/>
              </w:rPr>
            </w:pPr>
            <w:r>
              <w:rPr>
                <w:rFonts w:eastAsia="仿宋"/>
              </w:rPr>
              <w:t>200kg/桶装</w:t>
            </w:r>
          </w:p>
        </w:tc>
        <w:tc>
          <w:tcPr>
            <w:tcW w:w="582" w:type="pct"/>
            <w:vAlign w:val="center"/>
          </w:tcPr>
          <w:p w14:paraId="5341EF65">
            <w:pPr>
              <w:jc w:val="center"/>
              <w:rPr>
                <w:rFonts w:ascii="Times New Roman" w:eastAsia="仿宋"/>
                <w:szCs w:val="24"/>
              </w:rPr>
            </w:pPr>
            <w:r>
              <w:rPr>
                <w:rFonts w:hint="eastAsia" w:ascii="Times New Roman" w:eastAsia="仿宋"/>
                <w:szCs w:val="24"/>
              </w:rPr>
              <w:t>仓库</w:t>
            </w:r>
          </w:p>
        </w:tc>
        <w:tc>
          <w:tcPr>
            <w:tcW w:w="382" w:type="pct"/>
            <w:vAlign w:val="center"/>
          </w:tcPr>
          <w:p w14:paraId="7F1E32C7">
            <w:pPr>
              <w:jc w:val="center"/>
              <w:rPr>
                <w:rFonts w:ascii="Times New Roman" w:eastAsia="仿宋"/>
                <w:szCs w:val="24"/>
              </w:rPr>
            </w:pPr>
            <w:r>
              <w:rPr>
                <w:rFonts w:hint="eastAsia" w:eastAsia="仿宋"/>
              </w:rPr>
              <w:t>汽车</w:t>
            </w:r>
          </w:p>
        </w:tc>
      </w:tr>
      <w:tr w14:paraId="1B9A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24C24A1B">
            <w:pPr>
              <w:pStyle w:val="81"/>
              <w:adjustRightInd w:val="0"/>
              <w:jc w:val="center"/>
              <w:rPr>
                <w:rFonts w:eastAsia="仿宋"/>
              </w:rPr>
            </w:pPr>
            <w:r>
              <w:rPr>
                <w:rFonts w:eastAsia="仿宋"/>
              </w:rPr>
              <w:t>11</w:t>
            </w:r>
          </w:p>
        </w:tc>
        <w:tc>
          <w:tcPr>
            <w:tcW w:w="433" w:type="pct"/>
            <w:vAlign w:val="center"/>
          </w:tcPr>
          <w:p w14:paraId="3402688D">
            <w:pPr>
              <w:pStyle w:val="81"/>
              <w:adjustRightInd w:val="0"/>
              <w:jc w:val="center"/>
              <w:rPr>
                <w:rFonts w:eastAsia="仿宋"/>
              </w:rPr>
            </w:pPr>
            <w:r>
              <w:rPr>
                <w:rFonts w:eastAsia="仿宋"/>
              </w:rPr>
              <w:t>金刚砂</w:t>
            </w:r>
          </w:p>
        </w:tc>
        <w:tc>
          <w:tcPr>
            <w:tcW w:w="1161" w:type="pct"/>
            <w:vAlign w:val="center"/>
          </w:tcPr>
          <w:p w14:paraId="7108F34C">
            <w:pPr>
              <w:pStyle w:val="81"/>
              <w:adjustRightInd w:val="0"/>
              <w:jc w:val="center"/>
              <w:rPr>
                <w:rFonts w:eastAsia="仿宋"/>
              </w:rPr>
            </w:pPr>
            <w:r>
              <w:rPr>
                <w:rFonts w:eastAsia="仿宋"/>
              </w:rPr>
              <w:t>碳化硅</w:t>
            </w:r>
          </w:p>
        </w:tc>
        <w:tc>
          <w:tcPr>
            <w:tcW w:w="486" w:type="pct"/>
            <w:vAlign w:val="center"/>
          </w:tcPr>
          <w:p w14:paraId="4B67F004">
            <w:pPr>
              <w:pStyle w:val="81"/>
              <w:adjustRightInd w:val="0"/>
              <w:jc w:val="center"/>
              <w:rPr>
                <w:rFonts w:eastAsia="仿宋"/>
              </w:rPr>
            </w:pPr>
            <w:r>
              <w:rPr>
                <w:rFonts w:eastAsia="仿宋"/>
              </w:rPr>
              <w:t>5</w:t>
            </w:r>
          </w:p>
        </w:tc>
        <w:tc>
          <w:tcPr>
            <w:tcW w:w="306" w:type="pct"/>
            <w:vAlign w:val="center"/>
          </w:tcPr>
          <w:p w14:paraId="28745A43">
            <w:pPr>
              <w:pStyle w:val="81"/>
              <w:adjustRightInd w:val="0"/>
              <w:jc w:val="center"/>
              <w:rPr>
                <w:rFonts w:eastAsia="仿宋"/>
              </w:rPr>
            </w:pPr>
            <w:r>
              <w:rPr>
                <w:rFonts w:eastAsia="仿宋"/>
              </w:rPr>
              <w:t>t/a</w:t>
            </w:r>
          </w:p>
        </w:tc>
        <w:tc>
          <w:tcPr>
            <w:tcW w:w="454" w:type="pct"/>
            <w:vAlign w:val="center"/>
          </w:tcPr>
          <w:p w14:paraId="2D8DC84F">
            <w:pPr>
              <w:pStyle w:val="81"/>
              <w:adjustRightInd w:val="0"/>
              <w:jc w:val="center"/>
              <w:rPr>
                <w:rFonts w:eastAsia="仿宋"/>
              </w:rPr>
            </w:pPr>
            <w:r>
              <w:rPr>
                <w:rFonts w:eastAsia="仿宋"/>
              </w:rPr>
              <w:t>固态</w:t>
            </w:r>
          </w:p>
        </w:tc>
        <w:tc>
          <w:tcPr>
            <w:tcW w:w="453" w:type="pct"/>
            <w:vAlign w:val="center"/>
          </w:tcPr>
          <w:p w14:paraId="5CF310BE">
            <w:pPr>
              <w:pStyle w:val="81"/>
              <w:adjustRightInd w:val="0"/>
              <w:jc w:val="center"/>
              <w:rPr>
                <w:rFonts w:eastAsia="仿宋"/>
              </w:rPr>
            </w:pPr>
            <w:r>
              <w:rPr>
                <w:rFonts w:eastAsia="仿宋"/>
              </w:rPr>
              <w:t>0.</w:t>
            </w:r>
            <w:r>
              <w:rPr>
                <w:rFonts w:hint="eastAsia" w:eastAsia="仿宋"/>
              </w:rPr>
              <w:t>5</w:t>
            </w:r>
          </w:p>
        </w:tc>
        <w:tc>
          <w:tcPr>
            <w:tcW w:w="490" w:type="pct"/>
            <w:vAlign w:val="center"/>
          </w:tcPr>
          <w:p w14:paraId="5BBC22CC">
            <w:pPr>
              <w:pStyle w:val="81"/>
              <w:adjustRightInd w:val="0"/>
              <w:jc w:val="center"/>
              <w:rPr>
                <w:rFonts w:eastAsia="仿宋"/>
              </w:rPr>
            </w:pPr>
            <w:r>
              <w:rPr>
                <w:rFonts w:eastAsia="仿宋"/>
              </w:rPr>
              <w:t>25kg/袋</w:t>
            </w:r>
          </w:p>
        </w:tc>
        <w:tc>
          <w:tcPr>
            <w:tcW w:w="582" w:type="pct"/>
            <w:vAlign w:val="center"/>
          </w:tcPr>
          <w:p w14:paraId="21410711">
            <w:pPr>
              <w:jc w:val="center"/>
              <w:rPr>
                <w:rFonts w:ascii="Times New Roman" w:eastAsia="仿宋"/>
                <w:szCs w:val="24"/>
              </w:rPr>
            </w:pPr>
            <w:r>
              <w:rPr>
                <w:rFonts w:hint="eastAsia" w:ascii="Times New Roman" w:eastAsia="仿宋"/>
                <w:szCs w:val="24"/>
              </w:rPr>
              <w:t>粉仓库</w:t>
            </w:r>
          </w:p>
        </w:tc>
        <w:tc>
          <w:tcPr>
            <w:tcW w:w="382" w:type="pct"/>
            <w:vAlign w:val="center"/>
          </w:tcPr>
          <w:p w14:paraId="51B3EA94">
            <w:pPr>
              <w:jc w:val="center"/>
              <w:rPr>
                <w:rFonts w:ascii="Times New Roman" w:eastAsia="仿宋"/>
                <w:szCs w:val="24"/>
              </w:rPr>
            </w:pPr>
            <w:r>
              <w:rPr>
                <w:rFonts w:hint="eastAsia" w:eastAsia="仿宋"/>
              </w:rPr>
              <w:t>汽车</w:t>
            </w:r>
          </w:p>
        </w:tc>
      </w:tr>
      <w:tr w14:paraId="352C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63F9D24B">
            <w:pPr>
              <w:pStyle w:val="81"/>
              <w:adjustRightInd w:val="0"/>
              <w:jc w:val="center"/>
              <w:rPr>
                <w:rFonts w:eastAsia="仿宋"/>
              </w:rPr>
            </w:pPr>
            <w:r>
              <w:rPr>
                <w:rFonts w:hint="eastAsia" w:eastAsia="仿宋"/>
              </w:rPr>
              <w:t>12</w:t>
            </w:r>
          </w:p>
        </w:tc>
        <w:tc>
          <w:tcPr>
            <w:tcW w:w="433" w:type="pct"/>
            <w:vAlign w:val="center"/>
          </w:tcPr>
          <w:p w14:paraId="2EEB5AA7">
            <w:pPr>
              <w:pStyle w:val="81"/>
              <w:adjustRightInd w:val="0"/>
              <w:jc w:val="center"/>
              <w:rPr>
                <w:rFonts w:eastAsia="仿宋"/>
              </w:rPr>
            </w:pPr>
            <w:r>
              <w:rPr>
                <w:rFonts w:hint="eastAsia" w:eastAsia="仿宋"/>
              </w:rPr>
              <w:t>片碱</w:t>
            </w:r>
          </w:p>
        </w:tc>
        <w:tc>
          <w:tcPr>
            <w:tcW w:w="1161" w:type="pct"/>
            <w:vAlign w:val="center"/>
          </w:tcPr>
          <w:p w14:paraId="2D2F94A4">
            <w:pPr>
              <w:pStyle w:val="81"/>
              <w:adjustRightInd w:val="0"/>
              <w:jc w:val="center"/>
              <w:rPr>
                <w:rFonts w:eastAsia="仿宋"/>
              </w:rPr>
            </w:pPr>
            <w:r>
              <w:rPr>
                <w:rFonts w:hint="eastAsia" w:eastAsia="仿宋"/>
              </w:rPr>
              <w:t>Na</w:t>
            </w:r>
            <w:r>
              <w:rPr>
                <w:rFonts w:eastAsia="仿宋"/>
              </w:rPr>
              <w:t>OH</w:t>
            </w:r>
          </w:p>
        </w:tc>
        <w:tc>
          <w:tcPr>
            <w:tcW w:w="486" w:type="pct"/>
            <w:vAlign w:val="center"/>
          </w:tcPr>
          <w:p w14:paraId="2E9F36DE">
            <w:pPr>
              <w:pStyle w:val="81"/>
              <w:adjustRightInd w:val="0"/>
              <w:jc w:val="center"/>
              <w:rPr>
                <w:rFonts w:eastAsia="仿宋"/>
              </w:rPr>
            </w:pPr>
            <w:r>
              <w:rPr>
                <w:rFonts w:hint="eastAsia" w:eastAsia="仿宋"/>
              </w:rPr>
              <w:t>1</w:t>
            </w:r>
            <w:r>
              <w:rPr>
                <w:rFonts w:eastAsia="仿宋"/>
              </w:rPr>
              <w:t>.6</w:t>
            </w:r>
          </w:p>
        </w:tc>
        <w:tc>
          <w:tcPr>
            <w:tcW w:w="306" w:type="pct"/>
            <w:vAlign w:val="center"/>
          </w:tcPr>
          <w:p w14:paraId="504FBECD">
            <w:pPr>
              <w:pStyle w:val="81"/>
              <w:adjustRightInd w:val="0"/>
              <w:jc w:val="center"/>
              <w:rPr>
                <w:rFonts w:eastAsia="仿宋"/>
              </w:rPr>
            </w:pPr>
            <w:r>
              <w:rPr>
                <w:rFonts w:eastAsia="仿宋"/>
              </w:rPr>
              <w:t>t/a</w:t>
            </w:r>
          </w:p>
        </w:tc>
        <w:tc>
          <w:tcPr>
            <w:tcW w:w="454" w:type="pct"/>
            <w:vAlign w:val="center"/>
          </w:tcPr>
          <w:p w14:paraId="5E148094">
            <w:pPr>
              <w:jc w:val="center"/>
              <w:rPr>
                <w:rFonts w:ascii="Times New Roman" w:eastAsia="仿宋"/>
                <w:szCs w:val="24"/>
              </w:rPr>
            </w:pPr>
            <w:r>
              <w:rPr>
                <w:rFonts w:eastAsia="仿宋"/>
              </w:rPr>
              <w:t>固态</w:t>
            </w:r>
          </w:p>
        </w:tc>
        <w:tc>
          <w:tcPr>
            <w:tcW w:w="453" w:type="pct"/>
            <w:vAlign w:val="center"/>
          </w:tcPr>
          <w:p w14:paraId="29D2F117">
            <w:pPr>
              <w:pStyle w:val="81"/>
              <w:adjustRightInd w:val="0"/>
              <w:jc w:val="center"/>
              <w:rPr>
                <w:rFonts w:eastAsia="仿宋"/>
              </w:rPr>
            </w:pPr>
            <w:r>
              <w:rPr>
                <w:rFonts w:hint="eastAsia" w:eastAsia="仿宋"/>
              </w:rPr>
              <w:t>0</w:t>
            </w:r>
            <w:r>
              <w:rPr>
                <w:rFonts w:eastAsia="仿宋"/>
              </w:rPr>
              <w:t>.8</w:t>
            </w:r>
          </w:p>
        </w:tc>
        <w:tc>
          <w:tcPr>
            <w:tcW w:w="490" w:type="pct"/>
            <w:vAlign w:val="center"/>
          </w:tcPr>
          <w:p w14:paraId="39DB45ED">
            <w:pPr>
              <w:pStyle w:val="81"/>
              <w:adjustRightInd w:val="0"/>
              <w:jc w:val="center"/>
              <w:rPr>
                <w:rFonts w:eastAsia="仿宋"/>
              </w:rPr>
            </w:pPr>
            <w:r>
              <w:rPr>
                <w:rFonts w:hint="eastAsia" w:eastAsia="仿宋"/>
              </w:rPr>
              <w:t>2</w:t>
            </w:r>
            <w:r>
              <w:rPr>
                <w:rFonts w:eastAsia="仿宋"/>
              </w:rPr>
              <w:t>0</w:t>
            </w:r>
            <w:r>
              <w:rPr>
                <w:rFonts w:hint="eastAsia" w:eastAsia="仿宋"/>
              </w:rPr>
              <w:t>kg/袋</w:t>
            </w:r>
          </w:p>
        </w:tc>
        <w:tc>
          <w:tcPr>
            <w:tcW w:w="582" w:type="pct"/>
            <w:vAlign w:val="center"/>
          </w:tcPr>
          <w:p w14:paraId="7D490523">
            <w:pPr>
              <w:jc w:val="center"/>
              <w:rPr>
                <w:rFonts w:ascii="Times New Roman" w:eastAsia="仿宋"/>
                <w:szCs w:val="24"/>
              </w:rPr>
            </w:pPr>
            <w:r>
              <w:rPr>
                <w:rFonts w:hint="eastAsia" w:ascii="Times New Roman" w:eastAsia="仿宋"/>
                <w:szCs w:val="24"/>
              </w:rPr>
              <w:t>污水站药剂存放间</w:t>
            </w:r>
          </w:p>
        </w:tc>
        <w:tc>
          <w:tcPr>
            <w:tcW w:w="382" w:type="pct"/>
            <w:vAlign w:val="center"/>
          </w:tcPr>
          <w:p w14:paraId="616E765D">
            <w:pPr>
              <w:jc w:val="center"/>
              <w:rPr>
                <w:rFonts w:ascii="Times New Roman" w:eastAsia="仿宋"/>
                <w:szCs w:val="24"/>
              </w:rPr>
            </w:pPr>
            <w:r>
              <w:rPr>
                <w:rFonts w:hint="eastAsia" w:eastAsia="仿宋"/>
              </w:rPr>
              <w:t>汽车</w:t>
            </w:r>
          </w:p>
        </w:tc>
      </w:tr>
      <w:tr w14:paraId="4E2F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2B443C6E">
            <w:pPr>
              <w:pStyle w:val="81"/>
              <w:adjustRightInd w:val="0"/>
              <w:jc w:val="center"/>
              <w:rPr>
                <w:rFonts w:eastAsia="仿宋"/>
              </w:rPr>
            </w:pPr>
            <w:r>
              <w:rPr>
                <w:rFonts w:hint="eastAsia" w:eastAsia="仿宋"/>
              </w:rPr>
              <w:t>13</w:t>
            </w:r>
          </w:p>
        </w:tc>
        <w:tc>
          <w:tcPr>
            <w:tcW w:w="433" w:type="pct"/>
            <w:vAlign w:val="center"/>
          </w:tcPr>
          <w:p w14:paraId="3471BA8B">
            <w:pPr>
              <w:pStyle w:val="81"/>
              <w:adjustRightInd w:val="0"/>
              <w:jc w:val="center"/>
              <w:rPr>
                <w:rFonts w:eastAsia="仿宋"/>
              </w:rPr>
            </w:pPr>
            <w:r>
              <w:rPr>
                <w:rFonts w:hint="eastAsia" w:eastAsia="仿宋"/>
              </w:rPr>
              <w:t>P</w:t>
            </w:r>
            <w:r>
              <w:rPr>
                <w:rFonts w:eastAsia="仿宋"/>
              </w:rPr>
              <w:t>AC</w:t>
            </w:r>
          </w:p>
        </w:tc>
        <w:tc>
          <w:tcPr>
            <w:tcW w:w="1161" w:type="pct"/>
            <w:vAlign w:val="center"/>
          </w:tcPr>
          <w:p w14:paraId="1F674410">
            <w:pPr>
              <w:pStyle w:val="81"/>
              <w:adjustRightInd w:val="0"/>
              <w:jc w:val="center"/>
              <w:rPr>
                <w:rFonts w:eastAsia="仿宋"/>
              </w:rPr>
            </w:pPr>
            <w:r>
              <w:rPr>
                <w:rFonts w:hint="eastAsia" w:eastAsia="仿宋"/>
              </w:rPr>
              <w:t>聚合氯化铝</w:t>
            </w:r>
          </w:p>
        </w:tc>
        <w:tc>
          <w:tcPr>
            <w:tcW w:w="486" w:type="pct"/>
            <w:vAlign w:val="center"/>
          </w:tcPr>
          <w:p w14:paraId="6424A90A">
            <w:pPr>
              <w:pStyle w:val="81"/>
              <w:adjustRightInd w:val="0"/>
              <w:jc w:val="center"/>
              <w:rPr>
                <w:rFonts w:eastAsia="仿宋"/>
              </w:rPr>
            </w:pPr>
            <w:r>
              <w:rPr>
                <w:rFonts w:hint="eastAsia" w:eastAsia="仿宋"/>
              </w:rPr>
              <w:t>1</w:t>
            </w:r>
          </w:p>
        </w:tc>
        <w:tc>
          <w:tcPr>
            <w:tcW w:w="306" w:type="pct"/>
            <w:vAlign w:val="center"/>
          </w:tcPr>
          <w:p w14:paraId="5404C766">
            <w:pPr>
              <w:pStyle w:val="81"/>
              <w:adjustRightInd w:val="0"/>
              <w:jc w:val="center"/>
              <w:rPr>
                <w:rFonts w:eastAsia="仿宋"/>
              </w:rPr>
            </w:pPr>
            <w:r>
              <w:rPr>
                <w:rFonts w:eastAsia="仿宋"/>
              </w:rPr>
              <w:t>t/a</w:t>
            </w:r>
          </w:p>
        </w:tc>
        <w:tc>
          <w:tcPr>
            <w:tcW w:w="454" w:type="pct"/>
            <w:vAlign w:val="center"/>
          </w:tcPr>
          <w:p w14:paraId="41EE5669">
            <w:pPr>
              <w:jc w:val="center"/>
              <w:rPr>
                <w:rFonts w:ascii="Times New Roman" w:eastAsia="仿宋"/>
                <w:szCs w:val="24"/>
              </w:rPr>
            </w:pPr>
            <w:r>
              <w:rPr>
                <w:rFonts w:eastAsia="仿宋"/>
              </w:rPr>
              <w:t>固态</w:t>
            </w:r>
          </w:p>
        </w:tc>
        <w:tc>
          <w:tcPr>
            <w:tcW w:w="453" w:type="pct"/>
            <w:vAlign w:val="center"/>
          </w:tcPr>
          <w:p w14:paraId="2B3F794E">
            <w:pPr>
              <w:pStyle w:val="81"/>
              <w:adjustRightInd w:val="0"/>
              <w:jc w:val="center"/>
              <w:rPr>
                <w:rFonts w:eastAsia="仿宋"/>
              </w:rPr>
            </w:pPr>
            <w:r>
              <w:rPr>
                <w:rFonts w:hint="eastAsia" w:eastAsia="仿宋"/>
              </w:rPr>
              <w:t>0</w:t>
            </w:r>
            <w:r>
              <w:rPr>
                <w:rFonts w:eastAsia="仿宋"/>
              </w:rPr>
              <w:t>.4</w:t>
            </w:r>
          </w:p>
        </w:tc>
        <w:tc>
          <w:tcPr>
            <w:tcW w:w="490" w:type="pct"/>
            <w:vAlign w:val="center"/>
          </w:tcPr>
          <w:p w14:paraId="793AD8A7">
            <w:pPr>
              <w:pStyle w:val="81"/>
              <w:adjustRightInd w:val="0"/>
              <w:jc w:val="center"/>
              <w:rPr>
                <w:rFonts w:eastAsia="仿宋"/>
              </w:rPr>
            </w:pPr>
            <w:r>
              <w:rPr>
                <w:rFonts w:hint="eastAsia" w:eastAsia="仿宋"/>
              </w:rPr>
              <w:t>2</w:t>
            </w:r>
            <w:r>
              <w:rPr>
                <w:rFonts w:eastAsia="仿宋"/>
              </w:rPr>
              <w:t>0</w:t>
            </w:r>
            <w:r>
              <w:rPr>
                <w:rFonts w:hint="eastAsia" w:eastAsia="仿宋"/>
              </w:rPr>
              <w:t>kg/袋</w:t>
            </w:r>
          </w:p>
        </w:tc>
        <w:tc>
          <w:tcPr>
            <w:tcW w:w="582" w:type="pct"/>
            <w:vAlign w:val="center"/>
          </w:tcPr>
          <w:p w14:paraId="479E1A9A">
            <w:pPr>
              <w:jc w:val="center"/>
              <w:rPr>
                <w:rFonts w:ascii="Times New Roman" w:eastAsia="仿宋"/>
                <w:szCs w:val="24"/>
              </w:rPr>
            </w:pPr>
            <w:r>
              <w:rPr>
                <w:rFonts w:hint="eastAsia" w:ascii="Times New Roman" w:eastAsia="仿宋"/>
                <w:szCs w:val="24"/>
              </w:rPr>
              <w:t>污水站药剂存放间</w:t>
            </w:r>
          </w:p>
        </w:tc>
        <w:tc>
          <w:tcPr>
            <w:tcW w:w="382" w:type="pct"/>
            <w:vAlign w:val="center"/>
          </w:tcPr>
          <w:p w14:paraId="4FBF9C4C">
            <w:pPr>
              <w:jc w:val="center"/>
              <w:rPr>
                <w:rFonts w:ascii="Times New Roman" w:eastAsia="仿宋"/>
                <w:szCs w:val="24"/>
              </w:rPr>
            </w:pPr>
            <w:r>
              <w:rPr>
                <w:rFonts w:hint="eastAsia" w:eastAsia="仿宋"/>
              </w:rPr>
              <w:t>汽车</w:t>
            </w:r>
          </w:p>
        </w:tc>
      </w:tr>
      <w:tr w14:paraId="032C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14:paraId="2AD439C9">
            <w:pPr>
              <w:pStyle w:val="81"/>
              <w:adjustRightInd w:val="0"/>
              <w:jc w:val="center"/>
              <w:rPr>
                <w:rFonts w:eastAsia="仿宋"/>
              </w:rPr>
            </w:pPr>
            <w:r>
              <w:rPr>
                <w:rFonts w:hint="eastAsia" w:eastAsia="仿宋"/>
              </w:rPr>
              <w:t>1</w:t>
            </w:r>
            <w:r>
              <w:rPr>
                <w:rFonts w:eastAsia="仿宋"/>
              </w:rPr>
              <w:t>4</w:t>
            </w:r>
          </w:p>
        </w:tc>
        <w:tc>
          <w:tcPr>
            <w:tcW w:w="433" w:type="pct"/>
            <w:vAlign w:val="center"/>
          </w:tcPr>
          <w:p w14:paraId="6BA58408">
            <w:pPr>
              <w:pStyle w:val="81"/>
              <w:adjustRightInd w:val="0"/>
              <w:jc w:val="center"/>
              <w:rPr>
                <w:rFonts w:eastAsia="仿宋"/>
              </w:rPr>
            </w:pPr>
            <w:r>
              <w:rPr>
                <w:rFonts w:hint="eastAsia" w:eastAsia="仿宋"/>
              </w:rPr>
              <w:t>P</w:t>
            </w:r>
            <w:r>
              <w:rPr>
                <w:rFonts w:eastAsia="仿宋"/>
              </w:rPr>
              <w:t>AM</w:t>
            </w:r>
          </w:p>
        </w:tc>
        <w:tc>
          <w:tcPr>
            <w:tcW w:w="1161" w:type="pct"/>
            <w:vAlign w:val="center"/>
          </w:tcPr>
          <w:p w14:paraId="4D31E9A3">
            <w:pPr>
              <w:pStyle w:val="81"/>
              <w:adjustRightInd w:val="0"/>
              <w:jc w:val="center"/>
              <w:rPr>
                <w:rFonts w:eastAsia="仿宋"/>
              </w:rPr>
            </w:pPr>
            <w:r>
              <w:rPr>
                <w:rFonts w:hint="eastAsia" w:eastAsia="仿宋"/>
              </w:rPr>
              <w:t>聚丙烯酰胺</w:t>
            </w:r>
          </w:p>
        </w:tc>
        <w:tc>
          <w:tcPr>
            <w:tcW w:w="486" w:type="pct"/>
            <w:vAlign w:val="center"/>
          </w:tcPr>
          <w:p w14:paraId="604F1F0F">
            <w:pPr>
              <w:pStyle w:val="81"/>
              <w:adjustRightInd w:val="0"/>
              <w:jc w:val="center"/>
              <w:rPr>
                <w:rFonts w:eastAsia="仿宋"/>
              </w:rPr>
            </w:pPr>
            <w:r>
              <w:rPr>
                <w:rFonts w:hint="eastAsia" w:eastAsia="仿宋"/>
              </w:rPr>
              <w:t>0</w:t>
            </w:r>
            <w:r>
              <w:rPr>
                <w:rFonts w:eastAsia="仿宋"/>
              </w:rPr>
              <w:t>.</w:t>
            </w:r>
            <w:r>
              <w:rPr>
                <w:rFonts w:hint="eastAsia" w:eastAsia="仿宋"/>
              </w:rPr>
              <w:t>5</w:t>
            </w:r>
          </w:p>
        </w:tc>
        <w:tc>
          <w:tcPr>
            <w:tcW w:w="306" w:type="pct"/>
            <w:vAlign w:val="center"/>
          </w:tcPr>
          <w:p w14:paraId="1C858084">
            <w:pPr>
              <w:pStyle w:val="81"/>
              <w:adjustRightInd w:val="0"/>
              <w:jc w:val="center"/>
              <w:rPr>
                <w:rFonts w:eastAsia="仿宋"/>
              </w:rPr>
            </w:pPr>
            <w:r>
              <w:rPr>
                <w:rFonts w:eastAsia="仿宋"/>
              </w:rPr>
              <w:t>t/a</w:t>
            </w:r>
          </w:p>
        </w:tc>
        <w:tc>
          <w:tcPr>
            <w:tcW w:w="454" w:type="pct"/>
            <w:vAlign w:val="center"/>
          </w:tcPr>
          <w:p w14:paraId="2F918CA8">
            <w:pPr>
              <w:pStyle w:val="81"/>
              <w:adjustRightInd w:val="0"/>
              <w:jc w:val="center"/>
              <w:rPr>
                <w:rFonts w:eastAsia="仿宋"/>
              </w:rPr>
            </w:pPr>
            <w:r>
              <w:rPr>
                <w:rFonts w:eastAsia="仿宋"/>
              </w:rPr>
              <w:t>固态</w:t>
            </w:r>
          </w:p>
        </w:tc>
        <w:tc>
          <w:tcPr>
            <w:tcW w:w="453" w:type="pct"/>
            <w:vAlign w:val="center"/>
          </w:tcPr>
          <w:p w14:paraId="5F4EB5E8">
            <w:pPr>
              <w:pStyle w:val="81"/>
              <w:adjustRightInd w:val="0"/>
              <w:jc w:val="center"/>
              <w:rPr>
                <w:rFonts w:eastAsia="仿宋"/>
              </w:rPr>
            </w:pPr>
            <w:r>
              <w:rPr>
                <w:rFonts w:hint="eastAsia" w:eastAsia="仿宋"/>
              </w:rPr>
              <w:t>0</w:t>
            </w:r>
            <w:r>
              <w:rPr>
                <w:rFonts w:eastAsia="仿宋"/>
              </w:rPr>
              <w:t>.01</w:t>
            </w:r>
          </w:p>
        </w:tc>
        <w:tc>
          <w:tcPr>
            <w:tcW w:w="490" w:type="pct"/>
            <w:vAlign w:val="center"/>
          </w:tcPr>
          <w:p w14:paraId="5E31E902">
            <w:pPr>
              <w:pStyle w:val="81"/>
              <w:adjustRightInd w:val="0"/>
              <w:jc w:val="center"/>
              <w:rPr>
                <w:rFonts w:eastAsia="仿宋"/>
              </w:rPr>
            </w:pPr>
            <w:r>
              <w:rPr>
                <w:rFonts w:eastAsia="仿宋"/>
              </w:rPr>
              <w:t>5</w:t>
            </w:r>
            <w:r>
              <w:rPr>
                <w:rFonts w:hint="eastAsia" w:eastAsia="仿宋"/>
              </w:rPr>
              <w:t>kg</w:t>
            </w:r>
            <w:r>
              <w:rPr>
                <w:rFonts w:eastAsia="仿宋"/>
              </w:rPr>
              <w:t>/</w:t>
            </w:r>
            <w:r>
              <w:rPr>
                <w:rFonts w:hint="eastAsia" w:eastAsia="仿宋"/>
              </w:rPr>
              <w:t>袋</w:t>
            </w:r>
          </w:p>
        </w:tc>
        <w:tc>
          <w:tcPr>
            <w:tcW w:w="582" w:type="pct"/>
            <w:vAlign w:val="center"/>
          </w:tcPr>
          <w:p w14:paraId="3DDB4A51">
            <w:pPr>
              <w:jc w:val="center"/>
              <w:rPr>
                <w:rFonts w:ascii="Times New Roman" w:eastAsia="仿宋"/>
                <w:szCs w:val="24"/>
              </w:rPr>
            </w:pPr>
            <w:r>
              <w:rPr>
                <w:rFonts w:hint="eastAsia" w:ascii="Times New Roman" w:eastAsia="仿宋"/>
                <w:szCs w:val="24"/>
              </w:rPr>
              <w:t>污水站药剂存放间</w:t>
            </w:r>
          </w:p>
        </w:tc>
        <w:tc>
          <w:tcPr>
            <w:tcW w:w="382" w:type="pct"/>
            <w:vAlign w:val="center"/>
          </w:tcPr>
          <w:p w14:paraId="0546284D">
            <w:pPr>
              <w:jc w:val="center"/>
              <w:rPr>
                <w:rFonts w:ascii="Times New Roman" w:eastAsia="仿宋"/>
                <w:szCs w:val="24"/>
              </w:rPr>
            </w:pPr>
            <w:r>
              <w:rPr>
                <w:rFonts w:hint="eastAsia" w:eastAsia="仿宋"/>
              </w:rPr>
              <w:t>汽车</w:t>
            </w:r>
          </w:p>
        </w:tc>
      </w:tr>
    </w:tbl>
    <w:p w14:paraId="2C111A4B">
      <w:pPr>
        <w:spacing w:line="480" w:lineRule="exact"/>
        <w:jc w:val="center"/>
        <w:rPr>
          <w:rFonts w:ascii="Times New Roman" w:eastAsia="仿宋"/>
          <w:b/>
        </w:rPr>
      </w:pPr>
      <w:r>
        <w:rPr>
          <w:rFonts w:ascii="Times New Roman" w:eastAsia="仿宋"/>
          <w:b/>
        </w:rPr>
        <w:t>表3.1-9   涂料物质组分汇总表</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97"/>
        <w:gridCol w:w="3908"/>
        <w:gridCol w:w="1414"/>
        <w:gridCol w:w="1417"/>
      </w:tblGrid>
      <w:tr w14:paraId="4200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noWrap/>
            <w:tcMar>
              <w:top w:w="0" w:type="dxa"/>
              <w:left w:w="108" w:type="dxa"/>
              <w:bottom w:w="0" w:type="dxa"/>
              <w:right w:w="108" w:type="dxa"/>
            </w:tcMar>
            <w:vAlign w:val="center"/>
          </w:tcPr>
          <w:p w14:paraId="46C359D6">
            <w:pPr>
              <w:jc w:val="center"/>
              <w:rPr>
                <w:rFonts w:ascii="Times New Roman" w:eastAsia="仿宋"/>
                <w:szCs w:val="24"/>
              </w:rPr>
            </w:pPr>
            <w:r>
              <w:rPr>
                <w:rFonts w:ascii="Times New Roman" w:eastAsia="仿宋"/>
                <w:szCs w:val="24"/>
              </w:rPr>
              <w:t>种类</w:t>
            </w:r>
          </w:p>
        </w:tc>
        <w:tc>
          <w:tcPr>
            <w:tcW w:w="2139" w:type="pct"/>
            <w:noWrap/>
            <w:tcMar>
              <w:top w:w="0" w:type="dxa"/>
              <w:left w:w="108" w:type="dxa"/>
              <w:bottom w:w="0" w:type="dxa"/>
              <w:right w:w="108" w:type="dxa"/>
            </w:tcMar>
            <w:vAlign w:val="center"/>
          </w:tcPr>
          <w:p w14:paraId="2F1209AA">
            <w:pPr>
              <w:jc w:val="center"/>
              <w:rPr>
                <w:rFonts w:ascii="Times New Roman" w:eastAsia="仿宋"/>
                <w:szCs w:val="24"/>
              </w:rPr>
            </w:pPr>
            <w:r>
              <w:rPr>
                <w:rFonts w:ascii="Times New Roman" w:eastAsia="仿宋"/>
                <w:szCs w:val="24"/>
              </w:rPr>
              <w:t>组分名称</w:t>
            </w:r>
          </w:p>
        </w:tc>
        <w:tc>
          <w:tcPr>
            <w:tcW w:w="774" w:type="pct"/>
            <w:tcMar>
              <w:top w:w="0" w:type="dxa"/>
              <w:left w:w="108" w:type="dxa"/>
              <w:bottom w:w="0" w:type="dxa"/>
              <w:right w:w="108" w:type="dxa"/>
            </w:tcMar>
            <w:vAlign w:val="center"/>
          </w:tcPr>
          <w:p w14:paraId="175C0D30">
            <w:pPr>
              <w:jc w:val="center"/>
              <w:rPr>
                <w:rFonts w:ascii="Times New Roman" w:eastAsia="仿宋"/>
                <w:szCs w:val="24"/>
              </w:rPr>
            </w:pPr>
            <w:r>
              <w:rPr>
                <w:rFonts w:ascii="Times New Roman" w:eastAsia="仿宋"/>
                <w:szCs w:val="24"/>
              </w:rPr>
              <w:t>配比</w:t>
            </w:r>
            <w:r>
              <w:rPr>
                <w:rFonts w:hint="eastAsia" w:ascii="Times New Roman" w:eastAsia="仿宋"/>
                <w:szCs w:val="24"/>
              </w:rPr>
              <w:t>（%）</w:t>
            </w:r>
          </w:p>
        </w:tc>
        <w:tc>
          <w:tcPr>
            <w:tcW w:w="775" w:type="pct"/>
            <w:vAlign w:val="center"/>
          </w:tcPr>
          <w:p w14:paraId="1CFB56FA">
            <w:pPr>
              <w:jc w:val="center"/>
              <w:rPr>
                <w:rFonts w:ascii="Times New Roman" w:eastAsia="仿宋"/>
                <w:szCs w:val="24"/>
              </w:rPr>
            </w:pPr>
            <w:r>
              <w:rPr>
                <w:rFonts w:ascii="Times New Roman" w:eastAsia="仿宋"/>
                <w:szCs w:val="24"/>
              </w:rPr>
              <w:t>VOCs占比</w:t>
            </w:r>
          </w:p>
        </w:tc>
      </w:tr>
      <w:tr w14:paraId="0169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restart"/>
            <w:tcMar>
              <w:top w:w="0" w:type="dxa"/>
              <w:left w:w="108" w:type="dxa"/>
              <w:bottom w:w="0" w:type="dxa"/>
              <w:right w:w="108" w:type="dxa"/>
            </w:tcMar>
            <w:vAlign w:val="center"/>
          </w:tcPr>
          <w:p w14:paraId="2A8D929E">
            <w:pPr>
              <w:jc w:val="center"/>
              <w:rPr>
                <w:rFonts w:ascii="Times New Roman" w:eastAsia="仿宋"/>
                <w:szCs w:val="24"/>
              </w:rPr>
            </w:pPr>
            <w:r>
              <w:rPr>
                <w:rFonts w:ascii="Times New Roman" w:eastAsia="仿宋"/>
                <w:szCs w:val="24"/>
              </w:rPr>
              <w:t>氟碳底漆</w:t>
            </w:r>
          </w:p>
        </w:tc>
        <w:tc>
          <w:tcPr>
            <w:tcW w:w="2139" w:type="pct"/>
            <w:noWrap/>
            <w:tcMar>
              <w:top w:w="0" w:type="dxa"/>
              <w:left w:w="108" w:type="dxa"/>
              <w:bottom w:w="0" w:type="dxa"/>
              <w:right w:w="108" w:type="dxa"/>
            </w:tcMar>
            <w:vAlign w:val="center"/>
          </w:tcPr>
          <w:p w14:paraId="3DF33FAB">
            <w:pPr>
              <w:widowControl/>
              <w:jc w:val="center"/>
              <w:rPr>
                <w:rFonts w:ascii="Times New Roman" w:eastAsia="仿宋"/>
                <w:szCs w:val="24"/>
              </w:rPr>
            </w:pPr>
            <w:r>
              <w:rPr>
                <w:rFonts w:ascii="Times New Roman" w:eastAsia="仿宋"/>
                <w:szCs w:val="24"/>
              </w:rPr>
              <w:t>丙烯酸树脂</w:t>
            </w:r>
          </w:p>
        </w:tc>
        <w:tc>
          <w:tcPr>
            <w:tcW w:w="774" w:type="pct"/>
            <w:tcMar>
              <w:top w:w="0" w:type="dxa"/>
              <w:left w:w="108" w:type="dxa"/>
              <w:bottom w:w="0" w:type="dxa"/>
              <w:right w:w="108" w:type="dxa"/>
            </w:tcMar>
            <w:vAlign w:val="center"/>
          </w:tcPr>
          <w:p w14:paraId="5C5E4049">
            <w:pPr>
              <w:widowControl/>
              <w:jc w:val="center"/>
              <w:rPr>
                <w:rFonts w:ascii="Times New Roman" w:eastAsia="仿宋"/>
                <w:szCs w:val="24"/>
              </w:rPr>
            </w:pPr>
            <w:r>
              <w:rPr>
                <w:rFonts w:ascii="Times New Roman" w:eastAsia="仿宋"/>
                <w:szCs w:val="24"/>
              </w:rPr>
              <w:t>15</w:t>
            </w:r>
          </w:p>
        </w:tc>
        <w:tc>
          <w:tcPr>
            <w:tcW w:w="775" w:type="pct"/>
            <w:vMerge w:val="restart"/>
            <w:vAlign w:val="center"/>
          </w:tcPr>
          <w:p w14:paraId="60FA661E">
            <w:pPr>
              <w:widowControl/>
              <w:jc w:val="center"/>
              <w:rPr>
                <w:rFonts w:ascii="Times New Roman" w:eastAsia="仿宋"/>
                <w:szCs w:val="24"/>
              </w:rPr>
            </w:pPr>
            <w:r>
              <w:rPr>
                <w:rFonts w:hint="eastAsia" w:ascii="Times New Roman" w:eastAsia="仿宋"/>
                <w:szCs w:val="24"/>
              </w:rPr>
              <w:t>47</w:t>
            </w:r>
            <w:r>
              <w:rPr>
                <w:rFonts w:ascii="Times New Roman" w:eastAsia="仿宋"/>
                <w:szCs w:val="24"/>
              </w:rPr>
              <w:t>%</w:t>
            </w:r>
          </w:p>
        </w:tc>
      </w:tr>
      <w:tr w14:paraId="6349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2" w:type="pct"/>
            <w:vMerge w:val="continue"/>
            <w:vAlign w:val="center"/>
          </w:tcPr>
          <w:p w14:paraId="5865C44A">
            <w:pPr>
              <w:jc w:val="center"/>
              <w:rPr>
                <w:rFonts w:ascii="Times New Roman" w:eastAsia="仿宋"/>
                <w:szCs w:val="24"/>
              </w:rPr>
            </w:pPr>
          </w:p>
        </w:tc>
        <w:tc>
          <w:tcPr>
            <w:tcW w:w="2139" w:type="pct"/>
            <w:noWrap/>
            <w:tcMar>
              <w:top w:w="0" w:type="dxa"/>
              <w:left w:w="108" w:type="dxa"/>
              <w:bottom w:w="0" w:type="dxa"/>
              <w:right w:w="108" w:type="dxa"/>
            </w:tcMar>
            <w:vAlign w:val="center"/>
          </w:tcPr>
          <w:p w14:paraId="4626B88F">
            <w:pPr>
              <w:widowControl/>
              <w:jc w:val="center"/>
              <w:rPr>
                <w:rFonts w:ascii="Times New Roman" w:eastAsia="仿宋"/>
                <w:szCs w:val="24"/>
              </w:rPr>
            </w:pPr>
            <w:r>
              <w:rPr>
                <w:rFonts w:ascii="Times New Roman" w:eastAsia="仿宋"/>
                <w:szCs w:val="24"/>
              </w:rPr>
              <w:t>二氧化钛</w:t>
            </w:r>
          </w:p>
        </w:tc>
        <w:tc>
          <w:tcPr>
            <w:tcW w:w="774" w:type="pct"/>
            <w:tcMar>
              <w:top w:w="0" w:type="dxa"/>
              <w:left w:w="108" w:type="dxa"/>
              <w:bottom w:w="0" w:type="dxa"/>
              <w:right w:w="108" w:type="dxa"/>
            </w:tcMar>
            <w:vAlign w:val="center"/>
          </w:tcPr>
          <w:p w14:paraId="24379043">
            <w:pPr>
              <w:jc w:val="center"/>
              <w:rPr>
                <w:rFonts w:ascii="Times New Roman" w:eastAsia="仿宋"/>
                <w:szCs w:val="24"/>
              </w:rPr>
            </w:pPr>
            <w:r>
              <w:rPr>
                <w:rFonts w:ascii="Times New Roman" w:eastAsia="仿宋"/>
                <w:szCs w:val="24"/>
              </w:rPr>
              <w:t>10</w:t>
            </w:r>
          </w:p>
        </w:tc>
        <w:tc>
          <w:tcPr>
            <w:tcW w:w="775" w:type="pct"/>
            <w:vMerge w:val="continue"/>
            <w:vAlign w:val="center"/>
          </w:tcPr>
          <w:p w14:paraId="69072826">
            <w:pPr>
              <w:jc w:val="center"/>
              <w:rPr>
                <w:rFonts w:ascii="Times New Roman" w:eastAsia="仿宋"/>
                <w:szCs w:val="24"/>
              </w:rPr>
            </w:pPr>
          </w:p>
        </w:tc>
      </w:tr>
      <w:tr w14:paraId="57FF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vAlign w:val="center"/>
          </w:tcPr>
          <w:p w14:paraId="73063A7A">
            <w:pPr>
              <w:jc w:val="center"/>
              <w:rPr>
                <w:rFonts w:ascii="Times New Roman" w:eastAsia="仿宋"/>
                <w:szCs w:val="24"/>
              </w:rPr>
            </w:pPr>
          </w:p>
        </w:tc>
        <w:tc>
          <w:tcPr>
            <w:tcW w:w="2139" w:type="pct"/>
            <w:noWrap/>
            <w:tcMar>
              <w:top w:w="0" w:type="dxa"/>
              <w:left w:w="108" w:type="dxa"/>
              <w:bottom w:w="0" w:type="dxa"/>
              <w:right w:w="108" w:type="dxa"/>
            </w:tcMar>
            <w:vAlign w:val="center"/>
          </w:tcPr>
          <w:p w14:paraId="3008E56C">
            <w:pPr>
              <w:jc w:val="center"/>
              <w:rPr>
                <w:rFonts w:ascii="Times New Roman" w:eastAsia="仿宋"/>
                <w:szCs w:val="24"/>
              </w:rPr>
            </w:pPr>
            <w:r>
              <w:rPr>
                <w:rFonts w:ascii="Times New Roman" w:eastAsia="仿宋"/>
                <w:szCs w:val="24"/>
              </w:rPr>
              <w:t>重晶石粉</w:t>
            </w:r>
          </w:p>
        </w:tc>
        <w:tc>
          <w:tcPr>
            <w:tcW w:w="774" w:type="pct"/>
            <w:tcMar>
              <w:top w:w="0" w:type="dxa"/>
              <w:left w:w="108" w:type="dxa"/>
              <w:bottom w:w="0" w:type="dxa"/>
              <w:right w:w="108" w:type="dxa"/>
            </w:tcMar>
            <w:vAlign w:val="center"/>
          </w:tcPr>
          <w:p w14:paraId="62BB7478">
            <w:pPr>
              <w:jc w:val="center"/>
              <w:rPr>
                <w:rFonts w:ascii="Times New Roman" w:eastAsia="仿宋"/>
                <w:szCs w:val="24"/>
              </w:rPr>
            </w:pPr>
            <w:r>
              <w:rPr>
                <w:rFonts w:ascii="Times New Roman" w:eastAsia="仿宋"/>
                <w:szCs w:val="24"/>
              </w:rPr>
              <w:t>15</w:t>
            </w:r>
          </w:p>
        </w:tc>
        <w:tc>
          <w:tcPr>
            <w:tcW w:w="775" w:type="pct"/>
            <w:vMerge w:val="continue"/>
            <w:vAlign w:val="center"/>
          </w:tcPr>
          <w:p w14:paraId="2F81EC5C">
            <w:pPr>
              <w:jc w:val="center"/>
              <w:rPr>
                <w:rFonts w:ascii="Times New Roman" w:eastAsia="仿宋"/>
                <w:szCs w:val="24"/>
              </w:rPr>
            </w:pPr>
          </w:p>
        </w:tc>
      </w:tr>
      <w:tr w14:paraId="0714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vAlign w:val="center"/>
          </w:tcPr>
          <w:p w14:paraId="4CAB73B2">
            <w:pPr>
              <w:jc w:val="center"/>
              <w:rPr>
                <w:rFonts w:ascii="Times New Roman" w:eastAsia="仿宋"/>
                <w:szCs w:val="24"/>
              </w:rPr>
            </w:pPr>
          </w:p>
        </w:tc>
        <w:tc>
          <w:tcPr>
            <w:tcW w:w="2139" w:type="pct"/>
            <w:noWrap/>
            <w:tcMar>
              <w:top w:w="0" w:type="dxa"/>
              <w:left w:w="108" w:type="dxa"/>
              <w:bottom w:w="0" w:type="dxa"/>
              <w:right w:w="108" w:type="dxa"/>
            </w:tcMar>
            <w:vAlign w:val="center"/>
          </w:tcPr>
          <w:p w14:paraId="64BD1455">
            <w:pPr>
              <w:jc w:val="center"/>
              <w:rPr>
                <w:rFonts w:ascii="Times New Roman" w:eastAsia="仿宋"/>
                <w:szCs w:val="24"/>
              </w:rPr>
            </w:pPr>
            <w:r>
              <w:rPr>
                <w:rFonts w:ascii="Times New Roman" w:eastAsia="仿宋"/>
                <w:szCs w:val="24"/>
              </w:rPr>
              <w:t>PVDF树脂</w:t>
            </w:r>
          </w:p>
        </w:tc>
        <w:tc>
          <w:tcPr>
            <w:tcW w:w="774" w:type="pct"/>
            <w:tcMar>
              <w:top w:w="0" w:type="dxa"/>
              <w:left w:w="108" w:type="dxa"/>
              <w:bottom w:w="0" w:type="dxa"/>
              <w:right w:w="108" w:type="dxa"/>
            </w:tcMar>
            <w:vAlign w:val="center"/>
          </w:tcPr>
          <w:p w14:paraId="35A4A8D8">
            <w:pPr>
              <w:jc w:val="center"/>
              <w:rPr>
                <w:rFonts w:ascii="Times New Roman" w:eastAsia="仿宋"/>
                <w:szCs w:val="24"/>
              </w:rPr>
            </w:pPr>
            <w:r>
              <w:rPr>
                <w:rFonts w:ascii="Times New Roman" w:eastAsia="仿宋"/>
                <w:szCs w:val="24"/>
              </w:rPr>
              <w:t>10</w:t>
            </w:r>
          </w:p>
        </w:tc>
        <w:tc>
          <w:tcPr>
            <w:tcW w:w="775" w:type="pct"/>
            <w:vMerge w:val="continue"/>
            <w:vAlign w:val="center"/>
          </w:tcPr>
          <w:p w14:paraId="3D3AE9CD">
            <w:pPr>
              <w:jc w:val="center"/>
              <w:rPr>
                <w:rFonts w:ascii="Times New Roman" w:eastAsia="仿宋"/>
                <w:szCs w:val="24"/>
              </w:rPr>
            </w:pPr>
          </w:p>
        </w:tc>
      </w:tr>
      <w:tr w14:paraId="0421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2" w:type="pct"/>
            <w:vMerge w:val="continue"/>
            <w:vAlign w:val="center"/>
          </w:tcPr>
          <w:p w14:paraId="769FB346">
            <w:pPr>
              <w:jc w:val="center"/>
              <w:rPr>
                <w:rFonts w:ascii="Times New Roman" w:eastAsia="仿宋"/>
                <w:szCs w:val="24"/>
              </w:rPr>
            </w:pPr>
          </w:p>
        </w:tc>
        <w:tc>
          <w:tcPr>
            <w:tcW w:w="2139" w:type="pct"/>
            <w:noWrap/>
            <w:tcMar>
              <w:top w:w="0" w:type="dxa"/>
              <w:left w:w="108" w:type="dxa"/>
              <w:bottom w:w="0" w:type="dxa"/>
              <w:right w:w="108" w:type="dxa"/>
            </w:tcMar>
            <w:vAlign w:val="center"/>
          </w:tcPr>
          <w:p w14:paraId="50E5D9A7">
            <w:pPr>
              <w:jc w:val="center"/>
              <w:rPr>
                <w:rFonts w:ascii="Times New Roman" w:eastAsia="仿宋"/>
                <w:szCs w:val="24"/>
              </w:rPr>
            </w:pPr>
            <w:r>
              <w:rPr>
                <w:rFonts w:ascii="Times New Roman" w:eastAsia="仿宋"/>
                <w:szCs w:val="24"/>
              </w:rPr>
              <w:t>助剂</w:t>
            </w:r>
          </w:p>
        </w:tc>
        <w:tc>
          <w:tcPr>
            <w:tcW w:w="774" w:type="pct"/>
            <w:tcMar>
              <w:top w:w="0" w:type="dxa"/>
              <w:left w:w="108" w:type="dxa"/>
              <w:bottom w:w="0" w:type="dxa"/>
              <w:right w:w="108" w:type="dxa"/>
            </w:tcMar>
            <w:vAlign w:val="center"/>
          </w:tcPr>
          <w:p w14:paraId="5713F080">
            <w:pPr>
              <w:jc w:val="center"/>
              <w:rPr>
                <w:rFonts w:ascii="Times New Roman" w:eastAsia="仿宋"/>
                <w:szCs w:val="24"/>
              </w:rPr>
            </w:pPr>
            <w:r>
              <w:rPr>
                <w:rFonts w:ascii="Times New Roman" w:eastAsia="仿宋"/>
                <w:szCs w:val="24"/>
              </w:rPr>
              <w:t>3</w:t>
            </w:r>
          </w:p>
        </w:tc>
        <w:tc>
          <w:tcPr>
            <w:tcW w:w="775" w:type="pct"/>
            <w:vMerge w:val="continue"/>
            <w:vAlign w:val="center"/>
          </w:tcPr>
          <w:p w14:paraId="2AEE8AAD">
            <w:pPr>
              <w:jc w:val="center"/>
              <w:rPr>
                <w:rFonts w:ascii="Times New Roman" w:eastAsia="仿宋"/>
                <w:szCs w:val="24"/>
              </w:rPr>
            </w:pPr>
          </w:p>
        </w:tc>
      </w:tr>
      <w:tr w14:paraId="7333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2" w:type="pct"/>
            <w:vMerge w:val="continue"/>
            <w:shd w:val="clear" w:color="auto" w:fill="auto"/>
            <w:vAlign w:val="center"/>
          </w:tcPr>
          <w:p w14:paraId="637DB59F">
            <w:pPr>
              <w:jc w:val="center"/>
              <w:rPr>
                <w:rFonts w:ascii="Times New Roman" w:eastAsia="仿宋"/>
                <w:szCs w:val="24"/>
              </w:rPr>
            </w:pPr>
          </w:p>
        </w:tc>
        <w:tc>
          <w:tcPr>
            <w:tcW w:w="2139" w:type="pct"/>
            <w:shd w:val="clear" w:color="auto" w:fill="D0CECE"/>
            <w:noWrap/>
            <w:tcMar>
              <w:top w:w="0" w:type="dxa"/>
              <w:left w:w="108" w:type="dxa"/>
              <w:bottom w:w="0" w:type="dxa"/>
              <w:right w:w="108" w:type="dxa"/>
            </w:tcMar>
            <w:vAlign w:val="center"/>
          </w:tcPr>
          <w:p w14:paraId="33F99A31">
            <w:pPr>
              <w:jc w:val="center"/>
              <w:rPr>
                <w:rFonts w:ascii="Times New Roman" w:eastAsia="仿宋"/>
                <w:b/>
                <w:bCs/>
                <w:szCs w:val="24"/>
              </w:rPr>
            </w:pPr>
            <w:r>
              <w:rPr>
                <w:rFonts w:ascii="Times New Roman" w:eastAsia="仿宋"/>
                <w:b/>
                <w:bCs/>
                <w:szCs w:val="24"/>
              </w:rPr>
              <w:t>二价酸酯</w:t>
            </w:r>
          </w:p>
        </w:tc>
        <w:tc>
          <w:tcPr>
            <w:tcW w:w="774" w:type="pct"/>
            <w:shd w:val="clear" w:color="auto" w:fill="D0CECE"/>
            <w:tcMar>
              <w:top w:w="0" w:type="dxa"/>
              <w:left w:w="108" w:type="dxa"/>
              <w:bottom w:w="0" w:type="dxa"/>
              <w:right w:w="108" w:type="dxa"/>
            </w:tcMar>
            <w:vAlign w:val="center"/>
          </w:tcPr>
          <w:p w14:paraId="654CFB4C">
            <w:pPr>
              <w:jc w:val="center"/>
              <w:rPr>
                <w:rFonts w:ascii="Times New Roman" w:eastAsia="仿宋"/>
                <w:b/>
                <w:bCs/>
                <w:szCs w:val="24"/>
              </w:rPr>
            </w:pPr>
            <w:r>
              <w:rPr>
                <w:rFonts w:ascii="Times New Roman" w:eastAsia="仿宋"/>
                <w:b/>
                <w:bCs/>
                <w:szCs w:val="24"/>
              </w:rPr>
              <w:t>10</w:t>
            </w:r>
          </w:p>
        </w:tc>
        <w:tc>
          <w:tcPr>
            <w:tcW w:w="775" w:type="pct"/>
            <w:vMerge w:val="continue"/>
            <w:vAlign w:val="center"/>
          </w:tcPr>
          <w:p w14:paraId="4792819C">
            <w:pPr>
              <w:jc w:val="center"/>
              <w:rPr>
                <w:rFonts w:ascii="Times New Roman" w:eastAsia="仿宋"/>
                <w:szCs w:val="24"/>
              </w:rPr>
            </w:pPr>
          </w:p>
        </w:tc>
      </w:tr>
      <w:tr w14:paraId="6E3B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71ED52C0">
            <w:pPr>
              <w:jc w:val="center"/>
              <w:rPr>
                <w:rFonts w:ascii="Times New Roman" w:eastAsia="仿宋"/>
                <w:szCs w:val="24"/>
              </w:rPr>
            </w:pPr>
          </w:p>
        </w:tc>
        <w:tc>
          <w:tcPr>
            <w:tcW w:w="2139" w:type="pct"/>
            <w:shd w:val="clear" w:color="auto" w:fill="D0CECE"/>
            <w:noWrap/>
            <w:tcMar>
              <w:top w:w="0" w:type="dxa"/>
              <w:left w:w="108" w:type="dxa"/>
              <w:bottom w:w="0" w:type="dxa"/>
              <w:right w:w="108" w:type="dxa"/>
            </w:tcMar>
            <w:vAlign w:val="center"/>
          </w:tcPr>
          <w:p w14:paraId="2345CB9B">
            <w:pPr>
              <w:jc w:val="center"/>
              <w:rPr>
                <w:rFonts w:ascii="Times New Roman" w:eastAsia="仿宋"/>
                <w:b/>
                <w:bCs/>
                <w:szCs w:val="24"/>
              </w:rPr>
            </w:pPr>
            <w:r>
              <w:rPr>
                <w:rFonts w:ascii="Times New Roman" w:eastAsia="仿宋"/>
                <w:b/>
                <w:bCs/>
                <w:szCs w:val="24"/>
              </w:rPr>
              <w:t>邻苯二甲酸二甲酯</w:t>
            </w:r>
          </w:p>
        </w:tc>
        <w:tc>
          <w:tcPr>
            <w:tcW w:w="774" w:type="pct"/>
            <w:shd w:val="clear" w:color="auto" w:fill="D0CECE"/>
            <w:tcMar>
              <w:top w:w="0" w:type="dxa"/>
              <w:left w:w="108" w:type="dxa"/>
              <w:bottom w:w="0" w:type="dxa"/>
              <w:right w:w="108" w:type="dxa"/>
            </w:tcMar>
            <w:vAlign w:val="center"/>
          </w:tcPr>
          <w:p w14:paraId="402817B7">
            <w:pPr>
              <w:jc w:val="center"/>
              <w:rPr>
                <w:rFonts w:ascii="Times New Roman" w:eastAsia="仿宋"/>
                <w:b/>
                <w:bCs/>
                <w:szCs w:val="24"/>
              </w:rPr>
            </w:pPr>
            <w:r>
              <w:rPr>
                <w:rFonts w:ascii="Times New Roman" w:eastAsia="仿宋"/>
                <w:b/>
                <w:bCs/>
                <w:szCs w:val="24"/>
              </w:rPr>
              <w:t>6</w:t>
            </w:r>
          </w:p>
        </w:tc>
        <w:tc>
          <w:tcPr>
            <w:tcW w:w="775" w:type="pct"/>
            <w:vMerge w:val="continue"/>
            <w:vAlign w:val="center"/>
          </w:tcPr>
          <w:p w14:paraId="3582C3AA">
            <w:pPr>
              <w:jc w:val="center"/>
              <w:rPr>
                <w:rFonts w:ascii="Times New Roman" w:eastAsia="仿宋"/>
                <w:szCs w:val="24"/>
              </w:rPr>
            </w:pPr>
          </w:p>
        </w:tc>
      </w:tr>
      <w:tr w14:paraId="5A0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49A0658D">
            <w:pPr>
              <w:jc w:val="center"/>
              <w:rPr>
                <w:rFonts w:ascii="Times New Roman" w:eastAsia="仿宋"/>
                <w:szCs w:val="24"/>
              </w:rPr>
            </w:pPr>
          </w:p>
        </w:tc>
        <w:tc>
          <w:tcPr>
            <w:tcW w:w="2139" w:type="pct"/>
            <w:shd w:val="clear" w:color="auto" w:fill="D0CECE"/>
            <w:noWrap/>
            <w:tcMar>
              <w:top w:w="0" w:type="dxa"/>
              <w:left w:w="108" w:type="dxa"/>
              <w:bottom w:w="0" w:type="dxa"/>
              <w:right w:w="108" w:type="dxa"/>
            </w:tcMar>
            <w:vAlign w:val="center"/>
          </w:tcPr>
          <w:p w14:paraId="15ECA610">
            <w:pPr>
              <w:jc w:val="center"/>
              <w:rPr>
                <w:rFonts w:ascii="Times New Roman" w:eastAsia="仿宋"/>
                <w:b/>
                <w:bCs/>
                <w:szCs w:val="24"/>
              </w:rPr>
            </w:pPr>
            <w:r>
              <w:rPr>
                <w:rFonts w:ascii="Times New Roman" w:eastAsia="仿宋"/>
                <w:b/>
                <w:bCs/>
                <w:szCs w:val="24"/>
              </w:rPr>
              <w:t>二甲苯</w:t>
            </w:r>
          </w:p>
        </w:tc>
        <w:tc>
          <w:tcPr>
            <w:tcW w:w="774" w:type="pct"/>
            <w:shd w:val="clear" w:color="auto" w:fill="D0CECE"/>
            <w:tcMar>
              <w:top w:w="0" w:type="dxa"/>
              <w:left w:w="108" w:type="dxa"/>
              <w:bottom w:w="0" w:type="dxa"/>
              <w:right w:w="108" w:type="dxa"/>
            </w:tcMar>
            <w:vAlign w:val="center"/>
          </w:tcPr>
          <w:p w14:paraId="3A4AA7B7">
            <w:pPr>
              <w:jc w:val="center"/>
              <w:rPr>
                <w:rFonts w:ascii="Times New Roman" w:eastAsia="仿宋"/>
                <w:b/>
                <w:bCs/>
                <w:szCs w:val="24"/>
              </w:rPr>
            </w:pPr>
            <w:r>
              <w:rPr>
                <w:rFonts w:ascii="Times New Roman" w:eastAsia="仿宋"/>
                <w:b/>
                <w:bCs/>
                <w:szCs w:val="24"/>
              </w:rPr>
              <w:t>31</w:t>
            </w:r>
          </w:p>
        </w:tc>
        <w:tc>
          <w:tcPr>
            <w:tcW w:w="775" w:type="pct"/>
            <w:vMerge w:val="continue"/>
            <w:vAlign w:val="center"/>
          </w:tcPr>
          <w:p w14:paraId="18BDEB5C">
            <w:pPr>
              <w:jc w:val="center"/>
              <w:rPr>
                <w:rFonts w:ascii="Times New Roman" w:eastAsia="仿宋"/>
                <w:szCs w:val="24"/>
              </w:rPr>
            </w:pPr>
          </w:p>
        </w:tc>
      </w:tr>
      <w:tr w14:paraId="5702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restart"/>
            <w:vAlign w:val="center"/>
          </w:tcPr>
          <w:p w14:paraId="0B946B74">
            <w:pPr>
              <w:jc w:val="center"/>
              <w:rPr>
                <w:rFonts w:ascii="Times New Roman" w:eastAsia="仿宋"/>
                <w:szCs w:val="24"/>
              </w:rPr>
            </w:pPr>
            <w:r>
              <w:rPr>
                <w:rFonts w:ascii="Times New Roman" w:eastAsia="仿宋"/>
                <w:szCs w:val="24"/>
              </w:rPr>
              <w:t>氟碳面漆</w:t>
            </w:r>
          </w:p>
        </w:tc>
        <w:tc>
          <w:tcPr>
            <w:tcW w:w="2139" w:type="pct"/>
            <w:noWrap/>
            <w:tcMar>
              <w:top w:w="0" w:type="dxa"/>
              <w:left w:w="108" w:type="dxa"/>
              <w:bottom w:w="0" w:type="dxa"/>
              <w:right w:w="108" w:type="dxa"/>
            </w:tcMar>
            <w:vAlign w:val="center"/>
          </w:tcPr>
          <w:p w14:paraId="14CAF583">
            <w:pPr>
              <w:widowControl/>
              <w:jc w:val="center"/>
              <w:rPr>
                <w:rFonts w:ascii="Times New Roman" w:eastAsia="仿宋"/>
                <w:szCs w:val="24"/>
              </w:rPr>
            </w:pPr>
            <w:r>
              <w:rPr>
                <w:rFonts w:ascii="Times New Roman" w:eastAsia="仿宋"/>
                <w:szCs w:val="24"/>
              </w:rPr>
              <w:t>丙烯酸树脂</w:t>
            </w:r>
          </w:p>
        </w:tc>
        <w:tc>
          <w:tcPr>
            <w:tcW w:w="774" w:type="pct"/>
            <w:tcMar>
              <w:top w:w="0" w:type="dxa"/>
              <w:left w:w="108" w:type="dxa"/>
              <w:bottom w:w="0" w:type="dxa"/>
              <w:right w:w="108" w:type="dxa"/>
            </w:tcMar>
            <w:vAlign w:val="center"/>
          </w:tcPr>
          <w:p w14:paraId="7E1E09E5">
            <w:pPr>
              <w:widowControl/>
              <w:jc w:val="center"/>
              <w:rPr>
                <w:rFonts w:ascii="Times New Roman" w:eastAsia="仿宋"/>
                <w:szCs w:val="24"/>
              </w:rPr>
            </w:pPr>
            <w:r>
              <w:rPr>
                <w:rFonts w:ascii="Times New Roman" w:eastAsia="仿宋"/>
                <w:szCs w:val="24"/>
              </w:rPr>
              <w:t>12.5</w:t>
            </w:r>
          </w:p>
        </w:tc>
        <w:tc>
          <w:tcPr>
            <w:tcW w:w="775" w:type="pct"/>
            <w:vMerge w:val="restart"/>
            <w:vAlign w:val="center"/>
          </w:tcPr>
          <w:p w14:paraId="53A617B9">
            <w:pPr>
              <w:widowControl/>
              <w:jc w:val="center"/>
              <w:rPr>
                <w:rFonts w:ascii="Times New Roman" w:eastAsia="仿宋"/>
                <w:szCs w:val="24"/>
              </w:rPr>
            </w:pPr>
            <w:r>
              <w:rPr>
                <w:rFonts w:hint="eastAsia" w:ascii="Times New Roman" w:eastAsia="仿宋"/>
                <w:szCs w:val="24"/>
              </w:rPr>
              <w:t>44.5</w:t>
            </w:r>
            <w:r>
              <w:rPr>
                <w:rFonts w:ascii="Times New Roman" w:eastAsia="仿宋"/>
                <w:szCs w:val="24"/>
              </w:rPr>
              <w:t>%</w:t>
            </w:r>
          </w:p>
        </w:tc>
      </w:tr>
      <w:tr w14:paraId="2C74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vAlign w:val="center"/>
          </w:tcPr>
          <w:p w14:paraId="08E0524B">
            <w:pPr>
              <w:jc w:val="center"/>
              <w:rPr>
                <w:rFonts w:ascii="Times New Roman" w:eastAsia="仿宋"/>
                <w:szCs w:val="24"/>
              </w:rPr>
            </w:pPr>
          </w:p>
        </w:tc>
        <w:tc>
          <w:tcPr>
            <w:tcW w:w="2139" w:type="pct"/>
            <w:noWrap/>
            <w:tcMar>
              <w:top w:w="0" w:type="dxa"/>
              <w:left w:w="108" w:type="dxa"/>
              <w:bottom w:w="0" w:type="dxa"/>
              <w:right w:w="108" w:type="dxa"/>
            </w:tcMar>
            <w:vAlign w:val="center"/>
          </w:tcPr>
          <w:p w14:paraId="14BB9F28">
            <w:pPr>
              <w:jc w:val="center"/>
              <w:rPr>
                <w:rFonts w:ascii="Times New Roman" w:eastAsia="仿宋"/>
                <w:szCs w:val="24"/>
              </w:rPr>
            </w:pPr>
            <w:r>
              <w:rPr>
                <w:rFonts w:ascii="Times New Roman" w:eastAsia="仿宋"/>
                <w:szCs w:val="24"/>
              </w:rPr>
              <w:t>二氧化钛</w:t>
            </w:r>
          </w:p>
        </w:tc>
        <w:tc>
          <w:tcPr>
            <w:tcW w:w="774" w:type="pct"/>
            <w:tcMar>
              <w:top w:w="0" w:type="dxa"/>
              <w:left w:w="108" w:type="dxa"/>
              <w:bottom w:w="0" w:type="dxa"/>
              <w:right w:w="108" w:type="dxa"/>
            </w:tcMar>
            <w:vAlign w:val="center"/>
          </w:tcPr>
          <w:p w14:paraId="52E2FAC3">
            <w:pPr>
              <w:jc w:val="center"/>
              <w:rPr>
                <w:rFonts w:ascii="Times New Roman" w:eastAsia="仿宋"/>
                <w:szCs w:val="24"/>
              </w:rPr>
            </w:pPr>
            <w:r>
              <w:rPr>
                <w:rFonts w:ascii="Times New Roman" w:eastAsia="仿宋"/>
                <w:szCs w:val="24"/>
              </w:rPr>
              <w:t>10</w:t>
            </w:r>
          </w:p>
        </w:tc>
        <w:tc>
          <w:tcPr>
            <w:tcW w:w="775" w:type="pct"/>
            <w:vMerge w:val="continue"/>
            <w:vAlign w:val="center"/>
          </w:tcPr>
          <w:p w14:paraId="66FAEB7B">
            <w:pPr>
              <w:jc w:val="center"/>
              <w:rPr>
                <w:rFonts w:ascii="Times New Roman" w:eastAsia="仿宋"/>
                <w:szCs w:val="24"/>
              </w:rPr>
            </w:pPr>
          </w:p>
        </w:tc>
      </w:tr>
      <w:tr w14:paraId="1A9B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vAlign w:val="center"/>
          </w:tcPr>
          <w:p w14:paraId="78C3A77B">
            <w:pPr>
              <w:jc w:val="center"/>
              <w:rPr>
                <w:rFonts w:ascii="Times New Roman" w:eastAsia="仿宋"/>
                <w:szCs w:val="24"/>
              </w:rPr>
            </w:pPr>
          </w:p>
        </w:tc>
        <w:tc>
          <w:tcPr>
            <w:tcW w:w="2139" w:type="pct"/>
            <w:noWrap/>
            <w:tcMar>
              <w:top w:w="0" w:type="dxa"/>
              <w:left w:w="108" w:type="dxa"/>
              <w:bottom w:w="0" w:type="dxa"/>
              <w:right w:w="108" w:type="dxa"/>
            </w:tcMar>
            <w:vAlign w:val="center"/>
          </w:tcPr>
          <w:p w14:paraId="507E80D5">
            <w:pPr>
              <w:jc w:val="center"/>
              <w:rPr>
                <w:rFonts w:ascii="Times New Roman" w:eastAsia="仿宋"/>
                <w:szCs w:val="24"/>
              </w:rPr>
            </w:pPr>
            <w:r>
              <w:rPr>
                <w:rFonts w:ascii="Times New Roman" w:eastAsia="仿宋"/>
                <w:szCs w:val="24"/>
              </w:rPr>
              <w:t>PVDF树脂</w:t>
            </w:r>
          </w:p>
        </w:tc>
        <w:tc>
          <w:tcPr>
            <w:tcW w:w="774" w:type="pct"/>
            <w:tcMar>
              <w:top w:w="0" w:type="dxa"/>
              <w:left w:w="108" w:type="dxa"/>
              <w:bottom w:w="0" w:type="dxa"/>
              <w:right w:w="108" w:type="dxa"/>
            </w:tcMar>
            <w:vAlign w:val="center"/>
          </w:tcPr>
          <w:p w14:paraId="3965D2B9">
            <w:pPr>
              <w:jc w:val="center"/>
              <w:rPr>
                <w:rFonts w:ascii="Times New Roman" w:eastAsia="仿宋"/>
                <w:szCs w:val="24"/>
              </w:rPr>
            </w:pPr>
            <w:r>
              <w:rPr>
                <w:rFonts w:ascii="Times New Roman" w:eastAsia="仿宋"/>
                <w:szCs w:val="24"/>
              </w:rPr>
              <w:t>30</w:t>
            </w:r>
          </w:p>
        </w:tc>
        <w:tc>
          <w:tcPr>
            <w:tcW w:w="775" w:type="pct"/>
            <w:vMerge w:val="continue"/>
            <w:vAlign w:val="center"/>
          </w:tcPr>
          <w:p w14:paraId="161052EC">
            <w:pPr>
              <w:jc w:val="center"/>
              <w:rPr>
                <w:rFonts w:ascii="Times New Roman" w:eastAsia="仿宋"/>
                <w:szCs w:val="24"/>
              </w:rPr>
            </w:pPr>
          </w:p>
        </w:tc>
      </w:tr>
      <w:tr w14:paraId="3D8C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3D7780F0">
            <w:pPr>
              <w:jc w:val="center"/>
              <w:rPr>
                <w:rFonts w:ascii="Times New Roman" w:eastAsia="仿宋"/>
                <w:szCs w:val="24"/>
              </w:rPr>
            </w:pPr>
          </w:p>
        </w:tc>
        <w:tc>
          <w:tcPr>
            <w:tcW w:w="2139" w:type="pct"/>
            <w:shd w:val="clear" w:color="auto" w:fill="FFFFFF"/>
            <w:noWrap/>
            <w:tcMar>
              <w:top w:w="0" w:type="dxa"/>
              <w:left w:w="108" w:type="dxa"/>
              <w:bottom w:w="0" w:type="dxa"/>
              <w:right w:w="108" w:type="dxa"/>
            </w:tcMar>
            <w:vAlign w:val="center"/>
          </w:tcPr>
          <w:p w14:paraId="47F3D909">
            <w:pPr>
              <w:jc w:val="center"/>
              <w:rPr>
                <w:rFonts w:ascii="Times New Roman" w:eastAsia="仿宋"/>
                <w:szCs w:val="24"/>
              </w:rPr>
            </w:pPr>
            <w:r>
              <w:rPr>
                <w:rFonts w:ascii="Times New Roman" w:eastAsia="仿宋"/>
                <w:szCs w:val="24"/>
              </w:rPr>
              <w:t>助剂</w:t>
            </w:r>
          </w:p>
        </w:tc>
        <w:tc>
          <w:tcPr>
            <w:tcW w:w="774" w:type="pct"/>
            <w:shd w:val="clear" w:color="auto" w:fill="FFFFFF"/>
            <w:tcMar>
              <w:top w:w="0" w:type="dxa"/>
              <w:left w:w="108" w:type="dxa"/>
              <w:bottom w:w="0" w:type="dxa"/>
              <w:right w:w="108" w:type="dxa"/>
            </w:tcMar>
            <w:vAlign w:val="center"/>
          </w:tcPr>
          <w:p w14:paraId="1D3FE51B">
            <w:pPr>
              <w:jc w:val="center"/>
              <w:rPr>
                <w:rFonts w:ascii="Times New Roman" w:eastAsia="仿宋"/>
                <w:szCs w:val="24"/>
              </w:rPr>
            </w:pPr>
            <w:r>
              <w:rPr>
                <w:rFonts w:ascii="Times New Roman" w:eastAsia="仿宋"/>
                <w:szCs w:val="24"/>
              </w:rPr>
              <w:t>3</w:t>
            </w:r>
          </w:p>
        </w:tc>
        <w:tc>
          <w:tcPr>
            <w:tcW w:w="775" w:type="pct"/>
            <w:vMerge w:val="continue"/>
            <w:vAlign w:val="center"/>
          </w:tcPr>
          <w:p w14:paraId="52F9B859">
            <w:pPr>
              <w:jc w:val="center"/>
              <w:rPr>
                <w:rFonts w:ascii="Times New Roman" w:eastAsia="仿宋"/>
                <w:szCs w:val="24"/>
              </w:rPr>
            </w:pPr>
          </w:p>
        </w:tc>
      </w:tr>
      <w:tr w14:paraId="7B45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0D310AA9">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526B364F">
            <w:pPr>
              <w:jc w:val="center"/>
              <w:rPr>
                <w:rFonts w:ascii="Times New Roman" w:eastAsia="仿宋"/>
                <w:b/>
                <w:bCs/>
                <w:szCs w:val="24"/>
              </w:rPr>
            </w:pPr>
            <w:r>
              <w:rPr>
                <w:rFonts w:ascii="Times New Roman" w:eastAsia="仿宋"/>
                <w:b/>
                <w:bCs/>
                <w:szCs w:val="24"/>
              </w:rPr>
              <w:t>二价酸酯</w:t>
            </w:r>
          </w:p>
        </w:tc>
        <w:tc>
          <w:tcPr>
            <w:tcW w:w="774" w:type="pct"/>
            <w:shd w:val="clear" w:color="auto" w:fill="D7D7D7"/>
            <w:tcMar>
              <w:top w:w="0" w:type="dxa"/>
              <w:left w:w="108" w:type="dxa"/>
              <w:bottom w:w="0" w:type="dxa"/>
              <w:right w:w="108" w:type="dxa"/>
            </w:tcMar>
            <w:vAlign w:val="center"/>
          </w:tcPr>
          <w:p w14:paraId="40B454FB">
            <w:pPr>
              <w:jc w:val="center"/>
              <w:rPr>
                <w:rFonts w:ascii="Times New Roman" w:eastAsia="仿宋"/>
                <w:b/>
                <w:bCs/>
                <w:szCs w:val="24"/>
              </w:rPr>
            </w:pPr>
            <w:r>
              <w:rPr>
                <w:rFonts w:ascii="Times New Roman" w:eastAsia="仿宋"/>
                <w:b/>
                <w:bCs/>
                <w:szCs w:val="24"/>
              </w:rPr>
              <w:t>15</w:t>
            </w:r>
          </w:p>
        </w:tc>
        <w:tc>
          <w:tcPr>
            <w:tcW w:w="775" w:type="pct"/>
            <w:vMerge w:val="continue"/>
            <w:vAlign w:val="center"/>
          </w:tcPr>
          <w:p w14:paraId="27981F45">
            <w:pPr>
              <w:jc w:val="center"/>
              <w:rPr>
                <w:rFonts w:ascii="Times New Roman" w:eastAsia="仿宋"/>
                <w:szCs w:val="24"/>
              </w:rPr>
            </w:pPr>
          </w:p>
        </w:tc>
      </w:tr>
      <w:tr w14:paraId="5B81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0AB155B7">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531E64D7">
            <w:pPr>
              <w:jc w:val="center"/>
              <w:rPr>
                <w:rFonts w:ascii="Times New Roman" w:eastAsia="仿宋"/>
                <w:b/>
                <w:bCs/>
                <w:szCs w:val="24"/>
              </w:rPr>
            </w:pPr>
            <w:r>
              <w:rPr>
                <w:rFonts w:ascii="Times New Roman" w:eastAsia="仿宋"/>
                <w:b/>
                <w:bCs/>
                <w:szCs w:val="24"/>
              </w:rPr>
              <w:t>邻苯二甲酸二甲酯</w:t>
            </w:r>
          </w:p>
        </w:tc>
        <w:tc>
          <w:tcPr>
            <w:tcW w:w="774" w:type="pct"/>
            <w:shd w:val="clear" w:color="auto" w:fill="D7D7D7"/>
            <w:tcMar>
              <w:top w:w="0" w:type="dxa"/>
              <w:left w:w="108" w:type="dxa"/>
              <w:bottom w:w="0" w:type="dxa"/>
              <w:right w:w="108" w:type="dxa"/>
            </w:tcMar>
            <w:vAlign w:val="center"/>
          </w:tcPr>
          <w:p w14:paraId="093BCBEC">
            <w:pPr>
              <w:jc w:val="center"/>
              <w:rPr>
                <w:rFonts w:ascii="Times New Roman" w:eastAsia="仿宋"/>
                <w:b/>
                <w:bCs/>
                <w:szCs w:val="24"/>
              </w:rPr>
            </w:pPr>
            <w:r>
              <w:rPr>
                <w:rFonts w:ascii="Times New Roman" w:eastAsia="仿宋"/>
                <w:b/>
                <w:bCs/>
                <w:szCs w:val="24"/>
              </w:rPr>
              <w:t>5</w:t>
            </w:r>
          </w:p>
        </w:tc>
        <w:tc>
          <w:tcPr>
            <w:tcW w:w="775" w:type="pct"/>
            <w:vMerge w:val="continue"/>
            <w:vAlign w:val="center"/>
          </w:tcPr>
          <w:p w14:paraId="66DE0448">
            <w:pPr>
              <w:jc w:val="center"/>
              <w:rPr>
                <w:rFonts w:ascii="Times New Roman" w:eastAsia="仿宋"/>
                <w:szCs w:val="24"/>
              </w:rPr>
            </w:pPr>
          </w:p>
        </w:tc>
      </w:tr>
      <w:tr w14:paraId="4121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16E5DEF0">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4D06A3FA">
            <w:pPr>
              <w:jc w:val="center"/>
              <w:rPr>
                <w:rFonts w:ascii="Times New Roman" w:eastAsia="仿宋"/>
                <w:b/>
                <w:bCs/>
                <w:szCs w:val="24"/>
              </w:rPr>
            </w:pPr>
            <w:r>
              <w:rPr>
                <w:rFonts w:ascii="Times New Roman" w:eastAsia="仿宋"/>
                <w:b/>
                <w:bCs/>
                <w:szCs w:val="24"/>
              </w:rPr>
              <w:t>二甲苯</w:t>
            </w:r>
          </w:p>
        </w:tc>
        <w:tc>
          <w:tcPr>
            <w:tcW w:w="774" w:type="pct"/>
            <w:shd w:val="clear" w:color="auto" w:fill="D7D7D7"/>
            <w:tcMar>
              <w:top w:w="0" w:type="dxa"/>
              <w:left w:w="108" w:type="dxa"/>
              <w:bottom w:w="0" w:type="dxa"/>
              <w:right w:w="108" w:type="dxa"/>
            </w:tcMar>
            <w:vAlign w:val="center"/>
          </w:tcPr>
          <w:p w14:paraId="1E0EB020">
            <w:pPr>
              <w:jc w:val="center"/>
              <w:rPr>
                <w:rFonts w:ascii="Times New Roman" w:eastAsia="仿宋"/>
                <w:b/>
                <w:bCs/>
                <w:szCs w:val="24"/>
              </w:rPr>
            </w:pPr>
            <w:r>
              <w:rPr>
                <w:rFonts w:ascii="Times New Roman" w:eastAsia="仿宋"/>
                <w:b/>
                <w:bCs/>
                <w:szCs w:val="24"/>
              </w:rPr>
              <w:t>24.5</w:t>
            </w:r>
          </w:p>
        </w:tc>
        <w:tc>
          <w:tcPr>
            <w:tcW w:w="775" w:type="pct"/>
            <w:vMerge w:val="continue"/>
            <w:vAlign w:val="center"/>
          </w:tcPr>
          <w:p w14:paraId="0D5DCEE7">
            <w:pPr>
              <w:jc w:val="center"/>
              <w:rPr>
                <w:rFonts w:ascii="Times New Roman" w:eastAsia="仿宋"/>
                <w:szCs w:val="24"/>
              </w:rPr>
            </w:pPr>
          </w:p>
        </w:tc>
      </w:tr>
      <w:tr w14:paraId="65F8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12" w:type="pct"/>
            <w:vMerge w:val="restart"/>
            <w:shd w:val="clear" w:color="auto" w:fill="auto"/>
            <w:vAlign w:val="center"/>
          </w:tcPr>
          <w:p w14:paraId="65487AE4">
            <w:pPr>
              <w:jc w:val="center"/>
              <w:rPr>
                <w:rFonts w:ascii="Times New Roman" w:eastAsia="仿宋"/>
                <w:szCs w:val="24"/>
              </w:rPr>
            </w:pPr>
            <w:r>
              <w:rPr>
                <w:rFonts w:ascii="Times New Roman" w:eastAsia="仿宋"/>
                <w:szCs w:val="24"/>
              </w:rPr>
              <w:t>稀释剂</w:t>
            </w:r>
          </w:p>
        </w:tc>
        <w:tc>
          <w:tcPr>
            <w:tcW w:w="2139" w:type="pct"/>
            <w:shd w:val="clear" w:color="auto" w:fill="D7D7D7"/>
            <w:noWrap/>
            <w:tcMar>
              <w:top w:w="0" w:type="dxa"/>
              <w:left w:w="108" w:type="dxa"/>
              <w:bottom w:w="0" w:type="dxa"/>
              <w:right w:w="108" w:type="dxa"/>
            </w:tcMar>
            <w:vAlign w:val="center"/>
          </w:tcPr>
          <w:p w14:paraId="1192A063">
            <w:pPr>
              <w:widowControl/>
              <w:jc w:val="center"/>
              <w:rPr>
                <w:rFonts w:ascii="Times New Roman" w:eastAsia="仿宋"/>
                <w:b/>
                <w:bCs/>
                <w:szCs w:val="24"/>
              </w:rPr>
            </w:pPr>
            <w:r>
              <w:rPr>
                <w:rFonts w:ascii="Times New Roman" w:eastAsia="仿宋"/>
                <w:b/>
                <w:bCs/>
                <w:szCs w:val="24"/>
              </w:rPr>
              <w:t>乙醇</w:t>
            </w:r>
          </w:p>
        </w:tc>
        <w:tc>
          <w:tcPr>
            <w:tcW w:w="774" w:type="pct"/>
            <w:shd w:val="clear" w:color="auto" w:fill="D7D7D7"/>
            <w:tcMar>
              <w:top w:w="0" w:type="dxa"/>
              <w:left w:w="108" w:type="dxa"/>
              <w:bottom w:w="0" w:type="dxa"/>
              <w:right w:w="108" w:type="dxa"/>
            </w:tcMar>
            <w:vAlign w:val="center"/>
          </w:tcPr>
          <w:p w14:paraId="4BDA9AE0">
            <w:pPr>
              <w:widowControl/>
              <w:jc w:val="center"/>
              <w:rPr>
                <w:rFonts w:ascii="Times New Roman" w:eastAsia="仿宋"/>
                <w:b/>
                <w:bCs/>
                <w:szCs w:val="24"/>
              </w:rPr>
            </w:pPr>
            <w:r>
              <w:rPr>
                <w:rFonts w:ascii="Times New Roman" w:eastAsia="仿宋"/>
                <w:b/>
                <w:bCs/>
                <w:szCs w:val="24"/>
              </w:rPr>
              <w:t>10</w:t>
            </w:r>
          </w:p>
        </w:tc>
        <w:tc>
          <w:tcPr>
            <w:tcW w:w="775" w:type="pct"/>
            <w:vMerge w:val="restart"/>
            <w:vAlign w:val="center"/>
          </w:tcPr>
          <w:p w14:paraId="292FDE04">
            <w:pPr>
              <w:widowControl/>
              <w:jc w:val="center"/>
              <w:rPr>
                <w:rFonts w:ascii="Times New Roman" w:eastAsia="仿宋"/>
                <w:szCs w:val="24"/>
              </w:rPr>
            </w:pPr>
            <w:r>
              <w:rPr>
                <w:rFonts w:ascii="Times New Roman" w:eastAsia="仿宋"/>
                <w:szCs w:val="24"/>
              </w:rPr>
              <w:t>100%</w:t>
            </w:r>
          </w:p>
        </w:tc>
      </w:tr>
      <w:tr w14:paraId="344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76351EDD">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15CE0E5F">
            <w:pPr>
              <w:jc w:val="center"/>
              <w:rPr>
                <w:rFonts w:ascii="Times New Roman" w:eastAsia="仿宋"/>
                <w:b/>
                <w:bCs/>
                <w:szCs w:val="24"/>
              </w:rPr>
            </w:pPr>
            <w:r>
              <w:rPr>
                <w:rFonts w:ascii="Times New Roman" w:eastAsia="仿宋"/>
                <w:b/>
                <w:bCs/>
                <w:szCs w:val="24"/>
              </w:rPr>
              <w:t>环己酮</w:t>
            </w:r>
          </w:p>
        </w:tc>
        <w:tc>
          <w:tcPr>
            <w:tcW w:w="774" w:type="pct"/>
            <w:shd w:val="clear" w:color="auto" w:fill="D7D7D7"/>
            <w:tcMar>
              <w:top w:w="0" w:type="dxa"/>
              <w:left w:w="108" w:type="dxa"/>
              <w:bottom w:w="0" w:type="dxa"/>
              <w:right w:w="108" w:type="dxa"/>
            </w:tcMar>
            <w:vAlign w:val="center"/>
          </w:tcPr>
          <w:p w14:paraId="3E17C55B">
            <w:pPr>
              <w:jc w:val="center"/>
              <w:rPr>
                <w:rFonts w:ascii="Times New Roman" w:eastAsia="仿宋"/>
                <w:b/>
                <w:bCs/>
                <w:szCs w:val="24"/>
              </w:rPr>
            </w:pPr>
            <w:r>
              <w:rPr>
                <w:rFonts w:ascii="Times New Roman" w:eastAsia="仿宋"/>
                <w:b/>
                <w:bCs/>
                <w:szCs w:val="24"/>
              </w:rPr>
              <w:t>10</w:t>
            </w:r>
          </w:p>
        </w:tc>
        <w:tc>
          <w:tcPr>
            <w:tcW w:w="775" w:type="pct"/>
            <w:vMerge w:val="continue"/>
            <w:vAlign w:val="center"/>
          </w:tcPr>
          <w:p w14:paraId="20C61930">
            <w:pPr>
              <w:jc w:val="center"/>
              <w:rPr>
                <w:rFonts w:ascii="Times New Roman" w:eastAsia="仿宋"/>
                <w:szCs w:val="24"/>
              </w:rPr>
            </w:pPr>
          </w:p>
        </w:tc>
      </w:tr>
      <w:tr w14:paraId="1002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3C7A1121">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79758F02">
            <w:pPr>
              <w:jc w:val="center"/>
              <w:rPr>
                <w:rFonts w:ascii="Times New Roman" w:eastAsia="仿宋"/>
                <w:b/>
                <w:bCs/>
                <w:szCs w:val="24"/>
              </w:rPr>
            </w:pPr>
            <w:r>
              <w:rPr>
                <w:rFonts w:ascii="Times New Roman" w:eastAsia="仿宋"/>
                <w:b/>
                <w:bCs/>
                <w:szCs w:val="24"/>
              </w:rPr>
              <w:t>醋酸乙酯</w:t>
            </w:r>
          </w:p>
        </w:tc>
        <w:tc>
          <w:tcPr>
            <w:tcW w:w="774" w:type="pct"/>
            <w:shd w:val="clear" w:color="auto" w:fill="D7D7D7"/>
            <w:tcMar>
              <w:top w:w="0" w:type="dxa"/>
              <w:left w:w="108" w:type="dxa"/>
              <w:bottom w:w="0" w:type="dxa"/>
              <w:right w:w="108" w:type="dxa"/>
            </w:tcMar>
            <w:vAlign w:val="center"/>
          </w:tcPr>
          <w:p w14:paraId="38E61193">
            <w:pPr>
              <w:jc w:val="center"/>
              <w:rPr>
                <w:rFonts w:ascii="Times New Roman" w:eastAsia="仿宋"/>
                <w:b/>
                <w:bCs/>
                <w:szCs w:val="24"/>
              </w:rPr>
            </w:pPr>
            <w:r>
              <w:rPr>
                <w:rFonts w:ascii="Times New Roman" w:eastAsia="仿宋"/>
                <w:b/>
                <w:bCs/>
                <w:szCs w:val="24"/>
              </w:rPr>
              <w:t>40</w:t>
            </w:r>
          </w:p>
        </w:tc>
        <w:tc>
          <w:tcPr>
            <w:tcW w:w="775" w:type="pct"/>
            <w:vMerge w:val="continue"/>
            <w:vAlign w:val="center"/>
          </w:tcPr>
          <w:p w14:paraId="2A3B89DB">
            <w:pPr>
              <w:jc w:val="center"/>
              <w:rPr>
                <w:rFonts w:ascii="Times New Roman" w:eastAsia="仿宋"/>
                <w:szCs w:val="24"/>
              </w:rPr>
            </w:pPr>
          </w:p>
        </w:tc>
      </w:tr>
      <w:tr w14:paraId="77F7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12" w:type="pct"/>
            <w:vMerge w:val="continue"/>
            <w:shd w:val="clear" w:color="auto" w:fill="auto"/>
            <w:vAlign w:val="center"/>
          </w:tcPr>
          <w:p w14:paraId="47DBFDAC">
            <w:pPr>
              <w:jc w:val="center"/>
              <w:rPr>
                <w:rFonts w:ascii="Times New Roman" w:eastAsia="仿宋"/>
                <w:szCs w:val="24"/>
              </w:rPr>
            </w:pPr>
          </w:p>
        </w:tc>
        <w:tc>
          <w:tcPr>
            <w:tcW w:w="2139" w:type="pct"/>
            <w:shd w:val="clear" w:color="auto" w:fill="D7D7D7"/>
            <w:noWrap/>
            <w:tcMar>
              <w:top w:w="0" w:type="dxa"/>
              <w:left w:w="108" w:type="dxa"/>
              <w:bottom w:w="0" w:type="dxa"/>
              <w:right w:w="108" w:type="dxa"/>
            </w:tcMar>
            <w:vAlign w:val="center"/>
          </w:tcPr>
          <w:p w14:paraId="13BC968C">
            <w:pPr>
              <w:widowControl/>
              <w:jc w:val="center"/>
              <w:rPr>
                <w:rFonts w:ascii="Times New Roman" w:eastAsia="仿宋"/>
                <w:b/>
                <w:bCs/>
                <w:szCs w:val="24"/>
              </w:rPr>
            </w:pPr>
            <w:r>
              <w:rPr>
                <w:rFonts w:ascii="Times New Roman" w:eastAsia="仿宋"/>
                <w:b/>
                <w:bCs/>
                <w:szCs w:val="24"/>
              </w:rPr>
              <w:t>醋酸丁酯</w:t>
            </w:r>
          </w:p>
        </w:tc>
        <w:tc>
          <w:tcPr>
            <w:tcW w:w="774" w:type="pct"/>
            <w:shd w:val="clear" w:color="auto" w:fill="D7D7D7"/>
            <w:tcMar>
              <w:top w:w="0" w:type="dxa"/>
              <w:left w:w="108" w:type="dxa"/>
              <w:bottom w:w="0" w:type="dxa"/>
              <w:right w:w="108" w:type="dxa"/>
            </w:tcMar>
            <w:vAlign w:val="center"/>
          </w:tcPr>
          <w:p w14:paraId="744495EB">
            <w:pPr>
              <w:jc w:val="center"/>
              <w:rPr>
                <w:rFonts w:ascii="Times New Roman" w:eastAsia="仿宋"/>
                <w:b/>
                <w:bCs/>
                <w:szCs w:val="24"/>
              </w:rPr>
            </w:pPr>
            <w:r>
              <w:rPr>
                <w:rFonts w:ascii="Times New Roman" w:eastAsia="仿宋"/>
                <w:b/>
                <w:bCs/>
                <w:szCs w:val="24"/>
              </w:rPr>
              <w:t>40</w:t>
            </w:r>
          </w:p>
        </w:tc>
        <w:tc>
          <w:tcPr>
            <w:tcW w:w="775" w:type="pct"/>
            <w:vMerge w:val="continue"/>
            <w:vAlign w:val="center"/>
          </w:tcPr>
          <w:p w14:paraId="156D048B">
            <w:pPr>
              <w:jc w:val="center"/>
              <w:rPr>
                <w:rFonts w:ascii="Times New Roman" w:eastAsia="仿宋"/>
                <w:szCs w:val="24"/>
              </w:rPr>
            </w:pPr>
          </w:p>
        </w:tc>
      </w:tr>
    </w:tbl>
    <w:p w14:paraId="1039B78F">
      <w:pPr>
        <w:spacing w:line="500" w:lineRule="exact"/>
        <w:ind w:firstLine="560" w:firstLineChars="200"/>
        <w:rPr>
          <w:rFonts w:ascii="Times New Roman" w:eastAsia="仿宋"/>
          <w:sz w:val="28"/>
          <w:szCs w:val="28"/>
        </w:rPr>
        <w:sectPr>
          <w:footerReference r:id="rId9" w:type="default"/>
          <w:pgSz w:w="11907" w:h="16840"/>
          <w:pgMar w:top="1797" w:right="1440" w:bottom="1797" w:left="1440" w:header="851" w:footer="992" w:gutter="0"/>
          <w:cols w:space="720" w:num="1"/>
          <w:docGrid w:linePitch="326" w:charSpace="0"/>
        </w:sectPr>
      </w:pPr>
    </w:p>
    <w:p w14:paraId="31B20A98">
      <w:pPr>
        <w:spacing w:line="500" w:lineRule="exact"/>
        <w:ind w:firstLine="560" w:firstLineChars="200"/>
        <w:rPr>
          <w:rFonts w:ascii="Times New Roman" w:eastAsia="仿宋"/>
          <w:sz w:val="28"/>
          <w:szCs w:val="28"/>
        </w:rPr>
      </w:pPr>
      <w:r>
        <w:rPr>
          <w:rFonts w:ascii="Times New Roman" w:eastAsia="仿宋"/>
          <w:sz w:val="28"/>
          <w:szCs w:val="28"/>
        </w:rPr>
        <w:t>本项目施工状态下涂料成分分析见下表。</w:t>
      </w:r>
    </w:p>
    <w:p w14:paraId="33A49AFA">
      <w:pPr>
        <w:spacing w:line="480" w:lineRule="exact"/>
        <w:jc w:val="center"/>
        <w:rPr>
          <w:rFonts w:ascii="Times New Roman" w:eastAsia="仿宋"/>
          <w:b/>
        </w:rPr>
      </w:pPr>
      <w:r>
        <w:rPr>
          <w:rFonts w:hint="eastAsia" w:ascii="Times New Roman" w:eastAsia="仿宋"/>
          <w:b/>
        </w:rPr>
        <w:t>表3.</w:t>
      </w:r>
      <w:r>
        <w:rPr>
          <w:rFonts w:ascii="Times New Roman" w:eastAsia="仿宋"/>
          <w:b/>
        </w:rPr>
        <w:t>1</w:t>
      </w:r>
      <w:r>
        <w:rPr>
          <w:rFonts w:hint="eastAsia" w:ascii="Times New Roman" w:eastAsia="仿宋"/>
          <w:b/>
        </w:rPr>
        <w:t>-</w:t>
      </w:r>
      <w:r>
        <w:rPr>
          <w:rFonts w:ascii="Times New Roman" w:eastAsia="仿宋"/>
          <w:b/>
        </w:rPr>
        <w:t xml:space="preserve">10  </w:t>
      </w:r>
      <w:r>
        <w:rPr>
          <w:rFonts w:hint="eastAsia" w:ascii="Times New Roman" w:eastAsia="仿宋"/>
          <w:b/>
        </w:rPr>
        <w:t>施工状态下涂料成分分析</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20"/>
        <w:gridCol w:w="420"/>
        <w:gridCol w:w="420"/>
        <w:gridCol w:w="892"/>
        <w:gridCol w:w="889"/>
        <w:gridCol w:w="1156"/>
        <w:gridCol w:w="968"/>
        <w:gridCol w:w="828"/>
        <w:gridCol w:w="795"/>
        <w:gridCol w:w="953"/>
        <w:gridCol w:w="906"/>
        <w:gridCol w:w="720"/>
        <w:gridCol w:w="855"/>
        <w:gridCol w:w="854"/>
        <w:gridCol w:w="617"/>
        <w:gridCol w:w="1349"/>
      </w:tblGrid>
      <w:tr w14:paraId="49B9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1" w:type="dxa"/>
            <w:gridSpan w:val="6"/>
            <w:vAlign w:val="center"/>
          </w:tcPr>
          <w:p w14:paraId="49D11242">
            <w:pPr>
              <w:jc w:val="center"/>
              <w:rPr>
                <w:rFonts w:ascii="Times New Roman" w:eastAsia="仿宋"/>
                <w:sz w:val="21"/>
                <w:szCs w:val="21"/>
              </w:rPr>
            </w:pPr>
            <w:r>
              <w:rPr>
                <w:rFonts w:ascii="Times New Roman" w:eastAsia="仿宋"/>
                <w:sz w:val="21"/>
                <w:szCs w:val="21"/>
              </w:rPr>
              <w:t>油漆</w:t>
            </w:r>
          </w:p>
        </w:tc>
        <w:tc>
          <w:tcPr>
            <w:tcW w:w="2952" w:type="dxa"/>
            <w:gridSpan w:val="3"/>
            <w:vAlign w:val="center"/>
          </w:tcPr>
          <w:p w14:paraId="42D77227">
            <w:pPr>
              <w:jc w:val="center"/>
              <w:rPr>
                <w:rFonts w:ascii="Times New Roman" w:eastAsia="仿宋"/>
                <w:sz w:val="21"/>
                <w:szCs w:val="21"/>
              </w:rPr>
            </w:pPr>
            <w:r>
              <w:rPr>
                <w:rFonts w:ascii="Times New Roman" w:eastAsia="仿宋"/>
                <w:sz w:val="21"/>
                <w:szCs w:val="21"/>
              </w:rPr>
              <w:t>挥发性有机物含量（%）</w:t>
            </w:r>
          </w:p>
        </w:tc>
        <w:tc>
          <w:tcPr>
            <w:tcW w:w="795" w:type="dxa"/>
            <w:vMerge w:val="restart"/>
            <w:vAlign w:val="center"/>
          </w:tcPr>
          <w:p w14:paraId="2F38124F">
            <w:pPr>
              <w:jc w:val="center"/>
              <w:rPr>
                <w:rFonts w:ascii="Times New Roman" w:eastAsia="仿宋"/>
                <w:sz w:val="21"/>
                <w:szCs w:val="21"/>
              </w:rPr>
            </w:pPr>
            <w:r>
              <w:rPr>
                <w:rFonts w:ascii="Times New Roman" w:eastAsia="仿宋"/>
                <w:sz w:val="21"/>
                <w:szCs w:val="21"/>
              </w:rPr>
              <w:t>成膜物质含量（%）</w:t>
            </w:r>
          </w:p>
        </w:tc>
        <w:tc>
          <w:tcPr>
            <w:tcW w:w="3434" w:type="dxa"/>
            <w:gridSpan w:val="4"/>
            <w:vAlign w:val="center"/>
          </w:tcPr>
          <w:p w14:paraId="205A6C62">
            <w:pPr>
              <w:jc w:val="center"/>
              <w:rPr>
                <w:rFonts w:ascii="Times New Roman" w:eastAsia="仿宋"/>
                <w:sz w:val="21"/>
                <w:szCs w:val="21"/>
              </w:rPr>
            </w:pPr>
            <w:r>
              <w:rPr>
                <w:rFonts w:ascii="Times New Roman" w:eastAsia="仿宋"/>
                <w:sz w:val="21"/>
                <w:szCs w:val="21"/>
              </w:rPr>
              <w:t>成分分析</w:t>
            </w:r>
          </w:p>
        </w:tc>
        <w:tc>
          <w:tcPr>
            <w:tcW w:w="854" w:type="dxa"/>
            <w:vMerge w:val="restart"/>
            <w:noWrap/>
            <w:vAlign w:val="center"/>
          </w:tcPr>
          <w:p w14:paraId="4926DEB2">
            <w:pPr>
              <w:widowControl/>
              <w:adjustRightInd w:val="0"/>
              <w:snapToGrid w:val="0"/>
              <w:ind w:left="-120" w:leftChars="-50" w:right="-120" w:rightChars="-50"/>
              <w:jc w:val="center"/>
              <w:rPr>
                <w:rFonts w:ascii="Times New Roman" w:eastAsia="仿宋"/>
                <w:bCs/>
                <w:sz w:val="21"/>
                <w:szCs w:val="21"/>
                <w:lang w:bidi="ar"/>
              </w:rPr>
            </w:pPr>
            <w:r>
              <w:rPr>
                <w:rFonts w:hint="eastAsia" w:ascii="Times New Roman" w:eastAsia="仿宋"/>
                <w:bCs/>
                <w:sz w:val="21"/>
                <w:szCs w:val="21"/>
                <w:lang w:bidi="ar"/>
              </w:rPr>
              <w:t>施工状态下检测</w:t>
            </w:r>
            <w:r>
              <w:rPr>
                <w:rFonts w:ascii="Times New Roman" w:eastAsia="仿宋"/>
                <w:bCs/>
                <w:sz w:val="21"/>
                <w:szCs w:val="21"/>
                <w:lang w:bidi="ar"/>
              </w:rPr>
              <w:t>VOCs</w:t>
            </w:r>
            <w:r>
              <w:rPr>
                <w:rFonts w:hint="eastAsia" w:ascii="Times New Roman" w:eastAsia="仿宋"/>
                <w:bCs/>
                <w:sz w:val="21"/>
                <w:szCs w:val="21"/>
                <w:lang w:bidi="ar"/>
              </w:rPr>
              <w:t>含量</w:t>
            </w:r>
            <w:r>
              <w:rPr>
                <w:rFonts w:ascii="Times New Roman" w:eastAsia="仿宋"/>
                <w:bCs/>
                <w:sz w:val="21"/>
                <w:szCs w:val="21"/>
                <w:lang w:bidi="ar"/>
              </w:rPr>
              <w:t>（g/L）</w:t>
            </w:r>
          </w:p>
        </w:tc>
        <w:tc>
          <w:tcPr>
            <w:tcW w:w="1966" w:type="dxa"/>
            <w:gridSpan w:val="2"/>
            <w:noWrap/>
            <w:vAlign w:val="center"/>
          </w:tcPr>
          <w:p w14:paraId="72B37BB0">
            <w:pPr>
              <w:widowControl/>
              <w:adjustRightInd w:val="0"/>
              <w:snapToGrid w:val="0"/>
              <w:ind w:left="-120" w:leftChars="-50" w:right="-120" w:rightChars="-50"/>
              <w:jc w:val="center"/>
              <w:rPr>
                <w:rFonts w:ascii="Times New Roman" w:eastAsia="仿宋"/>
                <w:bCs/>
                <w:sz w:val="21"/>
                <w:szCs w:val="21"/>
                <w:lang w:bidi="ar"/>
              </w:rPr>
            </w:pPr>
            <w:r>
              <w:rPr>
                <w:rFonts w:ascii="Times New Roman" w:eastAsia="仿宋"/>
                <w:bCs/>
                <w:sz w:val="21"/>
                <w:szCs w:val="21"/>
                <w:lang w:bidi="ar"/>
              </w:rPr>
              <w:t>标准</w:t>
            </w:r>
          </w:p>
        </w:tc>
      </w:tr>
      <w:tr w14:paraId="39B8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vMerge w:val="restart"/>
            <w:vAlign w:val="center"/>
          </w:tcPr>
          <w:p w14:paraId="0CDA2844">
            <w:pPr>
              <w:jc w:val="center"/>
              <w:rPr>
                <w:rFonts w:ascii="Times New Roman" w:eastAsia="仿宋"/>
                <w:sz w:val="21"/>
                <w:szCs w:val="21"/>
              </w:rPr>
            </w:pPr>
            <w:r>
              <w:rPr>
                <w:rFonts w:ascii="Times New Roman" w:eastAsia="仿宋"/>
                <w:sz w:val="21"/>
                <w:szCs w:val="21"/>
              </w:rPr>
              <w:t>涂装工序</w:t>
            </w:r>
          </w:p>
        </w:tc>
        <w:tc>
          <w:tcPr>
            <w:tcW w:w="840" w:type="dxa"/>
            <w:gridSpan w:val="2"/>
            <w:vAlign w:val="center"/>
          </w:tcPr>
          <w:p w14:paraId="31C0890F">
            <w:pPr>
              <w:jc w:val="center"/>
              <w:rPr>
                <w:rFonts w:ascii="Times New Roman" w:eastAsia="仿宋"/>
                <w:sz w:val="21"/>
                <w:szCs w:val="21"/>
              </w:rPr>
            </w:pPr>
            <w:r>
              <w:rPr>
                <w:rFonts w:ascii="Times New Roman" w:eastAsia="仿宋"/>
                <w:sz w:val="21"/>
                <w:szCs w:val="21"/>
              </w:rPr>
              <w:t>油漆种类</w:t>
            </w:r>
          </w:p>
        </w:tc>
        <w:tc>
          <w:tcPr>
            <w:tcW w:w="420" w:type="dxa"/>
            <w:vAlign w:val="center"/>
          </w:tcPr>
          <w:p w14:paraId="1C05992A">
            <w:pPr>
              <w:jc w:val="center"/>
              <w:rPr>
                <w:rFonts w:ascii="Times New Roman" w:eastAsia="仿宋"/>
                <w:sz w:val="21"/>
                <w:szCs w:val="21"/>
              </w:rPr>
            </w:pPr>
            <w:r>
              <w:rPr>
                <w:rFonts w:ascii="Times New Roman" w:eastAsia="仿宋"/>
                <w:sz w:val="21"/>
                <w:szCs w:val="21"/>
              </w:rPr>
              <w:t>质量配比</w:t>
            </w:r>
          </w:p>
        </w:tc>
        <w:tc>
          <w:tcPr>
            <w:tcW w:w="892" w:type="dxa"/>
            <w:vAlign w:val="center"/>
          </w:tcPr>
          <w:p w14:paraId="2DABB6B3">
            <w:pPr>
              <w:jc w:val="center"/>
              <w:rPr>
                <w:rFonts w:ascii="Times New Roman" w:eastAsia="仿宋"/>
                <w:sz w:val="21"/>
                <w:szCs w:val="21"/>
              </w:rPr>
            </w:pPr>
            <w:r>
              <w:rPr>
                <w:rFonts w:ascii="Times New Roman" w:eastAsia="仿宋"/>
                <w:sz w:val="21"/>
                <w:szCs w:val="21"/>
              </w:rPr>
              <w:t>用量(t/a)</w:t>
            </w:r>
          </w:p>
        </w:tc>
        <w:tc>
          <w:tcPr>
            <w:tcW w:w="889" w:type="dxa"/>
            <w:vAlign w:val="center"/>
          </w:tcPr>
          <w:p w14:paraId="21B04596">
            <w:pPr>
              <w:jc w:val="center"/>
              <w:rPr>
                <w:rFonts w:ascii="Times New Roman" w:eastAsia="仿宋"/>
                <w:sz w:val="21"/>
                <w:szCs w:val="21"/>
              </w:rPr>
            </w:pPr>
            <w:r>
              <w:rPr>
                <w:rFonts w:ascii="Times New Roman" w:eastAsia="仿宋"/>
                <w:sz w:val="21"/>
                <w:szCs w:val="21"/>
              </w:rPr>
              <w:t>密度(g/L)</w:t>
            </w:r>
          </w:p>
        </w:tc>
        <w:tc>
          <w:tcPr>
            <w:tcW w:w="1156" w:type="dxa"/>
            <w:vAlign w:val="center"/>
          </w:tcPr>
          <w:p w14:paraId="5CB99D28">
            <w:pPr>
              <w:jc w:val="center"/>
              <w:rPr>
                <w:rFonts w:ascii="Times New Roman" w:eastAsia="仿宋"/>
                <w:sz w:val="21"/>
                <w:szCs w:val="21"/>
              </w:rPr>
            </w:pPr>
            <w:r>
              <w:rPr>
                <w:rFonts w:hint="eastAsia" w:ascii="Times New Roman" w:eastAsia="仿宋"/>
                <w:sz w:val="21"/>
                <w:szCs w:val="21"/>
              </w:rPr>
              <w:t>二价酸脂</w:t>
            </w:r>
          </w:p>
        </w:tc>
        <w:tc>
          <w:tcPr>
            <w:tcW w:w="968" w:type="dxa"/>
            <w:vAlign w:val="center"/>
          </w:tcPr>
          <w:p w14:paraId="5B01FF5D">
            <w:pPr>
              <w:jc w:val="center"/>
              <w:rPr>
                <w:rFonts w:ascii="Times New Roman" w:eastAsia="仿宋"/>
                <w:sz w:val="21"/>
                <w:szCs w:val="21"/>
              </w:rPr>
            </w:pPr>
            <w:r>
              <w:rPr>
                <w:rFonts w:ascii="Times New Roman" w:eastAsia="仿宋"/>
                <w:sz w:val="21"/>
                <w:szCs w:val="21"/>
              </w:rPr>
              <w:t>邻苯二甲酸二甲酯</w:t>
            </w:r>
          </w:p>
        </w:tc>
        <w:tc>
          <w:tcPr>
            <w:tcW w:w="828" w:type="dxa"/>
            <w:vAlign w:val="center"/>
          </w:tcPr>
          <w:p w14:paraId="6A6DC952">
            <w:pPr>
              <w:jc w:val="center"/>
              <w:rPr>
                <w:rFonts w:ascii="Times New Roman" w:eastAsia="仿宋"/>
                <w:sz w:val="21"/>
                <w:szCs w:val="21"/>
              </w:rPr>
            </w:pPr>
            <w:r>
              <w:rPr>
                <w:rFonts w:hint="eastAsia" w:ascii="Times New Roman" w:eastAsia="仿宋"/>
                <w:sz w:val="21"/>
                <w:szCs w:val="21"/>
              </w:rPr>
              <w:t>二甲苯</w:t>
            </w:r>
          </w:p>
        </w:tc>
        <w:tc>
          <w:tcPr>
            <w:tcW w:w="795" w:type="dxa"/>
            <w:vMerge w:val="continue"/>
            <w:vAlign w:val="center"/>
          </w:tcPr>
          <w:p w14:paraId="00F948C8">
            <w:pPr>
              <w:jc w:val="center"/>
              <w:rPr>
                <w:rFonts w:ascii="Times New Roman" w:eastAsia="仿宋"/>
                <w:sz w:val="21"/>
                <w:szCs w:val="21"/>
              </w:rPr>
            </w:pPr>
          </w:p>
        </w:tc>
        <w:tc>
          <w:tcPr>
            <w:tcW w:w="953" w:type="dxa"/>
            <w:vAlign w:val="center"/>
          </w:tcPr>
          <w:p w14:paraId="039E156C">
            <w:pPr>
              <w:jc w:val="center"/>
              <w:rPr>
                <w:rFonts w:ascii="Times New Roman" w:eastAsia="仿宋"/>
                <w:sz w:val="21"/>
                <w:szCs w:val="21"/>
              </w:rPr>
            </w:pPr>
            <w:r>
              <w:rPr>
                <w:rFonts w:ascii="Times New Roman" w:eastAsia="仿宋"/>
                <w:sz w:val="21"/>
                <w:szCs w:val="21"/>
              </w:rPr>
              <w:t>挥发份（t/a）</w:t>
            </w:r>
          </w:p>
        </w:tc>
        <w:tc>
          <w:tcPr>
            <w:tcW w:w="906" w:type="dxa"/>
            <w:vAlign w:val="center"/>
          </w:tcPr>
          <w:p w14:paraId="1F910525">
            <w:pPr>
              <w:jc w:val="center"/>
              <w:rPr>
                <w:rFonts w:ascii="Times New Roman" w:eastAsia="仿宋"/>
                <w:sz w:val="21"/>
                <w:szCs w:val="21"/>
              </w:rPr>
            </w:pPr>
            <w:r>
              <w:rPr>
                <w:rFonts w:ascii="Times New Roman" w:eastAsia="仿宋"/>
                <w:sz w:val="21"/>
                <w:szCs w:val="21"/>
              </w:rPr>
              <w:t>挥发份占比（%）</w:t>
            </w:r>
          </w:p>
        </w:tc>
        <w:tc>
          <w:tcPr>
            <w:tcW w:w="720" w:type="dxa"/>
            <w:vAlign w:val="center"/>
          </w:tcPr>
          <w:p w14:paraId="7428C19F">
            <w:pPr>
              <w:widowControl/>
              <w:adjustRightInd w:val="0"/>
              <w:snapToGrid w:val="0"/>
              <w:ind w:left="-120" w:leftChars="-50" w:right="-120" w:rightChars="-50"/>
              <w:jc w:val="center"/>
              <w:rPr>
                <w:rFonts w:ascii="Times New Roman" w:eastAsia="仿宋"/>
                <w:bCs/>
                <w:sz w:val="21"/>
                <w:szCs w:val="21"/>
              </w:rPr>
            </w:pPr>
            <w:r>
              <w:rPr>
                <w:rFonts w:hint="eastAsia" w:ascii="Times New Roman" w:eastAsia="仿宋"/>
                <w:bCs/>
                <w:sz w:val="21"/>
                <w:szCs w:val="21"/>
                <w:lang w:bidi="ar"/>
              </w:rPr>
              <w:t>混合后</w:t>
            </w:r>
            <w:r>
              <w:rPr>
                <w:rFonts w:ascii="Times New Roman" w:eastAsia="仿宋"/>
                <w:bCs/>
                <w:sz w:val="21"/>
                <w:szCs w:val="21"/>
                <w:lang w:bidi="ar"/>
              </w:rPr>
              <w:t>密度(g/L)</w:t>
            </w:r>
          </w:p>
        </w:tc>
        <w:tc>
          <w:tcPr>
            <w:tcW w:w="855" w:type="dxa"/>
            <w:vAlign w:val="center"/>
          </w:tcPr>
          <w:p w14:paraId="1B6AFFFC">
            <w:pPr>
              <w:widowControl/>
              <w:adjustRightInd w:val="0"/>
              <w:snapToGrid w:val="0"/>
              <w:ind w:left="-120" w:leftChars="-50" w:right="-120" w:rightChars="-50"/>
              <w:jc w:val="center"/>
              <w:rPr>
                <w:rFonts w:ascii="Times New Roman" w:eastAsia="仿宋"/>
                <w:bCs/>
                <w:sz w:val="21"/>
                <w:szCs w:val="21"/>
              </w:rPr>
            </w:pPr>
            <w:r>
              <w:rPr>
                <w:rFonts w:ascii="Times New Roman" w:eastAsia="仿宋"/>
                <w:bCs/>
                <w:sz w:val="21"/>
                <w:szCs w:val="21"/>
                <w:lang w:bidi="ar"/>
              </w:rPr>
              <w:t>挥发分含量（g/L）</w:t>
            </w:r>
          </w:p>
        </w:tc>
        <w:tc>
          <w:tcPr>
            <w:tcW w:w="854" w:type="dxa"/>
            <w:vMerge w:val="continue"/>
            <w:vAlign w:val="center"/>
          </w:tcPr>
          <w:p w14:paraId="5754DD8D">
            <w:pPr>
              <w:widowControl/>
              <w:adjustRightInd w:val="0"/>
              <w:snapToGrid w:val="0"/>
              <w:ind w:left="-120" w:leftChars="-50" w:right="-120" w:rightChars="-50"/>
              <w:jc w:val="center"/>
              <w:rPr>
                <w:rFonts w:ascii="Times New Roman" w:eastAsia="仿宋"/>
                <w:bCs/>
                <w:sz w:val="21"/>
                <w:szCs w:val="21"/>
                <w:lang w:bidi="ar"/>
              </w:rPr>
            </w:pPr>
          </w:p>
        </w:tc>
        <w:tc>
          <w:tcPr>
            <w:tcW w:w="1966" w:type="dxa"/>
            <w:gridSpan w:val="2"/>
            <w:vAlign w:val="center"/>
          </w:tcPr>
          <w:p w14:paraId="101DF5EA">
            <w:pPr>
              <w:widowControl/>
              <w:adjustRightInd w:val="0"/>
              <w:snapToGrid w:val="0"/>
              <w:ind w:left="-120" w:leftChars="-50" w:right="-120" w:rightChars="-50"/>
              <w:jc w:val="center"/>
              <w:rPr>
                <w:rFonts w:ascii="Times New Roman" w:eastAsia="仿宋"/>
                <w:bCs/>
                <w:sz w:val="21"/>
                <w:szCs w:val="21"/>
                <w:lang w:bidi="ar"/>
              </w:rPr>
            </w:pPr>
            <w:r>
              <w:rPr>
                <w:rFonts w:ascii="Times New Roman" w:eastAsia="仿宋"/>
                <w:bCs/>
                <w:sz w:val="21"/>
                <w:szCs w:val="21"/>
                <w:lang w:bidi="ar"/>
              </w:rPr>
              <w:t>挥发分含量（g/L）</w:t>
            </w:r>
          </w:p>
        </w:tc>
      </w:tr>
      <w:tr w14:paraId="09B6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vMerge w:val="continue"/>
            <w:vAlign w:val="center"/>
          </w:tcPr>
          <w:p w14:paraId="62B9F14B">
            <w:pPr>
              <w:jc w:val="center"/>
              <w:rPr>
                <w:rFonts w:ascii="Times New Roman" w:eastAsia="仿宋"/>
                <w:sz w:val="21"/>
                <w:szCs w:val="21"/>
              </w:rPr>
            </w:pPr>
          </w:p>
        </w:tc>
        <w:tc>
          <w:tcPr>
            <w:tcW w:w="420" w:type="dxa"/>
            <w:vMerge w:val="restart"/>
            <w:vAlign w:val="center"/>
          </w:tcPr>
          <w:p w14:paraId="4943C2A8">
            <w:pPr>
              <w:jc w:val="center"/>
              <w:rPr>
                <w:rFonts w:ascii="Times New Roman" w:eastAsia="仿宋"/>
                <w:sz w:val="21"/>
                <w:szCs w:val="21"/>
              </w:rPr>
            </w:pPr>
            <w:r>
              <w:rPr>
                <w:rFonts w:hint="eastAsia" w:ascii="Times New Roman" w:eastAsia="仿宋"/>
                <w:sz w:val="21"/>
                <w:szCs w:val="21"/>
              </w:rPr>
              <w:t>氟碳</w:t>
            </w:r>
            <w:r>
              <w:rPr>
                <w:rFonts w:ascii="Times New Roman" w:eastAsia="仿宋"/>
                <w:sz w:val="21"/>
                <w:szCs w:val="21"/>
              </w:rPr>
              <w:t>底漆</w:t>
            </w:r>
          </w:p>
        </w:tc>
        <w:tc>
          <w:tcPr>
            <w:tcW w:w="420" w:type="dxa"/>
            <w:vAlign w:val="center"/>
          </w:tcPr>
          <w:p w14:paraId="585E2B09">
            <w:pPr>
              <w:jc w:val="center"/>
              <w:rPr>
                <w:rFonts w:ascii="Times New Roman" w:eastAsia="仿宋"/>
                <w:sz w:val="21"/>
                <w:szCs w:val="21"/>
              </w:rPr>
            </w:pPr>
            <w:r>
              <w:rPr>
                <w:rFonts w:ascii="Times New Roman" w:eastAsia="仿宋"/>
                <w:sz w:val="21"/>
                <w:szCs w:val="21"/>
              </w:rPr>
              <w:t>底漆</w:t>
            </w:r>
          </w:p>
        </w:tc>
        <w:tc>
          <w:tcPr>
            <w:tcW w:w="420" w:type="dxa"/>
            <w:vAlign w:val="center"/>
          </w:tcPr>
          <w:p w14:paraId="4AEBEF01">
            <w:pPr>
              <w:jc w:val="center"/>
              <w:rPr>
                <w:rFonts w:ascii="Times New Roman" w:eastAsia="仿宋"/>
                <w:sz w:val="21"/>
                <w:szCs w:val="21"/>
              </w:rPr>
            </w:pPr>
            <w:r>
              <w:rPr>
                <w:rFonts w:hint="eastAsia" w:ascii="Times New Roman" w:eastAsia="仿宋"/>
                <w:sz w:val="21"/>
                <w:szCs w:val="21"/>
              </w:rPr>
              <w:t>5</w:t>
            </w:r>
          </w:p>
        </w:tc>
        <w:tc>
          <w:tcPr>
            <w:tcW w:w="892" w:type="dxa"/>
            <w:vAlign w:val="center"/>
          </w:tcPr>
          <w:p w14:paraId="284BCB3B">
            <w:pPr>
              <w:jc w:val="center"/>
              <w:rPr>
                <w:rFonts w:ascii="Times New Roman" w:eastAsia="仿宋"/>
                <w:sz w:val="21"/>
                <w:szCs w:val="21"/>
              </w:rPr>
            </w:pPr>
            <w:r>
              <w:rPr>
                <w:rFonts w:hint="eastAsia" w:ascii="Times New Roman" w:eastAsia="仿宋"/>
                <w:sz w:val="21"/>
                <w:szCs w:val="21"/>
              </w:rPr>
              <w:t>22.875</w:t>
            </w:r>
          </w:p>
        </w:tc>
        <w:tc>
          <w:tcPr>
            <w:tcW w:w="889" w:type="dxa"/>
            <w:vAlign w:val="center"/>
          </w:tcPr>
          <w:p w14:paraId="477D42ED">
            <w:pPr>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150</w:t>
            </w:r>
          </w:p>
        </w:tc>
        <w:tc>
          <w:tcPr>
            <w:tcW w:w="1156" w:type="dxa"/>
            <w:vAlign w:val="center"/>
          </w:tcPr>
          <w:p w14:paraId="64709A19">
            <w:pPr>
              <w:jc w:val="center"/>
              <w:rPr>
                <w:rFonts w:ascii="Times New Roman" w:eastAsia="仿宋"/>
                <w:sz w:val="21"/>
                <w:szCs w:val="21"/>
              </w:rPr>
            </w:pPr>
            <w:r>
              <w:rPr>
                <w:rFonts w:hint="eastAsia" w:ascii="Times New Roman" w:eastAsia="仿宋"/>
                <w:sz w:val="21"/>
                <w:szCs w:val="21"/>
              </w:rPr>
              <w:t>10</w:t>
            </w:r>
          </w:p>
        </w:tc>
        <w:tc>
          <w:tcPr>
            <w:tcW w:w="968" w:type="dxa"/>
            <w:vAlign w:val="center"/>
          </w:tcPr>
          <w:p w14:paraId="58CA506C">
            <w:pPr>
              <w:jc w:val="center"/>
              <w:rPr>
                <w:rFonts w:ascii="Times New Roman" w:eastAsia="仿宋"/>
                <w:sz w:val="21"/>
                <w:szCs w:val="21"/>
              </w:rPr>
            </w:pPr>
            <w:r>
              <w:rPr>
                <w:rFonts w:hint="eastAsia" w:ascii="Times New Roman" w:eastAsia="仿宋"/>
                <w:sz w:val="21"/>
                <w:szCs w:val="21"/>
              </w:rPr>
              <w:t>6</w:t>
            </w:r>
          </w:p>
        </w:tc>
        <w:tc>
          <w:tcPr>
            <w:tcW w:w="828" w:type="dxa"/>
            <w:vAlign w:val="center"/>
          </w:tcPr>
          <w:p w14:paraId="53A2F408">
            <w:pPr>
              <w:jc w:val="center"/>
              <w:rPr>
                <w:rFonts w:ascii="Times New Roman" w:eastAsia="仿宋"/>
                <w:sz w:val="21"/>
                <w:szCs w:val="21"/>
              </w:rPr>
            </w:pPr>
            <w:r>
              <w:rPr>
                <w:rFonts w:hint="eastAsia" w:ascii="Times New Roman" w:eastAsia="仿宋"/>
                <w:sz w:val="21"/>
                <w:szCs w:val="21"/>
              </w:rPr>
              <w:t>31</w:t>
            </w:r>
          </w:p>
        </w:tc>
        <w:tc>
          <w:tcPr>
            <w:tcW w:w="795" w:type="dxa"/>
            <w:vAlign w:val="center"/>
          </w:tcPr>
          <w:p w14:paraId="3AD3FA2B">
            <w:pPr>
              <w:jc w:val="center"/>
              <w:rPr>
                <w:rFonts w:ascii="Times New Roman" w:eastAsia="仿宋"/>
                <w:sz w:val="21"/>
                <w:szCs w:val="21"/>
              </w:rPr>
            </w:pPr>
            <w:r>
              <w:rPr>
                <w:rFonts w:ascii="Times New Roman" w:eastAsia="仿宋"/>
                <w:sz w:val="21"/>
                <w:szCs w:val="21"/>
              </w:rPr>
              <w:t>5</w:t>
            </w:r>
            <w:r>
              <w:rPr>
                <w:rFonts w:hint="eastAsia" w:ascii="Times New Roman" w:eastAsia="仿宋"/>
                <w:sz w:val="21"/>
                <w:szCs w:val="21"/>
              </w:rPr>
              <w:t>3</w:t>
            </w:r>
          </w:p>
        </w:tc>
        <w:tc>
          <w:tcPr>
            <w:tcW w:w="953" w:type="dxa"/>
            <w:vAlign w:val="center"/>
          </w:tcPr>
          <w:p w14:paraId="5384317A">
            <w:pPr>
              <w:jc w:val="center"/>
              <w:rPr>
                <w:rFonts w:ascii="Times New Roman" w:eastAsia="仿宋"/>
                <w:sz w:val="21"/>
                <w:szCs w:val="21"/>
              </w:rPr>
            </w:pPr>
            <w:r>
              <w:rPr>
                <w:rFonts w:hint="eastAsia" w:ascii="Times New Roman" w:eastAsia="仿宋"/>
                <w:sz w:val="21"/>
                <w:szCs w:val="21"/>
              </w:rPr>
              <w:t>10.75</w:t>
            </w:r>
          </w:p>
        </w:tc>
        <w:tc>
          <w:tcPr>
            <w:tcW w:w="906" w:type="dxa"/>
            <w:vMerge w:val="restart"/>
            <w:vAlign w:val="center"/>
          </w:tcPr>
          <w:p w14:paraId="26F61A49">
            <w:pPr>
              <w:jc w:val="center"/>
              <w:rPr>
                <w:rFonts w:ascii="Times New Roman" w:eastAsia="仿宋"/>
                <w:sz w:val="21"/>
                <w:szCs w:val="21"/>
              </w:rPr>
            </w:pPr>
            <w:r>
              <w:rPr>
                <w:rFonts w:hint="eastAsia" w:ascii="Times New Roman" w:eastAsia="仿宋"/>
                <w:sz w:val="21"/>
                <w:szCs w:val="21"/>
              </w:rPr>
              <w:t>66</w:t>
            </w:r>
          </w:p>
        </w:tc>
        <w:tc>
          <w:tcPr>
            <w:tcW w:w="720" w:type="dxa"/>
            <w:vMerge w:val="restart"/>
            <w:vAlign w:val="center"/>
          </w:tcPr>
          <w:p w14:paraId="523585A2">
            <w:pPr>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004</w:t>
            </w:r>
          </w:p>
        </w:tc>
        <w:tc>
          <w:tcPr>
            <w:tcW w:w="855" w:type="dxa"/>
            <w:vMerge w:val="restart"/>
            <w:vAlign w:val="center"/>
          </w:tcPr>
          <w:p w14:paraId="1A72A55F">
            <w:pPr>
              <w:jc w:val="center"/>
              <w:rPr>
                <w:rFonts w:ascii="Times New Roman" w:eastAsia="仿宋"/>
                <w:sz w:val="21"/>
                <w:szCs w:val="21"/>
              </w:rPr>
            </w:pPr>
            <w:r>
              <w:rPr>
                <w:rFonts w:hint="eastAsia" w:ascii="Times New Roman" w:eastAsia="仿宋"/>
                <w:sz w:val="21"/>
                <w:szCs w:val="21"/>
              </w:rPr>
              <w:t>6</w:t>
            </w:r>
            <w:r>
              <w:rPr>
                <w:rFonts w:ascii="Times New Roman" w:eastAsia="仿宋"/>
                <w:sz w:val="21"/>
                <w:szCs w:val="21"/>
              </w:rPr>
              <w:t>62.64</w:t>
            </w:r>
          </w:p>
        </w:tc>
        <w:tc>
          <w:tcPr>
            <w:tcW w:w="854" w:type="dxa"/>
            <w:vMerge w:val="restart"/>
            <w:noWrap/>
            <w:vAlign w:val="center"/>
          </w:tcPr>
          <w:p w14:paraId="204977FB">
            <w:pPr>
              <w:jc w:val="center"/>
              <w:rPr>
                <w:rFonts w:ascii="Times New Roman" w:eastAsia="仿宋"/>
                <w:sz w:val="21"/>
                <w:szCs w:val="21"/>
              </w:rPr>
            </w:pPr>
            <w:r>
              <w:rPr>
                <w:rFonts w:hint="eastAsia" w:ascii="Times New Roman" w:eastAsia="仿宋"/>
                <w:sz w:val="21"/>
                <w:szCs w:val="21"/>
              </w:rPr>
              <w:t>627</w:t>
            </w:r>
          </w:p>
        </w:tc>
        <w:tc>
          <w:tcPr>
            <w:tcW w:w="617" w:type="dxa"/>
            <w:noWrap/>
            <w:vAlign w:val="center"/>
          </w:tcPr>
          <w:p w14:paraId="623C8248">
            <w:pPr>
              <w:widowControl/>
              <w:adjustRightInd w:val="0"/>
              <w:snapToGrid w:val="0"/>
              <w:ind w:left="-120" w:leftChars="-50" w:right="-120" w:rightChars="-50"/>
              <w:jc w:val="center"/>
              <w:rPr>
                <w:rFonts w:ascii="Times New Roman" w:eastAsia="仿宋"/>
                <w:sz w:val="21"/>
                <w:szCs w:val="21"/>
              </w:rPr>
            </w:pPr>
            <w:r>
              <w:rPr>
                <w:rFonts w:hint="eastAsia" w:ascii="Times New Roman" w:eastAsia="仿宋"/>
                <w:sz w:val="21"/>
                <w:szCs w:val="21"/>
              </w:rPr>
              <w:t>670</w:t>
            </w:r>
          </w:p>
        </w:tc>
        <w:tc>
          <w:tcPr>
            <w:tcW w:w="1349" w:type="dxa"/>
            <w:noWrap/>
            <w:vAlign w:val="center"/>
          </w:tcPr>
          <w:p w14:paraId="74F4A17F">
            <w:pPr>
              <w:widowControl/>
              <w:adjustRightInd w:val="0"/>
              <w:snapToGrid w:val="0"/>
              <w:ind w:left="-120" w:leftChars="-50" w:right="-120" w:rightChars="-50"/>
              <w:jc w:val="center"/>
              <w:rPr>
                <w:rFonts w:ascii="Times New Roman" w:eastAsia="仿宋"/>
                <w:sz w:val="21"/>
                <w:szCs w:val="21"/>
              </w:rPr>
            </w:pPr>
            <w:r>
              <w:rPr>
                <w:rFonts w:ascii="Times New Roman" w:eastAsia="仿宋"/>
                <w:sz w:val="21"/>
                <w:szCs w:val="21"/>
              </w:rPr>
              <w:t>GB24409-2020</w:t>
            </w:r>
            <w:r>
              <w:rPr>
                <w:rFonts w:hint="eastAsia" w:ascii="Times New Roman" w:eastAsia="仿宋"/>
                <w:sz w:val="21"/>
                <w:szCs w:val="21"/>
              </w:rPr>
              <w:t>中车辆用零部件涂料中金属件用涂料底漆标准</w:t>
            </w:r>
          </w:p>
        </w:tc>
      </w:tr>
      <w:tr w14:paraId="0CFA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0" w:type="dxa"/>
            <w:vMerge w:val="continue"/>
            <w:vAlign w:val="center"/>
          </w:tcPr>
          <w:p w14:paraId="30D6F18A">
            <w:pPr>
              <w:jc w:val="center"/>
              <w:rPr>
                <w:rFonts w:ascii="Times New Roman" w:eastAsia="仿宋"/>
                <w:sz w:val="21"/>
                <w:szCs w:val="21"/>
              </w:rPr>
            </w:pPr>
          </w:p>
        </w:tc>
        <w:tc>
          <w:tcPr>
            <w:tcW w:w="420" w:type="dxa"/>
            <w:vMerge w:val="continue"/>
            <w:vAlign w:val="center"/>
          </w:tcPr>
          <w:p w14:paraId="17BDFCF1">
            <w:pPr>
              <w:jc w:val="center"/>
              <w:rPr>
                <w:rFonts w:ascii="Times New Roman" w:eastAsia="仿宋"/>
                <w:sz w:val="21"/>
                <w:szCs w:val="21"/>
              </w:rPr>
            </w:pPr>
          </w:p>
        </w:tc>
        <w:tc>
          <w:tcPr>
            <w:tcW w:w="420" w:type="dxa"/>
            <w:vMerge w:val="restart"/>
            <w:vAlign w:val="center"/>
          </w:tcPr>
          <w:p w14:paraId="7C7D6C43">
            <w:pPr>
              <w:jc w:val="center"/>
              <w:rPr>
                <w:rFonts w:ascii="Times New Roman" w:eastAsia="仿宋"/>
                <w:sz w:val="21"/>
                <w:szCs w:val="21"/>
              </w:rPr>
            </w:pPr>
            <w:r>
              <w:rPr>
                <w:rFonts w:ascii="Times New Roman" w:eastAsia="仿宋"/>
                <w:sz w:val="21"/>
                <w:szCs w:val="21"/>
              </w:rPr>
              <w:t>稀释剂</w:t>
            </w:r>
          </w:p>
        </w:tc>
        <w:tc>
          <w:tcPr>
            <w:tcW w:w="420" w:type="dxa"/>
            <w:vMerge w:val="restart"/>
            <w:vAlign w:val="center"/>
          </w:tcPr>
          <w:p w14:paraId="6DD2BD4E">
            <w:pPr>
              <w:jc w:val="center"/>
              <w:rPr>
                <w:rFonts w:ascii="Times New Roman" w:eastAsia="仿宋"/>
                <w:sz w:val="21"/>
                <w:szCs w:val="21"/>
              </w:rPr>
            </w:pPr>
            <w:r>
              <w:rPr>
                <w:rFonts w:hint="eastAsia" w:ascii="Times New Roman" w:eastAsia="仿宋"/>
                <w:sz w:val="21"/>
                <w:szCs w:val="21"/>
              </w:rPr>
              <w:t>3</w:t>
            </w:r>
          </w:p>
        </w:tc>
        <w:tc>
          <w:tcPr>
            <w:tcW w:w="892" w:type="dxa"/>
            <w:vMerge w:val="restart"/>
            <w:vAlign w:val="center"/>
          </w:tcPr>
          <w:p w14:paraId="1C0E0F16">
            <w:pPr>
              <w:jc w:val="center"/>
              <w:rPr>
                <w:rFonts w:ascii="Times New Roman" w:eastAsia="仿宋"/>
                <w:sz w:val="21"/>
                <w:szCs w:val="21"/>
              </w:rPr>
            </w:pPr>
            <w:r>
              <w:rPr>
                <w:rFonts w:hint="eastAsia" w:ascii="Times New Roman" w:eastAsia="仿宋"/>
                <w:sz w:val="21"/>
                <w:szCs w:val="21"/>
              </w:rPr>
              <w:t>13.725</w:t>
            </w:r>
          </w:p>
        </w:tc>
        <w:tc>
          <w:tcPr>
            <w:tcW w:w="889" w:type="dxa"/>
            <w:vMerge w:val="restart"/>
            <w:vAlign w:val="center"/>
          </w:tcPr>
          <w:p w14:paraId="73B802F8">
            <w:pPr>
              <w:jc w:val="center"/>
              <w:rPr>
                <w:rFonts w:ascii="Times New Roman" w:eastAsia="仿宋"/>
                <w:sz w:val="21"/>
                <w:szCs w:val="21"/>
              </w:rPr>
            </w:pPr>
            <w:r>
              <w:rPr>
                <w:rFonts w:hint="eastAsia" w:ascii="Times New Roman" w:eastAsia="仿宋"/>
                <w:sz w:val="21"/>
                <w:szCs w:val="21"/>
              </w:rPr>
              <w:t>8</w:t>
            </w:r>
            <w:r>
              <w:rPr>
                <w:rFonts w:ascii="Times New Roman" w:eastAsia="仿宋"/>
                <w:sz w:val="21"/>
                <w:szCs w:val="21"/>
              </w:rPr>
              <w:t>30</w:t>
            </w:r>
          </w:p>
        </w:tc>
        <w:tc>
          <w:tcPr>
            <w:tcW w:w="2952" w:type="dxa"/>
            <w:gridSpan w:val="3"/>
            <w:vMerge w:val="restart"/>
            <w:vAlign w:val="center"/>
          </w:tcPr>
          <w:p w14:paraId="5ADD3A9A">
            <w:pPr>
              <w:jc w:val="center"/>
              <w:rPr>
                <w:rFonts w:ascii="Times New Roman" w:eastAsia="仿宋"/>
                <w:sz w:val="21"/>
                <w:szCs w:val="21"/>
              </w:rPr>
            </w:pPr>
            <w:r>
              <w:rPr>
                <w:rFonts w:hint="eastAsia" w:ascii="Times New Roman" w:eastAsia="仿宋"/>
                <w:sz w:val="21"/>
                <w:szCs w:val="21"/>
              </w:rPr>
              <w:t>100</w:t>
            </w:r>
          </w:p>
        </w:tc>
        <w:tc>
          <w:tcPr>
            <w:tcW w:w="795" w:type="dxa"/>
            <w:vMerge w:val="restart"/>
            <w:vAlign w:val="center"/>
          </w:tcPr>
          <w:p w14:paraId="6B3BA74B">
            <w:pPr>
              <w:jc w:val="center"/>
              <w:rPr>
                <w:rFonts w:ascii="Times New Roman" w:eastAsia="仿宋"/>
                <w:sz w:val="21"/>
                <w:szCs w:val="21"/>
              </w:rPr>
            </w:pPr>
            <w:r>
              <w:rPr>
                <w:rFonts w:ascii="Times New Roman" w:eastAsia="仿宋"/>
                <w:sz w:val="21"/>
                <w:szCs w:val="21"/>
              </w:rPr>
              <w:t>0</w:t>
            </w:r>
          </w:p>
        </w:tc>
        <w:tc>
          <w:tcPr>
            <w:tcW w:w="953" w:type="dxa"/>
            <w:vMerge w:val="restart"/>
            <w:vAlign w:val="center"/>
          </w:tcPr>
          <w:p w14:paraId="7EEF5C12">
            <w:pPr>
              <w:jc w:val="center"/>
              <w:rPr>
                <w:rFonts w:ascii="Times New Roman" w:eastAsia="仿宋"/>
                <w:sz w:val="21"/>
                <w:szCs w:val="21"/>
              </w:rPr>
            </w:pPr>
            <w:r>
              <w:rPr>
                <w:rFonts w:hint="eastAsia" w:ascii="Times New Roman" w:eastAsia="仿宋"/>
                <w:sz w:val="21"/>
                <w:szCs w:val="21"/>
              </w:rPr>
              <w:t>13.725</w:t>
            </w:r>
          </w:p>
        </w:tc>
        <w:tc>
          <w:tcPr>
            <w:tcW w:w="906" w:type="dxa"/>
            <w:vMerge w:val="continue"/>
            <w:vAlign w:val="center"/>
          </w:tcPr>
          <w:p w14:paraId="11865712">
            <w:pPr>
              <w:jc w:val="center"/>
              <w:rPr>
                <w:rFonts w:ascii="Times New Roman" w:eastAsia="仿宋"/>
                <w:sz w:val="21"/>
                <w:szCs w:val="21"/>
              </w:rPr>
            </w:pPr>
          </w:p>
        </w:tc>
        <w:tc>
          <w:tcPr>
            <w:tcW w:w="720" w:type="dxa"/>
            <w:vMerge w:val="continue"/>
            <w:vAlign w:val="center"/>
          </w:tcPr>
          <w:p w14:paraId="2BF5C236">
            <w:pPr>
              <w:jc w:val="center"/>
              <w:rPr>
                <w:rFonts w:ascii="Times New Roman" w:eastAsia="仿宋"/>
                <w:sz w:val="21"/>
                <w:szCs w:val="21"/>
              </w:rPr>
            </w:pPr>
          </w:p>
        </w:tc>
        <w:tc>
          <w:tcPr>
            <w:tcW w:w="855" w:type="dxa"/>
            <w:vMerge w:val="continue"/>
            <w:vAlign w:val="center"/>
          </w:tcPr>
          <w:p w14:paraId="60D83BE6">
            <w:pPr>
              <w:jc w:val="center"/>
              <w:rPr>
                <w:rFonts w:ascii="Times New Roman" w:eastAsia="仿宋"/>
                <w:sz w:val="21"/>
                <w:szCs w:val="21"/>
              </w:rPr>
            </w:pPr>
          </w:p>
        </w:tc>
        <w:tc>
          <w:tcPr>
            <w:tcW w:w="854" w:type="dxa"/>
            <w:vMerge w:val="continue"/>
            <w:noWrap/>
            <w:vAlign w:val="center"/>
          </w:tcPr>
          <w:p w14:paraId="3716194D">
            <w:pPr>
              <w:jc w:val="center"/>
              <w:rPr>
                <w:rFonts w:ascii="Times New Roman" w:eastAsia="仿宋"/>
                <w:sz w:val="21"/>
                <w:szCs w:val="21"/>
              </w:rPr>
            </w:pPr>
          </w:p>
        </w:tc>
        <w:tc>
          <w:tcPr>
            <w:tcW w:w="617" w:type="dxa"/>
            <w:noWrap/>
            <w:vAlign w:val="center"/>
          </w:tcPr>
          <w:p w14:paraId="2B0E6E45">
            <w:pPr>
              <w:jc w:val="center"/>
              <w:rPr>
                <w:rFonts w:ascii="Times New Roman" w:eastAsia="仿宋"/>
                <w:sz w:val="21"/>
                <w:szCs w:val="21"/>
              </w:rPr>
            </w:pPr>
            <w:r>
              <w:rPr>
                <w:rFonts w:hint="eastAsia" w:ascii="Times New Roman" w:eastAsia="仿宋"/>
                <w:sz w:val="21"/>
                <w:szCs w:val="21"/>
              </w:rPr>
              <w:t>690</w:t>
            </w:r>
          </w:p>
        </w:tc>
        <w:tc>
          <w:tcPr>
            <w:tcW w:w="1349" w:type="dxa"/>
            <w:noWrap/>
            <w:vAlign w:val="center"/>
          </w:tcPr>
          <w:p w14:paraId="566B96BE">
            <w:pPr>
              <w:widowControl/>
              <w:adjustRightInd w:val="0"/>
              <w:snapToGrid w:val="0"/>
              <w:ind w:left="-120" w:leftChars="-50" w:right="-120" w:rightChars="-50"/>
              <w:jc w:val="center"/>
              <w:rPr>
                <w:rFonts w:ascii="Times New Roman" w:eastAsia="仿宋"/>
                <w:sz w:val="21"/>
                <w:szCs w:val="21"/>
              </w:rPr>
            </w:pPr>
            <w:r>
              <w:rPr>
                <w:rFonts w:hint="eastAsia" w:ascii="Times New Roman" w:eastAsia="仿宋"/>
                <w:sz w:val="21"/>
                <w:szCs w:val="21"/>
              </w:rPr>
              <w:t>GB32/T3500-2019中整车涂料中底漆标准</w:t>
            </w:r>
          </w:p>
        </w:tc>
      </w:tr>
      <w:tr w14:paraId="7318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0" w:type="dxa"/>
            <w:vMerge w:val="continue"/>
            <w:vAlign w:val="center"/>
          </w:tcPr>
          <w:p w14:paraId="47374EC7">
            <w:pPr>
              <w:jc w:val="center"/>
            </w:pPr>
          </w:p>
        </w:tc>
        <w:tc>
          <w:tcPr>
            <w:tcW w:w="420" w:type="dxa"/>
            <w:vMerge w:val="continue"/>
            <w:vAlign w:val="center"/>
          </w:tcPr>
          <w:p w14:paraId="593B7568">
            <w:pPr>
              <w:jc w:val="center"/>
            </w:pPr>
          </w:p>
        </w:tc>
        <w:tc>
          <w:tcPr>
            <w:tcW w:w="420" w:type="dxa"/>
            <w:vMerge w:val="continue"/>
            <w:vAlign w:val="center"/>
          </w:tcPr>
          <w:p w14:paraId="5B45C049">
            <w:pPr>
              <w:jc w:val="center"/>
            </w:pPr>
          </w:p>
        </w:tc>
        <w:tc>
          <w:tcPr>
            <w:tcW w:w="420" w:type="dxa"/>
            <w:vMerge w:val="continue"/>
            <w:vAlign w:val="center"/>
          </w:tcPr>
          <w:p w14:paraId="688C4FF5">
            <w:pPr>
              <w:jc w:val="center"/>
            </w:pPr>
          </w:p>
        </w:tc>
        <w:tc>
          <w:tcPr>
            <w:tcW w:w="892" w:type="dxa"/>
            <w:vMerge w:val="continue"/>
            <w:vAlign w:val="center"/>
          </w:tcPr>
          <w:p w14:paraId="6093FF62">
            <w:pPr>
              <w:jc w:val="center"/>
            </w:pPr>
          </w:p>
        </w:tc>
        <w:tc>
          <w:tcPr>
            <w:tcW w:w="889" w:type="dxa"/>
            <w:vMerge w:val="continue"/>
            <w:vAlign w:val="center"/>
          </w:tcPr>
          <w:p w14:paraId="0C49E11F">
            <w:pPr>
              <w:jc w:val="center"/>
            </w:pPr>
          </w:p>
        </w:tc>
        <w:tc>
          <w:tcPr>
            <w:tcW w:w="2952" w:type="dxa"/>
            <w:gridSpan w:val="3"/>
            <w:vMerge w:val="continue"/>
            <w:vAlign w:val="center"/>
          </w:tcPr>
          <w:p w14:paraId="2AF8BC0C">
            <w:pPr>
              <w:jc w:val="center"/>
            </w:pPr>
          </w:p>
        </w:tc>
        <w:tc>
          <w:tcPr>
            <w:tcW w:w="795" w:type="dxa"/>
            <w:vMerge w:val="continue"/>
            <w:vAlign w:val="center"/>
          </w:tcPr>
          <w:p w14:paraId="35417BB6">
            <w:pPr>
              <w:jc w:val="center"/>
            </w:pPr>
          </w:p>
        </w:tc>
        <w:tc>
          <w:tcPr>
            <w:tcW w:w="953" w:type="dxa"/>
            <w:vMerge w:val="continue"/>
            <w:vAlign w:val="center"/>
          </w:tcPr>
          <w:p w14:paraId="435B9688">
            <w:pPr>
              <w:jc w:val="center"/>
            </w:pPr>
          </w:p>
        </w:tc>
        <w:tc>
          <w:tcPr>
            <w:tcW w:w="906" w:type="dxa"/>
            <w:vMerge w:val="continue"/>
            <w:vAlign w:val="center"/>
          </w:tcPr>
          <w:p w14:paraId="7D641BCC">
            <w:pPr>
              <w:jc w:val="center"/>
            </w:pPr>
          </w:p>
        </w:tc>
        <w:tc>
          <w:tcPr>
            <w:tcW w:w="720" w:type="dxa"/>
            <w:vMerge w:val="continue"/>
            <w:vAlign w:val="center"/>
          </w:tcPr>
          <w:p w14:paraId="7B09B3B8">
            <w:pPr>
              <w:jc w:val="center"/>
              <w:rPr>
                <w:rFonts w:ascii="Times New Roman" w:eastAsia="仿宋"/>
                <w:sz w:val="21"/>
                <w:szCs w:val="21"/>
              </w:rPr>
            </w:pPr>
          </w:p>
        </w:tc>
        <w:tc>
          <w:tcPr>
            <w:tcW w:w="855" w:type="dxa"/>
            <w:vMerge w:val="continue"/>
            <w:vAlign w:val="center"/>
          </w:tcPr>
          <w:p w14:paraId="0F1D336E">
            <w:pPr>
              <w:jc w:val="center"/>
              <w:rPr>
                <w:rFonts w:ascii="Times New Roman" w:eastAsia="仿宋"/>
                <w:sz w:val="21"/>
                <w:szCs w:val="21"/>
              </w:rPr>
            </w:pPr>
          </w:p>
        </w:tc>
        <w:tc>
          <w:tcPr>
            <w:tcW w:w="854" w:type="dxa"/>
            <w:vMerge w:val="continue"/>
            <w:noWrap/>
            <w:vAlign w:val="center"/>
          </w:tcPr>
          <w:p w14:paraId="760502FD">
            <w:pPr>
              <w:jc w:val="center"/>
              <w:rPr>
                <w:rFonts w:ascii="Times New Roman" w:eastAsia="仿宋"/>
                <w:sz w:val="21"/>
                <w:szCs w:val="21"/>
              </w:rPr>
            </w:pPr>
          </w:p>
        </w:tc>
        <w:tc>
          <w:tcPr>
            <w:tcW w:w="617" w:type="dxa"/>
            <w:noWrap/>
            <w:vAlign w:val="center"/>
          </w:tcPr>
          <w:p w14:paraId="28129D4D">
            <w:pPr>
              <w:jc w:val="center"/>
              <w:rPr>
                <w:rFonts w:ascii="Times New Roman" w:eastAsia="仿宋"/>
                <w:sz w:val="21"/>
                <w:szCs w:val="21"/>
              </w:rPr>
            </w:pPr>
            <w:r>
              <w:rPr>
                <w:rFonts w:hint="eastAsia" w:ascii="Times New Roman" w:eastAsia="仿宋"/>
                <w:sz w:val="21"/>
                <w:szCs w:val="21"/>
              </w:rPr>
              <w:t>780</w:t>
            </w:r>
          </w:p>
        </w:tc>
        <w:tc>
          <w:tcPr>
            <w:tcW w:w="1349" w:type="dxa"/>
            <w:noWrap/>
            <w:vAlign w:val="center"/>
          </w:tcPr>
          <w:p w14:paraId="4C36DDDD">
            <w:pPr>
              <w:jc w:val="center"/>
              <w:rPr>
                <w:rFonts w:ascii="Times New Roman" w:eastAsia="仿宋"/>
                <w:sz w:val="21"/>
                <w:szCs w:val="21"/>
              </w:rPr>
            </w:pPr>
            <w:r>
              <w:rPr>
                <w:rFonts w:hint="eastAsia" w:ascii="Times New Roman" w:eastAsia="仿宋"/>
                <w:sz w:val="21"/>
                <w:szCs w:val="21"/>
              </w:rPr>
              <w:t>GB 30981-2020中氟树脂涂料标准</w:t>
            </w:r>
          </w:p>
        </w:tc>
      </w:tr>
      <w:tr w14:paraId="1764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dxa"/>
            <w:vMerge w:val="continue"/>
            <w:vAlign w:val="center"/>
          </w:tcPr>
          <w:p w14:paraId="4BE95C1E">
            <w:pPr>
              <w:jc w:val="center"/>
              <w:rPr>
                <w:rFonts w:ascii="Times New Roman" w:eastAsia="仿宋"/>
                <w:sz w:val="21"/>
                <w:szCs w:val="21"/>
              </w:rPr>
            </w:pPr>
          </w:p>
        </w:tc>
        <w:tc>
          <w:tcPr>
            <w:tcW w:w="420" w:type="dxa"/>
            <w:vMerge w:val="restart"/>
            <w:vAlign w:val="center"/>
          </w:tcPr>
          <w:p w14:paraId="244A6D6C">
            <w:pPr>
              <w:jc w:val="center"/>
              <w:rPr>
                <w:rFonts w:ascii="Times New Roman" w:eastAsia="仿宋"/>
                <w:sz w:val="21"/>
                <w:szCs w:val="21"/>
              </w:rPr>
            </w:pPr>
            <w:r>
              <w:rPr>
                <w:rFonts w:hint="eastAsia" w:ascii="Times New Roman" w:eastAsia="仿宋"/>
                <w:sz w:val="21"/>
                <w:szCs w:val="21"/>
              </w:rPr>
              <w:t>氟碳</w:t>
            </w:r>
            <w:r>
              <w:rPr>
                <w:rFonts w:ascii="Times New Roman" w:eastAsia="仿宋"/>
                <w:sz w:val="21"/>
                <w:szCs w:val="21"/>
              </w:rPr>
              <w:t>面漆</w:t>
            </w:r>
          </w:p>
        </w:tc>
        <w:tc>
          <w:tcPr>
            <w:tcW w:w="420" w:type="dxa"/>
            <w:vAlign w:val="center"/>
          </w:tcPr>
          <w:p w14:paraId="6CCE5B8E">
            <w:pPr>
              <w:jc w:val="center"/>
              <w:rPr>
                <w:rFonts w:ascii="Times New Roman" w:eastAsia="仿宋"/>
                <w:sz w:val="21"/>
                <w:szCs w:val="21"/>
              </w:rPr>
            </w:pPr>
            <w:r>
              <w:rPr>
                <w:rFonts w:ascii="Times New Roman" w:eastAsia="仿宋"/>
                <w:sz w:val="21"/>
                <w:szCs w:val="21"/>
              </w:rPr>
              <w:t>面漆</w:t>
            </w:r>
          </w:p>
        </w:tc>
        <w:tc>
          <w:tcPr>
            <w:tcW w:w="420" w:type="dxa"/>
            <w:vAlign w:val="center"/>
          </w:tcPr>
          <w:p w14:paraId="016DBBFE">
            <w:pPr>
              <w:jc w:val="center"/>
              <w:rPr>
                <w:rFonts w:ascii="Times New Roman" w:eastAsia="仿宋"/>
                <w:sz w:val="21"/>
                <w:szCs w:val="21"/>
              </w:rPr>
            </w:pPr>
            <w:r>
              <w:rPr>
                <w:rFonts w:hint="eastAsia" w:ascii="Times New Roman" w:eastAsia="仿宋"/>
                <w:sz w:val="21"/>
                <w:szCs w:val="21"/>
              </w:rPr>
              <w:t>2</w:t>
            </w:r>
          </w:p>
        </w:tc>
        <w:tc>
          <w:tcPr>
            <w:tcW w:w="892" w:type="dxa"/>
            <w:vAlign w:val="center"/>
          </w:tcPr>
          <w:p w14:paraId="47BFC151">
            <w:pPr>
              <w:jc w:val="center"/>
              <w:rPr>
                <w:rFonts w:ascii="Times New Roman" w:eastAsia="仿宋"/>
                <w:sz w:val="21"/>
                <w:szCs w:val="21"/>
              </w:rPr>
            </w:pPr>
            <w:r>
              <w:rPr>
                <w:rFonts w:hint="eastAsia" w:ascii="Times New Roman" w:eastAsia="仿宋"/>
                <w:sz w:val="21"/>
                <w:szCs w:val="21"/>
              </w:rPr>
              <w:t>38.2</w:t>
            </w:r>
          </w:p>
        </w:tc>
        <w:tc>
          <w:tcPr>
            <w:tcW w:w="889" w:type="dxa"/>
            <w:vAlign w:val="center"/>
          </w:tcPr>
          <w:p w14:paraId="2CA7A166">
            <w:pPr>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050</w:t>
            </w:r>
          </w:p>
        </w:tc>
        <w:tc>
          <w:tcPr>
            <w:tcW w:w="1156" w:type="dxa"/>
            <w:vAlign w:val="center"/>
          </w:tcPr>
          <w:p w14:paraId="2752DCDB">
            <w:pPr>
              <w:jc w:val="center"/>
              <w:rPr>
                <w:rFonts w:ascii="Times New Roman" w:eastAsia="仿宋"/>
                <w:sz w:val="21"/>
                <w:szCs w:val="21"/>
              </w:rPr>
            </w:pPr>
            <w:r>
              <w:rPr>
                <w:rFonts w:hint="eastAsia" w:ascii="Times New Roman" w:eastAsia="仿宋"/>
                <w:sz w:val="21"/>
                <w:szCs w:val="21"/>
              </w:rPr>
              <w:t>15</w:t>
            </w:r>
          </w:p>
        </w:tc>
        <w:tc>
          <w:tcPr>
            <w:tcW w:w="968" w:type="dxa"/>
            <w:vAlign w:val="center"/>
          </w:tcPr>
          <w:p w14:paraId="2907E1A7">
            <w:pPr>
              <w:jc w:val="center"/>
              <w:rPr>
                <w:rFonts w:ascii="Times New Roman" w:eastAsia="仿宋"/>
                <w:sz w:val="21"/>
                <w:szCs w:val="21"/>
              </w:rPr>
            </w:pPr>
            <w:r>
              <w:rPr>
                <w:rFonts w:hint="eastAsia" w:ascii="Times New Roman" w:eastAsia="仿宋"/>
                <w:sz w:val="21"/>
                <w:szCs w:val="21"/>
              </w:rPr>
              <w:t>5</w:t>
            </w:r>
          </w:p>
        </w:tc>
        <w:tc>
          <w:tcPr>
            <w:tcW w:w="828" w:type="dxa"/>
            <w:vAlign w:val="center"/>
          </w:tcPr>
          <w:p w14:paraId="46398802">
            <w:pPr>
              <w:jc w:val="center"/>
              <w:rPr>
                <w:rFonts w:ascii="Times New Roman" w:eastAsia="仿宋"/>
                <w:sz w:val="21"/>
                <w:szCs w:val="21"/>
              </w:rPr>
            </w:pPr>
            <w:r>
              <w:rPr>
                <w:rFonts w:hint="eastAsia" w:ascii="Times New Roman" w:eastAsia="仿宋"/>
                <w:sz w:val="21"/>
                <w:szCs w:val="21"/>
              </w:rPr>
              <w:t>24.5</w:t>
            </w:r>
          </w:p>
        </w:tc>
        <w:tc>
          <w:tcPr>
            <w:tcW w:w="795" w:type="dxa"/>
            <w:vAlign w:val="center"/>
          </w:tcPr>
          <w:p w14:paraId="27ECDA74">
            <w:pPr>
              <w:jc w:val="center"/>
              <w:rPr>
                <w:rFonts w:ascii="Times New Roman" w:eastAsia="仿宋"/>
                <w:sz w:val="21"/>
                <w:szCs w:val="21"/>
              </w:rPr>
            </w:pPr>
            <w:r>
              <w:rPr>
                <w:rFonts w:hint="eastAsia" w:ascii="Times New Roman" w:eastAsia="仿宋"/>
                <w:sz w:val="21"/>
                <w:szCs w:val="21"/>
              </w:rPr>
              <w:t>55.5</w:t>
            </w:r>
          </w:p>
        </w:tc>
        <w:tc>
          <w:tcPr>
            <w:tcW w:w="953" w:type="dxa"/>
            <w:vAlign w:val="center"/>
          </w:tcPr>
          <w:p w14:paraId="09DE65D6">
            <w:pPr>
              <w:jc w:val="center"/>
              <w:rPr>
                <w:rFonts w:ascii="Times New Roman" w:eastAsia="仿宋"/>
                <w:sz w:val="21"/>
                <w:szCs w:val="21"/>
              </w:rPr>
            </w:pPr>
            <w:r>
              <w:rPr>
                <w:rFonts w:hint="eastAsia" w:ascii="Times New Roman" w:eastAsia="仿宋"/>
                <w:sz w:val="21"/>
                <w:szCs w:val="21"/>
              </w:rPr>
              <w:t>21.2</w:t>
            </w:r>
          </w:p>
        </w:tc>
        <w:tc>
          <w:tcPr>
            <w:tcW w:w="906" w:type="dxa"/>
            <w:vMerge w:val="restart"/>
            <w:vAlign w:val="center"/>
          </w:tcPr>
          <w:p w14:paraId="1066CDDF">
            <w:pPr>
              <w:jc w:val="center"/>
              <w:rPr>
                <w:rFonts w:ascii="Times New Roman" w:eastAsia="仿宋"/>
                <w:sz w:val="21"/>
                <w:szCs w:val="21"/>
              </w:rPr>
            </w:pPr>
            <w:r>
              <w:rPr>
                <w:rFonts w:hint="eastAsia" w:ascii="Times New Roman" w:eastAsia="仿宋"/>
                <w:sz w:val="21"/>
                <w:szCs w:val="21"/>
              </w:rPr>
              <w:t>62.9</w:t>
            </w:r>
          </w:p>
        </w:tc>
        <w:tc>
          <w:tcPr>
            <w:tcW w:w="720" w:type="dxa"/>
            <w:vMerge w:val="restart"/>
            <w:vAlign w:val="center"/>
          </w:tcPr>
          <w:p w14:paraId="6AF0FBBA">
            <w:pPr>
              <w:jc w:val="center"/>
              <w:rPr>
                <w:rFonts w:ascii="Times New Roman" w:eastAsia="仿宋"/>
                <w:sz w:val="21"/>
                <w:szCs w:val="21"/>
              </w:rPr>
            </w:pPr>
            <w:r>
              <w:rPr>
                <w:rFonts w:hint="eastAsia" w:ascii="Times New Roman" w:eastAsia="仿宋"/>
                <w:sz w:val="21"/>
                <w:szCs w:val="21"/>
              </w:rPr>
              <w:t>9</w:t>
            </w:r>
            <w:r>
              <w:rPr>
                <w:rFonts w:ascii="Times New Roman" w:eastAsia="仿宋"/>
                <w:sz w:val="21"/>
                <w:szCs w:val="21"/>
              </w:rPr>
              <w:t>64.7</w:t>
            </w:r>
          </w:p>
        </w:tc>
        <w:tc>
          <w:tcPr>
            <w:tcW w:w="855" w:type="dxa"/>
            <w:vMerge w:val="restart"/>
            <w:vAlign w:val="center"/>
          </w:tcPr>
          <w:p w14:paraId="46054002">
            <w:pPr>
              <w:jc w:val="center"/>
              <w:rPr>
                <w:rFonts w:ascii="Times New Roman" w:eastAsia="仿宋"/>
                <w:sz w:val="21"/>
                <w:szCs w:val="21"/>
              </w:rPr>
            </w:pPr>
            <w:r>
              <w:rPr>
                <w:rFonts w:hint="eastAsia" w:ascii="Times New Roman" w:eastAsia="仿宋"/>
                <w:sz w:val="21"/>
                <w:szCs w:val="21"/>
              </w:rPr>
              <w:t>6</w:t>
            </w:r>
            <w:r>
              <w:rPr>
                <w:rFonts w:ascii="Times New Roman" w:eastAsia="仿宋"/>
                <w:sz w:val="21"/>
                <w:szCs w:val="21"/>
              </w:rPr>
              <w:t>06.8</w:t>
            </w:r>
          </w:p>
        </w:tc>
        <w:tc>
          <w:tcPr>
            <w:tcW w:w="854" w:type="dxa"/>
            <w:vMerge w:val="restart"/>
            <w:noWrap/>
            <w:vAlign w:val="center"/>
          </w:tcPr>
          <w:p w14:paraId="02AB158D">
            <w:pPr>
              <w:jc w:val="center"/>
              <w:rPr>
                <w:rFonts w:ascii="Times New Roman" w:eastAsia="仿宋"/>
                <w:sz w:val="21"/>
                <w:szCs w:val="21"/>
              </w:rPr>
            </w:pPr>
            <w:r>
              <w:rPr>
                <w:rFonts w:hint="eastAsia" w:ascii="Times New Roman" w:eastAsia="仿宋"/>
                <w:sz w:val="21"/>
                <w:szCs w:val="21"/>
              </w:rPr>
              <w:t>657</w:t>
            </w:r>
          </w:p>
        </w:tc>
        <w:tc>
          <w:tcPr>
            <w:tcW w:w="617" w:type="dxa"/>
            <w:noWrap/>
            <w:vAlign w:val="center"/>
          </w:tcPr>
          <w:p w14:paraId="00D3E6D7">
            <w:pPr>
              <w:jc w:val="center"/>
              <w:rPr>
                <w:rFonts w:ascii="Times New Roman" w:eastAsia="仿宋"/>
                <w:sz w:val="21"/>
                <w:szCs w:val="21"/>
              </w:rPr>
            </w:pPr>
            <w:r>
              <w:rPr>
                <w:rFonts w:hint="eastAsia" w:ascii="Times New Roman" w:eastAsia="仿宋"/>
                <w:sz w:val="21"/>
                <w:szCs w:val="21"/>
              </w:rPr>
              <w:t>680</w:t>
            </w:r>
          </w:p>
        </w:tc>
        <w:tc>
          <w:tcPr>
            <w:tcW w:w="1349" w:type="dxa"/>
            <w:vAlign w:val="center"/>
          </w:tcPr>
          <w:p w14:paraId="0DDE3718">
            <w:pPr>
              <w:jc w:val="center"/>
              <w:rPr>
                <w:rFonts w:ascii="Times New Roman" w:eastAsia="仿宋"/>
                <w:sz w:val="21"/>
                <w:szCs w:val="21"/>
              </w:rPr>
            </w:pPr>
            <w:r>
              <w:rPr>
                <w:rFonts w:hint="eastAsia" w:ascii="Times New Roman" w:eastAsia="仿宋"/>
                <w:sz w:val="21"/>
                <w:szCs w:val="21"/>
              </w:rPr>
              <w:t>GB24409-2020中车辆用零部件涂料中金属件用涂料色漆标准</w:t>
            </w:r>
          </w:p>
        </w:tc>
      </w:tr>
      <w:tr w14:paraId="2678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0" w:type="dxa"/>
            <w:vMerge w:val="continue"/>
            <w:vAlign w:val="center"/>
          </w:tcPr>
          <w:p w14:paraId="318275D8">
            <w:pPr>
              <w:jc w:val="center"/>
              <w:rPr>
                <w:rFonts w:ascii="Times New Roman" w:eastAsia="仿宋"/>
                <w:sz w:val="21"/>
                <w:szCs w:val="21"/>
              </w:rPr>
            </w:pPr>
          </w:p>
        </w:tc>
        <w:tc>
          <w:tcPr>
            <w:tcW w:w="420" w:type="dxa"/>
            <w:vMerge w:val="continue"/>
            <w:vAlign w:val="center"/>
          </w:tcPr>
          <w:p w14:paraId="14D0BFA1">
            <w:pPr>
              <w:jc w:val="center"/>
              <w:rPr>
                <w:rFonts w:ascii="Times New Roman" w:eastAsia="仿宋"/>
                <w:sz w:val="21"/>
                <w:szCs w:val="21"/>
              </w:rPr>
            </w:pPr>
          </w:p>
        </w:tc>
        <w:tc>
          <w:tcPr>
            <w:tcW w:w="420" w:type="dxa"/>
            <w:vMerge w:val="restart"/>
            <w:vAlign w:val="center"/>
          </w:tcPr>
          <w:p w14:paraId="5E218199">
            <w:pPr>
              <w:widowControl/>
              <w:adjustRightInd w:val="0"/>
              <w:snapToGrid w:val="0"/>
              <w:ind w:left="-120" w:leftChars="-50" w:right="-120" w:rightChars="-50"/>
              <w:jc w:val="center"/>
              <w:rPr>
                <w:rFonts w:ascii="Times New Roman" w:eastAsia="仿宋"/>
                <w:sz w:val="21"/>
                <w:szCs w:val="21"/>
              </w:rPr>
            </w:pPr>
            <w:r>
              <w:rPr>
                <w:rFonts w:ascii="Times New Roman" w:eastAsia="仿宋"/>
                <w:sz w:val="21"/>
                <w:szCs w:val="21"/>
                <w:lang w:bidi="ar"/>
              </w:rPr>
              <w:t>稀释剂</w:t>
            </w:r>
          </w:p>
        </w:tc>
        <w:tc>
          <w:tcPr>
            <w:tcW w:w="420" w:type="dxa"/>
            <w:vMerge w:val="restart"/>
            <w:vAlign w:val="center"/>
          </w:tcPr>
          <w:p w14:paraId="04C8771B">
            <w:pPr>
              <w:adjustRightInd w:val="0"/>
              <w:ind w:left="-50" w:right="-50"/>
              <w:jc w:val="center"/>
              <w:rPr>
                <w:rFonts w:ascii="Times New Roman" w:eastAsia="仿宋"/>
                <w:sz w:val="21"/>
                <w:szCs w:val="21"/>
              </w:rPr>
            </w:pPr>
            <w:r>
              <w:rPr>
                <w:rFonts w:hint="eastAsia" w:ascii="Times New Roman" w:eastAsia="仿宋"/>
                <w:sz w:val="21"/>
                <w:szCs w:val="21"/>
              </w:rPr>
              <w:t>1</w:t>
            </w:r>
          </w:p>
        </w:tc>
        <w:tc>
          <w:tcPr>
            <w:tcW w:w="892" w:type="dxa"/>
            <w:vMerge w:val="restart"/>
            <w:vAlign w:val="center"/>
          </w:tcPr>
          <w:p w14:paraId="64312525">
            <w:pPr>
              <w:adjustRightInd w:val="0"/>
              <w:ind w:left="-50" w:right="-50"/>
              <w:jc w:val="center"/>
              <w:rPr>
                <w:rFonts w:ascii="Times New Roman" w:eastAsia="仿宋"/>
                <w:sz w:val="21"/>
                <w:szCs w:val="21"/>
              </w:rPr>
            </w:pPr>
            <w:r>
              <w:rPr>
                <w:rFonts w:hint="eastAsia" w:ascii="Times New Roman" w:eastAsia="仿宋"/>
                <w:sz w:val="21"/>
                <w:szCs w:val="21"/>
              </w:rPr>
              <w:t>19.1</w:t>
            </w:r>
          </w:p>
        </w:tc>
        <w:tc>
          <w:tcPr>
            <w:tcW w:w="889" w:type="dxa"/>
            <w:vMerge w:val="restart"/>
            <w:vAlign w:val="center"/>
          </w:tcPr>
          <w:p w14:paraId="26B571C6">
            <w:pPr>
              <w:adjustRightInd w:val="0"/>
              <w:ind w:left="-50" w:right="-50"/>
              <w:jc w:val="center"/>
              <w:rPr>
                <w:rFonts w:ascii="Times New Roman" w:eastAsia="仿宋"/>
                <w:sz w:val="21"/>
                <w:szCs w:val="21"/>
              </w:rPr>
            </w:pPr>
            <w:r>
              <w:rPr>
                <w:rFonts w:hint="eastAsia" w:ascii="Times New Roman" w:eastAsia="仿宋"/>
                <w:sz w:val="21"/>
                <w:szCs w:val="21"/>
              </w:rPr>
              <w:t>8</w:t>
            </w:r>
            <w:r>
              <w:rPr>
                <w:rFonts w:ascii="Times New Roman" w:eastAsia="仿宋"/>
                <w:sz w:val="21"/>
                <w:szCs w:val="21"/>
              </w:rPr>
              <w:t>30</w:t>
            </w:r>
          </w:p>
        </w:tc>
        <w:tc>
          <w:tcPr>
            <w:tcW w:w="2952" w:type="dxa"/>
            <w:gridSpan w:val="3"/>
            <w:vMerge w:val="restart"/>
            <w:vAlign w:val="center"/>
          </w:tcPr>
          <w:p w14:paraId="203B7217">
            <w:pPr>
              <w:adjustRightInd w:val="0"/>
              <w:snapToGrid w:val="0"/>
              <w:jc w:val="center"/>
              <w:rPr>
                <w:rFonts w:ascii="Times New Roman" w:eastAsia="仿宋"/>
                <w:sz w:val="21"/>
                <w:szCs w:val="21"/>
              </w:rPr>
            </w:pPr>
            <w:r>
              <w:rPr>
                <w:rFonts w:hint="eastAsia" w:ascii="Times New Roman" w:eastAsia="仿宋"/>
                <w:sz w:val="21"/>
                <w:szCs w:val="21"/>
              </w:rPr>
              <w:t>100</w:t>
            </w:r>
          </w:p>
        </w:tc>
        <w:tc>
          <w:tcPr>
            <w:tcW w:w="795" w:type="dxa"/>
            <w:vMerge w:val="restart"/>
            <w:vAlign w:val="center"/>
          </w:tcPr>
          <w:p w14:paraId="0BA22726">
            <w:pPr>
              <w:adjustRightInd w:val="0"/>
              <w:ind w:left="-50" w:right="-50"/>
              <w:jc w:val="center"/>
              <w:rPr>
                <w:rFonts w:ascii="Times New Roman" w:eastAsia="仿宋"/>
                <w:sz w:val="21"/>
                <w:szCs w:val="21"/>
              </w:rPr>
            </w:pPr>
            <w:r>
              <w:rPr>
                <w:rFonts w:ascii="Times New Roman" w:eastAsia="仿宋"/>
                <w:sz w:val="21"/>
                <w:szCs w:val="21"/>
                <w:lang w:bidi="ar"/>
              </w:rPr>
              <w:t>0</w:t>
            </w:r>
          </w:p>
        </w:tc>
        <w:tc>
          <w:tcPr>
            <w:tcW w:w="953" w:type="dxa"/>
            <w:vMerge w:val="restart"/>
            <w:vAlign w:val="center"/>
          </w:tcPr>
          <w:p w14:paraId="6888A04E">
            <w:pPr>
              <w:adjustRightInd w:val="0"/>
              <w:ind w:left="-50" w:right="-50"/>
              <w:jc w:val="center"/>
              <w:rPr>
                <w:rFonts w:ascii="Times New Roman" w:eastAsia="仿宋"/>
                <w:sz w:val="21"/>
                <w:szCs w:val="21"/>
              </w:rPr>
            </w:pPr>
            <w:r>
              <w:rPr>
                <w:rFonts w:hint="eastAsia" w:ascii="Times New Roman" w:eastAsia="仿宋"/>
                <w:sz w:val="21"/>
                <w:szCs w:val="21"/>
              </w:rPr>
              <w:t>19.1</w:t>
            </w:r>
          </w:p>
        </w:tc>
        <w:tc>
          <w:tcPr>
            <w:tcW w:w="906" w:type="dxa"/>
            <w:vMerge w:val="continue"/>
            <w:vAlign w:val="center"/>
          </w:tcPr>
          <w:p w14:paraId="3066E6BD">
            <w:pPr>
              <w:jc w:val="center"/>
              <w:rPr>
                <w:rFonts w:ascii="Times New Roman" w:eastAsia="仿宋"/>
                <w:sz w:val="21"/>
                <w:szCs w:val="21"/>
              </w:rPr>
            </w:pPr>
          </w:p>
        </w:tc>
        <w:tc>
          <w:tcPr>
            <w:tcW w:w="720" w:type="dxa"/>
            <w:vMerge w:val="continue"/>
            <w:vAlign w:val="center"/>
          </w:tcPr>
          <w:p w14:paraId="01481679">
            <w:pPr>
              <w:jc w:val="center"/>
              <w:rPr>
                <w:rFonts w:ascii="Times New Roman" w:eastAsia="仿宋"/>
                <w:sz w:val="21"/>
                <w:szCs w:val="21"/>
              </w:rPr>
            </w:pPr>
          </w:p>
        </w:tc>
        <w:tc>
          <w:tcPr>
            <w:tcW w:w="855" w:type="dxa"/>
            <w:vMerge w:val="continue"/>
            <w:vAlign w:val="center"/>
          </w:tcPr>
          <w:p w14:paraId="2F737772">
            <w:pPr>
              <w:jc w:val="center"/>
              <w:rPr>
                <w:rFonts w:ascii="Times New Roman" w:eastAsia="仿宋"/>
                <w:sz w:val="21"/>
                <w:szCs w:val="21"/>
              </w:rPr>
            </w:pPr>
          </w:p>
        </w:tc>
        <w:tc>
          <w:tcPr>
            <w:tcW w:w="854" w:type="dxa"/>
            <w:vMerge w:val="continue"/>
            <w:noWrap/>
            <w:vAlign w:val="center"/>
          </w:tcPr>
          <w:p w14:paraId="13EFC662">
            <w:pPr>
              <w:jc w:val="center"/>
              <w:rPr>
                <w:rFonts w:ascii="Times New Roman" w:eastAsia="仿宋"/>
                <w:sz w:val="21"/>
                <w:szCs w:val="21"/>
              </w:rPr>
            </w:pPr>
          </w:p>
        </w:tc>
        <w:tc>
          <w:tcPr>
            <w:tcW w:w="617" w:type="dxa"/>
            <w:noWrap/>
            <w:vAlign w:val="center"/>
          </w:tcPr>
          <w:p w14:paraId="1BDF752C">
            <w:pPr>
              <w:jc w:val="center"/>
              <w:rPr>
                <w:rFonts w:ascii="Times New Roman" w:eastAsia="仿宋"/>
                <w:sz w:val="21"/>
                <w:szCs w:val="21"/>
              </w:rPr>
            </w:pPr>
            <w:r>
              <w:rPr>
                <w:rFonts w:hint="eastAsia" w:ascii="Times New Roman" w:eastAsia="仿宋"/>
                <w:sz w:val="21"/>
                <w:szCs w:val="21"/>
              </w:rPr>
              <w:t>690</w:t>
            </w:r>
          </w:p>
        </w:tc>
        <w:tc>
          <w:tcPr>
            <w:tcW w:w="1349" w:type="dxa"/>
            <w:vAlign w:val="center"/>
          </w:tcPr>
          <w:p w14:paraId="0168A182">
            <w:pPr>
              <w:jc w:val="center"/>
              <w:rPr>
                <w:rFonts w:ascii="Times New Roman" w:eastAsia="仿宋"/>
                <w:sz w:val="21"/>
                <w:szCs w:val="21"/>
              </w:rPr>
            </w:pPr>
            <w:r>
              <w:rPr>
                <w:rFonts w:hint="eastAsia" w:ascii="Times New Roman" w:eastAsia="仿宋"/>
                <w:sz w:val="21"/>
                <w:szCs w:val="21"/>
              </w:rPr>
              <w:t>GB32/T3500-2019中整车涂料中面漆标准</w:t>
            </w:r>
          </w:p>
        </w:tc>
      </w:tr>
      <w:tr w14:paraId="4AED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0" w:type="dxa"/>
            <w:vMerge w:val="continue"/>
            <w:vAlign w:val="center"/>
          </w:tcPr>
          <w:p w14:paraId="4F6912FE">
            <w:pPr>
              <w:jc w:val="center"/>
            </w:pPr>
          </w:p>
        </w:tc>
        <w:tc>
          <w:tcPr>
            <w:tcW w:w="420" w:type="dxa"/>
            <w:vMerge w:val="continue"/>
            <w:vAlign w:val="center"/>
          </w:tcPr>
          <w:p w14:paraId="651CCE39">
            <w:pPr>
              <w:jc w:val="center"/>
            </w:pPr>
          </w:p>
        </w:tc>
        <w:tc>
          <w:tcPr>
            <w:tcW w:w="420" w:type="dxa"/>
            <w:vMerge w:val="continue"/>
            <w:vAlign w:val="center"/>
          </w:tcPr>
          <w:p w14:paraId="7CC7884C">
            <w:pPr>
              <w:jc w:val="center"/>
            </w:pPr>
          </w:p>
        </w:tc>
        <w:tc>
          <w:tcPr>
            <w:tcW w:w="420" w:type="dxa"/>
            <w:vMerge w:val="continue"/>
            <w:vAlign w:val="center"/>
          </w:tcPr>
          <w:p w14:paraId="7DF0851F">
            <w:pPr>
              <w:jc w:val="center"/>
            </w:pPr>
          </w:p>
        </w:tc>
        <w:tc>
          <w:tcPr>
            <w:tcW w:w="892" w:type="dxa"/>
            <w:vMerge w:val="continue"/>
            <w:vAlign w:val="center"/>
          </w:tcPr>
          <w:p w14:paraId="0612C2E1">
            <w:pPr>
              <w:jc w:val="center"/>
            </w:pPr>
          </w:p>
        </w:tc>
        <w:tc>
          <w:tcPr>
            <w:tcW w:w="889" w:type="dxa"/>
            <w:vMerge w:val="continue"/>
            <w:vAlign w:val="center"/>
          </w:tcPr>
          <w:p w14:paraId="46C270BC">
            <w:pPr>
              <w:jc w:val="center"/>
            </w:pPr>
          </w:p>
        </w:tc>
        <w:tc>
          <w:tcPr>
            <w:tcW w:w="2952" w:type="dxa"/>
            <w:gridSpan w:val="3"/>
            <w:vMerge w:val="continue"/>
            <w:vAlign w:val="center"/>
          </w:tcPr>
          <w:p w14:paraId="73F530BA">
            <w:pPr>
              <w:jc w:val="center"/>
            </w:pPr>
          </w:p>
        </w:tc>
        <w:tc>
          <w:tcPr>
            <w:tcW w:w="795" w:type="dxa"/>
            <w:vMerge w:val="continue"/>
            <w:vAlign w:val="center"/>
          </w:tcPr>
          <w:p w14:paraId="32D69F25">
            <w:pPr>
              <w:jc w:val="center"/>
            </w:pPr>
          </w:p>
        </w:tc>
        <w:tc>
          <w:tcPr>
            <w:tcW w:w="953" w:type="dxa"/>
            <w:vMerge w:val="continue"/>
            <w:vAlign w:val="center"/>
          </w:tcPr>
          <w:p w14:paraId="3E1060FF">
            <w:pPr>
              <w:jc w:val="center"/>
            </w:pPr>
          </w:p>
        </w:tc>
        <w:tc>
          <w:tcPr>
            <w:tcW w:w="906" w:type="dxa"/>
            <w:vMerge w:val="continue"/>
            <w:vAlign w:val="center"/>
          </w:tcPr>
          <w:p w14:paraId="51B4183A">
            <w:pPr>
              <w:jc w:val="center"/>
            </w:pPr>
          </w:p>
        </w:tc>
        <w:tc>
          <w:tcPr>
            <w:tcW w:w="720" w:type="dxa"/>
            <w:vMerge w:val="continue"/>
            <w:vAlign w:val="center"/>
          </w:tcPr>
          <w:p w14:paraId="19CCFF58">
            <w:pPr>
              <w:jc w:val="center"/>
            </w:pPr>
          </w:p>
        </w:tc>
        <w:tc>
          <w:tcPr>
            <w:tcW w:w="855" w:type="dxa"/>
            <w:vMerge w:val="continue"/>
            <w:vAlign w:val="center"/>
          </w:tcPr>
          <w:p w14:paraId="118D666A">
            <w:pPr>
              <w:jc w:val="center"/>
            </w:pPr>
          </w:p>
        </w:tc>
        <w:tc>
          <w:tcPr>
            <w:tcW w:w="854" w:type="dxa"/>
            <w:vMerge w:val="continue"/>
            <w:noWrap/>
            <w:vAlign w:val="center"/>
          </w:tcPr>
          <w:p w14:paraId="213D8A5F">
            <w:pPr>
              <w:jc w:val="center"/>
            </w:pPr>
          </w:p>
        </w:tc>
        <w:tc>
          <w:tcPr>
            <w:tcW w:w="617" w:type="dxa"/>
            <w:noWrap/>
            <w:vAlign w:val="center"/>
          </w:tcPr>
          <w:p w14:paraId="640B48E5">
            <w:pPr>
              <w:jc w:val="center"/>
              <w:rPr>
                <w:rFonts w:ascii="Times New Roman" w:eastAsia="仿宋"/>
                <w:sz w:val="21"/>
                <w:szCs w:val="21"/>
              </w:rPr>
            </w:pPr>
            <w:r>
              <w:rPr>
                <w:rFonts w:hint="eastAsia" w:ascii="Times New Roman" w:eastAsia="仿宋"/>
                <w:sz w:val="21"/>
                <w:szCs w:val="21"/>
              </w:rPr>
              <w:t>780</w:t>
            </w:r>
          </w:p>
        </w:tc>
        <w:tc>
          <w:tcPr>
            <w:tcW w:w="1349" w:type="dxa"/>
            <w:vAlign w:val="center"/>
          </w:tcPr>
          <w:p w14:paraId="04309105">
            <w:pPr>
              <w:jc w:val="center"/>
              <w:rPr>
                <w:rFonts w:ascii="Times New Roman" w:eastAsia="仿宋"/>
                <w:sz w:val="21"/>
                <w:szCs w:val="21"/>
              </w:rPr>
            </w:pPr>
            <w:r>
              <w:rPr>
                <w:rFonts w:hint="eastAsia" w:ascii="Times New Roman" w:eastAsia="仿宋"/>
                <w:sz w:val="21"/>
                <w:szCs w:val="21"/>
              </w:rPr>
              <w:t>GB 30981-2020中氟树脂涂料标准</w:t>
            </w:r>
          </w:p>
        </w:tc>
      </w:tr>
    </w:tbl>
    <w:p w14:paraId="187892EF">
      <w:pPr>
        <w:keepNext/>
        <w:keepLines/>
        <w:spacing w:line="500" w:lineRule="exact"/>
        <w:ind w:firstLine="560" w:firstLineChars="200"/>
        <w:rPr>
          <w:rFonts w:ascii="Times New Roman" w:hAnsi="仿宋" w:eastAsia="仿宋"/>
          <w:bCs/>
          <w:kern w:val="2"/>
          <w:sz w:val="28"/>
          <w:szCs w:val="28"/>
          <w:lang w:bidi="ar"/>
        </w:rPr>
        <w:sectPr>
          <w:pgSz w:w="16840" w:h="11907" w:orient="landscape"/>
          <w:pgMar w:top="1440" w:right="1797" w:bottom="1440" w:left="1797" w:header="851" w:footer="992" w:gutter="0"/>
          <w:cols w:space="720" w:num="1"/>
          <w:docGrid w:linePitch="326" w:charSpace="0"/>
        </w:sectPr>
      </w:pPr>
      <w:r>
        <w:rPr>
          <w:rFonts w:ascii="Times New Roman" w:eastAsia="仿宋"/>
          <w:bCs/>
          <w:sz w:val="28"/>
        </w:rPr>
        <w:t>本项目</w:t>
      </w:r>
      <w:r>
        <w:rPr>
          <w:rFonts w:hint="eastAsia" w:ascii="Times New Roman" w:eastAsia="仿宋"/>
          <w:bCs/>
          <w:sz w:val="28"/>
        </w:rPr>
        <w:t>使用的溶剂型氟碳底漆、氟碳面漆</w:t>
      </w:r>
      <w:r>
        <w:rPr>
          <w:rFonts w:hint="eastAsia" w:ascii="Times New Roman" w:hAnsi="仿宋" w:eastAsia="仿宋"/>
          <w:kern w:val="2"/>
          <w:sz w:val="28"/>
          <w:szCs w:val="28"/>
          <w:lang w:bidi="ar"/>
        </w:rPr>
        <w:t>中</w:t>
      </w:r>
      <w:r>
        <w:rPr>
          <w:rFonts w:ascii="Times New Roman" w:hAnsi="仿宋" w:eastAsia="仿宋"/>
          <w:kern w:val="2"/>
          <w:sz w:val="28"/>
          <w:szCs w:val="28"/>
          <w:lang w:bidi="ar"/>
        </w:rPr>
        <w:t>VOCs</w:t>
      </w:r>
      <w:r>
        <w:rPr>
          <w:rFonts w:hint="eastAsia" w:ascii="Times New Roman" w:hAnsi="仿宋" w:eastAsia="仿宋"/>
          <w:kern w:val="2"/>
          <w:sz w:val="28"/>
          <w:szCs w:val="28"/>
          <w:lang w:bidi="ar"/>
        </w:rPr>
        <w:t>含量均符合《涂料中挥发性有机物限量》（</w:t>
      </w:r>
      <w:r>
        <w:rPr>
          <w:rFonts w:ascii="Times New Roman" w:hAnsi="仿宋" w:eastAsia="仿宋"/>
          <w:kern w:val="2"/>
          <w:sz w:val="28"/>
          <w:szCs w:val="28"/>
          <w:lang w:bidi="ar"/>
        </w:rPr>
        <w:t>DB32/T 3500</w:t>
      </w:r>
      <w:r>
        <w:rPr>
          <w:rFonts w:hint="eastAsia" w:ascii="Times New Roman" w:hAnsi="仿宋" w:eastAsia="仿宋"/>
          <w:kern w:val="2"/>
          <w:sz w:val="28"/>
          <w:szCs w:val="28"/>
          <w:lang w:bidi="ar"/>
        </w:rPr>
        <w:t>—</w:t>
      </w:r>
      <w:r>
        <w:rPr>
          <w:rFonts w:ascii="Times New Roman" w:hAnsi="仿宋" w:eastAsia="仿宋"/>
          <w:kern w:val="2"/>
          <w:sz w:val="28"/>
          <w:szCs w:val="28"/>
          <w:lang w:bidi="ar"/>
        </w:rPr>
        <w:t>2019</w:t>
      </w:r>
      <w:r>
        <w:rPr>
          <w:rFonts w:hint="eastAsia" w:ascii="Times New Roman" w:hAnsi="仿宋" w:eastAsia="仿宋"/>
          <w:kern w:val="2"/>
          <w:sz w:val="28"/>
          <w:szCs w:val="28"/>
          <w:lang w:bidi="ar"/>
        </w:rPr>
        <w:t>）、《车辆涂料中有害物质限量》（</w:t>
      </w:r>
      <w:r>
        <w:rPr>
          <w:rFonts w:ascii="Times New Roman" w:hAnsi="仿宋" w:eastAsia="仿宋"/>
          <w:kern w:val="2"/>
          <w:sz w:val="28"/>
          <w:szCs w:val="28"/>
          <w:lang w:bidi="ar"/>
        </w:rPr>
        <w:t>GB 24409-2020</w:t>
      </w:r>
      <w:r>
        <w:rPr>
          <w:rFonts w:hint="eastAsia" w:ascii="Times New Roman" w:hAnsi="仿宋" w:eastAsia="仿宋"/>
          <w:kern w:val="2"/>
          <w:sz w:val="28"/>
          <w:szCs w:val="28"/>
          <w:lang w:bidi="ar"/>
        </w:rPr>
        <w:t>）、《工业防护涂料中有害物质限量》（</w:t>
      </w:r>
      <w:r>
        <w:rPr>
          <w:rFonts w:ascii="Times New Roman" w:hAnsi="仿宋" w:eastAsia="仿宋"/>
          <w:kern w:val="2"/>
          <w:sz w:val="28"/>
          <w:szCs w:val="28"/>
          <w:lang w:bidi="ar"/>
        </w:rPr>
        <w:t>GB30981-2020</w:t>
      </w:r>
      <w:r>
        <w:rPr>
          <w:rFonts w:hint="eastAsia" w:ascii="Times New Roman" w:hAnsi="仿宋" w:eastAsia="仿宋"/>
          <w:kern w:val="2"/>
          <w:sz w:val="28"/>
          <w:szCs w:val="28"/>
          <w:lang w:bidi="ar"/>
        </w:rPr>
        <w:t>）中相关要求限值，并且</w:t>
      </w:r>
      <w:r>
        <w:rPr>
          <w:rFonts w:hint="eastAsia" w:ascii="Times New Roman" w:eastAsia="仿宋"/>
          <w:bCs/>
          <w:sz w:val="28"/>
        </w:rPr>
        <w:t>已取得不可替代论证专家意见</w:t>
      </w:r>
      <w:r>
        <w:rPr>
          <w:rFonts w:hint="eastAsia" w:ascii="Times New Roman" w:hAnsi="仿宋" w:eastAsia="仿宋"/>
          <w:bCs/>
          <w:kern w:val="2"/>
          <w:sz w:val="28"/>
          <w:szCs w:val="28"/>
          <w:lang w:bidi="ar"/>
        </w:rPr>
        <w:t>。</w:t>
      </w:r>
    </w:p>
    <w:p w14:paraId="7454AF80">
      <w:pPr>
        <w:pStyle w:val="7"/>
        <w:spacing w:before="120"/>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.6.2原辅料理化性质</w:t>
      </w:r>
    </w:p>
    <w:p w14:paraId="5E08F435">
      <w:pPr>
        <w:spacing w:line="500" w:lineRule="exact"/>
        <w:ind w:firstLine="840" w:firstLineChars="300"/>
        <w:rPr>
          <w:rFonts w:ascii="Times New Roman" w:eastAsia="仿宋"/>
          <w:sz w:val="28"/>
          <w:szCs w:val="28"/>
        </w:rPr>
      </w:pPr>
      <w:r>
        <w:rPr>
          <w:rFonts w:ascii="Times New Roman" w:eastAsia="仿宋"/>
          <w:sz w:val="28"/>
          <w:szCs w:val="28"/>
        </w:rPr>
        <w:t>原辅材料理化性质、毒性毒理、燃烧爆炸性见表3.1-11。</w:t>
      </w:r>
    </w:p>
    <w:p w14:paraId="5B558E73">
      <w:pPr>
        <w:spacing w:line="500" w:lineRule="exact"/>
        <w:jc w:val="center"/>
        <w:rPr>
          <w:rFonts w:ascii="Times New Roman" w:eastAsia="仿宋"/>
          <w:b/>
        </w:rPr>
      </w:pPr>
      <w:r>
        <w:rPr>
          <w:rFonts w:ascii="Times New Roman" w:eastAsia="仿宋"/>
          <w:b/>
        </w:rPr>
        <w:t>表3.1-11  原辅材料理化性质、毒性毒理、燃烧爆炸性一览表</w:t>
      </w:r>
    </w:p>
    <w:tbl>
      <w:tblPr>
        <w:tblStyle w:val="88"/>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830"/>
        <w:gridCol w:w="1701"/>
        <w:gridCol w:w="2217"/>
      </w:tblGrid>
      <w:tr w14:paraId="32D3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4C2B8A23">
            <w:pPr>
              <w:jc w:val="center"/>
              <w:rPr>
                <w:rFonts w:ascii="Times New Roman" w:eastAsia="仿宋"/>
                <w:sz w:val="21"/>
                <w:szCs w:val="21"/>
              </w:rPr>
            </w:pPr>
            <w:r>
              <w:rPr>
                <w:rFonts w:ascii="Times New Roman" w:eastAsia="仿宋"/>
                <w:sz w:val="21"/>
                <w:szCs w:val="21"/>
              </w:rPr>
              <w:t>名称</w:t>
            </w:r>
            <w:r>
              <w:rPr>
                <w:rFonts w:hint="eastAsia" w:ascii="Times New Roman" w:eastAsia="仿宋"/>
                <w:sz w:val="21"/>
                <w:szCs w:val="21"/>
              </w:rPr>
              <w:t>及标识</w:t>
            </w:r>
          </w:p>
        </w:tc>
        <w:tc>
          <w:tcPr>
            <w:tcW w:w="2830" w:type="dxa"/>
            <w:vAlign w:val="center"/>
          </w:tcPr>
          <w:p w14:paraId="3F7CE89C">
            <w:pPr>
              <w:jc w:val="center"/>
              <w:rPr>
                <w:rFonts w:ascii="Times New Roman" w:eastAsia="仿宋"/>
                <w:sz w:val="21"/>
                <w:szCs w:val="21"/>
              </w:rPr>
            </w:pPr>
            <w:r>
              <w:rPr>
                <w:rFonts w:ascii="Times New Roman" w:eastAsia="仿宋"/>
                <w:sz w:val="21"/>
                <w:szCs w:val="21"/>
              </w:rPr>
              <w:t>理化特性</w:t>
            </w:r>
          </w:p>
        </w:tc>
        <w:tc>
          <w:tcPr>
            <w:tcW w:w="1701" w:type="dxa"/>
            <w:vAlign w:val="center"/>
          </w:tcPr>
          <w:p w14:paraId="662BD598">
            <w:pPr>
              <w:jc w:val="center"/>
              <w:rPr>
                <w:rFonts w:ascii="Times New Roman" w:eastAsia="仿宋"/>
                <w:sz w:val="21"/>
                <w:szCs w:val="21"/>
              </w:rPr>
            </w:pPr>
            <w:r>
              <w:rPr>
                <w:rFonts w:ascii="Times New Roman" w:eastAsia="仿宋"/>
                <w:sz w:val="21"/>
                <w:szCs w:val="21"/>
              </w:rPr>
              <w:t>毒性毒理</w:t>
            </w:r>
          </w:p>
        </w:tc>
        <w:tc>
          <w:tcPr>
            <w:tcW w:w="2217" w:type="dxa"/>
            <w:vAlign w:val="center"/>
          </w:tcPr>
          <w:p w14:paraId="68340F10">
            <w:pPr>
              <w:jc w:val="center"/>
              <w:rPr>
                <w:rFonts w:ascii="Times New Roman" w:eastAsia="仿宋"/>
                <w:sz w:val="21"/>
                <w:szCs w:val="21"/>
              </w:rPr>
            </w:pPr>
            <w:r>
              <w:rPr>
                <w:rFonts w:ascii="Times New Roman" w:eastAsia="仿宋"/>
                <w:sz w:val="21"/>
                <w:szCs w:val="21"/>
              </w:rPr>
              <w:t>燃烧爆炸性</w:t>
            </w:r>
          </w:p>
        </w:tc>
      </w:tr>
      <w:tr w14:paraId="4696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318FE6A3">
            <w:pPr>
              <w:snapToGrid w:val="0"/>
              <w:rPr>
                <w:rFonts w:ascii="Times New Roman" w:eastAsia="仿宋"/>
                <w:kern w:val="2"/>
                <w:sz w:val="21"/>
                <w:szCs w:val="21"/>
              </w:rPr>
            </w:pPr>
            <w:r>
              <w:rPr>
                <w:rFonts w:hint="eastAsia" w:ascii="Times New Roman" w:eastAsia="仿宋"/>
                <w:kern w:val="2"/>
                <w:sz w:val="21"/>
                <w:szCs w:val="21"/>
              </w:rPr>
              <w:t>名称：丙烯酸树脂</w:t>
            </w:r>
          </w:p>
          <w:p w14:paraId="6C6CE2C4">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3</w:t>
            </w:r>
            <w:r>
              <w:rPr>
                <w:rFonts w:ascii="Times New Roman" w:eastAsia="仿宋"/>
                <w:kern w:val="2"/>
                <w:sz w:val="21"/>
                <w:szCs w:val="21"/>
              </w:rPr>
              <w:t>H</w:t>
            </w:r>
            <w:r>
              <w:rPr>
                <w:rFonts w:ascii="Times New Roman" w:eastAsia="仿宋"/>
                <w:kern w:val="2"/>
                <w:sz w:val="21"/>
                <w:szCs w:val="21"/>
                <w:vertAlign w:val="subscript"/>
              </w:rPr>
              <w:t>4</w:t>
            </w:r>
            <w:r>
              <w:rPr>
                <w:rFonts w:ascii="Times New Roman" w:eastAsia="仿宋"/>
                <w:kern w:val="2"/>
                <w:sz w:val="21"/>
                <w:szCs w:val="21"/>
              </w:rPr>
              <w:t>O</w:t>
            </w:r>
            <w:r>
              <w:rPr>
                <w:rFonts w:ascii="Times New Roman" w:eastAsia="仿宋"/>
                <w:kern w:val="2"/>
                <w:sz w:val="21"/>
                <w:szCs w:val="21"/>
                <w:vertAlign w:val="subscript"/>
              </w:rPr>
              <w:t>2</w:t>
            </w:r>
            <w:r>
              <w:rPr>
                <w:rFonts w:ascii="Times New Roman" w:eastAsia="仿宋"/>
                <w:kern w:val="2"/>
                <w:sz w:val="21"/>
                <w:szCs w:val="21"/>
              </w:rPr>
              <w:t>)n</w:t>
            </w:r>
          </w:p>
          <w:p w14:paraId="27B326CE">
            <w:pPr>
              <w:snapToGrid w:val="0"/>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号：9003-01-4</w:t>
            </w:r>
          </w:p>
          <w:p w14:paraId="4021B395">
            <w:pPr>
              <w:pStyle w:val="35"/>
              <w:rPr>
                <w:rFonts w:eastAsia="仿宋"/>
              </w:rPr>
            </w:pPr>
            <w:r>
              <w:rPr>
                <w:rFonts w:hint="eastAsia" w:eastAsia="仿宋"/>
              </w:rPr>
              <w:t>危规号：/</w:t>
            </w:r>
          </w:p>
        </w:tc>
        <w:tc>
          <w:tcPr>
            <w:tcW w:w="2830" w:type="dxa"/>
            <w:vAlign w:val="center"/>
          </w:tcPr>
          <w:p w14:paraId="1B1085CC">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无色黏性液体</w:t>
            </w:r>
          </w:p>
          <w:p w14:paraId="77D89317">
            <w:pPr>
              <w:snapToGrid w:val="0"/>
              <w:rPr>
                <w:rFonts w:ascii="Times New Roman" w:eastAsia="仿宋"/>
                <w:kern w:val="2"/>
                <w:sz w:val="21"/>
                <w:szCs w:val="21"/>
              </w:rPr>
            </w:pPr>
            <w:r>
              <w:rPr>
                <w:rFonts w:ascii="Times New Roman" w:eastAsia="仿宋"/>
                <w:kern w:val="2"/>
                <w:sz w:val="21"/>
                <w:szCs w:val="21"/>
              </w:rPr>
              <w:t>分子量：/</w:t>
            </w:r>
          </w:p>
          <w:p w14:paraId="1DF515EF">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1</w:t>
            </w:r>
            <w:r>
              <w:rPr>
                <w:rFonts w:ascii="Times New Roman" w:eastAsia="仿宋"/>
                <w:kern w:val="2"/>
                <w:sz w:val="21"/>
                <w:szCs w:val="21"/>
              </w:rPr>
              <w:t>06</w:t>
            </w:r>
          </w:p>
          <w:p w14:paraId="15744118">
            <w:pPr>
              <w:snapToGrid w:val="0"/>
              <w:rPr>
                <w:rFonts w:ascii="Times New Roman" w:eastAsia="仿宋"/>
                <w:kern w:val="2"/>
                <w:sz w:val="21"/>
                <w:szCs w:val="21"/>
              </w:rPr>
            </w:pPr>
            <w:r>
              <w:rPr>
                <w:rFonts w:ascii="Times New Roman" w:eastAsia="仿宋"/>
                <w:kern w:val="2"/>
                <w:sz w:val="21"/>
                <w:szCs w:val="21"/>
              </w:rPr>
              <w:t>沸点（℃）：116</w:t>
            </w:r>
          </w:p>
          <w:p w14:paraId="6E9BCA20">
            <w:pPr>
              <w:snapToGrid w:val="0"/>
              <w:rPr>
                <w:rFonts w:ascii="Times New Roman" w:eastAsia="仿宋"/>
                <w:kern w:val="2"/>
                <w:sz w:val="21"/>
                <w:szCs w:val="21"/>
              </w:rPr>
            </w:pPr>
            <w:r>
              <w:rPr>
                <w:rFonts w:ascii="Times New Roman" w:eastAsia="仿宋"/>
                <w:kern w:val="2"/>
                <w:sz w:val="21"/>
                <w:szCs w:val="21"/>
              </w:rPr>
              <w:t>饱和蒸气压（kPa）：/</w:t>
            </w:r>
          </w:p>
          <w:p w14:paraId="69624893">
            <w:pPr>
              <w:snapToGrid w:val="0"/>
              <w:rPr>
                <w:rFonts w:ascii="Times New Roman" w:eastAsia="仿宋"/>
                <w:kern w:val="2"/>
                <w:sz w:val="21"/>
                <w:szCs w:val="21"/>
              </w:rPr>
            </w:pPr>
            <w:r>
              <w:rPr>
                <w:rFonts w:ascii="Times New Roman" w:eastAsia="仿宋"/>
                <w:kern w:val="2"/>
                <w:sz w:val="21"/>
                <w:szCs w:val="21"/>
              </w:rPr>
              <w:t>相对密度（水=1）：1.09</w:t>
            </w:r>
          </w:p>
          <w:p w14:paraId="197D9E88">
            <w:pPr>
              <w:snapToGrid w:val="0"/>
              <w:rPr>
                <w:rFonts w:ascii="Times New Roman" w:eastAsia="仿宋"/>
                <w:kern w:val="2"/>
                <w:sz w:val="21"/>
                <w:szCs w:val="21"/>
              </w:rPr>
            </w:pPr>
            <w:r>
              <w:rPr>
                <w:rFonts w:ascii="Times New Roman" w:eastAsia="仿宋"/>
                <w:kern w:val="2"/>
                <w:sz w:val="21"/>
                <w:szCs w:val="21"/>
              </w:rPr>
              <w:t>相对密度（空气=1）：/</w:t>
            </w:r>
          </w:p>
          <w:p w14:paraId="665DA240">
            <w:pPr>
              <w:snapToGrid w:val="0"/>
              <w:rPr>
                <w:rFonts w:ascii="Times New Roman" w:eastAsia="仿宋"/>
                <w:kern w:val="2"/>
                <w:sz w:val="21"/>
                <w:szCs w:val="21"/>
              </w:rPr>
            </w:pPr>
            <w:r>
              <w:rPr>
                <w:rFonts w:ascii="Times New Roman" w:eastAsia="仿宋"/>
                <w:kern w:val="2"/>
                <w:sz w:val="21"/>
                <w:szCs w:val="21"/>
              </w:rPr>
              <w:t>溶解性：</w:t>
            </w:r>
            <w:r>
              <w:rPr>
                <w:rFonts w:hint="eastAsia" w:ascii="Times New Roman" w:eastAsia="仿宋"/>
                <w:kern w:val="2"/>
                <w:sz w:val="21"/>
                <w:szCs w:val="21"/>
              </w:rPr>
              <w:t>易溶于水</w:t>
            </w:r>
          </w:p>
          <w:p w14:paraId="0BBD150C">
            <w:pPr>
              <w:rPr>
                <w:rFonts w:ascii="Times New Roman" w:eastAsia="仿宋"/>
                <w:sz w:val="21"/>
                <w:szCs w:val="21"/>
              </w:rPr>
            </w:pPr>
            <w:r>
              <w:rPr>
                <w:rFonts w:ascii="Times New Roman" w:eastAsia="仿宋"/>
                <w:kern w:val="2"/>
                <w:sz w:val="21"/>
                <w:szCs w:val="21"/>
              </w:rPr>
              <w:t>嗅阈值：/</w:t>
            </w:r>
          </w:p>
        </w:tc>
        <w:tc>
          <w:tcPr>
            <w:tcW w:w="1701" w:type="dxa"/>
            <w:vAlign w:val="center"/>
          </w:tcPr>
          <w:p w14:paraId="2045F52E">
            <w:pPr>
              <w:jc w:val="left"/>
              <w:rPr>
                <w:rFonts w:ascii="Times New Roman" w:eastAsia="仿宋"/>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w:t>
            </w:r>
            <w:r>
              <w:rPr>
                <w:rFonts w:hint="eastAsia" w:ascii="Times New Roman" w:eastAsia="仿宋"/>
                <w:kern w:val="2"/>
                <w:sz w:val="21"/>
                <w:szCs w:val="21"/>
              </w:rPr>
              <w:t>2</w:t>
            </w:r>
            <w:r>
              <w:rPr>
                <w:rFonts w:ascii="Times New Roman" w:eastAsia="仿宋"/>
                <w:kern w:val="2"/>
                <w:sz w:val="21"/>
                <w:szCs w:val="21"/>
              </w:rPr>
              <w:t>50</w:t>
            </w:r>
            <w:r>
              <w:rPr>
                <w:rFonts w:hint="eastAsia" w:ascii="Times New Roman" w:eastAsia="仿宋"/>
                <w:kern w:val="2"/>
                <w:sz w:val="21"/>
                <w:szCs w:val="21"/>
              </w:rPr>
              <w:t>0mg/kg(大鼠经口)</w:t>
            </w:r>
          </w:p>
        </w:tc>
        <w:tc>
          <w:tcPr>
            <w:tcW w:w="2217" w:type="dxa"/>
            <w:vAlign w:val="center"/>
          </w:tcPr>
          <w:p w14:paraId="72C395D6">
            <w:pPr>
              <w:jc w:val="center"/>
              <w:rPr>
                <w:rFonts w:ascii="Times New Roman" w:eastAsia="仿宋"/>
                <w:sz w:val="21"/>
                <w:szCs w:val="21"/>
              </w:rPr>
            </w:pPr>
            <w:r>
              <w:rPr>
                <w:rFonts w:hint="eastAsia" w:ascii="Times New Roman" w:eastAsia="仿宋"/>
                <w:sz w:val="21"/>
                <w:szCs w:val="21"/>
              </w:rPr>
              <w:t>可燃</w:t>
            </w:r>
          </w:p>
        </w:tc>
      </w:tr>
      <w:tr w14:paraId="5F3E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2138FE5D">
            <w:pPr>
              <w:snapToGrid w:val="0"/>
              <w:rPr>
                <w:rFonts w:ascii="Times New Roman" w:eastAsia="仿宋"/>
                <w:kern w:val="2"/>
                <w:sz w:val="21"/>
                <w:szCs w:val="21"/>
              </w:rPr>
            </w:pPr>
            <w:r>
              <w:rPr>
                <w:rFonts w:hint="eastAsia" w:ascii="Times New Roman" w:eastAsia="仿宋"/>
                <w:kern w:val="2"/>
                <w:sz w:val="21"/>
                <w:szCs w:val="21"/>
              </w:rPr>
              <w:t>名称：二氧化钛</w:t>
            </w:r>
          </w:p>
          <w:p w14:paraId="280DAD62">
            <w:pPr>
              <w:snapToGrid w:val="0"/>
              <w:rPr>
                <w:rFonts w:ascii="Times New Roman" w:eastAsia="仿宋"/>
                <w:kern w:val="2"/>
                <w:sz w:val="21"/>
                <w:szCs w:val="21"/>
              </w:rPr>
            </w:pPr>
            <w:r>
              <w:rPr>
                <w:rFonts w:hint="eastAsia" w:ascii="Times New Roman" w:eastAsia="仿宋"/>
                <w:kern w:val="2"/>
                <w:sz w:val="21"/>
                <w:szCs w:val="21"/>
              </w:rPr>
              <w:t>分子式：</w:t>
            </w:r>
            <w:r>
              <w:rPr>
                <w:rFonts w:hint="eastAsia" w:ascii="Times New Roman" w:eastAsia="仿宋"/>
              </w:rPr>
              <w:t>TiO</w:t>
            </w:r>
            <w:r>
              <w:rPr>
                <w:rFonts w:ascii="Times New Roman" w:eastAsia="仿宋"/>
                <w:vertAlign w:val="subscript"/>
              </w:rPr>
              <w:t>2</w:t>
            </w:r>
          </w:p>
          <w:p w14:paraId="419FA2EC">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13463</w:t>
            </w:r>
            <w:r>
              <w:rPr>
                <w:rFonts w:hint="eastAsia" w:ascii="Times New Roman" w:eastAsia="仿宋"/>
                <w:kern w:val="2"/>
                <w:sz w:val="21"/>
                <w:szCs w:val="21"/>
              </w:rPr>
              <w:t>-</w:t>
            </w:r>
            <w:r>
              <w:rPr>
                <w:rFonts w:ascii="Times New Roman" w:eastAsia="仿宋"/>
                <w:kern w:val="2"/>
                <w:sz w:val="21"/>
                <w:szCs w:val="21"/>
              </w:rPr>
              <w:t>67</w:t>
            </w:r>
            <w:r>
              <w:rPr>
                <w:rFonts w:hint="eastAsia" w:ascii="Times New Roman" w:eastAsia="仿宋"/>
                <w:kern w:val="2"/>
                <w:sz w:val="21"/>
                <w:szCs w:val="21"/>
              </w:rPr>
              <w:t>-</w:t>
            </w:r>
            <w:r>
              <w:rPr>
                <w:rFonts w:ascii="Times New Roman" w:eastAsia="仿宋"/>
                <w:kern w:val="2"/>
                <w:sz w:val="21"/>
                <w:szCs w:val="21"/>
              </w:rPr>
              <w:t>7</w:t>
            </w:r>
          </w:p>
          <w:p w14:paraId="18F87374">
            <w:pPr>
              <w:pStyle w:val="35"/>
            </w:pPr>
            <w:r>
              <w:rPr>
                <w:rFonts w:hint="eastAsia" w:eastAsia="仿宋"/>
              </w:rPr>
              <w:t>危规号：/</w:t>
            </w:r>
          </w:p>
        </w:tc>
        <w:tc>
          <w:tcPr>
            <w:tcW w:w="2830" w:type="dxa"/>
            <w:vAlign w:val="center"/>
          </w:tcPr>
          <w:p w14:paraId="4E3CE34C">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白色固体或粉末状的两性氧化物</w:t>
            </w:r>
          </w:p>
          <w:p w14:paraId="79644659">
            <w:pPr>
              <w:snapToGrid w:val="0"/>
              <w:rPr>
                <w:rFonts w:ascii="Times New Roman" w:eastAsia="仿宋"/>
                <w:kern w:val="2"/>
                <w:sz w:val="21"/>
                <w:szCs w:val="21"/>
              </w:rPr>
            </w:pPr>
            <w:r>
              <w:rPr>
                <w:rFonts w:ascii="Times New Roman" w:eastAsia="仿宋"/>
                <w:kern w:val="2"/>
                <w:sz w:val="21"/>
                <w:szCs w:val="21"/>
              </w:rPr>
              <w:t>分子量：79.86</w:t>
            </w:r>
          </w:p>
          <w:p w14:paraId="3F08EF70">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1</w:t>
            </w:r>
            <w:r>
              <w:rPr>
                <w:rFonts w:ascii="Times New Roman" w:eastAsia="仿宋"/>
                <w:kern w:val="2"/>
                <w:sz w:val="21"/>
                <w:szCs w:val="21"/>
              </w:rPr>
              <w:t>840</w:t>
            </w:r>
          </w:p>
          <w:p w14:paraId="6C1AE0A7">
            <w:pPr>
              <w:snapToGrid w:val="0"/>
              <w:rPr>
                <w:rFonts w:ascii="Times New Roman" w:eastAsia="仿宋"/>
                <w:kern w:val="2"/>
                <w:sz w:val="21"/>
                <w:szCs w:val="21"/>
              </w:rPr>
            </w:pPr>
            <w:r>
              <w:rPr>
                <w:rFonts w:ascii="Times New Roman" w:eastAsia="仿宋"/>
                <w:kern w:val="2"/>
                <w:sz w:val="21"/>
                <w:szCs w:val="21"/>
              </w:rPr>
              <w:t>沸点（℃）：2900</w:t>
            </w:r>
          </w:p>
          <w:p w14:paraId="72F2E830">
            <w:pPr>
              <w:snapToGrid w:val="0"/>
              <w:rPr>
                <w:rFonts w:ascii="Times New Roman" w:eastAsia="仿宋"/>
                <w:kern w:val="2"/>
                <w:sz w:val="21"/>
                <w:szCs w:val="21"/>
              </w:rPr>
            </w:pPr>
            <w:r>
              <w:rPr>
                <w:rFonts w:ascii="Times New Roman" w:eastAsia="仿宋"/>
                <w:kern w:val="2"/>
                <w:sz w:val="21"/>
                <w:szCs w:val="21"/>
              </w:rPr>
              <w:t>饱和蒸气压（kPa）：/</w:t>
            </w:r>
          </w:p>
          <w:p w14:paraId="3BA5FE7D">
            <w:pPr>
              <w:snapToGrid w:val="0"/>
              <w:rPr>
                <w:rFonts w:ascii="Times New Roman" w:eastAsia="仿宋"/>
                <w:kern w:val="2"/>
                <w:sz w:val="21"/>
                <w:szCs w:val="21"/>
              </w:rPr>
            </w:pPr>
            <w:r>
              <w:rPr>
                <w:rFonts w:ascii="Times New Roman" w:eastAsia="仿宋"/>
                <w:kern w:val="2"/>
                <w:sz w:val="21"/>
                <w:szCs w:val="21"/>
              </w:rPr>
              <w:t>相对密度（水=1）：4.26</w:t>
            </w:r>
          </w:p>
          <w:p w14:paraId="327B4AC0">
            <w:pPr>
              <w:snapToGrid w:val="0"/>
              <w:rPr>
                <w:rFonts w:ascii="Times New Roman" w:eastAsia="仿宋"/>
                <w:kern w:val="2"/>
                <w:sz w:val="21"/>
                <w:szCs w:val="21"/>
              </w:rPr>
            </w:pPr>
            <w:r>
              <w:rPr>
                <w:rFonts w:ascii="Times New Roman" w:eastAsia="仿宋"/>
                <w:kern w:val="2"/>
                <w:sz w:val="21"/>
                <w:szCs w:val="21"/>
              </w:rPr>
              <w:t>相对密度（空气=1）：/</w:t>
            </w:r>
          </w:p>
          <w:p w14:paraId="6CBACBA7">
            <w:pPr>
              <w:snapToGrid w:val="0"/>
              <w:rPr>
                <w:rFonts w:ascii="Times New Roman" w:eastAsia="仿宋"/>
                <w:kern w:val="2"/>
                <w:sz w:val="21"/>
                <w:szCs w:val="21"/>
              </w:rPr>
            </w:pPr>
            <w:r>
              <w:rPr>
                <w:rFonts w:ascii="Times New Roman" w:eastAsia="仿宋"/>
                <w:kern w:val="2"/>
                <w:sz w:val="21"/>
                <w:szCs w:val="21"/>
              </w:rPr>
              <w:t>溶解性：缓慢溶于氢氟酸和浓硫酸，不溶于水、盐酸、稀硫酸和乙醇等有机溶剂</w:t>
            </w:r>
          </w:p>
          <w:p w14:paraId="4B7C5593">
            <w:pPr>
              <w:rPr>
                <w:rFonts w:ascii="Times New Roman" w:eastAsia="仿宋"/>
                <w:sz w:val="21"/>
                <w:szCs w:val="21"/>
              </w:rPr>
            </w:pPr>
            <w:r>
              <w:rPr>
                <w:rFonts w:ascii="Times New Roman" w:eastAsia="仿宋"/>
                <w:kern w:val="2"/>
                <w:sz w:val="21"/>
                <w:szCs w:val="21"/>
              </w:rPr>
              <w:t>嗅阈值：/</w:t>
            </w:r>
          </w:p>
        </w:tc>
        <w:tc>
          <w:tcPr>
            <w:tcW w:w="1701" w:type="dxa"/>
            <w:vAlign w:val="center"/>
          </w:tcPr>
          <w:p w14:paraId="3C2E854D">
            <w:pPr>
              <w:jc w:val="left"/>
              <w:rPr>
                <w:rFonts w:ascii="Times New Roman" w:eastAsia="仿宋"/>
                <w:sz w:val="21"/>
                <w:szCs w:val="21"/>
              </w:rPr>
            </w:pPr>
            <w:r>
              <w:rPr>
                <w:rFonts w:ascii="Times New Roman" w:eastAsia="仿宋"/>
                <w:kern w:val="2"/>
                <w:sz w:val="21"/>
                <w:szCs w:val="21"/>
              </w:rPr>
              <w:t>LC</w:t>
            </w:r>
            <w:r>
              <w:rPr>
                <w:rFonts w:ascii="Times New Roman" w:eastAsia="仿宋"/>
                <w:kern w:val="2"/>
                <w:sz w:val="21"/>
                <w:szCs w:val="21"/>
                <w:vertAlign w:val="subscript"/>
              </w:rPr>
              <w:t>50</w:t>
            </w:r>
            <w:r>
              <w:rPr>
                <w:rFonts w:ascii="Times New Roman" w:eastAsia="仿宋"/>
                <w:kern w:val="2"/>
                <w:sz w:val="21"/>
                <w:szCs w:val="21"/>
              </w:rPr>
              <w:t>：1200</w:t>
            </w:r>
            <w:r>
              <w:rPr>
                <w:rFonts w:hint="eastAsia" w:ascii="Times New Roman" w:eastAsia="仿宋"/>
                <w:kern w:val="2"/>
                <w:sz w:val="21"/>
                <w:szCs w:val="21"/>
              </w:rPr>
              <w:t>0mg/kg(小鼠经口)</w:t>
            </w:r>
          </w:p>
        </w:tc>
        <w:tc>
          <w:tcPr>
            <w:tcW w:w="2217" w:type="dxa"/>
            <w:vAlign w:val="center"/>
          </w:tcPr>
          <w:p w14:paraId="08A0BC23">
            <w:pPr>
              <w:jc w:val="center"/>
              <w:rPr>
                <w:rFonts w:ascii="Times New Roman" w:eastAsia="仿宋"/>
                <w:sz w:val="21"/>
                <w:szCs w:val="21"/>
              </w:rPr>
            </w:pPr>
            <w:r>
              <w:rPr>
                <w:rFonts w:hint="eastAsia" w:ascii="Times New Roman" w:eastAsia="仿宋"/>
                <w:sz w:val="21"/>
                <w:szCs w:val="21"/>
              </w:rPr>
              <w:t>不燃</w:t>
            </w:r>
          </w:p>
        </w:tc>
      </w:tr>
      <w:tr w14:paraId="0A83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595E3B66">
            <w:pPr>
              <w:snapToGrid w:val="0"/>
              <w:rPr>
                <w:rFonts w:ascii="Times New Roman" w:eastAsia="仿宋"/>
                <w:kern w:val="2"/>
                <w:sz w:val="21"/>
                <w:szCs w:val="21"/>
              </w:rPr>
            </w:pPr>
            <w:r>
              <w:rPr>
                <w:rFonts w:hint="eastAsia" w:ascii="Times New Roman" w:eastAsia="仿宋"/>
                <w:kern w:val="2"/>
                <w:sz w:val="21"/>
                <w:szCs w:val="21"/>
              </w:rPr>
              <w:t>名称：P</w:t>
            </w:r>
            <w:r>
              <w:rPr>
                <w:rFonts w:ascii="Times New Roman" w:eastAsia="仿宋"/>
                <w:kern w:val="2"/>
                <w:sz w:val="21"/>
                <w:szCs w:val="21"/>
              </w:rPr>
              <w:t>VDF</w:t>
            </w:r>
            <w:r>
              <w:rPr>
                <w:rFonts w:hint="eastAsia" w:ascii="Times New Roman" w:eastAsia="仿宋"/>
                <w:kern w:val="2"/>
                <w:sz w:val="21"/>
                <w:szCs w:val="21"/>
              </w:rPr>
              <w:t>树脂</w:t>
            </w:r>
          </w:p>
          <w:p w14:paraId="0A9108B8">
            <w:pPr>
              <w:snapToGrid w:val="0"/>
              <w:rPr>
                <w:rFonts w:ascii="Times New Roman" w:eastAsia="仿宋"/>
                <w:kern w:val="2"/>
                <w:sz w:val="21"/>
                <w:szCs w:val="21"/>
              </w:rPr>
            </w:pPr>
            <w:r>
              <w:rPr>
                <w:rFonts w:hint="eastAsia" w:ascii="Times New Roman" w:eastAsia="仿宋"/>
                <w:kern w:val="2"/>
                <w:sz w:val="21"/>
                <w:szCs w:val="21"/>
              </w:rPr>
              <w:t>分子式：（C</w:t>
            </w:r>
            <w:r>
              <w:rPr>
                <w:rFonts w:hint="eastAsia" w:ascii="Times New Roman" w:eastAsia="仿宋"/>
                <w:kern w:val="2"/>
                <w:sz w:val="21"/>
                <w:szCs w:val="21"/>
                <w:vertAlign w:val="subscript"/>
              </w:rPr>
              <w:t>2</w:t>
            </w:r>
            <w:r>
              <w:rPr>
                <w:rFonts w:hint="eastAsia" w:ascii="Times New Roman" w:eastAsia="仿宋"/>
                <w:kern w:val="2"/>
                <w:sz w:val="21"/>
                <w:szCs w:val="21"/>
              </w:rPr>
              <w:t>H</w:t>
            </w:r>
            <w:r>
              <w:rPr>
                <w:rFonts w:hint="eastAsia" w:ascii="Times New Roman" w:eastAsia="仿宋"/>
                <w:kern w:val="2"/>
                <w:sz w:val="21"/>
                <w:szCs w:val="21"/>
                <w:vertAlign w:val="subscript"/>
              </w:rPr>
              <w:t>2</w:t>
            </w:r>
            <w:r>
              <w:rPr>
                <w:rFonts w:hint="eastAsia" w:ascii="Times New Roman" w:eastAsia="仿宋"/>
                <w:kern w:val="2"/>
                <w:sz w:val="21"/>
                <w:szCs w:val="21"/>
              </w:rPr>
              <w:t>F</w:t>
            </w:r>
            <w:r>
              <w:rPr>
                <w:rFonts w:hint="eastAsia" w:ascii="Times New Roman" w:eastAsia="仿宋"/>
                <w:kern w:val="2"/>
                <w:sz w:val="21"/>
                <w:szCs w:val="21"/>
                <w:vertAlign w:val="subscript"/>
              </w:rPr>
              <w:t>2</w:t>
            </w:r>
            <w:r>
              <w:rPr>
                <w:rFonts w:hint="eastAsia" w:ascii="Times New Roman" w:eastAsia="仿宋"/>
                <w:kern w:val="2"/>
                <w:sz w:val="21"/>
                <w:szCs w:val="21"/>
              </w:rPr>
              <w:t>）n</w:t>
            </w:r>
          </w:p>
          <w:p w14:paraId="71CDCFA0">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号：24937-79-9</w:t>
            </w:r>
          </w:p>
          <w:p w14:paraId="7748E88E">
            <w:pPr>
              <w:pStyle w:val="35"/>
            </w:pPr>
            <w:r>
              <w:rPr>
                <w:rFonts w:hint="eastAsia" w:eastAsia="仿宋"/>
              </w:rPr>
              <w:t>危规号：/</w:t>
            </w:r>
          </w:p>
        </w:tc>
        <w:tc>
          <w:tcPr>
            <w:tcW w:w="2830" w:type="dxa"/>
            <w:vAlign w:val="center"/>
          </w:tcPr>
          <w:p w14:paraId="486B078A">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白色固体或粉末</w:t>
            </w:r>
          </w:p>
          <w:p w14:paraId="1F7CC184">
            <w:pPr>
              <w:snapToGrid w:val="0"/>
              <w:rPr>
                <w:rFonts w:ascii="Times New Roman" w:eastAsia="仿宋"/>
                <w:kern w:val="2"/>
                <w:sz w:val="21"/>
                <w:szCs w:val="21"/>
              </w:rPr>
            </w:pPr>
            <w:r>
              <w:rPr>
                <w:rFonts w:ascii="Times New Roman" w:eastAsia="仿宋"/>
                <w:kern w:val="2"/>
                <w:sz w:val="21"/>
                <w:szCs w:val="21"/>
              </w:rPr>
              <w:t>分子量：</w:t>
            </w:r>
            <w:r>
              <w:rPr>
                <w:rFonts w:hint="eastAsia" w:ascii="Times New Roman" w:eastAsia="仿宋"/>
                <w:kern w:val="2"/>
                <w:sz w:val="21"/>
                <w:szCs w:val="21"/>
              </w:rPr>
              <w:t>/</w:t>
            </w:r>
          </w:p>
          <w:p w14:paraId="657881A9">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1</w:t>
            </w:r>
            <w:r>
              <w:rPr>
                <w:rFonts w:ascii="Times New Roman" w:eastAsia="仿宋"/>
                <w:kern w:val="2"/>
                <w:sz w:val="21"/>
                <w:szCs w:val="21"/>
              </w:rPr>
              <w:t>66</w:t>
            </w:r>
          </w:p>
          <w:p w14:paraId="2830FED7">
            <w:pPr>
              <w:snapToGrid w:val="0"/>
              <w:rPr>
                <w:rFonts w:ascii="Times New Roman" w:eastAsia="仿宋"/>
                <w:kern w:val="2"/>
                <w:sz w:val="21"/>
                <w:szCs w:val="21"/>
              </w:rPr>
            </w:pPr>
            <w:r>
              <w:rPr>
                <w:rFonts w:ascii="Times New Roman" w:eastAsia="仿宋"/>
                <w:kern w:val="2"/>
                <w:sz w:val="21"/>
                <w:szCs w:val="21"/>
              </w:rPr>
              <w:t>沸点（℃）：-85.7</w:t>
            </w:r>
          </w:p>
          <w:p w14:paraId="4540001A">
            <w:pPr>
              <w:snapToGrid w:val="0"/>
              <w:rPr>
                <w:rFonts w:ascii="Times New Roman" w:eastAsia="仿宋"/>
                <w:kern w:val="2"/>
                <w:sz w:val="21"/>
                <w:szCs w:val="21"/>
              </w:rPr>
            </w:pPr>
            <w:r>
              <w:rPr>
                <w:rFonts w:ascii="Times New Roman" w:eastAsia="仿宋"/>
                <w:kern w:val="2"/>
                <w:sz w:val="21"/>
                <w:szCs w:val="21"/>
              </w:rPr>
              <w:t>饱和蒸气压（kPa）：/</w:t>
            </w:r>
          </w:p>
          <w:p w14:paraId="56C5E297">
            <w:pPr>
              <w:snapToGrid w:val="0"/>
              <w:rPr>
                <w:rFonts w:ascii="Times New Roman" w:eastAsia="仿宋"/>
                <w:kern w:val="2"/>
                <w:sz w:val="21"/>
                <w:szCs w:val="21"/>
              </w:rPr>
            </w:pPr>
            <w:r>
              <w:rPr>
                <w:rFonts w:ascii="Times New Roman" w:eastAsia="仿宋"/>
                <w:kern w:val="2"/>
                <w:sz w:val="21"/>
                <w:szCs w:val="21"/>
              </w:rPr>
              <w:t>相对密度（水=1）：1.0</w:t>
            </w:r>
          </w:p>
          <w:p w14:paraId="781D6EC1">
            <w:pPr>
              <w:snapToGrid w:val="0"/>
              <w:rPr>
                <w:rFonts w:ascii="Times New Roman" w:eastAsia="仿宋"/>
                <w:kern w:val="2"/>
                <w:sz w:val="21"/>
                <w:szCs w:val="21"/>
              </w:rPr>
            </w:pPr>
            <w:r>
              <w:rPr>
                <w:rFonts w:ascii="Times New Roman" w:eastAsia="仿宋"/>
                <w:kern w:val="2"/>
                <w:sz w:val="21"/>
                <w:szCs w:val="21"/>
              </w:rPr>
              <w:t>相对密度（空气=1）：/</w:t>
            </w:r>
          </w:p>
          <w:p w14:paraId="4A6E5207">
            <w:pPr>
              <w:snapToGrid w:val="0"/>
              <w:rPr>
                <w:rFonts w:ascii="Times New Roman" w:eastAsia="仿宋"/>
                <w:kern w:val="2"/>
                <w:sz w:val="21"/>
                <w:szCs w:val="21"/>
              </w:rPr>
            </w:pPr>
            <w:r>
              <w:rPr>
                <w:rFonts w:ascii="Times New Roman" w:eastAsia="仿宋"/>
                <w:kern w:val="2"/>
                <w:sz w:val="21"/>
                <w:szCs w:val="21"/>
              </w:rPr>
              <w:t>溶解性：</w:t>
            </w:r>
            <w:r>
              <w:rPr>
                <w:rFonts w:hint="eastAsia" w:ascii="Times New Roman" w:eastAsia="仿宋"/>
                <w:kern w:val="2"/>
                <w:sz w:val="21"/>
                <w:szCs w:val="21"/>
              </w:rPr>
              <w:t>/</w:t>
            </w:r>
          </w:p>
          <w:p w14:paraId="3C62CAFC">
            <w:pPr>
              <w:rPr>
                <w:rFonts w:ascii="Times New Roman" w:eastAsia="仿宋"/>
                <w:sz w:val="21"/>
                <w:szCs w:val="21"/>
              </w:rPr>
            </w:pPr>
            <w:r>
              <w:rPr>
                <w:rFonts w:ascii="Times New Roman" w:eastAsia="仿宋"/>
                <w:kern w:val="2"/>
                <w:sz w:val="21"/>
                <w:szCs w:val="21"/>
              </w:rPr>
              <w:t>嗅阈值：/</w:t>
            </w:r>
          </w:p>
        </w:tc>
        <w:tc>
          <w:tcPr>
            <w:tcW w:w="1701" w:type="dxa"/>
            <w:vAlign w:val="center"/>
          </w:tcPr>
          <w:p w14:paraId="50D64B74">
            <w:pPr>
              <w:jc w:val="center"/>
              <w:rPr>
                <w:rFonts w:ascii="Times New Roman" w:eastAsia="仿宋"/>
                <w:sz w:val="21"/>
                <w:szCs w:val="21"/>
              </w:rPr>
            </w:pPr>
            <w:r>
              <w:rPr>
                <w:rFonts w:hint="eastAsia" w:ascii="Times New Roman" w:eastAsia="仿宋"/>
                <w:sz w:val="21"/>
                <w:szCs w:val="21"/>
              </w:rPr>
              <w:t>/</w:t>
            </w:r>
          </w:p>
        </w:tc>
        <w:tc>
          <w:tcPr>
            <w:tcW w:w="2217" w:type="dxa"/>
            <w:vAlign w:val="center"/>
          </w:tcPr>
          <w:p w14:paraId="06F82F0C">
            <w:pPr>
              <w:jc w:val="center"/>
              <w:rPr>
                <w:rFonts w:ascii="Times New Roman" w:eastAsia="仿宋"/>
                <w:sz w:val="21"/>
                <w:szCs w:val="21"/>
              </w:rPr>
            </w:pPr>
            <w:r>
              <w:rPr>
                <w:rFonts w:hint="eastAsia" w:ascii="Times New Roman" w:eastAsia="仿宋"/>
                <w:sz w:val="21"/>
                <w:szCs w:val="21"/>
              </w:rPr>
              <w:t>/</w:t>
            </w:r>
          </w:p>
        </w:tc>
      </w:tr>
      <w:tr w14:paraId="504D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511DBA5F">
            <w:pPr>
              <w:snapToGrid w:val="0"/>
              <w:rPr>
                <w:rFonts w:ascii="Times New Roman" w:eastAsia="仿宋"/>
                <w:kern w:val="2"/>
                <w:sz w:val="21"/>
                <w:szCs w:val="21"/>
              </w:rPr>
            </w:pPr>
            <w:r>
              <w:rPr>
                <w:rFonts w:hint="eastAsia" w:ascii="Times New Roman" w:eastAsia="仿宋"/>
                <w:kern w:val="2"/>
                <w:sz w:val="21"/>
                <w:szCs w:val="21"/>
              </w:rPr>
              <w:t>名称：</w:t>
            </w:r>
            <w:r>
              <w:rPr>
                <w:rFonts w:ascii="Times New Roman" w:eastAsia="仿宋"/>
                <w:kern w:val="2"/>
                <w:sz w:val="21"/>
                <w:szCs w:val="21"/>
              </w:rPr>
              <w:t>邻苯二甲酸二甲酯</w:t>
            </w:r>
          </w:p>
          <w:p w14:paraId="4F35A8DC">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10</w:t>
            </w:r>
            <w:r>
              <w:rPr>
                <w:rFonts w:hint="eastAsia" w:ascii="Times New Roman" w:eastAsia="仿宋"/>
                <w:kern w:val="2"/>
                <w:sz w:val="21"/>
                <w:szCs w:val="21"/>
              </w:rPr>
              <w:t>H</w:t>
            </w:r>
            <w:r>
              <w:rPr>
                <w:rFonts w:ascii="Times New Roman" w:eastAsia="仿宋"/>
                <w:kern w:val="2"/>
                <w:sz w:val="21"/>
                <w:szCs w:val="21"/>
                <w:vertAlign w:val="subscript"/>
              </w:rPr>
              <w:t>10</w:t>
            </w:r>
            <w:r>
              <w:rPr>
                <w:rFonts w:hint="eastAsia" w:ascii="Times New Roman" w:eastAsia="仿宋"/>
                <w:kern w:val="2"/>
                <w:sz w:val="21"/>
                <w:szCs w:val="21"/>
              </w:rPr>
              <w:t>F</w:t>
            </w:r>
            <w:r>
              <w:rPr>
                <w:rFonts w:ascii="Times New Roman" w:eastAsia="仿宋"/>
                <w:kern w:val="2"/>
                <w:sz w:val="21"/>
                <w:szCs w:val="21"/>
                <w:vertAlign w:val="subscript"/>
              </w:rPr>
              <w:t>4</w:t>
            </w:r>
          </w:p>
          <w:p w14:paraId="408A8875">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号：131-11-3</w:t>
            </w:r>
          </w:p>
          <w:p w14:paraId="42E4ED3A">
            <w:pPr>
              <w:pStyle w:val="35"/>
            </w:pPr>
            <w:r>
              <w:rPr>
                <w:rFonts w:hint="eastAsia" w:eastAsia="仿宋"/>
              </w:rPr>
              <w:t>危规号：/</w:t>
            </w:r>
          </w:p>
        </w:tc>
        <w:tc>
          <w:tcPr>
            <w:tcW w:w="2830" w:type="dxa"/>
            <w:vAlign w:val="center"/>
          </w:tcPr>
          <w:p w14:paraId="591CB9CF">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透明油性液体</w:t>
            </w:r>
          </w:p>
          <w:p w14:paraId="3B852CA7">
            <w:pPr>
              <w:snapToGrid w:val="0"/>
              <w:rPr>
                <w:rFonts w:ascii="Times New Roman" w:eastAsia="仿宋"/>
                <w:kern w:val="2"/>
                <w:sz w:val="21"/>
                <w:szCs w:val="21"/>
              </w:rPr>
            </w:pPr>
            <w:r>
              <w:rPr>
                <w:rFonts w:ascii="Times New Roman" w:eastAsia="仿宋"/>
                <w:kern w:val="2"/>
                <w:sz w:val="21"/>
                <w:szCs w:val="21"/>
              </w:rPr>
              <w:t>分子量：194.184</w:t>
            </w:r>
          </w:p>
          <w:p w14:paraId="51D84DAA">
            <w:pPr>
              <w:snapToGrid w:val="0"/>
              <w:rPr>
                <w:rFonts w:ascii="Times New Roman" w:eastAsia="仿宋"/>
                <w:kern w:val="2"/>
                <w:sz w:val="21"/>
                <w:szCs w:val="21"/>
              </w:rPr>
            </w:pPr>
            <w:r>
              <w:rPr>
                <w:rFonts w:ascii="Times New Roman" w:eastAsia="仿宋"/>
                <w:kern w:val="2"/>
                <w:sz w:val="21"/>
                <w:szCs w:val="21"/>
              </w:rPr>
              <w:t>熔点（℃）：5.5</w:t>
            </w:r>
          </w:p>
          <w:p w14:paraId="00A857B7">
            <w:pPr>
              <w:snapToGrid w:val="0"/>
              <w:rPr>
                <w:rFonts w:ascii="Times New Roman" w:eastAsia="仿宋"/>
                <w:kern w:val="2"/>
                <w:sz w:val="21"/>
                <w:szCs w:val="21"/>
              </w:rPr>
            </w:pPr>
            <w:r>
              <w:rPr>
                <w:rFonts w:ascii="Times New Roman" w:eastAsia="仿宋"/>
                <w:kern w:val="2"/>
                <w:sz w:val="21"/>
                <w:szCs w:val="21"/>
              </w:rPr>
              <w:t>沸点（℃）：282.7</w:t>
            </w:r>
          </w:p>
          <w:p w14:paraId="40A11051">
            <w:pPr>
              <w:snapToGrid w:val="0"/>
              <w:rPr>
                <w:rFonts w:ascii="Times New Roman" w:eastAsia="仿宋"/>
                <w:kern w:val="2"/>
                <w:sz w:val="21"/>
                <w:szCs w:val="21"/>
              </w:rPr>
            </w:pPr>
            <w:r>
              <w:rPr>
                <w:rFonts w:ascii="Times New Roman" w:eastAsia="仿宋"/>
                <w:kern w:val="2"/>
                <w:sz w:val="21"/>
                <w:szCs w:val="21"/>
              </w:rPr>
              <w:t>饱和蒸气压（kPa）：/</w:t>
            </w:r>
          </w:p>
          <w:p w14:paraId="21E7D96D">
            <w:pPr>
              <w:snapToGrid w:val="0"/>
              <w:rPr>
                <w:rFonts w:ascii="Times New Roman" w:eastAsia="仿宋"/>
                <w:kern w:val="2"/>
                <w:sz w:val="21"/>
                <w:szCs w:val="21"/>
              </w:rPr>
            </w:pPr>
            <w:r>
              <w:rPr>
                <w:rFonts w:ascii="Times New Roman" w:eastAsia="仿宋"/>
                <w:kern w:val="2"/>
                <w:sz w:val="21"/>
                <w:szCs w:val="21"/>
              </w:rPr>
              <w:t>相对密度（水=1）：1.2</w:t>
            </w:r>
          </w:p>
          <w:p w14:paraId="3DE9789F">
            <w:pPr>
              <w:snapToGrid w:val="0"/>
              <w:rPr>
                <w:rFonts w:ascii="Times New Roman" w:eastAsia="仿宋"/>
                <w:kern w:val="2"/>
                <w:sz w:val="21"/>
                <w:szCs w:val="21"/>
              </w:rPr>
            </w:pPr>
            <w:r>
              <w:rPr>
                <w:rFonts w:ascii="Times New Roman" w:eastAsia="仿宋"/>
                <w:kern w:val="2"/>
                <w:sz w:val="21"/>
                <w:szCs w:val="21"/>
              </w:rPr>
              <w:t>相对密度（空气=1）：/</w:t>
            </w:r>
          </w:p>
          <w:p w14:paraId="00E732C2">
            <w:pPr>
              <w:snapToGrid w:val="0"/>
              <w:rPr>
                <w:rFonts w:ascii="Times New Roman" w:eastAsia="仿宋"/>
                <w:kern w:val="2"/>
                <w:sz w:val="21"/>
                <w:szCs w:val="21"/>
              </w:rPr>
            </w:pPr>
            <w:r>
              <w:rPr>
                <w:rFonts w:ascii="Times New Roman" w:eastAsia="仿宋"/>
                <w:kern w:val="2"/>
                <w:sz w:val="21"/>
                <w:szCs w:val="21"/>
              </w:rPr>
              <w:t>溶解性：微溶于水和矿物油，与乙醇、乙醚、氯仿混溶，溶于苯、丙酮等多种有机溶剂</w:t>
            </w:r>
          </w:p>
          <w:p w14:paraId="4A0299ED">
            <w:pPr>
              <w:rPr>
                <w:rFonts w:ascii="Times New Roman" w:eastAsia="仿宋"/>
                <w:sz w:val="21"/>
                <w:szCs w:val="21"/>
              </w:rPr>
            </w:pPr>
            <w:r>
              <w:rPr>
                <w:rFonts w:ascii="Times New Roman" w:eastAsia="仿宋"/>
                <w:kern w:val="2"/>
                <w:sz w:val="21"/>
                <w:szCs w:val="21"/>
              </w:rPr>
              <w:t>嗅阈值：/</w:t>
            </w:r>
          </w:p>
        </w:tc>
        <w:tc>
          <w:tcPr>
            <w:tcW w:w="1701" w:type="dxa"/>
            <w:vAlign w:val="center"/>
          </w:tcPr>
          <w:p w14:paraId="66C010AD">
            <w:pPr>
              <w:jc w:val="center"/>
              <w:rPr>
                <w:rFonts w:ascii="Times New Roman" w:eastAsia="仿宋"/>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：690</w:t>
            </w:r>
            <w:r>
              <w:rPr>
                <w:rFonts w:hint="eastAsia" w:ascii="Times New Roman" w:eastAsia="仿宋"/>
                <w:kern w:val="2"/>
                <w:sz w:val="21"/>
                <w:szCs w:val="21"/>
              </w:rPr>
              <w:t>0mg/kg(大鼠经口)</w:t>
            </w:r>
          </w:p>
        </w:tc>
        <w:tc>
          <w:tcPr>
            <w:tcW w:w="2217" w:type="dxa"/>
            <w:vAlign w:val="center"/>
          </w:tcPr>
          <w:p w14:paraId="3E5480EC">
            <w:pPr>
              <w:snapToGrid w:val="0"/>
              <w:rPr>
                <w:rFonts w:ascii="Times New Roman" w:eastAsia="仿宋"/>
                <w:kern w:val="2"/>
                <w:sz w:val="21"/>
                <w:szCs w:val="21"/>
              </w:rPr>
            </w:pPr>
            <w:r>
              <w:rPr>
                <w:rFonts w:hint="eastAsia" w:ascii="Times New Roman" w:eastAsia="仿宋"/>
                <w:kern w:val="2"/>
                <w:sz w:val="21"/>
                <w:szCs w:val="21"/>
              </w:rPr>
              <w:t>爆炸上限[%(V/V)]：0.94</w:t>
            </w:r>
          </w:p>
          <w:p w14:paraId="649F23F0">
            <w:pPr>
              <w:snapToGrid w:val="0"/>
              <w:rPr>
                <w:rFonts w:ascii="Times New Roman" w:eastAsia="仿宋"/>
                <w:kern w:val="2"/>
                <w:sz w:val="21"/>
                <w:szCs w:val="21"/>
              </w:rPr>
            </w:pPr>
            <w:r>
              <w:rPr>
                <w:rFonts w:hint="eastAsia" w:ascii="Times New Roman" w:eastAsia="仿宋"/>
                <w:kern w:val="2"/>
                <w:sz w:val="21"/>
                <w:szCs w:val="21"/>
              </w:rPr>
              <w:t>爆炸下限[%(V/V)]：8.03</w:t>
            </w:r>
          </w:p>
          <w:p w14:paraId="3DC40D69">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点（℃）：146</w:t>
            </w:r>
          </w:p>
          <w:p w14:paraId="77A6B24F">
            <w:pPr>
              <w:jc w:val="left"/>
              <w:rPr>
                <w:rFonts w:ascii="Times New Roman" w:eastAsia="仿宋"/>
                <w:sz w:val="21"/>
                <w:szCs w:val="21"/>
              </w:rPr>
            </w:pPr>
            <w:r>
              <w:rPr>
                <w:rFonts w:ascii="Times New Roman" w:eastAsia="仿宋"/>
                <w:kern w:val="2"/>
                <w:sz w:val="21"/>
                <w:szCs w:val="21"/>
              </w:rPr>
              <w:t>遇高热、明火或与氧化剂接触，有引起燃烧的危险</w:t>
            </w:r>
          </w:p>
        </w:tc>
      </w:tr>
      <w:tr w14:paraId="7998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70015956">
            <w:pPr>
              <w:snapToGrid w:val="0"/>
              <w:rPr>
                <w:rFonts w:ascii="Times New Roman" w:eastAsia="仿宋"/>
                <w:kern w:val="2"/>
                <w:sz w:val="21"/>
                <w:szCs w:val="21"/>
              </w:rPr>
            </w:pPr>
            <w:r>
              <w:rPr>
                <w:rFonts w:hint="eastAsia" w:ascii="Times New Roman" w:eastAsia="仿宋"/>
                <w:kern w:val="2"/>
                <w:sz w:val="21"/>
                <w:szCs w:val="21"/>
              </w:rPr>
              <w:t>名称：草酸</w:t>
            </w:r>
          </w:p>
          <w:p w14:paraId="00BFBD9B">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2</w:t>
            </w:r>
            <w:r>
              <w:rPr>
                <w:rFonts w:hint="eastAsia" w:ascii="Times New Roman" w:eastAsia="仿宋"/>
                <w:kern w:val="2"/>
                <w:sz w:val="21"/>
                <w:szCs w:val="21"/>
              </w:rPr>
              <w:t>H</w:t>
            </w:r>
            <w:r>
              <w:rPr>
                <w:rFonts w:ascii="Times New Roman" w:eastAsia="仿宋"/>
                <w:kern w:val="2"/>
                <w:sz w:val="21"/>
                <w:szCs w:val="21"/>
                <w:vertAlign w:val="subscript"/>
              </w:rPr>
              <w:t>6</w:t>
            </w:r>
            <w:r>
              <w:rPr>
                <w:rFonts w:ascii="Times New Roman" w:eastAsia="仿宋"/>
                <w:kern w:val="2"/>
                <w:sz w:val="21"/>
                <w:szCs w:val="21"/>
              </w:rPr>
              <w:t>O</w:t>
            </w:r>
            <w:r>
              <w:rPr>
                <w:rFonts w:ascii="Times New Roman" w:eastAsia="仿宋"/>
                <w:kern w:val="2"/>
                <w:sz w:val="21"/>
                <w:szCs w:val="21"/>
                <w:vertAlign w:val="subscript"/>
              </w:rPr>
              <w:t>6</w:t>
            </w:r>
          </w:p>
          <w:p w14:paraId="0DAA46AA">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6153</w:t>
            </w:r>
            <w:r>
              <w:rPr>
                <w:rFonts w:hint="eastAsia" w:ascii="Times New Roman" w:eastAsia="仿宋"/>
                <w:kern w:val="2"/>
                <w:sz w:val="21"/>
                <w:szCs w:val="21"/>
              </w:rPr>
              <w:t>-</w:t>
            </w:r>
            <w:r>
              <w:rPr>
                <w:rFonts w:ascii="Times New Roman" w:eastAsia="仿宋"/>
                <w:kern w:val="2"/>
                <w:sz w:val="21"/>
                <w:szCs w:val="21"/>
              </w:rPr>
              <w:t>56</w:t>
            </w:r>
            <w:r>
              <w:rPr>
                <w:rFonts w:hint="eastAsia" w:ascii="Times New Roman" w:eastAsia="仿宋"/>
                <w:kern w:val="2"/>
                <w:sz w:val="21"/>
                <w:szCs w:val="21"/>
              </w:rPr>
              <w:t>-</w:t>
            </w:r>
            <w:r>
              <w:rPr>
                <w:rFonts w:ascii="Times New Roman" w:eastAsia="仿宋"/>
                <w:kern w:val="2"/>
                <w:sz w:val="21"/>
                <w:szCs w:val="21"/>
              </w:rPr>
              <w:t>6</w:t>
            </w:r>
          </w:p>
          <w:p w14:paraId="61EC48F6">
            <w:pPr>
              <w:pStyle w:val="35"/>
            </w:pPr>
            <w:r>
              <w:rPr>
                <w:rFonts w:hint="eastAsia" w:eastAsia="仿宋"/>
              </w:rPr>
              <w:t>危规号：/</w:t>
            </w:r>
          </w:p>
        </w:tc>
        <w:tc>
          <w:tcPr>
            <w:tcW w:w="2830" w:type="dxa"/>
            <w:vAlign w:val="center"/>
          </w:tcPr>
          <w:p w14:paraId="18A2689A">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白色晶体</w:t>
            </w:r>
          </w:p>
          <w:p w14:paraId="4ED6A29B">
            <w:pPr>
              <w:snapToGrid w:val="0"/>
              <w:rPr>
                <w:rFonts w:ascii="Times New Roman" w:eastAsia="仿宋"/>
                <w:kern w:val="2"/>
                <w:sz w:val="21"/>
                <w:szCs w:val="21"/>
              </w:rPr>
            </w:pPr>
            <w:r>
              <w:rPr>
                <w:rFonts w:ascii="Times New Roman" w:eastAsia="仿宋"/>
                <w:kern w:val="2"/>
                <w:sz w:val="21"/>
                <w:szCs w:val="21"/>
              </w:rPr>
              <w:t>分子量：126.06</w:t>
            </w:r>
          </w:p>
          <w:p w14:paraId="5BE02E08">
            <w:pPr>
              <w:snapToGrid w:val="0"/>
              <w:rPr>
                <w:rFonts w:ascii="Times New Roman" w:eastAsia="仿宋"/>
                <w:kern w:val="2"/>
                <w:sz w:val="21"/>
                <w:szCs w:val="21"/>
              </w:rPr>
            </w:pPr>
            <w:r>
              <w:rPr>
                <w:rFonts w:ascii="Times New Roman" w:eastAsia="仿宋"/>
                <w:kern w:val="2"/>
                <w:sz w:val="21"/>
                <w:szCs w:val="21"/>
              </w:rPr>
              <w:t>熔点（℃）：104</w:t>
            </w:r>
          </w:p>
          <w:p w14:paraId="02C16335">
            <w:pPr>
              <w:snapToGrid w:val="0"/>
              <w:rPr>
                <w:rFonts w:ascii="Times New Roman" w:eastAsia="仿宋"/>
                <w:kern w:val="2"/>
                <w:sz w:val="21"/>
                <w:szCs w:val="21"/>
              </w:rPr>
            </w:pPr>
            <w:r>
              <w:rPr>
                <w:rFonts w:ascii="Times New Roman" w:eastAsia="仿宋"/>
                <w:kern w:val="2"/>
                <w:sz w:val="21"/>
                <w:szCs w:val="21"/>
              </w:rPr>
              <w:t>沸点（℃）：108</w:t>
            </w:r>
          </w:p>
          <w:p w14:paraId="6C578CA0">
            <w:pPr>
              <w:snapToGrid w:val="0"/>
              <w:rPr>
                <w:rFonts w:ascii="Times New Roman" w:eastAsia="仿宋"/>
                <w:kern w:val="2"/>
                <w:sz w:val="21"/>
                <w:szCs w:val="21"/>
              </w:rPr>
            </w:pPr>
            <w:r>
              <w:rPr>
                <w:rFonts w:ascii="Times New Roman" w:eastAsia="仿宋"/>
                <w:kern w:val="2"/>
                <w:sz w:val="21"/>
                <w:szCs w:val="21"/>
              </w:rPr>
              <w:t>饱和蒸气压（kPa）：/</w:t>
            </w:r>
          </w:p>
          <w:p w14:paraId="40559D8E">
            <w:pPr>
              <w:snapToGrid w:val="0"/>
              <w:rPr>
                <w:rFonts w:ascii="Times New Roman" w:eastAsia="仿宋"/>
                <w:kern w:val="2"/>
                <w:sz w:val="21"/>
                <w:szCs w:val="21"/>
              </w:rPr>
            </w:pPr>
            <w:r>
              <w:rPr>
                <w:rFonts w:ascii="Times New Roman" w:eastAsia="仿宋"/>
                <w:kern w:val="2"/>
                <w:sz w:val="21"/>
                <w:szCs w:val="21"/>
              </w:rPr>
              <w:t>相对密度（水=1）：1.65</w:t>
            </w:r>
          </w:p>
          <w:p w14:paraId="41A714D1">
            <w:pPr>
              <w:snapToGrid w:val="0"/>
              <w:rPr>
                <w:rFonts w:ascii="Times New Roman" w:eastAsia="仿宋"/>
                <w:kern w:val="2"/>
                <w:sz w:val="21"/>
                <w:szCs w:val="21"/>
              </w:rPr>
            </w:pPr>
            <w:r>
              <w:rPr>
                <w:rFonts w:ascii="Times New Roman" w:eastAsia="仿宋"/>
                <w:kern w:val="2"/>
                <w:sz w:val="21"/>
                <w:szCs w:val="21"/>
              </w:rPr>
              <w:t>相对密度（空气=1）：/</w:t>
            </w:r>
          </w:p>
          <w:p w14:paraId="30AC0423">
            <w:pPr>
              <w:snapToGrid w:val="0"/>
              <w:rPr>
                <w:rFonts w:ascii="Times New Roman" w:eastAsia="仿宋"/>
                <w:kern w:val="2"/>
                <w:sz w:val="21"/>
                <w:szCs w:val="21"/>
              </w:rPr>
            </w:pPr>
            <w:r>
              <w:rPr>
                <w:rFonts w:ascii="Times New Roman" w:eastAsia="仿宋"/>
                <w:kern w:val="2"/>
                <w:sz w:val="21"/>
                <w:szCs w:val="21"/>
              </w:rPr>
              <w:t>溶解性：可溶于水、乙醇和乙醚中</w:t>
            </w:r>
            <w:r>
              <w:rPr>
                <w:rFonts w:hint="eastAsia" w:ascii="Times New Roman" w:eastAsia="仿宋"/>
                <w:kern w:val="2"/>
                <w:sz w:val="21"/>
                <w:szCs w:val="21"/>
              </w:rPr>
              <w:t>，</w:t>
            </w:r>
            <w:r>
              <w:rPr>
                <w:rFonts w:ascii="Times New Roman" w:eastAsia="仿宋"/>
                <w:kern w:val="2"/>
                <w:sz w:val="21"/>
                <w:szCs w:val="21"/>
              </w:rPr>
              <w:t>不溶于苯、三氯甲烷</w:t>
            </w:r>
          </w:p>
          <w:p w14:paraId="257D587D">
            <w:pPr>
              <w:rPr>
                <w:rFonts w:ascii="Times New Roman" w:eastAsia="仿宋"/>
                <w:sz w:val="21"/>
                <w:szCs w:val="21"/>
              </w:rPr>
            </w:pPr>
            <w:r>
              <w:rPr>
                <w:rFonts w:ascii="Times New Roman" w:eastAsia="仿宋"/>
                <w:kern w:val="2"/>
                <w:sz w:val="21"/>
                <w:szCs w:val="21"/>
              </w:rPr>
              <w:t>嗅阈值：/</w:t>
            </w:r>
          </w:p>
        </w:tc>
        <w:tc>
          <w:tcPr>
            <w:tcW w:w="1701" w:type="dxa"/>
            <w:vAlign w:val="center"/>
          </w:tcPr>
          <w:p w14:paraId="21843835">
            <w:pPr>
              <w:jc w:val="center"/>
              <w:rPr>
                <w:rFonts w:ascii="Times New Roman" w:eastAsia="仿宋"/>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：1</w:t>
            </w:r>
            <w:r>
              <w:rPr>
                <w:rFonts w:hint="eastAsia" w:ascii="Times New Roman" w:eastAsia="仿宋"/>
                <w:kern w:val="2"/>
                <w:sz w:val="21"/>
                <w:szCs w:val="21"/>
              </w:rPr>
              <w:t>0</w:t>
            </w:r>
            <w:r>
              <w:rPr>
                <w:rFonts w:ascii="Times New Roman" w:eastAsia="仿宋"/>
                <w:kern w:val="2"/>
                <w:sz w:val="21"/>
                <w:szCs w:val="21"/>
              </w:rPr>
              <w:t>80</w:t>
            </w:r>
            <w:r>
              <w:rPr>
                <w:rFonts w:hint="eastAsia" w:ascii="Times New Roman" w:eastAsia="仿宋"/>
                <w:kern w:val="2"/>
                <w:sz w:val="21"/>
                <w:szCs w:val="21"/>
              </w:rPr>
              <w:t>mg/kg(大鼠经口)</w:t>
            </w:r>
          </w:p>
        </w:tc>
        <w:tc>
          <w:tcPr>
            <w:tcW w:w="2217" w:type="dxa"/>
            <w:vAlign w:val="center"/>
          </w:tcPr>
          <w:p w14:paraId="092DBA85">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点（℃）：157</w:t>
            </w:r>
          </w:p>
        </w:tc>
      </w:tr>
      <w:tr w14:paraId="50CA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337AEAE6">
            <w:pPr>
              <w:snapToGrid w:val="0"/>
              <w:rPr>
                <w:rFonts w:ascii="Times New Roman" w:eastAsia="仿宋"/>
                <w:kern w:val="2"/>
                <w:sz w:val="21"/>
                <w:szCs w:val="21"/>
              </w:rPr>
            </w:pPr>
            <w:r>
              <w:rPr>
                <w:rFonts w:hint="eastAsia" w:ascii="Times New Roman" w:eastAsia="仿宋"/>
                <w:kern w:val="2"/>
                <w:sz w:val="21"/>
                <w:szCs w:val="21"/>
              </w:rPr>
              <w:t>名称：硫酸</w:t>
            </w:r>
          </w:p>
          <w:p w14:paraId="2F156FF9">
            <w:pPr>
              <w:snapToGrid w:val="0"/>
              <w:rPr>
                <w:rFonts w:ascii="Times New Roman" w:eastAsia="仿宋"/>
                <w:kern w:val="2"/>
                <w:sz w:val="21"/>
                <w:szCs w:val="21"/>
              </w:rPr>
            </w:pPr>
            <w:r>
              <w:rPr>
                <w:rFonts w:hint="eastAsia" w:ascii="Times New Roman" w:eastAsia="仿宋"/>
                <w:kern w:val="2"/>
                <w:sz w:val="21"/>
                <w:szCs w:val="21"/>
              </w:rPr>
              <w:t>分子式：H</w:t>
            </w:r>
            <w:r>
              <w:rPr>
                <w:rFonts w:ascii="Times New Roman" w:eastAsia="仿宋"/>
                <w:kern w:val="2"/>
                <w:sz w:val="21"/>
                <w:szCs w:val="21"/>
                <w:vertAlign w:val="subscript"/>
              </w:rPr>
              <w:t>2</w:t>
            </w:r>
            <w:r>
              <w:rPr>
                <w:rFonts w:ascii="Times New Roman" w:eastAsia="仿宋"/>
                <w:kern w:val="2"/>
                <w:sz w:val="21"/>
                <w:szCs w:val="21"/>
              </w:rPr>
              <w:t>SO</w:t>
            </w:r>
            <w:r>
              <w:rPr>
                <w:rFonts w:ascii="Times New Roman" w:eastAsia="仿宋"/>
                <w:kern w:val="2"/>
                <w:sz w:val="21"/>
                <w:szCs w:val="21"/>
                <w:vertAlign w:val="subscript"/>
              </w:rPr>
              <w:t>4</w:t>
            </w:r>
          </w:p>
          <w:p w14:paraId="35A91D82">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7664</w:t>
            </w:r>
            <w:r>
              <w:rPr>
                <w:rFonts w:hint="eastAsia" w:ascii="Times New Roman" w:eastAsia="仿宋"/>
                <w:kern w:val="2"/>
                <w:sz w:val="21"/>
                <w:szCs w:val="21"/>
              </w:rPr>
              <w:t>-</w:t>
            </w:r>
            <w:r>
              <w:rPr>
                <w:rFonts w:ascii="Times New Roman" w:eastAsia="仿宋"/>
                <w:kern w:val="2"/>
                <w:sz w:val="21"/>
                <w:szCs w:val="21"/>
              </w:rPr>
              <w:t>93</w:t>
            </w:r>
            <w:r>
              <w:rPr>
                <w:rFonts w:hint="eastAsia" w:ascii="Times New Roman" w:eastAsia="仿宋"/>
                <w:kern w:val="2"/>
                <w:sz w:val="21"/>
                <w:szCs w:val="21"/>
              </w:rPr>
              <w:t>-</w:t>
            </w:r>
            <w:r>
              <w:rPr>
                <w:rFonts w:ascii="Times New Roman" w:eastAsia="仿宋"/>
                <w:kern w:val="2"/>
                <w:sz w:val="21"/>
                <w:szCs w:val="21"/>
              </w:rPr>
              <w:t>9</w:t>
            </w:r>
          </w:p>
          <w:p w14:paraId="54F6DC89">
            <w:pPr>
              <w:pStyle w:val="35"/>
            </w:pPr>
            <w:r>
              <w:rPr>
                <w:rFonts w:hint="eastAsia" w:eastAsia="仿宋"/>
              </w:rPr>
              <w:t>危规号：/</w:t>
            </w:r>
          </w:p>
        </w:tc>
        <w:tc>
          <w:tcPr>
            <w:tcW w:w="2830" w:type="dxa"/>
            <w:vAlign w:val="center"/>
          </w:tcPr>
          <w:p w14:paraId="257264D5">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无色油状液体</w:t>
            </w:r>
          </w:p>
          <w:p w14:paraId="3A8E0DD8">
            <w:pPr>
              <w:snapToGrid w:val="0"/>
              <w:rPr>
                <w:rFonts w:ascii="Times New Roman" w:eastAsia="仿宋"/>
                <w:kern w:val="2"/>
                <w:sz w:val="21"/>
                <w:szCs w:val="21"/>
              </w:rPr>
            </w:pPr>
            <w:r>
              <w:rPr>
                <w:rFonts w:ascii="Times New Roman" w:eastAsia="仿宋"/>
                <w:kern w:val="2"/>
                <w:sz w:val="21"/>
                <w:szCs w:val="21"/>
              </w:rPr>
              <w:t>分子量：98.07</w:t>
            </w:r>
          </w:p>
          <w:p w14:paraId="2009FDAD">
            <w:pPr>
              <w:snapToGrid w:val="0"/>
              <w:rPr>
                <w:rFonts w:ascii="Times New Roman" w:eastAsia="仿宋"/>
                <w:kern w:val="2"/>
                <w:sz w:val="21"/>
                <w:szCs w:val="21"/>
              </w:rPr>
            </w:pPr>
            <w:r>
              <w:rPr>
                <w:rFonts w:ascii="Times New Roman" w:eastAsia="仿宋"/>
                <w:kern w:val="2"/>
                <w:sz w:val="21"/>
                <w:szCs w:val="21"/>
              </w:rPr>
              <w:t>熔点（℃）：10</w:t>
            </w:r>
          </w:p>
          <w:p w14:paraId="01300F25">
            <w:pPr>
              <w:snapToGrid w:val="0"/>
              <w:rPr>
                <w:rFonts w:ascii="Times New Roman" w:eastAsia="仿宋"/>
                <w:kern w:val="2"/>
                <w:sz w:val="21"/>
                <w:szCs w:val="21"/>
              </w:rPr>
            </w:pPr>
            <w:r>
              <w:rPr>
                <w:rFonts w:ascii="Times New Roman" w:eastAsia="仿宋"/>
                <w:kern w:val="2"/>
                <w:sz w:val="21"/>
                <w:szCs w:val="21"/>
              </w:rPr>
              <w:t>沸点（℃）：-290</w:t>
            </w:r>
          </w:p>
          <w:p w14:paraId="054371BB">
            <w:pPr>
              <w:snapToGrid w:val="0"/>
              <w:rPr>
                <w:rFonts w:ascii="Times New Roman" w:eastAsia="仿宋"/>
                <w:kern w:val="2"/>
                <w:sz w:val="21"/>
                <w:szCs w:val="21"/>
              </w:rPr>
            </w:pPr>
            <w:r>
              <w:rPr>
                <w:rFonts w:ascii="Times New Roman" w:eastAsia="仿宋"/>
                <w:kern w:val="2"/>
                <w:sz w:val="21"/>
                <w:szCs w:val="21"/>
              </w:rPr>
              <w:t>饱和蒸气压（kPa）：/</w:t>
            </w:r>
          </w:p>
          <w:p w14:paraId="4CDFB137">
            <w:pPr>
              <w:snapToGrid w:val="0"/>
              <w:rPr>
                <w:rFonts w:ascii="Times New Roman" w:eastAsia="仿宋"/>
                <w:kern w:val="2"/>
                <w:sz w:val="21"/>
                <w:szCs w:val="21"/>
              </w:rPr>
            </w:pPr>
            <w:r>
              <w:rPr>
                <w:rFonts w:ascii="Times New Roman" w:eastAsia="仿宋"/>
                <w:kern w:val="2"/>
                <w:sz w:val="21"/>
                <w:szCs w:val="21"/>
              </w:rPr>
              <w:t>相对密度（水=1）：1.84</w:t>
            </w:r>
          </w:p>
          <w:p w14:paraId="792913AC">
            <w:pPr>
              <w:snapToGrid w:val="0"/>
              <w:rPr>
                <w:rFonts w:ascii="Times New Roman" w:eastAsia="仿宋"/>
                <w:kern w:val="2"/>
                <w:sz w:val="21"/>
                <w:szCs w:val="21"/>
              </w:rPr>
            </w:pPr>
            <w:r>
              <w:rPr>
                <w:rFonts w:ascii="Times New Roman" w:eastAsia="仿宋"/>
                <w:kern w:val="2"/>
                <w:sz w:val="21"/>
                <w:szCs w:val="21"/>
              </w:rPr>
              <w:t>相对密度（空气=1）：/</w:t>
            </w:r>
          </w:p>
          <w:p w14:paraId="5304578B">
            <w:pPr>
              <w:snapToGrid w:val="0"/>
              <w:rPr>
                <w:rFonts w:ascii="Times New Roman" w:eastAsia="仿宋"/>
                <w:kern w:val="2"/>
                <w:sz w:val="21"/>
                <w:szCs w:val="21"/>
              </w:rPr>
            </w:pPr>
            <w:r>
              <w:rPr>
                <w:rFonts w:ascii="Times New Roman" w:eastAsia="仿宋"/>
                <w:kern w:val="2"/>
                <w:sz w:val="21"/>
                <w:szCs w:val="21"/>
              </w:rPr>
              <w:t>溶解性：可溶于水、乙醇</w:t>
            </w:r>
          </w:p>
          <w:p w14:paraId="73B83DB6">
            <w:pPr>
              <w:rPr>
                <w:rFonts w:ascii="Times New Roman" w:eastAsia="仿宋"/>
                <w:sz w:val="21"/>
                <w:szCs w:val="21"/>
              </w:rPr>
            </w:pPr>
            <w:r>
              <w:rPr>
                <w:rFonts w:ascii="Times New Roman" w:eastAsia="仿宋"/>
                <w:kern w:val="2"/>
                <w:sz w:val="21"/>
                <w:szCs w:val="21"/>
              </w:rPr>
              <w:t>嗅阈值：/</w:t>
            </w:r>
          </w:p>
        </w:tc>
        <w:tc>
          <w:tcPr>
            <w:tcW w:w="1701" w:type="dxa"/>
            <w:vAlign w:val="center"/>
          </w:tcPr>
          <w:p w14:paraId="70002FB1">
            <w:pPr>
              <w:jc w:val="center"/>
              <w:rPr>
                <w:rFonts w:ascii="Times New Roman" w:eastAsia="仿宋"/>
                <w:kern w:val="2"/>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：80</w:t>
            </w:r>
            <w:r>
              <w:rPr>
                <w:rFonts w:hint="eastAsia" w:ascii="Times New Roman" w:eastAsia="仿宋"/>
                <w:kern w:val="2"/>
                <w:sz w:val="21"/>
                <w:szCs w:val="21"/>
              </w:rPr>
              <w:t>mg/kg(大鼠经口)</w:t>
            </w:r>
          </w:p>
          <w:p w14:paraId="49A66A53">
            <w:pPr>
              <w:pStyle w:val="2"/>
              <w:jc w:val="center"/>
            </w:pPr>
            <w:r>
              <w:rPr>
                <w:rFonts w:eastAsia="仿宋"/>
                <w:sz w:val="21"/>
                <w:szCs w:val="21"/>
              </w:rPr>
              <w:t>LC</w:t>
            </w:r>
            <w:r>
              <w:rPr>
                <w:rFonts w:eastAsia="仿宋"/>
                <w:sz w:val="21"/>
                <w:szCs w:val="21"/>
                <w:vertAlign w:val="subscript"/>
              </w:rPr>
              <w:t>50</w:t>
            </w:r>
            <w:r>
              <w:rPr>
                <w:rFonts w:eastAsia="仿宋"/>
                <w:sz w:val="21"/>
                <w:szCs w:val="21"/>
              </w:rPr>
              <w:t>：510</w:t>
            </w:r>
            <w:r>
              <w:rPr>
                <w:rFonts w:hint="eastAsia" w:eastAsia="仿宋"/>
                <w:sz w:val="21"/>
                <w:szCs w:val="21"/>
              </w:rPr>
              <w:t>mg/m</w:t>
            </w:r>
            <w:r>
              <w:rPr>
                <w:rFonts w:eastAsia="仿宋"/>
                <w:sz w:val="21"/>
                <w:szCs w:val="21"/>
                <w:vertAlign w:val="superscript"/>
              </w:rPr>
              <w:t>3</w:t>
            </w:r>
            <w:r>
              <w:rPr>
                <w:rFonts w:hint="eastAsia" w:eastAsia="仿宋"/>
                <w:sz w:val="21"/>
                <w:szCs w:val="21"/>
              </w:rPr>
              <w:t>(小鼠吸入，2h)</w:t>
            </w:r>
          </w:p>
        </w:tc>
        <w:tc>
          <w:tcPr>
            <w:tcW w:w="2217" w:type="dxa"/>
            <w:vAlign w:val="center"/>
          </w:tcPr>
          <w:p w14:paraId="4EC2B928">
            <w:pPr>
              <w:snapToGrid w:val="0"/>
              <w:rPr>
                <w:rFonts w:ascii="Times New Roman" w:eastAsia="仿宋"/>
                <w:kern w:val="2"/>
                <w:sz w:val="21"/>
                <w:szCs w:val="21"/>
              </w:rPr>
            </w:pPr>
            <w:r>
              <w:rPr>
                <w:rFonts w:hint="eastAsia" w:ascii="Times New Roman" w:eastAsia="仿宋"/>
                <w:kern w:val="2"/>
                <w:sz w:val="21"/>
                <w:szCs w:val="21"/>
              </w:rPr>
              <w:t>遇水大量放热，可发生沸溅。与易燃物(如苯)和可燃物(如糖、纤维素等) 接触会发生剧烈反应，甚至引起燃烧。遇电石、高氯酸盐、雷酸盐、硝酸盐、苦味酸盐、金属粉末等猛烈反应，发生爆炸或燃烧。</w:t>
            </w:r>
          </w:p>
        </w:tc>
      </w:tr>
      <w:tr w14:paraId="420E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38D78863">
            <w:pPr>
              <w:snapToGrid w:val="0"/>
              <w:rPr>
                <w:rFonts w:ascii="Times New Roman" w:eastAsia="仿宋"/>
                <w:kern w:val="2"/>
                <w:sz w:val="21"/>
                <w:szCs w:val="21"/>
              </w:rPr>
            </w:pPr>
            <w:r>
              <w:rPr>
                <w:rFonts w:hint="eastAsia" w:ascii="Times New Roman" w:eastAsia="仿宋"/>
                <w:kern w:val="2"/>
                <w:sz w:val="21"/>
                <w:szCs w:val="21"/>
              </w:rPr>
              <w:t>名称：P</w:t>
            </w:r>
            <w:r>
              <w:rPr>
                <w:rFonts w:ascii="Times New Roman" w:eastAsia="仿宋"/>
                <w:kern w:val="2"/>
                <w:sz w:val="21"/>
                <w:szCs w:val="21"/>
              </w:rPr>
              <w:t>AC</w:t>
            </w:r>
          </w:p>
          <w:p w14:paraId="000DC558">
            <w:pPr>
              <w:snapToGrid w:val="0"/>
              <w:rPr>
                <w:rFonts w:ascii="Times New Roman" w:eastAsia="仿宋"/>
                <w:kern w:val="2"/>
                <w:sz w:val="21"/>
                <w:szCs w:val="21"/>
              </w:rPr>
            </w:pPr>
            <w:r>
              <w:rPr>
                <w:rFonts w:hint="eastAsia" w:ascii="Times New Roman" w:eastAsia="仿宋"/>
                <w:kern w:val="2"/>
                <w:sz w:val="21"/>
                <w:szCs w:val="21"/>
              </w:rPr>
              <w:t>分子式：</w:t>
            </w:r>
            <w:r>
              <w:rPr>
                <w:rFonts w:ascii="Times New Roman" w:eastAsia="仿宋"/>
                <w:kern w:val="2"/>
                <w:sz w:val="21"/>
                <w:szCs w:val="21"/>
              </w:rPr>
              <w:t>AlClH</w:t>
            </w:r>
            <w:r>
              <w:rPr>
                <w:rFonts w:ascii="Times New Roman" w:eastAsia="仿宋"/>
                <w:kern w:val="2"/>
                <w:sz w:val="21"/>
                <w:szCs w:val="21"/>
                <w:vertAlign w:val="subscript"/>
              </w:rPr>
              <w:t>2</w:t>
            </w:r>
            <w:r>
              <w:rPr>
                <w:rFonts w:ascii="Times New Roman" w:eastAsia="仿宋"/>
                <w:kern w:val="2"/>
                <w:sz w:val="21"/>
                <w:szCs w:val="21"/>
              </w:rPr>
              <w:t>O</w:t>
            </w:r>
          </w:p>
          <w:p w14:paraId="485D93CC">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1327</w:t>
            </w:r>
            <w:r>
              <w:rPr>
                <w:rFonts w:hint="eastAsia" w:ascii="Times New Roman" w:eastAsia="仿宋"/>
                <w:kern w:val="2"/>
                <w:sz w:val="21"/>
                <w:szCs w:val="21"/>
              </w:rPr>
              <w:t>-</w:t>
            </w:r>
            <w:r>
              <w:rPr>
                <w:rFonts w:ascii="Times New Roman" w:eastAsia="仿宋"/>
                <w:kern w:val="2"/>
                <w:sz w:val="21"/>
                <w:szCs w:val="21"/>
              </w:rPr>
              <w:t>41</w:t>
            </w:r>
            <w:r>
              <w:rPr>
                <w:rFonts w:hint="eastAsia" w:ascii="Times New Roman" w:eastAsia="仿宋"/>
                <w:kern w:val="2"/>
                <w:sz w:val="21"/>
                <w:szCs w:val="21"/>
              </w:rPr>
              <w:t>-</w:t>
            </w:r>
            <w:r>
              <w:rPr>
                <w:rFonts w:ascii="Times New Roman" w:eastAsia="仿宋"/>
                <w:kern w:val="2"/>
                <w:sz w:val="21"/>
                <w:szCs w:val="21"/>
              </w:rPr>
              <w:t>9</w:t>
            </w:r>
          </w:p>
          <w:p w14:paraId="781A7BFF">
            <w:pPr>
              <w:pStyle w:val="35"/>
            </w:pPr>
            <w:r>
              <w:rPr>
                <w:rFonts w:hint="eastAsia" w:eastAsia="仿宋"/>
              </w:rPr>
              <w:t>危规号：/</w:t>
            </w:r>
          </w:p>
        </w:tc>
        <w:tc>
          <w:tcPr>
            <w:tcW w:w="2830" w:type="dxa"/>
            <w:vAlign w:val="center"/>
          </w:tcPr>
          <w:p w14:paraId="0BDB5E9D">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黄色至棕色固体</w:t>
            </w:r>
          </w:p>
          <w:p w14:paraId="491EECD4">
            <w:pPr>
              <w:snapToGrid w:val="0"/>
              <w:rPr>
                <w:rFonts w:ascii="Times New Roman" w:eastAsia="仿宋"/>
                <w:kern w:val="2"/>
                <w:sz w:val="21"/>
                <w:szCs w:val="21"/>
              </w:rPr>
            </w:pPr>
            <w:r>
              <w:rPr>
                <w:rFonts w:ascii="Times New Roman" w:eastAsia="仿宋"/>
                <w:kern w:val="2"/>
                <w:sz w:val="21"/>
                <w:szCs w:val="21"/>
              </w:rPr>
              <w:t>分子量：80.44</w:t>
            </w:r>
          </w:p>
          <w:p w14:paraId="446BA86E">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w:t>
            </w:r>
          </w:p>
          <w:p w14:paraId="737B981B">
            <w:pPr>
              <w:snapToGrid w:val="0"/>
              <w:rPr>
                <w:rFonts w:ascii="Times New Roman" w:eastAsia="仿宋"/>
                <w:kern w:val="2"/>
                <w:sz w:val="21"/>
                <w:szCs w:val="21"/>
              </w:rPr>
            </w:pPr>
            <w:r>
              <w:rPr>
                <w:rFonts w:ascii="Times New Roman" w:eastAsia="仿宋"/>
                <w:kern w:val="2"/>
                <w:sz w:val="21"/>
                <w:szCs w:val="21"/>
              </w:rPr>
              <w:t>沸点（℃）：/</w:t>
            </w:r>
          </w:p>
          <w:p w14:paraId="00B41EBB">
            <w:pPr>
              <w:snapToGrid w:val="0"/>
              <w:rPr>
                <w:rFonts w:ascii="Times New Roman" w:eastAsia="仿宋"/>
                <w:kern w:val="2"/>
                <w:sz w:val="21"/>
                <w:szCs w:val="21"/>
              </w:rPr>
            </w:pPr>
            <w:r>
              <w:rPr>
                <w:rFonts w:ascii="Times New Roman" w:eastAsia="仿宋"/>
                <w:kern w:val="2"/>
                <w:sz w:val="21"/>
                <w:szCs w:val="21"/>
              </w:rPr>
              <w:t>饱和蒸气压（kPa）：/</w:t>
            </w:r>
          </w:p>
          <w:p w14:paraId="418C73AA">
            <w:pPr>
              <w:snapToGrid w:val="0"/>
              <w:rPr>
                <w:rFonts w:ascii="Times New Roman" w:eastAsia="仿宋"/>
                <w:kern w:val="2"/>
                <w:sz w:val="21"/>
                <w:szCs w:val="21"/>
              </w:rPr>
            </w:pPr>
            <w:r>
              <w:rPr>
                <w:rFonts w:ascii="Times New Roman" w:eastAsia="仿宋"/>
                <w:kern w:val="2"/>
                <w:sz w:val="21"/>
                <w:szCs w:val="21"/>
              </w:rPr>
              <w:t>相对密度（水=1）：/</w:t>
            </w:r>
          </w:p>
          <w:p w14:paraId="537D7299">
            <w:pPr>
              <w:snapToGrid w:val="0"/>
              <w:rPr>
                <w:rFonts w:ascii="Times New Roman" w:eastAsia="仿宋"/>
                <w:kern w:val="2"/>
                <w:sz w:val="21"/>
                <w:szCs w:val="21"/>
              </w:rPr>
            </w:pPr>
            <w:r>
              <w:rPr>
                <w:rFonts w:ascii="Times New Roman" w:eastAsia="仿宋"/>
                <w:kern w:val="2"/>
                <w:sz w:val="21"/>
                <w:szCs w:val="21"/>
              </w:rPr>
              <w:t>相对密度（空气=1）：/</w:t>
            </w:r>
          </w:p>
          <w:p w14:paraId="39C8C12C">
            <w:pPr>
              <w:snapToGrid w:val="0"/>
              <w:rPr>
                <w:rFonts w:ascii="Times New Roman" w:eastAsia="仿宋"/>
                <w:kern w:val="2"/>
                <w:sz w:val="21"/>
                <w:szCs w:val="21"/>
              </w:rPr>
            </w:pPr>
            <w:r>
              <w:rPr>
                <w:rFonts w:ascii="Times New Roman" w:eastAsia="仿宋"/>
                <w:kern w:val="2"/>
                <w:sz w:val="21"/>
                <w:szCs w:val="21"/>
              </w:rPr>
              <w:t>溶解性：易溶于水及稀酒精，不溶于无水酒精及甘油</w:t>
            </w:r>
          </w:p>
          <w:p w14:paraId="6D2AA182">
            <w:pPr>
              <w:rPr>
                <w:rFonts w:ascii="Times New Roman" w:eastAsia="仿宋"/>
                <w:sz w:val="21"/>
                <w:szCs w:val="21"/>
              </w:rPr>
            </w:pPr>
            <w:r>
              <w:rPr>
                <w:rFonts w:ascii="Times New Roman" w:eastAsia="仿宋"/>
                <w:kern w:val="2"/>
                <w:sz w:val="21"/>
                <w:szCs w:val="21"/>
              </w:rPr>
              <w:t>嗅阈值：/</w:t>
            </w:r>
          </w:p>
        </w:tc>
        <w:tc>
          <w:tcPr>
            <w:tcW w:w="1701" w:type="dxa"/>
            <w:vAlign w:val="center"/>
          </w:tcPr>
          <w:p w14:paraId="3C014D83">
            <w:pPr>
              <w:pStyle w:val="2"/>
              <w:jc w:val="center"/>
            </w:pPr>
            <w:r>
              <w:rPr>
                <w:rFonts w:hint="eastAsia"/>
              </w:rPr>
              <w:t>/</w:t>
            </w:r>
          </w:p>
        </w:tc>
        <w:tc>
          <w:tcPr>
            <w:tcW w:w="2217" w:type="dxa"/>
            <w:vAlign w:val="center"/>
          </w:tcPr>
          <w:p w14:paraId="21F3231F">
            <w:pPr>
              <w:snapToGrid w:val="0"/>
              <w:jc w:val="center"/>
              <w:rPr>
                <w:rFonts w:ascii="Times New Roman" w:eastAsia="仿宋"/>
                <w:kern w:val="2"/>
                <w:sz w:val="21"/>
                <w:szCs w:val="21"/>
              </w:rPr>
            </w:pPr>
            <w:r>
              <w:rPr>
                <w:rFonts w:hint="eastAsia" w:ascii="Times New Roman" w:eastAsia="仿宋"/>
                <w:kern w:val="2"/>
                <w:sz w:val="21"/>
                <w:szCs w:val="21"/>
              </w:rPr>
              <w:t>/</w:t>
            </w:r>
          </w:p>
        </w:tc>
      </w:tr>
      <w:tr w14:paraId="126D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42967A8C">
            <w:pPr>
              <w:snapToGrid w:val="0"/>
              <w:rPr>
                <w:rFonts w:ascii="Times New Roman" w:eastAsia="仿宋"/>
                <w:kern w:val="2"/>
                <w:sz w:val="21"/>
                <w:szCs w:val="21"/>
              </w:rPr>
            </w:pPr>
            <w:r>
              <w:rPr>
                <w:rFonts w:hint="eastAsia" w:ascii="Times New Roman" w:eastAsia="仿宋"/>
                <w:kern w:val="2"/>
                <w:sz w:val="21"/>
                <w:szCs w:val="21"/>
              </w:rPr>
              <w:t>名称：P</w:t>
            </w:r>
            <w:r>
              <w:rPr>
                <w:rFonts w:ascii="Times New Roman" w:eastAsia="仿宋"/>
                <w:kern w:val="2"/>
                <w:sz w:val="21"/>
                <w:szCs w:val="21"/>
              </w:rPr>
              <w:t>AM</w:t>
            </w:r>
          </w:p>
          <w:p w14:paraId="1C1E3DCE">
            <w:pPr>
              <w:snapToGrid w:val="0"/>
              <w:rPr>
                <w:rFonts w:ascii="Times New Roman" w:eastAsia="仿宋"/>
                <w:kern w:val="2"/>
                <w:sz w:val="21"/>
                <w:szCs w:val="21"/>
              </w:rPr>
            </w:pPr>
            <w:r>
              <w:rPr>
                <w:rFonts w:hint="eastAsia" w:ascii="Times New Roman" w:eastAsia="仿宋"/>
                <w:kern w:val="2"/>
                <w:sz w:val="21"/>
                <w:szCs w:val="21"/>
              </w:rPr>
              <w:t>分子式：</w:t>
            </w:r>
            <w:r>
              <w:rPr>
                <w:rFonts w:ascii="Times New Roman" w:eastAsia="仿宋"/>
                <w:kern w:val="2"/>
                <w:sz w:val="21"/>
                <w:szCs w:val="21"/>
              </w:rPr>
              <w:t>C</w:t>
            </w:r>
            <w:r>
              <w:rPr>
                <w:rFonts w:ascii="Times New Roman" w:eastAsia="仿宋"/>
                <w:kern w:val="2"/>
                <w:sz w:val="21"/>
                <w:szCs w:val="21"/>
                <w:vertAlign w:val="subscript"/>
              </w:rPr>
              <w:t>8</w:t>
            </w:r>
            <w:r>
              <w:rPr>
                <w:rFonts w:ascii="Times New Roman" w:eastAsia="仿宋"/>
                <w:kern w:val="2"/>
                <w:sz w:val="21"/>
                <w:szCs w:val="21"/>
              </w:rPr>
              <w:t>H</w:t>
            </w:r>
            <w:r>
              <w:rPr>
                <w:rFonts w:ascii="Times New Roman" w:eastAsia="仿宋"/>
                <w:kern w:val="2"/>
                <w:sz w:val="21"/>
                <w:szCs w:val="21"/>
                <w:vertAlign w:val="subscript"/>
              </w:rPr>
              <w:t>15</w:t>
            </w:r>
            <w:r>
              <w:rPr>
                <w:rFonts w:ascii="Times New Roman" w:eastAsia="仿宋"/>
                <w:kern w:val="2"/>
                <w:sz w:val="21"/>
                <w:szCs w:val="21"/>
              </w:rPr>
              <w:t>NO</w:t>
            </w:r>
            <w:r>
              <w:rPr>
                <w:rFonts w:ascii="Times New Roman" w:eastAsia="仿宋"/>
                <w:kern w:val="2"/>
                <w:sz w:val="21"/>
                <w:szCs w:val="21"/>
                <w:vertAlign w:val="subscript"/>
              </w:rPr>
              <w:t>3</w:t>
            </w:r>
          </w:p>
          <w:p w14:paraId="5E322FF5">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25085</w:t>
            </w:r>
            <w:r>
              <w:rPr>
                <w:rFonts w:hint="eastAsia" w:ascii="Times New Roman" w:eastAsia="仿宋"/>
                <w:kern w:val="2"/>
                <w:sz w:val="21"/>
                <w:szCs w:val="21"/>
              </w:rPr>
              <w:t>-</w:t>
            </w:r>
            <w:r>
              <w:rPr>
                <w:rFonts w:ascii="Times New Roman" w:eastAsia="仿宋"/>
                <w:kern w:val="2"/>
                <w:sz w:val="21"/>
                <w:szCs w:val="21"/>
              </w:rPr>
              <w:t>02</w:t>
            </w:r>
            <w:r>
              <w:rPr>
                <w:rFonts w:hint="eastAsia" w:ascii="Times New Roman" w:eastAsia="仿宋"/>
                <w:kern w:val="2"/>
                <w:sz w:val="21"/>
                <w:szCs w:val="21"/>
              </w:rPr>
              <w:t>-</w:t>
            </w:r>
            <w:r>
              <w:rPr>
                <w:rFonts w:ascii="Times New Roman" w:eastAsia="仿宋"/>
                <w:kern w:val="2"/>
                <w:sz w:val="21"/>
                <w:szCs w:val="21"/>
              </w:rPr>
              <w:t>3</w:t>
            </w:r>
          </w:p>
          <w:p w14:paraId="4FD7F739">
            <w:pPr>
              <w:pStyle w:val="35"/>
            </w:pPr>
            <w:r>
              <w:rPr>
                <w:rFonts w:hint="eastAsia" w:eastAsia="仿宋"/>
              </w:rPr>
              <w:t>危规号：/</w:t>
            </w:r>
          </w:p>
        </w:tc>
        <w:tc>
          <w:tcPr>
            <w:tcW w:w="2830" w:type="dxa"/>
            <w:vAlign w:val="center"/>
          </w:tcPr>
          <w:p w14:paraId="6BDFC169">
            <w:pPr>
              <w:snapToGrid w:val="0"/>
              <w:rPr>
                <w:rFonts w:ascii="Times New Roman" w:eastAsia="仿宋"/>
                <w:kern w:val="2"/>
                <w:sz w:val="21"/>
                <w:szCs w:val="21"/>
              </w:rPr>
            </w:pPr>
            <w:r>
              <w:rPr>
                <w:rFonts w:ascii="Times New Roman" w:eastAsia="仿宋"/>
                <w:kern w:val="2"/>
                <w:sz w:val="21"/>
                <w:szCs w:val="21"/>
              </w:rPr>
              <w:t>性状：</w:t>
            </w:r>
            <w:r>
              <w:rPr>
                <w:rFonts w:hint="eastAsia" w:ascii="Times New Roman" w:eastAsia="仿宋"/>
                <w:kern w:val="2"/>
                <w:sz w:val="21"/>
                <w:szCs w:val="21"/>
              </w:rPr>
              <w:t>黄色至棕色固体</w:t>
            </w:r>
          </w:p>
          <w:p w14:paraId="2D6C02BB">
            <w:pPr>
              <w:snapToGrid w:val="0"/>
              <w:rPr>
                <w:rFonts w:ascii="Times New Roman" w:eastAsia="仿宋"/>
                <w:kern w:val="2"/>
                <w:sz w:val="21"/>
                <w:szCs w:val="21"/>
              </w:rPr>
            </w:pPr>
            <w:r>
              <w:rPr>
                <w:rFonts w:ascii="Times New Roman" w:eastAsia="仿宋"/>
                <w:kern w:val="2"/>
                <w:sz w:val="21"/>
                <w:szCs w:val="21"/>
              </w:rPr>
              <w:t>分子量：173.21</w:t>
            </w:r>
          </w:p>
          <w:p w14:paraId="04495E63">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w:t>
            </w:r>
          </w:p>
          <w:p w14:paraId="3D44184C">
            <w:pPr>
              <w:snapToGrid w:val="0"/>
              <w:rPr>
                <w:rFonts w:ascii="Times New Roman" w:eastAsia="仿宋"/>
                <w:kern w:val="2"/>
                <w:sz w:val="21"/>
                <w:szCs w:val="21"/>
              </w:rPr>
            </w:pPr>
            <w:r>
              <w:rPr>
                <w:rFonts w:ascii="Times New Roman" w:eastAsia="仿宋"/>
                <w:kern w:val="2"/>
                <w:sz w:val="21"/>
                <w:szCs w:val="21"/>
              </w:rPr>
              <w:t>沸点（℃）：395</w:t>
            </w:r>
          </w:p>
          <w:p w14:paraId="1FEE01E1">
            <w:pPr>
              <w:snapToGrid w:val="0"/>
              <w:rPr>
                <w:rFonts w:ascii="Times New Roman" w:eastAsia="仿宋"/>
                <w:kern w:val="2"/>
                <w:sz w:val="21"/>
                <w:szCs w:val="21"/>
              </w:rPr>
            </w:pPr>
            <w:r>
              <w:rPr>
                <w:rFonts w:ascii="Times New Roman" w:eastAsia="仿宋"/>
                <w:kern w:val="2"/>
                <w:sz w:val="21"/>
                <w:szCs w:val="21"/>
              </w:rPr>
              <w:t>饱和蒸气压（kPa）：/</w:t>
            </w:r>
          </w:p>
          <w:p w14:paraId="23A36CD6">
            <w:pPr>
              <w:snapToGrid w:val="0"/>
              <w:rPr>
                <w:rFonts w:ascii="Times New Roman" w:eastAsia="仿宋"/>
                <w:kern w:val="2"/>
                <w:sz w:val="21"/>
                <w:szCs w:val="21"/>
              </w:rPr>
            </w:pPr>
            <w:r>
              <w:rPr>
                <w:rFonts w:ascii="Times New Roman" w:eastAsia="仿宋"/>
                <w:kern w:val="2"/>
                <w:sz w:val="21"/>
                <w:szCs w:val="21"/>
              </w:rPr>
              <w:t>相对密度（水=1）：1.1</w:t>
            </w:r>
          </w:p>
          <w:p w14:paraId="6594FB7F">
            <w:pPr>
              <w:snapToGrid w:val="0"/>
              <w:rPr>
                <w:rFonts w:ascii="Times New Roman" w:eastAsia="仿宋"/>
                <w:kern w:val="2"/>
                <w:sz w:val="21"/>
                <w:szCs w:val="21"/>
              </w:rPr>
            </w:pPr>
            <w:r>
              <w:rPr>
                <w:rFonts w:ascii="Times New Roman" w:eastAsia="仿宋"/>
                <w:kern w:val="2"/>
                <w:sz w:val="21"/>
                <w:szCs w:val="21"/>
              </w:rPr>
              <w:t>相对密度（空气=1）：/</w:t>
            </w:r>
          </w:p>
          <w:p w14:paraId="6924CA1F">
            <w:pPr>
              <w:snapToGrid w:val="0"/>
              <w:rPr>
                <w:rFonts w:ascii="Times New Roman" w:eastAsia="仿宋"/>
                <w:kern w:val="2"/>
                <w:sz w:val="21"/>
                <w:szCs w:val="21"/>
              </w:rPr>
            </w:pPr>
            <w:r>
              <w:rPr>
                <w:rFonts w:ascii="Times New Roman" w:eastAsia="仿宋"/>
                <w:kern w:val="2"/>
                <w:sz w:val="21"/>
                <w:szCs w:val="21"/>
              </w:rPr>
              <w:t>溶解性：</w:t>
            </w:r>
            <w:r>
              <w:rPr>
                <w:rFonts w:hint="eastAsia" w:ascii="Times New Roman" w:eastAsia="仿宋"/>
                <w:kern w:val="2"/>
                <w:sz w:val="21"/>
                <w:szCs w:val="21"/>
              </w:rPr>
              <w:t>/</w:t>
            </w:r>
          </w:p>
          <w:p w14:paraId="2855D82E">
            <w:pPr>
              <w:rPr>
                <w:rFonts w:ascii="Times New Roman" w:eastAsia="仿宋"/>
                <w:sz w:val="21"/>
                <w:szCs w:val="21"/>
              </w:rPr>
            </w:pPr>
            <w:r>
              <w:rPr>
                <w:rFonts w:ascii="Times New Roman" w:eastAsia="仿宋"/>
                <w:kern w:val="2"/>
                <w:sz w:val="21"/>
                <w:szCs w:val="21"/>
              </w:rPr>
              <w:t>嗅阈值：/</w:t>
            </w:r>
          </w:p>
        </w:tc>
        <w:tc>
          <w:tcPr>
            <w:tcW w:w="1701" w:type="dxa"/>
            <w:vAlign w:val="center"/>
          </w:tcPr>
          <w:p w14:paraId="0FDF0DCE">
            <w:pPr>
              <w:pStyle w:val="2"/>
              <w:jc w:val="center"/>
            </w:pPr>
            <w:r>
              <w:rPr>
                <w:rFonts w:hint="eastAsia"/>
              </w:rPr>
              <w:t>/</w:t>
            </w:r>
          </w:p>
        </w:tc>
        <w:tc>
          <w:tcPr>
            <w:tcW w:w="2217" w:type="dxa"/>
            <w:vAlign w:val="center"/>
          </w:tcPr>
          <w:p w14:paraId="4AC61395">
            <w:pPr>
              <w:snapToGrid w:val="0"/>
              <w:jc w:val="center"/>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点（℃）：192.7</w:t>
            </w:r>
          </w:p>
        </w:tc>
      </w:tr>
      <w:tr w14:paraId="4DAB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17E8F9FE">
            <w:pPr>
              <w:snapToGrid w:val="0"/>
              <w:rPr>
                <w:rFonts w:ascii="Times New Roman" w:eastAsia="仿宋"/>
                <w:kern w:val="2"/>
                <w:sz w:val="21"/>
                <w:szCs w:val="21"/>
              </w:rPr>
            </w:pPr>
            <w:r>
              <w:rPr>
                <w:rFonts w:hint="eastAsia" w:ascii="Times New Roman" w:eastAsia="仿宋"/>
                <w:kern w:val="2"/>
                <w:sz w:val="21"/>
                <w:szCs w:val="21"/>
              </w:rPr>
              <w:t>名称：</w:t>
            </w:r>
            <w:r>
              <w:rPr>
                <w:rFonts w:ascii="Times New Roman" w:eastAsia="仿宋"/>
                <w:kern w:val="2"/>
                <w:sz w:val="21"/>
                <w:szCs w:val="21"/>
              </w:rPr>
              <w:t>二甲</w:t>
            </w:r>
            <w:r>
              <w:rPr>
                <w:rFonts w:hint="eastAsia" w:ascii="Times New Roman" w:eastAsia="仿宋"/>
                <w:kern w:val="2"/>
                <w:sz w:val="21"/>
                <w:szCs w:val="21"/>
              </w:rPr>
              <w:t>苯</w:t>
            </w:r>
          </w:p>
          <w:p w14:paraId="658836B6">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8</w:t>
            </w:r>
            <w:r>
              <w:rPr>
                <w:rFonts w:ascii="Times New Roman" w:eastAsia="仿宋"/>
                <w:kern w:val="2"/>
                <w:sz w:val="21"/>
                <w:szCs w:val="21"/>
              </w:rPr>
              <w:t>H</w:t>
            </w:r>
            <w:r>
              <w:rPr>
                <w:rFonts w:ascii="Times New Roman" w:eastAsia="仿宋"/>
                <w:kern w:val="2"/>
                <w:sz w:val="21"/>
                <w:szCs w:val="21"/>
                <w:vertAlign w:val="subscript"/>
              </w:rPr>
              <w:t>10</w:t>
            </w:r>
          </w:p>
          <w:p w14:paraId="3649FBBB">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号：13</w:t>
            </w:r>
            <w:r>
              <w:rPr>
                <w:rFonts w:ascii="Times New Roman" w:eastAsia="仿宋"/>
                <w:kern w:val="2"/>
                <w:sz w:val="21"/>
                <w:szCs w:val="21"/>
              </w:rPr>
              <w:t>30</w:t>
            </w:r>
            <w:r>
              <w:rPr>
                <w:rFonts w:hint="eastAsia" w:ascii="Times New Roman" w:eastAsia="仿宋"/>
                <w:kern w:val="2"/>
                <w:sz w:val="21"/>
                <w:szCs w:val="21"/>
              </w:rPr>
              <w:t>-</w:t>
            </w:r>
            <w:r>
              <w:rPr>
                <w:rFonts w:ascii="Times New Roman" w:eastAsia="仿宋"/>
                <w:kern w:val="2"/>
                <w:sz w:val="21"/>
                <w:szCs w:val="21"/>
              </w:rPr>
              <w:t>20</w:t>
            </w:r>
            <w:r>
              <w:rPr>
                <w:rFonts w:hint="eastAsia" w:ascii="Times New Roman" w:eastAsia="仿宋"/>
                <w:kern w:val="2"/>
                <w:sz w:val="21"/>
                <w:szCs w:val="21"/>
              </w:rPr>
              <w:t>-</w:t>
            </w:r>
            <w:r>
              <w:rPr>
                <w:rFonts w:ascii="Times New Roman" w:eastAsia="仿宋"/>
                <w:kern w:val="2"/>
                <w:sz w:val="21"/>
                <w:szCs w:val="21"/>
              </w:rPr>
              <w:t>7</w:t>
            </w:r>
          </w:p>
          <w:p w14:paraId="1F6C673B">
            <w:pPr>
              <w:pStyle w:val="35"/>
            </w:pPr>
            <w:r>
              <w:rPr>
                <w:rFonts w:hint="eastAsia" w:eastAsia="仿宋"/>
                <w:szCs w:val="21"/>
              </w:rPr>
              <w:t>危规号：1</w:t>
            </w:r>
            <w:r>
              <w:rPr>
                <w:rFonts w:eastAsia="仿宋"/>
                <w:szCs w:val="21"/>
              </w:rPr>
              <w:t>307</w:t>
            </w:r>
          </w:p>
        </w:tc>
        <w:tc>
          <w:tcPr>
            <w:tcW w:w="2830" w:type="dxa"/>
            <w:vAlign w:val="center"/>
          </w:tcPr>
          <w:p w14:paraId="34F888F8">
            <w:pPr>
              <w:snapToGrid w:val="0"/>
              <w:rPr>
                <w:rFonts w:ascii="Times New Roman" w:eastAsia="仿宋"/>
                <w:kern w:val="2"/>
                <w:sz w:val="21"/>
                <w:szCs w:val="21"/>
              </w:rPr>
            </w:pPr>
            <w:r>
              <w:rPr>
                <w:rFonts w:ascii="Times New Roman" w:eastAsia="仿宋"/>
                <w:kern w:val="2"/>
                <w:sz w:val="21"/>
                <w:szCs w:val="21"/>
              </w:rPr>
              <w:t>性状：无色透明可燃易挥发的液体，有芳香气味</w:t>
            </w:r>
          </w:p>
          <w:p w14:paraId="41E1A5C2">
            <w:pPr>
              <w:snapToGrid w:val="0"/>
              <w:rPr>
                <w:rFonts w:ascii="Times New Roman" w:eastAsia="仿宋"/>
                <w:kern w:val="2"/>
                <w:sz w:val="21"/>
                <w:szCs w:val="21"/>
              </w:rPr>
            </w:pPr>
            <w:r>
              <w:rPr>
                <w:rFonts w:ascii="Times New Roman" w:eastAsia="仿宋"/>
                <w:kern w:val="2"/>
                <w:sz w:val="21"/>
                <w:szCs w:val="21"/>
              </w:rPr>
              <w:t>分子量：106.105</w:t>
            </w:r>
          </w:p>
          <w:p w14:paraId="52703452">
            <w:pPr>
              <w:snapToGrid w:val="0"/>
              <w:rPr>
                <w:rFonts w:ascii="Times New Roman" w:eastAsia="仿宋"/>
                <w:kern w:val="2"/>
                <w:sz w:val="21"/>
                <w:szCs w:val="21"/>
              </w:rPr>
            </w:pPr>
            <w:r>
              <w:rPr>
                <w:rFonts w:ascii="Times New Roman" w:eastAsia="仿宋"/>
                <w:kern w:val="2"/>
                <w:sz w:val="21"/>
                <w:szCs w:val="21"/>
              </w:rPr>
              <w:t>熔点（℃）：-34</w:t>
            </w:r>
          </w:p>
          <w:p w14:paraId="3ABE97F2">
            <w:pPr>
              <w:snapToGrid w:val="0"/>
              <w:rPr>
                <w:rFonts w:ascii="Times New Roman" w:eastAsia="仿宋"/>
                <w:kern w:val="2"/>
                <w:sz w:val="21"/>
                <w:szCs w:val="21"/>
              </w:rPr>
            </w:pPr>
            <w:r>
              <w:rPr>
                <w:rFonts w:ascii="Times New Roman" w:eastAsia="仿宋"/>
                <w:kern w:val="2"/>
                <w:sz w:val="21"/>
                <w:szCs w:val="21"/>
              </w:rPr>
              <w:t>沸点（℃）：145.9</w:t>
            </w:r>
          </w:p>
          <w:p w14:paraId="5F97E1C0">
            <w:pPr>
              <w:snapToGrid w:val="0"/>
              <w:rPr>
                <w:rFonts w:ascii="Times New Roman" w:eastAsia="仿宋"/>
                <w:kern w:val="2"/>
                <w:sz w:val="21"/>
                <w:szCs w:val="21"/>
              </w:rPr>
            </w:pPr>
            <w:r>
              <w:rPr>
                <w:rFonts w:ascii="Times New Roman" w:eastAsia="仿宋"/>
                <w:kern w:val="2"/>
                <w:sz w:val="21"/>
                <w:szCs w:val="21"/>
              </w:rPr>
              <w:t>饱和蒸气压（kPa）：/</w:t>
            </w:r>
          </w:p>
          <w:p w14:paraId="3E6E671D">
            <w:pPr>
              <w:snapToGrid w:val="0"/>
              <w:rPr>
                <w:rFonts w:ascii="Times New Roman" w:eastAsia="仿宋"/>
                <w:kern w:val="2"/>
                <w:sz w:val="21"/>
                <w:szCs w:val="21"/>
              </w:rPr>
            </w:pPr>
            <w:r>
              <w:rPr>
                <w:rFonts w:ascii="Times New Roman" w:eastAsia="仿宋"/>
                <w:kern w:val="2"/>
                <w:sz w:val="21"/>
                <w:szCs w:val="21"/>
              </w:rPr>
              <w:t>相对密度（水=1）：0.9</w:t>
            </w:r>
          </w:p>
          <w:p w14:paraId="641BC99E">
            <w:pPr>
              <w:snapToGrid w:val="0"/>
              <w:rPr>
                <w:rFonts w:ascii="Times New Roman" w:eastAsia="仿宋"/>
                <w:kern w:val="2"/>
                <w:sz w:val="21"/>
                <w:szCs w:val="21"/>
              </w:rPr>
            </w:pPr>
            <w:r>
              <w:rPr>
                <w:rFonts w:ascii="Times New Roman" w:eastAsia="仿宋"/>
                <w:kern w:val="2"/>
                <w:sz w:val="21"/>
                <w:szCs w:val="21"/>
              </w:rPr>
              <w:t>相对密度（空气=1）：3.7</w:t>
            </w:r>
          </w:p>
          <w:p w14:paraId="184BEABC">
            <w:pPr>
              <w:snapToGrid w:val="0"/>
              <w:rPr>
                <w:rFonts w:ascii="Times New Roman" w:eastAsia="仿宋"/>
                <w:kern w:val="2"/>
                <w:sz w:val="21"/>
                <w:szCs w:val="21"/>
              </w:rPr>
            </w:pPr>
            <w:r>
              <w:rPr>
                <w:rFonts w:ascii="Times New Roman" w:eastAsia="仿宋"/>
                <w:kern w:val="2"/>
                <w:sz w:val="21"/>
                <w:szCs w:val="21"/>
              </w:rPr>
              <w:t>溶解性：能与乙醇、乙醚、三氯甲烷等多种有机溶剂相混溶，不溶于水</w:t>
            </w:r>
          </w:p>
          <w:p w14:paraId="78EF2FB0">
            <w:pPr>
              <w:rPr>
                <w:rFonts w:ascii="Times New Roman" w:eastAsia="仿宋"/>
                <w:sz w:val="21"/>
                <w:szCs w:val="21"/>
              </w:rPr>
            </w:pPr>
            <w:r>
              <w:rPr>
                <w:rFonts w:ascii="Times New Roman" w:eastAsia="仿宋"/>
                <w:kern w:val="2"/>
                <w:sz w:val="21"/>
                <w:szCs w:val="21"/>
              </w:rPr>
              <w:t>嗅阈值：/</w:t>
            </w:r>
          </w:p>
        </w:tc>
        <w:tc>
          <w:tcPr>
            <w:tcW w:w="1701" w:type="dxa"/>
            <w:vAlign w:val="center"/>
          </w:tcPr>
          <w:p w14:paraId="3085D50A">
            <w:pPr>
              <w:jc w:val="center"/>
              <w:rPr>
                <w:rFonts w:ascii="Times New Roman" w:eastAsia="仿宋"/>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：430</w:t>
            </w:r>
            <w:r>
              <w:rPr>
                <w:rFonts w:hint="eastAsia" w:ascii="Times New Roman" w:eastAsia="仿宋"/>
                <w:kern w:val="2"/>
                <w:sz w:val="21"/>
                <w:szCs w:val="21"/>
              </w:rPr>
              <w:t>0mg/kg(大鼠经口)</w:t>
            </w:r>
          </w:p>
        </w:tc>
        <w:tc>
          <w:tcPr>
            <w:tcW w:w="2217" w:type="dxa"/>
            <w:vAlign w:val="center"/>
          </w:tcPr>
          <w:p w14:paraId="48547B4C">
            <w:pPr>
              <w:snapToGrid w:val="0"/>
              <w:rPr>
                <w:rFonts w:ascii="Times New Roman" w:eastAsia="仿宋"/>
                <w:kern w:val="2"/>
                <w:sz w:val="21"/>
                <w:szCs w:val="21"/>
              </w:rPr>
            </w:pPr>
            <w:r>
              <w:rPr>
                <w:rFonts w:hint="eastAsia" w:ascii="Times New Roman" w:eastAsia="仿宋"/>
                <w:kern w:val="2"/>
                <w:sz w:val="21"/>
                <w:szCs w:val="21"/>
              </w:rPr>
              <w:t>爆炸上限[%(V/V)]：7</w:t>
            </w:r>
          </w:p>
          <w:p w14:paraId="4A1FDF6D">
            <w:pPr>
              <w:snapToGrid w:val="0"/>
              <w:rPr>
                <w:rFonts w:ascii="Times New Roman" w:eastAsia="仿宋"/>
                <w:kern w:val="2"/>
                <w:sz w:val="21"/>
                <w:szCs w:val="21"/>
              </w:rPr>
            </w:pPr>
            <w:r>
              <w:rPr>
                <w:rFonts w:hint="eastAsia" w:ascii="Times New Roman" w:eastAsia="仿宋"/>
                <w:kern w:val="2"/>
                <w:sz w:val="21"/>
                <w:szCs w:val="21"/>
              </w:rPr>
              <w:t>爆炸下限[%(V/V)]：1.1</w:t>
            </w:r>
          </w:p>
          <w:p w14:paraId="5AF35FC0">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点（℃）：32.2</w:t>
            </w:r>
          </w:p>
          <w:p w14:paraId="24B56D97">
            <w:pPr>
              <w:jc w:val="center"/>
              <w:rPr>
                <w:rFonts w:ascii="Times New Roman" w:eastAsia="仿宋"/>
                <w:sz w:val="21"/>
                <w:szCs w:val="21"/>
              </w:rPr>
            </w:pPr>
            <w:r>
              <w:rPr>
                <w:rFonts w:hint="eastAsia" w:ascii="Times New Roman" w:eastAsia="仿宋"/>
                <w:kern w:val="2"/>
                <w:sz w:val="21"/>
                <w:szCs w:val="21"/>
              </w:rPr>
              <w:t>易燃，其蒸气与空气可形成爆炸性混合物。遇明火、高热能引起燃烧爆炸</w:t>
            </w:r>
          </w:p>
        </w:tc>
      </w:tr>
      <w:tr w14:paraId="5228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47C4A448">
            <w:pPr>
              <w:snapToGrid w:val="0"/>
              <w:rPr>
                <w:rFonts w:ascii="Times New Roman" w:eastAsia="仿宋"/>
                <w:kern w:val="2"/>
                <w:sz w:val="21"/>
                <w:szCs w:val="21"/>
              </w:rPr>
            </w:pPr>
            <w:r>
              <w:rPr>
                <w:rFonts w:hint="eastAsia" w:ascii="Times New Roman" w:eastAsia="仿宋"/>
                <w:kern w:val="2"/>
                <w:sz w:val="21"/>
                <w:szCs w:val="21"/>
              </w:rPr>
              <w:t>名称：乙醇</w:t>
            </w:r>
          </w:p>
          <w:p w14:paraId="62EC1794">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2</w:t>
            </w:r>
            <w:r>
              <w:rPr>
                <w:rFonts w:ascii="Times New Roman" w:eastAsia="仿宋"/>
                <w:kern w:val="2"/>
                <w:sz w:val="21"/>
                <w:szCs w:val="21"/>
              </w:rPr>
              <w:t>H</w:t>
            </w:r>
            <w:r>
              <w:rPr>
                <w:rFonts w:ascii="Times New Roman" w:eastAsia="仿宋"/>
                <w:kern w:val="2"/>
                <w:sz w:val="21"/>
                <w:szCs w:val="21"/>
                <w:vertAlign w:val="subscript"/>
              </w:rPr>
              <w:t>6</w:t>
            </w:r>
            <w:r>
              <w:rPr>
                <w:rFonts w:ascii="Times New Roman" w:eastAsia="仿宋"/>
                <w:kern w:val="2"/>
                <w:sz w:val="21"/>
                <w:szCs w:val="21"/>
              </w:rPr>
              <w:t>O</w:t>
            </w:r>
          </w:p>
          <w:p w14:paraId="718AA1CB">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64</w:t>
            </w:r>
            <w:r>
              <w:rPr>
                <w:rFonts w:hint="eastAsia" w:ascii="Times New Roman" w:eastAsia="仿宋"/>
                <w:kern w:val="2"/>
                <w:sz w:val="21"/>
                <w:szCs w:val="21"/>
              </w:rPr>
              <w:t>-</w:t>
            </w:r>
            <w:r>
              <w:rPr>
                <w:rFonts w:ascii="Times New Roman" w:eastAsia="仿宋"/>
                <w:kern w:val="2"/>
                <w:sz w:val="21"/>
                <w:szCs w:val="21"/>
              </w:rPr>
              <w:t>17</w:t>
            </w:r>
            <w:r>
              <w:rPr>
                <w:rFonts w:hint="eastAsia" w:ascii="Times New Roman" w:eastAsia="仿宋"/>
                <w:kern w:val="2"/>
                <w:sz w:val="21"/>
                <w:szCs w:val="21"/>
              </w:rPr>
              <w:t>-</w:t>
            </w:r>
            <w:r>
              <w:rPr>
                <w:rFonts w:ascii="Times New Roman" w:eastAsia="仿宋"/>
                <w:kern w:val="2"/>
                <w:sz w:val="21"/>
                <w:szCs w:val="21"/>
              </w:rPr>
              <w:t>5</w:t>
            </w:r>
          </w:p>
          <w:p w14:paraId="07C16A79">
            <w:pPr>
              <w:pStyle w:val="35"/>
            </w:pPr>
            <w:r>
              <w:rPr>
                <w:rFonts w:hint="eastAsia" w:eastAsia="仿宋"/>
                <w:szCs w:val="21"/>
              </w:rPr>
              <w:t>危规号：</w:t>
            </w:r>
            <w:r>
              <w:rPr>
                <w:rFonts w:eastAsia="仿宋"/>
                <w:szCs w:val="21"/>
              </w:rPr>
              <w:t>32061</w:t>
            </w:r>
          </w:p>
        </w:tc>
        <w:tc>
          <w:tcPr>
            <w:tcW w:w="2830" w:type="dxa"/>
            <w:vAlign w:val="center"/>
          </w:tcPr>
          <w:p w14:paraId="341CBA0A">
            <w:pPr>
              <w:snapToGrid w:val="0"/>
              <w:rPr>
                <w:rFonts w:ascii="Times New Roman" w:eastAsia="仿宋"/>
                <w:kern w:val="2"/>
                <w:sz w:val="21"/>
                <w:szCs w:val="21"/>
              </w:rPr>
            </w:pPr>
            <w:r>
              <w:rPr>
                <w:rFonts w:ascii="Times New Roman" w:eastAsia="仿宋"/>
                <w:kern w:val="2"/>
                <w:sz w:val="21"/>
                <w:szCs w:val="21"/>
              </w:rPr>
              <w:t>性状：无色液体，有酒香</w:t>
            </w:r>
          </w:p>
          <w:p w14:paraId="6EB6F823">
            <w:pPr>
              <w:snapToGrid w:val="0"/>
              <w:rPr>
                <w:rFonts w:ascii="Times New Roman" w:eastAsia="仿宋"/>
                <w:kern w:val="2"/>
                <w:sz w:val="21"/>
                <w:szCs w:val="21"/>
              </w:rPr>
            </w:pPr>
            <w:r>
              <w:rPr>
                <w:rFonts w:ascii="Times New Roman" w:eastAsia="仿宋"/>
                <w:kern w:val="2"/>
                <w:sz w:val="21"/>
                <w:szCs w:val="21"/>
              </w:rPr>
              <w:t>分子量：106.105</w:t>
            </w:r>
          </w:p>
          <w:p w14:paraId="75ADFAB6">
            <w:pPr>
              <w:snapToGrid w:val="0"/>
              <w:rPr>
                <w:rFonts w:ascii="Times New Roman" w:eastAsia="仿宋"/>
                <w:kern w:val="2"/>
                <w:sz w:val="21"/>
                <w:szCs w:val="21"/>
              </w:rPr>
            </w:pPr>
            <w:r>
              <w:rPr>
                <w:rFonts w:ascii="Times New Roman" w:eastAsia="仿宋"/>
                <w:kern w:val="2"/>
                <w:sz w:val="21"/>
                <w:szCs w:val="21"/>
              </w:rPr>
              <w:t>熔点（℃）：-114.1</w:t>
            </w:r>
          </w:p>
          <w:p w14:paraId="78484539">
            <w:pPr>
              <w:snapToGrid w:val="0"/>
              <w:rPr>
                <w:rFonts w:ascii="Times New Roman" w:eastAsia="仿宋"/>
                <w:kern w:val="2"/>
                <w:sz w:val="21"/>
                <w:szCs w:val="21"/>
              </w:rPr>
            </w:pPr>
            <w:r>
              <w:rPr>
                <w:rFonts w:ascii="Times New Roman" w:eastAsia="仿宋"/>
                <w:kern w:val="2"/>
                <w:sz w:val="21"/>
                <w:szCs w:val="21"/>
              </w:rPr>
              <w:t>沸点（℃）：78.3</w:t>
            </w:r>
          </w:p>
          <w:p w14:paraId="147F6963">
            <w:pPr>
              <w:snapToGrid w:val="0"/>
              <w:rPr>
                <w:rFonts w:ascii="Times New Roman" w:eastAsia="仿宋"/>
                <w:kern w:val="2"/>
                <w:sz w:val="21"/>
                <w:szCs w:val="21"/>
              </w:rPr>
            </w:pPr>
            <w:r>
              <w:rPr>
                <w:rFonts w:ascii="Times New Roman" w:eastAsia="仿宋"/>
                <w:kern w:val="2"/>
                <w:sz w:val="21"/>
                <w:szCs w:val="21"/>
              </w:rPr>
              <w:t>饱和蒸气压（kPa）：/</w:t>
            </w:r>
          </w:p>
          <w:p w14:paraId="688A6857">
            <w:pPr>
              <w:snapToGrid w:val="0"/>
              <w:rPr>
                <w:rFonts w:ascii="Times New Roman" w:eastAsia="仿宋"/>
                <w:kern w:val="2"/>
                <w:sz w:val="21"/>
                <w:szCs w:val="21"/>
              </w:rPr>
            </w:pPr>
            <w:r>
              <w:rPr>
                <w:rFonts w:ascii="Times New Roman" w:eastAsia="仿宋"/>
                <w:kern w:val="2"/>
                <w:sz w:val="21"/>
                <w:szCs w:val="21"/>
              </w:rPr>
              <w:t>相对密度（水=1）：0.8</w:t>
            </w:r>
          </w:p>
          <w:p w14:paraId="1867F5A1">
            <w:pPr>
              <w:snapToGrid w:val="0"/>
              <w:rPr>
                <w:rFonts w:ascii="Times New Roman" w:eastAsia="仿宋"/>
                <w:kern w:val="2"/>
                <w:sz w:val="21"/>
                <w:szCs w:val="21"/>
              </w:rPr>
            </w:pPr>
            <w:r>
              <w:rPr>
                <w:rFonts w:ascii="Times New Roman" w:eastAsia="仿宋"/>
                <w:kern w:val="2"/>
                <w:sz w:val="21"/>
                <w:szCs w:val="21"/>
              </w:rPr>
              <w:t>相对密度（空气=1）：1.59</w:t>
            </w:r>
          </w:p>
          <w:p w14:paraId="2836D13F">
            <w:pPr>
              <w:snapToGrid w:val="0"/>
              <w:rPr>
                <w:rFonts w:ascii="Times New Roman" w:eastAsia="仿宋"/>
                <w:kern w:val="2"/>
                <w:sz w:val="21"/>
                <w:szCs w:val="21"/>
              </w:rPr>
            </w:pPr>
            <w:r>
              <w:rPr>
                <w:rFonts w:ascii="Times New Roman" w:eastAsia="仿宋"/>
                <w:kern w:val="2"/>
                <w:sz w:val="21"/>
                <w:szCs w:val="21"/>
              </w:rPr>
              <w:t>溶解性：与水混溶，可混溶于乙醚、氯仿、甘油、甲醇等多数有机溶剂</w:t>
            </w:r>
          </w:p>
          <w:p w14:paraId="73112BCC">
            <w:pPr>
              <w:rPr>
                <w:rFonts w:ascii="Times New Roman" w:eastAsia="仿宋"/>
                <w:sz w:val="21"/>
                <w:szCs w:val="21"/>
              </w:rPr>
            </w:pPr>
            <w:r>
              <w:rPr>
                <w:rFonts w:ascii="Times New Roman" w:eastAsia="仿宋"/>
                <w:kern w:val="2"/>
                <w:sz w:val="21"/>
                <w:szCs w:val="21"/>
              </w:rPr>
              <w:t>嗅阈值：/</w:t>
            </w:r>
          </w:p>
        </w:tc>
        <w:tc>
          <w:tcPr>
            <w:tcW w:w="1701" w:type="dxa"/>
            <w:vAlign w:val="center"/>
          </w:tcPr>
          <w:p w14:paraId="5C9C223B">
            <w:pPr>
              <w:jc w:val="center"/>
              <w:rPr>
                <w:rFonts w:ascii="Times New Roman" w:eastAsia="仿宋"/>
                <w:kern w:val="2"/>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：706</w:t>
            </w:r>
            <w:r>
              <w:rPr>
                <w:rFonts w:hint="eastAsia" w:ascii="Times New Roman" w:eastAsia="仿宋"/>
                <w:kern w:val="2"/>
                <w:sz w:val="21"/>
                <w:szCs w:val="21"/>
              </w:rPr>
              <w:t>0mg/kg(兔经口)</w:t>
            </w:r>
          </w:p>
          <w:p w14:paraId="1004B8D0">
            <w:pPr>
              <w:pStyle w:val="35"/>
              <w:jc w:val="center"/>
            </w:pPr>
            <w:r>
              <w:rPr>
                <w:rFonts w:eastAsia="仿宋"/>
                <w:szCs w:val="21"/>
              </w:rPr>
              <w:t>LC</w:t>
            </w:r>
            <w:r>
              <w:rPr>
                <w:rFonts w:eastAsia="仿宋"/>
                <w:szCs w:val="21"/>
                <w:vertAlign w:val="subscript"/>
              </w:rPr>
              <w:t>50</w:t>
            </w:r>
            <w:r>
              <w:rPr>
                <w:rFonts w:eastAsia="仿宋"/>
                <w:szCs w:val="21"/>
              </w:rPr>
              <w:t>：37620</w:t>
            </w:r>
            <w:r>
              <w:rPr>
                <w:rFonts w:hint="eastAsia" w:eastAsia="仿宋"/>
                <w:szCs w:val="21"/>
              </w:rPr>
              <w:t>mg/m</w:t>
            </w:r>
            <w:r>
              <w:rPr>
                <w:rFonts w:eastAsia="仿宋"/>
                <w:szCs w:val="21"/>
                <w:vertAlign w:val="superscript"/>
              </w:rPr>
              <w:t>3</w:t>
            </w:r>
            <w:r>
              <w:rPr>
                <w:rFonts w:hint="eastAsia" w:eastAsia="仿宋"/>
                <w:szCs w:val="21"/>
              </w:rPr>
              <w:t>，1</w:t>
            </w:r>
            <w:r>
              <w:rPr>
                <w:rFonts w:eastAsia="仿宋"/>
                <w:szCs w:val="21"/>
              </w:rPr>
              <w:t>0</w:t>
            </w:r>
            <w:r>
              <w:rPr>
                <w:rFonts w:hint="eastAsia" w:eastAsia="仿宋"/>
                <w:szCs w:val="21"/>
              </w:rPr>
              <w:t>小时(大鼠吸入)</w:t>
            </w:r>
          </w:p>
        </w:tc>
        <w:tc>
          <w:tcPr>
            <w:tcW w:w="2217" w:type="dxa"/>
            <w:vAlign w:val="center"/>
          </w:tcPr>
          <w:p w14:paraId="04847894">
            <w:pPr>
              <w:snapToGrid w:val="0"/>
              <w:rPr>
                <w:rFonts w:ascii="Times New Roman" w:eastAsia="仿宋"/>
                <w:kern w:val="2"/>
                <w:sz w:val="21"/>
                <w:szCs w:val="21"/>
              </w:rPr>
            </w:pPr>
            <w:r>
              <w:rPr>
                <w:rFonts w:hint="eastAsia" w:ascii="Times New Roman" w:eastAsia="仿宋"/>
                <w:kern w:val="2"/>
                <w:sz w:val="21"/>
                <w:szCs w:val="21"/>
              </w:rPr>
              <w:t>爆炸上限[%(V/V)]：19</w:t>
            </w:r>
          </w:p>
          <w:p w14:paraId="5662540A">
            <w:pPr>
              <w:snapToGrid w:val="0"/>
              <w:rPr>
                <w:rFonts w:ascii="Times New Roman" w:eastAsia="仿宋"/>
                <w:kern w:val="2"/>
                <w:sz w:val="21"/>
                <w:szCs w:val="21"/>
              </w:rPr>
            </w:pPr>
            <w:r>
              <w:rPr>
                <w:rFonts w:hint="eastAsia" w:ascii="Times New Roman" w:eastAsia="仿宋"/>
                <w:kern w:val="2"/>
                <w:sz w:val="21"/>
                <w:szCs w:val="21"/>
              </w:rPr>
              <w:t>爆炸下限[%(V/V)]：3.3</w:t>
            </w:r>
          </w:p>
          <w:p w14:paraId="6AEC1BDC">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点（℃）：8.9</w:t>
            </w:r>
          </w:p>
          <w:p w14:paraId="4088B5DA">
            <w:pPr>
              <w:jc w:val="left"/>
              <w:rPr>
                <w:rFonts w:ascii="Times New Roman" w:eastAsia="仿宋"/>
                <w:sz w:val="21"/>
                <w:szCs w:val="21"/>
              </w:rPr>
            </w:pPr>
            <w:r>
              <w:rPr>
                <w:rFonts w:hint="eastAsia" w:ascii="Times New Roman" w:eastAsia="仿宋"/>
                <w:kern w:val="2"/>
                <w:sz w:val="21"/>
                <w:szCs w:val="21"/>
              </w:rPr>
              <w:t>易燃，其蒸气与空气可形成爆炸性混合物。遇明火、高热能引起燃烧爆炸</w:t>
            </w:r>
          </w:p>
        </w:tc>
      </w:tr>
      <w:tr w14:paraId="1072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49D43536">
            <w:pPr>
              <w:snapToGrid w:val="0"/>
              <w:rPr>
                <w:rFonts w:ascii="Times New Roman" w:eastAsia="仿宋"/>
                <w:kern w:val="2"/>
                <w:sz w:val="21"/>
                <w:szCs w:val="21"/>
              </w:rPr>
            </w:pPr>
            <w:r>
              <w:rPr>
                <w:rFonts w:hint="eastAsia" w:ascii="Times New Roman" w:eastAsia="仿宋"/>
                <w:kern w:val="2"/>
                <w:sz w:val="21"/>
                <w:szCs w:val="21"/>
              </w:rPr>
              <w:t>名称：环己酮</w:t>
            </w:r>
          </w:p>
          <w:p w14:paraId="2D8B77B6">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6</w:t>
            </w:r>
            <w:r>
              <w:rPr>
                <w:rFonts w:ascii="Times New Roman" w:eastAsia="仿宋"/>
                <w:kern w:val="2"/>
                <w:sz w:val="21"/>
                <w:szCs w:val="21"/>
              </w:rPr>
              <w:t>H</w:t>
            </w:r>
            <w:r>
              <w:rPr>
                <w:rFonts w:ascii="Times New Roman" w:eastAsia="仿宋"/>
                <w:kern w:val="2"/>
                <w:sz w:val="21"/>
                <w:szCs w:val="21"/>
                <w:vertAlign w:val="subscript"/>
              </w:rPr>
              <w:t>10</w:t>
            </w:r>
            <w:r>
              <w:rPr>
                <w:rFonts w:ascii="Times New Roman" w:eastAsia="仿宋"/>
                <w:kern w:val="2"/>
                <w:sz w:val="21"/>
                <w:szCs w:val="21"/>
              </w:rPr>
              <w:t>O</w:t>
            </w:r>
          </w:p>
          <w:p w14:paraId="13278146">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108</w:t>
            </w:r>
            <w:r>
              <w:rPr>
                <w:rFonts w:hint="eastAsia" w:ascii="Times New Roman" w:eastAsia="仿宋"/>
                <w:kern w:val="2"/>
                <w:sz w:val="21"/>
                <w:szCs w:val="21"/>
              </w:rPr>
              <w:t>-</w:t>
            </w:r>
            <w:r>
              <w:rPr>
                <w:rFonts w:ascii="Times New Roman" w:eastAsia="仿宋"/>
                <w:kern w:val="2"/>
                <w:sz w:val="21"/>
                <w:szCs w:val="21"/>
              </w:rPr>
              <w:t>94</w:t>
            </w:r>
            <w:r>
              <w:rPr>
                <w:rFonts w:hint="eastAsia" w:ascii="Times New Roman" w:eastAsia="仿宋"/>
                <w:kern w:val="2"/>
                <w:sz w:val="21"/>
                <w:szCs w:val="21"/>
              </w:rPr>
              <w:t>-</w:t>
            </w:r>
            <w:r>
              <w:rPr>
                <w:rFonts w:ascii="Times New Roman" w:eastAsia="仿宋"/>
                <w:kern w:val="2"/>
                <w:sz w:val="21"/>
                <w:szCs w:val="21"/>
              </w:rPr>
              <w:t>1</w:t>
            </w:r>
          </w:p>
          <w:p w14:paraId="2594E30D">
            <w:pPr>
              <w:pStyle w:val="35"/>
            </w:pPr>
            <w:r>
              <w:rPr>
                <w:rFonts w:hint="eastAsia" w:eastAsia="仿宋"/>
                <w:szCs w:val="21"/>
              </w:rPr>
              <w:t>危规号：</w:t>
            </w:r>
            <w:r>
              <w:rPr>
                <w:rFonts w:eastAsia="仿宋"/>
                <w:szCs w:val="21"/>
              </w:rPr>
              <w:t>3272</w:t>
            </w:r>
          </w:p>
        </w:tc>
        <w:tc>
          <w:tcPr>
            <w:tcW w:w="2830" w:type="dxa"/>
            <w:vAlign w:val="center"/>
          </w:tcPr>
          <w:p w14:paraId="1A43D3A4">
            <w:pPr>
              <w:snapToGrid w:val="0"/>
              <w:rPr>
                <w:rFonts w:ascii="Times New Roman" w:eastAsia="仿宋"/>
                <w:kern w:val="2"/>
                <w:sz w:val="21"/>
                <w:szCs w:val="21"/>
              </w:rPr>
            </w:pPr>
            <w:r>
              <w:rPr>
                <w:rFonts w:ascii="Times New Roman" w:eastAsia="仿宋"/>
                <w:kern w:val="2"/>
                <w:sz w:val="21"/>
                <w:szCs w:val="21"/>
              </w:rPr>
              <w:t>性状：无色或浅黄色透明油状液体，有强烈的刺激性臭味</w:t>
            </w:r>
          </w:p>
          <w:p w14:paraId="595B2613">
            <w:pPr>
              <w:snapToGrid w:val="0"/>
              <w:rPr>
                <w:rFonts w:ascii="Times New Roman" w:eastAsia="仿宋"/>
                <w:kern w:val="2"/>
                <w:sz w:val="21"/>
                <w:szCs w:val="21"/>
              </w:rPr>
            </w:pPr>
            <w:r>
              <w:rPr>
                <w:rFonts w:ascii="Times New Roman" w:eastAsia="仿宋"/>
                <w:kern w:val="2"/>
                <w:sz w:val="21"/>
                <w:szCs w:val="21"/>
              </w:rPr>
              <w:t>分子量：98.143</w:t>
            </w:r>
          </w:p>
          <w:p w14:paraId="07892F1F">
            <w:pPr>
              <w:snapToGrid w:val="0"/>
              <w:rPr>
                <w:rFonts w:ascii="Times New Roman" w:eastAsia="仿宋"/>
                <w:kern w:val="2"/>
                <w:sz w:val="21"/>
                <w:szCs w:val="21"/>
              </w:rPr>
            </w:pPr>
            <w:r>
              <w:rPr>
                <w:rFonts w:ascii="Times New Roman" w:eastAsia="仿宋"/>
                <w:kern w:val="2"/>
                <w:sz w:val="21"/>
                <w:szCs w:val="21"/>
              </w:rPr>
              <w:t>熔点（℃）：-47</w:t>
            </w:r>
          </w:p>
          <w:p w14:paraId="31CF3068">
            <w:pPr>
              <w:snapToGrid w:val="0"/>
              <w:rPr>
                <w:rFonts w:ascii="Times New Roman" w:eastAsia="仿宋"/>
                <w:kern w:val="2"/>
                <w:sz w:val="21"/>
                <w:szCs w:val="21"/>
              </w:rPr>
            </w:pPr>
            <w:r>
              <w:rPr>
                <w:rFonts w:ascii="Times New Roman" w:eastAsia="仿宋"/>
                <w:kern w:val="2"/>
                <w:sz w:val="21"/>
                <w:szCs w:val="21"/>
              </w:rPr>
              <w:t>沸点（℃）：155.7</w:t>
            </w:r>
          </w:p>
          <w:p w14:paraId="4C706EC3">
            <w:pPr>
              <w:snapToGrid w:val="0"/>
              <w:rPr>
                <w:rFonts w:ascii="Times New Roman" w:eastAsia="仿宋"/>
                <w:kern w:val="2"/>
                <w:sz w:val="21"/>
                <w:szCs w:val="21"/>
              </w:rPr>
            </w:pPr>
            <w:r>
              <w:rPr>
                <w:rFonts w:ascii="Times New Roman" w:eastAsia="仿宋"/>
                <w:kern w:val="2"/>
                <w:sz w:val="21"/>
                <w:szCs w:val="21"/>
              </w:rPr>
              <w:t>饱和蒸气压（kPa）：/</w:t>
            </w:r>
          </w:p>
          <w:p w14:paraId="751562C2">
            <w:pPr>
              <w:snapToGrid w:val="0"/>
              <w:rPr>
                <w:rFonts w:ascii="Times New Roman" w:eastAsia="仿宋"/>
                <w:kern w:val="2"/>
                <w:sz w:val="21"/>
                <w:szCs w:val="21"/>
              </w:rPr>
            </w:pPr>
            <w:r>
              <w:rPr>
                <w:rFonts w:ascii="Times New Roman" w:eastAsia="仿宋"/>
                <w:kern w:val="2"/>
                <w:sz w:val="21"/>
                <w:szCs w:val="21"/>
              </w:rPr>
              <w:t>相对密度（水=1）：1.0</w:t>
            </w:r>
          </w:p>
          <w:p w14:paraId="455A9C40">
            <w:pPr>
              <w:snapToGrid w:val="0"/>
              <w:rPr>
                <w:rFonts w:ascii="Times New Roman" w:eastAsia="仿宋"/>
                <w:kern w:val="2"/>
                <w:sz w:val="21"/>
                <w:szCs w:val="21"/>
              </w:rPr>
            </w:pPr>
            <w:r>
              <w:rPr>
                <w:rFonts w:ascii="Times New Roman" w:eastAsia="仿宋"/>
                <w:kern w:val="2"/>
                <w:sz w:val="21"/>
                <w:szCs w:val="21"/>
              </w:rPr>
              <w:t>相对密度（空气=1）：3.4</w:t>
            </w:r>
          </w:p>
          <w:p w14:paraId="5F749345">
            <w:pPr>
              <w:snapToGrid w:val="0"/>
              <w:rPr>
                <w:rFonts w:ascii="Times New Roman" w:eastAsia="仿宋"/>
                <w:kern w:val="2"/>
                <w:sz w:val="21"/>
                <w:szCs w:val="21"/>
              </w:rPr>
            </w:pPr>
            <w:r>
              <w:rPr>
                <w:rFonts w:ascii="Times New Roman" w:eastAsia="仿宋"/>
                <w:kern w:val="2"/>
                <w:sz w:val="21"/>
                <w:szCs w:val="21"/>
              </w:rPr>
              <w:t>溶解性：微溶于水，可混溶于乙醇、乙醚、苯、丙酮等多数有机溶剂</w:t>
            </w:r>
          </w:p>
          <w:p w14:paraId="4B103088">
            <w:pPr>
              <w:rPr>
                <w:rFonts w:ascii="Times New Roman" w:eastAsia="仿宋"/>
                <w:sz w:val="21"/>
                <w:szCs w:val="21"/>
              </w:rPr>
            </w:pPr>
            <w:r>
              <w:rPr>
                <w:rFonts w:ascii="Times New Roman" w:eastAsia="仿宋"/>
                <w:kern w:val="2"/>
                <w:sz w:val="21"/>
                <w:szCs w:val="21"/>
              </w:rPr>
              <w:t>嗅阈值：/</w:t>
            </w:r>
          </w:p>
        </w:tc>
        <w:tc>
          <w:tcPr>
            <w:tcW w:w="1701" w:type="dxa"/>
            <w:vAlign w:val="center"/>
          </w:tcPr>
          <w:p w14:paraId="6D64AD61">
            <w:pPr>
              <w:jc w:val="center"/>
              <w:rPr>
                <w:rFonts w:ascii="Times New Roman" w:eastAsia="仿宋"/>
                <w:kern w:val="2"/>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：1535</w:t>
            </w:r>
            <w:r>
              <w:rPr>
                <w:rFonts w:hint="eastAsia" w:ascii="Times New Roman" w:eastAsia="仿宋"/>
                <w:kern w:val="2"/>
                <w:sz w:val="21"/>
                <w:szCs w:val="21"/>
              </w:rPr>
              <w:t>mg/kg(大鼠经口)</w:t>
            </w:r>
          </w:p>
        </w:tc>
        <w:tc>
          <w:tcPr>
            <w:tcW w:w="2217" w:type="dxa"/>
            <w:vAlign w:val="center"/>
          </w:tcPr>
          <w:p w14:paraId="39B566F8">
            <w:pPr>
              <w:snapToGrid w:val="0"/>
              <w:rPr>
                <w:rFonts w:ascii="Times New Roman" w:eastAsia="仿宋"/>
                <w:kern w:val="2"/>
                <w:sz w:val="21"/>
                <w:szCs w:val="21"/>
              </w:rPr>
            </w:pPr>
            <w:r>
              <w:rPr>
                <w:rFonts w:hint="eastAsia" w:ascii="Times New Roman" w:eastAsia="仿宋"/>
                <w:kern w:val="2"/>
                <w:sz w:val="21"/>
                <w:szCs w:val="21"/>
              </w:rPr>
              <w:t>爆炸上限[%(V/V)]：9.4</w:t>
            </w:r>
          </w:p>
          <w:p w14:paraId="4B3A2F32">
            <w:pPr>
              <w:snapToGrid w:val="0"/>
              <w:rPr>
                <w:rFonts w:ascii="Times New Roman" w:eastAsia="仿宋"/>
                <w:kern w:val="2"/>
                <w:sz w:val="21"/>
                <w:szCs w:val="21"/>
              </w:rPr>
            </w:pPr>
            <w:r>
              <w:rPr>
                <w:rFonts w:hint="eastAsia" w:ascii="Times New Roman" w:eastAsia="仿宋"/>
                <w:kern w:val="2"/>
                <w:sz w:val="21"/>
                <w:szCs w:val="21"/>
              </w:rPr>
              <w:t>爆炸下限[%(V/V)]：1.1</w:t>
            </w:r>
          </w:p>
          <w:p w14:paraId="7C30FA68">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点（℃）：46.7</w:t>
            </w:r>
          </w:p>
          <w:p w14:paraId="53801AC1">
            <w:pPr>
              <w:jc w:val="left"/>
              <w:rPr>
                <w:rFonts w:ascii="Times New Roman" w:eastAsia="仿宋"/>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r>
      <w:tr w14:paraId="04DC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0DCB4A68">
            <w:pPr>
              <w:snapToGrid w:val="0"/>
              <w:rPr>
                <w:rFonts w:ascii="Times New Roman" w:eastAsia="仿宋"/>
                <w:kern w:val="2"/>
                <w:sz w:val="21"/>
                <w:szCs w:val="21"/>
              </w:rPr>
            </w:pPr>
            <w:r>
              <w:rPr>
                <w:rFonts w:hint="eastAsia" w:ascii="Times New Roman" w:eastAsia="仿宋"/>
                <w:kern w:val="2"/>
                <w:sz w:val="21"/>
                <w:szCs w:val="21"/>
              </w:rPr>
              <w:t>名称：醋酸乙酯</w:t>
            </w:r>
          </w:p>
          <w:p w14:paraId="00D7EDF0">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4</w:t>
            </w:r>
            <w:r>
              <w:rPr>
                <w:rFonts w:ascii="Times New Roman" w:eastAsia="仿宋"/>
                <w:kern w:val="2"/>
                <w:sz w:val="21"/>
                <w:szCs w:val="21"/>
              </w:rPr>
              <w:t>H</w:t>
            </w:r>
            <w:r>
              <w:rPr>
                <w:rFonts w:ascii="Times New Roman" w:eastAsia="仿宋"/>
                <w:kern w:val="2"/>
                <w:sz w:val="21"/>
                <w:szCs w:val="21"/>
                <w:vertAlign w:val="subscript"/>
              </w:rPr>
              <w:t>8</w:t>
            </w:r>
            <w:r>
              <w:rPr>
                <w:rFonts w:ascii="Times New Roman" w:eastAsia="仿宋"/>
                <w:kern w:val="2"/>
                <w:sz w:val="21"/>
                <w:szCs w:val="21"/>
              </w:rPr>
              <w:t>O</w:t>
            </w:r>
            <w:r>
              <w:rPr>
                <w:rFonts w:ascii="Times New Roman" w:eastAsia="仿宋"/>
                <w:kern w:val="2"/>
                <w:sz w:val="21"/>
                <w:szCs w:val="21"/>
                <w:vertAlign w:val="subscript"/>
              </w:rPr>
              <w:t>2</w:t>
            </w:r>
          </w:p>
          <w:p w14:paraId="4153C0B1">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141</w:t>
            </w:r>
            <w:r>
              <w:rPr>
                <w:rFonts w:hint="eastAsia" w:ascii="Times New Roman" w:eastAsia="仿宋"/>
                <w:kern w:val="2"/>
                <w:sz w:val="21"/>
                <w:szCs w:val="21"/>
              </w:rPr>
              <w:t>-</w:t>
            </w:r>
            <w:r>
              <w:rPr>
                <w:rFonts w:ascii="Times New Roman" w:eastAsia="仿宋"/>
                <w:kern w:val="2"/>
                <w:sz w:val="21"/>
                <w:szCs w:val="21"/>
              </w:rPr>
              <w:t>78</w:t>
            </w:r>
            <w:r>
              <w:rPr>
                <w:rFonts w:hint="eastAsia" w:ascii="Times New Roman" w:eastAsia="仿宋"/>
                <w:kern w:val="2"/>
                <w:sz w:val="21"/>
                <w:szCs w:val="21"/>
              </w:rPr>
              <w:t>-</w:t>
            </w:r>
            <w:r>
              <w:rPr>
                <w:rFonts w:ascii="Times New Roman" w:eastAsia="仿宋"/>
                <w:kern w:val="2"/>
                <w:sz w:val="21"/>
                <w:szCs w:val="21"/>
              </w:rPr>
              <w:t>6</w:t>
            </w:r>
          </w:p>
          <w:p w14:paraId="2D8B8189">
            <w:pPr>
              <w:pStyle w:val="35"/>
            </w:pPr>
            <w:r>
              <w:rPr>
                <w:rFonts w:hint="eastAsia" w:eastAsia="仿宋"/>
                <w:szCs w:val="21"/>
              </w:rPr>
              <w:t>危规号：</w:t>
            </w:r>
            <w:r>
              <w:rPr>
                <w:rFonts w:eastAsia="仿宋"/>
                <w:szCs w:val="21"/>
              </w:rPr>
              <w:t>32127</w:t>
            </w:r>
          </w:p>
        </w:tc>
        <w:tc>
          <w:tcPr>
            <w:tcW w:w="2830" w:type="dxa"/>
            <w:vAlign w:val="center"/>
          </w:tcPr>
          <w:p w14:paraId="378C8F5E">
            <w:pPr>
              <w:snapToGrid w:val="0"/>
              <w:rPr>
                <w:rFonts w:ascii="Times New Roman" w:eastAsia="仿宋"/>
                <w:kern w:val="2"/>
                <w:sz w:val="21"/>
                <w:szCs w:val="21"/>
              </w:rPr>
            </w:pPr>
            <w:r>
              <w:rPr>
                <w:rFonts w:ascii="Times New Roman" w:eastAsia="仿宋"/>
                <w:kern w:val="2"/>
                <w:sz w:val="21"/>
                <w:szCs w:val="21"/>
              </w:rPr>
              <w:t>性状：无色液体</w:t>
            </w:r>
          </w:p>
          <w:p w14:paraId="55A13561">
            <w:pPr>
              <w:snapToGrid w:val="0"/>
              <w:rPr>
                <w:rFonts w:ascii="Times New Roman" w:eastAsia="仿宋"/>
                <w:kern w:val="2"/>
                <w:sz w:val="21"/>
                <w:szCs w:val="21"/>
              </w:rPr>
            </w:pPr>
            <w:r>
              <w:rPr>
                <w:rFonts w:ascii="Times New Roman" w:eastAsia="仿宋"/>
                <w:kern w:val="2"/>
                <w:sz w:val="21"/>
                <w:szCs w:val="21"/>
              </w:rPr>
              <w:t>分子量：88.105</w:t>
            </w:r>
          </w:p>
          <w:p w14:paraId="4173A0E5">
            <w:pPr>
              <w:snapToGrid w:val="0"/>
              <w:rPr>
                <w:rFonts w:ascii="Times New Roman" w:eastAsia="仿宋"/>
                <w:kern w:val="2"/>
                <w:sz w:val="21"/>
                <w:szCs w:val="21"/>
              </w:rPr>
            </w:pPr>
            <w:r>
              <w:rPr>
                <w:rFonts w:ascii="Times New Roman" w:eastAsia="仿宋"/>
                <w:kern w:val="2"/>
                <w:sz w:val="21"/>
                <w:szCs w:val="21"/>
              </w:rPr>
              <w:t>熔点（℃）：-84</w:t>
            </w:r>
          </w:p>
          <w:p w14:paraId="1D1BE1BF">
            <w:pPr>
              <w:snapToGrid w:val="0"/>
              <w:rPr>
                <w:rFonts w:ascii="Times New Roman" w:eastAsia="仿宋"/>
                <w:kern w:val="2"/>
                <w:sz w:val="21"/>
                <w:szCs w:val="21"/>
              </w:rPr>
            </w:pPr>
            <w:r>
              <w:rPr>
                <w:rFonts w:ascii="Times New Roman" w:eastAsia="仿宋"/>
                <w:kern w:val="2"/>
                <w:sz w:val="21"/>
                <w:szCs w:val="21"/>
              </w:rPr>
              <w:t>沸点（℃）：73.9</w:t>
            </w:r>
          </w:p>
          <w:p w14:paraId="097F67D5">
            <w:pPr>
              <w:snapToGrid w:val="0"/>
              <w:rPr>
                <w:rFonts w:ascii="Times New Roman" w:eastAsia="仿宋"/>
                <w:kern w:val="2"/>
                <w:sz w:val="21"/>
                <w:szCs w:val="21"/>
              </w:rPr>
            </w:pPr>
            <w:r>
              <w:rPr>
                <w:rFonts w:ascii="Times New Roman" w:eastAsia="仿宋"/>
                <w:kern w:val="2"/>
                <w:sz w:val="21"/>
                <w:szCs w:val="21"/>
              </w:rPr>
              <w:t>饱和蒸气压（kPa）：/</w:t>
            </w:r>
          </w:p>
          <w:p w14:paraId="5ADE11F0">
            <w:pPr>
              <w:snapToGrid w:val="0"/>
              <w:rPr>
                <w:rFonts w:ascii="Times New Roman" w:eastAsia="仿宋"/>
                <w:kern w:val="2"/>
                <w:sz w:val="21"/>
                <w:szCs w:val="21"/>
              </w:rPr>
            </w:pPr>
            <w:r>
              <w:rPr>
                <w:rFonts w:ascii="Times New Roman" w:eastAsia="仿宋"/>
                <w:kern w:val="2"/>
                <w:sz w:val="21"/>
                <w:szCs w:val="21"/>
              </w:rPr>
              <w:t>相对密度（水=1）：1.0</w:t>
            </w:r>
          </w:p>
          <w:p w14:paraId="22B4D3AA">
            <w:pPr>
              <w:snapToGrid w:val="0"/>
              <w:rPr>
                <w:rFonts w:ascii="Times New Roman" w:eastAsia="仿宋"/>
                <w:kern w:val="2"/>
                <w:sz w:val="21"/>
                <w:szCs w:val="21"/>
              </w:rPr>
            </w:pPr>
            <w:r>
              <w:rPr>
                <w:rFonts w:ascii="Times New Roman" w:eastAsia="仿宋"/>
                <w:kern w:val="2"/>
                <w:sz w:val="21"/>
                <w:szCs w:val="21"/>
              </w:rPr>
              <w:t>相对密度（空气=1）：3.4</w:t>
            </w:r>
          </w:p>
          <w:p w14:paraId="040C1880">
            <w:pPr>
              <w:snapToGrid w:val="0"/>
              <w:rPr>
                <w:rFonts w:ascii="Times New Roman" w:eastAsia="仿宋"/>
                <w:kern w:val="2"/>
                <w:sz w:val="21"/>
                <w:szCs w:val="21"/>
              </w:rPr>
            </w:pPr>
            <w:r>
              <w:rPr>
                <w:rFonts w:ascii="Times New Roman" w:eastAsia="仿宋"/>
                <w:kern w:val="2"/>
                <w:sz w:val="21"/>
                <w:szCs w:val="21"/>
              </w:rPr>
              <w:t>溶解性：微溶于水，溶于乙醇、丙酮、乙醚、氯仿、苯等多数有机溶剂</w:t>
            </w:r>
          </w:p>
          <w:p w14:paraId="13F2A85D">
            <w:pPr>
              <w:rPr>
                <w:rFonts w:ascii="Times New Roman" w:eastAsia="仿宋"/>
                <w:kern w:val="2"/>
                <w:sz w:val="21"/>
                <w:szCs w:val="21"/>
              </w:rPr>
            </w:pPr>
            <w:r>
              <w:rPr>
                <w:rFonts w:ascii="Times New Roman" w:eastAsia="仿宋"/>
                <w:kern w:val="2"/>
                <w:sz w:val="21"/>
                <w:szCs w:val="21"/>
              </w:rPr>
              <w:t>嗅阈值：/</w:t>
            </w:r>
          </w:p>
          <w:p w14:paraId="2A62A592">
            <w:pPr>
              <w:pStyle w:val="35"/>
            </w:pPr>
          </w:p>
        </w:tc>
        <w:tc>
          <w:tcPr>
            <w:tcW w:w="1701" w:type="dxa"/>
            <w:vAlign w:val="center"/>
          </w:tcPr>
          <w:p w14:paraId="5D5CC438">
            <w:pPr>
              <w:jc w:val="center"/>
              <w:rPr>
                <w:rFonts w:ascii="Times New Roman" w:eastAsia="仿宋"/>
                <w:kern w:val="2"/>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：5620</w:t>
            </w:r>
            <w:r>
              <w:rPr>
                <w:rFonts w:hint="eastAsia" w:ascii="Times New Roman" w:eastAsia="仿宋"/>
                <w:kern w:val="2"/>
                <w:sz w:val="21"/>
                <w:szCs w:val="21"/>
              </w:rPr>
              <w:t>mg/kg(大鼠经口)</w:t>
            </w:r>
          </w:p>
          <w:p w14:paraId="36FBDC01">
            <w:pPr>
              <w:pStyle w:val="35"/>
              <w:jc w:val="center"/>
            </w:pPr>
            <w:r>
              <w:rPr>
                <w:rFonts w:eastAsia="仿宋"/>
                <w:szCs w:val="21"/>
              </w:rPr>
              <w:t>LC</w:t>
            </w:r>
            <w:r>
              <w:rPr>
                <w:rFonts w:eastAsia="仿宋"/>
                <w:szCs w:val="21"/>
                <w:vertAlign w:val="subscript"/>
              </w:rPr>
              <w:t>50</w:t>
            </w:r>
            <w:r>
              <w:rPr>
                <w:rFonts w:eastAsia="仿宋"/>
                <w:szCs w:val="21"/>
              </w:rPr>
              <w:t>：5760mg/m</w:t>
            </w:r>
            <w:r>
              <w:rPr>
                <w:rFonts w:eastAsia="仿宋"/>
                <w:szCs w:val="21"/>
                <w:vertAlign w:val="superscript"/>
              </w:rPr>
              <w:t>3</w:t>
            </w:r>
            <w:r>
              <w:rPr>
                <w:rFonts w:eastAsia="仿宋"/>
                <w:szCs w:val="21"/>
              </w:rPr>
              <w:t>，8小时(大鼠吸入)</w:t>
            </w:r>
          </w:p>
        </w:tc>
        <w:tc>
          <w:tcPr>
            <w:tcW w:w="2217" w:type="dxa"/>
            <w:vAlign w:val="center"/>
          </w:tcPr>
          <w:p w14:paraId="0C00E10E">
            <w:pPr>
              <w:snapToGrid w:val="0"/>
              <w:rPr>
                <w:rFonts w:ascii="Times New Roman" w:eastAsia="仿宋"/>
                <w:kern w:val="2"/>
                <w:sz w:val="21"/>
                <w:szCs w:val="21"/>
              </w:rPr>
            </w:pPr>
            <w:r>
              <w:rPr>
                <w:rFonts w:hint="eastAsia" w:ascii="Times New Roman" w:eastAsia="仿宋"/>
                <w:kern w:val="2"/>
                <w:sz w:val="21"/>
                <w:szCs w:val="21"/>
              </w:rPr>
              <w:t>爆炸上限[%(V/V)]：11.5</w:t>
            </w:r>
          </w:p>
          <w:p w14:paraId="4AF337B7">
            <w:pPr>
              <w:snapToGrid w:val="0"/>
              <w:rPr>
                <w:rFonts w:ascii="Times New Roman" w:eastAsia="仿宋"/>
                <w:kern w:val="2"/>
                <w:sz w:val="21"/>
                <w:szCs w:val="21"/>
              </w:rPr>
            </w:pPr>
            <w:r>
              <w:rPr>
                <w:rFonts w:hint="eastAsia" w:ascii="Times New Roman" w:eastAsia="仿宋"/>
                <w:kern w:val="2"/>
                <w:sz w:val="21"/>
                <w:szCs w:val="21"/>
              </w:rPr>
              <w:t>爆炸下限[%(V/V)]：2.2</w:t>
            </w:r>
          </w:p>
          <w:p w14:paraId="3F57264D">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点（℃）：-3.3</w:t>
            </w:r>
          </w:p>
          <w:p w14:paraId="0F436D6D">
            <w:pPr>
              <w:jc w:val="left"/>
              <w:rPr>
                <w:rFonts w:ascii="Times New Roman" w:eastAsia="仿宋"/>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r>
      <w:tr w14:paraId="57D5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Align w:val="center"/>
          </w:tcPr>
          <w:p w14:paraId="655FD310">
            <w:pPr>
              <w:snapToGrid w:val="0"/>
              <w:rPr>
                <w:rFonts w:ascii="Times New Roman" w:eastAsia="仿宋"/>
                <w:kern w:val="2"/>
                <w:sz w:val="21"/>
                <w:szCs w:val="21"/>
              </w:rPr>
            </w:pPr>
            <w:r>
              <w:rPr>
                <w:rFonts w:hint="eastAsia" w:ascii="Times New Roman" w:eastAsia="仿宋"/>
                <w:kern w:val="2"/>
                <w:sz w:val="21"/>
                <w:szCs w:val="21"/>
              </w:rPr>
              <w:t>名称：醋酸丁酯</w:t>
            </w:r>
          </w:p>
          <w:p w14:paraId="022D8343">
            <w:pPr>
              <w:snapToGrid w:val="0"/>
              <w:rPr>
                <w:rFonts w:ascii="Times New Roman" w:eastAsia="仿宋"/>
                <w:kern w:val="2"/>
                <w:sz w:val="21"/>
                <w:szCs w:val="21"/>
              </w:rPr>
            </w:pPr>
            <w:r>
              <w:rPr>
                <w:rFonts w:hint="eastAsia" w:ascii="Times New Roman" w:eastAsia="仿宋"/>
                <w:kern w:val="2"/>
                <w:sz w:val="21"/>
                <w:szCs w:val="21"/>
              </w:rPr>
              <w:t>分子式：C</w:t>
            </w:r>
            <w:r>
              <w:rPr>
                <w:rFonts w:ascii="Times New Roman" w:eastAsia="仿宋"/>
                <w:kern w:val="2"/>
                <w:sz w:val="21"/>
                <w:szCs w:val="21"/>
                <w:vertAlign w:val="subscript"/>
              </w:rPr>
              <w:t>6</w:t>
            </w:r>
            <w:r>
              <w:rPr>
                <w:rFonts w:ascii="Times New Roman" w:eastAsia="仿宋"/>
                <w:kern w:val="2"/>
                <w:sz w:val="21"/>
                <w:szCs w:val="21"/>
              </w:rPr>
              <w:t>H</w:t>
            </w:r>
            <w:r>
              <w:rPr>
                <w:rFonts w:ascii="Times New Roman" w:eastAsia="仿宋"/>
                <w:kern w:val="2"/>
                <w:sz w:val="21"/>
                <w:szCs w:val="21"/>
                <w:vertAlign w:val="subscript"/>
              </w:rPr>
              <w:t>12</w:t>
            </w:r>
            <w:r>
              <w:rPr>
                <w:rFonts w:ascii="Times New Roman" w:eastAsia="仿宋"/>
                <w:kern w:val="2"/>
                <w:sz w:val="21"/>
                <w:szCs w:val="21"/>
              </w:rPr>
              <w:t>O</w:t>
            </w:r>
            <w:r>
              <w:rPr>
                <w:rFonts w:ascii="Times New Roman" w:eastAsia="仿宋"/>
                <w:kern w:val="2"/>
                <w:sz w:val="21"/>
                <w:szCs w:val="21"/>
                <w:vertAlign w:val="subscript"/>
              </w:rPr>
              <w:t>2</w:t>
            </w:r>
          </w:p>
          <w:p w14:paraId="0E31CC4B">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123</w:t>
            </w:r>
            <w:r>
              <w:rPr>
                <w:rFonts w:hint="eastAsia" w:ascii="Times New Roman" w:eastAsia="仿宋"/>
                <w:kern w:val="2"/>
                <w:sz w:val="21"/>
                <w:szCs w:val="21"/>
              </w:rPr>
              <w:t>-</w:t>
            </w:r>
            <w:r>
              <w:rPr>
                <w:rFonts w:ascii="Times New Roman" w:eastAsia="仿宋"/>
                <w:kern w:val="2"/>
                <w:sz w:val="21"/>
                <w:szCs w:val="21"/>
              </w:rPr>
              <w:t>86</w:t>
            </w:r>
            <w:r>
              <w:rPr>
                <w:rFonts w:hint="eastAsia" w:ascii="Times New Roman" w:eastAsia="仿宋"/>
                <w:kern w:val="2"/>
                <w:sz w:val="21"/>
                <w:szCs w:val="21"/>
              </w:rPr>
              <w:t>-</w:t>
            </w:r>
            <w:r>
              <w:rPr>
                <w:rFonts w:ascii="Times New Roman" w:eastAsia="仿宋"/>
                <w:kern w:val="2"/>
                <w:sz w:val="21"/>
                <w:szCs w:val="21"/>
              </w:rPr>
              <w:t>4</w:t>
            </w:r>
          </w:p>
          <w:p w14:paraId="1D179E4A">
            <w:pPr>
              <w:pStyle w:val="35"/>
            </w:pPr>
            <w:r>
              <w:rPr>
                <w:rFonts w:hint="eastAsia" w:eastAsia="仿宋"/>
                <w:szCs w:val="21"/>
              </w:rPr>
              <w:t>危规号：</w:t>
            </w:r>
            <w:r>
              <w:rPr>
                <w:rFonts w:eastAsia="仿宋"/>
                <w:szCs w:val="21"/>
              </w:rPr>
              <w:t>32130</w:t>
            </w:r>
          </w:p>
        </w:tc>
        <w:tc>
          <w:tcPr>
            <w:tcW w:w="2830" w:type="dxa"/>
            <w:vAlign w:val="center"/>
          </w:tcPr>
          <w:p w14:paraId="249B2ACC">
            <w:pPr>
              <w:snapToGrid w:val="0"/>
              <w:rPr>
                <w:rFonts w:ascii="Times New Roman" w:eastAsia="仿宋"/>
                <w:kern w:val="2"/>
                <w:sz w:val="21"/>
                <w:szCs w:val="21"/>
              </w:rPr>
            </w:pPr>
            <w:r>
              <w:rPr>
                <w:rFonts w:ascii="Times New Roman" w:eastAsia="仿宋"/>
                <w:kern w:val="2"/>
                <w:sz w:val="21"/>
                <w:szCs w:val="21"/>
              </w:rPr>
              <w:t>性状：无色液体</w:t>
            </w:r>
          </w:p>
          <w:p w14:paraId="0902DD0D">
            <w:pPr>
              <w:snapToGrid w:val="0"/>
              <w:rPr>
                <w:rFonts w:ascii="Times New Roman" w:eastAsia="仿宋"/>
                <w:kern w:val="2"/>
                <w:sz w:val="21"/>
                <w:szCs w:val="21"/>
              </w:rPr>
            </w:pPr>
            <w:r>
              <w:rPr>
                <w:rFonts w:ascii="Times New Roman" w:eastAsia="仿宋"/>
                <w:kern w:val="2"/>
                <w:sz w:val="21"/>
                <w:szCs w:val="21"/>
              </w:rPr>
              <w:t>分子量：116.15</w:t>
            </w:r>
          </w:p>
          <w:p w14:paraId="22D539F9">
            <w:pPr>
              <w:snapToGrid w:val="0"/>
              <w:rPr>
                <w:rFonts w:ascii="Times New Roman" w:eastAsia="仿宋"/>
                <w:kern w:val="2"/>
                <w:sz w:val="21"/>
                <w:szCs w:val="21"/>
              </w:rPr>
            </w:pPr>
            <w:r>
              <w:rPr>
                <w:rFonts w:ascii="Times New Roman" w:eastAsia="仿宋"/>
                <w:kern w:val="2"/>
                <w:sz w:val="21"/>
                <w:szCs w:val="21"/>
              </w:rPr>
              <w:t>熔点（℃）：-78</w:t>
            </w:r>
          </w:p>
          <w:p w14:paraId="5E8C5C6D">
            <w:pPr>
              <w:snapToGrid w:val="0"/>
              <w:rPr>
                <w:rFonts w:ascii="Times New Roman" w:eastAsia="仿宋"/>
                <w:kern w:val="2"/>
                <w:sz w:val="21"/>
                <w:szCs w:val="21"/>
              </w:rPr>
            </w:pPr>
            <w:r>
              <w:rPr>
                <w:rFonts w:ascii="Times New Roman" w:eastAsia="仿宋"/>
                <w:kern w:val="2"/>
                <w:sz w:val="21"/>
                <w:szCs w:val="21"/>
              </w:rPr>
              <w:t>沸点（℃）：126.6</w:t>
            </w:r>
          </w:p>
          <w:p w14:paraId="25816A84">
            <w:pPr>
              <w:snapToGrid w:val="0"/>
              <w:rPr>
                <w:rFonts w:ascii="Times New Roman" w:eastAsia="仿宋"/>
                <w:kern w:val="2"/>
                <w:sz w:val="21"/>
                <w:szCs w:val="21"/>
              </w:rPr>
            </w:pPr>
            <w:r>
              <w:rPr>
                <w:rFonts w:ascii="Times New Roman" w:eastAsia="仿宋"/>
                <w:kern w:val="2"/>
                <w:sz w:val="21"/>
                <w:szCs w:val="21"/>
              </w:rPr>
              <w:t>饱和蒸气压（kPa）：/</w:t>
            </w:r>
          </w:p>
          <w:p w14:paraId="0B709D43">
            <w:pPr>
              <w:snapToGrid w:val="0"/>
              <w:rPr>
                <w:rFonts w:ascii="Times New Roman" w:eastAsia="仿宋"/>
                <w:kern w:val="2"/>
                <w:sz w:val="21"/>
                <w:szCs w:val="21"/>
              </w:rPr>
            </w:pPr>
            <w:r>
              <w:rPr>
                <w:rFonts w:ascii="Times New Roman" w:eastAsia="仿宋"/>
                <w:kern w:val="2"/>
                <w:sz w:val="21"/>
                <w:szCs w:val="21"/>
              </w:rPr>
              <w:t>相对密度（水=1）：0.88</w:t>
            </w:r>
          </w:p>
          <w:p w14:paraId="6E57376B">
            <w:pPr>
              <w:snapToGrid w:val="0"/>
              <w:rPr>
                <w:rFonts w:ascii="Times New Roman" w:eastAsia="仿宋"/>
                <w:kern w:val="2"/>
                <w:sz w:val="21"/>
                <w:szCs w:val="21"/>
              </w:rPr>
            </w:pPr>
            <w:r>
              <w:rPr>
                <w:rFonts w:ascii="Times New Roman" w:eastAsia="仿宋"/>
                <w:kern w:val="2"/>
                <w:sz w:val="21"/>
                <w:szCs w:val="21"/>
              </w:rPr>
              <w:t>相对密度（空气=1）：4.1</w:t>
            </w:r>
          </w:p>
          <w:p w14:paraId="44733D13">
            <w:pPr>
              <w:snapToGrid w:val="0"/>
              <w:rPr>
                <w:rFonts w:ascii="Times New Roman" w:eastAsia="仿宋"/>
                <w:kern w:val="2"/>
                <w:sz w:val="21"/>
                <w:szCs w:val="21"/>
              </w:rPr>
            </w:pPr>
            <w:r>
              <w:rPr>
                <w:rFonts w:ascii="Times New Roman" w:eastAsia="仿宋"/>
                <w:kern w:val="2"/>
                <w:sz w:val="21"/>
                <w:szCs w:val="21"/>
              </w:rPr>
              <w:t>溶解性：微溶于水，溶于乙醇、乙醚、烃类等多数有机溶剂</w:t>
            </w:r>
          </w:p>
          <w:p w14:paraId="5AF4A267">
            <w:pPr>
              <w:rPr>
                <w:rFonts w:ascii="Times New Roman" w:eastAsia="仿宋"/>
                <w:sz w:val="21"/>
                <w:szCs w:val="21"/>
              </w:rPr>
            </w:pPr>
            <w:r>
              <w:rPr>
                <w:rFonts w:ascii="Times New Roman" w:eastAsia="仿宋"/>
                <w:kern w:val="2"/>
                <w:sz w:val="21"/>
                <w:szCs w:val="21"/>
              </w:rPr>
              <w:t>嗅阈值：/</w:t>
            </w:r>
          </w:p>
        </w:tc>
        <w:tc>
          <w:tcPr>
            <w:tcW w:w="1701" w:type="dxa"/>
            <w:vAlign w:val="center"/>
          </w:tcPr>
          <w:p w14:paraId="2A832734">
            <w:pPr>
              <w:jc w:val="center"/>
              <w:rPr>
                <w:rFonts w:ascii="Times New Roman" w:eastAsia="仿宋"/>
                <w:kern w:val="2"/>
                <w:sz w:val="21"/>
                <w:szCs w:val="21"/>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：13100</w:t>
            </w:r>
            <w:r>
              <w:rPr>
                <w:rFonts w:hint="eastAsia" w:ascii="Times New Roman" w:eastAsia="仿宋"/>
                <w:kern w:val="2"/>
                <w:sz w:val="21"/>
                <w:szCs w:val="21"/>
              </w:rPr>
              <w:t>mg/kg(大鼠经口)</w:t>
            </w:r>
          </w:p>
          <w:p w14:paraId="1B7D04B1">
            <w:pPr>
              <w:pStyle w:val="35"/>
              <w:jc w:val="center"/>
            </w:pPr>
            <w:r>
              <w:rPr>
                <w:rFonts w:eastAsia="仿宋"/>
                <w:szCs w:val="21"/>
              </w:rPr>
              <w:t>LC</w:t>
            </w:r>
            <w:r>
              <w:rPr>
                <w:rFonts w:eastAsia="仿宋"/>
                <w:szCs w:val="21"/>
                <w:vertAlign w:val="subscript"/>
              </w:rPr>
              <w:t>50</w:t>
            </w:r>
            <w:r>
              <w:rPr>
                <w:rFonts w:eastAsia="仿宋"/>
                <w:szCs w:val="21"/>
              </w:rPr>
              <w:t>：9480mg/</w:t>
            </w:r>
            <w:r>
              <w:rPr>
                <w:rFonts w:hint="eastAsia" w:eastAsia="仿宋"/>
                <w:szCs w:val="21"/>
              </w:rPr>
              <w:t>kg</w:t>
            </w:r>
            <w:r>
              <w:rPr>
                <w:rFonts w:eastAsia="仿宋"/>
                <w:szCs w:val="21"/>
              </w:rPr>
              <w:t>(</w:t>
            </w:r>
            <w:r>
              <w:rPr>
                <w:rFonts w:hint="eastAsia" w:eastAsia="仿宋"/>
                <w:szCs w:val="21"/>
              </w:rPr>
              <w:t>大鼠经口</w:t>
            </w:r>
            <w:r>
              <w:rPr>
                <w:rFonts w:eastAsia="仿宋"/>
                <w:szCs w:val="21"/>
              </w:rPr>
              <w:t>)</w:t>
            </w:r>
          </w:p>
        </w:tc>
        <w:tc>
          <w:tcPr>
            <w:tcW w:w="2217" w:type="dxa"/>
            <w:vAlign w:val="center"/>
          </w:tcPr>
          <w:p w14:paraId="4EFE40A1">
            <w:pPr>
              <w:snapToGrid w:val="0"/>
              <w:rPr>
                <w:rFonts w:ascii="Times New Roman" w:eastAsia="仿宋"/>
                <w:kern w:val="2"/>
                <w:sz w:val="21"/>
                <w:szCs w:val="21"/>
              </w:rPr>
            </w:pPr>
            <w:r>
              <w:rPr>
                <w:rFonts w:hint="eastAsia" w:ascii="Times New Roman" w:eastAsia="仿宋"/>
                <w:kern w:val="2"/>
                <w:sz w:val="21"/>
                <w:szCs w:val="21"/>
              </w:rPr>
              <w:t>爆炸上限[%(V/V)]：7.6</w:t>
            </w:r>
          </w:p>
          <w:p w14:paraId="657F11B5">
            <w:pPr>
              <w:snapToGrid w:val="0"/>
              <w:rPr>
                <w:rFonts w:ascii="Times New Roman" w:eastAsia="仿宋"/>
                <w:kern w:val="2"/>
                <w:sz w:val="21"/>
                <w:szCs w:val="21"/>
              </w:rPr>
            </w:pPr>
            <w:r>
              <w:rPr>
                <w:rFonts w:hint="eastAsia" w:ascii="Times New Roman" w:eastAsia="仿宋"/>
                <w:kern w:val="2"/>
                <w:sz w:val="21"/>
                <w:szCs w:val="21"/>
              </w:rPr>
              <w:t>爆炸下限[%(V/V)]：1.2</w:t>
            </w:r>
          </w:p>
          <w:p w14:paraId="4B266A26">
            <w:pPr>
              <w:snapToGrid w:val="0"/>
              <w:rPr>
                <w:rFonts w:ascii="Times New Roman" w:eastAsia="仿宋"/>
                <w:kern w:val="2"/>
                <w:sz w:val="21"/>
                <w:szCs w:val="21"/>
              </w:rPr>
            </w:pPr>
            <w:r>
              <w:rPr>
                <w:rFonts w:hint="eastAsia" w:ascii="Times New Roman" w:eastAsia="仿宋"/>
                <w:kern w:val="2"/>
                <w:sz w:val="21"/>
                <w:szCs w:val="21"/>
              </w:rPr>
              <w:t>闪</w:t>
            </w:r>
            <w:r>
              <w:rPr>
                <w:rFonts w:ascii="Times New Roman" w:eastAsia="仿宋"/>
                <w:kern w:val="2"/>
                <w:sz w:val="21"/>
                <w:szCs w:val="21"/>
              </w:rPr>
              <w:t>点（℃）：22.2</w:t>
            </w:r>
          </w:p>
          <w:p w14:paraId="64B18C74">
            <w:pPr>
              <w:jc w:val="center"/>
              <w:rPr>
                <w:rFonts w:ascii="Times New Roman" w:eastAsia="仿宋"/>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r>
      <w:tr w14:paraId="344D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shd w:val="clear" w:color="auto" w:fill="auto"/>
            <w:vAlign w:val="center"/>
          </w:tcPr>
          <w:p w14:paraId="64E109B3">
            <w:pPr>
              <w:snapToGrid w:val="0"/>
              <w:rPr>
                <w:rFonts w:ascii="Times New Roman" w:eastAsia="仿宋"/>
                <w:kern w:val="2"/>
                <w:sz w:val="21"/>
                <w:szCs w:val="21"/>
              </w:rPr>
            </w:pPr>
            <w:r>
              <w:rPr>
                <w:rFonts w:hint="eastAsia" w:ascii="Times New Roman" w:eastAsia="仿宋"/>
                <w:kern w:val="2"/>
                <w:sz w:val="21"/>
                <w:szCs w:val="21"/>
              </w:rPr>
              <w:t>名称：氢氧化钠</w:t>
            </w:r>
          </w:p>
          <w:p w14:paraId="0FDC07A5">
            <w:pPr>
              <w:snapToGrid w:val="0"/>
              <w:rPr>
                <w:rFonts w:ascii="Times New Roman" w:eastAsia="仿宋"/>
                <w:kern w:val="2"/>
                <w:sz w:val="21"/>
                <w:szCs w:val="21"/>
              </w:rPr>
            </w:pPr>
            <w:r>
              <w:rPr>
                <w:rFonts w:hint="eastAsia" w:ascii="Times New Roman" w:eastAsia="仿宋"/>
                <w:kern w:val="2"/>
                <w:sz w:val="21"/>
                <w:szCs w:val="21"/>
              </w:rPr>
              <w:t>分子式：NaOH</w:t>
            </w:r>
          </w:p>
          <w:p w14:paraId="0A5C550E">
            <w:pPr>
              <w:rPr>
                <w:rFonts w:ascii="Times New Roman" w:eastAsia="仿宋"/>
                <w:kern w:val="2"/>
                <w:sz w:val="21"/>
                <w:szCs w:val="21"/>
              </w:rPr>
            </w:pPr>
            <w:r>
              <w:rPr>
                <w:rFonts w:hint="eastAsia" w:ascii="Times New Roman" w:eastAsia="仿宋"/>
                <w:kern w:val="2"/>
                <w:sz w:val="21"/>
                <w:szCs w:val="21"/>
              </w:rPr>
              <w:t>C</w:t>
            </w:r>
            <w:r>
              <w:rPr>
                <w:rFonts w:ascii="Times New Roman" w:eastAsia="仿宋"/>
                <w:kern w:val="2"/>
                <w:sz w:val="21"/>
                <w:szCs w:val="21"/>
              </w:rPr>
              <w:t>AS</w:t>
            </w:r>
            <w:r>
              <w:rPr>
                <w:rFonts w:hint="eastAsia" w:ascii="Times New Roman" w:eastAsia="仿宋"/>
                <w:kern w:val="2"/>
                <w:sz w:val="21"/>
                <w:szCs w:val="21"/>
              </w:rPr>
              <w:t>号：</w:t>
            </w:r>
            <w:r>
              <w:rPr>
                <w:rFonts w:ascii="Times New Roman" w:eastAsia="仿宋"/>
                <w:kern w:val="2"/>
                <w:sz w:val="21"/>
                <w:szCs w:val="21"/>
              </w:rPr>
              <w:t>1</w:t>
            </w:r>
            <w:r>
              <w:rPr>
                <w:rFonts w:hint="eastAsia" w:ascii="Times New Roman" w:eastAsia="仿宋"/>
                <w:kern w:val="2"/>
                <w:sz w:val="21"/>
                <w:szCs w:val="21"/>
              </w:rPr>
              <w:t>310-73-2</w:t>
            </w:r>
          </w:p>
          <w:p w14:paraId="4CDEF941">
            <w:pPr>
              <w:pStyle w:val="35"/>
              <w:rPr>
                <w:rFonts w:eastAsia="仿宋"/>
              </w:rPr>
            </w:pPr>
            <w:r>
              <w:rPr>
                <w:rFonts w:hint="eastAsia" w:eastAsia="仿宋"/>
                <w:szCs w:val="21"/>
              </w:rPr>
              <w:t>危规号：82001</w:t>
            </w:r>
          </w:p>
        </w:tc>
        <w:tc>
          <w:tcPr>
            <w:tcW w:w="2830" w:type="dxa"/>
            <w:shd w:val="clear" w:color="auto" w:fill="auto"/>
            <w:vAlign w:val="center"/>
          </w:tcPr>
          <w:p w14:paraId="6D901499">
            <w:pPr>
              <w:snapToGrid w:val="0"/>
              <w:rPr>
                <w:rFonts w:ascii="Times New Roman" w:eastAsia="仿宋"/>
                <w:kern w:val="2"/>
                <w:sz w:val="21"/>
                <w:szCs w:val="21"/>
              </w:rPr>
            </w:pPr>
            <w:r>
              <w:rPr>
                <w:rFonts w:ascii="Times New Roman" w:eastAsia="仿宋"/>
                <w:kern w:val="2"/>
                <w:sz w:val="21"/>
                <w:szCs w:val="21"/>
              </w:rPr>
              <w:t>性状：无</w:t>
            </w:r>
            <w:r>
              <w:rPr>
                <w:rFonts w:hint="eastAsia" w:ascii="Times New Roman" w:eastAsia="仿宋"/>
                <w:kern w:val="2"/>
                <w:sz w:val="21"/>
                <w:szCs w:val="21"/>
              </w:rPr>
              <w:t>臭白色固体</w:t>
            </w:r>
          </w:p>
          <w:p w14:paraId="667F53F9">
            <w:pPr>
              <w:snapToGrid w:val="0"/>
              <w:rPr>
                <w:rFonts w:ascii="Times New Roman" w:eastAsia="仿宋"/>
                <w:kern w:val="2"/>
                <w:sz w:val="21"/>
                <w:szCs w:val="21"/>
              </w:rPr>
            </w:pPr>
            <w:r>
              <w:rPr>
                <w:rFonts w:ascii="Times New Roman" w:eastAsia="仿宋"/>
                <w:kern w:val="2"/>
                <w:sz w:val="21"/>
                <w:szCs w:val="21"/>
              </w:rPr>
              <w:t>分子量：</w:t>
            </w:r>
            <w:r>
              <w:rPr>
                <w:rFonts w:hint="eastAsia" w:ascii="Times New Roman" w:eastAsia="仿宋"/>
                <w:kern w:val="2"/>
                <w:sz w:val="21"/>
                <w:szCs w:val="21"/>
              </w:rPr>
              <w:t>39.99</w:t>
            </w:r>
          </w:p>
          <w:p w14:paraId="4151D1D5">
            <w:pPr>
              <w:snapToGrid w:val="0"/>
              <w:rPr>
                <w:rFonts w:ascii="Times New Roman" w:eastAsia="仿宋"/>
                <w:kern w:val="2"/>
                <w:sz w:val="21"/>
                <w:szCs w:val="21"/>
              </w:rPr>
            </w:pPr>
            <w:r>
              <w:rPr>
                <w:rFonts w:ascii="Times New Roman" w:eastAsia="仿宋"/>
                <w:kern w:val="2"/>
                <w:sz w:val="21"/>
                <w:szCs w:val="21"/>
              </w:rPr>
              <w:t>熔点（℃）：</w:t>
            </w:r>
            <w:r>
              <w:rPr>
                <w:rFonts w:hint="eastAsia" w:ascii="Times New Roman" w:eastAsia="仿宋"/>
                <w:kern w:val="2"/>
                <w:sz w:val="21"/>
                <w:szCs w:val="21"/>
              </w:rPr>
              <w:t>318</w:t>
            </w:r>
          </w:p>
          <w:p w14:paraId="4B4BC517">
            <w:pPr>
              <w:snapToGrid w:val="0"/>
              <w:rPr>
                <w:rFonts w:ascii="Times New Roman" w:eastAsia="仿宋"/>
                <w:kern w:val="2"/>
                <w:sz w:val="21"/>
                <w:szCs w:val="21"/>
              </w:rPr>
            </w:pPr>
            <w:r>
              <w:rPr>
                <w:rFonts w:ascii="Times New Roman" w:eastAsia="仿宋"/>
                <w:kern w:val="2"/>
                <w:sz w:val="21"/>
                <w:szCs w:val="21"/>
              </w:rPr>
              <w:t>沸点（℃）：1</w:t>
            </w:r>
            <w:r>
              <w:rPr>
                <w:rFonts w:hint="eastAsia" w:ascii="Times New Roman" w:eastAsia="仿宋"/>
                <w:kern w:val="2"/>
                <w:sz w:val="21"/>
                <w:szCs w:val="21"/>
              </w:rPr>
              <w:t>390</w:t>
            </w:r>
          </w:p>
          <w:p w14:paraId="0C363C24">
            <w:pPr>
              <w:snapToGrid w:val="0"/>
              <w:rPr>
                <w:rFonts w:ascii="Times New Roman" w:eastAsia="仿宋"/>
                <w:kern w:val="2"/>
                <w:sz w:val="21"/>
                <w:szCs w:val="21"/>
              </w:rPr>
            </w:pPr>
            <w:r>
              <w:rPr>
                <w:rFonts w:ascii="Times New Roman" w:eastAsia="仿宋"/>
                <w:kern w:val="2"/>
                <w:sz w:val="21"/>
                <w:szCs w:val="21"/>
              </w:rPr>
              <w:t>饱和蒸气压（kPa）：/</w:t>
            </w:r>
          </w:p>
          <w:p w14:paraId="46C69F93">
            <w:pPr>
              <w:snapToGrid w:val="0"/>
              <w:rPr>
                <w:rFonts w:ascii="Times New Roman" w:eastAsia="仿宋"/>
                <w:kern w:val="2"/>
                <w:sz w:val="21"/>
                <w:szCs w:val="21"/>
              </w:rPr>
            </w:pPr>
            <w:r>
              <w:rPr>
                <w:rFonts w:ascii="Times New Roman" w:eastAsia="仿宋"/>
                <w:kern w:val="2"/>
                <w:sz w:val="21"/>
                <w:szCs w:val="21"/>
              </w:rPr>
              <w:t>相对密度（水=1）：</w:t>
            </w:r>
            <w:r>
              <w:rPr>
                <w:rFonts w:hint="eastAsia" w:ascii="Times New Roman" w:eastAsia="仿宋"/>
                <w:kern w:val="2"/>
                <w:sz w:val="21"/>
                <w:szCs w:val="21"/>
              </w:rPr>
              <w:t>2.13</w:t>
            </w:r>
          </w:p>
          <w:p w14:paraId="75BAB250">
            <w:pPr>
              <w:snapToGrid w:val="0"/>
              <w:rPr>
                <w:rFonts w:ascii="Times New Roman" w:eastAsia="仿宋"/>
                <w:kern w:val="2"/>
                <w:sz w:val="21"/>
                <w:szCs w:val="21"/>
              </w:rPr>
            </w:pPr>
            <w:r>
              <w:rPr>
                <w:rFonts w:ascii="Times New Roman" w:eastAsia="仿宋"/>
                <w:kern w:val="2"/>
                <w:sz w:val="21"/>
                <w:szCs w:val="21"/>
              </w:rPr>
              <w:t>相对密度（空气=1）：4.1</w:t>
            </w:r>
          </w:p>
          <w:p w14:paraId="1A61D79D">
            <w:pPr>
              <w:snapToGrid w:val="0"/>
              <w:rPr>
                <w:rFonts w:ascii="Times New Roman" w:eastAsia="仿宋"/>
                <w:kern w:val="2"/>
                <w:sz w:val="21"/>
                <w:szCs w:val="21"/>
              </w:rPr>
            </w:pPr>
            <w:r>
              <w:rPr>
                <w:rFonts w:ascii="Times New Roman" w:eastAsia="仿宋"/>
                <w:kern w:val="2"/>
                <w:sz w:val="21"/>
                <w:szCs w:val="21"/>
              </w:rPr>
              <w:t>溶解性：易溶于水、乙醇、甘油，不溶于丙酮、乙醚。</w:t>
            </w:r>
          </w:p>
          <w:p w14:paraId="15743B90">
            <w:pPr>
              <w:snapToGrid w:val="0"/>
              <w:rPr>
                <w:rFonts w:ascii="Times New Roman" w:eastAsia="仿宋"/>
                <w:sz w:val="21"/>
                <w:szCs w:val="21"/>
              </w:rPr>
            </w:pPr>
            <w:r>
              <w:rPr>
                <w:rFonts w:ascii="Times New Roman" w:eastAsia="仿宋"/>
                <w:kern w:val="2"/>
                <w:sz w:val="21"/>
                <w:szCs w:val="21"/>
              </w:rPr>
              <w:t>嗅阈值：/</w:t>
            </w:r>
          </w:p>
        </w:tc>
        <w:tc>
          <w:tcPr>
            <w:tcW w:w="1701" w:type="dxa"/>
            <w:shd w:val="clear" w:color="auto" w:fill="auto"/>
            <w:vAlign w:val="center"/>
          </w:tcPr>
          <w:p w14:paraId="2859A976">
            <w:pPr>
              <w:jc w:val="center"/>
              <w:rPr>
                <w:rFonts w:ascii="Times New Roman"/>
                <w:kern w:val="2"/>
                <w:sz w:val="21"/>
                <w:szCs w:val="24"/>
              </w:rPr>
            </w:pPr>
            <w:r>
              <w:rPr>
                <w:rFonts w:ascii="Times New Roman" w:eastAsia="仿宋"/>
                <w:kern w:val="2"/>
                <w:sz w:val="21"/>
                <w:szCs w:val="21"/>
              </w:rPr>
              <w:t>LD</w:t>
            </w:r>
            <w:r>
              <w:rPr>
                <w:rFonts w:ascii="Times New Roman" w:eastAsia="仿宋"/>
                <w:kern w:val="2"/>
                <w:sz w:val="21"/>
                <w:szCs w:val="21"/>
                <w:vertAlign w:val="subscript"/>
              </w:rPr>
              <w:t>50</w:t>
            </w:r>
            <w:r>
              <w:rPr>
                <w:rFonts w:ascii="Times New Roman" w:eastAsia="仿宋"/>
                <w:kern w:val="2"/>
                <w:sz w:val="21"/>
                <w:szCs w:val="21"/>
              </w:rPr>
              <w:t>：</w:t>
            </w:r>
            <w:r>
              <w:rPr>
                <w:rFonts w:hint="eastAsia" w:ascii="Times New Roman" w:eastAsia="仿宋"/>
                <w:kern w:val="2"/>
                <w:sz w:val="21"/>
                <w:szCs w:val="21"/>
              </w:rPr>
              <w:t>40mg/kg(小鼠腹腔)</w:t>
            </w:r>
          </w:p>
        </w:tc>
        <w:tc>
          <w:tcPr>
            <w:tcW w:w="2217" w:type="dxa"/>
            <w:shd w:val="clear" w:color="auto" w:fill="auto"/>
            <w:vAlign w:val="center"/>
          </w:tcPr>
          <w:p w14:paraId="473DE475">
            <w:pPr>
              <w:jc w:val="center"/>
              <w:rPr>
                <w:rFonts w:ascii="Times New Roman" w:eastAsia="仿宋"/>
                <w:sz w:val="21"/>
                <w:szCs w:val="21"/>
              </w:rPr>
            </w:pPr>
            <w:r>
              <w:rPr>
                <w:rFonts w:hint="eastAsia" w:ascii="Times New Roman" w:eastAsia="仿宋"/>
                <w:sz w:val="21"/>
                <w:szCs w:val="21"/>
              </w:rPr>
              <w:t>/</w:t>
            </w:r>
          </w:p>
        </w:tc>
      </w:tr>
    </w:tbl>
    <w:p w14:paraId="7506C652">
      <w:pPr>
        <w:pStyle w:val="35"/>
      </w:pPr>
    </w:p>
    <w:bookmarkEnd w:id="217"/>
    <w:p w14:paraId="163DEE2B">
      <w:pPr>
        <w:keepNext/>
        <w:tabs>
          <w:tab w:val="left" w:pos="709"/>
        </w:tabs>
        <w:spacing w:before="120" w:beforeLines="50" w:after="120" w:afterLines="50" w:line="500" w:lineRule="exact"/>
        <w:rPr>
          <w:rFonts w:ascii="Times New Roman" w:eastAsia="仿宋"/>
          <w:sz w:val="28"/>
          <w:szCs w:val="28"/>
        </w:rPr>
        <w:sectPr>
          <w:pgSz w:w="11907" w:h="16840"/>
          <w:pgMar w:top="1797" w:right="1440" w:bottom="1797" w:left="1440" w:header="851" w:footer="992" w:gutter="0"/>
          <w:cols w:space="720" w:num="1"/>
          <w:docGrid w:linePitch="326" w:charSpace="0"/>
        </w:sectPr>
      </w:pPr>
    </w:p>
    <w:p w14:paraId="7CE34E50">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1</w:t>
      </w:r>
      <w:r>
        <w:rPr>
          <w:rFonts w:ascii="Times New Roman" w:eastAsia="仿宋"/>
          <w:sz w:val="28"/>
          <w:szCs w:val="28"/>
        </w:rPr>
        <w:t>.7主要生产设备汇总</w:t>
      </w:r>
    </w:p>
    <w:p w14:paraId="747F46C6">
      <w:pPr>
        <w:pStyle w:val="168"/>
        <w:ind w:firstLine="560"/>
        <w:jc w:val="both"/>
        <w:rPr>
          <w:rFonts w:ascii="Times New Roman" w:eastAsia="仿宋"/>
          <w:b w:val="0"/>
          <w:sz w:val="28"/>
          <w:szCs w:val="28"/>
        </w:rPr>
      </w:pPr>
      <w:r>
        <w:rPr>
          <w:rFonts w:ascii="Times New Roman" w:eastAsia="仿宋"/>
          <w:b w:val="0"/>
          <w:sz w:val="28"/>
          <w:szCs w:val="28"/>
        </w:rPr>
        <w:t>本项目主要设备清单见下表3.1-12。</w:t>
      </w:r>
    </w:p>
    <w:p w14:paraId="503162FD">
      <w:pPr>
        <w:pStyle w:val="168"/>
        <w:ind w:firstLine="0" w:firstLineChars="0"/>
        <w:rPr>
          <w:rFonts w:ascii="Times New Roman" w:eastAsia="仿宋"/>
        </w:rPr>
      </w:pPr>
      <w:bookmarkStart w:id="218" w:name="_Ref383202022"/>
      <w:r>
        <w:rPr>
          <w:rFonts w:ascii="Times New Roman" w:eastAsia="仿宋"/>
        </w:rPr>
        <w:t>表</w:t>
      </w:r>
      <w:bookmarkEnd w:id="218"/>
      <w:r>
        <w:rPr>
          <w:rFonts w:ascii="Times New Roman" w:eastAsia="仿宋"/>
        </w:rPr>
        <w:t>3.1-12  本项目主要设备清单表</w:t>
      </w:r>
    </w:p>
    <w:tbl>
      <w:tblPr>
        <w:tblStyle w:val="87"/>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647"/>
        <w:gridCol w:w="1182"/>
        <w:gridCol w:w="3176"/>
        <w:gridCol w:w="1335"/>
        <w:gridCol w:w="707"/>
        <w:gridCol w:w="1514"/>
      </w:tblGrid>
      <w:tr w14:paraId="5E114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003A2FDC">
            <w:pPr>
              <w:widowControl/>
              <w:jc w:val="center"/>
              <w:rPr>
                <w:rFonts w:ascii="Times New Roman" w:eastAsia="仿宋"/>
                <w:szCs w:val="21"/>
              </w:rPr>
            </w:pPr>
            <w:r>
              <w:rPr>
                <w:rFonts w:ascii="Times New Roman" w:eastAsia="仿宋"/>
                <w:szCs w:val="21"/>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73D0AF88">
            <w:pPr>
              <w:widowControl/>
              <w:jc w:val="center"/>
              <w:rPr>
                <w:rFonts w:ascii="Times New Roman" w:eastAsia="仿宋"/>
                <w:szCs w:val="21"/>
              </w:rPr>
            </w:pPr>
            <w:r>
              <w:rPr>
                <w:rFonts w:ascii="Times New Roman" w:eastAsia="仿宋"/>
                <w:szCs w:val="21"/>
              </w:rPr>
              <w:t>设备/材料名称</w:t>
            </w:r>
          </w:p>
        </w:tc>
        <w:tc>
          <w:tcPr>
            <w:tcW w:w="3176" w:type="dxa"/>
            <w:tcBorders>
              <w:top w:val="single" w:color="auto" w:sz="4" w:space="0"/>
              <w:left w:val="single" w:color="auto" w:sz="4" w:space="0"/>
              <w:bottom w:val="single" w:color="auto" w:sz="4" w:space="0"/>
              <w:right w:val="single" w:color="auto" w:sz="4" w:space="0"/>
            </w:tcBorders>
            <w:vAlign w:val="center"/>
          </w:tcPr>
          <w:p w14:paraId="40509FD5">
            <w:pPr>
              <w:widowControl/>
              <w:jc w:val="center"/>
              <w:rPr>
                <w:rFonts w:ascii="Times New Roman" w:eastAsia="仿宋"/>
                <w:szCs w:val="21"/>
              </w:rPr>
            </w:pPr>
            <w:r>
              <w:rPr>
                <w:rFonts w:ascii="Times New Roman" w:eastAsia="仿宋"/>
                <w:szCs w:val="21"/>
              </w:rPr>
              <w:t>型号、规格</w:t>
            </w:r>
          </w:p>
        </w:tc>
        <w:tc>
          <w:tcPr>
            <w:tcW w:w="1335" w:type="dxa"/>
            <w:tcBorders>
              <w:top w:val="single" w:color="auto" w:sz="4" w:space="0"/>
              <w:left w:val="single" w:color="auto" w:sz="4" w:space="0"/>
              <w:right w:val="single" w:color="auto" w:sz="4" w:space="0"/>
            </w:tcBorders>
            <w:vAlign w:val="center"/>
          </w:tcPr>
          <w:p w14:paraId="5FA7BA49">
            <w:pPr>
              <w:widowControl/>
              <w:jc w:val="center"/>
              <w:rPr>
                <w:rFonts w:ascii="Times New Roman" w:eastAsia="仿宋"/>
                <w:szCs w:val="21"/>
              </w:rPr>
            </w:pPr>
            <w:r>
              <w:rPr>
                <w:rFonts w:hint="eastAsia" w:ascii="Times New Roman" w:eastAsia="仿宋"/>
                <w:szCs w:val="21"/>
              </w:rPr>
              <w:t>工序</w:t>
            </w:r>
          </w:p>
        </w:tc>
        <w:tc>
          <w:tcPr>
            <w:tcW w:w="707" w:type="dxa"/>
            <w:tcBorders>
              <w:top w:val="single" w:color="auto" w:sz="4" w:space="0"/>
              <w:left w:val="single" w:color="auto" w:sz="4" w:space="0"/>
              <w:right w:val="single" w:color="auto" w:sz="4" w:space="0"/>
            </w:tcBorders>
            <w:vAlign w:val="center"/>
          </w:tcPr>
          <w:p w14:paraId="5C24B2ED">
            <w:pPr>
              <w:widowControl/>
              <w:jc w:val="center"/>
              <w:rPr>
                <w:rFonts w:ascii="Times New Roman" w:eastAsia="仿宋"/>
                <w:szCs w:val="21"/>
              </w:rPr>
            </w:pPr>
            <w:r>
              <w:rPr>
                <w:rFonts w:ascii="Times New Roman" w:eastAsia="仿宋"/>
                <w:szCs w:val="21"/>
              </w:rPr>
              <w:t>数量（台/套）</w:t>
            </w:r>
          </w:p>
        </w:tc>
        <w:tc>
          <w:tcPr>
            <w:tcW w:w="1514" w:type="dxa"/>
            <w:tcBorders>
              <w:top w:val="single" w:color="auto" w:sz="4" w:space="0"/>
              <w:left w:val="single" w:color="auto" w:sz="4" w:space="0"/>
              <w:right w:val="single" w:color="auto" w:sz="4" w:space="0"/>
            </w:tcBorders>
            <w:vAlign w:val="center"/>
          </w:tcPr>
          <w:p w14:paraId="1420DD72">
            <w:pPr>
              <w:widowControl/>
              <w:jc w:val="center"/>
              <w:rPr>
                <w:rFonts w:ascii="Times New Roman" w:eastAsia="仿宋"/>
                <w:szCs w:val="21"/>
              </w:rPr>
            </w:pPr>
            <w:r>
              <w:rPr>
                <w:rFonts w:hint="eastAsia" w:ascii="Times New Roman" w:eastAsia="仿宋"/>
                <w:szCs w:val="21"/>
              </w:rPr>
              <w:t>所在车间</w:t>
            </w:r>
          </w:p>
        </w:tc>
      </w:tr>
      <w:tr w14:paraId="5DC38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6" w:type="dxa"/>
            <w:vMerge w:val="restart"/>
            <w:tcBorders>
              <w:top w:val="single" w:color="auto" w:sz="4" w:space="0"/>
              <w:left w:val="single" w:color="auto" w:sz="4" w:space="0"/>
              <w:right w:val="single" w:color="auto" w:sz="4" w:space="0"/>
            </w:tcBorders>
            <w:vAlign w:val="center"/>
          </w:tcPr>
          <w:p w14:paraId="0843B54F">
            <w:pPr>
              <w:widowControl/>
              <w:jc w:val="center"/>
              <w:rPr>
                <w:rFonts w:ascii="Times New Roman" w:eastAsia="仿宋"/>
                <w:szCs w:val="21"/>
              </w:rPr>
            </w:pPr>
            <w:r>
              <w:rPr>
                <w:rFonts w:ascii="Times New Roman" w:eastAsia="仿宋"/>
                <w:szCs w:val="21"/>
              </w:rPr>
              <w:t>1</w:t>
            </w:r>
          </w:p>
        </w:tc>
        <w:tc>
          <w:tcPr>
            <w:tcW w:w="1829" w:type="dxa"/>
            <w:gridSpan w:val="2"/>
            <w:vMerge w:val="restart"/>
            <w:tcBorders>
              <w:top w:val="single" w:color="auto" w:sz="4" w:space="0"/>
              <w:left w:val="single" w:color="auto" w:sz="4" w:space="0"/>
              <w:right w:val="single" w:color="auto" w:sz="4" w:space="0"/>
            </w:tcBorders>
            <w:vAlign w:val="center"/>
          </w:tcPr>
          <w:p w14:paraId="5BE46851">
            <w:pPr>
              <w:widowControl/>
              <w:jc w:val="center"/>
              <w:rPr>
                <w:rFonts w:ascii="Times New Roman" w:eastAsia="仿宋"/>
                <w:szCs w:val="21"/>
              </w:rPr>
            </w:pPr>
            <w:r>
              <w:rPr>
                <w:rFonts w:hint="eastAsia" w:ascii="Times New Roman" w:eastAsia="仿宋"/>
                <w:szCs w:val="21"/>
              </w:rPr>
              <w:t>雕刻机</w:t>
            </w:r>
          </w:p>
        </w:tc>
        <w:tc>
          <w:tcPr>
            <w:tcW w:w="3176" w:type="dxa"/>
            <w:vMerge w:val="restart"/>
            <w:tcBorders>
              <w:top w:val="single" w:color="auto" w:sz="4" w:space="0"/>
              <w:left w:val="single" w:color="auto" w:sz="4" w:space="0"/>
              <w:right w:val="single" w:color="auto" w:sz="4" w:space="0"/>
            </w:tcBorders>
            <w:vAlign w:val="center"/>
          </w:tcPr>
          <w:p w14:paraId="52D9458B">
            <w:pPr>
              <w:widowControl/>
              <w:jc w:val="center"/>
              <w:rPr>
                <w:rFonts w:ascii="Times New Roman"/>
              </w:rPr>
            </w:pPr>
            <w:r>
              <w:rPr>
                <w:rFonts w:ascii="Times New Roman"/>
              </w:rPr>
              <w:t>FRODER-2045</w:t>
            </w:r>
          </w:p>
        </w:tc>
        <w:tc>
          <w:tcPr>
            <w:tcW w:w="1335" w:type="dxa"/>
            <w:vMerge w:val="restart"/>
            <w:tcBorders>
              <w:top w:val="single" w:color="auto" w:sz="4" w:space="0"/>
              <w:left w:val="single" w:color="auto" w:sz="4" w:space="0"/>
              <w:right w:val="single" w:color="auto" w:sz="4" w:space="0"/>
            </w:tcBorders>
            <w:vAlign w:val="center"/>
          </w:tcPr>
          <w:p w14:paraId="7908E4EF">
            <w:pPr>
              <w:widowControl/>
              <w:jc w:val="center"/>
              <w:rPr>
                <w:rFonts w:ascii="Times New Roman" w:eastAsia="仿宋"/>
                <w:szCs w:val="21"/>
              </w:rPr>
            </w:pPr>
            <w:r>
              <w:rPr>
                <w:rFonts w:hint="eastAsia" w:ascii="Times New Roman" w:eastAsia="仿宋"/>
                <w:szCs w:val="21"/>
              </w:rPr>
              <w:t>切割</w:t>
            </w:r>
          </w:p>
        </w:tc>
        <w:tc>
          <w:tcPr>
            <w:tcW w:w="707" w:type="dxa"/>
            <w:tcBorders>
              <w:top w:val="single" w:color="auto" w:sz="4" w:space="0"/>
              <w:left w:val="single" w:color="auto" w:sz="4" w:space="0"/>
              <w:bottom w:val="single" w:color="auto" w:sz="4" w:space="0"/>
              <w:right w:val="single" w:color="auto" w:sz="4" w:space="0"/>
            </w:tcBorders>
            <w:vAlign w:val="center"/>
          </w:tcPr>
          <w:p w14:paraId="3DE25CC9">
            <w:pPr>
              <w:widowControl/>
              <w:jc w:val="center"/>
              <w:rPr>
                <w:rFonts w:ascii="Times New Roman" w:eastAsia="仿宋"/>
                <w:szCs w:val="21"/>
              </w:rPr>
            </w:pPr>
            <w:r>
              <w:rPr>
                <w:rFonts w:ascii="Times New Roman" w:eastAsia="仿宋"/>
                <w:szCs w:val="21"/>
              </w:rPr>
              <w:t>6</w:t>
            </w:r>
          </w:p>
        </w:tc>
        <w:tc>
          <w:tcPr>
            <w:tcW w:w="1514" w:type="dxa"/>
            <w:tcBorders>
              <w:top w:val="single" w:color="auto" w:sz="4" w:space="0"/>
              <w:left w:val="single" w:color="auto" w:sz="4" w:space="0"/>
              <w:right w:val="single" w:color="auto" w:sz="4" w:space="0"/>
            </w:tcBorders>
            <w:vAlign w:val="center"/>
          </w:tcPr>
          <w:p w14:paraId="3B97262C">
            <w:pPr>
              <w:widowControl/>
              <w:jc w:val="center"/>
              <w:rPr>
                <w:rFonts w:ascii="Times New Roman" w:eastAsia="仿宋"/>
                <w:szCs w:val="21"/>
              </w:rPr>
            </w:pPr>
            <w:r>
              <w:rPr>
                <w:rFonts w:hint="eastAsia" w:ascii="Times New Roman" w:eastAsia="仿宋"/>
                <w:szCs w:val="21"/>
              </w:rPr>
              <w:t>1号钣金车间</w:t>
            </w:r>
          </w:p>
        </w:tc>
      </w:tr>
      <w:tr w14:paraId="1258D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6" w:type="dxa"/>
            <w:vMerge w:val="continue"/>
            <w:tcBorders>
              <w:left w:val="single" w:color="auto" w:sz="4" w:space="0"/>
              <w:right w:val="single" w:color="auto" w:sz="4" w:space="0"/>
            </w:tcBorders>
            <w:vAlign w:val="center"/>
          </w:tcPr>
          <w:p w14:paraId="4685EE47">
            <w:pPr>
              <w:widowControl/>
              <w:jc w:val="center"/>
              <w:rPr>
                <w:rFonts w:ascii="Times New Roman" w:eastAsia="仿宋"/>
                <w:szCs w:val="21"/>
              </w:rPr>
            </w:pPr>
          </w:p>
        </w:tc>
        <w:tc>
          <w:tcPr>
            <w:tcW w:w="1829" w:type="dxa"/>
            <w:gridSpan w:val="2"/>
            <w:vMerge w:val="continue"/>
            <w:tcBorders>
              <w:left w:val="single" w:color="auto" w:sz="4" w:space="0"/>
              <w:right w:val="single" w:color="auto" w:sz="4" w:space="0"/>
            </w:tcBorders>
            <w:vAlign w:val="center"/>
          </w:tcPr>
          <w:p w14:paraId="03991E61">
            <w:pPr>
              <w:widowControl/>
              <w:jc w:val="center"/>
              <w:rPr>
                <w:rFonts w:ascii="Times New Roman" w:eastAsia="仿宋"/>
                <w:szCs w:val="21"/>
              </w:rPr>
            </w:pPr>
          </w:p>
        </w:tc>
        <w:tc>
          <w:tcPr>
            <w:tcW w:w="3176" w:type="dxa"/>
            <w:vMerge w:val="continue"/>
            <w:tcBorders>
              <w:left w:val="single" w:color="auto" w:sz="4" w:space="0"/>
              <w:right w:val="single" w:color="auto" w:sz="4" w:space="0"/>
            </w:tcBorders>
            <w:vAlign w:val="center"/>
          </w:tcPr>
          <w:p w14:paraId="781AD032">
            <w:pPr>
              <w:widowControl/>
              <w:jc w:val="center"/>
              <w:rPr>
                <w:rFonts w:ascii="Times New Roman"/>
              </w:rPr>
            </w:pPr>
          </w:p>
        </w:tc>
        <w:tc>
          <w:tcPr>
            <w:tcW w:w="1335" w:type="dxa"/>
            <w:vMerge w:val="continue"/>
            <w:tcBorders>
              <w:left w:val="single" w:color="auto" w:sz="4" w:space="0"/>
              <w:right w:val="single" w:color="auto" w:sz="4" w:space="0"/>
            </w:tcBorders>
            <w:vAlign w:val="center"/>
          </w:tcPr>
          <w:p w14:paraId="1F9EEB04">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5DBBEA57">
            <w:pPr>
              <w:widowControl/>
              <w:jc w:val="center"/>
              <w:rPr>
                <w:rFonts w:ascii="Times New Roman" w:eastAsia="仿宋"/>
                <w:szCs w:val="21"/>
              </w:rPr>
            </w:pPr>
            <w:r>
              <w:rPr>
                <w:rFonts w:hint="eastAsia" w:ascii="Times New Roman" w:eastAsia="仿宋"/>
                <w:szCs w:val="21"/>
              </w:rPr>
              <w:t>6</w:t>
            </w:r>
          </w:p>
        </w:tc>
        <w:tc>
          <w:tcPr>
            <w:tcW w:w="1514" w:type="dxa"/>
            <w:tcBorders>
              <w:top w:val="single" w:color="auto" w:sz="4" w:space="0"/>
              <w:left w:val="single" w:color="auto" w:sz="4" w:space="0"/>
              <w:right w:val="single" w:color="auto" w:sz="4" w:space="0"/>
            </w:tcBorders>
            <w:vAlign w:val="center"/>
          </w:tcPr>
          <w:p w14:paraId="48A39506">
            <w:pPr>
              <w:widowControl/>
              <w:jc w:val="center"/>
              <w:rPr>
                <w:rFonts w:ascii="Times New Roman" w:eastAsia="仿宋"/>
                <w:szCs w:val="21"/>
              </w:rPr>
            </w:pPr>
            <w:r>
              <w:rPr>
                <w:rFonts w:hint="eastAsia" w:ascii="Times New Roman" w:eastAsia="仿宋"/>
                <w:szCs w:val="21"/>
              </w:rPr>
              <w:t>2号钣金车间</w:t>
            </w:r>
          </w:p>
        </w:tc>
      </w:tr>
      <w:tr w14:paraId="76361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6" w:type="dxa"/>
            <w:vMerge w:val="continue"/>
            <w:tcBorders>
              <w:left w:val="single" w:color="auto" w:sz="4" w:space="0"/>
              <w:bottom w:val="single" w:color="auto" w:sz="4" w:space="0"/>
              <w:right w:val="single" w:color="auto" w:sz="4" w:space="0"/>
            </w:tcBorders>
            <w:vAlign w:val="center"/>
          </w:tcPr>
          <w:p w14:paraId="54CE5885">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6CA8C5D0">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2515C864">
            <w:pPr>
              <w:widowControl/>
              <w:jc w:val="center"/>
              <w:rPr>
                <w:rFonts w:ascii="Times New Roman"/>
              </w:rPr>
            </w:pPr>
          </w:p>
        </w:tc>
        <w:tc>
          <w:tcPr>
            <w:tcW w:w="1335" w:type="dxa"/>
            <w:vMerge w:val="continue"/>
            <w:tcBorders>
              <w:left w:val="single" w:color="auto" w:sz="4" w:space="0"/>
              <w:bottom w:val="single" w:color="auto" w:sz="4" w:space="0"/>
              <w:right w:val="single" w:color="auto" w:sz="4" w:space="0"/>
            </w:tcBorders>
            <w:vAlign w:val="center"/>
          </w:tcPr>
          <w:p w14:paraId="4D5705B2">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5E540E66">
            <w:pPr>
              <w:widowControl/>
              <w:jc w:val="center"/>
              <w:rPr>
                <w:rFonts w:ascii="Times New Roman" w:eastAsia="仿宋"/>
                <w:szCs w:val="21"/>
              </w:rPr>
            </w:pPr>
            <w:r>
              <w:rPr>
                <w:rFonts w:hint="eastAsia" w:ascii="Times New Roman" w:eastAsia="仿宋"/>
                <w:szCs w:val="21"/>
              </w:rPr>
              <w:t>6</w:t>
            </w:r>
          </w:p>
        </w:tc>
        <w:tc>
          <w:tcPr>
            <w:tcW w:w="1514" w:type="dxa"/>
            <w:tcBorders>
              <w:top w:val="single" w:color="auto" w:sz="4" w:space="0"/>
              <w:left w:val="single" w:color="auto" w:sz="4" w:space="0"/>
              <w:right w:val="single" w:color="auto" w:sz="4" w:space="0"/>
            </w:tcBorders>
            <w:vAlign w:val="center"/>
          </w:tcPr>
          <w:p w14:paraId="1863A109">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5D68D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6" w:type="dxa"/>
            <w:vMerge w:val="restart"/>
            <w:tcBorders>
              <w:top w:val="single" w:color="auto" w:sz="4" w:space="0"/>
              <w:left w:val="single" w:color="auto" w:sz="4" w:space="0"/>
              <w:right w:val="single" w:color="auto" w:sz="4" w:space="0"/>
            </w:tcBorders>
            <w:vAlign w:val="center"/>
          </w:tcPr>
          <w:p w14:paraId="145FD3E4">
            <w:pPr>
              <w:widowControl/>
              <w:jc w:val="center"/>
              <w:rPr>
                <w:rFonts w:ascii="Times New Roman" w:eastAsia="仿宋"/>
                <w:szCs w:val="21"/>
              </w:rPr>
            </w:pPr>
            <w:r>
              <w:rPr>
                <w:rFonts w:hint="eastAsia" w:ascii="Times New Roman" w:eastAsia="仿宋"/>
                <w:szCs w:val="21"/>
              </w:rPr>
              <w:t>2</w:t>
            </w:r>
          </w:p>
        </w:tc>
        <w:tc>
          <w:tcPr>
            <w:tcW w:w="1829" w:type="dxa"/>
            <w:gridSpan w:val="2"/>
            <w:vMerge w:val="restart"/>
            <w:tcBorders>
              <w:top w:val="single" w:color="auto" w:sz="4" w:space="0"/>
              <w:left w:val="single" w:color="auto" w:sz="4" w:space="0"/>
              <w:right w:val="single" w:color="auto" w:sz="4" w:space="0"/>
            </w:tcBorders>
            <w:vAlign w:val="center"/>
          </w:tcPr>
          <w:p w14:paraId="0A9163DD">
            <w:pPr>
              <w:widowControl/>
              <w:jc w:val="center"/>
              <w:rPr>
                <w:rFonts w:ascii="Times New Roman" w:eastAsia="仿宋"/>
                <w:szCs w:val="21"/>
              </w:rPr>
            </w:pPr>
            <w:r>
              <w:rPr>
                <w:rFonts w:hint="eastAsia" w:ascii="Times New Roman" w:eastAsia="仿宋"/>
                <w:szCs w:val="21"/>
              </w:rPr>
              <w:t>数控转塔冲</w:t>
            </w:r>
          </w:p>
        </w:tc>
        <w:tc>
          <w:tcPr>
            <w:tcW w:w="3176" w:type="dxa"/>
            <w:vMerge w:val="restart"/>
            <w:tcBorders>
              <w:top w:val="single" w:color="auto" w:sz="4" w:space="0"/>
              <w:left w:val="single" w:color="auto" w:sz="4" w:space="0"/>
              <w:right w:val="single" w:color="auto" w:sz="4" w:space="0"/>
            </w:tcBorders>
            <w:vAlign w:val="center"/>
          </w:tcPr>
          <w:p w14:paraId="2B6CAC6D">
            <w:pPr>
              <w:widowControl/>
              <w:jc w:val="center"/>
              <w:rPr>
                <w:rFonts w:ascii="Times New Roman"/>
              </w:rPr>
            </w:pPr>
            <w:r>
              <w:rPr>
                <w:rFonts w:ascii="Times New Roman" w:eastAsia="仿宋"/>
                <w:szCs w:val="21"/>
              </w:rPr>
              <w:t>HPC-3078-38LA2</w:t>
            </w:r>
          </w:p>
        </w:tc>
        <w:tc>
          <w:tcPr>
            <w:tcW w:w="1335" w:type="dxa"/>
            <w:vMerge w:val="restart"/>
            <w:tcBorders>
              <w:top w:val="single" w:color="auto" w:sz="4" w:space="0"/>
              <w:left w:val="single" w:color="auto" w:sz="4" w:space="0"/>
              <w:right w:val="single" w:color="auto" w:sz="4" w:space="0"/>
            </w:tcBorders>
            <w:vAlign w:val="center"/>
          </w:tcPr>
          <w:p w14:paraId="2853A966">
            <w:pPr>
              <w:widowControl/>
              <w:jc w:val="center"/>
              <w:rPr>
                <w:rFonts w:ascii="Times New Roman" w:eastAsia="仿宋"/>
                <w:szCs w:val="21"/>
              </w:rPr>
            </w:pPr>
            <w:r>
              <w:rPr>
                <w:rFonts w:hint="eastAsia" w:ascii="Times New Roman" w:eastAsia="仿宋"/>
                <w:szCs w:val="21"/>
              </w:rPr>
              <w:t>冲孔、冲角</w:t>
            </w:r>
          </w:p>
        </w:tc>
        <w:tc>
          <w:tcPr>
            <w:tcW w:w="707" w:type="dxa"/>
            <w:tcBorders>
              <w:top w:val="single" w:color="auto" w:sz="4" w:space="0"/>
              <w:left w:val="single" w:color="auto" w:sz="4" w:space="0"/>
              <w:bottom w:val="single" w:color="auto" w:sz="4" w:space="0"/>
              <w:right w:val="single" w:color="auto" w:sz="4" w:space="0"/>
            </w:tcBorders>
            <w:vAlign w:val="center"/>
          </w:tcPr>
          <w:p w14:paraId="51FCA033">
            <w:pPr>
              <w:widowControl/>
              <w:jc w:val="center"/>
              <w:rPr>
                <w:rFonts w:ascii="Times New Roman" w:eastAsia="仿宋"/>
                <w:szCs w:val="21"/>
              </w:rPr>
            </w:pPr>
            <w:r>
              <w:rPr>
                <w:rFonts w:hint="eastAsia" w:ascii="Times New Roman" w:eastAsia="仿宋"/>
                <w:szCs w:val="21"/>
              </w:rPr>
              <w:t>4</w:t>
            </w:r>
          </w:p>
        </w:tc>
        <w:tc>
          <w:tcPr>
            <w:tcW w:w="1514" w:type="dxa"/>
            <w:tcBorders>
              <w:top w:val="single" w:color="auto" w:sz="4" w:space="0"/>
              <w:left w:val="single" w:color="auto" w:sz="4" w:space="0"/>
              <w:right w:val="single" w:color="auto" w:sz="4" w:space="0"/>
            </w:tcBorders>
            <w:vAlign w:val="center"/>
          </w:tcPr>
          <w:p w14:paraId="0373E530">
            <w:pPr>
              <w:widowControl/>
              <w:jc w:val="center"/>
              <w:rPr>
                <w:rFonts w:ascii="Times New Roman" w:eastAsia="仿宋"/>
                <w:szCs w:val="21"/>
              </w:rPr>
            </w:pPr>
            <w:r>
              <w:rPr>
                <w:rFonts w:ascii="Times New Roman" w:eastAsia="仿宋"/>
                <w:szCs w:val="21"/>
              </w:rPr>
              <w:t>2</w:t>
            </w:r>
            <w:r>
              <w:rPr>
                <w:rFonts w:hint="eastAsia" w:ascii="Times New Roman" w:eastAsia="仿宋"/>
                <w:szCs w:val="21"/>
              </w:rPr>
              <w:t>号钣金车间</w:t>
            </w:r>
          </w:p>
        </w:tc>
      </w:tr>
      <w:tr w14:paraId="34AFB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6" w:type="dxa"/>
            <w:vMerge w:val="continue"/>
            <w:tcBorders>
              <w:left w:val="single" w:color="auto" w:sz="4" w:space="0"/>
              <w:bottom w:val="single" w:color="auto" w:sz="4" w:space="0"/>
              <w:right w:val="single" w:color="auto" w:sz="4" w:space="0"/>
            </w:tcBorders>
            <w:vAlign w:val="center"/>
          </w:tcPr>
          <w:p w14:paraId="51E6B1E8">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0F383207">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021365BA">
            <w:pPr>
              <w:widowControl/>
              <w:jc w:val="center"/>
              <w:rPr>
                <w:rFonts w:ascii="Times New Roman"/>
              </w:rPr>
            </w:pPr>
          </w:p>
        </w:tc>
        <w:tc>
          <w:tcPr>
            <w:tcW w:w="1335" w:type="dxa"/>
            <w:vMerge w:val="continue"/>
            <w:tcBorders>
              <w:left w:val="single" w:color="auto" w:sz="4" w:space="0"/>
              <w:bottom w:val="single" w:color="auto" w:sz="4" w:space="0"/>
              <w:right w:val="single" w:color="auto" w:sz="4" w:space="0"/>
            </w:tcBorders>
            <w:vAlign w:val="center"/>
          </w:tcPr>
          <w:p w14:paraId="4F52EF66">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402B704F">
            <w:pPr>
              <w:widowControl/>
              <w:jc w:val="center"/>
              <w:rPr>
                <w:rFonts w:ascii="Times New Roman" w:eastAsia="仿宋"/>
                <w:szCs w:val="21"/>
              </w:rPr>
            </w:pPr>
            <w:r>
              <w:rPr>
                <w:rFonts w:hint="eastAsia" w:ascii="Times New Roman" w:eastAsia="仿宋"/>
                <w:szCs w:val="21"/>
              </w:rPr>
              <w:t>2</w:t>
            </w:r>
          </w:p>
        </w:tc>
        <w:tc>
          <w:tcPr>
            <w:tcW w:w="1514" w:type="dxa"/>
            <w:tcBorders>
              <w:top w:val="single" w:color="auto" w:sz="4" w:space="0"/>
              <w:left w:val="single" w:color="auto" w:sz="4" w:space="0"/>
              <w:right w:val="single" w:color="auto" w:sz="4" w:space="0"/>
            </w:tcBorders>
            <w:vAlign w:val="center"/>
          </w:tcPr>
          <w:p w14:paraId="2DA05565">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459B4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4E529545">
            <w:pPr>
              <w:widowControl/>
              <w:jc w:val="center"/>
              <w:rPr>
                <w:rFonts w:ascii="Times New Roman" w:eastAsia="仿宋"/>
                <w:szCs w:val="21"/>
              </w:rPr>
            </w:pPr>
            <w:r>
              <w:rPr>
                <w:rFonts w:ascii="Times New Roman" w:eastAsia="仿宋"/>
                <w:szCs w:val="21"/>
              </w:rPr>
              <w:t>3</w:t>
            </w:r>
          </w:p>
        </w:tc>
        <w:tc>
          <w:tcPr>
            <w:tcW w:w="1829" w:type="dxa"/>
            <w:gridSpan w:val="2"/>
            <w:vMerge w:val="restart"/>
            <w:tcBorders>
              <w:top w:val="single" w:color="auto" w:sz="4" w:space="0"/>
              <w:left w:val="single" w:color="auto" w:sz="4" w:space="0"/>
              <w:right w:val="single" w:color="auto" w:sz="4" w:space="0"/>
            </w:tcBorders>
            <w:vAlign w:val="center"/>
          </w:tcPr>
          <w:p w14:paraId="7C097C0E">
            <w:pPr>
              <w:widowControl/>
              <w:jc w:val="center"/>
              <w:rPr>
                <w:rFonts w:ascii="Times New Roman" w:eastAsia="仿宋"/>
                <w:szCs w:val="21"/>
              </w:rPr>
            </w:pPr>
            <w:r>
              <w:rPr>
                <w:rFonts w:hint="eastAsia" w:ascii="Times New Roman" w:eastAsia="仿宋"/>
                <w:szCs w:val="21"/>
              </w:rPr>
              <w:t>剪板机</w:t>
            </w:r>
          </w:p>
        </w:tc>
        <w:tc>
          <w:tcPr>
            <w:tcW w:w="3176" w:type="dxa"/>
            <w:vMerge w:val="restart"/>
            <w:tcBorders>
              <w:top w:val="single" w:color="auto" w:sz="4" w:space="0"/>
              <w:left w:val="single" w:color="auto" w:sz="4" w:space="0"/>
              <w:right w:val="single" w:color="auto" w:sz="4" w:space="0"/>
            </w:tcBorders>
            <w:vAlign w:val="center"/>
          </w:tcPr>
          <w:p w14:paraId="06D031E3">
            <w:pPr>
              <w:jc w:val="center"/>
              <w:rPr>
                <w:rFonts w:ascii="Times New Roman" w:eastAsia="仿宋"/>
                <w:szCs w:val="21"/>
              </w:rPr>
            </w:pPr>
            <w:r>
              <w:rPr>
                <w:rFonts w:ascii="Times New Roman" w:eastAsia="仿宋"/>
                <w:szCs w:val="21"/>
              </w:rPr>
              <w:t>QC12Y-4X4000</w:t>
            </w:r>
          </w:p>
        </w:tc>
        <w:tc>
          <w:tcPr>
            <w:tcW w:w="1335" w:type="dxa"/>
            <w:vMerge w:val="restart"/>
            <w:tcBorders>
              <w:top w:val="single" w:color="auto" w:sz="4" w:space="0"/>
              <w:left w:val="single" w:color="auto" w:sz="4" w:space="0"/>
              <w:right w:val="single" w:color="auto" w:sz="4" w:space="0"/>
            </w:tcBorders>
            <w:vAlign w:val="center"/>
          </w:tcPr>
          <w:p w14:paraId="4BE453A9">
            <w:pPr>
              <w:jc w:val="center"/>
              <w:rPr>
                <w:rFonts w:ascii="Times New Roman" w:eastAsia="仿宋"/>
                <w:szCs w:val="21"/>
              </w:rPr>
            </w:pPr>
            <w:r>
              <w:rPr>
                <w:rFonts w:hint="eastAsia" w:ascii="Times New Roman" w:eastAsia="仿宋"/>
                <w:szCs w:val="21"/>
              </w:rPr>
              <w:t>剪板</w:t>
            </w:r>
          </w:p>
        </w:tc>
        <w:tc>
          <w:tcPr>
            <w:tcW w:w="707" w:type="dxa"/>
            <w:tcBorders>
              <w:top w:val="single" w:color="auto" w:sz="4" w:space="0"/>
              <w:left w:val="single" w:color="auto" w:sz="4" w:space="0"/>
              <w:bottom w:val="single" w:color="auto" w:sz="4" w:space="0"/>
              <w:right w:val="single" w:color="auto" w:sz="4" w:space="0"/>
            </w:tcBorders>
            <w:vAlign w:val="center"/>
          </w:tcPr>
          <w:p w14:paraId="15E194D1">
            <w:pPr>
              <w:jc w:val="center"/>
              <w:rPr>
                <w:rFonts w:ascii="Times New Roman" w:eastAsia="仿宋"/>
                <w:szCs w:val="21"/>
              </w:rPr>
            </w:pPr>
            <w:r>
              <w:rPr>
                <w:rFonts w:ascii="Times New Roman" w:eastAsia="仿宋"/>
                <w:szCs w:val="21"/>
              </w:rPr>
              <w:t>2</w:t>
            </w:r>
          </w:p>
        </w:tc>
        <w:tc>
          <w:tcPr>
            <w:tcW w:w="1514" w:type="dxa"/>
            <w:tcBorders>
              <w:left w:val="single" w:color="auto" w:sz="4" w:space="0"/>
              <w:right w:val="single" w:color="auto" w:sz="4" w:space="0"/>
            </w:tcBorders>
            <w:vAlign w:val="center"/>
          </w:tcPr>
          <w:p w14:paraId="5AF54BB3">
            <w:pPr>
              <w:widowControl/>
              <w:jc w:val="center"/>
              <w:rPr>
                <w:rFonts w:ascii="Times New Roman" w:eastAsia="仿宋"/>
                <w:szCs w:val="21"/>
              </w:rPr>
            </w:pPr>
            <w:r>
              <w:rPr>
                <w:rFonts w:hint="eastAsia" w:ascii="Times New Roman" w:eastAsia="仿宋"/>
                <w:szCs w:val="21"/>
              </w:rPr>
              <w:t>1号钣金车间</w:t>
            </w:r>
          </w:p>
        </w:tc>
      </w:tr>
      <w:tr w14:paraId="13F0E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1517343A">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0E63E262">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35283733">
            <w:pPr>
              <w:jc w:val="center"/>
              <w:rPr>
                <w:rFonts w:ascii="Times New Roman" w:eastAsia="仿宋"/>
                <w:szCs w:val="21"/>
              </w:rPr>
            </w:pPr>
          </w:p>
        </w:tc>
        <w:tc>
          <w:tcPr>
            <w:tcW w:w="1335" w:type="dxa"/>
            <w:vMerge w:val="continue"/>
            <w:tcBorders>
              <w:left w:val="single" w:color="auto" w:sz="4" w:space="0"/>
              <w:bottom w:val="single" w:color="auto" w:sz="4" w:space="0"/>
              <w:right w:val="single" w:color="auto" w:sz="4" w:space="0"/>
            </w:tcBorders>
            <w:vAlign w:val="center"/>
          </w:tcPr>
          <w:p w14:paraId="59828C72">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49C59CDD">
            <w:pPr>
              <w:jc w:val="center"/>
              <w:rPr>
                <w:rFonts w:ascii="Times New Roman" w:eastAsia="仿宋"/>
                <w:szCs w:val="21"/>
              </w:rPr>
            </w:pPr>
            <w:r>
              <w:rPr>
                <w:rFonts w:hint="eastAsia" w:ascii="Times New Roman" w:eastAsia="仿宋"/>
                <w:szCs w:val="21"/>
              </w:rPr>
              <w:t>2</w:t>
            </w:r>
          </w:p>
        </w:tc>
        <w:tc>
          <w:tcPr>
            <w:tcW w:w="1514" w:type="dxa"/>
            <w:tcBorders>
              <w:left w:val="single" w:color="auto" w:sz="4" w:space="0"/>
              <w:right w:val="single" w:color="auto" w:sz="4" w:space="0"/>
            </w:tcBorders>
            <w:vAlign w:val="center"/>
          </w:tcPr>
          <w:p w14:paraId="6F897912">
            <w:pPr>
              <w:widowControl/>
              <w:jc w:val="center"/>
              <w:rPr>
                <w:rFonts w:ascii="Times New Roman" w:eastAsia="仿宋"/>
                <w:szCs w:val="21"/>
              </w:rPr>
            </w:pPr>
            <w:r>
              <w:rPr>
                <w:rFonts w:hint="eastAsia" w:ascii="Times New Roman" w:eastAsia="仿宋"/>
                <w:szCs w:val="21"/>
              </w:rPr>
              <w:t>4号钣金车间</w:t>
            </w:r>
          </w:p>
        </w:tc>
      </w:tr>
      <w:tr w14:paraId="4CD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13D83CD9">
            <w:pPr>
              <w:widowControl/>
              <w:jc w:val="center"/>
              <w:rPr>
                <w:rFonts w:ascii="Times New Roman" w:eastAsia="仿宋"/>
                <w:szCs w:val="21"/>
              </w:rPr>
            </w:pPr>
            <w:r>
              <w:rPr>
                <w:rFonts w:ascii="Times New Roman" w:eastAsia="仿宋"/>
                <w:szCs w:val="21"/>
              </w:rPr>
              <w:t>4</w:t>
            </w:r>
          </w:p>
        </w:tc>
        <w:tc>
          <w:tcPr>
            <w:tcW w:w="1829" w:type="dxa"/>
            <w:gridSpan w:val="2"/>
            <w:vMerge w:val="restart"/>
            <w:tcBorders>
              <w:top w:val="single" w:color="auto" w:sz="4" w:space="0"/>
              <w:left w:val="single" w:color="auto" w:sz="4" w:space="0"/>
              <w:right w:val="single" w:color="auto" w:sz="4" w:space="0"/>
            </w:tcBorders>
            <w:vAlign w:val="center"/>
          </w:tcPr>
          <w:p w14:paraId="7EDE13A6">
            <w:pPr>
              <w:widowControl/>
              <w:jc w:val="center"/>
              <w:rPr>
                <w:rFonts w:ascii="Times New Roman" w:eastAsia="仿宋"/>
                <w:szCs w:val="21"/>
              </w:rPr>
            </w:pPr>
            <w:r>
              <w:rPr>
                <w:rFonts w:hint="eastAsia" w:ascii="Times New Roman" w:eastAsia="仿宋"/>
                <w:szCs w:val="21"/>
              </w:rPr>
              <w:t>折弯机</w:t>
            </w:r>
          </w:p>
        </w:tc>
        <w:tc>
          <w:tcPr>
            <w:tcW w:w="3176" w:type="dxa"/>
            <w:vMerge w:val="restart"/>
            <w:tcBorders>
              <w:top w:val="single" w:color="auto" w:sz="4" w:space="0"/>
              <w:left w:val="single" w:color="auto" w:sz="4" w:space="0"/>
              <w:right w:val="single" w:color="auto" w:sz="4" w:space="0"/>
            </w:tcBorders>
            <w:vAlign w:val="center"/>
          </w:tcPr>
          <w:p w14:paraId="377BBA13">
            <w:pPr>
              <w:jc w:val="center"/>
              <w:rPr>
                <w:rFonts w:ascii="Times New Roman" w:eastAsia="仿宋"/>
                <w:szCs w:val="21"/>
              </w:rPr>
            </w:pPr>
            <w:r>
              <w:rPr>
                <w:rFonts w:ascii="Times New Roman" w:eastAsia="仿宋"/>
                <w:szCs w:val="21"/>
              </w:rPr>
              <w:t>PBB-100/4100</w:t>
            </w:r>
          </w:p>
        </w:tc>
        <w:tc>
          <w:tcPr>
            <w:tcW w:w="1335" w:type="dxa"/>
            <w:vMerge w:val="restart"/>
            <w:tcBorders>
              <w:top w:val="single" w:color="auto" w:sz="4" w:space="0"/>
              <w:left w:val="single" w:color="auto" w:sz="4" w:space="0"/>
              <w:right w:val="single" w:color="auto" w:sz="4" w:space="0"/>
            </w:tcBorders>
            <w:vAlign w:val="center"/>
          </w:tcPr>
          <w:p w14:paraId="78DED342">
            <w:pPr>
              <w:jc w:val="center"/>
              <w:rPr>
                <w:rFonts w:ascii="Times New Roman" w:eastAsia="仿宋"/>
                <w:szCs w:val="21"/>
              </w:rPr>
            </w:pPr>
            <w:r>
              <w:rPr>
                <w:rFonts w:hint="eastAsia" w:ascii="Times New Roman" w:eastAsia="仿宋"/>
                <w:szCs w:val="21"/>
              </w:rPr>
              <w:t>成型</w:t>
            </w:r>
          </w:p>
        </w:tc>
        <w:tc>
          <w:tcPr>
            <w:tcW w:w="707" w:type="dxa"/>
            <w:tcBorders>
              <w:top w:val="single" w:color="auto" w:sz="4" w:space="0"/>
              <w:left w:val="single" w:color="auto" w:sz="4" w:space="0"/>
              <w:bottom w:val="single" w:color="auto" w:sz="4" w:space="0"/>
              <w:right w:val="single" w:color="auto" w:sz="4" w:space="0"/>
            </w:tcBorders>
            <w:vAlign w:val="center"/>
          </w:tcPr>
          <w:p w14:paraId="37E0984C">
            <w:pPr>
              <w:jc w:val="center"/>
              <w:rPr>
                <w:rFonts w:ascii="Times New Roman" w:eastAsia="仿宋"/>
                <w:szCs w:val="21"/>
              </w:rPr>
            </w:pPr>
            <w:r>
              <w:rPr>
                <w:rFonts w:ascii="Times New Roman" w:eastAsia="仿宋"/>
                <w:szCs w:val="21"/>
              </w:rPr>
              <w:t>6</w:t>
            </w:r>
          </w:p>
        </w:tc>
        <w:tc>
          <w:tcPr>
            <w:tcW w:w="1514" w:type="dxa"/>
            <w:tcBorders>
              <w:left w:val="single" w:color="auto" w:sz="4" w:space="0"/>
              <w:right w:val="single" w:color="auto" w:sz="4" w:space="0"/>
            </w:tcBorders>
            <w:vAlign w:val="center"/>
          </w:tcPr>
          <w:p w14:paraId="7611A609">
            <w:pPr>
              <w:widowControl/>
              <w:jc w:val="center"/>
              <w:rPr>
                <w:rFonts w:ascii="Times New Roman" w:eastAsia="仿宋"/>
                <w:szCs w:val="21"/>
              </w:rPr>
            </w:pPr>
            <w:r>
              <w:rPr>
                <w:rFonts w:hint="eastAsia" w:ascii="Times New Roman" w:eastAsia="仿宋"/>
                <w:szCs w:val="21"/>
              </w:rPr>
              <w:t>1号钣金车间</w:t>
            </w:r>
          </w:p>
        </w:tc>
      </w:tr>
      <w:tr w14:paraId="27E80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right w:val="single" w:color="auto" w:sz="4" w:space="0"/>
            </w:tcBorders>
            <w:vAlign w:val="center"/>
          </w:tcPr>
          <w:p w14:paraId="0437889D">
            <w:pPr>
              <w:widowControl/>
              <w:jc w:val="center"/>
              <w:rPr>
                <w:rFonts w:ascii="Times New Roman" w:eastAsia="仿宋"/>
                <w:szCs w:val="21"/>
              </w:rPr>
            </w:pPr>
          </w:p>
        </w:tc>
        <w:tc>
          <w:tcPr>
            <w:tcW w:w="1829" w:type="dxa"/>
            <w:gridSpan w:val="2"/>
            <w:vMerge w:val="continue"/>
            <w:tcBorders>
              <w:left w:val="single" w:color="auto" w:sz="4" w:space="0"/>
              <w:right w:val="single" w:color="auto" w:sz="4" w:space="0"/>
            </w:tcBorders>
            <w:vAlign w:val="center"/>
          </w:tcPr>
          <w:p w14:paraId="6B978065">
            <w:pPr>
              <w:widowControl/>
              <w:jc w:val="center"/>
              <w:rPr>
                <w:rFonts w:ascii="Times New Roman" w:eastAsia="仿宋"/>
                <w:szCs w:val="21"/>
              </w:rPr>
            </w:pPr>
          </w:p>
        </w:tc>
        <w:tc>
          <w:tcPr>
            <w:tcW w:w="3176" w:type="dxa"/>
            <w:vMerge w:val="continue"/>
            <w:tcBorders>
              <w:left w:val="single" w:color="auto" w:sz="4" w:space="0"/>
              <w:right w:val="single" w:color="auto" w:sz="4" w:space="0"/>
            </w:tcBorders>
            <w:vAlign w:val="center"/>
          </w:tcPr>
          <w:p w14:paraId="74132741">
            <w:pPr>
              <w:jc w:val="center"/>
              <w:rPr>
                <w:rFonts w:ascii="Times New Roman" w:eastAsia="仿宋"/>
                <w:szCs w:val="21"/>
              </w:rPr>
            </w:pPr>
          </w:p>
        </w:tc>
        <w:tc>
          <w:tcPr>
            <w:tcW w:w="1335" w:type="dxa"/>
            <w:vMerge w:val="continue"/>
            <w:tcBorders>
              <w:left w:val="single" w:color="auto" w:sz="4" w:space="0"/>
              <w:right w:val="single" w:color="auto" w:sz="4" w:space="0"/>
            </w:tcBorders>
            <w:vAlign w:val="center"/>
          </w:tcPr>
          <w:p w14:paraId="4553F0A5">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604B4511">
            <w:pPr>
              <w:jc w:val="center"/>
              <w:rPr>
                <w:rFonts w:ascii="Times New Roman" w:eastAsia="仿宋"/>
                <w:szCs w:val="21"/>
              </w:rPr>
            </w:pPr>
            <w:r>
              <w:rPr>
                <w:rFonts w:hint="eastAsia" w:ascii="Times New Roman" w:eastAsia="仿宋"/>
                <w:szCs w:val="21"/>
              </w:rPr>
              <w:t>4</w:t>
            </w:r>
          </w:p>
        </w:tc>
        <w:tc>
          <w:tcPr>
            <w:tcW w:w="1514" w:type="dxa"/>
            <w:tcBorders>
              <w:left w:val="single" w:color="auto" w:sz="4" w:space="0"/>
              <w:right w:val="single" w:color="auto" w:sz="4" w:space="0"/>
            </w:tcBorders>
            <w:vAlign w:val="center"/>
          </w:tcPr>
          <w:p w14:paraId="165491F9">
            <w:pPr>
              <w:widowControl/>
              <w:jc w:val="center"/>
              <w:rPr>
                <w:rFonts w:ascii="Times New Roman" w:eastAsia="仿宋"/>
                <w:szCs w:val="21"/>
              </w:rPr>
            </w:pPr>
            <w:r>
              <w:rPr>
                <w:rFonts w:ascii="Times New Roman" w:eastAsia="仿宋"/>
                <w:szCs w:val="21"/>
              </w:rPr>
              <w:t>2</w:t>
            </w:r>
            <w:r>
              <w:rPr>
                <w:rFonts w:hint="eastAsia" w:ascii="Times New Roman" w:eastAsia="仿宋"/>
                <w:szCs w:val="21"/>
              </w:rPr>
              <w:t>号钣金车间</w:t>
            </w:r>
          </w:p>
        </w:tc>
      </w:tr>
      <w:tr w14:paraId="21ABF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31F8D01C">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227ADD0E">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4FDB244B">
            <w:pPr>
              <w:jc w:val="center"/>
              <w:rPr>
                <w:rFonts w:ascii="Times New Roman" w:eastAsia="仿宋"/>
                <w:szCs w:val="21"/>
              </w:rPr>
            </w:pPr>
          </w:p>
        </w:tc>
        <w:tc>
          <w:tcPr>
            <w:tcW w:w="1335" w:type="dxa"/>
            <w:vMerge w:val="continue"/>
            <w:tcBorders>
              <w:left w:val="single" w:color="auto" w:sz="4" w:space="0"/>
              <w:bottom w:val="single" w:color="auto" w:sz="4" w:space="0"/>
              <w:right w:val="single" w:color="auto" w:sz="4" w:space="0"/>
            </w:tcBorders>
            <w:vAlign w:val="center"/>
          </w:tcPr>
          <w:p w14:paraId="592E9047">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234F81FF">
            <w:pPr>
              <w:jc w:val="center"/>
              <w:rPr>
                <w:rFonts w:ascii="Times New Roman" w:eastAsia="仿宋"/>
                <w:szCs w:val="21"/>
              </w:rPr>
            </w:pPr>
            <w:r>
              <w:rPr>
                <w:rFonts w:hint="eastAsia" w:ascii="Times New Roman" w:eastAsia="仿宋"/>
                <w:szCs w:val="21"/>
              </w:rPr>
              <w:t>6</w:t>
            </w:r>
          </w:p>
        </w:tc>
        <w:tc>
          <w:tcPr>
            <w:tcW w:w="1514" w:type="dxa"/>
            <w:tcBorders>
              <w:left w:val="single" w:color="auto" w:sz="4" w:space="0"/>
              <w:right w:val="single" w:color="auto" w:sz="4" w:space="0"/>
            </w:tcBorders>
            <w:vAlign w:val="center"/>
          </w:tcPr>
          <w:p w14:paraId="14E08872">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2F430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14185B2C">
            <w:pPr>
              <w:widowControl/>
              <w:jc w:val="center"/>
              <w:rPr>
                <w:rFonts w:ascii="Times New Roman" w:eastAsia="仿宋"/>
                <w:szCs w:val="21"/>
              </w:rPr>
            </w:pPr>
            <w:r>
              <w:rPr>
                <w:rFonts w:hint="eastAsia" w:ascii="Times New Roman" w:eastAsia="仿宋"/>
                <w:szCs w:val="21"/>
              </w:rPr>
              <w:t>5</w:t>
            </w:r>
          </w:p>
        </w:tc>
        <w:tc>
          <w:tcPr>
            <w:tcW w:w="1829" w:type="dxa"/>
            <w:gridSpan w:val="2"/>
            <w:vMerge w:val="restart"/>
            <w:tcBorders>
              <w:top w:val="single" w:color="auto" w:sz="4" w:space="0"/>
              <w:left w:val="single" w:color="auto" w:sz="4" w:space="0"/>
              <w:right w:val="single" w:color="auto" w:sz="4" w:space="0"/>
            </w:tcBorders>
            <w:vAlign w:val="center"/>
          </w:tcPr>
          <w:p w14:paraId="136A8128">
            <w:pPr>
              <w:widowControl/>
              <w:jc w:val="center"/>
              <w:rPr>
                <w:rFonts w:ascii="Times New Roman" w:eastAsia="仿宋"/>
                <w:szCs w:val="21"/>
              </w:rPr>
            </w:pPr>
            <w:r>
              <w:rPr>
                <w:rFonts w:hint="eastAsia" w:ascii="Times New Roman" w:eastAsia="仿宋"/>
                <w:szCs w:val="21"/>
              </w:rPr>
              <w:t>开槽机</w:t>
            </w:r>
          </w:p>
        </w:tc>
        <w:tc>
          <w:tcPr>
            <w:tcW w:w="3176" w:type="dxa"/>
            <w:vMerge w:val="restart"/>
            <w:tcBorders>
              <w:top w:val="single" w:color="auto" w:sz="4" w:space="0"/>
              <w:left w:val="single" w:color="auto" w:sz="4" w:space="0"/>
              <w:right w:val="single" w:color="auto" w:sz="4" w:space="0"/>
            </w:tcBorders>
            <w:vAlign w:val="center"/>
          </w:tcPr>
          <w:p w14:paraId="39E1C89A">
            <w:pPr>
              <w:jc w:val="center"/>
              <w:rPr>
                <w:rFonts w:ascii="Times New Roman" w:eastAsia="仿宋"/>
                <w:szCs w:val="21"/>
              </w:rPr>
            </w:pPr>
            <w:r>
              <w:rPr>
                <w:rFonts w:hint="eastAsia" w:ascii="Times New Roman" w:eastAsia="仿宋"/>
                <w:szCs w:val="21"/>
              </w:rPr>
              <w:t>/</w:t>
            </w:r>
          </w:p>
        </w:tc>
        <w:tc>
          <w:tcPr>
            <w:tcW w:w="1335" w:type="dxa"/>
            <w:vMerge w:val="restart"/>
            <w:tcBorders>
              <w:top w:val="single" w:color="auto" w:sz="4" w:space="0"/>
              <w:left w:val="single" w:color="auto" w:sz="4" w:space="0"/>
              <w:right w:val="single" w:color="auto" w:sz="4" w:space="0"/>
            </w:tcBorders>
            <w:vAlign w:val="center"/>
          </w:tcPr>
          <w:p w14:paraId="2ED86F4B">
            <w:pPr>
              <w:jc w:val="center"/>
              <w:rPr>
                <w:rFonts w:ascii="Times New Roman" w:eastAsia="仿宋"/>
                <w:szCs w:val="21"/>
              </w:rPr>
            </w:pPr>
            <w:r>
              <w:rPr>
                <w:rFonts w:hint="eastAsia" w:ascii="Times New Roman" w:eastAsia="仿宋"/>
                <w:szCs w:val="21"/>
              </w:rPr>
              <w:t>开槽</w:t>
            </w:r>
          </w:p>
        </w:tc>
        <w:tc>
          <w:tcPr>
            <w:tcW w:w="707" w:type="dxa"/>
            <w:tcBorders>
              <w:top w:val="single" w:color="auto" w:sz="4" w:space="0"/>
              <w:left w:val="single" w:color="auto" w:sz="4" w:space="0"/>
              <w:bottom w:val="single" w:color="auto" w:sz="4" w:space="0"/>
              <w:right w:val="single" w:color="auto" w:sz="4" w:space="0"/>
            </w:tcBorders>
            <w:vAlign w:val="center"/>
          </w:tcPr>
          <w:p w14:paraId="6F1ACAC9">
            <w:pPr>
              <w:jc w:val="center"/>
              <w:rPr>
                <w:rFonts w:ascii="Times New Roman" w:eastAsia="仿宋"/>
                <w:szCs w:val="21"/>
              </w:rPr>
            </w:pPr>
            <w:r>
              <w:rPr>
                <w:rFonts w:hint="eastAsia" w:ascii="Times New Roman" w:eastAsia="仿宋"/>
                <w:szCs w:val="21"/>
              </w:rPr>
              <w:t>2</w:t>
            </w:r>
          </w:p>
        </w:tc>
        <w:tc>
          <w:tcPr>
            <w:tcW w:w="1514" w:type="dxa"/>
            <w:tcBorders>
              <w:left w:val="single" w:color="auto" w:sz="4" w:space="0"/>
              <w:right w:val="single" w:color="auto" w:sz="4" w:space="0"/>
            </w:tcBorders>
            <w:vAlign w:val="center"/>
          </w:tcPr>
          <w:p w14:paraId="5CE6F3CB">
            <w:pPr>
              <w:widowControl/>
              <w:jc w:val="center"/>
              <w:rPr>
                <w:rFonts w:ascii="Times New Roman" w:eastAsia="仿宋"/>
                <w:szCs w:val="21"/>
              </w:rPr>
            </w:pPr>
            <w:r>
              <w:rPr>
                <w:rFonts w:hint="eastAsia" w:ascii="Times New Roman" w:eastAsia="仿宋"/>
                <w:szCs w:val="21"/>
              </w:rPr>
              <w:t>1号钣金车间</w:t>
            </w:r>
          </w:p>
        </w:tc>
      </w:tr>
      <w:tr w14:paraId="2B45C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2C52F08A">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4F602C91">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12E10FBB">
            <w:pPr>
              <w:jc w:val="center"/>
              <w:rPr>
                <w:rFonts w:ascii="Times New Roman" w:eastAsia="仿宋"/>
                <w:szCs w:val="21"/>
              </w:rPr>
            </w:pPr>
          </w:p>
        </w:tc>
        <w:tc>
          <w:tcPr>
            <w:tcW w:w="1335" w:type="dxa"/>
            <w:vMerge w:val="continue"/>
            <w:tcBorders>
              <w:left w:val="single" w:color="auto" w:sz="4" w:space="0"/>
              <w:bottom w:val="single" w:color="auto" w:sz="4" w:space="0"/>
              <w:right w:val="single" w:color="auto" w:sz="4" w:space="0"/>
            </w:tcBorders>
            <w:vAlign w:val="center"/>
          </w:tcPr>
          <w:p w14:paraId="09422EF1">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621A8A8F">
            <w:pPr>
              <w:jc w:val="center"/>
              <w:rPr>
                <w:rFonts w:ascii="Times New Roman" w:eastAsia="仿宋"/>
                <w:szCs w:val="21"/>
              </w:rPr>
            </w:pPr>
            <w:r>
              <w:rPr>
                <w:rFonts w:hint="eastAsia" w:ascii="Times New Roman" w:eastAsia="仿宋"/>
                <w:szCs w:val="21"/>
              </w:rPr>
              <w:t>2</w:t>
            </w:r>
          </w:p>
        </w:tc>
        <w:tc>
          <w:tcPr>
            <w:tcW w:w="1514" w:type="dxa"/>
            <w:tcBorders>
              <w:left w:val="single" w:color="auto" w:sz="4" w:space="0"/>
              <w:right w:val="single" w:color="auto" w:sz="4" w:space="0"/>
            </w:tcBorders>
            <w:vAlign w:val="center"/>
          </w:tcPr>
          <w:p w14:paraId="1924BF95">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486C6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76D59A33">
            <w:pPr>
              <w:widowControl/>
              <w:jc w:val="center"/>
              <w:rPr>
                <w:rFonts w:ascii="Times New Roman" w:eastAsia="仿宋"/>
                <w:szCs w:val="21"/>
              </w:rPr>
            </w:pPr>
            <w:r>
              <w:rPr>
                <w:rFonts w:hint="eastAsia" w:ascii="Times New Roman" w:eastAsia="仿宋"/>
                <w:szCs w:val="21"/>
              </w:rPr>
              <w:t>6</w:t>
            </w:r>
          </w:p>
        </w:tc>
        <w:tc>
          <w:tcPr>
            <w:tcW w:w="1829" w:type="dxa"/>
            <w:gridSpan w:val="2"/>
            <w:vMerge w:val="restart"/>
            <w:tcBorders>
              <w:top w:val="single" w:color="auto" w:sz="4" w:space="0"/>
              <w:left w:val="single" w:color="auto" w:sz="4" w:space="0"/>
              <w:right w:val="single" w:color="auto" w:sz="4" w:space="0"/>
            </w:tcBorders>
            <w:vAlign w:val="center"/>
          </w:tcPr>
          <w:p w14:paraId="722A58FC">
            <w:pPr>
              <w:widowControl/>
              <w:jc w:val="center"/>
              <w:rPr>
                <w:rFonts w:ascii="Times New Roman" w:eastAsia="仿宋"/>
                <w:szCs w:val="21"/>
              </w:rPr>
            </w:pPr>
            <w:r>
              <w:rPr>
                <w:rFonts w:hint="eastAsia" w:ascii="Times New Roman" w:eastAsia="仿宋"/>
                <w:szCs w:val="21"/>
              </w:rPr>
              <w:t>冲压机</w:t>
            </w:r>
          </w:p>
        </w:tc>
        <w:tc>
          <w:tcPr>
            <w:tcW w:w="3176" w:type="dxa"/>
            <w:vMerge w:val="restart"/>
            <w:tcBorders>
              <w:top w:val="single" w:color="auto" w:sz="4" w:space="0"/>
              <w:left w:val="single" w:color="auto" w:sz="4" w:space="0"/>
              <w:right w:val="single" w:color="auto" w:sz="4" w:space="0"/>
            </w:tcBorders>
            <w:vAlign w:val="center"/>
          </w:tcPr>
          <w:p w14:paraId="6226BF20">
            <w:pPr>
              <w:jc w:val="center"/>
              <w:rPr>
                <w:rFonts w:ascii="Times New Roman" w:eastAsia="仿宋"/>
                <w:szCs w:val="21"/>
              </w:rPr>
            </w:pPr>
            <w:r>
              <w:rPr>
                <w:rFonts w:hint="eastAsia" w:ascii="Times New Roman" w:eastAsia="仿宋"/>
                <w:szCs w:val="21"/>
              </w:rPr>
              <w:t>公称压力：</w:t>
            </w:r>
            <w:r>
              <w:rPr>
                <w:rFonts w:ascii="Times New Roman" w:eastAsia="仿宋"/>
                <w:szCs w:val="21"/>
              </w:rPr>
              <w:t>160KN</w:t>
            </w:r>
          </w:p>
        </w:tc>
        <w:tc>
          <w:tcPr>
            <w:tcW w:w="1335" w:type="dxa"/>
            <w:vMerge w:val="restart"/>
            <w:tcBorders>
              <w:top w:val="single" w:color="auto" w:sz="4" w:space="0"/>
              <w:left w:val="single" w:color="auto" w:sz="4" w:space="0"/>
              <w:right w:val="single" w:color="auto" w:sz="4" w:space="0"/>
            </w:tcBorders>
            <w:vAlign w:val="center"/>
          </w:tcPr>
          <w:p w14:paraId="684F8486">
            <w:pPr>
              <w:jc w:val="center"/>
              <w:rPr>
                <w:rFonts w:ascii="Times New Roman" w:eastAsia="仿宋"/>
                <w:szCs w:val="21"/>
              </w:rPr>
            </w:pPr>
            <w:r>
              <w:rPr>
                <w:rFonts w:hint="eastAsia" w:ascii="Times New Roman" w:eastAsia="仿宋"/>
                <w:szCs w:val="21"/>
              </w:rPr>
              <w:t>冲孔、冲角</w:t>
            </w:r>
          </w:p>
        </w:tc>
        <w:tc>
          <w:tcPr>
            <w:tcW w:w="707" w:type="dxa"/>
            <w:tcBorders>
              <w:top w:val="single" w:color="auto" w:sz="4" w:space="0"/>
              <w:left w:val="single" w:color="auto" w:sz="4" w:space="0"/>
              <w:bottom w:val="single" w:color="auto" w:sz="4" w:space="0"/>
              <w:right w:val="single" w:color="auto" w:sz="4" w:space="0"/>
            </w:tcBorders>
            <w:vAlign w:val="center"/>
          </w:tcPr>
          <w:p w14:paraId="042872AB">
            <w:pPr>
              <w:jc w:val="center"/>
              <w:rPr>
                <w:rFonts w:ascii="Times New Roman" w:eastAsia="仿宋"/>
                <w:szCs w:val="21"/>
              </w:rPr>
            </w:pPr>
            <w:r>
              <w:rPr>
                <w:rFonts w:hint="eastAsia" w:ascii="Times New Roman" w:eastAsia="仿宋"/>
                <w:szCs w:val="21"/>
              </w:rPr>
              <w:t>8</w:t>
            </w:r>
          </w:p>
        </w:tc>
        <w:tc>
          <w:tcPr>
            <w:tcW w:w="1514" w:type="dxa"/>
            <w:tcBorders>
              <w:left w:val="single" w:color="auto" w:sz="4" w:space="0"/>
              <w:right w:val="single" w:color="auto" w:sz="4" w:space="0"/>
            </w:tcBorders>
            <w:vAlign w:val="center"/>
          </w:tcPr>
          <w:p w14:paraId="0540E5DC">
            <w:pPr>
              <w:widowControl/>
              <w:jc w:val="center"/>
              <w:rPr>
                <w:rFonts w:ascii="Times New Roman" w:eastAsia="仿宋"/>
                <w:szCs w:val="21"/>
              </w:rPr>
            </w:pPr>
            <w:r>
              <w:rPr>
                <w:rFonts w:hint="eastAsia" w:ascii="Times New Roman" w:eastAsia="仿宋"/>
                <w:szCs w:val="21"/>
              </w:rPr>
              <w:t>1号钣金车间</w:t>
            </w:r>
          </w:p>
        </w:tc>
      </w:tr>
      <w:tr w14:paraId="3DD8B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right w:val="single" w:color="auto" w:sz="4" w:space="0"/>
            </w:tcBorders>
            <w:vAlign w:val="center"/>
          </w:tcPr>
          <w:p w14:paraId="56F81365">
            <w:pPr>
              <w:widowControl/>
              <w:jc w:val="center"/>
              <w:rPr>
                <w:rFonts w:ascii="Times New Roman" w:eastAsia="仿宋"/>
                <w:szCs w:val="21"/>
              </w:rPr>
            </w:pPr>
          </w:p>
        </w:tc>
        <w:tc>
          <w:tcPr>
            <w:tcW w:w="1829" w:type="dxa"/>
            <w:gridSpan w:val="2"/>
            <w:vMerge w:val="continue"/>
            <w:tcBorders>
              <w:left w:val="single" w:color="auto" w:sz="4" w:space="0"/>
              <w:right w:val="single" w:color="auto" w:sz="4" w:space="0"/>
            </w:tcBorders>
            <w:vAlign w:val="center"/>
          </w:tcPr>
          <w:p w14:paraId="2BD0E36F">
            <w:pPr>
              <w:widowControl/>
              <w:jc w:val="center"/>
              <w:rPr>
                <w:rFonts w:ascii="Times New Roman" w:eastAsia="仿宋"/>
                <w:szCs w:val="21"/>
              </w:rPr>
            </w:pPr>
          </w:p>
        </w:tc>
        <w:tc>
          <w:tcPr>
            <w:tcW w:w="3176" w:type="dxa"/>
            <w:vMerge w:val="continue"/>
            <w:tcBorders>
              <w:left w:val="single" w:color="auto" w:sz="4" w:space="0"/>
              <w:right w:val="single" w:color="auto" w:sz="4" w:space="0"/>
            </w:tcBorders>
            <w:vAlign w:val="center"/>
          </w:tcPr>
          <w:p w14:paraId="4B0AC2F2">
            <w:pPr>
              <w:jc w:val="center"/>
              <w:rPr>
                <w:rFonts w:ascii="Times New Roman" w:eastAsia="仿宋"/>
                <w:szCs w:val="21"/>
              </w:rPr>
            </w:pPr>
          </w:p>
        </w:tc>
        <w:tc>
          <w:tcPr>
            <w:tcW w:w="1335" w:type="dxa"/>
            <w:vMerge w:val="continue"/>
            <w:tcBorders>
              <w:left w:val="single" w:color="auto" w:sz="4" w:space="0"/>
              <w:right w:val="single" w:color="auto" w:sz="4" w:space="0"/>
            </w:tcBorders>
            <w:vAlign w:val="center"/>
          </w:tcPr>
          <w:p w14:paraId="49402AF0">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64BF3B0B">
            <w:pPr>
              <w:jc w:val="center"/>
              <w:rPr>
                <w:rFonts w:ascii="Times New Roman" w:eastAsia="仿宋"/>
                <w:szCs w:val="21"/>
              </w:rPr>
            </w:pPr>
            <w:r>
              <w:rPr>
                <w:rFonts w:hint="eastAsia" w:ascii="Times New Roman" w:eastAsia="仿宋"/>
                <w:szCs w:val="21"/>
              </w:rPr>
              <w:t>6</w:t>
            </w:r>
          </w:p>
        </w:tc>
        <w:tc>
          <w:tcPr>
            <w:tcW w:w="1514" w:type="dxa"/>
            <w:tcBorders>
              <w:left w:val="single" w:color="auto" w:sz="4" w:space="0"/>
              <w:right w:val="single" w:color="auto" w:sz="4" w:space="0"/>
            </w:tcBorders>
            <w:vAlign w:val="center"/>
          </w:tcPr>
          <w:p w14:paraId="047C3D18">
            <w:pPr>
              <w:widowControl/>
              <w:jc w:val="center"/>
              <w:rPr>
                <w:rFonts w:ascii="Times New Roman" w:eastAsia="仿宋"/>
                <w:szCs w:val="21"/>
              </w:rPr>
            </w:pPr>
            <w:r>
              <w:rPr>
                <w:rFonts w:ascii="Times New Roman" w:eastAsia="仿宋"/>
                <w:szCs w:val="21"/>
              </w:rPr>
              <w:t>2</w:t>
            </w:r>
            <w:r>
              <w:rPr>
                <w:rFonts w:hint="eastAsia" w:ascii="Times New Roman" w:eastAsia="仿宋"/>
                <w:szCs w:val="21"/>
              </w:rPr>
              <w:t>号钣金车间</w:t>
            </w:r>
          </w:p>
        </w:tc>
      </w:tr>
      <w:tr w14:paraId="1DC04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689A0B9B">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24479F8A">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46F818DE">
            <w:pPr>
              <w:jc w:val="center"/>
              <w:rPr>
                <w:rFonts w:ascii="Times New Roman" w:eastAsia="仿宋"/>
                <w:szCs w:val="21"/>
              </w:rPr>
            </w:pPr>
          </w:p>
        </w:tc>
        <w:tc>
          <w:tcPr>
            <w:tcW w:w="1335" w:type="dxa"/>
            <w:vMerge w:val="continue"/>
            <w:tcBorders>
              <w:left w:val="single" w:color="auto" w:sz="4" w:space="0"/>
              <w:bottom w:val="single" w:color="auto" w:sz="4" w:space="0"/>
              <w:right w:val="single" w:color="auto" w:sz="4" w:space="0"/>
            </w:tcBorders>
            <w:vAlign w:val="center"/>
          </w:tcPr>
          <w:p w14:paraId="5862EAC0">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48610FEE">
            <w:pPr>
              <w:jc w:val="center"/>
              <w:rPr>
                <w:rFonts w:ascii="Times New Roman" w:eastAsia="仿宋"/>
                <w:szCs w:val="21"/>
              </w:rPr>
            </w:pPr>
            <w:r>
              <w:rPr>
                <w:rFonts w:hint="eastAsia" w:ascii="Times New Roman" w:eastAsia="仿宋"/>
                <w:szCs w:val="21"/>
              </w:rPr>
              <w:t>8</w:t>
            </w:r>
          </w:p>
        </w:tc>
        <w:tc>
          <w:tcPr>
            <w:tcW w:w="1514" w:type="dxa"/>
            <w:tcBorders>
              <w:left w:val="single" w:color="auto" w:sz="4" w:space="0"/>
              <w:right w:val="single" w:color="auto" w:sz="4" w:space="0"/>
            </w:tcBorders>
            <w:vAlign w:val="center"/>
          </w:tcPr>
          <w:p w14:paraId="0EE08103">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54C78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691FD9DC">
            <w:pPr>
              <w:widowControl/>
              <w:jc w:val="center"/>
              <w:rPr>
                <w:rFonts w:ascii="Times New Roman" w:eastAsia="仿宋"/>
                <w:szCs w:val="21"/>
              </w:rPr>
            </w:pPr>
            <w:r>
              <w:rPr>
                <w:rFonts w:hint="eastAsia" w:ascii="Times New Roman" w:eastAsia="仿宋"/>
                <w:szCs w:val="21"/>
              </w:rPr>
              <w:t>7</w:t>
            </w:r>
          </w:p>
        </w:tc>
        <w:tc>
          <w:tcPr>
            <w:tcW w:w="1829" w:type="dxa"/>
            <w:gridSpan w:val="2"/>
            <w:vMerge w:val="restart"/>
            <w:tcBorders>
              <w:top w:val="single" w:color="auto" w:sz="4" w:space="0"/>
              <w:left w:val="single" w:color="auto" w:sz="4" w:space="0"/>
              <w:right w:val="single" w:color="auto" w:sz="4" w:space="0"/>
            </w:tcBorders>
            <w:vAlign w:val="center"/>
          </w:tcPr>
          <w:p w14:paraId="3BA35D54">
            <w:pPr>
              <w:widowControl/>
              <w:jc w:val="center"/>
              <w:rPr>
                <w:rFonts w:ascii="Times New Roman" w:eastAsia="仿宋"/>
                <w:szCs w:val="21"/>
              </w:rPr>
            </w:pPr>
            <w:r>
              <w:rPr>
                <w:rFonts w:hint="eastAsia" w:ascii="Times New Roman" w:eastAsia="仿宋"/>
                <w:szCs w:val="21"/>
              </w:rPr>
              <w:t>氩弧焊机</w:t>
            </w:r>
          </w:p>
        </w:tc>
        <w:tc>
          <w:tcPr>
            <w:tcW w:w="3176" w:type="dxa"/>
            <w:vMerge w:val="restart"/>
            <w:tcBorders>
              <w:top w:val="single" w:color="auto" w:sz="4" w:space="0"/>
              <w:left w:val="single" w:color="auto" w:sz="4" w:space="0"/>
              <w:right w:val="single" w:color="auto" w:sz="4" w:space="0"/>
            </w:tcBorders>
            <w:vAlign w:val="center"/>
          </w:tcPr>
          <w:p w14:paraId="60798885">
            <w:pPr>
              <w:widowControl/>
              <w:jc w:val="center"/>
              <w:textAlignment w:val="center"/>
              <w:rPr>
                <w:rFonts w:ascii="Times New Roman" w:eastAsia="仿宋"/>
                <w:szCs w:val="24"/>
              </w:rPr>
            </w:pPr>
            <w:r>
              <w:rPr>
                <w:rFonts w:ascii="Times New Roman" w:eastAsia="仿宋"/>
                <w:szCs w:val="24"/>
              </w:rPr>
              <w:t>WSE-315B</w:t>
            </w:r>
          </w:p>
        </w:tc>
        <w:tc>
          <w:tcPr>
            <w:tcW w:w="1335" w:type="dxa"/>
            <w:vMerge w:val="restart"/>
            <w:tcBorders>
              <w:top w:val="single" w:color="auto" w:sz="4" w:space="0"/>
              <w:left w:val="single" w:color="auto" w:sz="4" w:space="0"/>
              <w:right w:val="single" w:color="auto" w:sz="4" w:space="0"/>
            </w:tcBorders>
            <w:vAlign w:val="center"/>
          </w:tcPr>
          <w:p w14:paraId="1413332D">
            <w:pPr>
              <w:jc w:val="center"/>
              <w:rPr>
                <w:rFonts w:ascii="Times New Roman" w:eastAsia="仿宋"/>
                <w:szCs w:val="21"/>
              </w:rPr>
            </w:pPr>
            <w:r>
              <w:rPr>
                <w:rFonts w:hint="eastAsia" w:ascii="Times New Roman" w:eastAsia="仿宋"/>
                <w:szCs w:val="21"/>
              </w:rPr>
              <w:t>焊接</w:t>
            </w:r>
          </w:p>
        </w:tc>
        <w:tc>
          <w:tcPr>
            <w:tcW w:w="707" w:type="dxa"/>
            <w:tcBorders>
              <w:top w:val="single" w:color="auto" w:sz="4" w:space="0"/>
              <w:left w:val="single" w:color="auto" w:sz="4" w:space="0"/>
              <w:bottom w:val="single" w:color="auto" w:sz="4" w:space="0"/>
              <w:right w:val="single" w:color="auto" w:sz="4" w:space="0"/>
            </w:tcBorders>
            <w:vAlign w:val="center"/>
          </w:tcPr>
          <w:p w14:paraId="10CEFB1D">
            <w:pPr>
              <w:jc w:val="center"/>
              <w:rPr>
                <w:rFonts w:ascii="Times New Roman" w:eastAsia="仿宋"/>
                <w:szCs w:val="21"/>
              </w:rPr>
            </w:pPr>
            <w:r>
              <w:rPr>
                <w:rFonts w:hint="eastAsia" w:ascii="Times New Roman" w:eastAsia="仿宋"/>
                <w:szCs w:val="21"/>
              </w:rPr>
              <w:t>6</w:t>
            </w:r>
          </w:p>
        </w:tc>
        <w:tc>
          <w:tcPr>
            <w:tcW w:w="1514" w:type="dxa"/>
            <w:tcBorders>
              <w:left w:val="single" w:color="auto" w:sz="4" w:space="0"/>
              <w:right w:val="single" w:color="auto" w:sz="4" w:space="0"/>
            </w:tcBorders>
            <w:vAlign w:val="center"/>
          </w:tcPr>
          <w:p w14:paraId="37D86D38">
            <w:pPr>
              <w:widowControl/>
              <w:jc w:val="center"/>
              <w:rPr>
                <w:rFonts w:ascii="Times New Roman" w:eastAsia="仿宋"/>
                <w:szCs w:val="21"/>
              </w:rPr>
            </w:pPr>
            <w:r>
              <w:rPr>
                <w:rFonts w:ascii="Times New Roman" w:eastAsia="仿宋"/>
                <w:szCs w:val="21"/>
              </w:rPr>
              <w:t>1</w:t>
            </w:r>
            <w:r>
              <w:rPr>
                <w:rFonts w:hint="eastAsia" w:ascii="Times New Roman" w:eastAsia="仿宋"/>
                <w:szCs w:val="21"/>
              </w:rPr>
              <w:t>号钣金车间</w:t>
            </w:r>
          </w:p>
        </w:tc>
      </w:tr>
      <w:tr w14:paraId="5440B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right w:val="single" w:color="auto" w:sz="4" w:space="0"/>
            </w:tcBorders>
            <w:vAlign w:val="center"/>
          </w:tcPr>
          <w:p w14:paraId="0000C243">
            <w:pPr>
              <w:widowControl/>
              <w:jc w:val="center"/>
              <w:rPr>
                <w:rFonts w:ascii="Times New Roman" w:eastAsia="仿宋"/>
                <w:szCs w:val="21"/>
              </w:rPr>
            </w:pPr>
          </w:p>
        </w:tc>
        <w:tc>
          <w:tcPr>
            <w:tcW w:w="1829" w:type="dxa"/>
            <w:gridSpan w:val="2"/>
            <w:vMerge w:val="continue"/>
            <w:tcBorders>
              <w:left w:val="single" w:color="auto" w:sz="4" w:space="0"/>
              <w:right w:val="single" w:color="auto" w:sz="4" w:space="0"/>
            </w:tcBorders>
            <w:vAlign w:val="center"/>
          </w:tcPr>
          <w:p w14:paraId="62DC75DF">
            <w:pPr>
              <w:widowControl/>
              <w:jc w:val="center"/>
              <w:rPr>
                <w:rFonts w:ascii="Times New Roman" w:eastAsia="仿宋"/>
                <w:szCs w:val="21"/>
              </w:rPr>
            </w:pPr>
          </w:p>
        </w:tc>
        <w:tc>
          <w:tcPr>
            <w:tcW w:w="3176" w:type="dxa"/>
            <w:vMerge w:val="continue"/>
            <w:tcBorders>
              <w:left w:val="single" w:color="auto" w:sz="4" w:space="0"/>
              <w:right w:val="single" w:color="auto" w:sz="4" w:space="0"/>
            </w:tcBorders>
            <w:vAlign w:val="center"/>
          </w:tcPr>
          <w:p w14:paraId="642F3330">
            <w:pPr>
              <w:widowControl/>
              <w:jc w:val="center"/>
              <w:textAlignment w:val="center"/>
              <w:rPr>
                <w:rFonts w:ascii="Times New Roman" w:eastAsia="仿宋"/>
                <w:szCs w:val="24"/>
              </w:rPr>
            </w:pPr>
          </w:p>
        </w:tc>
        <w:tc>
          <w:tcPr>
            <w:tcW w:w="1335" w:type="dxa"/>
            <w:vMerge w:val="continue"/>
            <w:tcBorders>
              <w:left w:val="single" w:color="auto" w:sz="4" w:space="0"/>
              <w:right w:val="single" w:color="auto" w:sz="4" w:space="0"/>
            </w:tcBorders>
            <w:vAlign w:val="center"/>
          </w:tcPr>
          <w:p w14:paraId="029392C4">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30ABF210">
            <w:pPr>
              <w:jc w:val="center"/>
              <w:rPr>
                <w:rFonts w:ascii="Times New Roman" w:eastAsia="仿宋"/>
                <w:szCs w:val="21"/>
              </w:rPr>
            </w:pPr>
            <w:r>
              <w:rPr>
                <w:rFonts w:hint="eastAsia" w:ascii="Times New Roman" w:eastAsia="仿宋"/>
                <w:szCs w:val="21"/>
              </w:rPr>
              <w:t>4</w:t>
            </w:r>
          </w:p>
        </w:tc>
        <w:tc>
          <w:tcPr>
            <w:tcW w:w="1514" w:type="dxa"/>
            <w:tcBorders>
              <w:left w:val="single" w:color="auto" w:sz="4" w:space="0"/>
              <w:right w:val="single" w:color="auto" w:sz="4" w:space="0"/>
            </w:tcBorders>
            <w:vAlign w:val="center"/>
          </w:tcPr>
          <w:p w14:paraId="353C6B5B">
            <w:pPr>
              <w:widowControl/>
              <w:jc w:val="center"/>
              <w:rPr>
                <w:rFonts w:ascii="Times New Roman" w:eastAsia="仿宋"/>
                <w:szCs w:val="21"/>
              </w:rPr>
            </w:pPr>
            <w:r>
              <w:rPr>
                <w:rFonts w:ascii="Times New Roman" w:eastAsia="仿宋"/>
                <w:szCs w:val="21"/>
              </w:rPr>
              <w:t>2</w:t>
            </w:r>
            <w:r>
              <w:rPr>
                <w:rFonts w:hint="eastAsia" w:ascii="Times New Roman" w:eastAsia="仿宋"/>
                <w:szCs w:val="21"/>
              </w:rPr>
              <w:t>号钣金车间</w:t>
            </w:r>
          </w:p>
        </w:tc>
      </w:tr>
      <w:tr w14:paraId="17D56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6B858136">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3D294EBF">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093ABE55">
            <w:pPr>
              <w:widowControl/>
              <w:jc w:val="center"/>
              <w:textAlignment w:val="center"/>
              <w:rPr>
                <w:rFonts w:ascii="Times New Roman" w:eastAsia="仿宋"/>
                <w:szCs w:val="24"/>
              </w:rPr>
            </w:pPr>
          </w:p>
        </w:tc>
        <w:tc>
          <w:tcPr>
            <w:tcW w:w="1335" w:type="dxa"/>
            <w:vMerge w:val="continue"/>
            <w:tcBorders>
              <w:left w:val="single" w:color="auto" w:sz="4" w:space="0"/>
              <w:bottom w:val="single" w:color="auto" w:sz="4" w:space="0"/>
              <w:right w:val="single" w:color="auto" w:sz="4" w:space="0"/>
            </w:tcBorders>
            <w:vAlign w:val="center"/>
          </w:tcPr>
          <w:p w14:paraId="138D3FD6">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3D71009B">
            <w:pPr>
              <w:jc w:val="center"/>
              <w:rPr>
                <w:rFonts w:ascii="Times New Roman" w:eastAsia="仿宋"/>
                <w:szCs w:val="21"/>
              </w:rPr>
            </w:pPr>
            <w:r>
              <w:rPr>
                <w:rFonts w:hint="eastAsia" w:ascii="Times New Roman" w:eastAsia="仿宋"/>
                <w:szCs w:val="21"/>
              </w:rPr>
              <w:t>6</w:t>
            </w:r>
          </w:p>
        </w:tc>
        <w:tc>
          <w:tcPr>
            <w:tcW w:w="1514" w:type="dxa"/>
            <w:tcBorders>
              <w:left w:val="single" w:color="auto" w:sz="4" w:space="0"/>
              <w:right w:val="single" w:color="auto" w:sz="4" w:space="0"/>
            </w:tcBorders>
            <w:vAlign w:val="center"/>
          </w:tcPr>
          <w:p w14:paraId="7E44D08F">
            <w:pPr>
              <w:widowControl/>
              <w:jc w:val="center"/>
              <w:rPr>
                <w:rFonts w:ascii="Times New Roman" w:eastAsia="仿宋"/>
                <w:szCs w:val="21"/>
              </w:rPr>
            </w:pPr>
            <w:r>
              <w:rPr>
                <w:rFonts w:hint="eastAsia" w:ascii="Times New Roman" w:eastAsia="仿宋"/>
                <w:szCs w:val="21"/>
              </w:rPr>
              <w:t>4号钣金车间</w:t>
            </w:r>
          </w:p>
        </w:tc>
      </w:tr>
      <w:tr w14:paraId="36767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restart"/>
            <w:tcBorders>
              <w:top w:val="single" w:color="auto" w:sz="4" w:space="0"/>
              <w:left w:val="single" w:color="auto" w:sz="4" w:space="0"/>
              <w:right w:val="single" w:color="auto" w:sz="4" w:space="0"/>
            </w:tcBorders>
            <w:vAlign w:val="center"/>
          </w:tcPr>
          <w:p w14:paraId="556E34F0">
            <w:pPr>
              <w:widowControl/>
              <w:jc w:val="center"/>
              <w:rPr>
                <w:rFonts w:ascii="Times New Roman" w:eastAsia="仿宋"/>
                <w:szCs w:val="21"/>
              </w:rPr>
            </w:pPr>
            <w:r>
              <w:rPr>
                <w:rFonts w:hint="eastAsia" w:ascii="Times New Roman" w:eastAsia="仿宋"/>
                <w:szCs w:val="21"/>
              </w:rPr>
              <w:t>8</w:t>
            </w:r>
          </w:p>
        </w:tc>
        <w:tc>
          <w:tcPr>
            <w:tcW w:w="1829" w:type="dxa"/>
            <w:gridSpan w:val="2"/>
            <w:vMerge w:val="restart"/>
            <w:tcBorders>
              <w:top w:val="single" w:color="auto" w:sz="4" w:space="0"/>
              <w:left w:val="single" w:color="auto" w:sz="4" w:space="0"/>
              <w:right w:val="single" w:color="auto" w:sz="4" w:space="0"/>
            </w:tcBorders>
            <w:vAlign w:val="center"/>
          </w:tcPr>
          <w:p w14:paraId="0F016F2F">
            <w:pPr>
              <w:widowControl/>
              <w:jc w:val="center"/>
              <w:rPr>
                <w:rFonts w:ascii="Times New Roman" w:eastAsia="仿宋"/>
                <w:szCs w:val="21"/>
              </w:rPr>
            </w:pPr>
            <w:r>
              <w:rPr>
                <w:rFonts w:hint="eastAsia" w:ascii="Times New Roman" w:eastAsia="仿宋"/>
                <w:szCs w:val="21"/>
              </w:rPr>
              <w:t>激光焊机</w:t>
            </w:r>
          </w:p>
        </w:tc>
        <w:tc>
          <w:tcPr>
            <w:tcW w:w="3176" w:type="dxa"/>
            <w:vMerge w:val="restart"/>
            <w:tcBorders>
              <w:top w:val="single" w:color="auto" w:sz="4" w:space="0"/>
              <w:left w:val="single" w:color="auto" w:sz="4" w:space="0"/>
              <w:right w:val="single" w:color="auto" w:sz="4" w:space="0"/>
            </w:tcBorders>
            <w:vAlign w:val="center"/>
          </w:tcPr>
          <w:p w14:paraId="72CCC5CD">
            <w:pPr>
              <w:widowControl/>
              <w:jc w:val="center"/>
              <w:textAlignment w:val="center"/>
              <w:rPr>
                <w:rFonts w:ascii="Times New Roman" w:eastAsia="仿宋"/>
                <w:szCs w:val="24"/>
              </w:rPr>
            </w:pPr>
            <w:r>
              <w:rPr>
                <w:rFonts w:hint="eastAsia" w:ascii="Times New Roman" w:eastAsia="仿宋"/>
                <w:szCs w:val="24"/>
              </w:rPr>
              <w:t>/</w:t>
            </w:r>
          </w:p>
        </w:tc>
        <w:tc>
          <w:tcPr>
            <w:tcW w:w="1335" w:type="dxa"/>
            <w:vMerge w:val="restart"/>
            <w:tcBorders>
              <w:top w:val="single" w:color="auto" w:sz="4" w:space="0"/>
              <w:left w:val="single" w:color="auto" w:sz="4" w:space="0"/>
              <w:right w:val="single" w:color="auto" w:sz="4" w:space="0"/>
            </w:tcBorders>
            <w:vAlign w:val="center"/>
          </w:tcPr>
          <w:p w14:paraId="0988406B">
            <w:pPr>
              <w:jc w:val="center"/>
              <w:rPr>
                <w:rFonts w:ascii="Times New Roman" w:eastAsia="仿宋"/>
                <w:szCs w:val="21"/>
              </w:rPr>
            </w:pPr>
            <w:r>
              <w:rPr>
                <w:rFonts w:hint="eastAsia" w:ascii="Times New Roman" w:eastAsia="仿宋"/>
                <w:szCs w:val="21"/>
              </w:rPr>
              <w:t>焊接</w:t>
            </w:r>
          </w:p>
        </w:tc>
        <w:tc>
          <w:tcPr>
            <w:tcW w:w="707" w:type="dxa"/>
            <w:tcBorders>
              <w:top w:val="single" w:color="auto" w:sz="4" w:space="0"/>
              <w:left w:val="single" w:color="auto" w:sz="4" w:space="0"/>
              <w:bottom w:val="single" w:color="auto" w:sz="4" w:space="0"/>
              <w:right w:val="single" w:color="auto" w:sz="4" w:space="0"/>
            </w:tcBorders>
            <w:vAlign w:val="center"/>
          </w:tcPr>
          <w:p w14:paraId="4DB761FD">
            <w:pPr>
              <w:jc w:val="center"/>
              <w:rPr>
                <w:rFonts w:ascii="Times New Roman" w:eastAsia="仿宋"/>
                <w:szCs w:val="21"/>
              </w:rPr>
            </w:pPr>
            <w:r>
              <w:rPr>
                <w:rFonts w:hint="eastAsia" w:ascii="Times New Roman" w:eastAsia="仿宋"/>
                <w:szCs w:val="21"/>
              </w:rPr>
              <w:t>2</w:t>
            </w:r>
          </w:p>
        </w:tc>
        <w:tc>
          <w:tcPr>
            <w:tcW w:w="1514" w:type="dxa"/>
            <w:tcBorders>
              <w:left w:val="single" w:color="auto" w:sz="4" w:space="0"/>
              <w:right w:val="single" w:color="auto" w:sz="4" w:space="0"/>
            </w:tcBorders>
            <w:vAlign w:val="center"/>
          </w:tcPr>
          <w:p w14:paraId="1363EE55">
            <w:pPr>
              <w:widowControl/>
              <w:jc w:val="center"/>
              <w:rPr>
                <w:rFonts w:ascii="Times New Roman" w:eastAsia="仿宋"/>
                <w:szCs w:val="21"/>
              </w:rPr>
            </w:pPr>
            <w:r>
              <w:rPr>
                <w:rFonts w:ascii="Times New Roman" w:eastAsia="仿宋"/>
                <w:szCs w:val="21"/>
              </w:rPr>
              <w:t>1</w:t>
            </w:r>
            <w:r>
              <w:rPr>
                <w:rFonts w:hint="eastAsia" w:ascii="Times New Roman" w:eastAsia="仿宋"/>
                <w:szCs w:val="21"/>
              </w:rPr>
              <w:t>号钣金车间</w:t>
            </w:r>
          </w:p>
        </w:tc>
      </w:tr>
      <w:tr w14:paraId="15D37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vMerge w:val="continue"/>
            <w:tcBorders>
              <w:left w:val="single" w:color="auto" w:sz="4" w:space="0"/>
              <w:bottom w:val="single" w:color="auto" w:sz="4" w:space="0"/>
              <w:right w:val="single" w:color="auto" w:sz="4" w:space="0"/>
            </w:tcBorders>
            <w:vAlign w:val="center"/>
          </w:tcPr>
          <w:p w14:paraId="772EA214">
            <w:pPr>
              <w:widowControl/>
              <w:jc w:val="center"/>
              <w:rPr>
                <w:rFonts w:ascii="Times New Roman" w:eastAsia="仿宋"/>
                <w:szCs w:val="21"/>
              </w:rPr>
            </w:pPr>
          </w:p>
        </w:tc>
        <w:tc>
          <w:tcPr>
            <w:tcW w:w="1829" w:type="dxa"/>
            <w:gridSpan w:val="2"/>
            <w:vMerge w:val="continue"/>
            <w:tcBorders>
              <w:left w:val="single" w:color="auto" w:sz="4" w:space="0"/>
              <w:bottom w:val="single" w:color="auto" w:sz="4" w:space="0"/>
              <w:right w:val="single" w:color="auto" w:sz="4" w:space="0"/>
            </w:tcBorders>
            <w:vAlign w:val="center"/>
          </w:tcPr>
          <w:p w14:paraId="2E36B035">
            <w:pPr>
              <w:widowControl/>
              <w:jc w:val="center"/>
              <w:rPr>
                <w:rFonts w:ascii="Times New Roman" w:eastAsia="仿宋"/>
                <w:szCs w:val="21"/>
              </w:rPr>
            </w:pPr>
          </w:p>
        </w:tc>
        <w:tc>
          <w:tcPr>
            <w:tcW w:w="3176" w:type="dxa"/>
            <w:vMerge w:val="continue"/>
            <w:tcBorders>
              <w:left w:val="single" w:color="auto" w:sz="4" w:space="0"/>
              <w:bottom w:val="single" w:color="auto" w:sz="4" w:space="0"/>
              <w:right w:val="single" w:color="auto" w:sz="4" w:space="0"/>
            </w:tcBorders>
            <w:vAlign w:val="center"/>
          </w:tcPr>
          <w:p w14:paraId="647EA901">
            <w:pPr>
              <w:widowControl/>
              <w:jc w:val="center"/>
              <w:textAlignment w:val="center"/>
              <w:rPr>
                <w:rFonts w:ascii="Times New Roman" w:eastAsia="仿宋"/>
                <w:szCs w:val="24"/>
              </w:rPr>
            </w:pPr>
          </w:p>
        </w:tc>
        <w:tc>
          <w:tcPr>
            <w:tcW w:w="1335" w:type="dxa"/>
            <w:vMerge w:val="continue"/>
            <w:tcBorders>
              <w:left w:val="single" w:color="auto" w:sz="4" w:space="0"/>
              <w:bottom w:val="single" w:color="auto" w:sz="4" w:space="0"/>
              <w:right w:val="single" w:color="auto" w:sz="4" w:space="0"/>
            </w:tcBorders>
            <w:vAlign w:val="center"/>
          </w:tcPr>
          <w:p w14:paraId="353AF932">
            <w:pPr>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3C6128B7">
            <w:pPr>
              <w:jc w:val="center"/>
              <w:rPr>
                <w:rFonts w:ascii="Times New Roman" w:eastAsia="仿宋"/>
                <w:szCs w:val="21"/>
              </w:rPr>
            </w:pPr>
            <w:r>
              <w:rPr>
                <w:rFonts w:hint="eastAsia" w:ascii="Times New Roman" w:eastAsia="仿宋"/>
                <w:szCs w:val="21"/>
              </w:rPr>
              <w:t>2</w:t>
            </w:r>
          </w:p>
        </w:tc>
        <w:tc>
          <w:tcPr>
            <w:tcW w:w="1514" w:type="dxa"/>
            <w:tcBorders>
              <w:left w:val="single" w:color="auto" w:sz="4" w:space="0"/>
              <w:right w:val="single" w:color="auto" w:sz="4" w:space="0"/>
            </w:tcBorders>
            <w:vAlign w:val="center"/>
          </w:tcPr>
          <w:p w14:paraId="0E277BB7">
            <w:pPr>
              <w:widowControl/>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r>
      <w:tr w14:paraId="2F7D3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111A9F41">
            <w:pPr>
              <w:widowControl/>
              <w:jc w:val="center"/>
              <w:rPr>
                <w:rFonts w:ascii="Times New Roman" w:eastAsia="仿宋"/>
                <w:szCs w:val="21"/>
              </w:rPr>
            </w:pPr>
            <w:r>
              <w:rPr>
                <w:rFonts w:ascii="Times New Roman" w:eastAsia="仿宋"/>
                <w:szCs w:val="21"/>
              </w:rPr>
              <w:t>9</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69243B2D">
            <w:pPr>
              <w:widowControl/>
              <w:jc w:val="center"/>
              <w:rPr>
                <w:rFonts w:ascii="Times New Roman" w:eastAsia="仿宋"/>
                <w:szCs w:val="21"/>
              </w:rPr>
            </w:pPr>
            <w:r>
              <w:rPr>
                <w:rFonts w:hint="eastAsia" w:ascii="Times New Roman" w:eastAsia="仿宋"/>
                <w:szCs w:val="21"/>
              </w:rPr>
              <w:t>手动磨光机</w:t>
            </w:r>
          </w:p>
        </w:tc>
        <w:tc>
          <w:tcPr>
            <w:tcW w:w="3176" w:type="dxa"/>
            <w:tcBorders>
              <w:top w:val="single" w:color="auto" w:sz="4" w:space="0"/>
              <w:left w:val="single" w:color="auto" w:sz="4" w:space="0"/>
              <w:bottom w:val="single" w:color="auto" w:sz="4" w:space="0"/>
              <w:right w:val="single" w:color="auto" w:sz="4" w:space="0"/>
            </w:tcBorders>
            <w:vAlign w:val="center"/>
          </w:tcPr>
          <w:p w14:paraId="0E9D101F">
            <w:pPr>
              <w:widowControl/>
              <w:jc w:val="center"/>
              <w:textAlignment w:val="center"/>
              <w:rPr>
                <w:rFonts w:ascii="Times New Roman" w:eastAsia="仿宋"/>
                <w:szCs w:val="24"/>
              </w:rPr>
            </w:pPr>
            <w:r>
              <w:rPr>
                <w:rFonts w:ascii="Times New Roman" w:eastAsia="仿宋"/>
                <w:szCs w:val="24"/>
              </w:rPr>
              <w:t>/</w:t>
            </w:r>
          </w:p>
        </w:tc>
        <w:tc>
          <w:tcPr>
            <w:tcW w:w="1335" w:type="dxa"/>
            <w:tcBorders>
              <w:top w:val="single" w:color="auto" w:sz="4" w:space="0"/>
              <w:left w:val="single" w:color="auto" w:sz="4" w:space="0"/>
              <w:right w:val="single" w:color="auto" w:sz="4" w:space="0"/>
            </w:tcBorders>
            <w:vAlign w:val="center"/>
          </w:tcPr>
          <w:p w14:paraId="33B7764B">
            <w:pPr>
              <w:widowControl/>
              <w:jc w:val="center"/>
              <w:rPr>
                <w:rFonts w:ascii="Times New Roman" w:eastAsia="仿宋"/>
                <w:szCs w:val="21"/>
              </w:rPr>
            </w:pPr>
            <w:r>
              <w:rPr>
                <w:rFonts w:hint="eastAsia" w:ascii="Times New Roman" w:eastAsia="仿宋"/>
                <w:szCs w:val="21"/>
              </w:rPr>
              <w:t>打磨</w:t>
            </w:r>
          </w:p>
        </w:tc>
        <w:tc>
          <w:tcPr>
            <w:tcW w:w="707" w:type="dxa"/>
            <w:tcBorders>
              <w:top w:val="single" w:color="auto" w:sz="4" w:space="0"/>
              <w:left w:val="single" w:color="auto" w:sz="4" w:space="0"/>
              <w:bottom w:val="single" w:color="auto" w:sz="4" w:space="0"/>
              <w:right w:val="single" w:color="auto" w:sz="4" w:space="0"/>
            </w:tcBorders>
            <w:vAlign w:val="center"/>
          </w:tcPr>
          <w:p w14:paraId="152DCF99">
            <w:pPr>
              <w:widowControl/>
              <w:jc w:val="center"/>
              <w:rPr>
                <w:rFonts w:ascii="Times New Roman" w:eastAsia="仿宋"/>
                <w:szCs w:val="21"/>
              </w:rPr>
            </w:pPr>
            <w:r>
              <w:rPr>
                <w:rFonts w:ascii="Times New Roman" w:eastAsia="仿宋"/>
                <w:szCs w:val="21"/>
              </w:rPr>
              <w:t>16</w:t>
            </w:r>
          </w:p>
        </w:tc>
        <w:tc>
          <w:tcPr>
            <w:tcW w:w="1514" w:type="dxa"/>
            <w:tcBorders>
              <w:left w:val="single" w:color="auto" w:sz="4" w:space="0"/>
              <w:right w:val="single" w:color="auto" w:sz="4" w:space="0"/>
            </w:tcBorders>
            <w:vAlign w:val="center"/>
          </w:tcPr>
          <w:p w14:paraId="6215F369">
            <w:pPr>
              <w:widowControl/>
              <w:jc w:val="center"/>
              <w:rPr>
                <w:rFonts w:ascii="Times New Roman" w:eastAsia="仿宋"/>
                <w:szCs w:val="21"/>
              </w:rPr>
            </w:pPr>
            <w:r>
              <w:rPr>
                <w:rFonts w:hint="eastAsia" w:ascii="Times New Roman" w:eastAsia="仿宋"/>
                <w:szCs w:val="21"/>
              </w:rPr>
              <w:t>2号钣金车间</w:t>
            </w:r>
          </w:p>
        </w:tc>
      </w:tr>
      <w:tr w14:paraId="41197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2CB8DB6A">
            <w:pPr>
              <w:widowControl/>
              <w:jc w:val="center"/>
              <w:rPr>
                <w:rFonts w:ascii="Times New Roman" w:eastAsia="仿宋"/>
                <w:szCs w:val="21"/>
              </w:rPr>
            </w:pPr>
            <w:r>
              <w:rPr>
                <w:rFonts w:ascii="Times New Roman" w:eastAsia="仿宋"/>
                <w:szCs w:val="21"/>
              </w:rPr>
              <w:t>10</w:t>
            </w:r>
          </w:p>
        </w:tc>
        <w:tc>
          <w:tcPr>
            <w:tcW w:w="647" w:type="dxa"/>
            <w:vMerge w:val="restart"/>
            <w:tcBorders>
              <w:top w:val="single" w:color="auto" w:sz="4" w:space="0"/>
              <w:left w:val="single" w:color="auto" w:sz="4" w:space="0"/>
              <w:right w:val="single" w:color="auto" w:sz="4" w:space="0"/>
            </w:tcBorders>
            <w:vAlign w:val="center"/>
          </w:tcPr>
          <w:p w14:paraId="51CB4263">
            <w:pPr>
              <w:widowControl/>
              <w:jc w:val="center"/>
              <w:rPr>
                <w:rFonts w:ascii="Times New Roman" w:eastAsia="仿宋"/>
                <w:szCs w:val="21"/>
              </w:rPr>
            </w:pPr>
            <w:r>
              <w:rPr>
                <w:rFonts w:hint="eastAsia" w:ascii="Times New Roman" w:eastAsia="仿宋"/>
                <w:szCs w:val="21"/>
              </w:rPr>
              <w:t>表面处理线</w:t>
            </w:r>
          </w:p>
        </w:tc>
        <w:tc>
          <w:tcPr>
            <w:tcW w:w="1182" w:type="dxa"/>
            <w:tcBorders>
              <w:top w:val="single" w:color="auto" w:sz="4" w:space="0"/>
              <w:left w:val="single" w:color="auto" w:sz="4" w:space="0"/>
              <w:right w:val="single" w:color="auto" w:sz="4" w:space="0"/>
            </w:tcBorders>
            <w:vAlign w:val="center"/>
          </w:tcPr>
          <w:p w14:paraId="1A2EEC76">
            <w:pPr>
              <w:widowControl/>
              <w:jc w:val="center"/>
              <w:rPr>
                <w:rFonts w:ascii="Times New Roman" w:eastAsia="仿宋"/>
                <w:szCs w:val="21"/>
              </w:rPr>
            </w:pPr>
            <w:r>
              <w:rPr>
                <w:rFonts w:hint="eastAsia" w:ascii="Times New Roman" w:eastAsia="仿宋"/>
                <w:szCs w:val="21"/>
              </w:rPr>
              <w:t>脱脂槽</w:t>
            </w:r>
          </w:p>
        </w:tc>
        <w:tc>
          <w:tcPr>
            <w:tcW w:w="3176" w:type="dxa"/>
            <w:tcBorders>
              <w:top w:val="single" w:color="auto" w:sz="4" w:space="0"/>
              <w:left w:val="single" w:color="auto" w:sz="4" w:space="0"/>
              <w:bottom w:val="single" w:color="auto" w:sz="4" w:space="0"/>
              <w:right w:val="single" w:color="auto" w:sz="4" w:space="0"/>
            </w:tcBorders>
            <w:vAlign w:val="center"/>
          </w:tcPr>
          <w:p w14:paraId="096F4B51">
            <w:pPr>
              <w:widowControl/>
              <w:jc w:val="center"/>
              <w:textAlignment w:val="center"/>
              <w:rPr>
                <w:rFonts w:ascii="Times New Roman" w:eastAsia="仿宋"/>
                <w:szCs w:val="24"/>
              </w:rPr>
            </w:pPr>
            <w:r>
              <w:rPr>
                <w:rFonts w:ascii="Times New Roman" w:eastAsia="仿宋"/>
                <w:szCs w:val="24"/>
              </w:rPr>
              <w:t>L2800</w:t>
            </w:r>
            <w:r>
              <w:rPr>
                <w:rFonts w:hint="eastAsia" w:ascii="Times New Roman" w:eastAsia="仿宋"/>
                <w:szCs w:val="24"/>
              </w:rPr>
              <w:t>×</w:t>
            </w:r>
            <w:r>
              <w:rPr>
                <w:rFonts w:ascii="Times New Roman" w:eastAsia="仿宋"/>
                <w:szCs w:val="24"/>
              </w:rPr>
              <w:t>W2800</w:t>
            </w:r>
            <w:r>
              <w:rPr>
                <w:rFonts w:hint="eastAsia" w:ascii="Times New Roman" w:eastAsia="仿宋"/>
                <w:szCs w:val="24"/>
              </w:rPr>
              <w:t>×</w:t>
            </w:r>
            <w:r>
              <w:rPr>
                <w:rFonts w:ascii="Times New Roman" w:eastAsia="仿宋"/>
                <w:szCs w:val="24"/>
              </w:rPr>
              <w:t>H970</w:t>
            </w:r>
            <w:r>
              <w:rPr>
                <w:rFonts w:hint="eastAsia" w:ascii="Times New Roman" w:eastAsia="仿宋"/>
                <w:szCs w:val="24"/>
              </w:rPr>
              <w:t>mm</w:t>
            </w:r>
          </w:p>
        </w:tc>
        <w:tc>
          <w:tcPr>
            <w:tcW w:w="1335" w:type="dxa"/>
            <w:tcBorders>
              <w:top w:val="single" w:color="auto" w:sz="4" w:space="0"/>
              <w:left w:val="single" w:color="auto" w:sz="4" w:space="0"/>
              <w:bottom w:val="single" w:color="auto" w:sz="4" w:space="0"/>
              <w:right w:val="single" w:color="auto" w:sz="4" w:space="0"/>
            </w:tcBorders>
            <w:vAlign w:val="center"/>
          </w:tcPr>
          <w:p w14:paraId="16F8C407">
            <w:pPr>
              <w:widowControl/>
              <w:jc w:val="center"/>
              <w:rPr>
                <w:rFonts w:ascii="Times New Roman" w:eastAsia="仿宋"/>
                <w:szCs w:val="21"/>
              </w:rPr>
            </w:pPr>
            <w:r>
              <w:rPr>
                <w:rFonts w:hint="eastAsia" w:ascii="Times New Roman" w:eastAsia="仿宋"/>
                <w:szCs w:val="21"/>
              </w:rPr>
              <w:t>脱脂</w:t>
            </w:r>
          </w:p>
        </w:tc>
        <w:tc>
          <w:tcPr>
            <w:tcW w:w="707" w:type="dxa"/>
            <w:tcBorders>
              <w:top w:val="single" w:color="auto" w:sz="4" w:space="0"/>
              <w:left w:val="single" w:color="auto" w:sz="4" w:space="0"/>
              <w:bottom w:val="single" w:color="auto" w:sz="4" w:space="0"/>
              <w:right w:val="single" w:color="auto" w:sz="4" w:space="0"/>
            </w:tcBorders>
            <w:vAlign w:val="center"/>
          </w:tcPr>
          <w:p w14:paraId="60D949D3">
            <w:pPr>
              <w:widowControl/>
              <w:jc w:val="center"/>
              <w:rPr>
                <w:rFonts w:ascii="Times New Roman" w:eastAsia="仿宋"/>
                <w:szCs w:val="21"/>
              </w:rPr>
            </w:pPr>
            <w:r>
              <w:rPr>
                <w:rFonts w:hint="eastAsia" w:ascii="Times New Roman" w:eastAsia="仿宋"/>
                <w:szCs w:val="21"/>
              </w:rPr>
              <w:t>1</w:t>
            </w:r>
          </w:p>
        </w:tc>
        <w:tc>
          <w:tcPr>
            <w:tcW w:w="1514" w:type="dxa"/>
            <w:vMerge w:val="restart"/>
            <w:tcBorders>
              <w:left w:val="single" w:color="auto" w:sz="4" w:space="0"/>
              <w:right w:val="single" w:color="auto" w:sz="4" w:space="0"/>
            </w:tcBorders>
            <w:vAlign w:val="center"/>
          </w:tcPr>
          <w:p w14:paraId="214183FA">
            <w:pPr>
              <w:jc w:val="center"/>
              <w:rPr>
                <w:rFonts w:ascii="Times New Roman" w:eastAsia="仿宋"/>
                <w:szCs w:val="21"/>
              </w:rPr>
            </w:pPr>
            <w:r>
              <w:rPr>
                <w:rFonts w:hint="eastAsia" w:ascii="Times New Roman" w:eastAsia="仿宋"/>
                <w:szCs w:val="21"/>
              </w:rPr>
              <w:t>3号喷涂车间</w:t>
            </w:r>
          </w:p>
        </w:tc>
      </w:tr>
      <w:tr w14:paraId="3E064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3EE5AE51">
            <w:pPr>
              <w:widowControl/>
              <w:jc w:val="center"/>
              <w:rPr>
                <w:rFonts w:ascii="Times New Roman" w:eastAsia="仿宋"/>
                <w:szCs w:val="21"/>
              </w:rPr>
            </w:pPr>
            <w:r>
              <w:rPr>
                <w:rFonts w:hint="eastAsia" w:ascii="Times New Roman" w:eastAsia="仿宋"/>
                <w:szCs w:val="21"/>
              </w:rPr>
              <w:t>1</w:t>
            </w:r>
            <w:r>
              <w:rPr>
                <w:rFonts w:ascii="Times New Roman" w:eastAsia="仿宋"/>
                <w:szCs w:val="21"/>
              </w:rPr>
              <w:t>1</w:t>
            </w:r>
          </w:p>
        </w:tc>
        <w:tc>
          <w:tcPr>
            <w:tcW w:w="647" w:type="dxa"/>
            <w:vMerge w:val="continue"/>
            <w:tcBorders>
              <w:left w:val="single" w:color="auto" w:sz="4" w:space="0"/>
              <w:right w:val="single" w:color="auto" w:sz="4" w:space="0"/>
            </w:tcBorders>
            <w:vAlign w:val="center"/>
          </w:tcPr>
          <w:p w14:paraId="0CD64145">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30735255">
            <w:pPr>
              <w:widowControl/>
              <w:jc w:val="center"/>
              <w:rPr>
                <w:rFonts w:ascii="Times New Roman" w:eastAsia="仿宋"/>
                <w:szCs w:val="21"/>
              </w:rPr>
            </w:pPr>
            <w:r>
              <w:rPr>
                <w:rFonts w:ascii="Times New Roman" w:eastAsia="仿宋"/>
                <w:szCs w:val="21"/>
              </w:rPr>
              <w:t>1#</w:t>
            </w:r>
            <w:r>
              <w:rPr>
                <w:rFonts w:hint="eastAsia" w:ascii="Times New Roman" w:eastAsia="仿宋"/>
                <w:szCs w:val="21"/>
              </w:rPr>
              <w:t>水洗槽</w:t>
            </w:r>
          </w:p>
        </w:tc>
        <w:tc>
          <w:tcPr>
            <w:tcW w:w="3176" w:type="dxa"/>
            <w:tcBorders>
              <w:top w:val="single" w:color="auto" w:sz="4" w:space="0"/>
              <w:left w:val="single" w:color="auto" w:sz="4" w:space="0"/>
              <w:bottom w:val="single" w:color="auto" w:sz="4" w:space="0"/>
              <w:right w:val="single" w:color="auto" w:sz="4" w:space="0"/>
            </w:tcBorders>
            <w:vAlign w:val="center"/>
          </w:tcPr>
          <w:p w14:paraId="025F9324">
            <w:pPr>
              <w:widowControl/>
              <w:jc w:val="center"/>
              <w:textAlignment w:val="center"/>
              <w:rPr>
                <w:rFonts w:ascii="Times New Roman" w:eastAsia="仿宋"/>
                <w:szCs w:val="24"/>
              </w:rPr>
            </w:pPr>
            <w:r>
              <w:rPr>
                <w:rFonts w:ascii="Times New Roman" w:eastAsia="仿宋"/>
                <w:szCs w:val="24"/>
              </w:rPr>
              <w:t>L2800</w:t>
            </w:r>
            <w:r>
              <w:rPr>
                <w:rFonts w:hint="eastAsia" w:ascii="Times New Roman" w:eastAsia="仿宋"/>
                <w:szCs w:val="24"/>
              </w:rPr>
              <w:t>×</w:t>
            </w:r>
            <w:r>
              <w:rPr>
                <w:rFonts w:ascii="Times New Roman" w:eastAsia="仿宋"/>
                <w:szCs w:val="24"/>
              </w:rPr>
              <w:t>W1000</w:t>
            </w:r>
            <w:r>
              <w:rPr>
                <w:rFonts w:hint="eastAsia" w:ascii="Times New Roman" w:eastAsia="仿宋"/>
                <w:szCs w:val="24"/>
              </w:rPr>
              <w:t>×</w:t>
            </w:r>
            <w:r>
              <w:rPr>
                <w:rFonts w:ascii="Times New Roman" w:eastAsia="仿宋"/>
                <w:szCs w:val="24"/>
              </w:rPr>
              <w:t>H970</w:t>
            </w:r>
            <w:r>
              <w:rPr>
                <w:rFonts w:hint="eastAsia" w:ascii="Times New Roman" w:eastAsia="仿宋"/>
                <w:szCs w:val="24"/>
              </w:rPr>
              <w:t>m</w:t>
            </w:r>
            <w:r>
              <w:rPr>
                <w:rFonts w:ascii="Times New Roman" w:eastAsia="仿宋"/>
                <w:szCs w:val="24"/>
              </w:rPr>
              <w:t>m</w:t>
            </w:r>
          </w:p>
        </w:tc>
        <w:tc>
          <w:tcPr>
            <w:tcW w:w="1335" w:type="dxa"/>
            <w:tcBorders>
              <w:top w:val="single" w:color="auto" w:sz="4" w:space="0"/>
              <w:left w:val="single" w:color="auto" w:sz="4" w:space="0"/>
              <w:bottom w:val="single" w:color="auto" w:sz="4" w:space="0"/>
              <w:right w:val="single" w:color="auto" w:sz="4" w:space="0"/>
            </w:tcBorders>
            <w:vAlign w:val="center"/>
          </w:tcPr>
          <w:p w14:paraId="431C87E3">
            <w:pPr>
              <w:widowControl/>
              <w:jc w:val="center"/>
              <w:rPr>
                <w:rFonts w:ascii="Times New Roman" w:eastAsia="仿宋"/>
                <w:szCs w:val="21"/>
              </w:rPr>
            </w:pPr>
            <w:r>
              <w:rPr>
                <w:rFonts w:hint="eastAsia" w:ascii="Times New Roman" w:eastAsia="仿宋"/>
                <w:szCs w:val="21"/>
              </w:rPr>
              <w:t>水洗1</w:t>
            </w:r>
          </w:p>
        </w:tc>
        <w:tc>
          <w:tcPr>
            <w:tcW w:w="707" w:type="dxa"/>
            <w:tcBorders>
              <w:top w:val="single" w:color="auto" w:sz="4" w:space="0"/>
              <w:left w:val="single" w:color="auto" w:sz="4" w:space="0"/>
              <w:bottom w:val="single" w:color="auto" w:sz="4" w:space="0"/>
              <w:right w:val="single" w:color="auto" w:sz="4" w:space="0"/>
            </w:tcBorders>
            <w:vAlign w:val="center"/>
          </w:tcPr>
          <w:p w14:paraId="2EF30D7C">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55A56B79">
            <w:pPr>
              <w:jc w:val="center"/>
              <w:rPr>
                <w:rFonts w:ascii="Times New Roman" w:eastAsia="仿宋"/>
                <w:szCs w:val="21"/>
              </w:rPr>
            </w:pPr>
          </w:p>
        </w:tc>
      </w:tr>
      <w:tr w14:paraId="538FD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57D2BBD5">
            <w:pPr>
              <w:widowControl/>
              <w:jc w:val="center"/>
              <w:rPr>
                <w:rFonts w:ascii="Times New Roman" w:eastAsia="仿宋"/>
                <w:szCs w:val="21"/>
              </w:rPr>
            </w:pPr>
            <w:r>
              <w:rPr>
                <w:rFonts w:hint="eastAsia" w:ascii="Times New Roman" w:eastAsia="仿宋"/>
                <w:szCs w:val="21"/>
              </w:rPr>
              <w:t>1</w:t>
            </w:r>
            <w:r>
              <w:rPr>
                <w:rFonts w:ascii="Times New Roman" w:eastAsia="仿宋"/>
                <w:szCs w:val="21"/>
              </w:rPr>
              <w:t>2</w:t>
            </w:r>
          </w:p>
        </w:tc>
        <w:tc>
          <w:tcPr>
            <w:tcW w:w="647" w:type="dxa"/>
            <w:vMerge w:val="continue"/>
            <w:tcBorders>
              <w:left w:val="single" w:color="auto" w:sz="4" w:space="0"/>
              <w:right w:val="single" w:color="auto" w:sz="4" w:space="0"/>
            </w:tcBorders>
            <w:vAlign w:val="center"/>
          </w:tcPr>
          <w:p w14:paraId="1DBB600B">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61C6B846">
            <w:pPr>
              <w:widowControl/>
              <w:jc w:val="center"/>
              <w:rPr>
                <w:rFonts w:ascii="Times New Roman" w:eastAsia="仿宋"/>
                <w:szCs w:val="21"/>
              </w:rPr>
            </w:pPr>
            <w:r>
              <w:rPr>
                <w:rFonts w:ascii="Times New Roman" w:eastAsia="仿宋"/>
                <w:szCs w:val="21"/>
              </w:rPr>
              <w:t>2#</w:t>
            </w:r>
            <w:r>
              <w:rPr>
                <w:rFonts w:hint="eastAsia" w:ascii="Times New Roman" w:eastAsia="仿宋"/>
                <w:szCs w:val="21"/>
              </w:rPr>
              <w:t>水洗槽</w:t>
            </w:r>
          </w:p>
        </w:tc>
        <w:tc>
          <w:tcPr>
            <w:tcW w:w="3176" w:type="dxa"/>
            <w:tcBorders>
              <w:top w:val="single" w:color="auto" w:sz="4" w:space="0"/>
              <w:left w:val="single" w:color="auto" w:sz="4" w:space="0"/>
              <w:bottom w:val="single" w:color="auto" w:sz="4" w:space="0"/>
              <w:right w:val="single" w:color="auto" w:sz="4" w:space="0"/>
            </w:tcBorders>
            <w:vAlign w:val="center"/>
          </w:tcPr>
          <w:p w14:paraId="50C1585B">
            <w:pPr>
              <w:widowControl/>
              <w:jc w:val="center"/>
              <w:textAlignment w:val="center"/>
              <w:rPr>
                <w:rFonts w:ascii="Times New Roman" w:eastAsia="仿宋"/>
                <w:szCs w:val="24"/>
              </w:rPr>
            </w:pPr>
            <w:r>
              <w:rPr>
                <w:rFonts w:ascii="Times New Roman" w:eastAsia="仿宋"/>
                <w:szCs w:val="24"/>
              </w:rPr>
              <w:t>L2800</w:t>
            </w:r>
            <w:r>
              <w:rPr>
                <w:rFonts w:hint="eastAsia" w:ascii="Times New Roman" w:eastAsia="仿宋"/>
                <w:szCs w:val="24"/>
              </w:rPr>
              <w:t>×</w:t>
            </w:r>
            <w:r>
              <w:rPr>
                <w:rFonts w:ascii="Times New Roman" w:eastAsia="仿宋"/>
                <w:szCs w:val="24"/>
              </w:rPr>
              <w:t>W1000</w:t>
            </w:r>
            <w:r>
              <w:rPr>
                <w:rFonts w:hint="eastAsia" w:ascii="Times New Roman" w:eastAsia="仿宋"/>
                <w:szCs w:val="24"/>
              </w:rPr>
              <w:t>×</w:t>
            </w:r>
            <w:r>
              <w:rPr>
                <w:rFonts w:ascii="Times New Roman" w:eastAsia="仿宋"/>
                <w:szCs w:val="24"/>
              </w:rPr>
              <w:t>H970</w:t>
            </w:r>
            <w:r>
              <w:rPr>
                <w:rFonts w:hint="eastAsia" w:ascii="Times New Roman" w:eastAsia="仿宋"/>
                <w:szCs w:val="24"/>
              </w:rPr>
              <w:t>m</w:t>
            </w:r>
            <w:r>
              <w:rPr>
                <w:rFonts w:ascii="Times New Roman" w:eastAsia="仿宋"/>
                <w:szCs w:val="24"/>
              </w:rPr>
              <w:t>m</w:t>
            </w:r>
          </w:p>
        </w:tc>
        <w:tc>
          <w:tcPr>
            <w:tcW w:w="1335" w:type="dxa"/>
            <w:tcBorders>
              <w:top w:val="single" w:color="auto" w:sz="4" w:space="0"/>
              <w:left w:val="single" w:color="auto" w:sz="4" w:space="0"/>
              <w:bottom w:val="single" w:color="auto" w:sz="4" w:space="0"/>
              <w:right w:val="single" w:color="auto" w:sz="4" w:space="0"/>
            </w:tcBorders>
            <w:vAlign w:val="center"/>
          </w:tcPr>
          <w:p w14:paraId="022E9367">
            <w:pPr>
              <w:widowControl/>
              <w:jc w:val="center"/>
              <w:rPr>
                <w:rFonts w:ascii="Times New Roman" w:eastAsia="仿宋"/>
                <w:szCs w:val="21"/>
              </w:rPr>
            </w:pPr>
            <w:r>
              <w:rPr>
                <w:rFonts w:hint="eastAsia" w:ascii="Times New Roman" w:eastAsia="仿宋"/>
                <w:szCs w:val="21"/>
              </w:rPr>
              <w:t>水洗2</w:t>
            </w:r>
          </w:p>
        </w:tc>
        <w:tc>
          <w:tcPr>
            <w:tcW w:w="707" w:type="dxa"/>
            <w:tcBorders>
              <w:top w:val="single" w:color="auto" w:sz="4" w:space="0"/>
              <w:left w:val="single" w:color="auto" w:sz="4" w:space="0"/>
              <w:bottom w:val="single" w:color="auto" w:sz="4" w:space="0"/>
              <w:right w:val="single" w:color="auto" w:sz="4" w:space="0"/>
            </w:tcBorders>
            <w:vAlign w:val="center"/>
          </w:tcPr>
          <w:p w14:paraId="5C452FD4">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6FAD2FFD">
            <w:pPr>
              <w:jc w:val="center"/>
              <w:rPr>
                <w:rFonts w:ascii="Times New Roman" w:eastAsia="仿宋"/>
                <w:szCs w:val="21"/>
              </w:rPr>
            </w:pPr>
          </w:p>
        </w:tc>
      </w:tr>
      <w:tr w14:paraId="75D48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2468D8BC">
            <w:pPr>
              <w:widowControl/>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647" w:type="dxa"/>
            <w:vMerge w:val="continue"/>
            <w:tcBorders>
              <w:left w:val="single" w:color="auto" w:sz="4" w:space="0"/>
              <w:right w:val="single" w:color="auto" w:sz="4" w:space="0"/>
            </w:tcBorders>
            <w:vAlign w:val="center"/>
          </w:tcPr>
          <w:p w14:paraId="0170D6EE">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133C2484">
            <w:pPr>
              <w:widowControl/>
              <w:jc w:val="center"/>
              <w:rPr>
                <w:rFonts w:ascii="Times New Roman" w:eastAsia="仿宋"/>
                <w:szCs w:val="21"/>
              </w:rPr>
            </w:pPr>
            <w:r>
              <w:rPr>
                <w:rFonts w:hint="eastAsia" w:ascii="Times New Roman" w:eastAsia="仿宋"/>
                <w:szCs w:val="21"/>
              </w:rPr>
              <w:t>钝化槽</w:t>
            </w:r>
          </w:p>
        </w:tc>
        <w:tc>
          <w:tcPr>
            <w:tcW w:w="3176" w:type="dxa"/>
            <w:tcBorders>
              <w:top w:val="single" w:color="auto" w:sz="4" w:space="0"/>
              <w:left w:val="single" w:color="auto" w:sz="4" w:space="0"/>
              <w:bottom w:val="single" w:color="auto" w:sz="4" w:space="0"/>
              <w:right w:val="single" w:color="auto" w:sz="4" w:space="0"/>
            </w:tcBorders>
            <w:vAlign w:val="center"/>
          </w:tcPr>
          <w:p w14:paraId="7F42844C">
            <w:pPr>
              <w:widowControl/>
              <w:jc w:val="center"/>
              <w:rPr>
                <w:rFonts w:ascii="Times New Roman" w:eastAsia="仿宋"/>
                <w:szCs w:val="21"/>
              </w:rPr>
            </w:pPr>
            <w:r>
              <w:rPr>
                <w:rFonts w:ascii="Times New Roman" w:eastAsia="仿宋"/>
                <w:szCs w:val="21"/>
              </w:rPr>
              <w:t>L2800</w:t>
            </w:r>
            <w:r>
              <w:rPr>
                <w:rFonts w:hint="eastAsia" w:ascii="Times New Roman" w:eastAsia="仿宋"/>
                <w:szCs w:val="21"/>
              </w:rPr>
              <w:t>×</w:t>
            </w:r>
            <w:r>
              <w:rPr>
                <w:rFonts w:ascii="Times New Roman" w:eastAsia="仿宋"/>
                <w:szCs w:val="21"/>
              </w:rPr>
              <w:t>W1220</w:t>
            </w:r>
            <w:r>
              <w:rPr>
                <w:rFonts w:hint="eastAsia" w:ascii="Times New Roman" w:eastAsia="仿宋"/>
                <w:szCs w:val="21"/>
              </w:rPr>
              <w:t>×</w:t>
            </w:r>
            <w:r>
              <w:rPr>
                <w:rFonts w:ascii="Times New Roman" w:eastAsia="仿宋"/>
                <w:szCs w:val="21"/>
              </w:rPr>
              <w:t>H970</w:t>
            </w:r>
            <w:r>
              <w:rPr>
                <w:rFonts w:hint="eastAsia" w:ascii="Times New Roman" w:eastAsia="仿宋"/>
                <w:szCs w:val="21"/>
              </w:rPr>
              <w:t>mm</w:t>
            </w:r>
          </w:p>
        </w:tc>
        <w:tc>
          <w:tcPr>
            <w:tcW w:w="1335" w:type="dxa"/>
            <w:tcBorders>
              <w:top w:val="single" w:color="auto" w:sz="4" w:space="0"/>
              <w:left w:val="single" w:color="auto" w:sz="4" w:space="0"/>
              <w:bottom w:val="single" w:color="auto" w:sz="4" w:space="0"/>
              <w:right w:val="single" w:color="auto" w:sz="4" w:space="0"/>
            </w:tcBorders>
            <w:vAlign w:val="center"/>
          </w:tcPr>
          <w:p w14:paraId="1B19C5C4">
            <w:pPr>
              <w:widowControl/>
              <w:jc w:val="center"/>
              <w:rPr>
                <w:rFonts w:ascii="Times New Roman" w:eastAsia="仿宋"/>
                <w:szCs w:val="21"/>
              </w:rPr>
            </w:pPr>
            <w:r>
              <w:rPr>
                <w:rFonts w:hint="eastAsia" w:ascii="Times New Roman" w:eastAsia="仿宋"/>
                <w:szCs w:val="21"/>
              </w:rPr>
              <w:t>钝化</w:t>
            </w:r>
          </w:p>
        </w:tc>
        <w:tc>
          <w:tcPr>
            <w:tcW w:w="707" w:type="dxa"/>
            <w:tcBorders>
              <w:top w:val="single" w:color="auto" w:sz="4" w:space="0"/>
              <w:left w:val="single" w:color="auto" w:sz="4" w:space="0"/>
              <w:bottom w:val="single" w:color="auto" w:sz="4" w:space="0"/>
              <w:right w:val="single" w:color="auto" w:sz="4" w:space="0"/>
            </w:tcBorders>
            <w:vAlign w:val="center"/>
          </w:tcPr>
          <w:p w14:paraId="15AACBCF">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79787A7A">
            <w:pPr>
              <w:jc w:val="center"/>
              <w:rPr>
                <w:rFonts w:ascii="Times New Roman" w:eastAsia="仿宋"/>
                <w:szCs w:val="21"/>
              </w:rPr>
            </w:pPr>
          </w:p>
        </w:tc>
      </w:tr>
      <w:tr w14:paraId="7D9E9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6208DA32">
            <w:pPr>
              <w:widowControl/>
              <w:jc w:val="center"/>
              <w:rPr>
                <w:rFonts w:ascii="Times New Roman" w:eastAsia="仿宋"/>
                <w:szCs w:val="21"/>
              </w:rPr>
            </w:pPr>
            <w:r>
              <w:rPr>
                <w:rFonts w:ascii="Times New Roman" w:eastAsia="仿宋"/>
                <w:szCs w:val="21"/>
              </w:rPr>
              <w:t>14</w:t>
            </w:r>
          </w:p>
        </w:tc>
        <w:tc>
          <w:tcPr>
            <w:tcW w:w="647" w:type="dxa"/>
            <w:vMerge w:val="continue"/>
            <w:tcBorders>
              <w:left w:val="single" w:color="auto" w:sz="4" w:space="0"/>
              <w:right w:val="single" w:color="auto" w:sz="4" w:space="0"/>
            </w:tcBorders>
            <w:vAlign w:val="center"/>
          </w:tcPr>
          <w:p w14:paraId="13F4D6A1">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41447415">
            <w:pPr>
              <w:widowControl/>
              <w:jc w:val="center"/>
              <w:rPr>
                <w:rFonts w:ascii="Times New Roman" w:eastAsia="仿宋"/>
                <w:szCs w:val="21"/>
              </w:rPr>
            </w:pPr>
            <w:r>
              <w:rPr>
                <w:rFonts w:ascii="Times New Roman" w:eastAsia="仿宋"/>
                <w:szCs w:val="21"/>
              </w:rPr>
              <w:t>3#</w:t>
            </w:r>
            <w:r>
              <w:rPr>
                <w:rFonts w:hint="eastAsia" w:ascii="Times New Roman" w:eastAsia="仿宋"/>
                <w:szCs w:val="21"/>
              </w:rPr>
              <w:t>水洗槽</w:t>
            </w:r>
          </w:p>
        </w:tc>
        <w:tc>
          <w:tcPr>
            <w:tcW w:w="3176" w:type="dxa"/>
            <w:tcBorders>
              <w:top w:val="single" w:color="auto" w:sz="4" w:space="0"/>
              <w:left w:val="single" w:color="auto" w:sz="4" w:space="0"/>
              <w:bottom w:val="single" w:color="auto" w:sz="4" w:space="0"/>
              <w:right w:val="single" w:color="auto" w:sz="4" w:space="0"/>
            </w:tcBorders>
            <w:vAlign w:val="center"/>
          </w:tcPr>
          <w:p w14:paraId="6C113DB8">
            <w:pPr>
              <w:widowControl/>
              <w:jc w:val="center"/>
              <w:textAlignment w:val="center"/>
              <w:rPr>
                <w:rFonts w:ascii="Times New Roman" w:eastAsia="仿宋"/>
                <w:szCs w:val="24"/>
              </w:rPr>
            </w:pPr>
            <w:r>
              <w:rPr>
                <w:rFonts w:ascii="Times New Roman" w:eastAsia="仿宋"/>
                <w:szCs w:val="24"/>
              </w:rPr>
              <w:t>L2800</w:t>
            </w:r>
            <w:r>
              <w:rPr>
                <w:rFonts w:hint="eastAsia" w:ascii="Times New Roman" w:eastAsia="仿宋"/>
                <w:szCs w:val="24"/>
              </w:rPr>
              <w:t>×</w:t>
            </w:r>
            <w:r>
              <w:rPr>
                <w:rFonts w:ascii="Times New Roman" w:eastAsia="仿宋"/>
                <w:szCs w:val="24"/>
              </w:rPr>
              <w:t>W1000</w:t>
            </w:r>
            <w:r>
              <w:rPr>
                <w:rFonts w:hint="eastAsia" w:ascii="Times New Roman" w:eastAsia="仿宋"/>
                <w:szCs w:val="24"/>
              </w:rPr>
              <w:t>×</w:t>
            </w:r>
            <w:r>
              <w:rPr>
                <w:rFonts w:ascii="Times New Roman" w:eastAsia="仿宋"/>
                <w:szCs w:val="24"/>
              </w:rPr>
              <w:t>H970</w:t>
            </w:r>
            <w:r>
              <w:rPr>
                <w:rFonts w:hint="eastAsia" w:ascii="Times New Roman" w:eastAsia="仿宋"/>
                <w:szCs w:val="24"/>
              </w:rPr>
              <w:t>m</w:t>
            </w:r>
            <w:r>
              <w:rPr>
                <w:rFonts w:ascii="Times New Roman" w:eastAsia="仿宋"/>
                <w:szCs w:val="24"/>
              </w:rPr>
              <w:t>m</w:t>
            </w:r>
          </w:p>
        </w:tc>
        <w:tc>
          <w:tcPr>
            <w:tcW w:w="1335" w:type="dxa"/>
            <w:tcBorders>
              <w:top w:val="single" w:color="auto" w:sz="4" w:space="0"/>
              <w:left w:val="single" w:color="auto" w:sz="4" w:space="0"/>
              <w:bottom w:val="single" w:color="auto" w:sz="4" w:space="0"/>
              <w:right w:val="single" w:color="auto" w:sz="4" w:space="0"/>
            </w:tcBorders>
            <w:vAlign w:val="center"/>
          </w:tcPr>
          <w:p w14:paraId="41C351B0">
            <w:pPr>
              <w:widowControl/>
              <w:jc w:val="center"/>
              <w:rPr>
                <w:rFonts w:ascii="Times New Roman" w:eastAsia="仿宋"/>
                <w:szCs w:val="21"/>
              </w:rPr>
            </w:pPr>
            <w:r>
              <w:rPr>
                <w:rFonts w:hint="eastAsia" w:ascii="Times New Roman" w:eastAsia="仿宋"/>
                <w:szCs w:val="21"/>
              </w:rPr>
              <w:t>水洗3</w:t>
            </w:r>
          </w:p>
        </w:tc>
        <w:tc>
          <w:tcPr>
            <w:tcW w:w="707" w:type="dxa"/>
            <w:tcBorders>
              <w:top w:val="single" w:color="auto" w:sz="4" w:space="0"/>
              <w:left w:val="single" w:color="auto" w:sz="4" w:space="0"/>
              <w:bottom w:val="single" w:color="auto" w:sz="4" w:space="0"/>
              <w:right w:val="single" w:color="auto" w:sz="4" w:space="0"/>
            </w:tcBorders>
            <w:vAlign w:val="center"/>
          </w:tcPr>
          <w:p w14:paraId="426560A3">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3E78AE24">
            <w:pPr>
              <w:jc w:val="center"/>
              <w:rPr>
                <w:rFonts w:ascii="Times New Roman" w:eastAsia="仿宋"/>
                <w:szCs w:val="21"/>
              </w:rPr>
            </w:pPr>
          </w:p>
        </w:tc>
      </w:tr>
      <w:tr w14:paraId="2F9CF4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0E02622A">
            <w:pPr>
              <w:widowControl/>
              <w:jc w:val="center"/>
              <w:rPr>
                <w:rFonts w:ascii="Times New Roman" w:eastAsia="仿宋"/>
                <w:szCs w:val="21"/>
              </w:rPr>
            </w:pPr>
            <w:r>
              <w:rPr>
                <w:rFonts w:ascii="Times New Roman" w:eastAsia="仿宋"/>
                <w:szCs w:val="21"/>
              </w:rPr>
              <w:t>15</w:t>
            </w:r>
          </w:p>
        </w:tc>
        <w:tc>
          <w:tcPr>
            <w:tcW w:w="647" w:type="dxa"/>
            <w:vMerge w:val="continue"/>
            <w:tcBorders>
              <w:left w:val="single" w:color="auto" w:sz="4" w:space="0"/>
              <w:bottom w:val="single" w:color="auto" w:sz="4" w:space="0"/>
              <w:right w:val="single" w:color="auto" w:sz="4" w:space="0"/>
            </w:tcBorders>
            <w:vAlign w:val="center"/>
          </w:tcPr>
          <w:p w14:paraId="0B06F965">
            <w:pPr>
              <w:widowControl/>
              <w:jc w:val="center"/>
              <w:rPr>
                <w:rFonts w:ascii="Times New Roman" w:eastAsia="仿宋"/>
                <w:szCs w:val="21"/>
              </w:rPr>
            </w:pPr>
          </w:p>
        </w:tc>
        <w:tc>
          <w:tcPr>
            <w:tcW w:w="1182" w:type="dxa"/>
            <w:tcBorders>
              <w:left w:val="single" w:color="auto" w:sz="4" w:space="0"/>
              <w:bottom w:val="single" w:color="auto" w:sz="4" w:space="0"/>
              <w:right w:val="single" w:color="auto" w:sz="4" w:space="0"/>
            </w:tcBorders>
            <w:vAlign w:val="center"/>
          </w:tcPr>
          <w:p w14:paraId="3434A5BB">
            <w:pPr>
              <w:widowControl/>
              <w:jc w:val="center"/>
              <w:rPr>
                <w:rFonts w:ascii="Times New Roman" w:eastAsia="仿宋"/>
                <w:szCs w:val="21"/>
              </w:rPr>
            </w:pPr>
            <w:r>
              <w:rPr>
                <w:rFonts w:hint="eastAsia" w:ascii="Times New Roman" w:eastAsia="仿宋"/>
                <w:szCs w:val="21"/>
              </w:rPr>
              <w:t>烘干房</w:t>
            </w:r>
          </w:p>
        </w:tc>
        <w:tc>
          <w:tcPr>
            <w:tcW w:w="3176" w:type="dxa"/>
            <w:tcBorders>
              <w:top w:val="single" w:color="auto" w:sz="4" w:space="0"/>
              <w:left w:val="single" w:color="auto" w:sz="4" w:space="0"/>
              <w:bottom w:val="single" w:color="auto" w:sz="4" w:space="0"/>
              <w:right w:val="single" w:color="auto" w:sz="4" w:space="0"/>
            </w:tcBorders>
            <w:vAlign w:val="center"/>
          </w:tcPr>
          <w:p w14:paraId="14F76DE5">
            <w:pPr>
              <w:widowControl/>
              <w:jc w:val="center"/>
              <w:rPr>
                <w:rFonts w:ascii="Times New Roman" w:eastAsia="仿宋"/>
                <w:szCs w:val="21"/>
              </w:rPr>
            </w:pPr>
            <w:r>
              <w:rPr>
                <w:rFonts w:ascii="Times New Roman" w:eastAsia="仿宋"/>
                <w:szCs w:val="21"/>
              </w:rPr>
              <w:t>L27600</w:t>
            </w:r>
            <w:r>
              <w:rPr>
                <w:rFonts w:hint="eastAsia" w:ascii="Times New Roman" w:eastAsia="仿宋"/>
                <w:szCs w:val="21"/>
              </w:rPr>
              <w:t>×</w:t>
            </w:r>
            <w:r>
              <w:rPr>
                <w:rFonts w:ascii="Times New Roman" w:eastAsia="仿宋"/>
                <w:szCs w:val="21"/>
              </w:rPr>
              <w:t>W1620</w:t>
            </w:r>
            <w:r>
              <w:rPr>
                <w:rFonts w:hint="eastAsia" w:ascii="Times New Roman" w:eastAsia="仿宋"/>
                <w:szCs w:val="21"/>
              </w:rPr>
              <w:t>×</w:t>
            </w:r>
            <w:r>
              <w:rPr>
                <w:rFonts w:ascii="Times New Roman" w:eastAsia="仿宋"/>
                <w:szCs w:val="21"/>
              </w:rPr>
              <w:t>H4250mm</w:t>
            </w:r>
          </w:p>
        </w:tc>
        <w:tc>
          <w:tcPr>
            <w:tcW w:w="1335" w:type="dxa"/>
            <w:tcBorders>
              <w:top w:val="single" w:color="auto" w:sz="4" w:space="0"/>
              <w:left w:val="single" w:color="auto" w:sz="4" w:space="0"/>
              <w:bottom w:val="single" w:color="auto" w:sz="4" w:space="0"/>
              <w:right w:val="single" w:color="auto" w:sz="4" w:space="0"/>
            </w:tcBorders>
            <w:vAlign w:val="center"/>
          </w:tcPr>
          <w:p w14:paraId="01115EC7">
            <w:pPr>
              <w:widowControl/>
              <w:jc w:val="center"/>
              <w:rPr>
                <w:rFonts w:ascii="Times New Roman" w:eastAsia="仿宋"/>
                <w:szCs w:val="21"/>
              </w:rPr>
            </w:pPr>
            <w:r>
              <w:rPr>
                <w:rFonts w:hint="eastAsia" w:ascii="Times New Roman" w:eastAsia="仿宋"/>
                <w:szCs w:val="21"/>
              </w:rPr>
              <w:t>烘干</w:t>
            </w:r>
          </w:p>
        </w:tc>
        <w:tc>
          <w:tcPr>
            <w:tcW w:w="707" w:type="dxa"/>
            <w:tcBorders>
              <w:top w:val="single" w:color="auto" w:sz="4" w:space="0"/>
              <w:left w:val="single" w:color="auto" w:sz="4" w:space="0"/>
              <w:bottom w:val="single" w:color="auto" w:sz="4" w:space="0"/>
              <w:right w:val="single" w:color="auto" w:sz="4" w:space="0"/>
            </w:tcBorders>
            <w:vAlign w:val="center"/>
          </w:tcPr>
          <w:p w14:paraId="1ECE5A67">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48C6F8FA">
            <w:pPr>
              <w:widowControl/>
              <w:jc w:val="center"/>
              <w:rPr>
                <w:rFonts w:ascii="Times New Roman" w:eastAsia="仿宋"/>
                <w:szCs w:val="21"/>
              </w:rPr>
            </w:pPr>
          </w:p>
        </w:tc>
      </w:tr>
      <w:tr w14:paraId="76210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1D8869C1">
            <w:pPr>
              <w:widowControl/>
              <w:jc w:val="center"/>
              <w:rPr>
                <w:rFonts w:ascii="Times New Roman" w:eastAsia="仿宋"/>
                <w:szCs w:val="21"/>
              </w:rPr>
            </w:pPr>
            <w:r>
              <w:rPr>
                <w:rFonts w:hint="eastAsia" w:ascii="Times New Roman" w:eastAsia="仿宋"/>
                <w:szCs w:val="21"/>
              </w:rPr>
              <w:t>1</w:t>
            </w:r>
            <w:r>
              <w:rPr>
                <w:rFonts w:ascii="Times New Roman" w:eastAsia="仿宋"/>
                <w:szCs w:val="21"/>
              </w:rPr>
              <w:t>6</w:t>
            </w:r>
          </w:p>
        </w:tc>
        <w:tc>
          <w:tcPr>
            <w:tcW w:w="647" w:type="dxa"/>
            <w:vMerge w:val="restart"/>
            <w:tcBorders>
              <w:top w:val="single" w:color="auto" w:sz="4" w:space="0"/>
              <w:left w:val="single" w:color="auto" w:sz="4" w:space="0"/>
              <w:right w:val="single" w:color="auto" w:sz="4" w:space="0"/>
            </w:tcBorders>
            <w:vAlign w:val="center"/>
          </w:tcPr>
          <w:p w14:paraId="5AD6A3A3">
            <w:pPr>
              <w:widowControl/>
              <w:jc w:val="center"/>
              <w:rPr>
                <w:rFonts w:ascii="Times New Roman" w:eastAsia="仿宋"/>
                <w:szCs w:val="21"/>
              </w:rPr>
            </w:pPr>
            <w:r>
              <w:rPr>
                <w:rFonts w:hint="eastAsia" w:ascii="Times New Roman" w:eastAsia="仿宋"/>
                <w:szCs w:val="21"/>
              </w:rPr>
              <w:t>涂装线</w:t>
            </w:r>
          </w:p>
        </w:tc>
        <w:tc>
          <w:tcPr>
            <w:tcW w:w="1182" w:type="dxa"/>
            <w:tcBorders>
              <w:top w:val="single" w:color="auto" w:sz="4" w:space="0"/>
              <w:left w:val="single" w:color="auto" w:sz="4" w:space="0"/>
              <w:right w:val="single" w:color="auto" w:sz="4" w:space="0"/>
            </w:tcBorders>
            <w:vAlign w:val="center"/>
          </w:tcPr>
          <w:p w14:paraId="027974F3">
            <w:pPr>
              <w:widowControl/>
              <w:jc w:val="center"/>
              <w:rPr>
                <w:rFonts w:ascii="Times New Roman" w:eastAsia="仿宋"/>
                <w:szCs w:val="21"/>
              </w:rPr>
            </w:pPr>
            <w:r>
              <w:rPr>
                <w:rFonts w:hint="eastAsia" w:ascii="Times New Roman" w:eastAsia="仿宋"/>
                <w:szCs w:val="21"/>
              </w:rPr>
              <w:t>喷粉房</w:t>
            </w:r>
          </w:p>
        </w:tc>
        <w:tc>
          <w:tcPr>
            <w:tcW w:w="3176" w:type="dxa"/>
            <w:tcBorders>
              <w:top w:val="single" w:color="auto" w:sz="4" w:space="0"/>
              <w:left w:val="single" w:color="auto" w:sz="4" w:space="0"/>
              <w:bottom w:val="single" w:color="auto" w:sz="4" w:space="0"/>
              <w:right w:val="single" w:color="auto" w:sz="4" w:space="0"/>
            </w:tcBorders>
            <w:vAlign w:val="center"/>
          </w:tcPr>
          <w:p w14:paraId="21CAC5EA">
            <w:pPr>
              <w:widowControl/>
              <w:jc w:val="center"/>
              <w:textAlignment w:val="center"/>
              <w:rPr>
                <w:rFonts w:ascii="Times New Roman" w:eastAsia="仿宋"/>
                <w:szCs w:val="24"/>
              </w:rPr>
            </w:pPr>
            <w:r>
              <w:rPr>
                <w:rFonts w:ascii="Times New Roman" w:eastAsia="仿宋"/>
                <w:szCs w:val="24"/>
              </w:rPr>
              <w:t>L13650</w:t>
            </w:r>
            <w:r>
              <w:rPr>
                <w:rFonts w:hint="eastAsia" w:ascii="Times New Roman" w:eastAsia="仿宋"/>
                <w:szCs w:val="21"/>
              </w:rPr>
              <w:t>×</w:t>
            </w:r>
            <w:r>
              <w:rPr>
                <w:rFonts w:ascii="Times New Roman" w:eastAsia="仿宋"/>
                <w:szCs w:val="24"/>
              </w:rPr>
              <w:t>W8200</w:t>
            </w:r>
            <w:r>
              <w:rPr>
                <w:rFonts w:hint="eastAsia" w:ascii="Times New Roman" w:eastAsia="仿宋"/>
                <w:szCs w:val="21"/>
              </w:rPr>
              <w:t>×</w:t>
            </w:r>
            <w:r>
              <w:rPr>
                <w:rFonts w:ascii="Times New Roman" w:eastAsia="仿宋"/>
                <w:szCs w:val="24"/>
              </w:rPr>
              <w:t>H6500mm</w:t>
            </w:r>
          </w:p>
        </w:tc>
        <w:tc>
          <w:tcPr>
            <w:tcW w:w="1335" w:type="dxa"/>
            <w:tcBorders>
              <w:top w:val="single" w:color="auto" w:sz="4" w:space="0"/>
              <w:left w:val="single" w:color="auto" w:sz="4" w:space="0"/>
              <w:bottom w:val="single" w:color="auto" w:sz="4" w:space="0"/>
              <w:right w:val="single" w:color="auto" w:sz="4" w:space="0"/>
            </w:tcBorders>
            <w:vAlign w:val="center"/>
          </w:tcPr>
          <w:p w14:paraId="4FA19202">
            <w:pPr>
              <w:widowControl/>
              <w:jc w:val="center"/>
              <w:rPr>
                <w:rFonts w:ascii="Times New Roman" w:eastAsia="仿宋"/>
                <w:szCs w:val="21"/>
              </w:rPr>
            </w:pPr>
            <w:r>
              <w:rPr>
                <w:rFonts w:hint="eastAsia" w:ascii="Times New Roman" w:eastAsia="仿宋"/>
                <w:szCs w:val="21"/>
              </w:rPr>
              <w:t>喷粉</w:t>
            </w:r>
          </w:p>
        </w:tc>
        <w:tc>
          <w:tcPr>
            <w:tcW w:w="707" w:type="dxa"/>
            <w:tcBorders>
              <w:top w:val="single" w:color="auto" w:sz="4" w:space="0"/>
              <w:left w:val="single" w:color="auto" w:sz="4" w:space="0"/>
              <w:bottom w:val="single" w:color="auto" w:sz="4" w:space="0"/>
              <w:right w:val="single" w:color="auto" w:sz="4" w:space="0"/>
            </w:tcBorders>
            <w:vAlign w:val="center"/>
          </w:tcPr>
          <w:p w14:paraId="4B67C5B8">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18661024">
            <w:pPr>
              <w:widowControl/>
              <w:jc w:val="center"/>
              <w:rPr>
                <w:rFonts w:ascii="Times New Roman" w:eastAsia="仿宋"/>
                <w:szCs w:val="21"/>
              </w:rPr>
            </w:pPr>
          </w:p>
        </w:tc>
      </w:tr>
      <w:tr w14:paraId="092DAC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3D4B6CC1">
            <w:pPr>
              <w:widowControl/>
              <w:jc w:val="center"/>
              <w:rPr>
                <w:rFonts w:ascii="Times New Roman" w:eastAsia="仿宋"/>
                <w:szCs w:val="21"/>
              </w:rPr>
            </w:pPr>
            <w:r>
              <w:rPr>
                <w:rFonts w:ascii="Times New Roman" w:eastAsia="仿宋"/>
                <w:szCs w:val="21"/>
              </w:rPr>
              <w:t>17</w:t>
            </w:r>
          </w:p>
        </w:tc>
        <w:tc>
          <w:tcPr>
            <w:tcW w:w="647" w:type="dxa"/>
            <w:vMerge w:val="continue"/>
            <w:tcBorders>
              <w:top w:val="single" w:color="auto" w:sz="4" w:space="0"/>
              <w:left w:val="single" w:color="auto" w:sz="4" w:space="0"/>
              <w:right w:val="single" w:color="auto" w:sz="4" w:space="0"/>
            </w:tcBorders>
            <w:vAlign w:val="center"/>
          </w:tcPr>
          <w:p w14:paraId="37F1A7B3">
            <w:pPr>
              <w:widowControl/>
              <w:jc w:val="center"/>
              <w:rPr>
                <w:rFonts w:ascii="Times New Roman" w:eastAsia="仿宋"/>
                <w:szCs w:val="21"/>
              </w:rPr>
            </w:pPr>
          </w:p>
        </w:tc>
        <w:tc>
          <w:tcPr>
            <w:tcW w:w="1182" w:type="dxa"/>
            <w:tcBorders>
              <w:top w:val="single" w:color="auto" w:sz="4" w:space="0"/>
              <w:left w:val="single" w:color="auto" w:sz="4" w:space="0"/>
              <w:right w:val="single" w:color="auto" w:sz="4" w:space="0"/>
            </w:tcBorders>
            <w:vAlign w:val="center"/>
          </w:tcPr>
          <w:p w14:paraId="332F8D4C">
            <w:pPr>
              <w:widowControl/>
              <w:jc w:val="center"/>
              <w:rPr>
                <w:rFonts w:ascii="Times New Roman" w:eastAsia="仿宋"/>
                <w:szCs w:val="21"/>
              </w:rPr>
            </w:pPr>
            <w:r>
              <w:rPr>
                <w:rFonts w:hint="eastAsia" w:ascii="Times New Roman" w:eastAsia="仿宋"/>
                <w:szCs w:val="21"/>
              </w:rPr>
              <w:t>调漆间</w:t>
            </w:r>
          </w:p>
        </w:tc>
        <w:tc>
          <w:tcPr>
            <w:tcW w:w="3176" w:type="dxa"/>
            <w:tcBorders>
              <w:top w:val="single" w:color="auto" w:sz="4" w:space="0"/>
              <w:left w:val="single" w:color="auto" w:sz="4" w:space="0"/>
              <w:bottom w:val="single" w:color="auto" w:sz="4" w:space="0"/>
              <w:right w:val="single" w:color="auto" w:sz="4" w:space="0"/>
            </w:tcBorders>
            <w:vAlign w:val="center"/>
          </w:tcPr>
          <w:p w14:paraId="32D0397E">
            <w:pPr>
              <w:widowControl/>
              <w:jc w:val="center"/>
              <w:textAlignment w:val="center"/>
              <w:rPr>
                <w:rFonts w:ascii="Times New Roman" w:eastAsia="仿宋"/>
                <w:szCs w:val="24"/>
              </w:rPr>
            </w:pPr>
            <w:r>
              <w:rPr>
                <w:rFonts w:ascii="Times New Roman" w:eastAsia="仿宋"/>
                <w:szCs w:val="24"/>
              </w:rPr>
              <w:t>L5000</w:t>
            </w:r>
            <w:r>
              <w:rPr>
                <w:rFonts w:hint="eastAsia" w:ascii="Times New Roman" w:eastAsia="仿宋"/>
                <w:szCs w:val="21"/>
              </w:rPr>
              <w:t>×</w:t>
            </w:r>
            <w:r>
              <w:rPr>
                <w:rFonts w:ascii="Times New Roman" w:eastAsia="仿宋"/>
                <w:szCs w:val="24"/>
              </w:rPr>
              <w:t>W8000</w:t>
            </w:r>
            <w:r>
              <w:rPr>
                <w:rFonts w:hint="eastAsia" w:ascii="Times New Roman" w:eastAsia="仿宋"/>
                <w:szCs w:val="21"/>
              </w:rPr>
              <w:t>×</w:t>
            </w:r>
            <w:r>
              <w:rPr>
                <w:rFonts w:ascii="Times New Roman" w:eastAsia="仿宋"/>
                <w:szCs w:val="24"/>
              </w:rPr>
              <w:t>H5630mm</w:t>
            </w:r>
          </w:p>
        </w:tc>
        <w:tc>
          <w:tcPr>
            <w:tcW w:w="1335" w:type="dxa"/>
            <w:tcBorders>
              <w:top w:val="single" w:color="auto" w:sz="4" w:space="0"/>
              <w:left w:val="single" w:color="auto" w:sz="4" w:space="0"/>
              <w:bottom w:val="single" w:color="auto" w:sz="4" w:space="0"/>
              <w:right w:val="single" w:color="auto" w:sz="4" w:space="0"/>
            </w:tcBorders>
            <w:vAlign w:val="center"/>
          </w:tcPr>
          <w:p w14:paraId="3965612E">
            <w:pPr>
              <w:widowControl/>
              <w:jc w:val="center"/>
              <w:rPr>
                <w:rFonts w:ascii="Times New Roman" w:eastAsia="仿宋"/>
                <w:szCs w:val="21"/>
              </w:rPr>
            </w:pPr>
            <w:r>
              <w:rPr>
                <w:rFonts w:hint="eastAsia" w:ascii="Times New Roman" w:eastAsia="仿宋"/>
                <w:szCs w:val="21"/>
              </w:rPr>
              <w:t>调漆</w:t>
            </w:r>
          </w:p>
        </w:tc>
        <w:tc>
          <w:tcPr>
            <w:tcW w:w="707" w:type="dxa"/>
            <w:tcBorders>
              <w:top w:val="single" w:color="auto" w:sz="4" w:space="0"/>
              <w:left w:val="single" w:color="auto" w:sz="4" w:space="0"/>
              <w:bottom w:val="single" w:color="auto" w:sz="4" w:space="0"/>
              <w:right w:val="single" w:color="auto" w:sz="4" w:space="0"/>
            </w:tcBorders>
            <w:vAlign w:val="center"/>
          </w:tcPr>
          <w:p w14:paraId="2F5F2D78">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02510CB1">
            <w:pPr>
              <w:widowControl/>
              <w:jc w:val="center"/>
              <w:rPr>
                <w:rFonts w:ascii="Times New Roman" w:eastAsia="仿宋"/>
                <w:szCs w:val="21"/>
              </w:rPr>
            </w:pPr>
          </w:p>
        </w:tc>
      </w:tr>
      <w:tr w14:paraId="332F5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27E64289">
            <w:pPr>
              <w:widowControl/>
              <w:jc w:val="center"/>
              <w:rPr>
                <w:rFonts w:ascii="Times New Roman" w:eastAsia="仿宋"/>
                <w:szCs w:val="21"/>
              </w:rPr>
            </w:pPr>
            <w:r>
              <w:rPr>
                <w:rFonts w:ascii="Times New Roman" w:eastAsia="仿宋"/>
                <w:szCs w:val="21"/>
              </w:rPr>
              <w:t>18</w:t>
            </w:r>
          </w:p>
        </w:tc>
        <w:tc>
          <w:tcPr>
            <w:tcW w:w="647" w:type="dxa"/>
            <w:vMerge w:val="continue"/>
            <w:tcBorders>
              <w:left w:val="single" w:color="auto" w:sz="4" w:space="0"/>
              <w:right w:val="single" w:color="auto" w:sz="4" w:space="0"/>
            </w:tcBorders>
            <w:vAlign w:val="center"/>
          </w:tcPr>
          <w:p w14:paraId="427D7C79">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351BDC35">
            <w:pPr>
              <w:widowControl/>
              <w:jc w:val="center"/>
              <w:rPr>
                <w:rFonts w:ascii="Times New Roman" w:eastAsia="仿宋"/>
                <w:szCs w:val="21"/>
              </w:rPr>
            </w:pPr>
            <w:r>
              <w:rPr>
                <w:rFonts w:hint="eastAsia" w:ascii="Times New Roman" w:eastAsia="仿宋"/>
                <w:szCs w:val="21"/>
              </w:rPr>
              <w:t>底漆正面喷房</w:t>
            </w:r>
            <w:r>
              <w:rPr>
                <w:rFonts w:ascii="Times New Roman" w:eastAsia="仿宋"/>
                <w:szCs w:val="21"/>
              </w:rPr>
              <w:t>1#</w:t>
            </w:r>
          </w:p>
        </w:tc>
        <w:tc>
          <w:tcPr>
            <w:tcW w:w="3176" w:type="dxa"/>
            <w:tcBorders>
              <w:top w:val="single" w:color="auto" w:sz="4" w:space="0"/>
              <w:left w:val="single" w:color="auto" w:sz="4" w:space="0"/>
              <w:bottom w:val="single" w:color="auto" w:sz="4" w:space="0"/>
              <w:right w:val="single" w:color="auto" w:sz="4" w:space="0"/>
            </w:tcBorders>
            <w:vAlign w:val="center"/>
          </w:tcPr>
          <w:p w14:paraId="2678DDB0">
            <w:pPr>
              <w:widowControl/>
              <w:jc w:val="center"/>
              <w:textAlignment w:val="center"/>
              <w:rPr>
                <w:rFonts w:ascii="Times New Roman" w:eastAsia="仿宋"/>
                <w:szCs w:val="24"/>
              </w:rPr>
            </w:pPr>
            <w:r>
              <w:rPr>
                <w:rFonts w:ascii="Times New Roman" w:eastAsia="仿宋"/>
                <w:szCs w:val="24"/>
              </w:rPr>
              <w:t>L5500</w:t>
            </w:r>
            <w:r>
              <w:rPr>
                <w:rFonts w:hint="eastAsia" w:ascii="Times New Roman" w:eastAsia="仿宋"/>
                <w:szCs w:val="24"/>
              </w:rPr>
              <w:t>×</w:t>
            </w:r>
            <w:r>
              <w:rPr>
                <w:rFonts w:ascii="Times New Roman" w:eastAsia="仿宋"/>
                <w:szCs w:val="24"/>
              </w:rPr>
              <w:t>W5200</w:t>
            </w:r>
            <w:r>
              <w:rPr>
                <w:rFonts w:hint="eastAsia" w:ascii="Times New Roman" w:eastAsia="仿宋"/>
                <w:szCs w:val="24"/>
              </w:rPr>
              <w:t>×</w:t>
            </w:r>
            <w:r>
              <w:rPr>
                <w:rFonts w:ascii="Times New Roman" w:eastAsia="仿宋"/>
                <w:szCs w:val="24"/>
              </w:rPr>
              <w:t>H5630mm</w:t>
            </w:r>
          </w:p>
        </w:tc>
        <w:tc>
          <w:tcPr>
            <w:tcW w:w="1335" w:type="dxa"/>
            <w:vMerge w:val="restart"/>
            <w:tcBorders>
              <w:top w:val="single" w:color="auto" w:sz="4" w:space="0"/>
              <w:left w:val="single" w:color="auto" w:sz="4" w:space="0"/>
              <w:right w:val="single" w:color="auto" w:sz="4" w:space="0"/>
            </w:tcBorders>
            <w:vAlign w:val="center"/>
          </w:tcPr>
          <w:p w14:paraId="4B7CE3DE">
            <w:pPr>
              <w:widowControl/>
              <w:jc w:val="center"/>
              <w:rPr>
                <w:rFonts w:ascii="Times New Roman" w:eastAsia="仿宋"/>
                <w:szCs w:val="21"/>
              </w:rPr>
            </w:pPr>
            <w:r>
              <w:rPr>
                <w:rFonts w:hint="eastAsia" w:ascii="Times New Roman" w:eastAsia="仿宋"/>
                <w:szCs w:val="21"/>
              </w:rPr>
              <w:t>喷漆</w:t>
            </w:r>
          </w:p>
        </w:tc>
        <w:tc>
          <w:tcPr>
            <w:tcW w:w="707" w:type="dxa"/>
            <w:tcBorders>
              <w:top w:val="single" w:color="auto" w:sz="4" w:space="0"/>
              <w:left w:val="single" w:color="auto" w:sz="4" w:space="0"/>
              <w:bottom w:val="single" w:color="auto" w:sz="4" w:space="0"/>
              <w:right w:val="single" w:color="auto" w:sz="4" w:space="0"/>
            </w:tcBorders>
            <w:vAlign w:val="center"/>
          </w:tcPr>
          <w:p w14:paraId="0CE9E1FF">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1B05807E">
            <w:pPr>
              <w:widowControl/>
              <w:jc w:val="center"/>
              <w:rPr>
                <w:rFonts w:ascii="Times New Roman" w:eastAsia="仿宋"/>
                <w:szCs w:val="21"/>
              </w:rPr>
            </w:pPr>
          </w:p>
        </w:tc>
      </w:tr>
      <w:tr w14:paraId="5C134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5A302A35">
            <w:pPr>
              <w:widowControl/>
              <w:jc w:val="center"/>
              <w:rPr>
                <w:rFonts w:ascii="Times New Roman" w:eastAsia="仿宋"/>
                <w:szCs w:val="21"/>
              </w:rPr>
            </w:pPr>
            <w:r>
              <w:rPr>
                <w:rFonts w:ascii="Times New Roman" w:eastAsia="仿宋"/>
                <w:szCs w:val="21"/>
              </w:rPr>
              <w:t>19</w:t>
            </w:r>
          </w:p>
        </w:tc>
        <w:tc>
          <w:tcPr>
            <w:tcW w:w="647" w:type="dxa"/>
            <w:vMerge w:val="continue"/>
            <w:tcBorders>
              <w:left w:val="single" w:color="auto" w:sz="4" w:space="0"/>
              <w:right w:val="single" w:color="auto" w:sz="4" w:space="0"/>
            </w:tcBorders>
            <w:vAlign w:val="center"/>
          </w:tcPr>
          <w:p w14:paraId="5CEB9E0F">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04C7C68A">
            <w:pPr>
              <w:widowControl/>
              <w:jc w:val="center"/>
              <w:rPr>
                <w:rFonts w:ascii="Times New Roman" w:eastAsia="仿宋"/>
                <w:szCs w:val="21"/>
              </w:rPr>
            </w:pPr>
            <w:r>
              <w:rPr>
                <w:rFonts w:hint="eastAsia" w:ascii="Times New Roman" w:eastAsia="仿宋"/>
                <w:szCs w:val="21"/>
              </w:rPr>
              <w:t>底漆反面喷房</w:t>
            </w:r>
            <w:r>
              <w:rPr>
                <w:rFonts w:ascii="Times New Roman" w:eastAsia="仿宋"/>
                <w:szCs w:val="21"/>
              </w:rPr>
              <w:t>2#</w:t>
            </w:r>
          </w:p>
        </w:tc>
        <w:tc>
          <w:tcPr>
            <w:tcW w:w="3176" w:type="dxa"/>
            <w:tcBorders>
              <w:top w:val="single" w:color="auto" w:sz="4" w:space="0"/>
              <w:left w:val="single" w:color="auto" w:sz="4" w:space="0"/>
              <w:bottom w:val="single" w:color="auto" w:sz="4" w:space="0"/>
              <w:right w:val="single" w:color="auto" w:sz="4" w:space="0"/>
            </w:tcBorders>
            <w:vAlign w:val="center"/>
          </w:tcPr>
          <w:p w14:paraId="57301F52">
            <w:pPr>
              <w:widowControl/>
              <w:jc w:val="center"/>
              <w:textAlignment w:val="center"/>
              <w:rPr>
                <w:rFonts w:ascii="Times New Roman" w:eastAsia="仿宋"/>
                <w:szCs w:val="24"/>
              </w:rPr>
            </w:pPr>
            <w:r>
              <w:rPr>
                <w:rFonts w:ascii="Times New Roman" w:eastAsia="仿宋"/>
                <w:szCs w:val="24"/>
              </w:rPr>
              <w:t>L4500</w:t>
            </w:r>
            <w:r>
              <w:rPr>
                <w:rFonts w:hint="eastAsia" w:ascii="Times New Roman" w:eastAsia="仿宋"/>
                <w:szCs w:val="24"/>
              </w:rPr>
              <w:t>×</w:t>
            </w:r>
            <w:r>
              <w:rPr>
                <w:rFonts w:ascii="Times New Roman" w:eastAsia="仿宋"/>
                <w:szCs w:val="24"/>
              </w:rPr>
              <w:t>W5200</w:t>
            </w:r>
            <w:r>
              <w:rPr>
                <w:rFonts w:hint="eastAsia" w:ascii="Times New Roman" w:eastAsia="仿宋"/>
                <w:szCs w:val="24"/>
              </w:rPr>
              <w:t>×</w:t>
            </w:r>
            <w:r>
              <w:rPr>
                <w:rFonts w:ascii="Times New Roman" w:eastAsia="仿宋"/>
                <w:szCs w:val="24"/>
              </w:rPr>
              <w:t>H5630mm</w:t>
            </w:r>
          </w:p>
        </w:tc>
        <w:tc>
          <w:tcPr>
            <w:tcW w:w="1335" w:type="dxa"/>
            <w:vMerge w:val="continue"/>
            <w:tcBorders>
              <w:left w:val="single" w:color="auto" w:sz="4" w:space="0"/>
              <w:bottom w:val="single" w:color="auto" w:sz="4" w:space="0"/>
              <w:right w:val="single" w:color="auto" w:sz="4" w:space="0"/>
            </w:tcBorders>
            <w:vAlign w:val="center"/>
          </w:tcPr>
          <w:p w14:paraId="7F0D5EA1">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1169361A">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79B430F5">
            <w:pPr>
              <w:widowControl/>
              <w:jc w:val="center"/>
              <w:rPr>
                <w:rFonts w:ascii="Times New Roman" w:eastAsia="仿宋"/>
                <w:szCs w:val="21"/>
              </w:rPr>
            </w:pPr>
          </w:p>
        </w:tc>
      </w:tr>
      <w:tr w14:paraId="5441E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73753398">
            <w:pPr>
              <w:widowControl/>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647" w:type="dxa"/>
            <w:vMerge w:val="continue"/>
            <w:tcBorders>
              <w:left w:val="single" w:color="auto" w:sz="4" w:space="0"/>
              <w:right w:val="single" w:color="auto" w:sz="4" w:space="0"/>
            </w:tcBorders>
            <w:vAlign w:val="center"/>
          </w:tcPr>
          <w:p w14:paraId="12C01A23">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1080E882">
            <w:pPr>
              <w:widowControl/>
              <w:jc w:val="center"/>
              <w:rPr>
                <w:rFonts w:ascii="Times New Roman" w:eastAsia="仿宋"/>
                <w:szCs w:val="21"/>
              </w:rPr>
            </w:pPr>
            <w:r>
              <w:rPr>
                <w:rFonts w:hint="eastAsia" w:ascii="Times New Roman" w:eastAsia="仿宋"/>
                <w:szCs w:val="21"/>
              </w:rPr>
              <w:t>底漆流平室</w:t>
            </w:r>
          </w:p>
        </w:tc>
        <w:tc>
          <w:tcPr>
            <w:tcW w:w="3176" w:type="dxa"/>
            <w:tcBorders>
              <w:top w:val="single" w:color="auto" w:sz="4" w:space="0"/>
              <w:left w:val="single" w:color="auto" w:sz="4" w:space="0"/>
              <w:bottom w:val="single" w:color="auto" w:sz="4" w:space="0"/>
              <w:right w:val="single" w:color="auto" w:sz="4" w:space="0"/>
            </w:tcBorders>
            <w:vAlign w:val="center"/>
          </w:tcPr>
          <w:p w14:paraId="46954747">
            <w:pPr>
              <w:widowControl/>
              <w:jc w:val="center"/>
              <w:textAlignment w:val="center"/>
              <w:rPr>
                <w:rFonts w:ascii="Times New Roman" w:eastAsia="仿宋"/>
                <w:szCs w:val="24"/>
              </w:rPr>
            </w:pPr>
            <w:r>
              <w:rPr>
                <w:rFonts w:ascii="Times New Roman" w:eastAsia="仿宋"/>
                <w:szCs w:val="24"/>
              </w:rPr>
              <w:t>L6400</w:t>
            </w:r>
            <w:r>
              <w:rPr>
                <w:rFonts w:hint="eastAsia" w:ascii="Times New Roman" w:eastAsia="仿宋"/>
                <w:szCs w:val="24"/>
              </w:rPr>
              <w:t>×</w:t>
            </w:r>
            <w:r>
              <w:rPr>
                <w:rFonts w:ascii="Times New Roman" w:eastAsia="仿宋"/>
                <w:szCs w:val="24"/>
              </w:rPr>
              <w:t>W3000</w:t>
            </w:r>
            <w:r>
              <w:rPr>
                <w:rFonts w:hint="eastAsia" w:ascii="Times New Roman" w:eastAsia="仿宋"/>
                <w:szCs w:val="24"/>
              </w:rPr>
              <w:t>×</w:t>
            </w:r>
            <w:r>
              <w:rPr>
                <w:rFonts w:ascii="Times New Roman" w:eastAsia="仿宋"/>
                <w:szCs w:val="24"/>
              </w:rPr>
              <w:t>4500mm</w:t>
            </w:r>
          </w:p>
        </w:tc>
        <w:tc>
          <w:tcPr>
            <w:tcW w:w="1335" w:type="dxa"/>
            <w:tcBorders>
              <w:top w:val="single" w:color="auto" w:sz="4" w:space="0"/>
              <w:left w:val="single" w:color="auto" w:sz="4" w:space="0"/>
              <w:bottom w:val="single" w:color="auto" w:sz="4" w:space="0"/>
              <w:right w:val="single" w:color="auto" w:sz="4" w:space="0"/>
            </w:tcBorders>
            <w:vAlign w:val="center"/>
          </w:tcPr>
          <w:p w14:paraId="443C289A">
            <w:pPr>
              <w:widowControl/>
              <w:jc w:val="center"/>
              <w:rPr>
                <w:rFonts w:ascii="Times New Roman" w:eastAsia="仿宋"/>
                <w:szCs w:val="21"/>
              </w:rPr>
            </w:pPr>
            <w:r>
              <w:rPr>
                <w:rFonts w:hint="eastAsia" w:ascii="Times New Roman" w:eastAsia="仿宋"/>
                <w:szCs w:val="21"/>
              </w:rPr>
              <w:t>流平</w:t>
            </w:r>
          </w:p>
        </w:tc>
        <w:tc>
          <w:tcPr>
            <w:tcW w:w="707" w:type="dxa"/>
            <w:tcBorders>
              <w:top w:val="single" w:color="auto" w:sz="4" w:space="0"/>
              <w:left w:val="single" w:color="auto" w:sz="4" w:space="0"/>
              <w:bottom w:val="single" w:color="auto" w:sz="4" w:space="0"/>
              <w:right w:val="single" w:color="auto" w:sz="4" w:space="0"/>
            </w:tcBorders>
            <w:vAlign w:val="center"/>
          </w:tcPr>
          <w:p w14:paraId="17D2D3DC">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4514E5F9">
            <w:pPr>
              <w:widowControl/>
              <w:jc w:val="center"/>
              <w:rPr>
                <w:rFonts w:ascii="Times New Roman" w:eastAsia="仿宋"/>
                <w:szCs w:val="21"/>
              </w:rPr>
            </w:pPr>
          </w:p>
        </w:tc>
      </w:tr>
      <w:tr w14:paraId="6440F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2F41D422">
            <w:pPr>
              <w:widowControl/>
              <w:jc w:val="center"/>
              <w:rPr>
                <w:rFonts w:ascii="Times New Roman" w:eastAsia="仿宋"/>
                <w:szCs w:val="21"/>
              </w:rPr>
            </w:pPr>
            <w:r>
              <w:rPr>
                <w:rFonts w:hint="eastAsia" w:ascii="Times New Roman" w:eastAsia="仿宋"/>
                <w:szCs w:val="21"/>
              </w:rPr>
              <w:t>2</w:t>
            </w:r>
            <w:r>
              <w:rPr>
                <w:rFonts w:ascii="Times New Roman" w:eastAsia="仿宋"/>
                <w:szCs w:val="21"/>
              </w:rPr>
              <w:t>1</w:t>
            </w:r>
          </w:p>
        </w:tc>
        <w:tc>
          <w:tcPr>
            <w:tcW w:w="647" w:type="dxa"/>
            <w:vMerge w:val="continue"/>
            <w:tcBorders>
              <w:left w:val="single" w:color="auto" w:sz="4" w:space="0"/>
              <w:right w:val="single" w:color="auto" w:sz="4" w:space="0"/>
            </w:tcBorders>
            <w:vAlign w:val="center"/>
          </w:tcPr>
          <w:p w14:paraId="08A1CD8A">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165733BE">
            <w:pPr>
              <w:widowControl/>
              <w:jc w:val="center"/>
              <w:rPr>
                <w:rFonts w:ascii="Times New Roman" w:eastAsia="仿宋"/>
                <w:szCs w:val="21"/>
              </w:rPr>
            </w:pPr>
            <w:r>
              <w:rPr>
                <w:rFonts w:hint="eastAsia" w:ascii="Times New Roman" w:eastAsia="仿宋"/>
                <w:szCs w:val="21"/>
              </w:rPr>
              <w:t>面漆正面喷房</w:t>
            </w:r>
            <w:r>
              <w:rPr>
                <w:rFonts w:ascii="Times New Roman" w:eastAsia="仿宋"/>
                <w:szCs w:val="21"/>
              </w:rPr>
              <w:t>1#</w:t>
            </w:r>
          </w:p>
        </w:tc>
        <w:tc>
          <w:tcPr>
            <w:tcW w:w="3176" w:type="dxa"/>
            <w:tcBorders>
              <w:top w:val="single" w:color="auto" w:sz="4" w:space="0"/>
              <w:left w:val="single" w:color="auto" w:sz="4" w:space="0"/>
              <w:bottom w:val="single" w:color="auto" w:sz="4" w:space="0"/>
              <w:right w:val="single" w:color="auto" w:sz="4" w:space="0"/>
            </w:tcBorders>
            <w:vAlign w:val="center"/>
          </w:tcPr>
          <w:p w14:paraId="425CAB55">
            <w:pPr>
              <w:widowControl/>
              <w:jc w:val="center"/>
              <w:textAlignment w:val="center"/>
              <w:rPr>
                <w:rFonts w:ascii="Times New Roman" w:eastAsia="仿宋"/>
                <w:szCs w:val="24"/>
              </w:rPr>
            </w:pPr>
            <w:r>
              <w:rPr>
                <w:rFonts w:ascii="Times New Roman" w:eastAsia="仿宋"/>
                <w:szCs w:val="24"/>
              </w:rPr>
              <w:t>L6500</w:t>
            </w:r>
            <w:r>
              <w:rPr>
                <w:rFonts w:hint="eastAsia" w:ascii="Times New Roman" w:eastAsia="仿宋"/>
                <w:szCs w:val="24"/>
              </w:rPr>
              <w:t>×</w:t>
            </w:r>
            <w:r>
              <w:rPr>
                <w:rFonts w:ascii="Times New Roman" w:eastAsia="仿宋"/>
                <w:szCs w:val="24"/>
              </w:rPr>
              <w:t>W5200</w:t>
            </w:r>
            <w:r>
              <w:rPr>
                <w:rFonts w:hint="eastAsia" w:ascii="Times New Roman" w:eastAsia="仿宋"/>
                <w:szCs w:val="24"/>
              </w:rPr>
              <w:t>×</w:t>
            </w:r>
            <w:r>
              <w:rPr>
                <w:rFonts w:ascii="Times New Roman" w:eastAsia="仿宋"/>
                <w:szCs w:val="24"/>
              </w:rPr>
              <w:t>H5630mm</w:t>
            </w:r>
          </w:p>
        </w:tc>
        <w:tc>
          <w:tcPr>
            <w:tcW w:w="1335" w:type="dxa"/>
            <w:vMerge w:val="restart"/>
            <w:tcBorders>
              <w:top w:val="single" w:color="auto" w:sz="4" w:space="0"/>
              <w:left w:val="single" w:color="auto" w:sz="4" w:space="0"/>
              <w:right w:val="single" w:color="auto" w:sz="4" w:space="0"/>
            </w:tcBorders>
            <w:vAlign w:val="center"/>
          </w:tcPr>
          <w:p w14:paraId="03CCA16F">
            <w:pPr>
              <w:widowControl/>
              <w:jc w:val="center"/>
              <w:rPr>
                <w:rFonts w:ascii="Times New Roman" w:eastAsia="仿宋"/>
                <w:szCs w:val="21"/>
              </w:rPr>
            </w:pPr>
            <w:r>
              <w:rPr>
                <w:rFonts w:hint="eastAsia" w:ascii="Times New Roman" w:eastAsia="仿宋"/>
                <w:szCs w:val="21"/>
              </w:rPr>
              <w:t>喷漆</w:t>
            </w:r>
          </w:p>
        </w:tc>
        <w:tc>
          <w:tcPr>
            <w:tcW w:w="707" w:type="dxa"/>
            <w:tcBorders>
              <w:top w:val="single" w:color="auto" w:sz="4" w:space="0"/>
              <w:left w:val="single" w:color="auto" w:sz="4" w:space="0"/>
              <w:bottom w:val="single" w:color="auto" w:sz="4" w:space="0"/>
              <w:right w:val="single" w:color="auto" w:sz="4" w:space="0"/>
            </w:tcBorders>
            <w:vAlign w:val="center"/>
          </w:tcPr>
          <w:p w14:paraId="337E5CB3">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28311FD9">
            <w:pPr>
              <w:widowControl/>
              <w:jc w:val="center"/>
              <w:rPr>
                <w:rFonts w:ascii="Times New Roman" w:eastAsia="仿宋"/>
                <w:szCs w:val="21"/>
              </w:rPr>
            </w:pPr>
          </w:p>
        </w:tc>
      </w:tr>
      <w:tr w14:paraId="17A5A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1B32E786">
            <w:pPr>
              <w:widowControl/>
              <w:jc w:val="center"/>
              <w:rPr>
                <w:rFonts w:ascii="Times New Roman" w:eastAsia="仿宋"/>
                <w:szCs w:val="21"/>
              </w:rPr>
            </w:pPr>
            <w:r>
              <w:rPr>
                <w:rFonts w:hint="eastAsia" w:ascii="Times New Roman" w:eastAsia="仿宋"/>
                <w:szCs w:val="21"/>
              </w:rPr>
              <w:t>2</w:t>
            </w:r>
            <w:r>
              <w:rPr>
                <w:rFonts w:ascii="Times New Roman" w:eastAsia="仿宋"/>
                <w:szCs w:val="21"/>
              </w:rPr>
              <w:t>2</w:t>
            </w:r>
          </w:p>
        </w:tc>
        <w:tc>
          <w:tcPr>
            <w:tcW w:w="647" w:type="dxa"/>
            <w:vMerge w:val="continue"/>
            <w:tcBorders>
              <w:left w:val="single" w:color="auto" w:sz="4" w:space="0"/>
              <w:right w:val="single" w:color="auto" w:sz="4" w:space="0"/>
            </w:tcBorders>
            <w:vAlign w:val="center"/>
          </w:tcPr>
          <w:p w14:paraId="09E59D4E">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4FFCB3FD">
            <w:pPr>
              <w:widowControl/>
              <w:jc w:val="center"/>
              <w:rPr>
                <w:rFonts w:ascii="Times New Roman" w:eastAsia="仿宋"/>
                <w:szCs w:val="21"/>
              </w:rPr>
            </w:pPr>
            <w:r>
              <w:rPr>
                <w:rFonts w:hint="eastAsia" w:ascii="Times New Roman" w:eastAsia="仿宋"/>
                <w:szCs w:val="21"/>
              </w:rPr>
              <w:t>面漆反面喷房</w:t>
            </w:r>
            <w:r>
              <w:rPr>
                <w:rFonts w:ascii="Times New Roman" w:eastAsia="仿宋"/>
                <w:szCs w:val="21"/>
              </w:rPr>
              <w:t>2#</w:t>
            </w:r>
          </w:p>
        </w:tc>
        <w:tc>
          <w:tcPr>
            <w:tcW w:w="3176" w:type="dxa"/>
            <w:tcBorders>
              <w:top w:val="single" w:color="auto" w:sz="4" w:space="0"/>
              <w:left w:val="single" w:color="auto" w:sz="4" w:space="0"/>
              <w:bottom w:val="single" w:color="auto" w:sz="4" w:space="0"/>
              <w:right w:val="single" w:color="auto" w:sz="4" w:space="0"/>
            </w:tcBorders>
            <w:vAlign w:val="center"/>
          </w:tcPr>
          <w:p w14:paraId="324DAF61">
            <w:pPr>
              <w:widowControl/>
              <w:jc w:val="center"/>
              <w:textAlignment w:val="center"/>
              <w:rPr>
                <w:rFonts w:ascii="Times New Roman" w:eastAsia="仿宋"/>
                <w:szCs w:val="24"/>
              </w:rPr>
            </w:pPr>
            <w:r>
              <w:rPr>
                <w:rFonts w:ascii="Times New Roman" w:eastAsia="仿宋"/>
                <w:szCs w:val="24"/>
              </w:rPr>
              <w:t>L5000</w:t>
            </w:r>
            <w:r>
              <w:rPr>
                <w:rFonts w:hint="eastAsia" w:ascii="Times New Roman" w:eastAsia="仿宋"/>
                <w:szCs w:val="24"/>
              </w:rPr>
              <w:t>×</w:t>
            </w:r>
            <w:r>
              <w:rPr>
                <w:rFonts w:ascii="Times New Roman" w:eastAsia="仿宋"/>
                <w:szCs w:val="24"/>
              </w:rPr>
              <w:t>W5200</w:t>
            </w:r>
            <w:r>
              <w:rPr>
                <w:rFonts w:hint="eastAsia" w:ascii="Times New Roman" w:eastAsia="仿宋"/>
                <w:szCs w:val="24"/>
              </w:rPr>
              <w:t>×</w:t>
            </w:r>
            <w:r>
              <w:rPr>
                <w:rFonts w:ascii="Times New Roman" w:eastAsia="仿宋"/>
                <w:szCs w:val="24"/>
              </w:rPr>
              <w:t>H5630mm</w:t>
            </w:r>
          </w:p>
        </w:tc>
        <w:tc>
          <w:tcPr>
            <w:tcW w:w="1335" w:type="dxa"/>
            <w:vMerge w:val="continue"/>
            <w:tcBorders>
              <w:left w:val="single" w:color="auto" w:sz="4" w:space="0"/>
              <w:bottom w:val="single" w:color="auto" w:sz="4" w:space="0"/>
              <w:right w:val="single" w:color="auto" w:sz="4" w:space="0"/>
            </w:tcBorders>
            <w:vAlign w:val="center"/>
          </w:tcPr>
          <w:p w14:paraId="7ED1659B">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5D309190">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7AF5F648">
            <w:pPr>
              <w:widowControl/>
              <w:jc w:val="center"/>
              <w:rPr>
                <w:rFonts w:ascii="Times New Roman" w:eastAsia="仿宋"/>
                <w:szCs w:val="21"/>
              </w:rPr>
            </w:pPr>
          </w:p>
        </w:tc>
      </w:tr>
      <w:tr w14:paraId="7FB22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56" w:type="dxa"/>
            <w:tcBorders>
              <w:top w:val="single" w:color="auto" w:sz="4" w:space="0"/>
              <w:left w:val="single" w:color="auto" w:sz="4" w:space="0"/>
              <w:right w:val="single" w:color="auto" w:sz="4" w:space="0"/>
            </w:tcBorders>
            <w:vAlign w:val="center"/>
          </w:tcPr>
          <w:p w14:paraId="47E3ED27">
            <w:pPr>
              <w:widowControl/>
              <w:jc w:val="center"/>
              <w:rPr>
                <w:rFonts w:ascii="Times New Roman" w:eastAsia="仿宋"/>
                <w:szCs w:val="21"/>
              </w:rPr>
            </w:pPr>
            <w:r>
              <w:rPr>
                <w:rFonts w:ascii="Times New Roman" w:eastAsia="仿宋"/>
                <w:szCs w:val="21"/>
              </w:rPr>
              <w:t>23</w:t>
            </w:r>
          </w:p>
        </w:tc>
        <w:tc>
          <w:tcPr>
            <w:tcW w:w="647" w:type="dxa"/>
            <w:vMerge w:val="continue"/>
            <w:tcBorders>
              <w:left w:val="single" w:color="auto" w:sz="4" w:space="0"/>
              <w:right w:val="single" w:color="auto" w:sz="4" w:space="0"/>
            </w:tcBorders>
            <w:vAlign w:val="center"/>
          </w:tcPr>
          <w:p w14:paraId="0837DB9E">
            <w:pPr>
              <w:widowControl/>
              <w:jc w:val="center"/>
              <w:rPr>
                <w:rFonts w:ascii="Times New Roman" w:eastAsia="仿宋"/>
                <w:szCs w:val="21"/>
              </w:rPr>
            </w:pPr>
          </w:p>
        </w:tc>
        <w:tc>
          <w:tcPr>
            <w:tcW w:w="1182" w:type="dxa"/>
            <w:tcBorders>
              <w:left w:val="single" w:color="auto" w:sz="4" w:space="0"/>
              <w:right w:val="single" w:color="auto" w:sz="4" w:space="0"/>
            </w:tcBorders>
            <w:vAlign w:val="center"/>
          </w:tcPr>
          <w:p w14:paraId="2560E3F9">
            <w:pPr>
              <w:widowControl/>
              <w:jc w:val="center"/>
              <w:rPr>
                <w:rFonts w:ascii="Times New Roman" w:eastAsia="仿宋"/>
                <w:szCs w:val="21"/>
              </w:rPr>
            </w:pPr>
            <w:r>
              <w:rPr>
                <w:rFonts w:hint="eastAsia" w:ascii="Times New Roman" w:eastAsia="仿宋"/>
                <w:szCs w:val="21"/>
              </w:rPr>
              <w:t>面漆流平室</w:t>
            </w:r>
          </w:p>
        </w:tc>
        <w:tc>
          <w:tcPr>
            <w:tcW w:w="3176" w:type="dxa"/>
            <w:tcBorders>
              <w:top w:val="single" w:color="auto" w:sz="4" w:space="0"/>
              <w:left w:val="single" w:color="auto" w:sz="4" w:space="0"/>
              <w:bottom w:val="single" w:color="auto" w:sz="4" w:space="0"/>
              <w:right w:val="single" w:color="auto" w:sz="4" w:space="0"/>
            </w:tcBorders>
            <w:vAlign w:val="center"/>
          </w:tcPr>
          <w:p w14:paraId="1C0A1E4E">
            <w:pPr>
              <w:widowControl/>
              <w:jc w:val="center"/>
              <w:textAlignment w:val="center"/>
              <w:rPr>
                <w:rFonts w:ascii="Times New Roman" w:eastAsia="仿宋"/>
                <w:szCs w:val="24"/>
              </w:rPr>
            </w:pPr>
            <w:r>
              <w:rPr>
                <w:rFonts w:ascii="Times New Roman" w:eastAsia="仿宋"/>
                <w:szCs w:val="24"/>
              </w:rPr>
              <w:t>L6100</w:t>
            </w:r>
            <w:r>
              <w:rPr>
                <w:rFonts w:hint="eastAsia" w:ascii="Times New Roman" w:eastAsia="仿宋"/>
                <w:szCs w:val="24"/>
              </w:rPr>
              <w:t>×</w:t>
            </w:r>
            <w:r>
              <w:rPr>
                <w:rFonts w:ascii="Times New Roman" w:eastAsia="仿宋"/>
                <w:szCs w:val="24"/>
              </w:rPr>
              <w:t>W3000</w:t>
            </w:r>
            <w:r>
              <w:rPr>
                <w:rFonts w:hint="eastAsia" w:ascii="Times New Roman" w:eastAsia="仿宋"/>
                <w:szCs w:val="24"/>
              </w:rPr>
              <w:t>×</w:t>
            </w:r>
            <w:r>
              <w:rPr>
                <w:rFonts w:ascii="Times New Roman" w:eastAsia="仿宋"/>
                <w:szCs w:val="24"/>
              </w:rPr>
              <w:t>4500mm</w:t>
            </w:r>
          </w:p>
        </w:tc>
        <w:tc>
          <w:tcPr>
            <w:tcW w:w="1335" w:type="dxa"/>
            <w:tcBorders>
              <w:top w:val="single" w:color="auto" w:sz="4" w:space="0"/>
              <w:left w:val="single" w:color="auto" w:sz="4" w:space="0"/>
              <w:bottom w:val="single" w:color="auto" w:sz="4" w:space="0"/>
              <w:right w:val="single" w:color="auto" w:sz="4" w:space="0"/>
            </w:tcBorders>
            <w:vAlign w:val="center"/>
          </w:tcPr>
          <w:p w14:paraId="03479176">
            <w:pPr>
              <w:widowControl/>
              <w:jc w:val="center"/>
              <w:rPr>
                <w:rFonts w:ascii="Times New Roman" w:eastAsia="仿宋"/>
                <w:szCs w:val="21"/>
              </w:rPr>
            </w:pPr>
            <w:r>
              <w:rPr>
                <w:rFonts w:hint="eastAsia" w:ascii="Times New Roman" w:eastAsia="仿宋"/>
                <w:szCs w:val="21"/>
              </w:rPr>
              <w:t>流平</w:t>
            </w:r>
          </w:p>
        </w:tc>
        <w:tc>
          <w:tcPr>
            <w:tcW w:w="707" w:type="dxa"/>
            <w:tcBorders>
              <w:top w:val="single" w:color="auto" w:sz="4" w:space="0"/>
              <w:left w:val="single" w:color="auto" w:sz="4" w:space="0"/>
              <w:bottom w:val="single" w:color="auto" w:sz="4" w:space="0"/>
              <w:right w:val="single" w:color="auto" w:sz="4" w:space="0"/>
            </w:tcBorders>
            <w:vAlign w:val="center"/>
          </w:tcPr>
          <w:p w14:paraId="74F6637E">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246E9FD6">
            <w:pPr>
              <w:widowControl/>
              <w:jc w:val="center"/>
              <w:rPr>
                <w:rFonts w:ascii="Times New Roman" w:eastAsia="仿宋"/>
                <w:szCs w:val="21"/>
              </w:rPr>
            </w:pPr>
          </w:p>
        </w:tc>
      </w:tr>
      <w:tr w14:paraId="3A999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456" w:type="dxa"/>
            <w:tcBorders>
              <w:left w:val="single" w:color="auto" w:sz="4" w:space="0"/>
              <w:bottom w:val="single" w:color="auto" w:sz="4" w:space="0"/>
              <w:right w:val="single" w:color="auto" w:sz="4" w:space="0"/>
            </w:tcBorders>
            <w:vAlign w:val="center"/>
          </w:tcPr>
          <w:p w14:paraId="63CECE2B">
            <w:pPr>
              <w:widowControl/>
              <w:jc w:val="center"/>
              <w:rPr>
                <w:rFonts w:ascii="Times New Roman" w:eastAsia="仿宋"/>
                <w:szCs w:val="21"/>
              </w:rPr>
            </w:pPr>
            <w:r>
              <w:rPr>
                <w:rFonts w:hint="eastAsia" w:ascii="Times New Roman" w:eastAsia="仿宋"/>
                <w:szCs w:val="21"/>
              </w:rPr>
              <w:t>2</w:t>
            </w:r>
            <w:r>
              <w:rPr>
                <w:rFonts w:ascii="Times New Roman" w:eastAsia="仿宋"/>
                <w:szCs w:val="21"/>
              </w:rPr>
              <w:t>4</w:t>
            </w:r>
          </w:p>
        </w:tc>
        <w:tc>
          <w:tcPr>
            <w:tcW w:w="647" w:type="dxa"/>
            <w:vMerge w:val="continue"/>
            <w:tcBorders>
              <w:left w:val="single" w:color="auto" w:sz="4" w:space="0"/>
              <w:bottom w:val="single" w:color="auto" w:sz="4" w:space="0"/>
              <w:right w:val="single" w:color="auto" w:sz="4" w:space="0"/>
            </w:tcBorders>
            <w:vAlign w:val="center"/>
          </w:tcPr>
          <w:p w14:paraId="06F9287E">
            <w:pPr>
              <w:widowControl/>
              <w:jc w:val="center"/>
              <w:rPr>
                <w:rFonts w:ascii="Times New Roman" w:eastAsia="仿宋"/>
                <w:szCs w:val="21"/>
              </w:rPr>
            </w:pPr>
          </w:p>
        </w:tc>
        <w:tc>
          <w:tcPr>
            <w:tcW w:w="1182" w:type="dxa"/>
            <w:tcBorders>
              <w:left w:val="single" w:color="auto" w:sz="4" w:space="0"/>
              <w:bottom w:val="single" w:color="auto" w:sz="4" w:space="0"/>
              <w:right w:val="single" w:color="auto" w:sz="4" w:space="0"/>
            </w:tcBorders>
            <w:vAlign w:val="center"/>
          </w:tcPr>
          <w:p w14:paraId="4D07C57D">
            <w:pPr>
              <w:widowControl/>
              <w:jc w:val="center"/>
              <w:rPr>
                <w:rFonts w:ascii="Times New Roman" w:eastAsia="仿宋"/>
                <w:szCs w:val="21"/>
              </w:rPr>
            </w:pPr>
            <w:r>
              <w:rPr>
                <w:rFonts w:hint="eastAsia" w:ascii="Times New Roman" w:eastAsia="仿宋"/>
                <w:szCs w:val="21"/>
              </w:rPr>
              <w:t>固化炉</w:t>
            </w:r>
          </w:p>
        </w:tc>
        <w:tc>
          <w:tcPr>
            <w:tcW w:w="3176" w:type="dxa"/>
            <w:tcBorders>
              <w:top w:val="single" w:color="auto" w:sz="4" w:space="0"/>
              <w:left w:val="single" w:color="auto" w:sz="4" w:space="0"/>
              <w:bottom w:val="single" w:color="auto" w:sz="4" w:space="0"/>
              <w:right w:val="single" w:color="auto" w:sz="4" w:space="0"/>
            </w:tcBorders>
            <w:vAlign w:val="center"/>
          </w:tcPr>
          <w:p w14:paraId="73B509F1">
            <w:pPr>
              <w:widowControl/>
              <w:jc w:val="center"/>
              <w:textAlignment w:val="center"/>
              <w:rPr>
                <w:rFonts w:ascii="Times New Roman" w:eastAsia="仿宋"/>
                <w:szCs w:val="24"/>
              </w:rPr>
            </w:pPr>
            <w:r>
              <w:rPr>
                <w:rFonts w:ascii="Times New Roman" w:eastAsia="仿宋"/>
                <w:szCs w:val="24"/>
              </w:rPr>
              <w:t>L55740</w:t>
            </w:r>
            <w:r>
              <w:rPr>
                <w:rFonts w:hint="eastAsia" w:ascii="Times New Roman" w:eastAsia="仿宋"/>
                <w:szCs w:val="24"/>
              </w:rPr>
              <w:t>×</w:t>
            </w:r>
            <w:r>
              <w:rPr>
                <w:rFonts w:ascii="Times New Roman" w:eastAsia="仿宋"/>
                <w:szCs w:val="24"/>
              </w:rPr>
              <w:t>W1720</w:t>
            </w:r>
            <w:r>
              <w:rPr>
                <w:rFonts w:hint="eastAsia" w:ascii="Times New Roman" w:eastAsia="仿宋"/>
                <w:szCs w:val="24"/>
              </w:rPr>
              <w:t>×</w:t>
            </w:r>
            <w:r>
              <w:rPr>
                <w:rFonts w:ascii="Times New Roman" w:eastAsia="仿宋"/>
                <w:szCs w:val="24"/>
              </w:rPr>
              <w:t>H4400mm</w:t>
            </w:r>
          </w:p>
        </w:tc>
        <w:tc>
          <w:tcPr>
            <w:tcW w:w="1335" w:type="dxa"/>
            <w:tcBorders>
              <w:top w:val="single" w:color="auto" w:sz="4" w:space="0"/>
              <w:left w:val="single" w:color="auto" w:sz="4" w:space="0"/>
              <w:bottom w:val="single" w:color="auto" w:sz="4" w:space="0"/>
              <w:right w:val="single" w:color="auto" w:sz="4" w:space="0"/>
            </w:tcBorders>
            <w:vAlign w:val="center"/>
          </w:tcPr>
          <w:p w14:paraId="7059864A">
            <w:pPr>
              <w:widowControl/>
              <w:jc w:val="center"/>
              <w:rPr>
                <w:rFonts w:ascii="Times New Roman" w:eastAsia="仿宋"/>
                <w:szCs w:val="21"/>
              </w:rPr>
            </w:pPr>
            <w:r>
              <w:rPr>
                <w:rFonts w:hint="eastAsia" w:ascii="Times New Roman" w:eastAsia="仿宋"/>
                <w:szCs w:val="21"/>
              </w:rPr>
              <w:t>烘干</w:t>
            </w:r>
          </w:p>
        </w:tc>
        <w:tc>
          <w:tcPr>
            <w:tcW w:w="707" w:type="dxa"/>
            <w:tcBorders>
              <w:top w:val="single" w:color="auto" w:sz="4" w:space="0"/>
              <w:left w:val="single" w:color="auto" w:sz="4" w:space="0"/>
              <w:bottom w:val="single" w:color="auto" w:sz="4" w:space="0"/>
              <w:right w:val="single" w:color="auto" w:sz="4" w:space="0"/>
            </w:tcBorders>
            <w:vAlign w:val="center"/>
          </w:tcPr>
          <w:p w14:paraId="20967B04">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0F0EDCA1">
            <w:pPr>
              <w:widowControl/>
              <w:jc w:val="center"/>
              <w:rPr>
                <w:rFonts w:ascii="Times New Roman" w:eastAsia="仿宋"/>
                <w:szCs w:val="21"/>
              </w:rPr>
            </w:pPr>
          </w:p>
        </w:tc>
      </w:tr>
      <w:tr w14:paraId="5C787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16DDD115">
            <w:pPr>
              <w:widowControl/>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6B24CE23">
            <w:pPr>
              <w:widowControl/>
              <w:jc w:val="center"/>
              <w:rPr>
                <w:rFonts w:ascii="Times New Roman" w:eastAsia="仿宋"/>
                <w:szCs w:val="21"/>
              </w:rPr>
            </w:pPr>
            <w:r>
              <w:rPr>
                <w:rFonts w:hint="eastAsia" w:ascii="Times New Roman" w:eastAsia="仿宋"/>
                <w:szCs w:val="21"/>
              </w:rPr>
              <w:t>空压机</w:t>
            </w:r>
          </w:p>
        </w:tc>
        <w:tc>
          <w:tcPr>
            <w:tcW w:w="3176" w:type="dxa"/>
            <w:tcBorders>
              <w:top w:val="single" w:color="auto" w:sz="4" w:space="0"/>
              <w:left w:val="single" w:color="auto" w:sz="4" w:space="0"/>
              <w:bottom w:val="single" w:color="auto" w:sz="4" w:space="0"/>
              <w:right w:val="single" w:color="auto" w:sz="4" w:space="0"/>
            </w:tcBorders>
            <w:vAlign w:val="center"/>
          </w:tcPr>
          <w:p w14:paraId="2569D8CA">
            <w:pPr>
              <w:widowControl/>
              <w:jc w:val="center"/>
              <w:textAlignment w:val="center"/>
              <w:rPr>
                <w:rFonts w:ascii="Times New Roman" w:eastAsia="仿宋"/>
                <w:szCs w:val="24"/>
              </w:rPr>
            </w:pPr>
            <w:r>
              <w:rPr>
                <w:rFonts w:hint="eastAsia" w:ascii="Times New Roman" w:eastAsia="仿宋"/>
                <w:szCs w:val="24"/>
              </w:rPr>
              <w:t>/</w:t>
            </w:r>
          </w:p>
        </w:tc>
        <w:tc>
          <w:tcPr>
            <w:tcW w:w="1335" w:type="dxa"/>
            <w:tcBorders>
              <w:top w:val="single" w:color="auto" w:sz="4" w:space="0"/>
              <w:left w:val="single" w:color="auto" w:sz="4" w:space="0"/>
              <w:bottom w:val="single" w:color="auto" w:sz="4" w:space="0"/>
              <w:right w:val="single" w:color="auto" w:sz="4" w:space="0"/>
            </w:tcBorders>
            <w:vAlign w:val="center"/>
          </w:tcPr>
          <w:p w14:paraId="52231260">
            <w:pPr>
              <w:widowControl/>
              <w:jc w:val="center"/>
              <w:rPr>
                <w:rFonts w:ascii="Times New Roman" w:eastAsia="仿宋"/>
                <w:szCs w:val="21"/>
              </w:rPr>
            </w:pPr>
          </w:p>
        </w:tc>
        <w:tc>
          <w:tcPr>
            <w:tcW w:w="707" w:type="dxa"/>
            <w:tcBorders>
              <w:top w:val="single" w:color="auto" w:sz="4" w:space="0"/>
              <w:left w:val="single" w:color="auto" w:sz="4" w:space="0"/>
              <w:bottom w:val="single" w:color="auto" w:sz="4" w:space="0"/>
              <w:right w:val="single" w:color="auto" w:sz="4" w:space="0"/>
            </w:tcBorders>
            <w:vAlign w:val="center"/>
          </w:tcPr>
          <w:p w14:paraId="10116E4C">
            <w:pPr>
              <w:widowControl/>
              <w:jc w:val="center"/>
              <w:rPr>
                <w:rFonts w:ascii="Times New Roman" w:eastAsia="仿宋"/>
                <w:szCs w:val="21"/>
              </w:rPr>
            </w:pPr>
            <w:r>
              <w:rPr>
                <w:rFonts w:hint="eastAsia" w:ascii="Times New Roman" w:eastAsia="仿宋"/>
                <w:szCs w:val="21"/>
              </w:rPr>
              <w:t>1</w:t>
            </w:r>
          </w:p>
        </w:tc>
        <w:tc>
          <w:tcPr>
            <w:tcW w:w="1514" w:type="dxa"/>
            <w:tcBorders>
              <w:top w:val="single" w:color="auto" w:sz="4" w:space="0"/>
              <w:left w:val="single" w:color="auto" w:sz="4" w:space="0"/>
              <w:bottom w:val="single" w:color="auto" w:sz="4" w:space="0"/>
              <w:right w:val="single" w:color="auto" w:sz="4" w:space="0"/>
            </w:tcBorders>
            <w:vAlign w:val="center"/>
          </w:tcPr>
          <w:p w14:paraId="7D166D63">
            <w:pPr>
              <w:widowControl/>
              <w:jc w:val="center"/>
              <w:rPr>
                <w:rFonts w:ascii="Times New Roman" w:eastAsia="仿宋"/>
                <w:szCs w:val="21"/>
              </w:rPr>
            </w:pPr>
            <w:r>
              <w:rPr>
                <w:rFonts w:hint="eastAsia" w:ascii="Times New Roman" w:eastAsia="仿宋"/>
                <w:szCs w:val="21"/>
              </w:rPr>
              <w:t>/</w:t>
            </w:r>
          </w:p>
        </w:tc>
      </w:tr>
      <w:tr w14:paraId="238FCF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0BE81E28">
            <w:pPr>
              <w:widowControl/>
              <w:jc w:val="center"/>
              <w:rPr>
                <w:rFonts w:ascii="Times New Roman" w:eastAsia="仿宋"/>
                <w:szCs w:val="21"/>
              </w:rPr>
            </w:pPr>
            <w:r>
              <w:rPr>
                <w:rFonts w:hint="eastAsia" w:ascii="Times New Roman" w:eastAsia="仿宋"/>
                <w:szCs w:val="21"/>
              </w:rPr>
              <w:t>2</w:t>
            </w:r>
            <w:r>
              <w:rPr>
                <w:rFonts w:ascii="Times New Roman" w:eastAsia="仿宋"/>
                <w:szCs w:val="21"/>
              </w:rPr>
              <w:t>6</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448DAE2A">
            <w:pPr>
              <w:widowControl/>
              <w:jc w:val="center"/>
              <w:rPr>
                <w:rFonts w:ascii="Times New Roman" w:eastAsia="仿宋"/>
                <w:szCs w:val="21"/>
              </w:rPr>
            </w:pPr>
            <w:r>
              <w:rPr>
                <w:rFonts w:hint="eastAsia" w:ascii="Times New Roman" w:eastAsia="仿宋"/>
                <w:szCs w:val="21"/>
              </w:rPr>
              <w:t>湿式除尘器</w:t>
            </w:r>
          </w:p>
        </w:tc>
        <w:tc>
          <w:tcPr>
            <w:tcW w:w="3176" w:type="dxa"/>
            <w:tcBorders>
              <w:top w:val="single" w:color="auto" w:sz="4" w:space="0"/>
              <w:left w:val="single" w:color="auto" w:sz="4" w:space="0"/>
              <w:bottom w:val="single" w:color="auto" w:sz="4" w:space="0"/>
              <w:right w:val="single" w:color="auto" w:sz="4" w:space="0"/>
            </w:tcBorders>
            <w:vAlign w:val="center"/>
          </w:tcPr>
          <w:p w14:paraId="0C2E004A">
            <w:pPr>
              <w:widowControl/>
              <w:jc w:val="center"/>
              <w:textAlignment w:val="center"/>
              <w:rPr>
                <w:rFonts w:ascii="Times New Roman" w:eastAsia="仿宋"/>
                <w:szCs w:val="24"/>
              </w:rPr>
            </w:pPr>
            <w:r>
              <w:rPr>
                <w:rFonts w:hint="eastAsia" w:ascii="Times New Roman" w:eastAsia="仿宋"/>
                <w:szCs w:val="24"/>
              </w:rPr>
              <w:t>设计风量20000m</w:t>
            </w:r>
            <w:r>
              <w:rPr>
                <w:rFonts w:hint="eastAsia" w:ascii="Times New Roman" w:eastAsia="仿宋"/>
                <w:szCs w:val="24"/>
                <w:vertAlign w:val="superscript"/>
              </w:rPr>
              <w:t>3</w:t>
            </w:r>
            <w:r>
              <w:rPr>
                <w:rFonts w:hint="eastAsia" w:ascii="Times New Roman" w:eastAsia="仿宋"/>
                <w:szCs w:val="24"/>
              </w:rPr>
              <w:t>/h</w:t>
            </w:r>
          </w:p>
        </w:tc>
        <w:tc>
          <w:tcPr>
            <w:tcW w:w="1335" w:type="dxa"/>
            <w:tcBorders>
              <w:top w:val="single" w:color="auto" w:sz="4" w:space="0"/>
              <w:left w:val="single" w:color="auto" w:sz="4" w:space="0"/>
              <w:bottom w:val="single" w:color="auto" w:sz="4" w:space="0"/>
              <w:right w:val="single" w:color="auto" w:sz="4" w:space="0"/>
            </w:tcBorders>
            <w:vAlign w:val="center"/>
          </w:tcPr>
          <w:p w14:paraId="12D61D7C">
            <w:pPr>
              <w:widowControl/>
              <w:jc w:val="center"/>
              <w:rPr>
                <w:rFonts w:ascii="Times New Roman" w:eastAsia="仿宋"/>
                <w:szCs w:val="21"/>
              </w:rPr>
            </w:pPr>
            <w:r>
              <w:rPr>
                <w:rFonts w:hint="eastAsia" w:ascii="Times New Roman" w:eastAsia="仿宋"/>
                <w:szCs w:val="21"/>
              </w:rPr>
              <w:t>废气处理</w:t>
            </w:r>
          </w:p>
        </w:tc>
        <w:tc>
          <w:tcPr>
            <w:tcW w:w="707" w:type="dxa"/>
            <w:tcBorders>
              <w:top w:val="single" w:color="auto" w:sz="4" w:space="0"/>
              <w:left w:val="single" w:color="auto" w:sz="4" w:space="0"/>
              <w:bottom w:val="single" w:color="auto" w:sz="4" w:space="0"/>
              <w:right w:val="single" w:color="auto" w:sz="4" w:space="0"/>
            </w:tcBorders>
            <w:vAlign w:val="center"/>
          </w:tcPr>
          <w:p w14:paraId="432C98FD">
            <w:pPr>
              <w:widowControl/>
              <w:jc w:val="center"/>
              <w:rPr>
                <w:rFonts w:ascii="Times New Roman" w:eastAsia="仿宋"/>
                <w:szCs w:val="21"/>
              </w:rPr>
            </w:pPr>
            <w:r>
              <w:rPr>
                <w:rFonts w:hint="eastAsia" w:ascii="Times New Roman" w:eastAsia="仿宋"/>
                <w:szCs w:val="21"/>
              </w:rPr>
              <w:t>1</w:t>
            </w:r>
          </w:p>
        </w:tc>
        <w:tc>
          <w:tcPr>
            <w:tcW w:w="1514" w:type="dxa"/>
            <w:tcBorders>
              <w:top w:val="single" w:color="auto" w:sz="4" w:space="0"/>
              <w:left w:val="single" w:color="auto" w:sz="4" w:space="0"/>
              <w:bottom w:val="single" w:color="auto" w:sz="4" w:space="0"/>
              <w:right w:val="single" w:color="auto" w:sz="4" w:space="0"/>
            </w:tcBorders>
            <w:vAlign w:val="center"/>
          </w:tcPr>
          <w:p w14:paraId="7534CBCD">
            <w:pPr>
              <w:widowControl/>
              <w:jc w:val="center"/>
              <w:rPr>
                <w:rFonts w:ascii="Times New Roman" w:eastAsia="仿宋"/>
                <w:szCs w:val="21"/>
              </w:rPr>
            </w:pPr>
            <w:r>
              <w:rPr>
                <w:rFonts w:hint="eastAsia" w:ascii="Times New Roman" w:eastAsia="仿宋"/>
                <w:szCs w:val="21"/>
              </w:rPr>
              <w:t>2号钣金车间外</w:t>
            </w:r>
          </w:p>
        </w:tc>
      </w:tr>
      <w:tr w14:paraId="4FEC9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4B669974">
            <w:pPr>
              <w:widowControl/>
              <w:jc w:val="center"/>
              <w:rPr>
                <w:rFonts w:ascii="Times New Roman" w:eastAsia="仿宋"/>
                <w:szCs w:val="21"/>
              </w:rPr>
            </w:pPr>
            <w:r>
              <w:rPr>
                <w:rFonts w:hint="eastAsia" w:ascii="Times New Roman" w:eastAsia="仿宋"/>
                <w:szCs w:val="21"/>
              </w:rPr>
              <w:t>2</w:t>
            </w:r>
            <w:r>
              <w:rPr>
                <w:rFonts w:ascii="Times New Roman" w:eastAsia="仿宋"/>
                <w:szCs w:val="21"/>
              </w:rPr>
              <w:t>7</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5653C982">
            <w:pPr>
              <w:widowControl/>
              <w:jc w:val="center"/>
              <w:rPr>
                <w:rFonts w:ascii="Times New Roman" w:eastAsia="仿宋"/>
                <w:szCs w:val="21"/>
              </w:rPr>
            </w:pPr>
            <w:r>
              <w:rPr>
                <w:rFonts w:hint="eastAsia" w:ascii="Times New Roman" w:eastAsia="仿宋"/>
                <w:szCs w:val="21"/>
              </w:rPr>
              <w:t>水帘式循环过滤系统+水喷淋+干式过滤器+活性炭吸附脱附+催化燃烧</w:t>
            </w:r>
          </w:p>
        </w:tc>
        <w:tc>
          <w:tcPr>
            <w:tcW w:w="3176" w:type="dxa"/>
            <w:tcBorders>
              <w:top w:val="single" w:color="auto" w:sz="4" w:space="0"/>
              <w:left w:val="single" w:color="auto" w:sz="4" w:space="0"/>
              <w:bottom w:val="single" w:color="auto" w:sz="4" w:space="0"/>
              <w:right w:val="single" w:color="auto" w:sz="4" w:space="0"/>
            </w:tcBorders>
            <w:vAlign w:val="center"/>
          </w:tcPr>
          <w:p w14:paraId="1FB3779D">
            <w:pPr>
              <w:widowControl/>
              <w:jc w:val="center"/>
              <w:textAlignment w:val="center"/>
              <w:rPr>
                <w:rFonts w:ascii="Times New Roman" w:eastAsia="仿宋"/>
                <w:szCs w:val="24"/>
              </w:rPr>
            </w:pPr>
            <w:r>
              <w:rPr>
                <w:rFonts w:hint="eastAsia" w:ascii="Times New Roman" w:eastAsia="仿宋"/>
                <w:szCs w:val="24"/>
              </w:rPr>
              <w:t>1号设计风量26000m</w:t>
            </w:r>
            <w:r>
              <w:rPr>
                <w:rFonts w:hint="eastAsia" w:ascii="Times New Roman" w:eastAsia="仿宋"/>
                <w:szCs w:val="24"/>
                <w:vertAlign w:val="superscript"/>
              </w:rPr>
              <w:t>3</w:t>
            </w:r>
            <w:r>
              <w:rPr>
                <w:rFonts w:hint="eastAsia" w:ascii="Times New Roman" w:eastAsia="仿宋"/>
                <w:szCs w:val="24"/>
              </w:rPr>
              <w:t>/h、2号设计风量28000m</w:t>
            </w:r>
            <w:r>
              <w:rPr>
                <w:rFonts w:hint="eastAsia" w:ascii="Times New Roman" w:eastAsia="仿宋"/>
                <w:szCs w:val="24"/>
                <w:vertAlign w:val="superscript"/>
              </w:rPr>
              <w:t>3</w:t>
            </w:r>
            <w:r>
              <w:rPr>
                <w:rFonts w:hint="eastAsia" w:ascii="Times New Roman" w:eastAsia="仿宋"/>
                <w:szCs w:val="24"/>
              </w:rPr>
              <w:t>/h、3号设计风量21000m</w:t>
            </w:r>
            <w:r>
              <w:rPr>
                <w:rFonts w:hint="eastAsia" w:ascii="Times New Roman" w:eastAsia="仿宋"/>
                <w:szCs w:val="24"/>
                <w:vertAlign w:val="superscript"/>
              </w:rPr>
              <w:t>3</w:t>
            </w:r>
            <w:r>
              <w:rPr>
                <w:rFonts w:hint="eastAsia" w:ascii="Times New Roman" w:eastAsia="仿宋"/>
                <w:szCs w:val="24"/>
              </w:rPr>
              <w:t>/h</w:t>
            </w:r>
          </w:p>
        </w:tc>
        <w:tc>
          <w:tcPr>
            <w:tcW w:w="1335" w:type="dxa"/>
            <w:tcBorders>
              <w:top w:val="single" w:color="auto" w:sz="4" w:space="0"/>
              <w:left w:val="single" w:color="auto" w:sz="4" w:space="0"/>
              <w:bottom w:val="single" w:color="auto" w:sz="4" w:space="0"/>
              <w:right w:val="single" w:color="auto" w:sz="4" w:space="0"/>
            </w:tcBorders>
            <w:vAlign w:val="center"/>
          </w:tcPr>
          <w:p w14:paraId="0D452346">
            <w:pPr>
              <w:widowControl/>
              <w:jc w:val="center"/>
              <w:rPr>
                <w:rFonts w:ascii="Times New Roman" w:eastAsia="仿宋"/>
                <w:szCs w:val="21"/>
              </w:rPr>
            </w:pPr>
            <w:r>
              <w:rPr>
                <w:rFonts w:hint="eastAsia" w:ascii="Times New Roman" w:eastAsia="仿宋"/>
                <w:szCs w:val="21"/>
              </w:rPr>
              <w:t>废气处理</w:t>
            </w:r>
          </w:p>
        </w:tc>
        <w:tc>
          <w:tcPr>
            <w:tcW w:w="707" w:type="dxa"/>
            <w:tcBorders>
              <w:top w:val="single" w:color="auto" w:sz="4" w:space="0"/>
              <w:left w:val="single" w:color="auto" w:sz="4" w:space="0"/>
              <w:bottom w:val="single" w:color="auto" w:sz="4" w:space="0"/>
              <w:right w:val="single" w:color="auto" w:sz="4" w:space="0"/>
            </w:tcBorders>
            <w:vAlign w:val="center"/>
          </w:tcPr>
          <w:p w14:paraId="74B84C4B">
            <w:pPr>
              <w:widowControl/>
              <w:jc w:val="center"/>
              <w:rPr>
                <w:rFonts w:ascii="Times New Roman" w:eastAsia="仿宋"/>
                <w:szCs w:val="21"/>
              </w:rPr>
            </w:pPr>
            <w:r>
              <w:rPr>
                <w:rFonts w:hint="eastAsia" w:ascii="Times New Roman" w:eastAsia="仿宋"/>
                <w:szCs w:val="21"/>
              </w:rPr>
              <w:t>3</w:t>
            </w:r>
          </w:p>
        </w:tc>
        <w:tc>
          <w:tcPr>
            <w:tcW w:w="1514" w:type="dxa"/>
            <w:vMerge w:val="restart"/>
            <w:tcBorders>
              <w:top w:val="single" w:color="auto" w:sz="4" w:space="0"/>
              <w:left w:val="single" w:color="auto" w:sz="4" w:space="0"/>
              <w:right w:val="single" w:color="auto" w:sz="4" w:space="0"/>
            </w:tcBorders>
            <w:vAlign w:val="center"/>
          </w:tcPr>
          <w:p w14:paraId="4C6F8D7B">
            <w:pPr>
              <w:widowControl/>
              <w:jc w:val="center"/>
              <w:rPr>
                <w:rFonts w:ascii="Times New Roman" w:eastAsia="仿宋"/>
                <w:szCs w:val="21"/>
              </w:rPr>
            </w:pPr>
            <w:r>
              <w:rPr>
                <w:rFonts w:hint="eastAsia" w:ascii="Times New Roman" w:eastAsia="仿宋"/>
                <w:szCs w:val="21"/>
              </w:rPr>
              <w:t>3号喷涂车间外</w:t>
            </w:r>
          </w:p>
        </w:tc>
      </w:tr>
      <w:tr w14:paraId="3E5C9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6F5CF54E">
            <w:pPr>
              <w:widowControl/>
              <w:jc w:val="center"/>
              <w:rPr>
                <w:rFonts w:ascii="Times New Roman" w:eastAsia="仿宋"/>
                <w:szCs w:val="21"/>
              </w:rPr>
            </w:pPr>
            <w:r>
              <w:rPr>
                <w:rFonts w:ascii="Times New Roman" w:eastAsia="仿宋"/>
                <w:szCs w:val="21"/>
              </w:rPr>
              <w:t>28</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27A04D8C">
            <w:pPr>
              <w:widowControl/>
              <w:jc w:val="center"/>
              <w:rPr>
                <w:rFonts w:ascii="Times New Roman" w:eastAsia="仿宋"/>
                <w:szCs w:val="21"/>
              </w:rPr>
            </w:pPr>
            <w:r>
              <w:rPr>
                <w:rFonts w:hint="eastAsia" w:ascii="Times New Roman" w:eastAsia="仿宋"/>
                <w:szCs w:val="24"/>
              </w:rPr>
              <w:t>滤筒除尘器</w:t>
            </w:r>
          </w:p>
        </w:tc>
        <w:tc>
          <w:tcPr>
            <w:tcW w:w="3176" w:type="dxa"/>
            <w:tcBorders>
              <w:top w:val="single" w:color="auto" w:sz="4" w:space="0"/>
              <w:left w:val="single" w:color="auto" w:sz="4" w:space="0"/>
              <w:bottom w:val="single" w:color="auto" w:sz="4" w:space="0"/>
              <w:right w:val="single" w:color="auto" w:sz="4" w:space="0"/>
            </w:tcBorders>
            <w:vAlign w:val="center"/>
          </w:tcPr>
          <w:p w14:paraId="52C52798">
            <w:pPr>
              <w:widowControl/>
              <w:jc w:val="center"/>
              <w:textAlignment w:val="center"/>
              <w:rPr>
                <w:rFonts w:ascii="Times New Roman" w:eastAsia="仿宋"/>
                <w:szCs w:val="24"/>
              </w:rPr>
            </w:pPr>
            <w:r>
              <w:rPr>
                <w:rFonts w:hint="eastAsia" w:ascii="Times New Roman" w:eastAsia="仿宋"/>
                <w:szCs w:val="24"/>
              </w:rPr>
              <w:t>设计风量</w:t>
            </w:r>
            <w:r>
              <w:rPr>
                <w:rFonts w:ascii="Times New Roman" w:eastAsia="仿宋"/>
                <w:szCs w:val="24"/>
              </w:rPr>
              <w:t>20</w:t>
            </w:r>
            <w:r>
              <w:rPr>
                <w:rFonts w:hint="eastAsia" w:ascii="Times New Roman" w:eastAsia="仿宋"/>
                <w:szCs w:val="24"/>
              </w:rPr>
              <w:t>000m</w:t>
            </w:r>
            <w:r>
              <w:rPr>
                <w:rFonts w:hint="eastAsia" w:ascii="Times New Roman" w:eastAsia="仿宋"/>
                <w:szCs w:val="24"/>
                <w:vertAlign w:val="superscript"/>
              </w:rPr>
              <w:t>3</w:t>
            </w:r>
            <w:r>
              <w:rPr>
                <w:rFonts w:hint="eastAsia" w:ascii="Times New Roman" w:eastAsia="仿宋"/>
                <w:szCs w:val="24"/>
              </w:rPr>
              <w:t>/h</w:t>
            </w:r>
          </w:p>
        </w:tc>
        <w:tc>
          <w:tcPr>
            <w:tcW w:w="1335" w:type="dxa"/>
            <w:tcBorders>
              <w:top w:val="single" w:color="auto" w:sz="4" w:space="0"/>
              <w:left w:val="single" w:color="auto" w:sz="4" w:space="0"/>
              <w:bottom w:val="single" w:color="auto" w:sz="4" w:space="0"/>
              <w:right w:val="single" w:color="auto" w:sz="4" w:space="0"/>
            </w:tcBorders>
            <w:vAlign w:val="center"/>
          </w:tcPr>
          <w:p w14:paraId="1FE74E0B">
            <w:pPr>
              <w:widowControl/>
              <w:jc w:val="center"/>
              <w:rPr>
                <w:rFonts w:ascii="Times New Roman" w:eastAsia="仿宋"/>
                <w:szCs w:val="21"/>
              </w:rPr>
            </w:pPr>
            <w:r>
              <w:rPr>
                <w:rFonts w:hint="eastAsia" w:ascii="Times New Roman" w:eastAsia="仿宋"/>
                <w:szCs w:val="21"/>
              </w:rPr>
              <w:t>废气处理</w:t>
            </w:r>
          </w:p>
        </w:tc>
        <w:tc>
          <w:tcPr>
            <w:tcW w:w="707" w:type="dxa"/>
            <w:tcBorders>
              <w:top w:val="single" w:color="auto" w:sz="4" w:space="0"/>
              <w:left w:val="single" w:color="auto" w:sz="4" w:space="0"/>
              <w:bottom w:val="single" w:color="auto" w:sz="4" w:space="0"/>
              <w:right w:val="single" w:color="auto" w:sz="4" w:space="0"/>
            </w:tcBorders>
            <w:vAlign w:val="center"/>
          </w:tcPr>
          <w:p w14:paraId="5BA219B9">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right w:val="single" w:color="auto" w:sz="4" w:space="0"/>
            </w:tcBorders>
            <w:vAlign w:val="center"/>
          </w:tcPr>
          <w:p w14:paraId="3889EE40">
            <w:pPr>
              <w:widowControl/>
              <w:jc w:val="center"/>
              <w:rPr>
                <w:rFonts w:ascii="Times New Roman" w:eastAsia="仿宋"/>
                <w:szCs w:val="21"/>
              </w:rPr>
            </w:pPr>
          </w:p>
        </w:tc>
      </w:tr>
      <w:tr w14:paraId="6DFF4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49A92C77">
            <w:pPr>
              <w:widowControl/>
              <w:jc w:val="center"/>
              <w:rPr>
                <w:rFonts w:ascii="Times New Roman" w:eastAsia="仿宋"/>
                <w:szCs w:val="21"/>
              </w:rPr>
            </w:pPr>
            <w:r>
              <w:rPr>
                <w:rFonts w:ascii="Times New Roman" w:eastAsia="仿宋"/>
                <w:szCs w:val="21"/>
              </w:rPr>
              <w:t>29</w:t>
            </w:r>
          </w:p>
        </w:tc>
        <w:tc>
          <w:tcPr>
            <w:tcW w:w="1829" w:type="dxa"/>
            <w:gridSpan w:val="2"/>
            <w:tcBorders>
              <w:top w:val="single" w:color="auto" w:sz="4" w:space="0"/>
              <w:left w:val="single" w:color="auto" w:sz="4" w:space="0"/>
              <w:bottom w:val="single" w:color="auto" w:sz="4" w:space="0"/>
              <w:right w:val="single" w:color="auto" w:sz="4" w:space="0"/>
            </w:tcBorders>
            <w:vAlign w:val="center"/>
          </w:tcPr>
          <w:p w14:paraId="3E4405A8">
            <w:pPr>
              <w:widowControl/>
              <w:jc w:val="center"/>
              <w:rPr>
                <w:rFonts w:ascii="Times New Roman" w:eastAsia="仿宋"/>
                <w:szCs w:val="24"/>
              </w:rPr>
            </w:pPr>
            <w:r>
              <w:rPr>
                <w:rFonts w:hint="eastAsia" w:ascii="Times New Roman" w:eastAsia="仿宋"/>
                <w:szCs w:val="24"/>
              </w:rPr>
              <w:t>污水处理站</w:t>
            </w:r>
          </w:p>
        </w:tc>
        <w:tc>
          <w:tcPr>
            <w:tcW w:w="3176" w:type="dxa"/>
            <w:tcBorders>
              <w:top w:val="single" w:color="auto" w:sz="4" w:space="0"/>
              <w:left w:val="single" w:color="auto" w:sz="4" w:space="0"/>
              <w:bottom w:val="single" w:color="auto" w:sz="4" w:space="0"/>
              <w:right w:val="single" w:color="auto" w:sz="4" w:space="0"/>
            </w:tcBorders>
            <w:vAlign w:val="center"/>
          </w:tcPr>
          <w:p w14:paraId="0B2B5671">
            <w:pPr>
              <w:widowControl/>
              <w:jc w:val="center"/>
              <w:textAlignment w:val="center"/>
              <w:rPr>
                <w:rFonts w:ascii="Times New Roman" w:eastAsia="仿宋"/>
                <w:szCs w:val="24"/>
              </w:rPr>
            </w:pPr>
            <w:r>
              <w:rPr>
                <w:rFonts w:hint="eastAsia" w:ascii="Times New Roman" w:eastAsia="仿宋"/>
                <w:szCs w:val="24"/>
              </w:rPr>
              <w:t>处理能力</w:t>
            </w:r>
            <w:r>
              <w:rPr>
                <w:rFonts w:ascii="Times New Roman" w:eastAsia="仿宋"/>
                <w:szCs w:val="24"/>
              </w:rPr>
              <w:t>15t/</w:t>
            </w:r>
            <w:r>
              <w:rPr>
                <w:rFonts w:hint="eastAsia" w:ascii="Times New Roman" w:eastAsia="仿宋"/>
                <w:szCs w:val="24"/>
              </w:rPr>
              <w:t>d</w:t>
            </w:r>
          </w:p>
        </w:tc>
        <w:tc>
          <w:tcPr>
            <w:tcW w:w="1335" w:type="dxa"/>
            <w:tcBorders>
              <w:top w:val="single" w:color="auto" w:sz="4" w:space="0"/>
              <w:left w:val="single" w:color="auto" w:sz="4" w:space="0"/>
              <w:bottom w:val="single" w:color="auto" w:sz="4" w:space="0"/>
              <w:right w:val="single" w:color="auto" w:sz="4" w:space="0"/>
            </w:tcBorders>
            <w:vAlign w:val="center"/>
          </w:tcPr>
          <w:p w14:paraId="56197E11">
            <w:pPr>
              <w:widowControl/>
              <w:jc w:val="center"/>
              <w:rPr>
                <w:rFonts w:ascii="Times New Roman" w:eastAsia="仿宋"/>
                <w:szCs w:val="21"/>
              </w:rPr>
            </w:pPr>
            <w:r>
              <w:rPr>
                <w:rFonts w:hint="eastAsia" w:ascii="Times New Roman" w:eastAsia="仿宋"/>
                <w:szCs w:val="21"/>
              </w:rPr>
              <w:t>废水处理</w:t>
            </w:r>
          </w:p>
        </w:tc>
        <w:tc>
          <w:tcPr>
            <w:tcW w:w="707" w:type="dxa"/>
            <w:tcBorders>
              <w:top w:val="single" w:color="auto" w:sz="4" w:space="0"/>
              <w:left w:val="single" w:color="auto" w:sz="4" w:space="0"/>
              <w:bottom w:val="single" w:color="auto" w:sz="4" w:space="0"/>
              <w:right w:val="single" w:color="auto" w:sz="4" w:space="0"/>
            </w:tcBorders>
            <w:vAlign w:val="center"/>
          </w:tcPr>
          <w:p w14:paraId="5B94B62C">
            <w:pPr>
              <w:widowControl/>
              <w:jc w:val="center"/>
              <w:rPr>
                <w:rFonts w:ascii="Times New Roman" w:eastAsia="仿宋"/>
                <w:szCs w:val="21"/>
              </w:rPr>
            </w:pPr>
            <w:r>
              <w:rPr>
                <w:rFonts w:hint="eastAsia" w:ascii="Times New Roman" w:eastAsia="仿宋"/>
                <w:szCs w:val="21"/>
              </w:rPr>
              <w:t>1</w:t>
            </w:r>
          </w:p>
        </w:tc>
        <w:tc>
          <w:tcPr>
            <w:tcW w:w="1514" w:type="dxa"/>
            <w:vMerge w:val="continue"/>
            <w:tcBorders>
              <w:left w:val="single" w:color="auto" w:sz="4" w:space="0"/>
              <w:bottom w:val="single" w:color="auto" w:sz="4" w:space="0"/>
              <w:right w:val="single" w:color="auto" w:sz="4" w:space="0"/>
            </w:tcBorders>
            <w:vAlign w:val="center"/>
          </w:tcPr>
          <w:p w14:paraId="7FA29B3A">
            <w:pPr>
              <w:widowControl/>
              <w:jc w:val="center"/>
              <w:rPr>
                <w:rFonts w:ascii="Times New Roman" w:eastAsia="仿宋"/>
                <w:szCs w:val="21"/>
              </w:rPr>
            </w:pPr>
          </w:p>
        </w:tc>
      </w:tr>
    </w:tbl>
    <w:p w14:paraId="7934BC91">
      <w:pPr>
        <w:pStyle w:val="70"/>
        <w:spacing w:after="0" w:line="500" w:lineRule="exact"/>
        <w:ind w:left="0" w:leftChars="0" w:firstLine="560" w:firstLineChars="200"/>
        <w:jc w:val="left"/>
        <w:rPr>
          <w:rFonts w:eastAsia="仿宋"/>
          <w:sz w:val="28"/>
          <w:szCs w:val="28"/>
        </w:rPr>
      </w:pPr>
      <w:r>
        <w:rPr>
          <w:rFonts w:hint="eastAsia" w:eastAsia="仿宋"/>
          <w:sz w:val="28"/>
          <w:szCs w:val="28"/>
        </w:rPr>
        <w:t>本项目共设2条涂装线，涂装线主要为喷粉系统、喷油性氟碳漆系统，喷粉与喷油性漆共用1个固化炉，根据工作时间不同切换使用，其中喷粉工作时间为5h/d，喷油性氟碳底漆、面漆工作时间均为</w:t>
      </w:r>
      <w:r>
        <w:rPr>
          <w:rFonts w:eastAsia="仿宋"/>
          <w:sz w:val="28"/>
          <w:szCs w:val="28"/>
        </w:rPr>
        <w:t>5</w:t>
      </w:r>
      <w:r>
        <w:rPr>
          <w:rFonts w:hint="eastAsia" w:eastAsia="仿宋"/>
          <w:sz w:val="28"/>
          <w:szCs w:val="28"/>
        </w:rPr>
        <w:t>h/d。本项目喷漆工序产能匹配性分析见下表3.</w:t>
      </w:r>
      <w:r>
        <w:rPr>
          <w:rFonts w:eastAsia="仿宋"/>
          <w:sz w:val="28"/>
          <w:szCs w:val="28"/>
        </w:rPr>
        <w:t>1</w:t>
      </w:r>
      <w:r>
        <w:rPr>
          <w:rFonts w:hint="eastAsia" w:eastAsia="仿宋"/>
          <w:sz w:val="28"/>
          <w:szCs w:val="28"/>
        </w:rPr>
        <w:t>-1</w:t>
      </w:r>
      <w:r>
        <w:rPr>
          <w:rFonts w:eastAsia="仿宋"/>
          <w:sz w:val="28"/>
          <w:szCs w:val="28"/>
        </w:rPr>
        <w:t>3</w:t>
      </w:r>
      <w:r>
        <w:rPr>
          <w:rFonts w:hint="eastAsia" w:eastAsia="仿宋"/>
          <w:sz w:val="28"/>
          <w:szCs w:val="28"/>
        </w:rPr>
        <w:t>。</w:t>
      </w:r>
    </w:p>
    <w:p w14:paraId="01667150">
      <w:pPr>
        <w:spacing w:line="500" w:lineRule="exact"/>
        <w:jc w:val="center"/>
        <w:rPr>
          <w:rFonts w:ascii="Times New Roman" w:eastAsia="仿宋"/>
          <w:b/>
          <w:bCs/>
        </w:rPr>
      </w:pPr>
      <w:r>
        <w:rPr>
          <w:rFonts w:ascii="Times New Roman" w:eastAsia="仿宋"/>
          <w:b/>
          <w:bCs/>
        </w:rPr>
        <w:t xml:space="preserve">表3.1-13 </w:t>
      </w:r>
      <w:r>
        <w:rPr>
          <w:rFonts w:hint="eastAsia" w:ascii="Times New Roman" w:eastAsia="仿宋"/>
          <w:b/>
          <w:bCs/>
        </w:rPr>
        <w:t>喷漆产能匹配性分析</w:t>
      </w:r>
    </w:p>
    <w:tbl>
      <w:tblPr>
        <w:tblStyle w:val="87"/>
        <w:tblW w:w="47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63"/>
        <w:gridCol w:w="1565"/>
        <w:gridCol w:w="2348"/>
        <w:gridCol w:w="1226"/>
        <w:gridCol w:w="1156"/>
        <w:gridCol w:w="910"/>
      </w:tblGrid>
      <w:tr w14:paraId="00D2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pct"/>
            <w:gridSpan w:val="2"/>
            <w:vAlign w:val="center"/>
          </w:tcPr>
          <w:p w14:paraId="2C16A6F5">
            <w:pPr>
              <w:widowControl/>
              <w:jc w:val="center"/>
              <w:rPr>
                <w:rFonts w:ascii="Times New Roman" w:eastAsia="仿宋"/>
                <w:szCs w:val="21"/>
              </w:rPr>
            </w:pPr>
            <w:r>
              <w:rPr>
                <w:rFonts w:hint="eastAsia" w:ascii="Times New Roman" w:eastAsia="仿宋"/>
                <w:szCs w:val="21"/>
              </w:rPr>
              <w:t>产品</w:t>
            </w:r>
          </w:p>
        </w:tc>
        <w:tc>
          <w:tcPr>
            <w:tcW w:w="902" w:type="pct"/>
            <w:vAlign w:val="center"/>
          </w:tcPr>
          <w:p w14:paraId="6896E9D4">
            <w:pPr>
              <w:widowControl/>
              <w:jc w:val="center"/>
              <w:rPr>
                <w:rFonts w:ascii="Times New Roman" w:eastAsia="仿宋"/>
                <w:szCs w:val="21"/>
              </w:rPr>
            </w:pPr>
            <w:r>
              <w:rPr>
                <w:rFonts w:hint="eastAsia" w:ascii="Times New Roman" w:eastAsia="仿宋"/>
                <w:szCs w:val="21"/>
              </w:rPr>
              <w:t>喷涂时间（h/d）</w:t>
            </w:r>
          </w:p>
        </w:tc>
        <w:tc>
          <w:tcPr>
            <w:tcW w:w="1350" w:type="pct"/>
            <w:vAlign w:val="center"/>
          </w:tcPr>
          <w:p w14:paraId="625315CB">
            <w:pPr>
              <w:widowControl/>
              <w:jc w:val="center"/>
              <w:rPr>
                <w:rFonts w:ascii="Times New Roman" w:eastAsia="仿宋"/>
                <w:szCs w:val="21"/>
              </w:rPr>
            </w:pPr>
            <w:r>
              <w:rPr>
                <w:rFonts w:hint="eastAsia" w:ascii="Times New Roman" w:eastAsia="仿宋"/>
                <w:szCs w:val="21"/>
              </w:rPr>
              <w:t>喷涂工件量（m</w:t>
            </w:r>
            <w:r>
              <w:rPr>
                <w:rFonts w:hint="eastAsia" w:ascii="Times New Roman" w:eastAsia="仿宋"/>
                <w:szCs w:val="21"/>
                <w:vertAlign w:val="superscript"/>
              </w:rPr>
              <w:t>2</w:t>
            </w:r>
            <w:r>
              <w:rPr>
                <w:rFonts w:hint="eastAsia" w:ascii="Times New Roman" w:eastAsia="仿宋"/>
                <w:szCs w:val="21"/>
              </w:rPr>
              <w:t>/h）</w:t>
            </w:r>
          </w:p>
        </w:tc>
        <w:tc>
          <w:tcPr>
            <w:tcW w:w="707" w:type="pct"/>
            <w:vAlign w:val="center"/>
          </w:tcPr>
          <w:p w14:paraId="006FCBD6">
            <w:pPr>
              <w:widowControl/>
              <w:jc w:val="center"/>
              <w:rPr>
                <w:rFonts w:ascii="Times New Roman" w:eastAsia="仿宋"/>
                <w:szCs w:val="21"/>
              </w:rPr>
            </w:pPr>
            <w:r>
              <w:rPr>
                <w:rFonts w:hint="eastAsia" w:ascii="Times New Roman" w:eastAsia="仿宋"/>
                <w:szCs w:val="21"/>
              </w:rPr>
              <w:t>工作时间（d）</w:t>
            </w:r>
          </w:p>
        </w:tc>
        <w:tc>
          <w:tcPr>
            <w:tcW w:w="667" w:type="pct"/>
            <w:vAlign w:val="center"/>
          </w:tcPr>
          <w:p w14:paraId="7943783A">
            <w:pPr>
              <w:widowControl/>
              <w:jc w:val="center"/>
              <w:rPr>
                <w:rFonts w:ascii="Times New Roman" w:eastAsia="仿宋"/>
                <w:szCs w:val="21"/>
              </w:rPr>
            </w:pPr>
            <w:r>
              <w:rPr>
                <w:rFonts w:hint="eastAsia" w:ascii="Times New Roman" w:eastAsia="仿宋"/>
                <w:szCs w:val="21"/>
              </w:rPr>
              <w:t>核算最大产量（万m</w:t>
            </w:r>
            <w:r>
              <w:rPr>
                <w:rFonts w:hint="eastAsia" w:ascii="Times New Roman" w:eastAsia="仿宋"/>
                <w:szCs w:val="21"/>
                <w:vertAlign w:val="superscript"/>
              </w:rPr>
              <w:t>2</w:t>
            </w:r>
            <w:r>
              <w:rPr>
                <w:rFonts w:hint="eastAsia" w:ascii="Times New Roman" w:eastAsia="仿宋"/>
                <w:szCs w:val="21"/>
              </w:rPr>
              <w:t>/a）</w:t>
            </w:r>
          </w:p>
        </w:tc>
        <w:tc>
          <w:tcPr>
            <w:tcW w:w="526" w:type="pct"/>
            <w:vAlign w:val="center"/>
          </w:tcPr>
          <w:p w14:paraId="3A922850">
            <w:pPr>
              <w:widowControl/>
              <w:jc w:val="center"/>
              <w:rPr>
                <w:rFonts w:ascii="Times New Roman" w:eastAsia="仿宋"/>
                <w:szCs w:val="21"/>
              </w:rPr>
            </w:pPr>
            <w:r>
              <w:rPr>
                <w:rFonts w:hint="eastAsia" w:ascii="Times New Roman" w:eastAsia="仿宋"/>
                <w:szCs w:val="21"/>
              </w:rPr>
              <w:t>设计能力（万m</w:t>
            </w:r>
            <w:r>
              <w:rPr>
                <w:rFonts w:hint="eastAsia" w:ascii="Times New Roman" w:eastAsia="仿宋"/>
                <w:szCs w:val="21"/>
                <w:vertAlign w:val="superscript"/>
              </w:rPr>
              <w:t>2</w:t>
            </w:r>
            <w:r>
              <w:rPr>
                <w:rFonts w:hint="eastAsia" w:ascii="Times New Roman" w:eastAsia="仿宋"/>
                <w:szCs w:val="21"/>
              </w:rPr>
              <w:t>/a）</w:t>
            </w:r>
          </w:p>
        </w:tc>
      </w:tr>
      <w:tr w14:paraId="2336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restart"/>
            <w:vAlign w:val="center"/>
          </w:tcPr>
          <w:p w14:paraId="423A4471">
            <w:pPr>
              <w:widowControl/>
              <w:jc w:val="center"/>
              <w:rPr>
                <w:rFonts w:ascii="Times New Roman" w:eastAsia="仿宋"/>
                <w:szCs w:val="21"/>
              </w:rPr>
            </w:pPr>
            <w:r>
              <w:rPr>
                <w:rFonts w:hint="eastAsia" w:ascii="Times New Roman" w:eastAsia="仿宋"/>
                <w:szCs w:val="21"/>
              </w:rPr>
              <w:t>汽车铝板</w:t>
            </w:r>
          </w:p>
        </w:tc>
        <w:tc>
          <w:tcPr>
            <w:tcW w:w="614" w:type="pct"/>
            <w:vAlign w:val="center"/>
          </w:tcPr>
          <w:p w14:paraId="370BF7D4">
            <w:pPr>
              <w:widowControl/>
              <w:jc w:val="center"/>
              <w:rPr>
                <w:rFonts w:ascii="Times New Roman" w:eastAsia="仿宋"/>
                <w:szCs w:val="21"/>
              </w:rPr>
            </w:pPr>
            <w:r>
              <w:rPr>
                <w:rFonts w:hint="eastAsia" w:ascii="Times New Roman" w:eastAsia="仿宋"/>
                <w:szCs w:val="21"/>
              </w:rPr>
              <w:t>喷粉</w:t>
            </w:r>
          </w:p>
        </w:tc>
        <w:tc>
          <w:tcPr>
            <w:tcW w:w="902" w:type="pct"/>
            <w:vAlign w:val="center"/>
          </w:tcPr>
          <w:p w14:paraId="5A6F0F04">
            <w:pPr>
              <w:widowControl/>
              <w:jc w:val="center"/>
              <w:rPr>
                <w:rFonts w:ascii="Times New Roman" w:eastAsia="仿宋"/>
                <w:szCs w:val="21"/>
              </w:rPr>
            </w:pPr>
            <w:r>
              <w:rPr>
                <w:rFonts w:ascii="Times New Roman" w:eastAsia="仿宋"/>
                <w:szCs w:val="21"/>
              </w:rPr>
              <w:t>5</w:t>
            </w:r>
          </w:p>
        </w:tc>
        <w:tc>
          <w:tcPr>
            <w:tcW w:w="1350" w:type="pct"/>
            <w:vAlign w:val="center"/>
          </w:tcPr>
          <w:p w14:paraId="1372EE03">
            <w:pPr>
              <w:widowControl/>
              <w:jc w:val="center"/>
              <w:rPr>
                <w:rFonts w:ascii="Times New Roman" w:eastAsia="仿宋"/>
                <w:szCs w:val="21"/>
              </w:rPr>
            </w:pPr>
            <w:r>
              <w:rPr>
                <w:rFonts w:hint="eastAsia" w:ascii="Times New Roman" w:eastAsia="仿宋"/>
                <w:szCs w:val="21"/>
              </w:rPr>
              <w:t>3</w:t>
            </w:r>
            <w:r>
              <w:rPr>
                <w:rFonts w:ascii="Times New Roman" w:eastAsia="仿宋"/>
                <w:szCs w:val="21"/>
              </w:rPr>
              <w:t>50</w:t>
            </w:r>
          </w:p>
        </w:tc>
        <w:tc>
          <w:tcPr>
            <w:tcW w:w="707" w:type="pct"/>
            <w:vAlign w:val="center"/>
          </w:tcPr>
          <w:p w14:paraId="1CAC4123">
            <w:pPr>
              <w:widowControl/>
              <w:jc w:val="center"/>
              <w:rPr>
                <w:rFonts w:ascii="Times New Roman" w:eastAsia="仿宋"/>
                <w:szCs w:val="21"/>
              </w:rPr>
            </w:pPr>
            <w:r>
              <w:rPr>
                <w:rFonts w:hint="eastAsia" w:ascii="Times New Roman" w:eastAsia="仿宋"/>
                <w:szCs w:val="21"/>
              </w:rPr>
              <w:t>3</w:t>
            </w:r>
            <w:r>
              <w:rPr>
                <w:rFonts w:ascii="Times New Roman" w:eastAsia="仿宋"/>
                <w:szCs w:val="21"/>
              </w:rPr>
              <w:t>00</w:t>
            </w:r>
          </w:p>
        </w:tc>
        <w:tc>
          <w:tcPr>
            <w:tcW w:w="667" w:type="pct"/>
            <w:vAlign w:val="center"/>
          </w:tcPr>
          <w:p w14:paraId="526D4B8A">
            <w:pPr>
              <w:widowControl/>
              <w:jc w:val="center"/>
              <w:rPr>
                <w:rFonts w:ascii="Times New Roman" w:eastAsia="仿宋"/>
                <w:szCs w:val="21"/>
              </w:rPr>
            </w:pPr>
            <w:r>
              <w:rPr>
                <w:rFonts w:hint="eastAsia" w:ascii="Times New Roman" w:eastAsia="仿宋"/>
                <w:szCs w:val="21"/>
              </w:rPr>
              <w:t>5</w:t>
            </w:r>
            <w:r>
              <w:rPr>
                <w:rFonts w:ascii="Times New Roman" w:eastAsia="仿宋"/>
                <w:szCs w:val="21"/>
              </w:rPr>
              <w:t>2.5</w:t>
            </w:r>
          </w:p>
        </w:tc>
        <w:tc>
          <w:tcPr>
            <w:tcW w:w="526" w:type="pct"/>
            <w:vAlign w:val="center"/>
          </w:tcPr>
          <w:p w14:paraId="79616F52">
            <w:pPr>
              <w:widowControl/>
              <w:jc w:val="center"/>
              <w:rPr>
                <w:rFonts w:ascii="Times New Roman" w:eastAsia="仿宋"/>
                <w:szCs w:val="21"/>
              </w:rPr>
            </w:pPr>
            <w:r>
              <w:rPr>
                <w:rFonts w:hint="eastAsia" w:ascii="Times New Roman" w:eastAsia="仿宋"/>
                <w:szCs w:val="21"/>
              </w:rPr>
              <w:t>5</w:t>
            </w:r>
            <w:r>
              <w:rPr>
                <w:rFonts w:ascii="Times New Roman" w:eastAsia="仿宋"/>
                <w:szCs w:val="21"/>
              </w:rPr>
              <w:t>0</w:t>
            </w:r>
          </w:p>
        </w:tc>
      </w:tr>
      <w:tr w14:paraId="4FA2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vAlign w:val="center"/>
          </w:tcPr>
          <w:p w14:paraId="6612FBD0">
            <w:pPr>
              <w:widowControl/>
              <w:jc w:val="center"/>
              <w:rPr>
                <w:rFonts w:ascii="Times New Roman" w:eastAsia="仿宋"/>
                <w:szCs w:val="21"/>
              </w:rPr>
            </w:pPr>
          </w:p>
        </w:tc>
        <w:tc>
          <w:tcPr>
            <w:tcW w:w="614" w:type="pct"/>
            <w:vAlign w:val="center"/>
          </w:tcPr>
          <w:p w14:paraId="1838FD9B">
            <w:pPr>
              <w:widowControl/>
              <w:jc w:val="center"/>
              <w:rPr>
                <w:rFonts w:ascii="Times New Roman" w:eastAsia="仿宋"/>
                <w:szCs w:val="21"/>
              </w:rPr>
            </w:pPr>
            <w:r>
              <w:rPr>
                <w:rFonts w:hint="eastAsia" w:ascii="Times New Roman" w:eastAsia="仿宋"/>
                <w:szCs w:val="21"/>
              </w:rPr>
              <w:t>氟碳底漆</w:t>
            </w:r>
          </w:p>
        </w:tc>
        <w:tc>
          <w:tcPr>
            <w:tcW w:w="902" w:type="pct"/>
            <w:vAlign w:val="center"/>
          </w:tcPr>
          <w:p w14:paraId="0D1DEC69">
            <w:pPr>
              <w:widowControl/>
              <w:jc w:val="center"/>
              <w:rPr>
                <w:rFonts w:ascii="Times New Roman" w:eastAsia="仿宋"/>
                <w:szCs w:val="21"/>
              </w:rPr>
            </w:pPr>
            <w:r>
              <w:rPr>
                <w:rFonts w:ascii="Times New Roman" w:eastAsia="仿宋"/>
                <w:szCs w:val="21"/>
              </w:rPr>
              <w:t>5</w:t>
            </w:r>
          </w:p>
        </w:tc>
        <w:tc>
          <w:tcPr>
            <w:tcW w:w="1350" w:type="pct"/>
            <w:vAlign w:val="center"/>
          </w:tcPr>
          <w:p w14:paraId="00292B7A">
            <w:pPr>
              <w:widowControl/>
              <w:jc w:val="center"/>
              <w:rPr>
                <w:rFonts w:ascii="Times New Roman" w:eastAsia="仿宋"/>
                <w:szCs w:val="21"/>
              </w:rPr>
            </w:pPr>
            <w:r>
              <w:rPr>
                <w:rFonts w:ascii="Times New Roman" w:eastAsia="仿宋"/>
                <w:szCs w:val="21"/>
              </w:rPr>
              <w:t>24</w:t>
            </w:r>
            <w:r>
              <w:rPr>
                <w:rFonts w:hint="eastAsia" w:ascii="Times New Roman" w:eastAsia="仿宋"/>
                <w:szCs w:val="21"/>
              </w:rPr>
              <w:t>0</w:t>
            </w:r>
          </w:p>
        </w:tc>
        <w:tc>
          <w:tcPr>
            <w:tcW w:w="707" w:type="pct"/>
            <w:vAlign w:val="center"/>
          </w:tcPr>
          <w:p w14:paraId="360AEFDE">
            <w:pPr>
              <w:widowControl/>
              <w:jc w:val="center"/>
              <w:rPr>
                <w:rFonts w:ascii="Times New Roman" w:eastAsia="仿宋"/>
                <w:szCs w:val="21"/>
              </w:rPr>
            </w:pPr>
            <w:r>
              <w:rPr>
                <w:rFonts w:hint="eastAsia" w:ascii="Times New Roman" w:eastAsia="仿宋"/>
                <w:szCs w:val="21"/>
              </w:rPr>
              <w:t>300</w:t>
            </w:r>
          </w:p>
        </w:tc>
        <w:tc>
          <w:tcPr>
            <w:tcW w:w="667" w:type="pct"/>
            <w:vAlign w:val="center"/>
          </w:tcPr>
          <w:p w14:paraId="593BFF9A">
            <w:pPr>
              <w:widowControl/>
              <w:jc w:val="center"/>
              <w:rPr>
                <w:rFonts w:ascii="Times New Roman" w:eastAsia="仿宋"/>
                <w:szCs w:val="21"/>
              </w:rPr>
            </w:pPr>
            <w:r>
              <w:rPr>
                <w:rFonts w:ascii="Times New Roman" w:eastAsia="仿宋"/>
                <w:szCs w:val="21"/>
              </w:rPr>
              <w:t>36</w:t>
            </w:r>
          </w:p>
        </w:tc>
        <w:tc>
          <w:tcPr>
            <w:tcW w:w="526" w:type="pct"/>
            <w:vAlign w:val="center"/>
          </w:tcPr>
          <w:p w14:paraId="108F6E63">
            <w:pPr>
              <w:widowControl/>
              <w:jc w:val="center"/>
              <w:rPr>
                <w:rFonts w:ascii="Times New Roman" w:eastAsia="仿宋"/>
                <w:szCs w:val="21"/>
              </w:rPr>
            </w:pPr>
            <w:r>
              <w:rPr>
                <w:rFonts w:ascii="Times New Roman" w:eastAsia="仿宋"/>
                <w:szCs w:val="21"/>
              </w:rPr>
              <w:t>3</w:t>
            </w:r>
            <w:r>
              <w:rPr>
                <w:rFonts w:hint="eastAsia" w:ascii="Times New Roman" w:eastAsia="仿宋"/>
                <w:szCs w:val="21"/>
              </w:rPr>
              <w:t>0</w:t>
            </w:r>
          </w:p>
        </w:tc>
      </w:tr>
      <w:tr w14:paraId="4629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vAlign w:val="center"/>
          </w:tcPr>
          <w:p w14:paraId="6ABBC1E9">
            <w:pPr>
              <w:widowControl/>
              <w:jc w:val="center"/>
              <w:rPr>
                <w:rFonts w:ascii="Times New Roman" w:eastAsia="仿宋"/>
                <w:szCs w:val="21"/>
              </w:rPr>
            </w:pPr>
          </w:p>
        </w:tc>
        <w:tc>
          <w:tcPr>
            <w:tcW w:w="614" w:type="pct"/>
            <w:vAlign w:val="center"/>
          </w:tcPr>
          <w:p w14:paraId="7B2D1AA3">
            <w:pPr>
              <w:widowControl/>
              <w:jc w:val="center"/>
              <w:rPr>
                <w:rFonts w:ascii="Times New Roman" w:eastAsia="仿宋"/>
                <w:szCs w:val="21"/>
              </w:rPr>
            </w:pPr>
            <w:r>
              <w:rPr>
                <w:rFonts w:hint="eastAsia" w:ascii="Times New Roman" w:eastAsia="仿宋"/>
                <w:szCs w:val="21"/>
              </w:rPr>
              <w:t>氟碳面漆</w:t>
            </w:r>
          </w:p>
        </w:tc>
        <w:tc>
          <w:tcPr>
            <w:tcW w:w="902" w:type="pct"/>
            <w:vAlign w:val="center"/>
          </w:tcPr>
          <w:p w14:paraId="0AEA769B">
            <w:pPr>
              <w:widowControl/>
              <w:jc w:val="center"/>
              <w:rPr>
                <w:rFonts w:ascii="Times New Roman" w:eastAsia="仿宋"/>
                <w:szCs w:val="21"/>
              </w:rPr>
            </w:pPr>
            <w:r>
              <w:rPr>
                <w:rFonts w:ascii="Times New Roman" w:eastAsia="仿宋"/>
                <w:szCs w:val="21"/>
              </w:rPr>
              <w:t>5</w:t>
            </w:r>
          </w:p>
        </w:tc>
        <w:tc>
          <w:tcPr>
            <w:tcW w:w="1350" w:type="pct"/>
            <w:vAlign w:val="center"/>
          </w:tcPr>
          <w:p w14:paraId="58A939CB">
            <w:pPr>
              <w:widowControl/>
              <w:jc w:val="center"/>
              <w:rPr>
                <w:rFonts w:ascii="Times New Roman" w:eastAsia="仿宋"/>
                <w:szCs w:val="21"/>
              </w:rPr>
            </w:pPr>
            <w:r>
              <w:rPr>
                <w:rFonts w:ascii="Times New Roman" w:eastAsia="仿宋"/>
                <w:szCs w:val="21"/>
              </w:rPr>
              <w:t>24</w:t>
            </w:r>
            <w:r>
              <w:rPr>
                <w:rFonts w:hint="eastAsia" w:ascii="Times New Roman" w:eastAsia="仿宋"/>
                <w:szCs w:val="21"/>
              </w:rPr>
              <w:t>0</w:t>
            </w:r>
          </w:p>
        </w:tc>
        <w:tc>
          <w:tcPr>
            <w:tcW w:w="707" w:type="pct"/>
            <w:vAlign w:val="center"/>
          </w:tcPr>
          <w:p w14:paraId="6EBDDE13">
            <w:pPr>
              <w:widowControl/>
              <w:jc w:val="center"/>
              <w:rPr>
                <w:rFonts w:ascii="Times New Roman" w:eastAsia="仿宋"/>
                <w:szCs w:val="21"/>
              </w:rPr>
            </w:pPr>
            <w:r>
              <w:rPr>
                <w:rFonts w:hint="eastAsia" w:ascii="Times New Roman" w:eastAsia="仿宋"/>
                <w:szCs w:val="21"/>
              </w:rPr>
              <w:t>300</w:t>
            </w:r>
          </w:p>
        </w:tc>
        <w:tc>
          <w:tcPr>
            <w:tcW w:w="667" w:type="pct"/>
            <w:vAlign w:val="center"/>
          </w:tcPr>
          <w:p w14:paraId="25DD33ED">
            <w:pPr>
              <w:widowControl/>
              <w:jc w:val="center"/>
              <w:rPr>
                <w:rFonts w:ascii="Times New Roman" w:eastAsia="仿宋"/>
                <w:szCs w:val="21"/>
              </w:rPr>
            </w:pPr>
            <w:r>
              <w:rPr>
                <w:rFonts w:ascii="Times New Roman" w:eastAsia="仿宋"/>
                <w:szCs w:val="21"/>
              </w:rPr>
              <w:t>36</w:t>
            </w:r>
          </w:p>
        </w:tc>
        <w:tc>
          <w:tcPr>
            <w:tcW w:w="526" w:type="pct"/>
            <w:vAlign w:val="center"/>
          </w:tcPr>
          <w:p w14:paraId="67EEA98A">
            <w:pPr>
              <w:widowControl/>
              <w:jc w:val="center"/>
              <w:rPr>
                <w:rFonts w:ascii="Times New Roman" w:eastAsia="仿宋"/>
                <w:szCs w:val="21"/>
              </w:rPr>
            </w:pPr>
            <w:r>
              <w:rPr>
                <w:rFonts w:ascii="Times New Roman" w:eastAsia="仿宋"/>
                <w:szCs w:val="21"/>
              </w:rPr>
              <w:t>3</w:t>
            </w:r>
            <w:r>
              <w:rPr>
                <w:rFonts w:hint="eastAsia" w:ascii="Times New Roman" w:eastAsia="仿宋"/>
                <w:szCs w:val="21"/>
              </w:rPr>
              <w:t>0</w:t>
            </w:r>
          </w:p>
        </w:tc>
      </w:tr>
    </w:tbl>
    <w:p w14:paraId="0CA3D2C0">
      <w:pPr>
        <w:pStyle w:val="70"/>
        <w:spacing w:after="0" w:line="500" w:lineRule="exact"/>
        <w:ind w:left="0" w:leftChars="0" w:firstLine="560" w:firstLineChars="200"/>
        <w:jc w:val="left"/>
        <w:rPr>
          <w:rFonts w:eastAsia="仿宋"/>
          <w:sz w:val="28"/>
          <w:szCs w:val="28"/>
        </w:rPr>
      </w:pPr>
      <w:r>
        <w:rPr>
          <w:rFonts w:hint="eastAsia" w:eastAsia="仿宋"/>
          <w:sz w:val="28"/>
          <w:szCs w:val="28"/>
        </w:rPr>
        <w:t>根据上表可知，本项目涂装线喷涂能力可满足喷漆产能需要。</w:t>
      </w:r>
    </w:p>
    <w:p w14:paraId="335E36E9">
      <w:pPr>
        <w:pStyle w:val="70"/>
        <w:spacing w:after="0" w:line="500" w:lineRule="exact"/>
        <w:ind w:left="0" w:leftChars="0"/>
        <w:jc w:val="center"/>
        <w:rPr>
          <w:rFonts w:eastAsia="仿宋"/>
          <w:b/>
          <w:bCs/>
          <w:sz w:val="24"/>
          <w:szCs w:val="24"/>
        </w:rPr>
        <w:sectPr>
          <w:pgSz w:w="11907" w:h="16840"/>
          <w:pgMar w:top="1797" w:right="1440" w:bottom="1797" w:left="1440" w:header="851" w:footer="992" w:gutter="0"/>
          <w:cols w:space="720" w:num="1"/>
          <w:docGrid w:linePitch="326" w:charSpace="0"/>
        </w:sectPr>
      </w:pPr>
    </w:p>
    <w:p w14:paraId="67EEDC40">
      <w:pPr>
        <w:pStyle w:val="6"/>
        <w:keepLines w:val="0"/>
        <w:tabs>
          <w:tab w:val="left" w:pos="709"/>
        </w:tabs>
        <w:spacing w:before="0" w:after="0" w:line="500" w:lineRule="exact"/>
        <w:rPr>
          <w:rFonts w:ascii="Times New Roman" w:eastAsia="仿宋"/>
          <w:sz w:val="30"/>
          <w:szCs w:val="30"/>
        </w:rPr>
      </w:pPr>
      <w:r>
        <w:rPr>
          <w:rFonts w:ascii="Times New Roman" w:eastAsia="仿宋"/>
          <w:sz w:val="30"/>
          <w:szCs w:val="30"/>
        </w:rPr>
        <w:t>3.</w:t>
      </w:r>
      <w:r>
        <w:rPr>
          <w:rFonts w:hint="eastAsia" w:ascii="Times New Roman" w:eastAsia="仿宋"/>
          <w:sz w:val="30"/>
          <w:szCs w:val="30"/>
        </w:rPr>
        <w:t>1</w:t>
      </w:r>
      <w:r>
        <w:rPr>
          <w:rFonts w:ascii="Times New Roman" w:eastAsia="仿宋"/>
          <w:sz w:val="30"/>
          <w:szCs w:val="30"/>
        </w:rPr>
        <w:t>.8公用及辅助工程</w:t>
      </w:r>
    </w:p>
    <w:p w14:paraId="45B96AA6">
      <w:pPr>
        <w:pStyle w:val="7"/>
        <w:keepLines w:val="0"/>
        <w:widowControl/>
        <w:tabs>
          <w:tab w:val="left" w:pos="993"/>
        </w:tabs>
        <w:adjustRightInd w:val="0"/>
        <w:snapToGrid w:val="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.8.1给</w:t>
      </w:r>
      <w:r>
        <w:rPr>
          <w:rFonts w:hint="eastAsia" w:ascii="Times New Roman" w:hAnsi="Times New Roman" w:eastAsia="仿宋"/>
          <w:b/>
        </w:rPr>
        <w:t>排</w:t>
      </w:r>
      <w:r>
        <w:rPr>
          <w:rFonts w:ascii="Times New Roman" w:hAnsi="Times New Roman" w:eastAsia="仿宋"/>
          <w:b/>
        </w:rPr>
        <w:t>水系统</w:t>
      </w:r>
    </w:p>
    <w:p w14:paraId="30E6AB9C">
      <w:pPr>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给水</w:t>
      </w:r>
    </w:p>
    <w:p w14:paraId="2548328E">
      <w:pPr>
        <w:spacing w:line="500" w:lineRule="exact"/>
        <w:ind w:firstLine="560" w:firstLineChars="200"/>
        <w:rPr>
          <w:rFonts w:ascii="Times New Roman" w:eastAsia="仿宋"/>
          <w:sz w:val="28"/>
          <w:szCs w:val="28"/>
        </w:rPr>
      </w:pPr>
      <w:r>
        <w:rPr>
          <w:rFonts w:ascii="Times New Roman" w:eastAsia="仿宋"/>
          <w:sz w:val="28"/>
          <w:szCs w:val="28"/>
        </w:rPr>
        <w:t>本项目新鲜用水量约3590t/a，由城市自来水厂供应，依托</w:t>
      </w:r>
      <w:r>
        <w:rPr>
          <w:rFonts w:hint="eastAsia" w:ascii="Times New Roman" w:eastAsia="仿宋"/>
          <w:sz w:val="28"/>
          <w:szCs w:val="28"/>
        </w:rPr>
        <w:t>厂区</w:t>
      </w:r>
      <w:r>
        <w:rPr>
          <w:rFonts w:ascii="Times New Roman" w:eastAsia="仿宋"/>
          <w:sz w:val="28"/>
          <w:szCs w:val="28"/>
        </w:rPr>
        <w:t>供水管网</w:t>
      </w:r>
      <w:r>
        <w:rPr>
          <w:rFonts w:hint="eastAsia" w:ascii="Times New Roman" w:eastAsia="仿宋"/>
          <w:sz w:val="28"/>
          <w:szCs w:val="28"/>
        </w:rPr>
        <w:t>。</w:t>
      </w:r>
    </w:p>
    <w:p w14:paraId="179232DC">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排水</w:t>
      </w:r>
    </w:p>
    <w:p w14:paraId="5F9DDE71">
      <w:pPr>
        <w:spacing w:line="500"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生产废水主要包括表面处理线的清洗废水、水洗废水，生产废水通过厂区污水处理站处理后接管进直溪污水处理厂；生活污水产生量</w:t>
      </w:r>
      <w:r>
        <w:rPr>
          <w:rFonts w:ascii="Times New Roman" w:eastAsia="仿宋"/>
          <w:sz w:val="28"/>
          <w:szCs w:val="28"/>
        </w:rPr>
        <w:t>1275</w:t>
      </w:r>
      <w:r>
        <w:rPr>
          <w:rFonts w:hint="eastAsia" w:ascii="Times New Roman" w:eastAsia="仿宋"/>
          <w:sz w:val="28"/>
          <w:szCs w:val="28"/>
        </w:rPr>
        <w:t>t/a</w:t>
      </w:r>
      <w:r>
        <w:rPr>
          <w:rFonts w:ascii="Times New Roman" w:eastAsia="仿宋"/>
          <w:sz w:val="28"/>
          <w:szCs w:val="28"/>
        </w:rPr>
        <w:t>，经污水管网接管进市政污水管网，进</w:t>
      </w:r>
      <w:r>
        <w:rPr>
          <w:rFonts w:hint="eastAsia" w:ascii="Times New Roman" w:eastAsia="仿宋"/>
          <w:sz w:val="28"/>
          <w:szCs w:val="28"/>
        </w:rPr>
        <w:t>金坛区直溪污水处理厂</w:t>
      </w:r>
      <w:r>
        <w:rPr>
          <w:rFonts w:ascii="Times New Roman" w:eastAsia="仿宋"/>
          <w:sz w:val="28"/>
          <w:szCs w:val="28"/>
        </w:rPr>
        <w:t>集中处理，本项目水平衡见图3.1-1。</w:t>
      </w:r>
    </w:p>
    <w:p w14:paraId="0E572C4B">
      <w:pPr>
        <w:pStyle w:val="35"/>
        <w:jc w:val="center"/>
      </w:pPr>
      <w:r>
        <w:drawing>
          <wp:inline distT="0" distB="0" distL="0" distR="0">
            <wp:extent cx="4144010" cy="4393565"/>
            <wp:effectExtent l="0" t="0" r="889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2"/>
                    <a:stretch>
                      <a:fillRect/>
                    </a:stretch>
                  </pic:blipFill>
                  <pic:spPr>
                    <a:xfrm>
                      <a:off x="0" y="0"/>
                      <a:ext cx="4149562" cy="4399640"/>
                    </a:xfrm>
                    <a:prstGeom prst="rect">
                      <a:avLst/>
                    </a:prstGeom>
                  </pic:spPr>
                </pic:pic>
              </a:graphicData>
            </a:graphic>
          </wp:inline>
        </w:drawing>
      </w:r>
    </w:p>
    <w:p w14:paraId="41D4FB8E">
      <w:pPr>
        <w:spacing w:line="500" w:lineRule="exact"/>
        <w:jc w:val="center"/>
        <w:rPr>
          <w:rFonts w:ascii="Times New Roman" w:eastAsia="仿宋"/>
          <w:b/>
        </w:rPr>
      </w:pPr>
      <w:r>
        <w:rPr>
          <w:rFonts w:ascii="Times New Roman" w:eastAsia="仿宋"/>
          <w:b/>
        </w:rPr>
        <w:t>图3.1-1  本项目水平衡图  (t/a)</w:t>
      </w:r>
    </w:p>
    <w:p w14:paraId="29574CBA">
      <w:pPr>
        <w:spacing w:line="500" w:lineRule="exact"/>
        <w:jc w:val="center"/>
        <w:rPr>
          <w:rFonts w:ascii="Times New Roman" w:eastAsia="仿宋"/>
          <w:b/>
        </w:rPr>
        <w:sectPr>
          <w:pgSz w:w="11907" w:h="16840"/>
          <w:pgMar w:top="1797" w:right="1440" w:bottom="1797" w:left="1440" w:header="851" w:footer="992" w:gutter="0"/>
          <w:cols w:space="720" w:num="1"/>
          <w:docGrid w:linePitch="326" w:charSpace="0"/>
        </w:sectPr>
      </w:pPr>
    </w:p>
    <w:p w14:paraId="3735429F">
      <w:pPr>
        <w:pStyle w:val="7"/>
        <w:keepLines w:val="0"/>
        <w:widowControl/>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.8.2供电系统</w:t>
      </w:r>
    </w:p>
    <w:p w14:paraId="6CBB4D4E">
      <w:pPr>
        <w:spacing w:line="500" w:lineRule="exact"/>
        <w:ind w:firstLine="560" w:firstLineChars="200"/>
        <w:rPr>
          <w:rFonts w:ascii="Times New Roman" w:eastAsia="仿宋"/>
          <w:sz w:val="28"/>
          <w:szCs w:val="28"/>
        </w:rPr>
      </w:pPr>
      <w:r>
        <w:rPr>
          <w:rFonts w:ascii="Times New Roman" w:eastAsia="仿宋"/>
          <w:sz w:val="28"/>
          <w:szCs w:val="28"/>
        </w:rPr>
        <w:t>本项目用电依托原有</w:t>
      </w:r>
      <w:r>
        <w:rPr>
          <w:rFonts w:hint="eastAsia" w:ascii="Times New Roman" w:eastAsia="仿宋"/>
          <w:sz w:val="28"/>
          <w:szCs w:val="28"/>
        </w:rPr>
        <w:t>供电电网</w:t>
      </w:r>
      <w:r>
        <w:rPr>
          <w:rFonts w:ascii="Times New Roman" w:eastAsia="仿宋"/>
          <w:sz w:val="28"/>
          <w:szCs w:val="28"/>
        </w:rPr>
        <w:t>，年耗电量</w:t>
      </w:r>
      <w:r>
        <w:rPr>
          <w:rFonts w:hint="eastAsia" w:ascii="Times New Roman" w:eastAsia="仿宋"/>
          <w:sz w:val="28"/>
          <w:szCs w:val="28"/>
        </w:rPr>
        <w:t>2</w:t>
      </w:r>
      <w:r>
        <w:rPr>
          <w:rFonts w:ascii="Times New Roman" w:eastAsia="仿宋"/>
          <w:sz w:val="28"/>
          <w:szCs w:val="28"/>
        </w:rPr>
        <w:t>00万kwh/a。</w:t>
      </w:r>
    </w:p>
    <w:p w14:paraId="79D2B6F7">
      <w:pPr>
        <w:pStyle w:val="7"/>
        <w:keepLines w:val="0"/>
        <w:widowControl/>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.8.3</w:t>
      </w:r>
      <w:r>
        <w:rPr>
          <w:rFonts w:hint="eastAsia" w:ascii="Times New Roman" w:hAnsi="Times New Roman" w:eastAsia="仿宋"/>
          <w:b/>
        </w:rPr>
        <w:t>供气</w:t>
      </w:r>
      <w:r>
        <w:rPr>
          <w:rFonts w:ascii="Times New Roman" w:hAnsi="Times New Roman" w:eastAsia="仿宋"/>
          <w:b/>
        </w:rPr>
        <w:t>系统</w:t>
      </w:r>
    </w:p>
    <w:p w14:paraId="1CF06612">
      <w:pPr>
        <w:spacing w:line="500" w:lineRule="exact"/>
        <w:ind w:firstLine="482"/>
        <w:rPr>
          <w:rFonts w:ascii="Times New Roman" w:eastAsia="仿宋"/>
          <w:sz w:val="28"/>
          <w:szCs w:val="28"/>
        </w:rPr>
      </w:pPr>
      <w:r>
        <w:rPr>
          <w:rFonts w:ascii="Times New Roman" w:eastAsia="仿宋"/>
          <w:sz w:val="28"/>
          <w:szCs w:val="28"/>
        </w:rPr>
        <w:t>本项目依托</w:t>
      </w:r>
      <w:r>
        <w:rPr>
          <w:rFonts w:hint="eastAsia" w:ascii="Times New Roman" w:eastAsia="仿宋"/>
          <w:sz w:val="28"/>
          <w:szCs w:val="28"/>
        </w:rPr>
        <w:t>原有供气管道，年耗量为天然气60万m</w:t>
      </w:r>
      <w:r>
        <w:rPr>
          <w:rFonts w:hint="eastAsia" w:ascii="Times New Roman" w:eastAsia="仿宋"/>
          <w:sz w:val="28"/>
          <w:szCs w:val="28"/>
          <w:vertAlign w:val="superscript"/>
        </w:rPr>
        <w:t>3</w:t>
      </w:r>
      <w:r>
        <w:rPr>
          <w:rFonts w:hint="eastAsia" w:ascii="Times New Roman" w:eastAsia="仿宋"/>
          <w:sz w:val="28"/>
          <w:szCs w:val="28"/>
        </w:rPr>
        <w:t>/a，其中喷粉固化天然气用量为</w:t>
      </w:r>
      <w:r>
        <w:rPr>
          <w:rFonts w:ascii="Times New Roman" w:eastAsia="仿宋"/>
          <w:sz w:val="28"/>
          <w:szCs w:val="28"/>
        </w:rPr>
        <w:t>24万Nm</w:t>
      </w:r>
      <w:r>
        <w:rPr>
          <w:rFonts w:ascii="Times New Roman" w:eastAsia="仿宋"/>
          <w:sz w:val="28"/>
          <w:szCs w:val="28"/>
          <w:vertAlign w:val="superscript"/>
        </w:rPr>
        <w:t>3</w:t>
      </w:r>
      <w:r>
        <w:rPr>
          <w:rFonts w:ascii="Times New Roman" w:eastAsia="仿宋"/>
          <w:sz w:val="28"/>
          <w:szCs w:val="28"/>
        </w:rPr>
        <w:t>/a</w:t>
      </w:r>
      <w:r>
        <w:rPr>
          <w:rFonts w:hint="eastAsia" w:ascii="Times New Roman" w:eastAsia="仿宋"/>
          <w:sz w:val="28"/>
          <w:szCs w:val="28"/>
        </w:rPr>
        <w:t>、水洗烘干天然气用量为12</w:t>
      </w:r>
      <w:r>
        <w:rPr>
          <w:rFonts w:ascii="Times New Roman" w:eastAsia="仿宋"/>
          <w:sz w:val="28"/>
          <w:szCs w:val="28"/>
        </w:rPr>
        <w:t>万Nm</w:t>
      </w:r>
      <w:r>
        <w:rPr>
          <w:rFonts w:ascii="Times New Roman" w:eastAsia="仿宋"/>
          <w:sz w:val="28"/>
          <w:szCs w:val="28"/>
          <w:vertAlign w:val="superscript"/>
        </w:rPr>
        <w:t>3</w:t>
      </w:r>
      <w:r>
        <w:rPr>
          <w:rFonts w:ascii="Times New Roman" w:eastAsia="仿宋"/>
          <w:sz w:val="28"/>
          <w:szCs w:val="28"/>
        </w:rPr>
        <w:t>/a</w:t>
      </w:r>
      <w:r>
        <w:rPr>
          <w:rFonts w:hint="eastAsia" w:ascii="Times New Roman" w:eastAsia="仿宋"/>
          <w:sz w:val="28"/>
          <w:szCs w:val="28"/>
        </w:rPr>
        <w:t>、喷漆烘干天然气用量为</w:t>
      </w:r>
      <w:r>
        <w:rPr>
          <w:rFonts w:ascii="Times New Roman" w:eastAsia="仿宋"/>
          <w:sz w:val="28"/>
          <w:szCs w:val="28"/>
        </w:rPr>
        <w:t>24万Nm</w:t>
      </w:r>
      <w:r>
        <w:rPr>
          <w:rFonts w:ascii="Times New Roman" w:eastAsia="仿宋"/>
          <w:sz w:val="28"/>
          <w:szCs w:val="28"/>
          <w:vertAlign w:val="superscript"/>
        </w:rPr>
        <w:t>3</w:t>
      </w:r>
      <w:r>
        <w:rPr>
          <w:rFonts w:ascii="Times New Roman" w:eastAsia="仿宋"/>
          <w:sz w:val="28"/>
          <w:szCs w:val="28"/>
        </w:rPr>
        <w:t>/a</w:t>
      </w:r>
      <w:r>
        <w:rPr>
          <w:rFonts w:hint="eastAsia" w:ascii="Times New Roman" w:eastAsia="仿宋"/>
          <w:sz w:val="28"/>
          <w:szCs w:val="28"/>
        </w:rPr>
        <w:t>。</w:t>
      </w:r>
    </w:p>
    <w:p w14:paraId="75688E74">
      <w:pPr>
        <w:pStyle w:val="7"/>
        <w:keepLines w:val="0"/>
        <w:widowControl/>
        <w:tabs>
          <w:tab w:val="left" w:pos="993"/>
        </w:tabs>
        <w:adjustRightInd w:val="0"/>
        <w:snapToGrid w:val="0"/>
        <w:spacing w:after="120" w:afterLines="50"/>
        <w:jc w:val="left"/>
        <w:rPr>
          <w:rFonts w:ascii="Times New Roman" w:hAnsi="Times New Roman" w:eastAsia="仿宋"/>
          <w:b/>
        </w:rPr>
      </w:pPr>
      <w:bookmarkStart w:id="219" w:name="_Ref369213964"/>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.8.4公用及辅助工程汇总</w:t>
      </w:r>
    </w:p>
    <w:p w14:paraId="2BE1B8FC">
      <w:pPr>
        <w:pStyle w:val="3"/>
        <w:spacing w:after="0" w:line="500" w:lineRule="exact"/>
        <w:ind w:left="480" w:firstLine="560"/>
        <w:rPr>
          <w:rFonts w:eastAsia="仿宋"/>
          <w:sz w:val="28"/>
          <w:szCs w:val="28"/>
        </w:rPr>
      </w:pPr>
      <w:r>
        <w:rPr>
          <w:rFonts w:eastAsia="仿宋"/>
          <w:sz w:val="28"/>
          <w:szCs w:val="28"/>
        </w:rPr>
        <w:t>本项目公用工程及辅助工程汇总见表3.1-14。</w:t>
      </w:r>
    </w:p>
    <w:p w14:paraId="2289328F">
      <w:pPr>
        <w:pStyle w:val="168"/>
        <w:ind w:firstLine="0" w:firstLineChars="0"/>
        <w:rPr>
          <w:rFonts w:ascii="Times New Roman" w:eastAsia="仿宋"/>
        </w:rPr>
      </w:pPr>
      <w:r>
        <w:rPr>
          <w:rFonts w:ascii="Times New Roman" w:eastAsia="仿宋"/>
        </w:rPr>
        <w:br w:type="page"/>
      </w:r>
      <w:r>
        <w:rPr>
          <w:rFonts w:ascii="Times New Roman" w:eastAsia="仿宋"/>
        </w:rPr>
        <w:t>表</w:t>
      </w:r>
      <w:bookmarkEnd w:id="219"/>
      <w:r>
        <w:rPr>
          <w:rFonts w:ascii="Times New Roman" w:eastAsia="仿宋"/>
        </w:rPr>
        <w:t>3.1-14   本项目公用及辅助工程汇总表</w:t>
      </w:r>
    </w:p>
    <w:tbl>
      <w:tblPr>
        <w:tblStyle w:val="87"/>
        <w:tblW w:w="8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616"/>
        <w:gridCol w:w="425"/>
        <w:gridCol w:w="168"/>
        <w:gridCol w:w="1575"/>
        <w:gridCol w:w="3109"/>
        <w:gridCol w:w="2948"/>
      </w:tblGrid>
      <w:tr w14:paraId="24B0E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tcBorders>
              <w:bottom w:val="single" w:color="auto" w:sz="4" w:space="0"/>
            </w:tcBorders>
            <w:vAlign w:val="center"/>
          </w:tcPr>
          <w:p w14:paraId="02849249">
            <w:pPr>
              <w:jc w:val="center"/>
              <w:rPr>
                <w:rFonts w:ascii="Times New Roman" w:eastAsia="仿宋"/>
                <w:bCs/>
                <w:szCs w:val="21"/>
              </w:rPr>
            </w:pPr>
            <w:r>
              <w:rPr>
                <w:rFonts w:ascii="Times New Roman" w:eastAsia="仿宋"/>
                <w:bCs/>
                <w:szCs w:val="21"/>
              </w:rPr>
              <w:t>工程类别</w:t>
            </w:r>
          </w:p>
        </w:tc>
        <w:tc>
          <w:tcPr>
            <w:tcW w:w="2168" w:type="dxa"/>
            <w:gridSpan w:val="3"/>
            <w:tcBorders>
              <w:bottom w:val="single" w:color="auto" w:sz="4" w:space="0"/>
            </w:tcBorders>
            <w:vAlign w:val="center"/>
          </w:tcPr>
          <w:p w14:paraId="1D568917">
            <w:pPr>
              <w:jc w:val="center"/>
              <w:rPr>
                <w:rFonts w:ascii="Times New Roman" w:eastAsia="仿宋"/>
                <w:bCs/>
                <w:szCs w:val="21"/>
              </w:rPr>
            </w:pPr>
            <w:r>
              <w:rPr>
                <w:rFonts w:ascii="Times New Roman" w:eastAsia="仿宋"/>
                <w:bCs/>
                <w:szCs w:val="21"/>
              </w:rPr>
              <w:t>建设名称</w:t>
            </w:r>
          </w:p>
        </w:tc>
        <w:tc>
          <w:tcPr>
            <w:tcW w:w="3109" w:type="dxa"/>
            <w:vAlign w:val="center"/>
          </w:tcPr>
          <w:p w14:paraId="78FD8A37">
            <w:pPr>
              <w:jc w:val="center"/>
              <w:rPr>
                <w:rFonts w:ascii="Times New Roman" w:eastAsia="仿宋"/>
                <w:bCs/>
                <w:szCs w:val="21"/>
              </w:rPr>
            </w:pPr>
            <w:r>
              <w:rPr>
                <w:rFonts w:ascii="Times New Roman" w:eastAsia="仿宋"/>
                <w:bCs/>
                <w:szCs w:val="21"/>
              </w:rPr>
              <w:t>设计能力</w:t>
            </w:r>
          </w:p>
        </w:tc>
        <w:tc>
          <w:tcPr>
            <w:tcW w:w="2948" w:type="dxa"/>
            <w:vAlign w:val="center"/>
          </w:tcPr>
          <w:p w14:paraId="4438169F">
            <w:pPr>
              <w:jc w:val="center"/>
              <w:rPr>
                <w:rFonts w:ascii="Times New Roman" w:eastAsia="仿宋"/>
                <w:bCs/>
                <w:szCs w:val="21"/>
              </w:rPr>
            </w:pPr>
            <w:r>
              <w:rPr>
                <w:rFonts w:ascii="Times New Roman" w:eastAsia="仿宋"/>
                <w:bCs/>
                <w:szCs w:val="21"/>
              </w:rPr>
              <w:t>备注</w:t>
            </w:r>
          </w:p>
        </w:tc>
      </w:tr>
      <w:tr w14:paraId="7733F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restart"/>
            <w:vAlign w:val="center"/>
          </w:tcPr>
          <w:p w14:paraId="6C75783E">
            <w:pPr>
              <w:jc w:val="center"/>
              <w:rPr>
                <w:rFonts w:ascii="Times New Roman" w:eastAsia="仿宋"/>
                <w:bCs/>
                <w:szCs w:val="21"/>
              </w:rPr>
            </w:pPr>
            <w:r>
              <w:rPr>
                <w:rFonts w:ascii="Times New Roman" w:eastAsia="仿宋"/>
                <w:szCs w:val="21"/>
              </w:rPr>
              <w:t>贮运工程</w:t>
            </w:r>
          </w:p>
        </w:tc>
        <w:tc>
          <w:tcPr>
            <w:tcW w:w="2168" w:type="dxa"/>
            <w:gridSpan w:val="3"/>
            <w:vAlign w:val="center"/>
          </w:tcPr>
          <w:p w14:paraId="68194624">
            <w:pPr>
              <w:jc w:val="center"/>
              <w:rPr>
                <w:rFonts w:ascii="Times New Roman" w:eastAsia="仿宋"/>
                <w:szCs w:val="21"/>
              </w:rPr>
            </w:pPr>
            <w:r>
              <w:rPr>
                <w:rFonts w:hint="eastAsia" w:ascii="Times New Roman" w:eastAsia="仿宋"/>
                <w:szCs w:val="21"/>
              </w:rPr>
              <w:t>原料堆放区</w:t>
            </w:r>
          </w:p>
        </w:tc>
        <w:tc>
          <w:tcPr>
            <w:tcW w:w="3109" w:type="dxa"/>
            <w:tcBorders>
              <w:bottom w:val="single" w:color="auto" w:sz="4" w:space="0"/>
            </w:tcBorders>
            <w:vAlign w:val="center"/>
          </w:tcPr>
          <w:p w14:paraId="1D710FC6">
            <w:pPr>
              <w:jc w:val="center"/>
              <w:rPr>
                <w:rFonts w:ascii="Times New Roman" w:eastAsia="仿宋"/>
                <w:szCs w:val="21"/>
              </w:rPr>
            </w:pPr>
            <w:r>
              <w:rPr>
                <w:rFonts w:hint="eastAsia" w:ascii="Times New Roman" w:eastAsia="仿宋"/>
                <w:szCs w:val="21"/>
              </w:rPr>
              <w:t>300m</w:t>
            </w:r>
            <w:r>
              <w:rPr>
                <w:rFonts w:ascii="Times New Roman" w:eastAsia="仿宋"/>
                <w:szCs w:val="21"/>
                <w:vertAlign w:val="superscript"/>
              </w:rPr>
              <w:t>2</w:t>
            </w:r>
          </w:p>
        </w:tc>
        <w:tc>
          <w:tcPr>
            <w:tcW w:w="2948" w:type="dxa"/>
            <w:vAlign w:val="center"/>
          </w:tcPr>
          <w:p w14:paraId="20916107">
            <w:pPr>
              <w:jc w:val="center"/>
              <w:rPr>
                <w:rFonts w:ascii="Times New Roman" w:eastAsia="仿宋"/>
                <w:szCs w:val="21"/>
              </w:rPr>
            </w:pPr>
            <w:r>
              <w:rPr>
                <w:rFonts w:ascii="Times New Roman" w:eastAsia="仿宋"/>
                <w:szCs w:val="21"/>
              </w:rPr>
              <w:t>位于</w:t>
            </w:r>
            <w:r>
              <w:rPr>
                <w:rFonts w:hint="eastAsia" w:ascii="Times New Roman" w:eastAsia="仿宋"/>
                <w:szCs w:val="21"/>
              </w:rPr>
              <w:t>4号钣金车间东侧，存放铝板、焊材</w:t>
            </w:r>
          </w:p>
        </w:tc>
      </w:tr>
      <w:tr w14:paraId="7DEA8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5ABA05C6">
            <w:pPr>
              <w:jc w:val="center"/>
              <w:rPr>
                <w:rFonts w:ascii="Times New Roman" w:eastAsia="仿宋"/>
                <w:szCs w:val="21"/>
              </w:rPr>
            </w:pPr>
          </w:p>
        </w:tc>
        <w:tc>
          <w:tcPr>
            <w:tcW w:w="2168" w:type="dxa"/>
            <w:gridSpan w:val="3"/>
            <w:vAlign w:val="center"/>
          </w:tcPr>
          <w:p w14:paraId="77CD298E">
            <w:pPr>
              <w:jc w:val="center"/>
              <w:rPr>
                <w:rFonts w:ascii="Times New Roman" w:eastAsia="仿宋"/>
                <w:szCs w:val="21"/>
              </w:rPr>
            </w:pPr>
            <w:r>
              <w:rPr>
                <w:rFonts w:hint="eastAsia" w:ascii="Times New Roman" w:eastAsia="仿宋"/>
                <w:szCs w:val="21"/>
              </w:rPr>
              <w:t>油漆仓库</w:t>
            </w:r>
          </w:p>
        </w:tc>
        <w:tc>
          <w:tcPr>
            <w:tcW w:w="3109" w:type="dxa"/>
            <w:tcBorders>
              <w:bottom w:val="single" w:color="auto" w:sz="4" w:space="0"/>
            </w:tcBorders>
            <w:vAlign w:val="center"/>
          </w:tcPr>
          <w:p w14:paraId="3DAEFF6B">
            <w:pPr>
              <w:jc w:val="center"/>
              <w:rPr>
                <w:rFonts w:ascii="Times New Roman" w:eastAsia="仿宋"/>
                <w:szCs w:val="21"/>
              </w:rPr>
            </w:pPr>
            <w:r>
              <w:rPr>
                <w:rFonts w:hint="eastAsia" w:ascii="Times New Roman" w:eastAsia="仿宋"/>
                <w:szCs w:val="21"/>
              </w:rPr>
              <w:t>4</w:t>
            </w:r>
            <w:r>
              <w:rPr>
                <w:rFonts w:ascii="Times New Roman" w:eastAsia="仿宋"/>
                <w:szCs w:val="21"/>
              </w:rPr>
              <w:t>0</w:t>
            </w:r>
            <w:r>
              <w:rPr>
                <w:rFonts w:hint="eastAsia" w:ascii="Times New Roman" w:eastAsia="仿宋"/>
                <w:szCs w:val="21"/>
              </w:rPr>
              <w:t>m</w:t>
            </w:r>
            <w:r>
              <w:rPr>
                <w:rFonts w:ascii="Times New Roman" w:eastAsia="仿宋"/>
                <w:szCs w:val="21"/>
                <w:vertAlign w:val="superscript"/>
              </w:rPr>
              <w:t>2</w:t>
            </w:r>
          </w:p>
        </w:tc>
        <w:tc>
          <w:tcPr>
            <w:tcW w:w="2948" w:type="dxa"/>
            <w:vAlign w:val="center"/>
          </w:tcPr>
          <w:p w14:paraId="3E84BBAB">
            <w:pPr>
              <w:jc w:val="center"/>
              <w:rPr>
                <w:rFonts w:ascii="Times New Roman" w:eastAsia="仿宋"/>
                <w:szCs w:val="21"/>
              </w:rPr>
            </w:pPr>
            <w:r>
              <w:rPr>
                <w:rFonts w:hint="eastAsia" w:ascii="Times New Roman" w:eastAsia="仿宋"/>
                <w:szCs w:val="21"/>
              </w:rPr>
              <w:t>位于3号喷涂车间东侧，存放氟碳底漆、氟碳面漆、稀释剂等原料</w:t>
            </w:r>
          </w:p>
        </w:tc>
      </w:tr>
      <w:tr w14:paraId="470B4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45AFA360">
            <w:pPr>
              <w:jc w:val="center"/>
              <w:rPr>
                <w:rFonts w:ascii="Times New Roman" w:eastAsia="仿宋"/>
                <w:szCs w:val="21"/>
              </w:rPr>
            </w:pPr>
          </w:p>
        </w:tc>
        <w:tc>
          <w:tcPr>
            <w:tcW w:w="2168" w:type="dxa"/>
            <w:gridSpan w:val="3"/>
            <w:vAlign w:val="center"/>
          </w:tcPr>
          <w:p w14:paraId="30F03B9B">
            <w:pPr>
              <w:jc w:val="center"/>
              <w:rPr>
                <w:rFonts w:ascii="Times New Roman" w:eastAsia="仿宋"/>
                <w:szCs w:val="21"/>
              </w:rPr>
            </w:pPr>
            <w:r>
              <w:rPr>
                <w:rFonts w:hint="eastAsia" w:ascii="Times New Roman" w:eastAsia="仿宋"/>
                <w:szCs w:val="21"/>
              </w:rPr>
              <w:t>粉仓库</w:t>
            </w:r>
          </w:p>
        </w:tc>
        <w:tc>
          <w:tcPr>
            <w:tcW w:w="3109" w:type="dxa"/>
            <w:tcBorders>
              <w:bottom w:val="single" w:color="auto" w:sz="4" w:space="0"/>
            </w:tcBorders>
            <w:vAlign w:val="center"/>
          </w:tcPr>
          <w:p w14:paraId="0D1C3B0F">
            <w:pPr>
              <w:jc w:val="center"/>
              <w:rPr>
                <w:rFonts w:ascii="Times New Roman" w:eastAsia="仿宋"/>
                <w:szCs w:val="21"/>
              </w:rPr>
            </w:pPr>
            <w:r>
              <w:rPr>
                <w:rFonts w:hint="eastAsia" w:ascii="Times New Roman" w:eastAsia="仿宋"/>
                <w:szCs w:val="21"/>
              </w:rPr>
              <w:t>4</w:t>
            </w:r>
            <w:r>
              <w:rPr>
                <w:rFonts w:ascii="Times New Roman" w:eastAsia="仿宋"/>
                <w:szCs w:val="21"/>
              </w:rPr>
              <w:t>0</w:t>
            </w:r>
            <w:r>
              <w:rPr>
                <w:rFonts w:hint="eastAsia" w:ascii="Times New Roman" w:eastAsia="仿宋"/>
                <w:szCs w:val="21"/>
              </w:rPr>
              <w:t>m</w:t>
            </w:r>
            <w:r>
              <w:rPr>
                <w:rFonts w:ascii="Times New Roman" w:eastAsia="仿宋"/>
                <w:szCs w:val="21"/>
                <w:vertAlign w:val="superscript"/>
              </w:rPr>
              <w:t>2</w:t>
            </w:r>
          </w:p>
        </w:tc>
        <w:tc>
          <w:tcPr>
            <w:tcW w:w="2948" w:type="dxa"/>
            <w:vAlign w:val="center"/>
          </w:tcPr>
          <w:p w14:paraId="6E8C0B58">
            <w:pPr>
              <w:jc w:val="center"/>
              <w:rPr>
                <w:rFonts w:ascii="Times New Roman" w:eastAsia="仿宋"/>
                <w:szCs w:val="21"/>
              </w:rPr>
            </w:pPr>
            <w:r>
              <w:rPr>
                <w:rFonts w:hint="eastAsia" w:ascii="Times New Roman" w:eastAsia="仿宋"/>
                <w:szCs w:val="21"/>
              </w:rPr>
              <w:t>位于3号喷涂车间东侧，存放塑粉、金刚砂等原料</w:t>
            </w:r>
          </w:p>
        </w:tc>
      </w:tr>
      <w:tr w14:paraId="4070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5C8C8624">
            <w:pPr>
              <w:jc w:val="center"/>
              <w:rPr>
                <w:rFonts w:ascii="Times New Roman" w:eastAsia="仿宋"/>
                <w:szCs w:val="21"/>
              </w:rPr>
            </w:pPr>
          </w:p>
        </w:tc>
        <w:tc>
          <w:tcPr>
            <w:tcW w:w="2168" w:type="dxa"/>
            <w:gridSpan w:val="3"/>
            <w:vAlign w:val="center"/>
          </w:tcPr>
          <w:p w14:paraId="7F744229">
            <w:pPr>
              <w:jc w:val="center"/>
              <w:rPr>
                <w:rFonts w:ascii="Times New Roman" w:eastAsia="仿宋"/>
                <w:szCs w:val="21"/>
              </w:rPr>
            </w:pPr>
            <w:r>
              <w:rPr>
                <w:rFonts w:hint="eastAsia" w:ascii="Times New Roman" w:eastAsia="仿宋"/>
                <w:szCs w:val="21"/>
              </w:rPr>
              <w:t>仓库</w:t>
            </w:r>
          </w:p>
        </w:tc>
        <w:tc>
          <w:tcPr>
            <w:tcW w:w="3109" w:type="dxa"/>
            <w:tcBorders>
              <w:bottom w:val="single" w:color="auto" w:sz="4" w:space="0"/>
            </w:tcBorders>
            <w:vAlign w:val="center"/>
          </w:tcPr>
          <w:p w14:paraId="502E533F">
            <w:pPr>
              <w:jc w:val="center"/>
              <w:rPr>
                <w:rFonts w:ascii="Times New Roman" w:eastAsia="仿宋"/>
                <w:szCs w:val="21"/>
              </w:rPr>
            </w:pPr>
            <w:r>
              <w:rPr>
                <w:rFonts w:hint="eastAsia" w:ascii="Times New Roman" w:eastAsia="仿宋"/>
                <w:szCs w:val="21"/>
              </w:rPr>
              <w:t>4</w:t>
            </w:r>
            <w:r>
              <w:rPr>
                <w:rFonts w:ascii="Times New Roman" w:eastAsia="仿宋"/>
                <w:szCs w:val="21"/>
              </w:rPr>
              <w:t>0</w:t>
            </w:r>
            <w:r>
              <w:rPr>
                <w:rFonts w:hint="eastAsia" w:ascii="Times New Roman" w:eastAsia="仿宋"/>
                <w:szCs w:val="21"/>
              </w:rPr>
              <w:t>m</w:t>
            </w:r>
            <w:r>
              <w:rPr>
                <w:rFonts w:ascii="Times New Roman" w:eastAsia="仿宋"/>
                <w:szCs w:val="21"/>
                <w:vertAlign w:val="superscript"/>
              </w:rPr>
              <w:t>2</w:t>
            </w:r>
          </w:p>
        </w:tc>
        <w:tc>
          <w:tcPr>
            <w:tcW w:w="2948" w:type="dxa"/>
            <w:vAlign w:val="center"/>
          </w:tcPr>
          <w:p w14:paraId="64249521">
            <w:pPr>
              <w:jc w:val="center"/>
              <w:rPr>
                <w:rFonts w:ascii="Times New Roman" w:eastAsia="仿宋"/>
                <w:szCs w:val="21"/>
              </w:rPr>
            </w:pPr>
            <w:r>
              <w:rPr>
                <w:rFonts w:hint="eastAsia" w:ascii="Times New Roman" w:eastAsia="仿宋"/>
                <w:szCs w:val="21"/>
              </w:rPr>
              <w:t>位于3号喷涂车间东侧，存放脱脂剂、钝化剂、润滑油等原料</w:t>
            </w:r>
          </w:p>
        </w:tc>
      </w:tr>
      <w:tr w14:paraId="13F33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5D513DE3">
            <w:pPr>
              <w:jc w:val="center"/>
              <w:rPr>
                <w:rFonts w:ascii="Times New Roman" w:eastAsia="仿宋"/>
                <w:szCs w:val="21"/>
              </w:rPr>
            </w:pPr>
          </w:p>
        </w:tc>
        <w:tc>
          <w:tcPr>
            <w:tcW w:w="2168" w:type="dxa"/>
            <w:gridSpan w:val="3"/>
            <w:vAlign w:val="center"/>
          </w:tcPr>
          <w:p w14:paraId="394843F0">
            <w:pPr>
              <w:jc w:val="center"/>
              <w:rPr>
                <w:rFonts w:ascii="Times New Roman" w:eastAsia="仿宋"/>
                <w:szCs w:val="21"/>
              </w:rPr>
            </w:pPr>
            <w:r>
              <w:rPr>
                <w:rFonts w:hint="eastAsia" w:ascii="Times New Roman" w:eastAsia="仿宋"/>
                <w:szCs w:val="21"/>
              </w:rPr>
              <w:t>成品堆放区</w:t>
            </w:r>
          </w:p>
        </w:tc>
        <w:tc>
          <w:tcPr>
            <w:tcW w:w="3109" w:type="dxa"/>
            <w:tcBorders>
              <w:bottom w:val="single" w:color="auto" w:sz="4" w:space="0"/>
            </w:tcBorders>
            <w:vAlign w:val="center"/>
          </w:tcPr>
          <w:p w14:paraId="158D1E99">
            <w:pPr>
              <w:jc w:val="center"/>
              <w:rPr>
                <w:rFonts w:ascii="Times New Roman" w:eastAsia="仿宋"/>
                <w:szCs w:val="21"/>
              </w:rPr>
            </w:pPr>
            <w:r>
              <w:rPr>
                <w:rFonts w:hint="eastAsia" w:ascii="Times New Roman" w:eastAsia="仿宋"/>
                <w:szCs w:val="21"/>
              </w:rPr>
              <w:t>300m</w:t>
            </w:r>
            <w:r>
              <w:rPr>
                <w:rFonts w:ascii="Times New Roman" w:eastAsia="仿宋"/>
                <w:szCs w:val="21"/>
                <w:vertAlign w:val="superscript"/>
              </w:rPr>
              <w:t>2</w:t>
            </w:r>
          </w:p>
        </w:tc>
        <w:tc>
          <w:tcPr>
            <w:tcW w:w="2948" w:type="dxa"/>
            <w:vAlign w:val="center"/>
          </w:tcPr>
          <w:p w14:paraId="2EE21273">
            <w:pPr>
              <w:jc w:val="center"/>
              <w:rPr>
                <w:rFonts w:ascii="Times New Roman" w:eastAsia="仿宋"/>
                <w:szCs w:val="21"/>
              </w:rPr>
            </w:pPr>
            <w:r>
              <w:rPr>
                <w:rFonts w:ascii="Times New Roman" w:eastAsia="仿宋"/>
                <w:szCs w:val="21"/>
              </w:rPr>
              <w:t>位于</w:t>
            </w:r>
            <w:r>
              <w:rPr>
                <w:rFonts w:hint="eastAsia" w:ascii="Times New Roman" w:eastAsia="仿宋"/>
                <w:szCs w:val="21"/>
              </w:rPr>
              <w:t>4号钣金车间西侧</w:t>
            </w:r>
          </w:p>
        </w:tc>
      </w:tr>
      <w:tr w14:paraId="7BEC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restart"/>
            <w:tcBorders>
              <w:top w:val="single" w:color="auto" w:sz="4" w:space="0"/>
            </w:tcBorders>
            <w:vAlign w:val="center"/>
          </w:tcPr>
          <w:p w14:paraId="2C9819C9">
            <w:pPr>
              <w:jc w:val="center"/>
              <w:rPr>
                <w:rFonts w:ascii="Times New Roman" w:eastAsia="仿宋"/>
                <w:bCs/>
                <w:szCs w:val="21"/>
              </w:rPr>
            </w:pPr>
            <w:r>
              <w:rPr>
                <w:rFonts w:ascii="Times New Roman" w:eastAsia="仿宋"/>
                <w:bCs/>
                <w:szCs w:val="21"/>
              </w:rPr>
              <w:t>公用工程</w:t>
            </w:r>
          </w:p>
        </w:tc>
        <w:tc>
          <w:tcPr>
            <w:tcW w:w="2168" w:type="dxa"/>
            <w:gridSpan w:val="3"/>
            <w:tcBorders>
              <w:top w:val="single" w:color="auto" w:sz="4" w:space="0"/>
            </w:tcBorders>
            <w:vAlign w:val="center"/>
          </w:tcPr>
          <w:p w14:paraId="673C4CE7">
            <w:pPr>
              <w:jc w:val="center"/>
              <w:rPr>
                <w:rFonts w:ascii="Times New Roman" w:eastAsia="仿宋"/>
                <w:szCs w:val="21"/>
              </w:rPr>
            </w:pPr>
            <w:r>
              <w:rPr>
                <w:rFonts w:ascii="Times New Roman" w:eastAsia="仿宋"/>
                <w:szCs w:val="21"/>
              </w:rPr>
              <w:t>给水</w:t>
            </w:r>
          </w:p>
        </w:tc>
        <w:tc>
          <w:tcPr>
            <w:tcW w:w="3109" w:type="dxa"/>
            <w:vAlign w:val="center"/>
          </w:tcPr>
          <w:p w14:paraId="3F24038F">
            <w:pPr>
              <w:jc w:val="center"/>
              <w:rPr>
                <w:rFonts w:ascii="Times New Roman" w:eastAsia="仿宋"/>
                <w:szCs w:val="21"/>
              </w:rPr>
            </w:pPr>
            <w:r>
              <w:rPr>
                <w:rFonts w:ascii="Times New Roman" w:eastAsia="仿宋"/>
                <w:szCs w:val="21"/>
              </w:rPr>
              <w:t>3590</w:t>
            </w:r>
            <w:r>
              <w:rPr>
                <w:rFonts w:hint="eastAsia" w:ascii="Times New Roman" w:eastAsia="仿宋"/>
                <w:szCs w:val="21"/>
              </w:rPr>
              <w:t>t</w:t>
            </w:r>
            <w:r>
              <w:rPr>
                <w:rFonts w:ascii="Times New Roman" w:eastAsia="仿宋"/>
                <w:szCs w:val="21"/>
              </w:rPr>
              <w:t>/a</w:t>
            </w:r>
          </w:p>
        </w:tc>
        <w:tc>
          <w:tcPr>
            <w:tcW w:w="2948" w:type="dxa"/>
            <w:vAlign w:val="center"/>
          </w:tcPr>
          <w:p w14:paraId="60F6B055">
            <w:pPr>
              <w:jc w:val="center"/>
              <w:rPr>
                <w:rFonts w:ascii="Times New Roman" w:eastAsia="仿宋"/>
                <w:szCs w:val="21"/>
              </w:rPr>
            </w:pPr>
            <w:r>
              <w:rPr>
                <w:rFonts w:ascii="Times New Roman" w:eastAsia="仿宋"/>
                <w:szCs w:val="21"/>
              </w:rPr>
              <w:t>城市自来水厂供应</w:t>
            </w:r>
          </w:p>
        </w:tc>
      </w:tr>
      <w:tr w14:paraId="0FA0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66088B9D">
            <w:pPr>
              <w:jc w:val="center"/>
              <w:rPr>
                <w:rFonts w:ascii="Times New Roman" w:eastAsia="仿宋"/>
                <w:bCs/>
                <w:szCs w:val="21"/>
              </w:rPr>
            </w:pPr>
          </w:p>
        </w:tc>
        <w:tc>
          <w:tcPr>
            <w:tcW w:w="2168" w:type="dxa"/>
            <w:gridSpan w:val="3"/>
            <w:vAlign w:val="center"/>
          </w:tcPr>
          <w:p w14:paraId="43E69EA2">
            <w:pPr>
              <w:jc w:val="center"/>
              <w:rPr>
                <w:rFonts w:ascii="Times New Roman" w:eastAsia="仿宋"/>
                <w:szCs w:val="21"/>
              </w:rPr>
            </w:pPr>
            <w:r>
              <w:rPr>
                <w:rFonts w:ascii="Times New Roman" w:eastAsia="仿宋"/>
                <w:szCs w:val="21"/>
              </w:rPr>
              <w:t>排水</w:t>
            </w:r>
          </w:p>
        </w:tc>
        <w:tc>
          <w:tcPr>
            <w:tcW w:w="3109" w:type="dxa"/>
            <w:vAlign w:val="center"/>
          </w:tcPr>
          <w:p w14:paraId="0BF47BD4">
            <w:pPr>
              <w:jc w:val="center"/>
              <w:rPr>
                <w:rFonts w:ascii="Times New Roman" w:eastAsia="仿宋"/>
                <w:szCs w:val="21"/>
              </w:rPr>
            </w:pPr>
            <w:r>
              <w:rPr>
                <w:rFonts w:ascii="Times New Roman" w:eastAsia="仿宋"/>
                <w:szCs w:val="21"/>
              </w:rPr>
              <w:t>2067.4t</w:t>
            </w:r>
            <w:r>
              <w:rPr>
                <w:rFonts w:hint="eastAsia" w:ascii="Times New Roman" w:eastAsia="仿宋"/>
                <w:szCs w:val="21"/>
              </w:rPr>
              <w:t>/</w:t>
            </w:r>
            <w:r>
              <w:rPr>
                <w:rFonts w:ascii="Times New Roman" w:eastAsia="仿宋"/>
                <w:szCs w:val="21"/>
              </w:rPr>
              <w:t>a</w:t>
            </w:r>
          </w:p>
        </w:tc>
        <w:tc>
          <w:tcPr>
            <w:tcW w:w="2948" w:type="dxa"/>
            <w:vAlign w:val="center"/>
          </w:tcPr>
          <w:p w14:paraId="55908BB7">
            <w:pPr>
              <w:jc w:val="center"/>
              <w:rPr>
                <w:rFonts w:ascii="Times New Roman" w:eastAsia="仿宋"/>
                <w:szCs w:val="21"/>
              </w:rPr>
            </w:pPr>
            <w:r>
              <w:rPr>
                <w:rFonts w:ascii="Times New Roman" w:eastAsia="仿宋"/>
                <w:szCs w:val="21"/>
              </w:rPr>
              <w:t>依托原有污水管网</w:t>
            </w:r>
          </w:p>
        </w:tc>
      </w:tr>
      <w:tr w14:paraId="52C7B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3D3484C9">
            <w:pPr>
              <w:jc w:val="center"/>
              <w:rPr>
                <w:rFonts w:ascii="Times New Roman" w:eastAsia="仿宋"/>
                <w:bCs/>
                <w:szCs w:val="21"/>
              </w:rPr>
            </w:pPr>
          </w:p>
        </w:tc>
        <w:tc>
          <w:tcPr>
            <w:tcW w:w="2168" w:type="dxa"/>
            <w:gridSpan w:val="3"/>
            <w:vAlign w:val="center"/>
          </w:tcPr>
          <w:p w14:paraId="291DBDFC">
            <w:pPr>
              <w:jc w:val="center"/>
              <w:rPr>
                <w:rFonts w:ascii="Times New Roman" w:eastAsia="仿宋"/>
                <w:szCs w:val="21"/>
              </w:rPr>
            </w:pPr>
            <w:r>
              <w:rPr>
                <w:rFonts w:ascii="Times New Roman" w:eastAsia="仿宋"/>
                <w:szCs w:val="21"/>
              </w:rPr>
              <w:t>供电</w:t>
            </w:r>
          </w:p>
        </w:tc>
        <w:tc>
          <w:tcPr>
            <w:tcW w:w="3109" w:type="dxa"/>
            <w:vAlign w:val="center"/>
          </w:tcPr>
          <w:p w14:paraId="37B44DA1">
            <w:pPr>
              <w:jc w:val="center"/>
              <w:rPr>
                <w:rFonts w:ascii="Times New Roman" w:eastAsia="仿宋"/>
                <w:szCs w:val="21"/>
              </w:rPr>
            </w:pPr>
            <w:r>
              <w:rPr>
                <w:rFonts w:hint="eastAsia" w:ascii="Times New Roman" w:eastAsia="仿宋"/>
                <w:szCs w:val="21"/>
              </w:rPr>
              <w:t>2</w:t>
            </w:r>
            <w:r>
              <w:rPr>
                <w:rFonts w:ascii="Times New Roman" w:eastAsia="仿宋"/>
                <w:szCs w:val="21"/>
              </w:rPr>
              <w:t>00万kwh/a</w:t>
            </w:r>
          </w:p>
        </w:tc>
        <w:tc>
          <w:tcPr>
            <w:tcW w:w="2948" w:type="dxa"/>
            <w:vAlign w:val="center"/>
          </w:tcPr>
          <w:p w14:paraId="134D4010">
            <w:pPr>
              <w:jc w:val="center"/>
              <w:rPr>
                <w:rFonts w:ascii="Times New Roman" w:eastAsia="仿宋"/>
                <w:szCs w:val="21"/>
              </w:rPr>
            </w:pPr>
            <w:r>
              <w:rPr>
                <w:rFonts w:hint="eastAsia" w:ascii="Times New Roman" w:eastAsia="仿宋"/>
                <w:szCs w:val="21"/>
              </w:rPr>
              <w:t>依托区域供电管网，由市政管网供给</w:t>
            </w:r>
          </w:p>
        </w:tc>
      </w:tr>
      <w:tr w14:paraId="5645E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60" w:hRule="atLeast"/>
          <w:jc w:val="center"/>
        </w:trPr>
        <w:tc>
          <w:tcPr>
            <w:tcW w:w="616" w:type="dxa"/>
            <w:vMerge w:val="continue"/>
            <w:vAlign w:val="center"/>
          </w:tcPr>
          <w:p w14:paraId="783EBBFF">
            <w:pPr>
              <w:jc w:val="center"/>
              <w:rPr>
                <w:rFonts w:ascii="Times New Roman" w:eastAsia="仿宋"/>
                <w:bCs/>
                <w:szCs w:val="21"/>
              </w:rPr>
            </w:pPr>
          </w:p>
        </w:tc>
        <w:tc>
          <w:tcPr>
            <w:tcW w:w="2168" w:type="dxa"/>
            <w:gridSpan w:val="3"/>
            <w:vAlign w:val="center"/>
          </w:tcPr>
          <w:p w14:paraId="52B33DC7">
            <w:pPr>
              <w:jc w:val="center"/>
              <w:rPr>
                <w:rFonts w:ascii="Times New Roman" w:eastAsia="仿宋"/>
                <w:szCs w:val="21"/>
              </w:rPr>
            </w:pPr>
            <w:r>
              <w:rPr>
                <w:rFonts w:hint="eastAsia" w:ascii="Times New Roman" w:eastAsia="仿宋"/>
                <w:szCs w:val="21"/>
              </w:rPr>
              <w:t>供气</w:t>
            </w:r>
          </w:p>
        </w:tc>
        <w:tc>
          <w:tcPr>
            <w:tcW w:w="3109" w:type="dxa"/>
            <w:vAlign w:val="center"/>
          </w:tcPr>
          <w:p w14:paraId="7F9D7CE8">
            <w:pPr>
              <w:jc w:val="center"/>
              <w:rPr>
                <w:rFonts w:ascii="Times New Roman" w:eastAsia="仿宋"/>
                <w:szCs w:val="21"/>
              </w:rPr>
            </w:pPr>
            <w:r>
              <w:rPr>
                <w:rFonts w:hint="eastAsia" w:ascii="Times New Roman" w:eastAsia="仿宋"/>
                <w:szCs w:val="21"/>
              </w:rPr>
              <w:t>60万m</w:t>
            </w:r>
            <w:r>
              <w:rPr>
                <w:rFonts w:hint="eastAsia" w:ascii="Times New Roman" w:eastAsia="仿宋"/>
                <w:szCs w:val="21"/>
                <w:vertAlign w:val="superscript"/>
              </w:rPr>
              <w:t>3</w:t>
            </w:r>
            <w:r>
              <w:rPr>
                <w:rFonts w:hint="eastAsia" w:ascii="Times New Roman" w:eastAsia="仿宋"/>
                <w:szCs w:val="21"/>
              </w:rPr>
              <w:t>/a</w:t>
            </w:r>
          </w:p>
        </w:tc>
        <w:tc>
          <w:tcPr>
            <w:tcW w:w="2948" w:type="dxa"/>
            <w:vAlign w:val="center"/>
          </w:tcPr>
          <w:p w14:paraId="407CFD07">
            <w:pPr>
              <w:jc w:val="center"/>
              <w:rPr>
                <w:rFonts w:ascii="Times New Roman" w:eastAsia="仿宋"/>
                <w:szCs w:val="21"/>
              </w:rPr>
            </w:pPr>
            <w:r>
              <w:rPr>
                <w:rFonts w:hint="eastAsia" w:ascii="Times New Roman" w:eastAsia="仿宋"/>
                <w:szCs w:val="21"/>
              </w:rPr>
              <w:t>依托区域供气管网，由市政燃气管网供给</w:t>
            </w:r>
          </w:p>
        </w:tc>
      </w:tr>
      <w:tr w14:paraId="0FA59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0C009715">
            <w:pPr>
              <w:jc w:val="center"/>
              <w:rPr>
                <w:rFonts w:ascii="Times New Roman" w:eastAsia="仿宋"/>
                <w:bCs/>
                <w:szCs w:val="21"/>
              </w:rPr>
            </w:pPr>
          </w:p>
        </w:tc>
        <w:tc>
          <w:tcPr>
            <w:tcW w:w="2168" w:type="dxa"/>
            <w:gridSpan w:val="3"/>
            <w:vAlign w:val="center"/>
          </w:tcPr>
          <w:p w14:paraId="2E555EEA">
            <w:pPr>
              <w:spacing w:line="240" w:lineRule="exact"/>
              <w:jc w:val="center"/>
              <w:rPr>
                <w:rFonts w:eastAsia="仿宋"/>
                <w:szCs w:val="21"/>
              </w:rPr>
            </w:pPr>
            <w:r>
              <w:rPr>
                <w:rFonts w:ascii="Times New Roman" w:eastAsia="仿宋"/>
                <w:szCs w:val="21"/>
              </w:rPr>
              <w:t>空压系统</w:t>
            </w:r>
          </w:p>
        </w:tc>
        <w:tc>
          <w:tcPr>
            <w:tcW w:w="3109" w:type="dxa"/>
            <w:vAlign w:val="center"/>
          </w:tcPr>
          <w:p w14:paraId="4FF17121">
            <w:pPr>
              <w:spacing w:line="240" w:lineRule="exact"/>
              <w:jc w:val="center"/>
              <w:rPr>
                <w:rFonts w:eastAsia="仿宋"/>
                <w:szCs w:val="21"/>
              </w:rPr>
            </w:pPr>
            <w:r>
              <w:rPr>
                <w:rFonts w:ascii="Times New Roman" w:eastAsia="仿宋"/>
                <w:szCs w:val="21"/>
              </w:rPr>
              <w:t>本项目有1套空压机组，位于空压机房。</w:t>
            </w:r>
          </w:p>
        </w:tc>
        <w:tc>
          <w:tcPr>
            <w:tcW w:w="2948" w:type="dxa"/>
            <w:vAlign w:val="center"/>
          </w:tcPr>
          <w:p w14:paraId="08F126CC">
            <w:pPr>
              <w:spacing w:line="240" w:lineRule="exact"/>
              <w:jc w:val="center"/>
              <w:rPr>
                <w:rFonts w:eastAsia="仿宋"/>
                <w:szCs w:val="21"/>
              </w:rPr>
            </w:pPr>
            <w:r>
              <w:rPr>
                <w:rFonts w:ascii="Times New Roman" w:eastAsia="仿宋"/>
                <w:szCs w:val="21"/>
              </w:rPr>
              <w:t>空压系统</w:t>
            </w:r>
          </w:p>
        </w:tc>
      </w:tr>
      <w:tr w14:paraId="1DBE5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restart"/>
            <w:vAlign w:val="center"/>
          </w:tcPr>
          <w:p w14:paraId="4DF13978">
            <w:pPr>
              <w:jc w:val="center"/>
              <w:rPr>
                <w:rFonts w:ascii="Times New Roman" w:eastAsia="仿宋"/>
                <w:bCs/>
                <w:szCs w:val="21"/>
              </w:rPr>
            </w:pPr>
            <w:r>
              <w:rPr>
                <w:rFonts w:ascii="Times New Roman" w:eastAsia="仿宋"/>
                <w:bCs/>
                <w:szCs w:val="21"/>
              </w:rPr>
              <w:t>环保工程</w:t>
            </w:r>
          </w:p>
        </w:tc>
        <w:tc>
          <w:tcPr>
            <w:tcW w:w="2168" w:type="dxa"/>
            <w:gridSpan w:val="3"/>
            <w:vAlign w:val="center"/>
          </w:tcPr>
          <w:p w14:paraId="0E420F88">
            <w:pPr>
              <w:jc w:val="center"/>
              <w:rPr>
                <w:rFonts w:ascii="Times New Roman" w:eastAsia="仿宋"/>
                <w:szCs w:val="21"/>
              </w:rPr>
            </w:pPr>
            <w:r>
              <w:rPr>
                <w:rFonts w:ascii="Times New Roman" w:eastAsia="仿宋"/>
                <w:szCs w:val="21"/>
              </w:rPr>
              <w:t>废水</w:t>
            </w:r>
          </w:p>
        </w:tc>
        <w:tc>
          <w:tcPr>
            <w:tcW w:w="3109" w:type="dxa"/>
            <w:vAlign w:val="center"/>
          </w:tcPr>
          <w:p w14:paraId="39E24786">
            <w:pPr>
              <w:jc w:val="center"/>
              <w:rPr>
                <w:rFonts w:ascii="Times New Roman" w:eastAsia="仿宋"/>
                <w:szCs w:val="21"/>
              </w:rPr>
            </w:pPr>
            <w:r>
              <w:rPr>
                <w:rFonts w:ascii="Times New Roman" w:eastAsia="仿宋"/>
                <w:szCs w:val="21"/>
              </w:rPr>
              <w:t>设计处理能力</w:t>
            </w:r>
            <w:r>
              <w:rPr>
                <w:rFonts w:hint="eastAsia" w:ascii="Times New Roman" w:eastAsia="仿宋"/>
                <w:szCs w:val="21"/>
              </w:rPr>
              <w:t>15</w:t>
            </w:r>
            <w:r>
              <w:rPr>
                <w:rFonts w:ascii="Times New Roman" w:eastAsia="仿宋"/>
                <w:szCs w:val="21"/>
              </w:rPr>
              <w:t>t/</w:t>
            </w:r>
            <w:r>
              <w:rPr>
                <w:rFonts w:hint="eastAsia" w:ascii="Times New Roman" w:eastAsia="仿宋"/>
                <w:szCs w:val="21"/>
              </w:rPr>
              <w:t>d</w:t>
            </w:r>
          </w:p>
        </w:tc>
        <w:tc>
          <w:tcPr>
            <w:tcW w:w="2948" w:type="dxa"/>
            <w:vAlign w:val="center"/>
          </w:tcPr>
          <w:p w14:paraId="3CDB0BA4">
            <w:pPr>
              <w:jc w:val="center"/>
              <w:rPr>
                <w:rFonts w:ascii="Times New Roman" w:eastAsia="仿宋"/>
                <w:szCs w:val="21"/>
              </w:rPr>
            </w:pPr>
            <w:r>
              <w:rPr>
                <w:rFonts w:hint="eastAsia" w:ascii="Times New Roman" w:eastAsia="仿宋"/>
                <w:szCs w:val="21"/>
              </w:rPr>
              <w:t>新建</w:t>
            </w:r>
            <w:r>
              <w:rPr>
                <w:rFonts w:ascii="Times New Roman" w:eastAsia="仿宋"/>
                <w:szCs w:val="21"/>
              </w:rPr>
              <w:t>，</w:t>
            </w:r>
            <w:r>
              <w:rPr>
                <w:rFonts w:hint="eastAsia" w:ascii="Times New Roman" w:eastAsia="仿宋"/>
                <w:szCs w:val="21"/>
              </w:rPr>
              <w:t>污水处理站处理工艺为“p</w:t>
            </w:r>
            <w:r>
              <w:rPr>
                <w:rFonts w:ascii="Times New Roman" w:eastAsia="仿宋"/>
                <w:szCs w:val="21"/>
              </w:rPr>
              <w:t>H</w:t>
            </w:r>
            <w:r>
              <w:rPr>
                <w:rFonts w:hint="eastAsia" w:ascii="Times New Roman" w:eastAsia="仿宋"/>
                <w:szCs w:val="21"/>
              </w:rPr>
              <w:t>调节+混凝+絮凝+沉淀+过滤装置”</w:t>
            </w:r>
          </w:p>
        </w:tc>
      </w:tr>
      <w:tr w14:paraId="34CA5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280" w:hRule="atLeast"/>
          <w:jc w:val="center"/>
        </w:trPr>
        <w:tc>
          <w:tcPr>
            <w:tcW w:w="616" w:type="dxa"/>
            <w:vMerge w:val="continue"/>
            <w:vAlign w:val="center"/>
          </w:tcPr>
          <w:p w14:paraId="31A863D6">
            <w:pPr>
              <w:jc w:val="center"/>
              <w:rPr>
                <w:rFonts w:ascii="Times New Roman" w:eastAsia="仿宋"/>
                <w:bCs/>
                <w:szCs w:val="21"/>
              </w:rPr>
            </w:pPr>
          </w:p>
        </w:tc>
        <w:tc>
          <w:tcPr>
            <w:tcW w:w="593" w:type="dxa"/>
            <w:gridSpan w:val="2"/>
            <w:vMerge w:val="restart"/>
            <w:vAlign w:val="center"/>
          </w:tcPr>
          <w:p w14:paraId="470F6550">
            <w:pPr>
              <w:jc w:val="center"/>
              <w:rPr>
                <w:rFonts w:ascii="Times New Roman" w:eastAsia="仿宋"/>
                <w:bCs/>
                <w:szCs w:val="21"/>
              </w:rPr>
            </w:pPr>
            <w:r>
              <w:rPr>
                <w:rFonts w:ascii="Times New Roman" w:eastAsia="仿宋"/>
                <w:bCs/>
                <w:szCs w:val="21"/>
              </w:rPr>
              <w:t>废气</w:t>
            </w:r>
          </w:p>
        </w:tc>
        <w:tc>
          <w:tcPr>
            <w:tcW w:w="1575" w:type="dxa"/>
            <w:vAlign w:val="center"/>
          </w:tcPr>
          <w:p w14:paraId="14BB40FE">
            <w:pPr>
              <w:jc w:val="center"/>
              <w:rPr>
                <w:rFonts w:ascii="Times New Roman" w:eastAsia="仿宋"/>
                <w:szCs w:val="21"/>
              </w:rPr>
            </w:pPr>
            <w:r>
              <w:rPr>
                <w:rFonts w:hint="eastAsia" w:ascii="Times New Roman" w:eastAsia="仿宋"/>
                <w:szCs w:val="24"/>
              </w:rPr>
              <w:t>机加工粉尘G</w:t>
            </w:r>
            <w:r>
              <w:rPr>
                <w:rFonts w:ascii="Times New Roman" w:eastAsia="仿宋"/>
                <w:szCs w:val="24"/>
              </w:rPr>
              <w:t>2</w:t>
            </w:r>
          </w:p>
        </w:tc>
        <w:tc>
          <w:tcPr>
            <w:tcW w:w="3109" w:type="dxa"/>
            <w:vAlign w:val="center"/>
          </w:tcPr>
          <w:p w14:paraId="3B1ACA6D">
            <w:pPr>
              <w:jc w:val="center"/>
              <w:rPr>
                <w:rFonts w:ascii="Times New Roman" w:eastAsia="仿宋"/>
                <w:szCs w:val="21"/>
              </w:rPr>
            </w:pPr>
            <w:r>
              <w:rPr>
                <w:rFonts w:hint="eastAsia" w:ascii="Times New Roman" w:eastAsia="仿宋"/>
                <w:szCs w:val="21"/>
              </w:rPr>
              <w:t>打磨产生的粉尘在密闭的抛丸室内收集后送入1套“湿式除尘装置处理”后，通过</w:t>
            </w:r>
            <w:r>
              <w:rPr>
                <w:rFonts w:ascii="Times New Roman" w:eastAsia="仿宋"/>
                <w:szCs w:val="21"/>
              </w:rPr>
              <w:t>1根15m高排气筒1#排放</w:t>
            </w:r>
            <w:r>
              <w:rPr>
                <w:rFonts w:hint="eastAsia" w:ascii="Times New Roman" w:eastAsia="仿宋"/>
                <w:szCs w:val="21"/>
              </w:rPr>
              <w:t>，风机风量20000</w:t>
            </w:r>
            <w:r>
              <w:rPr>
                <w:rFonts w:ascii="Times New Roman" w:eastAsia="仿宋"/>
                <w:szCs w:val="24"/>
              </w:rPr>
              <w:t>m</w:t>
            </w:r>
            <w:r>
              <w:rPr>
                <w:rFonts w:ascii="Times New Roman" w:eastAsia="仿宋"/>
                <w:szCs w:val="24"/>
                <w:vertAlign w:val="superscript"/>
              </w:rPr>
              <w:t>3</w:t>
            </w:r>
            <w:r>
              <w:rPr>
                <w:rFonts w:ascii="Times New Roman" w:eastAsia="仿宋"/>
                <w:szCs w:val="24"/>
              </w:rPr>
              <w:t>/h</w:t>
            </w:r>
          </w:p>
        </w:tc>
        <w:tc>
          <w:tcPr>
            <w:tcW w:w="2948" w:type="dxa"/>
            <w:vAlign w:val="center"/>
          </w:tcPr>
          <w:p w14:paraId="6C12F371">
            <w:pPr>
              <w:jc w:val="center"/>
              <w:rPr>
                <w:rFonts w:ascii="Times New Roman" w:eastAsia="仿宋"/>
                <w:szCs w:val="21"/>
              </w:rPr>
            </w:pPr>
            <w:r>
              <w:rPr>
                <w:rFonts w:hint="eastAsia" w:ascii="Times New Roman" w:eastAsia="仿宋"/>
                <w:szCs w:val="21"/>
              </w:rPr>
              <w:t>新建</w:t>
            </w:r>
          </w:p>
        </w:tc>
      </w:tr>
      <w:tr w14:paraId="384ED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280" w:hRule="atLeast"/>
          <w:jc w:val="center"/>
        </w:trPr>
        <w:tc>
          <w:tcPr>
            <w:tcW w:w="616" w:type="dxa"/>
            <w:vMerge w:val="continue"/>
            <w:vAlign w:val="center"/>
          </w:tcPr>
          <w:p w14:paraId="0670E09E">
            <w:pPr>
              <w:jc w:val="center"/>
              <w:rPr>
                <w:rFonts w:ascii="Times New Roman" w:eastAsia="仿宋"/>
                <w:bCs/>
                <w:szCs w:val="21"/>
              </w:rPr>
            </w:pPr>
          </w:p>
        </w:tc>
        <w:tc>
          <w:tcPr>
            <w:tcW w:w="593" w:type="dxa"/>
            <w:gridSpan w:val="2"/>
            <w:vMerge w:val="continue"/>
            <w:vAlign w:val="center"/>
          </w:tcPr>
          <w:p w14:paraId="6865E2D9">
            <w:pPr>
              <w:jc w:val="center"/>
              <w:rPr>
                <w:rFonts w:ascii="Times New Roman" w:eastAsia="仿宋"/>
                <w:bCs/>
                <w:szCs w:val="21"/>
              </w:rPr>
            </w:pPr>
          </w:p>
        </w:tc>
        <w:tc>
          <w:tcPr>
            <w:tcW w:w="1575" w:type="dxa"/>
            <w:vAlign w:val="center"/>
          </w:tcPr>
          <w:p w14:paraId="15FE4A2D">
            <w:pPr>
              <w:jc w:val="center"/>
              <w:rPr>
                <w:rFonts w:ascii="Times New Roman" w:eastAsia="仿宋"/>
                <w:szCs w:val="21"/>
              </w:rPr>
            </w:pPr>
            <w:r>
              <w:rPr>
                <w:rFonts w:hint="eastAsia" w:ascii="Times New Roman" w:eastAsia="仿宋"/>
                <w:szCs w:val="24"/>
              </w:rPr>
              <w:t>钝化废气G4、氟碳底漆喷漆废气G10、氟碳底漆流平废气G1</w:t>
            </w:r>
            <w:r>
              <w:rPr>
                <w:rFonts w:ascii="Times New Roman" w:eastAsia="仿宋"/>
                <w:szCs w:val="24"/>
              </w:rPr>
              <w:t>1</w:t>
            </w:r>
            <w:r>
              <w:rPr>
                <w:rFonts w:hint="eastAsia" w:ascii="Times New Roman" w:eastAsia="仿宋"/>
                <w:szCs w:val="24"/>
              </w:rPr>
              <w:t>、天然气燃烧废气G5</w:t>
            </w:r>
          </w:p>
        </w:tc>
        <w:tc>
          <w:tcPr>
            <w:tcW w:w="3109" w:type="dxa"/>
            <w:vAlign w:val="center"/>
          </w:tcPr>
          <w:p w14:paraId="5ACA4B5C">
            <w:pPr>
              <w:jc w:val="center"/>
              <w:rPr>
                <w:rFonts w:ascii="Times New Roman" w:eastAsia="仿宋"/>
                <w:szCs w:val="21"/>
              </w:rPr>
            </w:pPr>
            <w:r>
              <w:rPr>
                <w:rFonts w:hint="eastAsia" w:ascii="Times New Roman" w:eastAsia="仿宋"/>
                <w:szCs w:val="21"/>
              </w:rPr>
              <w:t>钝化废气、氟碳底漆喷漆废气、氟碳底漆喷漆漆雾、氟碳底漆流平废气经密闭空间整体换风收集后送入1套“1号水帘式循环过滤系统+水喷淋+干式过滤器+催化燃烧”处理后与天然气燃烧产生的废气合并通过1</w:t>
            </w:r>
            <w:r>
              <w:rPr>
                <w:rFonts w:ascii="Times New Roman" w:eastAsia="仿宋"/>
                <w:szCs w:val="21"/>
              </w:rPr>
              <w:t>根15m高排气筒</w:t>
            </w:r>
            <w:r>
              <w:rPr>
                <w:rFonts w:hint="eastAsia" w:ascii="Times New Roman" w:eastAsia="仿宋"/>
                <w:szCs w:val="21"/>
              </w:rPr>
              <w:t>2</w:t>
            </w:r>
            <w:r>
              <w:rPr>
                <w:rFonts w:ascii="Times New Roman" w:eastAsia="仿宋"/>
                <w:szCs w:val="21"/>
              </w:rPr>
              <w:t>#排放</w:t>
            </w:r>
          </w:p>
        </w:tc>
        <w:tc>
          <w:tcPr>
            <w:tcW w:w="2948" w:type="dxa"/>
            <w:vAlign w:val="center"/>
          </w:tcPr>
          <w:p w14:paraId="1FC9DB34">
            <w:pPr>
              <w:jc w:val="center"/>
              <w:rPr>
                <w:rFonts w:ascii="Times New Roman" w:eastAsia="仿宋"/>
                <w:szCs w:val="21"/>
              </w:rPr>
            </w:pPr>
            <w:r>
              <w:rPr>
                <w:rFonts w:hint="eastAsia" w:ascii="Times New Roman" w:eastAsia="仿宋"/>
                <w:szCs w:val="21"/>
              </w:rPr>
              <w:t>新建</w:t>
            </w:r>
          </w:p>
        </w:tc>
      </w:tr>
      <w:tr w14:paraId="7C1AE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20" w:hRule="atLeast"/>
          <w:jc w:val="center"/>
        </w:trPr>
        <w:tc>
          <w:tcPr>
            <w:tcW w:w="616" w:type="dxa"/>
            <w:vMerge w:val="continue"/>
            <w:vAlign w:val="center"/>
          </w:tcPr>
          <w:p w14:paraId="412985BD">
            <w:pPr>
              <w:jc w:val="center"/>
              <w:rPr>
                <w:rFonts w:ascii="Times New Roman" w:eastAsia="仿宋"/>
                <w:bCs/>
                <w:szCs w:val="21"/>
              </w:rPr>
            </w:pPr>
          </w:p>
        </w:tc>
        <w:tc>
          <w:tcPr>
            <w:tcW w:w="593" w:type="dxa"/>
            <w:gridSpan w:val="2"/>
            <w:vMerge w:val="continue"/>
            <w:vAlign w:val="center"/>
          </w:tcPr>
          <w:p w14:paraId="65200F06">
            <w:pPr>
              <w:jc w:val="center"/>
              <w:rPr>
                <w:rFonts w:ascii="Times New Roman" w:eastAsia="仿宋"/>
                <w:bCs/>
                <w:szCs w:val="21"/>
              </w:rPr>
            </w:pPr>
          </w:p>
        </w:tc>
        <w:tc>
          <w:tcPr>
            <w:tcW w:w="1575" w:type="dxa"/>
            <w:vAlign w:val="center"/>
          </w:tcPr>
          <w:p w14:paraId="4CBC52CA">
            <w:pPr>
              <w:rPr>
                <w:rFonts w:ascii="Times New Roman" w:eastAsia="仿宋"/>
                <w:szCs w:val="21"/>
              </w:rPr>
            </w:pPr>
            <w:r>
              <w:rPr>
                <w:rFonts w:hint="eastAsia" w:ascii="Times New Roman" w:eastAsia="仿宋"/>
                <w:szCs w:val="24"/>
              </w:rPr>
              <w:t>氟碳面漆、底漆调漆废气G9、氟碳面漆喷漆废气G1</w:t>
            </w:r>
            <w:r>
              <w:rPr>
                <w:rFonts w:ascii="Times New Roman" w:eastAsia="仿宋"/>
                <w:szCs w:val="24"/>
              </w:rPr>
              <w:t>4</w:t>
            </w:r>
            <w:r>
              <w:rPr>
                <w:rFonts w:hint="eastAsia" w:ascii="Times New Roman" w:eastAsia="仿宋"/>
                <w:szCs w:val="24"/>
              </w:rPr>
              <w:t>、氟碳面漆流平废气G1</w:t>
            </w:r>
            <w:r>
              <w:rPr>
                <w:rFonts w:ascii="Times New Roman" w:eastAsia="仿宋"/>
                <w:szCs w:val="24"/>
              </w:rPr>
              <w:t>5</w:t>
            </w:r>
            <w:r>
              <w:rPr>
                <w:rFonts w:hint="eastAsia" w:ascii="Times New Roman" w:eastAsia="仿宋"/>
                <w:szCs w:val="24"/>
              </w:rPr>
              <w:t>、喷枪清洗废气G</w:t>
            </w:r>
            <w:r>
              <w:rPr>
                <w:rFonts w:ascii="Times New Roman" w:eastAsia="仿宋"/>
                <w:szCs w:val="24"/>
              </w:rPr>
              <w:t>18</w:t>
            </w:r>
            <w:r>
              <w:rPr>
                <w:rFonts w:hint="eastAsia" w:ascii="Times New Roman" w:eastAsia="仿宋"/>
                <w:szCs w:val="24"/>
              </w:rPr>
              <w:t>、危废仓库废气</w:t>
            </w:r>
          </w:p>
        </w:tc>
        <w:tc>
          <w:tcPr>
            <w:tcW w:w="3109" w:type="dxa"/>
            <w:vAlign w:val="center"/>
          </w:tcPr>
          <w:p w14:paraId="5A9D8078">
            <w:pPr>
              <w:jc w:val="center"/>
              <w:rPr>
                <w:rFonts w:ascii="Times New Roman" w:eastAsia="仿宋"/>
                <w:szCs w:val="21"/>
              </w:rPr>
            </w:pPr>
            <w:r>
              <w:rPr>
                <w:rFonts w:hint="eastAsia" w:ascii="Times New Roman" w:eastAsia="仿宋"/>
                <w:szCs w:val="21"/>
              </w:rPr>
              <w:t>氟碳面漆、底漆调漆废气、氟碳面漆喷漆废气、氟碳面漆喷漆漆雾、氟碳面漆流平废气、喷枪清洗废气经密闭空间整体换风收集后通过1套“2水帘式循环过滤系统+水喷淋+干式过滤器+催化燃烧”后，通过1根15m高排气筒3#排放</w:t>
            </w:r>
          </w:p>
        </w:tc>
        <w:tc>
          <w:tcPr>
            <w:tcW w:w="2948" w:type="dxa"/>
            <w:vAlign w:val="center"/>
          </w:tcPr>
          <w:p w14:paraId="2F6FBAE1">
            <w:pPr>
              <w:jc w:val="center"/>
              <w:rPr>
                <w:rFonts w:ascii="Times New Roman" w:eastAsia="仿宋"/>
                <w:szCs w:val="21"/>
              </w:rPr>
            </w:pPr>
            <w:r>
              <w:rPr>
                <w:rFonts w:hint="eastAsia" w:ascii="Times New Roman" w:eastAsia="仿宋"/>
                <w:szCs w:val="21"/>
              </w:rPr>
              <w:t>新建</w:t>
            </w:r>
          </w:p>
        </w:tc>
      </w:tr>
      <w:tr w14:paraId="13937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280" w:hRule="atLeast"/>
          <w:jc w:val="center"/>
        </w:trPr>
        <w:tc>
          <w:tcPr>
            <w:tcW w:w="616" w:type="dxa"/>
            <w:vMerge w:val="continue"/>
            <w:vAlign w:val="center"/>
          </w:tcPr>
          <w:p w14:paraId="1ED5EABA">
            <w:pPr>
              <w:jc w:val="center"/>
              <w:rPr>
                <w:rFonts w:ascii="Times New Roman" w:eastAsia="仿宋"/>
                <w:bCs/>
                <w:szCs w:val="21"/>
              </w:rPr>
            </w:pPr>
          </w:p>
        </w:tc>
        <w:tc>
          <w:tcPr>
            <w:tcW w:w="593" w:type="dxa"/>
            <w:gridSpan w:val="2"/>
            <w:vMerge w:val="continue"/>
            <w:vAlign w:val="center"/>
          </w:tcPr>
          <w:p w14:paraId="461F9601">
            <w:pPr>
              <w:jc w:val="center"/>
              <w:rPr>
                <w:rFonts w:ascii="Times New Roman" w:eastAsia="仿宋"/>
                <w:bCs/>
                <w:szCs w:val="21"/>
              </w:rPr>
            </w:pPr>
          </w:p>
        </w:tc>
        <w:tc>
          <w:tcPr>
            <w:tcW w:w="1575" w:type="dxa"/>
            <w:vAlign w:val="center"/>
          </w:tcPr>
          <w:p w14:paraId="0221BAD5">
            <w:pPr>
              <w:rPr>
                <w:rFonts w:ascii="Times New Roman" w:eastAsia="仿宋"/>
                <w:szCs w:val="21"/>
              </w:rPr>
            </w:pPr>
            <w:r>
              <w:rPr>
                <w:rFonts w:hint="eastAsia" w:ascii="Times New Roman" w:eastAsia="仿宋"/>
                <w:szCs w:val="24"/>
              </w:rPr>
              <w:t>固化废气G7、氟碳面漆烘干废气G1</w:t>
            </w:r>
            <w:r>
              <w:rPr>
                <w:rFonts w:ascii="Times New Roman" w:eastAsia="仿宋"/>
                <w:szCs w:val="24"/>
              </w:rPr>
              <w:t>2</w:t>
            </w:r>
            <w:r>
              <w:rPr>
                <w:rFonts w:hint="eastAsia" w:ascii="Times New Roman" w:eastAsia="仿宋"/>
                <w:szCs w:val="24"/>
              </w:rPr>
              <w:t>、氟碳底漆烘干废气G1</w:t>
            </w:r>
            <w:r>
              <w:rPr>
                <w:rFonts w:ascii="Times New Roman" w:eastAsia="仿宋"/>
                <w:szCs w:val="24"/>
              </w:rPr>
              <w:t>6</w:t>
            </w:r>
            <w:r>
              <w:rPr>
                <w:rFonts w:hint="eastAsia" w:ascii="Times New Roman" w:eastAsia="仿宋"/>
                <w:szCs w:val="24"/>
              </w:rPr>
              <w:t>、天然气燃烧废气G8、G1</w:t>
            </w:r>
            <w:r>
              <w:rPr>
                <w:rFonts w:ascii="Times New Roman" w:eastAsia="仿宋"/>
                <w:szCs w:val="24"/>
              </w:rPr>
              <w:t>3</w:t>
            </w:r>
            <w:r>
              <w:rPr>
                <w:rFonts w:hint="eastAsia" w:ascii="Times New Roman" w:eastAsia="仿宋"/>
                <w:szCs w:val="24"/>
              </w:rPr>
              <w:t>、G1</w:t>
            </w:r>
            <w:r>
              <w:rPr>
                <w:rFonts w:ascii="Times New Roman" w:eastAsia="仿宋"/>
                <w:szCs w:val="24"/>
              </w:rPr>
              <w:t>7</w:t>
            </w:r>
          </w:p>
        </w:tc>
        <w:tc>
          <w:tcPr>
            <w:tcW w:w="3109" w:type="dxa"/>
            <w:vAlign w:val="center"/>
          </w:tcPr>
          <w:p w14:paraId="2B08E945">
            <w:pPr>
              <w:jc w:val="center"/>
              <w:rPr>
                <w:rFonts w:ascii="Times New Roman" w:eastAsia="仿宋"/>
                <w:szCs w:val="21"/>
              </w:rPr>
            </w:pPr>
            <w:r>
              <w:rPr>
                <w:rFonts w:hint="eastAsia" w:ascii="Times New Roman" w:eastAsia="仿宋"/>
                <w:szCs w:val="21"/>
              </w:rPr>
              <w:t>固化废气、氟碳面漆烘干废气、氟碳底漆烘干废气经密闭空间整体换风收集后通过1套“3号水帘式循环过滤系统+水喷淋+干式过滤器+催化燃烧”处理后与天然气燃烧产生的废气合并通过1根15m高排气筒4#排放</w:t>
            </w:r>
          </w:p>
        </w:tc>
        <w:tc>
          <w:tcPr>
            <w:tcW w:w="2948" w:type="dxa"/>
            <w:vAlign w:val="center"/>
          </w:tcPr>
          <w:p w14:paraId="0E3EA183">
            <w:pPr>
              <w:jc w:val="center"/>
              <w:rPr>
                <w:rFonts w:ascii="Times New Roman" w:eastAsia="仿宋"/>
                <w:szCs w:val="21"/>
              </w:rPr>
            </w:pPr>
            <w:r>
              <w:rPr>
                <w:rFonts w:hint="eastAsia" w:ascii="Times New Roman" w:eastAsia="仿宋"/>
                <w:szCs w:val="21"/>
              </w:rPr>
              <w:t>新建</w:t>
            </w:r>
          </w:p>
        </w:tc>
      </w:tr>
      <w:tr w14:paraId="69249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640" w:hRule="atLeast"/>
          <w:jc w:val="center"/>
        </w:trPr>
        <w:tc>
          <w:tcPr>
            <w:tcW w:w="616" w:type="dxa"/>
            <w:vMerge w:val="continue"/>
            <w:vAlign w:val="center"/>
          </w:tcPr>
          <w:p w14:paraId="6B349CA4">
            <w:pPr>
              <w:jc w:val="center"/>
              <w:rPr>
                <w:rFonts w:ascii="Times New Roman" w:eastAsia="仿宋"/>
                <w:bCs/>
                <w:szCs w:val="21"/>
              </w:rPr>
            </w:pPr>
          </w:p>
        </w:tc>
        <w:tc>
          <w:tcPr>
            <w:tcW w:w="593" w:type="dxa"/>
            <w:gridSpan w:val="2"/>
            <w:vMerge w:val="continue"/>
            <w:vAlign w:val="center"/>
          </w:tcPr>
          <w:p w14:paraId="03A1513D">
            <w:pPr>
              <w:jc w:val="center"/>
              <w:rPr>
                <w:rFonts w:ascii="Times New Roman" w:eastAsia="仿宋"/>
                <w:bCs/>
                <w:szCs w:val="21"/>
              </w:rPr>
            </w:pPr>
          </w:p>
        </w:tc>
        <w:tc>
          <w:tcPr>
            <w:tcW w:w="1575" w:type="dxa"/>
            <w:vAlign w:val="center"/>
          </w:tcPr>
          <w:p w14:paraId="2FA51C29">
            <w:pPr>
              <w:jc w:val="center"/>
              <w:rPr>
                <w:rFonts w:ascii="Times New Roman" w:eastAsia="仿宋"/>
                <w:szCs w:val="21"/>
              </w:rPr>
            </w:pPr>
            <w:r>
              <w:rPr>
                <w:rFonts w:hint="eastAsia" w:ascii="Times New Roman" w:eastAsia="仿宋"/>
                <w:szCs w:val="24"/>
              </w:rPr>
              <w:t>喷塑粉尘G6</w:t>
            </w:r>
          </w:p>
        </w:tc>
        <w:tc>
          <w:tcPr>
            <w:tcW w:w="3109" w:type="dxa"/>
            <w:vAlign w:val="center"/>
          </w:tcPr>
          <w:p w14:paraId="06CC3026">
            <w:pPr>
              <w:jc w:val="center"/>
              <w:rPr>
                <w:rFonts w:ascii="Times New Roman" w:eastAsia="仿宋"/>
                <w:szCs w:val="21"/>
              </w:rPr>
            </w:pPr>
            <w:r>
              <w:rPr>
                <w:rFonts w:hint="eastAsia" w:ascii="Times New Roman" w:eastAsia="仿宋"/>
                <w:szCs w:val="21"/>
              </w:rPr>
              <w:t>喷塑粉尘通过集气罩收集后送入1套“滤筒过滤除尘器”处置，最终通过1根15m高排气筒5#排放</w:t>
            </w:r>
          </w:p>
        </w:tc>
        <w:tc>
          <w:tcPr>
            <w:tcW w:w="2948" w:type="dxa"/>
            <w:vAlign w:val="center"/>
          </w:tcPr>
          <w:p w14:paraId="2DD2FFA6">
            <w:pPr>
              <w:jc w:val="center"/>
              <w:rPr>
                <w:rFonts w:ascii="Times New Roman" w:eastAsia="仿宋"/>
                <w:szCs w:val="21"/>
              </w:rPr>
            </w:pPr>
            <w:r>
              <w:rPr>
                <w:rFonts w:hint="eastAsia" w:ascii="Times New Roman" w:eastAsia="仿宋"/>
                <w:szCs w:val="21"/>
              </w:rPr>
              <w:t>新建</w:t>
            </w:r>
          </w:p>
        </w:tc>
      </w:tr>
      <w:tr w14:paraId="0E149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528344FE">
            <w:pPr>
              <w:jc w:val="center"/>
              <w:rPr>
                <w:rFonts w:ascii="Times New Roman" w:eastAsia="仿宋"/>
                <w:bCs/>
                <w:szCs w:val="21"/>
              </w:rPr>
            </w:pPr>
          </w:p>
        </w:tc>
        <w:tc>
          <w:tcPr>
            <w:tcW w:w="2168" w:type="dxa"/>
            <w:gridSpan w:val="3"/>
            <w:vAlign w:val="center"/>
          </w:tcPr>
          <w:p w14:paraId="5015B92C">
            <w:pPr>
              <w:jc w:val="center"/>
              <w:rPr>
                <w:rFonts w:ascii="Times New Roman" w:eastAsia="仿宋"/>
                <w:szCs w:val="21"/>
              </w:rPr>
            </w:pPr>
            <w:r>
              <w:rPr>
                <w:rFonts w:ascii="Times New Roman" w:eastAsia="仿宋"/>
                <w:szCs w:val="21"/>
              </w:rPr>
              <w:t>噪声</w:t>
            </w:r>
          </w:p>
        </w:tc>
        <w:tc>
          <w:tcPr>
            <w:tcW w:w="6057" w:type="dxa"/>
            <w:gridSpan w:val="2"/>
            <w:vAlign w:val="center"/>
          </w:tcPr>
          <w:p w14:paraId="53FF5BC4">
            <w:pPr>
              <w:jc w:val="left"/>
              <w:rPr>
                <w:rFonts w:ascii="Times New Roman" w:eastAsia="仿宋"/>
                <w:szCs w:val="21"/>
              </w:rPr>
            </w:pPr>
            <w:r>
              <w:rPr>
                <w:rFonts w:ascii="Times New Roman" w:eastAsia="仿宋"/>
                <w:szCs w:val="21"/>
              </w:rPr>
              <w:t>使用的生产设备、辅助设备采取隔声、减振等措施进行降噪</w:t>
            </w:r>
          </w:p>
        </w:tc>
      </w:tr>
      <w:tr w14:paraId="5A3C4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28F6A1C5">
            <w:pPr>
              <w:jc w:val="center"/>
              <w:rPr>
                <w:rFonts w:ascii="Times New Roman" w:eastAsia="仿宋"/>
                <w:bCs/>
                <w:szCs w:val="21"/>
              </w:rPr>
            </w:pPr>
          </w:p>
        </w:tc>
        <w:tc>
          <w:tcPr>
            <w:tcW w:w="425" w:type="dxa"/>
            <w:vMerge w:val="restart"/>
            <w:vAlign w:val="center"/>
          </w:tcPr>
          <w:p w14:paraId="04DEC1E0">
            <w:pPr>
              <w:jc w:val="center"/>
              <w:rPr>
                <w:rFonts w:ascii="Times New Roman" w:eastAsia="仿宋"/>
                <w:szCs w:val="21"/>
              </w:rPr>
            </w:pPr>
            <w:r>
              <w:rPr>
                <w:rFonts w:ascii="Times New Roman" w:eastAsia="仿宋"/>
                <w:szCs w:val="21"/>
              </w:rPr>
              <w:t>固废</w:t>
            </w:r>
          </w:p>
        </w:tc>
        <w:tc>
          <w:tcPr>
            <w:tcW w:w="1743" w:type="dxa"/>
            <w:gridSpan w:val="2"/>
            <w:vAlign w:val="center"/>
          </w:tcPr>
          <w:p w14:paraId="4C418C98">
            <w:pPr>
              <w:jc w:val="center"/>
              <w:rPr>
                <w:rFonts w:ascii="Times New Roman" w:eastAsia="仿宋"/>
                <w:szCs w:val="21"/>
              </w:rPr>
            </w:pPr>
            <w:r>
              <w:rPr>
                <w:rFonts w:ascii="Times New Roman" w:eastAsia="仿宋"/>
                <w:szCs w:val="21"/>
              </w:rPr>
              <w:t>一般固废仓库</w:t>
            </w:r>
          </w:p>
        </w:tc>
        <w:tc>
          <w:tcPr>
            <w:tcW w:w="3109" w:type="dxa"/>
            <w:vAlign w:val="center"/>
          </w:tcPr>
          <w:p w14:paraId="6FF2998B">
            <w:pPr>
              <w:jc w:val="center"/>
              <w:rPr>
                <w:rFonts w:ascii="Times New Roman" w:eastAsia="仿宋"/>
                <w:szCs w:val="21"/>
              </w:rPr>
            </w:pPr>
            <w:r>
              <w:rPr>
                <w:rFonts w:hint="eastAsia" w:ascii="Times New Roman" w:eastAsia="仿宋"/>
                <w:szCs w:val="21"/>
              </w:rPr>
              <w:t>4</w:t>
            </w:r>
            <w:r>
              <w:rPr>
                <w:rFonts w:ascii="Times New Roman" w:eastAsia="仿宋"/>
                <w:szCs w:val="21"/>
              </w:rPr>
              <w:t>0</w:t>
            </w:r>
            <w:r>
              <w:rPr>
                <w:rFonts w:hint="eastAsia" w:ascii="Times New Roman" w:eastAsia="仿宋"/>
                <w:szCs w:val="21"/>
              </w:rPr>
              <w:t>m</w:t>
            </w:r>
            <w:r>
              <w:rPr>
                <w:rFonts w:ascii="Times New Roman" w:eastAsia="仿宋"/>
                <w:szCs w:val="21"/>
                <w:vertAlign w:val="superscript"/>
              </w:rPr>
              <w:t>2</w:t>
            </w:r>
          </w:p>
        </w:tc>
        <w:tc>
          <w:tcPr>
            <w:tcW w:w="2948" w:type="dxa"/>
            <w:vAlign w:val="center"/>
          </w:tcPr>
          <w:p w14:paraId="3E40A99A">
            <w:pPr>
              <w:jc w:val="center"/>
              <w:rPr>
                <w:rFonts w:ascii="Times New Roman" w:eastAsia="仿宋"/>
                <w:szCs w:val="21"/>
              </w:rPr>
            </w:pPr>
            <w:r>
              <w:rPr>
                <w:rFonts w:hint="eastAsia" w:ascii="Times New Roman" w:eastAsia="仿宋"/>
                <w:szCs w:val="21"/>
              </w:rPr>
              <w:t>新建，位于3号喷涂车间东侧</w:t>
            </w:r>
          </w:p>
        </w:tc>
      </w:tr>
      <w:tr w14:paraId="74001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073CCC0A">
            <w:pPr>
              <w:jc w:val="center"/>
              <w:rPr>
                <w:rFonts w:ascii="Times New Roman" w:eastAsia="仿宋"/>
                <w:bCs/>
                <w:szCs w:val="21"/>
              </w:rPr>
            </w:pPr>
          </w:p>
        </w:tc>
        <w:tc>
          <w:tcPr>
            <w:tcW w:w="425" w:type="dxa"/>
            <w:vMerge w:val="continue"/>
            <w:vAlign w:val="center"/>
          </w:tcPr>
          <w:p w14:paraId="54F4AF77">
            <w:pPr>
              <w:jc w:val="center"/>
              <w:rPr>
                <w:rFonts w:ascii="Times New Roman" w:eastAsia="仿宋"/>
                <w:szCs w:val="21"/>
              </w:rPr>
            </w:pPr>
          </w:p>
        </w:tc>
        <w:tc>
          <w:tcPr>
            <w:tcW w:w="1743" w:type="dxa"/>
            <w:gridSpan w:val="2"/>
            <w:vAlign w:val="center"/>
          </w:tcPr>
          <w:p w14:paraId="0D78A994">
            <w:pPr>
              <w:jc w:val="center"/>
              <w:rPr>
                <w:rFonts w:ascii="Times New Roman" w:eastAsia="仿宋"/>
                <w:szCs w:val="21"/>
              </w:rPr>
            </w:pPr>
            <w:r>
              <w:rPr>
                <w:rFonts w:ascii="Times New Roman" w:eastAsia="仿宋"/>
                <w:szCs w:val="21"/>
              </w:rPr>
              <w:t>危险废物仓库</w:t>
            </w:r>
          </w:p>
        </w:tc>
        <w:tc>
          <w:tcPr>
            <w:tcW w:w="3109" w:type="dxa"/>
            <w:vAlign w:val="center"/>
          </w:tcPr>
          <w:p w14:paraId="08730FAD">
            <w:pPr>
              <w:jc w:val="center"/>
              <w:rPr>
                <w:rFonts w:ascii="Times New Roman" w:eastAsia="仿宋"/>
                <w:szCs w:val="21"/>
              </w:rPr>
            </w:pPr>
            <w:r>
              <w:rPr>
                <w:rFonts w:hint="eastAsia" w:ascii="Times New Roman" w:eastAsia="仿宋"/>
                <w:szCs w:val="21"/>
              </w:rPr>
              <w:t>80m</w:t>
            </w:r>
            <w:r>
              <w:rPr>
                <w:rFonts w:ascii="Times New Roman" w:eastAsia="仿宋"/>
                <w:szCs w:val="21"/>
                <w:vertAlign w:val="superscript"/>
              </w:rPr>
              <w:t>2</w:t>
            </w:r>
          </w:p>
        </w:tc>
        <w:tc>
          <w:tcPr>
            <w:tcW w:w="2948" w:type="dxa"/>
            <w:vAlign w:val="center"/>
          </w:tcPr>
          <w:p w14:paraId="1D2CAF17">
            <w:pPr>
              <w:jc w:val="center"/>
              <w:rPr>
                <w:rFonts w:ascii="Times New Roman" w:eastAsia="仿宋"/>
                <w:szCs w:val="21"/>
              </w:rPr>
            </w:pPr>
            <w:r>
              <w:rPr>
                <w:rFonts w:hint="eastAsia" w:ascii="Times New Roman" w:eastAsia="仿宋"/>
                <w:szCs w:val="21"/>
              </w:rPr>
              <w:t>新建，位于3号喷涂车间东侧</w:t>
            </w:r>
          </w:p>
        </w:tc>
      </w:tr>
      <w:tr w14:paraId="5CD8E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restart"/>
            <w:vAlign w:val="center"/>
          </w:tcPr>
          <w:p w14:paraId="7C9B655E">
            <w:pPr>
              <w:jc w:val="center"/>
              <w:rPr>
                <w:rFonts w:ascii="Times New Roman" w:eastAsia="仿宋"/>
                <w:bCs/>
                <w:szCs w:val="21"/>
              </w:rPr>
            </w:pPr>
            <w:r>
              <w:rPr>
                <w:rFonts w:ascii="Times New Roman" w:eastAsia="仿宋"/>
                <w:szCs w:val="21"/>
              </w:rPr>
              <w:t>应急工程</w:t>
            </w:r>
          </w:p>
        </w:tc>
        <w:tc>
          <w:tcPr>
            <w:tcW w:w="2168" w:type="dxa"/>
            <w:gridSpan w:val="3"/>
            <w:vAlign w:val="center"/>
          </w:tcPr>
          <w:p w14:paraId="1FBEAF00">
            <w:pPr>
              <w:jc w:val="center"/>
              <w:rPr>
                <w:rFonts w:ascii="Times New Roman" w:eastAsia="仿宋"/>
                <w:szCs w:val="21"/>
              </w:rPr>
            </w:pPr>
            <w:r>
              <w:rPr>
                <w:rFonts w:ascii="Times New Roman" w:eastAsia="仿宋"/>
                <w:szCs w:val="21"/>
              </w:rPr>
              <w:t>事故应急池</w:t>
            </w:r>
          </w:p>
        </w:tc>
        <w:tc>
          <w:tcPr>
            <w:tcW w:w="3109" w:type="dxa"/>
            <w:vAlign w:val="center"/>
          </w:tcPr>
          <w:p w14:paraId="0CF06D5D">
            <w:pPr>
              <w:jc w:val="center"/>
              <w:rPr>
                <w:rFonts w:ascii="Times New Roman" w:eastAsia="仿宋"/>
                <w:szCs w:val="21"/>
              </w:rPr>
            </w:pPr>
            <w:r>
              <w:rPr>
                <w:rFonts w:hint="eastAsia" w:ascii="Times New Roman" w:eastAsia="仿宋"/>
                <w:szCs w:val="21"/>
              </w:rPr>
              <w:t>1</w:t>
            </w:r>
            <w:r>
              <w:rPr>
                <w:rFonts w:ascii="Times New Roman" w:eastAsia="仿宋"/>
                <w:szCs w:val="21"/>
              </w:rPr>
              <w:t>00m</w:t>
            </w:r>
            <w:r>
              <w:rPr>
                <w:rFonts w:ascii="Times New Roman" w:eastAsia="仿宋"/>
                <w:szCs w:val="21"/>
                <w:vertAlign w:val="superscript"/>
              </w:rPr>
              <w:t>3</w:t>
            </w:r>
          </w:p>
        </w:tc>
        <w:tc>
          <w:tcPr>
            <w:tcW w:w="2948" w:type="dxa"/>
            <w:vAlign w:val="center"/>
          </w:tcPr>
          <w:p w14:paraId="474D889B">
            <w:pPr>
              <w:jc w:val="center"/>
              <w:rPr>
                <w:rFonts w:ascii="Times New Roman" w:eastAsia="仿宋"/>
                <w:bCs/>
                <w:szCs w:val="21"/>
              </w:rPr>
            </w:pPr>
            <w:r>
              <w:rPr>
                <w:rFonts w:hint="eastAsia" w:ascii="Times New Roman" w:eastAsia="仿宋"/>
                <w:bCs/>
                <w:szCs w:val="21"/>
              </w:rPr>
              <w:t>位于厂区东侧</w:t>
            </w:r>
          </w:p>
        </w:tc>
      </w:tr>
      <w:tr w14:paraId="7CE14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jc w:val="center"/>
        </w:trPr>
        <w:tc>
          <w:tcPr>
            <w:tcW w:w="616" w:type="dxa"/>
            <w:vMerge w:val="continue"/>
            <w:vAlign w:val="center"/>
          </w:tcPr>
          <w:p w14:paraId="0265C7C2">
            <w:pPr>
              <w:jc w:val="center"/>
              <w:rPr>
                <w:rFonts w:ascii="Times New Roman" w:eastAsia="仿宋"/>
                <w:szCs w:val="21"/>
              </w:rPr>
            </w:pPr>
          </w:p>
        </w:tc>
        <w:tc>
          <w:tcPr>
            <w:tcW w:w="2168" w:type="dxa"/>
            <w:gridSpan w:val="3"/>
            <w:vAlign w:val="center"/>
          </w:tcPr>
          <w:p w14:paraId="0E7E3DEA">
            <w:pPr>
              <w:jc w:val="center"/>
              <w:rPr>
                <w:rFonts w:ascii="Times New Roman" w:eastAsia="仿宋"/>
                <w:szCs w:val="21"/>
              </w:rPr>
            </w:pPr>
            <w:r>
              <w:rPr>
                <w:rFonts w:hint="eastAsia" w:ascii="Times New Roman" w:eastAsia="仿宋"/>
                <w:szCs w:val="21"/>
              </w:rPr>
              <w:t>消防水池</w:t>
            </w:r>
          </w:p>
        </w:tc>
        <w:tc>
          <w:tcPr>
            <w:tcW w:w="3109" w:type="dxa"/>
            <w:vAlign w:val="center"/>
          </w:tcPr>
          <w:p w14:paraId="0D0A176D">
            <w:pPr>
              <w:jc w:val="center"/>
              <w:rPr>
                <w:rFonts w:ascii="Times New Roman" w:eastAsia="仿宋"/>
                <w:szCs w:val="21"/>
              </w:rPr>
            </w:pPr>
            <w:r>
              <w:rPr>
                <w:rFonts w:hint="eastAsia" w:ascii="Times New Roman" w:eastAsia="仿宋"/>
                <w:szCs w:val="21"/>
              </w:rPr>
              <w:t>1</w:t>
            </w:r>
            <w:r>
              <w:rPr>
                <w:rFonts w:ascii="Times New Roman" w:eastAsia="仿宋"/>
                <w:szCs w:val="21"/>
              </w:rPr>
              <w:t>00m</w:t>
            </w:r>
            <w:r>
              <w:rPr>
                <w:rFonts w:ascii="Times New Roman" w:eastAsia="仿宋"/>
                <w:szCs w:val="21"/>
                <w:vertAlign w:val="superscript"/>
              </w:rPr>
              <w:t>3</w:t>
            </w:r>
          </w:p>
        </w:tc>
        <w:tc>
          <w:tcPr>
            <w:tcW w:w="2948" w:type="dxa"/>
            <w:vAlign w:val="center"/>
          </w:tcPr>
          <w:p w14:paraId="128FA4D0">
            <w:pPr>
              <w:jc w:val="center"/>
              <w:rPr>
                <w:rFonts w:ascii="Times New Roman" w:eastAsia="仿宋"/>
                <w:bCs/>
                <w:szCs w:val="21"/>
              </w:rPr>
            </w:pPr>
            <w:r>
              <w:rPr>
                <w:rFonts w:hint="eastAsia" w:ascii="Times New Roman" w:eastAsia="仿宋"/>
                <w:bCs/>
                <w:szCs w:val="21"/>
              </w:rPr>
              <w:t>位于厂区东侧</w:t>
            </w:r>
          </w:p>
        </w:tc>
      </w:tr>
    </w:tbl>
    <w:p w14:paraId="2809A341">
      <w:pPr>
        <w:pStyle w:val="168"/>
        <w:ind w:firstLine="0" w:firstLineChars="0"/>
        <w:rPr>
          <w:rFonts w:ascii="Times New Roman" w:eastAsia="仿宋"/>
        </w:rPr>
      </w:pPr>
      <w:r>
        <w:rPr>
          <w:rFonts w:ascii="Times New Roman" w:eastAsia="仿宋"/>
        </w:rPr>
        <w:t>表3.1-15   本项目</w:t>
      </w:r>
      <w:r>
        <w:rPr>
          <w:rFonts w:hint="eastAsia" w:ascii="Times New Roman" w:eastAsia="仿宋"/>
        </w:rPr>
        <w:t>资源能源消耗</w:t>
      </w:r>
      <w:r>
        <w:rPr>
          <w:rFonts w:ascii="Times New Roman" w:eastAsia="仿宋"/>
        </w:rPr>
        <w:t>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2254"/>
        <w:gridCol w:w="2254"/>
        <w:gridCol w:w="2255"/>
      </w:tblGrid>
      <w:tr w14:paraId="4E22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310A2F7">
            <w:pPr>
              <w:jc w:val="center"/>
              <w:rPr>
                <w:rFonts w:ascii="Times New Roman" w:eastAsia="仿宋"/>
                <w:szCs w:val="21"/>
              </w:rPr>
            </w:pPr>
            <w:r>
              <w:rPr>
                <w:rFonts w:hint="eastAsia" w:ascii="Times New Roman" w:eastAsia="仿宋"/>
                <w:szCs w:val="21"/>
              </w:rPr>
              <w:t>序号</w:t>
            </w:r>
          </w:p>
        </w:tc>
        <w:tc>
          <w:tcPr>
            <w:tcW w:w="2254" w:type="dxa"/>
          </w:tcPr>
          <w:p w14:paraId="54541720">
            <w:pPr>
              <w:jc w:val="center"/>
              <w:rPr>
                <w:rFonts w:ascii="Times New Roman" w:eastAsia="仿宋"/>
                <w:szCs w:val="21"/>
              </w:rPr>
            </w:pPr>
            <w:r>
              <w:rPr>
                <w:rFonts w:hint="eastAsia" w:ascii="Times New Roman" w:eastAsia="仿宋"/>
                <w:szCs w:val="21"/>
              </w:rPr>
              <w:t>能源、资源名称</w:t>
            </w:r>
          </w:p>
        </w:tc>
        <w:tc>
          <w:tcPr>
            <w:tcW w:w="2254" w:type="dxa"/>
          </w:tcPr>
          <w:p w14:paraId="3CDE1954">
            <w:pPr>
              <w:jc w:val="center"/>
              <w:rPr>
                <w:rFonts w:ascii="Times New Roman" w:eastAsia="仿宋"/>
                <w:szCs w:val="21"/>
              </w:rPr>
            </w:pPr>
            <w:r>
              <w:rPr>
                <w:rFonts w:hint="eastAsia" w:ascii="Times New Roman" w:eastAsia="仿宋"/>
                <w:szCs w:val="21"/>
              </w:rPr>
              <w:t>消耗量</w:t>
            </w:r>
          </w:p>
        </w:tc>
        <w:tc>
          <w:tcPr>
            <w:tcW w:w="2255" w:type="dxa"/>
          </w:tcPr>
          <w:p w14:paraId="46516C36">
            <w:pPr>
              <w:jc w:val="center"/>
              <w:rPr>
                <w:rFonts w:ascii="Times New Roman" w:eastAsia="仿宋"/>
                <w:szCs w:val="21"/>
              </w:rPr>
            </w:pPr>
            <w:r>
              <w:rPr>
                <w:rFonts w:hint="eastAsia" w:ascii="Times New Roman" w:eastAsia="仿宋"/>
                <w:szCs w:val="21"/>
              </w:rPr>
              <w:t>单位</w:t>
            </w:r>
          </w:p>
        </w:tc>
      </w:tr>
      <w:tr w14:paraId="2FB0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5F113F8C">
            <w:pPr>
              <w:jc w:val="center"/>
              <w:rPr>
                <w:rFonts w:ascii="Times New Roman" w:eastAsia="仿宋"/>
                <w:szCs w:val="21"/>
              </w:rPr>
            </w:pPr>
            <w:r>
              <w:rPr>
                <w:rFonts w:hint="eastAsia" w:ascii="Times New Roman" w:eastAsia="仿宋"/>
                <w:szCs w:val="21"/>
              </w:rPr>
              <w:t>1</w:t>
            </w:r>
          </w:p>
        </w:tc>
        <w:tc>
          <w:tcPr>
            <w:tcW w:w="2254" w:type="dxa"/>
          </w:tcPr>
          <w:p w14:paraId="6F1AD725">
            <w:pPr>
              <w:jc w:val="center"/>
              <w:rPr>
                <w:rFonts w:ascii="Times New Roman" w:eastAsia="仿宋"/>
                <w:szCs w:val="21"/>
              </w:rPr>
            </w:pPr>
            <w:r>
              <w:rPr>
                <w:rFonts w:hint="eastAsia" w:ascii="Times New Roman" w:eastAsia="仿宋"/>
                <w:szCs w:val="21"/>
              </w:rPr>
              <w:t>水</w:t>
            </w:r>
          </w:p>
        </w:tc>
        <w:tc>
          <w:tcPr>
            <w:tcW w:w="2254" w:type="dxa"/>
          </w:tcPr>
          <w:p w14:paraId="54AD3CE3">
            <w:pPr>
              <w:jc w:val="center"/>
              <w:rPr>
                <w:rFonts w:ascii="Times New Roman" w:eastAsia="仿宋"/>
                <w:szCs w:val="21"/>
              </w:rPr>
            </w:pPr>
            <w:r>
              <w:rPr>
                <w:rFonts w:hint="eastAsia" w:ascii="Times New Roman" w:eastAsia="仿宋"/>
                <w:szCs w:val="21"/>
              </w:rPr>
              <w:t>6</w:t>
            </w:r>
            <w:r>
              <w:rPr>
                <w:rFonts w:ascii="Times New Roman" w:eastAsia="仿宋"/>
                <w:szCs w:val="21"/>
              </w:rPr>
              <w:t>590</w:t>
            </w:r>
          </w:p>
        </w:tc>
        <w:tc>
          <w:tcPr>
            <w:tcW w:w="2255" w:type="dxa"/>
          </w:tcPr>
          <w:p w14:paraId="42C4B8E0">
            <w:pPr>
              <w:jc w:val="center"/>
              <w:rPr>
                <w:rFonts w:ascii="Times New Roman" w:eastAsia="仿宋"/>
                <w:szCs w:val="21"/>
              </w:rPr>
            </w:pPr>
            <w:r>
              <w:rPr>
                <w:rFonts w:hint="eastAsia" w:ascii="Times New Roman" w:eastAsia="仿宋"/>
                <w:szCs w:val="21"/>
              </w:rPr>
              <w:t>t</w:t>
            </w:r>
            <w:r>
              <w:rPr>
                <w:rFonts w:ascii="Times New Roman" w:eastAsia="仿宋"/>
                <w:szCs w:val="21"/>
              </w:rPr>
              <w:t>/a</w:t>
            </w:r>
          </w:p>
        </w:tc>
      </w:tr>
      <w:tr w14:paraId="370E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31063D62">
            <w:pPr>
              <w:jc w:val="center"/>
              <w:rPr>
                <w:rFonts w:ascii="Times New Roman" w:eastAsia="仿宋"/>
                <w:szCs w:val="21"/>
              </w:rPr>
            </w:pPr>
            <w:r>
              <w:rPr>
                <w:rFonts w:hint="eastAsia" w:ascii="Times New Roman" w:eastAsia="仿宋"/>
                <w:szCs w:val="21"/>
              </w:rPr>
              <w:t>2</w:t>
            </w:r>
          </w:p>
        </w:tc>
        <w:tc>
          <w:tcPr>
            <w:tcW w:w="2254" w:type="dxa"/>
          </w:tcPr>
          <w:p w14:paraId="33299F37">
            <w:pPr>
              <w:jc w:val="center"/>
              <w:rPr>
                <w:rFonts w:ascii="Times New Roman" w:eastAsia="仿宋"/>
                <w:szCs w:val="21"/>
              </w:rPr>
            </w:pPr>
            <w:r>
              <w:rPr>
                <w:rFonts w:hint="eastAsia" w:ascii="Times New Roman" w:eastAsia="仿宋"/>
                <w:szCs w:val="21"/>
              </w:rPr>
              <w:t>电</w:t>
            </w:r>
          </w:p>
        </w:tc>
        <w:tc>
          <w:tcPr>
            <w:tcW w:w="2254" w:type="dxa"/>
          </w:tcPr>
          <w:p w14:paraId="472515BE">
            <w:pPr>
              <w:jc w:val="center"/>
              <w:rPr>
                <w:rFonts w:ascii="Times New Roman" w:eastAsia="仿宋"/>
                <w:szCs w:val="21"/>
              </w:rPr>
            </w:pPr>
            <w:r>
              <w:rPr>
                <w:rFonts w:hint="eastAsia" w:ascii="Times New Roman" w:eastAsia="仿宋"/>
                <w:szCs w:val="21"/>
              </w:rPr>
              <w:t>2</w:t>
            </w:r>
            <w:r>
              <w:rPr>
                <w:rFonts w:ascii="Times New Roman" w:eastAsia="仿宋"/>
                <w:szCs w:val="21"/>
              </w:rPr>
              <w:t>00</w:t>
            </w:r>
          </w:p>
        </w:tc>
        <w:tc>
          <w:tcPr>
            <w:tcW w:w="2255" w:type="dxa"/>
          </w:tcPr>
          <w:p w14:paraId="531B90F6">
            <w:pPr>
              <w:jc w:val="center"/>
              <w:rPr>
                <w:rFonts w:ascii="Times New Roman" w:eastAsia="仿宋"/>
                <w:szCs w:val="21"/>
              </w:rPr>
            </w:pPr>
            <w:r>
              <w:rPr>
                <w:rFonts w:ascii="Times New Roman" w:eastAsia="仿宋"/>
                <w:szCs w:val="21"/>
              </w:rPr>
              <w:t>万kwh/a</w:t>
            </w:r>
          </w:p>
        </w:tc>
      </w:tr>
      <w:tr w14:paraId="5CF9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2F07661E">
            <w:pPr>
              <w:jc w:val="center"/>
              <w:rPr>
                <w:rFonts w:ascii="Times New Roman" w:eastAsia="仿宋"/>
                <w:szCs w:val="21"/>
              </w:rPr>
            </w:pPr>
            <w:r>
              <w:rPr>
                <w:rFonts w:hint="eastAsia" w:ascii="Times New Roman" w:eastAsia="仿宋"/>
                <w:szCs w:val="21"/>
              </w:rPr>
              <w:t>3</w:t>
            </w:r>
          </w:p>
        </w:tc>
        <w:tc>
          <w:tcPr>
            <w:tcW w:w="2254" w:type="dxa"/>
          </w:tcPr>
          <w:p w14:paraId="0D426103">
            <w:pPr>
              <w:jc w:val="center"/>
              <w:rPr>
                <w:rFonts w:ascii="Times New Roman" w:eastAsia="仿宋"/>
                <w:szCs w:val="21"/>
              </w:rPr>
            </w:pPr>
            <w:r>
              <w:rPr>
                <w:rFonts w:hint="eastAsia" w:ascii="Times New Roman" w:eastAsia="仿宋"/>
                <w:szCs w:val="21"/>
              </w:rPr>
              <w:t>天然气</w:t>
            </w:r>
          </w:p>
        </w:tc>
        <w:tc>
          <w:tcPr>
            <w:tcW w:w="2254" w:type="dxa"/>
          </w:tcPr>
          <w:p w14:paraId="0D8F676E">
            <w:pPr>
              <w:jc w:val="center"/>
              <w:rPr>
                <w:rFonts w:ascii="Times New Roman" w:eastAsia="仿宋"/>
                <w:szCs w:val="21"/>
              </w:rPr>
            </w:pPr>
            <w:r>
              <w:rPr>
                <w:rFonts w:hint="eastAsia" w:ascii="Times New Roman" w:eastAsia="仿宋"/>
                <w:szCs w:val="21"/>
              </w:rPr>
              <w:t>60</w:t>
            </w:r>
          </w:p>
        </w:tc>
        <w:tc>
          <w:tcPr>
            <w:tcW w:w="2255" w:type="dxa"/>
          </w:tcPr>
          <w:p w14:paraId="79229BE8">
            <w:pPr>
              <w:jc w:val="center"/>
              <w:rPr>
                <w:rFonts w:ascii="Times New Roman" w:eastAsia="仿宋"/>
                <w:szCs w:val="21"/>
              </w:rPr>
            </w:pPr>
            <w:r>
              <w:rPr>
                <w:rFonts w:hint="eastAsia" w:ascii="Times New Roman" w:eastAsia="仿宋"/>
                <w:szCs w:val="21"/>
              </w:rPr>
              <w:t>万m</w:t>
            </w:r>
            <w:r>
              <w:rPr>
                <w:rFonts w:hint="eastAsia" w:ascii="Times New Roman" w:eastAsia="仿宋"/>
                <w:szCs w:val="21"/>
                <w:vertAlign w:val="superscript"/>
              </w:rPr>
              <w:t>3</w:t>
            </w:r>
            <w:r>
              <w:rPr>
                <w:rFonts w:hint="eastAsia" w:ascii="Times New Roman" w:eastAsia="仿宋"/>
                <w:szCs w:val="21"/>
              </w:rPr>
              <w:t>/a</w:t>
            </w:r>
          </w:p>
        </w:tc>
      </w:tr>
    </w:tbl>
    <w:p w14:paraId="1E0103A2">
      <w:pPr>
        <w:pStyle w:val="168"/>
        <w:ind w:firstLine="0" w:firstLineChars="0"/>
        <w:rPr>
          <w:rFonts w:ascii="Times New Roman" w:eastAsia="仿宋"/>
        </w:rPr>
      </w:pPr>
    </w:p>
    <w:p w14:paraId="3F5B64DF">
      <w:pPr>
        <w:pStyle w:val="168"/>
        <w:ind w:firstLine="0" w:firstLineChars="0"/>
        <w:jc w:val="both"/>
        <w:rPr>
          <w:rFonts w:ascii="Times New Roman" w:eastAsia="仿宋"/>
        </w:rPr>
      </w:pPr>
    </w:p>
    <w:p w14:paraId="0AC7E36B">
      <w:pPr>
        <w:pStyle w:val="168"/>
        <w:ind w:firstLine="0" w:firstLineChars="0"/>
        <w:rPr>
          <w:rFonts w:ascii="Times New Roman" w:eastAsia="仿宋"/>
        </w:rPr>
      </w:pPr>
    </w:p>
    <w:p w14:paraId="74D5F975">
      <w:pPr>
        <w:pStyle w:val="22"/>
        <w:tabs>
          <w:tab w:val="left" w:pos="3480"/>
        </w:tabs>
        <w:ind w:firstLine="0" w:firstLineChars="0"/>
        <w:jc w:val="center"/>
        <w:rPr>
          <w:rFonts w:eastAsia="仿宋"/>
          <w:b/>
          <w:highlight w:val="yellow"/>
        </w:rPr>
        <w:sectPr>
          <w:pgSz w:w="11907" w:h="16840"/>
          <w:pgMar w:top="1800" w:right="1440" w:bottom="1800" w:left="1440" w:header="851" w:footer="992" w:gutter="0"/>
          <w:cols w:space="720" w:num="1"/>
          <w:docGrid w:linePitch="326" w:charSpace="0"/>
        </w:sectPr>
      </w:pPr>
    </w:p>
    <w:p w14:paraId="06046AF1">
      <w:pPr>
        <w:pStyle w:val="6"/>
        <w:keepLines w:val="0"/>
        <w:tabs>
          <w:tab w:val="left" w:pos="709"/>
        </w:tabs>
        <w:spacing w:before="120" w:beforeLines="50" w:after="120" w:afterLines="50" w:line="500" w:lineRule="exact"/>
        <w:rPr>
          <w:rFonts w:ascii="Times New Roman" w:eastAsia="仿宋"/>
          <w:sz w:val="30"/>
          <w:szCs w:val="30"/>
        </w:rPr>
      </w:pPr>
      <w:bookmarkStart w:id="220" w:name="_Hlt100923850"/>
      <w:bookmarkEnd w:id="220"/>
      <w:r>
        <w:rPr>
          <w:rFonts w:ascii="Times New Roman" w:eastAsia="仿宋"/>
          <w:sz w:val="30"/>
          <w:szCs w:val="30"/>
        </w:rPr>
        <w:t>3.</w:t>
      </w:r>
      <w:r>
        <w:rPr>
          <w:rFonts w:hint="eastAsia" w:ascii="Times New Roman" w:eastAsia="仿宋"/>
          <w:sz w:val="30"/>
          <w:szCs w:val="30"/>
        </w:rPr>
        <w:t>1</w:t>
      </w:r>
      <w:r>
        <w:rPr>
          <w:rFonts w:ascii="Times New Roman" w:eastAsia="仿宋"/>
          <w:sz w:val="30"/>
          <w:szCs w:val="30"/>
        </w:rPr>
        <w:t>.9总图布置</w:t>
      </w:r>
    </w:p>
    <w:p w14:paraId="117C3766">
      <w:pPr>
        <w:pStyle w:val="7"/>
        <w:keepLines w:val="0"/>
        <w:widowControl/>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.9.1总平面布置原则</w:t>
      </w:r>
    </w:p>
    <w:p w14:paraId="21C3C99F">
      <w:pPr>
        <w:spacing w:line="500" w:lineRule="exact"/>
        <w:ind w:firstLine="560" w:firstLineChars="200"/>
        <w:rPr>
          <w:rFonts w:ascii="Times New Roman" w:eastAsia="仿宋"/>
          <w:sz w:val="28"/>
          <w:szCs w:val="28"/>
        </w:rPr>
      </w:pPr>
      <w:r>
        <w:rPr>
          <w:rFonts w:ascii="Times New Roman" w:eastAsia="仿宋"/>
          <w:sz w:val="28"/>
          <w:szCs w:val="28"/>
        </w:rPr>
        <w:t>（1）总图布置应结合场地自然条件进行。要充分考虑各种装置的生产特性和流程，使流程顺畅，避免生产流程的交叉和迂回往返，使各种物料的输送距离达到最短。</w:t>
      </w:r>
    </w:p>
    <w:p w14:paraId="5D3F5629">
      <w:pPr>
        <w:spacing w:line="500" w:lineRule="exact"/>
        <w:ind w:firstLine="560" w:firstLineChars="200"/>
        <w:rPr>
          <w:rFonts w:ascii="Times New Roman" w:eastAsia="仿宋"/>
          <w:sz w:val="28"/>
          <w:szCs w:val="28"/>
        </w:rPr>
      </w:pPr>
      <w:r>
        <w:rPr>
          <w:rFonts w:ascii="Times New Roman" w:eastAsia="仿宋"/>
          <w:sz w:val="28"/>
          <w:szCs w:val="28"/>
        </w:rPr>
        <w:t>（2）充分考虑生产设施及建、构筑物相互协调，道路通畅及径直短捷。</w:t>
      </w:r>
    </w:p>
    <w:p w14:paraId="3AF35802">
      <w:pPr>
        <w:spacing w:line="500" w:lineRule="exact"/>
        <w:ind w:firstLine="560" w:firstLineChars="200"/>
        <w:rPr>
          <w:rFonts w:ascii="Times New Roman" w:eastAsia="仿宋"/>
          <w:sz w:val="28"/>
          <w:szCs w:val="28"/>
        </w:rPr>
      </w:pPr>
      <w:r>
        <w:rPr>
          <w:rFonts w:ascii="Times New Roman" w:eastAsia="仿宋"/>
          <w:sz w:val="28"/>
          <w:szCs w:val="28"/>
        </w:rPr>
        <w:t>（3）考虑人流和物流的分离。物料运输线路顺畅，物料运输车辆经由出货专用门进出与厂外道路连接。</w:t>
      </w:r>
    </w:p>
    <w:p w14:paraId="50137592">
      <w:pPr>
        <w:spacing w:line="500" w:lineRule="exact"/>
        <w:ind w:firstLine="560" w:firstLineChars="200"/>
        <w:rPr>
          <w:rFonts w:ascii="Times New Roman" w:eastAsia="仿宋"/>
          <w:sz w:val="28"/>
          <w:szCs w:val="28"/>
        </w:rPr>
      </w:pPr>
      <w:r>
        <w:rPr>
          <w:rFonts w:ascii="Times New Roman" w:eastAsia="仿宋"/>
          <w:sz w:val="28"/>
          <w:szCs w:val="28"/>
        </w:rPr>
        <w:t>（4）力求布置紧凑，节约用地，合理规划并考虑发展用地，提高土地利用率。</w:t>
      </w:r>
    </w:p>
    <w:p w14:paraId="62A4421A">
      <w:pPr>
        <w:spacing w:line="500" w:lineRule="exact"/>
        <w:ind w:firstLine="560" w:firstLineChars="200"/>
        <w:rPr>
          <w:rFonts w:ascii="Times New Roman" w:eastAsia="仿宋"/>
          <w:sz w:val="28"/>
          <w:szCs w:val="28"/>
        </w:rPr>
      </w:pPr>
      <w:r>
        <w:rPr>
          <w:rFonts w:ascii="Times New Roman" w:eastAsia="仿宋"/>
          <w:sz w:val="28"/>
          <w:szCs w:val="28"/>
        </w:rPr>
        <w:t>（5）按照生产性质合理分区布置，使生产区尽可能集中。</w:t>
      </w:r>
    </w:p>
    <w:p w14:paraId="2FC579C5">
      <w:pPr>
        <w:spacing w:line="500" w:lineRule="exact"/>
        <w:ind w:firstLine="560" w:firstLineChars="200"/>
        <w:rPr>
          <w:rFonts w:ascii="Times New Roman" w:eastAsia="仿宋"/>
          <w:sz w:val="28"/>
          <w:szCs w:val="28"/>
        </w:rPr>
      </w:pPr>
      <w:r>
        <w:rPr>
          <w:rFonts w:ascii="Times New Roman" w:eastAsia="仿宋"/>
          <w:sz w:val="28"/>
          <w:szCs w:val="28"/>
        </w:rPr>
        <w:t>（6）厂区绿化布置是做好环境保护、净化空气、美化环境和改善生产条件的重要手段，厂内所用的绿地面积应符合国家和地方的要求。</w:t>
      </w:r>
    </w:p>
    <w:p w14:paraId="17383840">
      <w:pPr>
        <w:spacing w:line="500" w:lineRule="exact"/>
        <w:ind w:firstLine="560" w:firstLineChars="200"/>
        <w:rPr>
          <w:rFonts w:ascii="Times New Roman" w:eastAsia="仿宋"/>
          <w:sz w:val="28"/>
          <w:szCs w:val="28"/>
        </w:rPr>
      </w:pPr>
      <w:r>
        <w:rPr>
          <w:rFonts w:ascii="Times New Roman" w:eastAsia="仿宋"/>
          <w:sz w:val="28"/>
          <w:szCs w:val="28"/>
        </w:rPr>
        <w:t>（7）总图布置要有利于降低能耗、节省投资。</w:t>
      </w:r>
    </w:p>
    <w:p w14:paraId="2632B312">
      <w:pPr>
        <w:pStyle w:val="7"/>
        <w:keepLines w:val="0"/>
        <w:widowControl/>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.9.2总平面布置方案</w:t>
      </w:r>
    </w:p>
    <w:p w14:paraId="4D475D05">
      <w:pPr>
        <w:spacing w:line="500" w:lineRule="exact"/>
        <w:ind w:firstLine="560" w:firstLineChars="200"/>
        <w:rPr>
          <w:rFonts w:ascii="Times New Roman" w:eastAsia="仿宋"/>
          <w:bCs/>
          <w:sz w:val="28"/>
          <w:szCs w:val="28"/>
          <w:vertAlign w:val="superscript"/>
        </w:rPr>
      </w:pPr>
      <w:r>
        <w:rPr>
          <w:rFonts w:ascii="Times New Roman" w:eastAsia="仿宋"/>
          <w:bCs/>
          <w:sz w:val="28"/>
          <w:szCs w:val="28"/>
        </w:rPr>
        <w:t>本项目位于常州市金坛区朱林镇永兴路68号</w:t>
      </w:r>
      <w:r>
        <w:rPr>
          <w:rFonts w:hint="eastAsia" w:ascii="Times New Roman" w:eastAsia="仿宋"/>
          <w:bCs/>
          <w:sz w:val="28"/>
          <w:szCs w:val="28"/>
        </w:rPr>
        <w:t>，</w:t>
      </w:r>
      <w:r>
        <w:rPr>
          <w:rFonts w:ascii="Times New Roman" w:eastAsia="仿宋"/>
          <w:bCs/>
          <w:sz w:val="28"/>
          <w:szCs w:val="28"/>
        </w:rPr>
        <w:t>厂区占地面积为26613m</w:t>
      </w:r>
      <w:r>
        <w:rPr>
          <w:rFonts w:ascii="Times New Roman" w:eastAsia="仿宋"/>
          <w:bCs/>
          <w:sz w:val="28"/>
          <w:szCs w:val="28"/>
          <w:vertAlign w:val="superscript"/>
        </w:rPr>
        <w:t>2</w:t>
      </w:r>
      <w:r>
        <w:rPr>
          <w:rFonts w:ascii="Times New Roman" w:eastAsia="仿宋"/>
          <w:bCs/>
          <w:sz w:val="28"/>
          <w:szCs w:val="28"/>
        </w:rPr>
        <w:t>，已取得</w:t>
      </w:r>
      <w:r>
        <w:rPr>
          <w:rFonts w:hint="eastAsia" w:ascii="Times New Roman" w:eastAsia="仿宋"/>
          <w:bCs/>
          <w:sz w:val="28"/>
          <w:szCs w:val="28"/>
        </w:rPr>
        <w:t>不动产权证（苏（2023）金坛区不动产权第0070736号）</w:t>
      </w:r>
      <w:r>
        <w:rPr>
          <w:rFonts w:ascii="Times New Roman" w:eastAsia="仿宋"/>
          <w:bCs/>
          <w:sz w:val="28"/>
          <w:szCs w:val="28"/>
        </w:rPr>
        <w:t>。</w:t>
      </w:r>
    </w:p>
    <w:p w14:paraId="06DCB8CB">
      <w:pPr>
        <w:spacing w:line="500" w:lineRule="exact"/>
        <w:ind w:firstLine="560" w:firstLineChars="200"/>
        <w:rPr>
          <w:rFonts w:ascii="Times New Roman" w:eastAsia="仿宋"/>
          <w:bCs/>
          <w:sz w:val="28"/>
          <w:szCs w:val="28"/>
        </w:rPr>
      </w:pPr>
      <w:r>
        <w:rPr>
          <w:rFonts w:ascii="Times New Roman" w:eastAsia="仿宋"/>
          <w:bCs/>
          <w:sz w:val="28"/>
          <w:szCs w:val="28"/>
        </w:rPr>
        <w:t>从总平布置中可见：本项目</w:t>
      </w:r>
      <w:r>
        <w:rPr>
          <w:rFonts w:hint="eastAsia" w:ascii="Times New Roman" w:eastAsia="仿宋"/>
          <w:bCs/>
          <w:sz w:val="28"/>
          <w:szCs w:val="28"/>
        </w:rPr>
        <w:t>厂区共设</w:t>
      </w:r>
      <w:r>
        <w:rPr>
          <w:rFonts w:ascii="Times New Roman" w:eastAsia="仿宋"/>
          <w:bCs/>
          <w:sz w:val="28"/>
          <w:szCs w:val="28"/>
        </w:rPr>
        <w:t>1</w:t>
      </w:r>
      <w:r>
        <w:rPr>
          <w:rFonts w:hint="eastAsia" w:ascii="Times New Roman" w:eastAsia="仿宋"/>
          <w:bCs/>
          <w:sz w:val="28"/>
          <w:szCs w:val="28"/>
        </w:rPr>
        <w:t>个出口，出入口位于厂区东侧，与永兴路相邻。厂区内北侧</w:t>
      </w:r>
      <w:r>
        <w:rPr>
          <w:rFonts w:ascii="Times New Roman" w:eastAsia="仿宋"/>
          <w:bCs/>
          <w:sz w:val="28"/>
          <w:szCs w:val="28"/>
        </w:rPr>
        <w:t>1</w:t>
      </w:r>
      <w:r>
        <w:rPr>
          <w:rFonts w:hint="eastAsia" w:ascii="Times New Roman" w:eastAsia="仿宋"/>
          <w:bCs/>
          <w:sz w:val="28"/>
          <w:szCs w:val="28"/>
        </w:rPr>
        <w:t>号、2号及4号钣金车间主要进行机加工等，</w:t>
      </w:r>
      <w:r>
        <w:rPr>
          <w:rFonts w:ascii="Times New Roman" w:eastAsia="仿宋"/>
          <w:bCs/>
          <w:sz w:val="28"/>
          <w:szCs w:val="28"/>
        </w:rPr>
        <w:t>3</w:t>
      </w:r>
      <w:r>
        <w:rPr>
          <w:rFonts w:hint="eastAsia" w:ascii="Times New Roman" w:eastAsia="仿宋"/>
          <w:bCs/>
          <w:sz w:val="28"/>
          <w:szCs w:val="28"/>
        </w:rPr>
        <w:t>号喷涂车间设置涂装区、表面处理线区域。</w:t>
      </w:r>
    </w:p>
    <w:p w14:paraId="660A0CEA">
      <w:pPr>
        <w:spacing w:line="500" w:lineRule="exact"/>
        <w:ind w:firstLine="560" w:firstLineChars="200"/>
        <w:rPr>
          <w:rFonts w:ascii="Times New Roman" w:eastAsia="仿宋"/>
          <w:bCs/>
          <w:sz w:val="28"/>
          <w:szCs w:val="28"/>
        </w:rPr>
      </w:pPr>
      <w:r>
        <w:rPr>
          <w:rFonts w:ascii="Times New Roman" w:eastAsia="仿宋"/>
          <w:bCs/>
          <w:sz w:val="28"/>
          <w:szCs w:val="28"/>
        </w:rPr>
        <w:t>本项目依托原有雨、污水排口，污水接管至</w:t>
      </w:r>
      <w:r>
        <w:rPr>
          <w:rFonts w:hint="eastAsia" w:ascii="Times New Roman" w:eastAsia="仿宋"/>
          <w:bCs/>
          <w:sz w:val="28"/>
          <w:szCs w:val="28"/>
        </w:rPr>
        <w:t>金坛区直溪污水处理厂</w:t>
      </w:r>
      <w:r>
        <w:rPr>
          <w:rFonts w:ascii="Times New Roman" w:eastAsia="仿宋"/>
          <w:bCs/>
          <w:sz w:val="28"/>
          <w:szCs w:val="28"/>
        </w:rPr>
        <w:t>集中处理，雨水依托</w:t>
      </w:r>
      <w:r>
        <w:rPr>
          <w:rFonts w:hint="eastAsia" w:ascii="Times New Roman" w:eastAsia="仿宋"/>
          <w:bCs/>
          <w:sz w:val="28"/>
          <w:szCs w:val="28"/>
        </w:rPr>
        <w:t>厂区北侧五联路上的</w:t>
      </w:r>
      <w:r>
        <w:rPr>
          <w:rFonts w:ascii="Times New Roman" w:eastAsia="仿宋"/>
          <w:bCs/>
          <w:sz w:val="28"/>
          <w:szCs w:val="28"/>
        </w:rPr>
        <w:t>雨水排口，接入市政雨水管网。</w:t>
      </w:r>
    </w:p>
    <w:p w14:paraId="3AF1A240">
      <w:pPr>
        <w:spacing w:line="500" w:lineRule="exact"/>
        <w:ind w:firstLine="560" w:firstLineChars="200"/>
        <w:rPr>
          <w:rFonts w:ascii="Times New Roman" w:eastAsia="仿宋"/>
          <w:bCs/>
          <w:sz w:val="28"/>
          <w:szCs w:val="28"/>
        </w:rPr>
      </w:pPr>
      <w:r>
        <w:rPr>
          <w:rFonts w:ascii="Times New Roman" w:eastAsia="仿宋"/>
          <w:bCs/>
          <w:sz w:val="28"/>
          <w:szCs w:val="28"/>
        </w:rPr>
        <w:t>本总平面方案在满足规范的前提下，所有建筑物、设施的平面布置比较合理，物流路线顺畅，工艺管线相对较短，厂区道路形成环形消防通道。</w:t>
      </w:r>
    </w:p>
    <w:p w14:paraId="2146E7DC">
      <w:pPr>
        <w:adjustRightInd w:val="0"/>
        <w:snapToGrid w:val="0"/>
        <w:spacing w:line="500" w:lineRule="exact"/>
        <w:jc w:val="center"/>
        <w:rPr>
          <w:rFonts w:ascii="Times New Roman" w:eastAsia="仿宋"/>
          <w:b/>
        </w:rPr>
      </w:pPr>
      <w:r>
        <w:rPr>
          <w:rFonts w:ascii="Times New Roman" w:eastAsia="仿宋"/>
          <w:b/>
        </w:rPr>
        <w:t>表3.1-16  全厂主体建筑一览表</w:t>
      </w:r>
    </w:p>
    <w:tbl>
      <w:tblPr>
        <w:tblStyle w:val="87"/>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3"/>
        <w:gridCol w:w="2268"/>
        <w:gridCol w:w="836"/>
        <w:gridCol w:w="1434"/>
        <w:gridCol w:w="1742"/>
        <w:gridCol w:w="2693"/>
      </w:tblGrid>
      <w:tr w14:paraId="46227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03" w:type="dxa"/>
            <w:vMerge w:val="restart"/>
            <w:vAlign w:val="center"/>
          </w:tcPr>
          <w:p w14:paraId="36D1B86D">
            <w:pPr>
              <w:adjustRightInd w:val="0"/>
              <w:snapToGrid w:val="0"/>
              <w:jc w:val="center"/>
              <w:rPr>
                <w:rFonts w:ascii="Times New Roman" w:eastAsia="仿宋"/>
                <w:szCs w:val="21"/>
              </w:rPr>
            </w:pPr>
            <w:r>
              <w:rPr>
                <w:rFonts w:ascii="Times New Roman" w:eastAsia="仿宋"/>
                <w:szCs w:val="21"/>
              </w:rPr>
              <w:t>序号</w:t>
            </w:r>
          </w:p>
        </w:tc>
        <w:tc>
          <w:tcPr>
            <w:tcW w:w="2268" w:type="dxa"/>
            <w:vMerge w:val="restart"/>
            <w:vAlign w:val="center"/>
          </w:tcPr>
          <w:p w14:paraId="7DD562FD">
            <w:pPr>
              <w:adjustRightInd w:val="0"/>
              <w:snapToGrid w:val="0"/>
              <w:jc w:val="center"/>
              <w:rPr>
                <w:rFonts w:ascii="Times New Roman" w:eastAsia="仿宋"/>
                <w:szCs w:val="21"/>
              </w:rPr>
            </w:pPr>
            <w:r>
              <w:rPr>
                <w:rFonts w:ascii="Times New Roman" w:eastAsia="仿宋"/>
                <w:szCs w:val="21"/>
              </w:rPr>
              <w:t>建筑名称</w:t>
            </w:r>
          </w:p>
        </w:tc>
        <w:tc>
          <w:tcPr>
            <w:tcW w:w="4012" w:type="dxa"/>
            <w:gridSpan w:val="3"/>
            <w:vAlign w:val="center"/>
          </w:tcPr>
          <w:p w14:paraId="4BD3E426">
            <w:pPr>
              <w:adjustRightInd w:val="0"/>
              <w:snapToGrid w:val="0"/>
              <w:jc w:val="center"/>
              <w:rPr>
                <w:rFonts w:ascii="Times New Roman" w:eastAsia="仿宋"/>
                <w:szCs w:val="21"/>
              </w:rPr>
            </w:pPr>
            <w:r>
              <w:rPr>
                <w:rFonts w:ascii="Times New Roman" w:eastAsia="仿宋"/>
                <w:szCs w:val="21"/>
              </w:rPr>
              <w:t>规模</w:t>
            </w:r>
          </w:p>
        </w:tc>
        <w:tc>
          <w:tcPr>
            <w:tcW w:w="2693" w:type="dxa"/>
            <w:vMerge w:val="restart"/>
            <w:vAlign w:val="center"/>
          </w:tcPr>
          <w:p w14:paraId="4FC33134">
            <w:pPr>
              <w:adjustRightInd w:val="0"/>
              <w:snapToGrid w:val="0"/>
              <w:jc w:val="center"/>
              <w:rPr>
                <w:rFonts w:ascii="Times New Roman" w:eastAsia="仿宋"/>
                <w:szCs w:val="21"/>
              </w:rPr>
            </w:pPr>
            <w:r>
              <w:rPr>
                <w:rFonts w:ascii="Times New Roman" w:eastAsia="仿宋"/>
                <w:szCs w:val="21"/>
              </w:rPr>
              <w:t>备注</w:t>
            </w:r>
          </w:p>
        </w:tc>
      </w:tr>
      <w:tr w14:paraId="5215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803" w:type="dxa"/>
            <w:vMerge w:val="continue"/>
            <w:vAlign w:val="center"/>
          </w:tcPr>
          <w:p w14:paraId="06CFFB7C">
            <w:pPr>
              <w:adjustRightInd w:val="0"/>
              <w:snapToGrid w:val="0"/>
              <w:jc w:val="center"/>
              <w:rPr>
                <w:rFonts w:ascii="Times New Roman" w:eastAsia="仿宋"/>
                <w:szCs w:val="21"/>
              </w:rPr>
            </w:pPr>
          </w:p>
        </w:tc>
        <w:tc>
          <w:tcPr>
            <w:tcW w:w="2268" w:type="dxa"/>
            <w:vMerge w:val="continue"/>
            <w:vAlign w:val="center"/>
          </w:tcPr>
          <w:p w14:paraId="436EED9E">
            <w:pPr>
              <w:adjustRightInd w:val="0"/>
              <w:snapToGrid w:val="0"/>
              <w:jc w:val="center"/>
              <w:rPr>
                <w:rFonts w:ascii="Times New Roman" w:eastAsia="仿宋"/>
                <w:szCs w:val="21"/>
              </w:rPr>
            </w:pPr>
          </w:p>
        </w:tc>
        <w:tc>
          <w:tcPr>
            <w:tcW w:w="836" w:type="dxa"/>
            <w:vAlign w:val="center"/>
          </w:tcPr>
          <w:p w14:paraId="787F92BB">
            <w:pPr>
              <w:adjustRightInd w:val="0"/>
              <w:snapToGrid w:val="0"/>
              <w:jc w:val="center"/>
              <w:rPr>
                <w:rFonts w:ascii="Times New Roman" w:eastAsia="仿宋"/>
                <w:szCs w:val="21"/>
              </w:rPr>
            </w:pPr>
            <w:r>
              <w:rPr>
                <w:rFonts w:ascii="Times New Roman" w:eastAsia="仿宋"/>
                <w:szCs w:val="21"/>
              </w:rPr>
              <w:t>层数</w:t>
            </w:r>
          </w:p>
        </w:tc>
        <w:tc>
          <w:tcPr>
            <w:tcW w:w="1434" w:type="dxa"/>
            <w:vAlign w:val="center"/>
          </w:tcPr>
          <w:p w14:paraId="135CE0F5">
            <w:pPr>
              <w:adjustRightInd w:val="0"/>
              <w:snapToGrid w:val="0"/>
              <w:jc w:val="center"/>
              <w:rPr>
                <w:rFonts w:ascii="Times New Roman" w:eastAsia="仿宋"/>
                <w:szCs w:val="21"/>
              </w:rPr>
            </w:pPr>
            <w:r>
              <w:rPr>
                <w:rFonts w:ascii="Times New Roman" w:eastAsia="仿宋"/>
                <w:szCs w:val="21"/>
              </w:rPr>
              <w:t>建筑面积（m</w:t>
            </w:r>
            <w:r>
              <w:rPr>
                <w:rFonts w:ascii="Times New Roman" w:eastAsia="仿宋"/>
                <w:szCs w:val="21"/>
                <w:vertAlign w:val="superscript"/>
              </w:rPr>
              <w:t>2</w:t>
            </w:r>
            <w:r>
              <w:rPr>
                <w:rFonts w:ascii="Times New Roman" w:eastAsia="仿宋"/>
                <w:szCs w:val="21"/>
              </w:rPr>
              <w:t>）</w:t>
            </w:r>
          </w:p>
        </w:tc>
        <w:tc>
          <w:tcPr>
            <w:tcW w:w="1742" w:type="dxa"/>
            <w:vAlign w:val="center"/>
          </w:tcPr>
          <w:p w14:paraId="38D5216A">
            <w:pPr>
              <w:adjustRightInd w:val="0"/>
              <w:snapToGrid w:val="0"/>
              <w:jc w:val="center"/>
              <w:rPr>
                <w:rFonts w:ascii="Times New Roman" w:eastAsia="仿宋"/>
                <w:szCs w:val="21"/>
              </w:rPr>
            </w:pPr>
            <w:r>
              <w:rPr>
                <w:rFonts w:hint="eastAsia" w:ascii="Times New Roman" w:eastAsia="仿宋"/>
                <w:szCs w:val="21"/>
              </w:rPr>
              <w:t>高度（m）</w:t>
            </w:r>
          </w:p>
        </w:tc>
        <w:tc>
          <w:tcPr>
            <w:tcW w:w="2693" w:type="dxa"/>
            <w:vMerge w:val="continue"/>
            <w:vAlign w:val="center"/>
          </w:tcPr>
          <w:p w14:paraId="1F3C2251">
            <w:pPr>
              <w:adjustRightInd w:val="0"/>
              <w:snapToGrid w:val="0"/>
              <w:jc w:val="center"/>
              <w:rPr>
                <w:rFonts w:ascii="Times New Roman" w:eastAsia="仿宋"/>
                <w:szCs w:val="21"/>
              </w:rPr>
            </w:pPr>
          </w:p>
        </w:tc>
      </w:tr>
      <w:tr w14:paraId="3C3B1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03" w:type="dxa"/>
            <w:vAlign w:val="center"/>
          </w:tcPr>
          <w:p w14:paraId="39EF1556">
            <w:pPr>
              <w:adjustRightInd w:val="0"/>
              <w:snapToGrid w:val="0"/>
              <w:jc w:val="center"/>
              <w:rPr>
                <w:rFonts w:ascii="Times New Roman" w:eastAsia="仿宋"/>
                <w:szCs w:val="21"/>
              </w:rPr>
            </w:pPr>
            <w:r>
              <w:rPr>
                <w:rFonts w:ascii="Times New Roman" w:eastAsia="仿宋"/>
                <w:szCs w:val="21"/>
              </w:rPr>
              <w:t>1</w:t>
            </w:r>
          </w:p>
        </w:tc>
        <w:tc>
          <w:tcPr>
            <w:tcW w:w="2268" w:type="dxa"/>
            <w:vAlign w:val="center"/>
          </w:tcPr>
          <w:p w14:paraId="3CAD2822">
            <w:pPr>
              <w:adjustRightInd w:val="0"/>
              <w:snapToGrid w:val="0"/>
              <w:jc w:val="center"/>
              <w:rPr>
                <w:rFonts w:ascii="Times New Roman" w:eastAsia="仿宋"/>
                <w:szCs w:val="21"/>
              </w:rPr>
            </w:pPr>
            <w:r>
              <w:rPr>
                <w:rFonts w:hint="eastAsia" w:ascii="Times New Roman" w:eastAsia="仿宋"/>
                <w:szCs w:val="21"/>
              </w:rPr>
              <w:t>1号钣金车间</w:t>
            </w:r>
          </w:p>
        </w:tc>
        <w:tc>
          <w:tcPr>
            <w:tcW w:w="836" w:type="dxa"/>
            <w:vAlign w:val="center"/>
          </w:tcPr>
          <w:p w14:paraId="1B96D8A3">
            <w:pPr>
              <w:adjustRightInd w:val="0"/>
              <w:snapToGrid w:val="0"/>
              <w:jc w:val="center"/>
              <w:rPr>
                <w:rFonts w:ascii="Times New Roman" w:eastAsia="仿宋"/>
                <w:szCs w:val="21"/>
              </w:rPr>
            </w:pPr>
            <w:r>
              <w:rPr>
                <w:rFonts w:ascii="Times New Roman" w:eastAsia="仿宋"/>
                <w:szCs w:val="21"/>
              </w:rPr>
              <w:t>1</w:t>
            </w:r>
          </w:p>
        </w:tc>
        <w:tc>
          <w:tcPr>
            <w:tcW w:w="1434" w:type="dxa"/>
            <w:vAlign w:val="center"/>
          </w:tcPr>
          <w:p w14:paraId="1A6D4748">
            <w:pPr>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257.83</w:t>
            </w:r>
          </w:p>
        </w:tc>
        <w:tc>
          <w:tcPr>
            <w:tcW w:w="1742" w:type="dxa"/>
          </w:tcPr>
          <w:p w14:paraId="37045F3D">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2693" w:type="dxa"/>
            <w:vAlign w:val="center"/>
          </w:tcPr>
          <w:p w14:paraId="0695FEB1">
            <w:pPr>
              <w:adjustRightInd w:val="0"/>
              <w:snapToGrid w:val="0"/>
              <w:jc w:val="center"/>
              <w:rPr>
                <w:rFonts w:ascii="Times New Roman" w:eastAsia="仿宋"/>
                <w:szCs w:val="21"/>
              </w:rPr>
            </w:pPr>
            <w:r>
              <w:rPr>
                <w:rFonts w:hint="eastAsia" w:ascii="Times New Roman" w:eastAsia="仿宋"/>
                <w:szCs w:val="21"/>
              </w:rPr>
              <w:t>依托现有</w:t>
            </w:r>
          </w:p>
        </w:tc>
      </w:tr>
      <w:tr w14:paraId="34ED1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803" w:type="dxa"/>
            <w:vAlign w:val="center"/>
          </w:tcPr>
          <w:p w14:paraId="649CD986">
            <w:pPr>
              <w:adjustRightInd w:val="0"/>
              <w:snapToGrid w:val="0"/>
              <w:jc w:val="center"/>
              <w:rPr>
                <w:rFonts w:ascii="Times New Roman" w:eastAsia="仿宋"/>
                <w:szCs w:val="21"/>
              </w:rPr>
            </w:pPr>
            <w:r>
              <w:rPr>
                <w:rFonts w:ascii="Times New Roman" w:eastAsia="仿宋"/>
                <w:szCs w:val="21"/>
              </w:rPr>
              <w:t>2</w:t>
            </w:r>
          </w:p>
        </w:tc>
        <w:tc>
          <w:tcPr>
            <w:tcW w:w="2268" w:type="dxa"/>
            <w:vAlign w:val="center"/>
          </w:tcPr>
          <w:p w14:paraId="77EA5CAC">
            <w:pPr>
              <w:adjustRightInd w:val="0"/>
              <w:snapToGrid w:val="0"/>
              <w:jc w:val="center"/>
              <w:rPr>
                <w:rFonts w:ascii="Times New Roman" w:eastAsia="仿宋"/>
                <w:szCs w:val="21"/>
              </w:rPr>
            </w:pPr>
            <w:r>
              <w:rPr>
                <w:rFonts w:hint="eastAsia" w:ascii="Times New Roman" w:eastAsia="仿宋"/>
                <w:szCs w:val="21"/>
              </w:rPr>
              <w:t>2号钣金车间</w:t>
            </w:r>
          </w:p>
        </w:tc>
        <w:tc>
          <w:tcPr>
            <w:tcW w:w="836" w:type="dxa"/>
            <w:vAlign w:val="center"/>
          </w:tcPr>
          <w:p w14:paraId="5388B440">
            <w:pPr>
              <w:adjustRightInd w:val="0"/>
              <w:snapToGrid w:val="0"/>
              <w:jc w:val="center"/>
              <w:rPr>
                <w:rFonts w:ascii="Times New Roman" w:eastAsia="仿宋"/>
                <w:szCs w:val="21"/>
              </w:rPr>
            </w:pPr>
            <w:r>
              <w:rPr>
                <w:rFonts w:ascii="Times New Roman" w:eastAsia="仿宋"/>
                <w:szCs w:val="21"/>
              </w:rPr>
              <w:t>1</w:t>
            </w:r>
          </w:p>
        </w:tc>
        <w:tc>
          <w:tcPr>
            <w:tcW w:w="1434" w:type="dxa"/>
            <w:vAlign w:val="center"/>
          </w:tcPr>
          <w:p w14:paraId="6127B209">
            <w:pPr>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257.83</w:t>
            </w:r>
          </w:p>
        </w:tc>
        <w:tc>
          <w:tcPr>
            <w:tcW w:w="1742" w:type="dxa"/>
          </w:tcPr>
          <w:p w14:paraId="676081AC">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2693" w:type="dxa"/>
          </w:tcPr>
          <w:p w14:paraId="71C484BE">
            <w:pPr>
              <w:jc w:val="center"/>
            </w:pPr>
            <w:r>
              <w:rPr>
                <w:rFonts w:hint="eastAsia" w:ascii="Times New Roman" w:eastAsia="仿宋"/>
                <w:szCs w:val="21"/>
              </w:rPr>
              <w:t>依托现有</w:t>
            </w:r>
          </w:p>
        </w:tc>
      </w:tr>
      <w:tr w14:paraId="615A1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03" w:type="dxa"/>
            <w:vAlign w:val="center"/>
          </w:tcPr>
          <w:p w14:paraId="4511936B">
            <w:pPr>
              <w:adjustRightInd w:val="0"/>
              <w:snapToGrid w:val="0"/>
              <w:jc w:val="center"/>
              <w:rPr>
                <w:rFonts w:ascii="Times New Roman" w:eastAsia="仿宋"/>
                <w:szCs w:val="21"/>
              </w:rPr>
            </w:pPr>
            <w:r>
              <w:rPr>
                <w:rFonts w:ascii="Times New Roman" w:eastAsia="仿宋"/>
                <w:szCs w:val="21"/>
              </w:rPr>
              <w:t>3</w:t>
            </w:r>
          </w:p>
        </w:tc>
        <w:tc>
          <w:tcPr>
            <w:tcW w:w="2268" w:type="dxa"/>
            <w:vAlign w:val="center"/>
          </w:tcPr>
          <w:p w14:paraId="1D1475C0">
            <w:pPr>
              <w:adjustRightInd w:val="0"/>
              <w:snapToGrid w:val="0"/>
              <w:jc w:val="center"/>
              <w:rPr>
                <w:rFonts w:ascii="Times New Roman" w:eastAsia="仿宋"/>
                <w:szCs w:val="21"/>
              </w:rPr>
            </w:pPr>
            <w:r>
              <w:rPr>
                <w:rFonts w:ascii="Times New Roman" w:eastAsia="仿宋"/>
                <w:szCs w:val="21"/>
              </w:rPr>
              <w:t>3</w:t>
            </w:r>
            <w:r>
              <w:rPr>
                <w:rFonts w:hint="eastAsia" w:ascii="Times New Roman" w:eastAsia="仿宋"/>
                <w:szCs w:val="21"/>
              </w:rPr>
              <w:t>号喷涂车间</w:t>
            </w:r>
          </w:p>
        </w:tc>
        <w:tc>
          <w:tcPr>
            <w:tcW w:w="836" w:type="dxa"/>
            <w:vAlign w:val="center"/>
          </w:tcPr>
          <w:p w14:paraId="7F95BEF5">
            <w:pPr>
              <w:adjustRightInd w:val="0"/>
              <w:snapToGrid w:val="0"/>
              <w:jc w:val="center"/>
              <w:rPr>
                <w:rFonts w:ascii="Times New Roman" w:eastAsia="仿宋"/>
                <w:szCs w:val="21"/>
              </w:rPr>
            </w:pPr>
            <w:r>
              <w:rPr>
                <w:rFonts w:ascii="Times New Roman" w:eastAsia="仿宋"/>
                <w:szCs w:val="21"/>
              </w:rPr>
              <w:t>1</w:t>
            </w:r>
          </w:p>
        </w:tc>
        <w:tc>
          <w:tcPr>
            <w:tcW w:w="1434" w:type="dxa"/>
            <w:vAlign w:val="center"/>
          </w:tcPr>
          <w:p w14:paraId="72AB3FB6">
            <w:pPr>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257.83</w:t>
            </w:r>
          </w:p>
        </w:tc>
        <w:tc>
          <w:tcPr>
            <w:tcW w:w="1742" w:type="dxa"/>
          </w:tcPr>
          <w:p w14:paraId="79C8E27A">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2693" w:type="dxa"/>
          </w:tcPr>
          <w:p w14:paraId="0B02CD9E">
            <w:pPr>
              <w:jc w:val="center"/>
            </w:pPr>
            <w:r>
              <w:rPr>
                <w:rFonts w:hint="eastAsia" w:ascii="Times New Roman" w:eastAsia="仿宋"/>
                <w:szCs w:val="21"/>
              </w:rPr>
              <w:t>依托现有</w:t>
            </w:r>
          </w:p>
        </w:tc>
      </w:tr>
      <w:tr w14:paraId="667E9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03" w:type="dxa"/>
            <w:vAlign w:val="center"/>
          </w:tcPr>
          <w:p w14:paraId="6F4F1138">
            <w:pPr>
              <w:adjustRightInd w:val="0"/>
              <w:snapToGrid w:val="0"/>
              <w:jc w:val="center"/>
              <w:rPr>
                <w:rFonts w:ascii="Times New Roman" w:eastAsia="仿宋"/>
                <w:szCs w:val="21"/>
              </w:rPr>
            </w:pPr>
            <w:r>
              <w:rPr>
                <w:rFonts w:ascii="Times New Roman" w:eastAsia="仿宋"/>
                <w:szCs w:val="21"/>
              </w:rPr>
              <w:t>4</w:t>
            </w:r>
          </w:p>
        </w:tc>
        <w:tc>
          <w:tcPr>
            <w:tcW w:w="2268" w:type="dxa"/>
            <w:vAlign w:val="center"/>
          </w:tcPr>
          <w:p w14:paraId="5F94F0AB">
            <w:pPr>
              <w:adjustRightInd w:val="0"/>
              <w:snapToGrid w:val="0"/>
              <w:jc w:val="center"/>
              <w:rPr>
                <w:rFonts w:ascii="Times New Roman" w:eastAsia="仿宋"/>
                <w:szCs w:val="21"/>
              </w:rPr>
            </w:pPr>
            <w:r>
              <w:rPr>
                <w:rFonts w:hint="eastAsia" w:ascii="Times New Roman" w:eastAsia="仿宋"/>
                <w:szCs w:val="21"/>
              </w:rPr>
              <w:t>4号钣金车间</w:t>
            </w:r>
          </w:p>
        </w:tc>
        <w:tc>
          <w:tcPr>
            <w:tcW w:w="836" w:type="dxa"/>
            <w:vAlign w:val="center"/>
          </w:tcPr>
          <w:p w14:paraId="4916F621">
            <w:pPr>
              <w:adjustRightInd w:val="0"/>
              <w:snapToGrid w:val="0"/>
              <w:jc w:val="center"/>
              <w:rPr>
                <w:rFonts w:ascii="Times New Roman" w:eastAsia="仿宋"/>
                <w:szCs w:val="21"/>
              </w:rPr>
            </w:pPr>
            <w:r>
              <w:rPr>
                <w:rFonts w:hint="eastAsia" w:ascii="Times New Roman" w:eastAsia="仿宋"/>
                <w:szCs w:val="21"/>
              </w:rPr>
              <w:t>1</w:t>
            </w:r>
          </w:p>
        </w:tc>
        <w:tc>
          <w:tcPr>
            <w:tcW w:w="1434" w:type="dxa"/>
            <w:vAlign w:val="center"/>
          </w:tcPr>
          <w:p w14:paraId="27713AD7">
            <w:pPr>
              <w:adjustRightInd w:val="0"/>
              <w:snapToGrid w:val="0"/>
              <w:jc w:val="center"/>
              <w:rPr>
                <w:rFonts w:ascii="Times New Roman" w:eastAsia="仿宋"/>
                <w:szCs w:val="21"/>
              </w:rPr>
            </w:pPr>
            <w:r>
              <w:rPr>
                <w:rFonts w:ascii="Times New Roman" w:eastAsia="仿宋"/>
                <w:szCs w:val="21"/>
              </w:rPr>
              <w:t>4826.84</w:t>
            </w:r>
          </w:p>
        </w:tc>
        <w:tc>
          <w:tcPr>
            <w:tcW w:w="1742" w:type="dxa"/>
          </w:tcPr>
          <w:p w14:paraId="3369A851">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2693" w:type="dxa"/>
          </w:tcPr>
          <w:p w14:paraId="4D0EE59D">
            <w:pPr>
              <w:jc w:val="center"/>
            </w:pPr>
            <w:r>
              <w:rPr>
                <w:rFonts w:hint="eastAsia" w:ascii="Times New Roman" w:eastAsia="仿宋"/>
                <w:szCs w:val="21"/>
              </w:rPr>
              <w:t>依托现有</w:t>
            </w:r>
          </w:p>
        </w:tc>
      </w:tr>
      <w:tr w14:paraId="454D0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803" w:type="dxa"/>
            <w:vAlign w:val="center"/>
          </w:tcPr>
          <w:p w14:paraId="51379B05">
            <w:pPr>
              <w:adjustRightInd w:val="0"/>
              <w:snapToGrid w:val="0"/>
              <w:jc w:val="center"/>
              <w:rPr>
                <w:rFonts w:ascii="Times New Roman" w:eastAsia="仿宋"/>
                <w:szCs w:val="21"/>
              </w:rPr>
            </w:pPr>
            <w:r>
              <w:rPr>
                <w:rFonts w:hint="eastAsia" w:ascii="Times New Roman" w:eastAsia="仿宋"/>
                <w:szCs w:val="21"/>
              </w:rPr>
              <w:t>5</w:t>
            </w:r>
          </w:p>
        </w:tc>
        <w:tc>
          <w:tcPr>
            <w:tcW w:w="2268" w:type="dxa"/>
            <w:vAlign w:val="center"/>
          </w:tcPr>
          <w:p w14:paraId="76A925A3">
            <w:pPr>
              <w:adjustRightInd w:val="0"/>
              <w:snapToGrid w:val="0"/>
              <w:jc w:val="center"/>
              <w:rPr>
                <w:rFonts w:ascii="Times New Roman" w:eastAsia="仿宋"/>
                <w:szCs w:val="21"/>
              </w:rPr>
            </w:pPr>
            <w:r>
              <w:rPr>
                <w:rFonts w:hint="eastAsia" w:ascii="Times New Roman" w:eastAsia="仿宋"/>
                <w:szCs w:val="21"/>
              </w:rPr>
              <w:t>办公楼</w:t>
            </w:r>
          </w:p>
        </w:tc>
        <w:tc>
          <w:tcPr>
            <w:tcW w:w="836" w:type="dxa"/>
            <w:vAlign w:val="center"/>
          </w:tcPr>
          <w:p w14:paraId="57017879">
            <w:pPr>
              <w:adjustRightInd w:val="0"/>
              <w:snapToGrid w:val="0"/>
              <w:jc w:val="center"/>
              <w:rPr>
                <w:rFonts w:ascii="Times New Roman" w:eastAsia="仿宋"/>
                <w:szCs w:val="21"/>
              </w:rPr>
            </w:pPr>
            <w:r>
              <w:rPr>
                <w:rFonts w:hint="eastAsia" w:ascii="Times New Roman" w:eastAsia="仿宋"/>
                <w:szCs w:val="21"/>
              </w:rPr>
              <w:t>3</w:t>
            </w:r>
          </w:p>
        </w:tc>
        <w:tc>
          <w:tcPr>
            <w:tcW w:w="1434" w:type="dxa"/>
            <w:vAlign w:val="center"/>
          </w:tcPr>
          <w:p w14:paraId="06F2DDA9">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956.69</w:t>
            </w:r>
          </w:p>
        </w:tc>
        <w:tc>
          <w:tcPr>
            <w:tcW w:w="1742" w:type="dxa"/>
          </w:tcPr>
          <w:p w14:paraId="30F2FF24">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2693" w:type="dxa"/>
          </w:tcPr>
          <w:p w14:paraId="5F317D2D">
            <w:pPr>
              <w:jc w:val="center"/>
            </w:pPr>
            <w:r>
              <w:rPr>
                <w:rFonts w:hint="eastAsia" w:ascii="Times New Roman" w:eastAsia="仿宋"/>
                <w:szCs w:val="21"/>
              </w:rPr>
              <w:t>依托现有</w:t>
            </w:r>
          </w:p>
        </w:tc>
      </w:tr>
      <w:tr w14:paraId="45F89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803" w:type="dxa"/>
            <w:vAlign w:val="center"/>
          </w:tcPr>
          <w:p w14:paraId="6E5C8098">
            <w:pPr>
              <w:adjustRightInd w:val="0"/>
              <w:snapToGrid w:val="0"/>
              <w:jc w:val="center"/>
              <w:rPr>
                <w:rFonts w:ascii="Times New Roman" w:eastAsia="仿宋"/>
                <w:szCs w:val="21"/>
              </w:rPr>
            </w:pPr>
            <w:r>
              <w:rPr>
                <w:rFonts w:hint="eastAsia" w:ascii="Times New Roman" w:eastAsia="仿宋"/>
                <w:szCs w:val="21"/>
              </w:rPr>
              <w:t>6</w:t>
            </w:r>
          </w:p>
        </w:tc>
        <w:tc>
          <w:tcPr>
            <w:tcW w:w="2268" w:type="dxa"/>
            <w:vAlign w:val="center"/>
          </w:tcPr>
          <w:p w14:paraId="24CDEBB3">
            <w:pPr>
              <w:adjustRightInd w:val="0"/>
              <w:snapToGrid w:val="0"/>
              <w:jc w:val="center"/>
              <w:rPr>
                <w:rFonts w:ascii="Times New Roman" w:eastAsia="仿宋"/>
                <w:szCs w:val="21"/>
              </w:rPr>
            </w:pPr>
            <w:r>
              <w:rPr>
                <w:rFonts w:hint="eastAsia" w:ascii="Times New Roman" w:eastAsia="仿宋"/>
                <w:szCs w:val="21"/>
              </w:rPr>
              <w:t>合计</w:t>
            </w:r>
          </w:p>
        </w:tc>
        <w:tc>
          <w:tcPr>
            <w:tcW w:w="836" w:type="dxa"/>
            <w:vAlign w:val="center"/>
          </w:tcPr>
          <w:p w14:paraId="0DC5D1C6">
            <w:pPr>
              <w:adjustRightInd w:val="0"/>
              <w:snapToGrid w:val="0"/>
              <w:jc w:val="center"/>
              <w:rPr>
                <w:rFonts w:ascii="Times New Roman" w:eastAsia="仿宋"/>
                <w:szCs w:val="21"/>
              </w:rPr>
            </w:pPr>
            <w:r>
              <w:rPr>
                <w:rFonts w:hint="eastAsia" w:ascii="Times New Roman" w:eastAsia="仿宋"/>
                <w:szCs w:val="21"/>
              </w:rPr>
              <w:t>/</w:t>
            </w:r>
          </w:p>
        </w:tc>
        <w:tc>
          <w:tcPr>
            <w:tcW w:w="1434" w:type="dxa"/>
            <w:vAlign w:val="center"/>
          </w:tcPr>
          <w:p w14:paraId="1F532056">
            <w:pPr>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6557.02</w:t>
            </w:r>
          </w:p>
        </w:tc>
        <w:tc>
          <w:tcPr>
            <w:tcW w:w="1742" w:type="dxa"/>
          </w:tcPr>
          <w:p w14:paraId="65F8EFDA">
            <w:pPr>
              <w:adjustRightInd w:val="0"/>
              <w:snapToGrid w:val="0"/>
              <w:jc w:val="center"/>
              <w:rPr>
                <w:rFonts w:ascii="Times New Roman" w:eastAsia="仿宋"/>
                <w:szCs w:val="21"/>
              </w:rPr>
            </w:pPr>
            <w:r>
              <w:rPr>
                <w:rFonts w:hint="eastAsia" w:ascii="Times New Roman" w:eastAsia="仿宋"/>
                <w:szCs w:val="21"/>
              </w:rPr>
              <w:t>/</w:t>
            </w:r>
          </w:p>
        </w:tc>
        <w:tc>
          <w:tcPr>
            <w:tcW w:w="2693" w:type="dxa"/>
          </w:tcPr>
          <w:p w14:paraId="30E68763">
            <w:pPr>
              <w:jc w:val="center"/>
              <w:rPr>
                <w:rFonts w:ascii="Times New Roman" w:eastAsia="仿宋"/>
                <w:szCs w:val="21"/>
              </w:rPr>
            </w:pPr>
            <w:r>
              <w:rPr>
                <w:rFonts w:hint="eastAsia" w:ascii="Times New Roman" w:eastAsia="仿宋"/>
                <w:szCs w:val="21"/>
              </w:rPr>
              <w:t>/</w:t>
            </w:r>
          </w:p>
        </w:tc>
      </w:tr>
    </w:tbl>
    <w:p w14:paraId="3F7EE76C">
      <w:pPr>
        <w:pStyle w:val="7"/>
        <w:keepLines w:val="0"/>
        <w:widowControl/>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1</w:t>
      </w:r>
      <w:r>
        <w:rPr>
          <w:rFonts w:ascii="Times New Roman" w:hAnsi="Times New Roman" w:eastAsia="仿宋"/>
          <w:b/>
        </w:rPr>
        <w:t>.9.3厂区周围环境情况</w:t>
      </w:r>
    </w:p>
    <w:p w14:paraId="75D1735B">
      <w:pPr>
        <w:spacing w:line="500" w:lineRule="exact"/>
        <w:ind w:firstLine="560" w:firstLineChars="200"/>
        <w:rPr>
          <w:rFonts w:ascii="Times New Roman" w:eastAsia="仿宋"/>
          <w:sz w:val="28"/>
          <w:szCs w:val="28"/>
        </w:rPr>
      </w:pPr>
      <w:r>
        <w:rPr>
          <w:rFonts w:ascii="Times New Roman" w:eastAsia="仿宋"/>
          <w:sz w:val="28"/>
        </w:rPr>
        <w:t>本项目</w:t>
      </w:r>
      <w:r>
        <w:rPr>
          <w:rFonts w:hint="eastAsia" w:ascii="Times New Roman" w:eastAsia="仿宋"/>
          <w:sz w:val="28"/>
        </w:rPr>
        <w:t>北</w:t>
      </w:r>
      <w:r>
        <w:rPr>
          <w:rFonts w:ascii="Times New Roman" w:eastAsia="仿宋"/>
          <w:sz w:val="28"/>
        </w:rPr>
        <w:t>侧</w:t>
      </w:r>
      <w:r>
        <w:rPr>
          <w:rFonts w:hint="eastAsia" w:ascii="Times New Roman" w:eastAsia="仿宋"/>
          <w:sz w:val="28"/>
        </w:rPr>
        <w:t>五联路，隔路为常州思泉汽车科技有限公司，东侧为永兴路</w:t>
      </w:r>
      <w:r>
        <w:rPr>
          <w:rFonts w:ascii="Times New Roman" w:eastAsia="仿宋"/>
          <w:sz w:val="28"/>
        </w:rPr>
        <w:t>，</w:t>
      </w:r>
      <w:r>
        <w:rPr>
          <w:rFonts w:hint="eastAsia" w:ascii="Times New Roman" w:eastAsia="仿宋"/>
          <w:sz w:val="28"/>
        </w:rPr>
        <w:t>隔路为江苏中电线缆研究院有限公司，西侧和南侧为空地</w:t>
      </w:r>
      <w:r>
        <w:rPr>
          <w:rFonts w:ascii="Times New Roman" w:eastAsia="仿宋"/>
          <w:sz w:val="28"/>
          <w:szCs w:val="28"/>
        </w:rPr>
        <w:t>。</w:t>
      </w:r>
    </w:p>
    <w:p w14:paraId="460CF51D">
      <w:pPr>
        <w:spacing w:line="500" w:lineRule="exact"/>
        <w:ind w:firstLine="562" w:firstLineChars="200"/>
        <w:rPr>
          <w:rFonts w:ascii="Times New Roman" w:eastAsia="仿宋"/>
          <w:bCs/>
          <w:sz w:val="28"/>
          <w:szCs w:val="28"/>
        </w:rPr>
      </w:pPr>
      <w:r>
        <w:rPr>
          <w:rFonts w:ascii="Times New Roman" w:eastAsia="仿宋"/>
          <w:b/>
          <w:sz w:val="28"/>
          <w:szCs w:val="28"/>
        </w:rPr>
        <w:t>本项目厂区平面布置图见图3.1-4，厂界外500米的土地利用现状见图3.1-5，车间平面布置图见图3.1-6</w:t>
      </w:r>
      <w:r>
        <w:rPr>
          <w:rFonts w:hint="eastAsia" w:ascii="Times New Roman" w:eastAsia="仿宋"/>
          <w:b/>
          <w:sz w:val="28"/>
          <w:szCs w:val="28"/>
        </w:rPr>
        <w:t>、3</w:t>
      </w:r>
      <w:r>
        <w:rPr>
          <w:rFonts w:ascii="Times New Roman" w:eastAsia="仿宋"/>
          <w:b/>
          <w:sz w:val="28"/>
          <w:szCs w:val="28"/>
        </w:rPr>
        <w:t>.1-7。</w:t>
      </w:r>
    </w:p>
    <w:p w14:paraId="19C5DCFA">
      <w:pPr>
        <w:spacing w:line="500" w:lineRule="exact"/>
        <w:ind w:firstLine="480" w:firstLineChars="200"/>
        <w:rPr>
          <w:rFonts w:ascii="Times New Roman" w:eastAsia="仿宋"/>
        </w:rPr>
        <w:sectPr>
          <w:footerReference r:id="rId10" w:type="default"/>
          <w:pgSz w:w="11906" w:h="16838"/>
          <w:pgMar w:top="1440" w:right="1800" w:bottom="1440" w:left="1800" w:header="851" w:footer="992" w:gutter="0"/>
          <w:cols w:space="720" w:num="1"/>
          <w:docGrid w:linePitch="326" w:charSpace="0"/>
        </w:sectPr>
      </w:pPr>
      <w:r>
        <w:rPr>
          <w:rFonts w:ascii="Times New Roman" w:eastAsia="仿宋"/>
        </w:rPr>
        <w:t>·</w:t>
      </w:r>
    </w:p>
    <w:p w14:paraId="1998EDF8">
      <w:pPr>
        <w:pStyle w:val="5"/>
        <w:numPr>
          <w:ilvl w:val="0"/>
          <w:numId w:val="0"/>
        </w:numPr>
        <w:rPr>
          <w:rFonts w:eastAsia="仿宋"/>
          <w:color w:val="auto"/>
        </w:rPr>
      </w:pPr>
      <w:bookmarkStart w:id="221" w:name="_Toc182553811"/>
      <w:r>
        <w:rPr>
          <w:rFonts w:eastAsia="仿宋"/>
          <w:color w:val="auto"/>
        </w:rPr>
        <w:t>3.</w:t>
      </w:r>
      <w:r>
        <w:rPr>
          <w:rFonts w:hint="eastAsia" w:eastAsia="仿宋"/>
          <w:color w:val="auto"/>
        </w:rPr>
        <w:t>2</w:t>
      </w:r>
      <w:r>
        <w:rPr>
          <w:rFonts w:eastAsia="仿宋"/>
          <w:color w:val="auto"/>
        </w:rPr>
        <w:t>影响因素分析</w:t>
      </w:r>
      <w:bookmarkEnd w:id="221"/>
    </w:p>
    <w:p w14:paraId="4FF386FB">
      <w:pPr>
        <w:pStyle w:val="6"/>
        <w:keepLines w:val="0"/>
        <w:tabs>
          <w:tab w:val="left" w:pos="709"/>
        </w:tabs>
        <w:spacing w:before="0" w:after="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2</w:t>
      </w:r>
      <w:r>
        <w:rPr>
          <w:rFonts w:ascii="Times New Roman" w:eastAsia="仿宋"/>
          <w:sz w:val="28"/>
          <w:szCs w:val="28"/>
        </w:rPr>
        <w:t>.1工艺流程</w:t>
      </w:r>
    </w:p>
    <w:p w14:paraId="3D8DA149">
      <w:pPr>
        <w:pStyle w:val="7"/>
        <w:keepLines w:val="0"/>
        <w:widowControl/>
        <w:tabs>
          <w:tab w:val="left" w:pos="993"/>
        </w:tabs>
        <w:adjustRightInd w:val="0"/>
        <w:snapToGrid w:val="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.1.1生产工艺流程</w:t>
      </w:r>
    </w:p>
    <w:p w14:paraId="34812432">
      <w:pPr>
        <w:spacing w:line="500" w:lineRule="exact"/>
        <w:ind w:firstLine="560" w:firstLineChars="200"/>
        <w:rPr>
          <w:rFonts w:ascii="Times New Roman" w:eastAsia="仿宋"/>
          <w:sz w:val="28"/>
          <w:szCs w:val="28"/>
        </w:rPr>
      </w:pPr>
      <w:r>
        <w:rPr>
          <w:rFonts w:hint="eastAsia" w:ascii="Times New Roman" w:eastAsia="仿宋"/>
          <w:sz w:val="28"/>
          <w:szCs w:val="28"/>
        </w:rPr>
        <w:t>本项目产能为年产</w:t>
      </w:r>
      <w:r>
        <w:rPr>
          <w:rFonts w:ascii="Times New Roman" w:eastAsia="仿宋"/>
          <w:sz w:val="28"/>
          <w:szCs w:val="28"/>
        </w:rPr>
        <w:t>8</w:t>
      </w:r>
      <w:r>
        <w:rPr>
          <w:rFonts w:hint="eastAsia" w:ascii="Times New Roman" w:eastAsia="仿宋"/>
          <w:sz w:val="28"/>
          <w:szCs w:val="28"/>
        </w:rPr>
        <w:t>0万平方米新能源汽车铝单板，总生产工艺为机加工、表面处理、喷漆、喷粉等，其中</w:t>
      </w:r>
      <w:r>
        <w:rPr>
          <w:rFonts w:ascii="Times New Roman" w:eastAsia="仿宋"/>
          <w:sz w:val="28"/>
          <w:szCs w:val="28"/>
        </w:rPr>
        <w:t>3</w:t>
      </w:r>
      <w:r>
        <w:rPr>
          <w:rFonts w:hint="eastAsia" w:ascii="Times New Roman" w:eastAsia="仿宋"/>
          <w:sz w:val="28"/>
          <w:szCs w:val="28"/>
        </w:rPr>
        <w:t>0万平方米为喷涂油性氟碳漆加工、</w:t>
      </w:r>
      <w:r>
        <w:rPr>
          <w:rFonts w:ascii="Times New Roman" w:eastAsia="仿宋"/>
          <w:sz w:val="28"/>
          <w:szCs w:val="28"/>
        </w:rPr>
        <w:t>5</w:t>
      </w:r>
      <w:r>
        <w:rPr>
          <w:rFonts w:hint="eastAsia" w:ascii="Times New Roman" w:eastAsia="仿宋"/>
          <w:sz w:val="28"/>
          <w:szCs w:val="28"/>
        </w:rPr>
        <w:t>0万平方米为喷粉加工。具体过程如下：</w:t>
      </w:r>
    </w:p>
    <w:p w14:paraId="622FF102">
      <w:pPr>
        <w:spacing w:line="500" w:lineRule="exact"/>
        <w:ind w:firstLine="560" w:firstLineChars="200"/>
        <w:rPr>
          <w:rFonts w:ascii="Times New Roman" w:eastAsia="仿宋"/>
          <w:sz w:val="28"/>
          <w:szCs w:val="28"/>
        </w:rPr>
      </w:pPr>
      <w:r>
        <w:rPr>
          <w:rFonts w:ascii="Times New Roman" w:eastAsia="仿宋"/>
          <w:sz w:val="28"/>
          <w:szCs w:val="28"/>
        </w:rPr>
        <w:t>一、</w:t>
      </w:r>
      <w:r>
        <w:rPr>
          <w:rFonts w:hint="eastAsia" w:ascii="Times New Roman" w:eastAsia="仿宋"/>
          <w:sz w:val="28"/>
          <w:szCs w:val="28"/>
        </w:rPr>
        <w:t>总生产工艺</w:t>
      </w:r>
    </w:p>
    <w:p w14:paraId="4F375501">
      <w:pPr>
        <w:spacing w:line="500" w:lineRule="exact"/>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总</w:t>
      </w:r>
      <w:r>
        <w:rPr>
          <w:rFonts w:ascii="Times New Roman" w:eastAsia="仿宋"/>
          <w:sz w:val="28"/>
          <w:szCs w:val="28"/>
        </w:rPr>
        <w:t>生产工艺流程图</w:t>
      </w:r>
    </w:p>
    <w:p w14:paraId="05298744">
      <w:pPr>
        <w:spacing w:line="500" w:lineRule="exact"/>
        <w:ind w:firstLine="560" w:firstLineChars="200"/>
        <w:rPr>
          <w:rFonts w:ascii="Times New Roman" w:eastAsia="仿宋"/>
          <w:sz w:val="28"/>
          <w:szCs w:val="28"/>
        </w:rPr>
      </w:pPr>
      <w:r>
        <w:rPr>
          <w:rFonts w:hint="eastAsia" w:ascii="Times New Roman" w:eastAsia="仿宋"/>
          <w:sz w:val="28"/>
          <w:szCs w:val="28"/>
        </w:rPr>
        <w:t>（1）工艺流程图</w:t>
      </w:r>
    </w:p>
    <w:p w14:paraId="0CAB18EB">
      <w:pPr>
        <w:jc w:val="center"/>
        <w:rPr>
          <w:rFonts w:ascii="Times New Roman" w:eastAsia="仿宋"/>
          <w:b/>
        </w:rPr>
      </w:pPr>
      <w:r>
        <w:rPr>
          <w:rFonts w:ascii="Times New Roman" w:eastAsia="仿宋"/>
          <w:b/>
        </w:rPr>
        <w:drawing>
          <wp:inline distT="0" distB="0" distL="0" distR="0">
            <wp:extent cx="5274310" cy="866140"/>
            <wp:effectExtent l="0" t="0" r="0" b="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43"/>
                    <a:stretch>
                      <a:fillRect/>
                    </a:stretch>
                  </pic:blipFill>
                  <pic:spPr>
                    <a:xfrm>
                      <a:off x="0" y="0"/>
                      <a:ext cx="5274310" cy="866140"/>
                    </a:xfrm>
                    <a:prstGeom prst="rect">
                      <a:avLst/>
                    </a:prstGeom>
                  </pic:spPr>
                </pic:pic>
              </a:graphicData>
            </a:graphic>
          </wp:inline>
        </w:drawing>
      </w:r>
    </w:p>
    <w:p w14:paraId="08A703EC">
      <w:pPr>
        <w:jc w:val="center"/>
        <w:rPr>
          <w:rFonts w:ascii="Times New Roman" w:eastAsia="仿宋"/>
          <w:b/>
        </w:rPr>
      </w:pPr>
      <w:r>
        <w:rPr>
          <w:rFonts w:ascii="Times New Roman" w:eastAsia="仿宋"/>
          <w:b/>
        </w:rPr>
        <w:t xml:space="preserve">图3.2-1  </w:t>
      </w:r>
      <w:r>
        <w:rPr>
          <w:rFonts w:hint="eastAsia" w:ascii="Times New Roman" w:eastAsia="仿宋"/>
          <w:b/>
        </w:rPr>
        <w:t>总</w:t>
      </w:r>
      <w:r>
        <w:rPr>
          <w:rFonts w:ascii="Times New Roman" w:eastAsia="仿宋"/>
          <w:b/>
        </w:rPr>
        <w:t>工艺流程图</w:t>
      </w:r>
    </w:p>
    <w:p w14:paraId="389ADE90">
      <w:pPr>
        <w:spacing w:line="500" w:lineRule="exact"/>
        <w:ind w:firstLine="560" w:firstLineChars="200"/>
        <w:rPr>
          <w:rFonts w:ascii="Times New Roman" w:eastAsia="仿宋"/>
          <w:sz w:val="28"/>
          <w:szCs w:val="28"/>
        </w:rPr>
      </w:pPr>
      <w:r>
        <w:rPr>
          <w:rFonts w:hint="eastAsia" w:ascii="Times New Roman" w:eastAsia="仿宋"/>
          <w:sz w:val="28"/>
          <w:szCs w:val="28"/>
        </w:rPr>
        <w:t>（2）生产工艺流程简述</w:t>
      </w:r>
    </w:p>
    <w:p w14:paraId="04295E8B">
      <w:pPr>
        <w:spacing w:line="500" w:lineRule="exact"/>
        <w:ind w:firstLine="560" w:firstLineChars="200"/>
        <w:rPr>
          <w:rFonts w:ascii="Times New Roman" w:eastAsia="仿宋"/>
          <w:sz w:val="28"/>
          <w:szCs w:val="28"/>
        </w:rPr>
      </w:pPr>
      <w:r>
        <w:rPr>
          <w:rFonts w:hint="eastAsia" w:ascii="Times New Roman" w:eastAsia="仿宋"/>
          <w:sz w:val="28"/>
          <w:szCs w:val="28"/>
        </w:rPr>
        <w:t>本项目外购铝板首先全部进行机加工工序及表面处理工序，然后其中</w:t>
      </w:r>
      <w:r>
        <w:rPr>
          <w:rFonts w:ascii="Times New Roman" w:eastAsia="仿宋"/>
          <w:sz w:val="28"/>
          <w:szCs w:val="28"/>
        </w:rPr>
        <w:t>3</w:t>
      </w:r>
      <w:r>
        <w:rPr>
          <w:rFonts w:hint="eastAsia" w:ascii="Times New Roman" w:eastAsia="仿宋"/>
          <w:sz w:val="28"/>
          <w:szCs w:val="28"/>
        </w:rPr>
        <w:t>0万m</w:t>
      </w:r>
      <w:r>
        <w:rPr>
          <w:rFonts w:hint="eastAsia" w:ascii="Times New Roman" w:eastAsia="仿宋"/>
          <w:sz w:val="28"/>
          <w:szCs w:val="28"/>
          <w:vertAlign w:val="superscript"/>
        </w:rPr>
        <w:t>2</w:t>
      </w:r>
      <w:r>
        <w:rPr>
          <w:rFonts w:hint="eastAsia" w:ascii="Times New Roman" w:eastAsia="仿宋"/>
          <w:sz w:val="28"/>
          <w:szCs w:val="28"/>
        </w:rPr>
        <w:t>进行油性氟碳漆喷涂加工，</w:t>
      </w:r>
      <w:r>
        <w:rPr>
          <w:rFonts w:ascii="Times New Roman" w:eastAsia="仿宋"/>
          <w:sz w:val="28"/>
          <w:szCs w:val="28"/>
        </w:rPr>
        <w:t>5</w:t>
      </w:r>
      <w:r>
        <w:rPr>
          <w:rFonts w:hint="eastAsia" w:ascii="Times New Roman" w:eastAsia="仿宋"/>
          <w:sz w:val="28"/>
          <w:szCs w:val="28"/>
        </w:rPr>
        <w:t>0万m</w:t>
      </w:r>
      <w:r>
        <w:rPr>
          <w:rFonts w:hint="eastAsia" w:ascii="Times New Roman" w:eastAsia="仿宋"/>
          <w:sz w:val="28"/>
          <w:szCs w:val="28"/>
          <w:vertAlign w:val="superscript"/>
        </w:rPr>
        <w:t>2</w:t>
      </w:r>
      <w:r>
        <w:rPr>
          <w:rFonts w:hint="eastAsia" w:ascii="Times New Roman" w:eastAsia="仿宋"/>
          <w:sz w:val="28"/>
          <w:szCs w:val="28"/>
        </w:rPr>
        <w:t>进行喷粉加工。</w:t>
      </w:r>
    </w:p>
    <w:p w14:paraId="7095449D">
      <w:pPr>
        <w:spacing w:line="500" w:lineRule="exact"/>
        <w:ind w:firstLine="560" w:firstLineChars="200"/>
        <w:rPr>
          <w:rFonts w:ascii="Times New Roman" w:eastAsia="仿宋"/>
          <w:sz w:val="28"/>
          <w:szCs w:val="28"/>
        </w:rPr>
      </w:pPr>
      <w:r>
        <w:rPr>
          <w:rFonts w:hint="eastAsia" w:ascii="Times New Roman" w:eastAsia="仿宋"/>
          <w:sz w:val="28"/>
          <w:szCs w:val="28"/>
        </w:rPr>
        <w:t>2、机加工工艺流程</w:t>
      </w:r>
    </w:p>
    <w:p w14:paraId="73F42CF9">
      <w:pPr>
        <w:spacing w:line="500" w:lineRule="exact"/>
        <w:ind w:firstLine="560" w:firstLineChars="200"/>
        <w:rPr>
          <w:rFonts w:ascii="Times New Roman" w:eastAsia="仿宋"/>
          <w:sz w:val="28"/>
          <w:szCs w:val="28"/>
        </w:rPr>
      </w:pPr>
      <w:r>
        <w:rPr>
          <w:rFonts w:hint="eastAsia" w:ascii="Times New Roman" w:eastAsia="仿宋"/>
          <w:sz w:val="28"/>
          <w:szCs w:val="28"/>
        </w:rPr>
        <w:t>（1）工艺流程图</w:t>
      </w:r>
    </w:p>
    <w:p w14:paraId="5D09D7AA">
      <w:pPr>
        <w:ind w:firstLine="560" w:firstLineChars="200"/>
        <w:jc w:val="center"/>
        <w:rPr>
          <w:rFonts w:ascii="Times New Roman" w:eastAsia="仿宋"/>
          <w:sz w:val="28"/>
          <w:szCs w:val="28"/>
        </w:rPr>
      </w:pPr>
      <w:r>
        <w:rPr>
          <w:rFonts w:ascii="Times New Roman" w:eastAsia="仿宋"/>
          <w:sz w:val="28"/>
          <w:szCs w:val="28"/>
        </w:rPr>
        <w:drawing>
          <wp:inline distT="0" distB="0" distL="0" distR="0">
            <wp:extent cx="2676525" cy="551942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4"/>
                    <a:stretch>
                      <a:fillRect/>
                    </a:stretch>
                  </pic:blipFill>
                  <pic:spPr>
                    <a:xfrm>
                      <a:off x="0" y="0"/>
                      <a:ext cx="2683649" cy="5533985"/>
                    </a:xfrm>
                    <a:prstGeom prst="rect">
                      <a:avLst/>
                    </a:prstGeom>
                  </pic:spPr>
                </pic:pic>
              </a:graphicData>
            </a:graphic>
          </wp:inline>
        </w:drawing>
      </w:r>
    </w:p>
    <w:p w14:paraId="115004D2">
      <w:pPr>
        <w:jc w:val="center"/>
        <w:rPr>
          <w:rFonts w:ascii="Times New Roman" w:eastAsia="仿宋"/>
          <w:b/>
        </w:rPr>
      </w:pPr>
      <w:r>
        <w:rPr>
          <w:rFonts w:ascii="Times New Roman" w:eastAsia="仿宋"/>
          <w:b/>
        </w:rPr>
        <w:t>图3.2-</w:t>
      </w:r>
      <w:r>
        <w:rPr>
          <w:rFonts w:hint="eastAsia" w:ascii="Times New Roman" w:eastAsia="仿宋"/>
          <w:b/>
        </w:rPr>
        <w:t>2</w:t>
      </w:r>
      <w:r>
        <w:rPr>
          <w:rFonts w:ascii="Times New Roman" w:eastAsia="仿宋"/>
          <w:b/>
        </w:rPr>
        <w:t xml:space="preserve">  </w:t>
      </w:r>
      <w:r>
        <w:rPr>
          <w:rFonts w:hint="eastAsia" w:ascii="Times New Roman" w:eastAsia="仿宋"/>
          <w:b/>
        </w:rPr>
        <w:t>机加工</w:t>
      </w:r>
      <w:r>
        <w:rPr>
          <w:rFonts w:ascii="Times New Roman" w:eastAsia="仿宋"/>
          <w:b/>
        </w:rPr>
        <w:t>工艺流程图</w:t>
      </w:r>
    </w:p>
    <w:p w14:paraId="62D1EEFC">
      <w:pPr>
        <w:spacing w:line="500" w:lineRule="exact"/>
        <w:ind w:firstLine="560" w:firstLineChars="200"/>
        <w:rPr>
          <w:rFonts w:ascii="Times New Roman" w:eastAsia="仿宋"/>
          <w:sz w:val="28"/>
          <w:szCs w:val="28"/>
        </w:rPr>
      </w:pPr>
      <w:r>
        <w:rPr>
          <w:rFonts w:hint="eastAsia" w:ascii="Times New Roman" w:eastAsia="仿宋"/>
          <w:sz w:val="28"/>
          <w:szCs w:val="28"/>
        </w:rPr>
        <w:t>（2）生产工艺流程简述</w:t>
      </w:r>
    </w:p>
    <w:p w14:paraId="4C562B91">
      <w:pPr>
        <w:spacing w:line="500" w:lineRule="exact"/>
        <w:ind w:firstLine="562" w:firstLineChars="200"/>
        <w:rPr>
          <w:rFonts w:ascii="Times New Roman" w:eastAsia="仿宋"/>
          <w:sz w:val="28"/>
          <w:szCs w:val="28"/>
        </w:rPr>
      </w:pPr>
      <w:r>
        <w:rPr>
          <w:rFonts w:hint="eastAsia" w:ascii="Times New Roman" w:eastAsia="仿宋"/>
          <w:b/>
          <w:bCs/>
          <w:sz w:val="28"/>
          <w:szCs w:val="28"/>
        </w:rPr>
        <w:t>剪板、切割：</w:t>
      </w:r>
      <w:r>
        <w:rPr>
          <w:rFonts w:hint="eastAsia" w:ascii="Times New Roman" w:eastAsia="仿宋"/>
          <w:sz w:val="28"/>
          <w:szCs w:val="28"/>
        </w:rPr>
        <w:t>根据产品要求，利用剪板机将铝板进行进一步的裁剪，然后利用雕刻机将裁剪好的铝板按不同要求进行切割。此工序有边角料</w:t>
      </w:r>
      <w:r>
        <w:rPr>
          <w:rFonts w:ascii="Times New Roman" w:eastAsia="仿宋"/>
          <w:sz w:val="28"/>
          <w:szCs w:val="28"/>
        </w:rPr>
        <w:t>S1</w:t>
      </w:r>
      <w:r>
        <w:rPr>
          <w:rFonts w:hint="eastAsia" w:ascii="Times New Roman" w:eastAsia="仿宋"/>
          <w:sz w:val="28"/>
          <w:szCs w:val="28"/>
        </w:rPr>
        <w:t>、噪声N</w:t>
      </w:r>
      <w:r>
        <w:rPr>
          <w:rFonts w:ascii="Times New Roman" w:eastAsia="仿宋"/>
          <w:sz w:val="28"/>
          <w:szCs w:val="28"/>
        </w:rPr>
        <w:t>1</w:t>
      </w:r>
      <w:r>
        <w:rPr>
          <w:rFonts w:hint="eastAsia" w:ascii="Times New Roman" w:eastAsia="仿宋"/>
          <w:sz w:val="28"/>
          <w:szCs w:val="28"/>
        </w:rPr>
        <w:t>产生。</w:t>
      </w:r>
    </w:p>
    <w:p w14:paraId="57255FFC">
      <w:pPr>
        <w:spacing w:line="500" w:lineRule="exact"/>
        <w:ind w:firstLine="562" w:firstLineChars="200"/>
        <w:rPr>
          <w:rFonts w:ascii="Times New Roman" w:eastAsia="仿宋"/>
          <w:sz w:val="28"/>
          <w:szCs w:val="28"/>
        </w:rPr>
      </w:pPr>
      <w:r>
        <w:rPr>
          <w:rFonts w:hint="eastAsia" w:ascii="Times New Roman" w:eastAsia="仿宋"/>
          <w:b/>
          <w:bCs/>
          <w:sz w:val="28"/>
          <w:szCs w:val="28"/>
        </w:rPr>
        <w:t>开槽：</w:t>
      </w:r>
      <w:r>
        <w:rPr>
          <w:rFonts w:hint="eastAsia" w:ascii="Times New Roman" w:eastAsia="仿宋"/>
          <w:sz w:val="28"/>
          <w:szCs w:val="28"/>
        </w:rPr>
        <w:t>利用开槽机在铝板表面刨一条条小槽，此工序产生边角料</w:t>
      </w:r>
      <w:r>
        <w:rPr>
          <w:rFonts w:ascii="Times New Roman" w:eastAsia="仿宋"/>
          <w:sz w:val="28"/>
          <w:szCs w:val="28"/>
        </w:rPr>
        <w:t>S2</w:t>
      </w:r>
      <w:r>
        <w:rPr>
          <w:rFonts w:hint="eastAsia" w:ascii="Times New Roman" w:eastAsia="仿宋"/>
          <w:sz w:val="28"/>
          <w:szCs w:val="28"/>
        </w:rPr>
        <w:t>、噪声N</w:t>
      </w:r>
      <w:r>
        <w:rPr>
          <w:rFonts w:ascii="Times New Roman" w:eastAsia="仿宋"/>
          <w:sz w:val="28"/>
          <w:szCs w:val="28"/>
        </w:rPr>
        <w:t>2</w:t>
      </w:r>
      <w:r>
        <w:rPr>
          <w:rFonts w:hint="eastAsia" w:ascii="Times New Roman" w:eastAsia="仿宋"/>
          <w:sz w:val="28"/>
          <w:szCs w:val="28"/>
        </w:rPr>
        <w:t>。</w:t>
      </w:r>
    </w:p>
    <w:p w14:paraId="407B0797">
      <w:pPr>
        <w:spacing w:line="500" w:lineRule="exact"/>
        <w:ind w:firstLine="562" w:firstLineChars="200"/>
        <w:rPr>
          <w:rFonts w:ascii="Times New Roman" w:eastAsia="仿宋"/>
          <w:sz w:val="28"/>
          <w:szCs w:val="28"/>
        </w:rPr>
      </w:pPr>
      <w:r>
        <w:rPr>
          <w:rFonts w:hint="eastAsia" w:ascii="Times New Roman" w:eastAsia="仿宋"/>
          <w:b/>
          <w:bCs/>
          <w:sz w:val="28"/>
          <w:szCs w:val="28"/>
        </w:rPr>
        <w:t>冲孔、冲角：</w:t>
      </w:r>
      <w:r>
        <w:rPr>
          <w:rFonts w:hint="eastAsia" w:ascii="Times New Roman" w:eastAsia="仿宋"/>
          <w:sz w:val="28"/>
          <w:szCs w:val="28"/>
        </w:rPr>
        <w:t>按照产品要求，利用转塔冲、冲压机等设备在铝板表面冲一个个小孔，同时对铝板</w:t>
      </w:r>
      <w:r>
        <w:rPr>
          <w:rFonts w:ascii="Times New Roman" w:eastAsia="仿宋"/>
          <w:sz w:val="28"/>
          <w:szCs w:val="28"/>
        </w:rPr>
        <w:t>4</w:t>
      </w:r>
      <w:r>
        <w:rPr>
          <w:rFonts w:hint="eastAsia" w:ascii="Times New Roman" w:eastAsia="仿宋"/>
          <w:sz w:val="28"/>
          <w:szCs w:val="28"/>
        </w:rPr>
        <w:t>个角进行冲切。此工序产生边角料</w:t>
      </w:r>
      <w:r>
        <w:rPr>
          <w:rFonts w:ascii="Times New Roman" w:eastAsia="仿宋"/>
          <w:sz w:val="28"/>
          <w:szCs w:val="28"/>
        </w:rPr>
        <w:t>S3</w:t>
      </w:r>
      <w:r>
        <w:rPr>
          <w:rFonts w:hint="eastAsia" w:ascii="Times New Roman" w:eastAsia="仿宋"/>
          <w:sz w:val="28"/>
          <w:szCs w:val="28"/>
        </w:rPr>
        <w:t>、噪声N</w:t>
      </w:r>
      <w:r>
        <w:rPr>
          <w:rFonts w:ascii="Times New Roman" w:eastAsia="仿宋"/>
          <w:sz w:val="28"/>
          <w:szCs w:val="28"/>
        </w:rPr>
        <w:t>3</w:t>
      </w:r>
      <w:r>
        <w:rPr>
          <w:rFonts w:hint="eastAsia" w:ascii="Times New Roman" w:eastAsia="仿宋"/>
          <w:sz w:val="28"/>
          <w:szCs w:val="28"/>
        </w:rPr>
        <w:t>。</w:t>
      </w:r>
    </w:p>
    <w:p w14:paraId="5EBA58C7">
      <w:pPr>
        <w:spacing w:line="500" w:lineRule="exact"/>
        <w:ind w:firstLine="562" w:firstLineChars="200"/>
        <w:rPr>
          <w:rFonts w:ascii="Times New Roman" w:eastAsia="仿宋"/>
          <w:sz w:val="28"/>
          <w:szCs w:val="28"/>
        </w:rPr>
      </w:pPr>
      <w:r>
        <w:rPr>
          <w:rFonts w:hint="eastAsia" w:ascii="Times New Roman" w:eastAsia="仿宋"/>
          <w:b/>
          <w:bCs/>
          <w:sz w:val="28"/>
          <w:szCs w:val="28"/>
        </w:rPr>
        <w:t>成型：</w:t>
      </w:r>
      <w:r>
        <w:rPr>
          <w:rFonts w:hint="eastAsia" w:ascii="Times New Roman" w:eastAsia="仿宋"/>
          <w:sz w:val="28"/>
          <w:szCs w:val="28"/>
        </w:rPr>
        <w:t>利用折弯机等设备将铝板制成不同的形状，产生噪声N</w:t>
      </w:r>
      <w:r>
        <w:rPr>
          <w:rFonts w:ascii="Times New Roman" w:eastAsia="仿宋"/>
          <w:sz w:val="28"/>
          <w:szCs w:val="28"/>
        </w:rPr>
        <w:t>4</w:t>
      </w:r>
      <w:r>
        <w:rPr>
          <w:rFonts w:hint="eastAsia" w:ascii="Times New Roman" w:eastAsia="仿宋"/>
          <w:sz w:val="28"/>
          <w:szCs w:val="28"/>
        </w:rPr>
        <w:t>。</w:t>
      </w:r>
    </w:p>
    <w:p w14:paraId="5C49A8DB">
      <w:pPr>
        <w:spacing w:line="500" w:lineRule="exact"/>
        <w:ind w:firstLine="562" w:firstLineChars="200"/>
        <w:rPr>
          <w:rFonts w:ascii="Times New Roman" w:eastAsia="仿宋"/>
          <w:sz w:val="28"/>
          <w:szCs w:val="28"/>
        </w:rPr>
      </w:pPr>
      <w:r>
        <w:rPr>
          <w:rFonts w:hint="eastAsia" w:ascii="Times New Roman" w:eastAsia="仿宋"/>
          <w:b/>
          <w:bCs/>
          <w:sz w:val="28"/>
          <w:szCs w:val="28"/>
        </w:rPr>
        <w:t>焊接：</w:t>
      </w:r>
      <w:r>
        <w:rPr>
          <w:rFonts w:hint="eastAsia" w:ascii="Times New Roman" w:eastAsia="仿宋"/>
          <w:sz w:val="28"/>
          <w:szCs w:val="28"/>
        </w:rPr>
        <w:t>由于激光焊的光束小，可实现精密机件的焊接，因此直接在铝板表面进行焊接时采用激光焊；而氩弧焊受热面积大，适用于焊接厚的铝板和局部焊接，因此使用氩弧焊进行点焊。此工序产生焊接烟尘</w:t>
      </w:r>
      <w:r>
        <w:rPr>
          <w:rFonts w:ascii="Times New Roman" w:eastAsia="仿宋"/>
          <w:sz w:val="28"/>
          <w:szCs w:val="28"/>
        </w:rPr>
        <w:t>G</w:t>
      </w:r>
      <w:r>
        <w:rPr>
          <w:rFonts w:hint="eastAsia" w:ascii="Times New Roman" w:eastAsia="仿宋"/>
          <w:sz w:val="28"/>
          <w:szCs w:val="28"/>
        </w:rPr>
        <w:t>1、焊渣</w:t>
      </w:r>
      <w:r>
        <w:rPr>
          <w:rFonts w:ascii="Times New Roman" w:eastAsia="仿宋"/>
          <w:sz w:val="28"/>
          <w:szCs w:val="28"/>
        </w:rPr>
        <w:t>S4</w:t>
      </w:r>
      <w:r>
        <w:rPr>
          <w:rFonts w:hint="eastAsia" w:ascii="Times New Roman" w:eastAsia="仿宋"/>
          <w:sz w:val="28"/>
          <w:szCs w:val="28"/>
        </w:rPr>
        <w:t>和噪声N</w:t>
      </w:r>
      <w:r>
        <w:rPr>
          <w:rFonts w:ascii="Times New Roman" w:eastAsia="仿宋"/>
          <w:sz w:val="28"/>
          <w:szCs w:val="28"/>
        </w:rPr>
        <w:t>5</w:t>
      </w:r>
      <w:r>
        <w:rPr>
          <w:rFonts w:hint="eastAsia" w:ascii="Times New Roman" w:eastAsia="仿宋"/>
          <w:sz w:val="28"/>
          <w:szCs w:val="28"/>
        </w:rPr>
        <w:t>。</w:t>
      </w:r>
    </w:p>
    <w:p w14:paraId="37D2188E">
      <w:pPr>
        <w:spacing w:line="500" w:lineRule="exact"/>
        <w:ind w:firstLine="562" w:firstLineChars="200"/>
        <w:rPr>
          <w:rFonts w:ascii="Times New Roman" w:eastAsia="仿宋"/>
          <w:sz w:val="28"/>
          <w:szCs w:val="28"/>
        </w:rPr>
      </w:pPr>
      <w:r>
        <w:rPr>
          <w:rFonts w:hint="eastAsia" w:ascii="Times New Roman" w:eastAsia="仿宋"/>
          <w:b/>
          <w:bCs/>
          <w:sz w:val="28"/>
          <w:szCs w:val="28"/>
        </w:rPr>
        <w:t>打磨抛光：</w:t>
      </w:r>
      <w:r>
        <w:rPr>
          <w:rFonts w:hint="eastAsia" w:ascii="Times New Roman" w:eastAsia="仿宋"/>
          <w:sz w:val="28"/>
          <w:szCs w:val="28"/>
        </w:rPr>
        <w:t>部分成型后工件因表面可能氧化而“泛黄”，部分焊接后的半成品焊接处不平整，因此需要进行打磨抛光。打磨抛光是利用手持抛光机</w:t>
      </w:r>
      <w:r>
        <w:rPr>
          <w:rFonts w:ascii="Times New Roman" w:eastAsia="仿宋"/>
          <w:sz w:val="28"/>
          <w:szCs w:val="28"/>
        </w:rPr>
        <w:t>通过高速旋转的轮</w:t>
      </w:r>
      <w:r>
        <w:rPr>
          <w:rFonts w:hint="eastAsia" w:ascii="Times New Roman" w:eastAsia="仿宋"/>
          <w:sz w:val="28"/>
          <w:szCs w:val="28"/>
        </w:rPr>
        <w:t>盘</w:t>
      </w:r>
      <w:r>
        <w:rPr>
          <w:rFonts w:ascii="Times New Roman" w:eastAsia="仿宋"/>
          <w:sz w:val="28"/>
          <w:szCs w:val="28"/>
        </w:rPr>
        <w:t>对工件抛光加工，以提高工件的表面质量和精度</w:t>
      </w:r>
      <w:r>
        <w:rPr>
          <w:rFonts w:hint="eastAsia" w:ascii="Times New Roman" w:eastAsia="仿宋"/>
          <w:sz w:val="28"/>
          <w:szCs w:val="28"/>
        </w:rPr>
        <w:t>。此工序产生粉尘</w:t>
      </w:r>
      <w:r>
        <w:rPr>
          <w:rFonts w:ascii="Times New Roman" w:eastAsia="仿宋"/>
          <w:sz w:val="28"/>
          <w:szCs w:val="28"/>
        </w:rPr>
        <w:t>G</w:t>
      </w:r>
      <w:r>
        <w:rPr>
          <w:rFonts w:hint="eastAsia" w:ascii="Times New Roman" w:eastAsia="仿宋"/>
          <w:sz w:val="28"/>
          <w:szCs w:val="28"/>
        </w:rPr>
        <w:t>2、边角料</w:t>
      </w:r>
      <w:r>
        <w:rPr>
          <w:rFonts w:ascii="Times New Roman" w:eastAsia="仿宋"/>
          <w:sz w:val="28"/>
          <w:szCs w:val="28"/>
        </w:rPr>
        <w:t>S5</w:t>
      </w:r>
      <w:r>
        <w:rPr>
          <w:rFonts w:hint="eastAsia" w:ascii="Times New Roman" w:eastAsia="仿宋"/>
          <w:sz w:val="28"/>
          <w:szCs w:val="28"/>
        </w:rPr>
        <w:t>及噪声N</w:t>
      </w:r>
      <w:r>
        <w:rPr>
          <w:rFonts w:ascii="Times New Roman" w:eastAsia="仿宋"/>
          <w:sz w:val="28"/>
          <w:szCs w:val="28"/>
        </w:rPr>
        <w:t>6</w:t>
      </w:r>
      <w:r>
        <w:rPr>
          <w:rFonts w:hint="eastAsia" w:ascii="Times New Roman" w:eastAsia="仿宋"/>
          <w:sz w:val="28"/>
          <w:szCs w:val="28"/>
        </w:rPr>
        <w:t>。</w:t>
      </w:r>
    </w:p>
    <w:p w14:paraId="6ABFD7B2">
      <w:pPr>
        <w:spacing w:line="500" w:lineRule="exact"/>
        <w:ind w:firstLine="562" w:firstLineChars="200"/>
        <w:rPr>
          <w:rFonts w:ascii="Times New Roman" w:eastAsia="仿宋"/>
          <w:sz w:val="28"/>
          <w:szCs w:val="28"/>
        </w:rPr>
      </w:pPr>
      <w:r>
        <w:rPr>
          <w:rFonts w:hint="eastAsia" w:ascii="Times New Roman" w:eastAsia="仿宋"/>
          <w:b/>
          <w:bCs/>
          <w:sz w:val="28"/>
          <w:szCs w:val="28"/>
        </w:rPr>
        <w:t>检验：</w:t>
      </w:r>
      <w:r>
        <w:rPr>
          <w:rFonts w:hint="eastAsia" w:ascii="Times New Roman" w:eastAsia="仿宋"/>
          <w:sz w:val="28"/>
          <w:szCs w:val="28"/>
        </w:rPr>
        <w:t>对加工好的产品进行厚度、表面平整度等物理检验，合格的即为成品，进行后续加工。此工序产生不合格品</w:t>
      </w:r>
      <w:r>
        <w:rPr>
          <w:rFonts w:ascii="Times New Roman" w:eastAsia="仿宋"/>
          <w:sz w:val="28"/>
          <w:szCs w:val="28"/>
        </w:rPr>
        <w:t>S6</w:t>
      </w:r>
      <w:r>
        <w:rPr>
          <w:rFonts w:hint="eastAsia" w:ascii="Times New Roman" w:eastAsia="仿宋"/>
          <w:sz w:val="28"/>
          <w:szCs w:val="28"/>
        </w:rPr>
        <w:t>。</w:t>
      </w:r>
    </w:p>
    <w:p w14:paraId="249CE7F7">
      <w:pPr>
        <w:spacing w:line="500" w:lineRule="exact"/>
        <w:ind w:firstLine="560" w:firstLineChars="200"/>
        <w:rPr>
          <w:rFonts w:ascii="Times New Roman" w:eastAsia="仿宋"/>
          <w:sz w:val="28"/>
          <w:szCs w:val="28"/>
        </w:rPr>
      </w:pPr>
      <w:r>
        <w:rPr>
          <w:rFonts w:hint="eastAsia" w:ascii="Times New Roman" w:eastAsia="仿宋"/>
          <w:sz w:val="28"/>
          <w:szCs w:val="28"/>
        </w:rPr>
        <w:t>2、表面水处理加工工艺</w:t>
      </w:r>
    </w:p>
    <w:p w14:paraId="638767BC">
      <w:pPr>
        <w:spacing w:line="500" w:lineRule="exact"/>
        <w:ind w:firstLine="560" w:firstLineChars="200"/>
        <w:rPr>
          <w:rFonts w:ascii="Times New Roman" w:eastAsia="仿宋"/>
          <w:sz w:val="28"/>
          <w:szCs w:val="28"/>
        </w:rPr>
      </w:pPr>
      <w:r>
        <w:rPr>
          <w:rFonts w:hint="eastAsia" w:ascii="Times New Roman" w:eastAsia="仿宋"/>
          <w:sz w:val="28"/>
          <w:szCs w:val="28"/>
        </w:rPr>
        <w:t>本项目共设1条表面处理线，进行喷粉及喷漆前所有工件都需进行表面处理。</w:t>
      </w:r>
    </w:p>
    <w:p w14:paraId="2867E804">
      <w:pPr>
        <w:spacing w:line="500" w:lineRule="exact"/>
        <w:ind w:firstLine="560" w:firstLineChars="200"/>
        <w:rPr>
          <w:rFonts w:ascii="Times New Roman" w:eastAsia="仿宋"/>
          <w:sz w:val="28"/>
          <w:szCs w:val="28"/>
        </w:rPr>
      </w:pPr>
      <w:r>
        <w:rPr>
          <w:rFonts w:hint="eastAsia" w:ascii="Times New Roman" w:eastAsia="仿宋"/>
          <w:sz w:val="28"/>
          <w:szCs w:val="28"/>
        </w:rPr>
        <w:t>（1）工艺流程图</w:t>
      </w:r>
    </w:p>
    <w:p w14:paraId="397C5F88">
      <w:pPr>
        <w:ind w:firstLine="560" w:firstLineChars="200"/>
        <w:jc w:val="center"/>
        <w:rPr>
          <w:rFonts w:ascii="Times New Roman" w:eastAsia="仿宋"/>
          <w:sz w:val="28"/>
          <w:szCs w:val="28"/>
        </w:rPr>
      </w:pPr>
      <w:r>
        <w:rPr>
          <w:rFonts w:ascii="Times New Roman" w:eastAsia="仿宋"/>
          <w:sz w:val="28"/>
          <w:szCs w:val="28"/>
        </w:rPr>
        <w:drawing>
          <wp:inline distT="0" distB="0" distL="0" distR="0">
            <wp:extent cx="3076575" cy="3780790"/>
            <wp:effectExtent l="0" t="0" r="0" b="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45"/>
                    <a:stretch>
                      <a:fillRect/>
                    </a:stretch>
                  </pic:blipFill>
                  <pic:spPr>
                    <a:xfrm>
                      <a:off x="0" y="0"/>
                      <a:ext cx="3085129" cy="3791614"/>
                    </a:xfrm>
                    <a:prstGeom prst="rect">
                      <a:avLst/>
                    </a:prstGeom>
                  </pic:spPr>
                </pic:pic>
              </a:graphicData>
            </a:graphic>
          </wp:inline>
        </w:drawing>
      </w:r>
    </w:p>
    <w:p w14:paraId="1F1C7BF8">
      <w:pPr>
        <w:ind w:firstLine="482" w:firstLineChars="200"/>
        <w:jc w:val="center"/>
        <w:rPr>
          <w:rFonts w:ascii="Times New Roman" w:eastAsia="仿宋"/>
          <w:sz w:val="28"/>
          <w:szCs w:val="28"/>
        </w:rPr>
      </w:pPr>
      <w:r>
        <w:rPr>
          <w:rFonts w:ascii="Times New Roman" w:eastAsia="仿宋"/>
          <w:b/>
        </w:rPr>
        <w:t>图3.2-</w:t>
      </w:r>
      <w:r>
        <w:rPr>
          <w:rFonts w:hint="eastAsia" w:ascii="Times New Roman" w:eastAsia="仿宋"/>
          <w:b/>
        </w:rPr>
        <w:t>3</w:t>
      </w:r>
      <w:r>
        <w:rPr>
          <w:rFonts w:ascii="Times New Roman" w:eastAsia="仿宋"/>
          <w:b/>
        </w:rPr>
        <w:t xml:space="preserve">  </w:t>
      </w:r>
      <w:r>
        <w:rPr>
          <w:rFonts w:hint="eastAsia" w:ascii="Times New Roman" w:eastAsia="仿宋"/>
          <w:b/>
        </w:rPr>
        <w:t>表面处理</w:t>
      </w:r>
      <w:r>
        <w:rPr>
          <w:rFonts w:ascii="Times New Roman" w:eastAsia="仿宋"/>
          <w:b/>
        </w:rPr>
        <w:t>工艺流程图</w:t>
      </w:r>
    </w:p>
    <w:p w14:paraId="43079758">
      <w:pPr>
        <w:spacing w:line="500" w:lineRule="exact"/>
        <w:ind w:firstLine="560" w:firstLineChars="200"/>
        <w:rPr>
          <w:rFonts w:ascii="Times New Roman" w:eastAsia="仿宋"/>
          <w:sz w:val="28"/>
          <w:szCs w:val="28"/>
        </w:rPr>
      </w:pPr>
      <w:r>
        <w:rPr>
          <w:rFonts w:hint="eastAsia" w:ascii="Times New Roman" w:eastAsia="仿宋"/>
          <w:sz w:val="28"/>
          <w:szCs w:val="28"/>
        </w:rPr>
        <w:t>（2）生产工艺流程简述</w:t>
      </w:r>
    </w:p>
    <w:p w14:paraId="3B772E0E">
      <w:pPr>
        <w:spacing w:line="500" w:lineRule="exact"/>
        <w:ind w:firstLine="562" w:firstLineChars="200"/>
        <w:rPr>
          <w:rFonts w:ascii="Times New Roman" w:eastAsia="仿宋"/>
          <w:sz w:val="28"/>
          <w:szCs w:val="28"/>
        </w:rPr>
      </w:pPr>
      <w:r>
        <w:rPr>
          <w:rFonts w:hint="eastAsia" w:ascii="Times New Roman" w:eastAsia="仿宋"/>
          <w:b/>
          <w:bCs/>
          <w:sz w:val="28"/>
          <w:szCs w:val="28"/>
        </w:rPr>
        <w:t>脱脂清洗：</w:t>
      </w:r>
      <w:r>
        <w:rPr>
          <w:rFonts w:hint="eastAsia" w:ascii="Times New Roman" w:eastAsia="仿宋"/>
          <w:sz w:val="28"/>
          <w:szCs w:val="28"/>
        </w:rPr>
        <w:t>在</w:t>
      </w:r>
      <w:r>
        <w:rPr>
          <w:rFonts w:ascii="Times New Roman" w:eastAsia="仿宋"/>
          <w:sz w:val="28"/>
          <w:szCs w:val="28"/>
        </w:rPr>
        <w:t>水槽中加入一定比例的</w:t>
      </w:r>
      <w:r>
        <w:rPr>
          <w:rFonts w:hint="eastAsia" w:ascii="Times New Roman" w:eastAsia="仿宋"/>
          <w:sz w:val="28"/>
          <w:szCs w:val="28"/>
        </w:rPr>
        <w:t>脱脂剂（脱脂剂与水的配比为3：9</w:t>
      </w:r>
      <w:r>
        <w:rPr>
          <w:rFonts w:ascii="Times New Roman" w:eastAsia="仿宋"/>
          <w:sz w:val="28"/>
          <w:szCs w:val="28"/>
        </w:rPr>
        <w:t>7</w:t>
      </w:r>
      <w:r>
        <w:rPr>
          <w:rFonts w:hint="eastAsia" w:ascii="Times New Roman" w:eastAsia="仿宋"/>
          <w:sz w:val="28"/>
          <w:szCs w:val="28"/>
        </w:rPr>
        <w:t>）</w:t>
      </w:r>
      <w:r>
        <w:rPr>
          <w:rFonts w:ascii="Times New Roman" w:eastAsia="仿宋"/>
          <w:sz w:val="28"/>
          <w:szCs w:val="28"/>
        </w:rPr>
        <w:t>，</w:t>
      </w:r>
      <w:r>
        <w:rPr>
          <w:rFonts w:hint="eastAsia" w:ascii="Times New Roman" w:eastAsia="仿宋"/>
          <w:sz w:val="28"/>
          <w:szCs w:val="28"/>
        </w:rPr>
        <w:t>根据需求采用沉浸</w:t>
      </w:r>
      <w:r>
        <w:rPr>
          <w:rFonts w:ascii="Times New Roman" w:eastAsia="仿宋"/>
          <w:sz w:val="28"/>
          <w:szCs w:val="28"/>
        </w:rPr>
        <w:t>的方式，去除铝板表面的油污，常温清洗，清洗时间约2.5min。</w:t>
      </w:r>
      <w:r>
        <w:rPr>
          <w:rFonts w:hint="eastAsia" w:ascii="Times New Roman" w:eastAsia="仿宋"/>
          <w:sz w:val="28"/>
          <w:szCs w:val="28"/>
        </w:rPr>
        <w:t>脱脂剂中的α-异十三烷基-ω-羟基-聚(氧-1,2-亚乙基)是一种表面活性剂，可将</w:t>
      </w:r>
      <w:r>
        <w:rPr>
          <w:rFonts w:ascii="Times New Roman" w:eastAsia="仿宋"/>
          <w:sz w:val="28"/>
          <w:szCs w:val="28"/>
        </w:rPr>
        <w:t>将脱落的油脂从金属表面剥离，在溶液中不乳化、不</w:t>
      </w:r>
      <w:r>
        <w:fldChar w:fldCharType="begin"/>
      </w:r>
      <w:r>
        <w:instrText xml:space="preserve"> HYPERLINK "https://baike.baidu.com/item/%E7%9A%82%E5%8C%96/1116579?fromModule=lemma_inlink" \t "_blank" </w:instrText>
      </w:r>
      <w:r>
        <w:fldChar w:fldCharType="separate"/>
      </w:r>
      <w:r>
        <w:rPr>
          <w:rFonts w:ascii="Times New Roman" w:eastAsia="仿宋"/>
          <w:sz w:val="28"/>
          <w:szCs w:val="28"/>
        </w:rPr>
        <w:t>皂化</w:t>
      </w:r>
      <w:r>
        <w:rPr>
          <w:rFonts w:ascii="Times New Roman" w:eastAsia="仿宋"/>
          <w:sz w:val="28"/>
          <w:szCs w:val="28"/>
        </w:rPr>
        <w:fldChar w:fldCharType="end"/>
      </w:r>
      <w:r>
        <w:rPr>
          <w:rFonts w:ascii="Times New Roman" w:eastAsia="仿宋"/>
          <w:sz w:val="28"/>
          <w:szCs w:val="28"/>
        </w:rPr>
        <w:t>，只是漂浮在溶液表面，保持槽液的清澈与持续的除油能力</w:t>
      </w:r>
      <w:r>
        <w:rPr>
          <w:rFonts w:hint="eastAsia" w:ascii="Times New Roman" w:eastAsia="仿宋"/>
          <w:sz w:val="28"/>
          <w:szCs w:val="28"/>
        </w:rPr>
        <w:t>；本项目使用的脱脂剂中含有硫酸，油脂在酸性溶液中会发生水解反应从而进行脱脂。本过程产生G3酸雾、噪声N</w:t>
      </w:r>
      <w:r>
        <w:rPr>
          <w:rFonts w:ascii="Times New Roman" w:eastAsia="仿宋"/>
          <w:sz w:val="28"/>
          <w:szCs w:val="28"/>
        </w:rPr>
        <w:t>7</w:t>
      </w:r>
      <w:r>
        <w:rPr>
          <w:rFonts w:hint="eastAsia" w:ascii="Times New Roman" w:eastAsia="仿宋"/>
          <w:sz w:val="28"/>
          <w:szCs w:val="28"/>
        </w:rPr>
        <w:t>，清洗池定期清槽，有W1清洗废水产生。</w:t>
      </w:r>
    </w:p>
    <w:p w14:paraId="03E5C73F">
      <w:pPr>
        <w:spacing w:line="500" w:lineRule="exact"/>
        <w:ind w:firstLine="562" w:firstLineChars="200"/>
        <w:rPr>
          <w:rFonts w:ascii="Times New Roman" w:eastAsia="仿宋"/>
          <w:sz w:val="28"/>
          <w:szCs w:val="28"/>
        </w:rPr>
      </w:pPr>
      <w:r>
        <w:rPr>
          <w:rFonts w:hint="eastAsia" w:ascii="Times New Roman" w:eastAsia="仿宋"/>
          <w:b/>
          <w:bCs/>
          <w:sz w:val="28"/>
          <w:szCs w:val="28"/>
        </w:rPr>
        <w:t>水洗1、水洗2：</w:t>
      </w:r>
      <w:r>
        <w:rPr>
          <w:rFonts w:hint="eastAsia" w:ascii="Times New Roman" w:eastAsia="仿宋"/>
          <w:sz w:val="28"/>
          <w:szCs w:val="28"/>
        </w:rPr>
        <w:t>根据工件后续工艺需求采用沉浸水洗的方式。沉浸处理线在水洗槽中用循环自来水进行逆流漂洗，主要目的为</w:t>
      </w:r>
      <w:r>
        <w:rPr>
          <w:rFonts w:ascii="Times New Roman" w:eastAsia="仿宋"/>
          <w:sz w:val="28"/>
          <w:szCs w:val="28"/>
        </w:rPr>
        <w:t>进一步去除铝板表面残留的油污、杂质</w:t>
      </w:r>
      <w:r>
        <w:rPr>
          <w:rFonts w:hint="eastAsia" w:ascii="Times New Roman" w:eastAsia="仿宋"/>
          <w:sz w:val="28"/>
          <w:szCs w:val="28"/>
        </w:rPr>
        <w:t>。沉浸处理线水洗过程均为常温，水洗时间均为1.5min。沉浸处理线需定期清槽换水，换水方式为用泵将水洗</w:t>
      </w:r>
      <w:r>
        <w:rPr>
          <w:rFonts w:ascii="Times New Roman" w:eastAsia="仿宋"/>
          <w:sz w:val="28"/>
          <w:szCs w:val="28"/>
        </w:rPr>
        <w:t>2</w:t>
      </w:r>
      <w:r>
        <w:rPr>
          <w:rFonts w:hint="eastAsia" w:ascii="Times New Roman" w:eastAsia="仿宋"/>
          <w:sz w:val="28"/>
          <w:szCs w:val="28"/>
        </w:rPr>
        <w:t>槽内所有污水排入水洗</w:t>
      </w:r>
      <w:r>
        <w:rPr>
          <w:rFonts w:ascii="Times New Roman" w:eastAsia="仿宋"/>
          <w:sz w:val="28"/>
          <w:szCs w:val="28"/>
        </w:rPr>
        <w:t>1</w:t>
      </w:r>
      <w:r>
        <w:rPr>
          <w:rFonts w:hint="eastAsia" w:ascii="Times New Roman" w:eastAsia="仿宋"/>
          <w:sz w:val="28"/>
          <w:szCs w:val="28"/>
        </w:rPr>
        <w:t>槽中继续使用，然后用自来水对水洗</w:t>
      </w:r>
      <w:r>
        <w:rPr>
          <w:rFonts w:ascii="Times New Roman" w:eastAsia="仿宋"/>
          <w:sz w:val="28"/>
          <w:szCs w:val="28"/>
        </w:rPr>
        <w:t>2</w:t>
      </w:r>
      <w:r>
        <w:rPr>
          <w:rFonts w:hint="eastAsia" w:ascii="Times New Roman" w:eastAsia="仿宋"/>
          <w:sz w:val="28"/>
          <w:szCs w:val="28"/>
        </w:rPr>
        <w:t>槽进行清洗并换水，换水后再将新鲜水补充入水槽内，本工段产生水洗废水W2、噪声N</w:t>
      </w:r>
      <w:r>
        <w:rPr>
          <w:rFonts w:ascii="Times New Roman" w:eastAsia="仿宋"/>
          <w:sz w:val="28"/>
          <w:szCs w:val="28"/>
        </w:rPr>
        <w:t>8</w:t>
      </w:r>
      <w:r>
        <w:rPr>
          <w:rFonts w:hint="eastAsia" w:ascii="Times New Roman" w:eastAsia="仿宋"/>
          <w:sz w:val="28"/>
          <w:szCs w:val="28"/>
        </w:rPr>
        <w:t>。</w:t>
      </w:r>
    </w:p>
    <w:p w14:paraId="71BB89EA">
      <w:pPr>
        <w:spacing w:line="500" w:lineRule="exact"/>
        <w:ind w:firstLine="562" w:firstLineChars="200"/>
        <w:rPr>
          <w:rFonts w:ascii="Times New Roman" w:eastAsia="仿宋"/>
          <w:sz w:val="28"/>
          <w:szCs w:val="28"/>
        </w:rPr>
      </w:pPr>
      <w:r>
        <w:rPr>
          <w:rFonts w:hint="eastAsia" w:ascii="Times New Roman" w:eastAsia="仿宋"/>
          <w:b/>
          <w:bCs/>
          <w:sz w:val="28"/>
          <w:szCs w:val="28"/>
        </w:rPr>
        <w:t>无铬钝化：</w:t>
      </w:r>
      <w:r>
        <w:rPr>
          <w:rFonts w:hint="eastAsia" w:ascii="Times New Roman" w:eastAsia="仿宋"/>
          <w:sz w:val="28"/>
          <w:szCs w:val="28"/>
        </w:rPr>
        <w:t>将水洗完成的铝板放入钝化槽中，在钝化槽中添加钝化液（钝化剂与水的配比为</w:t>
      </w:r>
      <w:r>
        <w:rPr>
          <w:rFonts w:ascii="Times New Roman" w:eastAsia="仿宋"/>
          <w:sz w:val="28"/>
          <w:szCs w:val="28"/>
        </w:rPr>
        <w:t>3:97</w:t>
      </w:r>
      <w:r>
        <w:rPr>
          <w:rFonts w:hint="eastAsia" w:ascii="Times New Roman" w:eastAsia="仿宋"/>
          <w:sz w:val="28"/>
          <w:szCs w:val="28"/>
        </w:rPr>
        <w:t>），钝化液中的3-缩水甘油醚氧基丙基三甲氧基硅烷分子结构中含有甘油醚作为缩合反应的原料，通过缩水反应脱除水分，产生了缩水甘油醚结构，再与其中丙烯树脂的双键结合，从而实现交联反应，并能使3-缩水甘油醚氧基丙基三甲氧基硅烷在材料中的分散性增强，而其具有强烈的亲水性和黏附性，可以提高产品的磨损性能和抗划伤性能，提高产品的使用寿命，该过程需要定期添加钝化剂，由于钝化液中含有乙醇等，因此该过程产生钝化废气G4、钝化废水S</w:t>
      </w:r>
      <w:r>
        <w:rPr>
          <w:rFonts w:ascii="Times New Roman" w:eastAsia="仿宋"/>
          <w:sz w:val="28"/>
          <w:szCs w:val="28"/>
        </w:rPr>
        <w:t>7</w:t>
      </w:r>
      <w:r>
        <w:rPr>
          <w:rFonts w:hint="eastAsia" w:ascii="Times New Roman" w:eastAsia="仿宋"/>
          <w:sz w:val="28"/>
          <w:szCs w:val="28"/>
        </w:rPr>
        <w:t>及噪声N</w:t>
      </w:r>
      <w:r>
        <w:rPr>
          <w:rFonts w:ascii="Times New Roman" w:eastAsia="仿宋"/>
          <w:sz w:val="28"/>
          <w:szCs w:val="28"/>
        </w:rPr>
        <w:t>9</w:t>
      </w:r>
      <w:r>
        <w:rPr>
          <w:rFonts w:hint="eastAsia" w:ascii="Times New Roman" w:eastAsia="仿宋"/>
          <w:sz w:val="28"/>
          <w:szCs w:val="28"/>
        </w:rPr>
        <w:t>。</w:t>
      </w:r>
    </w:p>
    <w:p w14:paraId="05A1A45C">
      <w:pPr>
        <w:spacing w:line="500" w:lineRule="exact"/>
        <w:ind w:firstLine="562" w:firstLineChars="200"/>
        <w:rPr>
          <w:rFonts w:ascii="Times New Roman" w:eastAsia="仿宋"/>
          <w:b/>
          <w:bCs/>
          <w:sz w:val="28"/>
          <w:szCs w:val="28"/>
        </w:rPr>
      </w:pPr>
      <w:r>
        <w:rPr>
          <w:rFonts w:hint="eastAsia" w:ascii="Times New Roman" w:eastAsia="仿宋"/>
          <w:b/>
          <w:bCs/>
          <w:sz w:val="28"/>
          <w:szCs w:val="28"/>
        </w:rPr>
        <w:t>水洗3：</w:t>
      </w:r>
      <w:r>
        <w:rPr>
          <w:rFonts w:hint="eastAsia" w:ascii="Times New Roman" w:eastAsia="仿宋"/>
          <w:sz w:val="28"/>
          <w:szCs w:val="28"/>
        </w:rPr>
        <w:t>将无铬钝化后的铝板放入水洗槽中进行清洗漂洗，沉浸处理线水洗过程均为常温，水洗时间均为1.5min。水槽中的水两个月更换一次，产生水洗废水S</w:t>
      </w:r>
      <w:r>
        <w:rPr>
          <w:rFonts w:ascii="Times New Roman" w:eastAsia="仿宋"/>
          <w:sz w:val="28"/>
          <w:szCs w:val="28"/>
        </w:rPr>
        <w:t>8</w:t>
      </w:r>
      <w:r>
        <w:rPr>
          <w:rFonts w:hint="eastAsia" w:ascii="Times New Roman" w:eastAsia="仿宋"/>
          <w:sz w:val="28"/>
          <w:szCs w:val="28"/>
        </w:rPr>
        <w:t>。</w:t>
      </w:r>
    </w:p>
    <w:p w14:paraId="78369652">
      <w:pPr>
        <w:spacing w:line="500" w:lineRule="exact"/>
        <w:ind w:firstLine="562" w:firstLineChars="200"/>
        <w:rPr>
          <w:rFonts w:ascii="Times New Roman" w:eastAsia="仿宋"/>
          <w:sz w:val="28"/>
          <w:szCs w:val="28"/>
        </w:rPr>
      </w:pPr>
      <w:r>
        <w:rPr>
          <w:rFonts w:hint="eastAsia" w:ascii="Times New Roman" w:eastAsia="仿宋"/>
          <w:b/>
          <w:bCs/>
          <w:sz w:val="28"/>
          <w:szCs w:val="28"/>
        </w:rPr>
        <w:t>烘干：</w:t>
      </w:r>
      <w:r>
        <w:rPr>
          <w:rFonts w:hint="eastAsia" w:ascii="Times New Roman" w:eastAsia="仿宋"/>
          <w:sz w:val="28"/>
          <w:szCs w:val="28"/>
        </w:rPr>
        <w:t>将铝板送入烘干房，烘干房采用天然气直接加热（温度约</w:t>
      </w:r>
      <w:r>
        <w:rPr>
          <w:rFonts w:ascii="Times New Roman" w:eastAsia="仿宋"/>
          <w:sz w:val="28"/>
          <w:szCs w:val="28"/>
        </w:rPr>
        <w:t>100</w:t>
      </w:r>
      <w:r>
        <w:rPr>
          <w:rFonts w:hint="eastAsia" w:ascii="Times New Roman" w:eastAsia="仿宋"/>
          <w:sz w:val="28"/>
          <w:szCs w:val="28"/>
        </w:rPr>
        <w:t>℃），烘干铝板表面残留的水分，烘干时间夏季约</w:t>
      </w:r>
      <w:r>
        <w:rPr>
          <w:rFonts w:ascii="Times New Roman" w:eastAsia="仿宋"/>
          <w:sz w:val="28"/>
          <w:szCs w:val="28"/>
        </w:rPr>
        <w:t>3~5min</w:t>
      </w:r>
      <w:r>
        <w:rPr>
          <w:rFonts w:hint="eastAsia" w:ascii="Times New Roman" w:eastAsia="仿宋"/>
          <w:sz w:val="28"/>
          <w:szCs w:val="28"/>
        </w:rPr>
        <w:t>、冬季约</w:t>
      </w:r>
      <w:r>
        <w:rPr>
          <w:rFonts w:ascii="Times New Roman" w:eastAsia="仿宋"/>
          <w:sz w:val="28"/>
          <w:szCs w:val="28"/>
        </w:rPr>
        <w:t>10min</w:t>
      </w:r>
      <w:r>
        <w:rPr>
          <w:rFonts w:hint="eastAsia" w:ascii="Times New Roman" w:eastAsia="仿宋"/>
          <w:sz w:val="28"/>
          <w:szCs w:val="28"/>
        </w:rPr>
        <w:t>，此过程产生天然气燃烧废气G5。</w:t>
      </w:r>
    </w:p>
    <w:p w14:paraId="6757AAA0">
      <w:pPr>
        <w:spacing w:line="500" w:lineRule="exact"/>
        <w:ind w:firstLine="560" w:firstLineChars="200"/>
        <w:rPr>
          <w:rFonts w:ascii="Times New Roman" w:eastAsia="仿宋"/>
          <w:sz w:val="28"/>
          <w:szCs w:val="28"/>
        </w:rPr>
      </w:pPr>
      <w:r>
        <w:rPr>
          <w:rFonts w:hint="eastAsia" w:ascii="Times New Roman" w:eastAsia="仿宋"/>
          <w:sz w:val="28"/>
          <w:szCs w:val="28"/>
        </w:rPr>
        <w:t>3、喷粉工艺</w:t>
      </w:r>
    </w:p>
    <w:p w14:paraId="2B804C35">
      <w:pPr>
        <w:spacing w:line="500" w:lineRule="exact"/>
        <w:ind w:firstLine="560" w:firstLineChars="200"/>
        <w:rPr>
          <w:rFonts w:ascii="Times New Roman" w:eastAsia="仿宋"/>
          <w:sz w:val="28"/>
          <w:szCs w:val="28"/>
        </w:rPr>
      </w:pPr>
      <w:r>
        <w:rPr>
          <w:rFonts w:hint="eastAsia" w:ascii="Times New Roman" w:eastAsia="仿宋"/>
          <w:sz w:val="28"/>
          <w:szCs w:val="28"/>
        </w:rPr>
        <w:t>（1）喷粉工艺流程图</w:t>
      </w:r>
    </w:p>
    <w:p w14:paraId="2ECF8B56">
      <w:pPr>
        <w:jc w:val="center"/>
        <w:rPr>
          <w:rFonts w:ascii="Times New Roman" w:eastAsia="仿宋"/>
          <w:sz w:val="28"/>
          <w:szCs w:val="28"/>
        </w:rPr>
      </w:pPr>
      <w:r>
        <w:rPr>
          <w:rFonts w:ascii="Times New Roman" w:eastAsia="仿宋"/>
          <w:sz w:val="28"/>
          <w:szCs w:val="28"/>
        </w:rPr>
        <w:drawing>
          <wp:inline distT="0" distB="0" distL="0" distR="0">
            <wp:extent cx="4686300" cy="238188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6"/>
                    <a:stretch>
                      <a:fillRect/>
                    </a:stretch>
                  </pic:blipFill>
                  <pic:spPr>
                    <a:xfrm>
                      <a:off x="0" y="0"/>
                      <a:ext cx="4695693" cy="2387258"/>
                    </a:xfrm>
                    <a:prstGeom prst="rect">
                      <a:avLst/>
                    </a:prstGeom>
                  </pic:spPr>
                </pic:pic>
              </a:graphicData>
            </a:graphic>
          </wp:inline>
        </w:drawing>
      </w:r>
    </w:p>
    <w:p w14:paraId="63B41435">
      <w:pPr>
        <w:jc w:val="center"/>
        <w:rPr>
          <w:rFonts w:ascii="Times New Roman" w:eastAsia="仿宋"/>
          <w:sz w:val="28"/>
          <w:szCs w:val="28"/>
        </w:rPr>
      </w:pPr>
      <w:r>
        <w:rPr>
          <w:rFonts w:ascii="Times New Roman" w:eastAsia="仿宋"/>
          <w:b/>
        </w:rPr>
        <w:t>图3.2-</w:t>
      </w:r>
      <w:r>
        <w:rPr>
          <w:rFonts w:hint="eastAsia" w:ascii="Times New Roman" w:eastAsia="仿宋"/>
          <w:b/>
        </w:rPr>
        <w:t>4</w:t>
      </w:r>
      <w:r>
        <w:rPr>
          <w:rFonts w:ascii="Times New Roman" w:eastAsia="仿宋"/>
          <w:b/>
        </w:rPr>
        <w:t xml:space="preserve">  </w:t>
      </w:r>
      <w:r>
        <w:rPr>
          <w:rFonts w:hint="eastAsia" w:ascii="Times New Roman" w:eastAsia="仿宋"/>
          <w:b/>
        </w:rPr>
        <w:t>喷粉</w:t>
      </w:r>
      <w:r>
        <w:rPr>
          <w:rFonts w:ascii="Times New Roman" w:eastAsia="仿宋"/>
          <w:b/>
        </w:rPr>
        <w:t>工艺流程图</w:t>
      </w:r>
    </w:p>
    <w:p w14:paraId="37A7B723">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生产工艺流程简述</w:t>
      </w:r>
    </w:p>
    <w:p w14:paraId="5ADCE05F">
      <w:pPr>
        <w:spacing w:line="500" w:lineRule="exact"/>
        <w:ind w:firstLine="562" w:firstLineChars="200"/>
        <w:rPr>
          <w:rFonts w:ascii="Times New Roman" w:eastAsia="仿宋"/>
          <w:sz w:val="28"/>
          <w:szCs w:val="28"/>
        </w:rPr>
      </w:pPr>
      <w:r>
        <w:rPr>
          <w:rFonts w:hint="eastAsia" w:ascii="Times New Roman" w:eastAsia="仿宋"/>
          <w:b/>
          <w:bCs/>
          <w:sz w:val="28"/>
          <w:szCs w:val="28"/>
        </w:rPr>
        <w:t>喷粉：</w:t>
      </w:r>
      <w:r>
        <w:rPr>
          <w:rFonts w:hint="eastAsia" w:ascii="Times New Roman" w:eastAsia="仿宋"/>
          <w:sz w:val="28"/>
          <w:szCs w:val="28"/>
        </w:rPr>
        <w:t>根据产品工艺需求，采用塑粉作为原料，对表面处理后的铝板进行喷粉，本项目喷粉利用静电喷粉，原理为喷粉枪接负极，工件接地（正极），粉末涂料由供粉系统借压缩空气气体送入喷枪，在喷枪前端加有高压静电发生器产生的高压，由于电晕放电，在其附近产生密集的电荷，粉末由枪嘴喷出时，构成回路形成带电涂料粒子，它受静电力的作用，被吸到与其极性相反的工件上去，随着喷上的粉末增多，电荷积聚也越多，当达到一定厚度时，由于产生静电排斥作用，便不继续吸附，从而使整个工件获得一定厚度的粉末涂层。此工序产生喷塑粉尘G6、废塑粉S</w:t>
      </w:r>
      <w:r>
        <w:rPr>
          <w:rFonts w:ascii="Times New Roman" w:eastAsia="仿宋"/>
          <w:sz w:val="28"/>
          <w:szCs w:val="28"/>
        </w:rPr>
        <w:t>9</w:t>
      </w:r>
      <w:r>
        <w:rPr>
          <w:rFonts w:hint="eastAsia" w:ascii="Times New Roman" w:eastAsia="仿宋"/>
          <w:sz w:val="28"/>
          <w:szCs w:val="28"/>
        </w:rPr>
        <w:t>及噪声N</w:t>
      </w:r>
      <w:r>
        <w:rPr>
          <w:rFonts w:ascii="Times New Roman" w:eastAsia="仿宋"/>
          <w:sz w:val="28"/>
          <w:szCs w:val="28"/>
        </w:rPr>
        <w:t>12</w:t>
      </w:r>
      <w:r>
        <w:rPr>
          <w:rFonts w:hint="eastAsia" w:ascii="Times New Roman" w:eastAsia="仿宋"/>
          <w:sz w:val="28"/>
          <w:szCs w:val="28"/>
        </w:rPr>
        <w:t>。</w:t>
      </w:r>
    </w:p>
    <w:p w14:paraId="3746C473">
      <w:pPr>
        <w:spacing w:line="500" w:lineRule="exact"/>
        <w:ind w:firstLine="562" w:firstLineChars="200"/>
        <w:rPr>
          <w:rFonts w:ascii="Times New Roman" w:eastAsia="仿宋"/>
          <w:sz w:val="28"/>
          <w:szCs w:val="28"/>
        </w:rPr>
      </w:pPr>
      <w:r>
        <w:rPr>
          <w:rFonts w:hint="eastAsia" w:ascii="Times New Roman" w:eastAsia="仿宋"/>
          <w:b/>
          <w:bCs/>
          <w:sz w:val="28"/>
          <w:szCs w:val="28"/>
        </w:rPr>
        <w:t>固化：</w:t>
      </w:r>
      <w:r>
        <w:rPr>
          <w:rFonts w:hint="eastAsia" w:ascii="Times New Roman" w:eastAsia="仿宋"/>
          <w:sz w:val="28"/>
          <w:szCs w:val="28"/>
        </w:rPr>
        <w:t>固化炉采用燃烧天然气方式加热，固化温度约</w:t>
      </w:r>
      <w:r>
        <w:rPr>
          <w:rFonts w:ascii="Times New Roman" w:eastAsia="仿宋"/>
          <w:sz w:val="28"/>
          <w:szCs w:val="28"/>
        </w:rPr>
        <w:t>150</w:t>
      </w:r>
      <w:r>
        <w:rPr>
          <w:rFonts w:hint="eastAsia" w:ascii="Times New Roman" w:eastAsia="仿宋"/>
          <w:sz w:val="28"/>
          <w:szCs w:val="28"/>
        </w:rPr>
        <w:t>℃，加热时间约</w:t>
      </w:r>
      <w:r>
        <w:rPr>
          <w:rFonts w:ascii="Times New Roman" w:eastAsia="仿宋"/>
          <w:sz w:val="28"/>
          <w:szCs w:val="28"/>
        </w:rPr>
        <w:t>4~6min</w:t>
      </w:r>
      <w:r>
        <w:rPr>
          <w:rFonts w:hint="eastAsia" w:ascii="Times New Roman" w:eastAsia="仿宋"/>
          <w:sz w:val="28"/>
          <w:szCs w:val="28"/>
        </w:rPr>
        <w:t>，使工件上的粉末熔融、流平、固化，在此过程中，塑粉会熔化并与铝型材表面反应，形成坚固的化学键，增强涂层的附着力和耐用性。此工序产生固化废气G7、天然气燃烧废气G8及噪声N</w:t>
      </w:r>
      <w:r>
        <w:rPr>
          <w:rFonts w:ascii="Times New Roman" w:eastAsia="仿宋"/>
          <w:sz w:val="28"/>
          <w:szCs w:val="28"/>
        </w:rPr>
        <w:t>13</w:t>
      </w:r>
      <w:r>
        <w:rPr>
          <w:rFonts w:hint="eastAsia" w:ascii="Times New Roman" w:eastAsia="仿宋"/>
          <w:sz w:val="28"/>
          <w:szCs w:val="28"/>
        </w:rPr>
        <w:t>。</w:t>
      </w:r>
    </w:p>
    <w:p w14:paraId="46CA49AA">
      <w:pPr>
        <w:spacing w:line="500" w:lineRule="exact"/>
        <w:ind w:firstLine="560" w:firstLineChars="200"/>
        <w:rPr>
          <w:rFonts w:ascii="Times New Roman" w:eastAsia="仿宋"/>
          <w:sz w:val="28"/>
          <w:szCs w:val="28"/>
        </w:rPr>
      </w:pPr>
      <w:r>
        <w:rPr>
          <w:rFonts w:hint="eastAsia" w:ascii="Times New Roman" w:eastAsia="仿宋"/>
          <w:sz w:val="28"/>
          <w:szCs w:val="28"/>
        </w:rPr>
        <w:t>4、喷氟碳漆工艺</w:t>
      </w:r>
    </w:p>
    <w:p w14:paraId="3C49F51D">
      <w:pPr>
        <w:jc w:val="center"/>
        <w:rPr>
          <w:rFonts w:ascii="Times New Roman" w:eastAsia="仿宋"/>
          <w:sz w:val="28"/>
          <w:szCs w:val="28"/>
        </w:rPr>
      </w:pPr>
      <w:r>
        <w:rPr>
          <w:rFonts w:ascii="Times New Roman" w:eastAsia="仿宋"/>
          <w:sz w:val="28"/>
          <w:szCs w:val="28"/>
        </w:rPr>
        <w:drawing>
          <wp:inline distT="0" distB="0" distL="0" distR="0">
            <wp:extent cx="4189095" cy="3476625"/>
            <wp:effectExtent l="0" t="0" r="0" b="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7"/>
                    <a:stretch>
                      <a:fillRect/>
                    </a:stretch>
                  </pic:blipFill>
                  <pic:spPr>
                    <a:xfrm>
                      <a:off x="0" y="0"/>
                      <a:ext cx="4192223" cy="3478735"/>
                    </a:xfrm>
                    <a:prstGeom prst="rect">
                      <a:avLst/>
                    </a:prstGeom>
                  </pic:spPr>
                </pic:pic>
              </a:graphicData>
            </a:graphic>
          </wp:inline>
        </w:drawing>
      </w:r>
    </w:p>
    <w:p w14:paraId="701FABD4">
      <w:pPr>
        <w:spacing w:line="500" w:lineRule="exact"/>
        <w:jc w:val="center"/>
        <w:rPr>
          <w:rFonts w:ascii="Times New Roman" w:eastAsia="仿宋"/>
          <w:sz w:val="28"/>
          <w:szCs w:val="28"/>
        </w:rPr>
      </w:pPr>
      <w:r>
        <w:rPr>
          <w:rFonts w:ascii="Times New Roman" w:eastAsia="仿宋"/>
          <w:b/>
        </w:rPr>
        <w:t>图3.2-</w:t>
      </w:r>
      <w:r>
        <w:rPr>
          <w:rFonts w:hint="eastAsia" w:ascii="Times New Roman" w:eastAsia="仿宋"/>
          <w:b/>
        </w:rPr>
        <w:t>5</w:t>
      </w:r>
      <w:r>
        <w:rPr>
          <w:rFonts w:ascii="Times New Roman" w:eastAsia="仿宋"/>
          <w:b/>
        </w:rPr>
        <w:t xml:space="preserve">  </w:t>
      </w:r>
      <w:r>
        <w:rPr>
          <w:rFonts w:hint="eastAsia" w:ascii="Times New Roman" w:eastAsia="仿宋"/>
          <w:b/>
        </w:rPr>
        <w:t>喷氟碳漆</w:t>
      </w:r>
      <w:r>
        <w:rPr>
          <w:rFonts w:ascii="Times New Roman" w:eastAsia="仿宋"/>
          <w:b/>
        </w:rPr>
        <w:t>工艺流程图</w:t>
      </w:r>
    </w:p>
    <w:p w14:paraId="523D561C">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生产工艺流程简述</w:t>
      </w:r>
    </w:p>
    <w:p w14:paraId="69D4D1D2">
      <w:pPr>
        <w:spacing w:line="500" w:lineRule="exact"/>
        <w:ind w:firstLine="562" w:firstLineChars="200"/>
        <w:rPr>
          <w:rFonts w:ascii="Times New Roman"/>
          <w:sz w:val="28"/>
          <w:szCs w:val="28"/>
        </w:rPr>
      </w:pPr>
      <w:r>
        <w:rPr>
          <w:rFonts w:hint="eastAsia" w:ascii="Times New Roman" w:eastAsia="仿宋"/>
          <w:b/>
          <w:bCs/>
          <w:sz w:val="28"/>
          <w:szCs w:val="28"/>
        </w:rPr>
        <w:t>调漆：</w:t>
      </w:r>
      <w:r>
        <w:rPr>
          <w:rFonts w:hint="eastAsia" w:ascii="Times New Roman" w:eastAsia="仿宋"/>
          <w:sz w:val="28"/>
          <w:szCs w:val="28"/>
        </w:rPr>
        <w:t>本项目设1间调漆间，油漆及稀释剂由人工搬运至调漆间后再进行开盖，调漆间中设置自动供漆系统，由机器抽取油漆和稀释剂后进行自动混合调配。其中氟碳底漆和稀释剂的调配比例为5：3，氟碳面漆和稀释剂的调配比例为2：1。调漆过程有废气G9及噪声N</w:t>
      </w:r>
      <w:r>
        <w:rPr>
          <w:rFonts w:ascii="Times New Roman" w:eastAsia="仿宋"/>
          <w:sz w:val="28"/>
          <w:szCs w:val="28"/>
        </w:rPr>
        <w:t>14</w:t>
      </w:r>
      <w:r>
        <w:rPr>
          <w:rFonts w:hint="eastAsia" w:ascii="Times New Roman" w:eastAsia="仿宋"/>
          <w:sz w:val="28"/>
          <w:szCs w:val="28"/>
        </w:rPr>
        <w:t>产生。调配完成的漆通过电子计量泵输送至喷漆间内的喷枪进行喷涂。</w:t>
      </w:r>
    </w:p>
    <w:p w14:paraId="330FE1F8">
      <w:pPr>
        <w:spacing w:line="500" w:lineRule="exact"/>
        <w:ind w:firstLine="562" w:firstLineChars="200"/>
        <w:rPr>
          <w:rFonts w:ascii="Times New Roman" w:eastAsia="仿宋"/>
          <w:sz w:val="28"/>
          <w:szCs w:val="28"/>
        </w:rPr>
      </w:pPr>
      <w:r>
        <w:rPr>
          <w:rFonts w:hint="eastAsia" w:ascii="Times New Roman" w:eastAsia="仿宋"/>
          <w:b/>
          <w:bCs/>
          <w:sz w:val="28"/>
          <w:szCs w:val="28"/>
        </w:rPr>
        <w:t>喷底漆：</w:t>
      </w:r>
      <w:r>
        <w:rPr>
          <w:rFonts w:hint="eastAsia" w:ascii="Times New Roman" w:eastAsia="仿宋"/>
          <w:sz w:val="28"/>
          <w:szCs w:val="28"/>
        </w:rPr>
        <w:t>工件挂在轨道架流水线上进入密闭喷漆房，工件两面均采用自动喷涂的方式对工件表面进行喷底漆。喷漆着漆率约70%。喷漆过程产生的喷雾经喷房内水帘漆雾净化装置预处理，因此喷漆过程有喷漆废气G10、水帘废水S</w:t>
      </w:r>
      <w:r>
        <w:rPr>
          <w:rFonts w:ascii="Times New Roman" w:eastAsia="仿宋"/>
          <w:sz w:val="28"/>
          <w:szCs w:val="28"/>
        </w:rPr>
        <w:t>10</w:t>
      </w:r>
      <w:r>
        <w:rPr>
          <w:rFonts w:hint="eastAsia" w:ascii="Times New Roman" w:eastAsia="仿宋"/>
          <w:sz w:val="28"/>
          <w:szCs w:val="28"/>
        </w:rPr>
        <w:t>、漆渣S1</w:t>
      </w:r>
      <w:r>
        <w:rPr>
          <w:rFonts w:ascii="Times New Roman" w:eastAsia="仿宋"/>
          <w:sz w:val="28"/>
          <w:szCs w:val="28"/>
        </w:rPr>
        <w:t>1</w:t>
      </w:r>
      <w:r>
        <w:rPr>
          <w:rFonts w:hint="eastAsia" w:ascii="Times New Roman" w:eastAsia="仿宋"/>
          <w:sz w:val="28"/>
          <w:szCs w:val="28"/>
        </w:rPr>
        <w:t>及噪声N</w:t>
      </w:r>
      <w:r>
        <w:rPr>
          <w:rFonts w:ascii="Times New Roman" w:eastAsia="仿宋"/>
          <w:sz w:val="28"/>
          <w:szCs w:val="28"/>
        </w:rPr>
        <w:t>15</w:t>
      </w:r>
      <w:r>
        <w:rPr>
          <w:rFonts w:hint="eastAsia" w:ascii="Times New Roman" w:eastAsia="仿宋"/>
          <w:sz w:val="28"/>
          <w:szCs w:val="28"/>
        </w:rPr>
        <w:t>产生。</w:t>
      </w:r>
    </w:p>
    <w:p w14:paraId="57060BBE">
      <w:pPr>
        <w:spacing w:line="500" w:lineRule="exact"/>
        <w:ind w:firstLine="562" w:firstLineChars="200"/>
        <w:rPr>
          <w:rFonts w:ascii="Times New Roman" w:eastAsia="仿宋"/>
          <w:sz w:val="28"/>
          <w:szCs w:val="28"/>
        </w:rPr>
      </w:pPr>
      <w:r>
        <w:rPr>
          <w:rFonts w:hint="eastAsia" w:ascii="Times New Roman" w:eastAsia="仿宋"/>
          <w:b/>
          <w:bCs/>
          <w:sz w:val="28"/>
          <w:szCs w:val="28"/>
        </w:rPr>
        <w:t>流平：</w:t>
      </w:r>
      <w:r>
        <w:rPr>
          <w:rFonts w:hint="eastAsia" w:ascii="Times New Roman" w:eastAsia="仿宋"/>
          <w:sz w:val="28"/>
          <w:szCs w:val="28"/>
        </w:rPr>
        <w:t>流平指涂料在涂覆后，尚未干燥成膜之前，由于表面张力的作用，逐渐收缩成最小面积的过程。工件挂在轨道架流水线上移动行走进入流平室，流水线及流平室均为密闭状态，在流平室内停留约</w:t>
      </w:r>
      <w:r>
        <w:rPr>
          <w:rFonts w:ascii="Times New Roman" w:eastAsia="仿宋"/>
          <w:sz w:val="28"/>
          <w:szCs w:val="28"/>
        </w:rPr>
        <w:t>10min</w:t>
      </w:r>
      <w:r>
        <w:rPr>
          <w:rFonts w:hint="eastAsia" w:ascii="Times New Roman" w:eastAsia="仿宋"/>
          <w:sz w:val="28"/>
          <w:szCs w:val="28"/>
        </w:rPr>
        <w:t>，过程为常温。此工序产生有机废气</w:t>
      </w:r>
      <w:r>
        <w:rPr>
          <w:rFonts w:ascii="Times New Roman" w:eastAsia="仿宋"/>
          <w:sz w:val="28"/>
          <w:szCs w:val="28"/>
        </w:rPr>
        <w:t>G11</w:t>
      </w:r>
      <w:r>
        <w:rPr>
          <w:rFonts w:hint="eastAsia" w:ascii="Times New Roman" w:eastAsia="仿宋"/>
          <w:sz w:val="28"/>
          <w:szCs w:val="28"/>
        </w:rPr>
        <w:t>。</w:t>
      </w:r>
    </w:p>
    <w:p w14:paraId="6C3225E8">
      <w:pPr>
        <w:spacing w:line="500" w:lineRule="exact"/>
        <w:ind w:firstLine="562" w:firstLineChars="200"/>
        <w:rPr>
          <w:rFonts w:ascii="Times New Roman" w:eastAsia="仿宋"/>
          <w:sz w:val="28"/>
          <w:szCs w:val="28"/>
        </w:rPr>
      </w:pPr>
      <w:r>
        <w:rPr>
          <w:rFonts w:hint="eastAsia" w:ascii="Times New Roman" w:eastAsia="仿宋"/>
          <w:b/>
          <w:bCs/>
          <w:sz w:val="28"/>
          <w:szCs w:val="28"/>
        </w:rPr>
        <w:t>烘干：</w:t>
      </w:r>
      <w:r>
        <w:rPr>
          <w:rFonts w:hint="eastAsia" w:ascii="Times New Roman" w:eastAsia="仿宋"/>
          <w:sz w:val="28"/>
          <w:szCs w:val="28"/>
        </w:rPr>
        <w:t>工件挂在轨道架流水线上移动行走进入固化炉烘干，烘干温度约</w:t>
      </w:r>
      <w:r>
        <w:rPr>
          <w:rFonts w:ascii="Times New Roman" w:eastAsia="仿宋"/>
          <w:sz w:val="28"/>
          <w:szCs w:val="28"/>
        </w:rPr>
        <w:t>2</w:t>
      </w:r>
      <w:r>
        <w:rPr>
          <w:rFonts w:hint="eastAsia" w:ascii="Times New Roman" w:eastAsia="仿宋"/>
          <w:sz w:val="28"/>
          <w:szCs w:val="28"/>
        </w:rPr>
        <w:t>0</w:t>
      </w:r>
      <w:r>
        <w:rPr>
          <w:rFonts w:ascii="Times New Roman" w:eastAsia="仿宋"/>
          <w:sz w:val="28"/>
          <w:szCs w:val="28"/>
        </w:rPr>
        <w:t>0</w:t>
      </w:r>
      <w:r>
        <w:rPr>
          <w:rFonts w:hint="eastAsia" w:ascii="Times New Roman" w:eastAsia="仿宋"/>
          <w:sz w:val="28"/>
          <w:szCs w:val="28"/>
        </w:rPr>
        <w:t>℃，烘干过程为密闭状态，固化炉采用天然气燃烧加热，时间约</w:t>
      </w:r>
      <w:r>
        <w:rPr>
          <w:rFonts w:ascii="Times New Roman" w:eastAsia="仿宋"/>
          <w:sz w:val="28"/>
          <w:szCs w:val="28"/>
        </w:rPr>
        <w:t>10~15</w:t>
      </w:r>
      <w:r>
        <w:rPr>
          <w:rFonts w:hint="eastAsia" w:ascii="Times New Roman" w:eastAsia="仿宋"/>
          <w:sz w:val="28"/>
          <w:szCs w:val="28"/>
        </w:rPr>
        <w:t>分钟。此过程中产生烘干废气</w:t>
      </w:r>
      <w:r>
        <w:rPr>
          <w:rFonts w:ascii="Times New Roman" w:eastAsia="仿宋"/>
          <w:sz w:val="28"/>
          <w:szCs w:val="28"/>
        </w:rPr>
        <w:t>G12</w:t>
      </w:r>
      <w:r>
        <w:rPr>
          <w:rFonts w:hint="eastAsia" w:ascii="Times New Roman" w:eastAsia="仿宋"/>
          <w:sz w:val="28"/>
          <w:szCs w:val="28"/>
        </w:rPr>
        <w:t>、天然气燃烧废气G1</w:t>
      </w:r>
      <w:r>
        <w:rPr>
          <w:rFonts w:ascii="Times New Roman" w:eastAsia="仿宋"/>
          <w:sz w:val="28"/>
          <w:szCs w:val="28"/>
        </w:rPr>
        <w:t>3</w:t>
      </w:r>
      <w:r>
        <w:rPr>
          <w:rFonts w:hint="eastAsia" w:ascii="Times New Roman" w:eastAsia="仿宋"/>
          <w:sz w:val="28"/>
          <w:szCs w:val="28"/>
        </w:rPr>
        <w:t>及噪声N</w:t>
      </w:r>
      <w:r>
        <w:rPr>
          <w:rFonts w:ascii="Times New Roman" w:eastAsia="仿宋"/>
          <w:sz w:val="28"/>
          <w:szCs w:val="28"/>
        </w:rPr>
        <w:t>16</w:t>
      </w:r>
      <w:r>
        <w:rPr>
          <w:rFonts w:hint="eastAsia" w:ascii="Times New Roman" w:eastAsia="仿宋"/>
          <w:sz w:val="28"/>
          <w:szCs w:val="28"/>
        </w:rPr>
        <w:t>。</w:t>
      </w:r>
    </w:p>
    <w:p w14:paraId="66E2BCB8">
      <w:pPr>
        <w:spacing w:line="500" w:lineRule="exact"/>
        <w:ind w:firstLine="562" w:firstLineChars="200"/>
        <w:rPr>
          <w:rFonts w:ascii="Times New Roman" w:eastAsia="仿宋"/>
          <w:sz w:val="28"/>
          <w:szCs w:val="28"/>
        </w:rPr>
      </w:pPr>
      <w:r>
        <w:rPr>
          <w:rFonts w:hint="eastAsia" w:ascii="Times New Roman" w:eastAsia="仿宋"/>
          <w:b/>
          <w:bCs/>
          <w:sz w:val="28"/>
          <w:szCs w:val="28"/>
        </w:rPr>
        <w:t>喷面漆：</w:t>
      </w:r>
      <w:r>
        <w:rPr>
          <w:rFonts w:hint="eastAsia" w:ascii="Times New Roman" w:eastAsia="仿宋"/>
          <w:sz w:val="28"/>
          <w:szCs w:val="28"/>
        </w:rPr>
        <w:t>工件通过轨道架流水线进入面漆室，两面均采用自动喷涂的方式对工件表面进行喷底漆，喷漆着漆率约70%。喷漆过程有喷漆废气G1</w:t>
      </w:r>
      <w:r>
        <w:rPr>
          <w:rFonts w:ascii="Times New Roman" w:eastAsia="仿宋"/>
          <w:sz w:val="28"/>
          <w:szCs w:val="28"/>
        </w:rPr>
        <w:t>4</w:t>
      </w:r>
      <w:r>
        <w:rPr>
          <w:rFonts w:hint="eastAsia" w:ascii="Times New Roman" w:eastAsia="仿宋"/>
          <w:sz w:val="28"/>
          <w:szCs w:val="28"/>
        </w:rPr>
        <w:t>、水帘废水</w:t>
      </w:r>
      <w:r>
        <w:rPr>
          <w:rFonts w:ascii="Times New Roman" w:eastAsia="仿宋"/>
          <w:sz w:val="28"/>
          <w:szCs w:val="28"/>
        </w:rPr>
        <w:t>S</w:t>
      </w:r>
      <w:r>
        <w:rPr>
          <w:rFonts w:hint="eastAsia" w:ascii="Times New Roman" w:eastAsia="仿宋"/>
          <w:sz w:val="28"/>
          <w:szCs w:val="28"/>
        </w:rPr>
        <w:t>1</w:t>
      </w:r>
      <w:r>
        <w:rPr>
          <w:rFonts w:ascii="Times New Roman" w:eastAsia="仿宋"/>
          <w:sz w:val="28"/>
          <w:szCs w:val="28"/>
        </w:rPr>
        <w:t>2</w:t>
      </w:r>
      <w:r>
        <w:rPr>
          <w:rFonts w:hint="eastAsia" w:ascii="Times New Roman" w:eastAsia="仿宋"/>
          <w:sz w:val="28"/>
          <w:szCs w:val="28"/>
        </w:rPr>
        <w:t>、漆渣S</w:t>
      </w:r>
      <w:r>
        <w:rPr>
          <w:rFonts w:ascii="Times New Roman" w:eastAsia="仿宋"/>
          <w:sz w:val="28"/>
          <w:szCs w:val="28"/>
        </w:rPr>
        <w:t>13</w:t>
      </w:r>
      <w:r>
        <w:rPr>
          <w:rFonts w:hint="eastAsia" w:ascii="Times New Roman" w:eastAsia="仿宋"/>
          <w:sz w:val="28"/>
          <w:szCs w:val="28"/>
        </w:rPr>
        <w:t>及噪声N</w:t>
      </w:r>
      <w:r>
        <w:rPr>
          <w:rFonts w:ascii="Times New Roman" w:eastAsia="仿宋"/>
          <w:sz w:val="28"/>
          <w:szCs w:val="28"/>
        </w:rPr>
        <w:t>17</w:t>
      </w:r>
      <w:r>
        <w:rPr>
          <w:rFonts w:hint="eastAsia" w:ascii="Times New Roman" w:eastAsia="仿宋"/>
          <w:sz w:val="28"/>
          <w:szCs w:val="28"/>
        </w:rPr>
        <w:t>产生。</w:t>
      </w:r>
    </w:p>
    <w:p w14:paraId="649BAEE5">
      <w:pPr>
        <w:spacing w:line="500" w:lineRule="exact"/>
        <w:ind w:firstLine="562" w:firstLineChars="200"/>
        <w:rPr>
          <w:rFonts w:ascii="Times New Roman" w:eastAsia="仿宋"/>
          <w:sz w:val="28"/>
          <w:szCs w:val="28"/>
        </w:rPr>
      </w:pPr>
      <w:r>
        <w:rPr>
          <w:rFonts w:hint="eastAsia" w:ascii="Times New Roman" w:eastAsia="仿宋"/>
          <w:b/>
          <w:bCs/>
          <w:sz w:val="28"/>
          <w:szCs w:val="28"/>
        </w:rPr>
        <w:t>流平：</w:t>
      </w:r>
      <w:r>
        <w:rPr>
          <w:rFonts w:hint="eastAsia" w:ascii="Times New Roman" w:eastAsia="仿宋"/>
          <w:sz w:val="28"/>
          <w:szCs w:val="28"/>
        </w:rPr>
        <w:t>面漆喷完后，工件通过轨道架流水线进入流平室，为了保证了漆膜的平整度和光泽度，在流平室内停留约</w:t>
      </w:r>
      <w:r>
        <w:rPr>
          <w:rFonts w:ascii="Times New Roman" w:eastAsia="仿宋"/>
          <w:sz w:val="28"/>
          <w:szCs w:val="28"/>
        </w:rPr>
        <w:t>10min</w:t>
      </w:r>
      <w:r>
        <w:rPr>
          <w:rFonts w:hint="eastAsia" w:ascii="Times New Roman" w:eastAsia="仿宋"/>
          <w:sz w:val="28"/>
          <w:szCs w:val="28"/>
        </w:rPr>
        <w:t>，过程为常温。此工序产生有机废气</w:t>
      </w:r>
      <w:r>
        <w:rPr>
          <w:rFonts w:ascii="Times New Roman" w:eastAsia="仿宋"/>
          <w:sz w:val="28"/>
          <w:szCs w:val="28"/>
        </w:rPr>
        <w:t>G</w:t>
      </w:r>
      <w:r>
        <w:rPr>
          <w:rFonts w:hint="eastAsia" w:ascii="Times New Roman" w:eastAsia="仿宋"/>
          <w:sz w:val="28"/>
          <w:szCs w:val="28"/>
        </w:rPr>
        <w:t>1</w:t>
      </w:r>
      <w:r>
        <w:rPr>
          <w:rFonts w:ascii="Times New Roman" w:eastAsia="仿宋"/>
          <w:sz w:val="28"/>
          <w:szCs w:val="28"/>
        </w:rPr>
        <w:t>5</w:t>
      </w:r>
      <w:r>
        <w:rPr>
          <w:rFonts w:hint="eastAsia" w:ascii="Times New Roman" w:eastAsia="仿宋"/>
          <w:sz w:val="28"/>
          <w:szCs w:val="28"/>
        </w:rPr>
        <w:t>。</w:t>
      </w:r>
    </w:p>
    <w:p w14:paraId="1C3D7FCC">
      <w:pPr>
        <w:spacing w:line="500" w:lineRule="exact"/>
        <w:ind w:firstLine="562" w:firstLineChars="200"/>
        <w:rPr>
          <w:rFonts w:ascii="Times New Roman" w:eastAsia="仿宋"/>
          <w:sz w:val="28"/>
          <w:szCs w:val="28"/>
        </w:rPr>
      </w:pPr>
      <w:r>
        <w:rPr>
          <w:rFonts w:hint="eastAsia" w:ascii="Times New Roman" w:eastAsia="仿宋"/>
          <w:b/>
          <w:bCs/>
          <w:sz w:val="28"/>
          <w:szCs w:val="28"/>
        </w:rPr>
        <w:t>烘干：</w:t>
      </w:r>
      <w:r>
        <w:rPr>
          <w:rFonts w:hint="eastAsia" w:ascii="Times New Roman" w:eastAsia="仿宋"/>
          <w:sz w:val="28"/>
          <w:szCs w:val="28"/>
        </w:rPr>
        <w:t>工件挂在轨道架流水线上移动行走进入烘干室，烘干温度约</w:t>
      </w:r>
      <w:r>
        <w:rPr>
          <w:rFonts w:ascii="Times New Roman" w:eastAsia="仿宋"/>
          <w:sz w:val="28"/>
          <w:szCs w:val="28"/>
        </w:rPr>
        <w:t>100~200</w:t>
      </w:r>
      <w:r>
        <w:rPr>
          <w:rFonts w:hint="eastAsia" w:ascii="Times New Roman" w:eastAsia="仿宋"/>
          <w:sz w:val="28"/>
          <w:szCs w:val="28"/>
        </w:rPr>
        <w:t>℃，烘干炉采用天然气燃烧加热，时间约</w:t>
      </w:r>
      <w:r>
        <w:rPr>
          <w:rFonts w:ascii="Times New Roman" w:eastAsia="仿宋"/>
          <w:sz w:val="28"/>
          <w:szCs w:val="28"/>
        </w:rPr>
        <w:t>10~15</w:t>
      </w:r>
      <w:r>
        <w:rPr>
          <w:rFonts w:hint="eastAsia" w:ascii="Times New Roman" w:eastAsia="仿宋"/>
          <w:sz w:val="28"/>
          <w:szCs w:val="28"/>
        </w:rPr>
        <w:t>分钟。此过程中产生烘干废气</w:t>
      </w:r>
      <w:r>
        <w:rPr>
          <w:rFonts w:ascii="Times New Roman" w:eastAsia="仿宋"/>
          <w:sz w:val="28"/>
          <w:szCs w:val="28"/>
        </w:rPr>
        <w:t>G16</w:t>
      </w:r>
      <w:r>
        <w:rPr>
          <w:rFonts w:hint="eastAsia" w:ascii="Times New Roman" w:eastAsia="仿宋"/>
          <w:sz w:val="28"/>
          <w:szCs w:val="28"/>
        </w:rPr>
        <w:t>、天然气燃烧废气G1</w:t>
      </w:r>
      <w:r>
        <w:rPr>
          <w:rFonts w:ascii="Times New Roman" w:eastAsia="仿宋"/>
          <w:sz w:val="28"/>
          <w:szCs w:val="28"/>
        </w:rPr>
        <w:t>7</w:t>
      </w:r>
      <w:r>
        <w:rPr>
          <w:rFonts w:hint="eastAsia" w:ascii="Times New Roman" w:eastAsia="仿宋"/>
          <w:sz w:val="28"/>
          <w:szCs w:val="28"/>
        </w:rPr>
        <w:t>及噪声N</w:t>
      </w:r>
      <w:r>
        <w:rPr>
          <w:rFonts w:ascii="Times New Roman" w:eastAsia="仿宋"/>
          <w:sz w:val="28"/>
          <w:szCs w:val="28"/>
        </w:rPr>
        <w:t>18</w:t>
      </w:r>
      <w:r>
        <w:rPr>
          <w:rFonts w:hint="eastAsia" w:ascii="Times New Roman" w:eastAsia="仿宋"/>
          <w:sz w:val="28"/>
          <w:szCs w:val="28"/>
        </w:rPr>
        <w:t>。</w:t>
      </w:r>
    </w:p>
    <w:p w14:paraId="3868E071">
      <w:pPr>
        <w:snapToGrid w:val="0"/>
        <w:spacing w:line="480" w:lineRule="exact"/>
        <w:ind w:firstLine="562" w:firstLineChars="200"/>
        <w:rPr>
          <w:rFonts w:ascii="Times New Roman" w:eastAsia="仿宋"/>
          <w:sz w:val="28"/>
          <w:szCs w:val="28"/>
        </w:rPr>
      </w:pPr>
      <w:r>
        <w:rPr>
          <w:rFonts w:ascii="Times New Roman" w:eastAsia="仿宋"/>
          <w:b/>
          <w:bCs/>
          <w:sz w:val="28"/>
          <w:szCs w:val="28"/>
        </w:rPr>
        <w:t>喷枪清洗</w:t>
      </w:r>
      <w:r>
        <w:rPr>
          <w:rFonts w:ascii="Times New Roman" w:eastAsia="仿宋"/>
          <w:sz w:val="28"/>
          <w:szCs w:val="28"/>
        </w:rPr>
        <w:t>：本项目喷枪</w:t>
      </w:r>
      <w:r>
        <w:rPr>
          <w:rFonts w:hint="eastAsia" w:ascii="Times New Roman" w:eastAsia="仿宋"/>
          <w:sz w:val="28"/>
          <w:szCs w:val="28"/>
        </w:rPr>
        <w:t>半个月清洗一次</w:t>
      </w:r>
      <w:r>
        <w:rPr>
          <w:rFonts w:ascii="Times New Roman" w:eastAsia="仿宋"/>
          <w:sz w:val="28"/>
          <w:szCs w:val="28"/>
        </w:rPr>
        <w:t>，以防油漆堵塞枪嘴，油性氟碳底漆、氟碳面漆采用稀释剂进行清洗，清洗方式为关闭喷头，</w:t>
      </w:r>
      <w:r>
        <w:rPr>
          <w:rFonts w:hint="eastAsia" w:ascii="Times New Roman" w:eastAsia="仿宋"/>
          <w:sz w:val="28"/>
          <w:szCs w:val="28"/>
        </w:rPr>
        <w:t>工作前</w:t>
      </w:r>
      <w:r>
        <w:rPr>
          <w:rFonts w:ascii="Times New Roman" w:eastAsia="仿宋"/>
          <w:sz w:val="28"/>
          <w:szCs w:val="28"/>
        </w:rPr>
        <w:t>通过电子计量泵将</w:t>
      </w:r>
      <w:r>
        <w:rPr>
          <w:rFonts w:hint="eastAsia" w:ascii="Times New Roman" w:eastAsia="仿宋"/>
          <w:sz w:val="28"/>
          <w:szCs w:val="28"/>
        </w:rPr>
        <w:t>调漆</w:t>
      </w:r>
      <w:r>
        <w:rPr>
          <w:rFonts w:ascii="Times New Roman" w:eastAsia="仿宋"/>
          <w:sz w:val="28"/>
          <w:szCs w:val="28"/>
        </w:rPr>
        <w:t>间内</w:t>
      </w:r>
      <w:r>
        <w:rPr>
          <w:rFonts w:hint="eastAsia" w:ascii="Times New Roman" w:eastAsia="仿宋"/>
          <w:sz w:val="28"/>
          <w:szCs w:val="28"/>
        </w:rPr>
        <w:t>的</w:t>
      </w:r>
      <w:r>
        <w:rPr>
          <w:rFonts w:ascii="Times New Roman" w:eastAsia="仿宋"/>
          <w:sz w:val="28"/>
          <w:szCs w:val="28"/>
        </w:rPr>
        <w:t>清洗剂输送至喷枪，随后经喷枪内回料管路回到</w:t>
      </w:r>
      <w:r>
        <w:rPr>
          <w:rFonts w:hint="eastAsia" w:ascii="Times New Roman" w:eastAsia="仿宋"/>
          <w:sz w:val="28"/>
          <w:szCs w:val="28"/>
        </w:rPr>
        <w:t>稀释</w:t>
      </w:r>
      <w:r>
        <w:rPr>
          <w:rFonts w:ascii="Times New Roman" w:eastAsia="仿宋"/>
          <w:sz w:val="28"/>
          <w:szCs w:val="28"/>
        </w:rPr>
        <w:t>剂罐，如此反复循环直至洗净，</w:t>
      </w:r>
      <w:r>
        <w:rPr>
          <w:rFonts w:hint="eastAsia" w:ascii="Times New Roman" w:eastAsia="仿宋"/>
          <w:sz w:val="28"/>
          <w:szCs w:val="28"/>
        </w:rPr>
        <w:t>稀释剂罐内放置单次喷漆需要的量</w:t>
      </w:r>
      <w:r>
        <w:rPr>
          <w:rFonts w:ascii="Times New Roman" w:eastAsia="仿宋"/>
          <w:sz w:val="28"/>
          <w:szCs w:val="28"/>
        </w:rPr>
        <w:t>，喷出的废液收集于回收桶内，作为废清洗液委</w:t>
      </w:r>
      <w:r>
        <w:rPr>
          <w:rFonts w:hint="eastAsia" w:ascii="Times New Roman" w:eastAsia="仿宋"/>
          <w:sz w:val="28"/>
          <w:szCs w:val="28"/>
        </w:rPr>
        <w:t>S</w:t>
      </w:r>
      <w:r>
        <w:rPr>
          <w:rFonts w:ascii="Times New Roman" w:eastAsia="仿宋"/>
          <w:sz w:val="28"/>
          <w:szCs w:val="28"/>
        </w:rPr>
        <w:t>14托有资质单位处置。喷枪清洗在喷漆房内进行，清洗过程产生清洗废气G18。</w:t>
      </w:r>
    </w:p>
    <w:p w14:paraId="2EC29DFF">
      <w:pPr>
        <w:snapToGrid w:val="0"/>
        <w:spacing w:line="480" w:lineRule="exact"/>
        <w:ind w:firstLine="562" w:firstLineChars="200"/>
        <w:rPr>
          <w:rFonts w:ascii="Times New Roman" w:eastAsia="仿宋"/>
          <w:sz w:val="28"/>
          <w:szCs w:val="28"/>
        </w:rPr>
      </w:pPr>
      <w:r>
        <w:rPr>
          <w:rFonts w:ascii="Times New Roman" w:eastAsia="仿宋"/>
          <w:b/>
          <w:bCs/>
          <w:sz w:val="28"/>
          <w:szCs w:val="28"/>
        </w:rPr>
        <w:t>挂具清理：</w:t>
      </w:r>
      <w:r>
        <w:rPr>
          <w:rFonts w:ascii="Times New Roman" w:eastAsia="仿宋"/>
          <w:sz w:val="28"/>
          <w:szCs w:val="28"/>
        </w:rPr>
        <w:t>本项目喷漆过程采用挂具将工件挂起，随流水线进入喷漆室进行喷漆，喷漆过程中挂具表面沾染漆料，经过多次喷漆后，挂具上的漆膜铸件变厚，需定期清理。本项目挂具每月清理一次，采用人工使用钢挫、榔头等工具清理的方式，此过程有漆渣S15产生。</w:t>
      </w:r>
    </w:p>
    <w:p w14:paraId="729F1D73">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.1.2</w:t>
      </w:r>
      <w:r>
        <w:rPr>
          <w:rFonts w:hint="eastAsia" w:ascii="Times New Roman" w:hAnsi="Times New Roman" w:eastAsia="仿宋"/>
          <w:b/>
        </w:rPr>
        <w:t>VO</w:t>
      </w:r>
      <w:r>
        <w:rPr>
          <w:rFonts w:ascii="Times New Roman" w:hAnsi="Times New Roman" w:eastAsia="仿宋"/>
          <w:b/>
        </w:rPr>
        <w:t>C</w:t>
      </w:r>
      <w:r>
        <w:rPr>
          <w:rFonts w:hint="eastAsia" w:ascii="Times New Roman" w:hAnsi="Times New Roman" w:eastAsia="仿宋"/>
          <w:b/>
        </w:rPr>
        <w:t>s平衡表</w:t>
      </w:r>
    </w:p>
    <w:p w14:paraId="2F64F0E5">
      <w:pPr>
        <w:tabs>
          <w:tab w:val="center" w:pos="4156"/>
          <w:tab w:val="left" w:pos="6375"/>
        </w:tabs>
        <w:spacing w:line="500" w:lineRule="exact"/>
        <w:ind w:firstLine="560" w:firstLineChars="200"/>
      </w:pPr>
      <w:r>
        <w:rPr>
          <w:rFonts w:ascii="Times New Roman" w:eastAsia="仿宋"/>
          <w:sz w:val="28"/>
          <w:szCs w:val="28"/>
        </w:rPr>
        <w:t>本项目</w:t>
      </w:r>
      <w:r>
        <w:rPr>
          <w:rFonts w:hint="eastAsia" w:ascii="Times New Roman" w:eastAsia="仿宋"/>
          <w:sz w:val="28"/>
          <w:szCs w:val="28"/>
        </w:rPr>
        <w:t>喷涂线V</w:t>
      </w:r>
      <w:r>
        <w:rPr>
          <w:rFonts w:ascii="Times New Roman" w:eastAsia="仿宋"/>
          <w:sz w:val="28"/>
          <w:szCs w:val="28"/>
        </w:rPr>
        <w:t>OC</w:t>
      </w:r>
      <w:r>
        <w:rPr>
          <w:rFonts w:hint="eastAsia" w:ascii="Times New Roman" w:eastAsia="仿宋"/>
          <w:sz w:val="28"/>
          <w:szCs w:val="28"/>
        </w:rPr>
        <w:t>s</w:t>
      </w:r>
      <w:r>
        <w:rPr>
          <w:rFonts w:ascii="Times New Roman" w:eastAsia="仿宋"/>
          <w:sz w:val="28"/>
          <w:szCs w:val="28"/>
        </w:rPr>
        <w:t>平衡情况见表3.2-1，有机溶剂平衡图见图3.2-6。</w:t>
      </w:r>
    </w:p>
    <w:p w14:paraId="306072C2">
      <w:pPr>
        <w:tabs>
          <w:tab w:val="center" w:pos="4156"/>
          <w:tab w:val="left" w:pos="6375"/>
        </w:tabs>
        <w:spacing w:line="500" w:lineRule="exact"/>
        <w:jc w:val="center"/>
        <w:rPr>
          <w:rFonts w:ascii="Times New Roman" w:eastAsia="仿宋"/>
          <w:b/>
          <w:bCs/>
        </w:rPr>
      </w:pPr>
      <w:r>
        <w:rPr>
          <w:rFonts w:ascii="Times New Roman" w:eastAsia="仿宋"/>
          <w:b/>
          <w:bCs/>
        </w:rPr>
        <w:t>表3.2-</w:t>
      </w:r>
      <w:r>
        <w:rPr>
          <w:rFonts w:hint="eastAsia" w:ascii="Times New Roman" w:eastAsia="仿宋"/>
          <w:b/>
          <w:bCs/>
        </w:rPr>
        <w:t>1</w:t>
      </w:r>
      <w:r>
        <w:rPr>
          <w:rFonts w:ascii="Times New Roman" w:eastAsia="仿宋"/>
          <w:b/>
          <w:bCs/>
        </w:rPr>
        <w:t xml:space="preserve">  </w:t>
      </w:r>
      <w:r>
        <w:rPr>
          <w:rFonts w:hint="eastAsia" w:ascii="Times New Roman" w:eastAsia="仿宋"/>
          <w:b/>
          <w:bCs/>
        </w:rPr>
        <w:t>喷漆线二甲苯</w:t>
      </w:r>
      <w:r>
        <w:rPr>
          <w:rFonts w:ascii="Times New Roman" w:eastAsia="仿宋"/>
          <w:b/>
          <w:bCs/>
        </w:rPr>
        <w:t>平衡表  单位：t/a</w:t>
      </w:r>
    </w:p>
    <w:tbl>
      <w:tblPr>
        <w:tblStyle w:val="87"/>
        <w:tblW w:w="5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901"/>
        <w:gridCol w:w="1099"/>
        <w:gridCol w:w="908"/>
        <w:gridCol w:w="843"/>
        <w:gridCol w:w="927"/>
        <w:gridCol w:w="1590"/>
        <w:gridCol w:w="1259"/>
      </w:tblGrid>
      <w:tr w14:paraId="2EDE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Merge w:val="restart"/>
            <w:vAlign w:val="center"/>
          </w:tcPr>
          <w:p w14:paraId="6222F466">
            <w:pPr>
              <w:jc w:val="center"/>
              <w:rPr>
                <w:rFonts w:ascii="Times New Roman" w:eastAsia="仿宋"/>
                <w:bCs/>
                <w:szCs w:val="21"/>
              </w:rPr>
            </w:pPr>
            <w:r>
              <w:rPr>
                <w:rFonts w:ascii="Times New Roman" w:eastAsia="仿宋"/>
                <w:bCs/>
                <w:szCs w:val="21"/>
              </w:rPr>
              <w:t>来源</w:t>
            </w:r>
          </w:p>
        </w:tc>
        <w:tc>
          <w:tcPr>
            <w:tcW w:w="0" w:type="auto"/>
            <w:gridSpan w:val="3"/>
            <w:vAlign w:val="center"/>
          </w:tcPr>
          <w:p w14:paraId="09E195A3">
            <w:pPr>
              <w:jc w:val="center"/>
              <w:rPr>
                <w:rFonts w:ascii="Times New Roman" w:eastAsia="仿宋"/>
                <w:szCs w:val="21"/>
              </w:rPr>
            </w:pPr>
            <w:r>
              <w:rPr>
                <w:rFonts w:ascii="Times New Roman" w:eastAsia="仿宋"/>
                <w:bCs/>
                <w:szCs w:val="21"/>
              </w:rPr>
              <w:t>投入</w:t>
            </w:r>
          </w:p>
        </w:tc>
        <w:tc>
          <w:tcPr>
            <w:tcW w:w="2547" w:type="pct"/>
            <w:gridSpan w:val="4"/>
            <w:vAlign w:val="center"/>
          </w:tcPr>
          <w:p w14:paraId="35BC2E62">
            <w:pPr>
              <w:tabs>
                <w:tab w:val="center" w:pos="4156"/>
                <w:tab w:val="left" w:pos="6375"/>
              </w:tabs>
              <w:jc w:val="center"/>
              <w:rPr>
                <w:rFonts w:ascii="Times New Roman" w:eastAsia="仿宋"/>
                <w:bCs/>
                <w:szCs w:val="21"/>
              </w:rPr>
            </w:pPr>
            <w:r>
              <w:rPr>
                <w:rFonts w:ascii="Times New Roman" w:eastAsia="仿宋"/>
                <w:bCs/>
                <w:szCs w:val="21"/>
              </w:rPr>
              <w:t>输出</w:t>
            </w:r>
          </w:p>
        </w:tc>
      </w:tr>
      <w:tr w14:paraId="0B19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Merge w:val="continue"/>
            <w:vAlign w:val="center"/>
          </w:tcPr>
          <w:p w14:paraId="43335A1D">
            <w:pPr>
              <w:jc w:val="center"/>
              <w:rPr>
                <w:rFonts w:ascii="Times New Roman" w:eastAsia="仿宋"/>
                <w:szCs w:val="21"/>
              </w:rPr>
            </w:pPr>
          </w:p>
        </w:tc>
        <w:tc>
          <w:tcPr>
            <w:tcW w:w="0" w:type="auto"/>
            <w:vAlign w:val="center"/>
          </w:tcPr>
          <w:p w14:paraId="04C66CFA">
            <w:pPr>
              <w:jc w:val="center"/>
              <w:rPr>
                <w:rFonts w:ascii="Times New Roman" w:eastAsia="仿宋"/>
                <w:szCs w:val="21"/>
              </w:rPr>
            </w:pPr>
            <w:r>
              <w:rPr>
                <w:rFonts w:ascii="Times New Roman" w:eastAsia="仿宋"/>
                <w:szCs w:val="21"/>
              </w:rPr>
              <w:t>用量</w:t>
            </w:r>
          </w:p>
        </w:tc>
        <w:tc>
          <w:tcPr>
            <w:tcW w:w="606" w:type="pct"/>
            <w:vAlign w:val="center"/>
          </w:tcPr>
          <w:p w14:paraId="5C66CC0C">
            <w:pPr>
              <w:jc w:val="center"/>
              <w:rPr>
                <w:rFonts w:ascii="Times New Roman" w:eastAsia="仿宋"/>
                <w:szCs w:val="21"/>
              </w:rPr>
            </w:pPr>
            <w:r>
              <w:rPr>
                <w:rFonts w:ascii="Times New Roman" w:eastAsia="仿宋"/>
                <w:szCs w:val="21"/>
              </w:rPr>
              <w:t>含量(%)</w:t>
            </w:r>
          </w:p>
        </w:tc>
        <w:tc>
          <w:tcPr>
            <w:tcW w:w="501" w:type="pct"/>
            <w:vAlign w:val="center"/>
          </w:tcPr>
          <w:p w14:paraId="79A206C1">
            <w:pPr>
              <w:jc w:val="center"/>
              <w:rPr>
                <w:rFonts w:ascii="Times New Roman" w:eastAsia="仿宋"/>
                <w:szCs w:val="21"/>
              </w:rPr>
            </w:pPr>
            <w:r>
              <w:rPr>
                <w:rFonts w:ascii="Times New Roman" w:eastAsia="仿宋"/>
                <w:szCs w:val="21"/>
              </w:rPr>
              <w:t>含量</w:t>
            </w:r>
          </w:p>
        </w:tc>
        <w:tc>
          <w:tcPr>
            <w:tcW w:w="0" w:type="auto"/>
            <w:vAlign w:val="center"/>
          </w:tcPr>
          <w:p w14:paraId="144A8305">
            <w:pPr>
              <w:tabs>
                <w:tab w:val="center" w:pos="4156"/>
                <w:tab w:val="left" w:pos="6375"/>
              </w:tabs>
              <w:jc w:val="center"/>
              <w:rPr>
                <w:rFonts w:ascii="Times New Roman" w:eastAsia="仿宋"/>
                <w:bCs/>
                <w:szCs w:val="21"/>
              </w:rPr>
            </w:pPr>
            <w:r>
              <w:rPr>
                <w:rFonts w:ascii="Times New Roman" w:eastAsia="仿宋"/>
                <w:bCs/>
                <w:szCs w:val="21"/>
              </w:rPr>
              <w:t>去向</w:t>
            </w:r>
          </w:p>
        </w:tc>
        <w:tc>
          <w:tcPr>
            <w:tcW w:w="2082" w:type="pct"/>
            <w:gridSpan w:val="3"/>
            <w:vAlign w:val="center"/>
          </w:tcPr>
          <w:p w14:paraId="288E0AAD">
            <w:pPr>
              <w:tabs>
                <w:tab w:val="center" w:pos="4156"/>
                <w:tab w:val="left" w:pos="6375"/>
              </w:tabs>
              <w:jc w:val="center"/>
              <w:rPr>
                <w:rFonts w:ascii="Times New Roman" w:eastAsia="仿宋"/>
                <w:bCs/>
                <w:szCs w:val="21"/>
              </w:rPr>
            </w:pPr>
            <w:r>
              <w:rPr>
                <w:rFonts w:ascii="Times New Roman" w:eastAsia="仿宋"/>
                <w:szCs w:val="21"/>
              </w:rPr>
              <w:t>含量</w:t>
            </w:r>
          </w:p>
        </w:tc>
      </w:tr>
      <w:tr w14:paraId="48C7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49" w:type="pct"/>
            <w:vMerge w:val="restart"/>
            <w:vAlign w:val="center"/>
          </w:tcPr>
          <w:p w14:paraId="3110B321">
            <w:pPr>
              <w:tabs>
                <w:tab w:val="center" w:pos="4156"/>
                <w:tab w:val="left" w:pos="6375"/>
              </w:tabs>
              <w:jc w:val="center"/>
              <w:rPr>
                <w:rFonts w:ascii="Times New Roman" w:eastAsia="仿宋"/>
                <w:szCs w:val="21"/>
              </w:rPr>
            </w:pPr>
            <w:r>
              <w:rPr>
                <w:rFonts w:hint="eastAsia" w:ascii="Times New Roman" w:eastAsia="仿宋"/>
                <w:bCs/>
                <w:szCs w:val="21"/>
              </w:rPr>
              <w:t>氟碳底漆</w:t>
            </w:r>
          </w:p>
        </w:tc>
        <w:tc>
          <w:tcPr>
            <w:tcW w:w="0" w:type="auto"/>
            <w:vMerge w:val="restart"/>
            <w:vAlign w:val="center"/>
          </w:tcPr>
          <w:p w14:paraId="43824042">
            <w:pPr>
              <w:tabs>
                <w:tab w:val="center" w:pos="4156"/>
                <w:tab w:val="left" w:pos="6375"/>
              </w:tabs>
              <w:jc w:val="center"/>
              <w:rPr>
                <w:rFonts w:ascii="Times New Roman" w:eastAsia="仿宋"/>
                <w:szCs w:val="21"/>
              </w:rPr>
            </w:pPr>
            <w:r>
              <w:rPr>
                <w:rFonts w:ascii="Times New Roman" w:eastAsia="仿宋"/>
                <w:bCs/>
                <w:szCs w:val="21"/>
              </w:rPr>
              <w:t>22.875</w:t>
            </w:r>
          </w:p>
        </w:tc>
        <w:tc>
          <w:tcPr>
            <w:tcW w:w="606" w:type="pct"/>
            <w:vMerge w:val="restart"/>
            <w:vAlign w:val="center"/>
          </w:tcPr>
          <w:p w14:paraId="3038EE9E">
            <w:pPr>
              <w:tabs>
                <w:tab w:val="center" w:pos="4156"/>
                <w:tab w:val="left" w:pos="6375"/>
              </w:tabs>
              <w:jc w:val="center"/>
              <w:rPr>
                <w:rFonts w:ascii="Times New Roman" w:eastAsia="仿宋"/>
                <w:szCs w:val="21"/>
              </w:rPr>
            </w:pPr>
            <w:r>
              <w:rPr>
                <w:rFonts w:ascii="Times New Roman" w:eastAsia="仿宋"/>
                <w:bCs/>
                <w:szCs w:val="21"/>
              </w:rPr>
              <w:t>31</w:t>
            </w:r>
          </w:p>
        </w:tc>
        <w:tc>
          <w:tcPr>
            <w:tcW w:w="501" w:type="pct"/>
            <w:vMerge w:val="restart"/>
            <w:vAlign w:val="center"/>
          </w:tcPr>
          <w:p w14:paraId="70B8E91F">
            <w:pPr>
              <w:jc w:val="center"/>
              <w:rPr>
                <w:rFonts w:ascii="Times New Roman" w:eastAsia="仿宋"/>
                <w:szCs w:val="21"/>
              </w:rPr>
            </w:pPr>
            <w:r>
              <w:rPr>
                <w:rFonts w:ascii="Times New Roman" w:eastAsia="仿宋"/>
                <w:szCs w:val="21"/>
              </w:rPr>
              <w:t>7</w:t>
            </w:r>
            <w:r>
              <w:rPr>
                <w:rFonts w:hint="eastAsia" w:ascii="Times New Roman" w:eastAsia="仿宋"/>
                <w:szCs w:val="21"/>
              </w:rPr>
              <w:t>.</w:t>
            </w:r>
            <w:r>
              <w:rPr>
                <w:rFonts w:ascii="Times New Roman" w:eastAsia="仿宋"/>
                <w:szCs w:val="21"/>
              </w:rPr>
              <w:t>09</w:t>
            </w:r>
          </w:p>
        </w:tc>
        <w:tc>
          <w:tcPr>
            <w:tcW w:w="0" w:type="auto"/>
            <w:vMerge w:val="restart"/>
            <w:vAlign w:val="center"/>
          </w:tcPr>
          <w:p w14:paraId="1064CDD5">
            <w:pPr>
              <w:tabs>
                <w:tab w:val="center" w:pos="4156"/>
                <w:tab w:val="left" w:pos="6375"/>
              </w:tabs>
              <w:jc w:val="center"/>
              <w:rPr>
                <w:rFonts w:ascii="Times New Roman" w:eastAsia="仿宋"/>
                <w:bCs/>
                <w:szCs w:val="21"/>
              </w:rPr>
            </w:pPr>
            <w:r>
              <w:rPr>
                <w:rFonts w:ascii="Times New Roman" w:eastAsia="仿宋"/>
                <w:bCs/>
                <w:szCs w:val="21"/>
              </w:rPr>
              <w:t>废气</w:t>
            </w:r>
          </w:p>
        </w:tc>
        <w:tc>
          <w:tcPr>
            <w:tcW w:w="511" w:type="pct"/>
            <w:vMerge w:val="restart"/>
            <w:vAlign w:val="center"/>
          </w:tcPr>
          <w:p w14:paraId="5CB36F8A">
            <w:pPr>
              <w:tabs>
                <w:tab w:val="center" w:pos="4156"/>
                <w:tab w:val="left" w:pos="6375"/>
              </w:tabs>
              <w:jc w:val="center"/>
              <w:rPr>
                <w:rFonts w:ascii="Times New Roman" w:eastAsia="仿宋"/>
                <w:szCs w:val="21"/>
              </w:rPr>
            </w:pPr>
            <w:r>
              <w:rPr>
                <w:rFonts w:ascii="Times New Roman" w:eastAsia="仿宋"/>
                <w:szCs w:val="21"/>
              </w:rPr>
              <w:t>16.36</w:t>
            </w:r>
          </w:p>
        </w:tc>
        <w:tc>
          <w:tcPr>
            <w:tcW w:w="877" w:type="pct"/>
            <w:vAlign w:val="center"/>
          </w:tcPr>
          <w:p w14:paraId="5857059F">
            <w:pPr>
              <w:tabs>
                <w:tab w:val="center" w:pos="4156"/>
                <w:tab w:val="left" w:pos="6375"/>
              </w:tabs>
              <w:jc w:val="center"/>
              <w:rPr>
                <w:rFonts w:ascii="Times New Roman" w:eastAsia="仿宋"/>
                <w:bCs/>
                <w:szCs w:val="21"/>
              </w:rPr>
            </w:pPr>
            <w:r>
              <w:rPr>
                <w:rFonts w:hint="eastAsia" w:ascii="Times New Roman" w:eastAsia="仿宋"/>
                <w:bCs/>
                <w:szCs w:val="21"/>
              </w:rPr>
              <w:t>无组织排放</w:t>
            </w:r>
          </w:p>
        </w:tc>
        <w:tc>
          <w:tcPr>
            <w:tcW w:w="694" w:type="pct"/>
            <w:vAlign w:val="center"/>
          </w:tcPr>
          <w:p w14:paraId="10B86267">
            <w:pPr>
              <w:tabs>
                <w:tab w:val="center" w:pos="4156"/>
                <w:tab w:val="left" w:pos="6375"/>
              </w:tabs>
              <w:jc w:val="center"/>
              <w:rPr>
                <w:rFonts w:ascii="Times New Roman" w:eastAsia="仿宋"/>
                <w:bCs/>
                <w:szCs w:val="21"/>
              </w:rPr>
            </w:pPr>
            <w:r>
              <w:rPr>
                <w:rFonts w:hint="eastAsia" w:ascii="Times New Roman" w:eastAsia="仿宋"/>
                <w:bCs/>
                <w:szCs w:val="21"/>
              </w:rPr>
              <w:t>0</w:t>
            </w:r>
            <w:r>
              <w:rPr>
                <w:rFonts w:ascii="Times New Roman" w:eastAsia="仿宋"/>
                <w:bCs/>
                <w:szCs w:val="21"/>
              </w:rPr>
              <w:t>.</w:t>
            </w:r>
            <w:r>
              <w:rPr>
                <w:rFonts w:hint="eastAsia" w:ascii="Times New Roman" w:eastAsia="仿宋"/>
                <w:bCs/>
                <w:szCs w:val="21"/>
              </w:rPr>
              <w:t>088</w:t>
            </w:r>
          </w:p>
        </w:tc>
      </w:tr>
      <w:tr w14:paraId="5EBE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49" w:type="pct"/>
            <w:vMerge w:val="continue"/>
            <w:tcBorders>
              <w:bottom w:val="single" w:color="auto" w:sz="4" w:space="0"/>
            </w:tcBorders>
            <w:vAlign w:val="center"/>
          </w:tcPr>
          <w:p w14:paraId="66B5CBD1">
            <w:pPr>
              <w:tabs>
                <w:tab w:val="center" w:pos="4156"/>
                <w:tab w:val="left" w:pos="6375"/>
              </w:tabs>
              <w:jc w:val="center"/>
              <w:rPr>
                <w:rFonts w:ascii="Times New Roman" w:eastAsia="仿宋"/>
                <w:bCs/>
                <w:szCs w:val="21"/>
              </w:rPr>
            </w:pPr>
          </w:p>
        </w:tc>
        <w:tc>
          <w:tcPr>
            <w:tcW w:w="0" w:type="auto"/>
            <w:vMerge w:val="continue"/>
            <w:tcBorders>
              <w:bottom w:val="single" w:color="auto" w:sz="4" w:space="0"/>
            </w:tcBorders>
            <w:vAlign w:val="center"/>
          </w:tcPr>
          <w:p w14:paraId="2570FA41">
            <w:pPr>
              <w:tabs>
                <w:tab w:val="center" w:pos="4156"/>
                <w:tab w:val="left" w:pos="6375"/>
              </w:tabs>
              <w:jc w:val="center"/>
              <w:rPr>
                <w:rFonts w:ascii="Times New Roman" w:eastAsia="仿宋"/>
                <w:bCs/>
                <w:szCs w:val="21"/>
              </w:rPr>
            </w:pPr>
          </w:p>
        </w:tc>
        <w:tc>
          <w:tcPr>
            <w:tcW w:w="606" w:type="pct"/>
            <w:vMerge w:val="continue"/>
            <w:tcBorders>
              <w:bottom w:val="single" w:color="auto" w:sz="4" w:space="0"/>
            </w:tcBorders>
            <w:vAlign w:val="center"/>
          </w:tcPr>
          <w:p w14:paraId="7F413296">
            <w:pPr>
              <w:tabs>
                <w:tab w:val="center" w:pos="4156"/>
                <w:tab w:val="left" w:pos="6375"/>
              </w:tabs>
              <w:jc w:val="center"/>
              <w:rPr>
                <w:rFonts w:ascii="Times New Roman" w:eastAsia="仿宋"/>
                <w:bCs/>
                <w:szCs w:val="21"/>
              </w:rPr>
            </w:pPr>
          </w:p>
        </w:tc>
        <w:tc>
          <w:tcPr>
            <w:tcW w:w="501" w:type="pct"/>
            <w:vMerge w:val="continue"/>
            <w:tcBorders>
              <w:bottom w:val="single" w:color="auto" w:sz="4" w:space="0"/>
            </w:tcBorders>
            <w:vAlign w:val="center"/>
          </w:tcPr>
          <w:p w14:paraId="617A3D70">
            <w:pPr>
              <w:jc w:val="center"/>
              <w:rPr>
                <w:rFonts w:ascii="Times New Roman" w:eastAsia="仿宋"/>
                <w:szCs w:val="21"/>
              </w:rPr>
            </w:pPr>
          </w:p>
        </w:tc>
        <w:tc>
          <w:tcPr>
            <w:tcW w:w="465" w:type="pct"/>
            <w:vMerge w:val="continue"/>
            <w:tcBorders>
              <w:bottom w:val="single" w:color="auto" w:sz="4" w:space="0"/>
            </w:tcBorders>
            <w:vAlign w:val="center"/>
          </w:tcPr>
          <w:p w14:paraId="11EE47D7">
            <w:pPr>
              <w:tabs>
                <w:tab w:val="center" w:pos="4156"/>
                <w:tab w:val="left" w:pos="6375"/>
              </w:tabs>
              <w:jc w:val="center"/>
              <w:rPr>
                <w:rFonts w:ascii="Times New Roman" w:eastAsia="仿宋"/>
                <w:bCs/>
                <w:szCs w:val="21"/>
              </w:rPr>
            </w:pPr>
          </w:p>
        </w:tc>
        <w:tc>
          <w:tcPr>
            <w:tcW w:w="511" w:type="pct"/>
            <w:vMerge w:val="continue"/>
            <w:tcBorders>
              <w:bottom w:val="single" w:color="auto" w:sz="4" w:space="0"/>
            </w:tcBorders>
            <w:vAlign w:val="center"/>
          </w:tcPr>
          <w:p w14:paraId="577CE2F5">
            <w:pPr>
              <w:tabs>
                <w:tab w:val="center" w:pos="4156"/>
                <w:tab w:val="left" w:pos="6375"/>
              </w:tabs>
              <w:jc w:val="center"/>
              <w:rPr>
                <w:rFonts w:ascii="Times New Roman" w:eastAsia="仿宋"/>
                <w:bCs/>
                <w:szCs w:val="21"/>
              </w:rPr>
            </w:pPr>
          </w:p>
        </w:tc>
        <w:tc>
          <w:tcPr>
            <w:tcW w:w="877" w:type="pct"/>
            <w:tcBorders>
              <w:bottom w:val="single" w:color="auto" w:sz="4" w:space="0"/>
            </w:tcBorders>
            <w:vAlign w:val="center"/>
          </w:tcPr>
          <w:p w14:paraId="5E8994F4">
            <w:pPr>
              <w:tabs>
                <w:tab w:val="center" w:pos="4156"/>
                <w:tab w:val="left" w:pos="6375"/>
              </w:tabs>
              <w:jc w:val="center"/>
              <w:rPr>
                <w:rFonts w:ascii="Times New Roman" w:eastAsia="仿宋"/>
                <w:bCs/>
                <w:szCs w:val="21"/>
              </w:rPr>
            </w:pPr>
            <w:r>
              <w:rPr>
                <w:rFonts w:hint="eastAsia" w:ascii="Times New Roman" w:eastAsia="仿宋"/>
                <w:bCs/>
                <w:szCs w:val="21"/>
              </w:rPr>
              <w:t>有组织排放</w:t>
            </w:r>
          </w:p>
        </w:tc>
        <w:tc>
          <w:tcPr>
            <w:tcW w:w="694" w:type="pct"/>
            <w:tcBorders>
              <w:bottom w:val="single" w:color="auto" w:sz="4" w:space="0"/>
            </w:tcBorders>
            <w:vAlign w:val="center"/>
          </w:tcPr>
          <w:p w14:paraId="63BEB36E">
            <w:pPr>
              <w:tabs>
                <w:tab w:val="center" w:pos="4156"/>
                <w:tab w:val="left" w:pos="6375"/>
              </w:tabs>
              <w:jc w:val="center"/>
              <w:rPr>
                <w:rFonts w:ascii="Times New Roman" w:eastAsia="仿宋"/>
                <w:bCs/>
                <w:szCs w:val="21"/>
              </w:rPr>
            </w:pPr>
            <w:r>
              <w:rPr>
                <w:rFonts w:ascii="Times New Roman" w:eastAsia="仿宋"/>
                <w:bCs/>
                <w:szCs w:val="21"/>
              </w:rPr>
              <w:t>0.81</w:t>
            </w:r>
          </w:p>
        </w:tc>
      </w:tr>
      <w:tr w14:paraId="12FD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9" w:type="pct"/>
            <w:vMerge w:val="restart"/>
            <w:tcBorders>
              <w:bottom w:val="single" w:color="auto" w:sz="4" w:space="0"/>
            </w:tcBorders>
            <w:vAlign w:val="center"/>
          </w:tcPr>
          <w:p w14:paraId="213A5008">
            <w:pPr>
              <w:jc w:val="center"/>
              <w:rPr>
                <w:rFonts w:ascii="Times New Roman" w:eastAsia="仿宋"/>
                <w:szCs w:val="21"/>
              </w:rPr>
            </w:pPr>
            <w:r>
              <w:rPr>
                <w:rFonts w:hint="eastAsia" w:ascii="Times New Roman" w:eastAsia="仿宋"/>
                <w:szCs w:val="21"/>
              </w:rPr>
              <w:t>氟碳面漆</w:t>
            </w:r>
          </w:p>
        </w:tc>
        <w:tc>
          <w:tcPr>
            <w:tcW w:w="0" w:type="auto"/>
            <w:vMerge w:val="restart"/>
            <w:tcBorders>
              <w:bottom w:val="single" w:color="auto" w:sz="4" w:space="0"/>
            </w:tcBorders>
            <w:vAlign w:val="center"/>
          </w:tcPr>
          <w:p w14:paraId="706CA36E">
            <w:pPr>
              <w:tabs>
                <w:tab w:val="center" w:pos="4156"/>
                <w:tab w:val="left" w:pos="6375"/>
              </w:tabs>
              <w:jc w:val="center"/>
              <w:rPr>
                <w:rFonts w:ascii="Times New Roman" w:eastAsia="仿宋"/>
                <w:bCs/>
                <w:szCs w:val="21"/>
              </w:rPr>
            </w:pPr>
            <w:r>
              <w:rPr>
                <w:rFonts w:ascii="Times New Roman" w:eastAsia="仿宋"/>
                <w:bCs/>
                <w:szCs w:val="21"/>
              </w:rPr>
              <w:t>38.2</w:t>
            </w:r>
          </w:p>
        </w:tc>
        <w:tc>
          <w:tcPr>
            <w:tcW w:w="606" w:type="pct"/>
            <w:vMerge w:val="restart"/>
            <w:tcBorders>
              <w:bottom w:val="single" w:color="auto" w:sz="4" w:space="0"/>
            </w:tcBorders>
            <w:vAlign w:val="center"/>
          </w:tcPr>
          <w:p w14:paraId="5A7A08DF">
            <w:pPr>
              <w:tabs>
                <w:tab w:val="center" w:pos="4156"/>
                <w:tab w:val="left" w:pos="6375"/>
              </w:tabs>
              <w:jc w:val="center"/>
              <w:rPr>
                <w:rFonts w:ascii="Times New Roman" w:eastAsia="仿宋"/>
                <w:bCs/>
                <w:szCs w:val="21"/>
              </w:rPr>
            </w:pPr>
            <w:r>
              <w:rPr>
                <w:rFonts w:ascii="Times New Roman" w:eastAsia="仿宋"/>
                <w:bCs/>
                <w:szCs w:val="21"/>
              </w:rPr>
              <w:t>24</w:t>
            </w:r>
            <w:r>
              <w:rPr>
                <w:rFonts w:hint="eastAsia" w:ascii="Times New Roman" w:eastAsia="仿宋"/>
                <w:bCs/>
                <w:szCs w:val="21"/>
              </w:rPr>
              <w:t>.5</w:t>
            </w:r>
          </w:p>
        </w:tc>
        <w:tc>
          <w:tcPr>
            <w:tcW w:w="501" w:type="pct"/>
            <w:vMerge w:val="restart"/>
            <w:tcBorders>
              <w:bottom w:val="single" w:color="auto" w:sz="4" w:space="0"/>
            </w:tcBorders>
            <w:vAlign w:val="center"/>
          </w:tcPr>
          <w:p w14:paraId="41833EB5">
            <w:pPr>
              <w:jc w:val="center"/>
              <w:rPr>
                <w:rFonts w:ascii="Times New Roman" w:eastAsia="仿宋"/>
                <w:szCs w:val="21"/>
              </w:rPr>
            </w:pPr>
            <w:r>
              <w:rPr>
                <w:rFonts w:ascii="Times New Roman" w:eastAsia="仿宋"/>
                <w:szCs w:val="21"/>
              </w:rPr>
              <w:t>9.36</w:t>
            </w:r>
          </w:p>
        </w:tc>
        <w:tc>
          <w:tcPr>
            <w:tcW w:w="465" w:type="pct"/>
            <w:vMerge w:val="continue"/>
            <w:tcBorders>
              <w:bottom w:val="single" w:color="auto" w:sz="4" w:space="0"/>
            </w:tcBorders>
            <w:vAlign w:val="center"/>
          </w:tcPr>
          <w:p w14:paraId="61AD3667">
            <w:pPr>
              <w:tabs>
                <w:tab w:val="center" w:pos="4156"/>
                <w:tab w:val="left" w:pos="6375"/>
              </w:tabs>
              <w:jc w:val="center"/>
              <w:rPr>
                <w:rFonts w:ascii="Times New Roman" w:eastAsia="仿宋"/>
                <w:bCs/>
                <w:szCs w:val="21"/>
              </w:rPr>
            </w:pPr>
          </w:p>
        </w:tc>
        <w:tc>
          <w:tcPr>
            <w:tcW w:w="511" w:type="pct"/>
            <w:vMerge w:val="continue"/>
            <w:tcBorders>
              <w:bottom w:val="single" w:color="auto" w:sz="4" w:space="0"/>
            </w:tcBorders>
            <w:vAlign w:val="center"/>
          </w:tcPr>
          <w:p w14:paraId="31E80993">
            <w:pPr>
              <w:tabs>
                <w:tab w:val="center" w:pos="4156"/>
                <w:tab w:val="left" w:pos="6375"/>
              </w:tabs>
              <w:jc w:val="center"/>
              <w:rPr>
                <w:rFonts w:ascii="Times New Roman" w:eastAsia="仿宋"/>
                <w:bCs/>
                <w:szCs w:val="21"/>
              </w:rPr>
            </w:pPr>
          </w:p>
        </w:tc>
        <w:tc>
          <w:tcPr>
            <w:tcW w:w="877" w:type="pct"/>
            <w:tcBorders>
              <w:bottom w:val="single" w:color="auto" w:sz="4" w:space="0"/>
            </w:tcBorders>
            <w:vAlign w:val="center"/>
          </w:tcPr>
          <w:p w14:paraId="6A9F15D6">
            <w:pPr>
              <w:tabs>
                <w:tab w:val="center" w:pos="4156"/>
                <w:tab w:val="left" w:pos="6375"/>
              </w:tabs>
              <w:jc w:val="center"/>
              <w:rPr>
                <w:rFonts w:ascii="Times New Roman" w:eastAsia="仿宋"/>
                <w:bCs/>
                <w:szCs w:val="21"/>
              </w:rPr>
            </w:pPr>
            <w:r>
              <w:rPr>
                <w:rFonts w:hint="eastAsia" w:ascii="Times New Roman" w:eastAsia="仿宋"/>
                <w:bCs/>
                <w:szCs w:val="21"/>
              </w:rPr>
              <w:t>废气处理装置处理量</w:t>
            </w:r>
          </w:p>
        </w:tc>
        <w:tc>
          <w:tcPr>
            <w:tcW w:w="694" w:type="pct"/>
            <w:tcBorders>
              <w:bottom w:val="single" w:color="auto" w:sz="4" w:space="0"/>
            </w:tcBorders>
            <w:vAlign w:val="center"/>
          </w:tcPr>
          <w:p w14:paraId="1A4C24B5">
            <w:pPr>
              <w:tabs>
                <w:tab w:val="center" w:pos="4156"/>
                <w:tab w:val="left" w:pos="6375"/>
              </w:tabs>
              <w:jc w:val="center"/>
              <w:rPr>
                <w:rFonts w:ascii="Times New Roman" w:eastAsia="仿宋"/>
                <w:bCs/>
                <w:szCs w:val="21"/>
              </w:rPr>
            </w:pPr>
            <w:r>
              <w:rPr>
                <w:rFonts w:hint="eastAsia" w:ascii="Times New Roman" w:eastAsia="仿宋"/>
                <w:bCs/>
                <w:szCs w:val="21"/>
              </w:rPr>
              <w:t>15.462</w:t>
            </w:r>
          </w:p>
        </w:tc>
      </w:tr>
      <w:tr w14:paraId="7460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Merge w:val="continue"/>
            <w:vAlign w:val="center"/>
          </w:tcPr>
          <w:p w14:paraId="6FEE8622">
            <w:pPr>
              <w:jc w:val="center"/>
              <w:rPr>
                <w:rFonts w:ascii="Times New Roman" w:eastAsia="仿宋"/>
                <w:szCs w:val="21"/>
              </w:rPr>
            </w:pPr>
          </w:p>
        </w:tc>
        <w:tc>
          <w:tcPr>
            <w:tcW w:w="0" w:type="auto"/>
            <w:vMerge w:val="continue"/>
            <w:vAlign w:val="center"/>
          </w:tcPr>
          <w:p w14:paraId="14E4FAFB">
            <w:pPr>
              <w:tabs>
                <w:tab w:val="center" w:pos="4156"/>
                <w:tab w:val="left" w:pos="6375"/>
              </w:tabs>
              <w:jc w:val="center"/>
              <w:rPr>
                <w:rFonts w:ascii="Times New Roman" w:eastAsia="仿宋"/>
                <w:bCs/>
                <w:szCs w:val="21"/>
              </w:rPr>
            </w:pPr>
          </w:p>
        </w:tc>
        <w:tc>
          <w:tcPr>
            <w:tcW w:w="606" w:type="pct"/>
            <w:vMerge w:val="continue"/>
            <w:vAlign w:val="center"/>
          </w:tcPr>
          <w:p w14:paraId="10909151">
            <w:pPr>
              <w:tabs>
                <w:tab w:val="center" w:pos="4156"/>
                <w:tab w:val="left" w:pos="6375"/>
              </w:tabs>
              <w:jc w:val="center"/>
              <w:rPr>
                <w:rFonts w:ascii="Times New Roman" w:eastAsia="仿宋"/>
                <w:bCs/>
                <w:szCs w:val="21"/>
              </w:rPr>
            </w:pPr>
          </w:p>
        </w:tc>
        <w:tc>
          <w:tcPr>
            <w:tcW w:w="501" w:type="pct"/>
            <w:vMerge w:val="continue"/>
            <w:vAlign w:val="center"/>
          </w:tcPr>
          <w:p w14:paraId="2176FACF">
            <w:pPr>
              <w:jc w:val="center"/>
              <w:rPr>
                <w:rFonts w:ascii="Times New Roman" w:eastAsia="仿宋"/>
                <w:szCs w:val="21"/>
              </w:rPr>
            </w:pPr>
          </w:p>
        </w:tc>
        <w:tc>
          <w:tcPr>
            <w:tcW w:w="465" w:type="pct"/>
            <w:vAlign w:val="center"/>
          </w:tcPr>
          <w:p w14:paraId="78A420E2">
            <w:pPr>
              <w:tabs>
                <w:tab w:val="center" w:pos="4156"/>
                <w:tab w:val="left" w:pos="6375"/>
              </w:tabs>
              <w:jc w:val="center"/>
              <w:rPr>
                <w:rFonts w:ascii="Times New Roman" w:eastAsia="仿宋"/>
                <w:bCs/>
                <w:szCs w:val="21"/>
              </w:rPr>
            </w:pPr>
            <w:r>
              <w:rPr>
                <w:rFonts w:hint="eastAsia" w:ascii="Times New Roman" w:eastAsia="仿宋"/>
                <w:bCs/>
                <w:szCs w:val="21"/>
              </w:rPr>
              <w:t>固废</w:t>
            </w:r>
          </w:p>
        </w:tc>
        <w:tc>
          <w:tcPr>
            <w:tcW w:w="511" w:type="pct"/>
            <w:vAlign w:val="center"/>
          </w:tcPr>
          <w:p w14:paraId="094C0ABB">
            <w:pPr>
              <w:tabs>
                <w:tab w:val="center" w:pos="4156"/>
                <w:tab w:val="left" w:pos="6375"/>
              </w:tabs>
              <w:jc w:val="center"/>
              <w:rPr>
                <w:rFonts w:ascii="Times New Roman" w:eastAsia="仿宋"/>
                <w:bCs/>
                <w:szCs w:val="21"/>
              </w:rPr>
            </w:pPr>
            <w:r>
              <w:rPr>
                <w:rFonts w:ascii="Times New Roman" w:eastAsia="仿宋"/>
                <w:bCs/>
                <w:szCs w:val="21"/>
              </w:rPr>
              <w:t>0.09</w:t>
            </w:r>
          </w:p>
        </w:tc>
        <w:tc>
          <w:tcPr>
            <w:tcW w:w="877" w:type="pct"/>
            <w:vAlign w:val="center"/>
          </w:tcPr>
          <w:p w14:paraId="1D1CEACA">
            <w:pPr>
              <w:tabs>
                <w:tab w:val="center" w:pos="4156"/>
                <w:tab w:val="left" w:pos="6375"/>
              </w:tabs>
              <w:jc w:val="center"/>
              <w:rPr>
                <w:rFonts w:ascii="Times New Roman" w:eastAsia="仿宋"/>
                <w:bCs/>
                <w:szCs w:val="21"/>
              </w:rPr>
            </w:pPr>
            <w:r>
              <w:rPr>
                <w:rFonts w:hint="eastAsia" w:ascii="Times New Roman" w:eastAsia="仿宋"/>
                <w:bCs/>
                <w:szCs w:val="21"/>
              </w:rPr>
              <w:t>废有机溶剂</w:t>
            </w:r>
          </w:p>
        </w:tc>
        <w:tc>
          <w:tcPr>
            <w:tcW w:w="694" w:type="pct"/>
            <w:vAlign w:val="center"/>
          </w:tcPr>
          <w:p w14:paraId="0FF962B4">
            <w:pPr>
              <w:tabs>
                <w:tab w:val="center" w:pos="4156"/>
                <w:tab w:val="left" w:pos="6375"/>
              </w:tabs>
              <w:jc w:val="center"/>
              <w:rPr>
                <w:rFonts w:ascii="Times New Roman" w:eastAsia="仿宋"/>
                <w:bCs/>
                <w:szCs w:val="21"/>
              </w:rPr>
            </w:pPr>
            <w:r>
              <w:rPr>
                <w:rFonts w:hint="eastAsia" w:ascii="Times New Roman" w:eastAsia="仿宋"/>
                <w:bCs/>
                <w:szCs w:val="21"/>
              </w:rPr>
              <w:t>0.09</w:t>
            </w:r>
          </w:p>
        </w:tc>
      </w:tr>
    </w:tbl>
    <w:p w14:paraId="3B6ABBB2">
      <w:pPr>
        <w:tabs>
          <w:tab w:val="center" w:pos="4156"/>
          <w:tab w:val="left" w:pos="6375"/>
        </w:tabs>
        <w:spacing w:line="500" w:lineRule="exact"/>
        <w:jc w:val="center"/>
        <w:rPr>
          <w:rFonts w:ascii="Times New Roman" w:eastAsia="仿宋"/>
          <w:b/>
          <w:bCs/>
        </w:rPr>
      </w:pPr>
      <w:r>
        <w:rPr>
          <w:rFonts w:ascii="Times New Roman" w:eastAsia="仿宋"/>
          <w:b/>
          <w:bCs/>
        </w:rPr>
        <w:t>表3.2-</w:t>
      </w:r>
      <w:r>
        <w:rPr>
          <w:rFonts w:hint="eastAsia" w:ascii="Times New Roman" w:eastAsia="仿宋"/>
          <w:b/>
          <w:bCs/>
        </w:rPr>
        <w:t>2</w:t>
      </w:r>
      <w:r>
        <w:rPr>
          <w:rFonts w:ascii="Times New Roman" w:eastAsia="仿宋"/>
          <w:b/>
          <w:bCs/>
        </w:rPr>
        <w:t xml:space="preserve">  </w:t>
      </w:r>
      <w:r>
        <w:rPr>
          <w:rFonts w:hint="eastAsia" w:ascii="Times New Roman" w:eastAsia="仿宋"/>
          <w:b/>
          <w:bCs/>
        </w:rPr>
        <w:t>喷漆线VOCs</w:t>
      </w:r>
      <w:r>
        <w:rPr>
          <w:rFonts w:ascii="Times New Roman" w:eastAsia="仿宋"/>
          <w:b/>
          <w:bCs/>
        </w:rPr>
        <w:t>平衡表  单位：t/a</w:t>
      </w:r>
    </w:p>
    <w:tbl>
      <w:tblPr>
        <w:tblStyle w:val="87"/>
        <w:tblW w:w="5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901"/>
        <w:gridCol w:w="1099"/>
        <w:gridCol w:w="908"/>
        <w:gridCol w:w="843"/>
        <w:gridCol w:w="927"/>
        <w:gridCol w:w="1590"/>
        <w:gridCol w:w="1259"/>
      </w:tblGrid>
      <w:tr w14:paraId="4C13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Merge w:val="restart"/>
            <w:vAlign w:val="center"/>
          </w:tcPr>
          <w:p w14:paraId="3A71E03F">
            <w:pPr>
              <w:jc w:val="center"/>
              <w:rPr>
                <w:rFonts w:ascii="Times New Roman" w:eastAsia="仿宋"/>
                <w:bCs/>
                <w:szCs w:val="21"/>
              </w:rPr>
            </w:pPr>
            <w:r>
              <w:rPr>
                <w:rFonts w:ascii="Times New Roman" w:eastAsia="仿宋"/>
                <w:bCs/>
                <w:szCs w:val="21"/>
              </w:rPr>
              <w:t>来源</w:t>
            </w:r>
          </w:p>
        </w:tc>
        <w:tc>
          <w:tcPr>
            <w:tcW w:w="0" w:type="auto"/>
            <w:gridSpan w:val="3"/>
            <w:vAlign w:val="center"/>
          </w:tcPr>
          <w:p w14:paraId="4201C0F1">
            <w:pPr>
              <w:jc w:val="center"/>
              <w:rPr>
                <w:rFonts w:ascii="Times New Roman" w:eastAsia="仿宋"/>
                <w:szCs w:val="21"/>
              </w:rPr>
            </w:pPr>
            <w:r>
              <w:rPr>
                <w:rFonts w:ascii="Times New Roman" w:eastAsia="仿宋"/>
                <w:bCs/>
                <w:szCs w:val="21"/>
              </w:rPr>
              <w:t>投入</w:t>
            </w:r>
          </w:p>
        </w:tc>
        <w:tc>
          <w:tcPr>
            <w:tcW w:w="2547" w:type="pct"/>
            <w:gridSpan w:val="4"/>
            <w:vAlign w:val="center"/>
          </w:tcPr>
          <w:p w14:paraId="1BA3C4FD">
            <w:pPr>
              <w:tabs>
                <w:tab w:val="center" w:pos="4156"/>
                <w:tab w:val="left" w:pos="6375"/>
              </w:tabs>
              <w:jc w:val="center"/>
              <w:rPr>
                <w:rFonts w:ascii="Times New Roman" w:eastAsia="仿宋"/>
                <w:bCs/>
                <w:szCs w:val="21"/>
              </w:rPr>
            </w:pPr>
            <w:r>
              <w:rPr>
                <w:rFonts w:ascii="Times New Roman" w:eastAsia="仿宋"/>
                <w:bCs/>
                <w:szCs w:val="21"/>
              </w:rPr>
              <w:t>输出</w:t>
            </w:r>
          </w:p>
        </w:tc>
      </w:tr>
      <w:tr w14:paraId="1F0E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Merge w:val="continue"/>
            <w:vAlign w:val="center"/>
          </w:tcPr>
          <w:p w14:paraId="13DB67BB">
            <w:pPr>
              <w:jc w:val="center"/>
              <w:rPr>
                <w:rFonts w:ascii="Times New Roman" w:eastAsia="仿宋"/>
                <w:szCs w:val="21"/>
              </w:rPr>
            </w:pPr>
          </w:p>
        </w:tc>
        <w:tc>
          <w:tcPr>
            <w:tcW w:w="0" w:type="auto"/>
            <w:vAlign w:val="center"/>
          </w:tcPr>
          <w:p w14:paraId="37F50812">
            <w:pPr>
              <w:jc w:val="center"/>
              <w:rPr>
                <w:rFonts w:ascii="Times New Roman" w:eastAsia="仿宋"/>
                <w:szCs w:val="21"/>
              </w:rPr>
            </w:pPr>
            <w:r>
              <w:rPr>
                <w:rFonts w:ascii="Times New Roman" w:eastAsia="仿宋"/>
                <w:szCs w:val="21"/>
              </w:rPr>
              <w:t>用量</w:t>
            </w:r>
          </w:p>
        </w:tc>
        <w:tc>
          <w:tcPr>
            <w:tcW w:w="606" w:type="pct"/>
            <w:vAlign w:val="center"/>
          </w:tcPr>
          <w:p w14:paraId="61C207E9">
            <w:pPr>
              <w:jc w:val="center"/>
              <w:rPr>
                <w:rFonts w:ascii="Times New Roman" w:eastAsia="仿宋"/>
                <w:szCs w:val="21"/>
              </w:rPr>
            </w:pPr>
            <w:r>
              <w:rPr>
                <w:rFonts w:ascii="Times New Roman" w:eastAsia="仿宋"/>
                <w:szCs w:val="21"/>
              </w:rPr>
              <w:t>含量(%)</w:t>
            </w:r>
          </w:p>
        </w:tc>
        <w:tc>
          <w:tcPr>
            <w:tcW w:w="501" w:type="pct"/>
            <w:vAlign w:val="center"/>
          </w:tcPr>
          <w:p w14:paraId="0CBB9596">
            <w:pPr>
              <w:jc w:val="center"/>
              <w:rPr>
                <w:rFonts w:ascii="Times New Roman" w:eastAsia="仿宋"/>
                <w:szCs w:val="21"/>
              </w:rPr>
            </w:pPr>
            <w:r>
              <w:rPr>
                <w:rFonts w:ascii="Times New Roman" w:eastAsia="仿宋"/>
                <w:szCs w:val="21"/>
              </w:rPr>
              <w:t>含量</w:t>
            </w:r>
          </w:p>
        </w:tc>
        <w:tc>
          <w:tcPr>
            <w:tcW w:w="0" w:type="auto"/>
            <w:vAlign w:val="center"/>
          </w:tcPr>
          <w:p w14:paraId="29B3EBE2">
            <w:pPr>
              <w:tabs>
                <w:tab w:val="center" w:pos="4156"/>
                <w:tab w:val="left" w:pos="6375"/>
              </w:tabs>
              <w:jc w:val="center"/>
              <w:rPr>
                <w:rFonts w:ascii="Times New Roman" w:eastAsia="仿宋"/>
                <w:bCs/>
                <w:szCs w:val="21"/>
              </w:rPr>
            </w:pPr>
            <w:r>
              <w:rPr>
                <w:rFonts w:ascii="Times New Roman" w:eastAsia="仿宋"/>
                <w:bCs/>
                <w:szCs w:val="21"/>
              </w:rPr>
              <w:t>去向</w:t>
            </w:r>
          </w:p>
        </w:tc>
        <w:tc>
          <w:tcPr>
            <w:tcW w:w="2082" w:type="pct"/>
            <w:gridSpan w:val="3"/>
            <w:vAlign w:val="center"/>
          </w:tcPr>
          <w:p w14:paraId="75B3669B">
            <w:pPr>
              <w:tabs>
                <w:tab w:val="center" w:pos="4156"/>
                <w:tab w:val="left" w:pos="6375"/>
              </w:tabs>
              <w:jc w:val="center"/>
              <w:rPr>
                <w:rFonts w:ascii="Times New Roman" w:eastAsia="仿宋"/>
                <w:bCs/>
                <w:szCs w:val="21"/>
              </w:rPr>
            </w:pPr>
            <w:r>
              <w:rPr>
                <w:rFonts w:ascii="Times New Roman" w:eastAsia="仿宋"/>
                <w:szCs w:val="21"/>
              </w:rPr>
              <w:t>含量</w:t>
            </w:r>
          </w:p>
        </w:tc>
      </w:tr>
      <w:tr w14:paraId="230A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49" w:type="pct"/>
            <w:vMerge w:val="restart"/>
            <w:vAlign w:val="center"/>
          </w:tcPr>
          <w:p w14:paraId="16E2878F">
            <w:pPr>
              <w:tabs>
                <w:tab w:val="center" w:pos="4156"/>
                <w:tab w:val="left" w:pos="6375"/>
              </w:tabs>
              <w:jc w:val="center"/>
              <w:rPr>
                <w:rFonts w:ascii="Times New Roman" w:eastAsia="仿宋"/>
                <w:szCs w:val="21"/>
              </w:rPr>
            </w:pPr>
            <w:r>
              <w:rPr>
                <w:rFonts w:hint="eastAsia" w:ascii="Times New Roman" w:eastAsia="仿宋"/>
                <w:bCs/>
                <w:szCs w:val="21"/>
              </w:rPr>
              <w:t>氟碳底漆</w:t>
            </w:r>
          </w:p>
        </w:tc>
        <w:tc>
          <w:tcPr>
            <w:tcW w:w="0" w:type="auto"/>
            <w:vMerge w:val="restart"/>
            <w:vAlign w:val="center"/>
          </w:tcPr>
          <w:p w14:paraId="4CA5F1AB">
            <w:pPr>
              <w:tabs>
                <w:tab w:val="center" w:pos="4156"/>
                <w:tab w:val="left" w:pos="6375"/>
              </w:tabs>
              <w:jc w:val="center"/>
              <w:rPr>
                <w:rFonts w:ascii="Times New Roman" w:eastAsia="仿宋"/>
                <w:szCs w:val="21"/>
              </w:rPr>
            </w:pPr>
            <w:r>
              <w:rPr>
                <w:rFonts w:ascii="Times New Roman" w:eastAsia="仿宋"/>
                <w:bCs/>
                <w:szCs w:val="21"/>
              </w:rPr>
              <w:t>22.875</w:t>
            </w:r>
          </w:p>
        </w:tc>
        <w:tc>
          <w:tcPr>
            <w:tcW w:w="606" w:type="pct"/>
            <w:vMerge w:val="restart"/>
            <w:vAlign w:val="center"/>
          </w:tcPr>
          <w:p w14:paraId="12842577">
            <w:pPr>
              <w:tabs>
                <w:tab w:val="center" w:pos="4156"/>
                <w:tab w:val="left" w:pos="6375"/>
              </w:tabs>
              <w:jc w:val="center"/>
              <w:rPr>
                <w:rFonts w:ascii="Times New Roman" w:eastAsia="仿宋"/>
                <w:szCs w:val="21"/>
              </w:rPr>
            </w:pPr>
            <w:r>
              <w:rPr>
                <w:rFonts w:hint="eastAsia" w:ascii="Times New Roman" w:eastAsia="仿宋"/>
                <w:bCs/>
                <w:szCs w:val="21"/>
              </w:rPr>
              <w:t>47</w:t>
            </w:r>
          </w:p>
        </w:tc>
        <w:tc>
          <w:tcPr>
            <w:tcW w:w="501" w:type="pct"/>
            <w:vMerge w:val="restart"/>
            <w:vAlign w:val="center"/>
          </w:tcPr>
          <w:p w14:paraId="43A4985B">
            <w:pPr>
              <w:jc w:val="center"/>
              <w:rPr>
                <w:rFonts w:ascii="Times New Roman" w:eastAsia="仿宋"/>
                <w:szCs w:val="21"/>
              </w:rPr>
            </w:pPr>
            <w:r>
              <w:rPr>
                <w:rFonts w:ascii="Times New Roman" w:eastAsia="仿宋"/>
                <w:szCs w:val="21"/>
              </w:rPr>
              <w:t>10.75</w:t>
            </w:r>
          </w:p>
        </w:tc>
        <w:tc>
          <w:tcPr>
            <w:tcW w:w="0" w:type="auto"/>
            <w:vMerge w:val="restart"/>
            <w:vAlign w:val="center"/>
          </w:tcPr>
          <w:p w14:paraId="4C21AAF5">
            <w:pPr>
              <w:tabs>
                <w:tab w:val="center" w:pos="4156"/>
                <w:tab w:val="left" w:pos="6375"/>
              </w:tabs>
              <w:jc w:val="center"/>
              <w:rPr>
                <w:rFonts w:ascii="Times New Roman" w:eastAsia="仿宋"/>
                <w:bCs/>
                <w:szCs w:val="21"/>
              </w:rPr>
            </w:pPr>
            <w:r>
              <w:rPr>
                <w:rFonts w:ascii="Times New Roman" w:eastAsia="仿宋"/>
                <w:bCs/>
                <w:szCs w:val="21"/>
              </w:rPr>
              <w:t>废气</w:t>
            </w:r>
          </w:p>
        </w:tc>
        <w:tc>
          <w:tcPr>
            <w:tcW w:w="511" w:type="pct"/>
            <w:vMerge w:val="restart"/>
            <w:vAlign w:val="center"/>
          </w:tcPr>
          <w:p w14:paraId="64D8B989">
            <w:pPr>
              <w:tabs>
                <w:tab w:val="center" w:pos="4156"/>
                <w:tab w:val="left" w:pos="6375"/>
              </w:tabs>
              <w:jc w:val="center"/>
              <w:rPr>
                <w:rFonts w:ascii="Times New Roman" w:eastAsia="仿宋"/>
                <w:szCs w:val="21"/>
              </w:rPr>
            </w:pPr>
            <w:r>
              <w:rPr>
                <w:rFonts w:ascii="Times New Roman" w:eastAsia="仿宋"/>
                <w:szCs w:val="21"/>
              </w:rPr>
              <w:t>64.952</w:t>
            </w:r>
          </w:p>
        </w:tc>
        <w:tc>
          <w:tcPr>
            <w:tcW w:w="877" w:type="pct"/>
            <w:vAlign w:val="center"/>
          </w:tcPr>
          <w:p w14:paraId="5293DE67">
            <w:pPr>
              <w:tabs>
                <w:tab w:val="center" w:pos="4156"/>
                <w:tab w:val="left" w:pos="6375"/>
              </w:tabs>
              <w:jc w:val="center"/>
              <w:rPr>
                <w:rFonts w:ascii="Times New Roman" w:eastAsia="仿宋"/>
                <w:bCs/>
                <w:szCs w:val="21"/>
              </w:rPr>
            </w:pPr>
            <w:r>
              <w:rPr>
                <w:rFonts w:hint="eastAsia" w:ascii="Times New Roman" w:eastAsia="仿宋"/>
                <w:bCs/>
                <w:szCs w:val="21"/>
              </w:rPr>
              <w:t>无组织排放</w:t>
            </w:r>
          </w:p>
        </w:tc>
        <w:tc>
          <w:tcPr>
            <w:tcW w:w="694" w:type="pct"/>
            <w:vAlign w:val="center"/>
          </w:tcPr>
          <w:p w14:paraId="09353096">
            <w:pPr>
              <w:tabs>
                <w:tab w:val="center" w:pos="4156"/>
                <w:tab w:val="left" w:pos="6375"/>
              </w:tabs>
              <w:jc w:val="center"/>
              <w:rPr>
                <w:rFonts w:ascii="Times New Roman" w:eastAsia="仿宋"/>
                <w:bCs/>
                <w:szCs w:val="21"/>
              </w:rPr>
            </w:pPr>
            <w:r>
              <w:rPr>
                <w:rFonts w:hint="eastAsia" w:ascii="Times New Roman" w:eastAsia="仿宋"/>
                <w:bCs/>
                <w:szCs w:val="21"/>
              </w:rPr>
              <w:t>0.328</w:t>
            </w:r>
          </w:p>
        </w:tc>
      </w:tr>
      <w:tr w14:paraId="0BA6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49" w:type="pct"/>
            <w:vMerge w:val="continue"/>
            <w:vAlign w:val="center"/>
          </w:tcPr>
          <w:p w14:paraId="412E8C02">
            <w:pPr>
              <w:tabs>
                <w:tab w:val="center" w:pos="4156"/>
                <w:tab w:val="left" w:pos="6375"/>
              </w:tabs>
              <w:jc w:val="center"/>
              <w:rPr>
                <w:rFonts w:ascii="Times New Roman" w:eastAsia="仿宋"/>
                <w:bCs/>
                <w:szCs w:val="21"/>
              </w:rPr>
            </w:pPr>
          </w:p>
        </w:tc>
        <w:tc>
          <w:tcPr>
            <w:tcW w:w="0" w:type="auto"/>
            <w:vMerge w:val="continue"/>
            <w:vAlign w:val="center"/>
          </w:tcPr>
          <w:p w14:paraId="634E2B86">
            <w:pPr>
              <w:tabs>
                <w:tab w:val="center" w:pos="4156"/>
                <w:tab w:val="left" w:pos="6375"/>
              </w:tabs>
              <w:jc w:val="center"/>
              <w:rPr>
                <w:rFonts w:ascii="Times New Roman" w:eastAsia="仿宋"/>
                <w:bCs/>
                <w:szCs w:val="21"/>
              </w:rPr>
            </w:pPr>
          </w:p>
        </w:tc>
        <w:tc>
          <w:tcPr>
            <w:tcW w:w="606" w:type="pct"/>
            <w:vMerge w:val="continue"/>
            <w:vAlign w:val="center"/>
          </w:tcPr>
          <w:p w14:paraId="6BB49A66">
            <w:pPr>
              <w:tabs>
                <w:tab w:val="center" w:pos="4156"/>
                <w:tab w:val="left" w:pos="6375"/>
              </w:tabs>
              <w:jc w:val="center"/>
              <w:rPr>
                <w:rFonts w:ascii="Times New Roman" w:eastAsia="仿宋"/>
                <w:bCs/>
                <w:szCs w:val="21"/>
              </w:rPr>
            </w:pPr>
          </w:p>
        </w:tc>
        <w:tc>
          <w:tcPr>
            <w:tcW w:w="501" w:type="pct"/>
            <w:vMerge w:val="continue"/>
            <w:vAlign w:val="center"/>
          </w:tcPr>
          <w:p w14:paraId="43FE2F3C">
            <w:pPr>
              <w:jc w:val="center"/>
              <w:rPr>
                <w:rFonts w:ascii="Times New Roman" w:eastAsia="仿宋"/>
                <w:szCs w:val="21"/>
              </w:rPr>
            </w:pPr>
          </w:p>
        </w:tc>
        <w:tc>
          <w:tcPr>
            <w:tcW w:w="465" w:type="pct"/>
            <w:vMerge w:val="continue"/>
            <w:vAlign w:val="center"/>
          </w:tcPr>
          <w:p w14:paraId="6573A16D">
            <w:pPr>
              <w:tabs>
                <w:tab w:val="center" w:pos="4156"/>
                <w:tab w:val="left" w:pos="6375"/>
              </w:tabs>
              <w:jc w:val="center"/>
              <w:rPr>
                <w:rFonts w:ascii="Times New Roman" w:eastAsia="仿宋"/>
                <w:bCs/>
                <w:szCs w:val="21"/>
              </w:rPr>
            </w:pPr>
          </w:p>
        </w:tc>
        <w:tc>
          <w:tcPr>
            <w:tcW w:w="511" w:type="pct"/>
            <w:vMerge w:val="continue"/>
            <w:vAlign w:val="center"/>
          </w:tcPr>
          <w:p w14:paraId="4A1C53A3">
            <w:pPr>
              <w:tabs>
                <w:tab w:val="center" w:pos="4156"/>
                <w:tab w:val="left" w:pos="6375"/>
              </w:tabs>
              <w:jc w:val="center"/>
              <w:rPr>
                <w:rFonts w:ascii="Times New Roman" w:eastAsia="仿宋"/>
                <w:bCs/>
                <w:szCs w:val="21"/>
              </w:rPr>
            </w:pPr>
          </w:p>
        </w:tc>
        <w:tc>
          <w:tcPr>
            <w:tcW w:w="877" w:type="pct"/>
            <w:vMerge w:val="restart"/>
            <w:vAlign w:val="center"/>
          </w:tcPr>
          <w:p w14:paraId="68BB10A9">
            <w:pPr>
              <w:tabs>
                <w:tab w:val="center" w:pos="4156"/>
                <w:tab w:val="left" w:pos="6375"/>
              </w:tabs>
              <w:jc w:val="center"/>
              <w:rPr>
                <w:rFonts w:ascii="Times New Roman" w:eastAsia="仿宋"/>
                <w:bCs/>
                <w:szCs w:val="21"/>
              </w:rPr>
            </w:pPr>
            <w:r>
              <w:rPr>
                <w:rFonts w:hint="eastAsia" w:ascii="Times New Roman" w:eastAsia="仿宋"/>
                <w:bCs/>
                <w:szCs w:val="21"/>
              </w:rPr>
              <w:t>有组织排放</w:t>
            </w:r>
          </w:p>
        </w:tc>
        <w:tc>
          <w:tcPr>
            <w:tcW w:w="694" w:type="pct"/>
            <w:vMerge w:val="restart"/>
            <w:vAlign w:val="center"/>
          </w:tcPr>
          <w:p w14:paraId="4D3B46EE">
            <w:pPr>
              <w:tabs>
                <w:tab w:val="center" w:pos="4156"/>
                <w:tab w:val="left" w:pos="6375"/>
              </w:tabs>
              <w:jc w:val="center"/>
              <w:rPr>
                <w:rFonts w:ascii="Times New Roman" w:eastAsia="仿宋"/>
                <w:bCs/>
                <w:szCs w:val="21"/>
              </w:rPr>
            </w:pPr>
            <w:r>
              <w:rPr>
                <w:rFonts w:hint="eastAsia" w:ascii="Times New Roman" w:eastAsia="仿宋"/>
                <w:bCs/>
                <w:szCs w:val="21"/>
              </w:rPr>
              <w:t>3.22</w:t>
            </w:r>
          </w:p>
        </w:tc>
      </w:tr>
      <w:tr w14:paraId="0400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Align w:val="center"/>
          </w:tcPr>
          <w:p w14:paraId="7D8D0D24">
            <w:pPr>
              <w:tabs>
                <w:tab w:val="center" w:pos="4156"/>
                <w:tab w:val="left" w:pos="6375"/>
              </w:tabs>
              <w:jc w:val="center"/>
              <w:rPr>
                <w:rFonts w:ascii="Times New Roman" w:eastAsia="仿宋"/>
                <w:bCs/>
                <w:szCs w:val="21"/>
              </w:rPr>
            </w:pPr>
            <w:r>
              <w:rPr>
                <w:rFonts w:hint="eastAsia" w:ascii="Times New Roman" w:eastAsia="仿宋"/>
                <w:bCs/>
                <w:szCs w:val="21"/>
              </w:rPr>
              <w:t>稀释剂（底漆调配）</w:t>
            </w:r>
          </w:p>
        </w:tc>
        <w:tc>
          <w:tcPr>
            <w:tcW w:w="0" w:type="auto"/>
            <w:vAlign w:val="center"/>
          </w:tcPr>
          <w:p w14:paraId="61BEC1CD">
            <w:pPr>
              <w:tabs>
                <w:tab w:val="center" w:pos="4156"/>
                <w:tab w:val="left" w:pos="6375"/>
              </w:tabs>
              <w:jc w:val="center"/>
              <w:rPr>
                <w:rFonts w:ascii="Times New Roman" w:eastAsia="仿宋"/>
                <w:bCs/>
                <w:szCs w:val="21"/>
              </w:rPr>
            </w:pPr>
            <w:r>
              <w:rPr>
                <w:rFonts w:hint="eastAsia" w:ascii="Times New Roman" w:eastAsia="仿宋"/>
                <w:bCs/>
                <w:szCs w:val="21"/>
              </w:rPr>
              <w:t>1</w:t>
            </w:r>
            <w:r>
              <w:rPr>
                <w:rFonts w:ascii="Times New Roman" w:eastAsia="仿宋"/>
                <w:bCs/>
                <w:szCs w:val="21"/>
              </w:rPr>
              <w:t>3.725</w:t>
            </w:r>
          </w:p>
        </w:tc>
        <w:tc>
          <w:tcPr>
            <w:tcW w:w="606" w:type="pct"/>
            <w:vAlign w:val="center"/>
          </w:tcPr>
          <w:p w14:paraId="5315AD1B">
            <w:pPr>
              <w:tabs>
                <w:tab w:val="center" w:pos="4156"/>
                <w:tab w:val="left" w:pos="6375"/>
              </w:tabs>
              <w:jc w:val="center"/>
              <w:rPr>
                <w:rFonts w:ascii="Times New Roman" w:eastAsia="仿宋"/>
                <w:bCs/>
                <w:szCs w:val="21"/>
              </w:rPr>
            </w:pPr>
            <w:r>
              <w:rPr>
                <w:rFonts w:hint="eastAsia" w:ascii="Times New Roman" w:eastAsia="仿宋"/>
                <w:bCs/>
                <w:szCs w:val="21"/>
              </w:rPr>
              <w:t>100</w:t>
            </w:r>
          </w:p>
        </w:tc>
        <w:tc>
          <w:tcPr>
            <w:tcW w:w="501" w:type="pct"/>
            <w:vAlign w:val="center"/>
          </w:tcPr>
          <w:p w14:paraId="78D608A8">
            <w:pPr>
              <w:jc w:val="center"/>
              <w:rPr>
                <w:rFonts w:ascii="Times New Roman" w:eastAsia="仿宋"/>
                <w:szCs w:val="21"/>
              </w:rPr>
            </w:pPr>
            <w:r>
              <w:rPr>
                <w:rFonts w:hint="eastAsia" w:ascii="Times New Roman" w:eastAsia="仿宋"/>
                <w:szCs w:val="21"/>
              </w:rPr>
              <w:t>1</w:t>
            </w:r>
            <w:r>
              <w:rPr>
                <w:rFonts w:ascii="Times New Roman" w:eastAsia="仿宋"/>
                <w:szCs w:val="21"/>
              </w:rPr>
              <w:t>3.725</w:t>
            </w:r>
          </w:p>
        </w:tc>
        <w:tc>
          <w:tcPr>
            <w:tcW w:w="465" w:type="pct"/>
            <w:vMerge w:val="continue"/>
            <w:vAlign w:val="center"/>
          </w:tcPr>
          <w:p w14:paraId="0B46B6FD">
            <w:pPr>
              <w:tabs>
                <w:tab w:val="center" w:pos="4156"/>
                <w:tab w:val="left" w:pos="6375"/>
              </w:tabs>
              <w:jc w:val="center"/>
              <w:rPr>
                <w:rFonts w:ascii="Times New Roman" w:eastAsia="仿宋"/>
                <w:bCs/>
                <w:szCs w:val="21"/>
              </w:rPr>
            </w:pPr>
          </w:p>
        </w:tc>
        <w:tc>
          <w:tcPr>
            <w:tcW w:w="511" w:type="pct"/>
            <w:vMerge w:val="continue"/>
            <w:vAlign w:val="center"/>
          </w:tcPr>
          <w:p w14:paraId="0757764A">
            <w:pPr>
              <w:tabs>
                <w:tab w:val="center" w:pos="4156"/>
                <w:tab w:val="left" w:pos="6375"/>
              </w:tabs>
              <w:jc w:val="center"/>
              <w:rPr>
                <w:rFonts w:ascii="Times New Roman" w:eastAsia="仿宋"/>
                <w:bCs/>
                <w:szCs w:val="21"/>
              </w:rPr>
            </w:pPr>
          </w:p>
        </w:tc>
        <w:tc>
          <w:tcPr>
            <w:tcW w:w="877" w:type="pct"/>
            <w:vMerge w:val="continue"/>
            <w:vAlign w:val="center"/>
          </w:tcPr>
          <w:p w14:paraId="493B4816">
            <w:pPr>
              <w:tabs>
                <w:tab w:val="center" w:pos="4156"/>
                <w:tab w:val="left" w:pos="6375"/>
              </w:tabs>
              <w:jc w:val="center"/>
              <w:rPr>
                <w:rFonts w:ascii="Times New Roman" w:eastAsia="仿宋"/>
                <w:bCs/>
                <w:szCs w:val="21"/>
              </w:rPr>
            </w:pPr>
          </w:p>
        </w:tc>
        <w:tc>
          <w:tcPr>
            <w:tcW w:w="694" w:type="pct"/>
            <w:vMerge w:val="continue"/>
            <w:vAlign w:val="center"/>
          </w:tcPr>
          <w:p w14:paraId="444DBB56">
            <w:pPr>
              <w:tabs>
                <w:tab w:val="center" w:pos="4156"/>
                <w:tab w:val="left" w:pos="6375"/>
              </w:tabs>
              <w:jc w:val="center"/>
              <w:rPr>
                <w:rFonts w:ascii="Times New Roman" w:eastAsia="仿宋"/>
                <w:bCs/>
                <w:szCs w:val="21"/>
              </w:rPr>
            </w:pPr>
          </w:p>
        </w:tc>
      </w:tr>
      <w:tr w14:paraId="61C0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Align w:val="center"/>
          </w:tcPr>
          <w:p w14:paraId="5334DBC3">
            <w:pPr>
              <w:jc w:val="center"/>
              <w:rPr>
                <w:rFonts w:ascii="Times New Roman" w:eastAsia="仿宋"/>
                <w:szCs w:val="21"/>
              </w:rPr>
            </w:pPr>
            <w:r>
              <w:rPr>
                <w:rFonts w:hint="eastAsia" w:ascii="Times New Roman" w:eastAsia="仿宋"/>
                <w:szCs w:val="21"/>
              </w:rPr>
              <w:t>氟碳面漆</w:t>
            </w:r>
          </w:p>
        </w:tc>
        <w:tc>
          <w:tcPr>
            <w:tcW w:w="0" w:type="auto"/>
            <w:vAlign w:val="center"/>
          </w:tcPr>
          <w:p w14:paraId="78A1BC2B">
            <w:pPr>
              <w:tabs>
                <w:tab w:val="center" w:pos="4156"/>
                <w:tab w:val="left" w:pos="6375"/>
              </w:tabs>
              <w:jc w:val="center"/>
              <w:rPr>
                <w:rFonts w:ascii="Times New Roman" w:eastAsia="仿宋"/>
                <w:bCs/>
                <w:szCs w:val="21"/>
              </w:rPr>
            </w:pPr>
            <w:r>
              <w:rPr>
                <w:rFonts w:ascii="Times New Roman" w:eastAsia="仿宋"/>
                <w:bCs/>
                <w:szCs w:val="21"/>
              </w:rPr>
              <w:t>38.2</w:t>
            </w:r>
          </w:p>
        </w:tc>
        <w:tc>
          <w:tcPr>
            <w:tcW w:w="606" w:type="pct"/>
            <w:vAlign w:val="center"/>
          </w:tcPr>
          <w:p w14:paraId="74EDFDDA">
            <w:pPr>
              <w:tabs>
                <w:tab w:val="center" w:pos="4156"/>
                <w:tab w:val="left" w:pos="6375"/>
              </w:tabs>
              <w:jc w:val="center"/>
              <w:rPr>
                <w:rFonts w:ascii="Times New Roman" w:eastAsia="仿宋"/>
                <w:bCs/>
                <w:szCs w:val="21"/>
              </w:rPr>
            </w:pPr>
            <w:r>
              <w:rPr>
                <w:rFonts w:ascii="Times New Roman" w:eastAsia="仿宋"/>
                <w:bCs/>
                <w:szCs w:val="21"/>
              </w:rPr>
              <w:t>55</w:t>
            </w:r>
            <w:r>
              <w:rPr>
                <w:rFonts w:hint="eastAsia" w:ascii="Times New Roman" w:eastAsia="仿宋"/>
                <w:bCs/>
                <w:szCs w:val="21"/>
              </w:rPr>
              <w:t>.5</w:t>
            </w:r>
          </w:p>
        </w:tc>
        <w:tc>
          <w:tcPr>
            <w:tcW w:w="501" w:type="pct"/>
            <w:vAlign w:val="center"/>
          </w:tcPr>
          <w:p w14:paraId="60F564A3">
            <w:pPr>
              <w:jc w:val="center"/>
              <w:rPr>
                <w:rFonts w:ascii="Times New Roman" w:eastAsia="仿宋"/>
                <w:szCs w:val="21"/>
              </w:rPr>
            </w:pPr>
            <w:r>
              <w:rPr>
                <w:rFonts w:hint="eastAsia" w:ascii="Times New Roman" w:eastAsia="仿宋"/>
                <w:szCs w:val="21"/>
              </w:rPr>
              <w:t>2</w:t>
            </w:r>
            <w:r>
              <w:rPr>
                <w:rFonts w:ascii="Times New Roman" w:eastAsia="仿宋"/>
                <w:szCs w:val="21"/>
              </w:rPr>
              <w:t>1.2</w:t>
            </w:r>
          </w:p>
        </w:tc>
        <w:tc>
          <w:tcPr>
            <w:tcW w:w="465" w:type="pct"/>
            <w:vMerge w:val="continue"/>
            <w:vAlign w:val="center"/>
          </w:tcPr>
          <w:p w14:paraId="3B51B256">
            <w:pPr>
              <w:tabs>
                <w:tab w:val="center" w:pos="4156"/>
                <w:tab w:val="left" w:pos="6375"/>
              </w:tabs>
              <w:jc w:val="center"/>
              <w:rPr>
                <w:rFonts w:ascii="Times New Roman" w:eastAsia="仿宋"/>
                <w:bCs/>
                <w:szCs w:val="21"/>
              </w:rPr>
            </w:pPr>
          </w:p>
        </w:tc>
        <w:tc>
          <w:tcPr>
            <w:tcW w:w="511" w:type="pct"/>
            <w:vMerge w:val="continue"/>
            <w:vAlign w:val="center"/>
          </w:tcPr>
          <w:p w14:paraId="6C7108E1">
            <w:pPr>
              <w:tabs>
                <w:tab w:val="center" w:pos="4156"/>
                <w:tab w:val="left" w:pos="6375"/>
              </w:tabs>
              <w:jc w:val="center"/>
              <w:rPr>
                <w:rFonts w:ascii="Times New Roman" w:eastAsia="仿宋"/>
                <w:bCs/>
                <w:szCs w:val="21"/>
              </w:rPr>
            </w:pPr>
          </w:p>
        </w:tc>
        <w:tc>
          <w:tcPr>
            <w:tcW w:w="877" w:type="pct"/>
            <w:vMerge w:val="restart"/>
            <w:vAlign w:val="center"/>
          </w:tcPr>
          <w:p w14:paraId="37C32C21">
            <w:pPr>
              <w:tabs>
                <w:tab w:val="center" w:pos="4156"/>
                <w:tab w:val="left" w:pos="6375"/>
              </w:tabs>
              <w:jc w:val="center"/>
              <w:rPr>
                <w:rFonts w:ascii="Times New Roman" w:eastAsia="仿宋"/>
                <w:bCs/>
                <w:szCs w:val="21"/>
              </w:rPr>
            </w:pPr>
            <w:r>
              <w:rPr>
                <w:rFonts w:hint="eastAsia" w:ascii="Times New Roman" w:eastAsia="仿宋"/>
                <w:bCs/>
                <w:szCs w:val="21"/>
              </w:rPr>
              <w:t>废气处理装置处理量</w:t>
            </w:r>
          </w:p>
        </w:tc>
        <w:tc>
          <w:tcPr>
            <w:tcW w:w="694" w:type="pct"/>
            <w:vMerge w:val="restart"/>
            <w:vAlign w:val="center"/>
          </w:tcPr>
          <w:p w14:paraId="1B2944D6">
            <w:pPr>
              <w:tabs>
                <w:tab w:val="center" w:pos="4156"/>
                <w:tab w:val="left" w:pos="6375"/>
              </w:tabs>
              <w:jc w:val="center"/>
              <w:rPr>
                <w:rFonts w:ascii="Times New Roman" w:eastAsia="仿宋"/>
                <w:bCs/>
                <w:szCs w:val="21"/>
              </w:rPr>
            </w:pPr>
            <w:r>
              <w:rPr>
                <w:rFonts w:hint="eastAsia" w:ascii="Times New Roman" w:eastAsia="仿宋"/>
                <w:bCs/>
                <w:szCs w:val="21"/>
              </w:rPr>
              <w:t>61.404</w:t>
            </w:r>
          </w:p>
        </w:tc>
      </w:tr>
      <w:tr w14:paraId="102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Align w:val="center"/>
          </w:tcPr>
          <w:p w14:paraId="03F52074">
            <w:pPr>
              <w:jc w:val="center"/>
              <w:rPr>
                <w:rFonts w:ascii="Times New Roman" w:eastAsia="仿宋"/>
                <w:szCs w:val="21"/>
              </w:rPr>
            </w:pPr>
            <w:r>
              <w:rPr>
                <w:rFonts w:hint="eastAsia" w:ascii="Times New Roman" w:eastAsia="仿宋"/>
                <w:szCs w:val="21"/>
              </w:rPr>
              <w:t>稀释剂（面漆调配）</w:t>
            </w:r>
          </w:p>
        </w:tc>
        <w:tc>
          <w:tcPr>
            <w:tcW w:w="0" w:type="auto"/>
            <w:vAlign w:val="center"/>
          </w:tcPr>
          <w:p w14:paraId="327A539E">
            <w:pPr>
              <w:tabs>
                <w:tab w:val="center" w:pos="4156"/>
                <w:tab w:val="left" w:pos="6375"/>
              </w:tabs>
              <w:jc w:val="center"/>
              <w:rPr>
                <w:rFonts w:ascii="Times New Roman" w:eastAsia="仿宋"/>
                <w:bCs/>
                <w:szCs w:val="21"/>
              </w:rPr>
            </w:pPr>
            <w:r>
              <w:rPr>
                <w:rFonts w:ascii="Times New Roman" w:eastAsia="仿宋"/>
                <w:bCs/>
                <w:szCs w:val="21"/>
              </w:rPr>
              <w:t>19.1</w:t>
            </w:r>
          </w:p>
        </w:tc>
        <w:tc>
          <w:tcPr>
            <w:tcW w:w="606" w:type="pct"/>
            <w:vAlign w:val="center"/>
          </w:tcPr>
          <w:p w14:paraId="11E1072A">
            <w:pPr>
              <w:tabs>
                <w:tab w:val="center" w:pos="4156"/>
                <w:tab w:val="left" w:pos="6375"/>
              </w:tabs>
              <w:jc w:val="center"/>
              <w:rPr>
                <w:rFonts w:ascii="Times New Roman" w:eastAsia="仿宋"/>
                <w:bCs/>
                <w:szCs w:val="21"/>
              </w:rPr>
            </w:pPr>
            <w:r>
              <w:rPr>
                <w:rFonts w:hint="eastAsia" w:ascii="Times New Roman" w:eastAsia="仿宋"/>
                <w:bCs/>
                <w:szCs w:val="21"/>
              </w:rPr>
              <w:t>100</w:t>
            </w:r>
          </w:p>
        </w:tc>
        <w:tc>
          <w:tcPr>
            <w:tcW w:w="501" w:type="pct"/>
            <w:vAlign w:val="center"/>
          </w:tcPr>
          <w:p w14:paraId="25161D03">
            <w:pPr>
              <w:jc w:val="center"/>
              <w:rPr>
                <w:rFonts w:ascii="Times New Roman" w:eastAsia="仿宋"/>
                <w:szCs w:val="21"/>
              </w:rPr>
            </w:pPr>
            <w:r>
              <w:rPr>
                <w:rFonts w:ascii="Times New Roman" w:eastAsia="仿宋"/>
                <w:szCs w:val="21"/>
              </w:rPr>
              <w:t>19.1</w:t>
            </w:r>
          </w:p>
        </w:tc>
        <w:tc>
          <w:tcPr>
            <w:tcW w:w="465" w:type="pct"/>
            <w:vMerge w:val="continue"/>
            <w:vAlign w:val="center"/>
          </w:tcPr>
          <w:p w14:paraId="27EA9918">
            <w:pPr>
              <w:tabs>
                <w:tab w:val="center" w:pos="4156"/>
                <w:tab w:val="left" w:pos="6375"/>
              </w:tabs>
              <w:jc w:val="center"/>
              <w:rPr>
                <w:rFonts w:ascii="Times New Roman" w:eastAsia="仿宋"/>
                <w:bCs/>
                <w:szCs w:val="21"/>
              </w:rPr>
            </w:pPr>
          </w:p>
        </w:tc>
        <w:tc>
          <w:tcPr>
            <w:tcW w:w="511" w:type="pct"/>
            <w:vMerge w:val="continue"/>
            <w:vAlign w:val="center"/>
          </w:tcPr>
          <w:p w14:paraId="7C740BA3">
            <w:pPr>
              <w:tabs>
                <w:tab w:val="center" w:pos="4156"/>
                <w:tab w:val="left" w:pos="6375"/>
              </w:tabs>
              <w:jc w:val="center"/>
              <w:rPr>
                <w:rFonts w:ascii="Times New Roman" w:eastAsia="仿宋"/>
                <w:bCs/>
                <w:szCs w:val="21"/>
              </w:rPr>
            </w:pPr>
          </w:p>
        </w:tc>
        <w:tc>
          <w:tcPr>
            <w:tcW w:w="877" w:type="pct"/>
            <w:vMerge w:val="continue"/>
            <w:vAlign w:val="center"/>
          </w:tcPr>
          <w:p w14:paraId="4EE976B3">
            <w:pPr>
              <w:tabs>
                <w:tab w:val="center" w:pos="4156"/>
                <w:tab w:val="left" w:pos="6375"/>
              </w:tabs>
              <w:jc w:val="center"/>
              <w:rPr>
                <w:rFonts w:ascii="Times New Roman" w:eastAsia="仿宋"/>
                <w:bCs/>
                <w:szCs w:val="21"/>
              </w:rPr>
            </w:pPr>
          </w:p>
        </w:tc>
        <w:tc>
          <w:tcPr>
            <w:tcW w:w="694" w:type="pct"/>
            <w:vMerge w:val="continue"/>
            <w:vAlign w:val="center"/>
          </w:tcPr>
          <w:p w14:paraId="107DC91B">
            <w:pPr>
              <w:tabs>
                <w:tab w:val="center" w:pos="4156"/>
                <w:tab w:val="left" w:pos="6375"/>
              </w:tabs>
              <w:jc w:val="center"/>
              <w:rPr>
                <w:rFonts w:ascii="Times New Roman" w:eastAsia="仿宋"/>
                <w:bCs/>
                <w:szCs w:val="21"/>
              </w:rPr>
            </w:pPr>
          </w:p>
        </w:tc>
      </w:tr>
      <w:tr w14:paraId="1BC5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pct"/>
            <w:vAlign w:val="center"/>
          </w:tcPr>
          <w:p w14:paraId="79C860E4">
            <w:pPr>
              <w:jc w:val="center"/>
              <w:rPr>
                <w:rFonts w:ascii="Times New Roman" w:eastAsia="仿宋"/>
                <w:szCs w:val="21"/>
              </w:rPr>
            </w:pPr>
            <w:r>
              <w:rPr>
                <w:rFonts w:hint="eastAsia" w:ascii="Times New Roman" w:eastAsia="仿宋"/>
                <w:szCs w:val="21"/>
              </w:rPr>
              <w:t>稀释剂（喷枪清洗）</w:t>
            </w:r>
          </w:p>
        </w:tc>
        <w:tc>
          <w:tcPr>
            <w:tcW w:w="0" w:type="auto"/>
            <w:vAlign w:val="center"/>
          </w:tcPr>
          <w:p w14:paraId="2F0B4D73">
            <w:pPr>
              <w:tabs>
                <w:tab w:val="center" w:pos="4156"/>
                <w:tab w:val="left" w:pos="6375"/>
              </w:tabs>
              <w:jc w:val="center"/>
              <w:rPr>
                <w:rFonts w:ascii="Times New Roman" w:eastAsia="仿宋"/>
                <w:bCs/>
                <w:szCs w:val="21"/>
              </w:rPr>
            </w:pPr>
            <w:r>
              <w:rPr>
                <w:rFonts w:ascii="Times New Roman" w:eastAsia="仿宋"/>
                <w:bCs/>
                <w:szCs w:val="21"/>
              </w:rPr>
              <w:t>5</w:t>
            </w:r>
          </w:p>
        </w:tc>
        <w:tc>
          <w:tcPr>
            <w:tcW w:w="606" w:type="pct"/>
            <w:vAlign w:val="center"/>
          </w:tcPr>
          <w:p w14:paraId="2F3111DC">
            <w:pPr>
              <w:tabs>
                <w:tab w:val="center" w:pos="4156"/>
                <w:tab w:val="left" w:pos="6375"/>
              </w:tabs>
              <w:jc w:val="center"/>
              <w:rPr>
                <w:rFonts w:ascii="Times New Roman" w:eastAsia="仿宋"/>
                <w:bCs/>
                <w:szCs w:val="21"/>
              </w:rPr>
            </w:pPr>
            <w:r>
              <w:rPr>
                <w:rFonts w:hint="eastAsia" w:ascii="Times New Roman" w:eastAsia="仿宋"/>
                <w:bCs/>
                <w:szCs w:val="21"/>
              </w:rPr>
              <w:t>100</w:t>
            </w:r>
          </w:p>
        </w:tc>
        <w:tc>
          <w:tcPr>
            <w:tcW w:w="501" w:type="pct"/>
            <w:vAlign w:val="center"/>
          </w:tcPr>
          <w:p w14:paraId="229BF6A5">
            <w:pPr>
              <w:jc w:val="center"/>
              <w:rPr>
                <w:rFonts w:ascii="Times New Roman" w:eastAsia="仿宋"/>
                <w:szCs w:val="21"/>
              </w:rPr>
            </w:pPr>
            <w:r>
              <w:rPr>
                <w:rFonts w:ascii="Times New Roman" w:eastAsia="仿宋"/>
                <w:szCs w:val="21"/>
              </w:rPr>
              <w:t>5</w:t>
            </w:r>
          </w:p>
        </w:tc>
        <w:tc>
          <w:tcPr>
            <w:tcW w:w="465" w:type="pct"/>
            <w:vAlign w:val="center"/>
          </w:tcPr>
          <w:p w14:paraId="2E3196F4">
            <w:pPr>
              <w:tabs>
                <w:tab w:val="center" w:pos="4156"/>
                <w:tab w:val="left" w:pos="6375"/>
              </w:tabs>
              <w:jc w:val="center"/>
              <w:rPr>
                <w:rFonts w:ascii="Times New Roman" w:eastAsia="仿宋"/>
                <w:bCs/>
                <w:szCs w:val="21"/>
              </w:rPr>
            </w:pPr>
            <w:r>
              <w:rPr>
                <w:rFonts w:hint="eastAsia" w:ascii="Times New Roman" w:eastAsia="仿宋"/>
                <w:bCs/>
                <w:szCs w:val="21"/>
              </w:rPr>
              <w:t>固废</w:t>
            </w:r>
          </w:p>
        </w:tc>
        <w:tc>
          <w:tcPr>
            <w:tcW w:w="511" w:type="pct"/>
            <w:vAlign w:val="center"/>
          </w:tcPr>
          <w:p w14:paraId="02F02117">
            <w:pPr>
              <w:tabs>
                <w:tab w:val="center" w:pos="4156"/>
                <w:tab w:val="left" w:pos="6375"/>
              </w:tabs>
              <w:jc w:val="center"/>
              <w:rPr>
                <w:rFonts w:ascii="Times New Roman" w:eastAsia="仿宋"/>
                <w:bCs/>
                <w:szCs w:val="21"/>
              </w:rPr>
            </w:pPr>
            <w:r>
              <w:rPr>
                <w:rFonts w:ascii="Times New Roman" w:eastAsia="仿宋"/>
                <w:bCs/>
                <w:szCs w:val="21"/>
              </w:rPr>
              <w:t>4.823</w:t>
            </w:r>
          </w:p>
        </w:tc>
        <w:tc>
          <w:tcPr>
            <w:tcW w:w="877" w:type="pct"/>
            <w:vAlign w:val="center"/>
          </w:tcPr>
          <w:p w14:paraId="3FF91100">
            <w:pPr>
              <w:tabs>
                <w:tab w:val="center" w:pos="4156"/>
                <w:tab w:val="left" w:pos="6375"/>
              </w:tabs>
              <w:jc w:val="center"/>
              <w:rPr>
                <w:rFonts w:ascii="Times New Roman" w:eastAsia="仿宋"/>
                <w:bCs/>
                <w:szCs w:val="21"/>
              </w:rPr>
            </w:pPr>
            <w:r>
              <w:rPr>
                <w:rFonts w:hint="eastAsia" w:ascii="Times New Roman" w:eastAsia="仿宋"/>
                <w:bCs/>
                <w:szCs w:val="21"/>
              </w:rPr>
              <w:t>废有机溶剂</w:t>
            </w:r>
          </w:p>
        </w:tc>
        <w:tc>
          <w:tcPr>
            <w:tcW w:w="694" w:type="pct"/>
            <w:vAlign w:val="center"/>
          </w:tcPr>
          <w:p w14:paraId="04E4DA9F">
            <w:pPr>
              <w:tabs>
                <w:tab w:val="center" w:pos="4156"/>
                <w:tab w:val="left" w:pos="6375"/>
              </w:tabs>
              <w:jc w:val="center"/>
              <w:rPr>
                <w:rFonts w:ascii="Times New Roman" w:eastAsia="仿宋"/>
                <w:bCs/>
                <w:szCs w:val="21"/>
              </w:rPr>
            </w:pPr>
            <w:r>
              <w:rPr>
                <w:rFonts w:ascii="Times New Roman" w:eastAsia="仿宋"/>
                <w:bCs/>
                <w:szCs w:val="21"/>
              </w:rPr>
              <w:t>4.823</w:t>
            </w:r>
          </w:p>
        </w:tc>
      </w:tr>
    </w:tbl>
    <w:p w14:paraId="5B049482">
      <w:pPr>
        <w:pStyle w:val="2"/>
      </w:pPr>
    </w:p>
    <w:p w14:paraId="7A026C37">
      <w:pPr>
        <w:pStyle w:val="2"/>
      </w:pPr>
    </w:p>
    <w:p w14:paraId="443AFBFB">
      <w:pPr>
        <w:pStyle w:val="2"/>
        <w:sectPr>
          <w:footerReference r:id="rId11" w:type="default"/>
          <w:pgSz w:w="11906" w:h="16838"/>
          <w:pgMar w:top="1440" w:right="1800" w:bottom="1440" w:left="1800" w:header="1191" w:footer="992" w:gutter="0"/>
          <w:cols w:space="720" w:num="1"/>
          <w:docGrid w:linePitch="312" w:charSpace="0"/>
        </w:sectPr>
      </w:pPr>
    </w:p>
    <w:p w14:paraId="2441A730">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.1.3</w:t>
      </w:r>
      <w:r>
        <w:rPr>
          <w:rFonts w:hint="eastAsia" w:ascii="Times New Roman" w:hAnsi="Times New Roman" w:eastAsia="仿宋"/>
          <w:b/>
        </w:rPr>
        <w:t>VO</w:t>
      </w:r>
      <w:r>
        <w:rPr>
          <w:rFonts w:ascii="Times New Roman" w:hAnsi="Times New Roman" w:eastAsia="仿宋"/>
          <w:b/>
        </w:rPr>
        <w:t>C</w:t>
      </w:r>
      <w:r>
        <w:rPr>
          <w:rFonts w:hint="eastAsia" w:ascii="Times New Roman" w:hAnsi="Times New Roman" w:eastAsia="仿宋"/>
          <w:b/>
        </w:rPr>
        <w:t>s平衡图</w:t>
      </w:r>
    </w:p>
    <w:p w14:paraId="79283A39">
      <w:pPr>
        <w:tabs>
          <w:tab w:val="center" w:pos="4156"/>
          <w:tab w:val="left" w:pos="6375"/>
        </w:tabs>
        <w:spacing w:line="500" w:lineRule="exact"/>
        <w:ind w:firstLine="560" w:firstLineChars="200"/>
        <w:rPr>
          <w:rFonts w:ascii="Times New Roman" w:eastAsia="仿宋"/>
          <w:sz w:val="28"/>
          <w:szCs w:val="28"/>
        </w:rPr>
      </w:pPr>
      <w:r>
        <w:rPr>
          <w:rFonts w:hint="eastAsia" w:ascii="Times New Roman" w:eastAsia="仿宋"/>
          <w:sz w:val="28"/>
          <w:szCs w:val="28"/>
        </w:rPr>
        <w:t>（1）本项目喷漆线</w:t>
      </w:r>
      <w:r>
        <w:rPr>
          <w:rFonts w:ascii="Times New Roman" w:eastAsia="仿宋"/>
          <w:sz w:val="28"/>
          <w:szCs w:val="28"/>
        </w:rPr>
        <w:t>VOC</w:t>
      </w:r>
      <w:r>
        <w:rPr>
          <w:rFonts w:hint="eastAsia" w:ascii="Times New Roman" w:eastAsia="仿宋"/>
          <w:sz w:val="28"/>
          <w:szCs w:val="28"/>
        </w:rPr>
        <w:t>s（非甲烷总烃）平衡见下图。</w:t>
      </w:r>
    </w:p>
    <w:p w14:paraId="1DFA6DA1">
      <w:pPr>
        <w:pStyle w:val="2"/>
        <w:jc w:val="center"/>
      </w:pPr>
      <w:r>
        <w:drawing>
          <wp:inline distT="0" distB="0" distL="114300" distR="114300">
            <wp:extent cx="6398895" cy="3955415"/>
            <wp:effectExtent l="0" t="0" r="1905"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8"/>
                    <a:stretch>
                      <a:fillRect/>
                    </a:stretch>
                  </pic:blipFill>
                  <pic:spPr>
                    <a:xfrm>
                      <a:off x="0" y="0"/>
                      <a:ext cx="6398895" cy="3955415"/>
                    </a:xfrm>
                    <a:prstGeom prst="rect">
                      <a:avLst/>
                    </a:prstGeom>
                  </pic:spPr>
                </pic:pic>
              </a:graphicData>
            </a:graphic>
          </wp:inline>
        </w:drawing>
      </w:r>
    </w:p>
    <w:p w14:paraId="32649940">
      <w:pPr>
        <w:tabs>
          <w:tab w:val="center" w:pos="4156"/>
          <w:tab w:val="left" w:pos="6375"/>
        </w:tabs>
        <w:ind w:firstLine="482" w:firstLineChars="200"/>
        <w:jc w:val="center"/>
        <w:rPr>
          <w:rFonts w:ascii="Times New Roman" w:eastAsia="仿宋"/>
          <w:b/>
          <w:bCs/>
        </w:rPr>
      </w:pPr>
      <w:r>
        <w:rPr>
          <w:rFonts w:ascii="Times New Roman" w:eastAsia="仿宋"/>
          <w:b/>
          <w:bCs/>
        </w:rPr>
        <w:t xml:space="preserve">图3.2-6  </w:t>
      </w:r>
      <w:r>
        <w:rPr>
          <w:rFonts w:hint="eastAsia" w:ascii="Times New Roman" w:eastAsia="仿宋"/>
          <w:b/>
          <w:bCs/>
        </w:rPr>
        <w:t>V</w:t>
      </w:r>
      <w:r>
        <w:rPr>
          <w:rFonts w:ascii="Times New Roman" w:eastAsia="仿宋"/>
          <w:b/>
          <w:bCs/>
        </w:rPr>
        <w:t>OC</w:t>
      </w:r>
      <w:r>
        <w:rPr>
          <w:rFonts w:hint="eastAsia" w:ascii="Times New Roman" w:eastAsia="仿宋"/>
          <w:b/>
          <w:bCs/>
        </w:rPr>
        <w:t>s</w:t>
      </w:r>
      <w:r>
        <w:rPr>
          <w:rFonts w:ascii="Times New Roman" w:eastAsia="仿宋"/>
          <w:b/>
          <w:bCs/>
        </w:rPr>
        <w:t>平衡图（单位：t/a</w:t>
      </w:r>
      <w:r>
        <w:rPr>
          <w:rFonts w:hint="eastAsia" w:ascii="Times New Roman" w:eastAsia="仿宋"/>
          <w:b/>
          <w:bCs/>
        </w:rPr>
        <w:t>）</w:t>
      </w:r>
    </w:p>
    <w:p w14:paraId="189B789A">
      <w:pPr>
        <w:pStyle w:val="2"/>
      </w:pPr>
    </w:p>
    <w:p w14:paraId="700EEA1C">
      <w:pPr>
        <w:pStyle w:val="2"/>
        <w:sectPr>
          <w:pgSz w:w="16838" w:h="11906" w:orient="landscape"/>
          <w:pgMar w:top="1800" w:right="1440" w:bottom="1800" w:left="1440" w:header="1191" w:footer="992" w:gutter="0"/>
          <w:cols w:space="720" w:num="1"/>
          <w:docGrid w:linePitch="312" w:charSpace="0"/>
        </w:sectPr>
      </w:pPr>
    </w:p>
    <w:p w14:paraId="3D281EF6">
      <w:pPr>
        <w:tabs>
          <w:tab w:val="center" w:pos="4156"/>
          <w:tab w:val="left" w:pos="6375"/>
        </w:tabs>
        <w:spacing w:line="500" w:lineRule="exact"/>
        <w:ind w:firstLine="560" w:firstLineChars="200"/>
        <w:rPr>
          <w:rFonts w:ascii="Times New Roman" w:eastAsia="仿宋"/>
          <w:sz w:val="28"/>
          <w:szCs w:val="28"/>
        </w:rPr>
      </w:pPr>
      <w:r>
        <w:rPr>
          <w:rFonts w:hint="eastAsia" w:ascii="Times New Roman" w:eastAsia="仿宋"/>
          <w:sz w:val="28"/>
          <w:szCs w:val="28"/>
        </w:rPr>
        <w:t>（2）特征因子平衡</w:t>
      </w:r>
    </w:p>
    <w:p w14:paraId="5003E410">
      <w:pPr>
        <w:tabs>
          <w:tab w:val="center" w:pos="4156"/>
          <w:tab w:val="left" w:pos="6375"/>
        </w:tabs>
        <w:spacing w:line="500" w:lineRule="exact"/>
        <w:ind w:firstLine="560" w:firstLineChars="200"/>
        <w:rPr>
          <w:rFonts w:ascii="Times New Roman" w:eastAsia="仿宋"/>
          <w:sz w:val="28"/>
          <w:szCs w:val="28"/>
        </w:rPr>
      </w:pPr>
      <w:r>
        <w:rPr>
          <w:rFonts w:hint="eastAsia" w:ascii="Times New Roman" w:eastAsia="仿宋"/>
          <w:sz w:val="28"/>
          <w:szCs w:val="28"/>
        </w:rPr>
        <w:t>二甲苯平衡：</w:t>
      </w:r>
    </w:p>
    <w:p w14:paraId="0E943265">
      <w:pPr>
        <w:pStyle w:val="2"/>
      </w:pPr>
      <w:r>
        <w:drawing>
          <wp:inline distT="0" distB="0" distL="114300" distR="114300">
            <wp:extent cx="5938520" cy="1793875"/>
            <wp:effectExtent l="0" t="0" r="5080" b="158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9"/>
                    <a:stretch>
                      <a:fillRect/>
                    </a:stretch>
                  </pic:blipFill>
                  <pic:spPr>
                    <a:xfrm>
                      <a:off x="0" y="0"/>
                      <a:ext cx="5938520" cy="1793875"/>
                    </a:xfrm>
                    <a:prstGeom prst="rect">
                      <a:avLst/>
                    </a:prstGeom>
                  </pic:spPr>
                </pic:pic>
              </a:graphicData>
            </a:graphic>
          </wp:inline>
        </w:drawing>
      </w:r>
    </w:p>
    <w:p w14:paraId="760556EC">
      <w:pPr>
        <w:tabs>
          <w:tab w:val="center" w:pos="4156"/>
          <w:tab w:val="left" w:pos="6375"/>
        </w:tabs>
        <w:rPr>
          <w:rFonts w:ascii="Times New Roman" w:eastAsia="仿宋"/>
          <w:sz w:val="28"/>
          <w:szCs w:val="28"/>
        </w:rPr>
      </w:pPr>
    </w:p>
    <w:p w14:paraId="6EF6170A">
      <w:pPr>
        <w:tabs>
          <w:tab w:val="center" w:pos="4156"/>
          <w:tab w:val="left" w:pos="6375"/>
        </w:tabs>
        <w:ind w:firstLine="482" w:firstLineChars="200"/>
        <w:jc w:val="center"/>
        <w:rPr>
          <w:rFonts w:ascii="Times New Roman" w:eastAsia="仿宋"/>
          <w:b/>
          <w:bCs/>
        </w:rPr>
      </w:pPr>
      <w:r>
        <w:rPr>
          <w:rFonts w:ascii="Times New Roman" w:eastAsia="仿宋"/>
          <w:b/>
          <w:bCs/>
        </w:rPr>
        <w:t xml:space="preserve">图3.2-7  </w:t>
      </w:r>
      <w:r>
        <w:rPr>
          <w:rFonts w:hint="eastAsia" w:ascii="Times New Roman" w:eastAsia="仿宋"/>
          <w:b/>
          <w:bCs/>
        </w:rPr>
        <w:t>二甲苯</w:t>
      </w:r>
      <w:r>
        <w:rPr>
          <w:rFonts w:ascii="Times New Roman" w:eastAsia="仿宋"/>
          <w:b/>
          <w:bCs/>
        </w:rPr>
        <w:t>平衡图（单位：t/a</w:t>
      </w:r>
      <w:r>
        <w:rPr>
          <w:rFonts w:hint="eastAsia" w:ascii="Times New Roman" w:eastAsia="仿宋"/>
          <w:b/>
          <w:bCs/>
        </w:rPr>
        <w:t>）</w:t>
      </w:r>
    </w:p>
    <w:p w14:paraId="0D5056A6">
      <w:pPr>
        <w:tabs>
          <w:tab w:val="center" w:pos="4156"/>
          <w:tab w:val="left" w:pos="6375"/>
        </w:tabs>
        <w:ind w:firstLine="560" w:firstLineChars="200"/>
        <w:jc w:val="center"/>
        <w:rPr>
          <w:rFonts w:ascii="Times New Roman" w:eastAsia="仿宋"/>
          <w:sz w:val="28"/>
          <w:szCs w:val="28"/>
        </w:rPr>
      </w:pPr>
    </w:p>
    <w:p w14:paraId="0BDC832F">
      <w:pPr>
        <w:tabs>
          <w:tab w:val="center" w:pos="4156"/>
          <w:tab w:val="left" w:pos="6375"/>
        </w:tabs>
        <w:rPr>
          <w:rFonts w:ascii="Times New Roman" w:eastAsia="仿宋"/>
          <w:sz w:val="28"/>
          <w:szCs w:val="28"/>
        </w:rPr>
        <w:sectPr>
          <w:pgSz w:w="11906" w:h="16838"/>
          <w:pgMar w:top="1440" w:right="1800" w:bottom="1440" w:left="1800" w:header="1191" w:footer="992" w:gutter="0"/>
          <w:cols w:space="720" w:num="1"/>
          <w:docGrid w:linePitch="312" w:charSpace="0"/>
        </w:sectPr>
      </w:pPr>
    </w:p>
    <w:p w14:paraId="2A555D3D">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2</w:t>
      </w:r>
      <w:r>
        <w:rPr>
          <w:rFonts w:ascii="Times New Roman" w:eastAsia="仿宋"/>
          <w:sz w:val="28"/>
          <w:szCs w:val="28"/>
        </w:rPr>
        <w:t>.2工艺产污分析</w:t>
      </w:r>
    </w:p>
    <w:p w14:paraId="68A1B7EA">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.2.1废水污染物源强</w:t>
      </w:r>
    </w:p>
    <w:p w14:paraId="7598891B">
      <w:pPr>
        <w:spacing w:line="500" w:lineRule="exact"/>
        <w:ind w:firstLine="560" w:firstLineChars="200"/>
        <w:rPr>
          <w:rFonts w:ascii="Times New Roman" w:eastAsia="仿宋"/>
          <w:sz w:val="28"/>
          <w:szCs w:val="28"/>
        </w:rPr>
      </w:pPr>
      <w:r>
        <w:rPr>
          <w:rFonts w:ascii="Times New Roman" w:eastAsia="仿宋"/>
          <w:sz w:val="28"/>
          <w:szCs w:val="28"/>
        </w:rPr>
        <w:t>本项目营运期产生的废水主要为</w:t>
      </w:r>
      <w:r>
        <w:rPr>
          <w:rFonts w:hint="eastAsia" w:ascii="Times New Roman" w:eastAsia="仿宋"/>
          <w:sz w:val="28"/>
          <w:szCs w:val="28"/>
        </w:rPr>
        <w:t>表面处理线的脱脂清洗废水、水洗废水、生活污水。</w:t>
      </w:r>
    </w:p>
    <w:p w14:paraId="09E03541">
      <w:pPr>
        <w:spacing w:line="500" w:lineRule="exact"/>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脱脂清洗废水W1：</w:t>
      </w:r>
    </w:p>
    <w:p w14:paraId="61843A1C">
      <w:pPr>
        <w:spacing w:line="500" w:lineRule="exact"/>
        <w:ind w:firstLine="560" w:firstLineChars="200"/>
        <w:rPr>
          <w:rFonts w:ascii="Times New Roman" w:eastAsia="仿宋"/>
          <w:sz w:val="28"/>
          <w:szCs w:val="28"/>
        </w:rPr>
      </w:pPr>
      <w:r>
        <w:rPr>
          <w:rFonts w:hint="eastAsia" w:ascii="Times New Roman" w:eastAsia="仿宋"/>
          <w:sz w:val="28"/>
          <w:szCs w:val="28"/>
        </w:rPr>
        <w:t>本项目沉浸式处理线脱脂清洗池尺寸为</w:t>
      </w:r>
      <w:r>
        <w:rPr>
          <w:rFonts w:ascii="Times New Roman" w:eastAsia="仿宋"/>
          <w:sz w:val="28"/>
          <w:szCs w:val="28"/>
        </w:rPr>
        <w:t>L2800</w:t>
      </w:r>
      <w:r>
        <w:rPr>
          <w:rFonts w:hint="eastAsia" w:ascii="Times New Roman" w:eastAsia="仿宋"/>
          <w:sz w:val="28"/>
          <w:szCs w:val="28"/>
        </w:rPr>
        <w:t>×</w:t>
      </w:r>
      <w:r>
        <w:rPr>
          <w:rFonts w:ascii="Times New Roman" w:eastAsia="仿宋"/>
          <w:sz w:val="28"/>
          <w:szCs w:val="28"/>
        </w:rPr>
        <w:t>W2800</w:t>
      </w:r>
      <w:r>
        <w:rPr>
          <w:rFonts w:hint="eastAsia" w:ascii="Times New Roman" w:eastAsia="仿宋"/>
          <w:sz w:val="28"/>
          <w:szCs w:val="28"/>
        </w:rPr>
        <w:t>×</w:t>
      </w:r>
      <w:r>
        <w:rPr>
          <w:rFonts w:ascii="Times New Roman" w:eastAsia="仿宋"/>
          <w:sz w:val="28"/>
          <w:szCs w:val="28"/>
        </w:rPr>
        <w:t>H970</w:t>
      </w:r>
      <w:r>
        <w:rPr>
          <w:rFonts w:hint="eastAsia" w:ascii="Times New Roman" w:eastAsia="仿宋"/>
          <w:sz w:val="28"/>
          <w:szCs w:val="28"/>
        </w:rPr>
        <w:t>m</w:t>
      </w:r>
      <w:r>
        <w:rPr>
          <w:rFonts w:ascii="Times New Roman" w:eastAsia="仿宋"/>
          <w:sz w:val="28"/>
          <w:szCs w:val="28"/>
        </w:rPr>
        <w:t>m</w:t>
      </w:r>
      <w:r>
        <w:rPr>
          <w:rFonts w:hint="eastAsia" w:ascii="Times New Roman" w:eastAsia="仿宋"/>
          <w:sz w:val="28"/>
          <w:szCs w:val="28"/>
        </w:rPr>
        <w:t>，有效容积为</w:t>
      </w:r>
      <w:r>
        <w:rPr>
          <w:rFonts w:ascii="Times New Roman" w:eastAsia="仿宋"/>
          <w:sz w:val="28"/>
          <w:szCs w:val="28"/>
        </w:rPr>
        <w:t>7.6m</w:t>
      </w:r>
      <w:r>
        <w:rPr>
          <w:rFonts w:ascii="Times New Roman" w:eastAsia="仿宋"/>
          <w:sz w:val="28"/>
          <w:szCs w:val="28"/>
          <w:vertAlign w:val="superscript"/>
        </w:rPr>
        <w:t>3</w:t>
      </w:r>
      <w:r>
        <w:rPr>
          <w:rFonts w:hint="eastAsia" w:ascii="Times New Roman" w:eastAsia="仿宋"/>
          <w:sz w:val="28"/>
          <w:szCs w:val="28"/>
        </w:rPr>
        <w:t>，随着脱脂剂的消耗，清洗池需不断补充新液，根据企业提供资料，脱脂剂与水的调配比例为3：97，脱脂剂年用量为25t，则需要清水808t/a，脱脂槽的水约3天更换一次，单次更换</w:t>
      </w:r>
      <w:r>
        <w:rPr>
          <w:rFonts w:ascii="Times New Roman" w:eastAsia="仿宋"/>
          <w:sz w:val="28"/>
          <w:szCs w:val="28"/>
        </w:rPr>
        <w:t>7.6</w:t>
      </w:r>
      <w:r>
        <w:rPr>
          <w:rFonts w:hint="eastAsia" w:ascii="Times New Roman" w:eastAsia="仿宋"/>
          <w:sz w:val="28"/>
          <w:szCs w:val="28"/>
        </w:rPr>
        <w:t>m</w:t>
      </w:r>
      <w:r>
        <w:rPr>
          <w:rFonts w:hint="eastAsia" w:ascii="Times New Roman" w:eastAsia="仿宋"/>
          <w:sz w:val="28"/>
          <w:szCs w:val="28"/>
          <w:vertAlign w:val="superscript"/>
        </w:rPr>
        <w:t>3</w:t>
      </w:r>
      <w:r>
        <w:rPr>
          <w:rFonts w:hint="eastAsia" w:ascii="Times New Roman" w:eastAsia="仿宋"/>
          <w:sz w:val="28"/>
          <w:szCs w:val="28"/>
        </w:rPr>
        <w:t>，则废水产生量约</w:t>
      </w:r>
      <w:r>
        <w:rPr>
          <w:rFonts w:ascii="Times New Roman" w:eastAsia="仿宋"/>
          <w:sz w:val="28"/>
          <w:szCs w:val="28"/>
        </w:rPr>
        <w:t>760t/a</w:t>
      </w:r>
      <w:r>
        <w:rPr>
          <w:rFonts w:hint="eastAsia" w:ascii="Times New Roman" w:eastAsia="仿宋"/>
          <w:sz w:val="28"/>
          <w:szCs w:val="28"/>
        </w:rPr>
        <w:t>，废水中主要污染物为COD、SS、石油类。类比同类型项目，废水中污染物种类及浓度为</w:t>
      </w:r>
      <w:r>
        <w:rPr>
          <w:rFonts w:ascii="Times New Roman" w:eastAsia="仿宋"/>
          <w:sz w:val="28"/>
          <w:szCs w:val="28"/>
        </w:rPr>
        <w:t>COD 3000mg/L</w:t>
      </w:r>
      <w:r>
        <w:rPr>
          <w:rFonts w:hint="eastAsia" w:ascii="Times New Roman" w:eastAsia="仿宋"/>
          <w:sz w:val="28"/>
          <w:szCs w:val="28"/>
        </w:rPr>
        <w:t>、</w:t>
      </w:r>
      <w:r>
        <w:rPr>
          <w:rFonts w:ascii="Times New Roman" w:eastAsia="仿宋"/>
          <w:sz w:val="28"/>
          <w:szCs w:val="28"/>
        </w:rPr>
        <w:t>SS1000mg/L</w:t>
      </w:r>
      <w:r>
        <w:rPr>
          <w:rFonts w:hint="eastAsia" w:ascii="Times New Roman" w:eastAsia="仿宋"/>
          <w:sz w:val="28"/>
          <w:szCs w:val="28"/>
        </w:rPr>
        <w:t>、石油类</w:t>
      </w:r>
      <w:r>
        <w:rPr>
          <w:rFonts w:ascii="Times New Roman" w:eastAsia="仿宋"/>
          <w:sz w:val="28"/>
          <w:szCs w:val="28"/>
        </w:rPr>
        <w:t>1000mg/L</w:t>
      </w:r>
      <w:r>
        <w:rPr>
          <w:rFonts w:hint="eastAsia" w:ascii="Times New Roman" w:eastAsia="仿宋"/>
          <w:sz w:val="28"/>
          <w:szCs w:val="28"/>
        </w:rPr>
        <w:t>。</w:t>
      </w:r>
    </w:p>
    <w:p w14:paraId="643383FB">
      <w:pPr>
        <w:spacing w:line="500" w:lineRule="exact"/>
        <w:ind w:firstLine="560" w:firstLineChars="200"/>
        <w:rPr>
          <w:rFonts w:ascii="Times New Roman" w:eastAsia="仿宋"/>
          <w:sz w:val="28"/>
          <w:szCs w:val="28"/>
        </w:rPr>
      </w:pPr>
      <w:r>
        <w:rPr>
          <w:rFonts w:hint="eastAsia" w:ascii="Times New Roman" w:eastAsia="仿宋"/>
          <w:sz w:val="28"/>
          <w:szCs w:val="28"/>
        </w:rPr>
        <w:t>2、清洗废水W2</w:t>
      </w:r>
    </w:p>
    <w:p w14:paraId="5A789419">
      <w:pPr>
        <w:spacing w:line="500" w:lineRule="exact"/>
        <w:ind w:firstLine="560" w:firstLineChars="200"/>
        <w:rPr>
          <w:rFonts w:ascii="Times New Roman" w:eastAsia="仿宋"/>
          <w:sz w:val="28"/>
          <w:szCs w:val="28"/>
        </w:rPr>
      </w:pPr>
      <w:r>
        <w:rPr>
          <w:rFonts w:hint="eastAsia" w:ascii="Times New Roman" w:eastAsia="仿宋"/>
          <w:sz w:val="28"/>
          <w:szCs w:val="28"/>
        </w:rPr>
        <w:t>本项目沉浸式处理线</w:t>
      </w:r>
      <w:r>
        <w:rPr>
          <w:rFonts w:ascii="Times New Roman" w:eastAsia="仿宋"/>
          <w:sz w:val="28"/>
          <w:szCs w:val="28"/>
        </w:rPr>
        <w:t>1#</w:t>
      </w:r>
      <w:r>
        <w:rPr>
          <w:rFonts w:hint="eastAsia" w:ascii="Times New Roman" w:eastAsia="仿宋"/>
          <w:sz w:val="28"/>
          <w:szCs w:val="28"/>
        </w:rPr>
        <w:t>水洗槽、</w:t>
      </w:r>
      <w:r>
        <w:rPr>
          <w:rFonts w:ascii="Times New Roman" w:eastAsia="仿宋"/>
          <w:sz w:val="28"/>
          <w:szCs w:val="28"/>
        </w:rPr>
        <w:t>2#</w:t>
      </w:r>
      <w:r>
        <w:rPr>
          <w:rFonts w:hint="eastAsia" w:ascii="Times New Roman" w:eastAsia="仿宋"/>
          <w:sz w:val="28"/>
          <w:szCs w:val="28"/>
        </w:rPr>
        <w:t>水洗槽尺寸均为：L2800×W1000×H970mm，有效容积均为</w:t>
      </w:r>
      <w:r>
        <w:rPr>
          <w:rFonts w:ascii="Times New Roman" w:eastAsia="仿宋"/>
          <w:sz w:val="28"/>
          <w:szCs w:val="28"/>
        </w:rPr>
        <w:t>2.7m</w:t>
      </w:r>
      <w:r>
        <w:rPr>
          <w:rFonts w:ascii="Times New Roman" w:eastAsia="仿宋"/>
          <w:sz w:val="28"/>
          <w:szCs w:val="28"/>
          <w:vertAlign w:val="superscript"/>
        </w:rPr>
        <w:t>3</w:t>
      </w:r>
      <w:r>
        <w:rPr>
          <w:rFonts w:hint="eastAsia" w:ascii="Times New Roman" w:eastAsia="仿宋"/>
          <w:sz w:val="28"/>
          <w:szCs w:val="28"/>
        </w:rPr>
        <w:t>，采用逆流方式清洗，类比同类型项目，水洗池用水需每个月更换一次，换水方式为用泵将2#水洗池内污水打到1#水洗池中继续使用，然后对2#水洗池进行清槽换水，则沉浸式处理线水洗废水产生量为3</w:t>
      </w:r>
      <w:r>
        <w:rPr>
          <w:rFonts w:ascii="Times New Roman" w:eastAsia="仿宋"/>
          <w:sz w:val="28"/>
          <w:szCs w:val="28"/>
        </w:rPr>
        <w:t>2.4</w:t>
      </w:r>
      <w:r>
        <w:rPr>
          <w:rFonts w:hint="eastAsia" w:ascii="Times New Roman" w:eastAsia="仿宋"/>
          <w:sz w:val="28"/>
          <w:szCs w:val="28"/>
        </w:rPr>
        <w:t>t/a，</w:t>
      </w:r>
      <w:r>
        <w:rPr>
          <w:rFonts w:ascii="Times New Roman" w:eastAsia="仿宋"/>
          <w:sz w:val="28"/>
          <w:szCs w:val="28"/>
        </w:rPr>
        <w:t>1#</w:t>
      </w:r>
      <w:r>
        <w:rPr>
          <w:rFonts w:hint="eastAsia" w:ascii="Times New Roman" w:eastAsia="仿宋"/>
          <w:sz w:val="28"/>
          <w:szCs w:val="28"/>
        </w:rPr>
        <w:t>水洗池、</w:t>
      </w:r>
      <w:r>
        <w:rPr>
          <w:rFonts w:ascii="Times New Roman" w:eastAsia="仿宋"/>
          <w:sz w:val="28"/>
          <w:szCs w:val="28"/>
        </w:rPr>
        <w:t>2#</w:t>
      </w:r>
      <w:r>
        <w:rPr>
          <w:rFonts w:hint="eastAsia" w:ascii="Times New Roman" w:eastAsia="仿宋"/>
          <w:sz w:val="28"/>
          <w:szCs w:val="28"/>
        </w:rPr>
        <w:t>水洗池废水中污染物种类及浓度为</w:t>
      </w:r>
      <w:r>
        <w:rPr>
          <w:rFonts w:ascii="Times New Roman" w:eastAsia="仿宋"/>
          <w:sz w:val="28"/>
          <w:szCs w:val="28"/>
        </w:rPr>
        <w:t>COD1000mg/L</w:t>
      </w:r>
      <w:r>
        <w:rPr>
          <w:rFonts w:hint="eastAsia" w:ascii="Times New Roman" w:eastAsia="仿宋"/>
          <w:sz w:val="28"/>
          <w:szCs w:val="28"/>
        </w:rPr>
        <w:t>、</w:t>
      </w:r>
      <w:r>
        <w:rPr>
          <w:rFonts w:ascii="Times New Roman" w:eastAsia="仿宋"/>
          <w:sz w:val="28"/>
          <w:szCs w:val="28"/>
        </w:rPr>
        <w:t>SS 200mg/L</w:t>
      </w:r>
      <w:r>
        <w:rPr>
          <w:rFonts w:hint="eastAsia" w:ascii="Times New Roman" w:eastAsia="仿宋"/>
          <w:sz w:val="28"/>
          <w:szCs w:val="28"/>
        </w:rPr>
        <w:t>、石油类</w:t>
      </w:r>
      <w:r>
        <w:rPr>
          <w:rFonts w:ascii="Times New Roman" w:eastAsia="仿宋"/>
          <w:sz w:val="28"/>
          <w:szCs w:val="28"/>
        </w:rPr>
        <w:t>100mg/L</w:t>
      </w:r>
      <w:r>
        <w:rPr>
          <w:rFonts w:hint="eastAsia" w:ascii="Times New Roman" w:eastAsia="仿宋"/>
          <w:sz w:val="28"/>
          <w:szCs w:val="28"/>
        </w:rPr>
        <w:t>。</w:t>
      </w:r>
    </w:p>
    <w:p w14:paraId="30764B1E">
      <w:pPr>
        <w:spacing w:line="500" w:lineRule="exact"/>
        <w:ind w:firstLine="560" w:firstLineChars="200"/>
        <w:rPr>
          <w:rFonts w:ascii="Times New Roman" w:eastAsia="仿宋"/>
          <w:sz w:val="28"/>
          <w:szCs w:val="28"/>
        </w:rPr>
      </w:pPr>
      <w:r>
        <w:rPr>
          <w:rFonts w:ascii="Times New Roman" w:eastAsia="仿宋"/>
          <w:sz w:val="28"/>
          <w:szCs w:val="28"/>
        </w:rPr>
        <w:t>3</w:t>
      </w:r>
      <w:r>
        <w:rPr>
          <w:rFonts w:hint="eastAsia" w:ascii="Times New Roman" w:eastAsia="仿宋"/>
          <w:sz w:val="28"/>
          <w:szCs w:val="28"/>
        </w:rPr>
        <w:t>、</w:t>
      </w:r>
      <w:r>
        <w:rPr>
          <w:rFonts w:ascii="Times New Roman" w:eastAsia="仿宋"/>
          <w:sz w:val="28"/>
          <w:szCs w:val="28"/>
        </w:rPr>
        <w:t>生活污水：本项目设置员工50人，年工作300天，根据《常州市工业和城市生活用水定额》，生活用水按每人每天约100L计，则用水量约为15</w:t>
      </w:r>
      <w:r>
        <w:rPr>
          <w:rFonts w:hint="eastAsia" w:ascii="Times New Roman" w:eastAsia="仿宋"/>
          <w:sz w:val="28"/>
          <w:szCs w:val="28"/>
        </w:rPr>
        <w:t>00</w:t>
      </w:r>
      <w:r>
        <w:rPr>
          <w:rFonts w:ascii="Times New Roman" w:eastAsia="仿宋"/>
          <w:sz w:val="28"/>
          <w:szCs w:val="28"/>
        </w:rPr>
        <w:t>t/a，生活污水量按用水量85%计，则本项目生活污水产生量约1275t/a。</w:t>
      </w:r>
      <w:r>
        <w:rPr>
          <w:rFonts w:hint="eastAsia" w:ascii="Times New Roman" w:eastAsia="仿宋"/>
          <w:sz w:val="28"/>
          <w:szCs w:val="28"/>
        </w:rPr>
        <w:t>生活污水中主要污染物为</w:t>
      </w:r>
      <w:r>
        <w:rPr>
          <w:rFonts w:ascii="Times New Roman" w:eastAsia="仿宋"/>
          <w:sz w:val="28"/>
          <w:szCs w:val="28"/>
        </w:rPr>
        <w:t>COD</w:t>
      </w:r>
      <w:r>
        <w:rPr>
          <w:rFonts w:hint="eastAsia" w:ascii="Times New Roman" w:eastAsia="仿宋"/>
          <w:sz w:val="28"/>
          <w:szCs w:val="28"/>
        </w:rPr>
        <w:t>、</w:t>
      </w:r>
      <w:r>
        <w:rPr>
          <w:rFonts w:ascii="Times New Roman" w:eastAsia="仿宋"/>
          <w:sz w:val="28"/>
          <w:szCs w:val="28"/>
        </w:rPr>
        <w:t>SS</w:t>
      </w:r>
      <w:r>
        <w:rPr>
          <w:rFonts w:hint="eastAsia" w:ascii="Times New Roman" w:eastAsia="仿宋"/>
          <w:sz w:val="28"/>
          <w:szCs w:val="28"/>
        </w:rPr>
        <w:t>、</w:t>
      </w:r>
      <w:r>
        <w:rPr>
          <w:rFonts w:ascii="Times New Roman" w:eastAsia="仿宋"/>
          <w:sz w:val="28"/>
          <w:szCs w:val="28"/>
        </w:rPr>
        <w:t>NH</w:t>
      </w:r>
      <w:r>
        <w:rPr>
          <w:rFonts w:ascii="Times New Roman" w:eastAsia="仿宋"/>
          <w:sz w:val="28"/>
          <w:szCs w:val="28"/>
          <w:vertAlign w:val="subscript"/>
        </w:rPr>
        <w:t>3</w:t>
      </w:r>
      <w:r>
        <w:rPr>
          <w:rFonts w:ascii="Times New Roman" w:eastAsia="仿宋"/>
          <w:sz w:val="28"/>
          <w:szCs w:val="28"/>
        </w:rPr>
        <w:t>-N</w:t>
      </w:r>
      <w:r>
        <w:rPr>
          <w:rFonts w:hint="eastAsia" w:ascii="Times New Roman" w:eastAsia="仿宋"/>
          <w:sz w:val="28"/>
          <w:szCs w:val="28"/>
        </w:rPr>
        <w:t>、</w:t>
      </w:r>
      <w:r>
        <w:rPr>
          <w:rFonts w:ascii="Times New Roman" w:eastAsia="仿宋"/>
          <w:sz w:val="28"/>
          <w:szCs w:val="28"/>
        </w:rPr>
        <w:t>TN</w:t>
      </w:r>
      <w:r>
        <w:rPr>
          <w:rFonts w:hint="eastAsia" w:ascii="Times New Roman" w:eastAsia="仿宋"/>
          <w:sz w:val="28"/>
          <w:szCs w:val="28"/>
        </w:rPr>
        <w:t>、</w:t>
      </w:r>
      <w:r>
        <w:rPr>
          <w:rFonts w:ascii="Times New Roman" w:eastAsia="仿宋"/>
          <w:sz w:val="28"/>
          <w:szCs w:val="28"/>
        </w:rPr>
        <w:t>TP</w:t>
      </w:r>
      <w:r>
        <w:rPr>
          <w:rFonts w:hint="eastAsia" w:ascii="Times New Roman" w:eastAsia="仿宋"/>
          <w:sz w:val="28"/>
          <w:szCs w:val="28"/>
        </w:rPr>
        <w:t>、动植物油，污染物浓度分别为</w:t>
      </w:r>
      <w:r>
        <w:rPr>
          <w:rFonts w:ascii="Times New Roman" w:eastAsia="仿宋"/>
          <w:sz w:val="28"/>
          <w:szCs w:val="28"/>
        </w:rPr>
        <w:t>300mg/L</w:t>
      </w:r>
      <w:r>
        <w:rPr>
          <w:rFonts w:hint="eastAsia" w:ascii="Times New Roman" w:eastAsia="仿宋"/>
          <w:sz w:val="28"/>
          <w:szCs w:val="28"/>
        </w:rPr>
        <w:t>、</w:t>
      </w:r>
      <w:r>
        <w:rPr>
          <w:rFonts w:ascii="Times New Roman" w:eastAsia="仿宋"/>
          <w:sz w:val="28"/>
          <w:szCs w:val="28"/>
        </w:rPr>
        <w:t>200mg/L</w:t>
      </w:r>
      <w:r>
        <w:rPr>
          <w:rFonts w:hint="eastAsia" w:ascii="Times New Roman" w:eastAsia="仿宋"/>
          <w:sz w:val="28"/>
          <w:szCs w:val="28"/>
        </w:rPr>
        <w:t>、</w:t>
      </w:r>
      <w:r>
        <w:rPr>
          <w:rFonts w:ascii="Times New Roman" w:eastAsia="仿宋"/>
          <w:sz w:val="28"/>
          <w:szCs w:val="28"/>
        </w:rPr>
        <w:t>20mg/L</w:t>
      </w:r>
      <w:r>
        <w:rPr>
          <w:rFonts w:hint="eastAsia" w:ascii="Times New Roman" w:eastAsia="仿宋"/>
          <w:sz w:val="28"/>
          <w:szCs w:val="28"/>
        </w:rPr>
        <w:t>、</w:t>
      </w:r>
      <w:r>
        <w:rPr>
          <w:rFonts w:ascii="Times New Roman" w:eastAsia="仿宋"/>
          <w:sz w:val="28"/>
          <w:szCs w:val="28"/>
        </w:rPr>
        <w:t>30mg/L</w:t>
      </w:r>
      <w:r>
        <w:rPr>
          <w:rFonts w:hint="eastAsia" w:ascii="Times New Roman" w:eastAsia="仿宋"/>
          <w:sz w:val="28"/>
          <w:szCs w:val="28"/>
        </w:rPr>
        <w:t>、</w:t>
      </w:r>
      <w:r>
        <w:rPr>
          <w:rFonts w:ascii="Times New Roman" w:eastAsia="仿宋"/>
          <w:sz w:val="28"/>
          <w:szCs w:val="28"/>
        </w:rPr>
        <w:t>3mg/L</w:t>
      </w:r>
      <w:r>
        <w:rPr>
          <w:rFonts w:hint="eastAsia" w:ascii="Times New Roman" w:eastAsia="仿宋"/>
          <w:sz w:val="28"/>
          <w:szCs w:val="28"/>
        </w:rPr>
        <w:t>、60mg/L。</w:t>
      </w:r>
    </w:p>
    <w:p w14:paraId="68628170">
      <w:pPr>
        <w:spacing w:line="500" w:lineRule="exact"/>
        <w:ind w:firstLine="560" w:firstLineChars="200"/>
        <w:rPr>
          <w:rFonts w:ascii="Times New Roman" w:eastAsia="仿宋"/>
          <w:sz w:val="28"/>
          <w:szCs w:val="28"/>
        </w:rPr>
      </w:pPr>
      <w:r>
        <w:rPr>
          <w:rFonts w:ascii="Times New Roman" w:eastAsia="仿宋"/>
          <w:sz w:val="28"/>
          <w:szCs w:val="28"/>
        </w:rPr>
        <w:t>本项目污水产生情况见下表：</w:t>
      </w:r>
    </w:p>
    <w:p w14:paraId="5E7E7D05">
      <w:pPr>
        <w:spacing w:line="500" w:lineRule="exact"/>
        <w:jc w:val="center"/>
        <w:rPr>
          <w:rFonts w:ascii="Times New Roman" w:eastAsia="仿宋"/>
          <w:b/>
          <w:bCs/>
        </w:rPr>
      </w:pPr>
    </w:p>
    <w:p w14:paraId="19E82288">
      <w:pPr>
        <w:spacing w:line="500" w:lineRule="exact"/>
        <w:jc w:val="center"/>
        <w:rPr>
          <w:rFonts w:ascii="Times New Roman" w:eastAsia="仿宋"/>
          <w:b/>
          <w:bCs/>
        </w:rPr>
      </w:pPr>
      <w:r>
        <w:rPr>
          <w:rFonts w:ascii="Times New Roman" w:eastAsia="仿宋"/>
          <w:b/>
          <w:bCs/>
        </w:rPr>
        <w:t>表3.2-4  本项目废水源强表</w:t>
      </w:r>
    </w:p>
    <w:tbl>
      <w:tblPr>
        <w:tblStyle w:val="8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395"/>
        <w:gridCol w:w="1843"/>
        <w:gridCol w:w="1700"/>
        <w:gridCol w:w="2017"/>
      </w:tblGrid>
      <w:tr w14:paraId="0980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restart"/>
            <w:vAlign w:val="center"/>
          </w:tcPr>
          <w:p w14:paraId="59B7DEE8">
            <w:pPr>
              <w:jc w:val="center"/>
              <w:rPr>
                <w:rFonts w:ascii="Times New Roman" w:eastAsia="仿宋"/>
                <w:szCs w:val="21"/>
              </w:rPr>
            </w:pPr>
            <w:r>
              <w:rPr>
                <w:rFonts w:ascii="Times New Roman" w:eastAsia="仿宋"/>
                <w:szCs w:val="21"/>
              </w:rPr>
              <w:t>废水来源</w:t>
            </w:r>
          </w:p>
        </w:tc>
        <w:tc>
          <w:tcPr>
            <w:tcW w:w="818" w:type="pct"/>
            <w:vMerge w:val="restart"/>
            <w:vAlign w:val="center"/>
          </w:tcPr>
          <w:p w14:paraId="6221852D">
            <w:pPr>
              <w:jc w:val="center"/>
              <w:rPr>
                <w:rFonts w:ascii="Times New Roman" w:eastAsia="仿宋"/>
                <w:szCs w:val="21"/>
              </w:rPr>
            </w:pPr>
            <w:r>
              <w:rPr>
                <w:rFonts w:ascii="Times New Roman" w:eastAsia="仿宋"/>
                <w:szCs w:val="21"/>
              </w:rPr>
              <w:t>废水量t/a</w:t>
            </w:r>
          </w:p>
        </w:tc>
        <w:tc>
          <w:tcPr>
            <w:tcW w:w="1081" w:type="pct"/>
            <w:vMerge w:val="restart"/>
            <w:vAlign w:val="center"/>
          </w:tcPr>
          <w:p w14:paraId="05A8CC15">
            <w:pPr>
              <w:jc w:val="center"/>
              <w:rPr>
                <w:rFonts w:ascii="Times New Roman" w:eastAsia="仿宋"/>
                <w:szCs w:val="21"/>
              </w:rPr>
            </w:pPr>
            <w:r>
              <w:rPr>
                <w:rFonts w:ascii="Times New Roman" w:eastAsia="仿宋"/>
                <w:szCs w:val="21"/>
              </w:rPr>
              <w:t>污染物名称</w:t>
            </w:r>
          </w:p>
        </w:tc>
        <w:tc>
          <w:tcPr>
            <w:tcW w:w="2180" w:type="pct"/>
            <w:gridSpan w:val="2"/>
            <w:vAlign w:val="center"/>
          </w:tcPr>
          <w:p w14:paraId="428DCD2B">
            <w:pPr>
              <w:jc w:val="center"/>
              <w:rPr>
                <w:rFonts w:ascii="Times New Roman" w:eastAsia="仿宋"/>
                <w:szCs w:val="21"/>
              </w:rPr>
            </w:pPr>
            <w:r>
              <w:rPr>
                <w:rFonts w:ascii="Times New Roman" w:eastAsia="仿宋"/>
                <w:szCs w:val="21"/>
              </w:rPr>
              <w:t>污染物产生量</w:t>
            </w:r>
          </w:p>
        </w:tc>
      </w:tr>
      <w:tr w14:paraId="539A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01C4A2DA">
            <w:pPr>
              <w:jc w:val="center"/>
              <w:rPr>
                <w:rFonts w:ascii="Times New Roman" w:eastAsia="仿宋"/>
                <w:szCs w:val="21"/>
              </w:rPr>
            </w:pPr>
          </w:p>
        </w:tc>
        <w:tc>
          <w:tcPr>
            <w:tcW w:w="818" w:type="pct"/>
            <w:vMerge w:val="continue"/>
            <w:vAlign w:val="center"/>
          </w:tcPr>
          <w:p w14:paraId="17747A15">
            <w:pPr>
              <w:jc w:val="center"/>
              <w:rPr>
                <w:rFonts w:ascii="Times New Roman" w:eastAsia="仿宋"/>
                <w:szCs w:val="21"/>
              </w:rPr>
            </w:pPr>
          </w:p>
        </w:tc>
        <w:tc>
          <w:tcPr>
            <w:tcW w:w="1081" w:type="pct"/>
            <w:vMerge w:val="continue"/>
            <w:vAlign w:val="center"/>
          </w:tcPr>
          <w:p w14:paraId="6F7DBA6B">
            <w:pPr>
              <w:jc w:val="center"/>
              <w:rPr>
                <w:rFonts w:ascii="Times New Roman" w:eastAsia="仿宋"/>
                <w:szCs w:val="21"/>
              </w:rPr>
            </w:pPr>
          </w:p>
        </w:tc>
        <w:tc>
          <w:tcPr>
            <w:tcW w:w="997" w:type="pct"/>
            <w:vAlign w:val="center"/>
          </w:tcPr>
          <w:p w14:paraId="34ED6637">
            <w:pPr>
              <w:jc w:val="center"/>
              <w:rPr>
                <w:rFonts w:ascii="Times New Roman" w:eastAsia="仿宋"/>
                <w:szCs w:val="21"/>
              </w:rPr>
            </w:pPr>
            <w:r>
              <w:rPr>
                <w:rFonts w:ascii="Times New Roman" w:eastAsia="仿宋"/>
                <w:szCs w:val="21"/>
              </w:rPr>
              <w:t>浓度mg/L</w:t>
            </w:r>
          </w:p>
        </w:tc>
        <w:tc>
          <w:tcPr>
            <w:tcW w:w="1183" w:type="pct"/>
            <w:vAlign w:val="center"/>
          </w:tcPr>
          <w:p w14:paraId="234AD60D">
            <w:pPr>
              <w:jc w:val="center"/>
              <w:rPr>
                <w:rFonts w:ascii="Times New Roman" w:eastAsia="仿宋"/>
                <w:szCs w:val="21"/>
              </w:rPr>
            </w:pPr>
            <w:r>
              <w:rPr>
                <w:rFonts w:ascii="Times New Roman" w:eastAsia="仿宋"/>
                <w:szCs w:val="21"/>
              </w:rPr>
              <w:t>产生量t/a</w:t>
            </w:r>
          </w:p>
        </w:tc>
      </w:tr>
      <w:tr w14:paraId="48AD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restart"/>
            <w:vAlign w:val="center"/>
          </w:tcPr>
          <w:p w14:paraId="11C4396E">
            <w:pPr>
              <w:jc w:val="center"/>
              <w:rPr>
                <w:rFonts w:ascii="Times New Roman" w:eastAsia="仿宋"/>
                <w:szCs w:val="21"/>
              </w:rPr>
            </w:pPr>
            <w:r>
              <w:rPr>
                <w:rFonts w:hint="eastAsia" w:ascii="Times New Roman" w:eastAsia="仿宋"/>
                <w:szCs w:val="21"/>
              </w:rPr>
              <w:t>脱脂清洗废水W</w:t>
            </w:r>
            <w:r>
              <w:rPr>
                <w:rFonts w:ascii="Times New Roman" w:eastAsia="仿宋"/>
                <w:szCs w:val="21"/>
              </w:rPr>
              <w:t>1</w:t>
            </w:r>
          </w:p>
        </w:tc>
        <w:tc>
          <w:tcPr>
            <w:tcW w:w="818" w:type="pct"/>
            <w:vMerge w:val="restart"/>
            <w:vAlign w:val="center"/>
          </w:tcPr>
          <w:p w14:paraId="5E008875">
            <w:pPr>
              <w:jc w:val="center"/>
              <w:rPr>
                <w:rFonts w:ascii="Times New Roman" w:eastAsia="仿宋"/>
                <w:szCs w:val="21"/>
              </w:rPr>
            </w:pPr>
            <w:r>
              <w:rPr>
                <w:rFonts w:ascii="Times New Roman" w:eastAsia="仿宋"/>
                <w:szCs w:val="21"/>
              </w:rPr>
              <w:t>760</w:t>
            </w:r>
          </w:p>
        </w:tc>
        <w:tc>
          <w:tcPr>
            <w:tcW w:w="1081" w:type="pct"/>
            <w:vAlign w:val="center"/>
          </w:tcPr>
          <w:p w14:paraId="27653893">
            <w:pPr>
              <w:jc w:val="center"/>
              <w:rPr>
                <w:rFonts w:ascii="Times New Roman" w:eastAsia="仿宋"/>
                <w:szCs w:val="21"/>
              </w:rPr>
            </w:pPr>
            <w:r>
              <w:rPr>
                <w:rFonts w:ascii="Times New Roman" w:eastAsia="仿宋"/>
                <w:szCs w:val="21"/>
              </w:rPr>
              <w:t>COD</w:t>
            </w:r>
          </w:p>
        </w:tc>
        <w:tc>
          <w:tcPr>
            <w:tcW w:w="997" w:type="pct"/>
            <w:vAlign w:val="center"/>
          </w:tcPr>
          <w:p w14:paraId="1F4B7BC2">
            <w:pPr>
              <w:jc w:val="center"/>
              <w:rPr>
                <w:rFonts w:ascii="Times New Roman" w:eastAsia="仿宋"/>
                <w:szCs w:val="21"/>
              </w:rPr>
            </w:pPr>
            <w:r>
              <w:rPr>
                <w:rFonts w:hint="eastAsia" w:ascii="Times New Roman" w:eastAsia="仿宋"/>
                <w:szCs w:val="21"/>
              </w:rPr>
              <w:t>3000</w:t>
            </w:r>
          </w:p>
        </w:tc>
        <w:tc>
          <w:tcPr>
            <w:tcW w:w="1183" w:type="pct"/>
            <w:vAlign w:val="center"/>
          </w:tcPr>
          <w:p w14:paraId="5EC83477">
            <w:pPr>
              <w:jc w:val="center"/>
              <w:rPr>
                <w:rFonts w:ascii="Times New Roman" w:eastAsia="仿宋"/>
              </w:rPr>
            </w:pPr>
            <w:r>
              <w:rPr>
                <w:rFonts w:hint="eastAsia" w:ascii="Times New Roman" w:eastAsia="仿宋"/>
              </w:rPr>
              <w:t>2</w:t>
            </w:r>
            <w:r>
              <w:rPr>
                <w:rFonts w:ascii="Times New Roman" w:eastAsia="仿宋"/>
              </w:rPr>
              <w:t>.28</w:t>
            </w:r>
          </w:p>
        </w:tc>
      </w:tr>
      <w:tr w14:paraId="6980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3BC29EE5">
            <w:pPr>
              <w:jc w:val="center"/>
              <w:rPr>
                <w:rFonts w:ascii="Times New Roman" w:eastAsia="仿宋"/>
                <w:szCs w:val="21"/>
              </w:rPr>
            </w:pPr>
          </w:p>
        </w:tc>
        <w:tc>
          <w:tcPr>
            <w:tcW w:w="818" w:type="pct"/>
            <w:vMerge w:val="continue"/>
            <w:vAlign w:val="center"/>
          </w:tcPr>
          <w:p w14:paraId="3411F224">
            <w:pPr>
              <w:jc w:val="center"/>
              <w:rPr>
                <w:rFonts w:ascii="Times New Roman" w:eastAsia="仿宋"/>
                <w:szCs w:val="21"/>
              </w:rPr>
            </w:pPr>
          </w:p>
        </w:tc>
        <w:tc>
          <w:tcPr>
            <w:tcW w:w="1081" w:type="pct"/>
            <w:vAlign w:val="center"/>
          </w:tcPr>
          <w:p w14:paraId="1F960BB5">
            <w:pPr>
              <w:jc w:val="center"/>
              <w:rPr>
                <w:rFonts w:ascii="Times New Roman" w:eastAsia="仿宋"/>
                <w:szCs w:val="21"/>
              </w:rPr>
            </w:pPr>
            <w:r>
              <w:rPr>
                <w:rFonts w:ascii="Times New Roman" w:eastAsia="仿宋"/>
                <w:szCs w:val="21"/>
              </w:rPr>
              <w:t>SS</w:t>
            </w:r>
          </w:p>
        </w:tc>
        <w:tc>
          <w:tcPr>
            <w:tcW w:w="997" w:type="pct"/>
            <w:vAlign w:val="center"/>
          </w:tcPr>
          <w:p w14:paraId="6D87E5D5">
            <w:pPr>
              <w:jc w:val="center"/>
              <w:rPr>
                <w:rFonts w:ascii="Times New Roman" w:eastAsia="仿宋"/>
                <w:szCs w:val="21"/>
              </w:rPr>
            </w:pPr>
            <w:r>
              <w:rPr>
                <w:rFonts w:hint="eastAsia" w:ascii="Times New Roman" w:eastAsia="仿宋"/>
                <w:szCs w:val="21"/>
              </w:rPr>
              <w:t>1000</w:t>
            </w:r>
          </w:p>
        </w:tc>
        <w:tc>
          <w:tcPr>
            <w:tcW w:w="1183" w:type="pct"/>
            <w:vAlign w:val="center"/>
          </w:tcPr>
          <w:p w14:paraId="224B211D">
            <w:pPr>
              <w:jc w:val="center"/>
              <w:rPr>
                <w:rFonts w:ascii="Times New Roman" w:eastAsia="仿宋"/>
              </w:rPr>
            </w:pPr>
            <w:r>
              <w:rPr>
                <w:rFonts w:hint="eastAsia" w:ascii="Times New Roman" w:eastAsia="仿宋"/>
              </w:rPr>
              <w:t>0</w:t>
            </w:r>
            <w:r>
              <w:rPr>
                <w:rFonts w:ascii="Times New Roman" w:eastAsia="仿宋"/>
              </w:rPr>
              <w:t>.76</w:t>
            </w:r>
          </w:p>
        </w:tc>
      </w:tr>
      <w:tr w14:paraId="6938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6F132B92">
            <w:pPr>
              <w:jc w:val="center"/>
              <w:rPr>
                <w:rFonts w:ascii="Times New Roman" w:eastAsia="仿宋"/>
                <w:szCs w:val="21"/>
              </w:rPr>
            </w:pPr>
          </w:p>
        </w:tc>
        <w:tc>
          <w:tcPr>
            <w:tcW w:w="818" w:type="pct"/>
            <w:vMerge w:val="continue"/>
            <w:vAlign w:val="center"/>
          </w:tcPr>
          <w:p w14:paraId="34867B38">
            <w:pPr>
              <w:jc w:val="center"/>
              <w:rPr>
                <w:rFonts w:ascii="Times New Roman" w:eastAsia="仿宋"/>
                <w:szCs w:val="21"/>
              </w:rPr>
            </w:pPr>
          </w:p>
        </w:tc>
        <w:tc>
          <w:tcPr>
            <w:tcW w:w="1081" w:type="pct"/>
            <w:vAlign w:val="center"/>
          </w:tcPr>
          <w:p w14:paraId="787BEB25">
            <w:pPr>
              <w:jc w:val="center"/>
              <w:rPr>
                <w:rFonts w:ascii="Times New Roman" w:eastAsia="仿宋"/>
                <w:szCs w:val="21"/>
              </w:rPr>
            </w:pPr>
            <w:r>
              <w:rPr>
                <w:rFonts w:ascii="Times New Roman" w:eastAsia="仿宋"/>
                <w:szCs w:val="21"/>
              </w:rPr>
              <w:t>石油类</w:t>
            </w:r>
          </w:p>
        </w:tc>
        <w:tc>
          <w:tcPr>
            <w:tcW w:w="997" w:type="pct"/>
            <w:vAlign w:val="center"/>
          </w:tcPr>
          <w:p w14:paraId="61553F3B">
            <w:pPr>
              <w:jc w:val="center"/>
              <w:rPr>
                <w:rFonts w:ascii="Times New Roman" w:eastAsia="仿宋"/>
                <w:szCs w:val="21"/>
              </w:rPr>
            </w:pPr>
            <w:r>
              <w:rPr>
                <w:rFonts w:hint="eastAsia" w:ascii="Times New Roman" w:eastAsia="仿宋"/>
                <w:szCs w:val="21"/>
              </w:rPr>
              <w:t>1000</w:t>
            </w:r>
          </w:p>
        </w:tc>
        <w:tc>
          <w:tcPr>
            <w:tcW w:w="1183" w:type="pct"/>
            <w:vAlign w:val="center"/>
          </w:tcPr>
          <w:p w14:paraId="43A683B3">
            <w:pPr>
              <w:jc w:val="center"/>
              <w:rPr>
                <w:rFonts w:ascii="Times New Roman" w:eastAsia="仿宋"/>
              </w:rPr>
            </w:pPr>
            <w:r>
              <w:rPr>
                <w:rFonts w:hint="eastAsia" w:ascii="Times New Roman" w:eastAsia="仿宋"/>
              </w:rPr>
              <w:t>0</w:t>
            </w:r>
            <w:r>
              <w:rPr>
                <w:rFonts w:ascii="Times New Roman" w:eastAsia="仿宋"/>
              </w:rPr>
              <w:t>.76</w:t>
            </w:r>
          </w:p>
        </w:tc>
      </w:tr>
      <w:tr w14:paraId="1E20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restart"/>
            <w:vAlign w:val="center"/>
          </w:tcPr>
          <w:p w14:paraId="2851FC65">
            <w:pPr>
              <w:jc w:val="center"/>
              <w:rPr>
                <w:rFonts w:ascii="Times New Roman" w:eastAsia="仿宋"/>
                <w:szCs w:val="21"/>
              </w:rPr>
            </w:pPr>
            <w:r>
              <w:rPr>
                <w:rFonts w:hint="eastAsia" w:ascii="Times New Roman" w:eastAsia="仿宋"/>
                <w:szCs w:val="21"/>
              </w:rPr>
              <w:t>清洗废水W</w:t>
            </w:r>
            <w:r>
              <w:rPr>
                <w:rFonts w:ascii="Times New Roman" w:eastAsia="仿宋"/>
                <w:szCs w:val="21"/>
              </w:rPr>
              <w:t>2</w:t>
            </w:r>
          </w:p>
        </w:tc>
        <w:tc>
          <w:tcPr>
            <w:tcW w:w="818" w:type="pct"/>
            <w:vMerge w:val="restart"/>
            <w:vAlign w:val="center"/>
          </w:tcPr>
          <w:p w14:paraId="79DEDF4F">
            <w:pPr>
              <w:jc w:val="center"/>
              <w:rPr>
                <w:rFonts w:ascii="Times New Roman" w:eastAsia="仿宋"/>
                <w:szCs w:val="21"/>
              </w:rPr>
            </w:pPr>
            <w:r>
              <w:rPr>
                <w:rFonts w:ascii="Times New Roman" w:eastAsia="仿宋"/>
                <w:szCs w:val="21"/>
              </w:rPr>
              <w:t>32.4</w:t>
            </w:r>
          </w:p>
        </w:tc>
        <w:tc>
          <w:tcPr>
            <w:tcW w:w="1081" w:type="pct"/>
            <w:vAlign w:val="center"/>
          </w:tcPr>
          <w:p w14:paraId="08C75B12">
            <w:pPr>
              <w:jc w:val="center"/>
              <w:rPr>
                <w:rFonts w:ascii="Times New Roman" w:eastAsia="仿宋"/>
                <w:szCs w:val="21"/>
              </w:rPr>
            </w:pPr>
            <w:r>
              <w:rPr>
                <w:rFonts w:ascii="Times New Roman" w:eastAsia="仿宋"/>
                <w:szCs w:val="21"/>
              </w:rPr>
              <w:t>COD</w:t>
            </w:r>
          </w:p>
        </w:tc>
        <w:tc>
          <w:tcPr>
            <w:tcW w:w="997" w:type="pct"/>
            <w:vAlign w:val="center"/>
          </w:tcPr>
          <w:p w14:paraId="7C5D86B1">
            <w:pPr>
              <w:jc w:val="center"/>
              <w:rPr>
                <w:rFonts w:ascii="Times New Roman" w:eastAsia="仿宋"/>
                <w:szCs w:val="21"/>
              </w:rPr>
            </w:pPr>
            <w:r>
              <w:rPr>
                <w:rFonts w:hint="eastAsia" w:ascii="Times New Roman" w:eastAsia="仿宋"/>
                <w:szCs w:val="21"/>
              </w:rPr>
              <w:t>1000</w:t>
            </w:r>
          </w:p>
        </w:tc>
        <w:tc>
          <w:tcPr>
            <w:tcW w:w="1183" w:type="pct"/>
            <w:vAlign w:val="center"/>
          </w:tcPr>
          <w:p w14:paraId="21716598">
            <w:pPr>
              <w:jc w:val="center"/>
              <w:rPr>
                <w:rFonts w:ascii="Times New Roman" w:eastAsia="仿宋"/>
              </w:rPr>
            </w:pPr>
            <w:r>
              <w:rPr>
                <w:rFonts w:hint="eastAsia" w:ascii="Times New Roman" w:eastAsia="仿宋"/>
              </w:rPr>
              <w:t>0</w:t>
            </w:r>
            <w:r>
              <w:rPr>
                <w:rFonts w:ascii="Times New Roman" w:eastAsia="仿宋"/>
              </w:rPr>
              <w:t>.032</w:t>
            </w:r>
          </w:p>
        </w:tc>
      </w:tr>
      <w:tr w14:paraId="04FF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2E414AE4">
            <w:pPr>
              <w:jc w:val="center"/>
              <w:rPr>
                <w:rFonts w:ascii="Times New Roman" w:eastAsia="仿宋"/>
                <w:szCs w:val="21"/>
              </w:rPr>
            </w:pPr>
          </w:p>
        </w:tc>
        <w:tc>
          <w:tcPr>
            <w:tcW w:w="818" w:type="pct"/>
            <w:vMerge w:val="continue"/>
            <w:vAlign w:val="center"/>
          </w:tcPr>
          <w:p w14:paraId="3A654D39">
            <w:pPr>
              <w:jc w:val="center"/>
              <w:rPr>
                <w:rFonts w:ascii="Times New Roman" w:eastAsia="仿宋"/>
                <w:szCs w:val="21"/>
              </w:rPr>
            </w:pPr>
          </w:p>
        </w:tc>
        <w:tc>
          <w:tcPr>
            <w:tcW w:w="1081" w:type="pct"/>
            <w:vAlign w:val="center"/>
          </w:tcPr>
          <w:p w14:paraId="3538E735">
            <w:pPr>
              <w:jc w:val="center"/>
              <w:rPr>
                <w:rFonts w:ascii="Times New Roman" w:eastAsia="仿宋"/>
                <w:szCs w:val="21"/>
              </w:rPr>
            </w:pPr>
            <w:r>
              <w:rPr>
                <w:rFonts w:ascii="Times New Roman" w:eastAsia="仿宋"/>
                <w:szCs w:val="21"/>
              </w:rPr>
              <w:t>SS</w:t>
            </w:r>
          </w:p>
        </w:tc>
        <w:tc>
          <w:tcPr>
            <w:tcW w:w="997" w:type="pct"/>
            <w:vAlign w:val="center"/>
          </w:tcPr>
          <w:p w14:paraId="6E04C7E9">
            <w:pPr>
              <w:jc w:val="center"/>
              <w:rPr>
                <w:rFonts w:ascii="Times New Roman" w:eastAsia="仿宋"/>
                <w:szCs w:val="21"/>
              </w:rPr>
            </w:pPr>
            <w:r>
              <w:rPr>
                <w:rFonts w:hint="eastAsia" w:ascii="Times New Roman" w:eastAsia="仿宋"/>
                <w:szCs w:val="21"/>
              </w:rPr>
              <w:t>200</w:t>
            </w:r>
          </w:p>
        </w:tc>
        <w:tc>
          <w:tcPr>
            <w:tcW w:w="1183" w:type="pct"/>
            <w:vAlign w:val="center"/>
          </w:tcPr>
          <w:p w14:paraId="4ECBD928">
            <w:pPr>
              <w:jc w:val="center"/>
              <w:rPr>
                <w:rFonts w:ascii="Times New Roman" w:eastAsia="仿宋"/>
              </w:rPr>
            </w:pPr>
            <w:r>
              <w:rPr>
                <w:rFonts w:hint="eastAsia" w:ascii="Times New Roman" w:eastAsia="仿宋"/>
              </w:rPr>
              <w:t>0</w:t>
            </w:r>
            <w:r>
              <w:rPr>
                <w:rFonts w:ascii="Times New Roman" w:eastAsia="仿宋"/>
              </w:rPr>
              <w:t>.006</w:t>
            </w:r>
          </w:p>
        </w:tc>
      </w:tr>
      <w:tr w14:paraId="5697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124B738A">
            <w:pPr>
              <w:jc w:val="center"/>
              <w:rPr>
                <w:rFonts w:ascii="Times New Roman" w:eastAsia="仿宋"/>
                <w:szCs w:val="21"/>
              </w:rPr>
            </w:pPr>
          </w:p>
        </w:tc>
        <w:tc>
          <w:tcPr>
            <w:tcW w:w="818" w:type="pct"/>
            <w:vMerge w:val="continue"/>
            <w:vAlign w:val="center"/>
          </w:tcPr>
          <w:p w14:paraId="0B1CD482">
            <w:pPr>
              <w:jc w:val="center"/>
              <w:rPr>
                <w:rFonts w:ascii="Times New Roman" w:eastAsia="仿宋"/>
                <w:szCs w:val="21"/>
              </w:rPr>
            </w:pPr>
          </w:p>
        </w:tc>
        <w:tc>
          <w:tcPr>
            <w:tcW w:w="1081" w:type="pct"/>
            <w:vAlign w:val="center"/>
          </w:tcPr>
          <w:p w14:paraId="7BC6E750">
            <w:pPr>
              <w:jc w:val="center"/>
              <w:rPr>
                <w:rFonts w:ascii="Times New Roman" w:eastAsia="仿宋"/>
                <w:szCs w:val="21"/>
              </w:rPr>
            </w:pPr>
            <w:r>
              <w:rPr>
                <w:rFonts w:hint="eastAsia" w:ascii="Times New Roman" w:eastAsia="仿宋"/>
                <w:szCs w:val="21"/>
              </w:rPr>
              <w:t>石油类</w:t>
            </w:r>
          </w:p>
        </w:tc>
        <w:tc>
          <w:tcPr>
            <w:tcW w:w="997" w:type="pct"/>
            <w:vAlign w:val="center"/>
          </w:tcPr>
          <w:p w14:paraId="3AD3FCB2">
            <w:pPr>
              <w:jc w:val="center"/>
              <w:rPr>
                <w:rFonts w:ascii="Times New Roman" w:eastAsia="仿宋"/>
                <w:szCs w:val="21"/>
              </w:rPr>
            </w:pPr>
            <w:r>
              <w:rPr>
                <w:rFonts w:hint="eastAsia" w:ascii="Times New Roman" w:eastAsia="仿宋"/>
                <w:szCs w:val="21"/>
              </w:rPr>
              <w:t>100</w:t>
            </w:r>
          </w:p>
        </w:tc>
        <w:tc>
          <w:tcPr>
            <w:tcW w:w="1183" w:type="pct"/>
            <w:vAlign w:val="center"/>
          </w:tcPr>
          <w:p w14:paraId="0888BA12">
            <w:pPr>
              <w:jc w:val="center"/>
              <w:rPr>
                <w:rFonts w:ascii="Times New Roman" w:eastAsia="仿宋"/>
              </w:rPr>
            </w:pPr>
            <w:r>
              <w:rPr>
                <w:rFonts w:hint="eastAsia" w:ascii="Times New Roman" w:eastAsia="仿宋"/>
              </w:rPr>
              <w:t>0</w:t>
            </w:r>
            <w:r>
              <w:rPr>
                <w:rFonts w:ascii="Times New Roman" w:eastAsia="仿宋"/>
              </w:rPr>
              <w:t>.003</w:t>
            </w:r>
          </w:p>
        </w:tc>
      </w:tr>
      <w:tr w14:paraId="2AFB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restart"/>
            <w:vAlign w:val="center"/>
          </w:tcPr>
          <w:p w14:paraId="4F332B5B">
            <w:pPr>
              <w:jc w:val="center"/>
              <w:rPr>
                <w:rFonts w:ascii="Times New Roman" w:eastAsia="仿宋"/>
                <w:szCs w:val="21"/>
              </w:rPr>
            </w:pPr>
            <w:r>
              <w:rPr>
                <w:rFonts w:ascii="Times New Roman" w:eastAsia="仿宋"/>
                <w:szCs w:val="21"/>
              </w:rPr>
              <w:t>生活污水</w:t>
            </w:r>
          </w:p>
        </w:tc>
        <w:tc>
          <w:tcPr>
            <w:tcW w:w="818" w:type="pct"/>
            <w:vMerge w:val="restart"/>
            <w:vAlign w:val="center"/>
          </w:tcPr>
          <w:p w14:paraId="1BA15F84">
            <w:pPr>
              <w:jc w:val="center"/>
              <w:rPr>
                <w:rFonts w:ascii="Times New Roman" w:eastAsia="仿宋"/>
                <w:szCs w:val="21"/>
              </w:rPr>
            </w:pPr>
            <w:r>
              <w:rPr>
                <w:rFonts w:ascii="Times New Roman" w:eastAsia="仿宋"/>
                <w:szCs w:val="21"/>
              </w:rPr>
              <w:t>1275</w:t>
            </w:r>
          </w:p>
        </w:tc>
        <w:tc>
          <w:tcPr>
            <w:tcW w:w="1081" w:type="pct"/>
            <w:vAlign w:val="center"/>
          </w:tcPr>
          <w:p w14:paraId="061C2AAD">
            <w:pPr>
              <w:jc w:val="center"/>
              <w:rPr>
                <w:rFonts w:ascii="Times New Roman" w:eastAsia="仿宋"/>
              </w:rPr>
            </w:pPr>
            <w:r>
              <w:rPr>
                <w:rFonts w:ascii="Times New Roman" w:eastAsia="仿宋"/>
              </w:rPr>
              <w:t>COD</w:t>
            </w:r>
          </w:p>
        </w:tc>
        <w:tc>
          <w:tcPr>
            <w:tcW w:w="997" w:type="pct"/>
            <w:vAlign w:val="center"/>
          </w:tcPr>
          <w:p w14:paraId="5647FA7B">
            <w:pPr>
              <w:jc w:val="center"/>
              <w:rPr>
                <w:rFonts w:ascii="Times New Roman" w:eastAsia="仿宋"/>
              </w:rPr>
            </w:pPr>
            <w:r>
              <w:rPr>
                <w:rFonts w:hint="eastAsia" w:ascii="Times New Roman" w:eastAsia="仿宋"/>
              </w:rPr>
              <w:t>300</w:t>
            </w:r>
          </w:p>
        </w:tc>
        <w:tc>
          <w:tcPr>
            <w:tcW w:w="1183" w:type="pct"/>
            <w:vAlign w:val="center"/>
          </w:tcPr>
          <w:p w14:paraId="5B9C6CA1">
            <w:pPr>
              <w:jc w:val="center"/>
              <w:rPr>
                <w:rFonts w:ascii="Times New Roman" w:eastAsia="仿宋"/>
              </w:rPr>
            </w:pPr>
            <w:r>
              <w:rPr>
                <w:rFonts w:hint="eastAsia" w:ascii="Times New Roman" w:eastAsia="仿宋"/>
              </w:rPr>
              <w:t>0</w:t>
            </w:r>
            <w:r>
              <w:rPr>
                <w:rFonts w:ascii="Times New Roman" w:eastAsia="仿宋"/>
              </w:rPr>
              <w:t>.38</w:t>
            </w:r>
          </w:p>
        </w:tc>
      </w:tr>
      <w:tr w14:paraId="2457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4AE5C63F">
            <w:pPr>
              <w:jc w:val="center"/>
              <w:rPr>
                <w:rFonts w:ascii="Times New Roman" w:eastAsia="仿宋"/>
                <w:szCs w:val="21"/>
              </w:rPr>
            </w:pPr>
          </w:p>
        </w:tc>
        <w:tc>
          <w:tcPr>
            <w:tcW w:w="818" w:type="pct"/>
            <w:vMerge w:val="continue"/>
            <w:vAlign w:val="center"/>
          </w:tcPr>
          <w:p w14:paraId="5EF02A86">
            <w:pPr>
              <w:jc w:val="center"/>
              <w:rPr>
                <w:rFonts w:ascii="Times New Roman" w:eastAsia="仿宋"/>
                <w:szCs w:val="21"/>
              </w:rPr>
            </w:pPr>
          </w:p>
        </w:tc>
        <w:tc>
          <w:tcPr>
            <w:tcW w:w="1081" w:type="pct"/>
            <w:vAlign w:val="center"/>
          </w:tcPr>
          <w:p w14:paraId="6BED3631">
            <w:pPr>
              <w:jc w:val="center"/>
              <w:rPr>
                <w:rFonts w:ascii="Times New Roman" w:eastAsia="仿宋"/>
              </w:rPr>
            </w:pPr>
            <w:r>
              <w:rPr>
                <w:rFonts w:ascii="Times New Roman" w:eastAsia="仿宋"/>
              </w:rPr>
              <w:t>SS</w:t>
            </w:r>
          </w:p>
        </w:tc>
        <w:tc>
          <w:tcPr>
            <w:tcW w:w="997" w:type="pct"/>
            <w:vAlign w:val="center"/>
          </w:tcPr>
          <w:p w14:paraId="486E1E4F">
            <w:pPr>
              <w:jc w:val="center"/>
              <w:rPr>
                <w:rFonts w:ascii="Times New Roman" w:eastAsia="仿宋"/>
              </w:rPr>
            </w:pPr>
            <w:r>
              <w:rPr>
                <w:rFonts w:hint="eastAsia" w:ascii="Times New Roman" w:eastAsia="仿宋"/>
              </w:rPr>
              <w:t>200</w:t>
            </w:r>
          </w:p>
        </w:tc>
        <w:tc>
          <w:tcPr>
            <w:tcW w:w="1183" w:type="pct"/>
            <w:vAlign w:val="center"/>
          </w:tcPr>
          <w:p w14:paraId="36DB06E7">
            <w:pPr>
              <w:jc w:val="center"/>
              <w:rPr>
                <w:rFonts w:ascii="Times New Roman" w:eastAsia="仿宋"/>
              </w:rPr>
            </w:pPr>
            <w:r>
              <w:rPr>
                <w:rFonts w:hint="eastAsia" w:ascii="Times New Roman" w:eastAsia="仿宋"/>
              </w:rPr>
              <w:t>0</w:t>
            </w:r>
            <w:r>
              <w:rPr>
                <w:rFonts w:ascii="Times New Roman" w:eastAsia="仿宋"/>
              </w:rPr>
              <w:t>.26</w:t>
            </w:r>
          </w:p>
        </w:tc>
      </w:tr>
      <w:tr w14:paraId="0984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5C3C5AF3">
            <w:pPr>
              <w:jc w:val="center"/>
              <w:rPr>
                <w:rFonts w:ascii="Times New Roman" w:eastAsia="仿宋"/>
                <w:szCs w:val="21"/>
              </w:rPr>
            </w:pPr>
          </w:p>
        </w:tc>
        <w:tc>
          <w:tcPr>
            <w:tcW w:w="818" w:type="pct"/>
            <w:vMerge w:val="continue"/>
            <w:vAlign w:val="center"/>
          </w:tcPr>
          <w:p w14:paraId="693DB152">
            <w:pPr>
              <w:jc w:val="center"/>
              <w:rPr>
                <w:rFonts w:ascii="Times New Roman" w:eastAsia="仿宋"/>
                <w:szCs w:val="21"/>
              </w:rPr>
            </w:pPr>
          </w:p>
        </w:tc>
        <w:tc>
          <w:tcPr>
            <w:tcW w:w="1081" w:type="pct"/>
            <w:vAlign w:val="center"/>
          </w:tcPr>
          <w:p w14:paraId="6F4B925F">
            <w:pPr>
              <w:jc w:val="center"/>
              <w:rPr>
                <w:rFonts w:ascii="Times New Roman" w:eastAsia="仿宋"/>
              </w:rPr>
            </w:pPr>
            <w:r>
              <w:rPr>
                <w:rFonts w:ascii="Times New Roman" w:eastAsia="仿宋"/>
              </w:rPr>
              <w:t>NH</w:t>
            </w:r>
            <w:r>
              <w:rPr>
                <w:rFonts w:ascii="Times New Roman" w:eastAsia="仿宋"/>
                <w:vertAlign w:val="subscript"/>
              </w:rPr>
              <w:t>3</w:t>
            </w:r>
            <w:r>
              <w:rPr>
                <w:rFonts w:ascii="Times New Roman" w:eastAsia="仿宋"/>
              </w:rPr>
              <w:t>-N</w:t>
            </w:r>
          </w:p>
        </w:tc>
        <w:tc>
          <w:tcPr>
            <w:tcW w:w="997" w:type="pct"/>
            <w:vAlign w:val="center"/>
          </w:tcPr>
          <w:p w14:paraId="1698D55A">
            <w:pPr>
              <w:jc w:val="center"/>
              <w:rPr>
                <w:rFonts w:ascii="Times New Roman" w:eastAsia="仿宋"/>
              </w:rPr>
            </w:pPr>
            <w:r>
              <w:rPr>
                <w:rFonts w:hint="eastAsia" w:ascii="Times New Roman" w:eastAsia="仿宋"/>
              </w:rPr>
              <w:t>20</w:t>
            </w:r>
          </w:p>
        </w:tc>
        <w:tc>
          <w:tcPr>
            <w:tcW w:w="1183" w:type="pct"/>
            <w:vAlign w:val="center"/>
          </w:tcPr>
          <w:p w14:paraId="0E6A0918">
            <w:pPr>
              <w:jc w:val="center"/>
              <w:rPr>
                <w:rFonts w:ascii="Times New Roman" w:eastAsia="仿宋"/>
              </w:rPr>
            </w:pPr>
            <w:r>
              <w:rPr>
                <w:rFonts w:hint="eastAsia" w:ascii="Times New Roman" w:eastAsia="仿宋"/>
              </w:rPr>
              <w:t>0</w:t>
            </w:r>
            <w:r>
              <w:rPr>
                <w:rFonts w:ascii="Times New Roman" w:eastAsia="仿宋"/>
              </w:rPr>
              <w:t>.03</w:t>
            </w:r>
          </w:p>
        </w:tc>
      </w:tr>
      <w:tr w14:paraId="753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1795E580">
            <w:pPr>
              <w:jc w:val="center"/>
              <w:rPr>
                <w:rFonts w:ascii="Times New Roman" w:eastAsia="仿宋"/>
                <w:szCs w:val="21"/>
              </w:rPr>
            </w:pPr>
          </w:p>
        </w:tc>
        <w:tc>
          <w:tcPr>
            <w:tcW w:w="818" w:type="pct"/>
            <w:vMerge w:val="continue"/>
            <w:vAlign w:val="center"/>
          </w:tcPr>
          <w:p w14:paraId="5AA28EA0">
            <w:pPr>
              <w:jc w:val="center"/>
              <w:rPr>
                <w:rFonts w:ascii="Times New Roman" w:eastAsia="仿宋"/>
                <w:szCs w:val="21"/>
              </w:rPr>
            </w:pPr>
          </w:p>
        </w:tc>
        <w:tc>
          <w:tcPr>
            <w:tcW w:w="1081" w:type="pct"/>
            <w:vAlign w:val="center"/>
          </w:tcPr>
          <w:p w14:paraId="44817D11">
            <w:pPr>
              <w:jc w:val="center"/>
              <w:rPr>
                <w:rFonts w:ascii="Times New Roman" w:eastAsia="仿宋"/>
                <w:szCs w:val="21"/>
              </w:rPr>
            </w:pPr>
            <w:r>
              <w:rPr>
                <w:rFonts w:hint="eastAsia" w:ascii="Times New Roman" w:eastAsia="仿宋"/>
                <w:szCs w:val="21"/>
              </w:rPr>
              <w:t>TN</w:t>
            </w:r>
          </w:p>
        </w:tc>
        <w:tc>
          <w:tcPr>
            <w:tcW w:w="997" w:type="pct"/>
            <w:vAlign w:val="center"/>
          </w:tcPr>
          <w:p w14:paraId="3EA0BB9D">
            <w:pPr>
              <w:jc w:val="center"/>
              <w:rPr>
                <w:rFonts w:ascii="Times New Roman" w:eastAsia="仿宋"/>
              </w:rPr>
            </w:pPr>
            <w:r>
              <w:rPr>
                <w:rFonts w:hint="eastAsia" w:ascii="Times New Roman" w:eastAsia="仿宋"/>
              </w:rPr>
              <w:t>30</w:t>
            </w:r>
          </w:p>
        </w:tc>
        <w:tc>
          <w:tcPr>
            <w:tcW w:w="1183" w:type="pct"/>
            <w:vAlign w:val="center"/>
          </w:tcPr>
          <w:p w14:paraId="132EEE52">
            <w:pPr>
              <w:jc w:val="center"/>
              <w:rPr>
                <w:rFonts w:ascii="Times New Roman" w:eastAsia="仿宋"/>
              </w:rPr>
            </w:pPr>
            <w:r>
              <w:rPr>
                <w:rFonts w:hint="eastAsia" w:ascii="Times New Roman" w:eastAsia="仿宋"/>
              </w:rPr>
              <w:t>0</w:t>
            </w:r>
            <w:r>
              <w:rPr>
                <w:rFonts w:ascii="Times New Roman" w:eastAsia="仿宋"/>
              </w:rPr>
              <w:t>.04</w:t>
            </w:r>
          </w:p>
        </w:tc>
      </w:tr>
      <w:tr w14:paraId="730E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 w:type="pct"/>
            <w:vMerge w:val="continue"/>
            <w:vAlign w:val="center"/>
          </w:tcPr>
          <w:p w14:paraId="1326B561">
            <w:pPr>
              <w:jc w:val="center"/>
              <w:rPr>
                <w:rFonts w:ascii="Times New Roman" w:eastAsia="仿宋"/>
                <w:szCs w:val="21"/>
              </w:rPr>
            </w:pPr>
          </w:p>
        </w:tc>
        <w:tc>
          <w:tcPr>
            <w:tcW w:w="818" w:type="pct"/>
            <w:vMerge w:val="continue"/>
            <w:vAlign w:val="center"/>
          </w:tcPr>
          <w:p w14:paraId="7691EBA3">
            <w:pPr>
              <w:jc w:val="center"/>
              <w:rPr>
                <w:rFonts w:ascii="Times New Roman" w:eastAsia="仿宋"/>
                <w:szCs w:val="21"/>
              </w:rPr>
            </w:pPr>
          </w:p>
        </w:tc>
        <w:tc>
          <w:tcPr>
            <w:tcW w:w="1081" w:type="pct"/>
            <w:vAlign w:val="center"/>
          </w:tcPr>
          <w:p w14:paraId="0A460013">
            <w:pPr>
              <w:jc w:val="center"/>
              <w:rPr>
                <w:rFonts w:ascii="Times New Roman" w:eastAsia="仿宋"/>
                <w:szCs w:val="21"/>
              </w:rPr>
            </w:pPr>
            <w:r>
              <w:rPr>
                <w:rFonts w:hint="eastAsia" w:ascii="Times New Roman" w:eastAsia="仿宋"/>
                <w:szCs w:val="21"/>
              </w:rPr>
              <w:t>TP</w:t>
            </w:r>
          </w:p>
        </w:tc>
        <w:tc>
          <w:tcPr>
            <w:tcW w:w="997" w:type="pct"/>
            <w:vAlign w:val="center"/>
          </w:tcPr>
          <w:p w14:paraId="6BBCFC63">
            <w:pPr>
              <w:jc w:val="center"/>
              <w:rPr>
                <w:rFonts w:ascii="Times New Roman" w:eastAsia="仿宋"/>
              </w:rPr>
            </w:pPr>
            <w:r>
              <w:rPr>
                <w:rFonts w:hint="eastAsia" w:ascii="Times New Roman" w:eastAsia="仿宋"/>
              </w:rPr>
              <w:t>3</w:t>
            </w:r>
          </w:p>
        </w:tc>
        <w:tc>
          <w:tcPr>
            <w:tcW w:w="1183" w:type="pct"/>
            <w:vAlign w:val="center"/>
          </w:tcPr>
          <w:p w14:paraId="2EFA1C9D">
            <w:pPr>
              <w:jc w:val="center"/>
              <w:rPr>
                <w:rFonts w:ascii="Times New Roman" w:eastAsia="仿宋"/>
              </w:rPr>
            </w:pPr>
            <w:r>
              <w:rPr>
                <w:rFonts w:hint="eastAsia" w:ascii="Times New Roman" w:eastAsia="仿宋"/>
              </w:rPr>
              <w:t>0</w:t>
            </w:r>
            <w:r>
              <w:rPr>
                <w:rFonts w:ascii="Times New Roman" w:eastAsia="仿宋"/>
              </w:rPr>
              <w:t>.004</w:t>
            </w:r>
          </w:p>
        </w:tc>
      </w:tr>
      <w:tr w14:paraId="1F13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vMerge w:val="continue"/>
            <w:vAlign w:val="center"/>
          </w:tcPr>
          <w:p w14:paraId="2EF52C49">
            <w:pPr>
              <w:jc w:val="center"/>
              <w:rPr>
                <w:rFonts w:ascii="Times New Roman" w:eastAsia="仿宋"/>
                <w:szCs w:val="21"/>
              </w:rPr>
            </w:pPr>
          </w:p>
        </w:tc>
        <w:tc>
          <w:tcPr>
            <w:tcW w:w="818" w:type="pct"/>
            <w:vMerge w:val="continue"/>
            <w:vAlign w:val="center"/>
          </w:tcPr>
          <w:p w14:paraId="59A8AA26">
            <w:pPr>
              <w:jc w:val="center"/>
              <w:rPr>
                <w:rFonts w:ascii="Times New Roman" w:eastAsia="仿宋"/>
                <w:szCs w:val="21"/>
              </w:rPr>
            </w:pPr>
          </w:p>
        </w:tc>
        <w:tc>
          <w:tcPr>
            <w:tcW w:w="1081" w:type="pct"/>
            <w:vAlign w:val="center"/>
          </w:tcPr>
          <w:p w14:paraId="5F8B31FC">
            <w:pPr>
              <w:jc w:val="center"/>
              <w:rPr>
                <w:rFonts w:ascii="Times New Roman" w:eastAsia="仿宋"/>
                <w:szCs w:val="21"/>
              </w:rPr>
            </w:pPr>
            <w:r>
              <w:rPr>
                <w:rFonts w:hint="eastAsia" w:ascii="Times New Roman" w:eastAsia="仿宋"/>
                <w:szCs w:val="21"/>
              </w:rPr>
              <w:t>动植物油</w:t>
            </w:r>
          </w:p>
        </w:tc>
        <w:tc>
          <w:tcPr>
            <w:tcW w:w="997" w:type="pct"/>
            <w:vAlign w:val="center"/>
          </w:tcPr>
          <w:p w14:paraId="4F0BBF15">
            <w:pPr>
              <w:jc w:val="center"/>
              <w:rPr>
                <w:rFonts w:ascii="Times New Roman" w:eastAsia="仿宋"/>
              </w:rPr>
            </w:pPr>
            <w:r>
              <w:rPr>
                <w:rFonts w:hint="eastAsia" w:ascii="Times New Roman" w:eastAsia="仿宋"/>
              </w:rPr>
              <w:t>60</w:t>
            </w:r>
          </w:p>
        </w:tc>
        <w:tc>
          <w:tcPr>
            <w:tcW w:w="1183" w:type="pct"/>
            <w:vAlign w:val="center"/>
          </w:tcPr>
          <w:p w14:paraId="4F938BBD">
            <w:pPr>
              <w:jc w:val="center"/>
              <w:rPr>
                <w:rFonts w:ascii="Times New Roman" w:eastAsia="仿宋"/>
              </w:rPr>
            </w:pPr>
            <w:r>
              <w:rPr>
                <w:rFonts w:hint="eastAsia" w:ascii="Times New Roman" w:eastAsia="仿宋"/>
              </w:rPr>
              <w:t>0</w:t>
            </w:r>
            <w:r>
              <w:rPr>
                <w:rFonts w:ascii="Times New Roman" w:eastAsia="仿宋"/>
              </w:rPr>
              <w:t>.08</w:t>
            </w:r>
          </w:p>
        </w:tc>
      </w:tr>
    </w:tbl>
    <w:p w14:paraId="6CD5FF21">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.2.2废气污染物源强</w:t>
      </w:r>
    </w:p>
    <w:p w14:paraId="0738A2BD">
      <w:pPr>
        <w:spacing w:line="500" w:lineRule="exact"/>
        <w:ind w:firstLine="560" w:firstLineChars="200"/>
        <w:rPr>
          <w:rFonts w:ascii="Times New Roman" w:eastAsia="仿宋"/>
          <w:sz w:val="28"/>
          <w:szCs w:val="28"/>
        </w:rPr>
      </w:pPr>
      <w:r>
        <w:rPr>
          <w:rFonts w:ascii="Times New Roman" w:eastAsia="仿宋"/>
          <w:sz w:val="28"/>
          <w:szCs w:val="28"/>
        </w:rPr>
        <w:t>1、正常工况下废气源强</w:t>
      </w:r>
    </w:p>
    <w:p w14:paraId="1720B8BB">
      <w:pPr>
        <w:spacing w:line="500" w:lineRule="exact"/>
        <w:ind w:firstLine="560" w:firstLineChars="200"/>
        <w:rPr>
          <w:rFonts w:ascii="Times New Roman" w:eastAsia="仿宋"/>
          <w:sz w:val="28"/>
          <w:szCs w:val="28"/>
        </w:rPr>
      </w:pPr>
      <w:r>
        <w:rPr>
          <w:rFonts w:ascii="Times New Roman" w:eastAsia="仿宋"/>
          <w:sz w:val="28"/>
          <w:szCs w:val="28"/>
        </w:rPr>
        <w:t>本项目产生有组织废气：</w:t>
      </w:r>
    </w:p>
    <w:p w14:paraId="5CFE5641">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1</w:t>
      </w:r>
      <w:r>
        <w:rPr>
          <w:rFonts w:hint="eastAsia" w:ascii="Times New Roman" w:eastAsia="仿宋"/>
          <w:sz w:val="28"/>
          <w:szCs w:val="28"/>
        </w:rPr>
        <w:t>）机加工粉尘G2</w:t>
      </w:r>
    </w:p>
    <w:p w14:paraId="724DB08C">
      <w:pPr>
        <w:spacing w:line="500" w:lineRule="exact"/>
        <w:ind w:firstLine="560" w:firstLineChars="200"/>
        <w:rPr>
          <w:rFonts w:ascii="Times New Roman" w:eastAsia="仿宋"/>
          <w:sz w:val="28"/>
          <w:szCs w:val="28"/>
        </w:rPr>
      </w:pPr>
      <w:r>
        <w:rPr>
          <w:rFonts w:hint="eastAsia" w:ascii="Times New Roman" w:eastAsia="仿宋"/>
          <w:sz w:val="28"/>
          <w:szCs w:val="28"/>
        </w:rPr>
        <w:t>为了使铝板表面光滑、光亮，企业会对表面氧化程度高的铝板、及铝板焊接处对工件进行打磨抛光。根据企业提供资料，5</w:t>
      </w:r>
      <w:r>
        <w:rPr>
          <w:rFonts w:ascii="Times New Roman" w:eastAsia="仿宋"/>
          <w:sz w:val="28"/>
          <w:szCs w:val="28"/>
        </w:rPr>
        <w:t>%</w:t>
      </w:r>
      <w:r>
        <w:rPr>
          <w:rFonts w:hint="eastAsia" w:ascii="Times New Roman" w:eastAsia="仿宋"/>
          <w:sz w:val="28"/>
          <w:szCs w:val="28"/>
        </w:rPr>
        <w:t>的工件需进行打磨抛光，加工量为25</w:t>
      </w:r>
      <w:r>
        <w:rPr>
          <w:rFonts w:ascii="Times New Roman" w:eastAsia="仿宋"/>
          <w:sz w:val="28"/>
          <w:szCs w:val="28"/>
        </w:rPr>
        <w:t>0</w:t>
      </w:r>
      <w:r>
        <w:rPr>
          <w:rFonts w:hint="eastAsia" w:ascii="Times New Roman" w:eastAsia="仿宋"/>
          <w:sz w:val="28"/>
          <w:szCs w:val="28"/>
        </w:rPr>
        <w:t>t/a，根据《排放源统计调查产排污核算方法和系数手册》中《33-37,431-434机械行业系数手册》中干式预处理-打磨工段颗粒物产生系数为2.19kg/t-原料，则粉尘产生量为0.5t/a。本项目打磨在密闭的打磨房内进行，粉尘经整体换风收集，收集效率以99%计，则有组织产生量为0.49t/a。</w:t>
      </w:r>
    </w:p>
    <w:p w14:paraId="60CF8CE2">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2</w:t>
      </w:r>
      <w:r>
        <w:rPr>
          <w:rFonts w:hint="eastAsia" w:ascii="Times New Roman" w:eastAsia="仿宋"/>
          <w:sz w:val="28"/>
          <w:szCs w:val="28"/>
        </w:rPr>
        <w:t>）酸雾G3</w:t>
      </w:r>
    </w:p>
    <w:p w14:paraId="5C4C1D1D">
      <w:pPr>
        <w:pStyle w:val="203"/>
        <w:spacing w:before="48" w:line="500" w:lineRule="exact"/>
        <w:ind w:firstLine="560"/>
        <w:rPr>
          <w:rFonts w:eastAsia="仿宋"/>
          <w:sz w:val="28"/>
          <w:szCs w:val="28"/>
        </w:rPr>
      </w:pPr>
      <w:r>
        <w:rPr>
          <w:rFonts w:hint="eastAsia" w:eastAsia="仿宋"/>
          <w:sz w:val="28"/>
          <w:szCs w:val="28"/>
        </w:rPr>
        <w:t>本项目脱脂清洗剂与自来水调配使用，调配后清洗剂比例为3%，根据清洗剂MSDS，清洗剂中含硫酸20%，与自来水调配后硫酸含量为0.6%。根据《污染源源强核算技术指南 电镀》（HJ984-2018）中附录B.1，本项目清洗液中硫酸的含量极低，且清洗工段在常温下进行，酸雾的产生量极小，可忽略不计，本项目不进行定量分析。</w:t>
      </w:r>
    </w:p>
    <w:p w14:paraId="1B1B01A5">
      <w:pPr>
        <w:spacing w:line="500" w:lineRule="exact"/>
        <w:ind w:firstLine="560" w:firstLineChars="200"/>
        <w:rPr>
          <w:rFonts w:ascii="Times New Roman" w:eastAsia="仿宋"/>
          <w:sz w:val="28"/>
          <w:szCs w:val="28"/>
        </w:rPr>
      </w:pPr>
      <w:r>
        <w:rPr>
          <w:rFonts w:hint="eastAsia" w:ascii="Times New Roman" w:eastAsia="仿宋"/>
          <w:sz w:val="28"/>
          <w:szCs w:val="28"/>
        </w:rPr>
        <w:t>（3）钝化废气G4</w:t>
      </w:r>
    </w:p>
    <w:p w14:paraId="6434ECCC">
      <w:pPr>
        <w:spacing w:line="500" w:lineRule="exact"/>
        <w:ind w:firstLine="560" w:firstLineChars="200"/>
        <w:rPr>
          <w:rFonts w:ascii="Times New Roman" w:eastAsia="仿宋"/>
          <w:sz w:val="28"/>
          <w:szCs w:val="28"/>
        </w:rPr>
      </w:pPr>
      <w:r>
        <w:rPr>
          <w:rFonts w:hint="eastAsia" w:ascii="Times New Roman" w:eastAsia="仿宋"/>
          <w:sz w:val="28"/>
          <w:szCs w:val="28"/>
        </w:rPr>
        <w:t>本项目钝化过程使用无铬钝化剂，无铬钝化中乙醇含量为35%，按照全挥发计算，钝化剂全年用量为25t，则产生钝化废气8.75t/a，在钝化槽上方设置集气罩，废气捕集率可达90%，则钝化过程有组织废气产生量为非甲烷总烃7.88t/a。</w:t>
      </w:r>
    </w:p>
    <w:p w14:paraId="5652165C">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4</w:t>
      </w:r>
      <w:r>
        <w:rPr>
          <w:rFonts w:hint="eastAsia" w:ascii="Times New Roman" w:eastAsia="仿宋"/>
          <w:sz w:val="28"/>
          <w:szCs w:val="28"/>
        </w:rPr>
        <w:t>）水洗烘干天然气燃烧废气G5、喷粉固化天然气燃烧废气G8、喷漆烘干天然气燃烧废气G</w:t>
      </w:r>
      <w:r>
        <w:rPr>
          <w:rFonts w:ascii="Times New Roman" w:eastAsia="仿宋"/>
          <w:sz w:val="28"/>
          <w:szCs w:val="28"/>
        </w:rPr>
        <w:t>1</w:t>
      </w:r>
      <w:r>
        <w:rPr>
          <w:rFonts w:hint="eastAsia" w:ascii="Times New Roman" w:eastAsia="仿宋"/>
          <w:sz w:val="28"/>
          <w:szCs w:val="28"/>
        </w:rPr>
        <w:t>3、G</w:t>
      </w:r>
      <w:r>
        <w:rPr>
          <w:rFonts w:ascii="Times New Roman" w:eastAsia="仿宋"/>
          <w:sz w:val="28"/>
          <w:szCs w:val="28"/>
        </w:rPr>
        <w:t>17</w:t>
      </w:r>
    </w:p>
    <w:p w14:paraId="66DC43E3">
      <w:pPr>
        <w:spacing w:line="500" w:lineRule="exact"/>
        <w:ind w:firstLine="560" w:firstLineChars="200"/>
        <w:rPr>
          <w:rFonts w:ascii="Times New Roman" w:eastAsia="仿宋"/>
          <w:sz w:val="28"/>
          <w:szCs w:val="28"/>
        </w:rPr>
      </w:pPr>
      <w:r>
        <w:rPr>
          <w:rFonts w:hint="eastAsia" w:ascii="Times New Roman" w:eastAsia="仿宋"/>
          <w:sz w:val="28"/>
          <w:szCs w:val="28"/>
        </w:rPr>
        <w:t>水洗烘干、喷粉固化、喷漆烘干采用燃烧天然气直接加热的方式，产生燃烧废气</w:t>
      </w:r>
      <w:r>
        <w:rPr>
          <w:rFonts w:ascii="Times New Roman" w:eastAsia="仿宋"/>
          <w:sz w:val="28"/>
          <w:szCs w:val="28"/>
        </w:rPr>
        <w:t>。根据厂方提供资料，</w:t>
      </w:r>
      <w:r>
        <w:rPr>
          <w:rFonts w:hint="eastAsia" w:ascii="Times New Roman" w:eastAsia="仿宋"/>
          <w:sz w:val="28"/>
          <w:szCs w:val="28"/>
        </w:rPr>
        <w:t>涂装线</w:t>
      </w:r>
      <w:r>
        <w:rPr>
          <w:rFonts w:ascii="Times New Roman" w:eastAsia="仿宋"/>
          <w:sz w:val="28"/>
          <w:szCs w:val="28"/>
        </w:rPr>
        <w:t>天然气年用量共</w:t>
      </w:r>
      <w:r>
        <w:rPr>
          <w:rFonts w:hint="eastAsia" w:ascii="Times New Roman" w:eastAsia="仿宋"/>
          <w:sz w:val="28"/>
          <w:szCs w:val="28"/>
        </w:rPr>
        <w:t>60</w:t>
      </w:r>
      <w:r>
        <w:rPr>
          <w:rFonts w:ascii="Times New Roman" w:eastAsia="仿宋"/>
          <w:sz w:val="28"/>
          <w:szCs w:val="28"/>
        </w:rPr>
        <w:t>万Nm</w:t>
      </w:r>
      <w:r>
        <w:rPr>
          <w:rFonts w:ascii="Times New Roman" w:eastAsia="仿宋"/>
          <w:sz w:val="28"/>
          <w:szCs w:val="28"/>
          <w:vertAlign w:val="superscript"/>
        </w:rPr>
        <w:t>3</w:t>
      </w:r>
      <w:r>
        <w:rPr>
          <w:rFonts w:ascii="Times New Roman" w:eastAsia="仿宋"/>
          <w:sz w:val="28"/>
          <w:szCs w:val="28"/>
        </w:rPr>
        <w:t>/a。</w:t>
      </w:r>
      <w:r>
        <w:rPr>
          <w:rFonts w:hint="eastAsia" w:ascii="Times New Roman" w:eastAsia="仿宋"/>
          <w:sz w:val="28"/>
          <w:szCs w:val="28"/>
        </w:rPr>
        <w:t>根据《排放源统计调查产排污核算方法和系数手册-</w:t>
      </w:r>
      <w:r>
        <w:rPr>
          <w:rFonts w:ascii="Times New Roman" w:eastAsia="仿宋"/>
          <w:sz w:val="28"/>
          <w:szCs w:val="28"/>
        </w:rPr>
        <w:t>33-37</w:t>
      </w:r>
      <w:r>
        <w:rPr>
          <w:rFonts w:hint="eastAsia" w:ascii="Times New Roman" w:eastAsia="仿宋"/>
          <w:sz w:val="28"/>
          <w:szCs w:val="28"/>
        </w:rPr>
        <w:t>机械行业系数手册》(生态环境部公告2021年第24号)中1</w:t>
      </w:r>
      <w:r>
        <w:rPr>
          <w:rFonts w:ascii="Times New Roman" w:eastAsia="仿宋"/>
          <w:sz w:val="28"/>
          <w:szCs w:val="28"/>
        </w:rPr>
        <w:t>4</w:t>
      </w:r>
      <w:r>
        <w:rPr>
          <w:rFonts w:hint="eastAsia" w:ascii="Times New Roman" w:eastAsia="仿宋"/>
          <w:sz w:val="28"/>
          <w:szCs w:val="28"/>
        </w:rPr>
        <w:t>涂装行业，天然气燃烧废气中颗粒物</w:t>
      </w:r>
      <w:r>
        <w:rPr>
          <w:rFonts w:ascii="Times New Roman" w:eastAsia="仿宋"/>
          <w:sz w:val="28"/>
          <w:szCs w:val="28"/>
        </w:rPr>
        <w:t>、SO</w:t>
      </w:r>
      <w:r>
        <w:rPr>
          <w:rFonts w:ascii="Times New Roman" w:eastAsia="仿宋"/>
          <w:sz w:val="28"/>
          <w:szCs w:val="28"/>
          <w:vertAlign w:val="subscript"/>
        </w:rPr>
        <w:t>2</w:t>
      </w:r>
      <w:r>
        <w:rPr>
          <w:rFonts w:ascii="Times New Roman" w:eastAsia="仿宋"/>
          <w:sz w:val="28"/>
          <w:szCs w:val="28"/>
        </w:rPr>
        <w:t>、NOx</w:t>
      </w:r>
      <w:r>
        <w:rPr>
          <w:rFonts w:hint="eastAsia" w:ascii="Times New Roman" w:eastAsia="仿宋"/>
          <w:sz w:val="28"/>
          <w:szCs w:val="28"/>
        </w:rPr>
        <w:t>参照中相关产污系数，其污染物具体排放系数见下表。</w:t>
      </w:r>
    </w:p>
    <w:p w14:paraId="09FE84DC">
      <w:pPr>
        <w:spacing w:line="500" w:lineRule="exact"/>
        <w:jc w:val="center"/>
        <w:rPr>
          <w:rFonts w:ascii="Times New Roman" w:eastAsia="仿宋"/>
          <w:b/>
          <w:bCs/>
        </w:rPr>
      </w:pPr>
      <w:r>
        <w:rPr>
          <w:rFonts w:hint="eastAsia" w:ascii="Times New Roman" w:eastAsia="仿宋"/>
          <w:b/>
          <w:bCs/>
        </w:rPr>
        <w:t>表3.</w:t>
      </w:r>
      <w:r>
        <w:rPr>
          <w:rFonts w:ascii="Times New Roman" w:eastAsia="仿宋"/>
          <w:b/>
          <w:bCs/>
        </w:rPr>
        <w:t>2</w:t>
      </w:r>
      <w:r>
        <w:rPr>
          <w:rFonts w:hint="eastAsia" w:ascii="Times New Roman" w:eastAsia="仿宋"/>
          <w:b/>
          <w:bCs/>
        </w:rPr>
        <w:t>-</w:t>
      </w:r>
      <w:r>
        <w:rPr>
          <w:rFonts w:ascii="Times New Roman" w:eastAsia="仿宋"/>
          <w:b/>
          <w:bCs/>
        </w:rPr>
        <w:t>5 天然气燃烧废气主要污染物的产生情况一览表</w:t>
      </w:r>
    </w:p>
    <w:tbl>
      <w:tblPr>
        <w:tblStyle w:val="87"/>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391"/>
        <w:gridCol w:w="1798"/>
        <w:gridCol w:w="1056"/>
        <w:gridCol w:w="1130"/>
        <w:gridCol w:w="1521"/>
      </w:tblGrid>
      <w:tr w14:paraId="132D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839" w:type="pct"/>
            <w:vMerge w:val="restart"/>
            <w:vAlign w:val="center"/>
          </w:tcPr>
          <w:p w14:paraId="4FC8BB91">
            <w:pPr>
              <w:jc w:val="center"/>
              <w:rPr>
                <w:rFonts w:ascii="Times New Roman" w:eastAsia="仿宋"/>
                <w:szCs w:val="21"/>
              </w:rPr>
            </w:pPr>
            <w:r>
              <w:rPr>
                <w:rFonts w:hint="eastAsia" w:ascii="Times New Roman" w:eastAsia="仿宋"/>
                <w:szCs w:val="21"/>
              </w:rPr>
              <w:t>工段</w:t>
            </w:r>
          </w:p>
        </w:tc>
        <w:tc>
          <w:tcPr>
            <w:tcW w:w="839" w:type="pct"/>
            <w:vMerge w:val="restart"/>
            <w:vAlign w:val="center"/>
          </w:tcPr>
          <w:p w14:paraId="22759412">
            <w:pPr>
              <w:jc w:val="center"/>
              <w:rPr>
                <w:rFonts w:ascii="Times New Roman" w:eastAsia="仿宋"/>
                <w:szCs w:val="21"/>
              </w:rPr>
            </w:pPr>
            <w:r>
              <w:rPr>
                <w:rFonts w:ascii="Times New Roman" w:eastAsia="仿宋"/>
                <w:szCs w:val="21"/>
              </w:rPr>
              <w:t>天然气使用量(万立方米)</w:t>
            </w:r>
          </w:p>
        </w:tc>
        <w:tc>
          <w:tcPr>
            <w:tcW w:w="1085" w:type="pct"/>
            <w:vAlign w:val="center"/>
          </w:tcPr>
          <w:p w14:paraId="09F46C4D">
            <w:pPr>
              <w:jc w:val="center"/>
              <w:rPr>
                <w:rFonts w:ascii="Times New Roman" w:eastAsia="仿宋"/>
                <w:szCs w:val="21"/>
              </w:rPr>
            </w:pPr>
            <w:r>
              <w:rPr>
                <w:rFonts w:ascii="Times New Roman" w:eastAsia="仿宋"/>
                <w:szCs w:val="21"/>
              </w:rPr>
              <w:t>污染物</w:t>
            </w:r>
          </w:p>
        </w:tc>
        <w:tc>
          <w:tcPr>
            <w:tcW w:w="637" w:type="pct"/>
            <w:vAlign w:val="center"/>
          </w:tcPr>
          <w:p w14:paraId="11884F36">
            <w:pPr>
              <w:jc w:val="center"/>
              <w:rPr>
                <w:rFonts w:ascii="Times New Roman" w:eastAsia="仿宋"/>
                <w:szCs w:val="21"/>
              </w:rPr>
            </w:pPr>
            <w:r>
              <w:rPr>
                <w:rFonts w:ascii="Times New Roman" w:eastAsia="仿宋"/>
                <w:szCs w:val="21"/>
              </w:rPr>
              <w:t>颗粒物</w:t>
            </w:r>
          </w:p>
        </w:tc>
        <w:tc>
          <w:tcPr>
            <w:tcW w:w="682" w:type="pct"/>
            <w:vAlign w:val="center"/>
          </w:tcPr>
          <w:p w14:paraId="295B5A76">
            <w:pPr>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920" w:type="pct"/>
            <w:vAlign w:val="center"/>
          </w:tcPr>
          <w:p w14:paraId="785296F1">
            <w:pPr>
              <w:jc w:val="center"/>
              <w:rPr>
                <w:rFonts w:ascii="Times New Roman" w:eastAsia="仿宋"/>
                <w:szCs w:val="21"/>
              </w:rPr>
            </w:pPr>
            <w:r>
              <w:rPr>
                <w:rFonts w:ascii="Times New Roman" w:eastAsia="仿宋"/>
                <w:szCs w:val="21"/>
              </w:rPr>
              <w:t>NOx</w:t>
            </w:r>
          </w:p>
        </w:tc>
      </w:tr>
      <w:tr w14:paraId="3C7B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839" w:type="pct"/>
            <w:vMerge w:val="continue"/>
          </w:tcPr>
          <w:p w14:paraId="04292560">
            <w:pPr>
              <w:jc w:val="center"/>
              <w:rPr>
                <w:rFonts w:ascii="Times New Roman" w:eastAsia="仿宋"/>
                <w:szCs w:val="21"/>
              </w:rPr>
            </w:pPr>
          </w:p>
        </w:tc>
        <w:tc>
          <w:tcPr>
            <w:tcW w:w="839" w:type="pct"/>
            <w:vMerge w:val="continue"/>
            <w:vAlign w:val="center"/>
          </w:tcPr>
          <w:p w14:paraId="6CD81FFD">
            <w:pPr>
              <w:jc w:val="center"/>
              <w:rPr>
                <w:rFonts w:ascii="Times New Roman" w:eastAsia="仿宋"/>
                <w:szCs w:val="21"/>
              </w:rPr>
            </w:pPr>
          </w:p>
        </w:tc>
        <w:tc>
          <w:tcPr>
            <w:tcW w:w="1085" w:type="pct"/>
            <w:vAlign w:val="center"/>
          </w:tcPr>
          <w:p w14:paraId="604D3E2B">
            <w:pPr>
              <w:jc w:val="center"/>
              <w:rPr>
                <w:rFonts w:ascii="Times New Roman" w:eastAsia="仿宋"/>
                <w:szCs w:val="21"/>
              </w:rPr>
            </w:pPr>
            <w:r>
              <w:rPr>
                <w:rFonts w:ascii="Times New Roman" w:eastAsia="仿宋"/>
                <w:szCs w:val="21"/>
              </w:rPr>
              <w:t>产污系数(千克/万立方米-燃料)</w:t>
            </w:r>
          </w:p>
        </w:tc>
        <w:tc>
          <w:tcPr>
            <w:tcW w:w="637" w:type="pct"/>
            <w:vAlign w:val="center"/>
          </w:tcPr>
          <w:p w14:paraId="1E792753">
            <w:pPr>
              <w:jc w:val="center"/>
              <w:rPr>
                <w:rFonts w:ascii="Times New Roman" w:eastAsia="仿宋"/>
                <w:szCs w:val="21"/>
              </w:rPr>
            </w:pPr>
            <w:r>
              <w:rPr>
                <w:rFonts w:ascii="Times New Roman" w:eastAsia="仿宋"/>
                <w:szCs w:val="21"/>
              </w:rPr>
              <w:t>2.86</w:t>
            </w:r>
          </w:p>
        </w:tc>
        <w:tc>
          <w:tcPr>
            <w:tcW w:w="682" w:type="pct"/>
            <w:vAlign w:val="center"/>
          </w:tcPr>
          <w:p w14:paraId="1EBAFEC5">
            <w:pPr>
              <w:jc w:val="center"/>
              <w:rPr>
                <w:rFonts w:ascii="Times New Roman" w:eastAsia="仿宋"/>
                <w:szCs w:val="21"/>
              </w:rPr>
            </w:pPr>
            <w:r>
              <w:rPr>
                <w:rFonts w:ascii="Times New Roman" w:eastAsia="仿宋"/>
                <w:szCs w:val="21"/>
              </w:rPr>
              <w:t>0.02S*</w:t>
            </w:r>
          </w:p>
        </w:tc>
        <w:tc>
          <w:tcPr>
            <w:tcW w:w="920" w:type="pct"/>
            <w:vAlign w:val="center"/>
          </w:tcPr>
          <w:p w14:paraId="5AC692DD">
            <w:pPr>
              <w:jc w:val="center"/>
              <w:rPr>
                <w:rFonts w:ascii="Times New Roman" w:eastAsia="仿宋"/>
                <w:szCs w:val="21"/>
              </w:rPr>
            </w:pPr>
            <w:r>
              <w:rPr>
                <w:rFonts w:ascii="Times New Roman" w:eastAsia="仿宋"/>
                <w:szCs w:val="21"/>
              </w:rPr>
              <w:t>18.7</w:t>
            </w:r>
          </w:p>
        </w:tc>
      </w:tr>
      <w:tr w14:paraId="634C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39" w:type="pct"/>
          </w:tcPr>
          <w:p w14:paraId="53FD10DC">
            <w:pPr>
              <w:jc w:val="center"/>
              <w:rPr>
                <w:rFonts w:ascii="Times New Roman" w:eastAsia="仿宋"/>
                <w:szCs w:val="21"/>
              </w:rPr>
            </w:pPr>
            <w:r>
              <w:rPr>
                <w:rFonts w:hint="eastAsia" w:ascii="Times New Roman" w:eastAsia="仿宋"/>
                <w:szCs w:val="21"/>
              </w:rPr>
              <w:t>水洗烘干G5</w:t>
            </w:r>
          </w:p>
        </w:tc>
        <w:tc>
          <w:tcPr>
            <w:tcW w:w="839" w:type="pct"/>
            <w:vAlign w:val="center"/>
          </w:tcPr>
          <w:p w14:paraId="11D9BF15">
            <w:pPr>
              <w:jc w:val="center"/>
              <w:rPr>
                <w:rFonts w:ascii="Times New Roman" w:eastAsia="仿宋"/>
                <w:szCs w:val="21"/>
              </w:rPr>
            </w:pPr>
            <w:r>
              <w:rPr>
                <w:rFonts w:hint="eastAsia" w:ascii="Times New Roman" w:eastAsia="仿宋"/>
                <w:szCs w:val="21"/>
              </w:rPr>
              <w:t>1</w:t>
            </w:r>
            <w:r>
              <w:rPr>
                <w:rFonts w:ascii="Times New Roman" w:eastAsia="仿宋"/>
                <w:szCs w:val="21"/>
              </w:rPr>
              <w:t>2</w:t>
            </w:r>
          </w:p>
        </w:tc>
        <w:tc>
          <w:tcPr>
            <w:tcW w:w="1085" w:type="pct"/>
            <w:vAlign w:val="center"/>
          </w:tcPr>
          <w:p w14:paraId="28C4FA16">
            <w:pPr>
              <w:jc w:val="center"/>
              <w:rPr>
                <w:rFonts w:ascii="Times New Roman" w:eastAsia="仿宋"/>
                <w:szCs w:val="21"/>
              </w:rPr>
            </w:pPr>
            <w:r>
              <w:rPr>
                <w:rFonts w:ascii="Times New Roman" w:eastAsia="仿宋"/>
                <w:szCs w:val="21"/>
              </w:rPr>
              <w:t>产生量(t/a)</w:t>
            </w:r>
          </w:p>
        </w:tc>
        <w:tc>
          <w:tcPr>
            <w:tcW w:w="637" w:type="pct"/>
            <w:vAlign w:val="center"/>
          </w:tcPr>
          <w:p w14:paraId="21DF92C3">
            <w:pPr>
              <w:jc w:val="center"/>
              <w:rPr>
                <w:rFonts w:ascii="Times New Roman" w:eastAsia="仿宋"/>
                <w:szCs w:val="21"/>
              </w:rPr>
            </w:pPr>
            <w:r>
              <w:rPr>
                <w:rFonts w:hint="eastAsia" w:ascii="Times New Roman" w:eastAsia="仿宋"/>
                <w:szCs w:val="21"/>
              </w:rPr>
              <w:t>0.034</w:t>
            </w:r>
          </w:p>
        </w:tc>
        <w:tc>
          <w:tcPr>
            <w:tcW w:w="682" w:type="pct"/>
            <w:vAlign w:val="center"/>
          </w:tcPr>
          <w:p w14:paraId="542E0863">
            <w:pPr>
              <w:jc w:val="center"/>
              <w:rPr>
                <w:rFonts w:ascii="Times New Roman" w:eastAsia="仿宋"/>
                <w:szCs w:val="21"/>
              </w:rPr>
            </w:pPr>
            <w:r>
              <w:rPr>
                <w:rFonts w:ascii="Times New Roman" w:eastAsia="仿宋"/>
                <w:szCs w:val="21"/>
              </w:rPr>
              <w:t>0.0</w:t>
            </w:r>
            <w:r>
              <w:rPr>
                <w:rFonts w:hint="eastAsia" w:ascii="Times New Roman" w:eastAsia="仿宋"/>
                <w:szCs w:val="21"/>
              </w:rPr>
              <w:t>05</w:t>
            </w:r>
          </w:p>
        </w:tc>
        <w:tc>
          <w:tcPr>
            <w:tcW w:w="920" w:type="pct"/>
            <w:vAlign w:val="center"/>
          </w:tcPr>
          <w:p w14:paraId="7C26E9E9">
            <w:pPr>
              <w:jc w:val="center"/>
              <w:rPr>
                <w:rFonts w:ascii="Times New Roman" w:eastAsia="仿宋"/>
                <w:szCs w:val="21"/>
              </w:rPr>
            </w:pPr>
            <w:r>
              <w:rPr>
                <w:rFonts w:hint="eastAsia" w:ascii="Times New Roman" w:eastAsia="仿宋"/>
                <w:szCs w:val="21"/>
              </w:rPr>
              <w:t>0</w:t>
            </w:r>
            <w:r>
              <w:rPr>
                <w:rFonts w:ascii="Times New Roman" w:eastAsia="仿宋"/>
                <w:szCs w:val="21"/>
              </w:rPr>
              <w:t>.224</w:t>
            </w:r>
          </w:p>
        </w:tc>
      </w:tr>
      <w:tr w14:paraId="5061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39" w:type="pct"/>
          </w:tcPr>
          <w:p w14:paraId="3BFFB2F1">
            <w:pPr>
              <w:jc w:val="center"/>
              <w:rPr>
                <w:rFonts w:ascii="Times New Roman" w:eastAsia="仿宋"/>
                <w:szCs w:val="21"/>
              </w:rPr>
            </w:pPr>
            <w:r>
              <w:rPr>
                <w:rFonts w:hint="eastAsia" w:ascii="Times New Roman" w:eastAsia="仿宋"/>
                <w:szCs w:val="21"/>
              </w:rPr>
              <w:t>喷粉固化G8</w:t>
            </w:r>
          </w:p>
        </w:tc>
        <w:tc>
          <w:tcPr>
            <w:tcW w:w="839" w:type="pct"/>
            <w:vAlign w:val="center"/>
          </w:tcPr>
          <w:p w14:paraId="241A97E8">
            <w:pPr>
              <w:jc w:val="center"/>
              <w:rPr>
                <w:rFonts w:ascii="Times New Roman" w:eastAsia="仿宋"/>
                <w:szCs w:val="21"/>
              </w:rPr>
            </w:pPr>
            <w:r>
              <w:rPr>
                <w:rFonts w:ascii="Times New Roman" w:eastAsia="仿宋"/>
                <w:szCs w:val="21"/>
              </w:rPr>
              <w:t>24</w:t>
            </w:r>
          </w:p>
        </w:tc>
        <w:tc>
          <w:tcPr>
            <w:tcW w:w="1085" w:type="pct"/>
            <w:vAlign w:val="center"/>
          </w:tcPr>
          <w:p w14:paraId="537056B8">
            <w:pPr>
              <w:jc w:val="center"/>
              <w:rPr>
                <w:rFonts w:ascii="Times New Roman" w:eastAsia="仿宋"/>
                <w:szCs w:val="21"/>
              </w:rPr>
            </w:pPr>
            <w:r>
              <w:rPr>
                <w:rFonts w:ascii="Times New Roman" w:eastAsia="仿宋"/>
                <w:szCs w:val="21"/>
              </w:rPr>
              <w:t>产生量(t/a)</w:t>
            </w:r>
          </w:p>
        </w:tc>
        <w:tc>
          <w:tcPr>
            <w:tcW w:w="637" w:type="pct"/>
            <w:vAlign w:val="center"/>
          </w:tcPr>
          <w:p w14:paraId="522CC7ED">
            <w:pPr>
              <w:jc w:val="center"/>
              <w:rPr>
                <w:rFonts w:ascii="Times New Roman" w:eastAsia="仿宋"/>
                <w:szCs w:val="21"/>
              </w:rPr>
            </w:pPr>
            <w:r>
              <w:rPr>
                <w:rFonts w:hint="eastAsia" w:ascii="Times New Roman" w:eastAsia="仿宋"/>
                <w:szCs w:val="21"/>
              </w:rPr>
              <w:t>0</w:t>
            </w:r>
            <w:r>
              <w:rPr>
                <w:rFonts w:ascii="Times New Roman" w:eastAsia="仿宋"/>
                <w:szCs w:val="21"/>
              </w:rPr>
              <w:t>.068</w:t>
            </w:r>
          </w:p>
        </w:tc>
        <w:tc>
          <w:tcPr>
            <w:tcW w:w="682" w:type="pct"/>
            <w:vAlign w:val="center"/>
          </w:tcPr>
          <w:p w14:paraId="0119676F">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920" w:type="pct"/>
            <w:vAlign w:val="center"/>
          </w:tcPr>
          <w:p w14:paraId="21E48048">
            <w:pPr>
              <w:jc w:val="center"/>
              <w:rPr>
                <w:rFonts w:ascii="Times New Roman" w:eastAsia="仿宋"/>
                <w:szCs w:val="21"/>
              </w:rPr>
            </w:pPr>
            <w:r>
              <w:rPr>
                <w:rFonts w:hint="eastAsia" w:ascii="Times New Roman" w:eastAsia="仿宋"/>
                <w:szCs w:val="21"/>
              </w:rPr>
              <w:t>0</w:t>
            </w:r>
            <w:r>
              <w:rPr>
                <w:rFonts w:ascii="Times New Roman" w:eastAsia="仿宋"/>
                <w:szCs w:val="21"/>
              </w:rPr>
              <w:t>.448</w:t>
            </w:r>
          </w:p>
        </w:tc>
      </w:tr>
      <w:tr w14:paraId="386D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39" w:type="pct"/>
          </w:tcPr>
          <w:p w14:paraId="5650A030">
            <w:pPr>
              <w:jc w:val="center"/>
              <w:rPr>
                <w:rFonts w:ascii="Times New Roman" w:eastAsia="仿宋"/>
                <w:szCs w:val="21"/>
              </w:rPr>
            </w:pPr>
            <w:r>
              <w:rPr>
                <w:rFonts w:hint="eastAsia" w:ascii="Times New Roman" w:eastAsia="仿宋"/>
                <w:szCs w:val="21"/>
              </w:rPr>
              <w:t>喷漆烘干G1</w:t>
            </w:r>
            <w:r>
              <w:rPr>
                <w:rFonts w:ascii="Times New Roman" w:eastAsia="仿宋"/>
                <w:szCs w:val="21"/>
              </w:rPr>
              <w:t>3</w:t>
            </w:r>
            <w:r>
              <w:rPr>
                <w:rFonts w:hint="eastAsia" w:ascii="Times New Roman" w:eastAsia="仿宋"/>
                <w:szCs w:val="21"/>
              </w:rPr>
              <w:t>、G1</w:t>
            </w:r>
            <w:r>
              <w:rPr>
                <w:rFonts w:ascii="Times New Roman" w:eastAsia="仿宋"/>
                <w:szCs w:val="21"/>
              </w:rPr>
              <w:t>7</w:t>
            </w:r>
          </w:p>
        </w:tc>
        <w:tc>
          <w:tcPr>
            <w:tcW w:w="839" w:type="pct"/>
            <w:vAlign w:val="center"/>
          </w:tcPr>
          <w:p w14:paraId="2F0DF5DA">
            <w:pPr>
              <w:jc w:val="center"/>
              <w:rPr>
                <w:rFonts w:ascii="Times New Roman" w:eastAsia="仿宋"/>
                <w:szCs w:val="21"/>
              </w:rPr>
            </w:pPr>
            <w:r>
              <w:rPr>
                <w:rFonts w:ascii="Times New Roman" w:eastAsia="仿宋"/>
                <w:szCs w:val="21"/>
              </w:rPr>
              <w:t>24</w:t>
            </w:r>
          </w:p>
        </w:tc>
        <w:tc>
          <w:tcPr>
            <w:tcW w:w="1085" w:type="pct"/>
            <w:vAlign w:val="center"/>
          </w:tcPr>
          <w:p w14:paraId="1DA4F5A6">
            <w:pPr>
              <w:jc w:val="center"/>
              <w:rPr>
                <w:rFonts w:ascii="Times New Roman" w:eastAsia="仿宋"/>
                <w:szCs w:val="21"/>
              </w:rPr>
            </w:pPr>
            <w:r>
              <w:rPr>
                <w:rFonts w:ascii="Times New Roman" w:eastAsia="仿宋"/>
                <w:szCs w:val="21"/>
              </w:rPr>
              <w:t>产生量(t/a)</w:t>
            </w:r>
          </w:p>
        </w:tc>
        <w:tc>
          <w:tcPr>
            <w:tcW w:w="637" w:type="pct"/>
            <w:vAlign w:val="center"/>
          </w:tcPr>
          <w:p w14:paraId="492186DA">
            <w:pPr>
              <w:jc w:val="center"/>
              <w:rPr>
                <w:rFonts w:ascii="Times New Roman" w:eastAsia="仿宋"/>
                <w:szCs w:val="21"/>
              </w:rPr>
            </w:pPr>
            <w:r>
              <w:rPr>
                <w:rFonts w:hint="eastAsia" w:ascii="Times New Roman" w:eastAsia="仿宋"/>
                <w:szCs w:val="21"/>
              </w:rPr>
              <w:t>0</w:t>
            </w:r>
            <w:r>
              <w:rPr>
                <w:rFonts w:ascii="Times New Roman" w:eastAsia="仿宋"/>
                <w:szCs w:val="21"/>
              </w:rPr>
              <w:t>.068</w:t>
            </w:r>
          </w:p>
        </w:tc>
        <w:tc>
          <w:tcPr>
            <w:tcW w:w="682" w:type="pct"/>
            <w:vAlign w:val="center"/>
          </w:tcPr>
          <w:p w14:paraId="5FA319B9">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920" w:type="pct"/>
            <w:vAlign w:val="center"/>
          </w:tcPr>
          <w:p w14:paraId="67AE1DCA">
            <w:pPr>
              <w:jc w:val="center"/>
              <w:rPr>
                <w:rFonts w:ascii="Times New Roman" w:eastAsia="仿宋"/>
                <w:szCs w:val="21"/>
              </w:rPr>
            </w:pPr>
            <w:r>
              <w:rPr>
                <w:rFonts w:hint="eastAsia" w:ascii="Times New Roman" w:eastAsia="仿宋"/>
                <w:szCs w:val="21"/>
              </w:rPr>
              <w:t>0</w:t>
            </w:r>
            <w:r>
              <w:rPr>
                <w:rFonts w:ascii="Times New Roman" w:eastAsia="仿宋"/>
                <w:szCs w:val="21"/>
              </w:rPr>
              <w:t>.448</w:t>
            </w:r>
          </w:p>
        </w:tc>
      </w:tr>
    </w:tbl>
    <w:p w14:paraId="38A67BE4">
      <w:pPr>
        <w:pStyle w:val="22"/>
        <w:rPr>
          <w:rFonts w:eastAsia="仿宋"/>
        </w:rPr>
      </w:pPr>
      <w:r>
        <w:rPr>
          <w:rFonts w:eastAsia="仿宋"/>
        </w:rPr>
        <w:t>*产排污系数表中二氧化硫的产排污系数是以含硫量（S）的形式表示的，其中含硫量（S）是指燃气硫分含量，单位为毫克/立方米。本项目天然气中含硫量（S）取</w:t>
      </w:r>
      <w:r>
        <w:rPr>
          <w:rFonts w:hint="eastAsia" w:eastAsia="仿宋"/>
        </w:rPr>
        <w:t>20</w:t>
      </w:r>
      <w:r>
        <w:rPr>
          <w:rFonts w:eastAsia="仿宋"/>
        </w:rPr>
        <w:t>毫克/立方米，则S=</w:t>
      </w:r>
      <w:r>
        <w:rPr>
          <w:rFonts w:hint="eastAsia" w:eastAsia="仿宋"/>
        </w:rPr>
        <w:t>20</w:t>
      </w:r>
      <w:r>
        <w:rPr>
          <w:rFonts w:eastAsia="仿宋"/>
        </w:rPr>
        <w:t>。</w:t>
      </w:r>
    </w:p>
    <w:p w14:paraId="6E2CE0C6">
      <w:pPr>
        <w:spacing w:line="500" w:lineRule="exact"/>
        <w:ind w:firstLine="560" w:firstLineChars="200"/>
        <w:rPr>
          <w:rFonts w:ascii="Times New Roman" w:eastAsia="仿宋"/>
          <w:sz w:val="28"/>
          <w:szCs w:val="28"/>
        </w:rPr>
      </w:pPr>
      <w:r>
        <w:rPr>
          <w:rFonts w:hint="eastAsia" w:ascii="Times New Roman" w:eastAsia="仿宋"/>
          <w:sz w:val="28"/>
          <w:szCs w:val="28"/>
        </w:rPr>
        <w:t>（5）喷塑粉尘G6</w:t>
      </w:r>
    </w:p>
    <w:p w14:paraId="55444DC9">
      <w:pPr>
        <w:spacing w:line="500" w:lineRule="exact"/>
        <w:ind w:firstLine="560" w:firstLineChars="200"/>
        <w:rPr>
          <w:rFonts w:ascii="Times New Roman" w:eastAsia="仿宋"/>
          <w:sz w:val="28"/>
          <w:szCs w:val="28"/>
        </w:rPr>
      </w:pPr>
      <w:r>
        <w:rPr>
          <w:rFonts w:hint="eastAsia" w:ascii="Times New Roman" w:eastAsia="仿宋"/>
          <w:sz w:val="28"/>
          <w:szCs w:val="28"/>
        </w:rPr>
        <w:t>本项目喷粉采用静电喷粉技术，根据《排放源统计调查产排污核算方法和系数手册》中《33-37,431-434机械行业系数手册》中喷塑颗粒物产生系数为300kg-t原料，本项目塑粉用量约</w:t>
      </w:r>
      <w:r>
        <w:rPr>
          <w:rFonts w:ascii="Times New Roman" w:eastAsia="仿宋"/>
          <w:sz w:val="28"/>
          <w:szCs w:val="28"/>
        </w:rPr>
        <w:t>45</w:t>
      </w:r>
      <w:r>
        <w:rPr>
          <w:rFonts w:hint="eastAsia" w:ascii="Times New Roman" w:eastAsia="仿宋"/>
          <w:sz w:val="28"/>
          <w:szCs w:val="28"/>
        </w:rPr>
        <w:t>t/a，则喷粉粉尘约</w:t>
      </w:r>
      <w:r>
        <w:rPr>
          <w:rFonts w:ascii="Times New Roman" w:eastAsia="仿宋"/>
          <w:sz w:val="28"/>
          <w:szCs w:val="28"/>
        </w:rPr>
        <w:t>13</w:t>
      </w:r>
      <w:r>
        <w:rPr>
          <w:rFonts w:hint="eastAsia" w:ascii="Times New Roman" w:eastAsia="仿宋"/>
          <w:sz w:val="28"/>
          <w:szCs w:val="28"/>
        </w:rPr>
        <w:t>.</w:t>
      </w:r>
      <w:r>
        <w:rPr>
          <w:rFonts w:ascii="Times New Roman" w:eastAsia="仿宋"/>
          <w:sz w:val="28"/>
          <w:szCs w:val="28"/>
        </w:rPr>
        <w:t>5</w:t>
      </w:r>
      <w:r>
        <w:rPr>
          <w:rFonts w:hint="eastAsia" w:ascii="Times New Roman" w:eastAsia="仿宋"/>
          <w:sz w:val="28"/>
          <w:szCs w:val="28"/>
        </w:rPr>
        <w:t>t/a，本项目喷粉在密闭的喷粉房内进行，喷粉粉尘经整体换风收集，收集效率以99%计，则有组织产生量为</w:t>
      </w:r>
      <w:r>
        <w:rPr>
          <w:rFonts w:ascii="Times New Roman" w:eastAsia="仿宋"/>
          <w:sz w:val="28"/>
          <w:szCs w:val="28"/>
        </w:rPr>
        <w:t>13.37</w:t>
      </w:r>
      <w:r>
        <w:rPr>
          <w:rFonts w:hint="eastAsia" w:ascii="Times New Roman" w:eastAsia="仿宋"/>
          <w:sz w:val="28"/>
          <w:szCs w:val="28"/>
        </w:rPr>
        <w:t>t/a。</w:t>
      </w:r>
    </w:p>
    <w:p w14:paraId="3F696B74">
      <w:pPr>
        <w:spacing w:line="500" w:lineRule="exact"/>
        <w:ind w:firstLine="560" w:firstLineChars="200"/>
        <w:rPr>
          <w:rFonts w:ascii="Times New Roman" w:eastAsia="仿宋"/>
          <w:sz w:val="28"/>
          <w:szCs w:val="28"/>
        </w:rPr>
      </w:pPr>
      <w:r>
        <w:rPr>
          <w:rFonts w:hint="eastAsia" w:ascii="Times New Roman" w:eastAsia="仿宋"/>
          <w:sz w:val="28"/>
          <w:szCs w:val="28"/>
        </w:rPr>
        <w:t>（6）喷粉固化废气G7</w:t>
      </w:r>
    </w:p>
    <w:p w14:paraId="16E23482">
      <w:pPr>
        <w:spacing w:line="500" w:lineRule="exact"/>
        <w:ind w:firstLine="560" w:firstLineChars="200"/>
        <w:rPr>
          <w:rFonts w:ascii="Times New Roman" w:eastAsia="仿宋"/>
          <w:sz w:val="28"/>
          <w:szCs w:val="28"/>
        </w:rPr>
      </w:pPr>
      <w:r>
        <w:rPr>
          <w:rFonts w:hint="eastAsia" w:ascii="Times New Roman" w:eastAsia="仿宋"/>
          <w:sz w:val="28"/>
          <w:szCs w:val="28"/>
        </w:rPr>
        <w:t>本项目喷粉固化在密闭的固化室内进行，喷粉采用塑粉作为原料，烘干过程粉末涂料</w:t>
      </w:r>
      <w:r>
        <w:rPr>
          <w:rFonts w:ascii="Times New Roman" w:eastAsia="仿宋"/>
          <w:sz w:val="28"/>
          <w:szCs w:val="28"/>
        </w:rPr>
        <w:t>受热挥发产生烃类有机废气</w:t>
      </w:r>
      <w:r>
        <w:rPr>
          <w:rFonts w:hint="eastAsia" w:ascii="Times New Roman" w:eastAsia="仿宋"/>
          <w:sz w:val="28"/>
          <w:szCs w:val="28"/>
        </w:rPr>
        <w:t>，根据《33-37,431-434机械行业系数手册》中涂装-喷塑后烘干工序非甲烷总烃产生系数为1.2kg/t-原料，本项目塑粉用量约</w:t>
      </w:r>
      <w:r>
        <w:rPr>
          <w:rFonts w:ascii="Times New Roman" w:eastAsia="仿宋"/>
          <w:sz w:val="28"/>
          <w:szCs w:val="28"/>
        </w:rPr>
        <w:t>45</w:t>
      </w:r>
      <w:r>
        <w:rPr>
          <w:rFonts w:hint="eastAsia" w:ascii="Times New Roman" w:eastAsia="仿宋"/>
          <w:sz w:val="28"/>
          <w:szCs w:val="28"/>
        </w:rPr>
        <w:t>t/a，则固化废气非甲烷总烃产生量为0.0</w:t>
      </w:r>
      <w:r>
        <w:rPr>
          <w:rFonts w:ascii="Times New Roman" w:eastAsia="仿宋"/>
          <w:sz w:val="28"/>
          <w:szCs w:val="28"/>
        </w:rPr>
        <w:t>54</w:t>
      </w:r>
      <w:r>
        <w:rPr>
          <w:rFonts w:hint="eastAsia" w:ascii="Times New Roman" w:eastAsia="仿宋"/>
          <w:sz w:val="28"/>
          <w:szCs w:val="28"/>
        </w:rPr>
        <w:t>t/a，固化废气经整体换风收集，收集效率以99%计，则有组织产生量为0.0</w:t>
      </w:r>
      <w:r>
        <w:rPr>
          <w:rFonts w:ascii="Times New Roman" w:eastAsia="仿宋"/>
          <w:sz w:val="28"/>
          <w:szCs w:val="28"/>
        </w:rPr>
        <w:t>53</w:t>
      </w:r>
      <w:r>
        <w:rPr>
          <w:rFonts w:hint="eastAsia" w:ascii="Times New Roman" w:eastAsia="仿宋"/>
          <w:sz w:val="28"/>
          <w:szCs w:val="28"/>
        </w:rPr>
        <w:t>t/a。</w:t>
      </w:r>
    </w:p>
    <w:p w14:paraId="24CF867F">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6</w:t>
      </w:r>
      <w:r>
        <w:rPr>
          <w:rFonts w:hint="eastAsia" w:ascii="Times New Roman" w:eastAsia="仿宋"/>
          <w:sz w:val="28"/>
          <w:szCs w:val="28"/>
        </w:rPr>
        <w:t>）氟碳漆调漆废气G9</w:t>
      </w:r>
    </w:p>
    <w:p w14:paraId="2DFF3ABA">
      <w:pPr>
        <w:spacing w:line="500" w:lineRule="exact"/>
        <w:ind w:firstLine="560" w:firstLineChars="200"/>
        <w:rPr>
          <w:rFonts w:ascii="Times New Roman" w:eastAsia="仿宋"/>
          <w:sz w:val="28"/>
          <w:szCs w:val="28"/>
        </w:rPr>
      </w:pPr>
      <w:r>
        <w:rPr>
          <w:rFonts w:hint="eastAsia" w:ascii="Times New Roman" w:eastAsia="仿宋"/>
          <w:sz w:val="28"/>
          <w:szCs w:val="28"/>
        </w:rPr>
        <w:t>参考《</w:t>
      </w:r>
      <w:r>
        <w:rPr>
          <w:rFonts w:ascii="Times New Roman" w:eastAsia="仿宋"/>
          <w:sz w:val="28"/>
          <w:szCs w:val="28"/>
        </w:rPr>
        <w:t>江苏东展建筑材料有限公司年产100万平方米新能源汽车铝制顶板项目环境影响报告书</w:t>
      </w:r>
      <w:r>
        <w:rPr>
          <w:rFonts w:hint="eastAsia" w:ascii="Times New Roman" w:eastAsia="仿宋"/>
          <w:sz w:val="28"/>
          <w:szCs w:val="28"/>
        </w:rPr>
        <w:t>》，其中喷涂环节各部分废气比例为供漆挥发2%，喷涂挥发</w:t>
      </w:r>
      <w:r>
        <w:rPr>
          <w:rFonts w:ascii="Times New Roman" w:eastAsia="仿宋"/>
          <w:sz w:val="28"/>
          <w:szCs w:val="28"/>
        </w:rPr>
        <w:t>2</w:t>
      </w:r>
      <w:r>
        <w:rPr>
          <w:rFonts w:hint="eastAsia" w:ascii="Times New Roman" w:eastAsia="仿宋"/>
          <w:sz w:val="28"/>
          <w:szCs w:val="28"/>
        </w:rPr>
        <w:t>8%，流平挥发1</w:t>
      </w:r>
      <w:r>
        <w:rPr>
          <w:rFonts w:ascii="Times New Roman" w:eastAsia="仿宋"/>
          <w:sz w:val="28"/>
          <w:szCs w:val="28"/>
        </w:rPr>
        <w:t>0%</w:t>
      </w:r>
      <w:r>
        <w:rPr>
          <w:rFonts w:hint="eastAsia" w:ascii="Times New Roman" w:eastAsia="仿宋"/>
          <w:sz w:val="28"/>
          <w:szCs w:val="28"/>
        </w:rPr>
        <w:t>，固化挥发60%，同时喷涂线除进、出口外整体密闭，废气收集方式为整体换风，即在设备进出口、顶部设置吸风装置，废气捕集率可达99.5%。本次喷涂工艺中挥发9</w:t>
      </w:r>
      <w:r>
        <w:rPr>
          <w:rFonts w:ascii="Times New Roman" w:eastAsia="仿宋"/>
          <w:sz w:val="28"/>
          <w:szCs w:val="28"/>
        </w:rPr>
        <w:t>9.5%</w:t>
      </w:r>
      <w:r>
        <w:rPr>
          <w:rFonts w:hint="eastAsia" w:ascii="Times New Roman" w:eastAsia="仿宋"/>
          <w:sz w:val="28"/>
          <w:szCs w:val="28"/>
        </w:rPr>
        <w:t>，剩余0</w:t>
      </w:r>
      <w:r>
        <w:rPr>
          <w:rFonts w:ascii="Times New Roman" w:eastAsia="仿宋"/>
          <w:sz w:val="28"/>
          <w:szCs w:val="28"/>
        </w:rPr>
        <w:t>.5%</w:t>
      </w:r>
      <w:r>
        <w:rPr>
          <w:rFonts w:hint="eastAsia" w:ascii="Times New Roman" w:eastAsia="仿宋"/>
          <w:sz w:val="28"/>
          <w:szCs w:val="28"/>
        </w:rPr>
        <w:t>进入危险废物中。</w:t>
      </w:r>
    </w:p>
    <w:p w14:paraId="252C66AB">
      <w:pPr>
        <w:spacing w:line="500" w:lineRule="exact"/>
        <w:ind w:firstLine="560" w:firstLineChars="200"/>
        <w:rPr>
          <w:rFonts w:ascii="Times New Roman" w:eastAsia="仿宋"/>
          <w:sz w:val="28"/>
          <w:szCs w:val="28"/>
        </w:rPr>
      </w:pPr>
      <w:r>
        <w:rPr>
          <w:rFonts w:hint="eastAsia" w:ascii="Times New Roman" w:eastAsia="仿宋"/>
          <w:sz w:val="28"/>
          <w:szCs w:val="28"/>
        </w:rPr>
        <w:t>根据上述参数对喷涂过程废气产生情况进行计算,具体计算过程如下:</w:t>
      </w:r>
    </w:p>
    <w:p w14:paraId="28769CF4">
      <w:pPr>
        <w:spacing w:line="500" w:lineRule="exact"/>
        <w:ind w:firstLine="560" w:firstLineChars="200"/>
        <w:rPr>
          <w:rFonts w:ascii="Times New Roman" w:eastAsia="仿宋_GB2312" w:cs="仿宋_GB2312"/>
          <w:kern w:val="2"/>
          <w:sz w:val="28"/>
          <w:szCs w:val="28"/>
          <w:lang w:bidi="ar"/>
        </w:rPr>
      </w:pPr>
      <w:r>
        <w:rPr>
          <w:rFonts w:hint="eastAsia" w:ascii="Times New Roman" w:eastAsia="仿宋"/>
          <w:sz w:val="28"/>
          <w:szCs w:val="28"/>
        </w:rPr>
        <w:t>本项目氟碳底漆用量为22.875t/a（其中挥发性成分占47%），稀释剂用量为13.725t/a（其中挥发性成分占100%），则其VOCs含量为24.475t/a。本项目氟碳面漆用量为38.2t/a（其中挥发性成分占55.5%），稀释剂用量为19.1t/a（其中挥发性成分占100%），则其VOCs含量为40.3t/a。则喷漆工段VOCs总量为64.775t/a，其中0.5%（0.323t/a）进入危废中，剩余64.452t/a进入生产工序。根据物料平衡法计算，调漆工序（2%）非甲烷总烃产生量为1.29t/a（其中二甲苯0.33t/a），其中氟碳底漆产生量为0.49t/a（其中二甲苯0.14t/a），氟碳面漆产生量为0.8t/a（其中二甲苯0.19t/a）。</w:t>
      </w:r>
    </w:p>
    <w:p w14:paraId="3427B257">
      <w:pPr>
        <w:spacing w:line="500" w:lineRule="exact"/>
        <w:ind w:firstLine="560" w:firstLineChars="200"/>
        <w:rPr>
          <w:rFonts w:ascii="Times New Roman" w:eastAsia="仿宋"/>
          <w:sz w:val="28"/>
          <w:szCs w:val="28"/>
        </w:rPr>
      </w:pPr>
      <w:r>
        <w:rPr>
          <w:rFonts w:hint="eastAsia" w:ascii="Times New Roman" w:eastAsia="仿宋"/>
          <w:sz w:val="28"/>
          <w:szCs w:val="28"/>
        </w:rPr>
        <w:t>（7）喷氟碳底漆废气G10、喷氟碳面漆废气G</w:t>
      </w:r>
      <w:r>
        <w:rPr>
          <w:rFonts w:ascii="Times New Roman" w:eastAsia="仿宋"/>
          <w:sz w:val="28"/>
          <w:szCs w:val="28"/>
        </w:rPr>
        <w:t>14</w:t>
      </w:r>
    </w:p>
    <w:p w14:paraId="4D847095">
      <w:pPr>
        <w:spacing w:line="500" w:lineRule="exact"/>
        <w:ind w:firstLine="560" w:firstLineChars="200"/>
        <w:rPr>
          <w:rFonts w:ascii="Times New Roman" w:eastAsia="仿宋"/>
          <w:sz w:val="28"/>
          <w:szCs w:val="28"/>
        </w:rPr>
      </w:pPr>
      <w:r>
        <w:rPr>
          <w:rFonts w:hint="eastAsia" w:ascii="Times New Roman" w:eastAsia="仿宋"/>
          <w:sz w:val="28"/>
          <w:szCs w:val="28"/>
        </w:rPr>
        <w:t>根据物料平衡法计算，喷漆工序（</w:t>
      </w:r>
      <w:r>
        <w:rPr>
          <w:rFonts w:ascii="Times New Roman" w:eastAsia="仿宋"/>
          <w:sz w:val="28"/>
          <w:szCs w:val="28"/>
        </w:rPr>
        <w:t>28</w:t>
      </w:r>
      <w:r>
        <w:rPr>
          <w:rFonts w:hint="eastAsia" w:ascii="Times New Roman" w:eastAsia="仿宋"/>
          <w:sz w:val="28"/>
          <w:szCs w:val="28"/>
        </w:rPr>
        <w:t>%）非甲烷总烃产生量为</w:t>
      </w:r>
      <w:r>
        <w:rPr>
          <w:rFonts w:ascii="Times New Roman" w:eastAsia="仿宋"/>
          <w:sz w:val="28"/>
          <w:szCs w:val="28"/>
        </w:rPr>
        <w:t>18.05</w:t>
      </w:r>
      <w:r>
        <w:rPr>
          <w:rFonts w:hint="eastAsia" w:ascii="Times New Roman" w:eastAsia="仿宋"/>
          <w:sz w:val="28"/>
          <w:szCs w:val="28"/>
        </w:rPr>
        <w:t>t/a（其中二甲苯</w:t>
      </w:r>
      <w:r>
        <w:rPr>
          <w:rFonts w:ascii="Times New Roman" w:eastAsia="仿宋"/>
          <w:sz w:val="28"/>
          <w:szCs w:val="28"/>
        </w:rPr>
        <w:t>4.58</w:t>
      </w:r>
      <w:r>
        <w:rPr>
          <w:rFonts w:hint="eastAsia" w:ascii="Times New Roman" w:eastAsia="仿宋"/>
          <w:sz w:val="28"/>
          <w:szCs w:val="28"/>
        </w:rPr>
        <w:t>t/a），其中氟碳底漆废气产生量为</w:t>
      </w:r>
      <w:r>
        <w:rPr>
          <w:rFonts w:ascii="Times New Roman" w:eastAsia="仿宋"/>
          <w:sz w:val="28"/>
          <w:szCs w:val="28"/>
        </w:rPr>
        <w:t>6.82</w:t>
      </w:r>
      <w:r>
        <w:rPr>
          <w:rFonts w:hint="eastAsia" w:ascii="Times New Roman" w:eastAsia="仿宋"/>
          <w:sz w:val="28"/>
          <w:szCs w:val="28"/>
        </w:rPr>
        <w:t>t/a（其中二甲苯</w:t>
      </w:r>
      <w:r>
        <w:rPr>
          <w:rFonts w:ascii="Times New Roman" w:eastAsia="仿宋"/>
          <w:sz w:val="28"/>
          <w:szCs w:val="28"/>
        </w:rPr>
        <w:t>1.97t</w:t>
      </w:r>
      <w:r>
        <w:rPr>
          <w:rFonts w:hint="eastAsia" w:ascii="Times New Roman" w:eastAsia="仿宋"/>
          <w:sz w:val="28"/>
          <w:szCs w:val="28"/>
        </w:rPr>
        <w:t>/a），氟碳面漆废气产生量为</w:t>
      </w:r>
      <w:r>
        <w:rPr>
          <w:rFonts w:ascii="Times New Roman" w:eastAsia="仿宋"/>
          <w:sz w:val="28"/>
          <w:szCs w:val="28"/>
        </w:rPr>
        <w:t>11.23</w:t>
      </w:r>
      <w:r>
        <w:rPr>
          <w:rFonts w:hint="eastAsia" w:ascii="Times New Roman" w:eastAsia="仿宋"/>
          <w:sz w:val="28"/>
          <w:szCs w:val="28"/>
        </w:rPr>
        <w:t>t/a（其中二甲苯</w:t>
      </w:r>
      <w:r>
        <w:rPr>
          <w:rFonts w:ascii="Times New Roman" w:eastAsia="仿宋"/>
          <w:sz w:val="28"/>
          <w:szCs w:val="28"/>
        </w:rPr>
        <w:t>2.61</w:t>
      </w:r>
      <w:r>
        <w:rPr>
          <w:rFonts w:hint="eastAsia" w:ascii="Times New Roman" w:eastAsia="仿宋"/>
          <w:sz w:val="28"/>
          <w:szCs w:val="28"/>
        </w:rPr>
        <w:t>t/a）。</w:t>
      </w:r>
    </w:p>
    <w:p w14:paraId="02F131CB">
      <w:pPr>
        <w:spacing w:line="500" w:lineRule="exact"/>
        <w:ind w:firstLine="560" w:firstLineChars="200"/>
        <w:rPr>
          <w:rFonts w:ascii="Times New Roman" w:eastAsia="仿宋"/>
          <w:sz w:val="28"/>
          <w:szCs w:val="28"/>
        </w:rPr>
      </w:pPr>
      <w:r>
        <w:rPr>
          <w:rFonts w:hint="eastAsia" w:ascii="Times New Roman" w:eastAsia="仿宋"/>
          <w:sz w:val="28"/>
          <w:szCs w:val="28"/>
        </w:rPr>
        <w:t>根据本项目氟碳底漆、面漆及稀释剂MSDS材料，混合后油漆中除挥发分皆为固分，则固分含量为29.125t/a，其中0.5%（0.145t/a）进入危废中，剩余28.98t/a进入生产工序，其中氟碳底漆为12.06t/a，氟碳面漆为16.9</w:t>
      </w:r>
      <w:r>
        <w:rPr>
          <w:rFonts w:ascii="Times New Roman" w:eastAsia="仿宋"/>
          <w:sz w:val="28"/>
          <w:szCs w:val="28"/>
        </w:rPr>
        <w:t>2</w:t>
      </w:r>
      <w:r>
        <w:rPr>
          <w:rFonts w:hint="eastAsia" w:ascii="Times New Roman" w:eastAsia="仿宋"/>
          <w:sz w:val="28"/>
          <w:szCs w:val="28"/>
        </w:rPr>
        <w:t>t/a。喷涂过程附着率为70%，剩余30%在喷涂过程全部释放，则喷氟碳底漆漆雾产生量为3.62t/a，喷氟碳面漆漆雾产生量为5.07t/a。</w:t>
      </w:r>
    </w:p>
    <w:p w14:paraId="14530306">
      <w:pPr>
        <w:spacing w:line="500" w:lineRule="exact"/>
        <w:ind w:firstLine="560" w:firstLineChars="200"/>
        <w:rPr>
          <w:rFonts w:ascii="Times New Roman" w:eastAsia="仿宋"/>
          <w:sz w:val="28"/>
          <w:szCs w:val="28"/>
        </w:rPr>
      </w:pPr>
      <w:r>
        <w:rPr>
          <w:rFonts w:hint="eastAsia" w:ascii="Times New Roman" w:eastAsia="仿宋"/>
          <w:sz w:val="28"/>
          <w:szCs w:val="28"/>
        </w:rPr>
        <w:t>（10）氟碳底漆流平废气G</w:t>
      </w:r>
      <w:r>
        <w:rPr>
          <w:rFonts w:ascii="Times New Roman" w:eastAsia="仿宋"/>
          <w:sz w:val="28"/>
          <w:szCs w:val="28"/>
        </w:rPr>
        <w:t>11</w:t>
      </w:r>
      <w:r>
        <w:rPr>
          <w:rFonts w:hint="eastAsia" w:ascii="Times New Roman" w:eastAsia="仿宋"/>
          <w:sz w:val="28"/>
          <w:szCs w:val="28"/>
        </w:rPr>
        <w:t>、氟碳面漆流平废气G</w:t>
      </w:r>
      <w:r>
        <w:rPr>
          <w:rFonts w:ascii="Times New Roman" w:eastAsia="仿宋"/>
          <w:sz w:val="28"/>
          <w:szCs w:val="28"/>
        </w:rPr>
        <w:t>15</w:t>
      </w:r>
    </w:p>
    <w:p w14:paraId="6EDE23F6">
      <w:pPr>
        <w:spacing w:line="500" w:lineRule="exact"/>
        <w:ind w:firstLine="560" w:firstLineChars="200"/>
        <w:rPr>
          <w:rFonts w:ascii="Times New Roman" w:eastAsia="仿宋"/>
          <w:sz w:val="28"/>
          <w:szCs w:val="28"/>
        </w:rPr>
      </w:pPr>
      <w:r>
        <w:rPr>
          <w:rFonts w:hint="eastAsia" w:ascii="Times New Roman" w:eastAsia="仿宋"/>
          <w:sz w:val="28"/>
          <w:szCs w:val="28"/>
        </w:rPr>
        <w:t>根据物料平衡法计算，流平工序（10%）非甲烷总烃</w:t>
      </w:r>
      <w:r>
        <w:rPr>
          <w:rFonts w:ascii="Times New Roman" w:eastAsia="仿宋"/>
          <w:sz w:val="28"/>
          <w:szCs w:val="28"/>
        </w:rPr>
        <w:t>6.442</w:t>
      </w:r>
      <w:r>
        <w:rPr>
          <w:rFonts w:hint="eastAsia" w:ascii="Times New Roman" w:eastAsia="仿宋"/>
          <w:sz w:val="28"/>
          <w:szCs w:val="28"/>
        </w:rPr>
        <w:t>t/a（其中二甲苯</w:t>
      </w:r>
      <w:r>
        <w:rPr>
          <w:rFonts w:ascii="Times New Roman" w:eastAsia="仿宋"/>
          <w:sz w:val="28"/>
          <w:szCs w:val="28"/>
        </w:rPr>
        <w:t>1.64</w:t>
      </w:r>
      <w:r>
        <w:rPr>
          <w:rFonts w:hint="eastAsia" w:ascii="Times New Roman" w:eastAsia="仿宋"/>
          <w:sz w:val="28"/>
          <w:szCs w:val="28"/>
        </w:rPr>
        <w:t>t/a），其中氟碳底漆废气G</w:t>
      </w:r>
      <w:r>
        <w:rPr>
          <w:rFonts w:ascii="Times New Roman" w:eastAsia="仿宋"/>
          <w:sz w:val="28"/>
          <w:szCs w:val="28"/>
        </w:rPr>
        <w:t>1</w:t>
      </w:r>
      <w:r>
        <w:rPr>
          <w:rFonts w:hint="eastAsia" w:ascii="Times New Roman" w:eastAsia="仿宋"/>
          <w:sz w:val="28"/>
          <w:szCs w:val="28"/>
        </w:rPr>
        <w:t>1产生量为</w:t>
      </w:r>
      <w:r>
        <w:rPr>
          <w:rFonts w:ascii="Times New Roman" w:eastAsia="仿宋"/>
          <w:sz w:val="28"/>
          <w:szCs w:val="28"/>
        </w:rPr>
        <w:t>2.432</w:t>
      </w:r>
      <w:r>
        <w:rPr>
          <w:rFonts w:hint="eastAsia" w:ascii="Times New Roman" w:eastAsia="仿宋"/>
          <w:sz w:val="28"/>
          <w:szCs w:val="28"/>
        </w:rPr>
        <w:t>t/a（其中二甲苯</w:t>
      </w:r>
      <w:r>
        <w:rPr>
          <w:rFonts w:ascii="Times New Roman" w:eastAsia="仿宋"/>
          <w:sz w:val="28"/>
          <w:szCs w:val="28"/>
        </w:rPr>
        <w:t>0.71t</w:t>
      </w:r>
      <w:r>
        <w:rPr>
          <w:rFonts w:hint="eastAsia" w:ascii="Times New Roman" w:eastAsia="仿宋"/>
          <w:sz w:val="28"/>
          <w:szCs w:val="28"/>
        </w:rPr>
        <w:t>/a），氟碳面漆废气G</w:t>
      </w:r>
      <w:r>
        <w:rPr>
          <w:rFonts w:ascii="Times New Roman" w:eastAsia="仿宋"/>
          <w:sz w:val="28"/>
          <w:szCs w:val="28"/>
        </w:rPr>
        <w:t>15</w:t>
      </w:r>
      <w:r>
        <w:rPr>
          <w:rFonts w:hint="eastAsia" w:ascii="Times New Roman" w:eastAsia="仿宋"/>
          <w:sz w:val="28"/>
          <w:szCs w:val="28"/>
        </w:rPr>
        <w:t>产生量为</w:t>
      </w:r>
      <w:r>
        <w:rPr>
          <w:rFonts w:ascii="Times New Roman" w:eastAsia="仿宋"/>
          <w:sz w:val="28"/>
          <w:szCs w:val="28"/>
        </w:rPr>
        <w:t>4.01</w:t>
      </w:r>
      <w:r>
        <w:rPr>
          <w:rFonts w:hint="eastAsia" w:ascii="Times New Roman" w:eastAsia="仿宋"/>
          <w:sz w:val="28"/>
          <w:szCs w:val="28"/>
        </w:rPr>
        <w:t>t/a（其中二甲苯</w:t>
      </w:r>
      <w:r>
        <w:rPr>
          <w:rFonts w:ascii="Times New Roman" w:eastAsia="仿宋"/>
          <w:sz w:val="28"/>
          <w:szCs w:val="28"/>
        </w:rPr>
        <w:t>0.93</w:t>
      </w:r>
      <w:r>
        <w:rPr>
          <w:rFonts w:hint="eastAsia" w:ascii="Times New Roman" w:eastAsia="仿宋"/>
          <w:sz w:val="28"/>
          <w:szCs w:val="28"/>
        </w:rPr>
        <w:t>t/a）。</w:t>
      </w:r>
    </w:p>
    <w:p w14:paraId="17A2B6F9">
      <w:pPr>
        <w:spacing w:line="500" w:lineRule="exact"/>
        <w:ind w:firstLine="560" w:firstLineChars="200"/>
        <w:rPr>
          <w:rFonts w:ascii="Times New Roman" w:eastAsia="仿宋"/>
          <w:sz w:val="28"/>
          <w:szCs w:val="28"/>
        </w:rPr>
      </w:pPr>
      <w:r>
        <w:rPr>
          <w:rFonts w:hint="eastAsia" w:ascii="Times New Roman" w:eastAsia="仿宋"/>
          <w:sz w:val="28"/>
          <w:szCs w:val="28"/>
        </w:rPr>
        <w:t>（11）氟碳底漆烘干废气G</w:t>
      </w:r>
      <w:r>
        <w:rPr>
          <w:rFonts w:ascii="Times New Roman" w:eastAsia="仿宋"/>
          <w:sz w:val="28"/>
          <w:szCs w:val="28"/>
        </w:rPr>
        <w:t>12</w:t>
      </w:r>
      <w:r>
        <w:rPr>
          <w:rFonts w:hint="eastAsia" w:ascii="Times New Roman" w:eastAsia="仿宋"/>
          <w:sz w:val="28"/>
          <w:szCs w:val="28"/>
        </w:rPr>
        <w:t>、氟碳面漆烘干废气G</w:t>
      </w:r>
      <w:r>
        <w:rPr>
          <w:rFonts w:ascii="Times New Roman" w:eastAsia="仿宋"/>
          <w:sz w:val="28"/>
          <w:szCs w:val="28"/>
        </w:rPr>
        <w:t>16</w:t>
      </w:r>
    </w:p>
    <w:p w14:paraId="77823FFD">
      <w:pPr>
        <w:spacing w:line="500" w:lineRule="exact"/>
        <w:ind w:firstLine="560" w:firstLineChars="200"/>
        <w:rPr>
          <w:rFonts w:ascii="Times New Roman" w:eastAsia="仿宋"/>
          <w:sz w:val="28"/>
          <w:szCs w:val="28"/>
        </w:rPr>
      </w:pPr>
      <w:r>
        <w:rPr>
          <w:rFonts w:hint="eastAsia" w:ascii="Times New Roman" w:eastAsia="仿宋"/>
          <w:sz w:val="28"/>
          <w:szCs w:val="28"/>
        </w:rPr>
        <w:t>根据物料平衡法计算，烘干工序（</w:t>
      </w:r>
      <w:r>
        <w:rPr>
          <w:rFonts w:ascii="Times New Roman" w:eastAsia="仿宋"/>
          <w:sz w:val="28"/>
          <w:szCs w:val="28"/>
        </w:rPr>
        <w:t>28</w:t>
      </w:r>
      <w:r>
        <w:rPr>
          <w:rFonts w:hint="eastAsia" w:ascii="Times New Roman" w:eastAsia="仿宋"/>
          <w:sz w:val="28"/>
          <w:szCs w:val="28"/>
        </w:rPr>
        <w:t>%）非甲烷总烃</w:t>
      </w:r>
      <w:r>
        <w:rPr>
          <w:rFonts w:ascii="Times New Roman" w:eastAsia="仿宋"/>
          <w:sz w:val="28"/>
          <w:szCs w:val="28"/>
        </w:rPr>
        <w:t>38.67</w:t>
      </w:r>
      <w:r>
        <w:rPr>
          <w:rFonts w:hint="eastAsia" w:ascii="Times New Roman" w:eastAsia="仿宋"/>
          <w:sz w:val="28"/>
          <w:szCs w:val="28"/>
        </w:rPr>
        <w:t>t/a（其中二甲苯</w:t>
      </w:r>
      <w:r>
        <w:rPr>
          <w:rFonts w:ascii="Times New Roman" w:eastAsia="仿宋"/>
          <w:sz w:val="28"/>
          <w:szCs w:val="28"/>
        </w:rPr>
        <w:t>9.81</w:t>
      </w:r>
      <w:r>
        <w:rPr>
          <w:rFonts w:hint="eastAsia" w:ascii="Times New Roman" w:eastAsia="仿宋"/>
          <w:sz w:val="28"/>
          <w:szCs w:val="28"/>
        </w:rPr>
        <w:t>t/a），其中氟碳底漆废气G</w:t>
      </w:r>
      <w:r>
        <w:rPr>
          <w:rFonts w:ascii="Times New Roman" w:eastAsia="仿宋"/>
          <w:sz w:val="28"/>
          <w:szCs w:val="28"/>
        </w:rPr>
        <w:t>12</w:t>
      </w:r>
      <w:r>
        <w:rPr>
          <w:rFonts w:hint="eastAsia" w:ascii="Times New Roman" w:eastAsia="仿宋"/>
          <w:sz w:val="28"/>
          <w:szCs w:val="28"/>
        </w:rPr>
        <w:t>产生量为</w:t>
      </w:r>
      <w:r>
        <w:rPr>
          <w:rFonts w:ascii="Times New Roman" w:eastAsia="仿宋"/>
          <w:sz w:val="28"/>
          <w:szCs w:val="28"/>
        </w:rPr>
        <w:t>14.61</w:t>
      </w:r>
      <w:r>
        <w:rPr>
          <w:rFonts w:hint="eastAsia" w:ascii="Times New Roman" w:eastAsia="仿宋"/>
          <w:sz w:val="28"/>
          <w:szCs w:val="28"/>
        </w:rPr>
        <w:t>t/a（其中二甲苯</w:t>
      </w:r>
      <w:r>
        <w:rPr>
          <w:rFonts w:ascii="Times New Roman" w:eastAsia="仿宋"/>
          <w:sz w:val="28"/>
          <w:szCs w:val="28"/>
        </w:rPr>
        <w:t>4.23t</w:t>
      </w:r>
      <w:r>
        <w:rPr>
          <w:rFonts w:hint="eastAsia" w:ascii="Times New Roman" w:eastAsia="仿宋"/>
          <w:sz w:val="28"/>
          <w:szCs w:val="28"/>
        </w:rPr>
        <w:t>/a），氟碳面漆废气G</w:t>
      </w:r>
      <w:r>
        <w:rPr>
          <w:rFonts w:ascii="Times New Roman" w:eastAsia="仿宋"/>
          <w:sz w:val="28"/>
          <w:szCs w:val="28"/>
        </w:rPr>
        <w:t>16</w:t>
      </w:r>
      <w:r>
        <w:rPr>
          <w:rFonts w:hint="eastAsia" w:ascii="Times New Roman" w:eastAsia="仿宋"/>
          <w:sz w:val="28"/>
          <w:szCs w:val="28"/>
        </w:rPr>
        <w:t>产生量为2</w:t>
      </w:r>
      <w:r>
        <w:rPr>
          <w:rFonts w:ascii="Times New Roman" w:eastAsia="仿宋"/>
          <w:sz w:val="28"/>
          <w:szCs w:val="28"/>
        </w:rPr>
        <w:t>4.06</w:t>
      </w:r>
      <w:r>
        <w:rPr>
          <w:rFonts w:hint="eastAsia" w:ascii="Times New Roman" w:eastAsia="仿宋"/>
          <w:sz w:val="28"/>
          <w:szCs w:val="28"/>
        </w:rPr>
        <w:t>t/a（其中二甲苯</w:t>
      </w:r>
      <w:r>
        <w:rPr>
          <w:rFonts w:ascii="Times New Roman" w:eastAsia="仿宋"/>
          <w:sz w:val="28"/>
          <w:szCs w:val="28"/>
        </w:rPr>
        <w:t>5.58</w:t>
      </w:r>
      <w:r>
        <w:rPr>
          <w:rFonts w:hint="eastAsia" w:ascii="Times New Roman" w:eastAsia="仿宋"/>
          <w:sz w:val="28"/>
          <w:szCs w:val="28"/>
        </w:rPr>
        <w:t>t/a）。</w:t>
      </w:r>
    </w:p>
    <w:p w14:paraId="79D5FEEF">
      <w:pPr>
        <w:spacing w:line="500" w:lineRule="exact"/>
        <w:ind w:firstLine="560" w:firstLineChars="200"/>
        <w:rPr>
          <w:rFonts w:ascii="Times New Roman" w:eastAsia="仿宋"/>
          <w:sz w:val="28"/>
          <w:szCs w:val="28"/>
        </w:rPr>
      </w:pPr>
      <w:r>
        <w:rPr>
          <w:rFonts w:hint="eastAsia" w:ascii="Times New Roman" w:eastAsia="仿宋"/>
          <w:sz w:val="28"/>
          <w:szCs w:val="28"/>
        </w:rPr>
        <w:t>根据</w:t>
      </w:r>
      <w:r>
        <w:rPr>
          <w:rFonts w:ascii="Times New Roman" w:eastAsia="仿宋"/>
          <w:sz w:val="28"/>
          <w:szCs w:val="28"/>
        </w:rPr>
        <w:t>《</w:t>
      </w:r>
      <w:r>
        <w:rPr>
          <w:rFonts w:hint="eastAsia" w:ascii="Times New Roman" w:eastAsia="仿宋"/>
          <w:sz w:val="28"/>
          <w:szCs w:val="28"/>
        </w:rPr>
        <w:t>表面涂装（汽车零部件）大气污染物排放标准</w:t>
      </w:r>
      <w:r>
        <w:rPr>
          <w:rFonts w:ascii="Times New Roman" w:eastAsia="仿宋"/>
          <w:sz w:val="28"/>
          <w:szCs w:val="28"/>
        </w:rPr>
        <w:t>》（DB 32/</w:t>
      </w:r>
      <w:r>
        <w:rPr>
          <w:rFonts w:hint="eastAsia" w:ascii="Times New Roman" w:eastAsia="仿宋"/>
          <w:sz w:val="28"/>
          <w:szCs w:val="28"/>
        </w:rPr>
        <w:t>3966</w:t>
      </w:r>
      <w:r>
        <w:rPr>
          <w:rFonts w:ascii="Times New Roman" w:eastAsia="仿宋"/>
          <w:sz w:val="28"/>
          <w:szCs w:val="28"/>
        </w:rPr>
        <w:t>-202</w:t>
      </w:r>
      <w:r>
        <w:rPr>
          <w:rFonts w:hint="eastAsia" w:ascii="Times New Roman" w:eastAsia="仿宋"/>
          <w:sz w:val="28"/>
          <w:szCs w:val="28"/>
        </w:rPr>
        <w:t>1</w:t>
      </w:r>
      <w:r>
        <w:rPr>
          <w:rFonts w:ascii="Times New Roman" w:eastAsia="仿宋"/>
          <w:sz w:val="28"/>
          <w:szCs w:val="28"/>
        </w:rPr>
        <w:t>）</w:t>
      </w:r>
      <w:r>
        <w:rPr>
          <w:rFonts w:hint="eastAsia" w:ascii="Times New Roman" w:eastAsia="仿宋"/>
          <w:sz w:val="28"/>
          <w:szCs w:val="28"/>
        </w:rPr>
        <w:t>中涉及TVOC、苯系物排放浓度及速率，本次一并考虑TVOC、苯系物产生情况。</w:t>
      </w:r>
    </w:p>
    <w:p w14:paraId="124795B7">
      <w:pPr>
        <w:spacing w:line="500" w:lineRule="exact"/>
        <w:ind w:firstLine="560" w:firstLineChars="200"/>
        <w:rPr>
          <w:rFonts w:ascii="Times New Roman" w:eastAsia="仿宋"/>
          <w:sz w:val="28"/>
          <w:szCs w:val="28"/>
        </w:rPr>
      </w:pPr>
      <w:r>
        <w:rPr>
          <w:rFonts w:hint="eastAsia" w:ascii="Times New Roman" w:eastAsia="仿宋"/>
          <w:sz w:val="28"/>
          <w:szCs w:val="28"/>
        </w:rPr>
        <w:t>上述调漆废气、喷漆废气、流平废气及烘干废气通过密闭室整体换风收集，</w:t>
      </w:r>
      <w:r>
        <w:rPr>
          <w:rFonts w:hint="eastAsia" w:ascii="Times New Roman" w:eastAsia="仿宋_GB2312" w:cs="仿宋_GB2312"/>
          <w:kern w:val="2"/>
          <w:sz w:val="28"/>
          <w:szCs w:val="28"/>
          <w:lang w:bidi="ar"/>
        </w:rPr>
        <w:t>废气捕集率以</w:t>
      </w:r>
      <w:r>
        <w:rPr>
          <w:rFonts w:ascii="Times New Roman" w:eastAsia="仿宋_GB2312"/>
          <w:kern w:val="2"/>
          <w:sz w:val="28"/>
          <w:szCs w:val="28"/>
          <w:lang w:bidi="ar"/>
        </w:rPr>
        <w:t>9</w:t>
      </w:r>
      <w:r>
        <w:rPr>
          <w:rFonts w:hint="eastAsia" w:ascii="Times New Roman" w:eastAsia="仿宋_GB2312"/>
          <w:kern w:val="2"/>
          <w:sz w:val="28"/>
          <w:szCs w:val="28"/>
          <w:lang w:bidi="ar"/>
        </w:rPr>
        <w:t>9.5</w:t>
      </w:r>
      <w:r>
        <w:rPr>
          <w:rFonts w:ascii="Times New Roman" w:eastAsia="仿宋_GB2312"/>
          <w:kern w:val="2"/>
          <w:sz w:val="28"/>
          <w:szCs w:val="28"/>
          <w:lang w:bidi="ar"/>
        </w:rPr>
        <w:t>%</w:t>
      </w:r>
      <w:r>
        <w:rPr>
          <w:rFonts w:hint="eastAsia" w:ascii="Times New Roman" w:eastAsia="仿宋_GB2312" w:cs="仿宋_GB2312"/>
          <w:kern w:val="2"/>
          <w:sz w:val="28"/>
          <w:szCs w:val="28"/>
          <w:lang w:bidi="ar"/>
        </w:rPr>
        <w:t>计。</w:t>
      </w:r>
    </w:p>
    <w:p w14:paraId="2DCC2036">
      <w:pPr>
        <w:spacing w:line="500" w:lineRule="exact"/>
        <w:jc w:val="center"/>
        <w:rPr>
          <w:rFonts w:ascii="Times New Roman" w:eastAsia="仿宋"/>
          <w:b/>
          <w:bCs/>
        </w:rPr>
      </w:pPr>
    </w:p>
    <w:p w14:paraId="2314E8AE">
      <w:pPr>
        <w:pStyle w:val="2"/>
      </w:pPr>
    </w:p>
    <w:p w14:paraId="43D80F71">
      <w:pPr>
        <w:pStyle w:val="2"/>
      </w:pPr>
    </w:p>
    <w:p w14:paraId="6F33F97C">
      <w:pPr>
        <w:pStyle w:val="2"/>
      </w:pPr>
    </w:p>
    <w:p w14:paraId="3081FD9A">
      <w:pPr>
        <w:spacing w:line="500" w:lineRule="exact"/>
        <w:jc w:val="center"/>
        <w:rPr>
          <w:rFonts w:ascii="Times New Roman" w:eastAsia="仿宋"/>
          <w:b/>
          <w:bCs/>
        </w:rPr>
      </w:pPr>
      <w:r>
        <w:rPr>
          <w:rFonts w:ascii="Times New Roman" w:eastAsia="仿宋"/>
          <w:b/>
          <w:bCs/>
        </w:rPr>
        <w:t xml:space="preserve">表3.2-6 </w:t>
      </w:r>
      <w:r>
        <w:rPr>
          <w:rFonts w:hint="eastAsia" w:ascii="Times New Roman" w:eastAsia="仿宋"/>
          <w:b/>
          <w:bCs/>
        </w:rPr>
        <w:t>喷涂线</w:t>
      </w:r>
      <w:r>
        <w:rPr>
          <w:rFonts w:ascii="Times New Roman" w:eastAsia="仿宋"/>
          <w:b/>
          <w:bCs/>
        </w:rPr>
        <w:t>废气源强核算表</w:t>
      </w:r>
    </w:p>
    <w:tbl>
      <w:tblPr>
        <w:tblStyle w:val="88"/>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076"/>
        <w:gridCol w:w="1511"/>
        <w:gridCol w:w="1087"/>
        <w:gridCol w:w="1129"/>
        <w:gridCol w:w="1021"/>
        <w:gridCol w:w="1109"/>
        <w:gridCol w:w="1109"/>
        <w:gridCol w:w="924"/>
      </w:tblGrid>
      <w:tr w14:paraId="0582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restart"/>
            <w:vAlign w:val="center"/>
          </w:tcPr>
          <w:p w14:paraId="0B375E70">
            <w:pPr>
              <w:jc w:val="center"/>
              <w:rPr>
                <w:rFonts w:ascii="Times New Roman" w:eastAsia="仿宋"/>
                <w:szCs w:val="21"/>
              </w:rPr>
            </w:pPr>
            <w:r>
              <w:rPr>
                <w:rFonts w:hint="eastAsia" w:ascii="Times New Roman" w:eastAsia="仿宋"/>
                <w:szCs w:val="21"/>
              </w:rPr>
              <w:t>喷涂线</w:t>
            </w:r>
          </w:p>
        </w:tc>
        <w:tc>
          <w:tcPr>
            <w:tcW w:w="1076" w:type="dxa"/>
            <w:vMerge w:val="restart"/>
            <w:vAlign w:val="center"/>
          </w:tcPr>
          <w:p w14:paraId="1AAFA923">
            <w:pPr>
              <w:jc w:val="center"/>
              <w:rPr>
                <w:rFonts w:ascii="Times New Roman" w:eastAsia="仿宋"/>
                <w:szCs w:val="21"/>
              </w:rPr>
            </w:pPr>
            <w:r>
              <w:rPr>
                <w:rFonts w:hint="eastAsia" w:ascii="Times New Roman" w:eastAsia="仿宋"/>
                <w:szCs w:val="21"/>
              </w:rPr>
              <w:t>产污工序</w:t>
            </w:r>
          </w:p>
        </w:tc>
        <w:tc>
          <w:tcPr>
            <w:tcW w:w="1511" w:type="dxa"/>
            <w:vMerge w:val="restart"/>
            <w:vAlign w:val="center"/>
          </w:tcPr>
          <w:p w14:paraId="5034AC16">
            <w:pPr>
              <w:jc w:val="center"/>
              <w:rPr>
                <w:rFonts w:ascii="Times New Roman" w:eastAsia="仿宋"/>
                <w:szCs w:val="21"/>
              </w:rPr>
            </w:pPr>
            <w:r>
              <w:rPr>
                <w:rFonts w:hint="eastAsia" w:ascii="Times New Roman" w:eastAsia="仿宋"/>
                <w:szCs w:val="21"/>
              </w:rPr>
              <w:t>废气种类</w:t>
            </w:r>
          </w:p>
        </w:tc>
        <w:tc>
          <w:tcPr>
            <w:tcW w:w="1087" w:type="dxa"/>
            <w:vMerge w:val="restart"/>
            <w:vAlign w:val="center"/>
          </w:tcPr>
          <w:p w14:paraId="23DBB81F">
            <w:pPr>
              <w:jc w:val="center"/>
              <w:rPr>
                <w:rFonts w:ascii="Times New Roman" w:eastAsia="仿宋"/>
                <w:szCs w:val="21"/>
              </w:rPr>
            </w:pPr>
            <w:r>
              <w:rPr>
                <w:rFonts w:hint="eastAsia" w:ascii="Times New Roman" w:eastAsia="仿宋"/>
                <w:szCs w:val="21"/>
              </w:rPr>
              <w:t>污染物名称</w:t>
            </w:r>
          </w:p>
        </w:tc>
        <w:tc>
          <w:tcPr>
            <w:tcW w:w="1129" w:type="dxa"/>
            <w:vMerge w:val="restart"/>
            <w:vAlign w:val="center"/>
          </w:tcPr>
          <w:p w14:paraId="33EB8539">
            <w:pPr>
              <w:jc w:val="center"/>
              <w:rPr>
                <w:rFonts w:ascii="Times New Roman" w:eastAsia="仿宋"/>
                <w:szCs w:val="21"/>
              </w:rPr>
            </w:pPr>
            <w:r>
              <w:rPr>
                <w:rFonts w:hint="eastAsia" w:ascii="Times New Roman" w:eastAsia="仿宋"/>
                <w:szCs w:val="21"/>
              </w:rPr>
              <w:t>产生量t/a</w:t>
            </w:r>
          </w:p>
        </w:tc>
        <w:tc>
          <w:tcPr>
            <w:tcW w:w="1021" w:type="dxa"/>
            <w:vMerge w:val="restart"/>
            <w:vAlign w:val="center"/>
          </w:tcPr>
          <w:p w14:paraId="4A1CC82A">
            <w:pPr>
              <w:jc w:val="center"/>
              <w:rPr>
                <w:rFonts w:ascii="Times New Roman" w:eastAsia="仿宋"/>
                <w:szCs w:val="21"/>
              </w:rPr>
            </w:pPr>
            <w:r>
              <w:rPr>
                <w:rFonts w:hint="eastAsia" w:ascii="Times New Roman" w:eastAsia="仿宋"/>
                <w:szCs w:val="21"/>
              </w:rPr>
              <w:t>收集率</w:t>
            </w:r>
          </w:p>
        </w:tc>
        <w:tc>
          <w:tcPr>
            <w:tcW w:w="2218" w:type="dxa"/>
            <w:gridSpan w:val="2"/>
            <w:vAlign w:val="center"/>
          </w:tcPr>
          <w:p w14:paraId="003847F4">
            <w:pPr>
              <w:jc w:val="center"/>
              <w:rPr>
                <w:rFonts w:ascii="Times New Roman" w:eastAsia="仿宋"/>
                <w:szCs w:val="21"/>
              </w:rPr>
            </w:pPr>
            <w:r>
              <w:rPr>
                <w:rFonts w:hint="eastAsia" w:ascii="Times New Roman" w:eastAsia="仿宋"/>
                <w:szCs w:val="21"/>
              </w:rPr>
              <w:t>产生情况（t</w:t>
            </w:r>
            <w:r>
              <w:rPr>
                <w:rFonts w:ascii="Times New Roman" w:eastAsia="仿宋"/>
                <w:szCs w:val="21"/>
              </w:rPr>
              <w:t>/a</w:t>
            </w:r>
            <w:r>
              <w:rPr>
                <w:rFonts w:hint="eastAsia" w:ascii="Times New Roman" w:eastAsia="仿宋"/>
                <w:szCs w:val="21"/>
              </w:rPr>
              <w:t>）</w:t>
            </w:r>
          </w:p>
        </w:tc>
        <w:tc>
          <w:tcPr>
            <w:tcW w:w="924" w:type="dxa"/>
            <w:vMerge w:val="restart"/>
            <w:vAlign w:val="center"/>
          </w:tcPr>
          <w:p w14:paraId="4BDC928B">
            <w:pPr>
              <w:jc w:val="center"/>
              <w:rPr>
                <w:rFonts w:ascii="Times New Roman" w:eastAsia="仿宋"/>
                <w:szCs w:val="21"/>
              </w:rPr>
            </w:pPr>
            <w:r>
              <w:rPr>
                <w:rFonts w:hint="eastAsia" w:ascii="Times New Roman" w:eastAsia="仿宋"/>
                <w:szCs w:val="21"/>
              </w:rPr>
              <w:t>工作时间h</w:t>
            </w:r>
          </w:p>
        </w:tc>
      </w:tr>
      <w:tr w14:paraId="5E86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AE389CA">
            <w:pPr>
              <w:jc w:val="center"/>
              <w:rPr>
                <w:rFonts w:ascii="Times New Roman" w:eastAsia="仿宋"/>
                <w:szCs w:val="21"/>
              </w:rPr>
            </w:pPr>
          </w:p>
        </w:tc>
        <w:tc>
          <w:tcPr>
            <w:tcW w:w="1076" w:type="dxa"/>
            <w:vMerge w:val="continue"/>
            <w:vAlign w:val="center"/>
          </w:tcPr>
          <w:p w14:paraId="6CCCB2B5">
            <w:pPr>
              <w:jc w:val="center"/>
              <w:rPr>
                <w:rFonts w:ascii="Times New Roman" w:eastAsia="仿宋"/>
                <w:szCs w:val="21"/>
              </w:rPr>
            </w:pPr>
          </w:p>
        </w:tc>
        <w:tc>
          <w:tcPr>
            <w:tcW w:w="1511" w:type="dxa"/>
            <w:vMerge w:val="continue"/>
          </w:tcPr>
          <w:p w14:paraId="22ED7443">
            <w:pPr>
              <w:jc w:val="center"/>
              <w:rPr>
                <w:rFonts w:ascii="Times New Roman" w:eastAsia="仿宋"/>
                <w:szCs w:val="21"/>
              </w:rPr>
            </w:pPr>
          </w:p>
        </w:tc>
        <w:tc>
          <w:tcPr>
            <w:tcW w:w="1087" w:type="dxa"/>
            <w:vMerge w:val="continue"/>
            <w:vAlign w:val="center"/>
          </w:tcPr>
          <w:p w14:paraId="2D71BC1B">
            <w:pPr>
              <w:jc w:val="center"/>
              <w:rPr>
                <w:rFonts w:ascii="Times New Roman" w:eastAsia="仿宋"/>
                <w:szCs w:val="21"/>
              </w:rPr>
            </w:pPr>
          </w:p>
        </w:tc>
        <w:tc>
          <w:tcPr>
            <w:tcW w:w="1129" w:type="dxa"/>
            <w:vMerge w:val="continue"/>
            <w:vAlign w:val="center"/>
          </w:tcPr>
          <w:p w14:paraId="0EE86C70">
            <w:pPr>
              <w:jc w:val="center"/>
              <w:rPr>
                <w:rFonts w:ascii="Times New Roman" w:eastAsia="仿宋"/>
                <w:szCs w:val="21"/>
              </w:rPr>
            </w:pPr>
          </w:p>
        </w:tc>
        <w:tc>
          <w:tcPr>
            <w:tcW w:w="1021" w:type="dxa"/>
            <w:vMerge w:val="continue"/>
            <w:vAlign w:val="center"/>
          </w:tcPr>
          <w:p w14:paraId="4FD5AAE6">
            <w:pPr>
              <w:jc w:val="center"/>
              <w:rPr>
                <w:rFonts w:ascii="Times New Roman" w:eastAsia="仿宋"/>
                <w:szCs w:val="21"/>
              </w:rPr>
            </w:pPr>
          </w:p>
        </w:tc>
        <w:tc>
          <w:tcPr>
            <w:tcW w:w="1109" w:type="dxa"/>
            <w:vAlign w:val="center"/>
          </w:tcPr>
          <w:p w14:paraId="66536EBF">
            <w:pPr>
              <w:jc w:val="center"/>
              <w:rPr>
                <w:rFonts w:ascii="Times New Roman" w:eastAsia="仿宋"/>
                <w:szCs w:val="21"/>
              </w:rPr>
            </w:pPr>
            <w:r>
              <w:rPr>
                <w:rFonts w:hint="eastAsia" w:ascii="Times New Roman" w:eastAsia="仿宋"/>
                <w:szCs w:val="21"/>
              </w:rPr>
              <w:t>有组织</w:t>
            </w:r>
          </w:p>
        </w:tc>
        <w:tc>
          <w:tcPr>
            <w:tcW w:w="1109" w:type="dxa"/>
            <w:vAlign w:val="center"/>
          </w:tcPr>
          <w:p w14:paraId="0C2F76FD">
            <w:pPr>
              <w:jc w:val="center"/>
              <w:rPr>
                <w:rFonts w:ascii="Times New Roman" w:eastAsia="仿宋"/>
                <w:szCs w:val="21"/>
              </w:rPr>
            </w:pPr>
            <w:r>
              <w:rPr>
                <w:rFonts w:hint="eastAsia" w:ascii="Times New Roman" w:eastAsia="仿宋"/>
                <w:szCs w:val="21"/>
              </w:rPr>
              <w:t>无组织</w:t>
            </w:r>
          </w:p>
        </w:tc>
        <w:tc>
          <w:tcPr>
            <w:tcW w:w="924" w:type="dxa"/>
            <w:vMerge w:val="continue"/>
            <w:vAlign w:val="center"/>
          </w:tcPr>
          <w:p w14:paraId="432AA431">
            <w:pPr>
              <w:jc w:val="center"/>
              <w:rPr>
                <w:rFonts w:ascii="Times New Roman" w:eastAsia="仿宋"/>
                <w:szCs w:val="21"/>
              </w:rPr>
            </w:pPr>
          </w:p>
        </w:tc>
      </w:tr>
      <w:tr w14:paraId="2F3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restart"/>
            <w:vAlign w:val="center"/>
          </w:tcPr>
          <w:p w14:paraId="009F79E4">
            <w:pPr>
              <w:jc w:val="center"/>
              <w:rPr>
                <w:rFonts w:ascii="Times New Roman" w:eastAsia="仿宋"/>
                <w:szCs w:val="21"/>
              </w:rPr>
            </w:pPr>
            <w:r>
              <w:rPr>
                <w:rFonts w:hint="eastAsia" w:ascii="Times New Roman" w:eastAsia="仿宋"/>
                <w:szCs w:val="21"/>
              </w:rPr>
              <w:t>铝板喷涂线</w:t>
            </w:r>
          </w:p>
        </w:tc>
        <w:tc>
          <w:tcPr>
            <w:tcW w:w="1076" w:type="dxa"/>
            <w:vMerge w:val="restart"/>
            <w:vAlign w:val="center"/>
          </w:tcPr>
          <w:p w14:paraId="019A9951">
            <w:pPr>
              <w:jc w:val="center"/>
              <w:rPr>
                <w:rFonts w:ascii="Times New Roman" w:eastAsia="仿宋"/>
                <w:szCs w:val="21"/>
              </w:rPr>
            </w:pPr>
            <w:r>
              <w:rPr>
                <w:rFonts w:hint="eastAsia" w:ascii="Times New Roman" w:eastAsia="仿宋"/>
                <w:szCs w:val="21"/>
              </w:rPr>
              <w:t>调漆工序</w:t>
            </w:r>
          </w:p>
        </w:tc>
        <w:tc>
          <w:tcPr>
            <w:tcW w:w="1511" w:type="dxa"/>
            <w:vMerge w:val="restart"/>
            <w:vAlign w:val="center"/>
          </w:tcPr>
          <w:p w14:paraId="3FBB7887">
            <w:pPr>
              <w:jc w:val="center"/>
              <w:rPr>
                <w:rFonts w:ascii="Times New Roman" w:eastAsia="仿宋"/>
                <w:szCs w:val="21"/>
              </w:rPr>
            </w:pPr>
            <w:r>
              <w:rPr>
                <w:rFonts w:hint="eastAsia" w:ascii="Times New Roman" w:eastAsia="仿宋"/>
                <w:szCs w:val="21"/>
              </w:rPr>
              <w:t>氟碳底漆调漆废气G9</w:t>
            </w:r>
            <w:r>
              <w:rPr>
                <w:rFonts w:ascii="Times New Roman" w:eastAsia="仿宋"/>
                <w:szCs w:val="21"/>
              </w:rPr>
              <w:t>-1</w:t>
            </w:r>
          </w:p>
        </w:tc>
        <w:tc>
          <w:tcPr>
            <w:tcW w:w="1087" w:type="dxa"/>
            <w:vAlign w:val="center"/>
          </w:tcPr>
          <w:p w14:paraId="6E072235">
            <w:pPr>
              <w:jc w:val="center"/>
              <w:rPr>
                <w:rFonts w:ascii="Times New Roman" w:eastAsia="仿宋"/>
                <w:szCs w:val="21"/>
              </w:rPr>
            </w:pPr>
            <w:r>
              <w:rPr>
                <w:rFonts w:hint="eastAsia" w:ascii="Times New Roman" w:eastAsia="仿宋"/>
                <w:szCs w:val="21"/>
              </w:rPr>
              <w:t>非甲烷总烃</w:t>
            </w:r>
          </w:p>
        </w:tc>
        <w:tc>
          <w:tcPr>
            <w:tcW w:w="1129" w:type="dxa"/>
            <w:vAlign w:val="center"/>
          </w:tcPr>
          <w:p w14:paraId="55E6F224">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021" w:type="dxa"/>
            <w:vMerge w:val="restart"/>
            <w:vAlign w:val="center"/>
          </w:tcPr>
          <w:p w14:paraId="3E30366E">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1FF605D5">
            <w:pPr>
              <w:jc w:val="center"/>
              <w:rPr>
                <w:rFonts w:ascii="Times New Roman" w:eastAsia="仿宋"/>
                <w:szCs w:val="21"/>
              </w:rPr>
            </w:pPr>
            <w:r>
              <w:rPr>
                <w:rFonts w:hint="eastAsia" w:ascii="Times New Roman" w:eastAsia="仿宋"/>
                <w:szCs w:val="21"/>
              </w:rPr>
              <w:t>0</w:t>
            </w:r>
            <w:r>
              <w:rPr>
                <w:rFonts w:ascii="Times New Roman" w:eastAsia="仿宋"/>
                <w:szCs w:val="21"/>
              </w:rPr>
              <w:t>.48</w:t>
            </w:r>
            <w:r>
              <w:rPr>
                <w:rFonts w:hint="eastAsia" w:ascii="Times New Roman" w:eastAsia="仿宋"/>
                <w:szCs w:val="21"/>
              </w:rPr>
              <w:t>8</w:t>
            </w:r>
          </w:p>
        </w:tc>
        <w:tc>
          <w:tcPr>
            <w:tcW w:w="1109" w:type="dxa"/>
            <w:vAlign w:val="center"/>
          </w:tcPr>
          <w:p w14:paraId="19BAAB6F">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02</w:t>
            </w:r>
          </w:p>
        </w:tc>
        <w:tc>
          <w:tcPr>
            <w:tcW w:w="924" w:type="dxa"/>
            <w:vMerge w:val="restart"/>
            <w:vAlign w:val="center"/>
          </w:tcPr>
          <w:p w14:paraId="4E5A3655">
            <w:pPr>
              <w:jc w:val="center"/>
              <w:rPr>
                <w:rFonts w:ascii="Times New Roman" w:eastAsia="仿宋"/>
                <w:szCs w:val="21"/>
              </w:rPr>
            </w:pPr>
            <w:r>
              <w:rPr>
                <w:rFonts w:hint="eastAsia" w:ascii="Times New Roman" w:eastAsia="仿宋"/>
                <w:szCs w:val="21"/>
              </w:rPr>
              <w:t>4800</w:t>
            </w:r>
          </w:p>
        </w:tc>
      </w:tr>
      <w:tr w14:paraId="5CAF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31E7EC5">
            <w:pPr>
              <w:jc w:val="center"/>
              <w:rPr>
                <w:rFonts w:ascii="Times New Roman" w:eastAsia="仿宋"/>
                <w:szCs w:val="21"/>
              </w:rPr>
            </w:pPr>
          </w:p>
        </w:tc>
        <w:tc>
          <w:tcPr>
            <w:tcW w:w="1076" w:type="dxa"/>
            <w:vMerge w:val="continue"/>
            <w:vAlign w:val="center"/>
          </w:tcPr>
          <w:p w14:paraId="66B98854">
            <w:pPr>
              <w:jc w:val="center"/>
              <w:rPr>
                <w:rFonts w:ascii="Times New Roman" w:eastAsia="仿宋"/>
                <w:szCs w:val="21"/>
              </w:rPr>
            </w:pPr>
          </w:p>
        </w:tc>
        <w:tc>
          <w:tcPr>
            <w:tcW w:w="1511" w:type="dxa"/>
            <w:vMerge w:val="continue"/>
            <w:vAlign w:val="center"/>
          </w:tcPr>
          <w:p w14:paraId="127A655B">
            <w:pPr>
              <w:jc w:val="center"/>
              <w:rPr>
                <w:rFonts w:ascii="Times New Roman" w:eastAsia="仿宋"/>
                <w:szCs w:val="21"/>
              </w:rPr>
            </w:pPr>
          </w:p>
        </w:tc>
        <w:tc>
          <w:tcPr>
            <w:tcW w:w="1087" w:type="dxa"/>
            <w:vAlign w:val="center"/>
          </w:tcPr>
          <w:p w14:paraId="30A6590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7263ACB5">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021" w:type="dxa"/>
            <w:vMerge w:val="continue"/>
            <w:vAlign w:val="center"/>
          </w:tcPr>
          <w:p w14:paraId="560DFD4B">
            <w:pPr>
              <w:jc w:val="center"/>
              <w:rPr>
                <w:rFonts w:ascii="Times New Roman" w:eastAsia="仿宋"/>
                <w:szCs w:val="21"/>
              </w:rPr>
            </w:pPr>
          </w:p>
        </w:tc>
        <w:tc>
          <w:tcPr>
            <w:tcW w:w="1109" w:type="dxa"/>
            <w:vAlign w:val="center"/>
          </w:tcPr>
          <w:p w14:paraId="34A4C636">
            <w:pPr>
              <w:jc w:val="center"/>
              <w:rPr>
                <w:rFonts w:ascii="Times New Roman" w:eastAsia="仿宋"/>
                <w:szCs w:val="21"/>
              </w:rPr>
            </w:pPr>
            <w:r>
              <w:rPr>
                <w:rFonts w:hint="eastAsia" w:ascii="Times New Roman" w:eastAsia="仿宋"/>
                <w:szCs w:val="21"/>
              </w:rPr>
              <w:t>0</w:t>
            </w:r>
            <w:r>
              <w:rPr>
                <w:rFonts w:ascii="Times New Roman" w:eastAsia="仿宋"/>
                <w:szCs w:val="21"/>
              </w:rPr>
              <w:t>.48</w:t>
            </w:r>
            <w:r>
              <w:rPr>
                <w:rFonts w:hint="eastAsia" w:ascii="Times New Roman" w:eastAsia="仿宋"/>
                <w:szCs w:val="21"/>
              </w:rPr>
              <w:t>8</w:t>
            </w:r>
          </w:p>
        </w:tc>
        <w:tc>
          <w:tcPr>
            <w:tcW w:w="1109" w:type="dxa"/>
            <w:vAlign w:val="center"/>
          </w:tcPr>
          <w:p w14:paraId="1C03879D">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02</w:t>
            </w:r>
          </w:p>
        </w:tc>
        <w:tc>
          <w:tcPr>
            <w:tcW w:w="924" w:type="dxa"/>
            <w:vMerge w:val="continue"/>
            <w:vAlign w:val="center"/>
          </w:tcPr>
          <w:p w14:paraId="0CAA6A75">
            <w:pPr>
              <w:jc w:val="center"/>
              <w:rPr>
                <w:rFonts w:ascii="Times New Roman" w:eastAsia="仿宋"/>
                <w:szCs w:val="21"/>
              </w:rPr>
            </w:pPr>
          </w:p>
        </w:tc>
      </w:tr>
      <w:tr w14:paraId="5B16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0F4A448E">
            <w:pPr>
              <w:jc w:val="center"/>
              <w:rPr>
                <w:rFonts w:ascii="Times New Roman" w:eastAsia="仿宋"/>
                <w:szCs w:val="21"/>
              </w:rPr>
            </w:pPr>
          </w:p>
        </w:tc>
        <w:tc>
          <w:tcPr>
            <w:tcW w:w="1076" w:type="dxa"/>
            <w:vMerge w:val="continue"/>
            <w:vAlign w:val="center"/>
          </w:tcPr>
          <w:p w14:paraId="3CDADEB0">
            <w:pPr>
              <w:jc w:val="center"/>
              <w:rPr>
                <w:rFonts w:ascii="Times New Roman" w:eastAsia="仿宋"/>
                <w:szCs w:val="21"/>
              </w:rPr>
            </w:pPr>
          </w:p>
        </w:tc>
        <w:tc>
          <w:tcPr>
            <w:tcW w:w="1511" w:type="dxa"/>
            <w:vMerge w:val="continue"/>
            <w:vAlign w:val="center"/>
          </w:tcPr>
          <w:p w14:paraId="622A490C">
            <w:pPr>
              <w:jc w:val="center"/>
              <w:rPr>
                <w:rFonts w:ascii="Times New Roman" w:eastAsia="仿宋"/>
                <w:szCs w:val="21"/>
              </w:rPr>
            </w:pPr>
          </w:p>
        </w:tc>
        <w:tc>
          <w:tcPr>
            <w:tcW w:w="1087" w:type="dxa"/>
            <w:vAlign w:val="center"/>
          </w:tcPr>
          <w:p w14:paraId="29850F2E">
            <w:pPr>
              <w:jc w:val="center"/>
              <w:rPr>
                <w:rFonts w:ascii="Times New Roman" w:eastAsia="仿宋"/>
                <w:szCs w:val="21"/>
              </w:rPr>
            </w:pPr>
            <w:r>
              <w:rPr>
                <w:rFonts w:hint="eastAsia" w:ascii="Times New Roman" w:eastAsia="仿宋"/>
                <w:szCs w:val="21"/>
              </w:rPr>
              <w:t>二甲苯</w:t>
            </w:r>
          </w:p>
        </w:tc>
        <w:tc>
          <w:tcPr>
            <w:tcW w:w="1129" w:type="dxa"/>
            <w:vAlign w:val="center"/>
          </w:tcPr>
          <w:p w14:paraId="0FB8FFD5">
            <w:pPr>
              <w:jc w:val="center"/>
              <w:rPr>
                <w:rFonts w:ascii="Times New Roman" w:eastAsia="仿宋"/>
                <w:szCs w:val="21"/>
              </w:rPr>
            </w:pPr>
            <w:r>
              <w:rPr>
                <w:rFonts w:hint="eastAsia" w:ascii="Times New Roman" w:eastAsia="仿宋"/>
                <w:szCs w:val="21"/>
              </w:rPr>
              <w:t>0</w:t>
            </w:r>
            <w:r>
              <w:rPr>
                <w:rFonts w:ascii="Times New Roman" w:eastAsia="仿宋"/>
                <w:szCs w:val="21"/>
              </w:rPr>
              <w:t>.14</w:t>
            </w:r>
          </w:p>
        </w:tc>
        <w:tc>
          <w:tcPr>
            <w:tcW w:w="1021" w:type="dxa"/>
            <w:vMerge w:val="continue"/>
            <w:vAlign w:val="center"/>
          </w:tcPr>
          <w:p w14:paraId="50A3B60B">
            <w:pPr>
              <w:jc w:val="center"/>
              <w:rPr>
                <w:rFonts w:ascii="Times New Roman" w:eastAsia="仿宋"/>
                <w:szCs w:val="21"/>
              </w:rPr>
            </w:pPr>
          </w:p>
        </w:tc>
        <w:tc>
          <w:tcPr>
            <w:tcW w:w="1109" w:type="dxa"/>
            <w:vAlign w:val="center"/>
          </w:tcPr>
          <w:p w14:paraId="7AD5348D">
            <w:pPr>
              <w:jc w:val="center"/>
              <w:rPr>
                <w:rFonts w:ascii="Times New Roman" w:eastAsia="仿宋"/>
                <w:szCs w:val="21"/>
              </w:rPr>
            </w:pPr>
            <w:r>
              <w:rPr>
                <w:rFonts w:ascii="Times New Roman" w:eastAsia="仿宋"/>
                <w:szCs w:val="21"/>
              </w:rPr>
              <w:t>0.13</w:t>
            </w:r>
            <w:r>
              <w:rPr>
                <w:rFonts w:hint="eastAsia" w:ascii="Times New Roman" w:eastAsia="仿宋"/>
                <w:szCs w:val="21"/>
              </w:rPr>
              <w:t>9</w:t>
            </w:r>
          </w:p>
        </w:tc>
        <w:tc>
          <w:tcPr>
            <w:tcW w:w="1109" w:type="dxa"/>
            <w:vAlign w:val="center"/>
          </w:tcPr>
          <w:p w14:paraId="6384C818">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01</w:t>
            </w:r>
          </w:p>
        </w:tc>
        <w:tc>
          <w:tcPr>
            <w:tcW w:w="924" w:type="dxa"/>
            <w:vMerge w:val="continue"/>
            <w:vAlign w:val="center"/>
          </w:tcPr>
          <w:p w14:paraId="79B10782">
            <w:pPr>
              <w:jc w:val="center"/>
              <w:rPr>
                <w:rFonts w:ascii="Times New Roman" w:eastAsia="仿宋"/>
                <w:szCs w:val="21"/>
              </w:rPr>
            </w:pPr>
          </w:p>
        </w:tc>
      </w:tr>
      <w:tr w14:paraId="378D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B84A34F">
            <w:pPr>
              <w:jc w:val="center"/>
              <w:rPr>
                <w:rFonts w:ascii="Times New Roman" w:eastAsia="仿宋"/>
                <w:szCs w:val="21"/>
              </w:rPr>
            </w:pPr>
          </w:p>
        </w:tc>
        <w:tc>
          <w:tcPr>
            <w:tcW w:w="1076" w:type="dxa"/>
            <w:vMerge w:val="continue"/>
            <w:vAlign w:val="center"/>
          </w:tcPr>
          <w:p w14:paraId="6089A9A9">
            <w:pPr>
              <w:jc w:val="center"/>
              <w:rPr>
                <w:rFonts w:ascii="Times New Roman" w:eastAsia="仿宋"/>
                <w:szCs w:val="21"/>
              </w:rPr>
            </w:pPr>
          </w:p>
        </w:tc>
        <w:tc>
          <w:tcPr>
            <w:tcW w:w="1511" w:type="dxa"/>
            <w:vMerge w:val="continue"/>
            <w:vAlign w:val="center"/>
          </w:tcPr>
          <w:p w14:paraId="25F6B252">
            <w:pPr>
              <w:jc w:val="center"/>
              <w:rPr>
                <w:rFonts w:ascii="Times New Roman" w:eastAsia="仿宋"/>
                <w:szCs w:val="21"/>
              </w:rPr>
            </w:pPr>
          </w:p>
        </w:tc>
        <w:tc>
          <w:tcPr>
            <w:tcW w:w="1087" w:type="dxa"/>
            <w:vAlign w:val="center"/>
          </w:tcPr>
          <w:p w14:paraId="5A0CF8FE">
            <w:pPr>
              <w:jc w:val="center"/>
              <w:rPr>
                <w:rFonts w:ascii="Times New Roman" w:eastAsia="仿宋"/>
                <w:szCs w:val="21"/>
              </w:rPr>
            </w:pPr>
            <w:r>
              <w:rPr>
                <w:rFonts w:hint="eastAsia" w:ascii="Times New Roman" w:eastAsia="仿宋"/>
                <w:szCs w:val="21"/>
              </w:rPr>
              <w:t>苯系物</w:t>
            </w:r>
          </w:p>
        </w:tc>
        <w:tc>
          <w:tcPr>
            <w:tcW w:w="1129" w:type="dxa"/>
            <w:vAlign w:val="center"/>
          </w:tcPr>
          <w:p w14:paraId="73F7C21E">
            <w:pPr>
              <w:jc w:val="center"/>
              <w:rPr>
                <w:rFonts w:ascii="Times New Roman" w:eastAsia="仿宋"/>
                <w:szCs w:val="21"/>
              </w:rPr>
            </w:pPr>
            <w:r>
              <w:rPr>
                <w:rFonts w:hint="eastAsia" w:ascii="Times New Roman" w:eastAsia="仿宋"/>
                <w:szCs w:val="21"/>
              </w:rPr>
              <w:t>0</w:t>
            </w:r>
            <w:r>
              <w:rPr>
                <w:rFonts w:ascii="Times New Roman" w:eastAsia="仿宋"/>
                <w:szCs w:val="21"/>
              </w:rPr>
              <w:t>.14</w:t>
            </w:r>
          </w:p>
        </w:tc>
        <w:tc>
          <w:tcPr>
            <w:tcW w:w="1021" w:type="dxa"/>
            <w:vMerge w:val="continue"/>
            <w:vAlign w:val="center"/>
          </w:tcPr>
          <w:p w14:paraId="316E411B">
            <w:pPr>
              <w:jc w:val="center"/>
              <w:rPr>
                <w:rFonts w:ascii="Times New Roman" w:eastAsia="仿宋"/>
                <w:szCs w:val="21"/>
              </w:rPr>
            </w:pPr>
          </w:p>
        </w:tc>
        <w:tc>
          <w:tcPr>
            <w:tcW w:w="1109" w:type="dxa"/>
            <w:vAlign w:val="center"/>
          </w:tcPr>
          <w:p w14:paraId="6FD60876">
            <w:pPr>
              <w:jc w:val="center"/>
              <w:rPr>
                <w:rFonts w:ascii="Times New Roman" w:eastAsia="仿宋"/>
                <w:szCs w:val="21"/>
              </w:rPr>
            </w:pPr>
            <w:r>
              <w:rPr>
                <w:rFonts w:ascii="Times New Roman" w:eastAsia="仿宋"/>
                <w:szCs w:val="21"/>
              </w:rPr>
              <w:t>0.13</w:t>
            </w:r>
            <w:r>
              <w:rPr>
                <w:rFonts w:hint="eastAsia" w:ascii="Times New Roman" w:eastAsia="仿宋"/>
                <w:szCs w:val="21"/>
              </w:rPr>
              <w:t>9</w:t>
            </w:r>
          </w:p>
        </w:tc>
        <w:tc>
          <w:tcPr>
            <w:tcW w:w="1109" w:type="dxa"/>
            <w:vAlign w:val="center"/>
          </w:tcPr>
          <w:p w14:paraId="1DD0A7DD">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01</w:t>
            </w:r>
          </w:p>
        </w:tc>
        <w:tc>
          <w:tcPr>
            <w:tcW w:w="924" w:type="dxa"/>
            <w:vMerge w:val="continue"/>
            <w:vAlign w:val="center"/>
          </w:tcPr>
          <w:p w14:paraId="6E07666B">
            <w:pPr>
              <w:jc w:val="center"/>
              <w:rPr>
                <w:rFonts w:ascii="Times New Roman" w:eastAsia="仿宋"/>
                <w:szCs w:val="21"/>
              </w:rPr>
            </w:pPr>
          </w:p>
        </w:tc>
      </w:tr>
      <w:tr w14:paraId="47E4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21ACD62">
            <w:pPr>
              <w:jc w:val="center"/>
              <w:rPr>
                <w:rFonts w:ascii="Times New Roman" w:eastAsia="仿宋"/>
                <w:szCs w:val="21"/>
              </w:rPr>
            </w:pPr>
          </w:p>
        </w:tc>
        <w:tc>
          <w:tcPr>
            <w:tcW w:w="1076" w:type="dxa"/>
            <w:vMerge w:val="continue"/>
            <w:vAlign w:val="center"/>
          </w:tcPr>
          <w:p w14:paraId="7D620768">
            <w:pPr>
              <w:jc w:val="center"/>
              <w:rPr>
                <w:rFonts w:ascii="Times New Roman" w:eastAsia="仿宋"/>
                <w:szCs w:val="21"/>
              </w:rPr>
            </w:pPr>
          </w:p>
        </w:tc>
        <w:tc>
          <w:tcPr>
            <w:tcW w:w="1511" w:type="dxa"/>
            <w:vMerge w:val="restart"/>
            <w:vAlign w:val="center"/>
          </w:tcPr>
          <w:p w14:paraId="5F5C63E1">
            <w:pPr>
              <w:jc w:val="center"/>
              <w:rPr>
                <w:rFonts w:ascii="Times New Roman" w:eastAsia="仿宋"/>
                <w:szCs w:val="21"/>
              </w:rPr>
            </w:pPr>
            <w:r>
              <w:rPr>
                <w:rFonts w:hint="eastAsia" w:ascii="Times New Roman" w:eastAsia="仿宋"/>
                <w:szCs w:val="21"/>
              </w:rPr>
              <w:t>氟碳面漆调漆废气G9</w:t>
            </w:r>
            <w:r>
              <w:rPr>
                <w:rFonts w:ascii="Times New Roman" w:eastAsia="仿宋"/>
                <w:szCs w:val="21"/>
              </w:rPr>
              <w:t>-2</w:t>
            </w:r>
          </w:p>
        </w:tc>
        <w:tc>
          <w:tcPr>
            <w:tcW w:w="1087" w:type="dxa"/>
            <w:vAlign w:val="center"/>
          </w:tcPr>
          <w:p w14:paraId="4A0E0714">
            <w:pPr>
              <w:jc w:val="center"/>
              <w:rPr>
                <w:rFonts w:ascii="Times New Roman" w:eastAsia="仿宋"/>
                <w:szCs w:val="21"/>
              </w:rPr>
            </w:pPr>
            <w:r>
              <w:rPr>
                <w:rFonts w:hint="eastAsia" w:ascii="Times New Roman" w:eastAsia="仿宋"/>
                <w:szCs w:val="21"/>
              </w:rPr>
              <w:t>非甲烷总烃</w:t>
            </w:r>
          </w:p>
        </w:tc>
        <w:tc>
          <w:tcPr>
            <w:tcW w:w="1129" w:type="dxa"/>
            <w:vAlign w:val="center"/>
          </w:tcPr>
          <w:p w14:paraId="7B57B203">
            <w:pPr>
              <w:jc w:val="center"/>
              <w:rPr>
                <w:rFonts w:ascii="Times New Roman" w:eastAsia="仿宋"/>
                <w:szCs w:val="21"/>
              </w:rPr>
            </w:pPr>
            <w:r>
              <w:rPr>
                <w:rFonts w:hint="eastAsia" w:ascii="Times New Roman" w:eastAsia="仿宋"/>
                <w:szCs w:val="21"/>
              </w:rPr>
              <w:t>0</w:t>
            </w:r>
            <w:r>
              <w:rPr>
                <w:rFonts w:ascii="Times New Roman" w:eastAsia="仿宋"/>
                <w:szCs w:val="21"/>
              </w:rPr>
              <w:t>.8</w:t>
            </w:r>
          </w:p>
        </w:tc>
        <w:tc>
          <w:tcPr>
            <w:tcW w:w="1021" w:type="dxa"/>
            <w:vMerge w:val="restart"/>
            <w:vAlign w:val="center"/>
          </w:tcPr>
          <w:p w14:paraId="7D3B673F">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033C7603">
            <w:pPr>
              <w:jc w:val="center"/>
              <w:rPr>
                <w:rFonts w:ascii="Times New Roman" w:eastAsia="仿宋"/>
                <w:szCs w:val="21"/>
              </w:rPr>
            </w:pPr>
            <w:r>
              <w:rPr>
                <w:rFonts w:hint="eastAsia" w:ascii="Times New Roman" w:eastAsia="仿宋"/>
                <w:szCs w:val="21"/>
              </w:rPr>
              <w:t>0</w:t>
            </w:r>
            <w:r>
              <w:rPr>
                <w:rFonts w:ascii="Times New Roman" w:eastAsia="仿宋"/>
                <w:szCs w:val="21"/>
              </w:rPr>
              <w:t>.79</w:t>
            </w:r>
            <w:r>
              <w:rPr>
                <w:rFonts w:hint="eastAsia" w:ascii="Times New Roman" w:eastAsia="仿宋"/>
                <w:szCs w:val="21"/>
              </w:rPr>
              <w:t>6</w:t>
            </w:r>
          </w:p>
        </w:tc>
        <w:tc>
          <w:tcPr>
            <w:tcW w:w="1109" w:type="dxa"/>
            <w:vAlign w:val="center"/>
          </w:tcPr>
          <w:p w14:paraId="49AE8BF6">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04</w:t>
            </w:r>
          </w:p>
        </w:tc>
        <w:tc>
          <w:tcPr>
            <w:tcW w:w="924" w:type="dxa"/>
            <w:vMerge w:val="continue"/>
            <w:vAlign w:val="center"/>
          </w:tcPr>
          <w:p w14:paraId="676F393E">
            <w:pPr>
              <w:jc w:val="center"/>
              <w:rPr>
                <w:rFonts w:ascii="Times New Roman" w:eastAsia="仿宋"/>
                <w:szCs w:val="21"/>
              </w:rPr>
            </w:pPr>
          </w:p>
        </w:tc>
      </w:tr>
      <w:tr w14:paraId="2D1E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09937DC5">
            <w:pPr>
              <w:jc w:val="center"/>
              <w:rPr>
                <w:rFonts w:ascii="Times New Roman" w:eastAsia="仿宋"/>
                <w:szCs w:val="21"/>
              </w:rPr>
            </w:pPr>
          </w:p>
        </w:tc>
        <w:tc>
          <w:tcPr>
            <w:tcW w:w="1076" w:type="dxa"/>
            <w:vMerge w:val="continue"/>
            <w:vAlign w:val="center"/>
          </w:tcPr>
          <w:p w14:paraId="1474AD97">
            <w:pPr>
              <w:jc w:val="center"/>
              <w:rPr>
                <w:rFonts w:ascii="Times New Roman" w:eastAsia="仿宋"/>
                <w:szCs w:val="21"/>
              </w:rPr>
            </w:pPr>
          </w:p>
        </w:tc>
        <w:tc>
          <w:tcPr>
            <w:tcW w:w="1511" w:type="dxa"/>
            <w:vMerge w:val="continue"/>
            <w:vAlign w:val="center"/>
          </w:tcPr>
          <w:p w14:paraId="36552CF7">
            <w:pPr>
              <w:jc w:val="center"/>
              <w:rPr>
                <w:rFonts w:ascii="Times New Roman" w:eastAsia="仿宋"/>
                <w:szCs w:val="21"/>
              </w:rPr>
            </w:pPr>
          </w:p>
        </w:tc>
        <w:tc>
          <w:tcPr>
            <w:tcW w:w="1087" w:type="dxa"/>
            <w:vAlign w:val="center"/>
          </w:tcPr>
          <w:p w14:paraId="7E74D97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3C7010A7">
            <w:pPr>
              <w:jc w:val="center"/>
              <w:rPr>
                <w:rFonts w:ascii="Times New Roman" w:eastAsia="仿宋"/>
                <w:szCs w:val="21"/>
              </w:rPr>
            </w:pPr>
            <w:r>
              <w:rPr>
                <w:rFonts w:hint="eastAsia" w:ascii="Times New Roman" w:eastAsia="仿宋"/>
                <w:szCs w:val="21"/>
              </w:rPr>
              <w:t>0</w:t>
            </w:r>
            <w:r>
              <w:rPr>
                <w:rFonts w:ascii="Times New Roman" w:eastAsia="仿宋"/>
                <w:szCs w:val="21"/>
              </w:rPr>
              <w:t>.8</w:t>
            </w:r>
          </w:p>
        </w:tc>
        <w:tc>
          <w:tcPr>
            <w:tcW w:w="1021" w:type="dxa"/>
            <w:vMerge w:val="continue"/>
            <w:vAlign w:val="center"/>
          </w:tcPr>
          <w:p w14:paraId="60C009DE">
            <w:pPr>
              <w:jc w:val="center"/>
              <w:rPr>
                <w:rFonts w:ascii="Times New Roman" w:eastAsia="仿宋"/>
                <w:szCs w:val="21"/>
              </w:rPr>
            </w:pPr>
          </w:p>
        </w:tc>
        <w:tc>
          <w:tcPr>
            <w:tcW w:w="1109" w:type="dxa"/>
            <w:vAlign w:val="center"/>
          </w:tcPr>
          <w:p w14:paraId="6FD485E9">
            <w:pPr>
              <w:jc w:val="center"/>
              <w:rPr>
                <w:rFonts w:ascii="Times New Roman" w:eastAsia="仿宋"/>
                <w:szCs w:val="21"/>
              </w:rPr>
            </w:pPr>
            <w:r>
              <w:rPr>
                <w:rFonts w:hint="eastAsia" w:ascii="Times New Roman" w:eastAsia="仿宋"/>
                <w:szCs w:val="21"/>
              </w:rPr>
              <w:t>0</w:t>
            </w:r>
            <w:r>
              <w:rPr>
                <w:rFonts w:ascii="Times New Roman" w:eastAsia="仿宋"/>
                <w:szCs w:val="21"/>
              </w:rPr>
              <w:t>.79</w:t>
            </w:r>
            <w:r>
              <w:rPr>
                <w:rFonts w:hint="eastAsia" w:ascii="Times New Roman" w:eastAsia="仿宋"/>
                <w:szCs w:val="21"/>
              </w:rPr>
              <w:t>6</w:t>
            </w:r>
          </w:p>
        </w:tc>
        <w:tc>
          <w:tcPr>
            <w:tcW w:w="1109" w:type="dxa"/>
            <w:vAlign w:val="center"/>
          </w:tcPr>
          <w:p w14:paraId="2B8D8EF8">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04</w:t>
            </w:r>
          </w:p>
        </w:tc>
        <w:tc>
          <w:tcPr>
            <w:tcW w:w="924" w:type="dxa"/>
            <w:vMerge w:val="continue"/>
            <w:vAlign w:val="center"/>
          </w:tcPr>
          <w:p w14:paraId="5A918EF1">
            <w:pPr>
              <w:jc w:val="center"/>
              <w:rPr>
                <w:rFonts w:ascii="Times New Roman" w:eastAsia="仿宋"/>
                <w:szCs w:val="21"/>
              </w:rPr>
            </w:pPr>
          </w:p>
        </w:tc>
      </w:tr>
      <w:tr w14:paraId="453B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367374CC">
            <w:pPr>
              <w:jc w:val="center"/>
              <w:rPr>
                <w:rFonts w:ascii="Times New Roman" w:eastAsia="仿宋"/>
                <w:szCs w:val="21"/>
              </w:rPr>
            </w:pPr>
          </w:p>
        </w:tc>
        <w:tc>
          <w:tcPr>
            <w:tcW w:w="1076" w:type="dxa"/>
            <w:vMerge w:val="continue"/>
            <w:vAlign w:val="center"/>
          </w:tcPr>
          <w:p w14:paraId="4D5AE02C">
            <w:pPr>
              <w:jc w:val="center"/>
              <w:rPr>
                <w:rFonts w:ascii="Times New Roman" w:eastAsia="仿宋"/>
                <w:szCs w:val="21"/>
              </w:rPr>
            </w:pPr>
          </w:p>
        </w:tc>
        <w:tc>
          <w:tcPr>
            <w:tcW w:w="1511" w:type="dxa"/>
            <w:vMerge w:val="continue"/>
            <w:vAlign w:val="center"/>
          </w:tcPr>
          <w:p w14:paraId="23A0BE60">
            <w:pPr>
              <w:jc w:val="center"/>
              <w:rPr>
                <w:rFonts w:ascii="Times New Roman" w:eastAsia="仿宋"/>
                <w:szCs w:val="21"/>
              </w:rPr>
            </w:pPr>
          </w:p>
        </w:tc>
        <w:tc>
          <w:tcPr>
            <w:tcW w:w="1087" w:type="dxa"/>
            <w:vAlign w:val="center"/>
          </w:tcPr>
          <w:p w14:paraId="50375802">
            <w:pPr>
              <w:jc w:val="center"/>
              <w:rPr>
                <w:rFonts w:ascii="Times New Roman" w:eastAsia="仿宋"/>
                <w:szCs w:val="21"/>
              </w:rPr>
            </w:pPr>
            <w:r>
              <w:rPr>
                <w:rFonts w:hint="eastAsia" w:ascii="Times New Roman" w:eastAsia="仿宋"/>
                <w:szCs w:val="21"/>
              </w:rPr>
              <w:t>二甲苯</w:t>
            </w:r>
          </w:p>
        </w:tc>
        <w:tc>
          <w:tcPr>
            <w:tcW w:w="1129" w:type="dxa"/>
            <w:vAlign w:val="center"/>
          </w:tcPr>
          <w:p w14:paraId="11B769CA">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021" w:type="dxa"/>
            <w:vMerge w:val="continue"/>
            <w:vAlign w:val="center"/>
          </w:tcPr>
          <w:p w14:paraId="21186278">
            <w:pPr>
              <w:jc w:val="center"/>
              <w:rPr>
                <w:rFonts w:ascii="Times New Roman" w:eastAsia="仿宋"/>
                <w:szCs w:val="21"/>
              </w:rPr>
            </w:pPr>
          </w:p>
        </w:tc>
        <w:tc>
          <w:tcPr>
            <w:tcW w:w="1109" w:type="dxa"/>
            <w:vAlign w:val="center"/>
          </w:tcPr>
          <w:p w14:paraId="3AFD6AB9">
            <w:pPr>
              <w:jc w:val="center"/>
              <w:rPr>
                <w:rFonts w:ascii="Times New Roman" w:eastAsia="仿宋"/>
                <w:szCs w:val="21"/>
              </w:rPr>
            </w:pPr>
            <w:r>
              <w:rPr>
                <w:rFonts w:hint="eastAsia" w:ascii="Times New Roman" w:eastAsia="仿宋"/>
                <w:szCs w:val="21"/>
              </w:rPr>
              <w:t>0</w:t>
            </w:r>
            <w:r>
              <w:rPr>
                <w:rFonts w:ascii="Times New Roman" w:eastAsia="仿宋"/>
                <w:szCs w:val="21"/>
              </w:rPr>
              <w:t>.18</w:t>
            </w:r>
            <w:r>
              <w:rPr>
                <w:rFonts w:hint="eastAsia" w:ascii="Times New Roman" w:eastAsia="仿宋"/>
                <w:szCs w:val="21"/>
              </w:rPr>
              <w:t>8</w:t>
            </w:r>
          </w:p>
        </w:tc>
        <w:tc>
          <w:tcPr>
            <w:tcW w:w="1109" w:type="dxa"/>
            <w:vAlign w:val="center"/>
          </w:tcPr>
          <w:p w14:paraId="1B8B30D3">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02</w:t>
            </w:r>
          </w:p>
        </w:tc>
        <w:tc>
          <w:tcPr>
            <w:tcW w:w="924" w:type="dxa"/>
            <w:vMerge w:val="continue"/>
            <w:vAlign w:val="center"/>
          </w:tcPr>
          <w:p w14:paraId="4204D217">
            <w:pPr>
              <w:jc w:val="center"/>
              <w:rPr>
                <w:rFonts w:ascii="Times New Roman" w:eastAsia="仿宋"/>
                <w:szCs w:val="21"/>
              </w:rPr>
            </w:pPr>
          </w:p>
        </w:tc>
      </w:tr>
      <w:tr w14:paraId="3365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704CE84">
            <w:pPr>
              <w:jc w:val="center"/>
              <w:rPr>
                <w:rFonts w:ascii="Times New Roman" w:eastAsia="仿宋"/>
                <w:szCs w:val="21"/>
              </w:rPr>
            </w:pPr>
          </w:p>
        </w:tc>
        <w:tc>
          <w:tcPr>
            <w:tcW w:w="1076" w:type="dxa"/>
            <w:vMerge w:val="continue"/>
            <w:vAlign w:val="center"/>
          </w:tcPr>
          <w:p w14:paraId="262E7B86">
            <w:pPr>
              <w:jc w:val="center"/>
              <w:rPr>
                <w:rFonts w:ascii="Times New Roman" w:eastAsia="仿宋"/>
                <w:szCs w:val="21"/>
              </w:rPr>
            </w:pPr>
          </w:p>
        </w:tc>
        <w:tc>
          <w:tcPr>
            <w:tcW w:w="1511" w:type="dxa"/>
            <w:vMerge w:val="continue"/>
          </w:tcPr>
          <w:p w14:paraId="5E474CA2">
            <w:pPr>
              <w:jc w:val="center"/>
              <w:rPr>
                <w:rFonts w:ascii="Times New Roman" w:eastAsia="仿宋"/>
                <w:szCs w:val="21"/>
              </w:rPr>
            </w:pPr>
          </w:p>
        </w:tc>
        <w:tc>
          <w:tcPr>
            <w:tcW w:w="1087" w:type="dxa"/>
            <w:vAlign w:val="center"/>
          </w:tcPr>
          <w:p w14:paraId="271D23EB">
            <w:pPr>
              <w:jc w:val="center"/>
              <w:rPr>
                <w:rFonts w:ascii="Times New Roman" w:eastAsia="仿宋"/>
                <w:szCs w:val="21"/>
              </w:rPr>
            </w:pPr>
            <w:r>
              <w:rPr>
                <w:rFonts w:hint="eastAsia" w:ascii="Times New Roman" w:eastAsia="仿宋"/>
                <w:szCs w:val="21"/>
              </w:rPr>
              <w:t>苯系物</w:t>
            </w:r>
          </w:p>
        </w:tc>
        <w:tc>
          <w:tcPr>
            <w:tcW w:w="1129" w:type="dxa"/>
            <w:vAlign w:val="center"/>
          </w:tcPr>
          <w:p w14:paraId="7D4DBEF4">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021" w:type="dxa"/>
            <w:vMerge w:val="continue"/>
            <w:vAlign w:val="center"/>
          </w:tcPr>
          <w:p w14:paraId="04347091">
            <w:pPr>
              <w:jc w:val="center"/>
              <w:rPr>
                <w:rFonts w:ascii="Times New Roman" w:eastAsia="仿宋"/>
                <w:szCs w:val="21"/>
              </w:rPr>
            </w:pPr>
          </w:p>
        </w:tc>
        <w:tc>
          <w:tcPr>
            <w:tcW w:w="1109" w:type="dxa"/>
            <w:vAlign w:val="center"/>
          </w:tcPr>
          <w:p w14:paraId="38FE90A9">
            <w:pPr>
              <w:jc w:val="center"/>
              <w:rPr>
                <w:rFonts w:ascii="Times New Roman" w:eastAsia="仿宋"/>
                <w:szCs w:val="21"/>
              </w:rPr>
            </w:pPr>
            <w:r>
              <w:rPr>
                <w:rFonts w:hint="eastAsia" w:ascii="Times New Roman" w:eastAsia="仿宋"/>
                <w:szCs w:val="21"/>
              </w:rPr>
              <w:t>0</w:t>
            </w:r>
            <w:r>
              <w:rPr>
                <w:rFonts w:ascii="Times New Roman" w:eastAsia="仿宋"/>
                <w:szCs w:val="21"/>
              </w:rPr>
              <w:t>.18</w:t>
            </w:r>
            <w:r>
              <w:rPr>
                <w:rFonts w:hint="eastAsia" w:ascii="Times New Roman" w:eastAsia="仿宋"/>
                <w:szCs w:val="21"/>
              </w:rPr>
              <w:t>8</w:t>
            </w:r>
          </w:p>
        </w:tc>
        <w:tc>
          <w:tcPr>
            <w:tcW w:w="1109" w:type="dxa"/>
            <w:vAlign w:val="center"/>
          </w:tcPr>
          <w:p w14:paraId="7E7A5945">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02</w:t>
            </w:r>
          </w:p>
        </w:tc>
        <w:tc>
          <w:tcPr>
            <w:tcW w:w="924" w:type="dxa"/>
            <w:vMerge w:val="continue"/>
            <w:vAlign w:val="center"/>
          </w:tcPr>
          <w:p w14:paraId="090C9B8A">
            <w:pPr>
              <w:jc w:val="center"/>
              <w:rPr>
                <w:rFonts w:ascii="Times New Roman" w:eastAsia="仿宋"/>
                <w:szCs w:val="21"/>
              </w:rPr>
            </w:pPr>
          </w:p>
        </w:tc>
      </w:tr>
      <w:tr w14:paraId="1CC8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D5AD9CA">
            <w:pPr>
              <w:jc w:val="center"/>
              <w:rPr>
                <w:rFonts w:ascii="Times New Roman" w:eastAsia="仿宋"/>
                <w:szCs w:val="21"/>
              </w:rPr>
            </w:pPr>
          </w:p>
        </w:tc>
        <w:tc>
          <w:tcPr>
            <w:tcW w:w="1076" w:type="dxa"/>
            <w:vMerge w:val="restart"/>
            <w:vAlign w:val="center"/>
          </w:tcPr>
          <w:p w14:paraId="34AA2020">
            <w:pPr>
              <w:jc w:val="center"/>
              <w:rPr>
                <w:rFonts w:ascii="Times New Roman" w:eastAsia="仿宋"/>
                <w:szCs w:val="21"/>
              </w:rPr>
            </w:pPr>
            <w:r>
              <w:rPr>
                <w:rFonts w:hint="eastAsia" w:ascii="Times New Roman" w:eastAsia="仿宋"/>
                <w:szCs w:val="21"/>
              </w:rPr>
              <w:t>喷涂工序</w:t>
            </w:r>
          </w:p>
        </w:tc>
        <w:tc>
          <w:tcPr>
            <w:tcW w:w="1511" w:type="dxa"/>
            <w:vMerge w:val="restart"/>
            <w:vAlign w:val="center"/>
          </w:tcPr>
          <w:p w14:paraId="07BB47E7">
            <w:pPr>
              <w:jc w:val="center"/>
              <w:rPr>
                <w:rFonts w:ascii="Times New Roman" w:eastAsia="仿宋"/>
                <w:szCs w:val="21"/>
              </w:rPr>
            </w:pPr>
            <w:r>
              <w:rPr>
                <w:rFonts w:hint="eastAsia" w:ascii="Times New Roman" w:eastAsia="仿宋"/>
                <w:szCs w:val="21"/>
              </w:rPr>
              <w:t>氟碳底漆喷漆废气G10</w:t>
            </w:r>
          </w:p>
        </w:tc>
        <w:tc>
          <w:tcPr>
            <w:tcW w:w="1087" w:type="dxa"/>
            <w:vAlign w:val="center"/>
          </w:tcPr>
          <w:p w14:paraId="343AF050">
            <w:pPr>
              <w:jc w:val="center"/>
              <w:rPr>
                <w:rFonts w:ascii="Times New Roman" w:eastAsia="仿宋"/>
                <w:szCs w:val="21"/>
              </w:rPr>
            </w:pPr>
            <w:r>
              <w:rPr>
                <w:rFonts w:hint="eastAsia" w:ascii="Times New Roman" w:eastAsia="仿宋"/>
                <w:szCs w:val="21"/>
              </w:rPr>
              <w:t>非甲烷总烃</w:t>
            </w:r>
          </w:p>
        </w:tc>
        <w:tc>
          <w:tcPr>
            <w:tcW w:w="1129" w:type="dxa"/>
            <w:vAlign w:val="center"/>
          </w:tcPr>
          <w:p w14:paraId="6B5B24CE">
            <w:pPr>
              <w:jc w:val="center"/>
              <w:rPr>
                <w:rFonts w:ascii="Times New Roman" w:eastAsia="仿宋"/>
                <w:szCs w:val="21"/>
              </w:rPr>
            </w:pPr>
            <w:r>
              <w:rPr>
                <w:rFonts w:ascii="Times New Roman" w:eastAsia="仿宋"/>
                <w:szCs w:val="21"/>
              </w:rPr>
              <w:t>6.82</w:t>
            </w:r>
          </w:p>
        </w:tc>
        <w:tc>
          <w:tcPr>
            <w:tcW w:w="1021" w:type="dxa"/>
            <w:vMerge w:val="restart"/>
            <w:vAlign w:val="center"/>
          </w:tcPr>
          <w:p w14:paraId="30CCB7BD">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60E79858">
            <w:pPr>
              <w:jc w:val="center"/>
              <w:rPr>
                <w:rFonts w:ascii="Times New Roman" w:eastAsia="仿宋"/>
                <w:szCs w:val="21"/>
              </w:rPr>
            </w:pPr>
            <w:r>
              <w:rPr>
                <w:rFonts w:hint="eastAsia" w:ascii="Times New Roman" w:eastAsia="仿宋"/>
                <w:szCs w:val="21"/>
              </w:rPr>
              <w:t>6</w:t>
            </w:r>
            <w:r>
              <w:rPr>
                <w:rFonts w:ascii="Times New Roman" w:eastAsia="仿宋"/>
                <w:szCs w:val="21"/>
              </w:rPr>
              <w:t>.7</w:t>
            </w:r>
            <w:r>
              <w:rPr>
                <w:rFonts w:hint="eastAsia" w:ascii="Times New Roman" w:eastAsia="仿宋"/>
                <w:szCs w:val="21"/>
              </w:rPr>
              <w:t>9</w:t>
            </w:r>
          </w:p>
        </w:tc>
        <w:tc>
          <w:tcPr>
            <w:tcW w:w="1109" w:type="dxa"/>
            <w:vAlign w:val="center"/>
          </w:tcPr>
          <w:p w14:paraId="08475CA0">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3</w:t>
            </w:r>
          </w:p>
        </w:tc>
        <w:tc>
          <w:tcPr>
            <w:tcW w:w="924" w:type="dxa"/>
            <w:vMerge w:val="restart"/>
            <w:vAlign w:val="center"/>
          </w:tcPr>
          <w:p w14:paraId="300CA568">
            <w:pPr>
              <w:jc w:val="center"/>
              <w:rPr>
                <w:rFonts w:ascii="Times New Roman" w:eastAsia="仿宋"/>
                <w:szCs w:val="21"/>
              </w:rPr>
            </w:pPr>
            <w:r>
              <w:rPr>
                <w:rFonts w:hint="eastAsia" w:ascii="Times New Roman" w:eastAsia="仿宋"/>
                <w:szCs w:val="21"/>
              </w:rPr>
              <w:t>4800</w:t>
            </w:r>
          </w:p>
        </w:tc>
      </w:tr>
      <w:tr w14:paraId="4F4A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0E4216E9">
            <w:pPr>
              <w:jc w:val="center"/>
              <w:rPr>
                <w:rFonts w:ascii="Times New Roman" w:eastAsia="仿宋"/>
                <w:szCs w:val="21"/>
              </w:rPr>
            </w:pPr>
          </w:p>
        </w:tc>
        <w:tc>
          <w:tcPr>
            <w:tcW w:w="1076" w:type="dxa"/>
            <w:vMerge w:val="continue"/>
            <w:vAlign w:val="center"/>
          </w:tcPr>
          <w:p w14:paraId="28F03D06">
            <w:pPr>
              <w:jc w:val="center"/>
              <w:rPr>
                <w:rFonts w:ascii="Times New Roman" w:eastAsia="仿宋"/>
                <w:szCs w:val="21"/>
              </w:rPr>
            </w:pPr>
          </w:p>
        </w:tc>
        <w:tc>
          <w:tcPr>
            <w:tcW w:w="1511" w:type="dxa"/>
            <w:vMerge w:val="continue"/>
            <w:vAlign w:val="center"/>
          </w:tcPr>
          <w:p w14:paraId="7BF5AAF0">
            <w:pPr>
              <w:jc w:val="center"/>
              <w:rPr>
                <w:rFonts w:ascii="Times New Roman" w:eastAsia="仿宋"/>
                <w:szCs w:val="21"/>
              </w:rPr>
            </w:pPr>
          </w:p>
        </w:tc>
        <w:tc>
          <w:tcPr>
            <w:tcW w:w="1087" w:type="dxa"/>
            <w:vAlign w:val="center"/>
          </w:tcPr>
          <w:p w14:paraId="76FF161D">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61A887EC">
            <w:pPr>
              <w:jc w:val="center"/>
              <w:rPr>
                <w:rFonts w:ascii="Times New Roman" w:eastAsia="仿宋"/>
                <w:szCs w:val="21"/>
              </w:rPr>
            </w:pPr>
            <w:r>
              <w:rPr>
                <w:rFonts w:ascii="Times New Roman" w:eastAsia="仿宋"/>
                <w:szCs w:val="21"/>
              </w:rPr>
              <w:t>6.82</w:t>
            </w:r>
          </w:p>
        </w:tc>
        <w:tc>
          <w:tcPr>
            <w:tcW w:w="1021" w:type="dxa"/>
            <w:vMerge w:val="continue"/>
            <w:vAlign w:val="center"/>
          </w:tcPr>
          <w:p w14:paraId="03AE515D">
            <w:pPr>
              <w:jc w:val="center"/>
              <w:rPr>
                <w:rFonts w:ascii="Times New Roman" w:eastAsia="仿宋"/>
                <w:szCs w:val="21"/>
              </w:rPr>
            </w:pPr>
          </w:p>
        </w:tc>
        <w:tc>
          <w:tcPr>
            <w:tcW w:w="1109" w:type="dxa"/>
            <w:vAlign w:val="center"/>
          </w:tcPr>
          <w:p w14:paraId="5D623B14">
            <w:pPr>
              <w:jc w:val="center"/>
              <w:rPr>
                <w:rFonts w:ascii="Times New Roman" w:eastAsia="仿宋"/>
                <w:szCs w:val="21"/>
              </w:rPr>
            </w:pPr>
            <w:r>
              <w:rPr>
                <w:rFonts w:hint="eastAsia" w:ascii="Times New Roman" w:eastAsia="仿宋"/>
                <w:szCs w:val="21"/>
              </w:rPr>
              <w:t>6</w:t>
            </w:r>
            <w:r>
              <w:rPr>
                <w:rFonts w:ascii="Times New Roman" w:eastAsia="仿宋"/>
                <w:szCs w:val="21"/>
              </w:rPr>
              <w:t>.7</w:t>
            </w:r>
            <w:r>
              <w:rPr>
                <w:rFonts w:hint="eastAsia" w:ascii="Times New Roman" w:eastAsia="仿宋"/>
                <w:szCs w:val="21"/>
              </w:rPr>
              <w:t>9</w:t>
            </w:r>
          </w:p>
        </w:tc>
        <w:tc>
          <w:tcPr>
            <w:tcW w:w="1109" w:type="dxa"/>
            <w:vAlign w:val="center"/>
          </w:tcPr>
          <w:p w14:paraId="03BB20E4">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3</w:t>
            </w:r>
          </w:p>
        </w:tc>
        <w:tc>
          <w:tcPr>
            <w:tcW w:w="924" w:type="dxa"/>
            <w:vMerge w:val="continue"/>
            <w:vAlign w:val="center"/>
          </w:tcPr>
          <w:p w14:paraId="08126519">
            <w:pPr>
              <w:jc w:val="center"/>
              <w:rPr>
                <w:rFonts w:ascii="Times New Roman" w:eastAsia="仿宋"/>
                <w:szCs w:val="21"/>
              </w:rPr>
            </w:pPr>
          </w:p>
        </w:tc>
      </w:tr>
      <w:tr w14:paraId="2262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426357D">
            <w:pPr>
              <w:jc w:val="center"/>
              <w:rPr>
                <w:rFonts w:ascii="Times New Roman" w:eastAsia="仿宋"/>
                <w:szCs w:val="21"/>
              </w:rPr>
            </w:pPr>
          </w:p>
        </w:tc>
        <w:tc>
          <w:tcPr>
            <w:tcW w:w="1076" w:type="dxa"/>
            <w:vMerge w:val="continue"/>
            <w:vAlign w:val="center"/>
          </w:tcPr>
          <w:p w14:paraId="038C18D2">
            <w:pPr>
              <w:jc w:val="center"/>
              <w:rPr>
                <w:rFonts w:ascii="Times New Roman" w:eastAsia="仿宋"/>
                <w:szCs w:val="21"/>
              </w:rPr>
            </w:pPr>
          </w:p>
        </w:tc>
        <w:tc>
          <w:tcPr>
            <w:tcW w:w="1511" w:type="dxa"/>
            <w:vMerge w:val="continue"/>
            <w:vAlign w:val="center"/>
          </w:tcPr>
          <w:p w14:paraId="16BBE022">
            <w:pPr>
              <w:jc w:val="center"/>
              <w:rPr>
                <w:rFonts w:ascii="Times New Roman" w:eastAsia="仿宋"/>
                <w:szCs w:val="21"/>
              </w:rPr>
            </w:pPr>
          </w:p>
        </w:tc>
        <w:tc>
          <w:tcPr>
            <w:tcW w:w="1087" w:type="dxa"/>
            <w:vAlign w:val="center"/>
          </w:tcPr>
          <w:p w14:paraId="5D673F31">
            <w:pPr>
              <w:jc w:val="center"/>
              <w:rPr>
                <w:rFonts w:ascii="Times New Roman" w:eastAsia="仿宋"/>
                <w:szCs w:val="21"/>
              </w:rPr>
            </w:pPr>
            <w:r>
              <w:rPr>
                <w:rFonts w:hint="eastAsia" w:ascii="Times New Roman" w:eastAsia="仿宋"/>
                <w:szCs w:val="21"/>
              </w:rPr>
              <w:t>二甲苯</w:t>
            </w:r>
          </w:p>
        </w:tc>
        <w:tc>
          <w:tcPr>
            <w:tcW w:w="1129" w:type="dxa"/>
            <w:vAlign w:val="center"/>
          </w:tcPr>
          <w:p w14:paraId="7D35004B">
            <w:pPr>
              <w:jc w:val="center"/>
              <w:rPr>
                <w:rFonts w:ascii="Times New Roman" w:eastAsia="仿宋"/>
                <w:szCs w:val="21"/>
              </w:rPr>
            </w:pPr>
            <w:r>
              <w:rPr>
                <w:rFonts w:hint="eastAsia" w:ascii="Times New Roman" w:eastAsia="仿宋"/>
                <w:szCs w:val="21"/>
              </w:rPr>
              <w:t>1</w:t>
            </w:r>
            <w:r>
              <w:rPr>
                <w:rFonts w:ascii="Times New Roman" w:eastAsia="仿宋"/>
                <w:szCs w:val="21"/>
              </w:rPr>
              <w:t>.97</w:t>
            </w:r>
          </w:p>
        </w:tc>
        <w:tc>
          <w:tcPr>
            <w:tcW w:w="1021" w:type="dxa"/>
            <w:vMerge w:val="continue"/>
            <w:vAlign w:val="center"/>
          </w:tcPr>
          <w:p w14:paraId="029DDBCF">
            <w:pPr>
              <w:jc w:val="center"/>
              <w:rPr>
                <w:rFonts w:ascii="Times New Roman" w:eastAsia="仿宋"/>
                <w:szCs w:val="21"/>
              </w:rPr>
            </w:pPr>
          </w:p>
        </w:tc>
        <w:tc>
          <w:tcPr>
            <w:tcW w:w="1109" w:type="dxa"/>
            <w:vAlign w:val="center"/>
          </w:tcPr>
          <w:p w14:paraId="10EB269C">
            <w:pPr>
              <w:jc w:val="center"/>
              <w:rPr>
                <w:rFonts w:ascii="Times New Roman" w:eastAsia="仿宋"/>
                <w:szCs w:val="21"/>
              </w:rPr>
            </w:pPr>
            <w:r>
              <w:rPr>
                <w:rFonts w:hint="eastAsia" w:ascii="Times New Roman" w:eastAsia="仿宋"/>
                <w:szCs w:val="21"/>
              </w:rPr>
              <w:t>1</w:t>
            </w:r>
            <w:r>
              <w:rPr>
                <w:rFonts w:ascii="Times New Roman" w:eastAsia="仿宋"/>
                <w:szCs w:val="21"/>
              </w:rPr>
              <w:t>.9</w:t>
            </w:r>
            <w:r>
              <w:rPr>
                <w:rFonts w:hint="eastAsia" w:ascii="Times New Roman" w:eastAsia="仿宋"/>
                <w:szCs w:val="21"/>
              </w:rPr>
              <w:t>6</w:t>
            </w:r>
          </w:p>
        </w:tc>
        <w:tc>
          <w:tcPr>
            <w:tcW w:w="1109" w:type="dxa"/>
            <w:vAlign w:val="center"/>
          </w:tcPr>
          <w:p w14:paraId="449EEA1F">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6F6D031E">
            <w:pPr>
              <w:jc w:val="center"/>
              <w:rPr>
                <w:rFonts w:ascii="Times New Roman" w:eastAsia="仿宋"/>
                <w:szCs w:val="21"/>
              </w:rPr>
            </w:pPr>
          </w:p>
        </w:tc>
      </w:tr>
      <w:tr w14:paraId="45F9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8B0F0A4">
            <w:pPr>
              <w:jc w:val="center"/>
              <w:rPr>
                <w:rFonts w:ascii="Times New Roman" w:eastAsia="仿宋"/>
                <w:szCs w:val="21"/>
              </w:rPr>
            </w:pPr>
          </w:p>
        </w:tc>
        <w:tc>
          <w:tcPr>
            <w:tcW w:w="1076" w:type="dxa"/>
            <w:vMerge w:val="continue"/>
            <w:vAlign w:val="center"/>
          </w:tcPr>
          <w:p w14:paraId="3C0AD492">
            <w:pPr>
              <w:jc w:val="center"/>
              <w:rPr>
                <w:rFonts w:ascii="Times New Roman" w:eastAsia="仿宋"/>
                <w:szCs w:val="21"/>
              </w:rPr>
            </w:pPr>
          </w:p>
        </w:tc>
        <w:tc>
          <w:tcPr>
            <w:tcW w:w="1511" w:type="dxa"/>
            <w:vMerge w:val="continue"/>
            <w:vAlign w:val="center"/>
          </w:tcPr>
          <w:p w14:paraId="0EF1DCEB">
            <w:pPr>
              <w:jc w:val="center"/>
              <w:rPr>
                <w:rFonts w:ascii="Times New Roman" w:eastAsia="仿宋"/>
                <w:szCs w:val="21"/>
              </w:rPr>
            </w:pPr>
          </w:p>
        </w:tc>
        <w:tc>
          <w:tcPr>
            <w:tcW w:w="1087" w:type="dxa"/>
            <w:vAlign w:val="center"/>
          </w:tcPr>
          <w:p w14:paraId="32A11943">
            <w:pPr>
              <w:jc w:val="center"/>
              <w:rPr>
                <w:rFonts w:ascii="Times New Roman" w:eastAsia="仿宋"/>
                <w:szCs w:val="21"/>
              </w:rPr>
            </w:pPr>
            <w:r>
              <w:rPr>
                <w:rFonts w:hint="eastAsia" w:ascii="Times New Roman" w:eastAsia="仿宋"/>
                <w:szCs w:val="21"/>
              </w:rPr>
              <w:t>苯系物</w:t>
            </w:r>
          </w:p>
        </w:tc>
        <w:tc>
          <w:tcPr>
            <w:tcW w:w="1129" w:type="dxa"/>
            <w:vAlign w:val="center"/>
          </w:tcPr>
          <w:p w14:paraId="5AF9CC83">
            <w:pPr>
              <w:jc w:val="center"/>
              <w:rPr>
                <w:rFonts w:ascii="Times New Roman" w:eastAsia="仿宋"/>
                <w:szCs w:val="21"/>
              </w:rPr>
            </w:pPr>
            <w:r>
              <w:rPr>
                <w:rFonts w:hint="eastAsia" w:ascii="Times New Roman" w:eastAsia="仿宋"/>
                <w:szCs w:val="21"/>
              </w:rPr>
              <w:t>1</w:t>
            </w:r>
            <w:r>
              <w:rPr>
                <w:rFonts w:ascii="Times New Roman" w:eastAsia="仿宋"/>
                <w:szCs w:val="21"/>
              </w:rPr>
              <w:t>.97</w:t>
            </w:r>
          </w:p>
        </w:tc>
        <w:tc>
          <w:tcPr>
            <w:tcW w:w="1021" w:type="dxa"/>
            <w:vMerge w:val="continue"/>
            <w:vAlign w:val="center"/>
          </w:tcPr>
          <w:p w14:paraId="38A27A68">
            <w:pPr>
              <w:jc w:val="center"/>
              <w:rPr>
                <w:rFonts w:ascii="Times New Roman" w:eastAsia="仿宋"/>
                <w:szCs w:val="21"/>
              </w:rPr>
            </w:pPr>
          </w:p>
        </w:tc>
        <w:tc>
          <w:tcPr>
            <w:tcW w:w="1109" w:type="dxa"/>
            <w:vAlign w:val="center"/>
          </w:tcPr>
          <w:p w14:paraId="70DD9625">
            <w:pPr>
              <w:jc w:val="center"/>
              <w:rPr>
                <w:rFonts w:ascii="Times New Roman" w:eastAsia="仿宋"/>
                <w:szCs w:val="21"/>
              </w:rPr>
            </w:pPr>
            <w:r>
              <w:rPr>
                <w:rFonts w:hint="eastAsia" w:ascii="Times New Roman" w:eastAsia="仿宋"/>
                <w:szCs w:val="21"/>
              </w:rPr>
              <w:t>1</w:t>
            </w:r>
            <w:r>
              <w:rPr>
                <w:rFonts w:ascii="Times New Roman" w:eastAsia="仿宋"/>
                <w:szCs w:val="21"/>
              </w:rPr>
              <w:t>.9</w:t>
            </w:r>
            <w:r>
              <w:rPr>
                <w:rFonts w:hint="eastAsia" w:ascii="Times New Roman" w:eastAsia="仿宋"/>
                <w:szCs w:val="21"/>
              </w:rPr>
              <w:t>6</w:t>
            </w:r>
          </w:p>
        </w:tc>
        <w:tc>
          <w:tcPr>
            <w:tcW w:w="1109" w:type="dxa"/>
            <w:vAlign w:val="center"/>
          </w:tcPr>
          <w:p w14:paraId="15A4D6E4">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609A8E6B">
            <w:pPr>
              <w:jc w:val="center"/>
              <w:rPr>
                <w:rFonts w:ascii="Times New Roman" w:eastAsia="仿宋"/>
                <w:szCs w:val="21"/>
              </w:rPr>
            </w:pPr>
          </w:p>
        </w:tc>
      </w:tr>
      <w:tr w14:paraId="232D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B703E63">
            <w:pPr>
              <w:jc w:val="center"/>
              <w:rPr>
                <w:rFonts w:ascii="Times New Roman" w:eastAsia="仿宋"/>
                <w:szCs w:val="21"/>
              </w:rPr>
            </w:pPr>
          </w:p>
        </w:tc>
        <w:tc>
          <w:tcPr>
            <w:tcW w:w="1076" w:type="dxa"/>
            <w:vMerge w:val="continue"/>
            <w:vAlign w:val="center"/>
          </w:tcPr>
          <w:p w14:paraId="3BCB0C32">
            <w:pPr>
              <w:jc w:val="center"/>
              <w:rPr>
                <w:rFonts w:ascii="Times New Roman" w:eastAsia="仿宋"/>
                <w:szCs w:val="21"/>
              </w:rPr>
            </w:pPr>
          </w:p>
        </w:tc>
        <w:tc>
          <w:tcPr>
            <w:tcW w:w="1511" w:type="dxa"/>
            <w:vMerge w:val="continue"/>
            <w:vAlign w:val="center"/>
          </w:tcPr>
          <w:p w14:paraId="24775151">
            <w:pPr>
              <w:jc w:val="center"/>
              <w:rPr>
                <w:rFonts w:ascii="Times New Roman" w:eastAsia="仿宋"/>
                <w:szCs w:val="21"/>
              </w:rPr>
            </w:pPr>
          </w:p>
        </w:tc>
        <w:tc>
          <w:tcPr>
            <w:tcW w:w="1087" w:type="dxa"/>
            <w:vAlign w:val="center"/>
          </w:tcPr>
          <w:p w14:paraId="5CFFFF88">
            <w:pPr>
              <w:jc w:val="center"/>
              <w:rPr>
                <w:rFonts w:ascii="Times New Roman" w:eastAsia="仿宋"/>
                <w:szCs w:val="21"/>
              </w:rPr>
            </w:pPr>
            <w:r>
              <w:rPr>
                <w:rFonts w:hint="eastAsia" w:ascii="Times New Roman" w:eastAsia="仿宋"/>
                <w:szCs w:val="21"/>
              </w:rPr>
              <w:t>颗粒物</w:t>
            </w:r>
          </w:p>
        </w:tc>
        <w:tc>
          <w:tcPr>
            <w:tcW w:w="1129" w:type="dxa"/>
            <w:vAlign w:val="center"/>
          </w:tcPr>
          <w:p w14:paraId="53FD1DB0">
            <w:pPr>
              <w:jc w:val="center"/>
              <w:rPr>
                <w:rFonts w:ascii="Times New Roman" w:eastAsia="仿宋"/>
                <w:szCs w:val="21"/>
              </w:rPr>
            </w:pPr>
            <w:r>
              <w:rPr>
                <w:rFonts w:hint="eastAsia" w:ascii="Times New Roman" w:eastAsia="仿宋"/>
                <w:szCs w:val="21"/>
              </w:rPr>
              <w:t>3.62</w:t>
            </w:r>
          </w:p>
        </w:tc>
        <w:tc>
          <w:tcPr>
            <w:tcW w:w="1021" w:type="dxa"/>
            <w:vMerge w:val="continue"/>
            <w:vAlign w:val="center"/>
          </w:tcPr>
          <w:p w14:paraId="7BEE9DFD">
            <w:pPr>
              <w:jc w:val="center"/>
              <w:rPr>
                <w:rFonts w:ascii="Times New Roman" w:eastAsia="仿宋"/>
                <w:szCs w:val="21"/>
              </w:rPr>
            </w:pPr>
          </w:p>
        </w:tc>
        <w:tc>
          <w:tcPr>
            <w:tcW w:w="1109" w:type="dxa"/>
            <w:vAlign w:val="center"/>
          </w:tcPr>
          <w:p w14:paraId="1427AA21">
            <w:pPr>
              <w:jc w:val="center"/>
              <w:rPr>
                <w:rFonts w:ascii="Times New Roman" w:eastAsia="仿宋"/>
                <w:szCs w:val="21"/>
              </w:rPr>
            </w:pPr>
            <w:r>
              <w:rPr>
                <w:rFonts w:hint="eastAsia" w:ascii="Times New Roman" w:eastAsia="仿宋"/>
                <w:szCs w:val="21"/>
              </w:rPr>
              <w:t>3.6</w:t>
            </w:r>
          </w:p>
        </w:tc>
        <w:tc>
          <w:tcPr>
            <w:tcW w:w="1109" w:type="dxa"/>
            <w:vAlign w:val="center"/>
          </w:tcPr>
          <w:p w14:paraId="079C38D9">
            <w:pPr>
              <w:jc w:val="center"/>
              <w:rPr>
                <w:rFonts w:ascii="Times New Roman" w:eastAsia="仿宋"/>
                <w:szCs w:val="21"/>
              </w:rPr>
            </w:pPr>
            <w:r>
              <w:rPr>
                <w:rFonts w:hint="eastAsia" w:ascii="Times New Roman" w:eastAsia="仿宋"/>
                <w:szCs w:val="21"/>
              </w:rPr>
              <w:t>0.02</w:t>
            </w:r>
          </w:p>
        </w:tc>
        <w:tc>
          <w:tcPr>
            <w:tcW w:w="924" w:type="dxa"/>
            <w:vMerge w:val="continue"/>
            <w:vAlign w:val="center"/>
          </w:tcPr>
          <w:p w14:paraId="6FFA2A29">
            <w:pPr>
              <w:jc w:val="center"/>
              <w:rPr>
                <w:rFonts w:ascii="Times New Roman" w:eastAsia="仿宋"/>
                <w:szCs w:val="21"/>
              </w:rPr>
            </w:pPr>
          </w:p>
        </w:tc>
      </w:tr>
      <w:tr w14:paraId="61CD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3EB4E8F">
            <w:pPr>
              <w:jc w:val="center"/>
              <w:rPr>
                <w:rFonts w:ascii="Times New Roman" w:eastAsia="仿宋"/>
                <w:szCs w:val="21"/>
              </w:rPr>
            </w:pPr>
          </w:p>
        </w:tc>
        <w:tc>
          <w:tcPr>
            <w:tcW w:w="1076" w:type="dxa"/>
            <w:vMerge w:val="continue"/>
            <w:vAlign w:val="center"/>
          </w:tcPr>
          <w:p w14:paraId="7E0F007F">
            <w:pPr>
              <w:jc w:val="center"/>
              <w:rPr>
                <w:rFonts w:ascii="Times New Roman" w:eastAsia="仿宋"/>
                <w:szCs w:val="21"/>
              </w:rPr>
            </w:pPr>
          </w:p>
        </w:tc>
        <w:tc>
          <w:tcPr>
            <w:tcW w:w="1511" w:type="dxa"/>
            <w:vMerge w:val="restart"/>
            <w:vAlign w:val="center"/>
          </w:tcPr>
          <w:p w14:paraId="44F3998D">
            <w:pPr>
              <w:jc w:val="center"/>
              <w:rPr>
                <w:rFonts w:ascii="Times New Roman" w:eastAsia="仿宋"/>
                <w:szCs w:val="21"/>
              </w:rPr>
            </w:pPr>
            <w:r>
              <w:rPr>
                <w:rFonts w:hint="eastAsia" w:ascii="Times New Roman" w:eastAsia="仿宋"/>
                <w:szCs w:val="21"/>
              </w:rPr>
              <w:t>氟碳面漆喷漆废气G</w:t>
            </w:r>
            <w:r>
              <w:rPr>
                <w:rFonts w:ascii="Times New Roman" w:eastAsia="仿宋"/>
                <w:szCs w:val="21"/>
              </w:rPr>
              <w:t>14</w:t>
            </w:r>
          </w:p>
        </w:tc>
        <w:tc>
          <w:tcPr>
            <w:tcW w:w="1087" w:type="dxa"/>
            <w:vAlign w:val="center"/>
          </w:tcPr>
          <w:p w14:paraId="4AD4FD86">
            <w:pPr>
              <w:jc w:val="center"/>
              <w:rPr>
                <w:rFonts w:ascii="Times New Roman" w:eastAsia="仿宋"/>
                <w:szCs w:val="21"/>
              </w:rPr>
            </w:pPr>
            <w:r>
              <w:rPr>
                <w:rFonts w:hint="eastAsia" w:ascii="Times New Roman" w:eastAsia="仿宋"/>
                <w:szCs w:val="21"/>
              </w:rPr>
              <w:t>非甲烷总烃</w:t>
            </w:r>
          </w:p>
        </w:tc>
        <w:tc>
          <w:tcPr>
            <w:tcW w:w="1129" w:type="dxa"/>
            <w:vAlign w:val="center"/>
          </w:tcPr>
          <w:p w14:paraId="2A1C47FD">
            <w:pPr>
              <w:jc w:val="center"/>
              <w:rPr>
                <w:rFonts w:ascii="Times New Roman" w:eastAsia="仿宋"/>
                <w:szCs w:val="21"/>
              </w:rPr>
            </w:pPr>
            <w:r>
              <w:rPr>
                <w:rFonts w:hint="eastAsia" w:ascii="Times New Roman" w:eastAsia="仿宋"/>
                <w:szCs w:val="21"/>
              </w:rPr>
              <w:t>1</w:t>
            </w:r>
            <w:r>
              <w:rPr>
                <w:rFonts w:ascii="Times New Roman" w:eastAsia="仿宋"/>
                <w:szCs w:val="21"/>
              </w:rPr>
              <w:t>1.23</w:t>
            </w:r>
          </w:p>
        </w:tc>
        <w:tc>
          <w:tcPr>
            <w:tcW w:w="1021" w:type="dxa"/>
            <w:vMerge w:val="restart"/>
            <w:vAlign w:val="center"/>
          </w:tcPr>
          <w:p w14:paraId="3D477449">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20E1A1C7">
            <w:pPr>
              <w:jc w:val="center"/>
              <w:rPr>
                <w:rFonts w:ascii="Times New Roman" w:eastAsia="仿宋"/>
                <w:szCs w:val="21"/>
              </w:rPr>
            </w:pPr>
            <w:r>
              <w:rPr>
                <w:rFonts w:hint="eastAsia" w:ascii="Times New Roman" w:eastAsia="仿宋"/>
                <w:szCs w:val="21"/>
              </w:rPr>
              <w:t>1</w:t>
            </w:r>
            <w:r>
              <w:rPr>
                <w:rFonts w:ascii="Times New Roman" w:eastAsia="仿宋"/>
                <w:szCs w:val="21"/>
              </w:rPr>
              <w:t>1.1</w:t>
            </w:r>
            <w:r>
              <w:rPr>
                <w:rFonts w:hint="eastAsia" w:ascii="Times New Roman" w:eastAsia="仿宋"/>
                <w:szCs w:val="21"/>
              </w:rPr>
              <w:t>7</w:t>
            </w:r>
          </w:p>
        </w:tc>
        <w:tc>
          <w:tcPr>
            <w:tcW w:w="1109" w:type="dxa"/>
            <w:vAlign w:val="center"/>
          </w:tcPr>
          <w:p w14:paraId="0DF6212C">
            <w:pPr>
              <w:jc w:val="center"/>
              <w:rPr>
                <w:rFonts w:ascii="Times New Roman" w:eastAsia="仿宋"/>
                <w:szCs w:val="21"/>
              </w:rPr>
            </w:pPr>
            <w:r>
              <w:rPr>
                <w:rFonts w:hint="eastAsia" w:ascii="Times New Roman" w:eastAsia="仿宋"/>
                <w:szCs w:val="21"/>
              </w:rPr>
              <w:t>0</w:t>
            </w:r>
            <w:r>
              <w:rPr>
                <w:rFonts w:ascii="Times New Roman" w:eastAsia="仿宋"/>
                <w:szCs w:val="21"/>
              </w:rPr>
              <w:t>.</w:t>
            </w:r>
            <w:r>
              <w:rPr>
                <w:rFonts w:hint="eastAsia" w:ascii="Times New Roman" w:eastAsia="仿宋"/>
                <w:szCs w:val="21"/>
              </w:rPr>
              <w:t>06</w:t>
            </w:r>
          </w:p>
        </w:tc>
        <w:tc>
          <w:tcPr>
            <w:tcW w:w="924" w:type="dxa"/>
            <w:vMerge w:val="continue"/>
            <w:vAlign w:val="center"/>
          </w:tcPr>
          <w:p w14:paraId="1D2D2639">
            <w:pPr>
              <w:jc w:val="center"/>
              <w:rPr>
                <w:rFonts w:ascii="Times New Roman" w:eastAsia="仿宋"/>
                <w:szCs w:val="21"/>
              </w:rPr>
            </w:pPr>
          </w:p>
        </w:tc>
      </w:tr>
      <w:tr w14:paraId="0B77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950E483">
            <w:pPr>
              <w:jc w:val="center"/>
              <w:rPr>
                <w:rFonts w:ascii="Times New Roman" w:eastAsia="仿宋"/>
                <w:szCs w:val="21"/>
              </w:rPr>
            </w:pPr>
          </w:p>
        </w:tc>
        <w:tc>
          <w:tcPr>
            <w:tcW w:w="1076" w:type="dxa"/>
            <w:vMerge w:val="continue"/>
            <w:vAlign w:val="center"/>
          </w:tcPr>
          <w:p w14:paraId="295045EC">
            <w:pPr>
              <w:jc w:val="center"/>
              <w:rPr>
                <w:rFonts w:ascii="Times New Roman" w:eastAsia="仿宋"/>
                <w:szCs w:val="21"/>
              </w:rPr>
            </w:pPr>
          </w:p>
        </w:tc>
        <w:tc>
          <w:tcPr>
            <w:tcW w:w="1511" w:type="dxa"/>
            <w:vMerge w:val="continue"/>
          </w:tcPr>
          <w:p w14:paraId="4CA7BCE2">
            <w:pPr>
              <w:jc w:val="center"/>
              <w:rPr>
                <w:rFonts w:ascii="Times New Roman" w:eastAsia="仿宋"/>
                <w:szCs w:val="21"/>
              </w:rPr>
            </w:pPr>
          </w:p>
        </w:tc>
        <w:tc>
          <w:tcPr>
            <w:tcW w:w="1087" w:type="dxa"/>
            <w:vAlign w:val="center"/>
          </w:tcPr>
          <w:p w14:paraId="6D21FF50">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5C73594E">
            <w:pPr>
              <w:jc w:val="center"/>
              <w:rPr>
                <w:rFonts w:ascii="Times New Roman" w:eastAsia="仿宋"/>
                <w:szCs w:val="21"/>
              </w:rPr>
            </w:pPr>
            <w:r>
              <w:rPr>
                <w:rFonts w:hint="eastAsia" w:ascii="Times New Roman" w:eastAsia="仿宋"/>
                <w:szCs w:val="21"/>
              </w:rPr>
              <w:t>1</w:t>
            </w:r>
            <w:r>
              <w:rPr>
                <w:rFonts w:ascii="Times New Roman" w:eastAsia="仿宋"/>
                <w:szCs w:val="21"/>
              </w:rPr>
              <w:t>1.23</w:t>
            </w:r>
          </w:p>
        </w:tc>
        <w:tc>
          <w:tcPr>
            <w:tcW w:w="1021" w:type="dxa"/>
            <w:vMerge w:val="continue"/>
            <w:vAlign w:val="center"/>
          </w:tcPr>
          <w:p w14:paraId="03849F01">
            <w:pPr>
              <w:jc w:val="center"/>
              <w:rPr>
                <w:rFonts w:ascii="Times New Roman" w:eastAsia="仿宋"/>
                <w:szCs w:val="21"/>
              </w:rPr>
            </w:pPr>
          </w:p>
        </w:tc>
        <w:tc>
          <w:tcPr>
            <w:tcW w:w="1109" w:type="dxa"/>
            <w:vAlign w:val="center"/>
          </w:tcPr>
          <w:p w14:paraId="084971E6">
            <w:pPr>
              <w:jc w:val="center"/>
              <w:rPr>
                <w:rFonts w:ascii="Times New Roman" w:eastAsia="仿宋"/>
                <w:szCs w:val="21"/>
              </w:rPr>
            </w:pPr>
            <w:r>
              <w:rPr>
                <w:rFonts w:hint="eastAsia" w:ascii="Times New Roman" w:eastAsia="仿宋"/>
                <w:szCs w:val="21"/>
              </w:rPr>
              <w:t>1</w:t>
            </w:r>
            <w:r>
              <w:rPr>
                <w:rFonts w:ascii="Times New Roman" w:eastAsia="仿宋"/>
                <w:szCs w:val="21"/>
              </w:rPr>
              <w:t>1.1</w:t>
            </w:r>
            <w:r>
              <w:rPr>
                <w:rFonts w:hint="eastAsia" w:ascii="Times New Roman" w:eastAsia="仿宋"/>
                <w:szCs w:val="21"/>
              </w:rPr>
              <w:t>7</w:t>
            </w:r>
          </w:p>
        </w:tc>
        <w:tc>
          <w:tcPr>
            <w:tcW w:w="1109" w:type="dxa"/>
            <w:vAlign w:val="center"/>
          </w:tcPr>
          <w:p w14:paraId="027EA3F2">
            <w:pPr>
              <w:jc w:val="center"/>
              <w:rPr>
                <w:rFonts w:ascii="Times New Roman" w:eastAsia="仿宋"/>
                <w:szCs w:val="21"/>
              </w:rPr>
            </w:pPr>
            <w:r>
              <w:rPr>
                <w:rFonts w:hint="eastAsia" w:ascii="Times New Roman" w:eastAsia="仿宋"/>
                <w:szCs w:val="21"/>
              </w:rPr>
              <w:t>0</w:t>
            </w:r>
            <w:r>
              <w:rPr>
                <w:rFonts w:ascii="Times New Roman" w:eastAsia="仿宋"/>
                <w:szCs w:val="21"/>
              </w:rPr>
              <w:t>.</w:t>
            </w:r>
            <w:r>
              <w:rPr>
                <w:rFonts w:hint="eastAsia" w:ascii="Times New Roman" w:eastAsia="仿宋"/>
                <w:szCs w:val="21"/>
              </w:rPr>
              <w:t>06</w:t>
            </w:r>
          </w:p>
        </w:tc>
        <w:tc>
          <w:tcPr>
            <w:tcW w:w="924" w:type="dxa"/>
            <w:vMerge w:val="continue"/>
            <w:vAlign w:val="center"/>
          </w:tcPr>
          <w:p w14:paraId="0AF72F9E">
            <w:pPr>
              <w:jc w:val="center"/>
              <w:rPr>
                <w:rFonts w:ascii="Times New Roman" w:eastAsia="仿宋"/>
                <w:szCs w:val="21"/>
              </w:rPr>
            </w:pPr>
          </w:p>
        </w:tc>
      </w:tr>
      <w:tr w14:paraId="7876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44AC5238">
            <w:pPr>
              <w:jc w:val="center"/>
              <w:rPr>
                <w:rFonts w:ascii="Times New Roman" w:eastAsia="仿宋"/>
                <w:szCs w:val="21"/>
              </w:rPr>
            </w:pPr>
          </w:p>
        </w:tc>
        <w:tc>
          <w:tcPr>
            <w:tcW w:w="1076" w:type="dxa"/>
            <w:vMerge w:val="continue"/>
            <w:vAlign w:val="center"/>
          </w:tcPr>
          <w:p w14:paraId="0FDAC74C">
            <w:pPr>
              <w:jc w:val="center"/>
              <w:rPr>
                <w:rFonts w:ascii="Times New Roman" w:eastAsia="仿宋"/>
                <w:szCs w:val="21"/>
              </w:rPr>
            </w:pPr>
          </w:p>
        </w:tc>
        <w:tc>
          <w:tcPr>
            <w:tcW w:w="1511" w:type="dxa"/>
            <w:vMerge w:val="continue"/>
          </w:tcPr>
          <w:p w14:paraId="1AC1F6F6">
            <w:pPr>
              <w:jc w:val="center"/>
              <w:rPr>
                <w:rFonts w:ascii="Times New Roman" w:eastAsia="仿宋"/>
                <w:szCs w:val="21"/>
              </w:rPr>
            </w:pPr>
          </w:p>
        </w:tc>
        <w:tc>
          <w:tcPr>
            <w:tcW w:w="1087" w:type="dxa"/>
            <w:vAlign w:val="center"/>
          </w:tcPr>
          <w:p w14:paraId="3931D36F">
            <w:pPr>
              <w:jc w:val="center"/>
              <w:rPr>
                <w:rFonts w:ascii="Times New Roman" w:eastAsia="仿宋"/>
                <w:szCs w:val="21"/>
              </w:rPr>
            </w:pPr>
            <w:r>
              <w:rPr>
                <w:rFonts w:hint="eastAsia" w:ascii="Times New Roman" w:eastAsia="仿宋"/>
                <w:szCs w:val="21"/>
              </w:rPr>
              <w:t>二甲苯</w:t>
            </w:r>
          </w:p>
        </w:tc>
        <w:tc>
          <w:tcPr>
            <w:tcW w:w="1129" w:type="dxa"/>
            <w:vAlign w:val="center"/>
          </w:tcPr>
          <w:p w14:paraId="0166A30A">
            <w:pPr>
              <w:jc w:val="center"/>
              <w:rPr>
                <w:rFonts w:ascii="Times New Roman" w:eastAsia="仿宋"/>
                <w:szCs w:val="21"/>
              </w:rPr>
            </w:pPr>
            <w:r>
              <w:rPr>
                <w:rFonts w:hint="eastAsia" w:ascii="Times New Roman" w:eastAsia="仿宋"/>
                <w:szCs w:val="21"/>
              </w:rPr>
              <w:t>2</w:t>
            </w:r>
            <w:r>
              <w:rPr>
                <w:rFonts w:ascii="Times New Roman" w:eastAsia="仿宋"/>
                <w:szCs w:val="21"/>
              </w:rPr>
              <w:t>.61</w:t>
            </w:r>
          </w:p>
        </w:tc>
        <w:tc>
          <w:tcPr>
            <w:tcW w:w="1021" w:type="dxa"/>
            <w:vMerge w:val="continue"/>
            <w:vAlign w:val="center"/>
          </w:tcPr>
          <w:p w14:paraId="61B51AD8">
            <w:pPr>
              <w:jc w:val="center"/>
              <w:rPr>
                <w:rFonts w:ascii="Times New Roman" w:eastAsia="仿宋"/>
                <w:szCs w:val="21"/>
              </w:rPr>
            </w:pPr>
          </w:p>
        </w:tc>
        <w:tc>
          <w:tcPr>
            <w:tcW w:w="1109" w:type="dxa"/>
            <w:vAlign w:val="center"/>
          </w:tcPr>
          <w:p w14:paraId="5633D79F">
            <w:pPr>
              <w:jc w:val="center"/>
              <w:rPr>
                <w:rFonts w:ascii="Times New Roman" w:eastAsia="仿宋"/>
                <w:szCs w:val="21"/>
              </w:rPr>
            </w:pPr>
            <w:r>
              <w:rPr>
                <w:rFonts w:hint="eastAsia" w:ascii="Times New Roman" w:eastAsia="仿宋"/>
                <w:szCs w:val="21"/>
              </w:rPr>
              <w:t>2</w:t>
            </w:r>
            <w:r>
              <w:rPr>
                <w:rFonts w:ascii="Times New Roman" w:eastAsia="仿宋"/>
                <w:szCs w:val="21"/>
              </w:rPr>
              <w:t>.</w:t>
            </w:r>
            <w:r>
              <w:rPr>
                <w:rFonts w:hint="eastAsia" w:ascii="Times New Roman" w:eastAsia="仿宋"/>
                <w:szCs w:val="21"/>
              </w:rPr>
              <w:t>6</w:t>
            </w:r>
          </w:p>
        </w:tc>
        <w:tc>
          <w:tcPr>
            <w:tcW w:w="1109" w:type="dxa"/>
            <w:vAlign w:val="center"/>
          </w:tcPr>
          <w:p w14:paraId="3FACC34A">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2CA67ACB">
            <w:pPr>
              <w:jc w:val="center"/>
              <w:rPr>
                <w:rFonts w:ascii="Times New Roman" w:eastAsia="仿宋"/>
                <w:szCs w:val="21"/>
              </w:rPr>
            </w:pPr>
          </w:p>
        </w:tc>
      </w:tr>
      <w:tr w14:paraId="7948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3C5B5314">
            <w:pPr>
              <w:jc w:val="center"/>
              <w:rPr>
                <w:rFonts w:ascii="Times New Roman" w:eastAsia="仿宋"/>
                <w:szCs w:val="21"/>
              </w:rPr>
            </w:pPr>
          </w:p>
        </w:tc>
        <w:tc>
          <w:tcPr>
            <w:tcW w:w="1076" w:type="dxa"/>
            <w:vMerge w:val="continue"/>
            <w:vAlign w:val="center"/>
          </w:tcPr>
          <w:p w14:paraId="7CAD9E18">
            <w:pPr>
              <w:jc w:val="center"/>
              <w:rPr>
                <w:rFonts w:ascii="Times New Roman" w:eastAsia="仿宋"/>
                <w:szCs w:val="21"/>
              </w:rPr>
            </w:pPr>
          </w:p>
        </w:tc>
        <w:tc>
          <w:tcPr>
            <w:tcW w:w="1511" w:type="dxa"/>
            <w:vMerge w:val="continue"/>
          </w:tcPr>
          <w:p w14:paraId="196225C7">
            <w:pPr>
              <w:jc w:val="center"/>
              <w:rPr>
                <w:rFonts w:ascii="Times New Roman" w:eastAsia="仿宋"/>
                <w:szCs w:val="21"/>
              </w:rPr>
            </w:pPr>
          </w:p>
        </w:tc>
        <w:tc>
          <w:tcPr>
            <w:tcW w:w="1087" w:type="dxa"/>
            <w:vAlign w:val="center"/>
          </w:tcPr>
          <w:p w14:paraId="41DEF2DB">
            <w:pPr>
              <w:jc w:val="center"/>
              <w:rPr>
                <w:rFonts w:ascii="Times New Roman" w:eastAsia="仿宋"/>
                <w:szCs w:val="21"/>
              </w:rPr>
            </w:pPr>
            <w:r>
              <w:rPr>
                <w:rFonts w:hint="eastAsia" w:ascii="Times New Roman" w:eastAsia="仿宋"/>
                <w:szCs w:val="21"/>
              </w:rPr>
              <w:t>苯系物</w:t>
            </w:r>
          </w:p>
        </w:tc>
        <w:tc>
          <w:tcPr>
            <w:tcW w:w="1129" w:type="dxa"/>
            <w:vAlign w:val="center"/>
          </w:tcPr>
          <w:p w14:paraId="5F2DA956">
            <w:pPr>
              <w:jc w:val="center"/>
              <w:rPr>
                <w:rFonts w:ascii="Times New Roman" w:eastAsia="仿宋"/>
                <w:szCs w:val="21"/>
              </w:rPr>
            </w:pPr>
            <w:r>
              <w:rPr>
                <w:rFonts w:hint="eastAsia" w:ascii="Times New Roman" w:eastAsia="仿宋"/>
                <w:szCs w:val="21"/>
              </w:rPr>
              <w:t>2</w:t>
            </w:r>
            <w:r>
              <w:rPr>
                <w:rFonts w:ascii="Times New Roman" w:eastAsia="仿宋"/>
                <w:szCs w:val="21"/>
              </w:rPr>
              <w:t>.61</w:t>
            </w:r>
          </w:p>
        </w:tc>
        <w:tc>
          <w:tcPr>
            <w:tcW w:w="1021" w:type="dxa"/>
            <w:vMerge w:val="continue"/>
            <w:vAlign w:val="center"/>
          </w:tcPr>
          <w:p w14:paraId="750D5336">
            <w:pPr>
              <w:jc w:val="center"/>
              <w:rPr>
                <w:rFonts w:ascii="Times New Roman" w:eastAsia="仿宋"/>
                <w:szCs w:val="21"/>
              </w:rPr>
            </w:pPr>
          </w:p>
        </w:tc>
        <w:tc>
          <w:tcPr>
            <w:tcW w:w="1109" w:type="dxa"/>
            <w:vAlign w:val="center"/>
          </w:tcPr>
          <w:p w14:paraId="51E48D41">
            <w:pPr>
              <w:jc w:val="center"/>
              <w:rPr>
                <w:rFonts w:ascii="Times New Roman" w:eastAsia="仿宋"/>
                <w:szCs w:val="21"/>
              </w:rPr>
            </w:pPr>
            <w:r>
              <w:rPr>
                <w:rFonts w:hint="eastAsia" w:ascii="Times New Roman" w:eastAsia="仿宋"/>
                <w:szCs w:val="21"/>
              </w:rPr>
              <w:t>2</w:t>
            </w:r>
            <w:r>
              <w:rPr>
                <w:rFonts w:ascii="Times New Roman" w:eastAsia="仿宋"/>
                <w:szCs w:val="21"/>
              </w:rPr>
              <w:t>.</w:t>
            </w:r>
            <w:r>
              <w:rPr>
                <w:rFonts w:hint="eastAsia" w:ascii="Times New Roman" w:eastAsia="仿宋"/>
                <w:szCs w:val="21"/>
              </w:rPr>
              <w:t>6</w:t>
            </w:r>
          </w:p>
        </w:tc>
        <w:tc>
          <w:tcPr>
            <w:tcW w:w="1109" w:type="dxa"/>
            <w:vAlign w:val="center"/>
          </w:tcPr>
          <w:p w14:paraId="303224B1">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28A20DFC">
            <w:pPr>
              <w:jc w:val="center"/>
              <w:rPr>
                <w:rFonts w:ascii="Times New Roman" w:eastAsia="仿宋"/>
                <w:szCs w:val="21"/>
              </w:rPr>
            </w:pPr>
          </w:p>
        </w:tc>
      </w:tr>
      <w:tr w14:paraId="7560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DD9D69B">
            <w:pPr>
              <w:jc w:val="center"/>
              <w:rPr>
                <w:rFonts w:ascii="Times New Roman" w:eastAsia="仿宋"/>
                <w:szCs w:val="21"/>
              </w:rPr>
            </w:pPr>
          </w:p>
        </w:tc>
        <w:tc>
          <w:tcPr>
            <w:tcW w:w="1076" w:type="dxa"/>
            <w:vMerge w:val="continue"/>
            <w:vAlign w:val="center"/>
          </w:tcPr>
          <w:p w14:paraId="71734572">
            <w:pPr>
              <w:jc w:val="center"/>
              <w:rPr>
                <w:rFonts w:ascii="Times New Roman" w:eastAsia="仿宋"/>
                <w:szCs w:val="21"/>
              </w:rPr>
            </w:pPr>
          </w:p>
        </w:tc>
        <w:tc>
          <w:tcPr>
            <w:tcW w:w="1511" w:type="dxa"/>
            <w:vMerge w:val="continue"/>
          </w:tcPr>
          <w:p w14:paraId="69AE4ABA">
            <w:pPr>
              <w:jc w:val="center"/>
              <w:rPr>
                <w:rFonts w:ascii="Times New Roman" w:eastAsia="仿宋"/>
                <w:szCs w:val="21"/>
              </w:rPr>
            </w:pPr>
          </w:p>
        </w:tc>
        <w:tc>
          <w:tcPr>
            <w:tcW w:w="1087" w:type="dxa"/>
            <w:vAlign w:val="center"/>
          </w:tcPr>
          <w:p w14:paraId="4AA394F7">
            <w:pPr>
              <w:jc w:val="center"/>
              <w:rPr>
                <w:rFonts w:ascii="Times New Roman" w:eastAsia="仿宋"/>
                <w:szCs w:val="21"/>
              </w:rPr>
            </w:pPr>
            <w:r>
              <w:rPr>
                <w:rFonts w:hint="eastAsia" w:ascii="Times New Roman" w:eastAsia="仿宋"/>
                <w:szCs w:val="21"/>
              </w:rPr>
              <w:t>颗粒物</w:t>
            </w:r>
          </w:p>
        </w:tc>
        <w:tc>
          <w:tcPr>
            <w:tcW w:w="1129" w:type="dxa"/>
            <w:vAlign w:val="center"/>
          </w:tcPr>
          <w:p w14:paraId="5E3E2C55">
            <w:pPr>
              <w:jc w:val="center"/>
              <w:rPr>
                <w:rFonts w:ascii="Times New Roman" w:eastAsia="仿宋"/>
                <w:szCs w:val="21"/>
              </w:rPr>
            </w:pPr>
            <w:r>
              <w:rPr>
                <w:rFonts w:hint="eastAsia" w:ascii="Times New Roman" w:eastAsia="仿宋"/>
                <w:szCs w:val="21"/>
              </w:rPr>
              <w:t>5.07</w:t>
            </w:r>
          </w:p>
        </w:tc>
        <w:tc>
          <w:tcPr>
            <w:tcW w:w="1021" w:type="dxa"/>
            <w:vMerge w:val="continue"/>
            <w:vAlign w:val="center"/>
          </w:tcPr>
          <w:p w14:paraId="1D9A43CE">
            <w:pPr>
              <w:jc w:val="center"/>
              <w:rPr>
                <w:rFonts w:ascii="Times New Roman" w:eastAsia="仿宋"/>
                <w:szCs w:val="21"/>
              </w:rPr>
            </w:pPr>
          </w:p>
        </w:tc>
        <w:tc>
          <w:tcPr>
            <w:tcW w:w="1109" w:type="dxa"/>
            <w:vAlign w:val="center"/>
          </w:tcPr>
          <w:p w14:paraId="48B30567">
            <w:pPr>
              <w:jc w:val="center"/>
              <w:rPr>
                <w:rFonts w:ascii="Times New Roman" w:eastAsia="仿宋"/>
                <w:szCs w:val="21"/>
              </w:rPr>
            </w:pPr>
            <w:r>
              <w:rPr>
                <w:rFonts w:hint="eastAsia" w:ascii="Times New Roman" w:eastAsia="仿宋"/>
                <w:szCs w:val="21"/>
              </w:rPr>
              <w:t>5.04</w:t>
            </w:r>
          </w:p>
        </w:tc>
        <w:tc>
          <w:tcPr>
            <w:tcW w:w="1109" w:type="dxa"/>
            <w:vAlign w:val="center"/>
          </w:tcPr>
          <w:p w14:paraId="6C47ADF3">
            <w:pPr>
              <w:jc w:val="center"/>
              <w:rPr>
                <w:rFonts w:ascii="Times New Roman" w:eastAsia="仿宋"/>
                <w:szCs w:val="21"/>
              </w:rPr>
            </w:pPr>
            <w:r>
              <w:rPr>
                <w:rFonts w:hint="eastAsia" w:ascii="Times New Roman" w:eastAsia="仿宋"/>
                <w:szCs w:val="21"/>
              </w:rPr>
              <w:t>0.03</w:t>
            </w:r>
          </w:p>
        </w:tc>
        <w:tc>
          <w:tcPr>
            <w:tcW w:w="924" w:type="dxa"/>
            <w:vMerge w:val="continue"/>
            <w:vAlign w:val="center"/>
          </w:tcPr>
          <w:p w14:paraId="66BC3E69">
            <w:pPr>
              <w:jc w:val="center"/>
              <w:rPr>
                <w:rFonts w:ascii="Times New Roman" w:eastAsia="仿宋"/>
                <w:szCs w:val="21"/>
              </w:rPr>
            </w:pPr>
          </w:p>
        </w:tc>
      </w:tr>
      <w:tr w14:paraId="5A93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8D9AB6F">
            <w:pPr>
              <w:jc w:val="center"/>
              <w:rPr>
                <w:rFonts w:ascii="Times New Roman" w:eastAsia="仿宋"/>
                <w:szCs w:val="21"/>
              </w:rPr>
            </w:pPr>
          </w:p>
        </w:tc>
        <w:tc>
          <w:tcPr>
            <w:tcW w:w="1076" w:type="dxa"/>
            <w:vMerge w:val="restart"/>
            <w:vAlign w:val="center"/>
          </w:tcPr>
          <w:p w14:paraId="2B89D5B3">
            <w:pPr>
              <w:jc w:val="center"/>
              <w:rPr>
                <w:rFonts w:ascii="Times New Roman" w:eastAsia="仿宋"/>
                <w:szCs w:val="21"/>
              </w:rPr>
            </w:pPr>
            <w:r>
              <w:rPr>
                <w:rFonts w:hint="eastAsia" w:ascii="Times New Roman" w:eastAsia="仿宋"/>
                <w:szCs w:val="21"/>
              </w:rPr>
              <w:t>流平工序</w:t>
            </w:r>
          </w:p>
        </w:tc>
        <w:tc>
          <w:tcPr>
            <w:tcW w:w="1511" w:type="dxa"/>
            <w:vMerge w:val="restart"/>
            <w:vAlign w:val="center"/>
          </w:tcPr>
          <w:p w14:paraId="3F21C870">
            <w:pPr>
              <w:jc w:val="center"/>
              <w:rPr>
                <w:rFonts w:ascii="Times New Roman" w:eastAsia="仿宋"/>
                <w:szCs w:val="21"/>
              </w:rPr>
            </w:pPr>
            <w:r>
              <w:rPr>
                <w:rFonts w:hint="eastAsia" w:ascii="Times New Roman" w:eastAsia="仿宋"/>
                <w:szCs w:val="21"/>
              </w:rPr>
              <w:t>氟碳底漆流平废气G</w:t>
            </w:r>
            <w:r>
              <w:rPr>
                <w:rFonts w:ascii="Times New Roman" w:eastAsia="仿宋"/>
                <w:szCs w:val="21"/>
              </w:rPr>
              <w:t>11</w:t>
            </w:r>
          </w:p>
        </w:tc>
        <w:tc>
          <w:tcPr>
            <w:tcW w:w="1087" w:type="dxa"/>
            <w:vAlign w:val="center"/>
          </w:tcPr>
          <w:p w14:paraId="06601C53">
            <w:pPr>
              <w:jc w:val="center"/>
              <w:rPr>
                <w:rFonts w:ascii="Times New Roman" w:eastAsia="仿宋"/>
                <w:szCs w:val="21"/>
              </w:rPr>
            </w:pPr>
            <w:r>
              <w:rPr>
                <w:rFonts w:hint="eastAsia" w:ascii="Times New Roman" w:eastAsia="仿宋"/>
                <w:szCs w:val="21"/>
              </w:rPr>
              <w:t>非甲烷总烃</w:t>
            </w:r>
          </w:p>
        </w:tc>
        <w:tc>
          <w:tcPr>
            <w:tcW w:w="1129" w:type="dxa"/>
            <w:vAlign w:val="center"/>
          </w:tcPr>
          <w:p w14:paraId="0BF34CD7">
            <w:pPr>
              <w:jc w:val="center"/>
              <w:rPr>
                <w:rFonts w:ascii="Times New Roman" w:eastAsia="仿宋"/>
                <w:szCs w:val="21"/>
              </w:rPr>
            </w:pPr>
            <w:r>
              <w:rPr>
                <w:rFonts w:hint="eastAsia" w:ascii="Times New Roman" w:eastAsia="仿宋"/>
                <w:szCs w:val="21"/>
              </w:rPr>
              <w:t>2</w:t>
            </w:r>
            <w:r>
              <w:rPr>
                <w:rFonts w:ascii="Times New Roman" w:eastAsia="仿宋"/>
                <w:szCs w:val="21"/>
              </w:rPr>
              <w:t>.432</w:t>
            </w:r>
          </w:p>
        </w:tc>
        <w:tc>
          <w:tcPr>
            <w:tcW w:w="1021" w:type="dxa"/>
            <w:vMerge w:val="restart"/>
            <w:vAlign w:val="center"/>
          </w:tcPr>
          <w:p w14:paraId="58C7E74A">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5460174F">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109" w:type="dxa"/>
            <w:vAlign w:val="center"/>
          </w:tcPr>
          <w:p w14:paraId="2B0AEF29">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r>
              <w:rPr>
                <w:rFonts w:ascii="Times New Roman" w:eastAsia="仿宋"/>
                <w:szCs w:val="21"/>
              </w:rPr>
              <w:t>2</w:t>
            </w:r>
          </w:p>
        </w:tc>
        <w:tc>
          <w:tcPr>
            <w:tcW w:w="924" w:type="dxa"/>
            <w:vMerge w:val="restart"/>
            <w:vAlign w:val="center"/>
          </w:tcPr>
          <w:p w14:paraId="7CCC45BC">
            <w:pPr>
              <w:jc w:val="center"/>
              <w:rPr>
                <w:rFonts w:ascii="Times New Roman" w:eastAsia="仿宋"/>
                <w:szCs w:val="21"/>
              </w:rPr>
            </w:pPr>
            <w:r>
              <w:rPr>
                <w:rFonts w:hint="eastAsia" w:ascii="Times New Roman" w:eastAsia="仿宋"/>
                <w:szCs w:val="21"/>
              </w:rPr>
              <w:t>4800</w:t>
            </w:r>
          </w:p>
        </w:tc>
      </w:tr>
      <w:tr w14:paraId="76B5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7F86AE56">
            <w:pPr>
              <w:jc w:val="center"/>
              <w:rPr>
                <w:rFonts w:ascii="Times New Roman" w:eastAsia="仿宋"/>
                <w:szCs w:val="21"/>
              </w:rPr>
            </w:pPr>
          </w:p>
        </w:tc>
        <w:tc>
          <w:tcPr>
            <w:tcW w:w="1076" w:type="dxa"/>
            <w:vMerge w:val="continue"/>
            <w:vAlign w:val="center"/>
          </w:tcPr>
          <w:p w14:paraId="43AFCE1B">
            <w:pPr>
              <w:jc w:val="center"/>
              <w:rPr>
                <w:rFonts w:ascii="Times New Roman" w:eastAsia="仿宋"/>
                <w:szCs w:val="21"/>
              </w:rPr>
            </w:pPr>
          </w:p>
        </w:tc>
        <w:tc>
          <w:tcPr>
            <w:tcW w:w="1511" w:type="dxa"/>
            <w:vMerge w:val="continue"/>
            <w:vAlign w:val="center"/>
          </w:tcPr>
          <w:p w14:paraId="22E3BF2C">
            <w:pPr>
              <w:jc w:val="center"/>
              <w:rPr>
                <w:rFonts w:ascii="Times New Roman" w:eastAsia="仿宋"/>
                <w:szCs w:val="21"/>
              </w:rPr>
            </w:pPr>
          </w:p>
        </w:tc>
        <w:tc>
          <w:tcPr>
            <w:tcW w:w="1087" w:type="dxa"/>
            <w:vAlign w:val="center"/>
          </w:tcPr>
          <w:p w14:paraId="7D3A5CD1">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3830FE28">
            <w:pPr>
              <w:jc w:val="center"/>
              <w:rPr>
                <w:rFonts w:ascii="Times New Roman" w:eastAsia="仿宋"/>
                <w:szCs w:val="21"/>
              </w:rPr>
            </w:pPr>
            <w:r>
              <w:rPr>
                <w:rFonts w:hint="eastAsia" w:ascii="Times New Roman" w:eastAsia="仿宋"/>
                <w:szCs w:val="21"/>
              </w:rPr>
              <w:t>2</w:t>
            </w:r>
            <w:r>
              <w:rPr>
                <w:rFonts w:ascii="Times New Roman" w:eastAsia="仿宋"/>
                <w:szCs w:val="21"/>
              </w:rPr>
              <w:t>.432</w:t>
            </w:r>
          </w:p>
        </w:tc>
        <w:tc>
          <w:tcPr>
            <w:tcW w:w="1021" w:type="dxa"/>
            <w:vMerge w:val="continue"/>
            <w:vAlign w:val="center"/>
          </w:tcPr>
          <w:p w14:paraId="24820CD2">
            <w:pPr>
              <w:jc w:val="center"/>
              <w:rPr>
                <w:rFonts w:ascii="Times New Roman" w:eastAsia="仿宋"/>
                <w:szCs w:val="21"/>
              </w:rPr>
            </w:pPr>
          </w:p>
        </w:tc>
        <w:tc>
          <w:tcPr>
            <w:tcW w:w="1109" w:type="dxa"/>
            <w:vAlign w:val="center"/>
          </w:tcPr>
          <w:p w14:paraId="56733651">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109" w:type="dxa"/>
            <w:vAlign w:val="center"/>
          </w:tcPr>
          <w:p w14:paraId="0224ECE8">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r>
              <w:rPr>
                <w:rFonts w:ascii="Times New Roman" w:eastAsia="仿宋"/>
                <w:szCs w:val="21"/>
              </w:rPr>
              <w:t>2</w:t>
            </w:r>
          </w:p>
        </w:tc>
        <w:tc>
          <w:tcPr>
            <w:tcW w:w="924" w:type="dxa"/>
            <w:vMerge w:val="continue"/>
            <w:vAlign w:val="center"/>
          </w:tcPr>
          <w:p w14:paraId="33F92358">
            <w:pPr>
              <w:jc w:val="center"/>
              <w:rPr>
                <w:rFonts w:ascii="Times New Roman" w:eastAsia="仿宋"/>
                <w:szCs w:val="21"/>
              </w:rPr>
            </w:pPr>
          </w:p>
        </w:tc>
      </w:tr>
      <w:tr w14:paraId="1063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21E8BF11">
            <w:pPr>
              <w:jc w:val="center"/>
              <w:rPr>
                <w:rFonts w:ascii="Times New Roman" w:eastAsia="仿宋"/>
                <w:szCs w:val="21"/>
              </w:rPr>
            </w:pPr>
          </w:p>
        </w:tc>
        <w:tc>
          <w:tcPr>
            <w:tcW w:w="1076" w:type="dxa"/>
            <w:vMerge w:val="continue"/>
            <w:vAlign w:val="center"/>
          </w:tcPr>
          <w:p w14:paraId="1B8C73F0">
            <w:pPr>
              <w:jc w:val="center"/>
              <w:rPr>
                <w:rFonts w:ascii="Times New Roman" w:eastAsia="仿宋"/>
                <w:szCs w:val="21"/>
              </w:rPr>
            </w:pPr>
          </w:p>
        </w:tc>
        <w:tc>
          <w:tcPr>
            <w:tcW w:w="1511" w:type="dxa"/>
            <w:vMerge w:val="continue"/>
            <w:vAlign w:val="center"/>
          </w:tcPr>
          <w:p w14:paraId="7C1DCFE3">
            <w:pPr>
              <w:jc w:val="center"/>
              <w:rPr>
                <w:rFonts w:ascii="Times New Roman" w:eastAsia="仿宋"/>
                <w:szCs w:val="21"/>
              </w:rPr>
            </w:pPr>
          </w:p>
        </w:tc>
        <w:tc>
          <w:tcPr>
            <w:tcW w:w="1087" w:type="dxa"/>
            <w:vAlign w:val="center"/>
          </w:tcPr>
          <w:p w14:paraId="6D29D943">
            <w:pPr>
              <w:jc w:val="center"/>
              <w:rPr>
                <w:rFonts w:ascii="Times New Roman" w:eastAsia="仿宋"/>
                <w:szCs w:val="21"/>
              </w:rPr>
            </w:pPr>
            <w:r>
              <w:rPr>
                <w:rFonts w:hint="eastAsia" w:ascii="Times New Roman" w:eastAsia="仿宋"/>
                <w:szCs w:val="21"/>
              </w:rPr>
              <w:t>二甲苯</w:t>
            </w:r>
          </w:p>
        </w:tc>
        <w:tc>
          <w:tcPr>
            <w:tcW w:w="1129" w:type="dxa"/>
            <w:vAlign w:val="center"/>
          </w:tcPr>
          <w:p w14:paraId="00177128">
            <w:pPr>
              <w:jc w:val="center"/>
              <w:rPr>
                <w:rFonts w:ascii="Times New Roman" w:eastAsia="仿宋"/>
                <w:szCs w:val="21"/>
              </w:rPr>
            </w:pPr>
            <w:r>
              <w:rPr>
                <w:rFonts w:hint="eastAsia" w:ascii="Times New Roman" w:eastAsia="仿宋"/>
                <w:szCs w:val="21"/>
              </w:rPr>
              <w:t>0</w:t>
            </w:r>
            <w:r>
              <w:rPr>
                <w:rFonts w:ascii="Times New Roman" w:eastAsia="仿宋"/>
                <w:szCs w:val="21"/>
              </w:rPr>
              <w:t>.71</w:t>
            </w:r>
          </w:p>
        </w:tc>
        <w:tc>
          <w:tcPr>
            <w:tcW w:w="1021" w:type="dxa"/>
            <w:vMerge w:val="continue"/>
            <w:vAlign w:val="center"/>
          </w:tcPr>
          <w:p w14:paraId="1A4520C8">
            <w:pPr>
              <w:jc w:val="center"/>
              <w:rPr>
                <w:rFonts w:ascii="Times New Roman" w:eastAsia="仿宋"/>
                <w:szCs w:val="21"/>
              </w:rPr>
            </w:pPr>
          </w:p>
        </w:tc>
        <w:tc>
          <w:tcPr>
            <w:tcW w:w="1109" w:type="dxa"/>
            <w:vAlign w:val="center"/>
          </w:tcPr>
          <w:p w14:paraId="541D3C39">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109" w:type="dxa"/>
            <w:vAlign w:val="center"/>
          </w:tcPr>
          <w:p w14:paraId="0D638E95">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924" w:type="dxa"/>
            <w:vMerge w:val="continue"/>
            <w:vAlign w:val="center"/>
          </w:tcPr>
          <w:p w14:paraId="192FC3B8">
            <w:pPr>
              <w:jc w:val="center"/>
              <w:rPr>
                <w:rFonts w:ascii="Times New Roman" w:eastAsia="仿宋"/>
                <w:szCs w:val="21"/>
              </w:rPr>
            </w:pPr>
          </w:p>
        </w:tc>
      </w:tr>
      <w:tr w14:paraId="799D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4403FB71">
            <w:pPr>
              <w:jc w:val="center"/>
              <w:rPr>
                <w:rFonts w:ascii="Times New Roman" w:eastAsia="仿宋"/>
                <w:szCs w:val="21"/>
              </w:rPr>
            </w:pPr>
          </w:p>
        </w:tc>
        <w:tc>
          <w:tcPr>
            <w:tcW w:w="1076" w:type="dxa"/>
            <w:vMerge w:val="continue"/>
            <w:vAlign w:val="center"/>
          </w:tcPr>
          <w:p w14:paraId="37248F31">
            <w:pPr>
              <w:jc w:val="center"/>
              <w:rPr>
                <w:rFonts w:ascii="Times New Roman" w:eastAsia="仿宋"/>
                <w:szCs w:val="21"/>
              </w:rPr>
            </w:pPr>
          </w:p>
        </w:tc>
        <w:tc>
          <w:tcPr>
            <w:tcW w:w="1511" w:type="dxa"/>
            <w:vMerge w:val="continue"/>
            <w:vAlign w:val="center"/>
          </w:tcPr>
          <w:p w14:paraId="4AEC6E71">
            <w:pPr>
              <w:jc w:val="center"/>
              <w:rPr>
                <w:rFonts w:ascii="Times New Roman" w:eastAsia="仿宋"/>
                <w:szCs w:val="21"/>
              </w:rPr>
            </w:pPr>
          </w:p>
        </w:tc>
        <w:tc>
          <w:tcPr>
            <w:tcW w:w="1087" w:type="dxa"/>
            <w:vAlign w:val="center"/>
          </w:tcPr>
          <w:p w14:paraId="3821EF27">
            <w:pPr>
              <w:jc w:val="center"/>
              <w:rPr>
                <w:rFonts w:ascii="Times New Roman" w:eastAsia="仿宋"/>
                <w:szCs w:val="21"/>
              </w:rPr>
            </w:pPr>
            <w:r>
              <w:rPr>
                <w:rFonts w:hint="eastAsia" w:ascii="Times New Roman" w:eastAsia="仿宋"/>
                <w:szCs w:val="21"/>
              </w:rPr>
              <w:t>苯系物</w:t>
            </w:r>
          </w:p>
        </w:tc>
        <w:tc>
          <w:tcPr>
            <w:tcW w:w="1129" w:type="dxa"/>
            <w:vAlign w:val="center"/>
          </w:tcPr>
          <w:p w14:paraId="2C0F0F46">
            <w:pPr>
              <w:jc w:val="center"/>
              <w:rPr>
                <w:rFonts w:ascii="Times New Roman" w:eastAsia="仿宋"/>
                <w:szCs w:val="21"/>
              </w:rPr>
            </w:pPr>
            <w:r>
              <w:rPr>
                <w:rFonts w:hint="eastAsia" w:ascii="Times New Roman" w:eastAsia="仿宋"/>
                <w:szCs w:val="21"/>
              </w:rPr>
              <w:t>0</w:t>
            </w:r>
            <w:r>
              <w:rPr>
                <w:rFonts w:ascii="Times New Roman" w:eastAsia="仿宋"/>
                <w:szCs w:val="21"/>
              </w:rPr>
              <w:t>.71</w:t>
            </w:r>
          </w:p>
        </w:tc>
        <w:tc>
          <w:tcPr>
            <w:tcW w:w="1021" w:type="dxa"/>
            <w:vMerge w:val="continue"/>
            <w:vAlign w:val="center"/>
          </w:tcPr>
          <w:p w14:paraId="0B56D944">
            <w:pPr>
              <w:jc w:val="center"/>
              <w:rPr>
                <w:rFonts w:ascii="Times New Roman" w:eastAsia="仿宋"/>
                <w:szCs w:val="21"/>
              </w:rPr>
            </w:pPr>
          </w:p>
        </w:tc>
        <w:tc>
          <w:tcPr>
            <w:tcW w:w="1109" w:type="dxa"/>
            <w:vAlign w:val="center"/>
          </w:tcPr>
          <w:p w14:paraId="731ECCBA">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109" w:type="dxa"/>
            <w:vAlign w:val="center"/>
          </w:tcPr>
          <w:p w14:paraId="68305C5B">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924" w:type="dxa"/>
            <w:vMerge w:val="continue"/>
            <w:vAlign w:val="center"/>
          </w:tcPr>
          <w:p w14:paraId="2119D439">
            <w:pPr>
              <w:jc w:val="center"/>
              <w:rPr>
                <w:rFonts w:ascii="Times New Roman" w:eastAsia="仿宋"/>
                <w:szCs w:val="21"/>
              </w:rPr>
            </w:pPr>
          </w:p>
        </w:tc>
      </w:tr>
      <w:tr w14:paraId="50E3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399F8CA">
            <w:pPr>
              <w:jc w:val="center"/>
              <w:rPr>
                <w:rFonts w:ascii="Times New Roman" w:eastAsia="仿宋"/>
                <w:szCs w:val="21"/>
              </w:rPr>
            </w:pPr>
          </w:p>
        </w:tc>
        <w:tc>
          <w:tcPr>
            <w:tcW w:w="1076" w:type="dxa"/>
            <w:vMerge w:val="continue"/>
            <w:vAlign w:val="center"/>
          </w:tcPr>
          <w:p w14:paraId="765B2940">
            <w:pPr>
              <w:jc w:val="center"/>
              <w:rPr>
                <w:rFonts w:ascii="Times New Roman" w:eastAsia="仿宋"/>
                <w:szCs w:val="21"/>
              </w:rPr>
            </w:pPr>
          </w:p>
        </w:tc>
        <w:tc>
          <w:tcPr>
            <w:tcW w:w="1511" w:type="dxa"/>
            <w:vMerge w:val="restart"/>
            <w:vAlign w:val="center"/>
          </w:tcPr>
          <w:p w14:paraId="6D4CA4B8">
            <w:pPr>
              <w:jc w:val="center"/>
              <w:rPr>
                <w:rFonts w:ascii="Times New Roman" w:eastAsia="仿宋"/>
                <w:szCs w:val="21"/>
              </w:rPr>
            </w:pPr>
            <w:r>
              <w:rPr>
                <w:rFonts w:hint="eastAsia" w:ascii="Times New Roman" w:eastAsia="仿宋"/>
                <w:szCs w:val="21"/>
              </w:rPr>
              <w:t>氟碳面漆流平废气G</w:t>
            </w:r>
            <w:r>
              <w:rPr>
                <w:rFonts w:ascii="Times New Roman" w:eastAsia="仿宋"/>
                <w:szCs w:val="21"/>
              </w:rPr>
              <w:t>15</w:t>
            </w:r>
          </w:p>
        </w:tc>
        <w:tc>
          <w:tcPr>
            <w:tcW w:w="1087" w:type="dxa"/>
            <w:vAlign w:val="center"/>
          </w:tcPr>
          <w:p w14:paraId="62871199">
            <w:pPr>
              <w:jc w:val="center"/>
              <w:rPr>
                <w:rFonts w:ascii="Times New Roman" w:eastAsia="仿宋"/>
                <w:szCs w:val="21"/>
              </w:rPr>
            </w:pPr>
            <w:r>
              <w:rPr>
                <w:rFonts w:hint="eastAsia" w:ascii="Times New Roman" w:eastAsia="仿宋"/>
                <w:szCs w:val="21"/>
              </w:rPr>
              <w:t>非甲烷总烃</w:t>
            </w:r>
          </w:p>
        </w:tc>
        <w:tc>
          <w:tcPr>
            <w:tcW w:w="1129" w:type="dxa"/>
            <w:vAlign w:val="center"/>
          </w:tcPr>
          <w:p w14:paraId="223B9436">
            <w:pPr>
              <w:jc w:val="center"/>
              <w:rPr>
                <w:rFonts w:ascii="Times New Roman" w:eastAsia="仿宋"/>
                <w:szCs w:val="21"/>
              </w:rPr>
            </w:pPr>
            <w:r>
              <w:rPr>
                <w:rFonts w:hint="eastAsia" w:ascii="Times New Roman" w:eastAsia="仿宋"/>
                <w:szCs w:val="21"/>
              </w:rPr>
              <w:t>4</w:t>
            </w:r>
            <w:r>
              <w:rPr>
                <w:rFonts w:ascii="Times New Roman" w:eastAsia="仿宋"/>
                <w:szCs w:val="21"/>
              </w:rPr>
              <w:t>.01</w:t>
            </w:r>
          </w:p>
        </w:tc>
        <w:tc>
          <w:tcPr>
            <w:tcW w:w="1021" w:type="dxa"/>
            <w:vMerge w:val="restart"/>
            <w:vAlign w:val="center"/>
          </w:tcPr>
          <w:p w14:paraId="5D9B6EC8">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2192E9DE">
            <w:pPr>
              <w:jc w:val="center"/>
              <w:rPr>
                <w:rFonts w:ascii="Times New Roman" w:eastAsia="仿宋"/>
                <w:szCs w:val="21"/>
              </w:rPr>
            </w:pPr>
            <w:r>
              <w:rPr>
                <w:rFonts w:hint="eastAsia" w:ascii="Times New Roman" w:eastAsia="仿宋"/>
                <w:szCs w:val="21"/>
              </w:rPr>
              <w:t>4.0</w:t>
            </w:r>
          </w:p>
        </w:tc>
        <w:tc>
          <w:tcPr>
            <w:tcW w:w="1109" w:type="dxa"/>
            <w:vAlign w:val="center"/>
          </w:tcPr>
          <w:p w14:paraId="4C56B55A">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60C3671E">
            <w:pPr>
              <w:jc w:val="center"/>
              <w:rPr>
                <w:rFonts w:ascii="Times New Roman" w:eastAsia="仿宋"/>
                <w:szCs w:val="21"/>
              </w:rPr>
            </w:pPr>
          </w:p>
        </w:tc>
      </w:tr>
      <w:tr w14:paraId="1E77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2AD05E4E">
            <w:pPr>
              <w:jc w:val="center"/>
              <w:rPr>
                <w:rFonts w:ascii="Times New Roman" w:eastAsia="仿宋"/>
                <w:szCs w:val="21"/>
              </w:rPr>
            </w:pPr>
          </w:p>
        </w:tc>
        <w:tc>
          <w:tcPr>
            <w:tcW w:w="1076" w:type="dxa"/>
            <w:vMerge w:val="continue"/>
            <w:vAlign w:val="center"/>
          </w:tcPr>
          <w:p w14:paraId="720411D0">
            <w:pPr>
              <w:jc w:val="center"/>
              <w:rPr>
                <w:rFonts w:ascii="Times New Roman" w:eastAsia="仿宋"/>
                <w:szCs w:val="21"/>
              </w:rPr>
            </w:pPr>
          </w:p>
        </w:tc>
        <w:tc>
          <w:tcPr>
            <w:tcW w:w="1511" w:type="dxa"/>
            <w:vMerge w:val="continue"/>
          </w:tcPr>
          <w:p w14:paraId="519D6D80">
            <w:pPr>
              <w:jc w:val="center"/>
              <w:rPr>
                <w:rFonts w:ascii="Times New Roman" w:eastAsia="仿宋"/>
                <w:szCs w:val="21"/>
              </w:rPr>
            </w:pPr>
          </w:p>
        </w:tc>
        <w:tc>
          <w:tcPr>
            <w:tcW w:w="1087" w:type="dxa"/>
            <w:vAlign w:val="center"/>
          </w:tcPr>
          <w:p w14:paraId="5FEF09AF">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0BA329A7">
            <w:pPr>
              <w:jc w:val="center"/>
              <w:rPr>
                <w:rFonts w:ascii="Times New Roman" w:eastAsia="仿宋"/>
                <w:szCs w:val="21"/>
              </w:rPr>
            </w:pPr>
            <w:r>
              <w:rPr>
                <w:rFonts w:hint="eastAsia" w:ascii="Times New Roman" w:eastAsia="仿宋"/>
                <w:szCs w:val="21"/>
              </w:rPr>
              <w:t>4</w:t>
            </w:r>
            <w:r>
              <w:rPr>
                <w:rFonts w:ascii="Times New Roman" w:eastAsia="仿宋"/>
                <w:szCs w:val="21"/>
              </w:rPr>
              <w:t>.01</w:t>
            </w:r>
          </w:p>
        </w:tc>
        <w:tc>
          <w:tcPr>
            <w:tcW w:w="1021" w:type="dxa"/>
            <w:vMerge w:val="continue"/>
            <w:vAlign w:val="center"/>
          </w:tcPr>
          <w:p w14:paraId="25BA66F2">
            <w:pPr>
              <w:jc w:val="center"/>
              <w:rPr>
                <w:rFonts w:ascii="Times New Roman" w:eastAsia="仿宋"/>
                <w:szCs w:val="21"/>
              </w:rPr>
            </w:pPr>
          </w:p>
        </w:tc>
        <w:tc>
          <w:tcPr>
            <w:tcW w:w="1109" w:type="dxa"/>
            <w:vAlign w:val="center"/>
          </w:tcPr>
          <w:p w14:paraId="1B26CA27">
            <w:pPr>
              <w:jc w:val="center"/>
              <w:rPr>
                <w:rFonts w:ascii="Times New Roman" w:eastAsia="仿宋"/>
                <w:szCs w:val="21"/>
              </w:rPr>
            </w:pPr>
            <w:r>
              <w:rPr>
                <w:rFonts w:hint="eastAsia" w:ascii="Times New Roman" w:eastAsia="仿宋"/>
                <w:szCs w:val="21"/>
              </w:rPr>
              <w:t>4.0</w:t>
            </w:r>
          </w:p>
        </w:tc>
        <w:tc>
          <w:tcPr>
            <w:tcW w:w="1109" w:type="dxa"/>
            <w:vAlign w:val="center"/>
          </w:tcPr>
          <w:p w14:paraId="5A64C795">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1</w:t>
            </w:r>
          </w:p>
        </w:tc>
        <w:tc>
          <w:tcPr>
            <w:tcW w:w="924" w:type="dxa"/>
            <w:vMerge w:val="continue"/>
            <w:vAlign w:val="center"/>
          </w:tcPr>
          <w:p w14:paraId="6FEB5413">
            <w:pPr>
              <w:jc w:val="center"/>
              <w:rPr>
                <w:rFonts w:ascii="Times New Roman" w:eastAsia="仿宋"/>
                <w:szCs w:val="21"/>
              </w:rPr>
            </w:pPr>
          </w:p>
        </w:tc>
      </w:tr>
      <w:tr w14:paraId="1295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6B681B8">
            <w:pPr>
              <w:jc w:val="center"/>
              <w:rPr>
                <w:rFonts w:ascii="Times New Roman" w:eastAsia="仿宋"/>
                <w:szCs w:val="21"/>
              </w:rPr>
            </w:pPr>
          </w:p>
        </w:tc>
        <w:tc>
          <w:tcPr>
            <w:tcW w:w="1076" w:type="dxa"/>
            <w:vMerge w:val="continue"/>
            <w:vAlign w:val="center"/>
          </w:tcPr>
          <w:p w14:paraId="55C5B595">
            <w:pPr>
              <w:jc w:val="center"/>
              <w:rPr>
                <w:rFonts w:ascii="Times New Roman" w:eastAsia="仿宋"/>
                <w:szCs w:val="21"/>
              </w:rPr>
            </w:pPr>
          </w:p>
        </w:tc>
        <w:tc>
          <w:tcPr>
            <w:tcW w:w="1511" w:type="dxa"/>
            <w:vMerge w:val="continue"/>
          </w:tcPr>
          <w:p w14:paraId="26507BB9">
            <w:pPr>
              <w:jc w:val="center"/>
              <w:rPr>
                <w:rFonts w:ascii="Times New Roman" w:eastAsia="仿宋"/>
                <w:szCs w:val="21"/>
              </w:rPr>
            </w:pPr>
          </w:p>
        </w:tc>
        <w:tc>
          <w:tcPr>
            <w:tcW w:w="1087" w:type="dxa"/>
            <w:vAlign w:val="center"/>
          </w:tcPr>
          <w:p w14:paraId="019333D0">
            <w:pPr>
              <w:jc w:val="center"/>
              <w:rPr>
                <w:rFonts w:ascii="Times New Roman" w:eastAsia="仿宋"/>
                <w:szCs w:val="21"/>
              </w:rPr>
            </w:pPr>
            <w:r>
              <w:rPr>
                <w:rFonts w:hint="eastAsia" w:ascii="Times New Roman" w:eastAsia="仿宋"/>
                <w:szCs w:val="21"/>
              </w:rPr>
              <w:t>二甲苯</w:t>
            </w:r>
          </w:p>
        </w:tc>
        <w:tc>
          <w:tcPr>
            <w:tcW w:w="1129" w:type="dxa"/>
            <w:vAlign w:val="center"/>
          </w:tcPr>
          <w:p w14:paraId="2A6D7F18">
            <w:pPr>
              <w:jc w:val="center"/>
              <w:rPr>
                <w:rFonts w:ascii="Times New Roman" w:eastAsia="仿宋"/>
                <w:szCs w:val="21"/>
              </w:rPr>
            </w:pPr>
            <w:r>
              <w:rPr>
                <w:rFonts w:hint="eastAsia" w:ascii="Times New Roman" w:eastAsia="仿宋"/>
                <w:szCs w:val="21"/>
              </w:rPr>
              <w:t>0</w:t>
            </w:r>
            <w:r>
              <w:rPr>
                <w:rFonts w:ascii="Times New Roman" w:eastAsia="仿宋"/>
                <w:szCs w:val="21"/>
              </w:rPr>
              <w:t>.93</w:t>
            </w:r>
          </w:p>
        </w:tc>
        <w:tc>
          <w:tcPr>
            <w:tcW w:w="1021" w:type="dxa"/>
            <w:vMerge w:val="continue"/>
            <w:vAlign w:val="center"/>
          </w:tcPr>
          <w:p w14:paraId="594D1D35">
            <w:pPr>
              <w:jc w:val="center"/>
              <w:rPr>
                <w:rFonts w:ascii="Times New Roman" w:eastAsia="仿宋"/>
                <w:szCs w:val="21"/>
              </w:rPr>
            </w:pPr>
          </w:p>
        </w:tc>
        <w:tc>
          <w:tcPr>
            <w:tcW w:w="1109" w:type="dxa"/>
            <w:vAlign w:val="center"/>
          </w:tcPr>
          <w:p w14:paraId="16C7D68A">
            <w:pPr>
              <w:jc w:val="center"/>
              <w:rPr>
                <w:rFonts w:ascii="Times New Roman" w:eastAsia="仿宋"/>
                <w:szCs w:val="21"/>
              </w:rPr>
            </w:pPr>
            <w:r>
              <w:rPr>
                <w:rFonts w:hint="eastAsia" w:ascii="Times New Roman" w:eastAsia="仿宋"/>
                <w:szCs w:val="21"/>
              </w:rPr>
              <w:t>0</w:t>
            </w:r>
            <w:r>
              <w:rPr>
                <w:rFonts w:ascii="Times New Roman" w:eastAsia="仿宋"/>
                <w:szCs w:val="21"/>
              </w:rPr>
              <w:t>.92</w:t>
            </w:r>
            <w:r>
              <w:rPr>
                <w:rFonts w:hint="eastAsia" w:ascii="Times New Roman" w:eastAsia="仿宋"/>
                <w:szCs w:val="21"/>
              </w:rPr>
              <w:t>5</w:t>
            </w:r>
          </w:p>
        </w:tc>
        <w:tc>
          <w:tcPr>
            <w:tcW w:w="1109" w:type="dxa"/>
            <w:vAlign w:val="center"/>
          </w:tcPr>
          <w:p w14:paraId="15BA45A6">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05</w:t>
            </w:r>
          </w:p>
        </w:tc>
        <w:tc>
          <w:tcPr>
            <w:tcW w:w="924" w:type="dxa"/>
            <w:vMerge w:val="continue"/>
            <w:vAlign w:val="center"/>
          </w:tcPr>
          <w:p w14:paraId="326A3D5B">
            <w:pPr>
              <w:jc w:val="center"/>
              <w:rPr>
                <w:rFonts w:ascii="Times New Roman" w:eastAsia="仿宋"/>
                <w:szCs w:val="21"/>
              </w:rPr>
            </w:pPr>
          </w:p>
        </w:tc>
      </w:tr>
      <w:tr w14:paraId="5DD8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0E707C09">
            <w:pPr>
              <w:jc w:val="center"/>
              <w:rPr>
                <w:rFonts w:ascii="Times New Roman" w:eastAsia="仿宋"/>
                <w:szCs w:val="21"/>
              </w:rPr>
            </w:pPr>
          </w:p>
        </w:tc>
        <w:tc>
          <w:tcPr>
            <w:tcW w:w="1076" w:type="dxa"/>
            <w:vMerge w:val="continue"/>
            <w:vAlign w:val="center"/>
          </w:tcPr>
          <w:p w14:paraId="059BCA7C">
            <w:pPr>
              <w:jc w:val="center"/>
              <w:rPr>
                <w:rFonts w:ascii="Times New Roman" w:eastAsia="仿宋"/>
                <w:szCs w:val="21"/>
              </w:rPr>
            </w:pPr>
          </w:p>
        </w:tc>
        <w:tc>
          <w:tcPr>
            <w:tcW w:w="1511" w:type="dxa"/>
            <w:vMerge w:val="continue"/>
          </w:tcPr>
          <w:p w14:paraId="5D662E22">
            <w:pPr>
              <w:jc w:val="center"/>
              <w:rPr>
                <w:rFonts w:ascii="Times New Roman" w:eastAsia="仿宋"/>
                <w:szCs w:val="21"/>
              </w:rPr>
            </w:pPr>
          </w:p>
        </w:tc>
        <w:tc>
          <w:tcPr>
            <w:tcW w:w="1087" w:type="dxa"/>
            <w:vAlign w:val="center"/>
          </w:tcPr>
          <w:p w14:paraId="617B656E">
            <w:pPr>
              <w:jc w:val="center"/>
              <w:rPr>
                <w:rFonts w:ascii="Times New Roman" w:eastAsia="仿宋"/>
                <w:szCs w:val="21"/>
              </w:rPr>
            </w:pPr>
            <w:r>
              <w:rPr>
                <w:rFonts w:hint="eastAsia" w:ascii="Times New Roman" w:eastAsia="仿宋"/>
                <w:szCs w:val="21"/>
              </w:rPr>
              <w:t>苯系物</w:t>
            </w:r>
          </w:p>
        </w:tc>
        <w:tc>
          <w:tcPr>
            <w:tcW w:w="1129" w:type="dxa"/>
            <w:vAlign w:val="center"/>
          </w:tcPr>
          <w:p w14:paraId="2F1480B0">
            <w:pPr>
              <w:jc w:val="center"/>
              <w:rPr>
                <w:rFonts w:ascii="Times New Roman" w:eastAsia="仿宋"/>
                <w:szCs w:val="21"/>
              </w:rPr>
            </w:pPr>
            <w:r>
              <w:rPr>
                <w:rFonts w:hint="eastAsia" w:ascii="Times New Roman" w:eastAsia="仿宋"/>
                <w:szCs w:val="21"/>
              </w:rPr>
              <w:t>0</w:t>
            </w:r>
            <w:r>
              <w:rPr>
                <w:rFonts w:ascii="Times New Roman" w:eastAsia="仿宋"/>
                <w:szCs w:val="21"/>
              </w:rPr>
              <w:t>.93</w:t>
            </w:r>
          </w:p>
        </w:tc>
        <w:tc>
          <w:tcPr>
            <w:tcW w:w="1021" w:type="dxa"/>
            <w:vMerge w:val="continue"/>
            <w:vAlign w:val="center"/>
          </w:tcPr>
          <w:p w14:paraId="5E90849B">
            <w:pPr>
              <w:jc w:val="center"/>
              <w:rPr>
                <w:rFonts w:ascii="Times New Roman" w:eastAsia="仿宋"/>
                <w:szCs w:val="21"/>
              </w:rPr>
            </w:pPr>
          </w:p>
        </w:tc>
        <w:tc>
          <w:tcPr>
            <w:tcW w:w="1109" w:type="dxa"/>
            <w:vAlign w:val="center"/>
          </w:tcPr>
          <w:p w14:paraId="0A9348C0">
            <w:pPr>
              <w:jc w:val="center"/>
              <w:rPr>
                <w:rFonts w:ascii="Times New Roman" w:eastAsia="仿宋"/>
                <w:szCs w:val="21"/>
              </w:rPr>
            </w:pPr>
            <w:r>
              <w:rPr>
                <w:rFonts w:hint="eastAsia" w:ascii="Times New Roman" w:eastAsia="仿宋"/>
                <w:szCs w:val="21"/>
              </w:rPr>
              <w:t>0</w:t>
            </w:r>
            <w:r>
              <w:rPr>
                <w:rFonts w:ascii="Times New Roman" w:eastAsia="仿宋"/>
                <w:szCs w:val="21"/>
              </w:rPr>
              <w:t>.92</w:t>
            </w:r>
            <w:r>
              <w:rPr>
                <w:rFonts w:hint="eastAsia" w:ascii="Times New Roman" w:eastAsia="仿宋"/>
                <w:szCs w:val="21"/>
              </w:rPr>
              <w:t>5</w:t>
            </w:r>
          </w:p>
        </w:tc>
        <w:tc>
          <w:tcPr>
            <w:tcW w:w="1109" w:type="dxa"/>
            <w:vAlign w:val="center"/>
          </w:tcPr>
          <w:p w14:paraId="011E04BB">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05</w:t>
            </w:r>
          </w:p>
        </w:tc>
        <w:tc>
          <w:tcPr>
            <w:tcW w:w="924" w:type="dxa"/>
            <w:vMerge w:val="continue"/>
            <w:vAlign w:val="center"/>
          </w:tcPr>
          <w:p w14:paraId="087720A7">
            <w:pPr>
              <w:jc w:val="center"/>
              <w:rPr>
                <w:rFonts w:ascii="Times New Roman" w:eastAsia="仿宋"/>
                <w:szCs w:val="21"/>
              </w:rPr>
            </w:pPr>
          </w:p>
        </w:tc>
      </w:tr>
      <w:tr w14:paraId="5A08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A3E13A7">
            <w:pPr>
              <w:jc w:val="center"/>
              <w:rPr>
                <w:rFonts w:ascii="Times New Roman" w:eastAsia="仿宋"/>
                <w:szCs w:val="21"/>
              </w:rPr>
            </w:pPr>
          </w:p>
        </w:tc>
        <w:tc>
          <w:tcPr>
            <w:tcW w:w="1076" w:type="dxa"/>
            <w:vMerge w:val="restart"/>
            <w:vAlign w:val="center"/>
          </w:tcPr>
          <w:p w14:paraId="512A792F">
            <w:pPr>
              <w:jc w:val="center"/>
              <w:rPr>
                <w:rFonts w:ascii="Times New Roman" w:eastAsia="仿宋"/>
                <w:szCs w:val="21"/>
              </w:rPr>
            </w:pPr>
            <w:r>
              <w:rPr>
                <w:rFonts w:hint="eastAsia" w:ascii="Times New Roman" w:eastAsia="仿宋"/>
                <w:szCs w:val="21"/>
              </w:rPr>
              <w:t>固化工序</w:t>
            </w:r>
          </w:p>
        </w:tc>
        <w:tc>
          <w:tcPr>
            <w:tcW w:w="1511" w:type="dxa"/>
            <w:vMerge w:val="restart"/>
            <w:vAlign w:val="center"/>
          </w:tcPr>
          <w:p w14:paraId="392A3C57">
            <w:pPr>
              <w:jc w:val="center"/>
              <w:rPr>
                <w:rFonts w:ascii="Times New Roman" w:eastAsia="仿宋"/>
                <w:szCs w:val="21"/>
              </w:rPr>
            </w:pPr>
            <w:r>
              <w:rPr>
                <w:rFonts w:hint="eastAsia" w:ascii="Times New Roman" w:eastAsia="仿宋"/>
                <w:szCs w:val="21"/>
              </w:rPr>
              <w:t>氟碳底漆烘干废气G</w:t>
            </w:r>
            <w:r>
              <w:rPr>
                <w:rFonts w:ascii="Times New Roman" w:eastAsia="仿宋"/>
                <w:szCs w:val="21"/>
              </w:rPr>
              <w:t>12</w:t>
            </w:r>
          </w:p>
        </w:tc>
        <w:tc>
          <w:tcPr>
            <w:tcW w:w="1087" w:type="dxa"/>
            <w:vAlign w:val="center"/>
          </w:tcPr>
          <w:p w14:paraId="622A9498">
            <w:pPr>
              <w:jc w:val="center"/>
              <w:rPr>
                <w:rFonts w:ascii="Times New Roman" w:eastAsia="仿宋"/>
                <w:szCs w:val="21"/>
              </w:rPr>
            </w:pPr>
            <w:r>
              <w:rPr>
                <w:rFonts w:hint="eastAsia" w:ascii="Times New Roman" w:eastAsia="仿宋"/>
                <w:szCs w:val="21"/>
              </w:rPr>
              <w:t>非甲烷总烃</w:t>
            </w:r>
          </w:p>
        </w:tc>
        <w:tc>
          <w:tcPr>
            <w:tcW w:w="1129" w:type="dxa"/>
            <w:vAlign w:val="center"/>
          </w:tcPr>
          <w:p w14:paraId="2A344AAD">
            <w:pPr>
              <w:jc w:val="center"/>
              <w:rPr>
                <w:rFonts w:ascii="Times New Roman" w:eastAsia="仿宋"/>
                <w:szCs w:val="21"/>
              </w:rPr>
            </w:pPr>
            <w:r>
              <w:rPr>
                <w:rFonts w:hint="eastAsia" w:ascii="Times New Roman" w:eastAsia="仿宋"/>
                <w:szCs w:val="21"/>
              </w:rPr>
              <w:t>1</w:t>
            </w:r>
            <w:r>
              <w:rPr>
                <w:rFonts w:ascii="Times New Roman" w:eastAsia="仿宋"/>
                <w:szCs w:val="21"/>
              </w:rPr>
              <w:t>4.61</w:t>
            </w:r>
          </w:p>
        </w:tc>
        <w:tc>
          <w:tcPr>
            <w:tcW w:w="1021" w:type="dxa"/>
            <w:vMerge w:val="restart"/>
            <w:vAlign w:val="center"/>
          </w:tcPr>
          <w:p w14:paraId="1DAB45B1">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251886FD">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109" w:type="dxa"/>
            <w:vAlign w:val="center"/>
          </w:tcPr>
          <w:p w14:paraId="0A632C83">
            <w:pPr>
              <w:jc w:val="center"/>
              <w:rPr>
                <w:rFonts w:ascii="Times New Roman" w:eastAsia="仿宋"/>
                <w:szCs w:val="21"/>
              </w:rPr>
            </w:pPr>
            <w:r>
              <w:rPr>
                <w:rFonts w:hint="eastAsia" w:ascii="Times New Roman" w:eastAsia="仿宋"/>
                <w:szCs w:val="21"/>
              </w:rPr>
              <w:t>0.08</w:t>
            </w:r>
          </w:p>
        </w:tc>
        <w:tc>
          <w:tcPr>
            <w:tcW w:w="924" w:type="dxa"/>
            <w:vMerge w:val="restart"/>
            <w:vAlign w:val="center"/>
          </w:tcPr>
          <w:p w14:paraId="7A2382CE">
            <w:pPr>
              <w:jc w:val="center"/>
              <w:rPr>
                <w:rFonts w:ascii="Times New Roman" w:eastAsia="仿宋"/>
                <w:szCs w:val="21"/>
              </w:rPr>
            </w:pPr>
            <w:r>
              <w:rPr>
                <w:rFonts w:hint="eastAsia" w:ascii="Times New Roman" w:eastAsia="仿宋"/>
                <w:szCs w:val="21"/>
              </w:rPr>
              <w:t>4800</w:t>
            </w:r>
          </w:p>
        </w:tc>
      </w:tr>
      <w:tr w14:paraId="0BC5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061DDD3">
            <w:pPr>
              <w:jc w:val="center"/>
              <w:rPr>
                <w:rFonts w:ascii="Times New Roman" w:eastAsia="仿宋"/>
                <w:szCs w:val="21"/>
              </w:rPr>
            </w:pPr>
          </w:p>
        </w:tc>
        <w:tc>
          <w:tcPr>
            <w:tcW w:w="1076" w:type="dxa"/>
            <w:vMerge w:val="continue"/>
            <w:vAlign w:val="center"/>
          </w:tcPr>
          <w:p w14:paraId="7DEB62D2">
            <w:pPr>
              <w:jc w:val="center"/>
              <w:rPr>
                <w:rFonts w:ascii="Times New Roman" w:eastAsia="仿宋"/>
                <w:szCs w:val="21"/>
              </w:rPr>
            </w:pPr>
          </w:p>
        </w:tc>
        <w:tc>
          <w:tcPr>
            <w:tcW w:w="1511" w:type="dxa"/>
            <w:vMerge w:val="continue"/>
            <w:vAlign w:val="center"/>
          </w:tcPr>
          <w:p w14:paraId="724E034E">
            <w:pPr>
              <w:jc w:val="center"/>
              <w:rPr>
                <w:rFonts w:ascii="Times New Roman" w:eastAsia="仿宋"/>
                <w:szCs w:val="21"/>
              </w:rPr>
            </w:pPr>
          </w:p>
        </w:tc>
        <w:tc>
          <w:tcPr>
            <w:tcW w:w="1087" w:type="dxa"/>
            <w:vAlign w:val="center"/>
          </w:tcPr>
          <w:p w14:paraId="08677BB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275056D2">
            <w:pPr>
              <w:jc w:val="center"/>
              <w:rPr>
                <w:rFonts w:ascii="Times New Roman" w:eastAsia="仿宋"/>
                <w:szCs w:val="21"/>
              </w:rPr>
            </w:pPr>
            <w:r>
              <w:rPr>
                <w:rFonts w:hint="eastAsia" w:ascii="Times New Roman" w:eastAsia="仿宋"/>
                <w:szCs w:val="21"/>
              </w:rPr>
              <w:t>1</w:t>
            </w:r>
            <w:r>
              <w:rPr>
                <w:rFonts w:ascii="Times New Roman" w:eastAsia="仿宋"/>
                <w:szCs w:val="21"/>
              </w:rPr>
              <w:t>4.61</w:t>
            </w:r>
          </w:p>
        </w:tc>
        <w:tc>
          <w:tcPr>
            <w:tcW w:w="1021" w:type="dxa"/>
            <w:vMerge w:val="continue"/>
            <w:vAlign w:val="center"/>
          </w:tcPr>
          <w:p w14:paraId="11B2F0A2">
            <w:pPr>
              <w:jc w:val="center"/>
              <w:rPr>
                <w:rFonts w:ascii="Times New Roman" w:eastAsia="仿宋"/>
                <w:szCs w:val="21"/>
              </w:rPr>
            </w:pPr>
          </w:p>
        </w:tc>
        <w:tc>
          <w:tcPr>
            <w:tcW w:w="1109" w:type="dxa"/>
            <w:vAlign w:val="center"/>
          </w:tcPr>
          <w:p w14:paraId="6AE2C017">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109" w:type="dxa"/>
            <w:vAlign w:val="center"/>
          </w:tcPr>
          <w:p w14:paraId="56C6A7D6">
            <w:pPr>
              <w:jc w:val="center"/>
              <w:rPr>
                <w:rFonts w:ascii="Times New Roman" w:eastAsia="仿宋"/>
                <w:szCs w:val="21"/>
              </w:rPr>
            </w:pPr>
            <w:r>
              <w:rPr>
                <w:rFonts w:hint="eastAsia" w:ascii="Times New Roman" w:eastAsia="仿宋"/>
                <w:szCs w:val="21"/>
              </w:rPr>
              <w:t>0.08</w:t>
            </w:r>
          </w:p>
        </w:tc>
        <w:tc>
          <w:tcPr>
            <w:tcW w:w="924" w:type="dxa"/>
            <w:vMerge w:val="continue"/>
            <w:vAlign w:val="center"/>
          </w:tcPr>
          <w:p w14:paraId="3085C990">
            <w:pPr>
              <w:jc w:val="center"/>
              <w:rPr>
                <w:rFonts w:ascii="Times New Roman" w:eastAsia="仿宋"/>
                <w:szCs w:val="21"/>
              </w:rPr>
            </w:pPr>
          </w:p>
        </w:tc>
      </w:tr>
      <w:tr w14:paraId="3DD1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7C442EF5">
            <w:pPr>
              <w:jc w:val="center"/>
              <w:rPr>
                <w:rFonts w:ascii="Times New Roman" w:eastAsia="仿宋"/>
                <w:szCs w:val="21"/>
              </w:rPr>
            </w:pPr>
          </w:p>
        </w:tc>
        <w:tc>
          <w:tcPr>
            <w:tcW w:w="1076" w:type="dxa"/>
            <w:vMerge w:val="continue"/>
            <w:vAlign w:val="center"/>
          </w:tcPr>
          <w:p w14:paraId="6E1AB20E">
            <w:pPr>
              <w:jc w:val="center"/>
              <w:rPr>
                <w:rFonts w:ascii="Times New Roman" w:eastAsia="仿宋"/>
                <w:szCs w:val="21"/>
              </w:rPr>
            </w:pPr>
          </w:p>
        </w:tc>
        <w:tc>
          <w:tcPr>
            <w:tcW w:w="1511" w:type="dxa"/>
            <w:vMerge w:val="continue"/>
            <w:vAlign w:val="center"/>
          </w:tcPr>
          <w:p w14:paraId="5EE55108">
            <w:pPr>
              <w:jc w:val="center"/>
              <w:rPr>
                <w:rFonts w:ascii="Times New Roman" w:eastAsia="仿宋"/>
                <w:szCs w:val="21"/>
              </w:rPr>
            </w:pPr>
          </w:p>
        </w:tc>
        <w:tc>
          <w:tcPr>
            <w:tcW w:w="1087" w:type="dxa"/>
            <w:vAlign w:val="center"/>
          </w:tcPr>
          <w:p w14:paraId="728AEDCD">
            <w:pPr>
              <w:jc w:val="center"/>
              <w:rPr>
                <w:rFonts w:ascii="Times New Roman" w:eastAsia="仿宋"/>
                <w:szCs w:val="21"/>
              </w:rPr>
            </w:pPr>
            <w:r>
              <w:rPr>
                <w:rFonts w:hint="eastAsia" w:ascii="Times New Roman" w:eastAsia="仿宋"/>
                <w:szCs w:val="21"/>
              </w:rPr>
              <w:t>二甲苯</w:t>
            </w:r>
          </w:p>
        </w:tc>
        <w:tc>
          <w:tcPr>
            <w:tcW w:w="1129" w:type="dxa"/>
            <w:vAlign w:val="center"/>
          </w:tcPr>
          <w:p w14:paraId="01F05353">
            <w:pPr>
              <w:jc w:val="center"/>
              <w:rPr>
                <w:rFonts w:ascii="Times New Roman" w:eastAsia="仿宋"/>
                <w:szCs w:val="21"/>
              </w:rPr>
            </w:pPr>
            <w:r>
              <w:rPr>
                <w:rFonts w:hint="eastAsia" w:ascii="Times New Roman" w:eastAsia="仿宋"/>
                <w:szCs w:val="21"/>
              </w:rPr>
              <w:t>4</w:t>
            </w:r>
            <w:r>
              <w:rPr>
                <w:rFonts w:ascii="Times New Roman" w:eastAsia="仿宋"/>
                <w:szCs w:val="21"/>
              </w:rPr>
              <w:t>.23</w:t>
            </w:r>
          </w:p>
        </w:tc>
        <w:tc>
          <w:tcPr>
            <w:tcW w:w="1021" w:type="dxa"/>
            <w:vMerge w:val="continue"/>
            <w:vAlign w:val="center"/>
          </w:tcPr>
          <w:p w14:paraId="54304BFE">
            <w:pPr>
              <w:jc w:val="center"/>
              <w:rPr>
                <w:rFonts w:ascii="Times New Roman" w:eastAsia="仿宋"/>
                <w:szCs w:val="21"/>
              </w:rPr>
            </w:pPr>
          </w:p>
        </w:tc>
        <w:tc>
          <w:tcPr>
            <w:tcW w:w="1109" w:type="dxa"/>
            <w:vAlign w:val="center"/>
          </w:tcPr>
          <w:p w14:paraId="0E03F0A7">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109" w:type="dxa"/>
            <w:vAlign w:val="center"/>
          </w:tcPr>
          <w:p w14:paraId="52CB4CC7">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2</w:t>
            </w:r>
          </w:p>
        </w:tc>
        <w:tc>
          <w:tcPr>
            <w:tcW w:w="924" w:type="dxa"/>
            <w:vMerge w:val="continue"/>
            <w:vAlign w:val="center"/>
          </w:tcPr>
          <w:p w14:paraId="24C4DAA7">
            <w:pPr>
              <w:jc w:val="center"/>
              <w:rPr>
                <w:rFonts w:ascii="Times New Roman" w:eastAsia="仿宋"/>
                <w:szCs w:val="21"/>
              </w:rPr>
            </w:pPr>
          </w:p>
        </w:tc>
      </w:tr>
      <w:tr w14:paraId="6450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A7CB91E">
            <w:pPr>
              <w:jc w:val="center"/>
              <w:rPr>
                <w:rFonts w:ascii="Times New Roman" w:eastAsia="仿宋"/>
                <w:szCs w:val="21"/>
              </w:rPr>
            </w:pPr>
          </w:p>
        </w:tc>
        <w:tc>
          <w:tcPr>
            <w:tcW w:w="1076" w:type="dxa"/>
            <w:vMerge w:val="continue"/>
            <w:vAlign w:val="center"/>
          </w:tcPr>
          <w:p w14:paraId="480C22C4">
            <w:pPr>
              <w:jc w:val="center"/>
              <w:rPr>
                <w:rFonts w:ascii="Times New Roman" w:eastAsia="仿宋"/>
                <w:szCs w:val="21"/>
              </w:rPr>
            </w:pPr>
          </w:p>
        </w:tc>
        <w:tc>
          <w:tcPr>
            <w:tcW w:w="1511" w:type="dxa"/>
            <w:vMerge w:val="continue"/>
            <w:vAlign w:val="center"/>
          </w:tcPr>
          <w:p w14:paraId="3287C9AE">
            <w:pPr>
              <w:jc w:val="center"/>
              <w:rPr>
                <w:rFonts w:ascii="Times New Roman" w:eastAsia="仿宋"/>
                <w:szCs w:val="21"/>
              </w:rPr>
            </w:pPr>
          </w:p>
        </w:tc>
        <w:tc>
          <w:tcPr>
            <w:tcW w:w="1087" w:type="dxa"/>
            <w:vAlign w:val="center"/>
          </w:tcPr>
          <w:p w14:paraId="10748A2C">
            <w:pPr>
              <w:jc w:val="center"/>
              <w:rPr>
                <w:rFonts w:ascii="Times New Roman" w:eastAsia="仿宋"/>
                <w:szCs w:val="21"/>
              </w:rPr>
            </w:pPr>
            <w:r>
              <w:rPr>
                <w:rFonts w:hint="eastAsia" w:ascii="Times New Roman" w:eastAsia="仿宋"/>
                <w:szCs w:val="21"/>
              </w:rPr>
              <w:t>苯系物</w:t>
            </w:r>
          </w:p>
        </w:tc>
        <w:tc>
          <w:tcPr>
            <w:tcW w:w="1129" w:type="dxa"/>
            <w:vAlign w:val="center"/>
          </w:tcPr>
          <w:p w14:paraId="6E315BD8">
            <w:pPr>
              <w:jc w:val="center"/>
              <w:rPr>
                <w:rFonts w:ascii="Times New Roman" w:eastAsia="仿宋"/>
                <w:szCs w:val="21"/>
              </w:rPr>
            </w:pPr>
            <w:r>
              <w:rPr>
                <w:rFonts w:hint="eastAsia" w:ascii="Times New Roman" w:eastAsia="仿宋"/>
                <w:szCs w:val="21"/>
              </w:rPr>
              <w:t>4</w:t>
            </w:r>
            <w:r>
              <w:rPr>
                <w:rFonts w:ascii="Times New Roman" w:eastAsia="仿宋"/>
                <w:szCs w:val="21"/>
              </w:rPr>
              <w:t>.23</w:t>
            </w:r>
          </w:p>
        </w:tc>
        <w:tc>
          <w:tcPr>
            <w:tcW w:w="1021" w:type="dxa"/>
            <w:vMerge w:val="continue"/>
            <w:vAlign w:val="center"/>
          </w:tcPr>
          <w:p w14:paraId="7060CBB1">
            <w:pPr>
              <w:jc w:val="center"/>
              <w:rPr>
                <w:rFonts w:ascii="Times New Roman" w:eastAsia="仿宋"/>
                <w:szCs w:val="21"/>
              </w:rPr>
            </w:pPr>
          </w:p>
        </w:tc>
        <w:tc>
          <w:tcPr>
            <w:tcW w:w="1109" w:type="dxa"/>
            <w:vAlign w:val="center"/>
          </w:tcPr>
          <w:p w14:paraId="7F9C28A0">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109" w:type="dxa"/>
            <w:vAlign w:val="center"/>
          </w:tcPr>
          <w:p w14:paraId="3D6B1E17">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2</w:t>
            </w:r>
          </w:p>
        </w:tc>
        <w:tc>
          <w:tcPr>
            <w:tcW w:w="924" w:type="dxa"/>
            <w:vMerge w:val="continue"/>
            <w:vAlign w:val="center"/>
          </w:tcPr>
          <w:p w14:paraId="335BF7E0">
            <w:pPr>
              <w:jc w:val="center"/>
              <w:rPr>
                <w:rFonts w:ascii="Times New Roman" w:eastAsia="仿宋"/>
                <w:szCs w:val="21"/>
              </w:rPr>
            </w:pPr>
          </w:p>
        </w:tc>
      </w:tr>
      <w:tr w14:paraId="3A49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0539967B">
            <w:pPr>
              <w:jc w:val="center"/>
              <w:rPr>
                <w:rFonts w:ascii="Times New Roman" w:eastAsia="仿宋"/>
                <w:szCs w:val="21"/>
              </w:rPr>
            </w:pPr>
          </w:p>
        </w:tc>
        <w:tc>
          <w:tcPr>
            <w:tcW w:w="1076" w:type="dxa"/>
            <w:vMerge w:val="continue"/>
            <w:vAlign w:val="center"/>
          </w:tcPr>
          <w:p w14:paraId="5E21CCB3">
            <w:pPr>
              <w:jc w:val="center"/>
              <w:rPr>
                <w:rFonts w:ascii="Times New Roman" w:eastAsia="仿宋"/>
                <w:szCs w:val="21"/>
              </w:rPr>
            </w:pPr>
          </w:p>
        </w:tc>
        <w:tc>
          <w:tcPr>
            <w:tcW w:w="1511" w:type="dxa"/>
            <w:vMerge w:val="restart"/>
            <w:vAlign w:val="center"/>
          </w:tcPr>
          <w:p w14:paraId="22FAC37F">
            <w:pPr>
              <w:jc w:val="center"/>
              <w:rPr>
                <w:rFonts w:ascii="Times New Roman" w:eastAsia="仿宋"/>
                <w:szCs w:val="21"/>
              </w:rPr>
            </w:pPr>
            <w:r>
              <w:rPr>
                <w:rFonts w:hint="eastAsia" w:ascii="Times New Roman" w:eastAsia="仿宋"/>
                <w:szCs w:val="21"/>
              </w:rPr>
              <w:t>氟碳面漆烘干废气G</w:t>
            </w:r>
            <w:r>
              <w:rPr>
                <w:rFonts w:ascii="Times New Roman" w:eastAsia="仿宋"/>
                <w:szCs w:val="21"/>
              </w:rPr>
              <w:t>16</w:t>
            </w:r>
          </w:p>
        </w:tc>
        <w:tc>
          <w:tcPr>
            <w:tcW w:w="1087" w:type="dxa"/>
            <w:vAlign w:val="center"/>
          </w:tcPr>
          <w:p w14:paraId="173C7D99">
            <w:pPr>
              <w:jc w:val="center"/>
              <w:rPr>
                <w:rFonts w:ascii="Times New Roman" w:eastAsia="仿宋"/>
                <w:szCs w:val="21"/>
              </w:rPr>
            </w:pPr>
            <w:r>
              <w:rPr>
                <w:rFonts w:hint="eastAsia" w:ascii="Times New Roman" w:eastAsia="仿宋"/>
                <w:szCs w:val="21"/>
              </w:rPr>
              <w:t>非甲烷总烃</w:t>
            </w:r>
          </w:p>
        </w:tc>
        <w:tc>
          <w:tcPr>
            <w:tcW w:w="1129" w:type="dxa"/>
            <w:vAlign w:val="center"/>
          </w:tcPr>
          <w:p w14:paraId="13914FDD">
            <w:pPr>
              <w:jc w:val="center"/>
              <w:rPr>
                <w:rFonts w:ascii="Times New Roman" w:eastAsia="仿宋"/>
                <w:szCs w:val="21"/>
              </w:rPr>
            </w:pPr>
            <w:r>
              <w:rPr>
                <w:rFonts w:hint="eastAsia" w:ascii="Times New Roman" w:eastAsia="仿宋"/>
                <w:szCs w:val="21"/>
              </w:rPr>
              <w:t>2</w:t>
            </w:r>
            <w:r>
              <w:rPr>
                <w:rFonts w:ascii="Times New Roman" w:eastAsia="仿宋"/>
                <w:szCs w:val="21"/>
              </w:rPr>
              <w:t>4.06</w:t>
            </w:r>
          </w:p>
        </w:tc>
        <w:tc>
          <w:tcPr>
            <w:tcW w:w="1021" w:type="dxa"/>
            <w:vMerge w:val="restart"/>
            <w:vAlign w:val="center"/>
          </w:tcPr>
          <w:p w14:paraId="67DCDAD4">
            <w:pPr>
              <w:jc w:val="center"/>
              <w:rPr>
                <w:rFonts w:ascii="Times New Roman" w:eastAsia="仿宋"/>
                <w:szCs w:val="21"/>
              </w:rPr>
            </w:pPr>
            <w:r>
              <w:rPr>
                <w:rFonts w:hint="eastAsia" w:ascii="Times New Roman" w:eastAsia="仿宋"/>
                <w:szCs w:val="21"/>
              </w:rPr>
              <w:t>9</w:t>
            </w:r>
            <w:r>
              <w:rPr>
                <w:rFonts w:ascii="Times New Roman" w:eastAsia="仿宋"/>
                <w:szCs w:val="21"/>
              </w:rPr>
              <w:t>9</w:t>
            </w:r>
            <w:r>
              <w:rPr>
                <w:rFonts w:hint="eastAsia" w:ascii="Times New Roman" w:eastAsia="仿宋"/>
                <w:szCs w:val="21"/>
              </w:rPr>
              <w:t>.5</w:t>
            </w:r>
            <w:r>
              <w:rPr>
                <w:rFonts w:ascii="Times New Roman" w:eastAsia="仿宋"/>
                <w:szCs w:val="21"/>
              </w:rPr>
              <w:t>%</w:t>
            </w:r>
          </w:p>
        </w:tc>
        <w:tc>
          <w:tcPr>
            <w:tcW w:w="1109" w:type="dxa"/>
            <w:vAlign w:val="center"/>
          </w:tcPr>
          <w:p w14:paraId="25D6D20D">
            <w:pPr>
              <w:jc w:val="center"/>
              <w:rPr>
                <w:rFonts w:ascii="Times New Roman" w:eastAsia="仿宋"/>
                <w:szCs w:val="21"/>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109" w:type="dxa"/>
            <w:vAlign w:val="center"/>
          </w:tcPr>
          <w:p w14:paraId="2C09A843">
            <w:pPr>
              <w:jc w:val="center"/>
              <w:rPr>
                <w:rFonts w:ascii="Times New Roman" w:eastAsia="仿宋"/>
                <w:szCs w:val="21"/>
              </w:rPr>
            </w:pPr>
            <w:r>
              <w:rPr>
                <w:rFonts w:hint="eastAsia" w:ascii="Times New Roman" w:eastAsia="仿宋"/>
                <w:szCs w:val="21"/>
              </w:rPr>
              <w:t>0</w:t>
            </w:r>
            <w:r>
              <w:rPr>
                <w:rFonts w:ascii="Times New Roman" w:eastAsia="仿宋"/>
                <w:szCs w:val="21"/>
              </w:rPr>
              <w:t>.</w:t>
            </w:r>
            <w:r>
              <w:rPr>
                <w:rFonts w:hint="eastAsia" w:ascii="Times New Roman" w:eastAsia="仿宋"/>
                <w:szCs w:val="21"/>
              </w:rPr>
              <w:t>12</w:t>
            </w:r>
          </w:p>
        </w:tc>
        <w:tc>
          <w:tcPr>
            <w:tcW w:w="924" w:type="dxa"/>
            <w:vMerge w:val="continue"/>
            <w:vAlign w:val="center"/>
          </w:tcPr>
          <w:p w14:paraId="73C1BCBF">
            <w:pPr>
              <w:jc w:val="center"/>
              <w:rPr>
                <w:rFonts w:ascii="Times New Roman" w:eastAsia="仿宋"/>
                <w:szCs w:val="21"/>
              </w:rPr>
            </w:pPr>
          </w:p>
        </w:tc>
      </w:tr>
      <w:tr w14:paraId="22C7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6E114ECA">
            <w:pPr>
              <w:jc w:val="center"/>
              <w:rPr>
                <w:rFonts w:ascii="Times New Roman" w:eastAsia="仿宋"/>
                <w:szCs w:val="21"/>
              </w:rPr>
            </w:pPr>
          </w:p>
        </w:tc>
        <w:tc>
          <w:tcPr>
            <w:tcW w:w="1076" w:type="dxa"/>
            <w:vMerge w:val="continue"/>
            <w:vAlign w:val="center"/>
          </w:tcPr>
          <w:p w14:paraId="4495D371">
            <w:pPr>
              <w:jc w:val="center"/>
              <w:rPr>
                <w:rFonts w:ascii="Times New Roman" w:eastAsia="仿宋"/>
                <w:szCs w:val="21"/>
              </w:rPr>
            </w:pPr>
          </w:p>
        </w:tc>
        <w:tc>
          <w:tcPr>
            <w:tcW w:w="1511" w:type="dxa"/>
            <w:vMerge w:val="continue"/>
          </w:tcPr>
          <w:p w14:paraId="2F84A395">
            <w:pPr>
              <w:jc w:val="center"/>
              <w:rPr>
                <w:rFonts w:ascii="Times New Roman" w:eastAsia="仿宋"/>
                <w:szCs w:val="21"/>
              </w:rPr>
            </w:pPr>
          </w:p>
        </w:tc>
        <w:tc>
          <w:tcPr>
            <w:tcW w:w="1087" w:type="dxa"/>
            <w:vAlign w:val="center"/>
          </w:tcPr>
          <w:p w14:paraId="3A63CB18">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29" w:type="dxa"/>
            <w:vAlign w:val="center"/>
          </w:tcPr>
          <w:p w14:paraId="082B2F2D">
            <w:pPr>
              <w:jc w:val="center"/>
              <w:rPr>
                <w:rFonts w:ascii="Times New Roman" w:eastAsia="仿宋"/>
                <w:szCs w:val="21"/>
              </w:rPr>
            </w:pPr>
            <w:r>
              <w:rPr>
                <w:rFonts w:hint="eastAsia" w:ascii="Times New Roman" w:eastAsia="仿宋"/>
                <w:szCs w:val="21"/>
              </w:rPr>
              <w:t>2</w:t>
            </w:r>
            <w:r>
              <w:rPr>
                <w:rFonts w:ascii="Times New Roman" w:eastAsia="仿宋"/>
                <w:szCs w:val="21"/>
              </w:rPr>
              <w:t>4.06</w:t>
            </w:r>
          </w:p>
        </w:tc>
        <w:tc>
          <w:tcPr>
            <w:tcW w:w="1021" w:type="dxa"/>
            <w:vMerge w:val="continue"/>
            <w:vAlign w:val="center"/>
          </w:tcPr>
          <w:p w14:paraId="7E1AF1CE">
            <w:pPr>
              <w:jc w:val="center"/>
              <w:rPr>
                <w:rFonts w:ascii="Times New Roman" w:eastAsia="仿宋"/>
                <w:szCs w:val="21"/>
              </w:rPr>
            </w:pPr>
          </w:p>
        </w:tc>
        <w:tc>
          <w:tcPr>
            <w:tcW w:w="1109" w:type="dxa"/>
            <w:vAlign w:val="center"/>
          </w:tcPr>
          <w:p w14:paraId="1EC32A12">
            <w:pPr>
              <w:jc w:val="center"/>
              <w:rPr>
                <w:rFonts w:ascii="Times New Roman" w:eastAsia="仿宋"/>
                <w:szCs w:val="21"/>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109" w:type="dxa"/>
            <w:vAlign w:val="center"/>
          </w:tcPr>
          <w:p w14:paraId="1E9CE89F">
            <w:pPr>
              <w:jc w:val="center"/>
              <w:rPr>
                <w:rFonts w:ascii="Times New Roman" w:eastAsia="仿宋"/>
                <w:szCs w:val="21"/>
              </w:rPr>
            </w:pPr>
            <w:r>
              <w:rPr>
                <w:rFonts w:hint="eastAsia" w:ascii="Times New Roman" w:eastAsia="仿宋"/>
                <w:szCs w:val="21"/>
              </w:rPr>
              <w:t>0</w:t>
            </w:r>
            <w:r>
              <w:rPr>
                <w:rFonts w:ascii="Times New Roman" w:eastAsia="仿宋"/>
                <w:szCs w:val="21"/>
              </w:rPr>
              <w:t>.</w:t>
            </w:r>
            <w:r>
              <w:rPr>
                <w:rFonts w:hint="eastAsia" w:ascii="Times New Roman" w:eastAsia="仿宋"/>
                <w:szCs w:val="21"/>
              </w:rPr>
              <w:t>12</w:t>
            </w:r>
          </w:p>
        </w:tc>
        <w:tc>
          <w:tcPr>
            <w:tcW w:w="924" w:type="dxa"/>
            <w:vMerge w:val="continue"/>
            <w:vAlign w:val="center"/>
          </w:tcPr>
          <w:p w14:paraId="6A2F36CE">
            <w:pPr>
              <w:jc w:val="center"/>
              <w:rPr>
                <w:rFonts w:ascii="Times New Roman" w:eastAsia="仿宋"/>
                <w:szCs w:val="21"/>
              </w:rPr>
            </w:pPr>
          </w:p>
        </w:tc>
      </w:tr>
      <w:tr w14:paraId="0CFD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1D543B1E">
            <w:pPr>
              <w:jc w:val="center"/>
              <w:rPr>
                <w:rFonts w:ascii="Times New Roman" w:eastAsia="仿宋"/>
                <w:szCs w:val="21"/>
              </w:rPr>
            </w:pPr>
          </w:p>
        </w:tc>
        <w:tc>
          <w:tcPr>
            <w:tcW w:w="1076" w:type="dxa"/>
            <w:vMerge w:val="continue"/>
            <w:vAlign w:val="center"/>
          </w:tcPr>
          <w:p w14:paraId="3DF7EF29">
            <w:pPr>
              <w:jc w:val="center"/>
              <w:rPr>
                <w:rFonts w:ascii="Times New Roman" w:eastAsia="仿宋"/>
                <w:szCs w:val="21"/>
              </w:rPr>
            </w:pPr>
          </w:p>
        </w:tc>
        <w:tc>
          <w:tcPr>
            <w:tcW w:w="1511" w:type="dxa"/>
            <w:vMerge w:val="continue"/>
          </w:tcPr>
          <w:p w14:paraId="1C53D57A">
            <w:pPr>
              <w:jc w:val="center"/>
              <w:rPr>
                <w:rFonts w:ascii="Times New Roman" w:eastAsia="仿宋"/>
                <w:szCs w:val="21"/>
              </w:rPr>
            </w:pPr>
          </w:p>
        </w:tc>
        <w:tc>
          <w:tcPr>
            <w:tcW w:w="1087" w:type="dxa"/>
            <w:vAlign w:val="center"/>
          </w:tcPr>
          <w:p w14:paraId="09BBB481">
            <w:pPr>
              <w:jc w:val="center"/>
              <w:rPr>
                <w:rFonts w:ascii="Times New Roman" w:eastAsia="仿宋"/>
                <w:szCs w:val="21"/>
              </w:rPr>
            </w:pPr>
            <w:r>
              <w:rPr>
                <w:rFonts w:hint="eastAsia" w:ascii="Times New Roman" w:eastAsia="仿宋"/>
                <w:szCs w:val="21"/>
              </w:rPr>
              <w:t>二甲苯</w:t>
            </w:r>
          </w:p>
        </w:tc>
        <w:tc>
          <w:tcPr>
            <w:tcW w:w="1129" w:type="dxa"/>
            <w:vAlign w:val="center"/>
          </w:tcPr>
          <w:p w14:paraId="531D932A">
            <w:pPr>
              <w:jc w:val="center"/>
              <w:rPr>
                <w:rFonts w:ascii="Times New Roman" w:eastAsia="仿宋"/>
                <w:szCs w:val="21"/>
              </w:rPr>
            </w:pPr>
            <w:r>
              <w:rPr>
                <w:rFonts w:hint="eastAsia" w:ascii="Times New Roman" w:eastAsia="仿宋"/>
                <w:szCs w:val="21"/>
              </w:rPr>
              <w:t>5</w:t>
            </w:r>
            <w:r>
              <w:rPr>
                <w:rFonts w:ascii="Times New Roman" w:eastAsia="仿宋"/>
                <w:szCs w:val="21"/>
              </w:rPr>
              <w:t>.58</w:t>
            </w:r>
          </w:p>
        </w:tc>
        <w:tc>
          <w:tcPr>
            <w:tcW w:w="1021" w:type="dxa"/>
            <w:vMerge w:val="continue"/>
            <w:vAlign w:val="center"/>
          </w:tcPr>
          <w:p w14:paraId="7927B60C">
            <w:pPr>
              <w:jc w:val="center"/>
              <w:rPr>
                <w:rFonts w:ascii="Times New Roman" w:eastAsia="仿宋"/>
                <w:szCs w:val="21"/>
              </w:rPr>
            </w:pPr>
          </w:p>
        </w:tc>
        <w:tc>
          <w:tcPr>
            <w:tcW w:w="1109" w:type="dxa"/>
            <w:vAlign w:val="center"/>
          </w:tcPr>
          <w:p w14:paraId="5ACCDA70">
            <w:pPr>
              <w:jc w:val="center"/>
              <w:rPr>
                <w:rFonts w:ascii="Times New Roman" w:eastAsia="仿宋"/>
                <w:szCs w:val="21"/>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109" w:type="dxa"/>
            <w:vAlign w:val="center"/>
          </w:tcPr>
          <w:p w14:paraId="6BABA608">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3</w:t>
            </w:r>
          </w:p>
        </w:tc>
        <w:tc>
          <w:tcPr>
            <w:tcW w:w="924" w:type="dxa"/>
            <w:vMerge w:val="continue"/>
            <w:vAlign w:val="center"/>
          </w:tcPr>
          <w:p w14:paraId="493DD0D3">
            <w:pPr>
              <w:jc w:val="center"/>
              <w:rPr>
                <w:rFonts w:ascii="Times New Roman" w:eastAsia="仿宋"/>
                <w:szCs w:val="21"/>
              </w:rPr>
            </w:pPr>
          </w:p>
        </w:tc>
      </w:tr>
      <w:tr w14:paraId="08F9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94" w:type="dxa"/>
            <w:vMerge w:val="continue"/>
            <w:vAlign w:val="center"/>
          </w:tcPr>
          <w:p w14:paraId="5C00EF00">
            <w:pPr>
              <w:jc w:val="center"/>
              <w:rPr>
                <w:rFonts w:ascii="Times New Roman" w:eastAsia="仿宋"/>
                <w:szCs w:val="21"/>
              </w:rPr>
            </w:pPr>
          </w:p>
        </w:tc>
        <w:tc>
          <w:tcPr>
            <w:tcW w:w="1076" w:type="dxa"/>
            <w:vMerge w:val="continue"/>
            <w:vAlign w:val="center"/>
          </w:tcPr>
          <w:p w14:paraId="668862B3">
            <w:pPr>
              <w:jc w:val="center"/>
              <w:rPr>
                <w:rFonts w:ascii="Times New Roman" w:eastAsia="仿宋"/>
                <w:szCs w:val="21"/>
              </w:rPr>
            </w:pPr>
          </w:p>
        </w:tc>
        <w:tc>
          <w:tcPr>
            <w:tcW w:w="1511" w:type="dxa"/>
            <w:vMerge w:val="continue"/>
          </w:tcPr>
          <w:p w14:paraId="0753342E">
            <w:pPr>
              <w:jc w:val="center"/>
              <w:rPr>
                <w:rFonts w:ascii="Times New Roman" w:eastAsia="仿宋"/>
                <w:szCs w:val="21"/>
              </w:rPr>
            </w:pPr>
          </w:p>
        </w:tc>
        <w:tc>
          <w:tcPr>
            <w:tcW w:w="1087" w:type="dxa"/>
            <w:vAlign w:val="center"/>
          </w:tcPr>
          <w:p w14:paraId="5FC486F4">
            <w:pPr>
              <w:jc w:val="center"/>
              <w:rPr>
                <w:rFonts w:ascii="Times New Roman" w:eastAsia="仿宋"/>
                <w:szCs w:val="21"/>
              </w:rPr>
            </w:pPr>
            <w:r>
              <w:rPr>
                <w:rFonts w:hint="eastAsia" w:ascii="Times New Roman" w:eastAsia="仿宋"/>
                <w:szCs w:val="21"/>
              </w:rPr>
              <w:t>苯系物</w:t>
            </w:r>
          </w:p>
        </w:tc>
        <w:tc>
          <w:tcPr>
            <w:tcW w:w="1129" w:type="dxa"/>
            <w:vAlign w:val="center"/>
          </w:tcPr>
          <w:p w14:paraId="4A307B39">
            <w:pPr>
              <w:jc w:val="center"/>
              <w:rPr>
                <w:rFonts w:ascii="Times New Roman" w:eastAsia="仿宋"/>
                <w:szCs w:val="21"/>
              </w:rPr>
            </w:pPr>
            <w:r>
              <w:rPr>
                <w:rFonts w:hint="eastAsia" w:ascii="Times New Roman" w:eastAsia="仿宋"/>
                <w:szCs w:val="21"/>
              </w:rPr>
              <w:t>5</w:t>
            </w:r>
            <w:r>
              <w:rPr>
                <w:rFonts w:ascii="Times New Roman" w:eastAsia="仿宋"/>
                <w:szCs w:val="21"/>
              </w:rPr>
              <w:t>.58</w:t>
            </w:r>
          </w:p>
        </w:tc>
        <w:tc>
          <w:tcPr>
            <w:tcW w:w="1021" w:type="dxa"/>
            <w:vMerge w:val="continue"/>
            <w:vAlign w:val="center"/>
          </w:tcPr>
          <w:p w14:paraId="230DC0FF">
            <w:pPr>
              <w:jc w:val="center"/>
              <w:rPr>
                <w:rFonts w:ascii="Times New Roman" w:eastAsia="仿宋"/>
                <w:szCs w:val="21"/>
              </w:rPr>
            </w:pPr>
          </w:p>
        </w:tc>
        <w:tc>
          <w:tcPr>
            <w:tcW w:w="1109" w:type="dxa"/>
            <w:vAlign w:val="center"/>
          </w:tcPr>
          <w:p w14:paraId="60B9C9C2">
            <w:pPr>
              <w:jc w:val="center"/>
              <w:rPr>
                <w:rFonts w:ascii="Times New Roman" w:eastAsia="仿宋"/>
                <w:szCs w:val="21"/>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109" w:type="dxa"/>
            <w:vAlign w:val="center"/>
          </w:tcPr>
          <w:p w14:paraId="358505CA">
            <w:pPr>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3</w:t>
            </w:r>
          </w:p>
        </w:tc>
        <w:tc>
          <w:tcPr>
            <w:tcW w:w="924" w:type="dxa"/>
            <w:vMerge w:val="continue"/>
            <w:vAlign w:val="center"/>
          </w:tcPr>
          <w:p w14:paraId="737025DC">
            <w:pPr>
              <w:tabs>
                <w:tab w:val="center" w:pos="4156"/>
                <w:tab w:val="left" w:pos="6375"/>
              </w:tabs>
              <w:jc w:val="center"/>
              <w:rPr>
                <w:bCs/>
                <w:sz w:val="21"/>
                <w:szCs w:val="21"/>
              </w:rPr>
            </w:pPr>
          </w:p>
        </w:tc>
      </w:tr>
    </w:tbl>
    <w:p w14:paraId="65434A8E">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12</w:t>
      </w:r>
      <w:r>
        <w:rPr>
          <w:rFonts w:hint="eastAsia" w:ascii="Times New Roman" w:eastAsia="仿宋"/>
          <w:sz w:val="28"/>
          <w:szCs w:val="28"/>
        </w:rPr>
        <w:t>）喷枪清洗废气G</w:t>
      </w:r>
      <w:r>
        <w:rPr>
          <w:rFonts w:ascii="Times New Roman" w:eastAsia="仿宋"/>
          <w:sz w:val="28"/>
          <w:szCs w:val="28"/>
        </w:rPr>
        <w:t>18</w:t>
      </w:r>
    </w:p>
    <w:p w14:paraId="6B6BAC48">
      <w:pPr>
        <w:spacing w:line="500" w:lineRule="exact"/>
        <w:ind w:firstLine="560" w:firstLineChars="200"/>
        <w:rPr>
          <w:rFonts w:ascii="Times New Roman" w:eastAsia="仿宋"/>
          <w:sz w:val="28"/>
          <w:szCs w:val="28"/>
        </w:rPr>
      </w:pPr>
      <w:r>
        <w:rPr>
          <w:rFonts w:ascii="Times New Roman" w:eastAsia="仿宋"/>
          <w:sz w:val="28"/>
          <w:szCs w:val="28"/>
        </w:rPr>
        <w:t>本项目喷枪需定期清洗，以防油漆堵塞枪嘴，油性氟碳底漆、氟碳面漆采用稀释剂进行清洗，根据企业提供资料，本项目氟碳底漆、面漆喷枪清洗需使用稀释剂5t/a，清洗过程约10%挥发形成有机废气，则面漆室喷枪清洗废气为0.5t/a。</w:t>
      </w:r>
    </w:p>
    <w:p w14:paraId="313FDBDC">
      <w:pPr>
        <w:spacing w:line="500" w:lineRule="exact"/>
        <w:ind w:firstLine="560" w:firstLineChars="200"/>
        <w:rPr>
          <w:rFonts w:ascii="Times New Roman" w:eastAsia="仿宋"/>
          <w:sz w:val="28"/>
          <w:szCs w:val="28"/>
        </w:rPr>
      </w:pPr>
      <w:r>
        <w:rPr>
          <w:rFonts w:ascii="Times New Roman" w:eastAsia="仿宋"/>
          <w:sz w:val="28"/>
          <w:szCs w:val="28"/>
        </w:rPr>
        <w:t>喷枪清洗在密闭的面漆室内进行，</w:t>
      </w:r>
      <w:r>
        <w:rPr>
          <w:rFonts w:ascii="Times New Roman" w:eastAsia="仿宋"/>
          <w:kern w:val="2"/>
          <w:sz w:val="28"/>
          <w:szCs w:val="28"/>
          <w:lang w:bidi="ar"/>
        </w:rPr>
        <w:t>废气捕集率以9</w:t>
      </w:r>
      <w:r>
        <w:rPr>
          <w:rFonts w:hint="eastAsia" w:ascii="Times New Roman" w:eastAsia="仿宋"/>
          <w:kern w:val="2"/>
          <w:sz w:val="28"/>
          <w:szCs w:val="28"/>
          <w:lang w:bidi="ar"/>
        </w:rPr>
        <w:t>9.5</w:t>
      </w:r>
      <w:r>
        <w:rPr>
          <w:rFonts w:ascii="Times New Roman" w:eastAsia="仿宋"/>
          <w:kern w:val="2"/>
          <w:sz w:val="28"/>
          <w:szCs w:val="28"/>
          <w:lang w:bidi="ar"/>
        </w:rPr>
        <w:t>%计，则有组织产生量为非甲烷总烃0.49t/a</w:t>
      </w:r>
      <w:r>
        <w:rPr>
          <w:rFonts w:ascii="Times New Roman" w:eastAsia="仿宋"/>
          <w:sz w:val="28"/>
          <w:szCs w:val="28"/>
        </w:rPr>
        <w:t>。</w:t>
      </w:r>
    </w:p>
    <w:p w14:paraId="371DD940">
      <w:pPr>
        <w:pStyle w:val="203"/>
        <w:spacing w:before="48" w:line="500" w:lineRule="exact"/>
        <w:ind w:firstLine="560"/>
        <w:rPr>
          <w:rFonts w:eastAsia="仿宋"/>
          <w:sz w:val="28"/>
          <w:szCs w:val="28"/>
        </w:rPr>
      </w:pPr>
      <w:r>
        <w:rPr>
          <w:rFonts w:hint="eastAsia" w:eastAsia="仿宋"/>
          <w:sz w:val="28"/>
          <w:szCs w:val="28"/>
        </w:rPr>
        <w:t>（1</w:t>
      </w:r>
      <w:r>
        <w:rPr>
          <w:rFonts w:eastAsia="仿宋"/>
          <w:sz w:val="28"/>
          <w:szCs w:val="28"/>
        </w:rPr>
        <w:t>3</w:t>
      </w:r>
      <w:r>
        <w:rPr>
          <w:rFonts w:hint="eastAsia" w:eastAsia="仿宋"/>
          <w:sz w:val="28"/>
          <w:szCs w:val="28"/>
        </w:rPr>
        <w:t>）危废仓库贮存废气</w:t>
      </w:r>
    </w:p>
    <w:p w14:paraId="7CCAB111">
      <w:pPr>
        <w:pStyle w:val="203"/>
        <w:spacing w:before="48" w:line="500" w:lineRule="exact"/>
        <w:ind w:firstLine="560"/>
        <w:rPr>
          <w:rFonts w:eastAsia="仿宋_GB2312"/>
          <w:sz w:val="28"/>
          <w:szCs w:val="28"/>
        </w:rPr>
      </w:pPr>
      <w:r>
        <w:rPr>
          <w:rFonts w:hint="eastAsia" w:eastAsia="仿宋"/>
          <w:sz w:val="28"/>
          <w:szCs w:val="28"/>
        </w:rPr>
        <w:t>危废仓库内储存的含VOCs危险废物包括沾染油漆废手套、废活性炭、废包装桶等，通过加盖密闭储存，储存过程会有少量有机废气产生，本环评不做定量估算</w:t>
      </w:r>
      <w:r>
        <w:rPr>
          <w:rFonts w:hint="eastAsia" w:eastAsia="仿宋_GB2312"/>
          <w:sz w:val="28"/>
          <w:szCs w:val="28"/>
        </w:rPr>
        <w:t>。</w:t>
      </w:r>
    </w:p>
    <w:p w14:paraId="50DDCF04">
      <w:pPr>
        <w:spacing w:line="500" w:lineRule="exact"/>
        <w:ind w:firstLine="560" w:firstLineChars="200"/>
        <w:rPr>
          <w:rFonts w:ascii="Times New Roman" w:eastAsia="仿宋"/>
          <w:sz w:val="28"/>
          <w:szCs w:val="28"/>
        </w:rPr>
      </w:pPr>
      <w:r>
        <w:rPr>
          <w:rFonts w:ascii="Times New Roman" w:eastAsia="仿宋"/>
          <w:sz w:val="28"/>
          <w:szCs w:val="28"/>
        </w:rPr>
        <w:t>本项目产生无组织废气</w:t>
      </w:r>
      <w:r>
        <w:rPr>
          <w:rFonts w:hint="eastAsia" w:ascii="Times New Roman" w:eastAsia="仿宋"/>
          <w:sz w:val="28"/>
          <w:szCs w:val="28"/>
        </w:rPr>
        <w:t>情况如下</w:t>
      </w:r>
      <w:r>
        <w:rPr>
          <w:rFonts w:ascii="Times New Roman" w:eastAsia="仿宋"/>
          <w:sz w:val="28"/>
          <w:szCs w:val="28"/>
        </w:rPr>
        <w:t>：</w:t>
      </w:r>
    </w:p>
    <w:p w14:paraId="03043F1E">
      <w:pPr>
        <w:spacing w:line="500" w:lineRule="exact"/>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焊接烟尘G1</w:t>
      </w:r>
    </w:p>
    <w:p w14:paraId="6052CA5C">
      <w:pPr>
        <w:spacing w:line="500" w:lineRule="exact"/>
        <w:ind w:firstLine="560" w:firstLineChars="200"/>
        <w:rPr>
          <w:rFonts w:ascii="Times New Roman" w:eastAsia="仿宋"/>
          <w:sz w:val="28"/>
          <w:szCs w:val="28"/>
        </w:rPr>
      </w:pPr>
      <w:r>
        <w:rPr>
          <w:rFonts w:hint="eastAsia" w:ascii="Times New Roman" w:eastAsia="仿宋"/>
          <w:sz w:val="28"/>
          <w:szCs w:val="28"/>
        </w:rPr>
        <w:t>本项目焊接时产生烟尘，</w:t>
      </w:r>
      <w:r>
        <w:rPr>
          <w:rFonts w:ascii="Times New Roman" w:eastAsia="仿宋"/>
          <w:sz w:val="28"/>
          <w:szCs w:val="28"/>
        </w:rPr>
        <w:t>根据《</w:t>
      </w:r>
      <w:r>
        <w:rPr>
          <w:rFonts w:hint="eastAsia" w:ascii="Times New Roman" w:eastAsia="仿宋"/>
          <w:sz w:val="28"/>
          <w:szCs w:val="28"/>
        </w:rPr>
        <w:t>排放源</w:t>
      </w:r>
      <w:r>
        <w:rPr>
          <w:rFonts w:ascii="Times New Roman" w:eastAsia="仿宋"/>
          <w:sz w:val="28"/>
          <w:szCs w:val="28"/>
        </w:rPr>
        <w:t>统计</w:t>
      </w:r>
      <w:r>
        <w:rPr>
          <w:rFonts w:hint="eastAsia" w:ascii="Times New Roman" w:eastAsia="仿宋"/>
          <w:sz w:val="28"/>
          <w:szCs w:val="28"/>
        </w:rPr>
        <w:t>调查产排污核算</w:t>
      </w:r>
      <w:r>
        <w:rPr>
          <w:rFonts w:ascii="Times New Roman" w:eastAsia="仿宋"/>
          <w:sz w:val="28"/>
          <w:szCs w:val="28"/>
        </w:rPr>
        <w:t>方法</w:t>
      </w:r>
      <w:r>
        <w:rPr>
          <w:rFonts w:hint="eastAsia" w:ascii="Times New Roman" w:eastAsia="仿宋"/>
          <w:sz w:val="28"/>
          <w:szCs w:val="28"/>
        </w:rPr>
        <w:t>和</w:t>
      </w:r>
      <w:r>
        <w:rPr>
          <w:rFonts w:ascii="Times New Roman" w:eastAsia="仿宋"/>
          <w:sz w:val="28"/>
          <w:szCs w:val="28"/>
        </w:rPr>
        <w:t>系数手册》(</w:t>
      </w:r>
      <w:r>
        <w:rPr>
          <w:rFonts w:hint="eastAsia" w:ascii="Times New Roman" w:eastAsia="仿宋"/>
          <w:sz w:val="28"/>
          <w:szCs w:val="28"/>
        </w:rPr>
        <w:t>环境</w:t>
      </w:r>
      <w:r>
        <w:rPr>
          <w:rFonts w:ascii="Times New Roman" w:eastAsia="仿宋"/>
          <w:sz w:val="28"/>
          <w:szCs w:val="28"/>
        </w:rPr>
        <w:t>部</w:t>
      </w:r>
      <w:r>
        <w:rPr>
          <w:rFonts w:hint="eastAsia" w:ascii="Times New Roman" w:eastAsia="仿宋"/>
          <w:sz w:val="28"/>
          <w:szCs w:val="28"/>
        </w:rPr>
        <w:t>公告2021年第24号</w:t>
      </w:r>
      <w:r>
        <w:rPr>
          <w:rFonts w:ascii="Times New Roman" w:eastAsia="仿宋"/>
          <w:sz w:val="28"/>
          <w:szCs w:val="28"/>
        </w:rPr>
        <w:t>)中33-37</w:t>
      </w:r>
      <w:r>
        <w:rPr>
          <w:rFonts w:hint="eastAsia" w:ascii="Times New Roman" w:eastAsia="仿宋"/>
          <w:sz w:val="28"/>
          <w:szCs w:val="28"/>
        </w:rPr>
        <w:t>机械行业</w:t>
      </w:r>
      <w:r>
        <w:rPr>
          <w:rFonts w:ascii="Times New Roman" w:eastAsia="仿宋"/>
          <w:sz w:val="28"/>
          <w:szCs w:val="28"/>
        </w:rPr>
        <w:t>系数手册</w:t>
      </w:r>
      <w:r>
        <w:rPr>
          <w:rFonts w:hint="eastAsia" w:ascii="Times New Roman" w:eastAsia="仿宋"/>
          <w:sz w:val="28"/>
          <w:szCs w:val="28"/>
        </w:rPr>
        <w:t>，使用实芯</w:t>
      </w:r>
      <w:r>
        <w:rPr>
          <w:rFonts w:ascii="Times New Roman" w:eastAsia="仿宋"/>
          <w:sz w:val="28"/>
          <w:szCs w:val="28"/>
        </w:rPr>
        <w:t>焊丝</w:t>
      </w:r>
      <w:r>
        <w:rPr>
          <w:rFonts w:hint="eastAsia" w:ascii="Times New Roman" w:eastAsia="仿宋"/>
          <w:sz w:val="28"/>
          <w:szCs w:val="28"/>
        </w:rPr>
        <w:t>时，</w:t>
      </w:r>
      <w:r>
        <w:rPr>
          <w:rFonts w:ascii="Times New Roman" w:eastAsia="仿宋"/>
          <w:sz w:val="28"/>
          <w:szCs w:val="28"/>
        </w:rPr>
        <w:t>颗粒物产生系数为</w:t>
      </w:r>
      <w:r>
        <w:rPr>
          <w:rFonts w:hint="eastAsia" w:ascii="Times New Roman" w:eastAsia="仿宋"/>
          <w:sz w:val="28"/>
          <w:szCs w:val="28"/>
        </w:rPr>
        <w:t>9.19</w:t>
      </w:r>
      <w:r>
        <w:rPr>
          <w:rFonts w:ascii="Times New Roman" w:eastAsia="仿宋"/>
          <w:sz w:val="28"/>
          <w:szCs w:val="28"/>
        </w:rPr>
        <w:t>kg/t</w:t>
      </w:r>
      <w:r>
        <w:rPr>
          <w:rFonts w:hint="eastAsia" w:ascii="Times New Roman" w:eastAsia="仿宋"/>
          <w:sz w:val="28"/>
          <w:szCs w:val="28"/>
        </w:rPr>
        <w:t>原料，</w:t>
      </w:r>
      <w:r>
        <w:rPr>
          <w:rFonts w:ascii="Times New Roman" w:eastAsia="仿宋"/>
          <w:sz w:val="28"/>
          <w:szCs w:val="28"/>
        </w:rPr>
        <w:t>因此</w:t>
      </w:r>
      <w:r>
        <w:rPr>
          <w:rFonts w:hint="eastAsia" w:ascii="Times New Roman" w:eastAsia="仿宋"/>
          <w:sz w:val="28"/>
          <w:szCs w:val="28"/>
        </w:rPr>
        <w:t>焊接</w:t>
      </w:r>
      <w:r>
        <w:rPr>
          <w:rFonts w:ascii="Times New Roman" w:eastAsia="仿宋"/>
          <w:sz w:val="28"/>
          <w:szCs w:val="28"/>
        </w:rPr>
        <w:t>烟尘</w:t>
      </w:r>
      <w:r>
        <w:rPr>
          <w:rFonts w:hint="eastAsia" w:ascii="Times New Roman" w:eastAsia="仿宋"/>
          <w:sz w:val="28"/>
          <w:szCs w:val="28"/>
        </w:rPr>
        <w:t>G1为</w:t>
      </w:r>
      <w:r>
        <w:rPr>
          <w:rFonts w:ascii="Times New Roman" w:eastAsia="仿宋"/>
          <w:sz w:val="28"/>
          <w:szCs w:val="28"/>
        </w:rPr>
        <w:t>0.05</w:t>
      </w:r>
      <w:r>
        <w:rPr>
          <w:rFonts w:hint="eastAsia" w:ascii="Times New Roman" w:eastAsia="仿宋"/>
          <w:sz w:val="28"/>
          <w:szCs w:val="28"/>
        </w:rPr>
        <w:t>t</w:t>
      </w:r>
      <w:r>
        <w:rPr>
          <w:rFonts w:ascii="Times New Roman" w:eastAsia="仿宋"/>
          <w:sz w:val="28"/>
          <w:szCs w:val="28"/>
        </w:rPr>
        <w:t>/a</w:t>
      </w:r>
      <w:r>
        <w:rPr>
          <w:rFonts w:hint="eastAsia" w:ascii="Times New Roman" w:eastAsia="仿宋"/>
          <w:sz w:val="28"/>
          <w:szCs w:val="28"/>
        </w:rPr>
        <w:t>。焊接烟尘采用移动式除尘器处理后于车间内无组织排放，移动式除尘器收集效率为6</w:t>
      </w:r>
      <w:r>
        <w:rPr>
          <w:rFonts w:ascii="Times New Roman" w:eastAsia="仿宋"/>
          <w:sz w:val="28"/>
          <w:szCs w:val="28"/>
        </w:rPr>
        <w:t>0%</w:t>
      </w:r>
      <w:r>
        <w:rPr>
          <w:rFonts w:hint="eastAsia" w:ascii="Times New Roman" w:eastAsia="仿宋"/>
          <w:sz w:val="28"/>
          <w:szCs w:val="28"/>
        </w:rPr>
        <w:t>，处理效率为</w:t>
      </w:r>
      <w:r>
        <w:rPr>
          <w:rFonts w:ascii="Times New Roman" w:eastAsia="仿宋"/>
          <w:sz w:val="28"/>
          <w:szCs w:val="28"/>
        </w:rPr>
        <w:t>80%</w:t>
      </w:r>
      <w:r>
        <w:rPr>
          <w:rFonts w:hint="eastAsia" w:ascii="Times New Roman" w:eastAsia="仿宋"/>
          <w:sz w:val="28"/>
          <w:szCs w:val="28"/>
        </w:rPr>
        <w:t>，则无组织排放量为0</w:t>
      </w:r>
      <w:r>
        <w:rPr>
          <w:rFonts w:ascii="Times New Roman" w:eastAsia="仿宋"/>
          <w:sz w:val="28"/>
          <w:szCs w:val="28"/>
        </w:rPr>
        <w:t>.026</w:t>
      </w:r>
      <w:r>
        <w:rPr>
          <w:rFonts w:hint="eastAsia" w:ascii="Times New Roman" w:eastAsia="仿宋"/>
          <w:sz w:val="28"/>
          <w:szCs w:val="28"/>
        </w:rPr>
        <w:t>t</w:t>
      </w:r>
      <w:r>
        <w:rPr>
          <w:rFonts w:ascii="Times New Roman" w:eastAsia="仿宋"/>
          <w:sz w:val="28"/>
          <w:szCs w:val="28"/>
        </w:rPr>
        <w:t>/a</w:t>
      </w:r>
      <w:r>
        <w:rPr>
          <w:rFonts w:hint="eastAsia" w:ascii="Times New Roman" w:eastAsia="仿宋"/>
          <w:sz w:val="28"/>
          <w:szCs w:val="28"/>
        </w:rPr>
        <w:t>。1号钣金车间共有氩弧焊机6台，2号钣金车间共有焊机4台，4号钣金车间共有焊机6台，则1号钣金车间烟尘无组织排放量0.01t/a，2号钣金车间烟尘无组织排放量0.006t/a，则4号钣金车间烟尘无组织排放量0.01t/a，</w:t>
      </w:r>
      <w:r>
        <w:rPr>
          <w:rFonts w:ascii="Times New Roman" w:eastAsia="仿宋"/>
          <w:sz w:val="28"/>
          <w:szCs w:val="28"/>
        </w:rPr>
        <w:t>其中锡及其化合物产生量小，不进行定量分析</w:t>
      </w:r>
      <w:r>
        <w:rPr>
          <w:rFonts w:hint="eastAsia" w:ascii="Times New Roman" w:eastAsia="仿宋"/>
          <w:sz w:val="28"/>
          <w:szCs w:val="28"/>
        </w:rPr>
        <w:t>。</w:t>
      </w:r>
    </w:p>
    <w:p w14:paraId="0F7C53C5">
      <w:pPr>
        <w:spacing w:line="500" w:lineRule="exact"/>
        <w:ind w:firstLine="560" w:firstLineChars="200"/>
        <w:rPr>
          <w:rFonts w:ascii="Times New Roman" w:eastAsia="仿宋"/>
          <w:sz w:val="28"/>
          <w:szCs w:val="28"/>
        </w:rPr>
      </w:pPr>
      <w:r>
        <w:rPr>
          <w:rFonts w:hint="eastAsia" w:ascii="Times New Roman" w:eastAsia="仿宋"/>
          <w:sz w:val="28"/>
          <w:szCs w:val="28"/>
        </w:rPr>
        <w:t>（2）未捕集到的机加工粉尘G2</w:t>
      </w:r>
    </w:p>
    <w:p w14:paraId="4FB9F6F9">
      <w:pPr>
        <w:spacing w:line="500" w:lineRule="exact"/>
        <w:ind w:firstLine="560" w:firstLineChars="200"/>
        <w:rPr>
          <w:rFonts w:ascii="Times New Roman" w:eastAsia="仿宋"/>
          <w:sz w:val="28"/>
          <w:szCs w:val="28"/>
        </w:rPr>
      </w:pPr>
      <w:r>
        <w:rPr>
          <w:rFonts w:hint="eastAsia" w:ascii="Times New Roman" w:eastAsia="仿宋"/>
          <w:sz w:val="28"/>
          <w:szCs w:val="28"/>
        </w:rPr>
        <w:t>本项目打磨粉尘通过密闭管道收集，收集效率为98%，则无组织粉尘产生量为0.148t/a。</w:t>
      </w:r>
    </w:p>
    <w:p w14:paraId="636A525A">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）未捕集到的钝化废气G4</w:t>
      </w:r>
    </w:p>
    <w:p w14:paraId="3CA2F94F">
      <w:pPr>
        <w:spacing w:line="500" w:lineRule="exact"/>
        <w:ind w:firstLine="560" w:firstLineChars="200"/>
        <w:rPr>
          <w:rFonts w:ascii="Times New Roman" w:eastAsia="仿宋"/>
          <w:sz w:val="28"/>
          <w:szCs w:val="28"/>
        </w:rPr>
      </w:pPr>
      <w:r>
        <w:rPr>
          <w:rFonts w:hint="eastAsia" w:ascii="Times New Roman" w:eastAsia="仿宋"/>
          <w:sz w:val="28"/>
          <w:szCs w:val="28"/>
        </w:rPr>
        <w:t>本项目钝化废气经集气罩收集，收集效率为9</w:t>
      </w:r>
      <w:r>
        <w:rPr>
          <w:rFonts w:ascii="Times New Roman" w:eastAsia="仿宋"/>
          <w:sz w:val="28"/>
          <w:szCs w:val="28"/>
        </w:rPr>
        <w:t>0%</w:t>
      </w:r>
      <w:r>
        <w:rPr>
          <w:rFonts w:hint="eastAsia" w:ascii="Times New Roman" w:eastAsia="仿宋"/>
          <w:sz w:val="28"/>
          <w:szCs w:val="28"/>
        </w:rPr>
        <w:t>，则无组织产生量为0</w:t>
      </w:r>
      <w:r>
        <w:rPr>
          <w:rFonts w:ascii="Times New Roman" w:eastAsia="仿宋"/>
          <w:sz w:val="28"/>
          <w:szCs w:val="28"/>
        </w:rPr>
        <w:t>.07</w:t>
      </w:r>
      <w:r>
        <w:rPr>
          <w:rFonts w:hint="eastAsia" w:ascii="Times New Roman" w:eastAsia="仿宋"/>
          <w:sz w:val="28"/>
          <w:szCs w:val="28"/>
        </w:rPr>
        <w:t>t</w:t>
      </w:r>
      <w:r>
        <w:rPr>
          <w:rFonts w:ascii="Times New Roman" w:eastAsia="仿宋"/>
          <w:sz w:val="28"/>
          <w:szCs w:val="28"/>
        </w:rPr>
        <w:t>/a</w:t>
      </w:r>
      <w:r>
        <w:rPr>
          <w:rFonts w:hint="eastAsia" w:ascii="Times New Roman" w:eastAsia="仿宋"/>
          <w:sz w:val="28"/>
          <w:szCs w:val="28"/>
        </w:rPr>
        <w:t>。</w:t>
      </w:r>
    </w:p>
    <w:p w14:paraId="6A4DC871">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4</w:t>
      </w:r>
      <w:r>
        <w:rPr>
          <w:rFonts w:hint="eastAsia" w:ascii="Times New Roman" w:eastAsia="仿宋"/>
          <w:sz w:val="28"/>
          <w:szCs w:val="28"/>
        </w:rPr>
        <w:t>）未捕集到的喷粉粉尘G6</w:t>
      </w:r>
    </w:p>
    <w:p w14:paraId="6DFF095D">
      <w:pPr>
        <w:spacing w:line="500" w:lineRule="exact"/>
        <w:ind w:firstLine="560" w:firstLineChars="200"/>
        <w:rPr>
          <w:rFonts w:ascii="Times New Roman" w:eastAsia="仿宋"/>
          <w:sz w:val="28"/>
          <w:szCs w:val="28"/>
        </w:rPr>
      </w:pPr>
      <w:r>
        <w:rPr>
          <w:rFonts w:hint="eastAsia" w:ascii="Times New Roman" w:eastAsia="仿宋"/>
          <w:sz w:val="28"/>
          <w:szCs w:val="28"/>
        </w:rPr>
        <w:t>本项目喷粉在密闭的喷粉房内进行，废气均通过密闭空间整体换风收集，收集效率为99%，未收集到的废气无组织排放，则无组织产生量为颗粒物0.</w:t>
      </w:r>
      <w:r>
        <w:rPr>
          <w:rFonts w:ascii="Times New Roman" w:eastAsia="仿宋"/>
          <w:sz w:val="28"/>
          <w:szCs w:val="28"/>
        </w:rPr>
        <w:t>13</w:t>
      </w:r>
      <w:r>
        <w:rPr>
          <w:rFonts w:hint="eastAsia" w:ascii="Times New Roman" w:eastAsia="仿宋"/>
          <w:sz w:val="28"/>
          <w:szCs w:val="28"/>
        </w:rPr>
        <w:t>t/a。</w:t>
      </w:r>
    </w:p>
    <w:p w14:paraId="234D018C">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5</w:t>
      </w:r>
      <w:r>
        <w:rPr>
          <w:rFonts w:hint="eastAsia" w:ascii="Times New Roman" w:eastAsia="仿宋"/>
          <w:sz w:val="28"/>
          <w:szCs w:val="28"/>
        </w:rPr>
        <w:t>）未捕集到的喷粉固化废气G7</w:t>
      </w:r>
    </w:p>
    <w:p w14:paraId="21780757">
      <w:pPr>
        <w:spacing w:line="500" w:lineRule="exact"/>
        <w:ind w:firstLine="560" w:firstLineChars="200"/>
        <w:rPr>
          <w:rFonts w:ascii="Times New Roman" w:eastAsia="仿宋"/>
          <w:sz w:val="28"/>
          <w:szCs w:val="28"/>
        </w:rPr>
      </w:pPr>
      <w:r>
        <w:rPr>
          <w:rFonts w:hint="eastAsia" w:ascii="Times New Roman" w:eastAsia="仿宋"/>
          <w:sz w:val="28"/>
          <w:szCs w:val="28"/>
        </w:rPr>
        <w:t>本项目固化在密闭的固化室内进行，废气均通过密闭空间整体换风收集，收集效率为99%，未收集到的废气无组织排放，则无组织产生量为非甲烷总烃0.001t/a。</w:t>
      </w:r>
    </w:p>
    <w:p w14:paraId="65A41CEC">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6</w:t>
      </w:r>
      <w:r>
        <w:rPr>
          <w:rFonts w:hint="eastAsia" w:ascii="Times New Roman" w:eastAsia="仿宋"/>
          <w:sz w:val="28"/>
          <w:szCs w:val="28"/>
        </w:rPr>
        <w:t>）未捕集到的氟碳漆调漆废气G9</w:t>
      </w:r>
    </w:p>
    <w:p w14:paraId="550AFC2C">
      <w:pPr>
        <w:spacing w:line="500" w:lineRule="exact"/>
        <w:ind w:firstLine="560" w:firstLineChars="200"/>
        <w:rPr>
          <w:rFonts w:ascii="Times New Roman" w:eastAsia="仿宋"/>
          <w:sz w:val="28"/>
          <w:szCs w:val="28"/>
        </w:rPr>
      </w:pPr>
      <w:r>
        <w:rPr>
          <w:rFonts w:hint="eastAsia" w:ascii="Times New Roman" w:eastAsia="仿宋"/>
          <w:sz w:val="28"/>
          <w:szCs w:val="28"/>
        </w:rPr>
        <w:t>本项目氟碳面漆、底漆调漆在密闭的调漆间内进行，废气均通过密闭空间整体换风收集，收集效率为99.5%，则未捕集的氟碳底漆调漆废气为非甲烷总烃0.002t/a（其中二甲苯0.001t/a），未捕集的氟碳面漆调漆废气为非甲烷总烃0.004t/a（其中二甲苯0.002t/a）。</w:t>
      </w:r>
    </w:p>
    <w:p w14:paraId="18D5325F">
      <w:pPr>
        <w:spacing w:line="500" w:lineRule="exact"/>
        <w:ind w:firstLine="560" w:firstLineChars="200"/>
        <w:rPr>
          <w:rFonts w:ascii="Times New Roman" w:eastAsia="仿宋"/>
          <w:sz w:val="28"/>
        </w:rPr>
      </w:pPr>
      <w:r>
        <w:rPr>
          <w:rFonts w:ascii="Times New Roman" w:eastAsia="仿宋"/>
          <w:sz w:val="28"/>
        </w:rPr>
        <w:t>（7）未捕集到的</w:t>
      </w:r>
      <w:r>
        <w:rPr>
          <w:rFonts w:hint="eastAsia" w:ascii="Times New Roman" w:eastAsia="仿宋"/>
          <w:sz w:val="28"/>
          <w:szCs w:val="28"/>
        </w:rPr>
        <w:t>喷氟碳底漆喷漆废气G10；未捕集到的喷氟碳面漆喷漆废气G</w:t>
      </w:r>
      <w:r>
        <w:rPr>
          <w:rFonts w:ascii="Times New Roman" w:eastAsia="仿宋"/>
          <w:sz w:val="28"/>
          <w:szCs w:val="28"/>
        </w:rPr>
        <w:t>14</w:t>
      </w:r>
    </w:p>
    <w:p w14:paraId="04A8CABE">
      <w:pPr>
        <w:spacing w:line="500" w:lineRule="exact"/>
        <w:ind w:firstLine="560" w:firstLineChars="200"/>
        <w:rPr>
          <w:rFonts w:ascii="Times New Roman" w:eastAsia="仿宋"/>
          <w:sz w:val="28"/>
          <w:szCs w:val="28"/>
        </w:rPr>
      </w:pPr>
      <w:r>
        <w:rPr>
          <w:rFonts w:hint="eastAsia" w:ascii="Times New Roman" w:eastAsia="仿宋"/>
          <w:sz w:val="28"/>
        </w:rPr>
        <w:t>喷漆在密闭的喷漆间内进行，</w:t>
      </w:r>
      <w:r>
        <w:rPr>
          <w:rFonts w:ascii="Times New Roman" w:eastAsia="仿宋"/>
          <w:sz w:val="28"/>
        </w:rPr>
        <w:t>未捕集到的废气通过</w:t>
      </w:r>
      <w:r>
        <w:rPr>
          <w:rFonts w:hint="eastAsia" w:ascii="Times New Roman" w:eastAsia="仿宋"/>
          <w:sz w:val="28"/>
        </w:rPr>
        <w:t>喷漆间整体</w:t>
      </w:r>
      <w:r>
        <w:rPr>
          <w:rFonts w:ascii="Times New Roman" w:eastAsia="仿宋"/>
          <w:sz w:val="28"/>
        </w:rPr>
        <w:t>换气排出车间，废气捕集率以9</w:t>
      </w:r>
      <w:r>
        <w:rPr>
          <w:rFonts w:hint="eastAsia" w:ascii="Times New Roman" w:eastAsia="仿宋"/>
          <w:sz w:val="28"/>
        </w:rPr>
        <w:t>9.5</w:t>
      </w:r>
      <w:r>
        <w:rPr>
          <w:rFonts w:ascii="Times New Roman" w:eastAsia="仿宋"/>
          <w:sz w:val="28"/>
        </w:rPr>
        <w:t>%计，则无组织</w:t>
      </w:r>
      <w:r>
        <w:rPr>
          <w:rFonts w:hint="eastAsia" w:ascii="Times New Roman" w:eastAsia="仿宋"/>
          <w:sz w:val="28"/>
        </w:rPr>
        <w:t>产生的氟碳底漆喷漆废气为</w:t>
      </w:r>
      <w:r>
        <w:rPr>
          <w:rFonts w:ascii="Times New Roman" w:eastAsia="仿宋"/>
          <w:sz w:val="28"/>
        </w:rPr>
        <w:t>非甲烷总烃</w:t>
      </w:r>
      <w:r>
        <w:rPr>
          <w:rFonts w:hint="eastAsia" w:ascii="Times New Roman" w:eastAsia="仿宋"/>
          <w:sz w:val="28"/>
        </w:rPr>
        <w:t>0.03</w:t>
      </w:r>
      <w:r>
        <w:rPr>
          <w:rFonts w:ascii="Times New Roman" w:eastAsia="仿宋"/>
          <w:sz w:val="28"/>
        </w:rPr>
        <w:t>t/a</w:t>
      </w:r>
      <w:r>
        <w:rPr>
          <w:rFonts w:hint="eastAsia" w:ascii="Times New Roman" w:eastAsia="仿宋"/>
          <w:sz w:val="28"/>
        </w:rPr>
        <w:t>（其中二甲苯0.01t/a），无组织漆雾为0.02t/a；</w:t>
      </w:r>
      <w:r>
        <w:rPr>
          <w:rFonts w:ascii="Times New Roman" w:eastAsia="仿宋"/>
          <w:sz w:val="28"/>
        </w:rPr>
        <w:t>无组织</w:t>
      </w:r>
      <w:r>
        <w:rPr>
          <w:rFonts w:hint="eastAsia" w:ascii="Times New Roman" w:eastAsia="仿宋"/>
          <w:sz w:val="28"/>
        </w:rPr>
        <w:t>产生的氟碳面漆喷漆废气为</w:t>
      </w:r>
      <w:r>
        <w:rPr>
          <w:rFonts w:ascii="Times New Roman" w:eastAsia="仿宋"/>
          <w:sz w:val="28"/>
        </w:rPr>
        <w:t>非甲烷总烃</w:t>
      </w:r>
      <w:r>
        <w:rPr>
          <w:rFonts w:hint="eastAsia" w:ascii="Times New Roman" w:eastAsia="仿宋"/>
          <w:sz w:val="28"/>
        </w:rPr>
        <w:t>0.06</w:t>
      </w:r>
      <w:r>
        <w:rPr>
          <w:rFonts w:ascii="Times New Roman" w:eastAsia="仿宋"/>
          <w:sz w:val="28"/>
        </w:rPr>
        <w:t>t/a</w:t>
      </w:r>
      <w:r>
        <w:rPr>
          <w:rFonts w:hint="eastAsia" w:ascii="Times New Roman" w:eastAsia="仿宋"/>
          <w:sz w:val="28"/>
        </w:rPr>
        <w:t>（其中二甲苯0.01t/a），无组织漆雾为0.03t/a</w:t>
      </w:r>
      <w:r>
        <w:rPr>
          <w:rFonts w:ascii="Times New Roman" w:eastAsia="仿宋"/>
          <w:sz w:val="28"/>
        </w:rPr>
        <w:t>。</w:t>
      </w:r>
    </w:p>
    <w:p w14:paraId="2EC8746E">
      <w:pPr>
        <w:spacing w:line="500" w:lineRule="exact"/>
        <w:ind w:firstLine="560" w:firstLineChars="200"/>
        <w:rPr>
          <w:rFonts w:ascii="Times New Roman" w:eastAsia="仿宋"/>
          <w:sz w:val="28"/>
          <w:szCs w:val="28"/>
        </w:rPr>
      </w:pPr>
      <w:r>
        <w:rPr>
          <w:rFonts w:ascii="Times New Roman" w:eastAsia="仿宋"/>
          <w:sz w:val="28"/>
        </w:rPr>
        <w:t>（8）未捕集到的</w:t>
      </w:r>
      <w:r>
        <w:rPr>
          <w:rFonts w:hint="eastAsia" w:ascii="Times New Roman" w:eastAsia="仿宋"/>
          <w:sz w:val="28"/>
        </w:rPr>
        <w:t>氟碳底</w:t>
      </w:r>
      <w:r>
        <w:rPr>
          <w:rFonts w:ascii="Times New Roman" w:eastAsia="仿宋"/>
          <w:sz w:val="28"/>
        </w:rPr>
        <w:t>漆</w:t>
      </w:r>
      <w:r>
        <w:rPr>
          <w:rFonts w:hint="eastAsia" w:ascii="Times New Roman" w:eastAsia="仿宋"/>
          <w:sz w:val="28"/>
        </w:rPr>
        <w:t>流平</w:t>
      </w:r>
      <w:r>
        <w:rPr>
          <w:rFonts w:ascii="Times New Roman" w:eastAsia="仿宋"/>
          <w:sz w:val="28"/>
        </w:rPr>
        <w:t>废气</w:t>
      </w:r>
      <w:r>
        <w:rPr>
          <w:rFonts w:hint="eastAsia" w:ascii="Times New Roman" w:eastAsia="仿宋"/>
          <w:sz w:val="28"/>
        </w:rPr>
        <w:t>G1</w:t>
      </w:r>
      <w:r>
        <w:rPr>
          <w:rFonts w:ascii="Times New Roman" w:eastAsia="仿宋"/>
          <w:sz w:val="28"/>
        </w:rPr>
        <w:t>1</w:t>
      </w:r>
      <w:r>
        <w:rPr>
          <w:rFonts w:hint="eastAsia" w:ascii="Times New Roman" w:eastAsia="仿宋"/>
          <w:sz w:val="28"/>
        </w:rPr>
        <w:t>、氟碳面漆流平废气G1</w:t>
      </w:r>
      <w:r>
        <w:rPr>
          <w:rFonts w:ascii="Times New Roman" w:eastAsia="仿宋"/>
          <w:sz w:val="28"/>
        </w:rPr>
        <w:t>5</w:t>
      </w:r>
    </w:p>
    <w:p w14:paraId="681264A3">
      <w:pPr>
        <w:pStyle w:val="203"/>
        <w:spacing w:line="500" w:lineRule="exact"/>
        <w:ind w:firstLine="560"/>
        <w:rPr>
          <w:rFonts w:eastAsia="仿宋"/>
          <w:sz w:val="28"/>
          <w:highlight w:val="yellow"/>
        </w:rPr>
      </w:pPr>
      <w:r>
        <w:rPr>
          <w:rFonts w:hint="eastAsia" w:eastAsia="仿宋"/>
          <w:sz w:val="28"/>
        </w:rPr>
        <w:t>流平</w:t>
      </w:r>
      <w:r>
        <w:rPr>
          <w:rFonts w:eastAsia="仿宋"/>
          <w:sz w:val="28"/>
        </w:rPr>
        <w:t>过程</w:t>
      </w:r>
      <w:r>
        <w:rPr>
          <w:rFonts w:hint="eastAsia" w:eastAsia="仿宋"/>
          <w:sz w:val="28"/>
        </w:rPr>
        <w:t>在密闭的流平室内进行，</w:t>
      </w:r>
      <w:r>
        <w:rPr>
          <w:rFonts w:hint="eastAsia" w:eastAsia="仿宋"/>
          <w:sz w:val="28"/>
          <w:szCs w:val="28"/>
        </w:rPr>
        <w:t>废气均通过密闭空间整体换风收集，收集效率为99.5%，未收集到的废气无组织排放，则氟碳底漆流平过程无组织产生量为非甲烷总烃0.012t/a（其中二甲苯0.01t/a）,氟碳面漆流平过程无组织产生量为非甲烷总烃0.01t/a（其中二甲苯0.005t/a）。</w:t>
      </w:r>
    </w:p>
    <w:p w14:paraId="11318ED3">
      <w:pPr>
        <w:spacing w:line="500" w:lineRule="exact"/>
        <w:ind w:firstLine="560" w:firstLineChars="200"/>
        <w:rPr>
          <w:rFonts w:ascii="Times New Roman" w:eastAsia="仿宋"/>
          <w:sz w:val="28"/>
        </w:rPr>
      </w:pPr>
      <w:r>
        <w:rPr>
          <w:rFonts w:ascii="Times New Roman" w:eastAsia="仿宋"/>
          <w:sz w:val="28"/>
        </w:rPr>
        <w:t>（9）未捕集到的</w:t>
      </w:r>
      <w:r>
        <w:rPr>
          <w:rFonts w:hint="eastAsia" w:ascii="Times New Roman" w:eastAsia="仿宋"/>
          <w:sz w:val="28"/>
        </w:rPr>
        <w:t>氟碳底</w:t>
      </w:r>
      <w:r>
        <w:rPr>
          <w:rFonts w:ascii="Times New Roman" w:eastAsia="仿宋"/>
          <w:sz w:val="28"/>
        </w:rPr>
        <w:t>漆</w:t>
      </w:r>
      <w:r>
        <w:rPr>
          <w:rFonts w:hint="eastAsia" w:ascii="Times New Roman" w:eastAsia="仿宋"/>
          <w:sz w:val="28"/>
        </w:rPr>
        <w:t>烘干废气G1</w:t>
      </w:r>
      <w:r>
        <w:rPr>
          <w:rFonts w:ascii="Times New Roman" w:eastAsia="仿宋"/>
          <w:sz w:val="28"/>
        </w:rPr>
        <w:t>2</w:t>
      </w:r>
      <w:r>
        <w:rPr>
          <w:rFonts w:hint="eastAsia" w:ascii="Times New Roman" w:eastAsia="仿宋"/>
          <w:sz w:val="28"/>
        </w:rPr>
        <w:t>、氟碳面漆烘干废气G1</w:t>
      </w:r>
      <w:r>
        <w:rPr>
          <w:rFonts w:ascii="Times New Roman" w:eastAsia="仿宋"/>
          <w:sz w:val="28"/>
        </w:rPr>
        <w:t>6</w:t>
      </w:r>
    </w:p>
    <w:p w14:paraId="74DF4C52">
      <w:pPr>
        <w:spacing w:line="500" w:lineRule="exact"/>
        <w:ind w:firstLine="560" w:firstLineChars="200"/>
        <w:rPr>
          <w:rFonts w:ascii="Times New Roman" w:eastAsia="仿宋"/>
          <w:sz w:val="28"/>
        </w:rPr>
      </w:pPr>
      <w:r>
        <w:rPr>
          <w:rFonts w:hint="eastAsia" w:ascii="Times New Roman" w:eastAsia="仿宋"/>
          <w:sz w:val="28"/>
        </w:rPr>
        <w:t>氟碳底漆、面漆烘干过程在密闭的烘干室内进行，废气均通过密闭空间整体换风收集，收集效率为99.5%，未收集到的废气无组织排放，则氟碳底漆烘干过程无组织产生量为非甲烷总烃0.08t/a（其中二甲苯0.02t/a）；氟碳面漆烘干过程无组织产生量为非甲烷总烃0.12t/a（其中二甲苯0.03t/a）。</w:t>
      </w:r>
    </w:p>
    <w:p w14:paraId="784B0FD5">
      <w:pPr>
        <w:spacing w:line="500" w:lineRule="exact"/>
        <w:ind w:firstLine="560" w:firstLineChars="200"/>
        <w:rPr>
          <w:rFonts w:ascii="Times New Roman" w:eastAsia="仿宋"/>
          <w:sz w:val="28"/>
        </w:rPr>
      </w:pPr>
      <w:r>
        <w:rPr>
          <w:rFonts w:hint="eastAsia" w:ascii="Times New Roman" w:eastAsia="仿宋"/>
          <w:sz w:val="28"/>
        </w:rPr>
        <w:t>（</w:t>
      </w:r>
      <w:r>
        <w:rPr>
          <w:rFonts w:ascii="Times New Roman" w:eastAsia="仿宋"/>
          <w:sz w:val="28"/>
        </w:rPr>
        <w:t>10</w:t>
      </w:r>
      <w:r>
        <w:rPr>
          <w:rFonts w:hint="eastAsia" w:ascii="Times New Roman" w:eastAsia="仿宋"/>
          <w:sz w:val="28"/>
        </w:rPr>
        <w:t>）未捕集到的喷枪清洗废气G</w:t>
      </w:r>
      <w:r>
        <w:rPr>
          <w:rFonts w:ascii="Times New Roman" w:eastAsia="仿宋"/>
          <w:sz w:val="28"/>
        </w:rPr>
        <w:t>18</w:t>
      </w:r>
    </w:p>
    <w:p w14:paraId="00416FFA">
      <w:pPr>
        <w:spacing w:line="500" w:lineRule="exact"/>
        <w:ind w:firstLine="560" w:firstLineChars="200"/>
        <w:rPr>
          <w:rFonts w:ascii="Times New Roman" w:eastAsia="仿宋"/>
          <w:sz w:val="28"/>
        </w:rPr>
      </w:pPr>
      <w:r>
        <w:rPr>
          <w:rFonts w:hint="eastAsia" w:ascii="Times New Roman" w:eastAsia="仿宋"/>
          <w:sz w:val="28"/>
        </w:rPr>
        <w:t>喷枪清洗在密闭的喷漆室内进行，</w:t>
      </w:r>
      <w:r>
        <w:rPr>
          <w:rFonts w:hint="eastAsia" w:ascii="Times New Roman" w:eastAsia="仿宋"/>
          <w:sz w:val="28"/>
          <w:szCs w:val="28"/>
        </w:rPr>
        <w:t>废气通过密闭空间整体换风收集，收集效率为99.5%，未收集到的废气无组织排放，则无组织产生量为非甲烷总烃0.0</w:t>
      </w:r>
      <w:r>
        <w:rPr>
          <w:rFonts w:ascii="Times New Roman" w:eastAsia="仿宋"/>
          <w:sz w:val="28"/>
          <w:szCs w:val="28"/>
        </w:rPr>
        <w:t>1</w:t>
      </w:r>
      <w:r>
        <w:rPr>
          <w:rFonts w:hint="eastAsia" w:ascii="Times New Roman" w:eastAsia="仿宋"/>
          <w:sz w:val="28"/>
          <w:szCs w:val="28"/>
        </w:rPr>
        <w:t>t/a</w:t>
      </w:r>
      <w:r>
        <w:rPr>
          <w:rFonts w:ascii="Times New Roman" w:eastAsia="仿宋"/>
          <w:bCs/>
          <w:sz w:val="28"/>
          <w:szCs w:val="28"/>
        </w:rPr>
        <w:t>。</w:t>
      </w:r>
    </w:p>
    <w:p w14:paraId="72CB0AA6">
      <w:pPr>
        <w:spacing w:line="500" w:lineRule="exact"/>
        <w:ind w:firstLine="560" w:firstLineChars="200"/>
        <w:rPr>
          <w:rFonts w:ascii="Times New Roman" w:eastAsia="仿宋"/>
          <w:sz w:val="28"/>
          <w:szCs w:val="28"/>
        </w:rPr>
        <w:sectPr>
          <w:pgSz w:w="11906" w:h="16838"/>
          <w:pgMar w:top="1440" w:right="1800" w:bottom="1440" w:left="1800" w:header="1191" w:footer="992" w:gutter="0"/>
          <w:cols w:space="720" w:num="1"/>
          <w:docGrid w:linePitch="312" w:charSpace="0"/>
        </w:sectPr>
      </w:pPr>
    </w:p>
    <w:p w14:paraId="47907A43">
      <w:pPr>
        <w:spacing w:line="500" w:lineRule="exact"/>
        <w:jc w:val="center"/>
        <w:rPr>
          <w:rFonts w:ascii="Times New Roman" w:eastAsia="仿宋"/>
          <w:b/>
        </w:rPr>
      </w:pPr>
      <w:r>
        <w:rPr>
          <w:rFonts w:ascii="Times New Roman" w:eastAsia="仿宋"/>
          <w:b/>
        </w:rPr>
        <w:t>表3.2-7  本项目有组织废气产生情况汇总</w:t>
      </w:r>
    </w:p>
    <w:tbl>
      <w:tblPr>
        <w:tblStyle w:val="87"/>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431"/>
        <w:gridCol w:w="1005"/>
        <w:gridCol w:w="1296"/>
        <w:gridCol w:w="1297"/>
        <w:gridCol w:w="1584"/>
        <w:gridCol w:w="1152"/>
        <w:gridCol w:w="1009"/>
        <w:gridCol w:w="1584"/>
        <w:gridCol w:w="864"/>
        <w:gridCol w:w="720"/>
        <w:gridCol w:w="1008"/>
        <w:gridCol w:w="1068"/>
      </w:tblGrid>
      <w:tr w14:paraId="1CE0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restart"/>
            <w:vAlign w:val="center"/>
          </w:tcPr>
          <w:p w14:paraId="25AE9A6C">
            <w:pPr>
              <w:adjustRightInd w:val="0"/>
              <w:snapToGrid w:val="0"/>
              <w:jc w:val="center"/>
              <w:rPr>
                <w:rFonts w:ascii="Times New Roman" w:eastAsia="仿宋"/>
                <w:szCs w:val="24"/>
              </w:rPr>
            </w:pPr>
            <w:r>
              <w:rPr>
                <w:rFonts w:ascii="Times New Roman" w:eastAsia="仿宋"/>
                <w:szCs w:val="24"/>
              </w:rPr>
              <w:t>排气筒编号</w:t>
            </w:r>
          </w:p>
        </w:tc>
        <w:tc>
          <w:tcPr>
            <w:tcW w:w="1408" w:type="dxa"/>
            <w:vMerge w:val="restart"/>
            <w:vAlign w:val="center"/>
          </w:tcPr>
          <w:p w14:paraId="6CA65E51">
            <w:pPr>
              <w:adjustRightInd w:val="0"/>
              <w:snapToGrid w:val="0"/>
              <w:jc w:val="center"/>
              <w:rPr>
                <w:rFonts w:ascii="Times New Roman" w:eastAsia="仿宋"/>
                <w:szCs w:val="24"/>
              </w:rPr>
            </w:pPr>
            <w:r>
              <w:rPr>
                <w:rFonts w:ascii="Times New Roman" w:eastAsia="仿宋"/>
                <w:szCs w:val="24"/>
              </w:rPr>
              <w:t>污染源及编号</w:t>
            </w:r>
          </w:p>
        </w:tc>
        <w:tc>
          <w:tcPr>
            <w:tcW w:w="989" w:type="dxa"/>
            <w:vMerge w:val="restart"/>
            <w:vAlign w:val="center"/>
          </w:tcPr>
          <w:p w14:paraId="6C491C15">
            <w:pPr>
              <w:adjustRightInd w:val="0"/>
              <w:snapToGrid w:val="0"/>
              <w:jc w:val="center"/>
              <w:rPr>
                <w:rFonts w:ascii="Times New Roman" w:eastAsia="仿宋"/>
                <w:szCs w:val="24"/>
              </w:rPr>
            </w:pPr>
            <w:r>
              <w:rPr>
                <w:rFonts w:ascii="Times New Roman" w:eastAsia="仿宋"/>
                <w:szCs w:val="24"/>
              </w:rPr>
              <w:t>排气量</w:t>
            </w:r>
          </w:p>
          <w:p w14:paraId="0B23B714">
            <w:pPr>
              <w:adjustRightInd w:val="0"/>
              <w:snapToGrid w:val="0"/>
              <w:jc w:val="center"/>
              <w:rPr>
                <w:rFonts w:ascii="Times New Roman" w:eastAsia="仿宋"/>
                <w:szCs w:val="24"/>
              </w:rPr>
            </w:pPr>
            <w:r>
              <w:rPr>
                <w:rFonts w:ascii="Times New Roman" w:eastAsia="仿宋"/>
                <w:szCs w:val="24"/>
              </w:rPr>
              <w:t>(m</w:t>
            </w:r>
            <w:r>
              <w:rPr>
                <w:rFonts w:ascii="Times New Roman" w:eastAsia="仿宋"/>
                <w:szCs w:val="24"/>
                <w:vertAlign w:val="superscript"/>
              </w:rPr>
              <w:t>3</w:t>
            </w:r>
            <w:r>
              <w:rPr>
                <w:rFonts w:ascii="Times New Roman" w:eastAsia="仿宋"/>
                <w:szCs w:val="24"/>
              </w:rPr>
              <w:t>/h)</w:t>
            </w:r>
          </w:p>
        </w:tc>
        <w:tc>
          <w:tcPr>
            <w:tcW w:w="1275" w:type="dxa"/>
            <w:vMerge w:val="restart"/>
            <w:vAlign w:val="center"/>
          </w:tcPr>
          <w:p w14:paraId="615067A1">
            <w:pPr>
              <w:adjustRightInd w:val="0"/>
              <w:snapToGrid w:val="0"/>
              <w:jc w:val="center"/>
              <w:rPr>
                <w:rFonts w:ascii="Times New Roman" w:eastAsia="仿宋"/>
                <w:szCs w:val="24"/>
              </w:rPr>
            </w:pPr>
            <w:r>
              <w:rPr>
                <w:rFonts w:ascii="Times New Roman" w:eastAsia="仿宋"/>
                <w:szCs w:val="24"/>
              </w:rPr>
              <w:t>污染物</w:t>
            </w:r>
          </w:p>
          <w:p w14:paraId="08174C50">
            <w:pPr>
              <w:adjustRightInd w:val="0"/>
              <w:snapToGrid w:val="0"/>
              <w:jc w:val="center"/>
              <w:rPr>
                <w:rFonts w:ascii="Times New Roman" w:eastAsia="仿宋"/>
                <w:szCs w:val="24"/>
              </w:rPr>
            </w:pPr>
            <w:r>
              <w:rPr>
                <w:rFonts w:ascii="Times New Roman" w:eastAsia="仿宋"/>
                <w:szCs w:val="24"/>
              </w:rPr>
              <w:t>名称</w:t>
            </w:r>
          </w:p>
        </w:tc>
        <w:tc>
          <w:tcPr>
            <w:tcW w:w="1276" w:type="dxa"/>
            <w:vMerge w:val="restart"/>
            <w:vAlign w:val="center"/>
          </w:tcPr>
          <w:p w14:paraId="119C0C83">
            <w:pPr>
              <w:adjustRightInd w:val="0"/>
              <w:snapToGrid w:val="0"/>
              <w:jc w:val="center"/>
              <w:rPr>
                <w:rFonts w:ascii="Times New Roman" w:eastAsia="仿宋"/>
                <w:szCs w:val="24"/>
              </w:rPr>
            </w:pPr>
            <w:r>
              <w:rPr>
                <w:rFonts w:hint="eastAsia" w:ascii="Times New Roman" w:eastAsia="仿宋"/>
                <w:szCs w:val="24"/>
              </w:rPr>
              <w:t>核算方法</w:t>
            </w:r>
          </w:p>
        </w:tc>
        <w:tc>
          <w:tcPr>
            <w:tcW w:w="3686" w:type="dxa"/>
            <w:gridSpan w:val="3"/>
            <w:vAlign w:val="center"/>
          </w:tcPr>
          <w:p w14:paraId="3F0ECC74">
            <w:pPr>
              <w:adjustRightInd w:val="0"/>
              <w:snapToGrid w:val="0"/>
              <w:jc w:val="center"/>
              <w:rPr>
                <w:rFonts w:ascii="Times New Roman" w:eastAsia="仿宋"/>
                <w:szCs w:val="24"/>
              </w:rPr>
            </w:pPr>
            <w:r>
              <w:rPr>
                <w:rFonts w:ascii="Times New Roman" w:eastAsia="仿宋"/>
                <w:szCs w:val="24"/>
              </w:rPr>
              <w:t>产生状况</w:t>
            </w:r>
          </w:p>
        </w:tc>
        <w:tc>
          <w:tcPr>
            <w:tcW w:w="1559" w:type="dxa"/>
            <w:vMerge w:val="restart"/>
            <w:vAlign w:val="center"/>
          </w:tcPr>
          <w:p w14:paraId="2ABC1F5E">
            <w:pPr>
              <w:adjustRightInd w:val="0"/>
              <w:snapToGrid w:val="0"/>
              <w:jc w:val="center"/>
              <w:rPr>
                <w:rFonts w:ascii="Times New Roman" w:eastAsia="仿宋"/>
                <w:szCs w:val="24"/>
              </w:rPr>
            </w:pPr>
            <w:r>
              <w:rPr>
                <w:rFonts w:ascii="Times New Roman" w:eastAsia="仿宋"/>
                <w:szCs w:val="24"/>
              </w:rPr>
              <w:t>拟采取的</w:t>
            </w:r>
          </w:p>
          <w:p w14:paraId="6D4F4A61">
            <w:pPr>
              <w:adjustRightInd w:val="0"/>
              <w:snapToGrid w:val="0"/>
              <w:jc w:val="center"/>
              <w:rPr>
                <w:rFonts w:ascii="Times New Roman" w:eastAsia="仿宋"/>
                <w:szCs w:val="24"/>
              </w:rPr>
            </w:pPr>
            <w:r>
              <w:rPr>
                <w:rFonts w:ascii="Times New Roman" w:eastAsia="仿宋"/>
                <w:szCs w:val="24"/>
              </w:rPr>
              <w:t>措施</w:t>
            </w:r>
          </w:p>
        </w:tc>
        <w:tc>
          <w:tcPr>
            <w:tcW w:w="2551" w:type="dxa"/>
            <w:gridSpan w:val="3"/>
            <w:vAlign w:val="center"/>
          </w:tcPr>
          <w:p w14:paraId="4EF1DD29">
            <w:pPr>
              <w:adjustRightInd w:val="0"/>
              <w:snapToGrid w:val="0"/>
              <w:jc w:val="center"/>
              <w:rPr>
                <w:rFonts w:ascii="Times New Roman" w:eastAsia="仿宋"/>
                <w:szCs w:val="24"/>
              </w:rPr>
            </w:pPr>
            <w:r>
              <w:rPr>
                <w:rFonts w:ascii="Times New Roman" w:eastAsia="仿宋"/>
                <w:szCs w:val="24"/>
              </w:rPr>
              <w:t>排放源参数</w:t>
            </w:r>
          </w:p>
        </w:tc>
        <w:tc>
          <w:tcPr>
            <w:tcW w:w="1051" w:type="dxa"/>
            <w:vMerge w:val="restart"/>
            <w:vAlign w:val="center"/>
          </w:tcPr>
          <w:p w14:paraId="4D62FE32">
            <w:pPr>
              <w:adjustRightInd w:val="0"/>
              <w:snapToGrid w:val="0"/>
              <w:jc w:val="center"/>
              <w:rPr>
                <w:rFonts w:ascii="Times New Roman" w:eastAsia="仿宋"/>
                <w:szCs w:val="21"/>
              </w:rPr>
            </w:pPr>
            <w:r>
              <w:rPr>
                <w:rFonts w:ascii="Times New Roman" w:eastAsia="仿宋"/>
                <w:szCs w:val="21"/>
              </w:rPr>
              <w:t>运行</w:t>
            </w:r>
          </w:p>
          <w:p w14:paraId="0C8B675C">
            <w:pPr>
              <w:adjustRightInd w:val="0"/>
              <w:snapToGrid w:val="0"/>
              <w:jc w:val="center"/>
              <w:rPr>
                <w:rFonts w:ascii="Times New Roman" w:eastAsia="仿宋"/>
                <w:szCs w:val="21"/>
              </w:rPr>
            </w:pPr>
            <w:r>
              <w:rPr>
                <w:rFonts w:ascii="Times New Roman" w:eastAsia="仿宋"/>
                <w:szCs w:val="21"/>
              </w:rPr>
              <w:t>时间</w:t>
            </w:r>
          </w:p>
        </w:tc>
      </w:tr>
      <w:tr w14:paraId="089A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859" w:type="dxa"/>
            <w:vMerge w:val="continue"/>
            <w:vAlign w:val="center"/>
          </w:tcPr>
          <w:p w14:paraId="3195563E">
            <w:pPr>
              <w:adjustRightInd w:val="0"/>
              <w:snapToGrid w:val="0"/>
              <w:jc w:val="center"/>
              <w:rPr>
                <w:rFonts w:ascii="Times New Roman" w:eastAsia="仿宋"/>
                <w:szCs w:val="24"/>
              </w:rPr>
            </w:pPr>
          </w:p>
        </w:tc>
        <w:tc>
          <w:tcPr>
            <w:tcW w:w="1408" w:type="dxa"/>
            <w:vMerge w:val="continue"/>
            <w:vAlign w:val="center"/>
          </w:tcPr>
          <w:p w14:paraId="49C19329">
            <w:pPr>
              <w:adjustRightInd w:val="0"/>
              <w:snapToGrid w:val="0"/>
              <w:jc w:val="center"/>
              <w:rPr>
                <w:rFonts w:ascii="Times New Roman" w:eastAsia="仿宋"/>
                <w:szCs w:val="24"/>
              </w:rPr>
            </w:pPr>
          </w:p>
        </w:tc>
        <w:tc>
          <w:tcPr>
            <w:tcW w:w="989" w:type="dxa"/>
            <w:vMerge w:val="continue"/>
            <w:vAlign w:val="center"/>
          </w:tcPr>
          <w:p w14:paraId="2CAB8AC8">
            <w:pPr>
              <w:adjustRightInd w:val="0"/>
              <w:snapToGrid w:val="0"/>
              <w:jc w:val="center"/>
              <w:rPr>
                <w:rFonts w:ascii="Times New Roman" w:eastAsia="仿宋"/>
                <w:szCs w:val="24"/>
              </w:rPr>
            </w:pPr>
          </w:p>
        </w:tc>
        <w:tc>
          <w:tcPr>
            <w:tcW w:w="1275" w:type="dxa"/>
            <w:vMerge w:val="continue"/>
            <w:vAlign w:val="center"/>
          </w:tcPr>
          <w:p w14:paraId="3505F5EC">
            <w:pPr>
              <w:adjustRightInd w:val="0"/>
              <w:snapToGrid w:val="0"/>
              <w:jc w:val="center"/>
              <w:rPr>
                <w:rFonts w:ascii="Times New Roman" w:eastAsia="仿宋"/>
                <w:szCs w:val="24"/>
              </w:rPr>
            </w:pPr>
          </w:p>
        </w:tc>
        <w:tc>
          <w:tcPr>
            <w:tcW w:w="1276" w:type="dxa"/>
            <w:vMerge w:val="continue"/>
            <w:vAlign w:val="center"/>
          </w:tcPr>
          <w:p w14:paraId="42F45B8D">
            <w:pPr>
              <w:adjustRightInd w:val="0"/>
              <w:snapToGrid w:val="0"/>
              <w:jc w:val="center"/>
              <w:rPr>
                <w:rFonts w:ascii="Times New Roman" w:eastAsia="仿宋"/>
                <w:szCs w:val="24"/>
              </w:rPr>
            </w:pPr>
          </w:p>
        </w:tc>
        <w:tc>
          <w:tcPr>
            <w:tcW w:w="1559" w:type="dxa"/>
            <w:vAlign w:val="center"/>
          </w:tcPr>
          <w:p w14:paraId="2BD1EDAF">
            <w:pPr>
              <w:adjustRightInd w:val="0"/>
              <w:snapToGrid w:val="0"/>
              <w:jc w:val="center"/>
              <w:rPr>
                <w:rFonts w:ascii="Times New Roman" w:eastAsia="仿宋"/>
                <w:szCs w:val="24"/>
              </w:rPr>
            </w:pPr>
            <w:r>
              <w:rPr>
                <w:rFonts w:hint="eastAsia" w:ascii="Times New Roman" w:eastAsia="仿宋"/>
                <w:szCs w:val="24"/>
              </w:rPr>
              <w:t>产生</w:t>
            </w:r>
            <w:r>
              <w:rPr>
                <w:rFonts w:ascii="Times New Roman" w:eastAsia="仿宋"/>
                <w:szCs w:val="24"/>
              </w:rPr>
              <w:t>浓度</w:t>
            </w:r>
          </w:p>
          <w:p w14:paraId="1CA77585">
            <w:pPr>
              <w:adjustRightInd w:val="0"/>
              <w:snapToGrid w:val="0"/>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1134" w:type="dxa"/>
            <w:vAlign w:val="center"/>
          </w:tcPr>
          <w:p w14:paraId="27890B34">
            <w:pPr>
              <w:adjustRightInd w:val="0"/>
              <w:snapToGrid w:val="0"/>
              <w:jc w:val="center"/>
              <w:rPr>
                <w:rFonts w:ascii="Times New Roman" w:eastAsia="仿宋"/>
                <w:szCs w:val="24"/>
              </w:rPr>
            </w:pPr>
            <w:r>
              <w:rPr>
                <w:rFonts w:hint="eastAsia" w:ascii="Times New Roman" w:eastAsia="仿宋"/>
                <w:szCs w:val="24"/>
              </w:rPr>
              <w:t>产生</w:t>
            </w:r>
            <w:r>
              <w:rPr>
                <w:rFonts w:ascii="Times New Roman" w:eastAsia="仿宋"/>
                <w:szCs w:val="24"/>
              </w:rPr>
              <w:t>速率</w:t>
            </w:r>
          </w:p>
          <w:p w14:paraId="1A646B39">
            <w:pPr>
              <w:adjustRightInd w:val="0"/>
              <w:snapToGrid w:val="0"/>
              <w:jc w:val="center"/>
              <w:rPr>
                <w:rFonts w:ascii="Times New Roman" w:eastAsia="仿宋"/>
                <w:szCs w:val="24"/>
              </w:rPr>
            </w:pPr>
            <w:r>
              <w:rPr>
                <w:rFonts w:ascii="Times New Roman" w:eastAsia="仿宋"/>
                <w:szCs w:val="24"/>
              </w:rPr>
              <w:t>(kg/h)</w:t>
            </w:r>
          </w:p>
        </w:tc>
        <w:tc>
          <w:tcPr>
            <w:tcW w:w="993" w:type="dxa"/>
            <w:vAlign w:val="center"/>
          </w:tcPr>
          <w:p w14:paraId="428FA249">
            <w:pPr>
              <w:adjustRightInd w:val="0"/>
              <w:snapToGrid w:val="0"/>
              <w:jc w:val="center"/>
              <w:rPr>
                <w:rFonts w:ascii="Times New Roman" w:eastAsia="仿宋"/>
                <w:szCs w:val="24"/>
              </w:rPr>
            </w:pPr>
            <w:r>
              <w:rPr>
                <w:rFonts w:ascii="Times New Roman" w:eastAsia="仿宋"/>
                <w:szCs w:val="24"/>
              </w:rPr>
              <w:t>产生量</w:t>
            </w:r>
          </w:p>
          <w:p w14:paraId="15D1CE04">
            <w:pPr>
              <w:adjustRightInd w:val="0"/>
              <w:snapToGrid w:val="0"/>
              <w:jc w:val="center"/>
              <w:rPr>
                <w:rFonts w:ascii="Times New Roman" w:eastAsia="仿宋"/>
                <w:szCs w:val="24"/>
              </w:rPr>
            </w:pPr>
            <w:r>
              <w:rPr>
                <w:rFonts w:ascii="Times New Roman" w:eastAsia="仿宋"/>
                <w:szCs w:val="24"/>
              </w:rPr>
              <w:t>(t/a)</w:t>
            </w:r>
          </w:p>
        </w:tc>
        <w:tc>
          <w:tcPr>
            <w:tcW w:w="1559" w:type="dxa"/>
            <w:vMerge w:val="continue"/>
            <w:vAlign w:val="center"/>
          </w:tcPr>
          <w:p w14:paraId="6F3FC079">
            <w:pPr>
              <w:adjustRightInd w:val="0"/>
              <w:snapToGrid w:val="0"/>
              <w:jc w:val="center"/>
              <w:rPr>
                <w:rFonts w:ascii="Times New Roman" w:eastAsia="仿宋"/>
                <w:szCs w:val="24"/>
              </w:rPr>
            </w:pPr>
          </w:p>
        </w:tc>
        <w:tc>
          <w:tcPr>
            <w:tcW w:w="850" w:type="dxa"/>
            <w:vAlign w:val="center"/>
          </w:tcPr>
          <w:p w14:paraId="44F2D55A">
            <w:pPr>
              <w:adjustRightInd w:val="0"/>
              <w:snapToGrid w:val="0"/>
              <w:jc w:val="center"/>
              <w:rPr>
                <w:rFonts w:ascii="Times New Roman" w:eastAsia="仿宋"/>
                <w:szCs w:val="24"/>
              </w:rPr>
            </w:pPr>
            <w:r>
              <w:rPr>
                <w:rFonts w:ascii="Times New Roman" w:eastAsia="仿宋"/>
                <w:szCs w:val="24"/>
              </w:rPr>
              <w:t>排放</w:t>
            </w:r>
          </w:p>
          <w:p w14:paraId="119CDB55">
            <w:pPr>
              <w:adjustRightInd w:val="0"/>
              <w:snapToGrid w:val="0"/>
              <w:jc w:val="center"/>
              <w:rPr>
                <w:rFonts w:ascii="Times New Roman" w:eastAsia="仿宋"/>
                <w:szCs w:val="24"/>
              </w:rPr>
            </w:pPr>
            <w:r>
              <w:rPr>
                <w:rFonts w:ascii="Times New Roman" w:eastAsia="仿宋"/>
                <w:szCs w:val="24"/>
              </w:rPr>
              <w:t>高度(m)</w:t>
            </w:r>
          </w:p>
        </w:tc>
        <w:tc>
          <w:tcPr>
            <w:tcW w:w="709" w:type="dxa"/>
            <w:vAlign w:val="center"/>
          </w:tcPr>
          <w:p w14:paraId="685439B9">
            <w:pPr>
              <w:adjustRightInd w:val="0"/>
              <w:snapToGrid w:val="0"/>
              <w:jc w:val="center"/>
              <w:rPr>
                <w:rFonts w:ascii="Times New Roman" w:eastAsia="仿宋"/>
                <w:szCs w:val="24"/>
              </w:rPr>
            </w:pPr>
            <w:r>
              <w:rPr>
                <w:rFonts w:ascii="Times New Roman" w:eastAsia="仿宋"/>
                <w:szCs w:val="24"/>
              </w:rPr>
              <w:t>直径</w:t>
            </w:r>
          </w:p>
          <w:p w14:paraId="038AAD35">
            <w:pPr>
              <w:adjustRightInd w:val="0"/>
              <w:snapToGrid w:val="0"/>
              <w:jc w:val="center"/>
              <w:rPr>
                <w:rFonts w:ascii="Times New Roman" w:eastAsia="仿宋"/>
                <w:szCs w:val="24"/>
              </w:rPr>
            </w:pPr>
            <w:r>
              <w:rPr>
                <w:rFonts w:ascii="Times New Roman" w:eastAsia="仿宋"/>
                <w:szCs w:val="24"/>
              </w:rPr>
              <w:t>(m)</w:t>
            </w:r>
          </w:p>
        </w:tc>
        <w:tc>
          <w:tcPr>
            <w:tcW w:w="992" w:type="dxa"/>
            <w:vAlign w:val="center"/>
          </w:tcPr>
          <w:p w14:paraId="29FE3A66">
            <w:pPr>
              <w:adjustRightInd w:val="0"/>
              <w:snapToGrid w:val="0"/>
              <w:jc w:val="center"/>
              <w:rPr>
                <w:rFonts w:ascii="Times New Roman" w:eastAsia="仿宋"/>
                <w:szCs w:val="21"/>
              </w:rPr>
            </w:pPr>
            <w:r>
              <w:rPr>
                <w:rFonts w:ascii="Times New Roman" w:eastAsia="仿宋"/>
                <w:szCs w:val="21"/>
              </w:rPr>
              <w:t>烟气出口温度(</w:t>
            </w:r>
            <w:r>
              <w:rPr>
                <w:rFonts w:hint="eastAsia" w:ascii="Times New Roman" w:eastAsia="仿宋"/>
                <w:szCs w:val="21"/>
              </w:rPr>
              <w:t>℃</w:t>
            </w:r>
            <w:r>
              <w:rPr>
                <w:rFonts w:ascii="Times New Roman" w:eastAsia="仿宋"/>
                <w:szCs w:val="21"/>
              </w:rPr>
              <w:t>)</w:t>
            </w:r>
          </w:p>
        </w:tc>
        <w:tc>
          <w:tcPr>
            <w:tcW w:w="1051" w:type="dxa"/>
            <w:vMerge w:val="continue"/>
            <w:vAlign w:val="center"/>
          </w:tcPr>
          <w:p w14:paraId="720A1747">
            <w:pPr>
              <w:adjustRightInd w:val="0"/>
              <w:snapToGrid w:val="0"/>
              <w:jc w:val="center"/>
              <w:rPr>
                <w:rFonts w:ascii="Times New Roman" w:eastAsia="仿宋"/>
                <w:szCs w:val="21"/>
              </w:rPr>
            </w:pPr>
          </w:p>
        </w:tc>
      </w:tr>
      <w:tr w14:paraId="15BE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859" w:type="dxa"/>
            <w:vAlign w:val="center"/>
          </w:tcPr>
          <w:p w14:paraId="0BFF2368">
            <w:pPr>
              <w:adjustRightInd w:val="0"/>
              <w:snapToGrid w:val="0"/>
              <w:jc w:val="center"/>
              <w:rPr>
                <w:rFonts w:ascii="Times New Roman" w:eastAsia="仿宋"/>
                <w:szCs w:val="24"/>
              </w:rPr>
            </w:pPr>
            <w:r>
              <w:rPr>
                <w:rFonts w:ascii="Times New Roman" w:eastAsia="仿宋"/>
                <w:szCs w:val="24"/>
              </w:rPr>
              <w:t>1</w:t>
            </w:r>
            <w:r>
              <w:rPr>
                <w:rFonts w:hint="eastAsia" w:ascii="Times New Roman" w:eastAsia="仿宋"/>
                <w:szCs w:val="24"/>
              </w:rPr>
              <w:t>#</w:t>
            </w:r>
          </w:p>
        </w:tc>
        <w:tc>
          <w:tcPr>
            <w:tcW w:w="1408" w:type="dxa"/>
            <w:vAlign w:val="center"/>
          </w:tcPr>
          <w:p w14:paraId="2521CEB9">
            <w:pPr>
              <w:adjustRightInd w:val="0"/>
              <w:snapToGrid w:val="0"/>
              <w:jc w:val="center"/>
              <w:rPr>
                <w:rFonts w:ascii="Times New Roman" w:eastAsia="仿宋"/>
                <w:szCs w:val="24"/>
              </w:rPr>
            </w:pPr>
            <w:r>
              <w:rPr>
                <w:rFonts w:hint="eastAsia" w:ascii="Times New Roman" w:eastAsia="仿宋"/>
                <w:szCs w:val="24"/>
              </w:rPr>
              <w:t>抛光粉尘G</w:t>
            </w:r>
            <w:r>
              <w:rPr>
                <w:rFonts w:ascii="Times New Roman" w:eastAsia="仿宋"/>
                <w:szCs w:val="24"/>
              </w:rPr>
              <w:t>2</w:t>
            </w:r>
          </w:p>
        </w:tc>
        <w:tc>
          <w:tcPr>
            <w:tcW w:w="989" w:type="dxa"/>
            <w:vAlign w:val="center"/>
          </w:tcPr>
          <w:p w14:paraId="2B9F0E91">
            <w:pPr>
              <w:adjustRightInd w:val="0"/>
              <w:snapToGrid w:val="0"/>
              <w:jc w:val="center"/>
              <w:rPr>
                <w:rFonts w:ascii="Times New Roman" w:eastAsia="仿宋"/>
                <w:szCs w:val="24"/>
              </w:rPr>
            </w:pPr>
            <w:r>
              <w:rPr>
                <w:rFonts w:ascii="Times New Roman" w:eastAsia="仿宋"/>
                <w:szCs w:val="24"/>
              </w:rPr>
              <w:t>20</w:t>
            </w:r>
            <w:r>
              <w:rPr>
                <w:rFonts w:hint="eastAsia" w:ascii="Times New Roman" w:eastAsia="仿宋"/>
                <w:szCs w:val="24"/>
              </w:rPr>
              <w:t>000</w:t>
            </w:r>
          </w:p>
        </w:tc>
        <w:tc>
          <w:tcPr>
            <w:tcW w:w="1275" w:type="dxa"/>
            <w:vAlign w:val="center"/>
          </w:tcPr>
          <w:p w14:paraId="792A58D2">
            <w:pPr>
              <w:adjustRightInd w:val="0"/>
              <w:snapToGrid w:val="0"/>
              <w:jc w:val="center"/>
              <w:rPr>
                <w:rFonts w:ascii="Times New Roman" w:eastAsia="仿宋"/>
                <w:szCs w:val="24"/>
              </w:rPr>
            </w:pPr>
            <w:r>
              <w:rPr>
                <w:rFonts w:hint="eastAsia" w:ascii="Times New Roman" w:eastAsia="仿宋"/>
                <w:szCs w:val="24"/>
              </w:rPr>
              <w:t>颗粒物</w:t>
            </w:r>
          </w:p>
        </w:tc>
        <w:tc>
          <w:tcPr>
            <w:tcW w:w="1276" w:type="dxa"/>
            <w:vAlign w:val="center"/>
          </w:tcPr>
          <w:p w14:paraId="386849DB">
            <w:pPr>
              <w:widowControl/>
              <w:jc w:val="center"/>
              <w:textAlignment w:val="center"/>
              <w:rPr>
                <w:rFonts w:ascii="Times New Roman" w:eastAsia="仿宋"/>
                <w:szCs w:val="24"/>
              </w:rPr>
            </w:pPr>
            <w:r>
              <w:rPr>
                <w:rFonts w:hint="eastAsia" w:ascii="Times New Roman" w:eastAsia="仿宋"/>
                <w:szCs w:val="24"/>
              </w:rPr>
              <w:t>系数法</w:t>
            </w:r>
          </w:p>
        </w:tc>
        <w:tc>
          <w:tcPr>
            <w:tcW w:w="1559" w:type="dxa"/>
            <w:vAlign w:val="center"/>
          </w:tcPr>
          <w:p w14:paraId="623A3E6D">
            <w:pPr>
              <w:widowControl/>
              <w:jc w:val="center"/>
              <w:textAlignment w:val="center"/>
              <w:rPr>
                <w:rFonts w:ascii="Times New Roman" w:eastAsia="仿宋"/>
                <w:szCs w:val="24"/>
              </w:rPr>
            </w:pPr>
            <w:r>
              <w:rPr>
                <w:rFonts w:hint="eastAsia" w:ascii="Times New Roman" w:eastAsia="仿宋"/>
                <w:szCs w:val="24"/>
              </w:rPr>
              <w:t>5</w:t>
            </w:r>
          </w:p>
        </w:tc>
        <w:tc>
          <w:tcPr>
            <w:tcW w:w="1134" w:type="dxa"/>
            <w:vAlign w:val="center"/>
          </w:tcPr>
          <w:p w14:paraId="7220902C">
            <w:pPr>
              <w:widowControl/>
              <w:jc w:val="center"/>
              <w:textAlignment w:val="center"/>
              <w:rPr>
                <w:rFonts w:ascii="Times New Roman" w:eastAsia="仿宋"/>
                <w:szCs w:val="24"/>
              </w:rPr>
            </w:pPr>
            <w:r>
              <w:rPr>
                <w:rFonts w:ascii="Times New Roman" w:eastAsia="仿宋"/>
                <w:szCs w:val="24"/>
              </w:rPr>
              <w:t>0.</w:t>
            </w:r>
            <w:r>
              <w:rPr>
                <w:rFonts w:hint="eastAsia" w:ascii="Times New Roman" w:eastAsia="仿宋"/>
                <w:szCs w:val="24"/>
              </w:rPr>
              <w:t>1</w:t>
            </w:r>
          </w:p>
        </w:tc>
        <w:tc>
          <w:tcPr>
            <w:tcW w:w="993" w:type="dxa"/>
            <w:vAlign w:val="center"/>
          </w:tcPr>
          <w:p w14:paraId="2B577EFB">
            <w:pPr>
              <w:widowControl/>
              <w:jc w:val="center"/>
              <w:textAlignment w:val="center"/>
              <w:rPr>
                <w:rFonts w:ascii="Times New Roman" w:eastAsia="仿宋"/>
                <w:szCs w:val="24"/>
              </w:rPr>
            </w:pPr>
            <w:r>
              <w:rPr>
                <w:rFonts w:hint="eastAsia" w:ascii="Times New Roman" w:eastAsia="仿宋"/>
                <w:szCs w:val="24"/>
              </w:rPr>
              <w:t>0.49</w:t>
            </w:r>
          </w:p>
        </w:tc>
        <w:tc>
          <w:tcPr>
            <w:tcW w:w="1559" w:type="dxa"/>
            <w:vAlign w:val="center"/>
          </w:tcPr>
          <w:p w14:paraId="074521E0">
            <w:pPr>
              <w:adjustRightInd w:val="0"/>
              <w:snapToGrid w:val="0"/>
              <w:jc w:val="center"/>
              <w:rPr>
                <w:rFonts w:ascii="Times New Roman" w:eastAsia="仿宋"/>
                <w:szCs w:val="24"/>
              </w:rPr>
            </w:pPr>
            <w:r>
              <w:rPr>
                <w:rFonts w:hint="eastAsia" w:ascii="Times New Roman" w:eastAsia="仿宋"/>
                <w:szCs w:val="24"/>
              </w:rPr>
              <w:t>湿式除尘</w:t>
            </w:r>
          </w:p>
        </w:tc>
        <w:tc>
          <w:tcPr>
            <w:tcW w:w="850" w:type="dxa"/>
            <w:vAlign w:val="center"/>
          </w:tcPr>
          <w:p w14:paraId="322EEA0A">
            <w:pPr>
              <w:adjustRightInd w:val="0"/>
              <w:snapToGrid w:val="0"/>
              <w:jc w:val="center"/>
              <w:rPr>
                <w:rFonts w:ascii="Times New Roman" w:eastAsia="仿宋"/>
                <w:szCs w:val="24"/>
              </w:rPr>
            </w:pPr>
            <w:r>
              <w:rPr>
                <w:rFonts w:ascii="Times New Roman" w:eastAsia="仿宋"/>
                <w:szCs w:val="24"/>
              </w:rPr>
              <w:t>15</w:t>
            </w:r>
          </w:p>
        </w:tc>
        <w:tc>
          <w:tcPr>
            <w:tcW w:w="709" w:type="dxa"/>
            <w:vAlign w:val="center"/>
          </w:tcPr>
          <w:p w14:paraId="5D2676FF">
            <w:pPr>
              <w:adjustRightInd w:val="0"/>
              <w:snapToGrid w:val="0"/>
              <w:jc w:val="center"/>
              <w:rPr>
                <w:rFonts w:ascii="Times New Roman" w:eastAsia="仿宋"/>
                <w:szCs w:val="24"/>
              </w:rPr>
            </w:pPr>
            <w:r>
              <w:rPr>
                <w:rFonts w:hint="eastAsia" w:ascii="Times New Roman" w:eastAsia="仿宋"/>
                <w:szCs w:val="24"/>
              </w:rPr>
              <w:t>0.8</w:t>
            </w:r>
          </w:p>
        </w:tc>
        <w:tc>
          <w:tcPr>
            <w:tcW w:w="992" w:type="dxa"/>
            <w:vAlign w:val="center"/>
          </w:tcPr>
          <w:p w14:paraId="072FBDFF">
            <w:pPr>
              <w:adjustRightInd w:val="0"/>
              <w:snapToGrid w:val="0"/>
              <w:jc w:val="center"/>
              <w:rPr>
                <w:rFonts w:ascii="Times New Roman" w:eastAsia="仿宋"/>
                <w:szCs w:val="21"/>
              </w:rPr>
            </w:pPr>
            <w:r>
              <w:rPr>
                <w:rFonts w:hint="eastAsia" w:ascii="Times New Roman" w:eastAsia="仿宋"/>
                <w:szCs w:val="21"/>
              </w:rPr>
              <w:t>25</w:t>
            </w:r>
          </w:p>
        </w:tc>
        <w:tc>
          <w:tcPr>
            <w:tcW w:w="1051" w:type="dxa"/>
            <w:vAlign w:val="center"/>
          </w:tcPr>
          <w:p w14:paraId="7D897FA7">
            <w:pPr>
              <w:adjustRightInd w:val="0"/>
              <w:snapToGrid w:val="0"/>
              <w:jc w:val="center"/>
              <w:rPr>
                <w:rFonts w:ascii="Times New Roman" w:eastAsia="仿宋"/>
                <w:szCs w:val="21"/>
              </w:rPr>
            </w:pPr>
            <w:r>
              <w:rPr>
                <w:rFonts w:hint="eastAsia" w:ascii="Times New Roman" w:eastAsia="仿宋"/>
                <w:szCs w:val="21"/>
              </w:rPr>
              <w:t>连续4800h</w:t>
            </w:r>
          </w:p>
        </w:tc>
      </w:tr>
      <w:tr w14:paraId="40A8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859" w:type="dxa"/>
            <w:vMerge w:val="restart"/>
            <w:vAlign w:val="center"/>
          </w:tcPr>
          <w:p w14:paraId="5F77CCC4">
            <w:pPr>
              <w:adjustRightInd w:val="0"/>
              <w:snapToGrid w:val="0"/>
              <w:jc w:val="center"/>
              <w:rPr>
                <w:rFonts w:ascii="Times New Roman" w:eastAsia="仿宋"/>
                <w:szCs w:val="24"/>
              </w:rPr>
            </w:pPr>
            <w:r>
              <w:rPr>
                <w:rFonts w:hint="eastAsia" w:ascii="Times New Roman" w:eastAsia="仿宋"/>
                <w:szCs w:val="24"/>
              </w:rPr>
              <w:t>2#</w:t>
            </w:r>
          </w:p>
        </w:tc>
        <w:tc>
          <w:tcPr>
            <w:tcW w:w="1408" w:type="dxa"/>
            <w:vMerge w:val="restart"/>
            <w:vAlign w:val="center"/>
          </w:tcPr>
          <w:p w14:paraId="76CD1BFC">
            <w:pPr>
              <w:adjustRightInd w:val="0"/>
              <w:snapToGrid w:val="0"/>
              <w:jc w:val="center"/>
              <w:rPr>
                <w:rFonts w:ascii="Times New Roman" w:eastAsia="仿宋"/>
                <w:szCs w:val="24"/>
              </w:rPr>
            </w:pPr>
            <w:r>
              <w:rPr>
                <w:rFonts w:hint="eastAsia" w:ascii="Times New Roman" w:eastAsia="仿宋"/>
                <w:szCs w:val="24"/>
              </w:rPr>
              <w:t>钝化废气G4</w:t>
            </w:r>
          </w:p>
        </w:tc>
        <w:tc>
          <w:tcPr>
            <w:tcW w:w="989" w:type="dxa"/>
            <w:vMerge w:val="restart"/>
            <w:vAlign w:val="center"/>
          </w:tcPr>
          <w:p w14:paraId="1BAB06AA">
            <w:pPr>
              <w:adjustRightInd w:val="0"/>
              <w:snapToGrid w:val="0"/>
              <w:jc w:val="center"/>
              <w:rPr>
                <w:rFonts w:ascii="Times New Roman" w:eastAsia="仿宋"/>
                <w:szCs w:val="24"/>
              </w:rPr>
            </w:pPr>
            <w:r>
              <w:rPr>
                <w:rFonts w:ascii="Times New Roman" w:eastAsia="仿宋"/>
                <w:szCs w:val="24"/>
              </w:rPr>
              <w:t>26000</w:t>
            </w:r>
          </w:p>
        </w:tc>
        <w:tc>
          <w:tcPr>
            <w:tcW w:w="1275" w:type="dxa"/>
            <w:vAlign w:val="center"/>
          </w:tcPr>
          <w:p w14:paraId="332B668F">
            <w:pPr>
              <w:adjustRightInd w:val="0"/>
              <w:snapToGrid w:val="0"/>
              <w:jc w:val="center"/>
              <w:rPr>
                <w:rFonts w:ascii="Times New Roman" w:eastAsia="仿宋"/>
                <w:szCs w:val="24"/>
              </w:rPr>
            </w:pPr>
            <w:r>
              <w:rPr>
                <w:rFonts w:hint="eastAsia" w:ascii="Times New Roman" w:eastAsia="仿宋"/>
                <w:szCs w:val="21"/>
              </w:rPr>
              <w:t>非甲烷总烃</w:t>
            </w:r>
          </w:p>
        </w:tc>
        <w:tc>
          <w:tcPr>
            <w:tcW w:w="1276" w:type="dxa"/>
            <w:vMerge w:val="restart"/>
            <w:vAlign w:val="center"/>
          </w:tcPr>
          <w:p w14:paraId="49396394">
            <w:pPr>
              <w:widowControl/>
              <w:jc w:val="center"/>
              <w:textAlignment w:val="center"/>
              <w:rPr>
                <w:rFonts w:ascii="Times New Roman" w:eastAsia="仿宋"/>
                <w:szCs w:val="24"/>
              </w:rPr>
            </w:pPr>
            <w:r>
              <w:rPr>
                <w:rFonts w:hint="eastAsia" w:ascii="Times New Roman" w:eastAsia="仿宋"/>
                <w:szCs w:val="24"/>
              </w:rPr>
              <w:t>物料衡算法</w:t>
            </w:r>
          </w:p>
        </w:tc>
        <w:tc>
          <w:tcPr>
            <w:tcW w:w="1559" w:type="dxa"/>
            <w:vAlign w:val="center"/>
          </w:tcPr>
          <w:p w14:paraId="643FFCC9">
            <w:pPr>
              <w:widowControl/>
              <w:jc w:val="center"/>
              <w:textAlignment w:val="center"/>
              <w:rPr>
                <w:rFonts w:ascii="Times New Roman" w:eastAsia="仿宋"/>
                <w:szCs w:val="24"/>
              </w:rPr>
            </w:pPr>
            <w:r>
              <w:rPr>
                <w:rFonts w:hint="eastAsia" w:ascii="Times New Roman" w:eastAsia="仿宋"/>
                <w:szCs w:val="24"/>
              </w:rPr>
              <w:t>63.07</w:t>
            </w:r>
          </w:p>
        </w:tc>
        <w:tc>
          <w:tcPr>
            <w:tcW w:w="1134" w:type="dxa"/>
            <w:vAlign w:val="center"/>
          </w:tcPr>
          <w:p w14:paraId="14AAA8EE">
            <w:pPr>
              <w:widowControl/>
              <w:jc w:val="center"/>
              <w:textAlignment w:val="center"/>
              <w:rPr>
                <w:rFonts w:ascii="Times New Roman" w:eastAsia="仿宋"/>
                <w:szCs w:val="24"/>
              </w:rPr>
            </w:pPr>
            <w:r>
              <w:rPr>
                <w:rFonts w:hint="eastAsia" w:ascii="Times New Roman" w:eastAsia="仿宋"/>
                <w:szCs w:val="24"/>
              </w:rPr>
              <w:t>1.64</w:t>
            </w:r>
          </w:p>
        </w:tc>
        <w:tc>
          <w:tcPr>
            <w:tcW w:w="993" w:type="dxa"/>
            <w:vAlign w:val="center"/>
          </w:tcPr>
          <w:p w14:paraId="24D94FC0">
            <w:pPr>
              <w:widowControl/>
              <w:jc w:val="center"/>
              <w:textAlignment w:val="center"/>
              <w:rPr>
                <w:rFonts w:ascii="Times New Roman" w:eastAsia="仿宋"/>
                <w:szCs w:val="24"/>
              </w:rPr>
            </w:pPr>
            <w:r>
              <w:rPr>
                <w:rFonts w:hint="eastAsia" w:ascii="Times New Roman" w:eastAsia="仿宋"/>
                <w:szCs w:val="24"/>
              </w:rPr>
              <w:t>7.88</w:t>
            </w:r>
          </w:p>
        </w:tc>
        <w:tc>
          <w:tcPr>
            <w:tcW w:w="1559" w:type="dxa"/>
            <w:vMerge w:val="restart"/>
            <w:vAlign w:val="center"/>
          </w:tcPr>
          <w:p w14:paraId="244E6E9B">
            <w:pPr>
              <w:jc w:val="center"/>
              <w:rPr>
                <w:rFonts w:ascii="Times New Roman" w:eastAsia="仿宋"/>
                <w:szCs w:val="24"/>
              </w:rPr>
            </w:pPr>
            <w:r>
              <w:rPr>
                <w:rFonts w:hint="eastAsia" w:ascii="Times New Roman" w:eastAsia="仿宋"/>
                <w:szCs w:val="21"/>
              </w:rPr>
              <w:t>1号水帘式循环过滤系统+水喷淋+干式过滤器+三级活性炭吸附脱附+催化燃烧</w:t>
            </w:r>
          </w:p>
        </w:tc>
        <w:tc>
          <w:tcPr>
            <w:tcW w:w="850" w:type="dxa"/>
            <w:vMerge w:val="restart"/>
            <w:vAlign w:val="center"/>
          </w:tcPr>
          <w:p w14:paraId="7EA34B20">
            <w:pPr>
              <w:adjustRightInd w:val="0"/>
              <w:snapToGrid w:val="0"/>
              <w:jc w:val="center"/>
              <w:rPr>
                <w:rFonts w:ascii="Times New Roman" w:eastAsia="仿宋"/>
                <w:szCs w:val="24"/>
              </w:rPr>
            </w:pPr>
            <w:r>
              <w:rPr>
                <w:rFonts w:ascii="Times New Roman" w:eastAsia="仿宋"/>
                <w:szCs w:val="24"/>
              </w:rPr>
              <w:t>15</w:t>
            </w:r>
          </w:p>
        </w:tc>
        <w:tc>
          <w:tcPr>
            <w:tcW w:w="709" w:type="dxa"/>
            <w:vMerge w:val="restart"/>
            <w:vAlign w:val="center"/>
          </w:tcPr>
          <w:p w14:paraId="68D184FB">
            <w:pPr>
              <w:adjustRightInd w:val="0"/>
              <w:snapToGrid w:val="0"/>
              <w:jc w:val="center"/>
              <w:rPr>
                <w:rFonts w:ascii="Times New Roman" w:eastAsia="仿宋"/>
                <w:szCs w:val="24"/>
              </w:rPr>
            </w:pPr>
            <w:r>
              <w:rPr>
                <w:rFonts w:ascii="Times New Roman" w:eastAsia="仿宋"/>
                <w:szCs w:val="24"/>
              </w:rPr>
              <w:t>0.</w:t>
            </w:r>
            <w:r>
              <w:rPr>
                <w:rFonts w:hint="eastAsia" w:ascii="Times New Roman" w:eastAsia="仿宋"/>
                <w:szCs w:val="24"/>
              </w:rPr>
              <w:t>9</w:t>
            </w:r>
          </w:p>
        </w:tc>
        <w:tc>
          <w:tcPr>
            <w:tcW w:w="992" w:type="dxa"/>
            <w:vMerge w:val="restart"/>
            <w:vAlign w:val="center"/>
          </w:tcPr>
          <w:p w14:paraId="311A99FD">
            <w:pPr>
              <w:adjustRightInd w:val="0"/>
              <w:snapToGrid w:val="0"/>
              <w:jc w:val="center"/>
              <w:rPr>
                <w:rFonts w:ascii="Times New Roman" w:eastAsia="仿宋"/>
                <w:szCs w:val="21"/>
              </w:rPr>
            </w:pPr>
            <w:r>
              <w:rPr>
                <w:rFonts w:hint="eastAsia" w:ascii="Times New Roman" w:eastAsia="仿宋"/>
                <w:szCs w:val="21"/>
              </w:rPr>
              <w:t>50</w:t>
            </w:r>
          </w:p>
        </w:tc>
        <w:tc>
          <w:tcPr>
            <w:tcW w:w="1051" w:type="dxa"/>
            <w:vMerge w:val="restart"/>
            <w:vAlign w:val="center"/>
          </w:tcPr>
          <w:p w14:paraId="06C77736">
            <w:pPr>
              <w:adjustRightInd w:val="0"/>
              <w:snapToGrid w:val="0"/>
              <w:jc w:val="center"/>
              <w:rPr>
                <w:rFonts w:ascii="Times New Roman" w:eastAsia="仿宋"/>
                <w:szCs w:val="21"/>
              </w:rPr>
            </w:pPr>
            <w:r>
              <w:rPr>
                <w:rFonts w:hint="eastAsia" w:ascii="Times New Roman" w:eastAsia="仿宋"/>
                <w:szCs w:val="21"/>
              </w:rPr>
              <w:t>连续4800h</w:t>
            </w:r>
          </w:p>
        </w:tc>
      </w:tr>
      <w:tr w14:paraId="798F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3C2C6992">
            <w:pPr>
              <w:adjustRightInd w:val="0"/>
              <w:snapToGrid w:val="0"/>
              <w:jc w:val="center"/>
              <w:rPr>
                <w:rFonts w:ascii="Times New Roman" w:eastAsia="仿宋"/>
                <w:szCs w:val="24"/>
              </w:rPr>
            </w:pPr>
          </w:p>
        </w:tc>
        <w:tc>
          <w:tcPr>
            <w:tcW w:w="1408" w:type="dxa"/>
            <w:vMerge w:val="continue"/>
            <w:vAlign w:val="center"/>
          </w:tcPr>
          <w:p w14:paraId="78919030">
            <w:pPr>
              <w:adjustRightInd w:val="0"/>
              <w:snapToGrid w:val="0"/>
              <w:jc w:val="center"/>
              <w:rPr>
                <w:rFonts w:ascii="Times New Roman" w:eastAsia="仿宋"/>
                <w:szCs w:val="24"/>
              </w:rPr>
            </w:pPr>
          </w:p>
        </w:tc>
        <w:tc>
          <w:tcPr>
            <w:tcW w:w="989" w:type="dxa"/>
            <w:vMerge w:val="continue"/>
            <w:vAlign w:val="center"/>
          </w:tcPr>
          <w:p w14:paraId="1DE4B69F">
            <w:pPr>
              <w:adjustRightInd w:val="0"/>
              <w:snapToGrid w:val="0"/>
              <w:jc w:val="center"/>
              <w:rPr>
                <w:rFonts w:ascii="Times New Roman" w:eastAsia="仿宋"/>
                <w:szCs w:val="24"/>
              </w:rPr>
            </w:pPr>
          </w:p>
        </w:tc>
        <w:tc>
          <w:tcPr>
            <w:tcW w:w="1275" w:type="dxa"/>
            <w:vAlign w:val="center"/>
          </w:tcPr>
          <w:p w14:paraId="7BDD8A5C">
            <w:pPr>
              <w:adjustRightInd w:val="0"/>
              <w:snapToGrid w:val="0"/>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18A12D32">
            <w:pPr>
              <w:widowControl/>
              <w:jc w:val="center"/>
              <w:textAlignment w:val="center"/>
              <w:rPr>
                <w:rFonts w:ascii="Times New Roman" w:eastAsia="仿宋"/>
                <w:szCs w:val="24"/>
              </w:rPr>
            </w:pPr>
          </w:p>
        </w:tc>
        <w:tc>
          <w:tcPr>
            <w:tcW w:w="1559" w:type="dxa"/>
            <w:vAlign w:val="center"/>
          </w:tcPr>
          <w:p w14:paraId="5EA5E6E1">
            <w:pPr>
              <w:widowControl/>
              <w:jc w:val="center"/>
              <w:textAlignment w:val="center"/>
              <w:rPr>
                <w:rFonts w:ascii="Times New Roman" w:eastAsia="仿宋"/>
                <w:szCs w:val="24"/>
              </w:rPr>
            </w:pPr>
            <w:r>
              <w:rPr>
                <w:rFonts w:hint="eastAsia" w:ascii="Times New Roman" w:eastAsia="仿宋"/>
                <w:szCs w:val="24"/>
              </w:rPr>
              <w:t>63.07</w:t>
            </w:r>
          </w:p>
        </w:tc>
        <w:tc>
          <w:tcPr>
            <w:tcW w:w="1134" w:type="dxa"/>
            <w:vAlign w:val="center"/>
          </w:tcPr>
          <w:p w14:paraId="74C54005">
            <w:pPr>
              <w:widowControl/>
              <w:jc w:val="center"/>
              <w:textAlignment w:val="center"/>
              <w:rPr>
                <w:rFonts w:ascii="Times New Roman" w:eastAsia="仿宋"/>
                <w:szCs w:val="24"/>
              </w:rPr>
            </w:pPr>
            <w:r>
              <w:rPr>
                <w:rFonts w:hint="eastAsia" w:ascii="Times New Roman" w:eastAsia="仿宋"/>
                <w:szCs w:val="24"/>
              </w:rPr>
              <w:t>1.64</w:t>
            </w:r>
          </w:p>
        </w:tc>
        <w:tc>
          <w:tcPr>
            <w:tcW w:w="993" w:type="dxa"/>
            <w:vAlign w:val="center"/>
          </w:tcPr>
          <w:p w14:paraId="65C1192F">
            <w:pPr>
              <w:widowControl/>
              <w:jc w:val="center"/>
              <w:textAlignment w:val="center"/>
              <w:rPr>
                <w:rFonts w:ascii="Times New Roman" w:eastAsia="仿宋"/>
                <w:szCs w:val="24"/>
              </w:rPr>
            </w:pPr>
            <w:r>
              <w:rPr>
                <w:rFonts w:hint="eastAsia" w:ascii="Times New Roman" w:eastAsia="仿宋"/>
                <w:szCs w:val="24"/>
              </w:rPr>
              <w:t>7.88</w:t>
            </w:r>
          </w:p>
        </w:tc>
        <w:tc>
          <w:tcPr>
            <w:tcW w:w="1559" w:type="dxa"/>
            <w:vMerge w:val="continue"/>
            <w:vAlign w:val="center"/>
          </w:tcPr>
          <w:p w14:paraId="68953F3A">
            <w:pPr>
              <w:jc w:val="center"/>
              <w:rPr>
                <w:rFonts w:ascii="Times New Roman" w:eastAsia="仿宋"/>
                <w:szCs w:val="21"/>
              </w:rPr>
            </w:pPr>
          </w:p>
        </w:tc>
        <w:tc>
          <w:tcPr>
            <w:tcW w:w="850" w:type="dxa"/>
            <w:vMerge w:val="continue"/>
            <w:vAlign w:val="center"/>
          </w:tcPr>
          <w:p w14:paraId="7DF86CB8">
            <w:pPr>
              <w:adjustRightInd w:val="0"/>
              <w:snapToGrid w:val="0"/>
              <w:jc w:val="center"/>
              <w:rPr>
                <w:rFonts w:ascii="Times New Roman" w:eastAsia="仿宋"/>
                <w:szCs w:val="24"/>
              </w:rPr>
            </w:pPr>
          </w:p>
        </w:tc>
        <w:tc>
          <w:tcPr>
            <w:tcW w:w="709" w:type="dxa"/>
            <w:vMerge w:val="continue"/>
            <w:vAlign w:val="center"/>
          </w:tcPr>
          <w:p w14:paraId="35B6E6D9">
            <w:pPr>
              <w:adjustRightInd w:val="0"/>
              <w:snapToGrid w:val="0"/>
              <w:jc w:val="center"/>
              <w:rPr>
                <w:rFonts w:ascii="Times New Roman" w:eastAsia="仿宋"/>
                <w:szCs w:val="24"/>
              </w:rPr>
            </w:pPr>
          </w:p>
        </w:tc>
        <w:tc>
          <w:tcPr>
            <w:tcW w:w="992" w:type="dxa"/>
            <w:vMerge w:val="continue"/>
            <w:vAlign w:val="center"/>
          </w:tcPr>
          <w:p w14:paraId="3BB9BA7F">
            <w:pPr>
              <w:adjustRightInd w:val="0"/>
              <w:snapToGrid w:val="0"/>
              <w:jc w:val="center"/>
              <w:rPr>
                <w:rFonts w:ascii="Times New Roman" w:eastAsia="仿宋"/>
                <w:szCs w:val="21"/>
              </w:rPr>
            </w:pPr>
          </w:p>
        </w:tc>
        <w:tc>
          <w:tcPr>
            <w:tcW w:w="1051" w:type="dxa"/>
            <w:vMerge w:val="continue"/>
            <w:vAlign w:val="center"/>
          </w:tcPr>
          <w:p w14:paraId="2D1C1F5C">
            <w:pPr>
              <w:adjustRightInd w:val="0"/>
              <w:snapToGrid w:val="0"/>
              <w:jc w:val="center"/>
              <w:rPr>
                <w:rFonts w:ascii="Times New Roman" w:eastAsia="仿宋"/>
                <w:szCs w:val="21"/>
              </w:rPr>
            </w:pPr>
          </w:p>
        </w:tc>
      </w:tr>
      <w:tr w14:paraId="33FA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0CB91162">
            <w:pPr>
              <w:adjustRightInd w:val="0"/>
              <w:snapToGrid w:val="0"/>
              <w:jc w:val="center"/>
              <w:rPr>
                <w:rFonts w:ascii="Times New Roman" w:eastAsia="仿宋"/>
                <w:szCs w:val="24"/>
              </w:rPr>
            </w:pPr>
          </w:p>
        </w:tc>
        <w:tc>
          <w:tcPr>
            <w:tcW w:w="1408" w:type="dxa"/>
            <w:vMerge w:val="restart"/>
            <w:vAlign w:val="center"/>
          </w:tcPr>
          <w:p w14:paraId="2C7299E0">
            <w:pPr>
              <w:adjustRightInd w:val="0"/>
              <w:snapToGrid w:val="0"/>
              <w:jc w:val="center"/>
              <w:rPr>
                <w:rFonts w:ascii="Times New Roman" w:eastAsia="仿宋"/>
                <w:szCs w:val="24"/>
              </w:rPr>
            </w:pPr>
            <w:r>
              <w:rPr>
                <w:rFonts w:hint="eastAsia" w:ascii="Times New Roman" w:eastAsia="仿宋"/>
                <w:szCs w:val="24"/>
              </w:rPr>
              <w:t>氟碳底漆喷漆废气G10</w:t>
            </w:r>
          </w:p>
        </w:tc>
        <w:tc>
          <w:tcPr>
            <w:tcW w:w="989" w:type="dxa"/>
            <w:vMerge w:val="continue"/>
            <w:vAlign w:val="center"/>
          </w:tcPr>
          <w:p w14:paraId="2FC869E6">
            <w:pPr>
              <w:adjustRightInd w:val="0"/>
              <w:snapToGrid w:val="0"/>
              <w:jc w:val="center"/>
              <w:rPr>
                <w:rFonts w:ascii="Times New Roman" w:eastAsia="仿宋"/>
                <w:szCs w:val="24"/>
              </w:rPr>
            </w:pPr>
          </w:p>
        </w:tc>
        <w:tc>
          <w:tcPr>
            <w:tcW w:w="1275" w:type="dxa"/>
            <w:vAlign w:val="center"/>
          </w:tcPr>
          <w:p w14:paraId="18173D91">
            <w:pPr>
              <w:jc w:val="center"/>
              <w:rPr>
                <w:rFonts w:ascii="Times New Roman" w:eastAsia="仿宋"/>
                <w:szCs w:val="21"/>
              </w:rPr>
            </w:pPr>
            <w:r>
              <w:rPr>
                <w:rFonts w:hint="eastAsia" w:ascii="Times New Roman" w:eastAsia="仿宋"/>
                <w:szCs w:val="21"/>
              </w:rPr>
              <w:t>非甲烷总烃</w:t>
            </w:r>
          </w:p>
        </w:tc>
        <w:tc>
          <w:tcPr>
            <w:tcW w:w="1276" w:type="dxa"/>
            <w:vMerge w:val="restart"/>
            <w:vAlign w:val="center"/>
          </w:tcPr>
          <w:p w14:paraId="0060989C">
            <w:pPr>
              <w:widowControl/>
              <w:jc w:val="center"/>
              <w:textAlignment w:val="center"/>
              <w:rPr>
                <w:rFonts w:ascii="Times New Roman" w:eastAsia="仿宋"/>
                <w:szCs w:val="24"/>
              </w:rPr>
            </w:pPr>
            <w:r>
              <w:rPr>
                <w:rFonts w:hint="eastAsia" w:ascii="Times New Roman" w:eastAsia="仿宋"/>
                <w:szCs w:val="24"/>
              </w:rPr>
              <w:t>物料衡算法</w:t>
            </w:r>
          </w:p>
        </w:tc>
        <w:tc>
          <w:tcPr>
            <w:tcW w:w="1559" w:type="dxa"/>
            <w:vAlign w:val="center"/>
          </w:tcPr>
          <w:p w14:paraId="270C6FB9">
            <w:pPr>
              <w:widowControl/>
              <w:jc w:val="center"/>
              <w:textAlignment w:val="center"/>
              <w:rPr>
                <w:rFonts w:ascii="Times New Roman" w:eastAsia="仿宋"/>
                <w:szCs w:val="24"/>
              </w:rPr>
            </w:pPr>
            <w:r>
              <w:rPr>
                <w:rFonts w:hint="eastAsia" w:ascii="Times New Roman" w:eastAsia="仿宋"/>
                <w:szCs w:val="24"/>
              </w:rPr>
              <w:t>54.23</w:t>
            </w:r>
          </w:p>
        </w:tc>
        <w:tc>
          <w:tcPr>
            <w:tcW w:w="1134" w:type="dxa"/>
            <w:vAlign w:val="center"/>
          </w:tcPr>
          <w:p w14:paraId="774BF919">
            <w:pPr>
              <w:widowControl/>
              <w:jc w:val="center"/>
              <w:textAlignment w:val="center"/>
              <w:rPr>
                <w:rFonts w:ascii="Times New Roman" w:eastAsia="仿宋"/>
                <w:szCs w:val="24"/>
              </w:rPr>
            </w:pPr>
            <w:r>
              <w:rPr>
                <w:rFonts w:hint="eastAsia" w:ascii="Times New Roman" w:eastAsia="仿宋"/>
                <w:szCs w:val="24"/>
              </w:rPr>
              <w:t>1.41</w:t>
            </w:r>
          </w:p>
        </w:tc>
        <w:tc>
          <w:tcPr>
            <w:tcW w:w="993" w:type="dxa"/>
            <w:vAlign w:val="center"/>
          </w:tcPr>
          <w:p w14:paraId="76536491">
            <w:pPr>
              <w:widowControl/>
              <w:jc w:val="center"/>
              <w:textAlignment w:val="center"/>
              <w:rPr>
                <w:rFonts w:ascii="Times New Roman" w:eastAsia="仿宋"/>
                <w:szCs w:val="24"/>
              </w:rPr>
            </w:pPr>
            <w:r>
              <w:rPr>
                <w:rFonts w:hint="eastAsia" w:ascii="Times New Roman" w:eastAsia="仿宋"/>
                <w:szCs w:val="24"/>
              </w:rPr>
              <w:t>6.79</w:t>
            </w:r>
          </w:p>
        </w:tc>
        <w:tc>
          <w:tcPr>
            <w:tcW w:w="1559" w:type="dxa"/>
            <w:vMerge w:val="continue"/>
            <w:vAlign w:val="center"/>
          </w:tcPr>
          <w:p w14:paraId="3A7566C5">
            <w:pPr>
              <w:adjustRightInd w:val="0"/>
              <w:snapToGrid w:val="0"/>
              <w:jc w:val="center"/>
              <w:rPr>
                <w:rFonts w:ascii="Times New Roman" w:eastAsia="仿宋"/>
                <w:szCs w:val="24"/>
              </w:rPr>
            </w:pPr>
          </w:p>
        </w:tc>
        <w:tc>
          <w:tcPr>
            <w:tcW w:w="850" w:type="dxa"/>
            <w:vMerge w:val="continue"/>
            <w:vAlign w:val="center"/>
          </w:tcPr>
          <w:p w14:paraId="44AC4F1D">
            <w:pPr>
              <w:adjustRightInd w:val="0"/>
              <w:snapToGrid w:val="0"/>
              <w:jc w:val="center"/>
              <w:rPr>
                <w:rFonts w:ascii="Times New Roman" w:eastAsia="仿宋"/>
                <w:szCs w:val="24"/>
              </w:rPr>
            </w:pPr>
          </w:p>
        </w:tc>
        <w:tc>
          <w:tcPr>
            <w:tcW w:w="709" w:type="dxa"/>
            <w:vMerge w:val="continue"/>
            <w:vAlign w:val="center"/>
          </w:tcPr>
          <w:p w14:paraId="1EF572AC">
            <w:pPr>
              <w:adjustRightInd w:val="0"/>
              <w:snapToGrid w:val="0"/>
              <w:jc w:val="center"/>
              <w:rPr>
                <w:rFonts w:ascii="Times New Roman" w:eastAsia="仿宋"/>
                <w:szCs w:val="24"/>
              </w:rPr>
            </w:pPr>
          </w:p>
        </w:tc>
        <w:tc>
          <w:tcPr>
            <w:tcW w:w="992" w:type="dxa"/>
            <w:vMerge w:val="continue"/>
            <w:vAlign w:val="center"/>
          </w:tcPr>
          <w:p w14:paraId="6E23AA6E">
            <w:pPr>
              <w:adjustRightInd w:val="0"/>
              <w:snapToGrid w:val="0"/>
              <w:jc w:val="center"/>
              <w:rPr>
                <w:rFonts w:ascii="Times New Roman" w:eastAsia="仿宋"/>
                <w:szCs w:val="21"/>
              </w:rPr>
            </w:pPr>
          </w:p>
        </w:tc>
        <w:tc>
          <w:tcPr>
            <w:tcW w:w="1051" w:type="dxa"/>
            <w:vMerge w:val="continue"/>
            <w:vAlign w:val="center"/>
          </w:tcPr>
          <w:p w14:paraId="4F80D765">
            <w:pPr>
              <w:adjustRightInd w:val="0"/>
              <w:snapToGrid w:val="0"/>
              <w:jc w:val="center"/>
              <w:rPr>
                <w:rFonts w:ascii="Times New Roman" w:eastAsia="仿宋"/>
                <w:szCs w:val="21"/>
              </w:rPr>
            </w:pPr>
          </w:p>
        </w:tc>
      </w:tr>
      <w:tr w14:paraId="1DB6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79086E88">
            <w:pPr>
              <w:adjustRightInd w:val="0"/>
              <w:snapToGrid w:val="0"/>
              <w:jc w:val="center"/>
              <w:rPr>
                <w:rFonts w:ascii="Times New Roman" w:eastAsia="仿宋"/>
                <w:szCs w:val="24"/>
              </w:rPr>
            </w:pPr>
          </w:p>
        </w:tc>
        <w:tc>
          <w:tcPr>
            <w:tcW w:w="1408" w:type="dxa"/>
            <w:vMerge w:val="continue"/>
            <w:vAlign w:val="center"/>
          </w:tcPr>
          <w:p w14:paraId="41BD70EA">
            <w:pPr>
              <w:adjustRightInd w:val="0"/>
              <w:snapToGrid w:val="0"/>
              <w:jc w:val="center"/>
              <w:rPr>
                <w:rFonts w:ascii="Times New Roman" w:eastAsia="仿宋"/>
                <w:szCs w:val="24"/>
              </w:rPr>
            </w:pPr>
          </w:p>
        </w:tc>
        <w:tc>
          <w:tcPr>
            <w:tcW w:w="989" w:type="dxa"/>
            <w:vMerge w:val="continue"/>
            <w:vAlign w:val="center"/>
          </w:tcPr>
          <w:p w14:paraId="1D07554A">
            <w:pPr>
              <w:adjustRightInd w:val="0"/>
              <w:snapToGrid w:val="0"/>
              <w:jc w:val="center"/>
              <w:rPr>
                <w:rFonts w:ascii="Times New Roman" w:eastAsia="仿宋"/>
                <w:szCs w:val="24"/>
              </w:rPr>
            </w:pPr>
          </w:p>
        </w:tc>
        <w:tc>
          <w:tcPr>
            <w:tcW w:w="1275" w:type="dxa"/>
            <w:vAlign w:val="center"/>
          </w:tcPr>
          <w:p w14:paraId="617EC5A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670378C1">
            <w:pPr>
              <w:widowControl/>
              <w:jc w:val="center"/>
              <w:textAlignment w:val="center"/>
              <w:rPr>
                <w:rFonts w:ascii="Times New Roman" w:eastAsia="仿宋"/>
                <w:szCs w:val="24"/>
              </w:rPr>
            </w:pPr>
          </w:p>
        </w:tc>
        <w:tc>
          <w:tcPr>
            <w:tcW w:w="1559" w:type="dxa"/>
            <w:shd w:val="clear" w:color="auto" w:fill="auto"/>
            <w:vAlign w:val="center"/>
          </w:tcPr>
          <w:p w14:paraId="116C0335">
            <w:pPr>
              <w:widowControl/>
              <w:jc w:val="center"/>
              <w:textAlignment w:val="center"/>
              <w:rPr>
                <w:rFonts w:ascii="Times New Roman" w:eastAsia="仿宋"/>
                <w:szCs w:val="24"/>
              </w:rPr>
            </w:pPr>
            <w:r>
              <w:rPr>
                <w:rFonts w:hint="eastAsia" w:ascii="Times New Roman" w:eastAsia="仿宋"/>
                <w:szCs w:val="24"/>
              </w:rPr>
              <w:t>54.23</w:t>
            </w:r>
          </w:p>
        </w:tc>
        <w:tc>
          <w:tcPr>
            <w:tcW w:w="1134" w:type="dxa"/>
            <w:shd w:val="clear" w:color="auto" w:fill="auto"/>
            <w:vAlign w:val="center"/>
          </w:tcPr>
          <w:p w14:paraId="4470FC69">
            <w:pPr>
              <w:widowControl/>
              <w:jc w:val="center"/>
              <w:textAlignment w:val="center"/>
              <w:rPr>
                <w:rFonts w:ascii="Times New Roman" w:eastAsia="仿宋"/>
                <w:szCs w:val="24"/>
              </w:rPr>
            </w:pPr>
            <w:r>
              <w:rPr>
                <w:rFonts w:hint="eastAsia" w:ascii="Times New Roman" w:eastAsia="仿宋"/>
                <w:szCs w:val="24"/>
              </w:rPr>
              <w:t>1.41</w:t>
            </w:r>
          </w:p>
        </w:tc>
        <w:tc>
          <w:tcPr>
            <w:tcW w:w="993" w:type="dxa"/>
            <w:vAlign w:val="center"/>
          </w:tcPr>
          <w:p w14:paraId="5A87B82C">
            <w:pPr>
              <w:widowControl/>
              <w:jc w:val="center"/>
              <w:textAlignment w:val="center"/>
              <w:rPr>
                <w:rFonts w:ascii="Times New Roman" w:eastAsia="仿宋"/>
                <w:szCs w:val="24"/>
              </w:rPr>
            </w:pPr>
            <w:r>
              <w:rPr>
                <w:rFonts w:hint="eastAsia" w:ascii="Times New Roman" w:eastAsia="仿宋"/>
                <w:szCs w:val="24"/>
              </w:rPr>
              <w:t>6.79</w:t>
            </w:r>
          </w:p>
        </w:tc>
        <w:tc>
          <w:tcPr>
            <w:tcW w:w="1559" w:type="dxa"/>
            <w:vMerge w:val="continue"/>
            <w:vAlign w:val="center"/>
          </w:tcPr>
          <w:p w14:paraId="32B4502F">
            <w:pPr>
              <w:adjustRightInd w:val="0"/>
              <w:snapToGrid w:val="0"/>
              <w:jc w:val="center"/>
              <w:rPr>
                <w:rFonts w:ascii="Times New Roman" w:eastAsia="仿宋"/>
                <w:bCs/>
                <w:szCs w:val="24"/>
              </w:rPr>
            </w:pPr>
          </w:p>
        </w:tc>
        <w:tc>
          <w:tcPr>
            <w:tcW w:w="850" w:type="dxa"/>
            <w:vMerge w:val="continue"/>
            <w:vAlign w:val="center"/>
          </w:tcPr>
          <w:p w14:paraId="62D24686">
            <w:pPr>
              <w:adjustRightInd w:val="0"/>
              <w:snapToGrid w:val="0"/>
              <w:jc w:val="center"/>
              <w:rPr>
                <w:rFonts w:ascii="Times New Roman" w:eastAsia="仿宋"/>
                <w:szCs w:val="24"/>
              </w:rPr>
            </w:pPr>
          </w:p>
        </w:tc>
        <w:tc>
          <w:tcPr>
            <w:tcW w:w="709" w:type="dxa"/>
            <w:vMerge w:val="continue"/>
            <w:vAlign w:val="center"/>
          </w:tcPr>
          <w:p w14:paraId="59F2DAE5">
            <w:pPr>
              <w:adjustRightInd w:val="0"/>
              <w:snapToGrid w:val="0"/>
              <w:jc w:val="center"/>
              <w:rPr>
                <w:rFonts w:ascii="Times New Roman" w:eastAsia="仿宋"/>
                <w:szCs w:val="24"/>
              </w:rPr>
            </w:pPr>
          </w:p>
        </w:tc>
        <w:tc>
          <w:tcPr>
            <w:tcW w:w="992" w:type="dxa"/>
            <w:vMerge w:val="continue"/>
            <w:vAlign w:val="center"/>
          </w:tcPr>
          <w:p w14:paraId="7D61E613">
            <w:pPr>
              <w:adjustRightInd w:val="0"/>
              <w:snapToGrid w:val="0"/>
              <w:jc w:val="center"/>
              <w:rPr>
                <w:rFonts w:ascii="Times New Roman" w:eastAsia="仿宋"/>
                <w:szCs w:val="21"/>
              </w:rPr>
            </w:pPr>
          </w:p>
        </w:tc>
        <w:tc>
          <w:tcPr>
            <w:tcW w:w="1051" w:type="dxa"/>
            <w:vMerge w:val="continue"/>
            <w:vAlign w:val="center"/>
          </w:tcPr>
          <w:p w14:paraId="6D88C060">
            <w:pPr>
              <w:adjustRightInd w:val="0"/>
              <w:snapToGrid w:val="0"/>
              <w:jc w:val="center"/>
              <w:rPr>
                <w:rFonts w:ascii="Times New Roman" w:eastAsia="仿宋"/>
                <w:szCs w:val="21"/>
              </w:rPr>
            </w:pPr>
          </w:p>
        </w:tc>
      </w:tr>
      <w:tr w14:paraId="2FA1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3C134665">
            <w:pPr>
              <w:adjustRightInd w:val="0"/>
              <w:snapToGrid w:val="0"/>
              <w:jc w:val="center"/>
              <w:rPr>
                <w:rFonts w:ascii="Times New Roman" w:eastAsia="仿宋"/>
                <w:szCs w:val="24"/>
              </w:rPr>
            </w:pPr>
          </w:p>
        </w:tc>
        <w:tc>
          <w:tcPr>
            <w:tcW w:w="1408" w:type="dxa"/>
            <w:vMerge w:val="continue"/>
            <w:vAlign w:val="center"/>
          </w:tcPr>
          <w:p w14:paraId="6FD54E36">
            <w:pPr>
              <w:adjustRightInd w:val="0"/>
              <w:snapToGrid w:val="0"/>
              <w:jc w:val="center"/>
              <w:rPr>
                <w:rFonts w:ascii="Times New Roman" w:eastAsia="仿宋"/>
                <w:szCs w:val="24"/>
              </w:rPr>
            </w:pPr>
          </w:p>
        </w:tc>
        <w:tc>
          <w:tcPr>
            <w:tcW w:w="989" w:type="dxa"/>
            <w:vMerge w:val="continue"/>
            <w:vAlign w:val="center"/>
          </w:tcPr>
          <w:p w14:paraId="4A662C70">
            <w:pPr>
              <w:adjustRightInd w:val="0"/>
              <w:snapToGrid w:val="0"/>
              <w:jc w:val="center"/>
              <w:rPr>
                <w:rFonts w:ascii="Times New Roman" w:eastAsia="仿宋"/>
                <w:szCs w:val="24"/>
              </w:rPr>
            </w:pPr>
          </w:p>
        </w:tc>
        <w:tc>
          <w:tcPr>
            <w:tcW w:w="1275" w:type="dxa"/>
            <w:vAlign w:val="center"/>
          </w:tcPr>
          <w:p w14:paraId="01CA1413">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50D00E3D">
            <w:pPr>
              <w:widowControl/>
              <w:jc w:val="center"/>
              <w:textAlignment w:val="center"/>
              <w:rPr>
                <w:rFonts w:ascii="Times New Roman" w:eastAsia="仿宋"/>
                <w:szCs w:val="24"/>
              </w:rPr>
            </w:pPr>
          </w:p>
        </w:tc>
        <w:tc>
          <w:tcPr>
            <w:tcW w:w="1559" w:type="dxa"/>
            <w:vAlign w:val="center"/>
          </w:tcPr>
          <w:p w14:paraId="7D019DA5">
            <w:pPr>
              <w:widowControl/>
              <w:jc w:val="center"/>
              <w:textAlignment w:val="center"/>
              <w:rPr>
                <w:rFonts w:ascii="Times New Roman" w:eastAsia="仿宋"/>
                <w:szCs w:val="24"/>
              </w:rPr>
            </w:pPr>
            <w:r>
              <w:rPr>
                <w:rFonts w:hint="eastAsia" w:ascii="Times New Roman" w:eastAsia="仿宋"/>
                <w:szCs w:val="24"/>
              </w:rPr>
              <w:t>15.76</w:t>
            </w:r>
          </w:p>
        </w:tc>
        <w:tc>
          <w:tcPr>
            <w:tcW w:w="1134" w:type="dxa"/>
            <w:vAlign w:val="center"/>
          </w:tcPr>
          <w:p w14:paraId="57497505">
            <w:pPr>
              <w:widowControl/>
              <w:jc w:val="center"/>
              <w:textAlignment w:val="center"/>
              <w:rPr>
                <w:rFonts w:ascii="Times New Roman" w:eastAsia="仿宋"/>
                <w:szCs w:val="24"/>
              </w:rPr>
            </w:pPr>
            <w:r>
              <w:rPr>
                <w:rFonts w:hint="eastAsia" w:ascii="Times New Roman" w:eastAsia="仿宋"/>
                <w:szCs w:val="24"/>
              </w:rPr>
              <w:t>0.41</w:t>
            </w:r>
          </w:p>
        </w:tc>
        <w:tc>
          <w:tcPr>
            <w:tcW w:w="993" w:type="dxa"/>
            <w:vAlign w:val="center"/>
          </w:tcPr>
          <w:p w14:paraId="5DE8E64E">
            <w:pPr>
              <w:widowControl/>
              <w:jc w:val="center"/>
              <w:textAlignment w:val="center"/>
              <w:rPr>
                <w:rFonts w:ascii="Times New Roman" w:eastAsia="仿宋"/>
                <w:szCs w:val="24"/>
              </w:rPr>
            </w:pPr>
            <w:r>
              <w:rPr>
                <w:rFonts w:hint="eastAsia" w:ascii="Times New Roman" w:eastAsia="仿宋"/>
                <w:szCs w:val="24"/>
              </w:rPr>
              <w:t>1.96</w:t>
            </w:r>
          </w:p>
        </w:tc>
        <w:tc>
          <w:tcPr>
            <w:tcW w:w="1559" w:type="dxa"/>
            <w:vMerge w:val="continue"/>
            <w:vAlign w:val="center"/>
          </w:tcPr>
          <w:p w14:paraId="68BE9B30">
            <w:pPr>
              <w:adjustRightInd w:val="0"/>
              <w:snapToGrid w:val="0"/>
              <w:jc w:val="center"/>
              <w:rPr>
                <w:rFonts w:ascii="Times New Roman" w:eastAsia="仿宋"/>
                <w:bCs/>
                <w:szCs w:val="24"/>
              </w:rPr>
            </w:pPr>
          </w:p>
        </w:tc>
        <w:tc>
          <w:tcPr>
            <w:tcW w:w="850" w:type="dxa"/>
            <w:vMerge w:val="continue"/>
            <w:vAlign w:val="center"/>
          </w:tcPr>
          <w:p w14:paraId="6C5FB0C1">
            <w:pPr>
              <w:adjustRightInd w:val="0"/>
              <w:snapToGrid w:val="0"/>
              <w:jc w:val="center"/>
              <w:rPr>
                <w:rFonts w:ascii="Times New Roman" w:eastAsia="仿宋"/>
                <w:szCs w:val="24"/>
              </w:rPr>
            </w:pPr>
          </w:p>
        </w:tc>
        <w:tc>
          <w:tcPr>
            <w:tcW w:w="709" w:type="dxa"/>
            <w:vMerge w:val="continue"/>
            <w:vAlign w:val="center"/>
          </w:tcPr>
          <w:p w14:paraId="31367B58">
            <w:pPr>
              <w:adjustRightInd w:val="0"/>
              <w:snapToGrid w:val="0"/>
              <w:jc w:val="center"/>
              <w:rPr>
                <w:rFonts w:ascii="Times New Roman" w:eastAsia="仿宋"/>
                <w:szCs w:val="24"/>
              </w:rPr>
            </w:pPr>
          </w:p>
        </w:tc>
        <w:tc>
          <w:tcPr>
            <w:tcW w:w="992" w:type="dxa"/>
            <w:vMerge w:val="continue"/>
            <w:vAlign w:val="center"/>
          </w:tcPr>
          <w:p w14:paraId="15B82666">
            <w:pPr>
              <w:adjustRightInd w:val="0"/>
              <w:snapToGrid w:val="0"/>
              <w:jc w:val="center"/>
              <w:rPr>
                <w:rFonts w:ascii="Times New Roman" w:eastAsia="仿宋"/>
                <w:szCs w:val="21"/>
              </w:rPr>
            </w:pPr>
          </w:p>
        </w:tc>
        <w:tc>
          <w:tcPr>
            <w:tcW w:w="1051" w:type="dxa"/>
            <w:vMerge w:val="continue"/>
            <w:vAlign w:val="center"/>
          </w:tcPr>
          <w:p w14:paraId="58BE059E">
            <w:pPr>
              <w:adjustRightInd w:val="0"/>
              <w:snapToGrid w:val="0"/>
              <w:jc w:val="center"/>
              <w:rPr>
                <w:rFonts w:ascii="Times New Roman" w:eastAsia="仿宋"/>
                <w:szCs w:val="21"/>
              </w:rPr>
            </w:pPr>
          </w:p>
        </w:tc>
      </w:tr>
      <w:tr w14:paraId="232B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2461C418">
            <w:pPr>
              <w:adjustRightInd w:val="0"/>
              <w:snapToGrid w:val="0"/>
              <w:jc w:val="center"/>
              <w:rPr>
                <w:rFonts w:ascii="Times New Roman" w:eastAsia="仿宋"/>
                <w:szCs w:val="24"/>
              </w:rPr>
            </w:pPr>
          </w:p>
        </w:tc>
        <w:tc>
          <w:tcPr>
            <w:tcW w:w="1408" w:type="dxa"/>
            <w:vMerge w:val="continue"/>
            <w:vAlign w:val="center"/>
          </w:tcPr>
          <w:p w14:paraId="4AB02AB3">
            <w:pPr>
              <w:adjustRightInd w:val="0"/>
              <w:snapToGrid w:val="0"/>
              <w:jc w:val="center"/>
              <w:rPr>
                <w:rFonts w:ascii="Times New Roman" w:eastAsia="仿宋"/>
                <w:szCs w:val="24"/>
              </w:rPr>
            </w:pPr>
          </w:p>
        </w:tc>
        <w:tc>
          <w:tcPr>
            <w:tcW w:w="989" w:type="dxa"/>
            <w:vMerge w:val="continue"/>
            <w:vAlign w:val="center"/>
          </w:tcPr>
          <w:p w14:paraId="00EB4211">
            <w:pPr>
              <w:adjustRightInd w:val="0"/>
              <w:snapToGrid w:val="0"/>
              <w:jc w:val="center"/>
              <w:rPr>
                <w:rFonts w:ascii="Times New Roman" w:eastAsia="仿宋"/>
                <w:szCs w:val="24"/>
              </w:rPr>
            </w:pPr>
          </w:p>
        </w:tc>
        <w:tc>
          <w:tcPr>
            <w:tcW w:w="1275" w:type="dxa"/>
            <w:vAlign w:val="center"/>
          </w:tcPr>
          <w:p w14:paraId="11F43670">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1786CF5A">
            <w:pPr>
              <w:widowControl/>
              <w:jc w:val="center"/>
              <w:textAlignment w:val="center"/>
              <w:rPr>
                <w:rFonts w:ascii="Times New Roman" w:eastAsia="仿宋"/>
                <w:szCs w:val="24"/>
              </w:rPr>
            </w:pPr>
          </w:p>
        </w:tc>
        <w:tc>
          <w:tcPr>
            <w:tcW w:w="1559" w:type="dxa"/>
            <w:vAlign w:val="center"/>
          </w:tcPr>
          <w:p w14:paraId="37E5E952">
            <w:pPr>
              <w:widowControl/>
              <w:jc w:val="center"/>
              <w:textAlignment w:val="center"/>
              <w:rPr>
                <w:rFonts w:ascii="Times New Roman" w:eastAsia="仿宋"/>
                <w:szCs w:val="24"/>
              </w:rPr>
            </w:pPr>
            <w:r>
              <w:rPr>
                <w:rFonts w:hint="eastAsia" w:ascii="Times New Roman" w:eastAsia="仿宋"/>
                <w:szCs w:val="24"/>
              </w:rPr>
              <w:t>15.76</w:t>
            </w:r>
          </w:p>
        </w:tc>
        <w:tc>
          <w:tcPr>
            <w:tcW w:w="1134" w:type="dxa"/>
            <w:vAlign w:val="center"/>
          </w:tcPr>
          <w:p w14:paraId="2BED7271">
            <w:pPr>
              <w:widowControl/>
              <w:jc w:val="center"/>
              <w:textAlignment w:val="center"/>
              <w:rPr>
                <w:rFonts w:ascii="Times New Roman" w:eastAsia="仿宋"/>
                <w:szCs w:val="24"/>
              </w:rPr>
            </w:pPr>
            <w:r>
              <w:rPr>
                <w:rFonts w:hint="eastAsia" w:ascii="Times New Roman" w:eastAsia="仿宋"/>
                <w:szCs w:val="24"/>
              </w:rPr>
              <w:t>0.41</w:t>
            </w:r>
          </w:p>
        </w:tc>
        <w:tc>
          <w:tcPr>
            <w:tcW w:w="993" w:type="dxa"/>
            <w:vAlign w:val="center"/>
          </w:tcPr>
          <w:p w14:paraId="3B8D6061">
            <w:pPr>
              <w:widowControl/>
              <w:jc w:val="center"/>
              <w:textAlignment w:val="center"/>
              <w:rPr>
                <w:rFonts w:ascii="Times New Roman" w:eastAsia="仿宋"/>
                <w:szCs w:val="24"/>
              </w:rPr>
            </w:pPr>
            <w:r>
              <w:rPr>
                <w:rFonts w:hint="eastAsia" w:ascii="Times New Roman" w:eastAsia="仿宋"/>
                <w:szCs w:val="24"/>
              </w:rPr>
              <w:t>1.96</w:t>
            </w:r>
          </w:p>
        </w:tc>
        <w:tc>
          <w:tcPr>
            <w:tcW w:w="1559" w:type="dxa"/>
            <w:vMerge w:val="continue"/>
            <w:vAlign w:val="center"/>
          </w:tcPr>
          <w:p w14:paraId="5171B033">
            <w:pPr>
              <w:adjustRightInd w:val="0"/>
              <w:snapToGrid w:val="0"/>
              <w:jc w:val="center"/>
              <w:rPr>
                <w:rFonts w:ascii="Times New Roman" w:eastAsia="仿宋"/>
                <w:bCs/>
                <w:szCs w:val="24"/>
              </w:rPr>
            </w:pPr>
          </w:p>
        </w:tc>
        <w:tc>
          <w:tcPr>
            <w:tcW w:w="850" w:type="dxa"/>
            <w:vMerge w:val="continue"/>
            <w:vAlign w:val="center"/>
          </w:tcPr>
          <w:p w14:paraId="084894AC">
            <w:pPr>
              <w:adjustRightInd w:val="0"/>
              <w:snapToGrid w:val="0"/>
              <w:jc w:val="center"/>
              <w:rPr>
                <w:rFonts w:ascii="Times New Roman" w:eastAsia="仿宋"/>
                <w:szCs w:val="24"/>
              </w:rPr>
            </w:pPr>
          </w:p>
        </w:tc>
        <w:tc>
          <w:tcPr>
            <w:tcW w:w="709" w:type="dxa"/>
            <w:vMerge w:val="continue"/>
            <w:vAlign w:val="center"/>
          </w:tcPr>
          <w:p w14:paraId="6BBAA289">
            <w:pPr>
              <w:adjustRightInd w:val="0"/>
              <w:snapToGrid w:val="0"/>
              <w:jc w:val="center"/>
              <w:rPr>
                <w:rFonts w:ascii="Times New Roman" w:eastAsia="仿宋"/>
                <w:szCs w:val="24"/>
              </w:rPr>
            </w:pPr>
          </w:p>
        </w:tc>
        <w:tc>
          <w:tcPr>
            <w:tcW w:w="992" w:type="dxa"/>
            <w:vMerge w:val="continue"/>
            <w:vAlign w:val="center"/>
          </w:tcPr>
          <w:p w14:paraId="7D69B5AD">
            <w:pPr>
              <w:adjustRightInd w:val="0"/>
              <w:snapToGrid w:val="0"/>
              <w:jc w:val="center"/>
              <w:rPr>
                <w:rFonts w:ascii="Times New Roman" w:eastAsia="仿宋"/>
                <w:szCs w:val="21"/>
              </w:rPr>
            </w:pPr>
          </w:p>
        </w:tc>
        <w:tc>
          <w:tcPr>
            <w:tcW w:w="1051" w:type="dxa"/>
            <w:vMerge w:val="continue"/>
            <w:vAlign w:val="center"/>
          </w:tcPr>
          <w:p w14:paraId="61630C45">
            <w:pPr>
              <w:adjustRightInd w:val="0"/>
              <w:snapToGrid w:val="0"/>
              <w:jc w:val="center"/>
              <w:rPr>
                <w:rFonts w:ascii="Times New Roman" w:eastAsia="仿宋"/>
                <w:szCs w:val="21"/>
              </w:rPr>
            </w:pPr>
          </w:p>
        </w:tc>
      </w:tr>
      <w:tr w14:paraId="2738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859" w:type="dxa"/>
            <w:vMerge w:val="continue"/>
            <w:vAlign w:val="center"/>
          </w:tcPr>
          <w:p w14:paraId="1575BD6F">
            <w:pPr>
              <w:adjustRightInd w:val="0"/>
              <w:snapToGrid w:val="0"/>
              <w:jc w:val="center"/>
              <w:rPr>
                <w:rFonts w:ascii="Times New Roman" w:eastAsia="仿宋"/>
                <w:szCs w:val="24"/>
              </w:rPr>
            </w:pPr>
          </w:p>
        </w:tc>
        <w:tc>
          <w:tcPr>
            <w:tcW w:w="1408" w:type="dxa"/>
            <w:vMerge w:val="continue"/>
            <w:tcBorders>
              <w:bottom w:val="single" w:color="auto" w:sz="4" w:space="0"/>
            </w:tcBorders>
            <w:vAlign w:val="center"/>
          </w:tcPr>
          <w:p w14:paraId="309E8938">
            <w:pPr>
              <w:adjustRightInd w:val="0"/>
              <w:snapToGrid w:val="0"/>
              <w:jc w:val="center"/>
              <w:rPr>
                <w:rFonts w:ascii="Times New Roman" w:eastAsia="仿宋"/>
                <w:szCs w:val="24"/>
              </w:rPr>
            </w:pPr>
          </w:p>
        </w:tc>
        <w:tc>
          <w:tcPr>
            <w:tcW w:w="989" w:type="dxa"/>
            <w:vMerge w:val="continue"/>
            <w:vAlign w:val="center"/>
          </w:tcPr>
          <w:p w14:paraId="746F26D2">
            <w:pPr>
              <w:adjustRightInd w:val="0"/>
              <w:snapToGrid w:val="0"/>
              <w:jc w:val="center"/>
              <w:rPr>
                <w:rFonts w:ascii="Times New Roman" w:eastAsia="仿宋"/>
                <w:szCs w:val="24"/>
              </w:rPr>
            </w:pPr>
          </w:p>
        </w:tc>
        <w:tc>
          <w:tcPr>
            <w:tcW w:w="1275" w:type="dxa"/>
            <w:tcBorders>
              <w:bottom w:val="single" w:color="auto" w:sz="4" w:space="0"/>
            </w:tcBorders>
            <w:vAlign w:val="center"/>
          </w:tcPr>
          <w:p w14:paraId="63797DF6">
            <w:pPr>
              <w:adjustRightInd w:val="0"/>
              <w:snapToGrid w:val="0"/>
              <w:jc w:val="center"/>
              <w:rPr>
                <w:rFonts w:ascii="Times New Roman" w:eastAsia="仿宋"/>
                <w:szCs w:val="24"/>
              </w:rPr>
            </w:pPr>
            <w:r>
              <w:rPr>
                <w:rFonts w:hint="eastAsia" w:ascii="Times New Roman" w:eastAsia="仿宋"/>
                <w:szCs w:val="21"/>
              </w:rPr>
              <w:t>颗粒物</w:t>
            </w:r>
          </w:p>
        </w:tc>
        <w:tc>
          <w:tcPr>
            <w:tcW w:w="1276" w:type="dxa"/>
            <w:vMerge w:val="continue"/>
            <w:vAlign w:val="center"/>
          </w:tcPr>
          <w:p w14:paraId="5CE46709">
            <w:pPr>
              <w:widowControl/>
              <w:jc w:val="center"/>
              <w:textAlignment w:val="center"/>
              <w:rPr>
                <w:rFonts w:ascii="Times New Roman" w:eastAsia="仿宋"/>
                <w:szCs w:val="24"/>
              </w:rPr>
            </w:pPr>
          </w:p>
        </w:tc>
        <w:tc>
          <w:tcPr>
            <w:tcW w:w="1559" w:type="dxa"/>
            <w:tcBorders>
              <w:bottom w:val="single" w:color="auto" w:sz="4" w:space="0"/>
            </w:tcBorders>
            <w:vAlign w:val="center"/>
          </w:tcPr>
          <w:p w14:paraId="7C9CE6E4">
            <w:pPr>
              <w:widowControl/>
              <w:jc w:val="center"/>
              <w:textAlignment w:val="center"/>
              <w:rPr>
                <w:rFonts w:ascii="Times New Roman" w:eastAsia="仿宋"/>
                <w:szCs w:val="24"/>
              </w:rPr>
            </w:pPr>
            <w:r>
              <w:rPr>
                <w:rFonts w:hint="eastAsia" w:ascii="Times New Roman" w:eastAsia="仿宋"/>
                <w:szCs w:val="24"/>
              </w:rPr>
              <w:t>28.84</w:t>
            </w:r>
          </w:p>
        </w:tc>
        <w:tc>
          <w:tcPr>
            <w:tcW w:w="1134" w:type="dxa"/>
            <w:tcBorders>
              <w:bottom w:val="single" w:color="auto" w:sz="4" w:space="0"/>
            </w:tcBorders>
            <w:vAlign w:val="center"/>
          </w:tcPr>
          <w:p w14:paraId="3BA28B1D">
            <w:pPr>
              <w:widowControl/>
              <w:jc w:val="center"/>
              <w:textAlignment w:val="center"/>
              <w:rPr>
                <w:rFonts w:ascii="Times New Roman" w:eastAsia="仿宋"/>
                <w:szCs w:val="24"/>
              </w:rPr>
            </w:pPr>
            <w:r>
              <w:rPr>
                <w:rFonts w:hint="eastAsia" w:ascii="Times New Roman" w:eastAsia="仿宋"/>
                <w:szCs w:val="24"/>
              </w:rPr>
              <w:t>0.75</w:t>
            </w:r>
          </w:p>
        </w:tc>
        <w:tc>
          <w:tcPr>
            <w:tcW w:w="993" w:type="dxa"/>
            <w:tcBorders>
              <w:bottom w:val="single" w:color="auto" w:sz="4" w:space="0"/>
            </w:tcBorders>
            <w:vAlign w:val="center"/>
          </w:tcPr>
          <w:p w14:paraId="347364C3">
            <w:pPr>
              <w:widowControl/>
              <w:jc w:val="center"/>
              <w:textAlignment w:val="center"/>
              <w:rPr>
                <w:rFonts w:ascii="Times New Roman" w:eastAsia="仿宋"/>
                <w:szCs w:val="24"/>
              </w:rPr>
            </w:pPr>
            <w:r>
              <w:rPr>
                <w:rFonts w:hint="eastAsia" w:ascii="Times New Roman" w:eastAsia="仿宋"/>
                <w:szCs w:val="24"/>
              </w:rPr>
              <w:t>3.6</w:t>
            </w:r>
          </w:p>
        </w:tc>
        <w:tc>
          <w:tcPr>
            <w:tcW w:w="1559" w:type="dxa"/>
            <w:vMerge w:val="continue"/>
            <w:vAlign w:val="center"/>
          </w:tcPr>
          <w:p w14:paraId="7072E2DB">
            <w:pPr>
              <w:adjustRightInd w:val="0"/>
              <w:snapToGrid w:val="0"/>
              <w:jc w:val="center"/>
              <w:rPr>
                <w:rFonts w:ascii="Times New Roman" w:eastAsia="仿宋"/>
                <w:szCs w:val="24"/>
              </w:rPr>
            </w:pPr>
          </w:p>
        </w:tc>
        <w:tc>
          <w:tcPr>
            <w:tcW w:w="850" w:type="dxa"/>
            <w:vMerge w:val="continue"/>
            <w:vAlign w:val="center"/>
          </w:tcPr>
          <w:p w14:paraId="38A9D24E">
            <w:pPr>
              <w:adjustRightInd w:val="0"/>
              <w:snapToGrid w:val="0"/>
              <w:jc w:val="center"/>
              <w:rPr>
                <w:rFonts w:ascii="Times New Roman" w:eastAsia="仿宋"/>
                <w:szCs w:val="24"/>
              </w:rPr>
            </w:pPr>
          </w:p>
        </w:tc>
        <w:tc>
          <w:tcPr>
            <w:tcW w:w="709" w:type="dxa"/>
            <w:vMerge w:val="continue"/>
            <w:vAlign w:val="center"/>
          </w:tcPr>
          <w:p w14:paraId="4B6B8CEA">
            <w:pPr>
              <w:adjustRightInd w:val="0"/>
              <w:snapToGrid w:val="0"/>
              <w:jc w:val="center"/>
              <w:rPr>
                <w:rFonts w:ascii="Times New Roman" w:eastAsia="仿宋"/>
                <w:szCs w:val="24"/>
              </w:rPr>
            </w:pPr>
          </w:p>
        </w:tc>
        <w:tc>
          <w:tcPr>
            <w:tcW w:w="992" w:type="dxa"/>
            <w:vMerge w:val="continue"/>
            <w:vAlign w:val="center"/>
          </w:tcPr>
          <w:p w14:paraId="7D446E84">
            <w:pPr>
              <w:adjustRightInd w:val="0"/>
              <w:snapToGrid w:val="0"/>
              <w:jc w:val="center"/>
              <w:rPr>
                <w:rFonts w:ascii="Times New Roman" w:eastAsia="仿宋"/>
                <w:szCs w:val="21"/>
              </w:rPr>
            </w:pPr>
          </w:p>
        </w:tc>
        <w:tc>
          <w:tcPr>
            <w:tcW w:w="1051" w:type="dxa"/>
            <w:vMerge w:val="continue"/>
            <w:vAlign w:val="center"/>
          </w:tcPr>
          <w:p w14:paraId="25743D02">
            <w:pPr>
              <w:adjustRightInd w:val="0"/>
              <w:snapToGrid w:val="0"/>
              <w:jc w:val="center"/>
              <w:rPr>
                <w:rFonts w:ascii="Times New Roman" w:eastAsia="仿宋"/>
                <w:szCs w:val="21"/>
              </w:rPr>
            </w:pPr>
          </w:p>
        </w:tc>
      </w:tr>
      <w:tr w14:paraId="6EF9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3E256D02">
            <w:pPr>
              <w:adjustRightInd w:val="0"/>
              <w:snapToGrid w:val="0"/>
              <w:jc w:val="center"/>
              <w:rPr>
                <w:rFonts w:ascii="Times New Roman" w:eastAsia="仿宋"/>
                <w:szCs w:val="24"/>
              </w:rPr>
            </w:pPr>
          </w:p>
        </w:tc>
        <w:tc>
          <w:tcPr>
            <w:tcW w:w="1408" w:type="dxa"/>
            <w:vMerge w:val="restart"/>
            <w:vAlign w:val="center"/>
          </w:tcPr>
          <w:p w14:paraId="4F3EC32D">
            <w:pPr>
              <w:adjustRightInd w:val="0"/>
              <w:snapToGrid w:val="0"/>
              <w:jc w:val="center"/>
              <w:rPr>
                <w:rFonts w:ascii="Times New Roman" w:eastAsia="仿宋"/>
                <w:szCs w:val="24"/>
              </w:rPr>
            </w:pPr>
            <w:r>
              <w:rPr>
                <w:rFonts w:hint="eastAsia" w:ascii="Times New Roman" w:eastAsia="仿宋"/>
                <w:szCs w:val="24"/>
              </w:rPr>
              <w:t>氟碳底漆流平废气G1</w:t>
            </w:r>
            <w:r>
              <w:rPr>
                <w:rFonts w:ascii="Times New Roman" w:eastAsia="仿宋"/>
                <w:szCs w:val="24"/>
              </w:rPr>
              <w:t>1</w:t>
            </w:r>
          </w:p>
        </w:tc>
        <w:tc>
          <w:tcPr>
            <w:tcW w:w="989" w:type="dxa"/>
            <w:vMerge w:val="continue"/>
            <w:vAlign w:val="center"/>
          </w:tcPr>
          <w:p w14:paraId="53D835F3">
            <w:pPr>
              <w:adjustRightInd w:val="0"/>
              <w:snapToGrid w:val="0"/>
              <w:jc w:val="center"/>
              <w:rPr>
                <w:rFonts w:ascii="Times New Roman" w:eastAsia="仿宋"/>
                <w:szCs w:val="24"/>
              </w:rPr>
            </w:pPr>
          </w:p>
        </w:tc>
        <w:tc>
          <w:tcPr>
            <w:tcW w:w="1275" w:type="dxa"/>
            <w:vAlign w:val="center"/>
          </w:tcPr>
          <w:p w14:paraId="2A2B94BD">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06209A13">
            <w:pPr>
              <w:widowControl/>
              <w:jc w:val="center"/>
              <w:textAlignment w:val="center"/>
              <w:rPr>
                <w:rFonts w:ascii="Times New Roman" w:eastAsia="仿宋"/>
                <w:szCs w:val="24"/>
              </w:rPr>
            </w:pPr>
          </w:p>
        </w:tc>
        <w:tc>
          <w:tcPr>
            <w:tcW w:w="1559" w:type="dxa"/>
            <w:vAlign w:val="center"/>
          </w:tcPr>
          <w:p w14:paraId="4C53B40E">
            <w:pPr>
              <w:widowControl/>
              <w:jc w:val="center"/>
              <w:textAlignment w:val="center"/>
              <w:rPr>
                <w:rFonts w:ascii="Times New Roman" w:eastAsia="仿宋"/>
                <w:szCs w:val="24"/>
              </w:rPr>
            </w:pPr>
            <w:r>
              <w:rPr>
                <w:rFonts w:hint="eastAsia" w:ascii="Times New Roman" w:eastAsia="仿宋"/>
                <w:szCs w:val="24"/>
              </w:rPr>
              <w:t>19.23</w:t>
            </w:r>
          </w:p>
        </w:tc>
        <w:tc>
          <w:tcPr>
            <w:tcW w:w="1134" w:type="dxa"/>
            <w:vAlign w:val="center"/>
          </w:tcPr>
          <w:p w14:paraId="7F986CF4">
            <w:pPr>
              <w:widowControl/>
              <w:jc w:val="center"/>
              <w:textAlignment w:val="center"/>
              <w:rPr>
                <w:rFonts w:ascii="Times New Roman" w:eastAsia="仿宋"/>
                <w:szCs w:val="24"/>
              </w:rPr>
            </w:pPr>
            <w:r>
              <w:rPr>
                <w:rFonts w:hint="eastAsia" w:ascii="Times New Roman" w:eastAsia="仿宋"/>
                <w:szCs w:val="24"/>
              </w:rPr>
              <w:t>0.5</w:t>
            </w:r>
          </w:p>
        </w:tc>
        <w:tc>
          <w:tcPr>
            <w:tcW w:w="993" w:type="dxa"/>
            <w:shd w:val="clear" w:color="auto" w:fill="auto"/>
            <w:vAlign w:val="center"/>
          </w:tcPr>
          <w:p w14:paraId="3EC85745">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559" w:type="dxa"/>
            <w:vMerge w:val="continue"/>
            <w:vAlign w:val="center"/>
          </w:tcPr>
          <w:p w14:paraId="4E10ED75">
            <w:pPr>
              <w:adjustRightInd w:val="0"/>
              <w:snapToGrid w:val="0"/>
              <w:jc w:val="center"/>
              <w:rPr>
                <w:rFonts w:ascii="Times New Roman" w:eastAsia="仿宋"/>
                <w:szCs w:val="24"/>
              </w:rPr>
            </w:pPr>
          </w:p>
        </w:tc>
        <w:tc>
          <w:tcPr>
            <w:tcW w:w="850" w:type="dxa"/>
            <w:vMerge w:val="continue"/>
            <w:vAlign w:val="center"/>
          </w:tcPr>
          <w:p w14:paraId="49128806">
            <w:pPr>
              <w:adjustRightInd w:val="0"/>
              <w:snapToGrid w:val="0"/>
              <w:jc w:val="center"/>
              <w:rPr>
                <w:rFonts w:ascii="Times New Roman" w:eastAsia="仿宋"/>
                <w:szCs w:val="24"/>
              </w:rPr>
            </w:pPr>
          </w:p>
        </w:tc>
        <w:tc>
          <w:tcPr>
            <w:tcW w:w="709" w:type="dxa"/>
            <w:vMerge w:val="continue"/>
            <w:vAlign w:val="center"/>
          </w:tcPr>
          <w:p w14:paraId="4177AE4C">
            <w:pPr>
              <w:adjustRightInd w:val="0"/>
              <w:snapToGrid w:val="0"/>
              <w:jc w:val="center"/>
              <w:rPr>
                <w:rFonts w:ascii="Times New Roman" w:eastAsia="仿宋"/>
                <w:szCs w:val="24"/>
              </w:rPr>
            </w:pPr>
          </w:p>
        </w:tc>
        <w:tc>
          <w:tcPr>
            <w:tcW w:w="992" w:type="dxa"/>
            <w:vMerge w:val="continue"/>
            <w:vAlign w:val="center"/>
          </w:tcPr>
          <w:p w14:paraId="4FF47B10">
            <w:pPr>
              <w:adjustRightInd w:val="0"/>
              <w:snapToGrid w:val="0"/>
              <w:jc w:val="center"/>
              <w:rPr>
                <w:rFonts w:ascii="Times New Roman" w:eastAsia="仿宋"/>
                <w:szCs w:val="21"/>
              </w:rPr>
            </w:pPr>
          </w:p>
        </w:tc>
        <w:tc>
          <w:tcPr>
            <w:tcW w:w="1051" w:type="dxa"/>
            <w:vMerge w:val="continue"/>
            <w:vAlign w:val="center"/>
          </w:tcPr>
          <w:p w14:paraId="00B13E68">
            <w:pPr>
              <w:adjustRightInd w:val="0"/>
              <w:snapToGrid w:val="0"/>
              <w:jc w:val="center"/>
              <w:rPr>
                <w:rFonts w:ascii="Times New Roman" w:eastAsia="仿宋"/>
                <w:szCs w:val="21"/>
              </w:rPr>
            </w:pPr>
          </w:p>
        </w:tc>
      </w:tr>
      <w:tr w14:paraId="5726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70B0C996">
            <w:pPr>
              <w:adjustRightInd w:val="0"/>
              <w:snapToGrid w:val="0"/>
              <w:jc w:val="center"/>
              <w:rPr>
                <w:rFonts w:ascii="Times New Roman" w:eastAsia="仿宋"/>
                <w:szCs w:val="24"/>
              </w:rPr>
            </w:pPr>
          </w:p>
        </w:tc>
        <w:tc>
          <w:tcPr>
            <w:tcW w:w="1408" w:type="dxa"/>
            <w:vMerge w:val="continue"/>
            <w:vAlign w:val="center"/>
          </w:tcPr>
          <w:p w14:paraId="0AAB1A93">
            <w:pPr>
              <w:adjustRightInd w:val="0"/>
              <w:snapToGrid w:val="0"/>
              <w:jc w:val="center"/>
              <w:rPr>
                <w:rFonts w:ascii="Times New Roman" w:eastAsia="仿宋"/>
                <w:szCs w:val="24"/>
              </w:rPr>
            </w:pPr>
          </w:p>
        </w:tc>
        <w:tc>
          <w:tcPr>
            <w:tcW w:w="989" w:type="dxa"/>
            <w:vMerge w:val="continue"/>
            <w:vAlign w:val="center"/>
          </w:tcPr>
          <w:p w14:paraId="3DA502CA">
            <w:pPr>
              <w:adjustRightInd w:val="0"/>
              <w:snapToGrid w:val="0"/>
              <w:jc w:val="center"/>
              <w:rPr>
                <w:rFonts w:ascii="Times New Roman" w:eastAsia="仿宋"/>
                <w:szCs w:val="24"/>
              </w:rPr>
            </w:pPr>
          </w:p>
        </w:tc>
        <w:tc>
          <w:tcPr>
            <w:tcW w:w="1275" w:type="dxa"/>
            <w:vAlign w:val="center"/>
          </w:tcPr>
          <w:p w14:paraId="1ABC6168">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4C94F77E">
            <w:pPr>
              <w:widowControl/>
              <w:jc w:val="center"/>
              <w:textAlignment w:val="center"/>
              <w:rPr>
                <w:rFonts w:ascii="Times New Roman" w:eastAsia="仿宋"/>
                <w:szCs w:val="24"/>
              </w:rPr>
            </w:pPr>
          </w:p>
        </w:tc>
        <w:tc>
          <w:tcPr>
            <w:tcW w:w="1559" w:type="dxa"/>
            <w:vAlign w:val="center"/>
          </w:tcPr>
          <w:p w14:paraId="66702396">
            <w:pPr>
              <w:widowControl/>
              <w:jc w:val="center"/>
              <w:textAlignment w:val="center"/>
              <w:rPr>
                <w:rFonts w:ascii="Times New Roman" w:eastAsia="仿宋"/>
                <w:szCs w:val="24"/>
              </w:rPr>
            </w:pPr>
            <w:r>
              <w:rPr>
                <w:rFonts w:hint="eastAsia" w:ascii="Times New Roman" w:eastAsia="仿宋"/>
                <w:szCs w:val="24"/>
              </w:rPr>
              <w:t>19.23</w:t>
            </w:r>
          </w:p>
        </w:tc>
        <w:tc>
          <w:tcPr>
            <w:tcW w:w="1134" w:type="dxa"/>
            <w:vAlign w:val="center"/>
          </w:tcPr>
          <w:p w14:paraId="5252F32B">
            <w:pPr>
              <w:widowControl/>
              <w:jc w:val="center"/>
              <w:textAlignment w:val="center"/>
              <w:rPr>
                <w:rFonts w:ascii="Times New Roman" w:eastAsia="仿宋"/>
                <w:szCs w:val="24"/>
              </w:rPr>
            </w:pPr>
            <w:r>
              <w:rPr>
                <w:rFonts w:hint="eastAsia" w:ascii="Times New Roman" w:eastAsia="仿宋"/>
                <w:szCs w:val="24"/>
              </w:rPr>
              <w:t>0.5</w:t>
            </w:r>
          </w:p>
        </w:tc>
        <w:tc>
          <w:tcPr>
            <w:tcW w:w="993" w:type="dxa"/>
            <w:shd w:val="clear" w:color="auto" w:fill="auto"/>
            <w:vAlign w:val="center"/>
          </w:tcPr>
          <w:p w14:paraId="4C7FFB7A">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559" w:type="dxa"/>
            <w:vMerge w:val="continue"/>
            <w:vAlign w:val="center"/>
          </w:tcPr>
          <w:p w14:paraId="0A91D085">
            <w:pPr>
              <w:adjustRightInd w:val="0"/>
              <w:snapToGrid w:val="0"/>
              <w:jc w:val="center"/>
              <w:rPr>
                <w:rFonts w:ascii="Times New Roman" w:eastAsia="仿宋"/>
                <w:szCs w:val="24"/>
              </w:rPr>
            </w:pPr>
          </w:p>
        </w:tc>
        <w:tc>
          <w:tcPr>
            <w:tcW w:w="850" w:type="dxa"/>
            <w:vMerge w:val="continue"/>
            <w:vAlign w:val="center"/>
          </w:tcPr>
          <w:p w14:paraId="71944811">
            <w:pPr>
              <w:adjustRightInd w:val="0"/>
              <w:snapToGrid w:val="0"/>
              <w:jc w:val="center"/>
              <w:rPr>
                <w:rFonts w:ascii="Times New Roman" w:eastAsia="仿宋"/>
                <w:szCs w:val="24"/>
              </w:rPr>
            </w:pPr>
          </w:p>
        </w:tc>
        <w:tc>
          <w:tcPr>
            <w:tcW w:w="709" w:type="dxa"/>
            <w:vMerge w:val="continue"/>
            <w:vAlign w:val="center"/>
          </w:tcPr>
          <w:p w14:paraId="6DF33E7C">
            <w:pPr>
              <w:adjustRightInd w:val="0"/>
              <w:snapToGrid w:val="0"/>
              <w:jc w:val="center"/>
              <w:rPr>
                <w:rFonts w:ascii="Times New Roman" w:eastAsia="仿宋"/>
                <w:szCs w:val="24"/>
              </w:rPr>
            </w:pPr>
          </w:p>
        </w:tc>
        <w:tc>
          <w:tcPr>
            <w:tcW w:w="992" w:type="dxa"/>
            <w:vMerge w:val="continue"/>
            <w:vAlign w:val="center"/>
          </w:tcPr>
          <w:p w14:paraId="277864EE">
            <w:pPr>
              <w:adjustRightInd w:val="0"/>
              <w:snapToGrid w:val="0"/>
              <w:jc w:val="center"/>
              <w:rPr>
                <w:rFonts w:ascii="Times New Roman" w:eastAsia="仿宋"/>
                <w:szCs w:val="21"/>
              </w:rPr>
            </w:pPr>
          </w:p>
        </w:tc>
        <w:tc>
          <w:tcPr>
            <w:tcW w:w="1051" w:type="dxa"/>
            <w:vMerge w:val="continue"/>
            <w:vAlign w:val="center"/>
          </w:tcPr>
          <w:p w14:paraId="353A2A75">
            <w:pPr>
              <w:adjustRightInd w:val="0"/>
              <w:snapToGrid w:val="0"/>
              <w:jc w:val="center"/>
              <w:rPr>
                <w:rFonts w:ascii="Times New Roman" w:eastAsia="仿宋"/>
                <w:szCs w:val="21"/>
              </w:rPr>
            </w:pPr>
          </w:p>
        </w:tc>
      </w:tr>
      <w:tr w14:paraId="3887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6E313A37">
            <w:pPr>
              <w:adjustRightInd w:val="0"/>
              <w:snapToGrid w:val="0"/>
              <w:jc w:val="center"/>
              <w:rPr>
                <w:rFonts w:ascii="Times New Roman" w:eastAsia="仿宋"/>
                <w:szCs w:val="24"/>
              </w:rPr>
            </w:pPr>
          </w:p>
        </w:tc>
        <w:tc>
          <w:tcPr>
            <w:tcW w:w="1408" w:type="dxa"/>
            <w:vMerge w:val="continue"/>
            <w:vAlign w:val="center"/>
          </w:tcPr>
          <w:p w14:paraId="20E866EF">
            <w:pPr>
              <w:adjustRightInd w:val="0"/>
              <w:snapToGrid w:val="0"/>
              <w:jc w:val="center"/>
              <w:rPr>
                <w:rFonts w:ascii="Times New Roman" w:eastAsia="仿宋"/>
                <w:szCs w:val="24"/>
              </w:rPr>
            </w:pPr>
          </w:p>
        </w:tc>
        <w:tc>
          <w:tcPr>
            <w:tcW w:w="989" w:type="dxa"/>
            <w:vMerge w:val="continue"/>
            <w:vAlign w:val="center"/>
          </w:tcPr>
          <w:p w14:paraId="2725E1B1">
            <w:pPr>
              <w:adjustRightInd w:val="0"/>
              <w:snapToGrid w:val="0"/>
              <w:jc w:val="center"/>
              <w:rPr>
                <w:rFonts w:ascii="Times New Roman" w:eastAsia="仿宋"/>
                <w:szCs w:val="24"/>
              </w:rPr>
            </w:pPr>
          </w:p>
        </w:tc>
        <w:tc>
          <w:tcPr>
            <w:tcW w:w="1275" w:type="dxa"/>
            <w:vAlign w:val="center"/>
          </w:tcPr>
          <w:p w14:paraId="60D85899">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5561D4D1">
            <w:pPr>
              <w:widowControl/>
              <w:jc w:val="center"/>
              <w:textAlignment w:val="center"/>
              <w:rPr>
                <w:rFonts w:ascii="Times New Roman" w:eastAsia="仿宋"/>
                <w:szCs w:val="24"/>
              </w:rPr>
            </w:pPr>
          </w:p>
        </w:tc>
        <w:tc>
          <w:tcPr>
            <w:tcW w:w="1559" w:type="dxa"/>
            <w:vAlign w:val="center"/>
          </w:tcPr>
          <w:p w14:paraId="79B659DA">
            <w:pPr>
              <w:widowControl/>
              <w:jc w:val="center"/>
              <w:textAlignment w:val="center"/>
              <w:rPr>
                <w:rFonts w:ascii="Times New Roman" w:eastAsia="仿宋"/>
                <w:szCs w:val="24"/>
              </w:rPr>
            </w:pPr>
            <w:r>
              <w:rPr>
                <w:rFonts w:hint="eastAsia" w:ascii="Times New Roman" w:eastAsia="仿宋"/>
                <w:szCs w:val="24"/>
              </w:rPr>
              <w:t>5.77</w:t>
            </w:r>
          </w:p>
        </w:tc>
        <w:tc>
          <w:tcPr>
            <w:tcW w:w="1134" w:type="dxa"/>
            <w:vAlign w:val="center"/>
          </w:tcPr>
          <w:p w14:paraId="0A9BDD6A">
            <w:pPr>
              <w:widowControl/>
              <w:jc w:val="center"/>
              <w:textAlignment w:val="center"/>
              <w:rPr>
                <w:rFonts w:ascii="Times New Roman" w:eastAsia="仿宋"/>
                <w:szCs w:val="24"/>
              </w:rPr>
            </w:pPr>
            <w:r>
              <w:rPr>
                <w:rFonts w:hint="eastAsia" w:ascii="Times New Roman" w:eastAsia="仿宋"/>
                <w:szCs w:val="24"/>
              </w:rPr>
              <w:t>0.15</w:t>
            </w:r>
          </w:p>
        </w:tc>
        <w:tc>
          <w:tcPr>
            <w:tcW w:w="993" w:type="dxa"/>
            <w:shd w:val="clear" w:color="auto" w:fill="auto"/>
            <w:vAlign w:val="center"/>
          </w:tcPr>
          <w:p w14:paraId="56D5EA9B">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559" w:type="dxa"/>
            <w:vMerge w:val="continue"/>
            <w:vAlign w:val="center"/>
          </w:tcPr>
          <w:p w14:paraId="2751992D">
            <w:pPr>
              <w:adjustRightInd w:val="0"/>
              <w:snapToGrid w:val="0"/>
              <w:jc w:val="center"/>
              <w:rPr>
                <w:rFonts w:ascii="Times New Roman" w:eastAsia="仿宋"/>
                <w:szCs w:val="24"/>
              </w:rPr>
            </w:pPr>
          </w:p>
        </w:tc>
        <w:tc>
          <w:tcPr>
            <w:tcW w:w="850" w:type="dxa"/>
            <w:vMerge w:val="continue"/>
            <w:vAlign w:val="center"/>
          </w:tcPr>
          <w:p w14:paraId="41538410">
            <w:pPr>
              <w:adjustRightInd w:val="0"/>
              <w:snapToGrid w:val="0"/>
              <w:jc w:val="center"/>
              <w:rPr>
                <w:rFonts w:ascii="Times New Roman" w:eastAsia="仿宋"/>
                <w:szCs w:val="24"/>
              </w:rPr>
            </w:pPr>
          </w:p>
        </w:tc>
        <w:tc>
          <w:tcPr>
            <w:tcW w:w="709" w:type="dxa"/>
            <w:vMerge w:val="continue"/>
            <w:vAlign w:val="center"/>
          </w:tcPr>
          <w:p w14:paraId="1EC4866B">
            <w:pPr>
              <w:adjustRightInd w:val="0"/>
              <w:snapToGrid w:val="0"/>
              <w:jc w:val="center"/>
              <w:rPr>
                <w:rFonts w:ascii="Times New Roman" w:eastAsia="仿宋"/>
                <w:szCs w:val="24"/>
              </w:rPr>
            </w:pPr>
          </w:p>
        </w:tc>
        <w:tc>
          <w:tcPr>
            <w:tcW w:w="992" w:type="dxa"/>
            <w:vMerge w:val="continue"/>
            <w:vAlign w:val="center"/>
          </w:tcPr>
          <w:p w14:paraId="3A5F0726">
            <w:pPr>
              <w:adjustRightInd w:val="0"/>
              <w:snapToGrid w:val="0"/>
              <w:jc w:val="center"/>
              <w:rPr>
                <w:rFonts w:ascii="Times New Roman" w:eastAsia="仿宋"/>
                <w:szCs w:val="21"/>
              </w:rPr>
            </w:pPr>
          </w:p>
        </w:tc>
        <w:tc>
          <w:tcPr>
            <w:tcW w:w="1051" w:type="dxa"/>
            <w:vMerge w:val="continue"/>
            <w:vAlign w:val="center"/>
          </w:tcPr>
          <w:p w14:paraId="5FBE8F87">
            <w:pPr>
              <w:adjustRightInd w:val="0"/>
              <w:snapToGrid w:val="0"/>
              <w:jc w:val="center"/>
              <w:rPr>
                <w:rFonts w:ascii="Times New Roman" w:eastAsia="仿宋"/>
                <w:szCs w:val="21"/>
              </w:rPr>
            </w:pPr>
          </w:p>
        </w:tc>
      </w:tr>
      <w:tr w14:paraId="5C90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5802D0B0">
            <w:pPr>
              <w:adjustRightInd w:val="0"/>
              <w:snapToGrid w:val="0"/>
              <w:jc w:val="center"/>
              <w:rPr>
                <w:rFonts w:ascii="Times New Roman" w:eastAsia="仿宋"/>
                <w:szCs w:val="24"/>
              </w:rPr>
            </w:pPr>
          </w:p>
        </w:tc>
        <w:tc>
          <w:tcPr>
            <w:tcW w:w="1408" w:type="dxa"/>
            <w:vMerge w:val="continue"/>
            <w:vAlign w:val="center"/>
          </w:tcPr>
          <w:p w14:paraId="21C15DC2">
            <w:pPr>
              <w:adjustRightInd w:val="0"/>
              <w:snapToGrid w:val="0"/>
              <w:jc w:val="center"/>
              <w:rPr>
                <w:rFonts w:ascii="Times New Roman" w:eastAsia="仿宋"/>
                <w:szCs w:val="24"/>
              </w:rPr>
            </w:pPr>
          </w:p>
        </w:tc>
        <w:tc>
          <w:tcPr>
            <w:tcW w:w="989" w:type="dxa"/>
            <w:vMerge w:val="continue"/>
            <w:vAlign w:val="center"/>
          </w:tcPr>
          <w:p w14:paraId="7930CE87">
            <w:pPr>
              <w:adjustRightInd w:val="0"/>
              <w:snapToGrid w:val="0"/>
              <w:jc w:val="center"/>
              <w:rPr>
                <w:rFonts w:ascii="Times New Roman" w:eastAsia="仿宋"/>
                <w:szCs w:val="24"/>
              </w:rPr>
            </w:pPr>
          </w:p>
        </w:tc>
        <w:tc>
          <w:tcPr>
            <w:tcW w:w="1275" w:type="dxa"/>
            <w:vAlign w:val="center"/>
          </w:tcPr>
          <w:p w14:paraId="69C18FBD">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53A5C15B">
            <w:pPr>
              <w:widowControl/>
              <w:jc w:val="center"/>
              <w:textAlignment w:val="center"/>
              <w:rPr>
                <w:rFonts w:ascii="Times New Roman" w:eastAsia="仿宋"/>
                <w:szCs w:val="24"/>
              </w:rPr>
            </w:pPr>
          </w:p>
        </w:tc>
        <w:tc>
          <w:tcPr>
            <w:tcW w:w="1559" w:type="dxa"/>
            <w:vAlign w:val="center"/>
          </w:tcPr>
          <w:p w14:paraId="4A0FE892">
            <w:pPr>
              <w:widowControl/>
              <w:jc w:val="center"/>
              <w:textAlignment w:val="center"/>
              <w:rPr>
                <w:rFonts w:ascii="Times New Roman" w:eastAsia="仿宋"/>
                <w:szCs w:val="24"/>
              </w:rPr>
            </w:pPr>
            <w:r>
              <w:rPr>
                <w:rFonts w:hint="eastAsia" w:ascii="Times New Roman" w:eastAsia="仿宋"/>
                <w:szCs w:val="24"/>
              </w:rPr>
              <w:t>5.77</w:t>
            </w:r>
          </w:p>
        </w:tc>
        <w:tc>
          <w:tcPr>
            <w:tcW w:w="1134" w:type="dxa"/>
            <w:vAlign w:val="center"/>
          </w:tcPr>
          <w:p w14:paraId="3012061A">
            <w:pPr>
              <w:widowControl/>
              <w:jc w:val="center"/>
              <w:textAlignment w:val="center"/>
              <w:rPr>
                <w:rFonts w:ascii="Times New Roman" w:eastAsia="仿宋"/>
                <w:szCs w:val="24"/>
              </w:rPr>
            </w:pPr>
            <w:r>
              <w:rPr>
                <w:rFonts w:hint="eastAsia" w:ascii="Times New Roman" w:eastAsia="仿宋"/>
                <w:szCs w:val="24"/>
              </w:rPr>
              <w:t>0.15</w:t>
            </w:r>
          </w:p>
        </w:tc>
        <w:tc>
          <w:tcPr>
            <w:tcW w:w="993" w:type="dxa"/>
            <w:shd w:val="clear" w:color="auto" w:fill="auto"/>
            <w:vAlign w:val="center"/>
          </w:tcPr>
          <w:p w14:paraId="14A8203F">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559" w:type="dxa"/>
            <w:vMerge w:val="continue"/>
            <w:vAlign w:val="center"/>
          </w:tcPr>
          <w:p w14:paraId="73D93BBB">
            <w:pPr>
              <w:adjustRightInd w:val="0"/>
              <w:snapToGrid w:val="0"/>
              <w:jc w:val="center"/>
              <w:rPr>
                <w:rFonts w:ascii="Times New Roman" w:eastAsia="仿宋"/>
                <w:szCs w:val="24"/>
              </w:rPr>
            </w:pPr>
          </w:p>
        </w:tc>
        <w:tc>
          <w:tcPr>
            <w:tcW w:w="850" w:type="dxa"/>
            <w:vMerge w:val="continue"/>
            <w:vAlign w:val="center"/>
          </w:tcPr>
          <w:p w14:paraId="4432EFB7">
            <w:pPr>
              <w:adjustRightInd w:val="0"/>
              <w:snapToGrid w:val="0"/>
              <w:jc w:val="center"/>
              <w:rPr>
                <w:rFonts w:ascii="Times New Roman" w:eastAsia="仿宋"/>
                <w:szCs w:val="24"/>
              </w:rPr>
            </w:pPr>
          </w:p>
        </w:tc>
        <w:tc>
          <w:tcPr>
            <w:tcW w:w="709" w:type="dxa"/>
            <w:vMerge w:val="continue"/>
            <w:vAlign w:val="center"/>
          </w:tcPr>
          <w:p w14:paraId="700A77FB">
            <w:pPr>
              <w:adjustRightInd w:val="0"/>
              <w:snapToGrid w:val="0"/>
              <w:jc w:val="center"/>
              <w:rPr>
                <w:rFonts w:ascii="Times New Roman" w:eastAsia="仿宋"/>
                <w:szCs w:val="24"/>
              </w:rPr>
            </w:pPr>
          </w:p>
        </w:tc>
        <w:tc>
          <w:tcPr>
            <w:tcW w:w="992" w:type="dxa"/>
            <w:vMerge w:val="continue"/>
            <w:vAlign w:val="center"/>
          </w:tcPr>
          <w:p w14:paraId="4BBD0419">
            <w:pPr>
              <w:adjustRightInd w:val="0"/>
              <w:snapToGrid w:val="0"/>
              <w:jc w:val="center"/>
              <w:rPr>
                <w:rFonts w:ascii="Times New Roman" w:eastAsia="仿宋"/>
                <w:szCs w:val="21"/>
              </w:rPr>
            </w:pPr>
          </w:p>
        </w:tc>
        <w:tc>
          <w:tcPr>
            <w:tcW w:w="1051" w:type="dxa"/>
            <w:vMerge w:val="continue"/>
            <w:vAlign w:val="center"/>
          </w:tcPr>
          <w:p w14:paraId="28BCE45C">
            <w:pPr>
              <w:adjustRightInd w:val="0"/>
              <w:snapToGrid w:val="0"/>
              <w:jc w:val="center"/>
              <w:rPr>
                <w:rFonts w:ascii="Times New Roman" w:eastAsia="仿宋"/>
                <w:szCs w:val="21"/>
              </w:rPr>
            </w:pPr>
          </w:p>
        </w:tc>
      </w:tr>
      <w:tr w14:paraId="1044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7783C313">
            <w:pPr>
              <w:adjustRightInd w:val="0"/>
              <w:snapToGrid w:val="0"/>
              <w:jc w:val="center"/>
              <w:rPr>
                <w:rFonts w:ascii="Times New Roman" w:eastAsia="仿宋"/>
                <w:szCs w:val="24"/>
              </w:rPr>
            </w:pPr>
          </w:p>
        </w:tc>
        <w:tc>
          <w:tcPr>
            <w:tcW w:w="1408" w:type="dxa"/>
            <w:vMerge w:val="restart"/>
            <w:vAlign w:val="center"/>
          </w:tcPr>
          <w:p w14:paraId="346FD929">
            <w:pPr>
              <w:adjustRightInd w:val="0"/>
              <w:snapToGrid w:val="0"/>
              <w:jc w:val="center"/>
              <w:rPr>
                <w:rFonts w:ascii="Times New Roman" w:eastAsia="仿宋"/>
                <w:szCs w:val="24"/>
              </w:rPr>
            </w:pPr>
            <w:r>
              <w:rPr>
                <w:rFonts w:hint="eastAsia" w:ascii="Times New Roman" w:eastAsia="仿宋"/>
                <w:szCs w:val="24"/>
              </w:rPr>
              <w:t>天然气燃烧废气G5</w:t>
            </w:r>
          </w:p>
        </w:tc>
        <w:tc>
          <w:tcPr>
            <w:tcW w:w="989" w:type="dxa"/>
            <w:vMerge w:val="continue"/>
            <w:vAlign w:val="center"/>
          </w:tcPr>
          <w:p w14:paraId="5CF0BD23">
            <w:pPr>
              <w:adjustRightInd w:val="0"/>
              <w:snapToGrid w:val="0"/>
              <w:jc w:val="center"/>
              <w:rPr>
                <w:rFonts w:ascii="Times New Roman" w:eastAsia="仿宋"/>
                <w:szCs w:val="24"/>
              </w:rPr>
            </w:pPr>
          </w:p>
        </w:tc>
        <w:tc>
          <w:tcPr>
            <w:tcW w:w="1275" w:type="dxa"/>
            <w:vAlign w:val="center"/>
          </w:tcPr>
          <w:p w14:paraId="574851BD">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276" w:type="dxa"/>
            <w:vMerge w:val="restart"/>
            <w:vAlign w:val="center"/>
          </w:tcPr>
          <w:p w14:paraId="04108546">
            <w:pPr>
              <w:widowControl/>
              <w:jc w:val="center"/>
              <w:textAlignment w:val="center"/>
              <w:rPr>
                <w:rFonts w:ascii="Times New Roman" w:eastAsia="仿宋"/>
                <w:szCs w:val="24"/>
              </w:rPr>
            </w:pPr>
            <w:r>
              <w:rPr>
                <w:rFonts w:hint="eastAsia" w:ascii="Times New Roman" w:eastAsia="仿宋"/>
                <w:szCs w:val="24"/>
              </w:rPr>
              <w:t>系数法</w:t>
            </w:r>
          </w:p>
        </w:tc>
        <w:tc>
          <w:tcPr>
            <w:tcW w:w="1559" w:type="dxa"/>
            <w:vAlign w:val="center"/>
          </w:tcPr>
          <w:p w14:paraId="7236746E">
            <w:pPr>
              <w:widowControl/>
              <w:jc w:val="center"/>
              <w:textAlignment w:val="center"/>
              <w:rPr>
                <w:rFonts w:ascii="Times New Roman" w:eastAsia="仿宋"/>
                <w:szCs w:val="24"/>
              </w:rPr>
            </w:pPr>
            <w:r>
              <w:rPr>
                <w:rFonts w:hint="eastAsia" w:ascii="Times New Roman" w:eastAsia="仿宋"/>
                <w:szCs w:val="24"/>
              </w:rPr>
              <w:t>0.04</w:t>
            </w:r>
          </w:p>
        </w:tc>
        <w:tc>
          <w:tcPr>
            <w:tcW w:w="1134" w:type="dxa"/>
            <w:vAlign w:val="center"/>
          </w:tcPr>
          <w:p w14:paraId="3B28BD93">
            <w:pPr>
              <w:widowControl/>
              <w:jc w:val="center"/>
              <w:textAlignment w:val="center"/>
              <w:rPr>
                <w:rFonts w:ascii="Times New Roman" w:eastAsia="仿宋"/>
                <w:szCs w:val="24"/>
              </w:rPr>
            </w:pPr>
            <w:r>
              <w:rPr>
                <w:rFonts w:hint="eastAsia" w:ascii="Times New Roman" w:eastAsia="仿宋"/>
                <w:szCs w:val="24"/>
              </w:rPr>
              <w:t>0.001</w:t>
            </w:r>
          </w:p>
        </w:tc>
        <w:tc>
          <w:tcPr>
            <w:tcW w:w="993" w:type="dxa"/>
            <w:vAlign w:val="center"/>
          </w:tcPr>
          <w:p w14:paraId="5C33CA5E">
            <w:pPr>
              <w:widowControl/>
              <w:jc w:val="center"/>
              <w:textAlignment w:val="center"/>
              <w:rPr>
                <w:rFonts w:ascii="Times New Roman" w:eastAsia="仿宋"/>
                <w:szCs w:val="24"/>
              </w:rPr>
            </w:pPr>
            <w:r>
              <w:rPr>
                <w:rFonts w:hint="eastAsia" w:ascii="Times New Roman" w:eastAsia="仿宋"/>
                <w:szCs w:val="24"/>
              </w:rPr>
              <w:t>0.005</w:t>
            </w:r>
          </w:p>
        </w:tc>
        <w:tc>
          <w:tcPr>
            <w:tcW w:w="1559" w:type="dxa"/>
            <w:vMerge w:val="continue"/>
            <w:vAlign w:val="center"/>
          </w:tcPr>
          <w:p w14:paraId="0D913204">
            <w:pPr>
              <w:adjustRightInd w:val="0"/>
              <w:snapToGrid w:val="0"/>
              <w:jc w:val="center"/>
              <w:rPr>
                <w:rFonts w:ascii="Times New Roman" w:eastAsia="仿宋"/>
                <w:szCs w:val="24"/>
              </w:rPr>
            </w:pPr>
          </w:p>
        </w:tc>
        <w:tc>
          <w:tcPr>
            <w:tcW w:w="850" w:type="dxa"/>
            <w:vMerge w:val="continue"/>
            <w:vAlign w:val="center"/>
          </w:tcPr>
          <w:p w14:paraId="28F3E308">
            <w:pPr>
              <w:adjustRightInd w:val="0"/>
              <w:snapToGrid w:val="0"/>
              <w:jc w:val="center"/>
              <w:rPr>
                <w:rFonts w:ascii="Times New Roman" w:eastAsia="仿宋"/>
                <w:szCs w:val="24"/>
              </w:rPr>
            </w:pPr>
          </w:p>
        </w:tc>
        <w:tc>
          <w:tcPr>
            <w:tcW w:w="709" w:type="dxa"/>
            <w:vMerge w:val="continue"/>
            <w:vAlign w:val="center"/>
          </w:tcPr>
          <w:p w14:paraId="7C761A8F">
            <w:pPr>
              <w:adjustRightInd w:val="0"/>
              <w:snapToGrid w:val="0"/>
              <w:jc w:val="center"/>
              <w:rPr>
                <w:rFonts w:ascii="Times New Roman" w:eastAsia="仿宋"/>
                <w:szCs w:val="24"/>
              </w:rPr>
            </w:pPr>
          </w:p>
        </w:tc>
        <w:tc>
          <w:tcPr>
            <w:tcW w:w="992" w:type="dxa"/>
            <w:vMerge w:val="continue"/>
            <w:vAlign w:val="center"/>
          </w:tcPr>
          <w:p w14:paraId="0A74AE15">
            <w:pPr>
              <w:adjustRightInd w:val="0"/>
              <w:snapToGrid w:val="0"/>
              <w:jc w:val="center"/>
              <w:rPr>
                <w:rFonts w:ascii="Times New Roman" w:eastAsia="仿宋"/>
                <w:szCs w:val="21"/>
              </w:rPr>
            </w:pPr>
          </w:p>
        </w:tc>
        <w:tc>
          <w:tcPr>
            <w:tcW w:w="1051" w:type="dxa"/>
            <w:vMerge w:val="continue"/>
            <w:vAlign w:val="center"/>
          </w:tcPr>
          <w:p w14:paraId="3A642223">
            <w:pPr>
              <w:adjustRightInd w:val="0"/>
              <w:snapToGrid w:val="0"/>
              <w:jc w:val="center"/>
              <w:rPr>
                <w:rFonts w:ascii="Times New Roman" w:eastAsia="仿宋"/>
                <w:szCs w:val="21"/>
              </w:rPr>
            </w:pPr>
          </w:p>
        </w:tc>
      </w:tr>
      <w:tr w14:paraId="479A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6281A8DC">
            <w:pPr>
              <w:adjustRightInd w:val="0"/>
              <w:snapToGrid w:val="0"/>
              <w:jc w:val="center"/>
              <w:rPr>
                <w:rFonts w:ascii="Times New Roman" w:eastAsia="仿宋"/>
                <w:szCs w:val="24"/>
              </w:rPr>
            </w:pPr>
          </w:p>
        </w:tc>
        <w:tc>
          <w:tcPr>
            <w:tcW w:w="1408" w:type="dxa"/>
            <w:vMerge w:val="continue"/>
            <w:vAlign w:val="center"/>
          </w:tcPr>
          <w:p w14:paraId="0BDE8340">
            <w:pPr>
              <w:adjustRightInd w:val="0"/>
              <w:snapToGrid w:val="0"/>
              <w:jc w:val="center"/>
              <w:rPr>
                <w:rFonts w:ascii="Times New Roman" w:eastAsia="仿宋"/>
                <w:szCs w:val="24"/>
              </w:rPr>
            </w:pPr>
          </w:p>
        </w:tc>
        <w:tc>
          <w:tcPr>
            <w:tcW w:w="989" w:type="dxa"/>
            <w:vMerge w:val="continue"/>
            <w:vAlign w:val="center"/>
          </w:tcPr>
          <w:p w14:paraId="100ED1BE">
            <w:pPr>
              <w:adjustRightInd w:val="0"/>
              <w:snapToGrid w:val="0"/>
              <w:jc w:val="center"/>
              <w:rPr>
                <w:rFonts w:ascii="Times New Roman" w:eastAsia="仿宋"/>
                <w:szCs w:val="24"/>
              </w:rPr>
            </w:pPr>
          </w:p>
        </w:tc>
        <w:tc>
          <w:tcPr>
            <w:tcW w:w="1275" w:type="dxa"/>
            <w:vAlign w:val="center"/>
          </w:tcPr>
          <w:p w14:paraId="4020F058">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276" w:type="dxa"/>
            <w:vMerge w:val="continue"/>
            <w:vAlign w:val="center"/>
          </w:tcPr>
          <w:p w14:paraId="6CB93A63">
            <w:pPr>
              <w:widowControl/>
              <w:jc w:val="center"/>
              <w:textAlignment w:val="center"/>
              <w:rPr>
                <w:rFonts w:ascii="Times New Roman" w:eastAsia="仿宋"/>
                <w:szCs w:val="24"/>
              </w:rPr>
            </w:pPr>
          </w:p>
        </w:tc>
        <w:tc>
          <w:tcPr>
            <w:tcW w:w="1559" w:type="dxa"/>
            <w:vAlign w:val="center"/>
          </w:tcPr>
          <w:p w14:paraId="58F54403">
            <w:pPr>
              <w:widowControl/>
              <w:jc w:val="center"/>
              <w:textAlignment w:val="center"/>
              <w:rPr>
                <w:rFonts w:ascii="Times New Roman" w:eastAsia="仿宋"/>
                <w:szCs w:val="24"/>
              </w:rPr>
            </w:pPr>
            <w:r>
              <w:rPr>
                <w:rFonts w:ascii="Times New Roman" w:eastAsia="仿宋"/>
                <w:szCs w:val="24"/>
              </w:rPr>
              <w:t>1.76</w:t>
            </w:r>
          </w:p>
        </w:tc>
        <w:tc>
          <w:tcPr>
            <w:tcW w:w="1134" w:type="dxa"/>
            <w:vAlign w:val="center"/>
          </w:tcPr>
          <w:p w14:paraId="6A506485">
            <w:pPr>
              <w:widowControl/>
              <w:jc w:val="center"/>
              <w:textAlignment w:val="center"/>
              <w:rPr>
                <w:rFonts w:ascii="Times New Roman" w:eastAsia="仿宋"/>
                <w:szCs w:val="24"/>
              </w:rPr>
            </w:pPr>
            <w:r>
              <w:rPr>
                <w:rFonts w:hint="eastAsia" w:ascii="Times New Roman" w:eastAsia="仿宋"/>
                <w:szCs w:val="24"/>
              </w:rPr>
              <w:t>0.0</w:t>
            </w:r>
            <w:r>
              <w:rPr>
                <w:rFonts w:ascii="Times New Roman" w:eastAsia="仿宋"/>
                <w:szCs w:val="24"/>
              </w:rPr>
              <w:t>46</w:t>
            </w:r>
          </w:p>
        </w:tc>
        <w:tc>
          <w:tcPr>
            <w:tcW w:w="993" w:type="dxa"/>
            <w:vAlign w:val="center"/>
          </w:tcPr>
          <w:p w14:paraId="09697282">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224</w:t>
            </w:r>
          </w:p>
        </w:tc>
        <w:tc>
          <w:tcPr>
            <w:tcW w:w="1559" w:type="dxa"/>
            <w:vMerge w:val="continue"/>
            <w:vAlign w:val="center"/>
          </w:tcPr>
          <w:p w14:paraId="4751C370">
            <w:pPr>
              <w:adjustRightInd w:val="0"/>
              <w:snapToGrid w:val="0"/>
              <w:jc w:val="center"/>
              <w:rPr>
                <w:rFonts w:ascii="Times New Roman" w:eastAsia="仿宋"/>
                <w:szCs w:val="24"/>
              </w:rPr>
            </w:pPr>
          </w:p>
        </w:tc>
        <w:tc>
          <w:tcPr>
            <w:tcW w:w="850" w:type="dxa"/>
            <w:vMerge w:val="continue"/>
            <w:vAlign w:val="center"/>
          </w:tcPr>
          <w:p w14:paraId="774B1548">
            <w:pPr>
              <w:adjustRightInd w:val="0"/>
              <w:snapToGrid w:val="0"/>
              <w:jc w:val="center"/>
              <w:rPr>
                <w:rFonts w:ascii="Times New Roman" w:eastAsia="仿宋"/>
                <w:szCs w:val="24"/>
              </w:rPr>
            </w:pPr>
          </w:p>
        </w:tc>
        <w:tc>
          <w:tcPr>
            <w:tcW w:w="709" w:type="dxa"/>
            <w:vMerge w:val="continue"/>
            <w:vAlign w:val="center"/>
          </w:tcPr>
          <w:p w14:paraId="10CE1F36">
            <w:pPr>
              <w:adjustRightInd w:val="0"/>
              <w:snapToGrid w:val="0"/>
              <w:jc w:val="center"/>
              <w:rPr>
                <w:rFonts w:ascii="Times New Roman" w:eastAsia="仿宋"/>
                <w:szCs w:val="24"/>
              </w:rPr>
            </w:pPr>
          </w:p>
        </w:tc>
        <w:tc>
          <w:tcPr>
            <w:tcW w:w="992" w:type="dxa"/>
            <w:vMerge w:val="continue"/>
            <w:vAlign w:val="center"/>
          </w:tcPr>
          <w:p w14:paraId="41F6C136">
            <w:pPr>
              <w:adjustRightInd w:val="0"/>
              <w:snapToGrid w:val="0"/>
              <w:jc w:val="center"/>
              <w:rPr>
                <w:rFonts w:ascii="Times New Roman" w:eastAsia="仿宋"/>
                <w:szCs w:val="21"/>
              </w:rPr>
            </w:pPr>
          </w:p>
        </w:tc>
        <w:tc>
          <w:tcPr>
            <w:tcW w:w="1051" w:type="dxa"/>
            <w:vMerge w:val="continue"/>
            <w:vAlign w:val="center"/>
          </w:tcPr>
          <w:p w14:paraId="64F203B8">
            <w:pPr>
              <w:adjustRightInd w:val="0"/>
              <w:snapToGrid w:val="0"/>
              <w:jc w:val="center"/>
              <w:rPr>
                <w:rFonts w:ascii="Times New Roman" w:eastAsia="仿宋"/>
                <w:szCs w:val="21"/>
              </w:rPr>
            </w:pPr>
          </w:p>
        </w:tc>
      </w:tr>
      <w:tr w14:paraId="735E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5CD0B7E3">
            <w:pPr>
              <w:adjustRightInd w:val="0"/>
              <w:snapToGrid w:val="0"/>
              <w:jc w:val="center"/>
              <w:rPr>
                <w:rFonts w:ascii="Times New Roman" w:eastAsia="仿宋"/>
                <w:szCs w:val="24"/>
              </w:rPr>
            </w:pPr>
          </w:p>
        </w:tc>
        <w:tc>
          <w:tcPr>
            <w:tcW w:w="1408" w:type="dxa"/>
            <w:vMerge w:val="continue"/>
            <w:vAlign w:val="center"/>
          </w:tcPr>
          <w:p w14:paraId="004FCFA1">
            <w:pPr>
              <w:adjustRightInd w:val="0"/>
              <w:snapToGrid w:val="0"/>
              <w:jc w:val="center"/>
              <w:rPr>
                <w:rFonts w:ascii="Times New Roman" w:eastAsia="仿宋"/>
                <w:szCs w:val="24"/>
              </w:rPr>
            </w:pPr>
          </w:p>
        </w:tc>
        <w:tc>
          <w:tcPr>
            <w:tcW w:w="989" w:type="dxa"/>
            <w:vMerge w:val="continue"/>
            <w:vAlign w:val="center"/>
          </w:tcPr>
          <w:p w14:paraId="77840D26">
            <w:pPr>
              <w:adjustRightInd w:val="0"/>
              <w:snapToGrid w:val="0"/>
              <w:jc w:val="center"/>
              <w:rPr>
                <w:rFonts w:ascii="Times New Roman" w:eastAsia="仿宋"/>
                <w:szCs w:val="24"/>
              </w:rPr>
            </w:pPr>
          </w:p>
        </w:tc>
        <w:tc>
          <w:tcPr>
            <w:tcW w:w="1275" w:type="dxa"/>
            <w:vAlign w:val="center"/>
          </w:tcPr>
          <w:p w14:paraId="59FE7609">
            <w:pPr>
              <w:adjustRightInd w:val="0"/>
              <w:snapToGrid w:val="0"/>
              <w:jc w:val="center"/>
              <w:rPr>
                <w:rFonts w:ascii="Times New Roman" w:eastAsia="仿宋"/>
                <w:szCs w:val="24"/>
              </w:rPr>
            </w:pPr>
            <w:r>
              <w:rPr>
                <w:rFonts w:hint="eastAsia" w:ascii="Times New Roman" w:eastAsia="仿宋"/>
                <w:szCs w:val="24"/>
              </w:rPr>
              <w:t>颗粒物</w:t>
            </w:r>
          </w:p>
        </w:tc>
        <w:tc>
          <w:tcPr>
            <w:tcW w:w="1276" w:type="dxa"/>
            <w:vMerge w:val="continue"/>
            <w:vAlign w:val="center"/>
          </w:tcPr>
          <w:p w14:paraId="13F80B7E">
            <w:pPr>
              <w:widowControl/>
              <w:jc w:val="center"/>
              <w:textAlignment w:val="center"/>
              <w:rPr>
                <w:rFonts w:ascii="Times New Roman" w:eastAsia="仿宋"/>
                <w:szCs w:val="24"/>
              </w:rPr>
            </w:pPr>
          </w:p>
        </w:tc>
        <w:tc>
          <w:tcPr>
            <w:tcW w:w="1559" w:type="dxa"/>
            <w:vAlign w:val="center"/>
          </w:tcPr>
          <w:p w14:paraId="774EEDEF">
            <w:pPr>
              <w:widowControl/>
              <w:jc w:val="center"/>
              <w:textAlignment w:val="center"/>
              <w:rPr>
                <w:rFonts w:ascii="Times New Roman" w:eastAsia="仿宋"/>
                <w:szCs w:val="24"/>
              </w:rPr>
            </w:pPr>
            <w:r>
              <w:rPr>
                <w:rFonts w:hint="eastAsia" w:ascii="Times New Roman" w:eastAsia="仿宋"/>
                <w:szCs w:val="24"/>
              </w:rPr>
              <w:t>0.27</w:t>
            </w:r>
          </w:p>
        </w:tc>
        <w:tc>
          <w:tcPr>
            <w:tcW w:w="1134" w:type="dxa"/>
            <w:vAlign w:val="center"/>
          </w:tcPr>
          <w:p w14:paraId="60CA703F">
            <w:pPr>
              <w:widowControl/>
              <w:jc w:val="center"/>
              <w:textAlignment w:val="center"/>
              <w:rPr>
                <w:rFonts w:ascii="Times New Roman" w:eastAsia="仿宋"/>
                <w:szCs w:val="24"/>
              </w:rPr>
            </w:pPr>
            <w:r>
              <w:rPr>
                <w:rFonts w:hint="eastAsia" w:ascii="Times New Roman" w:eastAsia="仿宋"/>
                <w:szCs w:val="24"/>
              </w:rPr>
              <w:t>0.007</w:t>
            </w:r>
          </w:p>
        </w:tc>
        <w:tc>
          <w:tcPr>
            <w:tcW w:w="993" w:type="dxa"/>
            <w:vAlign w:val="center"/>
          </w:tcPr>
          <w:p w14:paraId="2969F7DD">
            <w:pPr>
              <w:widowControl/>
              <w:jc w:val="center"/>
              <w:textAlignment w:val="center"/>
              <w:rPr>
                <w:rFonts w:ascii="Times New Roman" w:eastAsia="仿宋"/>
                <w:szCs w:val="24"/>
              </w:rPr>
            </w:pPr>
            <w:r>
              <w:rPr>
                <w:rFonts w:hint="eastAsia" w:ascii="Times New Roman" w:eastAsia="仿宋"/>
                <w:szCs w:val="24"/>
              </w:rPr>
              <w:t>0.034</w:t>
            </w:r>
          </w:p>
        </w:tc>
        <w:tc>
          <w:tcPr>
            <w:tcW w:w="1559" w:type="dxa"/>
            <w:vMerge w:val="continue"/>
            <w:vAlign w:val="center"/>
          </w:tcPr>
          <w:p w14:paraId="301D2AA7">
            <w:pPr>
              <w:adjustRightInd w:val="0"/>
              <w:snapToGrid w:val="0"/>
              <w:jc w:val="center"/>
              <w:rPr>
                <w:rFonts w:ascii="Times New Roman" w:eastAsia="仿宋"/>
                <w:szCs w:val="24"/>
              </w:rPr>
            </w:pPr>
          </w:p>
        </w:tc>
        <w:tc>
          <w:tcPr>
            <w:tcW w:w="850" w:type="dxa"/>
            <w:vMerge w:val="continue"/>
            <w:vAlign w:val="center"/>
          </w:tcPr>
          <w:p w14:paraId="16962C9B">
            <w:pPr>
              <w:adjustRightInd w:val="0"/>
              <w:snapToGrid w:val="0"/>
              <w:jc w:val="center"/>
              <w:rPr>
                <w:rFonts w:ascii="Times New Roman" w:eastAsia="仿宋"/>
                <w:szCs w:val="24"/>
              </w:rPr>
            </w:pPr>
          </w:p>
        </w:tc>
        <w:tc>
          <w:tcPr>
            <w:tcW w:w="709" w:type="dxa"/>
            <w:vMerge w:val="continue"/>
            <w:vAlign w:val="center"/>
          </w:tcPr>
          <w:p w14:paraId="3A429D66">
            <w:pPr>
              <w:adjustRightInd w:val="0"/>
              <w:snapToGrid w:val="0"/>
              <w:jc w:val="center"/>
              <w:rPr>
                <w:rFonts w:ascii="Times New Roman" w:eastAsia="仿宋"/>
                <w:szCs w:val="24"/>
              </w:rPr>
            </w:pPr>
          </w:p>
        </w:tc>
        <w:tc>
          <w:tcPr>
            <w:tcW w:w="992" w:type="dxa"/>
            <w:vMerge w:val="continue"/>
            <w:vAlign w:val="center"/>
          </w:tcPr>
          <w:p w14:paraId="7E8FA5C6">
            <w:pPr>
              <w:adjustRightInd w:val="0"/>
              <w:snapToGrid w:val="0"/>
              <w:jc w:val="center"/>
              <w:rPr>
                <w:rFonts w:ascii="Times New Roman" w:eastAsia="仿宋"/>
                <w:szCs w:val="21"/>
              </w:rPr>
            </w:pPr>
          </w:p>
        </w:tc>
        <w:tc>
          <w:tcPr>
            <w:tcW w:w="1051" w:type="dxa"/>
            <w:vMerge w:val="continue"/>
            <w:vAlign w:val="center"/>
          </w:tcPr>
          <w:p w14:paraId="767F4F5E">
            <w:pPr>
              <w:adjustRightInd w:val="0"/>
              <w:snapToGrid w:val="0"/>
              <w:jc w:val="center"/>
              <w:rPr>
                <w:rFonts w:ascii="Times New Roman" w:eastAsia="仿宋"/>
                <w:szCs w:val="21"/>
              </w:rPr>
            </w:pPr>
          </w:p>
        </w:tc>
      </w:tr>
      <w:tr w14:paraId="1002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859" w:type="dxa"/>
            <w:vMerge w:val="restart"/>
            <w:vAlign w:val="center"/>
          </w:tcPr>
          <w:p w14:paraId="6AED1FE8">
            <w:pPr>
              <w:adjustRightInd w:val="0"/>
              <w:snapToGrid w:val="0"/>
              <w:jc w:val="center"/>
              <w:rPr>
                <w:rFonts w:ascii="Times New Roman" w:eastAsia="仿宋"/>
                <w:szCs w:val="24"/>
              </w:rPr>
            </w:pPr>
            <w:r>
              <w:rPr>
                <w:rFonts w:hint="eastAsia" w:ascii="Times New Roman" w:eastAsia="仿宋"/>
                <w:szCs w:val="24"/>
              </w:rPr>
              <w:t>3#</w:t>
            </w:r>
          </w:p>
        </w:tc>
        <w:tc>
          <w:tcPr>
            <w:tcW w:w="1408" w:type="dxa"/>
            <w:vMerge w:val="restart"/>
            <w:vAlign w:val="center"/>
          </w:tcPr>
          <w:p w14:paraId="6CAE09DE">
            <w:pPr>
              <w:adjustRightInd w:val="0"/>
              <w:snapToGrid w:val="0"/>
              <w:jc w:val="center"/>
              <w:rPr>
                <w:rFonts w:ascii="Times New Roman" w:eastAsia="仿宋"/>
                <w:szCs w:val="24"/>
              </w:rPr>
            </w:pPr>
            <w:r>
              <w:rPr>
                <w:rFonts w:hint="eastAsia" w:ascii="Times New Roman" w:eastAsia="仿宋"/>
                <w:szCs w:val="24"/>
              </w:rPr>
              <w:t>氟碳面漆、底漆调漆废气G9</w:t>
            </w:r>
          </w:p>
        </w:tc>
        <w:tc>
          <w:tcPr>
            <w:tcW w:w="989" w:type="dxa"/>
            <w:vMerge w:val="restart"/>
            <w:vAlign w:val="center"/>
          </w:tcPr>
          <w:p w14:paraId="2F8EECD7">
            <w:pPr>
              <w:adjustRightInd w:val="0"/>
              <w:snapToGrid w:val="0"/>
              <w:jc w:val="center"/>
              <w:rPr>
                <w:rFonts w:ascii="Times New Roman" w:eastAsia="仿宋"/>
                <w:szCs w:val="24"/>
              </w:rPr>
            </w:pPr>
            <w:r>
              <w:rPr>
                <w:rFonts w:hint="eastAsia" w:ascii="Times New Roman" w:eastAsia="仿宋"/>
                <w:szCs w:val="24"/>
              </w:rPr>
              <w:t>2</w:t>
            </w:r>
            <w:r>
              <w:rPr>
                <w:rFonts w:ascii="Times New Roman" w:eastAsia="仿宋"/>
                <w:szCs w:val="24"/>
              </w:rPr>
              <w:t>8000</w:t>
            </w:r>
          </w:p>
        </w:tc>
        <w:tc>
          <w:tcPr>
            <w:tcW w:w="1275" w:type="dxa"/>
            <w:vAlign w:val="center"/>
          </w:tcPr>
          <w:p w14:paraId="16730F3F">
            <w:pPr>
              <w:jc w:val="center"/>
              <w:rPr>
                <w:rFonts w:ascii="Times New Roman" w:eastAsia="仿宋"/>
                <w:szCs w:val="21"/>
              </w:rPr>
            </w:pPr>
            <w:r>
              <w:rPr>
                <w:rFonts w:hint="eastAsia" w:ascii="Times New Roman" w:eastAsia="仿宋"/>
                <w:szCs w:val="21"/>
              </w:rPr>
              <w:t>非甲烷总烃</w:t>
            </w:r>
          </w:p>
        </w:tc>
        <w:tc>
          <w:tcPr>
            <w:tcW w:w="1276" w:type="dxa"/>
            <w:vMerge w:val="restart"/>
            <w:vAlign w:val="center"/>
          </w:tcPr>
          <w:p w14:paraId="69886970">
            <w:pPr>
              <w:widowControl/>
              <w:jc w:val="center"/>
              <w:textAlignment w:val="center"/>
              <w:rPr>
                <w:rFonts w:ascii="Times New Roman" w:eastAsia="仿宋"/>
                <w:szCs w:val="24"/>
              </w:rPr>
            </w:pPr>
            <w:r>
              <w:rPr>
                <w:rFonts w:hint="eastAsia" w:ascii="Times New Roman" w:eastAsia="仿宋"/>
                <w:szCs w:val="24"/>
              </w:rPr>
              <w:t>物料衡算法</w:t>
            </w:r>
          </w:p>
        </w:tc>
        <w:tc>
          <w:tcPr>
            <w:tcW w:w="1559" w:type="dxa"/>
            <w:vAlign w:val="center"/>
          </w:tcPr>
          <w:p w14:paraId="1BDA98B4">
            <w:pPr>
              <w:widowControl/>
              <w:jc w:val="center"/>
              <w:textAlignment w:val="center"/>
              <w:rPr>
                <w:rFonts w:ascii="Times New Roman" w:eastAsia="仿宋"/>
                <w:szCs w:val="24"/>
              </w:rPr>
            </w:pPr>
            <w:r>
              <w:rPr>
                <w:rFonts w:hint="eastAsia" w:ascii="Times New Roman" w:eastAsia="仿宋"/>
                <w:szCs w:val="24"/>
              </w:rPr>
              <w:t>9.28</w:t>
            </w:r>
          </w:p>
        </w:tc>
        <w:tc>
          <w:tcPr>
            <w:tcW w:w="1134" w:type="dxa"/>
            <w:vAlign w:val="center"/>
          </w:tcPr>
          <w:p w14:paraId="70CC4281">
            <w:pPr>
              <w:widowControl/>
              <w:jc w:val="center"/>
              <w:textAlignment w:val="center"/>
              <w:rPr>
                <w:rFonts w:ascii="Times New Roman" w:eastAsia="仿宋"/>
                <w:szCs w:val="24"/>
              </w:rPr>
            </w:pPr>
            <w:r>
              <w:rPr>
                <w:rFonts w:hint="eastAsia" w:ascii="Times New Roman" w:eastAsia="仿宋"/>
                <w:szCs w:val="24"/>
              </w:rPr>
              <w:t>0.26</w:t>
            </w:r>
          </w:p>
        </w:tc>
        <w:tc>
          <w:tcPr>
            <w:tcW w:w="993" w:type="dxa"/>
            <w:vAlign w:val="center"/>
          </w:tcPr>
          <w:p w14:paraId="634724B0">
            <w:pPr>
              <w:widowControl/>
              <w:jc w:val="center"/>
              <w:textAlignment w:val="center"/>
              <w:rPr>
                <w:rFonts w:ascii="Times New Roman" w:eastAsia="仿宋"/>
                <w:szCs w:val="24"/>
              </w:rPr>
            </w:pPr>
            <w:r>
              <w:rPr>
                <w:rFonts w:hint="eastAsia" w:ascii="Times New Roman" w:eastAsia="仿宋"/>
                <w:szCs w:val="24"/>
              </w:rPr>
              <w:t>1.284</w:t>
            </w:r>
          </w:p>
        </w:tc>
        <w:tc>
          <w:tcPr>
            <w:tcW w:w="1559" w:type="dxa"/>
            <w:vMerge w:val="restart"/>
            <w:vAlign w:val="center"/>
          </w:tcPr>
          <w:p w14:paraId="65354DBA">
            <w:pPr>
              <w:jc w:val="center"/>
              <w:rPr>
                <w:rFonts w:ascii="Times New Roman" w:eastAsia="仿宋"/>
                <w:szCs w:val="21"/>
              </w:rPr>
            </w:pPr>
            <w:r>
              <w:rPr>
                <w:rFonts w:ascii="Times New Roman" w:eastAsia="仿宋"/>
                <w:szCs w:val="21"/>
              </w:rPr>
              <w:t>2</w:t>
            </w:r>
            <w:r>
              <w:rPr>
                <w:rFonts w:hint="eastAsia" w:ascii="Times New Roman" w:eastAsia="仿宋"/>
                <w:szCs w:val="21"/>
              </w:rPr>
              <w:t>号水帘式循环过滤系统+水喷淋+干式过滤器+三级活性炭吸附脱附+催化燃烧</w:t>
            </w:r>
          </w:p>
        </w:tc>
        <w:tc>
          <w:tcPr>
            <w:tcW w:w="850" w:type="dxa"/>
            <w:vMerge w:val="restart"/>
            <w:vAlign w:val="center"/>
          </w:tcPr>
          <w:p w14:paraId="106F0782">
            <w:pPr>
              <w:jc w:val="center"/>
              <w:rPr>
                <w:rFonts w:ascii="Times New Roman" w:eastAsia="仿宋"/>
                <w:szCs w:val="21"/>
              </w:rPr>
            </w:pPr>
            <w:r>
              <w:rPr>
                <w:rFonts w:ascii="Times New Roman" w:eastAsia="仿宋"/>
                <w:szCs w:val="21"/>
              </w:rPr>
              <w:t>15</w:t>
            </w:r>
          </w:p>
        </w:tc>
        <w:tc>
          <w:tcPr>
            <w:tcW w:w="709" w:type="dxa"/>
            <w:vMerge w:val="restart"/>
            <w:vAlign w:val="center"/>
          </w:tcPr>
          <w:p w14:paraId="6D3E880A">
            <w:pPr>
              <w:adjustRightInd w:val="0"/>
              <w:snapToGrid w:val="0"/>
              <w:jc w:val="center"/>
              <w:rPr>
                <w:rFonts w:ascii="Times New Roman" w:eastAsia="仿宋"/>
                <w:szCs w:val="24"/>
              </w:rPr>
            </w:pPr>
            <w:r>
              <w:rPr>
                <w:rFonts w:hint="eastAsia" w:ascii="Times New Roman" w:eastAsia="仿宋"/>
                <w:szCs w:val="24"/>
              </w:rPr>
              <w:t>0.9</w:t>
            </w:r>
          </w:p>
        </w:tc>
        <w:tc>
          <w:tcPr>
            <w:tcW w:w="992" w:type="dxa"/>
            <w:vMerge w:val="restart"/>
            <w:vAlign w:val="center"/>
          </w:tcPr>
          <w:p w14:paraId="4C0A62FD">
            <w:pPr>
              <w:adjustRightInd w:val="0"/>
              <w:snapToGrid w:val="0"/>
              <w:jc w:val="center"/>
              <w:rPr>
                <w:rFonts w:ascii="Times New Roman" w:eastAsia="仿宋"/>
                <w:szCs w:val="21"/>
              </w:rPr>
            </w:pPr>
            <w:r>
              <w:rPr>
                <w:rFonts w:hint="eastAsia" w:ascii="Times New Roman" w:eastAsia="仿宋"/>
                <w:szCs w:val="21"/>
              </w:rPr>
              <w:t>50</w:t>
            </w:r>
          </w:p>
        </w:tc>
        <w:tc>
          <w:tcPr>
            <w:tcW w:w="1051" w:type="dxa"/>
            <w:vMerge w:val="restart"/>
            <w:vAlign w:val="center"/>
          </w:tcPr>
          <w:p w14:paraId="59AA7ED6">
            <w:pPr>
              <w:adjustRightInd w:val="0"/>
              <w:snapToGrid w:val="0"/>
              <w:jc w:val="center"/>
              <w:rPr>
                <w:rFonts w:ascii="Times New Roman" w:eastAsia="仿宋"/>
                <w:szCs w:val="21"/>
              </w:rPr>
            </w:pPr>
            <w:r>
              <w:rPr>
                <w:rFonts w:hint="eastAsia" w:ascii="Times New Roman" w:eastAsia="仿宋"/>
                <w:szCs w:val="21"/>
              </w:rPr>
              <w:t>连续4800h</w:t>
            </w:r>
          </w:p>
        </w:tc>
      </w:tr>
      <w:tr w14:paraId="49F9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859" w:type="dxa"/>
            <w:vMerge w:val="continue"/>
            <w:vAlign w:val="center"/>
          </w:tcPr>
          <w:p w14:paraId="37DE6CFA">
            <w:pPr>
              <w:adjustRightInd w:val="0"/>
              <w:snapToGrid w:val="0"/>
              <w:jc w:val="center"/>
              <w:rPr>
                <w:rFonts w:ascii="Times New Roman" w:eastAsia="仿宋"/>
                <w:szCs w:val="24"/>
              </w:rPr>
            </w:pPr>
          </w:p>
        </w:tc>
        <w:tc>
          <w:tcPr>
            <w:tcW w:w="1408" w:type="dxa"/>
            <w:vMerge w:val="continue"/>
            <w:vAlign w:val="center"/>
          </w:tcPr>
          <w:p w14:paraId="6CEC9657">
            <w:pPr>
              <w:adjustRightInd w:val="0"/>
              <w:snapToGrid w:val="0"/>
              <w:jc w:val="center"/>
              <w:rPr>
                <w:rFonts w:ascii="Times New Roman" w:eastAsia="仿宋"/>
                <w:szCs w:val="24"/>
              </w:rPr>
            </w:pPr>
          </w:p>
        </w:tc>
        <w:tc>
          <w:tcPr>
            <w:tcW w:w="989" w:type="dxa"/>
            <w:vMerge w:val="continue"/>
            <w:vAlign w:val="center"/>
          </w:tcPr>
          <w:p w14:paraId="4B77051A">
            <w:pPr>
              <w:adjustRightInd w:val="0"/>
              <w:snapToGrid w:val="0"/>
              <w:jc w:val="center"/>
              <w:rPr>
                <w:rFonts w:ascii="Times New Roman" w:eastAsia="仿宋"/>
                <w:szCs w:val="24"/>
              </w:rPr>
            </w:pPr>
          </w:p>
        </w:tc>
        <w:tc>
          <w:tcPr>
            <w:tcW w:w="1275" w:type="dxa"/>
            <w:vAlign w:val="center"/>
          </w:tcPr>
          <w:p w14:paraId="503949B1">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16CFC2C5">
            <w:pPr>
              <w:widowControl/>
              <w:jc w:val="center"/>
              <w:textAlignment w:val="center"/>
              <w:rPr>
                <w:rFonts w:ascii="Times New Roman" w:eastAsia="仿宋"/>
                <w:szCs w:val="24"/>
              </w:rPr>
            </w:pPr>
          </w:p>
        </w:tc>
        <w:tc>
          <w:tcPr>
            <w:tcW w:w="1559" w:type="dxa"/>
            <w:vAlign w:val="center"/>
          </w:tcPr>
          <w:p w14:paraId="7AC42110">
            <w:pPr>
              <w:widowControl/>
              <w:jc w:val="center"/>
              <w:textAlignment w:val="center"/>
              <w:rPr>
                <w:rFonts w:ascii="Times New Roman" w:eastAsia="仿宋"/>
                <w:szCs w:val="24"/>
              </w:rPr>
            </w:pPr>
            <w:r>
              <w:rPr>
                <w:rFonts w:hint="eastAsia" w:ascii="Times New Roman" w:eastAsia="仿宋"/>
                <w:szCs w:val="24"/>
              </w:rPr>
              <w:t>9.28</w:t>
            </w:r>
          </w:p>
        </w:tc>
        <w:tc>
          <w:tcPr>
            <w:tcW w:w="1134" w:type="dxa"/>
            <w:vAlign w:val="center"/>
          </w:tcPr>
          <w:p w14:paraId="27331BC3">
            <w:pPr>
              <w:widowControl/>
              <w:jc w:val="center"/>
              <w:textAlignment w:val="center"/>
              <w:rPr>
                <w:rFonts w:ascii="Times New Roman" w:eastAsia="仿宋"/>
                <w:szCs w:val="24"/>
              </w:rPr>
            </w:pPr>
            <w:r>
              <w:rPr>
                <w:rFonts w:hint="eastAsia" w:ascii="Times New Roman" w:eastAsia="仿宋"/>
                <w:szCs w:val="24"/>
              </w:rPr>
              <w:t>0.26</w:t>
            </w:r>
          </w:p>
        </w:tc>
        <w:tc>
          <w:tcPr>
            <w:tcW w:w="993" w:type="dxa"/>
            <w:vAlign w:val="center"/>
          </w:tcPr>
          <w:p w14:paraId="3EDA92F9">
            <w:pPr>
              <w:widowControl/>
              <w:jc w:val="center"/>
              <w:textAlignment w:val="center"/>
              <w:rPr>
                <w:rFonts w:ascii="Times New Roman" w:eastAsia="仿宋"/>
                <w:szCs w:val="24"/>
              </w:rPr>
            </w:pPr>
            <w:r>
              <w:rPr>
                <w:rFonts w:hint="eastAsia" w:ascii="Times New Roman" w:eastAsia="仿宋"/>
                <w:szCs w:val="24"/>
              </w:rPr>
              <w:t>1.284</w:t>
            </w:r>
          </w:p>
        </w:tc>
        <w:tc>
          <w:tcPr>
            <w:tcW w:w="1559" w:type="dxa"/>
            <w:vMerge w:val="continue"/>
            <w:vAlign w:val="center"/>
          </w:tcPr>
          <w:p w14:paraId="6841C730">
            <w:pPr>
              <w:adjustRightInd w:val="0"/>
              <w:snapToGrid w:val="0"/>
              <w:jc w:val="center"/>
              <w:rPr>
                <w:rFonts w:ascii="Times New Roman" w:eastAsia="仿宋"/>
                <w:bCs/>
                <w:szCs w:val="24"/>
              </w:rPr>
            </w:pPr>
          </w:p>
        </w:tc>
        <w:tc>
          <w:tcPr>
            <w:tcW w:w="850" w:type="dxa"/>
            <w:vMerge w:val="continue"/>
            <w:vAlign w:val="center"/>
          </w:tcPr>
          <w:p w14:paraId="48ACC4AA">
            <w:pPr>
              <w:adjustRightInd w:val="0"/>
              <w:snapToGrid w:val="0"/>
              <w:jc w:val="center"/>
              <w:rPr>
                <w:rFonts w:ascii="Times New Roman" w:eastAsia="仿宋"/>
                <w:szCs w:val="24"/>
              </w:rPr>
            </w:pPr>
          </w:p>
        </w:tc>
        <w:tc>
          <w:tcPr>
            <w:tcW w:w="709" w:type="dxa"/>
            <w:vMerge w:val="continue"/>
            <w:vAlign w:val="center"/>
          </w:tcPr>
          <w:p w14:paraId="7791E0E0">
            <w:pPr>
              <w:adjustRightInd w:val="0"/>
              <w:snapToGrid w:val="0"/>
              <w:jc w:val="center"/>
              <w:rPr>
                <w:rFonts w:ascii="Times New Roman" w:eastAsia="仿宋"/>
                <w:szCs w:val="24"/>
              </w:rPr>
            </w:pPr>
          </w:p>
        </w:tc>
        <w:tc>
          <w:tcPr>
            <w:tcW w:w="992" w:type="dxa"/>
            <w:vMerge w:val="continue"/>
            <w:vAlign w:val="center"/>
          </w:tcPr>
          <w:p w14:paraId="1BE8E2A5">
            <w:pPr>
              <w:adjustRightInd w:val="0"/>
              <w:snapToGrid w:val="0"/>
              <w:jc w:val="center"/>
              <w:rPr>
                <w:rFonts w:ascii="Times New Roman" w:eastAsia="仿宋"/>
                <w:szCs w:val="21"/>
              </w:rPr>
            </w:pPr>
          </w:p>
        </w:tc>
        <w:tc>
          <w:tcPr>
            <w:tcW w:w="1051" w:type="dxa"/>
            <w:vMerge w:val="continue"/>
            <w:vAlign w:val="center"/>
          </w:tcPr>
          <w:p w14:paraId="247BF036">
            <w:pPr>
              <w:adjustRightInd w:val="0"/>
              <w:snapToGrid w:val="0"/>
              <w:jc w:val="center"/>
              <w:rPr>
                <w:rFonts w:ascii="Times New Roman" w:eastAsia="仿宋"/>
                <w:szCs w:val="21"/>
              </w:rPr>
            </w:pPr>
          </w:p>
        </w:tc>
      </w:tr>
      <w:tr w14:paraId="4E3C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859" w:type="dxa"/>
            <w:vMerge w:val="continue"/>
            <w:vAlign w:val="center"/>
          </w:tcPr>
          <w:p w14:paraId="724ABF5E">
            <w:pPr>
              <w:adjustRightInd w:val="0"/>
              <w:snapToGrid w:val="0"/>
              <w:jc w:val="center"/>
              <w:rPr>
                <w:rFonts w:ascii="Times New Roman" w:eastAsia="仿宋"/>
                <w:szCs w:val="24"/>
              </w:rPr>
            </w:pPr>
          </w:p>
        </w:tc>
        <w:tc>
          <w:tcPr>
            <w:tcW w:w="1408" w:type="dxa"/>
            <w:vMerge w:val="continue"/>
            <w:vAlign w:val="center"/>
          </w:tcPr>
          <w:p w14:paraId="66E6E99A">
            <w:pPr>
              <w:adjustRightInd w:val="0"/>
              <w:snapToGrid w:val="0"/>
              <w:jc w:val="center"/>
              <w:rPr>
                <w:rFonts w:ascii="Times New Roman" w:eastAsia="仿宋"/>
                <w:szCs w:val="24"/>
              </w:rPr>
            </w:pPr>
          </w:p>
        </w:tc>
        <w:tc>
          <w:tcPr>
            <w:tcW w:w="989" w:type="dxa"/>
            <w:vMerge w:val="continue"/>
            <w:vAlign w:val="center"/>
          </w:tcPr>
          <w:p w14:paraId="0EBD519B">
            <w:pPr>
              <w:adjustRightInd w:val="0"/>
              <w:snapToGrid w:val="0"/>
              <w:jc w:val="center"/>
              <w:rPr>
                <w:rFonts w:ascii="Times New Roman" w:eastAsia="仿宋"/>
                <w:szCs w:val="24"/>
              </w:rPr>
            </w:pPr>
          </w:p>
        </w:tc>
        <w:tc>
          <w:tcPr>
            <w:tcW w:w="1275" w:type="dxa"/>
            <w:vAlign w:val="center"/>
          </w:tcPr>
          <w:p w14:paraId="1988C1D4">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3C1CE75E">
            <w:pPr>
              <w:widowControl/>
              <w:jc w:val="center"/>
              <w:textAlignment w:val="center"/>
              <w:rPr>
                <w:rFonts w:ascii="Times New Roman" w:eastAsia="仿宋"/>
                <w:szCs w:val="24"/>
              </w:rPr>
            </w:pPr>
          </w:p>
        </w:tc>
        <w:tc>
          <w:tcPr>
            <w:tcW w:w="1559" w:type="dxa"/>
            <w:vAlign w:val="center"/>
          </w:tcPr>
          <w:p w14:paraId="0F6D8901">
            <w:pPr>
              <w:widowControl/>
              <w:jc w:val="center"/>
              <w:textAlignment w:val="center"/>
              <w:rPr>
                <w:rFonts w:ascii="Times New Roman" w:eastAsia="仿宋"/>
                <w:szCs w:val="24"/>
              </w:rPr>
            </w:pPr>
            <w:r>
              <w:rPr>
                <w:rFonts w:hint="eastAsia" w:ascii="Times New Roman" w:eastAsia="仿宋"/>
                <w:szCs w:val="24"/>
              </w:rPr>
              <w:t>2.5</w:t>
            </w:r>
          </w:p>
        </w:tc>
        <w:tc>
          <w:tcPr>
            <w:tcW w:w="1134" w:type="dxa"/>
            <w:vAlign w:val="center"/>
          </w:tcPr>
          <w:p w14:paraId="7F9A8412">
            <w:pPr>
              <w:widowControl/>
              <w:jc w:val="center"/>
              <w:textAlignment w:val="center"/>
              <w:rPr>
                <w:rFonts w:ascii="Times New Roman" w:eastAsia="仿宋"/>
                <w:szCs w:val="24"/>
              </w:rPr>
            </w:pPr>
            <w:r>
              <w:rPr>
                <w:rFonts w:hint="eastAsia" w:ascii="Times New Roman" w:eastAsia="仿宋"/>
                <w:szCs w:val="24"/>
              </w:rPr>
              <w:t>0.07</w:t>
            </w:r>
          </w:p>
        </w:tc>
        <w:tc>
          <w:tcPr>
            <w:tcW w:w="993" w:type="dxa"/>
            <w:vAlign w:val="center"/>
          </w:tcPr>
          <w:p w14:paraId="0D233D80">
            <w:pPr>
              <w:widowControl/>
              <w:jc w:val="center"/>
              <w:textAlignment w:val="center"/>
              <w:rPr>
                <w:rFonts w:ascii="Times New Roman" w:eastAsia="仿宋"/>
                <w:szCs w:val="24"/>
              </w:rPr>
            </w:pPr>
            <w:r>
              <w:rPr>
                <w:rFonts w:hint="eastAsia" w:ascii="Times New Roman" w:eastAsia="仿宋"/>
                <w:szCs w:val="24"/>
              </w:rPr>
              <w:t>0.327</w:t>
            </w:r>
          </w:p>
        </w:tc>
        <w:tc>
          <w:tcPr>
            <w:tcW w:w="1559" w:type="dxa"/>
            <w:vMerge w:val="continue"/>
            <w:vAlign w:val="center"/>
          </w:tcPr>
          <w:p w14:paraId="40997247">
            <w:pPr>
              <w:adjustRightInd w:val="0"/>
              <w:snapToGrid w:val="0"/>
              <w:jc w:val="center"/>
              <w:rPr>
                <w:rFonts w:ascii="Times New Roman" w:eastAsia="仿宋"/>
                <w:bCs/>
                <w:szCs w:val="24"/>
              </w:rPr>
            </w:pPr>
          </w:p>
        </w:tc>
        <w:tc>
          <w:tcPr>
            <w:tcW w:w="850" w:type="dxa"/>
            <w:vMerge w:val="continue"/>
            <w:vAlign w:val="center"/>
          </w:tcPr>
          <w:p w14:paraId="5DF04228">
            <w:pPr>
              <w:adjustRightInd w:val="0"/>
              <w:snapToGrid w:val="0"/>
              <w:jc w:val="center"/>
              <w:rPr>
                <w:rFonts w:ascii="Times New Roman" w:eastAsia="仿宋"/>
                <w:szCs w:val="24"/>
              </w:rPr>
            </w:pPr>
          </w:p>
        </w:tc>
        <w:tc>
          <w:tcPr>
            <w:tcW w:w="709" w:type="dxa"/>
            <w:vMerge w:val="continue"/>
            <w:vAlign w:val="center"/>
          </w:tcPr>
          <w:p w14:paraId="41647011">
            <w:pPr>
              <w:adjustRightInd w:val="0"/>
              <w:snapToGrid w:val="0"/>
              <w:jc w:val="center"/>
              <w:rPr>
                <w:rFonts w:ascii="Times New Roman" w:eastAsia="仿宋"/>
                <w:szCs w:val="24"/>
              </w:rPr>
            </w:pPr>
          </w:p>
        </w:tc>
        <w:tc>
          <w:tcPr>
            <w:tcW w:w="992" w:type="dxa"/>
            <w:vMerge w:val="continue"/>
            <w:vAlign w:val="center"/>
          </w:tcPr>
          <w:p w14:paraId="07ABFC18">
            <w:pPr>
              <w:adjustRightInd w:val="0"/>
              <w:snapToGrid w:val="0"/>
              <w:jc w:val="center"/>
              <w:rPr>
                <w:rFonts w:ascii="Times New Roman" w:eastAsia="仿宋"/>
                <w:szCs w:val="21"/>
              </w:rPr>
            </w:pPr>
          </w:p>
        </w:tc>
        <w:tc>
          <w:tcPr>
            <w:tcW w:w="1051" w:type="dxa"/>
            <w:vMerge w:val="continue"/>
            <w:vAlign w:val="center"/>
          </w:tcPr>
          <w:p w14:paraId="79D4E2B0">
            <w:pPr>
              <w:adjustRightInd w:val="0"/>
              <w:snapToGrid w:val="0"/>
              <w:jc w:val="center"/>
              <w:rPr>
                <w:rFonts w:ascii="Times New Roman" w:eastAsia="仿宋"/>
                <w:szCs w:val="21"/>
              </w:rPr>
            </w:pPr>
          </w:p>
        </w:tc>
      </w:tr>
      <w:tr w14:paraId="573F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859" w:type="dxa"/>
            <w:vMerge w:val="continue"/>
            <w:vAlign w:val="center"/>
          </w:tcPr>
          <w:p w14:paraId="150AC093">
            <w:pPr>
              <w:adjustRightInd w:val="0"/>
              <w:snapToGrid w:val="0"/>
              <w:jc w:val="center"/>
              <w:rPr>
                <w:rFonts w:ascii="Times New Roman" w:eastAsia="仿宋"/>
                <w:szCs w:val="24"/>
              </w:rPr>
            </w:pPr>
          </w:p>
        </w:tc>
        <w:tc>
          <w:tcPr>
            <w:tcW w:w="1408" w:type="dxa"/>
            <w:vMerge w:val="continue"/>
            <w:vAlign w:val="center"/>
          </w:tcPr>
          <w:p w14:paraId="3069F6EB">
            <w:pPr>
              <w:adjustRightInd w:val="0"/>
              <w:snapToGrid w:val="0"/>
              <w:jc w:val="center"/>
              <w:rPr>
                <w:rFonts w:ascii="Times New Roman" w:eastAsia="仿宋"/>
                <w:szCs w:val="24"/>
              </w:rPr>
            </w:pPr>
          </w:p>
        </w:tc>
        <w:tc>
          <w:tcPr>
            <w:tcW w:w="989" w:type="dxa"/>
            <w:vMerge w:val="continue"/>
            <w:vAlign w:val="center"/>
          </w:tcPr>
          <w:p w14:paraId="18D30E92">
            <w:pPr>
              <w:adjustRightInd w:val="0"/>
              <w:snapToGrid w:val="0"/>
              <w:jc w:val="center"/>
              <w:rPr>
                <w:rFonts w:ascii="Times New Roman" w:eastAsia="仿宋"/>
                <w:szCs w:val="24"/>
              </w:rPr>
            </w:pPr>
          </w:p>
        </w:tc>
        <w:tc>
          <w:tcPr>
            <w:tcW w:w="1275" w:type="dxa"/>
            <w:vAlign w:val="center"/>
          </w:tcPr>
          <w:p w14:paraId="39B127D7">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31D4182E">
            <w:pPr>
              <w:widowControl/>
              <w:jc w:val="center"/>
              <w:textAlignment w:val="center"/>
              <w:rPr>
                <w:rFonts w:ascii="Times New Roman" w:eastAsia="仿宋"/>
                <w:szCs w:val="24"/>
              </w:rPr>
            </w:pPr>
          </w:p>
        </w:tc>
        <w:tc>
          <w:tcPr>
            <w:tcW w:w="1559" w:type="dxa"/>
            <w:vAlign w:val="center"/>
          </w:tcPr>
          <w:p w14:paraId="1E63D6BF">
            <w:pPr>
              <w:widowControl/>
              <w:jc w:val="center"/>
              <w:textAlignment w:val="center"/>
              <w:rPr>
                <w:rFonts w:ascii="Times New Roman" w:eastAsia="仿宋"/>
                <w:szCs w:val="24"/>
              </w:rPr>
            </w:pPr>
            <w:r>
              <w:rPr>
                <w:rFonts w:hint="eastAsia" w:ascii="Times New Roman" w:eastAsia="仿宋"/>
                <w:szCs w:val="24"/>
              </w:rPr>
              <w:t>2.5</w:t>
            </w:r>
          </w:p>
        </w:tc>
        <w:tc>
          <w:tcPr>
            <w:tcW w:w="1134" w:type="dxa"/>
            <w:vAlign w:val="center"/>
          </w:tcPr>
          <w:p w14:paraId="5D351821">
            <w:pPr>
              <w:widowControl/>
              <w:jc w:val="center"/>
              <w:textAlignment w:val="center"/>
              <w:rPr>
                <w:rFonts w:ascii="Times New Roman" w:eastAsia="仿宋"/>
                <w:szCs w:val="24"/>
              </w:rPr>
            </w:pPr>
            <w:r>
              <w:rPr>
                <w:rFonts w:hint="eastAsia" w:ascii="Times New Roman" w:eastAsia="仿宋"/>
                <w:szCs w:val="24"/>
              </w:rPr>
              <w:t>0.07</w:t>
            </w:r>
          </w:p>
        </w:tc>
        <w:tc>
          <w:tcPr>
            <w:tcW w:w="993" w:type="dxa"/>
            <w:vAlign w:val="center"/>
          </w:tcPr>
          <w:p w14:paraId="0F2AB3E0">
            <w:pPr>
              <w:widowControl/>
              <w:jc w:val="center"/>
              <w:textAlignment w:val="center"/>
              <w:rPr>
                <w:rFonts w:ascii="Times New Roman" w:eastAsia="仿宋"/>
                <w:szCs w:val="24"/>
              </w:rPr>
            </w:pPr>
            <w:r>
              <w:rPr>
                <w:rFonts w:hint="eastAsia" w:ascii="Times New Roman" w:eastAsia="仿宋"/>
                <w:szCs w:val="24"/>
              </w:rPr>
              <w:t>0.327</w:t>
            </w:r>
          </w:p>
        </w:tc>
        <w:tc>
          <w:tcPr>
            <w:tcW w:w="1559" w:type="dxa"/>
            <w:vMerge w:val="continue"/>
            <w:vAlign w:val="center"/>
          </w:tcPr>
          <w:p w14:paraId="3771F1AB">
            <w:pPr>
              <w:adjustRightInd w:val="0"/>
              <w:snapToGrid w:val="0"/>
              <w:jc w:val="center"/>
              <w:rPr>
                <w:rFonts w:ascii="Times New Roman" w:eastAsia="仿宋"/>
                <w:bCs/>
                <w:szCs w:val="24"/>
              </w:rPr>
            </w:pPr>
          </w:p>
        </w:tc>
        <w:tc>
          <w:tcPr>
            <w:tcW w:w="850" w:type="dxa"/>
            <w:vMerge w:val="continue"/>
            <w:vAlign w:val="center"/>
          </w:tcPr>
          <w:p w14:paraId="610445E6">
            <w:pPr>
              <w:adjustRightInd w:val="0"/>
              <w:snapToGrid w:val="0"/>
              <w:jc w:val="center"/>
              <w:rPr>
                <w:rFonts w:ascii="Times New Roman" w:eastAsia="仿宋"/>
                <w:szCs w:val="24"/>
              </w:rPr>
            </w:pPr>
          </w:p>
        </w:tc>
        <w:tc>
          <w:tcPr>
            <w:tcW w:w="709" w:type="dxa"/>
            <w:vMerge w:val="continue"/>
            <w:vAlign w:val="center"/>
          </w:tcPr>
          <w:p w14:paraId="667536D2">
            <w:pPr>
              <w:adjustRightInd w:val="0"/>
              <w:snapToGrid w:val="0"/>
              <w:jc w:val="center"/>
              <w:rPr>
                <w:rFonts w:ascii="Times New Roman" w:eastAsia="仿宋"/>
                <w:szCs w:val="24"/>
              </w:rPr>
            </w:pPr>
          </w:p>
        </w:tc>
        <w:tc>
          <w:tcPr>
            <w:tcW w:w="992" w:type="dxa"/>
            <w:vMerge w:val="continue"/>
            <w:vAlign w:val="center"/>
          </w:tcPr>
          <w:p w14:paraId="5AD993B8">
            <w:pPr>
              <w:adjustRightInd w:val="0"/>
              <w:snapToGrid w:val="0"/>
              <w:jc w:val="center"/>
              <w:rPr>
                <w:rFonts w:ascii="Times New Roman" w:eastAsia="仿宋"/>
                <w:szCs w:val="21"/>
              </w:rPr>
            </w:pPr>
          </w:p>
        </w:tc>
        <w:tc>
          <w:tcPr>
            <w:tcW w:w="1051" w:type="dxa"/>
            <w:vMerge w:val="continue"/>
            <w:vAlign w:val="center"/>
          </w:tcPr>
          <w:p w14:paraId="54F90F5A">
            <w:pPr>
              <w:adjustRightInd w:val="0"/>
              <w:snapToGrid w:val="0"/>
              <w:jc w:val="center"/>
              <w:rPr>
                <w:rFonts w:ascii="Times New Roman" w:eastAsia="仿宋"/>
                <w:szCs w:val="21"/>
              </w:rPr>
            </w:pPr>
          </w:p>
        </w:tc>
      </w:tr>
      <w:tr w14:paraId="103C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2F91A7BA">
            <w:pPr>
              <w:adjustRightInd w:val="0"/>
              <w:snapToGrid w:val="0"/>
              <w:jc w:val="center"/>
              <w:rPr>
                <w:rFonts w:ascii="Times New Roman" w:eastAsia="仿宋"/>
                <w:szCs w:val="24"/>
              </w:rPr>
            </w:pPr>
          </w:p>
        </w:tc>
        <w:tc>
          <w:tcPr>
            <w:tcW w:w="1408" w:type="dxa"/>
            <w:vMerge w:val="restart"/>
            <w:vAlign w:val="center"/>
          </w:tcPr>
          <w:p w14:paraId="0510E753">
            <w:pPr>
              <w:adjustRightInd w:val="0"/>
              <w:snapToGrid w:val="0"/>
              <w:jc w:val="center"/>
              <w:rPr>
                <w:rFonts w:ascii="Times New Roman" w:eastAsia="仿宋"/>
                <w:szCs w:val="24"/>
              </w:rPr>
            </w:pPr>
            <w:r>
              <w:rPr>
                <w:rFonts w:hint="eastAsia" w:ascii="Times New Roman" w:eastAsia="仿宋"/>
                <w:szCs w:val="24"/>
              </w:rPr>
              <w:t>氟碳面漆喷漆废气G1</w:t>
            </w:r>
            <w:r>
              <w:rPr>
                <w:rFonts w:ascii="Times New Roman" w:eastAsia="仿宋"/>
                <w:szCs w:val="24"/>
              </w:rPr>
              <w:t>4</w:t>
            </w:r>
          </w:p>
        </w:tc>
        <w:tc>
          <w:tcPr>
            <w:tcW w:w="989" w:type="dxa"/>
            <w:vMerge w:val="continue"/>
            <w:vAlign w:val="center"/>
          </w:tcPr>
          <w:p w14:paraId="61D29C4C">
            <w:pPr>
              <w:adjustRightInd w:val="0"/>
              <w:snapToGrid w:val="0"/>
              <w:jc w:val="center"/>
              <w:rPr>
                <w:rFonts w:ascii="Times New Roman" w:eastAsia="仿宋"/>
                <w:szCs w:val="24"/>
              </w:rPr>
            </w:pPr>
          </w:p>
        </w:tc>
        <w:tc>
          <w:tcPr>
            <w:tcW w:w="1275" w:type="dxa"/>
            <w:vAlign w:val="center"/>
          </w:tcPr>
          <w:p w14:paraId="322AEB5A">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3F674939">
            <w:pPr>
              <w:widowControl/>
              <w:jc w:val="center"/>
              <w:textAlignment w:val="center"/>
              <w:rPr>
                <w:rFonts w:ascii="Times New Roman" w:eastAsia="仿宋"/>
                <w:szCs w:val="24"/>
              </w:rPr>
            </w:pPr>
          </w:p>
        </w:tc>
        <w:tc>
          <w:tcPr>
            <w:tcW w:w="1559" w:type="dxa"/>
            <w:vAlign w:val="center"/>
          </w:tcPr>
          <w:p w14:paraId="497314F2">
            <w:pPr>
              <w:widowControl/>
              <w:jc w:val="center"/>
              <w:textAlignment w:val="center"/>
              <w:rPr>
                <w:rFonts w:ascii="Times New Roman" w:eastAsia="仿宋"/>
                <w:szCs w:val="24"/>
              </w:rPr>
            </w:pPr>
            <w:r>
              <w:rPr>
                <w:rFonts w:hint="eastAsia" w:ascii="Times New Roman" w:eastAsia="仿宋"/>
                <w:szCs w:val="24"/>
              </w:rPr>
              <w:t>83.21</w:t>
            </w:r>
          </w:p>
        </w:tc>
        <w:tc>
          <w:tcPr>
            <w:tcW w:w="1134" w:type="dxa"/>
            <w:vAlign w:val="center"/>
          </w:tcPr>
          <w:p w14:paraId="7E9279BB">
            <w:pPr>
              <w:widowControl/>
              <w:jc w:val="center"/>
              <w:textAlignment w:val="center"/>
              <w:rPr>
                <w:rFonts w:ascii="Times New Roman" w:eastAsia="仿宋"/>
                <w:szCs w:val="24"/>
              </w:rPr>
            </w:pPr>
            <w:r>
              <w:rPr>
                <w:rFonts w:hint="eastAsia" w:ascii="Times New Roman" w:eastAsia="仿宋"/>
                <w:szCs w:val="24"/>
              </w:rPr>
              <w:t>2.33</w:t>
            </w:r>
          </w:p>
        </w:tc>
        <w:tc>
          <w:tcPr>
            <w:tcW w:w="993" w:type="dxa"/>
            <w:vAlign w:val="center"/>
          </w:tcPr>
          <w:p w14:paraId="02998C93">
            <w:pPr>
              <w:jc w:val="center"/>
              <w:rPr>
                <w:rFonts w:ascii="Times New Roman" w:eastAsia="仿宋"/>
                <w:szCs w:val="24"/>
              </w:rPr>
            </w:pPr>
            <w:r>
              <w:rPr>
                <w:rFonts w:hint="eastAsia" w:ascii="Times New Roman" w:eastAsia="仿宋"/>
                <w:szCs w:val="24"/>
              </w:rPr>
              <w:t>11.17</w:t>
            </w:r>
          </w:p>
        </w:tc>
        <w:tc>
          <w:tcPr>
            <w:tcW w:w="1559" w:type="dxa"/>
            <w:vMerge w:val="continue"/>
            <w:vAlign w:val="center"/>
          </w:tcPr>
          <w:p w14:paraId="1BB55D51">
            <w:pPr>
              <w:adjustRightInd w:val="0"/>
              <w:snapToGrid w:val="0"/>
              <w:jc w:val="center"/>
              <w:rPr>
                <w:rFonts w:ascii="Times New Roman" w:eastAsia="仿宋"/>
                <w:szCs w:val="24"/>
              </w:rPr>
            </w:pPr>
          </w:p>
        </w:tc>
        <w:tc>
          <w:tcPr>
            <w:tcW w:w="850" w:type="dxa"/>
            <w:vMerge w:val="continue"/>
            <w:vAlign w:val="center"/>
          </w:tcPr>
          <w:p w14:paraId="73938F97">
            <w:pPr>
              <w:adjustRightInd w:val="0"/>
              <w:snapToGrid w:val="0"/>
              <w:jc w:val="center"/>
              <w:rPr>
                <w:rFonts w:ascii="Times New Roman" w:eastAsia="仿宋"/>
                <w:szCs w:val="24"/>
              </w:rPr>
            </w:pPr>
          </w:p>
        </w:tc>
        <w:tc>
          <w:tcPr>
            <w:tcW w:w="709" w:type="dxa"/>
            <w:vMerge w:val="continue"/>
            <w:vAlign w:val="center"/>
          </w:tcPr>
          <w:p w14:paraId="42599B6F">
            <w:pPr>
              <w:adjustRightInd w:val="0"/>
              <w:snapToGrid w:val="0"/>
              <w:jc w:val="center"/>
              <w:rPr>
                <w:rFonts w:ascii="Times New Roman" w:eastAsia="仿宋"/>
                <w:szCs w:val="24"/>
              </w:rPr>
            </w:pPr>
          </w:p>
        </w:tc>
        <w:tc>
          <w:tcPr>
            <w:tcW w:w="992" w:type="dxa"/>
            <w:vMerge w:val="continue"/>
            <w:vAlign w:val="center"/>
          </w:tcPr>
          <w:p w14:paraId="1CF4A44A">
            <w:pPr>
              <w:adjustRightInd w:val="0"/>
              <w:snapToGrid w:val="0"/>
              <w:jc w:val="center"/>
              <w:rPr>
                <w:rFonts w:ascii="Times New Roman" w:eastAsia="仿宋"/>
                <w:szCs w:val="21"/>
              </w:rPr>
            </w:pPr>
          </w:p>
        </w:tc>
        <w:tc>
          <w:tcPr>
            <w:tcW w:w="1051" w:type="dxa"/>
            <w:vMerge w:val="continue"/>
            <w:vAlign w:val="center"/>
          </w:tcPr>
          <w:p w14:paraId="6B6859E8">
            <w:pPr>
              <w:adjustRightInd w:val="0"/>
              <w:snapToGrid w:val="0"/>
              <w:jc w:val="center"/>
              <w:rPr>
                <w:rFonts w:ascii="Times New Roman" w:eastAsia="仿宋"/>
                <w:szCs w:val="21"/>
              </w:rPr>
            </w:pPr>
          </w:p>
        </w:tc>
      </w:tr>
      <w:tr w14:paraId="1DFC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053E0C13">
            <w:pPr>
              <w:adjustRightInd w:val="0"/>
              <w:snapToGrid w:val="0"/>
              <w:jc w:val="center"/>
              <w:rPr>
                <w:rFonts w:ascii="Times New Roman" w:eastAsia="仿宋"/>
                <w:szCs w:val="24"/>
              </w:rPr>
            </w:pPr>
          </w:p>
        </w:tc>
        <w:tc>
          <w:tcPr>
            <w:tcW w:w="1408" w:type="dxa"/>
            <w:vMerge w:val="continue"/>
            <w:vAlign w:val="center"/>
          </w:tcPr>
          <w:p w14:paraId="0247D7C0">
            <w:pPr>
              <w:adjustRightInd w:val="0"/>
              <w:snapToGrid w:val="0"/>
              <w:jc w:val="center"/>
              <w:rPr>
                <w:rFonts w:ascii="Times New Roman" w:eastAsia="仿宋"/>
                <w:szCs w:val="24"/>
              </w:rPr>
            </w:pPr>
          </w:p>
        </w:tc>
        <w:tc>
          <w:tcPr>
            <w:tcW w:w="989" w:type="dxa"/>
            <w:vMerge w:val="continue"/>
            <w:vAlign w:val="center"/>
          </w:tcPr>
          <w:p w14:paraId="203EB3A7">
            <w:pPr>
              <w:adjustRightInd w:val="0"/>
              <w:snapToGrid w:val="0"/>
              <w:jc w:val="center"/>
              <w:rPr>
                <w:rFonts w:ascii="Times New Roman" w:eastAsia="仿宋"/>
                <w:szCs w:val="24"/>
              </w:rPr>
            </w:pPr>
          </w:p>
        </w:tc>
        <w:tc>
          <w:tcPr>
            <w:tcW w:w="1275" w:type="dxa"/>
            <w:vAlign w:val="center"/>
          </w:tcPr>
          <w:p w14:paraId="6DC41ECB">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3802AE5E">
            <w:pPr>
              <w:widowControl/>
              <w:jc w:val="center"/>
              <w:textAlignment w:val="center"/>
              <w:rPr>
                <w:rFonts w:ascii="Times New Roman" w:eastAsia="仿宋"/>
                <w:szCs w:val="24"/>
              </w:rPr>
            </w:pPr>
          </w:p>
        </w:tc>
        <w:tc>
          <w:tcPr>
            <w:tcW w:w="1559" w:type="dxa"/>
            <w:vAlign w:val="center"/>
          </w:tcPr>
          <w:p w14:paraId="552FA904">
            <w:pPr>
              <w:widowControl/>
              <w:jc w:val="center"/>
              <w:textAlignment w:val="center"/>
              <w:rPr>
                <w:rFonts w:ascii="Times New Roman" w:eastAsia="仿宋"/>
                <w:szCs w:val="24"/>
              </w:rPr>
            </w:pPr>
            <w:r>
              <w:rPr>
                <w:rFonts w:hint="eastAsia" w:ascii="Times New Roman" w:eastAsia="仿宋"/>
                <w:szCs w:val="24"/>
              </w:rPr>
              <w:t>83.21</w:t>
            </w:r>
          </w:p>
        </w:tc>
        <w:tc>
          <w:tcPr>
            <w:tcW w:w="1134" w:type="dxa"/>
            <w:vAlign w:val="center"/>
          </w:tcPr>
          <w:p w14:paraId="41E54967">
            <w:pPr>
              <w:widowControl/>
              <w:jc w:val="center"/>
              <w:textAlignment w:val="center"/>
              <w:rPr>
                <w:rFonts w:ascii="Times New Roman" w:eastAsia="仿宋"/>
                <w:szCs w:val="24"/>
              </w:rPr>
            </w:pPr>
            <w:r>
              <w:rPr>
                <w:rFonts w:hint="eastAsia" w:ascii="Times New Roman" w:eastAsia="仿宋"/>
                <w:szCs w:val="24"/>
              </w:rPr>
              <w:t>2.33</w:t>
            </w:r>
          </w:p>
        </w:tc>
        <w:tc>
          <w:tcPr>
            <w:tcW w:w="993" w:type="dxa"/>
            <w:vAlign w:val="center"/>
          </w:tcPr>
          <w:p w14:paraId="6F163E79">
            <w:pPr>
              <w:jc w:val="center"/>
              <w:rPr>
                <w:rFonts w:ascii="Times New Roman" w:eastAsia="仿宋"/>
                <w:szCs w:val="24"/>
              </w:rPr>
            </w:pPr>
            <w:r>
              <w:rPr>
                <w:rFonts w:hint="eastAsia" w:ascii="Times New Roman" w:eastAsia="仿宋"/>
                <w:szCs w:val="24"/>
              </w:rPr>
              <w:t>11.17</w:t>
            </w:r>
          </w:p>
        </w:tc>
        <w:tc>
          <w:tcPr>
            <w:tcW w:w="1559" w:type="dxa"/>
            <w:vMerge w:val="continue"/>
            <w:vAlign w:val="center"/>
          </w:tcPr>
          <w:p w14:paraId="395C98E6">
            <w:pPr>
              <w:adjustRightInd w:val="0"/>
              <w:snapToGrid w:val="0"/>
              <w:jc w:val="center"/>
              <w:rPr>
                <w:rFonts w:ascii="Times New Roman" w:eastAsia="仿宋"/>
                <w:szCs w:val="24"/>
              </w:rPr>
            </w:pPr>
          </w:p>
        </w:tc>
        <w:tc>
          <w:tcPr>
            <w:tcW w:w="850" w:type="dxa"/>
            <w:vMerge w:val="continue"/>
            <w:vAlign w:val="center"/>
          </w:tcPr>
          <w:p w14:paraId="185C10A9">
            <w:pPr>
              <w:adjustRightInd w:val="0"/>
              <w:snapToGrid w:val="0"/>
              <w:jc w:val="center"/>
              <w:rPr>
                <w:rFonts w:ascii="Times New Roman" w:eastAsia="仿宋"/>
                <w:szCs w:val="24"/>
              </w:rPr>
            </w:pPr>
          </w:p>
        </w:tc>
        <w:tc>
          <w:tcPr>
            <w:tcW w:w="709" w:type="dxa"/>
            <w:vMerge w:val="continue"/>
            <w:vAlign w:val="center"/>
          </w:tcPr>
          <w:p w14:paraId="605BD9EB">
            <w:pPr>
              <w:adjustRightInd w:val="0"/>
              <w:snapToGrid w:val="0"/>
              <w:jc w:val="center"/>
              <w:rPr>
                <w:rFonts w:ascii="Times New Roman" w:eastAsia="仿宋"/>
                <w:szCs w:val="24"/>
              </w:rPr>
            </w:pPr>
          </w:p>
        </w:tc>
        <w:tc>
          <w:tcPr>
            <w:tcW w:w="992" w:type="dxa"/>
            <w:vMerge w:val="continue"/>
            <w:vAlign w:val="center"/>
          </w:tcPr>
          <w:p w14:paraId="1E29249A">
            <w:pPr>
              <w:adjustRightInd w:val="0"/>
              <w:snapToGrid w:val="0"/>
              <w:jc w:val="center"/>
              <w:rPr>
                <w:rFonts w:ascii="Times New Roman" w:eastAsia="仿宋"/>
                <w:szCs w:val="21"/>
              </w:rPr>
            </w:pPr>
          </w:p>
        </w:tc>
        <w:tc>
          <w:tcPr>
            <w:tcW w:w="1051" w:type="dxa"/>
            <w:vMerge w:val="continue"/>
            <w:vAlign w:val="center"/>
          </w:tcPr>
          <w:p w14:paraId="685EF91D">
            <w:pPr>
              <w:adjustRightInd w:val="0"/>
              <w:snapToGrid w:val="0"/>
              <w:jc w:val="center"/>
              <w:rPr>
                <w:rFonts w:ascii="Times New Roman" w:eastAsia="仿宋"/>
                <w:szCs w:val="21"/>
              </w:rPr>
            </w:pPr>
          </w:p>
        </w:tc>
      </w:tr>
      <w:tr w14:paraId="1CBF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59409489">
            <w:pPr>
              <w:adjustRightInd w:val="0"/>
              <w:snapToGrid w:val="0"/>
              <w:jc w:val="center"/>
              <w:rPr>
                <w:rFonts w:ascii="Times New Roman" w:eastAsia="仿宋"/>
                <w:szCs w:val="24"/>
              </w:rPr>
            </w:pPr>
          </w:p>
        </w:tc>
        <w:tc>
          <w:tcPr>
            <w:tcW w:w="1408" w:type="dxa"/>
            <w:vMerge w:val="continue"/>
            <w:vAlign w:val="center"/>
          </w:tcPr>
          <w:p w14:paraId="3298DB82">
            <w:pPr>
              <w:adjustRightInd w:val="0"/>
              <w:snapToGrid w:val="0"/>
              <w:jc w:val="center"/>
              <w:rPr>
                <w:rFonts w:ascii="Times New Roman" w:eastAsia="仿宋"/>
                <w:szCs w:val="24"/>
              </w:rPr>
            </w:pPr>
          </w:p>
        </w:tc>
        <w:tc>
          <w:tcPr>
            <w:tcW w:w="989" w:type="dxa"/>
            <w:vMerge w:val="continue"/>
            <w:vAlign w:val="center"/>
          </w:tcPr>
          <w:p w14:paraId="2AC249EE">
            <w:pPr>
              <w:adjustRightInd w:val="0"/>
              <w:snapToGrid w:val="0"/>
              <w:jc w:val="center"/>
              <w:rPr>
                <w:rFonts w:ascii="Times New Roman" w:eastAsia="仿宋"/>
                <w:szCs w:val="24"/>
              </w:rPr>
            </w:pPr>
          </w:p>
        </w:tc>
        <w:tc>
          <w:tcPr>
            <w:tcW w:w="1275" w:type="dxa"/>
            <w:vAlign w:val="center"/>
          </w:tcPr>
          <w:p w14:paraId="53232E8E">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0EDE9BA2">
            <w:pPr>
              <w:widowControl/>
              <w:jc w:val="center"/>
              <w:textAlignment w:val="center"/>
              <w:rPr>
                <w:rFonts w:ascii="Times New Roman" w:eastAsia="仿宋"/>
                <w:szCs w:val="24"/>
              </w:rPr>
            </w:pPr>
          </w:p>
        </w:tc>
        <w:tc>
          <w:tcPr>
            <w:tcW w:w="1559" w:type="dxa"/>
            <w:vAlign w:val="center"/>
          </w:tcPr>
          <w:p w14:paraId="4AB90B2A">
            <w:pPr>
              <w:widowControl/>
              <w:jc w:val="center"/>
              <w:textAlignment w:val="center"/>
              <w:rPr>
                <w:rFonts w:ascii="Times New Roman" w:eastAsia="仿宋"/>
                <w:szCs w:val="24"/>
              </w:rPr>
            </w:pPr>
            <w:r>
              <w:rPr>
                <w:rFonts w:hint="eastAsia" w:ascii="Times New Roman" w:eastAsia="仿宋"/>
                <w:szCs w:val="24"/>
              </w:rPr>
              <w:t>19.29</w:t>
            </w:r>
          </w:p>
        </w:tc>
        <w:tc>
          <w:tcPr>
            <w:tcW w:w="1134" w:type="dxa"/>
            <w:vAlign w:val="center"/>
          </w:tcPr>
          <w:p w14:paraId="7A92ADDA">
            <w:pPr>
              <w:widowControl/>
              <w:jc w:val="center"/>
              <w:textAlignment w:val="center"/>
              <w:rPr>
                <w:rFonts w:ascii="Times New Roman" w:eastAsia="仿宋"/>
                <w:szCs w:val="24"/>
              </w:rPr>
            </w:pPr>
            <w:r>
              <w:rPr>
                <w:rFonts w:hint="eastAsia" w:ascii="Times New Roman" w:eastAsia="仿宋"/>
                <w:szCs w:val="24"/>
              </w:rPr>
              <w:t>0.54</w:t>
            </w:r>
          </w:p>
        </w:tc>
        <w:tc>
          <w:tcPr>
            <w:tcW w:w="993" w:type="dxa"/>
            <w:vAlign w:val="center"/>
          </w:tcPr>
          <w:p w14:paraId="3169B401">
            <w:pPr>
              <w:jc w:val="center"/>
              <w:rPr>
                <w:rFonts w:ascii="Times New Roman" w:eastAsia="仿宋"/>
                <w:szCs w:val="24"/>
              </w:rPr>
            </w:pPr>
            <w:r>
              <w:rPr>
                <w:rFonts w:hint="eastAsia" w:ascii="Times New Roman" w:eastAsia="仿宋"/>
                <w:szCs w:val="24"/>
              </w:rPr>
              <w:t>2.6</w:t>
            </w:r>
          </w:p>
        </w:tc>
        <w:tc>
          <w:tcPr>
            <w:tcW w:w="1559" w:type="dxa"/>
            <w:vMerge w:val="continue"/>
            <w:vAlign w:val="center"/>
          </w:tcPr>
          <w:p w14:paraId="5A9CC721">
            <w:pPr>
              <w:adjustRightInd w:val="0"/>
              <w:snapToGrid w:val="0"/>
              <w:jc w:val="center"/>
              <w:rPr>
                <w:rFonts w:ascii="Times New Roman" w:eastAsia="仿宋"/>
                <w:szCs w:val="24"/>
              </w:rPr>
            </w:pPr>
          </w:p>
        </w:tc>
        <w:tc>
          <w:tcPr>
            <w:tcW w:w="850" w:type="dxa"/>
            <w:vMerge w:val="continue"/>
            <w:vAlign w:val="center"/>
          </w:tcPr>
          <w:p w14:paraId="453CAB98">
            <w:pPr>
              <w:adjustRightInd w:val="0"/>
              <w:snapToGrid w:val="0"/>
              <w:jc w:val="center"/>
              <w:rPr>
                <w:rFonts w:ascii="Times New Roman" w:eastAsia="仿宋"/>
                <w:szCs w:val="24"/>
              </w:rPr>
            </w:pPr>
          </w:p>
        </w:tc>
        <w:tc>
          <w:tcPr>
            <w:tcW w:w="709" w:type="dxa"/>
            <w:vMerge w:val="continue"/>
            <w:vAlign w:val="center"/>
          </w:tcPr>
          <w:p w14:paraId="3C31D097">
            <w:pPr>
              <w:adjustRightInd w:val="0"/>
              <w:snapToGrid w:val="0"/>
              <w:jc w:val="center"/>
              <w:rPr>
                <w:rFonts w:ascii="Times New Roman" w:eastAsia="仿宋"/>
                <w:szCs w:val="24"/>
              </w:rPr>
            </w:pPr>
          </w:p>
        </w:tc>
        <w:tc>
          <w:tcPr>
            <w:tcW w:w="992" w:type="dxa"/>
            <w:vMerge w:val="continue"/>
            <w:vAlign w:val="center"/>
          </w:tcPr>
          <w:p w14:paraId="7BBDDFCA">
            <w:pPr>
              <w:adjustRightInd w:val="0"/>
              <w:snapToGrid w:val="0"/>
              <w:jc w:val="center"/>
              <w:rPr>
                <w:rFonts w:ascii="Times New Roman" w:eastAsia="仿宋"/>
                <w:szCs w:val="21"/>
              </w:rPr>
            </w:pPr>
          </w:p>
        </w:tc>
        <w:tc>
          <w:tcPr>
            <w:tcW w:w="1051" w:type="dxa"/>
            <w:vMerge w:val="continue"/>
            <w:vAlign w:val="center"/>
          </w:tcPr>
          <w:p w14:paraId="21BAE2E4">
            <w:pPr>
              <w:adjustRightInd w:val="0"/>
              <w:snapToGrid w:val="0"/>
              <w:jc w:val="center"/>
              <w:rPr>
                <w:rFonts w:ascii="Times New Roman" w:eastAsia="仿宋"/>
                <w:szCs w:val="21"/>
              </w:rPr>
            </w:pPr>
          </w:p>
        </w:tc>
      </w:tr>
      <w:tr w14:paraId="2547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38430B06">
            <w:pPr>
              <w:adjustRightInd w:val="0"/>
              <w:snapToGrid w:val="0"/>
              <w:jc w:val="center"/>
              <w:rPr>
                <w:rFonts w:ascii="Times New Roman" w:eastAsia="仿宋"/>
                <w:szCs w:val="24"/>
              </w:rPr>
            </w:pPr>
          </w:p>
        </w:tc>
        <w:tc>
          <w:tcPr>
            <w:tcW w:w="1408" w:type="dxa"/>
            <w:vMerge w:val="continue"/>
            <w:vAlign w:val="center"/>
          </w:tcPr>
          <w:p w14:paraId="264DAAD5">
            <w:pPr>
              <w:adjustRightInd w:val="0"/>
              <w:snapToGrid w:val="0"/>
              <w:jc w:val="center"/>
              <w:rPr>
                <w:rFonts w:ascii="Times New Roman" w:eastAsia="仿宋"/>
                <w:szCs w:val="24"/>
              </w:rPr>
            </w:pPr>
          </w:p>
        </w:tc>
        <w:tc>
          <w:tcPr>
            <w:tcW w:w="989" w:type="dxa"/>
            <w:vMerge w:val="continue"/>
            <w:vAlign w:val="center"/>
          </w:tcPr>
          <w:p w14:paraId="527837E4">
            <w:pPr>
              <w:adjustRightInd w:val="0"/>
              <w:snapToGrid w:val="0"/>
              <w:jc w:val="center"/>
              <w:rPr>
                <w:rFonts w:ascii="Times New Roman" w:eastAsia="仿宋"/>
                <w:szCs w:val="24"/>
              </w:rPr>
            </w:pPr>
          </w:p>
        </w:tc>
        <w:tc>
          <w:tcPr>
            <w:tcW w:w="1275" w:type="dxa"/>
            <w:vAlign w:val="center"/>
          </w:tcPr>
          <w:p w14:paraId="0C4F6D35">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7BF1ED37">
            <w:pPr>
              <w:widowControl/>
              <w:jc w:val="center"/>
              <w:textAlignment w:val="center"/>
              <w:rPr>
                <w:rFonts w:ascii="Times New Roman" w:eastAsia="仿宋"/>
                <w:szCs w:val="24"/>
              </w:rPr>
            </w:pPr>
          </w:p>
        </w:tc>
        <w:tc>
          <w:tcPr>
            <w:tcW w:w="1559" w:type="dxa"/>
            <w:vAlign w:val="center"/>
          </w:tcPr>
          <w:p w14:paraId="25C6C622">
            <w:pPr>
              <w:widowControl/>
              <w:jc w:val="center"/>
              <w:textAlignment w:val="center"/>
              <w:rPr>
                <w:rFonts w:ascii="Times New Roman" w:eastAsia="仿宋"/>
                <w:szCs w:val="24"/>
              </w:rPr>
            </w:pPr>
            <w:r>
              <w:rPr>
                <w:rFonts w:hint="eastAsia" w:ascii="Times New Roman" w:eastAsia="仿宋"/>
                <w:szCs w:val="24"/>
              </w:rPr>
              <w:t>19.29</w:t>
            </w:r>
          </w:p>
        </w:tc>
        <w:tc>
          <w:tcPr>
            <w:tcW w:w="1134" w:type="dxa"/>
            <w:vAlign w:val="center"/>
          </w:tcPr>
          <w:p w14:paraId="70619BBE">
            <w:pPr>
              <w:widowControl/>
              <w:jc w:val="center"/>
              <w:textAlignment w:val="center"/>
              <w:rPr>
                <w:rFonts w:ascii="Times New Roman" w:eastAsia="仿宋"/>
                <w:szCs w:val="24"/>
              </w:rPr>
            </w:pPr>
            <w:r>
              <w:rPr>
                <w:rFonts w:hint="eastAsia" w:ascii="Times New Roman" w:eastAsia="仿宋"/>
                <w:szCs w:val="24"/>
              </w:rPr>
              <w:t>0.54</w:t>
            </w:r>
          </w:p>
        </w:tc>
        <w:tc>
          <w:tcPr>
            <w:tcW w:w="993" w:type="dxa"/>
            <w:vAlign w:val="center"/>
          </w:tcPr>
          <w:p w14:paraId="6110D884">
            <w:pPr>
              <w:jc w:val="center"/>
              <w:rPr>
                <w:rFonts w:ascii="Times New Roman" w:eastAsia="仿宋"/>
                <w:szCs w:val="24"/>
              </w:rPr>
            </w:pPr>
            <w:r>
              <w:rPr>
                <w:rFonts w:hint="eastAsia" w:ascii="Times New Roman" w:eastAsia="仿宋"/>
                <w:szCs w:val="24"/>
              </w:rPr>
              <w:t>2.6</w:t>
            </w:r>
          </w:p>
        </w:tc>
        <w:tc>
          <w:tcPr>
            <w:tcW w:w="1559" w:type="dxa"/>
            <w:vMerge w:val="continue"/>
            <w:vAlign w:val="center"/>
          </w:tcPr>
          <w:p w14:paraId="31539AA4">
            <w:pPr>
              <w:adjustRightInd w:val="0"/>
              <w:snapToGrid w:val="0"/>
              <w:jc w:val="center"/>
              <w:rPr>
                <w:rFonts w:ascii="Times New Roman" w:eastAsia="仿宋"/>
                <w:szCs w:val="24"/>
              </w:rPr>
            </w:pPr>
          </w:p>
        </w:tc>
        <w:tc>
          <w:tcPr>
            <w:tcW w:w="850" w:type="dxa"/>
            <w:vMerge w:val="continue"/>
            <w:vAlign w:val="center"/>
          </w:tcPr>
          <w:p w14:paraId="77106775">
            <w:pPr>
              <w:adjustRightInd w:val="0"/>
              <w:snapToGrid w:val="0"/>
              <w:jc w:val="center"/>
              <w:rPr>
                <w:rFonts w:ascii="Times New Roman" w:eastAsia="仿宋"/>
                <w:szCs w:val="24"/>
              </w:rPr>
            </w:pPr>
          </w:p>
        </w:tc>
        <w:tc>
          <w:tcPr>
            <w:tcW w:w="709" w:type="dxa"/>
            <w:vMerge w:val="continue"/>
            <w:vAlign w:val="center"/>
          </w:tcPr>
          <w:p w14:paraId="40DA8A71">
            <w:pPr>
              <w:adjustRightInd w:val="0"/>
              <w:snapToGrid w:val="0"/>
              <w:jc w:val="center"/>
              <w:rPr>
                <w:rFonts w:ascii="Times New Roman" w:eastAsia="仿宋"/>
                <w:szCs w:val="24"/>
              </w:rPr>
            </w:pPr>
          </w:p>
        </w:tc>
        <w:tc>
          <w:tcPr>
            <w:tcW w:w="992" w:type="dxa"/>
            <w:vMerge w:val="continue"/>
            <w:vAlign w:val="center"/>
          </w:tcPr>
          <w:p w14:paraId="547C0C70">
            <w:pPr>
              <w:adjustRightInd w:val="0"/>
              <w:snapToGrid w:val="0"/>
              <w:jc w:val="center"/>
              <w:rPr>
                <w:rFonts w:ascii="Times New Roman" w:eastAsia="仿宋"/>
                <w:szCs w:val="21"/>
              </w:rPr>
            </w:pPr>
          </w:p>
        </w:tc>
        <w:tc>
          <w:tcPr>
            <w:tcW w:w="1051" w:type="dxa"/>
            <w:vMerge w:val="continue"/>
            <w:vAlign w:val="center"/>
          </w:tcPr>
          <w:p w14:paraId="48607FD3">
            <w:pPr>
              <w:adjustRightInd w:val="0"/>
              <w:snapToGrid w:val="0"/>
              <w:jc w:val="center"/>
              <w:rPr>
                <w:rFonts w:ascii="Times New Roman" w:eastAsia="仿宋"/>
                <w:szCs w:val="21"/>
              </w:rPr>
            </w:pPr>
          </w:p>
        </w:tc>
      </w:tr>
      <w:tr w14:paraId="5232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859" w:type="dxa"/>
            <w:vMerge w:val="continue"/>
            <w:vAlign w:val="center"/>
          </w:tcPr>
          <w:p w14:paraId="094CD370">
            <w:pPr>
              <w:adjustRightInd w:val="0"/>
              <w:snapToGrid w:val="0"/>
              <w:jc w:val="center"/>
              <w:rPr>
                <w:rFonts w:ascii="Times New Roman" w:eastAsia="仿宋"/>
                <w:szCs w:val="24"/>
              </w:rPr>
            </w:pPr>
          </w:p>
        </w:tc>
        <w:tc>
          <w:tcPr>
            <w:tcW w:w="1408" w:type="dxa"/>
            <w:vMerge w:val="continue"/>
            <w:vAlign w:val="center"/>
          </w:tcPr>
          <w:p w14:paraId="7E743578">
            <w:pPr>
              <w:adjustRightInd w:val="0"/>
              <w:snapToGrid w:val="0"/>
              <w:jc w:val="center"/>
              <w:rPr>
                <w:rFonts w:ascii="Times New Roman" w:eastAsia="仿宋"/>
                <w:szCs w:val="24"/>
              </w:rPr>
            </w:pPr>
          </w:p>
        </w:tc>
        <w:tc>
          <w:tcPr>
            <w:tcW w:w="989" w:type="dxa"/>
            <w:vMerge w:val="continue"/>
            <w:vAlign w:val="center"/>
          </w:tcPr>
          <w:p w14:paraId="1C187DC6">
            <w:pPr>
              <w:adjustRightInd w:val="0"/>
              <w:snapToGrid w:val="0"/>
              <w:jc w:val="center"/>
              <w:rPr>
                <w:rFonts w:ascii="Times New Roman" w:eastAsia="仿宋"/>
                <w:szCs w:val="24"/>
              </w:rPr>
            </w:pPr>
          </w:p>
        </w:tc>
        <w:tc>
          <w:tcPr>
            <w:tcW w:w="1275" w:type="dxa"/>
            <w:vAlign w:val="center"/>
          </w:tcPr>
          <w:p w14:paraId="253EB1DB">
            <w:pPr>
              <w:adjustRightInd w:val="0"/>
              <w:snapToGrid w:val="0"/>
              <w:jc w:val="center"/>
              <w:rPr>
                <w:rFonts w:ascii="Times New Roman" w:eastAsia="仿宋"/>
                <w:szCs w:val="24"/>
              </w:rPr>
            </w:pPr>
            <w:r>
              <w:rPr>
                <w:rFonts w:hint="eastAsia" w:ascii="Times New Roman" w:eastAsia="仿宋"/>
                <w:szCs w:val="21"/>
              </w:rPr>
              <w:t>颗粒物</w:t>
            </w:r>
          </w:p>
        </w:tc>
        <w:tc>
          <w:tcPr>
            <w:tcW w:w="1276" w:type="dxa"/>
            <w:vMerge w:val="continue"/>
            <w:vAlign w:val="center"/>
          </w:tcPr>
          <w:p w14:paraId="6715C3F2">
            <w:pPr>
              <w:widowControl/>
              <w:jc w:val="center"/>
              <w:textAlignment w:val="center"/>
              <w:rPr>
                <w:rFonts w:ascii="Times New Roman" w:eastAsia="仿宋"/>
                <w:szCs w:val="24"/>
              </w:rPr>
            </w:pPr>
          </w:p>
        </w:tc>
        <w:tc>
          <w:tcPr>
            <w:tcW w:w="1559" w:type="dxa"/>
            <w:vAlign w:val="center"/>
          </w:tcPr>
          <w:p w14:paraId="4DAAD371">
            <w:pPr>
              <w:widowControl/>
              <w:jc w:val="center"/>
              <w:textAlignment w:val="center"/>
              <w:rPr>
                <w:rFonts w:ascii="Times New Roman" w:eastAsia="仿宋"/>
                <w:szCs w:val="24"/>
              </w:rPr>
            </w:pPr>
            <w:r>
              <w:rPr>
                <w:rFonts w:hint="eastAsia" w:ascii="Times New Roman" w:eastAsia="仿宋"/>
                <w:szCs w:val="24"/>
              </w:rPr>
              <w:t>37.5</w:t>
            </w:r>
          </w:p>
        </w:tc>
        <w:tc>
          <w:tcPr>
            <w:tcW w:w="1134" w:type="dxa"/>
            <w:vAlign w:val="center"/>
          </w:tcPr>
          <w:p w14:paraId="6C1615FF">
            <w:pPr>
              <w:widowControl/>
              <w:jc w:val="center"/>
              <w:textAlignment w:val="center"/>
              <w:rPr>
                <w:rFonts w:ascii="Times New Roman" w:eastAsia="仿宋"/>
                <w:szCs w:val="24"/>
              </w:rPr>
            </w:pPr>
            <w:r>
              <w:rPr>
                <w:rFonts w:hint="eastAsia" w:ascii="Times New Roman" w:eastAsia="仿宋"/>
                <w:szCs w:val="24"/>
              </w:rPr>
              <w:t>1.05</w:t>
            </w:r>
          </w:p>
        </w:tc>
        <w:tc>
          <w:tcPr>
            <w:tcW w:w="993" w:type="dxa"/>
            <w:vAlign w:val="center"/>
          </w:tcPr>
          <w:p w14:paraId="2DD79116">
            <w:pPr>
              <w:widowControl/>
              <w:jc w:val="center"/>
              <w:textAlignment w:val="center"/>
              <w:rPr>
                <w:rFonts w:ascii="Times New Roman" w:eastAsia="仿宋"/>
                <w:szCs w:val="24"/>
              </w:rPr>
            </w:pPr>
            <w:r>
              <w:rPr>
                <w:rFonts w:hint="eastAsia" w:ascii="Times New Roman" w:eastAsia="仿宋"/>
                <w:szCs w:val="24"/>
              </w:rPr>
              <w:t>5.04</w:t>
            </w:r>
          </w:p>
        </w:tc>
        <w:tc>
          <w:tcPr>
            <w:tcW w:w="1559" w:type="dxa"/>
            <w:vMerge w:val="continue"/>
            <w:vAlign w:val="center"/>
          </w:tcPr>
          <w:p w14:paraId="07A46F02">
            <w:pPr>
              <w:adjustRightInd w:val="0"/>
              <w:snapToGrid w:val="0"/>
              <w:jc w:val="center"/>
              <w:rPr>
                <w:rFonts w:ascii="Times New Roman" w:eastAsia="仿宋"/>
                <w:szCs w:val="24"/>
              </w:rPr>
            </w:pPr>
          </w:p>
        </w:tc>
        <w:tc>
          <w:tcPr>
            <w:tcW w:w="850" w:type="dxa"/>
            <w:vMerge w:val="continue"/>
            <w:vAlign w:val="center"/>
          </w:tcPr>
          <w:p w14:paraId="1F875D6B">
            <w:pPr>
              <w:adjustRightInd w:val="0"/>
              <w:snapToGrid w:val="0"/>
              <w:jc w:val="center"/>
              <w:rPr>
                <w:rFonts w:ascii="Times New Roman" w:eastAsia="仿宋"/>
                <w:szCs w:val="24"/>
              </w:rPr>
            </w:pPr>
          </w:p>
        </w:tc>
        <w:tc>
          <w:tcPr>
            <w:tcW w:w="709" w:type="dxa"/>
            <w:vMerge w:val="continue"/>
            <w:vAlign w:val="center"/>
          </w:tcPr>
          <w:p w14:paraId="70D42155">
            <w:pPr>
              <w:adjustRightInd w:val="0"/>
              <w:snapToGrid w:val="0"/>
              <w:jc w:val="center"/>
              <w:rPr>
                <w:rFonts w:ascii="Times New Roman" w:eastAsia="仿宋"/>
                <w:szCs w:val="24"/>
              </w:rPr>
            </w:pPr>
          </w:p>
        </w:tc>
        <w:tc>
          <w:tcPr>
            <w:tcW w:w="992" w:type="dxa"/>
            <w:vMerge w:val="continue"/>
            <w:vAlign w:val="center"/>
          </w:tcPr>
          <w:p w14:paraId="4EBEC83D">
            <w:pPr>
              <w:adjustRightInd w:val="0"/>
              <w:snapToGrid w:val="0"/>
              <w:jc w:val="center"/>
              <w:rPr>
                <w:rFonts w:ascii="Times New Roman" w:eastAsia="仿宋"/>
                <w:szCs w:val="21"/>
              </w:rPr>
            </w:pPr>
          </w:p>
        </w:tc>
        <w:tc>
          <w:tcPr>
            <w:tcW w:w="1051" w:type="dxa"/>
            <w:vMerge w:val="continue"/>
            <w:vAlign w:val="center"/>
          </w:tcPr>
          <w:p w14:paraId="1CC266F6">
            <w:pPr>
              <w:adjustRightInd w:val="0"/>
              <w:snapToGrid w:val="0"/>
              <w:jc w:val="center"/>
              <w:rPr>
                <w:rFonts w:ascii="Times New Roman" w:eastAsia="仿宋"/>
                <w:szCs w:val="21"/>
              </w:rPr>
            </w:pPr>
          </w:p>
        </w:tc>
      </w:tr>
      <w:tr w14:paraId="4E6B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1F69A7A5">
            <w:pPr>
              <w:adjustRightInd w:val="0"/>
              <w:snapToGrid w:val="0"/>
              <w:jc w:val="center"/>
              <w:rPr>
                <w:rFonts w:ascii="Times New Roman" w:eastAsia="仿宋"/>
                <w:szCs w:val="24"/>
              </w:rPr>
            </w:pPr>
          </w:p>
        </w:tc>
        <w:tc>
          <w:tcPr>
            <w:tcW w:w="1408" w:type="dxa"/>
            <w:vMerge w:val="restart"/>
            <w:vAlign w:val="center"/>
          </w:tcPr>
          <w:p w14:paraId="11BB9DC3">
            <w:pPr>
              <w:adjustRightInd w:val="0"/>
              <w:snapToGrid w:val="0"/>
              <w:jc w:val="center"/>
              <w:rPr>
                <w:rFonts w:ascii="Times New Roman" w:eastAsia="仿宋"/>
                <w:szCs w:val="24"/>
              </w:rPr>
            </w:pPr>
            <w:r>
              <w:rPr>
                <w:rFonts w:hint="eastAsia" w:ascii="Times New Roman" w:eastAsia="仿宋"/>
                <w:szCs w:val="24"/>
              </w:rPr>
              <w:t>氟碳面漆流平废气G1</w:t>
            </w:r>
            <w:r>
              <w:rPr>
                <w:rFonts w:ascii="Times New Roman" w:eastAsia="仿宋"/>
                <w:szCs w:val="24"/>
              </w:rPr>
              <w:t>5</w:t>
            </w:r>
          </w:p>
        </w:tc>
        <w:tc>
          <w:tcPr>
            <w:tcW w:w="989" w:type="dxa"/>
            <w:vMerge w:val="continue"/>
            <w:vAlign w:val="center"/>
          </w:tcPr>
          <w:p w14:paraId="6FC276F7">
            <w:pPr>
              <w:adjustRightInd w:val="0"/>
              <w:snapToGrid w:val="0"/>
              <w:jc w:val="center"/>
              <w:rPr>
                <w:rFonts w:ascii="Times New Roman" w:eastAsia="仿宋"/>
                <w:szCs w:val="24"/>
              </w:rPr>
            </w:pPr>
          </w:p>
        </w:tc>
        <w:tc>
          <w:tcPr>
            <w:tcW w:w="1275" w:type="dxa"/>
            <w:vAlign w:val="center"/>
          </w:tcPr>
          <w:p w14:paraId="06BA37D0">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188DDC5D">
            <w:pPr>
              <w:adjustRightInd w:val="0"/>
              <w:snapToGrid w:val="0"/>
              <w:jc w:val="center"/>
              <w:rPr>
                <w:rFonts w:ascii="Times New Roman" w:eastAsia="仿宋"/>
                <w:szCs w:val="24"/>
              </w:rPr>
            </w:pPr>
          </w:p>
        </w:tc>
        <w:tc>
          <w:tcPr>
            <w:tcW w:w="1559" w:type="dxa"/>
            <w:vAlign w:val="center"/>
          </w:tcPr>
          <w:p w14:paraId="6BBAA217">
            <w:pPr>
              <w:adjustRightInd w:val="0"/>
              <w:snapToGrid w:val="0"/>
              <w:jc w:val="center"/>
              <w:rPr>
                <w:rFonts w:ascii="Times New Roman" w:eastAsia="仿宋"/>
                <w:szCs w:val="24"/>
              </w:rPr>
            </w:pPr>
            <w:r>
              <w:rPr>
                <w:rFonts w:hint="eastAsia" w:ascii="Times New Roman" w:eastAsia="仿宋"/>
                <w:szCs w:val="24"/>
              </w:rPr>
              <w:t>29.64</w:t>
            </w:r>
          </w:p>
        </w:tc>
        <w:tc>
          <w:tcPr>
            <w:tcW w:w="1134" w:type="dxa"/>
            <w:vAlign w:val="center"/>
          </w:tcPr>
          <w:p w14:paraId="2D9FC85C">
            <w:pPr>
              <w:adjustRightInd w:val="0"/>
              <w:snapToGrid w:val="0"/>
              <w:jc w:val="center"/>
              <w:rPr>
                <w:rFonts w:ascii="Times New Roman" w:eastAsia="仿宋"/>
                <w:szCs w:val="24"/>
              </w:rPr>
            </w:pPr>
            <w:r>
              <w:rPr>
                <w:rFonts w:hint="eastAsia" w:ascii="Times New Roman" w:eastAsia="仿宋"/>
                <w:szCs w:val="24"/>
              </w:rPr>
              <w:t>0.83</w:t>
            </w:r>
          </w:p>
        </w:tc>
        <w:tc>
          <w:tcPr>
            <w:tcW w:w="993" w:type="dxa"/>
            <w:vAlign w:val="center"/>
          </w:tcPr>
          <w:p w14:paraId="1323A974">
            <w:pPr>
              <w:jc w:val="center"/>
              <w:rPr>
                <w:rFonts w:ascii="Times New Roman" w:eastAsia="仿宋"/>
                <w:szCs w:val="24"/>
              </w:rPr>
            </w:pPr>
            <w:r>
              <w:rPr>
                <w:rFonts w:hint="eastAsia" w:ascii="Times New Roman" w:eastAsia="仿宋"/>
                <w:szCs w:val="24"/>
              </w:rPr>
              <w:t>4.0</w:t>
            </w:r>
          </w:p>
        </w:tc>
        <w:tc>
          <w:tcPr>
            <w:tcW w:w="1559" w:type="dxa"/>
            <w:vMerge w:val="continue"/>
            <w:vAlign w:val="center"/>
          </w:tcPr>
          <w:p w14:paraId="236E6DEC">
            <w:pPr>
              <w:adjustRightInd w:val="0"/>
              <w:snapToGrid w:val="0"/>
              <w:jc w:val="center"/>
              <w:rPr>
                <w:rFonts w:ascii="Times New Roman" w:eastAsia="仿宋"/>
                <w:szCs w:val="24"/>
              </w:rPr>
            </w:pPr>
          </w:p>
        </w:tc>
        <w:tc>
          <w:tcPr>
            <w:tcW w:w="850" w:type="dxa"/>
            <w:vMerge w:val="continue"/>
            <w:vAlign w:val="center"/>
          </w:tcPr>
          <w:p w14:paraId="6FD9E147">
            <w:pPr>
              <w:adjustRightInd w:val="0"/>
              <w:snapToGrid w:val="0"/>
              <w:jc w:val="center"/>
              <w:rPr>
                <w:rFonts w:ascii="Times New Roman" w:eastAsia="仿宋"/>
                <w:szCs w:val="24"/>
              </w:rPr>
            </w:pPr>
          </w:p>
        </w:tc>
        <w:tc>
          <w:tcPr>
            <w:tcW w:w="709" w:type="dxa"/>
            <w:vMerge w:val="continue"/>
            <w:vAlign w:val="center"/>
          </w:tcPr>
          <w:p w14:paraId="0D1699FA">
            <w:pPr>
              <w:adjustRightInd w:val="0"/>
              <w:snapToGrid w:val="0"/>
              <w:jc w:val="center"/>
              <w:rPr>
                <w:rFonts w:ascii="Times New Roman" w:eastAsia="仿宋"/>
                <w:szCs w:val="24"/>
              </w:rPr>
            </w:pPr>
          </w:p>
        </w:tc>
        <w:tc>
          <w:tcPr>
            <w:tcW w:w="992" w:type="dxa"/>
            <w:vMerge w:val="continue"/>
            <w:vAlign w:val="center"/>
          </w:tcPr>
          <w:p w14:paraId="094EBE3D">
            <w:pPr>
              <w:adjustRightInd w:val="0"/>
              <w:snapToGrid w:val="0"/>
              <w:jc w:val="center"/>
              <w:rPr>
                <w:rFonts w:ascii="Times New Roman" w:eastAsia="仿宋"/>
                <w:szCs w:val="21"/>
              </w:rPr>
            </w:pPr>
          </w:p>
        </w:tc>
        <w:tc>
          <w:tcPr>
            <w:tcW w:w="1051" w:type="dxa"/>
            <w:vMerge w:val="continue"/>
            <w:vAlign w:val="center"/>
          </w:tcPr>
          <w:p w14:paraId="5FDEFABB">
            <w:pPr>
              <w:adjustRightInd w:val="0"/>
              <w:snapToGrid w:val="0"/>
              <w:jc w:val="center"/>
              <w:rPr>
                <w:rFonts w:ascii="Times New Roman" w:eastAsia="仿宋"/>
                <w:szCs w:val="21"/>
              </w:rPr>
            </w:pPr>
          </w:p>
        </w:tc>
      </w:tr>
      <w:tr w14:paraId="2E6A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4AF324E2">
            <w:pPr>
              <w:adjustRightInd w:val="0"/>
              <w:snapToGrid w:val="0"/>
              <w:jc w:val="center"/>
              <w:rPr>
                <w:rFonts w:ascii="Times New Roman" w:eastAsia="仿宋"/>
                <w:szCs w:val="24"/>
              </w:rPr>
            </w:pPr>
          </w:p>
        </w:tc>
        <w:tc>
          <w:tcPr>
            <w:tcW w:w="1408" w:type="dxa"/>
            <w:vMerge w:val="continue"/>
            <w:vAlign w:val="center"/>
          </w:tcPr>
          <w:p w14:paraId="5F478377">
            <w:pPr>
              <w:adjustRightInd w:val="0"/>
              <w:snapToGrid w:val="0"/>
              <w:jc w:val="center"/>
              <w:rPr>
                <w:rFonts w:ascii="Times New Roman" w:eastAsia="仿宋"/>
                <w:szCs w:val="24"/>
              </w:rPr>
            </w:pPr>
          </w:p>
        </w:tc>
        <w:tc>
          <w:tcPr>
            <w:tcW w:w="989" w:type="dxa"/>
            <w:vMerge w:val="continue"/>
            <w:vAlign w:val="center"/>
          </w:tcPr>
          <w:p w14:paraId="6DCEA7C5">
            <w:pPr>
              <w:adjustRightInd w:val="0"/>
              <w:snapToGrid w:val="0"/>
              <w:jc w:val="center"/>
              <w:rPr>
                <w:rFonts w:ascii="Times New Roman" w:eastAsia="仿宋"/>
                <w:szCs w:val="24"/>
              </w:rPr>
            </w:pPr>
          </w:p>
        </w:tc>
        <w:tc>
          <w:tcPr>
            <w:tcW w:w="1275" w:type="dxa"/>
            <w:vAlign w:val="center"/>
          </w:tcPr>
          <w:p w14:paraId="3028FC54">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194A72A7">
            <w:pPr>
              <w:adjustRightInd w:val="0"/>
              <w:snapToGrid w:val="0"/>
              <w:jc w:val="center"/>
              <w:rPr>
                <w:rFonts w:ascii="Times New Roman" w:eastAsia="仿宋"/>
                <w:szCs w:val="24"/>
              </w:rPr>
            </w:pPr>
          </w:p>
        </w:tc>
        <w:tc>
          <w:tcPr>
            <w:tcW w:w="1559" w:type="dxa"/>
            <w:vAlign w:val="center"/>
          </w:tcPr>
          <w:p w14:paraId="2DA64E81">
            <w:pPr>
              <w:adjustRightInd w:val="0"/>
              <w:snapToGrid w:val="0"/>
              <w:jc w:val="center"/>
              <w:rPr>
                <w:rFonts w:ascii="Times New Roman" w:eastAsia="仿宋"/>
                <w:szCs w:val="24"/>
              </w:rPr>
            </w:pPr>
            <w:r>
              <w:rPr>
                <w:rFonts w:hint="eastAsia" w:ascii="Times New Roman" w:eastAsia="仿宋"/>
                <w:szCs w:val="24"/>
              </w:rPr>
              <w:t>29.64</w:t>
            </w:r>
          </w:p>
        </w:tc>
        <w:tc>
          <w:tcPr>
            <w:tcW w:w="1134" w:type="dxa"/>
            <w:vAlign w:val="center"/>
          </w:tcPr>
          <w:p w14:paraId="51791B32">
            <w:pPr>
              <w:adjustRightInd w:val="0"/>
              <w:snapToGrid w:val="0"/>
              <w:jc w:val="center"/>
              <w:rPr>
                <w:rFonts w:ascii="Times New Roman" w:eastAsia="仿宋"/>
                <w:szCs w:val="24"/>
              </w:rPr>
            </w:pPr>
            <w:r>
              <w:rPr>
                <w:rFonts w:hint="eastAsia" w:ascii="Times New Roman" w:eastAsia="仿宋"/>
                <w:szCs w:val="24"/>
              </w:rPr>
              <w:t>0.83</w:t>
            </w:r>
          </w:p>
        </w:tc>
        <w:tc>
          <w:tcPr>
            <w:tcW w:w="993" w:type="dxa"/>
            <w:vAlign w:val="center"/>
          </w:tcPr>
          <w:p w14:paraId="3418D5E9">
            <w:pPr>
              <w:jc w:val="center"/>
              <w:rPr>
                <w:rFonts w:ascii="Times New Roman" w:eastAsia="仿宋"/>
                <w:szCs w:val="24"/>
              </w:rPr>
            </w:pPr>
            <w:r>
              <w:rPr>
                <w:rFonts w:hint="eastAsia" w:ascii="Times New Roman" w:eastAsia="仿宋"/>
                <w:szCs w:val="24"/>
              </w:rPr>
              <w:t>4.0</w:t>
            </w:r>
          </w:p>
        </w:tc>
        <w:tc>
          <w:tcPr>
            <w:tcW w:w="1559" w:type="dxa"/>
            <w:vMerge w:val="continue"/>
            <w:vAlign w:val="center"/>
          </w:tcPr>
          <w:p w14:paraId="695009CD">
            <w:pPr>
              <w:adjustRightInd w:val="0"/>
              <w:snapToGrid w:val="0"/>
              <w:jc w:val="center"/>
              <w:rPr>
                <w:rFonts w:ascii="Times New Roman" w:eastAsia="仿宋"/>
                <w:szCs w:val="24"/>
              </w:rPr>
            </w:pPr>
          </w:p>
        </w:tc>
        <w:tc>
          <w:tcPr>
            <w:tcW w:w="850" w:type="dxa"/>
            <w:vMerge w:val="continue"/>
            <w:vAlign w:val="center"/>
          </w:tcPr>
          <w:p w14:paraId="47800205">
            <w:pPr>
              <w:adjustRightInd w:val="0"/>
              <w:snapToGrid w:val="0"/>
              <w:jc w:val="center"/>
              <w:rPr>
                <w:rFonts w:ascii="Times New Roman" w:eastAsia="仿宋"/>
                <w:szCs w:val="24"/>
              </w:rPr>
            </w:pPr>
          </w:p>
        </w:tc>
        <w:tc>
          <w:tcPr>
            <w:tcW w:w="709" w:type="dxa"/>
            <w:vMerge w:val="continue"/>
            <w:vAlign w:val="center"/>
          </w:tcPr>
          <w:p w14:paraId="6B747804">
            <w:pPr>
              <w:adjustRightInd w:val="0"/>
              <w:snapToGrid w:val="0"/>
              <w:jc w:val="center"/>
              <w:rPr>
                <w:rFonts w:ascii="Times New Roman" w:eastAsia="仿宋"/>
                <w:szCs w:val="24"/>
              </w:rPr>
            </w:pPr>
          </w:p>
        </w:tc>
        <w:tc>
          <w:tcPr>
            <w:tcW w:w="992" w:type="dxa"/>
            <w:vMerge w:val="continue"/>
            <w:vAlign w:val="center"/>
          </w:tcPr>
          <w:p w14:paraId="6E8CD9FB">
            <w:pPr>
              <w:adjustRightInd w:val="0"/>
              <w:snapToGrid w:val="0"/>
              <w:jc w:val="center"/>
              <w:rPr>
                <w:rFonts w:ascii="Times New Roman" w:eastAsia="仿宋"/>
                <w:szCs w:val="21"/>
              </w:rPr>
            </w:pPr>
          </w:p>
        </w:tc>
        <w:tc>
          <w:tcPr>
            <w:tcW w:w="1051" w:type="dxa"/>
            <w:vMerge w:val="continue"/>
            <w:vAlign w:val="center"/>
          </w:tcPr>
          <w:p w14:paraId="4D746057">
            <w:pPr>
              <w:adjustRightInd w:val="0"/>
              <w:snapToGrid w:val="0"/>
              <w:jc w:val="center"/>
              <w:rPr>
                <w:rFonts w:ascii="Times New Roman" w:eastAsia="仿宋"/>
                <w:szCs w:val="21"/>
              </w:rPr>
            </w:pPr>
          </w:p>
        </w:tc>
      </w:tr>
      <w:tr w14:paraId="0C09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316751BE">
            <w:pPr>
              <w:adjustRightInd w:val="0"/>
              <w:snapToGrid w:val="0"/>
              <w:jc w:val="center"/>
              <w:rPr>
                <w:rFonts w:ascii="Times New Roman" w:eastAsia="仿宋"/>
                <w:szCs w:val="24"/>
              </w:rPr>
            </w:pPr>
          </w:p>
        </w:tc>
        <w:tc>
          <w:tcPr>
            <w:tcW w:w="1408" w:type="dxa"/>
            <w:vMerge w:val="continue"/>
            <w:vAlign w:val="center"/>
          </w:tcPr>
          <w:p w14:paraId="6D154849">
            <w:pPr>
              <w:adjustRightInd w:val="0"/>
              <w:snapToGrid w:val="0"/>
              <w:jc w:val="center"/>
              <w:rPr>
                <w:rFonts w:ascii="Times New Roman" w:eastAsia="仿宋"/>
                <w:szCs w:val="24"/>
              </w:rPr>
            </w:pPr>
          </w:p>
        </w:tc>
        <w:tc>
          <w:tcPr>
            <w:tcW w:w="989" w:type="dxa"/>
            <w:vMerge w:val="continue"/>
            <w:vAlign w:val="center"/>
          </w:tcPr>
          <w:p w14:paraId="49EC6D3A">
            <w:pPr>
              <w:adjustRightInd w:val="0"/>
              <w:snapToGrid w:val="0"/>
              <w:jc w:val="center"/>
              <w:rPr>
                <w:rFonts w:ascii="Times New Roman" w:eastAsia="仿宋"/>
                <w:szCs w:val="24"/>
              </w:rPr>
            </w:pPr>
          </w:p>
        </w:tc>
        <w:tc>
          <w:tcPr>
            <w:tcW w:w="1275" w:type="dxa"/>
            <w:vAlign w:val="center"/>
          </w:tcPr>
          <w:p w14:paraId="224BA801">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68E531CC">
            <w:pPr>
              <w:adjustRightInd w:val="0"/>
              <w:snapToGrid w:val="0"/>
              <w:jc w:val="center"/>
              <w:rPr>
                <w:rFonts w:ascii="Times New Roman" w:eastAsia="仿宋"/>
                <w:szCs w:val="24"/>
              </w:rPr>
            </w:pPr>
          </w:p>
        </w:tc>
        <w:tc>
          <w:tcPr>
            <w:tcW w:w="1559" w:type="dxa"/>
            <w:vAlign w:val="center"/>
          </w:tcPr>
          <w:p w14:paraId="6CBE7358">
            <w:pPr>
              <w:adjustRightInd w:val="0"/>
              <w:snapToGrid w:val="0"/>
              <w:jc w:val="center"/>
              <w:rPr>
                <w:rFonts w:ascii="Times New Roman" w:eastAsia="仿宋"/>
                <w:szCs w:val="24"/>
              </w:rPr>
            </w:pPr>
            <w:r>
              <w:rPr>
                <w:rFonts w:hint="eastAsia" w:ascii="Times New Roman" w:eastAsia="仿宋"/>
                <w:szCs w:val="24"/>
              </w:rPr>
              <w:t>6.78</w:t>
            </w:r>
          </w:p>
        </w:tc>
        <w:tc>
          <w:tcPr>
            <w:tcW w:w="1134" w:type="dxa"/>
            <w:vAlign w:val="center"/>
          </w:tcPr>
          <w:p w14:paraId="62434098">
            <w:pPr>
              <w:adjustRightInd w:val="0"/>
              <w:snapToGrid w:val="0"/>
              <w:jc w:val="center"/>
              <w:rPr>
                <w:rFonts w:ascii="Times New Roman" w:eastAsia="仿宋"/>
                <w:szCs w:val="24"/>
              </w:rPr>
            </w:pPr>
            <w:r>
              <w:rPr>
                <w:rFonts w:hint="eastAsia" w:ascii="Times New Roman" w:eastAsia="仿宋"/>
                <w:szCs w:val="24"/>
              </w:rPr>
              <w:t>0.19</w:t>
            </w:r>
          </w:p>
        </w:tc>
        <w:tc>
          <w:tcPr>
            <w:tcW w:w="993" w:type="dxa"/>
            <w:vAlign w:val="center"/>
          </w:tcPr>
          <w:p w14:paraId="66E02165">
            <w:pPr>
              <w:jc w:val="center"/>
              <w:rPr>
                <w:rFonts w:ascii="Times New Roman" w:eastAsia="仿宋"/>
                <w:szCs w:val="24"/>
              </w:rPr>
            </w:pPr>
            <w:r>
              <w:rPr>
                <w:rFonts w:hint="eastAsia" w:ascii="Times New Roman" w:eastAsia="仿宋"/>
                <w:szCs w:val="24"/>
              </w:rPr>
              <w:t>0.925</w:t>
            </w:r>
          </w:p>
        </w:tc>
        <w:tc>
          <w:tcPr>
            <w:tcW w:w="1559" w:type="dxa"/>
            <w:vMerge w:val="continue"/>
            <w:vAlign w:val="center"/>
          </w:tcPr>
          <w:p w14:paraId="290A1C0A">
            <w:pPr>
              <w:adjustRightInd w:val="0"/>
              <w:snapToGrid w:val="0"/>
              <w:jc w:val="center"/>
              <w:rPr>
                <w:rFonts w:ascii="Times New Roman" w:eastAsia="仿宋"/>
                <w:szCs w:val="24"/>
              </w:rPr>
            </w:pPr>
          </w:p>
        </w:tc>
        <w:tc>
          <w:tcPr>
            <w:tcW w:w="850" w:type="dxa"/>
            <w:vMerge w:val="continue"/>
            <w:vAlign w:val="center"/>
          </w:tcPr>
          <w:p w14:paraId="3415416F">
            <w:pPr>
              <w:adjustRightInd w:val="0"/>
              <w:snapToGrid w:val="0"/>
              <w:jc w:val="center"/>
              <w:rPr>
                <w:rFonts w:ascii="Times New Roman" w:eastAsia="仿宋"/>
                <w:szCs w:val="24"/>
              </w:rPr>
            </w:pPr>
          </w:p>
        </w:tc>
        <w:tc>
          <w:tcPr>
            <w:tcW w:w="709" w:type="dxa"/>
            <w:vMerge w:val="continue"/>
            <w:vAlign w:val="center"/>
          </w:tcPr>
          <w:p w14:paraId="7CE6CFD2">
            <w:pPr>
              <w:adjustRightInd w:val="0"/>
              <w:snapToGrid w:val="0"/>
              <w:jc w:val="center"/>
              <w:rPr>
                <w:rFonts w:ascii="Times New Roman" w:eastAsia="仿宋"/>
                <w:szCs w:val="24"/>
              </w:rPr>
            </w:pPr>
          </w:p>
        </w:tc>
        <w:tc>
          <w:tcPr>
            <w:tcW w:w="992" w:type="dxa"/>
            <w:vMerge w:val="continue"/>
            <w:vAlign w:val="center"/>
          </w:tcPr>
          <w:p w14:paraId="1650B30D">
            <w:pPr>
              <w:adjustRightInd w:val="0"/>
              <w:snapToGrid w:val="0"/>
              <w:jc w:val="center"/>
              <w:rPr>
                <w:rFonts w:ascii="Times New Roman" w:eastAsia="仿宋"/>
                <w:szCs w:val="21"/>
              </w:rPr>
            </w:pPr>
          </w:p>
        </w:tc>
        <w:tc>
          <w:tcPr>
            <w:tcW w:w="1051" w:type="dxa"/>
            <w:vMerge w:val="continue"/>
            <w:vAlign w:val="center"/>
          </w:tcPr>
          <w:p w14:paraId="6EA7CB12">
            <w:pPr>
              <w:adjustRightInd w:val="0"/>
              <w:snapToGrid w:val="0"/>
              <w:jc w:val="center"/>
              <w:rPr>
                <w:rFonts w:ascii="Times New Roman" w:eastAsia="仿宋"/>
                <w:szCs w:val="21"/>
              </w:rPr>
            </w:pPr>
          </w:p>
        </w:tc>
      </w:tr>
      <w:tr w14:paraId="186D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6997832E">
            <w:pPr>
              <w:adjustRightInd w:val="0"/>
              <w:snapToGrid w:val="0"/>
              <w:jc w:val="center"/>
              <w:rPr>
                <w:rFonts w:ascii="Times New Roman" w:eastAsia="仿宋"/>
                <w:szCs w:val="24"/>
              </w:rPr>
            </w:pPr>
          </w:p>
        </w:tc>
        <w:tc>
          <w:tcPr>
            <w:tcW w:w="1408" w:type="dxa"/>
            <w:vMerge w:val="continue"/>
            <w:vAlign w:val="center"/>
          </w:tcPr>
          <w:p w14:paraId="78F64430">
            <w:pPr>
              <w:adjustRightInd w:val="0"/>
              <w:snapToGrid w:val="0"/>
              <w:jc w:val="center"/>
              <w:rPr>
                <w:rFonts w:ascii="Times New Roman" w:eastAsia="仿宋"/>
                <w:szCs w:val="24"/>
              </w:rPr>
            </w:pPr>
          </w:p>
        </w:tc>
        <w:tc>
          <w:tcPr>
            <w:tcW w:w="989" w:type="dxa"/>
            <w:vMerge w:val="continue"/>
            <w:vAlign w:val="center"/>
          </w:tcPr>
          <w:p w14:paraId="122D86B6">
            <w:pPr>
              <w:adjustRightInd w:val="0"/>
              <w:snapToGrid w:val="0"/>
              <w:jc w:val="center"/>
              <w:rPr>
                <w:rFonts w:ascii="Times New Roman" w:eastAsia="仿宋"/>
                <w:szCs w:val="24"/>
              </w:rPr>
            </w:pPr>
          </w:p>
        </w:tc>
        <w:tc>
          <w:tcPr>
            <w:tcW w:w="1275" w:type="dxa"/>
            <w:vAlign w:val="center"/>
          </w:tcPr>
          <w:p w14:paraId="666D99B0">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0738F064">
            <w:pPr>
              <w:adjustRightInd w:val="0"/>
              <w:snapToGrid w:val="0"/>
              <w:jc w:val="center"/>
              <w:rPr>
                <w:rFonts w:ascii="Times New Roman" w:eastAsia="仿宋"/>
                <w:szCs w:val="24"/>
              </w:rPr>
            </w:pPr>
          </w:p>
        </w:tc>
        <w:tc>
          <w:tcPr>
            <w:tcW w:w="1559" w:type="dxa"/>
            <w:vAlign w:val="center"/>
          </w:tcPr>
          <w:p w14:paraId="48E22601">
            <w:pPr>
              <w:adjustRightInd w:val="0"/>
              <w:snapToGrid w:val="0"/>
              <w:jc w:val="center"/>
              <w:rPr>
                <w:rFonts w:ascii="Times New Roman" w:eastAsia="仿宋"/>
                <w:szCs w:val="24"/>
              </w:rPr>
            </w:pPr>
            <w:r>
              <w:rPr>
                <w:rFonts w:hint="eastAsia" w:ascii="Times New Roman" w:eastAsia="仿宋"/>
                <w:szCs w:val="24"/>
              </w:rPr>
              <w:t>6.78</w:t>
            </w:r>
          </w:p>
        </w:tc>
        <w:tc>
          <w:tcPr>
            <w:tcW w:w="1134" w:type="dxa"/>
            <w:vAlign w:val="center"/>
          </w:tcPr>
          <w:p w14:paraId="109C8122">
            <w:pPr>
              <w:adjustRightInd w:val="0"/>
              <w:snapToGrid w:val="0"/>
              <w:jc w:val="center"/>
              <w:rPr>
                <w:rFonts w:ascii="Times New Roman" w:eastAsia="仿宋"/>
                <w:szCs w:val="24"/>
              </w:rPr>
            </w:pPr>
            <w:r>
              <w:rPr>
                <w:rFonts w:hint="eastAsia" w:ascii="Times New Roman" w:eastAsia="仿宋"/>
                <w:szCs w:val="24"/>
              </w:rPr>
              <w:t>0.19</w:t>
            </w:r>
          </w:p>
        </w:tc>
        <w:tc>
          <w:tcPr>
            <w:tcW w:w="993" w:type="dxa"/>
            <w:vAlign w:val="center"/>
          </w:tcPr>
          <w:p w14:paraId="69ECBD66">
            <w:pPr>
              <w:jc w:val="center"/>
              <w:rPr>
                <w:rFonts w:ascii="Times New Roman" w:eastAsia="仿宋"/>
                <w:szCs w:val="24"/>
              </w:rPr>
            </w:pPr>
            <w:r>
              <w:rPr>
                <w:rFonts w:hint="eastAsia" w:ascii="Times New Roman" w:eastAsia="仿宋"/>
                <w:szCs w:val="24"/>
              </w:rPr>
              <w:t>0.925</w:t>
            </w:r>
          </w:p>
        </w:tc>
        <w:tc>
          <w:tcPr>
            <w:tcW w:w="1559" w:type="dxa"/>
            <w:vMerge w:val="continue"/>
            <w:vAlign w:val="center"/>
          </w:tcPr>
          <w:p w14:paraId="1C2C1E95">
            <w:pPr>
              <w:adjustRightInd w:val="0"/>
              <w:snapToGrid w:val="0"/>
              <w:jc w:val="center"/>
              <w:rPr>
                <w:rFonts w:ascii="Times New Roman" w:eastAsia="仿宋"/>
                <w:szCs w:val="24"/>
              </w:rPr>
            </w:pPr>
          </w:p>
        </w:tc>
        <w:tc>
          <w:tcPr>
            <w:tcW w:w="850" w:type="dxa"/>
            <w:vMerge w:val="continue"/>
            <w:vAlign w:val="center"/>
          </w:tcPr>
          <w:p w14:paraId="55C19417">
            <w:pPr>
              <w:adjustRightInd w:val="0"/>
              <w:snapToGrid w:val="0"/>
              <w:jc w:val="center"/>
              <w:rPr>
                <w:rFonts w:ascii="Times New Roman" w:eastAsia="仿宋"/>
                <w:szCs w:val="24"/>
              </w:rPr>
            </w:pPr>
          </w:p>
        </w:tc>
        <w:tc>
          <w:tcPr>
            <w:tcW w:w="709" w:type="dxa"/>
            <w:vMerge w:val="continue"/>
            <w:vAlign w:val="center"/>
          </w:tcPr>
          <w:p w14:paraId="505652FA">
            <w:pPr>
              <w:adjustRightInd w:val="0"/>
              <w:snapToGrid w:val="0"/>
              <w:jc w:val="center"/>
              <w:rPr>
                <w:rFonts w:ascii="Times New Roman" w:eastAsia="仿宋"/>
                <w:szCs w:val="24"/>
              </w:rPr>
            </w:pPr>
          </w:p>
        </w:tc>
        <w:tc>
          <w:tcPr>
            <w:tcW w:w="992" w:type="dxa"/>
            <w:vMerge w:val="continue"/>
            <w:vAlign w:val="center"/>
          </w:tcPr>
          <w:p w14:paraId="53A7D28A">
            <w:pPr>
              <w:adjustRightInd w:val="0"/>
              <w:snapToGrid w:val="0"/>
              <w:jc w:val="center"/>
              <w:rPr>
                <w:rFonts w:ascii="Times New Roman" w:eastAsia="仿宋"/>
                <w:szCs w:val="21"/>
              </w:rPr>
            </w:pPr>
          </w:p>
        </w:tc>
        <w:tc>
          <w:tcPr>
            <w:tcW w:w="1051" w:type="dxa"/>
            <w:vMerge w:val="continue"/>
            <w:vAlign w:val="center"/>
          </w:tcPr>
          <w:p w14:paraId="573593E0">
            <w:pPr>
              <w:adjustRightInd w:val="0"/>
              <w:snapToGrid w:val="0"/>
              <w:jc w:val="center"/>
              <w:rPr>
                <w:rFonts w:ascii="Times New Roman" w:eastAsia="仿宋"/>
                <w:szCs w:val="21"/>
              </w:rPr>
            </w:pPr>
          </w:p>
        </w:tc>
      </w:tr>
      <w:tr w14:paraId="6C5F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355F9378">
            <w:pPr>
              <w:adjustRightInd w:val="0"/>
              <w:snapToGrid w:val="0"/>
              <w:jc w:val="center"/>
              <w:rPr>
                <w:rFonts w:ascii="Times New Roman" w:eastAsia="仿宋"/>
                <w:szCs w:val="24"/>
              </w:rPr>
            </w:pPr>
          </w:p>
        </w:tc>
        <w:tc>
          <w:tcPr>
            <w:tcW w:w="1408" w:type="dxa"/>
            <w:vMerge w:val="restart"/>
            <w:vAlign w:val="center"/>
          </w:tcPr>
          <w:p w14:paraId="338F4246">
            <w:pPr>
              <w:adjustRightInd w:val="0"/>
              <w:snapToGrid w:val="0"/>
              <w:jc w:val="center"/>
              <w:rPr>
                <w:rFonts w:ascii="Times New Roman" w:eastAsia="仿宋"/>
                <w:szCs w:val="24"/>
              </w:rPr>
            </w:pPr>
            <w:r>
              <w:rPr>
                <w:rFonts w:hint="eastAsia" w:ascii="Times New Roman" w:eastAsia="仿宋"/>
                <w:szCs w:val="24"/>
              </w:rPr>
              <w:t>喷枪清洗废气G</w:t>
            </w:r>
            <w:r>
              <w:rPr>
                <w:rFonts w:ascii="Times New Roman" w:eastAsia="仿宋"/>
                <w:szCs w:val="24"/>
              </w:rPr>
              <w:t>18</w:t>
            </w:r>
          </w:p>
        </w:tc>
        <w:tc>
          <w:tcPr>
            <w:tcW w:w="989" w:type="dxa"/>
            <w:vMerge w:val="continue"/>
            <w:vAlign w:val="center"/>
          </w:tcPr>
          <w:p w14:paraId="5919666E">
            <w:pPr>
              <w:adjustRightInd w:val="0"/>
              <w:snapToGrid w:val="0"/>
              <w:jc w:val="center"/>
              <w:rPr>
                <w:rFonts w:ascii="Times New Roman" w:eastAsia="仿宋"/>
                <w:szCs w:val="24"/>
              </w:rPr>
            </w:pPr>
          </w:p>
        </w:tc>
        <w:tc>
          <w:tcPr>
            <w:tcW w:w="1275" w:type="dxa"/>
            <w:vAlign w:val="center"/>
          </w:tcPr>
          <w:p w14:paraId="40EE41CB">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140B1345">
            <w:pPr>
              <w:adjustRightInd w:val="0"/>
              <w:snapToGrid w:val="0"/>
              <w:jc w:val="center"/>
              <w:rPr>
                <w:rFonts w:ascii="Times New Roman" w:eastAsia="仿宋"/>
                <w:szCs w:val="24"/>
              </w:rPr>
            </w:pPr>
          </w:p>
        </w:tc>
        <w:tc>
          <w:tcPr>
            <w:tcW w:w="1559" w:type="dxa"/>
            <w:vAlign w:val="center"/>
          </w:tcPr>
          <w:p w14:paraId="15424A94">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1134" w:type="dxa"/>
            <w:vAlign w:val="center"/>
          </w:tcPr>
          <w:p w14:paraId="26B981FE">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993" w:type="dxa"/>
            <w:vAlign w:val="center"/>
          </w:tcPr>
          <w:p w14:paraId="6FFE86FD">
            <w:pPr>
              <w:adjustRightInd w:val="0"/>
              <w:snapToGrid w:val="0"/>
              <w:jc w:val="center"/>
              <w:rPr>
                <w:rFonts w:ascii="Times New Roman" w:eastAsia="仿宋"/>
                <w:szCs w:val="24"/>
              </w:rPr>
            </w:pPr>
            <w:r>
              <w:rPr>
                <w:rFonts w:ascii="Times New Roman" w:eastAsia="仿宋"/>
                <w:szCs w:val="24"/>
              </w:rPr>
              <w:t>0.49</w:t>
            </w:r>
          </w:p>
        </w:tc>
        <w:tc>
          <w:tcPr>
            <w:tcW w:w="1559" w:type="dxa"/>
            <w:vMerge w:val="continue"/>
            <w:vAlign w:val="center"/>
          </w:tcPr>
          <w:p w14:paraId="24D6D280">
            <w:pPr>
              <w:adjustRightInd w:val="0"/>
              <w:snapToGrid w:val="0"/>
              <w:jc w:val="center"/>
              <w:rPr>
                <w:rFonts w:ascii="Times New Roman" w:eastAsia="仿宋"/>
                <w:szCs w:val="24"/>
              </w:rPr>
            </w:pPr>
          </w:p>
        </w:tc>
        <w:tc>
          <w:tcPr>
            <w:tcW w:w="850" w:type="dxa"/>
            <w:vMerge w:val="continue"/>
            <w:vAlign w:val="center"/>
          </w:tcPr>
          <w:p w14:paraId="70FBC9D5">
            <w:pPr>
              <w:adjustRightInd w:val="0"/>
              <w:snapToGrid w:val="0"/>
              <w:jc w:val="center"/>
              <w:rPr>
                <w:rFonts w:ascii="Times New Roman" w:eastAsia="仿宋"/>
                <w:szCs w:val="24"/>
              </w:rPr>
            </w:pPr>
          </w:p>
        </w:tc>
        <w:tc>
          <w:tcPr>
            <w:tcW w:w="709" w:type="dxa"/>
            <w:vMerge w:val="continue"/>
            <w:vAlign w:val="center"/>
          </w:tcPr>
          <w:p w14:paraId="3F0BA622">
            <w:pPr>
              <w:adjustRightInd w:val="0"/>
              <w:snapToGrid w:val="0"/>
              <w:jc w:val="center"/>
              <w:rPr>
                <w:rFonts w:ascii="Times New Roman" w:eastAsia="仿宋"/>
                <w:szCs w:val="24"/>
              </w:rPr>
            </w:pPr>
          </w:p>
        </w:tc>
        <w:tc>
          <w:tcPr>
            <w:tcW w:w="992" w:type="dxa"/>
            <w:vMerge w:val="continue"/>
            <w:vAlign w:val="center"/>
          </w:tcPr>
          <w:p w14:paraId="1DF31E41">
            <w:pPr>
              <w:adjustRightInd w:val="0"/>
              <w:snapToGrid w:val="0"/>
              <w:jc w:val="center"/>
              <w:rPr>
                <w:rFonts w:ascii="Times New Roman" w:eastAsia="仿宋"/>
                <w:szCs w:val="21"/>
              </w:rPr>
            </w:pPr>
          </w:p>
        </w:tc>
        <w:tc>
          <w:tcPr>
            <w:tcW w:w="1051" w:type="dxa"/>
            <w:vMerge w:val="continue"/>
            <w:vAlign w:val="center"/>
          </w:tcPr>
          <w:p w14:paraId="48F9C64F">
            <w:pPr>
              <w:adjustRightInd w:val="0"/>
              <w:snapToGrid w:val="0"/>
              <w:jc w:val="center"/>
              <w:rPr>
                <w:rFonts w:ascii="Times New Roman" w:eastAsia="仿宋"/>
                <w:szCs w:val="21"/>
              </w:rPr>
            </w:pPr>
          </w:p>
        </w:tc>
      </w:tr>
      <w:tr w14:paraId="7AE4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72707380">
            <w:pPr>
              <w:adjustRightInd w:val="0"/>
              <w:snapToGrid w:val="0"/>
              <w:jc w:val="center"/>
              <w:rPr>
                <w:rFonts w:ascii="Times New Roman" w:eastAsia="仿宋"/>
                <w:szCs w:val="24"/>
              </w:rPr>
            </w:pPr>
          </w:p>
        </w:tc>
        <w:tc>
          <w:tcPr>
            <w:tcW w:w="1408" w:type="dxa"/>
            <w:vMerge w:val="continue"/>
            <w:vAlign w:val="center"/>
          </w:tcPr>
          <w:p w14:paraId="548E6AD5">
            <w:pPr>
              <w:adjustRightInd w:val="0"/>
              <w:snapToGrid w:val="0"/>
              <w:jc w:val="center"/>
              <w:rPr>
                <w:rFonts w:ascii="Times New Roman" w:eastAsia="仿宋"/>
                <w:szCs w:val="24"/>
              </w:rPr>
            </w:pPr>
          </w:p>
        </w:tc>
        <w:tc>
          <w:tcPr>
            <w:tcW w:w="989" w:type="dxa"/>
            <w:vMerge w:val="continue"/>
            <w:vAlign w:val="center"/>
          </w:tcPr>
          <w:p w14:paraId="2B6C602E">
            <w:pPr>
              <w:adjustRightInd w:val="0"/>
              <w:snapToGrid w:val="0"/>
              <w:jc w:val="center"/>
              <w:rPr>
                <w:rFonts w:ascii="Times New Roman" w:eastAsia="仿宋"/>
                <w:szCs w:val="24"/>
              </w:rPr>
            </w:pPr>
          </w:p>
        </w:tc>
        <w:tc>
          <w:tcPr>
            <w:tcW w:w="1275" w:type="dxa"/>
            <w:vAlign w:val="center"/>
          </w:tcPr>
          <w:p w14:paraId="510ABCD3">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7CF3218F">
            <w:pPr>
              <w:adjustRightInd w:val="0"/>
              <w:snapToGrid w:val="0"/>
              <w:jc w:val="center"/>
              <w:rPr>
                <w:rFonts w:ascii="Times New Roman" w:eastAsia="仿宋"/>
                <w:szCs w:val="24"/>
              </w:rPr>
            </w:pPr>
          </w:p>
        </w:tc>
        <w:tc>
          <w:tcPr>
            <w:tcW w:w="1559" w:type="dxa"/>
            <w:vAlign w:val="center"/>
          </w:tcPr>
          <w:p w14:paraId="4AEBF7B2">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1134" w:type="dxa"/>
            <w:vAlign w:val="center"/>
          </w:tcPr>
          <w:p w14:paraId="5ADB2790">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993" w:type="dxa"/>
            <w:vAlign w:val="center"/>
          </w:tcPr>
          <w:p w14:paraId="018AAE64">
            <w:pPr>
              <w:adjustRightInd w:val="0"/>
              <w:snapToGrid w:val="0"/>
              <w:jc w:val="center"/>
              <w:rPr>
                <w:rFonts w:ascii="Times New Roman" w:eastAsia="仿宋"/>
                <w:szCs w:val="24"/>
              </w:rPr>
            </w:pPr>
            <w:r>
              <w:rPr>
                <w:rFonts w:ascii="Times New Roman" w:eastAsia="仿宋"/>
                <w:szCs w:val="24"/>
              </w:rPr>
              <w:t>0.49</w:t>
            </w:r>
          </w:p>
        </w:tc>
        <w:tc>
          <w:tcPr>
            <w:tcW w:w="1559" w:type="dxa"/>
            <w:vMerge w:val="continue"/>
            <w:vAlign w:val="center"/>
          </w:tcPr>
          <w:p w14:paraId="4E83868B">
            <w:pPr>
              <w:adjustRightInd w:val="0"/>
              <w:snapToGrid w:val="0"/>
              <w:jc w:val="center"/>
              <w:rPr>
                <w:rFonts w:ascii="Times New Roman" w:eastAsia="仿宋"/>
                <w:szCs w:val="24"/>
              </w:rPr>
            </w:pPr>
          </w:p>
        </w:tc>
        <w:tc>
          <w:tcPr>
            <w:tcW w:w="850" w:type="dxa"/>
            <w:vMerge w:val="continue"/>
            <w:vAlign w:val="center"/>
          </w:tcPr>
          <w:p w14:paraId="6E7DE5C6">
            <w:pPr>
              <w:adjustRightInd w:val="0"/>
              <w:snapToGrid w:val="0"/>
              <w:jc w:val="center"/>
              <w:rPr>
                <w:rFonts w:ascii="Times New Roman" w:eastAsia="仿宋"/>
                <w:szCs w:val="24"/>
              </w:rPr>
            </w:pPr>
          </w:p>
        </w:tc>
        <w:tc>
          <w:tcPr>
            <w:tcW w:w="709" w:type="dxa"/>
            <w:vMerge w:val="continue"/>
            <w:vAlign w:val="center"/>
          </w:tcPr>
          <w:p w14:paraId="0C239F95">
            <w:pPr>
              <w:adjustRightInd w:val="0"/>
              <w:snapToGrid w:val="0"/>
              <w:jc w:val="center"/>
              <w:rPr>
                <w:rFonts w:ascii="Times New Roman" w:eastAsia="仿宋"/>
                <w:szCs w:val="24"/>
              </w:rPr>
            </w:pPr>
          </w:p>
        </w:tc>
        <w:tc>
          <w:tcPr>
            <w:tcW w:w="992" w:type="dxa"/>
            <w:vMerge w:val="continue"/>
            <w:vAlign w:val="center"/>
          </w:tcPr>
          <w:p w14:paraId="7A9099EA">
            <w:pPr>
              <w:adjustRightInd w:val="0"/>
              <w:snapToGrid w:val="0"/>
              <w:jc w:val="center"/>
              <w:rPr>
                <w:rFonts w:ascii="Times New Roman" w:eastAsia="仿宋"/>
                <w:szCs w:val="21"/>
              </w:rPr>
            </w:pPr>
          </w:p>
        </w:tc>
        <w:tc>
          <w:tcPr>
            <w:tcW w:w="1051" w:type="dxa"/>
            <w:vMerge w:val="continue"/>
            <w:vAlign w:val="center"/>
          </w:tcPr>
          <w:p w14:paraId="1888A54A">
            <w:pPr>
              <w:adjustRightInd w:val="0"/>
              <w:snapToGrid w:val="0"/>
              <w:jc w:val="center"/>
              <w:rPr>
                <w:rFonts w:ascii="Times New Roman" w:eastAsia="仿宋"/>
                <w:szCs w:val="21"/>
              </w:rPr>
            </w:pPr>
          </w:p>
        </w:tc>
      </w:tr>
      <w:tr w14:paraId="6FE3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59" w:type="dxa"/>
            <w:vMerge w:val="continue"/>
            <w:vAlign w:val="center"/>
          </w:tcPr>
          <w:p w14:paraId="0394CA7D">
            <w:pPr>
              <w:adjustRightInd w:val="0"/>
              <w:snapToGrid w:val="0"/>
              <w:jc w:val="center"/>
              <w:rPr>
                <w:rFonts w:ascii="Times New Roman" w:eastAsia="仿宋"/>
                <w:szCs w:val="24"/>
              </w:rPr>
            </w:pPr>
          </w:p>
        </w:tc>
        <w:tc>
          <w:tcPr>
            <w:tcW w:w="1408" w:type="dxa"/>
            <w:vAlign w:val="center"/>
          </w:tcPr>
          <w:p w14:paraId="03A2175D">
            <w:pPr>
              <w:adjustRightInd w:val="0"/>
              <w:snapToGrid w:val="0"/>
              <w:jc w:val="center"/>
              <w:rPr>
                <w:rFonts w:ascii="Times New Roman" w:eastAsia="仿宋"/>
                <w:szCs w:val="24"/>
              </w:rPr>
            </w:pPr>
            <w:r>
              <w:rPr>
                <w:rFonts w:hint="eastAsia" w:ascii="Times New Roman" w:eastAsia="仿宋"/>
                <w:szCs w:val="24"/>
              </w:rPr>
              <w:t>危废仓库废气</w:t>
            </w:r>
          </w:p>
        </w:tc>
        <w:tc>
          <w:tcPr>
            <w:tcW w:w="989" w:type="dxa"/>
            <w:vMerge w:val="continue"/>
            <w:vAlign w:val="center"/>
          </w:tcPr>
          <w:p w14:paraId="04617458">
            <w:pPr>
              <w:adjustRightInd w:val="0"/>
              <w:snapToGrid w:val="0"/>
              <w:jc w:val="center"/>
              <w:rPr>
                <w:rFonts w:ascii="Times New Roman" w:eastAsia="仿宋"/>
                <w:szCs w:val="24"/>
              </w:rPr>
            </w:pPr>
          </w:p>
        </w:tc>
        <w:tc>
          <w:tcPr>
            <w:tcW w:w="1275" w:type="dxa"/>
            <w:vAlign w:val="center"/>
          </w:tcPr>
          <w:p w14:paraId="755B27CD">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782A3D6C">
            <w:pPr>
              <w:adjustRightInd w:val="0"/>
              <w:snapToGrid w:val="0"/>
              <w:jc w:val="center"/>
              <w:rPr>
                <w:rFonts w:ascii="Times New Roman" w:eastAsia="仿宋"/>
                <w:szCs w:val="24"/>
              </w:rPr>
            </w:pPr>
          </w:p>
        </w:tc>
        <w:tc>
          <w:tcPr>
            <w:tcW w:w="1559" w:type="dxa"/>
            <w:vAlign w:val="center"/>
          </w:tcPr>
          <w:p w14:paraId="70CD7191">
            <w:pPr>
              <w:adjustRightInd w:val="0"/>
              <w:snapToGrid w:val="0"/>
              <w:jc w:val="center"/>
              <w:rPr>
                <w:rFonts w:ascii="Times New Roman" w:eastAsia="仿宋"/>
                <w:szCs w:val="24"/>
              </w:rPr>
            </w:pPr>
            <w:r>
              <w:rPr>
                <w:rFonts w:hint="eastAsia" w:ascii="Times New Roman" w:eastAsia="仿宋"/>
                <w:szCs w:val="24"/>
              </w:rPr>
              <w:t>/</w:t>
            </w:r>
          </w:p>
        </w:tc>
        <w:tc>
          <w:tcPr>
            <w:tcW w:w="1134" w:type="dxa"/>
            <w:vAlign w:val="center"/>
          </w:tcPr>
          <w:p w14:paraId="2C4560D9">
            <w:pPr>
              <w:adjustRightInd w:val="0"/>
              <w:snapToGrid w:val="0"/>
              <w:jc w:val="center"/>
              <w:rPr>
                <w:rFonts w:ascii="Times New Roman" w:eastAsia="仿宋"/>
                <w:szCs w:val="24"/>
              </w:rPr>
            </w:pPr>
            <w:r>
              <w:rPr>
                <w:rFonts w:hint="eastAsia" w:ascii="Times New Roman" w:eastAsia="仿宋"/>
                <w:szCs w:val="24"/>
              </w:rPr>
              <w:t>/</w:t>
            </w:r>
          </w:p>
        </w:tc>
        <w:tc>
          <w:tcPr>
            <w:tcW w:w="993" w:type="dxa"/>
            <w:vAlign w:val="center"/>
          </w:tcPr>
          <w:p w14:paraId="7DB6FD2D">
            <w:pPr>
              <w:adjustRightInd w:val="0"/>
              <w:snapToGrid w:val="0"/>
              <w:jc w:val="center"/>
              <w:rPr>
                <w:rFonts w:ascii="Times New Roman" w:eastAsia="仿宋"/>
                <w:szCs w:val="24"/>
              </w:rPr>
            </w:pPr>
            <w:r>
              <w:rPr>
                <w:rFonts w:hint="eastAsia" w:ascii="Times New Roman" w:eastAsia="仿宋"/>
                <w:szCs w:val="24"/>
              </w:rPr>
              <w:t>/</w:t>
            </w:r>
          </w:p>
        </w:tc>
        <w:tc>
          <w:tcPr>
            <w:tcW w:w="1559" w:type="dxa"/>
            <w:vMerge w:val="continue"/>
            <w:vAlign w:val="center"/>
          </w:tcPr>
          <w:p w14:paraId="7E945F54">
            <w:pPr>
              <w:adjustRightInd w:val="0"/>
              <w:snapToGrid w:val="0"/>
              <w:jc w:val="center"/>
              <w:rPr>
                <w:rFonts w:ascii="Times New Roman" w:eastAsia="仿宋"/>
                <w:szCs w:val="24"/>
              </w:rPr>
            </w:pPr>
          </w:p>
        </w:tc>
        <w:tc>
          <w:tcPr>
            <w:tcW w:w="850" w:type="dxa"/>
            <w:vMerge w:val="continue"/>
            <w:vAlign w:val="center"/>
          </w:tcPr>
          <w:p w14:paraId="48D827E6">
            <w:pPr>
              <w:adjustRightInd w:val="0"/>
              <w:snapToGrid w:val="0"/>
              <w:jc w:val="center"/>
              <w:rPr>
                <w:rFonts w:ascii="Times New Roman" w:eastAsia="仿宋"/>
                <w:szCs w:val="24"/>
              </w:rPr>
            </w:pPr>
          </w:p>
        </w:tc>
        <w:tc>
          <w:tcPr>
            <w:tcW w:w="709" w:type="dxa"/>
            <w:vMerge w:val="continue"/>
            <w:vAlign w:val="center"/>
          </w:tcPr>
          <w:p w14:paraId="44A6B5CA">
            <w:pPr>
              <w:adjustRightInd w:val="0"/>
              <w:snapToGrid w:val="0"/>
              <w:jc w:val="center"/>
              <w:rPr>
                <w:rFonts w:ascii="Times New Roman" w:eastAsia="仿宋"/>
                <w:szCs w:val="24"/>
              </w:rPr>
            </w:pPr>
          </w:p>
        </w:tc>
        <w:tc>
          <w:tcPr>
            <w:tcW w:w="992" w:type="dxa"/>
            <w:vMerge w:val="continue"/>
            <w:vAlign w:val="center"/>
          </w:tcPr>
          <w:p w14:paraId="1578410E">
            <w:pPr>
              <w:adjustRightInd w:val="0"/>
              <w:snapToGrid w:val="0"/>
              <w:jc w:val="center"/>
              <w:rPr>
                <w:rFonts w:ascii="Times New Roman" w:eastAsia="仿宋"/>
                <w:szCs w:val="21"/>
              </w:rPr>
            </w:pPr>
          </w:p>
        </w:tc>
        <w:tc>
          <w:tcPr>
            <w:tcW w:w="1051" w:type="dxa"/>
            <w:vMerge w:val="continue"/>
            <w:vAlign w:val="center"/>
          </w:tcPr>
          <w:p w14:paraId="60E89A7D">
            <w:pPr>
              <w:adjustRightInd w:val="0"/>
              <w:snapToGrid w:val="0"/>
              <w:jc w:val="center"/>
              <w:rPr>
                <w:rFonts w:ascii="Times New Roman" w:eastAsia="仿宋"/>
                <w:szCs w:val="21"/>
              </w:rPr>
            </w:pPr>
          </w:p>
        </w:tc>
      </w:tr>
      <w:tr w14:paraId="4986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859" w:type="dxa"/>
            <w:vMerge w:val="restart"/>
            <w:vAlign w:val="center"/>
          </w:tcPr>
          <w:p w14:paraId="2F059BC7">
            <w:pPr>
              <w:adjustRightInd w:val="0"/>
              <w:snapToGrid w:val="0"/>
              <w:jc w:val="center"/>
              <w:rPr>
                <w:rFonts w:ascii="Times New Roman" w:eastAsia="仿宋"/>
                <w:szCs w:val="24"/>
              </w:rPr>
            </w:pPr>
            <w:r>
              <w:rPr>
                <w:rFonts w:ascii="Times New Roman" w:eastAsia="仿宋"/>
                <w:szCs w:val="24"/>
              </w:rPr>
              <w:t>4</w:t>
            </w:r>
            <w:r>
              <w:rPr>
                <w:rFonts w:hint="eastAsia" w:ascii="Times New Roman" w:eastAsia="仿宋"/>
                <w:szCs w:val="24"/>
              </w:rPr>
              <w:t>#</w:t>
            </w:r>
          </w:p>
        </w:tc>
        <w:tc>
          <w:tcPr>
            <w:tcW w:w="1408" w:type="dxa"/>
            <w:vMerge w:val="restart"/>
            <w:vAlign w:val="center"/>
          </w:tcPr>
          <w:p w14:paraId="17A6B475">
            <w:pPr>
              <w:adjustRightInd w:val="0"/>
              <w:snapToGrid w:val="0"/>
              <w:jc w:val="center"/>
              <w:rPr>
                <w:rFonts w:ascii="Times New Roman" w:eastAsia="仿宋"/>
                <w:szCs w:val="24"/>
              </w:rPr>
            </w:pPr>
            <w:r>
              <w:rPr>
                <w:rFonts w:hint="eastAsia" w:ascii="Times New Roman" w:eastAsia="仿宋"/>
                <w:szCs w:val="24"/>
              </w:rPr>
              <w:t>固化废气G7</w:t>
            </w:r>
          </w:p>
        </w:tc>
        <w:tc>
          <w:tcPr>
            <w:tcW w:w="989" w:type="dxa"/>
            <w:vMerge w:val="restart"/>
            <w:vAlign w:val="center"/>
          </w:tcPr>
          <w:p w14:paraId="0168F0DB">
            <w:pPr>
              <w:adjustRightInd w:val="0"/>
              <w:snapToGrid w:val="0"/>
              <w:jc w:val="center"/>
              <w:rPr>
                <w:rFonts w:ascii="Times New Roman" w:eastAsia="仿宋"/>
                <w:szCs w:val="24"/>
              </w:rPr>
            </w:pPr>
            <w:r>
              <w:rPr>
                <w:rFonts w:hint="eastAsia" w:ascii="Times New Roman" w:eastAsia="仿宋"/>
                <w:szCs w:val="24"/>
              </w:rPr>
              <w:t>2</w:t>
            </w:r>
            <w:r>
              <w:rPr>
                <w:rFonts w:ascii="Times New Roman" w:eastAsia="仿宋"/>
                <w:szCs w:val="24"/>
              </w:rPr>
              <w:t>1000</w:t>
            </w:r>
          </w:p>
        </w:tc>
        <w:tc>
          <w:tcPr>
            <w:tcW w:w="1275" w:type="dxa"/>
            <w:vAlign w:val="center"/>
          </w:tcPr>
          <w:p w14:paraId="6F7D4D28">
            <w:pPr>
              <w:adjustRightInd w:val="0"/>
              <w:snapToGrid w:val="0"/>
              <w:jc w:val="center"/>
              <w:rPr>
                <w:rFonts w:ascii="Times New Roman" w:eastAsia="仿宋"/>
                <w:szCs w:val="24"/>
              </w:rPr>
            </w:pPr>
            <w:r>
              <w:rPr>
                <w:rFonts w:hint="eastAsia" w:ascii="Times New Roman" w:eastAsia="仿宋"/>
                <w:szCs w:val="21"/>
              </w:rPr>
              <w:t>非甲烷总烃</w:t>
            </w:r>
          </w:p>
        </w:tc>
        <w:tc>
          <w:tcPr>
            <w:tcW w:w="1276" w:type="dxa"/>
            <w:vMerge w:val="restart"/>
            <w:vAlign w:val="center"/>
          </w:tcPr>
          <w:p w14:paraId="42741D55">
            <w:pPr>
              <w:widowControl/>
              <w:jc w:val="center"/>
              <w:textAlignment w:val="center"/>
              <w:rPr>
                <w:rFonts w:ascii="Times New Roman" w:eastAsia="仿宋"/>
                <w:szCs w:val="24"/>
              </w:rPr>
            </w:pPr>
            <w:r>
              <w:rPr>
                <w:rFonts w:hint="eastAsia" w:ascii="Times New Roman" w:eastAsia="仿宋"/>
                <w:szCs w:val="24"/>
              </w:rPr>
              <w:t>系数法</w:t>
            </w:r>
          </w:p>
        </w:tc>
        <w:tc>
          <w:tcPr>
            <w:tcW w:w="1559" w:type="dxa"/>
            <w:vAlign w:val="center"/>
          </w:tcPr>
          <w:p w14:paraId="53CA825B">
            <w:pPr>
              <w:widowControl/>
              <w:jc w:val="center"/>
              <w:textAlignment w:val="center"/>
              <w:rPr>
                <w:rFonts w:ascii="Times New Roman" w:eastAsia="仿宋"/>
                <w:szCs w:val="24"/>
              </w:rPr>
            </w:pPr>
            <w:r>
              <w:rPr>
                <w:rFonts w:hint="eastAsia" w:ascii="Times New Roman" w:eastAsia="仿宋"/>
                <w:szCs w:val="24"/>
              </w:rPr>
              <w:t>0.52</w:t>
            </w:r>
          </w:p>
        </w:tc>
        <w:tc>
          <w:tcPr>
            <w:tcW w:w="1134" w:type="dxa"/>
            <w:vAlign w:val="center"/>
          </w:tcPr>
          <w:p w14:paraId="32287E03">
            <w:pPr>
              <w:widowControl/>
              <w:jc w:val="center"/>
              <w:textAlignment w:val="center"/>
              <w:rPr>
                <w:rFonts w:ascii="Times New Roman" w:eastAsia="仿宋"/>
                <w:szCs w:val="24"/>
              </w:rPr>
            </w:pPr>
            <w:r>
              <w:rPr>
                <w:rFonts w:hint="eastAsia" w:ascii="Times New Roman" w:eastAsia="仿宋"/>
                <w:szCs w:val="24"/>
              </w:rPr>
              <w:t>0.011</w:t>
            </w:r>
          </w:p>
        </w:tc>
        <w:tc>
          <w:tcPr>
            <w:tcW w:w="993" w:type="dxa"/>
            <w:vAlign w:val="center"/>
          </w:tcPr>
          <w:p w14:paraId="73E467DA">
            <w:pPr>
              <w:widowControl/>
              <w:jc w:val="center"/>
              <w:textAlignment w:val="center"/>
              <w:rPr>
                <w:rFonts w:ascii="Times New Roman" w:eastAsia="仿宋"/>
                <w:szCs w:val="24"/>
              </w:rPr>
            </w:pPr>
            <w:r>
              <w:rPr>
                <w:rFonts w:hint="eastAsia" w:ascii="Times New Roman" w:eastAsia="仿宋"/>
                <w:szCs w:val="24"/>
              </w:rPr>
              <w:t>0.053</w:t>
            </w:r>
          </w:p>
        </w:tc>
        <w:tc>
          <w:tcPr>
            <w:tcW w:w="1559" w:type="dxa"/>
            <w:vMerge w:val="restart"/>
            <w:vAlign w:val="center"/>
          </w:tcPr>
          <w:p w14:paraId="249E1C8E">
            <w:pPr>
              <w:jc w:val="center"/>
              <w:rPr>
                <w:rFonts w:ascii="Times New Roman" w:eastAsia="仿宋"/>
                <w:szCs w:val="21"/>
              </w:rPr>
            </w:pPr>
            <w:r>
              <w:rPr>
                <w:rFonts w:ascii="Times New Roman" w:eastAsia="仿宋"/>
                <w:szCs w:val="21"/>
              </w:rPr>
              <w:t>3</w:t>
            </w:r>
            <w:r>
              <w:rPr>
                <w:rFonts w:hint="eastAsia" w:ascii="Times New Roman" w:eastAsia="仿宋"/>
                <w:szCs w:val="21"/>
              </w:rPr>
              <w:t>号水帘式循环过滤系统+水喷淋+干式过滤器+三级活性炭吸附脱附+催化燃烧</w:t>
            </w:r>
          </w:p>
        </w:tc>
        <w:tc>
          <w:tcPr>
            <w:tcW w:w="850" w:type="dxa"/>
            <w:vMerge w:val="restart"/>
            <w:vAlign w:val="center"/>
          </w:tcPr>
          <w:p w14:paraId="316DA5C7">
            <w:pPr>
              <w:adjustRightInd w:val="0"/>
              <w:snapToGrid w:val="0"/>
              <w:jc w:val="center"/>
              <w:rPr>
                <w:rFonts w:ascii="Times New Roman" w:eastAsia="仿宋"/>
                <w:szCs w:val="24"/>
              </w:rPr>
            </w:pPr>
            <w:r>
              <w:rPr>
                <w:rFonts w:ascii="Times New Roman" w:eastAsia="仿宋"/>
                <w:szCs w:val="24"/>
              </w:rPr>
              <w:t>15</w:t>
            </w:r>
          </w:p>
        </w:tc>
        <w:tc>
          <w:tcPr>
            <w:tcW w:w="709" w:type="dxa"/>
            <w:vMerge w:val="restart"/>
            <w:vAlign w:val="center"/>
          </w:tcPr>
          <w:p w14:paraId="5789F5B2">
            <w:pPr>
              <w:adjustRightInd w:val="0"/>
              <w:snapToGrid w:val="0"/>
              <w:jc w:val="center"/>
              <w:rPr>
                <w:rFonts w:ascii="Times New Roman" w:eastAsia="仿宋"/>
                <w:szCs w:val="24"/>
              </w:rPr>
            </w:pPr>
            <w:r>
              <w:rPr>
                <w:rFonts w:hint="eastAsia" w:ascii="Times New Roman" w:eastAsia="仿宋"/>
                <w:szCs w:val="24"/>
              </w:rPr>
              <w:t>0.8</w:t>
            </w:r>
          </w:p>
        </w:tc>
        <w:tc>
          <w:tcPr>
            <w:tcW w:w="992" w:type="dxa"/>
            <w:vMerge w:val="restart"/>
            <w:vAlign w:val="center"/>
          </w:tcPr>
          <w:p w14:paraId="137470AF">
            <w:pPr>
              <w:adjustRightInd w:val="0"/>
              <w:snapToGrid w:val="0"/>
              <w:jc w:val="center"/>
              <w:rPr>
                <w:rFonts w:ascii="Times New Roman" w:eastAsia="仿宋"/>
                <w:szCs w:val="21"/>
              </w:rPr>
            </w:pPr>
            <w:r>
              <w:rPr>
                <w:rFonts w:hint="eastAsia" w:ascii="Times New Roman" w:eastAsia="仿宋"/>
                <w:szCs w:val="21"/>
              </w:rPr>
              <w:t>50</w:t>
            </w:r>
          </w:p>
        </w:tc>
        <w:tc>
          <w:tcPr>
            <w:tcW w:w="1051" w:type="dxa"/>
            <w:vMerge w:val="restart"/>
            <w:vAlign w:val="center"/>
          </w:tcPr>
          <w:p w14:paraId="05D152DC">
            <w:pPr>
              <w:adjustRightInd w:val="0"/>
              <w:snapToGrid w:val="0"/>
              <w:jc w:val="center"/>
              <w:rPr>
                <w:rFonts w:ascii="Times New Roman" w:eastAsia="仿宋"/>
                <w:szCs w:val="21"/>
              </w:rPr>
            </w:pPr>
            <w:r>
              <w:rPr>
                <w:rFonts w:hint="eastAsia" w:ascii="Times New Roman" w:eastAsia="仿宋"/>
                <w:szCs w:val="21"/>
              </w:rPr>
              <w:t>连续4800h</w:t>
            </w:r>
          </w:p>
        </w:tc>
      </w:tr>
      <w:tr w14:paraId="103B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859" w:type="dxa"/>
            <w:vMerge w:val="continue"/>
            <w:vAlign w:val="center"/>
          </w:tcPr>
          <w:p w14:paraId="46CB79D8">
            <w:pPr>
              <w:adjustRightInd w:val="0"/>
              <w:snapToGrid w:val="0"/>
              <w:jc w:val="center"/>
              <w:rPr>
                <w:rFonts w:ascii="Times New Roman" w:eastAsia="仿宋"/>
                <w:szCs w:val="24"/>
              </w:rPr>
            </w:pPr>
          </w:p>
        </w:tc>
        <w:tc>
          <w:tcPr>
            <w:tcW w:w="1408" w:type="dxa"/>
            <w:vMerge w:val="continue"/>
            <w:vAlign w:val="center"/>
          </w:tcPr>
          <w:p w14:paraId="482D178B">
            <w:pPr>
              <w:adjustRightInd w:val="0"/>
              <w:snapToGrid w:val="0"/>
              <w:jc w:val="center"/>
              <w:rPr>
                <w:rFonts w:ascii="Times New Roman" w:eastAsia="仿宋"/>
                <w:szCs w:val="24"/>
              </w:rPr>
            </w:pPr>
          </w:p>
        </w:tc>
        <w:tc>
          <w:tcPr>
            <w:tcW w:w="989" w:type="dxa"/>
            <w:vMerge w:val="continue"/>
            <w:vAlign w:val="center"/>
          </w:tcPr>
          <w:p w14:paraId="2F0161D3">
            <w:pPr>
              <w:adjustRightInd w:val="0"/>
              <w:snapToGrid w:val="0"/>
              <w:jc w:val="center"/>
              <w:rPr>
                <w:rFonts w:ascii="Times New Roman" w:eastAsia="仿宋"/>
                <w:szCs w:val="24"/>
              </w:rPr>
            </w:pPr>
          </w:p>
        </w:tc>
        <w:tc>
          <w:tcPr>
            <w:tcW w:w="1275" w:type="dxa"/>
            <w:vAlign w:val="center"/>
          </w:tcPr>
          <w:p w14:paraId="43893570">
            <w:pPr>
              <w:adjustRightInd w:val="0"/>
              <w:snapToGrid w:val="0"/>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3E7780C3">
            <w:pPr>
              <w:widowControl/>
              <w:jc w:val="center"/>
              <w:textAlignment w:val="center"/>
              <w:rPr>
                <w:rFonts w:ascii="Times New Roman" w:eastAsia="仿宋"/>
                <w:szCs w:val="24"/>
              </w:rPr>
            </w:pPr>
          </w:p>
        </w:tc>
        <w:tc>
          <w:tcPr>
            <w:tcW w:w="1559" w:type="dxa"/>
            <w:vAlign w:val="center"/>
          </w:tcPr>
          <w:p w14:paraId="0409750D">
            <w:pPr>
              <w:widowControl/>
              <w:jc w:val="center"/>
              <w:textAlignment w:val="center"/>
              <w:rPr>
                <w:rFonts w:ascii="Times New Roman" w:eastAsia="仿宋"/>
                <w:szCs w:val="24"/>
              </w:rPr>
            </w:pPr>
            <w:r>
              <w:rPr>
                <w:rFonts w:hint="eastAsia" w:ascii="Times New Roman" w:eastAsia="仿宋"/>
                <w:szCs w:val="24"/>
              </w:rPr>
              <w:t>0.52</w:t>
            </w:r>
          </w:p>
        </w:tc>
        <w:tc>
          <w:tcPr>
            <w:tcW w:w="1134" w:type="dxa"/>
            <w:vAlign w:val="center"/>
          </w:tcPr>
          <w:p w14:paraId="3114F566">
            <w:pPr>
              <w:widowControl/>
              <w:jc w:val="center"/>
              <w:textAlignment w:val="center"/>
              <w:rPr>
                <w:rFonts w:ascii="Times New Roman" w:eastAsia="仿宋"/>
                <w:szCs w:val="24"/>
              </w:rPr>
            </w:pPr>
            <w:r>
              <w:rPr>
                <w:rFonts w:hint="eastAsia" w:ascii="Times New Roman" w:eastAsia="仿宋"/>
                <w:szCs w:val="24"/>
              </w:rPr>
              <w:t>0.011</w:t>
            </w:r>
          </w:p>
        </w:tc>
        <w:tc>
          <w:tcPr>
            <w:tcW w:w="993" w:type="dxa"/>
            <w:vAlign w:val="center"/>
          </w:tcPr>
          <w:p w14:paraId="6B78E4A4">
            <w:pPr>
              <w:widowControl/>
              <w:jc w:val="center"/>
              <w:textAlignment w:val="center"/>
              <w:rPr>
                <w:rFonts w:ascii="Times New Roman" w:eastAsia="仿宋"/>
                <w:szCs w:val="24"/>
              </w:rPr>
            </w:pPr>
            <w:r>
              <w:rPr>
                <w:rFonts w:hint="eastAsia" w:ascii="Times New Roman" w:eastAsia="仿宋"/>
                <w:szCs w:val="24"/>
              </w:rPr>
              <w:t>0.053</w:t>
            </w:r>
          </w:p>
        </w:tc>
        <w:tc>
          <w:tcPr>
            <w:tcW w:w="1559" w:type="dxa"/>
            <w:vMerge w:val="continue"/>
            <w:vAlign w:val="center"/>
          </w:tcPr>
          <w:p w14:paraId="3DA22D9C">
            <w:pPr>
              <w:jc w:val="center"/>
              <w:rPr>
                <w:rFonts w:ascii="Times New Roman" w:eastAsia="仿宋"/>
                <w:szCs w:val="21"/>
              </w:rPr>
            </w:pPr>
          </w:p>
        </w:tc>
        <w:tc>
          <w:tcPr>
            <w:tcW w:w="850" w:type="dxa"/>
            <w:vMerge w:val="continue"/>
            <w:vAlign w:val="center"/>
          </w:tcPr>
          <w:p w14:paraId="6B3A4BFD">
            <w:pPr>
              <w:adjustRightInd w:val="0"/>
              <w:snapToGrid w:val="0"/>
              <w:jc w:val="center"/>
              <w:rPr>
                <w:rFonts w:ascii="Times New Roman" w:eastAsia="仿宋"/>
                <w:szCs w:val="24"/>
              </w:rPr>
            </w:pPr>
          </w:p>
        </w:tc>
        <w:tc>
          <w:tcPr>
            <w:tcW w:w="709" w:type="dxa"/>
            <w:vMerge w:val="continue"/>
            <w:vAlign w:val="center"/>
          </w:tcPr>
          <w:p w14:paraId="70B08F84">
            <w:pPr>
              <w:adjustRightInd w:val="0"/>
              <w:snapToGrid w:val="0"/>
              <w:jc w:val="center"/>
              <w:rPr>
                <w:rFonts w:ascii="Times New Roman" w:eastAsia="仿宋"/>
                <w:szCs w:val="24"/>
              </w:rPr>
            </w:pPr>
          </w:p>
        </w:tc>
        <w:tc>
          <w:tcPr>
            <w:tcW w:w="992" w:type="dxa"/>
            <w:vMerge w:val="continue"/>
            <w:vAlign w:val="center"/>
          </w:tcPr>
          <w:p w14:paraId="5A827F7E">
            <w:pPr>
              <w:adjustRightInd w:val="0"/>
              <w:snapToGrid w:val="0"/>
              <w:jc w:val="center"/>
              <w:rPr>
                <w:rFonts w:ascii="Times New Roman" w:eastAsia="仿宋"/>
                <w:szCs w:val="21"/>
              </w:rPr>
            </w:pPr>
          </w:p>
        </w:tc>
        <w:tc>
          <w:tcPr>
            <w:tcW w:w="1051" w:type="dxa"/>
            <w:vMerge w:val="continue"/>
            <w:vAlign w:val="center"/>
          </w:tcPr>
          <w:p w14:paraId="53D52436">
            <w:pPr>
              <w:adjustRightInd w:val="0"/>
              <w:snapToGrid w:val="0"/>
              <w:jc w:val="center"/>
              <w:rPr>
                <w:rFonts w:ascii="Times New Roman" w:eastAsia="仿宋"/>
                <w:szCs w:val="21"/>
              </w:rPr>
            </w:pPr>
          </w:p>
        </w:tc>
      </w:tr>
      <w:tr w14:paraId="2752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0481BD08">
            <w:pPr>
              <w:adjustRightInd w:val="0"/>
              <w:snapToGrid w:val="0"/>
              <w:jc w:val="center"/>
              <w:rPr>
                <w:rFonts w:ascii="Times New Roman" w:eastAsia="仿宋"/>
                <w:szCs w:val="24"/>
              </w:rPr>
            </w:pPr>
          </w:p>
        </w:tc>
        <w:tc>
          <w:tcPr>
            <w:tcW w:w="1408" w:type="dxa"/>
            <w:vMerge w:val="restart"/>
            <w:vAlign w:val="center"/>
          </w:tcPr>
          <w:p w14:paraId="38A56A5C">
            <w:pPr>
              <w:adjustRightInd w:val="0"/>
              <w:snapToGrid w:val="0"/>
              <w:jc w:val="center"/>
              <w:rPr>
                <w:rFonts w:ascii="Times New Roman" w:eastAsia="仿宋"/>
                <w:szCs w:val="24"/>
              </w:rPr>
            </w:pPr>
            <w:r>
              <w:rPr>
                <w:rFonts w:hint="eastAsia" w:ascii="Times New Roman" w:eastAsia="仿宋"/>
                <w:szCs w:val="24"/>
              </w:rPr>
              <w:t>氟碳底漆烘干废气G1</w:t>
            </w:r>
            <w:r>
              <w:rPr>
                <w:rFonts w:ascii="Times New Roman" w:eastAsia="仿宋"/>
                <w:szCs w:val="24"/>
              </w:rPr>
              <w:t>2</w:t>
            </w:r>
          </w:p>
        </w:tc>
        <w:tc>
          <w:tcPr>
            <w:tcW w:w="989" w:type="dxa"/>
            <w:vMerge w:val="continue"/>
            <w:vAlign w:val="center"/>
          </w:tcPr>
          <w:p w14:paraId="434D5994">
            <w:pPr>
              <w:adjustRightInd w:val="0"/>
              <w:snapToGrid w:val="0"/>
              <w:jc w:val="center"/>
              <w:rPr>
                <w:rFonts w:ascii="Times New Roman" w:eastAsia="仿宋"/>
                <w:szCs w:val="24"/>
              </w:rPr>
            </w:pPr>
          </w:p>
        </w:tc>
        <w:tc>
          <w:tcPr>
            <w:tcW w:w="1275" w:type="dxa"/>
            <w:vAlign w:val="center"/>
          </w:tcPr>
          <w:p w14:paraId="749168EF">
            <w:pPr>
              <w:jc w:val="center"/>
              <w:rPr>
                <w:rFonts w:ascii="Times New Roman" w:eastAsia="仿宋"/>
                <w:szCs w:val="21"/>
              </w:rPr>
            </w:pPr>
            <w:r>
              <w:rPr>
                <w:rFonts w:hint="eastAsia" w:ascii="Times New Roman" w:eastAsia="仿宋"/>
                <w:szCs w:val="21"/>
              </w:rPr>
              <w:t>非甲烷总烃</w:t>
            </w:r>
          </w:p>
        </w:tc>
        <w:tc>
          <w:tcPr>
            <w:tcW w:w="1276" w:type="dxa"/>
            <w:vMerge w:val="restart"/>
            <w:vAlign w:val="center"/>
          </w:tcPr>
          <w:p w14:paraId="08DA034A">
            <w:pPr>
              <w:widowControl/>
              <w:jc w:val="center"/>
              <w:textAlignment w:val="center"/>
              <w:rPr>
                <w:rFonts w:ascii="Times New Roman" w:eastAsia="仿宋"/>
                <w:szCs w:val="24"/>
              </w:rPr>
            </w:pPr>
            <w:r>
              <w:rPr>
                <w:rFonts w:hint="eastAsia" w:ascii="Times New Roman" w:eastAsia="仿宋"/>
                <w:szCs w:val="24"/>
              </w:rPr>
              <w:t>物料衡算法</w:t>
            </w:r>
          </w:p>
        </w:tc>
        <w:tc>
          <w:tcPr>
            <w:tcW w:w="1559" w:type="dxa"/>
            <w:vAlign w:val="center"/>
          </w:tcPr>
          <w:p w14:paraId="144A3622">
            <w:pPr>
              <w:widowControl/>
              <w:jc w:val="center"/>
              <w:textAlignment w:val="center"/>
              <w:rPr>
                <w:rFonts w:ascii="Times New Roman" w:eastAsia="仿宋"/>
                <w:szCs w:val="24"/>
              </w:rPr>
            </w:pPr>
            <w:r>
              <w:rPr>
                <w:rFonts w:hint="eastAsia" w:ascii="Times New Roman" w:eastAsia="仿宋"/>
                <w:szCs w:val="24"/>
              </w:rPr>
              <w:t>143.8</w:t>
            </w:r>
          </w:p>
        </w:tc>
        <w:tc>
          <w:tcPr>
            <w:tcW w:w="1134" w:type="dxa"/>
            <w:vAlign w:val="center"/>
          </w:tcPr>
          <w:p w14:paraId="168F5764">
            <w:pPr>
              <w:widowControl/>
              <w:jc w:val="center"/>
              <w:textAlignment w:val="center"/>
              <w:rPr>
                <w:rFonts w:ascii="Times New Roman" w:eastAsia="仿宋"/>
                <w:szCs w:val="24"/>
              </w:rPr>
            </w:pPr>
            <w:r>
              <w:rPr>
                <w:rFonts w:hint="eastAsia" w:ascii="Times New Roman" w:eastAsia="仿宋"/>
                <w:szCs w:val="24"/>
              </w:rPr>
              <w:t>3.02</w:t>
            </w:r>
          </w:p>
        </w:tc>
        <w:tc>
          <w:tcPr>
            <w:tcW w:w="993" w:type="dxa"/>
            <w:shd w:val="clear" w:color="auto" w:fill="auto"/>
            <w:vAlign w:val="center"/>
          </w:tcPr>
          <w:p w14:paraId="6B28909F">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559" w:type="dxa"/>
            <w:vMerge w:val="continue"/>
            <w:vAlign w:val="center"/>
          </w:tcPr>
          <w:p w14:paraId="5C32F893">
            <w:pPr>
              <w:jc w:val="center"/>
              <w:rPr>
                <w:rFonts w:ascii="Times New Roman" w:eastAsia="仿宋"/>
                <w:szCs w:val="21"/>
              </w:rPr>
            </w:pPr>
          </w:p>
        </w:tc>
        <w:tc>
          <w:tcPr>
            <w:tcW w:w="850" w:type="dxa"/>
            <w:vMerge w:val="continue"/>
            <w:vAlign w:val="center"/>
          </w:tcPr>
          <w:p w14:paraId="48AF1657">
            <w:pPr>
              <w:adjustRightInd w:val="0"/>
              <w:snapToGrid w:val="0"/>
              <w:jc w:val="center"/>
              <w:rPr>
                <w:rFonts w:ascii="Times New Roman" w:eastAsia="仿宋"/>
                <w:szCs w:val="24"/>
              </w:rPr>
            </w:pPr>
          </w:p>
        </w:tc>
        <w:tc>
          <w:tcPr>
            <w:tcW w:w="709" w:type="dxa"/>
            <w:vMerge w:val="continue"/>
            <w:vAlign w:val="center"/>
          </w:tcPr>
          <w:p w14:paraId="4B8E574F">
            <w:pPr>
              <w:adjustRightInd w:val="0"/>
              <w:snapToGrid w:val="0"/>
              <w:jc w:val="center"/>
              <w:rPr>
                <w:rFonts w:ascii="Times New Roman" w:eastAsia="仿宋"/>
                <w:szCs w:val="24"/>
              </w:rPr>
            </w:pPr>
          </w:p>
        </w:tc>
        <w:tc>
          <w:tcPr>
            <w:tcW w:w="992" w:type="dxa"/>
            <w:vMerge w:val="continue"/>
            <w:vAlign w:val="center"/>
          </w:tcPr>
          <w:p w14:paraId="7958C9DF">
            <w:pPr>
              <w:adjustRightInd w:val="0"/>
              <w:snapToGrid w:val="0"/>
              <w:jc w:val="center"/>
              <w:rPr>
                <w:rFonts w:ascii="Times New Roman" w:eastAsia="仿宋"/>
                <w:szCs w:val="21"/>
              </w:rPr>
            </w:pPr>
          </w:p>
        </w:tc>
        <w:tc>
          <w:tcPr>
            <w:tcW w:w="1051" w:type="dxa"/>
            <w:vMerge w:val="continue"/>
            <w:vAlign w:val="center"/>
          </w:tcPr>
          <w:p w14:paraId="28376B8C">
            <w:pPr>
              <w:adjustRightInd w:val="0"/>
              <w:snapToGrid w:val="0"/>
              <w:jc w:val="center"/>
              <w:rPr>
                <w:rFonts w:ascii="Times New Roman" w:eastAsia="仿宋"/>
                <w:szCs w:val="21"/>
              </w:rPr>
            </w:pPr>
          </w:p>
        </w:tc>
      </w:tr>
      <w:tr w14:paraId="2659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4D619D9C">
            <w:pPr>
              <w:adjustRightInd w:val="0"/>
              <w:snapToGrid w:val="0"/>
              <w:jc w:val="center"/>
              <w:rPr>
                <w:rFonts w:ascii="Times New Roman" w:eastAsia="仿宋"/>
                <w:szCs w:val="24"/>
              </w:rPr>
            </w:pPr>
          </w:p>
        </w:tc>
        <w:tc>
          <w:tcPr>
            <w:tcW w:w="1408" w:type="dxa"/>
            <w:vMerge w:val="continue"/>
            <w:vAlign w:val="center"/>
          </w:tcPr>
          <w:p w14:paraId="62F6A277">
            <w:pPr>
              <w:adjustRightInd w:val="0"/>
              <w:snapToGrid w:val="0"/>
              <w:jc w:val="center"/>
              <w:rPr>
                <w:rFonts w:ascii="Times New Roman" w:eastAsia="仿宋"/>
                <w:szCs w:val="24"/>
              </w:rPr>
            </w:pPr>
          </w:p>
        </w:tc>
        <w:tc>
          <w:tcPr>
            <w:tcW w:w="989" w:type="dxa"/>
            <w:vMerge w:val="continue"/>
            <w:vAlign w:val="center"/>
          </w:tcPr>
          <w:p w14:paraId="1DFF78DA">
            <w:pPr>
              <w:adjustRightInd w:val="0"/>
              <w:snapToGrid w:val="0"/>
              <w:jc w:val="center"/>
              <w:rPr>
                <w:rFonts w:ascii="Times New Roman" w:eastAsia="仿宋"/>
                <w:szCs w:val="24"/>
              </w:rPr>
            </w:pPr>
          </w:p>
        </w:tc>
        <w:tc>
          <w:tcPr>
            <w:tcW w:w="1275" w:type="dxa"/>
            <w:vAlign w:val="center"/>
          </w:tcPr>
          <w:p w14:paraId="0672C5C9">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5B2B47FF">
            <w:pPr>
              <w:widowControl/>
              <w:jc w:val="center"/>
              <w:textAlignment w:val="center"/>
              <w:rPr>
                <w:rFonts w:ascii="Times New Roman" w:eastAsia="仿宋"/>
                <w:szCs w:val="24"/>
              </w:rPr>
            </w:pPr>
          </w:p>
        </w:tc>
        <w:tc>
          <w:tcPr>
            <w:tcW w:w="1559" w:type="dxa"/>
            <w:vAlign w:val="center"/>
          </w:tcPr>
          <w:p w14:paraId="4BFF3D92">
            <w:pPr>
              <w:widowControl/>
              <w:jc w:val="center"/>
              <w:textAlignment w:val="center"/>
              <w:rPr>
                <w:rFonts w:ascii="Times New Roman" w:eastAsia="仿宋"/>
                <w:szCs w:val="24"/>
              </w:rPr>
            </w:pPr>
            <w:r>
              <w:rPr>
                <w:rFonts w:hint="eastAsia" w:ascii="Times New Roman" w:eastAsia="仿宋"/>
                <w:szCs w:val="24"/>
              </w:rPr>
              <w:t>143.8</w:t>
            </w:r>
          </w:p>
        </w:tc>
        <w:tc>
          <w:tcPr>
            <w:tcW w:w="1134" w:type="dxa"/>
            <w:vAlign w:val="center"/>
          </w:tcPr>
          <w:p w14:paraId="718F80DA">
            <w:pPr>
              <w:widowControl/>
              <w:jc w:val="center"/>
              <w:textAlignment w:val="center"/>
              <w:rPr>
                <w:rFonts w:ascii="Times New Roman" w:eastAsia="仿宋"/>
                <w:szCs w:val="24"/>
              </w:rPr>
            </w:pPr>
            <w:r>
              <w:rPr>
                <w:rFonts w:hint="eastAsia" w:ascii="Times New Roman" w:eastAsia="仿宋"/>
                <w:szCs w:val="24"/>
              </w:rPr>
              <w:t>3.02</w:t>
            </w:r>
          </w:p>
        </w:tc>
        <w:tc>
          <w:tcPr>
            <w:tcW w:w="993" w:type="dxa"/>
            <w:shd w:val="clear" w:color="auto" w:fill="auto"/>
            <w:vAlign w:val="center"/>
          </w:tcPr>
          <w:p w14:paraId="6CCFEAE5">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559" w:type="dxa"/>
            <w:vMerge w:val="continue"/>
            <w:vAlign w:val="center"/>
          </w:tcPr>
          <w:p w14:paraId="374C5309">
            <w:pPr>
              <w:jc w:val="center"/>
              <w:rPr>
                <w:rFonts w:ascii="Times New Roman" w:eastAsia="仿宋"/>
                <w:szCs w:val="21"/>
              </w:rPr>
            </w:pPr>
          </w:p>
        </w:tc>
        <w:tc>
          <w:tcPr>
            <w:tcW w:w="850" w:type="dxa"/>
            <w:vMerge w:val="continue"/>
            <w:vAlign w:val="center"/>
          </w:tcPr>
          <w:p w14:paraId="3282BA0D">
            <w:pPr>
              <w:adjustRightInd w:val="0"/>
              <w:snapToGrid w:val="0"/>
              <w:jc w:val="center"/>
              <w:rPr>
                <w:rFonts w:ascii="Times New Roman" w:eastAsia="仿宋"/>
                <w:szCs w:val="24"/>
              </w:rPr>
            </w:pPr>
          </w:p>
        </w:tc>
        <w:tc>
          <w:tcPr>
            <w:tcW w:w="709" w:type="dxa"/>
            <w:vMerge w:val="continue"/>
            <w:vAlign w:val="center"/>
          </w:tcPr>
          <w:p w14:paraId="0ED31D24">
            <w:pPr>
              <w:adjustRightInd w:val="0"/>
              <w:snapToGrid w:val="0"/>
              <w:jc w:val="center"/>
              <w:rPr>
                <w:rFonts w:ascii="Times New Roman" w:eastAsia="仿宋"/>
                <w:szCs w:val="24"/>
              </w:rPr>
            </w:pPr>
          </w:p>
        </w:tc>
        <w:tc>
          <w:tcPr>
            <w:tcW w:w="992" w:type="dxa"/>
            <w:vMerge w:val="continue"/>
            <w:vAlign w:val="center"/>
          </w:tcPr>
          <w:p w14:paraId="31B2A93F">
            <w:pPr>
              <w:adjustRightInd w:val="0"/>
              <w:snapToGrid w:val="0"/>
              <w:jc w:val="center"/>
              <w:rPr>
                <w:rFonts w:ascii="Times New Roman" w:eastAsia="仿宋"/>
                <w:szCs w:val="21"/>
              </w:rPr>
            </w:pPr>
          </w:p>
        </w:tc>
        <w:tc>
          <w:tcPr>
            <w:tcW w:w="1051" w:type="dxa"/>
            <w:vMerge w:val="continue"/>
            <w:vAlign w:val="center"/>
          </w:tcPr>
          <w:p w14:paraId="4DBBF7F0">
            <w:pPr>
              <w:adjustRightInd w:val="0"/>
              <w:snapToGrid w:val="0"/>
              <w:jc w:val="center"/>
              <w:rPr>
                <w:rFonts w:ascii="Times New Roman" w:eastAsia="仿宋"/>
                <w:szCs w:val="21"/>
              </w:rPr>
            </w:pPr>
          </w:p>
        </w:tc>
      </w:tr>
      <w:tr w14:paraId="31CD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35F245D8">
            <w:pPr>
              <w:adjustRightInd w:val="0"/>
              <w:snapToGrid w:val="0"/>
              <w:jc w:val="center"/>
              <w:rPr>
                <w:rFonts w:ascii="Times New Roman" w:eastAsia="仿宋"/>
                <w:szCs w:val="24"/>
              </w:rPr>
            </w:pPr>
          </w:p>
        </w:tc>
        <w:tc>
          <w:tcPr>
            <w:tcW w:w="1408" w:type="dxa"/>
            <w:vMerge w:val="continue"/>
            <w:vAlign w:val="center"/>
          </w:tcPr>
          <w:p w14:paraId="57A34E47">
            <w:pPr>
              <w:adjustRightInd w:val="0"/>
              <w:snapToGrid w:val="0"/>
              <w:jc w:val="center"/>
              <w:rPr>
                <w:rFonts w:ascii="Times New Roman" w:eastAsia="仿宋"/>
                <w:szCs w:val="24"/>
              </w:rPr>
            </w:pPr>
          </w:p>
        </w:tc>
        <w:tc>
          <w:tcPr>
            <w:tcW w:w="989" w:type="dxa"/>
            <w:vMerge w:val="continue"/>
            <w:vAlign w:val="center"/>
          </w:tcPr>
          <w:p w14:paraId="720FE540">
            <w:pPr>
              <w:adjustRightInd w:val="0"/>
              <w:snapToGrid w:val="0"/>
              <w:jc w:val="center"/>
              <w:rPr>
                <w:rFonts w:ascii="Times New Roman" w:eastAsia="仿宋"/>
                <w:szCs w:val="24"/>
              </w:rPr>
            </w:pPr>
          </w:p>
        </w:tc>
        <w:tc>
          <w:tcPr>
            <w:tcW w:w="1275" w:type="dxa"/>
            <w:vAlign w:val="center"/>
          </w:tcPr>
          <w:p w14:paraId="339F88BB">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6D8D2CCB">
            <w:pPr>
              <w:widowControl/>
              <w:jc w:val="center"/>
              <w:textAlignment w:val="center"/>
              <w:rPr>
                <w:rFonts w:ascii="Times New Roman" w:eastAsia="仿宋"/>
                <w:szCs w:val="24"/>
              </w:rPr>
            </w:pPr>
          </w:p>
        </w:tc>
        <w:tc>
          <w:tcPr>
            <w:tcW w:w="1559" w:type="dxa"/>
            <w:vAlign w:val="center"/>
          </w:tcPr>
          <w:p w14:paraId="26032C32">
            <w:pPr>
              <w:widowControl/>
              <w:jc w:val="center"/>
              <w:textAlignment w:val="center"/>
              <w:rPr>
                <w:rFonts w:ascii="Times New Roman" w:eastAsia="仿宋"/>
                <w:szCs w:val="24"/>
              </w:rPr>
            </w:pPr>
            <w:r>
              <w:rPr>
                <w:rFonts w:hint="eastAsia" w:ascii="Times New Roman" w:eastAsia="仿宋"/>
                <w:szCs w:val="24"/>
              </w:rPr>
              <w:t>41.42</w:t>
            </w:r>
          </w:p>
        </w:tc>
        <w:tc>
          <w:tcPr>
            <w:tcW w:w="1134" w:type="dxa"/>
            <w:vAlign w:val="center"/>
          </w:tcPr>
          <w:p w14:paraId="136C6A34">
            <w:pPr>
              <w:widowControl/>
              <w:jc w:val="center"/>
              <w:textAlignment w:val="center"/>
              <w:rPr>
                <w:rFonts w:ascii="Times New Roman" w:eastAsia="仿宋"/>
                <w:szCs w:val="24"/>
              </w:rPr>
            </w:pPr>
            <w:r>
              <w:rPr>
                <w:rFonts w:hint="eastAsia" w:ascii="Times New Roman" w:eastAsia="仿宋"/>
                <w:szCs w:val="24"/>
              </w:rPr>
              <w:t>0.87</w:t>
            </w:r>
          </w:p>
        </w:tc>
        <w:tc>
          <w:tcPr>
            <w:tcW w:w="993" w:type="dxa"/>
            <w:shd w:val="clear" w:color="auto" w:fill="auto"/>
            <w:vAlign w:val="center"/>
          </w:tcPr>
          <w:p w14:paraId="43CC2ADC">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559" w:type="dxa"/>
            <w:vMerge w:val="continue"/>
            <w:vAlign w:val="center"/>
          </w:tcPr>
          <w:p w14:paraId="0CC814C4">
            <w:pPr>
              <w:jc w:val="center"/>
              <w:rPr>
                <w:rFonts w:ascii="Times New Roman" w:eastAsia="仿宋"/>
                <w:szCs w:val="21"/>
              </w:rPr>
            </w:pPr>
          </w:p>
        </w:tc>
        <w:tc>
          <w:tcPr>
            <w:tcW w:w="850" w:type="dxa"/>
            <w:vMerge w:val="continue"/>
            <w:vAlign w:val="center"/>
          </w:tcPr>
          <w:p w14:paraId="3BCB48F5">
            <w:pPr>
              <w:adjustRightInd w:val="0"/>
              <w:snapToGrid w:val="0"/>
              <w:jc w:val="center"/>
              <w:rPr>
                <w:rFonts w:ascii="Times New Roman" w:eastAsia="仿宋"/>
                <w:szCs w:val="24"/>
              </w:rPr>
            </w:pPr>
          </w:p>
        </w:tc>
        <w:tc>
          <w:tcPr>
            <w:tcW w:w="709" w:type="dxa"/>
            <w:vMerge w:val="continue"/>
            <w:vAlign w:val="center"/>
          </w:tcPr>
          <w:p w14:paraId="798CFBCD">
            <w:pPr>
              <w:adjustRightInd w:val="0"/>
              <w:snapToGrid w:val="0"/>
              <w:jc w:val="center"/>
              <w:rPr>
                <w:rFonts w:ascii="Times New Roman" w:eastAsia="仿宋"/>
                <w:szCs w:val="24"/>
              </w:rPr>
            </w:pPr>
          </w:p>
        </w:tc>
        <w:tc>
          <w:tcPr>
            <w:tcW w:w="992" w:type="dxa"/>
            <w:vMerge w:val="continue"/>
            <w:vAlign w:val="center"/>
          </w:tcPr>
          <w:p w14:paraId="6899EB24">
            <w:pPr>
              <w:adjustRightInd w:val="0"/>
              <w:snapToGrid w:val="0"/>
              <w:jc w:val="center"/>
              <w:rPr>
                <w:rFonts w:ascii="Times New Roman" w:eastAsia="仿宋"/>
                <w:szCs w:val="21"/>
              </w:rPr>
            </w:pPr>
          </w:p>
        </w:tc>
        <w:tc>
          <w:tcPr>
            <w:tcW w:w="1051" w:type="dxa"/>
            <w:vMerge w:val="continue"/>
            <w:vAlign w:val="center"/>
          </w:tcPr>
          <w:p w14:paraId="57418A55">
            <w:pPr>
              <w:adjustRightInd w:val="0"/>
              <w:snapToGrid w:val="0"/>
              <w:jc w:val="center"/>
              <w:rPr>
                <w:rFonts w:ascii="Times New Roman" w:eastAsia="仿宋"/>
                <w:szCs w:val="21"/>
              </w:rPr>
            </w:pPr>
          </w:p>
        </w:tc>
      </w:tr>
      <w:tr w14:paraId="6958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4B73BA12">
            <w:pPr>
              <w:adjustRightInd w:val="0"/>
              <w:snapToGrid w:val="0"/>
              <w:jc w:val="center"/>
              <w:rPr>
                <w:rFonts w:ascii="Times New Roman" w:eastAsia="仿宋"/>
                <w:szCs w:val="24"/>
              </w:rPr>
            </w:pPr>
          </w:p>
        </w:tc>
        <w:tc>
          <w:tcPr>
            <w:tcW w:w="1408" w:type="dxa"/>
            <w:vMerge w:val="continue"/>
            <w:vAlign w:val="center"/>
          </w:tcPr>
          <w:p w14:paraId="6D2D6A56">
            <w:pPr>
              <w:adjustRightInd w:val="0"/>
              <w:snapToGrid w:val="0"/>
              <w:jc w:val="center"/>
              <w:rPr>
                <w:rFonts w:ascii="Times New Roman" w:eastAsia="仿宋"/>
                <w:szCs w:val="24"/>
              </w:rPr>
            </w:pPr>
          </w:p>
        </w:tc>
        <w:tc>
          <w:tcPr>
            <w:tcW w:w="989" w:type="dxa"/>
            <w:vMerge w:val="continue"/>
            <w:vAlign w:val="center"/>
          </w:tcPr>
          <w:p w14:paraId="636D3A43">
            <w:pPr>
              <w:adjustRightInd w:val="0"/>
              <w:snapToGrid w:val="0"/>
              <w:jc w:val="center"/>
              <w:rPr>
                <w:rFonts w:ascii="Times New Roman" w:eastAsia="仿宋"/>
                <w:szCs w:val="24"/>
              </w:rPr>
            </w:pPr>
          </w:p>
        </w:tc>
        <w:tc>
          <w:tcPr>
            <w:tcW w:w="1275" w:type="dxa"/>
            <w:vAlign w:val="center"/>
          </w:tcPr>
          <w:p w14:paraId="4FE10FFD">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43010663">
            <w:pPr>
              <w:widowControl/>
              <w:jc w:val="center"/>
              <w:textAlignment w:val="center"/>
              <w:rPr>
                <w:rFonts w:ascii="Times New Roman" w:eastAsia="仿宋"/>
                <w:szCs w:val="24"/>
              </w:rPr>
            </w:pPr>
          </w:p>
        </w:tc>
        <w:tc>
          <w:tcPr>
            <w:tcW w:w="1559" w:type="dxa"/>
            <w:vAlign w:val="center"/>
          </w:tcPr>
          <w:p w14:paraId="5C9E4D03">
            <w:pPr>
              <w:widowControl/>
              <w:jc w:val="center"/>
              <w:textAlignment w:val="center"/>
              <w:rPr>
                <w:rFonts w:ascii="Times New Roman" w:eastAsia="仿宋"/>
                <w:szCs w:val="24"/>
              </w:rPr>
            </w:pPr>
            <w:r>
              <w:rPr>
                <w:rFonts w:hint="eastAsia" w:ascii="Times New Roman" w:eastAsia="仿宋"/>
                <w:szCs w:val="24"/>
              </w:rPr>
              <w:t>41.42</w:t>
            </w:r>
          </w:p>
        </w:tc>
        <w:tc>
          <w:tcPr>
            <w:tcW w:w="1134" w:type="dxa"/>
            <w:vAlign w:val="center"/>
          </w:tcPr>
          <w:p w14:paraId="3C03F0B2">
            <w:pPr>
              <w:widowControl/>
              <w:jc w:val="center"/>
              <w:textAlignment w:val="center"/>
              <w:rPr>
                <w:rFonts w:ascii="Times New Roman" w:eastAsia="仿宋"/>
                <w:szCs w:val="24"/>
              </w:rPr>
            </w:pPr>
            <w:r>
              <w:rPr>
                <w:rFonts w:hint="eastAsia" w:ascii="Times New Roman" w:eastAsia="仿宋"/>
                <w:szCs w:val="24"/>
              </w:rPr>
              <w:t>0.87</w:t>
            </w:r>
          </w:p>
        </w:tc>
        <w:tc>
          <w:tcPr>
            <w:tcW w:w="993" w:type="dxa"/>
            <w:shd w:val="clear" w:color="auto" w:fill="auto"/>
            <w:vAlign w:val="center"/>
          </w:tcPr>
          <w:p w14:paraId="427A8805">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559" w:type="dxa"/>
            <w:vMerge w:val="continue"/>
            <w:vAlign w:val="center"/>
          </w:tcPr>
          <w:p w14:paraId="2886B5F2">
            <w:pPr>
              <w:jc w:val="center"/>
              <w:rPr>
                <w:rFonts w:ascii="Times New Roman" w:eastAsia="仿宋"/>
                <w:szCs w:val="21"/>
              </w:rPr>
            </w:pPr>
          </w:p>
        </w:tc>
        <w:tc>
          <w:tcPr>
            <w:tcW w:w="850" w:type="dxa"/>
            <w:vMerge w:val="continue"/>
            <w:vAlign w:val="center"/>
          </w:tcPr>
          <w:p w14:paraId="48E41F3A">
            <w:pPr>
              <w:adjustRightInd w:val="0"/>
              <w:snapToGrid w:val="0"/>
              <w:jc w:val="center"/>
              <w:rPr>
                <w:rFonts w:ascii="Times New Roman" w:eastAsia="仿宋"/>
                <w:szCs w:val="24"/>
              </w:rPr>
            </w:pPr>
          </w:p>
        </w:tc>
        <w:tc>
          <w:tcPr>
            <w:tcW w:w="709" w:type="dxa"/>
            <w:vMerge w:val="continue"/>
            <w:vAlign w:val="center"/>
          </w:tcPr>
          <w:p w14:paraId="168B70DE">
            <w:pPr>
              <w:adjustRightInd w:val="0"/>
              <w:snapToGrid w:val="0"/>
              <w:jc w:val="center"/>
              <w:rPr>
                <w:rFonts w:ascii="Times New Roman" w:eastAsia="仿宋"/>
                <w:szCs w:val="24"/>
              </w:rPr>
            </w:pPr>
          </w:p>
        </w:tc>
        <w:tc>
          <w:tcPr>
            <w:tcW w:w="992" w:type="dxa"/>
            <w:vMerge w:val="continue"/>
            <w:vAlign w:val="center"/>
          </w:tcPr>
          <w:p w14:paraId="46A8294B">
            <w:pPr>
              <w:adjustRightInd w:val="0"/>
              <w:snapToGrid w:val="0"/>
              <w:jc w:val="center"/>
              <w:rPr>
                <w:rFonts w:ascii="Times New Roman" w:eastAsia="仿宋"/>
                <w:szCs w:val="21"/>
              </w:rPr>
            </w:pPr>
          </w:p>
        </w:tc>
        <w:tc>
          <w:tcPr>
            <w:tcW w:w="1051" w:type="dxa"/>
            <w:vMerge w:val="continue"/>
            <w:vAlign w:val="center"/>
          </w:tcPr>
          <w:p w14:paraId="14E7B22F">
            <w:pPr>
              <w:adjustRightInd w:val="0"/>
              <w:snapToGrid w:val="0"/>
              <w:jc w:val="center"/>
              <w:rPr>
                <w:rFonts w:ascii="Times New Roman" w:eastAsia="仿宋"/>
                <w:szCs w:val="21"/>
              </w:rPr>
            </w:pPr>
          </w:p>
        </w:tc>
      </w:tr>
      <w:tr w14:paraId="2653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052B2D4D">
            <w:pPr>
              <w:adjustRightInd w:val="0"/>
              <w:snapToGrid w:val="0"/>
              <w:jc w:val="center"/>
              <w:rPr>
                <w:rFonts w:ascii="Times New Roman" w:eastAsia="仿宋"/>
                <w:szCs w:val="24"/>
              </w:rPr>
            </w:pPr>
          </w:p>
        </w:tc>
        <w:tc>
          <w:tcPr>
            <w:tcW w:w="1408" w:type="dxa"/>
            <w:vMerge w:val="restart"/>
            <w:vAlign w:val="center"/>
          </w:tcPr>
          <w:p w14:paraId="27A63E07">
            <w:pPr>
              <w:adjustRightInd w:val="0"/>
              <w:snapToGrid w:val="0"/>
              <w:jc w:val="center"/>
              <w:rPr>
                <w:rFonts w:ascii="Times New Roman" w:eastAsia="仿宋"/>
                <w:szCs w:val="24"/>
              </w:rPr>
            </w:pPr>
            <w:r>
              <w:rPr>
                <w:rFonts w:hint="eastAsia" w:ascii="Times New Roman" w:eastAsia="仿宋"/>
                <w:szCs w:val="24"/>
              </w:rPr>
              <w:t>氟碳面漆烘干废气G1</w:t>
            </w:r>
            <w:r>
              <w:rPr>
                <w:rFonts w:ascii="Times New Roman" w:eastAsia="仿宋"/>
                <w:szCs w:val="24"/>
              </w:rPr>
              <w:t>6</w:t>
            </w:r>
          </w:p>
        </w:tc>
        <w:tc>
          <w:tcPr>
            <w:tcW w:w="989" w:type="dxa"/>
            <w:vMerge w:val="continue"/>
            <w:vAlign w:val="center"/>
          </w:tcPr>
          <w:p w14:paraId="45CE2706">
            <w:pPr>
              <w:adjustRightInd w:val="0"/>
              <w:snapToGrid w:val="0"/>
              <w:jc w:val="center"/>
              <w:rPr>
                <w:rFonts w:ascii="Times New Roman" w:eastAsia="仿宋"/>
                <w:szCs w:val="24"/>
              </w:rPr>
            </w:pPr>
          </w:p>
        </w:tc>
        <w:tc>
          <w:tcPr>
            <w:tcW w:w="1275" w:type="dxa"/>
            <w:vAlign w:val="center"/>
          </w:tcPr>
          <w:p w14:paraId="00F71B50">
            <w:pPr>
              <w:jc w:val="center"/>
              <w:rPr>
                <w:rFonts w:ascii="Times New Roman" w:eastAsia="仿宋"/>
                <w:szCs w:val="21"/>
              </w:rPr>
            </w:pPr>
            <w:r>
              <w:rPr>
                <w:rFonts w:hint="eastAsia" w:ascii="Times New Roman" w:eastAsia="仿宋"/>
                <w:szCs w:val="21"/>
              </w:rPr>
              <w:t>非甲烷总烃</w:t>
            </w:r>
          </w:p>
        </w:tc>
        <w:tc>
          <w:tcPr>
            <w:tcW w:w="1276" w:type="dxa"/>
            <w:vMerge w:val="continue"/>
            <w:vAlign w:val="center"/>
          </w:tcPr>
          <w:p w14:paraId="3328F8C8">
            <w:pPr>
              <w:widowControl/>
              <w:jc w:val="center"/>
              <w:textAlignment w:val="center"/>
              <w:rPr>
                <w:rFonts w:ascii="Times New Roman" w:eastAsia="仿宋"/>
                <w:szCs w:val="24"/>
              </w:rPr>
            </w:pPr>
          </w:p>
        </w:tc>
        <w:tc>
          <w:tcPr>
            <w:tcW w:w="1559" w:type="dxa"/>
            <w:vAlign w:val="center"/>
          </w:tcPr>
          <w:p w14:paraId="731B4534">
            <w:pPr>
              <w:widowControl/>
              <w:jc w:val="center"/>
              <w:textAlignment w:val="center"/>
              <w:rPr>
                <w:rFonts w:ascii="Times New Roman" w:eastAsia="仿宋"/>
                <w:szCs w:val="24"/>
              </w:rPr>
            </w:pPr>
            <w:r>
              <w:rPr>
                <w:rFonts w:hint="eastAsia" w:ascii="Times New Roman" w:eastAsia="仿宋"/>
                <w:szCs w:val="24"/>
              </w:rPr>
              <w:t>237.14</w:t>
            </w:r>
          </w:p>
        </w:tc>
        <w:tc>
          <w:tcPr>
            <w:tcW w:w="1134" w:type="dxa"/>
            <w:vAlign w:val="center"/>
          </w:tcPr>
          <w:p w14:paraId="0EBCAC30">
            <w:pPr>
              <w:widowControl/>
              <w:jc w:val="center"/>
              <w:textAlignment w:val="center"/>
              <w:rPr>
                <w:rFonts w:ascii="Times New Roman" w:eastAsia="仿宋"/>
                <w:szCs w:val="24"/>
              </w:rPr>
            </w:pPr>
            <w:r>
              <w:rPr>
                <w:rFonts w:hint="eastAsia" w:ascii="Times New Roman" w:eastAsia="仿宋"/>
                <w:szCs w:val="24"/>
              </w:rPr>
              <w:t>4.98</w:t>
            </w:r>
          </w:p>
        </w:tc>
        <w:tc>
          <w:tcPr>
            <w:tcW w:w="993" w:type="dxa"/>
            <w:vAlign w:val="center"/>
          </w:tcPr>
          <w:p w14:paraId="00126ADB">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559" w:type="dxa"/>
            <w:vMerge w:val="continue"/>
            <w:vAlign w:val="center"/>
          </w:tcPr>
          <w:p w14:paraId="7E3DE3C1">
            <w:pPr>
              <w:jc w:val="center"/>
              <w:rPr>
                <w:rFonts w:ascii="Times New Roman" w:eastAsia="仿宋"/>
                <w:szCs w:val="21"/>
              </w:rPr>
            </w:pPr>
          </w:p>
        </w:tc>
        <w:tc>
          <w:tcPr>
            <w:tcW w:w="850" w:type="dxa"/>
            <w:vMerge w:val="continue"/>
            <w:vAlign w:val="center"/>
          </w:tcPr>
          <w:p w14:paraId="68C6CAB1">
            <w:pPr>
              <w:adjustRightInd w:val="0"/>
              <w:snapToGrid w:val="0"/>
              <w:jc w:val="center"/>
              <w:rPr>
                <w:rFonts w:ascii="Times New Roman" w:eastAsia="仿宋"/>
                <w:szCs w:val="24"/>
              </w:rPr>
            </w:pPr>
          </w:p>
        </w:tc>
        <w:tc>
          <w:tcPr>
            <w:tcW w:w="709" w:type="dxa"/>
            <w:vMerge w:val="continue"/>
            <w:vAlign w:val="center"/>
          </w:tcPr>
          <w:p w14:paraId="446CCC75">
            <w:pPr>
              <w:adjustRightInd w:val="0"/>
              <w:snapToGrid w:val="0"/>
              <w:jc w:val="center"/>
              <w:rPr>
                <w:rFonts w:ascii="Times New Roman" w:eastAsia="仿宋"/>
                <w:szCs w:val="24"/>
              </w:rPr>
            </w:pPr>
          </w:p>
        </w:tc>
        <w:tc>
          <w:tcPr>
            <w:tcW w:w="992" w:type="dxa"/>
            <w:vMerge w:val="continue"/>
            <w:vAlign w:val="center"/>
          </w:tcPr>
          <w:p w14:paraId="6C76B15A">
            <w:pPr>
              <w:adjustRightInd w:val="0"/>
              <w:snapToGrid w:val="0"/>
              <w:jc w:val="center"/>
              <w:rPr>
                <w:rFonts w:ascii="Times New Roman" w:eastAsia="仿宋"/>
                <w:szCs w:val="21"/>
              </w:rPr>
            </w:pPr>
          </w:p>
        </w:tc>
        <w:tc>
          <w:tcPr>
            <w:tcW w:w="1051" w:type="dxa"/>
            <w:vMerge w:val="continue"/>
            <w:vAlign w:val="center"/>
          </w:tcPr>
          <w:p w14:paraId="38D6B163">
            <w:pPr>
              <w:adjustRightInd w:val="0"/>
              <w:snapToGrid w:val="0"/>
              <w:jc w:val="center"/>
              <w:rPr>
                <w:rFonts w:ascii="Times New Roman" w:eastAsia="仿宋"/>
                <w:szCs w:val="21"/>
              </w:rPr>
            </w:pPr>
          </w:p>
        </w:tc>
      </w:tr>
      <w:tr w14:paraId="2478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2AC1DAC6">
            <w:pPr>
              <w:adjustRightInd w:val="0"/>
              <w:snapToGrid w:val="0"/>
              <w:jc w:val="center"/>
              <w:rPr>
                <w:rFonts w:ascii="Times New Roman" w:eastAsia="仿宋"/>
                <w:szCs w:val="24"/>
              </w:rPr>
            </w:pPr>
          </w:p>
        </w:tc>
        <w:tc>
          <w:tcPr>
            <w:tcW w:w="1408" w:type="dxa"/>
            <w:vMerge w:val="continue"/>
            <w:vAlign w:val="center"/>
          </w:tcPr>
          <w:p w14:paraId="754AEE5F">
            <w:pPr>
              <w:adjustRightInd w:val="0"/>
              <w:snapToGrid w:val="0"/>
              <w:jc w:val="center"/>
              <w:rPr>
                <w:rFonts w:ascii="Times New Roman" w:eastAsia="仿宋"/>
                <w:szCs w:val="24"/>
              </w:rPr>
            </w:pPr>
          </w:p>
        </w:tc>
        <w:tc>
          <w:tcPr>
            <w:tcW w:w="989" w:type="dxa"/>
            <w:vMerge w:val="continue"/>
            <w:vAlign w:val="center"/>
          </w:tcPr>
          <w:p w14:paraId="05E23E57">
            <w:pPr>
              <w:adjustRightInd w:val="0"/>
              <w:snapToGrid w:val="0"/>
              <w:jc w:val="center"/>
              <w:rPr>
                <w:rFonts w:ascii="Times New Roman" w:eastAsia="仿宋"/>
                <w:szCs w:val="24"/>
              </w:rPr>
            </w:pPr>
          </w:p>
        </w:tc>
        <w:tc>
          <w:tcPr>
            <w:tcW w:w="1275" w:type="dxa"/>
            <w:vAlign w:val="center"/>
          </w:tcPr>
          <w:p w14:paraId="07EF8A2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276" w:type="dxa"/>
            <w:vMerge w:val="continue"/>
            <w:vAlign w:val="center"/>
          </w:tcPr>
          <w:p w14:paraId="6CCE76EA">
            <w:pPr>
              <w:widowControl/>
              <w:jc w:val="center"/>
              <w:textAlignment w:val="center"/>
              <w:rPr>
                <w:rFonts w:ascii="Times New Roman" w:eastAsia="仿宋"/>
                <w:szCs w:val="24"/>
              </w:rPr>
            </w:pPr>
          </w:p>
        </w:tc>
        <w:tc>
          <w:tcPr>
            <w:tcW w:w="1559" w:type="dxa"/>
            <w:vAlign w:val="center"/>
          </w:tcPr>
          <w:p w14:paraId="0E8C4C24">
            <w:pPr>
              <w:widowControl/>
              <w:jc w:val="center"/>
              <w:textAlignment w:val="center"/>
              <w:rPr>
                <w:rFonts w:ascii="Times New Roman" w:eastAsia="仿宋"/>
                <w:szCs w:val="24"/>
              </w:rPr>
            </w:pPr>
            <w:r>
              <w:rPr>
                <w:rFonts w:hint="eastAsia" w:ascii="Times New Roman" w:eastAsia="仿宋"/>
                <w:szCs w:val="24"/>
              </w:rPr>
              <w:t>237.14</w:t>
            </w:r>
          </w:p>
        </w:tc>
        <w:tc>
          <w:tcPr>
            <w:tcW w:w="1134" w:type="dxa"/>
            <w:vAlign w:val="center"/>
          </w:tcPr>
          <w:p w14:paraId="56398969">
            <w:pPr>
              <w:widowControl/>
              <w:jc w:val="center"/>
              <w:textAlignment w:val="center"/>
              <w:rPr>
                <w:rFonts w:ascii="Times New Roman" w:eastAsia="仿宋"/>
                <w:szCs w:val="24"/>
              </w:rPr>
            </w:pPr>
            <w:r>
              <w:rPr>
                <w:rFonts w:hint="eastAsia" w:ascii="Times New Roman" w:eastAsia="仿宋"/>
                <w:szCs w:val="24"/>
              </w:rPr>
              <w:t>4.98</w:t>
            </w:r>
          </w:p>
        </w:tc>
        <w:tc>
          <w:tcPr>
            <w:tcW w:w="993" w:type="dxa"/>
            <w:vAlign w:val="center"/>
          </w:tcPr>
          <w:p w14:paraId="1F62DAB1">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559" w:type="dxa"/>
            <w:vMerge w:val="continue"/>
            <w:vAlign w:val="center"/>
          </w:tcPr>
          <w:p w14:paraId="281F8D76">
            <w:pPr>
              <w:jc w:val="center"/>
              <w:rPr>
                <w:rFonts w:ascii="Times New Roman" w:eastAsia="仿宋"/>
                <w:szCs w:val="21"/>
              </w:rPr>
            </w:pPr>
          </w:p>
        </w:tc>
        <w:tc>
          <w:tcPr>
            <w:tcW w:w="850" w:type="dxa"/>
            <w:vMerge w:val="continue"/>
            <w:vAlign w:val="center"/>
          </w:tcPr>
          <w:p w14:paraId="3A22E481">
            <w:pPr>
              <w:adjustRightInd w:val="0"/>
              <w:snapToGrid w:val="0"/>
              <w:jc w:val="center"/>
              <w:rPr>
                <w:rFonts w:ascii="Times New Roman" w:eastAsia="仿宋"/>
                <w:szCs w:val="24"/>
              </w:rPr>
            </w:pPr>
          </w:p>
        </w:tc>
        <w:tc>
          <w:tcPr>
            <w:tcW w:w="709" w:type="dxa"/>
            <w:vMerge w:val="continue"/>
            <w:vAlign w:val="center"/>
          </w:tcPr>
          <w:p w14:paraId="35D163AF">
            <w:pPr>
              <w:adjustRightInd w:val="0"/>
              <w:snapToGrid w:val="0"/>
              <w:jc w:val="center"/>
              <w:rPr>
                <w:rFonts w:ascii="Times New Roman" w:eastAsia="仿宋"/>
                <w:szCs w:val="24"/>
              </w:rPr>
            </w:pPr>
          </w:p>
        </w:tc>
        <w:tc>
          <w:tcPr>
            <w:tcW w:w="992" w:type="dxa"/>
            <w:vMerge w:val="continue"/>
            <w:vAlign w:val="center"/>
          </w:tcPr>
          <w:p w14:paraId="3D1E3028">
            <w:pPr>
              <w:adjustRightInd w:val="0"/>
              <w:snapToGrid w:val="0"/>
              <w:jc w:val="center"/>
              <w:rPr>
                <w:rFonts w:ascii="Times New Roman" w:eastAsia="仿宋"/>
                <w:szCs w:val="21"/>
              </w:rPr>
            </w:pPr>
          </w:p>
        </w:tc>
        <w:tc>
          <w:tcPr>
            <w:tcW w:w="1051" w:type="dxa"/>
            <w:vMerge w:val="continue"/>
            <w:vAlign w:val="center"/>
          </w:tcPr>
          <w:p w14:paraId="1CBA45DD">
            <w:pPr>
              <w:adjustRightInd w:val="0"/>
              <w:snapToGrid w:val="0"/>
              <w:jc w:val="center"/>
              <w:rPr>
                <w:rFonts w:ascii="Times New Roman" w:eastAsia="仿宋"/>
                <w:szCs w:val="21"/>
              </w:rPr>
            </w:pPr>
          </w:p>
        </w:tc>
      </w:tr>
      <w:tr w14:paraId="5CDF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23CDA443">
            <w:pPr>
              <w:adjustRightInd w:val="0"/>
              <w:snapToGrid w:val="0"/>
              <w:jc w:val="center"/>
              <w:rPr>
                <w:rFonts w:ascii="Times New Roman" w:eastAsia="仿宋"/>
                <w:szCs w:val="24"/>
              </w:rPr>
            </w:pPr>
          </w:p>
        </w:tc>
        <w:tc>
          <w:tcPr>
            <w:tcW w:w="1408" w:type="dxa"/>
            <w:vMerge w:val="continue"/>
            <w:vAlign w:val="center"/>
          </w:tcPr>
          <w:p w14:paraId="2F4F7A76">
            <w:pPr>
              <w:adjustRightInd w:val="0"/>
              <w:snapToGrid w:val="0"/>
              <w:jc w:val="center"/>
              <w:rPr>
                <w:rFonts w:ascii="Times New Roman" w:eastAsia="仿宋"/>
                <w:szCs w:val="24"/>
              </w:rPr>
            </w:pPr>
          </w:p>
        </w:tc>
        <w:tc>
          <w:tcPr>
            <w:tcW w:w="989" w:type="dxa"/>
            <w:vMerge w:val="continue"/>
            <w:vAlign w:val="center"/>
          </w:tcPr>
          <w:p w14:paraId="40F63AFF">
            <w:pPr>
              <w:adjustRightInd w:val="0"/>
              <w:snapToGrid w:val="0"/>
              <w:jc w:val="center"/>
              <w:rPr>
                <w:rFonts w:ascii="Times New Roman" w:eastAsia="仿宋"/>
                <w:szCs w:val="24"/>
              </w:rPr>
            </w:pPr>
          </w:p>
        </w:tc>
        <w:tc>
          <w:tcPr>
            <w:tcW w:w="1275" w:type="dxa"/>
            <w:vAlign w:val="center"/>
          </w:tcPr>
          <w:p w14:paraId="0F7BC483">
            <w:pPr>
              <w:jc w:val="center"/>
              <w:rPr>
                <w:rFonts w:ascii="Times New Roman" w:eastAsia="仿宋"/>
                <w:szCs w:val="21"/>
              </w:rPr>
            </w:pPr>
            <w:r>
              <w:rPr>
                <w:rFonts w:hint="eastAsia" w:ascii="Times New Roman" w:eastAsia="仿宋"/>
                <w:szCs w:val="21"/>
              </w:rPr>
              <w:t>二甲苯</w:t>
            </w:r>
          </w:p>
        </w:tc>
        <w:tc>
          <w:tcPr>
            <w:tcW w:w="1276" w:type="dxa"/>
            <w:vMerge w:val="continue"/>
            <w:vAlign w:val="center"/>
          </w:tcPr>
          <w:p w14:paraId="67BA985A">
            <w:pPr>
              <w:widowControl/>
              <w:jc w:val="center"/>
              <w:textAlignment w:val="center"/>
              <w:rPr>
                <w:rFonts w:ascii="Times New Roman" w:eastAsia="仿宋"/>
                <w:szCs w:val="24"/>
              </w:rPr>
            </w:pPr>
          </w:p>
        </w:tc>
        <w:tc>
          <w:tcPr>
            <w:tcW w:w="1559" w:type="dxa"/>
            <w:vAlign w:val="center"/>
          </w:tcPr>
          <w:p w14:paraId="134ECF77">
            <w:pPr>
              <w:widowControl/>
              <w:jc w:val="center"/>
              <w:textAlignment w:val="center"/>
              <w:rPr>
                <w:rFonts w:ascii="Times New Roman" w:eastAsia="仿宋"/>
                <w:szCs w:val="24"/>
              </w:rPr>
            </w:pPr>
            <w:r>
              <w:rPr>
                <w:rFonts w:hint="eastAsia" w:ascii="Times New Roman" w:eastAsia="仿宋"/>
                <w:szCs w:val="24"/>
              </w:rPr>
              <w:t>54.76</w:t>
            </w:r>
          </w:p>
        </w:tc>
        <w:tc>
          <w:tcPr>
            <w:tcW w:w="1134" w:type="dxa"/>
            <w:vAlign w:val="center"/>
          </w:tcPr>
          <w:p w14:paraId="2B91ECE1">
            <w:pPr>
              <w:widowControl/>
              <w:jc w:val="center"/>
              <w:textAlignment w:val="center"/>
              <w:rPr>
                <w:rFonts w:ascii="Times New Roman" w:eastAsia="仿宋"/>
                <w:szCs w:val="24"/>
              </w:rPr>
            </w:pPr>
            <w:r>
              <w:rPr>
                <w:rFonts w:hint="eastAsia" w:ascii="Times New Roman" w:eastAsia="仿宋"/>
                <w:szCs w:val="24"/>
              </w:rPr>
              <w:t>1.15</w:t>
            </w:r>
          </w:p>
        </w:tc>
        <w:tc>
          <w:tcPr>
            <w:tcW w:w="993" w:type="dxa"/>
            <w:vAlign w:val="center"/>
          </w:tcPr>
          <w:p w14:paraId="552DC6F0">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559" w:type="dxa"/>
            <w:vMerge w:val="continue"/>
            <w:vAlign w:val="center"/>
          </w:tcPr>
          <w:p w14:paraId="0089D654">
            <w:pPr>
              <w:jc w:val="center"/>
              <w:rPr>
                <w:rFonts w:ascii="Times New Roman" w:eastAsia="仿宋"/>
                <w:szCs w:val="21"/>
              </w:rPr>
            </w:pPr>
          </w:p>
        </w:tc>
        <w:tc>
          <w:tcPr>
            <w:tcW w:w="850" w:type="dxa"/>
            <w:vMerge w:val="continue"/>
            <w:vAlign w:val="center"/>
          </w:tcPr>
          <w:p w14:paraId="768C05CE">
            <w:pPr>
              <w:adjustRightInd w:val="0"/>
              <w:snapToGrid w:val="0"/>
              <w:jc w:val="center"/>
              <w:rPr>
                <w:rFonts w:ascii="Times New Roman" w:eastAsia="仿宋"/>
                <w:szCs w:val="24"/>
              </w:rPr>
            </w:pPr>
          </w:p>
        </w:tc>
        <w:tc>
          <w:tcPr>
            <w:tcW w:w="709" w:type="dxa"/>
            <w:vMerge w:val="continue"/>
            <w:vAlign w:val="center"/>
          </w:tcPr>
          <w:p w14:paraId="7EDB2F6D">
            <w:pPr>
              <w:adjustRightInd w:val="0"/>
              <w:snapToGrid w:val="0"/>
              <w:jc w:val="center"/>
              <w:rPr>
                <w:rFonts w:ascii="Times New Roman" w:eastAsia="仿宋"/>
                <w:szCs w:val="24"/>
              </w:rPr>
            </w:pPr>
          </w:p>
        </w:tc>
        <w:tc>
          <w:tcPr>
            <w:tcW w:w="992" w:type="dxa"/>
            <w:vMerge w:val="continue"/>
            <w:vAlign w:val="center"/>
          </w:tcPr>
          <w:p w14:paraId="4AA1CB92">
            <w:pPr>
              <w:adjustRightInd w:val="0"/>
              <w:snapToGrid w:val="0"/>
              <w:jc w:val="center"/>
              <w:rPr>
                <w:rFonts w:ascii="Times New Roman" w:eastAsia="仿宋"/>
                <w:szCs w:val="21"/>
              </w:rPr>
            </w:pPr>
          </w:p>
        </w:tc>
        <w:tc>
          <w:tcPr>
            <w:tcW w:w="1051" w:type="dxa"/>
            <w:vMerge w:val="continue"/>
            <w:vAlign w:val="center"/>
          </w:tcPr>
          <w:p w14:paraId="4DC5F1E0">
            <w:pPr>
              <w:adjustRightInd w:val="0"/>
              <w:snapToGrid w:val="0"/>
              <w:jc w:val="center"/>
              <w:rPr>
                <w:rFonts w:ascii="Times New Roman" w:eastAsia="仿宋"/>
                <w:szCs w:val="21"/>
              </w:rPr>
            </w:pPr>
          </w:p>
        </w:tc>
      </w:tr>
      <w:tr w14:paraId="54AE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17AC00E5">
            <w:pPr>
              <w:adjustRightInd w:val="0"/>
              <w:snapToGrid w:val="0"/>
              <w:jc w:val="center"/>
              <w:rPr>
                <w:rFonts w:ascii="Times New Roman" w:eastAsia="仿宋"/>
                <w:szCs w:val="24"/>
              </w:rPr>
            </w:pPr>
          </w:p>
        </w:tc>
        <w:tc>
          <w:tcPr>
            <w:tcW w:w="1408" w:type="dxa"/>
            <w:vMerge w:val="continue"/>
            <w:vAlign w:val="center"/>
          </w:tcPr>
          <w:p w14:paraId="67000FB0">
            <w:pPr>
              <w:adjustRightInd w:val="0"/>
              <w:snapToGrid w:val="0"/>
              <w:jc w:val="center"/>
              <w:rPr>
                <w:rFonts w:ascii="Times New Roman" w:eastAsia="仿宋"/>
                <w:szCs w:val="24"/>
              </w:rPr>
            </w:pPr>
          </w:p>
        </w:tc>
        <w:tc>
          <w:tcPr>
            <w:tcW w:w="989" w:type="dxa"/>
            <w:vMerge w:val="continue"/>
            <w:vAlign w:val="center"/>
          </w:tcPr>
          <w:p w14:paraId="29C3F3C0">
            <w:pPr>
              <w:adjustRightInd w:val="0"/>
              <w:snapToGrid w:val="0"/>
              <w:jc w:val="center"/>
              <w:rPr>
                <w:rFonts w:ascii="Times New Roman" w:eastAsia="仿宋"/>
                <w:szCs w:val="24"/>
              </w:rPr>
            </w:pPr>
          </w:p>
        </w:tc>
        <w:tc>
          <w:tcPr>
            <w:tcW w:w="1275" w:type="dxa"/>
            <w:vAlign w:val="center"/>
          </w:tcPr>
          <w:p w14:paraId="4FEA83EE">
            <w:pPr>
              <w:jc w:val="center"/>
              <w:rPr>
                <w:rFonts w:ascii="Times New Roman" w:eastAsia="仿宋"/>
                <w:szCs w:val="21"/>
              </w:rPr>
            </w:pPr>
            <w:r>
              <w:rPr>
                <w:rFonts w:hint="eastAsia" w:ascii="Times New Roman" w:eastAsia="仿宋"/>
                <w:szCs w:val="21"/>
              </w:rPr>
              <w:t>苯系物</w:t>
            </w:r>
          </w:p>
        </w:tc>
        <w:tc>
          <w:tcPr>
            <w:tcW w:w="1276" w:type="dxa"/>
            <w:vMerge w:val="continue"/>
            <w:vAlign w:val="center"/>
          </w:tcPr>
          <w:p w14:paraId="38E236E0">
            <w:pPr>
              <w:widowControl/>
              <w:jc w:val="center"/>
              <w:textAlignment w:val="center"/>
              <w:rPr>
                <w:rFonts w:ascii="Times New Roman" w:eastAsia="仿宋"/>
                <w:szCs w:val="24"/>
              </w:rPr>
            </w:pPr>
          </w:p>
        </w:tc>
        <w:tc>
          <w:tcPr>
            <w:tcW w:w="1559" w:type="dxa"/>
            <w:vAlign w:val="center"/>
          </w:tcPr>
          <w:p w14:paraId="3F9292C5">
            <w:pPr>
              <w:widowControl/>
              <w:jc w:val="center"/>
              <w:textAlignment w:val="center"/>
              <w:rPr>
                <w:rFonts w:ascii="Times New Roman" w:eastAsia="仿宋"/>
                <w:szCs w:val="24"/>
              </w:rPr>
            </w:pPr>
            <w:r>
              <w:rPr>
                <w:rFonts w:hint="eastAsia" w:ascii="Times New Roman" w:eastAsia="仿宋"/>
                <w:szCs w:val="24"/>
              </w:rPr>
              <w:t>54.76</w:t>
            </w:r>
          </w:p>
        </w:tc>
        <w:tc>
          <w:tcPr>
            <w:tcW w:w="1134" w:type="dxa"/>
            <w:vAlign w:val="center"/>
          </w:tcPr>
          <w:p w14:paraId="36509706">
            <w:pPr>
              <w:widowControl/>
              <w:jc w:val="center"/>
              <w:textAlignment w:val="center"/>
              <w:rPr>
                <w:rFonts w:ascii="Times New Roman" w:eastAsia="仿宋"/>
                <w:szCs w:val="24"/>
              </w:rPr>
            </w:pPr>
            <w:r>
              <w:rPr>
                <w:rFonts w:hint="eastAsia" w:ascii="Times New Roman" w:eastAsia="仿宋"/>
                <w:szCs w:val="24"/>
              </w:rPr>
              <w:t>1.15</w:t>
            </w:r>
          </w:p>
        </w:tc>
        <w:tc>
          <w:tcPr>
            <w:tcW w:w="993" w:type="dxa"/>
            <w:vAlign w:val="center"/>
          </w:tcPr>
          <w:p w14:paraId="50E7A454">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559" w:type="dxa"/>
            <w:vMerge w:val="continue"/>
            <w:vAlign w:val="center"/>
          </w:tcPr>
          <w:p w14:paraId="3CC40A4A">
            <w:pPr>
              <w:jc w:val="center"/>
              <w:rPr>
                <w:rFonts w:ascii="Times New Roman" w:eastAsia="仿宋"/>
                <w:szCs w:val="21"/>
              </w:rPr>
            </w:pPr>
          </w:p>
        </w:tc>
        <w:tc>
          <w:tcPr>
            <w:tcW w:w="850" w:type="dxa"/>
            <w:vMerge w:val="continue"/>
            <w:vAlign w:val="center"/>
          </w:tcPr>
          <w:p w14:paraId="5FA2F585">
            <w:pPr>
              <w:adjustRightInd w:val="0"/>
              <w:snapToGrid w:val="0"/>
              <w:jc w:val="center"/>
              <w:rPr>
                <w:rFonts w:ascii="Times New Roman" w:eastAsia="仿宋"/>
                <w:szCs w:val="24"/>
              </w:rPr>
            </w:pPr>
          </w:p>
        </w:tc>
        <w:tc>
          <w:tcPr>
            <w:tcW w:w="709" w:type="dxa"/>
            <w:vMerge w:val="continue"/>
            <w:vAlign w:val="center"/>
          </w:tcPr>
          <w:p w14:paraId="3BAE8F05">
            <w:pPr>
              <w:adjustRightInd w:val="0"/>
              <w:snapToGrid w:val="0"/>
              <w:jc w:val="center"/>
              <w:rPr>
                <w:rFonts w:ascii="Times New Roman" w:eastAsia="仿宋"/>
                <w:szCs w:val="24"/>
              </w:rPr>
            </w:pPr>
          </w:p>
        </w:tc>
        <w:tc>
          <w:tcPr>
            <w:tcW w:w="992" w:type="dxa"/>
            <w:vMerge w:val="continue"/>
            <w:vAlign w:val="center"/>
          </w:tcPr>
          <w:p w14:paraId="5B3A6756">
            <w:pPr>
              <w:adjustRightInd w:val="0"/>
              <w:snapToGrid w:val="0"/>
              <w:jc w:val="center"/>
              <w:rPr>
                <w:rFonts w:ascii="Times New Roman" w:eastAsia="仿宋"/>
                <w:szCs w:val="21"/>
              </w:rPr>
            </w:pPr>
          </w:p>
        </w:tc>
        <w:tc>
          <w:tcPr>
            <w:tcW w:w="1051" w:type="dxa"/>
            <w:vMerge w:val="continue"/>
            <w:vAlign w:val="center"/>
          </w:tcPr>
          <w:p w14:paraId="63460AC5">
            <w:pPr>
              <w:adjustRightInd w:val="0"/>
              <w:snapToGrid w:val="0"/>
              <w:jc w:val="center"/>
              <w:rPr>
                <w:rFonts w:ascii="Times New Roman" w:eastAsia="仿宋"/>
                <w:szCs w:val="21"/>
              </w:rPr>
            </w:pPr>
          </w:p>
        </w:tc>
      </w:tr>
      <w:tr w14:paraId="040B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7ED34099">
            <w:pPr>
              <w:adjustRightInd w:val="0"/>
              <w:snapToGrid w:val="0"/>
              <w:jc w:val="center"/>
              <w:rPr>
                <w:rFonts w:ascii="Times New Roman" w:eastAsia="仿宋"/>
                <w:szCs w:val="24"/>
              </w:rPr>
            </w:pPr>
          </w:p>
        </w:tc>
        <w:tc>
          <w:tcPr>
            <w:tcW w:w="1408" w:type="dxa"/>
            <w:vMerge w:val="restart"/>
            <w:vAlign w:val="center"/>
          </w:tcPr>
          <w:p w14:paraId="2F0B2A24">
            <w:pPr>
              <w:adjustRightInd w:val="0"/>
              <w:snapToGrid w:val="0"/>
              <w:jc w:val="center"/>
              <w:rPr>
                <w:rFonts w:ascii="Times New Roman" w:eastAsia="仿宋"/>
                <w:szCs w:val="24"/>
              </w:rPr>
            </w:pPr>
            <w:r>
              <w:rPr>
                <w:rFonts w:hint="eastAsia" w:ascii="Times New Roman" w:eastAsia="仿宋"/>
                <w:szCs w:val="24"/>
              </w:rPr>
              <w:t>天然气燃烧废气G8</w:t>
            </w:r>
          </w:p>
        </w:tc>
        <w:tc>
          <w:tcPr>
            <w:tcW w:w="989" w:type="dxa"/>
            <w:vMerge w:val="continue"/>
            <w:vAlign w:val="center"/>
          </w:tcPr>
          <w:p w14:paraId="2768EFDC">
            <w:pPr>
              <w:adjustRightInd w:val="0"/>
              <w:snapToGrid w:val="0"/>
              <w:jc w:val="center"/>
              <w:rPr>
                <w:rFonts w:ascii="Times New Roman" w:eastAsia="仿宋"/>
                <w:szCs w:val="24"/>
              </w:rPr>
            </w:pPr>
          </w:p>
        </w:tc>
        <w:tc>
          <w:tcPr>
            <w:tcW w:w="1275" w:type="dxa"/>
            <w:vAlign w:val="center"/>
          </w:tcPr>
          <w:p w14:paraId="5563AA96">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276" w:type="dxa"/>
            <w:vMerge w:val="restart"/>
            <w:vAlign w:val="center"/>
          </w:tcPr>
          <w:p w14:paraId="7C99CB6D">
            <w:pPr>
              <w:widowControl/>
              <w:jc w:val="center"/>
              <w:textAlignment w:val="center"/>
              <w:rPr>
                <w:rFonts w:ascii="Times New Roman" w:eastAsia="仿宋"/>
                <w:szCs w:val="24"/>
              </w:rPr>
            </w:pPr>
            <w:r>
              <w:rPr>
                <w:rFonts w:hint="eastAsia" w:ascii="Times New Roman" w:eastAsia="仿宋"/>
                <w:szCs w:val="24"/>
              </w:rPr>
              <w:t>系数法</w:t>
            </w:r>
          </w:p>
        </w:tc>
        <w:tc>
          <w:tcPr>
            <w:tcW w:w="1559" w:type="dxa"/>
            <w:vAlign w:val="center"/>
          </w:tcPr>
          <w:p w14:paraId="7A225E0A">
            <w:pPr>
              <w:widowControl/>
              <w:jc w:val="center"/>
              <w:textAlignment w:val="center"/>
              <w:rPr>
                <w:rFonts w:ascii="Times New Roman" w:eastAsia="仿宋"/>
                <w:szCs w:val="24"/>
              </w:rPr>
            </w:pPr>
            <w:r>
              <w:rPr>
                <w:rFonts w:hint="eastAsia" w:ascii="Times New Roman" w:eastAsia="仿宋"/>
                <w:szCs w:val="24"/>
              </w:rPr>
              <w:t>0.1</w:t>
            </w:r>
          </w:p>
        </w:tc>
        <w:tc>
          <w:tcPr>
            <w:tcW w:w="1134" w:type="dxa"/>
            <w:vAlign w:val="center"/>
          </w:tcPr>
          <w:p w14:paraId="785C5A0C">
            <w:pPr>
              <w:widowControl/>
              <w:jc w:val="center"/>
              <w:textAlignment w:val="center"/>
              <w:rPr>
                <w:rFonts w:ascii="Times New Roman" w:eastAsia="仿宋"/>
                <w:szCs w:val="24"/>
              </w:rPr>
            </w:pPr>
            <w:r>
              <w:rPr>
                <w:rFonts w:hint="eastAsia" w:ascii="Times New Roman" w:eastAsia="仿宋"/>
                <w:szCs w:val="24"/>
              </w:rPr>
              <w:t>0.002</w:t>
            </w:r>
          </w:p>
        </w:tc>
        <w:tc>
          <w:tcPr>
            <w:tcW w:w="993" w:type="dxa"/>
            <w:vAlign w:val="center"/>
          </w:tcPr>
          <w:p w14:paraId="5E8CC49D">
            <w:pPr>
              <w:widowControl/>
              <w:jc w:val="center"/>
              <w:textAlignment w:val="center"/>
              <w:rPr>
                <w:rFonts w:ascii="Times New Roman" w:eastAsia="仿宋"/>
                <w:szCs w:val="24"/>
              </w:rPr>
            </w:pPr>
            <w:r>
              <w:rPr>
                <w:rFonts w:hint="eastAsia" w:ascii="Times New Roman" w:eastAsia="仿宋"/>
                <w:szCs w:val="24"/>
              </w:rPr>
              <w:t>0.01</w:t>
            </w:r>
          </w:p>
        </w:tc>
        <w:tc>
          <w:tcPr>
            <w:tcW w:w="1559" w:type="dxa"/>
            <w:vMerge w:val="continue"/>
            <w:vAlign w:val="center"/>
          </w:tcPr>
          <w:p w14:paraId="52CFC382">
            <w:pPr>
              <w:adjustRightInd w:val="0"/>
              <w:snapToGrid w:val="0"/>
              <w:jc w:val="center"/>
              <w:rPr>
                <w:rFonts w:ascii="Times New Roman" w:eastAsia="仿宋"/>
                <w:szCs w:val="24"/>
              </w:rPr>
            </w:pPr>
          </w:p>
        </w:tc>
        <w:tc>
          <w:tcPr>
            <w:tcW w:w="850" w:type="dxa"/>
            <w:vMerge w:val="continue"/>
            <w:vAlign w:val="center"/>
          </w:tcPr>
          <w:p w14:paraId="284D509E">
            <w:pPr>
              <w:adjustRightInd w:val="0"/>
              <w:snapToGrid w:val="0"/>
              <w:jc w:val="center"/>
              <w:rPr>
                <w:rFonts w:ascii="Times New Roman" w:eastAsia="仿宋"/>
                <w:szCs w:val="24"/>
              </w:rPr>
            </w:pPr>
          </w:p>
        </w:tc>
        <w:tc>
          <w:tcPr>
            <w:tcW w:w="709" w:type="dxa"/>
            <w:vMerge w:val="continue"/>
            <w:vAlign w:val="center"/>
          </w:tcPr>
          <w:p w14:paraId="5C4B9751">
            <w:pPr>
              <w:adjustRightInd w:val="0"/>
              <w:snapToGrid w:val="0"/>
              <w:jc w:val="center"/>
              <w:rPr>
                <w:rFonts w:ascii="Times New Roman" w:eastAsia="仿宋"/>
                <w:szCs w:val="24"/>
              </w:rPr>
            </w:pPr>
          </w:p>
        </w:tc>
        <w:tc>
          <w:tcPr>
            <w:tcW w:w="992" w:type="dxa"/>
            <w:vMerge w:val="continue"/>
            <w:vAlign w:val="center"/>
          </w:tcPr>
          <w:p w14:paraId="25AC0D32">
            <w:pPr>
              <w:adjustRightInd w:val="0"/>
              <w:snapToGrid w:val="0"/>
              <w:jc w:val="center"/>
              <w:rPr>
                <w:rFonts w:ascii="Times New Roman" w:eastAsia="仿宋"/>
                <w:szCs w:val="21"/>
              </w:rPr>
            </w:pPr>
          </w:p>
        </w:tc>
        <w:tc>
          <w:tcPr>
            <w:tcW w:w="1051" w:type="dxa"/>
            <w:vMerge w:val="continue"/>
            <w:vAlign w:val="center"/>
          </w:tcPr>
          <w:p w14:paraId="2856D820">
            <w:pPr>
              <w:adjustRightInd w:val="0"/>
              <w:snapToGrid w:val="0"/>
              <w:jc w:val="center"/>
              <w:rPr>
                <w:rFonts w:ascii="Times New Roman" w:eastAsia="仿宋"/>
                <w:szCs w:val="21"/>
              </w:rPr>
            </w:pPr>
          </w:p>
        </w:tc>
      </w:tr>
      <w:tr w14:paraId="7553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584115A8">
            <w:pPr>
              <w:adjustRightInd w:val="0"/>
              <w:snapToGrid w:val="0"/>
              <w:jc w:val="center"/>
              <w:rPr>
                <w:rFonts w:ascii="Times New Roman" w:eastAsia="仿宋"/>
                <w:szCs w:val="24"/>
              </w:rPr>
            </w:pPr>
          </w:p>
        </w:tc>
        <w:tc>
          <w:tcPr>
            <w:tcW w:w="1408" w:type="dxa"/>
            <w:vMerge w:val="continue"/>
            <w:vAlign w:val="center"/>
          </w:tcPr>
          <w:p w14:paraId="51024195">
            <w:pPr>
              <w:adjustRightInd w:val="0"/>
              <w:snapToGrid w:val="0"/>
              <w:jc w:val="center"/>
              <w:rPr>
                <w:rFonts w:ascii="Times New Roman" w:eastAsia="仿宋"/>
                <w:szCs w:val="24"/>
              </w:rPr>
            </w:pPr>
          </w:p>
        </w:tc>
        <w:tc>
          <w:tcPr>
            <w:tcW w:w="989" w:type="dxa"/>
            <w:vMerge w:val="continue"/>
            <w:vAlign w:val="center"/>
          </w:tcPr>
          <w:p w14:paraId="4881D677">
            <w:pPr>
              <w:adjustRightInd w:val="0"/>
              <w:snapToGrid w:val="0"/>
              <w:jc w:val="center"/>
              <w:rPr>
                <w:rFonts w:ascii="Times New Roman" w:eastAsia="仿宋"/>
                <w:szCs w:val="24"/>
              </w:rPr>
            </w:pPr>
          </w:p>
        </w:tc>
        <w:tc>
          <w:tcPr>
            <w:tcW w:w="1275" w:type="dxa"/>
            <w:vAlign w:val="center"/>
          </w:tcPr>
          <w:p w14:paraId="1E96D67F">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276" w:type="dxa"/>
            <w:vMerge w:val="continue"/>
            <w:vAlign w:val="center"/>
          </w:tcPr>
          <w:p w14:paraId="2468D563">
            <w:pPr>
              <w:widowControl/>
              <w:jc w:val="center"/>
              <w:textAlignment w:val="center"/>
              <w:rPr>
                <w:rFonts w:ascii="Times New Roman" w:eastAsia="仿宋"/>
                <w:szCs w:val="24"/>
              </w:rPr>
            </w:pPr>
          </w:p>
        </w:tc>
        <w:tc>
          <w:tcPr>
            <w:tcW w:w="1559" w:type="dxa"/>
            <w:vAlign w:val="center"/>
          </w:tcPr>
          <w:p w14:paraId="6A6B267E">
            <w:pPr>
              <w:widowControl/>
              <w:jc w:val="center"/>
              <w:textAlignment w:val="center"/>
              <w:rPr>
                <w:rFonts w:ascii="Times New Roman" w:eastAsia="仿宋"/>
                <w:szCs w:val="24"/>
              </w:rPr>
            </w:pPr>
            <w:r>
              <w:rPr>
                <w:rFonts w:ascii="Times New Roman" w:eastAsia="仿宋"/>
                <w:szCs w:val="24"/>
              </w:rPr>
              <w:t>4.8</w:t>
            </w:r>
          </w:p>
        </w:tc>
        <w:tc>
          <w:tcPr>
            <w:tcW w:w="1134" w:type="dxa"/>
            <w:vAlign w:val="center"/>
          </w:tcPr>
          <w:p w14:paraId="48E2ED0B">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993" w:type="dxa"/>
            <w:vAlign w:val="center"/>
          </w:tcPr>
          <w:p w14:paraId="4FB4D669">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1559" w:type="dxa"/>
            <w:vMerge w:val="continue"/>
            <w:vAlign w:val="center"/>
          </w:tcPr>
          <w:p w14:paraId="0E249EF2">
            <w:pPr>
              <w:adjustRightInd w:val="0"/>
              <w:snapToGrid w:val="0"/>
              <w:jc w:val="center"/>
              <w:rPr>
                <w:rFonts w:ascii="Times New Roman" w:eastAsia="仿宋"/>
                <w:szCs w:val="24"/>
              </w:rPr>
            </w:pPr>
          </w:p>
        </w:tc>
        <w:tc>
          <w:tcPr>
            <w:tcW w:w="850" w:type="dxa"/>
            <w:vMerge w:val="continue"/>
            <w:vAlign w:val="center"/>
          </w:tcPr>
          <w:p w14:paraId="7C944486">
            <w:pPr>
              <w:adjustRightInd w:val="0"/>
              <w:snapToGrid w:val="0"/>
              <w:jc w:val="center"/>
              <w:rPr>
                <w:rFonts w:ascii="Times New Roman" w:eastAsia="仿宋"/>
                <w:szCs w:val="24"/>
              </w:rPr>
            </w:pPr>
          </w:p>
        </w:tc>
        <w:tc>
          <w:tcPr>
            <w:tcW w:w="709" w:type="dxa"/>
            <w:vMerge w:val="continue"/>
            <w:vAlign w:val="center"/>
          </w:tcPr>
          <w:p w14:paraId="5277A313">
            <w:pPr>
              <w:adjustRightInd w:val="0"/>
              <w:snapToGrid w:val="0"/>
              <w:jc w:val="center"/>
              <w:rPr>
                <w:rFonts w:ascii="Times New Roman" w:eastAsia="仿宋"/>
                <w:szCs w:val="24"/>
              </w:rPr>
            </w:pPr>
          </w:p>
        </w:tc>
        <w:tc>
          <w:tcPr>
            <w:tcW w:w="992" w:type="dxa"/>
            <w:vMerge w:val="continue"/>
            <w:vAlign w:val="center"/>
          </w:tcPr>
          <w:p w14:paraId="7037056A">
            <w:pPr>
              <w:adjustRightInd w:val="0"/>
              <w:snapToGrid w:val="0"/>
              <w:jc w:val="center"/>
              <w:rPr>
                <w:rFonts w:ascii="Times New Roman" w:eastAsia="仿宋"/>
                <w:szCs w:val="21"/>
              </w:rPr>
            </w:pPr>
          </w:p>
        </w:tc>
        <w:tc>
          <w:tcPr>
            <w:tcW w:w="1051" w:type="dxa"/>
            <w:vMerge w:val="continue"/>
            <w:vAlign w:val="center"/>
          </w:tcPr>
          <w:p w14:paraId="0C25FFC8">
            <w:pPr>
              <w:adjustRightInd w:val="0"/>
              <w:snapToGrid w:val="0"/>
              <w:jc w:val="center"/>
              <w:rPr>
                <w:rFonts w:ascii="Times New Roman" w:eastAsia="仿宋"/>
                <w:szCs w:val="21"/>
              </w:rPr>
            </w:pPr>
          </w:p>
        </w:tc>
      </w:tr>
      <w:tr w14:paraId="3AA5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4AF1518A">
            <w:pPr>
              <w:adjustRightInd w:val="0"/>
              <w:snapToGrid w:val="0"/>
              <w:jc w:val="center"/>
              <w:rPr>
                <w:rFonts w:ascii="Times New Roman" w:eastAsia="仿宋"/>
                <w:szCs w:val="24"/>
              </w:rPr>
            </w:pPr>
          </w:p>
        </w:tc>
        <w:tc>
          <w:tcPr>
            <w:tcW w:w="1408" w:type="dxa"/>
            <w:vMerge w:val="continue"/>
            <w:vAlign w:val="center"/>
          </w:tcPr>
          <w:p w14:paraId="191B81F0">
            <w:pPr>
              <w:adjustRightInd w:val="0"/>
              <w:snapToGrid w:val="0"/>
              <w:jc w:val="center"/>
              <w:rPr>
                <w:rFonts w:ascii="Times New Roman" w:eastAsia="仿宋"/>
                <w:szCs w:val="24"/>
              </w:rPr>
            </w:pPr>
          </w:p>
        </w:tc>
        <w:tc>
          <w:tcPr>
            <w:tcW w:w="989" w:type="dxa"/>
            <w:vMerge w:val="continue"/>
            <w:vAlign w:val="center"/>
          </w:tcPr>
          <w:p w14:paraId="38CDE748">
            <w:pPr>
              <w:adjustRightInd w:val="0"/>
              <w:snapToGrid w:val="0"/>
              <w:jc w:val="center"/>
              <w:rPr>
                <w:rFonts w:ascii="Times New Roman" w:eastAsia="仿宋"/>
                <w:szCs w:val="24"/>
              </w:rPr>
            </w:pPr>
          </w:p>
        </w:tc>
        <w:tc>
          <w:tcPr>
            <w:tcW w:w="1275" w:type="dxa"/>
            <w:vAlign w:val="center"/>
          </w:tcPr>
          <w:p w14:paraId="29CCB4B7">
            <w:pPr>
              <w:adjustRightInd w:val="0"/>
              <w:snapToGrid w:val="0"/>
              <w:jc w:val="center"/>
              <w:rPr>
                <w:rFonts w:ascii="Times New Roman" w:eastAsia="仿宋"/>
                <w:szCs w:val="24"/>
              </w:rPr>
            </w:pPr>
            <w:r>
              <w:rPr>
                <w:rFonts w:hint="eastAsia" w:ascii="Times New Roman" w:eastAsia="仿宋"/>
                <w:szCs w:val="24"/>
              </w:rPr>
              <w:t>颗粒物</w:t>
            </w:r>
          </w:p>
        </w:tc>
        <w:tc>
          <w:tcPr>
            <w:tcW w:w="1276" w:type="dxa"/>
            <w:vMerge w:val="continue"/>
            <w:vAlign w:val="center"/>
          </w:tcPr>
          <w:p w14:paraId="6B5AC779">
            <w:pPr>
              <w:widowControl/>
              <w:jc w:val="center"/>
              <w:textAlignment w:val="center"/>
              <w:rPr>
                <w:rFonts w:ascii="Times New Roman" w:eastAsia="仿宋"/>
                <w:szCs w:val="24"/>
              </w:rPr>
            </w:pPr>
          </w:p>
        </w:tc>
        <w:tc>
          <w:tcPr>
            <w:tcW w:w="1559" w:type="dxa"/>
            <w:vAlign w:val="center"/>
          </w:tcPr>
          <w:p w14:paraId="4A36A55A">
            <w:pPr>
              <w:widowControl/>
              <w:jc w:val="center"/>
              <w:textAlignment w:val="center"/>
              <w:rPr>
                <w:rFonts w:ascii="Times New Roman" w:eastAsia="仿宋"/>
                <w:szCs w:val="24"/>
              </w:rPr>
            </w:pPr>
            <w:r>
              <w:rPr>
                <w:rFonts w:hint="eastAsia" w:ascii="Times New Roman" w:eastAsia="仿宋"/>
                <w:szCs w:val="24"/>
              </w:rPr>
              <w:t>0.67</w:t>
            </w:r>
          </w:p>
        </w:tc>
        <w:tc>
          <w:tcPr>
            <w:tcW w:w="1134" w:type="dxa"/>
            <w:vAlign w:val="center"/>
          </w:tcPr>
          <w:p w14:paraId="710975E4">
            <w:pPr>
              <w:widowControl/>
              <w:jc w:val="center"/>
              <w:textAlignment w:val="center"/>
              <w:rPr>
                <w:rFonts w:ascii="Times New Roman" w:eastAsia="仿宋"/>
                <w:szCs w:val="24"/>
              </w:rPr>
            </w:pPr>
            <w:r>
              <w:rPr>
                <w:rFonts w:hint="eastAsia" w:ascii="Times New Roman" w:eastAsia="仿宋"/>
                <w:szCs w:val="24"/>
              </w:rPr>
              <w:t>0.014</w:t>
            </w:r>
          </w:p>
        </w:tc>
        <w:tc>
          <w:tcPr>
            <w:tcW w:w="993" w:type="dxa"/>
            <w:vAlign w:val="center"/>
          </w:tcPr>
          <w:p w14:paraId="234EAFAE">
            <w:pPr>
              <w:widowControl/>
              <w:jc w:val="center"/>
              <w:textAlignment w:val="center"/>
              <w:rPr>
                <w:rFonts w:ascii="Times New Roman" w:eastAsia="仿宋"/>
                <w:szCs w:val="24"/>
              </w:rPr>
            </w:pPr>
            <w:r>
              <w:rPr>
                <w:rFonts w:hint="eastAsia" w:ascii="Times New Roman" w:eastAsia="仿宋"/>
                <w:szCs w:val="24"/>
              </w:rPr>
              <w:t>0.068</w:t>
            </w:r>
          </w:p>
        </w:tc>
        <w:tc>
          <w:tcPr>
            <w:tcW w:w="1559" w:type="dxa"/>
            <w:vMerge w:val="continue"/>
            <w:vAlign w:val="center"/>
          </w:tcPr>
          <w:p w14:paraId="6CC4B682">
            <w:pPr>
              <w:adjustRightInd w:val="0"/>
              <w:snapToGrid w:val="0"/>
              <w:jc w:val="center"/>
              <w:rPr>
                <w:rFonts w:ascii="Times New Roman" w:eastAsia="仿宋"/>
                <w:szCs w:val="24"/>
              </w:rPr>
            </w:pPr>
          </w:p>
        </w:tc>
        <w:tc>
          <w:tcPr>
            <w:tcW w:w="850" w:type="dxa"/>
            <w:vMerge w:val="continue"/>
            <w:vAlign w:val="center"/>
          </w:tcPr>
          <w:p w14:paraId="454DEC9A">
            <w:pPr>
              <w:adjustRightInd w:val="0"/>
              <w:snapToGrid w:val="0"/>
              <w:jc w:val="center"/>
              <w:rPr>
                <w:rFonts w:ascii="Times New Roman" w:eastAsia="仿宋"/>
                <w:szCs w:val="24"/>
              </w:rPr>
            </w:pPr>
          </w:p>
        </w:tc>
        <w:tc>
          <w:tcPr>
            <w:tcW w:w="709" w:type="dxa"/>
            <w:vMerge w:val="continue"/>
            <w:vAlign w:val="center"/>
          </w:tcPr>
          <w:p w14:paraId="460C284A">
            <w:pPr>
              <w:adjustRightInd w:val="0"/>
              <w:snapToGrid w:val="0"/>
              <w:jc w:val="center"/>
              <w:rPr>
                <w:rFonts w:ascii="Times New Roman" w:eastAsia="仿宋"/>
                <w:szCs w:val="24"/>
              </w:rPr>
            </w:pPr>
          </w:p>
        </w:tc>
        <w:tc>
          <w:tcPr>
            <w:tcW w:w="992" w:type="dxa"/>
            <w:vMerge w:val="continue"/>
            <w:vAlign w:val="center"/>
          </w:tcPr>
          <w:p w14:paraId="5C854B87">
            <w:pPr>
              <w:adjustRightInd w:val="0"/>
              <w:snapToGrid w:val="0"/>
              <w:jc w:val="center"/>
              <w:rPr>
                <w:rFonts w:ascii="Times New Roman" w:eastAsia="仿宋"/>
                <w:szCs w:val="21"/>
              </w:rPr>
            </w:pPr>
          </w:p>
        </w:tc>
        <w:tc>
          <w:tcPr>
            <w:tcW w:w="1051" w:type="dxa"/>
            <w:vMerge w:val="continue"/>
            <w:vAlign w:val="center"/>
          </w:tcPr>
          <w:p w14:paraId="3E22F944">
            <w:pPr>
              <w:adjustRightInd w:val="0"/>
              <w:snapToGrid w:val="0"/>
              <w:jc w:val="center"/>
              <w:rPr>
                <w:rFonts w:ascii="Times New Roman" w:eastAsia="仿宋"/>
                <w:szCs w:val="21"/>
              </w:rPr>
            </w:pPr>
          </w:p>
        </w:tc>
      </w:tr>
      <w:tr w14:paraId="5BEF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859" w:type="dxa"/>
            <w:vMerge w:val="continue"/>
            <w:vAlign w:val="center"/>
          </w:tcPr>
          <w:p w14:paraId="2A1FD426">
            <w:pPr>
              <w:adjustRightInd w:val="0"/>
              <w:snapToGrid w:val="0"/>
              <w:jc w:val="center"/>
              <w:rPr>
                <w:rFonts w:ascii="Times New Roman" w:eastAsia="仿宋"/>
                <w:szCs w:val="24"/>
              </w:rPr>
            </w:pPr>
          </w:p>
        </w:tc>
        <w:tc>
          <w:tcPr>
            <w:tcW w:w="1408" w:type="dxa"/>
            <w:vMerge w:val="restart"/>
            <w:vAlign w:val="center"/>
          </w:tcPr>
          <w:p w14:paraId="102A798C">
            <w:pPr>
              <w:adjustRightInd w:val="0"/>
              <w:snapToGrid w:val="0"/>
              <w:jc w:val="center"/>
              <w:rPr>
                <w:rFonts w:ascii="Times New Roman" w:eastAsia="仿宋"/>
                <w:szCs w:val="24"/>
              </w:rPr>
            </w:pPr>
            <w:r>
              <w:rPr>
                <w:rFonts w:hint="eastAsia" w:ascii="Times New Roman" w:eastAsia="仿宋"/>
                <w:szCs w:val="24"/>
              </w:rPr>
              <w:t>天然气燃烧废气G1</w:t>
            </w:r>
            <w:r>
              <w:rPr>
                <w:rFonts w:ascii="Times New Roman" w:eastAsia="仿宋"/>
                <w:szCs w:val="24"/>
              </w:rPr>
              <w:t>3</w:t>
            </w:r>
            <w:r>
              <w:rPr>
                <w:rFonts w:hint="eastAsia" w:ascii="Times New Roman" w:eastAsia="仿宋"/>
                <w:szCs w:val="24"/>
              </w:rPr>
              <w:t>、G1</w:t>
            </w:r>
            <w:r>
              <w:rPr>
                <w:rFonts w:ascii="Times New Roman" w:eastAsia="仿宋"/>
                <w:szCs w:val="24"/>
              </w:rPr>
              <w:t>7</w:t>
            </w:r>
          </w:p>
        </w:tc>
        <w:tc>
          <w:tcPr>
            <w:tcW w:w="989" w:type="dxa"/>
            <w:vMerge w:val="continue"/>
            <w:vAlign w:val="center"/>
          </w:tcPr>
          <w:p w14:paraId="3BF2A77B">
            <w:pPr>
              <w:adjustRightInd w:val="0"/>
              <w:snapToGrid w:val="0"/>
              <w:jc w:val="center"/>
              <w:rPr>
                <w:rFonts w:ascii="Times New Roman" w:eastAsia="仿宋"/>
                <w:szCs w:val="24"/>
              </w:rPr>
            </w:pPr>
          </w:p>
        </w:tc>
        <w:tc>
          <w:tcPr>
            <w:tcW w:w="1275" w:type="dxa"/>
            <w:vAlign w:val="center"/>
          </w:tcPr>
          <w:p w14:paraId="452CA090">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276" w:type="dxa"/>
            <w:vMerge w:val="continue"/>
            <w:vAlign w:val="center"/>
          </w:tcPr>
          <w:p w14:paraId="39B8182C">
            <w:pPr>
              <w:widowControl/>
              <w:jc w:val="center"/>
              <w:textAlignment w:val="center"/>
              <w:rPr>
                <w:rFonts w:ascii="Times New Roman" w:eastAsia="仿宋"/>
                <w:szCs w:val="24"/>
              </w:rPr>
            </w:pPr>
          </w:p>
        </w:tc>
        <w:tc>
          <w:tcPr>
            <w:tcW w:w="1559" w:type="dxa"/>
            <w:vAlign w:val="center"/>
          </w:tcPr>
          <w:p w14:paraId="0D8B59C2">
            <w:pPr>
              <w:widowControl/>
              <w:jc w:val="center"/>
              <w:textAlignment w:val="center"/>
              <w:rPr>
                <w:rFonts w:ascii="Times New Roman" w:eastAsia="仿宋"/>
                <w:szCs w:val="24"/>
              </w:rPr>
            </w:pPr>
            <w:r>
              <w:rPr>
                <w:rFonts w:hint="eastAsia" w:ascii="Times New Roman" w:eastAsia="仿宋"/>
                <w:szCs w:val="24"/>
              </w:rPr>
              <w:t>0.1</w:t>
            </w:r>
          </w:p>
        </w:tc>
        <w:tc>
          <w:tcPr>
            <w:tcW w:w="1134" w:type="dxa"/>
            <w:vAlign w:val="center"/>
          </w:tcPr>
          <w:p w14:paraId="4FAC2CF7">
            <w:pPr>
              <w:widowControl/>
              <w:jc w:val="center"/>
              <w:textAlignment w:val="center"/>
              <w:rPr>
                <w:rFonts w:ascii="Times New Roman" w:eastAsia="仿宋"/>
                <w:szCs w:val="24"/>
              </w:rPr>
            </w:pPr>
            <w:r>
              <w:rPr>
                <w:rFonts w:hint="eastAsia" w:ascii="Times New Roman" w:eastAsia="仿宋"/>
                <w:szCs w:val="24"/>
              </w:rPr>
              <w:t>0.002</w:t>
            </w:r>
          </w:p>
        </w:tc>
        <w:tc>
          <w:tcPr>
            <w:tcW w:w="993" w:type="dxa"/>
            <w:shd w:val="clear" w:color="auto" w:fill="auto"/>
            <w:vAlign w:val="center"/>
          </w:tcPr>
          <w:p w14:paraId="6513223D">
            <w:pPr>
              <w:widowControl/>
              <w:jc w:val="center"/>
              <w:textAlignment w:val="center"/>
              <w:rPr>
                <w:rFonts w:ascii="Times New Roman" w:eastAsia="仿宋"/>
                <w:szCs w:val="24"/>
              </w:rPr>
            </w:pPr>
            <w:r>
              <w:rPr>
                <w:rFonts w:hint="eastAsia" w:ascii="Times New Roman" w:eastAsia="仿宋"/>
                <w:szCs w:val="24"/>
              </w:rPr>
              <w:t>0.01</w:t>
            </w:r>
          </w:p>
        </w:tc>
        <w:tc>
          <w:tcPr>
            <w:tcW w:w="1559" w:type="dxa"/>
            <w:vMerge w:val="continue"/>
            <w:vAlign w:val="center"/>
          </w:tcPr>
          <w:p w14:paraId="47EEA43A">
            <w:pPr>
              <w:adjustRightInd w:val="0"/>
              <w:snapToGrid w:val="0"/>
              <w:jc w:val="center"/>
              <w:rPr>
                <w:rFonts w:ascii="Times New Roman" w:eastAsia="仿宋"/>
                <w:szCs w:val="24"/>
              </w:rPr>
            </w:pPr>
          </w:p>
        </w:tc>
        <w:tc>
          <w:tcPr>
            <w:tcW w:w="850" w:type="dxa"/>
            <w:vMerge w:val="continue"/>
            <w:vAlign w:val="center"/>
          </w:tcPr>
          <w:p w14:paraId="27A69DAB">
            <w:pPr>
              <w:adjustRightInd w:val="0"/>
              <w:snapToGrid w:val="0"/>
              <w:jc w:val="center"/>
              <w:rPr>
                <w:rFonts w:ascii="Times New Roman" w:eastAsia="仿宋"/>
                <w:szCs w:val="24"/>
              </w:rPr>
            </w:pPr>
          </w:p>
        </w:tc>
        <w:tc>
          <w:tcPr>
            <w:tcW w:w="709" w:type="dxa"/>
            <w:vMerge w:val="continue"/>
            <w:vAlign w:val="center"/>
          </w:tcPr>
          <w:p w14:paraId="52F87ED1">
            <w:pPr>
              <w:adjustRightInd w:val="0"/>
              <w:snapToGrid w:val="0"/>
              <w:jc w:val="center"/>
              <w:rPr>
                <w:rFonts w:ascii="Times New Roman" w:eastAsia="仿宋"/>
                <w:szCs w:val="24"/>
              </w:rPr>
            </w:pPr>
          </w:p>
        </w:tc>
        <w:tc>
          <w:tcPr>
            <w:tcW w:w="992" w:type="dxa"/>
            <w:vMerge w:val="continue"/>
            <w:vAlign w:val="center"/>
          </w:tcPr>
          <w:p w14:paraId="772521D0">
            <w:pPr>
              <w:adjustRightInd w:val="0"/>
              <w:snapToGrid w:val="0"/>
              <w:jc w:val="center"/>
              <w:rPr>
                <w:rFonts w:ascii="Times New Roman" w:eastAsia="仿宋"/>
                <w:szCs w:val="21"/>
              </w:rPr>
            </w:pPr>
          </w:p>
        </w:tc>
        <w:tc>
          <w:tcPr>
            <w:tcW w:w="1051" w:type="dxa"/>
            <w:vMerge w:val="continue"/>
            <w:vAlign w:val="center"/>
          </w:tcPr>
          <w:p w14:paraId="0D0DB271">
            <w:pPr>
              <w:adjustRightInd w:val="0"/>
              <w:snapToGrid w:val="0"/>
              <w:jc w:val="center"/>
              <w:rPr>
                <w:rFonts w:ascii="Times New Roman" w:eastAsia="仿宋"/>
                <w:szCs w:val="21"/>
              </w:rPr>
            </w:pPr>
          </w:p>
        </w:tc>
      </w:tr>
      <w:tr w14:paraId="245B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1D46D5D2">
            <w:pPr>
              <w:adjustRightInd w:val="0"/>
              <w:snapToGrid w:val="0"/>
              <w:jc w:val="center"/>
              <w:rPr>
                <w:rFonts w:ascii="Times New Roman" w:eastAsia="仿宋"/>
                <w:szCs w:val="24"/>
              </w:rPr>
            </w:pPr>
          </w:p>
        </w:tc>
        <w:tc>
          <w:tcPr>
            <w:tcW w:w="1408" w:type="dxa"/>
            <w:vMerge w:val="continue"/>
            <w:vAlign w:val="center"/>
          </w:tcPr>
          <w:p w14:paraId="6A318A7A">
            <w:pPr>
              <w:adjustRightInd w:val="0"/>
              <w:snapToGrid w:val="0"/>
              <w:jc w:val="center"/>
              <w:rPr>
                <w:rFonts w:ascii="Times New Roman" w:eastAsia="仿宋"/>
                <w:szCs w:val="24"/>
              </w:rPr>
            </w:pPr>
          </w:p>
        </w:tc>
        <w:tc>
          <w:tcPr>
            <w:tcW w:w="989" w:type="dxa"/>
            <w:vMerge w:val="continue"/>
            <w:vAlign w:val="center"/>
          </w:tcPr>
          <w:p w14:paraId="799D4297">
            <w:pPr>
              <w:adjustRightInd w:val="0"/>
              <w:snapToGrid w:val="0"/>
              <w:jc w:val="center"/>
              <w:rPr>
                <w:rFonts w:ascii="Times New Roman" w:eastAsia="仿宋"/>
                <w:szCs w:val="24"/>
              </w:rPr>
            </w:pPr>
          </w:p>
        </w:tc>
        <w:tc>
          <w:tcPr>
            <w:tcW w:w="1275" w:type="dxa"/>
            <w:vAlign w:val="center"/>
          </w:tcPr>
          <w:p w14:paraId="423AF928">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276" w:type="dxa"/>
            <w:vMerge w:val="continue"/>
            <w:vAlign w:val="center"/>
          </w:tcPr>
          <w:p w14:paraId="1E6B8743">
            <w:pPr>
              <w:widowControl/>
              <w:jc w:val="center"/>
              <w:textAlignment w:val="center"/>
              <w:rPr>
                <w:rFonts w:ascii="Times New Roman" w:eastAsia="仿宋"/>
                <w:szCs w:val="24"/>
              </w:rPr>
            </w:pPr>
          </w:p>
        </w:tc>
        <w:tc>
          <w:tcPr>
            <w:tcW w:w="1559" w:type="dxa"/>
            <w:vAlign w:val="center"/>
          </w:tcPr>
          <w:p w14:paraId="3CFE003E">
            <w:pPr>
              <w:widowControl/>
              <w:jc w:val="center"/>
              <w:textAlignment w:val="center"/>
              <w:rPr>
                <w:rFonts w:ascii="Times New Roman" w:eastAsia="仿宋"/>
                <w:szCs w:val="24"/>
              </w:rPr>
            </w:pPr>
            <w:r>
              <w:rPr>
                <w:rFonts w:ascii="Times New Roman" w:eastAsia="仿宋"/>
                <w:szCs w:val="24"/>
              </w:rPr>
              <w:t>4.8</w:t>
            </w:r>
          </w:p>
        </w:tc>
        <w:tc>
          <w:tcPr>
            <w:tcW w:w="1134" w:type="dxa"/>
            <w:vAlign w:val="center"/>
          </w:tcPr>
          <w:p w14:paraId="77D9F3A5">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993" w:type="dxa"/>
            <w:shd w:val="clear" w:color="auto" w:fill="auto"/>
            <w:vAlign w:val="center"/>
          </w:tcPr>
          <w:p w14:paraId="5B234A15">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1559" w:type="dxa"/>
            <w:vMerge w:val="continue"/>
            <w:vAlign w:val="center"/>
          </w:tcPr>
          <w:p w14:paraId="2D5DC7D8">
            <w:pPr>
              <w:adjustRightInd w:val="0"/>
              <w:snapToGrid w:val="0"/>
              <w:jc w:val="center"/>
              <w:rPr>
                <w:rFonts w:ascii="Times New Roman" w:eastAsia="仿宋"/>
                <w:szCs w:val="24"/>
              </w:rPr>
            </w:pPr>
          </w:p>
        </w:tc>
        <w:tc>
          <w:tcPr>
            <w:tcW w:w="850" w:type="dxa"/>
            <w:vMerge w:val="continue"/>
            <w:vAlign w:val="center"/>
          </w:tcPr>
          <w:p w14:paraId="44B76D56">
            <w:pPr>
              <w:adjustRightInd w:val="0"/>
              <w:snapToGrid w:val="0"/>
              <w:jc w:val="center"/>
              <w:rPr>
                <w:rFonts w:ascii="Times New Roman" w:eastAsia="仿宋"/>
                <w:szCs w:val="24"/>
              </w:rPr>
            </w:pPr>
          </w:p>
        </w:tc>
        <w:tc>
          <w:tcPr>
            <w:tcW w:w="709" w:type="dxa"/>
            <w:vMerge w:val="continue"/>
            <w:vAlign w:val="center"/>
          </w:tcPr>
          <w:p w14:paraId="58DF34AA">
            <w:pPr>
              <w:adjustRightInd w:val="0"/>
              <w:snapToGrid w:val="0"/>
              <w:jc w:val="center"/>
              <w:rPr>
                <w:rFonts w:ascii="Times New Roman" w:eastAsia="仿宋"/>
                <w:szCs w:val="24"/>
              </w:rPr>
            </w:pPr>
          </w:p>
        </w:tc>
        <w:tc>
          <w:tcPr>
            <w:tcW w:w="992" w:type="dxa"/>
            <w:vMerge w:val="continue"/>
            <w:vAlign w:val="center"/>
          </w:tcPr>
          <w:p w14:paraId="232B6877">
            <w:pPr>
              <w:adjustRightInd w:val="0"/>
              <w:snapToGrid w:val="0"/>
              <w:jc w:val="center"/>
              <w:rPr>
                <w:rFonts w:ascii="Times New Roman" w:eastAsia="仿宋"/>
                <w:szCs w:val="21"/>
              </w:rPr>
            </w:pPr>
          </w:p>
        </w:tc>
        <w:tc>
          <w:tcPr>
            <w:tcW w:w="1051" w:type="dxa"/>
            <w:vMerge w:val="continue"/>
            <w:vAlign w:val="center"/>
          </w:tcPr>
          <w:p w14:paraId="305DDA01">
            <w:pPr>
              <w:adjustRightInd w:val="0"/>
              <w:snapToGrid w:val="0"/>
              <w:jc w:val="center"/>
              <w:rPr>
                <w:rFonts w:ascii="Times New Roman" w:eastAsia="仿宋"/>
                <w:szCs w:val="21"/>
              </w:rPr>
            </w:pPr>
          </w:p>
        </w:tc>
      </w:tr>
      <w:tr w14:paraId="41E3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859" w:type="dxa"/>
            <w:vMerge w:val="continue"/>
            <w:vAlign w:val="center"/>
          </w:tcPr>
          <w:p w14:paraId="36E1F6F1">
            <w:pPr>
              <w:adjustRightInd w:val="0"/>
              <w:snapToGrid w:val="0"/>
              <w:jc w:val="center"/>
              <w:rPr>
                <w:rFonts w:ascii="Times New Roman" w:eastAsia="仿宋"/>
                <w:szCs w:val="24"/>
              </w:rPr>
            </w:pPr>
          </w:p>
        </w:tc>
        <w:tc>
          <w:tcPr>
            <w:tcW w:w="1408" w:type="dxa"/>
            <w:vMerge w:val="continue"/>
            <w:vAlign w:val="center"/>
          </w:tcPr>
          <w:p w14:paraId="73F66B54">
            <w:pPr>
              <w:adjustRightInd w:val="0"/>
              <w:snapToGrid w:val="0"/>
              <w:jc w:val="center"/>
              <w:rPr>
                <w:rFonts w:ascii="Times New Roman" w:eastAsia="仿宋"/>
                <w:szCs w:val="24"/>
              </w:rPr>
            </w:pPr>
          </w:p>
        </w:tc>
        <w:tc>
          <w:tcPr>
            <w:tcW w:w="989" w:type="dxa"/>
            <w:vMerge w:val="continue"/>
            <w:vAlign w:val="center"/>
          </w:tcPr>
          <w:p w14:paraId="7E7241F6">
            <w:pPr>
              <w:adjustRightInd w:val="0"/>
              <w:snapToGrid w:val="0"/>
              <w:jc w:val="center"/>
              <w:rPr>
                <w:rFonts w:ascii="Times New Roman" w:eastAsia="仿宋"/>
                <w:szCs w:val="24"/>
              </w:rPr>
            </w:pPr>
          </w:p>
        </w:tc>
        <w:tc>
          <w:tcPr>
            <w:tcW w:w="1275" w:type="dxa"/>
            <w:vAlign w:val="center"/>
          </w:tcPr>
          <w:p w14:paraId="4BECB546">
            <w:pPr>
              <w:adjustRightInd w:val="0"/>
              <w:snapToGrid w:val="0"/>
              <w:jc w:val="center"/>
              <w:rPr>
                <w:rFonts w:ascii="Times New Roman" w:eastAsia="仿宋"/>
                <w:szCs w:val="24"/>
              </w:rPr>
            </w:pPr>
            <w:r>
              <w:rPr>
                <w:rFonts w:hint="eastAsia" w:ascii="Times New Roman" w:eastAsia="仿宋"/>
                <w:szCs w:val="24"/>
              </w:rPr>
              <w:t>颗粒物</w:t>
            </w:r>
          </w:p>
        </w:tc>
        <w:tc>
          <w:tcPr>
            <w:tcW w:w="1276" w:type="dxa"/>
            <w:vMerge w:val="continue"/>
            <w:vAlign w:val="center"/>
          </w:tcPr>
          <w:p w14:paraId="3FBA494A">
            <w:pPr>
              <w:widowControl/>
              <w:jc w:val="center"/>
              <w:textAlignment w:val="center"/>
              <w:rPr>
                <w:rFonts w:ascii="Times New Roman" w:eastAsia="仿宋"/>
                <w:szCs w:val="24"/>
              </w:rPr>
            </w:pPr>
          </w:p>
        </w:tc>
        <w:tc>
          <w:tcPr>
            <w:tcW w:w="1559" w:type="dxa"/>
            <w:vAlign w:val="center"/>
          </w:tcPr>
          <w:p w14:paraId="1BEA9DE1">
            <w:pPr>
              <w:widowControl/>
              <w:jc w:val="center"/>
              <w:textAlignment w:val="center"/>
              <w:rPr>
                <w:rFonts w:ascii="Times New Roman" w:eastAsia="仿宋"/>
                <w:szCs w:val="24"/>
              </w:rPr>
            </w:pPr>
            <w:r>
              <w:rPr>
                <w:rFonts w:hint="eastAsia" w:ascii="Times New Roman" w:eastAsia="仿宋"/>
                <w:szCs w:val="24"/>
              </w:rPr>
              <w:t>0.67</w:t>
            </w:r>
          </w:p>
        </w:tc>
        <w:tc>
          <w:tcPr>
            <w:tcW w:w="1134" w:type="dxa"/>
            <w:vAlign w:val="center"/>
          </w:tcPr>
          <w:p w14:paraId="575015D8">
            <w:pPr>
              <w:widowControl/>
              <w:jc w:val="center"/>
              <w:textAlignment w:val="center"/>
              <w:rPr>
                <w:rFonts w:ascii="Times New Roman" w:eastAsia="仿宋"/>
                <w:szCs w:val="24"/>
              </w:rPr>
            </w:pPr>
            <w:r>
              <w:rPr>
                <w:rFonts w:hint="eastAsia" w:ascii="Times New Roman" w:eastAsia="仿宋"/>
                <w:szCs w:val="24"/>
              </w:rPr>
              <w:t>0.014</w:t>
            </w:r>
          </w:p>
        </w:tc>
        <w:tc>
          <w:tcPr>
            <w:tcW w:w="993" w:type="dxa"/>
            <w:shd w:val="clear" w:color="auto" w:fill="auto"/>
            <w:vAlign w:val="center"/>
          </w:tcPr>
          <w:p w14:paraId="3F38342C">
            <w:pPr>
              <w:widowControl/>
              <w:jc w:val="center"/>
              <w:textAlignment w:val="center"/>
              <w:rPr>
                <w:rFonts w:ascii="Times New Roman" w:eastAsia="仿宋"/>
                <w:szCs w:val="24"/>
              </w:rPr>
            </w:pPr>
            <w:r>
              <w:rPr>
                <w:rFonts w:hint="eastAsia" w:ascii="Times New Roman" w:eastAsia="仿宋"/>
                <w:szCs w:val="24"/>
              </w:rPr>
              <w:t>0.068</w:t>
            </w:r>
          </w:p>
        </w:tc>
        <w:tc>
          <w:tcPr>
            <w:tcW w:w="1559" w:type="dxa"/>
            <w:vMerge w:val="continue"/>
            <w:vAlign w:val="center"/>
          </w:tcPr>
          <w:p w14:paraId="0AB118C3">
            <w:pPr>
              <w:adjustRightInd w:val="0"/>
              <w:snapToGrid w:val="0"/>
              <w:jc w:val="center"/>
              <w:rPr>
                <w:rFonts w:ascii="Times New Roman" w:eastAsia="仿宋"/>
                <w:szCs w:val="24"/>
              </w:rPr>
            </w:pPr>
          </w:p>
        </w:tc>
        <w:tc>
          <w:tcPr>
            <w:tcW w:w="850" w:type="dxa"/>
            <w:vMerge w:val="continue"/>
            <w:vAlign w:val="center"/>
          </w:tcPr>
          <w:p w14:paraId="4697A20E">
            <w:pPr>
              <w:adjustRightInd w:val="0"/>
              <w:snapToGrid w:val="0"/>
              <w:jc w:val="center"/>
              <w:rPr>
                <w:rFonts w:ascii="Times New Roman" w:eastAsia="仿宋"/>
                <w:szCs w:val="24"/>
              </w:rPr>
            </w:pPr>
          </w:p>
        </w:tc>
        <w:tc>
          <w:tcPr>
            <w:tcW w:w="709" w:type="dxa"/>
            <w:vMerge w:val="continue"/>
            <w:vAlign w:val="center"/>
          </w:tcPr>
          <w:p w14:paraId="5B7AD668">
            <w:pPr>
              <w:adjustRightInd w:val="0"/>
              <w:snapToGrid w:val="0"/>
              <w:jc w:val="center"/>
              <w:rPr>
                <w:rFonts w:ascii="Times New Roman" w:eastAsia="仿宋"/>
                <w:szCs w:val="24"/>
              </w:rPr>
            </w:pPr>
          </w:p>
        </w:tc>
        <w:tc>
          <w:tcPr>
            <w:tcW w:w="992" w:type="dxa"/>
            <w:vMerge w:val="continue"/>
            <w:vAlign w:val="center"/>
          </w:tcPr>
          <w:p w14:paraId="378911C5">
            <w:pPr>
              <w:adjustRightInd w:val="0"/>
              <w:snapToGrid w:val="0"/>
              <w:jc w:val="center"/>
              <w:rPr>
                <w:rFonts w:ascii="Times New Roman" w:eastAsia="仿宋"/>
                <w:szCs w:val="21"/>
              </w:rPr>
            </w:pPr>
          </w:p>
        </w:tc>
        <w:tc>
          <w:tcPr>
            <w:tcW w:w="1051" w:type="dxa"/>
            <w:vMerge w:val="continue"/>
            <w:vAlign w:val="center"/>
          </w:tcPr>
          <w:p w14:paraId="20B11BA4">
            <w:pPr>
              <w:adjustRightInd w:val="0"/>
              <w:snapToGrid w:val="0"/>
              <w:jc w:val="center"/>
              <w:rPr>
                <w:rFonts w:ascii="Times New Roman" w:eastAsia="仿宋"/>
                <w:szCs w:val="21"/>
              </w:rPr>
            </w:pPr>
          </w:p>
        </w:tc>
      </w:tr>
      <w:tr w14:paraId="57BA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859" w:type="dxa"/>
            <w:vAlign w:val="center"/>
          </w:tcPr>
          <w:p w14:paraId="3FE3CE1D">
            <w:pPr>
              <w:adjustRightInd w:val="0"/>
              <w:snapToGrid w:val="0"/>
              <w:jc w:val="center"/>
              <w:rPr>
                <w:rFonts w:ascii="Times New Roman" w:eastAsia="仿宋"/>
                <w:szCs w:val="24"/>
              </w:rPr>
            </w:pPr>
            <w:r>
              <w:rPr>
                <w:rFonts w:ascii="Times New Roman" w:eastAsia="仿宋"/>
                <w:szCs w:val="24"/>
              </w:rPr>
              <w:t>5</w:t>
            </w:r>
            <w:r>
              <w:rPr>
                <w:rFonts w:hint="eastAsia" w:ascii="Times New Roman" w:eastAsia="仿宋"/>
                <w:szCs w:val="24"/>
              </w:rPr>
              <w:t>#</w:t>
            </w:r>
          </w:p>
        </w:tc>
        <w:tc>
          <w:tcPr>
            <w:tcW w:w="1408" w:type="dxa"/>
            <w:vAlign w:val="center"/>
          </w:tcPr>
          <w:p w14:paraId="51EA52D8">
            <w:pPr>
              <w:adjustRightInd w:val="0"/>
              <w:snapToGrid w:val="0"/>
              <w:jc w:val="center"/>
              <w:rPr>
                <w:rFonts w:ascii="Times New Roman" w:eastAsia="仿宋"/>
                <w:szCs w:val="24"/>
              </w:rPr>
            </w:pPr>
            <w:r>
              <w:rPr>
                <w:rFonts w:hint="eastAsia" w:ascii="Times New Roman" w:eastAsia="仿宋"/>
                <w:szCs w:val="24"/>
              </w:rPr>
              <w:t>喷塑粉尘G6</w:t>
            </w:r>
          </w:p>
        </w:tc>
        <w:tc>
          <w:tcPr>
            <w:tcW w:w="989" w:type="dxa"/>
            <w:vAlign w:val="center"/>
          </w:tcPr>
          <w:p w14:paraId="45FEFEDD">
            <w:pPr>
              <w:adjustRightInd w:val="0"/>
              <w:snapToGrid w:val="0"/>
              <w:jc w:val="center"/>
              <w:rPr>
                <w:rFonts w:ascii="Times New Roman" w:eastAsia="仿宋"/>
                <w:szCs w:val="24"/>
              </w:rPr>
            </w:pPr>
            <w:r>
              <w:rPr>
                <w:rFonts w:hint="eastAsia" w:ascii="Times New Roman" w:eastAsia="仿宋"/>
                <w:szCs w:val="24"/>
              </w:rPr>
              <w:t>2</w:t>
            </w:r>
            <w:r>
              <w:rPr>
                <w:rFonts w:ascii="Times New Roman" w:eastAsia="仿宋"/>
                <w:szCs w:val="24"/>
              </w:rPr>
              <w:t>0000</w:t>
            </w:r>
          </w:p>
        </w:tc>
        <w:tc>
          <w:tcPr>
            <w:tcW w:w="1275" w:type="dxa"/>
            <w:vAlign w:val="center"/>
          </w:tcPr>
          <w:p w14:paraId="7F05BBC2">
            <w:pPr>
              <w:adjustRightInd w:val="0"/>
              <w:snapToGrid w:val="0"/>
              <w:jc w:val="center"/>
              <w:rPr>
                <w:rFonts w:ascii="Times New Roman" w:eastAsia="仿宋"/>
                <w:szCs w:val="24"/>
              </w:rPr>
            </w:pPr>
            <w:r>
              <w:rPr>
                <w:rFonts w:hint="eastAsia" w:ascii="Times New Roman" w:eastAsia="仿宋"/>
                <w:szCs w:val="24"/>
              </w:rPr>
              <w:t>颗粒物</w:t>
            </w:r>
          </w:p>
        </w:tc>
        <w:tc>
          <w:tcPr>
            <w:tcW w:w="1276" w:type="dxa"/>
            <w:vAlign w:val="center"/>
          </w:tcPr>
          <w:p w14:paraId="2C6C73D1">
            <w:pPr>
              <w:adjustRightInd w:val="0"/>
              <w:snapToGrid w:val="0"/>
              <w:jc w:val="center"/>
              <w:rPr>
                <w:rFonts w:ascii="Times New Roman" w:eastAsia="仿宋"/>
                <w:szCs w:val="24"/>
              </w:rPr>
            </w:pPr>
            <w:r>
              <w:rPr>
                <w:rFonts w:hint="eastAsia" w:ascii="Times New Roman" w:eastAsia="仿宋"/>
                <w:szCs w:val="24"/>
              </w:rPr>
              <w:t>系数法</w:t>
            </w:r>
          </w:p>
        </w:tc>
        <w:tc>
          <w:tcPr>
            <w:tcW w:w="1559" w:type="dxa"/>
            <w:vAlign w:val="center"/>
          </w:tcPr>
          <w:p w14:paraId="1588A37A">
            <w:pPr>
              <w:adjustRightInd w:val="0"/>
              <w:snapToGrid w:val="0"/>
              <w:jc w:val="center"/>
              <w:rPr>
                <w:rFonts w:ascii="Times New Roman" w:eastAsia="仿宋"/>
                <w:szCs w:val="24"/>
              </w:rPr>
            </w:pPr>
            <w:r>
              <w:rPr>
                <w:rFonts w:ascii="Times New Roman" w:eastAsia="仿宋"/>
                <w:szCs w:val="24"/>
              </w:rPr>
              <w:t>139.5</w:t>
            </w:r>
          </w:p>
        </w:tc>
        <w:tc>
          <w:tcPr>
            <w:tcW w:w="1134" w:type="dxa"/>
            <w:vAlign w:val="center"/>
          </w:tcPr>
          <w:p w14:paraId="12FA1347">
            <w:pPr>
              <w:adjustRightInd w:val="0"/>
              <w:snapToGrid w:val="0"/>
              <w:jc w:val="center"/>
              <w:rPr>
                <w:rFonts w:ascii="Times New Roman" w:eastAsia="仿宋"/>
                <w:szCs w:val="24"/>
              </w:rPr>
            </w:pPr>
            <w:r>
              <w:rPr>
                <w:rFonts w:hint="eastAsia" w:ascii="Times New Roman" w:eastAsia="仿宋"/>
                <w:szCs w:val="24"/>
              </w:rPr>
              <w:t>2.79</w:t>
            </w:r>
          </w:p>
        </w:tc>
        <w:tc>
          <w:tcPr>
            <w:tcW w:w="993" w:type="dxa"/>
            <w:vAlign w:val="center"/>
          </w:tcPr>
          <w:p w14:paraId="6503B0AC">
            <w:pPr>
              <w:adjustRightInd w:val="0"/>
              <w:snapToGrid w:val="0"/>
              <w:jc w:val="center"/>
              <w:rPr>
                <w:rFonts w:ascii="Times New Roman" w:eastAsia="仿宋"/>
                <w:szCs w:val="24"/>
              </w:rPr>
            </w:pPr>
            <w:r>
              <w:rPr>
                <w:rFonts w:hint="eastAsia" w:ascii="Times New Roman" w:eastAsia="仿宋"/>
                <w:szCs w:val="24"/>
              </w:rPr>
              <w:t>13.37</w:t>
            </w:r>
          </w:p>
        </w:tc>
        <w:tc>
          <w:tcPr>
            <w:tcW w:w="1559" w:type="dxa"/>
            <w:vAlign w:val="center"/>
          </w:tcPr>
          <w:p w14:paraId="2D87C1E5">
            <w:pPr>
              <w:adjustRightInd w:val="0"/>
              <w:snapToGrid w:val="0"/>
              <w:jc w:val="center"/>
              <w:rPr>
                <w:rFonts w:ascii="Times New Roman" w:eastAsia="仿宋"/>
                <w:szCs w:val="24"/>
              </w:rPr>
            </w:pPr>
            <w:r>
              <w:rPr>
                <w:rFonts w:hint="eastAsia" w:ascii="Times New Roman" w:eastAsia="仿宋"/>
                <w:szCs w:val="24"/>
              </w:rPr>
              <w:t>滤筒除尘器</w:t>
            </w:r>
          </w:p>
        </w:tc>
        <w:tc>
          <w:tcPr>
            <w:tcW w:w="850" w:type="dxa"/>
            <w:vAlign w:val="center"/>
          </w:tcPr>
          <w:p w14:paraId="458EA255">
            <w:pPr>
              <w:adjustRightInd w:val="0"/>
              <w:snapToGrid w:val="0"/>
              <w:jc w:val="center"/>
              <w:rPr>
                <w:rFonts w:ascii="Times New Roman" w:eastAsia="仿宋"/>
                <w:szCs w:val="24"/>
              </w:rPr>
            </w:pPr>
            <w:r>
              <w:rPr>
                <w:rFonts w:ascii="Times New Roman" w:eastAsia="仿宋"/>
                <w:szCs w:val="24"/>
              </w:rPr>
              <w:t>15</w:t>
            </w:r>
          </w:p>
        </w:tc>
        <w:tc>
          <w:tcPr>
            <w:tcW w:w="709" w:type="dxa"/>
            <w:vAlign w:val="center"/>
          </w:tcPr>
          <w:p w14:paraId="3856B3AF">
            <w:pPr>
              <w:adjustRightInd w:val="0"/>
              <w:snapToGrid w:val="0"/>
              <w:jc w:val="center"/>
              <w:rPr>
                <w:rFonts w:ascii="Times New Roman" w:eastAsia="仿宋"/>
                <w:szCs w:val="24"/>
              </w:rPr>
            </w:pPr>
            <w:r>
              <w:rPr>
                <w:rFonts w:ascii="Times New Roman" w:eastAsia="仿宋"/>
                <w:szCs w:val="24"/>
              </w:rPr>
              <w:t>0.</w:t>
            </w:r>
            <w:r>
              <w:rPr>
                <w:rFonts w:hint="eastAsia" w:ascii="Times New Roman" w:eastAsia="仿宋"/>
                <w:szCs w:val="24"/>
              </w:rPr>
              <w:t>5</w:t>
            </w:r>
          </w:p>
        </w:tc>
        <w:tc>
          <w:tcPr>
            <w:tcW w:w="992" w:type="dxa"/>
            <w:vAlign w:val="center"/>
          </w:tcPr>
          <w:p w14:paraId="52DE4028">
            <w:pPr>
              <w:adjustRightInd w:val="0"/>
              <w:snapToGrid w:val="0"/>
              <w:jc w:val="center"/>
              <w:rPr>
                <w:rFonts w:ascii="Times New Roman" w:eastAsia="仿宋"/>
                <w:szCs w:val="21"/>
              </w:rPr>
            </w:pPr>
            <w:r>
              <w:rPr>
                <w:rFonts w:hint="eastAsia" w:ascii="Times New Roman" w:eastAsia="仿宋"/>
                <w:szCs w:val="21"/>
              </w:rPr>
              <w:t>25</w:t>
            </w:r>
          </w:p>
        </w:tc>
        <w:tc>
          <w:tcPr>
            <w:tcW w:w="1051" w:type="dxa"/>
            <w:vAlign w:val="center"/>
          </w:tcPr>
          <w:p w14:paraId="30665353">
            <w:pPr>
              <w:adjustRightInd w:val="0"/>
              <w:snapToGrid w:val="0"/>
              <w:jc w:val="center"/>
              <w:rPr>
                <w:rFonts w:ascii="Times New Roman" w:eastAsia="仿宋"/>
                <w:szCs w:val="21"/>
              </w:rPr>
            </w:pPr>
            <w:r>
              <w:rPr>
                <w:rFonts w:hint="eastAsia" w:ascii="Times New Roman" w:eastAsia="仿宋"/>
                <w:szCs w:val="21"/>
              </w:rPr>
              <w:t>连续4800h</w:t>
            </w:r>
          </w:p>
        </w:tc>
      </w:tr>
    </w:tbl>
    <w:p w14:paraId="73B553A6">
      <w:pPr>
        <w:pStyle w:val="6"/>
        <w:spacing w:before="120" w:after="0" w:line="500" w:lineRule="exact"/>
        <w:rPr>
          <w:rFonts w:ascii="Times New Roman" w:eastAsia="仿宋"/>
          <w:sz w:val="28"/>
          <w:szCs w:val="28"/>
        </w:rPr>
        <w:sectPr>
          <w:pgSz w:w="16838" w:h="11906" w:orient="landscape"/>
          <w:pgMar w:top="1797" w:right="1440" w:bottom="1797" w:left="1440" w:header="1191" w:footer="992" w:gutter="0"/>
          <w:pgNumType w:fmt="numberInDash"/>
          <w:cols w:space="720" w:num="1"/>
          <w:docGrid w:linePitch="312" w:charSpace="0"/>
        </w:sectPr>
      </w:pPr>
    </w:p>
    <w:p w14:paraId="5E47B4A0">
      <w:pPr>
        <w:spacing w:line="500" w:lineRule="exact"/>
        <w:jc w:val="center"/>
        <w:rPr>
          <w:rFonts w:ascii="Times New Roman" w:eastAsia="仿宋"/>
          <w:b/>
          <w:bCs/>
        </w:rPr>
      </w:pPr>
      <w:r>
        <w:rPr>
          <w:rFonts w:ascii="Times New Roman" w:eastAsia="仿宋"/>
          <w:b/>
          <w:bCs/>
        </w:rPr>
        <w:t>表3.2-8  本项目无组织废气产生源强表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475"/>
        <w:gridCol w:w="1209"/>
        <w:gridCol w:w="941"/>
        <w:gridCol w:w="1091"/>
        <w:gridCol w:w="996"/>
        <w:gridCol w:w="1017"/>
      </w:tblGrid>
      <w:tr w14:paraId="0AB7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Align w:val="center"/>
          </w:tcPr>
          <w:p w14:paraId="16F10A0D">
            <w:pPr>
              <w:adjustRightInd w:val="0"/>
              <w:snapToGrid w:val="0"/>
              <w:jc w:val="center"/>
              <w:rPr>
                <w:rFonts w:ascii="Times New Roman" w:eastAsia="仿宋"/>
                <w:szCs w:val="24"/>
              </w:rPr>
            </w:pPr>
            <w:r>
              <w:rPr>
                <w:rFonts w:ascii="Times New Roman" w:eastAsia="仿宋"/>
                <w:szCs w:val="24"/>
              </w:rPr>
              <w:t>污染源位置</w:t>
            </w:r>
          </w:p>
        </w:tc>
        <w:tc>
          <w:tcPr>
            <w:tcW w:w="1475" w:type="dxa"/>
            <w:vAlign w:val="center"/>
          </w:tcPr>
          <w:p w14:paraId="0085960C">
            <w:pPr>
              <w:adjustRightInd w:val="0"/>
              <w:snapToGrid w:val="0"/>
              <w:jc w:val="center"/>
              <w:rPr>
                <w:rFonts w:ascii="Times New Roman" w:eastAsia="仿宋"/>
                <w:szCs w:val="24"/>
              </w:rPr>
            </w:pPr>
            <w:r>
              <w:rPr>
                <w:rFonts w:ascii="Times New Roman" w:eastAsia="仿宋"/>
                <w:szCs w:val="24"/>
              </w:rPr>
              <w:t>污染物名称</w:t>
            </w:r>
          </w:p>
        </w:tc>
        <w:tc>
          <w:tcPr>
            <w:tcW w:w="1209" w:type="dxa"/>
            <w:vAlign w:val="center"/>
          </w:tcPr>
          <w:p w14:paraId="7ACDBAA1">
            <w:pPr>
              <w:adjustRightInd w:val="0"/>
              <w:snapToGrid w:val="0"/>
              <w:jc w:val="center"/>
              <w:rPr>
                <w:rFonts w:ascii="Times New Roman" w:eastAsia="仿宋"/>
                <w:szCs w:val="24"/>
              </w:rPr>
            </w:pPr>
            <w:r>
              <w:rPr>
                <w:rFonts w:ascii="Times New Roman" w:eastAsia="仿宋"/>
                <w:szCs w:val="24"/>
              </w:rPr>
              <w:t>污染物</w:t>
            </w:r>
            <w:r>
              <w:rPr>
                <w:rFonts w:hint="eastAsia" w:ascii="Times New Roman" w:eastAsia="仿宋"/>
                <w:szCs w:val="24"/>
              </w:rPr>
              <w:t>种类</w:t>
            </w:r>
          </w:p>
        </w:tc>
        <w:tc>
          <w:tcPr>
            <w:tcW w:w="941" w:type="dxa"/>
            <w:vAlign w:val="center"/>
          </w:tcPr>
          <w:p w14:paraId="3FEE77ED">
            <w:pPr>
              <w:adjustRightInd w:val="0"/>
              <w:snapToGrid w:val="0"/>
              <w:jc w:val="center"/>
              <w:rPr>
                <w:rFonts w:ascii="Times New Roman" w:eastAsia="仿宋"/>
                <w:szCs w:val="24"/>
              </w:rPr>
            </w:pPr>
            <w:r>
              <w:rPr>
                <w:rFonts w:ascii="Times New Roman" w:eastAsia="仿宋"/>
                <w:szCs w:val="24"/>
              </w:rPr>
              <w:t>污染物产生量(t/a)</w:t>
            </w:r>
          </w:p>
        </w:tc>
        <w:tc>
          <w:tcPr>
            <w:tcW w:w="1091" w:type="dxa"/>
            <w:vAlign w:val="center"/>
          </w:tcPr>
          <w:p w14:paraId="6839BF94">
            <w:pPr>
              <w:adjustRightInd w:val="0"/>
              <w:snapToGrid w:val="0"/>
              <w:jc w:val="center"/>
              <w:rPr>
                <w:rFonts w:ascii="Times New Roman" w:eastAsia="仿宋"/>
                <w:szCs w:val="24"/>
              </w:rPr>
            </w:pPr>
            <w:r>
              <w:rPr>
                <w:rFonts w:hint="eastAsia" w:ascii="Times New Roman" w:eastAsia="仿宋"/>
                <w:szCs w:val="24"/>
              </w:rPr>
              <w:t>污染物排放量（t/a）</w:t>
            </w:r>
          </w:p>
        </w:tc>
        <w:tc>
          <w:tcPr>
            <w:tcW w:w="996" w:type="dxa"/>
            <w:vAlign w:val="center"/>
          </w:tcPr>
          <w:p w14:paraId="4C56D92D">
            <w:pPr>
              <w:adjustRightInd w:val="0"/>
              <w:snapToGrid w:val="0"/>
              <w:jc w:val="center"/>
              <w:rPr>
                <w:rFonts w:ascii="Times New Roman" w:eastAsia="仿宋"/>
                <w:szCs w:val="24"/>
              </w:rPr>
            </w:pPr>
            <w:r>
              <w:rPr>
                <w:rFonts w:ascii="Times New Roman" w:eastAsia="仿宋"/>
                <w:szCs w:val="24"/>
              </w:rPr>
              <w:t>面源面积(m</w:t>
            </w:r>
            <w:r>
              <w:rPr>
                <w:rFonts w:ascii="Times New Roman" w:eastAsia="仿宋"/>
                <w:szCs w:val="24"/>
                <w:vertAlign w:val="superscript"/>
              </w:rPr>
              <w:t>2</w:t>
            </w:r>
            <w:r>
              <w:rPr>
                <w:rFonts w:ascii="Times New Roman" w:eastAsia="仿宋"/>
                <w:szCs w:val="24"/>
              </w:rPr>
              <w:t>)</w:t>
            </w:r>
          </w:p>
        </w:tc>
        <w:tc>
          <w:tcPr>
            <w:tcW w:w="1017" w:type="dxa"/>
            <w:vAlign w:val="center"/>
          </w:tcPr>
          <w:p w14:paraId="7058AB6E">
            <w:pPr>
              <w:adjustRightInd w:val="0"/>
              <w:snapToGrid w:val="0"/>
              <w:jc w:val="center"/>
              <w:rPr>
                <w:rFonts w:ascii="Times New Roman" w:eastAsia="仿宋"/>
                <w:szCs w:val="24"/>
              </w:rPr>
            </w:pPr>
            <w:r>
              <w:rPr>
                <w:rFonts w:ascii="Times New Roman" w:eastAsia="仿宋"/>
                <w:szCs w:val="24"/>
              </w:rPr>
              <w:t>面源高度(m)</w:t>
            </w:r>
          </w:p>
        </w:tc>
      </w:tr>
      <w:tr w14:paraId="5615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Align w:val="center"/>
          </w:tcPr>
          <w:p w14:paraId="3E6163E0">
            <w:pPr>
              <w:spacing w:line="280" w:lineRule="exact"/>
              <w:jc w:val="center"/>
              <w:rPr>
                <w:rFonts w:ascii="Times New Roman" w:hAnsi="等线" w:eastAsia="仿宋"/>
                <w:kern w:val="2"/>
                <w:szCs w:val="21"/>
              </w:rPr>
            </w:pPr>
            <w:r>
              <w:rPr>
                <w:rFonts w:hint="eastAsia" w:ascii="Times New Roman" w:hAnsi="等线" w:eastAsia="仿宋"/>
                <w:kern w:val="2"/>
                <w:szCs w:val="21"/>
              </w:rPr>
              <w:t>1号钣金车间</w:t>
            </w:r>
          </w:p>
        </w:tc>
        <w:tc>
          <w:tcPr>
            <w:tcW w:w="1475" w:type="dxa"/>
            <w:vAlign w:val="center"/>
          </w:tcPr>
          <w:p w14:paraId="693FBC0A">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焊接烟尘G1-1</w:t>
            </w:r>
          </w:p>
        </w:tc>
        <w:tc>
          <w:tcPr>
            <w:tcW w:w="1209" w:type="dxa"/>
            <w:vAlign w:val="center"/>
          </w:tcPr>
          <w:p w14:paraId="2DA8B896">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301701A8">
            <w:pPr>
              <w:spacing w:line="280" w:lineRule="exact"/>
              <w:jc w:val="center"/>
              <w:rPr>
                <w:rFonts w:ascii="Times New Roman" w:hAnsi="等线" w:eastAsia="仿宋"/>
                <w:kern w:val="2"/>
                <w:szCs w:val="21"/>
              </w:rPr>
            </w:pPr>
            <w:r>
              <w:rPr>
                <w:rFonts w:hint="eastAsia" w:ascii="Times New Roman" w:hAnsi="等线" w:eastAsia="仿宋"/>
                <w:kern w:val="2"/>
                <w:szCs w:val="21"/>
              </w:rPr>
              <w:t>0.018</w:t>
            </w:r>
          </w:p>
        </w:tc>
        <w:tc>
          <w:tcPr>
            <w:tcW w:w="1091" w:type="dxa"/>
            <w:vAlign w:val="center"/>
          </w:tcPr>
          <w:p w14:paraId="7BD8F5AB">
            <w:pPr>
              <w:spacing w:line="280" w:lineRule="exact"/>
              <w:jc w:val="center"/>
              <w:rPr>
                <w:rFonts w:ascii="Times New Roman" w:hAnsi="等线" w:eastAsia="仿宋"/>
                <w:kern w:val="2"/>
                <w:szCs w:val="21"/>
              </w:rPr>
            </w:pPr>
            <w:r>
              <w:rPr>
                <w:rFonts w:hint="eastAsia" w:ascii="Times New Roman" w:hAnsi="等线" w:eastAsia="仿宋"/>
                <w:kern w:val="2"/>
                <w:szCs w:val="21"/>
              </w:rPr>
              <w:t>0.01</w:t>
            </w:r>
          </w:p>
        </w:tc>
        <w:tc>
          <w:tcPr>
            <w:tcW w:w="996" w:type="dxa"/>
            <w:vAlign w:val="center"/>
          </w:tcPr>
          <w:p w14:paraId="5C8412CA">
            <w:pPr>
              <w:adjustRightInd w:val="0"/>
              <w:snapToGrid w:val="0"/>
              <w:jc w:val="center"/>
              <w:rPr>
                <w:rFonts w:ascii="Times New Roman" w:eastAsia="仿宋"/>
                <w:szCs w:val="24"/>
              </w:rPr>
            </w:pPr>
            <w:r>
              <w:rPr>
                <w:rFonts w:hint="eastAsia" w:ascii="Times New Roman" w:eastAsia="仿宋"/>
                <w:szCs w:val="24"/>
              </w:rPr>
              <w:t>3257.83</w:t>
            </w:r>
          </w:p>
        </w:tc>
        <w:tc>
          <w:tcPr>
            <w:tcW w:w="1017" w:type="dxa"/>
            <w:vAlign w:val="center"/>
          </w:tcPr>
          <w:p w14:paraId="63A79B6D">
            <w:pPr>
              <w:adjustRightInd w:val="0"/>
              <w:snapToGrid w:val="0"/>
              <w:jc w:val="center"/>
              <w:rPr>
                <w:rFonts w:ascii="Times New Roman" w:eastAsia="仿宋"/>
                <w:szCs w:val="24"/>
              </w:rPr>
            </w:pPr>
            <w:r>
              <w:rPr>
                <w:rFonts w:hint="eastAsia" w:ascii="Times New Roman" w:eastAsia="仿宋"/>
                <w:szCs w:val="24"/>
              </w:rPr>
              <w:t>10</w:t>
            </w:r>
          </w:p>
        </w:tc>
      </w:tr>
      <w:tr w14:paraId="08A0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restart"/>
            <w:shd w:val="clear" w:color="auto" w:fill="auto"/>
            <w:vAlign w:val="center"/>
          </w:tcPr>
          <w:p w14:paraId="53CFA827">
            <w:pPr>
              <w:spacing w:line="280" w:lineRule="exact"/>
              <w:jc w:val="center"/>
              <w:rPr>
                <w:rFonts w:ascii="Times New Roman" w:hAnsi="等线" w:eastAsia="仿宋"/>
                <w:kern w:val="2"/>
                <w:szCs w:val="21"/>
              </w:rPr>
            </w:pPr>
            <w:r>
              <w:rPr>
                <w:rFonts w:hint="eastAsia" w:ascii="Times New Roman" w:hAnsi="等线" w:eastAsia="仿宋"/>
                <w:kern w:val="2"/>
                <w:szCs w:val="21"/>
              </w:rPr>
              <w:t>2号钣金车间</w:t>
            </w:r>
          </w:p>
        </w:tc>
        <w:tc>
          <w:tcPr>
            <w:tcW w:w="1475" w:type="dxa"/>
            <w:vAlign w:val="center"/>
          </w:tcPr>
          <w:p w14:paraId="0C733857">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焊接烟尘G1-2</w:t>
            </w:r>
          </w:p>
        </w:tc>
        <w:tc>
          <w:tcPr>
            <w:tcW w:w="1209" w:type="dxa"/>
            <w:vAlign w:val="center"/>
          </w:tcPr>
          <w:p w14:paraId="6982B2DD">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17EBD3D3">
            <w:pPr>
              <w:spacing w:line="280" w:lineRule="exact"/>
              <w:jc w:val="center"/>
              <w:rPr>
                <w:rFonts w:ascii="Times New Roman" w:hAnsi="等线" w:eastAsia="仿宋"/>
                <w:kern w:val="2"/>
                <w:szCs w:val="21"/>
              </w:rPr>
            </w:pPr>
            <w:r>
              <w:rPr>
                <w:rFonts w:hint="eastAsia" w:ascii="Times New Roman" w:hAnsi="等线" w:eastAsia="仿宋"/>
                <w:kern w:val="2"/>
                <w:szCs w:val="21"/>
              </w:rPr>
              <w:t>0.014</w:t>
            </w:r>
          </w:p>
        </w:tc>
        <w:tc>
          <w:tcPr>
            <w:tcW w:w="1091" w:type="dxa"/>
            <w:vAlign w:val="center"/>
          </w:tcPr>
          <w:p w14:paraId="17C22D84">
            <w:pPr>
              <w:spacing w:line="280" w:lineRule="exact"/>
              <w:jc w:val="center"/>
              <w:rPr>
                <w:rFonts w:ascii="Times New Roman" w:hAnsi="等线" w:eastAsia="仿宋"/>
                <w:kern w:val="2"/>
                <w:szCs w:val="21"/>
              </w:rPr>
            </w:pPr>
            <w:r>
              <w:rPr>
                <w:rFonts w:hint="eastAsia" w:ascii="Times New Roman" w:hAnsi="等线" w:eastAsia="仿宋"/>
                <w:kern w:val="2"/>
                <w:szCs w:val="21"/>
              </w:rPr>
              <w:t>0.006</w:t>
            </w:r>
          </w:p>
        </w:tc>
        <w:tc>
          <w:tcPr>
            <w:tcW w:w="996" w:type="dxa"/>
            <w:vMerge w:val="restart"/>
            <w:vAlign w:val="center"/>
          </w:tcPr>
          <w:p w14:paraId="27FA7724">
            <w:pPr>
              <w:adjustRightInd w:val="0"/>
              <w:snapToGrid w:val="0"/>
              <w:jc w:val="center"/>
              <w:rPr>
                <w:rFonts w:ascii="Times New Roman" w:eastAsia="仿宋"/>
                <w:szCs w:val="24"/>
              </w:rPr>
            </w:pPr>
            <w:r>
              <w:rPr>
                <w:rFonts w:hint="eastAsia" w:ascii="Times New Roman" w:eastAsia="仿宋"/>
                <w:szCs w:val="24"/>
              </w:rPr>
              <w:t>3257.83</w:t>
            </w:r>
          </w:p>
        </w:tc>
        <w:tc>
          <w:tcPr>
            <w:tcW w:w="1017" w:type="dxa"/>
            <w:vMerge w:val="restart"/>
            <w:vAlign w:val="center"/>
          </w:tcPr>
          <w:p w14:paraId="28300C30">
            <w:pPr>
              <w:adjustRightInd w:val="0"/>
              <w:snapToGrid w:val="0"/>
              <w:jc w:val="center"/>
              <w:rPr>
                <w:rFonts w:ascii="Times New Roman" w:eastAsia="仿宋"/>
                <w:szCs w:val="24"/>
              </w:rPr>
            </w:pPr>
            <w:r>
              <w:rPr>
                <w:rFonts w:hint="eastAsia" w:ascii="Times New Roman" w:eastAsia="仿宋"/>
                <w:szCs w:val="24"/>
              </w:rPr>
              <w:t>10</w:t>
            </w:r>
          </w:p>
        </w:tc>
      </w:tr>
      <w:tr w14:paraId="638B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shd w:val="clear" w:color="auto" w:fill="auto"/>
            <w:vAlign w:val="center"/>
          </w:tcPr>
          <w:p w14:paraId="12A6EA7B">
            <w:pPr>
              <w:spacing w:line="280" w:lineRule="exact"/>
              <w:jc w:val="center"/>
              <w:rPr>
                <w:rFonts w:ascii="Times New Roman" w:hAnsi="等线" w:eastAsia="仿宋"/>
                <w:kern w:val="2"/>
                <w:szCs w:val="21"/>
              </w:rPr>
            </w:pPr>
          </w:p>
        </w:tc>
        <w:tc>
          <w:tcPr>
            <w:tcW w:w="1475" w:type="dxa"/>
            <w:shd w:val="clear" w:color="auto" w:fill="auto"/>
            <w:vAlign w:val="center"/>
          </w:tcPr>
          <w:p w14:paraId="044BCBF7">
            <w:pPr>
              <w:spacing w:line="280" w:lineRule="exact"/>
              <w:jc w:val="center"/>
              <w:rPr>
                <w:rFonts w:ascii="Times New Roman" w:hAnsi="等线" w:eastAsia="仿宋"/>
                <w:kern w:val="2"/>
                <w:szCs w:val="21"/>
              </w:rPr>
            </w:pPr>
            <w:r>
              <w:rPr>
                <w:rFonts w:hint="eastAsia" w:ascii="Times New Roman" w:hAnsi="等线" w:eastAsia="仿宋"/>
                <w:kern w:val="2"/>
                <w:szCs w:val="21"/>
              </w:rPr>
              <w:t>未收集的抛光粉尘G</w:t>
            </w:r>
            <w:r>
              <w:rPr>
                <w:rFonts w:ascii="Times New Roman" w:hAnsi="等线" w:eastAsia="仿宋"/>
                <w:kern w:val="2"/>
                <w:szCs w:val="21"/>
              </w:rPr>
              <w:t>2</w:t>
            </w:r>
          </w:p>
        </w:tc>
        <w:tc>
          <w:tcPr>
            <w:tcW w:w="1209" w:type="dxa"/>
            <w:shd w:val="clear" w:color="auto" w:fill="auto"/>
            <w:vAlign w:val="center"/>
          </w:tcPr>
          <w:p w14:paraId="5E0DD97C">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shd w:val="clear" w:color="auto" w:fill="auto"/>
            <w:vAlign w:val="center"/>
          </w:tcPr>
          <w:p w14:paraId="242BBD30">
            <w:pPr>
              <w:adjustRightInd w:val="0"/>
              <w:snapToGrid w:val="0"/>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1091" w:type="dxa"/>
            <w:shd w:val="clear" w:color="auto" w:fill="auto"/>
            <w:vAlign w:val="center"/>
          </w:tcPr>
          <w:p w14:paraId="27E18C8E">
            <w:pPr>
              <w:adjustRightInd w:val="0"/>
              <w:snapToGrid w:val="0"/>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996" w:type="dxa"/>
            <w:vMerge w:val="continue"/>
            <w:shd w:val="clear" w:color="auto" w:fill="auto"/>
            <w:vAlign w:val="center"/>
          </w:tcPr>
          <w:p w14:paraId="2317FEAB">
            <w:pPr>
              <w:pStyle w:val="35"/>
              <w:jc w:val="center"/>
              <w:rPr>
                <w:rFonts w:eastAsia="仿宋"/>
                <w:kern w:val="0"/>
                <w:sz w:val="24"/>
              </w:rPr>
            </w:pPr>
          </w:p>
        </w:tc>
        <w:tc>
          <w:tcPr>
            <w:tcW w:w="1017" w:type="dxa"/>
            <w:vMerge w:val="continue"/>
            <w:shd w:val="clear" w:color="auto" w:fill="auto"/>
            <w:vAlign w:val="center"/>
          </w:tcPr>
          <w:p w14:paraId="535BE865">
            <w:pPr>
              <w:pStyle w:val="35"/>
              <w:jc w:val="center"/>
              <w:rPr>
                <w:rFonts w:eastAsia="仿宋"/>
                <w:kern w:val="0"/>
                <w:sz w:val="24"/>
              </w:rPr>
            </w:pPr>
          </w:p>
        </w:tc>
      </w:tr>
      <w:tr w14:paraId="0560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shd w:val="clear" w:color="auto" w:fill="auto"/>
            <w:vAlign w:val="center"/>
          </w:tcPr>
          <w:p w14:paraId="6EC7693A">
            <w:pPr>
              <w:spacing w:line="280" w:lineRule="exact"/>
              <w:jc w:val="center"/>
              <w:rPr>
                <w:rFonts w:ascii="Times New Roman" w:hAnsi="等线" w:eastAsia="仿宋"/>
                <w:kern w:val="2"/>
                <w:szCs w:val="21"/>
              </w:rPr>
            </w:pPr>
            <w:r>
              <w:rPr>
                <w:rFonts w:hint="eastAsia" w:ascii="Times New Roman" w:hAnsi="等线" w:eastAsia="仿宋"/>
                <w:kern w:val="2"/>
                <w:szCs w:val="21"/>
              </w:rPr>
              <w:t>4号钣金车间</w:t>
            </w:r>
          </w:p>
        </w:tc>
        <w:tc>
          <w:tcPr>
            <w:tcW w:w="1475" w:type="dxa"/>
            <w:vAlign w:val="center"/>
          </w:tcPr>
          <w:p w14:paraId="149F24AD">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焊接烟尘G1-3</w:t>
            </w:r>
          </w:p>
        </w:tc>
        <w:tc>
          <w:tcPr>
            <w:tcW w:w="1209" w:type="dxa"/>
            <w:vAlign w:val="center"/>
          </w:tcPr>
          <w:p w14:paraId="5C0515C9">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40F177CA">
            <w:pPr>
              <w:spacing w:line="280" w:lineRule="exact"/>
              <w:jc w:val="center"/>
              <w:rPr>
                <w:rFonts w:ascii="Times New Roman" w:hAnsi="等线" w:eastAsia="仿宋"/>
                <w:kern w:val="2"/>
                <w:szCs w:val="21"/>
              </w:rPr>
            </w:pPr>
            <w:r>
              <w:rPr>
                <w:rFonts w:hint="eastAsia" w:ascii="Times New Roman" w:hAnsi="等线" w:eastAsia="仿宋"/>
                <w:kern w:val="2"/>
                <w:szCs w:val="21"/>
              </w:rPr>
              <w:t>0.018</w:t>
            </w:r>
          </w:p>
        </w:tc>
        <w:tc>
          <w:tcPr>
            <w:tcW w:w="1091" w:type="dxa"/>
            <w:vAlign w:val="center"/>
          </w:tcPr>
          <w:p w14:paraId="09059A05">
            <w:pPr>
              <w:adjustRightInd w:val="0"/>
              <w:snapToGrid w:val="0"/>
              <w:jc w:val="center"/>
              <w:rPr>
                <w:rFonts w:ascii="Times New Roman" w:eastAsia="仿宋"/>
                <w:szCs w:val="24"/>
              </w:rPr>
            </w:pPr>
            <w:r>
              <w:rPr>
                <w:rFonts w:hint="eastAsia" w:ascii="Times New Roman" w:eastAsia="仿宋"/>
                <w:szCs w:val="24"/>
              </w:rPr>
              <w:t>0.01</w:t>
            </w:r>
          </w:p>
        </w:tc>
        <w:tc>
          <w:tcPr>
            <w:tcW w:w="996" w:type="dxa"/>
            <w:vAlign w:val="center"/>
          </w:tcPr>
          <w:p w14:paraId="61AF6E47">
            <w:pPr>
              <w:adjustRightInd w:val="0"/>
              <w:snapToGrid w:val="0"/>
              <w:jc w:val="center"/>
              <w:rPr>
                <w:rFonts w:ascii="Times New Roman" w:eastAsia="仿宋"/>
                <w:szCs w:val="24"/>
              </w:rPr>
            </w:pPr>
            <w:r>
              <w:rPr>
                <w:rFonts w:hint="eastAsia" w:ascii="Times New Roman" w:eastAsia="仿宋"/>
                <w:szCs w:val="24"/>
              </w:rPr>
              <w:t>4826.84</w:t>
            </w:r>
          </w:p>
        </w:tc>
        <w:tc>
          <w:tcPr>
            <w:tcW w:w="1017" w:type="dxa"/>
            <w:vAlign w:val="center"/>
          </w:tcPr>
          <w:p w14:paraId="03E05635">
            <w:pPr>
              <w:adjustRightInd w:val="0"/>
              <w:snapToGrid w:val="0"/>
              <w:jc w:val="center"/>
              <w:rPr>
                <w:rFonts w:ascii="Times New Roman" w:eastAsia="仿宋"/>
                <w:szCs w:val="24"/>
              </w:rPr>
            </w:pPr>
            <w:r>
              <w:rPr>
                <w:rFonts w:hint="eastAsia" w:ascii="Times New Roman" w:eastAsia="仿宋"/>
                <w:szCs w:val="24"/>
              </w:rPr>
              <w:t>10</w:t>
            </w:r>
          </w:p>
        </w:tc>
      </w:tr>
      <w:tr w14:paraId="7D93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restart"/>
            <w:vAlign w:val="center"/>
          </w:tcPr>
          <w:p w14:paraId="19C54AFE">
            <w:pPr>
              <w:spacing w:line="280" w:lineRule="exact"/>
              <w:jc w:val="center"/>
            </w:pPr>
            <w:r>
              <w:rPr>
                <w:rFonts w:hint="eastAsia" w:ascii="Times New Roman" w:hAnsi="等线" w:eastAsia="仿宋"/>
                <w:kern w:val="2"/>
                <w:szCs w:val="21"/>
              </w:rPr>
              <w:t>3号喷涂车间</w:t>
            </w:r>
          </w:p>
        </w:tc>
        <w:tc>
          <w:tcPr>
            <w:tcW w:w="1475" w:type="dxa"/>
            <w:vAlign w:val="center"/>
          </w:tcPr>
          <w:p w14:paraId="2B44F975">
            <w:pPr>
              <w:spacing w:line="280" w:lineRule="exact"/>
              <w:jc w:val="center"/>
              <w:rPr>
                <w:rFonts w:ascii="Times New Roman" w:hAnsi="等线" w:eastAsia="仿宋"/>
                <w:kern w:val="2"/>
                <w:szCs w:val="21"/>
              </w:rPr>
            </w:pPr>
            <w:r>
              <w:rPr>
                <w:rFonts w:hint="eastAsia" w:ascii="Times New Roman" w:hAnsi="等线" w:eastAsia="仿宋"/>
                <w:kern w:val="2"/>
                <w:szCs w:val="21"/>
              </w:rPr>
              <w:t>未收集的钝化废气G4</w:t>
            </w:r>
          </w:p>
        </w:tc>
        <w:tc>
          <w:tcPr>
            <w:tcW w:w="1209" w:type="dxa"/>
            <w:vAlign w:val="center"/>
          </w:tcPr>
          <w:p w14:paraId="5929A6DC">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6776EF1E">
            <w:pPr>
              <w:spacing w:line="280" w:lineRule="exact"/>
              <w:jc w:val="center"/>
              <w:rPr>
                <w:rFonts w:ascii="Times New Roman" w:hAnsi="等线" w:eastAsia="仿宋"/>
                <w:kern w:val="2"/>
                <w:szCs w:val="21"/>
              </w:rPr>
            </w:pPr>
            <w:r>
              <w:rPr>
                <w:rFonts w:hint="eastAsia" w:ascii="Times New Roman" w:hAnsi="等线" w:eastAsia="仿宋"/>
                <w:kern w:val="2"/>
                <w:szCs w:val="21"/>
              </w:rPr>
              <w:t>0.87</w:t>
            </w:r>
          </w:p>
        </w:tc>
        <w:tc>
          <w:tcPr>
            <w:tcW w:w="1091" w:type="dxa"/>
            <w:vAlign w:val="center"/>
          </w:tcPr>
          <w:p w14:paraId="65151BF0">
            <w:pPr>
              <w:spacing w:line="280" w:lineRule="exact"/>
              <w:jc w:val="center"/>
              <w:rPr>
                <w:rFonts w:ascii="Times New Roman" w:hAnsi="等线" w:eastAsia="仿宋"/>
                <w:kern w:val="2"/>
                <w:szCs w:val="21"/>
              </w:rPr>
            </w:pPr>
            <w:r>
              <w:rPr>
                <w:rFonts w:hint="eastAsia" w:ascii="Times New Roman" w:hAnsi="等线" w:eastAsia="仿宋"/>
                <w:kern w:val="2"/>
                <w:szCs w:val="21"/>
              </w:rPr>
              <w:t>0.87</w:t>
            </w:r>
          </w:p>
        </w:tc>
        <w:tc>
          <w:tcPr>
            <w:tcW w:w="996" w:type="dxa"/>
            <w:vMerge w:val="restart"/>
            <w:vAlign w:val="center"/>
          </w:tcPr>
          <w:p w14:paraId="1F3C1805">
            <w:pPr>
              <w:spacing w:line="280" w:lineRule="exact"/>
              <w:jc w:val="center"/>
              <w:rPr>
                <w:rFonts w:ascii="Times New Roman" w:hAnsi="等线" w:eastAsia="仿宋"/>
                <w:kern w:val="2"/>
                <w:szCs w:val="21"/>
              </w:rPr>
            </w:pPr>
            <w:r>
              <w:rPr>
                <w:rFonts w:hint="eastAsia" w:ascii="Times New Roman" w:hAnsi="等线" w:eastAsia="仿宋"/>
                <w:kern w:val="2"/>
                <w:szCs w:val="21"/>
              </w:rPr>
              <w:t>3</w:t>
            </w:r>
            <w:r>
              <w:rPr>
                <w:rFonts w:ascii="Times New Roman" w:hAnsi="等线" w:eastAsia="仿宋"/>
                <w:kern w:val="2"/>
                <w:szCs w:val="21"/>
              </w:rPr>
              <w:t>257</w:t>
            </w:r>
            <w:r>
              <w:rPr>
                <w:rFonts w:hint="eastAsia" w:ascii="Times New Roman" w:hAnsi="等线" w:eastAsia="仿宋"/>
                <w:kern w:val="2"/>
                <w:szCs w:val="21"/>
              </w:rPr>
              <w:t>.83</w:t>
            </w:r>
          </w:p>
        </w:tc>
        <w:tc>
          <w:tcPr>
            <w:tcW w:w="1017" w:type="dxa"/>
            <w:vMerge w:val="restart"/>
            <w:vAlign w:val="center"/>
          </w:tcPr>
          <w:p w14:paraId="608C520C">
            <w:pPr>
              <w:spacing w:line="280" w:lineRule="exact"/>
              <w:jc w:val="center"/>
              <w:rPr>
                <w:rFonts w:ascii="Times New Roman" w:hAnsi="等线" w:eastAsia="仿宋"/>
                <w:kern w:val="2"/>
                <w:szCs w:val="21"/>
              </w:rPr>
            </w:pPr>
            <w:r>
              <w:rPr>
                <w:rFonts w:hint="eastAsia" w:ascii="Times New Roman" w:hAnsi="等线" w:eastAsia="仿宋"/>
                <w:kern w:val="2"/>
                <w:szCs w:val="21"/>
              </w:rPr>
              <w:t>1</w:t>
            </w:r>
            <w:r>
              <w:rPr>
                <w:rFonts w:ascii="Times New Roman" w:hAnsi="等线" w:eastAsia="仿宋"/>
                <w:kern w:val="2"/>
                <w:szCs w:val="21"/>
              </w:rPr>
              <w:t>0</w:t>
            </w:r>
          </w:p>
        </w:tc>
      </w:tr>
      <w:tr w14:paraId="5498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21ECB3A">
            <w:pPr>
              <w:pStyle w:val="35"/>
            </w:pPr>
          </w:p>
        </w:tc>
        <w:tc>
          <w:tcPr>
            <w:tcW w:w="1475" w:type="dxa"/>
            <w:vAlign w:val="center"/>
          </w:tcPr>
          <w:p w14:paraId="4981F7EF">
            <w:pPr>
              <w:spacing w:line="280" w:lineRule="exact"/>
              <w:jc w:val="center"/>
              <w:rPr>
                <w:rFonts w:ascii="Times New Roman" w:hAnsi="等线" w:eastAsia="仿宋"/>
                <w:kern w:val="2"/>
                <w:szCs w:val="21"/>
              </w:rPr>
            </w:pPr>
            <w:r>
              <w:rPr>
                <w:rFonts w:hint="eastAsia" w:ascii="Times New Roman" w:hAnsi="等线" w:eastAsia="仿宋"/>
                <w:kern w:val="2"/>
                <w:szCs w:val="21"/>
              </w:rPr>
              <w:t>未收集的喷粉粉尘G6</w:t>
            </w:r>
          </w:p>
        </w:tc>
        <w:tc>
          <w:tcPr>
            <w:tcW w:w="1209" w:type="dxa"/>
            <w:vAlign w:val="center"/>
          </w:tcPr>
          <w:p w14:paraId="786B3D9A">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089792D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.13</w:t>
            </w:r>
          </w:p>
        </w:tc>
        <w:tc>
          <w:tcPr>
            <w:tcW w:w="1091" w:type="dxa"/>
            <w:vAlign w:val="center"/>
          </w:tcPr>
          <w:p w14:paraId="7818C41C">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.13</w:t>
            </w:r>
          </w:p>
        </w:tc>
        <w:tc>
          <w:tcPr>
            <w:tcW w:w="996" w:type="dxa"/>
            <w:vMerge w:val="continue"/>
            <w:vAlign w:val="center"/>
          </w:tcPr>
          <w:p w14:paraId="723431F5">
            <w:pPr>
              <w:pStyle w:val="35"/>
            </w:pPr>
          </w:p>
        </w:tc>
        <w:tc>
          <w:tcPr>
            <w:tcW w:w="1017" w:type="dxa"/>
            <w:vMerge w:val="continue"/>
            <w:vAlign w:val="center"/>
          </w:tcPr>
          <w:p w14:paraId="45B1A812">
            <w:pPr>
              <w:pStyle w:val="35"/>
            </w:pPr>
          </w:p>
        </w:tc>
      </w:tr>
      <w:tr w14:paraId="398A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A5AA1AE">
            <w:pPr>
              <w:pStyle w:val="35"/>
            </w:pPr>
          </w:p>
        </w:tc>
        <w:tc>
          <w:tcPr>
            <w:tcW w:w="1475" w:type="dxa"/>
            <w:vAlign w:val="center"/>
          </w:tcPr>
          <w:p w14:paraId="0CA99DE2">
            <w:pPr>
              <w:spacing w:line="280" w:lineRule="exact"/>
              <w:jc w:val="center"/>
              <w:rPr>
                <w:rFonts w:ascii="Times New Roman" w:hAnsi="等线" w:eastAsia="仿宋"/>
                <w:kern w:val="2"/>
                <w:szCs w:val="21"/>
              </w:rPr>
            </w:pPr>
            <w:r>
              <w:rPr>
                <w:rFonts w:hint="eastAsia" w:ascii="Times New Roman" w:hAnsi="等线" w:eastAsia="仿宋"/>
                <w:kern w:val="2"/>
                <w:szCs w:val="21"/>
              </w:rPr>
              <w:t>未收集的固化废气G7</w:t>
            </w:r>
          </w:p>
        </w:tc>
        <w:tc>
          <w:tcPr>
            <w:tcW w:w="1209" w:type="dxa"/>
            <w:vAlign w:val="center"/>
          </w:tcPr>
          <w:p w14:paraId="42D60408">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2C68BB5">
            <w:pPr>
              <w:spacing w:line="24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.001</w:t>
            </w:r>
          </w:p>
        </w:tc>
        <w:tc>
          <w:tcPr>
            <w:tcW w:w="1091" w:type="dxa"/>
            <w:vAlign w:val="center"/>
          </w:tcPr>
          <w:p w14:paraId="3A61DE53">
            <w:pPr>
              <w:spacing w:line="24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.001</w:t>
            </w:r>
          </w:p>
        </w:tc>
        <w:tc>
          <w:tcPr>
            <w:tcW w:w="996" w:type="dxa"/>
            <w:vMerge w:val="continue"/>
            <w:vAlign w:val="center"/>
          </w:tcPr>
          <w:p w14:paraId="23726E72">
            <w:pPr>
              <w:pStyle w:val="35"/>
            </w:pPr>
          </w:p>
        </w:tc>
        <w:tc>
          <w:tcPr>
            <w:tcW w:w="1017" w:type="dxa"/>
            <w:vMerge w:val="continue"/>
            <w:vAlign w:val="center"/>
          </w:tcPr>
          <w:p w14:paraId="5595FBEF">
            <w:pPr>
              <w:pStyle w:val="35"/>
            </w:pPr>
          </w:p>
        </w:tc>
      </w:tr>
      <w:tr w14:paraId="67CC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5CD49B9D">
            <w:pPr>
              <w:pStyle w:val="35"/>
            </w:pPr>
          </w:p>
        </w:tc>
        <w:tc>
          <w:tcPr>
            <w:tcW w:w="1475" w:type="dxa"/>
            <w:vMerge w:val="restart"/>
            <w:vAlign w:val="center"/>
          </w:tcPr>
          <w:p w14:paraId="2065AA13">
            <w:pPr>
              <w:spacing w:line="280" w:lineRule="exact"/>
              <w:jc w:val="center"/>
              <w:rPr>
                <w:rFonts w:ascii="Times New Roman" w:hAnsi="等线" w:eastAsia="仿宋"/>
                <w:kern w:val="2"/>
                <w:szCs w:val="21"/>
              </w:rPr>
            </w:pPr>
            <w:r>
              <w:rPr>
                <w:rFonts w:hint="eastAsia" w:ascii="Times New Roman" w:hAnsi="等线" w:eastAsia="仿宋"/>
                <w:kern w:val="2"/>
                <w:szCs w:val="21"/>
              </w:rPr>
              <w:t>未收集的调漆废气G9</w:t>
            </w:r>
          </w:p>
        </w:tc>
        <w:tc>
          <w:tcPr>
            <w:tcW w:w="1209" w:type="dxa"/>
            <w:vAlign w:val="center"/>
          </w:tcPr>
          <w:p w14:paraId="7AB6A576">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6D5FB66B">
            <w:pPr>
              <w:spacing w:line="280" w:lineRule="exact"/>
              <w:jc w:val="center"/>
              <w:rPr>
                <w:rFonts w:ascii="Times New Roman" w:hAnsi="等线" w:eastAsia="仿宋"/>
                <w:kern w:val="2"/>
                <w:szCs w:val="21"/>
              </w:rPr>
            </w:pPr>
            <w:r>
              <w:rPr>
                <w:rFonts w:hint="eastAsia" w:ascii="Times New Roman" w:hAnsi="等线" w:eastAsia="仿宋"/>
                <w:kern w:val="2"/>
                <w:szCs w:val="21"/>
              </w:rPr>
              <w:t>0.006</w:t>
            </w:r>
          </w:p>
        </w:tc>
        <w:tc>
          <w:tcPr>
            <w:tcW w:w="1091" w:type="dxa"/>
            <w:vAlign w:val="center"/>
          </w:tcPr>
          <w:p w14:paraId="24138B32">
            <w:pPr>
              <w:spacing w:line="280" w:lineRule="exact"/>
              <w:jc w:val="center"/>
              <w:rPr>
                <w:rFonts w:ascii="Times New Roman" w:hAnsi="等线" w:eastAsia="仿宋"/>
                <w:kern w:val="2"/>
                <w:szCs w:val="21"/>
              </w:rPr>
            </w:pPr>
            <w:r>
              <w:rPr>
                <w:rFonts w:hint="eastAsia" w:ascii="Times New Roman" w:hAnsi="等线" w:eastAsia="仿宋"/>
                <w:kern w:val="2"/>
                <w:szCs w:val="21"/>
              </w:rPr>
              <w:t>0.006</w:t>
            </w:r>
          </w:p>
        </w:tc>
        <w:tc>
          <w:tcPr>
            <w:tcW w:w="996" w:type="dxa"/>
            <w:vMerge w:val="continue"/>
            <w:vAlign w:val="center"/>
          </w:tcPr>
          <w:p w14:paraId="15FE1A04">
            <w:pPr>
              <w:pStyle w:val="35"/>
            </w:pPr>
          </w:p>
        </w:tc>
        <w:tc>
          <w:tcPr>
            <w:tcW w:w="1017" w:type="dxa"/>
            <w:vMerge w:val="continue"/>
            <w:vAlign w:val="center"/>
          </w:tcPr>
          <w:p w14:paraId="295DC6B4">
            <w:pPr>
              <w:pStyle w:val="35"/>
            </w:pPr>
          </w:p>
        </w:tc>
      </w:tr>
      <w:tr w14:paraId="16DA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72FECAC">
            <w:pPr>
              <w:pStyle w:val="35"/>
            </w:pPr>
          </w:p>
        </w:tc>
        <w:tc>
          <w:tcPr>
            <w:tcW w:w="1475" w:type="dxa"/>
            <w:vMerge w:val="continue"/>
            <w:vAlign w:val="center"/>
          </w:tcPr>
          <w:p w14:paraId="2A993E35">
            <w:pPr>
              <w:spacing w:line="280" w:lineRule="exact"/>
              <w:jc w:val="center"/>
              <w:rPr>
                <w:rFonts w:ascii="Times New Roman" w:hAnsi="等线" w:eastAsia="仿宋"/>
                <w:kern w:val="2"/>
                <w:szCs w:val="21"/>
              </w:rPr>
            </w:pPr>
          </w:p>
        </w:tc>
        <w:tc>
          <w:tcPr>
            <w:tcW w:w="1209" w:type="dxa"/>
            <w:vAlign w:val="center"/>
          </w:tcPr>
          <w:p w14:paraId="79112084">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182BD056">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.003</w:t>
            </w:r>
          </w:p>
        </w:tc>
        <w:tc>
          <w:tcPr>
            <w:tcW w:w="1091" w:type="dxa"/>
            <w:vAlign w:val="center"/>
          </w:tcPr>
          <w:p w14:paraId="569D0FE2">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.003</w:t>
            </w:r>
          </w:p>
        </w:tc>
        <w:tc>
          <w:tcPr>
            <w:tcW w:w="996" w:type="dxa"/>
            <w:vMerge w:val="continue"/>
            <w:vAlign w:val="center"/>
          </w:tcPr>
          <w:p w14:paraId="7C407DF4">
            <w:pPr>
              <w:pStyle w:val="35"/>
            </w:pPr>
          </w:p>
        </w:tc>
        <w:tc>
          <w:tcPr>
            <w:tcW w:w="1017" w:type="dxa"/>
            <w:vMerge w:val="continue"/>
            <w:vAlign w:val="center"/>
          </w:tcPr>
          <w:p w14:paraId="7B2F9D98">
            <w:pPr>
              <w:pStyle w:val="35"/>
            </w:pPr>
          </w:p>
        </w:tc>
      </w:tr>
      <w:tr w14:paraId="43D1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AD86151">
            <w:pPr>
              <w:pStyle w:val="35"/>
            </w:pPr>
          </w:p>
        </w:tc>
        <w:tc>
          <w:tcPr>
            <w:tcW w:w="1475" w:type="dxa"/>
            <w:vMerge w:val="continue"/>
            <w:vAlign w:val="center"/>
          </w:tcPr>
          <w:p w14:paraId="354C2D00">
            <w:pPr>
              <w:spacing w:line="280" w:lineRule="exact"/>
              <w:jc w:val="center"/>
              <w:rPr>
                <w:rFonts w:ascii="Times New Roman" w:hAnsi="等线" w:eastAsia="仿宋"/>
                <w:kern w:val="2"/>
                <w:szCs w:val="21"/>
              </w:rPr>
            </w:pPr>
          </w:p>
        </w:tc>
        <w:tc>
          <w:tcPr>
            <w:tcW w:w="1209" w:type="dxa"/>
            <w:vAlign w:val="center"/>
          </w:tcPr>
          <w:p w14:paraId="3153EE5F">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31FC8659">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.003</w:t>
            </w:r>
          </w:p>
        </w:tc>
        <w:tc>
          <w:tcPr>
            <w:tcW w:w="1091" w:type="dxa"/>
            <w:vAlign w:val="center"/>
          </w:tcPr>
          <w:p w14:paraId="39D975C9">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.003</w:t>
            </w:r>
          </w:p>
        </w:tc>
        <w:tc>
          <w:tcPr>
            <w:tcW w:w="996" w:type="dxa"/>
            <w:vMerge w:val="continue"/>
            <w:vAlign w:val="center"/>
          </w:tcPr>
          <w:p w14:paraId="3645ACF3">
            <w:pPr>
              <w:pStyle w:val="35"/>
            </w:pPr>
          </w:p>
        </w:tc>
        <w:tc>
          <w:tcPr>
            <w:tcW w:w="1017" w:type="dxa"/>
            <w:vMerge w:val="continue"/>
            <w:vAlign w:val="center"/>
          </w:tcPr>
          <w:p w14:paraId="4CB9BD22">
            <w:pPr>
              <w:pStyle w:val="35"/>
            </w:pPr>
          </w:p>
        </w:tc>
      </w:tr>
      <w:tr w14:paraId="7AA0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EB3E88B">
            <w:pPr>
              <w:pStyle w:val="35"/>
            </w:pPr>
          </w:p>
        </w:tc>
        <w:tc>
          <w:tcPr>
            <w:tcW w:w="1475" w:type="dxa"/>
            <w:vMerge w:val="restart"/>
            <w:vAlign w:val="center"/>
          </w:tcPr>
          <w:p w14:paraId="39B496E0">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喷氟碳底漆喷漆废气G10</w:t>
            </w:r>
          </w:p>
        </w:tc>
        <w:tc>
          <w:tcPr>
            <w:tcW w:w="1209" w:type="dxa"/>
            <w:vAlign w:val="center"/>
          </w:tcPr>
          <w:p w14:paraId="7D12112F">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63710F4">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1091" w:type="dxa"/>
            <w:vAlign w:val="center"/>
          </w:tcPr>
          <w:p w14:paraId="76A72F53">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996" w:type="dxa"/>
            <w:vMerge w:val="continue"/>
            <w:vAlign w:val="center"/>
          </w:tcPr>
          <w:p w14:paraId="1560DFBF">
            <w:pPr>
              <w:pStyle w:val="35"/>
            </w:pPr>
          </w:p>
        </w:tc>
        <w:tc>
          <w:tcPr>
            <w:tcW w:w="1017" w:type="dxa"/>
            <w:vMerge w:val="continue"/>
            <w:vAlign w:val="center"/>
          </w:tcPr>
          <w:p w14:paraId="3DE80ADF">
            <w:pPr>
              <w:pStyle w:val="35"/>
            </w:pPr>
          </w:p>
        </w:tc>
      </w:tr>
      <w:tr w14:paraId="7445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DE995F3">
            <w:pPr>
              <w:pStyle w:val="35"/>
            </w:pPr>
          </w:p>
        </w:tc>
        <w:tc>
          <w:tcPr>
            <w:tcW w:w="1475" w:type="dxa"/>
            <w:vMerge w:val="continue"/>
            <w:vAlign w:val="center"/>
          </w:tcPr>
          <w:p w14:paraId="24D1F811">
            <w:pPr>
              <w:spacing w:line="280" w:lineRule="exact"/>
              <w:jc w:val="center"/>
              <w:rPr>
                <w:rFonts w:ascii="Times New Roman" w:hAnsi="等线" w:eastAsia="仿宋"/>
                <w:kern w:val="2"/>
                <w:szCs w:val="21"/>
              </w:rPr>
            </w:pPr>
          </w:p>
        </w:tc>
        <w:tc>
          <w:tcPr>
            <w:tcW w:w="1209" w:type="dxa"/>
            <w:vAlign w:val="center"/>
          </w:tcPr>
          <w:p w14:paraId="1641427A">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50F07A4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1091" w:type="dxa"/>
            <w:vAlign w:val="center"/>
          </w:tcPr>
          <w:p w14:paraId="097DA920">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996" w:type="dxa"/>
            <w:vMerge w:val="continue"/>
            <w:vAlign w:val="center"/>
          </w:tcPr>
          <w:p w14:paraId="5624D29C">
            <w:pPr>
              <w:pStyle w:val="35"/>
            </w:pPr>
          </w:p>
        </w:tc>
        <w:tc>
          <w:tcPr>
            <w:tcW w:w="1017" w:type="dxa"/>
            <w:vMerge w:val="continue"/>
            <w:vAlign w:val="center"/>
          </w:tcPr>
          <w:p w14:paraId="70F87FFF">
            <w:pPr>
              <w:pStyle w:val="35"/>
            </w:pPr>
          </w:p>
        </w:tc>
      </w:tr>
      <w:tr w14:paraId="55F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0D51BED">
            <w:pPr>
              <w:pStyle w:val="35"/>
            </w:pPr>
          </w:p>
        </w:tc>
        <w:tc>
          <w:tcPr>
            <w:tcW w:w="1475" w:type="dxa"/>
            <w:vMerge w:val="continue"/>
            <w:vAlign w:val="center"/>
          </w:tcPr>
          <w:p w14:paraId="3F14F528">
            <w:pPr>
              <w:spacing w:line="280" w:lineRule="exact"/>
              <w:jc w:val="center"/>
              <w:rPr>
                <w:rFonts w:ascii="Times New Roman" w:hAnsi="等线" w:eastAsia="仿宋"/>
                <w:kern w:val="2"/>
                <w:szCs w:val="21"/>
              </w:rPr>
            </w:pPr>
          </w:p>
        </w:tc>
        <w:tc>
          <w:tcPr>
            <w:tcW w:w="1209" w:type="dxa"/>
            <w:vAlign w:val="center"/>
          </w:tcPr>
          <w:p w14:paraId="14F0363C">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7F1E67D2">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1091" w:type="dxa"/>
            <w:vAlign w:val="center"/>
          </w:tcPr>
          <w:p w14:paraId="570389F1">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996" w:type="dxa"/>
            <w:vMerge w:val="continue"/>
            <w:vAlign w:val="center"/>
          </w:tcPr>
          <w:p w14:paraId="16675C5E">
            <w:pPr>
              <w:pStyle w:val="35"/>
            </w:pPr>
          </w:p>
        </w:tc>
        <w:tc>
          <w:tcPr>
            <w:tcW w:w="1017" w:type="dxa"/>
            <w:vMerge w:val="continue"/>
            <w:vAlign w:val="center"/>
          </w:tcPr>
          <w:p w14:paraId="5CA89ECC">
            <w:pPr>
              <w:pStyle w:val="35"/>
            </w:pPr>
          </w:p>
        </w:tc>
      </w:tr>
      <w:tr w14:paraId="6697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E308B0C">
            <w:pPr>
              <w:pStyle w:val="35"/>
            </w:pPr>
          </w:p>
        </w:tc>
        <w:tc>
          <w:tcPr>
            <w:tcW w:w="1475" w:type="dxa"/>
            <w:vMerge w:val="continue"/>
            <w:vAlign w:val="center"/>
          </w:tcPr>
          <w:p w14:paraId="1899AD3A">
            <w:pPr>
              <w:spacing w:line="280" w:lineRule="exact"/>
              <w:jc w:val="center"/>
              <w:rPr>
                <w:rFonts w:ascii="Times New Roman" w:hAnsi="等线" w:eastAsia="仿宋"/>
                <w:kern w:val="2"/>
                <w:szCs w:val="21"/>
              </w:rPr>
            </w:pPr>
          </w:p>
        </w:tc>
        <w:tc>
          <w:tcPr>
            <w:tcW w:w="1209" w:type="dxa"/>
            <w:vAlign w:val="center"/>
          </w:tcPr>
          <w:p w14:paraId="74784D1C">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2A5B39E2">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1091" w:type="dxa"/>
            <w:vAlign w:val="center"/>
          </w:tcPr>
          <w:p w14:paraId="0F4F8454">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996" w:type="dxa"/>
            <w:vMerge w:val="continue"/>
            <w:vAlign w:val="center"/>
          </w:tcPr>
          <w:p w14:paraId="60D5E981">
            <w:pPr>
              <w:pStyle w:val="35"/>
            </w:pPr>
          </w:p>
        </w:tc>
        <w:tc>
          <w:tcPr>
            <w:tcW w:w="1017" w:type="dxa"/>
            <w:vMerge w:val="continue"/>
            <w:vAlign w:val="center"/>
          </w:tcPr>
          <w:p w14:paraId="06C9BD7A">
            <w:pPr>
              <w:pStyle w:val="35"/>
            </w:pPr>
          </w:p>
        </w:tc>
      </w:tr>
      <w:tr w14:paraId="3A6C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2C7D362">
            <w:pPr>
              <w:pStyle w:val="35"/>
            </w:pPr>
          </w:p>
        </w:tc>
        <w:tc>
          <w:tcPr>
            <w:tcW w:w="1475" w:type="dxa"/>
            <w:vMerge w:val="restart"/>
            <w:vAlign w:val="center"/>
          </w:tcPr>
          <w:p w14:paraId="01BCB26A">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喷氟碳面漆喷漆废气G</w:t>
            </w:r>
            <w:r>
              <w:rPr>
                <w:rFonts w:ascii="Times New Roman" w:hAnsi="等线" w:eastAsia="仿宋"/>
                <w:kern w:val="2"/>
                <w:szCs w:val="21"/>
              </w:rPr>
              <w:t>14</w:t>
            </w:r>
          </w:p>
        </w:tc>
        <w:tc>
          <w:tcPr>
            <w:tcW w:w="1209" w:type="dxa"/>
            <w:vAlign w:val="center"/>
          </w:tcPr>
          <w:p w14:paraId="4DF5F7DA">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1E97F4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06</w:t>
            </w:r>
          </w:p>
        </w:tc>
        <w:tc>
          <w:tcPr>
            <w:tcW w:w="1091" w:type="dxa"/>
            <w:vAlign w:val="center"/>
          </w:tcPr>
          <w:p w14:paraId="41AE77B8">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06</w:t>
            </w:r>
          </w:p>
        </w:tc>
        <w:tc>
          <w:tcPr>
            <w:tcW w:w="996" w:type="dxa"/>
            <w:vMerge w:val="continue"/>
            <w:vAlign w:val="center"/>
          </w:tcPr>
          <w:p w14:paraId="5F2DFCC8">
            <w:pPr>
              <w:pStyle w:val="35"/>
            </w:pPr>
          </w:p>
        </w:tc>
        <w:tc>
          <w:tcPr>
            <w:tcW w:w="1017" w:type="dxa"/>
            <w:vMerge w:val="continue"/>
            <w:vAlign w:val="center"/>
          </w:tcPr>
          <w:p w14:paraId="591C38A6">
            <w:pPr>
              <w:pStyle w:val="35"/>
            </w:pPr>
          </w:p>
        </w:tc>
      </w:tr>
      <w:tr w14:paraId="277A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F611712">
            <w:pPr>
              <w:pStyle w:val="35"/>
            </w:pPr>
          </w:p>
        </w:tc>
        <w:tc>
          <w:tcPr>
            <w:tcW w:w="1475" w:type="dxa"/>
            <w:vMerge w:val="continue"/>
            <w:vAlign w:val="center"/>
          </w:tcPr>
          <w:p w14:paraId="4054C3DA">
            <w:pPr>
              <w:spacing w:line="280" w:lineRule="exact"/>
              <w:jc w:val="center"/>
              <w:rPr>
                <w:rFonts w:ascii="Times New Roman" w:hAnsi="等线" w:eastAsia="仿宋"/>
                <w:kern w:val="2"/>
                <w:szCs w:val="21"/>
              </w:rPr>
            </w:pPr>
          </w:p>
        </w:tc>
        <w:tc>
          <w:tcPr>
            <w:tcW w:w="1209" w:type="dxa"/>
            <w:vAlign w:val="center"/>
          </w:tcPr>
          <w:p w14:paraId="34C4350C">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4F027343">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1091" w:type="dxa"/>
            <w:vAlign w:val="center"/>
          </w:tcPr>
          <w:p w14:paraId="6B9330BE">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996" w:type="dxa"/>
            <w:vMerge w:val="continue"/>
            <w:vAlign w:val="center"/>
          </w:tcPr>
          <w:p w14:paraId="184C2CA9">
            <w:pPr>
              <w:pStyle w:val="35"/>
            </w:pPr>
          </w:p>
        </w:tc>
        <w:tc>
          <w:tcPr>
            <w:tcW w:w="1017" w:type="dxa"/>
            <w:vMerge w:val="continue"/>
            <w:vAlign w:val="center"/>
          </w:tcPr>
          <w:p w14:paraId="2DD19674">
            <w:pPr>
              <w:pStyle w:val="35"/>
            </w:pPr>
          </w:p>
        </w:tc>
      </w:tr>
      <w:tr w14:paraId="6106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6728A92">
            <w:pPr>
              <w:pStyle w:val="35"/>
            </w:pPr>
          </w:p>
        </w:tc>
        <w:tc>
          <w:tcPr>
            <w:tcW w:w="1475" w:type="dxa"/>
            <w:vMerge w:val="continue"/>
            <w:vAlign w:val="center"/>
          </w:tcPr>
          <w:p w14:paraId="7FC72F06">
            <w:pPr>
              <w:spacing w:line="280" w:lineRule="exact"/>
              <w:jc w:val="center"/>
              <w:rPr>
                <w:rFonts w:ascii="Times New Roman" w:hAnsi="等线" w:eastAsia="仿宋"/>
                <w:kern w:val="2"/>
                <w:szCs w:val="21"/>
              </w:rPr>
            </w:pPr>
          </w:p>
        </w:tc>
        <w:tc>
          <w:tcPr>
            <w:tcW w:w="1209" w:type="dxa"/>
            <w:vAlign w:val="center"/>
          </w:tcPr>
          <w:p w14:paraId="088457C0">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11995C5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1091" w:type="dxa"/>
            <w:vAlign w:val="center"/>
          </w:tcPr>
          <w:p w14:paraId="4535926B">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996" w:type="dxa"/>
            <w:vMerge w:val="continue"/>
            <w:vAlign w:val="center"/>
          </w:tcPr>
          <w:p w14:paraId="3E5FA6A9">
            <w:pPr>
              <w:pStyle w:val="35"/>
            </w:pPr>
          </w:p>
        </w:tc>
        <w:tc>
          <w:tcPr>
            <w:tcW w:w="1017" w:type="dxa"/>
            <w:vMerge w:val="continue"/>
            <w:vAlign w:val="center"/>
          </w:tcPr>
          <w:p w14:paraId="2879B2B9">
            <w:pPr>
              <w:pStyle w:val="35"/>
            </w:pPr>
          </w:p>
        </w:tc>
      </w:tr>
      <w:tr w14:paraId="631F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BC2BBF4">
            <w:pPr>
              <w:pStyle w:val="35"/>
            </w:pPr>
          </w:p>
        </w:tc>
        <w:tc>
          <w:tcPr>
            <w:tcW w:w="1475" w:type="dxa"/>
            <w:vMerge w:val="continue"/>
            <w:vAlign w:val="center"/>
          </w:tcPr>
          <w:p w14:paraId="14808C0E">
            <w:pPr>
              <w:spacing w:line="280" w:lineRule="exact"/>
              <w:jc w:val="center"/>
              <w:rPr>
                <w:rFonts w:ascii="Times New Roman" w:hAnsi="等线" w:eastAsia="仿宋"/>
                <w:kern w:val="2"/>
                <w:szCs w:val="21"/>
              </w:rPr>
            </w:pPr>
          </w:p>
        </w:tc>
        <w:tc>
          <w:tcPr>
            <w:tcW w:w="1209" w:type="dxa"/>
            <w:vAlign w:val="center"/>
          </w:tcPr>
          <w:p w14:paraId="0B35EFB4">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7525D37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1091" w:type="dxa"/>
            <w:vAlign w:val="center"/>
          </w:tcPr>
          <w:p w14:paraId="3F520869">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996" w:type="dxa"/>
            <w:vMerge w:val="continue"/>
            <w:vAlign w:val="center"/>
          </w:tcPr>
          <w:p w14:paraId="5CA6B9A1">
            <w:pPr>
              <w:pStyle w:val="35"/>
            </w:pPr>
          </w:p>
        </w:tc>
        <w:tc>
          <w:tcPr>
            <w:tcW w:w="1017" w:type="dxa"/>
            <w:vMerge w:val="continue"/>
            <w:vAlign w:val="center"/>
          </w:tcPr>
          <w:p w14:paraId="35D41488">
            <w:pPr>
              <w:pStyle w:val="35"/>
            </w:pPr>
          </w:p>
        </w:tc>
      </w:tr>
      <w:tr w14:paraId="739C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B92BFED">
            <w:pPr>
              <w:pStyle w:val="35"/>
            </w:pPr>
          </w:p>
        </w:tc>
        <w:tc>
          <w:tcPr>
            <w:tcW w:w="1475" w:type="dxa"/>
            <w:vMerge w:val="restart"/>
            <w:vAlign w:val="center"/>
          </w:tcPr>
          <w:p w14:paraId="1AF35927">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氟碳底</w:t>
            </w:r>
            <w:r>
              <w:rPr>
                <w:rFonts w:ascii="Times New Roman" w:hAnsi="等线" w:eastAsia="仿宋"/>
                <w:kern w:val="2"/>
                <w:szCs w:val="21"/>
              </w:rPr>
              <w:t>漆</w:t>
            </w:r>
            <w:r>
              <w:rPr>
                <w:rFonts w:hint="eastAsia" w:ascii="Times New Roman" w:hAnsi="等线" w:eastAsia="仿宋"/>
                <w:kern w:val="2"/>
                <w:szCs w:val="21"/>
              </w:rPr>
              <w:t>流平</w:t>
            </w:r>
            <w:r>
              <w:rPr>
                <w:rFonts w:ascii="Times New Roman" w:hAnsi="等线" w:eastAsia="仿宋"/>
                <w:kern w:val="2"/>
                <w:szCs w:val="21"/>
              </w:rPr>
              <w:t>废气</w:t>
            </w:r>
            <w:r>
              <w:rPr>
                <w:rFonts w:hint="eastAsia" w:ascii="Times New Roman" w:hAnsi="等线" w:eastAsia="仿宋"/>
                <w:kern w:val="2"/>
                <w:szCs w:val="21"/>
              </w:rPr>
              <w:t>G11</w:t>
            </w:r>
          </w:p>
        </w:tc>
        <w:tc>
          <w:tcPr>
            <w:tcW w:w="1209" w:type="dxa"/>
            <w:vAlign w:val="center"/>
          </w:tcPr>
          <w:p w14:paraId="4C6953B2">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338582E">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r>
              <w:rPr>
                <w:rFonts w:ascii="Times New Roman" w:hAnsi="等线" w:eastAsia="仿宋"/>
                <w:kern w:val="2"/>
                <w:szCs w:val="21"/>
              </w:rPr>
              <w:t>2</w:t>
            </w:r>
          </w:p>
        </w:tc>
        <w:tc>
          <w:tcPr>
            <w:tcW w:w="1091" w:type="dxa"/>
            <w:shd w:val="clear" w:color="auto" w:fill="auto"/>
            <w:vAlign w:val="center"/>
          </w:tcPr>
          <w:p w14:paraId="5BBB811C">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r>
              <w:rPr>
                <w:rFonts w:ascii="Times New Roman" w:hAnsi="等线" w:eastAsia="仿宋"/>
                <w:kern w:val="2"/>
                <w:szCs w:val="21"/>
              </w:rPr>
              <w:t>2</w:t>
            </w:r>
          </w:p>
        </w:tc>
        <w:tc>
          <w:tcPr>
            <w:tcW w:w="996" w:type="dxa"/>
            <w:vMerge w:val="continue"/>
            <w:vAlign w:val="center"/>
          </w:tcPr>
          <w:p w14:paraId="02B7B5C1">
            <w:pPr>
              <w:pStyle w:val="35"/>
            </w:pPr>
          </w:p>
        </w:tc>
        <w:tc>
          <w:tcPr>
            <w:tcW w:w="1017" w:type="dxa"/>
            <w:vMerge w:val="continue"/>
            <w:vAlign w:val="center"/>
          </w:tcPr>
          <w:p w14:paraId="73A9EF1F">
            <w:pPr>
              <w:pStyle w:val="35"/>
            </w:pPr>
          </w:p>
        </w:tc>
      </w:tr>
      <w:tr w14:paraId="2B28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CFFC75F">
            <w:pPr>
              <w:pStyle w:val="35"/>
            </w:pPr>
          </w:p>
        </w:tc>
        <w:tc>
          <w:tcPr>
            <w:tcW w:w="1475" w:type="dxa"/>
            <w:vMerge w:val="continue"/>
            <w:vAlign w:val="center"/>
          </w:tcPr>
          <w:p w14:paraId="56C0C4C8">
            <w:pPr>
              <w:spacing w:line="280" w:lineRule="exact"/>
              <w:jc w:val="center"/>
              <w:rPr>
                <w:rFonts w:ascii="Times New Roman" w:hAnsi="等线" w:eastAsia="仿宋"/>
                <w:kern w:val="2"/>
                <w:szCs w:val="21"/>
              </w:rPr>
            </w:pPr>
          </w:p>
        </w:tc>
        <w:tc>
          <w:tcPr>
            <w:tcW w:w="1209" w:type="dxa"/>
            <w:vAlign w:val="center"/>
          </w:tcPr>
          <w:p w14:paraId="7294766B">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468C239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1091" w:type="dxa"/>
            <w:shd w:val="clear" w:color="auto" w:fill="auto"/>
            <w:vAlign w:val="center"/>
          </w:tcPr>
          <w:p w14:paraId="502DC82A">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996" w:type="dxa"/>
            <w:vMerge w:val="continue"/>
            <w:vAlign w:val="center"/>
          </w:tcPr>
          <w:p w14:paraId="6A5CE287">
            <w:pPr>
              <w:pStyle w:val="35"/>
            </w:pPr>
          </w:p>
        </w:tc>
        <w:tc>
          <w:tcPr>
            <w:tcW w:w="1017" w:type="dxa"/>
            <w:vMerge w:val="continue"/>
            <w:vAlign w:val="center"/>
          </w:tcPr>
          <w:p w14:paraId="49C26E64">
            <w:pPr>
              <w:pStyle w:val="35"/>
            </w:pPr>
          </w:p>
        </w:tc>
      </w:tr>
      <w:tr w14:paraId="4E7C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5DD81DB">
            <w:pPr>
              <w:pStyle w:val="35"/>
            </w:pPr>
          </w:p>
        </w:tc>
        <w:tc>
          <w:tcPr>
            <w:tcW w:w="1475" w:type="dxa"/>
            <w:vMerge w:val="continue"/>
            <w:vAlign w:val="center"/>
          </w:tcPr>
          <w:p w14:paraId="5BA271B7">
            <w:pPr>
              <w:spacing w:line="280" w:lineRule="exact"/>
              <w:jc w:val="center"/>
              <w:rPr>
                <w:rFonts w:ascii="Times New Roman" w:hAnsi="等线" w:eastAsia="仿宋"/>
                <w:kern w:val="2"/>
                <w:szCs w:val="21"/>
              </w:rPr>
            </w:pPr>
          </w:p>
        </w:tc>
        <w:tc>
          <w:tcPr>
            <w:tcW w:w="1209" w:type="dxa"/>
            <w:vAlign w:val="center"/>
          </w:tcPr>
          <w:p w14:paraId="71D014D7">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5EB860A3">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1091" w:type="dxa"/>
            <w:shd w:val="clear" w:color="auto" w:fill="auto"/>
            <w:vAlign w:val="center"/>
          </w:tcPr>
          <w:p w14:paraId="74723E1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996" w:type="dxa"/>
            <w:vMerge w:val="continue"/>
            <w:vAlign w:val="center"/>
          </w:tcPr>
          <w:p w14:paraId="6BB22CF0">
            <w:pPr>
              <w:pStyle w:val="35"/>
            </w:pPr>
          </w:p>
        </w:tc>
        <w:tc>
          <w:tcPr>
            <w:tcW w:w="1017" w:type="dxa"/>
            <w:vMerge w:val="continue"/>
            <w:vAlign w:val="center"/>
          </w:tcPr>
          <w:p w14:paraId="5B6A0744">
            <w:pPr>
              <w:pStyle w:val="35"/>
            </w:pPr>
          </w:p>
        </w:tc>
      </w:tr>
      <w:tr w14:paraId="1A82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5296E8D3">
            <w:pPr>
              <w:pStyle w:val="35"/>
            </w:pPr>
          </w:p>
        </w:tc>
        <w:tc>
          <w:tcPr>
            <w:tcW w:w="1475" w:type="dxa"/>
            <w:vMerge w:val="restart"/>
            <w:vAlign w:val="center"/>
          </w:tcPr>
          <w:p w14:paraId="2B882DA4">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氟碳面</w:t>
            </w:r>
            <w:r>
              <w:rPr>
                <w:rFonts w:ascii="Times New Roman" w:hAnsi="等线" w:eastAsia="仿宋"/>
                <w:kern w:val="2"/>
                <w:szCs w:val="21"/>
              </w:rPr>
              <w:t>漆</w:t>
            </w:r>
            <w:r>
              <w:rPr>
                <w:rFonts w:hint="eastAsia" w:ascii="Times New Roman" w:hAnsi="等线" w:eastAsia="仿宋"/>
                <w:kern w:val="2"/>
                <w:szCs w:val="21"/>
              </w:rPr>
              <w:t>流平</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5</w:t>
            </w:r>
          </w:p>
        </w:tc>
        <w:tc>
          <w:tcPr>
            <w:tcW w:w="1209" w:type="dxa"/>
            <w:vAlign w:val="center"/>
          </w:tcPr>
          <w:p w14:paraId="783A5AB1">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559CC6C2">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1091" w:type="dxa"/>
            <w:shd w:val="clear" w:color="auto" w:fill="auto"/>
            <w:vAlign w:val="center"/>
          </w:tcPr>
          <w:p w14:paraId="348F33E8">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1</w:t>
            </w:r>
          </w:p>
        </w:tc>
        <w:tc>
          <w:tcPr>
            <w:tcW w:w="996" w:type="dxa"/>
            <w:vMerge w:val="continue"/>
            <w:vAlign w:val="center"/>
          </w:tcPr>
          <w:p w14:paraId="6BD5C2DF">
            <w:pPr>
              <w:pStyle w:val="35"/>
            </w:pPr>
          </w:p>
        </w:tc>
        <w:tc>
          <w:tcPr>
            <w:tcW w:w="1017" w:type="dxa"/>
            <w:vMerge w:val="continue"/>
            <w:vAlign w:val="center"/>
          </w:tcPr>
          <w:p w14:paraId="21E6E446">
            <w:pPr>
              <w:pStyle w:val="35"/>
            </w:pPr>
          </w:p>
        </w:tc>
      </w:tr>
      <w:tr w14:paraId="049A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5C577FA0">
            <w:pPr>
              <w:pStyle w:val="35"/>
            </w:pPr>
          </w:p>
        </w:tc>
        <w:tc>
          <w:tcPr>
            <w:tcW w:w="1475" w:type="dxa"/>
            <w:vMerge w:val="continue"/>
            <w:vAlign w:val="center"/>
          </w:tcPr>
          <w:p w14:paraId="579125ED">
            <w:pPr>
              <w:spacing w:line="280" w:lineRule="exact"/>
              <w:jc w:val="center"/>
              <w:rPr>
                <w:rFonts w:ascii="Times New Roman" w:hAnsi="等线" w:eastAsia="仿宋"/>
                <w:kern w:val="2"/>
                <w:szCs w:val="21"/>
              </w:rPr>
            </w:pPr>
          </w:p>
        </w:tc>
        <w:tc>
          <w:tcPr>
            <w:tcW w:w="1209" w:type="dxa"/>
            <w:vAlign w:val="center"/>
          </w:tcPr>
          <w:p w14:paraId="0D9AB9AD">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636AB1AE">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05</w:t>
            </w:r>
          </w:p>
        </w:tc>
        <w:tc>
          <w:tcPr>
            <w:tcW w:w="1091" w:type="dxa"/>
            <w:shd w:val="clear" w:color="auto" w:fill="auto"/>
            <w:vAlign w:val="center"/>
          </w:tcPr>
          <w:p w14:paraId="6591844A">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05</w:t>
            </w:r>
          </w:p>
        </w:tc>
        <w:tc>
          <w:tcPr>
            <w:tcW w:w="996" w:type="dxa"/>
            <w:vMerge w:val="continue"/>
            <w:vAlign w:val="center"/>
          </w:tcPr>
          <w:p w14:paraId="47B24523">
            <w:pPr>
              <w:pStyle w:val="35"/>
            </w:pPr>
          </w:p>
        </w:tc>
        <w:tc>
          <w:tcPr>
            <w:tcW w:w="1017" w:type="dxa"/>
            <w:vMerge w:val="continue"/>
            <w:vAlign w:val="center"/>
          </w:tcPr>
          <w:p w14:paraId="3CCE0846">
            <w:pPr>
              <w:pStyle w:val="35"/>
            </w:pPr>
          </w:p>
        </w:tc>
      </w:tr>
      <w:tr w14:paraId="1640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0222158">
            <w:pPr>
              <w:pStyle w:val="35"/>
            </w:pPr>
          </w:p>
        </w:tc>
        <w:tc>
          <w:tcPr>
            <w:tcW w:w="1475" w:type="dxa"/>
            <w:vMerge w:val="continue"/>
            <w:vAlign w:val="center"/>
          </w:tcPr>
          <w:p w14:paraId="38558E48">
            <w:pPr>
              <w:spacing w:line="280" w:lineRule="exact"/>
              <w:jc w:val="center"/>
              <w:rPr>
                <w:rFonts w:ascii="Times New Roman" w:hAnsi="等线" w:eastAsia="仿宋"/>
                <w:kern w:val="2"/>
                <w:szCs w:val="21"/>
              </w:rPr>
            </w:pPr>
          </w:p>
        </w:tc>
        <w:tc>
          <w:tcPr>
            <w:tcW w:w="1209" w:type="dxa"/>
            <w:vAlign w:val="center"/>
          </w:tcPr>
          <w:p w14:paraId="0B9C24EC">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681C499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05</w:t>
            </w:r>
          </w:p>
        </w:tc>
        <w:tc>
          <w:tcPr>
            <w:tcW w:w="1091" w:type="dxa"/>
            <w:shd w:val="clear" w:color="auto" w:fill="auto"/>
            <w:vAlign w:val="center"/>
          </w:tcPr>
          <w:p w14:paraId="77462E62">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05</w:t>
            </w:r>
          </w:p>
        </w:tc>
        <w:tc>
          <w:tcPr>
            <w:tcW w:w="996" w:type="dxa"/>
            <w:vMerge w:val="continue"/>
            <w:vAlign w:val="center"/>
          </w:tcPr>
          <w:p w14:paraId="7B34A242">
            <w:pPr>
              <w:pStyle w:val="35"/>
            </w:pPr>
          </w:p>
        </w:tc>
        <w:tc>
          <w:tcPr>
            <w:tcW w:w="1017" w:type="dxa"/>
            <w:vMerge w:val="continue"/>
            <w:vAlign w:val="center"/>
          </w:tcPr>
          <w:p w14:paraId="7E07952B">
            <w:pPr>
              <w:pStyle w:val="35"/>
            </w:pPr>
          </w:p>
        </w:tc>
      </w:tr>
      <w:tr w14:paraId="3A48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5BF3396">
            <w:pPr>
              <w:pStyle w:val="35"/>
            </w:pPr>
          </w:p>
        </w:tc>
        <w:tc>
          <w:tcPr>
            <w:tcW w:w="1475" w:type="dxa"/>
            <w:vMerge w:val="restart"/>
            <w:vAlign w:val="center"/>
          </w:tcPr>
          <w:p w14:paraId="034DB534">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氟碳底</w:t>
            </w:r>
            <w:r>
              <w:rPr>
                <w:rFonts w:ascii="Times New Roman" w:hAnsi="等线" w:eastAsia="仿宋"/>
                <w:kern w:val="2"/>
                <w:szCs w:val="21"/>
              </w:rPr>
              <w:t>漆</w:t>
            </w:r>
            <w:r>
              <w:rPr>
                <w:rFonts w:hint="eastAsia" w:ascii="Times New Roman" w:hAnsi="等线" w:eastAsia="仿宋"/>
                <w:kern w:val="2"/>
                <w:szCs w:val="21"/>
              </w:rPr>
              <w:t>烘干</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2</w:t>
            </w:r>
          </w:p>
        </w:tc>
        <w:tc>
          <w:tcPr>
            <w:tcW w:w="1209" w:type="dxa"/>
            <w:vAlign w:val="center"/>
          </w:tcPr>
          <w:p w14:paraId="7F295860">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0CA6CE76">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08</w:t>
            </w:r>
          </w:p>
        </w:tc>
        <w:tc>
          <w:tcPr>
            <w:tcW w:w="1091" w:type="dxa"/>
            <w:shd w:val="clear" w:color="auto" w:fill="auto"/>
            <w:vAlign w:val="center"/>
          </w:tcPr>
          <w:p w14:paraId="794DCD53">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08</w:t>
            </w:r>
          </w:p>
        </w:tc>
        <w:tc>
          <w:tcPr>
            <w:tcW w:w="996" w:type="dxa"/>
            <w:vMerge w:val="continue"/>
            <w:vAlign w:val="center"/>
          </w:tcPr>
          <w:p w14:paraId="2A0A9A55">
            <w:pPr>
              <w:pStyle w:val="35"/>
            </w:pPr>
          </w:p>
        </w:tc>
        <w:tc>
          <w:tcPr>
            <w:tcW w:w="1017" w:type="dxa"/>
            <w:vMerge w:val="continue"/>
            <w:vAlign w:val="center"/>
          </w:tcPr>
          <w:p w14:paraId="0AB164B2">
            <w:pPr>
              <w:pStyle w:val="35"/>
            </w:pPr>
          </w:p>
        </w:tc>
      </w:tr>
      <w:tr w14:paraId="5CBD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52A675E">
            <w:pPr>
              <w:pStyle w:val="35"/>
            </w:pPr>
          </w:p>
        </w:tc>
        <w:tc>
          <w:tcPr>
            <w:tcW w:w="1475" w:type="dxa"/>
            <w:vMerge w:val="continue"/>
            <w:vAlign w:val="center"/>
          </w:tcPr>
          <w:p w14:paraId="24F0026D">
            <w:pPr>
              <w:spacing w:line="280" w:lineRule="exact"/>
              <w:jc w:val="center"/>
              <w:rPr>
                <w:rFonts w:ascii="Times New Roman" w:hAnsi="等线" w:eastAsia="仿宋"/>
                <w:kern w:val="2"/>
                <w:szCs w:val="21"/>
              </w:rPr>
            </w:pPr>
          </w:p>
        </w:tc>
        <w:tc>
          <w:tcPr>
            <w:tcW w:w="1209" w:type="dxa"/>
            <w:vAlign w:val="center"/>
          </w:tcPr>
          <w:p w14:paraId="4E17E1A2">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5CB19AD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1091" w:type="dxa"/>
            <w:shd w:val="clear" w:color="auto" w:fill="auto"/>
            <w:vAlign w:val="center"/>
          </w:tcPr>
          <w:p w14:paraId="283F61D3">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996" w:type="dxa"/>
            <w:vMerge w:val="continue"/>
            <w:vAlign w:val="center"/>
          </w:tcPr>
          <w:p w14:paraId="0929239F">
            <w:pPr>
              <w:pStyle w:val="35"/>
            </w:pPr>
          </w:p>
        </w:tc>
        <w:tc>
          <w:tcPr>
            <w:tcW w:w="1017" w:type="dxa"/>
            <w:vMerge w:val="continue"/>
            <w:vAlign w:val="center"/>
          </w:tcPr>
          <w:p w14:paraId="57AD25C3">
            <w:pPr>
              <w:pStyle w:val="35"/>
            </w:pPr>
          </w:p>
        </w:tc>
      </w:tr>
      <w:tr w14:paraId="57B8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38E1E14">
            <w:pPr>
              <w:pStyle w:val="35"/>
            </w:pPr>
          </w:p>
        </w:tc>
        <w:tc>
          <w:tcPr>
            <w:tcW w:w="1475" w:type="dxa"/>
            <w:vMerge w:val="continue"/>
            <w:vAlign w:val="center"/>
          </w:tcPr>
          <w:p w14:paraId="4E2C13E0">
            <w:pPr>
              <w:spacing w:line="280" w:lineRule="exact"/>
              <w:jc w:val="center"/>
              <w:rPr>
                <w:rFonts w:ascii="Times New Roman" w:hAnsi="等线" w:eastAsia="仿宋"/>
                <w:kern w:val="2"/>
                <w:szCs w:val="21"/>
              </w:rPr>
            </w:pPr>
          </w:p>
        </w:tc>
        <w:tc>
          <w:tcPr>
            <w:tcW w:w="1209" w:type="dxa"/>
            <w:vAlign w:val="center"/>
          </w:tcPr>
          <w:p w14:paraId="146F692E">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04530611">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1091" w:type="dxa"/>
            <w:shd w:val="clear" w:color="auto" w:fill="auto"/>
            <w:vAlign w:val="center"/>
          </w:tcPr>
          <w:p w14:paraId="5C6DBAC7">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2</w:t>
            </w:r>
          </w:p>
        </w:tc>
        <w:tc>
          <w:tcPr>
            <w:tcW w:w="996" w:type="dxa"/>
            <w:vMerge w:val="continue"/>
            <w:vAlign w:val="center"/>
          </w:tcPr>
          <w:p w14:paraId="07F689CB">
            <w:pPr>
              <w:pStyle w:val="35"/>
            </w:pPr>
          </w:p>
        </w:tc>
        <w:tc>
          <w:tcPr>
            <w:tcW w:w="1017" w:type="dxa"/>
            <w:vMerge w:val="continue"/>
            <w:vAlign w:val="center"/>
          </w:tcPr>
          <w:p w14:paraId="27C6E380">
            <w:pPr>
              <w:pStyle w:val="35"/>
            </w:pPr>
          </w:p>
        </w:tc>
      </w:tr>
      <w:tr w14:paraId="44CB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CBB873A">
            <w:pPr>
              <w:pStyle w:val="35"/>
            </w:pPr>
          </w:p>
        </w:tc>
        <w:tc>
          <w:tcPr>
            <w:tcW w:w="1475" w:type="dxa"/>
            <w:vMerge w:val="restart"/>
            <w:vAlign w:val="center"/>
          </w:tcPr>
          <w:p w14:paraId="068E617F">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氟碳面</w:t>
            </w:r>
            <w:r>
              <w:rPr>
                <w:rFonts w:ascii="Times New Roman" w:hAnsi="等线" w:eastAsia="仿宋"/>
                <w:kern w:val="2"/>
                <w:szCs w:val="21"/>
              </w:rPr>
              <w:t>漆</w:t>
            </w:r>
            <w:r>
              <w:rPr>
                <w:rFonts w:hint="eastAsia" w:ascii="Times New Roman" w:hAnsi="等线" w:eastAsia="仿宋"/>
                <w:kern w:val="2"/>
                <w:szCs w:val="21"/>
              </w:rPr>
              <w:t>烘干</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6</w:t>
            </w:r>
          </w:p>
        </w:tc>
        <w:tc>
          <w:tcPr>
            <w:tcW w:w="1209" w:type="dxa"/>
            <w:vAlign w:val="center"/>
          </w:tcPr>
          <w:p w14:paraId="1827B161">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99F532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12</w:t>
            </w:r>
          </w:p>
        </w:tc>
        <w:tc>
          <w:tcPr>
            <w:tcW w:w="1091" w:type="dxa"/>
            <w:shd w:val="clear" w:color="auto" w:fill="auto"/>
            <w:vAlign w:val="center"/>
          </w:tcPr>
          <w:p w14:paraId="5E9D96D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w:t>
            </w:r>
            <w:r>
              <w:rPr>
                <w:rFonts w:hint="eastAsia" w:ascii="Times New Roman" w:hAnsi="等线" w:eastAsia="仿宋"/>
                <w:kern w:val="2"/>
                <w:szCs w:val="21"/>
              </w:rPr>
              <w:t>12</w:t>
            </w:r>
          </w:p>
        </w:tc>
        <w:tc>
          <w:tcPr>
            <w:tcW w:w="996" w:type="dxa"/>
            <w:vMerge w:val="continue"/>
            <w:vAlign w:val="center"/>
          </w:tcPr>
          <w:p w14:paraId="06E58D2B">
            <w:pPr>
              <w:pStyle w:val="35"/>
            </w:pPr>
          </w:p>
        </w:tc>
        <w:tc>
          <w:tcPr>
            <w:tcW w:w="1017" w:type="dxa"/>
            <w:vMerge w:val="continue"/>
            <w:vAlign w:val="center"/>
          </w:tcPr>
          <w:p w14:paraId="4C5AB00D">
            <w:pPr>
              <w:pStyle w:val="35"/>
            </w:pPr>
          </w:p>
        </w:tc>
      </w:tr>
      <w:tr w14:paraId="7876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E130127">
            <w:pPr>
              <w:pStyle w:val="35"/>
            </w:pPr>
          </w:p>
        </w:tc>
        <w:tc>
          <w:tcPr>
            <w:tcW w:w="1475" w:type="dxa"/>
            <w:vMerge w:val="continue"/>
            <w:vAlign w:val="center"/>
          </w:tcPr>
          <w:p w14:paraId="367A27C4">
            <w:pPr>
              <w:spacing w:line="280" w:lineRule="exact"/>
              <w:jc w:val="center"/>
              <w:rPr>
                <w:rFonts w:ascii="Times New Roman" w:hAnsi="等线" w:eastAsia="仿宋"/>
                <w:kern w:val="2"/>
                <w:szCs w:val="21"/>
              </w:rPr>
            </w:pPr>
          </w:p>
        </w:tc>
        <w:tc>
          <w:tcPr>
            <w:tcW w:w="1209" w:type="dxa"/>
            <w:vAlign w:val="center"/>
          </w:tcPr>
          <w:p w14:paraId="1294923A">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40A3B62C">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1091" w:type="dxa"/>
            <w:shd w:val="clear" w:color="auto" w:fill="auto"/>
            <w:vAlign w:val="center"/>
          </w:tcPr>
          <w:p w14:paraId="667EADF5">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996" w:type="dxa"/>
            <w:vMerge w:val="continue"/>
            <w:vAlign w:val="center"/>
          </w:tcPr>
          <w:p w14:paraId="033DF87B">
            <w:pPr>
              <w:pStyle w:val="35"/>
            </w:pPr>
          </w:p>
        </w:tc>
        <w:tc>
          <w:tcPr>
            <w:tcW w:w="1017" w:type="dxa"/>
            <w:vMerge w:val="continue"/>
            <w:vAlign w:val="center"/>
          </w:tcPr>
          <w:p w14:paraId="2853ACCA">
            <w:pPr>
              <w:pStyle w:val="35"/>
            </w:pPr>
          </w:p>
        </w:tc>
      </w:tr>
      <w:tr w14:paraId="7AB5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56A07B5B">
            <w:pPr>
              <w:pStyle w:val="35"/>
            </w:pPr>
          </w:p>
        </w:tc>
        <w:tc>
          <w:tcPr>
            <w:tcW w:w="1475" w:type="dxa"/>
            <w:vMerge w:val="continue"/>
            <w:vAlign w:val="center"/>
          </w:tcPr>
          <w:p w14:paraId="7B2D8670">
            <w:pPr>
              <w:spacing w:line="280" w:lineRule="exact"/>
              <w:jc w:val="center"/>
              <w:rPr>
                <w:rFonts w:ascii="Times New Roman" w:hAnsi="等线" w:eastAsia="仿宋"/>
                <w:kern w:val="2"/>
                <w:szCs w:val="21"/>
              </w:rPr>
            </w:pPr>
          </w:p>
        </w:tc>
        <w:tc>
          <w:tcPr>
            <w:tcW w:w="1209" w:type="dxa"/>
            <w:vAlign w:val="center"/>
          </w:tcPr>
          <w:p w14:paraId="5FAA2839">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0A1F5F5D">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1091" w:type="dxa"/>
            <w:shd w:val="clear" w:color="auto" w:fill="auto"/>
            <w:vAlign w:val="center"/>
          </w:tcPr>
          <w:p w14:paraId="4A84829F">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w:t>
            </w:r>
            <w:r>
              <w:rPr>
                <w:rFonts w:hint="eastAsia" w:ascii="Times New Roman" w:hAnsi="等线" w:eastAsia="仿宋"/>
                <w:kern w:val="2"/>
                <w:szCs w:val="21"/>
              </w:rPr>
              <w:t>3</w:t>
            </w:r>
          </w:p>
        </w:tc>
        <w:tc>
          <w:tcPr>
            <w:tcW w:w="996" w:type="dxa"/>
            <w:vMerge w:val="continue"/>
            <w:vAlign w:val="center"/>
          </w:tcPr>
          <w:p w14:paraId="0CB23ABB">
            <w:pPr>
              <w:pStyle w:val="35"/>
            </w:pPr>
          </w:p>
        </w:tc>
        <w:tc>
          <w:tcPr>
            <w:tcW w:w="1017" w:type="dxa"/>
            <w:vMerge w:val="continue"/>
            <w:vAlign w:val="center"/>
          </w:tcPr>
          <w:p w14:paraId="612A9B8B">
            <w:pPr>
              <w:pStyle w:val="35"/>
            </w:pPr>
          </w:p>
        </w:tc>
      </w:tr>
      <w:tr w14:paraId="4EA2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814C8F9">
            <w:pPr>
              <w:pStyle w:val="35"/>
            </w:pPr>
          </w:p>
        </w:tc>
        <w:tc>
          <w:tcPr>
            <w:tcW w:w="1475" w:type="dxa"/>
            <w:vAlign w:val="center"/>
          </w:tcPr>
          <w:p w14:paraId="3584478B">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喷枪清洗废气G</w:t>
            </w:r>
            <w:r>
              <w:rPr>
                <w:rFonts w:ascii="Times New Roman" w:hAnsi="等线" w:eastAsia="仿宋"/>
                <w:kern w:val="2"/>
                <w:szCs w:val="21"/>
              </w:rPr>
              <w:t>18</w:t>
            </w:r>
          </w:p>
        </w:tc>
        <w:tc>
          <w:tcPr>
            <w:tcW w:w="1209" w:type="dxa"/>
            <w:vAlign w:val="center"/>
          </w:tcPr>
          <w:p w14:paraId="02FA4559">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12776B59">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1091" w:type="dxa"/>
            <w:shd w:val="clear" w:color="auto" w:fill="auto"/>
            <w:vAlign w:val="center"/>
          </w:tcPr>
          <w:p w14:paraId="785F004E">
            <w:pPr>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996" w:type="dxa"/>
            <w:vMerge w:val="continue"/>
            <w:vAlign w:val="center"/>
          </w:tcPr>
          <w:p w14:paraId="4E9B6290">
            <w:pPr>
              <w:pStyle w:val="35"/>
            </w:pPr>
          </w:p>
        </w:tc>
        <w:tc>
          <w:tcPr>
            <w:tcW w:w="1017" w:type="dxa"/>
            <w:vMerge w:val="continue"/>
            <w:vAlign w:val="center"/>
          </w:tcPr>
          <w:p w14:paraId="1EF1CCF1">
            <w:pPr>
              <w:pStyle w:val="35"/>
            </w:pPr>
          </w:p>
        </w:tc>
      </w:tr>
      <w:tr w14:paraId="7409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D96AF3C">
            <w:pPr>
              <w:pStyle w:val="35"/>
            </w:pPr>
          </w:p>
        </w:tc>
        <w:tc>
          <w:tcPr>
            <w:tcW w:w="1475" w:type="dxa"/>
            <w:vMerge w:val="restart"/>
            <w:vAlign w:val="center"/>
          </w:tcPr>
          <w:p w14:paraId="2C5A4347">
            <w:pPr>
              <w:spacing w:line="280" w:lineRule="exact"/>
              <w:jc w:val="center"/>
              <w:rPr>
                <w:rFonts w:ascii="Times New Roman" w:hAnsi="等线" w:eastAsia="仿宋"/>
                <w:kern w:val="2"/>
                <w:szCs w:val="21"/>
              </w:rPr>
            </w:pPr>
            <w:r>
              <w:rPr>
                <w:rFonts w:hint="eastAsia" w:ascii="Times New Roman" w:hAnsi="等线" w:eastAsia="仿宋"/>
                <w:kern w:val="2"/>
                <w:szCs w:val="21"/>
              </w:rPr>
              <w:t>合计</w:t>
            </w:r>
          </w:p>
        </w:tc>
        <w:tc>
          <w:tcPr>
            <w:tcW w:w="1209" w:type="dxa"/>
            <w:vAlign w:val="center"/>
          </w:tcPr>
          <w:p w14:paraId="7ED0004B">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693F7369">
            <w:pPr>
              <w:widowControl/>
              <w:jc w:val="center"/>
              <w:textAlignment w:val="center"/>
              <w:rPr>
                <w:rFonts w:ascii="Times New Roman" w:hAnsi="等线" w:eastAsia="仿宋"/>
                <w:kern w:val="2"/>
                <w:szCs w:val="21"/>
              </w:rPr>
            </w:pPr>
            <w:r>
              <w:rPr>
                <w:rFonts w:ascii="Times New Roman"/>
                <w:szCs w:val="24"/>
                <w:lang w:bidi="ar"/>
              </w:rPr>
              <w:t>1.199</w:t>
            </w:r>
          </w:p>
        </w:tc>
        <w:tc>
          <w:tcPr>
            <w:tcW w:w="1091" w:type="dxa"/>
            <w:shd w:val="clear" w:color="auto" w:fill="auto"/>
            <w:vAlign w:val="center"/>
          </w:tcPr>
          <w:p w14:paraId="0B854F81">
            <w:pPr>
              <w:widowControl/>
              <w:jc w:val="center"/>
              <w:textAlignment w:val="center"/>
              <w:rPr>
                <w:rFonts w:ascii="Times New Roman" w:hAnsi="等线" w:eastAsia="仿宋"/>
                <w:kern w:val="2"/>
                <w:szCs w:val="21"/>
              </w:rPr>
            </w:pPr>
            <w:r>
              <w:rPr>
                <w:rFonts w:ascii="Times New Roman"/>
                <w:szCs w:val="24"/>
                <w:lang w:bidi="ar"/>
              </w:rPr>
              <w:t>1.199</w:t>
            </w:r>
          </w:p>
        </w:tc>
        <w:tc>
          <w:tcPr>
            <w:tcW w:w="996" w:type="dxa"/>
            <w:vMerge w:val="continue"/>
            <w:vAlign w:val="center"/>
          </w:tcPr>
          <w:p w14:paraId="3B2093E0">
            <w:pPr>
              <w:pStyle w:val="35"/>
            </w:pPr>
          </w:p>
        </w:tc>
        <w:tc>
          <w:tcPr>
            <w:tcW w:w="1017" w:type="dxa"/>
            <w:vMerge w:val="continue"/>
            <w:vAlign w:val="center"/>
          </w:tcPr>
          <w:p w14:paraId="55CEED85">
            <w:pPr>
              <w:pStyle w:val="35"/>
            </w:pPr>
          </w:p>
        </w:tc>
      </w:tr>
      <w:tr w14:paraId="0C6D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99F6131">
            <w:pPr>
              <w:pStyle w:val="35"/>
            </w:pPr>
          </w:p>
        </w:tc>
        <w:tc>
          <w:tcPr>
            <w:tcW w:w="1475" w:type="dxa"/>
            <w:vMerge w:val="continue"/>
            <w:vAlign w:val="center"/>
          </w:tcPr>
          <w:p w14:paraId="1E0250A4">
            <w:pPr>
              <w:spacing w:line="280" w:lineRule="exact"/>
              <w:jc w:val="center"/>
              <w:rPr>
                <w:rFonts w:ascii="Times New Roman" w:hAnsi="等线" w:eastAsia="仿宋"/>
                <w:kern w:val="2"/>
                <w:szCs w:val="21"/>
              </w:rPr>
            </w:pPr>
          </w:p>
        </w:tc>
        <w:tc>
          <w:tcPr>
            <w:tcW w:w="1209" w:type="dxa"/>
            <w:vAlign w:val="center"/>
          </w:tcPr>
          <w:p w14:paraId="1C49EC1C">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61F65AA6">
            <w:pPr>
              <w:widowControl/>
              <w:jc w:val="center"/>
              <w:textAlignment w:val="center"/>
              <w:rPr>
                <w:rFonts w:ascii="Times New Roman" w:hAnsi="等线" w:eastAsia="仿宋"/>
                <w:kern w:val="2"/>
                <w:szCs w:val="21"/>
              </w:rPr>
            </w:pPr>
            <w:r>
              <w:rPr>
                <w:rFonts w:ascii="Times New Roman"/>
                <w:szCs w:val="24"/>
                <w:lang w:bidi="ar"/>
              </w:rPr>
              <w:t>0.088</w:t>
            </w:r>
          </w:p>
        </w:tc>
        <w:tc>
          <w:tcPr>
            <w:tcW w:w="1091" w:type="dxa"/>
            <w:shd w:val="clear" w:color="auto" w:fill="auto"/>
            <w:vAlign w:val="center"/>
          </w:tcPr>
          <w:p w14:paraId="1980C596">
            <w:pPr>
              <w:widowControl/>
              <w:jc w:val="center"/>
              <w:textAlignment w:val="center"/>
              <w:rPr>
                <w:rFonts w:ascii="Times New Roman" w:hAnsi="等线" w:eastAsia="仿宋"/>
                <w:kern w:val="2"/>
                <w:szCs w:val="21"/>
              </w:rPr>
            </w:pPr>
            <w:r>
              <w:rPr>
                <w:rFonts w:ascii="Times New Roman"/>
                <w:szCs w:val="24"/>
                <w:lang w:bidi="ar"/>
              </w:rPr>
              <w:t>0.088</w:t>
            </w:r>
          </w:p>
        </w:tc>
        <w:tc>
          <w:tcPr>
            <w:tcW w:w="996" w:type="dxa"/>
            <w:vMerge w:val="continue"/>
            <w:vAlign w:val="center"/>
          </w:tcPr>
          <w:p w14:paraId="3F75C492">
            <w:pPr>
              <w:pStyle w:val="35"/>
            </w:pPr>
          </w:p>
        </w:tc>
        <w:tc>
          <w:tcPr>
            <w:tcW w:w="1017" w:type="dxa"/>
            <w:vMerge w:val="continue"/>
            <w:vAlign w:val="center"/>
          </w:tcPr>
          <w:p w14:paraId="5E8BD8C2">
            <w:pPr>
              <w:pStyle w:val="35"/>
            </w:pPr>
          </w:p>
        </w:tc>
      </w:tr>
      <w:tr w14:paraId="161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AC71B8F">
            <w:pPr>
              <w:pStyle w:val="35"/>
            </w:pPr>
          </w:p>
        </w:tc>
        <w:tc>
          <w:tcPr>
            <w:tcW w:w="1475" w:type="dxa"/>
            <w:vMerge w:val="continue"/>
            <w:vAlign w:val="center"/>
          </w:tcPr>
          <w:p w14:paraId="4B6C3249">
            <w:pPr>
              <w:spacing w:line="280" w:lineRule="exact"/>
              <w:jc w:val="center"/>
              <w:rPr>
                <w:rFonts w:ascii="Times New Roman" w:hAnsi="等线" w:eastAsia="仿宋"/>
                <w:kern w:val="2"/>
                <w:szCs w:val="21"/>
              </w:rPr>
            </w:pPr>
          </w:p>
        </w:tc>
        <w:tc>
          <w:tcPr>
            <w:tcW w:w="1209" w:type="dxa"/>
            <w:vAlign w:val="center"/>
          </w:tcPr>
          <w:p w14:paraId="7F60D70F">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2B539DED">
            <w:pPr>
              <w:widowControl/>
              <w:jc w:val="center"/>
              <w:textAlignment w:val="center"/>
              <w:rPr>
                <w:rFonts w:ascii="Times New Roman" w:hAnsi="等线" w:eastAsia="仿宋"/>
                <w:kern w:val="2"/>
                <w:szCs w:val="21"/>
              </w:rPr>
            </w:pPr>
            <w:r>
              <w:rPr>
                <w:rFonts w:ascii="Times New Roman"/>
                <w:szCs w:val="24"/>
                <w:lang w:bidi="ar"/>
              </w:rPr>
              <w:t>0.088</w:t>
            </w:r>
          </w:p>
        </w:tc>
        <w:tc>
          <w:tcPr>
            <w:tcW w:w="1091" w:type="dxa"/>
            <w:shd w:val="clear" w:color="auto" w:fill="auto"/>
            <w:vAlign w:val="center"/>
          </w:tcPr>
          <w:p w14:paraId="18A675BB">
            <w:pPr>
              <w:widowControl/>
              <w:jc w:val="center"/>
              <w:textAlignment w:val="center"/>
              <w:rPr>
                <w:rFonts w:ascii="Times New Roman" w:hAnsi="等线" w:eastAsia="仿宋"/>
                <w:kern w:val="2"/>
                <w:szCs w:val="21"/>
              </w:rPr>
            </w:pPr>
            <w:r>
              <w:rPr>
                <w:rFonts w:ascii="Times New Roman"/>
                <w:szCs w:val="24"/>
                <w:lang w:bidi="ar"/>
              </w:rPr>
              <w:t>0.088</w:t>
            </w:r>
          </w:p>
        </w:tc>
        <w:tc>
          <w:tcPr>
            <w:tcW w:w="996" w:type="dxa"/>
            <w:vMerge w:val="continue"/>
            <w:vAlign w:val="center"/>
          </w:tcPr>
          <w:p w14:paraId="510E1B2C">
            <w:pPr>
              <w:pStyle w:val="35"/>
            </w:pPr>
          </w:p>
        </w:tc>
        <w:tc>
          <w:tcPr>
            <w:tcW w:w="1017" w:type="dxa"/>
            <w:vMerge w:val="continue"/>
            <w:vAlign w:val="center"/>
          </w:tcPr>
          <w:p w14:paraId="4B925688">
            <w:pPr>
              <w:pStyle w:val="35"/>
            </w:pPr>
          </w:p>
        </w:tc>
      </w:tr>
      <w:tr w14:paraId="3B8B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3B0F412C">
            <w:pPr>
              <w:pStyle w:val="35"/>
            </w:pPr>
          </w:p>
        </w:tc>
        <w:tc>
          <w:tcPr>
            <w:tcW w:w="1475" w:type="dxa"/>
            <w:vMerge w:val="continue"/>
            <w:vAlign w:val="center"/>
          </w:tcPr>
          <w:p w14:paraId="1C3A3DF1">
            <w:pPr>
              <w:spacing w:line="280" w:lineRule="exact"/>
              <w:jc w:val="center"/>
              <w:rPr>
                <w:rFonts w:ascii="Times New Roman" w:hAnsi="等线" w:eastAsia="仿宋"/>
                <w:kern w:val="2"/>
                <w:szCs w:val="21"/>
              </w:rPr>
            </w:pPr>
          </w:p>
        </w:tc>
        <w:tc>
          <w:tcPr>
            <w:tcW w:w="1209" w:type="dxa"/>
            <w:vAlign w:val="center"/>
          </w:tcPr>
          <w:p w14:paraId="5D420A45">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347E925E">
            <w:pPr>
              <w:widowControl/>
              <w:jc w:val="center"/>
              <w:textAlignment w:val="center"/>
              <w:rPr>
                <w:rFonts w:ascii="Times New Roman" w:hAnsi="等线" w:eastAsia="仿宋"/>
                <w:kern w:val="2"/>
                <w:szCs w:val="21"/>
              </w:rPr>
            </w:pPr>
            <w:r>
              <w:rPr>
                <w:rFonts w:ascii="Times New Roman"/>
                <w:szCs w:val="24"/>
                <w:lang w:bidi="ar"/>
              </w:rPr>
              <w:t>0.18</w:t>
            </w:r>
          </w:p>
        </w:tc>
        <w:tc>
          <w:tcPr>
            <w:tcW w:w="1091" w:type="dxa"/>
            <w:shd w:val="clear" w:color="auto" w:fill="auto"/>
            <w:vAlign w:val="center"/>
          </w:tcPr>
          <w:p w14:paraId="2428DA2E">
            <w:pPr>
              <w:widowControl/>
              <w:jc w:val="center"/>
              <w:textAlignment w:val="center"/>
              <w:rPr>
                <w:rFonts w:ascii="Times New Roman" w:hAnsi="等线" w:eastAsia="仿宋"/>
                <w:kern w:val="2"/>
                <w:szCs w:val="21"/>
              </w:rPr>
            </w:pPr>
            <w:r>
              <w:rPr>
                <w:rFonts w:ascii="Times New Roman"/>
                <w:szCs w:val="24"/>
                <w:lang w:bidi="ar"/>
              </w:rPr>
              <w:t>0.18</w:t>
            </w:r>
          </w:p>
        </w:tc>
        <w:tc>
          <w:tcPr>
            <w:tcW w:w="996" w:type="dxa"/>
            <w:vMerge w:val="continue"/>
            <w:vAlign w:val="center"/>
          </w:tcPr>
          <w:p w14:paraId="57B0706C">
            <w:pPr>
              <w:pStyle w:val="35"/>
            </w:pPr>
          </w:p>
        </w:tc>
        <w:tc>
          <w:tcPr>
            <w:tcW w:w="1017" w:type="dxa"/>
            <w:vMerge w:val="continue"/>
            <w:vAlign w:val="center"/>
          </w:tcPr>
          <w:p w14:paraId="67E2FA62">
            <w:pPr>
              <w:pStyle w:val="35"/>
            </w:pPr>
          </w:p>
        </w:tc>
      </w:tr>
    </w:tbl>
    <w:p w14:paraId="1C5361ED">
      <w:pPr>
        <w:spacing w:line="500" w:lineRule="exact"/>
        <w:ind w:firstLine="560" w:firstLineChars="200"/>
        <w:rPr>
          <w:rFonts w:ascii="Times New Roman" w:eastAsia="仿宋"/>
          <w:sz w:val="28"/>
          <w:szCs w:val="28"/>
        </w:rPr>
      </w:pPr>
      <w:r>
        <w:rPr>
          <w:rFonts w:ascii="Times New Roman" w:eastAsia="仿宋"/>
          <w:sz w:val="28"/>
          <w:szCs w:val="28"/>
        </w:rPr>
        <w:t>2、非正常工况下废气源强</w:t>
      </w:r>
    </w:p>
    <w:p w14:paraId="179437D2">
      <w:pPr>
        <w:spacing w:line="500" w:lineRule="exact"/>
        <w:ind w:firstLine="560" w:firstLineChars="200"/>
        <w:rPr>
          <w:rFonts w:eastAsia="仿宋"/>
          <w:bCs/>
          <w:sz w:val="28"/>
        </w:rPr>
      </w:pPr>
      <w:r>
        <w:rPr>
          <w:rFonts w:eastAsia="仿宋"/>
          <w:bCs/>
          <w:sz w:val="28"/>
        </w:rPr>
        <w:t>非正常生产与事故状况是指开车、停车、机械设备故障、设备管道不正常泄漏及设备检修时的物料流失等因素所排放的废水、废气对环境造成的影响。建设项目涉及的非正常生产状况为废气处理装置系统故障，导致废气未经处理直接排放。处理事故时间以15分钟计，在此期间废气处理装置处理效率为0。</w:t>
      </w:r>
    </w:p>
    <w:p w14:paraId="7862CE6C">
      <w:pPr>
        <w:spacing w:line="500" w:lineRule="exact"/>
        <w:ind w:firstLine="560" w:firstLineChars="200"/>
        <w:rPr>
          <w:rFonts w:eastAsia="仿宋"/>
          <w:bCs/>
          <w:sz w:val="28"/>
        </w:rPr>
      </w:pPr>
      <w:r>
        <w:rPr>
          <w:rFonts w:eastAsia="仿宋"/>
          <w:bCs/>
          <w:sz w:val="28"/>
        </w:rPr>
        <w:t>本项目非正常工况时废气源强表3.2-7所示。</w:t>
      </w:r>
    </w:p>
    <w:p w14:paraId="05800638">
      <w:pPr>
        <w:spacing w:line="500" w:lineRule="exact"/>
        <w:ind w:firstLine="560" w:firstLineChars="200"/>
        <w:rPr>
          <w:rFonts w:ascii="Times New Roman" w:eastAsia="仿宋"/>
          <w:bCs/>
          <w:sz w:val="28"/>
          <w:szCs w:val="28"/>
        </w:rPr>
        <w:sectPr>
          <w:pgSz w:w="11906" w:h="16838"/>
          <w:pgMar w:top="1440" w:right="1928" w:bottom="1440" w:left="1928" w:header="851" w:footer="992" w:gutter="0"/>
          <w:cols w:space="720" w:num="1"/>
          <w:docGrid w:linePitch="312" w:charSpace="0"/>
        </w:sectPr>
      </w:pPr>
    </w:p>
    <w:p w14:paraId="30F7026F">
      <w:pPr>
        <w:spacing w:line="500" w:lineRule="exact"/>
        <w:jc w:val="center"/>
        <w:rPr>
          <w:rFonts w:ascii="Times New Roman" w:eastAsia="仿宋"/>
          <w:b/>
          <w:bCs/>
        </w:rPr>
      </w:pPr>
      <w:r>
        <w:rPr>
          <w:rFonts w:ascii="Times New Roman" w:eastAsia="仿宋"/>
          <w:b/>
          <w:bCs/>
        </w:rPr>
        <w:t xml:space="preserve">表3.2-9  </w:t>
      </w:r>
      <w:r>
        <w:rPr>
          <w:rFonts w:hint="eastAsia" w:ascii="Times New Roman" w:eastAsia="仿宋"/>
          <w:b/>
          <w:bCs/>
        </w:rPr>
        <w:t>本项目</w:t>
      </w:r>
      <w:r>
        <w:rPr>
          <w:rFonts w:ascii="Times New Roman" w:eastAsia="仿宋"/>
          <w:b/>
          <w:bCs/>
        </w:rPr>
        <w:t>非正常工况时废气源强表</w:t>
      </w:r>
    </w:p>
    <w:tbl>
      <w:tblPr>
        <w:tblStyle w:val="87"/>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606"/>
        <w:gridCol w:w="840"/>
        <w:gridCol w:w="1458"/>
        <w:gridCol w:w="1035"/>
        <w:gridCol w:w="1047"/>
        <w:gridCol w:w="1116"/>
        <w:gridCol w:w="1616"/>
        <w:gridCol w:w="972"/>
        <w:gridCol w:w="705"/>
        <w:gridCol w:w="1246"/>
        <w:gridCol w:w="893"/>
      </w:tblGrid>
      <w:tr w14:paraId="0FF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restart"/>
            <w:vAlign w:val="center"/>
          </w:tcPr>
          <w:p w14:paraId="149527FB">
            <w:pPr>
              <w:adjustRightInd w:val="0"/>
              <w:snapToGrid w:val="0"/>
              <w:jc w:val="center"/>
              <w:rPr>
                <w:rFonts w:ascii="Times New Roman" w:eastAsia="仿宋"/>
                <w:szCs w:val="24"/>
              </w:rPr>
            </w:pPr>
            <w:r>
              <w:rPr>
                <w:rFonts w:ascii="Times New Roman" w:eastAsia="仿宋"/>
                <w:szCs w:val="24"/>
              </w:rPr>
              <w:t>排气筒编号</w:t>
            </w:r>
          </w:p>
        </w:tc>
        <w:tc>
          <w:tcPr>
            <w:tcW w:w="1580" w:type="dxa"/>
            <w:vMerge w:val="restart"/>
            <w:vAlign w:val="center"/>
          </w:tcPr>
          <w:p w14:paraId="3345815C">
            <w:pPr>
              <w:adjustRightInd w:val="0"/>
              <w:snapToGrid w:val="0"/>
              <w:jc w:val="center"/>
              <w:rPr>
                <w:rFonts w:ascii="Times New Roman" w:eastAsia="仿宋"/>
                <w:szCs w:val="24"/>
              </w:rPr>
            </w:pPr>
            <w:r>
              <w:rPr>
                <w:rFonts w:ascii="Times New Roman" w:eastAsia="仿宋"/>
                <w:szCs w:val="24"/>
              </w:rPr>
              <w:t>污染源及编号</w:t>
            </w:r>
          </w:p>
        </w:tc>
        <w:tc>
          <w:tcPr>
            <w:tcW w:w="827" w:type="dxa"/>
            <w:vMerge w:val="restart"/>
            <w:vAlign w:val="center"/>
          </w:tcPr>
          <w:p w14:paraId="2B8F5D2D">
            <w:pPr>
              <w:adjustRightInd w:val="0"/>
              <w:snapToGrid w:val="0"/>
              <w:jc w:val="center"/>
              <w:rPr>
                <w:rFonts w:ascii="Times New Roman" w:eastAsia="仿宋"/>
                <w:szCs w:val="24"/>
              </w:rPr>
            </w:pPr>
            <w:r>
              <w:rPr>
                <w:rFonts w:ascii="Times New Roman" w:eastAsia="仿宋"/>
                <w:szCs w:val="24"/>
              </w:rPr>
              <w:t>排气量</w:t>
            </w:r>
          </w:p>
          <w:p w14:paraId="2196F6E0">
            <w:pPr>
              <w:adjustRightInd w:val="0"/>
              <w:snapToGrid w:val="0"/>
              <w:jc w:val="center"/>
              <w:rPr>
                <w:rFonts w:ascii="Times New Roman" w:eastAsia="仿宋"/>
                <w:szCs w:val="24"/>
              </w:rPr>
            </w:pPr>
            <w:r>
              <w:rPr>
                <w:rFonts w:ascii="Times New Roman" w:eastAsia="仿宋"/>
                <w:szCs w:val="24"/>
              </w:rPr>
              <w:t>(m</w:t>
            </w:r>
            <w:r>
              <w:rPr>
                <w:rFonts w:ascii="Times New Roman" w:eastAsia="仿宋"/>
                <w:szCs w:val="24"/>
                <w:vertAlign w:val="superscript"/>
              </w:rPr>
              <w:t>3</w:t>
            </w:r>
            <w:r>
              <w:rPr>
                <w:rFonts w:ascii="Times New Roman" w:eastAsia="仿宋"/>
                <w:szCs w:val="24"/>
              </w:rPr>
              <w:t>/h)</w:t>
            </w:r>
          </w:p>
        </w:tc>
        <w:tc>
          <w:tcPr>
            <w:tcW w:w="1435" w:type="dxa"/>
            <w:vMerge w:val="restart"/>
            <w:vAlign w:val="center"/>
          </w:tcPr>
          <w:p w14:paraId="783A5946">
            <w:pPr>
              <w:adjustRightInd w:val="0"/>
              <w:snapToGrid w:val="0"/>
              <w:jc w:val="center"/>
              <w:rPr>
                <w:rFonts w:ascii="Times New Roman" w:eastAsia="仿宋"/>
                <w:szCs w:val="24"/>
              </w:rPr>
            </w:pPr>
            <w:r>
              <w:rPr>
                <w:rFonts w:ascii="Times New Roman" w:eastAsia="仿宋"/>
                <w:szCs w:val="24"/>
              </w:rPr>
              <w:t>污染物</w:t>
            </w:r>
          </w:p>
          <w:p w14:paraId="5462AE0A">
            <w:pPr>
              <w:adjustRightInd w:val="0"/>
              <w:snapToGrid w:val="0"/>
              <w:jc w:val="center"/>
              <w:rPr>
                <w:rFonts w:ascii="Times New Roman" w:eastAsia="仿宋"/>
                <w:szCs w:val="24"/>
              </w:rPr>
            </w:pPr>
            <w:r>
              <w:rPr>
                <w:rFonts w:ascii="Times New Roman" w:eastAsia="仿宋"/>
                <w:szCs w:val="24"/>
              </w:rPr>
              <w:t>名称</w:t>
            </w:r>
          </w:p>
        </w:tc>
        <w:tc>
          <w:tcPr>
            <w:tcW w:w="3146" w:type="dxa"/>
            <w:gridSpan w:val="3"/>
            <w:vAlign w:val="center"/>
          </w:tcPr>
          <w:p w14:paraId="465C8338">
            <w:pPr>
              <w:adjustRightInd w:val="0"/>
              <w:snapToGrid w:val="0"/>
              <w:jc w:val="center"/>
              <w:rPr>
                <w:rFonts w:ascii="Times New Roman" w:eastAsia="仿宋"/>
                <w:szCs w:val="24"/>
              </w:rPr>
            </w:pPr>
            <w:r>
              <w:rPr>
                <w:rFonts w:ascii="Times New Roman" w:eastAsia="仿宋"/>
                <w:szCs w:val="24"/>
              </w:rPr>
              <w:t>产生状况</w:t>
            </w:r>
          </w:p>
        </w:tc>
        <w:tc>
          <w:tcPr>
            <w:tcW w:w="1590" w:type="dxa"/>
            <w:vMerge w:val="restart"/>
            <w:vAlign w:val="center"/>
          </w:tcPr>
          <w:p w14:paraId="387C5782">
            <w:pPr>
              <w:adjustRightInd w:val="0"/>
              <w:snapToGrid w:val="0"/>
              <w:jc w:val="center"/>
              <w:rPr>
                <w:rFonts w:ascii="Times New Roman" w:eastAsia="仿宋"/>
                <w:szCs w:val="24"/>
              </w:rPr>
            </w:pPr>
            <w:r>
              <w:rPr>
                <w:rFonts w:ascii="Times New Roman" w:eastAsia="仿宋"/>
                <w:szCs w:val="24"/>
              </w:rPr>
              <w:t>拟采取的</w:t>
            </w:r>
          </w:p>
          <w:p w14:paraId="10EC23CA">
            <w:pPr>
              <w:adjustRightInd w:val="0"/>
              <w:snapToGrid w:val="0"/>
              <w:jc w:val="center"/>
              <w:rPr>
                <w:rFonts w:ascii="Times New Roman" w:eastAsia="仿宋"/>
                <w:szCs w:val="24"/>
              </w:rPr>
            </w:pPr>
            <w:r>
              <w:rPr>
                <w:rFonts w:ascii="Times New Roman" w:eastAsia="仿宋"/>
                <w:szCs w:val="24"/>
              </w:rPr>
              <w:t>措施</w:t>
            </w:r>
          </w:p>
        </w:tc>
        <w:tc>
          <w:tcPr>
            <w:tcW w:w="2876" w:type="dxa"/>
            <w:gridSpan w:val="3"/>
            <w:vAlign w:val="center"/>
          </w:tcPr>
          <w:p w14:paraId="1F3830B6">
            <w:pPr>
              <w:adjustRightInd w:val="0"/>
              <w:snapToGrid w:val="0"/>
              <w:jc w:val="center"/>
              <w:rPr>
                <w:rFonts w:ascii="Times New Roman" w:eastAsia="仿宋"/>
                <w:szCs w:val="24"/>
              </w:rPr>
            </w:pPr>
            <w:r>
              <w:rPr>
                <w:rFonts w:ascii="Times New Roman" w:eastAsia="仿宋"/>
                <w:szCs w:val="24"/>
              </w:rPr>
              <w:t>排放源参数</w:t>
            </w:r>
          </w:p>
        </w:tc>
        <w:tc>
          <w:tcPr>
            <w:tcW w:w="879" w:type="dxa"/>
            <w:vMerge w:val="restart"/>
            <w:vAlign w:val="center"/>
          </w:tcPr>
          <w:p w14:paraId="21862727">
            <w:pPr>
              <w:adjustRightInd w:val="0"/>
              <w:snapToGrid w:val="0"/>
              <w:jc w:val="center"/>
              <w:rPr>
                <w:rFonts w:ascii="Times New Roman" w:eastAsia="仿宋"/>
                <w:szCs w:val="21"/>
              </w:rPr>
            </w:pPr>
            <w:r>
              <w:rPr>
                <w:rFonts w:ascii="Times New Roman" w:eastAsia="仿宋"/>
                <w:szCs w:val="21"/>
              </w:rPr>
              <w:t>运行</w:t>
            </w:r>
          </w:p>
          <w:p w14:paraId="0FC577BF">
            <w:pPr>
              <w:adjustRightInd w:val="0"/>
              <w:snapToGrid w:val="0"/>
              <w:jc w:val="center"/>
              <w:rPr>
                <w:rFonts w:ascii="Times New Roman" w:eastAsia="仿宋"/>
                <w:szCs w:val="21"/>
              </w:rPr>
            </w:pPr>
            <w:r>
              <w:rPr>
                <w:rFonts w:ascii="Times New Roman" w:eastAsia="仿宋"/>
                <w:szCs w:val="21"/>
              </w:rPr>
              <w:t>时间</w:t>
            </w:r>
          </w:p>
        </w:tc>
      </w:tr>
      <w:tr w14:paraId="69F5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62" w:type="dxa"/>
            <w:vMerge w:val="continue"/>
            <w:vAlign w:val="center"/>
          </w:tcPr>
          <w:p w14:paraId="7F3A6ACC">
            <w:pPr>
              <w:adjustRightInd w:val="0"/>
              <w:snapToGrid w:val="0"/>
              <w:jc w:val="center"/>
              <w:rPr>
                <w:rFonts w:ascii="Times New Roman" w:eastAsia="仿宋"/>
                <w:szCs w:val="24"/>
              </w:rPr>
            </w:pPr>
          </w:p>
        </w:tc>
        <w:tc>
          <w:tcPr>
            <w:tcW w:w="1580" w:type="dxa"/>
            <w:vMerge w:val="continue"/>
            <w:vAlign w:val="center"/>
          </w:tcPr>
          <w:p w14:paraId="3ACD6B06">
            <w:pPr>
              <w:adjustRightInd w:val="0"/>
              <w:snapToGrid w:val="0"/>
              <w:jc w:val="center"/>
              <w:rPr>
                <w:rFonts w:ascii="Times New Roman" w:eastAsia="仿宋"/>
                <w:szCs w:val="24"/>
              </w:rPr>
            </w:pPr>
          </w:p>
        </w:tc>
        <w:tc>
          <w:tcPr>
            <w:tcW w:w="827" w:type="dxa"/>
            <w:vMerge w:val="continue"/>
            <w:vAlign w:val="center"/>
          </w:tcPr>
          <w:p w14:paraId="49CD3812">
            <w:pPr>
              <w:adjustRightInd w:val="0"/>
              <w:snapToGrid w:val="0"/>
              <w:jc w:val="center"/>
              <w:rPr>
                <w:rFonts w:ascii="Times New Roman" w:eastAsia="仿宋"/>
                <w:szCs w:val="24"/>
              </w:rPr>
            </w:pPr>
          </w:p>
        </w:tc>
        <w:tc>
          <w:tcPr>
            <w:tcW w:w="1435" w:type="dxa"/>
            <w:vMerge w:val="continue"/>
            <w:vAlign w:val="center"/>
          </w:tcPr>
          <w:p w14:paraId="5DC20EF4">
            <w:pPr>
              <w:adjustRightInd w:val="0"/>
              <w:snapToGrid w:val="0"/>
              <w:jc w:val="center"/>
              <w:rPr>
                <w:rFonts w:ascii="Times New Roman" w:eastAsia="仿宋"/>
                <w:szCs w:val="24"/>
              </w:rPr>
            </w:pPr>
          </w:p>
        </w:tc>
        <w:tc>
          <w:tcPr>
            <w:tcW w:w="1018" w:type="dxa"/>
            <w:vAlign w:val="center"/>
          </w:tcPr>
          <w:p w14:paraId="3B3E6522">
            <w:pPr>
              <w:adjustRightInd w:val="0"/>
              <w:snapToGrid w:val="0"/>
              <w:jc w:val="center"/>
              <w:rPr>
                <w:rFonts w:ascii="Times New Roman" w:eastAsia="仿宋"/>
                <w:szCs w:val="24"/>
              </w:rPr>
            </w:pPr>
            <w:r>
              <w:rPr>
                <w:rFonts w:ascii="Times New Roman" w:eastAsia="仿宋"/>
                <w:szCs w:val="24"/>
              </w:rPr>
              <w:t>最大浓度</w:t>
            </w:r>
          </w:p>
          <w:p w14:paraId="03E44D1A">
            <w:pPr>
              <w:adjustRightInd w:val="0"/>
              <w:snapToGrid w:val="0"/>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1030" w:type="dxa"/>
            <w:vAlign w:val="center"/>
          </w:tcPr>
          <w:p w14:paraId="33465C8F">
            <w:pPr>
              <w:adjustRightInd w:val="0"/>
              <w:snapToGrid w:val="0"/>
              <w:jc w:val="center"/>
              <w:rPr>
                <w:rFonts w:ascii="Times New Roman" w:eastAsia="仿宋"/>
                <w:szCs w:val="24"/>
              </w:rPr>
            </w:pPr>
            <w:r>
              <w:rPr>
                <w:rFonts w:ascii="Times New Roman" w:eastAsia="仿宋"/>
                <w:szCs w:val="24"/>
              </w:rPr>
              <w:t>最大速率</w:t>
            </w:r>
          </w:p>
          <w:p w14:paraId="7C51B447">
            <w:pPr>
              <w:adjustRightInd w:val="0"/>
              <w:snapToGrid w:val="0"/>
              <w:jc w:val="center"/>
              <w:rPr>
                <w:rFonts w:ascii="Times New Roman" w:eastAsia="仿宋"/>
                <w:szCs w:val="24"/>
              </w:rPr>
            </w:pPr>
            <w:r>
              <w:rPr>
                <w:rFonts w:ascii="Times New Roman" w:eastAsia="仿宋"/>
                <w:szCs w:val="24"/>
              </w:rPr>
              <w:t>(kg/h)</w:t>
            </w:r>
          </w:p>
        </w:tc>
        <w:tc>
          <w:tcPr>
            <w:tcW w:w="1098" w:type="dxa"/>
            <w:vAlign w:val="center"/>
          </w:tcPr>
          <w:p w14:paraId="4B374ED9">
            <w:pPr>
              <w:adjustRightInd w:val="0"/>
              <w:snapToGrid w:val="0"/>
              <w:jc w:val="center"/>
              <w:rPr>
                <w:rFonts w:ascii="Times New Roman" w:eastAsia="仿宋"/>
                <w:szCs w:val="24"/>
              </w:rPr>
            </w:pPr>
            <w:r>
              <w:rPr>
                <w:rFonts w:ascii="Times New Roman" w:eastAsia="仿宋"/>
                <w:szCs w:val="24"/>
              </w:rPr>
              <w:t>产生量</w:t>
            </w:r>
          </w:p>
          <w:p w14:paraId="6AFF89D2">
            <w:pPr>
              <w:adjustRightInd w:val="0"/>
              <w:snapToGrid w:val="0"/>
              <w:jc w:val="center"/>
              <w:rPr>
                <w:rFonts w:ascii="Times New Roman" w:eastAsia="仿宋"/>
                <w:szCs w:val="24"/>
              </w:rPr>
            </w:pPr>
            <w:r>
              <w:rPr>
                <w:rFonts w:ascii="Times New Roman" w:eastAsia="仿宋"/>
                <w:szCs w:val="24"/>
              </w:rPr>
              <w:t>(t/a)</w:t>
            </w:r>
          </w:p>
        </w:tc>
        <w:tc>
          <w:tcPr>
            <w:tcW w:w="1590" w:type="dxa"/>
            <w:vMerge w:val="continue"/>
            <w:vAlign w:val="center"/>
          </w:tcPr>
          <w:p w14:paraId="2F5F5552">
            <w:pPr>
              <w:adjustRightInd w:val="0"/>
              <w:snapToGrid w:val="0"/>
              <w:jc w:val="center"/>
              <w:rPr>
                <w:rFonts w:ascii="Times New Roman" w:eastAsia="仿宋"/>
                <w:szCs w:val="24"/>
              </w:rPr>
            </w:pPr>
          </w:p>
        </w:tc>
        <w:tc>
          <w:tcPr>
            <w:tcW w:w="956" w:type="dxa"/>
            <w:vAlign w:val="center"/>
          </w:tcPr>
          <w:p w14:paraId="44BC4DFA">
            <w:pPr>
              <w:adjustRightInd w:val="0"/>
              <w:snapToGrid w:val="0"/>
              <w:jc w:val="center"/>
              <w:rPr>
                <w:rFonts w:ascii="Times New Roman" w:eastAsia="仿宋"/>
                <w:szCs w:val="24"/>
              </w:rPr>
            </w:pPr>
            <w:r>
              <w:rPr>
                <w:rFonts w:ascii="Times New Roman" w:eastAsia="仿宋"/>
                <w:szCs w:val="24"/>
              </w:rPr>
              <w:t>排放</w:t>
            </w:r>
          </w:p>
          <w:p w14:paraId="4D74AE5A">
            <w:pPr>
              <w:adjustRightInd w:val="0"/>
              <w:snapToGrid w:val="0"/>
              <w:jc w:val="center"/>
              <w:rPr>
                <w:rFonts w:ascii="Times New Roman" w:eastAsia="仿宋"/>
                <w:szCs w:val="24"/>
              </w:rPr>
            </w:pPr>
            <w:r>
              <w:rPr>
                <w:rFonts w:ascii="Times New Roman" w:eastAsia="仿宋"/>
                <w:szCs w:val="24"/>
              </w:rPr>
              <w:t>高度(m)</w:t>
            </w:r>
          </w:p>
        </w:tc>
        <w:tc>
          <w:tcPr>
            <w:tcW w:w="694" w:type="dxa"/>
            <w:vAlign w:val="center"/>
          </w:tcPr>
          <w:p w14:paraId="29C7FF4B">
            <w:pPr>
              <w:adjustRightInd w:val="0"/>
              <w:snapToGrid w:val="0"/>
              <w:jc w:val="center"/>
              <w:rPr>
                <w:rFonts w:ascii="Times New Roman" w:eastAsia="仿宋"/>
                <w:szCs w:val="24"/>
              </w:rPr>
            </w:pPr>
            <w:r>
              <w:rPr>
                <w:rFonts w:ascii="Times New Roman" w:eastAsia="仿宋"/>
                <w:szCs w:val="24"/>
              </w:rPr>
              <w:t>直径</w:t>
            </w:r>
          </w:p>
          <w:p w14:paraId="24203DFF">
            <w:pPr>
              <w:adjustRightInd w:val="0"/>
              <w:snapToGrid w:val="0"/>
              <w:jc w:val="center"/>
              <w:rPr>
                <w:rFonts w:ascii="Times New Roman" w:eastAsia="仿宋"/>
                <w:szCs w:val="24"/>
              </w:rPr>
            </w:pPr>
            <w:r>
              <w:rPr>
                <w:rFonts w:ascii="Times New Roman" w:eastAsia="仿宋"/>
                <w:szCs w:val="24"/>
              </w:rPr>
              <w:t>(m)</w:t>
            </w:r>
          </w:p>
        </w:tc>
        <w:tc>
          <w:tcPr>
            <w:tcW w:w="1226" w:type="dxa"/>
            <w:vAlign w:val="center"/>
          </w:tcPr>
          <w:p w14:paraId="76F0D3F8">
            <w:pPr>
              <w:adjustRightInd w:val="0"/>
              <w:snapToGrid w:val="0"/>
              <w:jc w:val="center"/>
              <w:rPr>
                <w:rFonts w:ascii="Times New Roman" w:eastAsia="仿宋"/>
                <w:szCs w:val="21"/>
              </w:rPr>
            </w:pPr>
            <w:r>
              <w:rPr>
                <w:rFonts w:ascii="Times New Roman" w:eastAsia="仿宋"/>
                <w:szCs w:val="21"/>
              </w:rPr>
              <w:t>烟气出口温度(</w:t>
            </w:r>
            <w:r>
              <w:rPr>
                <w:rFonts w:hint="eastAsia" w:ascii="Times New Roman" w:eastAsia="仿宋"/>
                <w:szCs w:val="21"/>
              </w:rPr>
              <w:t>℃</w:t>
            </w:r>
            <w:r>
              <w:rPr>
                <w:rFonts w:ascii="Times New Roman" w:eastAsia="仿宋"/>
                <w:szCs w:val="21"/>
              </w:rPr>
              <w:t>)</w:t>
            </w:r>
          </w:p>
        </w:tc>
        <w:tc>
          <w:tcPr>
            <w:tcW w:w="879" w:type="dxa"/>
            <w:vMerge w:val="continue"/>
            <w:vAlign w:val="center"/>
          </w:tcPr>
          <w:p w14:paraId="442FF4EC">
            <w:pPr>
              <w:adjustRightInd w:val="0"/>
              <w:snapToGrid w:val="0"/>
              <w:jc w:val="center"/>
              <w:rPr>
                <w:rFonts w:ascii="Times New Roman" w:eastAsia="仿宋"/>
                <w:szCs w:val="21"/>
              </w:rPr>
            </w:pPr>
          </w:p>
        </w:tc>
      </w:tr>
      <w:tr w14:paraId="4F77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jc w:val="center"/>
        </w:trPr>
        <w:tc>
          <w:tcPr>
            <w:tcW w:w="962" w:type="dxa"/>
            <w:vAlign w:val="center"/>
          </w:tcPr>
          <w:p w14:paraId="72F47765">
            <w:pPr>
              <w:adjustRightInd w:val="0"/>
              <w:snapToGrid w:val="0"/>
              <w:jc w:val="center"/>
              <w:rPr>
                <w:rFonts w:ascii="Times New Roman" w:eastAsia="仿宋"/>
                <w:szCs w:val="24"/>
              </w:rPr>
            </w:pPr>
            <w:r>
              <w:rPr>
                <w:rFonts w:ascii="Times New Roman" w:eastAsia="仿宋"/>
                <w:szCs w:val="24"/>
              </w:rPr>
              <w:t>1</w:t>
            </w:r>
            <w:r>
              <w:rPr>
                <w:rFonts w:hint="eastAsia" w:ascii="Times New Roman" w:eastAsia="仿宋"/>
                <w:szCs w:val="24"/>
              </w:rPr>
              <w:t>#</w:t>
            </w:r>
          </w:p>
        </w:tc>
        <w:tc>
          <w:tcPr>
            <w:tcW w:w="1580" w:type="dxa"/>
            <w:vAlign w:val="center"/>
          </w:tcPr>
          <w:p w14:paraId="1913289D">
            <w:pPr>
              <w:adjustRightInd w:val="0"/>
              <w:snapToGrid w:val="0"/>
              <w:jc w:val="center"/>
              <w:rPr>
                <w:rFonts w:ascii="Times New Roman" w:eastAsia="仿宋"/>
                <w:szCs w:val="24"/>
              </w:rPr>
            </w:pPr>
            <w:r>
              <w:rPr>
                <w:rFonts w:hint="eastAsia" w:ascii="Times New Roman" w:eastAsia="仿宋"/>
                <w:szCs w:val="24"/>
              </w:rPr>
              <w:t>抛光粉尘G</w:t>
            </w:r>
            <w:r>
              <w:rPr>
                <w:rFonts w:ascii="Times New Roman" w:eastAsia="仿宋"/>
                <w:szCs w:val="24"/>
              </w:rPr>
              <w:t>2</w:t>
            </w:r>
          </w:p>
        </w:tc>
        <w:tc>
          <w:tcPr>
            <w:tcW w:w="827" w:type="dxa"/>
            <w:vAlign w:val="center"/>
          </w:tcPr>
          <w:p w14:paraId="1D842F9B">
            <w:pPr>
              <w:adjustRightInd w:val="0"/>
              <w:snapToGrid w:val="0"/>
              <w:jc w:val="center"/>
              <w:rPr>
                <w:rFonts w:ascii="Times New Roman" w:eastAsia="仿宋"/>
                <w:szCs w:val="24"/>
              </w:rPr>
            </w:pPr>
            <w:r>
              <w:rPr>
                <w:rFonts w:ascii="Times New Roman" w:eastAsia="仿宋"/>
                <w:szCs w:val="24"/>
              </w:rPr>
              <w:t>20</w:t>
            </w:r>
            <w:r>
              <w:rPr>
                <w:rFonts w:hint="eastAsia" w:ascii="Times New Roman" w:eastAsia="仿宋"/>
                <w:szCs w:val="24"/>
              </w:rPr>
              <w:t>000</w:t>
            </w:r>
          </w:p>
        </w:tc>
        <w:tc>
          <w:tcPr>
            <w:tcW w:w="1435" w:type="dxa"/>
            <w:vAlign w:val="center"/>
          </w:tcPr>
          <w:p w14:paraId="46E20D9D">
            <w:pPr>
              <w:adjustRightInd w:val="0"/>
              <w:snapToGrid w:val="0"/>
              <w:jc w:val="center"/>
              <w:rPr>
                <w:rFonts w:ascii="Times New Roman" w:eastAsia="仿宋"/>
                <w:szCs w:val="24"/>
              </w:rPr>
            </w:pPr>
            <w:r>
              <w:rPr>
                <w:rFonts w:hint="eastAsia" w:ascii="Times New Roman" w:eastAsia="仿宋"/>
                <w:szCs w:val="24"/>
              </w:rPr>
              <w:t>颗粒物</w:t>
            </w:r>
          </w:p>
        </w:tc>
        <w:tc>
          <w:tcPr>
            <w:tcW w:w="1018" w:type="dxa"/>
            <w:vAlign w:val="center"/>
          </w:tcPr>
          <w:p w14:paraId="5B197FB1">
            <w:pPr>
              <w:widowControl/>
              <w:jc w:val="center"/>
              <w:textAlignment w:val="center"/>
              <w:rPr>
                <w:rFonts w:ascii="Times New Roman" w:eastAsia="仿宋"/>
                <w:szCs w:val="24"/>
              </w:rPr>
            </w:pPr>
            <w:r>
              <w:rPr>
                <w:rFonts w:hint="eastAsia" w:ascii="Times New Roman" w:eastAsia="仿宋"/>
                <w:szCs w:val="24"/>
              </w:rPr>
              <w:t>5</w:t>
            </w:r>
          </w:p>
        </w:tc>
        <w:tc>
          <w:tcPr>
            <w:tcW w:w="1030" w:type="dxa"/>
            <w:vAlign w:val="center"/>
          </w:tcPr>
          <w:p w14:paraId="65FD8350">
            <w:pPr>
              <w:widowControl/>
              <w:jc w:val="center"/>
              <w:textAlignment w:val="center"/>
              <w:rPr>
                <w:rFonts w:ascii="Times New Roman" w:eastAsia="仿宋"/>
                <w:szCs w:val="24"/>
              </w:rPr>
            </w:pPr>
            <w:r>
              <w:rPr>
                <w:rFonts w:ascii="Times New Roman" w:eastAsia="仿宋"/>
                <w:szCs w:val="24"/>
              </w:rPr>
              <w:t>0.</w:t>
            </w:r>
            <w:r>
              <w:rPr>
                <w:rFonts w:hint="eastAsia" w:ascii="Times New Roman" w:eastAsia="仿宋"/>
                <w:szCs w:val="24"/>
              </w:rPr>
              <w:t>1</w:t>
            </w:r>
          </w:p>
        </w:tc>
        <w:tc>
          <w:tcPr>
            <w:tcW w:w="1098" w:type="dxa"/>
            <w:vAlign w:val="center"/>
          </w:tcPr>
          <w:p w14:paraId="3DF0989B">
            <w:pPr>
              <w:widowControl/>
              <w:jc w:val="center"/>
              <w:textAlignment w:val="center"/>
              <w:rPr>
                <w:rFonts w:ascii="Times New Roman" w:eastAsia="仿宋"/>
                <w:szCs w:val="24"/>
              </w:rPr>
            </w:pPr>
            <w:r>
              <w:rPr>
                <w:rFonts w:hint="eastAsia" w:ascii="Times New Roman" w:eastAsia="仿宋"/>
                <w:szCs w:val="24"/>
              </w:rPr>
              <w:t>0.49</w:t>
            </w:r>
          </w:p>
        </w:tc>
        <w:tc>
          <w:tcPr>
            <w:tcW w:w="1590" w:type="dxa"/>
            <w:vAlign w:val="center"/>
          </w:tcPr>
          <w:p w14:paraId="6966CC95">
            <w:pPr>
              <w:adjustRightInd w:val="0"/>
              <w:snapToGrid w:val="0"/>
              <w:jc w:val="center"/>
              <w:rPr>
                <w:rFonts w:ascii="Times New Roman" w:eastAsia="仿宋"/>
                <w:szCs w:val="24"/>
              </w:rPr>
            </w:pPr>
            <w:r>
              <w:rPr>
                <w:rFonts w:hint="eastAsia" w:ascii="Times New Roman" w:eastAsia="仿宋"/>
                <w:szCs w:val="24"/>
              </w:rPr>
              <w:t>湿式除尘</w:t>
            </w:r>
          </w:p>
        </w:tc>
        <w:tc>
          <w:tcPr>
            <w:tcW w:w="956" w:type="dxa"/>
            <w:vAlign w:val="center"/>
          </w:tcPr>
          <w:p w14:paraId="47483902">
            <w:pPr>
              <w:adjustRightInd w:val="0"/>
              <w:snapToGrid w:val="0"/>
              <w:jc w:val="center"/>
              <w:rPr>
                <w:rFonts w:ascii="Times New Roman" w:eastAsia="仿宋"/>
                <w:szCs w:val="24"/>
              </w:rPr>
            </w:pPr>
            <w:r>
              <w:rPr>
                <w:rFonts w:ascii="Times New Roman" w:eastAsia="仿宋"/>
                <w:szCs w:val="24"/>
              </w:rPr>
              <w:t>15</w:t>
            </w:r>
          </w:p>
        </w:tc>
        <w:tc>
          <w:tcPr>
            <w:tcW w:w="694" w:type="dxa"/>
            <w:vAlign w:val="center"/>
          </w:tcPr>
          <w:p w14:paraId="45160D8C">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.8</w:t>
            </w:r>
          </w:p>
        </w:tc>
        <w:tc>
          <w:tcPr>
            <w:tcW w:w="1226" w:type="dxa"/>
            <w:vAlign w:val="center"/>
          </w:tcPr>
          <w:p w14:paraId="1224BC38">
            <w:pPr>
              <w:adjustRightInd w:val="0"/>
              <w:snapToGrid w:val="0"/>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879" w:type="dxa"/>
            <w:vAlign w:val="center"/>
          </w:tcPr>
          <w:p w14:paraId="4B9D4190">
            <w:pPr>
              <w:adjustRightInd w:val="0"/>
              <w:snapToGrid w:val="0"/>
              <w:jc w:val="center"/>
              <w:rPr>
                <w:rFonts w:ascii="Times New Roman" w:eastAsia="仿宋"/>
                <w:szCs w:val="21"/>
              </w:rPr>
            </w:pPr>
            <w:r>
              <w:rPr>
                <w:rFonts w:hint="eastAsia" w:ascii="Times New Roman" w:eastAsia="仿宋"/>
                <w:szCs w:val="21"/>
              </w:rPr>
              <w:t>连续4800h</w:t>
            </w:r>
          </w:p>
        </w:tc>
      </w:tr>
      <w:tr w14:paraId="0C4F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restart"/>
            <w:vAlign w:val="center"/>
          </w:tcPr>
          <w:p w14:paraId="4DA3E0BD">
            <w:pPr>
              <w:adjustRightInd w:val="0"/>
              <w:snapToGrid w:val="0"/>
              <w:jc w:val="center"/>
              <w:rPr>
                <w:rFonts w:ascii="Times New Roman" w:eastAsia="仿宋"/>
                <w:szCs w:val="24"/>
              </w:rPr>
            </w:pPr>
            <w:r>
              <w:rPr>
                <w:rFonts w:hint="eastAsia" w:ascii="Times New Roman" w:eastAsia="仿宋"/>
                <w:szCs w:val="24"/>
              </w:rPr>
              <w:t>2#</w:t>
            </w:r>
          </w:p>
        </w:tc>
        <w:tc>
          <w:tcPr>
            <w:tcW w:w="1580" w:type="dxa"/>
            <w:vMerge w:val="restart"/>
            <w:vAlign w:val="center"/>
          </w:tcPr>
          <w:p w14:paraId="7134CB3F">
            <w:pPr>
              <w:adjustRightInd w:val="0"/>
              <w:snapToGrid w:val="0"/>
              <w:jc w:val="center"/>
              <w:rPr>
                <w:rFonts w:ascii="Times New Roman" w:eastAsia="仿宋"/>
                <w:szCs w:val="24"/>
              </w:rPr>
            </w:pPr>
            <w:r>
              <w:rPr>
                <w:rFonts w:hint="eastAsia" w:ascii="Times New Roman" w:eastAsia="仿宋"/>
                <w:szCs w:val="24"/>
              </w:rPr>
              <w:t>钝化废气G4</w:t>
            </w:r>
          </w:p>
        </w:tc>
        <w:tc>
          <w:tcPr>
            <w:tcW w:w="827" w:type="dxa"/>
            <w:vMerge w:val="restart"/>
            <w:vAlign w:val="center"/>
          </w:tcPr>
          <w:p w14:paraId="663249E7">
            <w:pPr>
              <w:adjustRightInd w:val="0"/>
              <w:snapToGrid w:val="0"/>
              <w:jc w:val="center"/>
              <w:rPr>
                <w:rFonts w:ascii="Times New Roman" w:eastAsia="仿宋"/>
                <w:szCs w:val="24"/>
              </w:rPr>
            </w:pPr>
            <w:r>
              <w:rPr>
                <w:rFonts w:ascii="Times New Roman" w:eastAsia="仿宋"/>
                <w:szCs w:val="24"/>
              </w:rPr>
              <w:t>26000</w:t>
            </w:r>
          </w:p>
        </w:tc>
        <w:tc>
          <w:tcPr>
            <w:tcW w:w="1435" w:type="dxa"/>
            <w:vAlign w:val="center"/>
          </w:tcPr>
          <w:p w14:paraId="04BF971F">
            <w:pPr>
              <w:adjustRightInd w:val="0"/>
              <w:snapToGrid w:val="0"/>
              <w:jc w:val="center"/>
              <w:rPr>
                <w:rFonts w:ascii="Times New Roman" w:eastAsia="仿宋"/>
                <w:szCs w:val="24"/>
              </w:rPr>
            </w:pPr>
            <w:r>
              <w:rPr>
                <w:rFonts w:hint="eastAsia" w:ascii="Times New Roman" w:eastAsia="仿宋"/>
                <w:szCs w:val="21"/>
              </w:rPr>
              <w:t>非甲烷总烃</w:t>
            </w:r>
          </w:p>
        </w:tc>
        <w:tc>
          <w:tcPr>
            <w:tcW w:w="1018" w:type="dxa"/>
            <w:vAlign w:val="center"/>
          </w:tcPr>
          <w:p w14:paraId="383356B7">
            <w:pPr>
              <w:widowControl/>
              <w:jc w:val="center"/>
              <w:textAlignment w:val="center"/>
              <w:rPr>
                <w:rFonts w:ascii="Times New Roman" w:eastAsia="仿宋"/>
                <w:szCs w:val="24"/>
              </w:rPr>
            </w:pPr>
            <w:r>
              <w:rPr>
                <w:rFonts w:hint="eastAsia" w:ascii="Times New Roman" w:eastAsia="仿宋"/>
                <w:szCs w:val="24"/>
              </w:rPr>
              <w:t>63.07</w:t>
            </w:r>
          </w:p>
        </w:tc>
        <w:tc>
          <w:tcPr>
            <w:tcW w:w="1030" w:type="dxa"/>
            <w:vAlign w:val="center"/>
          </w:tcPr>
          <w:p w14:paraId="4A87326B">
            <w:pPr>
              <w:widowControl/>
              <w:jc w:val="center"/>
              <w:textAlignment w:val="center"/>
              <w:rPr>
                <w:rFonts w:ascii="Times New Roman" w:eastAsia="仿宋"/>
                <w:szCs w:val="24"/>
              </w:rPr>
            </w:pPr>
            <w:r>
              <w:rPr>
                <w:rFonts w:hint="eastAsia" w:ascii="Times New Roman" w:eastAsia="仿宋"/>
                <w:szCs w:val="24"/>
              </w:rPr>
              <w:t>1.64</w:t>
            </w:r>
          </w:p>
        </w:tc>
        <w:tc>
          <w:tcPr>
            <w:tcW w:w="1098" w:type="dxa"/>
            <w:vAlign w:val="center"/>
          </w:tcPr>
          <w:p w14:paraId="0D64C1DF">
            <w:pPr>
              <w:widowControl/>
              <w:jc w:val="center"/>
              <w:textAlignment w:val="center"/>
              <w:rPr>
                <w:rFonts w:ascii="Times New Roman" w:eastAsia="仿宋"/>
                <w:szCs w:val="24"/>
              </w:rPr>
            </w:pPr>
            <w:r>
              <w:rPr>
                <w:rFonts w:hint="eastAsia" w:ascii="Times New Roman" w:eastAsia="仿宋"/>
                <w:szCs w:val="24"/>
              </w:rPr>
              <w:t>7.88</w:t>
            </w:r>
          </w:p>
        </w:tc>
        <w:tc>
          <w:tcPr>
            <w:tcW w:w="1590" w:type="dxa"/>
            <w:vMerge w:val="restart"/>
            <w:vAlign w:val="center"/>
          </w:tcPr>
          <w:p w14:paraId="4A9D50F9">
            <w:pPr>
              <w:adjustRightInd w:val="0"/>
              <w:snapToGrid w:val="0"/>
              <w:jc w:val="center"/>
              <w:rPr>
                <w:rFonts w:ascii="Times New Roman" w:eastAsia="仿宋"/>
                <w:szCs w:val="24"/>
              </w:rPr>
            </w:pPr>
            <w:r>
              <w:rPr>
                <w:rFonts w:hint="eastAsia" w:ascii="Times New Roman" w:eastAsia="仿宋"/>
                <w:szCs w:val="21"/>
              </w:rPr>
              <w:t>1号水帘式循环过滤系统+水喷淋+干式过滤器+三级活性炭吸附脱附+催化燃烧</w:t>
            </w:r>
          </w:p>
        </w:tc>
        <w:tc>
          <w:tcPr>
            <w:tcW w:w="956" w:type="dxa"/>
            <w:vMerge w:val="restart"/>
            <w:vAlign w:val="center"/>
          </w:tcPr>
          <w:p w14:paraId="68C228A1">
            <w:pPr>
              <w:adjustRightInd w:val="0"/>
              <w:snapToGrid w:val="0"/>
              <w:jc w:val="center"/>
              <w:rPr>
                <w:rFonts w:ascii="Times New Roman" w:eastAsia="仿宋"/>
                <w:szCs w:val="24"/>
              </w:rPr>
            </w:pPr>
            <w:r>
              <w:rPr>
                <w:rFonts w:ascii="Times New Roman" w:eastAsia="仿宋"/>
                <w:szCs w:val="24"/>
              </w:rPr>
              <w:t>15</w:t>
            </w:r>
          </w:p>
        </w:tc>
        <w:tc>
          <w:tcPr>
            <w:tcW w:w="694" w:type="dxa"/>
            <w:vMerge w:val="restart"/>
            <w:vAlign w:val="center"/>
          </w:tcPr>
          <w:p w14:paraId="24D40F07">
            <w:pPr>
              <w:adjustRightInd w:val="0"/>
              <w:snapToGrid w:val="0"/>
              <w:jc w:val="center"/>
              <w:rPr>
                <w:rFonts w:ascii="Times New Roman" w:eastAsia="仿宋"/>
                <w:szCs w:val="24"/>
              </w:rPr>
            </w:pPr>
            <w:r>
              <w:rPr>
                <w:rFonts w:ascii="Times New Roman" w:eastAsia="仿宋"/>
                <w:szCs w:val="24"/>
              </w:rPr>
              <w:t>0.9</w:t>
            </w:r>
          </w:p>
        </w:tc>
        <w:tc>
          <w:tcPr>
            <w:tcW w:w="1226" w:type="dxa"/>
            <w:vMerge w:val="restart"/>
            <w:vAlign w:val="center"/>
          </w:tcPr>
          <w:p w14:paraId="0C19DF0C">
            <w:pPr>
              <w:adjustRightInd w:val="0"/>
              <w:snapToGrid w:val="0"/>
              <w:jc w:val="center"/>
              <w:rPr>
                <w:rFonts w:ascii="Times New Roman" w:eastAsia="仿宋"/>
                <w:szCs w:val="21"/>
              </w:rPr>
            </w:pPr>
            <w:r>
              <w:rPr>
                <w:rFonts w:hint="eastAsia" w:ascii="Times New Roman" w:eastAsia="仿宋"/>
                <w:szCs w:val="21"/>
              </w:rPr>
              <w:t>50</w:t>
            </w:r>
          </w:p>
        </w:tc>
        <w:tc>
          <w:tcPr>
            <w:tcW w:w="879" w:type="dxa"/>
            <w:vMerge w:val="restart"/>
            <w:vAlign w:val="center"/>
          </w:tcPr>
          <w:p w14:paraId="79275070">
            <w:pPr>
              <w:adjustRightInd w:val="0"/>
              <w:snapToGrid w:val="0"/>
              <w:jc w:val="center"/>
              <w:rPr>
                <w:rFonts w:ascii="Times New Roman" w:eastAsia="仿宋"/>
                <w:szCs w:val="21"/>
              </w:rPr>
            </w:pPr>
            <w:r>
              <w:rPr>
                <w:rFonts w:hint="eastAsia" w:ascii="Times New Roman" w:eastAsia="仿宋"/>
                <w:szCs w:val="21"/>
              </w:rPr>
              <w:t>连续4800h</w:t>
            </w:r>
          </w:p>
        </w:tc>
      </w:tr>
      <w:tr w14:paraId="1EF0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70F0FF15">
            <w:pPr>
              <w:adjustRightInd w:val="0"/>
              <w:snapToGrid w:val="0"/>
              <w:jc w:val="center"/>
              <w:rPr>
                <w:rFonts w:ascii="Times New Roman" w:eastAsia="仿宋"/>
                <w:szCs w:val="24"/>
              </w:rPr>
            </w:pPr>
          </w:p>
        </w:tc>
        <w:tc>
          <w:tcPr>
            <w:tcW w:w="1580" w:type="dxa"/>
            <w:vMerge w:val="continue"/>
            <w:vAlign w:val="center"/>
          </w:tcPr>
          <w:p w14:paraId="615D543A">
            <w:pPr>
              <w:adjustRightInd w:val="0"/>
              <w:snapToGrid w:val="0"/>
              <w:jc w:val="center"/>
              <w:rPr>
                <w:rFonts w:ascii="Times New Roman" w:eastAsia="仿宋"/>
                <w:szCs w:val="24"/>
              </w:rPr>
            </w:pPr>
          </w:p>
        </w:tc>
        <w:tc>
          <w:tcPr>
            <w:tcW w:w="827" w:type="dxa"/>
            <w:vMerge w:val="continue"/>
            <w:vAlign w:val="center"/>
          </w:tcPr>
          <w:p w14:paraId="51583D16">
            <w:pPr>
              <w:adjustRightInd w:val="0"/>
              <w:snapToGrid w:val="0"/>
              <w:jc w:val="center"/>
              <w:rPr>
                <w:rFonts w:ascii="Times New Roman" w:eastAsia="仿宋"/>
                <w:szCs w:val="24"/>
              </w:rPr>
            </w:pPr>
          </w:p>
        </w:tc>
        <w:tc>
          <w:tcPr>
            <w:tcW w:w="1435" w:type="dxa"/>
            <w:vAlign w:val="center"/>
          </w:tcPr>
          <w:p w14:paraId="558F1D37">
            <w:pPr>
              <w:adjustRightInd w:val="0"/>
              <w:snapToGrid w:val="0"/>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47389261">
            <w:pPr>
              <w:widowControl/>
              <w:jc w:val="center"/>
              <w:textAlignment w:val="center"/>
              <w:rPr>
                <w:rFonts w:ascii="Times New Roman" w:eastAsia="仿宋"/>
                <w:szCs w:val="24"/>
              </w:rPr>
            </w:pPr>
            <w:r>
              <w:rPr>
                <w:rFonts w:hint="eastAsia" w:ascii="Times New Roman" w:eastAsia="仿宋"/>
                <w:szCs w:val="24"/>
              </w:rPr>
              <w:t>63.07</w:t>
            </w:r>
          </w:p>
        </w:tc>
        <w:tc>
          <w:tcPr>
            <w:tcW w:w="1030" w:type="dxa"/>
            <w:vAlign w:val="center"/>
          </w:tcPr>
          <w:p w14:paraId="6CD21B3C">
            <w:pPr>
              <w:widowControl/>
              <w:jc w:val="center"/>
              <w:textAlignment w:val="center"/>
              <w:rPr>
                <w:rFonts w:ascii="Times New Roman" w:eastAsia="仿宋"/>
                <w:szCs w:val="24"/>
              </w:rPr>
            </w:pPr>
            <w:r>
              <w:rPr>
                <w:rFonts w:hint="eastAsia" w:ascii="Times New Roman" w:eastAsia="仿宋"/>
                <w:szCs w:val="24"/>
              </w:rPr>
              <w:t>1.64</w:t>
            </w:r>
          </w:p>
        </w:tc>
        <w:tc>
          <w:tcPr>
            <w:tcW w:w="1098" w:type="dxa"/>
            <w:vAlign w:val="center"/>
          </w:tcPr>
          <w:p w14:paraId="6F31412A">
            <w:pPr>
              <w:widowControl/>
              <w:jc w:val="center"/>
              <w:textAlignment w:val="center"/>
              <w:rPr>
                <w:rFonts w:ascii="Times New Roman" w:eastAsia="仿宋"/>
                <w:szCs w:val="24"/>
              </w:rPr>
            </w:pPr>
            <w:r>
              <w:rPr>
                <w:rFonts w:hint="eastAsia" w:ascii="Times New Roman" w:eastAsia="仿宋"/>
                <w:szCs w:val="24"/>
              </w:rPr>
              <w:t>7.88</w:t>
            </w:r>
          </w:p>
        </w:tc>
        <w:tc>
          <w:tcPr>
            <w:tcW w:w="1590" w:type="dxa"/>
            <w:vMerge w:val="continue"/>
            <w:vAlign w:val="center"/>
          </w:tcPr>
          <w:p w14:paraId="31DE926A">
            <w:pPr>
              <w:adjustRightInd w:val="0"/>
              <w:snapToGrid w:val="0"/>
              <w:jc w:val="center"/>
              <w:rPr>
                <w:rFonts w:ascii="Times New Roman" w:eastAsia="仿宋"/>
                <w:szCs w:val="21"/>
              </w:rPr>
            </w:pPr>
          </w:p>
        </w:tc>
        <w:tc>
          <w:tcPr>
            <w:tcW w:w="956" w:type="dxa"/>
            <w:vMerge w:val="continue"/>
            <w:vAlign w:val="center"/>
          </w:tcPr>
          <w:p w14:paraId="1A63DD83">
            <w:pPr>
              <w:adjustRightInd w:val="0"/>
              <w:snapToGrid w:val="0"/>
              <w:jc w:val="center"/>
              <w:rPr>
                <w:rFonts w:ascii="Times New Roman" w:eastAsia="仿宋"/>
                <w:szCs w:val="24"/>
              </w:rPr>
            </w:pPr>
          </w:p>
        </w:tc>
        <w:tc>
          <w:tcPr>
            <w:tcW w:w="694" w:type="dxa"/>
            <w:vMerge w:val="continue"/>
            <w:vAlign w:val="center"/>
          </w:tcPr>
          <w:p w14:paraId="61FD90A9">
            <w:pPr>
              <w:adjustRightInd w:val="0"/>
              <w:snapToGrid w:val="0"/>
              <w:jc w:val="center"/>
              <w:rPr>
                <w:rFonts w:ascii="Times New Roman" w:eastAsia="仿宋"/>
                <w:szCs w:val="24"/>
              </w:rPr>
            </w:pPr>
          </w:p>
        </w:tc>
        <w:tc>
          <w:tcPr>
            <w:tcW w:w="1226" w:type="dxa"/>
            <w:vMerge w:val="continue"/>
            <w:vAlign w:val="center"/>
          </w:tcPr>
          <w:p w14:paraId="14741628">
            <w:pPr>
              <w:adjustRightInd w:val="0"/>
              <w:snapToGrid w:val="0"/>
              <w:jc w:val="center"/>
              <w:rPr>
                <w:rFonts w:ascii="Times New Roman" w:eastAsia="仿宋"/>
                <w:szCs w:val="21"/>
              </w:rPr>
            </w:pPr>
          </w:p>
        </w:tc>
        <w:tc>
          <w:tcPr>
            <w:tcW w:w="879" w:type="dxa"/>
            <w:vMerge w:val="continue"/>
            <w:vAlign w:val="center"/>
          </w:tcPr>
          <w:p w14:paraId="0201CD95">
            <w:pPr>
              <w:adjustRightInd w:val="0"/>
              <w:snapToGrid w:val="0"/>
              <w:jc w:val="center"/>
              <w:rPr>
                <w:rFonts w:ascii="Times New Roman" w:eastAsia="仿宋"/>
                <w:szCs w:val="21"/>
              </w:rPr>
            </w:pPr>
          </w:p>
        </w:tc>
      </w:tr>
      <w:tr w14:paraId="53E8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5289B3C7">
            <w:pPr>
              <w:adjustRightInd w:val="0"/>
              <w:snapToGrid w:val="0"/>
              <w:jc w:val="center"/>
              <w:rPr>
                <w:rFonts w:ascii="Times New Roman" w:eastAsia="仿宋"/>
                <w:szCs w:val="24"/>
              </w:rPr>
            </w:pPr>
          </w:p>
        </w:tc>
        <w:tc>
          <w:tcPr>
            <w:tcW w:w="1580" w:type="dxa"/>
            <w:vMerge w:val="restart"/>
            <w:vAlign w:val="center"/>
          </w:tcPr>
          <w:p w14:paraId="5C4D2BFB">
            <w:pPr>
              <w:adjustRightInd w:val="0"/>
              <w:snapToGrid w:val="0"/>
              <w:jc w:val="center"/>
              <w:rPr>
                <w:rFonts w:ascii="Times New Roman" w:eastAsia="仿宋"/>
                <w:szCs w:val="24"/>
              </w:rPr>
            </w:pPr>
            <w:r>
              <w:rPr>
                <w:rFonts w:hint="eastAsia" w:ascii="Times New Roman" w:eastAsia="仿宋"/>
                <w:szCs w:val="24"/>
              </w:rPr>
              <w:t>氟碳底漆喷漆废气G10</w:t>
            </w:r>
          </w:p>
        </w:tc>
        <w:tc>
          <w:tcPr>
            <w:tcW w:w="827" w:type="dxa"/>
            <w:vMerge w:val="continue"/>
            <w:vAlign w:val="center"/>
          </w:tcPr>
          <w:p w14:paraId="5BB29FA2">
            <w:pPr>
              <w:adjustRightInd w:val="0"/>
              <w:snapToGrid w:val="0"/>
              <w:jc w:val="center"/>
              <w:rPr>
                <w:rFonts w:ascii="Times New Roman" w:eastAsia="仿宋"/>
                <w:szCs w:val="24"/>
              </w:rPr>
            </w:pPr>
          </w:p>
        </w:tc>
        <w:tc>
          <w:tcPr>
            <w:tcW w:w="1435" w:type="dxa"/>
            <w:vAlign w:val="center"/>
          </w:tcPr>
          <w:p w14:paraId="65D7B630">
            <w:pPr>
              <w:jc w:val="center"/>
              <w:rPr>
                <w:rFonts w:ascii="Times New Roman" w:eastAsia="仿宋"/>
                <w:szCs w:val="21"/>
              </w:rPr>
            </w:pPr>
            <w:r>
              <w:rPr>
                <w:rFonts w:hint="eastAsia" w:ascii="Times New Roman" w:eastAsia="仿宋"/>
                <w:szCs w:val="21"/>
              </w:rPr>
              <w:t>非甲烷总烃</w:t>
            </w:r>
          </w:p>
        </w:tc>
        <w:tc>
          <w:tcPr>
            <w:tcW w:w="1018" w:type="dxa"/>
            <w:vAlign w:val="center"/>
          </w:tcPr>
          <w:p w14:paraId="7D11BAD1">
            <w:pPr>
              <w:widowControl/>
              <w:jc w:val="center"/>
              <w:textAlignment w:val="center"/>
              <w:rPr>
                <w:rFonts w:ascii="Times New Roman" w:eastAsia="仿宋"/>
                <w:szCs w:val="24"/>
              </w:rPr>
            </w:pPr>
            <w:r>
              <w:rPr>
                <w:rFonts w:hint="eastAsia" w:ascii="Times New Roman" w:eastAsia="仿宋"/>
                <w:szCs w:val="24"/>
              </w:rPr>
              <w:t>54.23</w:t>
            </w:r>
          </w:p>
        </w:tc>
        <w:tc>
          <w:tcPr>
            <w:tcW w:w="1030" w:type="dxa"/>
            <w:vAlign w:val="center"/>
          </w:tcPr>
          <w:p w14:paraId="10578EC0">
            <w:pPr>
              <w:widowControl/>
              <w:jc w:val="center"/>
              <w:textAlignment w:val="center"/>
              <w:rPr>
                <w:rFonts w:ascii="Times New Roman" w:eastAsia="仿宋"/>
                <w:szCs w:val="24"/>
              </w:rPr>
            </w:pPr>
            <w:r>
              <w:rPr>
                <w:rFonts w:hint="eastAsia" w:ascii="Times New Roman" w:eastAsia="仿宋"/>
                <w:szCs w:val="24"/>
              </w:rPr>
              <w:t>1.41</w:t>
            </w:r>
          </w:p>
        </w:tc>
        <w:tc>
          <w:tcPr>
            <w:tcW w:w="1098" w:type="dxa"/>
            <w:vAlign w:val="center"/>
          </w:tcPr>
          <w:p w14:paraId="7A62E969">
            <w:pPr>
              <w:widowControl/>
              <w:jc w:val="center"/>
              <w:textAlignment w:val="center"/>
              <w:rPr>
                <w:rFonts w:ascii="Times New Roman" w:eastAsia="仿宋"/>
                <w:szCs w:val="24"/>
              </w:rPr>
            </w:pPr>
            <w:r>
              <w:rPr>
                <w:rFonts w:hint="eastAsia" w:ascii="Times New Roman" w:eastAsia="仿宋"/>
                <w:szCs w:val="24"/>
              </w:rPr>
              <w:t>6.79</w:t>
            </w:r>
          </w:p>
        </w:tc>
        <w:tc>
          <w:tcPr>
            <w:tcW w:w="1590" w:type="dxa"/>
            <w:vMerge w:val="continue"/>
            <w:vAlign w:val="center"/>
          </w:tcPr>
          <w:p w14:paraId="53A8A144">
            <w:pPr>
              <w:adjustRightInd w:val="0"/>
              <w:snapToGrid w:val="0"/>
              <w:jc w:val="center"/>
              <w:rPr>
                <w:rFonts w:ascii="Times New Roman" w:eastAsia="仿宋"/>
                <w:szCs w:val="24"/>
              </w:rPr>
            </w:pPr>
          </w:p>
        </w:tc>
        <w:tc>
          <w:tcPr>
            <w:tcW w:w="956" w:type="dxa"/>
            <w:vMerge w:val="continue"/>
            <w:vAlign w:val="center"/>
          </w:tcPr>
          <w:p w14:paraId="6BAA2976">
            <w:pPr>
              <w:adjustRightInd w:val="0"/>
              <w:snapToGrid w:val="0"/>
              <w:jc w:val="center"/>
              <w:rPr>
                <w:rFonts w:ascii="Times New Roman" w:eastAsia="仿宋"/>
                <w:szCs w:val="24"/>
              </w:rPr>
            </w:pPr>
          </w:p>
        </w:tc>
        <w:tc>
          <w:tcPr>
            <w:tcW w:w="694" w:type="dxa"/>
            <w:vMerge w:val="continue"/>
            <w:vAlign w:val="center"/>
          </w:tcPr>
          <w:p w14:paraId="63649BB6">
            <w:pPr>
              <w:adjustRightInd w:val="0"/>
              <w:snapToGrid w:val="0"/>
              <w:jc w:val="center"/>
              <w:rPr>
                <w:rFonts w:ascii="Times New Roman" w:eastAsia="仿宋"/>
                <w:szCs w:val="24"/>
              </w:rPr>
            </w:pPr>
          </w:p>
        </w:tc>
        <w:tc>
          <w:tcPr>
            <w:tcW w:w="1226" w:type="dxa"/>
            <w:vMerge w:val="continue"/>
            <w:vAlign w:val="center"/>
          </w:tcPr>
          <w:p w14:paraId="26A2C4C8">
            <w:pPr>
              <w:adjustRightInd w:val="0"/>
              <w:snapToGrid w:val="0"/>
              <w:jc w:val="center"/>
              <w:rPr>
                <w:rFonts w:ascii="Times New Roman" w:eastAsia="仿宋"/>
                <w:szCs w:val="21"/>
              </w:rPr>
            </w:pPr>
          </w:p>
        </w:tc>
        <w:tc>
          <w:tcPr>
            <w:tcW w:w="879" w:type="dxa"/>
            <w:vMerge w:val="continue"/>
            <w:vAlign w:val="center"/>
          </w:tcPr>
          <w:p w14:paraId="772F1503">
            <w:pPr>
              <w:adjustRightInd w:val="0"/>
              <w:snapToGrid w:val="0"/>
              <w:jc w:val="center"/>
              <w:rPr>
                <w:rFonts w:ascii="Times New Roman" w:eastAsia="仿宋"/>
                <w:szCs w:val="21"/>
              </w:rPr>
            </w:pPr>
          </w:p>
        </w:tc>
      </w:tr>
      <w:tr w14:paraId="0774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418AE420">
            <w:pPr>
              <w:adjustRightInd w:val="0"/>
              <w:snapToGrid w:val="0"/>
              <w:jc w:val="center"/>
              <w:rPr>
                <w:rFonts w:ascii="Times New Roman" w:eastAsia="仿宋"/>
                <w:szCs w:val="24"/>
              </w:rPr>
            </w:pPr>
          </w:p>
        </w:tc>
        <w:tc>
          <w:tcPr>
            <w:tcW w:w="1580" w:type="dxa"/>
            <w:vMerge w:val="continue"/>
            <w:vAlign w:val="center"/>
          </w:tcPr>
          <w:p w14:paraId="4CBCCA21">
            <w:pPr>
              <w:adjustRightInd w:val="0"/>
              <w:snapToGrid w:val="0"/>
              <w:jc w:val="center"/>
              <w:rPr>
                <w:rFonts w:ascii="Times New Roman" w:eastAsia="仿宋"/>
                <w:szCs w:val="24"/>
              </w:rPr>
            </w:pPr>
          </w:p>
        </w:tc>
        <w:tc>
          <w:tcPr>
            <w:tcW w:w="827" w:type="dxa"/>
            <w:vMerge w:val="continue"/>
            <w:vAlign w:val="center"/>
          </w:tcPr>
          <w:p w14:paraId="637C4C36">
            <w:pPr>
              <w:adjustRightInd w:val="0"/>
              <w:snapToGrid w:val="0"/>
              <w:jc w:val="center"/>
              <w:rPr>
                <w:rFonts w:ascii="Times New Roman" w:eastAsia="仿宋"/>
                <w:szCs w:val="24"/>
              </w:rPr>
            </w:pPr>
          </w:p>
        </w:tc>
        <w:tc>
          <w:tcPr>
            <w:tcW w:w="1435" w:type="dxa"/>
            <w:vAlign w:val="center"/>
          </w:tcPr>
          <w:p w14:paraId="57174E83">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shd w:val="clear" w:color="auto" w:fill="auto"/>
            <w:vAlign w:val="center"/>
          </w:tcPr>
          <w:p w14:paraId="57A2BA6F">
            <w:pPr>
              <w:widowControl/>
              <w:jc w:val="center"/>
              <w:textAlignment w:val="center"/>
              <w:rPr>
                <w:rFonts w:ascii="Times New Roman" w:eastAsia="仿宋"/>
                <w:szCs w:val="24"/>
              </w:rPr>
            </w:pPr>
            <w:r>
              <w:rPr>
                <w:rFonts w:hint="eastAsia" w:ascii="Times New Roman" w:eastAsia="仿宋"/>
                <w:szCs w:val="24"/>
              </w:rPr>
              <w:t>54.23</w:t>
            </w:r>
          </w:p>
        </w:tc>
        <w:tc>
          <w:tcPr>
            <w:tcW w:w="1030" w:type="dxa"/>
            <w:shd w:val="clear" w:color="auto" w:fill="auto"/>
            <w:vAlign w:val="center"/>
          </w:tcPr>
          <w:p w14:paraId="5A12E7CD">
            <w:pPr>
              <w:widowControl/>
              <w:jc w:val="center"/>
              <w:textAlignment w:val="center"/>
              <w:rPr>
                <w:rFonts w:ascii="Times New Roman" w:eastAsia="仿宋"/>
                <w:szCs w:val="24"/>
              </w:rPr>
            </w:pPr>
            <w:r>
              <w:rPr>
                <w:rFonts w:hint="eastAsia" w:ascii="Times New Roman" w:eastAsia="仿宋"/>
                <w:szCs w:val="24"/>
              </w:rPr>
              <w:t>1.41</w:t>
            </w:r>
          </w:p>
        </w:tc>
        <w:tc>
          <w:tcPr>
            <w:tcW w:w="1098" w:type="dxa"/>
            <w:vAlign w:val="center"/>
          </w:tcPr>
          <w:p w14:paraId="0503A9F3">
            <w:pPr>
              <w:widowControl/>
              <w:jc w:val="center"/>
              <w:textAlignment w:val="center"/>
              <w:rPr>
                <w:rFonts w:ascii="Times New Roman" w:eastAsia="仿宋"/>
                <w:szCs w:val="24"/>
              </w:rPr>
            </w:pPr>
            <w:r>
              <w:rPr>
                <w:rFonts w:hint="eastAsia" w:ascii="Times New Roman" w:eastAsia="仿宋"/>
                <w:szCs w:val="24"/>
              </w:rPr>
              <w:t>6.79</w:t>
            </w:r>
          </w:p>
        </w:tc>
        <w:tc>
          <w:tcPr>
            <w:tcW w:w="1590" w:type="dxa"/>
            <w:vMerge w:val="continue"/>
            <w:vAlign w:val="center"/>
          </w:tcPr>
          <w:p w14:paraId="0B6BA7DF">
            <w:pPr>
              <w:adjustRightInd w:val="0"/>
              <w:snapToGrid w:val="0"/>
              <w:jc w:val="center"/>
              <w:rPr>
                <w:rFonts w:ascii="Times New Roman" w:eastAsia="仿宋"/>
                <w:bCs/>
                <w:szCs w:val="24"/>
              </w:rPr>
            </w:pPr>
          </w:p>
        </w:tc>
        <w:tc>
          <w:tcPr>
            <w:tcW w:w="956" w:type="dxa"/>
            <w:vMerge w:val="continue"/>
            <w:vAlign w:val="center"/>
          </w:tcPr>
          <w:p w14:paraId="69D505EB">
            <w:pPr>
              <w:adjustRightInd w:val="0"/>
              <w:snapToGrid w:val="0"/>
              <w:jc w:val="center"/>
              <w:rPr>
                <w:rFonts w:ascii="Times New Roman" w:eastAsia="仿宋"/>
                <w:szCs w:val="24"/>
              </w:rPr>
            </w:pPr>
          </w:p>
        </w:tc>
        <w:tc>
          <w:tcPr>
            <w:tcW w:w="694" w:type="dxa"/>
            <w:vMerge w:val="continue"/>
            <w:vAlign w:val="center"/>
          </w:tcPr>
          <w:p w14:paraId="2C0C80AF">
            <w:pPr>
              <w:adjustRightInd w:val="0"/>
              <w:snapToGrid w:val="0"/>
              <w:jc w:val="center"/>
              <w:rPr>
                <w:rFonts w:ascii="Times New Roman" w:eastAsia="仿宋"/>
                <w:szCs w:val="24"/>
              </w:rPr>
            </w:pPr>
          </w:p>
        </w:tc>
        <w:tc>
          <w:tcPr>
            <w:tcW w:w="1226" w:type="dxa"/>
            <w:vMerge w:val="continue"/>
            <w:vAlign w:val="center"/>
          </w:tcPr>
          <w:p w14:paraId="6B18FDB2">
            <w:pPr>
              <w:adjustRightInd w:val="0"/>
              <w:snapToGrid w:val="0"/>
              <w:jc w:val="center"/>
              <w:rPr>
                <w:rFonts w:ascii="Times New Roman" w:eastAsia="仿宋"/>
                <w:szCs w:val="21"/>
              </w:rPr>
            </w:pPr>
          </w:p>
        </w:tc>
        <w:tc>
          <w:tcPr>
            <w:tcW w:w="879" w:type="dxa"/>
            <w:vMerge w:val="continue"/>
            <w:vAlign w:val="center"/>
          </w:tcPr>
          <w:p w14:paraId="76369841">
            <w:pPr>
              <w:adjustRightInd w:val="0"/>
              <w:snapToGrid w:val="0"/>
              <w:jc w:val="center"/>
              <w:rPr>
                <w:rFonts w:ascii="Times New Roman" w:eastAsia="仿宋"/>
                <w:szCs w:val="21"/>
              </w:rPr>
            </w:pPr>
          </w:p>
        </w:tc>
      </w:tr>
      <w:tr w14:paraId="4B00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714BAF74">
            <w:pPr>
              <w:adjustRightInd w:val="0"/>
              <w:snapToGrid w:val="0"/>
              <w:jc w:val="center"/>
              <w:rPr>
                <w:rFonts w:ascii="Times New Roman" w:eastAsia="仿宋"/>
                <w:szCs w:val="24"/>
              </w:rPr>
            </w:pPr>
          </w:p>
        </w:tc>
        <w:tc>
          <w:tcPr>
            <w:tcW w:w="1580" w:type="dxa"/>
            <w:vMerge w:val="continue"/>
            <w:vAlign w:val="center"/>
          </w:tcPr>
          <w:p w14:paraId="03D7A0EB">
            <w:pPr>
              <w:adjustRightInd w:val="0"/>
              <w:snapToGrid w:val="0"/>
              <w:jc w:val="center"/>
              <w:rPr>
                <w:rFonts w:ascii="Times New Roman" w:eastAsia="仿宋"/>
                <w:szCs w:val="24"/>
              </w:rPr>
            </w:pPr>
          </w:p>
        </w:tc>
        <w:tc>
          <w:tcPr>
            <w:tcW w:w="827" w:type="dxa"/>
            <w:vMerge w:val="continue"/>
            <w:vAlign w:val="center"/>
          </w:tcPr>
          <w:p w14:paraId="0CBCAF9B">
            <w:pPr>
              <w:adjustRightInd w:val="0"/>
              <w:snapToGrid w:val="0"/>
              <w:jc w:val="center"/>
              <w:rPr>
                <w:rFonts w:ascii="Times New Roman" w:eastAsia="仿宋"/>
                <w:szCs w:val="24"/>
              </w:rPr>
            </w:pPr>
          </w:p>
        </w:tc>
        <w:tc>
          <w:tcPr>
            <w:tcW w:w="1435" w:type="dxa"/>
            <w:vAlign w:val="center"/>
          </w:tcPr>
          <w:p w14:paraId="20A73DB7">
            <w:pPr>
              <w:jc w:val="center"/>
              <w:rPr>
                <w:rFonts w:ascii="Times New Roman" w:eastAsia="仿宋"/>
                <w:szCs w:val="21"/>
              </w:rPr>
            </w:pPr>
            <w:r>
              <w:rPr>
                <w:rFonts w:hint="eastAsia" w:ascii="Times New Roman" w:eastAsia="仿宋"/>
                <w:szCs w:val="21"/>
              </w:rPr>
              <w:t>二甲苯</w:t>
            </w:r>
          </w:p>
        </w:tc>
        <w:tc>
          <w:tcPr>
            <w:tcW w:w="1018" w:type="dxa"/>
            <w:vAlign w:val="center"/>
          </w:tcPr>
          <w:p w14:paraId="06ED9131">
            <w:pPr>
              <w:widowControl/>
              <w:jc w:val="center"/>
              <w:textAlignment w:val="center"/>
              <w:rPr>
                <w:rFonts w:ascii="Times New Roman" w:eastAsia="仿宋"/>
                <w:szCs w:val="24"/>
              </w:rPr>
            </w:pPr>
            <w:r>
              <w:rPr>
                <w:rFonts w:hint="eastAsia" w:ascii="Times New Roman" w:eastAsia="仿宋"/>
                <w:szCs w:val="24"/>
              </w:rPr>
              <w:t>15.76</w:t>
            </w:r>
          </w:p>
        </w:tc>
        <w:tc>
          <w:tcPr>
            <w:tcW w:w="1030" w:type="dxa"/>
            <w:vAlign w:val="center"/>
          </w:tcPr>
          <w:p w14:paraId="16F71B57">
            <w:pPr>
              <w:widowControl/>
              <w:jc w:val="center"/>
              <w:textAlignment w:val="center"/>
              <w:rPr>
                <w:rFonts w:ascii="Times New Roman" w:eastAsia="仿宋"/>
                <w:szCs w:val="24"/>
              </w:rPr>
            </w:pPr>
            <w:r>
              <w:rPr>
                <w:rFonts w:hint="eastAsia" w:ascii="Times New Roman" w:eastAsia="仿宋"/>
                <w:szCs w:val="24"/>
              </w:rPr>
              <w:t>0.41</w:t>
            </w:r>
          </w:p>
        </w:tc>
        <w:tc>
          <w:tcPr>
            <w:tcW w:w="1098" w:type="dxa"/>
            <w:vAlign w:val="center"/>
          </w:tcPr>
          <w:p w14:paraId="36A30FF5">
            <w:pPr>
              <w:widowControl/>
              <w:jc w:val="center"/>
              <w:textAlignment w:val="center"/>
              <w:rPr>
                <w:rFonts w:ascii="Times New Roman" w:eastAsia="仿宋"/>
                <w:szCs w:val="24"/>
              </w:rPr>
            </w:pPr>
            <w:r>
              <w:rPr>
                <w:rFonts w:hint="eastAsia" w:ascii="Times New Roman" w:eastAsia="仿宋"/>
                <w:szCs w:val="24"/>
              </w:rPr>
              <w:t>1.96</w:t>
            </w:r>
          </w:p>
        </w:tc>
        <w:tc>
          <w:tcPr>
            <w:tcW w:w="1590" w:type="dxa"/>
            <w:vMerge w:val="continue"/>
            <w:vAlign w:val="center"/>
          </w:tcPr>
          <w:p w14:paraId="201843AB">
            <w:pPr>
              <w:adjustRightInd w:val="0"/>
              <w:snapToGrid w:val="0"/>
              <w:jc w:val="center"/>
              <w:rPr>
                <w:rFonts w:ascii="Times New Roman" w:eastAsia="仿宋"/>
                <w:bCs/>
                <w:szCs w:val="24"/>
              </w:rPr>
            </w:pPr>
          </w:p>
        </w:tc>
        <w:tc>
          <w:tcPr>
            <w:tcW w:w="956" w:type="dxa"/>
            <w:vMerge w:val="continue"/>
            <w:vAlign w:val="center"/>
          </w:tcPr>
          <w:p w14:paraId="086D56D7">
            <w:pPr>
              <w:adjustRightInd w:val="0"/>
              <w:snapToGrid w:val="0"/>
              <w:jc w:val="center"/>
              <w:rPr>
                <w:rFonts w:ascii="Times New Roman" w:eastAsia="仿宋"/>
                <w:szCs w:val="24"/>
              </w:rPr>
            </w:pPr>
          </w:p>
        </w:tc>
        <w:tc>
          <w:tcPr>
            <w:tcW w:w="694" w:type="dxa"/>
            <w:vMerge w:val="continue"/>
            <w:vAlign w:val="center"/>
          </w:tcPr>
          <w:p w14:paraId="3C5D6EE7">
            <w:pPr>
              <w:adjustRightInd w:val="0"/>
              <w:snapToGrid w:val="0"/>
              <w:jc w:val="center"/>
              <w:rPr>
                <w:rFonts w:ascii="Times New Roman" w:eastAsia="仿宋"/>
                <w:szCs w:val="24"/>
              </w:rPr>
            </w:pPr>
          </w:p>
        </w:tc>
        <w:tc>
          <w:tcPr>
            <w:tcW w:w="1226" w:type="dxa"/>
            <w:vMerge w:val="continue"/>
            <w:vAlign w:val="center"/>
          </w:tcPr>
          <w:p w14:paraId="28F47C85">
            <w:pPr>
              <w:adjustRightInd w:val="0"/>
              <w:snapToGrid w:val="0"/>
              <w:jc w:val="center"/>
              <w:rPr>
                <w:rFonts w:ascii="Times New Roman" w:eastAsia="仿宋"/>
                <w:szCs w:val="21"/>
              </w:rPr>
            </w:pPr>
          </w:p>
        </w:tc>
        <w:tc>
          <w:tcPr>
            <w:tcW w:w="879" w:type="dxa"/>
            <w:vMerge w:val="continue"/>
            <w:vAlign w:val="center"/>
          </w:tcPr>
          <w:p w14:paraId="057F20B4">
            <w:pPr>
              <w:adjustRightInd w:val="0"/>
              <w:snapToGrid w:val="0"/>
              <w:jc w:val="center"/>
              <w:rPr>
                <w:rFonts w:ascii="Times New Roman" w:eastAsia="仿宋"/>
                <w:szCs w:val="21"/>
              </w:rPr>
            </w:pPr>
          </w:p>
        </w:tc>
      </w:tr>
      <w:tr w14:paraId="7AAE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233A340C">
            <w:pPr>
              <w:adjustRightInd w:val="0"/>
              <w:snapToGrid w:val="0"/>
              <w:jc w:val="center"/>
              <w:rPr>
                <w:rFonts w:ascii="Times New Roman" w:eastAsia="仿宋"/>
                <w:szCs w:val="24"/>
              </w:rPr>
            </w:pPr>
          </w:p>
        </w:tc>
        <w:tc>
          <w:tcPr>
            <w:tcW w:w="1580" w:type="dxa"/>
            <w:vMerge w:val="continue"/>
            <w:vAlign w:val="center"/>
          </w:tcPr>
          <w:p w14:paraId="7558AA3D">
            <w:pPr>
              <w:adjustRightInd w:val="0"/>
              <w:snapToGrid w:val="0"/>
              <w:jc w:val="center"/>
              <w:rPr>
                <w:rFonts w:ascii="Times New Roman" w:eastAsia="仿宋"/>
                <w:szCs w:val="24"/>
              </w:rPr>
            </w:pPr>
          </w:p>
        </w:tc>
        <w:tc>
          <w:tcPr>
            <w:tcW w:w="827" w:type="dxa"/>
            <w:vMerge w:val="continue"/>
            <w:vAlign w:val="center"/>
          </w:tcPr>
          <w:p w14:paraId="29BE7797">
            <w:pPr>
              <w:adjustRightInd w:val="0"/>
              <w:snapToGrid w:val="0"/>
              <w:jc w:val="center"/>
              <w:rPr>
                <w:rFonts w:ascii="Times New Roman" w:eastAsia="仿宋"/>
                <w:szCs w:val="24"/>
              </w:rPr>
            </w:pPr>
          </w:p>
        </w:tc>
        <w:tc>
          <w:tcPr>
            <w:tcW w:w="1435" w:type="dxa"/>
            <w:vAlign w:val="center"/>
          </w:tcPr>
          <w:p w14:paraId="03BDEB12">
            <w:pPr>
              <w:jc w:val="center"/>
              <w:rPr>
                <w:rFonts w:ascii="Times New Roman" w:eastAsia="仿宋"/>
                <w:szCs w:val="21"/>
              </w:rPr>
            </w:pPr>
            <w:r>
              <w:rPr>
                <w:rFonts w:hint="eastAsia" w:ascii="Times New Roman" w:eastAsia="仿宋"/>
                <w:szCs w:val="21"/>
              </w:rPr>
              <w:t>苯系物</w:t>
            </w:r>
          </w:p>
        </w:tc>
        <w:tc>
          <w:tcPr>
            <w:tcW w:w="1018" w:type="dxa"/>
            <w:vAlign w:val="center"/>
          </w:tcPr>
          <w:p w14:paraId="53E36A88">
            <w:pPr>
              <w:widowControl/>
              <w:jc w:val="center"/>
              <w:textAlignment w:val="center"/>
              <w:rPr>
                <w:rFonts w:ascii="Times New Roman" w:eastAsia="仿宋"/>
                <w:szCs w:val="24"/>
              </w:rPr>
            </w:pPr>
            <w:r>
              <w:rPr>
                <w:rFonts w:hint="eastAsia" w:ascii="Times New Roman" w:eastAsia="仿宋"/>
                <w:szCs w:val="24"/>
              </w:rPr>
              <w:t>15.76</w:t>
            </w:r>
          </w:p>
        </w:tc>
        <w:tc>
          <w:tcPr>
            <w:tcW w:w="1030" w:type="dxa"/>
            <w:vAlign w:val="center"/>
          </w:tcPr>
          <w:p w14:paraId="2B5B4B50">
            <w:pPr>
              <w:widowControl/>
              <w:jc w:val="center"/>
              <w:textAlignment w:val="center"/>
              <w:rPr>
                <w:rFonts w:ascii="Times New Roman" w:eastAsia="仿宋"/>
                <w:szCs w:val="24"/>
              </w:rPr>
            </w:pPr>
            <w:r>
              <w:rPr>
                <w:rFonts w:hint="eastAsia" w:ascii="Times New Roman" w:eastAsia="仿宋"/>
                <w:szCs w:val="24"/>
              </w:rPr>
              <w:t>0.41</w:t>
            </w:r>
          </w:p>
        </w:tc>
        <w:tc>
          <w:tcPr>
            <w:tcW w:w="1098" w:type="dxa"/>
            <w:vAlign w:val="center"/>
          </w:tcPr>
          <w:p w14:paraId="08241840">
            <w:pPr>
              <w:widowControl/>
              <w:jc w:val="center"/>
              <w:textAlignment w:val="center"/>
              <w:rPr>
                <w:rFonts w:ascii="Times New Roman" w:eastAsia="仿宋"/>
                <w:szCs w:val="24"/>
              </w:rPr>
            </w:pPr>
            <w:r>
              <w:rPr>
                <w:rFonts w:hint="eastAsia" w:ascii="Times New Roman" w:eastAsia="仿宋"/>
                <w:szCs w:val="24"/>
              </w:rPr>
              <w:t>1.96</w:t>
            </w:r>
          </w:p>
        </w:tc>
        <w:tc>
          <w:tcPr>
            <w:tcW w:w="1590" w:type="dxa"/>
            <w:vMerge w:val="continue"/>
            <w:vAlign w:val="center"/>
          </w:tcPr>
          <w:p w14:paraId="43BA502D">
            <w:pPr>
              <w:adjustRightInd w:val="0"/>
              <w:snapToGrid w:val="0"/>
              <w:jc w:val="center"/>
              <w:rPr>
                <w:rFonts w:ascii="Times New Roman" w:eastAsia="仿宋"/>
                <w:bCs/>
                <w:szCs w:val="24"/>
              </w:rPr>
            </w:pPr>
          </w:p>
        </w:tc>
        <w:tc>
          <w:tcPr>
            <w:tcW w:w="956" w:type="dxa"/>
            <w:vMerge w:val="continue"/>
            <w:vAlign w:val="center"/>
          </w:tcPr>
          <w:p w14:paraId="49D6F268">
            <w:pPr>
              <w:adjustRightInd w:val="0"/>
              <w:snapToGrid w:val="0"/>
              <w:jc w:val="center"/>
              <w:rPr>
                <w:rFonts w:ascii="Times New Roman" w:eastAsia="仿宋"/>
                <w:szCs w:val="24"/>
              </w:rPr>
            </w:pPr>
          </w:p>
        </w:tc>
        <w:tc>
          <w:tcPr>
            <w:tcW w:w="694" w:type="dxa"/>
            <w:vMerge w:val="continue"/>
            <w:vAlign w:val="center"/>
          </w:tcPr>
          <w:p w14:paraId="43F28687">
            <w:pPr>
              <w:adjustRightInd w:val="0"/>
              <w:snapToGrid w:val="0"/>
              <w:jc w:val="center"/>
              <w:rPr>
                <w:rFonts w:ascii="Times New Roman" w:eastAsia="仿宋"/>
                <w:szCs w:val="24"/>
              </w:rPr>
            </w:pPr>
          </w:p>
        </w:tc>
        <w:tc>
          <w:tcPr>
            <w:tcW w:w="1226" w:type="dxa"/>
            <w:vMerge w:val="continue"/>
            <w:vAlign w:val="center"/>
          </w:tcPr>
          <w:p w14:paraId="36758F13">
            <w:pPr>
              <w:adjustRightInd w:val="0"/>
              <w:snapToGrid w:val="0"/>
              <w:jc w:val="center"/>
              <w:rPr>
                <w:rFonts w:ascii="Times New Roman" w:eastAsia="仿宋"/>
                <w:szCs w:val="21"/>
              </w:rPr>
            </w:pPr>
          </w:p>
        </w:tc>
        <w:tc>
          <w:tcPr>
            <w:tcW w:w="879" w:type="dxa"/>
            <w:vMerge w:val="continue"/>
            <w:vAlign w:val="center"/>
          </w:tcPr>
          <w:p w14:paraId="61906918">
            <w:pPr>
              <w:adjustRightInd w:val="0"/>
              <w:snapToGrid w:val="0"/>
              <w:jc w:val="center"/>
              <w:rPr>
                <w:rFonts w:ascii="Times New Roman" w:eastAsia="仿宋"/>
                <w:szCs w:val="21"/>
              </w:rPr>
            </w:pPr>
          </w:p>
        </w:tc>
      </w:tr>
      <w:tr w14:paraId="4C7F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center"/>
        </w:trPr>
        <w:tc>
          <w:tcPr>
            <w:tcW w:w="962" w:type="dxa"/>
            <w:vMerge w:val="continue"/>
            <w:vAlign w:val="center"/>
          </w:tcPr>
          <w:p w14:paraId="2DC43317">
            <w:pPr>
              <w:adjustRightInd w:val="0"/>
              <w:snapToGrid w:val="0"/>
              <w:jc w:val="center"/>
              <w:rPr>
                <w:rFonts w:ascii="Times New Roman" w:eastAsia="仿宋"/>
                <w:szCs w:val="24"/>
              </w:rPr>
            </w:pPr>
          </w:p>
        </w:tc>
        <w:tc>
          <w:tcPr>
            <w:tcW w:w="1580" w:type="dxa"/>
            <w:vMerge w:val="continue"/>
            <w:tcBorders>
              <w:bottom w:val="single" w:color="auto" w:sz="4" w:space="0"/>
            </w:tcBorders>
            <w:vAlign w:val="center"/>
          </w:tcPr>
          <w:p w14:paraId="182C2AD4">
            <w:pPr>
              <w:adjustRightInd w:val="0"/>
              <w:snapToGrid w:val="0"/>
              <w:jc w:val="center"/>
              <w:rPr>
                <w:rFonts w:ascii="Times New Roman" w:eastAsia="仿宋"/>
                <w:szCs w:val="24"/>
              </w:rPr>
            </w:pPr>
          </w:p>
        </w:tc>
        <w:tc>
          <w:tcPr>
            <w:tcW w:w="827" w:type="dxa"/>
            <w:vMerge w:val="continue"/>
            <w:vAlign w:val="center"/>
          </w:tcPr>
          <w:p w14:paraId="688B1057">
            <w:pPr>
              <w:adjustRightInd w:val="0"/>
              <w:snapToGrid w:val="0"/>
              <w:jc w:val="center"/>
              <w:rPr>
                <w:rFonts w:ascii="Times New Roman" w:eastAsia="仿宋"/>
                <w:szCs w:val="24"/>
              </w:rPr>
            </w:pPr>
          </w:p>
        </w:tc>
        <w:tc>
          <w:tcPr>
            <w:tcW w:w="1435" w:type="dxa"/>
            <w:tcBorders>
              <w:bottom w:val="single" w:color="auto" w:sz="4" w:space="0"/>
            </w:tcBorders>
            <w:vAlign w:val="center"/>
          </w:tcPr>
          <w:p w14:paraId="212819CB">
            <w:pPr>
              <w:adjustRightInd w:val="0"/>
              <w:snapToGrid w:val="0"/>
              <w:jc w:val="center"/>
              <w:rPr>
                <w:rFonts w:ascii="Times New Roman" w:eastAsia="仿宋"/>
                <w:szCs w:val="24"/>
              </w:rPr>
            </w:pPr>
            <w:r>
              <w:rPr>
                <w:rFonts w:hint="eastAsia" w:ascii="Times New Roman" w:eastAsia="仿宋"/>
                <w:szCs w:val="21"/>
              </w:rPr>
              <w:t>颗粒物</w:t>
            </w:r>
          </w:p>
        </w:tc>
        <w:tc>
          <w:tcPr>
            <w:tcW w:w="1018" w:type="dxa"/>
            <w:tcBorders>
              <w:bottom w:val="single" w:color="auto" w:sz="4" w:space="0"/>
            </w:tcBorders>
            <w:vAlign w:val="center"/>
          </w:tcPr>
          <w:p w14:paraId="06453094">
            <w:pPr>
              <w:widowControl/>
              <w:jc w:val="center"/>
              <w:textAlignment w:val="center"/>
              <w:rPr>
                <w:rFonts w:ascii="Times New Roman" w:eastAsia="仿宋"/>
                <w:szCs w:val="24"/>
              </w:rPr>
            </w:pPr>
            <w:r>
              <w:rPr>
                <w:rFonts w:hint="eastAsia" w:ascii="Times New Roman" w:eastAsia="仿宋"/>
                <w:szCs w:val="24"/>
              </w:rPr>
              <w:t>28.84</w:t>
            </w:r>
          </w:p>
        </w:tc>
        <w:tc>
          <w:tcPr>
            <w:tcW w:w="1030" w:type="dxa"/>
            <w:tcBorders>
              <w:bottom w:val="single" w:color="auto" w:sz="4" w:space="0"/>
            </w:tcBorders>
            <w:vAlign w:val="center"/>
          </w:tcPr>
          <w:p w14:paraId="716B847A">
            <w:pPr>
              <w:widowControl/>
              <w:jc w:val="center"/>
              <w:textAlignment w:val="center"/>
              <w:rPr>
                <w:rFonts w:ascii="Times New Roman" w:eastAsia="仿宋"/>
                <w:szCs w:val="24"/>
              </w:rPr>
            </w:pPr>
            <w:r>
              <w:rPr>
                <w:rFonts w:hint="eastAsia" w:ascii="Times New Roman" w:eastAsia="仿宋"/>
                <w:szCs w:val="24"/>
              </w:rPr>
              <w:t>0.75</w:t>
            </w:r>
          </w:p>
        </w:tc>
        <w:tc>
          <w:tcPr>
            <w:tcW w:w="1098" w:type="dxa"/>
            <w:tcBorders>
              <w:bottom w:val="single" w:color="auto" w:sz="4" w:space="0"/>
            </w:tcBorders>
            <w:vAlign w:val="center"/>
          </w:tcPr>
          <w:p w14:paraId="6167B9A1">
            <w:pPr>
              <w:widowControl/>
              <w:jc w:val="center"/>
              <w:textAlignment w:val="center"/>
              <w:rPr>
                <w:rFonts w:ascii="Times New Roman" w:eastAsia="仿宋"/>
                <w:szCs w:val="24"/>
              </w:rPr>
            </w:pPr>
            <w:r>
              <w:rPr>
                <w:rFonts w:hint="eastAsia" w:ascii="Times New Roman" w:eastAsia="仿宋"/>
                <w:szCs w:val="24"/>
              </w:rPr>
              <w:t>3.6</w:t>
            </w:r>
          </w:p>
        </w:tc>
        <w:tc>
          <w:tcPr>
            <w:tcW w:w="1590" w:type="dxa"/>
            <w:vMerge w:val="continue"/>
            <w:vAlign w:val="center"/>
          </w:tcPr>
          <w:p w14:paraId="48BDA956">
            <w:pPr>
              <w:adjustRightInd w:val="0"/>
              <w:snapToGrid w:val="0"/>
              <w:jc w:val="center"/>
              <w:rPr>
                <w:rFonts w:ascii="Times New Roman" w:eastAsia="仿宋"/>
                <w:szCs w:val="24"/>
              </w:rPr>
            </w:pPr>
          </w:p>
        </w:tc>
        <w:tc>
          <w:tcPr>
            <w:tcW w:w="956" w:type="dxa"/>
            <w:vMerge w:val="continue"/>
            <w:vAlign w:val="center"/>
          </w:tcPr>
          <w:p w14:paraId="78BE2CCE">
            <w:pPr>
              <w:adjustRightInd w:val="0"/>
              <w:snapToGrid w:val="0"/>
              <w:jc w:val="center"/>
              <w:rPr>
                <w:rFonts w:ascii="Times New Roman" w:eastAsia="仿宋"/>
                <w:szCs w:val="24"/>
              </w:rPr>
            </w:pPr>
          </w:p>
        </w:tc>
        <w:tc>
          <w:tcPr>
            <w:tcW w:w="694" w:type="dxa"/>
            <w:vMerge w:val="continue"/>
            <w:vAlign w:val="center"/>
          </w:tcPr>
          <w:p w14:paraId="47AFEA8D">
            <w:pPr>
              <w:adjustRightInd w:val="0"/>
              <w:snapToGrid w:val="0"/>
              <w:jc w:val="center"/>
              <w:rPr>
                <w:rFonts w:ascii="Times New Roman" w:eastAsia="仿宋"/>
                <w:szCs w:val="24"/>
              </w:rPr>
            </w:pPr>
          </w:p>
        </w:tc>
        <w:tc>
          <w:tcPr>
            <w:tcW w:w="1226" w:type="dxa"/>
            <w:vMerge w:val="continue"/>
            <w:vAlign w:val="center"/>
          </w:tcPr>
          <w:p w14:paraId="73005C31">
            <w:pPr>
              <w:adjustRightInd w:val="0"/>
              <w:snapToGrid w:val="0"/>
              <w:jc w:val="center"/>
              <w:rPr>
                <w:rFonts w:ascii="Times New Roman" w:eastAsia="仿宋"/>
                <w:szCs w:val="21"/>
              </w:rPr>
            </w:pPr>
          </w:p>
        </w:tc>
        <w:tc>
          <w:tcPr>
            <w:tcW w:w="879" w:type="dxa"/>
            <w:vMerge w:val="continue"/>
            <w:vAlign w:val="center"/>
          </w:tcPr>
          <w:p w14:paraId="715A518B">
            <w:pPr>
              <w:adjustRightInd w:val="0"/>
              <w:snapToGrid w:val="0"/>
              <w:jc w:val="center"/>
              <w:rPr>
                <w:rFonts w:ascii="Times New Roman" w:eastAsia="仿宋"/>
                <w:szCs w:val="21"/>
              </w:rPr>
            </w:pPr>
          </w:p>
        </w:tc>
      </w:tr>
      <w:tr w14:paraId="19B1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47E946D1">
            <w:pPr>
              <w:adjustRightInd w:val="0"/>
              <w:snapToGrid w:val="0"/>
              <w:jc w:val="center"/>
              <w:rPr>
                <w:rFonts w:ascii="Times New Roman" w:eastAsia="仿宋"/>
                <w:szCs w:val="24"/>
              </w:rPr>
            </w:pPr>
          </w:p>
        </w:tc>
        <w:tc>
          <w:tcPr>
            <w:tcW w:w="1580" w:type="dxa"/>
            <w:vMerge w:val="restart"/>
            <w:vAlign w:val="center"/>
          </w:tcPr>
          <w:p w14:paraId="30BF6C2F">
            <w:pPr>
              <w:adjustRightInd w:val="0"/>
              <w:snapToGrid w:val="0"/>
              <w:jc w:val="center"/>
              <w:rPr>
                <w:rFonts w:ascii="Times New Roman" w:eastAsia="仿宋"/>
                <w:szCs w:val="24"/>
              </w:rPr>
            </w:pPr>
            <w:r>
              <w:rPr>
                <w:rFonts w:hint="eastAsia" w:ascii="Times New Roman" w:eastAsia="仿宋"/>
                <w:szCs w:val="24"/>
              </w:rPr>
              <w:t>氟碳底漆流平废气G1</w:t>
            </w:r>
            <w:r>
              <w:rPr>
                <w:rFonts w:ascii="Times New Roman" w:eastAsia="仿宋"/>
                <w:szCs w:val="24"/>
              </w:rPr>
              <w:t>1</w:t>
            </w:r>
          </w:p>
        </w:tc>
        <w:tc>
          <w:tcPr>
            <w:tcW w:w="827" w:type="dxa"/>
            <w:vMerge w:val="continue"/>
            <w:vAlign w:val="center"/>
          </w:tcPr>
          <w:p w14:paraId="2303751E">
            <w:pPr>
              <w:adjustRightInd w:val="0"/>
              <w:snapToGrid w:val="0"/>
              <w:jc w:val="center"/>
              <w:rPr>
                <w:rFonts w:ascii="Times New Roman" w:eastAsia="仿宋"/>
                <w:szCs w:val="24"/>
              </w:rPr>
            </w:pPr>
          </w:p>
        </w:tc>
        <w:tc>
          <w:tcPr>
            <w:tcW w:w="1435" w:type="dxa"/>
            <w:vAlign w:val="center"/>
          </w:tcPr>
          <w:p w14:paraId="36BAE7CF">
            <w:pPr>
              <w:jc w:val="center"/>
              <w:rPr>
                <w:rFonts w:ascii="Times New Roman" w:eastAsia="仿宋"/>
                <w:szCs w:val="21"/>
              </w:rPr>
            </w:pPr>
            <w:r>
              <w:rPr>
                <w:rFonts w:hint="eastAsia" w:ascii="Times New Roman" w:eastAsia="仿宋"/>
                <w:szCs w:val="21"/>
              </w:rPr>
              <w:t>非甲烷总烃</w:t>
            </w:r>
          </w:p>
        </w:tc>
        <w:tc>
          <w:tcPr>
            <w:tcW w:w="1018" w:type="dxa"/>
            <w:vAlign w:val="center"/>
          </w:tcPr>
          <w:p w14:paraId="1CA9B174">
            <w:pPr>
              <w:widowControl/>
              <w:jc w:val="center"/>
              <w:textAlignment w:val="center"/>
              <w:rPr>
                <w:rFonts w:ascii="Times New Roman" w:eastAsia="仿宋"/>
                <w:szCs w:val="24"/>
              </w:rPr>
            </w:pPr>
            <w:r>
              <w:rPr>
                <w:rFonts w:hint="eastAsia" w:ascii="Times New Roman" w:eastAsia="仿宋"/>
                <w:szCs w:val="24"/>
              </w:rPr>
              <w:t>19.23</w:t>
            </w:r>
          </w:p>
        </w:tc>
        <w:tc>
          <w:tcPr>
            <w:tcW w:w="1030" w:type="dxa"/>
            <w:vAlign w:val="center"/>
          </w:tcPr>
          <w:p w14:paraId="136A29C3">
            <w:pPr>
              <w:widowControl/>
              <w:jc w:val="center"/>
              <w:textAlignment w:val="center"/>
              <w:rPr>
                <w:rFonts w:ascii="Times New Roman" w:eastAsia="仿宋"/>
                <w:szCs w:val="24"/>
              </w:rPr>
            </w:pPr>
            <w:r>
              <w:rPr>
                <w:rFonts w:hint="eastAsia" w:ascii="Times New Roman" w:eastAsia="仿宋"/>
                <w:szCs w:val="24"/>
              </w:rPr>
              <w:t>0.5</w:t>
            </w:r>
          </w:p>
        </w:tc>
        <w:tc>
          <w:tcPr>
            <w:tcW w:w="1098" w:type="dxa"/>
            <w:shd w:val="clear" w:color="auto" w:fill="auto"/>
            <w:vAlign w:val="center"/>
          </w:tcPr>
          <w:p w14:paraId="026A8F19">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590" w:type="dxa"/>
            <w:vMerge w:val="continue"/>
            <w:vAlign w:val="center"/>
          </w:tcPr>
          <w:p w14:paraId="47A4AB62">
            <w:pPr>
              <w:adjustRightInd w:val="0"/>
              <w:snapToGrid w:val="0"/>
              <w:jc w:val="center"/>
              <w:rPr>
                <w:rFonts w:ascii="Times New Roman" w:eastAsia="仿宋"/>
                <w:szCs w:val="24"/>
              </w:rPr>
            </w:pPr>
          </w:p>
        </w:tc>
        <w:tc>
          <w:tcPr>
            <w:tcW w:w="956" w:type="dxa"/>
            <w:vMerge w:val="continue"/>
            <w:vAlign w:val="center"/>
          </w:tcPr>
          <w:p w14:paraId="07383A6A">
            <w:pPr>
              <w:adjustRightInd w:val="0"/>
              <w:snapToGrid w:val="0"/>
              <w:jc w:val="center"/>
              <w:rPr>
                <w:rFonts w:ascii="Times New Roman" w:eastAsia="仿宋"/>
                <w:szCs w:val="24"/>
              </w:rPr>
            </w:pPr>
          </w:p>
        </w:tc>
        <w:tc>
          <w:tcPr>
            <w:tcW w:w="694" w:type="dxa"/>
            <w:vMerge w:val="continue"/>
            <w:vAlign w:val="center"/>
          </w:tcPr>
          <w:p w14:paraId="6915A256">
            <w:pPr>
              <w:adjustRightInd w:val="0"/>
              <w:snapToGrid w:val="0"/>
              <w:jc w:val="center"/>
              <w:rPr>
                <w:rFonts w:ascii="Times New Roman" w:eastAsia="仿宋"/>
                <w:szCs w:val="24"/>
              </w:rPr>
            </w:pPr>
          </w:p>
        </w:tc>
        <w:tc>
          <w:tcPr>
            <w:tcW w:w="1226" w:type="dxa"/>
            <w:vMerge w:val="continue"/>
            <w:vAlign w:val="center"/>
          </w:tcPr>
          <w:p w14:paraId="63F1229A">
            <w:pPr>
              <w:adjustRightInd w:val="0"/>
              <w:snapToGrid w:val="0"/>
              <w:jc w:val="center"/>
              <w:rPr>
                <w:rFonts w:ascii="Times New Roman" w:eastAsia="仿宋"/>
                <w:szCs w:val="21"/>
              </w:rPr>
            </w:pPr>
          </w:p>
        </w:tc>
        <w:tc>
          <w:tcPr>
            <w:tcW w:w="879" w:type="dxa"/>
            <w:vMerge w:val="continue"/>
            <w:vAlign w:val="center"/>
          </w:tcPr>
          <w:p w14:paraId="482D1497">
            <w:pPr>
              <w:adjustRightInd w:val="0"/>
              <w:snapToGrid w:val="0"/>
              <w:jc w:val="center"/>
              <w:rPr>
                <w:rFonts w:ascii="Times New Roman" w:eastAsia="仿宋"/>
                <w:szCs w:val="21"/>
              </w:rPr>
            </w:pPr>
          </w:p>
        </w:tc>
      </w:tr>
      <w:tr w14:paraId="6498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660F6560">
            <w:pPr>
              <w:adjustRightInd w:val="0"/>
              <w:snapToGrid w:val="0"/>
              <w:jc w:val="center"/>
              <w:rPr>
                <w:rFonts w:ascii="Times New Roman" w:eastAsia="仿宋"/>
                <w:szCs w:val="24"/>
              </w:rPr>
            </w:pPr>
          </w:p>
        </w:tc>
        <w:tc>
          <w:tcPr>
            <w:tcW w:w="1580" w:type="dxa"/>
            <w:vMerge w:val="continue"/>
            <w:vAlign w:val="center"/>
          </w:tcPr>
          <w:p w14:paraId="726A9C5B">
            <w:pPr>
              <w:adjustRightInd w:val="0"/>
              <w:snapToGrid w:val="0"/>
              <w:jc w:val="center"/>
              <w:rPr>
                <w:rFonts w:ascii="Times New Roman" w:eastAsia="仿宋"/>
                <w:szCs w:val="24"/>
              </w:rPr>
            </w:pPr>
          </w:p>
        </w:tc>
        <w:tc>
          <w:tcPr>
            <w:tcW w:w="827" w:type="dxa"/>
            <w:vMerge w:val="continue"/>
            <w:vAlign w:val="center"/>
          </w:tcPr>
          <w:p w14:paraId="097A2E7B">
            <w:pPr>
              <w:adjustRightInd w:val="0"/>
              <w:snapToGrid w:val="0"/>
              <w:jc w:val="center"/>
              <w:rPr>
                <w:rFonts w:ascii="Times New Roman" w:eastAsia="仿宋"/>
                <w:szCs w:val="24"/>
              </w:rPr>
            </w:pPr>
          </w:p>
        </w:tc>
        <w:tc>
          <w:tcPr>
            <w:tcW w:w="1435" w:type="dxa"/>
            <w:vAlign w:val="center"/>
          </w:tcPr>
          <w:p w14:paraId="3E608D7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780B5C8D">
            <w:pPr>
              <w:widowControl/>
              <w:jc w:val="center"/>
              <w:textAlignment w:val="center"/>
              <w:rPr>
                <w:rFonts w:ascii="Times New Roman" w:eastAsia="仿宋"/>
                <w:szCs w:val="24"/>
              </w:rPr>
            </w:pPr>
            <w:r>
              <w:rPr>
                <w:rFonts w:hint="eastAsia" w:ascii="Times New Roman" w:eastAsia="仿宋"/>
                <w:szCs w:val="24"/>
              </w:rPr>
              <w:t>19.23</w:t>
            </w:r>
          </w:p>
        </w:tc>
        <w:tc>
          <w:tcPr>
            <w:tcW w:w="1030" w:type="dxa"/>
            <w:vAlign w:val="center"/>
          </w:tcPr>
          <w:p w14:paraId="47D55C0E">
            <w:pPr>
              <w:widowControl/>
              <w:jc w:val="center"/>
              <w:textAlignment w:val="center"/>
              <w:rPr>
                <w:rFonts w:ascii="Times New Roman" w:eastAsia="仿宋"/>
                <w:szCs w:val="24"/>
              </w:rPr>
            </w:pPr>
            <w:r>
              <w:rPr>
                <w:rFonts w:hint="eastAsia" w:ascii="Times New Roman" w:eastAsia="仿宋"/>
                <w:szCs w:val="24"/>
              </w:rPr>
              <w:t>0.5</w:t>
            </w:r>
          </w:p>
        </w:tc>
        <w:tc>
          <w:tcPr>
            <w:tcW w:w="1098" w:type="dxa"/>
            <w:shd w:val="clear" w:color="auto" w:fill="auto"/>
            <w:vAlign w:val="center"/>
          </w:tcPr>
          <w:p w14:paraId="1A0A6127">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1590" w:type="dxa"/>
            <w:vMerge w:val="continue"/>
            <w:vAlign w:val="center"/>
          </w:tcPr>
          <w:p w14:paraId="73D2AC9A">
            <w:pPr>
              <w:adjustRightInd w:val="0"/>
              <w:snapToGrid w:val="0"/>
              <w:jc w:val="center"/>
              <w:rPr>
                <w:rFonts w:ascii="Times New Roman" w:eastAsia="仿宋"/>
                <w:szCs w:val="24"/>
              </w:rPr>
            </w:pPr>
          </w:p>
        </w:tc>
        <w:tc>
          <w:tcPr>
            <w:tcW w:w="956" w:type="dxa"/>
            <w:vMerge w:val="continue"/>
            <w:vAlign w:val="center"/>
          </w:tcPr>
          <w:p w14:paraId="6A307F55">
            <w:pPr>
              <w:adjustRightInd w:val="0"/>
              <w:snapToGrid w:val="0"/>
              <w:jc w:val="center"/>
              <w:rPr>
                <w:rFonts w:ascii="Times New Roman" w:eastAsia="仿宋"/>
                <w:szCs w:val="24"/>
              </w:rPr>
            </w:pPr>
          </w:p>
        </w:tc>
        <w:tc>
          <w:tcPr>
            <w:tcW w:w="694" w:type="dxa"/>
            <w:vMerge w:val="continue"/>
            <w:vAlign w:val="center"/>
          </w:tcPr>
          <w:p w14:paraId="65343C0E">
            <w:pPr>
              <w:adjustRightInd w:val="0"/>
              <w:snapToGrid w:val="0"/>
              <w:jc w:val="center"/>
              <w:rPr>
                <w:rFonts w:ascii="Times New Roman" w:eastAsia="仿宋"/>
                <w:szCs w:val="24"/>
              </w:rPr>
            </w:pPr>
          </w:p>
        </w:tc>
        <w:tc>
          <w:tcPr>
            <w:tcW w:w="1226" w:type="dxa"/>
            <w:vMerge w:val="continue"/>
            <w:vAlign w:val="center"/>
          </w:tcPr>
          <w:p w14:paraId="506DAB12">
            <w:pPr>
              <w:adjustRightInd w:val="0"/>
              <w:snapToGrid w:val="0"/>
              <w:jc w:val="center"/>
              <w:rPr>
                <w:rFonts w:ascii="Times New Roman" w:eastAsia="仿宋"/>
                <w:szCs w:val="21"/>
              </w:rPr>
            </w:pPr>
          </w:p>
        </w:tc>
        <w:tc>
          <w:tcPr>
            <w:tcW w:w="879" w:type="dxa"/>
            <w:vMerge w:val="continue"/>
            <w:vAlign w:val="center"/>
          </w:tcPr>
          <w:p w14:paraId="57FD4BA7">
            <w:pPr>
              <w:adjustRightInd w:val="0"/>
              <w:snapToGrid w:val="0"/>
              <w:jc w:val="center"/>
              <w:rPr>
                <w:rFonts w:ascii="Times New Roman" w:eastAsia="仿宋"/>
                <w:szCs w:val="21"/>
              </w:rPr>
            </w:pPr>
          </w:p>
        </w:tc>
      </w:tr>
      <w:tr w14:paraId="701D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4EEBB79C">
            <w:pPr>
              <w:adjustRightInd w:val="0"/>
              <w:snapToGrid w:val="0"/>
              <w:jc w:val="center"/>
              <w:rPr>
                <w:rFonts w:ascii="Times New Roman" w:eastAsia="仿宋"/>
                <w:szCs w:val="24"/>
              </w:rPr>
            </w:pPr>
          </w:p>
        </w:tc>
        <w:tc>
          <w:tcPr>
            <w:tcW w:w="1580" w:type="dxa"/>
            <w:vMerge w:val="continue"/>
            <w:vAlign w:val="center"/>
          </w:tcPr>
          <w:p w14:paraId="095F8D3C">
            <w:pPr>
              <w:adjustRightInd w:val="0"/>
              <w:snapToGrid w:val="0"/>
              <w:jc w:val="center"/>
              <w:rPr>
                <w:rFonts w:ascii="Times New Roman" w:eastAsia="仿宋"/>
                <w:szCs w:val="24"/>
              </w:rPr>
            </w:pPr>
          </w:p>
        </w:tc>
        <w:tc>
          <w:tcPr>
            <w:tcW w:w="827" w:type="dxa"/>
            <w:vMerge w:val="continue"/>
            <w:vAlign w:val="center"/>
          </w:tcPr>
          <w:p w14:paraId="06ADF5B2">
            <w:pPr>
              <w:adjustRightInd w:val="0"/>
              <w:snapToGrid w:val="0"/>
              <w:jc w:val="center"/>
              <w:rPr>
                <w:rFonts w:ascii="Times New Roman" w:eastAsia="仿宋"/>
                <w:szCs w:val="24"/>
              </w:rPr>
            </w:pPr>
          </w:p>
        </w:tc>
        <w:tc>
          <w:tcPr>
            <w:tcW w:w="1435" w:type="dxa"/>
            <w:vAlign w:val="center"/>
          </w:tcPr>
          <w:p w14:paraId="39953419">
            <w:pPr>
              <w:jc w:val="center"/>
              <w:rPr>
                <w:rFonts w:ascii="Times New Roman" w:eastAsia="仿宋"/>
                <w:szCs w:val="21"/>
              </w:rPr>
            </w:pPr>
            <w:r>
              <w:rPr>
                <w:rFonts w:hint="eastAsia" w:ascii="Times New Roman" w:eastAsia="仿宋"/>
                <w:szCs w:val="21"/>
              </w:rPr>
              <w:t>二甲苯</w:t>
            </w:r>
          </w:p>
        </w:tc>
        <w:tc>
          <w:tcPr>
            <w:tcW w:w="1018" w:type="dxa"/>
            <w:vAlign w:val="center"/>
          </w:tcPr>
          <w:p w14:paraId="6BCDC591">
            <w:pPr>
              <w:widowControl/>
              <w:jc w:val="center"/>
              <w:textAlignment w:val="center"/>
              <w:rPr>
                <w:rFonts w:ascii="Times New Roman" w:eastAsia="仿宋"/>
                <w:szCs w:val="24"/>
              </w:rPr>
            </w:pPr>
            <w:r>
              <w:rPr>
                <w:rFonts w:hint="eastAsia" w:ascii="Times New Roman" w:eastAsia="仿宋"/>
                <w:szCs w:val="24"/>
              </w:rPr>
              <w:t>5.77</w:t>
            </w:r>
          </w:p>
        </w:tc>
        <w:tc>
          <w:tcPr>
            <w:tcW w:w="1030" w:type="dxa"/>
            <w:vAlign w:val="center"/>
          </w:tcPr>
          <w:p w14:paraId="6436E4AF">
            <w:pPr>
              <w:widowControl/>
              <w:jc w:val="center"/>
              <w:textAlignment w:val="center"/>
              <w:rPr>
                <w:rFonts w:ascii="Times New Roman" w:eastAsia="仿宋"/>
                <w:szCs w:val="24"/>
              </w:rPr>
            </w:pPr>
            <w:r>
              <w:rPr>
                <w:rFonts w:hint="eastAsia" w:ascii="Times New Roman" w:eastAsia="仿宋"/>
                <w:szCs w:val="24"/>
              </w:rPr>
              <w:t>0.15</w:t>
            </w:r>
          </w:p>
        </w:tc>
        <w:tc>
          <w:tcPr>
            <w:tcW w:w="1098" w:type="dxa"/>
            <w:shd w:val="clear" w:color="auto" w:fill="auto"/>
            <w:vAlign w:val="center"/>
          </w:tcPr>
          <w:p w14:paraId="4DCFA123">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590" w:type="dxa"/>
            <w:vMerge w:val="continue"/>
            <w:vAlign w:val="center"/>
          </w:tcPr>
          <w:p w14:paraId="273DEF1D">
            <w:pPr>
              <w:adjustRightInd w:val="0"/>
              <w:snapToGrid w:val="0"/>
              <w:jc w:val="center"/>
              <w:rPr>
                <w:rFonts w:ascii="Times New Roman" w:eastAsia="仿宋"/>
                <w:szCs w:val="24"/>
              </w:rPr>
            </w:pPr>
          </w:p>
        </w:tc>
        <w:tc>
          <w:tcPr>
            <w:tcW w:w="956" w:type="dxa"/>
            <w:vMerge w:val="continue"/>
            <w:vAlign w:val="center"/>
          </w:tcPr>
          <w:p w14:paraId="089EAEC8">
            <w:pPr>
              <w:adjustRightInd w:val="0"/>
              <w:snapToGrid w:val="0"/>
              <w:jc w:val="center"/>
              <w:rPr>
                <w:rFonts w:ascii="Times New Roman" w:eastAsia="仿宋"/>
                <w:szCs w:val="24"/>
              </w:rPr>
            </w:pPr>
          </w:p>
        </w:tc>
        <w:tc>
          <w:tcPr>
            <w:tcW w:w="694" w:type="dxa"/>
            <w:vMerge w:val="continue"/>
            <w:vAlign w:val="center"/>
          </w:tcPr>
          <w:p w14:paraId="1518376B">
            <w:pPr>
              <w:adjustRightInd w:val="0"/>
              <w:snapToGrid w:val="0"/>
              <w:jc w:val="center"/>
              <w:rPr>
                <w:rFonts w:ascii="Times New Roman" w:eastAsia="仿宋"/>
                <w:szCs w:val="24"/>
              </w:rPr>
            </w:pPr>
          </w:p>
        </w:tc>
        <w:tc>
          <w:tcPr>
            <w:tcW w:w="1226" w:type="dxa"/>
            <w:vMerge w:val="continue"/>
            <w:vAlign w:val="center"/>
          </w:tcPr>
          <w:p w14:paraId="629841FA">
            <w:pPr>
              <w:adjustRightInd w:val="0"/>
              <w:snapToGrid w:val="0"/>
              <w:jc w:val="center"/>
              <w:rPr>
                <w:rFonts w:ascii="Times New Roman" w:eastAsia="仿宋"/>
                <w:szCs w:val="21"/>
              </w:rPr>
            </w:pPr>
          </w:p>
        </w:tc>
        <w:tc>
          <w:tcPr>
            <w:tcW w:w="879" w:type="dxa"/>
            <w:vMerge w:val="continue"/>
            <w:vAlign w:val="center"/>
          </w:tcPr>
          <w:p w14:paraId="2A868BFD">
            <w:pPr>
              <w:adjustRightInd w:val="0"/>
              <w:snapToGrid w:val="0"/>
              <w:jc w:val="center"/>
              <w:rPr>
                <w:rFonts w:ascii="Times New Roman" w:eastAsia="仿宋"/>
                <w:szCs w:val="21"/>
              </w:rPr>
            </w:pPr>
          </w:p>
        </w:tc>
      </w:tr>
      <w:tr w14:paraId="04A9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27AB51A0">
            <w:pPr>
              <w:adjustRightInd w:val="0"/>
              <w:snapToGrid w:val="0"/>
              <w:jc w:val="center"/>
              <w:rPr>
                <w:rFonts w:ascii="Times New Roman" w:eastAsia="仿宋"/>
                <w:szCs w:val="24"/>
              </w:rPr>
            </w:pPr>
          </w:p>
        </w:tc>
        <w:tc>
          <w:tcPr>
            <w:tcW w:w="1580" w:type="dxa"/>
            <w:vMerge w:val="continue"/>
            <w:vAlign w:val="center"/>
          </w:tcPr>
          <w:p w14:paraId="154617B1">
            <w:pPr>
              <w:adjustRightInd w:val="0"/>
              <w:snapToGrid w:val="0"/>
              <w:jc w:val="center"/>
              <w:rPr>
                <w:rFonts w:ascii="Times New Roman" w:eastAsia="仿宋"/>
                <w:szCs w:val="24"/>
              </w:rPr>
            </w:pPr>
          </w:p>
        </w:tc>
        <w:tc>
          <w:tcPr>
            <w:tcW w:w="827" w:type="dxa"/>
            <w:vMerge w:val="continue"/>
            <w:vAlign w:val="center"/>
          </w:tcPr>
          <w:p w14:paraId="492EA037">
            <w:pPr>
              <w:adjustRightInd w:val="0"/>
              <w:snapToGrid w:val="0"/>
              <w:jc w:val="center"/>
              <w:rPr>
                <w:rFonts w:ascii="Times New Roman" w:eastAsia="仿宋"/>
                <w:szCs w:val="24"/>
              </w:rPr>
            </w:pPr>
          </w:p>
        </w:tc>
        <w:tc>
          <w:tcPr>
            <w:tcW w:w="1435" w:type="dxa"/>
            <w:vAlign w:val="center"/>
          </w:tcPr>
          <w:p w14:paraId="5B22F79B">
            <w:pPr>
              <w:jc w:val="center"/>
              <w:rPr>
                <w:rFonts w:ascii="Times New Roman" w:eastAsia="仿宋"/>
                <w:szCs w:val="21"/>
              </w:rPr>
            </w:pPr>
            <w:r>
              <w:rPr>
                <w:rFonts w:hint="eastAsia" w:ascii="Times New Roman" w:eastAsia="仿宋"/>
                <w:szCs w:val="21"/>
              </w:rPr>
              <w:t>苯系物</w:t>
            </w:r>
          </w:p>
        </w:tc>
        <w:tc>
          <w:tcPr>
            <w:tcW w:w="1018" w:type="dxa"/>
            <w:vAlign w:val="center"/>
          </w:tcPr>
          <w:p w14:paraId="2C00787D">
            <w:pPr>
              <w:widowControl/>
              <w:jc w:val="center"/>
              <w:textAlignment w:val="center"/>
              <w:rPr>
                <w:rFonts w:ascii="Times New Roman" w:eastAsia="仿宋"/>
                <w:szCs w:val="24"/>
              </w:rPr>
            </w:pPr>
            <w:r>
              <w:rPr>
                <w:rFonts w:hint="eastAsia" w:ascii="Times New Roman" w:eastAsia="仿宋"/>
                <w:szCs w:val="24"/>
              </w:rPr>
              <w:t>5.77</w:t>
            </w:r>
          </w:p>
        </w:tc>
        <w:tc>
          <w:tcPr>
            <w:tcW w:w="1030" w:type="dxa"/>
            <w:vAlign w:val="center"/>
          </w:tcPr>
          <w:p w14:paraId="5985A625">
            <w:pPr>
              <w:widowControl/>
              <w:jc w:val="center"/>
              <w:textAlignment w:val="center"/>
              <w:rPr>
                <w:rFonts w:ascii="Times New Roman" w:eastAsia="仿宋"/>
                <w:szCs w:val="24"/>
              </w:rPr>
            </w:pPr>
            <w:r>
              <w:rPr>
                <w:rFonts w:hint="eastAsia" w:ascii="Times New Roman" w:eastAsia="仿宋"/>
                <w:szCs w:val="24"/>
              </w:rPr>
              <w:t>0.15</w:t>
            </w:r>
          </w:p>
        </w:tc>
        <w:tc>
          <w:tcPr>
            <w:tcW w:w="1098" w:type="dxa"/>
            <w:shd w:val="clear" w:color="auto" w:fill="auto"/>
            <w:vAlign w:val="center"/>
          </w:tcPr>
          <w:p w14:paraId="02AC9049">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1590" w:type="dxa"/>
            <w:vMerge w:val="continue"/>
            <w:vAlign w:val="center"/>
          </w:tcPr>
          <w:p w14:paraId="268939BA">
            <w:pPr>
              <w:adjustRightInd w:val="0"/>
              <w:snapToGrid w:val="0"/>
              <w:jc w:val="center"/>
              <w:rPr>
                <w:rFonts w:ascii="Times New Roman" w:eastAsia="仿宋"/>
                <w:szCs w:val="24"/>
              </w:rPr>
            </w:pPr>
          </w:p>
        </w:tc>
        <w:tc>
          <w:tcPr>
            <w:tcW w:w="956" w:type="dxa"/>
            <w:vMerge w:val="continue"/>
            <w:vAlign w:val="center"/>
          </w:tcPr>
          <w:p w14:paraId="684F3F1E">
            <w:pPr>
              <w:adjustRightInd w:val="0"/>
              <w:snapToGrid w:val="0"/>
              <w:jc w:val="center"/>
              <w:rPr>
                <w:rFonts w:ascii="Times New Roman" w:eastAsia="仿宋"/>
                <w:szCs w:val="24"/>
              </w:rPr>
            </w:pPr>
          </w:p>
        </w:tc>
        <w:tc>
          <w:tcPr>
            <w:tcW w:w="694" w:type="dxa"/>
            <w:vMerge w:val="continue"/>
            <w:vAlign w:val="center"/>
          </w:tcPr>
          <w:p w14:paraId="7E9A0E11">
            <w:pPr>
              <w:adjustRightInd w:val="0"/>
              <w:snapToGrid w:val="0"/>
              <w:jc w:val="center"/>
              <w:rPr>
                <w:rFonts w:ascii="Times New Roman" w:eastAsia="仿宋"/>
                <w:szCs w:val="24"/>
              </w:rPr>
            </w:pPr>
          </w:p>
        </w:tc>
        <w:tc>
          <w:tcPr>
            <w:tcW w:w="1226" w:type="dxa"/>
            <w:vMerge w:val="continue"/>
            <w:vAlign w:val="center"/>
          </w:tcPr>
          <w:p w14:paraId="297538E4">
            <w:pPr>
              <w:adjustRightInd w:val="0"/>
              <w:snapToGrid w:val="0"/>
              <w:jc w:val="center"/>
              <w:rPr>
                <w:rFonts w:ascii="Times New Roman" w:eastAsia="仿宋"/>
                <w:szCs w:val="21"/>
              </w:rPr>
            </w:pPr>
          </w:p>
        </w:tc>
        <w:tc>
          <w:tcPr>
            <w:tcW w:w="879" w:type="dxa"/>
            <w:vMerge w:val="continue"/>
            <w:vAlign w:val="center"/>
          </w:tcPr>
          <w:p w14:paraId="72A696B7">
            <w:pPr>
              <w:adjustRightInd w:val="0"/>
              <w:snapToGrid w:val="0"/>
              <w:jc w:val="center"/>
              <w:rPr>
                <w:rFonts w:ascii="Times New Roman" w:eastAsia="仿宋"/>
                <w:szCs w:val="21"/>
              </w:rPr>
            </w:pPr>
          </w:p>
        </w:tc>
      </w:tr>
      <w:tr w14:paraId="7F10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3D633404">
            <w:pPr>
              <w:adjustRightInd w:val="0"/>
              <w:snapToGrid w:val="0"/>
              <w:jc w:val="center"/>
              <w:rPr>
                <w:rFonts w:ascii="Times New Roman" w:eastAsia="仿宋"/>
                <w:szCs w:val="24"/>
              </w:rPr>
            </w:pPr>
          </w:p>
        </w:tc>
        <w:tc>
          <w:tcPr>
            <w:tcW w:w="1580" w:type="dxa"/>
            <w:vMerge w:val="restart"/>
            <w:vAlign w:val="center"/>
          </w:tcPr>
          <w:p w14:paraId="7D16C28B">
            <w:pPr>
              <w:adjustRightInd w:val="0"/>
              <w:snapToGrid w:val="0"/>
              <w:jc w:val="center"/>
              <w:rPr>
                <w:rFonts w:ascii="Times New Roman" w:eastAsia="仿宋"/>
                <w:szCs w:val="24"/>
              </w:rPr>
            </w:pPr>
            <w:r>
              <w:rPr>
                <w:rFonts w:hint="eastAsia" w:ascii="Times New Roman" w:eastAsia="仿宋"/>
                <w:szCs w:val="24"/>
              </w:rPr>
              <w:t>天然气燃烧废气G5</w:t>
            </w:r>
          </w:p>
        </w:tc>
        <w:tc>
          <w:tcPr>
            <w:tcW w:w="827" w:type="dxa"/>
            <w:vMerge w:val="continue"/>
            <w:vAlign w:val="center"/>
          </w:tcPr>
          <w:p w14:paraId="5B10214E">
            <w:pPr>
              <w:adjustRightInd w:val="0"/>
              <w:snapToGrid w:val="0"/>
              <w:jc w:val="center"/>
              <w:rPr>
                <w:rFonts w:ascii="Times New Roman" w:eastAsia="仿宋"/>
                <w:szCs w:val="24"/>
              </w:rPr>
            </w:pPr>
          </w:p>
        </w:tc>
        <w:tc>
          <w:tcPr>
            <w:tcW w:w="1435" w:type="dxa"/>
            <w:vAlign w:val="center"/>
          </w:tcPr>
          <w:p w14:paraId="10DA79A1">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018" w:type="dxa"/>
            <w:vAlign w:val="center"/>
          </w:tcPr>
          <w:p w14:paraId="27416B7B">
            <w:pPr>
              <w:widowControl/>
              <w:jc w:val="center"/>
              <w:textAlignment w:val="center"/>
              <w:rPr>
                <w:rFonts w:ascii="Times New Roman" w:eastAsia="仿宋"/>
                <w:szCs w:val="24"/>
              </w:rPr>
            </w:pPr>
            <w:r>
              <w:rPr>
                <w:rFonts w:hint="eastAsia" w:ascii="Times New Roman" w:eastAsia="仿宋"/>
                <w:szCs w:val="24"/>
              </w:rPr>
              <w:t>0.04</w:t>
            </w:r>
          </w:p>
        </w:tc>
        <w:tc>
          <w:tcPr>
            <w:tcW w:w="1030" w:type="dxa"/>
            <w:vAlign w:val="center"/>
          </w:tcPr>
          <w:p w14:paraId="7F84DAEB">
            <w:pPr>
              <w:widowControl/>
              <w:jc w:val="center"/>
              <w:textAlignment w:val="center"/>
              <w:rPr>
                <w:rFonts w:ascii="Times New Roman" w:eastAsia="仿宋"/>
                <w:szCs w:val="24"/>
              </w:rPr>
            </w:pPr>
            <w:r>
              <w:rPr>
                <w:rFonts w:hint="eastAsia" w:ascii="Times New Roman" w:eastAsia="仿宋"/>
                <w:szCs w:val="24"/>
              </w:rPr>
              <w:t>0.001</w:t>
            </w:r>
          </w:p>
        </w:tc>
        <w:tc>
          <w:tcPr>
            <w:tcW w:w="1098" w:type="dxa"/>
            <w:vAlign w:val="center"/>
          </w:tcPr>
          <w:p w14:paraId="4B26DC93">
            <w:pPr>
              <w:widowControl/>
              <w:jc w:val="center"/>
              <w:textAlignment w:val="center"/>
              <w:rPr>
                <w:rFonts w:ascii="Times New Roman" w:eastAsia="仿宋"/>
                <w:szCs w:val="24"/>
              </w:rPr>
            </w:pPr>
            <w:r>
              <w:rPr>
                <w:rFonts w:hint="eastAsia" w:ascii="Times New Roman" w:eastAsia="仿宋"/>
                <w:szCs w:val="24"/>
              </w:rPr>
              <w:t>0.005</w:t>
            </w:r>
          </w:p>
        </w:tc>
        <w:tc>
          <w:tcPr>
            <w:tcW w:w="1590" w:type="dxa"/>
            <w:vMerge w:val="continue"/>
            <w:vAlign w:val="center"/>
          </w:tcPr>
          <w:p w14:paraId="701FC161">
            <w:pPr>
              <w:adjustRightInd w:val="0"/>
              <w:snapToGrid w:val="0"/>
              <w:jc w:val="center"/>
              <w:rPr>
                <w:rFonts w:ascii="Times New Roman" w:eastAsia="仿宋"/>
                <w:szCs w:val="24"/>
              </w:rPr>
            </w:pPr>
          </w:p>
        </w:tc>
        <w:tc>
          <w:tcPr>
            <w:tcW w:w="956" w:type="dxa"/>
            <w:vMerge w:val="continue"/>
            <w:vAlign w:val="center"/>
          </w:tcPr>
          <w:p w14:paraId="2FE1BE9C">
            <w:pPr>
              <w:adjustRightInd w:val="0"/>
              <w:snapToGrid w:val="0"/>
              <w:jc w:val="center"/>
              <w:rPr>
                <w:rFonts w:ascii="Times New Roman" w:eastAsia="仿宋"/>
                <w:szCs w:val="24"/>
              </w:rPr>
            </w:pPr>
          </w:p>
        </w:tc>
        <w:tc>
          <w:tcPr>
            <w:tcW w:w="694" w:type="dxa"/>
            <w:vMerge w:val="continue"/>
            <w:vAlign w:val="center"/>
          </w:tcPr>
          <w:p w14:paraId="7D1E377E">
            <w:pPr>
              <w:adjustRightInd w:val="0"/>
              <w:snapToGrid w:val="0"/>
              <w:jc w:val="center"/>
              <w:rPr>
                <w:rFonts w:ascii="Times New Roman" w:eastAsia="仿宋"/>
                <w:szCs w:val="24"/>
              </w:rPr>
            </w:pPr>
          </w:p>
        </w:tc>
        <w:tc>
          <w:tcPr>
            <w:tcW w:w="1226" w:type="dxa"/>
            <w:vMerge w:val="continue"/>
            <w:vAlign w:val="center"/>
          </w:tcPr>
          <w:p w14:paraId="3C2D2CED">
            <w:pPr>
              <w:adjustRightInd w:val="0"/>
              <w:snapToGrid w:val="0"/>
              <w:jc w:val="center"/>
              <w:rPr>
                <w:rFonts w:ascii="Times New Roman" w:eastAsia="仿宋"/>
                <w:szCs w:val="21"/>
              </w:rPr>
            </w:pPr>
          </w:p>
        </w:tc>
        <w:tc>
          <w:tcPr>
            <w:tcW w:w="879" w:type="dxa"/>
            <w:vMerge w:val="continue"/>
            <w:vAlign w:val="center"/>
          </w:tcPr>
          <w:p w14:paraId="2EDBA009">
            <w:pPr>
              <w:adjustRightInd w:val="0"/>
              <w:snapToGrid w:val="0"/>
              <w:jc w:val="center"/>
              <w:rPr>
                <w:rFonts w:ascii="Times New Roman" w:eastAsia="仿宋"/>
                <w:szCs w:val="21"/>
              </w:rPr>
            </w:pPr>
          </w:p>
        </w:tc>
      </w:tr>
      <w:tr w14:paraId="5160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4A920402">
            <w:pPr>
              <w:adjustRightInd w:val="0"/>
              <w:snapToGrid w:val="0"/>
              <w:jc w:val="center"/>
              <w:rPr>
                <w:rFonts w:ascii="Times New Roman" w:eastAsia="仿宋"/>
                <w:szCs w:val="24"/>
              </w:rPr>
            </w:pPr>
          </w:p>
        </w:tc>
        <w:tc>
          <w:tcPr>
            <w:tcW w:w="1580" w:type="dxa"/>
            <w:vMerge w:val="continue"/>
            <w:vAlign w:val="center"/>
          </w:tcPr>
          <w:p w14:paraId="606240FD">
            <w:pPr>
              <w:adjustRightInd w:val="0"/>
              <w:snapToGrid w:val="0"/>
              <w:jc w:val="center"/>
              <w:rPr>
                <w:rFonts w:ascii="Times New Roman" w:eastAsia="仿宋"/>
                <w:szCs w:val="24"/>
              </w:rPr>
            </w:pPr>
          </w:p>
        </w:tc>
        <w:tc>
          <w:tcPr>
            <w:tcW w:w="827" w:type="dxa"/>
            <w:vMerge w:val="continue"/>
            <w:vAlign w:val="center"/>
          </w:tcPr>
          <w:p w14:paraId="44265F26">
            <w:pPr>
              <w:adjustRightInd w:val="0"/>
              <w:snapToGrid w:val="0"/>
              <w:jc w:val="center"/>
              <w:rPr>
                <w:rFonts w:ascii="Times New Roman" w:eastAsia="仿宋"/>
                <w:szCs w:val="24"/>
              </w:rPr>
            </w:pPr>
          </w:p>
        </w:tc>
        <w:tc>
          <w:tcPr>
            <w:tcW w:w="1435" w:type="dxa"/>
            <w:vAlign w:val="center"/>
          </w:tcPr>
          <w:p w14:paraId="78059911">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018" w:type="dxa"/>
            <w:vAlign w:val="center"/>
          </w:tcPr>
          <w:p w14:paraId="225F5BE3">
            <w:pPr>
              <w:widowControl/>
              <w:jc w:val="center"/>
              <w:textAlignment w:val="center"/>
              <w:rPr>
                <w:rFonts w:ascii="Times New Roman" w:eastAsia="仿宋"/>
                <w:szCs w:val="24"/>
              </w:rPr>
            </w:pPr>
            <w:r>
              <w:rPr>
                <w:rFonts w:ascii="Times New Roman" w:eastAsia="仿宋"/>
                <w:szCs w:val="24"/>
              </w:rPr>
              <w:t>1.76</w:t>
            </w:r>
          </w:p>
        </w:tc>
        <w:tc>
          <w:tcPr>
            <w:tcW w:w="1030" w:type="dxa"/>
            <w:vAlign w:val="center"/>
          </w:tcPr>
          <w:p w14:paraId="611DCC73">
            <w:pPr>
              <w:widowControl/>
              <w:jc w:val="center"/>
              <w:textAlignment w:val="center"/>
              <w:rPr>
                <w:rFonts w:ascii="Times New Roman" w:eastAsia="仿宋"/>
                <w:szCs w:val="24"/>
              </w:rPr>
            </w:pPr>
            <w:r>
              <w:rPr>
                <w:rFonts w:hint="eastAsia" w:ascii="Times New Roman" w:eastAsia="仿宋"/>
                <w:szCs w:val="24"/>
              </w:rPr>
              <w:t>0.0</w:t>
            </w:r>
            <w:r>
              <w:rPr>
                <w:rFonts w:ascii="Times New Roman" w:eastAsia="仿宋"/>
                <w:szCs w:val="24"/>
              </w:rPr>
              <w:t>46</w:t>
            </w:r>
          </w:p>
        </w:tc>
        <w:tc>
          <w:tcPr>
            <w:tcW w:w="1098" w:type="dxa"/>
            <w:vAlign w:val="center"/>
          </w:tcPr>
          <w:p w14:paraId="6E8AB5B9">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224</w:t>
            </w:r>
          </w:p>
        </w:tc>
        <w:tc>
          <w:tcPr>
            <w:tcW w:w="1590" w:type="dxa"/>
            <w:vMerge w:val="continue"/>
            <w:vAlign w:val="center"/>
          </w:tcPr>
          <w:p w14:paraId="4A87A93E">
            <w:pPr>
              <w:adjustRightInd w:val="0"/>
              <w:snapToGrid w:val="0"/>
              <w:jc w:val="center"/>
              <w:rPr>
                <w:rFonts w:ascii="Times New Roman" w:eastAsia="仿宋"/>
                <w:szCs w:val="24"/>
              </w:rPr>
            </w:pPr>
          </w:p>
        </w:tc>
        <w:tc>
          <w:tcPr>
            <w:tcW w:w="956" w:type="dxa"/>
            <w:vMerge w:val="continue"/>
            <w:vAlign w:val="center"/>
          </w:tcPr>
          <w:p w14:paraId="35AECEF2">
            <w:pPr>
              <w:adjustRightInd w:val="0"/>
              <w:snapToGrid w:val="0"/>
              <w:jc w:val="center"/>
              <w:rPr>
                <w:rFonts w:ascii="Times New Roman" w:eastAsia="仿宋"/>
                <w:szCs w:val="24"/>
              </w:rPr>
            </w:pPr>
          </w:p>
        </w:tc>
        <w:tc>
          <w:tcPr>
            <w:tcW w:w="694" w:type="dxa"/>
            <w:vMerge w:val="continue"/>
            <w:vAlign w:val="center"/>
          </w:tcPr>
          <w:p w14:paraId="6E096B3D">
            <w:pPr>
              <w:adjustRightInd w:val="0"/>
              <w:snapToGrid w:val="0"/>
              <w:jc w:val="center"/>
              <w:rPr>
                <w:rFonts w:ascii="Times New Roman" w:eastAsia="仿宋"/>
                <w:szCs w:val="24"/>
              </w:rPr>
            </w:pPr>
          </w:p>
        </w:tc>
        <w:tc>
          <w:tcPr>
            <w:tcW w:w="1226" w:type="dxa"/>
            <w:vMerge w:val="continue"/>
            <w:vAlign w:val="center"/>
          </w:tcPr>
          <w:p w14:paraId="2661A5D2">
            <w:pPr>
              <w:adjustRightInd w:val="0"/>
              <w:snapToGrid w:val="0"/>
              <w:jc w:val="center"/>
              <w:rPr>
                <w:rFonts w:ascii="Times New Roman" w:eastAsia="仿宋"/>
                <w:szCs w:val="21"/>
              </w:rPr>
            </w:pPr>
          </w:p>
        </w:tc>
        <w:tc>
          <w:tcPr>
            <w:tcW w:w="879" w:type="dxa"/>
            <w:vMerge w:val="continue"/>
            <w:vAlign w:val="center"/>
          </w:tcPr>
          <w:p w14:paraId="439E1212">
            <w:pPr>
              <w:adjustRightInd w:val="0"/>
              <w:snapToGrid w:val="0"/>
              <w:jc w:val="center"/>
              <w:rPr>
                <w:rFonts w:ascii="Times New Roman" w:eastAsia="仿宋"/>
                <w:szCs w:val="21"/>
              </w:rPr>
            </w:pPr>
          </w:p>
        </w:tc>
      </w:tr>
      <w:tr w14:paraId="31DE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5F264196">
            <w:pPr>
              <w:adjustRightInd w:val="0"/>
              <w:snapToGrid w:val="0"/>
              <w:jc w:val="center"/>
              <w:rPr>
                <w:rFonts w:ascii="Times New Roman" w:eastAsia="仿宋"/>
                <w:szCs w:val="24"/>
              </w:rPr>
            </w:pPr>
          </w:p>
        </w:tc>
        <w:tc>
          <w:tcPr>
            <w:tcW w:w="1580" w:type="dxa"/>
            <w:vMerge w:val="continue"/>
            <w:vAlign w:val="center"/>
          </w:tcPr>
          <w:p w14:paraId="107D9ADD">
            <w:pPr>
              <w:adjustRightInd w:val="0"/>
              <w:snapToGrid w:val="0"/>
              <w:jc w:val="center"/>
              <w:rPr>
                <w:rFonts w:ascii="Times New Roman" w:eastAsia="仿宋"/>
                <w:szCs w:val="24"/>
              </w:rPr>
            </w:pPr>
          </w:p>
        </w:tc>
        <w:tc>
          <w:tcPr>
            <w:tcW w:w="827" w:type="dxa"/>
            <w:vMerge w:val="continue"/>
            <w:vAlign w:val="center"/>
          </w:tcPr>
          <w:p w14:paraId="4910D3AB">
            <w:pPr>
              <w:adjustRightInd w:val="0"/>
              <w:snapToGrid w:val="0"/>
              <w:jc w:val="center"/>
              <w:rPr>
                <w:rFonts w:ascii="Times New Roman" w:eastAsia="仿宋"/>
                <w:szCs w:val="24"/>
              </w:rPr>
            </w:pPr>
          </w:p>
        </w:tc>
        <w:tc>
          <w:tcPr>
            <w:tcW w:w="1435" w:type="dxa"/>
            <w:vAlign w:val="center"/>
          </w:tcPr>
          <w:p w14:paraId="1AE09BD6">
            <w:pPr>
              <w:adjustRightInd w:val="0"/>
              <w:snapToGrid w:val="0"/>
              <w:jc w:val="center"/>
              <w:rPr>
                <w:rFonts w:ascii="Times New Roman" w:eastAsia="仿宋"/>
                <w:szCs w:val="24"/>
              </w:rPr>
            </w:pPr>
            <w:r>
              <w:rPr>
                <w:rFonts w:hint="eastAsia" w:ascii="Times New Roman" w:eastAsia="仿宋"/>
                <w:szCs w:val="24"/>
              </w:rPr>
              <w:t>颗粒物</w:t>
            </w:r>
          </w:p>
        </w:tc>
        <w:tc>
          <w:tcPr>
            <w:tcW w:w="1018" w:type="dxa"/>
            <w:vAlign w:val="center"/>
          </w:tcPr>
          <w:p w14:paraId="76DC2453">
            <w:pPr>
              <w:widowControl/>
              <w:jc w:val="center"/>
              <w:textAlignment w:val="center"/>
              <w:rPr>
                <w:rFonts w:ascii="Times New Roman" w:eastAsia="仿宋"/>
                <w:szCs w:val="24"/>
              </w:rPr>
            </w:pPr>
            <w:r>
              <w:rPr>
                <w:rFonts w:hint="eastAsia" w:ascii="Times New Roman" w:eastAsia="仿宋"/>
                <w:szCs w:val="24"/>
              </w:rPr>
              <w:t>0.27</w:t>
            </w:r>
          </w:p>
        </w:tc>
        <w:tc>
          <w:tcPr>
            <w:tcW w:w="1030" w:type="dxa"/>
            <w:vAlign w:val="center"/>
          </w:tcPr>
          <w:p w14:paraId="7F9D3032">
            <w:pPr>
              <w:widowControl/>
              <w:jc w:val="center"/>
              <w:textAlignment w:val="center"/>
              <w:rPr>
                <w:rFonts w:ascii="Times New Roman" w:eastAsia="仿宋"/>
                <w:szCs w:val="24"/>
              </w:rPr>
            </w:pPr>
            <w:r>
              <w:rPr>
                <w:rFonts w:hint="eastAsia" w:ascii="Times New Roman" w:eastAsia="仿宋"/>
                <w:szCs w:val="24"/>
              </w:rPr>
              <w:t>0.007</w:t>
            </w:r>
          </w:p>
        </w:tc>
        <w:tc>
          <w:tcPr>
            <w:tcW w:w="1098" w:type="dxa"/>
            <w:vAlign w:val="center"/>
          </w:tcPr>
          <w:p w14:paraId="04465544">
            <w:pPr>
              <w:widowControl/>
              <w:jc w:val="center"/>
              <w:textAlignment w:val="center"/>
              <w:rPr>
                <w:rFonts w:ascii="Times New Roman" w:eastAsia="仿宋"/>
                <w:szCs w:val="24"/>
              </w:rPr>
            </w:pPr>
            <w:r>
              <w:rPr>
                <w:rFonts w:hint="eastAsia" w:ascii="Times New Roman" w:eastAsia="仿宋"/>
                <w:szCs w:val="24"/>
              </w:rPr>
              <w:t>0.034</w:t>
            </w:r>
          </w:p>
        </w:tc>
        <w:tc>
          <w:tcPr>
            <w:tcW w:w="1590" w:type="dxa"/>
            <w:vMerge w:val="continue"/>
            <w:vAlign w:val="center"/>
          </w:tcPr>
          <w:p w14:paraId="629181C0">
            <w:pPr>
              <w:adjustRightInd w:val="0"/>
              <w:snapToGrid w:val="0"/>
              <w:jc w:val="center"/>
              <w:rPr>
                <w:rFonts w:ascii="Times New Roman" w:eastAsia="仿宋"/>
                <w:szCs w:val="24"/>
              </w:rPr>
            </w:pPr>
          </w:p>
        </w:tc>
        <w:tc>
          <w:tcPr>
            <w:tcW w:w="956" w:type="dxa"/>
            <w:vMerge w:val="continue"/>
            <w:vAlign w:val="center"/>
          </w:tcPr>
          <w:p w14:paraId="040DA43C">
            <w:pPr>
              <w:adjustRightInd w:val="0"/>
              <w:snapToGrid w:val="0"/>
              <w:jc w:val="center"/>
              <w:rPr>
                <w:rFonts w:ascii="Times New Roman" w:eastAsia="仿宋"/>
                <w:szCs w:val="24"/>
              </w:rPr>
            </w:pPr>
          </w:p>
        </w:tc>
        <w:tc>
          <w:tcPr>
            <w:tcW w:w="694" w:type="dxa"/>
            <w:vMerge w:val="continue"/>
            <w:vAlign w:val="center"/>
          </w:tcPr>
          <w:p w14:paraId="4E92EB39">
            <w:pPr>
              <w:adjustRightInd w:val="0"/>
              <w:snapToGrid w:val="0"/>
              <w:jc w:val="center"/>
              <w:rPr>
                <w:rFonts w:ascii="Times New Roman" w:eastAsia="仿宋"/>
                <w:szCs w:val="24"/>
              </w:rPr>
            </w:pPr>
          </w:p>
        </w:tc>
        <w:tc>
          <w:tcPr>
            <w:tcW w:w="1226" w:type="dxa"/>
            <w:vMerge w:val="continue"/>
            <w:vAlign w:val="center"/>
          </w:tcPr>
          <w:p w14:paraId="22DFB619">
            <w:pPr>
              <w:adjustRightInd w:val="0"/>
              <w:snapToGrid w:val="0"/>
              <w:jc w:val="center"/>
              <w:rPr>
                <w:rFonts w:ascii="Times New Roman" w:eastAsia="仿宋"/>
                <w:szCs w:val="21"/>
              </w:rPr>
            </w:pPr>
          </w:p>
        </w:tc>
        <w:tc>
          <w:tcPr>
            <w:tcW w:w="879" w:type="dxa"/>
            <w:vMerge w:val="continue"/>
            <w:vAlign w:val="center"/>
          </w:tcPr>
          <w:p w14:paraId="77E80C84">
            <w:pPr>
              <w:adjustRightInd w:val="0"/>
              <w:snapToGrid w:val="0"/>
              <w:jc w:val="center"/>
              <w:rPr>
                <w:rFonts w:ascii="Times New Roman" w:eastAsia="仿宋"/>
                <w:szCs w:val="21"/>
              </w:rPr>
            </w:pPr>
          </w:p>
        </w:tc>
      </w:tr>
      <w:tr w14:paraId="5E53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62" w:type="dxa"/>
            <w:vMerge w:val="restart"/>
            <w:vAlign w:val="center"/>
          </w:tcPr>
          <w:p w14:paraId="20BF65AB">
            <w:pPr>
              <w:adjustRightInd w:val="0"/>
              <w:snapToGrid w:val="0"/>
              <w:jc w:val="center"/>
              <w:rPr>
                <w:rFonts w:ascii="Times New Roman" w:eastAsia="仿宋"/>
                <w:szCs w:val="24"/>
              </w:rPr>
            </w:pPr>
            <w:r>
              <w:rPr>
                <w:rFonts w:hint="eastAsia" w:ascii="Times New Roman" w:eastAsia="仿宋"/>
                <w:szCs w:val="24"/>
              </w:rPr>
              <w:t>3#</w:t>
            </w:r>
          </w:p>
        </w:tc>
        <w:tc>
          <w:tcPr>
            <w:tcW w:w="1580" w:type="dxa"/>
            <w:vMerge w:val="restart"/>
            <w:vAlign w:val="center"/>
          </w:tcPr>
          <w:p w14:paraId="3909BF29">
            <w:pPr>
              <w:adjustRightInd w:val="0"/>
              <w:snapToGrid w:val="0"/>
              <w:jc w:val="center"/>
              <w:rPr>
                <w:rFonts w:ascii="Times New Roman" w:eastAsia="仿宋"/>
                <w:szCs w:val="24"/>
              </w:rPr>
            </w:pPr>
            <w:r>
              <w:rPr>
                <w:rFonts w:hint="eastAsia" w:ascii="Times New Roman" w:eastAsia="仿宋"/>
                <w:szCs w:val="24"/>
              </w:rPr>
              <w:t>氟碳面漆、底漆调漆废气G9</w:t>
            </w:r>
          </w:p>
        </w:tc>
        <w:tc>
          <w:tcPr>
            <w:tcW w:w="827" w:type="dxa"/>
            <w:vMerge w:val="restart"/>
            <w:vAlign w:val="center"/>
          </w:tcPr>
          <w:p w14:paraId="11598CB7">
            <w:pPr>
              <w:adjustRightInd w:val="0"/>
              <w:snapToGrid w:val="0"/>
              <w:jc w:val="center"/>
              <w:rPr>
                <w:rFonts w:ascii="Times New Roman" w:eastAsia="仿宋"/>
                <w:szCs w:val="24"/>
              </w:rPr>
            </w:pPr>
            <w:r>
              <w:rPr>
                <w:rFonts w:hint="eastAsia" w:ascii="Times New Roman" w:eastAsia="仿宋"/>
                <w:szCs w:val="24"/>
              </w:rPr>
              <w:t>2</w:t>
            </w:r>
            <w:r>
              <w:rPr>
                <w:rFonts w:ascii="Times New Roman" w:eastAsia="仿宋"/>
                <w:szCs w:val="24"/>
              </w:rPr>
              <w:t>8000</w:t>
            </w:r>
          </w:p>
        </w:tc>
        <w:tc>
          <w:tcPr>
            <w:tcW w:w="1435" w:type="dxa"/>
            <w:vAlign w:val="center"/>
          </w:tcPr>
          <w:p w14:paraId="793C41C5">
            <w:pPr>
              <w:jc w:val="center"/>
              <w:rPr>
                <w:rFonts w:ascii="Times New Roman" w:eastAsia="仿宋"/>
                <w:szCs w:val="21"/>
              </w:rPr>
            </w:pPr>
            <w:r>
              <w:rPr>
                <w:rFonts w:hint="eastAsia" w:ascii="Times New Roman" w:eastAsia="仿宋"/>
                <w:szCs w:val="21"/>
              </w:rPr>
              <w:t>非甲烷总烃</w:t>
            </w:r>
          </w:p>
        </w:tc>
        <w:tc>
          <w:tcPr>
            <w:tcW w:w="1018" w:type="dxa"/>
            <w:vAlign w:val="center"/>
          </w:tcPr>
          <w:p w14:paraId="0150E50D">
            <w:pPr>
              <w:widowControl/>
              <w:jc w:val="center"/>
              <w:textAlignment w:val="center"/>
              <w:rPr>
                <w:rFonts w:ascii="Times New Roman" w:eastAsia="仿宋"/>
                <w:szCs w:val="24"/>
              </w:rPr>
            </w:pPr>
            <w:r>
              <w:rPr>
                <w:rFonts w:hint="eastAsia" w:ascii="Times New Roman" w:eastAsia="仿宋"/>
                <w:szCs w:val="24"/>
              </w:rPr>
              <w:t>9.28</w:t>
            </w:r>
          </w:p>
        </w:tc>
        <w:tc>
          <w:tcPr>
            <w:tcW w:w="1030" w:type="dxa"/>
            <w:vAlign w:val="center"/>
          </w:tcPr>
          <w:p w14:paraId="43F8D343">
            <w:pPr>
              <w:widowControl/>
              <w:jc w:val="center"/>
              <w:textAlignment w:val="center"/>
              <w:rPr>
                <w:rFonts w:ascii="Times New Roman" w:eastAsia="仿宋"/>
                <w:szCs w:val="24"/>
              </w:rPr>
            </w:pPr>
            <w:r>
              <w:rPr>
                <w:rFonts w:hint="eastAsia" w:ascii="Times New Roman" w:eastAsia="仿宋"/>
                <w:szCs w:val="24"/>
              </w:rPr>
              <w:t>0.26</w:t>
            </w:r>
          </w:p>
        </w:tc>
        <w:tc>
          <w:tcPr>
            <w:tcW w:w="1098" w:type="dxa"/>
            <w:vAlign w:val="center"/>
          </w:tcPr>
          <w:p w14:paraId="3BB223B3">
            <w:pPr>
              <w:widowControl/>
              <w:jc w:val="center"/>
              <w:textAlignment w:val="center"/>
              <w:rPr>
                <w:rFonts w:ascii="Times New Roman" w:eastAsia="仿宋"/>
                <w:szCs w:val="24"/>
              </w:rPr>
            </w:pPr>
            <w:r>
              <w:rPr>
                <w:rFonts w:hint="eastAsia" w:ascii="Times New Roman" w:eastAsia="仿宋"/>
                <w:szCs w:val="24"/>
              </w:rPr>
              <w:t>1.284</w:t>
            </w:r>
          </w:p>
        </w:tc>
        <w:tc>
          <w:tcPr>
            <w:tcW w:w="1590" w:type="dxa"/>
            <w:vMerge w:val="restart"/>
            <w:vAlign w:val="center"/>
          </w:tcPr>
          <w:p w14:paraId="71CF2E21">
            <w:pPr>
              <w:jc w:val="center"/>
              <w:rPr>
                <w:rFonts w:ascii="Times New Roman" w:eastAsia="仿宋"/>
                <w:szCs w:val="21"/>
              </w:rPr>
            </w:pPr>
            <w:r>
              <w:rPr>
                <w:rFonts w:ascii="Times New Roman" w:eastAsia="仿宋"/>
                <w:szCs w:val="21"/>
              </w:rPr>
              <w:t>2</w:t>
            </w:r>
            <w:r>
              <w:rPr>
                <w:rFonts w:hint="eastAsia" w:ascii="Times New Roman" w:eastAsia="仿宋"/>
                <w:szCs w:val="21"/>
              </w:rPr>
              <w:t>号水帘式循环过滤系统+水喷淋+干式过滤器+三级活性炭吸附脱附+催化燃烧</w:t>
            </w:r>
          </w:p>
        </w:tc>
        <w:tc>
          <w:tcPr>
            <w:tcW w:w="956" w:type="dxa"/>
            <w:vMerge w:val="restart"/>
            <w:vAlign w:val="center"/>
          </w:tcPr>
          <w:p w14:paraId="68BA6DAD">
            <w:pPr>
              <w:jc w:val="center"/>
              <w:rPr>
                <w:rFonts w:ascii="Times New Roman" w:eastAsia="仿宋"/>
                <w:szCs w:val="21"/>
              </w:rPr>
            </w:pPr>
            <w:r>
              <w:rPr>
                <w:rFonts w:ascii="Times New Roman" w:eastAsia="仿宋"/>
                <w:szCs w:val="21"/>
              </w:rPr>
              <w:t>15</w:t>
            </w:r>
          </w:p>
        </w:tc>
        <w:tc>
          <w:tcPr>
            <w:tcW w:w="694" w:type="dxa"/>
            <w:vMerge w:val="restart"/>
            <w:vAlign w:val="center"/>
          </w:tcPr>
          <w:p w14:paraId="19676459">
            <w:pPr>
              <w:adjustRightInd w:val="0"/>
              <w:snapToGrid w:val="0"/>
              <w:jc w:val="center"/>
              <w:rPr>
                <w:rFonts w:ascii="Times New Roman" w:eastAsia="仿宋"/>
                <w:szCs w:val="24"/>
              </w:rPr>
            </w:pPr>
            <w:r>
              <w:rPr>
                <w:rFonts w:ascii="Times New Roman" w:eastAsia="仿宋"/>
                <w:szCs w:val="24"/>
              </w:rPr>
              <w:t>0.9</w:t>
            </w:r>
          </w:p>
        </w:tc>
        <w:tc>
          <w:tcPr>
            <w:tcW w:w="1226" w:type="dxa"/>
            <w:vMerge w:val="restart"/>
            <w:vAlign w:val="center"/>
          </w:tcPr>
          <w:p w14:paraId="32BFAE98">
            <w:pPr>
              <w:adjustRightInd w:val="0"/>
              <w:snapToGrid w:val="0"/>
              <w:jc w:val="center"/>
              <w:rPr>
                <w:rFonts w:ascii="Times New Roman" w:eastAsia="仿宋"/>
                <w:szCs w:val="21"/>
              </w:rPr>
            </w:pPr>
            <w:r>
              <w:rPr>
                <w:rFonts w:hint="eastAsia" w:ascii="Times New Roman" w:eastAsia="仿宋"/>
                <w:szCs w:val="21"/>
              </w:rPr>
              <w:t>50</w:t>
            </w:r>
          </w:p>
        </w:tc>
        <w:tc>
          <w:tcPr>
            <w:tcW w:w="879" w:type="dxa"/>
            <w:vMerge w:val="restart"/>
            <w:vAlign w:val="center"/>
          </w:tcPr>
          <w:p w14:paraId="5E15DFF2">
            <w:pPr>
              <w:adjustRightInd w:val="0"/>
              <w:snapToGrid w:val="0"/>
              <w:jc w:val="center"/>
              <w:rPr>
                <w:rFonts w:ascii="Times New Roman" w:eastAsia="仿宋"/>
                <w:szCs w:val="21"/>
              </w:rPr>
            </w:pPr>
            <w:r>
              <w:rPr>
                <w:rFonts w:hint="eastAsia" w:ascii="Times New Roman" w:eastAsia="仿宋"/>
                <w:szCs w:val="21"/>
              </w:rPr>
              <w:t>连续4800h</w:t>
            </w:r>
          </w:p>
        </w:tc>
      </w:tr>
      <w:tr w14:paraId="0F75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962" w:type="dxa"/>
            <w:vMerge w:val="continue"/>
            <w:vAlign w:val="center"/>
          </w:tcPr>
          <w:p w14:paraId="1DC7D529">
            <w:pPr>
              <w:adjustRightInd w:val="0"/>
              <w:snapToGrid w:val="0"/>
              <w:jc w:val="center"/>
              <w:rPr>
                <w:rFonts w:ascii="Times New Roman" w:eastAsia="仿宋"/>
                <w:szCs w:val="24"/>
              </w:rPr>
            </w:pPr>
          </w:p>
        </w:tc>
        <w:tc>
          <w:tcPr>
            <w:tcW w:w="1580" w:type="dxa"/>
            <w:vMerge w:val="continue"/>
            <w:vAlign w:val="center"/>
          </w:tcPr>
          <w:p w14:paraId="2AFF9892">
            <w:pPr>
              <w:adjustRightInd w:val="0"/>
              <w:snapToGrid w:val="0"/>
              <w:jc w:val="center"/>
              <w:rPr>
                <w:rFonts w:ascii="Times New Roman" w:eastAsia="仿宋"/>
                <w:szCs w:val="24"/>
              </w:rPr>
            </w:pPr>
          </w:p>
        </w:tc>
        <w:tc>
          <w:tcPr>
            <w:tcW w:w="827" w:type="dxa"/>
            <w:vMerge w:val="continue"/>
            <w:vAlign w:val="center"/>
          </w:tcPr>
          <w:p w14:paraId="43563417">
            <w:pPr>
              <w:adjustRightInd w:val="0"/>
              <w:snapToGrid w:val="0"/>
              <w:jc w:val="center"/>
              <w:rPr>
                <w:rFonts w:ascii="Times New Roman" w:eastAsia="仿宋"/>
                <w:szCs w:val="24"/>
              </w:rPr>
            </w:pPr>
          </w:p>
        </w:tc>
        <w:tc>
          <w:tcPr>
            <w:tcW w:w="1435" w:type="dxa"/>
            <w:vAlign w:val="center"/>
          </w:tcPr>
          <w:p w14:paraId="394C02CF">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4D8FF8C5">
            <w:pPr>
              <w:widowControl/>
              <w:jc w:val="center"/>
              <w:textAlignment w:val="center"/>
              <w:rPr>
                <w:rFonts w:ascii="Times New Roman" w:eastAsia="仿宋"/>
                <w:szCs w:val="24"/>
              </w:rPr>
            </w:pPr>
            <w:r>
              <w:rPr>
                <w:rFonts w:hint="eastAsia" w:ascii="Times New Roman" w:eastAsia="仿宋"/>
                <w:szCs w:val="24"/>
              </w:rPr>
              <w:t>9.28</w:t>
            </w:r>
          </w:p>
        </w:tc>
        <w:tc>
          <w:tcPr>
            <w:tcW w:w="1030" w:type="dxa"/>
            <w:vAlign w:val="center"/>
          </w:tcPr>
          <w:p w14:paraId="6E2F1BDB">
            <w:pPr>
              <w:widowControl/>
              <w:jc w:val="center"/>
              <w:textAlignment w:val="center"/>
              <w:rPr>
                <w:rFonts w:ascii="Times New Roman" w:eastAsia="仿宋"/>
                <w:szCs w:val="24"/>
              </w:rPr>
            </w:pPr>
            <w:r>
              <w:rPr>
                <w:rFonts w:hint="eastAsia" w:ascii="Times New Roman" w:eastAsia="仿宋"/>
                <w:szCs w:val="24"/>
              </w:rPr>
              <w:t>0.26</w:t>
            </w:r>
          </w:p>
        </w:tc>
        <w:tc>
          <w:tcPr>
            <w:tcW w:w="1098" w:type="dxa"/>
            <w:vAlign w:val="center"/>
          </w:tcPr>
          <w:p w14:paraId="1718C117">
            <w:pPr>
              <w:widowControl/>
              <w:jc w:val="center"/>
              <w:textAlignment w:val="center"/>
              <w:rPr>
                <w:rFonts w:ascii="Times New Roman" w:eastAsia="仿宋"/>
                <w:szCs w:val="24"/>
              </w:rPr>
            </w:pPr>
            <w:r>
              <w:rPr>
                <w:rFonts w:hint="eastAsia" w:ascii="Times New Roman" w:eastAsia="仿宋"/>
                <w:szCs w:val="24"/>
              </w:rPr>
              <w:t>1.284</w:t>
            </w:r>
          </w:p>
        </w:tc>
        <w:tc>
          <w:tcPr>
            <w:tcW w:w="1590" w:type="dxa"/>
            <w:vMerge w:val="continue"/>
            <w:vAlign w:val="center"/>
          </w:tcPr>
          <w:p w14:paraId="1F861E9A">
            <w:pPr>
              <w:adjustRightInd w:val="0"/>
              <w:snapToGrid w:val="0"/>
              <w:jc w:val="center"/>
              <w:rPr>
                <w:rFonts w:ascii="Times New Roman" w:eastAsia="仿宋"/>
                <w:bCs/>
                <w:szCs w:val="24"/>
              </w:rPr>
            </w:pPr>
          </w:p>
        </w:tc>
        <w:tc>
          <w:tcPr>
            <w:tcW w:w="956" w:type="dxa"/>
            <w:vMerge w:val="continue"/>
            <w:vAlign w:val="center"/>
          </w:tcPr>
          <w:p w14:paraId="21D6FD36">
            <w:pPr>
              <w:adjustRightInd w:val="0"/>
              <w:snapToGrid w:val="0"/>
              <w:jc w:val="center"/>
              <w:rPr>
                <w:rFonts w:ascii="Times New Roman" w:eastAsia="仿宋"/>
                <w:szCs w:val="24"/>
              </w:rPr>
            </w:pPr>
          </w:p>
        </w:tc>
        <w:tc>
          <w:tcPr>
            <w:tcW w:w="694" w:type="dxa"/>
            <w:vMerge w:val="continue"/>
            <w:vAlign w:val="center"/>
          </w:tcPr>
          <w:p w14:paraId="2A7E7500">
            <w:pPr>
              <w:adjustRightInd w:val="0"/>
              <w:snapToGrid w:val="0"/>
              <w:jc w:val="center"/>
              <w:rPr>
                <w:rFonts w:ascii="Times New Roman" w:eastAsia="仿宋"/>
                <w:szCs w:val="24"/>
              </w:rPr>
            </w:pPr>
          </w:p>
        </w:tc>
        <w:tc>
          <w:tcPr>
            <w:tcW w:w="1226" w:type="dxa"/>
            <w:vMerge w:val="continue"/>
            <w:vAlign w:val="center"/>
          </w:tcPr>
          <w:p w14:paraId="09906498">
            <w:pPr>
              <w:adjustRightInd w:val="0"/>
              <w:snapToGrid w:val="0"/>
              <w:jc w:val="center"/>
              <w:rPr>
                <w:rFonts w:ascii="Times New Roman" w:eastAsia="仿宋"/>
                <w:szCs w:val="21"/>
              </w:rPr>
            </w:pPr>
          </w:p>
        </w:tc>
        <w:tc>
          <w:tcPr>
            <w:tcW w:w="879" w:type="dxa"/>
            <w:vMerge w:val="continue"/>
            <w:vAlign w:val="center"/>
          </w:tcPr>
          <w:p w14:paraId="3DB866C0">
            <w:pPr>
              <w:adjustRightInd w:val="0"/>
              <w:snapToGrid w:val="0"/>
              <w:jc w:val="center"/>
              <w:rPr>
                <w:rFonts w:ascii="Times New Roman" w:eastAsia="仿宋"/>
                <w:szCs w:val="21"/>
              </w:rPr>
            </w:pPr>
          </w:p>
        </w:tc>
      </w:tr>
      <w:tr w14:paraId="3CF9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962" w:type="dxa"/>
            <w:vMerge w:val="continue"/>
            <w:vAlign w:val="center"/>
          </w:tcPr>
          <w:p w14:paraId="20D26A2A">
            <w:pPr>
              <w:adjustRightInd w:val="0"/>
              <w:snapToGrid w:val="0"/>
              <w:jc w:val="center"/>
              <w:rPr>
                <w:rFonts w:ascii="Times New Roman" w:eastAsia="仿宋"/>
                <w:szCs w:val="24"/>
              </w:rPr>
            </w:pPr>
          </w:p>
        </w:tc>
        <w:tc>
          <w:tcPr>
            <w:tcW w:w="1580" w:type="dxa"/>
            <w:vMerge w:val="continue"/>
            <w:vAlign w:val="center"/>
          </w:tcPr>
          <w:p w14:paraId="4CA1F120">
            <w:pPr>
              <w:adjustRightInd w:val="0"/>
              <w:snapToGrid w:val="0"/>
              <w:jc w:val="center"/>
              <w:rPr>
                <w:rFonts w:ascii="Times New Roman" w:eastAsia="仿宋"/>
                <w:szCs w:val="24"/>
              </w:rPr>
            </w:pPr>
          </w:p>
        </w:tc>
        <w:tc>
          <w:tcPr>
            <w:tcW w:w="827" w:type="dxa"/>
            <w:vMerge w:val="continue"/>
            <w:vAlign w:val="center"/>
          </w:tcPr>
          <w:p w14:paraId="7BF258BF">
            <w:pPr>
              <w:adjustRightInd w:val="0"/>
              <w:snapToGrid w:val="0"/>
              <w:jc w:val="center"/>
              <w:rPr>
                <w:rFonts w:ascii="Times New Roman" w:eastAsia="仿宋"/>
                <w:szCs w:val="24"/>
              </w:rPr>
            </w:pPr>
          </w:p>
        </w:tc>
        <w:tc>
          <w:tcPr>
            <w:tcW w:w="1435" w:type="dxa"/>
            <w:vAlign w:val="center"/>
          </w:tcPr>
          <w:p w14:paraId="4BA04FEA">
            <w:pPr>
              <w:jc w:val="center"/>
              <w:rPr>
                <w:rFonts w:ascii="Times New Roman" w:eastAsia="仿宋"/>
                <w:szCs w:val="21"/>
              </w:rPr>
            </w:pPr>
            <w:r>
              <w:rPr>
                <w:rFonts w:hint="eastAsia" w:ascii="Times New Roman" w:eastAsia="仿宋"/>
                <w:szCs w:val="21"/>
              </w:rPr>
              <w:t>二甲苯</w:t>
            </w:r>
          </w:p>
        </w:tc>
        <w:tc>
          <w:tcPr>
            <w:tcW w:w="1018" w:type="dxa"/>
            <w:vAlign w:val="center"/>
          </w:tcPr>
          <w:p w14:paraId="3902E28F">
            <w:pPr>
              <w:widowControl/>
              <w:jc w:val="center"/>
              <w:textAlignment w:val="center"/>
              <w:rPr>
                <w:rFonts w:ascii="Times New Roman" w:eastAsia="仿宋"/>
                <w:szCs w:val="24"/>
              </w:rPr>
            </w:pPr>
            <w:r>
              <w:rPr>
                <w:rFonts w:hint="eastAsia" w:ascii="Times New Roman" w:eastAsia="仿宋"/>
                <w:szCs w:val="24"/>
              </w:rPr>
              <w:t>2.5</w:t>
            </w:r>
          </w:p>
        </w:tc>
        <w:tc>
          <w:tcPr>
            <w:tcW w:w="1030" w:type="dxa"/>
            <w:vAlign w:val="center"/>
          </w:tcPr>
          <w:p w14:paraId="28648784">
            <w:pPr>
              <w:widowControl/>
              <w:jc w:val="center"/>
              <w:textAlignment w:val="center"/>
              <w:rPr>
                <w:rFonts w:ascii="Times New Roman" w:eastAsia="仿宋"/>
                <w:szCs w:val="24"/>
              </w:rPr>
            </w:pPr>
            <w:r>
              <w:rPr>
                <w:rFonts w:hint="eastAsia" w:ascii="Times New Roman" w:eastAsia="仿宋"/>
                <w:szCs w:val="24"/>
              </w:rPr>
              <w:t>0.07</w:t>
            </w:r>
          </w:p>
        </w:tc>
        <w:tc>
          <w:tcPr>
            <w:tcW w:w="1098" w:type="dxa"/>
            <w:vAlign w:val="center"/>
          </w:tcPr>
          <w:p w14:paraId="07303272">
            <w:pPr>
              <w:widowControl/>
              <w:jc w:val="center"/>
              <w:textAlignment w:val="center"/>
              <w:rPr>
                <w:rFonts w:ascii="Times New Roman" w:eastAsia="仿宋"/>
                <w:szCs w:val="24"/>
              </w:rPr>
            </w:pPr>
            <w:r>
              <w:rPr>
                <w:rFonts w:hint="eastAsia" w:ascii="Times New Roman" w:eastAsia="仿宋"/>
                <w:szCs w:val="24"/>
              </w:rPr>
              <w:t>0.327</w:t>
            </w:r>
          </w:p>
        </w:tc>
        <w:tc>
          <w:tcPr>
            <w:tcW w:w="1590" w:type="dxa"/>
            <w:vMerge w:val="continue"/>
            <w:vAlign w:val="center"/>
          </w:tcPr>
          <w:p w14:paraId="5C31A9E2">
            <w:pPr>
              <w:adjustRightInd w:val="0"/>
              <w:snapToGrid w:val="0"/>
              <w:jc w:val="center"/>
              <w:rPr>
                <w:rFonts w:ascii="Times New Roman" w:eastAsia="仿宋"/>
                <w:bCs/>
                <w:szCs w:val="24"/>
              </w:rPr>
            </w:pPr>
          </w:p>
        </w:tc>
        <w:tc>
          <w:tcPr>
            <w:tcW w:w="956" w:type="dxa"/>
            <w:vMerge w:val="continue"/>
            <w:vAlign w:val="center"/>
          </w:tcPr>
          <w:p w14:paraId="069CF8B5">
            <w:pPr>
              <w:adjustRightInd w:val="0"/>
              <w:snapToGrid w:val="0"/>
              <w:jc w:val="center"/>
              <w:rPr>
                <w:rFonts w:ascii="Times New Roman" w:eastAsia="仿宋"/>
                <w:szCs w:val="24"/>
              </w:rPr>
            </w:pPr>
          </w:p>
        </w:tc>
        <w:tc>
          <w:tcPr>
            <w:tcW w:w="694" w:type="dxa"/>
            <w:vMerge w:val="continue"/>
            <w:vAlign w:val="center"/>
          </w:tcPr>
          <w:p w14:paraId="704D4FD6">
            <w:pPr>
              <w:adjustRightInd w:val="0"/>
              <w:snapToGrid w:val="0"/>
              <w:jc w:val="center"/>
              <w:rPr>
                <w:rFonts w:ascii="Times New Roman" w:eastAsia="仿宋"/>
                <w:szCs w:val="24"/>
              </w:rPr>
            </w:pPr>
          </w:p>
        </w:tc>
        <w:tc>
          <w:tcPr>
            <w:tcW w:w="1226" w:type="dxa"/>
            <w:vMerge w:val="continue"/>
            <w:vAlign w:val="center"/>
          </w:tcPr>
          <w:p w14:paraId="36D94AEF">
            <w:pPr>
              <w:adjustRightInd w:val="0"/>
              <w:snapToGrid w:val="0"/>
              <w:jc w:val="center"/>
              <w:rPr>
                <w:rFonts w:ascii="Times New Roman" w:eastAsia="仿宋"/>
                <w:szCs w:val="21"/>
              </w:rPr>
            </w:pPr>
          </w:p>
        </w:tc>
        <w:tc>
          <w:tcPr>
            <w:tcW w:w="879" w:type="dxa"/>
            <w:vMerge w:val="continue"/>
            <w:vAlign w:val="center"/>
          </w:tcPr>
          <w:p w14:paraId="7923737C">
            <w:pPr>
              <w:adjustRightInd w:val="0"/>
              <w:snapToGrid w:val="0"/>
              <w:jc w:val="center"/>
              <w:rPr>
                <w:rFonts w:ascii="Times New Roman" w:eastAsia="仿宋"/>
                <w:szCs w:val="21"/>
              </w:rPr>
            </w:pPr>
          </w:p>
        </w:tc>
      </w:tr>
      <w:tr w14:paraId="0F0A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962" w:type="dxa"/>
            <w:vMerge w:val="continue"/>
            <w:vAlign w:val="center"/>
          </w:tcPr>
          <w:p w14:paraId="06122C7A">
            <w:pPr>
              <w:adjustRightInd w:val="0"/>
              <w:snapToGrid w:val="0"/>
              <w:jc w:val="center"/>
              <w:rPr>
                <w:rFonts w:ascii="Times New Roman" w:eastAsia="仿宋"/>
                <w:szCs w:val="24"/>
              </w:rPr>
            </w:pPr>
          </w:p>
        </w:tc>
        <w:tc>
          <w:tcPr>
            <w:tcW w:w="1580" w:type="dxa"/>
            <w:vMerge w:val="continue"/>
            <w:vAlign w:val="center"/>
          </w:tcPr>
          <w:p w14:paraId="6D7BB81A">
            <w:pPr>
              <w:adjustRightInd w:val="0"/>
              <w:snapToGrid w:val="0"/>
              <w:jc w:val="center"/>
              <w:rPr>
                <w:rFonts w:ascii="Times New Roman" w:eastAsia="仿宋"/>
                <w:szCs w:val="24"/>
              </w:rPr>
            </w:pPr>
          </w:p>
        </w:tc>
        <w:tc>
          <w:tcPr>
            <w:tcW w:w="827" w:type="dxa"/>
            <w:vMerge w:val="continue"/>
            <w:vAlign w:val="center"/>
          </w:tcPr>
          <w:p w14:paraId="4934223E">
            <w:pPr>
              <w:adjustRightInd w:val="0"/>
              <w:snapToGrid w:val="0"/>
              <w:jc w:val="center"/>
              <w:rPr>
                <w:rFonts w:ascii="Times New Roman" w:eastAsia="仿宋"/>
                <w:szCs w:val="24"/>
              </w:rPr>
            </w:pPr>
          </w:p>
        </w:tc>
        <w:tc>
          <w:tcPr>
            <w:tcW w:w="1435" w:type="dxa"/>
            <w:vAlign w:val="center"/>
          </w:tcPr>
          <w:p w14:paraId="14C1AF0A">
            <w:pPr>
              <w:jc w:val="center"/>
              <w:rPr>
                <w:rFonts w:ascii="Times New Roman" w:eastAsia="仿宋"/>
                <w:szCs w:val="21"/>
              </w:rPr>
            </w:pPr>
            <w:r>
              <w:rPr>
                <w:rFonts w:hint="eastAsia" w:ascii="Times New Roman" w:eastAsia="仿宋"/>
                <w:szCs w:val="21"/>
              </w:rPr>
              <w:t>苯系物</w:t>
            </w:r>
          </w:p>
        </w:tc>
        <w:tc>
          <w:tcPr>
            <w:tcW w:w="1018" w:type="dxa"/>
            <w:vAlign w:val="center"/>
          </w:tcPr>
          <w:p w14:paraId="261A64AD">
            <w:pPr>
              <w:widowControl/>
              <w:jc w:val="center"/>
              <w:textAlignment w:val="center"/>
              <w:rPr>
                <w:rFonts w:ascii="Times New Roman" w:eastAsia="仿宋"/>
                <w:szCs w:val="24"/>
              </w:rPr>
            </w:pPr>
            <w:r>
              <w:rPr>
                <w:rFonts w:hint="eastAsia" w:ascii="Times New Roman" w:eastAsia="仿宋"/>
                <w:szCs w:val="24"/>
              </w:rPr>
              <w:t>2.5</w:t>
            </w:r>
          </w:p>
        </w:tc>
        <w:tc>
          <w:tcPr>
            <w:tcW w:w="1030" w:type="dxa"/>
            <w:vAlign w:val="center"/>
          </w:tcPr>
          <w:p w14:paraId="2E6FBE86">
            <w:pPr>
              <w:widowControl/>
              <w:jc w:val="center"/>
              <w:textAlignment w:val="center"/>
              <w:rPr>
                <w:rFonts w:ascii="Times New Roman" w:eastAsia="仿宋"/>
                <w:szCs w:val="24"/>
              </w:rPr>
            </w:pPr>
            <w:r>
              <w:rPr>
                <w:rFonts w:hint="eastAsia" w:ascii="Times New Roman" w:eastAsia="仿宋"/>
                <w:szCs w:val="24"/>
              </w:rPr>
              <w:t>0.07</w:t>
            </w:r>
          </w:p>
        </w:tc>
        <w:tc>
          <w:tcPr>
            <w:tcW w:w="1098" w:type="dxa"/>
            <w:vAlign w:val="center"/>
          </w:tcPr>
          <w:p w14:paraId="662E8B07">
            <w:pPr>
              <w:widowControl/>
              <w:jc w:val="center"/>
              <w:textAlignment w:val="center"/>
              <w:rPr>
                <w:rFonts w:ascii="Times New Roman" w:eastAsia="仿宋"/>
                <w:szCs w:val="24"/>
              </w:rPr>
            </w:pPr>
            <w:r>
              <w:rPr>
                <w:rFonts w:hint="eastAsia" w:ascii="Times New Roman" w:eastAsia="仿宋"/>
                <w:szCs w:val="24"/>
              </w:rPr>
              <w:t>0.327</w:t>
            </w:r>
          </w:p>
        </w:tc>
        <w:tc>
          <w:tcPr>
            <w:tcW w:w="1590" w:type="dxa"/>
            <w:vMerge w:val="continue"/>
            <w:vAlign w:val="center"/>
          </w:tcPr>
          <w:p w14:paraId="4D81DFB1">
            <w:pPr>
              <w:adjustRightInd w:val="0"/>
              <w:snapToGrid w:val="0"/>
              <w:jc w:val="center"/>
              <w:rPr>
                <w:rFonts w:ascii="Times New Roman" w:eastAsia="仿宋"/>
                <w:bCs/>
                <w:szCs w:val="24"/>
              </w:rPr>
            </w:pPr>
          </w:p>
        </w:tc>
        <w:tc>
          <w:tcPr>
            <w:tcW w:w="956" w:type="dxa"/>
            <w:vMerge w:val="continue"/>
            <w:vAlign w:val="center"/>
          </w:tcPr>
          <w:p w14:paraId="525D19B0">
            <w:pPr>
              <w:adjustRightInd w:val="0"/>
              <w:snapToGrid w:val="0"/>
              <w:jc w:val="center"/>
              <w:rPr>
                <w:rFonts w:ascii="Times New Roman" w:eastAsia="仿宋"/>
                <w:szCs w:val="24"/>
              </w:rPr>
            </w:pPr>
          </w:p>
        </w:tc>
        <w:tc>
          <w:tcPr>
            <w:tcW w:w="694" w:type="dxa"/>
            <w:vMerge w:val="continue"/>
            <w:vAlign w:val="center"/>
          </w:tcPr>
          <w:p w14:paraId="7E1C3218">
            <w:pPr>
              <w:adjustRightInd w:val="0"/>
              <w:snapToGrid w:val="0"/>
              <w:jc w:val="center"/>
              <w:rPr>
                <w:rFonts w:ascii="Times New Roman" w:eastAsia="仿宋"/>
                <w:szCs w:val="24"/>
              </w:rPr>
            </w:pPr>
          </w:p>
        </w:tc>
        <w:tc>
          <w:tcPr>
            <w:tcW w:w="1226" w:type="dxa"/>
            <w:vMerge w:val="continue"/>
            <w:vAlign w:val="center"/>
          </w:tcPr>
          <w:p w14:paraId="521597E0">
            <w:pPr>
              <w:adjustRightInd w:val="0"/>
              <w:snapToGrid w:val="0"/>
              <w:jc w:val="center"/>
              <w:rPr>
                <w:rFonts w:ascii="Times New Roman" w:eastAsia="仿宋"/>
                <w:szCs w:val="21"/>
              </w:rPr>
            </w:pPr>
          </w:p>
        </w:tc>
        <w:tc>
          <w:tcPr>
            <w:tcW w:w="879" w:type="dxa"/>
            <w:vMerge w:val="continue"/>
            <w:vAlign w:val="center"/>
          </w:tcPr>
          <w:p w14:paraId="02703EAE">
            <w:pPr>
              <w:adjustRightInd w:val="0"/>
              <w:snapToGrid w:val="0"/>
              <w:jc w:val="center"/>
              <w:rPr>
                <w:rFonts w:ascii="Times New Roman" w:eastAsia="仿宋"/>
                <w:szCs w:val="21"/>
              </w:rPr>
            </w:pPr>
          </w:p>
        </w:tc>
      </w:tr>
      <w:tr w14:paraId="16FF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5249D1C1">
            <w:pPr>
              <w:adjustRightInd w:val="0"/>
              <w:snapToGrid w:val="0"/>
              <w:jc w:val="center"/>
              <w:rPr>
                <w:rFonts w:ascii="Times New Roman" w:eastAsia="仿宋"/>
                <w:szCs w:val="24"/>
              </w:rPr>
            </w:pPr>
          </w:p>
        </w:tc>
        <w:tc>
          <w:tcPr>
            <w:tcW w:w="1580" w:type="dxa"/>
            <w:vMerge w:val="restart"/>
            <w:vAlign w:val="center"/>
          </w:tcPr>
          <w:p w14:paraId="1B9FA652">
            <w:pPr>
              <w:adjustRightInd w:val="0"/>
              <w:snapToGrid w:val="0"/>
              <w:jc w:val="center"/>
              <w:rPr>
                <w:rFonts w:ascii="Times New Roman" w:eastAsia="仿宋"/>
                <w:szCs w:val="24"/>
              </w:rPr>
            </w:pPr>
            <w:r>
              <w:rPr>
                <w:rFonts w:hint="eastAsia" w:ascii="Times New Roman" w:eastAsia="仿宋"/>
                <w:szCs w:val="24"/>
              </w:rPr>
              <w:t>氟碳面漆喷漆废气G1</w:t>
            </w:r>
            <w:r>
              <w:rPr>
                <w:rFonts w:ascii="Times New Roman" w:eastAsia="仿宋"/>
                <w:szCs w:val="24"/>
              </w:rPr>
              <w:t>4</w:t>
            </w:r>
          </w:p>
        </w:tc>
        <w:tc>
          <w:tcPr>
            <w:tcW w:w="827" w:type="dxa"/>
            <w:vMerge w:val="continue"/>
            <w:vAlign w:val="center"/>
          </w:tcPr>
          <w:p w14:paraId="4A1E45DB">
            <w:pPr>
              <w:adjustRightInd w:val="0"/>
              <w:snapToGrid w:val="0"/>
              <w:jc w:val="center"/>
              <w:rPr>
                <w:rFonts w:ascii="Times New Roman" w:eastAsia="仿宋"/>
                <w:szCs w:val="24"/>
              </w:rPr>
            </w:pPr>
          </w:p>
        </w:tc>
        <w:tc>
          <w:tcPr>
            <w:tcW w:w="1435" w:type="dxa"/>
            <w:vAlign w:val="center"/>
          </w:tcPr>
          <w:p w14:paraId="6E08AD7C">
            <w:pPr>
              <w:jc w:val="center"/>
              <w:rPr>
                <w:rFonts w:ascii="Times New Roman" w:eastAsia="仿宋"/>
                <w:szCs w:val="21"/>
              </w:rPr>
            </w:pPr>
            <w:r>
              <w:rPr>
                <w:rFonts w:hint="eastAsia" w:ascii="Times New Roman" w:eastAsia="仿宋"/>
                <w:szCs w:val="21"/>
              </w:rPr>
              <w:t>非甲烷总烃</w:t>
            </w:r>
          </w:p>
        </w:tc>
        <w:tc>
          <w:tcPr>
            <w:tcW w:w="1018" w:type="dxa"/>
            <w:vAlign w:val="center"/>
          </w:tcPr>
          <w:p w14:paraId="1C19A2C2">
            <w:pPr>
              <w:widowControl/>
              <w:jc w:val="center"/>
              <w:textAlignment w:val="center"/>
              <w:rPr>
                <w:rFonts w:ascii="Times New Roman" w:eastAsia="仿宋"/>
                <w:szCs w:val="24"/>
              </w:rPr>
            </w:pPr>
            <w:r>
              <w:rPr>
                <w:rFonts w:hint="eastAsia" w:ascii="Times New Roman" w:eastAsia="仿宋"/>
                <w:szCs w:val="24"/>
              </w:rPr>
              <w:t>83.21</w:t>
            </w:r>
          </w:p>
        </w:tc>
        <w:tc>
          <w:tcPr>
            <w:tcW w:w="1030" w:type="dxa"/>
            <w:vAlign w:val="center"/>
          </w:tcPr>
          <w:p w14:paraId="36A54E9A">
            <w:pPr>
              <w:widowControl/>
              <w:jc w:val="center"/>
              <w:textAlignment w:val="center"/>
              <w:rPr>
                <w:rFonts w:ascii="Times New Roman" w:eastAsia="仿宋"/>
                <w:szCs w:val="24"/>
              </w:rPr>
            </w:pPr>
            <w:r>
              <w:rPr>
                <w:rFonts w:hint="eastAsia" w:ascii="Times New Roman" w:eastAsia="仿宋"/>
                <w:szCs w:val="24"/>
              </w:rPr>
              <w:t>2.33</w:t>
            </w:r>
          </w:p>
        </w:tc>
        <w:tc>
          <w:tcPr>
            <w:tcW w:w="1098" w:type="dxa"/>
            <w:vAlign w:val="center"/>
          </w:tcPr>
          <w:p w14:paraId="510CFBBD">
            <w:pPr>
              <w:jc w:val="center"/>
              <w:rPr>
                <w:rFonts w:ascii="Times New Roman" w:eastAsia="仿宋"/>
                <w:szCs w:val="24"/>
              </w:rPr>
            </w:pPr>
            <w:r>
              <w:rPr>
                <w:rFonts w:hint="eastAsia" w:ascii="Times New Roman" w:eastAsia="仿宋"/>
                <w:szCs w:val="24"/>
              </w:rPr>
              <w:t>11.17</w:t>
            </w:r>
          </w:p>
        </w:tc>
        <w:tc>
          <w:tcPr>
            <w:tcW w:w="1590" w:type="dxa"/>
            <w:vMerge w:val="continue"/>
            <w:vAlign w:val="center"/>
          </w:tcPr>
          <w:p w14:paraId="34C43846">
            <w:pPr>
              <w:adjustRightInd w:val="0"/>
              <w:snapToGrid w:val="0"/>
              <w:jc w:val="center"/>
              <w:rPr>
                <w:rFonts w:ascii="Times New Roman" w:eastAsia="仿宋"/>
                <w:szCs w:val="24"/>
              </w:rPr>
            </w:pPr>
          </w:p>
        </w:tc>
        <w:tc>
          <w:tcPr>
            <w:tcW w:w="956" w:type="dxa"/>
            <w:vMerge w:val="continue"/>
            <w:vAlign w:val="center"/>
          </w:tcPr>
          <w:p w14:paraId="5421123F">
            <w:pPr>
              <w:adjustRightInd w:val="0"/>
              <w:snapToGrid w:val="0"/>
              <w:jc w:val="center"/>
              <w:rPr>
                <w:rFonts w:ascii="Times New Roman" w:eastAsia="仿宋"/>
                <w:szCs w:val="24"/>
              </w:rPr>
            </w:pPr>
          </w:p>
        </w:tc>
        <w:tc>
          <w:tcPr>
            <w:tcW w:w="694" w:type="dxa"/>
            <w:vMerge w:val="continue"/>
            <w:vAlign w:val="center"/>
          </w:tcPr>
          <w:p w14:paraId="72BE6119">
            <w:pPr>
              <w:adjustRightInd w:val="0"/>
              <w:snapToGrid w:val="0"/>
              <w:jc w:val="center"/>
              <w:rPr>
                <w:rFonts w:ascii="Times New Roman" w:eastAsia="仿宋"/>
                <w:szCs w:val="24"/>
              </w:rPr>
            </w:pPr>
          </w:p>
        </w:tc>
        <w:tc>
          <w:tcPr>
            <w:tcW w:w="1226" w:type="dxa"/>
            <w:vMerge w:val="continue"/>
            <w:vAlign w:val="center"/>
          </w:tcPr>
          <w:p w14:paraId="03EC5F18">
            <w:pPr>
              <w:adjustRightInd w:val="0"/>
              <w:snapToGrid w:val="0"/>
              <w:jc w:val="center"/>
              <w:rPr>
                <w:rFonts w:ascii="Times New Roman" w:eastAsia="仿宋"/>
                <w:szCs w:val="21"/>
              </w:rPr>
            </w:pPr>
          </w:p>
        </w:tc>
        <w:tc>
          <w:tcPr>
            <w:tcW w:w="879" w:type="dxa"/>
            <w:vMerge w:val="continue"/>
            <w:vAlign w:val="center"/>
          </w:tcPr>
          <w:p w14:paraId="7595E027">
            <w:pPr>
              <w:adjustRightInd w:val="0"/>
              <w:snapToGrid w:val="0"/>
              <w:jc w:val="center"/>
              <w:rPr>
                <w:rFonts w:ascii="Times New Roman" w:eastAsia="仿宋"/>
                <w:szCs w:val="21"/>
              </w:rPr>
            </w:pPr>
          </w:p>
        </w:tc>
      </w:tr>
      <w:tr w14:paraId="776E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3E1AE9E6">
            <w:pPr>
              <w:adjustRightInd w:val="0"/>
              <w:snapToGrid w:val="0"/>
              <w:jc w:val="center"/>
              <w:rPr>
                <w:rFonts w:ascii="Times New Roman" w:eastAsia="仿宋"/>
                <w:szCs w:val="24"/>
              </w:rPr>
            </w:pPr>
          </w:p>
        </w:tc>
        <w:tc>
          <w:tcPr>
            <w:tcW w:w="1580" w:type="dxa"/>
            <w:vMerge w:val="continue"/>
            <w:vAlign w:val="center"/>
          </w:tcPr>
          <w:p w14:paraId="74F38DCB">
            <w:pPr>
              <w:adjustRightInd w:val="0"/>
              <w:snapToGrid w:val="0"/>
              <w:jc w:val="center"/>
              <w:rPr>
                <w:rFonts w:ascii="Times New Roman" w:eastAsia="仿宋"/>
                <w:szCs w:val="24"/>
              </w:rPr>
            </w:pPr>
          </w:p>
        </w:tc>
        <w:tc>
          <w:tcPr>
            <w:tcW w:w="827" w:type="dxa"/>
            <w:vMerge w:val="continue"/>
            <w:vAlign w:val="center"/>
          </w:tcPr>
          <w:p w14:paraId="16EBE792">
            <w:pPr>
              <w:adjustRightInd w:val="0"/>
              <w:snapToGrid w:val="0"/>
              <w:jc w:val="center"/>
              <w:rPr>
                <w:rFonts w:ascii="Times New Roman" w:eastAsia="仿宋"/>
                <w:szCs w:val="24"/>
              </w:rPr>
            </w:pPr>
          </w:p>
        </w:tc>
        <w:tc>
          <w:tcPr>
            <w:tcW w:w="1435" w:type="dxa"/>
            <w:vAlign w:val="center"/>
          </w:tcPr>
          <w:p w14:paraId="317B319F">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3BEECB6E">
            <w:pPr>
              <w:widowControl/>
              <w:jc w:val="center"/>
              <w:textAlignment w:val="center"/>
              <w:rPr>
                <w:rFonts w:ascii="Times New Roman" w:eastAsia="仿宋"/>
                <w:szCs w:val="24"/>
              </w:rPr>
            </w:pPr>
            <w:r>
              <w:rPr>
                <w:rFonts w:hint="eastAsia" w:ascii="Times New Roman" w:eastAsia="仿宋"/>
                <w:szCs w:val="24"/>
              </w:rPr>
              <w:t>83.21</w:t>
            </w:r>
          </w:p>
        </w:tc>
        <w:tc>
          <w:tcPr>
            <w:tcW w:w="1030" w:type="dxa"/>
            <w:vAlign w:val="center"/>
          </w:tcPr>
          <w:p w14:paraId="54AF7326">
            <w:pPr>
              <w:widowControl/>
              <w:jc w:val="center"/>
              <w:textAlignment w:val="center"/>
              <w:rPr>
                <w:rFonts w:ascii="Times New Roman" w:eastAsia="仿宋"/>
                <w:szCs w:val="24"/>
              </w:rPr>
            </w:pPr>
            <w:r>
              <w:rPr>
                <w:rFonts w:hint="eastAsia" w:ascii="Times New Roman" w:eastAsia="仿宋"/>
                <w:szCs w:val="24"/>
              </w:rPr>
              <w:t>2.33</w:t>
            </w:r>
          </w:p>
        </w:tc>
        <w:tc>
          <w:tcPr>
            <w:tcW w:w="1098" w:type="dxa"/>
            <w:vAlign w:val="center"/>
          </w:tcPr>
          <w:p w14:paraId="766C7206">
            <w:pPr>
              <w:jc w:val="center"/>
              <w:rPr>
                <w:rFonts w:ascii="Times New Roman" w:eastAsia="仿宋"/>
                <w:szCs w:val="24"/>
              </w:rPr>
            </w:pPr>
            <w:r>
              <w:rPr>
                <w:rFonts w:hint="eastAsia" w:ascii="Times New Roman" w:eastAsia="仿宋"/>
                <w:szCs w:val="24"/>
              </w:rPr>
              <w:t>11.17</w:t>
            </w:r>
          </w:p>
        </w:tc>
        <w:tc>
          <w:tcPr>
            <w:tcW w:w="1590" w:type="dxa"/>
            <w:vMerge w:val="continue"/>
            <w:vAlign w:val="center"/>
          </w:tcPr>
          <w:p w14:paraId="5CC094F5">
            <w:pPr>
              <w:adjustRightInd w:val="0"/>
              <w:snapToGrid w:val="0"/>
              <w:jc w:val="center"/>
              <w:rPr>
                <w:rFonts w:ascii="Times New Roman" w:eastAsia="仿宋"/>
                <w:szCs w:val="24"/>
              </w:rPr>
            </w:pPr>
          </w:p>
        </w:tc>
        <w:tc>
          <w:tcPr>
            <w:tcW w:w="956" w:type="dxa"/>
            <w:vMerge w:val="continue"/>
            <w:vAlign w:val="center"/>
          </w:tcPr>
          <w:p w14:paraId="67939C37">
            <w:pPr>
              <w:adjustRightInd w:val="0"/>
              <w:snapToGrid w:val="0"/>
              <w:jc w:val="center"/>
              <w:rPr>
                <w:rFonts w:ascii="Times New Roman" w:eastAsia="仿宋"/>
                <w:szCs w:val="24"/>
              </w:rPr>
            </w:pPr>
          </w:p>
        </w:tc>
        <w:tc>
          <w:tcPr>
            <w:tcW w:w="694" w:type="dxa"/>
            <w:vMerge w:val="continue"/>
            <w:vAlign w:val="center"/>
          </w:tcPr>
          <w:p w14:paraId="6FAA2316">
            <w:pPr>
              <w:adjustRightInd w:val="0"/>
              <w:snapToGrid w:val="0"/>
              <w:jc w:val="center"/>
              <w:rPr>
                <w:rFonts w:ascii="Times New Roman" w:eastAsia="仿宋"/>
                <w:szCs w:val="24"/>
              </w:rPr>
            </w:pPr>
          </w:p>
        </w:tc>
        <w:tc>
          <w:tcPr>
            <w:tcW w:w="1226" w:type="dxa"/>
            <w:vMerge w:val="continue"/>
            <w:vAlign w:val="center"/>
          </w:tcPr>
          <w:p w14:paraId="424C5662">
            <w:pPr>
              <w:adjustRightInd w:val="0"/>
              <w:snapToGrid w:val="0"/>
              <w:jc w:val="center"/>
              <w:rPr>
                <w:rFonts w:ascii="Times New Roman" w:eastAsia="仿宋"/>
                <w:szCs w:val="21"/>
              </w:rPr>
            </w:pPr>
          </w:p>
        </w:tc>
        <w:tc>
          <w:tcPr>
            <w:tcW w:w="879" w:type="dxa"/>
            <w:vMerge w:val="continue"/>
            <w:vAlign w:val="center"/>
          </w:tcPr>
          <w:p w14:paraId="7D4E1922">
            <w:pPr>
              <w:adjustRightInd w:val="0"/>
              <w:snapToGrid w:val="0"/>
              <w:jc w:val="center"/>
              <w:rPr>
                <w:rFonts w:ascii="Times New Roman" w:eastAsia="仿宋"/>
                <w:szCs w:val="21"/>
              </w:rPr>
            </w:pPr>
          </w:p>
        </w:tc>
      </w:tr>
      <w:tr w14:paraId="749A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34ADF51F">
            <w:pPr>
              <w:adjustRightInd w:val="0"/>
              <w:snapToGrid w:val="0"/>
              <w:jc w:val="center"/>
              <w:rPr>
                <w:rFonts w:ascii="Times New Roman" w:eastAsia="仿宋"/>
                <w:szCs w:val="24"/>
              </w:rPr>
            </w:pPr>
          </w:p>
        </w:tc>
        <w:tc>
          <w:tcPr>
            <w:tcW w:w="1580" w:type="dxa"/>
            <w:vMerge w:val="continue"/>
            <w:vAlign w:val="center"/>
          </w:tcPr>
          <w:p w14:paraId="587BDDA0">
            <w:pPr>
              <w:adjustRightInd w:val="0"/>
              <w:snapToGrid w:val="0"/>
              <w:jc w:val="center"/>
              <w:rPr>
                <w:rFonts w:ascii="Times New Roman" w:eastAsia="仿宋"/>
                <w:szCs w:val="24"/>
              </w:rPr>
            </w:pPr>
          </w:p>
        </w:tc>
        <w:tc>
          <w:tcPr>
            <w:tcW w:w="827" w:type="dxa"/>
            <w:vMerge w:val="continue"/>
            <w:vAlign w:val="center"/>
          </w:tcPr>
          <w:p w14:paraId="7709E015">
            <w:pPr>
              <w:adjustRightInd w:val="0"/>
              <w:snapToGrid w:val="0"/>
              <w:jc w:val="center"/>
              <w:rPr>
                <w:rFonts w:ascii="Times New Roman" w:eastAsia="仿宋"/>
                <w:szCs w:val="24"/>
              </w:rPr>
            </w:pPr>
          </w:p>
        </w:tc>
        <w:tc>
          <w:tcPr>
            <w:tcW w:w="1435" w:type="dxa"/>
            <w:vAlign w:val="center"/>
          </w:tcPr>
          <w:p w14:paraId="08456B46">
            <w:pPr>
              <w:jc w:val="center"/>
              <w:rPr>
                <w:rFonts w:ascii="Times New Roman" w:eastAsia="仿宋"/>
                <w:szCs w:val="21"/>
              </w:rPr>
            </w:pPr>
            <w:r>
              <w:rPr>
                <w:rFonts w:hint="eastAsia" w:ascii="Times New Roman" w:eastAsia="仿宋"/>
                <w:szCs w:val="21"/>
              </w:rPr>
              <w:t>二甲苯</w:t>
            </w:r>
          </w:p>
        </w:tc>
        <w:tc>
          <w:tcPr>
            <w:tcW w:w="1018" w:type="dxa"/>
            <w:vAlign w:val="center"/>
          </w:tcPr>
          <w:p w14:paraId="20E4AB7A">
            <w:pPr>
              <w:widowControl/>
              <w:jc w:val="center"/>
              <w:textAlignment w:val="center"/>
              <w:rPr>
                <w:rFonts w:ascii="Times New Roman" w:eastAsia="仿宋"/>
                <w:szCs w:val="24"/>
              </w:rPr>
            </w:pPr>
            <w:r>
              <w:rPr>
                <w:rFonts w:hint="eastAsia" w:ascii="Times New Roman" w:eastAsia="仿宋"/>
                <w:szCs w:val="24"/>
              </w:rPr>
              <w:t>19.29</w:t>
            </w:r>
          </w:p>
        </w:tc>
        <w:tc>
          <w:tcPr>
            <w:tcW w:w="1030" w:type="dxa"/>
            <w:vAlign w:val="center"/>
          </w:tcPr>
          <w:p w14:paraId="068EE3E9">
            <w:pPr>
              <w:widowControl/>
              <w:jc w:val="center"/>
              <w:textAlignment w:val="center"/>
              <w:rPr>
                <w:rFonts w:ascii="Times New Roman" w:eastAsia="仿宋"/>
                <w:szCs w:val="24"/>
              </w:rPr>
            </w:pPr>
            <w:r>
              <w:rPr>
                <w:rFonts w:hint="eastAsia" w:ascii="Times New Roman" w:eastAsia="仿宋"/>
                <w:szCs w:val="24"/>
              </w:rPr>
              <w:t>0.54</w:t>
            </w:r>
          </w:p>
        </w:tc>
        <w:tc>
          <w:tcPr>
            <w:tcW w:w="1098" w:type="dxa"/>
            <w:vAlign w:val="center"/>
          </w:tcPr>
          <w:p w14:paraId="3CBA9B29">
            <w:pPr>
              <w:jc w:val="center"/>
              <w:rPr>
                <w:rFonts w:ascii="Times New Roman" w:eastAsia="仿宋"/>
                <w:szCs w:val="24"/>
              </w:rPr>
            </w:pPr>
            <w:r>
              <w:rPr>
                <w:rFonts w:hint="eastAsia" w:ascii="Times New Roman" w:eastAsia="仿宋"/>
                <w:szCs w:val="24"/>
              </w:rPr>
              <w:t>2.6</w:t>
            </w:r>
          </w:p>
        </w:tc>
        <w:tc>
          <w:tcPr>
            <w:tcW w:w="1590" w:type="dxa"/>
            <w:vMerge w:val="continue"/>
            <w:vAlign w:val="center"/>
          </w:tcPr>
          <w:p w14:paraId="6F8B3DB7">
            <w:pPr>
              <w:adjustRightInd w:val="0"/>
              <w:snapToGrid w:val="0"/>
              <w:jc w:val="center"/>
              <w:rPr>
                <w:rFonts w:ascii="Times New Roman" w:eastAsia="仿宋"/>
                <w:szCs w:val="24"/>
              </w:rPr>
            </w:pPr>
          </w:p>
        </w:tc>
        <w:tc>
          <w:tcPr>
            <w:tcW w:w="956" w:type="dxa"/>
            <w:vMerge w:val="continue"/>
            <w:vAlign w:val="center"/>
          </w:tcPr>
          <w:p w14:paraId="29BF1633">
            <w:pPr>
              <w:adjustRightInd w:val="0"/>
              <w:snapToGrid w:val="0"/>
              <w:jc w:val="center"/>
              <w:rPr>
                <w:rFonts w:ascii="Times New Roman" w:eastAsia="仿宋"/>
                <w:szCs w:val="24"/>
              </w:rPr>
            </w:pPr>
          </w:p>
        </w:tc>
        <w:tc>
          <w:tcPr>
            <w:tcW w:w="694" w:type="dxa"/>
            <w:vMerge w:val="continue"/>
            <w:vAlign w:val="center"/>
          </w:tcPr>
          <w:p w14:paraId="5B981CB4">
            <w:pPr>
              <w:adjustRightInd w:val="0"/>
              <w:snapToGrid w:val="0"/>
              <w:jc w:val="center"/>
              <w:rPr>
                <w:rFonts w:ascii="Times New Roman" w:eastAsia="仿宋"/>
                <w:szCs w:val="24"/>
              </w:rPr>
            </w:pPr>
          </w:p>
        </w:tc>
        <w:tc>
          <w:tcPr>
            <w:tcW w:w="1226" w:type="dxa"/>
            <w:vMerge w:val="continue"/>
            <w:vAlign w:val="center"/>
          </w:tcPr>
          <w:p w14:paraId="76DA2FF5">
            <w:pPr>
              <w:adjustRightInd w:val="0"/>
              <w:snapToGrid w:val="0"/>
              <w:jc w:val="center"/>
              <w:rPr>
                <w:rFonts w:ascii="Times New Roman" w:eastAsia="仿宋"/>
                <w:szCs w:val="21"/>
              </w:rPr>
            </w:pPr>
          </w:p>
        </w:tc>
        <w:tc>
          <w:tcPr>
            <w:tcW w:w="879" w:type="dxa"/>
            <w:vMerge w:val="continue"/>
            <w:vAlign w:val="center"/>
          </w:tcPr>
          <w:p w14:paraId="7FF256B1">
            <w:pPr>
              <w:adjustRightInd w:val="0"/>
              <w:snapToGrid w:val="0"/>
              <w:jc w:val="center"/>
              <w:rPr>
                <w:rFonts w:ascii="Times New Roman" w:eastAsia="仿宋"/>
                <w:szCs w:val="21"/>
              </w:rPr>
            </w:pPr>
          </w:p>
        </w:tc>
      </w:tr>
      <w:tr w14:paraId="39DB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6D8D5B8D">
            <w:pPr>
              <w:adjustRightInd w:val="0"/>
              <w:snapToGrid w:val="0"/>
              <w:jc w:val="center"/>
              <w:rPr>
                <w:rFonts w:ascii="Times New Roman" w:eastAsia="仿宋"/>
                <w:szCs w:val="24"/>
              </w:rPr>
            </w:pPr>
          </w:p>
        </w:tc>
        <w:tc>
          <w:tcPr>
            <w:tcW w:w="1580" w:type="dxa"/>
            <w:vMerge w:val="continue"/>
            <w:vAlign w:val="center"/>
          </w:tcPr>
          <w:p w14:paraId="7195BAD5">
            <w:pPr>
              <w:adjustRightInd w:val="0"/>
              <w:snapToGrid w:val="0"/>
              <w:jc w:val="center"/>
              <w:rPr>
                <w:rFonts w:ascii="Times New Roman" w:eastAsia="仿宋"/>
                <w:szCs w:val="24"/>
              </w:rPr>
            </w:pPr>
          </w:p>
        </w:tc>
        <w:tc>
          <w:tcPr>
            <w:tcW w:w="827" w:type="dxa"/>
            <w:vMerge w:val="continue"/>
            <w:vAlign w:val="center"/>
          </w:tcPr>
          <w:p w14:paraId="4ED300F4">
            <w:pPr>
              <w:adjustRightInd w:val="0"/>
              <w:snapToGrid w:val="0"/>
              <w:jc w:val="center"/>
              <w:rPr>
                <w:rFonts w:ascii="Times New Roman" w:eastAsia="仿宋"/>
                <w:szCs w:val="24"/>
              </w:rPr>
            </w:pPr>
          </w:p>
        </w:tc>
        <w:tc>
          <w:tcPr>
            <w:tcW w:w="1435" w:type="dxa"/>
            <w:vAlign w:val="center"/>
          </w:tcPr>
          <w:p w14:paraId="422DAAF4">
            <w:pPr>
              <w:jc w:val="center"/>
              <w:rPr>
                <w:rFonts w:ascii="Times New Roman" w:eastAsia="仿宋"/>
                <w:szCs w:val="21"/>
              </w:rPr>
            </w:pPr>
            <w:r>
              <w:rPr>
                <w:rFonts w:hint="eastAsia" w:ascii="Times New Roman" w:eastAsia="仿宋"/>
                <w:szCs w:val="21"/>
              </w:rPr>
              <w:t>苯系物</w:t>
            </w:r>
          </w:p>
        </w:tc>
        <w:tc>
          <w:tcPr>
            <w:tcW w:w="1018" w:type="dxa"/>
            <w:vAlign w:val="center"/>
          </w:tcPr>
          <w:p w14:paraId="1DD18349">
            <w:pPr>
              <w:widowControl/>
              <w:jc w:val="center"/>
              <w:textAlignment w:val="center"/>
              <w:rPr>
                <w:rFonts w:ascii="Times New Roman" w:eastAsia="仿宋"/>
                <w:szCs w:val="24"/>
              </w:rPr>
            </w:pPr>
            <w:r>
              <w:rPr>
                <w:rFonts w:hint="eastAsia" w:ascii="Times New Roman" w:eastAsia="仿宋"/>
                <w:szCs w:val="24"/>
              </w:rPr>
              <w:t>19.29</w:t>
            </w:r>
          </w:p>
        </w:tc>
        <w:tc>
          <w:tcPr>
            <w:tcW w:w="1030" w:type="dxa"/>
            <w:vAlign w:val="center"/>
          </w:tcPr>
          <w:p w14:paraId="2DAF3DC2">
            <w:pPr>
              <w:widowControl/>
              <w:jc w:val="center"/>
              <w:textAlignment w:val="center"/>
              <w:rPr>
                <w:rFonts w:ascii="Times New Roman" w:eastAsia="仿宋"/>
                <w:szCs w:val="24"/>
              </w:rPr>
            </w:pPr>
            <w:r>
              <w:rPr>
                <w:rFonts w:hint="eastAsia" w:ascii="Times New Roman" w:eastAsia="仿宋"/>
                <w:szCs w:val="24"/>
              </w:rPr>
              <w:t>0.54</w:t>
            </w:r>
          </w:p>
        </w:tc>
        <w:tc>
          <w:tcPr>
            <w:tcW w:w="1098" w:type="dxa"/>
            <w:vAlign w:val="center"/>
          </w:tcPr>
          <w:p w14:paraId="142C429B">
            <w:pPr>
              <w:jc w:val="center"/>
              <w:rPr>
                <w:rFonts w:ascii="Times New Roman" w:eastAsia="仿宋"/>
                <w:szCs w:val="24"/>
              </w:rPr>
            </w:pPr>
            <w:r>
              <w:rPr>
                <w:rFonts w:hint="eastAsia" w:ascii="Times New Roman" w:eastAsia="仿宋"/>
                <w:szCs w:val="24"/>
              </w:rPr>
              <w:t>2.6</w:t>
            </w:r>
          </w:p>
        </w:tc>
        <w:tc>
          <w:tcPr>
            <w:tcW w:w="1590" w:type="dxa"/>
            <w:vMerge w:val="continue"/>
            <w:vAlign w:val="center"/>
          </w:tcPr>
          <w:p w14:paraId="03C6E31F">
            <w:pPr>
              <w:adjustRightInd w:val="0"/>
              <w:snapToGrid w:val="0"/>
              <w:jc w:val="center"/>
              <w:rPr>
                <w:rFonts w:ascii="Times New Roman" w:eastAsia="仿宋"/>
                <w:szCs w:val="24"/>
              </w:rPr>
            </w:pPr>
          </w:p>
        </w:tc>
        <w:tc>
          <w:tcPr>
            <w:tcW w:w="956" w:type="dxa"/>
            <w:vMerge w:val="continue"/>
            <w:vAlign w:val="center"/>
          </w:tcPr>
          <w:p w14:paraId="048DFC67">
            <w:pPr>
              <w:adjustRightInd w:val="0"/>
              <w:snapToGrid w:val="0"/>
              <w:jc w:val="center"/>
              <w:rPr>
                <w:rFonts w:ascii="Times New Roman" w:eastAsia="仿宋"/>
                <w:szCs w:val="24"/>
              </w:rPr>
            </w:pPr>
          </w:p>
        </w:tc>
        <w:tc>
          <w:tcPr>
            <w:tcW w:w="694" w:type="dxa"/>
            <w:vMerge w:val="continue"/>
            <w:vAlign w:val="center"/>
          </w:tcPr>
          <w:p w14:paraId="5FBA0464">
            <w:pPr>
              <w:adjustRightInd w:val="0"/>
              <w:snapToGrid w:val="0"/>
              <w:jc w:val="center"/>
              <w:rPr>
                <w:rFonts w:ascii="Times New Roman" w:eastAsia="仿宋"/>
                <w:szCs w:val="24"/>
              </w:rPr>
            </w:pPr>
          </w:p>
        </w:tc>
        <w:tc>
          <w:tcPr>
            <w:tcW w:w="1226" w:type="dxa"/>
            <w:vMerge w:val="continue"/>
            <w:vAlign w:val="center"/>
          </w:tcPr>
          <w:p w14:paraId="1339AF84">
            <w:pPr>
              <w:adjustRightInd w:val="0"/>
              <w:snapToGrid w:val="0"/>
              <w:jc w:val="center"/>
              <w:rPr>
                <w:rFonts w:ascii="Times New Roman" w:eastAsia="仿宋"/>
                <w:szCs w:val="21"/>
              </w:rPr>
            </w:pPr>
          </w:p>
        </w:tc>
        <w:tc>
          <w:tcPr>
            <w:tcW w:w="879" w:type="dxa"/>
            <w:vMerge w:val="continue"/>
            <w:vAlign w:val="center"/>
          </w:tcPr>
          <w:p w14:paraId="6F771AF7">
            <w:pPr>
              <w:adjustRightInd w:val="0"/>
              <w:snapToGrid w:val="0"/>
              <w:jc w:val="center"/>
              <w:rPr>
                <w:rFonts w:ascii="Times New Roman" w:eastAsia="仿宋"/>
                <w:szCs w:val="21"/>
              </w:rPr>
            </w:pPr>
          </w:p>
        </w:tc>
      </w:tr>
      <w:tr w14:paraId="7633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962" w:type="dxa"/>
            <w:vMerge w:val="continue"/>
            <w:vAlign w:val="center"/>
          </w:tcPr>
          <w:p w14:paraId="1EE9AE37">
            <w:pPr>
              <w:adjustRightInd w:val="0"/>
              <w:snapToGrid w:val="0"/>
              <w:jc w:val="center"/>
              <w:rPr>
                <w:rFonts w:ascii="Times New Roman" w:eastAsia="仿宋"/>
                <w:szCs w:val="24"/>
              </w:rPr>
            </w:pPr>
          </w:p>
        </w:tc>
        <w:tc>
          <w:tcPr>
            <w:tcW w:w="1580" w:type="dxa"/>
            <w:vMerge w:val="continue"/>
            <w:vAlign w:val="center"/>
          </w:tcPr>
          <w:p w14:paraId="7078038B">
            <w:pPr>
              <w:adjustRightInd w:val="0"/>
              <w:snapToGrid w:val="0"/>
              <w:jc w:val="center"/>
              <w:rPr>
                <w:rFonts w:ascii="Times New Roman" w:eastAsia="仿宋"/>
                <w:szCs w:val="24"/>
              </w:rPr>
            </w:pPr>
          </w:p>
        </w:tc>
        <w:tc>
          <w:tcPr>
            <w:tcW w:w="827" w:type="dxa"/>
            <w:vMerge w:val="continue"/>
            <w:vAlign w:val="center"/>
          </w:tcPr>
          <w:p w14:paraId="264FD5E4">
            <w:pPr>
              <w:adjustRightInd w:val="0"/>
              <w:snapToGrid w:val="0"/>
              <w:jc w:val="center"/>
              <w:rPr>
                <w:rFonts w:ascii="Times New Roman" w:eastAsia="仿宋"/>
                <w:szCs w:val="24"/>
              </w:rPr>
            </w:pPr>
          </w:p>
        </w:tc>
        <w:tc>
          <w:tcPr>
            <w:tcW w:w="1435" w:type="dxa"/>
            <w:vAlign w:val="center"/>
          </w:tcPr>
          <w:p w14:paraId="0E63D33C">
            <w:pPr>
              <w:adjustRightInd w:val="0"/>
              <w:snapToGrid w:val="0"/>
              <w:jc w:val="center"/>
              <w:rPr>
                <w:rFonts w:ascii="Times New Roman" w:eastAsia="仿宋"/>
                <w:szCs w:val="24"/>
              </w:rPr>
            </w:pPr>
            <w:r>
              <w:rPr>
                <w:rFonts w:hint="eastAsia" w:ascii="Times New Roman" w:eastAsia="仿宋"/>
                <w:szCs w:val="21"/>
              </w:rPr>
              <w:t>颗粒物</w:t>
            </w:r>
          </w:p>
        </w:tc>
        <w:tc>
          <w:tcPr>
            <w:tcW w:w="1018" w:type="dxa"/>
            <w:vAlign w:val="center"/>
          </w:tcPr>
          <w:p w14:paraId="0481DE08">
            <w:pPr>
              <w:widowControl/>
              <w:jc w:val="center"/>
              <w:textAlignment w:val="center"/>
              <w:rPr>
                <w:rFonts w:ascii="Times New Roman" w:eastAsia="仿宋"/>
                <w:szCs w:val="24"/>
              </w:rPr>
            </w:pPr>
            <w:r>
              <w:rPr>
                <w:rFonts w:hint="eastAsia" w:ascii="Times New Roman" w:eastAsia="仿宋"/>
                <w:szCs w:val="24"/>
              </w:rPr>
              <w:t>37.5</w:t>
            </w:r>
          </w:p>
        </w:tc>
        <w:tc>
          <w:tcPr>
            <w:tcW w:w="1030" w:type="dxa"/>
            <w:vAlign w:val="center"/>
          </w:tcPr>
          <w:p w14:paraId="04208CF0">
            <w:pPr>
              <w:widowControl/>
              <w:jc w:val="center"/>
              <w:textAlignment w:val="center"/>
              <w:rPr>
                <w:rFonts w:ascii="Times New Roman" w:eastAsia="仿宋"/>
                <w:szCs w:val="24"/>
              </w:rPr>
            </w:pPr>
            <w:r>
              <w:rPr>
                <w:rFonts w:hint="eastAsia" w:ascii="Times New Roman" w:eastAsia="仿宋"/>
                <w:szCs w:val="24"/>
              </w:rPr>
              <w:t>1.05</w:t>
            </w:r>
          </w:p>
        </w:tc>
        <w:tc>
          <w:tcPr>
            <w:tcW w:w="1098" w:type="dxa"/>
            <w:vAlign w:val="center"/>
          </w:tcPr>
          <w:p w14:paraId="3A331105">
            <w:pPr>
              <w:widowControl/>
              <w:jc w:val="center"/>
              <w:textAlignment w:val="center"/>
              <w:rPr>
                <w:rFonts w:ascii="Times New Roman" w:eastAsia="仿宋"/>
                <w:szCs w:val="24"/>
              </w:rPr>
            </w:pPr>
            <w:r>
              <w:rPr>
                <w:rFonts w:hint="eastAsia" w:ascii="Times New Roman" w:eastAsia="仿宋"/>
                <w:szCs w:val="24"/>
              </w:rPr>
              <w:t>5.04</w:t>
            </w:r>
          </w:p>
        </w:tc>
        <w:tc>
          <w:tcPr>
            <w:tcW w:w="1590" w:type="dxa"/>
            <w:vMerge w:val="continue"/>
            <w:vAlign w:val="center"/>
          </w:tcPr>
          <w:p w14:paraId="303D4C04">
            <w:pPr>
              <w:adjustRightInd w:val="0"/>
              <w:snapToGrid w:val="0"/>
              <w:jc w:val="center"/>
              <w:rPr>
                <w:rFonts w:ascii="Times New Roman" w:eastAsia="仿宋"/>
                <w:szCs w:val="24"/>
              </w:rPr>
            </w:pPr>
          </w:p>
        </w:tc>
        <w:tc>
          <w:tcPr>
            <w:tcW w:w="956" w:type="dxa"/>
            <w:vMerge w:val="continue"/>
            <w:vAlign w:val="center"/>
          </w:tcPr>
          <w:p w14:paraId="746C3922">
            <w:pPr>
              <w:adjustRightInd w:val="0"/>
              <w:snapToGrid w:val="0"/>
              <w:jc w:val="center"/>
              <w:rPr>
                <w:rFonts w:ascii="Times New Roman" w:eastAsia="仿宋"/>
                <w:szCs w:val="24"/>
              </w:rPr>
            </w:pPr>
          </w:p>
        </w:tc>
        <w:tc>
          <w:tcPr>
            <w:tcW w:w="694" w:type="dxa"/>
            <w:vMerge w:val="continue"/>
            <w:vAlign w:val="center"/>
          </w:tcPr>
          <w:p w14:paraId="6DFD4355">
            <w:pPr>
              <w:adjustRightInd w:val="0"/>
              <w:snapToGrid w:val="0"/>
              <w:jc w:val="center"/>
              <w:rPr>
                <w:rFonts w:ascii="Times New Roman" w:eastAsia="仿宋"/>
                <w:szCs w:val="24"/>
              </w:rPr>
            </w:pPr>
          </w:p>
        </w:tc>
        <w:tc>
          <w:tcPr>
            <w:tcW w:w="1226" w:type="dxa"/>
            <w:vMerge w:val="continue"/>
            <w:vAlign w:val="center"/>
          </w:tcPr>
          <w:p w14:paraId="157DAC6C">
            <w:pPr>
              <w:adjustRightInd w:val="0"/>
              <w:snapToGrid w:val="0"/>
              <w:jc w:val="center"/>
              <w:rPr>
                <w:rFonts w:ascii="Times New Roman" w:eastAsia="仿宋"/>
                <w:szCs w:val="21"/>
              </w:rPr>
            </w:pPr>
          </w:p>
        </w:tc>
        <w:tc>
          <w:tcPr>
            <w:tcW w:w="879" w:type="dxa"/>
            <w:vMerge w:val="continue"/>
            <w:vAlign w:val="center"/>
          </w:tcPr>
          <w:p w14:paraId="2DD340C3">
            <w:pPr>
              <w:adjustRightInd w:val="0"/>
              <w:snapToGrid w:val="0"/>
              <w:jc w:val="center"/>
              <w:rPr>
                <w:rFonts w:ascii="Times New Roman" w:eastAsia="仿宋"/>
                <w:szCs w:val="21"/>
              </w:rPr>
            </w:pPr>
          </w:p>
        </w:tc>
      </w:tr>
      <w:tr w14:paraId="425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4BA11D94">
            <w:pPr>
              <w:adjustRightInd w:val="0"/>
              <w:snapToGrid w:val="0"/>
              <w:jc w:val="center"/>
              <w:rPr>
                <w:rFonts w:ascii="Times New Roman" w:eastAsia="仿宋"/>
                <w:szCs w:val="24"/>
              </w:rPr>
            </w:pPr>
          </w:p>
        </w:tc>
        <w:tc>
          <w:tcPr>
            <w:tcW w:w="1580" w:type="dxa"/>
            <w:vMerge w:val="restart"/>
            <w:vAlign w:val="center"/>
          </w:tcPr>
          <w:p w14:paraId="1ED24E00">
            <w:pPr>
              <w:adjustRightInd w:val="0"/>
              <w:snapToGrid w:val="0"/>
              <w:jc w:val="center"/>
              <w:rPr>
                <w:rFonts w:ascii="Times New Roman" w:eastAsia="仿宋"/>
                <w:szCs w:val="24"/>
              </w:rPr>
            </w:pPr>
            <w:r>
              <w:rPr>
                <w:rFonts w:hint="eastAsia" w:ascii="Times New Roman" w:eastAsia="仿宋"/>
                <w:szCs w:val="24"/>
              </w:rPr>
              <w:t>氟碳面漆流平废气G1</w:t>
            </w:r>
            <w:r>
              <w:rPr>
                <w:rFonts w:ascii="Times New Roman" w:eastAsia="仿宋"/>
                <w:szCs w:val="24"/>
              </w:rPr>
              <w:t>5</w:t>
            </w:r>
          </w:p>
        </w:tc>
        <w:tc>
          <w:tcPr>
            <w:tcW w:w="827" w:type="dxa"/>
            <w:vMerge w:val="continue"/>
            <w:vAlign w:val="center"/>
          </w:tcPr>
          <w:p w14:paraId="00B8DA2D">
            <w:pPr>
              <w:adjustRightInd w:val="0"/>
              <w:snapToGrid w:val="0"/>
              <w:jc w:val="center"/>
              <w:rPr>
                <w:rFonts w:ascii="Times New Roman" w:eastAsia="仿宋"/>
                <w:szCs w:val="24"/>
              </w:rPr>
            </w:pPr>
          </w:p>
        </w:tc>
        <w:tc>
          <w:tcPr>
            <w:tcW w:w="1435" w:type="dxa"/>
            <w:vAlign w:val="center"/>
          </w:tcPr>
          <w:p w14:paraId="0B54EA22">
            <w:pPr>
              <w:jc w:val="center"/>
              <w:rPr>
                <w:rFonts w:ascii="Times New Roman" w:eastAsia="仿宋"/>
                <w:szCs w:val="21"/>
              </w:rPr>
            </w:pPr>
            <w:r>
              <w:rPr>
                <w:rFonts w:hint="eastAsia" w:ascii="Times New Roman" w:eastAsia="仿宋"/>
                <w:szCs w:val="21"/>
              </w:rPr>
              <w:t>非甲烷总烃</w:t>
            </w:r>
          </w:p>
        </w:tc>
        <w:tc>
          <w:tcPr>
            <w:tcW w:w="1018" w:type="dxa"/>
            <w:vAlign w:val="center"/>
          </w:tcPr>
          <w:p w14:paraId="32B3EAC0">
            <w:pPr>
              <w:adjustRightInd w:val="0"/>
              <w:snapToGrid w:val="0"/>
              <w:jc w:val="center"/>
              <w:rPr>
                <w:rFonts w:ascii="Times New Roman" w:eastAsia="仿宋"/>
                <w:szCs w:val="24"/>
              </w:rPr>
            </w:pPr>
            <w:r>
              <w:rPr>
                <w:rFonts w:hint="eastAsia" w:ascii="Times New Roman" w:eastAsia="仿宋"/>
                <w:szCs w:val="24"/>
              </w:rPr>
              <w:t>29.64</w:t>
            </w:r>
          </w:p>
        </w:tc>
        <w:tc>
          <w:tcPr>
            <w:tcW w:w="1030" w:type="dxa"/>
            <w:vAlign w:val="center"/>
          </w:tcPr>
          <w:p w14:paraId="4FF7678A">
            <w:pPr>
              <w:adjustRightInd w:val="0"/>
              <w:snapToGrid w:val="0"/>
              <w:jc w:val="center"/>
              <w:rPr>
                <w:rFonts w:ascii="Times New Roman" w:eastAsia="仿宋"/>
                <w:szCs w:val="24"/>
              </w:rPr>
            </w:pPr>
            <w:r>
              <w:rPr>
                <w:rFonts w:hint="eastAsia" w:ascii="Times New Roman" w:eastAsia="仿宋"/>
                <w:szCs w:val="24"/>
              </w:rPr>
              <w:t>0.83</w:t>
            </w:r>
          </w:p>
        </w:tc>
        <w:tc>
          <w:tcPr>
            <w:tcW w:w="1098" w:type="dxa"/>
            <w:vAlign w:val="center"/>
          </w:tcPr>
          <w:p w14:paraId="301C9615">
            <w:pPr>
              <w:jc w:val="center"/>
              <w:rPr>
                <w:rFonts w:ascii="Times New Roman" w:eastAsia="仿宋"/>
                <w:szCs w:val="24"/>
              </w:rPr>
            </w:pPr>
            <w:r>
              <w:rPr>
                <w:rFonts w:hint="eastAsia" w:ascii="Times New Roman" w:eastAsia="仿宋"/>
                <w:szCs w:val="24"/>
              </w:rPr>
              <w:t>4.0</w:t>
            </w:r>
          </w:p>
        </w:tc>
        <w:tc>
          <w:tcPr>
            <w:tcW w:w="1590" w:type="dxa"/>
            <w:vMerge w:val="continue"/>
            <w:vAlign w:val="center"/>
          </w:tcPr>
          <w:p w14:paraId="610D7540">
            <w:pPr>
              <w:adjustRightInd w:val="0"/>
              <w:snapToGrid w:val="0"/>
              <w:jc w:val="center"/>
              <w:rPr>
                <w:rFonts w:ascii="Times New Roman" w:eastAsia="仿宋"/>
                <w:szCs w:val="24"/>
              </w:rPr>
            </w:pPr>
          </w:p>
        </w:tc>
        <w:tc>
          <w:tcPr>
            <w:tcW w:w="956" w:type="dxa"/>
            <w:vMerge w:val="continue"/>
            <w:vAlign w:val="center"/>
          </w:tcPr>
          <w:p w14:paraId="0A017E74">
            <w:pPr>
              <w:adjustRightInd w:val="0"/>
              <w:snapToGrid w:val="0"/>
              <w:jc w:val="center"/>
              <w:rPr>
                <w:rFonts w:ascii="Times New Roman" w:eastAsia="仿宋"/>
                <w:szCs w:val="24"/>
              </w:rPr>
            </w:pPr>
          </w:p>
        </w:tc>
        <w:tc>
          <w:tcPr>
            <w:tcW w:w="694" w:type="dxa"/>
            <w:vMerge w:val="continue"/>
            <w:vAlign w:val="center"/>
          </w:tcPr>
          <w:p w14:paraId="179A8E23">
            <w:pPr>
              <w:adjustRightInd w:val="0"/>
              <w:snapToGrid w:val="0"/>
              <w:jc w:val="center"/>
              <w:rPr>
                <w:rFonts w:ascii="Times New Roman" w:eastAsia="仿宋"/>
                <w:szCs w:val="24"/>
              </w:rPr>
            </w:pPr>
          </w:p>
        </w:tc>
        <w:tc>
          <w:tcPr>
            <w:tcW w:w="1226" w:type="dxa"/>
            <w:vMerge w:val="continue"/>
            <w:vAlign w:val="center"/>
          </w:tcPr>
          <w:p w14:paraId="0373AB01">
            <w:pPr>
              <w:adjustRightInd w:val="0"/>
              <w:snapToGrid w:val="0"/>
              <w:jc w:val="center"/>
              <w:rPr>
                <w:rFonts w:ascii="Times New Roman" w:eastAsia="仿宋"/>
                <w:szCs w:val="21"/>
              </w:rPr>
            </w:pPr>
          </w:p>
        </w:tc>
        <w:tc>
          <w:tcPr>
            <w:tcW w:w="879" w:type="dxa"/>
            <w:vMerge w:val="continue"/>
            <w:vAlign w:val="center"/>
          </w:tcPr>
          <w:p w14:paraId="3388E6A2">
            <w:pPr>
              <w:adjustRightInd w:val="0"/>
              <w:snapToGrid w:val="0"/>
              <w:jc w:val="center"/>
              <w:rPr>
                <w:rFonts w:ascii="Times New Roman" w:eastAsia="仿宋"/>
                <w:szCs w:val="21"/>
              </w:rPr>
            </w:pPr>
          </w:p>
        </w:tc>
      </w:tr>
      <w:tr w14:paraId="21BC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57EBB4EA">
            <w:pPr>
              <w:adjustRightInd w:val="0"/>
              <w:snapToGrid w:val="0"/>
              <w:jc w:val="center"/>
              <w:rPr>
                <w:rFonts w:ascii="Times New Roman" w:eastAsia="仿宋"/>
                <w:szCs w:val="24"/>
              </w:rPr>
            </w:pPr>
          </w:p>
        </w:tc>
        <w:tc>
          <w:tcPr>
            <w:tcW w:w="1580" w:type="dxa"/>
            <w:vMerge w:val="continue"/>
            <w:vAlign w:val="center"/>
          </w:tcPr>
          <w:p w14:paraId="41C5FF9E">
            <w:pPr>
              <w:adjustRightInd w:val="0"/>
              <w:snapToGrid w:val="0"/>
              <w:jc w:val="center"/>
              <w:rPr>
                <w:rFonts w:ascii="Times New Roman" w:eastAsia="仿宋"/>
                <w:szCs w:val="24"/>
              </w:rPr>
            </w:pPr>
          </w:p>
        </w:tc>
        <w:tc>
          <w:tcPr>
            <w:tcW w:w="827" w:type="dxa"/>
            <w:vMerge w:val="continue"/>
            <w:vAlign w:val="center"/>
          </w:tcPr>
          <w:p w14:paraId="60A86DE6">
            <w:pPr>
              <w:adjustRightInd w:val="0"/>
              <w:snapToGrid w:val="0"/>
              <w:jc w:val="center"/>
              <w:rPr>
                <w:rFonts w:ascii="Times New Roman" w:eastAsia="仿宋"/>
                <w:szCs w:val="24"/>
              </w:rPr>
            </w:pPr>
          </w:p>
        </w:tc>
        <w:tc>
          <w:tcPr>
            <w:tcW w:w="1435" w:type="dxa"/>
            <w:vAlign w:val="center"/>
          </w:tcPr>
          <w:p w14:paraId="6CB9A6FD">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7F713907">
            <w:pPr>
              <w:adjustRightInd w:val="0"/>
              <w:snapToGrid w:val="0"/>
              <w:jc w:val="center"/>
              <w:rPr>
                <w:rFonts w:ascii="Times New Roman" w:eastAsia="仿宋"/>
                <w:szCs w:val="24"/>
              </w:rPr>
            </w:pPr>
            <w:r>
              <w:rPr>
                <w:rFonts w:hint="eastAsia" w:ascii="Times New Roman" w:eastAsia="仿宋"/>
                <w:szCs w:val="24"/>
              </w:rPr>
              <w:t>29.64</w:t>
            </w:r>
          </w:p>
        </w:tc>
        <w:tc>
          <w:tcPr>
            <w:tcW w:w="1030" w:type="dxa"/>
            <w:vAlign w:val="center"/>
          </w:tcPr>
          <w:p w14:paraId="0D72DE2F">
            <w:pPr>
              <w:adjustRightInd w:val="0"/>
              <w:snapToGrid w:val="0"/>
              <w:jc w:val="center"/>
              <w:rPr>
                <w:rFonts w:ascii="Times New Roman" w:eastAsia="仿宋"/>
                <w:szCs w:val="24"/>
              </w:rPr>
            </w:pPr>
            <w:r>
              <w:rPr>
                <w:rFonts w:hint="eastAsia" w:ascii="Times New Roman" w:eastAsia="仿宋"/>
                <w:szCs w:val="24"/>
              </w:rPr>
              <w:t>0.83</w:t>
            </w:r>
          </w:p>
        </w:tc>
        <w:tc>
          <w:tcPr>
            <w:tcW w:w="1098" w:type="dxa"/>
            <w:vAlign w:val="center"/>
          </w:tcPr>
          <w:p w14:paraId="29B51580">
            <w:pPr>
              <w:jc w:val="center"/>
              <w:rPr>
                <w:rFonts w:ascii="Times New Roman" w:eastAsia="仿宋"/>
                <w:szCs w:val="24"/>
              </w:rPr>
            </w:pPr>
            <w:r>
              <w:rPr>
                <w:rFonts w:hint="eastAsia" w:ascii="Times New Roman" w:eastAsia="仿宋"/>
                <w:szCs w:val="24"/>
              </w:rPr>
              <w:t>4.0</w:t>
            </w:r>
          </w:p>
        </w:tc>
        <w:tc>
          <w:tcPr>
            <w:tcW w:w="1590" w:type="dxa"/>
            <w:vMerge w:val="continue"/>
            <w:vAlign w:val="center"/>
          </w:tcPr>
          <w:p w14:paraId="1F1904C5">
            <w:pPr>
              <w:adjustRightInd w:val="0"/>
              <w:snapToGrid w:val="0"/>
              <w:jc w:val="center"/>
              <w:rPr>
                <w:rFonts w:ascii="Times New Roman" w:eastAsia="仿宋"/>
                <w:szCs w:val="24"/>
              </w:rPr>
            </w:pPr>
          </w:p>
        </w:tc>
        <w:tc>
          <w:tcPr>
            <w:tcW w:w="956" w:type="dxa"/>
            <w:vMerge w:val="continue"/>
            <w:vAlign w:val="center"/>
          </w:tcPr>
          <w:p w14:paraId="4C7F3F48">
            <w:pPr>
              <w:adjustRightInd w:val="0"/>
              <w:snapToGrid w:val="0"/>
              <w:jc w:val="center"/>
              <w:rPr>
                <w:rFonts w:ascii="Times New Roman" w:eastAsia="仿宋"/>
                <w:szCs w:val="24"/>
              </w:rPr>
            </w:pPr>
          </w:p>
        </w:tc>
        <w:tc>
          <w:tcPr>
            <w:tcW w:w="694" w:type="dxa"/>
            <w:vMerge w:val="continue"/>
            <w:vAlign w:val="center"/>
          </w:tcPr>
          <w:p w14:paraId="7F9FDBA6">
            <w:pPr>
              <w:adjustRightInd w:val="0"/>
              <w:snapToGrid w:val="0"/>
              <w:jc w:val="center"/>
              <w:rPr>
                <w:rFonts w:ascii="Times New Roman" w:eastAsia="仿宋"/>
                <w:szCs w:val="24"/>
              </w:rPr>
            </w:pPr>
          </w:p>
        </w:tc>
        <w:tc>
          <w:tcPr>
            <w:tcW w:w="1226" w:type="dxa"/>
            <w:vMerge w:val="continue"/>
            <w:vAlign w:val="center"/>
          </w:tcPr>
          <w:p w14:paraId="3A30ED16">
            <w:pPr>
              <w:adjustRightInd w:val="0"/>
              <w:snapToGrid w:val="0"/>
              <w:jc w:val="center"/>
              <w:rPr>
                <w:rFonts w:ascii="Times New Roman" w:eastAsia="仿宋"/>
                <w:szCs w:val="21"/>
              </w:rPr>
            </w:pPr>
          </w:p>
        </w:tc>
        <w:tc>
          <w:tcPr>
            <w:tcW w:w="879" w:type="dxa"/>
            <w:vMerge w:val="continue"/>
            <w:vAlign w:val="center"/>
          </w:tcPr>
          <w:p w14:paraId="0CBE123E">
            <w:pPr>
              <w:adjustRightInd w:val="0"/>
              <w:snapToGrid w:val="0"/>
              <w:jc w:val="center"/>
              <w:rPr>
                <w:rFonts w:ascii="Times New Roman" w:eastAsia="仿宋"/>
                <w:szCs w:val="21"/>
              </w:rPr>
            </w:pPr>
          </w:p>
        </w:tc>
      </w:tr>
      <w:tr w14:paraId="1861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56587089">
            <w:pPr>
              <w:adjustRightInd w:val="0"/>
              <w:snapToGrid w:val="0"/>
              <w:jc w:val="center"/>
              <w:rPr>
                <w:rFonts w:ascii="Times New Roman" w:eastAsia="仿宋"/>
                <w:szCs w:val="24"/>
              </w:rPr>
            </w:pPr>
          </w:p>
        </w:tc>
        <w:tc>
          <w:tcPr>
            <w:tcW w:w="1580" w:type="dxa"/>
            <w:vMerge w:val="continue"/>
            <w:vAlign w:val="center"/>
          </w:tcPr>
          <w:p w14:paraId="372B67B7">
            <w:pPr>
              <w:adjustRightInd w:val="0"/>
              <w:snapToGrid w:val="0"/>
              <w:jc w:val="center"/>
              <w:rPr>
                <w:rFonts w:ascii="Times New Roman" w:eastAsia="仿宋"/>
                <w:szCs w:val="24"/>
              </w:rPr>
            </w:pPr>
          </w:p>
        </w:tc>
        <w:tc>
          <w:tcPr>
            <w:tcW w:w="827" w:type="dxa"/>
            <w:vMerge w:val="continue"/>
            <w:vAlign w:val="center"/>
          </w:tcPr>
          <w:p w14:paraId="5CDB42E8">
            <w:pPr>
              <w:adjustRightInd w:val="0"/>
              <w:snapToGrid w:val="0"/>
              <w:jc w:val="center"/>
              <w:rPr>
                <w:rFonts w:ascii="Times New Roman" w:eastAsia="仿宋"/>
                <w:szCs w:val="24"/>
              </w:rPr>
            </w:pPr>
          </w:p>
        </w:tc>
        <w:tc>
          <w:tcPr>
            <w:tcW w:w="1435" w:type="dxa"/>
            <w:vAlign w:val="center"/>
          </w:tcPr>
          <w:p w14:paraId="40B14718">
            <w:pPr>
              <w:jc w:val="center"/>
              <w:rPr>
                <w:rFonts w:ascii="Times New Roman" w:eastAsia="仿宋"/>
                <w:szCs w:val="21"/>
              </w:rPr>
            </w:pPr>
            <w:r>
              <w:rPr>
                <w:rFonts w:hint="eastAsia" w:ascii="Times New Roman" w:eastAsia="仿宋"/>
                <w:szCs w:val="21"/>
              </w:rPr>
              <w:t>二甲苯</w:t>
            </w:r>
          </w:p>
        </w:tc>
        <w:tc>
          <w:tcPr>
            <w:tcW w:w="1018" w:type="dxa"/>
            <w:vAlign w:val="center"/>
          </w:tcPr>
          <w:p w14:paraId="44E6C66C">
            <w:pPr>
              <w:adjustRightInd w:val="0"/>
              <w:snapToGrid w:val="0"/>
              <w:jc w:val="center"/>
              <w:rPr>
                <w:rFonts w:ascii="Times New Roman" w:eastAsia="仿宋"/>
                <w:szCs w:val="24"/>
              </w:rPr>
            </w:pPr>
            <w:r>
              <w:rPr>
                <w:rFonts w:hint="eastAsia" w:ascii="Times New Roman" w:eastAsia="仿宋"/>
                <w:szCs w:val="24"/>
              </w:rPr>
              <w:t>6.78</w:t>
            </w:r>
          </w:p>
        </w:tc>
        <w:tc>
          <w:tcPr>
            <w:tcW w:w="1030" w:type="dxa"/>
            <w:vAlign w:val="center"/>
          </w:tcPr>
          <w:p w14:paraId="58EE03CD">
            <w:pPr>
              <w:adjustRightInd w:val="0"/>
              <w:snapToGrid w:val="0"/>
              <w:jc w:val="center"/>
              <w:rPr>
                <w:rFonts w:ascii="Times New Roman" w:eastAsia="仿宋"/>
                <w:szCs w:val="24"/>
              </w:rPr>
            </w:pPr>
            <w:r>
              <w:rPr>
                <w:rFonts w:hint="eastAsia" w:ascii="Times New Roman" w:eastAsia="仿宋"/>
                <w:szCs w:val="24"/>
              </w:rPr>
              <w:t>0.19</w:t>
            </w:r>
          </w:p>
        </w:tc>
        <w:tc>
          <w:tcPr>
            <w:tcW w:w="1098" w:type="dxa"/>
            <w:vAlign w:val="center"/>
          </w:tcPr>
          <w:p w14:paraId="1B3A8C24">
            <w:pPr>
              <w:jc w:val="center"/>
              <w:rPr>
                <w:rFonts w:ascii="Times New Roman" w:eastAsia="仿宋"/>
                <w:szCs w:val="24"/>
              </w:rPr>
            </w:pPr>
            <w:r>
              <w:rPr>
                <w:rFonts w:hint="eastAsia" w:ascii="Times New Roman" w:eastAsia="仿宋"/>
                <w:szCs w:val="24"/>
              </w:rPr>
              <w:t>0.925</w:t>
            </w:r>
          </w:p>
        </w:tc>
        <w:tc>
          <w:tcPr>
            <w:tcW w:w="1590" w:type="dxa"/>
            <w:vMerge w:val="continue"/>
            <w:vAlign w:val="center"/>
          </w:tcPr>
          <w:p w14:paraId="1C6FFC42">
            <w:pPr>
              <w:adjustRightInd w:val="0"/>
              <w:snapToGrid w:val="0"/>
              <w:jc w:val="center"/>
              <w:rPr>
                <w:rFonts w:ascii="Times New Roman" w:eastAsia="仿宋"/>
                <w:szCs w:val="24"/>
              </w:rPr>
            </w:pPr>
          </w:p>
        </w:tc>
        <w:tc>
          <w:tcPr>
            <w:tcW w:w="956" w:type="dxa"/>
            <w:vMerge w:val="continue"/>
            <w:vAlign w:val="center"/>
          </w:tcPr>
          <w:p w14:paraId="2C091FBF">
            <w:pPr>
              <w:adjustRightInd w:val="0"/>
              <w:snapToGrid w:val="0"/>
              <w:jc w:val="center"/>
              <w:rPr>
                <w:rFonts w:ascii="Times New Roman" w:eastAsia="仿宋"/>
                <w:szCs w:val="24"/>
              </w:rPr>
            </w:pPr>
          </w:p>
        </w:tc>
        <w:tc>
          <w:tcPr>
            <w:tcW w:w="694" w:type="dxa"/>
            <w:vMerge w:val="continue"/>
            <w:vAlign w:val="center"/>
          </w:tcPr>
          <w:p w14:paraId="4C39FA6F">
            <w:pPr>
              <w:adjustRightInd w:val="0"/>
              <w:snapToGrid w:val="0"/>
              <w:jc w:val="center"/>
              <w:rPr>
                <w:rFonts w:ascii="Times New Roman" w:eastAsia="仿宋"/>
                <w:szCs w:val="24"/>
              </w:rPr>
            </w:pPr>
          </w:p>
        </w:tc>
        <w:tc>
          <w:tcPr>
            <w:tcW w:w="1226" w:type="dxa"/>
            <w:vMerge w:val="continue"/>
            <w:vAlign w:val="center"/>
          </w:tcPr>
          <w:p w14:paraId="104CE289">
            <w:pPr>
              <w:adjustRightInd w:val="0"/>
              <w:snapToGrid w:val="0"/>
              <w:jc w:val="center"/>
              <w:rPr>
                <w:rFonts w:ascii="Times New Roman" w:eastAsia="仿宋"/>
                <w:szCs w:val="21"/>
              </w:rPr>
            </w:pPr>
          </w:p>
        </w:tc>
        <w:tc>
          <w:tcPr>
            <w:tcW w:w="879" w:type="dxa"/>
            <w:vMerge w:val="continue"/>
            <w:vAlign w:val="center"/>
          </w:tcPr>
          <w:p w14:paraId="6A41D9E7">
            <w:pPr>
              <w:adjustRightInd w:val="0"/>
              <w:snapToGrid w:val="0"/>
              <w:jc w:val="center"/>
              <w:rPr>
                <w:rFonts w:ascii="Times New Roman" w:eastAsia="仿宋"/>
                <w:szCs w:val="21"/>
              </w:rPr>
            </w:pPr>
          </w:p>
        </w:tc>
      </w:tr>
      <w:tr w14:paraId="6729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7FF1101E">
            <w:pPr>
              <w:adjustRightInd w:val="0"/>
              <w:snapToGrid w:val="0"/>
              <w:jc w:val="center"/>
              <w:rPr>
                <w:rFonts w:ascii="Times New Roman" w:eastAsia="仿宋"/>
                <w:szCs w:val="24"/>
              </w:rPr>
            </w:pPr>
          </w:p>
        </w:tc>
        <w:tc>
          <w:tcPr>
            <w:tcW w:w="1580" w:type="dxa"/>
            <w:vMerge w:val="continue"/>
            <w:vAlign w:val="center"/>
          </w:tcPr>
          <w:p w14:paraId="77471C2F">
            <w:pPr>
              <w:adjustRightInd w:val="0"/>
              <w:snapToGrid w:val="0"/>
              <w:jc w:val="center"/>
              <w:rPr>
                <w:rFonts w:ascii="Times New Roman" w:eastAsia="仿宋"/>
                <w:szCs w:val="24"/>
              </w:rPr>
            </w:pPr>
          </w:p>
        </w:tc>
        <w:tc>
          <w:tcPr>
            <w:tcW w:w="827" w:type="dxa"/>
            <w:vMerge w:val="continue"/>
            <w:vAlign w:val="center"/>
          </w:tcPr>
          <w:p w14:paraId="347CD154">
            <w:pPr>
              <w:adjustRightInd w:val="0"/>
              <w:snapToGrid w:val="0"/>
              <w:jc w:val="center"/>
              <w:rPr>
                <w:rFonts w:ascii="Times New Roman" w:eastAsia="仿宋"/>
                <w:szCs w:val="24"/>
              </w:rPr>
            </w:pPr>
          </w:p>
        </w:tc>
        <w:tc>
          <w:tcPr>
            <w:tcW w:w="1435" w:type="dxa"/>
            <w:vAlign w:val="center"/>
          </w:tcPr>
          <w:p w14:paraId="55654983">
            <w:pPr>
              <w:jc w:val="center"/>
              <w:rPr>
                <w:rFonts w:ascii="Times New Roman" w:eastAsia="仿宋"/>
                <w:szCs w:val="21"/>
              </w:rPr>
            </w:pPr>
            <w:r>
              <w:rPr>
                <w:rFonts w:hint="eastAsia" w:ascii="Times New Roman" w:eastAsia="仿宋"/>
                <w:szCs w:val="21"/>
              </w:rPr>
              <w:t>苯系物</w:t>
            </w:r>
          </w:p>
        </w:tc>
        <w:tc>
          <w:tcPr>
            <w:tcW w:w="1018" w:type="dxa"/>
            <w:vAlign w:val="center"/>
          </w:tcPr>
          <w:p w14:paraId="05066FCA">
            <w:pPr>
              <w:adjustRightInd w:val="0"/>
              <w:snapToGrid w:val="0"/>
              <w:jc w:val="center"/>
              <w:rPr>
                <w:rFonts w:ascii="Times New Roman" w:eastAsia="仿宋"/>
                <w:szCs w:val="24"/>
              </w:rPr>
            </w:pPr>
            <w:r>
              <w:rPr>
                <w:rFonts w:hint="eastAsia" w:ascii="Times New Roman" w:eastAsia="仿宋"/>
                <w:szCs w:val="24"/>
              </w:rPr>
              <w:t>6.78</w:t>
            </w:r>
          </w:p>
        </w:tc>
        <w:tc>
          <w:tcPr>
            <w:tcW w:w="1030" w:type="dxa"/>
            <w:vAlign w:val="center"/>
          </w:tcPr>
          <w:p w14:paraId="7F7C9EC4">
            <w:pPr>
              <w:adjustRightInd w:val="0"/>
              <w:snapToGrid w:val="0"/>
              <w:jc w:val="center"/>
              <w:rPr>
                <w:rFonts w:ascii="Times New Roman" w:eastAsia="仿宋"/>
                <w:szCs w:val="24"/>
              </w:rPr>
            </w:pPr>
            <w:r>
              <w:rPr>
                <w:rFonts w:hint="eastAsia" w:ascii="Times New Roman" w:eastAsia="仿宋"/>
                <w:szCs w:val="24"/>
              </w:rPr>
              <w:t>0.19</w:t>
            </w:r>
          </w:p>
        </w:tc>
        <w:tc>
          <w:tcPr>
            <w:tcW w:w="1098" w:type="dxa"/>
            <w:vAlign w:val="center"/>
          </w:tcPr>
          <w:p w14:paraId="751B758A">
            <w:pPr>
              <w:jc w:val="center"/>
              <w:rPr>
                <w:rFonts w:ascii="Times New Roman" w:eastAsia="仿宋"/>
                <w:szCs w:val="24"/>
              </w:rPr>
            </w:pPr>
            <w:r>
              <w:rPr>
                <w:rFonts w:hint="eastAsia" w:ascii="Times New Roman" w:eastAsia="仿宋"/>
                <w:szCs w:val="24"/>
              </w:rPr>
              <w:t>0.925</w:t>
            </w:r>
          </w:p>
        </w:tc>
        <w:tc>
          <w:tcPr>
            <w:tcW w:w="1590" w:type="dxa"/>
            <w:vMerge w:val="continue"/>
            <w:vAlign w:val="center"/>
          </w:tcPr>
          <w:p w14:paraId="3D443143">
            <w:pPr>
              <w:adjustRightInd w:val="0"/>
              <w:snapToGrid w:val="0"/>
              <w:jc w:val="center"/>
              <w:rPr>
                <w:rFonts w:ascii="Times New Roman" w:eastAsia="仿宋"/>
                <w:szCs w:val="24"/>
              </w:rPr>
            </w:pPr>
          </w:p>
        </w:tc>
        <w:tc>
          <w:tcPr>
            <w:tcW w:w="956" w:type="dxa"/>
            <w:vMerge w:val="continue"/>
            <w:vAlign w:val="center"/>
          </w:tcPr>
          <w:p w14:paraId="1C23B696">
            <w:pPr>
              <w:adjustRightInd w:val="0"/>
              <w:snapToGrid w:val="0"/>
              <w:jc w:val="center"/>
              <w:rPr>
                <w:rFonts w:ascii="Times New Roman" w:eastAsia="仿宋"/>
                <w:szCs w:val="24"/>
              </w:rPr>
            </w:pPr>
          </w:p>
        </w:tc>
        <w:tc>
          <w:tcPr>
            <w:tcW w:w="694" w:type="dxa"/>
            <w:vMerge w:val="continue"/>
            <w:vAlign w:val="center"/>
          </w:tcPr>
          <w:p w14:paraId="2D5B9A63">
            <w:pPr>
              <w:adjustRightInd w:val="0"/>
              <w:snapToGrid w:val="0"/>
              <w:jc w:val="center"/>
              <w:rPr>
                <w:rFonts w:ascii="Times New Roman" w:eastAsia="仿宋"/>
                <w:szCs w:val="24"/>
              </w:rPr>
            </w:pPr>
          </w:p>
        </w:tc>
        <w:tc>
          <w:tcPr>
            <w:tcW w:w="1226" w:type="dxa"/>
            <w:vMerge w:val="continue"/>
            <w:vAlign w:val="center"/>
          </w:tcPr>
          <w:p w14:paraId="7BB8F435">
            <w:pPr>
              <w:adjustRightInd w:val="0"/>
              <w:snapToGrid w:val="0"/>
              <w:jc w:val="center"/>
              <w:rPr>
                <w:rFonts w:ascii="Times New Roman" w:eastAsia="仿宋"/>
                <w:szCs w:val="21"/>
              </w:rPr>
            </w:pPr>
          </w:p>
        </w:tc>
        <w:tc>
          <w:tcPr>
            <w:tcW w:w="879" w:type="dxa"/>
            <w:vMerge w:val="continue"/>
            <w:vAlign w:val="center"/>
          </w:tcPr>
          <w:p w14:paraId="09E9459D">
            <w:pPr>
              <w:adjustRightInd w:val="0"/>
              <w:snapToGrid w:val="0"/>
              <w:jc w:val="center"/>
              <w:rPr>
                <w:rFonts w:ascii="Times New Roman" w:eastAsia="仿宋"/>
                <w:szCs w:val="21"/>
              </w:rPr>
            </w:pPr>
          </w:p>
        </w:tc>
      </w:tr>
      <w:tr w14:paraId="2073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09422327">
            <w:pPr>
              <w:adjustRightInd w:val="0"/>
              <w:snapToGrid w:val="0"/>
              <w:jc w:val="center"/>
              <w:rPr>
                <w:rFonts w:ascii="Times New Roman" w:eastAsia="仿宋"/>
                <w:szCs w:val="24"/>
              </w:rPr>
            </w:pPr>
          </w:p>
        </w:tc>
        <w:tc>
          <w:tcPr>
            <w:tcW w:w="1580" w:type="dxa"/>
            <w:vMerge w:val="restart"/>
            <w:vAlign w:val="center"/>
          </w:tcPr>
          <w:p w14:paraId="454416E1">
            <w:pPr>
              <w:adjustRightInd w:val="0"/>
              <w:snapToGrid w:val="0"/>
              <w:jc w:val="center"/>
              <w:rPr>
                <w:rFonts w:ascii="Times New Roman" w:eastAsia="仿宋"/>
                <w:szCs w:val="24"/>
              </w:rPr>
            </w:pPr>
            <w:r>
              <w:rPr>
                <w:rFonts w:hint="eastAsia" w:ascii="Times New Roman" w:eastAsia="仿宋"/>
                <w:szCs w:val="24"/>
              </w:rPr>
              <w:t>喷枪清洗废气G</w:t>
            </w:r>
            <w:r>
              <w:rPr>
                <w:rFonts w:ascii="Times New Roman" w:eastAsia="仿宋"/>
                <w:szCs w:val="24"/>
              </w:rPr>
              <w:t>18</w:t>
            </w:r>
          </w:p>
        </w:tc>
        <w:tc>
          <w:tcPr>
            <w:tcW w:w="827" w:type="dxa"/>
            <w:vMerge w:val="continue"/>
            <w:vAlign w:val="center"/>
          </w:tcPr>
          <w:p w14:paraId="708AF2F4">
            <w:pPr>
              <w:adjustRightInd w:val="0"/>
              <w:snapToGrid w:val="0"/>
              <w:jc w:val="center"/>
              <w:rPr>
                <w:rFonts w:ascii="Times New Roman" w:eastAsia="仿宋"/>
                <w:szCs w:val="24"/>
              </w:rPr>
            </w:pPr>
          </w:p>
        </w:tc>
        <w:tc>
          <w:tcPr>
            <w:tcW w:w="1435" w:type="dxa"/>
            <w:vAlign w:val="center"/>
          </w:tcPr>
          <w:p w14:paraId="1185DB39">
            <w:pPr>
              <w:jc w:val="center"/>
              <w:rPr>
                <w:rFonts w:ascii="Times New Roman" w:eastAsia="仿宋"/>
                <w:szCs w:val="21"/>
              </w:rPr>
            </w:pPr>
            <w:r>
              <w:rPr>
                <w:rFonts w:hint="eastAsia" w:ascii="Times New Roman" w:eastAsia="仿宋"/>
                <w:szCs w:val="21"/>
              </w:rPr>
              <w:t>非甲烷总烃</w:t>
            </w:r>
          </w:p>
        </w:tc>
        <w:tc>
          <w:tcPr>
            <w:tcW w:w="1018" w:type="dxa"/>
            <w:vAlign w:val="center"/>
          </w:tcPr>
          <w:p w14:paraId="4A8C17A2">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1030" w:type="dxa"/>
            <w:vAlign w:val="center"/>
          </w:tcPr>
          <w:p w14:paraId="35F2AF5A">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098" w:type="dxa"/>
            <w:vAlign w:val="center"/>
          </w:tcPr>
          <w:p w14:paraId="02F61B04">
            <w:pPr>
              <w:adjustRightInd w:val="0"/>
              <w:snapToGrid w:val="0"/>
              <w:jc w:val="center"/>
              <w:rPr>
                <w:rFonts w:ascii="Times New Roman" w:eastAsia="仿宋"/>
                <w:szCs w:val="24"/>
              </w:rPr>
            </w:pPr>
            <w:r>
              <w:rPr>
                <w:rFonts w:ascii="Times New Roman" w:eastAsia="仿宋"/>
                <w:szCs w:val="24"/>
              </w:rPr>
              <w:t>0.49</w:t>
            </w:r>
          </w:p>
        </w:tc>
        <w:tc>
          <w:tcPr>
            <w:tcW w:w="1590" w:type="dxa"/>
            <w:vMerge w:val="continue"/>
            <w:vAlign w:val="center"/>
          </w:tcPr>
          <w:p w14:paraId="17A660DE">
            <w:pPr>
              <w:adjustRightInd w:val="0"/>
              <w:snapToGrid w:val="0"/>
              <w:jc w:val="center"/>
              <w:rPr>
                <w:rFonts w:ascii="Times New Roman" w:eastAsia="仿宋"/>
                <w:szCs w:val="24"/>
              </w:rPr>
            </w:pPr>
          </w:p>
        </w:tc>
        <w:tc>
          <w:tcPr>
            <w:tcW w:w="956" w:type="dxa"/>
            <w:vMerge w:val="continue"/>
            <w:vAlign w:val="center"/>
          </w:tcPr>
          <w:p w14:paraId="5E09CC17">
            <w:pPr>
              <w:adjustRightInd w:val="0"/>
              <w:snapToGrid w:val="0"/>
              <w:jc w:val="center"/>
              <w:rPr>
                <w:rFonts w:ascii="Times New Roman" w:eastAsia="仿宋"/>
                <w:szCs w:val="24"/>
              </w:rPr>
            </w:pPr>
          </w:p>
        </w:tc>
        <w:tc>
          <w:tcPr>
            <w:tcW w:w="694" w:type="dxa"/>
            <w:vMerge w:val="continue"/>
            <w:vAlign w:val="center"/>
          </w:tcPr>
          <w:p w14:paraId="20046CD2">
            <w:pPr>
              <w:adjustRightInd w:val="0"/>
              <w:snapToGrid w:val="0"/>
              <w:jc w:val="center"/>
              <w:rPr>
                <w:rFonts w:ascii="Times New Roman" w:eastAsia="仿宋"/>
                <w:szCs w:val="24"/>
              </w:rPr>
            </w:pPr>
          </w:p>
        </w:tc>
        <w:tc>
          <w:tcPr>
            <w:tcW w:w="1226" w:type="dxa"/>
            <w:vMerge w:val="continue"/>
            <w:vAlign w:val="center"/>
          </w:tcPr>
          <w:p w14:paraId="570D039E">
            <w:pPr>
              <w:adjustRightInd w:val="0"/>
              <w:snapToGrid w:val="0"/>
              <w:jc w:val="center"/>
              <w:rPr>
                <w:rFonts w:ascii="Times New Roman" w:eastAsia="仿宋"/>
                <w:szCs w:val="21"/>
              </w:rPr>
            </w:pPr>
          </w:p>
        </w:tc>
        <w:tc>
          <w:tcPr>
            <w:tcW w:w="879" w:type="dxa"/>
            <w:vMerge w:val="continue"/>
            <w:vAlign w:val="center"/>
          </w:tcPr>
          <w:p w14:paraId="43D50922">
            <w:pPr>
              <w:adjustRightInd w:val="0"/>
              <w:snapToGrid w:val="0"/>
              <w:jc w:val="center"/>
              <w:rPr>
                <w:rFonts w:ascii="Times New Roman" w:eastAsia="仿宋"/>
                <w:szCs w:val="21"/>
              </w:rPr>
            </w:pPr>
          </w:p>
        </w:tc>
      </w:tr>
      <w:tr w14:paraId="35F0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28F3C7BE">
            <w:pPr>
              <w:adjustRightInd w:val="0"/>
              <w:snapToGrid w:val="0"/>
              <w:jc w:val="center"/>
              <w:rPr>
                <w:rFonts w:ascii="Times New Roman" w:eastAsia="仿宋"/>
                <w:szCs w:val="24"/>
              </w:rPr>
            </w:pPr>
          </w:p>
        </w:tc>
        <w:tc>
          <w:tcPr>
            <w:tcW w:w="1580" w:type="dxa"/>
            <w:vMerge w:val="continue"/>
            <w:vAlign w:val="center"/>
          </w:tcPr>
          <w:p w14:paraId="791A6980">
            <w:pPr>
              <w:adjustRightInd w:val="0"/>
              <w:snapToGrid w:val="0"/>
              <w:jc w:val="center"/>
              <w:rPr>
                <w:rFonts w:ascii="Times New Roman" w:eastAsia="仿宋"/>
                <w:szCs w:val="24"/>
              </w:rPr>
            </w:pPr>
          </w:p>
        </w:tc>
        <w:tc>
          <w:tcPr>
            <w:tcW w:w="827" w:type="dxa"/>
            <w:vMerge w:val="continue"/>
            <w:vAlign w:val="center"/>
          </w:tcPr>
          <w:p w14:paraId="057AE319">
            <w:pPr>
              <w:adjustRightInd w:val="0"/>
              <w:snapToGrid w:val="0"/>
              <w:jc w:val="center"/>
              <w:rPr>
                <w:rFonts w:ascii="Times New Roman" w:eastAsia="仿宋"/>
                <w:szCs w:val="24"/>
              </w:rPr>
            </w:pPr>
          </w:p>
        </w:tc>
        <w:tc>
          <w:tcPr>
            <w:tcW w:w="1435" w:type="dxa"/>
            <w:vAlign w:val="center"/>
          </w:tcPr>
          <w:p w14:paraId="33A3BE8C">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51F82005">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1030" w:type="dxa"/>
            <w:vAlign w:val="center"/>
          </w:tcPr>
          <w:p w14:paraId="4998B79A">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098" w:type="dxa"/>
            <w:vAlign w:val="center"/>
          </w:tcPr>
          <w:p w14:paraId="60194D25">
            <w:pPr>
              <w:adjustRightInd w:val="0"/>
              <w:snapToGrid w:val="0"/>
              <w:jc w:val="center"/>
              <w:rPr>
                <w:rFonts w:ascii="Times New Roman" w:eastAsia="仿宋"/>
                <w:szCs w:val="24"/>
              </w:rPr>
            </w:pPr>
            <w:r>
              <w:rPr>
                <w:rFonts w:ascii="Times New Roman" w:eastAsia="仿宋"/>
                <w:szCs w:val="24"/>
              </w:rPr>
              <w:t>0.49</w:t>
            </w:r>
          </w:p>
        </w:tc>
        <w:tc>
          <w:tcPr>
            <w:tcW w:w="1590" w:type="dxa"/>
            <w:vMerge w:val="continue"/>
            <w:vAlign w:val="center"/>
          </w:tcPr>
          <w:p w14:paraId="749DAC42">
            <w:pPr>
              <w:adjustRightInd w:val="0"/>
              <w:snapToGrid w:val="0"/>
              <w:jc w:val="center"/>
              <w:rPr>
                <w:rFonts w:ascii="Times New Roman" w:eastAsia="仿宋"/>
                <w:szCs w:val="24"/>
              </w:rPr>
            </w:pPr>
          </w:p>
        </w:tc>
        <w:tc>
          <w:tcPr>
            <w:tcW w:w="956" w:type="dxa"/>
            <w:vMerge w:val="continue"/>
            <w:vAlign w:val="center"/>
          </w:tcPr>
          <w:p w14:paraId="0C6FDD8D">
            <w:pPr>
              <w:adjustRightInd w:val="0"/>
              <w:snapToGrid w:val="0"/>
              <w:jc w:val="center"/>
              <w:rPr>
                <w:rFonts w:ascii="Times New Roman" w:eastAsia="仿宋"/>
                <w:szCs w:val="24"/>
              </w:rPr>
            </w:pPr>
          </w:p>
        </w:tc>
        <w:tc>
          <w:tcPr>
            <w:tcW w:w="694" w:type="dxa"/>
            <w:vMerge w:val="continue"/>
            <w:vAlign w:val="center"/>
          </w:tcPr>
          <w:p w14:paraId="35C989A2">
            <w:pPr>
              <w:adjustRightInd w:val="0"/>
              <w:snapToGrid w:val="0"/>
              <w:jc w:val="center"/>
              <w:rPr>
                <w:rFonts w:ascii="Times New Roman" w:eastAsia="仿宋"/>
                <w:szCs w:val="24"/>
              </w:rPr>
            </w:pPr>
          </w:p>
        </w:tc>
        <w:tc>
          <w:tcPr>
            <w:tcW w:w="1226" w:type="dxa"/>
            <w:vMerge w:val="continue"/>
            <w:vAlign w:val="center"/>
          </w:tcPr>
          <w:p w14:paraId="0809CEF1">
            <w:pPr>
              <w:adjustRightInd w:val="0"/>
              <w:snapToGrid w:val="0"/>
              <w:jc w:val="center"/>
              <w:rPr>
                <w:rFonts w:ascii="Times New Roman" w:eastAsia="仿宋"/>
                <w:szCs w:val="21"/>
              </w:rPr>
            </w:pPr>
          </w:p>
        </w:tc>
        <w:tc>
          <w:tcPr>
            <w:tcW w:w="879" w:type="dxa"/>
            <w:vMerge w:val="continue"/>
            <w:vAlign w:val="center"/>
          </w:tcPr>
          <w:p w14:paraId="24BF2380">
            <w:pPr>
              <w:adjustRightInd w:val="0"/>
              <w:snapToGrid w:val="0"/>
              <w:jc w:val="center"/>
              <w:rPr>
                <w:rFonts w:ascii="Times New Roman" w:eastAsia="仿宋"/>
                <w:szCs w:val="21"/>
              </w:rPr>
            </w:pPr>
          </w:p>
        </w:tc>
      </w:tr>
      <w:tr w14:paraId="10EC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2" w:type="dxa"/>
            <w:vMerge w:val="continue"/>
            <w:vAlign w:val="center"/>
          </w:tcPr>
          <w:p w14:paraId="30DBCAB4">
            <w:pPr>
              <w:adjustRightInd w:val="0"/>
              <w:snapToGrid w:val="0"/>
              <w:jc w:val="center"/>
              <w:rPr>
                <w:rFonts w:ascii="Times New Roman" w:eastAsia="仿宋"/>
                <w:szCs w:val="24"/>
              </w:rPr>
            </w:pPr>
          </w:p>
        </w:tc>
        <w:tc>
          <w:tcPr>
            <w:tcW w:w="1580" w:type="dxa"/>
            <w:vAlign w:val="center"/>
          </w:tcPr>
          <w:p w14:paraId="430F0441">
            <w:pPr>
              <w:adjustRightInd w:val="0"/>
              <w:snapToGrid w:val="0"/>
              <w:jc w:val="center"/>
              <w:rPr>
                <w:rFonts w:ascii="Times New Roman" w:eastAsia="仿宋"/>
                <w:szCs w:val="24"/>
              </w:rPr>
            </w:pPr>
            <w:r>
              <w:rPr>
                <w:rFonts w:hint="eastAsia" w:ascii="Times New Roman" w:eastAsia="仿宋"/>
                <w:szCs w:val="24"/>
              </w:rPr>
              <w:t>危废仓库废气</w:t>
            </w:r>
          </w:p>
        </w:tc>
        <w:tc>
          <w:tcPr>
            <w:tcW w:w="827" w:type="dxa"/>
            <w:vMerge w:val="continue"/>
            <w:vAlign w:val="center"/>
          </w:tcPr>
          <w:p w14:paraId="7B87CA3A">
            <w:pPr>
              <w:adjustRightInd w:val="0"/>
              <w:snapToGrid w:val="0"/>
              <w:jc w:val="center"/>
              <w:rPr>
                <w:rFonts w:ascii="Times New Roman" w:eastAsia="仿宋"/>
                <w:szCs w:val="24"/>
              </w:rPr>
            </w:pPr>
          </w:p>
        </w:tc>
        <w:tc>
          <w:tcPr>
            <w:tcW w:w="1435" w:type="dxa"/>
            <w:vAlign w:val="center"/>
          </w:tcPr>
          <w:p w14:paraId="70913FF0">
            <w:pPr>
              <w:jc w:val="center"/>
              <w:rPr>
                <w:rFonts w:ascii="Times New Roman" w:eastAsia="仿宋"/>
                <w:szCs w:val="21"/>
              </w:rPr>
            </w:pPr>
            <w:r>
              <w:rPr>
                <w:rFonts w:hint="eastAsia" w:ascii="Times New Roman" w:eastAsia="仿宋"/>
                <w:szCs w:val="21"/>
              </w:rPr>
              <w:t>非甲烷总烃</w:t>
            </w:r>
          </w:p>
        </w:tc>
        <w:tc>
          <w:tcPr>
            <w:tcW w:w="1018" w:type="dxa"/>
            <w:vAlign w:val="center"/>
          </w:tcPr>
          <w:p w14:paraId="72B4C416">
            <w:pPr>
              <w:adjustRightInd w:val="0"/>
              <w:snapToGrid w:val="0"/>
              <w:jc w:val="center"/>
              <w:rPr>
                <w:rFonts w:ascii="Times New Roman" w:eastAsia="仿宋"/>
                <w:szCs w:val="24"/>
              </w:rPr>
            </w:pPr>
            <w:r>
              <w:rPr>
                <w:rFonts w:hint="eastAsia" w:ascii="Times New Roman" w:eastAsia="仿宋"/>
                <w:szCs w:val="24"/>
              </w:rPr>
              <w:t>/</w:t>
            </w:r>
          </w:p>
        </w:tc>
        <w:tc>
          <w:tcPr>
            <w:tcW w:w="1030" w:type="dxa"/>
            <w:vAlign w:val="center"/>
          </w:tcPr>
          <w:p w14:paraId="44E4B728">
            <w:pPr>
              <w:adjustRightInd w:val="0"/>
              <w:snapToGrid w:val="0"/>
              <w:jc w:val="center"/>
              <w:rPr>
                <w:rFonts w:ascii="Times New Roman" w:eastAsia="仿宋"/>
                <w:szCs w:val="24"/>
              </w:rPr>
            </w:pPr>
            <w:r>
              <w:rPr>
                <w:rFonts w:hint="eastAsia" w:ascii="Times New Roman" w:eastAsia="仿宋"/>
                <w:szCs w:val="24"/>
              </w:rPr>
              <w:t>/</w:t>
            </w:r>
          </w:p>
        </w:tc>
        <w:tc>
          <w:tcPr>
            <w:tcW w:w="1098" w:type="dxa"/>
            <w:vAlign w:val="center"/>
          </w:tcPr>
          <w:p w14:paraId="1B3C4002">
            <w:pPr>
              <w:adjustRightInd w:val="0"/>
              <w:snapToGrid w:val="0"/>
              <w:jc w:val="center"/>
              <w:rPr>
                <w:rFonts w:ascii="Times New Roman" w:eastAsia="仿宋"/>
                <w:szCs w:val="24"/>
              </w:rPr>
            </w:pPr>
            <w:r>
              <w:rPr>
                <w:rFonts w:hint="eastAsia" w:ascii="Times New Roman" w:eastAsia="仿宋"/>
                <w:szCs w:val="24"/>
              </w:rPr>
              <w:t>/</w:t>
            </w:r>
          </w:p>
        </w:tc>
        <w:tc>
          <w:tcPr>
            <w:tcW w:w="1590" w:type="dxa"/>
            <w:vMerge w:val="continue"/>
            <w:vAlign w:val="center"/>
          </w:tcPr>
          <w:p w14:paraId="01B4B4EE">
            <w:pPr>
              <w:adjustRightInd w:val="0"/>
              <w:snapToGrid w:val="0"/>
              <w:jc w:val="center"/>
              <w:rPr>
                <w:rFonts w:ascii="Times New Roman" w:eastAsia="仿宋"/>
                <w:szCs w:val="24"/>
              </w:rPr>
            </w:pPr>
          </w:p>
        </w:tc>
        <w:tc>
          <w:tcPr>
            <w:tcW w:w="956" w:type="dxa"/>
            <w:vMerge w:val="continue"/>
            <w:vAlign w:val="center"/>
          </w:tcPr>
          <w:p w14:paraId="1F3BE683">
            <w:pPr>
              <w:adjustRightInd w:val="0"/>
              <w:snapToGrid w:val="0"/>
              <w:jc w:val="center"/>
              <w:rPr>
                <w:rFonts w:ascii="Times New Roman" w:eastAsia="仿宋"/>
                <w:szCs w:val="24"/>
              </w:rPr>
            </w:pPr>
          </w:p>
        </w:tc>
        <w:tc>
          <w:tcPr>
            <w:tcW w:w="694" w:type="dxa"/>
            <w:vMerge w:val="continue"/>
            <w:vAlign w:val="center"/>
          </w:tcPr>
          <w:p w14:paraId="75379DCC">
            <w:pPr>
              <w:adjustRightInd w:val="0"/>
              <w:snapToGrid w:val="0"/>
              <w:jc w:val="center"/>
              <w:rPr>
                <w:rFonts w:ascii="Times New Roman" w:eastAsia="仿宋"/>
                <w:szCs w:val="24"/>
              </w:rPr>
            </w:pPr>
          </w:p>
        </w:tc>
        <w:tc>
          <w:tcPr>
            <w:tcW w:w="1226" w:type="dxa"/>
            <w:vMerge w:val="continue"/>
            <w:vAlign w:val="center"/>
          </w:tcPr>
          <w:p w14:paraId="5E7F6C35">
            <w:pPr>
              <w:adjustRightInd w:val="0"/>
              <w:snapToGrid w:val="0"/>
              <w:jc w:val="center"/>
              <w:rPr>
                <w:rFonts w:ascii="Times New Roman" w:eastAsia="仿宋"/>
                <w:szCs w:val="21"/>
              </w:rPr>
            </w:pPr>
          </w:p>
        </w:tc>
        <w:tc>
          <w:tcPr>
            <w:tcW w:w="879" w:type="dxa"/>
            <w:vMerge w:val="continue"/>
            <w:vAlign w:val="center"/>
          </w:tcPr>
          <w:p w14:paraId="6433FC18">
            <w:pPr>
              <w:adjustRightInd w:val="0"/>
              <w:snapToGrid w:val="0"/>
              <w:jc w:val="center"/>
              <w:rPr>
                <w:rFonts w:ascii="Times New Roman" w:eastAsia="仿宋"/>
                <w:szCs w:val="21"/>
              </w:rPr>
            </w:pPr>
          </w:p>
        </w:tc>
      </w:tr>
      <w:tr w14:paraId="299F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962" w:type="dxa"/>
            <w:vMerge w:val="restart"/>
            <w:vAlign w:val="center"/>
          </w:tcPr>
          <w:p w14:paraId="62ECF108">
            <w:pPr>
              <w:adjustRightInd w:val="0"/>
              <w:snapToGrid w:val="0"/>
              <w:jc w:val="center"/>
              <w:rPr>
                <w:rFonts w:ascii="Times New Roman" w:eastAsia="仿宋"/>
                <w:szCs w:val="24"/>
              </w:rPr>
            </w:pPr>
            <w:r>
              <w:rPr>
                <w:rFonts w:ascii="Times New Roman" w:eastAsia="仿宋"/>
                <w:szCs w:val="24"/>
              </w:rPr>
              <w:t>4</w:t>
            </w:r>
            <w:r>
              <w:rPr>
                <w:rFonts w:hint="eastAsia" w:ascii="Times New Roman" w:eastAsia="仿宋"/>
                <w:szCs w:val="24"/>
              </w:rPr>
              <w:t>#</w:t>
            </w:r>
          </w:p>
        </w:tc>
        <w:tc>
          <w:tcPr>
            <w:tcW w:w="1580" w:type="dxa"/>
            <w:vMerge w:val="restart"/>
            <w:vAlign w:val="center"/>
          </w:tcPr>
          <w:p w14:paraId="4FA29145">
            <w:pPr>
              <w:adjustRightInd w:val="0"/>
              <w:snapToGrid w:val="0"/>
              <w:jc w:val="center"/>
              <w:rPr>
                <w:rFonts w:ascii="Times New Roman" w:eastAsia="仿宋"/>
                <w:szCs w:val="24"/>
              </w:rPr>
            </w:pPr>
            <w:r>
              <w:rPr>
                <w:rFonts w:hint="eastAsia" w:ascii="Times New Roman" w:eastAsia="仿宋"/>
                <w:szCs w:val="24"/>
              </w:rPr>
              <w:t>固化废气G7</w:t>
            </w:r>
          </w:p>
        </w:tc>
        <w:tc>
          <w:tcPr>
            <w:tcW w:w="827" w:type="dxa"/>
            <w:vMerge w:val="restart"/>
            <w:vAlign w:val="center"/>
          </w:tcPr>
          <w:p w14:paraId="76AE9383">
            <w:pPr>
              <w:adjustRightInd w:val="0"/>
              <w:snapToGrid w:val="0"/>
              <w:jc w:val="center"/>
              <w:rPr>
                <w:rFonts w:ascii="Times New Roman" w:eastAsia="仿宋"/>
                <w:szCs w:val="24"/>
              </w:rPr>
            </w:pPr>
            <w:r>
              <w:rPr>
                <w:rFonts w:hint="eastAsia" w:ascii="Times New Roman" w:eastAsia="仿宋"/>
                <w:szCs w:val="24"/>
              </w:rPr>
              <w:t>2</w:t>
            </w:r>
            <w:r>
              <w:rPr>
                <w:rFonts w:ascii="Times New Roman" w:eastAsia="仿宋"/>
                <w:szCs w:val="24"/>
              </w:rPr>
              <w:t>1000</w:t>
            </w:r>
          </w:p>
        </w:tc>
        <w:tc>
          <w:tcPr>
            <w:tcW w:w="1435" w:type="dxa"/>
            <w:vAlign w:val="center"/>
          </w:tcPr>
          <w:p w14:paraId="57660DC8">
            <w:pPr>
              <w:adjustRightInd w:val="0"/>
              <w:snapToGrid w:val="0"/>
              <w:jc w:val="center"/>
              <w:rPr>
                <w:rFonts w:ascii="Times New Roman" w:eastAsia="仿宋"/>
                <w:szCs w:val="24"/>
              </w:rPr>
            </w:pPr>
            <w:r>
              <w:rPr>
                <w:rFonts w:hint="eastAsia" w:ascii="Times New Roman" w:eastAsia="仿宋"/>
                <w:szCs w:val="21"/>
              </w:rPr>
              <w:t>非甲烷总烃</w:t>
            </w:r>
          </w:p>
        </w:tc>
        <w:tc>
          <w:tcPr>
            <w:tcW w:w="1018" w:type="dxa"/>
            <w:vAlign w:val="center"/>
          </w:tcPr>
          <w:p w14:paraId="3A3FEAD8">
            <w:pPr>
              <w:widowControl/>
              <w:jc w:val="center"/>
              <w:textAlignment w:val="center"/>
              <w:rPr>
                <w:rFonts w:ascii="Times New Roman" w:eastAsia="仿宋"/>
                <w:szCs w:val="24"/>
              </w:rPr>
            </w:pPr>
            <w:r>
              <w:rPr>
                <w:rFonts w:hint="eastAsia" w:ascii="Times New Roman" w:eastAsia="仿宋"/>
                <w:szCs w:val="24"/>
              </w:rPr>
              <w:t>0.52</w:t>
            </w:r>
          </w:p>
        </w:tc>
        <w:tc>
          <w:tcPr>
            <w:tcW w:w="1030" w:type="dxa"/>
            <w:vAlign w:val="center"/>
          </w:tcPr>
          <w:p w14:paraId="529186D9">
            <w:pPr>
              <w:widowControl/>
              <w:jc w:val="center"/>
              <w:textAlignment w:val="center"/>
              <w:rPr>
                <w:rFonts w:ascii="Times New Roman" w:eastAsia="仿宋"/>
                <w:szCs w:val="24"/>
              </w:rPr>
            </w:pPr>
            <w:r>
              <w:rPr>
                <w:rFonts w:hint="eastAsia" w:ascii="Times New Roman" w:eastAsia="仿宋"/>
                <w:szCs w:val="24"/>
              </w:rPr>
              <w:t>0.011</w:t>
            </w:r>
          </w:p>
        </w:tc>
        <w:tc>
          <w:tcPr>
            <w:tcW w:w="1098" w:type="dxa"/>
            <w:vAlign w:val="center"/>
          </w:tcPr>
          <w:p w14:paraId="00EF4835">
            <w:pPr>
              <w:widowControl/>
              <w:jc w:val="center"/>
              <w:textAlignment w:val="center"/>
              <w:rPr>
                <w:rFonts w:ascii="Times New Roman" w:eastAsia="仿宋"/>
                <w:szCs w:val="24"/>
              </w:rPr>
            </w:pPr>
            <w:r>
              <w:rPr>
                <w:rFonts w:hint="eastAsia" w:ascii="Times New Roman" w:eastAsia="仿宋"/>
                <w:szCs w:val="24"/>
              </w:rPr>
              <w:t>0.053</w:t>
            </w:r>
          </w:p>
        </w:tc>
        <w:tc>
          <w:tcPr>
            <w:tcW w:w="1590" w:type="dxa"/>
            <w:vMerge w:val="restart"/>
            <w:vAlign w:val="center"/>
          </w:tcPr>
          <w:p w14:paraId="450737ED">
            <w:pPr>
              <w:jc w:val="center"/>
              <w:rPr>
                <w:rFonts w:ascii="Times New Roman" w:eastAsia="仿宋"/>
                <w:szCs w:val="21"/>
              </w:rPr>
            </w:pPr>
            <w:r>
              <w:rPr>
                <w:rFonts w:ascii="Times New Roman" w:eastAsia="仿宋"/>
                <w:szCs w:val="21"/>
              </w:rPr>
              <w:t>3</w:t>
            </w:r>
            <w:r>
              <w:rPr>
                <w:rFonts w:hint="eastAsia" w:ascii="Times New Roman" w:eastAsia="仿宋"/>
                <w:szCs w:val="21"/>
              </w:rPr>
              <w:t>号水帘式循环过滤系统+水喷淋+干式过滤器+三级活性炭吸附脱附+催化燃烧</w:t>
            </w:r>
          </w:p>
        </w:tc>
        <w:tc>
          <w:tcPr>
            <w:tcW w:w="956" w:type="dxa"/>
            <w:vMerge w:val="restart"/>
            <w:vAlign w:val="center"/>
          </w:tcPr>
          <w:p w14:paraId="4F87E3B0">
            <w:pPr>
              <w:adjustRightInd w:val="0"/>
              <w:snapToGrid w:val="0"/>
              <w:jc w:val="center"/>
              <w:rPr>
                <w:rFonts w:ascii="Times New Roman" w:eastAsia="仿宋"/>
                <w:szCs w:val="24"/>
              </w:rPr>
            </w:pPr>
            <w:r>
              <w:rPr>
                <w:rFonts w:ascii="Times New Roman" w:eastAsia="仿宋"/>
                <w:szCs w:val="24"/>
              </w:rPr>
              <w:t>15</w:t>
            </w:r>
          </w:p>
        </w:tc>
        <w:tc>
          <w:tcPr>
            <w:tcW w:w="694" w:type="dxa"/>
            <w:vMerge w:val="restart"/>
            <w:vAlign w:val="center"/>
          </w:tcPr>
          <w:p w14:paraId="12CCF3DF">
            <w:pPr>
              <w:adjustRightInd w:val="0"/>
              <w:snapToGrid w:val="0"/>
              <w:jc w:val="center"/>
              <w:rPr>
                <w:rFonts w:ascii="Times New Roman" w:eastAsia="仿宋"/>
                <w:szCs w:val="24"/>
              </w:rPr>
            </w:pPr>
            <w:r>
              <w:rPr>
                <w:rFonts w:ascii="Times New Roman" w:eastAsia="仿宋"/>
                <w:szCs w:val="24"/>
              </w:rPr>
              <w:t>0.8</w:t>
            </w:r>
          </w:p>
        </w:tc>
        <w:tc>
          <w:tcPr>
            <w:tcW w:w="1226" w:type="dxa"/>
            <w:vMerge w:val="restart"/>
            <w:vAlign w:val="center"/>
          </w:tcPr>
          <w:p w14:paraId="76D867B8">
            <w:pPr>
              <w:adjustRightInd w:val="0"/>
              <w:snapToGrid w:val="0"/>
              <w:jc w:val="center"/>
              <w:rPr>
                <w:rFonts w:ascii="Times New Roman" w:eastAsia="仿宋"/>
                <w:szCs w:val="21"/>
              </w:rPr>
            </w:pPr>
            <w:r>
              <w:rPr>
                <w:rFonts w:hint="eastAsia" w:ascii="Times New Roman" w:eastAsia="仿宋"/>
                <w:szCs w:val="21"/>
              </w:rPr>
              <w:t>50</w:t>
            </w:r>
          </w:p>
        </w:tc>
        <w:tc>
          <w:tcPr>
            <w:tcW w:w="879" w:type="dxa"/>
            <w:vMerge w:val="restart"/>
            <w:vAlign w:val="center"/>
          </w:tcPr>
          <w:p w14:paraId="2EFC68C6">
            <w:pPr>
              <w:adjustRightInd w:val="0"/>
              <w:snapToGrid w:val="0"/>
              <w:jc w:val="center"/>
              <w:rPr>
                <w:rFonts w:ascii="Times New Roman" w:eastAsia="仿宋"/>
                <w:szCs w:val="21"/>
              </w:rPr>
            </w:pPr>
            <w:r>
              <w:rPr>
                <w:rFonts w:hint="eastAsia" w:ascii="Times New Roman" w:eastAsia="仿宋"/>
                <w:szCs w:val="21"/>
              </w:rPr>
              <w:t>连续4800h</w:t>
            </w:r>
          </w:p>
        </w:tc>
      </w:tr>
      <w:tr w14:paraId="6A51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962" w:type="dxa"/>
            <w:vMerge w:val="continue"/>
            <w:vAlign w:val="center"/>
          </w:tcPr>
          <w:p w14:paraId="20E07C75">
            <w:pPr>
              <w:adjustRightInd w:val="0"/>
              <w:snapToGrid w:val="0"/>
              <w:jc w:val="center"/>
              <w:rPr>
                <w:rFonts w:ascii="Times New Roman" w:eastAsia="仿宋"/>
                <w:szCs w:val="24"/>
              </w:rPr>
            </w:pPr>
          </w:p>
        </w:tc>
        <w:tc>
          <w:tcPr>
            <w:tcW w:w="1580" w:type="dxa"/>
            <w:vMerge w:val="continue"/>
            <w:vAlign w:val="center"/>
          </w:tcPr>
          <w:p w14:paraId="1B7C525C">
            <w:pPr>
              <w:adjustRightInd w:val="0"/>
              <w:snapToGrid w:val="0"/>
              <w:jc w:val="center"/>
              <w:rPr>
                <w:rFonts w:ascii="Times New Roman" w:eastAsia="仿宋"/>
                <w:szCs w:val="24"/>
              </w:rPr>
            </w:pPr>
          </w:p>
        </w:tc>
        <w:tc>
          <w:tcPr>
            <w:tcW w:w="827" w:type="dxa"/>
            <w:vMerge w:val="continue"/>
            <w:vAlign w:val="center"/>
          </w:tcPr>
          <w:p w14:paraId="3074840A">
            <w:pPr>
              <w:adjustRightInd w:val="0"/>
              <w:snapToGrid w:val="0"/>
              <w:jc w:val="center"/>
              <w:rPr>
                <w:rFonts w:ascii="Times New Roman" w:eastAsia="仿宋"/>
                <w:szCs w:val="24"/>
              </w:rPr>
            </w:pPr>
          </w:p>
        </w:tc>
        <w:tc>
          <w:tcPr>
            <w:tcW w:w="1435" w:type="dxa"/>
            <w:vAlign w:val="center"/>
          </w:tcPr>
          <w:p w14:paraId="0F7099DE">
            <w:pPr>
              <w:adjustRightInd w:val="0"/>
              <w:snapToGrid w:val="0"/>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4E571002">
            <w:pPr>
              <w:widowControl/>
              <w:jc w:val="center"/>
              <w:textAlignment w:val="center"/>
              <w:rPr>
                <w:rFonts w:ascii="Times New Roman" w:eastAsia="仿宋"/>
                <w:szCs w:val="24"/>
              </w:rPr>
            </w:pPr>
            <w:r>
              <w:rPr>
                <w:rFonts w:hint="eastAsia" w:ascii="Times New Roman" w:eastAsia="仿宋"/>
                <w:szCs w:val="24"/>
              </w:rPr>
              <w:t>0.52</w:t>
            </w:r>
          </w:p>
        </w:tc>
        <w:tc>
          <w:tcPr>
            <w:tcW w:w="1030" w:type="dxa"/>
            <w:vAlign w:val="center"/>
          </w:tcPr>
          <w:p w14:paraId="34794C7A">
            <w:pPr>
              <w:widowControl/>
              <w:jc w:val="center"/>
              <w:textAlignment w:val="center"/>
              <w:rPr>
                <w:rFonts w:ascii="Times New Roman" w:eastAsia="仿宋"/>
                <w:szCs w:val="24"/>
              </w:rPr>
            </w:pPr>
            <w:r>
              <w:rPr>
                <w:rFonts w:hint="eastAsia" w:ascii="Times New Roman" w:eastAsia="仿宋"/>
                <w:szCs w:val="24"/>
              </w:rPr>
              <w:t>0.011</w:t>
            </w:r>
          </w:p>
        </w:tc>
        <w:tc>
          <w:tcPr>
            <w:tcW w:w="1098" w:type="dxa"/>
            <w:vAlign w:val="center"/>
          </w:tcPr>
          <w:p w14:paraId="075947B1">
            <w:pPr>
              <w:widowControl/>
              <w:jc w:val="center"/>
              <w:textAlignment w:val="center"/>
              <w:rPr>
                <w:rFonts w:ascii="Times New Roman" w:eastAsia="仿宋"/>
                <w:szCs w:val="24"/>
              </w:rPr>
            </w:pPr>
            <w:r>
              <w:rPr>
                <w:rFonts w:hint="eastAsia" w:ascii="Times New Roman" w:eastAsia="仿宋"/>
                <w:szCs w:val="24"/>
              </w:rPr>
              <w:t>0.053</w:t>
            </w:r>
          </w:p>
        </w:tc>
        <w:tc>
          <w:tcPr>
            <w:tcW w:w="1590" w:type="dxa"/>
            <w:vMerge w:val="continue"/>
            <w:vAlign w:val="center"/>
          </w:tcPr>
          <w:p w14:paraId="64F46147">
            <w:pPr>
              <w:jc w:val="center"/>
              <w:rPr>
                <w:rFonts w:ascii="Times New Roman" w:eastAsia="仿宋"/>
                <w:szCs w:val="21"/>
              </w:rPr>
            </w:pPr>
          </w:p>
        </w:tc>
        <w:tc>
          <w:tcPr>
            <w:tcW w:w="956" w:type="dxa"/>
            <w:vMerge w:val="continue"/>
            <w:vAlign w:val="center"/>
          </w:tcPr>
          <w:p w14:paraId="5C0816FB">
            <w:pPr>
              <w:adjustRightInd w:val="0"/>
              <w:snapToGrid w:val="0"/>
              <w:jc w:val="center"/>
              <w:rPr>
                <w:rFonts w:ascii="Times New Roman" w:eastAsia="仿宋"/>
                <w:szCs w:val="24"/>
              </w:rPr>
            </w:pPr>
          </w:p>
        </w:tc>
        <w:tc>
          <w:tcPr>
            <w:tcW w:w="694" w:type="dxa"/>
            <w:vMerge w:val="continue"/>
            <w:vAlign w:val="center"/>
          </w:tcPr>
          <w:p w14:paraId="00A3F46D">
            <w:pPr>
              <w:adjustRightInd w:val="0"/>
              <w:snapToGrid w:val="0"/>
              <w:jc w:val="center"/>
              <w:rPr>
                <w:rFonts w:ascii="Times New Roman" w:eastAsia="仿宋"/>
                <w:szCs w:val="24"/>
              </w:rPr>
            </w:pPr>
          </w:p>
        </w:tc>
        <w:tc>
          <w:tcPr>
            <w:tcW w:w="1226" w:type="dxa"/>
            <w:vMerge w:val="continue"/>
            <w:vAlign w:val="center"/>
          </w:tcPr>
          <w:p w14:paraId="74C5954E">
            <w:pPr>
              <w:adjustRightInd w:val="0"/>
              <w:snapToGrid w:val="0"/>
              <w:jc w:val="center"/>
              <w:rPr>
                <w:rFonts w:ascii="Times New Roman" w:eastAsia="仿宋"/>
                <w:szCs w:val="21"/>
              </w:rPr>
            </w:pPr>
          </w:p>
        </w:tc>
        <w:tc>
          <w:tcPr>
            <w:tcW w:w="879" w:type="dxa"/>
            <w:vMerge w:val="continue"/>
            <w:vAlign w:val="center"/>
          </w:tcPr>
          <w:p w14:paraId="0C9C4259">
            <w:pPr>
              <w:adjustRightInd w:val="0"/>
              <w:snapToGrid w:val="0"/>
              <w:jc w:val="center"/>
              <w:rPr>
                <w:rFonts w:ascii="Times New Roman" w:eastAsia="仿宋"/>
                <w:szCs w:val="21"/>
              </w:rPr>
            </w:pPr>
          </w:p>
        </w:tc>
      </w:tr>
      <w:tr w14:paraId="4214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2FCCAB75">
            <w:pPr>
              <w:adjustRightInd w:val="0"/>
              <w:snapToGrid w:val="0"/>
              <w:jc w:val="center"/>
              <w:rPr>
                <w:rFonts w:ascii="Times New Roman" w:eastAsia="仿宋"/>
                <w:szCs w:val="24"/>
              </w:rPr>
            </w:pPr>
          </w:p>
        </w:tc>
        <w:tc>
          <w:tcPr>
            <w:tcW w:w="1580" w:type="dxa"/>
            <w:vMerge w:val="restart"/>
            <w:vAlign w:val="center"/>
          </w:tcPr>
          <w:p w14:paraId="33B7BAAD">
            <w:pPr>
              <w:adjustRightInd w:val="0"/>
              <w:snapToGrid w:val="0"/>
              <w:jc w:val="center"/>
              <w:rPr>
                <w:rFonts w:ascii="Times New Roman" w:eastAsia="仿宋"/>
                <w:szCs w:val="24"/>
              </w:rPr>
            </w:pPr>
            <w:r>
              <w:rPr>
                <w:rFonts w:hint="eastAsia" w:ascii="Times New Roman" w:eastAsia="仿宋"/>
                <w:szCs w:val="24"/>
              </w:rPr>
              <w:t>氟碳面漆烘干废气G1</w:t>
            </w:r>
            <w:r>
              <w:rPr>
                <w:rFonts w:ascii="Times New Roman" w:eastAsia="仿宋"/>
                <w:szCs w:val="24"/>
              </w:rPr>
              <w:t>2</w:t>
            </w:r>
          </w:p>
        </w:tc>
        <w:tc>
          <w:tcPr>
            <w:tcW w:w="827" w:type="dxa"/>
            <w:vMerge w:val="continue"/>
            <w:vAlign w:val="center"/>
          </w:tcPr>
          <w:p w14:paraId="7FBAC1CF">
            <w:pPr>
              <w:adjustRightInd w:val="0"/>
              <w:snapToGrid w:val="0"/>
              <w:jc w:val="center"/>
              <w:rPr>
                <w:rFonts w:ascii="Times New Roman" w:eastAsia="仿宋"/>
                <w:szCs w:val="24"/>
              </w:rPr>
            </w:pPr>
          </w:p>
        </w:tc>
        <w:tc>
          <w:tcPr>
            <w:tcW w:w="1435" w:type="dxa"/>
            <w:vAlign w:val="center"/>
          </w:tcPr>
          <w:p w14:paraId="71EF6D19">
            <w:pPr>
              <w:jc w:val="center"/>
              <w:rPr>
                <w:rFonts w:ascii="Times New Roman" w:eastAsia="仿宋"/>
                <w:szCs w:val="21"/>
              </w:rPr>
            </w:pPr>
            <w:r>
              <w:rPr>
                <w:rFonts w:hint="eastAsia" w:ascii="Times New Roman" w:eastAsia="仿宋"/>
                <w:szCs w:val="21"/>
              </w:rPr>
              <w:t>非甲烷总烃</w:t>
            </w:r>
          </w:p>
        </w:tc>
        <w:tc>
          <w:tcPr>
            <w:tcW w:w="1018" w:type="dxa"/>
            <w:vAlign w:val="center"/>
          </w:tcPr>
          <w:p w14:paraId="62F2B588">
            <w:pPr>
              <w:widowControl/>
              <w:jc w:val="center"/>
              <w:textAlignment w:val="center"/>
              <w:rPr>
                <w:rFonts w:ascii="Times New Roman" w:eastAsia="仿宋"/>
                <w:szCs w:val="24"/>
              </w:rPr>
            </w:pPr>
            <w:r>
              <w:rPr>
                <w:rFonts w:hint="eastAsia" w:ascii="Times New Roman" w:eastAsia="仿宋"/>
                <w:szCs w:val="24"/>
              </w:rPr>
              <w:t>143.8</w:t>
            </w:r>
          </w:p>
        </w:tc>
        <w:tc>
          <w:tcPr>
            <w:tcW w:w="1030" w:type="dxa"/>
            <w:vAlign w:val="center"/>
          </w:tcPr>
          <w:p w14:paraId="391CC2F2">
            <w:pPr>
              <w:widowControl/>
              <w:jc w:val="center"/>
              <w:textAlignment w:val="center"/>
              <w:rPr>
                <w:rFonts w:ascii="Times New Roman" w:eastAsia="仿宋"/>
                <w:szCs w:val="24"/>
              </w:rPr>
            </w:pPr>
            <w:r>
              <w:rPr>
                <w:rFonts w:hint="eastAsia" w:ascii="Times New Roman" w:eastAsia="仿宋"/>
                <w:szCs w:val="24"/>
              </w:rPr>
              <w:t>3.02</w:t>
            </w:r>
          </w:p>
        </w:tc>
        <w:tc>
          <w:tcPr>
            <w:tcW w:w="1098" w:type="dxa"/>
            <w:shd w:val="clear" w:color="auto" w:fill="auto"/>
            <w:vAlign w:val="center"/>
          </w:tcPr>
          <w:p w14:paraId="385AD948">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590" w:type="dxa"/>
            <w:vMerge w:val="continue"/>
            <w:vAlign w:val="center"/>
          </w:tcPr>
          <w:p w14:paraId="279BDBDF">
            <w:pPr>
              <w:jc w:val="center"/>
              <w:rPr>
                <w:rFonts w:ascii="Times New Roman" w:eastAsia="仿宋"/>
                <w:szCs w:val="21"/>
              </w:rPr>
            </w:pPr>
          </w:p>
        </w:tc>
        <w:tc>
          <w:tcPr>
            <w:tcW w:w="956" w:type="dxa"/>
            <w:vMerge w:val="continue"/>
            <w:vAlign w:val="center"/>
          </w:tcPr>
          <w:p w14:paraId="30E4610A">
            <w:pPr>
              <w:adjustRightInd w:val="0"/>
              <w:snapToGrid w:val="0"/>
              <w:jc w:val="center"/>
              <w:rPr>
                <w:rFonts w:ascii="Times New Roman" w:eastAsia="仿宋"/>
                <w:szCs w:val="24"/>
              </w:rPr>
            </w:pPr>
          </w:p>
        </w:tc>
        <w:tc>
          <w:tcPr>
            <w:tcW w:w="694" w:type="dxa"/>
            <w:vMerge w:val="continue"/>
            <w:vAlign w:val="center"/>
          </w:tcPr>
          <w:p w14:paraId="672647E1">
            <w:pPr>
              <w:adjustRightInd w:val="0"/>
              <w:snapToGrid w:val="0"/>
              <w:jc w:val="center"/>
              <w:rPr>
                <w:rFonts w:ascii="Times New Roman" w:eastAsia="仿宋"/>
                <w:szCs w:val="24"/>
              </w:rPr>
            </w:pPr>
          </w:p>
        </w:tc>
        <w:tc>
          <w:tcPr>
            <w:tcW w:w="1226" w:type="dxa"/>
            <w:vMerge w:val="continue"/>
            <w:vAlign w:val="center"/>
          </w:tcPr>
          <w:p w14:paraId="48D6AAFF">
            <w:pPr>
              <w:adjustRightInd w:val="0"/>
              <w:snapToGrid w:val="0"/>
              <w:jc w:val="center"/>
              <w:rPr>
                <w:rFonts w:ascii="Times New Roman" w:eastAsia="仿宋"/>
                <w:szCs w:val="21"/>
              </w:rPr>
            </w:pPr>
          </w:p>
        </w:tc>
        <w:tc>
          <w:tcPr>
            <w:tcW w:w="879" w:type="dxa"/>
            <w:vMerge w:val="continue"/>
            <w:vAlign w:val="center"/>
          </w:tcPr>
          <w:p w14:paraId="52E1DE82">
            <w:pPr>
              <w:adjustRightInd w:val="0"/>
              <w:snapToGrid w:val="0"/>
              <w:jc w:val="center"/>
              <w:rPr>
                <w:rFonts w:ascii="Times New Roman" w:eastAsia="仿宋"/>
                <w:szCs w:val="21"/>
              </w:rPr>
            </w:pPr>
          </w:p>
        </w:tc>
      </w:tr>
      <w:tr w14:paraId="1B2F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6762C440">
            <w:pPr>
              <w:adjustRightInd w:val="0"/>
              <w:snapToGrid w:val="0"/>
              <w:jc w:val="center"/>
              <w:rPr>
                <w:rFonts w:ascii="Times New Roman" w:eastAsia="仿宋"/>
                <w:szCs w:val="24"/>
              </w:rPr>
            </w:pPr>
          </w:p>
        </w:tc>
        <w:tc>
          <w:tcPr>
            <w:tcW w:w="1580" w:type="dxa"/>
            <w:vMerge w:val="continue"/>
            <w:vAlign w:val="center"/>
          </w:tcPr>
          <w:p w14:paraId="39927331">
            <w:pPr>
              <w:adjustRightInd w:val="0"/>
              <w:snapToGrid w:val="0"/>
              <w:jc w:val="center"/>
              <w:rPr>
                <w:rFonts w:ascii="Times New Roman" w:eastAsia="仿宋"/>
                <w:szCs w:val="24"/>
              </w:rPr>
            </w:pPr>
          </w:p>
        </w:tc>
        <w:tc>
          <w:tcPr>
            <w:tcW w:w="827" w:type="dxa"/>
            <w:vMerge w:val="continue"/>
            <w:vAlign w:val="center"/>
          </w:tcPr>
          <w:p w14:paraId="77011286">
            <w:pPr>
              <w:adjustRightInd w:val="0"/>
              <w:snapToGrid w:val="0"/>
              <w:jc w:val="center"/>
              <w:rPr>
                <w:rFonts w:ascii="Times New Roman" w:eastAsia="仿宋"/>
                <w:szCs w:val="24"/>
              </w:rPr>
            </w:pPr>
          </w:p>
        </w:tc>
        <w:tc>
          <w:tcPr>
            <w:tcW w:w="1435" w:type="dxa"/>
            <w:vAlign w:val="center"/>
          </w:tcPr>
          <w:p w14:paraId="51B59762">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2868C40C">
            <w:pPr>
              <w:widowControl/>
              <w:jc w:val="center"/>
              <w:textAlignment w:val="center"/>
              <w:rPr>
                <w:rFonts w:ascii="Times New Roman" w:eastAsia="仿宋"/>
                <w:szCs w:val="24"/>
              </w:rPr>
            </w:pPr>
            <w:r>
              <w:rPr>
                <w:rFonts w:hint="eastAsia" w:ascii="Times New Roman" w:eastAsia="仿宋"/>
                <w:szCs w:val="24"/>
              </w:rPr>
              <w:t>143.8</w:t>
            </w:r>
          </w:p>
        </w:tc>
        <w:tc>
          <w:tcPr>
            <w:tcW w:w="1030" w:type="dxa"/>
            <w:vAlign w:val="center"/>
          </w:tcPr>
          <w:p w14:paraId="7B5E0DB3">
            <w:pPr>
              <w:widowControl/>
              <w:jc w:val="center"/>
              <w:textAlignment w:val="center"/>
              <w:rPr>
                <w:rFonts w:ascii="Times New Roman" w:eastAsia="仿宋"/>
                <w:szCs w:val="24"/>
              </w:rPr>
            </w:pPr>
            <w:r>
              <w:rPr>
                <w:rFonts w:hint="eastAsia" w:ascii="Times New Roman" w:eastAsia="仿宋"/>
                <w:szCs w:val="24"/>
              </w:rPr>
              <w:t>3.02</w:t>
            </w:r>
          </w:p>
        </w:tc>
        <w:tc>
          <w:tcPr>
            <w:tcW w:w="1098" w:type="dxa"/>
            <w:shd w:val="clear" w:color="auto" w:fill="auto"/>
            <w:vAlign w:val="center"/>
          </w:tcPr>
          <w:p w14:paraId="10BC96CC">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1590" w:type="dxa"/>
            <w:vMerge w:val="continue"/>
            <w:vAlign w:val="center"/>
          </w:tcPr>
          <w:p w14:paraId="598981E8">
            <w:pPr>
              <w:jc w:val="center"/>
              <w:rPr>
                <w:rFonts w:ascii="Times New Roman" w:eastAsia="仿宋"/>
                <w:szCs w:val="21"/>
              </w:rPr>
            </w:pPr>
          </w:p>
        </w:tc>
        <w:tc>
          <w:tcPr>
            <w:tcW w:w="956" w:type="dxa"/>
            <w:vMerge w:val="continue"/>
            <w:vAlign w:val="center"/>
          </w:tcPr>
          <w:p w14:paraId="09A616F9">
            <w:pPr>
              <w:adjustRightInd w:val="0"/>
              <w:snapToGrid w:val="0"/>
              <w:jc w:val="center"/>
              <w:rPr>
                <w:rFonts w:ascii="Times New Roman" w:eastAsia="仿宋"/>
                <w:szCs w:val="24"/>
              </w:rPr>
            </w:pPr>
          </w:p>
        </w:tc>
        <w:tc>
          <w:tcPr>
            <w:tcW w:w="694" w:type="dxa"/>
            <w:vMerge w:val="continue"/>
            <w:vAlign w:val="center"/>
          </w:tcPr>
          <w:p w14:paraId="29A2A8E7">
            <w:pPr>
              <w:adjustRightInd w:val="0"/>
              <w:snapToGrid w:val="0"/>
              <w:jc w:val="center"/>
              <w:rPr>
                <w:rFonts w:ascii="Times New Roman" w:eastAsia="仿宋"/>
                <w:szCs w:val="24"/>
              </w:rPr>
            </w:pPr>
          </w:p>
        </w:tc>
        <w:tc>
          <w:tcPr>
            <w:tcW w:w="1226" w:type="dxa"/>
            <w:vMerge w:val="continue"/>
            <w:vAlign w:val="center"/>
          </w:tcPr>
          <w:p w14:paraId="05CAECCF">
            <w:pPr>
              <w:adjustRightInd w:val="0"/>
              <w:snapToGrid w:val="0"/>
              <w:jc w:val="center"/>
              <w:rPr>
                <w:rFonts w:ascii="Times New Roman" w:eastAsia="仿宋"/>
                <w:szCs w:val="21"/>
              </w:rPr>
            </w:pPr>
          </w:p>
        </w:tc>
        <w:tc>
          <w:tcPr>
            <w:tcW w:w="879" w:type="dxa"/>
            <w:vMerge w:val="continue"/>
            <w:vAlign w:val="center"/>
          </w:tcPr>
          <w:p w14:paraId="41CCC370">
            <w:pPr>
              <w:adjustRightInd w:val="0"/>
              <w:snapToGrid w:val="0"/>
              <w:jc w:val="center"/>
              <w:rPr>
                <w:rFonts w:ascii="Times New Roman" w:eastAsia="仿宋"/>
                <w:szCs w:val="21"/>
              </w:rPr>
            </w:pPr>
          </w:p>
        </w:tc>
      </w:tr>
      <w:tr w14:paraId="3B89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4976E0FA">
            <w:pPr>
              <w:adjustRightInd w:val="0"/>
              <w:snapToGrid w:val="0"/>
              <w:jc w:val="center"/>
              <w:rPr>
                <w:rFonts w:ascii="Times New Roman" w:eastAsia="仿宋"/>
                <w:szCs w:val="24"/>
              </w:rPr>
            </w:pPr>
          </w:p>
        </w:tc>
        <w:tc>
          <w:tcPr>
            <w:tcW w:w="1580" w:type="dxa"/>
            <w:vMerge w:val="continue"/>
            <w:vAlign w:val="center"/>
          </w:tcPr>
          <w:p w14:paraId="77EB382F">
            <w:pPr>
              <w:adjustRightInd w:val="0"/>
              <w:snapToGrid w:val="0"/>
              <w:jc w:val="center"/>
              <w:rPr>
                <w:rFonts w:ascii="Times New Roman" w:eastAsia="仿宋"/>
                <w:szCs w:val="24"/>
              </w:rPr>
            </w:pPr>
          </w:p>
        </w:tc>
        <w:tc>
          <w:tcPr>
            <w:tcW w:w="827" w:type="dxa"/>
            <w:vMerge w:val="continue"/>
            <w:vAlign w:val="center"/>
          </w:tcPr>
          <w:p w14:paraId="1DF32C2A">
            <w:pPr>
              <w:adjustRightInd w:val="0"/>
              <w:snapToGrid w:val="0"/>
              <w:jc w:val="center"/>
              <w:rPr>
                <w:rFonts w:ascii="Times New Roman" w:eastAsia="仿宋"/>
                <w:szCs w:val="24"/>
              </w:rPr>
            </w:pPr>
          </w:p>
        </w:tc>
        <w:tc>
          <w:tcPr>
            <w:tcW w:w="1435" w:type="dxa"/>
            <w:vAlign w:val="center"/>
          </w:tcPr>
          <w:p w14:paraId="43756397">
            <w:pPr>
              <w:jc w:val="center"/>
              <w:rPr>
                <w:rFonts w:ascii="Times New Roman" w:eastAsia="仿宋"/>
                <w:szCs w:val="21"/>
              </w:rPr>
            </w:pPr>
            <w:r>
              <w:rPr>
                <w:rFonts w:hint="eastAsia" w:ascii="Times New Roman" w:eastAsia="仿宋"/>
                <w:szCs w:val="21"/>
              </w:rPr>
              <w:t>二甲苯</w:t>
            </w:r>
          </w:p>
        </w:tc>
        <w:tc>
          <w:tcPr>
            <w:tcW w:w="1018" w:type="dxa"/>
            <w:vAlign w:val="center"/>
          </w:tcPr>
          <w:p w14:paraId="41B493EB">
            <w:pPr>
              <w:widowControl/>
              <w:jc w:val="center"/>
              <w:textAlignment w:val="center"/>
              <w:rPr>
                <w:rFonts w:ascii="Times New Roman" w:eastAsia="仿宋"/>
                <w:szCs w:val="24"/>
              </w:rPr>
            </w:pPr>
            <w:r>
              <w:rPr>
                <w:rFonts w:hint="eastAsia" w:ascii="Times New Roman" w:eastAsia="仿宋"/>
                <w:szCs w:val="24"/>
              </w:rPr>
              <w:t>41.42</w:t>
            </w:r>
          </w:p>
        </w:tc>
        <w:tc>
          <w:tcPr>
            <w:tcW w:w="1030" w:type="dxa"/>
            <w:vAlign w:val="center"/>
          </w:tcPr>
          <w:p w14:paraId="2ABE8539">
            <w:pPr>
              <w:widowControl/>
              <w:jc w:val="center"/>
              <w:textAlignment w:val="center"/>
              <w:rPr>
                <w:rFonts w:ascii="Times New Roman" w:eastAsia="仿宋"/>
                <w:szCs w:val="24"/>
              </w:rPr>
            </w:pPr>
            <w:r>
              <w:rPr>
                <w:rFonts w:hint="eastAsia" w:ascii="Times New Roman" w:eastAsia="仿宋"/>
                <w:szCs w:val="24"/>
              </w:rPr>
              <w:t>0.87</w:t>
            </w:r>
          </w:p>
        </w:tc>
        <w:tc>
          <w:tcPr>
            <w:tcW w:w="1098" w:type="dxa"/>
            <w:shd w:val="clear" w:color="auto" w:fill="auto"/>
            <w:vAlign w:val="center"/>
          </w:tcPr>
          <w:p w14:paraId="45383CA4">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590" w:type="dxa"/>
            <w:vMerge w:val="continue"/>
            <w:vAlign w:val="center"/>
          </w:tcPr>
          <w:p w14:paraId="06AC95FB">
            <w:pPr>
              <w:jc w:val="center"/>
              <w:rPr>
                <w:rFonts w:ascii="Times New Roman" w:eastAsia="仿宋"/>
                <w:szCs w:val="21"/>
              </w:rPr>
            </w:pPr>
          </w:p>
        </w:tc>
        <w:tc>
          <w:tcPr>
            <w:tcW w:w="956" w:type="dxa"/>
            <w:vMerge w:val="continue"/>
            <w:vAlign w:val="center"/>
          </w:tcPr>
          <w:p w14:paraId="659C8BFB">
            <w:pPr>
              <w:adjustRightInd w:val="0"/>
              <w:snapToGrid w:val="0"/>
              <w:jc w:val="center"/>
              <w:rPr>
                <w:rFonts w:ascii="Times New Roman" w:eastAsia="仿宋"/>
                <w:szCs w:val="24"/>
              </w:rPr>
            </w:pPr>
          </w:p>
        </w:tc>
        <w:tc>
          <w:tcPr>
            <w:tcW w:w="694" w:type="dxa"/>
            <w:vMerge w:val="continue"/>
            <w:vAlign w:val="center"/>
          </w:tcPr>
          <w:p w14:paraId="4D1896EF">
            <w:pPr>
              <w:adjustRightInd w:val="0"/>
              <w:snapToGrid w:val="0"/>
              <w:jc w:val="center"/>
              <w:rPr>
                <w:rFonts w:ascii="Times New Roman" w:eastAsia="仿宋"/>
                <w:szCs w:val="24"/>
              </w:rPr>
            </w:pPr>
          </w:p>
        </w:tc>
        <w:tc>
          <w:tcPr>
            <w:tcW w:w="1226" w:type="dxa"/>
            <w:vMerge w:val="continue"/>
            <w:vAlign w:val="center"/>
          </w:tcPr>
          <w:p w14:paraId="1AEBC561">
            <w:pPr>
              <w:adjustRightInd w:val="0"/>
              <w:snapToGrid w:val="0"/>
              <w:jc w:val="center"/>
              <w:rPr>
                <w:rFonts w:ascii="Times New Roman" w:eastAsia="仿宋"/>
                <w:szCs w:val="21"/>
              </w:rPr>
            </w:pPr>
          </w:p>
        </w:tc>
        <w:tc>
          <w:tcPr>
            <w:tcW w:w="879" w:type="dxa"/>
            <w:vMerge w:val="continue"/>
            <w:vAlign w:val="center"/>
          </w:tcPr>
          <w:p w14:paraId="699E4BD0">
            <w:pPr>
              <w:adjustRightInd w:val="0"/>
              <w:snapToGrid w:val="0"/>
              <w:jc w:val="center"/>
              <w:rPr>
                <w:rFonts w:ascii="Times New Roman" w:eastAsia="仿宋"/>
                <w:szCs w:val="21"/>
              </w:rPr>
            </w:pPr>
          </w:p>
        </w:tc>
      </w:tr>
      <w:tr w14:paraId="1FF1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0F3962A6">
            <w:pPr>
              <w:adjustRightInd w:val="0"/>
              <w:snapToGrid w:val="0"/>
              <w:jc w:val="center"/>
              <w:rPr>
                <w:rFonts w:ascii="Times New Roman" w:eastAsia="仿宋"/>
                <w:szCs w:val="24"/>
              </w:rPr>
            </w:pPr>
          </w:p>
        </w:tc>
        <w:tc>
          <w:tcPr>
            <w:tcW w:w="1580" w:type="dxa"/>
            <w:vMerge w:val="continue"/>
            <w:vAlign w:val="center"/>
          </w:tcPr>
          <w:p w14:paraId="0469114C">
            <w:pPr>
              <w:adjustRightInd w:val="0"/>
              <w:snapToGrid w:val="0"/>
              <w:jc w:val="center"/>
              <w:rPr>
                <w:rFonts w:ascii="Times New Roman" w:eastAsia="仿宋"/>
                <w:szCs w:val="24"/>
              </w:rPr>
            </w:pPr>
          </w:p>
        </w:tc>
        <w:tc>
          <w:tcPr>
            <w:tcW w:w="827" w:type="dxa"/>
            <w:vMerge w:val="continue"/>
            <w:vAlign w:val="center"/>
          </w:tcPr>
          <w:p w14:paraId="57A26802">
            <w:pPr>
              <w:adjustRightInd w:val="0"/>
              <w:snapToGrid w:val="0"/>
              <w:jc w:val="center"/>
              <w:rPr>
                <w:rFonts w:ascii="Times New Roman" w:eastAsia="仿宋"/>
                <w:szCs w:val="24"/>
              </w:rPr>
            </w:pPr>
          </w:p>
        </w:tc>
        <w:tc>
          <w:tcPr>
            <w:tcW w:w="1435" w:type="dxa"/>
            <w:vAlign w:val="center"/>
          </w:tcPr>
          <w:p w14:paraId="5D869F2D">
            <w:pPr>
              <w:jc w:val="center"/>
              <w:rPr>
                <w:rFonts w:ascii="Times New Roman" w:eastAsia="仿宋"/>
                <w:szCs w:val="21"/>
              </w:rPr>
            </w:pPr>
            <w:r>
              <w:rPr>
                <w:rFonts w:hint="eastAsia" w:ascii="Times New Roman" w:eastAsia="仿宋"/>
                <w:szCs w:val="21"/>
              </w:rPr>
              <w:t>苯系物</w:t>
            </w:r>
          </w:p>
        </w:tc>
        <w:tc>
          <w:tcPr>
            <w:tcW w:w="1018" w:type="dxa"/>
            <w:vAlign w:val="center"/>
          </w:tcPr>
          <w:p w14:paraId="22BB2D06">
            <w:pPr>
              <w:widowControl/>
              <w:jc w:val="center"/>
              <w:textAlignment w:val="center"/>
              <w:rPr>
                <w:rFonts w:ascii="Times New Roman" w:eastAsia="仿宋"/>
                <w:szCs w:val="24"/>
              </w:rPr>
            </w:pPr>
            <w:r>
              <w:rPr>
                <w:rFonts w:hint="eastAsia" w:ascii="Times New Roman" w:eastAsia="仿宋"/>
                <w:szCs w:val="24"/>
              </w:rPr>
              <w:t>41.42</w:t>
            </w:r>
          </w:p>
        </w:tc>
        <w:tc>
          <w:tcPr>
            <w:tcW w:w="1030" w:type="dxa"/>
            <w:vAlign w:val="center"/>
          </w:tcPr>
          <w:p w14:paraId="56664714">
            <w:pPr>
              <w:widowControl/>
              <w:jc w:val="center"/>
              <w:textAlignment w:val="center"/>
              <w:rPr>
                <w:rFonts w:ascii="Times New Roman" w:eastAsia="仿宋"/>
                <w:szCs w:val="24"/>
              </w:rPr>
            </w:pPr>
            <w:r>
              <w:rPr>
                <w:rFonts w:hint="eastAsia" w:ascii="Times New Roman" w:eastAsia="仿宋"/>
                <w:szCs w:val="24"/>
              </w:rPr>
              <w:t>0.87</w:t>
            </w:r>
          </w:p>
        </w:tc>
        <w:tc>
          <w:tcPr>
            <w:tcW w:w="1098" w:type="dxa"/>
            <w:shd w:val="clear" w:color="auto" w:fill="auto"/>
            <w:vAlign w:val="center"/>
          </w:tcPr>
          <w:p w14:paraId="2AE6C7E7">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1590" w:type="dxa"/>
            <w:vMerge w:val="continue"/>
            <w:vAlign w:val="center"/>
          </w:tcPr>
          <w:p w14:paraId="51B09139">
            <w:pPr>
              <w:jc w:val="center"/>
              <w:rPr>
                <w:rFonts w:ascii="Times New Roman" w:eastAsia="仿宋"/>
                <w:szCs w:val="21"/>
              </w:rPr>
            </w:pPr>
          </w:p>
        </w:tc>
        <w:tc>
          <w:tcPr>
            <w:tcW w:w="956" w:type="dxa"/>
            <w:vMerge w:val="continue"/>
            <w:vAlign w:val="center"/>
          </w:tcPr>
          <w:p w14:paraId="10046282">
            <w:pPr>
              <w:adjustRightInd w:val="0"/>
              <w:snapToGrid w:val="0"/>
              <w:jc w:val="center"/>
              <w:rPr>
                <w:rFonts w:ascii="Times New Roman" w:eastAsia="仿宋"/>
                <w:szCs w:val="24"/>
              </w:rPr>
            </w:pPr>
          </w:p>
        </w:tc>
        <w:tc>
          <w:tcPr>
            <w:tcW w:w="694" w:type="dxa"/>
            <w:vMerge w:val="continue"/>
            <w:vAlign w:val="center"/>
          </w:tcPr>
          <w:p w14:paraId="45B6DD04">
            <w:pPr>
              <w:adjustRightInd w:val="0"/>
              <w:snapToGrid w:val="0"/>
              <w:jc w:val="center"/>
              <w:rPr>
                <w:rFonts w:ascii="Times New Roman" w:eastAsia="仿宋"/>
                <w:szCs w:val="24"/>
              </w:rPr>
            </w:pPr>
          </w:p>
        </w:tc>
        <w:tc>
          <w:tcPr>
            <w:tcW w:w="1226" w:type="dxa"/>
            <w:vMerge w:val="continue"/>
            <w:vAlign w:val="center"/>
          </w:tcPr>
          <w:p w14:paraId="7989F7E8">
            <w:pPr>
              <w:adjustRightInd w:val="0"/>
              <w:snapToGrid w:val="0"/>
              <w:jc w:val="center"/>
              <w:rPr>
                <w:rFonts w:ascii="Times New Roman" w:eastAsia="仿宋"/>
                <w:szCs w:val="21"/>
              </w:rPr>
            </w:pPr>
          </w:p>
        </w:tc>
        <w:tc>
          <w:tcPr>
            <w:tcW w:w="879" w:type="dxa"/>
            <w:vMerge w:val="continue"/>
            <w:vAlign w:val="center"/>
          </w:tcPr>
          <w:p w14:paraId="558650E6">
            <w:pPr>
              <w:adjustRightInd w:val="0"/>
              <w:snapToGrid w:val="0"/>
              <w:jc w:val="center"/>
              <w:rPr>
                <w:rFonts w:ascii="Times New Roman" w:eastAsia="仿宋"/>
                <w:szCs w:val="21"/>
              </w:rPr>
            </w:pPr>
          </w:p>
        </w:tc>
      </w:tr>
      <w:tr w14:paraId="717F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5F90CDFB">
            <w:pPr>
              <w:adjustRightInd w:val="0"/>
              <w:snapToGrid w:val="0"/>
              <w:jc w:val="center"/>
              <w:rPr>
                <w:rFonts w:ascii="Times New Roman" w:eastAsia="仿宋"/>
                <w:szCs w:val="24"/>
              </w:rPr>
            </w:pPr>
          </w:p>
        </w:tc>
        <w:tc>
          <w:tcPr>
            <w:tcW w:w="1580" w:type="dxa"/>
            <w:vMerge w:val="restart"/>
            <w:vAlign w:val="center"/>
          </w:tcPr>
          <w:p w14:paraId="364E26A3">
            <w:pPr>
              <w:adjustRightInd w:val="0"/>
              <w:snapToGrid w:val="0"/>
              <w:jc w:val="center"/>
              <w:rPr>
                <w:rFonts w:ascii="Times New Roman" w:eastAsia="仿宋"/>
                <w:szCs w:val="24"/>
              </w:rPr>
            </w:pPr>
            <w:r>
              <w:rPr>
                <w:rFonts w:hint="eastAsia" w:ascii="Times New Roman" w:eastAsia="仿宋"/>
                <w:szCs w:val="24"/>
              </w:rPr>
              <w:t>氟碳底漆烘干废气G1</w:t>
            </w:r>
            <w:r>
              <w:rPr>
                <w:rFonts w:ascii="Times New Roman" w:eastAsia="仿宋"/>
                <w:szCs w:val="24"/>
              </w:rPr>
              <w:t>6</w:t>
            </w:r>
          </w:p>
        </w:tc>
        <w:tc>
          <w:tcPr>
            <w:tcW w:w="827" w:type="dxa"/>
            <w:vMerge w:val="continue"/>
            <w:vAlign w:val="center"/>
          </w:tcPr>
          <w:p w14:paraId="3D827A87">
            <w:pPr>
              <w:adjustRightInd w:val="0"/>
              <w:snapToGrid w:val="0"/>
              <w:jc w:val="center"/>
              <w:rPr>
                <w:rFonts w:ascii="Times New Roman" w:eastAsia="仿宋"/>
                <w:szCs w:val="24"/>
              </w:rPr>
            </w:pPr>
          </w:p>
        </w:tc>
        <w:tc>
          <w:tcPr>
            <w:tcW w:w="1435" w:type="dxa"/>
            <w:vAlign w:val="center"/>
          </w:tcPr>
          <w:p w14:paraId="0511F655">
            <w:pPr>
              <w:jc w:val="center"/>
              <w:rPr>
                <w:rFonts w:ascii="Times New Roman" w:eastAsia="仿宋"/>
                <w:szCs w:val="21"/>
              </w:rPr>
            </w:pPr>
            <w:r>
              <w:rPr>
                <w:rFonts w:hint="eastAsia" w:ascii="Times New Roman" w:eastAsia="仿宋"/>
                <w:szCs w:val="21"/>
              </w:rPr>
              <w:t>非甲烷总烃</w:t>
            </w:r>
          </w:p>
        </w:tc>
        <w:tc>
          <w:tcPr>
            <w:tcW w:w="1018" w:type="dxa"/>
            <w:vAlign w:val="center"/>
          </w:tcPr>
          <w:p w14:paraId="201DE349">
            <w:pPr>
              <w:widowControl/>
              <w:jc w:val="center"/>
              <w:textAlignment w:val="center"/>
              <w:rPr>
                <w:rFonts w:ascii="Times New Roman" w:eastAsia="仿宋"/>
                <w:szCs w:val="24"/>
              </w:rPr>
            </w:pPr>
            <w:r>
              <w:rPr>
                <w:rFonts w:hint="eastAsia" w:ascii="Times New Roman" w:eastAsia="仿宋"/>
                <w:szCs w:val="24"/>
              </w:rPr>
              <w:t>237.14</w:t>
            </w:r>
          </w:p>
        </w:tc>
        <w:tc>
          <w:tcPr>
            <w:tcW w:w="1030" w:type="dxa"/>
            <w:vAlign w:val="center"/>
          </w:tcPr>
          <w:p w14:paraId="32B51C10">
            <w:pPr>
              <w:widowControl/>
              <w:jc w:val="center"/>
              <w:textAlignment w:val="center"/>
              <w:rPr>
                <w:rFonts w:ascii="Times New Roman" w:eastAsia="仿宋"/>
                <w:szCs w:val="24"/>
              </w:rPr>
            </w:pPr>
            <w:r>
              <w:rPr>
                <w:rFonts w:hint="eastAsia" w:ascii="Times New Roman" w:eastAsia="仿宋"/>
                <w:szCs w:val="24"/>
              </w:rPr>
              <w:t>4.98</w:t>
            </w:r>
          </w:p>
        </w:tc>
        <w:tc>
          <w:tcPr>
            <w:tcW w:w="1098" w:type="dxa"/>
            <w:vAlign w:val="center"/>
          </w:tcPr>
          <w:p w14:paraId="5117B083">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590" w:type="dxa"/>
            <w:vMerge w:val="continue"/>
            <w:vAlign w:val="center"/>
          </w:tcPr>
          <w:p w14:paraId="37CBA856">
            <w:pPr>
              <w:jc w:val="center"/>
              <w:rPr>
                <w:rFonts w:ascii="Times New Roman" w:eastAsia="仿宋"/>
                <w:szCs w:val="21"/>
              </w:rPr>
            </w:pPr>
          </w:p>
        </w:tc>
        <w:tc>
          <w:tcPr>
            <w:tcW w:w="956" w:type="dxa"/>
            <w:vMerge w:val="continue"/>
            <w:vAlign w:val="center"/>
          </w:tcPr>
          <w:p w14:paraId="3B7783BA">
            <w:pPr>
              <w:adjustRightInd w:val="0"/>
              <w:snapToGrid w:val="0"/>
              <w:jc w:val="center"/>
              <w:rPr>
                <w:rFonts w:ascii="Times New Roman" w:eastAsia="仿宋"/>
                <w:szCs w:val="24"/>
              </w:rPr>
            </w:pPr>
          </w:p>
        </w:tc>
        <w:tc>
          <w:tcPr>
            <w:tcW w:w="694" w:type="dxa"/>
            <w:vMerge w:val="continue"/>
            <w:vAlign w:val="center"/>
          </w:tcPr>
          <w:p w14:paraId="253ED57A">
            <w:pPr>
              <w:adjustRightInd w:val="0"/>
              <w:snapToGrid w:val="0"/>
              <w:jc w:val="center"/>
              <w:rPr>
                <w:rFonts w:ascii="Times New Roman" w:eastAsia="仿宋"/>
                <w:szCs w:val="24"/>
              </w:rPr>
            </w:pPr>
          </w:p>
        </w:tc>
        <w:tc>
          <w:tcPr>
            <w:tcW w:w="1226" w:type="dxa"/>
            <w:vMerge w:val="continue"/>
            <w:vAlign w:val="center"/>
          </w:tcPr>
          <w:p w14:paraId="59E86742">
            <w:pPr>
              <w:adjustRightInd w:val="0"/>
              <w:snapToGrid w:val="0"/>
              <w:jc w:val="center"/>
              <w:rPr>
                <w:rFonts w:ascii="Times New Roman" w:eastAsia="仿宋"/>
                <w:szCs w:val="21"/>
              </w:rPr>
            </w:pPr>
          </w:p>
        </w:tc>
        <w:tc>
          <w:tcPr>
            <w:tcW w:w="879" w:type="dxa"/>
            <w:vMerge w:val="continue"/>
            <w:vAlign w:val="center"/>
          </w:tcPr>
          <w:p w14:paraId="34EF0487">
            <w:pPr>
              <w:adjustRightInd w:val="0"/>
              <w:snapToGrid w:val="0"/>
              <w:jc w:val="center"/>
              <w:rPr>
                <w:rFonts w:ascii="Times New Roman" w:eastAsia="仿宋"/>
                <w:szCs w:val="21"/>
              </w:rPr>
            </w:pPr>
          </w:p>
        </w:tc>
      </w:tr>
      <w:tr w14:paraId="1C61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3777DB67">
            <w:pPr>
              <w:adjustRightInd w:val="0"/>
              <w:snapToGrid w:val="0"/>
              <w:jc w:val="center"/>
              <w:rPr>
                <w:rFonts w:ascii="Times New Roman" w:eastAsia="仿宋"/>
                <w:szCs w:val="24"/>
              </w:rPr>
            </w:pPr>
          </w:p>
        </w:tc>
        <w:tc>
          <w:tcPr>
            <w:tcW w:w="1580" w:type="dxa"/>
            <w:vMerge w:val="continue"/>
            <w:vAlign w:val="center"/>
          </w:tcPr>
          <w:p w14:paraId="73748FFC">
            <w:pPr>
              <w:adjustRightInd w:val="0"/>
              <w:snapToGrid w:val="0"/>
              <w:jc w:val="center"/>
              <w:rPr>
                <w:rFonts w:ascii="Times New Roman" w:eastAsia="仿宋"/>
                <w:szCs w:val="24"/>
              </w:rPr>
            </w:pPr>
          </w:p>
        </w:tc>
        <w:tc>
          <w:tcPr>
            <w:tcW w:w="827" w:type="dxa"/>
            <w:vMerge w:val="continue"/>
            <w:vAlign w:val="center"/>
          </w:tcPr>
          <w:p w14:paraId="2B5633D8">
            <w:pPr>
              <w:adjustRightInd w:val="0"/>
              <w:snapToGrid w:val="0"/>
              <w:jc w:val="center"/>
              <w:rPr>
                <w:rFonts w:ascii="Times New Roman" w:eastAsia="仿宋"/>
                <w:szCs w:val="24"/>
              </w:rPr>
            </w:pPr>
          </w:p>
        </w:tc>
        <w:tc>
          <w:tcPr>
            <w:tcW w:w="1435" w:type="dxa"/>
            <w:vAlign w:val="center"/>
          </w:tcPr>
          <w:p w14:paraId="24A4C7B9">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018" w:type="dxa"/>
            <w:vAlign w:val="center"/>
          </w:tcPr>
          <w:p w14:paraId="231C0DBF">
            <w:pPr>
              <w:widowControl/>
              <w:jc w:val="center"/>
              <w:textAlignment w:val="center"/>
              <w:rPr>
                <w:rFonts w:ascii="Times New Roman" w:eastAsia="仿宋"/>
                <w:szCs w:val="24"/>
              </w:rPr>
            </w:pPr>
            <w:r>
              <w:rPr>
                <w:rFonts w:hint="eastAsia" w:ascii="Times New Roman" w:eastAsia="仿宋"/>
                <w:szCs w:val="24"/>
              </w:rPr>
              <w:t>237.14</w:t>
            </w:r>
          </w:p>
        </w:tc>
        <w:tc>
          <w:tcPr>
            <w:tcW w:w="1030" w:type="dxa"/>
            <w:vAlign w:val="center"/>
          </w:tcPr>
          <w:p w14:paraId="1B7A392C">
            <w:pPr>
              <w:widowControl/>
              <w:jc w:val="center"/>
              <w:textAlignment w:val="center"/>
              <w:rPr>
                <w:rFonts w:ascii="Times New Roman" w:eastAsia="仿宋"/>
                <w:szCs w:val="24"/>
              </w:rPr>
            </w:pPr>
            <w:r>
              <w:rPr>
                <w:rFonts w:hint="eastAsia" w:ascii="Times New Roman" w:eastAsia="仿宋"/>
                <w:szCs w:val="24"/>
              </w:rPr>
              <w:t>4.98</w:t>
            </w:r>
          </w:p>
        </w:tc>
        <w:tc>
          <w:tcPr>
            <w:tcW w:w="1098" w:type="dxa"/>
            <w:vAlign w:val="center"/>
          </w:tcPr>
          <w:p w14:paraId="39A9C912">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1590" w:type="dxa"/>
            <w:vMerge w:val="continue"/>
            <w:vAlign w:val="center"/>
          </w:tcPr>
          <w:p w14:paraId="4D616F9A">
            <w:pPr>
              <w:jc w:val="center"/>
              <w:rPr>
                <w:rFonts w:ascii="Times New Roman" w:eastAsia="仿宋"/>
                <w:szCs w:val="21"/>
              </w:rPr>
            </w:pPr>
          </w:p>
        </w:tc>
        <w:tc>
          <w:tcPr>
            <w:tcW w:w="956" w:type="dxa"/>
            <w:vMerge w:val="continue"/>
            <w:vAlign w:val="center"/>
          </w:tcPr>
          <w:p w14:paraId="4B319198">
            <w:pPr>
              <w:adjustRightInd w:val="0"/>
              <w:snapToGrid w:val="0"/>
              <w:jc w:val="center"/>
              <w:rPr>
                <w:rFonts w:ascii="Times New Roman" w:eastAsia="仿宋"/>
                <w:szCs w:val="24"/>
              </w:rPr>
            </w:pPr>
          </w:p>
        </w:tc>
        <w:tc>
          <w:tcPr>
            <w:tcW w:w="694" w:type="dxa"/>
            <w:vMerge w:val="continue"/>
            <w:vAlign w:val="center"/>
          </w:tcPr>
          <w:p w14:paraId="49D21178">
            <w:pPr>
              <w:adjustRightInd w:val="0"/>
              <w:snapToGrid w:val="0"/>
              <w:jc w:val="center"/>
              <w:rPr>
                <w:rFonts w:ascii="Times New Roman" w:eastAsia="仿宋"/>
                <w:szCs w:val="24"/>
              </w:rPr>
            </w:pPr>
          </w:p>
        </w:tc>
        <w:tc>
          <w:tcPr>
            <w:tcW w:w="1226" w:type="dxa"/>
            <w:vMerge w:val="continue"/>
            <w:vAlign w:val="center"/>
          </w:tcPr>
          <w:p w14:paraId="4D574127">
            <w:pPr>
              <w:adjustRightInd w:val="0"/>
              <w:snapToGrid w:val="0"/>
              <w:jc w:val="center"/>
              <w:rPr>
                <w:rFonts w:ascii="Times New Roman" w:eastAsia="仿宋"/>
                <w:szCs w:val="21"/>
              </w:rPr>
            </w:pPr>
          </w:p>
        </w:tc>
        <w:tc>
          <w:tcPr>
            <w:tcW w:w="879" w:type="dxa"/>
            <w:vMerge w:val="continue"/>
            <w:vAlign w:val="center"/>
          </w:tcPr>
          <w:p w14:paraId="680EEE60">
            <w:pPr>
              <w:adjustRightInd w:val="0"/>
              <w:snapToGrid w:val="0"/>
              <w:jc w:val="center"/>
              <w:rPr>
                <w:rFonts w:ascii="Times New Roman" w:eastAsia="仿宋"/>
                <w:szCs w:val="21"/>
              </w:rPr>
            </w:pPr>
          </w:p>
        </w:tc>
      </w:tr>
      <w:tr w14:paraId="0721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44456693">
            <w:pPr>
              <w:adjustRightInd w:val="0"/>
              <w:snapToGrid w:val="0"/>
              <w:jc w:val="center"/>
              <w:rPr>
                <w:rFonts w:ascii="Times New Roman" w:eastAsia="仿宋"/>
                <w:szCs w:val="24"/>
              </w:rPr>
            </w:pPr>
          </w:p>
        </w:tc>
        <w:tc>
          <w:tcPr>
            <w:tcW w:w="1580" w:type="dxa"/>
            <w:vMerge w:val="continue"/>
            <w:vAlign w:val="center"/>
          </w:tcPr>
          <w:p w14:paraId="1D43D030">
            <w:pPr>
              <w:adjustRightInd w:val="0"/>
              <w:snapToGrid w:val="0"/>
              <w:jc w:val="center"/>
              <w:rPr>
                <w:rFonts w:ascii="Times New Roman" w:eastAsia="仿宋"/>
                <w:szCs w:val="24"/>
              </w:rPr>
            </w:pPr>
          </w:p>
        </w:tc>
        <w:tc>
          <w:tcPr>
            <w:tcW w:w="827" w:type="dxa"/>
            <w:vMerge w:val="continue"/>
            <w:vAlign w:val="center"/>
          </w:tcPr>
          <w:p w14:paraId="7F13A070">
            <w:pPr>
              <w:adjustRightInd w:val="0"/>
              <w:snapToGrid w:val="0"/>
              <w:jc w:val="center"/>
              <w:rPr>
                <w:rFonts w:ascii="Times New Roman" w:eastAsia="仿宋"/>
                <w:szCs w:val="24"/>
              </w:rPr>
            </w:pPr>
          </w:p>
        </w:tc>
        <w:tc>
          <w:tcPr>
            <w:tcW w:w="1435" w:type="dxa"/>
            <w:vAlign w:val="center"/>
          </w:tcPr>
          <w:p w14:paraId="5CE0EDB7">
            <w:pPr>
              <w:jc w:val="center"/>
              <w:rPr>
                <w:rFonts w:ascii="Times New Roman" w:eastAsia="仿宋"/>
                <w:szCs w:val="21"/>
              </w:rPr>
            </w:pPr>
            <w:r>
              <w:rPr>
                <w:rFonts w:hint="eastAsia" w:ascii="Times New Roman" w:eastAsia="仿宋"/>
                <w:szCs w:val="21"/>
              </w:rPr>
              <w:t>二甲苯</w:t>
            </w:r>
          </w:p>
        </w:tc>
        <w:tc>
          <w:tcPr>
            <w:tcW w:w="1018" w:type="dxa"/>
            <w:vAlign w:val="center"/>
          </w:tcPr>
          <w:p w14:paraId="430E054F">
            <w:pPr>
              <w:widowControl/>
              <w:jc w:val="center"/>
              <w:textAlignment w:val="center"/>
              <w:rPr>
                <w:rFonts w:ascii="Times New Roman" w:eastAsia="仿宋"/>
                <w:szCs w:val="24"/>
              </w:rPr>
            </w:pPr>
            <w:r>
              <w:rPr>
                <w:rFonts w:hint="eastAsia" w:ascii="Times New Roman" w:eastAsia="仿宋"/>
                <w:szCs w:val="24"/>
              </w:rPr>
              <w:t>54.76</w:t>
            </w:r>
          </w:p>
        </w:tc>
        <w:tc>
          <w:tcPr>
            <w:tcW w:w="1030" w:type="dxa"/>
            <w:vAlign w:val="center"/>
          </w:tcPr>
          <w:p w14:paraId="07DE5385">
            <w:pPr>
              <w:widowControl/>
              <w:jc w:val="center"/>
              <w:textAlignment w:val="center"/>
              <w:rPr>
                <w:rFonts w:ascii="Times New Roman" w:eastAsia="仿宋"/>
                <w:szCs w:val="24"/>
              </w:rPr>
            </w:pPr>
            <w:r>
              <w:rPr>
                <w:rFonts w:hint="eastAsia" w:ascii="Times New Roman" w:eastAsia="仿宋"/>
                <w:szCs w:val="24"/>
              </w:rPr>
              <w:t>1.15</w:t>
            </w:r>
          </w:p>
        </w:tc>
        <w:tc>
          <w:tcPr>
            <w:tcW w:w="1098" w:type="dxa"/>
            <w:vAlign w:val="center"/>
          </w:tcPr>
          <w:p w14:paraId="30E3CC8E">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590" w:type="dxa"/>
            <w:vMerge w:val="continue"/>
            <w:vAlign w:val="center"/>
          </w:tcPr>
          <w:p w14:paraId="7D28B1A0">
            <w:pPr>
              <w:jc w:val="center"/>
              <w:rPr>
                <w:rFonts w:ascii="Times New Roman" w:eastAsia="仿宋"/>
                <w:szCs w:val="21"/>
              </w:rPr>
            </w:pPr>
          </w:p>
        </w:tc>
        <w:tc>
          <w:tcPr>
            <w:tcW w:w="956" w:type="dxa"/>
            <w:vMerge w:val="continue"/>
            <w:vAlign w:val="center"/>
          </w:tcPr>
          <w:p w14:paraId="541550C3">
            <w:pPr>
              <w:adjustRightInd w:val="0"/>
              <w:snapToGrid w:val="0"/>
              <w:jc w:val="center"/>
              <w:rPr>
                <w:rFonts w:ascii="Times New Roman" w:eastAsia="仿宋"/>
                <w:szCs w:val="24"/>
              </w:rPr>
            </w:pPr>
          </w:p>
        </w:tc>
        <w:tc>
          <w:tcPr>
            <w:tcW w:w="694" w:type="dxa"/>
            <w:vMerge w:val="continue"/>
            <w:vAlign w:val="center"/>
          </w:tcPr>
          <w:p w14:paraId="42B14EEF">
            <w:pPr>
              <w:adjustRightInd w:val="0"/>
              <w:snapToGrid w:val="0"/>
              <w:jc w:val="center"/>
              <w:rPr>
                <w:rFonts w:ascii="Times New Roman" w:eastAsia="仿宋"/>
                <w:szCs w:val="24"/>
              </w:rPr>
            </w:pPr>
          </w:p>
        </w:tc>
        <w:tc>
          <w:tcPr>
            <w:tcW w:w="1226" w:type="dxa"/>
            <w:vMerge w:val="continue"/>
            <w:vAlign w:val="center"/>
          </w:tcPr>
          <w:p w14:paraId="3F43F9C0">
            <w:pPr>
              <w:adjustRightInd w:val="0"/>
              <w:snapToGrid w:val="0"/>
              <w:jc w:val="center"/>
              <w:rPr>
                <w:rFonts w:ascii="Times New Roman" w:eastAsia="仿宋"/>
                <w:szCs w:val="21"/>
              </w:rPr>
            </w:pPr>
          </w:p>
        </w:tc>
        <w:tc>
          <w:tcPr>
            <w:tcW w:w="879" w:type="dxa"/>
            <w:vMerge w:val="continue"/>
            <w:vAlign w:val="center"/>
          </w:tcPr>
          <w:p w14:paraId="0E3F42D8">
            <w:pPr>
              <w:adjustRightInd w:val="0"/>
              <w:snapToGrid w:val="0"/>
              <w:jc w:val="center"/>
              <w:rPr>
                <w:rFonts w:ascii="Times New Roman" w:eastAsia="仿宋"/>
                <w:szCs w:val="21"/>
              </w:rPr>
            </w:pPr>
          </w:p>
        </w:tc>
      </w:tr>
      <w:tr w14:paraId="02F8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1E37E193">
            <w:pPr>
              <w:adjustRightInd w:val="0"/>
              <w:snapToGrid w:val="0"/>
              <w:jc w:val="center"/>
              <w:rPr>
                <w:rFonts w:ascii="Times New Roman" w:eastAsia="仿宋"/>
                <w:szCs w:val="24"/>
              </w:rPr>
            </w:pPr>
          </w:p>
        </w:tc>
        <w:tc>
          <w:tcPr>
            <w:tcW w:w="1580" w:type="dxa"/>
            <w:vMerge w:val="continue"/>
            <w:vAlign w:val="center"/>
          </w:tcPr>
          <w:p w14:paraId="1BE0C0E6">
            <w:pPr>
              <w:adjustRightInd w:val="0"/>
              <w:snapToGrid w:val="0"/>
              <w:jc w:val="center"/>
              <w:rPr>
                <w:rFonts w:ascii="Times New Roman" w:eastAsia="仿宋"/>
                <w:szCs w:val="24"/>
              </w:rPr>
            </w:pPr>
          </w:p>
        </w:tc>
        <w:tc>
          <w:tcPr>
            <w:tcW w:w="827" w:type="dxa"/>
            <w:vMerge w:val="continue"/>
            <w:vAlign w:val="center"/>
          </w:tcPr>
          <w:p w14:paraId="28487F42">
            <w:pPr>
              <w:adjustRightInd w:val="0"/>
              <w:snapToGrid w:val="0"/>
              <w:jc w:val="center"/>
              <w:rPr>
                <w:rFonts w:ascii="Times New Roman" w:eastAsia="仿宋"/>
                <w:szCs w:val="24"/>
              </w:rPr>
            </w:pPr>
          </w:p>
        </w:tc>
        <w:tc>
          <w:tcPr>
            <w:tcW w:w="1435" w:type="dxa"/>
            <w:vAlign w:val="center"/>
          </w:tcPr>
          <w:p w14:paraId="6CCC54E1">
            <w:pPr>
              <w:jc w:val="center"/>
              <w:rPr>
                <w:rFonts w:ascii="Times New Roman" w:eastAsia="仿宋"/>
                <w:szCs w:val="21"/>
              </w:rPr>
            </w:pPr>
            <w:r>
              <w:rPr>
                <w:rFonts w:hint="eastAsia" w:ascii="Times New Roman" w:eastAsia="仿宋"/>
                <w:szCs w:val="21"/>
              </w:rPr>
              <w:t>苯系物</w:t>
            </w:r>
          </w:p>
        </w:tc>
        <w:tc>
          <w:tcPr>
            <w:tcW w:w="1018" w:type="dxa"/>
            <w:vAlign w:val="center"/>
          </w:tcPr>
          <w:p w14:paraId="369D1E89">
            <w:pPr>
              <w:widowControl/>
              <w:jc w:val="center"/>
              <w:textAlignment w:val="center"/>
              <w:rPr>
                <w:rFonts w:ascii="Times New Roman" w:eastAsia="仿宋"/>
                <w:szCs w:val="24"/>
              </w:rPr>
            </w:pPr>
            <w:r>
              <w:rPr>
                <w:rFonts w:hint="eastAsia" w:ascii="Times New Roman" w:eastAsia="仿宋"/>
                <w:szCs w:val="24"/>
              </w:rPr>
              <w:t>54.76</w:t>
            </w:r>
          </w:p>
        </w:tc>
        <w:tc>
          <w:tcPr>
            <w:tcW w:w="1030" w:type="dxa"/>
            <w:vAlign w:val="center"/>
          </w:tcPr>
          <w:p w14:paraId="293E0EF9">
            <w:pPr>
              <w:widowControl/>
              <w:jc w:val="center"/>
              <w:textAlignment w:val="center"/>
              <w:rPr>
                <w:rFonts w:ascii="Times New Roman" w:eastAsia="仿宋"/>
                <w:szCs w:val="24"/>
              </w:rPr>
            </w:pPr>
            <w:r>
              <w:rPr>
                <w:rFonts w:hint="eastAsia" w:ascii="Times New Roman" w:eastAsia="仿宋"/>
                <w:szCs w:val="24"/>
              </w:rPr>
              <w:t>1.15</w:t>
            </w:r>
          </w:p>
        </w:tc>
        <w:tc>
          <w:tcPr>
            <w:tcW w:w="1098" w:type="dxa"/>
            <w:vAlign w:val="center"/>
          </w:tcPr>
          <w:p w14:paraId="215ACBDF">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1590" w:type="dxa"/>
            <w:vMerge w:val="continue"/>
            <w:vAlign w:val="center"/>
          </w:tcPr>
          <w:p w14:paraId="7FE773C0">
            <w:pPr>
              <w:jc w:val="center"/>
              <w:rPr>
                <w:rFonts w:ascii="Times New Roman" w:eastAsia="仿宋"/>
                <w:szCs w:val="21"/>
              </w:rPr>
            </w:pPr>
          </w:p>
        </w:tc>
        <w:tc>
          <w:tcPr>
            <w:tcW w:w="956" w:type="dxa"/>
            <w:vMerge w:val="continue"/>
            <w:vAlign w:val="center"/>
          </w:tcPr>
          <w:p w14:paraId="12388064">
            <w:pPr>
              <w:adjustRightInd w:val="0"/>
              <w:snapToGrid w:val="0"/>
              <w:jc w:val="center"/>
              <w:rPr>
                <w:rFonts w:ascii="Times New Roman" w:eastAsia="仿宋"/>
                <w:szCs w:val="24"/>
              </w:rPr>
            </w:pPr>
          </w:p>
        </w:tc>
        <w:tc>
          <w:tcPr>
            <w:tcW w:w="694" w:type="dxa"/>
            <w:vMerge w:val="continue"/>
            <w:vAlign w:val="center"/>
          </w:tcPr>
          <w:p w14:paraId="59F362A8">
            <w:pPr>
              <w:adjustRightInd w:val="0"/>
              <w:snapToGrid w:val="0"/>
              <w:jc w:val="center"/>
              <w:rPr>
                <w:rFonts w:ascii="Times New Roman" w:eastAsia="仿宋"/>
                <w:szCs w:val="24"/>
              </w:rPr>
            </w:pPr>
          </w:p>
        </w:tc>
        <w:tc>
          <w:tcPr>
            <w:tcW w:w="1226" w:type="dxa"/>
            <w:vMerge w:val="continue"/>
            <w:vAlign w:val="center"/>
          </w:tcPr>
          <w:p w14:paraId="52E3927D">
            <w:pPr>
              <w:adjustRightInd w:val="0"/>
              <w:snapToGrid w:val="0"/>
              <w:jc w:val="center"/>
              <w:rPr>
                <w:rFonts w:ascii="Times New Roman" w:eastAsia="仿宋"/>
                <w:szCs w:val="21"/>
              </w:rPr>
            </w:pPr>
          </w:p>
        </w:tc>
        <w:tc>
          <w:tcPr>
            <w:tcW w:w="879" w:type="dxa"/>
            <w:vMerge w:val="continue"/>
            <w:vAlign w:val="center"/>
          </w:tcPr>
          <w:p w14:paraId="7F1F2A76">
            <w:pPr>
              <w:adjustRightInd w:val="0"/>
              <w:snapToGrid w:val="0"/>
              <w:jc w:val="center"/>
              <w:rPr>
                <w:rFonts w:ascii="Times New Roman" w:eastAsia="仿宋"/>
                <w:szCs w:val="21"/>
              </w:rPr>
            </w:pPr>
          </w:p>
        </w:tc>
      </w:tr>
      <w:tr w14:paraId="76E5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3EF1CA37">
            <w:pPr>
              <w:adjustRightInd w:val="0"/>
              <w:snapToGrid w:val="0"/>
              <w:jc w:val="center"/>
              <w:rPr>
                <w:rFonts w:ascii="Times New Roman" w:eastAsia="仿宋"/>
                <w:szCs w:val="24"/>
              </w:rPr>
            </w:pPr>
          </w:p>
        </w:tc>
        <w:tc>
          <w:tcPr>
            <w:tcW w:w="1580" w:type="dxa"/>
            <w:vMerge w:val="restart"/>
            <w:vAlign w:val="center"/>
          </w:tcPr>
          <w:p w14:paraId="0AA51517">
            <w:pPr>
              <w:adjustRightInd w:val="0"/>
              <w:snapToGrid w:val="0"/>
              <w:jc w:val="center"/>
              <w:rPr>
                <w:rFonts w:ascii="Times New Roman" w:eastAsia="仿宋"/>
                <w:szCs w:val="24"/>
              </w:rPr>
            </w:pPr>
            <w:r>
              <w:rPr>
                <w:rFonts w:hint="eastAsia" w:ascii="Times New Roman" w:eastAsia="仿宋"/>
                <w:szCs w:val="24"/>
              </w:rPr>
              <w:t>天然气燃烧废气G8</w:t>
            </w:r>
          </w:p>
        </w:tc>
        <w:tc>
          <w:tcPr>
            <w:tcW w:w="827" w:type="dxa"/>
            <w:vMerge w:val="continue"/>
            <w:vAlign w:val="center"/>
          </w:tcPr>
          <w:p w14:paraId="504BEDCF">
            <w:pPr>
              <w:adjustRightInd w:val="0"/>
              <w:snapToGrid w:val="0"/>
              <w:jc w:val="center"/>
              <w:rPr>
                <w:rFonts w:ascii="Times New Roman" w:eastAsia="仿宋"/>
                <w:szCs w:val="24"/>
              </w:rPr>
            </w:pPr>
          </w:p>
        </w:tc>
        <w:tc>
          <w:tcPr>
            <w:tcW w:w="1435" w:type="dxa"/>
            <w:vAlign w:val="center"/>
          </w:tcPr>
          <w:p w14:paraId="3FE33076">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018" w:type="dxa"/>
            <w:vAlign w:val="center"/>
          </w:tcPr>
          <w:p w14:paraId="01ECC57C">
            <w:pPr>
              <w:widowControl/>
              <w:jc w:val="center"/>
              <w:textAlignment w:val="center"/>
              <w:rPr>
                <w:rFonts w:ascii="Times New Roman" w:eastAsia="仿宋"/>
                <w:szCs w:val="24"/>
              </w:rPr>
            </w:pPr>
            <w:r>
              <w:rPr>
                <w:rFonts w:hint="eastAsia" w:ascii="Times New Roman" w:eastAsia="仿宋"/>
                <w:szCs w:val="24"/>
              </w:rPr>
              <w:t>0.1</w:t>
            </w:r>
          </w:p>
        </w:tc>
        <w:tc>
          <w:tcPr>
            <w:tcW w:w="1030" w:type="dxa"/>
            <w:vAlign w:val="center"/>
          </w:tcPr>
          <w:p w14:paraId="153C5AEF">
            <w:pPr>
              <w:widowControl/>
              <w:jc w:val="center"/>
              <w:textAlignment w:val="center"/>
              <w:rPr>
                <w:rFonts w:ascii="Times New Roman" w:eastAsia="仿宋"/>
                <w:szCs w:val="24"/>
              </w:rPr>
            </w:pPr>
            <w:r>
              <w:rPr>
                <w:rFonts w:hint="eastAsia" w:ascii="Times New Roman" w:eastAsia="仿宋"/>
                <w:szCs w:val="24"/>
              </w:rPr>
              <w:t>0.002</w:t>
            </w:r>
          </w:p>
        </w:tc>
        <w:tc>
          <w:tcPr>
            <w:tcW w:w="1098" w:type="dxa"/>
            <w:vAlign w:val="center"/>
          </w:tcPr>
          <w:p w14:paraId="55BC73C6">
            <w:pPr>
              <w:widowControl/>
              <w:jc w:val="center"/>
              <w:textAlignment w:val="center"/>
              <w:rPr>
                <w:rFonts w:ascii="Times New Roman" w:eastAsia="仿宋"/>
                <w:szCs w:val="24"/>
              </w:rPr>
            </w:pPr>
            <w:r>
              <w:rPr>
                <w:rFonts w:hint="eastAsia" w:ascii="Times New Roman" w:eastAsia="仿宋"/>
                <w:szCs w:val="24"/>
              </w:rPr>
              <w:t>0.01</w:t>
            </w:r>
          </w:p>
        </w:tc>
        <w:tc>
          <w:tcPr>
            <w:tcW w:w="1590" w:type="dxa"/>
            <w:vMerge w:val="continue"/>
            <w:vAlign w:val="center"/>
          </w:tcPr>
          <w:p w14:paraId="7C159F1B">
            <w:pPr>
              <w:adjustRightInd w:val="0"/>
              <w:snapToGrid w:val="0"/>
              <w:jc w:val="center"/>
              <w:rPr>
                <w:rFonts w:ascii="Times New Roman" w:eastAsia="仿宋"/>
                <w:szCs w:val="24"/>
              </w:rPr>
            </w:pPr>
          </w:p>
        </w:tc>
        <w:tc>
          <w:tcPr>
            <w:tcW w:w="956" w:type="dxa"/>
            <w:vMerge w:val="continue"/>
            <w:vAlign w:val="center"/>
          </w:tcPr>
          <w:p w14:paraId="12F695E4">
            <w:pPr>
              <w:adjustRightInd w:val="0"/>
              <w:snapToGrid w:val="0"/>
              <w:jc w:val="center"/>
              <w:rPr>
                <w:rFonts w:ascii="Times New Roman" w:eastAsia="仿宋"/>
                <w:szCs w:val="24"/>
              </w:rPr>
            </w:pPr>
          </w:p>
        </w:tc>
        <w:tc>
          <w:tcPr>
            <w:tcW w:w="694" w:type="dxa"/>
            <w:vMerge w:val="continue"/>
            <w:vAlign w:val="center"/>
          </w:tcPr>
          <w:p w14:paraId="3C7E1659">
            <w:pPr>
              <w:adjustRightInd w:val="0"/>
              <w:snapToGrid w:val="0"/>
              <w:jc w:val="center"/>
              <w:rPr>
                <w:rFonts w:ascii="Times New Roman" w:eastAsia="仿宋"/>
                <w:szCs w:val="24"/>
              </w:rPr>
            </w:pPr>
          </w:p>
        </w:tc>
        <w:tc>
          <w:tcPr>
            <w:tcW w:w="1226" w:type="dxa"/>
            <w:vMerge w:val="continue"/>
            <w:vAlign w:val="center"/>
          </w:tcPr>
          <w:p w14:paraId="2CBB096D">
            <w:pPr>
              <w:adjustRightInd w:val="0"/>
              <w:snapToGrid w:val="0"/>
              <w:jc w:val="center"/>
              <w:rPr>
                <w:rFonts w:ascii="Times New Roman" w:eastAsia="仿宋"/>
                <w:szCs w:val="21"/>
              </w:rPr>
            </w:pPr>
          </w:p>
        </w:tc>
        <w:tc>
          <w:tcPr>
            <w:tcW w:w="879" w:type="dxa"/>
            <w:vMerge w:val="continue"/>
            <w:vAlign w:val="center"/>
          </w:tcPr>
          <w:p w14:paraId="136C60F6">
            <w:pPr>
              <w:adjustRightInd w:val="0"/>
              <w:snapToGrid w:val="0"/>
              <w:jc w:val="center"/>
              <w:rPr>
                <w:rFonts w:ascii="Times New Roman" w:eastAsia="仿宋"/>
                <w:szCs w:val="21"/>
              </w:rPr>
            </w:pPr>
          </w:p>
        </w:tc>
      </w:tr>
      <w:tr w14:paraId="469D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11F2D55C">
            <w:pPr>
              <w:adjustRightInd w:val="0"/>
              <w:snapToGrid w:val="0"/>
              <w:jc w:val="center"/>
              <w:rPr>
                <w:rFonts w:ascii="Times New Roman" w:eastAsia="仿宋"/>
                <w:szCs w:val="24"/>
              </w:rPr>
            </w:pPr>
          </w:p>
        </w:tc>
        <w:tc>
          <w:tcPr>
            <w:tcW w:w="1580" w:type="dxa"/>
            <w:vMerge w:val="continue"/>
            <w:vAlign w:val="center"/>
          </w:tcPr>
          <w:p w14:paraId="787DC410">
            <w:pPr>
              <w:adjustRightInd w:val="0"/>
              <w:snapToGrid w:val="0"/>
              <w:jc w:val="center"/>
              <w:rPr>
                <w:rFonts w:ascii="Times New Roman" w:eastAsia="仿宋"/>
                <w:szCs w:val="24"/>
              </w:rPr>
            </w:pPr>
          </w:p>
        </w:tc>
        <w:tc>
          <w:tcPr>
            <w:tcW w:w="827" w:type="dxa"/>
            <w:vMerge w:val="continue"/>
            <w:vAlign w:val="center"/>
          </w:tcPr>
          <w:p w14:paraId="74C787D0">
            <w:pPr>
              <w:adjustRightInd w:val="0"/>
              <w:snapToGrid w:val="0"/>
              <w:jc w:val="center"/>
              <w:rPr>
                <w:rFonts w:ascii="Times New Roman" w:eastAsia="仿宋"/>
                <w:szCs w:val="24"/>
              </w:rPr>
            </w:pPr>
          </w:p>
        </w:tc>
        <w:tc>
          <w:tcPr>
            <w:tcW w:w="1435" w:type="dxa"/>
            <w:vAlign w:val="center"/>
          </w:tcPr>
          <w:p w14:paraId="1B8EEAF1">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018" w:type="dxa"/>
            <w:vAlign w:val="center"/>
          </w:tcPr>
          <w:p w14:paraId="5F572751">
            <w:pPr>
              <w:widowControl/>
              <w:jc w:val="center"/>
              <w:textAlignment w:val="center"/>
              <w:rPr>
                <w:rFonts w:ascii="Times New Roman" w:eastAsia="仿宋"/>
                <w:szCs w:val="24"/>
              </w:rPr>
            </w:pPr>
            <w:r>
              <w:rPr>
                <w:rFonts w:ascii="Times New Roman" w:eastAsia="仿宋"/>
                <w:szCs w:val="24"/>
              </w:rPr>
              <w:t>4.8</w:t>
            </w:r>
          </w:p>
        </w:tc>
        <w:tc>
          <w:tcPr>
            <w:tcW w:w="1030" w:type="dxa"/>
            <w:vAlign w:val="center"/>
          </w:tcPr>
          <w:p w14:paraId="46F00AD1">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098" w:type="dxa"/>
            <w:vAlign w:val="center"/>
          </w:tcPr>
          <w:p w14:paraId="0440F139">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1590" w:type="dxa"/>
            <w:vMerge w:val="continue"/>
            <w:vAlign w:val="center"/>
          </w:tcPr>
          <w:p w14:paraId="3212C253">
            <w:pPr>
              <w:adjustRightInd w:val="0"/>
              <w:snapToGrid w:val="0"/>
              <w:jc w:val="center"/>
              <w:rPr>
                <w:rFonts w:ascii="Times New Roman" w:eastAsia="仿宋"/>
                <w:szCs w:val="24"/>
              </w:rPr>
            </w:pPr>
          </w:p>
        </w:tc>
        <w:tc>
          <w:tcPr>
            <w:tcW w:w="956" w:type="dxa"/>
            <w:vMerge w:val="continue"/>
            <w:vAlign w:val="center"/>
          </w:tcPr>
          <w:p w14:paraId="3395BABE">
            <w:pPr>
              <w:adjustRightInd w:val="0"/>
              <w:snapToGrid w:val="0"/>
              <w:jc w:val="center"/>
              <w:rPr>
                <w:rFonts w:ascii="Times New Roman" w:eastAsia="仿宋"/>
                <w:szCs w:val="24"/>
              </w:rPr>
            </w:pPr>
          </w:p>
        </w:tc>
        <w:tc>
          <w:tcPr>
            <w:tcW w:w="694" w:type="dxa"/>
            <w:vMerge w:val="continue"/>
            <w:vAlign w:val="center"/>
          </w:tcPr>
          <w:p w14:paraId="53BCC3E2">
            <w:pPr>
              <w:adjustRightInd w:val="0"/>
              <w:snapToGrid w:val="0"/>
              <w:jc w:val="center"/>
              <w:rPr>
                <w:rFonts w:ascii="Times New Roman" w:eastAsia="仿宋"/>
                <w:szCs w:val="24"/>
              </w:rPr>
            </w:pPr>
          </w:p>
        </w:tc>
        <w:tc>
          <w:tcPr>
            <w:tcW w:w="1226" w:type="dxa"/>
            <w:vMerge w:val="continue"/>
            <w:vAlign w:val="center"/>
          </w:tcPr>
          <w:p w14:paraId="1BDF817B">
            <w:pPr>
              <w:adjustRightInd w:val="0"/>
              <w:snapToGrid w:val="0"/>
              <w:jc w:val="center"/>
              <w:rPr>
                <w:rFonts w:ascii="Times New Roman" w:eastAsia="仿宋"/>
                <w:szCs w:val="21"/>
              </w:rPr>
            </w:pPr>
          </w:p>
        </w:tc>
        <w:tc>
          <w:tcPr>
            <w:tcW w:w="879" w:type="dxa"/>
            <w:vMerge w:val="continue"/>
            <w:vAlign w:val="center"/>
          </w:tcPr>
          <w:p w14:paraId="17A93885">
            <w:pPr>
              <w:adjustRightInd w:val="0"/>
              <w:snapToGrid w:val="0"/>
              <w:jc w:val="center"/>
              <w:rPr>
                <w:rFonts w:ascii="Times New Roman" w:eastAsia="仿宋"/>
                <w:szCs w:val="21"/>
              </w:rPr>
            </w:pPr>
          </w:p>
        </w:tc>
      </w:tr>
      <w:tr w14:paraId="266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3E8C2DB9">
            <w:pPr>
              <w:adjustRightInd w:val="0"/>
              <w:snapToGrid w:val="0"/>
              <w:jc w:val="center"/>
              <w:rPr>
                <w:rFonts w:ascii="Times New Roman" w:eastAsia="仿宋"/>
                <w:szCs w:val="24"/>
              </w:rPr>
            </w:pPr>
          </w:p>
        </w:tc>
        <w:tc>
          <w:tcPr>
            <w:tcW w:w="1580" w:type="dxa"/>
            <w:vMerge w:val="continue"/>
            <w:vAlign w:val="center"/>
          </w:tcPr>
          <w:p w14:paraId="47E2C411">
            <w:pPr>
              <w:adjustRightInd w:val="0"/>
              <w:snapToGrid w:val="0"/>
              <w:jc w:val="center"/>
              <w:rPr>
                <w:rFonts w:ascii="Times New Roman" w:eastAsia="仿宋"/>
                <w:szCs w:val="24"/>
              </w:rPr>
            </w:pPr>
          </w:p>
        </w:tc>
        <w:tc>
          <w:tcPr>
            <w:tcW w:w="827" w:type="dxa"/>
            <w:vMerge w:val="continue"/>
            <w:vAlign w:val="center"/>
          </w:tcPr>
          <w:p w14:paraId="4BE346AA">
            <w:pPr>
              <w:adjustRightInd w:val="0"/>
              <w:snapToGrid w:val="0"/>
              <w:jc w:val="center"/>
              <w:rPr>
                <w:rFonts w:ascii="Times New Roman" w:eastAsia="仿宋"/>
                <w:szCs w:val="24"/>
              </w:rPr>
            </w:pPr>
          </w:p>
        </w:tc>
        <w:tc>
          <w:tcPr>
            <w:tcW w:w="1435" w:type="dxa"/>
            <w:vAlign w:val="center"/>
          </w:tcPr>
          <w:p w14:paraId="23DE1350">
            <w:pPr>
              <w:adjustRightInd w:val="0"/>
              <w:snapToGrid w:val="0"/>
              <w:jc w:val="center"/>
              <w:rPr>
                <w:rFonts w:ascii="Times New Roman" w:eastAsia="仿宋"/>
                <w:szCs w:val="24"/>
              </w:rPr>
            </w:pPr>
            <w:r>
              <w:rPr>
                <w:rFonts w:hint="eastAsia" w:ascii="Times New Roman" w:eastAsia="仿宋"/>
                <w:szCs w:val="24"/>
              </w:rPr>
              <w:t>颗粒物</w:t>
            </w:r>
          </w:p>
        </w:tc>
        <w:tc>
          <w:tcPr>
            <w:tcW w:w="1018" w:type="dxa"/>
            <w:vAlign w:val="center"/>
          </w:tcPr>
          <w:p w14:paraId="06E641D6">
            <w:pPr>
              <w:widowControl/>
              <w:jc w:val="center"/>
              <w:textAlignment w:val="center"/>
              <w:rPr>
                <w:rFonts w:ascii="Times New Roman" w:eastAsia="仿宋"/>
                <w:szCs w:val="24"/>
              </w:rPr>
            </w:pPr>
            <w:r>
              <w:rPr>
                <w:rFonts w:hint="eastAsia" w:ascii="Times New Roman" w:eastAsia="仿宋"/>
                <w:szCs w:val="24"/>
              </w:rPr>
              <w:t>0.67</w:t>
            </w:r>
          </w:p>
        </w:tc>
        <w:tc>
          <w:tcPr>
            <w:tcW w:w="1030" w:type="dxa"/>
            <w:vAlign w:val="center"/>
          </w:tcPr>
          <w:p w14:paraId="33143B34">
            <w:pPr>
              <w:widowControl/>
              <w:jc w:val="center"/>
              <w:textAlignment w:val="center"/>
              <w:rPr>
                <w:rFonts w:ascii="Times New Roman" w:eastAsia="仿宋"/>
                <w:szCs w:val="24"/>
              </w:rPr>
            </w:pPr>
            <w:r>
              <w:rPr>
                <w:rFonts w:hint="eastAsia" w:ascii="Times New Roman" w:eastAsia="仿宋"/>
                <w:szCs w:val="24"/>
              </w:rPr>
              <w:t>0.014</w:t>
            </w:r>
          </w:p>
        </w:tc>
        <w:tc>
          <w:tcPr>
            <w:tcW w:w="1098" w:type="dxa"/>
            <w:vAlign w:val="center"/>
          </w:tcPr>
          <w:p w14:paraId="31D1C835">
            <w:pPr>
              <w:widowControl/>
              <w:jc w:val="center"/>
              <w:textAlignment w:val="center"/>
              <w:rPr>
                <w:rFonts w:ascii="Times New Roman" w:eastAsia="仿宋"/>
                <w:szCs w:val="24"/>
              </w:rPr>
            </w:pPr>
            <w:r>
              <w:rPr>
                <w:rFonts w:hint="eastAsia" w:ascii="Times New Roman" w:eastAsia="仿宋"/>
                <w:szCs w:val="24"/>
              </w:rPr>
              <w:t>0.068</w:t>
            </w:r>
          </w:p>
        </w:tc>
        <w:tc>
          <w:tcPr>
            <w:tcW w:w="1590" w:type="dxa"/>
            <w:vMerge w:val="continue"/>
            <w:vAlign w:val="center"/>
          </w:tcPr>
          <w:p w14:paraId="7DF0BE76">
            <w:pPr>
              <w:adjustRightInd w:val="0"/>
              <w:snapToGrid w:val="0"/>
              <w:jc w:val="center"/>
              <w:rPr>
                <w:rFonts w:ascii="Times New Roman" w:eastAsia="仿宋"/>
                <w:szCs w:val="24"/>
              </w:rPr>
            </w:pPr>
          </w:p>
        </w:tc>
        <w:tc>
          <w:tcPr>
            <w:tcW w:w="956" w:type="dxa"/>
            <w:vMerge w:val="continue"/>
            <w:vAlign w:val="center"/>
          </w:tcPr>
          <w:p w14:paraId="21C8D9D6">
            <w:pPr>
              <w:adjustRightInd w:val="0"/>
              <w:snapToGrid w:val="0"/>
              <w:jc w:val="center"/>
              <w:rPr>
                <w:rFonts w:ascii="Times New Roman" w:eastAsia="仿宋"/>
                <w:szCs w:val="24"/>
              </w:rPr>
            </w:pPr>
          </w:p>
        </w:tc>
        <w:tc>
          <w:tcPr>
            <w:tcW w:w="694" w:type="dxa"/>
            <w:vMerge w:val="continue"/>
            <w:vAlign w:val="center"/>
          </w:tcPr>
          <w:p w14:paraId="4B72B77E">
            <w:pPr>
              <w:adjustRightInd w:val="0"/>
              <w:snapToGrid w:val="0"/>
              <w:jc w:val="center"/>
              <w:rPr>
                <w:rFonts w:ascii="Times New Roman" w:eastAsia="仿宋"/>
                <w:szCs w:val="24"/>
              </w:rPr>
            </w:pPr>
          </w:p>
        </w:tc>
        <w:tc>
          <w:tcPr>
            <w:tcW w:w="1226" w:type="dxa"/>
            <w:vMerge w:val="continue"/>
            <w:vAlign w:val="center"/>
          </w:tcPr>
          <w:p w14:paraId="65A5A280">
            <w:pPr>
              <w:adjustRightInd w:val="0"/>
              <w:snapToGrid w:val="0"/>
              <w:jc w:val="center"/>
              <w:rPr>
                <w:rFonts w:ascii="Times New Roman" w:eastAsia="仿宋"/>
                <w:szCs w:val="21"/>
              </w:rPr>
            </w:pPr>
          </w:p>
        </w:tc>
        <w:tc>
          <w:tcPr>
            <w:tcW w:w="879" w:type="dxa"/>
            <w:vMerge w:val="continue"/>
            <w:vAlign w:val="center"/>
          </w:tcPr>
          <w:p w14:paraId="1BF1D64E">
            <w:pPr>
              <w:adjustRightInd w:val="0"/>
              <w:snapToGrid w:val="0"/>
              <w:jc w:val="center"/>
              <w:rPr>
                <w:rFonts w:ascii="Times New Roman" w:eastAsia="仿宋"/>
                <w:szCs w:val="21"/>
              </w:rPr>
            </w:pPr>
          </w:p>
        </w:tc>
      </w:tr>
      <w:tr w14:paraId="529D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962" w:type="dxa"/>
            <w:vMerge w:val="continue"/>
            <w:vAlign w:val="center"/>
          </w:tcPr>
          <w:p w14:paraId="2089A434">
            <w:pPr>
              <w:adjustRightInd w:val="0"/>
              <w:snapToGrid w:val="0"/>
              <w:jc w:val="center"/>
              <w:rPr>
                <w:rFonts w:ascii="Times New Roman" w:eastAsia="仿宋"/>
                <w:szCs w:val="24"/>
              </w:rPr>
            </w:pPr>
          </w:p>
        </w:tc>
        <w:tc>
          <w:tcPr>
            <w:tcW w:w="1580" w:type="dxa"/>
            <w:vMerge w:val="restart"/>
            <w:vAlign w:val="center"/>
          </w:tcPr>
          <w:p w14:paraId="7CA0B094">
            <w:pPr>
              <w:adjustRightInd w:val="0"/>
              <w:snapToGrid w:val="0"/>
              <w:jc w:val="center"/>
              <w:rPr>
                <w:rFonts w:ascii="Times New Roman" w:eastAsia="仿宋"/>
                <w:szCs w:val="24"/>
              </w:rPr>
            </w:pPr>
            <w:r>
              <w:rPr>
                <w:rFonts w:hint="eastAsia" w:ascii="Times New Roman" w:eastAsia="仿宋"/>
                <w:szCs w:val="24"/>
              </w:rPr>
              <w:t>天然气燃烧废气G1</w:t>
            </w:r>
            <w:r>
              <w:rPr>
                <w:rFonts w:ascii="Times New Roman" w:eastAsia="仿宋"/>
                <w:szCs w:val="24"/>
              </w:rPr>
              <w:t>3</w:t>
            </w:r>
            <w:r>
              <w:rPr>
                <w:rFonts w:hint="eastAsia" w:ascii="Times New Roman" w:eastAsia="仿宋"/>
                <w:szCs w:val="24"/>
              </w:rPr>
              <w:t>、G1</w:t>
            </w:r>
            <w:r>
              <w:rPr>
                <w:rFonts w:ascii="Times New Roman" w:eastAsia="仿宋"/>
                <w:szCs w:val="24"/>
              </w:rPr>
              <w:t>7</w:t>
            </w:r>
          </w:p>
        </w:tc>
        <w:tc>
          <w:tcPr>
            <w:tcW w:w="827" w:type="dxa"/>
            <w:vMerge w:val="continue"/>
            <w:vAlign w:val="center"/>
          </w:tcPr>
          <w:p w14:paraId="7A3CCF8E">
            <w:pPr>
              <w:adjustRightInd w:val="0"/>
              <w:snapToGrid w:val="0"/>
              <w:jc w:val="center"/>
              <w:rPr>
                <w:rFonts w:ascii="Times New Roman" w:eastAsia="仿宋"/>
                <w:szCs w:val="24"/>
              </w:rPr>
            </w:pPr>
          </w:p>
        </w:tc>
        <w:tc>
          <w:tcPr>
            <w:tcW w:w="1435" w:type="dxa"/>
            <w:vAlign w:val="center"/>
          </w:tcPr>
          <w:p w14:paraId="0B692369">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018" w:type="dxa"/>
            <w:vAlign w:val="center"/>
          </w:tcPr>
          <w:p w14:paraId="5DB6B6DD">
            <w:pPr>
              <w:widowControl/>
              <w:jc w:val="center"/>
              <w:textAlignment w:val="center"/>
              <w:rPr>
                <w:rFonts w:ascii="Times New Roman" w:eastAsia="仿宋"/>
                <w:szCs w:val="24"/>
              </w:rPr>
            </w:pPr>
            <w:r>
              <w:rPr>
                <w:rFonts w:hint="eastAsia" w:ascii="Times New Roman" w:eastAsia="仿宋"/>
                <w:szCs w:val="24"/>
              </w:rPr>
              <w:t>0.1</w:t>
            </w:r>
          </w:p>
        </w:tc>
        <w:tc>
          <w:tcPr>
            <w:tcW w:w="1030" w:type="dxa"/>
            <w:vAlign w:val="center"/>
          </w:tcPr>
          <w:p w14:paraId="01FB8C84">
            <w:pPr>
              <w:widowControl/>
              <w:jc w:val="center"/>
              <w:textAlignment w:val="center"/>
              <w:rPr>
                <w:rFonts w:ascii="Times New Roman" w:eastAsia="仿宋"/>
                <w:szCs w:val="24"/>
              </w:rPr>
            </w:pPr>
            <w:r>
              <w:rPr>
                <w:rFonts w:hint="eastAsia" w:ascii="Times New Roman" w:eastAsia="仿宋"/>
                <w:szCs w:val="24"/>
              </w:rPr>
              <w:t>0.002</w:t>
            </w:r>
          </w:p>
        </w:tc>
        <w:tc>
          <w:tcPr>
            <w:tcW w:w="1098" w:type="dxa"/>
            <w:shd w:val="clear" w:color="auto" w:fill="auto"/>
            <w:vAlign w:val="center"/>
          </w:tcPr>
          <w:p w14:paraId="1872038E">
            <w:pPr>
              <w:widowControl/>
              <w:jc w:val="center"/>
              <w:textAlignment w:val="center"/>
              <w:rPr>
                <w:rFonts w:ascii="Times New Roman" w:eastAsia="仿宋"/>
                <w:szCs w:val="24"/>
              </w:rPr>
            </w:pPr>
            <w:r>
              <w:rPr>
                <w:rFonts w:hint="eastAsia" w:ascii="Times New Roman" w:eastAsia="仿宋"/>
                <w:szCs w:val="24"/>
              </w:rPr>
              <w:t>0.01</w:t>
            </w:r>
          </w:p>
        </w:tc>
        <w:tc>
          <w:tcPr>
            <w:tcW w:w="1590" w:type="dxa"/>
            <w:vMerge w:val="continue"/>
            <w:vAlign w:val="center"/>
          </w:tcPr>
          <w:p w14:paraId="12C745ED">
            <w:pPr>
              <w:adjustRightInd w:val="0"/>
              <w:snapToGrid w:val="0"/>
              <w:jc w:val="center"/>
              <w:rPr>
                <w:rFonts w:ascii="Times New Roman" w:eastAsia="仿宋"/>
                <w:szCs w:val="24"/>
              </w:rPr>
            </w:pPr>
          </w:p>
        </w:tc>
        <w:tc>
          <w:tcPr>
            <w:tcW w:w="956" w:type="dxa"/>
            <w:vMerge w:val="continue"/>
            <w:vAlign w:val="center"/>
          </w:tcPr>
          <w:p w14:paraId="2D1FFF60">
            <w:pPr>
              <w:adjustRightInd w:val="0"/>
              <w:snapToGrid w:val="0"/>
              <w:jc w:val="center"/>
              <w:rPr>
                <w:rFonts w:ascii="Times New Roman" w:eastAsia="仿宋"/>
                <w:szCs w:val="24"/>
              </w:rPr>
            </w:pPr>
          </w:p>
        </w:tc>
        <w:tc>
          <w:tcPr>
            <w:tcW w:w="694" w:type="dxa"/>
            <w:vMerge w:val="continue"/>
            <w:vAlign w:val="center"/>
          </w:tcPr>
          <w:p w14:paraId="4ECED4B5">
            <w:pPr>
              <w:adjustRightInd w:val="0"/>
              <w:snapToGrid w:val="0"/>
              <w:jc w:val="center"/>
              <w:rPr>
                <w:rFonts w:ascii="Times New Roman" w:eastAsia="仿宋"/>
                <w:szCs w:val="24"/>
              </w:rPr>
            </w:pPr>
          </w:p>
        </w:tc>
        <w:tc>
          <w:tcPr>
            <w:tcW w:w="1226" w:type="dxa"/>
            <w:vMerge w:val="continue"/>
            <w:vAlign w:val="center"/>
          </w:tcPr>
          <w:p w14:paraId="6B9B6B3F">
            <w:pPr>
              <w:adjustRightInd w:val="0"/>
              <w:snapToGrid w:val="0"/>
              <w:jc w:val="center"/>
              <w:rPr>
                <w:rFonts w:ascii="Times New Roman" w:eastAsia="仿宋"/>
                <w:szCs w:val="21"/>
              </w:rPr>
            </w:pPr>
          </w:p>
        </w:tc>
        <w:tc>
          <w:tcPr>
            <w:tcW w:w="879" w:type="dxa"/>
            <w:vMerge w:val="continue"/>
            <w:vAlign w:val="center"/>
          </w:tcPr>
          <w:p w14:paraId="1338DEAE">
            <w:pPr>
              <w:adjustRightInd w:val="0"/>
              <w:snapToGrid w:val="0"/>
              <w:jc w:val="center"/>
              <w:rPr>
                <w:rFonts w:ascii="Times New Roman" w:eastAsia="仿宋"/>
                <w:szCs w:val="21"/>
              </w:rPr>
            </w:pPr>
          </w:p>
        </w:tc>
      </w:tr>
      <w:tr w14:paraId="55FE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7C405C8D">
            <w:pPr>
              <w:adjustRightInd w:val="0"/>
              <w:snapToGrid w:val="0"/>
              <w:jc w:val="center"/>
              <w:rPr>
                <w:rFonts w:ascii="Times New Roman" w:eastAsia="仿宋"/>
                <w:szCs w:val="24"/>
              </w:rPr>
            </w:pPr>
          </w:p>
        </w:tc>
        <w:tc>
          <w:tcPr>
            <w:tcW w:w="1580" w:type="dxa"/>
            <w:vMerge w:val="continue"/>
            <w:vAlign w:val="center"/>
          </w:tcPr>
          <w:p w14:paraId="706DEE96">
            <w:pPr>
              <w:adjustRightInd w:val="0"/>
              <w:snapToGrid w:val="0"/>
              <w:jc w:val="center"/>
              <w:rPr>
                <w:rFonts w:ascii="Times New Roman" w:eastAsia="仿宋"/>
                <w:szCs w:val="24"/>
              </w:rPr>
            </w:pPr>
          </w:p>
        </w:tc>
        <w:tc>
          <w:tcPr>
            <w:tcW w:w="827" w:type="dxa"/>
            <w:vMerge w:val="continue"/>
            <w:vAlign w:val="center"/>
          </w:tcPr>
          <w:p w14:paraId="2D6F1CEB">
            <w:pPr>
              <w:adjustRightInd w:val="0"/>
              <w:snapToGrid w:val="0"/>
              <w:jc w:val="center"/>
              <w:rPr>
                <w:rFonts w:ascii="Times New Roman" w:eastAsia="仿宋"/>
                <w:szCs w:val="24"/>
              </w:rPr>
            </w:pPr>
          </w:p>
        </w:tc>
        <w:tc>
          <w:tcPr>
            <w:tcW w:w="1435" w:type="dxa"/>
            <w:vAlign w:val="center"/>
          </w:tcPr>
          <w:p w14:paraId="47D0E04B">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018" w:type="dxa"/>
            <w:vAlign w:val="center"/>
          </w:tcPr>
          <w:p w14:paraId="66A9B74A">
            <w:pPr>
              <w:widowControl/>
              <w:jc w:val="center"/>
              <w:textAlignment w:val="center"/>
              <w:rPr>
                <w:rFonts w:ascii="Times New Roman" w:eastAsia="仿宋"/>
                <w:szCs w:val="24"/>
              </w:rPr>
            </w:pPr>
            <w:r>
              <w:rPr>
                <w:rFonts w:ascii="Times New Roman" w:eastAsia="仿宋"/>
                <w:szCs w:val="24"/>
              </w:rPr>
              <w:t>4.8</w:t>
            </w:r>
          </w:p>
        </w:tc>
        <w:tc>
          <w:tcPr>
            <w:tcW w:w="1030" w:type="dxa"/>
            <w:vAlign w:val="center"/>
          </w:tcPr>
          <w:p w14:paraId="093E57F7">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098" w:type="dxa"/>
            <w:shd w:val="clear" w:color="auto" w:fill="auto"/>
            <w:vAlign w:val="center"/>
          </w:tcPr>
          <w:p w14:paraId="7AD15BA8">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1590" w:type="dxa"/>
            <w:vMerge w:val="continue"/>
            <w:vAlign w:val="center"/>
          </w:tcPr>
          <w:p w14:paraId="44C582BC">
            <w:pPr>
              <w:adjustRightInd w:val="0"/>
              <w:snapToGrid w:val="0"/>
              <w:jc w:val="center"/>
              <w:rPr>
                <w:rFonts w:ascii="Times New Roman" w:eastAsia="仿宋"/>
                <w:szCs w:val="24"/>
              </w:rPr>
            </w:pPr>
          </w:p>
        </w:tc>
        <w:tc>
          <w:tcPr>
            <w:tcW w:w="956" w:type="dxa"/>
            <w:vMerge w:val="continue"/>
            <w:vAlign w:val="center"/>
          </w:tcPr>
          <w:p w14:paraId="426F30F8">
            <w:pPr>
              <w:adjustRightInd w:val="0"/>
              <w:snapToGrid w:val="0"/>
              <w:jc w:val="center"/>
              <w:rPr>
                <w:rFonts w:ascii="Times New Roman" w:eastAsia="仿宋"/>
                <w:szCs w:val="24"/>
              </w:rPr>
            </w:pPr>
          </w:p>
        </w:tc>
        <w:tc>
          <w:tcPr>
            <w:tcW w:w="694" w:type="dxa"/>
            <w:vMerge w:val="continue"/>
            <w:vAlign w:val="center"/>
          </w:tcPr>
          <w:p w14:paraId="01761816">
            <w:pPr>
              <w:adjustRightInd w:val="0"/>
              <w:snapToGrid w:val="0"/>
              <w:jc w:val="center"/>
              <w:rPr>
                <w:rFonts w:ascii="Times New Roman" w:eastAsia="仿宋"/>
                <w:szCs w:val="24"/>
              </w:rPr>
            </w:pPr>
          </w:p>
        </w:tc>
        <w:tc>
          <w:tcPr>
            <w:tcW w:w="1226" w:type="dxa"/>
            <w:vMerge w:val="continue"/>
            <w:vAlign w:val="center"/>
          </w:tcPr>
          <w:p w14:paraId="31EDE427">
            <w:pPr>
              <w:adjustRightInd w:val="0"/>
              <w:snapToGrid w:val="0"/>
              <w:jc w:val="center"/>
              <w:rPr>
                <w:rFonts w:ascii="Times New Roman" w:eastAsia="仿宋"/>
                <w:szCs w:val="21"/>
              </w:rPr>
            </w:pPr>
          </w:p>
        </w:tc>
        <w:tc>
          <w:tcPr>
            <w:tcW w:w="879" w:type="dxa"/>
            <w:vMerge w:val="continue"/>
            <w:vAlign w:val="center"/>
          </w:tcPr>
          <w:p w14:paraId="02BBA913">
            <w:pPr>
              <w:adjustRightInd w:val="0"/>
              <w:snapToGrid w:val="0"/>
              <w:jc w:val="center"/>
              <w:rPr>
                <w:rFonts w:ascii="Times New Roman" w:eastAsia="仿宋"/>
                <w:szCs w:val="21"/>
              </w:rPr>
            </w:pPr>
          </w:p>
        </w:tc>
      </w:tr>
      <w:tr w14:paraId="5B13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jc w:val="center"/>
        </w:trPr>
        <w:tc>
          <w:tcPr>
            <w:tcW w:w="962" w:type="dxa"/>
            <w:vMerge w:val="continue"/>
            <w:vAlign w:val="center"/>
          </w:tcPr>
          <w:p w14:paraId="676CCCA4">
            <w:pPr>
              <w:adjustRightInd w:val="0"/>
              <w:snapToGrid w:val="0"/>
              <w:jc w:val="center"/>
              <w:rPr>
                <w:rFonts w:ascii="Times New Roman" w:eastAsia="仿宋"/>
                <w:szCs w:val="24"/>
              </w:rPr>
            </w:pPr>
          </w:p>
        </w:tc>
        <w:tc>
          <w:tcPr>
            <w:tcW w:w="1580" w:type="dxa"/>
            <w:vMerge w:val="continue"/>
            <w:vAlign w:val="center"/>
          </w:tcPr>
          <w:p w14:paraId="008D1811">
            <w:pPr>
              <w:adjustRightInd w:val="0"/>
              <w:snapToGrid w:val="0"/>
              <w:jc w:val="center"/>
              <w:rPr>
                <w:rFonts w:ascii="Times New Roman" w:eastAsia="仿宋"/>
                <w:szCs w:val="24"/>
              </w:rPr>
            </w:pPr>
          </w:p>
        </w:tc>
        <w:tc>
          <w:tcPr>
            <w:tcW w:w="827" w:type="dxa"/>
            <w:vMerge w:val="continue"/>
            <w:vAlign w:val="center"/>
          </w:tcPr>
          <w:p w14:paraId="1573D524">
            <w:pPr>
              <w:adjustRightInd w:val="0"/>
              <w:snapToGrid w:val="0"/>
              <w:jc w:val="center"/>
              <w:rPr>
                <w:rFonts w:ascii="Times New Roman" w:eastAsia="仿宋"/>
                <w:szCs w:val="24"/>
              </w:rPr>
            </w:pPr>
          </w:p>
        </w:tc>
        <w:tc>
          <w:tcPr>
            <w:tcW w:w="1435" w:type="dxa"/>
            <w:vAlign w:val="center"/>
          </w:tcPr>
          <w:p w14:paraId="728C074A">
            <w:pPr>
              <w:adjustRightInd w:val="0"/>
              <w:snapToGrid w:val="0"/>
              <w:jc w:val="center"/>
              <w:rPr>
                <w:rFonts w:ascii="Times New Roman" w:eastAsia="仿宋"/>
                <w:szCs w:val="24"/>
              </w:rPr>
            </w:pPr>
            <w:r>
              <w:rPr>
                <w:rFonts w:hint="eastAsia" w:ascii="Times New Roman" w:eastAsia="仿宋"/>
                <w:szCs w:val="24"/>
              </w:rPr>
              <w:t>颗粒物</w:t>
            </w:r>
          </w:p>
        </w:tc>
        <w:tc>
          <w:tcPr>
            <w:tcW w:w="1018" w:type="dxa"/>
            <w:vAlign w:val="center"/>
          </w:tcPr>
          <w:p w14:paraId="4101EC80">
            <w:pPr>
              <w:widowControl/>
              <w:jc w:val="center"/>
              <w:textAlignment w:val="center"/>
              <w:rPr>
                <w:rFonts w:ascii="Times New Roman" w:eastAsia="仿宋"/>
                <w:szCs w:val="24"/>
              </w:rPr>
            </w:pPr>
            <w:r>
              <w:rPr>
                <w:rFonts w:hint="eastAsia" w:ascii="Times New Roman" w:eastAsia="仿宋"/>
                <w:szCs w:val="24"/>
              </w:rPr>
              <w:t>0.67</w:t>
            </w:r>
          </w:p>
        </w:tc>
        <w:tc>
          <w:tcPr>
            <w:tcW w:w="1030" w:type="dxa"/>
            <w:vAlign w:val="center"/>
          </w:tcPr>
          <w:p w14:paraId="230AED44">
            <w:pPr>
              <w:widowControl/>
              <w:jc w:val="center"/>
              <w:textAlignment w:val="center"/>
              <w:rPr>
                <w:rFonts w:ascii="Times New Roman" w:eastAsia="仿宋"/>
                <w:szCs w:val="24"/>
              </w:rPr>
            </w:pPr>
            <w:r>
              <w:rPr>
                <w:rFonts w:hint="eastAsia" w:ascii="Times New Roman" w:eastAsia="仿宋"/>
                <w:szCs w:val="24"/>
              </w:rPr>
              <w:t>0.014</w:t>
            </w:r>
          </w:p>
        </w:tc>
        <w:tc>
          <w:tcPr>
            <w:tcW w:w="1098" w:type="dxa"/>
            <w:shd w:val="clear" w:color="auto" w:fill="auto"/>
            <w:vAlign w:val="center"/>
          </w:tcPr>
          <w:p w14:paraId="2F06A112">
            <w:pPr>
              <w:widowControl/>
              <w:jc w:val="center"/>
              <w:textAlignment w:val="center"/>
              <w:rPr>
                <w:rFonts w:ascii="Times New Roman" w:eastAsia="仿宋"/>
                <w:szCs w:val="24"/>
              </w:rPr>
            </w:pPr>
            <w:r>
              <w:rPr>
                <w:rFonts w:hint="eastAsia" w:ascii="Times New Roman" w:eastAsia="仿宋"/>
                <w:szCs w:val="24"/>
              </w:rPr>
              <w:t>0.068</w:t>
            </w:r>
          </w:p>
        </w:tc>
        <w:tc>
          <w:tcPr>
            <w:tcW w:w="1590" w:type="dxa"/>
            <w:vMerge w:val="continue"/>
            <w:vAlign w:val="center"/>
          </w:tcPr>
          <w:p w14:paraId="39F87128">
            <w:pPr>
              <w:adjustRightInd w:val="0"/>
              <w:snapToGrid w:val="0"/>
              <w:jc w:val="center"/>
              <w:rPr>
                <w:rFonts w:ascii="Times New Roman" w:eastAsia="仿宋"/>
                <w:szCs w:val="24"/>
              </w:rPr>
            </w:pPr>
          </w:p>
        </w:tc>
        <w:tc>
          <w:tcPr>
            <w:tcW w:w="956" w:type="dxa"/>
            <w:vMerge w:val="continue"/>
            <w:vAlign w:val="center"/>
          </w:tcPr>
          <w:p w14:paraId="4E3D55B0">
            <w:pPr>
              <w:adjustRightInd w:val="0"/>
              <w:snapToGrid w:val="0"/>
              <w:jc w:val="center"/>
              <w:rPr>
                <w:rFonts w:ascii="Times New Roman" w:eastAsia="仿宋"/>
                <w:szCs w:val="24"/>
              </w:rPr>
            </w:pPr>
          </w:p>
        </w:tc>
        <w:tc>
          <w:tcPr>
            <w:tcW w:w="694" w:type="dxa"/>
            <w:vMerge w:val="continue"/>
            <w:vAlign w:val="center"/>
          </w:tcPr>
          <w:p w14:paraId="50973DD4">
            <w:pPr>
              <w:adjustRightInd w:val="0"/>
              <w:snapToGrid w:val="0"/>
              <w:jc w:val="center"/>
              <w:rPr>
                <w:rFonts w:ascii="Times New Roman" w:eastAsia="仿宋"/>
                <w:szCs w:val="24"/>
              </w:rPr>
            </w:pPr>
          </w:p>
        </w:tc>
        <w:tc>
          <w:tcPr>
            <w:tcW w:w="1226" w:type="dxa"/>
            <w:vMerge w:val="continue"/>
            <w:vAlign w:val="center"/>
          </w:tcPr>
          <w:p w14:paraId="6310D8BD">
            <w:pPr>
              <w:adjustRightInd w:val="0"/>
              <w:snapToGrid w:val="0"/>
              <w:jc w:val="center"/>
              <w:rPr>
                <w:rFonts w:ascii="Times New Roman" w:eastAsia="仿宋"/>
                <w:szCs w:val="21"/>
              </w:rPr>
            </w:pPr>
          </w:p>
        </w:tc>
        <w:tc>
          <w:tcPr>
            <w:tcW w:w="879" w:type="dxa"/>
            <w:vMerge w:val="continue"/>
            <w:vAlign w:val="center"/>
          </w:tcPr>
          <w:p w14:paraId="37715BC3">
            <w:pPr>
              <w:adjustRightInd w:val="0"/>
              <w:snapToGrid w:val="0"/>
              <w:jc w:val="center"/>
              <w:rPr>
                <w:rFonts w:ascii="Times New Roman" w:eastAsia="仿宋"/>
                <w:szCs w:val="21"/>
              </w:rPr>
            </w:pPr>
          </w:p>
        </w:tc>
      </w:tr>
      <w:tr w14:paraId="4011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962" w:type="dxa"/>
            <w:vAlign w:val="center"/>
          </w:tcPr>
          <w:p w14:paraId="208F62BA">
            <w:pPr>
              <w:adjustRightInd w:val="0"/>
              <w:snapToGrid w:val="0"/>
              <w:jc w:val="center"/>
              <w:rPr>
                <w:rFonts w:ascii="Times New Roman" w:eastAsia="仿宋"/>
                <w:szCs w:val="24"/>
              </w:rPr>
            </w:pPr>
            <w:r>
              <w:rPr>
                <w:rFonts w:ascii="Times New Roman" w:eastAsia="仿宋"/>
                <w:szCs w:val="24"/>
              </w:rPr>
              <w:t>5</w:t>
            </w:r>
            <w:r>
              <w:rPr>
                <w:rFonts w:hint="eastAsia" w:ascii="Times New Roman" w:eastAsia="仿宋"/>
                <w:szCs w:val="24"/>
              </w:rPr>
              <w:t>#</w:t>
            </w:r>
          </w:p>
        </w:tc>
        <w:tc>
          <w:tcPr>
            <w:tcW w:w="1580" w:type="dxa"/>
            <w:vAlign w:val="center"/>
          </w:tcPr>
          <w:p w14:paraId="2AEE8D7C">
            <w:pPr>
              <w:adjustRightInd w:val="0"/>
              <w:snapToGrid w:val="0"/>
              <w:jc w:val="center"/>
              <w:rPr>
                <w:rFonts w:ascii="Times New Roman" w:eastAsia="仿宋"/>
                <w:szCs w:val="24"/>
              </w:rPr>
            </w:pPr>
            <w:r>
              <w:rPr>
                <w:rFonts w:hint="eastAsia" w:ascii="Times New Roman" w:eastAsia="仿宋"/>
                <w:szCs w:val="24"/>
              </w:rPr>
              <w:t>喷塑粉尘G6</w:t>
            </w:r>
          </w:p>
        </w:tc>
        <w:tc>
          <w:tcPr>
            <w:tcW w:w="827" w:type="dxa"/>
            <w:vAlign w:val="center"/>
          </w:tcPr>
          <w:p w14:paraId="5CD09F95">
            <w:pPr>
              <w:adjustRightInd w:val="0"/>
              <w:snapToGrid w:val="0"/>
              <w:jc w:val="center"/>
              <w:rPr>
                <w:rFonts w:ascii="Times New Roman" w:eastAsia="仿宋"/>
                <w:szCs w:val="24"/>
              </w:rPr>
            </w:pPr>
            <w:r>
              <w:rPr>
                <w:rFonts w:hint="eastAsia" w:ascii="Times New Roman" w:eastAsia="仿宋"/>
                <w:szCs w:val="24"/>
              </w:rPr>
              <w:t>8</w:t>
            </w:r>
            <w:r>
              <w:rPr>
                <w:rFonts w:ascii="Times New Roman" w:eastAsia="仿宋"/>
                <w:szCs w:val="24"/>
              </w:rPr>
              <w:t>000</w:t>
            </w:r>
          </w:p>
        </w:tc>
        <w:tc>
          <w:tcPr>
            <w:tcW w:w="1435" w:type="dxa"/>
            <w:vAlign w:val="center"/>
          </w:tcPr>
          <w:p w14:paraId="7AB9F298">
            <w:pPr>
              <w:adjustRightInd w:val="0"/>
              <w:snapToGrid w:val="0"/>
              <w:jc w:val="center"/>
              <w:rPr>
                <w:rFonts w:ascii="Times New Roman" w:eastAsia="仿宋"/>
                <w:szCs w:val="24"/>
              </w:rPr>
            </w:pPr>
            <w:r>
              <w:rPr>
                <w:rFonts w:hint="eastAsia" w:ascii="Times New Roman" w:eastAsia="仿宋"/>
                <w:szCs w:val="24"/>
              </w:rPr>
              <w:t>颗粒物</w:t>
            </w:r>
          </w:p>
        </w:tc>
        <w:tc>
          <w:tcPr>
            <w:tcW w:w="1018" w:type="dxa"/>
            <w:vAlign w:val="center"/>
          </w:tcPr>
          <w:p w14:paraId="244650B4">
            <w:pPr>
              <w:adjustRightInd w:val="0"/>
              <w:snapToGrid w:val="0"/>
              <w:jc w:val="center"/>
              <w:rPr>
                <w:rFonts w:ascii="Times New Roman" w:eastAsia="仿宋"/>
                <w:szCs w:val="24"/>
              </w:rPr>
            </w:pPr>
            <w:r>
              <w:rPr>
                <w:rFonts w:ascii="Times New Roman" w:eastAsia="仿宋"/>
                <w:szCs w:val="24"/>
              </w:rPr>
              <w:t>139.5</w:t>
            </w:r>
          </w:p>
        </w:tc>
        <w:tc>
          <w:tcPr>
            <w:tcW w:w="1030" w:type="dxa"/>
            <w:vAlign w:val="center"/>
          </w:tcPr>
          <w:p w14:paraId="77FED69C">
            <w:pPr>
              <w:adjustRightInd w:val="0"/>
              <w:snapToGrid w:val="0"/>
              <w:jc w:val="center"/>
              <w:rPr>
                <w:rFonts w:ascii="Times New Roman" w:eastAsia="仿宋"/>
                <w:szCs w:val="24"/>
              </w:rPr>
            </w:pPr>
            <w:r>
              <w:rPr>
                <w:rFonts w:hint="eastAsia" w:ascii="Times New Roman" w:eastAsia="仿宋"/>
                <w:szCs w:val="24"/>
              </w:rPr>
              <w:t>2.79</w:t>
            </w:r>
          </w:p>
        </w:tc>
        <w:tc>
          <w:tcPr>
            <w:tcW w:w="1098" w:type="dxa"/>
            <w:vAlign w:val="center"/>
          </w:tcPr>
          <w:p w14:paraId="3EA8ACF7">
            <w:pPr>
              <w:adjustRightInd w:val="0"/>
              <w:snapToGrid w:val="0"/>
              <w:jc w:val="center"/>
              <w:rPr>
                <w:rFonts w:ascii="Times New Roman" w:eastAsia="仿宋"/>
                <w:szCs w:val="24"/>
              </w:rPr>
            </w:pPr>
            <w:r>
              <w:rPr>
                <w:rFonts w:hint="eastAsia" w:ascii="Times New Roman" w:eastAsia="仿宋"/>
                <w:szCs w:val="24"/>
              </w:rPr>
              <w:t>13.37</w:t>
            </w:r>
          </w:p>
        </w:tc>
        <w:tc>
          <w:tcPr>
            <w:tcW w:w="1590" w:type="dxa"/>
            <w:vAlign w:val="center"/>
          </w:tcPr>
          <w:p w14:paraId="26DEC96E">
            <w:pPr>
              <w:adjustRightInd w:val="0"/>
              <w:snapToGrid w:val="0"/>
              <w:jc w:val="center"/>
              <w:rPr>
                <w:rFonts w:ascii="Times New Roman" w:eastAsia="仿宋"/>
                <w:szCs w:val="24"/>
              </w:rPr>
            </w:pPr>
            <w:r>
              <w:rPr>
                <w:rFonts w:hint="eastAsia" w:ascii="Times New Roman" w:eastAsia="仿宋"/>
                <w:szCs w:val="24"/>
              </w:rPr>
              <w:t>滤筒除尘器</w:t>
            </w:r>
          </w:p>
        </w:tc>
        <w:tc>
          <w:tcPr>
            <w:tcW w:w="956" w:type="dxa"/>
            <w:vAlign w:val="center"/>
          </w:tcPr>
          <w:p w14:paraId="2DBD313B">
            <w:pPr>
              <w:adjustRightInd w:val="0"/>
              <w:snapToGrid w:val="0"/>
              <w:jc w:val="center"/>
              <w:rPr>
                <w:rFonts w:ascii="Times New Roman" w:eastAsia="仿宋"/>
                <w:szCs w:val="24"/>
              </w:rPr>
            </w:pPr>
            <w:r>
              <w:rPr>
                <w:rFonts w:ascii="Times New Roman" w:eastAsia="仿宋"/>
                <w:szCs w:val="24"/>
              </w:rPr>
              <w:t>15</w:t>
            </w:r>
          </w:p>
        </w:tc>
        <w:tc>
          <w:tcPr>
            <w:tcW w:w="694" w:type="dxa"/>
            <w:vAlign w:val="center"/>
          </w:tcPr>
          <w:p w14:paraId="1380D2EA">
            <w:pPr>
              <w:adjustRightInd w:val="0"/>
              <w:snapToGrid w:val="0"/>
              <w:jc w:val="center"/>
              <w:rPr>
                <w:rFonts w:ascii="Times New Roman" w:eastAsia="仿宋"/>
                <w:szCs w:val="24"/>
              </w:rPr>
            </w:pPr>
            <w:r>
              <w:rPr>
                <w:rFonts w:ascii="Times New Roman" w:eastAsia="仿宋"/>
                <w:szCs w:val="24"/>
              </w:rPr>
              <w:t>0.5</w:t>
            </w:r>
          </w:p>
        </w:tc>
        <w:tc>
          <w:tcPr>
            <w:tcW w:w="1226" w:type="dxa"/>
            <w:vAlign w:val="center"/>
          </w:tcPr>
          <w:p w14:paraId="5080B3A6">
            <w:pPr>
              <w:adjustRightInd w:val="0"/>
              <w:snapToGrid w:val="0"/>
              <w:jc w:val="center"/>
              <w:rPr>
                <w:rFonts w:ascii="Times New Roman" w:eastAsia="仿宋"/>
                <w:szCs w:val="21"/>
              </w:rPr>
            </w:pPr>
            <w:r>
              <w:rPr>
                <w:rFonts w:hint="eastAsia" w:ascii="Times New Roman" w:eastAsia="仿宋"/>
                <w:szCs w:val="21"/>
              </w:rPr>
              <w:t>25</w:t>
            </w:r>
          </w:p>
        </w:tc>
        <w:tc>
          <w:tcPr>
            <w:tcW w:w="879" w:type="dxa"/>
            <w:vAlign w:val="center"/>
          </w:tcPr>
          <w:p w14:paraId="7CA94242">
            <w:pPr>
              <w:adjustRightInd w:val="0"/>
              <w:snapToGrid w:val="0"/>
              <w:jc w:val="center"/>
              <w:rPr>
                <w:rFonts w:ascii="Times New Roman" w:eastAsia="仿宋"/>
                <w:szCs w:val="21"/>
              </w:rPr>
            </w:pPr>
            <w:r>
              <w:rPr>
                <w:rFonts w:hint="eastAsia" w:ascii="Times New Roman" w:eastAsia="仿宋"/>
                <w:szCs w:val="21"/>
              </w:rPr>
              <w:t>连续4800h</w:t>
            </w:r>
          </w:p>
        </w:tc>
      </w:tr>
    </w:tbl>
    <w:p w14:paraId="61E44A47">
      <w:pPr>
        <w:spacing w:line="500" w:lineRule="exact"/>
        <w:ind w:firstLine="560" w:firstLineChars="200"/>
        <w:rPr>
          <w:rFonts w:ascii="Times New Roman" w:eastAsia="仿宋"/>
          <w:bCs/>
          <w:sz w:val="28"/>
          <w:szCs w:val="28"/>
        </w:rPr>
      </w:pPr>
    </w:p>
    <w:p w14:paraId="3DDBE60E">
      <w:pPr>
        <w:spacing w:line="500" w:lineRule="exact"/>
        <w:ind w:firstLine="560" w:firstLineChars="200"/>
        <w:rPr>
          <w:rFonts w:ascii="Times New Roman" w:eastAsia="仿宋"/>
          <w:bCs/>
          <w:sz w:val="28"/>
          <w:szCs w:val="28"/>
        </w:rPr>
        <w:sectPr>
          <w:pgSz w:w="16838" w:h="11906" w:orient="landscape"/>
          <w:pgMar w:top="1928" w:right="1440" w:bottom="1928" w:left="1440" w:header="851" w:footer="992" w:gutter="0"/>
          <w:cols w:space="720" w:num="1"/>
          <w:docGrid w:linePitch="312" w:charSpace="0"/>
        </w:sectPr>
      </w:pPr>
    </w:p>
    <w:p w14:paraId="034795F9">
      <w:pPr>
        <w:pStyle w:val="7"/>
        <w:keepLines w:val="0"/>
        <w:widowControl/>
        <w:tabs>
          <w:tab w:val="left" w:pos="993"/>
        </w:tabs>
        <w:adjustRightInd w:val="0"/>
        <w:snapToGrid w:val="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.2.3噪声污染物源强</w:t>
      </w:r>
    </w:p>
    <w:p w14:paraId="2D860199">
      <w:pPr>
        <w:pStyle w:val="22"/>
        <w:spacing w:line="500" w:lineRule="exact"/>
        <w:ind w:firstLineChars="0"/>
        <w:rPr>
          <w:rFonts w:eastAsia="仿宋"/>
          <w:sz w:val="28"/>
          <w:szCs w:val="28"/>
        </w:rPr>
      </w:pPr>
      <w:r>
        <w:rPr>
          <w:rFonts w:eastAsia="仿宋"/>
          <w:sz w:val="28"/>
          <w:szCs w:val="28"/>
        </w:rPr>
        <w:t>厂区主要噪声设备为</w:t>
      </w:r>
      <w:r>
        <w:rPr>
          <w:rFonts w:hint="eastAsia" w:eastAsia="仿宋"/>
          <w:sz w:val="28"/>
          <w:szCs w:val="28"/>
        </w:rPr>
        <w:t>雕刻机、剪板机、冲床以及</w:t>
      </w:r>
      <w:r>
        <w:rPr>
          <w:rFonts w:eastAsia="仿宋"/>
          <w:sz w:val="28"/>
          <w:szCs w:val="28"/>
        </w:rPr>
        <w:t>风机和空压机等，其噪声源强见表3.2-10和3.2-11。</w:t>
      </w:r>
    </w:p>
    <w:p w14:paraId="39BD502B">
      <w:pPr>
        <w:pStyle w:val="22"/>
        <w:spacing w:line="500" w:lineRule="exact"/>
        <w:ind w:firstLineChars="0"/>
        <w:rPr>
          <w:rFonts w:eastAsia="仿宋"/>
          <w:sz w:val="28"/>
          <w:szCs w:val="28"/>
        </w:rPr>
        <w:sectPr>
          <w:footerReference r:id="rId12" w:type="default"/>
          <w:pgSz w:w="11907" w:h="16840"/>
          <w:pgMar w:top="1440" w:right="1800" w:bottom="1440" w:left="1800" w:header="851" w:footer="992" w:gutter="0"/>
          <w:cols w:space="720" w:num="1"/>
          <w:docGrid w:linePitch="312" w:charSpace="0"/>
        </w:sectPr>
      </w:pPr>
    </w:p>
    <w:p w14:paraId="61EB21F0">
      <w:pPr>
        <w:spacing w:line="500" w:lineRule="exact"/>
        <w:ind w:firstLine="482" w:firstLineChars="200"/>
        <w:jc w:val="center"/>
        <w:rPr>
          <w:rFonts w:ascii="Times New Roman" w:eastAsia="仿宋"/>
          <w:b/>
          <w:bCs/>
        </w:rPr>
      </w:pPr>
      <w:r>
        <w:rPr>
          <w:rFonts w:ascii="Times New Roman" w:eastAsia="仿宋"/>
          <w:b/>
          <w:bCs/>
        </w:rPr>
        <w:t>表3.2-10   工业企业噪声源强调查清单（室内声源）</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43"/>
        <w:gridCol w:w="1767"/>
        <w:gridCol w:w="1260"/>
        <w:gridCol w:w="1640"/>
        <w:gridCol w:w="1063"/>
        <w:gridCol w:w="1154"/>
        <w:gridCol w:w="1112"/>
        <w:gridCol w:w="987"/>
        <w:gridCol w:w="814"/>
        <w:gridCol w:w="1171"/>
        <w:gridCol w:w="1426"/>
      </w:tblGrid>
      <w:tr w14:paraId="6C06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Merge w:val="restart"/>
            <w:vAlign w:val="center"/>
          </w:tcPr>
          <w:p w14:paraId="47DA5D3E">
            <w:pPr>
              <w:spacing w:line="240" w:lineRule="atLeast"/>
              <w:jc w:val="center"/>
              <w:rPr>
                <w:rFonts w:ascii="Times New Roman" w:eastAsia="仿宋"/>
                <w:bCs/>
                <w:szCs w:val="21"/>
              </w:rPr>
            </w:pPr>
            <w:r>
              <w:rPr>
                <w:rFonts w:ascii="Times New Roman" w:eastAsia="仿宋"/>
                <w:bCs/>
                <w:szCs w:val="21"/>
              </w:rPr>
              <w:t>序号</w:t>
            </w:r>
          </w:p>
        </w:tc>
        <w:tc>
          <w:tcPr>
            <w:tcW w:w="438" w:type="pct"/>
            <w:vMerge w:val="restart"/>
            <w:vAlign w:val="center"/>
          </w:tcPr>
          <w:p w14:paraId="3472D6FA">
            <w:pPr>
              <w:spacing w:line="240" w:lineRule="atLeast"/>
              <w:jc w:val="center"/>
              <w:rPr>
                <w:rFonts w:ascii="Times New Roman" w:eastAsia="仿宋"/>
                <w:bCs/>
                <w:szCs w:val="21"/>
              </w:rPr>
            </w:pPr>
            <w:r>
              <w:rPr>
                <w:rFonts w:ascii="Times New Roman" w:eastAsia="仿宋"/>
                <w:bCs/>
                <w:szCs w:val="21"/>
              </w:rPr>
              <w:t>建筑物名称</w:t>
            </w:r>
          </w:p>
        </w:tc>
        <w:tc>
          <w:tcPr>
            <w:tcW w:w="623" w:type="pct"/>
            <w:vMerge w:val="restart"/>
            <w:vAlign w:val="center"/>
          </w:tcPr>
          <w:p w14:paraId="04D4A0FF">
            <w:pPr>
              <w:spacing w:line="240" w:lineRule="atLeast"/>
              <w:jc w:val="center"/>
              <w:rPr>
                <w:rFonts w:ascii="Times New Roman" w:eastAsia="仿宋"/>
                <w:bCs/>
                <w:szCs w:val="21"/>
              </w:rPr>
            </w:pPr>
            <w:r>
              <w:rPr>
                <w:rFonts w:ascii="Times New Roman" w:eastAsia="仿宋"/>
                <w:bCs/>
                <w:szCs w:val="21"/>
              </w:rPr>
              <w:t>声源名称</w:t>
            </w:r>
          </w:p>
        </w:tc>
        <w:tc>
          <w:tcPr>
            <w:tcW w:w="444" w:type="pct"/>
            <w:vMerge w:val="restart"/>
            <w:vAlign w:val="center"/>
          </w:tcPr>
          <w:p w14:paraId="2CE851DE">
            <w:pPr>
              <w:spacing w:line="240" w:lineRule="atLeast"/>
              <w:jc w:val="center"/>
              <w:rPr>
                <w:rFonts w:ascii="Times New Roman" w:eastAsia="仿宋"/>
                <w:bCs/>
                <w:szCs w:val="21"/>
              </w:rPr>
            </w:pPr>
            <w:r>
              <w:rPr>
                <w:rFonts w:ascii="Times New Roman" w:eastAsia="仿宋"/>
                <w:bCs/>
                <w:szCs w:val="21"/>
              </w:rPr>
              <w:t>声功率级/dB(A)</w:t>
            </w:r>
          </w:p>
        </w:tc>
        <w:tc>
          <w:tcPr>
            <w:tcW w:w="578" w:type="pct"/>
            <w:vMerge w:val="restart"/>
            <w:vAlign w:val="center"/>
          </w:tcPr>
          <w:p w14:paraId="3E4A8A30">
            <w:pPr>
              <w:spacing w:line="240" w:lineRule="atLeast"/>
              <w:jc w:val="center"/>
              <w:rPr>
                <w:rFonts w:ascii="Times New Roman" w:eastAsia="仿宋"/>
                <w:bCs/>
                <w:szCs w:val="21"/>
              </w:rPr>
            </w:pPr>
            <w:r>
              <w:rPr>
                <w:rFonts w:ascii="Times New Roman" w:eastAsia="仿宋"/>
                <w:bCs/>
                <w:szCs w:val="21"/>
              </w:rPr>
              <w:t>同类设备叠加声功率级/dB(A)</w:t>
            </w:r>
          </w:p>
        </w:tc>
        <w:tc>
          <w:tcPr>
            <w:tcW w:w="375" w:type="pct"/>
            <w:vMerge w:val="restart"/>
            <w:vAlign w:val="center"/>
          </w:tcPr>
          <w:p w14:paraId="1971E5FB">
            <w:pPr>
              <w:spacing w:line="240" w:lineRule="atLeast"/>
              <w:jc w:val="center"/>
              <w:rPr>
                <w:rFonts w:ascii="Times New Roman" w:eastAsia="仿宋"/>
                <w:bCs/>
                <w:szCs w:val="21"/>
              </w:rPr>
            </w:pPr>
            <w:r>
              <w:rPr>
                <w:rFonts w:ascii="Times New Roman" w:eastAsia="仿宋"/>
                <w:bCs/>
                <w:szCs w:val="21"/>
              </w:rPr>
              <w:t>声源控制措施</w:t>
            </w:r>
          </w:p>
        </w:tc>
        <w:tc>
          <w:tcPr>
            <w:tcW w:w="407" w:type="pct"/>
            <w:vMerge w:val="restart"/>
            <w:vAlign w:val="center"/>
          </w:tcPr>
          <w:p w14:paraId="561D89DF">
            <w:pPr>
              <w:spacing w:line="240" w:lineRule="atLeast"/>
              <w:jc w:val="center"/>
              <w:rPr>
                <w:rFonts w:ascii="Times New Roman" w:eastAsia="仿宋"/>
                <w:bCs/>
                <w:szCs w:val="21"/>
              </w:rPr>
            </w:pPr>
            <w:r>
              <w:rPr>
                <w:rFonts w:ascii="Times New Roman" w:eastAsia="仿宋"/>
                <w:bCs/>
                <w:szCs w:val="21"/>
              </w:rPr>
              <w:t>数量（台/套）</w:t>
            </w:r>
          </w:p>
        </w:tc>
        <w:tc>
          <w:tcPr>
            <w:tcW w:w="1027" w:type="pct"/>
            <w:gridSpan w:val="3"/>
            <w:vAlign w:val="center"/>
          </w:tcPr>
          <w:p w14:paraId="0C46E6E6">
            <w:pPr>
              <w:spacing w:line="240" w:lineRule="atLeast"/>
              <w:jc w:val="center"/>
              <w:rPr>
                <w:rFonts w:ascii="Times New Roman" w:eastAsia="仿宋"/>
                <w:bCs/>
                <w:szCs w:val="21"/>
              </w:rPr>
            </w:pPr>
            <w:r>
              <w:rPr>
                <w:rFonts w:ascii="Times New Roman" w:eastAsia="仿宋"/>
                <w:bCs/>
                <w:szCs w:val="21"/>
              </w:rPr>
              <w:t>空间相对位置/m</w:t>
            </w:r>
          </w:p>
        </w:tc>
        <w:tc>
          <w:tcPr>
            <w:tcW w:w="413" w:type="pct"/>
            <w:vMerge w:val="restart"/>
            <w:vAlign w:val="center"/>
          </w:tcPr>
          <w:p w14:paraId="5ED5F533">
            <w:pPr>
              <w:spacing w:line="240" w:lineRule="atLeast"/>
              <w:jc w:val="center"/>
              <w:rPr>
                <w:rFonts w:ascii="Times New Roman" w:eastAsia="仿宋"/>
                <w:bCs/>
                <w:szCs w:val="21"/>
              </w:rPr>
            </w:pPr>
            <w:r>
              <w:rPr>
                <w:rFonts w:ascii="Times New Roman" w:eastAsia="仿宋"/>
                <w:bCs/>
                <w:szCs w:val="21"/>
              </w:rPr>
              <w:t>源强降噪效果/dB(A)</w:t>
            </w:r>
          </w:p>
        </w:tc>
        <w:tc>
          <w:tcPr>
            <w:tcW w:w="503" w:type="pct"/>
            <w:vMerge w:val="restart"/>
            <w:vAlign w:val="center"/>
          </w:tcPr>
          <w:p w14:paraId="77FE9952">
            <w:pPr>
              <w:spacing w:line="240" w:lineRule="atLeast"/>
              <w:jc w:val="center"/>
              <w:rPr>
                <w:rFonts w:ascii="Times New Roman" w:eastAsia="仿宋"/>
                <w:bCs/>
                <w:szCs w:val="21"/>
              </w:rPr>
            </w:pPr>
            <w:r>
              <w:rPr>
                <w:rFonts w:ascii="Times New Roman" w:eastAsia="仿宋"/>
                <w:bCs/>
                <w:szCs w:val="21"/>
              </w:rPr>
              <w:t>运行时段</w:t>
            </w:r>
          </w:p>
        </w:tc>
      </w:tr>
      <w:tr w14:paraId="0C93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Merge w:val="continue"/>
            <w:vAlign w:val="center"/>
          </w:tcPr>
          <w:p w14:paraId="154769FD">
            <w:pPr>
              <w:spacing w:after="120"/>
              <w:jc w:val="center"/>
              <w:rPr>
                <w:rFonts w:ascii="Times New Roman" w:eastAsia="仿宋"/>
                <w:szCs w:val="21"/>
              </w:rPr>
            </w:pPr>
          </w:p>
        </w:tc>
        <w:tc>
          <w:tcPr>
            <w:tcW w:w="438" w:type="pct"/>
            <w:vMerge w:val="continue"/>
            <w:vAlign w:val="center"/>
          </w:tcPr>
          <w:p w14:paraId="28724396">
            <w:pPr>
              <w:spacing w:after="120"/>
              <w:jc w:val="center"/>
              <w:rPr>
                <w:rFonts w:ascii="Times New Roman" w:eastAsia="仿宋"/>
                <w:szCs w:val="21"/>
              </w:rPr>
            </w:pPr>
          </w:p>
        </w:tc>
        <w:tc>
          <w:tcPr>
            <w:tcW w:w="623" w:type="pct"/>
            <w:vMerge w:val="continue"/>
            <w:vAlign w:val="center"/>
          </w:tcPr>
          <w:p w14:paraId="2B6534A3">
            <w:pPr>
              <w:spacing w:after="120"/>
              <w:jc w:val="center"/>
              <w:rPr>
                <w:rFonts w:ascii="Times New Roman" w:eastAsia="仿宋"/>
                <w:szCs w:val="21"/>
              </w:rPr>
            </w:pPr>
          </w:p>
        </w:tc>
        <w:tc>
          <w:tcPr>
            <w:tcW w:w="444" w:type="pct"/>
            <w:vMerge w:val="continue"/>
            <w:vAlign w:val="center"/>
          </w:tcPr>
          <w:p w14:paraId="15030CE9">
            <w:pPr>
              <w:spacing w:after="120"/>
              <w:jc w:val="center"/>
              <w:rPr>
                <w:rFonts w:ascii="Times New Roman" w:eastAsia="仿宋"/>
                <w:szCs w:val="21"/>
              </w:rPr>
            </w:pPr>
          </w:p>
        </w:tc>
        <w:tc>
          <w:tcPr>
            <w:tcW w:w="578" w:type="pct"/>
            <w:vMerge w:val="continue"/>
            <w:vAlign w:val="center"/>
          </w:tcPr>
          <w:p w14:paraId="447A0589">
            <w:pPr>
              <w:spacing w:after="120"/>
              <w:jc w:val="center"/>
              <w:rPr>
                <w:rFonts w:ascii="Times New Roman" w:eastAsia="仿宋"/>
                <w:szCs w:val="21"/>
              </w:rPr>
            </w:pPr>
          </w:p>
        </w:tc>
        <w:tc>
          <w:tcPr>
            <w:tcW w:w="375" w:type="pct"/>
            <w:vMerge w:val="continue"/>
            <w:vAlign w:val="center"/>
          </w:tcPr>
          <w:p w14:paraId="4272DB2E">
            <w:pPr>
              <w:spacing w:after="120"/>
              <w:jc w:val="center"/>
              <w:rPr>
                <w:rFonts w:ascii="Times New Roman" w:eastAsia="仿宋"/>
                <w:szCs w:val="21"/>
              </w:rPr>
            </w:pPr>
          </w:p>
        </w:tc>
        <w:tc>
          <w:tcPr>
            <w:tcW w:w="407" w:type="pct"/>
            <w:vMerge w:val="continue"/>
            <w:vAlign w:val="center"/>
          </w:tcPr>
          <w:p w14:paraId="429771F4">
            <w:pPr>
              <w:spacing w:line="240" w:lineRule="atLeast"/>
              <w:jc w:val="center"/>
              <w:rPr>
                <w:rFonts w:ascii="Times New Roman" w:eastAsia="仿宋"/>
                <w:bCs/>
                <w:szCs w:val="21"/>
              </w:rPr>
            </w:pPr>
          </w:p>
        </w:tc>
        <w:tc>
          <w:tcPr>
            <w:tcW w:w="392" w:type="pct"/>
            <w:vAlign w:val="center"/>
          </w:tcPr>
          <w:p w14:paraId="5187595C">
            <w:pPr>
              <w:spacing w:line="240" w:lineRule="atLeast"/>
              <w:jc w:val="center"/>
              <w:rPr>
                <w:rFonts w:ascii="Times New Roman" w:eastAsia="仿宋"/>
                <w:bCs/>
                <w:szCs w:val="21"/>
              </w:rPr>
            </w:pPr>
            <w:r>
              <w:rPr>
                <w:rFonts w:ascii="Times New Roman" w:eastAsia="仿宋"/>
                <w:bCs/>
                <w:szCs w:val="21"/>
              </w:rPr>
              <w:t>X</w:t>
            </w:r>
          </w:p>
        </w:tc>
        <w:tc>
          <w:tcPr>
            <w:tcW w:w="348" w:type="pct"/>
            <w:vAlign w:val="center"/>
          </w:tcPr>
          <w:p w14:paraId="33F4441F">
            <w:pPr>
              <w:spacing w:line="240" w:lineRule="atLeast"/>
              <w:jc w:val="center"/>
              <w:rPr>
                <w:rFonts w:ascii="Times New Roman" w:eastAsia="仿宋"/>
                <w:bCs/>
                <w:szCs w:val="21"/>
              </w:rPr>
            </w:pPr>
            <w:r>
              <w:rPr>
                <w:rFonts w:ascii="Times New Roman" w:eastAsia="仿宋"/>
                <w:bCs/>
                <w:szCs w:val="21"/>
              </w:rPr>
              <w:t>Y</w:t>
            </w:r>
          </w:p>
        </w:tc>
        <w:tc>
          <w:tcPr>
            <w:tcW w:w="287" w:type="pct"/>
            <w:vAlign w:val="center"/>
          </w:tcPr>
          <w:p w14:paraId="161141C0">
            <w:pPr>
              <w:spacing w:line="240" w:lineRule="atLeast"/>
              <w:jc w:val="center"/>
              <w:rPr>
                <w:rFonts w:ascii="Times New Roman" w:eastAsia="仿宋"/>
                <w:bCs/>
                <w:szCs w:val="21"/>
              </w:rPr>
            </w:pPr>
            <w:r>
              <w:rPr>
                <w:rFonts w:ascii="Times New Roman" w:eastAsia="仿宋"/>
                <w:bCs/>
                <w:szCs w:val="21"/>
              </w:rPr>
              <w:t>Z</w:t>
            </w:r>
          </w:p>
        </w:tc>
        <w:tc>
          <w:tcPr>
            <w:tcW w:w="413" w:type="pct"/>
            <w:vMerge w:val="continue"/>
            <w:vAlign w:val="center"/>
          </w:tcPr>
          <w:p w14:paraId="12F0CE78">
            <w:pPr>
              <w:spacing w:after="120"/>
              <w:jc w:val="center"/>
              <w:rPr>
                <w:rFonts w:ascii="Times New Roman" w:eastAsia="仿宋"/>
                <w:szCs w:val="21"/>
              </w:rPr>
            </w:pPr>
          </w:p>
        </w:tc>
        <w:tc>
          <w:tcPr>
            <w:tcW w:w="503" w:type="pct"/>
            <w:vMerge w:val="continue"/>
            <w:vAlign w:val="center"/>
          </w:tcPr>
          <w:p w14:paraId="2FA5889C">
            <w:pPr>
              <w:spacing w:after="120"/>
              <w:jc w:val="center"/>
              <w:rPr>
                <w:rFonts w:ascii="Times New Roman" w:eastAsia="仿宋"/>
                <w:szCs w:val="21"/>
              </w:rPr>
            </w:pPr>
          </w:p>
        </w:tc>
      </w:tr>
      <w:tr w14:paraId="56E9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0F37BE7D">
            <w:pPr>
              <w:jc w:val="center"/>
              <w:rPr>
                <w:rFonts w:ascii="Times New Roman" w:eastAsia="仿宋"/>
                <w:szCs w:val="21"/>
              </w:rPr>
            </w:pPr>
            <w:r>
              <w:rPr>
                <w:rFonts w:ascii="Times New Roman" w:eastAsia="仿宋"/>
                <w:szCs w:val="21"/>
              </w:rPr>
              <w:t>1</w:t>
            </w:r>
          </w:p>
        </w:tc>
        <w:tc>
          <w:tcPr>
            <w:tcW w:w="438" w:type="pct"/>
            <w:vMerge w:val="restart"/>
            <w:vAlign w:val="center"/>
          </w:tcPr>
          <w:p w14:paraId="0ED6CAC8">
            <w:pPr>
              <w:jc w:val="center"/>
              <w:rPr>
                <w:rFonts w:ascii="Times New Roman" w:eastAsia="仿宋"/>
                <w:szCs w:val="21"/>
              </w:rPr>
            </w:pPr>
            <w:r>
              <w:rPr>
                <w:rFonts w:hint="eastAsia" w:ascii="Times New Roman" w:eastAsia="仿宋"/>
                <w:szCs w:val="21"/>
              </w:rPr>
              <w:t>1号钣金车间</w:t>
            </w:r>
          </w:p>
        </w:tc>
        <w:tc>
          <w:tcPr>
            <w:tcW w:w="623" w:type="pct"/>
            <w:vAlign w:val="center"/>
          </w:tcPr>
          <w:p w14:paraId="29D50834">
            <w:pPr>
              <w:widowControl/>
              <w:jc w:val="center"/>
              <w:rPr>
                <w:rFonts w:ascii="Times New Roman" w:eastAsia="仿宋"/>
                <w:szCs w:val="21"/>
              </w:rPr>
            </w:pPr>
            <w:r>
              <w:rPr>
                <w:rFonts w:ascii="Times New Roman" w:eastAsia="仿宋"/>
                <w:szCs w:val="21"/>
              </w:rPr>
              <w:t>雕刻机</w:t>
            </w:r>
          </w:p>
        </w:tc>
        <w:tc>
          <w:tcPr>
            <w:tcW w:w="444" w:type="pct"/>
            <w:vAlign w:val="center"/>
          </w:tcPr>
          <w:p w14:paraId="7C80F752">
            <w:pPr>
              <w:jc w:val="center"/>
              <w:rPr>
                <w:rFonts w:ascii="Times New Roman" w:eastAsia="仿宋"/>
                <w:szCs w:val="21"/>
              </w:rPr>
            </w:pPr>
            <w:r>
              <w:rPr>
                <w:rFonts w:ascii="Times New Roman" w:eastAsia="仿宋"/>
                <w:szCs w:val="21"/>
              </w:rPr>
              <w:t>7</w:t>
            </w:r>
            <w:r>
              <w:rPr>
                <w:rFonts w:hint="eastAsia" w:ascii="Times New Roman" w:eastAsia="仿宋"/>
                <w:szCs w:val="21"/>
              </w:rPr>
              <w:t>5</w:t>
            </w:r>
          </w:p>
        </w:tc>
        <w:tc>
          <w:tcPr>
            <w:tcW w:w="578" w:type="pct"/>
            <w:vAlign w:val="center"/>
          </w:tcPr>
          <w:p w14:paraId="1B3C7AD2">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restart"/>
            <w:vAlign w:val="center"/>
          </w:tcPr>
          <w:p w14:paraId="66C2BDA6">
            <w:pPr>
              <w:spacing w:line="240" w:lineRule="atLeast"/>
              <w:jc w:val="center"/>
              <w:rPr>
                <w:rFonts w:ascii="Times New Roman" w:eastAsia="仿宋"/>
                <w:bCs/>
                <w:szCs w:val="21"/>
              </w:rPr>
            </w:pPr>
            <w:r>
              <w:rPr>
                <w:rFonts w:ascii="Times New Roman" w:eastAsia="仿宋"/>
                <w:szCs w:val="21"/>
              </w:rPr>
              <w:t>基础减震、选用低噪声设备，生产时关闭门窗</w:t>
            </w:r>
          </w:p>
        </w:tc>
        <w:tc>
          <w:tcPr>
            <w:tcW w:w="407" w:type="pct"/>
            <w:vAlign w:val="center"/>
          </w:tcPr>
          <w:p w14:paraId="1032E43C">
            <w:pPr>
              <w:widowControl/>
              <w:jc w:val="center"/>
              <w:rPr>
                <w:rFonts w:ascii="Times New Roman" w:eastAsia="仿宋"/>
                <w:szCs w:val="21"/>
              </w:rPr>
            </w:pPr>
            <w:r>
              <w:rPr>
                <w:rFonts w:hint="eastAsia" w:ascii="Times New Roman" w:eastAsia="仿宋"/>
                <w:szCs w:val="21"/>
              </w:rPr>
              <w:t>6</w:t>
            </w:r>
          </w:p>
        </w:tc>
        <w:tc>
          <w:tcPr>
            <w:tcW w:w="392" w:type="pct"/>
          </w:tcPr>
          <w:p w14:paraId="4FFC2A57">
            <w:pPr>
              <w:jc w:val="center"/>
              <w:rPr>
                <w:rFonts w:ascii="Times New Roman" w:eastAsia="仿宋"/>
                <w:szCs w:val="21"/>
              </w:rPr>
            </w:pPr>
            <w:r>
              <w:rPr>
                <w:rFonts w:hint="eastAsia" w:ascii="Times New Roman" w:eastAsia="仿宋"/>
                <w:szCs w:val="21"/>
              </w:rPr>
              <w:t>1</w:t>
            </w:r>
            <w:r>
              <w:rPr>
                <w:rFonts w:ascii="Times New Roman" w:eastAsia="仿宋"/>
                <w:szCs w:val="21"/>
              </w:rPr>
              <w:t>79.5</w:t>
            </w:r>
          </w:p>
        </w:tc>
        <w:tc>
          <w:tcPr>
            <w:tcW w:w="348" w:type="pct"/>
          </w:tcPr>
          <w:p w14:paraId="3C8680EA">
            <w:pPr>
              <w:jc w:val="center"/>
              <w:rPr>
                <w:rFonts w:ascii="Times New Roman" w:eastAsia="仿宋"/>
                <w:szCs w:val="21"/>
              </w:rPr>
            </w:pPr>
            <w:r>
              <w:rPr>
                <w:rFonts w:hint="eastAsia" w:ascii="Times New Roman" w:eastAsia="仿宋"/>
                <w:szCs w:val="21"/>
              </w:rPr>
              <w:t>42</w:t>
            </w:r>
            <w:r>
              <w:rPr>
                <w:rFonts w:ascii="Times New Roman" w:eastAsia="仿宋"/>
                <w:szCs w:val="21"/>
              </w:rPr>
              <w:t>.22</w:t>
            </w:r>
          </w:p>
        </w:tc>
        <w:tc>
          <w:tcPr>
            <w:tcW w:w="287" w:type="pct"/>
          </w:tcPr>
          <w:p w14:paraId="3F48197F">
            <w:pPr>
              <w:jc w:val="center"/>
              <w:rPr>
                <w:rFonts w:ascii="Times New Roman" w:eastAsia="仿宋"/>
                <w:szCs w:val="21"/>
              </w:rPr>
            </w:pPr>
            <w:r>
              <w:rPr>
                <w:rFonts w:hint="eastAsia" w:ascii="Times New Roman" w:eastAsia="仿宋"/>
                <w:szCs w:val="21"/>
              </w:rPr>
              <w:t>0</w:t>
            </w:r>
          </w:p>
        </w:tc>
        <w:tc>
          <w:tcPr>
            <w:tcW w:w="413" w:type="pct"/>
            <w:vAlign w:val="center"/>
          </w:tcPr>
          <w:p w14:paraId="39143707">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0104969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E18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224D3C6">
            <w:pPr>
              <w:jc w:val="center"/>
              <w:rPr>
                <w:rFonts w:ascii="Times New Roman" w:eastAsia="仿宋"/>
                <w:szCs w:val="21"/>
              </w:rPr>
            </w:pPr>
            <w:r>
              <w:rPr>
                <w:rFonts w:hint="eastAsia" w:ascii="Times New Roman" w:eastAsia="仿宋"/>
                <w:szCs w:val="21"/>
              </w:rPr>
              <w:t>2</w:t>
            </w:r>
          </w:p>
        </w:tc>
        <w:tc>
          <w:tcPr>
            <w:tcW w:w="438" w:type="pct"/>
            <w:vMerge w:val="continue"/>
            <w:vAlign w:val="center"/>
          </w:tcPr>
          <w:p w14:paraId="0706B74D">
            <w:pPr>
              <w:jc w:val="center"/>
              <w:rPr>
                <w:rFonts w:ascii="Times New Roman" w:eastAsia="仿宋"/>
                <w:szCs w:val="21"/>
              </w:rPr>
            </w:pPr>
          </w:p>
        </w:tc>
        <w:tc>
          <w:tcPr>
            <w:tcW w:w="623" w:type="pct"/>
            <w:vAlign w:val="center"/>
          </w:tcPr>
          <w:p w14:paraId="3B024C66">
            <w:pPr>
              <w:widowControl/>
              <w:jc w:val="center"/>
              <w:rPr>
                <w:rFonts w:ascii="Times New Roman" w:eastAsia="仿宋"/>
                <w:szCs w:val="21"/>
              </w:rPr>
            </w:pPr>
            <w:r>
              <w:rPr>
                <w:rFonts w:hint="eastAsia" w:ascii="Times New Roman" w:eastAsia="仿宋"/>
                <w:szCs w:val="21"/>
              </w:rPr>
              <w:t>剪板机</w:t>
            </w:r>
          </w:p>
        </w:tc>
        <w:tc>
          <w:tcPr>
            <w:tcW w:w="444" w:type="pct"/>
            <w:vAlign w:val="center"/>
          </w:tcPr>
          <w:p w14:paraId="759C70AC">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2F347650">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2208758B">
            <w:pPr>
              <w:spacing w:line="240" w:lineRule="atLeast"/>
              <w:jc w:val="center"/>
              <w:rPr>
                <w:rFonts w:ascii="Times New Roman" w:eastAsia="仿宋"/>
                <w:bCs/>
                <w:szCs w:val="21"/>
              </w:rPr>
            </w:pPr>
          </w:p>
        </w:tc>
        <w:tc>
          <w:tcPr>
            <w:tcW w:w="407" w:type="pct"/>
            <w:vAlign w:val="center"/>
          </w:tcPr>
          <w:p w14:paraId="0EEA2EDA">
            <w:pPr>
              <w:widowControl/>
              <w:jc w:val="center"/>
              <w:rPr>
                <w:rFonts w:ascii="Times New Roman" w:eastAsia="仿宋"/>
                <w:szCs w:val="21"/>
              </w:rPr>
            </w:pPr>
            <w:r>
              <w:rPr>
                <w:rFonts w:hint="eastAsia" w:ascii="Times New Roman" w:eastAsia="仿宋"/>
                <w:szCs w:val="21"/>
              </w:rPr>
              <w:t>2</w:t>
            </w:r>
          </w:p>
        </w:tc>
        <w:tc>
          <w:tcPr>
            <w:tcW w:w="392" w:type="pct"/>
          </w:tcPr>
          <w:p w14:paraId="0EA39EF2">
            <w:pPr>
              <w:jc w:val="center"/>
              <w:rPr>
                <w:rFonts w:ascii="Times New Roman" w:eastAsia="仿宋"/>
                <w:szCs w:val="21"/>
              </w:rPr>
            </w:pPr>
            <w:r>
              <w:rPr>
                <w:rFonts w:hint="eastAsia" w:ascii="Times New Roman" w:eastAsia="仿宋"/>
                <w:szCs w:val="21"/>
              </w:rPr>
              <w:t>1</w:t>
            </w:r>
            <w:r>
              <w:rPr>
                <w:rFonts w:ascii="Times New Roman" w:eastAsia="仿宋"/>
                <w:szCs w:val="21"/>
              </w:rPr>
              <w:t>81.68</w:t>
            </w:r>
          </w:p>
        </w:tc>
        <w:tc>
          <w:tcPr>
            <w:tcW w:w="348" w:type="pct"/>
          </w:tcPr>
          <w:p w14:paraId="3498C76D">
            <w:pPr>
              <w:jc w:val="center"/>
              <w:rPr>
                <w:rFonts w:ascii="Times New Roman" w:eastAsia="仿宋"/>
                <w:szCs w:val="21"/>
              </w:rPr>
            </w:pPr>
            <w:r>
              <w:rPr>
                <w:rFonts w:hint="eastAsia" w:ascii="Times New Roman" w:eastAsia="仿宋"/>
                <w:szCs w:val="21"/>
              </w:rPr>
              <w:t>29</w:t>
            </w:r>
            <w:r>
              <w:rPr>
                <w:rFonts w:ascii="Times New Roman" w:eastAsia="仿宋"/>
                <w:szCs w:val="21"/>
              </w:rPr>
              <w:t>.47</w:t>
            </w:r>
          </w:p>
        </w:tc>
        <w:tc>
          <w:tcPr>
            <w:tcW w:w="287" w:type="pct"/>
          </w:tcPr>
          <w:p w14:paraId="76F4549F">
            <w:pPr>
              <w:jc w:val="center"/>
              <w:rPr>
                <w:rFonts w:ascii="Times New Roman" w:eastAsia="仿宋"/>
                <w:szCs w:val="21"/>
              </w:rPr>
            </w:pPr>
            <w:r>
              <w:rPr>
                <w:rFonts w:hint="eastAsia" w:ascii="Times New Roman" w:eastAsia="仿宋"/>
                <w:szCs w:val="21"/>
              </w:rPr>
              <w:t>0</w:t>
            </w:r>
          </w:p>
        </w:tc>
        <w:tc>
          <w:tcPr>
            <w:tcW w:w="413" w:type="pct"/>
            <w:vAlign w:val="center"/>
          </w:tcPr>
          <w:p w14:paraId="53B24AF7">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0D169883">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415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B7BB843">
            <w:pPr>
              <w:jc w:val="center"/>
              <w:rPr>
                <w:rFonts w:ascii="Times New Roman" w:eastAsia="仿宋"/>
                <w:szCs w:val="21"/>
              </w:rPr>
            </w:pPr>
            <w:r>
              <w:rPr>
                <w:rFonts w:hint="eastAsia" w:ascii="Times New Roman" w:eastAsia="仿宋"/>
                <w:szCs w:val="21"/>
              </w:rPr>
              <w:t>3</w:t>
            </w:r>
          </w:p>
        </w:tc>
        <w:tc>
          <w:tcPr>
            <w:tcW w:w="438" w:type="pct"/>
            <w:vMerge w:val="continue"/>
            <w:vAlign w:val="center"/>
          </w:tcPr>
          <w:p w14:paraId="07974C40">
            <w:pPr>
              <w:jc w:val="center"/>
              <w:rPr>
                <w:rFonts w:ascii="Times New Roman" w:eastAsia="仿宋"/>
                <w:szCs w:val="21"/>
              </w:rPr>
            </w:pPr>
          </w:p>
        </w:tc>
        <w:tc>
          <w:tcPr>
            <w:tcW w:w="623" w:type="pct"/>
            <w:vAlign w:val="center"/>
          </w:tcPr>
          <w:p w14:paraId="18D7FC6E">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2D7316A7">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0CC7A031">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37B6A5FE">
            <w:pPr>
              <w:spacing w:line="240" w:lineRule="atLeast"/>
              <w:jc w:val="center"/>
              <w:rPr>
                <w:rFonts w:ascii="Times New Roman" w:eastAsia="仿宋"/>
                <w:bCs/>
                <w:szCs w:val="21"/>
              </w:rPr>
            </w:pPr>
          </w:p>
        </w:tc>
        <w:tc>
          <w:tcPr>
            <w:tcW w:w="407" w:type="pct"/>
            <w:vAlign w:val="center"/>
          </w:tcPr>
          <w:p w14:paraId="63FDF7CF">
            <w:pPr>
              <w:widowControl/>
              <w:jc w:val="center"/>
              <w:rPr>
                <w:rFonts w:ascii="Times New Roman" w:eastAsia="仿宋"/>
                <w:szCs w:val="21"/>
              </w:rPr>
            </w:pPr>
            <w:r>
              <w:rPr>
                <w:rFonts w:hint="eastAsia" w:ascii="Times New Roman" w:eastAsia="仿宋"/>
                <w:szCs w:val="21"/>
              </w:rPr>
              <w:t>6</w:t>
            </w:r>
          </w:p>
        </w:tc>
        <w:tc>
          <w:tcPr>
            <w:tcW w:w="392" w:type="pct"/>
          </w:tcPr>
          <w:p w14:paraId="6FF5EE61">
            <w:pPr>
              <w:jc w:val="center"/>
              <w:rPr>
                <w:rFonts w:ascii="Times New Roman" w:eastAsia="仿宋"/>
                <w:szCs w:val="21"/>
              </w:rPr>
            </w:pPr>
            <w:r>
              <w:rPr>
                <w:rFonts w:hint="eastAsia" w:ascii="Times New Roman" w:eastAsia="仿宋"/>
                <w:szCs w:val="21"/>
              </w:rPr>
              <w:t>1</w:t>
            </w:r>
            <w:r>
              <w:rPr>
                <w:rFonts w:ascii="Times New Roman" w:eastAsia="仿宋"/>
                <w:szCs w:val="21"/>
              </w:rPr>
              <w:t>63.65</w:t>
            </w:r>
          </w:p>
        </w:tc>
        <w:tc>
          <w:tcPr>
            <w:tcW w:w="348" w:type="pct"/>
          </w:tcPr>
          <w:p w14:paraId="4BDDED3C">
            <w:pPr>
              <w:jc w:val="center"/>
              <w:rPr>
                <w:rFonts w:ascii="Times New Roman" w:eastAsia="仿宋"/>
                <w:szCs w:val="21"/>
              </w:rPr>
            </w:pPr>
            <w:r>
              <w:rPr>
                <w:rFonts w:hint="eastAsia" w:ascii="Times New Roman" w:eastAsia="仿宋"/>
                <w:szCs w:val="21"/>
              </w:rPr>
              <w:t>28</w:t>
            </w:r>
            <w:r>
              <w:rPr>
                <w:rFonts w:ascii="Times New Roman" w:eastAsia="仿宋"/>
                <w:szCs w:val="21"/>
              </w:rPr>
              <w:t>.23</w:t>
            </w:r>
          </w:p>
        </w:tc>
        <w:tc>
          <w:tcPr>
            <w:tcW w:w="287" w:type="pct"/>
          </w:tcPr>
          <w:p w14:paraId="1B69DC7F">
            <w:pPr>
              <w:jc w:val="center"/>
              <w:rPr>
                <w:rFonts w:ascii="Times New Roman" w:eastAsia="仿宋"/>
                <w:szCs w:val="21"/>
              </w:rPr>
            </w:pPr>
            <w:r>
              <w:rPr>
                <w:rFonts w:hint="eastAsia" w:ascii="Times New Roman" w:eastAsia="仿宋"/>
                <w:szCs w:val="21"/>
              </w:rPr>
              <w:t>0</w:t>
            </w:r>
          </w:p>
        </w:tc>
        <w:tc>
          <w:tcPr>
            <w:tcW w:w="413" w:type="pct"/>
            <w:vAlign w:val="center"/>
          </w:tcPr>
          <w:p w14:paraId="3D819D34">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505E2DF6">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6D77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A2F58F1">
            <w:pPr>
              <w:jc w:val="center"/>
              <w:rPr>
                <w:rFonts w:ascii="Times New Roman" w:eastAsia="仿宋"/>
                <w:szCs w:val="21"/>
              </w:rPr>
            </w:pPr>
            <w:r>
              <w:rPr>
                <w:rFonts w:hint="eastAsia" w:ascii="Times New Roman" w:eastAsia="仿宋"/>
                <w:szCs w:val="21"/>
              </w:rPr>
              <w:t>4</w:t>
            </w:r>
          </w:p>
        </w:tc>
        <w:tc>
          <w:tcPr>
            <w:tcW w:w="438" w:type="pct"/>
            <w:vMerge w:val="continue"/>
            <w:vAlign w:val="center"/>
          </w:tcPr>
          <w:p w14:paraId="28F0425A">
            <w:pPr>
              <w:jc w:val="center"/>
              <w:rPr>
                <w:rFonts w:ascii="Times New Roman" w:eastAsia="仿宋"/>
                <w:szCs w:val="21"/>
              </w:rPr>
            </w:pPr>
          </w:p>
        </w:tc>
        <w:tc>
          <w:tcPr>
            <w:tcW w:w="623" w:type="pct"/>
            <w:vAlign w:val="center"/>
          </w:tcPr>
          <w:p w14:paraId="5998EBC9">
            <w:pPr>
              <w:widowControl/>
              <w:jc w:val="center"/>
              <w:rPr>
                <w:rFonts w:ascii="Times New Roman" w:eastAsia="仿宋"/>
                <w:szCs w:val="21"/>
              </w:rPr>
            </w:pPr>
            <w:r>
              <w:rPr>
                <w:rFonts w:hint="eastAsia" w:ascii="Times New Roman" w:eastAsia="仿宋"/>
                <w:szCs w:val="21"/>
              </w:rPr>
              <w:t>开槽机</w:t>
            </w:r>
          </w:p>
        </w:tc>
        <w:tc>
          <w:tcPr>
            <w:tcW w:w="444" w:type="pct"/>
            <w:vAlign w:val="center"/>
          </w:tcPr>
          <w:p w14:paraId="0B44CB23">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2C26E1BD">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354B645B">
            <w:pPr>
              <w:spacing w:line="240" w:lineRule="atLeast"/>
              <w:jc w:val="center"/>
              <w:rPr>
                <w:rFonts w:ascii="Times New Roman" w:eastAsia="仿宋"/>
                <w:bCs/>
                <w:szCs w:val="21"/>
              </w:rPr>
            </w:pPr>
          </w:p>
        </w:tc>
        <w:tc>
          <w:tcPr>
            <w:tcW w:w="407" w:type="pct"/>
            <w:vAlign w:val="center"/>
          </w:tcPr>
          <w:p w14:paraId="25BDEF1D">
            <w:pPr>
              <w:widowControl/>
              <w:jc w:val="center"/>
              <w:rPr>
                <w:rFonts w:ascii="Times New Roman" w:eastAsia="仿宋"/>
                <w:szCs w:val="21"/>
              </w:rPr>
            </w:pPr>
            <w:r>
              <w:rPr>
                <w:rFonts w:hint="eastAsia" w:ascii="Times New Roman" w:eastAsia="仿宋"/>
                <w:szCs w:val="21"/>
              </w:rPr>
              <w:t>2</w:t>
            </w:r>
          </w:p>
        </w:tc>
        <w:tc>
          <w:tcPr>
            <w:tcW w:w="392" w:type="pct"/>
          </w:tcPr>
          <w:p w14:paraId="0285D8F8">
            <w:pPr>
              <w:jc w:val="center"/>
              <w:rPr>
                <w:rFonts w:ascii="Times New Roman" w:eastAsia="仿宋"/>
                <w:szCs w:val="21"/>
              </w:rPr>
            </w:pPr>
            <w:r>
              <w:rPr>
                <w:rFonts w:hint="eastAsia" w:ascii="Times New Roman" w:eastAsia="仿宋"/>
                <w:szCs w:val="21"/>
              </w:rPr>
              <w:t>1</w:t>
            </w:r>
            <w:r>
              <w:rPr>
                <w:rFonts w:ascii="Times New Roman" w:eastAsia="仿宋"/>
                <w:szCs w:val="21"/>
              </w:rPr>
              <w:t>62.72</w:t>
            </w:r>
          </w:p>
        </w:tc>
        <w:tc>
          <w:tcPr>
            <w:tcW w:w="348" w:type="pct"/>
          </w:tcPr>
          <w:p w14:paraId="560FB4B2">
            <w:pPr>
              <w:jc w:val="center"/>
              <w:rPr>
                <w:rFonts w:ascii="Times New Roman" w:eastAsia="仿宋"/>
                <w:szCs w:val="21"/>
              </w:rPr>
            </w:pPr>
            <w:r>
              <w:rPr>
                <w:rFonts w:hint="eastAsia" w:ascii="Times New Roman" w:eastAsia="仿宋"/>
                <w:szCs w:val="21"/>
              </w:rPr>
              <w:t>22</w:t>
            </w:r>
            <w:r>
              <w:rPr>
                <w:rFonts w:ascii="Times New Roman" w:eastAsia="仿宋"/>
                <w:szCs w:val="21"/>
              </w:rPr>
              <w:t>.32</w:t>
            </w:r>
          </w:p>
        </w:tc>
        <w:tc>
          <w:tcPr>
            <w:tcW w:w="287" w:type="pct"/>
          </w:tcPr>
          <w:p w14:paraId="4A673497">
            <w:pPr>
              <w:jc w:val="center"/>
              <w:rPr>
                <w:rFonts w:ascii="Times New Roman" w:eastAsia="仿宋"/>
                <w:szCs w:val="21"/>
              </w:rPr>
            </w:pPr>
            <w:r>
              <w:rPr>
                <w:rFonts w:hint="eastAsia" w:ascii="Times New Roman" w:eastAsia="仿宋"/>
                <w:szCs w:val="21"/>
              </w:rPr>
              <w:t>0</w:t>
            </w:r>
          </w:p>
        </w:tc>
        <w:tc>
          <w:tcPr>
            <w:tcW w:w="413" w:type="pct"/>
            <w:vAlign w:val="center"/>
          </w:tcPr>
          <w:p w14:paraId="640EAE81">
            <w:pPr>
              <w:spacing w:line="240" w:lineRule="atLeast"/>
              <w:jc w:val="center"/>
              <w:rPr>
                <w:rFonts w:ascii="Times New Roman" w:eastAsia="仿宋"/>
                <w:bCs/>
                <w:szCs w:val="21"/>
              </w:rPr>
            </w:pPr>
            <w:r>
              <w:rPr>
                <w:rFonts w:hint="eastAsia" w:ascii="Times New Roman" w:eastAsia="仿宋"/>
                <w:bCs/>
                <w:szCs w:val="21"/>
              </w:rPr>
              <w:t>3</w:t>
            </w:r>
            <w:r>
              <w:rPr>
                <w:rFonts w:ascii="Times New Roman" w:eastAsia="仿宋"/>
                <w:bCs/>
                <w:szCs w:val="21"/>
              </w:rPr>
              <w:t>5</w:t>
            </w:r>
          </w:p>
        </w:tc>
        <w:tc>
          <w:tcPr>
            <w:tcW w:w="503" w:type="pct"/>
            <w:vAlign w:val="center"/>
          </w:tcPr>
          <w:p w14:paraId="0ED9F172">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72B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4D2CD65">
            <w:pPr>
              <w:jc w:val="center"/>
              <w:rPr>
                <w:rFonts w:ascii="Times New Roman" w:eastAsia="仿宋"/>
                <w:szCs w:val="21"/>
              </w:rPr>
            </w:pPr>
            <w:r>
              <w:rPr>
                <w:rFonts w:hint="eastAsia" w:ascii="Times New Roman" w:eastAsia="仿宋"/>
                <w:szCs w:val="21"/>
              </w:rPr>
              <w:t>5</w:t>
            </w:r>
          </w:p>
        </w:tc>
        <w:tc>
          <w:tcPr>
            <w:tcW w:w="438" w:type="pct"/>
            <w:vMerge w:val="continue"/>
            <w:vAlign w:val="center"/>
          </w:tcPr>
          <w:p w14:paraId="1C898F34">
            <w:pPr>
              <w:jc w:val="center"/>
              <w:rPr>
                <w:rFonts w:ascii="Times New Roman" w:eastAsia="仿宋"/>
                <w:szCs w:val="21"/>
              </w:rPr>
            </w:pPr>
          </w:p>
        </w:tc>
        <w:tc>
          <w:tcPr>
            <w:tcW w:w="623" w:type="pct"/>
            <w:vAlign w:val="center"/>
          </w:tcPr>
          <w:p w14:paraId="4C7D590A">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38024465">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6DFD6365">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375" w:type="pct"/>
            <w:vMerge w:val="continue"/>
            <w:vAlign w:val="center"/>
          </w:tcPr>
          <w:p w14:paraId="0D04A10B">
            <w:pPr>
              <w:spacing w:line="240" w:lineRule="atLeast"/>
              <w:jc w:val="center"/>
              <w:rPr>
                <w:rFonts w:ascii="Times New Roman" w:eastAsia="仿宋"/>
                <w:bCs/>
                <w:szCs w:val="21"/>
              </w:rPr>
            </w:pPr>
          </w:p>
        </w:tc>
        <w:tc>
          <w:tcPr>
            <w:tcW w:w="407" w:type="pct"/>
            <w:vAlign w:val="center"/>
          </w:tcPr>
          <w:p w14:paraId="3F50715B">
            <w:pPr>
              <w:jc w:val="center"/>
              <w:rPr>
                <w:rFonts w:ascii="Times New Roman" w:eastAsia="仿宋"/>
                <w:szCs w:val="21"/>
              </w:rPr>
            </w:pPr>
            <w:r>
              <w:rPr>
                <w:rFonts w:hint="eastAsia" w:ascii="Times New Roman" w:eastAsia="仿宋"/>
                <w:szCs w:val="21"/>
              </w:rPr>
              <w:t>8</w:t>
            </w:r>
          </w:p>
        </w:tc>
        <w:tc>
          <w:tcPr>
            <w:tcW w:w="392" w:type="pct"/>
          </w:tcPr>
          <w:p w14:paraId="79B83055">
            <w:pPr>
              <w:jc w:val="center"/>
              <w:rPr>
                <w:rFonts w:ascii="Times New Roman" w:eastAsia="仿宋"/>
                <w:szCs w:val="21"/>
              </w:rPr>
            </w:pPr>
            <w:r>
              <w:rPr>
                <w:rFonts w:hint="eastAsia" w:ascii="Times New Roman" w:eastAsia="仿宋"/>
                <w:szCs w:val="21"/>
              </w:rPr>
              <w:t>1</w:t>
            </w:r>
            <w:r>
              <w:rPr>
                <w:rFonts w:ascii="Times New Roman" w:eastAsia="仿宋"/>
                <w:szCs w:val="21"/>
              </w:rPr>
              <w:t>76.4</w:t>
            </w:r>
          </w:p>
        </w:tc>
        <w:tc>
          <w:tcPr>
            <w:tcW w:w="348" w:type="pct"/>
          </w:tcPr>
          <w:p w14:paraId="501F8A40">
            <w:pPr>
              <w:jc w:val="center"/>
              <w:rPr>
                <w:rFonts w:ascii="Times New Roman" w:eastAsia="仿宋"/>
                <w:szCs w:val="21"/>
              </w:rPr>
            </w:pPr>
            <w:r>
              <w:rPr>
                <w:rFonts w:hint="eastAsia" w:ascii="Times New Roman" w:eastAsia="仿宋"/>
                <w:szCs w:val="21"/>
              </w:rPr>
              <w:t>21</w:t>
            </w:r>
            <w:r>
              <w:rPr>
                <w:rFonts w:ascii="Times New Roman" w:eastAsia="仿宋"/>
                <w:szCs w:val="21"/>
              </w:rPr>
              <w:t>.08</w:t>
            </w:r>
          </w:p>
        </w:tc>
        <w:tc>
          <w:tcPr>
            <w:tcW w:w="287" w:type="pct"/>
          </w:tcPr>
          <w:p w14:paraId="7E11595C">
            <w:pPr>
              <w:jc w:val="center"/>
              <w:rPr>
                <w:rFonts w:ascii="Times New Roman" w:eastAsia="仿宋"/>
                <w:szCs w:val="21"/>
              </w:rPr>
            </w:pPr>
            <w:r>
              <w:rPr>
                <w:rFonts w:hint="eastAsia" w:ascii="Times New Roman" w:eastAsia="仿宋"/>
                <w:szCs w:val="21"/>
              </w:rPr>
              <w:t>0</w:t>
            </w:r>
          </w:p>
        </w:tc>
        <w:tc>
          <w:tcPr>
            <w:tcW w:w="413" w:type="pct"/>
            <w:vAlign w:val="center"/>
          </w:tcPr>
          <w:p w14:paraId="60607649">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39855814">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0CF6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109B50EF">
            <w:pPr>
              <w:jc w:val="center"/>
              <w:rPr>
                <w:rFonts w:ascii="Times New Roman" w:eastAsia="仿宋"/>
                <w:szCs w:val="21"/>
              </w:rPr>
            </w:pPr>
            <w:r>
              <w:rPr>
                <w:rFonts w:hint="eastAsia" w:ascii="Times New Roman" w:eastAsia="仿宋"/>
                <w:szCs w:val="21"/>
              </w:rPr>
              <w:t>6</w:t>
            </w:r>
          </w:p>
        </w:tc>
        <w:tc>
          <w:tcPr>
            <w:tcW w:w="438" w:type="pct"/>
            <w:vMerge w:val="continue"/>
            <w:vAlign w:val="center"/>
          </w:tcPr>
          <w:p w14:paraId="148851F9">
            <w:pPr>
              <w:jc w:val="center"/>
              <w:rPr>
                <w:rFonts w:ascii="Times New Roman" w:eastAsia="仿宋"/>
                <w:szCs w:val="21"/>
              </w:rPr>
            </w:pPr>
          </w:p>
        </w:tc>
        <w:tc>
          <w:tcPr>
            <w:tcW w:w="623" w:type="pct"/>
            <w:vAlign w:val="center"/>
          </w:tcPr>
          <w:p w14:paraId="141C3EE0">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0B744F84">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58366821">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59233735">
            <w:pPr>
              <w:spacing w:line="240" w:lineRule="atLeast"/>
              <w:jc w:val="center"/>
              <w:rPr>
                <w:rFonts w:ascii="Times New Roman" w:eastAsia="仿宋"/>
                <w:bCs/>
                <w:szCs w:val="21"/>
              </w:rPr>
            </w:pPr>
          </w:p>
        </w:tc>
        <w:tc>
          <w:tcPr>
            <w:tcW w:w="407" w:type="pct"/>
            <w:vAlign w:val="center"/>
          </w:tcPr>
          <w:p w14:paraId="42A4F4C6">
            <w:pPr>
              <w:jc w:val="center"/>
              <w:rPr>
                <w:rFonts w:ascii="Times New Roman" w:eastAsia="仿宋"/>
                <w:szCs w:val="21"/>
              </w:rPr>
            </w:pPr>
            <w:r>
              <w:rPr>
                <w:rFonts w:hint="eastAsia" w:ascii="Times New Roman" w:eastAsia="仿宋"/>
                <w:szCs w:val="21"/>
              </w:rPr>
              <w:t>6</w:t>
            </w:r>
          </w:p>
        </w:tc>
        <w:tc>
          <w:tcPr>
            <w:tcW w:w="392" w:type="pct"/>
          </w:tcPr>
          <w:p w14:paraId="2C812675">
            <w:pPr>
              <w:jc w:val="center"/>
              <w:rPr>
                <w:rFonts w:ascii="Times New Roman" w:eastAsia="仿宋"/>
                <w:szCs w:val="21"/>
              </w:rPr>
            </w:pPr>
            <w:r>
              <w:rPr>
                <w:rFonts w:hint="eastAsia" w:ascii="Times New Roman" w:eastAsia="仿宋"/>
                <w:szCs w:val="21"/>
              </w:rPr>
              <w:t>1</w:t>
            </w:r>
            <w:r>
              <w:rPr>
                <w:rFonts w:ascii="Times New Roman" w:eastAsia="仿宋"/>
                <w:szCs w:val="21"/>
              </w:rPr>
              <w:t>83.24</w:t>
            </w:r>
          </w:p>
        </w:tc>
        <w:tc>
          <w:tcPr>
            <w:tcW w:w="348" w:type="pct"/>
          </w:tcPr>
          <w:p w14:paraId="4642DFDC">
            <w:pPr>
              <w:jc w:val="center"/>
              <w:rPr>
                <w:rFonts w:ascii="Times New Roman" w:eastAsia="仿宋"/>
                <w:szCs w:val="21"/>
              </w:rPr>
            </w:pPr>
            <w:r>
              <w:rPr>
                <w:rFonts w:ascii="Times New Roman" w:eastAsia="仿宋"/>
                <w:szCs w:val="21"/>
              </w:rPr>
              <w:t>10.87</w:t>
            </w:r>
          </w:p>
        </w:tc>
        <w:tc>
          <w:tcPr>
            <w:tcW w:w="287" w:type="pct"/>
          </w:tcPr>
          <w:p w14:paraId="10201DA9">
            <w:pPr>
              <w:jc w:val="center"/>
              <w:rPr>
                <w:rFonts w:ascii="Times New Roman" w:eastAsia="仿宋"/>
                <w:szCs w:val="21"/>
              </w:rPr>
            </w:pPr>
            <w:r>
              <w:rPr>
                <w:rFonts w:hint="eastAsia" w:ascii="Times New Roman" w:eastAsia="仿宋"/>
                <w:szCs w:val="21"/>
              </w:rPr>
              <w:t>0</w:t>
            </w:r>
          </w:p>
        </w:tc>
        <w:tc>
          <w:tcPr>
            <w:tcW w:w="413" w:type="pct"/>
            <w:vAlign w:val="center"/>
          </w:tcPr>
          <w:p w14:paraId="19DA8079">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241F8FA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0400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2C84EAE">
            <w:pPr>
              <w:jc w:val="center"/>
              <w:rPr>
                <w:rFonts w:ascii="Times New Roman" w:eastAsia="仿宋"/>
                <w:szCs w:val="21"/>
              </w:rPr>
            </w:pPr>
            <w:r>
              <w:rPr>
                <w:rFonts w:hint="eastAsia" w:ascii="Times New Roman" w:eastAsia="仿宋"/>
                <w:szCs w:val="21"/>
              </w:rPr>
              <w:t>7</w:t>
            </w:r>
          </w:p>
        </w:tc>
        <w:tc>
          <w:tcPr>
            <w:tcW w:w="438" w:type="pct"/>
            <w:vMerge w:val="continue"/>
            <w:vAlign w:val="center"/>
          </w:tcPr>
          <w:p w14:paraId="1D437A89">
            <w:pPr>
              <w:jc w:val="center"/>
              <w:rPr>
                <w:rFonts w:ascii="Times New Roman" w:eastAsia="仿宋"/>
                <w:szCs w:val="21"/>
              </w:rPr>
            </w:pPr>
          </w:p>
        </w:tc>
        <w:tc>
          <w:tcPr>
            <w:tcW w:w="623" w:type="pct"/>
            <w:vAlign w:val="center"/>
          </w:tcPr>
          <w:p w14:paraId="62AD3D87">
            <w:pPr>
              <w:widowControl/>
              <w:jc w:val="center"/>
              <w:rPr>
                <w:rFonts w:ascii="Times New Roman" w:eastAsia="仿宋"/>
                <w:szCs w:val="21"/>
              </w:rPr>
            </w:pPr>
            <w:r>
              <w:rPr>
                <w:rFonts w:hint="eastAsia" w:ascii="Times New Roman" w:eastAsia="仿宋"/>
                <w:szCs w:val="21"/>
              </w:rPr>
              <w:t>激光焊机</w:t>
            </w:r>
          </w:p>
        </w:tc>
        <w:tc>
          <w:tcPr>
            <w:tcW w:w="444" w:type="pct"/>
            <w:vAlign w:val="center"/>
          </w:tcPr>
          <w:p w14:paraId="41057A98">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175630F7">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77DF7340">
            <w:pPr>
              <w:spacing w:line="240" w:lineRule="atLeast"/>
              <w:jc w:val="center"/>
              <w:rPr>
                <w:rFonts w:ascii="Times New Roman" w:eastAsia="仿宋"/>
                <w:bCs/>
                <w:szCs w:val="21"/>
              </w:rPr>
            </w:pPr>
          </w:p>
        </w:tc>
        <w:tc>
          <w:tcPr>
            <w:tcW w:w="407" w:type="pct"/>
            <w:vAlign w:val="center"/>
          </w:tcPr>
          <w:p w14:paraId="23B20D57">
            <w:pPr>
              <w:jc w:val="center"/>
              <w:rPr>
                <w:rFonts w:ascii="Times New Roman" w:eastAsia="仿宋"/>
                <w:szCs w:val="21"/>
              </w:rPr>
            </w:pPr>
            <w:r>
              <w:rPr>
                <w:rFonts w:hint="eastAsia" w:ascii="Times New Roman" w:eastAsia="仿宋"/>
                <w:szCs w:val="21"/>
              </w:rPr>
              <w:t>2</w:t>
            </w:r>
          </w:p>
        </w:tc>
        <w:tc>
          <w:tcPr>
            <w:tcW w:w="392" w:type="pct"/>
          </w:tcPr>
          <w:p w14:paraId="43EF4EC4">
            <w:pPr>
              <w:jc w:val="center"/>
              <w:rPr>
                <w:rFonts w:ascii="Times New Roman" w:eastAsia="仿宋"/>
                <w:szCs w:val="21"/>
              </w:rPr>
            </w:pPr>
            <w:r>
              <w:rPr>
                <w:rFonts w:hint="eastAsia" w:ascii="Times New Roman" w:eastAsia="仿宋"/>
                <w:szCs w:val="21"/>
              </w:rPr>
              <w:t>1</w:t>
            </w:r>
            <w:r>
              <w:rPr>
                <w:rFonts w:ascii="Times New Roman" w:eastAsia="仿宋"/>
                <w:szCs w:val="21"/>
              </w:rPr>
              <w:t>70.18</w:t>
            </w:r>
          </w:p>
        </w:tc>
        <w:tc>
          <w:tcPr>
            <w:tcW w:w="348" w:type="pct"/>
          </w:tcPr>
          <w:p w14:paraId="213656E9">
            <w:pPr>
              <w:jc w:val="center"/>
              <w:rPr>
                <w:rFonts w:ascii="Times New Roman" w:eastAsia="仿宋"/>
                <w:szCs w:val="21"/>
              </w:rPr>
            </w:pPr>
            <w:r>
              <w:rPr>
                <w:rFonts w:hint="eastAsia" w:ascii="Times New Roman" w:eastAsia="仿宋"/>
                <w:szCs w:val="21"/>
              </w:rPr>
              <w:t>-8</w:t>
            </w:r>
            <w:r>
              <w:rPr>
                <w:rFonts w:ascii="Times New Roman" w:eastAsia="仿宋"/>
                <w:szCs w:val="21"/>
              </w:rPr>
              <w:t>.46</w:t>
            </w:r>
          </w:p>
        </w:tc>
        <w:tc>
          <w:tcPr>
            <w:tcW w:w="287" w:type="pct"/>
          </w:tcPr>
          <w:p w14:paraId="3E0673BA">
            <w:pPr>
              <w:jc w:val="center"/>
              <w:rPr>
                <w:rFonts w:ascii="Times New Roman" w:eastAsia="仿宋"/>
                <w:szCs w:val="21"/>
              </w:rPr>
            </w:pPr>
            <w:r>
              <w:rPr>
                <w:rFonts w:hint="eastAsia" w:ascii="Times New Roman" w:eastAsia="仿宋"/>
                <w:szCs w:val="21"/>
              </w:rPr>
              <w:t>0</w:t>
            </w:r>
          </w:p>
        </w:tc>
        <w:tc>
          <w:tcPr>
            <w:tcW w:w="413" w:type="pct"/>
            <w:vAlign w:val="center"/>
          </w:tcPr>
          <w:p w14:paraId="77B26B8D">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614EC736">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477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9CD1526">
            <w:pPr>
              <w:jc w:val="center"/>
              <w:rPr>
                <w:rFonts w:ascii="Times New Roman" w:eastAsia="仿宋"/>
                <w:szCs w:val="21"/>
              </w:rPr>
            </w:pPr>
            <w:r>
              <w:rPr>
                <w:rFonts w:ascii="Times New Roman" w:eastAsia="仿宋"/>
                <w:szCs w:val="21"/>
              </w:rPr>
              <w:t>8</w:t>
            </w:r>
          </w:p>
        </w:tc>
        <w:tc>
          <w:tcPr>
            <w:tcW w:w="438" w:type="pct"/>
            <w:vMerge w:val="restart"/>
            <w:vAlign w:val="center"/>
          </w:tcPr>
          <w:p w14:paraId="0B94ECBD">
            <w:pPr>
              <w:jc w:val="center"/>
              <w:rPr>
                <w:rFonts w:ascii="Times New Roman" w:eastAsia="仿宋"/>
                <w:szCs w:val="21"/>
              </w:rPr>
            </w:pPr>
            <w:r>
              <w:rPr>
                <w:rFonts w:hint="eastAsia" w:ascii="Times New Roman" w:eastAsia="仿宋"/>
                <w:szCs w:val="21"/>
              </w:rPr>
              <w:t>2号钣金车间</w:t>
            </w:r>
          </w:p>
        </w:tc>
        <w:tc>
          <w:tcPr>
            <w:tcW w:w="623" w:type="pct"/>
            <w:vAlign w:val="center"/>
          </w:tcPr>
          <w:p w14:paraId="7E744550">
            <w:pPr>
              <w:widowControl/>
              <w:jc w:val="center"/>
              <w:rPr>
                <w:rFonts w:ascii="Times New Roman" w:eastAsia="仿宋"/>
                <w:szCs w:val="21"/>
              </w:rPr>
            </w:pPr>
            <w:r>
              <w:rPr>
                <w:rFonts w:hint="eastAsia" w:ascii="Times New Roman" w:eastAsia="仿宋"/>
                <w:szCs w:val="21"/>
              </w:rPr>
              <w:t>雕刻机</w:t>
            </w:r>
          </w:p>
        </w:tc>
        <w:tc>
          <w:tcPr>
            <w:tcW w:w="444" w:type="pct"/>
            <w:vAlign w:val="center"/>
          </w:tcPr>
          <w:p w14:paraId="1C08A458">
            <w:pPr>
              <w:jc w:val="center"/>
              <w:rPr>
                <w:rFonts w:ascii="Times New Roman" w:eastAsia="仿宋"/>
                <w:szCs w:val="21"/>
              </w:rPr>
            </w:pPr>
            <w:r>
              <w:rPr>
                <w:rFonts w:ascii="Times New Roman" w:eastAsia="仿宋"/>
                <w:szCs w:val="21"/>
              </w:rPr>
              <w:t>75</w:t>
            </w:r>
          </w:p>
        </w:tc>
        <w:tc>
          <w:tcPr>
            <w:tcW w:w="578" w:type="pct"/>
            <w:vAlign w:val="center"/>
          </w:tcPr>
          <w:p w14:paraId="5A8664CD">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30C4DD7E">
            <w:pPr>
              <w:spacing w:line="240" w:lineRule="atLeast"/>
              <w:jc w:val="center"/>
              <w:rPr>
                <w:rFonts w:ascii="Times New Roman" w:eastAsia="仿宋"/>
                <w:bCs/>
                <w:szCs w:val="21"/>
              </w:rPr>
            </w:pPr>
          </w:p>
        </w:tc>
        <w:tc>
          <w:tcPr>
            <w:tcW w:w="407" w:type="pct"/>
            <w:vAlign w:val="center"/>
          </w:tcPr>
          <w:p w14:paraId="34FFD036">
            <w:pPr>
              <w:jc w:val="center"/>
              <w:rPr>
                <w:rFonts w:ascii="Times New Roman" w:eastAsia="仿宋"/>
                <w:szCs w:val="21"/>
              </w:rPr>
            </w:pPr>
            <w:r>
              <w:rPr>
                <w:rFonts w:ascii="Times New Roman" w:eastAsia="仿宋"/>
                <w:szCs w:val="21"/>
              </w:rPr>
              <w:t>6</w:t>
            </w:r>
          </w:p>
        </w:tc>
        <w:tc>
          <w:tcPr>
            <w:tcW w:w="392" w:type="pct"/>
            <w:vAlign w:val="center"/>
          </w:tcPr>
          <w:p w14:paraId="5C225DA9">
            <w:pPr>
              <w:widowControl/>
              <w:jc w:val="center"/>
              <w:rPr>
                <w:rFonts w:ascii="Times New Roman" w:eastAsia="仿宋"/>
                <w:szCs w:val="21"/>
              </w:rPr>
            </w:pPr>
            <w:r>
              <w:rPr>
                <w:rFonts w:hint="eastAsia" w:ascii="Times New Roman" w:eastAsia="仿宋"/>
                <w:szCs w:val="21"/>
              </w:rPr>
              <w:t>13</w:t>
            </w:r>
            <w:r>
              <w:rPr>
                <w:rFonts w:ascii="Times New Roman" w:eastAsia="仿宋"/>
                <w:szCs w:val="21"/>
              </w:rPr>
              <w:t>0.07</w:t>
            </w:r>
          </w:p>
        </w:tc>
        <w:tc>
          <w:tcPr>
            <w:tcW w:w="348" w:type="pct"/>
            <w:vAlign w:val="center"/>
          </w:tcPr>
          <w:p w14:paraId="461AA986">
            <w:pPr>
              <w:widowControl/>
              <w:jc w:val="center"/>
              <w:rPr>
                <w:rFonts w:ascii="Times New Roman" w:eastAsia="仿宋"/>
                <w:szCs w:val="21"/>
              </w:rPr>
            </w:pPr>
            <w:r>
              <w:rPr>
                <w:rFonts w:hint="eastAsia" w:ascii="Times New Roman" w:eastAsia="仿宋"/>
                <w:szCs w:val="21"/>
              </w:rPr>
              <w:t>36</w:t>
            </w:r>
          </w:p>
        </w:tc>
        <w:tc>
          <w:tcPr>
            <w:tcW w:w="287" w:type="pct"/>
          </w:tcPr>
          <w:p w14:paraId="046F6675">
            <w:pPr>
              <w:jc w:val="center"/>
              <w:rPr>
                <w:rFonts w:ascii="Times New Roman" w:eastAsia="仿宋"/>
                <w:szCs w:val="21"/>
              </w:rPr>
            </w:pPr>
            <w:r>
              <w:rPr>
                <w:rFonts w:ascii="Times New Roman" w:eastAsia="仿宋"/>
                <w:szCs w:val="21"/>
              </w:rPr>
              <w:t>0</w:t>
            </w:r>
          </w:p>
        </w:tc>
        <w:tc>
          <w:tcPr>
            <w:tcW w:w="413" w:type="pct"/>
            <w:vAlign w:val="center"/>
          </w:tcPr>
          <w:p w14:paraId="1030F386">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233DD16E">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BE4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637C95F5">
            <w:pPr>
              <w:jc w:val="center"/>
              <w:rPr>
                <w:rFonts w:ascii="Times New Roman" w:eastAsia="仿宋"/>
                <w:szCs w:val="21"/>
              </w:rPr>
            </w:pPr>
            <w:r>
              <w:rPr>
                <w:rFonts w:hint="eastAsia" w:ascii="Times New Roman" w:eastAsia="仿宋"/>
                <w:szCs w:val="21"/>
              </w:rPr>
              <w:t>9</w:t>
            </w:r>
          </w:p>
        </w:tc>
        <w:tc>
          <w:tcPr>
            <w:tcW w:w="438" w:type="pct"/>
            <w:vMerge w:val="continue"/>
            <w:vAlign w:val="center"/>
          </w:tcPr>
          <w:p w14:paraId="1897CC16">
            <w:pPr>
              <w:jc w:val="center"/>
              <w:rPr>
                <w:rFonts w:ascii="Times New Roman" w:eastAsia="仿宋"/>
                <w:szCs w:val="21"/>
              </w:rPr>
            </w:pPr>
          </w:p>
        </w:tc>
        <w:tc>
          <w:tcPr>
            <w:tcW w:w="623" w:type="pct"/>
            <w:vAlign w:val="center"/>
          </w:tcPr>
          <w:p w14:paraId="0004FE2C">
            <w:pPr>
              <w:widowControl/>
              <w:jc w:val="center"/>
              <w:rPr>
                <w:rFonts w:ascii="Times New Roman" w:eastAsia="仿宋"/>
                <w:szCs w:val="21"/>
              </w:rPr>
            </w:pPr>
            <w:r>
              <w:rPr>
                <w:rFonts w:hint="eastAsia" w:ascii="Times New Roman" w:eastAsia="仿宋"/>
                <w:szCs w:val="21"/>
              </w:rPr>
              <w:t>数控转塔冲</w:t>
            </w:r>
          </w:p>
        </w:tc>
        <w:tc>
          <w:tcPr>
            <w:tcW w:w="444" w:type="pct"/>
            <w:vAlign w:val="center"/>
          </w:tcPr>
          <w:p w14:paraId="79F49BAB">
            <w:pPr>
              <w:jc w:val="center"/>
              <w:rPr>
                <w:rFonts w:ascii="Times New Roman" w:eastAsia="仿宋"/>
                <w:szCs w:val="21"/>
              </w:rPr>
            </w:pPr>
            <w:r>
              <w:rPr>
                <w:rFonts w:hint="eastAsia" w:ascii="Times New Roman" w:eastAsia="仿宋"/>
                <w:szCs w:val="21"/>
              </w:rPr>
              <w:t>80</w:t>
            </w:r>
          </w:p>
        </w:tc>
        <w:tc>
          <w:tcPr>
            <w:tcW w:w="578" w:type="pct"/>
            <w:vAlign w:val="center"/>
          </w:tcPr>
          <w:p w14:paraId="20BB435F">
            <w:pPr>
              <w:widowControl/>
              <w:jc w:val="center"/>
              <w:rPr>
                <w:rFonts w:ascii="Times New Roman" w:eastAsia="仿宋"/>
                <w:szCs w:val="21"/>
              </w:rPr>
            </w:pPr>
            <w:r>
              <w:rPr>
                <w:rFonts w:hint="eastAsia" w:ascii="Times New Roman" w:eastAsia="仿宋"/>
                <w:szCs w:val="21"/>
              </w:rPr>
              <w:t>8</w:t>
            </w:r>
            <w:r>
              <w:rPr>
                <w:rFonts w:ascii="Times New Roman" w:eastAsia="仿宋"/>
                <w:szCs w:val="21"/>
              </w:rPr>
              <w:t>6</w:t>
            </w:r>
          </w:p>
        </w:tc>
        <w:tc>
          <w:tcPr>
            <w:tcW w:w="375" w:type="pct"/>
            <w:vMerge w:val="continue"/>
            <w:vAlign w:val="center"/>
          </w:tcPr>
          <w:p w14:paraId="1AE75F1C">
            <w:pPr>
              <w:spacing w:line="240" w:lineRule="atLeast"/>
              <w:jc w:val="center"/>
              <w:rPr>
                <w:rFonts w:ascii="Times New Roman" w:eastAsia="仿宋"/>
                <w:bCs/>
                <w:szCs w:val="21"/>
              </w:rPr>
            </w:pPr>
          </w:p>
        </w:tc>
        <w:tc>
          <w:tcPr>
            <w:tcW w:w="407" w:type="pct"/>
            <w:vAlign w:val="center"/>
          </w:tcPr>
          <w:p w14:paraId="17DE9F98">
            <w:pPr>
              <w:jc w:val="center"/>
              <w:rPr>
                <w:rFonts w:ascii="Times New Roman" w:eastAsia="仿宋"/>
                <w:szCs w:val="21"/>
              </w:rPr>
            </w:pPr>
            <w:r>
              <w:rPr>
                <w:rFonts w:hint="eastAsia" w:ascii="Times New Roman" w:eastAsia="仿宋"/>
                <w:szCs w:val="21"/>
              </w:rPr>
              <w:t>4</w:t>
            </w:r>
          </w:p>
        </w:tc>
        <w:tc>
          <w:tcPr>
            <w:tcW w:w="392" w:type="pct"/>
            <w:vAlign w:val="center"/>
          </w:tcPr>
          <w:p w14:paraId="4928C813">
            <w:pPr>
              <w:widowControl/>
              <w:jc w:val="center"/>
              <w:rPr>
                <w:rFonts w:ascii="Times New Roman" w:eastAsia="仿宋"/>
                <w:szCs w:val="21"/>
              </w:rPr>
            </w:pPr>
            <w:r>
              <w:rPr>
                <w:rFonts w:hint="eastAsia" w:ascii="Times New Roman" w:eastAsia="仿宋"/>
                <w:szCs w:val="21"/>
              </w:rPr>
              <w:t>1</w:t>
            </w:r>
            <w:r>
              <w:rPr>
                <w:rFonts w:ascii="Times New Roman" w:eastAsia="仿宋"/>
                <w:szCs w:val="21"/>
              </w:rPr>
              <w:t>14.21</w:t>
            </w:r>
          </w:p>
        </w:tc>
        <w:tc>
          <w:tcPr>
            <w:tcW w:w="348" w:type="pct"/>
            <w:vAlign w:val="center"/>
          </w:tcPr>
          <w:p w14:paraId="03DEBCC5">
            <w:pPr>
              <w:widowControl/>
              <w:jc w:val="center"/>
              <w:rPr>
                <w:rFonts w:ascii="Times New Roman" w:eastAsia="仿宋"/>
                <w:szCs w:val="21"/>
              </w:rPr>
            </w:pPr>
            <w:r>
              <w:rPr>
                <w:rFonts w:hint="eastAsia" w:ascii="Times New Roman" w:eastAsia="仿宋"/>
                <w:szCs w:val="21"/>
              </w:rPr>
              <w:t>3</w:t>
            </w:r>
            <w:r>
              <w:rPr>
                <w:rFonts w:ascii="Times New Roman" w:eastAsia="仿宋"/>
                <w:szCs w:val="21"/>
              </w:rPr>
              <w:t>0.41</w:t>
            </w:r>
          </w:p>
        </w:tc>
        <w:tc>
          <w:tcPr>
            <w:tcW w:w="287" w:type="pct"/>
          </w:tcPr>
          <w:p w14:paraId="61B11104">
            <w:pPr>
              <w:jc w:val="center"/>
              <w:rPr>
                <w:rFonts w:ascii="Times New Roman" w:eastAsia="仿宋"/>
                <w:szCs w:val="21"/>
              </w:rPr>
            </w:pPr>
            <w:r>
              <w:rPr>
                <w:rFonts w:ascii="Times New Roman" w:eastAsia="仿宋"/>
                <w:szCs w:val="21"/>
              </w:rPr>
              <w:t>0</w:t>
            </w:r>
          </w:p>
        </w:tc>
        <w:tc>
          <w:tcPr>
            <w:tcW w:w="413" w:type="pct"/>
          </w:tcPr>
          <w:p w14:paraId="37896DCA">
            <w:pPr>
              <w:spacing w:line="240" w:lineRule="atLeast"/>
              <w:jc w:val="center"/>
              <w:rPr>
                <w:rFonts w:ascii="Times New Roman" w:eastAsia="仿宋"/>
                <w:bCs/>
                <w:szCs w:val="21"/>
              </w:rPr>
            </w:pPr>
            <w:r>
              <w:rPr>
                <w:rFonts w:ascii="Times New Roman" w:eastAsia="仿宋"/>
                <w:bCs/>
                <w:szCs w:val="21"/>
              </w:rPr>
              <w:t>35</w:t>
            </w:r>
          </w:p>
        </w:tc>
        <w:tc>
          <w:tcPr>
            <w:tcW w:w="503" w:type="pct"/>
          </w:tcPr>
          <w:p w14:paraId="2D7E22BF">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4C4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6AF3FAEF">
            <w:pPr>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438" w:type="pct"/>
            <w:vMerge w:val="continue"/>
            <w:vAlign w:val="center"/>
          </w:tcPr>
          <w:p w14:paraId="2429CB23">
            <w:pPr>
              <w:jc w:val="center"/>
              <w:rPr>
                <w:rFonts w:ascii="Times New Roman" w:eastAsia="仿宋"/>
                <w:szCs w:val="21"/>
              </w:rPr>
            </w:pPr>
          </w:p>
        </w:tc>
        <w:tc>
          <w:tcPr>
            <w:tcW w:w="623" w:type="pct"/>
            <w:vAlign w:val="center"/>
          </w:tcPr>
          <w:p w14:paraId="0125837D">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167122C3">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1D70B216">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375" w:type="pct"/>
            <w:vMerge w:val="continue"/>
            <w:vAlign w:val="center"/>
          </w:tcPr>
          <w:p w14:paraId="5F518C46">
            <w:pPr>
              <w:spacing w:line="240" w:lineRule="atLeast"/>
              <w:jc w:val="center"/>
              <w:rPr>
                <w:rFonts w:ascii="Times New Roman" w:eastAsia="仿宋"/>
                <w:bCs/>
                <w:szCs w:val="21"/>
              </w:rPr>
            </w:pPr>
          </w:p>
        </w:tc>
        <w:tc>
          <w:tcPr>
            <w:tcW w:w="407" w:type="pct"/>
            <w:vAlign w:val="center"/>
          </w:tcPr>
          <w:p w14:paraId="4F694DCA">
            <w:pPr>
              <w:jc w:val="center"/>
              <w:rPr>
                <w:rFonts w:ascii="Times New Roman" w:eastAsia="仿宋"/>
                <w:szCs w:val="21"/>
              </w:rPr>
            </w:pPr>
            <w:r>
              <w:rPr>
                <w:rFonts w:hint="eastAsia" w:ascii="Times New Roman" w:eastAsia="仿宋"/>
                <w:szCs w:val="21"/>
              </w:rPr>
              <w:t>4</w:t>
            </w:r>
          </w:p>
        </w:tc>
        <w:tc>
          <w:tcPr>
            <w:tcW w:w="392" w:type="pct"/>
            <w:vAlign w:val="center"/>
          </w:tcPr>
          <w:p w14:paraId="44FD4EDF">
            <w:pPr>
              <w:widowControl/>
              <w:jc w:val="center"/>
              <w:rPr>
                <w:rFonts w:ascii="Times New Roman" w:eastAsia="仿宋"/>
                <w:szCs w:val="21"/>
              </w:rPr>
            </w:pPr>
            <w:r>
              <w:rPr>
                <w:rFonts w:hint="eastAsia" w:ascii="Times New Roman" w:eastAsia="仿宋"/>
                <w:szCs w:val="21"/>
              </w:rPr>
              <w:t>1</w:t>
            </w:r>
            <w:r>
              <w:rPr>
                <w:rFonts w:ascii="Times New Roman" w:eastAsia="仿宋"/>
                <w:szCs w:val="21"/>
              </w:rPr>
              <w:t>30.38</w:t>
            </w:r>
          </w:p>
        </w:tc>
        <w:tc>
          <w:tcPr>
            <w:tcW w:w="348" w:type="pct"/>
            <w:vAlign w:val="center"/>
          </w:tcPr>
          <w:p w14:paraId="4151BDEB">
            <w:pPr>
              <w:widowControl/>
              <w:jc w:val="center"/>
              <w:rPr>
                <w:rFonts w:ascii="Times New Roman" w:eastAsia="仿宋"/>
                <w:szCs w:val="21"/>
              </w:rPr>
            </w:pPr>
            <w:r>
              <w:rPr>
                <w:rFonts w:hint="eastAsia" w:ascii="Times New Roman" w:eastAsia="仿宋"/>
                <w:szCs w:val="21"/>
              </w:rPr>
              <w:t>19.</w:t>
            </w:r>
            <w:r>
              <w:rPr>
                <w:rFonts w:ascii="Times New Roman" w:eastAsia="仿宋"/>
                <w:szCs w:val="21"/>
              </w:rPr>
              <w:t>83</w:t>
            </w:r>
          </w:p>
        </w:tc>
        <w:tc>
          <w:tcPr>
            <w:tcW w:w="287" w:type="pct"/>
          </w:tcPr>
          <w:p w14:paraId="3D793899">
            <w:pPr>
              <w:jc w:val="center"/>
              <w:rPr>
                <w:rFonts w:ascii="Times New Roman" w:eastAsia="仿宋"/>
                <w:szCs w:val="21"/>
              </w:rPr>
            </w:pPr>
            <w:r>
              <w:rPr>
                <w:rFonts w:ascii="Times New Roman" w:eastAsia="仿宋"/>
                <w:szCs w:val="21"/>
              </w:rPr>
              <w:t>0</w:t>
            </w:r>
          </w:p>
        </w:tc>
        <w:tc>
          <w:tcPr>
            <w:tcW w:w="413" w:type="pct"/>
          </w:tcPr>
          <w:p w14:paraId="4129B071">
            <w:pPr>
              <w:spacing w:line="240" w:lineRule="atLeast"/>
              <w:jc w:val="center"/>
              <w:rPr>
                <w:rFonts w:ascii="Times New Roman" w:eastAsia="仿宋"/>
                <w:bCs/>
                <w:szCs w:val="21"/>
              </w:rPr>
            </w:pPr>
            <w:r>
              <w:rPr>
                <w:rFonts w:ascii="Times New Roman" w:eastAsia="仿宋"/>
                <w:bCs/>
                <w:szCs w:val="21"/>
              </w:rPr>
              <w:t>35</w:t>
            </w:r>
          </w:p>
        </w:tc>
        <w:tc>
          <w:tcPr>
            <w:tcW w:w="503" w:type="pct"/>
          </w:tcPr>
          <w:p w14:paraId="5E47C869">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FB1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61342300">
            <w:pPr>
              <w:jc w:val="center"/>
              <w:rPr>
                <w:rFonts w:ascii="Times New Roman" w:eastAsia="仿宋"/>
                <w:szCs w:val="21"/>
              </w:rPr>
            </w:pPr>
            <w:r>
              <w:rPr>
                <w:rFonts w:hint="eastAsia" w:ascii="Times New Roman" w:eastAsia="仿宋"/>
                <w:szCs w:val="21"/>
              </w:rPr>
              <w:t>1</w:t>
            </w:r>
            <w:r>
              <w:rPr>
                <w:rFonts w:ascii="Times New Roman" w:eastAsia="仿宋"/>
                <w:szCs w:val="21"/>
              </w:rPr>
              <w:t>1</w:t>
            </w:r>
          </w:p>
        </w:tc>
        <w:tc>
          <w:tcPr>
            <w:tcW w:w="438" w:type="pct"/>
            <w:vMerge w:val="continue"/>
            <w:vAlign w:val="center"/>
          </w:tcPr>
          <w:p w14:paraId="53D02C96">
            <w:pPr>
              <w:jc w:val="center"/>
              <w:rPr>
                <w:rFonts w:ascii="Times New Roman" w:eastAsia="仿宋"/>
                <w:szCs w:val="21"/>
              </w:rPr>
            </w:pPr>
          </w:p>
        </w:tc>
        <w:tc>
          <w:tcPr>
            <w:tcW w:w="623" w:type="pct"/>
            <w:vAlign w:val="center"/>
          </w:tcPr>
          <w:p w14:paraId="2752F45F">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0014A5B3">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326E35E0">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05A14D63">
            <w:pPr>
              <w:spacing w:line="240" w:lineRule="atLeast"/>
              <w:jc w:val="center"/>
              <w:rPr>
                <w:rFonts w:ascii="Times New Roman" w:eastAsia="仿宋"/>
                <w:bCs/>
                <w:szCs w:val="21"/>
              </w:rPr>
            </w:pPr>
          </w:p>
        </w:tc>
        <w:tc>
          <w:tcPr>
            <w:tcW w:w="407" w:type="pct"/>
            <w:vAlign w:val="center"/>
          </w:tcPr>
          <w:p w14:paraId="5FEB9E04">
            <w:pPr>
              <w:jc w:val="center"/>
              <w:rPr>
                <w:rFonts w:ascii="Times New Roman" w:eastAsia="仿宋"/>
                <w:szCs w:val="21"/>
              </w:rPr>
            </w:pPr>
            <w:r>
              <w:rPr>
                <w:rFonts w:hint="eastAsia" w:ascii="Times New Roman" w:eastAsia="仿宋"/>
                <w:szCs w:val="21"/>
              </w:rPr>
              <w:t>6</w:t>
            </w:r>
          </w:p>
        </w:tc>
        <w:tc>
          <w:tcPr>
            <w:tcW w:w="392" w:type="pct"/>
            <w:vAlign w:val="center"/>
          </w:tcPr>
          <w:p w14:paraId="790272A3">
            <w:pPr>
              <w:widowControl/>
              <w:jc w:val="center"/>
              <w:rPr>
                <w:rFonts w:ascii="Times New Roman" w:eastAsia="仿宋"/>
                <w:szCs w:val="21"/>
              </w:rPr>
            </w:pPr>
            <w:r>
              <w:rPr>
                <w:rFonts w:ascii="Times New Roman" w:eastAsia="仿宋"/>
                <w:szCs w:val="21"/>
              </w:rPr>
              <w:t>1</w:t>
            </w:r>
            <w:r>
              <w:rPr>
                <w:rFonts w:hint="eastAsia" w:ascii="Times New Roman" w:eastAsia="仿宋"/>
                <w:szCs w:val="21"/>
              </w:rPr>
              <w:t>28</w:t>
            </w:r>
            <w:r>
              <w:rPr>
                <w:rFonts w:ascii="Times New Roman" w:eastAsia="仿宋"/>
                <w:szCs w:val="21"/>
              </w:rPr>
              <w:t>.82</w:t>
            </w:r>
          </w:p>
        </w:tc>
        <w:tc>
          <w:tcPr>
            <w:tcW w:w="348" w:type="pct"/>
            <w:vAlign w:val="center"/>
          </w:tcPr>
          <w:p w14:paraId="2273A1EB">
            <w:pPr>
              <w:widowControl/>
              <w:jc w:val="center"/>
              <w:rPr>
                <w:rFonts w:ascii="Times New Roman" w:eastAsia="仿宋"/>
                <w:szCs w:val="21"/>
              </w:rPr>
            </w:pPr>
            <w:r>
              <w:rPr>
                <w:rFonts w:hint="eastAsia" w:ascii="Times New Roman" w:eastAsia="仿宋"/>
                <w:szCs w:val="21"/>
              </w:rPr>
              <w:t>11</w:t>
            </w:r>
            <w:r>
              <w:rPr>
                <w:rFonts w:ascii="Times New Roman" w:eastAsia="仿宋"/>
                <w:szCs w:val="21"/>
              </w:rPr>
              <w:t>.13</w:t>
            </w:r>
          </w:p>
        </w:tc>
        <w:tc>
          <w:tcPr>
            <w:tcW w:w="287" w:type="pct"/>
          </w:tcPr>
          <w:p w14:paraId="1743B545">
            <w:pPr>
              <w:jc w:val="center"/>
              <w:rPr>
                <w:rFonts w:ascii="Times New Roman" w:eastAsia="仿宋"/>
                <w:szCs w:val="21"/>
              </w:rPr>
            </w:pPr>
            <w:r>
              <w:rPr>
                <w:rFonts w:ascii="Times New Roman" w:eastAsia="仿宋"/>
                <w:szCs w:val="21"/>
              </w:rPr>
              <w:t>0</w:t>
            </w:r>
          </w:p>
        </w:tc>
        <w:tc>
          <w:tcPr>
            <w:tcW w:w="413" w:type="pct"/>
          </w:tcPr>
          <w:p w14:paraId="4E42CE35">
            <w:pPr>
              <w:spacing w:line="240" w:lineRule="atLeast"/>
              <w:jc w:val="center"/>
              <w:rPr>
                <w:rFonts w:ascii="Times New Roman" w:eastAsia="仿宋"/>
                <w:bCs/>
                <w:szCs w:val="21"/>
              </w:rPr>
            </w:pPr>
            <w:r>
              <w:rPr>
                <w:rFonts w:ascii="Times New Roman" w:eastAsia="仿宋"/>
                <w:bCs/>
                <w:szCs w:val="21"/>
              </w:rPr>
              <w:t>35</w:t>
            </w:r>
          </w:p>
        </w:tc>
        <w:tc>
          <w:tcPr>
            <w:tcW w:w="503" w:type="pct"/>
          </w:tcPr>
          <w:p w14:paraId="05BFD45F">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CD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284D95FF">
            <w:pPr>
              <w:jc w:val="center"/>
              <w:rPr>
                <w:rFonts w:ascii="Times New Roman" w:eastAsia="仿宋"/>
                <w:szCs w:val="21"/>
              </w:rPr>
            </w:pPr>
            <w:r>
              <w:rPr>
                <w:rFonts w:hint="eastAsia" w:ascii="Times New Roman" w:eastAsia="仿宋"/>
                <w:szCs w:val="21"/>
              </w:rPr>
              <w:t>1</w:t>
            </w:r>
            <w:r>
              <w:rPr>
                <w:rFonts w:ascii="Times New Roman" w:eastAsia="仿宋"/>
                <w:szCs w:val="21"/>
              </w:rPr>
              <w:t>2</w:t>
            </w:r>
          </w:p>
        </w:tc>
        <w:tc>
          <w:tcPr>
            <w:tcW w:w="438" w:type="pct"/>
            <w:vMerge w:val="continue"/>
            <w:vAlign w:val="center"/>
          </w:tcPr>
          <w:p w14:paraId="7039D5ED">
            <w:pPr>
              <w:jc w:val="center"/>
              <w:rPr>
                <w:rFonts w:ascii="Times New Roman" w:eastAsia="仿宋"/>
                <w:szCs w:val="21"/>
              </w:rPr>
            </w:pPr>
          </w:p>
        </w:tc>
        <w:tc>
          <w:tcPr>
            <w:tcW w:w="623" w:type="pct"/>
            <w:vAlign w:val="center"/>
          </w:tcPr>
          <w:p w14:paraId="674DFC25">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4D66E2AA">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5D5C33E6">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375" w:type="pct"/>
            <w:vMerge w:val="continue"/>
            <w:vAlign w:val="center"/>
          </w:tcPr>
          <w:p w14:paraId="133E53C8">
            <w:pPr>
              <w:spacing w:line="240" w:lineRule="atLeast"/>
              <w:jc w:val="center"/>
              <w:rPr>
                <w:rFonts w:ascii="Times New Roman" w:eastAsia="仿宋"/>
                <w:bCs/>
                <w:szCs w:val="21"/>
              </w:rPr>
            </w:pPr>
          </w:p>
        </w:tc>
        <w:tc>
          <w:tcPr>
            <w:tcW w:w="407" w:type="pct"/>
            <w:vAlign w:val="center"/>
          </w:tcPr>
          <w:p w14:paraId="44660876">
            <w:pPr>
              <w:jc w:val="center"/>
              <w:rPr>
                <w:rFonts w:ascii="Times New Roman" w:eastAsia="仿宋"/>
                <w:szCs w:val="21"/>
              </w:rPr>
            </w:pPr>
            <w:r>
              <w:rPr>
                <w:rFonts w:hint="eastAsia" w:ascii="Times New Roman" w:eastAsia="仿宋"/>
                <w:szCs w:val="21"/>
              </w:rPr>
              <w:t>4</w:t>
            </w:r>
          </w:p>
        </w:tc>
        <w:tc>
          <w:tcPr>
            <w:tcW w:w="392" w:type="pct"/>
            <w:vAlign w:val="center"/>
          </w:tcPr>
          <w:p w14:paraId="743DBCB3">
            <w:pPr>
              <w:widowControl/>
              <w:jc w:val="center"/>
              <w:rPr>
                <w:rFonts w:ascii="Times New Roman" w:eastAsia="仿宋"/>
                <w:szCs w:val="21"/>
              </w:rPr>
            </w:pPr>
            <w:r>
              <w:rPr>
                <w:rFonts w:hint="eastAsia" w:ascii="Times New Roman" w:eastAsia="仿宋"/>
                <w:szCs w:val="21"/>
              </w:rPr>
              <w:t>11</w:t>
            </w:r>
            <w:r>
              <w:rPr>
                <w:rFonts w:ascii="Times New Roman" w:eastAsia="仿宋"/>
                <w:szCs w:val="21"/>
              </w:rPr>
              <w:t>6.39</w:t>
            </w:r>
          </w:p>
        </w:tc>
        <w:tc>
          <w:tcPr>
            <w:tcW w:w="348" w:type="pct"/>
            <w:vAlign w:val="center"/>
          </w:tcPr>
          <w:p w14:paraId="40B642F3">
            <w:pPr>
              <w:widowControl/>
              <w:jc w:val="center"/>
              <w:rPr>
                <w:rFonts w:ascii="Times New Roman" w:eastAsia="仿宋"/>
                <w:szCs w:val="21"/>
              </w:rPr>
            </w:pPr>
            <w:r>
              <w:rPr>
                <w:rFonts w:hint="eastAsia" w:ascii="Times New Roman" w:eastAsia="仿宋"/>
                <w:szCs w:val="21"/>
              </w:rPr>
              <w:t>1</w:t>
            </w:r>
            <w:r>
              <w:rPr>
                <w:rFonts w:ascii="Times New Roman" w:eastAsia="仿宋"/>
                <w:szCs w:val="21"/>
              </w:rPr>
              <w:t>0.51</w:t>
            </w:r>
          </w:p>
        </w:tc>
        <w:tc>
          <w:tcPr>
            <w:tcW w:w="287" w:type="pct"/>
          </w:tcPr>
          <w:p w14:paraId="1930154C">
            <w:pPr>
              <w:jc w:val="center"/>
              <w:rPr>
                <w:rFonts w:ascii="Times New Roman" w:eastAsia="仿宋"/>
                <w:szCs w:val="21"/>
              </w:rPr>
            </w:pPr>
            <w:r>
              <w:rPr>
                <w:rFonts w:ascii="Times New Roman" w:eastAsia="仿宋"/>
                <w:szCs w:val="21"/>
              </w:rPr>
              <w:t>0</w:t>
            </w:r>
          </w:p>
        </w:tc>
        <w:tc>
          <w:tcPr>
            <w:tcW w:w="413" w:type="pct"/>
          </w:tcPr>
          <w:p w14:paraId="3820906E">
            <w:pPr>
              <w:spacing w:line="240" w:lineRule="atLeast"/>
              <w:jc w:val="center"/>
              <w:rPr>
                <w:rFonts w:ascii="Times New Roman" w:eastAsia="仿宋"/>
                <w:bCs/>
                <w:szCs w:val="21"/>
              </w:rPr>
            </w:pPr>
            <w:r>
              <w:rPr>
                <w:rFonts w:ascii="Times New Roman" w:eastAsia="仿宋"/>
                <w:bCs/>
                <w:szCs w:val="21"/>
              </w:rPr>
              <w:t>35</w:t>
            </w:r>
          </w:p>
        </w:tc>
        <w:tc>
          <w:tcPr>
            <w:tcW w:w="503" w:type="pct"/>
          </w:tcPr>
          <w:p w14:paraId="06206090">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CB8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AEEA864">
            <w:pPr>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438" w:type="pct"/>
            <w:vMerge w:val="continue"/>
            <w:vAlign w:val="center"/>
          </w:tcPr>
          <w:p w14:paraId="5866A499">
            <w:pPr>
              <w:jc w:val="center"/>
              <w:rPr>
                <w:rFonts w:ascii="Times New Roman" w:eastAsia="仿宋"/>
                <w:szCs w:val="21"/>
              </w:rPr>
            </w:pPr>
          </w:p>
        </w:tc>
        <w:tc>
          <w:tcPr>
            <w:tcW w:w="623" w:type="pct"/>
            <w:vAlign w:val="center"/>
          </w:tcPr>
          <w:p w14:paraId="2F145B80">
            <w:pPr>
              <w:widowControl/>
              <w:jc w:val="center"/>
              <w:rPr>
                <w:rFonts w:ascii="Times New Roman" w:eastAsia="仿宋"/>
                <w:szCs w:val="21"/>
              </w:rPr>
            </w:pPr>
            <w:r>
              <w:rPr>
                <w:rFonts w:hint="eastAsia" w:ascii="Times New Roman" w:eastAsia="仿宋"/>
                <w:szCs w:val="21"/>
              </w:rPr>
              <w:t>手动磨光机</w:t>
            </w:r>
          </w:p>
        </w:tc>
        <w:tc>
          <w:tcPr>
            <w:tcW w:w="444" w:type="pct"/>
            <w:vAlign w:val="center"/>
          </w:tcPr>
          <w:p w14:paraId="55BDE091">
            <w:pPr>
              <w:jc w:val="center"/>
              <w:rPr>
                <w:rFonts w:ascii="Times New Roman" w:eastAsia="仿宋"/>
                <w:szCs w:val="21"/>
              </w:rPr>
            </w:pPr>
            <w:r>
              <w:rPr>
                <w:rFonts w:ascii="Times New Roman" w:eastAsia="仿宋"/>
                <w:szCs w:val="21"/>
              </w:rPr>
              <w:t>60</w:t>
            </w:r>
          </w:p>
        </w:tc>
        <w:tc>
          <w:tcPr>
            <w:tcW w:w="578" w:type="pct"/>
            <w:vAlign w:val="center"/>
          </w:tcPr>
          <w:p w14:paraId="4F276D58">
            <w:pPr>
              <w:widowControl/>
              <w:jc w:val="center"/>
              <w:rPr>
                <w:rFonts w:ascii="Times New Roman" w:eastAsia="仿宋"/>
                <w:szCs w:val="21"/>
              </w:rPr>
            </w:pPr>
            <w:r>
              <w:rPr>
                <w:rFonts w:hint="eastAsia" w:ascii="Times New Roman" w:eastAsia="仿宋"/>
                <w:szCs w:val="21"/>
              </w:rPr>
              <w:t>7</w:t>
            </w:r>
            <w:r>
              <w:rPr>
                <w:rFonts w:ascii="Times New Roman" w:eastAsia="仿宋"/>
                <w:szCs w:val="21"/>
              </w:rPr>
              <w:t>2</w:t>
            </w:r>
          </w:p>
        </w:tc>
        <w:tc>
          <w:tcPr>
            <w:tcW w:w="375" w:type="pct"/>
            <w:vMerge w:val="continue"/>
            <w:vAlign w:val="center"/>
          </w:tcPr>
          <w:p w14:paraId="013E9E31">
            <w:pPr>
              <w:spacing w:line="240" w:lineRule="atLeast"/>
              <w:jc w:val="center"/>
              <w:rPr>
                <w:rFonts w:ascii="Times New Roman" w:eastAsia="仿宋"/>
                <w:bCs/>
                <w:szCs w:val="21"/>
              </w:rPr>
            </w:pPr>
          </w:p>
        </w:tc>
        <w:tc>
          <w:tcPr>
            <w:tcW w:w="407" w:type="pct"/>
            <w:vAlign w:val="center"/>
          </w:tcPr>
          <w:p w14:paraId="2C4301CD">
            <w:pPr>
              <w:jc w:val="center"/>
              <w:rPr>
                <w:rFonts w:ascii="Times New Roman" w:eastAsia="仿宋"/>
                <w:szCs w:val="21"/>
              </w:rPr>
            </w:pPr>
            <w:r>
              <w:rPr>
                <w:rFonts w:ascii="Times New Roman" w:eastAsia="仿宋"/>
                <w:szCs w:val="21"/>
              </w:rPr>
              <w:t>16</w:t>
            </w:r>
          </w:p>
        </w:tc>
        <w:tc>
          <w:tcPr>
            <w:tcW w:w="392" w:type="pct"/>
            <w:vAlign w:val="center"/>
          </w:tcPr>
          <w:p w14:paraId="3C5F9F88">
            <w:pPr>
              <w:widowControl/>
              <w:jc w:val="center"/>
              <w:rPr>
                <w:rFonts w:ascii="Times New Roman" w:eastAsia="仿宋"/>
                <w:szCs w:val="21"/>
              </w:rPr>
            </w:pPr>
            <w:r>
              <w:rPr>
                <w:rFonts w:hint="eastAsia" w:ascii="Times New Roman" w:eastAsia="仿宋"/>
                <w:szCs w:val="21"/>
              </w:rPr>
              <w:t>1</w:t>
            </w:r>
            <w:r>
              <w:rPr>
                <w:rFonts w:ascii="Times New Roman" w:eastAsia="仿宋"/>
                <w:szCs w:val="21"/>
              </w:rPr>
              <w:t>29.45</w:t>
            </w:r>
          </w:p>
        </w:tc>
        <w:tc>
          <w:tcPr>
            <w:tcW w:w="348" w:type="pct"/>
            <w:vAlign w:val="center"/>
          </w:tcPr>
          <w:p w14:paraId="432F3EF8">
            <w:pPr>
              <w:widowControl/>
              <w:jc w:val="center"/>
              <w:rPr>
                <w:rFonts w:ascii="Times New Roman" w:eastAsia="仿宋"/>
                <w:szCs w:val="21"/>
              </w:rPr>
            </w:pPr>
            <w:r>
              <w:rPr>
                <w:rFonts w:hint="eastAsia" w:ascii="Times New Roman" w:eastAsia="仿宋"/>
                <w:szCs w:val="21"/>
              </w:rPr>
              <w:t>13</w:t>
            </w:r>
            <w:r>
              <w:rPr>
                <w:rFonts w:ascii="Times New Roman" w:eastAsia="仿宋"/>
                <w:szCs w:val="21"/>
              </w:rPr>
              <w:t>.62</w:t>
            </w:r>
          </w:p>
        </w:tc>
        <w:tc>
          <w:tcPr>
            <w:tcW w:w="287" w:type="pct"/>
          </w:tcPr>
          <w:p w14:paraId="5B7530EE">
            <w:pPr>
              <w:jc w:val="center"/>
              <w:rPr>
                <w:rFonts w:ascii="Times New Roman" w:eastAsia="仿宋"/>
                <w:szCs w:val="21"/>
              </w:rPr>
            </w:pPr>
            <w:r>
              <w:rPr>
                <w:rFonts w:ascii="Times New Roman" w:eastAsia="仿宋"/>
                <w:szCs w:val="21"/>
              </w:rPr>
              <w:t>0</w:t>
            </w:r>
          </w:p>
        </w:tc>
        <w:tc>
          <w:tcPr>
            <w:tcW w:w="413" w:type="pct"/>
          </w:tcPr>
          <w:p w14:paraId="1E4D9932">
            <w:pPr>
              <w:spacing w:line="240" w:lineRule="atLeast"/>
              <w:jc w:val="center"/>
              <w:rPr>
                <w:rFonts w:ascii="Times New Roman" w:eastAsia="仿宋"/>
                <w:bCs/>
                <w:szCs w:val="21"/>
              </w:rPr>
            </w:pPr>
            <w:r>
              <w:rPr>
                <w:rFonts w:ascii="Times New Roman" w:eastAsia="仿宋"/>
                <w:bCs/>
                <w:szCs w:val="21"/>
              </w:rPr>
              <w:t>35</w:t>
            </w:r>
          </w:p>
        </w:tc>
        <w:tc>
          <w:tcPr>
            <w:tcW w:w="503" w:type="pct"/>
          </w:tcPr>
          <w:p w14:paraId="2AB0284A">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A35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14A5956">
            <w:pPr>
              <w:jc w:val="center"/>
              <w:rPr>
                <w:rFonts w:ascii="Times New Roman" w:eastAsia="仿宋"/>
                <w:szCs w:val="21"/>
              </w:rPr>
            </w:pPr>
            <w:r>
              <w:rPr>
                <w:rFonts w:hint="eastAsia" w:ascii="Times New Roman" w:eastAsia="仿宋"/>
                <w:szCs w:val="21"/>
              </w:rPr>
              <w:t>1</w:t>
            </w:r>
            <w:r>
              <w:rPr>
                <w:rFonts w:ascii="Times New Roman" w:eastAsia="仿宋"/>
                <w:szCs w:val="21"/>
              </w:rPr>
              <w:t>6</w:t>
            </w:r>
          </w:p>
        </w:tc>
        <w:tc>
          <w:tcPr>
            <w:tcW w:w="438" w:type="pct"/>
            <w:vMerge w:val="restart"/>
            <w:vAlign w:val="center"/>
          </w:tcPr>
          <w:p w14:paraId="5D3BF3FD">
            <w:pPr>
              <w:jc w:val="center"/>
              <w:rPr>
                <w:rFonts w:ascii="Times New Roman" w:eastAsia="仿宋"/>
                <w:szCs w:val="21"/>
              </w:rPr>
            </w:pPr>
            <w:r>
              <w:rPr>
                <w:rFonts w:hint="eastAsia" w:ascii="Times New Roman" w:eastAsia="仿宋"/>
                <w:szCs w:val="21"/>
              </w:rPr>
              <w:t>3号喷涂车间</w:t>
            </w:r>
          </w:p>
        </w:tc>
        <w:tc>
          <w:tcPr>
            <w:tcW w:w="623" w:type="pct"/>
            <w:vAlign w:val="center"/>
          </w:tcPr>
          <w:p w14:paraId="30314CD6">
            <w:pPr>
              <w:widowControl/>
              <w:jc w:val="center"/>
              <w:rPr>
                <w:rFonts w:ascii="Times New Roman" w:eastAsia="仿宋"/>
                <w:szCs w:val="21"/>
              </w:rPr>
            </w:pPr>
            <w:r>
              <w:rPr>
                <w:rFonts w:hint="eastAsia" w:ascii="Times New Roman" w:eastAsia="仿宋"/>
                <w:szCs w:val="21"/>
              </w:rPr>
              <w:t>脱脂槽</w:t>
            </w:r>
          </w:p>
        </w:tc>
        <w:tc>
          <w:tcPr>
            <w:tcW w:w="444" w:type="pct"/>
            <w:vAlign w:val="center"/>
          </w:tcPr>
          <w:p w14:paraId="331A4DEE">
            <w:pPr>
              <w:jc w:val="center"/>
              <w:rPr>
                <w:rFonts w:ascii="Times New Roman" w:eastAsia="仿宋"/>
                <w:szCs w:val="21"/>
              </w:rPr>
            </w:pPr>
            <w:r>
              <w:rPr>
                <w:rFonts w:ascii="Times New Roman" w:eastAsia="仿宋"/>
                <w:szCs w:val="21"/>
              </w:rPr>
              <w:t>60</w:t>
            </w:r>
          </w:p>
        </w:tc>
        <w:tc>
          <w:tcPr>
            <w:tcW w:w="578" w:type="pct"/>
            <w:vAlign w:val="center"/>
          </w:tcPr>
          <w:p w14:paraId="4BCEA65A">
            <w:pPr>
              <w:widowControl/>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375" w:type="pct"/>
            <w:vMerge w:val="continue"/>
            <w:vAlign w:val="center"/>
          </w:tcPr>
          <w:p w14:paraId="7ED22C69">
            <w:pPr>
              <w:spacing w:line="240" w:lineRule="atLeast"/>
              <w:jc w:val="center"/>
              <w:rPr>
                <w:rFonts w:ascii="Times New Roman" w:eastAsia="仿宋"/>
                <w:bCs/>
                <w:szCs w:val="21"/>
              </w:rPr>
            </w:pPr>
          </w:p>
        </w:tc>
        <w:tc>
          <w:tcPr>
            <w:tcW w:w="407" w:type="pct"/>
            <w:vAlign w:val="center"/>
          </w:tcPr>
          <w:p w14:paraId="689D5BB8">
            <w:pPr>
              <w:jc w:val="center"/>
              <w:rPr>
                <w:rFonts w:ascii="Times New Roman" w:eastAsia="仿宋"/>
                <w:szCs w:val="21"/>
              </w:rPr>
            </w:pPr>
            <w:r>
              <w:rPr>
                <w:rFonts w:hint="eastAsia" w:ascii="Times New Roman" w:eastAsia="仿宋"/>
                <w:szCs w:val="21"/>
              </w:rPr>
              <w:t>1</w:t>
            </w:r>
          </w:p>
        </w:tc>
        <w:tc>
          <w:tcPr>
            <w:tcW w:w="392" w:type="pct"/>
            <w:vAlign w:val="center"/>
          </w:tcPr>
          <w:p w14:paraId="65523BF9">
            <w:pPr>
              <w:widowControl/>
              <w:jc w:val="center"/>
              <w:rPr>
                <w:rFonts w:ascii="Times New Roman" w:eastAsia="仿宋"/>
                <w:szCs w:val="21"/>
              </w:rPr>
            </w:pPr>
            <w:r>
              <w:rPr>
                <w:rFonts w:hint="eastAsia" w:ascii="Times New Roman" w:eastAsia="仿宋"/>
                <w:szCs w:val="21"/>
              </w:rPr>
              <w:t>7</w:t>
            </w:r>
            <w:r>
              <w:rPr>
                <w:rFonts w:ascii="Times New Roman" w:eastAsia="仿宋"/>
                <w:szCs w:val="21"/>
              </w:rPr>
              <w:t>0.33</w:t>
            </w:r>
          </w:p>
        </w:tc>
        <w:tc>
          <w:tcPr>
            <w:tcW w:w="348" w:type="pct"/>
            <w:vAlign w:val="center"/>
          </w:tcPr>
          <w:p w14:paraId="7D7AC7CD">
            <w:pPr>
              <w:widowControl/>
              <w:jc w:val="center"/>
              <w:rPr>
                <w:rFonts w:ascii="Times New Roman" w:eastAsia="仿宋"/>
                <w:szCs w:val="21"/>
              </w:rPr>
            </w:pPr>
            <w:r>
              <w:rPr>
                <w:rFonts w:hint="eastAsia" w:ascii="Times New Roman" w:eastAsia="仿宋"/>
                <w:szCs w:val="21"/>
              </w:rPr>
              <w:t>3</w:t>
            </w:r>
            <w:r>
              <w:rPr>
                <w:rFonts w:ascii="Times New Roman" w:eastAsia="仿宋"/>
                <w:szCs w:val="21"/>
              </w:rPr>
              <w:t>0.91</w:t>
            </w:r>
          </w:p>
        </w:tc>
        <w:tc>
          <w:tcPr>
            <w:tcW w:w="287" w:type="pct"/>
          </w:tcPr>
          <w:p w14:paraId="7574D0EF">
            <w:pPr>
              <w:jc w:val="center"/>
              <w:rPr>
                <w:rFonts w:ascii="Times New Roman" w:eastAsia="仿宋"/>
                <w:szCs w:val="21"/>
              </w:rPr>
            </w:pPr>
            <w:r>
              <w:rPr>
                <w:rFonts w:ascii="Times New Roman" w:eastAsia="仿宋"/>
                <w:szCs w:val="21"/>
              </w:rPr>
              <w:t>0</w:t>
            </w:r>
          </w:p>
        </w:tc>
        <w:tc>
          <w:tcPr>
            <w:tcW w:w="413" w:type="pct"/>
          </w:tcPr>
          <w:p w14:paraId="0943067B">
            <w:pPr>
              <w:spacing w:line="240" w:lineRule="atLeast"/>
              <w:jc w:val="center"/>
              <w:rPr>
                <w:rFonts w:ascii="Times New Roman" w:eastAsia="仿宋"/>
                <w:bCs/>
                <w:szCs w:val="21"/>
              </w:rPr>
            </w:pPr>
            <w:r>
              <w:rPr>
                <w:rFonts w:ascii="Times New Roman" w:eastAsia="仿宋"/>
                <w:bCs/>
                <w:szCs w:val="21"/>
              </w:rPr>
              <w:t>35</w:t>
            </w:r>
          </w:p>
        </w:tc>
        <w:tc>
          <w:tcPr>
            <w:tcW w:w="503" w:type="pct"/>
          </w:tcPr>
          <w:p w14:paraId="4B32B5E8">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55E7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2E31EF96">
            <w:pPr>
              <w:jc w:val="center"/>
              <w:rPr>
                <w:rFonts w:ascii="Times New Roman" w:eastAsia="仿宋"/>
                <w:szCs w:val="21"/>
              </w:rPr>
            </w:pPr>
            <w:r>
              <w:rPr>
                <w:rFonts w:hint="eastAsia" w:ascii="Times New Roman" w:eastAsia="仿宋"/>
                <w:szCs w:val="21"/>
              </w:rPr>
              <w:t>1</w:t>
            </w:r>
            <w:r>
              <w:rPr>
                <w:rFonts w:ascii="Times New Roman" w:eastAsia="仿宋"/>
                <w:szCs w:val="21"/>
              </w:rPr>
              <w:t>7</w:t>
            </w:r>
          </w:p>
        </w:tc>
        <w:tc>
          <w:tcPr>
            <w:tcW w:w="438" w:type="pct"/>
            <w:vMerge w:val="continue"/>
            <w:vAlign w:val="center"/>
          </w:tcPr>
          <w:p w14:paraId="6E928BCB">
            <w:pPr>
              <w:jc w:val="center"/>
              <w:rPr>
                <w:rFonts w:ascii="Times New Roman" w:eastAsia="仿宋"/>
                <w:szCs w:val="21"/>
              </w:rPr>
            </w:pPr>
          </w:p>
        </w:tc>
        <w:tc>
          <w:tcPr>
            <w:tcW w:w="623" w:type="pct"/>
            <w:vAlign w:val="center"/>
          </w:tcPr>
          <w:p w14:paraId="328F726B">
            <w:pPr>
              <w:widowControl/>
              <w:jc w:val="center"/>
              <w:rPr>
                <w:rFonts w:ascii="Times New Roman" w:eastAsia="仿宋"/>
                <w:szCs w:val="21"/>
              </w:rPr>
            </w:pPr>
            <w:r>
              <w:rPr>
                <w:rFonts w:hint="eastAsia" w:ascii="Times New Roman" w:eastAsia="仿宋"/>
                <w:szCs w:val="21"/>
              </w:rPr>
              <w:t>水洗槽</w:t>
            </w:r>
          </w:p>
        </w:tc>
        <w:tc>
          <w:tcPr>
            <w:tcW w:w="444" w:type="pct"/>
            <w:vAlign w:val="center"/>
          </w:tcPr>
          <w:p w14:paraId="038A0DA7">
            <w:pPr>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578" w:type="pct"/>
            <w:vAlign w:val="center"/>
          </w:tcPr>
          <w:p w14:paraId="4D1AAE42">
            <w:pPr>
              <w:widowControl/>
              <w:jc w:val="center"/>
              <w:rPr>
                <w:rFonts w:ascii="Times New Roman" w:eastAsia="仿宋"/>
                <w:szCs w:val="21"/>
              </w:rPr>
            </w:pPr>
            <w:r>
              <w:rPr>
                <w:rFonts w:hint="eastAsia" w:ascii="Times New Roman" w:eastAsia="仿宋"/>
                <w:szCs w:val="21"/>
              </w:rPr>
              <w:t>6</w:t>
            </w:r>
            <w:r>
              <w:rPr>
                <w:rFonts w:ascii="Times New Roman" w:eastAsia="仿宋"/>
                <w:szCs w:val="21"/>
              </w:rPr>
              <w:t>4</w:t>
            </w:r>
          </w:p>
        </w:tc>
        <w:tc>
          <w:tcPr>
            <w:tcW w:w="375" w:type="pct"/>
            <w:vMerge w:val="continue"/>
            <w:vAlign w:val="center"/>
          </w:tcPr>
          <w:p w14:paraId="06FDA5DB">
            <w:pPr>
              <w:spacing w:line="240" w:lineRule="atLeast"/>
              <w:jc w:val="center"/>
              <w:rPr>
                <w:rFonts w:ascii="Times New Roman" w:eastAsia="仿宋"/>
                <w:bCs/>
                <w:szCs w:val="21"/>
              </w:rPr>
            </w:pPr>
          </w:p>
        </w:tc>
        <w:tc>
          <w:tcPr>
            <w:tcW w:w="407" w:type="pct"/>
            <w:vAlign w:val="center"/>
          </w:tcPr>
          <w:p w14:paraId="659F44A0">
            <w:pPr>
              <w:jc w:val="center"/>
              <w:rPr>
                <w:rFonts w:ascii="Times New Roman" w:eastAsia="仿宋"/>
                <w:szCs w:val="21"/>
              </w:rPr>
            </w:pPr>
            <w:r>
              <w:rPr>
                <w:rFonts w:hint="eastAsia" w:ascii="Times New Roman" w:eastAsia="仿宋"/>
                <w:szCs w:val="21"/>
              </w:rPr>
              <w:t>3</w:t>
            </w:r>
          </w:p>
        </w:tc>
        <w:tc>
          <w:tcPr>
            <w:tcW w:w="392" w:type="pct"/>
            <w:vAlign w:val="center"/>
          </w:tcPr>
          <w:p w14:paraId="6EBE34B8">
            <w:pPr>
              <w:widowControl/>
              <w:jc w:val="center"/>
              <w:rPr>
                <w:rFonts w:ascii="Times New Roman" w:eastAsia="仿宋"/>
                <w:szCs w:val="21"/>
              </w:rPr>
            </w:pPr>
            <w:r>
              <w:rPr>
                <w:rFonts w:hint="eastAsia" w:ascii="Times New Roman" w:eastAsia="仿宋"/>
                <w:szCs w:val="21"/>
              </w:rPr>
              <w:t>7</w:t>
            </w:r>
            <w:r>
              <w:rPr>
                <w:rFonts w:ascii="Times New Roman" w:eastAsia="仿宋"/>
                <w:szCs w:val="21"/>
              </w:rPr>
              <w:t>6.9</w:t>
            </w:r>
          </w:p>
        </w:tc>
        <w:tc>
          <w:tcPr>
            <w:tcW w:w="348" w:type="pct"/>
            <w:vAlign w:val="center"/>
          </w:tcPr>
          <w:p w14:paraId="595E09F0">
            <w:pPr>
              <w:widowControl/>
              <w:jc w:val="center"/>
              <w:rPr>
                <w:rFonts w:ascii="Times New Roman" w:eastAsia="仿宋"/>
                <w:szCs w:val="21"/>
              </w:rPr>
            </w:pPr>
            <w:r>
              <w:rPr>
                <w:rFonts w:hint="eastAsia" w:ascii="Times New Roman" w:eastAsia="仿宋"/>
                <w:szCs w:val="21"/>
              </w:rPr>
              <w:t>1</w:t>
            </w:r>
            <w:r>
              <w:rPr>
                <w:rFonts w:ascii="Times New Roman" w:eastAsia="仿宋"/>
                <w:szCs w:val="21"/>
              </w:rPr>
              <w:t>4.33</w:t>
            </w:r>
          </w:p>
        </w:tc>
        <w:tc>
          <w:tcPr>
            <w:tcW w:w="287" w:type="pct"/>
          </w:tcPr>
          <w:p w14:paraId="27BE12A5">
            <w:pPr>
              <w:jc w:val="center"/>
              <w:rPr>
                <w:rFonts w:ascii="Times New Roman" w:eastAsia="仿宋"/>
                <w:szCs w:val="21"/>
              </w:rPr>
            </w:pPr>
            <w:r>
              <w:rPr>
                <w:rFonts w:ascii="Times New Roman" w:eastAsia="仿宋"/>
                <w:szCs w:val="21"/>
              </w:rPr>
              <w:t>0</w:t>
            </w:r>
          </w:p>
        </w:tc>
        <w:tc>
          <w:tcPr>
            <w:tcW w:w="413" w:type="pct"/>
          </w:tcPr>
          <w:p w14:paraId="70F92F01">
            <w:pPr>
              <w:spacing w:line="240" w:lineRule="atLeast"/>
              <w:jc w:val="center"/>
              <w:rPr>
                <w:rFonts w:ascii="Times New Roman" w:eastAsia="仿宋"/>
                <w:bCs/>
                <w:szCs w:val="21"/>
              </w:rPr>
            </w:pPr>
            <w:r>
              <w:rPr>
                <w:rFonts w:ascii="Times New Roman" w:eastAsia="仿宋"/>
                <w:bCs/>
                <w:szCs w:val="21"/>
              </w:rPr>
              <w:t>35</w:t>
            </w:r>
          </w:p>
        </w:tc>
        <w:tc>
          <w:tcPr>
            <w:tcW w:w="503" w:type="pct"/>
          </w:tcPr>
          <w:p w14:paraId="2746E755">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99C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223C66EE">
            <w:pPr>
              <w:jc w:val="center"/>
              <w:rPr>
                <w:rFonts w:ascii="Times New Roman" w:eastAsia="仿宋"/>
                <w:szCs w:val="21"/>
              </w:rPr>
            </w:pPr>
            <w:r>
              <w:rPr>
                <w:rFonts w:hint="eastAsia" w:ascii="Times New Roman" w:eastAsia="仿宋"/>
                <w:szCs w:val="21"/>
              </w:rPr>
              <w:t>1</w:t>
            </w:r>
            <w:r>
              <w:rPr>
                <w:rFonts w:ascii="Times New Roman" w:eastAsia="仿宋"/>
                <w:szCs w:val="21"/>
              </w:rPr>
              <w:t>8</w:t>
            </w:r>
          </w:p>
        </w:tc>
        <w:tc>
          <w:tcPr>
            <w:tcW w:w="438" w:type="pct"/>
            <w:vMerge w:val="continue"/>
            <w:vAlign w:val="center"/>
          </w:tcPr>
          <w:p w14:paraId="24F765A8">
            <w:pPr>
              <w:jc w:val="center"/>
              <w:rPr>
                <w:rFonts w:ascii="Times New Roman" w:eastAsia="仿宋"/>
                <w:szCs w:val="21"/>
              </w:rPr>
            </w:pPr>
          </w:p>
        </w:tc>
        <w:tc>
          <w:tcPr>
            <w:tcW w:w="623" w:type="pct"/>
            <w:vAlign w:val="center"/>
          </w:tcPr>
          <w:p w14:paraId="02AF8DEB">
            <w:pPr>
              <w:widowControl/>
              <w:jc w:val="center"/>
              <w:rPr>
                <w:rFonts w:ascii="Times New Roman" w:eastAsia="仿宋"/>
                <w:szCs w:val="21"/>
              </w:rPr>
            </w:pPr>
            <w:r>
              <w:rPr>
                <w:rFonts w:hint="eastAsia" w:ascii="Times New Roman" w:eastAsia="仿宋"/>
                <w:szCs w:val="21"/>
              </w:rPr>
              <w:t>钝化槽</w:t>
            </w:r>
          </w:p>
        </w:tc>
        <w:tc>
          <w:tcPr>
            <w:tcW w:w="444" w:type="pct"/>
            <w:vAlign w:val="center"/>
          </w:tcPr>
          <w:p w14:paraId="34277FA0">
            <w:pPr>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578" w:type="pct"/>
            <w:vAlign w:val="center"/>
          </w:tcPr>
          <w:p w14:paraId="3F9AF646">
            <w:pPr>
              <w:widowControl/>
              <w:jc w:val="center"/>
              <w:rPr>
                <w:rFonts w:ascii="Times New Roman" w:eastAsia="仿宋"/>
                <w:szCs w:val="21"/>
              </w:rPr>
            </w:pPr>
            <w:r>
              <w:rPr>
                <w:rFonts w:hint="eastAsia" w:ascii="Times New Roman" w:eastAsia="仿宋"/>
                <w:szCs w:val="21"/>
              </w:rPr>
              <w:t>60</w:t>
            </w:r>
          </w:p>
        </w:tc>
        <w:tc>
          <w:tcPr>
            <w:tcW w:w="375" w:type="pct"/>
            <w:vMerge w:val="continue"/>
            <w:vAlign w:val="center"/>
          </w:tcPr>
          <w:p w14:paraId="30DA3A79">
            <w:pPr>
              <w:spacing w:line="240" w:lineRule="atLeast"/>
              <w:jc w:val="center"/>
              <w:rPr>
                <w:rFonts w:ascii="Times New Roman" w:eastAsia="仿宋"/>
                <w:bCs/>
                <w:szCs w:val="21"/>
              </w:rPr>
            </w:pPr>
          </w:p>
        </w:tc>
        <w:tc>
          <w:tcPr>
            <w:tcW w:w="407" w:type="pct"/>
            <w:vAlign w:val="center"/>
          </w:tcPr>
          <w:p w14:paraId="3476C422">
            <w:pPr>
              <w:jc w:val="center"/>
              <w:rPr>
                <w:rFonts w:ascii="Times New Roman" w:eastAsia="仿宋"/>
                <w:szCs w:val="21"/>
              </w:rPr>
            </w:pPr>
            <w:r>
              <w:rPr>
                <w:rFonts w:hint="eastAsia" w:ascii="Times New Roman" w:eastAsia="仿宋"/>
                <w:szCs w:val="21"/>
              </w:rPr>
              <w:t>1</w:t>
            </w:r>
          </w:p>
        </w:tc>
        <w:tc>
          <w:tcPr>
            <w:tcW w:w="392" w:type="pct"/>
            <w:vAlign w:val="center"/>
          </w:tcPr>
          <w:p w14:paraId="7D345F53">
            <w:pPr>
              <w:widowControl/>
              <w:jc w:val="center"/>
              <w:rPr>
                <w:rFonts w:ascii="Times New Roman" w:eastAsia="仿宋"/>
                <w:szCs w:val="21"/>
              </w:rPr>
            </w:pPr>
            <w:r>
              <w:rPr>
                <w:rFonts w:hint="eastAsia" w:ascii="Times New Roman" w:eastAsia="仿宋"/>
                <w:szCs w:val="21"/>
              </w:rPr>
              <w:t>6</w:t>
            </w:r>
            <w:r>
              <w:rPr>
                <w:rFonts w:ascii="Times New Roman" w:eastAsia="仿宋"/>
                <w:szCs w:val="21"/>
              </w:rPr>
              <w:t>2.2</w:t>
            </w:r>
          </w:p>
        </w:tc>
        <w:tc>
          <w:tcPr>
            <w:tcW w:w="348" w:type="pct"/>
            <w:vAlign w:val="center"/>
          </w:tcPr>
          <w:p w14:paraId="0BADE77C">
            <w:pPr>
              <w:widowControl/>
              <w:jc w:val="center"/>
              <w:rPr>
                <w:rFonts w:ascii="Times New Roman" w:eastAsia="仿宋"/>
                <w:szCs w:val="21"/>
              </w:rPr>
            </w:pPr>
            <w:r>
              <w:rPr>
                <w:rFonts w:hint="eastAsia" w:ascii="Times New Roman" w:eastAsia="仿宋"/>
                <w:szCs w:val="21"/>
              </w:rPr>
              <w:t>20.</w:t>
            </w:r>
            <w:r>
              <w:rPr>
                <w:rFonts w:ascii="Times New Roman" w:eastAsia="仿宋"/>
                <w:szCs w:val="21"/>
              </w:rPr>
              <w:t>59</w:t>
            </w:r>
          </w:p>
        </w:tc>
        <w:tc>
          <w:tcPr>
            <w:tcW w:w="287" w:type="pct"/>
          </w:tcPr>
          <w:p w14:paraId="68312405">
            <w:pPr>
              <w:jc w:val="center"/>
              <w:rPr>
                <w:rFonts w:ascii="Times New Roman" w:eastAsia="仿宋"/>
                <w:szCs w:val="21"/>
              </w:rPr>
            </w:pPr>
            <w:r>
              <w:rPr>
                <w:rFonts w:ascii="Times New Roman" w:eastAsia="仿宋"/>
                <w:szCs w:val="21"/>
              </w:rPr>
              <w:t>0</w:t>
            </w:r>
          </w:p>
        </w:tc>
        <w:tc>
          <w:tcPr>
            <w:tcW w:w="413" w:type="pct"/>
          </w:tcPr>
          <w:p w14:paraId="3BA23676">
            <w:pPr>
              <w:spacing w:line="240" w:lineRule="atLeast"/>
              <w:jc w:val="center"/>
              <w:rPr>
                <w:rFonts w:ascii="Times New Roman" w:eastAsia="仿宋"/>
                <w:bCs/>
                <w:szCs w:val="21"/>
              </w:rPr>
            </w:pPr>
            <w:r>
              <w:rPr>
                <w:rFonts w:ascii="Times New Roman" w:eastAsia="仿宋"/>
                <w:bCs/>
                <w:szCs w:val="21"/>
              </w:rPr>
              <w:t>35</w:t>
            </w:r>
          </w:p>
        </w:tc>
        <w:tc>
          <w:tcPr>
            <w:tcW w:w="503" w:type="pct"/>
          </w:tcPr>
          <w:p w14:paraId="17D3B128">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BB3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0542A74">
            <w:pPr>
              <w:jc w:val="center"/>
              <w:rPr>
                <w:rFonts w:ascii="Times New Roman" w:eastAsia="仿宋"/>
                <w:szCs w:val="21"/>
              </w:rPr>
            </w:pPr>
            <w:r>
              <w:rPr>
                <w:rFonts w:hint="eastAsia" w:ascii="Times New Roman" w:eastAsia="仿宋"/>
                <w:szCs w:val="21"/>
              </w:rPr>
              <w:t>1</w:t>
            </w:r>
            <w:r>
              <w:rPr>
                <w:rFonts w:ascii="Times New Roman" w:eastAsia="仿宋"/>
                <w:szCs w:val="21"/>
              </w:rPr>
              <w:t>9</w:t>
            </w:r>
          </w:p>
        </w:tc>
        <w:tc>
          <w:tcPr>
            <w:tcW w:w="438" w:type="pct"/>
            <w:vMerge w:val="continue"/>
            <w:vAlign w:val="center"/>
          </w:tcPr>
          <w:p w14:paraId="0CE2712B">
            <w:pPr>
              <w:jc w:val="center"/>
              <w:rPr>
                <w:rFonts w:ascii="Times New Roman" w:eastAsia="仿宋"/>
                <w:szCs w:val="21"/>
              </w:rPr>
            </w:pPr>
          </w:p>
        </w:tc>
        <w:tc>
          <w:tcPr>
            <w:tcW w:w="623" w:type="pct"/>
            <w:vAlign w:val="center"/>
          </w:tcPr>
          <w:p w14:paraId="32BA691E">
            <w:pPr>
              <w:widowControl/>
              <w:jc w:val="center"/>
              <w:rPr>
                <w:rFonts w:ascii="Times New Roman" w:eastAsia="仿宋"/>
                <w:szCs w:val="21"/>
              </w:rPr>
            </w:pPr>
            <w:r>
              <w:rPr>
                <w:rFonts w:hint="eastAsia" w:ascii="Times New Roman" w:eastAsia="仿宋"/>
                <w:szCs w:val="21"/>
              </w:rPr>
              <w:t>喷粉房</w:t>
            </w:r>
          </w:p>
        </w:tc>
        <w:tc>
          <w:tcPr>
            <w:tcW w:w="444" w:type="pct"/>
            <w:vAlign w:val="center"/>
          </w:tcPr>
          <w:p w14:paraId="280B76F4">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34F05925">
            <w:pPr>
              <w:widowControl/>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375" w:type="pct"/>
            <w:vMerge w:val="continue"/>
            <w:vAlign w:val="center"/>
          </w:tcPr>
          <w:p w14:paraId="6B5ED2F9">
            <w:pPr>
              <w:spacing w:line="240" w:lineRule="atLeast"/>
              <w:jc w:val="center"/>
              <w:rPr>
                <w:rFonts w:ascii="Times New Roman" w:eastAsia="仿宋"/>
                <w:bCs/>
                <w:szCs w:val="21"/>
              </w:rPr>
            </w:pPr>
          </w:p>
        </w:tc>
        <w:tc>
          <w:tcPr>
            <w:tcW w:w="407" w:type="pct"/>
            <w:vAlign w:val="center"/>
          </w:tcPr>
          <w:p w14:paraId="434EA016">
            <w:pPr>
              <w:jc w:val="center"/>
              <w:rPr>
                <w:rFonts w:ascii="Times New Roman" w:eastAsia="仿宋"/>
                <w:szCs w:val="21"/>
              </w:rPr>
            </w:pPr>
            <w:r>
              <w:rPr>
                <w:rFonts w:hint="eastAsia" w:ascii="Times New Roman" w:eastAsia="仿宋"/>
                <w:szCs w:val="21"/>
              </w:rPr>
              <w:t>1</w:t>
            </w:r>
          </w:p>
        </w:tc>
        <w:tc>
          <w:tcPr>
            <w:tcW w:w="392" w:type="pct"/>
            <w:vAlign w:val="center"/>
          </w:tcPr>
          <w:p w14:paraId="2B7F4E14">
            <w:pPr>
              <w:widowControl/>
              <w:jc w:val="center"/>
              <w:rPr>
                <w:rFonts w:ascii="Times New Roman" w:eastAsia="仿宋"/>
                <w:szCs w:val="21"/>
              </w:rPr>
            </w:pPr>
            <w:r>
              <w:rPr>
                <w:rFonts w:hint="eastAsia" w:ascii="Times New Roman" w:eastAsia="仿宋"/>
                <w:szCs w:val="21"/>
              </w:rPr>
              <w:t>6</w:t>
            </w:r>
            <w:r>
              <w:rPr>
                <w:rFonts w:ascii="Times New Roman" w:eastAsia="仿宋"/>
                <w:szCs w:val="21"/>
              </w:rPr>
              <w:t>2.51</w:t>
            </w:r>
          </w:p>
        </w:tc>
        <w:tc>
          <w:tcPr>
            <w:tcW w:w="348" w:type="pct"/>
            <w:vAlign w:val="center"/>
          </w:tcPr>
          <w:p w14:paraId="27BFDF30">
            <w:pPr>
              <w:widowControl/>
              <w:jc w:val="center"/>
              <w:rPr>
                <w:rFonts w:ascii="Times New Roman" w:eastAsia="仿宋"/>
                <w:szCs w:val="21"/>
              </w:rPr>
            </w:pPr>
            <w:r>
              <w:rPr>
                <w:rFonts w:hint="eastAsia" w:ascii="Times New Roman" w:eastAsia="仿宋"/>
                <w:szCs w:val="21"/>
              </w:rPr>
              <w:t>1</w:t>
            </w:r>
            <w:r>
              <w:rPr>
                <w:rFonts w:ascii="Times New Roman" w:eastAsia="仿宋"/>
                <w:szCs w:val="21"/>
              </w:rPr>
              <w:t>4.64</w:t>
            </w:r>
          </w:p>
        </w:tc>
        <w:tc>
          <w:tcPr>
            <w:tcW w:w="287" w:type="pct"/>
          </w:tcPr>
          <w:p w14:paraId="559EC500">
            <w:pPr>
              <w:jc w:val="center"/>
              <w:rPr>
                <w:rFonts w:ascii="Times New Roman" w:eastAsia="仿宋"/>
                <w:szCs w:val="21"/>
              </w:rPr>
            </w:pPr>
            <w:r>
              <w:rPr>
                <w:rFonts w:ascii="Times New Roman" w:eastAsia="仿宋"/>
                <w:szCs w:val="21"/>
              </w:rPr>
              <w:t>0</w:t>
            </w:r>
          </w:p>
        </w:tc>
        <w:tc>
          <w:tcPr>
            <w:tcW w:w="413" w:type="pct"/>
          </w:tcPr>
          <w:p w14:paraId="360C117E">
            <w:pPr>
              <w:spacing w:line="240" w:lineRule="atLeast"/>
              <w:jc w:val="center"/>
              <w:rPr>
                <w:rFonts w:ascii="Times New Roman" w:eastAsia="仿宋"/>
                <w:bCs/>
                <w:szCs w:val="21"/>
              </w:rPr>
            </w:pPr>
            <w:r>
              <w:rPr>
                <w:rFonts w:ascii="Times New Roman" w:eastAsia="仿宋"/>
                <w:bCs/>
                <w:szCs w:val="21"/>
              </w:rPr>
              <w:t>35</w:t>
            </w:r>
          </w:p>
        </w:tc>
        <w:tc>
          <w:tcPr>
            <w:tcW w:w="503" w:type="pct"/>
          </w:tcPr>
          <w:p w14:paraId="18C1309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558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3F1AC1C">
            <w:pPr>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438" w:type="pct"/>
            <w:vMerge w:val="continue"/>
            <w:vAlign w:val="center"/>
          </w:tcPr>
          <w:p w14:paraId="0439077E">
            <w:pPr>
              <w:jc w:val="center"/>
              <w:rPr>
                <w:rFonts w:ascii="Times New Roman" w:eastAsia="仿宋"/>
                <w:szCs w:val="21"/>
              </w:rPr>
            </w:pPr>
          </w:p>
        </w:tc>
        <w:tc>
          <w:tcPr>
            <w:tcW w:w="623" w:type="pct"/>
            <w:vAlign w:val="center"/>
          </w:tcPr>
          <w:p w14:paraId="4E0B6CDA">
            <w:pPr>
              <w:widowControl/>
              <w:jc w:val="center"/>
              <w:rPr>
                <w:rFonts w:ascii="Times New Roman" w:eastAsia="仿宋"/>
                <w:szCs w:val="21"/>
              </w:rPr>
            </w:pPr>
            <w:r>
              <w:rPr>
                <w:rFonts w:hint="eastAsia" w:ascii="Times New Roman" w:eastAsia="仿宋"/>
                <w:szCs w:val="21"/>
              </w:rPr>
              <w:t>底漆喷房</w:t>
            </w:r>
          </w:p>
        </w:tc>
        <w:tc>
          <w:tcPr>
            <w:tcW w:w="444" w:type="pct"/>
            <w:vAlign w:val="center"/>
          </w:tcPr>
          <w:p w14:paraId="5F336395">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2635D18E">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375" w:type="pct"/>
            <w:vMerge w:val="continue"/>
            <w:vAlign w:val="center"/>
          </w:tcPr>
          <w:p w14:paraId="1CD72609">
            <w:pPr>
              <w:spacing w:line="240" w:lineRule="atLeast"/>
              <w:jc w:val="center"/>
              <w:rPr>
                <w:rFonts w:ascii="Times New Roman" w:eastAsia="仿宋"/>
                <w:bCs/>
                <w:szCs w:val="21"/>
              </w:rPr>
            </w:pPr>
          </w:p>
        </w:tc>
        <w:tc>
          <w:tcPr>
            <w:tcW w:w="407" w:type="pct"/>
            <w:vAlign w:val="center"/>
          </w:tcPr>
          <w:p w14:paraId="237646E0">
            <w:pPr>
              <w:jc w:val="center"/>
              <w:rPr>
                <w:rFonts w:ascii="Times New Roman" w:eastAsia="仿宋"/>
                <w:szCs w:val="21"/>
              </w:rPr>
            </w:pPr>
            <w:r>
              <w:rPr>
                <w:rFonts w:hint="eastAsia" w:ascii="Times New Roman" w:eastAsia="仿宋"/>
                <w:szCs w:val="21"/>
              </w:rPr>
              <w:t>2</w:t>
            </w:r>
          </w:p>
        </w:tc>
        <w:tc>
          <w:tcPr>
            <w:tcW w:w="392" w:type="pct"/>
            <w:vAlign w:val="center"/>
          </w:tcPr>
          <w:p w14:paraId="73749F07">
            <w:pPr>
              <w:widowControl/>
              <w:jc w:val="center"/>
              <w:rPr>
                <w:rFonts w:ascii="Times New Roman" w:eastAsia="仿宋"/>
                <w:szCs w:val="21"/>
              </w:rPr>
            </w:pPr>
            <w:r>
              <w:rPr>
                <w:rFonts w:hint="eastAsia" w:ascii="Times New Roman" w:eastAsia="仿宋"/>
                <w:szCs w:val="21"/>
              </w:rPr>
              <w:t>6</w:t>
            </w:r>
            <w:r>
              <w:rPr>
                <w:rFonts w:ascii="Times New Roman" w:eastAsia="仿宋"/>
                <w:szCs w:val="21"/>
              </w:rPr>
              <w:t>3.14</w:t>
            </w:r>
          </w:p>
        </w:tc>
        <w:tc>
          <w:tcPr>
            <w:tcW w:w="348" w:type="pct"/>
            <w:vAlign w:val="center"/>
          </w:tcPr>
          <w:p w14:paraId="3AEA0120">
            <w:pPr>
              <w:widowControl/>
              <w:jc w:val="center"/>
              <w:rPr>
                <w:rFonts w:ascii="Times New Roman" w:eastAsia="仿宋"/>
                <w:szCs w:val="21"/>
              </w:rPr>
            </w:pPr>
            <w:r>
              <w:rPr>
                <w:rFonts w:hint="eastAsia" w:ascii="Times New Roman" w:eastAsia="仿宋"/>
                <w:szCs w:val="21"/>
              </w:rPr>
              <w:t>1</w:t>
            </w:r>
            <w:r>
              <w:rPr>
                <w:rFonts w:ascii="Times New Roman" w:eastAsia="仿宋"/>
                <w:szCs w:val="21"/>
              </w:rPr>
              <w:t>9.02</w:t>
            </w:r>
          </w:p>
        </w:tc>
        <w:tc>
          <w:tcPr>
            <w:tcW w:w="287" w:type="pct"/>
          </w:tcPr>
          <w:p w14:paraId="39DA1982">
            <w:pPr>
              <w:jc w:val="center"/>
              <w:rPr>
                <w:rFonts w:ascii="Times New Roman" w:eastAsia="仿宋"/>
                <w:szCs w:val="21"/>
              </w:rPr>
            </w:pPr>
            <w:r>
              <w:rPr>
                <w:rFonts w:ascii="Times New Roman" w:eastAsia="仿宋"/>
                <w:szCs w:val="21"/>
              </w:rPr>
              <w:t>0</w:t>
            </w:r>
          </w:p>
        </w:tc>
        <w:tc>
          <w:tcPr>
            <w:tcW w:w="413" w:type="pct"/>
          </w:tcPr>
          <w:p w14:paraId="35295E03">
            <w:pPr>
              <w:spacing w:line="240" w:lineRule="atLeast"/>
              <w:jc w:val="center"/>
              <w:rPr>
                <w:rFonts w:ascii="Times New Roman" w:eastAsia="仿宋"/>
                <w:bCs/>
                <w:szCs w:val="21"/>
              </w:rPr>
            </w:pPr>
            <w:r>
              <w:rPr>
                <w:rFonts w:ascii="Times New Roman" w:eastAsia="仿宋"/>
                <w:bCs/>
                <w:szCs w:val="21"/>
              </w:rPr>
              <w:t>35</w:t>
            </w:r>
          </w:p>
        </w:tc>
        <w:tc>
          <w:tcPr>
            <w:tcW w:w="503" w:type="pct"/>
          </w:tcPr>
          <w:p w14:paraId="3C8E3321">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E31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28DFDAB">
            <w:pPr>
              <w:jc w:val="center"/>
              <w:rPr>
                <w:rFonts w:ascii="Times New Roman" w:eastAsia="仿宋"/>
                <w:szCs w:val="21"/>
              </w:rPr>
            </w:pPr>
            <w:r>
              <w:rPr>
                <w:rFonts w:hint="eastAsia" w:ascii="Times New Roman" w:eastAsia="仿宋"/>
                <w:szCs w:val="21"/>
              </w:rPr>
              <w:t>2</w:t>
            </w:r>
            <w:r>
              <w:rPr>
                <w:rFonts w:ascii="Times New Roman" w:eastAsia="仿宋"/>
                <w:szCs w:val="21"/>
              </w:rPr>
              <w:t>1</w:t>
            </w:r>
          </w:p>
        </w:tc>
        <w:tc>
          <w:tcPr>
            <w:tcW w:w="438" w:type="pct"/>
            <w:vMerge w:val="continue"/>
            <w:vAlign w:val="center"/>
          </w:tcPr>
          <w:p w14:paraId="250B311A">
            <w:pPr>
              <w:jc w:val="center"/>
              <w:rPr>
                <w:rFonts w:ascii="Times New Roman" w:eastAsia="仿宋"/>
                <w:szCs w:val="21"/>
              </w:rPr>
            </w:pPr>
          </w:p>
        </w:tc>
        <w:tc>
          <w:tcPr>
            <w:tcW w:w="623" w:type="pct"/>
            <w:vAlign w:val="center"/>
          </w:tcPr>
          <w:p w14:paraId="169F2757">
            <w:pPr>
              <w:widowControl/>
              <w:jc w:val="center"/>
              <w:rPr>
                <w:rFonts w:ascii="Times New Roman" w:eastAsia="仿宋"/>
                <w:szCs w:val="21"/>
              </w:rPr>
            </w:pPr>
            <w:r>
              <w:rPr>
                <w:rFonts w:hint="eastAsia" w:ascii="Times New Roman" w:eastAsia="仿宋"/>
                <w:szCs w:val="21"/>
              </w:rPr>
              <w:t>面漆喷房</w:t>
            </w:r>
          </w:p>
        </w:tc>
        <w:tc>
          <w:tcPr>
            <w:tcW w:w="444" w:type="pct"/>
            <w:vAlign w:val="center"/>
          </w:tcPr>
          <w:p w14:paraId="243431B6">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363E56F4">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375" w:type="pct"/>
            <w:vMerge w:val="continue"/>
            <w:vAlign w:val="center"/>
          </w:tcPr>
          <w:p w14:paraId="3DF331F7">
            <w:pPr>
              <w:spacing w:line="240" w:lineRule="atLeast"/>
              <w:jc w:val="center"/>
              <w:rPr>
                <w:rFonts w:ascii="Times New Roman" w:eastAsia="仿宋"/>
                <w:bCs/>
                <w:szCs w:val="21"/>
              </w:rPr>
            </w:pPr>
          </w:p>
        </w:tc>
        <w:tc>
          <w:tcPr>
            <w:tcW w:w="407" w:type="pct"/>
            <w:vAlign w:val="center"/>
          </w:tcPr>
          <w:p w14:paraId="748A77DB">
            <w:pPr>
              <w:jc w:val="center"/>
              <w:rPr>
                <w:rFonts w:ascii="Times New Roman" w:eastAsia="仿宋"/>
                <w:szCs w:val="21"/>
              </w:rPr>
            </w:pPr>
            <w:r>
              <w:rPr>
                <w:rFonts w:hint="eastAsia" w:ascii="Times New Roman" w:eastAsia="仿宋"/>
                <w:szCs w:val="21"/>
              </w:rPr>
              <w:t>2</w:t>
            </w:r>
          </w:p>
        </w:tc>
        <w:tc>
          <w:tcPr>
            <w:tcW w:w="392" w:type="pct"/>
            <w:vAlign w:val="center"/>
          </w:tcPr>
          <w:p w14:paraId="3D36FA74">
            <w:pPr>
              <w:widowControl/>
              <w:jc w:val="center"/>
              <w:rPr>
                <w:rFonts w:ascii="Times New Roman" w:eastAsia="仿宋"/>
                <w:szCs w:val="21"/>
              </w:rPr>
            </w:pPr>
            <w:r>
              <w:rPr>
                <w:rFonts w:hint="eastAsia" w:ascii="Times New Roman" w:eastAsia="仿宋"/>
                <w:szCs w:val="21"/>
              </w:rPr>
              <w:t>6</w:t>
            </w:r>
            <w:r>
              <w:rPr>
                <w:rFonts w:ascii="Times New Roman" w:eastAsia="仿宋"/>
                <w:szCs w:val="21"/>
              </w:rPr>
              <w:t>3.76</w:t>
            </w:r>
          </w:p>
        </w:tc>
        <w:tc>
          <w:tcPr>
            <w:tcW w:w="348" w:type="pct"/>
            <w:vAlign w:val="center"/>
          </w:tcPr>
          <w:p w14:paraId="654F675E">
            <w:pPr>
              <w:widowControl/>
              <w:jc w:val="center"/>
              <w:rPr>
                <w:rFonts w:ascii="Times New Roman" w:eastAsia="仿宋"/>
                <w:szCs w:val="21"/>
              </w:rPr>
            </w:pPr>
            <w:r>
              <w:rPr>
                <w:rFonts w:hint="eastAsia" w:ascii="Times New Roman" w:eastAsia="仿宋"/>
                <w:szCs w:val="21"/>
              </w:rPr>
              <w:t>1</w:t>
            </w:r>
            <w:r>
              <w:rPr>
                <w:rFonts w:ascii="Times New Roman" w:eastAsia="仿宋"/>
                <w:szCs w:val="21"/>
              </w:rPr>
              <w:t>.51</w:t>
            </w:r>
          </w:p>
        </w:tc>
        <w:tc>
          <w:tcPr>
            <w:tcW w:w="287" w:type="pct"/>
          </w:tcPr>
          <w:p w14:paraId="3DB8CA12">
            <w:pPr>
              <w:jc w:val="center"/>
              <w:rPr>
                <w:rFonts w:ascii="Times New Roman" w:eastAsia="仿宋"/>
                <w:szCs w:val="21"/>
              </w:rPr>
            </w:pPr>
            <w:r>
              <w:rPr>
                <w:rFonts w:ascii="Times New Roman" w:eastAsia="仿宋"/>
                <w:szCs w:val="21"/>
              </w:rPr>
              <w:t>0</w:t>
            </w:r>
          </w:p>
        </w:tc>
        <w:tc>
          <w:tcPr>
            <w:tcW w:w="413" w:type="pct"/>
          </w:tcPr>
          <w:p w14:paraId="41ECC2CA">
            <w:pPr>
              <w:spacing w:line="240" w:lineRule="atLeast"/>
              <w:jc w:val="center"/>
              <w:rPr>
                <w:rFonts w:ascii="Times New Roman" w:eastAsia="仿宋"/>
                <w:bCs/>
                <w:szCs w:val="21"/>
              </w:rPr>
            </w:pPr>
            <w:r>
              <w:rPr>
                <w:rFonts w:ascii="Times New Roman" w:eastAsia="仿宋"/>
                <w:bCs/>
                <w:szCs w:val="21"/>
              </w:rPr>
              <w:t>35</w:t>
            </w:r>
          </w:p>
        </w:tc>
        <w:tc>
          <w:tcPr>
            <w:tcW w:w="503" w:type="pct"/>
          </w:tcPr>
          <w:p w14:paraId="789C6460">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309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9173E41">
            <w:pPr>
              <w:jc w:val="center"/>
              <w:rPr>
                <w:rFonts w:ascii="Times New Roman" w:eastAsia="仿宋"/>
                <w:szCs w:val="21"/>
              </w:rPr>
            </w:pPr>
            <w:r>
              <w:rPr>
                <w:rFonts w:hint="eastAsia" w:ascii="Times New Roman" w:eastAsia="仿宋"/>
                <w:szCs w:val="21"/>
              </w:rPr>
              <w:t>2</w:t>
            </w:r>
            <w:r>
              <w:rPr>
                <w:rFonts w:ascii="Times New Roman" w:eastAsia="仿宋"/>
                <w:szCs w:val="21"/>
              </w:rPr>
              <w:t>2</w:t>
            </w:r>
          </w:p>
        </w:tc>
        <w:tc>
          <w:tcPr>
            <w:tcW w:w="438" w:type="pct"/>
            <w:vMerge w:val="restart"/>
            <w:vAlign w:val="center"/>
          </w:tcPr>
          <w:p w14:paraId="30AC69C2">
            <w:pPr>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c>
          <w:tcPr>
            <w:tcW w:w="623" w:type="pct"/>
            <w:vAlign w:val="center"/>
          </w:tcPr>
          <w:p w14:paraId="71C93A21">
            <w:pPr>
              <w:widowControl/>
              <w:jc w:val="center"/>
              <w:rPr>
                <w:rFonts w:ascii="Times New Roman" w:eastAsia="仿宋"/>
                <w:szCs w:val="21"/>
              </w:rPr>
            </w:pPr>
            <w:r>
              <w:rPr>
                <w:rFonts w:hint="eastAsia" w:ascii="Times New Roman" w:eastAsia="仿宋"/>
                <w:szCs w:val="21"/>
              </w:rPr>
              <w:t>雕刻机</w:t>
            </w:r>
          </w:p>
        </w:tc>
        <w:tc>
          <w:tcPr>
            <w:tcW w:w="444" w:type="pct"/>
            <w:vAlign w:val="center"/>
          </w:tcPr>
          <w:p w14:paraId="7455DA8A">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151F4175">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470AFA19">
            <w:pPr>
              <w:spacing w:line="240" w:lineRule="atLeast"/>
              <w:jc w:val="center"/>
              <w:rPr>
                <w:rFonts w:ascii="Times New Roman" w:eastAsia="仿宋"/>
                <w:bCs/>
                <w:szCs w:val="21"/>
              </w:rPr>
            </w:pPr>
          </w:p>
        </w:tc>
        <w:tc>
          <w:tcPr>
            <w:tcW w:w="407" w:type="pct"/>
            <w:vAlign w:val="center"/>
          </w:tcPr>
          <w:p w14:paraId="139EFC48">
            <w:pPr>
              <w:jc w:val="center"/>
              <w:rPr>
                <w:rFonts w:ascii="Times New Roman" w:eastAsia="仿宋"/>
                <w:szCs w:val="21"/>
              </w:rPr>
            </w:pPr>
            <w:r>
              <w:rPr>
                <w:rFonts w:hint="eastAsia" w:ascii="Times New Roman" w:eastAsia="仿宋"/>
                <w:szCs w:val="21"/>
              </w:rPr>
              <w:t>6</w:t>
            </w:r>
          </w:p>
        </w:tc>
        <w:tc>
          <w:tcPr>
            <w:tcW w:w="392" w:type="pct"/>
          </w:tcPr>
          <w:p w14:paraId="2E57D3CE">
            <w:pPr>
              <w:jc w:val="center"/>
              <w:rPr>
                <w:rFonts w:ascii="Times New Roman" w:eastAsia="仿宋"/>
                <w:szCs w:val="21"/>
              </w:rPr>
            </w:pPr>
            <w:r>
              <w:rPr>
                <w:rFonts w:ascii="Times New Roman" w:eastAsia="仿宋"/>
                <w:szCs w:val="21"/>
              </w:rPr>
              <w:t>93.47</w:t>
            </w:r>
          </w:p>
        </w:tc>
        <w:tc>
          <w:tcPr>
            <w:tcW w:w="348" w:type="pct"/>
          </w:tcPr>
          <w:p w14:paraId="6428DBF5">
            <w:pPr>
              <w:jc w:val="center"/>
              <w:rPr>
                <w:rFonts w:ascii="Times New Roman" w:eastAsia="仿宋"/>
                <w:szCs w:val="21"/>
              </w:rPr>
            </w:pPr>
            <w:r>
              <w:rPr>
                <w:rFonts w:ascii="Times New Roman" w:eastAsia="仿宋"/>
                <w:szCs w:val="21"/>
              </w:rPr>
              <w:t>80.74</w:t>
            </w:r>
          </w:p>
        </w:tc>
        <w:tc>
          <w:tcPr>
            <w:tcW w:w="287" w:type="pct"/>
          </w:tcPr>
          <w:p w14:paraId="3BB5A46F">
            <w:pPr>
              <w:jc w:val="center"/>
              <w:rPr>
                <w:rFonts w:ascii="Times New Roman" w:eastAsia="仿宋"/>
                <w:szCs w:val="21"/>
              </w:rPr>
            </w:pPr>
            <w:r>
              <w:rPr>
                <w:rFonts w:ascii="Times New Roman" w:eastAsia="仿宋"/>
                <w:szCs w:val="21"/>
              </w:rPr>
              <w:t>0</w:t>
            </w:r>
          </w:p>
        </w:tc>
        <w:tc>
          <w:tcPr>
            <w:tcW w:w="413" w:type="pct"/>
          </w:tcPr>
          <w:p w14:paraId="570D8918">
            <w:pPr>
              <w:spacing w:line="240" w:lineRule="atLeast"/>
              <w:jc w:val="center"/>
              <w:rPr>
                <w:rFonts w:ascii="Times New Roman" w:eastAsia="仿宋"/>
                <w:bCs/>
                <w:szCs w:val="21"/>
              </w:rPr>
            </w:pPr>
            <w:r>
              <w:rPr>
                <w:rFonts w:ascii="Times New Roman" w:eastAsia="仿宋"/>
                <w:bCs/>
                <w:szCs w:val="21"/>
              </w:rPr>
              <w:t>35</w:t>
            </w:r>
          </w:p>
        </w:tc>
        <w:tc>
          <w:tcPr>
            <w:tcW w:w="503" w:type="pct"/>
          </w:tcPr>
          <w:p w14:paraId="7585D157">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F66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E6F6065">
            <w:pPr>
              <w:jc w:val="center"/>
              <w:rPr>
                <w:rFonts w:ascii="Times New Roman" w:eastAsia="仿宋"/>
                <w:szCs w:val="21"/>
              </w:rPr>
            </w:pPr>
            <w:r>
              <w:rPr>
                <w:rFonts w:hint="eastAsia" w:ascii="Times New Roman" w:eastAsia="仿宋"/>
                <w:szCs w:val="21"/>
              </w:rPr>
              <w:t>2</w:t>
            </w:r>
            <w:r>
              <w:rPr>
                <w:rFonts w:ascii="Times New Roman" w:eastAsia="仿宋"/>
                <w:szCs w:val="21"/>
              </w:rPr>
              <w:t>3</w:t>
            </w:r>
          </w:p>
        </w:tc>
        <w:tc>
          <w:tcPr>
            <w:tcW w:w="438" w:type="pct"/>
            <w:vMerge w:val="continue"/>
            <w:vAlign w:val="center"/>
          </w:tcPr>
          <w:p w14:paraId="7AF90D39">
            <w:pPr>
              <w:jc w:val="center"/>
              <w:rPr>
                <w:rFonts w:ascii="Times New Roman" w:eastAsia="仿宋"/>
                <w:szCs w:val="21"/>
              </w:rPr>
            </w:pPr>
          </w:p>
        </w:tc>
        <w:tc>
          <w:tcPr>
            <w:tcW w:w="623" w:type="pct"/>
            <w:vAlign w:val="center"/>
          </w:tcPr>
          <w:p w14:paraId="291CC9A2">
            <w:pPr>
              <w:widowControl/>
              <w:jc w:val="center"/>
              <w:rPr>
                <w:rFonts w:ascii="Times New Roman" w:eastAsia="仿宋"/>
                <w:szCs w:val="21"/>
              </w:rPr>
            </w:pPr>
            <w:r>
              <w:rPr>
                <w:rFonts w:hint="eastAsia" w:ascii="Times New Roman" w:eastAsia="仿宋"/>
                <w:szCs w:val="21"/>
              </w:rPr>
              <w:t>数控转塔冲</w:t>
            </w:r>
          </w:p>
        </w:tc>
        <w:tc>
          <w:tcPr>
            <w:tcW w:w="444" w:type="pct"/>
            <w:vAlign w:val="center"/>
          </w:tcPr>
          <w:p w14:paraId="13836E7A">
            <w:pPr>
              <w:jc w:val="center"/>
              <w:rPr>
                <w:rFonts w:ascii="Times New Roman" w:eastAsia="仿宋"/>
                <w:szCs w:val="21"/>
              </w:rPr>
            </w:pPr>
            <w:r>
              <w:rPr>
                <w:rFonts w:hint="eastAsia" w:ascii="Times New Roman" w:eastAsia="仿宋"/>
                <w:szCs w:val="21"/>
              </w:rPr>
              <w:t>8</w:t>
            </w:r>
            <w:r>
              <w:rPr>
                <w:rFonts w:ascii="Times New Roman" w:eastAsia="仿宋"/>
                <w:szCs w:val="21"/>
              </w:rPr>
              <w:t>0</w:t>
            </w:r>
          </w:p>
        </w:tc>
        <w:tc>
          <w:tcPr>
            <w:tcW w:w="578" w:type="pct"/>
            <w:vAlign w:val="center"/>
          </w:tcPr>
          <w:p w14:paraId="0B12A89E">
            <w:pPr>
              <w:widowControl/>
              <w:jc w:val="center"/>
              <w:rPr>
                <w:rFonts w:ascii="Times New Roman" w:eastAsia="仿宋"/>
                <w:szCs w:val="21"/>
              </w:rPr>
            </w:pPr>
            <w:r>
              <w:rPr>
                <w:rFonts w:hint="eastAsia" w:ascii="Times New Roman" w:eastAsia="仿宋"/>
                <w:szCs w:val="21"/>
              </w:rPr>
              <w:t>8</w:t>
            </w:r>
            <w:r>
              <w:rPr>
                <w:rFonts w:ascii="Times New Roman" w:eastAsia="仿宋"/>
                <w:szCs w:val="21"/>
              </w:rPr>
              <w:t>3</w:t>
            </w:r>
          </w:p>
        </w:tc>
        <w:tc>
          <w:tcPr>
            <w:tcW w:w="375" w:type="pct"/>
            <w:vMerge w:val="continue"/>
            <w:vAlign w:val="center"/>
          </w:tcPr>
          <w:p w14:paraId="4F62E028">
            <w:pPr>
              <w:spacing w:line="240" w:lineRule="atLeast"/>
              <w:jc w:val="center"/>
              <w:rPr>
                <w:rFonts w:ascii="Times New Roman" w:eastAsia="仿宋"/>
                <w:bCs/>
                <w:szCs w:val="21"/>
              </w:rPr>
            </w:pPr>
          </w:p>
        </w:tc>
        <w:tc>
          <w:tcPr>
            <w:tcW w:w="407" w:type="pct"/>
            <w:vAlign w:val="center"/>
          </w:tcPr>
          <w:p w14:paraId="6EEC0DAF">
            <w:pPr>
              <w:jc w:val="center"/>
              <w:rPr>
                <w:rFonts w:ascii="Times New Roman" w:eastAsia="仿宋"/>
                <w:szCs w:val="21"/>
              </w:rPr>
            </w:pPr>
            <w:r>
              <w:rPr>
                <w:rFonts w:hint="eastAsia" w:ascii="Times New Roman" w:eastAsia="仿宋"/>
                <w:szCs w:val="21"/>
              </w:rPr>
              <w:t>2</w:t>
            </w:r>
          </w:p>
        </w:tc>
        <w:tc>
          <w:tcPr>
            <w:tcW w:w="392" w:type="pct"/>
          </w:tcPr>
          <w:p w14:paraId="7F50B7BC">
            <w:pPr>
              <w:jc w:val="center"/>
              <w:rPr>
                <w:rFonts w:ascii="Times New Roman" w:eastAsia="仿宋"/>
                <w:szCs w:val="21"/>
              </w:rPr>
            </w:pPr>
            <w:r>
              <w:rPr>
                <w:rFonts w:ascii="Times New Roman" w:eastAsia="仿宋"/>
                <w:szCs w:val="21"/>
              </w:rPr>
              <w:t>81.33</w:t>
            </w:r>
          </w:p>
        </w:tc>
        <w:tc>
          <w:tcPr>
            <w:tcW w:w="348" w:type="pct"/>
          </w:tcPr>
          <w:p w14:paraId="64C6606D">
            <w:pPr>
              <w:jc w:val="center"/>
              <w:rPr>
                <w:rFonts w:ascii="Times New Roman" w:eastAsia="仿宋"/>
                <w:szCs w:val="21"/>
              </w:rPr>
            </w:pPr>
            <w:r>
              <w:rPr>
                <w:rFonts w:ascii="Times New Roman" w:eastAsia="仿宋"/>
                <w:szCs w:val="21"/>
              </w:rPr>
              <w:t>90.79</w:t>
            </w:r>
          </w:p>
        </w:tc>
        <w:tc>
          <w:tcPr>
            <w:tcW w:w="287" w:type="pct"/>
          </w:tcPr>
          <w:p w14:paraId="6865E1A4">
            <w:pPr>
              <w:jc w:val="center"/>
              <w:rPr>
                <w:rFonts w:ascii="Times New Roman" w:eastAsia="仿宋"/>
                <w:szCs w:val="21"/>
              </w:rPr>
            </w:pPr>
            <w:r>
              <w:rPr>
                <w:rFonts w:ascii="Times New Roman" w:eastAsia="仿宋"/>
                <w:szCs w:val="21"/>
              </w:rPr>
              <w:t>0</w:t>
            </w:r>
          </w:p>
        </w:tc>
        <w:tc>
          <w:tcPr>
            <w:tcW w:w="413" w:type="pct"/>
          </w:tcPr>
          <w:p w14:paraId="590E71AF">
            <w:pPr>
              <w:spacing w:line="240" w:lineRule="atLeast"/>
              <w:jc w:val="center"/>
              <w:rPr>
                <w:rFonts w:ascii="Times New Roman" w:eastAsia="仿宋"/>
                <w:bCs/>
                <w:szCs w:val="21"/>
              </w:rPr>
            </w:pPr>
            <w:r>
              <w:rPr>
                <w:rFonts w:ascii="Times New Roman" w:eastAsia="仿宋"/>
                <w:bCs/>
                <w:szCs w:val="21"/>
              </w:rPr>
              <w:t>35</w:t>
            </w:r>
          </w:p>
        </w:tc>
        <w:tc>
          <w:tcPr>
            <w:tcW w:w="503" w:type="pct"/>
          </w:tcPr>
          <w:p w14:paraId="483D1243">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945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81A7E54">
            <w:pPr>
              <w:jc w:val="center"/>
              <w:rPr>
                <w:rFonts w:ascii="Times New Roman" w:eastAsia="仿宋"/>
                <w:szCs w:val="21"/>
              </w:rPr>
            </w:pPr>
            <w:r>
              <w:rPr>
                <w:rFonts w:hint="eastAsia" w:ascii="Times New Roman" w:eastAsia="仿宋"/>
                <w:szCs w:val="21"/>
              </w:rPr>
              <w:t>2</w:t>
            </w:r>
            <w:r>
              <w:rPr>
                <w:rFonts w:ascii="Times New Roman" w:eastAsia="仿宋"/>
                <w:szCs w:val="21"/>
              </w:rPr>
              <w:t>4</w:t>
            </w:r>
          </w:p>
        </w:tc>
        <w:tc>
          <w:tcPr>
            <w:tcW w:w="438" w:type="pct"/>
            <w:vMerge w:val="continue"/>
            <w:vAlign w:val="center"/>
          </w:tcPr>
          <w:p w14:paraId="0BE256EF">
            <w:pPr>
              <w:jc w:val="center"/>
              <w:rPr>
                <w:rFonts w:ascii="Times New Roman" w:eastAsia="仿宋"/>
                <w:szCs w:val="21"/>
              </w:rPr>
            </w:pPr>
          </w:p>
        </w:tc>
        <w:tc>
          <w:tcPr>
            <w:tcW w:w="623" w:type="pct"/>
            <w:vAlign w:val="center"/>
          </w:tcPr>
          <w:p w14:paraId="39ACE8CD">
            <w:pPr>
              <w:widowControl/>
              <w:jc w:val="center"/>
              <w:rPr>
                <w:rFonts w:ascii="Times New Roman" w:eastAsia="仿宋"/>
                <w:szCs w:val="21"/>
              </w:rPr>
            </w:pPr>
            <w:r>
              <w:rPr>
                <w:rFonts w:hint="eastAsia" w:ascii="Times New Roman" w:eastAsia="仿宋"/>
                <w:szCs w:val="21"/>
              </w:rPr>
              <w:t>剪板机</w:t>
            </w:r>
          </w:p>
        </w:tc>
        <w:tc>
          <w:tcPr>
            <w:tcW w:w="444" w:type="pct"/>
            <w:vAlign w:val="center"/>
          </w:tcPr>
          <w:p w14:paraId="550572D2">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56FAAC38">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27FFA5AB">
            <w:pPr>
              <w:spacing w:line="240" w:lineRule="atLeast"/>
              <w:jc w:val="center"/>
              <w:rPr>
                <w:rFonts w:ascii="Times New Roman" w:eastAsia="仿宋"/>
                <w:bCs/>
                <w:szCs w:val="21"/>
              </w:rPr>
            </w:pPr>
          </w:p>
        </w:tc>
        <w:tc>
          <w:tcPr>
            <w:tcW w:w="407" w:type="pct"/>
            <w:vAlign w:val="center"/>
          </w:tcPr>
          <w:p w14:paraId="1D952B77">
            <w:pPr>
              <w:jc w:val="center"/>
              <w:rPr>
                <w:rFonts w:ascii="Times New Roman" w:eastAsia="仿宋"/>
                <w:szCs w:val="21"/>
              </w:rPr>
            </w:pPr>
            <w:r>
              <w:rPr>
                <w:rFonts w:hint="eastAsia" w:ascii="Times New Roman" w:eastAsia="仿宋"/>
                <w:szCs w:val="21"/>
              </w:rPr>
              <w:t>2</w:t>
            </w:r>
          </w:p>
        </w:tc>
        <w:tc>
          <w:tcPr>
            <w:tcW w:w="392" w:type="pct"/>
          </w:tcPr>
          <w:p w14:paraId="0AB8B843">
            <w:pPr>
              <w:jc w:val="center"/>
              <w:rPr>
                <w:rFonts w:ascii="Times New Roman" w:eastAsia="仿宋"/>
                <w:szCs w:val="21"/>
              </w:rPr>
            </w:pPr>
            <w:r>
              <w:rPr>
                <w:rFonts w:ascii="Times New Roman" w:eastAsia="仿宋"/>
                <w:szCs w:val="21"/>
              </w:rPr>
              <w:t>59.83</w:t>
            </w:r>
          </w:p>
        </w:tc>
        <w:tc>
          <w:tcPr>
            <w:tcW w:w="348" w:type="pct"/>
          </w:tcPr>
          <w:p w14:paraId="5DD02A85">
            <w:pPr>
              <w:jc w:val="center"/>
              <w:rPr>
                <w:rFonts w:ascii="Times New Roman" w:eastAsia="仿宋"/>
                <w:szCs w:val="21"/>
              </w:rPr>
            </w:pPr>
            <w:r>
              <w:rPr>
                <w:rFonts w:ascii="Times New Roman" w:eastAsia="仿宋"/>
                <w:szCs w:val="21"/>
              </w:rPr>
              <w:t>79.7</w:t>
            </w:r>
          </w:p>
        </w:tc>
        <w:tc>
          <w:tcPr>
            <w:tcW w:w="287" w:type="pct"/>
          </w:tcPr>
          <w:p w14:paraId="5B2D7674">
            <w:pPr>
              <w:jc w:val="center"/>
              <w:rPr>
                <w:rFonts w:ascii="Times New Roman" w:eastAsia="仿宋"/>
                <w:szCs w:val="21"/>
              </w:rPr>
            </w:pPr>
            <w:r>
              <w:rPr>
                <w:rFonts w:ascii="Times New Roman" w:eastAsia="仿宋"/>
                <w:szCs w:val="21"/>
              </w:rPr>
              <w:t>0</w:t>
            </w:r>
          </w:p>
        </w:tc>
        <w:tc>
          <w:tcPr>
            <w:tcW w:w="413" w:type="pct"/>
          </w:tcPr>
          <w:p w14:paraId="678EF536">
            <w:pPr>
              <w:spacing w:line="240" w:lineRule="atLeast"/>
              <w:jc w:val="center"/>
              <w:rPr>
                <w:rFonts w:ascii="Times New Roman" w:eastAsia="仿宋"/>
                <w:bCs/>
                <w:szCs w:val="21"/>
              </w:rPr>
            </w:pPr>
            <w:r>
              <w:rPr>
                <w:rFonts w:ascii="Times New Roman" w:eastAsia="仿宋"/>
                <w:bCs/>
                <w:szCs w:val="21"/>
              </w:rPr>
              <w:t>35</w:t>
            </w:r>
          </w:p>
        </w:tc>
        <w:tc>
          <w:tcPr>
            <w:tcW w:w="503" w:type="pct"/>
          </w:tcPr>
          <w:p w14:paraId="709C7636">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68C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1A8FE67">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438" w:type="pct"/>
            <w:vMerge w:val="continue"/>
            <w:vAlign w:val="center"/>
          </w:tcPr>
          <w:p w14:paraId="1FE1287D">
            <w:pPr>
              <w:jc w:val="center"/>
              <w:rPr>
                <w:rFonts w:ascii="Times New Roman" w:eastAsia="仿宋"/>
                <w:szCs w:val="21"/>
              </w:rPr>
            </w:pPr>
          </w:p>
        </w:tc>
        <w:tc>
          <w:tcPr>
            <w:tcW w:w="623" w:type="pct"/>
            <w:vAlign w:val="center"/>
          </w:tcPr>
          <w:p w14:paraId="4BF6E077">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14F8A536">
            <w:pPr>
              <w:jc w:val="center"/>
              <w:rPr>
                <w:rFonts w:ascii="Times New Roman" w:eastAsia="仿宋"/>
                <w:szCs w:val="21"/>
              </w:rPr>
            </w:pPr>
            <w:r>
              <w:rPr>
                <w:rFonts w:hint="eastAsia" w:ascii="Times New Roman" w:eastAsia="仿宋"/>
                <w:szCs w:val="21"/>
              </w:rPr>
              <w:t>70</w:t>
            </w:r>
          </w:p>
        </w:tc>
        <w:tc>
          <w:tcPr>
            <w:tcW w:w="578" w:type="pct"/>
            <w:vAlign w:val="center"/>
          </w:tcPr>
          <w:p w14:paraId="4EDE3B11">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7F826DF7">
            <w:pPr>
              <w:spacing w:line="240" w:lineRule="atLeast"/>
              <w:jc w:val="center"/>
              <w:rPr>
                <w:rFonts w:ascii="Times New Roman" w:eastAsia="仿宋"/>
                <w:bCs/>
                <w:szCs w:val="21"/>
              </w:rPr>
            </w:pPr>
          </w:p>
        </w:tc>
        <w:tc>
          <w:tcPr>
            <w:tcW w:w="407" w:type="pct"/>
            <w:vAlign w:val="center"/>
          </w:tcPr>
          <w:p w14:paraId="6837235F">
            <w:pPr>
              <w:jc w:val="center"/>
              <w:rPr>
                <w:rFonts w:ascii="Times New Roman" w:eastAsia="仿宋"/>
                <w:szCs w:val="21"/>
              </w:rPr>
            </w:pPr>
            <w:r>
              <w:rPr>
                <w:rFonts w:hint="eastAsia" w:ascii="Times New Roman" w:eastAsia="仿宋"/>
                <w:szCs w:val="21"/>
              </w:rPr>
              <w:t>6</w:t>
            </w:r>
          </w:p>
        </w:tc>
        <w:tc>
          <w:tcPr>
            <w:tcW w:w="392" w:type="pct"/>
          </w:tcPr>
          <w:p w14:paraId="57DB725E">
            <w:pPr>
              <w:jc w:val="center"/>
              <w:rPr>
                <w:rFonts w:ascii="Times New Roman" w:eastAsia="仿宋"/>
                <w:szCs w:val="21"/>
              </w:rPr>
            </w:pPr>
            <w:r>
              <w:rPr>
                <w:rFonts w:ascii="Times New Roman" w:eastAsia="仿宋"/>
                <w:szCs w:val="21"/>
              </w:rPr>
              <w:t>81.33</w:t>
            </w:r>
          </w:p>
        </w:tc>
        <w:tc>
          <w:tcPr>
            <w:tcW w:w="348" w:type="pct"/>
          </w:tcPr>
          <w:p w14:paraId="2FD1F167">
            <w:pPr>
              <w:jc w:val="center"/>
              <w:rPr>
                <w:rFonts w:ascii="Times New Roman" w:eastAsia="仿宋"/>
                <w:szCs w:val="21"/>
              </w:rPr>
            </w:pPr>
            <w:r>
              <w:rPr>
                <w:rFonts w:ascii="Times New Roman" w:eastAsia="仿宋"/>
                <w:szCs w:val="21"/>
              </w:rPr>
              <w:t>81.43</w:t>
            </w:r>
          </w:p>
        </w:tc>
        <w:tc>
          <w:tcPr>
            <w:tcW w:w="287" w:type="pct"/>
          </w:tcPr>
          <w:p w14:paraId="4C0CB4EC">
            <w:pPr>
              <w:jc w:val="center"/>
              <w:rPr>
                <w:rFonts w:ascii="Times New Roman" w:eastAsia="仿宋"/>
                <w:szCs w:val="21"/>
              </w:rPr>
            </w:pPr>
            <w:r>
              <w:rPr>
                <w:rFonts w:ascii="Times New Roman" w:eastAsia="仿宋"/>
                <w:szCs w:val="21"/>
              </w:rPr>
              <w:t>0</w:t>
            </w:r>
          </w:p>
        </w:tc>
        <w:tc>
          <w:tcPr>
            <w:tcW w:w="413" w:type="pct"/>
          </w:tcPr>
          <w:p w14:paraId="08FFE346">
            <w:pPr>
              <w:spacing w:line="240" w:lineRule="atLeast"/>
              <w:jc w:val="center"/>
              <w:rPr>
                <w:rFonts w:ascii="Times New Roman" w:eastAsia="仿宋"/>
                <w:bCs/>
                <w:szCs w:val="21"/>
              </w:rPr>
            </w:pPr>
            <w:r>
              <w:rPr>
                <w:rFonts w:ascii="Times New Roman" w:eastAsia="仿宋"/>
                <w:bCs/>
                <w:szCs w:val="21"/>
              </w:rPr>
              <w:t>35</w:t>
            </w:r>
          </w:p>
        </w:tc>
        <w:tc>
          <w:tcPr>
            <w:tcW w:w="503" w:type="pct"/>
          </w:tcPr>
          <w:p w14:paraId="672B1D90">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977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919129B">
            <w:pPr>
              <w:jc w:val="center"/>
              <w:rPr>
                <w:rFonts w:ascii="Times New Roman" w:eastAsia="仿宋"/>
                <w:szCs w:val="21"/>
              </w:rPr>
            </w:pPr>
            <w:r>
              <w:rPr>
                <w:rFonts w:hint="eastAsia" w:ascii="Times New Roman" w:eastAsia="仿宋"/>
                <w:szCs w:val="21"/>
              </w:rPr>
              <w:t>2</w:t>
            </w:r>
            <w:r>
              <w:rPr>
                <w:rFonts w:ascii="Times New Roman" w:eastAsia="仿宋"/>
                <w:szCs w:val="21"/>
              </w:rPr>
              <w:t>6</w:t>
            </w:r>
          </w:p>
        </w:tc>
        <w:tc>
          <w:tcPr>
            <w:tcW w:w="438" w:type="pct"/>
            <w:vMerge w:val="continue"/>
            <w:vAlign w:val="center"/>
          </w:tcPr>
          <w:p w14:paraId="2DAB1D82">
            <w:pPr>
              <w:jc w:val="center"/>
              <w:rPr>
                <w:rFonts w:ascii="Times New Roman" w:eastAsia="仿宋"/>
                <w:szCs w:val="21"/>
              </w:rPr>
            </w:pPr>
          </w:p>
        </w:tc>
        <w:tc>
          <w:tcPr>
            <w:tcW w:w="623" w:type="pct"/>
            <w:vAlign w:val="center"/>
          </w:tcPr>
          <w:p w14:paraId="2DDB789C">
            <w:pPr>
              <w:widowControl/>
              <w:jc w:val="center"/>
              <w:rPr>
                <w:rFonts w:ascii="Times New Roman" w:eastAsia="仿宋"/>
                <w:szCs w:val="21"/>
              </w:rPr>
            </w:pPr>
            <w:r>
              <w:rPr>
                <w:rFonts w:hint="eastAsia" w:ascii="Times New Roman" w:eastAsia="仿宋"/>
                <w:szCs w:val="21"/>
              </w:rPr>
              <w:t>开槽机</w:t>
            </w:r>
          </w:p>
        </w:tc>
        <w:tc>
          <w:tcPr>
            <w:tcW w:w="444" w:type="pct"/>
            <w:vAlign w:val="center"/>
          </w:tcPr>
          <w:p w14:paraId="584BA7A8">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3586373D">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63EBC11A">
            <w:pPr>
              <w:spacing w:line="240" w:lineRule="atLeast"/>
              <w:jc w:val="center"/>
              <w:rPr>
                <w:rFonts w:ascii="Times New Roman" w:eastAsia="仿宋"/>
                <w:bCs/>
                <w:szCs w:val="21"/>
              </w:rPr>
            </w:pPr>
          </w:p>
        </w:tc>
        <w:tc>
          <w:tcPr>
            <w:tcW w:w="407" w:type="pct"/>
            <w:vAlign w:val="center"/>
          </w:tcPr>
          <w:p w14:paraId="552315BB">
            <w:pPr>
              <w:jc w:val="center"/>
              <w:rPr>
                <w:rFonts w:ascii="Times New Roman" w:eastAsia="仿宋"/>
                <w:szCs w:val="21"/>
              </w:rPr>
            </w:pPr>
            <w:r>
              <w:rPr>
                <w:rFonts w:hint="eastAsia" w:ascii="Times New Roman" w:eastAsia="仿宋"/>
                <w:szCs w:val="21"/>
              </w:rPr>
              <w:t>2</w:t>
            </w:r>
          </w:p>
        </w:tc>
        <w:tc>
          <w:tcPr>
            <w:tcW w:w="392" w:type="pct"/>
          </w:tcPr>
          <w:p w14:paraId="10B4521D">
            <w:pPr>
              <w:jc w:val="center"/>
              <w:rPr>
                <w:rFonts w:ascii="Times New Roman" w:eastAsia="仿宋"/>
                <w:szCs w:val="21"/>
              </w:rPr>
            </w:pPr>
            <w:r>
              <w:rPr>
                <w:rFonts w:ascii="Times New Roman" w:eastAsia="仿宋"/>
                <w:szCs w:val="21"/>
              </w:rPr>
              <w:t>93.47</w:t>
            </w:r>
          </w:p>
        </w:tc>
        <w:tc>
          <w:tcPr>
            <w:tcW w:w="348" w:type="pct"/>
          </w:tcPr>
          <w:p w14:paraId="637D8274">
            <w:pPr>
              <w:jc w:val="center"/>
              <w:rPr>
                <w:rFonts w:ascii="Times New Roman" w:eastAsia="仿宋"/>
                <w:szCs w:val="21"/>
              </w:rPr>
            </w:pPr>
            <w:r>
              <w:rPr>
                <w:rFonts w:ascii="Times New Roman" w:eastAsia="仿宋"/>
                <w:szCs w:val="21"/>
              </w:rPr>
              <w:t>80.74</w:t>
            </w:r>
          </w:p>
        </w:tc>
        <w:tc>
          <w:tcPr>
            <w:tcW w:w="287" w:type="pct"/>
          </w:tcPr>
          <w:p w14:paraId="53C0952F">
            <w:pPr>
              <w:jc w:val="center"/>
              <w:rPr>
                <w:rFonts w:ascii="Times New Roman" w:eastAsia="仿宋"/>
                <w:szCs w:val="21"/>
              </w:rPr>
            </w:pPr>
            <w:r>
              <w:rPr>
                <w:rFonts w:ascii="Times New Roman" w:eastAsia="仿宋"/>
                <w:szCs w:val="21"/>
              </w:rPr>
              <w:t>0</w:t>
            </w:r>
          </w:p>
        </w:tc>
        <w:tc>
          <w:tcPr>
            <w:tcW w:w="413" w:type="pct"/>
          </w:tcPr>
          <w:p w14:paraId="50EB7D4D">
            <w:pPr>
              <w:spacing w:line="240" w:lineRule="atLeast"/>
              <w:jc w:val="center"/>
              <w:rPr>
                <w:rFonts w:ascii="Times New Roman" w:eastAsia="仿宋"/>
                <w:bCs/>
                <w:szCs w:val="21"/>
              </w:rPr>
            </w:pPr>
            <w:r>
              <w:rPr>
                <w:rFonts w:ascii="Times New Roman" w:eastAsia="仿宋"/>
                <w:bCs/>
                <w:szCs w:val="21"/>
              </w:rPr>
              <w:t>35</w:t>
            </w:r>
          </w:p>
        </w:tc>
        <w:tc>
          <w:tcPr>
            <w:tcW w:w="503" w:type="pct"/>
          </w:tcPr>
          <w:p w14:paraId="6D8FB7DF">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3A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1E08EE21">
            <w:pPr>
              <w:jc w:val="center"/>
              <w:rPr>
                <w:rFonts w:ascii="Times New Roman" w:eastAsia="仿宋"/>
                <w:szCs w:val="21"/>
              </w:rPr>
            </w:pPr>
            <w:r>
              <w:rPr>
                <w:rFonts w:hint="eastAsia" w:ascii="Times New Roman" w:eastAsia="仿宋"/>
                <w:szCs w:val="21"/>
              </w:rPr>
              <w:t>2</w:t>
            </w:r>
            <w:r>
              <w:rPr>
                <w:rFonts w:ascii="Times New Roman" w:eastAsia="仿宋"/>
                <w:szCs w:val="21"/>
              </w:rPr>
              <w:t>7</w:t>
            </w:r>
          </w:p>
        </w:tc>
        <w:tc>
          <w:tcPr>
            <w:tcW w:w="438" w:type="pct"/>
            <w:vMerge w:val="continue"/>
            <w:vAlign w:val="center"/>
          </w:tcPr>
          <w:p w14:paraId="0EBC329A">
            <w:pPr>
              <w:jc w:val="center"/>
              <w:rPr>
                <w:rFonts w:ascii="Times New Roman" w:eastAsia="仿宋"/>
                <w:szCs w:val="21"/>
              </w:rPr>
            </w:pPr>
          </w:p>
        </w:tc>
        <w:tc>
          <w:tcPr>
            <w:tcW w:w="623" w:type="pct"/>
            <w:vAlign w:val="center"/>
          </w:tcPr>
          <w:p w14:paraId="58C364F7">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6FAC9549">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725D95FF">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375" w:type="pct"/>
            <w:vMerge w:val="continue"/>
            <w:vAlign w:val="center"/>
          </w:tcPr>
          <w:p w14:paraId="60B2E3EF">
            <w:pPr>
              <w:spacing w:line="240" w:lineRule="atLeast"/>
              <w:jc w:val="center"/>
              <w:rPr>
                <w:rFonts w:ascii="Times New Roman" w:eastAsia="仿宋"/>
                <w:bCs/>
                <w:szCs w:val="21"/>
              </w:rPr>
            </w:pPr>
          </w:p>
        </w:tc>
        <w:tc>
          <w:tcPr>
            <w:tcW w:w="407" w:type="pct"/>
            <w:vAlign w:val="center"/>
          </w:tcPr>
          <w:p w14:paraId="6B66F946">
            <w:pPr>
              <w:jc w:val="center"/>
              <w:rPr>
                <w:rFonts w:ascii="Times New Roman" w:eastAsia="仿宋"/>
                <w:szCs w:val="21"/>
              </w:rPr>
            </w:pPr>
            <w:r>
              <w:rPr>
                <w:rFonts w:hint="eastAsia" w:ascii="Times New Roman" w:eastAsia="仿宋"/>
                <w:szCs w:val="21"/>
              </w:rPr>
              <w:t>8</w:t>
            </w:r>
          </w:p>
        </w:tc>
        <w:tc>
          <w:tcPr>
            <w:tcW w:w="392" w:type="pct"/>
          </w:tcPr>
          <w:p w14:paraId="5624750E">
            <w:pPr>
              <w:jc w:val="center"/>
              <w:rPr>
                <w:rFonts w:ascii="Times New Roman" w:eastAsia="仿宋"/>
                <w:szCs w:val="21"/>
              </w:rPr>
            </w:pPr>
            <w:r>
              <w:rPr>
                <w:rFonts w:ascii="Times New Roman" w:eastAsia="仿宋"/>
                <w:szCs w:val="21"/>
              </w:rPr>
              <w:t>120.86</w:t>
            </w:r>
          </w:p>
        </w:tc>
        <w:tc>
          <w:tcPr>
            <w:tcW w:w="348" w:type="pct"/>
          </w:tcPr>
          <w:p w14:paraId="16C853C1">
            <w:pPr>
              <w:jc w:val="center"/>
              <w:rPr>
                <w:rFonts w:ascii="Times New Roman" w:eastAsia="仿宋"/>
                <w:szCs w:val="21"/>
              </w:rPr>
            </w:pPr>
            <w:r>
              <w:rPr>
                <w:rFonts w:ascii="Times New Roman" w:eastAsia="仿宋"/>
                <w:szCs w:val="21"/>
              </w:rPr>
              <w:t>83.16</w:t>
            </w:r>
          </w:p>
        </w:tc>
        <w:tc>
          <w:tcPr>
            <w:tcW w:w="287" w:type="pct"/>
          </w:tcPr>
          <w:p w14:paraId="1B7781AA">
            <w:pPr>
              <w:jc w:val="center"/>
              <w:rPr>
                <w:rFonts w:ascii="Times New Roman" w:eastAsia="仿宋"/>
                <w:szCs w:val="21"/>
              </w:rPr>
            </w:pPr>
            <w:r>
              <w:rPr>
                <w:rFonts w:ascii="Times New Roman" w:eastAsia="仿宋"/>
                <w:szCs w:val="21"/>
              </w:rPr>
              <w:t>0</w:t>
            </w:r>
          </w:p>
        </w:tc>
        <w:tc>
          <w:tcPr>
            <w:tcW w:w="413" w:type="pct"/>
          </w:tcPr>
          <w:p w14:paraId="7EFE74DA">
            <w:pPr>
              <w:spacing w:line="240" w:lineRule="atLeast"/>
              <w:jc w:val="center"/>
              <w:rPr>
                <w:rFonts w:ascii="Times New Roman" w:eastAsia="仿宋"/>
                <w:bCs/>
                <w:szCs w:val="21"/>
              </w:rPr>
            </w:pPr>
            <w:r>
              <w:rPr>
                <w:rFonts w:ascii="Times New Roman" w:eastAsia="仿宋"/>
                <w:bCs/>
                <w:szCs w:val="21"/>
              </w:rPr>
              <w:t>35</w:t>
            </w:r>
          </w:p>
        </w:tc>
        <w:tc>
          <w:tcPr>
            <w:tcW w:w="503" w:type="pct"/>
          </w:tcPr>
          <w:p w14:paraId="591E1931">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434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B565B4F">
            <w:pPr>
              <w:jc w:val="center"/>
              <w:rPr>
                <w:rFonts w:ascii="Times New Roman" w:eastAsia="仿宋"/>
                <w:szCs w:val="21"/>
              </w:rPr>
            </w:pPr>
            <w:r>
              <w:rPr>
                <w:rFonts w:hint="eastAsia" w:ascii="Times New Roman" w:eastAsia="仿宋"/>
                <w:szCs w:val="21"/>
              </w:rPr>
              <w:t>2</w:t>
            </w:r>
            <w:r>
              <w:rPr>
                <w:rFonts w:ascii="Times New Roman" w:eastAsia="仿宋"/>
                <w:szCs w:val="21"/>
              </w:rPr>
              <w:t>8</w:t>
            </w:r>
          </w:p>
        </w:tc>
        <w:tc>
          <w:tcPr>
            <w:tcW w:w="438" w:type="pct"/>
            <w:vMerge w:val="continue"/>
            <w:vAlign w:val="center"/>
          </w:tcPr>
          <w:p w14:paraId="467EDEB7">
            <w:pPr>
              <w:jc w:val="center"/>
              <w:rPr>
                <w:rFonts w:ascii="Times New Roman" w:eastAsia="仿宋"/>
                <w:szCs w:val="21"/>
              </w:rPr>
            </w:pPr>
          </w:p>
        </w:tc>
        <w:tc>
          <w:tcPr>
            <w:tcW w:w="623" w:type="pct"/>
            <w:vAlign w:val="center"/>
          </w:tcPr>
          <w:p w14:paraId="722D87E8">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6412597A">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4B1AE3DF">
            <w:pPr>
              <w:widowControl/>
              <w:jc w:val="center"/>
              <w:rPr>
                <w:rFonts w:ascii="Times New Roman" w:eastAsia="仿宋"/>
                <w:szCs w:val="21"/>
              </w:rPr>
            </w:pPr>
            <w:r>
              <w:rPr>
                <w:rFonts w:hint="eastAsia" w:ascii="Times New Roman" w:eastAsia="仿宋"/>
                <w:szCs w:val="21"/>
              </w:rPr>
              <w:t>77</w:t>
            </w:r>
          </w:p>
        </w:tc>
        <w:tc>
          <w:tcPr>
            <w:tcW w:w="375" w:type="pct"/>
            <w:vMerge w:val="continue"/>
            <w:vAlign w:val="center"/>
          </w:tcPr>
          <w:p w14:paraId="34681B06">
            <w:pPr>
              <w:spacing w:line="240" w:lineRule="atLeast"/>
              <w:jc w:val="center"/>
              <w:rPr>
                <w:rFonts w:ascii="Times New Roman" w:eastAsia="仿宋"/>
                <w:bCs/>
                <w:szCs w:val="21"/>
              </w:rPr>
            </w:pPr>
          </w:p>
        </w:tc>
        <w:tc>
          <w:tcPr>
            <w:tcW w:w="407" w:type="pct"/>
            <w:vAlign w:val="center"/>
          </w:tcPr>
          <w:p w14:paraId="0D0BE139">
            <w:pPr>
              <w:jc w:val="center"/>
              <w:rPr>
                <w:rFonts w:ascii="Times New Roman" w:eastAsia="仿宋"/>
                <w:szCs w:val="21"/>
              </w:rPr>
            </w:pPr>
            <w:r>
              <w:rPr>
                <w:rFonts w:hint="eastAsia" w:ascii="Times New Roman" w:eastAsia="仿宋"/>
                <w:szCs w:val="21"/>
              </w:rPr>
              <w:t>6</w:t>
            </w:r>
          </w:p>
        </w:tc>
        <w:tc>
          <w:tcPr>
            <w:tcW w:w="392" w:type="pct"/>
          </w:tcPr>
          <w:p w14:paraId="75D1E1B3">
            <w:pPr>
              <w:jc w:val="center"/>
              <w:rPr>
                <w:rFonts w:ascii="Times New Roman" w:eastAsia="仿宋"/>
                <w:szCs w:val="21"/>
              </w:rPr>
            </w:pPr>
            <w:r>
              <w:rPr>
                <w:rFonts w:ascii="Times New Roman" w:eastAsia="仿宋"/>
                <w:szCs w:val="21"/>
              </w:rPr>
              <w:t>141.32</w:t>
            </w:r>
          </w:p>
        </w:tc>
        <w:tc>
          <w:tcPr>
            <w:tcW w:w="348" w:type="pct"/>
          </w:tcPr>
          <w:p w14:paraId="1B8C499D">
            <w:pPr>
              <w:jc w:val="center"/>
              <w:rPr>
                <w:rFonts w:ascii="Times New Roman" w:eastAsia="仿宋"/>
                <w:szCs w:val="21"/>
              </w:rPr>
            </w:pPr>
            <w:r>
              <w:rPr>
                <w:rFonts w:ascii="Times New Roman" w:eastAsia="仿宋"/>
                <w:szCs w:val="21"/>
              </w:rPr>
              <w:t>83.16</w:t>
            </w:r>
          </w:p>
        </w:tc>
        <w:tc>
          <w:tcPr>
            <w:tcW w:w="287" w:type="pct"/>
          </w:tcPr>
          <w:p w14:paraId="2F722CA6">
            <w:pPr>
              <w:jc w:val="center"/>
              <w:rPr>
                <w:rFonts w:ascii="Times New Roman" w:eastAsia="仿宋"/>
                <w:szCs w:val="21"/>
              </w:rPr>
            </w:pPr>
            <w:r>
              <w:rPr>
                <w:rFonts w:ascii="Times New Roman" w:eastAsia="仿宋"/>
                <w:szCs w:val="21"/>
              </w:rPr>
              <w:t>0</w:t>
            </w:r>
          </w:p>
        </w:tc>
        <w:tc>
          <w:tcPr>
            <w:tcW w:w="413" w:type="pct"/>
          </w:tcPr>
          <w:p w14:paraId="4B4F41FE">
            <w:pPr>
              <w:spacing w:line="240" w:lineRule="atLeast"/>
              <w:jc w:val="center"/>
              <w:rPr>
                <w:rFonts w:ascii="Times New Roman" w:eastAsia="仿宋"/>
                <w:bCs/>
                <w:szCs w:val="21"/>
              </w:rPr>
            </w:pPr>
            <w:r>
              <w:rPr>
                <w:rFonts w:ascii="Times New Roman" w:eastAsia="仿宋"/>
                <w:bCs/>
                <w:szCs w:val="21"/>
              </w:rPr>
              <w:t>35</w:t>
            </w:r>
          </w:p>
        </w:tc>
        <w:tc>
          <w:tcPr>
            <w:tcW w:w="503" w:type="pct"/>
          </w:tcPr>
          <w:p w14:paraId="4D49B752">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794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D409F68">
            <w:pPr>
              <w:jc w:val="center"/>
              <w:rPr>
                <w:rFonts w:ascii="Times New Roman" w:eastAsia="仿宋"/>
                <w:szCs w:val="21"/>
              </w:rPr>
            </w:pPr>
            <w:r>
              <w:rPr>
                <w:rFonts w:hint="eastAsia" w:ascii="Times New Roman" w:eastAsia="仿宋"/>
                <w:szCs w:val="21"/>
              </w:rPr>
              <w:t>2</w:t>
            </w:r>
            <w:r>
              <w:rPr>
                <w:rFonts w:ascii="Times New Roman" w:eastAsia="仿宋"/>
                <w:szCs w:val="21"/>
              </w:rPr>
              <w:t>9</w:t>
            </w:r>
          </w:p>
        </w:tc>
        <w:tc>
          <w:tcPr>
            <w:tcW w:w="438" w:type="pct"/>
            <w:vMerge w:val="continue"/>
            <w:vAlign w:val="center"/>
          </w:tcPr>
          <w:p w14:paraId="273FFFC3">
            <w:pPr>
              <w:jc w:val="center"/>
              <w:rPr>
                <w:rFonts w:ascii="Times New Roman" w:eastAsia="仿宋"/>
                <w:szCs w:val="21"/>
              </w:rPr>
            </w:pPr>
          </w:p>
        </w:tc>
        <w:tc>
          <w:tcPr>
            <w:tcW w:w="623" w:type="pct"/>
            <w:vAlign w:val="center"/>
          </w:tcPr>
          <w:p w14:paraId="4C8D9592">
            <w:pPr>
              <w:widowControl/>
              <w:jc w:val="center"/>
              <w:rPr>
                <w:rFonts w:ascii="Times New Roman" w:eastAsia="仿宋"/>
                <w:szCs w:val="21"/>
              </w:rPr>
            </w:pPr>
            <w:r>
              <w:rPr>
                <w:rFonts w:hint="eastAsia" w:ascii="Times New Roman" w:eastAsia="仿宋"/>
                <w:szCs w:val="21"/>
              </w:rPr>
              <w:t>激光焊机</w:t>
            </w:r>
          </w:p>
        </w:tc>
        <w:tc>
          <w:tcPr>
            <w:tcW w:w="444" w:type="pct"/>
            <w:vAlign w:val="center"/>
          </w:tcPr>
          <w:p w14:paraId="315E1D37">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3788CB6E">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37384F75">
            <w:pPr>
              <w:spacing w:line="240" w:lineRule="atLeast"/>
              <w:jc w:val="center"/>
              <w:rPr>
                <w:rFonts w:ascii="Times New Roman" w:eastAsia="仿宋"/>
                <w:bCs/>
                <w:szCs w:val="21"/>
              </w:rPr>
            </w:pPr>
          </w:p>
        </w:tc>
        <w:tc>
          <w:tcPr>
            <w:tcW w:w="407" w:type="pct"/>
            <w:vAlign w:val="center"/>
          </w:tcPr>
          <w:p w14:paraId="417EE922">
            <w:pPr>
              <w:jc w:val="center"/>
              <w:rPr>
                <w:rFonts w:ascii="Times New Roman" w:eastAsia="仿宋"/>
                <w:szCs w:val="21"/>
              </w:rPr>
            </w:pPr>
            <w:r>
              <w:rPr>
                <w:rFonts w:hint="eastAsia" w:ascii="Times New Roman" w:eastAsia="仿宋"/>
                <w:szCs w:val="21"/>
              </w:rPr>
              <w:t>2</w:t>
            </w:r>
          </w:p>
        </w:tc>
        <w:tc>
          <w:tcPr>
            <w:tcW w:w="392" w:type="pct"/>
          </w:tcPr>
          <w:p w14:paraId="628B62E1">
            <w:pPr>
              <w:jc w:val="center"/>
              <w:rPr>
                <w:rFonts w:ascii="Times New Roman" w:eastAsia="仿宋"/>
                <w:szCs w:val="21"/>
              </w:rPr>
            </w:pPr>
            <w:r>
              <w:rPr>
                <w:rFonts w:ascii="Times New Roman" w:eastAsia="仿宋"/>
                <w:szCs w:val="21"/>
              </w:rPr>
              <w:t>93.47</w:t>
            </w:r>
          </w:p>
        </w:tc>
        <w:tc>
          <w:tcPr>
            <w:tcW w:w="348" w:type="pct"/>
          </w:tcPr>
          <w:p w14:paraId="467B2A2F">
            <w:pPr>
              <w:jc w:val="center"/>
              <w:rPr>
                <w:rFonts w:ascii="Times New Roman" w:eastAsia="仿宋"/>
                <w:szCs w:val="21"/>
              </w:rPr>
            </w:pPr>
            <w:r>
              <w:rPr>
                <w:rFonts w:ascii="Times New Roman" w:eastAsia="仿宋"/>
                <w:szCs w:val="21"/>
              </w:rPr>
              <w:t>80.74</w:t>
            </w:r>
          </w:p>
        </w:tc>
        <w:tc>
          <w:tcPr>
            <w:tcW w:w="287" w:type="pct"/>
          </w:tcPr>
          <w:p w14:paraId="0AEAECE4">
            <w:pPr>
              <w:jc w:val="center"/>
              <w:rPr>
                <w:rFonts w:ascii="Times New Roman" w:eastAsia="仿宋"/>
                <w:szCs w:val="21"/>
              </w:rPr>
            </w:pPr>
            <w:r>
              <w:rPr>
                <w:rFonts w:ascii="Times New Roman" w:eastAsia="仿宋"/>
                <w:szCs w:val="21"/>
              </w:rPr>
              <w:t>0</w:t>
            </w:r>
          </w:p>
        </w:tc>
        <w:tc>
          <w:tcPr>
            <w:tcW w:w="413" w:type="pct"/>
          </w:tcPr>
          <w:p w14:paraId="3FE0926E">
            <w:pPr>
              <w:spacing w:line="240" w:lineRule="atLeast"/>
              <w:jc w:val="center"/>
              <w:rPr>
                <w:rFonts w:ascii="Times New Roman" w:eastAsia="仿宋"/>
                <w:bCs/>
                <w:szCs w:val="21"/>
              </w:rPr>
            </w:pPr>
            <w:r>
              <w:rPr>
                <w:rFonts w:ascii="Times New Roman" w:eastAsia="仿宋"/>
                <w:bCs/>
                <w:szCs w:val="21"/>
              </w:rPr>
              <w:t>35</w:t>
            </w:r>
          </w:p>
        </w:tc>
        <w:tc>
          <w:tcPr>
            <w:tcW w:w="503" w:type="pct"/>
          </w:tcPr>
          <w:p w14:paraId="462B7125">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bl>
    <w:p w14:paraId="0A04A894">
      <w:pPr>
        <w:spacing w:line="340" w:lineRule="exact"/>
        <w:ind w:firstLine="229" w:firstLineChars="95"/>
        <w:rPr>
          <w:rFonts w:ascii="Times New Roman" w:eastAsia="仿宋"/>
          <w:b/>
          <w:szCs w:val="21"/>
        </w:rPr>
      </w:pPr>
      <w:r>
        <w:rPr>
          <w:rFonts w:hint="eastAsia" w:ascii="Times New Roman" w:eastAsia="仿宋"/>
          <w:b/>
          <w:szCs w:val="21"/>
        </w:rPr>
        <w:t>注：表中坐标以厂界中心（119.43546，31.72717）为坐标原点，正东向为X轴正方向，正北向为Y轴正方向。</w:t>
      </w:r>
    </w:p>
    <w:p w14:paraId="7B3C34D9">
      <w:pPr>
        <w:spacing w:line="500" w:lineRule="exact"/>
        <w:ind w:firstLine="482" w:firstLineChars="200"/>
        <w:jc w:val="center"/>
        <w:rPr>
          <w:rFonts w:ascii="Times New Roman" w:eastAsia="仿宋"/>
          <w:b/>
          <w:bCs/>
        </w:rPr>
      </w:pPr>
      <w:r>
        <w:rPr>
          <w:rFonts w:ascii="Times New Roman" w:eastAsia="仿宋"/>
          <w:b/>
          <w:bCs/>
        </w:rPr>
        <w:t>表3.2-11   工业企业噪声源强调查清单（室外声源）</w:t>
      </w:r>
    </w:p>
    <w:tbl>
      <w:tblPr>
        <w:tblStyle w:val="87"/>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3705"/>
        <w:gridCol w:w="1310"/>
        <w:gridCol w:w="1472"/>
        <w:gridCol w:w="1239"/>
        <w:gridCol w:w="1344"/>
        <w:gridCol w:w="1336"/>
        <w:gridCol w:w="1771"/>
        <w:gridCol w:w="1458"/>
      </w:tblGrid>
      <w:tr w14:paraId="1B15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1" w:type="pct"/>
            <w:vMerge w:val="restart"/>
            <w:vAlign w:val="center"/>
          </w:tcPr>
          <w:p w14:paraId="1E719002">
            <w:pPr>
              <w:spacing w:line="240" w:lineRule="atLeast"/>
              <w:jc w:val="center"/>
              <w:rPr>
                <w:rFonts w:ascii="Times New Roman" w:eastAsia="仿宋"/>
                <w:bCs/>
                <w:szCs w:val="21"/>
              </w:rPr>
            </w:pPr>
            <w:r>
              <w:rPr>
                <w:rFonts w:ascii="Times New Roman" w:eastAsia="仿宋"/>
                <w:bCs/>
                <w:szCs w:val="21"/>
              </w:rPr>
              <w:t>序号</w:t>
            </w:r>
          </w:p>
        </w:tc>
        <w:tc>
          <w:tcPr>
            <w:tcW w:w="1301" w:type="pct"/>
            <w:vMerge w:val="restart"/>
            <w:vAlign w:val="center"/>
          </w:tcPr>
          <w:p w14:paraId="1626C95E">
            <w:pPr>
              <w:spacing w:line="240" w:lineRule="atLeast"/>
              <w:jc w:val="center"/>
              <w:rPr>
                <w:rFonts w:ascii="Times New Roman" w:eastAsia="仿宋"/>
                <w:bCs/>
                <w:szCs w:val="21"/>
              </w:rPr>
            </w:pPr>
            <w:r>
              <w:rPr>
                <w:rFonts w:ascii="Times New Roman" w:eastAsia="仿宋"/>
                <w:bCs/>
                <w:szCs w:val="21"/>
              </w:rPr>
              <w:t>声源名称</w:t>
            </w:r>
          </w:p>
        </w:tc>
        <w:tc>
          <w:tcPr>
            <w:tcW w:w="460" w:type="pct"/>
            <w:vMerge w:val="restart"/>
            <w:vAlign w:val="center"/>
          </w:tcPr>
          <w:p w14:paraId="462AB469">
            <w:pPr>
              <w:spacing w:line="240" w:lineRule="atLeast"/>
              <w:jc w:val="center"/>
              <w:rPr>
                <w:rFonts w:ascii="Times New Roman" w:eastAsia="仿宋"/>
                <w:bCs/>
                <w:szCs w:val="21"/>
              </w:rPr>
            </w:pPr>
            <w:r>
              <w:rPr>
                <w:rFonts w:ascii="Times New Roman" w:eastAsia="仿宋"/>
                <w:bCs/>
                <w:szCs w:val="21"/>
              </w:rPr>
              <w:t>数量（台/套）</w:t>
            </w:r>
          </w:p>
        </w:tc>
        <w:tc>
          <w:tcPr>
            <w:tcW w:w="1424" w:type="pct"/>
            <w:gridSpan w:val="3"/>
            <w:vAlign w:val="center"/>
          </w:tcPr>
          <w:p w14:paraId="23DDE1CB">
            <w:pPr>
              <w:spacing w:line="240" w:lineRule="atLeast"/>
              <w:jc w:val="center"/>
              <w:rPr>
                <w:rFonts w:ascii="Times New Roman" w:eastAsia="仿宋"/>
                <w:bCs/>
                <w:szCs w:val="21"/>
              </w:rPr>
            </w:pPr>
            <w:r>
              <w:rPr>
                <w:rFonts w:ascii="Times New Roman" w:eastAsia="仿宋"/>
                <w:bCs/>
                <w:szCs w:val="21"/>
              </w:rPr>
              <w:t>空间相对位置/m</w:t>
            </w:r>
          </w:p>
        </w:tc>
        <w:tc>
          <w:tcPr>
            <w:tcW w:w="469" w:type="pct"/>
            <w:vMerge w:val="restart"/>
            <w:vAlign w:val="center"/>
          </w:tcPr>
          <w:p w14:paraId="043A23BE">
            <w:pPr>
              <w:spacing w:line="240" w:lineRule="atLeast"/>
              <w:jc w:val="center"/>
              <w:rPr>
                <w:rFonts w:ascii="Times New Roman" w:eastAsia="仿宋"/>
                <w:bCs/>
                <w:szCs w:val="21"/>
              </w:rPr>
            </w:pPr>
            <w:r>
              <w:rPr>
                <w:rFonts w:ascii="Times New Roman" w:eastAsia="仿宋"/>
                <w:bCs/>
                <w:szCs w:val="21"/>
              </w:rPr>
              <w:t>声功率级/dB(A)</w:t>
            </w:r>
          </w:p>
        </w:tc>
        <w:tc>
          <w:tcPr>
            <w:tcW w:w="622" w:type="pct"/>
            <w:vMerge w:val="restart"/>
            <w:vAlign w:val="center"/>
          </w:tcPr>
          <w:p w14:paraId="18833382">
            <w:pPr>
              <w:spacing w:line="240" w:lineRule="atLeast"/>
              <w:jc w:val="center"/>
              <w:rPr>
                <w:rFonts w:ascii="Times New Roman" w:eastAsia="仿宋"/>
                <w:bCs/>
                <w:szCs w:val="21"/>
              </w:rPr>
            </w:pPr>
            <w:r>
              <w:rPr>
                <w:rFonts w:ascii="Times New Roman" w:eastAsia="仿宋"/>
                <w:bCs/>
                <w:szCs w:val="21"/>
              </w:rPr>
              <w:t>声源控制措施</w:t>
            </w:r>
          </w:p>
        </w:tc>
        <w:tc>
          <w:tcPr>
            <w:tcW w:w="512" w:type="pct"/>
            <w:vMerge w:val="restart"/>
            <w:vAlign w:val="center"/>
          </w:tcPr>
          <w:p w14:paraId="6931A30E">
            <w:pPr>
              <w:spacing w:line="240" w:lineRule="atLeast"/>
              <w:jc w:val="center"/>
              <w:rPr>
                <w:rFonts w:ascii="Times New Roman" w:eastAsia="仿宋"/>
                <w:bCs/>
                <w:szCs w:val="21"/>
              </w:rPr>
            </w:pPr>
            <w:r>
              <w:rPr>
                <w:rFonts w:ascii="Times New Roman" w:eastAsia="仿宋"/>
                <w:bCs/>
                <w:szCs w:val="21"/>
              </w:rPr>
              <w:t>运行时段</w:t>
            </w:r>
          </w:p>
        </w:tc>
      </w:tr>
      <w:tr w14:paraId="5DFB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11" w:type="pct"/>
            <w:vMerge w:val="continue"/>
            <w:vAlign w:val="center"/>
          </w:tcPr>
          <w:p w14:paraId="0D48BE96">
            <w:pPr>
              <w:spacing w:after="120"/>
              <w:jc w:val="center"/>
              <w:rPr>
                <w:rFonts w:ascii="Times New Roman" w:eastAsia="仿宋"/>
                <w:szCs w:val="21"/>
              </w:rPr>
            </w:pPr>
          </w:p>
        </w:tc>
        <w:tc>
          <w:tcPr>
            <w:tcW w:w="1301" w:type="pct"/>
            <w:vMerge w:val="continue"/>
            <w:vAlign w:val="center"/>
          </w:tcPr>
          <w:p w14:paraId="16C03AA3">
            <w:pPr>
              <w:spacing w:after="120"/>
              <w:jc w:val="center"/>
              <w:rPr>
                <w:rFonts w:ascii="Times New Roman" w:eastAsia="仿宋"/>
                <w:bCs/>
                <w:szCs w:val="21"/>
              </w:rPr>
            </w:pPr>
          </w:p>
        </w:tc>
        <w:tc>
          <w:tcPr>
            <w:tcW w:w="460" w:type="pct"/>
            <w:vMerge w:val="continue"/>
            <w:vAlign w:val="center"/>
          </w:tcPr>
          <w:p w14:paraId="183D9BF2">
            <w:pPr>
              <w:spacing w:line="240" w:lineRule="atLeast"/>
              <w:jc w:val="center"/>
              <w:rPr>
                <w:rFonts w:ascii="Times New Roman" w:eastAsia="仿宋"/>
                <w:bCs/>
                <w:szCs w:val="21"/>
              </w:rPr>
            </w:pPr>
          </w:p>
        </w:tc>
        <w:tc>
          <w:tcPr>
            <w:tcW w:w="517" w:type="pct"/>
            <w:vAlign w:val="center"/>
          </w:tcPr>
          <w:p w14:paraId="238C9786">
            <w:pPr>
              <w:spacing w:line="240" w:lineRule="atLeast"/>
              <w:jc w:val="center"/>
              <w:rPr>
                <w:rFonts w:ascii="Times New Roman" w:eastAsia="仿宋"/>
                <w:bCs/>
                <w:szCs w:val="21"/>
              </w:rPr>
            </w:pPr>
            <w:r>
              <w:rPr>
                <w:rFonts w:ascii="Times New Roman" w:eastAsia="仿宋"/>
                <w:bCs/>
                <w:szCs w:val="21"/>
              </w:rPr>
              <w:t>X</w:t>
            </w:r>
          </w:p>
        </w:tc>
        <w:tc>
          <w:tcPr>
            <w:tcW w:w="435" w:type="pct"/>
            <w:vAlign w:val="center"/>
          </w:tcPr>
          <w:p w14:paraId="21E941AC">
            <w:pPr>
              <w:spacing w:line="240" w:lineRule="atLeast"/>
              <w:jc w:val="center"/>
              <w:rPr>
                <w:rFonts w:ascii="Times New Roman" w:eastAsia="仿宋"/>
                <w:bCs/>
                <w:szCs w:val="21"/>
              </w:rPr>
            </w:pPr>
            <w:r>
              <w:rPr>
                <w:rFonts w:ascii="Times New Roman" w:eastAsia="仿宋"/>
                <w:bCs/>
                <w:szCs w:val="21"/>
              </w:rPr>
              <w:t>Y</w:t>
            </w:r>
          </w:p>
        </w:tc>
        <w:tc>
          <w:tcPr>
            <w:tcW w:w="472" w:type="pct"/>
            <w:vAlign w:val="center"/>
          </w:tcPr>
          <w:p w14:paraId="7D225AF5">
            <w:pPr>
              <w:spacing w:line="240" w:lineRule="atLeast"/>
              <w:jc w:val="center"/>
              <w:rPr>
                <w:rFonts w:ascii="Times New Roman" w:eastAsia="仿宋"/>
                <w:bCs/>
                <w:szCs w:val="21"/>
              </w:rPr>
            </w:pPr>
            <w:r>
              <w:rPr>
                <w:rFonts w:ascii="Times New Roman" w:eastAsia="仿宋"/>
                <w:bCs/>
                <w:szCs w:val="21"/>
              </w:rPr>
              <w:t>Z</w:t>
            </w:r>
          </w:p>
        </w:tc>
        <w:tc>
          <w:tcPr>
            <w:tcW w:w="469" w:type="pct"/>
            <w:vMerge w:val="continue"/>
            <w:vAlign w:val="center"/>
          </w:tcPr>
          <w:p w14:paraId="4E2462F6">
            <w:pPr>
              <w:spacing w:after="120"/>
              <w:jc w:val="center"/>
              <w:rPr>
                <w:rFonts w:ascii="Times New Roman" w:eastAsia="仿宋"/>
                <w:szCs w:val="21"/>
              </w:rPr>
            </w:pPr>
          </w:p>
        </w:tc>
        <w:tc>
          <w:tcPr>
            <w:tcW w:w="622" w:type="pct"/>
            <w:vMerge w:val="continue"/>
            <w:vAlign w:val="center"/>
          </w:tcPr>
          <w:p w14:paraId="02FB3B0A">
            <w:pPr>
              <w:spacing w:after="120"/>
              <w:jc w:val="center"/>
              <w:rPr>
                <w:rFonts w:ascii="Times New Roman" w:eastAsia="仿宋"/>
                <w:szCs w:val="21"/>
              </w:rPr>
            </w:pPr>
          </w:p>
        </w:tc>
        <w:tc>
          <w:tcPr>
            <w:tcW w:w="512" w:type="pct"/>
            <w:vMerge w:val="continue"/>
            <w:vAlign w:val="center"/>
          </w:tcPr>
          <w:p w14:paraId="2032634A">
            <w:pPr>
              <w:spacing w:after="120"/>
              <w:jc w:val="center"/>
              <w:rPr>
                <w:rFonts w:ascii="Times New Roman" w:eastAsia="仿宋"/>
                <w:szCs w:val="21"/>
              </w:rPr>
            </w:pPr>
          </w:p>
        </w:tc>
      </w:tr>
      <w:tr w14:paraId="26B0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1" w:type="pct"/>
            <w:vAlign w:val="center"/>
          </w:tcPr>
          <w:p w14:paraId="22C848F2">
            <w:pPr>
              <w:widowControl/>
              <w:jc w:val="center"/>
              <w:rPr>
                <w:rFonts w:ascii="Times New Roman" w:eastAsia="仿宋"/>
                <w:bCs/>
                <w:szCs w:val="21"/>
              </w:rPr>
            </w:pPr>
            <w:r>
              <w:rPr>
                <w:rFonts w:ascii="Times New Roman" w:eastAsia="仿宋"/>
                <w:bCs/>
                <w:szCs w:val="21"/>
              </w:rPr>
              <w:t>1</w:t>
            </w:r>
          </w:p>
        </w:tc>
        <w:tc>
          <w:tcPr>
            <w:tcW w:w="1301" w:type="pct"/>
            <w:vAlign w:val="center"/>
          </w:tcPr>
          <w:p w14:paraId="32177857">
            <w:pPr>
              <w:widowControl/>
              <w:jc w:val="center"/>
              <w:rPr>
                <w:rFonts w:ascii="Times New Roman" w:eastAsia="仿宋"/>
                <w:bCs/>
                <w:szCs w:val="21"/>
              </w:rPr>
            </w:pPr>
            <w:r>
              <w:rPr>
                <w:rFonts w:ascii="Times New Roman" w:eastAsia="仿宋"/>
                <w:szCs w:val="21"/>
              </w:rPr>
              <w:t>空压机</w:t>
            </w:r>
          </w:p>
        </w:tc>
        <w:tc>
          <w:tcPr>
            <w:tcW w:w="460" w:type="pct"/>
            <w:vAlign w:val="center"/>
          </w:tcPr>
          <w:p w14:paraId="5C908610">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21FDEF0F">
            <w:pPr>
              <w:jc w:val="center"/>
              <w:rPr>
                <w:rFonts w:ascii="Times New Roman" w:eastAsia="仿宋"/>
                <w:szCs w:val="21"/>
              </w:rPr>
            </w:pPr>
            <w:r>
              <w:rPr>
                <w:rFonts w:hint="eastAsia" w:ascii="Times New Roman" w:eastAsia="仿宋"/>
                <w:szCs w:val="21"/>
              </w:rPr>
              <w:t>5</w:t>
            </w:r>
            <w:r>
              <w:rPr>
                <w:rFonts w:ascii="Times New Roman" w:eastAsia="仿宋"/>
                <w:szCs w:val="21"/>
              </w:rPr>
              <w:t>2.5</w:t>
            </w:r>
          </w:p>
        </w:tc>
        <w:tc>
          <w:tcPr>
            <w:tcW w:w="435" w:type="pct"/>
            <w:vAlign w:val="center"/>
          </w:tcPr>
          <w:p w14:paraId="2540D2D8">
            <w:pPr>
              <w:jc w:val="center"/>
              <w:rPr>
                <w:rFonts w:ascii="Times New Roman" w:eastAsia="仿宋"/>
                <w:szCs w:val="21"/>
              </w:rPr>
            </w:pPr>
            <w:r>
              <w:rPr>
                <w:rFonts w:hint="eastAsia" w:ascii="Times New Roman" w:eastAsia="仿宋"/>
                <w:szCs w:val="21"/>
              </w:rPr>
              <w:t>-21</w:t>
            </w:r>
            <w:r>
              <w:rPr>
                <w:rFonts w:ascii="Times New Roman" w:eastAsia="仿宋"/>
                <w:szCs w:val="21"/>
              </w:rPr>
              <w:t>.01</w:t>
            </w:r>
          </w:p>
        </w:tc>
        <w:tc>
          <w:tcPr>
            <w:tcW w:w="472" w:type="pct"/>
            <w:vAlign w:val="center"/>
          </w:tcPr>
          <w:p w14:paraId="394FA4B3">
            <w:pPr>
              <w:jc w:val="center"/>
              <w:rPr>
                <w:rFonts w:ascii="Times New Roman" w:eastAsia="仿宋"/>
                <w:szCs w:val="21"/>
              </w:rPr>
            </w:pPr>
            <w:r>
              <w:rPr>
                <w:rFonts w:hint="eastAsia" w:ascii="Times New Roman" w:eastAsia="仿宋"/>
                <w:szCs w:val="21"/>
              </w:rPr>
              <w:t>0</w:t>
            </w:r>
          </w:p>
        </w:tc>
        <w:tc>
          <w:tcPr>
            <w:tcW w:w="469" w:type="pct"/>
            <w:vAlign w:val="center"/>
          </w:tcPr>
          <w:p w14:paraId="681FF4BB">
            <w:pPr>
              <w:widowControl/>
              <w:jc w:val="center"/>
              <w:textAlignment w:val="center"/>
              <w:rPr>
                <w:rFonts w:ascii="Times New Roman" w:eastAsia="仿宋"/>
                <w:szCs w:val="21"/>
              </w:rPr>
            </w:pPr>
            <w:r>
              <w:rPr>
                <w:rFonts w:ascii="Times New Roman" w:eastAsia="仿宋"/>
                <w:szCs w:val="21"/>
              </w:rPr>
              <w:t>80</w:t>
            </w:r>
          </w:p>
        </w:tc>
        <w:tc>
          <w:tcPr>
            <w:tcW w:w="622" w:type="pct"/>
            <w:vMerge w:val="restart"/>
            <w:vAlign w:val="center"/>
          </w:tcPr>
          <w:p w14:paraId="6F9CC7C5">
            <w:pPr>
              <w:spacing w:line="240" w:lineRule="atLeast"/>
              <w:jc w:val="center"/>
              <w:rPr>
                <w:rFonts w:ascii="Times New Roman" w:eastAsia="仿宋"/>
                <w:bCs/>
                <w:szCs w:val="21"/>
              </w:rPr>
            </w:pPr>
            <w:r>
              <w:rPr>
                <w:rFonts w:ascii="Times New Roman" w:eastAsia="仿宋"/>
                <w:szCs w:val="21"/>
              </w:rPr>
              <w:t>设置消音器、安装减震垫</w:t>
            </w:r>
          </w:p>
        </w:tc>
        <w:tc>
          <w:tcPr>
            <w:tcW w:w="512" w:type="pct"/>
            <w:vAlign w:val="center"/>
          </w:tcPr>
          <w:p w14:paraId="1DB5EB33">
            <w:pPr>
              <w:spacing w:line="240" w:lineRule="atLeast"/>
              <w:jc w:val="center"/>
              <w:rPr>
                <w:rFonts w:ascii="Times New Roman" w:eastAsia="仿宋"/>
                <w:bCs/>
                <w:szCs w:val="21"/>
              </w:rPr>
            </w:pPr>
            <w:r>
              <w:rPr>
                <w:rFonts w:ascii="Times New Roman" w:eastAsia="仿宋"/>
                <w:bCs/>
                <w:szCs w:val="21"/>
              </w:rPr>
              <w:t>间歇运行</w:t>
            </w:r>
          </w:p>
        </w:tc>
      </w:tr>
      <w:tr w14:paraId="3412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211" w:type="pct"/>
            <w:vAlign w:val="center"/>
          </w:tcPr>
          <w:p w14:paraId="7F8FA4DF">
            <w:pPr>
              <w:widowControl/>
              <w:jc w:val="center"/>
              <w:rPr>
                <w:rFonts w:ascii="Times New Roman" w:eastAsia="仿宋"/>
                <w:bCs/>
                <w:szCs w:val="21"/>
              </w:rPr>
            </w:pPr>
            <w:r>
              <w:rPr>
                <w:rFonts w:hint="eastAsia" w:ascii="Times New Roman" w:eastAsia="仿宋"/>
                <w:bCs/>
                <w:szCs w:val="21"/>
              </w:rPr>
              <w:t>2</w:t>
            </w:r>
          </w:p>
        </w:tc>
        <w:tc>
          <w:tcPr>
            <w:tcW w:w="1301" w:type="pct"/>
            <w:vAlign w:val="center"/>
          </w:tcPr>
          <w:p w14:paraId="60BCA1BD">
            <w:pPr>
              <w:widowControl/>
              <w:jc w:val="center"/>
              <w:rPr>
                <w:rFonts w:ascii="Times New Roman" w:eastAsia="仿宋"/>
                <w:szCs w:val="21"/>
              </w:rPr>
            </w:pPr>
            <w:r>
              <w:rPr>
                <w:rFonts w:hint="eastAsia" w:ascii="Times New Roman" w:eastAsia="仿宋"/>
                <w:szCs w:val="24"/>
              </w:rPr>
              <w:t>湿式除尘器风机</w:t>
            </w:r>
          </w:p>
        </w:tc>
        <w:tc>
          <w:tcPr>
            <w:tcW w:w="460" w:type="pct"/>
            <w:vAlign w:val="center"/>
          </w:tcPr>
          <w:p w14:paraId="3112910F">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7C1C2EAC">
            <w:pPr>
              <w:jc w:val="center"/>
              <w:rPr>
                <w:rFonts w:ascii="Times New Roman" w:eastAsia="仿宋"/>
                <w:szCs w:val="21"/>
              </w:rPr>
            </w:pPr>
            <w:r>
              <w:rPr>
                <w:rFonts w:hint="eastAsia" w:ascii="Times New Roman" w:eastAsia="仿宋"/>
                <w:szCs w:val="21"/>
              </w:rPr>
              <w:t>1</w:t>
            </w:r>
            <w:r>
              <w:rPr>
                <w:rFonts w:ascii="Times New Roman" w:eastAsia="仿宋"/>
                <w:szCs w:val="21"/>
              </w:rPr>
              <w:t>30.7</w:t>
            </w:r>
          </w:p>
        </w:tc>
        <w:tc>
          <w:tcPr>
            <w:tcW w:w="435" w:type="pct"/>
            <w:vAlign w:val="center"/>
          </w:tcPr>
          <w:p w14:paraId="31158CD3">
            <w:pPr>
              <w:jc w:val="center"/>
              <w:rPr>
                <w:rFonts w:ascii="Times New Roman" w:eastAsia="仿宋"/>
                <w:szCs w:val="21"/>
              </w:rPr>
            </w:pPr>
            <w:r>
              <w:rPr>
                <w:rFonts w:hint="eastAsia" w:ascii="Times New Roman" w:eastAsia="仿宋"/>
                <w:szCs w:val="21"/>
              </w:rPr>
              <w:t>-</w:t>
            </w:r>
            <w:r>
              <w:rPr>
                <w:rFonts w:ascii="Times New Roman" w:eastAsia="仿宋"/>
                <w:szCs w:val="21"/>
              </w:rPr>
              <w:t>24.7</w:t>
            </w:r>
          </w:p>
        </w:tc>
        <w:tc>
          <w:tcPr>
            <w:tcW w:w="472" w:type="pct"/>
            <w:vAlign w:val="center"/>
          </w:tcPr>
          <w:p w14:paraId="6311E709">
            <w:pPr>
              <w:jc w:val="center"/>
              <w:rPr>
                <w:rFonts w:ascii="Times New Roman" w:eastAsia="仿宋"/>
                <w:szCs w:val="21"/>
              </w:rPr>
            </w:pPr>
            <w:r>
              <w:rPr>
                <w:rFonts w:hint="eastAsia" w:ascii="Times New Roman" w:eastAsia="仿宋"/>
                <w:szCs w:val="21"/>
              </w:rPr>
              <w:t>0</w:t>
            </w:r>
          </w:p>
        </w:tc>
        <w:tc>
          <w:tcPr>
            <w:tcW w:w="469" w:type="pct"/>
            <w:vAlign w:val="center"/>
          </w:tcPr>
          <w:p w14:paraId="6FF61BA1">
            <w:pPr>
              <w:widowControl/>
              <w:jc w:val="center"/>
              <w:textAlignment w:val="center"/>
              <w:rPr>
                <w:rFonts w:ascii="Times New Roman" w:eastAsia="仿宋"/>
                <w:szCs w:val="21"/>
              </w:rPr>
            </w:pPr>
            <w:r>
              <w:rPr>
                <w:rFonts w:ascii="Times New Roman" w:eastAsia="仿宋"/>
                <w:szCs w:val="21"/>
              </w:rPr>
              <w:t>80</w:t>
            </w:r>
          </w:p>
        </w:tc>
        <w:tc>
          <w:tcPr>
            <w:tcW w:w="622" w:type="pct"/>
            <w:vMerge w:val="continue"/>
            <w:vAlign w:val="center"/>
          </w:tcPr>
          <w:p w14:paraId="1ACCBB49">
            <w:pPr>
              <w:spacing w:line="240" w:lineRule="atLeast"/>
              <w:jc w:val="center"/>
              <w:rPr>
                <w:rFonts w:ascii="Times New Roman" w:eastAsia="仿宋"/>
                <w:szCs w:val="21"/>
              </w:rPr>
            </w:pPr>
          </w:p>
        </w:tc>
        <w:tc>
          <w:tcPr>
            <w:tcW w:w="512" w:type="pct"/>
            <w:vAlign w:val="center"/>
          </w:tcPr>
          <w:p w14:paraId="3367A260">
            <w:pPr>
              <w:spacing w:line="240" w:lineRule="atLeast"/>
              <w:jc w:val="center"/>
              <w:rPr>
                <w:rFonts w:ascii="Times New Roman" w:eastAsia="仿宋"/>
                <w:bCs/>
                <w:szCs w:val="21"/>
              </w:rPr>
            </w:pPr>
            <w:r>
              <w:rPr>
                <w:rFonts w:ascii="Times New Roman" w:eastAsia="仿宋"/>
                <w:bCs/>
                <w:szCs w:val="21"/>
              </w:rPr>
              <w:t>连续运行</w:t>
            </w:r>
          </w:p>
        </w:tc>
      </w:tr>
      <w:tr w14:paraId="6AE3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24663075">
            <w:pPr>
              <w:widowControl/>
              <w:jc w:val="center"/>
              <w:rPr>
                <w:rFonts w:ascii="Times New Roman" w:eastAsia="仿宋"/>
                <w:bCs/>
                <w:szCs w:val="21"/>
              </w:rPr>
            </w:pPr>
            <w:r>
              <w:rPr>
                <w:rFonts w:hint="eastAsia" w:ascii="Times New Roman" w:eastAsia="仿宋"/>
                <w:bCs/>
                <w:szCs w:val="21"/>
              </w:rPr>
              <w:t>3</w:t>
            </w:r>
          </w:p>
        </w:tc>
        <w:tc>
          <w:tcPr>
            <w:tcW w:w="1301" w:type="pct"/>
            <w:vAlign w:val="center"/>
          </w:tcPr>
          <w:p w14:paraId="2CEC31BC">
            <w:pPr>
              <w:widowControl/>
              <w:jc w:val="center"/>
              <w:rPr>
                <w:rFonts w:ascii="Times New Roman" w:eastAsia="仿宋"/>
                <w:szCs w:val="21"/>
              </w:rPr>
            </w:pPr>
            <w:r>
              <w:rPr>
                <w:rFonts w:hint="eastAsia" w:ascii="Times New Roman" w:eastAsia="仿宋"/>
                <w:szCs w:val="21"/>
              </w:rPr>
              <w:t>1号水帘式循环过滤系统+水喷淋+干式过滤器+活性炭吸附脱附+催化燃烧风机</w:t>
            </w:r>
          </w:p>
        </w:tc>
        <w:tc>
          <w:tcPr>
            <w:tcW w:w="460" w:type="pct"/>
            <w:vAlign w:val="center"/>
          </w:tcPr>
          <w:p w14:paraId="57309FB6">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33EE29CA">
            <w:pPr>
              <w:jc w:val="center"/>
              <w:rPr>
                <w:rFonts w:ascii="Times New Roman" w:eastAsia="仿宋"/>
                <w:szCs w:val="21"/>
              </w:rPr>
            </w:pPr>
            <w:r>
              <w:rPr>
                <w:rFonts w:ascii="Times New Roman" w:eastAsia="仿宋"/>
                <w:szCs w:val="21"/>
              </w:rPr>
              <w:t>47.81</w:t>
            </w:r>
          </w:p>
        </w:tc>
        <w:tc>
          <w:tcPr>
            <w:tcW w:w="435" w:type="pct"/>
            <w:vAlign w:val="center"/>
          </w:tcPr>
          <w:p w14:paraId="77F0C4EB">
            <w:pPr>
              <w:jc w:val="center"/>
              <w:rPr>
                <w:rFonts w:ascii="Times New Roman" w:eastAsia="仿宋"/>
                <w:szCs w:val="21"/>
              </w:rPr>
            </w:pPr>
            <w:r>
              <w:rPr>
                <w:rFonts w:hint="eastAsia" w:ascii="Times New Roman" w:eastAsia="仿宋"/>
                <w:szCs w:val="21"/>
              </w:rPr>
              <w:t>3</w:t>
            </w:r>
            <w:r>
              <w:rPr>
                <w:rFonts w:ascii="Times New Roman" w:eastAsia="仿宋"/>
                <w:szCs w:val="21"/>
              </w:rPr>
              <w:t>2.85</w:t>
            </w:r>
          </w:p>
        </w:tc>
        <w:tc>
          <w:tcPr>
            <w:tcW w:w="472" w:type="pct"/>
            <w:vAlign w:val="center"/>
          </w:tcPr>
          <w:p w14:paraId="01FEBF71">
            <w:pPr>
              <w:jc w:val="center"/>
              <w:rPr>
                <w:rFonts w:ascii="Times New Roman" w:eastAsia="仿宋"/>
                <w:szCs w:val="21"/>
              </w:rPr>
            </w:pPr>
            <w:r>
              <w:rPr>
                <w:rFonts w:hint="eastAsia" w:ascii="Times New Roman" w:eastAsia="仿宋"/>
                <w:szCs w:val="21"/>
              </w:rPr>
              <w:t>0</w:t>
            </w:r>
          </w:p>
        </w:tc>
        <w:tc>
          <w:tcPr>
            <w:tcW w:w="469" w:type="pct"/>
            <w:vAlign w:val="center"/>
          </w:tcPr>
          <w:p w14:paraId="04E03FAA">
            <w:pPr>
              <w:jc w:val="center"/>
            </w:pPr>
            <w:r>
              <w:rPr>
                <w:rFonts w:ascii="Times New Roman" w:eastAsia="仿宋"/>
                <w:szCs w:val="21"/>
              </w:rPr>
              <w:t>80</w:t>
            </w:r>
          </w:p>
        </w:tc>
        <w:tc>
          <w:tcPr>
            <w:tcW w:w="622" w:type="pct"/>
            <w:vMerge w:val="continue"/>
            <w:vAlign w:val="center"/>
          </w:tcPr>
          <w:p w14:paraId="1531BFDA">
            <w:pPr>
              <w:spacing w:line="240" w:lineRule="atLeast"/>
              <w:jc w:val="center"/>
              <w:rPr>
                <w:rFonts w:ascii="Times New Roman" w:eastAsia="仿宋"/>
                <w:szCs w:val="21"/>
              </w:rPr>
            </w:pPr>
          </w:p>
        </w:tc>
        <w:tc>
          <w:tcPr>
            <w:tcW w:w="512" w:type="pct"/>
            <w:vAlign w:val="center"/>
          </w:tcPr>
          <w:p w14:paraId="5636AECF">
            <w:pPr>
              <w:spacing w:line="240" w:lineRule="atLeast"/>
              <w:jc w:val="center"/>
              <w:rPr>
                <w:rFonts w:ascii="Times New Roman" w:eastAsia="仿宋"/>
                <w:bCs/>
                <w:szCs w:val="21"/>
              </w:rPr>
            </w:pPr>
            <w:r>
              <w:rPr>
                <w:rFonts w:ascii="Times New Roman" w:eastAsia="仿宋"/>
                <w:bCs/>
                <w:szCs w:val="21"/>
              </w:rPr>
              <w:t>连续运行</w:t>
            </w:r>
          </w:p>
        </w:tc>
      </w:tr>
      <w:tr w14:paraId="5F72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513738E8">
            <w:pPr>
              <w:widowControl/>
              <w:jc w:val="center"/>
              <w:rPr>
                <w:rFonts w:ascii="Times New Roman" w:eastAsia="仿宋"/>
                <w:bCs/>
                <w:szCs w:val="21"/>
              </w:rPr>
            </w:pPr>
            <w:r>
              <w:rPr>
                <w:rFonts w:hint="eastAsia" w:ascii="Times New Roman" w:eastAsia="仿宋"/>
                <w:bCs/>
                <w:szCs w:val="21"/>
              </w:rPr>
              <w:t>4</w:t>
            </w:r>
          </w:p>
        </w:tc>
        <w:tc>
          <w:tcPr>
            <w:tcW w:w="1301" w:type="pct"/>
            <w:vAlign w:val="center"/>
          </w:tcPr>
          <w:p w14:paraId="480FB0FF">
            <w:pPr>
              <w:widowControl/>
              <w:jc w:val="center"/>
              <w:rPr>
                <w:rFonts w:ascii="Times New Roman" w:eastAsia="仿宋"/>
                <w:szCs w:val="21"/>
              </w:rPr>
            </w:pPr>
            <w:r>
              <w:rPr>
                <w:rFonts w:hint="eastAsia" w:ascii="Times New Roman" w:eastAsia="仿宋"/>
                <w:szCs w:val="21"/>
              </w:rPr>
              <w:t>2号水帘式循环过滤系统+水喷淋+干式过滤器+活性炭吸附脱附+催化燃烧风机</w:t>
            </w:r>
          </w:p>
        </w:tc>
        <w:tc>
          <w:tcPr>
            <w:tcW w:w="460" w:type="pct"/>
            <w:vAlign w:val="center"/>
          </w:tcPr>
          <w:p w14:paraId="6B2537E5">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30452FF1">
            <w:pPr>
              <w:jc w:val="center"/>
              <w:rPr>
                <w:rFonts w:ascii="Times New Roman" w:eastAsia="仿宋"/>
                <w:szCs w:val="21"/>
              </w:rPr>
            </w:pPr>
            <w:r>
              <w:rPr>
                <w:rFonts w:ascii="Times New Roman" w:eastAsia="仿宋"/>
                <w:szCs w:val="21"/>
              </w:rPr>
              <w:t>48.75</w:t>
            </w:r>
          </w:p>
        </w:tc>
        <w:tc>
          <w:tcPr>
            <w:tcW w:w="435" w:type="pct"/>
            <w:vAlign w:val="center"/>
          </w:tcPr>
          <w:p w14:paraId="788B4B8C">
            <w:pPr>
              <w:jc w:val="center"/>
              <w:rPr>
                <w:rFonts w:ascii="Times New Roman" w:eastAsia="仿宋"/>
                <w:szCs w:val="21"/>
              </w:rPr>
            </w:pPr>
            <w:r>
              <w:rPr>
                <w:rFonts w:hint="eastAsia" w:ascii="Times New Roman" w:eastAsia="仿宋"/>
                <w:szCs w:val="21"/>
              </w:rPr>
              <w:t>1</w:t>
            </w:r>
            <w:r>
              <w:rPr>
                <w:rFonts w:ascii="Times New Roman" w:eastAsia="仿宋"/>
                <w:szCs w:val="21"/>
              </w:rPr>
              <w:t>4.96</w:t>
            </w:r>
          </w:p>
        </w:tc>
        <w:tc>
          <w:tcPr>
            <w:tcW w:w="472" w:type="pct"/>
            <w:vAlign w:val="center"/>
          </w:tcPr>
          <w:p w14:paraId="4E22524D">
            <w:pPr>
              <w:jc w:val="center"/>
              <w:rPr>
                <w:rFonts w:ascii="Times New Roman" w:eastAsia="仿宋"/>
                <w:szCs w:val="21"/>
              </w:rPr>
            </w:pPr>
            <w:r>
              <w:rPr>
                <w:rFonts w:hint="eastAsia" w:ascii="Times New Roman" w:eastAsia="仿宋"/>
                <w:szCs w:val="21"/>
              </w:rPr>
              <w:t>0</w:t>
            </w:r>
          </w:p>
        </w:tc>
        <w:tc>
          <w:tcPr>
            <w:tcW w:w="469" w:type="pct"/>
            <w:vAlign w:val="center"/>
          </w:tcPr>
          <w:p w14:paraId="0BB8D752">
            <w:pPr>
              <w:jc w:val="center"/>
            </w:pPr>
            <w:r>
              <w:rPr>
                <w:rFonts w:ascii="Times New Roman" w:eastAsia="仿宋"/>
                <w:szCs w:val="21"/>
              </w:rPr>
              <w:t>80</w:t>
            </w:r>
          </w:p>
        </w:tc>
        <w:tc>
          <w:tcPr>
            <w:tcW w:w="622" w:type="pct"/>
            <w:vMerge w:val="continue"/>
            <w:vAlign w:val="center"/>
          </w:tcPr>
          <w:p w14:paraId="19FC17A7">
            <w:pPr>
              <w:spacing w:line="240" w:lineRule="atLeast"/>
              <w:jc w:val="center"/>
              <w:rPr>
                <w:rFonts w:ascii="Times New Roman" w:eastAsia="仿宋"/>
                <w:szCs w:val="21"/>
              </w:rPr>
            </w:pPr>
          </w:p>
        </w:tc>
        <w:tc>
          <w:tcPr>
            <w:tcW w:w="512" w:type="pct"/>
            <w:vAlign w:val="center"/>
          </w:tcPr>
          <w:p w14:paraId="330FC237">
            <w:pPr>
              <w:spacing w:line="240" w:lineRule="atLeast"/>
              <w:jc w:val="center"/>
              <w:rPr>
                <w:rFonts w:ascii="Times New Roman" w:eastAsia="仿宋"/>
                <w:bCs/>
                <w:szCs w:val="21"/>
              </w:rPr>
            </w:pPr>
            <w:r>
              <w:rPr>
                <w:rFonts w:ascii="Times New Roman" w:eastAsia="仿宋"/>
                <w:bCs/>
                <w:szCs w:val="21"/>
              </w:rPr>
              <w:t>连续运行</w:t>
            </w:r>
          </w:p>
        </w:tc>
      </w:tr>
      <w:tr w14:paraId="5849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3774350A">
            <w:pPr>
              <w:widowControl/>
              <w:jc w:val="center"/>
              <w:rPr>
                <w:rFonts w:ascii="Times New Roman" w:eastAsia="仿宋"/>
                <w:bCs/>
                <w:szCs w:val="21"/>
              </w:rPr>
            </w:pPr>
            <w:r>
              <w:rPr>
                <w:rFonts w:hint="eastAsia" w:ascii="Times New Roman" w:eastAsia="仿宋"/>
                <w:bCs/>
                <w:szCs w:val="21"/>
              </w:rPr>
              <w:t>5</w:t>
            </w:r>
          </w:p>
        </w:tc>
        <w:tc>
          <w:tcPr>
            <w:tcW w:w="1301" w:type="pct"/>
            <w:vAlign w:val="center"/>
          </w:tcPr>
          <w:p w14:paraId="5C00C042">
            <w:pPr>
              <w:widowControl/>
              <w:jc w:val="center"/>
              <w:rPr>
                <w:rFonts w:ascii="Times New Roman" w:eastAsia="仿宋"/>
                <w:szCs w:val="21"/>
              </w:rPr>
            </w:pPr>
            <w:r>
              <w:rPr>
                <w:rFonts w:hint="eastAsia" w:ascii="Times New Roman" w:eastAsia="仿宋"/>
                <w:szCs w:val="21"/>
              </w:rPr>
              <w:t>3号水帘式循环过滤系统+水喷淋+干式过滤器+活性炭吸附脱附+催化燃烧风机</w:t>
            </w:r>
          </w:p>
        </w:tc>
        <w:tc>
          <w:tcPr>
            <w:tcW w:w="460" w:type="pct"/>
            <w:vAlign w:val="center"/>
          </w:tcPr>
          <w:p w14:paraId="44DC151E">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69F8BD56">
            <w:pPr>
              <w:jc w:val="center"/>
              <w:rPr>
                <w:rFonts w:ascii="Times New Roman" w:eastAsia="仿宋"/>
                <w:szCs w:val="21"/>
              </w:rPr>
            </w:pPr>
            <w:r>
              <w:rPr>
                <w:rFonts w:ascii="Times New Roman" w:eastAsia="仿宋"/>
                <w:szCs w:val="21"/>
              </w:rPr>
              <w:t>50.31</w:t>
            </w:r>
          </w:p>
        </w:tc>
        <w:tc>
          <w:tcPr>
            <w:tcW w:w="435" w:type="pct"/>
            <w:vAlign w:val="center"/>
          </w:tcPr>
          <w:p w14:paraId="7B92F1DC">
            <w:pPr>
              <w:jc w:val="center"/>
              <w:rPr>
                <w:rFonts w:ascii="Times New Roman" w:eastAsia="仿宋"/>
                <w:szCs w:val="21"/>
              </w:rPr>
            </w:pPr>
            <w:r>
              <w:rPr>
                <w:rFonts w:hint="eastAsia" w:ascii="Times New Roman" w:eastAsia="仿宋"/>
                <w:szCs w:val="21"/>
              </w:rPr>
              <w:t>-</w:t>
            </w:r>
            <w:r>
              <w:rPr>
                <w:rFonts w:ascii="Times New Roman" w:eastAsia="仿宋"/>
                <w:szCs w:val="21"/>
              </w:rPr>
              <w:t>9.75</w:t>
            </w:r>
          </w:p>
        </w:tc>
        <w:tc>
          <w:tcPr>
            <w:tcW w:w="472" w:type="pct"/>
            <w:vAlign w:val="center"/>
          </w:tcPr>
          <w:p w14:paraId="2CBEDFD4">
            <w:pPr>
              <w:jc w:val="center"/>
              <w:rPr>
                <w:rFonts w:ascii="Times New Roman" w:eastAsia="仿宋"/>
                <w:szCs w:val="21"/>
              </w:rPr>
            </w:pPr>
            <w:r>
              <w:rPr>
                <w:rFonts w:hint="eastAsia" w:ascii="Times New Roman" w:eastAsia="仿宋"/>
                <w:szCs w:val="21"/>
              </w:rPr>
              <w:t>0</w:t>
            </w:r>
          </w:p>
        </w:tc>
        <w:tc>
          <w:tcPr>
            <w:tcW w:w="469" w:type="pct"/>
            <w:vAlign w:val="center"/>
          </w:tcPr>
          <w:p w14:paraId="13E86025">
            <w:pPr>
              <w:jc w:val="center"/>
            </w:pPr>
            <w:r>
              <w:rPr>
                <w:rFonts w:ascii="Times New Roman" w:eastAsia="仿宋"/>
                <w:szCs w:val="21"/>
              </w:rPr>
              <w:t>80</w:t>
            </w:r>
          </w:p>
        </w:tc>
        <w:tc>
          <w:tcPr>
            <w:tcW w:w="622" w:type="pct"/>
            <w:vMerge w:val="continue"/>
            <w:vAlign w:val="center"/>
          </w:tcPr>
          <w:p w14:paraId="06FFD3B8">
            <w:pPr>
              <w:spacing w:line="240" w:lineRule="atLeast"/>
              <w:jc w:val="center"/>
              <w:rPr>
                <w:rFonts w:ascii="Times New Roman" w:eastAsia="仿宋"/>
                <w:szCs w:val="21"/>
              </w:rPr>
            </w:pPr>
          </w:p>
        </w:tc>
        <w:tc>
          <w:tcPr>
            <w:tcW w:w="512" w:type="pct"/>
            <w:vAlign w:val="center"/>
          </w:tcPr>
          <w:p w14:paraId="56A5B249">
            <w:pPr>
              <w:spacing w:line="240" w:lineRule="atLeast"/>
              <w:jc w:val="center"/>
              <w:rPr>
                <w:rFonts w:ascii="Times New Roman" w:eastAsia="仿宋"/>
                <w:bCs/>
                <w:szCs w:val="21"/>
              </w:rPr>
            </w:pPr>
            <w:r>
              <w:rPr>
                <w:rFonts w:ascii="Times New Roman" w:eastAsia="仿宋"/>
                <w:bCs/>
                <w:szCs w:val="21"/>
              </w:rPr>
              <w:t>连续运行</w:t>
            </w:r>
          </w:p>
        </w:tc>
      </w:tr>
      <w:tr w14:paraId="7A94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1" w:type="pct"/>
            <w:vAlign w:val="center"/>
          </w:tcPr>
          <w:p w14:paraId="4F20D65D">
            <w:pPr>
              <w:widowControl/>
              <w:jc w:val="center"/>
              <w:rPr>
                <w:rFonts w:ascii="Times New Roman" w:eastAsia="仿宋"/>
                <w:bCs/>
                <w:szCs w:val="21"/>
              </w:rPr>
            </w:pPr>
            <w:r>
              <w:rPr>
                <w:rFonts w:hint="eastAsia" w:ascii="Times New Roman" w:eastAsia="仿宋"/>
                <w:bCs/>
                <w:szCs w:val="21"/>
              </w:rPr>
              <w:t>6</w:t>
            </w:r>
          </w:p>
        </w:tc>
        <w:tc>
          <w:tcPr>
            <w:tcW w:w="1301" w:type="pct"/>
            <w:vAlign w:val="center"/>
          </w:tcPr>
          <w:p w14:paraId="41C30EF3">
            <w:pPr>
              <w:widowControl/>
              <w:jc w:val="center"/>
              <w:rPr>
                <w:rFonts w:ascii="Times New Roman" w:eastAsia="仿宋"/>
                <w:szCs w:val="21"/>
              </w:rPr>
            </w:pPr>
            <w:r>
              <w:rPr>
                <w:rFonts w:hint="eastAsia" w:ascii="Times New Roman" w:eastAsia="仿宋"/>
                <w:szCs w:val="24"/>
              </w:rPr>
              <w:t>滤筒除尘器风机</w:t>
            </w:r>
          </w:p>
        </w:tc>
        <w:tc>
          <w:tcPr>
            <w:tcW w:w="460" w:type="pct"/>
            <w:vAlign w:val="center"/>
          </w:tcPr>
          <w:p w14:paraId="79AACDE1">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3E548664">
            <w:pPr>
              <w:jc w:val="center"/>
              <w:rPr>
                <w:rFonts w:ascii="Times New Roman" w:eastAsia="仿宋"/>
                <w:szCs w:val="21"/>
              </w:rPr>
            </w:pPr>
            <w:r>
              <w:rPr>
                <w:rFonts w:hint="eastAsia" w:ascii="Times New Roman" w:eastAsia="仿宋"/>
                <w:szCs w:val="21"/>
              </w:rPr>
              <w:t>8</w:t>
            </w:r>
            <w:r>
              <w:rPr>
                <w:rFonts w:ascii="Times New Roman" w:eastAsia="仿宋"/>
                <w:szCs w:val="21"/>
              </w:rPr>
              <w:t>9.72</w:t>
            </w:r>
          </w:p>
        </w:tc>
        <w:tc>
          <w:tcPr>
            <w:tcW w:w="435" w:type="pct"/>
            <w:vAlign w:val="center"/>
          </w:tcPr>
          <w:p w14:paraId="0BC12705">
            <w:pPr>
              <w:jc w:val="center"/>
              <w:rPr>
                <w:rFonts w:ascii="Times New Roman" w:eastAsia="仿宋"/>
                <w:szCs w:val="21"/>
              </w:rPr>
            </w:pPr>
            <w:r>
              <w:rPr>
                <w:rFonts w:hint="eastAsia" w:ascii="Times New Roman" w:eastAsia="仿宋"/>
                <w:szCs w:val="21"/>
              </w:rPr>
              <w:t>-2</w:t>
            </w:r>
            <w:r>
              <w:rPr>
                <w:rFonts w:ascii="Times New Roman" w:eastAsia="仿宋"/>
                <w:szCs w:val="21"/>
              </w:rPr>
              <w:t>.56</w:t>
            </w:r>
          </w:p>
        </w:tc>
        <w:tc>
          <w:tcPr>
            <w:tcW w:w="472" w:type="pct"/>
            <w:vAlign w:val="center"/>
          </w:tcPr>
          <w:p w14:paraId="4670E8E1">
            <w:pPr>
              <w:jc w:val="center"/>
              <w:rPr>
                <w:rFonts w:ascii="Times New Roman" w:eastAsia="仿宋"/>
                <w:szCs w:val="21"/>
              </w:rPr>
            </w:pPr>
            <w:r>
              <w:rPr>
                <w:rFonts w:hint="eastAsia" w:ascii="Times New Roman" w:eastAsia="仿宋"/>
                <w:szCs w:val="21"/>
              </w:rPr>
              <w:t>0</w:t>
            </w:r>
          </w:p>
        </w:tc>
        <w:tc>
          <w:tcPr>
            <w:tcW w:w="469" w:type="pct"/>
            <w:vAlign w:val="center"/>
          </w:tcPr>
          <w:p w14:paraId="5DFDE4CE">
            <w:pPr>
              <w:jc w:val="center"/>
            </w:pPr>
            <w:r>
              <w:rPr>
                <w:rFonts w:ascii="Times New Roman" w:eastAsia="仿宋"/>
                <w:szCs w:val="21"/>
              </w:rPr>
              <w:t>80</w:t>
            </w:r>
          </w:p>
        </w:tc>
        <w:tc>
          <w:tcPr>
            <w:tcW w:w="622" w:type="pct"/>
            <w:vMerge w:val="continue"/>
            <w:vAlign w:val="center"/>
          </w:tcPr>
          <w:p w14:paraId="644D0C98">
            <w:pPr>
              <w:spacing w:line="240" w:lineRule="atLeast"/>
              <w:jc w:val="center"/>
              <w:rPr>
                <w:rFonts w:ascii="Times New Roman" w:eastAsia="仿宋"/>
                <w:szCs w:val="21"/>
              </w:rPr>
            </w:pPr>
          </w:p>
        </w:tc>
        <w:tc>
          <w:tcPr>
            <w:tcW w:w="512" w:type="pct"/>
            <w:vAlign w:val="center"/>
          </w:tcPr>
          <w:p w14:paraId="2ACA4458">
            <w:pPr>
              <w:spacing w:line="240" w:lineRule="atLeast"/>
              <w:jc w:val="center"/>
              <w:rPr>
                <w:rFonts w:ascii="Times New Roman" w:eastAsia="仿宋"/>
                <w:bCs/>
                <w:szCs w:val="21"/>
              </w:rPr>
            </w:pPr>
            <w:r>
              <w:rPr>
                <w:rFonts w:ascii="Times New Roman" w:eastAsia="仿宋"/>
                <w:bCs/>
                <w:szCs w:val="21"/>
              </w:rPr>
              <w:t>连续运行</w:t>
            </w:r>
          </w:p>
        </w:tc>
      </w:tr>
    </w:tbl>
    <w:p w14:paraId="43AB253F">
      <w:pPr>
        <w:pStyle w:val="7"/>
        <w:keepLines w:val="0"/>
        <w:widowControl/>
        <w:tabs>
          <w:tab w:val="left" w:pos="993"/>
        </w:tabs>
        <w:adjustRightInd w:val="0"/>
        <w:snapToGrid w:val="0"/>
        <w:spacing w:after="120" w:afterLines="50"/>
        <w:jc w:val="left"/>
        <w:rPr>
          <w:rFonts w:ascii="Times New Roman" w:hAnsi="Times New Roman" w:eastAsia="仿宋"/>
          <w:b/>
        </w:rPr>
        <w:sectPr>
          <w:pgSz w:w="16840" w:h="11907" w:orient="landscape"/>
          <w:pgMar w:top="1797" w:right="1440" w:bottom="1797" w:left="1440" w:header="851" w:footer="992" w:gutter="0"/>
          <w:cols w:space="720" w:num="1"/>
          <w:docGrid w:linePitch="312" w:charSpace="0"/>
        </w:sectPr>
      </w:pPr>
    </w:p>
    <w:p w14:paraId="6C5DFAEE">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2</w:t>
      </w:r>
      <w:r>
        <w:rPr>
          <w:rFonts w:ascii="Times New Roman" w:hAnsi="Times New Roman" w:eastAsia="仿宋"/>
          <w:b/>
        </w:rPr>
        <w:t>.2.4固体废物源强</w:t>
      </w:r>
    </w:p>
    <w:p w14:paraId="3189AC58">
      <w:pPr>
        <w:pStyle w:val="22"/>
        <w:spacing w:line="500" w:lineRule="exact"/>
        <w:ind w:firstLine="560"/>
        <w:rPr>
          <w:rFonts w:eastAsia="仿宋"/>
          <w:sz w:val="28"/>
          <w:szCs w:val="28"/>
        </w:rPr>
      </w:pPr>
      <w:r>
        <w:rPr>
          <w:rFonts w:eastAsia="仿宋"/>
          <w:sz w:val="28"/>
          <w:szCs w:val="28"/>
        </w:rPr>
        <w:t>本项目固废产生情况：</w:t>
      </w:r>
    </w:p>
    <w:p w14:paraId="0E46BC52">
      <w:pPr>
        <w:pStyle w:val="22"/>
        <w:spacing w:line="500" w:lineRule="exact"/>
        <w:ind w:firstLine="560"/>
        <w:rPr>
          <w:rFonts w:eastAsia="仿宋"/>
          <w:sz w:val="28"/>
          <w:szCs w:val="28"/>
        </w:rPr>
      </w:pPr>
      <w:r>
        <w:rPr>
          <w:rFonts w:eastAsia="仿宋"/>
          <w:sz w:val="28"/>
          <w:szCs w:val="28"/>
        </w:rPr>
        <w:t>（1）生活垃圾</w:t>
      </w:r>
    </w:p>
    <w:p w14:paraId="5A04F610">
      <w:pPr>
        <w:pStyle w:val="22"/>
        <w:spacing w:line="500" w:lineRule="exact"/>
        <w:ind w:firstLine="560"/>
        <w:rPr>
          <w:rFonts w:eastAsia="仿宋"/>
          <w:sz w:val="28"/>
          <w:szCs w:val="28"/>
        </w:rPr>
      </w:pPr>
      <w:r>
        <w:rPr>
          <w:rFonts w:eastAsia="仿宋"/>
          <w:sz w:val="28"/>
          <w:szCs w:val="28"/>
        </w:rPr>
        <w:t>本项目员工</w:t>
      </w:r>
      <w:r>
        <w:rPr>
          <w:rFonts w:hint="eastAsia" w:eastAsia="仿宋"/>
          <w:sz w:val="28"/>
          <w:szCs w:val="28"/>
        </w:rPr>
        <w:t>定员5</w:t>
      </w:r>
      <w:r>
        <w:rPr>
          <w:rFonts w:eastAsia="仿宋"/>
          <w:sz w:val="28"/>
          <w:szCs w:val="28"/>
        </w:rPr>
        <w:t>0人，年工作日300天，人均生活垃圾产生量以1.5kg/d计，生活垃圾产生量为</w:t>
      </w:r>
      <w:r>
        <w:rPr>
          <w:rFonts w:hint="eastAsia" w:eastAsia="仿宋"/>
          <w:sz w:val="28"/>
          <w:szCs w:val="28"/>
        </w:rPr>
        <w:t>22.5</w:t>
      </w:r>
      <w:r>
        <w:rPr>
          <w:rFonts w:eastAsia="仿宋"/>
          <w:sz w:val="28"/>
          <w:szCs w:val="28"/>
        </w:rPr>
        <w:t>t/a</w:t>
      </w:r>
      <w:r>
        <w:rPr>
          <w:rFonts w:hint="eastAsia" w:eastAsia="仿宋"/>
          <w:sz w:val="28"/>
          <w:szCs w:val="28"/>
        </w:rPr>
        <w:t>，由环卫部门清运处置。</w:t>
      </w:r>
    </w:p>
    <w:p w14:paraId="5C74FCA5">
      <w:pPr>
        <w:pStyle w:val="22"/>
        <w:spacing w:line="500" w:lineRule="exact"/>
        <w:ind w:firstLine="560"/>
        <w:rPr>
          <w:rFonts w:eastAsia="仿宋"/>
          <w:sz w:val="28"/>
          <w:szCs w:val="28"/>
        </w:rPr>
      </w:pPr>
      <w:r>
        <w:rPr>
          <w:rFonts w:eastAsia="仿宋"/>
          <w:sz w:val="28"/>
          <w:szCs w:val="28"/>
        </w:rPr>
        <w:t>（2）</w:t>
      </w:r>
      <w:r>
        <w:rPr>
          <w:rFonts w:hint="eastAsia" w:eastAsia="仿宋"/>
          <w:sz w:val="28"/>
          <w:szCs w:val="28"/>
        </w:rPr>
        <w:t>废边角料S1、</w:t>
      </w:r>
      <w:r>
        <w:rPr>
          <w:rFonts w:eastAsia="仿宋"/>
          <w:sz w:val="28"/>
          <w:szCs w:val="28"/>
        </w:rPr>
        <w:t>S</w:t>
      </w:r>
      <w:r>
        <w:rPr>
          <w:rFonts w:hint="eastAsia" w:eastAsia="仿宋"/>
          <w:sz w:val="28"/>
          <w:szCs w:val="28"/>
        </w:rPr>
        <w:t>2、</w:t>
      </w:r>
      <w:r>
        <w:rPr>
          <w:rFonts w:eastAsia="仿宋"/>
          <w:sz w:val="28"/>
          <w:szCs w:val="28"/>
        </w:rPr>
        <w:t>S</w:t>
      </w:r>
      <w:r>
        <w:rPr>
          <w:rFonts w:hint="eastAsia" w:eastAsia="仿宋"/>
          <w:sz w:val="28"/>
          <w:szCs w:val="28"/>
        </w:rPr>
        <w:t>3、S</w:t>
      </w:r>
      <w:r>
        <w:rPr>
          <w:rFonts w:eastAsia="仿宋"/>
          <w:sz w:val="28"/>
          <w:szCs w:val="28"/>
        </w:rPr>
        <w:t>5</w:t>
      </w:r>
    </w:p>
    <w:p w14:paraId="2122AF7A">
      <w:pPr>
        <w:pStyle w:val="22"/>
        <w:spacing w:line="500" w:lineRule="exact"/>
        <w:ind w:firstLine="560"/>
        <w:rPr>
          <w:rFonts w:eastAsia="仿宋"/>
          <w:sz w:val="28"/>
          <w:szCs w:val="28"/>
        </w:rPr>
      </w:pPr>
      <w:r>
        <w:rPr>
          <w:rFonts w:hint="eastAsia" w:eastAsia="仿宋"/>
          <w:sz w:val="28"/>
          <w:szCs w:val="28"/>
        </w:rPr>
        <w:t>本项目切割、剪板、雕刻等机加工工序产生废边角料，根据企业提供资料，产生量为原料用量的0.5%，则废边角料产生量为25t/a，作为一般固废，统一收集后外售综合利用。</w:t>
      </w:r>
    </w:p>
    <w:p w14:paraId="36E04AAF">
      <w:pPr>
        <w:pStyle w:val="22"/>
        <w:spacing w:line="500" w:lineRule="exact"/>
        <w:ind w:firstLine="560"/>
        <w:rPr>
          <w:rFonts w:eastAsia="仿宋"/>
          <w:sz w:val="28"/>
          <w:szCs w:val="28"/>
        </w:rPr>
      </w:pPr>
      <w:r>
        <w:rPr>
          <w:rFonts w:eastAsia="仿宋"/>
          <w:sz w:val="28"/>
          <w:szCs w:val="28"/>
        </w:rPr>
        <w:t>（</w:t>
      </w:r>
      <w:r>
        <w:rPr>
          <w:rFonts w:hint="eastAsia" w:eastAsia="仿宋"/>
          <w:sz w:val="28"/>
          <w:szCs w:val="28"/>
        </w:rPr>
        <w:t>3</w:t>
      </w:r>
      <w:r>
        <w:rPr>
          <w:rFonts w:eastAsia="仿宋"/>
          <w:sz w:val="28"/>
          <w:szCs w:val="28"/>
        </w:rPr>
        <w:t>）</w:t>
      </w:r>
      <w:r>
        <w:rPr>
          <w:rFonts w:hint="eastAsia" w:eastAsia="仿宋"/>
          <w:sz w:val="28"/>
          <w:szCs w:val="28"/>
        </w:rPr>
        <w:t>焊渣S4</w:t>
      </w:r>
    </w:p>
    <w:p w14:paraId="39A26D01">
      <w:pPr>
        <w:pStyle w:val="22"/>
        <w:spacing w:line="500" w:lineRule="exact"/>
        <w:ind w:firstLine="560"/>
        <w:rPr>
          <w:rFonts w:eastAsia="仿宋"/>
          <w:sz w:val="28"/>
          <w:szCs w:val="28"/>
        </w:rPr>
      </w:pPr>
      <w:r>
        <w:rPr>
          <w:rFonts w:hint="eastAsia" w:eastAsia="仿宋"/>
          <w:sz w:val="28"/>
          <w:szCs w:val="28"/>
        </w:rPr>
        <w:t>铝板焊接过程有一定量的焊渣产生，类比同类项目，焊渣产生量约为0.1t/a，作为一般固废，统一收集后外售综合利用。</w:t>
      </w:r>
    </w:p>
    <w:p w14:paraId="4A9D6DF9">
      <w:pPr>
        <w:pStyle w:val="22"/>
        <w:spacing w:line="500" w:lineRule="exact"/>
        <w:ind w:firstLine="560"/>
        <w:rPr>
          <w:rFonts w:eastAsia="仿宋"/>
          <w:sz w:val="28"/>
          <w:szCs w:val="28"/>
        </w:rPr>
      </w:pPr>
      <w:r>
        <w:rPr>
          <w:rFonts w:hint="eastAsia" w:eastAsia="仿宋"/>
          <w:sz w:val="28"/>
          <w:szCs w:val="28"/>
        </w:rPr>
        <w:t>（4）</w:t>
      </w:r>
      <w:r>
        <w:rPr>
          <w:rFonts w:eastAsia="仿宋"/>
          <w:sz w:val="28"/>
          <w:szCs w:val="28"/>
        </w:rPr>
        <w:t>不合格品S6</w:t>
      </w:r>
    </w:p>
    <w:p w14:paraId="4DC11963">
      <w:pPr>
        <w:pStyle w:val="22"/>
        <w:spacing w:line="500" w:lineRule="exact"/>
        <w:ind w:firstLine="560"/>
        <w:rPr>
          <w:rFonts w:eastAsia="仿宋"/>
          <w:sz w:val="28"/>
          <w:szCs w:val="28"/>
        </w:rPr>
      </w:pPr>
      <w:r>
        <w:rPr>
          <w:rFonts w:hint="eastAsia" w:eastAsia="仿宋"/>
          <w:sz w:val="28"/>
          <w:szCs w:val="28"/>
        </w:rPr>
        <w:t>本项目检验过程中产生不合格品，根据企业提供资料，项目合格率约99.9%，则不合格品产生量约为5t/a，作为一般固废，统一收集后外售综合利用。</w:t>
      </w:r>
    </w:p>
    <w:p w14:paraId="1440DDA1">
      <w:pPr>
        <w:pStyle w:val="22"/>
        <w:spacing w:line="500" w:lineRule="exact"/>
        <w:ind w:firstLine="560"/>
        <w:rPr>
          <w:rFonts w:eastAsia="仿宋"/>
          <w:sz w:val="28"/>
          <w:szCs w:val="28"/>
        </w:rPr>
      </w:pPr>
      <w:r>
        <w:rPr>
          <w:rFonts w:hint="eastAsia" w:eastAsia="仿宋"/>
          <w:sz w:val="28"/>
          <w:szCs w:val="28"/>
        </w:rPr>
        <w:t>（</w:t>
      </w:r>
      <w:r>
        <w:rPr>
          <w:rFonts w:eastAsia="仿宋"/>
          <w:sz w:val="28"/>
          <w:szCs w:val="28"/>
        </w:rPr>
        <w:t>5</w:t>
      </w:r>
      <w:r>
        <w:rPr>
          <w:rFonts w:hint="eastAsia" w:eastAsia="仿宋"/>
          <w:sz w:val="28"/>
          <w:szCs w:val="28"/>
        </w:rPr>
        <w:t>）钝化废水S</w:t>
      </w:r>
      <w:r>
        <w:rPr>
          <w:rFonts w:eastAsia="仿宋"/>
          <w:sz w:val="28"/>
          <w:szCs w:val="28"/>
        </w:rPr>
        <w:t>7</w:t>
      </w:r>
    </w:p>
    <w:p w14:paraId="32FBDBBA">
      <w:pPr>
        <w:pStyle w:val="22"/>
        <w:spacing w:line="500" w:lineRule="exact"/>
        <w:ind w:firstLine="560"/>
        <w:rPr>
          <w:rFonts w:eastAsia="仿宋"/>
          <w:sz w:val="28"/>
          <w:szCs w:val="28"/>
        </w:rPr>
      </w:pPr>
      <w:r>
        <w:rPr>
          <w:rFonts w:hint="eastAsia" w:eastAsia="仿宋"/>
          <w:sz w:val="28"/>
          <w:szCs w:val="28"/>
        </w:rPr>
        <w:t>本项目钝化槽尺寸为</w:t>
      </w:r>
      <w:r>
        <w:rPr>
          <w:rFonts w:eastAsia="仿宋"/>
          <w:sz w:val="28"/>
          <w:szCs w:val="28"/>
        </w:rPr>
        <w:t>L2800</w:t>
      </w:r>
      <w:r>
        <w:rPr>
          <w:rFonts w:hint="eastAsia" w:eastAsia="仿宋"/>
          <w:sz w:val="28"/>
          <w:szCs w:val="28"/>
        </w:rPr>
        <w:t>×</w:t>
      </w:r>
      <w:r>
        <w:rPr>
          <w:rFonts w:eastAsia="仿宋"/>
          <w:sz w:val="28"/>
          <w:szCs w:val="28"/>
        </w:rPr>
        <w:t>W1220</w:t>
      </w:r>
      <w:r>
        <w:rPr>
          <w:rFonts w:hint="eastAsia" w:eastAsia="仿宋"/>
          <w:sz w:val="28"/>
          <w:szCs w:val="28"/>
        </w:rPr>
        <w:t>×</w:t>
      </w:r>
      <w:r>
        <w:rPr>
          <w:rFonts w:eastAsia="仿宋"/>
          <w:sz w:val="28"/>
          <w:szCs w:val="28"/>
        </w:rPr>
        <w:t>H970</w:t>
      </w:r>
      <w:r>
        <w:rPr>
          <w:rFonts w:hint="eastAsia" w:eastAsia="仿宋"/>
          <w:sz w:val="28"/>
          <w:szCs w:val="28"/>
        </w:rPr>
        <w:t>mm，部分原料与钝化液反应产生钝化废水，根据企业提供的资料，钝化废水需每四个月更换一次，因此产生钝化废水</w:t>
      </w:r>
      <w:r>
        <w:rPr>
          <w:rFonts w:eastAsia="仿宋"/>
          <w:sz w:val="28"/>
          <w:szCs w:val="28"/>
        </w:rPr>
        <w:t>9.9</w:t>
      </w:r>
      <w:r>
        <w:rPr>
          <w:rFonts w:hint="eastAsia" w:eastAsia="仿宋"/>
          <w:sz w:val="28"/>
          <w:szCs w:val="28"/>
        </w:rPr>
        <w:t>t</w:t>
      </w:r>
      <w:r>
        <w:rPr>
          <w:rFonts w:eastAsia="仿宋"/>
          <w:sz w:val="28"/>
          <w:szCs w:val="28"/>
        </w:rPr>
        <w:t>/a</w:t>
      </w:r>
      <w:r>
        <w:rPr>
          <w:rFonts w:hint="eastAsia" w:eastAsia="仿宋"/>
          <w:sz w:val="28"/>
          <w:szCs w:val="28"/>
        </w:rPr>
        <w:t>。</w:t>
      </w:r>
    </w:p>
    <w:p w14:paraId="56FC58AB">
      <w:pPr>
        <w:pStyle w:val="22"/>
        <w:spacing w:line="500" w:lineRule="exact"/>
        <w:ind w:firstLine="560"/>
        <w:rPr>
          <w:rFonts w:eastAsia="仿宋"/>
          <w:sz w:val="28"/>
          <w:szCs w:val="28"/>
        </w:rPr>
      </w:pPr>
      <w:r>
        <w:rPr>
          <w:rFonts w:hint="eastAsia" w:eastAsia="仿宋"/>
          <w:sz w:val="28"/>
          <w:szCs w:val="28"/>
        </w:rPr>
        <w:t>（6）水洗废水S</w:t>
      </w:r>
      <w:r>
        <w:rPr>
          <w:rFonts w:eastAsia="仿宋"/>
          <w:sz w:val="28"/>
          <w:szCs w:val="28"/>
        </w:rPr>
        <w:t>8</w:t>
      </w:r>
    </w:p>
    <w:p w14:paraId="47223DA9">
      <w:pPr>
        <w:pStyle w:val="22"/>
        <w:spacing w:line="500" w:lineRule="exact"/>
        <w:ind w:firstLine="560"/>
        <w:rPr>
          <w:rFonts w:eastAsia="仿宋"/>
          <w:sz w:val="28"/>
          <w:szCs w:val="28"/>
        </w:rPr>
      </w:pPr>
      <w:r>
        <w:rPr>
          <w:rFonts w:hint="eastAsia" w:eastAsia="仿宋"/>
          <w:sz w:val="28"/>
          <w:szCs w:val="28"/>
        </w:rPr>
        <w:t>本项目3</w:t>
      </w:r>
      <w:r>
        <w:rPr>
          <w:rFonts w:eastAsia="仿宋"/>
          <w:sz w:val="28"/>
          <w:szCs w:val="28"/>
        </w:rPr>
        <w:t>#</w:t>
      </w:r>
      <w:r>
        <w:rPr>
          <w:rFonts w:hint="eastAsia" w:eastAsia="仿宋"/>
          <w:sz w:val="28"/>
          <w:szCs w:val="28"/>
        </w:rPr>
        <w:t>水洗槽尺寸为L2800×W1000×H970mm，有效容积为</w:t>
      </w:r>
      <w:r>
        <w:rPr>
          <w:rFonts w:eastAsia="仿宋"/>
          <w:sz w:val="28"/>
          <w:szCs w:val="28"/>
        </w:rPr>
        <w:t>2.7m</w:t>
      </w:r>
      <w:r>
        <w:rPr>
          <w:rFonts w:eastAsia="仿宋"/>
          <w:sz w:val="28"/>
          <w:szCs w:val="28"/>
          <w:vertAlign w:val="superscript"/>
        </w:rPr>
        <w:t>3</w:t>
      </w:r>
      <w:r>
        <w:rPr>
          <w:rFonts w:hint="eastAsia" w:eastAsia="仿宋"/>
          <w:sz w:val="28"/>
          <w:szCs w:val="28"/>
        </w:rPr>
        <w:t>，水洗池用水需每两个月更换一次，因此产生水洗废水1</w:t>
      </w:r>
      <w:r>
        <w:rPr>
          <w:rFonts w:eastAsia="仿宋"/>
          <w:sz w:val="28"/>
          <w:szCs w:val="28"/>
        </w:rPr>
        <w:t>6.2</w:t>
      </w:r>
      <w:r>
        <w:rPr>
          <w:rFonts w:hint="eastAsia" w:eastAsia="仿宋"/>
          <w:sz w:val="28"/>
          <w:szCs w:val="28"/>
        </w:rPr>
        <w:t>t</w:t>
      </w:r>
      <w:r>
        <w:rPr>
          <w:rFonts w:eastAsia="仿宋"/>
          <w:sz w:val="28"/>
          <w:szCs w:val="28"/>
        </w:rPr>
        <w:t>/a</w:t>
      </w:r>
      <w:r>
        <w:rPr>
          <w:rFonts w:hint="eastAsia" w:eastAsia="仿宋"/>
          <w:sz w:val="28"/>
          <w:szCs w:val="28"/>
        </w:rPr>
        <w:t>。</w:t>
      </w:r>
    </w:p>
    <w:p w14:paraId="7D6C4102">
      <w:pPr>
        <w:pStyle w:val="22"/>
        <w:spacing w:line="500" w:lineRule="exact"/>
        <w:ind w:firstLine="560"/>
        <w:rPr>
          <w:rFonts w:eastAsia="仿宋"/>
          <w:sz w:val="28"/>
          <w:szCs w:val="28"/>
        </w:rPr>
      </w:pPr>
      <w:r>
        <w:rPr>
          <w:rFonts w:hint="eastAsia" w:eastAsia="仿宋"/>
          <w:sz w:val="28"/>
          <w:szCs w:val="28"/>
        </w:rPr>
        <w:t>（7）废塑粉S9</w:t>
      </w:r>
    </w:p>
    <w:p w14:paraId="6DBC5F0D">
      <w:pPr>
        <w:pStyle w:val="22"/>
        <w:spacing w:line="500" w:lineRule="exact"/>
        <w:ind w:firstLine="560"/>
        <w:rPr>
          <w:rFonts w:eastAsia="仿宋"/>
          <w:sz w:val="28"/>
          <w:szCs w:val="28"/>
        </w:rPr>
      </w:pPr>
      <w:r>
        <w:rPr>
          <w:rFonts w:hint="eastAsia" w:eastAsia="仿宋"/>
          <w:sz w:val="28"/>
          <w:szCs w:val="28"/>
        </w:rPr>
        <w:t>本项目喷粉过程会产生废塑粉，部分塑粉经回收后可继续用于生产，回收率为</w:t>
      </w:r>
      <w:r>
        <w:rPr>
          <w:rFonts w:eastAsia="仿宋"/>
          <w:sz w:val="28"/>
          <w:szCs w:val="28"/>
        </w:rPr>
        <w:t>72</w:t>
      </w:r>
      <w:r>
        <w:rPr>
          <w:rFonts w:hint="eastAsia" w:eastAsia="仿宋"/>
          <w:sz w:val="28"/>
          <w:szCs w:val="28"/>
        </w:rPr>
        <w:t>%，则废塑粉产生量为</w:t>
      </w:r>
      <w:r>
        <w:rPr>
          <w:rFonts w:eastAsia="仿宋"/>
          <w:sz w:val="28"/>
          <w:szCs w:val="28"/>
        </w:rPr>
        <w:t>8.2</w:t>
      </w:r>
      <w:r>
        <w:rPr>
          <w:rFonts w:hint="eastAsia" w:eastAsia="仿宋"/>
          <w:sz w:val="28"/>
          <w:szCs w:val="28"/>
        </w:rPr>
        <w:t>t/a。</w:t>
      </w:r>
    </w:p>
    <w:p w14:paraId="5BFEDB54">
      <w:pPr>
        <w:pStyle w:val="22"/>
        <w:spacing w:line="500" w:lineRule="exact"/>
        <w:ind w:firstLine="560"/>
        <w:rPr>
          <w:rFonts w:eastAsia="仿宋"/>
          <w:sz w:val="28"/>
          <w:szCs w:val="28"/>
        </w:rPr>
      </w:pPr>
      <w:r>
        <w:rPr>
          <w:rFonts w:hint="eastAsia" w:eastAsia="仿宋"/>
          <w:sz w:val="28"/>
          <w:szCs w:val="28"/>
        </w:rPr>
        <w:t>（8）水帘废水S1</w:t>
      </w:r>
      <w:r>
        <w:rPr>
          <w:rFonts w:eastAsia="仿宋"/>
          <w:sz w:val="28"/>
          <w:szCs w:val="28"/>
        </w:rPr>
        <w:t>0</w:t>
      </w:r>
      <w:r>
        <w:rPr>
          <w:rFonts w:hint="eastAsia" w:eastAsia="仿宋"/>
          <w:sz w:val="28"/>
          <w:szCs w:val="28"/>
        </w:rPr>
        <w:t>、S</w:t>
      </w:r>
      <w:r>
        <w:rPr>
          <w:rFonts w:eastAsia="仿宋"/>
          <w:sz w:val="28"/>
          <w:szCs w:val="28"/>
        </w:rPr>
        <w:t>12</w:t>
      </w:r>
    </w:p>
    <w:p w14:paraId="1671784C">
      <w:pPr>
        <w:pStyle w:val="22"/>
        <w:spacing w:line="500" w:lineRule="exact"/>
        <w:ind w:firstLine="560"/>
        <w:rPr>
          <w:rFonts w:eastAsia="仿宋"/>
          <w:sz w:val="28"/>
          <w:szCs w:val="28"/>
        </w:rPr>
      </w:pPr>
      <w:r>
        <w:rPr>
          <w:rFonts w:hint="eastAsia" w:eastAsia="仿宋"/>
          <w:sz w:val="28"/>
          <w:szCs w:val="28"/>
        </w:rPr>
        <w:t>本项目采用3套水帘式循环过滤系统对喷漆线废气进行处理，水帘循环系统循环水量为</w:t>
      </w:r>
      <w:r>
        <w:rPr>
          <w:rFonts w:eastAsia="仿宋"/>
          <w:sz w:val="28"/>
          <w:szCs w:val="28"/>
        </w:rPr>
        <w:t>2.5</w:t>
      </w:r>
      <w:r>
        <w:rPr>
          <w:rFonts w:hint="eastAsia" w:eastAsia="仿宋"/>
          <w:sz w:val="28"/>
          <w:szCs w:val="28"/>
        </w:rPr>
        <w:t>t，水帘中的水每隔3个月整体排空进行更换，则3套设备产生废水量为</w:t>
      </w:r>
      <w:r>
        <w:rPr>
          <w:rFonts w:eastAsia="仿宋"/>
          <w:sz w:val="28"/>
          <w:szCs w:val="28"/>
        </w:rPr>
        <w:t>30</w:t>
      </w:r>
      <w:r>
        <w:rPr>
          <w:rFonts w:hint="eastAsia" w:eastAsia="仿宋"/>
          <w:sz w:val="28"/>
          <w:szCs w:val="28"/>
        </w:rPr>
        <w:t>t</w:t>
      </w:r>
      <w:r>
        <w:rPr>
          <w:rFonts w:eastAsia="仿宋"/>
          <w:sz w:val="28"/>
          <w:szCs w:val="28"/>
        </w:rPr>
        <w:t>/</w:t>
      </w:r>
      <w:r>
        <w:rPr>
          <w:rFonts w:hint="eastAsia" w:eastAsia="仿宋"/>
          <w:sz w:val="28"/>
          <w:szCs w:val="28"/>
        </w:rPr>
        <w:t>a。</w:t>
      </w:r>
    </w:p>
    <w:p w14:paraId="166A54EC">
      <w:pPr>
        <w:pStyle w:val="22"/>
        <w:spacing w:line="500" w:lineRule="exact"/>
        <w:ind w:firstLine="560"/>
        <w:rPr>
          <w:rFonts w:eastAsia="仿宋"/>
          <w:sz w:val="28"/>
          <w:szCs w:val="28"/>
        </w:rPr>
      </w:pPr>
      <w:r>
        <w:rPr>
          <w:rFonts w:hint="eastAsia" w:eastAsia="仿宋"/>
          <w:sz w:val="28"/>
          <w:szCs w:val="28"/>
        </w:rPr>
        <w:t>（9）漆渣S1</w:t>
      </w:r>
      <w:r>
        <w:rPr>
          <w:rFonts w:eastAsia="仿宋"/>
          <w:sz w:val="28"/>
          <w:szCs w:val="28"/>
        </w:rPr>
        <w:t>1</w:t>
      </w:r>
      <w:r>
        <w:rPr>
          <w:rFonts w:hint="eastAsia" w:eastAsia="仿宋"/>
          <w:sz w:val="28"/>
          <w:szCs w:val="28"/>
        </w:rPr>
        <w:t>、S</w:t>
      </w:r>
      <w:r>
        <w:rPr>
          <w:rFonts w:eastAsia="仿宋"/>
          <w:sz w:val="28"/>
          <w:szCs w:val="28"/>
        </w:rPr>
        <w:t>13</w:t>
      </w:r>
    </w:p>
    <w:p w14:paraId="0D2D059C">
      <w:pPr>
        <w:pStyle w:val="22"/>
        <w:spacing w:line="500" w:lineRule="exact"/>
        <w:ind w:firstLine="560"/>
        <w:rPr>
          <w:rFonts w:eastAsia="仿宋"/>
          <w:sz w:val="28"/>
          <w:szCs w:val="28"/>
        </w:rPr>
      </w:pPr>
      <w:r>
        <w:rPr>
          <w:rFonts w:eastAsia="仿宋"/>
          <w:sz w:val="28"/>
          <w:szCs w:val="28"/>
        </w:rPr>
        <w:t>本</w:t>
      </w:r>
      <w:r>
        <w:rPr>
          <w:rFonts w:hint="eastAsia" w:eastAsia="仿宋"/>
          <w:sz w:val="28"/>
          <w:szCs w:val="28"/>
        </w:rPr>
        <w:t>项目漆雾经水帘及水喷淋塔处理产生漆渣，根据物料平衡，处理的氟碳底漆漆渣中固体量为3.421t/a，氟碳面漆漆渣中固体量为4.79t/a，含水率约60%，则漆渣产生量为20.52t/a，委托有资质单位收集处理。</w:t>
      </w:r>
    </w:p>
    <w:p w14:paraId="57776F1F">
      <w:pPr>
        <w:pStyle w:val="22"/>
        <w:spacing w:line="500" w:lineRule="exact"/>
        <w:ind w:firstLine="560"/>
        <w:rPr>
          <w:rFonts w:eastAsia="仿宋"/>
          <w:sz w:val="28"/>
          <w:szCs w:val="28"/>
        </w:rPr>
      </w:pPr>
      <w:r>
        <w:rPr>
          <w:rFonts w:hint="eastAsia" w:eastAsia="仿宋"/>
          <w:sz w:val="28"/>
          <w:szCs w:val="28"/>
        </w:rPr>
        <w:t>（10）废清洗液S</w:t>
      </w:r>
      <w:r>
        <w:rPr>
          <w:rFonts w:eastAsia="仿宋"/>
          <w:sz w:val="28"/>
          <w:szCs w:val="28"/>
        </w:rPr>
        <w:t>14</w:t>
      </w:r>
    </w:p>
    <w:p w14:paraId="2146C3C5">
      <w:pPr>
        <w:pStyle w:val="22"/>
        <w:spacing w:line="500" w:lineRule="exact"/>
        <w:ind w:firstLine="560"/>
        <w:rPr>
          <w:rFonts w:eastAsia="仿宋"/>
          <w:sz w:val="28"/>
          <w:szCs w:val="28"/>
        </w:rPr>
      </w:pPr>
      <w:r>
        <w:rPr>
          <w:rFonts w:hint="eastAsia" w:eastAsia="仿宋"/>
          <w:sz w:val="28"/>
          <w:szCs w:val="28"/>
        </w:rPr>
        <w:t>本项目喷枪需定期清洗，以防油漆堵塞枪嘴，根据企业提供资料，油性漆清洗喷枪采用稀释剂，使用量约5t/a，约</w:t>
      </w:r>
      <w:r>
        <w:rPr>
          <w:rFonts w:eastAsia="仿宋"/>
          <w:sz w:val="28"/>
          <w:szCs w:val="28"/>
        </w:rPr>
        <w:t>1</w:t>
      </w:r>
      <w:r>
        <w:rPr>
          <w:rFonts w:hint="eastAsia" w:eastAsia="仿宋"/>
          <w:sz w:val="28"/>
          <w:szCs w:val="28"/>
        </w:rPr>
        <w:t>0%挥发成为有机废气，</w:t>
      </w:r>
      <w:r>
        <w:rPr>
          <w:rFonts w:eastAsia="仿宋"/>
          <w:sz w:val="28"/>
          <w:szCs w:val="28"/>
        </w:rPr>
        <w:t>9</w:t>
      </w:r>
      <w:r>
        <w:rPr>
          <w:rFonts w:hint="eastAsia" w:eastAsia="仿宋"/>
          <w:sz w:val="28"/>
          <w:szCs w:val="28"/>
        </w:rPr>
        <w:t>0%产生废有机溶剂，则油性漆清洗喷枪产生废清洗液</w:t>
      </w:r>
      <w:r>
        <w:rPr>
          <w:rFonts w:eastAsia="仿宋"/>
          <w:sz w:val="28"/>
          <w:szCs w:val="28"/>
        </w:rPr>
        <w:t>4.5</w:t>
      </w:r>
      <w:r>
        <w:rPr>
          <w:rFonts w:hint="eastAsia" w:eastAsia="仿宋"/>
          <w:sz w:val="28"/>
          <w:szCs w:val="28"/>
        </w:rPr>
        <w:t>t/a。</w:t>
      </w:r>
    </w:p>
    <w:p w14:paraId="7CD649AE">
      <w:pPr>
        <w:pStyle w:val="22"/>
        <w:spacing w:line="500" w:lineRule="exact"/>
        <w:ind w:firstLine="560"/>
        <w:rPr>
          <w:rFonts w:eastAsia="仿宋"/>
          <w:sz w:val="28"/>
          <w:szCs w:val="28"/>
        </w:rPr>
      </w:pPr>
      <w:r>
        <w:rPr>
          <w:rFonts w:hint="eastAsia" w:eastAsia="仿宋"/>
          <w:sz w:val="28"/>
          <w:szCs w:val="28"/>
        </w:rPr>
        <w:t>（11）挂具漆渣S1</w:t>
      </w:r>
      <w:r>
        <w:rPr>
          <w:rFonts w:eastAsia="仿宋"/>
          <w:sz w:val="28"/>
          <w:szCs w:val="28"/>
        </w:rPr>
        <w:t>5</w:t>
      </w:r>
    </w:p>
    <w:p w14:paraId="17B61DC6">
      <w:pPr>
        <w:pStyle w:val="22"/>
        <w:spacing w:line="500" w:lineRule="exact"/>
        <w:ind w:firstLine="560"/>
        <w:rPr>
          <w:rFonts w:eastAsia="仿宋"/>
          <w:sz w:val="28"/>
          <w:szCs w:val="28"/>
        </w:rPr>
      </w:pPr>
      <w:r>
        <w:rPr>
          <w:rFonts w:hint="eastAsia" w:eastAsia="仿宋"/>
          <w:sz w:val="28"/>
          <w:szCs w:val="28"/>
        </w:rPr>
        <w:t>本项目挂具清理产生漆渣，根据物料平衡，漆渣产生量为1.015t/a，委托有资质单位收集处理。</w:t>
      </w:r>
    </w:p>
    <w:p w14:paraId="198883E6">
      <w:pPr>
        <w:pStyle w:val="22"/>
        <w:spacing w:line="500" w:lineRule="exact"/>
        <w:ind w:firstLine="560"/>
        <w:rPr>
          <w:rFonts w:eastAsia="仿宋"/>
          <w:sz w:val="28"/>
          <w:szCs w:val="28"/>
        </w:rPr>
      </w:pPr>
      <w:r>
        <w:rPr>
          <w:rFonts w:eastAsia="仿宋"/>
          <w:sz w:val="28"/>
          <w:szCs w:val="28"/>
        </w:rPr>
        <w:t>（</w:t>
      </w:r>
      <w:r>
        <w:rPr>
          <w:rFonts w:hint="eastAsia" w:eastAsia="仿宋"/>
          <w:sz w:val="28"/>
          <w:szCs w:val="28"/>
        </w:rPr>
        <w:t>12</w:t>
      </w:r>
      <w:r>
        <w:rPr>
          <w:rFonts w:eastAsia="仿宋"/>
          <w:sz w:val="28"/>
          <w:szCs w:val="28"/>
        </w:rPr>
        <w:t>）</w:t>
      </w:r>
      <w:r>
        <w:rPr>
          <w:rFonts w:hint="eastAsia" w:eastAsia="仿宋"/>
          <w:sz w:val="28"/>
          <w:szCs w:val="28"/>
        </w:rPr>
        <w:t>废一般包装S1</w:t>
      </w:r>
      <w:r>
        <w:rPr>
          <w:rFonts w:eastAsia="仿宋"/>
          <w:sz w:val="28"/>
          <w:szCs w:val="28"/>
        </w:rPr>
        <w:t>6</w:t>
      </w:r>
    </w:p>
    <w:p w14:paraId="3CB87CEA">
      <w:pPr>
        <w:pStyle w:val="22"/>
        <w:spacing w:line="500" w:lineRule="exact"/>
        <w:ind w:firstLine="560"/>
        <w:rPr>
          <w:rFonts w:eastAsia="仿宋"/>
          <w:sz w:val="28"/>
          <w:szCs w:val="28"/>
        </w:rPr>
      </w:pPr>
      <w:r>
        <w:rPr>
          <w:rFonts w:hint="eastAsia" w:eastAsia="仿宋"/>
          <w:sz w:val="28"/>
          <w:szCs w:val="28"/>
        </w:rPr>
        <w:t>本项目使用铝板、焊丝、氟碳粉等原辅料时产生，根据企业提供资料，产生量约0.5t/a，作为一般固废，统一收集后外售综合利用。</w:t>
      </w:r>
    </w:p>
    <w:p w14:paraId="49C70B5C">
      <w:pPr>
        <w:pStyle w:val="22"/>
        <w:spacing w:line="500" w:lineRule="exact"/>
        <w:ind w:firstLine="560"/>
        <w:rPr>
          <w:rFonts w:eastAsia="仿宋"/>
          <w:sz w:val="28"/>
          <w:szCs w:val="28"/>
        </w:rPr>
      </w:pPr>
      <w:r>
        <w:rPr>
          <w:rFonts w:hint="eastAsia" w:eastAsia="仿宋"/>
          <w:sz w:val="28"/>
          <w:szCs w:val="28"/>
        </w:rPr>
        <w:t>（</w:t>
      </w:r>
      <w:r>
        <w:rPr>
          <w:rFonts w:eastAsia="仿宋"/>
          <w:sz w:val="28"/>
          <w:szCs w:val="28"/>
        </w:rPr>
        <w:t>1</w:t>
      </w:r>
      <w:r>
        <w:rPr>
          <w:rFonts w:hint="eastAsia" w:eastAsia="仿宋"/>
          <w:sz w:val="28"/>
          <w:szCs w:val="28"/>
        </w:rPr>
        <w:t>3）废滤筒S1</w:t>
      </w:r>
      <w:r>
        <w:rPr>
          <w:rFonts w:eastAsia="仿宋"/>
          <w:sz w:val="28"/>
          <w:szCs w:val="28"/>
        </w:rPr>
        <w:t>7</w:t>
      </w:r>
    </w:p>
    <w:p w14:paraId="6E25B6DE">
      <w:pPr>
        <w:pStyle w:val="22"/>
        <w:spacing w:line="500" w:lineRule="exact"/>
        <w:ind w:firstLine="560"/>
        <w:rPr>
          <w:rFonts w:eastAsia="仿宋"/>
          <w:sz w:val="28"/>
          <w:szCs w:val="28"/>
        </w:rPr>
      </w:pPr>
      <w:r>
        <w:rPr>
          <w:rFonts w:hint="eastAsia" w:eastAsia="仿宋"/>
          <w:sz w:val="28"/>
          <w:szCs w:val="28"/>
        </w:rPr>
        <w:t>本项目废气处理设施“滤筒过滤装置”中，滤筒需每年更换，根据废气处理量及同类型项目，更换量为</w:t>
      </w:r>
      <w:r>
        <w:rPr>
          <w:rFonts w:eastAsia="仿宋"/>
          <w:sz w:val="28"/>
          <w:szCs w:val="28"/>
        </w:rPr>
        <w:t>2</w:t>
      </w:r>
      <w:r>
        <w:rPr>
          <w:rFonts w:hint="eastAsia" w:eastAsia="仿宋"/>
          <w:sz w:val="28"/>
          <w:szCs w:val="28"/>
        </w:rPr>
        <w:t>t/a，统一收集后外售综合利用。</w:t>
      </w:r>
    </w:p>
    <w:p w14:paraId="12896113">
      <w:pPr>
        <w:pStyle w:val="22"/>
        <w:spacing w:line="500" w:lineRule="exact"/>
        <w:ind w:firstLine="560"/>
        <w:rPr>
          <w:rFonts w:eastAsia="仿宋"/>
          <w:sz w:val="28"/>
          <w:szCs w:val="28"/>
        </w:rPr>
      </w:pPr>
      <w:r>
        <w:rPr>
          <w:rFonts w:hint="eastAsia" w:eastAsia="仿宋"/>
          <w:sz w:val="28"/>
          <w:szCs w:val="28"/>
        </w:rPr>
        <w:t>（</w:t>
      </w:r>
      <w:r>
        <w:rPr>
          <w:rFonts w:eastAsia="仿宋"/>
          <w:sz w:val="28"/>
          <w:szCs w:val="28"/>
        </w:rPr>
        <w:t>1</w:t>
      </w:r>
      <w:r>
        <w:rPr>
          <w:rFonts w:hint="eastAsia" w:eastAsia="仿宋"/>
          <w:sz w:val="28"/>
          <w:szCs w:val="28"/>
        </w:rPr>
        <w:t>4）收集尘S1</w:t>
      </w:r>
      <w:r>
        <w:rPr>
          <w:rFonts w:eastAsia="仿宋"/>
          <w:sz w:val="28"/>
          <w:szCs w:val="28"/>
        </w:rPr>
        <w:t>8</w:t>
      </w:r>
    </w:p>
    <w:p w14:paraId="48CFC060">
      <w:pPr>
        <w:pStyle w:val="22"/>
        <w:spacing w:line="500" w:lineRule="exact"/>
        <w:ind w:firstLine="560"/>
        <w:rPr>
          <w:rFonts w:eastAsia="仿宋"/>
          <w:sz w:val="28"/>
          <w:szCs w:val="28"/>
        </w:rPr>
      </w:pPr>
      <w:r>
        <w:rPr>
          <w:rFonts w:hint="eastAsia" w:eastAsia="仿宋"/>
          <w:sz w:val="28"/>
          <w:szCs w:val="28"/>
        </w:rPr>
        <w:t>本项目焊接烟尘通过1套移动式除尘器处理，根据前述工程分析，收集粉尘量为0.024t/a，作为一般固废，统一收集后外售综合利用。</w:t>
      </w:r>
    </w:p>
    <w:p w14:paraId="7A5E40FA">
      <w:pPr>
        <w:pStyle w:val="22"/>
        <w:spacing w:line="500" w:lineRule="exact"/>
        <w:ind w:firstLine="560"/>
        <w:rPr>
          <w:rFonts w:eastAsia="仿宋"/>
          <w:sz w:val="28"/>
          <w:szCs w:val="28"/>
        </w:rPr>
      </w:pPr>
      <w:r>
        <w:rPr>
          <w:rFonts w:hint="eastAsia" w:eastAsia="仿宋"/>
          <w:sz w:val="28"/>
          <w:szCs w:val="28"/>
        </w:rPr>
        <w:t>（</w:t>
      </w:r>
      <w:r>
        <w:rPr>
          <w:rFonts w:eastAsia="仿宋"/>
          <w:sz w:val="28"/>
          <w:szCs w:val="28"/>
        </w:rPr>
        <w:t>1</w:t>
      </w:r>
      <w:r>
        <w:rPr>
          <w:rFonts w:hint="eastAsia" w:eastAsia="仿宋"/>
          <w:sz w:val="28"/>
          <w:szCs w:val="28"/>
        </w:rPr>
        <w:t>5）湿渣S1</w:t>
      </w:r>
      <w:r>
        <w:rPr>
          <w:rFonts w:eastAsia="仿宋"/>
          <w:sz w:val="28"/>
          <w:szCs w:val="28"/>
        </w:rPr>
        <w:t>9</w:t>
      </w:r>
    </w:p>
    <w:p w14:paraId="7BE8D2FE">
      <w:pPr>
        <w:pStyle w:val="22"/>
        <w:spacing w:line="500" w:lineRule="exact"/>
        <w:ind w:firstLine="560"/>
        <w:rPr>
          <w:rFonts w:eastAsia="仿宋"/>
          <w:sz w:val="28"/>
          <w:szCs w:val="28"/>
        </w:rPr>
      </w:pPr>
      <w:r>
        <w:rPr>
          <w:rFonts w:hint="eastAsia" w:eastAsia="仿宋"/>
          <w:sz w:val="28"/>
          <w:szCs w:val="28"/>
        </w:rPr>
        <w:t>本项目抛光粉尘通过1套“湿式除尘器”处理，根据废气处理量收集湿渣量为</w:t>
      </w:r>
      <w:r>
        <w:rPr>
          <w:rFonts w:eastAsia="仿宋"/>
          <w:sz w:val="28"/>
          <w:szCs w:val="28"/>
        </w:rPr>
        <w:t>0.</w:t>
      </w:r>
      <w:r>
        <w:rPr>
          <w:rFonts w:hint="eastAsia" w:eastAsia="仿宋"/>
          <w:sz w:val="28"/>
          <w:szCs w:val="28"/>
        </w:rPr>
        <w:t>39t/a，作为一般固废，统一收集后外售综合利用。</w:t>
      </w:r>
    </w:p>
    <w:p w14:paraId="3BC3B93C">
      <w:pPr>
        <w:pStyle w:val="22"/>
        <w:spacing w:line="500" w:lineRule="exact"/>
        <w:ind w:firstLine="560"/>
        <w:rPr>
          <w:rFonts w:eastAsia="仿宋"/>
          <w:sz w:val="28"/>
          <w:szCs w:val="28"/>
        </w:rPr>
      </w:pPr>
      <w:r>
        <w:rPr>
          <w:rFonts w:eastAsia="仿宋"/>
          <w:sz w:val="28"/>
          <w:szCs w:val="28"/>
        </w:rPr>
        <w:t>（1</w:t>
      </w:r>
      <w:r>
        <w:rPr>
          <w:rFonts w:hint="eastAsia" w:eastAsia="仿宋"/>
          <w:sz w:val="28"/>
          <w:szCs w:val="28"/>
        </w:rPr>
        <w:t>6</w:t>
      </w:r>
      <w:r>
        <w:rPr>
          <w:rFonts w:eastAsia="仿宋"/>
          <w:sz w:val="28"/>
          <w:szCs w:val="28"/>
        </w:rPr>
        <w:t>）废</w:t>
      </w:r>
      <w:r>
        <w:rPr>
          <w:rFonts w:hint="eastAsia" w:eastAsia="仿宋"/>
          <w:sz w:val="28"/>
          <w:szCs w:val="28"/>
        </w:rPr>
        <w:t>包装桶S</w:t>
      </w:r>
      <w:r>
        <w:rPr>
          <w:rFonts w:eastAsia="仿宋"/>
          <w:sz w:val="28"/>
          <w:szCs w:val="28"/>
        </w:rPr>
        <w:t>20</w:t>
      </w:r>
    </w:p>
    <w:p w14:paraId="6352FCEF">
      <w:pPr>
        <w:pStyle w:val="22"/>
        <w:spacing w:line="500" w:lineRule="exact"/>
        <w:ind w:firstLine="560"/>
        <w:rPr>
          <w:rFonts w:eastAsia="仿宋"/>
          <w:sz w:val="28"/>
          <w:szCs w:val="28"/>
        </w:rPr>
      </w:pPr>
      <w:r>
        <w:rPr>
          <w:rFonts w:hint="eastAsia" w:eastAsia="仿宋"/>
          <w:sz w:val="28"/>
          <w:szCs w:val="28"/>
        </w:rPr>
        <w:t>本项目氟碳面漆、氟碳底漆、稀释剂等原料为桶装。结合物料消耗及包装桶规格核算废包装容器产生情况，合计产生量约12.46t/a，具体计算过程如下。废包装桶属于危险废物，统一收集后拟交由有资质的单位合理处置。</w:t>
      </w:r>
    </w:p>
    <w:p w14:paraId="6A4F0390">
      <w:pPr>
        <w:spacing w:line="500" w:lineRule="exact"/>
        <w:jc w:val="center"/>
        <w:rPr>
          <w:rFonts w:ascii="Times New Roman" w:eastAsia="仿宋"/>
          <w:b/>
        </w:rPr>
      </w:pPr>
      <w:r>
        <w:rPr>
          <w:rFonts w:hint="eastAsia" w:ascii="Times New Roman" w:eastAsia="仿宋"/>
          <w:b/>
        </w:rPr>
        <w:t>表</w:t>
      </w:r>
      <w:r>
        <w:rPr>
          <w:rFonts w:ascii="Times New Roman" w:eastAsia="仿宋"/>
          <w:b/>
        </w:rPr>
        <w:t>3</w:t>
      </w:r>
      <w:r>
        <w:rPr>
          <w:rFonts w:hint="eastAsia" w:ascii="Times New Roman" w:eastAsia="仿宋"/>
          <w:b/>
        </w:rPr>
        <w:t>.2-</w:t>
      </w:r>
      <w:r>
        <w:rPr>
          <w:rFonts w:ascii="Times New Roman" w:eastAsia="仿宋"/>
          <w:b/>
        </w:rPr>
        <w:t>12</w:t>
      </w:r>
      <w:r>
        <w:rPr>
          <w:rFonts w:hint="eastAsia" w:ascii="Times New Roman" w:eastAsia="仿宋"/>
          <w:b/>
        </w:rPr>
        <w:t xml:space="preserve">  废包装容器产生情况核算过程</w:t>
      </w:r>
    </w:p>
    <w:tbl>
      <w:tblPr>
        <w:tblStyle w:val="87"/>
        <w:tblW w:w="54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844"/>
        <w:gridCol w:w="1325"/>
        <w:gridCol w:w="1245"/>
        <w:gridCol w:w="1361"/>
        <w:gridCol w:w="1158"/>
        <w:gridCol w:w="1138"/>
      </w:tblGrid>
      <w:tr w14:paraId="50AF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Merge w:val="restart"/>
            <w:vAlign w:val="center"/>
          </w:tcPr>
          <w:p w14:paraId="1E42D840">
            <w:pPr>
              <w:widowControl/>
              <w:jc w:val="center"/>
              <w:rPr>
                <w:rFonts w:ascii="Times New Roman" w:eastAsia="仿宋"/>
                <w:szCs w:val="24"/>
              </w:rPr>
            </w:pPr>
            <w:r>
              <w:rPr>
                <w:rFonts w:ascii="Times New Roman" w:eastAsia="仿宋"/>
                <w:szCs w:val="24"/>
              </w:rPr>
              <w:t>原辅材料</w:t>
            </w:r>
          </w:p>
        </w:tc>
        <w:tc>
          <w:tcPr>
            <w:tcW w:w="730" w:type="pct"/>
            <w:vMerge w:val="restart"/>
            <w:vAlign w:val="center"/>
          </w:tcPr>
          <w:p w14:paraId="1E5A5C50">
            <w:pPr>
              <w:widowControl/>
              <w:jc w:val="center"/>
              <w:rPr>
                <w:rFonts w:ascii="Times New Roman" w:eastAsia="仿宋"/>
                <w:szCs w:val="24"/>
              </w:rPr>
            </w:pPr>
            <w:r>
              <w:rPr>
                <w:rFonts w:hint="eastAsia" w:ascii="Times New Roman" w:eastAsia="仿宋"/>
                <w:szCs w:val="24"/>
              </w:rPr>
              <w:t>消耗量t</w:t>
            </w:r>
          </w:p>
        </w:tc>
        <w:tc>
          <w:tcPr>
            <w:tcW w:w="686" w:type="pct"/>
            <w:vMerge w:val="restart"/>
            <w:vAlign w:val="center"/>
          </w:tcPr>
          <w:p w14:paraId="426AE190">
            <w:pPr>
              <w:widowControl/>
              <w:jc w:val="center"/>
              <w:rPr>
                <w:rFonts w:ascii="Times New Roman" w:eastAsia="仿宋"/>
                <w:szCs w:val="24"/>
              </w:rPr>
            </w:pPr>
            <w:r>
              <w:rPr>
                <w:rFonts w:ascii="Times New Roman" w:eastAsia="仿宋"/>
                <w:szCs w:val="24"/>
              </w:rPr>
              <w:t>包装规格</w:t>
            </w:r>
          </w:p>
        </w:tc>
        <w:tc>
          <w:tcPr>
            <w:tcW w:w="750" w:type="pct"/>
            <w:vMerge w:val="restart"/>
            <w:vAlign w:val="center"/>
          </w:tcPr>
          <w:p w14:paraId="07D705DA">
            <w:pPr>
              <w:widowControl/>
              <w:jc w:val="center"/>
              <w:rPr>
                <w:rFonts w:ascii="Times New Roman" w:eastAsia="仿宋"/>
                <w:szCs w:val="24"/>
              </w:rPr>
            </w:pPr>
            <w:r>
              <w:rPr>
                <w:rFonts w:ascii="Times New Roman" w:eastAsia="仿宋"/>
                <w:szCs w:val="24"/>
              </w:rPr>
              <w:t>单</w:t>
            </w:r>
            <w:r>
              <w:rPr>
                <w:rFonts w:hint="eastAsia" w:ascii="Times New Roman" w:eastAsia="仿宋"/>
                <w:szCs w:val="24"/>
              </w:rPr>
              <w:t>只</w:t>
            </w:r>
            <w:r>
              <w:rPr>
                <w:rFonts w:ascii="Times New Roman" w:eastAsia="仿宋"/>
                <w:szCs w:val="24"/>
              </w:rPr>
              <w:t>重量kg</w:t>
            </w:r>
          </w:p>
        </w:tc>
        <w:tc>
          <w:tcPr>
            <w:tcW w:w="1263" w:type="pct"/>
            <w:gridSpan w:val="2"/>
            <w:vAlign w:val="center"/>
          </w:tcPr>
          <w:p w14:paraId="2AAC1521">
            <w:pPr>
              <w:widowControl/>
              <w:jc w:val="center"/>
              <w:rPr>
                <w:rFonts w:ascii="Times New Roman" w:eastAsia="仿宋"/>
                <w:szCs w:val="24"/>
              </w:rPr>
            </w:pPr>
            <w:r>
              <w:rPr>
                <w:rFonts w:ascii="Times New Roman" w:eastAsia="仿宋"/>
                <w:szCs w:val="24"/>
              </w:rPr>
              <w:t>产生量</w:t>
            </w:r>
          </w:p>
        </w:tc>
      </w:tr>
      <w:tr w14:paraId="17D9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Merge w:val="continue"/>
            <w:vAlign w:val="center"/>
          </w:tcPr>
          <w:p w14:paraId="4E309816">
            <w:pPr>
              <w:widowControl/>
              <w:jc w:val="center"/>
              <w:rPr>
                <w:rFonts w:ascii="Times New Roman" w:eastAsia="仿宋"/>
                <w:szCs w:val="24"/>
              </w:rPr>
            </w:pPr>
          </w:p>
        </w:tc>
        <w:tc>
          <w:tcPr>
            <w:tcW w:w="730" w:type="pct"/>
            <w:vMerge w:val="continue"/>
            <w:vAlign w:val="center"/>
          </w:tcPr>
          <w:p w14:paraId="5A7EAD65">
            <w:pPr>
              <w:widowControl/>
              <w:jc w:val="center"/>
              <w:rPr>
                <w:rFonts w:ascii="Times New Roman" w:eastAsia="仿宋"/>
                <w:szCs w:val="24"/>
              </w:rPr>
            </w:pPr>
          </w:p>
        </w:tc>
        <w:tc>
          <w:tcPr>
            <w:tcW w:w="686" w:type="pct"/>
            <w:vMerge w:val="continue"/>
            <w:vAlign w:val="center"/>
          </w:tcPr>
          <w:p w14:paraId="37D28024">
            <w:pPr>
              <w:widowControl/>
              <w:jc w:val="center"/>
              <w:rPr>
                <w:rFonts w:ascii="Times New Roman" w:eastAsia="仿宋"/>
                <w:szCs w:val="24"/>
              </w:rPr>
            </w:pPr>
          </w:p>
        </w:tc>
        <w:tc>
          <w:tcPr>
            <w:tcW w:w="750" w:type="pct"/>
            <w:vMerge w:val="continue"/>
            <w:vAlign w:val="center"/>
          </w:tcPr>
          <w:p w14:paraId="3A713C38">
            <w:pPr>
              <w:widowControl/>
              <w:jc w:val="center"/>
              <w:rPr>
                <w:rFonts w:ascii="Times New Roman" w:eastAsia="仿宋"/>
                <w:szCs w:val="24"/>
              </w:rPr>
            </w:pPr>
          </w:p>
        </w:tc>
        <w:tc>
          <w:tcPr>
            <w:tcW w:w="636" w:type="pct"/>
            <w:vAlign w:val="center"/>
          </w:tcPr>
          <w:p w14:paraId="24DD6A60">
            <w:pPr>
              <w:widowControl/>
              <w:jc w:val="center"/>
              <w:rPr>
                <w:rFonts w:ascii="Times New Roman" w:eastAsia="仿宋"/>
                <w:szCs w:val="24"/>
              </w:rPr>
            </w:pPr>
            <w:r>
              <w:rPr>
                <w:rFonts w:hint="eastAsia" w:ascii="Times New Roman" w:eastAsia="仿宋"/>
                <w:szCs w:val="24"/>
              </w:rPr>
              <w:t>桶/</w:t>
            </w:r>
            <w:r>
              <w:rPr>
                <w:rFonts w:ascii="Times New Roman" w:eastAsia="仿宋"/>
                <w:szCs w:val="24"/>
              </w:rPr>
              <w:t>a</w:t>
            </w:r>
          </w:p>
        </w:tc>
        <w:tc>
          <w:tcPr>
            <w:tcW w:w="627" w:type="pct"/>
            <w:vAlign w:val="center"/>
          </w:tcPr>
          <w:p w14:paraId="381472D5">
            <w:pPr>
              <w:widowControl/>
              <w:jc w:val="center"/>
              <w:rPr>
                <w:rFonts w:ascii="Times New Roman" w:eastAsia="仿宋"/>
                <w:szCs w:val="24"/>
              </w:rPr>
            </w:pPr>
            <w:r>
              <w:rPr>
                <w:rFonts w:hint="eastAsia" w:ascii="Times New Roman" w:eastAsia="仿宋"/>
                <w:szCs w:val="24"/>
              </w:rPr>
              <w:t>kg</w:t>
            </w:r>
            <w:r>
              <w:rPr>
                <w:rFonts w:ascii="Times New Roman" w:eastAsia="仿宋"/>
                <w:szCs w:val="24"/>
              </w:rPr>
              <w:t>/a</w:t>
            </w:r>
          </w:p>
        </w:tc>
      </w:tr>
      <w:tr w14:paraId="0BDF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041BFFF7">
            <w:pPr>
              <w:widowControl/>
              <w:jc w:val="center"/>
              <w:rPr>
                <w:rFonts w:ascii="Times New Roman" w:eastAsia="仿宋"/>
                <w:szCs w:val="24"/>
              </w:rPr>
            </w:pPr>
            <w:r>
              <w:rPr>
                <w:rFonts w:hint="eastAsia" w:ascii="Times New Roman" w:eastAsia="仿宋"/>
                <w:szCs w:val="24"/>
              </w:rPr>
              <w:t>脱脂清洗剂</w:t>
            </w:r>
          </w:p>
        </w:tc>
        <w:tc>
          <w:tcPr>
            <w:tcW w:w="730" w:type="pct"/>
            <w:vAlign w:val="center"/>
          </w:tcPr>
          <w:p w14:paraId="79CE025B">
            <w:pPr>
              <w:widowControl/>
              <w:jc w:val="center"/>
              <w:rPr>
                <w:rFonts w:ascii="Times New Roman" w:eastAsia="仿宋"/>
                <w:szCs w:val="24"/>
              </w:rPr>
            </w:pPr>
            <w:r>
              <w:rPr>
                <w:rFonts w:hint="eastAsia" w:ascii="Times New Roman" w:eastAsia="仿宋"/>
                <w:szCs w:val="24"/>
              </w:rPr>
              <w:t>25</w:t>
            </w:r>
          </w:p>
        </w:tc>
        <w:tc>
          <w:tcPr>
            <w:tcW w:w="686" w:type="pct"/>
            <w:vAlign w:val="center"/>
          </w:tcPr>
          <w:p w14:paraId="499330EC">
            <w:pPr>
              <w:widowControl/>
              <w:jc w:val="center"/>
              <w:rPr>
                <w:rFonts w:ascii="Times New Roman" w:eastAsia="仿宋"/>
                <w:szCs w:val="24"/>
              </w:rPr>
            </w:pPr>
            <w:r>
              <w:rPr>
                <w:rFonts w:hint="eastAsia" w:ascii="Times New Roman" w:eastAsia="仿宋"/>
                <w:szCs w:val="24"/>
              </w:rPr>
              <w:t>1t/桶</w:t>
            </w:r>
          </w:p>
        </w:tc>
        <w:tc>
          <w:tcPr>
            <w:tcW w:w="750" w:type="pct"/>
            <w:vAlign w:val="center"/>
          </w:tcPr>
          <w:p w14:paraId="3B03DECB">
            <w:pPr>
              <w:widowControl/>
              <w:jc w:val="center"/>
              <w:rPr>
                <w:rFonts w:ascii="Times New Roman" w:eastAsia="仿宋"/>
                <w:szCs w:val="24"/>
              </w:rPr>
            </w:pPr>
            <w:r>
              <w:rPr>
                <w:rFonts w:hint="eastAsia" w:ascii="Times New Roman" w:eastAsia="仿宋"/>
                <w:szCs w:val="24"/>
              </w:rPr>
              <w:t>50</w:t>
            </w:r>
          </w:p>
        </w:tc>
        <w:tc>
          <w:tcPr>
            <w:tcW w:w="636" w:type="pct"/>
            <w:vAlign w:val="center"/>
          </w:tcPr>
          <w:p w14:paraId="6800A068">
            <w:pPr>
              <w:widowControl/>
              <w:jc w:val="center"/>
              <w:rPr>
                <w:rFonts w:ascii="Times New Roman" w:eastAsia="仿宋"/>
                <w:szCs w:val="24"/>
              </w:rPr>
            </w:pPr>
            <w:r>
              <w:rPr>
                <w:rFonts w:hint="eastAsia" w:ascii="Times New Roman" w:eastAsia="仿宋"/>
                <w:szCs w:val="24"/>
              </w:rPr>
              <w:t>25</w:t>
            </w:r>
          </w:p>
        </w:tc>
        <w:tc>
          <w:tcPr>
            <w:tcW w:w="627" w:type="pct"/>
            <w:vAlign w:val="center"/>
          </w:tcPr>
          <w:p w14:paraId="2D7B2EC2">
            <w:pPr>
              <w:widowControl/>
              <w:jc w:val="center"/>
              <w:rPr>
                <w:rFonts w:ascii="Times New Roman" w:eastAsia="仿宋"/>
                <w:szCs w:val="24"/>
              </w:rPr>
            </w:pPr>
            <w:r>
              <w:rPr>
                <w:rFonts w:hint="eastAsia" w:ascii="Times New Roman" w:eastAsia="仿宋"/>
                <w:szCs w:val="24"/>
              </w:rPr>
              <w:t>1250</w:t>
            </w:r>
          </w:p>
        </w:tc>
      </w:tr>
      <w:tr w14:paraId="15AF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7D381ABB">
            <w:pPr>
              <w:widowControl/>
              <w:jc w:val="center"/>
              <w:rPr>
                <w:rFonts w:ascii="Times New Roman" w:eastAsia="仿宋"/>
                <w:szCs w:val="24"/>
              </w:rPr>
            </w:pPr>
            <w:r>
              <w:rPr>
                <w:rFonts w:hint="eastAsia" w:ascii="Times New Roman" w:eastAsia="仿宋"/>
                <w:szCs w:val="24"/>
              </w:rPr>
              <w:t>钝化剂</w:t>
            </w:r>
          </w:p>
        </w:tc>
        <w:tc>
          <w:tcPr>
            <w:tcW w:w="730" w:type="pct"/>
            <w:vAlign w:val="center"/>
          </w:tcPr>
          <w:p w14:paraId="2DA331F4">
            <w:pPr>
              <w:widowControl/>
              <w:jc w:val="center"/>
              <w:rPr>
                <w:rFonts w:ascii="Times New Roman" w:eastAsia="仿宋"/>
                <w:szCs w:val="24"/>
              </w:rPr>
            </w:pPr>
            <w:r>
              <w:rPr>
                <w:rFonts w:hint="eastAsia" w:ascii="Times New Roman" w:eastAsia="仿宋"/>
                <w:szCs w:val="24"/>
              </w:rPr>
              <w:t>25</w:t>
            </w:r>
          </w:p>
        </w:tc>
        <w:tc>
          <w:tcPr>
            <w:tcW w:w="686" w:type="pct"/>
            <w:vAlign w:val="center"/>
          </w:tcPr>
          <w:p w14:paraId="6E9EAE74">
            <w:pPr>
              <w:widowControl/>
              <w:jc w:val="center"/>
              <w:rPr>
                <w:rFonts w:ascii="Times New Roman" w:eastAsia="仿宋"/>
                <w:szCs w:val="24"/>
              </w:rPr>
            </w:pPr>
            <w:r>
              <w:rPr>
                <w:rFonts w:hint="eastAsia" w:ascii="Times New Roman" w:eastAsia="仿宋"/>
                <w:szCs w:val="24"/>
              </w:rPr>
              <w:t>1t/桶</w:t>
            </w:r>
          </w:p>
        </w:tc>
        <w:tc>
          <w:tcPr>
            <w:tcW w:w="750" w:type="pct"/>
            <w:vAlign w:val="center"/>
          </w:tcPr>
          <w:p w14:paraId="1760E076">
            <w:pPr>
              <w:widowControl/>
              <w:jc w:val="center"/>
              <w:rPr>
                <w:rFonts w:ascii="Times New Roman" w:eastAsia="仿宋"/>
                <w:szCs w:val="24"/>
              </w:rPr>
            </w:pPr>
            <w:r>
              <w:rPr>
                <w:rFonts w:hint="eastAsia" w:ascii="Times New Roman" w:eastAsia="仿宋"/>
                <w:szCs w:val="24"/>
              </w:rPr>
              <w:t>50</w:t>
            </w:r>
          </w:p>
        </w:tc>
        <w:tc>
          <w:tcPr>
            <w:tcW w:w="636" w:type="pct"/>
            <w:vAlign w:val="center"/>
          </w:tcPr>
          <w:p w14:paraId="648EC0A7">
            <w:pPr>
              <w:widowControl/>
              <w:jc w:val="center"/>
              <w:rPr>
                <w:rFonts w:ascii="Times New Roman" w:eastAsia="仿宋"/>
                <w:szCs w:val="24"/>
              </w:rPr>
            </w:pPr>
            <w:r>
              <w:rPr>
                <w:rFonts w:hint="eastAsia" w:ascii="Times New Roman" w:eastAsia="仿宋"/>
                <w:szCs w:val="24"/>
              </w:rPr>
              <w:t>25</w:t>
            </w:r>
          </w:p>
        </w:tc>
        <w:tc>
          <w:tcPr>
            <w:tcW w:w="627" w:type="pct"/>
            <w:vAlign w:val="center"/>
          </w:tcPr>
          <w:p w14:paraId="743A907D">
            <w:pPr>
              <w:widowControl/>
              <w:jc w:val="center"/>
              <w:rPr>
                <w:rFonts w:ascii="Times New Roman" w:eastAsia="仿宋"/>
                <w:szCs w:val="24"/>
              </w:rPr>
            </w:pPr>
            <w:r>
              <w:rPr>
                <w:rFonts w:hint="eastAsia" w:ascii="Times New Roman" w:eastAsia="仿宋"/>
                <w:szCs w:val="24"/>
              </w:rPr>
              <w:t>1250</w:t>
            </w:r>
          </w:p>
        </w:tc>
      </w:tr>
      <w:tr w14:paraId="2692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5762B3A7">
            <w:pPr>
              <w:widowControl/>
              <w:jc w:val="center"/>
              <w:rPr>
                <w:rFonts w:ascii="Times New Roman" w:eastAsia="仿宋"/>
                <w:szCs w:val="24"/>
              </w:rPr>
            </w:pPr>
            <w:r>
              <w:rPr>
                <w:rFonts w:hint="eastAsia" w:ascii="Times New Roman" w:eastAsia="仿宋"/>
                <w:szCs w:val="24"/>
              </w:rPr>
              <w:t>氟碳底漆</w:t>
            </w:r>
          </w:p>
        </w:tc>
        <w:tc>
          <w:tcPr>
            <w:tcW w:w="730" w:type="pct"/>
            <w:vAlign w:val="center"/>
          </w:tcPr>
          <w:p w14:paraId="4368536B">
            <w:pPr>
              <w:widowControl/>
              <w:jc w:val="center"/>
              <w:rPr>
                <w:rFonts w:ascii="Times New Roman" w:eastAsia="仿宋"/>
                <w:szCs w:val="24"/>
              </w:rPr>
            </w:pPr>
            <w:r>
              <w:rPr>
                <w:rFonts w:hint="eastAsia" w:ascii="Times New Roman" w:eastAsia="仿宋"/>
                <w:szCs w:val="24"/>
              </w:rPr>
              <w:t>22.875</w:t>
            </w:r>
          </w:p>
        </w:tc>
        <w:tc>
          <w:tcPr>
            <w:tcW w:w="686" w:type="pct"/>
            <w:vAlign w:val="center"/>
          </w:tcPr>
          <w:p w14:paraId="7131CA24">
            <w:pPr>
              <w:widowControl/>
              <w:jc w:val="center"/>
              <w:rPr>
                <w:rFonts w:ascii="Times New Roman" w:eastAsia="仿宋"/>
                <w:szCs w:val="24"/>
              </w:rPr>
            </w:pPr>
            <w:r>
              <w:rPr>
                <w:rFonts w:hint="eastAsia" w:ascii="Times New Roman" w:eastAsia="仿宋"/>
                <w:szCs w:val="24"/>
              </w:rPr>
              <w:t>24kg/桶</w:t>
            </w:r>
          </w:p>
        </w:tc>
        <w:tc>
          <w:tcPr>
            <w:tcW w:w="750" w:type="pct"/>
            <w:vAlign w:val="center"/>
          </w:tcPr>
          <w:p w14:paraId="7C84B0AC">
            <w:pPr>
              <w:widowControl/>
              <w:jc w:val="center"/>
              <w:rPr>
                <w:rFonts w:ascii="Times New Roman" w:eastAsia="仿宋"/>
                <w:szCs w:val="24"/>
              </w:rPr>
            </w:pPr>
            <w:r>
              <w:rPr>
                <w:rFonts w:hint="eastAsia" w:ascii="Times New Roman" w:eastAsia="仿宋"/>
                <w:szCs w:val="24"/>
              </w:rPr>
              <w:t>2.5</w:t>
            </w:r>
          </w:p>
        </w:tc>
        <w:tc>
          <w:tcPr>
            <w:tcW w:w="636" w:type="pct"/>
            <w:vAlign w:val="center"/>
          </w:tcPr>
          <w:p w14:paraId="7ED2F3EE">
            <w:pPr>
              <w:widowControl/>
              <w:jc w:val="center"/>
              <w:rPr>
                <w:rFonts w:ascii="Times New Roman" w:eastAsia="仿宋"/>
                <w:szCs w:val="24"/>
              </w:rPr>
            </w:pPr>
            <w:r>
              <w:rPr>
                <w:rFonts w:hint="eastAsia" w:ascii="Times New Roman" w:eastAsia="仿宋"/>
                <w:szCs w:val="24"/>
              </w:rPr>
              <w:t>953</w:t>
            </w:r>
          </w:p>
        </w:tc>
        <w:tc>
          <w:tcPr>
            <w:tcW w:w="627" w:type="pct"/>
            <w:vAlign w:val="center"/>
          </w:tcPr>
          <w:p w14:paraId="612323D4">
            <w:pPr>
              <w:widowControl/>
              <w:jc w:val="center"/>
              <w:rPr>
                <w:rFonts w:ascii="Times New Roman" w:eastAsia="仿宋"/>
                <w:szCs w:val="24"/>
              </w:rPr>
            </w:pPr>
            <w:r>
              <w:rPr>
                <w:rFonts w:hint="eastAsia" w:ascii="Times New Roman" w:eastAsia="仿宋"/>
                <w:szCs w:val="24"/>
              </w:rPr>
              <w:t>2382.5</w:t>
            </w:r>
          </w:p>
        </w:tc>
      </w:tr>
      <w:tr w14:paraId="7BDD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37D85369">
            <w:pPr>
              <w:widowControl/>
              <w:jc w:val="center"/>
              <w:rPr>
                <w:rFonts w:ascii="Times New Roman" w:eastAsia="仿宋"/>
                <w:szCs w:val="24"/>
              </w:rPr>
            </w:pPr>
            <w:r>
              <w:rPr>
                <w:rFonts w:hint="eastAsia" w:ascii="Times New Roman" w:eastAsia="仿宋"/>
                <w:szCs w:val="24"/>
              </w:rPr>
              <w:t>氟碳面漆</w:t>
            </w:r>
          </w:p>
        </w:tc>
        <w:tc>
          <w:tcPr>
            <w:tcW w:w="730" w:type="pct"/>
            <w:vAlign w:val="center"/>
          </w:tcPr>
          <w:p w14:paraId="25CF65B3">
            <w:pPr>
              <w:widowControl/>
              <w:jc w:val="center"/>
              <w:rPr>
                <w:rFonts w:ascii="Times New Roman" w:eastAsia="仿宋"/>
                <w:szCs w:val="24"/>
              </w:rPr>
            </w:pPr>
            <w:r>
              <w:rPr>
                <w:rFonts w:hint="eastAsia" w:ascii="Times New Roman" w:eastAsia="仿宋"/>
                <w:szCs w:val="24"/>
              </w:rPr>
              <w:t>38.2</w:t>
            </w:r>
          </w:p>
        </w:tc>
        <w:tc>
          <w:tcPr>
            <w:tcW w:w="686" w:type="pct"/>
            <w:vAlign w:val="center"/>
          </w:tcPr>
          <w:p w14:paraId="617C5FD2">
            <w:pPr>
              <w:widowControl/>
              <w:jc w:val="center"/>
              <w:rPr>
                <w:rFonts w:ascii="Times New Roman" w:eastAsia="仿宋"/>
                <w:szCs w:val="24"/>
              </w:rPr>
            </w:pPr>
            <w:r>
              <w:rPr>
                <w:rFonts w:hint="eastAsia" w:ascii="Times New Roman" w:eastAsia="仿宋"/>
                <w:szCs w:val="24"/>
              </w:rPr>
              <w:t>24kg/桶</w:t>
            </w:r>
          </w:p>
        </w:tc>
        <w:tc>
          <w:tcPr>
            <w:tcW w:w="750" w:type="pct"/>
            <w:vAlign w:val="center"/>
          </w:tcPr>
          <w:p w14:paraId="0418107D">
            <w:pPr>
              <w:widowControl/>
              <w:jc w:val="center"/>
              <w:rPr>
                <w:rFonts w:ascii="Times New Roman" w:eastAsia="仿宋"/>
                <w:szCs w:val="24"/>
              </w:rPr>
            </w:pPr>
            <w:r>
              <w:rPr>
                <w:rFonts w:hint="eastAsia" w:ascii="Times New Roman" w:eastAsia="仿宋"/>
                <w:szCs w:val="24"/>
              </w:rPr>
              <w:t>2.5</w:t>
            </w:r>
          </w:p>
        </w:tc>
        <w:tc>
          <w:tcPr>
            <w:tcW w:w="636" w:type="pct"/>
            <w:vAlign w:val="center"/>
          </w:tcPr>
          <w:p w14:paraId="7C67621F">
            <w:pPr>
              <w:widowControl/>
              <w:jc w:val="center"/>
              <w:rPr>
                <w:rFonts w:ascii="Times New Roman" w:eastAsia="仿宋"/>
                <w:szCs w:val="24"/>
              </w:rPr>
            </w:pPr>
            <w:r>
              <w:rPr>
                <w:rFonts w:hint="eastAsia" w:ascii="Times New Roman" w:eastAsia="仿宋"/>
                <w:szCs w:val="24"/>
              </w:rPr>
              <w:t>1592</w:t>
            </w:r>
          </w:p>
        </w:tc>
        <w:tc>
          <w:tcPr>
            <w:tcW w:w="627" w:type="pct"/>
            <w:vAlign w:val="center"/>
          </w:tcPr>
          <w:p w14:paraId="66871C3D">
            <w:pPr>
              <w:widowControl/>
              <w:jc w:val="center"/>
              <w:rPr>
                <w:rFonts w:ascii="Times New Roman" w:eastAsia="仿宋"/>
                <w:szCs w:val="24"/>
              </w:rPr>
            </w:pPr>
            <w:r>
              <w:rPr>
                <w:rFonts w:hint="eastAsia" w:ascii="Times New Roman" w:eastAsia="仿宋"/>
                <w:szCs w:val="24"/>
              </w:rPr>
              <w:t>3980</w:t>
            </w:r>
          </w:p>
        </w:tc>
      </w:tr>
      <w:tr w14:paraId="7D58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4E886D8A">
            <w:pPr>
              <w:widowControl/>
              <w:jc w:val="center"/>
              <w:rPr>
                <w:rFonts w:ascii="Times New Roman" w:eastAsia="仿宋"/>
                <w:szCs w:val="24"/>
              </w:rPr>
            </w:pPr>
            <w:r>
              <w:rPr>
                <w:rFonts w:hint="eastAsia" w:ascii="Times New Roman" w:eastAsia="仿宋"/>
                <w:szCs w:val="24"/>
              </w:rPr>
              <w:t>稀释剂</w:t>
            </w:r>
          </w:p>
        </w:tc>
        <w:tc>
          <w:tcPr>
            <w:tcW w:w="730" w:type="pct"/>
            <w:vAlign w:val="center"/>
          </w:tcPr>
          <w:p w14:paraId="4CD237EC">
            <w:pPr>
              <w:widowControl/>
              <w:jc w:val="center"/>
              <w:rPr>
                <w:rFonts w:ascii="Times New Roman" w:eastAsia="仿宋"/>
                <w:szCs w:val="24"/>
              </w:rPr>
            </w:pPr>
            <w:r>
              <w:rPr>
                <w:rFonts w:hint="eastAsia" w:ascii="Times New Roman" w:eastAsia="仿宋"/>
                <w:szCs w:val="24"/>
              </w:rPr>
              <w:t>32.825</w:t>
            </w:r>
          </w:p>
        </w:tc>
        <w:tc>
          <w:tcPr>
            <w:tcW w:w="686" w:type="pct"/>
            <w:vAlign w:val="center"/>
          </w:tcPr>
          <w:p w14:paraId="31605BEE">
            <w:pPr>
              <w:widowControl/>
              <w:jc w:val="center"/>
              <w:rPr>
                <w:rFonts w:ascii="Times New Roman" w:eastAsia="仿宋"/>
                <w:szCs w:val="24"/>
              </w:rPr>
            </w:pPr>
            <w:r>
              <w:rPr>
                <w:rFonts w:hint="eastAsia" w:ascii="Times New Roman" w:eastAsia="仿宋"/>
                <w:szCs w:val="24"/>
              </w:rPr>
              <w:t>200kg/桶</w:t>
            </w:r>
          </w:p>
        </w:tc>
        <w:tc>
          <w:tcPr>
            <w:tcW w:w="750" w:type="pct"/>
            <w:vAlign w:val="center"/>
          </w:tcPr>
          <w:p w14:paraId="71417D04">
            <w:pPr>
              <w:widowControl/>
              <w:jc w:val="center"/>
              <w:rPr>
                <w:rFonts w:ascii="Times New Roman" w:eastAsia="仿宋"/>
                <w:szCs w:val="24"/>
              </w:rPr>
            </w:pPr>
            <w:r>
              <w:rPr>
                <w:rFonts w:hint="eastAsia" w:ascii="Times New Roman" w:eastAsia="仿宋"/>
                <w:szCs w:val="24"/>
              </w:rPr>
              <w:t>20</w:t>
            </w:r>
          </w:p>
        </w:tc>
        <w:tc>
          <w:tcPr>
            <w:tcW w:w="636" w:type="pct"/>
            <w:vAlign w:val="center"/>
          </w:tcPr>
          <w:p w14:paraId="1156E505">
            <w:pPr>
              <w:widowControl/>
              <w:jc w:val="center"/>
              <w:rPr>
                <w:rFonts w:ascii="Times New Roman" w:eastAsia="仿宋"/>
                <w:szCs w:val="24"/>
              </w:rPr>
            </w:pPr>
            <w:r>
              <w:rPr>
                <w:rFonts w:hint="eastAsia" w:ascii="Times New Roman" w:eastAsia="仿宋"/>
                <w:szCs w:val="24"/>
              </w:rPr>
              <w:t>165</w:t>
            </w:r>
          </w:p>
        </w:tc>
        <w:tc>
          <w:tcPr>
            <w:tcW w:w="627" w:type="pct"/>
            <w:vAlign w:val="center"/>
          </w:tcPr>
          <w:p w14:paraId="557FA494">
            <w:pPr>
              <w:widowControl/>
              <w:jc w:val="center"/>
              <w:rPr>
                <w:rFonts w:ascii="Times New Roman" w:eastAsia="仿宋"/>
                <w:szCs w:val="24"/>
              </w:rPr>
            </w:pPr>
            <w:r>
              <w:rPr>
                <w:rFonts w:hint="eastAsia" w:ascii="Times New Roman" w:eastAsia="仿宋"/>
                <w:szCs w:val="24"/>
              </w:rPr>
              <w:t>3300</w:t>
            </w:r>
          </w:p>
        </w:tc>
      </w:tr>
      <w:tr w14:paraId="0281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68" w:type="pct"/>
            <w:vAlign w:val="center"/>
          </w:tcPr>
          <w:p w14:paraId="53F3D07B">
            <w:pPr>
              <w:widowControl/>
              <w:jc w:val="center"/>
              <w:rPr>
                <w:rFonts w:ascii="Times New Roman" w:eastAsia="仿宋"/>
                <w:szCs w:val="24"/>
              </w:rPr>
            </w:pPr>
            <w:r>
              <w:rPr>
                <w:rFonts w:hint="eastAsia" w:ascii="Times New Roman" w:eastAsia="仿宋"/>
                <w:szCs w:val="24"/>
              </w:rPr>
              <w:t>润滑油</w:t>
            </w:r>
          </w:p>
        </w:tc>
        <w:tc>
          <w:tcPr>
            <w:tcW w:w="730" w:type="pct"/>
            <w:vAlign w:val="center"/>
          </w:tcPr>
          <w:p w14:paraId="12C61443">
            <w:pPr>
              <w:widowControl/>
              <w:jc w:val="center"/>
              <w:rPr>
                <w:rFonts w:ascii="Times New Roman" w:eastAsia="仿宋"/>
                <w:szCs w:val="24"/>
              </w:rPr>
            </w:pPr>
            <w:r>
              <w:rPr>
                <w:rFonts w:hint="eastAsia" w:ascii="Times New Roman" w:eastAsia="仿宋"/>
                <w:szCs w:val="24"/>
              </w:rPr>
              <w:t>3</w:t>
            </w:r>
          </w:p>
        </w:tc>
        <w:tc>
          <w:tcPr>
            <w:tcW w:w="1245" w:type="dxa"/>
            <w:vAlign w:val="center"/>
          </w:tcPr>
          <w:p w14:paraId="67B085DF">
            <w:pPr>
              <w:widowControl/>
              <w:jc w:val="center"/>
              <w:rPr>
                <w:rFonts w:ascii="Times New Roman" w:eastAsia="仿宋"/>
                <w:szCs w:val="24"/>
              </w:rPr>
            </w:pPr>
            <w:r>
              <w:rPr>
                <w:rFonts w:hint="eastAsia" w:ascii="Times New Roman" w:eastAsia="仿宋"/>
                <w:szCs w:val="24"/>
              </w:rPr>
              <w:t>200kg/桶</w:t>
            </w:r>
          </w:p>
        </w:tc>
        <w:tc>
          <w:tcPr>
            <w:tcW w:w="1361" w:type="dxa"/>
            <w:vAlign w:val="center"/>
          </w:tcPr>
          <w:p w14:paraId="1463E1F0">
            <w:pPr>
              <w:widowControl/>
              <w:jc w:val="center"/>
              <w:rPr>
                <w:rFonts w:ascii="Times New Roman" w:eastAsia="仿宋"/>
                <w:szCs w:val="24"/>
              </w:rPr>
            </w:pPr>
            <w:r>
              <w:rPr>
                <w:rFonts w:hint="eastAsia" w:ascii="Times New Roman" w:eastAsia="仿宋"/>
                <w:szCs w:val="24"/>
              </w:rPr>
              <w:t>20</w:t>
            </w:r>
          </w:p>
        </w:tc>
        <w:tc>
          <w:tcPr>
            <w:tcW w:w="636" w:type="pct"/>
            <w:vAlign w:val="center"/>
          </w:tcPr>
          <w:p w14:paraId="22A62AB1">
            <w:pPr>
              <w:widowControl/>
              <w:jc w:val="center"/>
              <w:rPr>
                <w:rFonts w:ascii="Times New Roman" w:eastAsia="仿宋"/>
                <w:szCs w:val="24"/>
              </w:rPr>
            </w:pPr>
            <w:r>
              <w:rPr>
                <w:rFonts w:hint="eastAsia" w:ascii="Times New Roman" w:eastAsia="仿宋"/>
                <w:szCs w:val="24"/>
              </w:rPr>
              <w:t>15</w:t>
            </w:r>
          </w:p>
        </w:tc>
        <w:tc>
          <w:tcPr>
            <w:tcW w:w="627" w:type="pct"/>
            <w:vAlign w:val="center"/>
          </w:tcPr>
          <w:p w14:paraId="64362E23">
            <w:pPr>
              <w:widowControl/>
              <w:jc w:val="center"/>
              <w:rPr>
                <w:rFonts w:ascii="Times New Roman" w:eastAsia="仿宋"/>
                <w:szCs w:val="24"/>
              </w:rPr>
            </w:pPr>
            <w:r>
              <w:rPr>
                <w:rFonts w:hint="eastAsia" w:ascii="Times New Roman" w:eastAsia="仿宋"/>
                <w:szCs w:val="24"/>
              </w:rPr>
              <w:t>300</w:t>
            </w:r>
          </w:p>
        </w:tc>
      </w:tr>
      <w:tr w14:paraId="6EAD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4372" w:type="pct"/>
            <w:gridSpan w:val="5"/>
            <w:vAlign w:val="center"/>
          </w:tcPr>
          <w:p w14:paraId="4E544556">
            <w:pPr>
              <w:jc w:val="center"/>
              <w:rPr>
                <w:sz w:val="21"/>
                <w:szCs w:val="21"/>
              </w:rPr>
            </w:pPr>
            <w:r>
              <w:rPr>
                <w:rFonts w:hint="eastAsia" w:ascii="Times New Roman" w:eastAsia="仿宋"/>
                <w:szCs w:val="24"/>
              </w:rPr>
              <w:t>合计</w:t>
            </w:r>
          </w:p>
        </w:tc>
        <w:tc>
          <w:tcPr>
            <w:tcW w:w="627" w:type="pct"/>
            <w:vAlign w:val="center"/>
          </w:tcPr>
          <w:p w14:paraId="7F1CC405">
            <w:pPr>
              <w:widowControl/>
              <w:jc w:val="center"/>
              <w:rPr>
                <w:rFonts w:ascii="Times New Roman" w:eastAsia="仿宋"/>
                <w:szCs w:val="24"/>
              </w:rPr>
            </w:pPr>
            <w:r>
              <w:rPr>
                <w:rFonts w:hint="eastAsia" w:ascii="Times New Roman" w:eastAsia="仿宋"/>
                <w:szCs w:val="24"/>
              </w:rPr>
              <w:t>12.46t/a</w:t>
            </w:r>
          </w:p>
        </w:tc>
      </w:tr>
    </w:tbl>
    <w:p w14:paraId="717CBDD7">
      <w:pPr>
        <w:pStyle w:val="22"/>
        <w:spacing w:line="500" w:lineRule="exact"/>
        <w:ind w:firstLine="560"/>
        <w:rPr>
          <w:rFonts w:eastAsia="仿宋"/>
          <w:sz w:val="28"/>
          <w:szCs w:val="28"/>
        </w:rPr>
      </w:pPr>
      <w:r>
        <w:rPr>
          <w:rFonts w:hint="eastAsia" w:eastAsia="仿宋"/>
          <w:sz w:val="28"/>
          <w:szCs w:val="28"/>
        </w:rPr>
        <w:t>（17）含油废抹布手套、喷涂废手套S2</w:t>
      </w:r>
      <w:r>
        <w:rPr>
          <w:rFonts w:eastAsia="仿宋"/>
          <w:sz w:val="28"/>
          <w:szCs w:val="28"/>
        </w:rPr>
        <w:t>1</w:t>
      </w:r>
    </w:p>
    <w:p w14:paraId="7C7EE358">
      <w:pPr>
        <w:pStyle w:val="22"/>
        <w:spacing w:line="500" w:lineRule="exact"/>
        <w:ind w:firstLine="560"/>
        <w:rPr>
          <w:rFonts w:eastAsia="仿宋"/>
          <w:sz w:val="28"/>
          <w:szCs w:val="28"/>
        </w:rPr>
      </w:pPr>
      <w:r>
        <w:rPr>
          <w:rFonts w:hint="eastAsia" w:eastAsia="仿宋"/>
          <w:sz w:val="28"/>
          <w:szCs w:val="28"/>
        </w:rPr>
        <w:t>本项目废手套在机加工、喷涂及设备维修过程中产生，根据企业提供资料，废手套产生量为0.5t/a。</w:t>
      </w:r>
    </w:p>
    <w:p w14:paraId="2F58602F">
      <w:pPr>
        <w:pStyle w:val="22"/>
        <w:spacing w:line="500" w:lineRule="exact"/>
        <w:ind w:firstLine="560"/>
        <w:rPr>
          <w:rFonts w:eastAsia="仿宋"/>
          <w:sz w:val="28"/>
          <w:szCs w:val="28"/>
        </w:rPr>
      </w:pPr>
      <w:r>
        <w:rPr>
          <w:rFonts w:hint="eastAsia" w:eastAsia="仿宋"/>
          <w:sz w:val="28"/>
          <w:szCs w:val="28"/>
        </w:rPr>
        <w:t>（18）废机油S2</w:t>
      </w:r>
      <w:r>
        <w:rPr>
          <w:rFonts w:eastAsia="仿宋"/>
          <w:sz w:val="28"/>
          <w:szCs w:val="28"/>
        </w:rPr>
        <w:t>2</w:t>
      </w:r>
    </w:p>
    <w:p w14:paraId="23304832">
      <w:pPr>
        <w:pStyle w:val="22"/>
        <w:spacing w:line="500" w:lineRule="exact"/>
        <w:ind w:firstLine="560"/>
        <w:rPr>
          <w:rFonts w:eastAsia="仿宋"/>
          <w:sz w:val="28"/>
          <w:szCs w:val="28"/>
        </w:rPr>
      </w:pPr>
      <w:r>
        <w:rPr>
          <w:rFonts w:hint="eastAsia" w:eastAsia="仿宋"/>
          <w:sz w:val="28"/>
          <w:szCs w:val="28"/>
        </w:rPr>
        <w:t>项目设备保养添加机油，机油循环使用，定期更换产生废机油，根据企业提供资料，更换频率为每年一次，单次更换量为2t/a，则废机油产生量为2t/a。</w:t>
      </w:r>
    </w:p>
    <w:p w14:paraId="36A37DA6">
      <w:pPr>
        <w:pStyle w:val="22"/>
        <w:spacing w:line="500" w:lineRule="exact"/>
        <w:ind w:firstLine="560"/>
        <w:rPr>
          <w:rFonts w:eastAsia="仿宋"/>
          <w:sz w:val="28"/>
          <w:szCs w:val="28"/>
        </w:rPr>
      </w:pPr>
      <w:r>
        <w:rPr>
          <w:rFonts w:hint="eastAsia" w:eastAsia="仿宋"/>
          <w:sz w:val="28"/>
          <w:szCs w:val="28"/>
        </w:rPr>
        <w:t>（19）废催化剂S2</w:t>
      </w:r>
      <w:r>
        <w:rPr>
          <w:rFonts w:eastAsia="仿宋"/>
          <w:sz w:val="28"/>
          <w:szCs w:val="28"/>
        </w:rPr>
        <w:t>3</w:t>
      </w:r>
    </w:p>
    <w:p w14:paraId="6E035EC6">
      <w:pPr>
        <w:pStyle w:val="22"/>
        <w:spacing w:line="500" w:lineRule="exact"/>
        <w:ind w:firstLine="560"/>
        <w:rPr>
          <w:rFonts w:eastAsia="仿宋"/>
          <w:sz w:val="28"/>
          <w:szCs w:val="28"/>
        </w:rPr>
      </w:pPr>
      <w:r>
        <w:rPr>
          <w:rFonts w:hint="eastAsia" w:eastAsia="仿宋"/>
          <w:sz w:val="28"/>
          <w:szCs w:val="28"/>
        </w:rPr>
        <w:t>本项目设置3套“催化燃烧装置”，该装置中使用贵金属催化剂，根据废气处理设计单位提供的更换周期约1年半更换，单次更换量为0.1t，则其产生的废催化剂为0.6t/3a。</w:t>
      </w:r>
    </w:p>
    <w:p w14:paraId="76688B39">
      <w:pPr>
        <w:pStyle w:val="22"/>
        <w:spacing w:line="500" w:lineRule="exact"/>
        <w:ind w:firstLine="560"/>
        <w:rPr>
          <w:rFonts w:eastAsia="仿宋"/>
          <w:sz w:val="28"/>
          <w:szCs w:val="28"/>
        </w:rPr>
      </w:pPr>
      <w:r>
        <w:rPr>
          <w:rFonts w:hint="eastAsia" w:eastAsia="仿宋"/>
          <w:sz w:val="28"/>
          <w:szCs w:val="28"/>
        </w:rPr>
        <w:t>（20）废活性炭S</w:t>
      </w:r>
      <w:r>
        <w:rPr>
          <w:rFonts w:eastAsia="仿宋"/>
          <w:sz w:val="28"/>
          <w:szCs w:val="28"/>
        </w:rPr>
        <w:t>24</w:t>
      </w:r>
    </w:p>
    <w:p w14:paraId="5EBBDC9A">
      <w:pPr>
        <w:pStyle w:val="22"/>
        <w:spacing w:line="500" w:lineRule="exact"/>
        <w:ind w:firstLine="560"/>
        <w:rPr>
          <w:rFonts w:eastAsia="仿宋"/>
          <w:sz w:val="28"/>
          <w:szCs w:val="28"/>
        </w:rPr>
      </w:pPr>
      <w:r>
        <w:rPr>
          <w:rFonts w:hint="eastAsia" w:eastAsia="仿宋"/>
          <w:sz w:val="28"/>
          <w:szCs w:val="28"/>
        </w:rPr>
        <w:t>本项目</w:t>
      </w:r>
      <w:r>
        <w:rPr>
          <w:rFonts w:eastAsia="仿宋"/>
          <w:sz w:val="28"/>
          <w:szCs w:val="28"/>
        </w:rPr>
        <w:t>1</w:t>
      </w:r>
      <w:r>
        <w:rPr>
          <w:rFonts w:hint="eastAsia" w:eastAsia="仿宋"/>
          <w:sz w:val="28"/>
          <w:szCs w:val="28"/>
        </w:rPr>
        <w:t>号、2号及3号有机废气处理装置皆为三级活性炭吸附，1号、2号废气装置填充量为3t，3号废气装置填充量为2</w:t>
      </w:r>
      <w:r>
        <w:rPr>
          <w:rFonts w:eastAsia="仿宋"/>
          <w:sz w:val="28"/>
          <w:szCs w:val="28"/>
        </w:rPr>
        <w:t>.2</w:t>
      </w:r>
      <w:r>
        <w:rPr>
          <w:rFonts w:hint="eastAsia" w:eastAsia="仿宋"/>
          <w:sz w:val="28"/>
          <w:szCs w:val="28"/>
        </w:rPr>
        <w:t>t，为保证废气处理效果，活性炭吸附床按照下表中的频次进行吸附，且吸附床中的活性炭更换频次为两年，则本项目新增产生的活性炭为</w:t>
      </w:r>
      <w:r>
        <w:rPr>
          <w:rFonts w:eastAsia="仿宋"/>
          <w:sz w:val="28"/>
          <w:szCs w:val="28"/>
        </w:rPr>
        <w:t>8</w:t>
      </w:r>
      <w:r>
        <w:rPr>
          <w:rFonts w:hint="eastAsia" w:eastAsia="仿宋"/>
          <w:sz w:val="28"/>
          <w:szCs w:val="28"/>
        </w:rPr>
        <w:t>.</w:t>
      </w:r>
      <w:r>
        <w:rPr>
          <w:rFonts w:eastAsia="仿宋"/>
          <w:sz w:val="28"/>
          <w:szCs w:val="28"/>
        </w:rPr>
        <w:t>2</w:t>
      </w:r>
      <w:r>
        <w:rPr>
          <w:rFonts w:hint="eastAsia" w:eastAsia="仿宋"/>
          <w:sz w:val="28"/>
          <w:szCs w:val="28"/>
        </w:rPr>
        <w:t>t/a。</w:t>
      </w:r>
    </w:p>
    <w:p w14:paraId="065072ED">
      <w:pPr>
        <w:pStyle w:val="22"/>
        <w:spacing w:line="500" w:lineRule="exact"/>
        <w:ind w:firstLine="560"/>
        <w:rPr>
          <w:rFonts w:eastAsia="仿宋"/>
          <w:sz w:val="28"/>
          <w:szCs w:val="28"/>
        </w:rPr>
      </w:pPr>
      <w:r>
        <w:rPr>
          <w:rFonts w:eastAsia="仿宋"/>
          <w:sz w:val="28"/>
          <w:szCs w:val="28"/>
        </w:rPr>
        <w:t>根据《省生态环境厅关于将排污单位活性炭使用更换纳入排污许可管理的通知》（江苏省生态环境厅，2021年7月19日）中活性炭产生量计算公式</w:t>
      </w:r>
      <w:r>
        <w:rPr>
          <w:rFonts w:hint="eastAsia" w:eastAsia="仿宋"/>
          <w:sz w:val="28"/>
          <w:szCs w:val="28"/>
        </w:rPr>
        <w:t>及《省生态环境厅关于深入开展涉VOCs治理重点工作核查的通知》（苏环办[</w:t>
      </w:r>
      <w:r>
        <w:rPr>
          <w:rFonts w:eastAsia="仿宋"/>
          <w:sz w:val="28"/>
          <w:szCs w:val="28"/>
        </w:rPr>
        <w:t>2022</w:t>
      </w:r>
      <w:r>
        <w:rPr>
          <w:rFonts w:hint="eastAsia" w:eastAsia="仿宋"/>
          <w:sz w:val="28"/>
          <w:szCs w:val="28"/>
        </w:rPr>
        <w:t>]</w:t>
      </w:r>
      <w:r>
        <w:rPr>
          <w:rFonts w:eastAsia="仿宋"/>
          <w:sz w:val="28"/>
          <w:szCs w:val="28"/>
        </w:rPr>
        <w:t>218</w:t>
      </w:r>
      <w:r>
        <w:rPr>
          <w:rFonts w:hint="eastAsia" w:eastAsia="仿宋"/>
          <w:sz w:val="28"/>
          <w:szCs w:val="28"/>
        </w:rPr>
        <w:t>号）中活性炭填充量的要求</w:t>
      </w:r>
      <w:r>
        <w:rPr>
          <w:rFonts w:eastAsia="仿宋"/>
          <w:sz w:val="28"/>
          <w:szCs w:val="28"/>
        </w:rPr>
        <w:t>：</w:t>
      </w:r>
    </w:p>
    <w:p w14:paraId="584976D1">
      <w:pPr>
        <w:pStyle w:val="22"/>
        <w:spacing w:line="500" w:lineRule="exact"/>
        <w:ind w:firstLine="560"/>
        <w:rPr>
          <w:rFonts w:eastAsia="仿宋"/>
          <w:sz w:val="28"/>
          <w:szCs w:val="28"/>
        </w:rPr>
      </w:pPr>
      <w:r>
        <w:rPr>
          <w:rFonts w:eastAsia="仿宋"/>
          <w:sz w:val="28"/>
          <w:szCs w:val="28"/>
        </w:rPr>
        <w:t>T=m×s÷（c×10</w:t>
      </w:r>
      <w:r>
        <w:rPr>
          <w:rFonts w:eastAsia="仿宋"/>
          <w:sz w:val="28"/>
          <w:szCs w:val="28"/>
          <w:vertAlign w:val="superscript"/>
        </w:rPr>
        <w:t>-6</w:t>
      </w:r>
      <w:r>
        <w:rPr>
          <w:rFonts w:eastAsia="仿宋"/>
          <w:sz w:val="28"/>
          <w:szCs w:val="28"/>
        </w:rPr>
        <w:t>×Q×t）</w:t>
      </w:r>
    </w:p>
    <w:p w14:paraId="46338FCE">
      <w:pPr>
        <w:pStyle w:val="22"/>
        <w:spacing w:line="500" w:lineRule="exact"/>
        <w:ind w:firstLine="560"/>
        <w:rPr>
          <w:rFonts w:eastAsia="仿宋"/>
          <w:sz w:val="28"/>
          <w:szCs w:val="28"/>
        </w:rPr>
      </w:pPr>
      <w:r>
        <w:rPr>
          <w:rFonts w:eastAsia="仿宋"/>
          <w:sz w:val="28"/>
          <w:szCs w:val="28"/>
        </w:rPr>
        <w:t>式中：T—更换周期，天；</w:t>
      </w:r>
    </w:p>
    <w:p w14:paraId="2C2A97E9">
      <w:pPr>
        <w:pStyle w:val="22"/>
        <w:spacing w:line="500" w:lineRule="exact"/>
        <w:ind w:firstLine="560"/>
        <w:rPr>
          <w:rFonts w:eastAsia="仿宋"/>
          <w:sz w:val="28"/>
          <w:szCs w:val="28"/>
        </w:rPr>
      </w:pPr>
      <w:r>
        <w:rPr>
          <w:rFonts w:eastAsia="仿宋"/>
          <w:sz w:val="28"/>
          <w:szCs w:val="28"/>
        </w:rPr>
        <w:t>m—活性炭的用量，kg；</w:t>
      </w:r>
    </w:p>
    <w:p w14:paraId="32288870">
      <w:pPr>
        <w:pStyle w:val="22"/>
        <w:spacing w:line="500" w:lineRule="exact"/>
        <w:ind w:firstLine="560"/>
        <w:rPr>
          <w:rFonts w:eastAsia="仿宋"/>
          <w:sz w:val="28"/>
          <w:szCs w:val="28"/>
        </w:rPr>
      </w:pPr>
      <w:r>
        <w:rPr>
          <w:rFonts w:eastAsia="仿宋"/>
          <w:sz w:val="28"/>
          <w:szCs w:val="28"/>
        </w:rPr>
        <w:t>s—动态吸附量，%，本项目取值10%；</w:t>
      </w:r>
    </w:p>
    <w:p w14:paraId="793BE17E">
      <w:pPr>
        <w:pStyle w:val="22"/>
        <w:spacing w:line="500" w:lineRule="exact"/>
        <w:ind w:firstLine="560"/>
        <w:rPr>
          <w:rFonts w:eastAsia="仿宋"/>
          <w:sz w:val="28"/>
          <w:szCs w:val="28"/>
        </w:rPr>
      </w:pPr>
      <w:r>
        <w:rPr>
          <w:rFonts w:eastAsia="仿宋"/>
          <w:sz w:val="28"/>
          <w:szCs w:val="28"/>
        </w:rPr>
        <w:t>c—活性炭削减的VOCs浓度，mg/m</w:t>
      </w:r>
      <w:r>
        <w:rPr>
          <w:rFonts w:eastAsia="仿宋"/>
          <w:sz w:val="28"/>
          <w:szCs w:val="28"/>
          <w:vertAlign w:val="superscript"/>
        </w:rPr>
        <w:t>3</w:t>
      </w:r>
      <w:r>
        <w:rPr>
          <w:rFonts w:eastAsia="仿宋"/>
          <w:sz w:val="28"/>
          <w:szCs w:val="28"/>
        </w:rPr>
        <w:t>；</w:t>
      </w:r>
    </w:p>
    <w:p w14:paraId="42BBD189">
      <w:pPr>
        <w:pStyle w:val="22"/>
        <w:spacing w:line="500" w:lineRule="exact"/>
        <w:ind w:firstLine="560"/>
        <w:rPr>
          <w:rFonts w:eastAsia="仿宋"/>
          <w:sz w:val="28"/>
          <w:szCs w:val="28"/>
        </w:rPr>
      </w:pPr>
      <w:r>
        <w:rPr>
          <w:rFonts w:eastAsia="仿宋"/>
          <w:sz w:val="28"/>
          <w:szCs w:val="28"/>
        </w:rPr>
        <w:t>Q—风量，m</w:t>
      </w:r>
      <w:r>
        <w:rPr>
          <w:rFonts w:eastAsia="仿宋"/>
          <w:sz w:val="28"/>
          <w:szCs w:val="28"/>
          <w:vertAlign w:val="superscript"/>
        </w:rPr>
        <w:t>3</w:t>
      </w:r>
      <w:r>
        <w:rPr>
          <w:rFonts w:eastAsia="仿宋"/>
          <w:sz w:val="28"/>
          <w:szCs w:val="28"/>
        </w:rPr>
        <w:t>/h；</w:t>
      </w:r>
    </w:p>
    <w:p w14:paraId="2AFAFFD9">
      <w:pPr>
        <w:pStyle w:val="22"/>
        <w:spacing w:line="500" w:lineRule="exact"/>
        <w:ind w:firstLine="560"/>
        <w:rPr>
          <w:rFonts w:eastAsia="仿宋"/>
          <w:sz w:val="28"/>
          <w:szCs w:val="28"/>
        </w:rPr>
      </w:pPr>
      <w:r>
        <w:rPr>
          <w:rFonts w:eastAsia="仿宋"/>
          <w:sz w:val="28"/>
          <w:szCs w:val="28"/>
        </w:rPr>
        <w:t>t—运行时间，h/d。</w:t>
      </w:r>
    </w:p>
    <w:p w14:paraId="02CAE502">
      <w:pPr>
        <w:spacing w:line="500" w:lineRule="exact"/>
        <w:jc w:val="center"/>
        <w:rPr>
          <w:rFonts w:ascii="Times New Roman" w:eastAsia="仿宋"/>
          <w:b/>
        </w:rPr>
      </w:pPr>
      <w:r>
        <w:rPr>
          <w:rFonts w:hint="eastAsia" w:ascii="Times New Roman" w:eastAsia="仿宋"/>
          <w:b/>
        </w:rPr>
        <w:t>表3</w:t>
      </w:r>
      <w:r>
        <w:rPr>
          <w:rFonts w:ascii="Times New Roman" w:eastAsia="仿宋"/>
          <w:b/>
        </w:rPr>
        <w:t>.2-13  本项目废活性炭产生量估算表</w:t>
      </w:r>
    </w:p>
    <w:tbl>
      <w:tblPr>
        <w:tblStyle w:val="87"/>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04"/>
        <w:gridCol w:w="1914"/>
        <w:gridCol w:w="1649"/>
        <w:gridCol w:w="1811"/>
      </w:tblGrid>
      <w:tr w14:paraId="41C1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13" w:type="dxa"/>
            <w:vMerge w:val="restart"/>
            <w:noWrap/>
            <w:vAlign w:val="center"/>
          </w:tcPr>
          <w:p w14:paraId="46738A6C">
            <w:pPr>
              <w:widowControl/>
              <w:jc w:val="center"/>
              <w:rPr>
                <w:rFonts w:ascii="Times New Roman" w:eastAsia="仿宋"/>
                <w:szCs w:val="24"/>
              </w:rPr>
            </w:pPr>
            <w:r>
              <w:rPr>
                <w:rFonts w:ascii="Times New Roman" w:eastAsia="仿宋"/>
                <w:szCs w:val="24"/>
              </w:rPr>
              <w:t>对应废气处理设施</w:t>
            </w:r>
          </w:p>
        </w:tc>
        <w:tc>
          <w:tcPr>
            <w:tcW w:w="1404" w:type="dxa"/>
            <w:noWrap/>
            <w:vAlign w:val="center"/>
          </w:tcPr>
          <w:p w14:paraId="14CA4D11">
            <w:pPr>
              <w:widowControl/>
              <w:jc w:val="center"/>
              <w:rPr>
                <w:rFonts w:ascii="Times New Roman" w:eastAsia="仿宋"/>
                <w:szCs w:val="24"/>
              </w:rPr>
            </w:pPr>
            <w:r>
              <w:rPr>
                <w:rFonts w:hint="eastAsia" w:ascii="Times New Roman" w:eastAsia="仿宋"/>
                <w:szCs w:val="24"/>
              </w:rPr>
              <w:t>脱附</w:t>
            </w:r>
            <w:r>
              <w:rPr>
                <w:rFonts w:ascii="Times New Roman" w:eastAsia="仿宋"/>
                <w:szCs w:val="24"/>
              </w:rPr>
              <w:t>周期T</w:t>
            </w:r>
          </w:p>
        </w:tc>
        <w:tc>
          <w:tcPr>
            <w:tcW w:w="1914" w:type="dxa"/>
            <w:noWrap/>
            <w:vAlign w:val="center"/>
          </w:tcPr>
          <w:p w14:paraId="56EA1C99">
            <w:pPr>
              <w:widowControl/>
              <w:jc w:val="center"/>
              <w:rPr>
                <w:rFonts w:ascii="Times New Roman" w:eastAsia="仿宋"/>
                <w:szCs w:val="24"/>
              </w:rPr>
            </w:pPr>
            <w:r>
              <w:rPr>
                <w:rFonts w:ascii="Times New Roman" w:eastAsia="仿宋"/>
                <w:szCs w:val="24"/>
              </w:rPr>
              <w:t>活性炭的用量m</w:t>
            </w:r>
          </w:p>
        </w:tc>
        <w:tc>
          <w:tcPr>
            <w:tcW w:w="1649" w:type="dxa"/>
            <w:noWrap/>
            <w:vAlign w:val="center"/>
          </w:tcPr>
          <w:p w14:paraId="0C2446ED">
            <w:pPr>
              <w:widowControl/>
              <w:jc w:val="center"/>
              <w:rPr>
                <w:rFonts w:ascii="Times New Roman" w:eastAsia="仿宋"/>
                <w:szCs w:val="24"/>
              </w:rPr>
            </w:pPr>
            <w:r>
              <w:rPr>
                <w:rFonts w:ascii="Times New Roman" w:eastAsia="仿宋"/>
                <w:szCs w:val="24"/>
              </w:rPr>
              <w:t>动态吸附量s</w:t>
            </w:r>
          </w:p>
        </w:tc>
        <w:tc>
          <w:tcPr>
            <w:tcW w:w="1811" w:type="dxa"/>
            <w:noWrap/>
            <w:vAlign w:val="center"/>
          </w:tcPr>
          <w:p w14:paraId="1E4B1AD3">
            <w:pPr>
              <w:widowControl/>
              <w:jc w:val="center"/>
              <w:rPr>
                <w:rFonts w:ascii="Times New Roman" w:eastAsia="仿宋"/>
                <w:szCs w:val="24"/>
              </w:rPr>
            </w:pPr>
            <w:r>
              <w:rPr>
                <w:rFonts w:ascii="Times New Roman" w:eastAsia="仿宋"/>
                <w:szCs w:val="24"/>
              </w:rPr>
              <w:t>污染物削减量(=c×10</w:t>
            </w:r>
            <w:r>
              <w:rPr>
                <w:rFonts w:ascii="Times New Roman" w:eastAsia="仿宋"/>
                <w:szCs w:val="24"/>
                <w:vertAlign w:val="superscript"/>
              </w:rPr>
              <w:t>-6</w:t>
            </w:r>
            <w:r>
              <w:rPr>
                <w:rFonts w:ascii="Times New Roman" w:eastAsia="仿宋"/>
                <w:szCs w:val="24"/>
              </w:rPr>
              <w:t>×Q×t)</w:t>
            </w:r>
          </w:p>
        </w:tc>
      </w:tr>
      <w:tr w14:paraId="3058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13" w:type="dxa"/>
            <w:vMerge w:val="continue"/>
            <w:noWrap/>
            <w:vAlign w:val="center"/>
          </w:tcPr>
          <w:p w14:paraId="3F9427F9">
            <w:pPr>
              <w:widowControl/>
              <w:jc w:val="center"/>
              <w:rPr>
                <w:rFonts w:ascii="Times New Roman" w:eastAsia="仿宋"/>
                <w:szCs w:val="24"/>
              </w:rPr>
            </w:pPr>
          </w:p>
        </w:tc>
        <w:tc>
          <w:tcPr>
            <w:tcW w:w="1404" w:type="dxa"/>
            <w:noWrap/>
            <w:vAlign w:val="center"/>
          </w:tcPr>
          <w:p w14:paraId="2643637A">
            <w:pPr>
              <w:widowControl/>
              <w:jc w:val="center"/>
              <w:rPr>
                <w:rFonts w:ascii="Times New Roman" w:eastAsia="仿宋"/>
                <w:szCs w:val="24"/>
              </w:rPr>
            </w:pPr>
            <w:r>
              <w:rPr>
                <w:rFonts w:ascii="Times New Roman" w:eastAsia="仿宋"/>
                <w:szCs w:val="24"/>
              </w:rPr>
              <w:t>天</w:t>
            </w:r>
          </w:p>
        </w:tc>
        <w:tc>
          <w:tcPr>
            <w:tcW w:w="1914" w:type="dxa"/>
            <w:noWrap/>
            <w:vAlign w:val="center"/>
          </w:tcPr>
          <w:p w14:paraId="4CD18102">
            <w:pPr>
              <w:widowControl/>
              <w:jc w:val="center"/>
              <w:rPr>
                <w:rFonts w:ascii="Times New Roman" w:eastAsia="仿宋"/>
                <w:szCs w:val="24"/>
              </w:rPr>
            </w:pPr>
            <w:r>
              <w:rPr>
                <w:rFonts w:ascii="Times New Roman" w:eastAsia="仿宋"/>
                <w:szCs w:val="24"/>
              </w:rPr>
              <w:t>kg</w:t>
            </w:r>
          </w:p>
        </w:tc>
        <w:tc>
          <w:tcPr>
            <w:tcW w:w="1649" w:type="dxa"/>
            <w:noWrap/>
            <w:vAlign w:val="center"/>
          </w:tcPr>
          <w:p w14:paraId="3A732ACE">
            <w:pPr>
              <w:widowControl/>
              <w:jc w:val="center"/>
              <w:rPr>
                <w:rFonts w:ascii="Times New Roman" w:eastAsia="仿宋"/>
                <w:szCs w:val="24"/>
              </w:rPr>
            </w:pPr>
            <w:r>
              <w:rPr>
                <w:rFonts w:ascii="Times New Roman" w:eastAsia="仿宋"/>
                <w:szCs w:val="24"/>
              </w:rPr>
              <w:t>%</w:t>
            </w:r>
          </w:p>
        </w:tc>
        <w:tc>
          <w:tcPr>
            <w:tcW w:w="1811" w:type="dxa"/>
            <w:noWrap/>
            <w:vAlign w:val="center"/>
          </w:tcPr>
          <w:p w14:paraId="18D691D6">
            <w:pPr>
              <w:widowControl/>
              <w:jc w:val="center"/>
              <w:rPr>
                <w:rFonts w:ascii="Times New Roman" w:eastAsia="仿宋"/>
                <w:szCs w:val="24"/>
              </w:rPr>
            </w:pPr>
            <w:r>
              <w:rPr>
                <w:rFonts w:ascii="Times New Roman" w:eastAsia="仿宋"/>
                <w:szCs w:val="24"/>
              </w:rPr>
              <w:t>kg/d</w:t>
            </w:r>
          </w:p>
        </w:tc>
      </w:tr>
      <w:tr w14:paraId="0BE1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13" w:type="dxa"/>
            <w:noWrap/>
            <w:vAlign w:val="center"/>
          </w:tcPr>
          <w:p w14:paraId="20B88FDB">
            <w:pPr>
              <w:widowControl/>
              <w:jc w:val="center"/>
              <w:rPr>
                <w:rFonts w:ascii="Times New Roman" w:eastAsia="仿宋"/>
                <w:szCs w:val="24"/>
              </w:rPr>
            </w:pPr>
            <w:r>
              <w:rPr>
                <w:rFonts w:hint="eastAsia" w:ascii="Times New Roman" w:eastAsia="仿宋"/>
                <w:szCs w:val="24"/>
              </w:rPr>
              <w:t>2</w:t>
            </w:r>
            <w:r>
              <w:rPr>
                <w:rFonts w:ascii="Times New Roman" w:eastAsia="仿宋"/>
                <w:szCs w:val="24"/>
              </w:rPr>
              <w:t>#</w:t>
            </w:r>
          </w:p>
        </w:tc>
        <w:tc>
          <w:tcPr>
            <w:tcW w:w="1404" w:type="dxa"/>
            <w:noWrap/>
            <w:vAlign w:val="center"/>
          </w:tcPr>
          <w:p w14:paraId="24C8C04A">
            <w:pPr>
              <w:widowControl/>
              <w:jc w:val="center"/>
              <w:rPr>
                <w:rFonts w:ascii="Times New Roman" w:eastAsia="仿宋"/>
                <w:szCs w:val="24"/>
              </w:rPr>
            </w:pPr>
            <w:r>
              <w:rPr>
                <w:rFonts w:ascii="Times New Roman" w:eastAsia="仿宋"/>
                <w:szCs w:val="24"/>
              </w:rPr>
              <w:t>6</w:t>
            </w:r>
          </w:p>
        </w:tc>
        <w:tc>
          <w:tcPr>
            <w:tcW w:w="1914" w:type="dxa"/>
            <w:noWrap/>
            <w:vAlign w:val="center"/>
          </w:tcPr>
          <w:p w14:paraId="465E2BE3">
            <w:pPr>
              <w:widowControl/>
              <w:jc w:val="center"/>
              <w:rPr>
                <w:rFonts w:ascii="Times New Roman" w:eastAsia="仿宋"/>
                <w:szCs w:val="24"/>
              </w:rPr>
            </w:pPr>
            <w:r>
              <w:rPr>
                <w:rFonts w:hint="eastAsia" w:ascii="Times New Roman" w:eastAsia="仿宋"/>
                <w:szCs w:val="24"/>
              </w:rPr>
              <w:t>3</w:t>
            </w:r>
            <w:r>
              <w:rPr>
                <w:rFonts w:ascii="Times New Roman" w:eastAsia="仿宋"/>
                <w:szCs w:val="24"/>
              </w:rPr>
              <w:t>000</w:t>
            </w:r>
          </w:p>
        </w:tc>
        <w:tc>
          <w:tcPr>
            <w:tcW w:w="1649" w:type="dxa"/>
            <w:noWrap/>
            <w:vAlign w:val="center"/>
          </w:tcPr>
          <w:p w14:paraId="526427BD">
            <w:pPr>
              <w:widowControl/>
              <w:jc w:val="center"/>
              <w:rPr>
                <w:rFonts w:ascii="Times New Roman" w:eastAsia="仿宋"/>
                <w:szCs w:val="24"/>
              </w:rPr>
            </w:pPr>
            <w:r>
              <w:rPr>
                <w:rFonts w:ascii="Times New Roman" w:eastAsia="仿宋"/>
                <w:szCs w:val="24"/>
              </w:rPr>
              <w:t>2</w:t>
            </w:r>
            <w:r>
              <w:rPr>
                <w:rFonts w:hint="eastAsia" w:ascii="Times New Roman" w:eastAsia="仿宋"/>
                <w:szCs w:val="24"/>
              </w:rPr>
              <w:t>0</w:t>
            </w:r>
          </w:p>
        </w:tc>
        <w:tc>
          <w:tcPr>
            <w:tcW w:w="1811" w:type="dxa"/>
            <w:noWrap/>
            <w:vAlign w:val="center"/>
          </w:tcPr>
          <w:p w14:paraId="2DDFC087">
            <w:pPr>
              <w:widowControl/>
              <w:jc w:val="center"/>
              <w:rPr>
                <w:rFonts w:ascii="Times New Roman" w:eastAsia="仿宋"/>
                <w:szCs w:val="24"/>
              </w:rPr>
            </w:pPr>
            <w:r>
              <w:rPr>
                <w:rFonts w:ascii="Times New Roman" w:eastAsia="仿宋"/>
                <w:szCs w:val="24"/>
              </w:rPr>
              <w:t>53.92</w:t>
            </w:r>
          </w:p>
        </w:tc>
      </w:tr>
      <w:tr w14:paraId="7952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13" w:type="dxa"/>
            <w:noWrap/>
            <w:vAlign w:val="center"/>
          </w:tcPr>
          <w:p w14:paraId="58B86413">
            <w:pPr>
              <w:widowControl/>
              <w:jc w:val="center"/>
              <w:rPr>
                <w:rFonts w:ascii="Times New Roman" w:eastAsia="仿宋"/>
                <w:szCs w:val="24"/>
              </w:rPr>
            </w:pPr>
            <w:r>
              <w:rPr>
                <w:rFonts w:hint="eastAsia" w:ascii="Times New Roman" w:eastAsia="仿宋"/>
                <w:szCs w:val="24"/>
              </w:rPr>
              <w:t>3#</w:t>
            </w:r>
          </w:p>
        </w:tc>
        <w:tc>
          <w:tcPr>
            <w:tcW w:w="1404" w:type="dxa"/>
            <w:noWrap/>
            <w:vAlign w:val="center"/>
          </w:tcPr>
          <w:p w14:paraId="688F3F13">
            <w:pPr>
              <w:widowControl/>
              <w:jc w:val="center"/>
              <w:rPr>
                <w:rFonts w:ascii="Times New Roman" w:eastAsia="仿宋"/>
                <w:szCs w:val="24"/>
              </w:rPr>
            </w:pPr>
            <w:r>
              <w:rPr>
                <w:rFonts w:ascii="Times New Roman" w:eastAsia="仿宋"/>
                <w:szCs w:val="24"/>
              </w:rPr>
              <w:t>6</w:t>
            </w:r>
          </w:p>
        </w:tc>
        <w:tc>
          <w:tcPr>
            <w:tcW w:w="1914" w:type="dxa"/>
            <w:noWrap/>
            <w:vAlign w:val="center"/>
          </w:tcPr>
          <w:p w14:paraId="7FD1C9F1">
            <w:pPr>
              <w:widowControl/>
              <w:jc w:val="center"/>
              <w:rPr>
                <w:rFonts w:ascii="Times New Roman" w:eastAsia="仿宋"/>
                <w:szCs w:val="24"/>
              </w:rPr>
            </w:pPr>
            <w:r>
              <w:rPr>
                <w:rFonts w:hint="eastAsia" w:ascii="Times New Roman" w:eastAsia="仿宋"/>
                <w:szCs w:val="24"/>
              </w:rPr>
              <w:t>3</w:t>
            </w:r>
            <w:r>
              <w:rPr>
                <w:rFonts w:ascii="Times New Roman" w:eastAsia="仿宋"/>
                <w:szCs w:val="24"/>
              </w:rPr>
              <w:t>000</w:t>
            </w:r>
          </w:p>
        </w:tc>
        <w:tc>
          <w:tcPr>
            <w:tcW w:w="1649" w:type="dxa"/>
            <w:noWrap/>
            <w:vAlign w:val="center"/>
          </w:tcPr>
          <w:p w14:paraId="6488B880">
            <w:pPr>
              <w:widowControl/>
              <w:jc w:val="center"/>
              <w:rPr>
                <w:rFonts w:ascii="Times New Roman" w:eastAsia="仿宋"/>
                <w:szCs w:val="24"/>
              </w:rPr>
            </w:pPr>
            <w:r>
              <w:rPr>
                <w:rFonts w:ascii="Times New Roman" w:eastAsia="仿宋"/>
                <w:szCs w:val="24"/>
              </w:rPr>
              <w:t>2</w:t>
            </w:r>
            <w:r>
              <w:rPr>
                <w:rFonts w:hint="eastAsia" w:ascii="Times New Roman" w:eastAsia="仿宋"/>
                <w:szCs w:val="24"/>
              </w:rPr>
              <w:t>0</w:t>
            </w:r>
          </w:p>
        </w:tc>
        <w:tc>
          <w:tcPr>
            <w:tcW w:w="1811" w:type="dxa"/>
            <w:noWrap/>
            <w:vAlign w:val="center"/>
          </w:tcPr>
          <w:p w14:paraId="20FEF047">
            <w:pPr>
              <w:widowControl/>
              <w:jc w:val="center"/>
              <w:rPr>
                <w:rFonts w:ascii="Times New Roman" w:eastAsia="仿宋"/>
                <w:szCs w:val="24"/>
              </w:rPr>
            </w:pPr>
            <w:r>
              <w:rPr>
                <w:rFonts w:hint="eastAsia" w:ascii="Times New Roman" w:eastAsia="仿宋"/>
                <w:szCs w:val="24"/>
              </w:rPr>
              <w:t>5</w:t>
            </w:r>
            <w:r>
              <w:rPr>
                <w:rFonts w:ascii="Times New Roman" w:eastAsia="仿宋"/>
                <w:szCs w:val="24"/>
              </w:rPr>
              <w:t>3.28</w:t>
            </w:r>
          </w:p>
        </w:tc>
      </w:tr>
      <w:tr w14:paraId="0C57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13" w:type="dxa"/>
            <w:noWrap/>
            <w:vAlign w:val="center"/>
          </w:tcPr>
          <w:p w14:paraId="1411005F">
            <w:pPr>
              <w:widowControl/>
              <w:jc w:val="center"/>
              <w:rPr>
                <w:rFonts w:ascii="Times New Roman" w:eastAsia="仿宋"/>
                <w:szCs w:val="24"/>
              </w:rPr>
            </w:pPr>
            <w:r>
              <w:rPr>
                <w:rFonts w:hint="eastAsia" w:ascii="Times New Roman" w:eastAsia="仿宋"/>
                <w:szCs w:val="24"/>
              </w:rPr>
              <w:t>4#</w:t>
            </w:r>
          </w:p>
        </w:tc>
        <w:tc>
          <w:tcPr>
            <w:tcW w:w="1404" w:type="dxa"/>
            <w:noWrap/>
            <w:vAlign w:val="center"/>
          </w:tcPr>
          <w:p w14:paraId="592F72BF">
            <w:pPr>
              <w:widowControl/>
              <w:jc w:val="center"/>
              <w:rPr>
                <w:rFonts w:ascii="Times New Roman" w:eastAsia="仿宋"/>
                <w:szCs w:val="24"/>
              </w:rPr>
            </w:pPr>
            <w:r>
              <w:rPr>
                <w:rFonts w:ascii="Times New Roman" w:eastAsia="仿宋"/>
                <w:szCs w:val="24"/>
              </w:rPr>
              <w:t>2</w:t>
            </w:r>
          </w:p>
        </w:tc>
        <w:tc>
          <w:tcPr>
            <w:tcW w:w="1914" w:type="dxa"/>
            <w:noWrap/>
            <w:vAlign w:val="center"/>
          </w:tcPr>
          <w:p w14:paraId="1E05A1CA">
            <w:pPr>
              <w:widowControl/>
              <w:jc w:val="center"/>
              <w:rPr>
                <w:rFonts w:ascii="Times New Roman" w:eastAsia="仿宋"/>
                <w:szCs w:val="24"/>
              </w:rPr>
            </w:pPr>
            <w:r>
              <w:rPr>
                <w:rFonts w:hint="eastAsia" w:ascii="Times New Roman" w:eastAsia="仿宋"/>
                <w:szCs w:val="24"/>
              </w:rPr>
              <w:t>2</w:t>
            </w:r>
            <w:r>
              <w:rPr>
                <w:rFonts w:ascii="Times New Roman" w:eastAsia="仿宋"/>
                <w:szCs w:val="24"/>
              </w:rPr>
              <w:t>200</w:t>
            </w:r>
          </w:p>
        </w:tc>
        <w:tc>
          <w:tcPr>
            <w:tcW w:w="1649" w:type="dxa"/>
            <w:noWrap/>
            <w:vAlign w:val="center"/>
          </w:tcPr>
          <w:p w14:paraId="118424C0">
            <w:pPr>
              <w:widowControl/>
              <w:jc w:val="center"/>
              <w:rPr>
                <w:rFonts w:ascii="Times New Roman" w:eastAsia="仿宋"/>
                <w:szCs w:val="24"/>
              </w:rPr>
            </w:pPr>
            <w:r>
              <w:rPr>
                <w:rFonts w:ascii="Times New Roman" w:eastAsia="仿宋"/>
                <w:szCs w:val="24"/>
              </w:rPr>
              <w:t>2</w:t>
            </w:r>
            <w:r>
              <w:rPr>
                <w:rFonts w:hint="eastAsia" w:ascii="Times New Roman" w:eastAsia="仿宋"/>
                <w:szCs w:val="24"/>
              </w:rPr>
              <w:t>0</w:t>
            </w:r>
          </w:p>
        </w:tc>
        <w:tc>
          <w:tcPr>
            <w:tcW w:w="1811" w:type="dxa"/>
            <w:noWrap/>
            <w:vAlign w:val="center"/>
          </w:tcPr>
          <w:p w14:paraId="39585EDF">
            <w:pPr>
              <w:widowControl/>
              <w:jc w:val="center"/>
              <w:rPr>
                <w:rFonts w:ascii="Times New Roman" w:eastAsia="仿宋"/>
                <w:szCs w:val="24"/>
              </w:rPr>
            </w:pPr>
            <w:r>
              <w:rPr>
                <w:rFonts w:hint="eastAsia" w:ascii="Times New Roman" w:eastAsia="仿宋"/>
                <w:szCs w:val="24"/>
              </w:rPr>
              <w:t>1</w:t>
            </w:r>
            <w:r>
              <w:rPr>
                <w:rFonts w:ascii="Times New Roman" w:eastAsia="仿宋"/>
                <w:szCs w:val="24"/>
              </w:rPr>
              <w:t>21.37</w:t>
            </w:r>
          </w:p>
        </w:tc>
      </w:tr>
    </w:tbl>
    <w:p w14:paraId="15E7C79B">
      <w:pPr>
        <w:pStyle w:val="22"/>
        <w:spacing w:line="500" w:lineRule="exact"/>
        <w:ind w:firstLine="560"/>
        <w:rPr>
          <w:rFonts w:eastAsia="仿宋"/>
          <w:sz w:val="28"/>
          <w:szCs w:val="28"/>
        </w:rPr>
      </w:pPr>
      <w:r>
        <w:rPr>
          <w:rFonts w:hint="eastAsia" w:eastAsia="仿宋"/>
          <w:sz w:val="28"/>
          <w:szCs w:val="28"/>
        </w:rPr>
        <w:t>（21）污泥S</w:t>
      </w:r>
      <w:r>
        <w:rPr>
          <w:rFonts w:eastAsia="仿宋"/>
          <w:sz w:val="28"/>
          <w:szCs w:val="28"/>
        </w:rPr>
        <w:t>25</w:t>
      </w:r>
    </w:p>
    <w:p w14:paraId="53C93DA2">
      <w:pPr>
        <w:pStyle w:val="22"/>
        <w:spacing w:line="500" w:lineRule="exact"/>
        <w:ind w:firstLine="560"/>
        <w:rPr>
          <w:rFonts w:eastAsia="仿宋"/>
          <w:sz w:val="28"/>
          <w:szCs w:val="28"/>
        </w:rPr>
      </w:pPr>
      <w:r>
        <w:rPr>
          <w:rFonts w:hint="eastAsia" w:eastAsia="仿宋"/>
          <w:sz w:val="28"/>
          <w:szCs w:val="28"/>
        </w:rPr>
        <w:t>本项目污水处理站沉淀池中经污泥经板框压滤机处理后委托有资质单位处理，根据废水单位提供的资料，废污泥的产生量为1</w:t>
      </w:r>
      <w:r>
        <w:rPr>
          <w:rFonts w:eastAsia="仿宋"/>
          <w:sz w:val="28"/>
          <w:szCs w:val="28"/>
        </w:rPr>
        <w:t>0</w:t>
      </w:r>
      <w:r>
        <w:rPr>
          <w:rFonts w:hint="eastAsia" w:eastAsia="仿宋"/>
          <w:sz w:val="28"/>
          <w:szCs w:val="28"/>
        </w:rPr>
        <w:t>t</w:t>
      </w:r>
      <w:r>
        <w:rPr>
          <w:rFonts w:eastAsia="仿宋"/>
          <w:sz w:val="28"/>
          <w:szCs w:val="28"/>
        </w:rPr>
        <w:t>/</w:t>
      </w:r>
      <w:r>
        <w:rPr>
          <w:rFonts w:hint="eastAsia" w:eastAsia="仿宋"/>
          <w:sz w:val="28"/>
          <w:szCs w:val="28"/>
        </w:rPr>
        <w:t>a。</w:t>
      </w:r>
    </w:p>
    <w:p w14:paraId="1F61A10C">
      <w:pPr>
        <w:pStyle w:val="22"/>
        <w:spacing w:line="500" w:lineRule="exact"/>
        <w:ind w:firstLine="560"/>
        <w:rPr>
          <w:rFonts w:eastAsia="仿宋"/>
          <w:sz w:val="28"/>
          <w:szCs w:val="28"/>
        </w:rPr>
      </w:pPr>
      <w:r>
        <w:rPr>
          <w:rFonts w:hint="eastAsia" w:eastAsia="仿宋"/>
          <w:sz w:val="28"/>
          <w:szCs w:val="28"/>
        </w:rPr>
        <w:t>（22）废过滤棉S</w:t>
      </w:r>
      <w:r>
        <w:rPr>
          <w:rFonts w:eastAsia="仿宋"/>
          <w:sz w:val="28"/>
          <w:szCs w:val="28"/>
        </w:rPr>
        <w:t>26</w:t>
      </w:r>
    </w:p>
    <w:p w14:paraId="11086EC0">
      <w:pPr>
        <w:pStyle w:val="22"/>
        <w:spacing w:line="500" w:lineRule="exact"/>
        <w:ind w:firstLine="560"/>
        <w:rPr>
          <w:rFonts w:eastAsia="仿宋"/>
          <w:sz w:val="28"/>
          <w:szCs w:val="28"/>
        </w:rPr>
      </w:pPr>
      <w:r>
        <w:rPr>
          <w:rFonts w:hint="eastAsia" w:eastAsia="仿宋"/>
          <w:sz w:val="28"/>
          <w:szCs w:val="28"/>
        </w:rPr>
        <w:t>本项目3套干式过滤器中需要定期更换过滤棉，根据企业提供的资料，产生量为3t/a。</w:t>
      </w:r>
    </w:p>
    <w:p w14:paraId="08680F34">
      <w:pPr>
        <w:pStyle w:val="22"/>
        <w:spacing w:line="500" w:lineRule="exact"/>
        <w:ind w:firstLine="560"/>
        <w:rPr>
          <w:rFonts w:eastAsia="仿宋"/>
          <w:sz w:val="28"/>
          <w:szCs w:val="28"/>
        </w:rPr>
      </w:pPr>
      <w:r>
        <w:rPr>
          <w:rFonts w:hint="eastAsia" w:eastAsia="仿宋"/>
          <w:sz w:val="28"/>
          <w:szCs w:val="28"/>
        </w:rPr>
        <w:t>（23）废过滤介质S</w:t>
      </w:r>
      <w:r>
        <w:rPr>
          <w:rFonts w:eastAsia="仿宋"/>
          <w:sz w:val="28"/>
          <w:szCs w:val="28"/>
        </w:rPr>
        <w:t>27</w:t>
      </w:r>
    </w:p>
    <w:p w14:paraId="5A6CC03A">
      <w:pPr>
        <w:pStyle w:val="22"/>
        <w:spacing w:line="500" w:lineRule="exact"/>
        <w:ind w:firstLine="560"/>
        <w:rPr>
          <w:rFonts w:eastAsia="仿宋"/>
          <w:sz w:val="28"/>
          <w:szCs w:val="28"/>
        </w:rPr>
      </w:pPr>
      <w:r>
        <w:rPr>
          <w:rFonts w:hint="eastAsia" w:eastAsia="仿宋"/>
          <w:sz w:val="28"/>
          <w:szCs w:val="28"/>
        </w:rPr>
        <w:t>本项目污水处理站中过滤单元定期更换过滤介质产生，根据企业提供资料，更换频次约三年一次，单次更换量分别为0.3t，则废过滤介质产生量为0.</w:t>
      </w:r>
      <w:r>
        <w:rPr>
          <w:rFonts w:eastAsia="仿宋"/>
          <w:sz w:val="28"/>
          <w:szCs w:val="28"/>
        </w:rPr>
        <w:t>3</w:t>
      </w:r>
      <w:r>
        <w:rPr>
          <w:rFonts w:hint="eastAsia" w:eastAsia="仿宋"/>
          <w:sz w:val="28"/>
          <w:szCs w:val="28"/>
        </w:rPr>
        <w:t>t/3a。</w:t>
      </w:r>
    </w:p>
    <w:p w14:paraId="46EF0DF6">
      <w:pPr>
        <w:pStyle w:val="22"/>
        <w:spacing w:line="500" w:lineRule="exact"/>
        <w:ind w:firstLine="560"/>
        <w:rPr>
          <w:rFonts w:eastAsia="仿宋"/>
          <w:sz w:val="28"/>
          <w:szCs w:val="28"/>
        </w:rPr>
        <w:sectPr>
          <w:pgSz w:w="11907" w:h="16840"/>
          <w:pgMar w:top="1440" w:right="1800" w:bottom="1440" w:left="1800" w:header="851" w:footer="992" w:gutter="0"/>
          <w:cols w:space="720" w:num="1"/>
          <w:docGrid w:linePitch="312" w:charSpace="0"/>
        </w:sectPr>
      </w:pPr>
    </w:p>
    <w:p w14:paraId="32153E9E">
      <w:pPr>
        <w:pStyle w:val="168"/>
        <w:ind w:firstLine="0" w:firstLineChars="0"/>
        <w:rPr>
          <w:rFonts w:ascii="Times New Roman" w:eastAsia="仿宋"/>
        </w:rPr>
      </w:pPr>
      <w:r>
        <w:rPr>
          <w:rFonts w:ascii="Times New Roman" w:eastAsia="仿宋"/>
        </w:rPr>
        <w:t xml:space="preserve">表3.2-14 </w:t>
      </w:r>
      <w:r>
        <w:rPr>
          <w:rFonts w:ascii="Times New Roman" w:eastAsia="仿宋"/>
          <w:b w:val="0"/>
        </w:rPr>
        <w:t xml:space="preserve"> </w:t>
      </w:r>
      <w:r>
        <w:rPr>
          <w:rFonts w:ascii="Times New Roman" w:eastAsia="仿宋"/>
        </w:rPr>
        <w:t>本项目固废产生情况</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10"/>
        <w:gridCol w:w="864"/>
        <w:gridCol w:w="1102"/>
        <w:gridCol w:w="1634"/>
        <w:gridCol w:w="849"/>
        <w:gridCol w:w="1350"/>
        <w:gridCol w:w="765"/>
        <w:gridCol w:w="1170"/>
        <w:gridCol w:w="987"/>
        <w:gridCol w:w="992"/>
        <w:gridCol w:w="851"/>
        <w:gridCol w:w="1086"/>
      </w:tblGrid>
      <w:tr w14:paraId="0EC8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1112D32A">
            <w:pPr>
              <w:topLinePunct/>
              <w:adjustRightInd w:val="0"/>
              <w:snapToGrid w:val="0"/>
              <w:jc w:val="center"/>
              <w:rPr>
                <w:rFonts w:ascii="Times New Roman" w:eastAsia="仿宋"/>
                <w:szCs w:val="21"/>
              </w:rPr>
            </w:pPr>
            <w:r>
              <w:rPr>
                <w:rFonts w:ascii="Times New Roman" w:eastAsia="仿宋"/>
                <w:szCs w:val="21"/>
              </w:rPr>
              <w:t>序号</w:t>
            </w:r>
          </w:p>
        </w:tc>
        <w:tc>
          <w:tcPr>
            <w:tcW w:w="1610" w:type="dxa"/>
            <w:vAlign w:val="center"/>
          </w:tcPr>
          <w:p w14:paraId="23F9E689">
            <w:pPr>
              <w:topLinePunct/>
              <w:adjustRightInd w:val="0"/>
              <w:snapToGrid w:val="0"/>
              <w:jc w:val="center"/>
              <w:rPr>
                <w:rFonts w:ascii="Times New Roman" w:eastAsia="仿宋"/>
                <w:szCs w:val="21"/>
              </w:rPr>
            </w:pPr>
            <w:r>
              <w:rPr>
                <w:rFonts w:ascii="Times New Roman" w:eastAsia="仿宋"/>
                <w:szCs w:val="21"/>
              </w:rPr>
              <w:t>废物名称</w:t>
            </w:r>
          </w:p>
        </w:tc>
        <w:tc>
          <w:tcPr>
            <w:tcW w:w="864" w:type="dxa"/>
            <w:vAlign w:val="center"/>
          </w:tcPr>
          <w:p w14:paraId="68108C9D">
            <w:pPr>
              <w:topLinePunct/>
              <w:adjustRightInd w:val="0"/>
              <w:snapToGrid w:val="0"/>
              <w:jc w:val="center"/>
              <w:rPr>
                <w:rFonts w:ascii="Times New Roman" w:eastAsia="仿宋"/>
                <w:szCs w:val="21"/>
              </w:rPr>
            </w:pPr>
            <w:r>
              <w:rPr>
                <w:rFonts w:hint="eastAsia" w:ascii="Times New Roman" w:eastAsia="仿宋"/>
                <w:szCs w:val="21"/>
              </w:rPr>
              <w:t>性质</w:t>
            </w:r>
          </w:p>
        </w:tc>
        <w:tc>
          <w:tcPr>
            <w:tcW w:w="1102" w:type="dxa"/>
            <w:vAlign w:val="center"/>
          </w:tcPr>
          <w:p w14:paraId="6C8A6FA7">
            <w:pPr>
              <w:topLinePunct/>
              <w:adjustRightInd w:val="0"/>
              <w:snapToGrid w:val="0"/>
              <w:jc w:val="center"/>
              <w:rPr>
                <w:rFonts w:ascii="Times New Roman" w:eastAsia="仿宋"/>
                <w:szCs w:val="21"/>
              </w:rPr>
            </w:pPr>
            <w:r>
              <w:rPr>
                <w:rFonts w:ascii="Times New Roman" w:eastAsia="仿宋"/>
                <w:szCs w:val="21"/>
              </w:rPr>
              <w:t>废物类别</w:t>
            </w:r>
          </w:p>
        </w:tc>
        <w:tc>
          <w:tcPr>
            <w:tcW w:w="1634" w:type="dxa"/>
            <w:vAlign w:val="center"/>
          </w:tcPr>
          <w:p w14:paraId="1CDE17C4">
            <w:pPr>
              <w:topLinePunct/>
              <w:adjustRightInd w:val="0"/>
              <w:snapToGrid w:val="0"/>
              <w:jc w:val="center"/>
              <w:rPr>
                <w:rFonts w:ascii="Times New Roman" w:eastAsia="仿宋"/>
                <w:szCs w:val="21"/>
              </w:rPr>
            </w:pPr>
            <w:r>
              <w:rPr>
                <w:rFonts w:ascii="Times New Roman" w:eastAsia="仿宋"/>
                <w:szCs w:val="21"/>
              </w:rPr>
              <w:t>废物代码</w:t>
            </w:r>
          </w:p>
        </w:tc>
        <w:tc>
          <w:tcPr>
            <w:tcW w:w="849" w:type="dxa"/>
            <w:vAlign w:val="center"/>
          </w:tcPr>
          <w:p w14:paraId="783C2801">
            <w:pPr>
              <w:topLinePunct/>
              <w:adjustRightInd w:val="0"/>
              <w:snapToGrid w:val="0"/>
              <w:jc w:val="center"/>
              <w:rPr>
                <w:rFonts w:ascii="Times New Roman" w:eastAsia="仿宋"/>
                <w:szCs w:val="21"/>
              </w:rPr>
            </w:pPr>
            <w:r>
              <w:rPr>
                <w:rFonts w:ascii="Times New Roman" w:eastAsia="仿宋"/>
                <w:szCs w:val="21"/>
              </w:rPr>
              <w:t>产生量（t/a）</w:t>
            </w:r>
          </w:p>
        </w:tc>
        <w:tc>
          <w:tcPr>
            <w:tcW w:w="1350" w:type="dxa"/>
            <w:vAlign w:val="center"/>
          </w:tcPr>
          <w:p w14:paraId="35D07F6F">
            <w:pPr>
              <w:topLinePunct/>
              <w:adjustRightInd w:val="0"/>
              <w:snapToGrid w:val="0"/>
              <w:jc w:val="center"/>
              <w:rPr>
                <w:rFonts w:ascii="Times New Roman" w:eastAsia="仿宋"/>
                <w:szCs w:val="21"/>
              </w:rPr>
            </w:pPr>
            <w:r>
              <w:rPr>
                <w:rFonts w:ascii="Times New Roman" w:eastAsia="仿宋"/>
                <w:szCs w:val="21"/>
              </w:rPr>
              <w:t>产生工序及装置</w:t>
            </w:r>
          </w:p>
        </w:tc>
        <w:tc>
          <w:tcPr>
            <w:tcW w:w="765" w:type="dxa"/>
            <w:vAlign w:val="center"/>
          </w:tcPr>
          <w:p w14:paraId="303790B0">
            <w:pPr>
              <w:topLinePunct/>
              <w:adjustRightInd w:val="0"/>
              <w:snapToGrid w:val="0"/>
              <w:jc w:val="center"/>
              <w:rPr>
                <w:rFonts w:ascii="Times New Roman" w:eastAsia="仿宋"/>
                <w:szCs w:val="21"/>
              </w:rPr>
            </w:pPr>
            <w:r>
              <w:rPr>
                <w:rFonts w:ascii="Times New Roman" w:eastAsia="仿宋"/>
                <w:szCs w:val="21"/>
              </w:rPr>
              <w:t>形态</w:t>
            </w:r>
          </w:p>
        </w:tc>
        <w:tc>
          <w:tcPr>
            <w:tcW w:w="1170" w:type="dxa"/>
            <w:vAlign w:val="center"/>
          </w:tcPr>
          <w:p w14:paraId="0D5B29A1">
            <w:pPr>
              <w:topLinePunct/>
              <w:adjustRightInd w:val="0"/>
              <w:snapToGrid w:val="0"/>
              <w:jc w:val="center"/>
              <w:rPr>
                <w:rFonts w:ascii="Times New Roman" w:eastAsia="仿宋"/>
                <w:szCs w:val="21"/>
              </w:rPr>
            </w:pPr>
            <w:r>
              <w:rPr>
                <w:rFonts w:ascii="Times New Roman" w:eastAsia="仿宋"/>
                <w:szCs w:val="21"/>
              </w:rPr>
              <w:t>主要成分</w:t>
            </w:r>
          </w:p>
        </w:tc>
        <w:tc>
          <w:tcPr>
            <w:tcW w:w="987" w:type="dxa"/>
            <w:vAlign w:val="center"/>
          </w:tcPr>
          <w:p w14:paraId="0D1388E2">
            <w:pPr>
              <w:topLinePunct/>
              <w:adjustRightInd w:val="0"/>
              <w:snapToGrid w:val="0"/>
              <w:jc w:val="center"/>
              <w:rPr>
                <w:rFonts w:ascii="Times New Roman" w:eastAsia="仿宋"/>
                <w:szCs w:val="21"/>
              </w:rPr>
            </w:pPr>
            <w:r>
              <w:rPr>
                <w:rFonts w:ascii="Times New Roman" w:eastAsia="仿宋"/>
                <w:szCs w:val="21"/>
              </w:rPr>
              <w:t>有害成分</w:t>
            </w:r>
          </w:p>
        </w:tc>
        <w:tc>
          <w:tcPr>
            <w:tcW w:w="992" w:type="dxa"/>
            <w:vAlign w:val="center"/>
          </w:tcPr>
          <w:p w14:paraId="11EA2A8D">
            <w:pPr>
              <w:topLinePunct/>
              <w:adjustRightInd w:val="0"/>
              <w:snapToGrid w:val="0"/>
              <w:jc w:val="center"/>
              <w:rPr>
                <w:rFonts w:ascii="Times New Roman" w:eastAsia="仿宋"/>
                <w:szCs w:val="21"/>
              </w:rPr>
            </w:pPr>
            <w:r>
              <w:rPr>
                <w:rFonts w:ascii="Times New Roman" w:eastAsia="仿宋"/>
                <w:szCs w:val="21"/>
              </w:rPr>
              <w:t>产废周期</w:t>
            </w:r>
          </w:p>
        </w:tc>
        <w:tc>
          <w:tcPr>
            <w:tcW w:w="851" w:type="dxa"/>
            <w:vAlign w:val="center"/>
          </w:tcPr>
          <w:p w14:paraId="4599112E">
            <w:pPr>
              <w:topLinePunct/>
              <w:adjustRightInd w:val="0"/>
              <w:snapToGrid w:val="0"/>
              <w:jc w:val="center"/>
              <w:rPr>
                <w:rFonts w:ascii="Times New Roman" w:eastAsia="仿宋"/>
                <w:szCs w:val="21"/>
              </w:rPr>
            </w:pPr>
            <w:r>
              <w:rPr>
                <w:rFonts w:ascii="Times New Roman" w:eastAsia="仿宋"/>
                <w:szCs w:val="21"/>
              </w:rPr>
              <w:t>危险</w:t>
            </w:r>
          </w:p>
          <w:p w14:paraId="666B1CB9">
            <w:pPr>
              <w:topLinePunct/>
              <w:adjustRightInd w:val="0"/>
              <w:snapToGrid w:val="0"/>
              <w:jc w:val="center"/>
              <w:rPr>
                <w:rFonts w:ascii="Times New Roman" w:eastAsia="仿宋"/>
                <w:szCs w:val="21"/>
              </w:rPr>
            </w:pPr>
            <w:r>
              <w:rPr>
                <w:rFonts w:ascii="Times New Roman" w:eastAsia="仿宋"/>
                <w:szCs w:val="21"/>
              </w:rPr>
              <w:t>特性</w:t>
            </w:r>
          </w:p>
        </w:tc>
        <w:tc>
          <w:tcPr>
            <w:tcW w:w="1086" w:type="dxa"/>
            <w:vAlign w:val="center"/>
          </w:tcPr>
          <w:p w14:paraId="2BFF48A8">
            <w:pPr>
              <w:topLinePunct/>
              <w:adjustRightInd w:val="0"/>
              <w:snapToGrid w:val="0"/>
              <w:jc w:val="center"/>
              <w:rPr>
                <w:rFonts w:ascii="Times New Roman" w:eastAsia="仿宋"/>
                <w:szCs w:val="21"/>
              </w:rPr>
            </w:pPr>
            <w:r>
              <w:rPr>
                <w:rFonts w:ascii="Times New Roman" w:eastAsia="仿宋"/>
                <w:szCs w:val="21"/>
              </w:rPr>
              <w:t>污染防治措施</w:t>
            </w:r>
          </w:p>
        </w:tc>
      </w:tr>
      <w:tr w14:paraId="2CEC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81" w:type="dxa"/>
            <w:vAlign w:val="center"/>
          </w:tcPr>
          <w:p w14:paraId="396759B3">
            <w:pPr>
              <w:topLinePunct/>
              <w:adjustRightInd w:val="0"/>
              <w:snapToGrid w:val="0"/>
              <w:jc w:val="center"/>
              <w:rPr>
                <w:rFonts w:ascii="Times New Roman" w:eastAsia="仿宋"/>
                <w:szCs w:val="21"/>
              </w:rPr>
            </w:pPr>
            <w:r>
              <w:rPr>
                <w:rFonts w:ascii="Times New Roman" w:eastAsia="仿宋"/>
                <w:szCs w:val="21"/>
              </w:rPr>
              <w:t>1</w:t>
            </w:r>
          </w:p>
        </w:tc>
        <w:tc>
          <w:tcPr>
            <w:tcW w:w="1610" w:type="dxa"/>
            <w:vAlign w:val="center"/>
          </w:tcPr>
          <w:p w14:paraId="7EC525F6">
            <w:pPr>
              <w:topLinePunct/>
              <w:adjustRightInd w:val="0"/>
              <w:snapToGrid w:val="0"/>
              <w:jc w:val="center"/>
              <w:rPr>
                <w:rFonts w:ascii="Times New Roman" w:eastAsia="仿宋"/>
                <w:szCs w:val="21"/>
              </w:rPr>
            </w:pPr>
            <w:r>
              <w:rPr>
                <w:rFonts w:ascii="Times New Roman" w:eastAsia="仿宋"/>
                <w:szCs w:val="21"/>
              </w:rPr>
              <w:t>生活垃圾</w:t>
            </w:r>
          </w:p>
        </w:tc>
        <w:tc>
          <w:tcPr>
            <w:tcW w:w="864" w:type="dxa"/>
            <w:vMerge w:val="restart"/>
            <w:vAlign w:val="center"/>
          </w:tcPr>
          <w:p w14:paraId="3CF09F3B">
            <w:pPr>
              <w:topLinePunct/>
              <w:adjustRightInd w:val="0"/>
              <w:snapToGrid w:val="0"/>
              <w:jc w:val="center"/>
              <w:rPr>
                <w:rFonts w:ascii="Times New Roman" w:eastAsia="仿宋"/>
                <w:szCs w:val="21"/>
              </w:rPr>
            </w:pPr>
            <w:r>
              <w:rPr>
                <w:rFonts w:hint="eastAsia" w:ascii="Times New Roman" w:eastAsia="仿宋"/>
                <w:szCs w:val="21"/>
              </w:rPr>
              <w:t>一般固废</w:t>
            </w:r>
          </w:p>
        </w:tc>
        <w:tc>
          <w:tcPr>
            <w:tcW w:w="1102" w:type="dxa"/>
            <w:vAlign w:val="center"/>
          </w:tcPr>
          <w:p w14:paraId="403876CD">
            <w:pPr>
              <w:topLinePunct/>
              <w:adjustRightInd w:val="0"/>
              <w:snapToGrid w:val="0"/>
              <w:jc w:val="center"/>
              <w:rPr>
                <w:rFonts w:ascii="Times New Roman" w:eastAsia="仿宋"/>
                <w:szCs w:val="21"/>
              </w:rPr>
            </w:pPr>
            <w:r>
              <w:rPr>
                <w:rFonts w:hint="eastAsia" w:ascii="Times New Roman" w:eastAsia="仿宋"/>
                <w:szCs w:val="21"/>
              </w:rPr>
              <w:t>SW60</w:t>
            </w:r>
          </w:p>
        </w:tc>
        <w:tc>
          <w:tcPr>
            <w:tcW w:w="1634" w:type="dxa"/>
            <w:vAlign w:val="center"/>
          </w:tcPr>
          <w:p w14:paraId="7CAD9CBD">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S60</w:t>
            </w:r>
          </w:p>
        </w:tc>
        <w:tc>
          <w:tcPr>
            <w:tcW w:w="849" w:type="dxa"/>
            <w:vAlign w:val="center"/>
          </w:tcPr>
          <w:p w14:paraId="786E3F66">
            <w:pPr>
              <w:topLinePunct/>
              <w:adjustRightInd w:val="0"/>
              <w:snapToGrid w:val="0"/>
              <w:jc w:val="center"/>
              <w:rPr>
                <w:rFonts w:ascii="Times New Roman" w:eastAsia="仿宋"/>
                <w:szCs w:val="21"/>
              </w:rPr>
            </w:pPr>
            <w:r>
              <w:rPr>
                <w:rFonts w:hint="eastAsia" w:ascii="Times New Roman" w:eastAsia="仿宋"/>
                <w:szCs w:val="21"/>
              </w:rPr>
              <w:t>22.5</w:t>
            </w:r>
          </w:p>
        </w:tc>
        <w:tc>
          <w:tcPr>
            <w:tcW w:w="1350" w:type="dxa"/>
            <w:vAlign w:val="center"/>
          </w:tcPr>
          <w:p w14:paraId="4035FA09">
            <w:pPr>
              <w:topLinePunct/>
              <w:adjustRightInd w:val="0"/>
              <w:snapToGrid w:val="0"/>
              <w:jc w:val="center"/>
              <w:rPr>
                <w:rFonts w:ascii="Times New Roman" w:eastAsia="仿宋"/>
                <w:szCs w:val="21"/>
              </w:rPr>
            </w:pPr>
            <w:r>
              <w:rPr>
                <w:rFonts w:ascii="Times New Roman" w:eastAsia="仿宋"/>
                <w:szCs w:val="21"/>
              </w:rPr>
              <w:t>/</w:t>
            </w:r>
          </w:p>
        </w:tc>
        <w:tc>
          <w:tcPr>
            <w:tcW w:w="765" w:type="dxa"/>
            <w:vAlign w:val="center"/>
          </w:tcPr>
          <w:p w14:paraId="7BE09CF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0FCD8FB">
            <w:pPr>
              <w:topLinePunct/>
              <w:adjustRightInd w:val="0"/>
              <w:snapToGrid w:val="0"/>
              <w:jc w:val="center"/>
              <w:rPr>
                <w:rFonts w:ascii="Times New Roman" w:eastAsia="仿宋"/>
                <w:szCs w:val="21"/>
              </w:rPr>
            </w:pPr>
            <w:r>
              <w:rPr>
                <w:rFonts w:ascii="Times New Roman" w:eastAsia="仿宋"/>
                <w:szCs w:val="21"/>
              </w:rPr>
              <w:t>/</w:t>
            </w:r>
          </w:p>
        </w:tc>
        <w:tc>
          <w:tcPr>
            <w:tcW w:w="987" w:type="dxa"/>
            <w:vAlign w:val="center"/>
          </w:tcPr>
          <w:p w14:paraId="1D6486D5">
            <w:pPr>
              <w:topLinePunct/>
              <w:adjustRightInd w:val="0"/>
              <w:snapToGrid w:val="0"/>
              <w:jc w:val="center"/>
              <w:rPr>
                <w:rFonts w:ascii="Times New Roman" w:eastAsia="仿宋"/>
                <w:szCs w:val="21"/>
              </w:rPr>
            </w:pPr>
            <w:r>
              <w:rPr>
                <w:rFonts w:ascii="Times New Roman" w:eastAsia="仿宋"/>
                <w:szCs w:val="21"/>
              </w:rPr>
              <w:t>/</w:t>
            </w:r>
          </w:p>
        </w:tc>
        <w:tc>
          <w:tcPr>
            <w:tcW w:w="992" w:type="dxa"/>
            <w:vAlign w:val="center"/>
          </w:tcPr>
          <w:p w14:paraId="18C39661">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6054294">
            <w:pPr>
              <w:topLinePunct/>
              <w:adjustRightInd w:val="0"/>
              <w:snapToGrid w:val="0"/>
              <w:jc w:val="center"/>
              <w:rPr>
                <w:rFonts w:ascii="Times New Roman" w:eastAsia="仿宋"/>
                <w:szCs w:val="21"/>
              </w:rPr>
            </w:pPr>
            <w:r>
              <w:rPr>
                <w:rFonts w:ascii="Times New Roman" w:eastAsia="仿宋"/>
                <w:szCs w:val="21"/>
              </w:rPr>
              <w:t>/</w:t>
            </w:r>
          </w:p>
        </w:tc>
        <w:tc>
          <w:tcPr>
            <w:tcW w:w="1086" w:type="dxa"/>
            <w:vAlign w:val="center"/>
          </w:tcPr>
          <w:p w14:paraId="6C6B4F05">
            <w:pPr>
              <w:topLinePunct/>
              <w:adjustRightInd w:val="0"/>
              <w:snapToGrid w:val="0"/>
              <w:jc w:val="center"/>
              <w:rPr>
                <w:rFonts w:ascii="Times New Roman" w:eastAsia="仿宋"/>
                <w:szCs w:val="21"/>
              </w:rPr>
            </w:pPr>
            <w:r>
              <w:rPr>
                <w:rFonts w:ascii="Times New Roman" w:eastAsia="仿宋"/>
                <w:szCs w:val="21"/>
              </w:rPr>
              <w:t>由环卫部门清运</w:t>
            </w:r>
            <w:r>
              <w:rPr>
                <w:rFonts w:hint="eastAsia" w:ascii="Times New Roman" w:eastAsia="仿宋"/>
                <w:szCs w:val="21"/>
              </w:rPr>
              <w:t>处置</w:t>
            </w:r>
          </w:p>
        </w:tc>
      </w:tr>
      <w:tr w14:paraId="7396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1D213317">
            <w:pPr>
              <w:topLinePunct/>
              <w:adjustRightInd w:val="0"/>
              <w:snapToGrid w:val="0"/>
              <w:jc w:val="center"/>
              <w:rPr>
                <w:rFonts w:ascii="Times New Roman" w:eastAsia="仿宋"/>
                <w:szCs w:val="21"/>
              </w:rPr>
            </w:pPr>
            <w:r>
              <w:rPr>
                <w:rFonts w:ascii="Times New Roman" w:eastAsia="仿宋"/>
                <w:szCs w:val="21"/>
              </w:rPr>
              <w:t>2</w:t>
            </w:r>
          </w:p>
        </w:tc>
        <w:tc>
          <w:tcPr>
            <w:tcW w:w="1610" w:type="dxa"/>
            <w:vAlign w:val="center"/>
          </w:tcPr>
          <w:p w14:paraId="041DADB3">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边角料</w:t>
            </w:r>
          </w:p>
        </w:tc>
        <w:tc>
          <w:tcPr>
            <w:tcW w:w="864" w:type="dxa"/>
            <w:vMerge w:val="continue"/>
            <w:vAlign w:val="center"/>
          </w:tcPr>
          <w:p w14:paraId="0A6ADE96">
            <w:pPr>
              <w:topLinePunct/>
              <w:adjustRightInd w:val="0"/>
              <w:snapToGrid w:val="0"/>
              <w:jc w:val="center"/>
              <w:rPr>
                <w:rFonts w:ascii="Times New Roman" w:eastAsia="仿宋"/>
                <w:szCs w:val="21"/>
              </w:rPr>
            </w:pPr>
          </w:p>
        </w:tc>
        <w:tc>
          <w:tcPr>
            <w:tcW w:w="1102" w:type="dxa"/>
            <w:vAlign w:val="center"/>
          </w:tcPr>
          <w:p w14:paraId="33B7A41A">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220E5851">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417B9506">
            <w:pPr>
              <w:topLinePunct/>
              <w:adjustRightInd w:val="0"/>
              <w:snapToGrid w:val="0"/>
              <w:jc w:val="center"/>
              <w:rPr>
                <w:rFonts w:ascii="Times New Roman" w:eastAsia="仿宋"/>
                <w:szCs w:val="21"/>
              </w:rPr>
            </w:pPr>
            <w:r>
              <w:rPr>
                <w:rFonts w:hint="eastAsia" w:ascii="Times New Roman" w:eastAsia="仿宋"/>
                <w:szCs w:val="21"/>
              </w:rPr>
              <w:t>25</w:t>
            </w:r>
          </w:p>
        </w:tc>
        <w:tc>
          <w:tcPr>
            <w:tcW w:w="1350" w:type="dxa"/>
            <w:vAlign w:val="center"/>
          </w:tcPr>
          <w:p w14:paraId="6BE9256A">
            <w:pPr>
              <w:topLinePunct/>
              <w:adjustRightInd w:val="0"/>
              <w:snapToGrid w:val="0"/>
              <w:jc w:val="center"/>
              <w:rPr>
                <w:rFonts w:ascii="Times New Roman" w:eastAsia="仿宋"/>
                <w:szCs w:val="21"/>
              </w:rPr>
            </w:pPr>
            <w:r>
              <w:rPr>
                <w:rFonts w:hint="eastAsia" w:ascii="Times New Roman" w:eastAsia="仿宋"/>
                <w:szCs w:val="21"/>
              </w:rPr>
              <w:t>切割、剪板、雕刻</w:t>
            </w:r>
          </w:p>
        </w:tc>
        <w:tc>
          <w:tcPr>
            <w:tcW w:w="765" w:type="dxa"/>
            <w:vAlign w:val="center"/>
          </w:tcPr>
          <w:p w14:paraId="3B8A0B5C">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DC4FE96">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470D426D">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4F4731B3">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3E76E733">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restart"/>
            <w:vAlign w:val="center"/>
          </w:tcPr>
          <w:p w14:paraId="10189272">
            <w:pPr>
              <w:topLinePunct/>
              <w:adjustRightInd w:val="0"/>
              <w:snapToGrid w:val="0"/>
              <w:jc w:val="center"/>
              <w:rPr>
                <w:rFonts w:ascii="Times New Roman" w:eastAsia="仿宋"/>
                <w:szCs w:val="21"/>
              </w:rPr>
            </w:pPr>
            <w:r>
              <w:rPr>
                <w:rFonts w:hint="eastAsia" w:ascii="Times New Roman" w:eastAsia="仿宋"/>
                <w:szCs w:val="21"/>
              </w:rPr>
              <w:t>外售相关单位综合利用</w:t>
            </w:r>
          </w:p>
        </w:tc>
      </w:tr>
      <w:tr w14:paraId="6D41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29723F3">
            <w:pPr>
              <w:topLinePunct/>
              <w:adjustRightInd w:val="0"/>
              <w:snapToGrid w:val="0"/>
              <w:jc w:val="center"/>
              <w:rPr>
                <w:rFonts w:ascii="Times New Roman" w:eastAsia="仿宋"/>
                <w:szCs w:val="21"/>
              </w:rPr>
            </w:pPr>
            <w:r>
              <w:rPr>
                <w:rFonts w:ascii="Times New Roman" w:eastAsia="仿宋"/>
                <w:szCs w:val="21"/>
              </w:rPr>
              <w:t>3</w:t>
            </w:r>
          </w:p>
        </w:tc>
        <w:tc>
          <w:tcPr>
            <w:tcW w:w="1610" w:type="dxa"/>
            <w:shd w:val="clear" w:color="auto" w:fill="auto"/>
            <w:vAlign w:val="center"/>
          </w:tcPr>
          <w:p w14:paraId="48B70B30">
            <w:pPr>
              <w:topLinePunct/>
              <w:adjustRightInd w:val="0"/>
              <w:snapToGrid w:val="0"/>
              <w:jc w:val="center"/>
              <w:rPr>
                <w:rFonts w:ascii="Times New Roman" w:eastAsia="仿宋"/>
                <w:szCs w:val="21"/>
              </w:rPr>
            </w:pPr>
            <w:r>
              <w:rPr>
                <w:rFonts w:hint="eastAsia" w:ascii="Times New Roman" w:eastAsia="仿宋"/>
                <w:szCs w:val="21"/>
              </w:rPr>
              <w:t>焊渣</w:t>
            </w:r>
          </w:p>
        </w:tc>
        <w:tc>
          <w:tcPr>
            <w:tcW w:w="864" w:type="dxa"/>
            <w:vMerge w:val="continue"/>
            <w:shd w:val="clear" w:color="auto" w:fill="auto"/>
            <w:vAlign w:val="center"/>
          </w:tcPr>
          <w:p w14:paraId="2E68592E">
            <w:pPr>
              <w:topLinePunct/>
              <w:adjustRightInd w:val="0"/>
              <w:snapToGrid w:val="0"/>
              <w:jc w:val="center"/>
              <w:rPr>
                <w:rFonts w:ascii="Times New Roman" w:eastAsia="仿宋"/>
                <w:szCs w:val="21"/>
              </w:rPr>
            </w:pPr>
          </w:p>
        </w:tc>
        <w:tc>
          <w:tcPr>
            <w:tcW w:w="1102" w:type="dxa"/>
            <w:shd w:val="clear" w:color="auto" w:fill="auto"/>
            <w:vAlign w:val="center"/>
          </w:tcPr>
          <w:p w14:paraId="0AF6A59B">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2AC5A4AF">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237F4A45">
            <w:pPr>
              <w:topLinePunct/>
              <w:adjustRightInd w:val="0"/>
              <w:snapToGrid w:val="0"/>
              <w:jc w:val="center"/>
              <w:rPr>
                <w:rFonts w:ascii="Times New Roman" w:eastAsia="仿宋"/>
                <w:szCs w:val="21"/>
              </w:rPr>
            </w:pPr>
            <w:r>
              <w:rPr>
                <w:rFonts w:hint="eastAsia" w:ascii="Times New Roman" w:eastAsia="仿宋"/>
                <w:szCs w:val="21"/>
              </w:rPr>
              <w:t>0.1</w:t>
            </w:r>
          </w:p>
        </w:tc>
        <w:tc>
          <w:tcPr>
            <w:tcW w:w="1350" w:type="dxa"/>
            <w:shd w:val="clear" w:color="auto" w:fill="auto"/>
            <w:vAlign w:val="center"/>
          </w:tcPr>
          <w:p w14:paraId="0E27C01E">
            <w:pPr>
              <w:topLinePunct/>
              <w:adjustRightInd w:val="0"/>
              <w:snapToGrid w:val="0"/>
              <w:jc w:val="center"/>
              <w:rPr>
                <w:rFonts w:ascii="Times New Roman" w:eastAsia="仿宋"/>
                <w:szCs w:val="21"/>
              </w:rPr>
            </w:pPr>
            <w:r>
              <w:rPr>
                <w:rFonts w:hint="eastAsia" w:ascii="Times New Roman" w:eastAsia="仿宋"/>
                <w:szCs w:val="21"/>
              </w:rPr>
              <w:t>焊接</w:t>
            </w:r>
          </w:p>
        </w:tc>
        <w:tc>
          <w:tcPr>
            <w:tcW w:w="765" w:type="dxa"/>
            <w:shd w:val="clear" w:color="auto" w:fill="auto"/>
            <w:vAlign w:val="center"/>
          </w:tcPr>
          <w:p w14:paraId="5CDFBA54">
            <w:pPr>
              <w:topLinePunct/>
              <w:adjustRightInd w:val="0"/>
              <w:snapToGrid w:val="0"/>
              <w:jc w:val="center"/>
              <w:rPr>
                <w:rFonts w:ascii="Times New Roman" w:eastAsia="仿宋"/>
                <w:szCs w:val="21"/>
              </w:rPr>
            </w:pPr>
            <w:r>
              <w:rPr>
                <w:rFonts w:ascii="Times New Roman" w:eastAsia="仿宋"/>
                <w:szCs w:val="21"/>
              </w:rPr>
              <w:t>固态</w:t>
            </w:r>
          </w:p>
        </w:tc>
        <w:tc>
          <w:tcPr>
            <w:tcW w:w="1170" w:type="dxa"/>
            <w:shd w:val="clear" w:color="auto" w:fill="auto"/>
            <w:vAlign w:val="center"/>
          </w:tcPr>
          <w:p w14:paraId="21E6D1EA">
            <w:pPr>
              <w:topLinePunct/>
              <w:adjustRightInd w:val="0"/>
              <w:snapToGrid w:val="0"/>
              <w:jc w:val="center"/>
              <w:rPr>
                <w:rFonts w:ascii="Times New Roman" w:eastAsia="仿宋"/>
                <w:szCs w:val="21"/>
              </w:rPr>
            </w:pPr>
            <w:r>
              <w:rPr>
                <w:rFonts w:hint="eastAsia" w:ascii="Times New Roman" w:eastAsia="仿宋"/>
                <w:szCs w:val="21"/>
              </w:rPr>
              <w:t>焊渣</w:t>
            </w:r>
          </w:p>
        </w:tc>
        <w:tc>
          <w:tcPr>
            <w:tcW w:w="987" w:type="dxa"/>
            <w:shd w:val="clear" w:color="auto" w:fill="auto"/>
            <w:vAlign w:val="center"/>
          </w:tcPr>
          <w:p w14:paraId="47FB16A2">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71EA3160">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1D56049A">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2A96E259">
            <w:pPr>
              <w:topLinePunct/>
              <w:adjustRightInd w:val="0"/>
              <w:snapToGrid w:val="0"/>
              <w:jc w:val="center"/>
              <w:rPr>
                <w:rFonts w:ascii="Times New Roman" w:eastAsia="仿宋"/>
                <w:szCs w:val="21"/>
              </w:rPr>
            </w:pPr>
          </w:p>
        </w:tc>
      </w:tr>
      <w:tr w14:paraId="2144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C6C5B51">
            <w:pPr>
              <w:topLinePunct/>
              <w:adjustRightInd w:val="0"/>
              <w:snapToGrid w:val="0"/>
              <w:jc w:val="center"/>
              <w:rPr>
                <w:rFonts w:ascii="Times New Roman" w:eastAsia="仿宋"/>
                <w:szCs w:val="21"/>
              </w:rPr>
            </w:pPr>
            <w:r>
              <w:rPr>
                <w:rFonts w:ascii="Times New Roman" w:eastAsia="仿宋"/>
                <w:szCs w:val="21"/>
              </w:rPr>
              <w:t>4</w:t>
            </w:r>
          </w:p>
        </w:tc>
        <w:tc>
          <w:tcPr>
            <w:tcW w:w="1610" w:type="dxa"/>
            <w:vAlign w:val="center"/>
          </w:tcPr>
          <w:p w14:paraId="18E6CBDE">
            <w:pPr>
              <w:topLinePunct/>
              <w:adjustRightInd w:val="0"/>
              <w:snapToGrid w:val="0"/>
              <w:jc w:val="center"/>
              <w:rPr>
                <w:rFonts w:ascii="Times New Roman" w:eastAsia="仿宋"/>
                <w:szCs w:val="21"/>
              </w:rPr>
            </w:pPr>
            <w:r>
              <w:rPr>
                <w:rFonts w:hint="eastAsia" w:ascii="Times New Roman" w:eastAsia="仿宋"/>
                <w:szCs w:val="21"/>
              </w:rPr>
              <w:t>不合格品</w:t>
            </w:r>
          </w:p>
        </w:tc>
        <w:tc>
          <w:tcPr>
            <w:tcW w:w="864" w:type="dxa"/>
            <w:vMerge w:val="continue"/>
            <w:vAlign w:val="center"/>
          </w:tcPr>
          <w:p w14:paraId="2675813C">
            <w:pPr>
              <w:topLinePunct/>
              <w:adjustRightInd w:val="0"/>
              <w:snapToGrid w:val="0"/>
              <w:jc w:val="center"/>
              <w:rPr>
                <w:rFonts w:ascii="Times New Roman" w:eastAsia="仿宋"/>
                <w:szCs w:val="21"/>
              </w:rPr>
            </w:pPr>
          </w:p>
        </w:tc>
        <w:tc>
          <w:tcPr>
            <w:tcW w:w="1102" w:type="dxa"/>
            <w:vAlign w:val="center"/>
          </w:tcPr>
          <w:p w14:paraId="42CE6538">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1044F0C1">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7F785F50">
            <w:pPr>
              <w:topLinePunct/>
              <w:adjustRightInd w:val="0"/>
              <w:snapToGrid w:val="0"/>
              <w:jc w:val="center"/>
              <w:rPr>
                <w:rFonts w:ascii="Times New Roman" w:eastAsia="仿宋"/>
                <w:szCs w:val="21"/>
              </w:rPr>
            </w:pPr>
            <w:r>
              <w:rPr>
                <w:rFonts w:hint="eastAsia" w:ascii="Times New Roman" w:eastAsia="仿宋"/>
                <w:szCs w:val="21"/>
              </w:rPr>
              <w:t>5</w:t>
            </w:r>
          </w:p>
        </w:tc>
        <w:tc>
          <w:tcPr>
            <w:tcW w:w="1350" w:type="dxa"/>
            <w:vAlign w:val="center"/>
          </w:tcPr>
          <w:p w14:paraId="3B38CC36">
            <w:pPr>
              <w:topLinePunct/>
              <w:adjustRightInd w:val="0"/>
              <w:snapToGrid w:val="0"/>
              <w:jc w:val="center"/>
              <w:rPr>
                <w:rFonts w:ascii="Times New Roman" w:eastAsia="仿宋"/>
                <w:szCs w:val="21"/>
              </w:rPr>
            </w:pPr>
            <w:r>
              <w:rPr>
                <w:rFonts w:hint="eastAsia" w:ascii="Times New Roman" w:eastAsia="仿宋"/>
                <w:szCs w:val="21"/>
              </w:rPr>
              <w:t>检验</w:t>
            </w:r>
          </w:p>
        </w:tc>
        <w:tc>
          <w:tcPr>
            <w:tcW w:w="765" w:type="dxa"/>
            <w:vAlign w:val="center"/>
          </w:tcPr>
          <w:p w14:paraId="10A6B967">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AEB79D8">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4E90C818">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10B640C5">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747C186A">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23547D90">
            <w:pPr>
              <w:topLinePunct/>
              <w:adjustRightInd w:val="0"/>
              <w:snapToGrid w:val="0"/>
              <w:jc w:val="center"/>
              <w:rPr>
                <w:rFonts w:ascii="Times New Roman" w:eastAsia="仿宋"/>
                <w:szCs w:val="21"/>
              </w:rPr>
            </w:pPr>
          </w:p>
        </w:tc>
      </w:tr>
      <w:tr w14:paraId="7FCC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3923C22">
            <w:pPr>
              <w:topLinePunct/>
              <w:adjustRightInd w:val="0"/>
              <w:snapToGrid w:val="0"/>
              <w:jc w:val="center"/>
              <w:rPr>
                <w:rFonts w:ascii="Times New Roman" w:eastAsia="仿宋"/>
                <w:szCs w:val="21"/>
              </w:rPr>
            </w:pPr>
            <w:r>
              <w:rPr>
                <w:rFonts w:hint="eastAsia" w:ascii="Times New Roman" w:eastAsia="仿宋"/>
                <w:szCs w:val="21"/>
              </w:rPr>
              <w:t>5</w:t>
            </w:r>
          </w:p>
        </w:tc>
        <w:tc>
          <w:tcPr>
            <w:tcW w:w="1610" w:type="dxa"/>
            <w:vAlign w:val="center"/>
          </w:tcPr>
          <w:p w14:paraId="6989AA69">
            <w:pPr>
              <w:topLinePunct/>
              <w:adjustRightInd w:val="0"/>
              <w:snapToGrid w:val="0"/>
              <w:jc w:val="center"/>
              <w:rPr>
                <w:rFonts w:ascii="Times New Roman" w:eastAsia="仿宋"/>
                <w:szCs w:val="21"/>
              </w:rPr>
            </w:pPr>
            <w:r>
              <w:rPr>
                <w:rFonts w:hint="eastAsia" w:ascii="Times New Roman" w:eastAsia="仿宋"/>
                <w:szCs w:val="21"/>
              </w:rPr>
              <w:t>废塑粉</w:t>
            </w:r>
          </w:p>
        </w:tc>
        <w:tc>
          <w:tcPr>
            <w:tcW w:w="864" w:type="dxa"/>
            <w:vMerge w:val="continue"/>
            <w:vAlign w:val="center"/>
          </w:tcPr>
          <w:p w14:paraId="4203CD36">
            <w:pPr>
              <w:topLinePunct/>
              <w:adjustRightInd w:val="0"/>
              <w:snapToGrid w:val="0"/>
              <w:jc w:val="center"/>
              <w:rPr>
                <w:rFonts w:ascii="Times New Roman" w:eastAsia="仿宋"/>
                <w:szCs w:val="21"/>
              </w:rPr>
            </w:pPr>
          </w:p>
        </w:tc>
        <w:tc>
          <w:tcPr>
            <w:tcW w:w="1102" w:type="dxa"/>
            <w:vAlign w:val="center"/>
          </w:tcPr>
          <w:p w14:paraId="7B0CE157">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60319C0D">
            <w:pPr>
              <w:topLinePunct/>
              <w:adjustRightInd w:val="0"/>
              <w:snapToGrid w:val="0"/>
              <w:jc w:val="center"/>
              <w:rPr>
                <w:rFonts w:ascii="Times New Roman" w:eastAsia="仿宋"/>
                <w:szCs w:val="21"/>
              </w:rPr>
            </w:pPr>
            <w:r>
              <w:rPr>
                <w:rFonts w:hint="eastAsia" w:ascii="Times New Roman" w:eastAsia="仿宋"/>
                <w:szCs w:val="21"/>
              </w:rPr>
              <w:t>900-003-S17</w:t>
            </w:r>
          </w:p>
        </w:tc>
        <w:tc>
          <w:tcPr>
            <w:tcW w:w="849" w:type="dxa"/>
            <w:vAlign w:val="center"/>
          </w:tcPr>
          <w:p w14:paraId="3298AB55">
            <w:pPr>
              <w:topLinePunct/>
              <w:adjustRightInd w:val="0"/>
              <w:snapToGrid w:val="0"/>
              <w:jc w:val="center"/>
              <w:rPr>
                <w:rFonts w:ascii="Times New Roman" w:eastAsia="仿宋"/>
                <w:szCs w:val="21"/>
              </w:rPr>
            </w:pPr>
            <w:r>
              <w:rPr>
                <w:rFonts w:ascii="Times New Roman" w:eastAsia="仿宋"/>
                <w:szCs w:val="21"/>
              </w:rPr>
              <w:t>8</w:t>
            </w:r>
            <w:r>
              <w:rPr>
                <w:rFonts w:hint="eastAsia" w:ascii="Times New Roman" w:eastAsia="仿宋"/>
                <w:szCs w:val="21"/>
              </w:rPr>
              <w:t>.</w:t>
            </w:r>
            <w:r>
              <w:rPr>
                <w:rFonts w:ascii="Times New Roman" w:eastAsia="仿宋"/>
                <w:szCs w:val="21"/>
              </w:rPr>
              <w:t>2</w:t>
            </w:r>
          </w:p>
        </w:tc>
        <w:tc>
          <w:tcPr>
            <w:tcW w:w="1350" w:type="dxa"/>
            <w:vAlign w:val="center"/>
          </w:tcPr>
          <w:p w14:paraId="30DB85EE">
            <w:pPr>
              <w:topLinePunct/>
              <w:adjustRightInd w:val="0"/>
              <w:snapToGrid w:val="0"/>
              <w:jc w:val="center"/>
              <w:rPr>
                <w:rFonts w:ascii="Times New Roman" w:eastAsia="仿宋"/>
                <w:szCs w:val="21"/>
              </w:rPr>
            </w:pPr>
            <w:r>
              <w:rPr>
                <w:rFonts w:hint="eastAsia" w:ascii="Times New Roman" w:eastAsia="仿宋"/>
                <w:szCs w:val="21"/>
              </w:rPr>
              <w:t>喷塑</w:t>
            </w:r>
          </w:p>
        </w:tc>
        <w:tc>
          <w:tcPr>
            <w:tcW w:w="765" w:type="dxa"/>
            <w:vAlign w:val="center"/>
          </w:tcPr>
          <w:p w14:paraId="3BC3025C">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2E7543F1">
            <w:pPr>
              <w:topLinePunct/>
              <w:adjustRightInd w:val="0"/>
              <w:snapToGrid w:val="0"/>
              <w:jc w:val="center"/>
              <w:rPr>
                <w:rFonts w:ascii="Times New Roman" w:eastAsia="仿宋"/>
                <w:szCs w:val="21"/>
              </w:rPr>
            </w:pPr>
            <w:r>
              <w:rPr>
                <w:rFonts w:hint="eastAsia" w:ascii="Times New Roman" w:eastAsia="仿宋"/>
                <w:szCs w:val="21"/>
              </w:rPr>
              <w:t>塑粉</w:t>
            </w:r>
          </w:p>
        </w:tc>
        <w:tc>
          <w:tcPr>
            <w:tcW w:w="987" w:type="dxa"/>
            <w:vAlign w:val="center"/>
          </w:tcPr>
          <w:p w14:paraId="22A041B3">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74F8FE0E">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620EE609">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05F69D20">
            <w:pPr>
              <w:topLinePunct/>
              <w:adjustRightInd w:val="0"/>
              <w:snapToGrid w:val="0"/>
              <w:jc w:val="center"/>
              <w:rPr>
                <w:rFonts w:ascii="Times New Roman" w:eastAsia="仿宋"/>
                <w:szCs w:val="21"/>
              </w:rPr>
            </w:pPr>
          </w:p>
        </w:tc>
      </w:tr>
      <w:tr w14:paraId="7A98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88E9E28">
            <w:pPr>
              <w:topLinePunct/>
              <w:adjustRightInd w:val="0"/>
              <w:snapToGrid w:val="0"/>
              <w:jc w:val="center"/>
              <w:rPr>
                <w:rFonts w:ascii="Times New Roman" w:eastAsia="仿宋"/>
                <w:szCs w:val="21"/>
              </w:rPr>
            </w:pPr>
            <w:r>
              <w:rPr>
                <w:rFonts w:ascii="Times New Roman" w:eastAsia="仿宋"/>
                <w:szCs w:val="21"/>
              </w:rPr>
              <w:t>6</w:t>
            </w:r>
          </w:p>
        </w:tc>
        <w:tc>
          <w:tcPr>
            <w:tcW w:w="1610" w:type="dxa"/>
            <w:vAlign w:val="center"/>
          </w:tcPr>
          <w:p w14:paraId="772B9002">
            <w:pPr>
              <w:topLinePunct/>
              <w:adjustRightInd w:val="0"/>
              <w:snapToGrid w:val="0"/>
              <w:jc w:val="center"/>
              <w:rPr>
                <w:rFonts w:ascii="Times New Roman" w:eastAsia="仿宋"/>
                <w:szCs w:val="21"/>
              </w:rPr>
            </w:pPr>
            <w:r>
              <w:rPr>
                <w:rFonts w:hint="eastAsia" w:ascii="Times New Roman" w:eastAsia="仿宋"/>
                <w:szCs w:val="21"/>
              </w:rPr>
              <w:t>废一般包装</w:t>
            </w:r>
          </w:p>
        </w:tc>
        <w:tc>
          <w:tcPr>
            <w:tcW w:w="864" w:type="dxa"/>
            <w:vMerge w:val="continue"/>
            <w:vAlign w:val="center"/>
          </w:tcPr>
          <w:p w14:paraId="10D6C4B6">
            <w:pPr>
              <w:topLinePunct/>
              <w:adjustRightInd w:val="0"/>
              <w:snapToGrid w:val="0"/>
              <w:jc w:val="center"/>
              <w:rPr>
                <w:rFonts w:ascii="Times New Roman" w:eastAsia="仿宋"/>
                <w:szCs w:val="21"/>
              </w:rPr>
            </w:pPr>
          </w:p>
        </w:tc>
        <w:tc>
          <w:tcPr>
            <w:tcW w:w="1102" w:type="dxa"/>
            <w:vAlign w:val="center"/>
          </w:tcPr>
          <w:p w14:paraId="29FDB04B">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0B0A4595">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003</w:t>
            </w:r>
            <w:r>
              <w:rPr>
                <w:rFonts w:ascii="Times New Roman" w:eastAsia="仿宋"/>
                <w:szCs w:val="21"/>
              </w:rPr>
              <w:t>-</w:t>
            </w:r>
            <w:r>
              <w:rPr>
                <w:rFonts w:hint="eastAsia" w:ascii="Times New Roman" w:eastAsia="仿宋"/>
                <w:szCs w:val="21"/>
              </w:rPr>
              <w:t>S17</w:t>
            </w:r>
          </w:p>
        </w:tc>
        <w:tc>
          <w:tcPr>
            <w:tcW w:w="849" w:type="dxa"/>
            <w:vAlign w:val="center"/>
          </w:tcPr>
          <w:p w14:paraId="488A1D56">
            <w:pPr>
              <w:topLinePunct/>
              <w:adjustRightInd w:val="0"/>
              <w:snapToGrid w:val="0"/>
              <w:jc w:val="center"/>
              <w:rPr>
                <w:rFonts w:ascii="Times New Roman" w:eastAsia="仿宋"/>
                <w:szCs w:val="21"/>
              </w:rPr>
            </w:pPr>
            <w:r>
              <w:rPr>
                <w:rFonts w:hint="eastAsia" w:ascii="Times New Roman" w:eastAsia="仿宋"/>
                <w:szCs w:val="21"/>
              </w:rPr>
              <w:t>0.5</w:t>
            </w:r>
          </w:p>
        </w:tc>
        <w:tc>
          <w:tcPr>
            <w:tcW w:w="1350" w:type="dxa"/>
            <w:vAlign w:val="center"/>
          </w:tcPr>
          <w:p w14:paraId="78059007">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0C397AD9">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B1723EB">
            <w:pPr>
              <w:topLinePunct/>
              <w:adjustRightInd w:val="0"/>
              <w:snapToGrid w:val="0"/>
              <w:jc w:val="center"/>
              <w:rPr>
                <w:rFonts w:ascii="Times New Roman" w:eastAsia="仿宋"/>
                <w:szCs w:val="21"/>
              </w:rPr>
            </w:pPr>
            <w:r>
              <w:rPr>
                <w:rFonts w:hint="eastAsia" w:ascii="Times New Roman" w:eastAsia="仿宋"/>
                <w:szCs w:val="21"/>
              </w:rPr>
              <w:t>塑料等</w:t>
            </w:r>
          </w:p>
        </w:tc>
        <w:tc>
          <w:tcPr>
            <w:tcW w:w="987" w:type="dxa"/>
            <w:vAlign w:val="center"/>
          </w:tcPr>
          <w:p w14:paraId="0379C172">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437B6A8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5E3A1C6A">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F707B58">
            <w:pPr>
              <w:topLinePunct/>
              <w:adjustRightInd w:val="0"/>
              <w:snapToGrid w:val="0"/>
              <w:jc w:val="center"/>
              <w:rPr>
                <w:rFonts w:ascii="Times New Roman" w:eastAsia="仿宋"/>
                <w:szCs w:val="21"/>
              </w:rPr>
            </w:pPr>
          </w:p>
        </w:tc>
      </w:tr>
      <w:tr w14:paraId="2C18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56C44A1">
            <w:pPr>
              <w:topLinePunct/>
              <w:adjustRightInd w:val="0"/>
              <w:snapToGrid w:val="0"/>
              <w:jc w:val="center"/>
              <w:rPr>
                <w:rFonts w:ascii="Times New Roman" w:eastAsia="仿宋"/>
                <w:szCs w:val="21"/>
              </w:rPr>
            </w:pPr>
            <w:r>
              <w:rPr>
                <w:rFonts w:ascii="Times New Roman" w:eastAsia="仿宋"/>
                <w:szCs w:val="21"/>
              </w:rPr>
              <w:t>7</w:t>
            </w:r>
          </w:p>
        </w:tc>
        <w:tc>
          <w:tcPr>
            <w:tcW w:w="1610" w:type="dxa"/>
            <w:vAlign w:val="center"/>
          </w:tcPr>
          <w:p w14:paraId="32421242">
            <w:pPr>
              <w:topLinePunct/>
              <w:adjustRightInd w:val="0"/>
              <w:snapToGrid w:val="0"/>
              <w:jc w:val="center"/>
              <w:rPr>
                <w:rFonts w:ascii="Times New Roman" w:eastAsia="仿宋"/>
                <w:szCs w:val="21"/>
              </w:rPr>
            </w:pPr>
            <w:r>
              <w:rPr>
                <w:rFonts w:hint="eastAsia" w:ascii="Times New Roman" w:eastAsia="仿宋"/>
                <w:szCs w:val="21"/>
              </w:rPr>
              <w:t>废滤筒</w:t>
            </w:r>
          </w:p>
        </w:tc>
        <w:tc>
          <w:tcPr>
            <w:tcW w:w="864" w:type="dxa"/>
            <w:vMerge w:val="continue"/>
            <w:vAlign w:val="center"/>
          </w:tcPr>
          <w:p w14:paraId="4D92E9A1">
            <w:pPr>
              <w:topLinePunct/>
              <w:adjustRightInd w:val="0"/>
              <w:snapToGrid w:val="0"/>
              <w:jc w:val="center"/>
              <w:rPr>
                <w:rFonts w:ascii="Times New Roman" w:eastAsia="仿宋"/>
                <w:szCs w:val="21"/>
              </w:rPr>
            </w:pPr>
          </w:p>
        </w:tc>
        <w:tc>
          <w:tcPr>
            <w:tcW w:w="1102" w:type="dxa"/>
            <w:vAlign w:val="center"/>
          </w:tcPr>
          <w:p w14:paraId="7D997114">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09B630EE">
            <w:pPr>
              <w:topLinePunct/>
              <w:adjustRightInd w:val="0"/>
              <w:snapToGrid w:val="0"/>
              <w:jc w:val="center"/>
              <w:rPr>
                <w:rFonts w:ascii="Times New Roman" w:eastAsia="仿宋"/>
                <w:szCs w:val="21"/>
              </w:rPr>
            </w:pPr>
            <w:r>
              <w:rPr>
                <w:rFonts w:hint="eastAsia" w:ascii="Times New Roman" w:eastAsia="仿宋"/>
                <w:szCs w:val="21"/>
              </w:rPr>
              <w:t>900-009-S59</w:t>
            </w:r>
          </w:p>
        </w:tc>
        <w:tc>
          <w:tcPr>
            <w:tcW w:w="849" w:type="dxa"/>
            <w:vAlign w:val="center"/>
          </w:tcPr>
          <w:p w14:paraId="0B2FB8C7">
            <w:pPr>
              <w:topLinePunct/>
              <w:adjustRightInd w:val="0"/>
              <w:snapToGrid w:val="0"/>
              <w:jc w:val="center"/>
              <w:rPr>
                <w:rFonts w:ascii="Times New Roman" w:eastAsia="仿宋"/>
                <w:szCs w:val="21"/>
              </w:rPr>
            </w:pPr>
            <w:r>
              <w:rPr>
                <w:rFonts w:ascii="Times New Roman" w:eastAsia="仿宋"/>
                <w:szCs w:val="21"/>
              </w:rPr>
              <w:t>2</w:t>
            </w:r>
          </w:p>
        </w:tc>
        <w:tc>
          <w:tcPr>
            <w:tcW w:w="1350" w:type="dxa"/>
            <w:vAlign w:val="center"/>
          </w:tcPr>
          <w:p w14:paraId="034685F0">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0E1A453E">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605DB64">
            <w:pPr>
              <w:topLinePunct/>
              <w:adjustRightInd w:val="0"/>
              <w:snapToGrid w:val="0"/>
              <w:jc w:val="center"/>
              <w:rPr>
                <w:rFonts w:ascii="Times New Roman" w:eastAsia="仿宋"/>
                <w:szCs w:val="21"/>
              </w:rPr>
            </w:pPr>
            <w:r>
              <w:rPr>
                <w:rFonts w:hint="eastAsia" w:ascii="Times New Roman" w:eastAsia="仿宋"/>
                <w:szCs w:val="21"/>
              </w:rPr>
              <w:t>滤筒</w:t>
            </w:r>
          </w:p>
        </w:tc>
        <w:tc>
          <w:tcPr>
            <w:tcW w:w="987" w:type="dxa"/>
            <w:vAlign w:val="center"/>
          </w:tcPr>
          <w:p w14:paraId="04DA37EB">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2C689108">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6B6A5EFF">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308AF441">
            <w:pPr>
              <w:topLinePunct/>
              <w:adjustRightInd w:val="0"/>
              <w:snapToGrid w:val="0"/>
              <w:jc w:val="center"/>
              <w:rPr>
                <w:rFonts w:ascii="Times New Roman" w:eastAsia="仿宋"/>
                <w:szCs w:val="21"/>
              </w:rPr>
            </w:pPr>
          </w:p>
        </w:tc>
      </w:tr>
      <w:tr w14:paraId="4901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CE6985E">
            <w:pPr>
              <w:topLinePunct/>
              <w:adjustRightInd w:val="0"/>
              <w:snapToGrid w:val="0"/>
              <w:jc w:val="center"/>
              <w:rPr>
                <w:rFonts w:ascii="Times New Roman" w:eastAsia="仿宋"/>
                <w:szCs w:val="21"/>
              </w:rPr>
            </w:pPr>
            <w:r>
              <w:rPr>
                <w:rFonts w:hint="eastAsia" w:ascii="Times New Roman" w:eastAsia="仿宋"/>
                <w:szCs w:val="21"/>
              </w:rPr>
              <w:t>8</w:t>
            </w:r>
          </w:p>
        </w:tc>
        <w:tc>
          <w:tcPr>
            <w:tcW w:w="1610" w:type="dxa"/>
            <w:shd w:val="clear" w:color="auto" w:fill="auto"/>
            <w:vAlign w:val="center"/>
          </w:tcPr>
          <w:p w14:paraId="0AE01581">
            <w:pPr>
              <w:topLinePunct/>
              <w:adjustRightInd w:val="0"/>
              <w:snapToGrid w:val="0"/>
              <w:jc w:val="center"/>
              <w:rPr>
                <w:rFonts w:ascii="Times New Roman" w:eastAsia="仿宋"/>
                <w:szCs w:val="21"/>
              </w:rPr>
            </w:pPr>
            <w:r>
              <w:rPr>
                <w:rFonts w:hint="eastAsia" w:ascii="Times New Roman" w:eastAsia="仿宋"/>
                <w:szCs w:val="21"/>
              </w:rPr>
              <w:t>收集尘</w:t>
            </w:r>
          </w:p>
        </w:tc>
        <w:tc>
          <w:tcPr>
            <w:tcW w:w="864" w:type="dxa"/>
            <w:vMerge w:val="continue"/>
            <w:shd w:val="clear" w:color="auto" w:fill="auto"/>
            <w:vAlign w:val="center"/>
          </w:tcPr>
          <w:p w14:paraId="57CF1C36">
            <w:pPr>
              <w:topLinePunct/>
              <w:adjustRightInd w:val="0"/>
              <w:snapToGrid w:val="0"/>
              <w:jc w:val="center"/>
              <w:rPr>
                <w:rFonts w:ascii="Times New Roman" w:eastAsia="仿宋"/>
                <w:szCs w:val="21"/>
              </w:rPr>
            </w:pPr>
          </w:p>
        </w:tc>
        <w:tc>
          <w:tcPr>
            <w:tcW w:w="1102" w:type="dxa"/>
            <w:shd w:val="clear" w:color="auto" w:fill="auto"/>
            <w:vAlign w:val="center"/>
          </w:tcPr>
          <w:p w14:paraId="1B99DE4D">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12E14E66">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4B5D93BF">
            <w:pPr>
              <w:topLinePunct/>
              <w:adjustRightInd w:val="0"/>
              <w:snapToGrid w:val="0"/>
              <w:jc w:val="center"/>
              <w:rPr>
                <w:rFonts w:ascii="Times New Roman" w:eastAsia="仿宋"/>
                <w:szCs w:val="21"/>
              </w:rPr>
            </w:pPr>
            <w:r>
              <w:rPr>
                <w:rFonts w:hint="eastAsia" w:ascii="Times New Roman" w:eastAsia="仿宋"/>
                <w:szCs w:val="21"/>
              </w:rPr>
              <w:t>0.024</w:t>
            </w:r>
          </w:p>
        </w:tc>
        <w:tc>
          <w:tcPr>
            <w:tcW w:w="1350" w:type="dxa"/>
            <w:shd w:val="clear" w:color="auto" w:fill="auto"/>
            <w:vAlign w:val="center"/>
          </w:tcPr>
          <w:p w14:paraId="6764E213">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shd w:val="clear" w:color="auto" w:fill="auto"/>
            <w:vAlign w:val="center"/>
          </w:tcPr>
          <w:p w14:paraId="0466CD3A">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5CE967FD">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shd w:val="clear" w:color="auto" w:fill="auto"/>
            <w:vAlign w:val="center"/>
          </w:tcPr>
          <w:p w14:paraId="44C538EA">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652A4787">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shd w:val="clear" w:color="auto" w:fill="auto"/>
            <w:vAlign w:val="center"/>
          </w:tcPr>
          <w:p w14:paraId="496310D7">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558D28D4">
            <w:pPr>
              <w:topLinePunct/>
              <w:adjustRightInd w:val="0"/>
              <w:snapToGrid w:val="0"/>
              <w:jc w:val="center"/>
              <w:rPr>
                <w:rFonts w:ascii="Times New Roman" w:eastAsia="仿宋"/>
                <w:szCs w:val="21"/>
              </w:rPr>
            </w:pPr>
          </w:p>
        </w:tc>
      </w:tr>
      <w:tr w14:paraId="4E7B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4127B1C">
            <w:pPr>
              <w:topLinePunct/>
              <w:adjustRightInd w:val="0"/>
              <w:snapToGrid w:val="0"/>
              <w:jc w:val="center"/>
              <w:rPr>
                <w:rFonts w:ascii="Times New Roman" w:eastAsia="仿宋"/>
                <w:szCs w:val="21"/>
              </w:rPr>
            </w:pPr>
            <w:r>
              <w:rPr>
                <w:rFonts w:hint="eastAsia" w:ascii="Times New Roman" w:eastAsia="仿宋"/>
                <w:szCs w:val="21"/>
              </w:rPr>
              <w:t>9</w:t>
            </w:r>
          </w:p>
        </w:tc>
        <w:tc>
          <w:tcPr>
            <w:tcW w:w="1610" w:type="dxa"/>
            <w:vAlign w:val="center"/>
          </w:tcPr>
          <w:p w14:paraId="1B116BC6">
            <w:pPr>
              <w:topLinePunct/>
              <w:adjustRightInd w:val="0"/>
              <w:snapToGrid w:val="0"/>
              <w:jc w:val="center"/>
              <w:rPr>
                <w:rFonts w:ascii="Times New Roman" w:eastAsia="仿宋"/>
                <w:szCs w:val="21"/>
              </w:rPr>
            </w:pPr>
            <w:r>
              <w:rPr>
                <w:rFonts w:hint="eastAsia" w:ascii="Times New Roman" w:eastAsia="仿宋"/>
                <w:szCs w:val="21"/>
              </w:rPr>
              <w:t>湿渣</w:t>
            </w:r>
          </w:p>
        </w:tc>
        <w:tc>
          <w:tcPr>
            <w:tcW w:w="864" w:type="dxa"/>
            <w:vMerge w:val="continue"/>
            <w:vAlign w:val="center"/>
          </w:tcPr>
          <w:p w14:paraId="7666B1A6">
            <w:pPr>
              <w:topLinePunct/>
              <w:adjustRightInd w:val="0"/>
              <w:snapToGrid w:val="0"/>
              <w:jc w:val="center"/>
              <w:rPr>
                <w:rFonts w:ascii="Times New Roman" w:eastAsia="仿宋"/>
                <w:szCs w:val="21"/>
              </w:rPr>
            </w:pPr>
          </w:p>
        </w:tc>
        <w:tc>
          <w:tcPr>
            <w:tcW w:w="1102" w:type="dxa"/>
            <w:vAlign w:val="center"/>
          </w:tcPr>
          <w:p w14:paraId="230C6EEA">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3CAA1E77">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vAlign w:val="center"/>
          </w:tcPr>
          <w:p w14:paraId="790F021B">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39</w:t>
            </w:r>
          </w:p>
        </w:tc>
        <w:tc>
          <w:tcPr>
            <w:tcW w:w="1350" w:type="dxa"/>
            <w:vAlign w:val="center"/>
          </w:tcPr>
          <w:p w14:paraId="38E6A180">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24722138">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0417972F">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516077BB">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4BCC86B1">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vAlign w:val="center"/>
          </w:tcPr>
          <w:p w14:paraId="3BB3F564">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327770D4">
            <w:pPr>
              <w:topLinePunct/>
              <w:adjustRightInd w:val="0"/>
              <w:snapToGrid w:val="0"/>
              <w:jc w:val="center"/>
              <w:rPr>
                <w:rFonts w:ascii="Times New Roman" w:eastAsia="仿宋"/>
                <w:szCs w:val="21"/>
              </w:rPr>
            </w:pPr>
          </w:p>
        </w:tc>
      </w:tr>
      <w:tr w14:paraId="089E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9E45927">
            <w:pPr>
              <w:topLinePunct/>
              <w:adjustRightInd w:val="0"/>
              <w:snapToGrid w:val="0"/>
              <w:jc w:val="center"/>
              <w:rPr>
                <w:rFonts w:ascii="Times New Roman" w:eastAsia="仿宋"/>
                <w:szCs w:val="21"/>
              </w:rPr>
            </w:pPr>
            <w:r>
              <w:rPr>
                <w:rFonts w:hint="eastAsia" w:ascii="Times New Roman" w:eastAsia="仿宋"/>
                <w:szCs w:val="21"/>
              </w:rPr>
              <w:t>10</w:t>
            </w:r>
          </w:p>
        </w:tc>
        <w:tc>
          <w:tcPr>
            <w:tcW w:w="1610" w:type="dxa"/>
            <w:vAlign w:val="center"/>
          </w:tcPr>
          <w:p w14:paraId="4D68FFA3">
            <w:pPr>
              <w:topLinePunct/>
              <w:adjustRightInd w:val="0"/>
              <w:snapToGrid w:val="0"/>
              <w:jc w:val="center"/>
              <w:rPr>
                <w:rFonts w:ascii="Times New Roman" w:eastAsia="仿宋"/>
                <w:szCs w:val="21"/>
              </w:rPr>
            </w:pPr>
            <w:r>
              <w:rPr>
                <w:rFonts w:hint="eastAsia" w:ascii="Times New Roman" w:eastAsia="仿宋"/>
                <w:szCs w:val="21"/>
              </w:rPr>
              <w:t>钝化废水</w:t>
            </w:r>
          </w:p>
        </w:tc>
        <w:tc>
          <w:tcPr>
            <w:tcW w:w="864" w:type="dxa"/>
            <w:vMerge w:val="restart"/>
            <w:vAlign w:val="center"/>
          </w:tcPr>
          <w:p w14:paraId="568D498F">
            <w:pPr>
              <w:topLinePunct/>
              <w:adjustRightInd w:val="0"/>
              <w:snapToGrid w:val="0"/>
              <w:jc w:val="center"/>
              <w:rPr>
                <w:rFonts w:ascii="Times New Roman" w:eastAsia="仿宋"/>
                <w:szCs w:val="21"/>
              </w:rPr>
            </w:pPr>
            <w:r>
              <w:rPr>
                <w:rFonts w:hint="eastAsia" w:ascii="Times New Roman" w:eastAsia="仿宋"/>
                <w:szCs w:val="21"/>
              </w:rPr>
              <w:t>危险废物</w:t>
            </w:r>
          </w:p>
        </w:tc>
        <w:tc>
          <w:tcPr>
            <w:tcW w:w="1102" w:type="dxa"/>
            <w:vAlign w:val="center"/>
          </w:tcPr>
          <w:p w14:paraId="5F8E8C66">
            <w:pPr>
              <w:topLinePunct/>
              <w:adjustRightInd w:val="0"/>
              <w:snapToGrid w:val="0"/>
              <w:jc w:val="center"/>
              <w:rPr>
                <w:rFonts w:ascii="Times New Roman" w:eastAsia="仿宋"/>
                <w:szCs w:val="21"/>
              </w:rPr>
            </w:pPr>
            <w:r>
              <w:rPr>
                <w:rFonts w:ascii="Times New Roman" w:eastAsia="仿宋"/>
                <w:szCs w:val="21"/>
              </w:rPr>
              <w:t>HW17</w:t>
            </w:r>
          </w:p>
        </w:tc>
        <w:tc>
          <w:tcPr>
            <w:tcW w:w="1634" w:type="dxa"/>
            <w:vAlign w:val="center"/>
          </w:tcPr>
          <w:p w14:paraId="347262F3">
            <w:pPr>
              <w:topLinePunct/>
              <w:adjustRightInd w:val="0"/>
              <w:snapToGrid w:val="0"/>
              <w:jc w:val="center"/>
              <w:rPr>
                <w:rFonts w:ascii="Times New Roman" w:eastAsia="仿宋"/>
                <w:szCs w:val="21"/>
              </w:rPr>
            </w:pPr>
            <w:r>
              <w:rPr>
                <w:rFonts w:ascii="Times New Roman" w:eastAsia="仿宋"/>
                <w:szCs w:val="21"/>
              </w:rPr>
              <w:t>336-064-17</w:t>
            </w:r>
          </w:p>
        </w:tc>
        <w:tc>
          <w:tcPr>
            <w:tcW w:w="849" w:type="dxa"/>
            <w:vAlign w:val="center"/>
          </w:tcPr>
          <w:p w14:paraId="324B6645">
            <w:pPr>
              <w:topLinePunct/>
              <w:adjustRightInd w:val="0"/>
              <w:snapToGrid w:val="0"/>
              <w:jc w:val="center"/>
              <w:rPr>
                <w:rFonts w:ascii="Times New Roman" w:eastAsia="仿宋"/>
                <w:szCs w:val="21"/>
              </w:rPr>
            </w:pPr>
            <w:r>
              <w:rPr>
                <w:rFonts w:hint="eastAsia" w:ascii="Times New Roman" w:eastAsia="仿宋"/>
                <w:szCs w:val="21"/>
              </w:rPr>
              <w:t>9.9</w:t>
            </w:r>
          </w:p>
        </w:tc>
        <w:tc>
          <w:tcPr>
            <w:tcW w:w="1350" w:type="dxa"/>
            <w:vAlign w:val="center"/>
          </w:tcPr>
          <w:p w14:paraId="17165552">
            <w:pPr>
              <w:topLinePunct/>
              <w:adjustRightInd w:val="0"/>
              <w:snapToGrid w:val="0"/>
              <w:jc w:val="center"/>
              <w:rPr>
                <w:rFonts w:ascii="Times New Roman" w:eastAsia="仿宋"/>
                <w:szCs w:val="21"/>
              </w:rPr>
            </w:pPr>
            <w:r>
              <w:rPr>
                <w:rFonts w:hint="eastAsia" w:ascii="Times New Roman" w:eastAsia="仿宋"/>
                <w:szCs w:val="21"/>
              </w:rPr>
              <w:t>钝化</w:t>
            </w:r>
          </w:p>
        </w:tc>
        <w:tc>
          <w:tcPr>
            <w:tcW w:w="765" w:type="dxa"/>
            <w:vAlign w:val="center"/>
          </w:tcPr>
          <w:p w14:paraId="7E932A67">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61538AB4">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382FE4E2">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62595BA8">
            <w:pPr>
              <w:topLinePunct/>
              <w:adjustRightInd w:val="0"/>
              <w:snapToGrid w:val="0"/>
              <w:jc w:val="center"/>
              <w:rPr>
                <w:rFonts w:ascii="Times New Roman" w:eastAsia="仿宋"/>
                <w:szCs w:val="21"/>
              </w:rPr>
            </w:pPr>
            <w:r>
              <w:rPr>
                <w:rFonts w:hint="eastAsia" w:ascii="Times New Roman" w:eastAsia="仿宋"/>
                <w:szCs w:val="21"/>
              </w:rPr>
              <w:t>4个月</w:t>
            </w:r>
          </w:p>
        </w:tc>
        <w:tc>
          <w:tcPr>
            <w:tcW w:w="851" w:type="dxa"/>
            <w:vAlign w:val="center"/>
          </w:tcPr>
          <w:p w14:paraId="59772B6C">
            <w:pPr>
              <w:topLinePunct/>
              <w:adjustRightInd w:val="0"/>
              <w:snapToGrid w:val="0"/>
              <w:jc w:val="center"/>
              <w:rPr>
                <w:rFonts w:ascii="Times New Roman" w:eastAsia="仿宋"/>
                <w:szCs w:val="21"/>
              </w:rPr>
            </w:pPr>
            <w:r>
              <w:rPr>
                <w:rFonts w:hint="eastAsia" w:ascii="Times New Roman" w:eastAsia="仿宋"/>
                <w:szCs w:val="21"/>
              </w:rPr>
              <w:t>T/C</w:t>
            </w:r>
          </w:p>
        </w:tc>
        <w:tc>
          <w:tcPr>
            <w:tcW w:w="1086" w:type="dxa"/>
            <w:vMerge w:val="restart"/>
            <w:vAlign w:val="center"/>
          </w:tcPr>
          <w:p w14:paraId="0753A54B">
            <w:pPr>
              <w:topLinePunct/>
              <w:adjustRightInd w:val="0"/>
              <w:snapToGrid w:val="0"/>
              <w:jc w:val="center"/>
              <w:rPr>
                <w:rFonts w:ascii="Times New Roman" w:eastAsia="仿宋"/>
                <w:szCs w:val="21"/>
              </w:rPr>
            </w:pPr>
            <w:r>
              <w:rPr>
                <w:rFonts w:ascii="Times New Roman" w:eastAsia="仿宋"/>
                <w:szCs w:val="21"/>
              </w:rPr>
              <w:t>贮存于危废仓库，委托有资质单位处置</w:t>
            </w:r>
          </w:p>
        </w:tc>
      </w:tr>
      <w:tr w14:paraId="41DE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48476EB">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1</w:t>
            </w:r>
          </w:p>
        </w:tc>
        <w:tc>
          <w:tcPr>
            <w:tcW w:w="1610" w:type="dxa"/>
            <w:vAlign w:val="center"/>
          </w:tcPr>
          <w:p w14:paraId="3CEC9A10">
            <w:pPr>
              <w:topLinePunct/>
              <w:adjustRightInd w:val="0"/>
              <w:snapToGrid w:val="0"/>
              <w:jc w:val="center"/>
              <w:rPr>
                <w:rFonts w:ascii="Times New Roman" w:eastAsia="仿宋"/>
                <w:szCs w:val="21"/>
              </w:rPr>
            </w:pPr>
            <w:r>
              <w:rPr>
                <w:rFonts w:hint="eastAsia" w:ascii="Times New Roman" w:eastAsia="仿宋"/>
                <w:szCs w:val="21"/>
              </w:rPr>
              <w:t>水洗废水</w:t>
            </w:r>
          </w:p>
        </w:tc>
        <w:tc>
          <w:tcPr>
            <w:tcW w:w="864" w:type="dxa"/>
            <w:vMerge w:val="continue"/>
            <w:vAlign w:val="center"/>
          </w:tcPr>
          <w:p w14:paraId="0C6BCF38">
            <w:pPr>
              <w:topLinePunct/>
              <w:adjustRightInd w:val="0"/>
              <w:snapToGrid w:val="0"/>
              <w:jc w:val="center"/>
              <w:rPr>
                <w:rFonts w:ascii="Times New Roman" w:eastAsia="仿宋"/>
                <w:szCs w:val="21"/>
              </w:rPr>
            </w:pPr>
          </w:p>
        </w:tc>
        <w:tc>
          <w:tcPr>
            <w:tcW w:w="1102" w:type="dxa"/>
            <w:shd w:val="clear" w:color="auto" w:fill="auto"/>
            <w:vAlign w:val="center"/>
          </w:tcPr>
          <w:p w14:paraId="5C91F8EB">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shd w:val="clear" w:color="auto" w:fill="auto"/>
            <w:vAlign w:val="center"/>
          </w:tcPr>
          <w:p w14:paraId="4DC1CCA2">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shd w:val="clear" w:color="auto" w:fill="auto"/>
            <w:vAlign w:val="center"/>
          </w:tcPr>
          <w:p w14:paraId="1C3E5D2B">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6.2</w:t>
            </w:r>
          </w:p>
        </w:tc>
        <w:tc>
          <w:tcPr>
            <w:tcW w:w="1350" w:type="dxa"/>
            <w:shd w:val="clear" w:color="auto" w:fill="auto"/>
            <w:vAlign w:val="center"/>
          </w:tcPr>
          <w:p w14:paraId="1CC50984">
            <w:pPr>
              <w:topLinePunct/>
              <w:adjustRightInd w:val="0"/>
              <w:snapToGrid w:val="0"/>
              <w:jc w:val="center"/>
              <w:rPr>
                <w:rFonts w:ascii="Times New Roman" w:eastAsia="仿宋"/>
                <w:szCs w:val="21"/>
              </w:rPr>
            </w:pPr>
            <w:r>
              <w:rPr>
                <w:rFonts w:hint="eastAsia" w:ascii="Times New Roman" w:eastAsia="仿宋"/>
                <w:szCs w:val="21"/>
              </w:rPr>
              <w:t>清洗</w:t>
            </w:r>
          </w:p>
        </w:tc>
        <w:tc>
          <w:tcPr>
            <w:tcW w:w="765" w:type="dxa"/>
            <w:shd w:val="clear" w:color="auto" w:fill="auto"/>
            <w:vAlign w:val="center"/>
          </w:tcPr>
          <w:p w14:paraId="6714F52D">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shd w:val="clear" w:color="auto" w:fill="auto"/>
            <w:vAlign w:val="center"/>
          </w:tcPr>
          <w:p w14:paraId="6E53C278">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shd w:val="clear" w:color="auto" w:fill="auto"/>
            <w:vAlign w:val="center"/>
          </w:tcPr>
          <w:p w14:paraId="1AD9FA18">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shd w:val="clear" w:color="auto" w:fill="auto"/>
            <w:vAlign w:val="center"/>
          </w:tcPr>
          <w:p w14:paraId="5F81A00C">
            <w:pPr>
              <w:topLinePunct/>
              <w:adjustRightInd w:val="0"/>
              <w:snapToGrid w:val="0"/>
              <w:jc w:val="center"/>
              <w:rPr>
                <w:rFonts w:ascii="Times New Roman" w:eastAsia="仿宋"/>
                <w:szCs w:val="21"/>
              </w:rPr>
            </w:pPr>
            <w:r>
              <w:rPr>
                <w:rFonts w:hint="eastAsia" w:ascii="Times New Roman" w:eastAsia="仿宋"/>
                <w:szCs w:val="21"/>
              </w:rPr>
              <w:t>2个月</w:t>
            </w:r>
          </w:p>
        </w:tc>
        <w:tc>
          <w:tcPr>
            <w:tcW w:w="851" w:type="dxa"/>
            <w:shd w:val="clear" w:color="auto" w:fill="auto"/>
            <w:vAlign w:val="center"/>
          </w:tcPr>
          <w:p w14:paraId="0D7DF5E8">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3B7E8E5A">
            <w:pPr>
              <w:topLinePunct/>
              <w:adjustRightInd w:val="0"/>
              <w:snapToGrid w:val="0"/>
              <w:jc w:val="center"/>
              <w:rPr>
                <w:rFonts w:ascii="Times New Roman" w:eastAsia="仿宋"/>
                <w:szCs w:val="21"/>
              </w:rPr>
            </w:pPr>
          </w:p>
        </w:tc>
      </w:tr>
      <w:tr w14:paraId="5B6C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E75C4B5">
            <w:pPr>
              <w:topLinePunct/>
              <w:adjustRightInd w:val="0"/>
              <w:snapToGrid w:val="0"/>
              <w:jc w:val="center"/>
              <w:rPr>
                <w:rFonts w:ascii="Times New Roman" w:eastAsia="仿宋"/>
                <w:szCs w:val="21"/>
              </w:rPr>
            </w:pPr>
            <w:r>
              <w:rPr>
                <w:rFonts w:hint="eastAsia" w:ascii="Times New Roman" w:eastAsia="仿宋"/>
                <w:szCs w:val="21"/>
              </w:rPr>
              <w:t>12</w:t>
            </w:r>
          </w:p>
        </w:tc>
        <w:tc>
          <w:tcPr>
            <w:tcW w:w="1610" w:type="dxa"/>
            <w:vAlign w:val="center"/>
          </w:tcPr>
          <w:p w14:paraId="2A3DE4BD">
            <w:pPr>
              <w:topLinePunct/>
              <w:adjustRightInd w:val="0"/>
              <w:snapToGrid w:val="0"/>
              <w:jc w:val="center"/>
              <w:rPr>
                <w:rFonts w:ascii="Times New Roman" w:eastAsia="仿宋"/>
                <w:szCs w:val="21"/>
              </w:rPr>
            </w:pPr>
            <w:r>
              <w:rPr>
                <w:rFonts w:hint="eastAsia" w:ascii="Times New Roman" w:eastAsia="仿宋"/>
                <w:szCs w:val="21"/>
              </w:rPr>
              <w:t>水帘废水</w:t>
            </w:r>
          </w:p>
        </w:tc>
        <w:tc>
          <w:tcPr>
            <w:tcW w:w="864" w:type="dxa"/>
            <w:vMerge w:val="continue"/>
            <w:vAlign w:val="center"/>
          </w:tcPr>
          <w:p w14:paraId="1CE24760">
            <w:pPr>
              <w:topLinePunct/>
              <w:adjustRightInd w:val="0"/>
              <w:snapToGrid w:val="0"/>
              <w:jc w:val="center"/>
              <w:rPr>
                <w:rFonts w:ascii="Times New Roman" w:eastAsia="仿宋"/>
                <w:szCs w:val="21"/>
              </w:rPr>
            </w:pPr>
          </w:p>
        </w:tc>
        <w:tc>
          <w:tcPr>
            <w:tcW w:w="1102" w:type="dxa"/>
            <w:vAlign w:val="center"/>
          </w:tcPr>
          <w:p w14:paraId="752D1FED">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vAlign w:val="center"/>
          </w:tcPr>
          <w:p w14:paraId="37E56CAD">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vAlign w:val="center"/>
          </w:tcPr>
          <w:p w14:paraId="41E1A2A2">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350" w:type="dxa"/>
            <w:vAlign w:val="center"/>
          </w:tcPr>
          <w:p w14:paraId="51AF76C2">
            <w:pPr>
              <w:topLinePunct/>
              <w:adjustRightInd w:val="0"/>
              <w:snapToGrid w:val="0"/>
              <w:jc w:val="center"/>
              <w:rPr>
                <w:rFonts w:ascii="Times New Roman" w:eastAsia="仿宋"/>
                <w:szCs w:val="21"/>
              </w:rPr>
            </w:pPr>
            <w:r>
              <w:rPr>
                <w:rFonts w:hint="eastAsia" w:ascii="Times New Roman" w:eastAsia="仿宋"/>
                <w:szCs w:val="21"/>
              </w:rPr>
              <w:t>废气处理</w:t>
            </w:r>
          </w:p>
        </w:tc>
        <w:tc>
          <w:tcPr>
            <w:tcW w:w="765" w:type="dxa"/>
            <w:vAlign w:val="center"/>
          </w:tcPr>
          <w:p w14:paraId="27FD261E">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0BC90D8C">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4056A1B3">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71B02A01">
            <w:pPr>
              <w:topLinePunct/>
              <w:adjustRightInd w:val="0"/>
              <w:snapToGrid w:val="0"/>
              <w:jc w:val="center"/>
              <w:rPr>
                <w:rFonts w:ascii="Times New Roman" w:eastAsia="仿宋"/>
                <w:szCs w:val="21"/>
              </w:rPr>
            </w:pPr>
            <w:r>
              <w:rPr>
                <w:rFonts w:ascii="Times New Roman" w:eastAsia="仿宋"/>
                <w:szCs w:val="21"/>
              </w:rPr>
              <w:t>3</w:t>
            </w:r>
            <w:r>
              <w:rPr>
                <w:rFonts w:hint="eastAsia" w:ascii="Times New Roman" w:eastAsia="仿宋"/>
                <w:szCs w:val="21"/>
              </w:rPr>
              <w:t>个月</w:t>
            </w:r>
          </w:p>
        </w:tc>
        <w:tc>
          <w:tcPr>
            <w:tcW w:w="851" w:type="dxa"/>
            <w:vAlign w:val="center"/>
          </w:tcPr>
          <w:p w14:paraId="4B655565">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18E5D783">
            <w:pPr>
              <w:topLinePunct/>
              <w:adjustRightInd w:val="0"/>
              <w:snapToGrid w:val="0"/>
              <w:jc w:val="center"/>
              <w:rPr>
                <w:rFonts w:ascii="Times New Roman" w:eastAsia="仿宋"/>
                <w:szCs w:val="21"/>
              </w:rPr>
            </w:pPr>
          </w:p>
        </w:tc>
      </w:tr>
      <w:tr w14:paraId="1836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2475A92">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3</w:t>
            </w:r>
          </w:p>
        </w:tc>
        <w:tc>
          <w:tcPr>
            <w:tcW w:w="1610" w:type="dxa"/>
            <w:vAlign w:val="center"/>
          </w:tcPr>
          <w:p w14:paraId="74CBE1DB">
            <w:pPr>
              <w:topLinePunct/>
              <w:adjustRightInd w:val="0"/>
              <w:snapToGrid w:val="0"/>
              <w:jc w:val="center"/>
              <w:rPr>
                <w:rFonts w:ascii="Times New Roman" w:eastAsia="仿宋"/>
                <w:szCs w:val="21"/>
              </w:rPr>
            </w:pPr>
            <w:r>
              <w:rPr>
                <w:rFonts w:ascii="Times New Roman" w:eastAsia="仿宋"/>
                <w:szCs w:val="21"/>
              </w:rPr>
              <w:t>漆渣</w:t>
            </w:r>
          </w:p>
        </w:tc>
        <w:tc>
          <w:tcPr>
            <w:tcW w:w="864" w:type="dxa"/>
            <w:vMerge w:val="continue"/>
            <w:vAlign w:val="center"/>
          </w:tcPr>
          <w:p w14:paraId="62E6CF0C">
            <w:pPr>
              <w:topLinePunct/>
              <w:adjustRightInd w:val="0"/>
              <w:snapToGrid w:val="0"/>
              <w:jc w:val="center"/>
              <w:rPr>
                <w:rFonts w:ascii="Times New Roman" w:eastAsia="仿宋"/>
                <w:szCs w:val="21"/>
              </w:rPr>
            </w:pPr>
          </w:p>
        </w:tc>
        <w:tc>
          <w:tcPr>
            <w:tcW w:w="1102" w:type="dxa"/>
            <w:vAlign w:val="center"/>
          </w:tcPr>
          <w:p w14:paraId="5D06B51B">
            <w:pPr>
              <w:topLinePunct/>
              <w:adjustRightInd w:val="0"/>
              <w:snapToGrid w:val="0"/>
              <w:jc w:val="center"/>
              <w:rPr>
                <w:rFonts w:ascii="Times New Roman" w:eastAsia="仿宋"/>
                <w:szCs w:val="21"/>
              </w:rPr>
            </w:pPr>
            <w:r>
              <w:rPr>
                <w:rFonts w:ascii="Times New Roman" w:eastAsia="仿宋"/>
                <w:szCs w:val="21"/>
              </w:rPr>
              <w:t>HW12</w:t>
            </w:r>
          </w:p>
        </w:tc>
        <w:tc>
          <w:tcPr>
            <w:tcW w:w="1634" w:type="dxa"/>
            <w:vAlign w:val="center"/>
          </w:tcPr>
          <w:p w14:paraId="7116C243">
            <w:pPr>
              <w:topLinePunct/>
              <w:adjustRightInd w:val="0"/>
              <w:snapToGrid w:val="0"/>
              <w:jc w:val="center"/>
              <w:rPr>
                <w:rFonts w:ascii="Times New Roman" w:eastAsia="仿宋"/>
                <w:szCs w:val="21"/>
              </w:rPr>
            </w:pPr>
            <w:r>
              <w:rPr>
                <w:rFonts w:ascii="Times New Roman" w:eastAsia="仿宋"/>
                <w:szCs w:val="21"/>
              </w:rPr>
              <w:t>900-252-12</w:t>
            </w:r>
          </w:p>
        </w:tc>
        <w:tc>
          <w:tcPr>
            <w:tcW w:w="849" w:type="dxa"/>
            <w:vAlign w:val="center"/>
          </w:tcPr>
          <w:p w14:paraId="5075DB47">
            <w:pPr>
              <w:topLinePunct/>
              <w:adjustRightInd w:val="0"/>
              <w:snapToGrid w:val="0"/>
              <w:jc w:val="center"/>
              <w:rPr>
                <w:rFonts w:ascii="Times New Roman" w:eastAsia="仿宋"/>
                <w:szCs w:val="21"/>
              </w:rPr>
            </w:pPr>
            <w:r>
              <w:rPr>
                <w:rFonts w:hint="eastAsia" w:ascii="Times New Roman" w:eastAsia="仿宋"/>
                <w:szCs w:val="21"/>
              </w:rPr>
              <w:t>20.52</w:t>
            </w:r>
          </w:p>
        </w:tc>
        <w:tc>
          <w:tcPr>
            <w:tcW w:w="1350" w:type="dxa"/>
            <w:vAlign w:val="center"/>
          </w:tcPr>
          <w:p w14:paraId="48EFF227">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vAlign w:val="center"/>
          </w:tcPr>
          <w:p w14:paraId="2B3176A6">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22CEA4CA">
            <w:pPr>
              <w:topLinePunct/>
              <w:adjustRightInd w:val="0"/>
              <w:snapToGrid w:val="0"/>
              <w:jc w:val="center"/>
              <w:rPr>
                <w:rFonts w:ascii="Times New Roman" w:eastAsia="仿宋"/>
                <w:szCs w:val="21"/>
              </w:rPr>
            </w:pPr>
            <w:r>
              <w:rPr>
                <w:rFonts w:ascii="Times New Roman" w:eastAsia="仿宋"/>
                <w:szCs w:val="21"/>
              </w:rPr>
              <w:t>水、有机物</w:t>
            </w:r>
          </w:p>
        </w:tc>
        <w:tc>
          <w:tcPr>
            <w:tcW w:w="987" w:type="dxa"/>
            <w:vAlign w:val="center"/>
          </w:tcPr>
          <w:p w14:paraId="50A9F4F7">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0494EA1E">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5F041043">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4913AD8A">
            <w:pPr>
              <w:topLinePunct/>
              <w:adjustRightInd w:val="0"/>
              <w:snapToGrid w:val="0"/>
              <w:jc w:val="center"/>
              <w:rPr>
                <w:rFonts w:ascii="Times New Roman" w:eastAsia="仿宋"/>
                <w:szCs w:val="21"/>
              </w:rPr>
            </w:pPr>
          </w:p>
        </w:tc>
      </w:tr>
      <w:tr w14:paraId="591A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E2042B8">
            <w:pPr>
              <w:topLinePunct/>
              <w:adjustRightInd w:val="0"/>
              <w:snapToGrid w:val="0"/>
              <w:jc w:val="center"/>
              <w:rPr>
                <w:rFonts w:ascii="Times New Roman" w:eastAsia="仿宋"/>
                <w:szCs w:val="21"/>
              </w:rPr>
            </w:pPr>
            <w:r>
              <w:rPr>
                <w:rFonts w:hint="eastAsia" w:ascii="Times New Roman" w:eastAsia="仿宋"/>
                <w:szCs w:val="21"/>
              </w:rPr>
              <w:t>14</w:t>
            </w:r>
          </w:p>
        </w:tc>
        <w:tc>
          <w:tcPr>
            <w:tcW w:w="1610" w:type="dxa"/>
            <w:shd w:val="clear" w:color="auto" w:fill="auto"/>
            <w:vAlign w:val="center"/>
          </w:tcPr>
          <w:p w14:paraId="6F6BDE6D">
            <w:pPr>
              <w:topLinePunct/>
              <w:adjustRightInd w:val="0"/>
              <w:snapToGrid w:val="0"/>
              <w:jc w:val="center"/>
              <w:rPr>
                <w:rFonts w:ascii="Times New Roman" w:eastAsia="仿宋"/>
                <w:szCs w:val="21"/>
              </w:rPr>
            </w:pPr>
            <w:r>
              <w:rPr>
                <w:rFonts w:hint="eastAsia" w:ascii="Times New Roman" w:eastAsia="仿宋"/>
                <w:szCs w:val="21"/>
              </w:rPr>
              <w:t>挂具</w:t>
            </w:r>
            <w:r>
              <w:rPr>
                <w:rFonts w:ascii="Times New Roman" w:eastAsia="仿宋"/>
                <w:szCs w:val="21"/>
              </w:rPr>
              <w:t>漆渣</w:t>
            </w:r>
          </w:p>
        </w:tc>
        <w:tc>
          <w:tcPr>
            <w:tcW w:w="864" w:type="dxa"/>
            <w:vMerge w:val="continue"/>
            <w:shd w:val="clear" w:color="auto" w:fill="auto"/>
            <w:vAlign w:val="center"/>
          </w:tcPr>
          <w:p w14:paraId="7FA964FF">
            <w:pPr>
              <w:topLinePunct/>
              <w:adjustRightInd w:val="0"/>
              <w:snapToGrid w:val="0"/>
              <w:jc w:val="center"/>
              <w:rPr>
                <w:rFonts w:ascii="Times New Roman" w:eastAsia="仿宋"/>
                <w:szCs w:val="21"/>
              </w:rPr>
            </w:pPr>
          </w:p>
        </w:tc>
        <w:tc>
          <w:tcPr>
            <w:tcW w:w="1102" w:type="dxa"/>
            <w:shd w:val="clear" w:color="auto" w:fill="auto"/>
            <w:vAlign w:val="center"/>
          </w:tcPr>
          <w:p w14:paraId="26EE43FE">
            <w:pPr>
              <w:topLinePunct/>
              <w:adjustRightInd w:val="0"/>
              <w:snapToGrid w:val="0"/>
              <w:jc w:val="center"/>
              <w:rPr>
                <w:rFonts w:ascii="Times New Roman" w:eastAsia="仿宋"/>
                <w:szCs w:val="21"/>
              </w:rPr>
            </w:pPr>
            <w:r>
              <w:rPr>
                <w:rFonts w:ascii="Times New Roman" w:eastAsia="仿宋"/>
                <w:szCs w:val="21"/>
              </w:rPr>
              <w:t>HW12</w:t>
            </w:r>
          </w:p>
        </w:tc>
        <w:tc>
          <w:tcPr>
            <w:tcW w:w="1634" w:type="dxa"/>
            <w:shd w:val="clear" w:color="auto" w:fill="auto"/>
            <w:vAlign w:val="center"/>
          </w:tcPr>
          <w:p w14:paraId="66AA4961">
            <w:pPr>
              <w:topLinePunct/>
              <w:adjustRightInd w:val="0"/>
              <w:snapToGrid w:val="0"/>
              <w:jc w:val="center"/>
              <w:rPr>
                <w:rFonts w:ascii="Times New Roman" w:eastAsia="仿宋"/>
                <w:szCs w:val="21"/>
              </w:rPr>
            </w:pPr>
            <w:r>
              <w:rPr>
                <w:rFonts w:ascii="Times New Roman" w:eastAsia="仿宋"/>
                <w:szCs w:val="21"/>
              </w:rPr>
              <w:t>900-252-12</w:t>
            </w:r>
          </w:p>
        </w:tc>
        <w:tc>
          <w:tcPr>
            <w:tcW w:w="849" w:type="dxa"/>
            <w:shd w:val="clear" w:color="auto" w:fill="auto"/>
            <w:vAlign w:val="center"/>
          </w:tcPr>
          <w:p w14:paraId="3CC5128A">
            <w:pPr>
              <w:topLinePunct/>
              <w:adjustRightInd w:val="0"/>
              <w:snapToGrid w:val="0"/>
              <w:jc w:val="center"/>
              <w:rPr>
                <w:rFonts w:ascii="Times New Roman" w:eastAsia="仿宋"/>
                <w:szCs w:val="21"/>
              </w:rPr>
            </w:pPr>
            <w:r>
              <w:rPr>
                <w:rFonts w:hint="eastAsia" w:ascii="Times New Roman" w:eastAsia="仿宋"/>
                <w:szCs w:val="21"/>
              </w:rPr>
              <w:t>1.015</w:t>
            </w:r>
          </w:p>
        </w:tc>
        <w:tc>
          <w:tcPr>
            <w:tcW w:w="1350" w:type="dxa"/>
            <w:shd w:val="clear" w:color="auto" w:fill="auto"/>
            <w:vAlign w:val="center"/>
          </w:tcPr>
          <w:p w14:paraId="7DC0B27E">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shd w:val="clear" w:color="auto" w:fill="auto"/>
            <w:vAlign w:val="center"/>
          </w:tcPr>
          <w:p w14:paraId="549224C3">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30169F97">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87" w:type="dxa"/>
            <w:shd w:val="clear" w:color="auto" w:fill="auto"/>
            <w:vAlign w:val="center"/>
          </w:tcPr>
          <w:p w14:paraId="3BC5C6BA">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92" w:type="dxa"/>
            <w:shd w:val="clear" w:color="auto" w:fill="auto"/>
            <w:vAlign w:val="center"/>
          </w:tcPr>
          <w:p w14:paraId="39F1B627">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1F15A9F0">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3C89A899">
            <w:pPr>
              <w:topLinePunct/>
              <w:adjustRightInd w:val="0"/>
              <w:snapToGrid w:val="0"/>
              <w:jc w:val="center"/>
              <w:rPr>
                <w:rFonts w:ascii="Times New Roman" w:eastAsia="仿宋"/>
                <w:szCs w:val="21"/>
              </w:rPr>
            </w:pPr>
          </w:p>
        </w:tc>
      </w:tr>
      <w:tr w14:paraId="231E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BB059C5">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5</w:t>
            </w:r>
          </w:p>
        </w:tc>
        <w:tc>
          <w:tcPr>
            <w:tcW w:w="1610" w:type="dxa"/>
            <w:vAlign w:val="center"/>
          </w:tcPr>
          <w:p w14:paraId="1D9734E7">
            <w:pPr>
              <w:topLinePunct/>
              <w:adjustRightInd w:val="0"/>
              <w:snapToGrid w:val="0"/>
              <w:jc w:val="center"/>
              <w:rPr>
                <w:rFonts w:ascii="Times New Roman" w:eastAsia="仿宋"/>
                <w:szCs w:val="21"/>
              </w:rPr>
            </w:pPr>
            <w:r>
              <w:rPr>
                <w:rFonts w:hint="eastAsia" w:ascii="Times New Roman" w:eastAsia="仿宋"/>
                <w:szCs w:val="21"/>
              </w:rPr>
              <w:t>废清洗液</w:t>
            </w:r>
          </w:p>
        </w:tc>
        <w:tc>
          <w:tcPr>
            <w:tcW w:w="864" w:type="dxa"/>
            <w:vMerge w:val="continue"/>
            <w:vAlign w:val="center"/>
          </w:tcPr>
          <w:p w14:paraId="0267F33C">
            <w:pPr>
              <w:topLinePunct/>
              <w:adjustRightInd w:val="0"/>
              <w:snapToGrid w:val="0"/>
              <w:jc w:val="center"/>
              <w:rPr>
                <w:rFonts w:ascii="Times New Roman" w:eastAsia="仿宋"/>
                <w:szCs w:val="21"/>
              </w:rPr>
            </w:pPr>
          </w:p>
        </w:tc>
        <w:tc>
          <w:tcPr>
            <w:tcW w:w="1102" w:type="dxa"/>
            <w:vAlign w:val="center"/>
          </w:tcPr>
          <w:p w14:paraId="7EC82840">
            <w:pPr>
              <w:topLinePunct/>
              <w:adjustRightInd w:val="0"/>
              <w:snapToGrid w:val="0"/>
              <w:jc w:val="center"/>
              <w:rPr>
                <w:rFonts w:ascii="Times New Roman" w:eastAsia="仿宋"/>
                <w:szCs w:val="21"/>
              </w:rPr>
            </w:pPr>
            <w:r>
              <w:rPr>
                <w:rFonts w:hint="eastAsia" w:ascii="Times New Roman" w:eastAsia="仿宋"/>
                <w:szCs w:val="21"/>
              </w:rPr>
              <w:t>HW12</w:t>
            </w:r>
          </w:p>
        </w:tc>
        <w:tc>
          <w:tcPr>
            <w:tcW w:w="1634" w:type="dxa"/>
            <w:vAlign w:val="center"/>
          </w:tcPr>
          <w:p w14:paraId="737D47AB">
            <w:pPr>
              <w:topLinePunct/>
              <w:adjustRightInd w:val="0"/>
              <w:snapToGrid w:val="0"/>
              <w:jc w:val="center"/>
              <w:rPr>
                <w:rFonts w:ascii="Times New Roman" w:eastAsia="仿宋"/>
                <w:szCs w:val="21"/>
              </w:rPr>
            </w:pPr>
            <w:r>
              <w:rPr>
                <w:rFonts w:hint="eastAsia" w:ascii="Times New Roman" w:eastAsia="仿宋"/>
                <w:szCs w:val="21"/>
              </w:rPr>
              <w:t>900-256-12</w:t>
            </w:r>
          </w:p>
        </w:tc>
        <w:tc>
          <w:tcPr>
            <w:tcW w:w="849" w:type="dxa"/>
            <w:vAlign w:val="center"/>
          </w:tcPr>
          <w:p w14:paraId="1BBA0438">
            <w:pPr>
              <w:topLinePunct/>
              <w:adjustRightInd w:val="0"/>
              <w:snapToGrid w:val="0"/>
              <w:jc w:val="center"/>
              <w:rPr>
                <w:rFonts w:ascii="Times New Roman" w:eastAsia="仿宋"/>
                <w:szCs w:val="21"/>
              </w:rPr>
            </w:pPr>
            <w:r>
              <w:rPr>
                <w:rFonts w:hint="eastAsia" w:ascii="Times New Roman" w:eastAsia="仿宋"/>
                <w:szCs w:val="21"/>
              </w:rPr>
              <w:t>4.5</w:t>
            </w:r>
          </w:p>
        </w:tc>
        <w:tc>
          <w:tcPr>
            <w:tcW w:w="1350" w:type="dxa"/>
            <w:vAlign w:val="center"/>
          </w:tcPr>
          <w:p w14:paraId="02C221C4">
            <w:pPr>
              <w:topLinePunct/>
              <w:adjustRightInd w:val="0"/>
              <w:snapToGrid w:val="0"/>
              <w:jc w:val="center"/>
              <w:rPr>
                <w:rFonts w:ascii="Times New Roman" w:eastAsia="仿宋"/>
                <w:szCs w:val="21"/>
              </w:rPr>
            </w:pPr>
            <w:r>
              <w:rPr>
                <w:rFonts w:hint="eastAsia" w:ascii="Times New Roman" w:eastAsia="仿宋"/>
                <w:szCs w:val="21"/>
              </w:rPr>
              <w:t>喷枪清洗</w:t>
            </w:r>
          </w:p>
        </w:tc>
        <w:tc>
          <w:tcPr>
            <w:tcW w:w="765" w:type="dxa"/>
            <w:vAlign w:val="center"/>
          </w:tcPr>
          <w:p w14:paraId="07C28907">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7EC1AF72">
            <w:pPr>
              <w:topLinePunct/>
              <w:adjustRightInd w:val="0"/>
              <w:snapToGrid w:val="0"/>
              <w:jc w:val="center"/>
              <w:rPr>
                <w:rFonts w:ascii="Times New Roman" w:eastAsia="仿宋"/>
                <w:szCs w:val="21"/>
              </w:rPr>
            </w:pPr>
            <w:r>
              <w:rPr>
                <w:rFonts w:hint="eastAsia" w:ascii="Times New Roman" w:eastAsia="仿宋"/>
                <w:szCs w:val="21"/>
              </w:rPr>
              <w:t>稀释剂、杂质</w:t>
            </w:r>
          </w:p>
        </w:tc>
        <w:tc>
          <w:tcPr>
            <w:tcW w:w="987" w:type="dxa"/>
            <w:vAlign w:val="center"/>
          </w:tcPr>
          <w:p w14:paraId="606AEC0A">
            <w:pPr>
              <w:topLinePunct/>
              <w:adjustRightInd w:val="0"/>
              <w:snapToGrid w:val="0"/>
              <w:jc w:val="center"/>
              <w:rPr>
                <w:rFonts w:ascii="Times New Roman" w:eastAsia="仿宋"/>
                <w:szCs w:val="21"/>
              </w:rPr>
            </w:pPr>
            <w:r>
              <w:rPr>
                <w:rFonts w:hint="eastAsia" w:ascii="Times New Roman" w:eastAsia="仿宋"/>
                <w:szCs w:val="21"/>
              </w:rPr>
              <w:t>稀释剂</w:t>
            </w:r>
          </w:p>
        </w:tc>
        <w:tc>
          <w:tcPr>
            <w:tcW w:w="992" w:type="dxa"/>
            <w:vAlign w:val="center"/>
          </w:tcPr>
          <w:p w14:paraId="6FBEE9A0">
            <w:pPr>
              <w:topLinePunct/>
              <w:adjustRightInd w:val="0"/>
              <w:snapToGrid w:val="0"/>
              <w:jc w:val="center"/>
              <w:rPr>
                <w:rFonts w:ascii="Times New Roman" w:eastAsia="仿宋"/>
                <w:szCs w:val="21"/>
              </w:rPr>
            </w:pPr>
            <w:r>
              <w:rPr>
                <w:rFonts w:hint="eastAsia" w:ascii="Times New Roman" w:eastAsia="仿宋"/>
                <w:szCs w:val="21"/>
              </w:rPr>
              <w:t>1个月</w:t>
            </w:r>
          </w:p>
        </w:tc>
        <w:tc>
          <w:tcPr>
            <w:tcW w:w="851" w:type="dxa"/>
            <w:vAlign w:val="center"/>
          </w:tcPr>
          <w:p w14:paraId="4C726F85">
            <w:pPr>
              <w:topLinePunct/>
              <w:adjustRightInd w:val="0"/>
              <w:snapToGrid w:val="0"/>
              <w:jc w:val="center"/>
              <w:rPr>
                <w:rFonts w:ascii="Times New Roman" w:eastAsia="仿宋"/>
                <w:szCs w:val="21"/>
              </w:rPr>
            </w:pPr>
            <w:r>
              <w:rPr>
                <w:rFonts w:hint="eastAsia" w:ascii="Times New Roman" w:eastAsia="仿宋"/>
                <w:szCs w:val="21"/>
              </w:rPr>
              <w:t>T,I,C</w:t>
            </w:r>
          </w:p>
        </w:tc>
        <w:tc>
          <w:tcPr>
            <w:tcW w:w="1086" w:type="dxa"/>
            <w:vMerge w:val="continue"/>
            <w:vAlign w:val="center"/>
          </w:tcPr>
          <w:p w14:paraId="68BF361A">
            <w:pPr>
              <w:topLinePunct/>
              <w:adjustRightInd w:val="0"/>
              <w:snapToGrid w:val="0"/>
              <w:jc w:val="center"/>
              <w:rPr>
                <w:rFonts w:ascii="Times New Roman" w:eastAsia="仿宋"/>
                <w:szCs w:val="21"/>
              </w:rPr>
            </w:pPr>
          </w:p>
        </w:tc>
      </w:tr>
      <w:tr w14:paraId="117A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132E29A">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6</w:t>
            </w:r>
          </w:p>
        </w:tc>
        <w:tc>
          <w:tcPr>
            <w:tcW w:w="1610" w:type="dxa"/>
            <w:vAlign w:val="center"/>
          </w:tcPr>
          <w:p w14:paraId="77738A70">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包装</w:t>
            </w:r>
            <w:r>
              <w:rPr>
                <w:rFonts w:ascii="Times New Roman" w:eastAsia="仿宋"/>
                <w:szCs w:val="21"/>
              </w:rPr>
              <w:t>桶</w:t>
            </w:r>
          </w:p>
        </w:tc>
        <w:tc>
          <w:tcPr>
            <w:tcW w:w="864" w:type="dxa"/>
            <w:vMerge w:val="continue"/>
            <w:vAlign w:val="center"/>
          </w:tcPr>
          <w:p w14:paraId="151289AE">
            <w:pPr>
              <w:topLinePunct/>
              <w:adjustRightInd w:val="0"/>
              <w:snapToGrid w:val="0"/>
              <w:jc w:val="center"/>
              <w:rPr>
                <w:rFonts w:ascii="Times New Roman" w:eastAsia="仿宋"/>
                <w:szCs w:val="21"/>
              </w:rPr>
            </w:pPr>
          </w:p>
        </w:tc>
        <w:tc>
          <w:tcPr>
            <w:tcW w:w="1102" w:type="dxa"/>
            <w:vAlign w:val="center"/>
          </w:tcPr>
          <w:p w14:paraId="03EDD6C4">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7FC28DCC">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10E2CE08">
            <w:pPr>
              <w:topLinePunct/>
              <w:adjustRightInd w:val="0"/>
              <w:snapToGrid w:val="0"/>
              <w:jc w:val="center"/>
              <w:rPr>
                <w:rFonts w:ascii="Times New Roman" w:eastAsia="仿宋"/>
                <w:szCs w:val="21"/>
              </w:rPr>
            </w:pPr>
            <w:r>
              <w:rPr>
                <w:rFonts w:hint="eastAsia" w:ascii="Times New Roman" w:eastAsia="仿宋"/>
                <w:szCs w:val="21"/>
              </w:rPr>
              <w:t>12.46</w:t>
            </w:r>
          </w:p>
        </w:tc>
        <w:tc>
          <w:tcPr>
            <w:tcW w:w="1350" w:type="dxa"/>
            <w:vAlign w:val="center"/>
          </w:tcPr>
          <w:p w14:paraId="0C41A400">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3572D2AB">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B4E7E7A">
            <w:pPr>
              <w:topLinePunct/>
              <w:adjustRightInd w:val="0"/>
              <w:snapToGrid w:val="0"/>
              <w:jc w:val="center"/>
              <w:rPr>
                <w:rFonts w:ascii="Times New Roman" w:eastAsia="仿宋"/>
                <w:szCs w:val="21"/>
              </w:rPr>
            </w:pPr>
            <w:r>
              <w:rPr>
                <w:rFonts w:ascii="Times New Roman" w:eastAsia="仿宋"/>
                <w:szCs w:val="21"/>
              </w:rPr>
              <w:t>铁、有机物</w:t>
            </w:r>
          </w:p>
        </w:tc>
        <w:tc>
          <w:tcPr>
            <w:tcW w:w="987" w:type="dxa"/>
            <w:vAlign w:val="center"/>
          </w:tcPr>
          <w:p w14:paraId="1AF2DCEE">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26DED863">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9018F82">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58E8456C">
            <w:pPr>
              <w:topLinePunct/>
              <w:adjustRightInd w:val="0"/>
              <w:snapToGrid w:val="0"/>
              <w:jc w:val="center"/>
              <w:rPr>
                <w:rFonts w:ascii="Times New Roman" w:eastAsia="仿宋"/>
                <w:szCs w:val="21"/>
              </w:rPr>
            </w:pPr>
          </w:p>
        </w:tc>
      </w:tr>
      <w:tr w14:paraId="40E7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5C3F8A3">
            <w:pPr>
              <w:topLinePunct/>
              <w:adjustRightInd w:val="0"/>
              <w:snapToGrid w:val="0"/>
              <w:jc w:val="center"/>
              <w:rPr>
                <w:rFonts w:ascii="Times New Roman" w:eastAsia="仿宋"/>
                <w:szCs w:val="21"/>
              </w:rPr>
            </w:pPr>
            <w:r>
              <w:rPr>
                <w:rFonts w:hint="eastAsia" w:ascii="Times New Roman" w:eastAsia="仿宋"/>
                <w:szCs w:val="21"/>
              </w:rPr>
              <w:t>17</w:t>
            </w:r>
          </w:p>
        </w:tc>
        <w:tc>
          <w:tcPr>
            <w:tcW w:w="1610" w:type="dxa"/>
            <w:vAlign w:val="center"/>
          </w:tcPr>
          <w:p w14:paraId="5DC33F56">
            <w:pPr>
              <w:topLinePunct/>
              <w:adjustRightInd w:val="0"/>
              <w:snapToGrid w:val="0"/>
              <w:jc w:val="center"/>
              <w:rPr>
                <w:rFonts w:ascii="Times New Roman" w:eastAsia="仿宋"/>
                <w:szCs w:val="21"/>
              </w:rPr>
            </w:pPr>
            <w:r>
              <w:rPr>
                <w:rFonts w:hint="eastAsia" w:ascii="Times New Roman" w:eastAsia="仿宋"/>
                <w:szCs w:val="21"/>
              </w:rPr>
              <w:t>废</w:t>
            </w:r>
            <w:r>
              <w:rPr>
                <w:rFonts w:ascii="Times New Roman" w:eastAsia="仿宋"/>
                <w:szCs w:val="21"/>
              </w:rPr>
              <w:t>手套</w:t>
            </w:r>
          </w:p>
        </w:tc>
        <w:tc>
          <w:tcPr>
            <w:tcW w:w="864" w:type="dxa"/>
            <w:vMerge w:val="continue"/>
            <w:vAlign w:val="center"/>
          </w:tcPr>
          <w:p w14:paraId="291E3ACB">
            <w:pPr>
              <w:topLinePunct/>
              <w:adjustRightInd w:val="0"/>
              <w:snapToGrid w:val="0"/>
              <w:jc w:val="center"/>
              <w:rPr>
                <w:rFonts w:ascii="Times New Roman" w:eastAsia="仿宋"/>
                <w:szCs w:val="21"/>
              </w:rPr>
            </w:pPr>
          </w:p>
        </w:tc>
        <w:tc>
          <w:tcPr>
            <w:tcW w:w="1102" w:type="dxa"/>
            <w:vAlign w:val="center"/>
          </w:tcPr>
          <w:p w14:paraId="6F470B73">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317DE7A8">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7121BD46">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5</w:t>
            </w:r>
          </w:p>
        </w:tc>
        <w:tc>
          <w:tcPr>
            <w:tcW w:w="1350" w:type="dxa"/>
            <w:vAlign w:val="center"/>
          </w:tcPr>
          <w:p w14:paraId="78CAB3F9">
            <w:pPr>
              <w:topLinePunct/>
              <w:adjustRightInd w:val="0"/>
              <w:snapToGrid w:val="0"/>
              <w:jc w:val="center"/>
              <w:rPr>
                <w:rFonts w:ascii="Times New Roman" w:eastAsia="仿宋"/>
                <w:szCs w:val="21"/>
              </w:rPr>
            </w:pPr>
            <w:r>
              <w:rPr>
                <w:rFonts w:hint="eastAsia" w:ascii="Times New Roman" w:eastAsia="仿宋"/>
                <w:szCs w:val="21"/>
              </w:rPr>
              <w:t>机加工</w:t>
            </w:r>
          </w:p>
        </w:tc>
        <w:tc>
          <w:tcPr>
            <w:tcW w:w="765" w:type="dxa"/>
            <w:vAlign w:val="center"/>
          </w:tcPr>
          <w:p w14:paraId="6CE27775">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BBF64D0">
            <w:pPr>
              <w:topLinePunct/>
              <w:adjustRightInd w:val="0"/>
              <w:snapToGrid w:val="0"/>
              <w:jc w:val="center"/>
              <w:rPr>
                <w:rFonts w:ascii="Times New Roman" w:eastAsia="仿宋"/>
                <w:szCs w:val="21"/>
              </w:rPr>
            </w:pPr>
            <w:r>
              <w:rPr>
                <w:rFonts w:ascii="Times New Roman" w:eastAsia="仿宋"/>
                <w:szCs w:val="21"/>
              </w:rPr>
              <w:t>棉、</w:t>
            </w:r>
            <w:r>
              <w:rPr>
                <w:rFonts w:hint="eastAsia" w:ascii="Times New Roman" w:eastAsia="仿宋"/>
                <w:szCs w:val="21"/>
              </w:rPr>
              <w:t>矿物油</w:t>
            </w:r>
          </w:p>
        </w:tc>
        <w:tc>
          <w:tcPr>
            <w:tcW w:w="987" w:type="dxa"/>
            <w:vAlign w:val="center"/>
          </w:tcPr>
          <w:p w14:paraId="732806B4">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45E6EA48">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610B6C15">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19382F13">
            <w:pPr>
              <w:topLinePunct/>
              <w:adjustRightInd w:val="0"/>
              <w:snapToGrid w:val="0"/>
              <w:jc w:val="center"/>
              <w:rPr>
                <w:rFonts w:ascii="Times New Roman" w:eastAsia="仿宋"/>
                <w:szCs w:val="21"/>
              </w:rPr>
            </w:pPr>
          </w:p>
        </w:tc>
      </w:tr>
      <w:tr w14:paraId="1722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0687255">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8</w:t>
            </w:r>
          </w:p>
        </w:tc>
        <w:tc>
          <w:tcPr>
            <w:tcW w:w="1610" w:type="dxa"/>
            <w:vAlign w:val="center"/>
          </w:tcPr>
          <w:p w14:paraId="35C02044">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机油</w:t>
            </w:r>
          </w:p>
        </w:tc>
        <w:tc>
          <w:tcPr>
            <w:tcW w:w="864" w:type="dxa"/>
            <w:vMerge w:val="continue"/>
            <w:vAlign w:val="center"/>
          </w:tcPr>
          <w:p w14:paraId="2B28EA42">
            <w:pPr>
              <w:topLinePunct/>
              <w:adjustRightInd w:val="0"/>
              <w:snapToGrid w:val="0"/>
              <w:jc w:val="center"/>
              <w:rPr>
                <w:rFonts w:ascii="Times New Roman" w:eastAsia="仿宋"/>
                <w:szCs w:val="21"/>
              </w:rPr>
            </w:pPr>
          </w:p>
        </w:tc>
        <w:tc>
          <w:tcPr>
            <w:tcW w:w="1102" w:type="dxa"/>
            <w:vAlign w:val="center"/>
          </w:tcPr>
          <w:p w14:paraId="55227BBC">
            <w:pPr>
              <w:topLinePunct/>
              <w:adjustRightInd w:val="0"/>
              <w:snapToGrid w:val="0"/>
              <w:jc w:val="center"/>
              <w:rPr>
                <w:rFonts w:ascii="Times New Roman" w:eastAsia="仿宋"/>
                <w:szCs w:val="21"/>
              </w:rPr>
            </w:pPr>
            <w:r>
              <w:rPr>
                <w:rFonts w:ascii="Times New Roman" w:eastAsia="仿宋"/>
                <w:szCs w:val="21"/>
              </w:rPr>
              <w:t>HW08</w:t>
            </w:r>
          </w:p>
        </w:tc>
        <w:tc>
          <w:tcPr>
            <w:tcW w:w="1634" w:type="dxa"/>
            <w:vAlign w:val="center"/>
          </w:tcPr>
          <w:p w14:paraId="049CCB76">
            <w:pPr>
              <w:topLinePunct/>
              <w:adjustRightInd w:val="0"/>
              <w:snapToGrid w:val="0"/>
              <w:jc w:val="center"/>
              <w:rPr>
                <w:rFonts w:ascii="Times New Roman" w:eastAsia="仿宋"/>
                <w:szCs w:val="21"/>
              </w:rPr>
            </w:pPr>
            <w:r>
              <w:rPr>
                <w:rFonts w:ascii="Times New Roman" w:eastAsia="仿宋"/>
                <w:szCs w:val="21"/>
              </w:rPr>
              <w:t>900-249-08</w:t>
            </w:r>
          </w:p>
        </w:tc>
        <w:tc>
          <w:tcPr>
            <w:tcW w:w="849" w:type="dxa"/>
            <w:vAlign w:val="center"/>
          </w:tcPr>
          <w:p w14:paraId="11C176B2">
            <w:pPr>
              <w:topLinePunct/>
              <w:adjustRightInd w:val="0"/>
              <w:snapToGrid w:val="0"/>
              <w:jc w:val="center"/>
              <w:rPr>
                <w:rFonts w:ascii="Times New Roman" w:eastAsia="仿宋"/>
                <w:szCs w:val="21"/>
              </w:rPr>
            </w:pPr>
            <w:r>
              <w:rPr>
                <w:rFonts w:hint="eastAsia" w:ascii="Times New Roman" w:eastAsia="仿宋"/>
                <w:szCs w:val="21"/>
              </w:rPr>
              <w:t>2</w:t>
            </w:r>
          </w:p>
        </w:tc>
        <w:tc>
          <w:tcPr>
            <w:tcW w:w="1350" w:type="dxa"/>
            <w:vAlign w:val="center"/>
          </w:tcPr>
          <w:p w14:paraId="665ED89D">
            <w:pPr>
              <w:topLinePunct/>
              <w:adjustRightInd w:val="0"/>
              <w:snapToGrid w:val="0"/>
              <w:jc w:val="center"/>
              <w:rPr>
                <w:rFonts w:ascii="Times New Roman" w:eastAsia="仿宋"/>
                <w:szCs w:val="21"/>
              </w:rPr>
            </w:pPr>
            <w:r>
              <w:rPr>
                <w:rFonts w:hint="eastAsia" w:ascii="Times New Roman" w:eastAsia="仿宋"/>
                <w:szCs w:val="21"/>
              </w:rPr>
              <w:t>设备维修</w:t>
            </w:r>
          </w:p>
        </w:tc>
        <w:tc>
          <w:tcPr>
            <w:tcW w:w="765" w:type="dxa"/>
            <w:vAlign w:val="center"/>
          </w:tcPr>
          <w:p w14:paraId="342D2179">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39121ABD">
            <w:pPr>
              <w:topLinePunct/>
              <w:adjustRightInd w:val="0"/>
              <w:snapToGrid w:val="0"/>
              <w:jc w:val="center"/>
              <w:rPr>
                <w:rFonts w:ascii="Times New Roman" w:eastAsia="仿宋"/>
                <w:szCs w:val="21"/>
              </w:rPr>
            </w:pPr>
            <w:r>
              <w:rPr>
                <w:rFonts w:hint="eastAsia" w:ascii="Times New Roman" w:eastAsia="仿宋"/>
                <w:szCs w:val="21"/>
              </w:rPr>
              <w:t>矿物油</w:t>
            </w:r>
          </w:p>
        </w:tc>
        <w:tc>
          <w:tcPr>
            <w:tcW w:w="987" w:type="dxa"/>
            <w:vAlign w:val="center"/>
          </w:tcPr>
          <w:p w14:paraId="0898C6E0">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24184B5B">
            <w:pPr>
              <w:topLinePunct/>
              <w:adjustRightInd w:val="0"/>
              <w:snapToGrid w:val="0"/>
              <w:jc w:val="center"/>
              <w:rPr>
                <w:rFonts w:ascii="Times New Roman" w:eastAsia="仿宋"/>
                <w:szCs w:val="21"/>
              </w:rPr>
            </w:pPr>
            <w:r>
              <w:rPr>
                <w:rFonts w:hint="eastAsia" w:ascii="Times New Roman" w:eastAsia="仿宋"/>
                <w:szCs w:val="21"/>
              </w:rPr>
              <w:t>1年</w:t>
            </w:r>
          </w:p>
        </w:tc>
        <w:tc>
          <w:tcPr>
            <w:tcW w:w="851" w:type="dxa"/>
            <w:vAlign w:val="center"/>
          </w:tcPr>
          <w:p w14:paraId="7537B283">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0057B071">
            <w:pPr>
              <w:topLinePunct/>
              <w:adjustRightInd w:val="0"/>
              <w:snapToGrid w:val="0"/>
              <w:jc w:val="center"/>
              <w:rPr>
                <w:rFonts w:ascii="Times New Roman" w:eastAsia="仿宋"/>
                <w:szCs w:val="21"/>
              </w:rPr>
            </w:pPr>
          </w:p>
        </w:tc>
      </w:tr>
      <w:tr w14:paraId="6C54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FB6A985">
            <w:pPr>
              <w:topLinePunct/>
              <w:adjustRightInd w:val="0"/>
              <w:snapToGrid w:val="0"/>
              <w:jc w:val="center"/>
              <w:rPr>
                <w:rFonts w:ascii="Times New Roman" w:eastAsia="仿宋"/>
                <w:szCs w:val="21"/>
              </w:rPr>
            </w:pPr>
            <w:r>
              <w:rPr>
                <w:rFonts w:hint="eastAsia" w:ascii="Times New Roman" w:eastAsia="仿宋"/>
                <w:szCs w:val="21"/>
              </w:rPr>
              <w:t>19</w:t>
            </w:r>
          </w:p>
        </w:tc>
        <w:tc>
          <w:tcPr>
            <w:tcW w:w="1610" w:type="dxa"/>
            <w:vAlign w:val="center"/>
          </w:tcPr>
          <w:p w14:paraId="1E427EF9">
            <w:pPr>
              <w:topLinePunct/>
              <w:adjustRightInd w:val="0"/>
              <w:snapToGrid w:val="0"/>
              <w:jc w:val="center"/>
              <w:rPr>
                <w:rFonts w:ascii="Times New Roman" w:eastAsia="仿宋"/>
                <w:szCs w:val="21"/>
              </w:rPr>
            </w:pPr>
            <w:r>
              <w:rPr>
                <w:rFonts w:hint="eastAsia" w:ascii="Times New Roman" w:eastAsia="仿宋"/>
                <w:szCs w:val="21"/>
              </w:rPr>
              <w:t>废催化剂</w:t>
            </w:r>
          </w:p>
        </w:tc>
        <w:tc>
          <w:tcPr>
            <w:tcW w:w="864" w:type="dxa"/>
            <w:vMerge w:val="continue"/>
            <w:vAlign w:val="center"/>
          </w:tcPr>
          <w:p w14:paraId="7CA2043D">
            <w:pPr>
              <w:topLinePunct/>
              <w:adjustRightInd w:val="0"/>
              <w:snapToGrid w:val="0"/>
              <w:jc w:val="center"/>
              <w:rPr>
                <w:rFonts w:ascii="Times New Roman" w:eastAsia="仿宋"/>
                <w:szCs w:val="21"/>
              </w:rPr>
            </w:pPr>
          </w:p>
        </w:tc>
        <w:tc>
          <w:tcPr>
            <w:tcW w:w="1102" w:type="dxa"/>
            <w:vAlign w:val="center"/>
          </w:tcPr>
          <w:p w14:paraId="70752C48">
            <w:pPr>
              <w:topLinePunct/>
              <w:adjustRightInd w:val="0"/>
              <w:snapToGrid w:val="0"/>
              <w:jc w:val="center"/>
              <w:rPr>
                <w:rFonts w:ascii="Times New Roman" w:eastAsia="仿宋"/>
                <w:szCs w:val="21"/>
              </w:rPr>
            </w:pPr>
            <w:r>
              <w:rPr>
                <w:rFonts w:hint="eastAsia" w:ascii="Times New Roman" w:eastAsia="仿宋"/>
                <w:szCs w:val="21"/>
              </w:rPr>
              <w:t>HW50</w:t>
            </w:r>
          </w:p>
        </w:tc>
        <w:tc>
          <w:tcPr>
            <w:tcW w:w="1634" w:type="dxa"/>
            <w:vAlign w:val="center"/>
          </w:tcPr>
          <w:p w14:paraId="04841835">
            <w:pPr>
              <w:topLinePunct/>
              <w:adjustRightInd w:val="0"/>
              <w:snapToGrid w:val="0"/>
              <w:jc w:val="center"/>
              <w:rPr>
                <w:rFonts w:ascii="Times New Roman" w:eastAsia="仿宋"/>
                <w:szCs w:val="21"/>
              </w:rPr>
            </w:pPr>
            <w:r>
              <w:rPr>
                <w:rFonts w:hint="eastAsia" w:ascii="Times New Roman" w:eastAsia="仿宋"/>
                <w:szCs w:val="21"/>
              </w:rPr>
              <w:t>772-007-50</w:t>
            </w:r>
          </w:p>
        </w:tc>
        <w:tc>
          <w:tcPr>
            <w:tcW w:w="849" w:type="dxa"/>
            <w:vAlign w:val="center"/>
          </w:tcPr>
          <w:p w14:paraId="4E4F3D12">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6</w:t>
            </w:r>
            <w:r>
              <w:rPr>
                <w:rFonts w:hint="eastAsia" w:ascii="Times New Roman" w:eastAsia="仿宋"/>
                <w:szCs w:val="21"/>
              </w:rPr>
              <w:t>t/3a</w:t>
            </w:r>
          </w:p>
        </w:tc>
        <w:tc>
          <w:tcPr>
            <w:tcW w:w="1350" w:type="dxa"/>
            <w:vAlign w:val="center"/>
          </w:tcPr>
          <w:p w14:paraId="0543E165">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74D895A7">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5D7ED7A2">
            <w:pPr>
              <w:topLinePunct/>
              <w:adjustRightInd w:val="0"/>
              <w:snapToGrid w:val="0"/>
              <w:jc w:val="center"/>
              <w:rPr>
                <w:rFonts w:ascii="Times New Roman" w:eastAsia="仿宋"/>
                <w:szCs w:val="21"/>
              </w:rPr>
            </w:pPr>
            <w:r>
              <w:rPr>
                <w:rFonts w:hint="eastAsia" w:ascii="Times New Roman" w:eastAsia="仿宋"/>
                <w:szCs w:val="21"/>
              </w:rPr>
              <w:t>催化剂、有机物</w:t>
            </w:r>
          </w:p>
        </w:tc>
        <w:tc>
          <w:tcPr>
            <w:tcW w:w="987" w:type="dxa"/>
            <w:vAlign w:val="center"/>
          </w:tcPr>
          <w:p w14:paraId="4727B442">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010D1141">
            <w:pPr>
              <w:topLinePunct/>
              <w:adjustRightInd w:val="0"/>
              <w:snapToGrid w:val="0"/>
              <w:jc w:val="center"/>
              <w:rPr>
                <w:rFonts w:ascii="Times New Roman" w:eastAsia="仿宋"/>
                <w:szCs w:val="21"/>
              </w:rPr>
            </w:pPr>
            <w:r>
              <w:rPr>
                <w:rFonts w:hint="eastAsia" w:ascii="Times New Roman" w:eastAsia="仿宋"/>
                <w:szCs w:val="21"/>
              </w:rPr>
              <w:t>2年</w:t>
            </w:r>
          </w:p>
        </w:tc>
        <w:tc>
          <w:tcPr>
            <w:tcW w:w="851" w:type="dxa"/>
            <w:vAlign w:val="center"/>
          </w:tcPr>
          <w:p w14:paraId="145CE10F">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5DC1491F">
            <w:pPr>
              <w:topLinePunct/>
              <w:adjustRightInd w:val="0"/>
              <w:snapToGrid w:val="0"/>
              <w:jc w:val="center"/>
              <w:rPr>
                <w:rFonts w:ascii="Times New Roman" w:eastAsia="仿宋"/>
                <w:szCs w:val="21"/>
              </w:rPr>
            </w:pPr>
          </w:p>
        </w:tc>
      </w:tr>
      <w:tr w14:paraId="2EA0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4236BB2">
            <w:pPr>
              <w:topLinePunct/>
              <w:adjustRightInd w:val="0"/>
              <w:snapToGrid w:val="0"/>
              <w:jc w:val="center"/>
              <w:rPr>
                <w:rFonts w:ascii="Times New Roman" w:eastAsia="仿宋"/>
                <w:szCs w:val="21"/>
              </w:rPr>
            </w:pPr>
            <w:r>
              <w:rPr>
                <w:rFonts w:hint="eastAsia" w:ascii="Times New Roman" w:eastAsia="仿宋"/>
                <w:szCs w:val="21"/>
              </w:rPr>
              <w:t>20</w:t>
            </w:r>
          </w:p>
        </w:tc>
        <w:tc>
          <w:tcPr>
            <w:tcW w:w="1610" w:type="dxa"/>
            <w:vAlign w:val="center"/>
          </w:tcPr>
          <w:p w14:paraId="7415EB62">
            <w:pPr>
              <w:topLinePunct/>
              <w:adjustRightInd w:val="0"/>
              <w:snapToGrid w:val="0"/>
              <w:jc w:val="center"/>
              <w:rPr>
                <w:rFonts w:ascii="Times New Roman" w:eastAsia="仿宋"/>
                <w:szCs w:val="21"/>
              </w:rPr>
            </w:pPr>
            <w:r>
              <w:rPr>
                <w:rFonts w:hint="eastAsia" w:ascii="Times New Roman" w:eastAsia="仿宋"/>
                <w:szCs w:val="21"/>
              </w:rPr>
              <w:t>废活性炭</w:t>
            </w:r>
          </w:p>
        </w:tc>
        <w:tc>
          <w:tcPr>
            <w:tcW w:w="864" w:type="dxa"/>
            <w:vMerge w:val="continue"/>
            <w:vAlign w:val="center"/>
          </w:tcPr>
          <w:p w14:paraId="1FD83305">
            <w:pPr>
              <w:topLinePunct/>
              <w:adjustRightInd w:val="0"/>
              <w:snapToGrid w:val="0"/>
              <w:jc w:val="center"/>
              <w:rPr>
                <w:rFonts w:ascii="Times New Roman" w:eastAsia="仿宋"/>
                <w:szCs w:val="21"/>
              </w:rPr>
            </w:pPr>
          </w:p>
        </w:tc>
        <w:tc>
          <w:tcPr>
            <w:tcW w:w="1102" w:type="dxa"/>
            <w:vAlign w:val="center"/>
          </w:tcPr>
          <w:p w14:paraId="5D6E212E">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B775E38">
            <w:pPr>
              <w:topLinePunct/>
              <w:adjustRightInd w:val="0"/>
              <w:snapToGrid w:val="0"/>
              <w:jc w:val="center"/>
              <w:rPr>
                <w:rFonts w:ascii="Times New Roman" w:eastAsia="仿宋"/>
                <w:szCs w:val="21"/>
              </w:rPr>
            </w:pPr>
            <w:r>
              <w:rPr>
                <w:rFonts w:ascii="Times New Roman" w:eastAsia="仿宋"/>
                <w:szCs w:val="21"/>
              </w:rPr>
              <w:t>900-039-49</w:t>
            </w:r>
          </w:p>
        </w:tc>
        <w:tc>
          <w:tcPr>
            <w:tcW w:w="849" w:type="dxa"/>
            <w:vAlign w:val="center"/>
          </w:tcPr>
          <w:p w14:paraId="69D7411D">
            <w:pPr>
              <w:topLinePunct/>
              <w:adjustRightInd w:val="0"/>
              <w:snapToGrid w:val="0"/>
              <w:jc w:val="center"/>
              <w:rPr>
                <w:rFonts w:ascii="Times New Roman" w:eastAsia="仿宋"/>
                <w:szCs w:val="21"/>
              </w:rPr>
            </w:pPr>
            <w:r>
              <w:rPr>
                <w:rFonts w:ascii="Times New Roman" w:eastAsia="仿宋"/>
                <w:szCs w:val="21"/>
              </w:rPr>
              <w:t>8.2</w:t>
            </w:r>
          </w:p>
        </w:tc>
        <w:tc>
          <w:tcPr>
            <w:tcW w:w="1350" w:type="dxa"/>
            <w:vAlign w:val="center"/>
          </w:tcPr>
          <w:p w14:paraId="5978B5A8">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62E1676B">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339E436">
            <w:pPr>
              <w:topLinePunct/>
              <w:adjustRightInd w:val="0"/>
              <w:snapToGrid w:val="0"/>
              <w:jc w:val="center"/>
              <w:rPr>
                <w:rFonts w:ascii="Times New Roman" w:eastAsia="仿宋"/>
                <w:szCs w:val="21"/>
              </w:rPr>
            </w:pPr>
            <w:r>
              <w:rPr>
                <w:rFonts w:hint="eastAsia" w:ascii="Times New Roman" w:eastAsia="仿宋"/>
                <w:szCs w:val="21"/>
              </w:rPr>
              <w:t>活性炭、有机物</w:t>
            </w:r>
          </w:p>
        </w:tc>
        <w:tc>
          <w:tcPr>
            <w:tcW w:w="987" w:type="dxa"/>
            <w:vAlign w:val="center"/>
          </w:tcPr>
          <w:p w14:paraId="4F2B2FF3">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7C6E7944">
            <w:pPr>
              <w:topLinePunct/>
              <w:adjustRightInd w:val="0"/>
              <w:snapToGrid w:val="0"/>
              <w:jc w:val="center"/>
              <w:rPr>
                <w:rFonts w:ascii="Times New Roman" w:eastAsia="仿宋"/>
                <w:szCs w:val="21"/>
              </w:rPr>
            </w:pPr>
            <w:r>
              <w:rPr>
                <w:rFonts w:ascii="Times New Roman" w:eastAsia="仿宋"/>
                <w:szCs w:val="21"/>
              </w:rPr>
              <w:t>2</w:t>
            </w:r>
            <w:r>
              <w:rPr>
                <w:rFonts w:hint="eastAsia" w:ascii="Times New Roman" w:eastAsia="仿宋"/>
                <w:szCs w:val="21"/>
              </w:rPr>
              <w:t>年</w:t>
            </w:r>
          </w:p>
        </w:tc>
        <w:tc>
          <w:tcPr>
            <w:tcW w:w="851" w:type="dxa"/>
            <w:vAlign w:val="center"/>
          </w:tcPr>
          <w:p w14:paraId="59D96F80">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005ECE21">
            <w:pPr>
              <w:topLinePunct/>
              <w:adjustRightInd w:val="0"/>
              <w:snapToGrid w:val="0"/>
              <w:jc w:val="center"/>
              <w:rPr>
                <w:rFonts w:ascii="Times New Roman" w:eastAsia="仿宋"/>
                <w:szCs w:val="21"/>
              </w:rPr>
            </w:pPr>
          </w:p>
        </w:tc>
      </w:tr>
      <w:tr w14:paraId="095C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5159B78">
            <w:pPr>
              <w:topLinePunct/>
              <w:adjustRightInd w:val="0"/>
              <w:snapToGrid w:val="0"/>
              <w:jc w:val="center"/>
              <w:rPr>
                <w:rFonts w:ascii="Times New Roman" w:eastAsia="仿宋"/>
                <w:szCs w:val="21"/>
              </w:rPr>
            </w:pPr>
            <w:r>
              <w:rPr>
                <w:rFonts w:hint="eastAsia" w:ascii="Times New Roman" w:eastAsia="仿宋"/>
                <w:szCs w:val="21"/>
              </w:rPr>
              <w:t>21</w:t>
            </w:r>
          </w:p>
        </w:tc>
        <w:tc>
          <w:tcPr>
            <w:tcW w:w="1610" w:type="dxa"/>
            <w:vAlign w:val="center"/>
          </w:tcPr>
          <w:p w14:paraId="44433130">
            <w:pPr>
              <w:topLinePunct/>
              <w:adjustRightInd w:val="0"/>
              <w:snapToGrid w:val="0"/>
              <w:jc w:val="center"/>
              <w:rPr>
                <w:rFonts w:ascii="Times New Roman" w:eastAsia="仿宋"/>
                <w:szCs w:val="21"/>
              </w:rPr>
            </w:pPr>
            <w:r>
              <w:rPr>
                <w:rFonts w:hint="eastAsia" w:ascii="Times New Roman" w:eastAsia="仿宋"/>
                <w:szCs w:val="21"/>
              </w:rPr>
              <w:t>污泥</w:t>
            </w:r>
          </w:p>
        </w:tc>
        <w:tc>
          <w:tcPr>
            <w:tcW w:w="864" w:type="dxa"/>
            <w:vMerge w:val="continue"/>
            <w:vAlign w:val="center"/>
          </w:tcPr>
          <w:p w14:paraId="5126A5E3">
            <w:pPr>
              <w:topLinePunct/>
              <w:adjustRightInd w:val="0"/>
              <w:snapToGrid w:val="0"/>
              <w:jc w:val="center"/>
              <w:rPr>
                <w:rFonts w:ascii="Times New Roman" w:eastAsia="仿宋"/>
                <w:szCs w:val="21"/>
              </w:rPr>
            </w:pPr>
          </w:p>
        </w:tc>
        <w:tc>
          <w:tcPr>
            <w:tcW w:w="1102" w:type="dxa"/>
            <w:vAlign w:val="center"/>
          </w:tcPr>
          <w:p w14:paraId="397AFFB1">
            <w:pPr>
              <w:topLinePunct/>
              <w:adjustRightInd w:val="0"/>
              <w:snapToGrid w:val="0"/>
              <w:jc w:val="center"/>
              <w:rPr>
                <w:rFonts w:ascii="Times New Roman" w:eastAsia="仿宋"/>
                <w:szCs w:val="21"/>
              </w:rPr>
            </w:pPr>
            <w:r>
              <w:rPr>
                <w:rFonts w:hint="eastAsia" w:ascii="Times New Roman" w:eastAsia="仿宋"/>
                <w:szCs w:val="21"/>
              </w:rPr>
              <w:t>HW08</w:t>
            </w:r>
          </w:p>
        </w:tc>
        <w:tc>
          <w:tcPr>
            <w:tcW w:w="1634" w:type="dxa"/>
            <w:vAlign w:val="center"/>
          </w:tcPr>
          <w:p w14:paraId="0B4BEDF6">
            <w:pPr>
              <w:topLinePunct/>
              <w:adjustRightInd w:val="0"/>
              <w:snapToGrid w:val="0"/>
              <w:jc w:val="center"/>
              <w:rPr>
                <w:rFonts w:ascii="Times New Roman" w:eastAsia="仿宋"/>
                <w:szCs w:val="21"/>
              </w:rPr>
            </w:pPr>
            <w:r>
              <w:rPr>
                <w:rFonts w:hint="eastAsia" w:ascii="Times New Roman" w:eastAsia="仿宋"/>
                <w:szCs w:val="21"/>
              </w:rPr>
              <w:t>900-210-08</w:t>
            </w:r>
          </w:p>
        </w:tc>
        <w:tc>
          <w:tcPr>
            <w:tcW w:w="849" w:type="dxa"/>
            <w:vAlign w:val="center"/>
          </w:tcPr>
          <w:p w14:paraId="645B7DE3">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350" w:type="dxa"/>
            <w:vAlign w:val="center"/>
          </w:tcPr>
          <w:p w14:paraId="6B44E240">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6461CAA3">
            <w:pPr>
              <w:topLinePunct/>
              <w:adjustRightInd w:val="0"/>
              <w:snapToGrid w:val="0"/>
              <w:jc w:val="center"/>
              <w:rPr>
                <w:rFonts w:ascii="Times New Roman" w:eastAsia="仿宋"/>
                <w:szCs w:val="21"/>
              </w:rPr>
            </w:pPr>
            <w:r>
              <w:rPr>
                <w:rFonts w:hint="eastAsia" w:ascii="Times New Roman" w:eastAsia="仿宋"/>
                <w:szCs w:val="21"/>
              </w:rPr>
              <w:t>半固态</w:t>
            </w:r>
          </w:p>
        </w:tc>
        <w:tc>
          <w:tcPr>
            <w:tcW w:w="1170" w:type="dxa"/>
            <w:vAlign w:val="center"/>
          </w:tcPr>
          <w:p w14:paraId="787E08F1">
            <w:pPr>
              <w:topLinePunct/>
              <w:adjustRightInd w:val="0"/>
              <w:snapToGrid w:val="0"/>
              <w:jc w:val="center"/>
              <w:rPr>
                <w:rFonts w:ascii="Times New Roman" w:eastAsia="仿宋"/>
                <w:szCs w:val="21"/>
              </w:rPr>
            </w:pPr>
            <w:r>
              <w:rPr>
                <w:rFonts w:hint="eastAsia" w:ascii="Times New Roman" w:eastAsia="仿宋"/>
                <w:szCs w:val="21"/>
              </w:rPr>
              <w:t>矿物油、杂质</w:t>
            </w:r>
          </w:p>
        </w:tc>
        <w:tc>
          <w:tcPr>
            <w:tcW w:w="987" w:type="dxa"/>
            <w:vAlign w:val="center"/>
          </w:tcPr>
          <w:p w14:paraId="2C9E1E4E">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58526014">
            <w:pPr>
              <w:topLinePunct/>
              <w:adjustRightInd w:val="0"/>
              <w:snapToGrid w:val="0"/>
              <w:jc w:val="center"/>
              <w:rPr>
                <w:rFonts w:ascii="Times New Roman" w:eastAsia="仿宋"/>
                <w:szCs w:val="21"/>
              </w:rPr>
            </w:pPr>
            <w:r>
              <w:rPr>
                <w:rFonts w:hint="eastAsia" w:ascii="Times New Roman" w:eastAsia="仿宋"/>
                <w:szCs w:val="21"/>
              </w:rPr>
              <w:t>1天</w:t>
            </w:r>
          </w:p>
        </w:tc>
        <w:tc>
          <w:tcPr>
            <w:tcW w:w="851" w:type="dxa"/>
            <w:vAlign w:val="center"/>
          </w:tcPr>
          <w:p w14:paraId="36186874">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563CE179">
            <w:pPr>
              <w:topLinePunct/>
              <w:adjustRightInd w:val="0"/>
              <w:snapToGrid w:val="0"/>
              <w:jc w:val="center"/>
              <w:rPr>
                <w:rFonts w:ascii="Times New Roman" w:eastAsia="仿宋"/>
                <w:szCs w:val="21"/>
              </w:rPr>
            </w:pPr>
          </w:p>
        </w:tc>
      </w:tr>
      <w:tr w14:paraId="187A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977A153">
            <w:pPr>
              <w:topLinePunct/>
              <w:adjustRightInd w:val="0"/>
              <w:snapToGrid w:val="0"/>
              <w:jc w:val="center"/>
              <w:rPr>
                <w:rFonts w:ascii="Times New Roman" w:eastAsia="仿宋"/>
                <w:szCs w:val="21"/>
              </w:rPr>
            </w:pPr>
            <w:r>
              <w:rPr>
                <w:rFonts w:hint="eastAsia" w:ascii="Times New Roman" w:eastAsia="仿宋"/>
                <w:szCs w:val="21"/>
              </w:rPr>
              <w:t>22</w:t>
            </w:r>
          </w:p>
        </w:tc>
        <w:tc>
          <w:tcPr>
            <w:tcW w:w="1610" w:type="dxa"/>
            <w:vAlign w:val="center"/>
          </w:tcPr>
          <w:p w14:paraId="4B6A45A7">
            <w:pPr>
              <w:topLinePunct/>
              <w:adjustRightInd w:val="0"/>
              <w:snapToGrid w:val="0"/>
              <w:jc w:val="center"/>
              <w:rPr>
                <w:rFonts w:ascii="Times New Roman" w:eastAsia="仿宋"/>
                <w:szCs w:val="21"/>
              </w:rPr>
            </w:pPr>
            <w:r>
              <w:rPr>
                <w:rFonts w:hint="eastAsia" w:ascii="Times New Roman" w:eastAsia="仿宋"/>
                <w:szCs w:val="21"/>
              </w:rPr>
              <w:t>废过滤棉</w:t>
            </w:r>
          </w:p>
        </w:tc>
        <w:tc>
          <w:tcPr>
            <w:tcW w:w="864" w:type="dxa"/>
            <w:vMerge w:val="continue"/>
            <w:vAlign w:val="center"/>
          </w:tcPr>
          <w:p w14:paraId="44DF758C">
            <w:pPr>
              <w:topLinePunct/>
              <w:adjustRightInd w:val="0"/>
              <w:snapToGrid w:val="0"/>
              <w:jc w:val="center"/>
              <w:rPr>
                <w:rFonts w:ascii="Times New Roman" w:eastAsia="仿宋"/>
                <w:szCs w:val="21"/>
              </w:rPr>
            </w:pPr>
          </w:p>
        </w:tc>
        <w:tc>
          <w:tcPr>
            <w:tcW w:w="1102" w:type="dxa"/>
            <w:vAlign w:val="center"/>
          </w:tcPr>
          <w:p w14:paraId="13DFE32E">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1FB0E5F">
            <w:pPr>
              <w:topLinePunct/>
              <w:adjustRightInd w:val="0"/>
              <w:snapToGrid w:val="0"/>
              <w:jc w:val="center"/>
              <w:rPr>
                <w:rFonts w:ascii="Times New Roman" w:eastAsia="仿宋"/>
                <w:szCs w:val="21"/>
              </w:rPr>
            </w:pPr>
            <w:r>
              <w:rPr>
                <w:rFonts w:ascii="Times New Roman" w:eastAsia="仿宋"/>
                <w:szCs w:val="21"/>
              </w:rPr>
              <w:t>900-0</w:t>
            </w:r>
            <w:r>
              <w:rPr>
                <w:rFonts w:hint="eastAsia" w:ascii="Times New Roman" w:eastAsia="仿宋"/>
                <w:szCs w:val="21"/>
              </w:rPr>
              <w:t>41</w:t>
            </w:r>
            <w:r>
              <w:rPr>
                <w:rFonts w:ascii="Times New Roman" w:eastAsia="仿宋"/>
                <w:szCs w:val="21"/>
              </w:rPr>
              <w:t>-49</w:t>
            </w:r>
          </w:p>
        </w:tc>
        <w:tc>
          <w:tcPr>
            <w:tcW w:w="849" w:type="dxa"/>
            <w:vAlign w:val="center"/>
          </w:tcPr>
          <w:p w14:paraId="7CC20D48">
            <w:pPr>
              <w:topLinePunct/>
              <w:adjustRightInd w:val="0"/>
              <w:snapToGrid w:val="0"/>
              <w:jc w:val="center"/>
              <w:rPr>
                <w:rFonts w:ascii="Times New Roman" w:eastAsia="仿宋"/>
                <w:szCs w:val="21"/>
              </w:rPr>
            </w:pPr>
            <w:r>
              <w:rPr>
                <w:rFonts w:hint="eastAsia" w:ascii="Times New Roman" w:eastAsia="仿宋"/>
                <w:szCs w:val="21"/>
              </w:rPr>
              <w:t>3</w:t>
            </w:r>
          </w:p>
        </w:tc>
        <w:tc>
          <w:tcPr>
            <w:tcW w:w="1350" w:type="dxa"/>
            <w:vAlign w:val="center"/>
          </w:tcPr>
          <w:p w14:paraId="55098AA6">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19DCAFBA">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6EDC8E62">
            <w:pPr>
              <w:topLinePunct/>
              <w:adjustRightInd w:val="0"/>
              <w:snapToGrid w:val="0"/>
              <w:jc w:val="center"/>
              <w:rPr>
                <w:rFonts w:ascii="Times New Roman" w:eastAsia="仿宋"/>
                <w:szCs w:val="21"/>
              </w:rPr>
            </w:pPr>
            <w:r>
              <w:rPr>
                <w:rFonts w:hint="eastAsia" w:ascii="Times New Roman" w:eastAsia="仿宋"/>
                <w:szCs w:val="21"/>
              </w:rPr>
              <w:t>棉花、有机物</w:t>
            </w:r>
          </w:p>
        </w:tc>
        <w:tc>
          <w:tcPr>
            <w:tcW w:w="987" w:type="dxa"/>
            <w:vAlign w:val="center"/>
          </w:tcPr>
          <w:p w14:paraId="4EE2E811">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436E7363">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06330B9E">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0A4A08EB">
            <w:pPr>
              <w:topLinePunct/>
              <w:adjustRightInd w:val="0"/>
              <w:snapToGrid w:val="0"/>
              <w:jc w:val="center"/>
              <w:rPr>
                <w:rFonts w:ascii="Times New Roman" w:eastAsia="仿宋"/>
                <w:szCs w:val="21"/>
              </w:rPr>
            </w:pPr>
          </w:p>
        </w:tc>
      </w:tr>
      <w:tr w14:paraId="2372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E0D30F5">
            <w:pPr>
              <w:topLinePunct/>
              <w:adjustRightInd w:val="0"/>
              <w:snapToGrid w:val="0"/>
              <w:jc w:val="center"/>
              <w:rPr>
                <w:rFonts w:ascii="Times New Roman" w:eastAsia="仿宋"/>
                <w:szCs w:val="21"/>
              </w:rPr>
            </w:pPr>
            <w:r>
              <w:rPr>
                <w:rFonts w:hint="eastAsia" w:ascii="Times New Roman" w:eastAsia="仿宋"/>
                <w:szCs w:val="21"/>
              </w:rPr>
              <w:t>23</w:t>
            </w:r>
          </w:p>
        </w:tc>
        <w:tc>
          <w:tcPr>
            <w:tcW w:w="1610" w:type="dxa"/>
            <w:vAlign w:val="center"/>
          </w:tcPr>
          <w:p w14:paraId="5F5CB857">
            <w:pPr>
              <w:topLinePunct/>
              <w:adjustRightInd w:val="0"/>
              <w:snapToGrid w:val="0"/>
              <w:jc w:val="center"/>
              <w:rPr>
                <w:rFonts w:ascii="Times New Roman" w:eastAsia="仿宋"/>
                <w:szCs w:val="21"/>
              </w:rPr>
            </w:pPr>
            <w:r>
              <w:rPr>
                <w:rFonts w:hint="eastAsia" w:ascii="Times New Roman" w:eastAsia="仿宋"/>
                <w:szCs w:val="21"/>
              </w:rPr>
              <w:t>废过滤介质</w:t>
            </w:r>
          </w:p>
        </w:tc>
        <w:tc>
          <w:tcPr>
            <w:tcW w:w="864" w:type="dxa"/>
            <w:vMerge w:val="continue"/>
            <w:vAlign w:val="center"/>
          </w:tcPr>
          <w:p w14:paraId="6E264AFA">
            <w:pPr>
              <w:topLinePunct/>
              <w:adjustRightInd w:val="0"/>
              <w:snapToGrid w:val="0"/>
              <w:jc w:val="center"/>
              <w:rPr>
                <w:rFonts w:ascii="Times New Roman" w:eastAsia="仿宋"/>
                <w:szCs w:val="21"/>
              </w:rPr>
            </w:pPr>
          </w:p>
        </w:tc>
        <w:tc>
          <w:tcPr>
            <w:tcW w:w="1102" w:type="dxa"/>
            <w:vAlign w:val="center"/>
          </w:tcPr>
          <w:p w14:paraId="3A60B09C">
            <w:pPr>
              <w:topLinePunct/>
              <w:adjustRightInd w:val="0"/>
              <w:snapToGrid w:val="0"/>
              <w:jc w:val="center"/>
              <w:rPr>
                <w:rFonts w:ascii="Times New Roman" w:eastAsia="仿宋"/>
                <w:szCs w:val="21"/>
              </w:rPr>
            </w:pPr>
            <w:r>
              <w:rPr>
                <w:rFonts w:hint="eastAsia" w:ascii="Times New Roman" w:eastAsia="仿宋"/>
                <w:szCs w:val="21"/>
              </w:rPr>
              <w:t>HW13</w:t>
            </w:r>
          </w:p>
        </w:tc>
        <w:tc>
          <w:tcPr>
            <w:tcW w:w="1634" w:type="dxa"/>
            <w:vAlign w:val="center"/>
          </w:tcPr>
          <w:p w14:paraId="5055D28A">
            <w:pPr>
              <w:topLinePunct/>
              <w:adjustRightInd w:val="0"/>
              <w:snapToGrid w:val="0"/>
              <w:jc w:val="center"/>
              <w:rPr>
                <w:rFonts w:ascii="Times New Roman" w:eastAsia="仿宋"/>
                <w:szCs w:val="21"/>
              </w:rPr>
            </w:pPr>
            <w:r>
              <w:rPr>
                <w:rFonts w:hint="eastAsia" w:ascii="Times New Roman" w:eastAsia="仿宋"/>
                <w:szCs w:val="21"/>
              </w:rPr>
              <w:t>900-015-13</w:t>
            </w:r>
          </w:p>
        </w:tc>
        <w:tc>
          <w:tcPr>
            <w:tcW w:w="849" w:type="dxa"/>
            <w:vAlign w:val="center"/>
          </w:tcPr>
          <w:p w14:paraId="4AAD6B40">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3</w:t>
            </w:r>
            <w:r>
              <w:rPr>
                <w:rFonts w:hint="eastAsia" w:ascii="Times New Roman" w:eastAsia="仿宋"/>
                <w:szCs w:val="21"/>
              </w:rPr>
              <w:t>t/3a</w:t>
            </w:r>
          </w:p>
        </w:tc>
        <w:tc>
          <w:tcPr>
            <w:tcW w:w="1350" w:type="dxa"/>
            <w:vAlign w:val="center"/>
          </w:tcPr>
          <w:p w14:paraId="199953B8">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54F74388">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1B4413C">
            <w:pPr>
              <w:topLinePunct/>
              <w:adjustRightInd w:val="0"/>
              <w:snapToGrid w:val="0"/>
              <w:jc w:val="center"/>
              <w:rPr>
                <w:rFonts w:ascii="Times New Roman" w:eastAsia="仿宋"/>
                <w:szCs w:val="21"/>
              </w:rPr>
            </w:pPr>
            <w:r>
              <w:rPr>
                <w:rFonts w:hint="eastAsia" w:ascii="Times New Roman" w:eastAsia="仿宋"/>
                <w:szCs w:val="21"/>
              </w:rPr>
              <w:t>有机物等</w:t>
            </w:r>
          </w:p>
        </w:tc>
        <w:tc>
          <w:tcPr>
            <w:tcW w:w="987" w:type="dxa"/>
            <w:vAlign w:val="center"/>
          </w:tcPr>
          <w:p w14:paraId="35798217">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7135E2A0">
            <w:pPr>
              <w:topLinePunct/>
              <w:adjustRightInd w:val="0"/>
              <w:snapToGrid w:val="0"/>
              <w:jc w:val="center"/>
              <w:rPr>
                <w:rFonts w:ascii="Times New Roman" w:eastAsia="仿宋"/>
                <w:szCs w:val="21"/>
              </w:rPr>
            </w:pPr>
            <w:r>
              <w:rPr>
                <w:rFonts w:hint="eastAsia" w:ascii="Times New Roman" w:eastAsia="仿宋"/>
                <w:szCs w:val="21"/>
              </w:rPr>
              <w:t>3年</w:t>
            </w:r>
          </w:p>
        </w:tc>
        <w:tc>
          <w:tcPr>
            <w:tcW w:w="851" w:type="dxa"/>
            <w:vAlign w:val="center"/>
          </w:tcPr>
          <w:p w14:paraId="25A68B5F">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4AFABCBD">
            <w:pPr>
              <w:topLinePunct/>
              <w:adjustRightInd w:val="0"/>
              <w:snapToGrid w:val="0"/>
              <w:jc w:val="center"/>
              <w:rPr>
                <w:rFonts w:ascii="Times New Roman" w:eastAsia="仿宋"/>
                <w:szCs w:val="21"/>
              </w:rPr>
            </w:pPr>
          </w:p>
        </w:tc>
      </w:tr>
    </w:tbl>
    <w:p w14:paraId="13B81C57">
      <w:pPr>
        <w:pStyle w:val="168"/>
        <w:ind w:firstLine="0" w:firstLineChars="0"/>
        <w:rPr>
          <w:rFonts w:ascii="Times New Roman" w:eastAsia="仿宋"/>
        </w:rPr>
      </w:pPr>
    </w:p>
    <w:p w14:paraId="089AC45A">
      <w:pPr>
        <w:pStyle w:val="22"/>
        <w:ind w:firstLine="0" w:firstLineChars="0"/>
        <w:rPr>
          <w:rFonts w:eastAsia="仿宋"/>
          <w:b/>
          <w:bCs/>
          <w:szCs w:val="28"/>
        </w:rPr>
        <w:sectPr>
          <w:pgSz w:w="16840" w:h="11907" w:orient="landscape"/>
          <w:pgMar w:top="1797" w:right="1440" w:bottom="1797" w:left="1440" w:header="851" w:footer="992" w:gutter="0"/>
          <w:cols w:space="720" w:num="1"/>
          <w:docGrid w:linePitch="312" w:charSpace="0"/>
        </w:sectPr>
      </w:pP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14:paraId="5CCD56C7">
      <w:pPr>
        <w:pStyle w:val="5"/>
        <w:numPr>
          <w:ilvl w:val="0"/>
          <w:numId w:val="0"/>
        </w:numPr>
        <w:rPr>
          <w:rFonts w:eastAsia="仿宋"/>
          <w:color w:val="auto"/>
        </w:rPr>
      </w:pPr>
      <w:bookmarkStart w:id="222" w:name="_Toc182553812"/>
      <w:bookmarkStart w:id="223" w:name="_Toc107787856"/>
      <w:r>
        <w:rPr>
          <w:rFonts w:eastAsia="仿宋"/>
          <w:color w:val="auto"/>
        </w:rPr>
        <w:t>3.</w:t>
      </w:r>
      <w:r>
        <w:rPr>
          <w:rFonts w:hint="eastAsia" w:eastAsia="仿宋"/>
          <w:color w:val="auto"/>
        </w:rPr>
        <w:t>3</w:t>
      </w:r>
      <w:r>
        <w:rPr>
          <w:rFonts w:eastAsia="仿宋"/>
          <w:color w:val="auto"/>
        </w:rPr>
        <w:t>风险因素识别</w:t>
      </w:r>
      <w:bookmarkEnd w:id="222"/>
    </w:p>
    <w:p w14:paraId="6C43F3BE">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3</w:t>
      </w:r>
      <w:r>
        <w:rPr>
          <w:rFonts w:ascii="Times New Roman" w:eastAsia="仿宋"/>
          <w:sz w:val="28"/>
          <w:szCs w:val="28"/>
        </w:rPr>
        <w:t>.1物质危险性识别</w:t>
      </w:r>
    </w:p>
    <w:p w14:paraId="3B9E1353">
      <w:pPr>
        <w:spacing w:line="500" w:lineRule="exact"/>
        <w:ind w:firstLine="560" w:firstLineChars="200"/>
        <w:rPr>
          <w:rFonts w:ascii="Times New Roman" w:eastAsia="仿宋"/>
          <w:sz w:val="28"/>
          <w:szCs w:val="28"/>
        </w:rPr>
      </w:pPr>
      <w:r>
        <w:rPr>
          <w:rFonts w:ascii="Times New Roman" w:eastAsia="仿宋"/>
          <w:sz w:val="28"/>
          <w:szCs w:val="28"/>
        </w:rPr>
        <w:t>根据本项目涉及的原辅材料理化性质、毒性、燃烧爆炸性数据判断物质危险性，其中重点关注《建设项目环境风险评价技术导则》（HJ 169-2018）附录B.1中的危险物质；其他物质危险性判定：</w:t>
      </w:r>
      <w:r>
        <w:rPr>
          <w:rFonts w:hint="eastAsia" w:ascii="Times New Roman" w:eastAsia="仿宋"/>
          <w:sz w:val="28"/>
          <w:szCs w:val="28"/>
        </w:rPr>
        <w:t>①</w:t>
      </w:r>
      <w:r>
        <w:rPr>
          <w:rFonts w:ascii="Times New Roman" w:eastAsia="仿宋"/>
          <w:sz w:val="28"/>
          <w:szCs w:val="28"/>
        </w:rPr>
        <w:t>健康危害急性毒性物质分类依据《化学品分类和标签规范 第18部分：急性毒性》（GB 30000.18-2013），见下表，</w:t>
      </w:r>
      <w:r>
        <w:rPr>
          <w:rFonts w:hint="eastAsia" w:ascii="Times New Roman" w:eastAsia="仿宋"/>
          <w:sz w:val="28"/>
          <w:szCs w:val="28"/>
        </w:rPr>
        <w:t>②</w:t>
      </w:r>
      <w:r>
        <w:rPr>
          <w:rFonts w:ascii="Times New Roman" w:eastAsia="仿宋"/>
          <w:sz w:val="28"/>
          <w:szCs w:val="28"/>
        </w:rPr>
        <w:t>危害水环境物质分类依据《化学品分类和标签规范 第28部分：对水生环境的危害》（GB 30000.28-2013）。</w:t>
      </w:r>
    </w:p>
    <w:p w14:paraId="667C9C76">
      <w:pPr>
        <w:spacing w:line="500" w:lineRule="exact"/>
        <w:jc w:val="center"/>
        <w:rPr>
          <w:rFonts w:ascii="Times New Roman" w:eastAsia="仿宋"/>
          <w:b/>
          <w:bCs/>
        </w:rPr>
      </w:pPr>
      <w:r>
        <w:rPr>
          <w:rFonts w:ascii="Times New Roman" w:eastAsia="仿宋"/>
          <w:b/>
          <w:bCs/>
        </w:rPr>
        <w:t>表</w:t>
      </w:r>
      <w:r>
        <w:rPr>
          <w:rFonts w:hint="eastAsia" w:ascii="Times New Roman" w:eastAsia="仿宋"/>
          <w:b/>
          <w:bCs/>
        </w:rPr>
        <w:t>3</w:t>
      </w:r>
      <w:r>
        <w:rPr>
          <w:rFonts w:ascii="Times New Roman" w:eastAsia="仿宋"/>
          <w:b/>
          <w:bCs/>
        </w:rPr>
        <w:t>.3-1  急性毒性危害分类及急性毒性估计值（ATE）</w:t>
      </w:r>
    </w:p>
    <w:tbl>
      <w:tblPr>
        <w:tblStyle w:val="87"/>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329"/>
        <w:gridCol w:w="1144"/>
        <w:gridCol w:w="1144"/>
        <w:gridCol w:w="1144"/>
        <w:gridCol w:w="1144"/>
        <w:gridCol w:w="1074"/>
      </w:tblGrid>
      <w:tr w14:paraId="4CC7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31054AA9">
            <w:pPr>
              <w:jc w:val="center"/>
              <w:rPr>
                <w:rFonts w:ascii="Times New Roman" w:eastAsia="仿宋"/>
                <w:sz w:val="21"/>
                <w:szCs w:val="21"/>
              </w:rPr>
            </w:pPr>
            <w:r>
              <w:rPr>
                <w:rFonts w:ascii="Times New Roman" w:eastAsia="仿宋"/>
                <w:sz w:val="21"/>
                <w:szCs w:val="21"/>
              </w:rPr>
              <w:t>接触途径</w:t>
            </w:r>
          </w:p>
        </w:tc>
        <w:tc>
          <w:tcPr>
            <w:tcW w:w="1329" w:type="dxa"/>
            <w:vAlign w:val="center"/>
          </w:tcPr>
          <w:p w14:paraId="1B5120E8">
            <w:pPr>
              <w:jc w:val="center"/>
              <w:rPr>
                <w:rFonts w:ascii="Times New Roman" w:eastAsia="仿宋"/>
                <w:sz w:val="21"/>
                <w:szCs w:val="21"/>
              </w:rPr>
            </w:pPr>
            <w:r>
              <w:rPr>
                <w:rFonts w:ascii="Times New Roman" w:eastAsia="仿宋"/>
                <w:sz w:val="21"/>
                <w:szCs w:val="21"/>
              </w:rPr>
              <w:t>单位</w:t>
            </w:r>
          </w:p>
        </w:tc>
        <w:tc>
          <w:tcPr>
            <w:tcW w:w="1144" w:type="dxa"/>
            <w:vAlign w:val="center"/>
          </w:tcPr>
          <w:p w14:paraId="7CE932AA">
            <w:pPr>
              <w:jc w:val="center"/>
              <w:rPr>
                <w:rFonts w:ascii="Times New Roman" w:eastAsia="仿宋"/>
                <w:sz w:val="21"/>
                <w:szCs w:val="21"/>
              </w:rPr>
            </w:pPr>
            <w:r>
              <w:rPr>
                <w:rFonts w:ascii="Times New Roman" w:eastAsia="仿宋"/>
                <w:sz w:val="21"/>
                <w:szCs w:val="21"/>
              </w:rPr>
              <w:t>类别1</w:t>
            </w:r>
          </w:p>
        </w:tc>
        <w:tc>
          <w:tcPr>
            <w:tcW w:w="1144" w:type="dxa"/>
            <w:vAlign w:val="center"/>
          </w:tcPr>
          <w:p w14:paraId="6D56D876">
            <w:pPr>
              <w:jc w:val="center"/>
              <w:rPr>
                <w:rFonts w:ascii="Times New Roman" w:eastAsia="仿宋"/>
                <w:sz w:val="21"/>
                <w:szCs w:val="21"/>
              </w:rPr>
            </w:pPr>
            <w:r>
              <w:rPr>
                <w:rFonts w:ascii="Times New Roman" w:eastAsia="仿宋"/>
                <w:sz w:val="21"/>
                <w:szCs w:val="21"/>
              </w:rPr>
              <w:t>类别2</w:t>
            </w:r>
          </w:p>
        </w:tc>
        <w:tc>
          <w:tcPr>
            <w:tcW w:w="1144" w:type="dxa"/>
            <w:vAlign w:val="center"/>
          </w:tcPr>
          <w:p w14:paraId="590ABDB3">
            <w:pPr>
              <w:jc w:val="center"/>
              <w:rPr>
                <w:rFonts w:ascii="Times New Roman" w:eastAsia="仿宋"/>
                <w:sz w:val="21"/>
                <w:szCs w:val="21"/>
              </w:rPr>
            </w:pPr>
            <w:r>
              <w:rPr>
                <w:rFonts w:ascii="Times New Roman" w:eastAsia="仿宋"/>
                <w:sz w:val="21"/>
                <w:szCs w:val="21"/>
              </w:rPr>
              <w:t>类别3</w:t>
            </w:r>
          </w:p>
        </w:tc>
        <w:tc>
          <w:tcPr>
            <w:tcW w:w="1144" w:type="dxa"/>
            <w:vAlign w:val="center"/>
          </w:tcPr>
          <w:p w14:paraId="7B8FB109">
            <w:pPr>
              <w:jc w:val="center"/>
              <w:rPr>
                <w:rFonts w:ascii="Times New Roman" w:eastAsia="仿宋"/>
                <w:sz w:val="21"/>
                <w:szCs w:val="21"/>
              </w:rPr>
            </w:pPr>
            <w:r>
              <w:rPr>
                <w:rFonts w:ascii="Times New Roman" w:eastAsia="仿宋"/>
                <w:sz w:val="21"/>
                <w:szCs w:val="21"/>
              </w:rPr>
              <w:t>类别4</w:t>
            </w:r>
          </w:p>
        </w:tc>
        <w:tc>
          <w:tcPr>
            <w:tcW w:w="1074" w:type="dxa"/>
            <w:vAlign w:val="center"/>
          </w:tcPr>
          <w:p w14:paraId="1B62B828">
            <w:pPr>
              <w:jc w:val="center"/>
              <w:rPr>
                <w:rFonts w:ascii="Times New Roman" w:eastAsia="仿宋"/>
                <w:sz w:val="21"/>
                <w:szCs w:val="21"/>
              </w:rPr>
            </w:pPr>
            <w:r>
              <w:rPr>
                <w:rFonts w:ascii="Times New Roman" w:eastAsia="仿宋"/>
                <w:sz w:val="21"/>
                <w:szCs w:val="21"/>
              </w:rPr>
              <w:t>类别5</w:t>
            </w:r>
          </w:p>
        </w:tc>
      </w:tr>
      <w:tr w14:paraId="5E36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4EC38196">
            <w:pPr>
              <w:jc w:val="center"/>
              <w:rPr>
                <w:rFonts w:ascii="Times New Roman" w:eastAsia="仿宋"/>
                <w:sz w:val="21"/>
                <w:szCs w:val="21"/>
              </w:rPr>
            </w:pPr>
            <w:r>
              <w:rPr>
                <w:rFonts w:ascii="Times New Roman" w:eastAsia="仿宋"/>
                <w:sz w:val="21"/>
                <w:szCs w:val="21"/>
              </w:rPr>
              <w:t>经口</w:t>
            </w:r>
          </w:p>
        </w:tc>
        <w:tc>
          <w:tcPr>
            <w:tcW w:w="1329" w:type="dxa"/>
            <w:vAlign w:val="center"/>
          </w:tcPr>
          <w:p w14:paraId="46CE9CDA">
            <w:pPr>
              <w:jc w:val="center"/>
              <w:rPr>
                <w:rFonts w:ascii="Times New Roman" w:eastAsia="仿宋"/>
                <w:sz w:val="21"/>
                <w:szCs w:val="21"/>
              </w:rPr>
            </w:pPr>
            <w:r>
              <w:rPr>
                <w:rFonts w:ascii="Times New Roman" w:eastAsia="仿宋"/>
                <w:sz w:val="21"/>
                <w:szCs w:val="21"/>
              </w:rPr>
              <w:t>mg/kg</w:t>
            </w:r>
          </w:p>
        </w:tc>
        <w:tc>
          <w:tcPr>
            <w:tcW w:w="1144" w:type="dxa"/>
            <w:vAlign w:val="center"/>
          </w:tcPr>
          <w:p w14:paraId="0BF898F5">
            <w:pPr>
              <w:jc w:val="center"/>
              <w:rPr>
                <w:rFonts w:ascii="Times New Roman" w:eastAsia="仿宋"/>
                <w:sz w:val="21"/>
                <w:szCs w:val="21"/>
              </w:rPr>
            </w:pPr>
            <w:r>
              <w:rPr>
                <w:rFonts w:ascii="Times New Roman" w:eastAsia="仿宋"/>
                <w:sz w:val="21"/>
                <w:szCs w:val="21"/>
              </w:rPr>
              <w:t>5</w:t>
            </w:r>
          </w:p>
        </w:tc>
        <w:tc>
          <w:tcPr>
            <w:tcW w:w="1144" w:type="dxa"/>
            <w:vAlign w:val="center"/>
          </w:tcPr>
          <w:p w14:paraId="71FBDEC5">
            <w:pPr>
              <w:jc w:val="center"/>
              <w:rPr>
                <w:rFonts w:ascii="Times New Roman" w:eastAsia="仿宋"/>
                <w:sz w:val="21"/>
                <w:szCs w:val="21"/>
              </w:rPr>
            </w:pPr>
            <w:r>
              <w:rPr>
                <w:rFonts w:ascii="Times New Roman" w:eastAsia="仿宋"/>
                <w:sz w:val="21"/>
                <w:szCs w:val="21"/>
              </w:rPr>
              <w:t>50</w:t>
            </w:r>
          </w:p>
        </w:tc>
        <w:tc>
          <w:tcPr>
            <w:tcW w:w="1144" w:type="dxa"/>
            <w:vAlign w:val="center"/>
          </w:tcPr>
          <w:p w14:paraId="13D10F3E">
            <w:pPr>
              <w:jc w:val="center"/>
              <w:rPr>
                <w:rFonts w:ascii="Times New Roman" w:eastAsia="仿宋"/>
                <w:sz w:val="21"/>
                <w:szCs w:val="21"/>
              </w:rPr>
            </w:pPr>
            <w:r>
              <w:rPr>
                <w:rFonts w:ascii="Times New Roman" w:eastAsia="仿宋"/>
                <w:sz w:val="21"/>
                <w:szCs w:val="21"/>
              </w:rPr>
              <w:t>300</w:t>
            </w:r>
          </w:p>
        </w:tc>
        <w:tc>
          <w:tcPr>
            <w:tcW w:w="1144" w:type="dxa"/>
            <w:vAlign w:val="center"/>
          </w:tcPr>
          <w:p w14:paraId="1F2EA512">
            <w:pPr>
              <w:jc w:val="center"/>
              <w:rPr>
                <w:rFonts w:ascii="Times New Roman" w:eastAsia="仿宋"/>
                <w:sz w:val="21"/>
                <w:szCs w:val="21"/>
              </w:rPr>
            </w:pPr>
            <w:r>
              <w:rPr>
                <w:rFonts w:ascii="Times New Roman" w:eastAsia="仿宋"/>
                <w:sz w:val="21"/>
                <w:szCs w:val="21"/>
              </w:rPr>
              <w:t>2000</w:t>
            </w:r>
          </w:p>
        </w:tc>
        <w:tc>
          <w:tcPr>
            <w:tcW w:w="1074" w:type="dxa"/>
            <w:vMerge w:val="restart"/>
            <w:vAlign w:val="center"/>
          </w:tcPr>
          <w:p w14:paraId="08536C1D">
            <w:pPr>
              <w:jc w:val="center"/>
              <w:rPr>
                <w:rFonts w:ascii="Times New Roman" w:eastAsia="仿宋"/>
                <w:sz w:val="21"/>
                <w:szCs w:val="21"/>
              </w:rPr>
            </w:pPr>
            <w:r>
              <w:rPr>
                <w:rFonts w:ascii="Times New Roman" w:eastAsia="仿宋"/>
                <w:sz w:val="21"/>
                <w:szCs w:val="21"/>
              </w:rPr>
              <w:t>5000</w:t>
            </w:r>
          </w:p>
        </w:tc>
      </w:tr>
      <w:tr w14:paraId="20D2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16C70D48">
            <w:pPr>
              <w:jc w:val="center"/>
              <w:rPr>
                <w:rFonts w:ascii="Times New Roman" w:eastAsia="仿宋"/>
                <w:sz w:val="21"/>
                <w:szCs w:val="21"/>
              </w:rPr>
            </w:pPr>
            <w:r>
              <w:rPr>
                <w:rFonts w:ascii="Times New Roman" w:eastAsia="仿宋"/>
                <w:sz w:val="21"/>
                <w:szCs w:val="21"/>
              </w:rPr>
              <w:t>经皮肤</w:t>
            </w:r>
          </w:p>
        </w:tc>
        <w:tc>
          <w:tcPr>
            <w:tcW w:w="1329" w:type="dxa"/>
            <w:vAlign w:val="center"/>
          </w:tcPr>
          <w:p w14:paraId="685562D6">
            <w:pPr>
              <w:jc w:val="center"/>
              <w:rPr>
                <w:rFonts w:ascii="Times New Roman" w:eastAsia="仿宋"/>
                <w:sz w:val="21"/>
                <w:szCs w:val="21"/>
              </w:rPr>
            </w:pPr>
            <w:r>
              <w:rPr>
                <w:rFonts w:ascii="Times New Roman" w:eastAsia="仿宋"/>
                <w:sz w:val="21"/>
                <w:szCs w:val="21"/>
              </w:rPr>
              <w:t>mg/kg</w:t>
            </w:r>
          </w:p>
        </w:tc>
        <w:tc>
          <w:tcPr>
            <w:tcW w:w="1144" w:type="dxa"/>
            <w:vAlign w:val="center"/>
          </w:tcPr>
          <w:p w14:paraId="16B3E6B2">
            <w:pPr>
              <w:jc w:val="center"/>
              <w:rPr>
                <w:rFonts w:ascii="Times New Roman" w:eastAsia="仿宋"/>
                <w:sz w:val="21"/>
                <w:szCs w:val="21"/>
              </w:rPr>
            </w:pPr>
            <w:r>
              <w:rPr>
                <w:rFonts w:ascii="Times New Roman" w:eastAsia="仿宋"/>
                <w:sz w:val="21"/>
                <w:szCs w:val="21"/>
              </w:rPr>
              <w:t>50</w:t>
            </w:r>
          </w:p>
        </w:tc>
        <w:tc>
          <w:tcPr>
            <w:tcW w:w="1144" w:type="dxa"/>
            <w:vAlign w:val="center"/>
          </w:tcPr>
          <w:p w14:paraId="476D4359">
            <w:pPr>
              <w:jc w:val="center"/>
              <w:rPr>
                <w:rFonts w:ascii="Times New Roman" w:eastAsia="仿宋"/>
                <w:sz w:val="21"/>
                <w:szCs w:val="21"/>
              </w:rPr>
            </w:pPr>
            <w:r>
              <w:rPr>
                <w:rFonts w:ascii="Times New Roman" w:eastAsia="仿宋"/>
                <w:sz w:val="21"/>
                <w:szCs w:val="21"/>
              </w:rPr>
              <w:t>200</w:t>
            </w:r>
          </w:p>
        </w:tc>
        <w:tc>
          <w:tcPr>
            <w:tcW w:w="1144" w:type="dxa"/>
            <w:vAlign w:val="center"/>
          </w:tcPr>
          <w:p w14:paraId="5691753D">
            <w:pPr>
              <w:jc w:val="center"/>
              <w:rPr>
                <w:rFonts w:ascii="Times New Roman" w:eastAsia="仿宋"/>
                <w:sz w:val="21"/>
                <w:szCs w:val="21"/>
              </w:rPr>
            </w:pPr>
            <w:r>
              <w:rPr>
                <w:rFonts w:ascii="Times New Roman" w:eastAsia="仿宋"/>
                <w:sz w:val="21"/>
                <w:szCs w:val="21"/>
              </w:rPr>
              <w:t>1000</w:t>
            </w:r>
          </w:p>
        </w:tc>
        <w:tc>
          <w:tcPr>
            <w:tcW w:w="1144" w:type="dxa"/>
            <w:vAlign w:val="center"/>
          </w:tcPr>
          <w:p w14:paraId="50531DD1">
            <w:pPr>
              <w:jc w:val="center"/>
              <w:rPr>
                <w:rFonts w:ascii="Times New Roman" w:eastAsia="仿宋"/>
                <w:sz w:val="21"/>
                <w:szCs w:val="21"/>
              </w:rPr>
            </w:pPr>
            <w:r>
              <w:rPr>
                <w:rFonts w:ascii="Times New Roman" w:eastAsia="仿宋"/>
                <w:sz w:val="21"/>
                <w:szCs w:val="21"/>
              </w:rPr>
              <w:t>20000</w:t>
            </w:r>
          </w:p>
        </w:tc>
        <w:tc>
          <w:tcPr>
            <w:tcW w:w="1074" w:type="dxa"/>
            <w:vMerge w:val="continue"/>
            <w:vAlign w:val="center"/>
          </w:tcPr>
          <w:p w14:paraId="1FB2D5C8">
            <w:pPr>
              <w:adjustRightInd w:val="0"/>
              <w:snapToGrid w:val="0"/>
              <w:spacing w:line="360" w:lineRule="exact"/>
              <w:jc w:val="center"/>
              <w:rPr>
                <w:sz w:val="21"/>
              </w:rPr>
            </w:pPr>
          </w:p>
        </w:tc>
      </w:tr>
      <w:tr w14:paraId="2923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15F6FE9A">
            <w:pPr>
              <w:jc w:val="center"/>
              <w:rPr>
                <w:rFonts w:ascii="Times New Roman" w:eastAsia="仿宋"/>
                <w:sz w:val="21"/>
                <w:szCs w:val="21"/>
              </w:rPr>
            </w:pPr>
            <w:r>
              <w:rPr>
                <w:rFonts w:ascii="Times New Roman" w:eastAsia="仿宋"/>
                <w:sz w:val="21"/>
                <w:szCs w:val="21"/>
              </w:rPr>
              <w:t>气体</w:t>
            </w:r>
          </w:p>
        </w:tc>
        <w:tc>
          <w:tcPr>
            <w:tcW w:w="1329" w:type="dxa"/>
            <w:vAlign w:val="center"/>
          </w:tcPr>
          <w:p w14:paraId="6F4FC7CD">
            <w:pPr>
              <w:jc w:val="center"/>
              <w:rPr>
                <w:rFonts w:ascii="Times New Roman" w:eastAsia="仿宋"/>
                <w:sz w:val="21"/>
                <w:szCs w:val="21"/>
              </w:rPr>
            </w:pPr>
            <w:r>
              <w:rPr>
                <w:rFonts w:ascii="Times New Roman" w:eastAsia="仿宋"/>
                <w:sz w:val="21"/>
                <w:szCs w:val="21"/>
              </w:rPr>
              <w:t>mg/L</w:t>
            </w:r>
          </w:p>
        </w:tc>
        <w:tc>
          <w:tcPr>
            <w:tcW w:w="1144" w:type="dxa"/>
            <w:vAlign w:val="center"/>
          </w:tcPr>
          <w:p w14:paraId="533A90D1">
            <w:pPr>
              <w:jc w:val="center"/>
              <w:rPr>
                <w:rFonts w:ascii="Times New Roman" w:eastAsia="仿宋"/>
                <w:sz w:val="21"/>
                <w:szCs w:val="21"/>
              </w:rPr>
            </w:pPr>
            <w:r>
              <w:rPr>
                <w:rFonts w:ascii="Times New Roman" w:eastAsia="仿宋"/>
                <w:sz w:val="21"/>
                <w:szCs w:val="21"/>
              </w:rPr>
              <w:t>0.1</w:t>
            </w:r>
          </w:p>
        </w:tc>
        <w:tc>
          <w:tcPr>
            <w:tcW w:w="1144" w:type="dxa"/>
            <w:vAlign w:val="center"/>
          </w:tcPr>
          <w:p w14:paraId="166DE374">
            <w:pPr>
              <w:jc w:val="center"/>
              <w:rPr>
                <w:rFonts w:ascii="Times New Roman" w:eastAsia="仿宋"/>
                <w:sz w:val="21"/>
                <w:szCs w:val="21"/>
              </w:rPr>
            </w:pPr>
            <w:r>
              <w:rPr>
                <w:rFonts w:ascii="Times New Roman" w:eastAsia="仿宋"/>
                <w:sz w:val="21"/>
                <w:szCs w:val="21"/>
              </w:rPr>
              <w:t>0.5</w:t>
            </w:r>
          </w:p>
        </w:tc>
        <w:tc>
          <w:tcPr>
            <w:tcW w:w="1144" w:type="dxa"/>
            <w:vAlign w:val="center"/>
          </w:tcPr>
          <w:p w14:paraId="22F2F54C">
            <w:pPr>
              <w:jc w:val="center"/>
              <w:rPr>
                <w:rFonts w:ascii="Times New Roman" w:eastAsia="仿宋"/>
                <w:sz w:val="21"/>
                <w:szCs w:val="21"/>
              </w:rPr>
            </w:pPr>
            <w:r>
              <w:rPr>
                <w:rFonts w:ascii="Times New Roman" w:eastAsia="仿宋"/>
                <w:sz w:val="21"/>
                <w:szCs w:val="21"/>
              </w:rPr>
              <w:t>2.5</w:t>
            </w:r>
          </w:p>
        </w:tc>
        <w:tc>
          <w:tcPr>
            <w:tcW w:w="1144" w:type="dxa"/>
            <w:vAlign w:val="center"/>
          </w:tcPr>
          <w:p w14:paraId="6A904CA4">
            <w:pPr>
              <w:jc w:val="center"/>
              <w:rPr>
                <w:rFonts w:ascii="Times New Roman" w:eastAsia="仿宋"/>
                <w:sz w:val="21"/>
                <w:szCs w:val="21"/>
              </w:rPr>
            </w:pPr>
            <w:r>
              <w:rPr>
                <w:rFonts w:ascii="Times New Roman" w:eastAsia="仿宋"/>
                <w:sz w:val="21"/>
                <w:szCs w:val="21"/>
              </w:rPr>
              <w:t>5</w:t>
            </w:r>
          </w:p>
        </w:tc>
        <w:tc>
          <w:tcPr>
            <w:tcW w:w="1074" w:type="dxa"/>
            <w:vMerge w:val="continue"/>
            <w:vAlign w:val="center"/>
          </w:tcPr>
          <w:p w14:paraId="572ABC90">
            <w:pPr>
              <w:adjustRightInd w:val="0"/>
              <w:snapToGrid w:val="0"/>
              <w:spacing w:line="360" w:lineRule="exact"/>
              <w:jc w:val="center"/>
              <w:rPr>
                <w:sz w:val="21"/>
              </w:rPr>
            </w:pPr>
          </w:p>
        </w:tc>
      </w:tr>
      <w:tr w14:paraId="56D9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587278DA">
            <w:pPr>
              <w:jc w:val="center"/>
              <w:rPr>
                <w:rFonts w:ascii="Times New Roman" w:eastAsia="仿宋"/>
                <w:sz w:val="21"/>
                <w:szCs w:val="21"/>
              </w:rPr>
            </w:pPr>
            <w:r>
              <w:rPr>
                <w:rFonts w:ascii="Times New Roman" w:eastAsia="仿宋"/>
                <w:sz w:val="21"/>
                <w:szCs w:val="21"/>
              </w:rPr>
              <w:t>蒸汽</w:t>
            </w:r>
          </w:p>
        </w:tc>
        <w:tc>
          <w:tcPr>
            <w:tcW w:w="1329" w:type="dxa"/>
            <w:vAlign w:val="center"/>
          </w:tcPr>
          <w:p w14:paraId="059449B7">
            <w:pPr>
              <w:jc w:val="center"/>
              <w:rPr>
                <w:rFonts w:ascii="Times New Roman" w:eastAsia="仿宋"/>
                <w:sz w:val="21"/>
                <w:szCs w:val="21"/>
              </w:rPr>
            </w:pPr>
            <w:r>
              <w:rPr>
                <w:rFonts w:ascii="Times New Roman" w:eastAsia="仿宋"/>
                <w:sz w:val="21"/>
                <w:szCs w:val="21"/>
              </w:rPr>
              <w:t>mg/L</w:t>
            </w:r>
          </w:p>
        </w:tc>
        <w:tc>
          <w:tcPr>
            <w:tcW w:w="1144" w:type="dxa"/>
            <w:vAlign w:val="center"/>
          </w:tcPr>
          <w:p w14:paraId="51613861">
            <w:pPr>
              <w:jc w:val="center"/>
              <w:rPr>
                <w:rFonts w:ascii="Times New Roman" w:eastAsia="仿宋"/>
                <w:sz w:val="21"/>
                <w:szCs w:val="21"/>
              </w:rPr>
            </w:pPr>
            <w:r>
              <w:rPr>
                <w:rFonts w:ascii="Times New Roman" w:eastAsia="仿宋"/>
                <w:sz w:val="21"/>
                <w:szCs w:val="21"/>
              </w:rPr>
              <w:t>0.5</w:t>
            </w:r>
          </w:p>
        </w:tc>
        <w:tc>
          <w:tcPr>
            <w:tcW w:w="1144" w:type="dxa"/>
            <w:vAlign w:val="center"/>
          </w:tcPr>
          <w:p w14:paraId="536BD409">
            <w:pPr>
              <w:jc w:val="center"/>
              <w:rPr>
                <w:rFonts w:ascii="Times New Roman" w:eastAsia="仿宋"/>
                <w:sz w:val="21"/>
                <w:szCs w:val="21"/>
              </w:rPr>
            </w:pPr>
            <w:r>
              <w:rPr>
                <w:rFonts w:ascii="Times New Roman" w:eastAsia="仿宋"/>
                <w:sz w:val="21"/>
                <w:szCs w:val="21"/>
              </w:rPr>
              <w:t>2.0</w:t>
            </w:r>
          </w:p>
        </w:tc>
        <w:tc>
          <w:tcPr>
            <w:tcW w:w="1144" w:type="dxa"/>
            <w:vAlign w:val="center"/>
          </w:tcPr>
          <w:p w14:paraId="047F1FF7">
            <w:pPr>
              <w:jc w:val="center"/>
              <w:rPr>
                <w:rFonts w:ascii="Times New Roman" w:eastAsia="仿宋"/>
                <w:sz w:val="21"/>
                <w:szCs w:val="21"/>
              </w:rPr>
            </w:pPr>
            <w:r>
              <w:rPr>
                <w:rFonts w:ascii="Times New Roman" w:eastAsia="仿宋"/>
                <w:sz w:val="21"/>
                <w:szCs w:val="21"/>
              </w:rPr>
              <w:t>10</w:t>
            </w:r>
          </w:p>
        </w:tc>
        <w:tc>
          <w:tcPr>
            <w:tcW w:w="1144" w:type="dxa"/>
            <w:vAlign w:val="center"/>
          </w:tcPr>
          <w:p w14:paraId="7A896055">
            <w:pPr>
              <w:jc w:val="center"/>
              <w:rPr>
                <w:rFonts w:ascii="Times New Roman" w:eastAsia="仿宋"/>
                <w:sz w:val="21"/>
                <w:szCs w:val="21"/>
              </w:rPr>
            </w:pPr>
            <w:r>
              <w:rPr>
                <w:rFonts w:ascii="Times New Roman" w:eastAsia="仿宋"/>
                <w:sz w:val="21"/>
                <w:szCs w:val="21"/>
              </w:rPr>
              <w:t>20</w:t>
            </w:r>
          </w:p>
        </w:tc>
        <w:tc>
          <w:tcPr>
            <w:tcW w:w="1074" w:type="dxa"/>
            <w:vMerge w:val="continue"/>
            <w:vAlign w:val="center"/>
          </w:tcPr>
          <w:p w14:paraId="34CE1213">
            <w:pPr>
              <w:adjustRightInd w:val="0"/>
              <w:snapToGrid w:val="0"/>
              <w:spacing w:line="360" w:lineRule="exact"/>
              <w:jc w:val="center"/>
              <w:rPr>
                <w:sz w:val="21"/>
              </w:rPr>
            </w:pPr>
          </w:p>
        </w:tc>
      </w:tr>
      <w:tr w14:paraId="382B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45C25C11">
            <w:pPr>
              <w:jc w:val="center"/>
              <w:rPr>
                <w:rFonts w:ascii="Times New Roman" w:eastAsia="仿宋"/>
                <w:sz w:val="21"/>
                <w:szCs w:val="21"/>
              </w:rPr>
            </w:pPr>
            <w:r>
              <w:rPr>
                <w:rFonts w:ascii="Times New Roman" w:eastAsia="仿宋"/>
                <w:sz w:val="21"/>
                <w:szCs w:val="21"/>
              </w:rPr>
              <w:t>粉尘和烟雾</w:t>
            </w:r>
          </w:p>
        </w:tc>
        <w:tc>
          <w:tcPr>
            <w:tcW w:w="1329" w:type="dxa"/>
            <w:vAlign w:val="center"/>
          </w:tcPr>
          <w:p w14:paraId="70F95876">
            <w:pPr>
              <w:jc w:val="center"/>
              <w:rPr>
                <w:rFonts w:ascii="Times New Roman" w:eastAsia="仿宋"/>
                <w:sz w:val="21"/>
                <w:szCs w:val="21"/>
              </w:rPr>
            </w:pPr>
            <w:r>
              <w:rPr>
                <w:rFonts w:ascii="Times New Roman" w:eastAsia="仿宋"/>
                <w:sz w:val="21"/>
                <w:szCs w:val="21"/>
              </w:rPr>
              <w:t>mg/L</w:t>
            </w:r>
          </w:p>
        </w:tc>
        <w:tc>
          <w:tcPr>
            <w:tcW w:w="1144" w:type="dxa"/>
            <w:vAlign w:val="center"/>
          </w:tcPr>
          <w:p w14:paraId="143F2762">
            <w:pPr>
              <w:jc w:val="center"/>
              <w:rPr>
                <w:rFonts w:ascii="Times New Roman" w:eastAsia="仿宋"/>
                <w:sz w:val="21"/>
                <w:szCs w:val="21"/>
              </w:rPr>
            </w:pPr>
            <w:r>
              <w:rPr>
                <w:rFonts w:ascii="Times New Roman" w:eastAsia="仿宋"/>
                <w:sz w:val="21"/>
                <w:szCs w:val="21"/>
              </w:rPr>
              <w:t>0.05</w:t>
            </w:r>
          </w:p>
        </w:tc>
        <w:tc>
          <w:tcPr>
            <w:tcW w:w="1144" w:type="dxa"/>
            <w:vAlign w:val="center"/>
          </w:tcPr>
          <w:p w14:paraId="370395C2">
            <w:pPr>
              <w:jc w:val="center"/>
              <w:rPr>
                <w:rFonts w:ascii="Times New Roman" w:eastAsia="仿宋"/>
                <w:sz w:val="21"/>
                <w:szCs w:val="21"/>
              </w:rPr>
            </w:pPr>
            <w:r>
              <w:rPr>
                <w:rFonts w:ascii="Times New Roman" w:eastAsia="仿宋"/>
                <w:sz w:val="21"/>
                <w:szCs w:val="21"/>
              </w:rPr>
              <w:t>0.5</w:t>
            </w:r>
          </w:p>
        </w:tc>
        <w:tc>
          <w:tcPr>
            <w:tcW w:w="1144" w:type="dxa"/>
            <w:vAlign w:val="center"/>
          </w:tcPr>
          <w:p w14:paraId="677331B5">
            <w:pPr>
              <w:jc w:val="center"/>
              <w:rPr>
                <w:rFonts w:ascii="Times New Roman" w:eastAsia="仿宋"/>
                <w:sz w:val="21"/>
                <w:szCs w:val="21"/>
              </w:rPr>
            </w:pPr>
            <w:r>
              <w:rPr>
                <w:rFonts w:ascii="Times New Roman" w:eastAsia="仿宋"/>
                <w:sz w:val="21"/>
                <w:szCs w:val="21"/>
              </w:rPr>
              <w:t>1.0</w:t>
            </w:r>
          </w:p>
        </w:tc>
        <w:tc>
          <w:tcPr>
            <w:tcW w:w="1144" w:type="dxa"/>
            <w:vAlign w:val="center"/>
          </w:tcPr>
          <w:p w14:paraId="26531386">
            <w:pPr>
              <w:jc w:val="center"/>
              <w:rPr>
                <w:rFonts w:ascii="Times New Roman" w:eastAsia="仿宋"/>
                <w:sz w:val="21"/>
                <w:szCs w:val="21"/>
              </w:rPr>
            </w:pPr>
            <w:r>
              <w:rPr>
                <w:rFonts w:ascii="Times New Roman" w:eastAsia="仿宋"/>
                <w:sz w:val="21"/>
                <w:szCs w:val="21"/>
              </w:rPr>
              <w:t>5</w:t>
            </w:r>
          </w:p>
        </w:tc>
        <w:tc>
          <w:tcPr>
            <w:tcW w:w="1074" w:type="dxa"/>
            <w:vMerge w:val="continue"/>
            <w:vAlign w:val="center"/>
          </w:tcPr>
          <w:p w14:paraId="074CD3C4">
            <w:pPr>
              <w:adjustRightInd w:val="0"/>
              <w:snapToGrid w:val="0"/>
              <w:spacing w:line="360" w:lineRule="exact"/>
              <w:jc w:val="center"/>
              <w:rPr>
                <w:sz w:val="21"/>
              </w:rPr>
            </w:pPr>
          </w:p>
        </w:tc>
      </w:tr>
    </w:tbl>
    <w:p w14:paraId="04850972">
      <w:pPr>
        <w:ind w:firstLine="420" w:firstLineChars="200"/>
        <w:jc w:val="left"/>
        <w:rPr>
          <w:rFonts w:ascii="Times New Roman" w:eastAsia="仿宋"/>
          <w:sz w:val="21"/>
          <w:szCs w:val="21"/>
        </w:rPr>
      </w:pPr>
      <w:r>
        <w:rPr>
          <w:rFonts w:ascii="Times New Roman" w:eastAsia="仿宋"/>
          <w:sz w:val="21"/>
          <w:szCs w:val="21"/>
        </w:rPr>
        <w:t>注：毒性物质是危险性属于GB12268-2012中6.1项（经口LD50≤5mg/kg，经皮肤LC50≤50mg/kg，吸入LC50≤100×10</w:t>
      </w:r>
      <w:r>
        <w:rPr>
          <w:rFonts w:ascii="Times New Roman" w:eastAsia="仿宋"/>
          <w:sz w:val="21"/>
          <w:szCs w:val="21"/>
          <w:vertAlign w:val="superscript"/>
        </w:rPr>
        <w:t>-6</w:t>
      </w:r>
      <w:r>
        <w:rPr>
          <w:rFonts w:ascii="Times New Roman" w:eastAsia="仿宋"/>
          <w:sz w:val="21"/>
          <w:szCs w:val="21"/>
        </w:rPr>
        <w:t>mg/kg（体积分数）（气体），吸入LC50≤0.5mg/L（蒸汽），吸入LC50≤0.5mg/L（粉尘、烟雾））且急性毒性类别属于表中类别1，类别2的物质。</w:t>
      </w:r>
    </w:p>
    <w:p w14:paraId="3B6B2905">
      <w:pPr>
        <w:spacing w:line="500" w:lineRule="exact"/>
        <w:ind w:firstLine="560" w:firstLineChars="200"/>
        <w:rPr>
          <w:rFonts w:eastAsia="仿宋"/>
          <w:bCs/>
          <w:sz w:val="28"/>
        </w:rPr>
      </w:pPr>
      <w:r>
        <w:rPr>
          <w:rFonts w:eastAsia="仿宋"/>
          <w:bCs/>
          <w:sz w:val="28"/>
        </w:rPr>
        <w:t>本项目涉及的危险物质危险性识别情况分别见下表。</w:t>
      </w:r>
    </w:p>
    <w:p w14:paraId="1B1F2DBF">
      <w:pPr>
        <w:spacing w:line="500" w:lineRule="exact"/>
        <w:jc w:val="center"/>
        <w:rPr>
          <w:rFonts w:ascii="Times New Roman" w:eastAsia="仿宋"/>
          <w:b/>
          <w:bCs/>
        </w:rPr>
      </w:pPr>
      <w:r>
        <w:rPr>
          <w:rFonts w:ascii="Times New Roman" w:eastAsia="仿宋"/>
          <w:b/>
          <w:bCs/>
        </w:rPr>
        <w:t>表3.3-</w:t>
      </w:r>
      <w:r>
        <w:rPr>
          <w:rFonts w:hint="eastAsia" w:ascii="Times New Roman" w:eastAsia="仿宋"/>
          <w:b/>
          <w:bCs/>
        </w:rPr>
        <w:t>2</w:t>
      </w:r>
      <w:r>
        <w:rPr>
          <w:rFonts w:ascii="Times New Roman" w:eastAsia="仿宋"/>
          <w:b/>
          <w:bCs/>
        </w:rPr>
        <w:t xml:space="preserve"> 主要化学品危险性判别</w:t>
      </w:r>
    </w:p>
    <w:tbl>
      <w:tblPr>
        <w:tblStyle w:val="87"/>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983"/>
        <w:gridCol w:w="847"/>
        <w:gridCol w:w="992"/>
        <w:gridCol w:w="988"/>
        <w:gridCol w:w="992"/>
        <w:gridCol w:w="1274"/>
        <w:gridCol w:w="1169"/>
        <w:gridCol w:w="1633"/>
      </w:tblGrid>
      <w:tr w14:paraId="066B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525468E8">
            <w:pPr>
              <w:jc w:val="center"/>
              <w:rPr>
                <w:rFonts w:ascii="Times New Roman" w:eastAsia="仿宋"/>
                <w:sz w:val="21"/>
                <w:szCs w:val="21"/>
              </w:rPr>
            </w:pPr>
            <w:r>
              <w:rPr>
                <w:rFonts w:ascii="Times New Roman" w:eastAsia="仿宋"/>
                <w:sz w:val="21"/>
                <w:szCs w:val="21"/>
              </w:rPr>
              <w:t>序号</w:t>
            </w:r>
          </w:p>
        </w:tc>
        <w:tc>
          <w:tcPr>
            <w:tcW w:w="527" w:type="pct"/>
            <w:vAlign w:val="center"/>
          </w:tcPr>
          <w:p w14:paraId="7483815A">
            <w:pPr>
              <w:jc w:val="center"/>
              <w:rPr>
                <w:rFonts w:ascii="Times New Roman" w:eastAsia="仿宋"/>
                <w:sz w:val="21"/>
                <w:szCs w:val="21"/>
              </w:rPr>
            </w:pPr>
            <w:r>
              <w:rPr>
                <w:rFonts w:ascii="Times New Roman" w:eastAsia="仿宋"/>
                <w:sz w:val="21"/>
                <w:szCs w:val="21"/>
              </w:rPr>
              <w:t>物质名称</w:t>
            </w:r>
          </w:p>
        </w:tc>
        <w:tc>
          <w:tcPr>
            <w:tcW w:w="454" w:type="pct"/>
            <w:vAlign w:val="center"/>
          </w:tcPr>
          <w:p w14:paraId="3E12974C">
            <w:pPr>
              <w:jc w:val="center"/>
              <w:rPr>
                <w:rFonts w:ascii="Times New Roman" w:eastAsia="仿宋"/>
                <w:sz w:val="21"/>
                <w:szCs w:val="21"/>
              </w:rPr>
            </w:pPr>
            <w:r>
              <w:rPr>
                <w:rFonts w:ascii="Times New Roman" w:eastAsia="仿宋"/>
                <w:sz w:val="21"/>
                <w:szCs w:val="21"/>
              </w:rPr>
              <w:t>危规号</w:t>
            </w:r>
          </w:p>
        </w:tc>
        <w:tc>
          <w:tcPr>
            <w:tcW w:w="532" w:type="pct"/>
            <w:vAlign w:val="center"/>
          </w:tcPr>
          <w:p w14:paraId="492371EB">
            <w:pPr>
              <w:jc w:val="center"/>
              <w:rPr>
                <w:rFonts w:ascii="Times New Roman" w:eastAsia="仿宋"/>
                <w:sz w:val="21"/>
                <w:szCs w:val="21"/>
              </w:rPr>
            </w:pPr>
            <w:r>
              <w:rPr>
                <w:rFonts w:ascii="Times New Roman" w:eastAsia="仿宋"/>
                <w:sz w:val="21"/>
                <w:szCs w:val="21"/>
              </w:rPr>
              <w:t>闪点（℃）</w:t>
            </w:r>
          </w:p>
        </w:tc>
        <w:tc>
          <w:tcPr>
            <w:tcW w:w="530" w:type="pct"/>
            <w:vAlign w:val="center"/>
          </w:tcPr>
          <w:p w14:paraId="4FFD0919">
            <w:pPr>
              <w:jc w:val="center"/>
              <w:rPr>
                <w:rFonts w:ascii="Times New Roman" w:eastAsia="仿宋"/>
                <w:sz w:val="21"/>
                <w:szCs w:val="21"/>
              </w:rPr>
            </w:pPr>
            <w:r>
              <w:rPr>
                <w:rFonts w:ascii="Times New Roman" w:eastAsia="仿宋"/>
                <w:sz w:val="21"/>
                <w:szCs w:val="21"/>
              </w:rPr>
              <w:t>沸点（℃）</w:t>
            </w:r>
          </w:p>
        </w:tc>
        <w:tc>
          <w:tcPr>
            <w:tcW w:w="532" w:type="pct"/>
            <w:vAlign w:val="center"/>
          </w:tcPr>
          <w:p w14:paraId="3C23BE77">
            <w:pPr>
              <w:jc w:val="center"/>
              <w:rPr>
                <w:rFonts w:ascii="Times New Roman" w:eastAsia="仿宋"/>
                <w:sz w:val="21"/>
                <w:szCs w:val="21"/>
              </w:rPr>
            </w:pPr>
            <w:r>
              <w:rPr>
                <w:rFonts w:ascii="Times New Roman" w:eastAsia="仿宋"/>
                <w:sz w:val="21"/>
                <w:szCs w:val="21"/>
              </w:rPr>
              <w:t>熔点（℃）</w:t>
            </w:r>
          </w:p>
        </w:tc>
        <w:tc>
          <w:tcPr>
            <w:tcW w:w="683" w:type="pct"/>
            <w:vAlign w:val="center"/>
          </w:tcPr>
          <w:p w14:paraId="31E42B8E">
            <w:pPr>
              <w:jc w:val="center"/>
              <w:rPr>
                <w:rFonts w:ascii="Times New Roman" w:eastAsia="仿宋"/>
                <w:sz w:val="21"/>
                <w:szCs w:val="21"/>
              </w:rPr>
            </w:pPr>
            <w:r>
              <w:rPr>
                <w:rFonts w:ascii="Times New Roman" w:eastAsia="仿宋"/>
                <w:sz w:val="21"/>
                <w:szCs w:val="21"/>
              </w:rPr>
              <w:t>LD</w:t>
            </w:r>
            <w:r>
              <w:rPr>
                <w:rFonts w:ascii="Times New Roman" w:eastAsia="仿宋"/>
                <w:sz w:val="21"/>
                <w:szCs w:val="21"/>
                <w:vertAlign w:val="subscript"/>
              </w:rPr>
              <w:t>50</w:t>
            </w:r>
          </w:p>
          <w:p w14:paraId="3FD0D643">
            <w:pPr>
              <w:jc w:val="center"/>
              <w:rPr>
                <w:rFonts w:ascii="Times New Roman" w:eastAsia="仿宋"/>
                <w:sz w:val="21"/>
                <w:szCs w:val="21"/>
              </w:rPr>
            </w:pPr>
            <w:r>
              <w:rPr>
                <w:rFonts w:ascii="Times New Roman" w:eastAsia="仿宋"/>
                <w:sz w:val="21"/>
                <w:szCs w:val="21"/>
              </w:rPr>
              <w:t>（经口，mg/kg）</w:t>
            </w:r>
          </w:p>
        </w:tc>
        <w:tc>
          <w:tcPr>
            <w:tcW w:w="627" w:type="pct"/>
            <w:vAlign w:val="center"/>
          </w:tcPr>
          <w:p w14:paraId="5409ED61">
            <w:pPr>
              <w:jc w:val="center"/>
              <w:rPr>
                <w:rFonts w:ascii="Times New Roman" w:eastAsia="仿宋"/>
                <w:sz w:val="21"/>
                <w:szCs w:val="21"/>
              </w:rPr>
            </w:pPr>
            <w:r>
              <w:rPr>
                <w:rFonts w:ascii="Times New Roman" w:eastAsia="仿宋"/>
                <w:sz w:val="21"/>
                <w:szCs w:val="21"/>
              </w:rPr>
              <w:t>LD</w:t>
            </w:r>
            <w:r>
              <w:rPr>
                <w:rFonts w:ascii="Times New Roman" w:eastAsia="仿宋"/>
                <w:sz w:val="21"/>
                <w:szCs w:val="21"/>
                <w:vertAlign w:val="subscript"/>
              </w:rPr>
              <w:t>50</w:t>
            </w:r>
          </w:p>
          <w:p w14:paraId="384937C4">
            <w:pPr>
              <w:jc w:val="center"/>
              <w:rPr>
                <w:rFonts w:ascii="Times New Roman" w:eastAsia="仿宋"/>
                <w:sz w:val="21"/>
                <w:szCs w:val="21"/>
              </w:rPr>
            </w:pPr>
            <w:r>
              <w:rPr>
                <w:rFonts w:ascii="Times New Roman" w:eastAsia="仿宋"/>
                <w:sz w:val="21"/>
                <w:szCs w:val="21"/>
              </w:rPr>
              <w:t>（经皮，mg/kg）</w:t>
            </w:r>
          </w:p>
        </w:tc>
        <w:tc>
          <w:tcPr>
            <w:tcW w:w="876" w:type="pct"/>
            <w:vAlign w:val="center"/>
          </w:tcPr>
          <w:p w14:paraId="53A72079">
            <w:pPr>
              <w:jc w:val="center"/>
              <w:rPr>
                <w:rFonts w:ascii="Times New Roman" w:eastAsia="仿宋"/>
                <w:sz w:val="21"/>
                <w:szCs w:val="21"/>
              </w:rPr>
            </w:pPr>
            <w:r>
              <w:rPr>
                <w:rFonts w:ascii="Times New Roman" w:eastAsia="仿宋"/>
                <w:sz w:val="21"/>
                <w:szCs w:val="21"/>
              </w:rPr>
              <w:t>LC</w:t>
            </w:r>
            <w:r>
              <w:rPr>
                <w:rFonts w:ascii="Times New Roman" w:eastAsia="仿宋"/>
                <w:sz w:val="21"/>
                <w:szCs w:val="21"/>
                <w:vertAlign w:val="subscript"/>
              </w:rPr>
              <w:t>50</w:t>
            </w:r>
          </w:p>
          <w:p w14:paraId="6E27B964">
            <w:pPr>
              <w:jc w:val="center"/>
              <w:rPr>
                <w:rFonts w:ascii="Times New Roman" w:eastAsia="仿宋"/>
                <w:sz w:val="21"/>
                <w:szCs w:val="21"/>
              </w:rPr>
            </w:pPr>
            <w:r>
              <w:rPr>
                <w:rFonts w:ascii="Times New Roman" w:eastAsia="仿宋"/>
                <w:sz w:val="21"/>
                <w:szCs w:val="21"/>
              </w:rPr>
              <w:t>（吸入，mg/m</w:t>
            </w:r>
            <w:r>
              <w:rPr>
                <w:rFonts w:ascii="Times New Roman" w:eastAsia="仿宋"/>
                <w:sz w:val="21"/>
                <w:szCs w:val="21"/>
                <w:vertAlign w:val="superscript"/>
              </w:rPr>
              <w:t>3</w:t>
            </w:r>
            <w:r>
              <w:rPr>
                <w:rFonts w:ascii="Times New Roman" w:eastAsia="仿宋"/>
                <w:sz w:val="21"/>
                <w:szCs w:val="21"/>
              </w:rPr>
              <w:t>）</w:t>
            </w:r>
          </w:p>
        </w:tc>
      </w:tr>
      <w:tr w14:paraId="51BF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266D1D4B">
            <w:pPr>
              <w:jc w:val="center"/>
              <w:rPr>
                <w:rFonts w:ascii="Times New Roman" w:eastAsia="仿宋"/>
                <w:sz w:val="21"/>
                <w:szCs w:val="21"/>
              </w:rPr>
            </w:pPr>
            <w:r>
              <w:rPr>
                <w:rFonts w:ascii="Times New Roman" w:eastAsia="仿宋"/>
                <w:sz w:val="21"/>
                <w:szCs w:val="21"/>
              </w:rPr>
              <w:t>1</w:t>
            </w:r>
          </w:p>
        </w:tc>
        <w:tc>
          <w:tcPr>
            <w:tcW w:w="527" w:type="pct"/>
            <w:vAlign w:val="center"/>
          </w:tcPr>
          <w:p w14:paraId="5B6D9A94">
            <w:pPr>
              <w:jc w:val="center"/>
              <w:rPr>
                <w:rFonts w:ascii="Times New Roman" w:eastAsia="仿宋"/>
                <w:sz w:val="21"/>
                <w:szCs w:val="21"/>
              </w:rPr>
            </w:pPr>
            <w:r>
              <w:rPr>
                <w:rFonts w:hint="eastAsia" w:ascii="Times New Roman" w:eastAsia="仿宋"/>
                <w:kern w:val="2"/>
                <w:sz w:val="21"/>
                <w:szCs w:val="21"/>
              </w:rPr>
              <w:t>丙烯酸树脂</w:t>
            </w:r>
          </w:p>
        </w:tc>
        <w:tc>
          <w:tcPr>
            <w:tcW w:w="454" w:type="pct"/>
            <w:vAlign w:val="center"/>
          </w:tcPr>
          <w:p w14:paraId="0F52355B">
            <w:pPr>
              <w:jc w:val="center"/>
              <w:rPr>
                <w:rFonts w:ascii="Times New Roman" w:eastAsia="仿宋"/>
                <w:sz w:val="21"/>
                <w:szCs w:val="21"/>
              </w:rPr>
            </w:pPr>
            <w:r>
              <w:rPr>
                <w:rFonts w:hint="eastAsia" w:ascii="Times New Roman" w:eastAsia="仿宋"/>
                <w:sz w:val="21"/>
                <w:szCs w:val="21"/>
              </w:rPr>
              <w:t>/</w:t>
            </w:r>
          </w:p>
        </w:tc>
        <w:tc>
          <w:tcPr>
            <w:tcW w:w="532" w:type="pct"/>
            <w:vAlign w:val="center"/>
          </w:tcPr>
          <w:p w14:paraId="796BFEAF">
            <w:pPr>
              <w:jc w:val="center"/>
              <w:rPr>
                <w:rFonts w:ascii="Times New Roman" w:eastAsia="仿宋"/>
                <w:sz w:val="21"/>
                <w:szCs w:val="21"/>
              </w:rPr>
            </w:pPr>
            <w:r>
              <w:rPr>
                <w:rFonts w:hint="eastAsia" w:ascii="Times New Roman" w:eastAsia="仿宋"/>
                <w:sz w:val="21"/>
                <w:szCs w:val="21"/>
              </w:rPr>
              <w:t>/</w:t>
            </w:r>
          </w:p>
        </w:tc>
        <w:tc>
          <w:tcPr>
            <w:tcW w:w="530" w:type="pct"/>
            <w:vAlign w:val="center"/>
          </w:tcPr>
          <w:p w14:paraId="09F76322">
            <w:pPr>
              <w:jc w:val="center"/>
              <w:rPr>
                <w:rFonts w:ascii="Times New Roman" w:eastAsia="仿宋"/>
                <w:sz w:val="21"/>
                <w:szCs w:val="21"/>
              </w:rPr>
            </w:pPr>
            <w:r>
              <w:rPr>
                <w:rFonts w:hint="eastAsia" w:ascii="Times New Roman" w:eastAsia="仿宋"/>
                <w:sz w:val="21"/>
                <w:szCs w:val="21"/>
              </w:rPr>
              <w:t>116</w:t>
            </w:r>
          </w:p>
        </w:tc>
        <w:tc>
          <w:tcPr>
            <w:tcW w:w="532" w:type="pct"/>
            <w:vAlign w:val="center"/>
          </w:tcPr>
          <w:p w14:paraId="754C0215">
            <w:pPr>
              <w:jc w:val="center"/>
              <w:rPr>
                <w:rFonts w:ascii="Times New Roman" w:eastAsia="仿宋"/>
                <w:sz w:val="21"/>
                <w:szCs w:val="21"/>
              </w:rPr>
            </w:pPr>
            <w:r>
              <w:rPr>
                <w:rFonts w:hint="eastAsia" w:ascii="Times New Roman" w:eastAsia="仿宋"/>
                <w:sz w:val="21"/>
                <w:szCs w:val="21"/>
              </w:rPr>
              <w:t>106</w:t>
            </w:r>
          </w:p>
        </w:tc>
        <w:tc>
          <w:tcPr>
            <w:tcW w:w="683" w:type="pct"/>
            <w:vAlign w:val="center"/>
          </w:tcPr>
          <w:p w14:paraId="6CE53ED8">
            <w:pPr>
              <w:jc w:val="center"/>
              <w:rPr>
                <w:rFonts w:ascii="Times New Roman" w:eastAsia="仿宋"/>
                <w:sz w:val="21"/>
                <w:szCs w:val="21"/>
              </w:rPr>
            </w:pPr>
            <w:r>
              <w:rPr>
                <w:rFonts w:hint="eastAsia" w:ascii="Times New Roman" w:eastAsia="仿宋"/>
                <w:sz w:val="21"/>
                <w:szCs w:val="21"/>
              </w:rPr>
              <w:t>2500</w:t>
            </w:r>
          </w:p>
        </w:tc>
        <w:tc>
          <w:tcPr>
            <w:tcW w:w="627" w:type="pct"/>
            <w:vAlign w:val="center"/>
          </w:tcPr>
          <w:p w14:paraId="15DCD514">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4D07DF51">
            <w:pPr>
              <w:jc w:val="center"/>
              <w:rPr>
                <w:rFonts w:ascii="Times New Roman" w:eastAsia="仿宋"/>
                <w:sz w:val="21"/>
                <w:szCs w:val="21"/>
              </w:rPr>
            </w:pPr>
            <w:r>
              <w:rPr>
                <w:rFonts w:hint="eastAsia" w:ascii="Times New Roman" w:eastAsia="仿宋"/>
                <w:sz w:val="21"/>
                <w:szCs w:val="21"/>
              </w:rPr>
              <w:t>/</w:t>
            </w:r>
          </w:p>
        </w:tc>
      </w:tr>
      <w:tr w14:paraId="2567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18DC656D">
            <w:pPr>
              <w:jc w:val="center"/>
              <w:rPr>
                <w:rFonts w:ascii="Times New Roman" w:eastAsia="仿宋"/>
                <w:sz w:val="21"/>
                <w:szCs w:val="21"/>
              </w:rPr>
            </w:pPr>
            <w:r>
              <w:rPr>
                <w:rFonts w:ascii="Times New Roman" w:eastAsia="仿宋"/>
                <w:sz w:val="21"/>
                <w:szCs w:val="21"/>
              </w:rPr>
              <w:t>2</w:t>
            </w:r>
          </w:p>
        </w:tc>
        <w:tc>
          <w:tcPr>
            <w:tcW w:w="527" w:type="pct"/>
            <w:vAlign w:val="center"/>
          </w:tcPr>
          <w:p w14:paraId="1F688EC9">
            <w:pPr>
              <w:jc w:val="center"/>
              <w:rPr>
                <w:rFonts w:ascii="Times New Roman" w:eastAsia="仿宋"/>
                <w:sz w:val="21"/>
                <w:szCs w:val="21"/>
              </w:rPr>
            </w:pPr>
            <w:r>
              <w:rPr>
                <w:rFonts w:ascii="Times New Roman" w:eastAsia="仿宋"/>
                <w:kern w:val="2"/>
                <w:sz w:val="21"/>
                <w:szCs w:val="21"/>
              </w:rPr>
              <w:t>邻苯二甲酸二甲酯</w:t>
            </w:r>
          </w:p>
        </w:tc>
        <w:tc>
          <w:tcPr>
            <w:tcW w:w="454" w:type="pct"/>
            <w:vAlign w:val="center"/>
          </w:tcPr>
          <w:p w14:paraId="6AEF497F">
            <w:pPr>
              <w:jc w:val="center"/>
              <w:rPr>
                <w:rFonts w:ascii="Times New Roman" w:eastAsia="仿宋"/>
                <w:sz w:val="21"/>
                <w:szCs w:val="21"/>
              </w:rPr>
            </w:pPr>
            <w:r>
              <w:rPr>
                <w:rFonts w:hint="eastAsia" w:ascii="Times New Roman" w:eastAsia="仿宋"/>
                <w:sz w:val="21"/>
                <w:szCs w:val="21"/>
              </w:rPr>
              <w:t>/</w:t>
            </w:r>
          </w:p>
        </w:tc>
        <w:tc>
          <w:tcPr>
            <w:tcW w:w="532" w:type="pct"/>
            <w:vAlign w:val="center"/>
          </w:tcPr>
          <w:p w14:paraId="1F1FB522">
            <w:pPr>
              <w:jc w:val="center"/>
              <w:rPr>
                <w:rFonts w:ascii="Times New Roman" w:eastAsia="仿宋"/>
                <w:sz w:val="21"/>
                <w:szCs w:val="21"/>
              </w:rPr>
            </w:pPr>
            <w:r>
              <w:rPr>
                <w:rFonts w:hint="eastAsia" w:ascii="Times New Roman" w:eastAsia="仿宋"/>
                <w:sz w:val="21"/>
                <w:szCs w:val="21"/>
              </w:rPr>
              <w:t>146</w:t>
            </w:r>
          </w:p>
        </w:tc>
        <w:tc>
          <w:tcPr>
            <w:tcW w:w="530" w:type="pct"/>
            <w:vAlign w:val="center"/>
          </w:tcPr>
          <w:p w14:paraId="5B39CA29">
            <w:pPr>
              <w:jc w:val="center"/>
              <w:rPr>
                <w:rFonts w:ascii="Times New Roman" w:eastAsia="仿宋"/>
                <w:sz w:val="21"/>
                <w:szCs w:val="21"/>
              </w:rPr>
            </w:pPr>
            <w:r>
              <w:rPr>
                <w:rFonts w:hint="eastAsia" w:ascii="Times New Roman" w:eastAsia="仿宋"/>
                <w:sz w:val="21"/>
                <w:szCs w:val="21"/>
              </w:rPr>
              <w:t>282.7</w:t>
            </w:r>
          </w:p>
        </w:tc>
        <w:tc>
          <w:tcPr>
            <w:tcW w:w="532" w:type="pct"/>
            <w:vAlign w:val="center"/>
          </w:tcPr>
          <w:p w14:paraId="020CC127">
            <w:pPr>
              <w:jc w:val="center"/>
              <w:rPr>
                <w:rFonts w:ascii="Times New Roman" w:eastAsia="仿宋"/>
                <w:sz w:val="21"/>
                <w:szCs w:val="21"/>
              </w:rPr>
            </w:pPr>
            <w:r>
              <w:rPr>
                <w:rFonts w:hint="eastAsia" w:ascii="Times New Roman" w:eastAsia="仿宋"/>
                <w:sz w:val="21"/>
                <w:szCs w:val="21"/>
              </w:rPr>
              <w:t>5.5</w:t>
            </w:r>
          </w:p>
        </w:tc>
        <w:tc>
          <w:tcPr>
            <w:tcW w:w="683" w:type="pct"/>
            <w:vAlign w:val="center"/>
          </w:tcPr>
          <w:p w14:paraId="0E0B8790">
            <w:pPr>
              <w:jc w:val="center"/>
              <w:rPr>
                <w:rFonts w:ascii="Times New Roman" w:eastAsia="仿宋"/>
                <w:sz w:val="21"/>
                <w:szCs w:val="21"/>
              </w:rPr>
            </w:pPr>
            <w:r>
              <w:rPr>
                <w:rFonts w:hint="eastAsia" w:ascii="Times New Roman" w:eastAsia="仿宋"/>
                <w:sz w:val="21"/>
                <w:szCs w:val="21"/>
              </w:rPr>
              <w:t>6900</w:t>
            </w:r>
          </w:p>
        </w:tc>
        <w:tc>
          <w:tcPr>
            <w:tcW w:w="627" w:type="pct"/>
            <w:vAlign w:val="center"/>
          </w:tcPr>
          <w:p w14:paraId="20B40C21">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71C9375B">
            <w:pPr>
              <w:jc w:val="center"/>
              <w:rPr>
                <w:rFonts w:ascii="Times New Roman" w:eastAsia="仿宋"/>
                <w:sz w:val="21"/>
                <w:szCs w:val="21"/>
              </w:rPr>
            </w:pPr>
            <w:r>
              <w:rPr>
                <w:rFonts w:hint="eastAsia" w:ascii="Times New Roman" w:eastAsia="仿宋"/>
                <w:sz w:val="21"/>
                <w:szCs w:val="21"/>
              </w:rPr>
              <w:t>/</w:t>
            </w:r>
          </w:p>
        </w:tc>
      </w:tr>
      <w:tr w14:paraId="661D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01E34879">
            <w:pPr>
              <w:jc w:val="center"/>
              <w:rPr>
                <w:rFonts w:ascii="Times New Roman" w:eastAsia="仿宋"/>
                <w:sz w:val="21"/>
                <w:szCs w:val="21"/>
              </w:rPr>
            </w:pPr>
            <w:r>
              <w:rPr>
                <w:rFonts w:ascii="Times New Roman" w:eastAsia="仿宋"/>
                <w:sz w:val="21"/>
                <w:szCs w:val="21"/>
              </w:rPr>
              <w:t>3</w:t>
            </w:r>
          </w:p>
        </w:tc>
        <w:tc>
          <w:tcPr>
            <w:tcW w:w="527" w:type="pct"/>
            <w:vAlign w:val="center"/>
          </w:tcPr>
          <w:p w14:paraId="70C9E7BD">
            <w:pPr>
              <w:jc w:val="center"/>
              <w:rPr>
                <w:rFonts w:ascii="Times New Roman" w:eastAsia="仿宋"/>
                <w:sz w:val="21"/>
                <w:szCs w:val="21"/>
              </w:rPr>
            </w:pPr>
            <w:r>
              <w:rPr>
                <w:rFonts w:ascii="Times New Roman" w:eastAsia="仿宋"/>
                <w:kern w:val="2"/>
                <w:sz w:val="21"/>
                <w:szCs w:val="21"/>
              </w:rPr>
              <w:t>二甲</w:t>
            </w:r>
            <w:r>
              <w:rPr>
                <w:rFonts w:hint="eastAsia" w:ascii="Times New Roman" w:eastAsia="仿宋"/>
                <w:kern w:val="2"/>
                <w:sz w:val="21"/>
                <w:szCs w:val="21"/>
              </w:rPr>
              <w:t>苯</w:t>
            </w:r>
          </w:p>
        </w:tc>
        <w:tc>
          <w:tcPr>
            <w:tcW w:w="454" w:type="pct"/>
            <w:vAlign w:val="center"/>
          </w:tcPr>
          <w:p w14:paraId="4FE8C6BA">
            <w:pPr>
              <w:jc w:val="center"/>
              <w:rPr>
                <w:rFonts w:ascii="Times New Roman" w:eastAsia="仿宋"/>
                <w:sz w:val="21"/>
                <w:szCs w:val="21"/>
              </w:rPr>
            </w:pPr>
            <w:r>
              <w:rPr>
                <w:rFonts w:hint="eastAsia" w:ascii="Times New Roman" w:eastAsia="仿宋"/>
                <w:sz w:val="21"/>
                <w:szCs w:val="21"/>
              </w:rPr>
              <w:t>1307</w:t>
            </w:r>
          </w:p>
        </w:tc>
        <w:tc>
          <w:tcPr>
            <w:tcW w:w="532" w:type="pct"/>
            <w:vAlign w:val="center"/>
          </w:tcPr>
          <w:p w14:paraId="3E4B858C">
            <w:pPr>
              <w:jc w:val="center"/>
              <w:rPr>
                <w:rFonts w:ascii="Times New Roman" w:eastAsia="仿宋"/>
                <w:sz w:val="21"/>
                <w:szCs w:val="21"/>
              </w:rPr>
            </w:pPr>
            <w:r>
              <w:rPr>
                <w:rFonts w:hint="eastAsia" w:ascii="Times New Roman" w:eastAsia="仿宋"/>
                <w:sz w:val="21"/>
                <w:szCs w:val="21"/>
              </w:rPr>
              <w:t>32.2</w:t>
            </w:r>
          </w:p>
        </w:tc>
        <w:tc>
          <w:tcPr>
            <w:tcW w:w="530" w:type="pct"/>
            <w:vAlign w:val="center"/>
          </w:tcPr>
          <w:p w14:paraId="1F0BED01">
            <w:pPr>
              <w:jc w:val="center"/>
              <w:rPr>
                <w:rFonts w:ascii="Times New Roman" w:eastAsia="仿宋"/>
                <w:sz w:val="21"/>
                <w:szCs w:val="21"/>
              </w:rPr>
            </w:pPr>
            <w:r>
              <w:rPr>
                <w:rFonts w:hint="eastAsia" w:ascii="Times New Roman" w:eastAsia="仿宋"/>
                <w:sz w:val="21"/>
                <w:szCs w:val="21"/>
              </w:rPr>
              <w:t>145.9</w:t>
            </w:r>
          </w:p>
        </w:tc>
        <w:tc>
          <w:tcPr>
            <w:tcW w:w="532" w:type="pct"/>
            <w:vAlign w:val="center"/>
          </w:tcPr>
          <w:p w14:paraId="1579CC09">
            <w:pPr>
              <w:jc w:val="center"/>
              <w:rPr>
                <w:rFonts w:ascii="Times New Roman" w:eastAsia="仿宋"/>
                <w:sz w:val="21"/>
                <w:szCs w:val="21"/>
              </w:rPr>
            </w:pPr>
            <w:r>
              <w:rPr>
                <w:rFonts w:hint="eastAsia" w:ascii="Times New Roman" w:eastAsia="仿宋"/>
                <w:sz w:val="21"/>
                <w:szCs w:val="21"/>
              </w:rPr>
              <w:t>-34</w:t>
            </w:r>
          </w:p>
        </w:tc>
        <w:tc>
          <w:tcPr>
            <w:tcW w:w="683" w:type="pct"/>
            <w:vAlign w:val="center"/>
          </w:tcPr>
          <w:p w14:paraId="1E115462">
            <w:pPr>
              <w:jc w:val="center"/>
              <w:rPr>
                <w:rFonts w:ascii="Times New Roman" w:eastAsia="仿宋"/>
                <w:sz w:val="21"/>
                <w:szCs w:val="21"/>
              </w:rPr>
            </w:pPr>
            <w:r>
              <w:rPr>
                <w:rFonts w:hint="eastAsia" w:ascii="Times New Roman" w:eastAsia="仿宋"/>
                <w:sz w:val="21"/>
                <w:szCs w:val="21"/>
              </w:rPr>
              <w:t>4300</w:t>
            </w:r>
          </w:p>
        </w:tc>
        <w:tc>
          <w:tcPr>
            <w:tcW w:w="627" w:type="pct"/>
            <w:vAlign w:val="center"/>
          </w:tcPr>
          <w:p w14:paraId="3196C510">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35F31B1A">
            <w:pPr>
              <w:jc w:val="center"/>
              <w:rPr>
                <w:rFonts w:ascii="Times New Roman" w:eastAsia="仿宋"/>
                <w:sz w:val="21"/>
                <w:szCs w:val="21"/>
              </w:rPr>
            </w:pPr>
            <w:r>
              <w:rPr>
                <w:rFonts w:hint="eastAsia" w:ascii="Times New Roman" w:eastAsia="仿宋"/>
                <w:sz w:val="21"/>
                <w:szCs w:val="21"/>
              </w:rPr>
              <w:t>/</w:t>
            </w:r>
          </w:p>
        </w:tc>
      </w:tr>
      <w:tr w14:paraId="1DD3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42F35A44">
            <w:pPr>
              <w:jc w:val="center"/>
              <w:rPr>
                <w:rFonts w:ascii="Times New Roman" w:eastAsia="仿宋"/>
                <w:sz w:val="21"/>
                <w:szCs w:val="21"/>
              </w:rPr>
            </w:pPr>
            <w:r>
              <w:rPr>
                <w:rFonts w:ascii="Times New Roman" w:eastAsia="仿宋"/>
                <w:sz w:val="21"/>
                <w:szCs w:val="21"/>
              </w:rPr>
              <w:t>4</w:t>
            </w:r>
          </w:p>
        </w:tc>
        <w:tc>
          <w:tcPr>
            <w:tcW w:w="527" w:type="pct"/>
            <w:vAlign w:val="center"/>
          </w:tcPr>
          <w:p w14:paraId="3B78D447">
            <w:pPr>
              <w:jc w:val="center"/>
              <w:rPr>
                <w:rFonts w:ascii="Times New Roman" w:eastAsia="仿宋"/>
                <w:sz w:val="21"/>
                <w:szCs w:val="21"/>
              </w:rPr>
            </w:pPr>
            <w:r>
              <w:rPr>
                <w:rFonts w:hint="eastAsia" w:ascii="Times New Roman" w:eastAsia="仿宋"/>
                <w:sz w:val="21"/>
                <w:szCs w:val="21"/>
              </w:rPr>
              <w:t>乙醇</w:t>
            </w:r>
          </w:p>
        </w:tc>
        <w:tc>
          <w:tcPr>
            <w:tcW w:w="454" w:type="pct"/>
            <w:vAlign w:val="center"/>
          </w:tcPr>
          <w:p w14:paraId="75FB8ED9">
            <w:pPr>
              <w:jc w:val="center"/>
              <w:rPr>
                <w:rFonts w:ascii="Times New Roman" w:eastAsia="仿宋"/>
                <w:sz w:val="21"/>
                <w:szCs w:val="21"/>
              </w:rPr>
            </w:pPr>
            <w:r>
              <w:rPr>
                <w:rFonts w:hint="eastAsia" w:ascii="Times New Roman" w:eastAsia="仿宋"/>
                <w:sz w:val="21"/>
                <w:szCs w:val="21"/>
              </w:rPr>
              <w:t>32061</w:t>
            </w:r>
          </w:p>
        </w:tc>
        <w:tc>
          <w:tcPr>
            <w:tcW w:w="532" w:type="pct"/>
            <w:vAlign w:val="center"/>
          </w:tcPr>
          <w:p w14:paraId="3F5C5099">
            <w:pPr>
              <w:jc w:val="center"/>
              <w:rPr>
                <w:rFonts w:ascii="Times New Roman" w:eastAsia="仿宋"/>
                <w:sz w:val="21"/>
                <w:szCs w:val="21"/>
              </w:rPr>
            </w:pPr>
            <w:r>
              <w:rPr>
                <w:rFonts w:hint="eastAsia" w:ascii="Times New Roman" w:eastAsia="仿宋"/>
                <w:sz w:val="21"/>
                <w:szCs w:val="21"/>
              </w:rPr>
              <w:t>8.9</w:t>
            </w:r>
          </w:p>
        </w:tc>
        <w:tc>
          <w:tcPr>
            <w:tcW w:w="530" w:type="pct"/>
            <w:vAlign w:val="center"/>
          </w:tcPr>
          <w:p w14:paraId="42550203">
            <w:pPr>
              <w:jc w:val="center"/>
              <w:rPr>
                <w:rFonts w:ascii="Times New Roman" w:eastAsia="仿宋"/>
                <w:sz w:val="21"/>
                <w:szCs w:val="21"/>
              </w:rPr>
            </w:pPr>
            <w:r>
              <w:rPr>
                <w:rFonts w:hint="eastAsia" w:ascii="Times New Roman" w:eastAsia="仿宋"/>
                <w:sz w:val="21"/>
                <w:szCs w:val="21"/>
              </w:rPr>
              <w:t>78.3</w:t>
            </w:r>
          </w:p>
        </w:tc>
        <w:tc>
          <w:tcPr>
            <w:tcW w:w="532" w:type="pct"/>
            <w:vAlign w:val="center"/>
          </w:tcPr>
          <w:p w14:paraId="1B4D42C5">
            <w:pPr>
              <w:jc w:val="center"/>
              <w:rPr>
                <w:rFonts w:ascii="Times New Roman" w:eastAsia="仿宋"/>
                <w:sz w:val="21"/>
                <w:szCs w:val="21"/>
              </w:rPr>
            </w:pPr>
            <w:r>
              <w:rPr>
                <w:rFonts w:hint="eastAsia" w:ascii="Times New Roman" w:eastAsia="仿宋"/>
                <w:sz w:val="21"/>
                <w:szCs w:val="21"/>
              </w:rPr>
              <w:t>-114.4</w:t>
            </w:r>
          </w:p>
        </w:tc>
        <w:tc>
          <w:tcPr>
            <w:tcW w:w="683" w:type="pct"/>
            <w:vAlign w:val="center"/>
          </w:tcPr>
          <w:p w14:paraId="78E54159">
            <w:pPr>
              <w:jc w:val="center"/>
              <w:rPr>
                <w:rFonts w:ascii="Times New Roman" w:eastAsia="仿宋"/>
                <w:sz w:val="21"/>
                <w:szCs w:val="21"/>
              </w:rPr>
            </w:pPr>
            <w:r>
              <w:rPr>
                <w:rFonts w:hint="eastAsia" w:ascii="Times New Roman" w:eastAsia="仿宋"/>
                <w:sz w:val="21"/>
                <w:szCs w:val="21"/>
              </w:rPr>
              <w:t>7060</w:t>
            </w:r>
          </w:p>
        </w:tc>
        <w:tc>
          <w:tcPr>
            <w:tcW w:w="627" w:type="pct"/>
            <w:vAlign w:val="center"/>
          </w:tcPr>
          <w:p w14:paraId="03AB1846">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53DAB183">
            <w:pPr>
              <w:jc w:val="center"/>
              <w:rPr>
                <w:rFonts w:ascii="Times New Roman" w:eastAsia="仿宋"/>
                <w:sz w:val="21"/>
                <w:szCs w:val="21"/>
              </w:rPr>
            </w:pPr>
            <w:r>
              <w:rPr>
                <w:rFonts w:hint="eastAsia" w:ascii="Times New Roman" w:eastAsia="仿宋"/>
                <w:sz w:val="21"/>
                <w:szCs w:val="21"/>
              </w:rPr>
              <w:t>37620</w:t>
            </w:r>
          </w:p>
        </w:tc>
      </w:tr>
      <w:tr w14:paraId="3874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343B4EDA">
            <w:pPr>
              <w:jc w:val="center"/>
              <w:rPr>
                <w:rFonts w:ascii="Times New Roman" w:eastAsia="仿宋"/>
                <w:sz w:val="21"/>
                <w:szCs w:val="21"/>
              </w:rPr>
            </w:pPr>
            <w:r>
              <w:rPr>
                <w:rFonts w:ascii="Times New Roman" w:eastAsia="仿宋"/>
                <w:sz w:val="21"/>
                <w:szCs w:val="21"/>
              </w:rPr>
              <w:t>5</w:t>
            </w:r>
          </w:p>
        </w:tc>
        <w:tc>
          <w:tcPr>
            <w:tcW w:w="527" w:type="pct"/>
            <w:vAlign w:val="center"/>
          </w:tcPr>
          <w:p w14:paraId="5AA4C729">
            <w:pPr>
              <w:snapToGrid w:val="0"/>
              <w:rPr>
                <w:rFonts w:ascii="Times New Roman" w:eastAsia="仿宋"/>
                <w:sz w:val="21"/>
                <w:szCs w:val="21"/>
              </w:rPr>
            </w:pPr>
            <w:r>
              <w:rPr>
                <w:rFonts w:hint="eastAsia" w:ascii="Times New Roman" w:eastAsia="仿宋"/>
                <w:kern w:val="2"/>
                <w:sz w:val="21"/>
                <w:szCs w:val="21"/>
              </w:rPr>
              <w:t>环己酮</w:t>
            </w:r>
          </w:p>
        </w:tc>
        <w:tc>
          <w:tcPr>
            <w:tcW w:w="454" w:type="pct"/>
            <w:vAlign w:val="center"/>
          </w:tcPr>
          <w:p w14:paraId="549815BA">
            <w:pPr>
              <w:jc w:val="center"/>
              <w:rPr>
                <w:rFonts w:ascii="Times New Roman" w:eastAsia="仿宋"/>
                <w:sz w:val="21"/>
                <w:szCs w:val="21"/>
              </w:rPr>
            </w:pPr>
            <w:r>
              <w:rPr>
                <w:rFonts w:hint="eastAsia" w:ascii="Times New Roman" w:eastAsia="仿宋"/>
                <w:sz w:val="21"/>
                <w:szCs w:val="21"/>
              </w:rPr>
              <w:t>3272</w:t>
            </w:r>
          </w:p>
        </w:tc>
        <w:tc>
          <w:tcPr>
            <w:tcW w:w="532" w:type="pct"/>
            <w:vAlign w:val="center"/>
          </w:tcPr>
          <w:p w14:paraId="0CD43D20">
            <w:pPr>
              <w:jc w:val="center"/>
              <w:rPr>
                <w:rFonts w:ascii="Times New Roman" w:eastAsia="仿宋"/>
                <w:sz w:val="21"/>
                <w:szCs w:val="21"/>
              </w:rPr>
            </w:pPr>
            <w:r>
              <w:rPr>
                <w:rFonts w:hint="eastAsia" w:ascii="Times New Roman" w:eastAsia="仿宋"/>
                <w:sz w:val="21"/>
                <w:szCs w:val="21"/>
              </w:rPr>
              <w:t>46.7</w:t>
            </w:r>
          </w:p>
        </w:tc>
        <w:tc>
          <w:tcPr>
            <w:tcW w:w="530" w:type="pct"/>
            <w:vAlign w:val="center"/>
          </w:tcPr>
          <w:p w14:paraId="796877EC">
            <w:pPr>
              <w:jc w:val="center"/>
              <w:rPr>
                <w:rFonts w:ascii="Times New Roman" w:eastAsia="仿宋"/>
                <w:sz w:val="21"/>
                <w:szCs w:val="21"/>
              </w:rPr>
            </w:pPr>
            <w:r>
              <w:rPr>
                <w:rFonts w:hint="eastAsia" w:ascii="Times New Roman" w:eastAsia="仿宋"/>
                <w:sz w:val="21"/>
                <w:szCs w:val="21"/>
              </w:rPr>
              <w:t>155.7</w:t>
            </w:r>
          </w:p>
        </w:tc>
        <w:tc>
          <w:tcPr>
            <w:tcW w:w="532" w:type="pct"/>
            <w:vAlign w:val="center"/>
          </w:tcPr>
          <w:p w14:paraId="69D01D57">
            <w:pPr>
              <w:jc w:val="center"/>
              <w:rPr>
                <w:rFonts w:ascii="Times New Roman" w:eastAsia="仿宋"/>
                <w:sz w:val="21"/>
                <w:szCs w:val="21"/>
              </w:rPr>
            </w:pPr>
            <w:r>
              <w:rPr>
                <w:rFonts w:hint="eastAsia" w:ascii="Times New Roman" w:eastAsia="仿宋"/>
                <w:sz w:val="21"/>
                <w:szCs w:val="21"/>
              </w:rPr>
              <w:t>-47</w:t>
            </w:r>
          </w:p>
        </w:tc>
        <w:tc>
          <w:tcPr>
            <w:tcW w:w="683" w:type="pct"/>
            <w:vAlign w:val="center"/>
          </w:tcPr>
          <w:p w14:paraId="5F7526B6">
            <w:pPr>
              <w:jc w:val="center"/>
              <w:rPr>
                <w:rFonts w:ascii="Times New Roman" w:eastAsia="仿宋"/>
                <w:sz w:val="21"/>
                <w:szCs w:val="21"/>
              </w:rPr>
            </w:pPr>
            <w:r>
              <w:rPr>
                <w:rFonts w:hint="eastAsia" w:ascii="Times New Roman" w:eastAsia="仿宋"/>
                <w:sz w:val="21"/>
                <w:szCs w:val="21"/>
              </w:rPr>
              <w:t>1535</w:t>
            </w:r>
          </w:p>
        </w:tc>
        <w:tc>
          <w:tcPr>
            <w:tcW w:w="627" w:type="pct"/>
            <w:vAlign w:val="center"/>
          </w:tcPr>
          <w:p w14:paraId="399AA5C0">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0830A437">
            <w:pPr>
              <w:jc w:val="center"/>
              <w:rPr>
                <w:rFonts w:ascii="Times New Roman" w:eastAsia="仿宋"/>
                <w:sz w:val="21"/>
                <w:szCs w:val="21"/>
              </w:rPr>
            </w:pPr>
            <w:r>
              <w:rPr>
                <w:rFonts w:hint="eastAsia" w:ascii="Times New Roman" w:eastAsia="仿宋"/>
                <w:sz w:val="21"/>
                <w:szCs w:val="21"/>
              </w:rPr>
              <w:t>/</w:t>
            </w:r>
          </w:p>
        </w:tc>
      </w:tr>
      <w:tr w14:paraId="2646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5E62A9BF">
            <w:pPr>
              <w:jc w:val="center"/>
              <w:rPr>
                <w:rFonts w:ascii="Times New Roman" w:eastAsia="仿宋"/>
                <w:sz w:val="21"/>
                <w:szCs w:val="21"/>
              </w:rPr>
            </w:pPr>
            <w:r>
              <w:rPr>
                <w:rFonts w:ascii="Times New Roman" w:eastAsia="仿宋"/>
                <w:sz w:val="21"/>
                <w:szCs w:val="21"/>
              </w:rPr>
              <w:t>6</w:t>
            </w:r>
          </w:p>
        </w:tc>
        <w:tc>
          <w:tcPr>
            <w:tcW w:w="527" w:type="pct"/>
            <w:vAlign w:val="center"/>
          </w:tcPr>
          <w:p w14:paraId="43C84E3C">
            <w:pPr>
              <w:jc w:val="center"/>
              <w:rPr>
                <w:rFonts w:ascii="Times New Roman" w:eastAsia="仿宋"/>
                <w:sz w:val="21"/>
                <w:szCs w:val="21"/>
                <w:lang w:val="en-SG"/>
              </w:rPr>
            </w:pPr>
            <w:r>
              <w:rPr>
                <w:rFonts w:hint="eastAsia" w:ascii="Times New Roman" w:eastAsia="仿宋"/>
                <w:kern w:val="2"/>
                <w:sz w:val="21"/>
                <w:szCs w:val="21"/>
              </w:rPr>
              <w:t>醋酸乙酯</w:t>
            </w:r>
          </w:p>
        </w:tc>
        <w:tc>
          <w:tcPr>
            <w:tcW w:w="454" w:type="pct"/>
            <w:vAlign w:val="center"/>
          </w:tcPr>
          <w:p w14:paraId="74C30587">
            <w:pPr>
              <w:jc w:val="center"/>
              <w:rPr>
                <w:rFonts w:ascii="Times New Roman" w:eastAsia="仿宋"/>
                <w:sz w:val="21"/>
                <w:szCs w:val="21"/>
              </w:rPr>
            </w:pPr>
            <w:r>
              <w:rPr>
                <w:rFonts w:hint="eastAsia" w:ascii="Times New Roman" w:eastAsia="仿宋"/>
                <w:sz w:val="21"/>
                <w:szCs w:val="21"/>
              </w:rPr>
              <w:t>32127</w:t>
            </w:r>
          </w:p>
        </w:tc>
        <w:tc>
          <w:tcPr>
            <w:tcW w:w="532" w:type="pct"/>
            <w:vAlign w:val="center"/>
          </w:tcPr>
          <w:p w14:paraId="1AC82EED">
            <w:pPr>
              <w:jc w:val="center"/>
              <w:rPr>
                <w:rFonts w:ascii="Times New Roman" w:eastAsia="仿宋"/>
                <w:sz w:val="21"/>
                <w:szCs w:val="21"/>
              </w:rPr>
            </w:pPr>
            <w:r>
              <w:rPr>
                <w:rFonts w:hint="eastAsia" w:ascii="Times New Roman" w:eastAsia="仿宋"/>
                <w:sz w:val="21"/>
                <w:szCs w:val="21"/>
              </w:rPr>
              <w:t>-3.3</w:t>
            </w:r>
          </w:p>
        </w:tc>
        <w:tc>
          <w:tcPr>
            <w:tcW w:w="530" w:type="pct"/>
            <w:vAlign w:val="center"/>
          </w:tcPr>
          <w:p w14:paraId="364AA76F">
            <w:pPr>
              <w:jc w:val="center"/>
              <w:rPr>
                <w:rFonts w:ascii="Times New Roman" w:eastAsia="仿宋"/>
                <w:sz w:val="21"/>
                <w:szCs w:val="21"/>
              </w:rPr>
            </w:pPr>
            <w:r>
              <w:rPr>
                <w:rFonts w:hint="eastAsia" w:ascii="Times New Roman" w:eastAsia="仿宋"/>
                <w:sz w:val="21"/>
                <w:szCs w:val="21"/>
              </w:rPr>
              <w:t>73.9</w:t>
            </w:r>
          </w:p>
        </w:tc>
        <w:tc>
          <w:tcPr>
            <w:tcW w:w="532" w:type="pct"/>
            <w:vAlign w:val="center"/>
          </w:tcPr>
          <w:p w14:paraId="568501E6">
            <w:pPr>
              <w:jc w:val="center"/>
              <w:rPr>
                <w:rFonts w:ascii="Times New Roman" w:eastAsia="仿宋"/>
                <w:sz w:val="21"/>
                <w:szCs w:val="21"/>
              </w:rPr>
            </w:pPr>
            <w:r>
              <w:rPr>
                <w:rFonts w:hint="eastAsia" w:ascii="Times New Roman" w:eastAsia="仿宋"/>
                <w:sz w:val="21"/>
                <w:szCs w:val="21"/>
              </w:rPr>
              <w:t>-84</w:t>
            </w:r>
          </w:p>
        </w:tc>
        <w:tc>
          <w:tcPr>
            <w:tcW w:w="683" w:type="pct"/>
            <w:vAlign w:val="center"/>
          </w:tcPr>
          <w:p w14:paraId="23B25485">
            <w:pPr>
              <w:jc w:val="center"/>
              <w:rPr>
                <w:rFonts w:ascii="Times New Roman" w:eastAsia="仿宋"/>
                <w:sz w:val="21"/>
                <w:szCs w:val="21"/>
              </w:rPr>
            </w:pPr>
            <w:r>
              <w:rPr>
                <w:rFonts w:hint="eastAsia" w:ascii="Times New Roman" w:eastAsia="仿宋"/>
                <w:sz w:val="21"/>
                <w:szCs w:val="21"/>
              </w:rPr>
              <w:t>5620</w:t>
            </w:r>
          </w:p>
        </w:tc>
        <w:tc>
          <w:tcPr>
            <w:tcW w:w="627" w:type="pct"/>
            <w:vAlign w:val="center"/>
          </w:tcPr>
          <w:p w14:paraId="34587652">
            <w:pPr>
              <w:jc w:val="center"/>
              <w:rPr>
                <w:rFonts w:ascii="Times New Roman" w:eastAsia="仿宋"/>
                <w:sz w:val="21"/>
                <w:szCs w:val="21"/>
              </w:rPr>
            </w:pPr>
            <w:r>
              <w:rPr>
                <w:rFonts w:hint="eastAsia" w:ascii="Times New Roman" w:eastAsia="仿宋"/>
                <w:sz w:val="21"/>
                <w:szCs w:val="21"/>
              </w:rPr>
              <w:t>5760</w:t>
            </w:r>
          </w:p>
        </w:tc>
        <w:tc>
          <w:tcPr>
            <w:tcW w:w="876" w:type="pct"/>
            <w:vAlign w:val="center"/>
          </w:tcPr>
          <w:p w14:paraId="6E66A545">
            <w:pPr>
              <w:jc w:val="center"/>
              <w:rPr>
                <w:rFonts w:ascii="Times New Roman" w:eastAsia="仿宋"/>
                <w:sz w:val="21"/>
                <w:szCs w:val="21"/>
              </w:rPr>
            </w:pPr>
            <w:r>
              <w:rPr>
                <w:rFonts w:hint="eastAsia" w:ascii="Times New Roman" w:eastAsia="仿宋"/>
                <w:sz w:val="21"/>
                <w:szCs w:val="21"/>
              </w:rPr>
              <w:t>/</w:t>
            </w:r>
          </w:p>
        </w:tc>
      </w:tr>
      <w:tr w14:paraId="477E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 w:type="pct"/>
            <w:vAlign w:val="center"/>
          </w:tcPr>
          <w:p w14:paraId="7B1FFE68">
            <w:pPr>
              <w:jc w:val="center"/>
              <w:rPr>
                <w:rFonts w:ascii="Times New Roman" w:eastAsia="仿宋"/>
                <w:sz w:val="21"/>
                <w:szCs w:val="21"/>
              </w:rPr>
            </w:pPr>
            <w:r>
              <w:rPr>
                <w:rFonts w:ascii="Times New Roman" w:eastAsia="仿宋"/>
                <w:sz w:val="21"/>
                <w:szCs w:val="21"/>
              </w:rPr>
              <w:t>7</w:t>
            </w:r>
          </w:p>
        </w:tc>
        <w:tc>
          <w:tcPr>
            <w:tcW w:w="527" w:type="pct"/>
            <w:vAlign w:val="center"/>
          </w:tcPr>
          <w:p w14:paraId="7478A7DA">
            <w:pPr>
              <w:snapToGrid w:val="0"/>
              <w:jc w:val="center"/>
              <w:rPr>
                <w:rFonts w:ascii="Times New Roman" w:eastAsia="仿宋"/>
                <w:sz w:val="21"/>
                <w:szCs w:val="21"/>
                <w:lang w:val="en-SG"/>
              </w:rPr>
            </w:pPr>
            <w:r>
              <w:rPr>
                <w:rFonts w:hint="eastAsia" w:ascii="Times New Roman" w:eastAsia="仿宋"/>
                <w:kern w:val="2"/>
                <w:sz w:val="21"/>
                <w:szCs w:val="21"/>
              </w:rPr>
              <w:t>醋酸丁酯</w:t>
            </w:r>
          </w:p>
        </w:tc>
        <w:tc>
          <w:tcPr>
            <w:tcW w:w="454" w:type="pct"/>
            <w:vAlign w:val="center"/>
          </w:tcPr>
          <w:p w14:paraId="6A745660">
            <w:pPr>
              <w:jc w:val="center"/>
              <w:rPr>
                <w:rFonts w:ascii="Times New Roman" w:eastAsia="仿宋"/>
                <w:sz w:val="21"/>
                <w:szCs w:val="21"/>
              </w:rPr>
            </w:pPr>
            <w:r>
              <w:rPr>
                <w:rFonts w:hint="eastAsia" w:ascii="Times New Roman" w:eastAsia="仿宋"/>
                <w:sz w:val="21"/>
                <w:szCs w:val="21"/>
              </w:rPr>
              <w:t>32130</w:t>
            </w:r>
          </w:p>
        </w:tc>
        <w:tc>
          <w:tcPr>
            <w:tcW w:w="532" w:type="pct"/>
            <w:vAlign w:val="center"/>
          </w:tcPr>
          <w:p w14:paraId="782A6214">
            <w:pPr>
              <w:jc w:val="center"/>
              <w:rPr>
                <w:rFonts w:ascii="Times New Roman" w:eastAsia="仿宋"/>
                <w:sz w:val="21"/>
                <w:szCs w:val="21"/>
              </w:rPr>
            </w:pPr>
            <w:r>
              <w:rPr>
                <w:rFonts w:hint="eastAsia" w:ascii="Times New Roman" w:eastAsia="仿宋"/>
                <w:sz w:val="21"/>
                <w:szCs w:val="21"/>
              </w:rPr>
              <w:t>22.2</w:t>
            </w:r>
          </w:p>
        </w:tc>
        <w:tc>
          <w:tcPr>
            <w:tcW w:w="530" w:type="pct"/>
            <w:vAlign w:val="center"/>
          </w:tcPr>
          <w:p w14:paraId="038AFA16">
            <w:pPr>
              <w:jc w:val="center"/>
              <w:rPr>
                <w:rFonts w:ascii="Times New Roman" w:eastAsia="仿宋"/>
                <w:sz w:val="21"/>
                <w:szCs w:val="21"/>
              </w:rPr>
            </w:pPr>
            <w:r>
              <w:rPr>
                <w:rFonts w:hint="eastAsia" w:ascii="Times New Roman" w:eastAsia="仿宋"/>
                <w:sz w:val="21"/>
                <w:szCs w:val="21"/>
              </w:rPr>
              <w:t>126.6</w:t>
            </w:r>
          </w:p>
        </w:tc>
        <w:tc>
          <w:tcPr>
            <w:tcW w:w="532" w:type="pct"/>
            <w:vAlign w:val="center"/>
          </w:tcPr>
          <w:p w14:paraId="0EF29D4F">
            <w:pPr>
              <w:jc w:val="center"/>
              <w:rPr>
                <w:rFonts w:ascii="Times New Roman" w:eastAsia="仿宋"/>
                <w:sz w:val="21"/>
                <w:szCs w:val="21"/>
              </w:rPr>
            </w:pPr>
            <w:r>
              <w:rPr>
                <w:rFonts w:hint="eastAsia" w:ascii="Times New Roman" w:eastAsia="仿宋"/>
                <w:sz w:val="21"/>
                <w:szCs w:val="21"/>
              </w:rPr>
              <w:t>-78</w:t>
            </w:r>
          </w:p>
        </w:tc>
        <w:tc>
          <w:tcPr>
            <w:tcW w:w="683" w:type="pct"/>
            <w:vAlign w:val="center"/>
          </w:tcPr>
          <w:p w14:paraId="27E0E2E3">
            <w:pPr>
              <w:jc w:val="center"/>
              <w:rPr>
                <w:rFonts w:ascii="Times New Roman" w:eastAsia="仿宋"/>
                <w:sz w:val="21"/>
                <w:szCs w:val="21"/>
              </w:rPr>
            </w:pPr>
            <w:r>
              <w:rPr>
                <w:rFonts w:hint="eastAsia" w:ascii="Times New Roman" w:eastAsia="仿宋"/>
                <w:sz w:val="21"/>
                <w:szCs w:val="21"/>
              </w:rPr>
              <w:t>13100</w:t>
            </w:r>
          </w:p>
        </w:tc>
        <w:tc>
          <w:tcPr>
            <w:tcW w:w="627" w:type="pct"/>
            <w:vAlign w:val="center"/>
          </w:tcPr>
          <w:p w14:paraId="5EB3A617">
            <w:pPr>
              <w:jc w:val="center"/>
              <w:rPr>
                <w:rFonts w:ascii="Times New Roman" w:eastAsia="仿宋"/>
                <w:sz w:val="21"/>
                <w:szCs w:val="21"/>
              </w:rPr>
            </w:pPr>
            <w:r>
              <w:rPr>
                <w:rFonts w:hint="eastAsia" w:ascii="Times New Roman" w:eastAsia="仿宋"/>
                <w:sz w:val="21"/>
                <w:szCs w:val="21"/>
              </w:rPr>
              <w:t>/</w:t>
            </w:r>
          </w:p>
        </w:tc>
        <w:tc>
          <w:tcPr>
            <w:tcW w:w="876" w:type="pct"/>
            <w:vAlign w:val="center"/>
          </w:tcPr>
          <w:p w14:paraId="2D506E5E">
            <w:pPr>
              <w:jc w:val="center"/>
              <w:rPr>
                <w:rFonts w:ascii="Times New Roman" w:eastAsia="仿宋"/>
                <w:sz w:val="21"/>
                <w:szCs w:val="21"/>
              </w:rPr>
            </w:pPr>
            <w:r>
              <w:rPr>
                <w:rFonts w:hint="eastAsia" w:ascii="Times New Roman" w:eastAsia="仿宋"/>
                <w:sz w:val="21"/>
                <w:szCs w:val="21"/>
              </w:rPr>
              <w:t>/</w:t>
            </w:r>
          </w:p>
        </w:tc>
      </w:tr>
    </w:tbl>
    <w:p w14:paraId="608C672D">
      <w:pPr>
        <w:spacing w:line="500" w:lineRule="exact"/>
        <w:jc w:val="center"/>
        <w:rPr>
          <w:rFonts w:ascii="Times New Roman" w:eastAsia="仿宋"/>
          <w:b/>
          <w:bCs/>
        </w:rPr>
      </w:pPr>
      <w:r>
        <w:rPr>
          <w:rFonts w:ascii="Times New Roman" w:eastAsia="仿宋"/>
          <w:b/>
          <w:bCs/>
        </w:rPr>
        <w:t>表3.3-3  主要化学品危险性判别表</w:t>
      </w:r>
    </w:p>
    <w:tbl>
      <w:tblPr>
        <w:tblStyle w:val="87"/>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673"/>
        <w:gridCol w:w="936"/>
        <w:gridCol w:w="4969"/>
        <w:gridCol w:w="1601"/>
      </w:tblGrid>
      <w:tr w14:paraId="36A1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10" w:type="pct"/>
            <w:vAlign w:val="center"/>
          </w:tcPr>
          <w:p w14:paraId="1C4853AF">
            <w:pPr>
              <w:snapToGrid w:val="0"/>
              <w:jc w:val="center"/>
              <w:rPr>
                <w:rFonts w:ascii="Times New Roman" w:eastAsia="仿宋"/>
                <w:kern w:val="2"/>
                <w:sz w:val="21"/>
                <w:szCs w:val="21"/>
              </w:rPr>
            </w:pPr>
            <w:r>
              <w:rPr>
                <w:rFonts w:hint="eastAsia" w:ascii="Times New Roman" w:eastAsia="仿宋"/>
                <w:kern w:val="2"/>
                <w:sz w:val="21"/>
                <w:szCs w:val="21"/>
              </w:rPr>
              <w:t>物质</w:t>
            </w:r>
          </w:p>
        </w:tc>
        <w:tc>
          <w:tcPr>
            <w:tcW w:w="361" w:type="pct"/>
            <w:vAlign w:val="center"/>
          </w:tcPr>
          <w:p w14:paraId="2499DDD0">
            <w:pPr>
              <w:snapToGrid w:val="0"/>
              <w:jc w:val="center"/>
              <w:rPr>
                <w:rFonts w:ascii="Times New Roman" w:eastAsia="仿宋"/>
                <w:kern w:val="2"/>
                <w:sz w:val="21"/>
                <w:szCs w:val="21"/>
              </w:rPr>
            </w:pPr>
            <w:r>
              <w:rPr>
                <w:rFonts w:hint="eastAsia" w:ascii="Times New Roman" w:eastAsia="仿宋"/>
                <w:kern w:val="2"/>
                <w:sz w:val="21"/>
                <w:szCs w:val="21"/>
              </w:rPr>
              <w:t>毒性</w:t>
            </w:r>
          </w:p>
        </w:tc>
        <w:tc>
          <w:tcPr>
            <w:tcW w:w="502" w:type="pct"/>
            <w:vAlign w:val="center"/>
          </w:tcPr>
          <w:p w14:paraId="4238EE6C">
            <w:pPr>
              <w:snapToGrid w:val="0"/>
              <w:jc w:val="center"/>
              <w:rPr>
                <w:rFonts w:ascii="Times New Roman" w:eastAsia="仿宋"/>
                <w:kern w:val="2"/>
                <w:sz w:val="21"/>
                <w:szCs w:val="21"/>
              </w:rPr>
            </w:pPr>
            <w:r>
              <w:rPr>
                <w:rFonts w:hint="eastAsia" w:ascii="Times New Roman" w:eastAsia="仿宋"/>
                <w:kern w:val="2"/>
                <w:sz w:val="21"/>
                <w:szCs w:val="21"/>
              </w:rPr>
              <w:t>燃烧性</w:t>
            </w:r>
          </w:p>
        </w:tc>
        <w:tc>
          <w:tcPr>
            <w:tcW w:w="2666" w:type="pct"/>
            <w:vAlign w:val="center"/>
          </w:tcPr>
          <w:p w14:paraId="71DE940B">
            <w:pPr>
              <w:snapToGrid w:val="0"/>
              <w:jc w:val="center"/>
              <w:rPr>
                <w:rFonts w:ascii="Times New Roman" w:eastAsia="仿宋"/>
                <w:kern w:val="2"/>
                <w:sz w:val="21"/>
                <w:szCs w:val="21"/>
              </w:rPr>
            </w:pPr>
            <w:r>
              <w:rPr>
                <w:rFonts w:hint="eastAsia" w:ascii="Times New Roman" w:eastAsia="仿宋"/>
                <w:kern w:val="2"/>
                <w:sz w:val="21"/>
                <w:szCs w:val="21"/>
              </w:rPr>
              <w:t>爆炸性</w:t>
            </w:r>
          </w:p>
        </w:tc>
        <w:tc>
          <w:tcPr>
            <w:tcW w:w="859" w:type="pct"/>
            <w:vAlign w:val="center"/>
          </w:tcPr>
          <w:p w14:paraId="69F325E3">
            <w:pPr>
              <w:snapToGrid w:val="0"/>
              <w:jc w:val="center"/>
              <w:rPr>
                <w:rFonts w:ascii="Times New Roman" w:eastAsia="仿宋"/>
                <w:kern w:val="2"/>
                <w:sz w:val="21"/>
                <w:szCs w:val="21"/>
              </w:rPr>
            </w:pPr>
            <w:r>
              <w:rPr>
                <w:rFonts w:hint="eastAsia" w:ascii="Times New Roman" w:eastAsia="仿宋"/>
                <w:kern w:val="2"/>
                <w:sz w:val="21"/>
                <w:szCs w:val="21"/>
              </w:rPr>
              <w:t>腐蚀性</w:t>
            </w:r>
          </w:p>
        </w:tc>
      </w:tr>
      <w:tr w14:paraId="5CB6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39FA98AB">
            <w:pPr>
              <w:snapToGrid w:val="0"/>
              <w:jc w:val="center"/>
              <w:rPr>
                <w:rFonts w:ascii="Times New Roman" w:eastAsia="仿宋"/>
                <w:kern w:val="2"/>
                <w:sz w:val="21"/>
                <w:szCs w:val="21"/>
              </w:rPr>
            </w:pPr>
            <w:r>
              <w:rPr>
                <w:rFonts w:ascii="Times New Roman" w:eastAsia="仿宋"/>
                <w:kern w:val="2"/>
                <w:sz w:val="21"/>
                <w:szCs w:val="21"/>
              </w:rPr>
              <w:t>邻苯二甲酸二甲酯</w:t>
            </w:r>
          </w:p>
        </w:tc>
        <w:tc>
          <w:tcPr>
            <w:tcW w:w="361" w:type="pct"/>
            <w:vAlign w:val="center"/>
          </w:tcPr>
          <w:p w14:paraId="5A5BED6F">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57136753">
            <w:pPr>
              <w:snapToGrid w:val="0"/>
              <w:jc w:val="center"/>
              <w:rPr>
                <w:rFonts w:ascii="Times New Roman" w:eastAsia="仿宋"/>
                <w:kern w:val="2"/>
                <w:sz w:val="21"/>
                <w:szCs w:val="21"/>
              </w:rPr>
            </w:pPr>
            <w:r>
              <w:rPr>
                <w:rFonts w:hint="eastAsia" w:ascii="Times New Roman" w:eastAsia="仿宋"/>
                <w:kern w:val="2"/>
                <w:sz w:val="21"/>
                <w:szCs w:val="21"/>
              </w:rPr>
              <w:t>可燃</w:t>
            </w:r>
          </w:p>
        </w:tc>
        <w:tc>
          <w:tcPr>
            <w:tcW w:w="2666" w:type="pct"/>
            <w:vAlign w:val="center"/>
          </w:tcPr>
          <w:p w14:paraId="750B7079">
            <w:pPr>
              <w:snapToGrid w:val="0"/>
              <w:jc w:val="center"/>
              <w:rPr>
                <w:rFonts w:ascii="Times New Roman" w:eastAsia="仿宋"/>
                <w:kern w:val="2"/>
                <w:sz w:val="21"/>
                <w:szCs w:val="21"/>
              </w:rPr>
            </w:pPr>
            <w:r>
              <w:rPr>
                <w:rFonts w:ascii="Times New Roman" w:eastAsia="仿宋"/>
                <w:kern w:val="2"/>
                <w:sz w:val="21"/>
                <w:szCs w:val="21"/>
              </w:rPr>
              <w:t>遇高热、明火或与氧化剂接触，有引起燃烧的危险</w:t>
            </w:r>
          </w:p>
        </w:tc>
        <w:tc>
          <w:tcPr>
            <w:tcW w:w="859" w:type="pct"/>
            <w:vAlign w:val="center"/>
          </w:tcPr>
          <w:p w14:paraId="4002617B">
            <w:pPr>
              <w:snapToGrid w:val="0"/>
              <w:jc w:val="center"/>
              <w:rPr>
                <w:rFonts w:ascii="Times New Roman" w:eastAsia="仿宋"/>
                <w:kern w:val="2"/>
                <w:sz w:val="21"/>
                <w:szCs w:val="21"/>
              </w:rPr>
            </w:pPr>
            <w:r>
              <w:rPr>
                <w:rFonts w:hint="eastAsia" w:ascii="Times New Roman" w:eastAsia="仿宋"/>
                <w:kern w:val="2"/>
                <w:sz w:val="21"/>
                <w:szCs w:val="21"/>
              </w:rPr>
              <w:t>/</w:t>
            </w:r>
          </w:p>
        </w:tc>
      </w:tr>
      <w:tr w14:paraId="5380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02360F2D">
            <w:pPr>
              <w:snapToGrid w:val="0"/>
              <w:jc w:val="center"/>
              <w:rPr>
                <w:rFonts w:ascii="Times New Roman" w:eastAsia="仿宋"/>
                <w:kern w:val="2"/>
                <w:sz w:val="21"/>
                <w:szCs w:val="21"/>
              </w:rPr>
            </w:pPr>
            <w:r>
              <w:rPr>
                <w:rFonts w:hint="eastAsia" w:ascii="Times New Roman" w:eastAsia="仿宋"/>
                <w:kern w:val="2"/>
                <w:sz w:val="21"/>
                <w:szCs w:val="21"/>
              </w:rPr>
              <w:t>二甲苯</w:t>
            </w:r>
          </w:p>
        </w:tc>
        <w:tc>
          <w:tcPr>
            <w:tcW w:w="361" w:type="pct"/>
            <w:vAlign w:val="center"/>
          </w:tcPr>
          <w:p w14:paraId="7C4E0896">
            <w:pPr>
              <w:snapToGrid w:val="0"/>
              <w:jc w:val="center"/>
              <w:rPr>
                <w:rFonts w:ascii="Times New Roman" w:eastAsia="仿宋"/>
                <w:kern w:val="2"/>
                <w:sz w:val="21"/>
                <w:szCs w:val="21"/>
              </w:rPr>
            </w:pPr>
            <w:r>
              <w:rPr>
                <w:rFonts w:hint="eastAsia" w:ascii="Times New Roman" w:eastAsia="仿宋"/>
                <w:kern w:val="2"/>
                <w:sz w:val="21"/>
                <w:szCs w:val="21"/>
              </w:rPr>
              <w:t>低毒</w:t>
            </w:r>
          </w:p>
        </w:tc>
        <w:tc>
          <w:tcPr>
            <w:tcW w:w="502" w:type="pct"/>
            <w:vAlign w:val="center"/>
          </w:tcPr>
          <w:p w14:paraId="186413A9">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666" w:type="pct"/>
            <w:vAlign w:val="center"/>
          </w:tcPr>
          <w:p w14:paraId="5900891B">
            <w:pPr>
              <w:snapToGrid w:val="0"/>
              <w:jc w:val="center"/>
              <w:rPr>
                <w:rFonts w:ascii="Times New Roman" w:eastAsia="仿宋"/>
                <w:kern w:val="2"/>
                <w:sz w:val="21"/>
                <w:szCs w:val="21"/>
              </w:rPr>
            </w:pPr>
            <w:r>
              <w:rPr>
                <w:rFonts w:hint="eastAsia" w:ascii="Times New Roman" w:eastAsia="仿宋"/>
                <w:kern w:val="2"/>
                <w:sz w:val="21"/>
                <w:szCs w:val="21"/>
              </w:rPr>
              <w:t>易燃，其蒸气与空气可形成爆炸性混合物。遇明火、高热能引起燃烧爆炸</w:t>
            </w:r>
          </w:p>
        </w:tc>
        <w:tc>
          <w:tcPr>
            <w:tcW w:w="859" w:type="pct"/>
            <w:vAlign w:val="center"/>
          </w:tcPr>
          <w:p w14:paraId="7F291322">
            <w:pPr>
              <w:snapToGrid w:val="0"/>
              <w:jc w:val="center"/>
              <w:rPr>
                <w:rFonts w:ascii="Times New Roman" w:eastAsia="仿宋"/>
                <w:kern w:val="2"/>
                <w:sz w:val="21"/>
                <w:szCs w:val="21"/>
              </w:rPr>
            </w:pPr>
            <w:r>
              <w:rPr>
                <w:rFonts w:hint="eastAsia" w:ascii="Times New Roman" w:eastAsia="仿宋"/>
                <w:kern w:val="2"/>
                <w:sz w:val="21"/>
                <w:szCs w:val="21"/>
              </w:rPr>
              <w:t>/</w:t>
            </w:r>
          </w:p>
        </w:tc>
      </w:tr>
      <w:tr w14:paraId="2EB5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shd w:val="clear" w:color="auto" w:fill="auto"/>
            <w:vAlign w:val="center"/>
          </w:tcPr>
          <w:p w14:paraId="216224E5">
            <w:pPr>
              <w:snapToGrid w:val="0"/>
              <w:jc w:val="center"/>
              <w:rPr>
                <w:rFonts w:ascii="Times New Roman" w:eastAsia="仿宋"/>
                <w:kern w:val="2"/>
                <w:sz w:val="21"/>
                <w:szCs w:val="21"/>
              </w:rPr>
            </w:pPr>
            <w:r>
              <w:rPr>
                <w:rFonts w:hint="eastAsia" w:ascii="Times New Roman" w:eastAsia="仿宋"/>
                <w:kern w:val="2"/>
                <w:sz w:val="21"/>
                <w:szCs w:val="21"/>
              </w:rPr>
              <w:t>乙醇</w:t>
            </w:r>
          </w:p>
        </w:tc>
        <w:tc>
          <w:tcPr>
            <w:tcW w:w="361" w:type="pct"/>
            <w:shd w:val="clear" w:color="auto" w:fill="auto"/>
            <w:vAlign w:val="center"/>
          </w:tcPr>
          <w:p w14:paraId="2D65E49A">
            <w:pPr>
              <w:snapToGrid w:val="0"/>
              <w:jc w:val="center"/>
              <w:rPr>
                <w:rFonts w:ascii="Times New Roman" w:eastAsia="仿宋"/>
                <w:kern w:val="2"/>
                <w:sz w:val="21"/>
                <w:szCs w:val="21"/>
              </w:rPr>
            </w:pPr>
            <w:r>
              <w:rPr>
                <w:rFonts w:hint="eastAsia" w:ascii="Times New Roman" w:eastAsia="仿宋"/>
                <w:kern w:val="2"/>
                <w:sz w:val="21"/>
                <w:szCs w:val="21"/>
              </w:rPr>
              <w:t>低毒</w:t>
            </w:r>
          </w:p>
        </w:tc>
        <w:tc>
          <w:tcPr>
            <w:tcW w:w="502" w:type="pct"/>
            <w:shd w:val="clear" w:color="auto" w:fill="auto"/>
            <w:vAlign w:val="center"/>
          </w:tcPr>
          <w:p w14:paraId="1A14DF3D">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666" w:type="pct"/>
            <w:shd w:val="clear" w:color="auto" w:fill="auto"/>
            <w:vAlign w:val="center"/>
          </w:tcPr>
          <w:p w14:paraId="4C674F56">
            <w:pPr>
              <w:snapToGrid w:val="0"/>
              <w:jc w:val="center"/>
              <w:rPr>
                <w:rFonts w:ascii="Times New Roman" w:eastAsia="仿宋"/>
                <w:kern w:val="2"/>
                <w:sz w:val="21"/>
                <w:szCs w:val="21"/>
              </w:rPr>
            </w:pPr>
            <w:r>
              <w:rPr>
                <w:rFonts w:hint="eastAsia" w:ascii="Times New Roman" w:eastAsia="仿宋"/>
                <w:kern w:val="2"/>
                <w:sz w:val="21"/>
                <w:szCs w:val="21"/>
              </w:rPr>
              <w:t>其蒸气与空气可形成爆炸性混合物，遇明火、高热能引起燃烧爆炸。</w:t>
            </w:r>
          </w:p>
        </w:tc>
        <w:tc>
          <w:tcPr>
            <w:tcW w:w="859" w:type="pct"/>
            <w:shd w:val="clear" w:color="auto" w:fill="auto"/>
            <w:vAlign w:val="center"/>
          </w:tcPr>
          <w:p w14:paraId="5B69111A">
            <w:pPr>
              <w:snapToGrid w:val="0"/>
              <w:jc w:val="center"/>
              <w:rPr>
                <w:rFonts w:ascii="Times New Roman" w:eastAsia="仿宋"/>
                <w:kern w:val="2"/>
                <w:sz w:val="21"/>
                <w:szCs w:val="21"/>
              </w:rPr>
            </w:pPr>
            <w:r>
              <w:rPr>
                <w:rFonts w:hint="eastAsia" w:ascii="Times New Roman" w:eastAsia="仿宋"/>
                <w:kern w:val="2"/>
                <w:sz w:val="21"/>
                <w:szCs w:val="21"/>
              </w:rPr>
              <w:t>/</w:t>
            </w:r>
          </w:p>
        </w:tc>
      </w:tr>
      <w:tr w14:paraId="29B0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55368D00">
            <w:pPr>
              <w:snapToGrid w:val="0"/>
              <w:jc w:val="center"/>
              <w:rPr>
                <w:rFonts w:ascii="Times New Roman" w:eastAsia="仿宋"/>
                <w:kern w:val="2"/>
                <w:sz w:val="21"/>
                <w:szCs w:val="21"/>
              </w:rPr>
            </w:pPr>
            <w:r>
              <w:rPr>
                <w:rFonts w:hint="eastAsia" w:ascii="Times New Roman" w:eastAsia="仿宋"/>
                <w:kern w:val="2"/>
                <w:sz w:val="21"/>
                <w:szCs w:val="21"/>
              </w:rPr>
              <w:t>环己酮</w:t>
            </w:r>
          </w:p>
        </w:tc>
        <w:tc>
          <w:tcPr>
            <w:tcW w:w="361" w:type="pct"/>
            <w:vAlign w:val="center"/>
          </w:tcPr>
          <w:p w14:paraId="03B67CE3">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0FE1EC43">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666" w:type="pct"/>
            <w:vAlign w:val="center"/>
          </w:tcPr>
          <w:p w14:paraId="677D486D">
            <w:pPr>
              <w:snapToGrid w:val="0"/>
              <w:jc w:val="center"/>
              <w:rPr>
                <w:rFonts w:ascii="Times New Roman" w:eastAsia="仿宋"/>
                <w:kern w:val="2"/>
                <w:sz w:val="21"/>
                <w:szCs w:val="21"/>
              </w:rPr>
            </w:pPr>
            <w:r>
              <w:rPr>
                <w:rFonts w:hint="eastAsia" w:ascii="Times New Roman" w:eastAsia="仿宋"/>
                <w:kern w:val="2"/>
                <w:sz w:val="21"/>
                <w:szCs w:val="21"/>
              </w:rPr>
              <w:t>其蒸气与空气可形成爆炸性混合物，遇明火、高热能引起燃烧爆炸。</w:t>
            </w:r>
          </w:p>
        </w:tc>
        <w:tc>
          <w:tcPr>
            <w:tcW w:w="859" w:type="pct"/>
            <w:vAlign w:val="center"/>
          </w:tcPr>
          <w:p w14:paraId="6F73B490">
            <w:pPr>
              <w:snapToGrid w:val="0"/>
              <w:jc w:val="center"/>
              <w:rPr>
                <w:rFonts w:ascii="Times New Roman" w:eastAsia="仿宋"/>
                <w:kern w:val="2"/>
                <w:sz w:val="21"/>
                <w:szCs w:val="21"/>
              </w:rPr>
            </w:pPr>
            <w:r>
              <w:rPr>
                <w:rFonts w:hint="eastAsia" w:ascii="Times New Roman" w:eastAsia="仿宋"/>
                <w:kern w:val="2"/>
                <w:sz w:val="21"/>
                <w:szCs w:val="21"/>
              </w:rPr>
              <w:t>/</w:t>
            </w:r>
          </w:p>
        </w:tc>
      </w:tr>
      <w:tr w14:paraId="68A8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6D4A7F54">
            <w:pPr>
              <w:snapToGrid w:val="0"/>
              <w:jc w:val="center"/>
              <w:rPr>
                <w:rFonts w:ascii="Times New Roman" w:eastAsia="仿宋"/>
                <w:kern w:val="2"/>
                <w:sz w:val="21"/>
                <w:szCs w:val="21"/>
              </w:rPr>
            </w:pPr>
            <w:r>
              <w:rPr>
                <w:rFonts w:hint="eastAsia" w:ascii="Times New Roman" w:eastAsia="仿宋"/>
                <w:kern w:val="2"/>
                <w:sz w:val="21"/>
                <w:szCs w:val="21"/>
              </w:rPr>
              <w:t>醋酸乙酯</w:t>
            </w:r>
          </w:p>
        </w:tc>
        <w:tc>
          <w:tcPr>
            <w:tcW w:w="673" w:type="dxa"/>
            <w:vAlign w:val="center"/>
          </w:tcPr>
          <w:p w14:paraId="7C7633CD">
            <w:pPr>
              <w:snapToGrid w:val="0"/>
              <w:jc w:val="center"/>
              <w:rPr>
                <w:rFonts w:ascii="Times New Roman" w:eastAsia="仿宋"/>
                <w:kern w:val="2"/>
                <w:sz w:val="21"/>
                <w:szCs w:val="21"/>
              </w:rPr>
            </w:pPr>
            <w:r>
              <w:rPr>
                <w:rFonts w:hint="eastAsia" w:ascii="Times New Roman" w:eastAsia="仿宋"/>
                <w:kern w:val="2"/>
                <w:sz w:val="21"/>
                <w:szCs w:val="21"/>
              </w:rPr>
              <w:t>/</w:t>
            </w:r>
          </w:p>
        </w:tc>
        <w:tc>
          <w:tcPr>
            <w:tcW w:w="936" w:type="dxa"/>
            <w:vAlign w:val="center"/>
          </w:tcPr>
          <w:p w14:paraId="1F27A4FC">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666" w:type="pct"/>
            <w:vAlign w:val="center"/>
          </w:tcPr>
          <w:p w14:paraId="03BA834C">
            <w:pPr>
              <w:snapToGrid w:val="0"/>
              <w:jc w:val="center"/>
              <w:rPr>
                <w:rFonts w:ascii="Times New Roman" w:eastAsia="仿宋"/>
                <w:kern w:val="2"/>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c>
          <w:tcPr>
            <w:tcW w:w="859" w:type="pct"/>
            <w:vAlign w:val="center"/>
          </w:tcPr>
          <w:p w14:paraId="284FE48F">
            <w:pPr>
              <w:snapToGrid w:val="0"/>
              <w:jc w:val="center"/>
              <w:rPr>
                <w:rFonts w:ascii="Times New Roman" w:eastAsia="仿宋"/>
                <w:kern w:val="2"/>
                <w:sz w:val="21"/>
                <w:szCs w:val="21"/>
              </w:rPr>
            </w:pPr>
            <w:r>
              <w:rPr>
                <w:rFonts w:hint="eastAsia" w:ascii="Times New Roman" w:eastAsia="仿宋"/>
                <w:kern w:val="2"/>
                <w:sz w:val="21"/>
                <w:szCs w:val="21"/>
              </w:rPr>
              <w:t>/</w:t>
            </w:r>
          </w:p>
        </w:tc>
      </w:tr>
      <w:tr w14:paraId="53E8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2B894F94">
            <w:pPr>
              <w:snapToGrid w:val="0"/>
              <w:jc w:val="center"/>
              <w:rPr>
                <w:rFonts w:ascii="Times New Roman" w:eastAsia="仿宋"/>
                <w:kern w:val="2"/>
                <w:sz w:val="21"/>
                <w:szCs w:val="21"/>
              </w:rPr>
            </w:pPr>
            <w:r>
              <w:rPr>
                <w:rFonts w:hint="eastAsia" w:ascii="Times New Roman" w:eastAsia="仿宋"/>
                <w:kern w:val="2"/>
                <w:sz w:val="21"/>
                <w:szCs w:val="21"/>
              </w:rPr>
              <w:t>醋酸丁酯</w:t>
            </w:r>
          </w:p>
        </w:tc>
        <w:tc>
          <w:tcPr>
            <w:tcW w:w="361" w:type="pct"/>
            <w:vAlign w:val="center"/>
          </w:tcPr>
          <w:p w14:paraId="300C8C50">
            <w:pPr>
              <w:snapToGrid w:val="0"/>
              <w:jc w:val="center"/>
              <w:rPr>
                <w:rFonts w:ascii="Times New Roman" w:eastAsia="仿宋"/>
                <w:kern w:val="2"/>
                <w:sz w:val="21"/>
                <w:szCs w:val="21"/>
              </w:rPr>
            </w:pPr>
            <w:r>
              <w:rPr>
                <w:rFonts w:hint="eastAsia" w:ascii="Times New Roman" w:eastAsia="仿宋"/>
                <w:kern w:val="2"/>
                <w:sz w:val="21"/>
                <w:szCs w:val="21"/>
              </w:rPr>
              <w:t>/</w:t>
            </w:r>
          </w:p>
        </w:tc>
        <w:tc>
          <w:tcPr>
            <w:tcW w:w="936" w:type="dxa"/>
            <w:vAlign w:val="center"/>
          </w:tcPr>
          <w:p w14:paraId="0C6377FF">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4969" w:type="dxa"/>
            <w:vAlign w:val="center"/>
          </w:tcPr>
          <w:p w14:paraId="261F1CB8">
            <w:pPr>
              <w:snapToGrid w:val="0"/>
              <w:jc w:val="center"/>
              <w:rPr>
                <w:rFonts w:ascii="Times New Roman" w:eastAsia="仿宋"/>
                <w:kern w:val="2"/>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c>
          <w:tcPr>
            <w:tcW w:w="859" w:type="pct"/>
            <w:vAlign w:val="center"/>
          </w:tcPr>
          <w:p w14:paraId="1D0F5B3C">
            <w:pPr>
              <w:snapToGrid w:val="0"/>
              <w:jc w:val="center"/>
              <w:rPr>
                <w:rFonts w:ascii="Times New Roman" w:eastAsia="仿宋"/>
                <w:kern w:val="2"/>
                <w:sz w:val="21"/>
                <w:szCs w:val="21"/>
              </w:rPr>
            </w:pPr>
            <w:r>
              <w:rPr>
                <w:rFonts w:hint="eastAsia" w:ascii="Times New Roman" w:eastAsia="仿宋"/>
                <w:kern w:val="2"/>
                <w:sz w:val="21"/>
                <w:szCs w:val="21"/>
              </w:rPr>
              <w:t>/</w:t>
            </w:r>
          </w:p>
        </w:tc>
      </w:tr>
      <w:tr w14:paraId="1EE9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75E33D38">
            <w:pPr>
              <w:snapToGrid w:val="0"/>
              <w:jc w:val="center"/>
              <w:rPr>
                <w:rFonts w:ascii="Times New Roman" w:eastAsia="仿宋"/>
                <w:kern w:val="2"/>
                <w:sz w:val="21"/>
                <w:szCs w:val="21"/>
              </w:rPr>
            </w:pPr>
            <w:r>
              <w:rPr>
                <w:rFonts w:hint="eastAsia" w:ascii="Times New Roman" w:eastAsia="仿宋"/>
                <w:kern w:val="2"/>
                <w:sz w:val="21"/>
                <w:szCs w:val="21"/>
              </w:rPr>
              <w:t>液压油</w:t>
            </w:r>
          </w:p>
        </w:tc>
        <w:tc>
          <w:tcPr>
            <w:tcW w:w="361" w:type="pct"/>
            <w:vAlign w:val="center"/>
          </w:tcPr>
          <w:p w14:paraId="6E668B59">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6D8F6331">
            <w:pPr>
              <w:snapToGrid w:val="0"/>
              <w:jc w:val="center"/>
              <w:rPr>
                <w:rFonts w:ascii="Times New Roman" w:eastAsia="仿宋"/>
                <w:kern w:val="2"/>
                <w:sz w:val="21"/>
                <w:szCs w:val="21"/>
              </w:rPr>
            </w:pPr>
            <w:r>
              <w:rPr>
                <w:rFonts w:hint="eastAsia" w:ascii="Times New Roman" w:eastAsia="仿宋"/>
                <w:kern w:val="2"/>
                <w:sz w:val="21"/>
                <w:szCs w:val="21"/>
              </w:rPr>
              <w:t>可燃</w:t>
            </w:r>
          </w:p>
        </w:tc>
        <w:tc>
          <w:tcPr>
            <w:tcW w:w="2666" w:type="pct"/>
            <w:vAlign w:val="center"/>
          </w:tcPr>
          <w:p w14:paraId="09C59F01">
            <w:pPr>
              <w:snapToGrid w:val="0"/>
              <w:jc w:val="center"/>
              <w:rPr>
                <w:rFonts w:ascii="Times New Roman" w:eastAsia="仿宋"/>
                <w:kern w:val="2"/>
                <w:sz w:val="21"/>
                <w:szCs w:val="21"/>
              </w:rPr>
            </w:pPr>
            <w:r>
              <w:rPr>
                <w:rFonts w:hint="eastAsia" w:ascii="Times New Roman" w:eastAsia="仿宋"/>
                <w:kern w:val="2"/>
                <w:sz w:val="21"/>
                <w:szCs w:val="21"/>
              </w:rPr>
              <w:t>其蒸气与空气可形成爆炸性混合物，遇明火、高热能引起燃烧爆炸。</w:t>
            </w:r>
          </w:p>
        </w:tc>
        <w:tc>
          <w:tcPr>
            <w:tcW w:w="859" w:type="pct"/>
            <w:vAlign w:val="center"/>
          </w:tcPr>
          <w:p w14:paraId="27A46DBA">
            <w:pPr>
              <w:snapToGrid w:val="0"/>
              <w:jc w:val="center"/>
              <w:rPr>
                <w:rFonts w:ascii="Times New Roman" w:eastAsia="仿宋"/>
                <w:kern w:val="2"/>
                <w:sz w:val="21"/>
                <w:szCs w:val="21"/>
              </w:rPr>
            </w:pPr>
            <w:r>
              <w:rPr>
                <w:rFonts w:hint="eastAsia" w:ascii="Times New Roman" w:eastAsia="仿宋"/>
                <w:kern w:val="2"/>
                <w:sz w:val="21"/>
                <w:szCs w:val="21"/>
              </w:rPr>
              <w:t>/</w:t>
            </w:r>
          </w:p>
        </w:tc>
      </w:tr>
    </w:tbl>
    <w:p w14:paraId="76BE4BAC">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3</w:t>
      </w:r>
      <w:r>
        <w:rPr>
          <w:rFonts w:ascii="Times New Roman" w:eastAsia="仿宋"/>
          <w:sz w:val="28"/>
          <w:szCs w:val="28"/>
        </w:rPr>
        <w:t>.2生产系统危险性识别</w:t>
      </w:r>
    </w:p>
    <w:p w14:paraId="4899EF6C">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.2.1生产工艺风险识别</w:t>
      </w:r>
    </w:p>
    <w:p w14:paraId="57E4705E">
      <w:pPr>
        <w:spacing w:line="500" w:lineRule="exact"/>
        <w:ind w:firstLine="560" w:firstLineChars="200"/>
        <w:rPr>
          <w:rFonts w:ascii="Times New Roman" w:eastAsia="仿宋"/>
          <w:sz w:val="28"/>
        </w:rPr>
      </w:pPr>
      <w:r>
        <w:rPr>
          <w:rFonts w:ascii="Times New Roman" w:eastAsia="仿宋"/>
          <w:sz w:val="28"/>
        </w:rPr>
        <w:t>有毒有害化学品在正常使用过程中经过一定的化学反应和处理后排放，一般对周围环境和人体造成的影响可以控制在允许范围内；但是如果发生泄漏，就可能产生意想不到的事故——腐蚀性化学品泄漏会对周围环境和人员造成腐蚀污染，同时会影响周围环境空气质量，严重时会危及人们生命；易燃气体或液体泄漏可能造成火灾或爆炸；有毒气体泄漏会直接影响到周围地区人群的健康直至生命安全；毒害品管理不严可能会直接威胁人们的生命以及社会的稳定等。因此，当生产的控制系统发生故障时，系统中的易燃物和有毒物所引起的爆炸、火灾或超常量排放，都可能造成环境污染事故。</w:t>
      </w:r>
      <w:r>
        <w:rPr>
          <w:rFonts w:hint="eastAsia" w:ascii="Times New Roman" w:eastAsia="仿宋"/>
          <w:sz w:val="28"/>
        </w:rPr>
        <w:t>本项目生产过程由铝粉尘产生，若操作不当或设备运行异常，可能造成火灾或爆炸事故。</w:t>
      </w:r>
    </w:p>
    <w:p w14:paraId="2925AB32">
      <w:pPr>
        <w:spacing w:line="500" w:lineRule="exact"/>
        <w:ind w:firstLine="560" w:firstLineChars="200"/>
        <w:rPr>
          <w:rFonts w:ascii="Times New Roman" w:eastAsia="仿宋"/>
          <w:sz w:val="28"/>
        </w:rPr>
      </w:pPr>
      <w:r>
        <w:rPr>
          <w:rFonts w:ascii="Times New Roman" w:eastAsia="仿宋"/>
          <w:sz w:val="28"/>
        </w:rPr>
        <w:t>针对本项目的生产特点，对可能发生的事故风险进行环境影响分析很有必要，以便提出防范及应急措施，力求将环境风险降至最低。</w:t>
      </w:r>
    </w:p>
    <w:p w14:paraId="38E33AEB">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.2.2设备装置风险识别</w:t>
      </w:r>
    </w:p>
    <w:p w14:paraId="4F292504">
      <w:pPr>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材质不当：在设备的选用上，如果设计选用材质方面存在问题，会因腐蚀作用严重影响设备使用寿命，从而引发事故。</w:t>
      </w:r>
    </w:p>
    <w:p w14:paraId="7E844A2F">
      <w:pPr>
        <w:spacing w:line="500" w:lineRule="exact"/>
        <w:ind w:firstLine="560" w:firstLineChars="200"/>
        <w:rPr>
          <w:rFonts w:ascii="Times New Roman" w:eastAsia="仿宋"/>
          <w:sz w:val="28"/>
        </w:rPr>
      </w:pPr>
      <w:r>
        <w:rPr>
          <w:rFonts w:hint="eastAsia" w:ascii="Times New Roman" w:eastAsia="仿宋"/>
          <w:sz w:val="28"/>
        </w:rPr>
        <w:t>（2）</w:t>
      </w:r>
      <w:r>
        <w:rPr>
          <w:rFonts w:ascii="Times New Roman" w:eastAsia="仿宋"/>
          <w:sz w:val="28"/>
        </w:rPr>
        <w:t>焊接缺陷：当设备焊接存在脱焊、虚焊情况下运行时，会引发物料泄漏等事故的发生。</w:t>
      </w:r>
    </w:p>
    <w:p w14:paraId="52A96D6F">
      <w:pPr>
        <w:spacing w:line="500" w:lineRule="exact"/>
        <w:ind w:firstLine="560" w:firstLineChars="200"/>
        <w:rPr>
          <w:rFonts w:ascii="Times New Roman" w:eastAsia="仿宋"/>
          <w:sz w:val="28"/>
        </w:rPr>
      </w:pPr>
      <w:r>
        <w:rPr>
          <w:rFonts w:hint="eastAsia" w:ascii="Times New Roman" w:eastAsia="仿宋"/>
          <w:sz w:val="28"/>
        </w:rPr>
        <w:t>（3）</w:t>
      </w:r>
      <w:r>
        <w:rPr>
          <w:rFonts w:ascii="Times New Roman" w:eastAsia="仿宋"/>
          <w:sz w:val="28"/>
        </w:rPr>
        <w:t>制造问题：如果设备制造厂家或企业自己制造设备时因制造技术、工艺不过关，生产的设备存在质量隐患，设备质量不合格，会引发事故。</w:t>
      </w:r>
    </w:p>
    <w:p w14:paraId="1674C596">
      <w:pPr>
        <w:spacing w:line="500" w:lineRule="exact"/>
        <w:ind w:firstLine="560" w:firstLineChars="200"/>
        <w:rPr>
          <w:rFonts w:ascii="Times New Roman" w:eastAsia="仿宋"/>
          <w:sz w:val="28"/>
        </w:rPr>
      </w:pPr>
      <w:r>
        <w:rPr>
          <w:rFonts w:hint="eastAsia" w:ascii="Times New Roman" w:eastAsia="仿宋"/>
          <w:sz w:val="28"/>
        </w:rPr>
        <w:t>（4）</w:t>
      </w:r>
      <w:r>
        <w:rPr>
          <w:rFonts w:ascii="Times New Roman" w:eastAsia="仿宋"/>
          <w:sz w:val="28"/>
        </w:rPr>
        <w:t>安全附件不全：如果设备的安全附件如防护罩、防护栏不全，会对设备的安全使用构成隐患。</w:t>
      </w:r>
    </w:p>
    <w:p w14:paraId="1EFB605B">
      <w:pPr>
        <w:spacing w:line="500" w:lineRule="exact"/>
        <w:ind w:firstLine="560" w:firstLineChars="200"/>
        <w:rPr>
          <w:rFonts w:ascii="Times New Roman" w:eastAsia="仿宋"/>
          <w:sz w:val="28"/>
        </w:rPr>
      </w:pPr>
      <w:r>
        <w:rPr>
          <w:rFonts w:hint="eastAsia" w:ascii="Times New Roman" w:eastAsia="仿宋"/>
          <w:sz w:val="28"/>
        </w:rPr>
        <w:t>（5）</w:t>
      </w:r>
      <w:r>
        <w:rPr>
          <w:rFonts w:ascii="Times New Roman" w:eastAsia="仿宋"/>
          <w:sz w:val="28"/>
        </w:rPr>
        <w:t>安装不规范：设备因安装不规范而使该设备存在隐患。</w:t>
      </w:r>
    </w:p>
    <w:p w14:paraId="2FAE125E">
      <w:pPr>
        <w:spacing w:line="500" w:lineRule="exact"/>
        <w:ind w:firstLine="560" w:firstLineChars="200"/>
        <w:rPr>
          <w:rFonts w:ascii="Times New Roman" w:eastAsia="仿宋"/>
          <w:sz w:val="28"/>
        </w:rPr>
      </w:pPr>
      <w:r>
        <w:rPr>
          <w:rFonts w:hint="eastAsia" w:ascii="Times New Roman" w:eastAsia="仿宋"/>
          <w:sz w:val="28"/>
        </w:rPr>
        <w:t>（6）</w:t>
      </w:r>
      <w:r>
        <w:rPr>
          <w:rFonts w:ascii="Times New Roman" w:eastAsia="仿宋"/>
          <w:sz w:val="28"/>
        </w:rPr>
        <w:t>超期使用：设备在使用期已到后如继续使用，将对生产安全构成隐患。</w:t>
      </w:r>
    </w:p>
    <w:p w14:paraId="25BA3ACB">
      <w:pPr>
        <w:spacing w:line="500" w:lineRule="exact"/>
        <w:ind w:firstLine="560" w:firstLineChars="200"/>
        <w:rPr>
          <w:rFonts w:ascii="Times New Roman" w:eastAsia="仿宋"/>
          <w:sz w:val="28"/>
        </w:rPr>
      </w:pPr>
      <w:r>
        <w:rPr>
          <w:rFonts w:hint="eastAsia" w:ascii="Times New Roman" w:eastAsia="仿宋"/>
          <w:sz w:val="28"/>
        </w:rPr>
        <w:t>（7）</w:t>
      </w:r>
      <w:r>
        <w:rPr>
          <w:rFonts w:ascii="Times New Roman" w:eastAsia="仿宋"/>
          <w:sz w:val="28"/>
        </w:rPr>
        <w:t>维修保养不当：设备在使用过程中，因维护、保养不当而导致该设备存在隐患。</w:t>
      </w:r>
    </w:p>
    <w:p w14:paraId="35090D26">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.2.3储运过程风险识别</w:t>
      </w:r>
    </w:p>
    <w:p w14:paraId="66948C48">
      <w:pPr>
        <w:spacing w:line="500" w:lineRule="exact"/>
        <w:ind w:firstLine="560" w:firstLineChars="200"/>
        <w:rPr>
          <w:rFonts w:ascii="Times New Roman" w:eastAsia="仿宋"/>
          <w:sz w:val="28"/>
        </w:rPr>
      </w:pPr>
      <w:r>
        <w:rPr>
          <w:rFonts w:hint="eastAsia" w:ascii="Times New Roman" w:eastAsia="仿宋"/>
          <w:sz w:val="28"/>
        </w:rPr>
        <w:t>（1）原料仓库</w:t>
      </w:r>
    </w:p>
    <w:p w14:paraId="6031004D">
      <w:pPr>
        <w:spacing w:line="500" w:lineRule="exact"/>
        <w:ind w:firstLine="560" w:firstLineChars="200"/>
        <w:rPr>
          <w:rFonts w:ascii="Times New Roman" w:eastAsia="仿宋"/>
          <w:sz w:val="28"/>
        </w:rPr>
      </w:pPr>
      <w:r>
        <w:rPr>
          <w:rFonts w:ascii="Times New Roman" w:eastAsia="仿宋"/>
          <w:sz w:val="28"/>
        </w:rPr>
        <w:t>储运过程中最主要的危险有害因素是储运物料的泄漏而发生的火灾、爆炸、中毒事故。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6DAEF4F4">
      <w:pPr>
        <w:spacing w:line="500" w:lineRule="exact"/>
        <w:ind w:firstLine="560" w:firstLineChars="200"/>
        <w:rPr>
          <w:rFonts w:ascii="Times New Roman" w:eastAsia="仿宋"/>
          <w:sz w:val="28"/>
        </w:rPr>
      </w:pPr>
      <w:r>
        <w:rPr>
          <w:rFonts w:hint="eastAsia" w:ascii="Times New Roman" w:eastAsia="仿宋"/>
          <w:sz w:val="28"/>
        </w:rPr>
        <w:t>（2）</w:t>
      </w:r>
      <w:r>
        <w:rPr>
          <w:rFonts w:ascii="Times New Roman" w:eastAsia="仿宋"/>
          <w:sz w:val="28"/>
        </w:rPr>
        <w:t>固废堆场</w:t>
      </w:r>
    </w:p>
    <w:p w14:paraId="457D2CF3">
      <w:pPr>
        <w:spacing w:line="500" w:lineRule="exact"/>
        <w:ind w:firstLine="560" w:firstLineChars="200"/>
        <w:rPr>
          <w:rFonts w:ascii="Times New Roman" w:eastAsia="仿宋"/>
          <w:sz w:val="28"/>
        </w:rPr>
      </w:pPr>
      <w:r>
        <w:rPr>
          <w:rFonts w:ascii="Times New Roman" w:eastAsia="仿宋"/>
          <w:sz w:val="28"/>
        </w:rPr>
        <w:t>固废堆放场所的废料意外泄漏，若地面未做防渗处理，泄漏物将通过地面渗漏，进而影响土壤和地下水。</w:t>
      </w:r>
    </w:p>
    <w:p w14:paraId="394AAE39">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.2.4公用工程风险识别</w:t>
      </w:r>
    </w:p>
    <w:p w14:paraId="11256A9B">
      <w:pPr>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给排水</w:t>
      </w:r>
    </w:p>
    <w:p w14:paraId="69BA0ECE">
      <w:pPr>
        <w:spacing w:line="500" w:lineRule="exact"/>
        <w:ind w:firstLine="560" w:firstLineChars="200"/>
        <w:rPr>
          <w:rFonts w:ascii="Times New Roman" w:eastAsia="仿宋"/>
          <w:sz w:val="28"/>
        </w:rPr>
      </w:pPr>
      <w:r>
        <w:rPr>
          <w:rFonts w:ascii="Times New Roman" w:eastAsia="仿宋"/>
          <w:sz w:val="28"/>
        </w:rPr>
        <w:t>①供水</w:t>
      </w:r>
    </w:p>
    <w:p w14:paraId="58B057E8">
      <w:pPr>
        <w:spacing w:line="500" w:lineRule="exact"/>
        <w:ind w:firstLine="560" w:firstLineChars="200"/>
        <w:rPr>
          <w:rFonts w:ascii="Times New Roman" w:eastAsia="仿宋"/>
          <w:sz w:val="28"/>
        </w:rPr>
      </w:pPr>
      <w:r>
        <w:rPr>
          <w:rFonts w:ascii="Times New Roman" w:eastAsia="仿宋"/>
          <w:sz w:val="28"/>
        </w:rPr>
        <w:t>a.消防用水供水不可靠情况下，一旦发生火灾，无法及时以大量水冷却，可造成火灾的蔓延、扩大。</w:t>
      </w:r>
    </w:p>
    <w:p w14:paraId="47C234BA">
      <w:pPr>
        <w:spacing w:line="500" w:lineRule="exact"/>
        <w:ind w:firstLine="560" w:firstLineChars="200"/>
        <w:rPr>
          <w:rFonts w:ascii="Times New Roman" w:eastAsia="仿宋"/>
          <w:sz w:val="28"/>
        </w:rPr>
      </w:pPr>
      <w:r>
        <w:rPr>
          <w:rFonts w:ascii="Times New Roman" w:eastAsia="仿宋"/>
          <w:sz w:val="28"/>
        </w:rPr>
        <w:t>b.当物料喷溅于人体上，如人体部位受到腐蚀品、毒物玷污，应以大量清水立即冲洗，在没有冲洗水情况下，将延误现场急救时机。</w:t>
      </w:r>
    </w:p>
    <w:p w14:paraId="7CD9F1A3">
      <w:pPr>
        <w:spacing w:line="500" w:lineRule="exact"/>
        <w:ind w:firstLine="560" w:firstLineChars="200"/>
        <w:rPr>
          <w:rFonts w:ascii="Times New Roman" w:eastAsia="仿宋"/>
          <w:sz w:val="28"/>
        </w:rPr>
      </w:pPr>
      <w:r>
        <w:rPr>
          <w:rFonts w:ascii="Times New Roman" w:eastAsia="仿宋"/>
          <w:sz w:val="28"/>
        </w:rPr>
        <w:t>②排水</w:t>
      </w:r>
    </w:p>
    <w:p w14:paraId="39EF6BF8">
      <w:pPr>
        <w:spacing w:line="500" w:lineRule="exact"/>
        <w:ind w:firstLine="560" w:firstLineChars="200"/>
        <w:rPr>
          <w:rFonts w:ascii="Times New Roman" w:eastAsia="仿宋"/>
          <w:sz w:val="28"/>
        </w:rPr>
      </w:pPr>
      <w:r>
        <w:rPr>
          <w:rFonts w:ascii="Times New Roman" w:eastAsia="仿宋"/>
          <w:sz w:val="28"/>
        </w:rPr>
        <w:t>洪涝：一旦发生洪涝灾害，将构成严重的安全威胁。企业储存一定有毒有害化学品，这些化学品存在燃爆危险性、腐蚀性及毒物危害性。当这些化学品的包装物浸泡在水体中，不可避免地将发生泄漏。而腐蚀性化学品大量进入水体中，其危害成果更是无法估量。</w:t>
      </w:r>
    </w:p>
    <w:p w14:paraId="520A209F">
      <w:pPr>
        <w:spacing w:line="500" w:lineRule="exact"/>
        <w:ind w:firstLine="560" w:firstLineChars="200"/>
        <w:rPr>
          <w:rFonts w:ascii="Times New Roman" w:eastAsia="仿宋"/>
          <w:sz w:val="28"/>
        </w:rPr>
      </w:pPr>
      <w:r>
        <w:rPr>
          <w:rFonts w:hint="eastAsia" w:ascii="Times New Roman" w:eastAsia="仿宋"/>
          <w:sz w:val="28"/>
        </w:rPr>
        <w:t>（2）</w:t>
      </w:r>
      <w:r>
        <w:rPr>
          <w:rFonts w:ascii="Times New Roman" w:eastAsia="仿宋"/>
          <w:sz w:val="28"/>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p w14:paraId="4B33423F">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.2.5环保设施风险识别</w:t>
      </w:r>
    </w:p>
    <w:p w14:paraId="19C99345">
      <w:pPr>
        <w:spacing w:line="500" w:lineRule="exact"/>
        <w:ind w:firstLine="560" w:firstLineChars="200"/>
        <w:rPr>
          <w:rFonts w:ascii="Times New Roman" w:eastAsia="仿宋"/>
          <w:sz w:val="28"/>
          <w:szCs w:val="28"/>
        </w:rPr>
      </w:pPr>
      <w:r>
        <w:rPr>
          <w:rFonts w:ascii="Times New Roman" w:eastAsia="仿宋"/>
          <w:sz w:val="28"/>
          <w:szCs w:val="28"/>
        </w:rPr>
        <w:t>（1）本项目污水经厂内污水处理站处理后</w:t>
      </w:r>
      <w:r>
        <w:rPr>
          <w:rFonts w:hint="eastAsia" w:ascii="Times New Roman" w:eastAsia="仿宋"/>
          <w:sz w:val="28"/>
          <w:szCs w:val="28"/>
        </w:rPr>
        <w:t>与生活污水一同接入市政污水管网进直溪污水处理厂处理</w:t>
      </w:r>
      <w:r>
        <w:rPr>
          <w:rFonts w:ascii="Times New Roman" w:eastAsia="仿宋"/>
          <w:sz w:val="28"/>
          <w:szCs w:val="28"/>
        </w:rPr>
        <w:t>，厂内污水收集管道发生破裂或者泄漏会引起污水事故排放，污染厂内土壤和周边水体。</w:t>
      </w:r>
    </w:p>
    <w:p w14:paraId="0B36A757">
      <w:pPr>
        <w:spacing w:line="500" w:lineRule="exact"/>
        <w:ind w:firstLine="560" w:firstLineChars="200"/>
        <w:rPr>
          <w:rFonts w:ascii="Times New Roman" w:eastAsia="仿宋"/>
          <w:sz w:val="28"/>
          <w:szCs w:val="28"/>
        </w:rPr>
      </w:pPr>
      <w:r>
        <w:rPr>
          <w:rFonts w:ascii="Times New Roman" w:eastAsia="仿宋"/>
          <w:sz w:val="28"/>
          <w:szCs w:val="28"/>
        </w:rPr>
        <w:t>（2）厂内有机废气</w:t>
      </w:r>
      <w:r>
        <w:rPr>
          <w:rFonts w:hint="eastAsia" w:ascii="Times New Roman" w:eastAsia="仿宋"/>
          <w:sz w:val="28"/>
          <w:szCs w:val="28"/>
        </w:rPr>
        <w:t>分别</w:t>
      </w:r>
      <w:r>
        <w:rPr>
          <w:rFonts w:ascii="Times New Roman" w:eastAsia="仿宋"/>
          <w:sz w:val="28"/>
          <w:szCs w:val="28"/>
        </w:rPr>
        <w:t>收集</w:t>
      </w:r>
      <w:r>
        <w:rPr>
          <w:rFonts w:hint="eastAsia" w:ascii="Times New Roman" w:eastAsia="仿宋"/>
          <w:sz w:val="28"/>
          <w:szCs w:val="28"/>
        </w:rPr>
        <w:t>经废气处理设施</w:t>
      </w:r>
      <w:r>
        <w:rPr>
          <w:rFonts w:ascii="Times New Roman" w:eastAsia="仿宋"/>
          <w:sz w:val="28"/>
          <w:szCs w:val="28"/>
        </w:rPr>
        <w:t>处理后</w:t>
      </w:r>
      <w:r>
        <w:rPr>
          <w:rFonts w:hint="eastAsia" w:ascii="Times New Roman" w:eastAsia="仿宋"/>
          <w:sz w:val="28"/>
          <w:szCs w:val="28"/>
        </w:rPr>
        <w:t>，通过</w:t>
      </w:r>
      <w:r>
        <w:rPr>
          <w:rFonts w:ascii="Times New Roman" w:eastAsia="仿宋"/>
          <w:sz w:val="28"/>
          <w:szCs w:val="28"/>
        </w:rPr>
        <w:t>排气筒外排。动力设备发生故障，如风机等引风装置，以及处理系统失效、风管、阀门漏风等均可能引起废气不经处理直接排放入大气，造成对周边环境空气的污染、破坏环境。</w:t>
      </w:r>
    </w:p>
    <w:p w14:paraId="5E5A680C">
      <w:pPr>
        <w:spacing w:line="500" w:lineRule="exact"/>
        <w:ind w:firstLine="560" w:firstLineChars="200"/>
        <w:rPr>
          <w:rFonts w:ascii="Times New Roman" w:eastAsia="仿宋"/>
          <w:sz w:val="28"/>
          <w:szCs w:val="28"/>
        </w:rPr>
      </w:pPr>
      <w:r>
        <w:rPr>
          <w:rFonts w:hint="eastAsia" w:ascii="Times New Roman" w:eastAsia="仿宋"/>
          <w:sz w:val="28"/>
          <w:szCs w:val="28"/>
        </w:rPr>
        <w:t>（3）</w:t>
      </w:r>
      <w:r>
        <w:rPr>
          <w:rFonts w:ascii="Times New Roman" w:eastAsia="仿宋"/>
          <w:sz w:val="28"/>
          <w:szCs w:val="28"/>
        </w:rPr>
        <w:t>铝粉属于爆炸性粉尘。除尘设施若选型不当，或除尘风机防爆等级不符合规范，管路设计不合理、容易积尘、不易清理，若没有定期清理，粉尘浓度容易达到爆炸极限；除尘设备未进行静电接地、未及时清理风管内积尘导致积尘在设备内产生静电而无法及时导除，累积到一定程度时产生放电火花而导致粉尘爆炸；若除尘系统内未设置泄爆口不能及时泄爆，发生爆炸时会产生较大的压力。且在密闭设备里，密闭性越好，爆炸产生的压力也越大。</w:t>
      </w:r>
    </w:p>
    <w:p w14:paraId="265A1C08">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4</w:t>
      </w:r>
      <w:r>
        <w:rPr>
          <w:rFonts w:ascii="Times New Roman" w:eastAsia="仿宋"/>
          <w:sz w:val="28"/>
          <w:szCs w:val="28"/>
        </w:rPr>
        <w:t>）粉尘爆炸易产生二次爆炸，第一次爆炸气浪把沉积在设备或地面上的粉尘吹扬起来，在爆炸后的短时间内爆炸中心区会形成负压，周围的新鲜空气便由外向内填补进来，形成所谓的“返回风”，与扬起的粉尘混合，在第一次爆炸的余火引燃下引起第二次爆炸。二次爆炸时，粉尘浓度一般比一次爆炸时高得多，故二次爆炸威力比第一次要大得多。例如，某硫磺粉厂，磨碎机内部发生爆炸，爆炸波沿气体管道从磨碎机扩散到旋风分离器，在旋风分离器发生了二次爆炸，爆炸波通过爆炸后在旋风分离器上生的裂口传播到车间中，扬起了沉降在建筑物和工艺设备上的硫磺粉尘，又发生了爆炸。</w:t>
      </w:r>
    </w:p>
    <w:p w14:paraId="54060B02">
      <w:pPr>
        <w:spacing w:line="500" w:lineRule="exact"/>
        <w:ind w:firstLine="560" w:firstLineChars="200"/>
        <w:rPr>
          <w:rFonts w:ascii="Times New Roman" w:eastAsia="仿宋"/>
          <w:sz w:val="28"/>
          <w:szCs w:val="28"/>
        </w:rPr>
      </w:pPr>
      <w:r>
        <w:rPr>
          <w:rFonts w:hint="eastAsia" w:ascii="Times New Roman" w:eastAsia="仿宋"/>
          <w:sz w:val="28"/>
          <w:szCs w:val="28"/>
        </w:rPr>
        <w:t>（5）</w:t>
      </w:r>
      <w:r>
        <w:rPr>
          <w:rFonts w:ascii="Times New Roman" w:eastAsia="仿宋"/>
          <w:sz w:val="28"/>
          <w:szCs w:val="28"/>
        </w:rPr>
        <w:t>若固废堆放场所的危废意外泄漏，若未及时收集处理，有可能会污染周边环境。</w:t>
      </w:r>
    </w:p>
    <w:p w14:paraId="1421FF19">
      <w:pPr>
        <w:pStyle w:val="7"/>
        <w:keepLines w:val="0"/>
        <w:widowControl/>
        <w:tabs>
          <w:tab w:val="left" w:pos="993"/>
        </w:tabs>
        <w:adjustRightInd w:val="0"/>
        <w:snapToGrid w:val="0"/>
        <w:spacing w:after="120" w:afterLines="50"/>
        <w:jc w:val="left"/>
        <w:rPr>
          <w:rFonts w:ascii="Times New Roman" w:hAnsi="Times New Roman" w:eastAsia="仿宋"/>
          <w:b/>
        </w:rPr>
      </w:pPr>
      <w:r>
        <w:rPr>
          <w:rFonts w:ascii="Times New Roman" w:hAnsi="Times New Roman" w:eastAsia="仿宋"/>
          <w:b/>
        </w:rPr>
        <w:t>3.</w:t>
      </w:r>
      <w:r>
        <w:rPr>
          <w:rFonts w:hint="eastAsia" w:ascii="Times New Roman" w:hAnsi="Times New Roman" w:eastAsia="仿宋"/>
          <w:b/>
        </w:rPr>
        <w:t>3</w:t>
      </w:r>
      <w:r>
        <w:rPr>
          <w:rFonts w:ascii="Times New Roman" w:hAnsi="Times New Roman" w:eastAsia="仿宋"/>
          <w:b/>
        </w:rPr>
        <w:t>.2.6</w:t>
      </w:r>
      <w:r>
        <w:rPr>
          <w:rFonts w:ascii="Times New Roman" w:hAnsi="Times New Roman" w:eastAsia="仿宋"/>
          <w:b/>
          <w:sz w:val="30"/>
          <w:szCs w:val="30"/>
        </w:rPr>
        <w:t>可能存在的伴生、次生风险识别</w:t>
      </w:r>
    </w:p>
    <w:p w14:paraId="6D63D4B8">
      <w:pPr>
        <w:snapToGrid w:val="0"/>
        <w:spacing w:line="500" w:lineRule="exact"/>
        <w:ind w:firstLine="560" w:firstLineChars="200"/>
        <w:rPr>
          <w:rFonts w:ascii="Times New Roman" w:eastAsia="仿宋"/>
          <w:sz w:val="28"/>
          <w:szCs w:val="28"/>
        </w:rPr>
      </w:pPr>
      <w:r>
        <w:rPr>
          <w:rFonts w:ascii="Times New Roman" w:eastAsia="仿宋"/>
          <w:sz w:val="28"/>
          <w:szCs w:val="28"/>
        </w:rPr>
        <w:t>（1）企业厂区雨水排口设置截流阀，发生事故时，事故伴生、次生消防水流入雨水收集系统，应由抢险救援组负责紧急关闭截流阀，同时打开应急阀，将泄漏物、消防水引流入事故应急池内，待事故风险解除后，则通过临时架设的提升泵，将伴生、次生污水收集送有资质单位处置，不会使得污染水进入附近河流。</w:t>
      </w:r>
    </w:p>
    <w:p w14:paraId="24B3ECD1">
      <w:pPr>
        <w:spacing w:line="500" w:lineRule="exact"/>
        <w:ind w:firstLine="560" w:firstLineChars="200"/>
        <w:rPr>
          <w:rFonts w:ascii="Times New Roman" w:eastAsia="仿宋"/>
          <w:sz w:val="28"/>
          <w:szCs w:val="28"/>
        </w:rPr>
      </w:pPr>
      <w:r>
        <w:rPr>
          <w:rFonts w:ascii="Times New Roman" w:eastAsia="仿宋"/>
          <w:sz w:val="28"/>
          <w:szCs w:val="28"/>
        </w:rPr>
        <w:t>（2）危废在运送至回收场过程中若发生泄漏，立即采用防渗、密封的容器收集，并对受到污染的水体、土壤进行收集，收集后应作为危险废物委托有资质单位处置，并对现场进行洗消处理。</w:t>
      </w:r>
    </w:p>
    <w:p w14:paraId="7003BA6B">
      <w:pPr>
        <w:pStyle w:val="6"/>
        <w:keepLines w:val="0"/>
        <w:tabs>
          <w:tab w:val="left" w:pos="709"/>
        </w:tabs>
        <w:spacing w:before="120" w:beforeLines="50" w:after="120" w:afterLines="50" w:line="500" w:lineRule="exact"/>
        <w:rPr>
          <w:rFonts w:ascii="Times New Roman" w:eastAsia="仿宋"/>
          <w:sz w:val="28"/>
          <w:szCs w:val="28"/>
        </w:rPr>
      </w:pPr>
      <w:r>
        <w:rPr>
          <w:rFonts w:ascii="Times New Roman" w:eastAsia="仿宋"/>
          <w:sz w:val="28"/>
          <w:szCs w:val="28"/>
        </w:rPr>
        <w:t>3.</w:t>
      </w:r>
      <w:r>
        <w:rPr>
          <w:rFonts w:hint="eastAsia" w:ascii="Times New Roman" w:eastAsia="仿宋"/>
          <w:sz w:val="28"/>
          <w:szCs w:val="28"/>
        </w:rPr>
        <w:t>3</w:t>
      </w:r>
      <w:r>
        <w:rPr>
          <w:rFonts w:ascii="Times New Roman" w:eastAsia="仿宋"/>
          <w:sz w:val="28"/>
          <w:szCs w:val="28"/>
        </w:rPr>
        <w:t>.3风险识别结果</w:t>
      </w:r>
    </w:p>
    <w:p w14:paraId="24D5C51A">
      <w:pPr>
        <w:spacing w:line="500" w:lineRule="exact"/>
        <w:ind w:firstLine="560" w:firstLineChars="200"/>
        <w:rPr>
          <w:rFonts w:ascii="Times New Roman" w:eastAsia="仿宋"/>
          <w:sz w:val="28"/>
          <w:szCs w:val="28"/>
        </w:rPr>
      </w:pPr>
      <w:r>
        <w:rPr>
          <w:rFonts w:ascii="Times New Roman" w:eastAsia="仿宋"/>
          <w:sz w:val="28"/>
          <w:szCs w:val="28"/>
        </w:rPr>
        <w:t>综上所述，本项目的环境风险主要为存储区和装置区的泄漏事故和火灾、爆炸事故。</w:t>
      </w:r>
    </w:p>
    <w:p w14:paraId="45B5D6A4">
      <w:pPr>
        <w:adjustRightInd w:val="0"/>
        <w:snapToGrid w:val="0"/>
        <w:spacing w:line="500" w:lineRule="exact"/>
        <w:ind w:firstLine="482"/>
        <w:jc w:val="center"/>
        <w:rPr>
          <w:rFonts w:ascii="Times New Roman" w:eastAsia="仿宋"/>
          <w:b/>
        </w:rPr>
      </w:pPr>
    </w:p>
    <w:p w14:paraId="744B1656">
      <w:pPr>
        <w:adjustRightInd w:val="0"/>
        <w:snapToGrid w:val="0"/>
        <w:spacing w:line="500" w:lineRule="exact"/>
        <w:ind w:firstLine="482"/>
        <w:jc w:val="center"/>
        <w:rPr>
          <w:rFonts w:ascii="Times New Roman" w:eastAsia="仿宋"/>
          <w:b/>
        </w:rPr>
      </w:pPr>
    </w:p>
    <w:p w14:paraId="3E4EB469">
      <w:pPr>
        <w:adjustRightInd w:val="0"/>
        <w:snapToGrid w:val="0"/>
        <w:spacing w:line="500" w:lineRule="exact"/>
        <w:ind w:firstLine="482"/>
        <w:jc w:val="center"/>
        <w:rPr>
          <w:rFonts w:ascii="Times New Roman" w:eastAsia="仿宋"/>
          <w:b/>
        </w:rPr>
      </w:pPr>
      <w:r>
        <w:rPr>
          <w:rFonts w:ascii="Times New Roman" w:eastAsia="仿宋"/>
          <w:b/>
        </w:rPr>
        <w:t>表 3</w:t>
      </w:r>
      <w:r>
        <w:rPr>
          <w:rFonts w:hint="eastAsia" w:ascii="Times New Roman" w:eastAsia="仿宋"/>
          <w:b/>
        </w:rPr>
        <w:t>.3-</w:t>
      </w:r>
      <w:r>
        <w:rPr>
          <w:rFonts w:ascii="Times New Roman" w:eastAsia="仿宋"/>
          <w:b/>
        </w:rPr>
        <w:t>4 本项目风险识别表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0"/>
        <w:gridCol w:w="1261"/>
        <w:gridCol w:w="1491"/>
        <w:gridCol w:w="1493"/>
        <w:gridCol w:w="1491"/>
        <w:gridCol w:w="1491"/>
      </w:tblGrid>
      <w:tr w14:paraId="55C2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7" w:type="pct"/>
            <w:vAlign w:val="center"/>
          </w:tcPr>
          <w:p w14:paraId="6EAAA9C8">
            <w:pPr>
              <w:pStyle w:val="949"/>
              <w:rPr>
                <w:sz w:val="24"/>
                <w:szCs w:val="21"/>
              </w:rPr>
            </w:pPr>
            <w:r>
              <w:rPr>
                <w:sz w:val="24"/>
                <w:szCs w:val="21"/>
              </w:rPr>
              <w:t>序号</w:t>
            </w:r>
          </w:p>
        </w:tc>
        <w:tc>
          <w:tcPr>
            <w:tcW w:w="493" w:type="pct"/>
            <w:vAlign w:val="center"/>
          </w:tcPr>
          <w:p w14:paraId="61D16D4E">
            <w:pPr>
              <w:pStyle w:val="949"/>
              <w:rPr>
                <w:sz w:val="24"/>
                <w:szCs w:val="21"/>
              </w:rPr>
            </w:pPr>
            <w:r>
              <w:rPr>
                <w:sz w:val="24"/>
                <w:szCs w:val="21"/>
              </w:rPr>
              <w:t>风险单元</w:t>
            </w:r>
          </w:p>
        </w:tc>
        <w:tc>
          <w:tcPr>
            <w:tcW w:w="739" w:type="pct"/>
            <w:vAlign w:val="center"/>
          </w:tcPr>
          <w:p w14:paraId="598D77EB">
            <w:pPr>
              <w:pStyle w:val="949"/>
              <w:rPr>
                <w:sz w:val="24"/>
                <w:szCs w:val="21"/>
              </w:rPr>
            </w:pPr>
            <w:r>
              <w:rPr>
                <w:sz w:val="24"/>
                <w:szCs w:val="21"/>
              </w:rPr>
              <w:t>主要危险源</w:t>
            </w:r>
          </w:p>
        </w:tc>
        <w:tc>
          <w:tcPr>
            <w:tcW w:w="874" w:type="pct"/>
            <w:vAlign w:val="center"/>
          </w:tcPr>
          <w:p w14:paraId="240F9F88">
            <w:pPr>
              <w:pStyle w:val="949"/>
              <w:rPr>
                <w:sz w:val="24"/>
                <w:szCs w:val="21"/>
              </w:rPr>
            </w:pPr>
            <w:r>
              <w:rPr>
                <w:sz w:val="24"/>
                <w:szCs w:val="21"/>
              </w:rPr>
              <w:t>主要危险物质</w:t>
            </w:r>
          </w:p>
        </w:tc>
        <w:tc>
          <w:tcPr>
            <w:tcW w:w="875" w:type="pct"/>
            <w:vAlign w:val="center"/>
          </w:tcPr>
          <w:p w14:paraId="2FBC5A18">
            <w:pPr>
              <w:pStyle w:val="949"/>
              <w:rPr>
                <w:sz w:val="24"/>
                <w:szCs w:val="21"/>
              </w:rPr>
            </w:pPr>
            <w:r>
              <w:rPr>
                <w:sz w:val="24"/>
                <w:szCs w:val="21"/>
              </w:rPr>
              <w:t>环境风险类型</w:t>
            </w:r>
          </w:p>
        </w:tc>
        <w:tc>
          <w:tcPr>
            <w:tcW w:w="874" w:type="pct"/>
            <w:vAlign w:val="center"/>
          </w:tcPr>
          <w:p w14:paraId="7544D2FC">
            <w:pPr>
              <w:pStyle w:val="949"/>
              <w:rPr>
                <w:sz w:val="24"/>
                <w:szCs w:val="21"/>
              </w:rPr>
            </w:pPr>
            <w:r>
              <w:rPr>
                <w:sz w:val="24"/>
                <w:szCs w:val="21"/>
              </w:rPr>
              <w:t>环境影响途径</w:t>
            </w:r>
          </w:p>
        </w:tc>
        <w:tc>
          <w:tcPr>
            <w:tcW w:w="874" w:type="pct"/>
            <w:vAlign w:val="center"/>
          </w:tcPr>
          <w:p w14:paraId="2944BE8C">
            <w:pPr>
              <w:pStyle w:val="949"/>
              <w:rPr>
                <w:sz w:val="24"/>
                <w:szCs w:val="21"/>
              </w:rPr>
            </w:pPr>
            <w:r>
              <w:rPr>
                <w:sz w:val="24"/>
                <w:szCs w:val="21"/>
              </w:rPr>
              <w:t>可能受影响的环境敏感目标</w:t>
            </w:r>
          </w:p>
        </w:tc>
      </w:tr>
      <w:tr w14:paraId="01D6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7D806320">
            <w:pPr>
              <w:pStyle w:val="949"/>
              <w:rPr>
                <w:sz w:val="24"/>
                <w:szCs w:val="21"/>
              </w:rPr>
            </w:pPr>
            <w:r>
              <w:rPr>
                <w:sz w:val="24"/>
                <w:szCs w:val="21"/>
              </w:rPr>
              <w:t>1</w:t>
            </w:r>
          </w:p>
        </w:tc>
        <w:tc>
          <w:tcPr>
            <w:tcW w:w="493" w:type="pct"/>
            <w:vAlign w:val="center"/>
          </w:tcPr>
          <w:p w14:paraId="0D0C2FAF">
            <w:pPr>
              <w:pStyle w:val="949"/>
              <w:rPr>
                <w:sz w:val="24"/>
                <w:szCs w:val="21"/>
              </w:rPr>
            </w:pPr>
            <w:r>
              <w:rPr>
                <w:sz w:val="24"/>
                <w:szCs w:val="21"/>
              </w:rPr>
              <w:t>生产过程</w:t>
            </w:r>
          </w:p>
        </w:tc>
        <w:tc>
          <w:tcPr>
            <w:tcW w:w="739" w:type="pct"/>
            <w:vAlign w:val="center"/>
          </w:tcPr>
          <w:p w14:paraId="1CA00D50">
            <w:pPr>
              <w:pStyle w:val="949"/>
              <w:rPr>
                <w:sz w:val="24"/>
                <w:szCs w:val="21"/>
              </w:rPr>
            </w:pPr>
            <w:r>
              <w:rPr>
                <w:sz w:val="24"/>
                <w:szCs w:val="21"/>
              </w:rPr>
              <w:t>喷漆、固化等工序</w:t>
            </w:r>
          </w:p>
        </w:tc>
        <w:tc>
          <w:tcPr>
            <w:tcW w:w="874" w:type="pct"/>
            <w:vAlign w:val="center"/>
          </w:tcPr>
          <w:p w14:paraId="73D4411D">
            <w:pPr>
              <w:pStyle w:val="949"/>
              <w:rPr>
                <w:sz w:val="24"/>
                <w:szCs w:val="21"/>
              </w:rPr>
            </w:pPr>
            <w:r>
              <w:rPr>
                <w:sz w:val="24"/>
                <w:szCs w:val="21"/>
              </w:rPr>
              <w:t>原料中含有的有机物等</w:t>
            </w:r>
          </w:p>
        </w:tc>
        <w:tc>
          <w:tcPr>
            <w:tcW w:w="875" w:type="pct"/>
            <w:vAlign w:val="center"/>
          </w:tcPr>
          <w:p w14:paraId="69267755">
            <w:pPr>
              <w:pStyle w:val="949"/>
              <w:rPr>
                <w:sz w:val="24"/>
                <w:szCs w:val="21"/>
              </w:rPr>
            </w:pPr>
            <w:r>
              <w:rPr>
                <w:spacing w:val="-2"/>
                <w:sz w:val="24"/>
                <w:szCs w:val="21"/>
              </w:rPr>
              <w:t>泄漏、火灾、爆炸</w:t>
            </w:r>
          </w:p>
        </w:tc>
        <w:tc>
          <w:tcPr>
            <w:tcW w:w="874" w:type="pct"/>
            <w:vAlign w:val="center"/>
          </w:tcPr>
          <w:p w14:paraId="7ABA7E1C">
            <w:pPr>
              <w:pStyle w:val="949"/>
              <w:rPr>
                <w:spacing w:val="-2"/>
                <w:sz w:val="24"/>
                <w:szCs w:val="21"/>
              </w:rPr>
            </w:pPr>
            <w:r>
              <w:rPr>
                <w:spacing w:val="-2"/>
                <w:sz w:val="24"/>
                <w:szCs w:val="21"/>
              </w:rPr>
              <w:t>大气、土壤、地表水与地下水</w:t>
            </w:r>
          </w:p>
        </w:tc>
        <w:tc>
          <w:tcPr>
            <w:tcW w:w="874" w:type="pct"/>
            <w:vAlign w:val="center"/>
          </w:tcPr>
          <w:p w14:paraId="0E492FBB">
            <w:pPr>
              <w:pStyle w:val="949"/>
              <w:rPr>
                <w:sz w:val="24"/>
                <w:szCs w:val="21"/>
              </w:rPr>
            </w:pPr>
            <w:r>
              <w:rPr>
                <w:spacing w:val="-2"/>
                <w:sz w:val="24"/>
                <w:szCs w:val="21"/>
              </w:rPr>
              <w:t>周边居住区及河流，周边分散式水井</w:t>
            </w:r>
          </w:p>
        </w:tc>
      </w:tr>
      <w:tr w14:paraId="19E9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2CF900D0">
            <w:pPr>
              <w:pStyle w:val="949"/>
              <w:rPr>
                <w:sz w:val="24"/>
                <w:szCs w:val="21"/>
              </w:rPr>
            </w:pPr>
            <w:r>
              <w:rPr>
                <w:rFonts w:hint="eastAsia"/>
                <w:sz w:val="24"/>
                <w:szCs w:val="21"/>
              </w:rPr>
              <w:t>2</w:t>
            </w:r>
          </w:p>
        </w:tc>
        <w:tc>
          <w:tcPr>
            <w:tcW w:w="493" w:type="pct"/>
            <w:vAlign w:val="center"/>
          </w:tcPr>
          <w:p w14:paraId="21DFD292">
            <w:pPr>
              <w:pStyle w:val="949"/>
              <w:rPr>
                <w:sz w:val="24"/>
                <w:szCs w:val="21"/>
              </w:rPr>
            </w:pPr>
            <w:r>
              <w:rPr>
                <w:sz w:val="24"/>
                <w:szCs w:val="21"/>
              </w:rPr>
              <w:t>生产过程</w:t>
            </w:r>
          </w:p>
        </w:tc>
        <w:tc>
          <w:tcPr>
            <w:tcW w:w="739" w:type="pct"/>
            <w:vAlign w:val="center"/>
          </w:tcPr>
          <w:p w14:paraId="3F6924F5">
            <w:pPr>
              <w:pStyle w:val="949"/>
              <w:rPr>
                <w:sz w:val="24"/>
                <w:szCs w:val="21"/>
              </w:rPr>
            </w:pPr>
            <w:r>
              <w:rPr>
                <w:rFonts w:hint="eastAsia"/>
                <w:sz w:val="24"/>
                <w:szCs w:val="21"/>
              </w:rPr>
              <w:t>打磨</w:t>
            </w:r>
          </w:p>
        </w:tc>
        <w:tc>
          <w:tcPr>
            <w:tcW w:w="874" w:type="pct"/>
            <w:vAlign w:val="center"/>
          </w:tcPr>
          <w:p w14:paraId="156D20A6">
            <w:pPr>
              <w:pStyle w:val="949"/>
              <w:rPr>
                <w:sz w:val="24"/>
                <w:szCs w:val="21"/>
              </w:rPr>
            </w:pPr>
            <w:r>
              <w:rPr>
                <w:rFonts w:hint="eastAsia"/>
                <w:sz w:val="24"/>
                <w:szCs w:val="21"/>
              </w:rPr>
              <w:t>铝粉尘</w:t>
            </w:r>
          </w:p>
        </w:tc>
        <w:tc>
          <w:tcPr>
            <w:tcW w:w="875" w:type="pct"/>
            <w:vAlign w:val="center"/>
          </w:tcPr>
          <w:p w14:paraId="5A04A5CA">
            <w:pPr>
              <w:pStyle w:val="949"/>
              <w:rPr>
                <w:spacing w:val="-2"/>
                <w:sz w:val="24"/>
                <w:szCs w:val="21"/>
              </w:rPr>
            </w:pPr>
            <w:r>
              <w:rPr>
                <w:spacing w:val="-2"/>
                <w:sz w:val="24"/>
                <w:szCs w:val="21"/>
              </w:rPr>
              <w:t>爆炸</w:t>
            </w:r>
          </w:p>
        </w:tc>
        <w:tc>
          <w:tcPr>
            <w:tcW w:w="874" w:type="pct"/>
            <w:vAlign w:val="center"/>
          </w:tcPr>
          <w:p w14:paraId="7CA2A4BD">
            <w:pPr>
              <w:pStyle w:val="949"/>
              <w:rPr>
                <w:spacing w:val="-2"/>
                <w:sz w:val="24"/>
                <w:szCs w:val="21"/>
              </w:rPr>
            </w:pPr>
            <w:r>
              <w:rPr>
                <w:spacing w:val="-2"/>
                <w:sz w:val="24"/>
                <w:szCs w:val="21"/>
              </w:rPr>
              <w:t>大气</w:t>
            </w:r>
          </w:p>
        </w:tc>
        <w:tc>
          <w:tcPr>
            <w:tcW w:w="874" w:type="pct"/>
            <w:vAlign w:val="center"/>
          </w:tcPr>
          <w:p w14:paraId="3306DADD">
            <w:pPr>
              <w:pStyle w:val="949"/>
              <w:rPr>
                <w:spacing w:val="-2"/>
                <w:sz w:val="24"/>
                <w:szCs w:val="21"/>
              </w:rPr>
            </w:pPr>
            <w:r>
              <w:rPr>
                <w:spacing w:val="-2"/>
                <w:sz w:val="24"/>
                <w:szCs w:val="21"/>
              </w:rPr>
              <w:t>周边居住区及村庄</w:t>
            </w:r>
          </w:p>
        </w:tc>
      </w:tr>
      <w:tr w14:paraId="27A8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1038E81A">
            <w:pPr>
              <w:pStyle w:val="949"/>
              <w:rPr>
                <w:sz w:val="24"/>
                <w:szCs w:val="21"/>
              </w:rPr>
            </w:pPr>
            <w:r>
              <w:rPr>
                <w:rFonts w:hint="eastAsia"/>
                <w:sz w:val="24"/>
                <w:szCs w:val="21"/>
              </w:rPr>
              <w:t>3</w:t>
            </w:r>
          </w:p>
        </w:tc>
        <w:tc>
          <w:tcPr>
            <w:tcW w:w="493" w:type="pct"/>
            <w:vAlign w:val="center"/>
          </w:tcPr>
          <w:p w14:paraId="177B8BED">
            <w:pPr>
              <w:pStyle w:val="949"/>
              <w:rPr>
                <w:sz w:val="24"/>
                <w:szCs w:val="21"/>
              </w:rPr>
            </w:pPr>
            <w:r>
              <w:rPr>
                <w:sz w:val="24"/>
                <w:szCs w:val="21"/>
              </w:rPr>
              <w:t>贮存区</w:t>
            </w:r>
            <w:r>
              <w:rPr>
                <w:spacing w:val="-102"/>
                <w:sz w:val="24"/>
                <w:szCs w:val="21"/>
              </w:rPr>
              <w:t xml:space="preserve"> </w:t>
            </w:r>
            <w:r>
              <w:rPr>
                <w:sz w:val="24"/>
                <w:szCs w:val="21"/>
              </w:rPr>
              <w:t>域</w:t>
            </w:r>
          </w:p>
        </w:tc>
        <w:tc>
          <w:tcPr>
            <w:tcW w:w="739" w:type="pct"/>
            <w:vAlign w:val="center"/>
          </w:tcPr>
          <w:p w14:paraId="28C4D688">
            <w:pPr>
              <w:pStyle w:val="949"/>
              <w:rPr>
                <w:sz w:val="24"/>
                <w:szCs w:val="21"/>
              </w:rPr>
            </w:pPr>
            <w:r>
              <w:rPr>
                <w:rFonts w:hint="eastAsia"/>
                <w:sz w:val="24"/>
                <w:szCs w:val="21"/>
              </w:rPr>
              <w:t>油漆仓库</w:t>
            </w:r>
          </w:p>
        </w:tc>
        <w:tc>
          <w:tcPr>
            <w:tcW w:w="874" w:type="pct"/>
            <w:vAlign w:val="center"/>
          </w:tcPr>
          <w:p w14:paraId="0F256F3F">
            <w:pPr>
              <w:pStyle w:val="949"/>
              <w:rPr>
                <w:sz w:val="24"/>
                <w:szCs w:val="21"/>
              </w:rPr>
            </w:pPr>
            <w:r>
              <w:rPr>
                <w:sz w:val="24"/>
                <w:szCs w:val="21"/>
              </w:rPr>
              <w:t>原料中含有的有机物等</w:t>
            </w:r>
          </w:p>
        </w:tc>
        <w:tc>
          <w:tcPr>
            <w:tcW w:w="875" w:type="pct"/>
            <w:vAlign w:val="center"/>
          </w:tcPr>
          <w:p w14:paraId="7C2A3BC3">
            <w:pPr>
              <w:pStyle w:val="949"/>
              <w:rPr>
                <w:sz w:val="24"/>
                <w:szCs w:val="21"/>
              </w:rPr>
            </w:pPr>
            <w:r>
              <w:rPr>
                <w:spacing w:val="-2"/>
                <w:sz w:val="24"/>
                <w:szCs w:val="21"/>
              </w:rPr>
              <w:t>泄漏，火灾、爆炸</w:t>
            </w:r>
          </w:p>
        </w:tc>
        <w:tc>
          <w:tcPr>
            <w:tcW w:w="874" w:type="pct"/>
            <w:vAlign w:val="center"/>
          </w:tcPr>
          <w:p w14:paraId="121A20C8">
            <w:pPr>
              <w:pStyle w:val="949"/>
              <w:rPr>
                <w:spacing w:val="-2"/>
                <w:sz w:val="24"/>
                <w:szCs w:val="21"/>
              </w:rPr>
            </w:pPr>
            <w:r>
              <w:rPr>
                <w:spacing w:val="-2"/>
                <w:sz w:val="24"/>
                <w:szCs w:val="21"/>
              </w:rPr>
              <w:t>大气、土壤、地表水与地下水</w:t>
            </w:r>
          </w:p>
        </w:tc>
        <w:tc>
          <w:tcPr>
            <w:tcW w:w="874" w:type="pct"/>
            <w:vAlign w:val="center"/>
          </w:tcPr>
          <w:p w14:paraId="0A5B612C">
            <w:pPr>
              <w:pStyle w:val="949"/>
              <w:rPr>
                <w:sz w:val="24"/>
                <w:szCs w:val="21"/>
              </w:rPr>
            </w:pPr>
            <w:r>
              <w:rPr>
                <w:spacing w:val="-2"/>
                <w:sz w:val="24"/>
                <w:szCs w:val="21"/>
              </w:rPr>
              <w:t>周边居住区及河流，周边分散式水井</w:t>
            </w:r>
          </w:p>
        </w:tc>
      </w:tr>
      <w:tr w14:paraId="0095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vAlign w:val="center"/>
          </w:tcPr>
          <w:p w14:paraId="06A63B64">
            <w:pPr>
              <w:pStyle w:val="949"/>
              <w:rPr>
                <w:sz w:val="24"/>
                <w:szCs w:val="21"/>
              </w:rPr>
            </w:pPr>
            <w:r>
              <w:rPr>
                <w:rFonts w:hint="eastAsia"/>
                <w:sz w:val="24"/>
                <w:szCs w:val="21"/>
              </w:rPr>
              <w:t>4</w:t>
            </w:r>
          </w:p>
        </w:tc>
        <w:tc>
          <w:tcPr>
            <w:tcW w:w="493" w:type="pct"/>
            <w:vMerge w:val="restart"/>
            <w:vAlign w:val="center"/>
          </w:tcPr>
          <w:p w14:paraId="09D153E4">
            <w:pPr>
              <w:pStyle w:val="949"/>
              <w:rPr>
                <w:sz w:val="24"/>
                <w:szCs w:val="21"/>
              </w:rPr>
            </w:pPr>
            <w:r>
              <w:rPr>
                <w:sz w:val="24"/>
                <w:szCs w:val="21"/>
              </w:rPr>
              <w:t>环保设</w:t>
            </w:r>
            <w:r>
              <w:rPr>
                <w:spacing w:val="-102"/>
                <w:sz w:val="24"/>
                <w:szCs w:val="21"/>
              </w:rPr>
              <w:t xml:space="preserve"> </w:t>
            </w:r>
            <w:r>
              <w:rPr>
                <w:sz w:val="24"/>
                <w:szCs w:val="21"/>
              </w:rPr>
              <w:t>施</w:t>
            </w:r>
          </w:p>
        </w:tc>
        <w:tc>
          <w:tcPr>
            <w:tcW w:w="739" w:type="pct"/>
            <w:vMerge w:val="restart"/>
            <w:vAlign w:val="center"/>
          </w:tcPr>
          <w:p w14:paraId="2DF83D98">
            <w:pPr>
              <w:pStyle w:val="949"/>
              <w:rPr>
                <w:sz w:val="24"/>
                <w:szCs w:val="21"/>
              </w:rPr>
            </w:pPr>
            <w:r>
              <w:rPr>
                <w:sz w:val="24"/>
                <w:szCs w:val="21"/>
              </w:rPr>
              <w:t>废气处理设施</w:t>
            </w:r>
          </w:p>
        </w:tc>
        <w:tc>
          <w:tcPr>
            <w:tcW w:w="874" w:type="pct"/>
            <w:vAlign w:val="center"/>
          </w:tcPr>
          <w:p w14:paraId="1BF0F63A">
            <w:pPr>
              <w:pStyle w:val="949"/>
              <w:rPr>
                <w:sz w:val="24"/>
                <w:szCs w:val="21"/>
              </w:rPr>
            </w:pPr>
            <w:r>
              <w:rPr>
                <w:sz w:val="24"/>
                <w:szCs w:val="21"/>
              </w:rPr>
              <w:t>VOC等</w:t>
            </w:r>
          </w:p>
        </w:tc>
        <w:tc>
          <w:tcPr>
            <w:tcW w:w="875" w:type="pct"/>
            <w:vAlign w:val="center"/>
          </w:tcPr>
          <w:p w14:paraId="16BA3DA5">
            <w:pPr>
              <w:pStyle w:val="949"/>
              <w:rPr>
                <w:sz w:val="24"/>
                <w:szCs w:val="21"/>
              </w:rPr>
            </w:pPr>
            <w:r>
              <w:rPr>
                <w:sz w:val="24"/>
                <w:szCs w:val="21"/>
              </w:rPr>
              <w:t>非正常排放、火灾</w:t>
            </w:r>
          </w:p>
        </w:tc>
        <w:tc>
          <w:tcPr>
            <w:tcW w:w="874" w:type="pct"/>
            <w:vAlign w:val="center"/>
          </w:tcPr>
          <w:p w14:paraId="2318113E">
            <w:pPr>
              <w:pStyle w:val="949"/>
              <w:rPr>
                <w:sz w:val="24"/>
                <w:szCs w:val="21"/>
              </w:rPr>
            </w:pPr>
            <w:r>
              <w:rPr>
                <w:spacing w:val="-2"/>
                <w:sz w:val="24"/>
                <w:szCs w:val="21"/>
              </w:rPr>
              <w:t>大气</w:t>
            </w:r>
          </w:p>
        </w:tc>
        <w:tc>
          <w:tcPr>
            <w:tcW w:w="874" w:type="pct"/>
            <w:vAlign w:val="center"/>
          </w:tcPr>
          <w:p w14:paraId="29E31475">
            <w:pPr>
              <w:pStyle w:val="949"/>
              <w:rPr>
                <w:sz w:val="24"/>
                <w:szCs w:val="21"/>
              </w:rPr>
            </w:pPr>
            <w:r>
              <w:rPr>
                <w:spacing w:val="-2"/>
                <w:sz w:val="24"/>
                <w:szCs w:val="21"/>
              </w:rPr>
              <w:t>周边居住区及村庄</w:t>
            </w:r>
          </w:p>
        </w:tc>
      </w:tr>
      <w:tr w14:paraId="7FDF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14:paraId="20F0CFD1">
            <w:pPr>
              <w:pStyle w:val="949"/>
              <w:rPr>
                <w:sz w:val="24"/>
                <w:szCs w:val="21"/>
              </w:rPr>
            </w:pPr>
          </w:p>
        </w:tc>
        <w:tc>
          <w:tcPr>
            <w:tcW w:w="493" w:type="pct"/>
            <w:vMerge w:val="continue"/>
            <w:vAlign w:val="center"/>
          </w:tcPr>
          <w:p w14:paraId="7687D7AF">
            <w:pPr>
              <w:pStyle w:val="949"/>
              <w:rPr>
                <w:sz w:val="24"/>
                <w:szCs w:val="21"/>
              </w:rPr>
            </w:pPr>
          </w:p>
        </w:tc>
        <w:tc>
          <w:tcPr>
            <w:tcW w:w="739" w:type="pct"/>
            <w:vMerge w:val="continue"/>
            <w:vAlign w:val="center"/>
          </w:tcPr>
          <w:p w14:paraId="6C411D25">
            <w:pPr>
              <w:pStyle w:val="949"/>
              <w:rPr>
                <w:sz w:val="24"/>
                <w:szCs w:val="21"/>
              </w:rPr>
            </w:pPr>
          </w:p>
        </w:tc>
        <w:tc>
          <w:tcPr>
            <w:tcW w:w="874" w:type="pct"/>
            <w:vAlign w:val="center"/>
          </w:tcPr>
          <w:p w14:paraId="2B7D1DAE">
            <w:pPr>
              <w:pStyle w:val="949"/>
              <w:rPr>
                <w:sz w:val="24"/>
                <w:szCs w:val="21"/>
              </w:rPr>
            </w:pPr>
            <w:r>
              <w:rPr>
                <w:rFonts w:hint="eastAsia"/>
                <w:sz w:val="24"/>
                <w:szCs w:val="21"/>
              </w:rPr>
              <w:t>铝粉尘</w:t>
            </w:r>
          </w:p>
        </w:tc>
        <w:tc>
          <w:tcPr>
            <w:tcW w:w="1493" w:type="dxa"/>
            <w:vAlign w:val="center"/>
          </w:tcPr>
          <w:p w14:paraId="4F981929">
            <w:pPr>
              <w:pStyle w:val="949"/>
              <w:rPr>
                <w:sz w:val="24"/>
                <w:szCs w:val="21"/>
              </w:rPr>
            </w:pPr>
            <w:r>
              <w:rPr>
                <w:spacing w:val="-2"/>
                <w:sz w:val="24"/>
                <w:szCs w:val="21"/>
              </w:rPr>
              <w:t>爆炸</w:t>
            </w:r>
          </w:p>
        </w:tc>
        <w:tc>
          <w:tcPr>
            <w:tcW w:w="1491" w:type="dxa"/>
            <w:vAlign w:val="center"/>
          </w:tcPr>
          <w:p w14:paraId="1FFEDB2F">
            <w:pPr>
              <w:pStyle w:val="949"/>
              <w:rPr>
                <w:spacing w:val="-2"/>
                <w:sz w:val="24"/>
                <w:szCs w:val="21"/>
              </w:rPr>
            </w:pPr>
            <w:r>
              <w:rPr>
                <w:spacing w:val="-2"/>
                <w:sz w:val="24"/>
                <w:szCs w:val="21"/>
              </w:rPr>
              <w:t>大气</w:t>
            </w:r>
          </w:p>
        </w:tc>
        <w:tc>
          <w:tcPr>
            <w:tcW w:w="1491" w:type="dxa"/>
            <w:vAlign w:val="center"/>
          </w:tcPr>
          <w:p w14:paraId="7B311F2A">
            <w:pPr>
              <w:pStyle w:val="949"/>
              <w:rPr>
                <w:spacing w:val="-2"/>
                <w:sz w:val="24"/>
                <w:szCs w:val="21"/>
              </w:rPr>
            </w:pPr>
            <w:r>
              <w:rPr>
                <w:spacing w:val="-2"/>
                <w:sz w:val="24"/>
                <w:szCs w:val="21"/>
              </w:rPr>
              <w:t>周边居住区及村庄</w:t>
            </w:r>
          </w:p>
        </w:tc>
      </w:tr>
      <w:tr w14:paraId="645D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14:paraId="0EBFD261">
            <w:pPr>
              <w:pStyle w:val="949"/>
              <w:rPr>
                <w:sz w:val="24"/>
                <w:szCs w:val="21"/>
              </w:rPr>
            </w:pPr>
          </w:p>
        </w:tc>
        <w:tc>
          <w:tcPr>
            <w:tcW w:w="493" w:type="pct"/>
            <w:vMerge w:val="continue"/>
            <w:vAlign w:val="center"/>
          </w:tcPr>
          <w:p w14:paraId="7CE3C559">
            <w:pPr>
              <w:pStyle w:val="949"/>
              <w:rPr>
                <w:sz w:val="24"/>
                <w:szCs w:val="21"/>
              </w:rPr>
            </w:pPr>
          </w:p>
        </w:tc>
        <w:tc>
          <w:tcPr>
            <w:tcW w:w="739" w:type="pct"/>
            <w:vAlign w:val="center"/>
          </w:tcPr>
          <w:p w14:paraId="24F999CD">
            <w:pPr>
              <w:pStyle w:val="949"/>
              <w:rPr>
                <w:sz w:val="24"/>
                <w:szCs w:val="21"/>
              </w:rPr>
            </w:pPr>
            <w:r>
              <w:rPr>
                <w:sz w:val="24"/>
                <w:szCs w:val="21"/>
              </w:rPr>
              <w:t>废水处理设施</w:t>
            </w:r>
          </w:p>
        </w:tc>
        <w:tc>
          <w:tcPr>
            <w:tcW w:w="874" w:type="pct"/>
            <w:vAlign w:val="center"/>
          </w:tcPr>
          <w:p w14:paraId="49AA59F8">
            <w:pPr>
              <w:pStyle w:val="949"/>
              <w:rPr>
                <w:sz w:val="24"/>
                <w:szCs w:val="21"/>
              </w:rPr>
            </w:pPr>
            <w:r>
              <w:rPr>
                <w:sz w:val="24"/>
                <w:szCs w:val="21"/>
              </w:rPr>
              <w:t>COD、SS等</w:t>
            </w:r>
          </w:p>
        </w:tc>
        <w:tc>
          <w:tcPr>
            <w:tcW w:w="875" w:type="pct"/>
            <w:vAlign w:val="center"/>
          </w:tcPr>
          <w:p w14:paraId="76E29740">
            <w:pPr>
              <w:pStyle w:val="949"/>
              <w:rPr>
                <w:sz w:val="24"/>
                <w:szCs w:val="21"/>
              </w:rPr>
            </w:pPr>
            <w:r>
              <w:rPr>
                <w:sz w:val="24"/>
                <w:szCs w:val="21"/>
              </w:rPr>
              <w:t>非正常排放</w:t>
            </w:r>
          </w:p>
        </w:tc>
        <w:tc>
          <w:tcPr>
            <w:tcW w:w="874" w:type="pct"/>
            <w:vAlign w:val="center"/>
          </w:tcPr>
          <w:p w14:paraId="176EC48C">
            <w:pPr>
              <w:pStyle w:val="949"/>
              <w:rPr>
                <w:spacing w:val="-2"/>
                <w:sz w:val="24"/>
                <w:szCs w:val="21"/>
              </w:rPr>
            </w:pPr>
            <w:r>
              <w:rPr>
                <w:spacing w:val="-2"/>
                <w:sz w:val="24"/>
                <w:szCs w:val="21"/>
              </w:rPr>
              <w:t>地表水、地下水</w:t>
            </w:r>
          </w:p>
        </w:tc>
        <w:tc>
          <w:tcPr>
            <w:tcW w:w="874" w:type="pct"/>
            <w:vAlign w:val="center"/>
          </w:tcPr>
          <w:p w14:paraId="4645A209">
            <w:pPr>
              <w:pStyle w:val="949"/>
              <w:rPr>
                <w:sz w:val="24"/>
                <w:szCs w:val="21"/>
              </w:rPr>
            </w:pPr>
            <w:r>
              <w:rPr>
                <w:spacing w:val="-2"/>
                <w:sz w:val="24"/>
                <w:szCs w:val="21"/>
              </w:rPr>
              <w:t>周边居住区及周边分散式水井</w:t>
            </w:r>
          </w:p>
        </w:tc>
      </w:tr>
      <w:tr w14:paraId="7E9E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vAlign w:val="center"/>
          </w:tcPr>
          <w:p w14:paraId="7E9CB17A">
            <w:pPr>
              <w:pStyle w:val="949"/>
              <w:rPr>
                <w:sz w:val="24"/>
                <w:szCs w:val="21"/>
              </w:rPr>
            </w:pPr>
          </w:p>
        </w:tc>
        <w:tc>
          <w:tcPr>
            <w:tcW w:w="493" w:type="pct"/>
            <w:vMerge w:val="continue"/>
            <w:vAlign w:val="center"/>
          </w:tcPr>
          <w:p w14:paraId="6F316D67">
            <w:pPr>
              <w:pStyle w:val="949"/>
              <w:rPr>
                <w:sz w:val="24"/>
                <w:szCs w:val="21"/>
              </w:rPr>
            </w:pPr>
          </w:p>
        </w:tc>
        <w:tc>
          <w:tcPr>
            <w:tcW w:w="739" w:type="pct"/>
            <w:vAlign w:val="center"/>
          </w:tcPr>
          <w:p w14:paraId="57941834">
            <w:pPr>
              <w:pStyle w:val="949"/>
              <w:rPr>
                <w:sz w:val="24"/>
                <w:szCs w:val="21"/>
              </w:rPr>
            </w:pPr>
            <w:r>
              <w:rPr>
                <w:sz w:val="24"/>
                <w:szCs w:val="21"/>
              </w:rPr>
              <w:t>危险废物暂存间</w:t>
            </w:r>
          </w:p>
        </w:tc>
        <w:tc>
          <w:tcPr>
            <w:tcW w:w="874" w:type="pct"/>
            <w:vAlign w:val="center"/>
          </w:tcPr>
          <w:p w14:paraId="2D33277B">
            <w:pPr>
              <w:pStyle w:val="949"/>
              <w:rPr>
                <w:sz w:val="24"/>
                <w:szCs w:val="21"/>
              </w:rPr>
            </w:pPr>
            <w:r>
              <w:rPr>
                <w:sz w:val="24"/>
                <w:szCs w:val="21"/>
              </w:rPr>
              <w:t>危险废物</w:t>
            </w:r>
          </w:p>
        </w:tc>
        <w:tc>
          <w:tcPr>
            <w:tcW w:w="875" w:type="pct"/>
            <w:vAlign w:val="center"/>
          </w:tcPr>
          <w:p w14:paraId="42FDD01E">
            <w:pPr>
              <w:pStyle w:val="949"/>
              <w:rPr>
                <w:sz w:val="24"/>
                <w:szCs w:val="21"/>
              </w:rPr>
            </w:pPr>
            <w:r>
              <w:rPr>
                <w:sz w:val="24"/>
                <w:szCs w:val="21"/>
              </w:rPr>
              <w:t>渗漏、污染土壤与地下水</w:t>
            </w:r>
          </w:p>
        </w:tc>
        <w:tc>
          <w:tcPr>
            <w:tcW w:w="874" w:type="pct"/>
            <w:vAlign w:val="center"/>
          </w:tcPr>
          <w:p w14:paraId="73359549">
            <w:pPr>
              <w:pStyle w:val="949"/>
              <w:rPr>
                <w:spacing w:val="-2"/>
                <w:sz w:val="24"/>
                <w:szCs w:val="21"/>
              </w:rPr>
            </w:pPr>
            <w:r>
              <w:rPr>
                <w:spacing w:val="-2"/>
                <w:sz w:val="24"/>
                <w:szCs w:val="21"/>
              </w:rPr>
              <w:t>土壤、地下水</w:t>
            </w:r>
          </w:p>
        </w:tc>
        <w:tc>
          <w:tcPr>
            <w:tcW w:w="874" w:type="pct"/>
            <w:vAlign w:val="center"/>
          </w:tcPr>
          <w:p w14:paraId="15764D12">
            <w:pPr>
              <w:pStyle w:val="949"/>
              <w:rPr>
                <w:sz w:val="24"/>
                <w:szCs w:val="21"/>
              </w:rPr>
            </w:pPr>
            <w:r>
              <w:rPr>
                <w:spacing w:val="-2"/>
                <w:sz w:val="24"/>
                <w:szCs w:val="21"/>
              </w:rPr>
              <w:t>周边居住区及周边分散式水井</w:t>
            </w:r>
          </w:p>
        </w:tc>
      </w:tr>
    </w:tbl>
    <w:p w14:paraId="79B4A41F">
      <w:pPr>
        <w:pStyle w:val="2"/>
      </w:pPr>
    </w:p>
    <w:p w14:paraId="42740163">
      <w:pPr>
        <w:pStyle w:val="2"/>
      </w:pPr>
    </w:p>
    <w:p w14:paraId="79849EA5">
      <w:pPr>
        <w:pStyle w:val="5"/>
        <w:rPr>
          <w:rFonts w:eastAsia="仿宋"/>
          <w:color w:val="auto"/>
        </w:rPr>
        <w:sectPr>
          <w:pgSz w:w="11907" w:h="16840"/>
          <w:pgMar w:top="1440" w:right="1800" w:bottom="1440" w:left="1800" w:header="851" w:footer="992" w:gutter="0"/>
          <w:cols w:space="720" w:num="1"/>
          <w:docGrid w:linePitch="312" w:charSpace="0"/>
        </w:sectPr>
      </w:pPr>
      <w:bookmarkStart w:id="224" w:name="_Toc396374792"/>
      <w:bookmarkStart w:id="225" w:name="_Ref381089222"/>
    </w:p>
    <w:bookmarkEnd w:id="224"/>
    <w:p w14:paraId="47CEF8E9">
      <w:pPr>
        <w:pStyle w:val="5"/>
        <w:numPr>
          <w:ilvl w:val="0"/>
          <w:numId w:val="0"/>
        </w:numPr>
        <w:rPr>
          <w:rFonts w:eastAsia="仿宋"/>
          <w:color w:val="auto"/>
        </w:rPr>
      </w:pPr>
      <w:bookmarkStart w:id="226" w:name="_Toc182553813"/>
      <w:r>
        <w:rPr>
          <w:rFonts w:hint="eastAsia" w:eastAsia="仿宋"/>
          <w:color w:val="auto"/>
        </w:rPr>
        <w:t>3</w:t>
      </w:r>
      <w:r>
        <w:rPr>
          <w:rFonts w:eastAsia="仿宋"/>
          <w:color w:val="auto"/>
        </w:rPr>
        <w:t>.4</w:t>
      </w:r>
      <w:r>
        <w:rPr>
          <w:rFonts w:hint="eastAsia" w:eastAsia="仿宋"/>
          <w:color w:val="auto"/>
        </w:rPr>
        <w:t>施工期污染源强分析</w:t>
      </w:r>
    </w:p>
    <w:p w14:paraId="58C39497">
      <w:pPr>
        <w:spacing w:line="500" w:lineRule="exact"/>
        <w:ind w:firstLine="560" w:firstLineChars="200"/>
        <w:rPr>
          <w:rFonts w:ascii="Times New Roman" w:eastAsia="仿宋"/>
          <w:sz w:val="28"/>
          <w:szCs w:val="28"/>
        </w:rPr>
      </w:pPr>
      <w:r>
        <w:rPr>
          <w:rFonts w:hint="eastAsia" w:ascii="Times New Roman" w:eastAsia="仿宋"/>
          <w:sz w:val="28"/>
          <w:szCs w:val="28"/>
        </w:rPr>
        <w:t>本项目利用现有标准厂房进行生产，地面硬化已全部完成仅涉及少量设备安装，不对施工期进行进一步评价。</w:t>
      </w:r>
    </w:p>
    <w:p w14:paraId="67CA2080">
      <w:pPr>
        <w:pStyle w:val="5"/>
        <w:numPr>
          <w:ilvl w:val="0"/>
          <w:numId w:val="0"/>
        </w:numPr>
        <w:rPr>
          <w:rFonts w:eastAsia="仿宋"/>
          <w:color w:val="auto"/>
        </w:rPr>
      </w:pPr>
      <w:r>
        <w:rPr>
          <w:rFonts w:eastAsia="仿宋"/>
          <w:color w:val="auto"/>
        </w:rPr>
        <w:t>3.5</w:t>
      </w:r>
      <w:r>
        <w:rPr>
          <w:rFonts w:hint="eastAsia" w:eastAsia="仿宋"/>
          <w:color w:val="auto"/>
        </w:rPr>
        <w:t>营运期</w:t>
      </w:r>
      <w:r>
        <w:rPr>
          <w:rFonts w:eastAsia="仿宋"/>
          <w:color w:val="auto"/>
        </w:rPr>
        <w:t>污染源源强核算</w:t>
      </w:r>
      <w:bookmarkEnd w:id="226"/>
    </w:p>
    <w:p w14:paraId="55746F50">
      <w:pPr>
        <w:pStyle w:val="6"/>
        <w:keepLines w:val="0"/>
        <w:tabs>
          <w:tab w:val="left" w:pos="709"/>
        </w:tabs>
        <w:spacing w:before="120" w:beforeLines="50" w:after="120" w:afterLines="50" w:line="500" w:lineRule="exact"/>
        <w:rPr>
          <w:rFonts w:ascii="Times New Roman" w:eastAsia="仿宋"/>
          <w:sz w:val="30"/>
          <w:szCs w:val="30"/>
        </w:rPr>
      </w:pPr>
      <w:r>
        <w:rPr>
          <w:rFonts w:ascii="Times New Roman" w:eastAsia="仿宋"/>
          <w:sz w:val="30"/>
          <w:szCs w:val="30"/>
        </w:rPr>
        <w:t>3.5.1废水污染物源强及排放情况</w:t>
      </w:r>
    </w:p>
    <w:p w14:paraId="3AF9169B">
      <w:pPr>
        <w:spacing w:line="500" w:lineRule="exact"/>
        <w:ind w:firstLine="560" w:firstLineChars="200"/>
        <w:rPr>
          <w:rFonts w:ascii="Times New Roman" w:eastAsia="仿宋"/>
          <w:sz w:val="28"/>
          <w:szCs w:val="28"/>
        </w:rPr>
      </w:pPr>
      <w:r>
        <w:rPr>
          <w:rFonts w:ascii="Times New Roman" w:eastAsia="仿宋"/>
          <w:sz w:val="28"/>
          <w:szCs w:val="28"/>
        </w:rPr>
        <w:t>本项目营运期产生的废水主要为</w:t>
      </w:r>
      <w:r>
        <w:rPr>
          <w:rFonts w:hint="eastAsia" w:ascii="Times New Roman" w:eastAsia="仿宋"/>
          <w:sz w:val="28"/>
          <w:szCs w:val="28"/>
        </w:rPr>
        <w:t>表面处理线的清洗废水、水洗槽废水、生活污水。其中生产废水（包括脱脂清洗废水、水洗槽废水）进入厂区污水处理站处理后与生活污水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w:t>
      </w:r>
    </w:p>
    <w:p w14:paraId="7245B595">
      <w:pPr>
        <w:spacing w:line="500" w:lineRule="exact"/>
        <w:ind w:firstLine="560" w:firstLineChars="200"/>
        <w:rPr>
          <w:rFonts w:ascii="Times New Roman" w:eastAsia="仿宋"/>
          <w:sz w:val="28"/>
          <w:szCs w:val="28"/>
        </w:rPr>
      </w:pPr>
      <w:r>
        <w:rPr>
          <w:rFonts w:ascii="Times New Roman" w:eastAsia="仿宋"/>
          <w:sz w:val="28"/>
          <w:szCs w:val="28"/>
        </w:rPr>
        <w:t>本项目水污染物源强及排放状况见表3.5-1。</w:t>
      </w:r>
    </w:p>
    <w:p w14:paraId="53E9A7E7">
      <w:pPr>
        <w:spacing w:line="500" w:lineRule="exact"/>
        <w:jc w:val="center"/>
        <w:rPr>
          <w:rFonts w:ascii="Times New Roman" w:eastAsia="仿宋"/>
          <w:b/>
          <w:bCs/>
        </w:rPr>
        <w:sectPr>
          <w:footerReference r:id="rId13" w:type="default"/>
          <w:pgSz w:w="11907" w:h="16840"/>
          <w:pgMar w:top="1440" w:right="1800" w:bottom="1440" w:left="1800" w:header="851" w:footer="992" w:gutter="0"/>
          <w:cols w:space="720" w:num="1"/>
          <w:docGrid w:linePitch="312" w:charSpace="0"/>
        </w:sectPr>
      </w:pPr>
    </w:p>
    <w:p w14:paraId="13D8336C">
      <w:pPr>
        <w:spacing w:line="500" w:lineRule="exact"/>
        <w:jc w:val="center"/>
        <w:rPr>
          <w:rFonts w:ascii="Times New Roman" w:eastAsia="仿宋"/>
          <w:b/>
          <w:bCs/>
        </w:rPr>
      </w:pPr>
      <w:r>
        <w:rPr>
          <w:rFonts w:ascii="Times New Roman" w:eastAsia="仿宋"/>
          <w:b/>
          <w:bCs/>
        </w:rPr>
        <w:t>表3.5-1  本项目废水源强及排放情况表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185"/>
        <w:gridCol w:w="1449"/>
        <w:gridCol w:w="1758"/>
        <w:gridCol w:w="1296"/>
        <w:gridCol w:w="1500"/>
        <w:gridCol w:w="1466"/>
        <w:gridCol w:w="1488"/>
        <w:gridCol w:w="1497"/>
        <w:gridCol w:w="1205"/>
      </w:tblGrid>
      <w:tr w14:paraId="6309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restart"/>
            <w:vAlign w:val="center"/>
          </w:tcPr>
          <w:p w14:paraId="172A717B">
            <w:pPr>
              <w:pStyle w:val="170"/>
              <w:rPr>
                <w:rFonts w:ascii="Times New Roman" w:eastAsia="仿宋"/>
                <w:sz w:val="24"/>
                <w:szCs w:val="21"/>
              </w:rPr>
            </w:pPr>
            <w:bookmarkStart w:id="227" w:name="_Hlk129554842"/>
            <w:r>
              <w:rPr>
                <w:rFonts w:ascii="Times New Roman" w:eastAsia="仿宋"/>
                <w:sz w:val="24"/>
                <w:szCs w:val="21"/>
              </w:rPr>
              <w:t>废水</w:t>
            </w:r>
          </w:p>
          <w:p w14:paraId="57956F74">
            <w:pPr>
              <w:pStyle w:val="170"/>
              <w:rPr>
                <w:rFonts w:ascii="Times New Roman" w:eastAsia="仿宋"/>
                <w:sz w:val="24"/>
                <w:szCs w:val="21"/>
              </w:rPr>
            </w:pPr>
            <w:r>
              <w:rPr>
                <w:rFonts w:ascii="Times New Roman" w:eastAsia="仿宋"/>
                <w:sz w:val="24"/>
                <w:szCs w:val="21"/>
              </w:rPr>
              <w:t>来源</w:t>
            </w:r>
          </w:p>
        </w:tc>
        <w:tc>
          <w:tcPr>
            <w:tcW w:w="418" w:type="pct"/>
            <w:vMerge w:val="restart"/>
            <w:vAlign w:val="center"/>
          </w:tcPr>
          <w:p w14:paraId="0988C46A">
            <w:pPr>
              <w:pStyle w:val="170"/>
              <w:rPr>
                <w:rFonts w:ascii="Times New Roman" w:eastAsia="仿宋"/>
                <w:sz w:val="24"/>
                <w:szCs w:val="21"/>
              </w:rPr>
            </w:pPr>
            <w:r>
              <w:rPr>
                <w:rFonts w:ascii="Times New Roman" w:eastAsia="仿宋"/>
                <w:sz w:val="24"/>
                <w:szCs w:val="21"/>
              </w:rPr>
              <w:t>废水量</w:t>
            </w:r>
          </w:p>
          <w:p w14:paraId="5CC47553">
            <w:pPr>
              <w:pStyle w:val="170"/>
              <w:rPr>
                <w:rFonts w:ascii="Times New Roman" w:eastAsia="仿宋"/>
                <w:sz w:val="24"/>
                <w:szCs w:val="21"/>
              </w:rPr>
            </w:pPr>
            <w:r>
              <w:rPr>
                <w:rFonts w:ascii="Times New Roman" w:eastAsia="仿宋"/>
                <w:sz w:val="24"/>
                <w:szCs w:val="21"/>
              </w:rPr>
              <w:t>m</w:t>
            </w:r>
            <w:r>
              <w:rPr>
                <w:rFonts w:ascii="Times New Roman" w:eastAsia="仿宋"/>
                <w:sz w:val="24"/>
                <w:szCs w:val="21"/>
                <w:vertAlign w:val="superscript"/>
              </w:rPr>
              <w:t>3</w:t>
            </w:r>
            <w:r>
              <w:rPr>
                <w:rFonts w:ascii="Times New Roman" w:eastAsia="仿宋"/>
                <w:sz w:val="24"/>
                <w:szCs w:val="21"/>
              </w:rPr>
              <w:t>/a</w:t>
            </w:r>
          </w:p>
        </w:tc>
        <w:tc>
          <w:tcPr>
            <w:tcW w:w="1588" w:type="pct"/>
            <w:gridSpan w:val="3"/>
            <w:vAlign w:val="center"/>
          </w:tcPr>
          <w:p w14:paraId="6D0C420D">
            <w:pPr>
              <w:pStyle w:val="170"/>
              <w:rPr>
                <w:rFonts w:ascii="Times New Roman" w:eastAsia="仿宋"/>
                <w:sz w:val="24"/>
                <w:szCs w:val="21"/>
              </w:rPr>
            </w:pPr>
            <w:r>
              <w:rPr>
                <w:rFonts w:ascii="Times New Roman" w:eastAsia="仿宋"/>
                <w:sz w:val="24"/>
                <w:szCs w:val="21"/>
              </w:rPr>
              <w:t>污染物产生量</w:t>
            </w:r>
          </w:p>
        </w:tc>
        <w:tc>
          <w:tcPr>
            <w:tcW w:w="529" w:type="pct"/>
            <w:vMerge w:val="restart"/>
            <w:vAlign w:val="center"/>
          </w:tcPr>
          <w:p w14:paraId="218C566D">
            <w:pPr>
              <w:jc w:val="center"/>
              <w:rPr>
                <w:rFonts w:ascii="Times New Roman" w:eastAsia="仿宋"/>
                <w:szCs w:val="21"/>
              </w:rPr>
            </w:pPr>
            <w:r>
              <w:rPr>
                <w:rFonts w:ascii="Times New Roman" w:eastAsia="仿宋"/>
                <w:szCs w:val="21"/>
              </w:rPr>
              <w:t>拟采取的</w:t>
            </w:r>
          </w:p>
          <w:p w14:paraId="72C789A4">
            <w:pPr>
              <w:jc w:val="center"/>
              <w:rPr>
                <w:rFonts w:ascii="Times New Roman" w:eastAsia="仿宋"/>
                <w:szCs w:val="21"/>
              </w:rPr>
            </w:pPr>
            <w:r>
              <w:rPr>
                <w:rFonts w:ascii="Times New Roman" w:eastAsia="仿宋"/>
                <w:szCs w:val="21"/>
              </w:rPr>
              <w:t>防治措施</w:t>
            </w:r>
          </w:p>
        </w:tc>
        <w:tc>
          <w:tcPr>
            <w:tcW w:w="1570" w:type="pct"/>
            <w:gridSpan w:val="3"/>
          </w:tcPr>
          <w:p w14:paraId="5932277B">
            <w:pPr>
              <w:pStyle w:val="170"/>
              <w:rPr>
                <w:rFonts w:ascii="Times New Roman" w:eastAsia="仿宋"/>
                <w:sz w:val="24"/>
                <w:szCs w:val="21"/>
              </w:rPr>
            </w:pPr>
            <w:r>
              <w:rPr>
                <w:rFonts w:ascii="Times New Roman" w:eastAsia="仿宋"/>
                <w:sz w:val="24"/>
                <w:szCs w:val="21"/>
              </w:rPr>
              <w:t>污染物排放量</w:t>
            </w:r>
          </w:p>
        </w:tc>
        <w:tc>
          <w:tcPr>
            <w:tcW w:w="425" w:type="pct"/>
            <w:vMerge w:val="restart"/>
            <w:vAlign w:val="center"/>
          </w:tcPr>
          <w:p w14:paraId="45AEFDA1">
            <w:pPr>
              <w:pStyle w:val="170"/>
              <w:rPr>
                <w:rFonts w:ascii="Times New Roman" w:eastAsia="仿宋"/>
                <w:sz w:val="24"/>
                <w:szCs w:val="21"/>
              </w:rPr>
            </w:pPr>
            <w:r>
              <w:rPr>
                <w:rFonts w:ascii="Times New Roman" w:eastAsia="仿宋"/>
                <w:sz w:val="24"/>
                <w:szCs w:val="21"/>
              </w:rPr>
              <w:t>排放方式</w:t>
            </w:r>
          </w:p>
          <w:p w14:paraId="4FE311DE">
            <w:pPr>
              <w:pStyle w:val="170"/>
              <w:rPr>
                <w:rFonts w:ascii="Times New Roman" w:eastAsia="仿宋"/>
                <w:sz w:val="24"/>
                <w:szCs w:val="21"/>
              </w:rPr>
            </w:pPr>
            <w:r>
              <w:rPr>
                <w:rFonts w:ascii="Times New Roman" w:eastAsia="仿宋"/>
                <w:sz w:val="24"/>
                <w:szCs w:val="21"/>
              </w:rPr>
              <w:t>与去向</w:t>
            </w:r>
          </w:p>
        </w:tc>
      </w:tr>
      <w:tr w14:paraId="029B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1A490E14">
            <w:pPr>
              <w:pStyle w:val="170"/>
              <w:rPr>
                <w:rFonts w:ascii="Times New Roman" w:eastAsia="仿宋"/>
                <w:sz w:val="24"/>
                <w:szCs w:val="21"/>
              </w:rPr>
            </w:pPr>
          </w:p>
        </w:tc>
        <w:tc>
          <w:tcPr>
            <w:tcW w:w="418" w:type="pct"/>
            <w:vMerge w:val="continue"/>
            <w:vAlign w:val="center"/>
          </w:tcPr>
          <w:p w14:paraId="79FB1BB4">
            <w:pPr>
              <w:pStyle w:val="170"/>
              <w:rPr>
                <w:rFonts w:ascii="Times New Roman" w:eastAsia="仿宋"/>
                <w:sz w:val="24"/>
                <w:szCs w:val="21"/>
              </w:rPr>
            </w:pPr>
          </w:p>
        </w:tc>
        <w:tc>
          <w:tcPr>
            <w:tcW w:w="511" w:type="pct"/>
            <w:vAlign w:val="center"/>
          </w:tcPr>
          <w:p w14:paraId="72DB1FB7">
            <w:pPr>
              <w:pStyle w:val="170"/>
              <w:rPr>
                <w:rFonts w:ascii="Times New Roman" w:eastAsia="仿宋"/>
                <w:sz w:val="24"/>
                <w:szCs w:val="21"/>
              </w:rPr>
            </w:pPr>
            <w:r>
              <w:rPr>
                <w:rFonts w:ascii="Times New Roman" w:eastAsia="仿宋"/>
                <w:sz w:val="24"/>
                <w:szCs w:val="21"/>
              </w:rPr>
              <w:t>污染物</w:t>
            </w:r>
          </w:p>
          <w:p w14:paraId="167C5EB9">
            <w:pPr>
              <w:pStyle w:val="170"/>
              <w:rPr>
                <w:rFonts w:ascii="Times New Roman" w:eastAsia="仿宋"/>
                <w:sz w:val="24"/>
                <w:szCs w:val="21"/>
              </w:rPr>
            </w:pPr>
            <w:r>
              <w:rPr>
                <w:rFonts w:ascii="Times New Roman" w:eastAsia="仿宋"/>
                <w:sz w:val="24"/>
                <w:szCs w:val="21"/>
              </w:rPr>
              <w:t>名称</w:t>
            </w:r>
          </w:p>
        </w:tc>
        <w:tc>
          <w:tcPr>
            <w:tcW w:w="620" w:type="pct"/>
            <w:vAlign w:val="center"/>
          </w:tcPr>
          <w:p w14:paraId="19C810A3">
            <w:pPr>
              <w:pStyle w:val="170"/>
              <w:rPr>
                <w:rFonts w:ascii="Times New Roman" w:eastAsia="仿宋"/>
                <w:sz w:val="24"/>
                <w:szCs w:val="21"/>
              </w:rPr>
            </w:pPr>
            <w:r>
              <w:rPr>
                <w:rFonts w:ascii="Times New Roman" w:eastAsia="仿宋"/>
                <w:sz w:val="24"/>
                <w:szCs w:val="21"/>
              </w:rPr>
              <w:t>浓度mg/L</w:t>
            </w:r>
          </w:p>
        </w:tc>
        <w:tc>
          <w:tcPr>
            <w:tcW w:w="457" w:type="pct"/>
            <w:vAlign w:val="center"/>
          </w:tcPr>
          <w:p w14:paraId="2DDB43D3">
            <w:pPr>
              <w:pStyle w:val="170"/>
              <w:rPr>
                <w:rFonts w:ascii="Times New Roman" w:eastAsia="仿宋"/>
                <w:sz w:val="24"/>
                <w:szCs w:val="21"/>
              </w:rPr>
            </w:pPr>
            <w:r>
              <w:rPr>
                <w:rFonts w:ascii="Times New Roman" w:eastAsia="仿宋"/>
                <w:sz w:val="24"/>
                <w:szCs w:val="21"/>
              </w:rPr>
              <w:t>产生量t/a</w:t>
            </w:r>
          </w:p>
        </w:tc>
        <w:tc>
          <w:tcPr>
            <w:tcW w:w="529" w:type="pct"/>
            <w:vMerge w:val="continue"/>
            <w:vAlign w:val="center"/>
          </w:tcPr>
          <w:p w14:paraId="1B0C693F">
            <w:pPr>
              <w:pStyle w:val="170"/>
              <w:rPr>
                <w:rFonts w:ascii="Times New Roman" w:eastAsia="仿宋"/>
                <w:sz w:val="24"/>
                <w:szCs w:val="21"/>
              </w:rPr>
            </w:pPr>
          </w:p>
        </w:tc>
        <w:tc>
          <w:tcPr>
            <w:tcW w:w="517" w:type="pct"/>
            <w:vAlign w:val="center"/>
          </w:tcPr>
          <w:p w14:paraId="135D9EE9">
            <w:pPr>
              <w:pStyle w:val="170"/>
              <w:rPr>
                <w:rFonts w:ascii="Times New Roman" w:eastAsia="仿宋"/>
                <w:sz w:val="24"/>
                <w:szCs w:val="21"/>
              </w:rPr>
            </w:pPr>
            <w:r>
              <w:rPr>
                <w:rFonts w:ascii="Times New Roman" w:eastAsia="仿宋"/>
                <w:sz w:val="24"/>
                <w:szCs w:val="21"/>
              </w:rPr>
              <w:t>污染物</w:t>
            </w:r>
          </w:p>
          <w:p w14:paraId="109E0AAB">
            <w:pPr>
              <w:pStyle w:val="170"/>
              <w:rPr>
                <w:rFonts w:ascii="Times New Roman" w:eastAsia="仿宋"/>
                <w:sz w:val="24"/>
                <w:szCs w:val="21"/>
              </w:rPr>
            </w:pPr>
            <w:r>
              <w:rPr>
                <w:rFonts w:ascii="Times New Roman" w:eastAsia="仿宋"/>
                <w:sz w:val="24"/>
                <w:szCs w:val="21"/>
              </w:rPr>
              <w:t>名称</w:t>
            </w:r>
          </w:p>
        </w:tc>
        <w:tc>
          <w:tcPr>
            <w:tcW w:w="525" w:type="pct"/>
            <w:vAlign w:val="center"/>
          </w:tcPr>
          <w:p w14:paraId="47B39E50">
            <w:pPr>
              <w:pStyle w:val="170"/>
              <w:rPr>
                <w:rFonts w:ascii="Times New Roman" w:eastAsia="仿宋"/>
                <w:sz w:val="24"/>
                <w:szCs w:val="21"/>
              </w:rPr>
            </w:pPr>
            <w:r>
              <w:rPr>
                <w:rFonts w:ascii="Times New Roman" w:eastAsia="仿宋"/>
                <w:sz w:val="24"/>
                <w:szCs w:val="21"/>
              </w:rPr>
              <w:t>浓度mg/L</w:t>
            </w:r>
          </w:p>
        </w:tc>
        <w:tc>
          <w:tcPr>
            <w:tcW w:w="528" w:type="pct"/>
            <w:vAlign w:val="center"/>
          </w:tcPr>
          <w:p w14:paraId="08A987DF">
            <w:pPr>
              <w:pStyle w:val="170"/>
              <w:rPr>
                <w:rFonts w:ascii="Times New Roman" w:eastAsia="仿宋"/>
                <w:sz w:val="24"/>
                <w:szCs w:val="21"/>
              </w:rPr>
            </w:pPr>
            <w:r>
              <w:rPr>
                <w:rFonts w:ascii="Times New Roman" w:eastAsia="仿宋"/>
                <w:sz w:val="24"/>
                <w:szCs w:val="21"/>
              </w:rPr>
              <w:t>排放量t/a</w:t>
            </w:r>
          </w:p>
        </w:tc>
        <w:tc>
          <w:tcPr>
            <w:tcW w:w="425" w:type="pct"/>
            <w:vMerge w:val="continue"/>
            <w:vAlign w:val="center"/>
          </w:tcPr>
          <w:p w14:paraId="79171621">
            <w:pPr>
              <w:pStyle w:val="170"/>
              <w:rPr>
                <w:rFonts w:ascii="Times New Roman" w:eastAsia="仿宋"/>
                <w:sz w:val="24"/>
                <w:szCs w:val="21"/>
              </w:rPr>
            </w:pPr>
          </w:p>
        </w:tc>
      </w:tr>
      <w:tr w14:paraId="192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restart"/>
            <w:vAlign w:val="center"/>
          </w:tcPr>
          <w:p w14:paraId="72479477">
            <w:pPr>
              <w:jc w:val="center"/>
              <w:rPr>
                <w:rFonts w:ascii="Times New Roman" w:eastAsia="仿宋"/>
                <w:szCs w:val="21"/>
              </w:rPr>
            </w:pPr>
            <w:r>
              <w:rPr>
                <w:rFonts w:hint="eastAsia" w:ascii="Times New Roman" w:eastAsia="仿宋"/>
                <w:szCs w:val="21"/>
              </w:rPr>
              <w:t>清洗废水</w:t>
            </w:r>
            <w:r>
              <w:rPr>
                <w:rFonts w:ascii="Times New Roman" w:eastAsia="仿宋"/>
                <w:szCs w:val="21"/>
              </w:rPr>
              <w:t>W1</w:t>
            </w:r>
          </w:p>
        </w:tc>
        <w:tc>
          <w:tcPr>
            <w:tcW w:w="418" w:type="pct"/>
            <w:vMerge w:val="restart"/>
            <w:vAlign w:val="center"/>
          </w:tcPr>
          <w:p w14:paraId="44AE472A">
            <w:pPr>
              <w:jc w:val="center"/>
              <w:rPr>
                <w:rFonts w:ascii="Times New Roman" w:eastAsia="仿宋"/>
                <w:szCs w:val="21"/>
              </w:rPr>
            </w:pPr>
            <w:r>
              <w:rPr>
                <w:rFonts w:ascii="Times New Roman" w:eastAsia="仿宋"/>
                <w:szCs w:val="21"/>
              </w:rPr>
              <w:t>760</w:t>
            </w:r>
          </w:p>
        </w:tc>
        <w:tc>
          <w:tcPr>
            <w:tcW w:w="511" w:type="pct"/>
            <w:vAlign w:val="center"/>
          </w:tcPr>
          <w:p w14:paraId="5CBBF0AF">
            <w:pPr>
              <w:jc w:val="center"/>
              <w:rPr>
                <w:rFonts w:ascii="Times New Roman" w:eastAsia="仿宋"/>
                <w:szCs w:val="21"/>
              </w:rPr>
            </w:pPr>
            <w:r>
              <w:rPr>
                <w:rFonts w:ascii="Times New Roman" w:eastAsia="仿宋"/>
                <w:szCs w:val="21"/>
              </w:rPr>
              <w:t>COD</w:t>
            </w:r>
          </w:p>
        </w:tc>
        <w:tc>
          <w:tcPr>
            <w:tcW w:w="620" w:type="pct"/>
            <w:vAlign w:val="center"/>
          </w:tcPr>
          <w:p w14:paraId="5F8C5D35">
            <w:pPr>
              <w:jc w:val="center"/>
              <w:rPr>
                <w:rFonts w:ascii="Times New Roman" w:eastAsia="仿宋"/>
                <w:szCs w:val="21"/>
              </w:rPr>
            </w:pPr>
            <w:r>
              <w:rPr>
                <w:rFonts w:hint="eastAsia" w:ascii="Times New Roman" w:eastAsia="仿宋"/>
                <w:szCs w:val="21"/>
              </w:rPr>
              <w:t>3000</w:t>
            </w:r>
          </w:p>
        </w:tc>
        <w:tc>
          <w:tcPr>
            <w:tcW w:w="457" w:type="pct"/>
            <w:vAlign w:val="center"/>
          </w:tcPr>
          <w:p w14:paraId="41AF9D01">
            <w:pPr>
              <w:jc w:val="center"/>
              <w:rPr>
                <w:rFonts w:ascii="Times New Roman" w:eastAsia="仿宋"/>
              </w:rPr>
            </w:pPr>
            <w:r>
              <w:rPr>
                <w:rFonts w:hint="eastAsia" w:ascii="Times New Roman" w:eastAsia="仿宋"/>
              </w:rPr>
              <w:t>2</w:t>
            </w:r>
            <w:r>
              <w:rPr>
                <w:rFonts w:ascii="Times New Roman" w:eastAsia="仿宋"/>
              </w:rPr>
              <w:t>.28</w:t>
            </w:r>
          </w:p>
        </w:tc>
        <w:tc>
          <w:tcPr>
            <w:tcW w:w="529" w:type="pct"/>
            <w:vMerge w:val="restart"/>
            <w:vAlign w:val="center"/>
          </w:tcPr>
          <w:p w14:paraId="3E781E8B">
            <w:pPr>
              <w:pStyle w:val="170"/>
              <w:rPr>
                <w:rFonts w:ascii="Times New Roman" w:eastAsia="仿宋"/>
                <w:sz w:val="24"/>
                <w:szCs w:val="21"/>
              </w:rPr>
            </w:pPr>
            <w:r>
              <w:rPr>
                <w:rFonts w:ascii="Times New Roman" w:eastAsia="仿宋"/>
                <w:sz w:val="24"/>
                <w:szCs w:val="21"/>
              </w:rPr>
              <w:t>污水处理站</w:t>
            </w:r>
            <w:r>
              <w:rPr>
                <w:rFonts w:hint="eastAsia" w:ascii="Times New Roman" w:eastAsia="仿宋"/>
                <w:sz w:val="24"/>
                <w:szCs w:val="21"/>
              </w:rPr>
              <w:t>处理</w:t>
            </w:r>
          </w:p>
        </w:tc>
        <w:tc>
          <w:tcPr>
            <w:tcW w:w="517" w:type="pct"/>
            <w:vAlign w:val="center"/>
          </w:tcPr>
          <w:p w14:paraId="65D9829E">
            <w:pPr>
              <w:jc w:val="center"/>
              <w:rPr>
                <w:rFonts w:ascii="Times New Roman" w:eastAsia="仿宋"/>
                <w:szCs w:val="21"/>
              </w:rPr>
            </w:pPr>
            <w:r>
              <w:rPr>
                <w:rFonts w:ascii="Times New Roman" w:eastAsia="仿宋"/>
                <w:szCs w:val="21"/>
              </w:rPr>
              <w:t>COD</w:t>
            </w:r>
          </w:p>
        </w:tc>
        <w:tc>
          <w:tcPr>
            <w:tcW w:w="525" w:type="pct"/>
          </w:tcPr>
          <w:p w14:paraId="7935F9DA">
            <w:pPr>
              <w:jc w:val="center"/>
              <w:rPr>
                <w:rFonts w:ascii="Times New Roman" w:eastAsia="仿宋"/>
                <w:szCs w:val="21"/>
              </w:rPr>
            </w:pPr>
            <w:r>
              <w:rPr>
                <w:rFonts w:hint="eastAsia" w:ascii="Times New Roman" w:eastAsia="仿宋"/>
                <w:szCs w:val="21"/>
              </w:rPr>
              <w:t>3</w:t>
            </w:r>
            <w:r>
              <w:rPr>
                <w:rFonts w:ascii="Times New Roman" w:eastAsia="仿宋"/>
                <w:szCs w:val="21"/>
              </w:rPr>
              <w:t>50</w:t>
            </w:r>
          </w:p>
        </w:tc>
        <w:tc>
          <w:tcPr>
            <w:tcW w:w="528" w:type="pct"/>
            <w:vAlign w:val="center"/>
          </w:tcPr>
          <w:p w14:paraId="1B3E0E28">
            <w:pPr>
              <w:jc w:val="center"/>
              <w:rPr>
                <w:rFonts w:ascii="Times New Roman" w:eastAsia="仿宋"/>
                <w:szCs w:val="21"/>
              </w:rPr>
            </w:pPr>
            <w:r>
              <w:rPr>
                <w:rFonts w:hint="eastAsia" w:ascii="Times New Roman" w:eastAsia="仿宋"/>
                <w:szCs w:val="21"/>
              </w:rPr>
              <w:t>0</w:t>
            </w:r>
            <w:r>
              <w:rPr>
                <w:rFonts w:ascii="Times New Roman" w:eastAsia="仿宋"/>
                <w:szCs w:val="21"/>
              </w:rPr>
              <w:t>.28</w:t>
            </w:r>
          </w:p>
        </w:tc>
        <w:tc>
          <w:tcPr>
            <w:tcW w:w="425" w:type="pct"/>
            <w:vMerge w:val="restart"/>
            <w:vAlign w:val="center"/>
          </w:tcPr>
          <w:p w14:paraId="199848A1">
            <w:pPr>
              <w:pStyle w:val="170"/>
              <w:rPr>
                <w:rFonts w:ascii="Times New Roman" w:eastAsia="仿宋"/>
                <w:sz w:val="24"/>
                <w:szCs w:val="21"/>
              </w:rPr>
            </w:pPr>
            <w:r>
              <w:rPr>
                <w:rFonts w:hint="eastAsia" w:ascii="Times New Roman" w:eastAsia="仿宋"/>
                <w:sz w:val="24"/>
                <w:szCs w:val="21"/>
              </w:rPr>
              <w:t>经厂内污水处理站处理后接管金坛区直溪污水处理厂</w:t>
            </w:r>
          </w:p>
        </w:tc>
      </w:tr>
      <w:tr w14:paraId="445A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11C032D3">
            <w:pPr>
              <w:jc w:val="center"/>
              <w:rPr>
                <w:rFonts w:ascii="Times New Roman" w:eastAsia="仿宋"/>
                <w:szCs w:val="21"/>
              </w:rPr>
            </w:pPr>
          </w:p>
        </w:tc>
        <w:tc>
          <w:tcPr>
            <w:tcW w:w="418" w:type="pct"/>
            <w:vMerge w:val="continue"/>
            <w:vAlign w:val="center"/>
          </w:tcPr>
          <w:p w14:paraId="777B02C6">
            <w:pPr>
              <w:jc w:val="center"/>
              <w:rPr>
                <w:rFonts w:ascii="Times New Roman" w:eastAsia="仿宋"/>
                <w:szCs w:val="21"/>
              </w:rPr>
            </w:pPr>
          </w:p>
        </w:tc>
        <w:tc>
          <w:tcPr>
            <w:tcW w:w="511" w:type="pct"/>
            <w:vAlign w:val="center"/>
          </w:tcPr>
          <w:p w14:paraId="70830F46">
            <w:pPr>
              <w:jc w:val="center"/>
              <w:rPr>
                <w:rFonts w:ascii="Times New Roman" w:eastAsia="仿宋"/>
                <w:szCs w:val="21"/>
              </w:rPr>
            </w:pPr>
            <w:r>
              <w:rPr>
                <w:rFonts w:ascii="Times New Roman" w:eastAsia="仿宋"/>
                <w:szCs w:val="21"/>
              </w:rPr>
              <w:t>SS</w:t>
            </w:r>
          </w:p>
        </w:tc>
        <w:tc>
          <w:tcPr>
            <w:tcW w:w="620" w:type="pct"/>
            <w:vAlign w:val="center"/>
          </w:tcPr>
          <w:p w14:paraId="6DC4E032">
            <w:pPr>
              <w:jc w:val="center"/>
              <w:rPr>
                <w:rFonts w:ascii="Times New Roman" w:eastAsia="仿宋"/>
                <w:szCs w:val="21"/>
              </w:rPr>
            </w:pPr>
            <w:r>
              <w:rPr>
                <w:rFonts w:hint="eastAsia" w:ascii="Times New Roman" w:eastAsia="仿宋"/>
                <w:szCs w:val="21"/>
              </w:rPr>
              <w:t>1000</w:t>
            </w:r>
          </w:p>
        </w:tc>
        <w:tc>
          <w:tcPr>
            <w:tcW w:w="457" w:type="pct"/>
            <w:vAlign w:val="center"/>
          </w:tcPr>
          <w:p w14:paraId="64FFDEF4">
            <w:pPr>
              <w:jc w:val="center"/>
              <w:rPr>
                <w:rFonts w:ascii="Times New Roman" w:eastAsia="仿宋"/>
              </w:rPr>
            </w:pPr>
            <w:r>
              <w:rPr>
                <w:rFonts w:hint="eastAsia" w:ascii="Times New Roman" w:eastAsia="仿宋"/>
              </w:rPr>
              <w:t>0</w:t>
            </w:r>
            <w:r>
              <w:rPr>
                <w:rFonts w:ascii="Times New Roman" w:eastAsia="仿宋"/>
              </w:rPr>
              <w:t>.76</w:t>
            </w:r>
          </w:p>
        </w:tc>
        <w:tc>
          <w:tcPr>
            <w:tcW w:w="529" w:type="pct"/>
            <w:vMerge w:val="continue"/>
            <w:vAlign w:val="center"/>
          </w:tcPr>
          <w:p w14:paraId="32C226EB">
            <w:pPr>
              <w:pStyle w:val="170"/>
              <w:rPr>
                <w:rFonts w:ascii="Times New Roman" w:eastAsia="仿宋"/>
                <w:sz w:val="24"/>
                <w:szCs w:val="21"/>
                <w:highlight w:val="yellow"/>
              </w:rPr>
            </w:pPr>
          </w:p>
        </w:tc>
        <w:tc>
          <w:tcPr>
            <w:tcW w:w="517" w:type="pct"/>
            <w:vAlign w:val="center"/>
          </w:tcPr>
          <w:p w14:paraId="29A9B3A0">
            <w:pPr>
              <w:jc w:val="center"/>
              <w:rPr>
                <w:rFonts w:ascii="Times New Roman" w:eastAsia="仿宋"/>
                <w:szCs w:val="21"/>
              </w:rPr>
            </w:pPr>
            <w:r>
              <w:rPr>
                <w:rFonts w:ascii="Times New Roman" w:eastAsia="仿宋"/>
                <w:szCs w:val="21"/>
              </w:rPr>
              <w:t>SS</w:t>
            </w:r>
          </w:p>
        </w:tc>
        <w:tc>
          <w:tcPr>
            <w:tcW w:w="525" w:type="pct"/>
          </w:tcPr>
          <w:p w14:paraId="4C2CDF43">
            <w:pPr>
              <w:jc w:val="center"/>
              <w:rPr>
                <w:rFonts w:ascii="Times New Roman" w:eastAsia="仿宋"/>
                <w:szCs w:val="21"/>
              </w:rPr>
            </w:pPr>
            <w:r>
              <w:rPr>
                <w:rFonts w:ascii="Times New Roman" w:eastAsia="仿宋"/>
                <w:szCs w:val="21"/>
              </w:rPr>
              <w:t>30</w:t>
            </w:r>
          </w:p>
        </w:tc>
        <w:tc>
          <w:tcPr>
            <w:tcW w:w="528" w:type="pct"/>
            <w:vAlign w:val="center"/>
          </w:tcPr>
          <w:p w14:paraId="3A81512A">
            <w:pPr>
              <w:jc w:val="center"/>
              <w:rPr>
                <w:rFonts w:ascii="Times New Roman" w:eastAsia="仿宋"/>
                <w:szCs w:val="21"/>
              </w:rPr>
            </w:pPr>
            <w:r>
              <w:rPr>
                <w:rFonts w:hint="eastAsia" w:ascii="Times New Roman" w:eastAsia="仿宋"/>
                <w:szCs w:val="21"/>
              </w:rPr>
              <w:t>0</w:t>
            </w:r>
            <w:r>
              <w:rPr>
                <w:rFonts w:ascii="Times New Roman" w:eastAsia="仿宋"/>
                <w:szCs w:val="21"/>
              </w:rPr>
              <w:t>.024</w:t>
            </w:r>
          </w:p>
        </w:tc>
        <w:tc>
          <w:tcPr>
            <w:tcW w:w="425" w:type="pct"/>
            <w:vMerge w:val="continue"/>
            <w:vAlign w:val="center"/>
          </w:tcPr>
          <w:p w14:paraId="21B0EA31">
            <w:pPr>
              <w:pStyle w:val="170"/>
              <w:rPr>
                <w:rFonts w:ascii="Times New Roman" w:eastAsia="仿宋"/>
                <w:sz w:val="24"/>
                <w:szCs w:val="21"/>
                <w:highlight w:val="yellow"/>
              </w:rPr>
            </w:pPr>
          </w:p>
        </w:tc>
      </w:tr>
      <w:tr w14:paraId="2C5E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12485D9F">
            <w:pPr>
              <w:jc w:val="center"/>
              <w:rPr>
                <w:rFonts w:ascii="Times New Roman" w:eastAsia="仿宋"/>
                <w:szCs w:val="21"/>
              </w:rPr>
            </w:pPr>
          </w:p>
        </w:tc>
        <w:tc>
          <w:tcPr>
            <w:tcW w:w="418" w:type="pct"/>
            <w:vMerge w:val="continue"/>
            <w:vAlign w:val="center"/>
          </w:tcPr>
          <w:p w14:paraId="77F17F15">
            <w:pPr>
              <w:jc w:val="center"/>
              <w:rPr>
                <w:rFonts w:ascii="Times New Roman" w:eastAsia="仿宋"/>
                <w:szCs w:val="21"/>
              </w:rPr>
            </w:pPr>
          </w:p>
        </w:tc>
        <w:tc>
          <w:tcPr>
            <w:tcW w:w="511" w:type="pct"/>
            <w:vAlign w:val="center"/>
          </w:tcPr>
          <w:p w14:paraId="1C7E94CD">
            <w:pPr>
              <w:jc w:val="center"/>
              <w:rPr>
                <w:rFonts w:ascii="Times New Roman" w:eastAsia="仿宋"/>
                <w:szCs w:val="21"/>
              </w:rPr>
            </w:pPr>
            <w:r>
              <w:rPr>
                <w:rFonts w:ascii="Times New Roman" w:eastAsia="仿宋"/>
                <w:szCs w:val="21"/>
              </w:rPr>
              <w:t>石油类</w:t>
            </w:r>
          </w:p>
        </w:tc>
        <w:tc>
          <w:tcPr>
            <w:tcW w:w="620" w:type="pct"/>
            <w:vAlign w:val="center"/>
          </w:tcPr>
          <w:p w14:paraId="3D77D8FF">
            <w:pPr>
              <w:jc w:val="center"/>
              <w:rPr>
                <w:rFonts w:ascii="Times New Roman" w:eastAsia="仿宋"/>
                <w:szCs w:val="21"/>
              </w:rPr>
            </w:pPr>
            <w:r>
              <w:rPr>
                <w:rFonts w:hint="eastAsia" w:ascii="Times New Roman" w:eastAsia="仿宋"/>
                <w:szCs w:val="21"/>
              </w:rPr>
              <w:t>1000</w:t>
            </w:r>
          </w:p>
        </w:tc>
        <w:tc>
          <w:tcPr>
            <w:tcW w:w="457" w:type="pct"/>
            <w:vAlign w:val="center"/>
          </w:tcPr>
          <w:p w14:paraId="53746F63">
            <w:pPr>
              <w:jc w:val="center"/>
              <w:rPr>
                <w:rFonts w:ascii="Times New Roman" w:eastAsia="仿宋"/>
              </w:rPr>
            </w:pPr>
            <w:r>
              <w:rPr>
                <w:rFonts w:hint="eastAsia" w:ascii="Times New Roman" w:eastAsia="仿宋"/>
              </w:rPr>
              <w:t>0</w:t>
            </w:r>
            <w:r>
              <w:rPr>
                <w:rFonts w:ascii="Times New Roman" w:eastAsia="仿宋"/>
              </w:rPr>
              <w:t>.76</w:t>
            </w:r>
          </w:p>
        </w:tc>
        <w:tc>
          <w:tcPr>
            <w:tcW w:w="529" w:type="pct"/>
            <w:vMerge w:val="continue"/>
            <w:vAlign w:val="center"/>
          </w:tcPr>
          <w:p w14:paraId="65D8CAB0">
            <w:pPr>
              <w:pStyle w:val="170"/>
              <w:rPr>
                <w:rFonts w:ascii="Times New Roman" w:eastAsia="仿宋"/>
                <w:sz w:val="24"/>
                <w:szCs w:val="21"/>
                <w:highlight w:val="yellow"/>
              </w:rPr>
            </w:pPr>
          </w:p>
        </w:tc>
        <w:tc>
          <w:tcPr>
            <w:tcW w:w="517" w:type="pct"/>
            <w:vAlign w:val="center"/>
          </w:tcPr>
          <w:p w14:paraId="546351FE">
            <w:pPr>
              <w:jc w:val="center"/>
              <w:rPr>
                <w:rFonts w:ascii="Times New Roman" w:eastAsia="仿宋"/>
                <w:szCs w:val="21"/>
              </w:rPr>
            </w:pPr>
            <w:r>
              <w:rPr>
                <w:rFonts w:ascii="Times New Roman" w:eastAsia="仿宋"/>
                <w:szCs w:val="21"/>
              </w:rPr>
              <w:t>石油类</w:t>
            </w:r>
          </w:p>
        </w:tc>
        <w:tc>
          <w:tcPr>
            <w:tcW w:w="525" w:type="pct"/>
          </w:tcPr>
          <w:p w14:paraId="47A0F69F">
            <w:pPr>
              <w:jc w:val="center"/>
              <w:rPr>
                <w:rFonts w:ascii="Times New Roman" w:eastAsia="仿宋"/>
                <w:szCs w:val="21"/>
              </w:rPr>
            </w:pPr>
            <w:r>
              <w:rPr>
                <w:rFonts w:ascii="Times New Roman" w:eastAsia="仿宋"/>
                <w:szCs w:val="21"/>
              </w:rPr>
              <w:t>2</w:t>
            </w:r>
          </w:p>
        </w:tc>
        <w:tc>
          <w:tcPr>
            <w:tcW w:w="528" w:type="pct"/>
            <w:vAlign w:val="center"/>
          </w:tcPr>
          <w:p w14:paraId="032DD1D8">
            <w:pPr>
              <w:jc w:val="center"/>
              <w:rPr>
                <w:rFonts w:ascii="Times New Roman" w:eastAsia="仿宋"/>
                <w:szCs w:val="21"/>
              </w:rPr>
            </w:pPr>
            <w:r>
              <w:rPr>
                <w:rFonts w:hint="eastAsia" w:ascii="Times New Roman" w:eastAsia="仿宋"/>
                <w:szCs w:val="21"/>
              </w:rPr>
              <w:t>0</w:t>
            </w:r>
            <w:r>
              <w:rPr>
                <w:rFonts w:ascii="Times New Roman" w:eastAsia="仿宋"/>
                <w:szCs w:val="21"/>
              </w:rPr>
              <w:t>.002</w:t>
            </w:r>
          </w:p>
        </w:tc>
        <w:tc>
          <w:tcPr>
            <w:tcW w:w="425" w:type="pct"/>
            <w:vMerge w:val="continue"/>
            <w:vAlign w:val="center"/>
          </w:tcPr>
          <w:p w14:paraId="5A526BF4">
            <w:pPr>
              <w:pStyle w:val="170"/>
              <w:rPr>
                <w:rFonts w:ascii="Times New Roman" w:eastAsia="仿宋"/>
                <w:sz w:val="24"/>
                <w:szCs w:val="21"/>
                <w:highlight w:val="yellow"/>
              </w:rPr>
            </w:pPr>
          </w:p>
        </w:tc>
      </w:tr>
      <w:tr w14:paraId="411E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restart"/>
            <w:vAlign w:val="center"/>
          </w:tcPr>
          <w:p w14:paraId="39C0ED73">
            <w:pPr>
              <w:jc w:val="center"/>
              <w:rPr>
                <w:rFonts w:ascii="Times New Roman" w:eastAsia="仿宋"/>
                <w:szCs w:val="21"/>
              </w:rPr>
            </w:pPr>
            <w:r>
              <w:rPr>
                <w:rFonts w:hint="eastAsia" w:ascii="Times New Roman" w:eastAsia="仿宋"/>
                <w:szCs w:val="21"/>
              </w:rPr>
              <w:t>清洗废水W</w:t>
            </w:r>
            <w:r>
              <w:rPr>
                <w:rFonts w:ascii="Times New Roman" w:eastAsia="仿宋"/>
                <w:szCs w:val="21"/>
              </w:rPr>
              <w:t>2</w:t>
            </w:r>
          </w:p>
        </w:tc>
        <w:tc>
          <w:tcPr>
            <w:tcW w:w="418" w:type="pct"/>
            <w:vMerge w:val="restart"/>
            <w:vAlign w:val="center"/>
          </w:tcPr>
          <w:p w14:paraId="0C81D669">
            <w:pPr>
              <w:jc w:val="center"/>
              <w:rPr>
                <w:rFonts w:ascii="Times New Roman" w:eastAsia="仿宋"/>
                <w:szCs w:val="21"/>
              </w:rPr>
            </w:pPr>
            <w:r>
              <w:rPr>
                <w:rFonts w:ascii="Times New Roman" w:eastAsia="仿宋"/>
                <w:szCs w:val="21"/>
              </w:rPr>
              <w:t>32.4</w:t>
            </w:r>
          </w:p>
        </w:tc>
        <w:tc>
          <w:tcPr>
            <w:tcW w:w="511" w:type="pct"/>
            <w:vAlign w:val="center"/>
          </w:tcPr>
          <w:p w14:paraId="29DE9ADE">
            <w:pPr>
              <w:jc w:val="center"/>
              <w:rPr>
                <w:rFonts w:ascii="Times New Roman" w:eastAsia="仿宋"/>
                <w:szCs w:val="21"/>
              </w:rPr>
            </w:pPr>
            <w:r>
              <w:rPr>
                <w:rFonts w:ascii="Times New Roman" w:eastAsia="仿宋"/>
                <w:szCs w:val="21"/>
              </w:rPr>
              <w:t>COD</w:t>
            </w:r>
          </w:p>
        </w:tc>
        <w:tc>
          <w:tcPr>
            <w:tcW w:w="620" w:type="pct"/>
            <w:vAlign w:val="center"/>
          </w:tcPr>
          <w:p w14:paraId="75DF23DB">
            <w:pPr>
              <w:jc w:val="center"/>
              <w:rPr>
                <w:rFonts w:ascii="Times New Roman" w:eastAsia="仿宋"/>
                <w:szCs w:val="21"/>
              </w:rPr>
            </w:pPr>
            <w:r>
              <w:rPr>
                <w:rFonts w:hint="eastAsia" w:ascii="Times New Roman" w:eastAsia="仿宋"/>
                <w:szCs w:val="21"/>
              </w:rPr>
              <w:t>1000</w:t>
            </w:r>
          </w:p>
        </w:tc>
        <w:tc>
          <w:tcPr>
            <w:tcW w:w="457" w:type="pct"/>
            <w:vAlign w:val="center"/>
          </w:tcPr>
          <w:p w14:paraId="289390D8">
            <w:pPr>
              <w:jc w:val="center"/>
              <w:rPr>
                <w:rFonts w:ascii="Times New Roman" w:eastAsia="仿宋"/>
              </w:rPr>
            </w:pPr>
            <w:r>
              <w:rPr>
                <w:rFonts w:hint="eastAsia" w:ascii="Times New Roman" w:eastAsia="仿宋"/>
              </w:rPr>
              <w:t>0</w:t>
            </w:r>
            <w:r>
              <w:rPr>
                <w:rFonts w:ascii="Times New Roman" w:eastAsia="仿宋"/>
              </w:rPr>
              <w:t>.032</w:t>
            </w:r>
          </w:p>
        </w:tc>
        <w:tc>
          <w:tcPr>
            <w:tcW w:w="529" w:type="pct"/>
            <w:vMerge w:val="continue"/>
            <w:vAlign w:val="center"/>
          </w:tcPr>
          <w:p w14:paraId="3FFA0FC5">
            <w:pPr>
              <w:pStyle w:val="170"/>
              <w:rPr>
                <w:rFonts w:ascii="Times New Roman" w:eastAsia="仿宋"/>
                <w:sz w:val="24"/>
                <w:szCs w:val="21"/>
                <w:highlight w:val="yellow"/>
              </w:rPr>
            </w:pPr>
          </w:p>
        </w:tc>
        <w:tc>
          <w:tcPr>
            <w:tcW w:w="517" w:type="pct"/>
            <w:vAlign w:val="center"/>
          </w:tcPr>
          <w:p w14:paraId="6C00BA3B">
            <w:pPr>
              <w:jc w:val="center"/>
              <w:rPr>
                <w:rFonts w:ascii="Times New Roman" w:eastAsia="仿宋"/>
                <w:szCs w:val="21"/>
              </w:rPr>
            </w:pPr>
            <w:r>
              <w:rPr>
                <w:rFonts w:ascii="Times New Roman" w:eastAsia="仿宋"/>
                <w:szCs w:val="21"/>
              </w:rPr>
              <w:t>/</w:t>
            </w:r>
          </w:p>
        </w:tc>
        <w:tc>
          <w:tcPr>
            <w:tcW w:w="525" w:type="pct"/>
          </w:tcPr>
          <w:p w14:paraId="5626E3EA">
            <w:pPr>
              <w:jc w:val="center"/>
              <w:rPr>
                <w:rFonts w:ascii="Times New Roman" w:eastAsia="仿宋"/>
                <w:szCs w:val="21"/>
              </w:rPr>
            </w:pPr>
            <w:r>
              <w:rPr>
                <w:rFonts w:hint="eastAsia" w:ascii="Times New Roman" w:eastAsia="仿宋"/>
                <w:szCs w:val="21"/>
              </w:rPr>
              <w:t>/</w:t>
            </w:r>
          </w:p>
        </w:tc>
        <w:tc>
          <w:tcPr>
            <w:tcW w:w="528" w:type="pct"/>
            <w:vAlign w:val="center"/>
          </w:tcPr>
          <w:p w14:paraId="57BA94B8">
            <w:pPr>
              <w:jc w:val="center"/>
              <w:rPr>
                <w:rFonts w:ascii="Times New Roman" w:eastAsia="仿宋"/>
                <w:szCs w:val="21"/>
              </w:rPr>
            </w:pPr>
            <w:r>
              <w:rPr>
                <w:rFonts w:ascii="Times New Roman" w:eastAsia="仿宋"/>
                <w:szCs w:val="21"/>
              </w:rPr>
              <w:t>/</w:t>
            </w:r>
          </w:p>
        </w:tc>
        <w:tc>
          <w:tcPr>
            <w:tcW w:w="425" w:type="pct"/>
            <w:vMerge w:val="continue"/>
            <w:vAlign w:val="center"/>
          </w:tcPr>
          <w:p w14:paraId="4A1C0614">
            <w:pPr>
              <w:pStyle w:val="170"/>
              <w:rPr>
                <w:rFonts w:ascii="Times New Roman" w:eastAsia="仿宋"/>
                <w:sz w:val="24"/>
                <w:szCs w:val="21"/>
                <w:highlight w:val="yellow"/>
              </w:rPr>
            </w:pPr>
          </w:p>
        </w:tc>
      </w:tr>
      <w:tr w14:paraId="0378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607B2988">
            <w:pPr>
              <w:jc w:val="center"/>
              <w:rPr>
                <w:rFonts w:ascii="Times New Roman" w:eastAsia="仿宋"/>
                <w:szCs w:val="21"/>
              </w:rPr>
            </w:pPr>
          </w:p>
        </w:tc>
        <w:tc>
          <w:tcPr>
            <w:tcW w:w="418" w:type="pct"/>
            <w:vMerge w:val="continue"/>
            <w:vAlign w:val="center"/>
          </w:tcPr>
          <w:p w14:paraId="38871554">
            <w:pPr>
              <w:jc w:val="center"/>
              <w:rPr>
                <w:rFonts w:ascii="Times New Roman" w:eastAsia="仿宋"/>
                <w:szCs w:val="21"/>
              </w:rPr>
            </w:pPr>
          </w:p>
        </w:tc>
        <w:tc>
          <w:tcPr>
            <w:tcW w:w="511" w:type="pct"/>
            <w:vAlign w:val="center"/>
          </w:tcPr>
          <w:p w14:paraId="318DE877">
            <w:pPr>
              <w:jc w:val="center"/>
              <w:rPr>
                <w:rFonts w:ascii="Times New Roman" w:eastAsia="仿宋"/>
                <w:szCs w:val="21"/>
              </w:rPr>
            </w:pPr>
            <w:r>
              <w:rPr>
                <w:rFonts w:ascii="Times New Roman" w:eastAsia="仿宋"/>
                <w:szCs w:val="21"/>
              </w:rPr>
              <w:t>SS</w:t>
            </w:r>
          </w:p>
        </w:tc>
        <w:tc>
          <w:tcPr>
            <w:tcW w:w="620" w:type="pct"/>
            <w:vAlign w:val="center"/>
          </w:tcPr>
          <w:p w14:paraId="2466B80D">
            <w:pPr>
              <w:jc w:val="center"/>
              <w:rPr>
                <w:rFonts w:ascii="Times New Roman" w:eastAsia="仿宋"/>
                <w:szCs w:val="21"/>
              </w:rPr>
            </w:pPr>
            <w:r>
              <w:rPr>
                <w:rFonts w:hint="eastAsia" w:ascii="Times New Roman" w:eastAsia="仿宋"/>
                <w:szCs w:val="21"/>
              </w:rPr>
              <w:t>200</w:t>
            </w:r>
          </w:p>
        </w:tc>
        <w:tc>
          <w:tcPr>
            <w:tcW w:w="457" w:type="pct"/>
            <w:vAlign w:val="center"/>
          </w:tcPr>
          <w:p w14:paraId="50D50A66">
            <w:pPr>
              <w:jc w:val="center"/>
              <w:rPr>
                <w:rFonts w:ascii="Times New Roman" w:eastAsia="仿宋"/>
              </w:rPr>
            </w:pPr>
            <w:r>
              <w:rPr>
                <w:rFonts w:hint="eastAsia" w:ascii="Times New Roman" w:eastAsia="仿宋"/>
              </w:rPr>
              <w:t>0</w:t>
            </w:r>
            <w:r>
              <w:rPr>
                <w:rFonts w:ascii="Times New Roman" w:eastAsia="仿宋"/>
              </w:rPr>
              <w:t>.006</w:t>
            </w:r>
          </w:p>
        </w:tc>
        <w:tc>
          <w:tcPr>
            <w:tcW w:w="529" w:type="pct"/>
            <w:vMerge w:val="continue"/>
            <w:vAlign w:val="center"/>
          </w:tcPr>
          <w:p w14:paraId="2A9D5282">
            <w:pPr>
              <w:pStyle w:val="170"/>
              <w:rPr>
                <w:rFonts w:ascii="Times New Roman" w:eastAsia="仿宋"/>
                <w:sz w:val="24"/>
                <w:szCs w:val="21"/>
                <w:highlight w:val="yellow"/>
              </w:rPr>
            </w:pPr>
          </w:p>
        </w:tc>
        <w:tc>
          <w:tcPr>
            <w:tcW w:w="517" w:type="pct"/>
            <w:vAlign w:val="center"/>
          </w:tcPr>
          <w:p w14:paraId="01BAFA0A">
            <w:pPr>
              <w:jc w:val="center"/>
              <w:rPr>
                <w:rFonts w:ascii="Times New Roman" w:eastAsia="仿宋"/>
                <w:szCs w:val="21"/>
              </w:rPr>
            </w:pPr>
            <w:r>
              <w:rPr>
                <w:rFonts w:ascii="Times New Roman" w:eastAsia="仿宋"/>
                <w:szCs w:val="21"/>
              </w:rPr>
              <w:t>/</w:t>
            </w:r>
          </w:p>
        </w:tc>
        <w:tc>
          <w:tcPr>
            <w:tcW w:w="525" w:type="pct"/>
          </w:tcPr>
          <w:p w14:paraId="0F4F12F4">
            <w:pPr>
              <w:jc w:val="center"/>
              <w:rPr>
                <w:rFonts w:ascii="Times New Roman" w:eastAsia="仿宋"/>
                <w:szCs w:val="21"/>
              </w:rPr>
            </w:pPr>
            <w:r>
              <w:rPr>
                <w:rFonts w:hint="eastAsia" w:ascii="Times New Roman" w:eastAsia="仿宋"/>
                <w:szCs w:val="21"/>
              </w:rPr>
              <w:t>/</w:t>
            </w:r>
          </w:p>
        </w:tc>
        <w:tc>
          <w:tcPr>
            <w:tcW w:w="528" w:type="pct"/>
            <w:vAlign w:val="center"/>
          </w:tcPr>
          <w:p w14:paraId="3D45E5EB">
            <w:pPr>
              <w:jc w:val="center"/>
              <w:rPr>
                <w:rFonts w:ascii="Times New Roman" w:eastAsia="仿宋"/>
                <w:szCs w:val="21"/>
              </w:rPr>
            </w:pPr>
            <w:r>
              <w:rPr>
                <w:rFonts w:ascii="Times New Roman" w:eastAsia="仿宋"/>
                <w:szCs w:val="21"/>
              </w:rPr>
              <w:t>/</w:t>
            </w:r>
          </w:p>
        </w:tc>
        <w:tc>
          <w:tcPr>
            <w:tcW w:w="425" w:type="pct"/>
            <w:vMerge w:val="continue"/>
            <w:vAlign w:val="center"/>
          </w:tcPr>
          <w:p w14:paraId="12856CD2">
            <w:pPr>
              <w:pStyle w:val="170"/>
              <w:rPr>
                <w:rFonts w:ascii="Times New Roman" w:eastAsia="仿宋"/>
                <w:sz w:val="24"/>
                <w:szCs w:val="21"/>
                <w:highlight w:val="yellow"/>
              </w:rPr>
            </w:pPr>
          </w:p>
        </w:tc>
      </w:tr>
      <w:tr w14:paraId="1FB4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10F9BC82">
            <w:pPr>
              <w:jc w:val="center"/>
              <w:rPr>
                <w:rFonts w:ascii="Times New Roman" w:eastAsia="仿宋"/>
                <w:szCs w:val="21"/>
              </w:rPr>
            </w:pPr>
          </w:p>
        </w:tc>
        <w:tc>
          <w:tcPr>
            <w:tcW w:w="418" w:type="pct"/>
            <w:vMerge w:val="continue"/>
            <w:vAlign w:val="center"/>
          </w:tcPr>
          <w:p w14:paraId="4E8340EE">
            <w:pPr>
              <w:jc w:val="center"/>
              <w:rPr>
                <w:rFonts w:ascii="Times New Roman" w:eastAsia="仿宋"/>
                <w:szCs w:val="21"/>
              </w:rPr>
            </w:pPr>
          </w:p>
        </w:tc>
        <w:tc>
          <w:tcPr>
            <w:tcW w:w="511" w:type="pct"/>
            <w:vAlign w:val="center"/>
          </w:tcPr>
          <w:p w14:paraId="1F7A27DE">
            <w:pPr>
              <w:jc w:val="center"/>
              <w:rPr>
                <w:rFonts w:ascii="Times New Roman" w:eastAsia="仿宋"/>
                <w:szCs w:val="21"/>
              </w:rPr>
            </w:pPr>
            <w:r>
              <w:rPr>
                <w:rFonts w:hint="eastAsia" w:ascii="Times New Roman" w:eastAsia="仿宋"/>
                <w:szCs w:val="21"/>
              </w:rPr>
              <w:t>石油类</w:t>
            </w:r>
          </w:p>
        </w:tc>
        <w:tc>
          <w:tcPr>
            <w:tcW w:w="620" w:type="pct"/>
            <w:vAlign w:val="center"/>
          </w:tcPr>
          <w:p w14:paraId="346B4281">
            <w:pPr>
              <w:jc w:val="center"/>
              <w:rPr>
                <w:rFonts w:ascii="Times New Roman" w:eastAsia="仿宋"/>
                <w:szCs w:val="21"/>
              </w:rPr>
            </w:pPr>
            <w:r>
              <w:rPr>
                <w:rFonts w:hint="eastAsia" w:ascii="Times New Roman" w:eastAsia="仿宋"/>
                <w:szCs w:val="21"/>
              </w:rPr>
              <w:t>100</w:t>
            </w:r>
          </w:p>
        </w:tc>
        <w:tc>
          <w:tcPr>
            <w:tcW w:w="457" w:type="pct"/>
            <w:vAlign w:val="center"/>
          </w:tcPr>
          <w:p w14:paraId="29F10934">
            <w:pPr>
              <w:jc w:val="center"/>
              <w:rPr>
                <w:rFonts w:ascii="Times New Roman" w:eastAsia="仿宋"/>
              </w:rPr>
            </w:pPr>
            <w:r>
              <w:rPr>
                <w:rFonts w:hint="eastAsia" w:ascii="Times New Roman" w:eastAsia="仿宋"/>
              </w:rPr>
              <w:t>0</w:t>
            </w:r>
            <w:r>
              <w:rPr>
                <w:rFonts w:ascii="Times New Roman" w:eastAsia="仿宋"/>
              </w:rPr>
              <w:t>.003</w:t>
            </w:r>
          </w:p>
        </w:tc>
        <w:tc>
          <w:tcPr>
            <w:tcW w:w="529" w:type="pct"/>
            <w:vMerge w:val="continue"/>
            <w:vAlign w:val="center"/>
          </w:tcPr>
          <w:p w14:paraId="591501D3">
            <w:pPr>
              <w:pStyle w:val="170"/>
              <w:rPr>
                <w:rFonts w:ascii="Times New Roman" w:eastAsia="仿宋"/>
                <w:sz w:val="24"/>
                <w:szCs w:val="21"/>
                <w:highlight w:val="yellow"/>
              </w:rPr>
            </w:pPr>
          </w:p>
        </w:tc>
        <w:tc>
          <w:tcPr>
            <w:tcW w:w="517" w:type="pct"/>
            <w:vAlign w:val="center"/>
          </w:tcPr>
          <w:p w14:paraId="15AB66CF">
            <w:pPr>
              <w:jc w:val="center"/>
              <w:rPr>
                <w:rFonts w:ascii="Times New Roman" w:eastAsia="仿宋"/>
                <w:szCs w:val="21"/>
              </w:rPr>
            </w:pPr>
            <w:r>
              <w:rPr>
                <w:rFonts w:ascii="Times New Roman" w:eastAsia="仿宋"/>
                <w:szCs w:val="21"/>
              </w:rPr>
              <w:t>/</w:t>
            </w:r>
          </w:p>
        </w:tc>
        <w:tc>
          <w:tcPr>
            <w:tcW w:w="525" w:type="pct"/>
            <w:vAlign w:val="center"/>
          </w:tcPr>
          <w:p w14:paraId="35A759DF">
            <w:pPr>
              <w:jc w:val="center"/>
              <w:rPr>
                <w:rFonts w:ascii="Times New Roman" w:eastAsia="仿宋"/>
                <w:szCs w:val="21"/>
              </w:rPr>
            </w:pPr>
            <w:r>
              <w:rPr>
                <w:rFonts w:hint="eastAsia" w:ascii="Times New Roman" w:eastAsia="仿宋"/>
                <w:szCs w:val="21"/>
              </w:rPr>
              <w:t>/</w:t>
            </w:r>
          </w:p>
        </w:tc>
        <w:tc>
          <w:tcPr>
            <w:tcW w:w="528" w:type="pct"/>
            <w:vAlign w:val="center"/>
          </w:tcPr>
          <w:p w14:paraId="7088E3B4">
            <w:pPr>
              <w:jc w:val="center"/>
              <w:rPr>
                <w:rFonts w:ascii="Times New Roman" w:eastAsia="仿宋"/>
                <w:szCs w:val="21"/>
              </w:rPr>
            </w:pPr>
            <w:r>
              <w:rPr>
                <w:rFonts w:ascii="Times New Roman" w:eastAsia="仿宋"/>
                <w:szCs w:val="21"/>
              </w:rPr>
              <w:t>/</w:t>
            </w:r>
          </w:p>
        </w:tc>
        <w:tc>
          <w:tcPr>
            <w:tcW w:w="425" w:type="pct"/>
            <w:vMerge w:val="continue"/>
            <w:vAlign w:val="center"/>
          </w:tcPr>
          <w:p w14:paraId="1E207F7A">
            <w:pPr>
              <w:pStyle w:val="170"/>
              <w:rPr>
                <w:rFonts w:ascii="Times New Roman" w:eastAsia="仿宋"/>
                <w:sz w:val="24"/>
                <w:szCs w:val="21"/>
                <w:highlight w:val="yellow"/>
              </w:rPr>
            </w:pPr>
          </w:p>
        </w:tc>
      </w:tr>
      <w:bookmarkEnd w:id="227"/>
      <w:tr w14:paraId="5986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jc w:val="center"/>
        </w:trPr>
        <w:tc>
          <w:tcPr>
            <w:tcW w:w="470" w:type="pct"/>
            <w:vMerge w:val="restart"/>
            <w:vAlign w:val="center"/>
          </w:tcPr>
          <w:p w14:paraId="135A785F">
            <w:pPr>
              <w:jc w:val="center"/>
              <w:rPr>
                <w:rFonts w:ascii="Times New Roman" w:eastAsia="仿宋"/>
                <w:szCs w:val="21"/>
              </w:rPr>
            </w:pPr>
            <w:r>
              <w:rPr>
                <w:rFonts w:ascii="Times New Roman" w:eastAsia="仿宋"/>
                <w:szCs w:val="21"/>
              </w:rPr>
              <w:t>生活污水</w:t>
            </w:r>
          </w:p>
        </w:tc>
        <w:tc>
          <w:tcPr>
            <w:tcW w:w="418" w:type="pct"/>
            <w:vMerge w:val="restart"/>
            <w:vAlign w:val="center"/>
          </w:tcPr>
          <w:p w14:paraId="7F7DE460">
            <w:pPr>
              <w:jc w:val="center"/>
              <w:rPr>
                <w:rFonts w:ascii="Times New Roman" w:eastAsia="仿宋"/>
                <w:szCs w:val="21"/>
              </w:rPr>
            </w:pPr>
            <w:r>
              <w:rPr>
                <w:rFonts w:ascii="Times New Roman" w:eastAsia="仿宋"/>
                <w:szCs w:val="21"/>
              </w:rPr>
              <w:t>1275</w:t>
            </w:r>
          </w:p>
        </w:tc>
        <w:tc>
          <w:tcPr>
            <w:tcW w:w="511" w:type="pct"/>
            <w:vAlign w:val="center"/>
          </w:tcPr>
          <w:p w14:paraId="2B55D9F2">
            <w:pPr>
              <w:jc w:val="center"/>
              <w:rPr>
                <w:rFonts w:ascii="Times New Roman" w:eastAsia="仿宋"/>
              </w:rPr>
            </w:pPr>
            <w:r>
              <w:rPr>
                <w:rFonts w:ascii="Times New Roman" w:eastAsia="仿宋"/>
              </w:rPr>
              <w:t>COD</w:t>
            </w:r>
          </w:p>
        </w:tc>
        <w:tc>
          <w:tcPr>
            <w:tcW w:w="620" w:type="pct"/>
            <w:vAlign w:val="center"/>
          </w:tcPr>
          <w:p w14:paraId="1EB80413">
            <w:pPr>
              <w:jc w:val="center"/>
              <w:rPr>
                <w:rFonts w:ascii="Times New Roman" w:eastAsia="仿宋"/>
              </w:rPr>
            </w:pPr>
            <w:r>
              <w:rPr>
                <w:rFonts w:hint="eastAsia" w:ascii="Times New Roman" w:eastAsia="仿宋"/>
              </w:rPr>
              <w:t>300</w:t>
            </w:r>
          </w:p>
        </w:tc>
        <w:tc>
          <w:tcPr>
            <w:tcW w:w="457" w:type="pct"/>
            <w:vAlign w:val="center"/>
          </w:tcPr>
          <w:p w14:paraId="094AEF90">
            <w:pPr>
              <w:jc w:val="center"/>
              <w:rPr>
                <w:rFonts w:ascii="Times New Roman" w:eastAsia="仿宋"/>
              </w:rPr>
            </w:pPr>
            <w:r>
              <w:rPr>
                <w:rFonts w:hint="eastAsia" w:ascii="Times New Roman" w:eastAsia="仿宋"/>
              </w:rPr>
              <w:t>0</w:t>
            </w:r>
            <w:r>
              <w:rPr>
                <w:rFonts w:ascii="Times New Roman" w:eastAsia="仿宋"/>
              </w:rPr>
              <w:t>.38</w:t>
            </w:r>
          </w:p>
        </w:tc>
        <w:tc>
          <w:tcPr>
            <w:tcW w:w="529" w:type="pct"/>
            <w:vMerge w:val="restart"/>
            <w:vAlign w:val="center"/>
          </w:tcPr>
          <w:p w14:paraId="5E45D20E">
            <w:pPr>
              <w:pStyle w:val="170"/>
              <w:rPr>
                <w:rFonts w:ascii="Times New Roman" w:eastAsia="仿宋"/>
                <w:sz w:val="24"/>
                <w:szCs w:val="21"/>
              </w:rPr>
            </w:pPr>
            <w:r>
              <w:rPr>
                <w:rFonts w:hint="eastAsia" w:ascii="Times New Roman" w:eastAsia="仿宋"/>
                <w:sz w:val="24"/>
                <w:szCs w:val="21"/>
              </w:rPr>
              <w:t>依托厂区污水管网接入政污水管网</w:t>
            </w:r>
          </w:p>
        </w:tc>
        <w:tc>
          <w:tcPr>
            <w:tcW w:w="517" w:type="pct"/>
            <w:vAlign w:val="center"/>
          </w:tcPr>
          <w:p w14:paraId="329E7C51">
            <w:pPr>
              <w:jc w:val="center"/>
              <w:rPr>
                <w:rFonts w:ascii="Times New Roman" w:eastAsia="仿宋"/>
              </w:rPr>
            </w:pPr>
            <w:r>
              <w:rPr>
                <w:rFonts w:ascii="Times New Roman" w:eastAsia="仿宋"/>
              </w:rPr>
              <w:t>COD</w:t>
            </w:r>
          </w:p>
        </w:tc>
        <w:tc>
          <w:tcPr>
            <w:tcW w:w="525" w:type="pct"/>
            <w:vAlign w:val="center"/>
          </w:tcPr>
          <w:p w14:paraId="75A8C3DA">
            <w:pPr>
              <w:jc w:val="center"/>
              <w:rPr>
                <w:rFonts w:ascii="Times New Roman" w:eastAsia="仿宋"/>
              </w:rPr>
            </w:pPr>
            <w:r>
              <w:rPr>
                <w:rFonts w:hint="eastAsia" w:ascii="Times New Roman" w:eastAsia="仿宋"/>
              </w:rPr>
              <w:t>300</w:t>
            </w:r>
          </w:p>
        </w:tc>
        <w:tc>
          <w:tcPr>
            <w:tcW w:w="528" w:type="pct"/>
            <w:vAlign w:val="center"/>
          </w:tcPr>
          <w:p w14:paraId="442E5B64">
            <w:pPr>
              <w:jc w:val="center"/>
              <w:rPr>
                <w:rFonts w:ascii="Times New Roman" w:eastAsia="仿宋"/>
              </w:rPr>
            </w:pPr>
            <w:r>
              <w:rPr>
                <w:rFonts w:hint="eastAsia" w:ascii="Times New Roman" w:eastAsia="仿宋"/>
              </w:rPr>
              <w:t>0</w:t>
            </w:r>
            <w:r>
              <w:rPr>
                <w:rFonts w:ascii="Times New Roman" w:eastAsia="仿宋"/>
              </w:rPr>
              <w:t>.38</w:t>
            </w:r>
          </w:p>
        </w:tc>
        <w:tc>
          <w:tcPr>
            <w:tcW w:w="425" w:type="pct"/>
            <w:vMerge w:val="restart"/>
            <w:vAlign w:val="center"/>
          </w:tcPr>
          <w:p w14:paraId="267C2AB1">
            <w:pPr>
              <w:pStyle w:val="170"/>
              <w:rPr>
                <w:rFonts w:ascii="Times New Roman" w:eastAsia="仿宋"/>
                <w:sz w:val="24"/>
                <w:szCs w:val="21"/>
                <w:highlight w:val="yellow"/>
              </w:rPr>
            </w:pPr>
            <w:r>
              <w:rPr>
                <w:rFonts w:hint="eastAsia" w:ascii="Times New Roman" w:eastAsia="仿宋"/>
                <w:sz w:val="24"/>
                <w:szCs w:val="21"/>
              </w:rPr>
              <w:t>接管金坛区直溪污水处理厂</w:t>
            </w:r>
          </w:p>
        </w:tc>
      </w:tr>
      <w:tr w14:paraId="0324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4147FEA8">
            <w:pPr>
              <w:jc w:val="center"/>
              <w:rPr>
                <w:rFonts w:ascii="Times New Roman" w:eastAsia="仿宋"/>
                <w:szCs w:val="21"/>
              </w:rPr>
            </w:pPr>
          </w:p>
        </w:tc>
        <w:tc>
          <w:tcPr>
            <w:tcW w:w="418" w:type="pct"/>
            <w:vMerge w:val="continue"/>
            <w:vAlign w:val="center"/>
          </w:tcPr>
          <w:p w14:paraId="65068BF4">
            <w:pPr>
              <w:jc w:val="center"/>
              <w:rPr>
                <w:rFonts w:ascii="Times New Roman" w:eastAsia="仿宋"/>
                <w:szCs w:val="21"/>
              </w:rPr>
            </w:pPr>
          </w:p>
        </w:tc>
        <w:tc>
          <w:tcPr>
            <w:tcW w:w="511" w:type="pct"/>
            <w:vAlign w:val="center"/>
          </w:tcPr>
          <w:p w14:paraId="3DB5E0EC">
            <w:pPr>
              <w:jc w:val="center"/>
              <w:rPr>
                <w:rFonts w:ascii="Times New Roman" w:eastAsia="仿宋"/>
              </w:rPr>
            </w:pPr>
            <w:r>
              <w:rPr>
                <w:rFonts w:ascii="Times New Roman" w:eastAsia="仿宋"/>
              </w:rPr>
              <w:t>SS</w:t>
            </w:r>
          </w:p>
        </w:tc>
        <w:tc>
          <w:tcPr>
            <w:tcW w:w="620" w:type="pct"/>
            <w:vAlign w:val="center"/>
          </w:tcPr>
          <w:p w14:paraId="5CF503B9">
            <w:pPr>
              <w:jc w:val="center"/>
              <w:rPr>
                <w:rFonts w:ascii="Times New Roman" w:eastAsia="仿宋"/>
              </w:rPr>
            </w:pPr>
            <w:r>
              <w:rPr>
                <w:rFonts w:hint="eastAsia" w:ascii="Times New Roman" w:eastAsia="仿宋"/>
              </w:rPr>
              <w:t>200</w:t>
            </w:r>
          </w:p>
        </w:tc>
        <w:tc>
          <w:tcPr>
            <w:tcW w:w="457" w:type="pct"/>
            <w:vAlign w:val="center"/>
          </w:tcPr>
          <w:p w14:paraId="45BBEB86">
            <w:pPr>
              <w:jc w:val="center"/>
              <w:rPr>
                <w:rFonts w:ascii="Times New Roman" w:eastAsia="仿宋"/>
              </w:rPr>
            </w:pPr>
            <w:r>
              <w:rPr>
                <w:rFonts w:hint="eastAsia" w:ascii="Times New Roman" w:eastAsia="仿宋"/>
              </w:rPr>
              <w:t>0</w:t>
            </w:r>
            <w:r>
              <w:rPr>
                <w:rFonts w:ascii="Times New Roman" w:eastAsia="仿宋"/>
              </w:rPr>
              <w:t>.26</w:t>
            </w:r>
          </w:p>
        </w:tc>
        <w:tc>
          <w:tcPr>
            <w:tcW w:w="529" w:type="pct"/>
            <w:vMerge w:val="continue"/>
            <w:vAlign w:val="center"/>
          </w:tcPr>
          <w:p w14:paraId="487D6AD3">
            <w:pPr>
              <w:pStyle w:val="170"/>
              <w:rPr>
                <w:rFonts w:ascii="Times New Roman" w:eastAsia="仿宋"/>
                <w:sz w:val="24"/>
                <w:szCs w:val="21"/>
              </w:rPr>
            </w:pPr>
          </w:p>
        </w:tc>
        <w:tc>
          <w:tcPr>
            <w:tcW w:w="517" w:type="pct"/>
            <w:vAlign w:val="center"/>
          </w:tcPr>
          <w:p w14:paraId="20CFF441">
            <w:pPr>
              <w:jc w:val="center"/>
              <w:rPr>
                <w:rFonts w:ascii="Times New Roman" w:eastAsia="仿宋"/>
              </w:rPr>
            </w:pPr>
            <w:r>
              <w:rPr>
                <w:rFonts w:ascii="Times New Roman" w:eastAsia="仿宋"/>
              </w:rPr>
              <w:t>SS</w:t>
            </w:r>
          </w:p>
        </w:tc>
        <w:tc>
          <w:tcPr>
            <w:tcW w:w="525" w:type="pct"/>
            <w:vAlign w:val="center"/>
          </w:tcPr>
          <w:p w14:paraId="1FD3C88C">
            <w:pPr>
              <w:jc w:val="center"/>
              <w:rPr>
                <w:rFonts w:ascii="Times New Roman" w:eastAsia="仿宋"/>
              </w:rPr>
            </w:pPr>
            <w:r>
              <w:rPr>
                <w:rFonts w:hint="eastAsia" w:ascii="Times New Roman" w:eastAsia="仿宋"/>
              </w:rPr>
              <w:t>200</w:t>
            </w:r>
          </w:p>
        </w:tc>
        <w:tc>
          <w:tcPr>
            <w:tcW w:w="528" w:type="pct"/>
            <w:vAlign w:val="center"/>
          </w:tcPr>
          <w:p w14:paraId="70BBC31B">
            <w:pPr>
              <w:jc w:val="center"/>
              <w:rPr>
                <w:rFonts w:ascii="Times New Roman" w:eastAsia="仿宋"/>
              </w:rPr>
            </w:pPr>
            <w:r>
              <w:rPr>
                <w:rFonts w:hint="eastAsia" w:ascii="Times New Roman" w:eastAsia="仿宋"/>
              </w:rPr>
              <w:t>0</w:t>
            </w:r>
            <w:r>
              <w:rPr>
                <w:rFonts w:ascii="Times New Roman" w:eastAsia="仿宋"/>
              </w:rPr>
              <w:t>.26</w:t>
            </w:r>
          </w:p>
        </w:tc>
        <w:tc>
          <w:tcPr>
            <w:tcW w:w="425" w:type="pct"/>
            <w:vMerge w:val="continue"/>
            <w:vAlign w:val="center"/>
          </w:tcPr>
          <w:p w14:paraId="3181213A">
            <w:pPr>
              <w:pStyle w:val="170"/>
              <w:rPr>
                <w:rFonts w:ascii="Times New Roman" w:eastAsia="仿宋"/>
                <w:sz w:val="24"/>
                <w:szCs w:val="21"/>
                <w:highlight w:val="yellow"/>
              </w:rPr>
            </w:pPr>
          </w:p>
        </w:tc>
      </w:tr>
      <w:tr w14:paraId="6F76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6A7A3EB9">
            <w:pPr>
              <w:jc w:val="center"/>
              <w:rPr>
                <w:rFonts w:ascii="Times New Roman" w:eastAsia="仿宋"/>
                <w:szCs w:val="21"/>
              </w:rPr>
            </w:pPr>
          </w:p>
        </w:tc>
        <w:tc>
          <w:tcPr>
            <w:tcW w:w="418" w:type="pct"/>
            <w:vMerge w:val="continue"/>
            <w:vAlign w:val="center"/>
          </w:tcPr>
          <w:p w14:paraId="558D14CF">
            <w:pPr>
              <w:jc w:val="center"/>
              <w:rPr>
                <w:rFonts w:ascii="Times New Roman" w:eastAsia="仿宋"/>
                <w:szCs w:val="21"/>
              </w:rPr>
            </w:pPr>
          </w:p>
        </w:tc>
        <w:tc>
          <w:tcPr>
            <w:tcW w:w="511" w:type="pct"/>
            <w:vAlign w:val="center"/>
          </w:tcPr>
          <w:p w14:paraId="30266B07">
            <w:pPr>
              <w:jc w:val="center"/>
              <w:rPr>
                <w:rFonts w:ascii="Times New Roman" w:eastAsia="仿宋"/>
              </w:rPr>
            </w:pPr>
            <w:r>
              <w:rPr>
                <w:rFonts w:ascii="Times New Roman" w:eastAsia="仿宋"/>
              </w:rPr>
              <w:t>NH</w:t>
            </w:r>
            <w:r>
              <w:rPr>
                <w:rFonts w:ascii="Times New Roman" w:eastAsia="仿宋"/>
                <w:vertAlign w:val="subscript"/>
              </w:rPr>
              <w:t>3</w:t>
            </w:r>
            <w:r>
              <w:rPr>
                <w:rFonts w:ascii="Times New Roman" w:eastAsia="仿宋"/>
              </w:rPr>
              <w:t>-N</w:t>
            </w:r>
          </w:p>
        </w:tc>
        <w:tc>
          <w:tcPr>
            <w:tcW w:w="620" w:type="pct"/>
            <w:vAlign w:val="center"/>
          </w:tcPr>
          <w:p w14:paraId="4D48FEC7">
            <w:pPr>
              <w:jc w:val="center"/>
              <w:rPr>
                <w:rFonts w:ascii="Times New Roman" w:eastAsia="仿宋"/>
              </w:rPr>
            </w:pPr>
            <w:r>
              <w:rPr>
                <w:rFonts w:hint="eastAsia" w:ascii="Times New Roman" w:eastAsia="仿宋"/>
              </w:rPr>
              <w:t>20</w:t>
            </w:r>
          </w:p>
        </w:tc>
        <w:tc>
          <w:tcPr>
            <w:tcW w:w="457" w:type="pct"/>
            <w:vAlign w:val="center"/>
          </w:tcPr>
          <w:p w14:paraId="65D96A4C">
            <w:pPr>
              <w:jc w:val="center"/>
              <w:rPr>
                <w:rFonts w:ascii="Times New Roman" w:eastAsia="仿宋"/>
              </w:rPr>
            </w:pPr>
            <w:r>
              <w:rPr>
                <w:rFonts w:hint="eastAsia" w:ascii="Times New Roman" w:eastAsia="仿宋"/>
              </w:rPr>
              <w:t>0</w:t>
            </w:r>
            <w:r>
              <w:rPr>
                <w:rFonts w:ascii="Times New Roman" w:eastAsia="仿宋"/>
              </w:rPr>
              <w:t>.03</w:t>
            </w:r>
          </w:p>
        </w:tc>
        <w:tc>
          <w:tcPr>
            <w:tcW w:w="529" w:type="pct"/>
            <w:vMerge w:val="continue"/>
            <w:vAlign w:val="center"/>
          </w:tcPr>
          <w:p w14:paraId="5FD70EE5">
            <w:pPr>
              <w:pStyle w:val="170"/>
              <w:rPr>
                <w:rFonts w:ascii="Times New Roman" w:eastAsia="仿宋"/>
                <w:sz w:val="24"/>
                <w:szCs w:val="21"/>
              </w:rPr>
            </w:pPr>
          </w:p>
        </w:tc>
        <w:tc>
          <w:tcPr>
            <w:tcW w:w="517" w:type="pct"/>
            <w:vAlign w:val="center"/>
          </w:tcPr>
          <w:p w14:paraId="7A85EE51">
            <w:pPr>
              <w:jc w:val="center"/>
              <w:rPr>
                <w:rFonts w:ascii="Times New Roman" w:eastAsia="仿宋"/>
              </w:rPr>
            </w:pPr>
            <w:r>
              <w:rPr>
                <w:rFonts w:ascii="Times New Roman" w:eastAsia="仿宋"/>
              </w:rPr>
              <w:t>NH</w:t>
            </w:r>
            <w:r>
              <w:rPr>
                <w:rFonts w:ascii="Times New Roman" w:eastAsia="仿宋"/>
                <w:vertAlign w:val="subscript"/>
              </w:rPr>
              <w:t>3</w:t>
            </w:r>
            <w:r>
              <w:rPr>
                <w:rFonts w:ascii="Times New Roman" w:eastAsia="仿宋"/>
              </w:rPr>
              <w:t>-N</w:t>
            </w:r>
          </w:p>
        </w:tc>
        <w:tc>
          <w:tcPr>
            <w:tcW w:w="525" w:type="pct"/>
            <w:vAlign w:val="center"/>
          </w:tcPr>
          <w:p w14:paraId="2D28B1BF">
            <w:pPr>
              <w:jc w:val="center"/>
              <w:rPr>
                <w:rFonts w:ascii="Times New Roman" w:eastAsia="仿宋"/>
              </w:rPr>
            </w:pPr>
            <w:r>
              <w:rPr>
                <w:rFonts w:hint="eastAsia" w:ascii="Times New Roman" w:eastAsia="仿宋"/>
              </w:rPr>
              <w:t>20</w:t>
            </w:r>
          </w:p>
        </w:tc>
        <w:tc>
          <w:tcPr>
            <w:tcW w:w="528" w:type="pct"/>
            <w:vAlign w:val="center"/>
          </w:tcPr>
          <w:p w14:paraId="0E911C41">
            <w:pPr>
              <w:jc w:val="center"/>
              <w:rPr>
                <w:rFonts w:ascii="Times New Roman" w:eastAsia="仿宋"/>
              </w:rPr>
            </w:pPr>
            <w:r>
              <w:rPr>
                <w:rFonts w:hint="eastAsia" w:ascii="Times New Roman" w:eastAsia="仿宋"/>
              </w:rPr>
              <w:t>0</w:t>
            </w:r>
            <w:r>
              <w:rPr>
                <w:rFonts w:ascii="Times New Roman" w:eastAsia="仿宋"/>
              </w:rPr>
              <w:t>.03</w:t>
            </w:r>
          </w:p>
        </w:tc>
        <w:tc>
          <w:tcPr>
            <w:tcW w:w="425" w:type="pct"/>
            <w:vMerge w:val="continue"/>
            <w:vAlign w:val="center"/>
          </w:tcPr>
          <w:p w14:paraId="5BC7F5F6">
            <w:pPr>
              <w:pStyle w:val="170"/>
              <w:rPr>
                <w:rFonts w:ascii="Times New Roman" w:eastAsia="仿宋"/>
                <w:sz w:val="24"/>
                <w:szCs w:val="21"/>
                <w:highlight w:val="yellow"/>
              </w:rPr>
            </w:pPr>
          </w:p>
        </w:tc>
      </w:tr>
      <w:tr w14:paraId="221E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74993176">
            <w:pPr>
              <w:jc w:val="center"/>
              <w:rPr>
                <w:rFonts w:ascii="Times New Roman" w:eastAsia="仿宋"/>
                <w:szCs w:val="21"/>
              </w:rPr>
            </w:pPr>
          </w:p>
        </w:tc>
        <w:tc>
          <w:tcPr>
            <w:tcW w:w="418" w:type="pct"/>
            <w:vMerge w:val="continue"/>
            <w:vAlign w:val="center"/>
          </w:tcPr>
          <w:p w14:paraId="40EFEEC0">
            <w:pPr>
              <w:jc w:val="center"/>
              <w:rPr>
                <w:rFonts w:ascii="Times New Roman" w:eastAsia="仿宋"/>
                <w:szCs w:val="21"/>
              </w:rPr>
            </w:pPr>
          </w:p>
        </w:tc>
        <w:tc>
          <w:tcPr>
            <w:tcW w:w="511" w:type="pct"/>
            <w:vAlign w:val="center"/>
          </w:tcPr>
          <w:p w14:paraId="67EC084F">
            <w:pPr>
              <w:jc w:val="center"/>
              <w:rPr>
                <w:rFonts w:ascii="Times New Roman" w:eastAsia="仿宋"/>
                <w:szCs w:val="21"/>
              </w:rPr>
            </w:pPr>
            <w:r>
              <w:rPr>
                <w:rFonts w:hint="eastAsia" w:ascii="Times New Roman" w:eastAsia="仿宋"/>
                <w:szCs w:val="21"/>
              </w:rPr>
              <w:t>TN</w:t>
            </w:r>
          </w:p>
        </w:tc>
        <w:tc>
          <w:tcPr>
            <w:tcW w:w="620" w:type="pct"/>
            <w:vAlign w:val="center"/>
          </w:tcPr>
          <w:p w14:paraId="59925E81">
            <w:pPr>
              <w:jc w:val="center"/>
              <w:rPr>
                <w:rFonts w:ascii="Times New Roman" w:eastAsia="仿宋"/>
              </w:rPr>
            </w:pPr>
            <w:r>
              <w:rPr>
                <w:rFonts w:hint="eastAsia" w:ascii="Times New Roman" w:eastAsia="仿宋"/>
              </w:rPr>
              <w:t>30</w:t>
            </w:r>
          </w:p>
        </w:tc>
        <w:tc>
          <w:tcPr>
            <w:tcW w:w="457" w:type="pct"/>
            <w:vAlign w:val="center"/>
          </w:tcPr>
          <w:p w14:paraId="4F81F8F4">
            <w:pPr>
              <w:jc w:val="center"/>
              <w:rPr>
                <w:rFonts w:ascii="Times New Roman" w:eastAsia="仿宋"/>
              </w:rPr>
            </w:pPr>
            <w:r>
              <w:rPr>
                <w:rFonts w:hint="eastAsia" w:ascii="Times New Roman" w:eastAsia="仿宋"/>
              </w:rPr>
              <w:t>0</w:t>
            </w:r>
            <w:r>
              <w:rPr>
                <w:rFonts w:ascii="Times New Roman" w:eastAsia="仿宋"/>
              </w:rPr>
              <w:t>.04</w:t>
            </w:r>
          </w:p>
        </w:tc>
        <w:tc>
          <w:tcPr>
            <w:tcW w:w="529" w:type="pct"/>
            <w:vMerge w:val="continue"/>
            <w:vAlign w:val="center"/>
          </w:tcPr>
          <w:p w14:paraId="03E886AD">
            <w:pPr>
              <w:pStyle w:val="170"/>
              <w:rPr>
                <w:rFonts w:ascii="Times New Roman" w:eastAsia="仿宋"/>
                <w:sz w:val="24"/>
                <w:szCs w:val="21"/>
              </w:rPr>
            </w:pPr>
          </w:p>
        </w:tc>
        <w:tc>
          <w:tcPr>
            <w:tcW w:w="517" w:type="pct"/>
            <w:vAlign w:val="center"/>
          </w:tcPr>
          <w:p w14:paraId="77918DE7">
            <w:pPr>
              <w:jc w:val="center"/>
              <w:rPr>
                <w:rFonts w:ascii="Times New Roman" w:eastAsia="仿宋"/>
                <w:szCs w:val="21"/>
              </w:rPr>
            </w:pPr>
            <w:r>
              <w:rPr>
                <w:rFonts w:hint="eastAsia" w:ascii="Times New Roman" w:eastAsia="仿宋"/>
                <w:szCs w:val="21"/>
              </w:rPr>
              <w:t>TN</w:t>
            </w:r>
          </w:p>
        </w:tc>
        <w:tc>
          <w:tcPr>
            <w:tcW w:w="525" w:type="pct"/>
            <w:vAlign w:val="center"/>
          </w:tcPr>
          <w:p w14:paraId="0E14EC0D">
            <w:pPr>
              <w:jc w:val="center"/>
              <w:rPr>
                <w:rFonts w:ascii="Times New Roman" w:eastAsia="仿宋"/>
              </w:rPr>
            </w:pPr>
            <w:r>
              <w:rPr>
                <w:rFonts w:hint="eastAsia" w:ascii="Times New Roman" w:eastAsia="仿宋"/>
              </w:rPr>
              <w:t>30</w:t>
            </w:r>
          </w:p>
        </w:tc>
        <w:tc>
          <w:tcPr>
            <w:tcW w:w="528" w:type="pct"/>
            <w:vAlign w:val="center"/>
          </w:tcPr>
          <w:p w14:paraId="4AA6B1B3">
            <w:pPr>
              <w:jc w:val="center"/>
              <w:rPr>
                <w:rFonts w:ascii="Times New Roman" w:eastAsia="仿宋"/>
              </w:rPr>
            </w:pPr>
            <w:r>
              <w:rPr>
                <w:rFonts w:hint="eastAsia" w:ascii="Times New Roman" w:eastAsia="仿宋"/>
              </w:rPr>
              <w:t>0</w:t>
            </w:r>
            <w:r>
              <w:rPr>
                <w:rFonts w:ascii="Times New Roman" w:eastAsia="仿宋"/>
              </w:rPr>
              <w:t>.04</w:t>
            </w:r>
          </w:p>
        </w:tc>
        <w:tc>
          <w:tcPr>
            <w:tcW w:w="425" w:type="pct"/>
            <w:vMerge w:val="continue"/>
            <w:vAlign w:val="center"/>
          </w:tcPr>
          <w:p w14:paraId="3E4BD680">
            <w:pPr>
              <w:pStyle w:val="170"/>
              <w:rPr>
                <w:rFonts w:ascii="Times New Roman" w:eastAsia="仿宋"/>
                <w:sz w:val="24"/>
                <w:szCs w:val="21"/>
                <w:highlight w:val="yellow"/>
              </w:rPr>
            </w:pPr>
          </w:p>
        </w:tc>
      </w:tr>
      <w:tr w14:paraId="7B32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65166983">
            <w:pPr>
              <w:jc w:val="center"/>
              <w:rPr>
                <w:rFonts w:ascii="Times New Roman" w:eastAsia="仿宋"/>
                <w:szCs w:val="21"/>
              </w:rPr>
            </w:pPr>
          </w:p>
        </w:tc>
        <w:tc>
          <w:tcPr>
            <w:tcW w:w="418" w:type="pct"/>
            <w:vMerge w:val="continue"/>
            <w:vAlign w:val="center"/>
          </w:tcPr>
          <w:p w14:paraId="5B7F6EFF">
            <w:pPr>
              <w:jc w:val="center"/>
              <w:rPr>
                <w:rFonts w:ascii="Times New Roman" w:eastAsia="仿宋"/>
                <w:szCs w:val="21"/>
              </w:rPr>
            </w:pPr>
          </w:p>
        </w:tc>
        <w:tc>
          <w:tcPr>
            <w:tcW w:w="511" w:type="pct"/>
            <w:vAlign w:val="center"/>
          </w:tcPr>
          <w:p w14:paraId="4C36880A">
            <w:pPr>
              <w:jc w:val="center"/>
              <w:rPr>
                <w:rFonts w:ascii="Times New Roman" w:eastAsia="仿宋"/>
                <w:szCs w:val="21"/>
              </w:rPr>
            </w:pPr>
            <w:r>
              <w:rPr>
                <w:rFonts w:hint="eastAsia" w:ascii="Times New Roman" w:eastAsia="仿宋"/>
                <w:szCs w:val="21"/>
              </w:rPr>
              <w:t>TP</w:t>
            </w:r>
          </w:p>
        </w:tc>
        <w:tc>
          <w:tcPr>
            <w:tcW w:w="620" w:type="pct"/>
            <w:vAlign w:val="center"/>
          </w:tcPr>
          <w:p w14:paraId="761394B1">
            <w:pPr>
              <w:jc w:val="center"/>
              <w:rPr>
                <w:rFonts w:ascii="Times New Roman" w:eastAsia="仿宋"/>
              </w:rPr>
            </w:pPr>
            <w:r>
              <w:rPr>
                <w:rFonts w:hint="eastAsia" w:ascii="Times New Roman" w:eastAsia="仿宋"/>
              </w:rPr>
              <w:t>3</w:t>
            </w:r>
          </w:p>
        </w:tc>
        <w:tc>
          <w:tcPr>
            <w:tcW w:w="457" w:type="pct"/>
            <w:vAlign w:val="center"/>
          </w:tcPr>
          <w:p w14:paraId="7FD261AF">
            <w:pPr>
              <w:jc w:val="center"/>
              <w:rPr>
                <w:rFonts w:ascii="Times New Roman" w:eastAsia="仿宋"/>
              </w:rPr>
            </w:pPr>
            <w:r>
              <w:rPr>
                <w:rFonts w:hint="eastAsia" w:ascii="Times New Roman" w:eastAsia="仿宋"/>
              </w:rPr>
              <w:t>0</w:t>
            </w:r>
            <w:r>
              <w:rPr>
                <w:rFonts w:ascii="Times New Roman" w:eastAsia="仿宋"/>
              </w:rPr>
              <w:t>.004</w:t>
            </w:r>
          </w:p>
        </w:tc>
        <w:tc>
          <w:tcPr>
            <w:tcW w:w="529" w:type="pct"/>
            <w:vMerge w:val="continue"/>
            <w:vAlign w:val="center"/>
          </w:tcPr>
          <w:p w14:paraId="18015220">
            <w:pPr>
              <w:pStyle w:val="170"/>
              <w:rPr>
                <w:rFonts w:ascii="Times New Roman" w:eastAsia="仿宋"/>
                <w:sz w:val="24"/>
                <w:szCs w:val="21"/>
              </w:rPr>
            </w:pPr>
          </w:p>
        </w:tc>
        <w:tc>
          <w:tcPr>
            <w:tcW w:w="517" w:type="pct"/>
            <w:vAlign w:val="center"/>
          </w:tcPr>
          <w:p w14:paraId="6F2170C4">
            <w:pPr>
              <w:jc w:val="center"/>
              <w:rPr>
                <w:rFonts w:ascii="Times New Roman" w:eastAsia="仿宋"/>
                <w:szCs w:val="21"/>
              </w:rPr>
            </w:pPr>
            <w:r>
              <w:rPr>
                <w:rFonts w:hint="eastAsia" w:ascii="Times New Roman" w:eastAsia="仿宋"/>
                <w:szCs w:val="21"/>
              </w:rPr>
              <w:t>TP</w:t>
            </w:r>
          </w:p>
        </w:tc>
        <w:tc>
          <w:tcPr>
            <w:tcW w:w="525" w:type="pct"/>
            <w:vAlign w:val="center"/>
          </w:tcPr>
          <w:p w14:paraId="7F9E19A7">
            <w:pPr>
              <w:jc w:val="center"/>
              <w:rPr>
                <w:rFonts w:ascii="Times New Roman" w:eastAsia="仿宋"/>
              </w:rPr>
            </w:pPr>
            <w:r>
              <w:rPr>
                <w:rFonts w:hint="eastAsia" w:ascii="Times New Roman" w:eastAsia="仿宋"/>
              </w:rPr>
              <w:t>3</w:t>
            </w:r>
          </w:p>
        </w:tc>
        <w:tc>
          <w:tcPr>
            <w:tcW w:w="528" w:type="pct"/>
            <w:vAlign w:val="center"/>
          </w:tcPr>
          <w:p w14:paraId="3827AC2D">
            <w:pPr>
              <w:jc w:val="center"/>
              <w:rPr>
                <w:rFonts w:ascii="Times New Roman" w:eastAsia="仿宋"/>
              </w:rPr>
            </w:pPr>
            <w:r>
              <w:rPr>
                <w:rFonts w:hint="eastAsia" w:ascii="Times New Roman" w:eastAsia="仿宋"/>
              </w:rPr>
              <w:t>0</w:t>
            </w:r>
            <w:r>
              <w:rPr>
                <w:rFonts w:ascii="Times New Roman" w:eastAsia="仿宋"/>
              </w:rPr>
              <w:t>.004</w:t>
            </w:r>
          </w:p>
        </w:tc>
        <w:tc>
          <w:tcPr>
            <w:tcW w:w="425" w:type="pct"/>
            <w:vMerge w:val="continue"/>
            <w:vAlign w:val="center"/>
          </w:tcPr>
          <w:p w14:paraId="65C0B202">
            <w:pPr>
              <w:pStyle w:val="170"/>
              <w:rPr>
                <w:rFonts w:ascii="Times New Roman" w:eastAsia="仿宋"/>
                <w:sz w:val="24"/>
                <w:szCs w:val="21"/>
                <w:highlight w:val="yellow"/>
              </w:rPr>
            </w:pPr>
          </w:p>
        </w:tc>
      </w:tr>
      <w:tr w14:paraId="6929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0" w:type="pct"/>
            <w:vMerge w:val="continue"/>
            <w:vAlign w:val="center"/>
          </w:tcPr>
          <w:p w14:paraId="1D387942">
            <w:pPr>
              <w:jc w:val="center"/>
              <w:rPr>
                <w:rFonts w:ascii="Times New Roman" w:eastAsia="仿宋"/>
                <w:szCs w:val="21"/>
              </w:rPr>
            </w:pPr>
          </w:p>
        </w:tc>
        <w:tc>
          <w:tcPr>
            <w:tcW w:w="418" w:type="pct"/>
            <w:vMerge w:val="continue"/>
            <w:vAlign w:val="center"/>
          </w:tcPr>
          <w:p w14:paraId="2C6DDAEB">
            <w:pPr>
              <w:jc w:val="center"/>
              <w:rPr>
                <w:rFonts w:ascii="Times New Roman" w:eastAsia="仿宋"/>
                <w:szCs w:val="21"/>
              </w:rPr>
            </w:pPr>
          </w:p>
        </w:tc>
        <w:tc>
          <w:tcPr>
            <w:tcW w:w="511" w:type="pct"/>
            <w:vAlign w:val="center"/>
          </w:tcPr>
          <w:p w14:paraId="0F7C11F2">
            <w:pPr>
              <w:jc w:val="center"/>
              <w:rPr>
                <w:rFonts w:ascii="Times New Roman" w:eastAsia="仿宋"/>
                <w:szCs w:val="21"/>
              </w:rPr>
            </w:pPr>
            <w:r>
              <w:rPr>
                <w:rFonts w:hint="eastAsia" w:ascii="Times New Roman" w:eastAsia="仿宋"/>
                <w:szCs w:val="21"/>
              </w:rPr>
              <w:t>动植物油</w:t>
            </w:r>
          </w:p>
        </w:tc>
        <w:tc>
          <w:tcPr>
            <w:tcW w:w="620" w:type="pct"/>
            <w:vAlign w:val="center"/>
          </w:tcPr>
          <w:p w14:paraId="2A8E2DB9">
            <w:pPr>
              <w:jc w:val="center"/>
              <w:rPr>
                <w:rFonts w:ascii="Times New Roman" w:eastAsia="仿宋"/>
              </w:rPr>
            </w:pPr>
            <w:r>
              <w:rPr>
                <w:rFonts w:hint="eastAsia" w:ascii="Times New Roman" w:eastAsia="仿宋"/>
              </w:rPr>
              <w:t>60</w:t>
            </w:r>
          </w:p>
        </w:tc>
        <w:tc>
          <w:tcPr>
            <w:tcW w:w="457" w:type="pct"/>
            <w:vAlign w:val="center"/>
          </w:tcPr>
          <w:p w14:paraId="21725E6F">
            <w:pPr>
              <w:jc w:val="center"/>
              <w:rPr>
                <w:rFonts w:ascii="Times New Roman" w:eastAsia="仿宋"/>
              </w:rPr>
            </w:pPr>
            <w:r>
              <w:rPr>
                <w:rFonts w:hint="eastAsia" w:ascii="Times New Roman" w:eastAsia="仿宋"/>
              </w:rPr>
              <w:t>0</w:t>
            </w:r>
            <w:r>
              <w:rPr>
                <w:rFonts w:ascii="Times New Roman" w:eastAsia="仿宋"/>
              </w:rPr>
              <w:t>.08</w:t>
            </w:r>
          </w:p>
        </w:tc>
        <w:tc>
          <w:tcPr>
            <w:tcW w:w="529" w:type="pct"/>
            <w:vMerge w:val="continue"/>
            <w:vAlign w:val="center"/>
          </w:tcPr>
          <w:p w14:paraId="3AEB73F5">
            <w:pPr>
              <w:pStyle w:val="170"/>
              <w:rPr>
                <w:rFonts w:ascii="Times New Roman" w:eastAsia="仿宋"/>
                <w:sz w:val="24"/>
                <w:szCs w:val="21"/>
              </w:rPr>
            </w:pPr>
          </w:p>
        </w:tc>
        <w:tc>
          <w:tcPr>
            <w:tcW w:w="517" w:type="pct"/>
            <w:vAlign w:val="center"/>
          </w:tcPr>
          <w:p w14:paraId="48094F9B">
            <w:pPr>
              <w:jc w:val="center"/>
              <w:rPr>
                <w:rFonts w:ascii="Times New Roman" w:eastAsia="仿宋"/>
                <w:szCs w:val="21"/>
              </w:rPr>
            </w:pPr>
            <w:r>
              <w:rPr>
                <w:rFonts w:hint="eastAsia" w:ascii="Times New Roman" w:eastAsia="仿宋"/>
                <w:szCs w:val="21"/>
              </w:rPr>
              <w:t>动植物油</w:t>
            </w:r>
          </w:p>
        </w:tc>
        <w:tc>
          <w:tcPr>
            <w:tcW w:w="525" w:type="pct"/>
            <w:vAlign w:val="center"/>
          </w:tcPr>
          <w:p w14:paraId="6ADAFC47">
            <w:pPr>
              <w:jc w:val="center"/>
              <w:rPr>
                <w:rFonts w:ascii="Times New Roman" w:eastAsia="仿宋"/>
              </w:rPr>
            </w:pPr>
            <w:r>
              <w:rPr>
                <w:rFonts w:hint="eastAsia" w:ascii="Times New Roman" w:eastAsia="仿宋"/>
              </w:rPr>
              <w:t>60</w:t>
            </w:r>
          </w:p>
        </w:tc>
        <w:tc>
          <w:tcPr>
            <w:tcW w:w="528" w:type="pct"/>
            <w:vAlign w:val="center"/>
          </w:tcPr>
          <w:p w14:paraId="53624617">
            <w:pPr>
              <w:jc w:val="center"/>
              <w:rPr>
                <w:rFonts w:ascii="Times New Roman" w:eastAsia="仿宋"/>
              </w:rPr>
            </w:pPr>
            <w:r>
              <w:rPr>
                <w:rFonts w:hint="eastAsia" w:ascii="Times New Roman" w:eastAsia="仿宋"/>
              </w:rPr>
              <w:t>0</w:t>
            </w:r>
            <w:r>
              <w:rPr>
                <w:rFonts w:ascii="Times New Roman" w:eastAsia="仿宋"/>
              </w:rPr>
              <w:t>.08</w:t>
            </w:r>
          </w:p>
        </w:tc>
        <w:tc>
          <w:tcPr>
            <w:tcW w:w="425" w:type="pct"/>
            <w:vMerge w:val="continue"/>
            <w:vAlign w:val="center"/>
          </w:tcPr>
          <w:p w14:paraId="42DADC72">
            <w:pPr>
              <w:pStyle w:val="170"/>
              <w:rPr>
                <w:rFonts w:ascii="Times New Roman" w:eastAsia="仿宋"/>
                <w:sz w:val="24"/>
                <w:szCs w:val="21"/>
                <w:highlight w:val="yellow"/>
              </w:rPr>
            </w:pPr>
          </w:p>
        </w:tc>
      </w:tr>
    </w:tbl>
    <w:p w14:paraId="4A644F07">
      <w:pPr>
        <w:pStyle w:val="6"/>
        <w:keepLines w:val="0"/>
        <w:tabs>
          <w:tab w:val="left" w:pos="709"/>
        </w:tabs>
        <w:spacing w:before="120" w:beforeLines="50" w:after="120" w:afterLines="50" w:line="500" w:lineRule="exact"/>
        <w:rPr>
          <w:rFonts w:ascii="Times New Roman" w:eastAsia="仿宋"/>
          <w:sz w:val="30"/>
          <w:szCs w:val="30"/>
        </w:rPr>
        <w:sectPr>
          <w:pgSz w:w="16840" w:h="11907" w:orient="landscape"/>
          <w:pgMar w:top="1797" w:right="1440" w:bottom="1797" w:left="1440" w:header="851" w:footer="992" w:gutter="0"/>
          <w:cols w:space="720" w:num="1"/>
          <w:docGrid w:linePitch="312" w:charSpace="0"/>
        </w:sectPr>
      </w:pPr>
    </w:p>
    <w:p w14:paraId="17631378">
      <w:pPr>
        <w:pStyle w:val="6"/>
        <w:keepLines w:val="0"/>
        <w:tabs>
          <w:tab w:val="left" w:pos="709"/>
        </w:tabs>
        <w:spacing w:before="120" w:beforeLines="50" w:after="120" w:afterLines="50" w:line="500" w:lineRule="exact"/>
        <w:rPr>
          <w:rFonts w:ascii="Times New Roman" w:eastAsia="仿宋"/>
          <w:sz w:val="30"/>
          <w:szCs w:val="30"/>
        </w:rPr>
      </w:pPr>
      <w:r>
        <w:rPr>
          <w:rFonts w:ascii="Times New Roman" w:eastAsia="仿宋"/>
          <w:sz w:val="30"/>
          <w:szCs w:val="30"/>
        </w:rPr>
        <w:t>3.5.2废气污染物源强及排放情况</w:t>
      </w:r>
    </w:p>
    <w:p w14:paraId="281CCD6B">
      <w:pPr>
        <w:pStyle w:val="203"/>
        <w:spacing w:line="500" w:lineRule="exact"/>
        <w:ind w:firstLine="560"/>
        <w:rPr>
          <w:rFonts w:eastAsia="仿宋"/>
          <w:sz w:val="28"/>
          <w:szCs w:val="28"/>
        </w:rPr>
      </w:pPr>
      <w:r>
        <w:rPr>
          <w:rFonts w:eastAsia="仿宋"/>
          <w:sz w:val="28"/>
          <w:szCs w:val="28"/>
        </w:rPr>
        <w:t>（1）有组织废气</w:t>
      </w:r>
    </w:p>
    <w:p w14:paraId="22CEE282">
      <w:pPr>
        <w:pStyle w:val="203"/>
        <w:spacing w:line="500" w:lineRule="exact"/>
        <w:ind w:firstLine="560"/>
        <w:rPr>
          <w:rFonts w:eastAsia="仿宋"/>
          <w:sz w:val="28"/>
          <w:szCs w:val="28"/>
        </w:rPr>
      </w:pPr>
      <w:r>
        <w:rPr>
          <w:rFonts w:eastAsia="仿宋"/>
          <w:sz w:val="28"/>
          <w:szCs w:val="28"/>
        </w:rPr>
        <w:t>本项目建成后</w:t>
      </w:r>
      <w:r>
        <w:rPr>
          <w:rFonts w:hint="eastAsia" w:eastAsia="仿宋"/>
          <w:sz w:val="28"/>
          <w:szCs w:val="28"/>
        </w:rPr>
        <w:t>全厂</w:t>
      </w:r>
      <w:r>
        <w:rPr>
          <w:rFonts w:eastAsia="仿宋"/>
          <w:sz w:val="28"/>
          <w:szCs w:val="28"/>
        </w:rPr>
        <w:t>有组织排放大气污染物源强及排放情况见表3.5-2。</w:t>
      </w:r>
    </w:p>
    <w:bookmarkEnd w:id="225"/>
    <w:p w14:paraId="2C4F1306">
      <w:pPr>
        <w:spacing w:line="500" w:lineRule="exact"/>
        <w:ind w:firstLine="200"/>
        <w:jc w:val="center"/>
        <w:rPr>
          <w:rFonts w:ascii="Times New Roman" w:eastAsia="仿宋"/>
          <w:b/>
        </w:rPr>
        <w:sectPr>
          <w:pgSz w:w="11907" w:h="16840"/>
          <w:pgMar w:top="1440" w:right="1800" w:bottom="1440" w:left="1800" w:header="851" w:footer="992" w:gutter="0"/>
          <w:cols w:space="720" w:num="1"/>
          <w:docGrid w:linePitch="312" w:charSpace="0"/>
        </w:sectPr>
      </w:pPr>
      <w:bookmarkStart w:id="228" w:name="_Ref472687671"/>
    </w:p>
    <w:p w14:paraId="65B29E0D">
      <w:pPr>
        <w:spacing w:line="500" w:lineRule="exact"/>
        <w:jc w:val="center"/>
        <w:rPr>
          <w:rFonts w:ascii="Times New Roman" w:eastAsia="仿宋"/>
          <w:b/>
        </w:rPr>
      </w:pPr>
      <w:bookmarkStart w:id="229" w:name="_Hlk17055143"/>
      <w:r>
        <w:rPr>
          <w:rFonts w:ascii="Times New Roman" w:eastAsia="仿宋"/>
          <w:b/>
        </w:rPr>
        <w:t xml:space="preserve">表3.5-2  </w:t>
      </w:r>
      <w:r>
        <w:rPr>
          <w:rFonts w:hint="eastAsia" w:ascii="Times New Roman" w:eastAsia="仿宋"/>
          <w:b/>
        </w:rPr>
        <w:t>本项目废气</w:t>
      </w:r>
      <w:r>
        <w:rPr>
          <w:rFonts w:ascii="Times New Roman" w:eastAsia="仿宋"/>
          <w:b/>
        </w:rPr>
        <w:t>源强及排放情况</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110"/>
        <w:gridCol w:w="866"/>
        <w:gridCol w:w="1007"/>
        <w:gridCol w:w="877"/>
        <w:gridCol w:w="826"/>
        <w:gridCol w:w="840"/>
        <w:gridCol w:w="982"/>
        <w:gridCol w:w="693"/>
        <w:gridCol w:w="1010"/>
        <w:gridCol w:w="1032"/>
        <w:gridCol w:w="1032"/>
        <w:gridCol w:w="817"/>
        <w:gridCol w:w="769"/>
        <w:gridCol w:w="1031"/>
        <w:gridCol w:w="816"/>
      </w:tblGrid>
      <w:tr w14:paraId="24A0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vAlign w:val="center"/>
          </w:tcPr>
          <w:p w14:paraId="27FA7816">
            <w:pPr>
              <w:widowControl/>
              <w:jc w:val="center"/>
              <w:rPr>
                <w:rFonts w:ascii="Times New Roman" w:eastAsia="仿宋"/>
                <w:szCs w:val="24"/>
              </w:rPr>
            </w:pPr>
            <w:bookmarkStart w:id="230" w:name="_Hlk129554859"/>
            <w:r>
              <w:rPr>
                <w:rFonts w:ascii="Times New Roman" w:eastAsia="仿宋"/>
                <w:szCs w:val="24"/>
              </w:rPr>
              <w:t>排气筒编号</w:t>
            </w:r>
          </w:p>
        </w:tc>
        <w:tc>
          <w:tcPr>
            <w:tcW w:w="391" w:type="pct"/>
            <w:vMerge w:val="restart"/>
            <w:vAlign w:val="center"/>
          </w:tcPr>
          <w:p w14:paraId="519F352F">
            <w:pPr>
              <w:widowControl/>
              <w:jc w:val="center"/>
              <w:rPr>
                <w:rFonts w:ascii="Times New Roman" w:eastAsia="仿宋"/>
                <w:szCs w:val="24"/>
              </w:rPr>
            </w:pPr>
            <w:r>
              <w:rPr>
                <w:rFonts w:ascii="Times New Roman" w:eastAsia="仿宋"/>
                <w:szCs w:val="24"/>
              </w:rPr>
              <w:t>污染源及编号</w:t>
            </w:r>
          </w:p>
        </w:tc>
        <w:tc>
          <w:tcPr>
            <w:tcW w:w="305" w:type="pct"/>
            <w:vMerge w:val="restart"/>
            <w:vAlign w:val="center"/>
          </w:tcPr>
          <w:p w14:paraId="68780CF7">
            <w:pPr>
              <w:widowControl/>
              <w:jc w:val="center"/>
              <w:rPr>
                <w:rFonts w:ascii="Times New Roman" w:eastAsia="仿宋"/>
                <w:szCs w:val="24"/>
              </w:rPr>
            </w:pPr>
            <w:r>
              <w:rPr>
                <w:rFonts w:ascii="Times New Roman" w:eastAsia="仿宋"/>
                <w:szCs w:val="24"/>
              </w:rPr>
              <w:t>排气量</w:t>
            </w:r>
          </w:p>
          <w:p w14:paraId="33537BCF">
            <w:pPr>
              <w:widowControl/>
              <w:jc w:val="center"/>
              <w:rPr>
                <w:rFonts w:ascii="Times New Roman" w:eastAsia="仿宋"/>
                <w:szCs w:val="24"/>
              </w:rPr>
            </w:pPr>
            <w:r>
              <w:rPr>
                <w:rFonts w:ascii="Times New Roman" w:eastAsia="仿宋"/>
                <w:szCs w:val="24"/>
              </w:rPr>
              <w:t>(m</w:t>
            </w:r>
            <w:r>
              <w:rPr>
                <w:rFonts w:ascii="Times New Roman" w:eastAsia="仿宋"/>
                <w:szCs w:val="24"/>
                <w:vertAlign w:val="superscript"/>
              </w:rPr>
              <w:t>3</w:t>
            </w:r>
            <w:r>
              <w:rPr>
                <w:rFonts w:ascii="Times New Roman" w:eastAsia="仿宋"/>
                <w:szCs w:val="24"/>
              </w:rPr>
              <w:t>/h)</w:t>
            </w:r>
          </w:p>
        </w:tc>
        <w:tc>
          <w:tcPr>
            <w:tcW w:w="355" w:type="pct"/>
            <w:vMerge w:val="restart"/>
            <w:vAlign w:val="center"/>
          </w:tcPr>
          <w:p w14:paraId="23DC716F">
            <w:pPr>
              <w:widowControl/>
              <w:jc w:val="center"/>
              <w:rPr>
                <w:rFonts w:ascii="Times New Roman" w:eastAsia="仿宋"/>
                <w:szCs w:val="24"/>
              </w:rPr>
            </w:pPr>
            <w:r>
              <w:rPr>
                <w:rFonts w:ascii="Times New Roman" w:eastAsia="仿宋"/>
                <w:szCs w:val="24"/>
              </w:rPr>
              <w:t>污染物名称</w:t>
            </w:r>
          </w:p>
        </w:tc>
        <w:tc>
          <w:tcPr>
            <w:tcW w:w="896" w:type="pct"/>
            <w:gridSpan w:val="3"/>
            <w:vAlign w:val="center"/>
          </w:tcPr>
          <w:p w14:paraId="5D6487C9">
            <w:pPr>
              <w:widowControl/>
              <w:jc w:val="center"/>
              <w:rPr>
                <w:rFonts w:ascii="Times New Roman" w:eastAsia="仿宋"/>
                <w:szCs w:val="24"/>
              </w:rPr>
            </w:pPr>
            <w:r>
              <w:rPr>
                <w:rFonts w:ascii="Times New Roman" w:eastAsia="仿宋"/>
                <w:szCs w:val="24"/>
              </w:rPr>
              <w:t>产生状况</w:t>
            </w:r>
          </w:p>
        </w:tc>
        <w:tc>
          <w:tcPr>
            <w:tcW w:w="346" w:type="pct"/>
            <w:vMerge w:val="restart"/>
            <w:vAlign w:val="center"/>
          </w:tcPr>
          <w:p w14:paraId="3D27ABEB">
            <w:pPr>
              <w:widowControl/>
              <w:jc w:val="center"/>
              <w:rPr>
                <w:rFonts w:ascii="Times New Roman" w:eastAsia="仿宋"/>
                <w:szCs w:val="24"/>
              </w:rPr>
            </w:pPr>
            <w:r>
              <w:rPr>
                <w:rFonts w:ascii="Times New Roman" w:eastAsia="仿宋"/>
                <w:szCs w:val="24"/>
              </w:rPr>
              <w:t>污染防治措施</w:t>
            </w:r>
          </w:p>
        </w:tc>
        <w:tc>
          <w:tcPr>
            <w:tcW w:w="244" w:type="pct"/>
            <w:vMerge w:val="restart"/>
            <w:vAlign w:val="center"/>
          </w:tcPr>
          <w:p w14:paraId="1C77D132">
            <w:pPr>
              <w:widowControl/>
              <w:jc w:val="center"/>
              <w:rPr>
                <w:rFonts w:ascii="Times New Roman" w:eastAsia="仿宋"/>
                <w:szCs w:val="24"/>
              </w:rPr>
            </w:pPr>
            <w:r>
              <w:rPr>
                <w:rFonts w:ascii="Times New Roman" w:eastAsia="仿宋"/>
                <w:szCs w:val="24"/>
              </w:rPr>
              <w:t>去除率%</w:t>
            </w:r>
          </w:p>
        </w:tc>
        <w:tc>
          <w:tcPr>
            <w:tcW w:w="356" w:type="pct"/>
            <w:vMerge w:val="restart"/>
            <w:vAlign w:val="center"/>
          </w:tcPr>
          <w:p w14:paraId="5A60F605">
            <w:pPr>
              <w:widowControl/>
              <w:jc w:val="center"/>
              <w:rPr>
                <w:rFonts w:ascii="Times New Roman" w:eastAsia="仿宋"/>
                <w:szCs w:val="24"/>
              </w:rPr>
            </w:pPr>
            <w:r>
              <w:rPr>
                <w:rFonts w:ascii="Times New Roman" w:eastAsia="仿宋"/>
                <w:szCs w:val="24"/>
              </w:rPr>
              <w:t>污染物名称</w:t>
            </w:r>
          </w:p>
        </w:tc>
        <w:tc>
          <w:tcPr>
            <w:tcW w:w="1287" w:type="pct"/>
            <w:gridSpan w:val="4"/>
          </w:tcPr>
          <w:p w14:paraId="08566A30">
            <w:pPr>
              <w:widowControl/>
              <w:jc w:val="center"/>
              <w:rPr>
                <w:rFonts w:ascii="Times New Roman" w:eastAsia="仿宋"/>
                <w:szCs w:val="24"/>
              </w:rPr>
            </w:pPr>
            <w:r>
              <w:rPr>
                <w:rFonts w:ascii="Times New Roman" w:eastAsia="仿宋"/>
                <w:szCs w:val="24"/>
              </w:rPr>
              <w:t>排放状况</w:t>
            </w:r>
          </w:p>
        </w:tc>
        <w:tc>
          <w:tcPr>
            <w:tcW w:w="652" w:type="pct"/>
            <w:gridSpan w:val="2"/>
            <w:vAlign w:val="center"/>
          </w:tcPr>
          <w:p w14:paraId="3EC394FD">
            <w:pPr>
              <w:widowControl/>
              <w:jc w:val="center"/>
              <w:rPr>
                <w:rFonts w:ascii="Times New Roman" w:eastAsia="仿宋"/>
                <w:szCs w:val="24"/>
              </w:rPr>
            </w:pPr>
            <w:r>
              <w:rPr>
                <w:rFonts w:ascii="Times New Roman" w:eastAsia="仿宋"/>
                <w:szCs w:val="24"/>
              </w:rPr>
              <w:t>执行标准</w:t>
            </w:r>
          </w:p>
        </w:tc>
      </w:tr>
      <w:tr w14:paraId="6580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F958A4E">
            <w:pPr>
              <w:widowControl/>
              <w:jc w:val="center"/>
              <w:rPr>
                <w:rFonts w:ascii="Times New Roman" w:eastAsia="仿宋"/>
                <w:szCs w:val="24"/>
              </w:rPr>
            </w:pPr>
          </w:p>
        </w:tc>
        <w:tc>
          <w:tcPr>
            <w:tcW w:w="391" w:type="pct"/>
            <w:vMerge w:val="continue"/>
            <w:vAlign w:val="center"/>
          </w:tcPr>
          <w:p w14:paraId="0ECBE5F3">
            <w:pPr>
              <w:widowControl/>
              <w:jc w:val="center"/>
              <w:rPr>
                <w:rFonts w:ascii="Times New Roman" w:eastAsia="仿宋"/>
                <w:szCs w:val="24"/>
              </w:rPr>
            </w:pPr>
          </w:p>
        </w:tc>
        <w:tc>
          <w:tcPr>
            <w:tcW w:w="305" w:type="pct"/>
            <w:vMerge w:val="continue"/>
            <w:vAlign w:val="center"/>
          </w:tcPr>
          <w:p w14:paraId="7D03A087">
            <w:pPr>
              <w:jc w:val="center"/>
              <w:rPr>
                <w:rFonts w:ascii="Times New Roman" w:eastAsia="仿宋"/>
                <w:szCs w:val="24"/>
              </w:rPr>
            </w:pPr>
          </w:p>
        </w:tc>
        <w:tc>
          <w:tcPr>
            <w:tcW w:w="355" w:type="pct"/>
            <w:vMerge w:val="continue"/>
            <w:vAlign w:val="center"/>
          </w:tcPr>
          <w:p w14:paraId="68D9098E">
            <w:pPr>
              <w:jc w:val="center"/>
              <w:rPr>
                <w:rFonts w:ascii="Times New Roman" w:eastAsia="仿宋"/>
                <w:szCs w:val="24"/>
              </w:rPr>
            </w:pPr>
          </w:p>
        </w:tc>
        <w:tc>
          <w:tcPr>
            <w:tcW w:w="309" w:type="pct"/>
            <w:vAlign w:val="center"/>
          </w:tcPr>
          <w:p w14:paraId="3401F43A">
            <w:pPr>
              <w:widowControl/>
              <w:jc w:val="center"/>
              <w:rPr>
                <w:rFonts w:ascii="Times New Roman" w:eastAsia="仿宋"/>
                <w:szCs w:val="24"/>
              </w:rPr>
            </w:pPr>
            <w:r>
              <w:rPr>
                <w:rFonts w:hint="eastAsia" w:ascii="Times New Roman" w:eastAsia="仿宋"/>
                <w:szCs w:val="24"/>
              </w:rPr>
              <w:t>产生</w:t>
            </w:r>
            <w:r>
              <w:rPr>
                <w:rFonts w:ascii="Times New Roman" w:eastAsia="仿宋"/>
                <w:szCs w:val="24"/>
              </w:rPr>
              <w:t>浓度</w:t>
            </w:r>
          </w:p>
        </w:tc>
        <w:tc>
          <w:tcPr>
            <w:tcW w:w="291" w:type="pct"/>
            <w:vAlign w:val="center"/>
          </w:tcPr>
          <w:p w14:paraId="2806FF88">
            <w:pPr>
              <w:widowControl/>
              <w:jc w:val="center"/>
              <w:rPr>
                <w:rFonts w:ascii="Times New Roman" w:eastAsia="仿宋"/>
                <w:szCs w:val="24"/>
              </w:rPr>
            </w:pPr>
            <w:r>
              <w:rPr>
                <w:rFonts w:hint="eastAsia" w:ascii="Times New Roman" w:eastAsia="仿宋"/>
                <w:szCs w:val="24"/>
              </w:rPr>
              <w:t>产生</w:t>
            </w:r>
            <w:r>
              <w:rPr>
                <w:rFonts w:ascii="Times New Roman" w:eastAsia="仿宋"/>
                <w:szCs w:val="24"/>
              </w:rPr>
              <w:t>速率</w:t>
            </w:r>
          </w:p>
        </w:tc>
        <w:tc>
          <w:tcPr>
            <w:tcW w:w="295" w:type="pct"/>
            <w:vAlign w:val="center"/>
          </w:tcPr>
          <w:p w14:paraId="199DE457">
            <w:pPr>
              <w:widowControl/>
              <w:jc w:val="center"/>
              <w:rPr>
                <w:rFonts w:ascii="Times New Roman" w:eastAsia="仿宋"/>
                <w:szCs w:val="24"/>
              </w:rPr>
            </w:pPr>
            <w:r>
              <w:rPr>
                <w:rFonts w:ascii="Times New Roman" w:eastAsia="仿宋"/>
                <w:szCs w:val="24"/>
              </w:rPr>
              <w:t>产生量</w:t>
            </w:r>
          </w:p>
        </w:tc>
        <w:tc>
          <w:tcPr>
            <w:tcW w:w="346" w:type="pct"/>
            <w:vMerge w:val="continue"/>
            <w:vAlign w:val="center"/>
          </w:tcPr>
          <w:p w14:paraId="33A2CC98">
            <w:pPr>
              <w:widowControl/>
              <w:jc w:val="center"/>
              <w:rPr>
                <w:rFonts w:ascii="Times New Roman" w:eastAsia="仿宋"/>
                <w:szCs w:val="24"/>
              </w:rPr>
            </w:pPr>
          </w:p>
        </w:tc>
        <w:tc>
          <w:tcPr>
            <w:tcW w:w="244" w:type="pct"/>
            <w:vMerge w:val="continue"/>
            <w:vAlign w:val="center"/>
          </w:tcPr>
          <w:p w14:paraId="2E8EE58E">
            <w:pPr>
              <w:widowControl/>
              <w:jc w:val="center"/>
              <w:rPr>
                <w:rFonts w:ascii="Times New Roman" w:eastAsia="仿宋"/>
                <w:szCs w:val="24"/>
              </w:rPr>
            </w:pPr>
          </w:p>
        </w:tc>
        <w:tc>
          <w:tcPr>
            <w:tcW w:w="356" w:type="pct"/>
            <w:vMerge w:val="continue"/>
            <w:vAlign w:val="center"/>
          </w:tcPr>
          <w:p w14:paraId="5BD054F9">
            <w:pPr>
              <w:widowControl/>
              <w:jc w:val="center"/>
              <w:rPr>
                <w:rFonts w:ascii="Times New Roman" w:eastAsia="仿宋"/>
                <w:szCs w:val="24"/>
              </w:rPr>
            </w:pPr>
          </w:p>
        </w:tc>
        <w:tc>
          <w:tcPr>
            <w:tcW w:w="364" w:type="pct"/>
            <w:vAlign w:val="center"/>
          </w:tcPr>
          <w:p w14:paraId="67688690">
            <w:pPr>
              <w:widowControl/>
              <w:jc w:val="center"/>
              <w:rPr>
                <w:rFonts w:ascii="Times New Roman" w:eastAsia="仿宋"/>
                <w:szCs w:val="24"/>
              </w:rPr>
            </w:pPr>
            <w:r>
              <w:rPr>
                <w:rFonts w:ascii="Times New Roman" w:eastAsia="仿宋"/>
                <w:szCs w:val="24"/>
              </w:rPr>
              <w:t>排放浓度</w:t>
            </w:r>
          </w:p>
        </w:tc>
        <w:tc>
          <w:tcPr>
            <w:tcW w:w="364" w:type="pct"/>
            <w:vAlign w:val="center"/>
          </w:tcPr>
          <w:p w14:paraId="4234D039">
            <w:pPr>
              <w:widowControl/>
              <w:jc w:val="center"/>
              <w:rPr>
                <w:rFonts w:ascii="Times New Roman" w:eastAsia="仿宋"/>
                <w:szCs w:val="24"/>
              </w:rPr>
            </w:pPr>
            <w:r>
              <w:rPr>
                <w:rFonts w:hint="eastAsia" w:ascii="Times New Roman" w:eastAsia="仿宋"/>
                <w:szCs w:val="24"/>
              </w:rPr>
              <w:t>基准浓度*</w:t>
            </w:r>
          </w:p>
        </w:tc>
        <w:tc>
          <w:tcPr>
            <w:tcW w:w="288" w:type="pct"/>
            <w:vAlign w:val="center"/>
          </w:tcPr>
          <w:p w14:paraId="18A1D865">
            <w:pPr>
              <w:widowControl/>
              <w:jc w:val="center"/>
              <w:rPr>
                <w:rFonts w:ascii="Times New Roman" w:eastAsia="仿宋"/>
                <w:szCs w:val="24"/>
              </w:rPr>
            </w:pPr>
            <w:r>
              <w:rPr>
                <w:rFonts w:hint="eastAsia" w:ascii="Times New Roman" w:eastAsia="仿宋"/>
                <w:szCs w:val="24"/>
              </w:rPr>
              <w:t>排放</w:t>
            </w:r>
            <w:r>
              <w:rPr>
                <w:rFonts w:ascii="Times New Roman" w:eastAsia="仿宋"/>
                <w:szCs w:val="24"/>
              </w:rPr>
              <w:t>速率</w:t>
            </w:r>
          </w:p>
        </w:tc>
        <w:tc>
          <w:tcPr>
            <w:tcW w:w="270" w:type="pct"/>
            <w:vAlign w:val="center"/>
          </w:tcPr>
          <w:p w14:paraId="222BA594">
            <w:pPr>
              <w:widowControl/>
              <w:jc w:val="center"/>
              <w:rPr>
                <w:rFonts w:ascii="Times New Roman" w:eastAsia="仿宋"/>
                <w:szCs w:val="24"/>
              </w:rPr>
            </w:pPr>
            <w:r>
              <w:rPr>
                <w:rFonts w:ascii="Times New Roman" w:eastAsia="仿宋"/>
                <w:szCs w:val="24"/>
              </w:rPr>
              <w:t>排放量</w:t>
            </w:r>
          </w:p>
        </w:tc>
        <w:tc>
          <w:tcPr>
            <w:tcW w:w="364" w:type="pct"/>
            <w:vAlign w:val="center"/>
          </w:tcPr>
          <w:p w14:paraId="36DD5C92">
            <w:pPr>
              <w:widowControl/>
              <w:jc w:val="center"/>
              <w:rPr>
                <w:rFonts w:ascii="Times New Roman" w:eastAsia="仿宋"/>
                <w:szCs w:val="24"/>
              </w:rPr>
            </w:pPr>
            <w:r>
              <w:rPr>
                <w:rFonts w:ascii="Times New Roman" w:eastAsia="仿宋"/>
                <w:szCs w:val="24"/>
              </w:rPr>
              <w:t>浓度</w:t>
            </w:r>
          </w:p>
        </w:tc>
        <w:tc>
          <w:tcPr>
            <w:tcW w:w="288" w:type="pct"/>
            <w:vAlign w:val="center"/>
          </w:tcPr>
          <w:p w14:paraId="0B514D0C">
            <w:pPr>
              <w:widowControl/>
              <w:jc w:val="center"/>
              <w:rPr>
                <w:rFonts w:ascii="Times New Roman" w:eastAsia="仿宋"/>
                <w:szCs w:val="24"/>
              </w:rPr>
            </w:pPr>
            <w:r>
              <w:rPr>
                <w:rFonts w:ascii="Times New Roman" w:eastAsia="仿宋"/>
                <w:szCs w:val="24"/>
              </w:rPr>
              <w:t>速率</w:t>
            </w:r>
          </w:p>
        </w:tc>
      </w:tr>
      <w:tr w14:paraId="3290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8B35C0D">
            <w:pPr>
              <w:widowControl/>
              <w:jc w:val="center"/>
              <w:rPr>
                <w:rFonts w:ascii="Times New Roman" w:eastAsia="仿宋"/>
                <w:szCs w:val="24"/>
              </w:rPr>
            </w:pPr>
          </w:p>
        </w:tc>
        <w:tc>
          <w:tcPr>
            <w:tcW w:w="391" w:type="pct"/>
            <w:vMerge w:val="continue"/>
            <w:vAlign w:val="center"/>
          </w:tcPr>
          <w:p w14:paraId="51E52384">
            <w:pPr>
              <w:widowControl/>
              <w:jc w:val="center"/>
              <w:rPr>
                <w:rFonts w:ascii="Times New Roman" w:eastAsia="仿宋"/>
                <w:szCs w:val="24"/>
              </w:rPr>
            </w:pPr>
          </w:p>
        </w:tc>
        <w:tc>
          <w:tcPr>
            <w:tcW w:w="305" w:type="pct"/>
            <w:vMerge w:val="continue"/>
            <w:vAlign w:val="center"/>
          </w:tcPr>
          <w:p w14:paraId="692D51BF">
            <w:pPr>
              <w:widowControl/>
              <w:jc w:val="center"/>
              <w:rPr>
                <w:rFonts w:ascii="Times New Roman" w:eastAsia="仿宋"/>
                <w:szCs w:val="24"/>
              </w:rPr>
            </w:pPr>
          </w:p>
        </w:tc>
        <w:tc>
          <w:tcPr>
            <w:tcW w:w="355" w:type="pct"/>
            <w:vMerge w:val="continue"/>
            <w:vAlign w:val="center"/>
          </w:tcPr>
          <w:p w14:paraId="4FD17AB4">
            <w:pPr>
              <w:widowControl/>
              <w:jc w:val="center"/>
              <w:rPr>
                <w:rFonts w:ascii="Times New Roman" w:eastAsia="仿宋"/>
                <w:szCs w:val="24"/>
              </w:rPr>
            </w:pPr>
          </w:p>
        </w:tc>
        <w:tc>
          <w:tcPr>
            <w:tcW w:w="309" w:type="pct"/>
            <w:vAlign w:val="center"/>
          </w:tcPr>
          <w:p w14:paraId="2580A1F5">
            <w:pPr>
              <w:widowControl/>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291" w:type="pct"/>
            <w:vAlign w:val="center"/>
          </w:tcPr>
          <w:p w14:paraId="39BD90A9">
            <w:pPr>
              <w:widowControl/>
              <w:jc w:val="center"/>
              <w:rPr>
                <w:rFonts w:ascii="Times New Roman" w:eastAsia="仿宋"/>
                <w:szCs w:val="24"/>
              </w:rPr>
            </w:pPr>
            <w:r>
              <w:rPr>
                <w:rFonts w:ascii="Times New Roman" w:eastAsia="仿宋"/>
                <w:szCs w:val="24"/>
              </w:rPr>
              <w:t>(kg/h)</w:t>
            </w:r>
          </w:p>
        </w:tc>
        <w:tc>
          <w:tcPr>
            <w:tcW w:w="295" w:type="pct"/>
            <w:vAlign w:val="center"/>
          </w:tcPr>
          <w:p w14:paraId="0E086503">
            <w:pPr>
              <w:widowControl/>
              <w:jc w:val="center"/>
              <w:rPr>
                <w:rFonts w:ascii="Times New Roman" w:eastAsia="仿宋"/>
                <w:szCs w:val="24"/>
              </w:rPr>
            </w:pPr>
            <w:r>
              <w:rPr>
                <w:rFonts w:ascii="Times New Roman" w:eastAsia="仿宋"/>
                <w:szCs w:val="24"/>
              </w:rPr>
              <w:t>(t/a)</w:t>
            </w:r>
          </w:p>
        </w:tc>
        <w:tc>
          <w:tcPr>
            <w:tcW w:w="346" w:type="pct"/>
            <w:vMerge w:val="continue"/>
            <w:vAlign w:val="center"/>
          </w:tcPr>
          <w:p w14:paraId="44F24A76">
            <w:pPr>
              <w:widowControl/>
              <w:jc w:val="center"/>
              <w:rPr>
                <w:rFonts w:ascii="Times New Roman" w:eastAsia="仿宋"/>
                <w:szCs w:val="24"/>
              </w:rPr>
            </w:pPr>
          </w:p>
        </w:tc>
        <w:tc>
          <w:tcPr>
            <w:tcW w:w="244" w:type="pct"/>
            <w:vMerge w:val="continue"/>
            <w:vAlign w:val="center"/>
          </w:tcPr>
          <w:p w14:paraId="72921FBC">
            <w:pPr>
              <w:widowControl/>
              <w:jc w:val="center"/>
              <w:rPr>
                <w:rFonts w:ascii="Times New Roman" w:eastAsia="仿宋"/>
                <w:szCs w:val="24"/>
              </w:rPr>
            </w:pPr>
          </w:p>
        </w:tc>
        <w:tc>
          <w:tcPr>
            <w:tcW w:w="356" w:type="pct"/>
            <w:vMerge w:val="continue"/>
            <w:vAlign w:val="center"/>
          </w:tcPr>
          <w:p w14:paraId="56874D50">
            <w:pPr>
              <w:widowControl/>
              <w:jc w:val="center"/>
              <w:rPr>
                <w:rFonts w:ascii="Times New Roman" w:eastAsia="仿宋"/>
                <w:szCs w:val="24"/>
              </w:rPr>
            </w:pPr>
          </w:p>
        </w:tc>
        <w:tc>
          <w:tcPr>
            <w:tcW w:w="364" w:type="pct"/>
            <w:vAlign w:val="center"/>
          </w:tcPr>
          <w:p w14:paraId="5ECC5010">
            <w:pPr>
              <w:widowControl/>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364" w:type="pct"/>
            <w:vAlign w:val="center"/>
          </w:tcPr>
          <w:p w14:paraId="43E430A6">
            <w:pPr>
              <w:widowControl/>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288" w:type="pct"/>
            <w:vAlign w:val="center"/>
          </w:tcPr>
          <w:p w14:paraId="2649040E">
            <w:pPr>
              <w:widowControl/>
              <w:jc w:val="center"/>
              <w:rPr>
                <w:rFonts w:ascii="Times New Roman" w:eastAsia="仿宋"/>
                <w:szCs w:val="24"/>
              </w:rPr>
            </w:pPr>
            <w:r>
              <w:rPr>
                <w:rFonts w:ascii="Times New Roman" w:eastAsia="仿宋"/>
                <w:szCs w:val="24"/>
              </w:rPr>
              <w:t>(kg/h)</w:t>
            </w:r>
          </w:p>
        </w:tc>
        <w:tc>
          <w:tcPr>
            <w:tcW w:w="270" w:type="pct"/>
            <w:vAlign w:val="center"/>
          </w:tcPr>
          <w:p w14:paraId="79B1C995">
            <w:pPr>
              <w:widowControl/>
              <w:jc w:val="center"/>
              <w:rPr>
                <w:rFonts w:ascii="Times New Roman" w:eastAsia="仿宋"/>
                <w:szCs w:val="24"/>
              </w:rPr>
            </w:pPr>
            <w:r>
              <w:rPr>
                <w:rFonts w:ascii="Times New Roman" w:eastAsia="仿宋"/>
                <w:szCs w:val="24"/>
              </w:rPr>
              <w:t>(t/a)</w:t>
            </w:r>
          </w:p>
        </w:tc>
        <w:tc>
          <w:tcPr>
            <w:tcW w:w="364" w:type="pct"/>
            <w:vAlign w:val="center"/>
          </w:tcPr>
          <w:p w14:paraId="2CC89D43">
            <w:pPr>
              <w:widowControl/>
              <w:jc w:val="center"/>
              <w:rPr>
                <w:rFonts w:ascii="Times New Roman" w:eastAsia="仿宋"/>
                <w:szCs w:val="24"/>
              </w:rPr>
            </w:pPr>
            <w:r>
              <w:rPr>
                <w:rFonts w:ascii="Times New Roman" w:eastAsia="仿宋"/>
                <w:szCs w:val="24"/>
              </w:rPr>
              <w:t>(mg/m</w:t>
            </w:r>
            <w:r>
              <w:rPr>
                <w:rFonts w:ascii="Times New Roman" w:eastAsia="仿宋"/>
                <w:szCs w:val="24"/>
                <w:vertAlign w:val="superscript"/>
              </w:rPr>
              <w:t>3</w:t>
            </w:r>
            <w:r>
              <w:rPr>
                <w:rFonts w:ascii="Times New Roman" w:eastAsia="仿宋"/>
                <w:szCs w:val="24"/>
              </w:rPr>
              <w:t>)</w:t>
            </w:r>
          </w:p>
        </w:tc>
        <w:tc>
          <w:tcPr>
            <w:tcW w:w="288" w:type="pct"/>
            <w:vAlign w:val="center"/>
          </w:tcPr>
          <w:p w14:paraId="0E973843">
            <w:pPr>
              <w:widowControl/>
              <w:jc w:val="center"/>
              <w:rPr>
                <w:rFonts w:ascii="Times New Roman" w:eastAsia="仿宋"/>
                <w:szCs w:val="24"/>
              </w:rPr>
            </w:pPr>
            <w:r>
              <w:rPr>
                <w:rFonts w:ascii="Times New Roman" w:eastAsia="仿宋"/>
                <w:szCs w:val="24"/>
              </w:rPr>
              <w:t>(kg/h)</w:t>
            </w:r>
          </w:p>
        </w:tc>
      </w:tr>
      <w:tr w14:paraId="126C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63" w:type="pct"/>
            <w:vAlign w:val="center"/>
          </w:tcPr>
          <w:p w14:paraId="08B794DE">
            <w:pPr>
              <w:widowControl/>
              <w:jc w:val="center"/>
              <w:rPr>
                <w:rFonts w:ascii="Times New Roman" w:eastAsia="仿宋"/>
                <w:szCs w:val="24"/>
              </w:rPr>
            </w:pPr>
            <w:r>
              <w:rPr>
                <w:rFonts w:hint="eastAsia" w:ascii="Times New Roman" w:eastAsia="仿宋"/>
                <w:szCs w:val="24"/>
              </w:rPr>
              <w:t>1#</w:t>
            </w:r>
          </w:p>
        </w:tc>
        <w:tc>
          <w:tcPr>
            <w:tcW w:w="391" w:type="pct"/>
            <w:vAlign w:val="center"/>
          </w:tcPr>
          <w:p w14:paraId="19A89C24">
            <w:pPr>
              <w:adjustRightInd w:val="0"/>
              <w:snapToGrid w:val="0"/>
              <w:jc w:val="center"/>
              <w:rPr>
                <w:rFonts w:ascii="Times New Roman" w:eastAsia="仿宋"/>
                <w:szCs w:val="24"/>
              </w:rPr>
            </w:pPr>
            <w:r>
              <w:rPr>
                <w:rFonts w:hint="eastAsia" w:ascii="Times New Roman" w:eastAsia="仿宋"/>
                <w:szCs w:val="24"/>
              </w:rPr>
              <w:t>抛光粉尘G</w:t>
            </w:r>
            <w:r>
              <w:rPr>
                <w:rFonts w:ascii="Times New Roman" w:eastAsia="仿宋"/>
                <w:szCs w:val="24"/>
              </w:rPr>
              <w:t>2</w:t>
            </w:r>
          </w:p>
        </w:tc>
        <w:tc>
          <w:tcPr>
            <w:tcW w:w="305" w:type="pct"/>
            <w:vAlign w:val="center"/>
          </w:tcPr>
          <w:p w14:paraId="1422048C">
            <w:pPr>
              <w:widowControl/>
              <w:jc w:val="center"/>
              <w:rPr>
                <w:rFonts w:ascii="Times New Roman" w:eastAsia="仿宋"/>
                <w:szCs w:val="24"/>
              </w:rPr>
            </w:pPr>
            <w:r>
              <w:rPr>
                <w:rFonts w:ascii="Times New Roman" w:eastAsia="仿宋"/>
                <w:szCs w:val="24"/>
              </w:rPr>
              <w:t>2</w:t>
            </w:r>
            <w:r>
              <w:rPr>
                <w:rFonts w:hint="eastAsia" w:ascii="Times New Roman" w:eastAsia="仿宋"/>
                <w:szCs w:val="24"/>
              </w:rPr>
              <w:t>000</w:t>
            </w:r>
            <w:r>
              <w:rPr>
                <w:rFonts w:ascii="Times New Roman" w:eastAsia="仿宋"/>
                <w:szCs w:val="24"/>
              </w:rPr>
              <w:t>0</w:t>
            </w:r>
          </w:p>
        </w:tc>
        <w:tc>
          <w:tcPr>
            <w:tcW w:w="355" w:type="pct"/>
            <w:shd w:val="clear" w:color="auto" w:fill="auto"/>
            <w:vAlign w:val="center"/>
          </w:tcPr>
          <w:p w14:paraId="527C9FC8">
            <w:pPr>
              <w:widowControl/>
              <w:jc w:val="center"/>
              <w:rPr>
                <w:rFonts w:ascii="Times New Roman" w:eastAsia="仿宋"/>
                <w:szCs w:val="24"/>
              </w:rPr>
            </w:pPr>
            <w:r>
              <w:rPr>
                <w:rFonts w:hint="eastAsia" w:ascii="Times New Roman" w:eastAsia="仿宋"/>
                <w:szCs w:val="24"/>
              </w:rPr>
              <w:t>颗粒物</w:t>
            </w:r>
          </w:p>
        </w:tc>
        <w:tc>
          <w:tcPr>
            <w:tcW w:w="876" w:type="dxa"/>
            <w:vAlign w:val="center"/>
          </w:tcPr>
          <w:p w14:paraId="4F795B54">
            <w:pPr>
              <w:widowControl/>
              <w:jc w:val="center"/>
              <w:textAlignment w:val="center"/>
              <w:rPr>
                <w:rFonts w:ascii="Times New Roman" w:eastAsia="仿宋"/>
                <w:szCs w:val="24"/>
              </w:rPr>
            </w:pPr>
            <w:r>
              <w:rPr>
                <w:rFonts w:hint="eastAsia" w:ascii="Times New Roman" w:eastAsia="仿宋"/>
                <w:szCs w:val="24"/>
              </w:rPr>
              <w:t>5</w:t>
            </w:r>
          </w:p>
        </w:tc>
        <w:tc>
          <w:tcPr>
            <w:tcW w:w="825" w:type="dxa"/>
            <w:vAlign w:val="center"/>
          </w:tcPr>
          <w:p w14:paraId="5C76FD99">
            <w:pPr>
              <w:widowControl/>
              <w:jc w:val="center"/>
              <w:textAlignment w:val="center"/>
              <w:rPr>
                <w:rFonts w:ascii="Times New Roman" w:eastAsia="仿宋"/>
                <w:szCs w:val="24"/>
              </w:rPr>
            </w:pPr>
            <w:r>
              <w:rPr>
                <w:rFonts w:ascii="Times New Roman" w:eastAsia="仿宋"/>
                <w:szCs w:val="24"/>
              </w:rPr>
              <w:t>0.</w:t>
            </w:r>
            <w:r>
              <w:rPr>
                <w:rFonts w:hint="eastAsia" w:ascii="Times New Roman" w:eastAsia="仿宋"/>
                <w:szCs w:val="24"/>
              </w:rPr>
              <w:t>1</w:t>
            </w:r>
          </w:p>
        </w:tc>
        <w:tc>
          <w:tcPr>
            <w:tcW w:w="839" w:type="dxa"/>
            <w:vAlign w:val="center"/>
          </w:tcPr>
          <w:p w14:paraId="36279F00">
            <w:pPr>
              <w:widowControl/>
              <w:jc w:val="center"/>
              <w:textAlignment w:val="center"/>
              <w:rPr>
                <w:rFonts w:ascii="Times New Roman" w:eastAsia="仿宋"/>
                <w:szCs w:val="24"/>
              </w:rPr>
            </w:pPr>
            <w:r>
              <w:rPr>
                <w:rFonts w:hint="eastAsia" w:ascii="Times New Roman" w:eastAsia="仿宋"/>
                <w:szCs w:val="24"/>
              </w:rPr>
              <w:t>0.49</w:t>
            </w:r>
          </w:p>
        </w:tc>
        <w:tc>
          <w:tcPr>
            <w:tcW w:w="346" w:type="pct"/>
            <w:vAlign w:val="center"/>
          </w:tcPr>
          <w:p w14:paraId="22C1A760">
            <w:pPr>
              <w:adjustRightInd w:val="0"/>
              <w:snapToGrid w:val="0"/>
              <w:jc w:val="center"/>
              <w:rPr>
                <w:rFonts w:ascii="Times New Roman" w:eastAsia="仿宋"/>
                <w:szCs w:val="24"/>
              </w:rPr>
            </w:pPr>
            <w:r>
              <w:rPr>
                <w:rFonts w:hint="eastAsia" w:ascii="Times New Roman" w:eastAsia="仿宋"/>
                <w:szCs w:val="24"/>
              </w:rPr>
              <w:t>湿式除尘</w:t>
            </w:r>
          </w:p>
        </w:tc>
        <w:tc>
          <w:tcPr>
            <w:tcW w:w="244" w:type="pct"/>
            <w:noWrap/>
            <w:vAlign w:val="center"/>
          </w:tcPr>
          <w:p w14:paraId="71E10D5F">
            <w:pPr>
              <w:widowControl/>
              <w:jc w:val="center"/>
              <w:rPr>
                <w:rFonts w:ascii="Times New Roman" w:eastAsia="仿宋"/>
                <w:szCs w:val="24"/>
              </w:rPr>
            </w:pPr>
            <w:r>
              <w:rPr>
                <w:rFonts w:ascii="Times New Roman" w:eastAsia="仿宋"/>
                <w:szCs w:val="24"/>
              </w:rPr>
              <w:t>80</w:t>
            </w:r>
          </w:p>
        </w:tc>
        <w:tc>
          <w:tcPr>
            <w:tcW w:w="356" w:type="pct"/>
            <w:vAlign w:val="center"/>
          </w:tcPr>
          <w:p w14:paraId="740E80A9">
            <w:pPr>
              <w:widowControl/>
              <w:jc w:val="center"/>
              <w:rPr>
                <w:rFonts w:ascii="Times New Roman" w:eastAsia="仿宋"/>
                <w:szCs w:val="24"/>
              </w:rPr>
            </w:pPr>
            <w:r>
              <w:rPr>
                <w:rFonts w:hint="eastAsia" w:ascii="Times New Roman" w:eastAsia="仿宋"/>
                <w:szCs w:val="24"/>
              </w:rPr>
              <w:t>颗粒物</w:t>
            </w:r>
          </w:p>
        </w:tc>
        <w:tc>
          <w:tcPr>
            <w:tcW w:w="728" w:type="pct"/>
            <w:gridSpan w:val="2"/>
            <w:vAlign w:val="center"/>
          </w:tcPr>
          <w:p w14:paraId="55340962">
            <w:pPr>
              <w:widowControl/>
              <w:jc w:val="center"/>
              <w:rPr>
                <w:rFonts w:ascii="Times New Roman" w:eastAsia="仿宋"/>
                <w:szCs w:val="24"/>
              </w:rPr>
            </w:pPr>
            <w:r>
              <w:rPr>
                <w:rFonts w:hint="eastAsia" w:ascii="Times New Roman" w:eastAsia="仿宋"/>
                <w:szCs w:val="24"/>
              </w:rPr>
              <w:t>1</w:t>
            </w:r>
          </w:p>
        </w:tc>
        <w:tc>
          <w:tcPr>
            <w:tcW w:w="288" w:type="pct"/>
            <w:vAlign w:val="center"/>
          </w:tcPr>
          <w:p w14:paraId="04C77AC5">
            <w:pPr>
              <w:widowControl/>
              <w:jc w:val="center"/>
              <w:rPr>
                <w:rFonts w:ascii="Times New Roman" w:eastAsia="仿宋"/>
                <w:szCs w:val="24"/>
              </w:rPr>
            </w:pPr>
            <w:r>
              <w:rPr>
                <w:rFonts w:hint="eastAsia" w:ascii="Times New Roman" w:eastAsia="仿宋"/>
                <w:szCs w:val="24"/>
              </w:rPr>
              <w:t>0.02</w:t>
            </w:r>
          </w:p>
        </w:tc>
        <w:tc>
          <w:tcPr>
            <w:tcW w:w="270" w:type="pct"/>
            <w:vAlign w:val="center"/>
          </w:tcPr>
          <w:p w14:paraId="5801D3F5">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1</w:t>
            </w:r>
          </w:p>
        </w:tc>
        <w:tc>
          <w:tcPr>
            <w:tcW w:w="364" w:type="pct"/>
            <w:vAlign w:val="center"/>
          </w:tcPr>
          <w:p w14:paraId="71D8B22D">
            <w:pPr>
              <w:widowControl/>
              <w:jc w:val="center"/>
              <w:rPr>
                <w:rFonts w:ascii="Times New Roman" w:eastAsia="仿宋"/>
                <w:szCs w:val="24"/>
              </w:rPr>
            </w:pPr>
            <w:r>
              <w:rPr>
                <w:rFonts w:hint="eastAsia" w:ascii="Times New Roman" w:eastAsia="仿宋"/>
                <w:szCs w:val="24"/>
              </w:rPr>
              <w:t>20</w:t>
            </w:r>
          </w:p>
        </w:tc>
        <w:tc>
          <w:tcPr>
            <w:tcW w:w="288" w:type="pct"/>
            <w:vAlign w:val="center"/>
          </w:tcPr>
          <w:p w14:paraId="1AD2856C">
            <w:pPr>
              <w:widowControl/>
              <w:jc w:val="center"/>
              <w:rPr>
                <w:rFonts w:ascii="Times New Roman" w:eastAsia="仿宋"/>
                <w:szCs w:val="24"/>
              </w:rPr>
            </w:pPr>
            <w:r>
              <w:rPr>
                <w:rFonts w:hint="eastAsia" w:ascii="Times New Roman" w:eastAsia="仿宋"/>
                <w:szCs w:val="24"/>
              </w:rPr>
              <w:t>1</w:t>
            </w:r>
          </w:p>
        </w:tc>
      </w:tr>
      <w:bookmarkEnd w:id="230"/>
      <w:tr w14:paraId="7109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Merge w:val="restart"/>
            <w:vAlign w:val="center"/>
          </w:tcPr>
          <w:p w14:paraId="0AC440A4">
            <w:pPr>
              <w:widowControl/>
              <w:jc w:val="center"/>
              <w:rPr>
                <w:rFonts w:ascii="Times New Roman" w:eastAsia="仿宋"/>
                <w:szCs w:val="24"/>
              </w:rPr>
            </w:pPr>
            <w:r>
              <w:rPr>
                <w:rFonts w:hint="eastAsia" w:ascii="Times New Roman" w:eastAsia="仿宋"/>
                <w:szCs w:val="24"/>
              </w:rPr>
              <w:t>2#</w:t>
            </w:r>
          </w:p>
        </w:tc>
        <w:tc>
          <w:tcPr>
            <w:tcW w:w="391" w:type="pct"/>
            <w:vMerge w:val="restart"/>
            <w:vAlign w:val="center"/>
          </w:tcPr>
          <w:p w14:paraId="3D174FA5">
            <w:pPr>
              <w:adjustRightInd w:val="0"/>
              <w:snapToGrid w:val="0"/>
              <w:jc w:val="center"/>
              <w:rPr>
                <w:rFonts w:ascii="Times New Roman" w:eastAsia="仿宋"/>
                <w:szCs w:val="24"/>
              </w:rPr>
            </w:pPr>
            <w:r>
              <w:rPr>
                <w:rFonts w:hint="eastAsia" w:ascii="Times New Roman" w:eastAsia="仿宋"/>
                <w:szCs w:val="24"/>
              </w:rPr>
              <w:t>钝化废气G4</w:t>
            </w:r>
          </w:p>
        </w:tc>
        <w:tc>
          <w:tcPr>
            <w:tcW w:w="305" w:type="pct"/>
            <w:vMerge w:val="restart"/>
            <w:shd w:val="clear" w:color="auto" w:fill="auto"/>
            <w:vAlign w:val="center"/>
          </w:tcPr>
          <w:p w14:paraId="4794E69A">
            <w:pPr>
              <w:adjustRightInd w:val="0"/>
              <w:snapToGrid w:val="0"/>
              <w:jc w:val="center"/>
              <w:rPr>
                <w:rFonts w:ascii="Times New Roman" w:eastAsia="仿宋"/>
                <w:szCs w:val="24"/>
              </w:rPr>
            </w:pPr>
            <w:r>
              <w:rPr>
                <w:rFonts w:hint="eastAsia" w:ascii="Times New Roman" w:eastAsia="仿宋"/>
                <w:szCs w:val="24"/>
              </w:rPr>
              <w:t>26000</w:t>
            </w:r>
          </w:p>
        </w:tc>
        <w:tc>
          <w:tcPr>
            <w:tcW w:w="355" w:type="pct"/>
            <w:shd w:val="clear" w:color="auto" w:fill="auto"/>
            <w:vAlign w:val="center"/>
          </w:tcPr>
          <w:p w14:paraId="6FAAFBB6">
            <w:pPr>
              <w:adjustRightInd w:val="0"/>
              <w:snapToGrid w:val="0"/>
              <w:jc w:val="center"/>
              <w:rPr>
                <w:rFonts w:ascii="Times New Roman" w:eastAsia="仿宋"/>
                <w:szCs w:val="24"/>
              </w:rPr>
            </w:pPr>
            <w:r>
              <w:rPr>
                <w:rFonts w:hint="eastAsia" w:ascii="Times New Roman" w:eastAsia="仿宋"/>
                <w:szCs w:val="21"/>
              </w:rPr>
              <w:t>非甲烷总烃</w:t>
            </w:r>
          </w:p>
        </w:tc>
        <w:tc>
          <w:tcPr>
            <w:tcW w:w="309" w:type="pct"/>
            <w:vAlign w:val="center"/>
          </w:tcPr>
          <w:p w14:paraId="07E3E2B5">
            <w:pPr>
              <w:widowControl/>
              <w:jc w:val="center"/>
              <w:textAlignment w:val="center"/>
              <w:rPr>
                <w:rFonts w:ascii="Times New Roman" w:eastAsia="仿宋"/>
                <w:szCs w:val="24"/>
              </w:rPr>
            </w:pPr>
            <w:r>
              <w:rPr>
                <w:rFonts w:hint="eastAsia" w:ascii="Times New Roman" w:eastAsia="仿宋"/>
                <w:szCs w:val="24"/>
              </w:rPr>
              <w:t>63.07</w:t>
            </w:r>
          </w:p>
        </w:tc>
        <w:tc>
          <w:tcPr>
            <w:tcW w:w="291" w:type="pct"/>
            <w:vAlign w:val="center"/>
          </w:tcPr>
          <w:p w14:paraId="6C4C6F5E">
            <w:pPr>
              <w:widowControl/>
              <w:jc w:val="center"/>
              <w:textAlignment w:val="center"/>
              <w:rPr>
                <w:rFonts w:ascii="Times New Roman" w:eastAsia="仿宋"/>
                <w:szCs w:val="24"/>
              </w:rPr>
            </w:pPr>
            <w:r>
              <w:rPr>
                <w:rFonts w:hint="eastAsia" w:ascii="Times New Roman" w:eastAsia="仿宋"/>
                <w:szCs w:val="24"/>
              </w:rPr>
              <w:t>1.64</w:t>
            </w:r>
          </w:p>
        </w:tc>
        <w:tc>
          <w:tcPr>
            <w:tcW w:w="295" w:type="pct"/>
            <w:vAlign w:val="center"/>
          </w:tcPr>
          <w:p w14:paraId="21287DED">
            <w:pPr>
              <w:widowControl/>
              <w:jc w:val="center"/>
              <w:textAlignment w:val="center"/>
              <w:rPr>
                <w:rFonts w:ascii="Times New Roman" w:eastAsia="仿宋"/>
                <w:szCs w:val="24"/>
              </w:rPr>
            </w:pPr>
            <w:r>
              <w:rPr>
                <w:rFonts w:hint="eastAsia" w:ascii="Times New Roman" w:eastAsia="仿宋"/>
                <w:szCs w:val="24"/>
              </w:rPr>
              <w:t>7.88</w:t>
            </w:r>
          </w:p>
        </w:tc>
        <w:tc>
          <w:tcPr>
            <w:tcW w:w="346" w:type="pct"/>
            <w:vMerge w:val="restart"/>
            <w:vAlign w:val="center"/>
          </w:tcPr>
          <w:p w14:paraId="3BE62D47">
            <w:pPr>
              <w:widowControl/>
              <w:jc w:val="center"/>
              <w:rPr>
                <w:rFonts w:ascii="Times New Roman" w:eastAsia="仿宋"/>
                <w:szCs w:val="24"/>
              </w:rPr>
            </w:pPr>
            <w:r>
              <w:rPr>
                <w:rFonts w:hint="eastAsia" w:ascii="Times New Roman" w:eastAsia="仿宋"/>
                <w:szCs w:val="21"/>
              </w:rPr>
              <w:t>1号水帘式循环过滤系统+水喷淋+干式过滤器+三级活性炭吸附脱附+催化燃烧</w:t>
            </w:r>
          </w:p>
        </w:tc>
        <w:tc>
          <w:tcPr>
            <w:tcW w:w="244" w:type="pct"/>
            <w:vMerge w:val="restart"/>
            <w:vAlign w:val="center"/>
          </w:tcPr>
          <w:p w14:paraId="3978A470">
            <w:pPr>
              <w:widowControl/>
              <w:jc w:val="center"/>
              <w:rPr>
                <w:rFonts w:ascii="Times New Roman" w:eastAsia="仿宋"/>
                <w:szCs w:val="24"/>
              </w:rPr>
            </w:pPr>
            <w:r>
              <w:rPr>
                <w:rFonts w:hint="eastAsia" w:ascii="Times New Roman" w:eastAsia="仿宋"/>
                <w:szCs w:val="24"/>
              </w:rPr>
              <w:t>9</w:t>
            </w:r>
            <w:r>
              <w:rPr>
                <w:rFonts w:ascii="Times New Roman" w:eastAsia="仿宋"/>
                <w:szCs w:val="24"/>
              </w:rPr>
              <w:t>5</w:t>
            </w:r>
          </w:p>
        </w:tc>
        <w:tc>
          <w:tcPr>
            <w:tcW w:w="356" w:type="pct"/>
            <w:vAlign w:val="center"/>
          </w:tcPr>
          <w:p w14:paraId="729E0F26">
            <w:pPr>
              <w:jc w:val="center"/>
              <w:rPr>
                <w:rFonts w:ascii="Times New Roman" w:eastAsia="仿宋"/>
                <w:szCs w:val="21"/>
              </w:rPr>
            </w:pPr>
            <w:r>
              <w:rPr>
                <w:rFonts w:hint="eastAsia" w:ascii="Times New Roman" w:eastAsia="仿宋"/>
                <w:szCs w:val="21"/>
              </w:rPr>
              <w:t>非甲烷总烃</w:t>
            </w:r>
          </w:p>
        </w:tc>
        <w:tc>
          <w:tcPr>
            <w:tcW w:w="728" w:type="pct"/>
            <w:gridSpan w:val="2"/>
            <w:vAlign w:val="center"/>
          </w:tcPr>
          <w:p w14:paraId="09BCC8E7">
            <w:pPr>
              <w:widowControl/>
              <w:jc w:val="center"/>
              <w:rPr>
                <w:rFonts w:ascii="Times New Roman" w:eastAsia="仿宋"/>
                <w:szCs w:val="24"/>
              </w:rPr>
            </w:pPr>
            <w:r>
              <w:rPr>
                <w:rFonts w:hint="eastAsia" w:ascii="Times New Roman" w:eastAsia="仿宋"/>
                <w:szCs w:val="24"/>
              </w:rPr>
              <w:t>6</w:t>
            </w:r>
            <w:r>
              <w:rPr>
                <w:rFonts w:ascii="Times New Roman" w:eastAsia="仿宋"/>
                <w:szCs w:val="24"/>
              </w:rPr>
              <w:t>.92</w:t>
            </w:r>
          </w:p>
        </w:tc>
        <w:tc>
          <w:tcPr>
            <w:tcW w:w="288" w:type="pct"/>
            <w:vAlign w:val="center"/>
          </w:tcPr>
          <w:p w14:paraId="4E2D76A1">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270" w:type="pct"/>
            <w:vAlign w:val="center"/>
          </w:tcPr>
          <w:p w14:paraId="3316A67D">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8</w:t>
            </w:r>
            <w:r>
              <w:rPr>
                <w:rFonts w:ascii="Times New Roman" w:eastAsia="仿宋"/>
                <w:szCs w:val="24"/>
              </w:rPr>
              <w:t>5</w:t>
            </w:r>
          </w:p>
        </w:tc>
        <w:tc>
          <w:tcPr>
            <w:tcW w:w="364" w:type="pct"/>
            <w:vAlign w:val="center"/>
          </w:tcPr>
          <w:p w14:paraId="3BFA6899">
            <w:pPr>
              <w:widowControl/>
              <w:jc w:val="center"/>
              <w:rPr>
                <w:rFonts w:ascii="Times New Roman" w:eastAsia="仿宋"/>
                <w:szCs w:val="24"/>
              </w:rPr>
            </w:pPr>
            <w:r>
              <w:rPr>
                <w:rFonts w:ascii="Times New Roman" w:eastAsia="仿宋"/>
                <w:szCs w:val="21"/>
              </w:rPr>
              <w:t>40</w:t>
            </w:r>
          </w:p>
        </w:tc>
        <w:tc>
          <w:tcPr>
            <w:tcW w:w="288" w:type="pct"/>
            <w:vAlign w:val="center"/>
          </w:tcPr>
          <w:p w14:paraId="2F226B1B">
            <w:pPr>
              <w:widowControl/>
              <w:jc w:val="center"/>
              <w:rPr>
                <w:rFonts w:ascii="Times New Roman" w:eastAsia="仿宋"/>
                <w:szCs w:val="24"/>
              </w:rPr>
            </w:pPr>
            <w:r>
              <w:rPr>
                <w:rFonts w:ascii="Times New Roman" w:eastAsia="仿宋"/>
                <w:szCs w:val="21"/>
              </w:rPr>
              <w:t>1.8</w:t>
            </w:r>
          </w:p>
        </w:tc>
      </w:tr>
      <w:tr w14:paraId="7DE7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Merge w:val="continue"/>
            <w:vAlign w:val="center"/>
          </w:tcPr>
          <w:p w14:paraId="02D99481">
            <w:pPr>
              <w:widowControl/>
              <w:jc w:val="center"/>
              <w:rPr>
                <w:rFonts w:ascii="Times New Roman" w:eastAsia="仿宋"/>
                <w:szCs w:val="24"/>
              </w:rPr>
            </w:pPr>
          </w:p>
        </w:tc>
        <w:tc>
          <w:tcPr>
            <w:tcW w:w="391" w:type="pct"/>
            <w:vMerge w:val="continue"/>
            <w:vAlign w:val="center"/>
          </w:tcPr>
          <w:p w14:paraId="3B34B3D2">
            <w:pPr>
              <w:adjustRightInd w:val="0"/>
              <w:snapToGrid w:val="0"/>
              <w:jc w:val="center"/>
              <w:rPr>
                <w:rFonts w:ascii="Times New Roman" w:eastAsia="仿宋"/>
                <w:szCs w:val="24"/>
              </w:rPr>
            </w:pPr>
          </w:p>
        </w:tc>
        <w:tc>
          <w:tcPr>
            <w:tcW w:w="305" w:type="pct"/>
            <w:vMerge w:val="continue"/>
            <w:shd w:val="clear" w:color="auto" w:fill="auto"/>
            <w:vAlign w:val="center"/>
          </w:tcPr>
          <w:p w14:paraId="72C0E1B5">
            <w:pPr>
              <w:adjustRightInd w:val="0"/>
              <w:snapToGrid w:val="0"/>
              <w:jc w:val="center"/>
              <w:rPr>
                <w:rFonts w:ascii="Times New Roman" w:eastAsia="仿宋"/>
                <w:szCs w:val="24"/>
              </w:rPr>
            </w:pPr>
          </w:p>
        </w:tc>
        <w:tc>
          <w:tcPr>
            <w:tcW w:w="355" w:type="pct"/>
            <w:shd w:val="clear" w:color="auto" w:fill="auto"/>
            <w:vAlign w:val="center"/>
          </w:tcPr>
          <w:p w14:paraId="5186F4BD">
            <w:pPr>
              <w:adjustRightInd w:val="0"/>
              <w:snapToGrid w:val="0"/>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vAlign w:val="center"/>
          </w:tcPr>
          <w:p w14:paraId="0E45B1B1">
            <w:pPr>
              <w:widowControl/>
              <w:jc w:val="center"/>
              <w:textAlignment w:val="center"/>
              <w:rPr>
                <w:rFonts w:ascii="Times New Roman" w:eastAsia="仿宋"/>
                <w:szCs w:val="24"/>
              </w:rPr>
            </w:pPr>
            <w:r>
              <w:rPr>
                <w:rFonts w:hint="eastAsia" w:ascii="Times New Roman" w:eastAsia="仿宋"/>
                <w:szCs w:val="24"/>
              </w:rPr>
              <w:t>63.07</w:t>
            </w:r>
          </w:p>
        </w:tc>
        <w:tc>
          <w:tcPr>
            <w:tcW w:w="291" w:type="pct"/>
            <w:vAlign w:val="center"/>
          </w:tcPr>
          <w:p w14:paraId="0B4B636C">
            <w:pPr>
              <w:widowControl/>
              <w:jc w:val="center"/>
              <w:textAlignment w:val="center"/>
              <w:rPr>
                <w:rFonts w:ascii="Times New Roman" w:eastAsia="仿宋"/>
                <w:szCs w:val="24"/>
              </w:rPr>
            </w:pPr>
            <w:r>
              <w:rPr>
                <w:rFonts w:hint="eastAsia" w:ascii="Times New Roman" w:eastAsia="仿宋"/>
                <w:szCs w:val="24"/>
              </w:rPr>
              <w:t>1.64</w:t>
            </w:r>
          </w:p>
        </w:tc>
        <w:tc>
          <w:tcPr>
            <w:tcW w:w="295" w:type="pct"/>
            <w:vAlign w:val="center"/>
          </w:tcPr>
          <w:p w14:paraId="48D3F50D">
            <w:pPr>
              <w:widowControl/>
              <w:jc w:val="center"/>
              <w:textAlignment w:val="center"/>
              <w:rPr>
                <w:rFonts w:ascii="Times New Roman" w:eastAsia="仿宋"/>
                <w:szCs w:val="24"/>
              </w:rPr>
            </w:pPr>
            <w:r>
              <w:rPr>
                <w:rFonts w:hint="eastAsia" w:ascii="Times New Roman" w:eastAsia="仿宋"/>
                <w:szCs w:val="24"/>
              </w:rPr>
              <w:t>7.88</w:t>
            </w:r>
          </w:p>
        </w:tc>
        <w:tc>
          <w:tcPr>
            <w:tcW w:w="346" w:type="pct"/>
            <w:vMerge w:val="continue"/>
            <w:vAlign w:val="center"/>
          </w:tcPr>
          <w:p w14:paraId="3100FE9E">
            <w:pPr>
              <w:widowControl/>
              <w:jc w:val="center"/>
              <w:rPr>
                <w:rFonts w:ascii="Times New Roman" w:eastAsia="仿宋"/>
                <w:szCs w:val="21"/>
              </w:rPr>
            </w:pPr>
          </w:p>
        </w:tc>
        <w:tc>
          <w:tcPr>
            <w:tcW w:w="244" w:type="pct"/>
            <w:vMerge w:val="continue"/>
            <w:vAlign w:val="center"/>
          </w:tcPr>
          <w:p w14:paraId="1E3061A3">
            <w:pPr>
              <w:widowControl/>
              <w:jc w:val="center"/>
              <w:rPr>
                <w:rFonts w:ascii="Times New Roman" w:eastAsia="仿宋"/>
                <w:szCs w:val="24"/>
              </w:rPr>
            </w:pPr>
          </w:p>
        </w:tc>
        <w:tc>
          <w:tcPr>
            <w:tcW w:w="356" w:type="pct"/>
            <w:vAlign w:val="center"/>
          </w:tcPr>
          <w:p w14:paraId="23DE863A">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728" w:type="pct"/>
            <w:gridSpan w:val="2"/>
            <w:vAlign w:val="center"/>
          </w:tcPr>
          <w:p w14:paraId="046B6387">
            <w:pPr>
              <w:widowControl/>
              <w:jc w:val="center"/>
              <w:rPr>
                <w:rFonts w:ascii="Times New Roman" w:eastAsia="仿宋"/>
                <w:szCs w:val="24"/>
              </w:rPr>
            </w:pPr>
            <w:r>
              <w:rPr>
                <w:rFonts w:hint="eastAsia" w:ascii="Times New Roman" w:eastAsia="仿宋"/>
                <w:szCs w:val="24"/>
              </w:rPr>
              <w:t>6</w:t>
            </w:r>
            <w:r>
              <w:rPr>
                <w:rFonts w:ascii="Times New Roman" w:eastAsia="仿宋"/>
                <w:szCs w:val="24"/>
              </w:rPr>
              <w:t>.92</w:t>
            </w:r>
          </w:p>
        </w:tc>
        <w:tc>
          <w:tcPr>
            <w:tcW w:w="288" w:type="pct"/>
            <w:vAlign w:val="center"/>
          </w:tcPr>
          <w:p w14:paraId="5A8D9C74">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270" w:type="pct"/>
            <w:vAlign w:val="center"/>
          </w:tcPr>
          <w:p w14:paraId="4C44A95F">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8</w:t>
            </w:r>
            <w:r>
              <w:rPr>
                <w:rFonts w:ascii="Times New Roman" w:eastAsia="仿宋"/>
                <w:szCs w:val="24"/>
              </w:rPr>
              <w:t>5</w:t>
            </w:r>
          </w:p>
        </w:tc>
        <w:tc>
          <w:tcPr>
            <w:tcW w:w="364" w:type="pct"/>
            <w:vAlign w:val="center"/>
          </w:tcPr>
          <w:p w14:paraId="56D32272">
            <w:pPr>
              <w:widowControl/>
              <w:jc w:val="center"/>
              <w:rPr>
                <w:rFonts w:ascii="Times New Roman" w:eastAsia="仿宋"/>
                <w:szCs w:val="24"/>
              </w:rPr>
            </w:pPr>
            <w:r>
              <w:rPr>
                <w:rFonts w:hint="eastAsia" w:ascii="Times New Roman" w:eastAsia="仿宋"/>
                <w:szCs w:val="21"/>
              </w:rPr>
              <w:t>60</w:t>
            </w:r>
          </w:p>
        </w:tc>
        <w:tc>
          <w:tcPr>
            <w:tcW w:w="288" w:type="pct"/>
            <w:vAlign w:val="center"/>
          </w:tcPr>
          <w:p w14:paraId="0DC8099A">
            <w:pPr>
              <w:widowControl/>
              <w:jc w:val="center"/>
              <w:rPr>
                <w:rFonts w:ascii="Times New Roman" w:eastAsia="仿宋"/>
                <w:szCs w:val="24"/>
              </w:rPr>
            </w:pPr>
            <w:r>
              <w:rPr>
                <w:rFonts w:hint="eastAsia" w:ascii="Times New Roman" w:eastAsia="仿宋"/>
                <w:szCs w:val="21"/>
              </w:rPr>
              <w:t>2.0</w:t>
            </w:r>
          </w:p>
        </w:tc>
      </w:tr>
      <w:tr w14:paraId="69A7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1870A05">
            <w:pPr>
              <w:widowControl/>
              <w:jc w:val="center"/>
              <w:rPr>
                <w:rFonts w:ascii="Times New Roman" w:eastAsia="仿宋"/>
                <w:szCs w:val="24"/>
              </w:rPr>
            </w:pPr>
          </w:p>
        </w:tc>
        <w:tc>
          <w:tcPr>
            <w:tcW w:w="391" w:type="pct"/>
            <w:vMerge w:val="restart"/>
            <w:vAlign w:val="center"/>
          </w:tcPr>
          <w:p w14:paraId="02F7CF9C">
            <w:pPr>
              <w:adjustRightInd w:val="0"/>
              <w:snapToGrid w:val="0"/>
              <w:jc w:val="center"/>
              <w:rPr>
                <w:rFonts w:ascii="Times New Roman" w:eastAsia="仿宋"/>
                <w:szCs w:val="24"/>
              </w:rPr>
            </w:pPr>
            <w:r>
              <w:rPr>
                <w:rFonts w:hint="eastAsia" w:ascii="Times New Roman" w:eastAsia="仿宋"/>
                <w:szCs w:val="24"/>
              </w:rPr>
              <w:t>氟碳底漆喷漆废气G10</w:t>
            </w:r>
          </w:p>
        </w:tc>
        <w:tc>
          <w:tcPr>
            <w:tcW w:w="305" w:type="pct"/>
            <w:vMerge w:val="continue"/>
            <w:shd w:val="clear" w:color="auto" w:fill="auto"/>
            <w:vAlign w:val="center"/>
          </w:tcPr>
          <w:p w14:paraId="1D7496D1">
            <w:pPr>
              <w:jc w:val="center"/>
              <w:rPr>
                <w:rFonts w:ascii="Times New Roman" w:eastAsia="仿宋"/>
                <w:szCs w:val="21"/>
              </w:rPr>
            </w:pPr>
          </w:p>
        </w:tc>
        <w:tc>
          <w:tcPr>
            <w:tcW w:w="355" w:type="pct"/>
            <w:shd w:val="clear" w:color="auto" w:fill="auto"/>
            <w:vAlign w:val="center"/>
          </w:tcPr>
          <w:p w14:paraId="1A46B9C5">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24B7A035">
            <w:pPr>
              <w:widowControl/>
              <w:jc w:val="center"/>
              <w:textAlignment w:val="center"/>
              <w:rPr>
                <w:rFonts w:ascii="Times New Roman" w:eastAsia="仿宋"/>
                <w:szCs w:val="24"/>
              </w:rPr>
            </w:pPr>
            <w:r>
              <w:rPr>
                <w:rFonts w:hint="eastAsia" w:ascii="Times New Roman" w:eastAsia="仿宋"/>
                <w:szCs w:val="24"/>
              </w:rPr>
              <w:t>54.23</w:t>
            </w:r>
          </w:p>
        </w:tc>
        <w:tc>
          <w:tcPr>
            <w:tcW w:w="291" w:type="pct"/>
            <w:shd w:val="clear" w:color="auto" w:fill="auto"/>
            <w:vAlign w:val="center"/>
          </w:tcPr>
          <w:p w14:paraId="2FC1429F">
            <w:pPr>
              <w:widowControl/>
              <w:jc w:val="center"/>
              <w:textAlignment w:val="center"/>
              <w:rPr>
                <w:rFonts w:ascii="Times New Roman" w:eastAsia="仿宋"/>
                <w:szCs w:val="24"/>
              </w:rPr>
            </w:pPr>
            <w:r>
              <w:rPr>
                <w:rFonts w:hint="eastAsia" w:ascii="Times New Roman" w:eastAsia="仿宋"/>
                <w:szCs w:val="24"/>
              </w:rPr>
              <w:t>1.41</w:t>
            </w:r>
          </w:p>
        </w:tc>
        <w:tc>
          <w:tcPr>
            <w:tcW w:w="295" w:type="pct"/>
            <w:shd w:val="clear" w:color="auto" w:fill="auto"/>
            <w:vAlign w:val="center"/>
          </w:tcPr>
          <w:p w14:paraId="6155FAD9">
            <w:pPr>
              <w:widowControl/>
              <w:jc w:val="center"/>
              <w:textAlignment w:val="center"/>
              <w:rPr>
                <w:rFonts w:ascii="Times New Roman" w:eastAsia="仿宋"/>
                <w:szCs w:val="24"/>
              </w:rPr>
            </w:pPr>
            <w:r>
              <w:rPr>
                <w:rFonts w:hint="eastAsia" w:ascii="Times New Roman" w:eastAsia="仿宋"/>
                <w:szCs w:val="24"/>
              </w:rPr>
              <w:t>6.79</w:t>
            </w:r>
          </w:p>
        </w:tc>
        <w:tc>
          <w:tcPr>
            <w:tcW w:w="346" w:type="pct"/>
            <w:vMerge w:val="continue"/>
            <w:vAlign w:val="center"/>
          </w:tcPr>
          <w:p w14:paraId="7918F28F">
            <w:pPr>
              <w:widowControl/>
              <w:jc w:val="center"/>
              <w:rPr>
                <w:rFonts w:ascii="Times New Roman" w:eastAsia="仿宋"/>
                <w:szCs w:val="24"/>
              </w:rPr>
            </w:pPr>
          </w:p>
        </w:tc>
        <w:tc>
          <w:tcPr>
            <w:tcW w:w="244" w:type="pct"/>
            <w:vMerge w:val="continue"/>
            <w:vAlign w:val="center"/>
          </w:tcPr>
          <w:p w14:paraId="3D7CE6E3">
            <w:pPr>
              <w:widowControl/>
              <w:jc w:val="center"/>
              <w:rPr>
                <w:rFonts w:ascii="Times New Roman" w:eastAsia="仿宋"/>
                <w:szCs w:val="24"/>
              </w:rPr>
            </w:pPr>
          </w:p>
        </w:tc>
        <w:tc>
          <w:tcPr>
            <w:tcW w:w="356" w:type="pct"/>
            <w:vAlign w:val="center"/>
          </w:tcPr>
          <w:p w14:paraId="501B2762">
            <w:pPr>
              <w:jc w:val="center"/>
              <w:rPr>
                <w:rFonts w:ascii="Times New Roman" w:eastAsia="仿宋"/>
                <w:szCs w:val="21"/>
              </w:rPr>
            </w:pPr>
            <w:r>
              <w:rPr>
                <w:rFonts w:hint="eastAsia" w:ascii="Times New Roman" w:eastAsia="仿宋"/>
                <w:szCs w:val="21"/>
              </w:rPr>
              <w:t>二甲苯</w:t>
            </w:r>
          </w:p>
        </w:tc>
        <w:tc>
          <w:tcPr>
            <w:tcW w:w="728" w:type="pct"/>
            <w:gridSpan w:val="2"/>
            <w:vAlign w:val="center"/>
          </w:tcPr>
          <w:p w14:paraId="7D13FD18">
            <w:pPr>
              <w:widowControl/>
              <w:jc w:val="center"/>
              <w:rPr>
                <w:rFonts w:ascii="Times New Roman" w:eastAsia="仿宋"/>
                <w:szCs w:val="24"/>
              </w:rPr>
            </w:pPr>
            <w:r>
              <w:rPr>
                <w:rFonts w:hint="eastAsia" w:ascii="Times New Roman" w:eastAsia="仿宋"/>
                <w:szCs w:val="24"/>
              </w:rPr>
              <w:t>1</w:t>
            </w:r>
            <w:r>
              <w:rPr>
                <w:rFonts w:ascii="Times New Roman" w:eastAsia="仿宋"/>
                <w:szCs w:val="24"/>
              </w:rPr>
              <w:t>.</w:t>
            </w:r>
            <w:r>
              <w:rPr>
                <w:rFonts w:hint="eastAsia" w:ascii="Times New Roman" w:eastAsia="仿宋"/>
                <w:szCs w:val="24"/>
              </w:rPr>
              <w:t>1</w:t>
            </w:r>
            <w:r>
              <w:rPr>
                <w:rFonts w:ascii="Times New Roman" w:eastAsia="仿宋"/>
                <w:szCs w:val="24"/>
              </w:rPr>
              <w:t>5</w:t>
            </w:r>
          </w:p>
        </w:tc>
        <w:tc>
          <w:tcPr>
            <w:tcW w:w="288" w:type="pct"/>
            <w:vAlign w:val="center"/>
          </w:tcPr>
          <w:p w14:paraId="66AFF240">
            <w:pPr>
              <w:widowControl/>
              <w:jc w:val="center"/>
              <w:rPr>
                <w:rFonts w:ascii="Times New Roman" w:eastAsia="仿宋"/>
                <w:szCs w:val="24"/>
              </w:rPr>
            </w:pPr>
            <w:r>
              <w:rPr>
                <w:rFonts w:hint="eastAsia" w:ascii="Times New Roman" w:eastAsia="仿宋"/>
                <w:szCs w:val="24"/>
              </w:rPr>
              <w:t>0</w:t>
            </w:r>
            <w:r>
              <w:rPr>
                <w:rFonts w:ascii="Times New Roman" w:eastAsia="仿宋"/>
                <w:szCs w:val="24"/>
              </w:rPr>
              <w:t>.03</w:t>
            </w:r>
          </w:p>
        </w:tc>
        <w:tc>
          <w:tcPr>
            <w:tcW w:w="270" w:type="pct"/>
            <w:vAlign w:val="center"/>
          </w:tcPr>
          <w:p w14:paraId="69946CF9">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w:t>
            </w:r>
          </w:p>
        </w:tc>
        <w:tc>
          <w:tcPr>
            <w:tcW w:w="364" w:type="pct"/>
            <w:vAlign w:val="center"/>
          </w:tcPr>
          <w:p w14:paraId="2E64C28B">
            <w:pPr>
              <w:widowControl/>
              <w:jc w:val="center"/>
              <w:rPr>
                <w:rFonts w:ascii="Times New Roman" w:eastAsia="仿宋"/>
                <w:szCs w:val="24"/>
              </w:rPr>
            </w:pPr>
            <w:r>
              <w:rPr>
                <w:rFonts w:ascii="Times New Roman" w:eastAsia="仿宋"/>
                <w:szCs w:val="21"/>
              </w:rPr>
              <w:t>15</w:t>
            </w:r>
          </w:p>
        </w:tc>
        <w:tc>
          <w:tcPr>
            <w:tcW w:w="288" w:type="pct"/>
            <w:vAlign w:val="center"/>
          </w:tcPr>
          <w:p w14:paraId="7BE78856">
            <w:pPr>
              <w:widowControl/>
              <w:jc w:val="center"/>
              <w:rPr>
                <w:rFonts w:ascii="Times New Roman" w:eastAsia="仿宋"/>
                <w:szCs w:val="24"/>
              </w:rPr>
            </w:pPr>
            <w:r>
              <w:rPr>
                <w:rFonts w:ascii="Times New Roman" w:eastAsia="仿宋"/>
                <w:szCs w:val="21"/>
              </w:rPr>
              <w:t>0.8</w:t>
            </w:r>
          </w:p>
        </w:tc>
      </w:tr>
      <w:tr w14:paraId="70DC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1513900E">
            <w:pPr>
              <w:widowControl/>
              <w:jc w:val="center"/>
              <w:rPr>
                <w:rFonts w:ascii="Times New Roman" w:eastAsia="仿宋"/>
                <w:szCs w:val="24"/>
              </w:rPr>
            </w:pPr>
          </w:p>
        </w:tc>
        <w:tc>
          <w:tcPr>
            <w:tcW w:w="391" w:type="pct"/>
            <w:vMerge w:val="continue"/>
            <w:vAlign w:val="center"/>
          </w:tcPr>
          <w:p w14:paraId="4511F181">
            <w:pPr>
              <w:adjustRightInd w:val="0"/>
              <w:snapToGrid w:val="0"/>
              <w:jc w:val="center"/>
              <w:rPr>
                <w:rFonts w:ascii="Times New Roman" w:eastAsia="仿宋"/>
                <w:szCs w:val="24"/>
              </w:rPr>
            </w:pPr>
          </w:p>
        </w:tc>
        <w:tc>
          <w:tcPr>
            <w:tcW w:w="305" w:type="pct"/>
            <w:vMerge w:val="continue"/>
            <w:shd w:val="clear" w:color="auto" w:fill="auto"/>
            <w:vAlign w:val="center"/>
          </w:tcPr>
          <w:p w14:paraId="79DC3140">
            <w:pPr>
              <w:jc w:val="center"/>
              <w:rPr>
                <w:rFonts w:ascii="Times New Roman" w:eastAsia="仿宋"/>
                <w:szCs w:val="21"/>
              </w:rPr>
            </w:pPr>
          </w:p>
        </w:tc>
        <w:tc>
          <w:tcPr>
            <w:tcW w:w="355" w:type="pct"/>
            <w:shd w:val="clear" w:color="auto" w:fill="auto"/>
            <w:vAlign w:val="center"/>
          </w:tcPr>
          <w:p w14:paraId="2CC00105">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1D87B53B">
            <w:pPr>
              <w:widowControl/>
              <w:jc w:val="center"/>
              <w:textAlignment w:val="center"/>
              <w:rPr>
                <w:rFonts w:ascii="Times New Roman" w:eastAsia="仿宋"/>
                <w:szCs w:val="24"/>
              </w:rPr>
            </w:pPr>
            <w:r>
              <w:rPr>
                <w:rFonts w:hint="eastAsia" w:ascii="Times New Roman" w:eastAsia="仿宋"/>
                <w:szCs w:val="24"/>
              </w:rPr>
              <w:t>54.23</w:t>
            </w:r>
          </w:p>
        </w:tc>
        <w:tc>
          <w:tcPr>
            <w:tcW w:w="291" w:type="pct"/>
            <w:shd w:val="clear" w:color="auto" w:fill="auto"/>
            <w:vAlign w:val="center"/>
          </w:tcPr>
          <w:p w14:paraId="7890947F">
            <w:pPr>
              <w:widowControl/>
              <w:jc w:val="center"/>
              <w:textAlignment w:val="center"/>
              <w:rPr>
                <w:rFonts w:ascii="Times New Roman" w:eastAsia="仿宋"/>
                <w:szCs w:val="24"/>
              </w:rPr>
            </w:pPr>
            <w:r>
              <w:rPr>
                <w:rFonts w:hint="eastAsia" w:ascii="Times New Roman" w:eastAsia="仿宋"/>
                <w:szCs w:val="24"/>
              </w:rPr>
              <w:t>1.41</w:t>
            </w:r>
          </w:p>
        </w:tc>
        <w:tc>
          <w:tcPr>
            <w:tcW w:w="295" w:type="pct"/>
            <w:shd w:val="clear" w:color="auto" w:fill="auto"/>
            <w:vAlign w:val="center"/>
          </w:tcPr>
          <w:p w14:paraId="49DA683E">
            <w:pPr>
              <w:widowControl/>
              <w:jc w:val="center"/>
              <w:textAlignment w:val="center"/>
              <w:rPr>
                <w:rFonts w:ascii="Times New Roman" w:eastAsia="仿宋"/>
                <w:szCs w:val="24"/>
              </w:rPr>
            </w:pPr>
            <w:r>
              <w:rPr>
                <w:rFonts w:hint="eastAsia" w:ascii="Times New Roman" w:eastAsia="仿宋"/>
                <w:szCs w:val="24"/>
              </w:rPr>
              <w:t>6.79</w:t>
            </w:r>
          </w:p>
        </w:tc>
        <w:tc>
          <w:tcPr>
            <w:tcW w:w="346" w:type="pct"/>
            <w:vMerge w:val="continue"/>
            <w:vAlign w:val="center"/>
          </w:tcPr>
          <w:p w14:paraId="57AC47DA">
            <w:pPr>
              <w:widowControl/>
              <w:jc w:val="center"/>
              <w:rPr>
                <w:rFonts w:ascii="Times New Roman" w:eastAsia="仿宋"/>
                <w:szCs w:val="24"/>
              </w:rPr>
            </w:pPr>
          </w:p>
        </w:tc>
        <w:tc>
          <w:tcPr>
            <w:tcW w:w="244" w:type="pct"/>
            <w:vMerge w:val="continue"/>
            <w:vAlign w:val="center"/>
          </w:tcPr>
          <w:p w14:paraId="3D2C05E0">
            <w:pPr>
              <w:widowControl/>
              <w:jc w:val="center"/>
              <w:rPr>
                <w:rFonts w:ascii="Times New Roman" w:eastAsia="仿宋"/>
                <w:szCs w:val="24"/>
              </w:rPr>
            </w:pPr>
          </w:p>
        </w:tc>
        <w:tc>
          <w:tcPr>
            <w:tcW w:w="356" w:type="pct"/>
            <w:vAlign w:val="center"/>
          </w:tcPr>
          <w:p w14:paraId="3716EC93">
            <w:pPr>
              <w:adjustRightInd w:val="0"/>
              <w:snapToGrid w:val="0"/>
              <w:jc w:val="center"/>
              <w:rPr>
                <w:rFonts w:ascii="Times New Roman" w:eastAsia="仿宋"/>
                <w:szCs w:val="24"/>
              </w:rPr>
            </w:pPr>
            <w:r>
              <w:rPr>
                <w:rFonts w:hint="eastAsia" w:ascii="Times New Roman" w:eastAsia="仿宋"/>
                <w:szCs w:val="24"/>
              </w:rPr>
              <w:t>苯系物</w:t>
            </w:r>
          </w:p>
        </w:tc>
        <w:tc>
          <w:tcPr>
            <w:tcW w:w="728" w:type="pct"/>
            <w:gridSpan w:val="2"/>
            <w:shd w:val="clear" w:color="auto" w:fill="auto"/>
            <w:vAlign w:val="center"/>
          </w:tcPr>
          <w:p w14:paraId="41F5986E">
            <w:pPr>
              <w:widowControl/>
              <w:jc w:val="center"/>
              <w:rPr>
                <w:rFonts w:ascii="Times New Roman" w:eastAsia="仿宋"/>
                <w:szCs w:val="24"/>
              </w:rPr>
            </w:pPr>
            <w:r>
              <w:rPr>
                <w:rFonts w:hint="eastAsia" w:ascii="Times New Roman" w:eastAsia="仿宋"/>
                <w:szCs w:val="24"/>
              </w:rPr>
              <w:t>1</w:t>
            </w:r>
            <w:r>
              <w:rPr>
                <w:rFonts w:ascii="Times New Roman" w:eastAsia="仿宋"/>
                <w:szCs w:val="24"/>
              </w:rPr>
              <w:t>.</w:t>
            </w:r>
            <w:r>
              <w:rPr>
                <w:rFonts w:hint="eastAsia" w:ascii="Times New Roman" w:eastAsia="仿宋"/>
                <w:szCs w:val="24"/>
              </w:rPr>
              <w:t>1</w:t>
            </w:r>
            <w:r>
              <w:rPr>
                <w:rFonts w:ascii="Times New Roman" w:eastAsia="仿宋"/>
                <w:szCs w:val="24"/>
              </w:rPr>
              <w:t>5</w:t>
            </w:r>
          </w:p>
        </w:tc>
        <w:tc>
          <w:tcPr>
            <w:tcW w:w="288" w:type="pct"/>
            <w:shd w:val="clear" w:color="auto" w:fill="auto"/>
            <w:vAlign w:val="center"/>
          </w:tcPr>
          <w:p w14:paraId="78B7B156">
            <w:pPr>
              <w:widowControl/>
              <w:jc w:val="center"/>
              <w:rPr>
                <w:rFonts w:ascii="Times New Roman" w:eastAsia="仿宋"/>
                <w:szCs w:val="24"/>
              </w:rPr>
            </w:pPr>
            <w:r>
              <w:rPr>
                <w:rFonts w:hint="eastAsia" w:ascii="Times New Roman" w:eastAsia="仿宋"/>
                <w:szCs w:val="24"/>
              </w:rPr>
              <w:t>0</w:t>
            </w:r>
            <w:r>
              <w:rPr>
                <w:rFonts w:ascii="Times New Roman" w:eastAsia="仿宋"/>
                <w:szCs w:val="24"/>
              </w:rPr>
              <w:t>.03</w:t>
            </w:r>
          </w:p>
        </w:tc>
        <w:tc>
          <w:tcPr>
            <w:tcW w:w="270" w:type="pct"/>
            <w:shd w:val="clear" w:color="auto" w:fill="auto"/>
            <w:vAlign w:val="center"/>
          </w:tcPr>
          <w:p w14:paraId="102C282F">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w:t>
            </w:r>
          </w:p>
        </w:tc>
        <w:tc>
          <w:tcPr>
            <w:tcW w:w="364" w:type="pct"/>
            <w:vAlign w:val="center"/>
          </w:tcPr>
          <w:p w14:paraId="638A3739">
            <w:pPr>
              <w:widowControl/>
              <w:jc w:val="center"/>
              <w:rPr>
                <w:rFonts w:ascii="Times New Roman" w:eastAsia="仿宋"/>
                <w:szCs w:val="24"/>
              </w:rPr>
            </w:pPr>
            <w:r>
              <w:rPr>
                <w:rFonts w:hint="eastAsia" w:ascii="Times New Roman" w:eastAsia="仿宋"/>
                <w:szCs w:val="24"/>
              </w:rPr>
              <w:t>2</w:t>
            </w:r>
            <w:r>
              <w:rPr>
                <w:rFonts w:ascii="Times New Roman" w:eastAsia="仿宋"/>
                <w:szCs w:val="24"/>
              </w:rPr>
              <w:t>0</w:t>
            </w:r>
          </w:p>
        </w:tc>
        <w:tc>
          <w:tcPr>
            <w:tcW w:w="288" w:type="pct"/>
            <w:vAlign w:val="center"/>
          </w:tcPr>
          <w:p w14:paraId="5BA0CD5C">
            <w:pPr>
              <w:widowControl/>
              <w:jc w:val="center"/>
              <w:rPr>
                <w:rFonts w:ascii="Times New Roman" w:eastAsia="仿宋"/>
                <w:szCs w:val="24"/>
              </w:rPr>
            </w:pPr>
            <w:r>
              <w:rPr>
                <w:rFonts w:hint="eastAsia" w:ascii="Times New Roman" w:eastAsia="仿宋"/>
                <w:szCs w:val="24"/>
              </w:rPr>
              <w:t>1</w:t>
            </w:r>
            <w:r>
              <w:rPr>
                <w:rFonts w:ascii="Times New Roman" w:eastAsia="仿宋"/>
                <w:szCs w:val="24"/>
              </w:rPr>
              <w:t>.0</w:t>
            </w:r>
          </w:p>
        </w:tc>
      </w:tr>
      <w:tr w14:paraId="0857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36CEAA9E">
            <w:pPr>
              <w:widowControl/>
              <w:jc w:val="center"/>
              <w:rPr>
                <w:rFonts w:ascii="Times New Roman" w:eastAsia="仿宋"/>
                <w:szCs w:val="24"/>
              </w:rPr>
            </w:pPr>
          </w:p>
        </w:tc>
        <w:tc>
          <w:tcPr>
            <w:tcW w:w="391" w:type="pct"/>
            <w:vMerge w:val="continue"/>
            <w:vAlign w:val="center"/>
          </w:tcPr>
          <w:p w14:paraId="18E7E606">
            <w:pPr>
              <w:adjustRightInd w:val="0"/>
              <w:snapToGrid w:val="0"/>
              <w:jc w:val="center"/>
              <w:rPr>
                <w:rFonts w:ascii="Times New Roman" w:eastAsia="仿宋"/>
                <w:szCs w:val="24"/>
              </w:rPr>
            </w:pPr>
          </w:p>
        </w:tc>
        <w:tc>
          <w:tcPr>
            <w:tcW w:w="305" w:type="pct"/>
            <w:vMerge w:val="continue"/>
            <w:shd w:val="clear" w:color="auto" w:fill="auto"/>
            <w:vAlign w:val="center"/>
          </w:tcPr>
          <w:p w14:paraId="5C826A2A">
            <w:pPr>
              <w:jc w:val="center"/>
              <w:rPr>
                <w:rFonts w:ascii="Times New Roman" w:eastAsia="仿宋"/>
                <w:szCs w:val="21"/>
              </w:rPr>
            </w:pPr>
          </w:p>
        </w:tc>
        <w:tc>
          <w:tcPr>
            <w:tcW w:w="355" w:type="pct"/>
            <w:shd w:val="clear" w:color="auto" w:fill="auto"/>
            <w:vAlign w:val="center"/>
          </w:tcPr>
          <w:p w14:paraId="6ACF2CCD">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6887D4AC">
            <w:pPr>
              <w:widowControl/>
              <w:jc w:val="center"/>
              <w:textAlignment w:val="center"/>
              <w:rPr>
                <w:rFonts w:ascii="Times New Roman" w:eastAsia="仿宋"/>
                <w:szCs w:val="24"/>
              </w:rPr>
            </w:pPr>
            <w:r>
              <w:rPr>
                <w:rFonts w:hint="eastAsia" w:ascii="Times New Roman" w:eastAsia="仿宋"/>
                <w:szCs w:val="24"/>
              </w:rPr>
              <w:t>15.76</w:t>
            </w:r>
          </w:p>
        </w:tc>
        <w:tc>
          <w:tcPr>
            <w:tcW w:w="291" w:type="pct"/>
            <w:shd w:val="clear" w:color="auto" w:fill="auto"/>
            <w:vAlign w:val="center"/>
          </w:tcPr>
          <w:p w14:paraId="254CDE07">
            <w:pPr>
              <w:widowControl/>
              <w:jc w:val="center"/>
              <w:textAlignment w:val="center"/>
              <w:rPr>
                <w:rFonts w:ascii="Times New Roman" w:eastAsia="仿宋"/>
                <w:szCs w:val="24"/>
              </w:rPr>
            </w:pPr>
            <w:r>
              <w:rPr>
                <w:rFonts w:hint="eastAsia" w:ascii="Times New Roman" w:eastAsia="仿宋"/>
                <w:szCs w:val="24"/>
              </w:rPr>
              <w:t>0.41</w:t>
            </w:r>
          </w:p>
        </w:tc>
        <w:tc>
          <w:tcPr>
            <w:tcW w:w="295" w:type="pct"/>
            <w:shd w:val="clear" w:color="auto" w:fill="auto"/>
            <w:vAlign w:val="center"/>
          </w:tcPr>
          <w:p w14:paraId="71540B76">
            <w:pPr>
              <w:widowControl/>
              <w:jc w:val="center"/>
              <w:textAlignment w:val="center"/>
              <w:rPr>
                <w:rFonts w:ascii="Times New Roman" w:eastAsia="仿宋"/>
                <w:szCs w:val="24"/>
              </w:rPr>
            </w:pPr>
            <w:r>
              <w:rPr>
                <w:rFonts w:hint="eastAsia" w:ascii="Times New Roman" w:eastAsia="仿宋"/>
                <w:szCs w:val="24"/>
              </w:rPr>
              <w:t>1.96</w:t>
            </w:r>
          </w:p>
        </w:tc>
        <w:tc>
          <w:tcPr>
            <w:tcW w:w="346" w:type="pct"/>
            <w:vMerge w:val="continue"/>
            <w:vAlign w:val="center"/>
          </w:tcPr>
          <w:p w14:paraId="757BE9F0">
            <w:pPr>
              <w:widowControl/>
              <w:jc w:val="center"/>
              <w:rPr>
                <w:rFonts w:ascii="Times New Roman" w:eastAsia="仿宋"/>
                <w:szCs w:val="24"/>
              </w:rPr>
            </w:pPr>
          </w:p>
        </w:tc>
        <w:tc>
          <w:tcPr>
            <w:tcW w:w="244" w:type="pct"/>
            <w:vMerge w:val="continue"/>
            <w:vAlign w:val="center"/>
          </w:tcPr>
          <w:p w14:paraId="2FD6EC81">
            <w:pPr>
              <w:widowControl/>
              <w:jc w:val="center"/>
              <w:rPr>
                <w:rFonts w:ascii="Times New Roman" w:eastAsia="仿宋"/>
                <w:szCs w:val="24"/>
              </w:rPr>
            </w:pPr>
          </w:p>
        </w:tc>
        <w:tc>
          <w:tcPr>
            <w:tcW w:w="356" w:type="pct"/>
            <w:vAlign w:val="center"/>
          </w:tcPr>
          <w:p w14:paraId="7341F33E">
            <w:pPr>
              <w:adjustRightInd w:val="0"/>
              <w:snapToGrid w:val="0"/>
              <w:jc w:val="center"/>
              <w:rPr>
                <w:rFonts w:ascii="Times New Roman" w:eastAsia="仿宋"/>
                <w:szCs w:val="24"/>
              </w:rPr>
            </w:pPr>
            <w:r>
              <w:rPr>
                <w:rFonts w:hint="eastAsia" w:ascii="Times New Roman" w:eastAsia="仿宋"/>
                <w:szCs w:val="21"/>
              </w:rPr>
              <w:t>颗粒物</w:t>
            </w:r>
          </w:p>
        </w:tc>
        <w:tc>
          <w:tcPr>
            <w:tcW w:w="728" w:type="pct"/>
            <w:gridSpan w:val="2"/>
            <w:vAlign w:val="center"/>
          </w:tcPr>
          <w:p w14:paraId="76CD84CA">
            <w:pPr>
              <w:widowControl/>
              <w:jc w:val="center"/>
              <w:rPr>
                <w:rFonts w:ascii="Times New Roman" w:eastAsia="仿宋"/>
                <w:szCs w:val="24"/>
              </w:rPr>
            </w:pPr>
            <w:r>
              <w:rPr>
                <w:rFonts w:hint="eastAsia" w:ascii="Times New Roman" w:eastAsia="仿宋"/>
                <w:szCs w:val="24"/>
              </w:rPr>
              <w:t>1</w:t>
            </w:r>
            <w:r>
              <w:rPr>
                <w:rFonts w:ascii="Times New Roman" w:eastAsia="仿宋"/>
                <w:szCs w:val="24"/>
              </w:rPr>
              <w:t>.54</w:t>
            </w:r>
          </w:p>
        </w:tc>
        <w:tc>
          <w:tcPr>
            <w:tcW w:w="288" w:type="pct"/>
            <w:vAlign w:val="center"/>
          </w:tcPr>
          <w:p w14:paraId="2558F212">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270" w:type="pct"/>
            <w:vAlign w:val="center"/>
          </w:tcPr>
          <w:p w14:paraId="2B97EC62">
            <w:pPr>
              <w:widowControl/>
              <w:jc w:val="center"/>
              <w:rPr>
                <w:rFonts w:ascii="Times New Roman" w:eastAsia="仿宋"/>
                <w:szCs w:val="24"/>
              </w:rPr>
            </w:pPr>
            <w:r>
              <w:rPr>
                <w:rFonts w:hint="eastAsia" w:ascii="Times New Roman" w:eastAsia="仿宋"/>
                <w:szCs w:val="24"/>
              </w:rPr>
              <w:t>0</w:t>
            </w:r>
            <w:r>
              <w:rPr>
                <w:rFonts w:ascii="Times New Roman" w:eastAsia="仿宋"/>
                <w:szCs w:val="24"/>
              </w:rPr>
              <w:t>.213</w:t>
            </w:r>
          </w:p>
        </w:tc>
        <w:tc>
          <w:tcPr>
            <w:tcW w:w="364" w:type="pct"/>
            <w:vAlign w:val="center"/>
          </w:tcPr>
          <w:p w14:paraId="2E265EA2">
            <w:pPr>
              <w:widowControl/>
              <w:jc w:val="center"/>
              <w:rPr>
                <w:rFonts w:ascii="Times New Roman" w:eastAsia="仿宋"/>
                <w:szCs w:val="24"/>
              </w:rPr>
            </w:pPr>
            <w:r>
              <w:rPr>
                <w:rFonts w:ascii="Times New Roman" w:eastAsia="仿宋"/>
                <w:szCs w:val="21"/>
              </w:rPr>
              <w:t>10</w:t>
            </w:r>
          </w:p>
        </w:tc>
        <w:tc>
          <w:tcPr>
            <w:tcW w:w="288" w:type="pct"/>
            <w:vAlign w:val="center"/>
          </w:tcPr>
          <w:p w14:paraId="5DFD0DD7">
            <w:pPr>
              <w:widowControl/>
              <w:jc w:val="center"/>
              <w:rPr>
                <w:rFonts w:ascii="Times New Roman" w:eastAsia="仿宋"/>
                <w:szCs w:val="24"/>
              </w:rPr>
            </w:pPr>
            <w:r>
              <w:rPr>
                <w:rFonts w:ascii="Times New Roman" w:eastAsia="仿宋"/>
                <w:szCs w:val="21"/>
              </w:rPr>
              <w:t>0.6</w:t>
            </w:r>
          </w:p>
        </w:tc>
      </w:tr>
      <w:tr w14:paraId="30BC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534C7D75">
            <w:pPr>
              <w:widowControl/>
              <w:jc w:val="center"/>
              <w:rPr>
                <w:rFonts w:ascii="Times New Roman" w:eastAsia="仿宋"/>
                <w:szCs w:val="24"/>
              </w:rPr>
            </w:pPr>
          </w:p>
        </w:tc>
        <w:tc>
          <w:tcPr>
            <w:tcW w:w="391" w:type="pct"/>
            <w:vMerge w:val="continue"/>
            <w:vAlign w:val="center"/>
          </w:tcPr>
          <w:p w14:paraId="6B4CCD29">
            <w:pPr>
              <w:adjustRightInd w:val="0"/>
              <w:snapToGrid w:val="0"/>
              <w:jc w:val="center"/>
              <w:rPr>
                <w:rFonts w:ascii="Times New Roman" w:eastAsia="仿宋"/>
                <w:szCs w:val="24"/>
              </w:rPr>
            </w:pPr>
          </w:p>
        </w:tc>
        <w:tc>
          <w:tcPr>
            <w:tcW w:w="305" w:type="pct"/>
            <w:vMerge w:val="continue"/>
            <w:shd w:val="clear" w:color="auto" w:fill="auto"/>
            <w:vAlign w:val="center"/>
          </w:tcPr>
          <w:p w14:paraId="0D052A05">
            <w:pPr>
              <w:jc w:val="center"/>
              <w:rPr>
                <w:rFonts w:ascii="Times New Roman" w:eastAsia="仿宋"/>
                <w:szCs w:val="21"/>
              </w:rPr>
            </w:pPr>
          </w:p>
        </w:tc>
        <w:tc>
          <w:tcPr>
            <w:tcW w:w="355" w:type="pct"/>
            <w:shd w:val="clear" w:color="auto" w:fill="auto"/>
            <w:vAlign w:val="center"/>
          </w:tcPr>
          <w:p w14:paraId="75F606F0">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33819258">
            <w:pPr>
              <w:widowControl/>
              <w:jc w:val="center"/>
              <w:textAlignment w:val="center"/>
              <w:rPr>
                <w:rFonts w:ascii="Times New Roman" w:eastAsia="仿宋"/>
                <w:szCs w:val="24"/>
              </w:rPr>
            </w:pPr>
            <w:r>
              <w:rPr>
                <w:rFonts w:hint="eastAsia" w:ascii="Times New Roman" w:eastAsia="仿宋"/>
                <w:szCs w:val="24"/>
              </w:rPr>
              <w:t>15.76</w:t>
            </w:r>
          </w:p>
        </w:tc>
        <w:tc>
          <w:tcPr>
            <w:tcW w:w="291" w:type="pct"/>
            <w:shd w:val="clear" w:color="auto" w:fill="auto"/>
            <w:vAlign w:val="center"/>
          </w:tcPr>
          <w:p w14:paraId="16F3ACA7">
            <w:pPr>
              <w:widowControl/>
              <w:jc w:val="center"/>
              <w:textAlignment w:val="center"/>
              <w:rPr>
                <w:rFonts w:ascii="Times New Roman" w:eastAsia="仿宋"/>
                <w:szCs w:val="24"/>
              </w:rPr>
            </w:pPr>
            <w:r>
              <w:rPr>
                <w:rFonts w:hint="eastAsia" w:ascii="Times New Roman" w:eastAsia="仿宋"/>
                <w:szCs w:val="24"/>
              </w:rPr>
              <w:t>0.41</w:t>
            </w:r>
          </w:p>
        </w:tc>
        <w:tc>
          <w:tcPr>
            <w:tcW w:w="295" w:type="pct"/>
            <w:shd w:val="clear" w:color="auto" w:fill="auto"/>
            <w:vAlign w:val="center"/>
          </w:tcPr>
          <w:p w14:paraId="7246FD24">
            <w:pPr>
              <w:widowControl/>
              <w:jc w:val="center"/>
              <w:textAlignment w:val="center"/>
              <w:rPr>
                <w:rFonts w:ascii="Times New Roman" w:eastAsia="仿宋"/>
                <w:szCs w:val="24"/>
              </w:rPr>
            </w:pPr>
            <w:r>
              <w:rPr>
                <w:rFonts w:hint="eastAsia" w:ascii="Times New Roman" w:eastAsia="仿宋"/>
                <w:szCs w:val="24"/>
              </w:rPr>
              <w:t>1.96</w:t>
            </w:r>
          </w:p>
        </w:tc>
        <w:tc>
          <w:tcPr>
            <w:tcW w:w="346" w:type="pct"/>
            <w:vMerge w:val="continue"/>
            <w:vAlign w:val="center"/>
          </w:tcPr>
          <w:p w14:paraId="7FF4941E">
            <w:pPr>
              <w:widowControl/>
              <w:jc w:val="center"/>
              <w:rPr>
                <w:rFonts w:ascii="Times New Roman" w:eastAsia="仿宋"/>
                <w:szCs w:val="24"/>
              </w:rPr>
            </w:pPr>
          </w:p>
        </w:tc>
        <w:tc>
          <w:tcPr>
            <w:tcW w:w="244" w:type="pct"/>
            <w:vMerge w:val="continue"/>
            <w:vAlign w:val="center"/>
          </w:tcPr>
          <w:p w14:paraId="0F87BB4B">
            <w:pPr>
              <w:widowControl/>
              <w:jc w:val="center"/>
              <w:rPr>
                <w:rFonts w:ascii="Times New Roman" w:eastAsia="仿宋"/>
                <w:szCs w:val="24"/>
              </w:rPr>
            </w:pPr>
          </w:p>
        </w:tc>
        <w:tc>
          <w:tcPr>
            <w:tcW w:w="356" w:type="pct"/>
            <w:vAlign w:val="center"/>
          </w:tcPr>
          <w:p w14:paraId="638FCCF4">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364" w:type="pct"/>
            <w:vAlign w:val="center"/>
          </w:tcPr>
          <w:p w14:paraId="58C15DEE">
            <w:pPr>
              <w:widowControl/>
              <w:jc w:val="center"/>
              <w:textAlignment w:val="center"/>
              <w:rPr>
                <w:rFonts w:ascii="Times New Roman" w:eastAsia="仿宋"/>
                <w:szCs w:val="24"/>
              </w:rPr>
            </w:pPr>
            <w:r>
              <w:rPr>
                <w:rFonts w:hint="eastAsia" w:ascii="Times New Roman" w:eastAsia="仿宋"/>
                <w:szCs w:val="24"/>
              </w:rPr>
              <w:t>0.04</w:t>
            </w:r>
          </w:p>
        </w:tc>
        <w:tc>
          <w:tcPr>
            <w:tcW w:w="364" w:type="pct"/>
            <w:vAlign w:val="center"/>
          </w:tcPr>
          <w:p w14:paraId="29B93B8A">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.044</w:t>
            </w:r>
          </w:p>
        </w:tc>
        <w:tc>
          <w:tcPr>
            <w:tcW w:w="288" w:type="pct"/>
            <w:vAlign w:val="center"/>
          </w:tcPr>
          <w:p w14:paraId="7D1E8B98">
            <w:pPr>
              <w:widowControl/>
              <w:jc w:val="center"/>
              <w:textAlignment w:val="center"/>
              <w:rPr>
                <w:rFonts w:ascii="Times New Roman" w:eastAsia="仿宋"/>
                <w:szCs w:val="24"/>
              </w:rPr>
            </w:pPr>
            <w:r>
              <w:rPr>
                <w:rFonts w:hint="eastAsia" w:ascii="Times New Roman" w:eastAsia="仿宋"/>
                <w:szCs w:val="24"/>
              </w:rPr>
              <w:t>0.001</w:t>
            </w:r>
          </w:p>
        </w:tc>
        <w:tc>
          <w:tcPr>
            <w:tcW w:w="270" w:type="pct"/>
            <w:vAlign w:val="center"/>
          </w:tcPr>
          <w:p w14:paraId="7E5920A6">
            <w:pPr>
              <w:widowControl/>
              <w:jc w:val="center"/>
              <w:textAlignment w:val="center"/>
              <w:rPr>
                <w:rFonts w:ascii="Times New Roman" w:eastAsia="仿宋"/>
                <w:szCs w:val="24"/>
              </w:rPr>
            </w:pPr>
            <w:r>
              <w:rPr>
                <w:rFonts w:hint="eastAsia" w:ascii="Times New Roman" w:eastAsia="仿宋"/>
                <w:szCs w:val="24"/>
              </w:rPr>
              <w:t>0.005</w:t>
            </w:r>
          </w:p>
        </w:tc>
        <w:tc>
          <w:tcPr>
            <w:tcW w:w="364" w:type="pct"/>
            <w:vAlign w:val="center"/>
          </w:tcPr>
          <w:p w14:paraId="59C388CC">
            <w:pPr>
              <w:widowControl/>
              <w:jc w:val="center"/>
              <w:rPr>
                <w:rFonts w:ascii="Times New Roman" w:eastAsia="仿宋"/>
                <w:szCs w:val="24"/>
              </w:rPr>
            </w:pPr>
            <w:r>
              <w:rPr>
                <w:rFonts w:hint="eastAsia" w:ascii="Times New Roman" w:eastAsia="仿宋"/>
                <w:szCs w:val="21"/>
              </w:rPr>
              <w:t>80</w:t>
            </w:r>
          </w:p>
        </w:tc>
        <w:tc>
          <w:tcPr>
            <w:tcW w:w="288" w:type="pct"/>
            <w:vAlign w:val="center"/>
          </w:tcPr>
          <w:p w14:paraId="7C94F28B">
            <w:pPr>
              <w:widowControl/>
              <w:jc w:val="center"/>
              <w:rPr>
                <w:rFonts w:ascii="Times New Roman" w:eastAsia="仿宋"/>
                <w:szCs w:val="24"/>
              </w:rPr>
            </w:pPr>
            <w:r>
              <w:rPr>
                <w:rFonts w:ascii="Times New Roman" w:eastAsia="仿宋"/>
                <w:szCs w:val="21"/>
              </w:rPr>
              <w:t>/</w:t>
            </w:r>
          </w:p>
        </w:tc>
      </w:tr>
      <w:tr w14:paraId="5A67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F8861B9">
            <w:pPr>
              <w:widowControl/>
              <w:jc w:val="center"/>
              <w:rPr>
                <w:rFonts w:ascii="Times New Roman" w:eastAsia="仿宋"/>
                <w:szCs w:val="24"/>
              </w:rPr>
            </w:pPr>
          </w:p>
        </w:tc>
        <w:tc>
          <w:tcPr>
            <w:tcW w:w="391" w:type="pct"/>
            <w:vMerge w:val="continue"/>
            <w:vAlign w:val="center"/>
          </w:tcPr>
          <w:p w14:paraId="766D1B16">
            <w:pPr>
              <w:adjustRightInd w:val="0"/>
              <w:snapToGrid w:val="0"/>
              <w:jc w:val="center"/>
              <w:rPr>
                <w:rFonts w:ascii="Times New Roman" w:eastAsia="仿宋"/>
                <w:szCs w:val="24"/>
              </w:rPr>
            </w:pPr>
          </w:p>
        </w:tc>
        <w:tc>
          <w:tcPr>
            <w:tcW w:w="305" w:type="pct"/>
            <w:vMerge w:val="continue"/>
            <w:shd w:val="clear" w:color="auto" w:fill="auto"/>
            <w:vAlign w:val="center"/>
          </w:tcPr>
          <w:p w14:paraId="4C80FBF4">
            <w:pPr>
              <w:adjustRightInd w:val="0"/>
              <w:snapToGrid w:val="0"/>
              <w:jc w:val="center"/>
              <w:rPr>
                <w:rFonts w:ascii="Times New Roman" w:eastAsia="仿宋"/>
                <w:szCs w:val="24"/>
              </w:rPr>
            </w:pPr>
          </w:p>
        </w:tc>
        <w:tc>
          <w:tcPr>
            <w:tcW w:w="355" w:type="pct"/>
            <w:shd w:val="clear" w:color="auto" w:fill="auto"/>
            <w:vAlign w:val="center"/>
          </w:tcPr>
          <w:p w14:paraId="76A09803">
            <w:pPr>
              <w:adjustRightInd w:val="0"/>
              <w:snapToGrid w:val="0"/>
              <w:jc w:val="center"/>
              <w:rPr>
                <w:rFonts w:ascii="Times New Roman" w:eastAsia="仿宋"/>
                <w:szCs w:val="24"/>
              </w:rPr>
            </w:pPr>
            <w:r>
              <w:rPr>
                <w:rFonts w:hint="eastAsia" w:ascii="Times New Roman" w:eastAsia="仿宋"/>
                <w:szCs w:val="21"/>
              </w:rPr>
              <w:t>颗粒物</w:t>
            </w:r>
          </w:p>
        </w:tc>
        <w:tc>
          <w:tcPr>
            <w:tcW w:w="309" w:type="pct"/>
            <w:shd w:val="clear" w:color="auto" w:fill="auto"/>
            <w:vAlign w:val="center"/>
          </w:tcPr>
          <w:p w14:paraId="45C0C76C">
            <w:pPr>
              <w:widowControl/>
              <w:jc w:val="center"/>
              <w:textAlignment w:val="center"/>
              <w:rPr>
                <w:rFonts w:ascii="Times New Roman" w:eastAsia="仿宋"/>
                <w:szCs w:val="24"/>
              </w:rPr>
            </w:pPr>
            <w:r>
              <w:rPr>
                <w:rFonts w:hint="eastAsia" w:ascii="Times New Roman" w:eastAsia="仿宋"/>
                <w:szCs w:val="24"/>
              </w:rPr>
              <w:t>28.84</w:t>
            </w:r>
          </w:p>
        </w:tc>
        <w:tc>
          <w:tcPr>
            <w:tcW w:w="291" w:type="pct"/>
            <w:shd w:val="clear" w:color="auto" w:fill="auto"/>
            <w:vAlign w:val="center"/>
          </w:tcPr>
          <w:p w14:paraId="575E5640">
            <w:pPr>
              <w:widowControl/>
              <w:jc w:val="center"/>
              <w:textAlignment w:val="center"/>
              <w:rPr>
                <w:rFonts w:ascii="Times New Roman" w:eastAsia="仿宋"/>
                <w:szCs w:val="24"/>
              </w:rPr>
            </w:pPr>
            <w:r>
              <w:rPr>
                <w:rFonts w:hint="eastAsia" w:ascii="Times New Roman" w:eastAsia="仿宋"/>
                <w:szCs w:val="24"/>
              </w:rPr>
              <w:t>0.75</w:t>
            </w:r>
          </w:p>
        </w:tc>
        <w:tc>
          <w:tcPr>
            <w:tcW w:w="295" w:type="pct"/>
            <w:shd w:val="clear" w:color="auto" w:fill="auto"/>
            <w:vAlign w:val="center"/>
          </w:tcPr>
          <w:p w14:paraId="1677D067">
            <w:pPr>
              <w:widowControl/>
              <w:jc w:val="center"/>
              <w:textAlignment w:val="center"/>
              <w:rPr>
                <w:rFonts w:ascii="Times New Roman" w:eastAsia="仿宋"/>
                <w:szCs w:val="24"/>
              </w:rPr>
            </w:pPr>
            <w:r>
              <w:rPr>
                <w:rFonts w:hint="eastAsia" w:ascii="Times New Roman" w:eastAsia="仿宋"/>
                <w:szCs w:val="24"/>
              </w:rPr>
              <w:t>3.6</w:t>
            </w:r>
          </w:p>
        </w:tc>
        <w:tc>
          <w:tcPr>
            <w:tcW w:w="346" w:type="pct"/>
            <w:vMerge w:val="continue"/>
            <w:vAlign w:val="center"/>
          </w:tcPr>
          <w:p w14:paraId="3BAB8055">
            <w:pPr>
              <w:widowControl/>
              <w:jc w:val="center"/>
              <w:rPr>
                <w:rFonts w:ascii="Times New Roman" w:eastAsia="仿宋"/>
                <w:szCs w:val="24"/>
              </w:rPr>
            </w:pPr>
          </w:p>
        </w:tc>
        <w:tc>
          <w:tcPr>
            <w:tcW w:w="244" w:type="pct"/>
            <w:vMerge w:val="continue"/>
            <w:vAlign w:val="center"/>
          </w:tcPr>
          <w:p w14:paraId="0F173BDA">
            <w:pPr>
              <w:widowControl/>
              <w:jc w:val="center"/>
              <w:rPr>
                <w:rFonts w:ascii="Times New Roman" w:eastAsia="仿宋"/>
                <w:szCs w:val="24"/>
              </w:rPr>
            </w:pPr>
          </w:p>
        </w:tc>
        <w:tc>
          <w:tcPr>
            <w:tcW w:w="356" w:type="pct"/>
            <w:vAlign w:val="center"/>
          </w:tcPr>
          <w:p w14:paraId="4857988C">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364" w:type="pct"/>
            <w:vAlign w:val="center"/>
          </w:tcPr>
          <w:p w14:paraId="02567D0A">
            <w:pPr>
              <w:widowControl/>
              <w:jc w:val="center"/>
              <w:textAlignment w:val="center"/>
              <w:rPr>
                <w:rFonts w:ascii="Times New Roman" w:eastAsia="仿宋"/>
                <w:szCs w:val="24"/>
              </w:rPr>
            </w:pPr>
            <w:r>
              <w:rPr>
                <w:rFonts w:ascii="Times New Roman" w:eastAsia="仿宋"/>
                <w:szCs w:val="24"/>
              </w:rPr>
              <w:t>1.76</w:t>
            </w:r>
          </w:p>
        </w:tc>
        <w:tc>
          <w:tcPr>
            <w:tcW w:w="364" w:type="pct"/>
            <w:vAlign w:val="center"/>
          </w:tcPr>
          <w:p w14:paraId="26C2B5DA">
            <w:pPr>
              <w:widowControl/>
              <w:jc w:val="center"/>
              <w:textAlignment w:val="center"/>
              <w:rPr>
                <w:rFonts w:ascii="Times New Roman" w:eastAsia="仿宋"/>
                <w:szCs w:val="24"/>
              </w:rPr>
            </w:pPr>
            <w:r>
              <w:rPr>
                <w:rFonts w:ascii="Times New Roman" w:eastAsia="仿宋"/>
                <w:szCs w:val="24"/>
              </w:rPr>
              <w:t>1.92</w:t>
            </w:r>
          </w:p>
        </w:tc>
        <w:tc>
          <w:tcPr>
            <w:tcW w:w="288" w:type="pct"/>
            <w:vAlign w:val="center"/>
          </w:tcPr>
          <w:p w14:paraId="311927C3">
            <w:pPr>
              <w:widowControl/>
              <w:jc w:val="center"/>
              <w:textAlignment w:val="center"/>
              <w:rPr>
                <w:rFonts w:ascii="Times New Roman" w:eastAsia="仿宋"/>
                <w:szCs w:val="24"/>
              </w:rPr>
            </w:pPr>
            <w:r>
              <w:rPr>
                <w:rFonts w:hint="eastAsia" w:ascii="Times New Roman" w:eastAsia="仿宋"/>
                <w:szCs w:val="24"/>
              </w:rPr>
              <w:t>0.0</w:t>
            </w:r>
            <w:r>
              <w:rPr>
                <w:rFonts w:ascii="Times New Roman" w:eastAsia="仿宋"/>
                <w:szCs w:val="24"/>
              </w:rPr>
              <w:t>46</w:t>
            </w:r>
          </w:p>
        </w:tc>
        <w:tc>
          <w:tcPr>
            <w:tcW w:w="270" w:type="pct"/>
            <w:vAlign w:val="center"/>
          </w:tcPr>
          <w:p w14:paraId="05CFB028">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224</w:t>
            </w:r>
          </w:p>
        </w:tc>
        <w:tc>
          <w:tcPr>
            <w:tcW w:w="364" w:type="pct"/>
            <w:vAlign w:val="center"/>
          </w:tcPr>
          <w:p w14:paraId="2A5731EF">
            <w:pPr>
              <w:widowControl/>
              <w:jc w:val="center"/>
              <w:rPr>
                <w:rFonts w:ascii="Times New Roman" w:eastAsia="仿宋"/>
                <w:szCs w:val="24"/>
              </w:rPr>
            </w:pPr>
            <w:r>
              <w:rPr>
                <w:rFonts w:hint="eastAsia" w:ascii="Times New Roman" w:eastAsia="仿宋"/>
                <w:szCs w:val="21"/>
              </w:rPr>
              <w:t>180</w:t>
            </w:r>
          </w:p>
        </w:tc>
        <w:tc>
          <w:tcPr>
            <w:tcW w:w="288" w:type="pct"/>
            <w:vAlign w:val="center"/>
          </w:tcPr>
          <w:p w14:paraId="379A5727">
            <w:pPr>
              <w:widowControl/>
              <w:jc w:val="center"/>
              <w:rPr>
                <w:rFonts w:ascii="Times New Roman" w:eastAsia="仿宋"/>
                <w:szCs w:val="24"/>
              </w:rPr>
            </w:pPr>
            <w:r>
              <w:rPr>
                <w:rFonts w:ascii="Times New Roman" w:eastAsia="仿宋"/>
                <w:szCs w:val="21"/>
              </w:rPr>
              <w:t>/</w:t>
            </w:r>
          </w:p>
        </w:tc>
      </w:tr>
      <w:tr w14:paraId="3AE8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68F834F">
            <w:pPr>
              <w:widowControl/>
              <w:jc w:val="center"/>
              <w:rPr>
                <w:rFonts w:ascii="Times New Roman" w:eastAsia="仿宋"/>
                <w:szCs w:val="24"/>
              </w:rPr>
            </w:pPr>
          </w:p>
        </w:tc>
        <w:tc>
          <w:tcPr>
            <w:tcW w:w="391" w:type="pct"/>
            <w:vMerge w:val="restart"/>
            <w:vAlign w:val="center"/>
          </w:tcPr>
          <w:p w14:paraId="14CCE9BB">
            <w:pPr>
              <w:adjustRightInd w:val="0"/>
              <w:snapToGrid w:val="0"/>
              <w:jc w:val="center"/>
              <w:rPr>
                <w:rFonts w:ascii="Times New Roman" w:eastAsia="仿宋"/>
                <w:szCs w:val="24"/>
              </w:rPr>
            </w:pPr>
            <w:r>
              <w:rPr>
                <w:rFonts w:hint="eastAsia" w:ascii="Times New Roman" w:eastAsia="仿宋"/>
                <w:szCs w:val="24"/>
              </w:rPr>
              <w:t>氟碳底漆流平废气G1</w:t>
            </w:r>
            <w:r>
              <w:rPr>
                <w:rFonts w:ascii="Times New Roman" w:eastAsia="仿宋"/>
                <w:szCs w:val="24"/>
              </w:rPr>
              <w:t>1</w:t>
            </w:r>
          </w:p>
        </w:tc>
        <w:tc>
          <w:tcPr>
            <w:tcW w:w="305" w:type="pct"/>
            <w:vMerge w:val="continue"/>
            <w:shd w:val="clear" w:color="auto" w:fill="auto"/>
            <w:vAlign w:val="center"/>
          </w:tcPr>
          <w:p w14:paraId="58BE78B3">
            <w:pPr>
              <w:jc w:val="center"/>
              <w:rPr>
                <w:rFonts w:ascii="Times New Roman" w:eastAsia="仿宋"/>
                <w:szCs w:val="21"/>
              </w:rPr>
            </w:pPr>
          </w:p>
        </w:tc>
        <w:tc>
          <w:tcPr>
            <w:tcW w:w="355" w:type="pct"/>
            <w:shd w:val="clear" w:color="auto" w:fill="auto"/>
            <w:vAlign w:val="center"/>
          </w:tcPr>
          <w:p w14:paraId="0B525827">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4651D5DB">
            <w:pPr>
              <w:widowControl/>
              <w:jc w:val="center"/>
              <w:textAlignment w:val="center"/>
              <w:rPr>
                <w:rFonts w:ascii="Times New Roman" w:eastAsia="仿宋"/>
                <w:szCs w:val="24"/>
              </w:rPr>
            </w:pPr>
            <w:r>
              <w:rPr>
                <w:rFonts w:hint="eastAsia" w:ascii="Times New Roman" w:eastAsia="仿宋"/>
                <w:szCs w:val="24"/>
              </w:rPr>
              <w:t>19.23</w:t>
            </w:r>
          </w:p>
        </w:tc>
        <w:tc>
          <w:tcPr>
            <w:tcW w:w="291" w:type="pct"/>
            <w:shd w:val="clear" w:color="auto" w:fill="auto"/>
            <w:vAlign w:val="center"/>
          </w:tcPr>
          <w:p w14:paraId="0DB4EDB2">
            <w:pPr>
              <w:widowControl/>
              <w:jc w:val="center"/>
              <w:textAlignment w:val="center"/>
              <w:rPr>
                <w:rFonts w:ascii="Times New Roman" w:eastAsia="仿宋"/>
                <w:szCs w:val="24"/>
              </w:rPr>
            </w:pPr>
            <w:r>
              <w:rPr>
                <w:rFonts w:hint="eastAsia" w:ascii="Times New Roman" w:eastAsia="仿宋"/>
                <w:szCs w:val="24"/>
              </w:rPr>
              <w:t>0.5</w:t>
            </w:r>
          </w:p>
        </w:tc>
        <w:tc>
          <w:tcPr>
            <w:tcW w:w="295" w:type="pct"/>
            <w:shd w:val="clear" w:color="auto" w:fill="auto"/>
            <w:vAlign w:val="center"/>
          </w:tcPr>
          <w:p w14:paraId="028140D2">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346" w:type="pct"/>
            <w:vMerge w:val="continue"/>
            <w:vAlign w:val="center"/>
          </w:tcPr>
          <w:p w14:paraId="36ED794C">
            <w:pPr>
              <w:widowControl/>
              <w:jc w:val="center"/>
              <w:rPr>
                <w:rFonts w:ascii="Times New Roman" w:eastAsia="仿宋"/>
                <w:szCs w:val="24"/>
              </w:rPr>
            </w:pPr>
          </w:p>
        </w:tc>
        <w:tc>
          <w:tcPr>
            <w:tcW w:w="244" w:type="pct"/>
            <w:vMerge w:val="continue"/>
            <w:vAlign w:val="center"/>
          </w:tcPr>
          <w:p w14:paraId="75AE52FD">
            <w:pPr>
              <w:widowControl/>
              <w:jc w:val="center"/>
              <w:rPr>
                <w:rFonts w:ascii="Times New Roman" w:eastAsia="仿宋"/>
                <w:szCs w:val="24"/>
              </w:rPr>
            </w:pPr>
          </w:p>
        </w:tc>
        <w:tc>
          <w:tcPr>
            <w:tcW w:w="356" w:type="pct"/>
            <w:vAlign w:val="center"/>
          </w:tcPr>
          <w:p w14:paraId="0400A90C">
            <w:pPr>
              <w:widowControl/>
              <w:jc w:val="center"/>
              <w:rPr>
                <w:rFonts w:ascii="Times New Roman" w:eastAsia="仿宋"/>
                <w:szCs w:val="24"/>
              </w:rPr>
            </w:pPr>
            <w:r>
              <w:rPr>
                <w:rFonts w:hint="eastAsia" w:ascii="Times New Roman" w:eastAsia="仿宋"/>
                <w:szCs w:val="24"/>
              </w:rPr>
              <w:t>/</w:t>
            </w:r>
          </w:p>
        </w:tc>
        <w:tc>
          <w:tcPr>
            <w:tcW w:w="364" w:type="pct"/>
            <w:vAlign w:val="center"/>
          </w:tcPr>
          <w:p w14:paraId="2EE21F19">
            <w:pPr>
              <w:widowControl/>
              <w:jc w:val="center"/>
              <w:rPr>
                <w:rFonts w:ascii="Times New Roman" w:eastAsia="仿宋"/>
                <w:szCs w:val="24"/>
              </w:rPr>
            </w:pPr>
            <w:r>
              <w:rPr>
                <w:rFonts w:hint="eastAsia" w:ascii="Times New Roman" w:eastAsia="仿宋"/>
                <w:szCs w:val="24"/>
              </w:rPr>
              <w:t>/</w:t>
            </w:r>
          </w:p>
        </w:tc>
        <w:tc>
          <w:tcPr>
            <w:tcW w:w="364" w:type="pct"/>
            <w:vAlign w:val="center"/>
          </w:tcPr>
          <w:p w14:paraId="2D0D00CB">
            <w:pPr>
              <w:widowControl/>
              <w:jc w:val="center"/>
              <w:rPr>
                <w:rFonts w:ascii="Times New Roman" w:eastAsia="仿宋"/>
                <w:szCs w:val="24"/>
              </w:rPr>
            </w:pPr>
            <w:r>
              <w:rPr>
                <w:rFonts w:hint="eastAsia" w:ascii="Times New Roman" w:eastAsia="仿宋"/>
                <w:szCs w:val="24"/>
              </w:rPr>
              <w:t>/</w:t>
            </w:r>
          </w:p>
        </w:tc>
        <w:tc>
          <w:tcPr>
            <w:tcW w:w="288" w:type="pct"/>
            <w:vAlign w:val="center"/>
          </w:tcPr>
          <w:p w14:paraId="5E5AE19D">
            <w:pPr>
              <w:widowControl/>
              <w:jc w:val="center"/>
              <w:rPr>
                <w:rFonts w:ascii="Times New Roman" w:eastAsia="仿宋"/>
                <w:szCs w:val="24"/>
              </w:rPr>
            </w:pPr>
            <w:r>
              <w:rPr>
                <w:rFonts w:hint="eastAsia" w:ascii="Times New Roman" w:eastAsia="仿宋"/>
                <w:szCs w:val="24"/>
              </w:rPr>
              <w:t>/</w:t>
            </w:r>
          </w:p>
        </w:tc>
        <w:tc>
          <w:tcPr>
            <w:tcW w:w="270" w:type="pct"/>
            <w:vAlign w:val="center"/>
          </w:tcPr>
          <w:p w14:paraId="06E68B41">
            <w:pPr>
              <w:widowControl/>
              <w:jc w:val="center"/>
              <w:rPr>
                <w:rFonts w:ascii="Times New Roman" w:eastAsia="仿宋"/>
                <w:szCs w:val="24"/>
              </w:rPr>
            </w:pPr>
            <w:r>
              <w:rPr>
                <w:rFonts w:hint="eastAsia" w:ascii="Times New Roman" w:eastAsia="仿宋"/>
                <w:szCs w:val="24"/>
              </w:rPr>
              <w:t>/</w:t>
            </w:r>
          </w:p>
        </w:tc>
        <w:tc>
          <w:tcPr>
            <w:tcW w:w="364" w:type="pct"/>
            <w:vAlign w:val="center"/>
          </w:tcPr>
          <w:p w14:paraId="68C2FFE2">
            <w:pPr>
              <w:widowControl/>
              <w:jc w:val="center"/>
              <w:rPr>
                <w:rFonts w:ascii="Times New Roman" w:eastAsia="仿宋"/>
                <w:szCs w:val="24"/>
              </w:rPr>
            </w:pPr>
            <w:r>
              <w:rPr>
                <w:rFonts w:hint="eastAsia" w:ascii="Times New Roman" w:eastAsia="仿宋"/>
                <w:szCs w:val="24"/>
              </w:rPr>
              <w:t>/</w:t>
            </w:r>
          </w:p>
        </w:tc>
        <w:tc>
          <w:tcPr>
            <w:tcW w:w="288" w:type="pct"/>
            <w:vAlign w:val="center"/>
          </w:tcPr>
          <w:p w14:paraId="61EA6CDB">
            <w:pPr>
              <w:widowControl/>
              <w:jc w:val="center"/>
              <w:rPr>
                <w:rFonts w:ascii="Times New Roman" w:eastAsia="仿宋"/>
                <w:szCs w:val="24"/>
              </w:rPr>
            </w:pPr>
            <w:r>
              <w:rPr>
                <w:rFonts w:hint="eastAsia" w:ascii="Times New Roman" w:eastAsia="仿宋"/>
                <w:szCs w:val="24"/>
              </w:rPr>
              <w:t>/</w:t>
            </w:r>
          </w:p>
        </w:tc>
      </w:tr>
      <w:tr w14:paraId="5A06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6E41722">
            <w:pPr>
              <w:widowControl/>
              <w:jc w:val="center"/>
              <w:rPr>
                <w:rFonts w:ascii="Times New Roman" w:eastAsia="仿宋"/>
                <w:szCs w:val="24"/>
              </w:rPr>
            </w:pPr>
          </w:p>
        </w:tc>
        <w:tc>
          <w:tcPr>
            <w:tcW w:w="391" w:type="pct"/>
            <w:vMerge w:val="continue"/>
            <w:vAlign w:val="center"/>
          </w:tcPr>
          <w:p w14:paraId="202A70C7">
            <w:pPr>
              <w:adjustRightInd w:val="0"/>
              <w:snapToGrid w:val="0"/>
              <w:jc w:val="center"/>
              <w:rPr>
                <w:rFonts w:ascii="Times New Roman" w:eastAsia="仿宋"/>
                <w:szCs w:val="24"/>
              </w:rPr>
            </w:pPr>
          </w:p>
        </w:tc>
        <w:tc>
          <w:tcPr>
            <w:tcW w:w="305" w:type="pct"/>
            <w:vMerge w:val="continue"/>
            <w:shd w:val="clear" w:color="auto" w:fill="auto"/>
            <w:vAlign w:val="center"/>
          </w:tcPr>
          <w:p w14:paraId="07748D41">
            <w:pPr>
              <w:jc w:val="center"/>
              <w:rPr>
                <w:rFonts w:ascii="Times New Roman" w:eastAsia="仿宋"/>
                <w:szCs w:val="21"/>
              </w:rPr>
            </w:pPr>
          </w:p>
        </w:tc>
        <w:tc>
          <w:tcPr>
            <w:tcW w:w="355" w:type="pct"/>
            <w:shd w:val="clear" w:color="auto" w:fill="auto"/>
            <w:vAlign w:val="center"/>
          </w:tcPr>
          <w:p w14:paraId="2CC2C738">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78047311">
            <w:pPr>
              <w:widowControl/>
              <w:jc w:val="center"/>
              <w:textAlignment w:val="center"/>
              <w:rPr>
                <w:rFonts w:ascii="Times New Roman" w:eastAsia="仿宋"/>
                <w:szCs w:val="24"/>
              </w:rPr>
            </w:pPr>
            <w:r>
              <w:rPr>
                <w:rFonts w:hint="eastAsia" w:ascii="Times New Roman" w:eastAsia="仿宋"/>
                <w:szCs w:val="24"/>
              </w:rPr>
              <w:t>19.23</w:t>
            </w:r>
          </w:p>
        </w:tc>
        <w:tc>
          <w:tcPr>
            <w:tcW w:w="291" w:type="pct"/>
            <w:shd w:val="clear" w:color="auto" w:fill="auto"/>
            <w:vAlign w:val="center"/>
          </w:tcPr>
          <w:p w14:paraId="5065BE7D">
            <w:pPr>
              <w:widowControl/>
              <w:jc w:val="center"/>
              <w:textAlignment w:val="center"/>
              <w:rPr>
                <w:rFonts w:ascii="Times New Roman" w:eastAsia="仿宋"/>
                <w:szCs w:val="24"/>
              </w:rPr>
            </w:pPr>
            <w:r>
              <w:rPr>
                <w:rFonts w:hint="eastAsia" w:ascii="Times New Roman" w:eastAsia="仿宋"/>
                <w:szCs w:val="24"/>
              </w:rPr>
              <w:t>0.5</w:t>
            </w:r>
          </w:p>
        </w:tc>
        <w:tc>
          <w:tcPr>
            <w:tcW w:w="295" w:type="pct"/>
            <w:shd w:val="clear" w:color="auto" w:fill="auto"/>
            <w:vAlign w:val="center"/>
          </w:tcPr>
          <w:p w14:paraId="273635DF">
            <w:pPr>
              <w:jc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2</w:t>
            </w:r>
          </w:p>
        </w:tc>
        <w:tc>
          <w:tcPr>
            <w:tcW w:w="346" w:type="pct"/>
            <w:vMerge w:val="continue"/>
            <w:vAlign w:val="center"/>
          </w:tcPr>
          <w:p w14:paraId="77063C5D">
            <w:pPr>
              <w:widowControl/>
              <w:jc w:val="center"/>
              <w:rPr>
                <w:rFonts w:ascii="Times New Roman" w:eastAsia="仿宋"/>
                <w:szCs w:val="24"/>
              </w:rPr>
            </w:pPr>
          </w:p>
        </w:tc>
        <w:tc>
          <w:tcPr>
            <w:tcW w:w="244" w:type="pct"/>
            <w:vMerge w:val="continue"/>
            <w:vAlign w:val="center"/>
          </w:tcPr>
          <w:p w14:paraId="614FA062">
            <w:pPr>
              <w:widowControl/>
              <w:jc w:val="center"/>
              <w:rPr>
                <w:rFonts w:ascii="Times New Roman" w:eastAsia="仿宋"/>
                <w:szCs w:val="24"/>
              </w:rPr>
            </w:pPr>
          </w:p>
        </w:tc>
        <w:tc>
          <w:tcPr>
            <w:tcW w:w="356" w:type="pct"/>
            <w:vAlign w:val="center"/>
          </w:tcPr>
          <w:p w14:paraId="6F04A8C4">
            <w:pPr>
              <w:widowControl/>
              <w:jc w:val="center"/>
              <w:rPr>
                <w:rFonts w:ascii="Times New Roman" w:eastAsia="仿宋"/>
                <w:szCs w:val="24"/>
              </w:rPr>
            </w:pPr>
            <w:r>
              <w:rPr>
                <w:rFonts w:hint="eastAsia" w:ascii="Times New Roman" w:eastAsia="仿宋"/>
                <w:szCs w:val="24"/>
              </w:rPr>
              <w:t>/</w:t>
            </w:r>
          </w:p>
        </w:tc>
        <w:tc>
          <w:tcPr>
            <w:tcW w:w="364" w:type="pct"/>
            <w:vAlign w:val="center"/>
          </w:tcPr>
          <w:p w14:paraId="06F81F9F">
            <w:pPr>
              <w:widowControl/>
              <w:jc w:val="center"/>
              <w:rPr>
                <w:rFonts w:ascii="Times New Roman" w:eastAsia="仿宋"/>
                <w:szCs w:val="24"/>
              </w:rPr>
            </w:pPr>
            <w:r>
              <w:rPr>
                <w:rFonts w:hint="eastAsia" w:ascii="Times New Roman" w:eastAsia="仿宋"/>
                <w:szCs w:val="24"/>
              </w:rPr>
              <w:t>/</w:t>
            </w:r>
          </w:p>
        </w:tc>
        <w:tc>
          <w:tcPr>
            <w:tcW w:w="364" w:type="pct"/>
            <w:vAlign w:val="center"/>
          </w:tcPr>
          <w:p w14:paraId="3F1F2CC7">
            <w:pPr>
              <w:widowControl/>
              <w:jc w:val="center"/>
              <w:rPr>
                <w:rFonts w:ascii="Times New Roman" w:eastAsia="仿宋"/>
                <w:szCs w:val="24"/>
              </w:rPr>
            </w:pPr>
            <w:r>
              <w:rPr>
                <w:rFonts w:hint="eastAsia" w:ascii="Times New Roman" w:eastAsia="仿宋"/>
                <w:szCs w:val="24"/>
              </w:rPr>
              <w:t>/</w:t>
            </w:r>
          </w:p>
        </w:tc>
        <w:tc>
          <w:tcPr>
            <w:tcW w:w="288" w:type="pct"/>
            <w:vAlign w:val="center"/>
          </w:tcPr>
          <w:p w14:paraId="2C6B368A">
            <w:pPr>
              <w:widowControl/>
              <w:jc w:val="center"/>
              <w:rPr>
                <w:rFonts w:ascii="Times New Roman" w:eastAsia="仿宋"/>
                <w:szCs w:val="24"/>
              </w:rPr>
            </w:pPr>
            <w:r>
              <w:rPr>
                <w:rFonts w:hint="eastAsia" w:ascii="Times New Roman" w:eastAsia="仿宋"/>
                <w:szCs w:val="24"/>
              </w:rPr>
              <w:t>/</w:t>
            </w:r>
          </w:p>
        </w:tc>
        <w:tc>
          <w:tcPr>
            <w:tcW w:w="270" w:type="pct"/>
            <w:vAlign w:val="center"/>
          </w:tcPr>
          <w:p w14:paraId="6CA5B1B3">
            <w:pPr>
              <w:widowControl/>
              <w:jc w:val="center"/>
              <w:rPr>
                <w:rFonts w:ascii="Times New Roman" w:eastAsia="仿宋"/>
                <w:szCs w:val="24"/>
              </w:rPr>
            </w:pPr>
            <w:r>
              <w:rPr>
                <w:rFonts w:hint="eastAsia" w:ascii="Times New Roman" w:eastAsia="仿宋"/>
                <w:szCs w:val="24"/>
              </w:rPr>
              <w:t>/</w:t>
            </w:r>
          </w:p>
        </w:tc>
        <w:tc>
          <w:tcPr>
            <w:tcW w:w="364" w:type="pct"/>
            <w:vAlign w:val="center"/>
          </w:tcPr>
          <w:p w14:paraId="71922898">
            <w:pPr>
              <w:widowControl/>
              <w:jc w:val="center"/>
              <w:rPr>
                <w:rFonts w:ascii="Times New Roman" w:eastAsia="仿宋"/>
                <w:szCs w:val="24"/>
              </w:rPr>
            </w:pPr>
            <w:r>
              <w:rPr>
                <w:rFonts w:hint="eastAsia" w:ascii="Times New Roman" w:eastAsia="仿宋"/>
                <w:szCs w:val="24"/>
              </w:rPr>
              <w:t>/</w:t>
            </w:r>
          </w:p>
        </w:tc>
        <w:tc>
          <w:tcPr>
            <w:tcW w:w="288" w:type="pct"/>
            <w:vAlign w:val="center"/>
          </w:tcPr>
          <w:p w14:paraId="2D346810">
            <w:pPr>
              <w:widowControl/>
              <w:jc w:val="center"/>
              <w:rPr>
                <w:rFonts w:ascii="Times New Roman" w:eastAsia="仿宋"/>
                <w:szCs w:val="24"/>
              </w:rPr>
            </w:pPr>
            <w:r>
              <w:rPr>
                <w:rFonts w:hint="eastAsia" w:ascii="Times New Roman" w:eastAsia="仿宋"/>
                <w:szCs w:val="24"/>
              </w:rPr>
              <w:t>/</w:t>
            </w:r>
          </w:p>
        </w:tc>
      </w:tr>
      <w:tr w14:paraId="4D01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10060B60">
            <w:pPr>
              <w:widowControl/>
              <w:jc w:val="center"/>
              <w:rPr>
                <w:rFonts w:ascii="Times New Roman" w:eastAsia="仿宋"/>
                <w:szCs w:val="24"/>
              </w:rPr>
            </w:pPr>
          </w:p>
        </w:tc>
        <w:tc>
          <w:tcPr>
            <w:tcW w:w="391" w:type="pct"/>
            <w:vMerge w:val="continue"/>
            <w:vAlign w:val="center"/>
          </w:tcPr>
          <w:p w14:paraId="6993E5EF">
            <w:pPr>
              <w:adjustRightInd w:val="0"/>
              <w:snapToGrid w:val="0"/>
              <w:jc w:val="center"/>
              <w:rPr>
                <w:rFonts w:ascii="Times New Roman" w:eastAsia="仿宋"/>
                <w:szCs w:val="24"/>
              </w:rPr>
            </w:pPr>
          </w:p>
        </w:tc>
        <w:tc>
          <w:tcPr>
            <w:tcW w:w="305" w:type="pct"/>
            <w:vMerge w:val="continue"/>
            <w:shd w:val="clear" w:color="auto" w:fill="auto"/>
            <w:vAlign w:val="center"/>
          </w:tcPr>
          <w:p w14:paraId="454A2CFC">
            <w:pPr>
              <w:jc w:val="center"/>
              <w:rPr>
                <w:rFonts w:ascii="Times New Roman" w:eastAsia="仿宋"/>
                <w:szCs w:val="21"/>
              </w:rPr>
            </w:pPr>
          </w:p>
        </w:tc>
        <w:tc>
          <w:tcPr>
            <w:tcW w:w="355" w:type="pct"/>
            <w:shd w:val="clear" w:color="auto" w:fill="auto"/>
            <w:vAlign w:val="center"/>
          </w:tcPr>
          <w:p w14:paraId="4D84173A">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7A056E24">
            <w:pPr>
              <w:widowControl/>
              <w:jc w:val="center"/>
              <w:textAlignment w:val="center"/>
              <w:rPr>
                <w:rFonts w:ascii="Times New Roman" w:eastAsia="仿宋"/>
                <w:szCs w:val="24"/>
              </w:rPr>
            </w:pPr>
            <w:r>
              <w:rPr>
                <w:rFonts w:hint="eastAsia" w:ascii="Times New Roman" w:eastAsia="仿宋"/>
                <w:szCs w:val="24"/>
              </w:rPr>
              <w:t>5.77</w:t>
            </w:r>
          </w:p>
        </w:tc>
        <w:tc>
          <w:tcPr>
            <w:tcW w:w="291" w:type="pct"/>
            <w:shd w:val="clear" w:color="auto" w:fill="auto"/>
            <w:vAlign w:val="center"/>
          </w:tcPr>
          <w:p w14:paraId="5220D4B7">
            <w:pPr>
              <w:widowControl/>
              <w:jc w:val="center"/>
              <w:textAlignment w:val="center"/>
              <w:rPr>
                <w:rFonts w:ascii="Times New Roman" w:eastAsia="仿宋"/>
                <w:szCs w:val="24"/>
              </w:rPr>
            </w:pPr>
            <w:r>
              <w:rPr>
                <w:rFonts w:hint="eastAsia" w:ascii="Times New Roman" w:eastAsia="仿宋"/>
                <w:szCs w:val="24"/>
              </w:rPr>
              <w:t>0.15</w:t>
            </w:r>
          </w:p>
        </w:tc>
        <w:tc>
          <w:tcPr>
            <w:tcW w:w="295" w:type="pct"/>
            <w:shd w:val="clear" w:color="auto" w:fill="auto"/>
            <w:vAlign w:val="center"/>
          </w:tcPr>
          <w:p w14:paraId="39FB665B">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346" w:type="pct"/>
            <w:vMerge w:val="continue"/>
            <w:vAlign w:val="center"/>
          </w:tcPr>
          <w:p w14:paraId="25744B9E">
            <w:pPr>
              <w:widowControl/>
              <w:jc w:val="center"/>
              <w:rPr>
                <w:rFonts w:ascii="Times New Roman" w:eastAsia="仿宋"/>
                <w:szCs w:val="24"/>
              </w:rPr>
            </w:pPr>
          </w:p>
        </w:tc>
        <w:tc>
          <w:tcPr>
            <w:tcW w:w="244" w:type="pct"/>
            <w:vMerge w:val="continue"/>
            <w:vAlign w:val="center"/>
          </w:tcPr>
          <w:p w14:paraId="1BD541CE">
            <w:pPr>
              <w:widowControl/>
              <w:jc w:val="center"/>
              <w:rPr>
                <w:rFonts w:ascii="Times New Roman" w:eastAsia="仿宋"/>
                <w:szCs w:val="24"/>
              </w:rPr>
            </w:pPr>
          </w:p>
        </w:tc>
        <w:tc>
          <w:tcPr>
            <w:tcW w:w="356" w:type="pct"/>
            <w:vAlign w:val="center"/>
          </w:tcPr>
          <w:p w14:paraId="51E622A8">
            <w:pPr>
              <w:widowControl/>
              <w:jc w:val="center"/>
              <w:rPr>
                <w:rFonts w:ascii="Times New Roman" w:eastAsia="仿宋"/>
                <w:szCs w:val="24"/>
              </w:rPr>
            </w:pPr>
            <w:r>
              <w:rPr>
                <w:rFonts w:hint="eastAsia" w:ascii="Times New Roman" w:eastAsia="仿宋"/>
                <w:szCs w:val="24"/>
              </w:rPr>
              <w:t>/</w:t>
            </w:r>
          </w:p>
        </w:tc>
        <w:tc>
          <w:tcPr>
            <w:tcW w:w="364" w:type="pct"/>
            <w:vAlign w:val="center"/>
          </w:tcPr>
          <w:p w14:paraId="58EEB50E">
            <w:pPr>
              <w:widowControl/>
              <w:jc w:val="center"/>
              <w:rPr>
                <w:rFonts w:ascii="Times New Roman" w:eastAsia="仿宋"/>
                <w:szCs w:val="24"/>
              </w:rPr>
            </w:pPr>
            <w:r>
              <w:rPr>
                <w:rFonts w:hint="eastAsia" w:ascii="Times New Roman" w:eastAsia="仿宋"/>
                <w:szCs w:val="24"/>
              </w:rPr>
              <w:t>/</w:t>
            </w:r>
          </w:p>
        </w:tc>
        <w:tc>
          <w:tcPr>
            <w:tcW w:w="364" w:type="pct"/>
            <w:vAlign w:val="center"/>
          </w:tcPr>
          <w:p w14:paraId="03E036C5">
            <w:pPr>
              <w:widowControl/>
              <w:jc w:val="center"/>
              <w:rPr>
                <w:rFonts w:ascii="Times New Roman" w:eastAsia="仿宋"/>
                <w:szCs w:val="24"/>
              </w:rPr>
            </w:pPr>
            <w:r>
              <w:rPr>
                <w:rFonts w:hint="eastAsia" w:ascii="Times New Roman" w:eastAsia="仿宋"/>
                <w:szCs w:val="24"/>
              </w:rPr>
              <w:t>/</w:t>
            </w:r>
          </w:p>
        </w:tc>
        <w:tc>
          <w:tcPr>
            <w:tcW w:w="288" w:type="pct"/>
            <w:vAlign w:val="center"/>
          </w:tcPr>
          <w:p w14:paraId="38CD6DAE">
            <w:pPr>
              <w:widowControl/>
              <w:jc w:val="center"/>
              <w:rPr>
                <w:rFonts w:ascii="Times New Roman" w:eastAsia="仿宋"/>
                <w:szCs w:val="24"/>
              </w:rPr>
            </w:pPr>
            <w:r>
              <w:rPr>
                <w:rFonts w:hint="eastAsia" w:ascii="Times New Roman" w:eastAsia="仿宋"/>
                <w:szCs w:val="24"/>
              </w:rPr>
              <w:t>/</w:t>
            </w:r>
          </w:p>
        </w:tc>
        <w:tc>
          <w:tcPr>
            <w:tcW w:w="270" w:type="pct"/>
            <w:vAlign w:val="center"/>
          </w:tcPr>
          <w:p w14:paraId="2E4797AC">
            <w:pPr>
              <w:widowControl/>
              <w:jc w:val="center"/>
              <w:rPr>
                <w:rFonts w:ascii="Times New Roman" w:eastAsia="仿宋"/>
                <w:szCs w:val="24"/>
              </w:rPr>
            </w:pPr>
            <w:r>
              <w:rPr>
                <w:rFonts w:hint="eastAsia" w:ascii="Times New Roman" w:eastAsia="仿宋"/>
                <w:szCs w:val="24"/>
              </w:rPr>
              <w:t>/</w:t>
            </w:r>
          </w:p>
        </w:tc>
        <w:tc>
          <w:tcPr>
            <w:tcW w:w="364" w:type="pct"/>
            <w:vAlign w:val="center"/>
          </w:tcPr>
          <w:p w14:paraId="686C6BBE">
            <w:pPr>
              <w:widowControl/>
              <w:jc w:val="center"/>
              <w:rPr>
                <w:rFonts w:ascii="Times New Roman" w:eastAsia="仿宋"/>
                <w:szCs w:val="24"/>
              </w:rPr>
            </w:pPr>
            <w:r>
              <w:rPr>
                <w:rFonts w:hint="eastAsia" w:ascii="Times New Roman" w:eastAsia="仿宋"/>
                <w:szCs w:val="24"/>
              </w:rPr>
              <w:t>/</w:t>
            </w:r>
          </w:p>
        </w:tc>
        <w:tc>
          <w:tcPr>
            <w:tcW w:w="288" w:type="pct"/>
            <w:vAlign w:val="center"/>
          </w:tcPr>
          <w:p w14:paraId="5D289890">
            <w:pPr>
              <w:widowControl/>
              <w:jc w:val="center"/>
              <w:rPr>
                <w:rFonts w:ascii="Times New Roman" w:eastAsia="仿宋"/>
                <w:szCs w:val="24"/>
              </w:rPr>
            </w:pPr>
            <w:r>
              <w:rPr>
                <w:rFonts w:hint="eastAsia" w:ascii="Times New Roman" w:eastAsia="仿宋"/>
                <w:szCs w:val="24"/>
              </w:rPr>
              <w:t>/</w:t>
            </w:r>
          </w:p>
        </w:tc>
      </w:tr>
      <w:tr w14:paraId="1BB2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DE877E6">
            <w:pPr>
              <w:widowControl/>
              <w:jc w:val="center"/>
              <w:rPr>
                <w:rFonts w:ascii="Times New Roman" w:eastAsia="仿宋"/>
                <w:szCs w:val="24"/>
              </w:rPr>
            </w:pPr>
          </w:p>
        </w:tc>
        <w:tc>
          <w:tcPr>
            <w:tcW w:w="391" w:type="pct"/>
            <w:vMerge w:val="continue"/>
            <w:vAlign w:val="center"/>
          </w:tcPr>
          <w:p w14:paraId="1BC89FC1">
            <w:pPr>
              <w:adjustRightInd w:val="0"/>
              <w:snapToGrid w:val="0"/>
              <w:jc w:val="center"/>
              <w:rPr>
                <w:rFonts w:ascii="Times New Roman" w:eastAsia="仿宋"/>
                <w:szCs w:val="24"/>
              </w:rPr>
            </w:pPr>
          </w:p>
        </w:tc>
        <w:tc>
          <w:tcPr>
            <w:tcW w:w="305" w:type="pct"/>
            <w:vMerge w:val="continue"/>
            <w:shd w:val="clear" w:color="auto" w:fill="auto"/>
            <w:vAlign w:val="center"/>
          </w:tcPr>
          <w:p w14:paraId="54EDCFCF">
            <w:pPr>
              <w:jc w:val="center"/>
              <w:rPr>
                <w:rFonts w:ascii="Times New Roman" w:eastAsia="仿宋"/>
                <w:szCs w:val="21"/>
              </w:rPr>
            </w:pPr>
          </w:p>
        </w:tc>
        <w:tc>
          <w:tcPr>
            <w:tcW w:w="355" w:type="pct"/>
            <w:shd w:val="clear" w:color="auto" w:fill="auto"/>
            <w:vAlign w:val="center"/>
          </w:tcPr>
          <w:p w14:paraId="748FCAC1">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7AAEF1BB">
            <w:pPr>
              <w:widowControl/>
              <w:jc w:val="center"/>
              <w:textAlignment w:val="center"/>
              <w:rPr>
                <w:rFonts w:ascii="Times New Roman" w:eastAsia="仿宋"/>
                <w:szCs w:val="24"/>
              </w:rPr>
            </w:pPr>
            <w:r>
              <w:rPr>
                <w:rFonts w:hint="eastAsia" w:ascii="Times New Roman" w:eastAsia="仿宋"/>
                <w:szCs w:val="24"/>
              </w:rPr>
              <w:t>5.77</w:t>
            </w:r>
          </w:p>
        </w:tc>
        <w:tc>
          <w:tcPr>
            <w:tcW w:w="291" w:type="pct"/>
            <w:shd w:val="clear" w:color="auto" w:fill="auto"/>
            <w:vAlign w:val="center"/>
          </w:tcPr>
          <w:p w14:paraId="539D43D9">
            <w:pPr>
              <w:widowControl/>
              <w:jc w:val="center"/>
              <w:textAlignment w:val="center"/>
              <w:rPr>
                <w:rFonts w:ascii="Times New Roman" w:eastAsia="仿宋"/>
                <w:szCs w:val="24"/>
              </w:rPr>
            </w:pPr>
            <w:r>
              <w:rPr>
                <w:rFonts w:hint="eastAsia" w:ascii="Times New Roman" w:eastAsia="仿宋"/>
                <w:szCs w:val="24"/>
              </w:rPr>
              <w:t>0.15</w:t>
            </w:r>
          </w:p>
        </w:tc>
        <w:tc>
          <w:tcPr>
            <w:tcW w:w="295" w:type="pct"/>
            <w:shd w:val="clear" w:color="auto" w:fill="auto"/>
            <w:vAlign w:val="center"/>
          </w:tcPr>
          <w:p w14:paraId="4B39E329">
            <w:pPr>
              <w:jc w:val="center"/>
              <w:rPr>
                <w:rFonts w:ascii="Times New Roman" w:eastAsia="仿宋"/>
                <w:szCs w:val="21"/>
              </w:rPr>
            </w:pPr>
            <w:r>
              <w:rPr>
                <w:rFonts w:hint="eastAsia" w:ascii="Times New Roman" w:eastAsia="仿宋"/>
                <w:szCs w:val="21"/>
              </w:rPr>
              <w:t>0</w:t>
            </w:r>
            <w:r>
              <w:rPr>
                <w:rFonts w:ascii="Times New Roman" w:eastAsia="仿宋"/>
                <w:szCs w:val="21"/>
              </w:rPr>
              <w:t>.7</w:t>
            </w:r>
          </w:p>
        </w:tc>
        <w:tc>
          <w:tcPr>
            <w:tcW w:w="346" w:type="pct"/>
            <w:vMerge w:val="continue"/>
            <w:vAlign w:val="center"/>
          </w:tcPr>
          <w:p w14:paraId="47AC1D40">
            <w:pPr>
              <w:widowControl/>
              <w:jc w:val="center"/>
              <w:rPr>
                <w:rFonts w:ascii="Times New Roman" w:eastAsia="仿宋"/>
                <w:szCs w:val="24"/>
              </w:rPr>
            </w:pPr>
          </w:p>
        </w:tc>
        <w:tc>
          <w:tcPr>
            <w:tcW w:w="244" w:type="pct"/>
            <w:vMerge w:val="continue"/>
            <w:vAlign w:val="center"/>
          </w:tcPr>
          <w:p w14:paraId="793E7F9A">
            <w:pPr>
              <w:widowControl/>
              <w:jc w:val="center"/>
              <w:rPr>
                <w:rFonts w:ascii="Times New Roman" w:eastAsia="仿宋"/>
                <w:szCs w:val="24"/>
              </w:rPr>
            </w:pPr>
          </w:p>
        </w:tc>
        <w:tc>
          <w:tcPr>
            <w:tcW w:w="356" w:type="pct"/>
            <w:vAlign w:val="center"/>
          </w:tcPr>
          <w:p w14:paraId="162B6932">
            <w:pPr>
              <w:widowControl/>
              <w:jc w:val="center"/>
              <w:rPr>
                <w:rFonts w:ascii="Times New Roman" w:eastAsia="仿宋"/>
                <w:szCs w:val="24"/>
              </w:rPr>
            </w:pPr>
            <w:r>
              <w:rPr>
                <w:rFonts w:hint="eastAsia" w:ascii="Times New Roman" w:eastAsia="仿宋"/>
                <w:szCs w:val="24"/>
              </w:rPr>
              <w:t>/</w:t>
            </w:r>
          </w:p>
        </w:tc>
        <w:tc>
          <w:tcPr>
            <w:tcW w:w="364" w:type="pct"/>
            <w:vAlign w:val="center"/>
          </w:tcPr>
          <w:p w14:paraId="61F603F0">
            <w:pPr>
              <w:widowControl/>
              <w:jc w:val="center"/>
              <w:rPr>
                <w:rFonts w:ascii="Times New Roman" w:eastAsia="仿宋"/>
                <w:szCs w:val="24"/>
              </w:rPr>
            </w:pPr>
            <w:r>
              <w:rPr>
                <w:rFonts w:hint="eastAsia" w:ascii="Times New Roman" w:eastAsia="仿宋"/>
                <w:szCs w:val="24"/>
              </w:rPr>
              <w:t>/</w:t>
            </w:r>
          </w:p>
        </w:tc>
        <w:tc>
          <w:tcPr>
            <w:tcW w:w="364" w:type="pct"/>
            <w:vAlign w:val="center"/>
          </w:tcPr>
          <w:p w14:paraId="1890D41E">
            <w:pPr>
              <w:widowControl/>
              <w:jc w:val="center"/>
              <w:rPr>
                <w:rFonts w:ascii="Times New Roman" w:eastAsia="仿宋"/>
                <w:szCs w:val="24"/>
              </w:rPr>
            </w:pPr>
            <w:r>
              <w:rPr>
                <w:rFonts w:hint="eastAsia" w:ascii="Times New Roman" w:eastAsia="仿宋"/>
                <w:szCs w:val="24"/>
              </w:rPr>
              <w:t>/</w:t>
            </w:r>
          </w:p>
        </w:tc>
        <w:tc>
          <w:tcPr>
            <w:tcW w:w="288" w:type="pct"/>
            <w:vAlign w:val="center"/>
          </w:tcPr>
          <w:p w14:paraId="34B28B46">
            <w:pPr>
              <w:widowControl/>
              <w:jc w:val="center"/>
              <w:rPr>
                <w:rFonts w:ascii="Times New Roman" w:eastAsia="仿宋"/>
                <w:szCs w:val="24"/>
              </w:rPr>
            </w:pPr>
            <w:r>
              <w:rPr>
                <w:rFonts w:hint="eastAsia" w:ascii="Times New Roman" w:eastAsia="仿宋"/>
                <w:szCs w:val="24"/>
              </w:rPr>
              <w:t>/</w:t>
            </w:r>
          </w:p>
        </w:tc>
        <w:tc>
          <w:tcPr>
            <w:tcW w:w="270" w:type="pct"/>
            <w:vAlign w:val="center"/>
          </w:tcPr>
          <w:p w14:paraId="128364DC">
            <w:pPr>
              <w:widowControl/>
              <w:jc w:val="center"/>
              <w:rPr>
                <w:rFonts w:ascii="Times New Roman" w:eastAsia="仿宋"/>
                <w:szCs w:val="24"/>
              </w:rPr>
            </w:pPr>
            <w:r>
              <w:rPr>
                <w:rFonts w:hint="eastAsia" w:ascii="Times New Roman" w:eastAsia="仿宋"/>
                <w:szCs w:val="24"/>
              </w:rPr>
              <w:t>/</w:t>
            </w:r>
          </w:p>
        </w:tc>
        <w:tc>
          <w:tcPr>
            <w:tcW w:w="364" w:type="pct"/>
            <w:vAlign w:val="center"/>
          </w:tcPr>
          <w:p w14:paraId="1B3FE8AB">
            <w:pPr>
              <w:widowControl/>
              <w:jc w:val="center"/>
              <w:rPr>
                <w:rFonts w:ascii="Times New Roman" w:eastAsia="仿宋"/>
                <w:szCs w:val="24"/>
              </w:rPr>
            </w:pPr>
            <w:r>
              <w:rPr>
                <w:rFonts w:hint="eastAsia" w:ascii="Times New Roman" w:eastAsia="仿宋"/>
                <w:szCs w:val="24"/>
              </w:rPr>
              <w:t>/</w:t>
            </w:r>
          </w:p>
        </w:tc>
        <w:tc>
          <w:tcPr>
            <w:tcW w:w="288" w:type="pct"/>
            <w:vAlign w:val="center"/>
          </w:tcPr>
          <w:p w14:paraId="5906E7A9">
            <w:pPr>
              <w:widowControl/>
              <w:jc w:val="center"/>
              <w:rPr>
                <w:rFonts w:ascii="Times New Roman" w:eastAsia="仿宋"/>
                <w:szCs w:val="24"/>
              </w:rPr>
            </w:pPr>
            <w:r>
              <w:rPr>
                <w:rFonts w:hint="eastAsia" w:ascii="Times New Roman" w:eastAsia="仿宋"/>
                <w:szCs w:val="24"/>
              </w:rPr>
              <w:t>/</w:t>
            </w:r>
          </w:p>
        </w:tc>
      </w:tr>
      <w:tr w14:paraId="1F2E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38418748">
            <w:pPr>
              <w:widowControl/>
              <w:jc w:val="center"/>
              <w:rPr>
                <w:rFonts w:ascii="Times New Roman" w:eastAsia="仿宋"/>
                <w:szCs w:val="24"/>
              </w:rPr>
            </w:pPr>
          </w:p>
        </w:tc>
        <w:tc>
          <w:tcPr>
            <w:tcW w:w="391" w:type="pct"/>
            <w:vMerge w:val="restart"/>
            <w:vAlign w:val="center"/>
          </w:tcPr>
          <w:p w14:paraId="73E3D3D8">
            <w:pPr>
              <w:adjustRightInd w:val="0"/>
              <w:snapToGrid w:val="0"/>
              <w:jc w:val="center"/>
              <w:rPr>
                <w:rFonts w:ascii="Times New Roman" w:eastAsia="仿宋"/>
                <w:szCs w:val="24"/>
              </w:rPr>
            </w:pPr>
            <w:r>
              <w:rPr>
                <w:rFonts w:hint="eastAsia" w:ascii="Times New Roman" w:eastAsia="仿宋"/>
                <w:szCs w:val="24"/>
              </w:rPr>
              <w:t>天然气燃烧废气G5</w:t>
            </w:r>
          </w:p>
        </w:tc>
        <w:tc>
          <w:tcPr>
            <w:tcW w:w="305" w:type="pct"/>
            <w:vMerge w:val="continue"/>
            <w:shd w:val="clear" w:color="auto" w:fill="auto"/>
            <w:vAlign w:val="center"/>
          </w:tcPr>
          <w:p w14:paraId="20939B36">
            <w:pPr>
              <w:adjustRightInd w:val="0"/>
              <w:snapToGrid w:val="0"/>
              <w:jc w:val="center"/>
              <w:rPr>
                <w:rFonts w:ascii="Times New Roman" w:eastAsia="仿宋"/>
                <w:szCs w:val="24"/>
              </w:rPr>
            </w:pPr>
          </w:p>
        </w:tc>
        <w:tc>
          <w:tcPr>
            <w:tcW w:w="355" w:type="pct"/>
            <w:shd w:val="clear" w:color="auto" w:fill="auto"/>
            <w:vAlign w:val="center"/>
          </w:tcPr>
          <w:p w14:paraId="39DA3DC1">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309" w:type="pct"/>
            <w:shd w:val="clear" w:color="auto" w:fill="auto"/>
            <w:vAlign w:val="center"/>
          </w:tcPr>
          <w:p w14:paraId="1C9D8B2D">
            <w:pPr>
              <w:widowControl/>
              <w:jc w:val="center"/>
              <w:textAlignment w:val="center"/>
              <w:rPr>
                <w:rFonts w:ascii="Times New Roman" w:eastAsia="仿宋"/>
                <w:szCs w:val="24"/>
              </w:rPr>
            </w:pPr>
            <w:r>
              <w:rPr>
                <w:rFonts w:hint="eastAsia" w:ascii="Times New Roman" w:eastAsia="仿宋"/>
                <w:szCs w:val="24"/>
              </w:rPr>
              <w:t>0.04</w:t>
            </w:r>
          </w:p>
        </w:tc>
        <w:tc>
          <w:tcPr>
            <w:tcW w:w="291" w:type="pct"/>
            <w:shd w:val="clear" w:color="auto" w:fill="auto"/>
            <w:vAlign w:val="center"/>
          </w:tcPr>
          <w:p w14:paraId="77D63594">
            <w:pPr>
              <w:widowControl/>
              <w:jc w:val="center"/>
              <w:textAlignment w:val="center"/>
              <w:rPr>
                <w:rFonts w:ascii="Times New Roman" w:eastAsia="仿宋"/>
                <w:szCs w:val="24"/>
              </w:rPr>
            </w:pPr>
            <w:r>
              <w:rPr>
                <w:rFonts w:hint="eastAsia" w:ascii="Times New Roman" w:eastAsia="仿宋"/>
                <w:szCs w:val="24"/>
              </w:rPr>
              <w:t>0.001</w:t>
            </w:r>
          </w:p>
        </w:tc>
        <w:tc>
          <w:tcPr>
            <w:tcW w:w="295" w:type="pct"/>
            <w:shd w:val="clear" w:color="auto" w:fill="auto"/>
            <w:vAlign w:val="center"/>
          </w:tcPr>
          <w:p w14:paraId="75D2ED98">
            <w:pPr>
              <w:widowControl/>
              <w:jc w:val="center"/>
              <w:textAlignment w:val="center"/>
              <w:rPr>
                <w:rFonts w:ascii="Times New Roman" w:eastAsia="仿宋"/>
                <w:szCs w:val="24"/>
              </w:rPr>
            </w:pPr>
            <w:r>
              <w:rPr>
                <w:rFonts w:hint="eastAsia" w:ascii="Times New Roman" w:eastAsia="仿宋"/>
                <w:szCs w:val="24"/>
              </w:rPr>
              <w:t>0.005</w:t>
            </w:r>
          </w:p>
        </w:tc>
        <w:tc>
          <w:tcPr>
            <w:tcW w:w="346" w:type="pct"/>
            <w:vMerge w:val="continue"/>
            <w:vAlign w:val="center"/>
          </w:tcPr>
          <w:p w14:paraId="29056DB3">
            <w:pPr>
              <w:widowControl/>
              <w:jc w:val="center"/>
              <w:rPr>
                <w:rFonts w:ascii="Times New Roman" w:eastAsia="仿宋"/>
                <w:szCs w:val="24"/>
              </w:rPr>
            </w:pPr>
          </w:p>
        </w:tc>
        <w:tc>
          <w:tcPr>
            <w:tcW w:w="244" w:type="pct"/>
            <w:vMerge w:val="continue"/>
            <w:vAlign w:val="center"/>
          </w:tcPr>
          <w:p w14:paraId="5682BB3E">
            <w:pPr>
              <w:widowControl/>
              <w:jc w:val="center"/>
              <w:rPr>
                <w:rFonts w:ascii="Times New Roman" w:eastAsia="仿宋"/>
                <w:szCs w:val="24"/>
              </w:rPr>
            </w:pPr>
          </w:p>
        </w:tc>
        <w:tc>
          <w:tcPr>
            <w:tcW w:w="356" w:type="pct"/>
            <w:vAlign w:val="center"/>
          </w:tcPr>
          <w:p w14:paraId="5A5EE5C3">
            <w:pPr>
              <w:widowControl/>
              <w:jc w:val="center"/>
              <w:rPr>
                <w:rFonts w:ascii="Times New Roman" w:eastAsia="仿宋"/>
                <w:szCs w:val="24"/>
              </w:rPr>
            </w:pPr>
            <w:r>
              <w:rPr>
                <w:rFonts w:hint="eastAsia" w:ascii="Times New Roman" w:eastAsia="仿宋"/>
                <w:szCs w:val="24"/>
              </w:rPr>
              <w:t>/</w:t>
            </w:r>
          </w:p>
        </w:tc>
        <w:tc>
          <w:tcPr>
            <w:tcW w:w="364" w:type="pct"/>
            <w:vAlign w:val="center"/>
          </w:tcPr>
          <w:p w14:paraId="5DDE32EE">
            <w:pPr>
              <w:widowControl/>
              <w:jc w:val="center"/>
              <w:rPr>
                <w:rFonts w:ascii="Times New Roman" w:eastAsia="仿宋"/>
                <w:szCs w:val="24"/>
              </w:rPr>
            </w:pPr>
            <w:r>
              <w:rPr>
                <w:rFonts w:hint="eastAsia" w:ascii="Times New Roman" w:eastAsia="仿宋"/>
                <w:szCs w:val="24"/>
              </w:rPr>
              <w:t>/</w:t>
            </w:r>
          </w:p>
        </w:tc>
        <w:tc>
          <w:tcPr>
            <w:tcW w:w="364" w:type="pct"/>
            <w:vAlign w:val="center"/>
          </w:tcPr>
          <w:p w14:paraId="78EFCE23">
            <w:pPr>
              <w:widowControl/>
              <w:jc w:val="center"/>
              <w:rPr>
                <w:rFonts w:ascii="Times New Roman" w:eastAsia="仿宋"/>
                <w:szCs w:val="24"/>
              </w:rPr>
            </w:pPr>
            <w:r>
              <w:rPr>
                <w:rFonts w:hint="eastAsia" w:ascii="Times New Roman" w:eastAsia="仿宋"/>
                <w:szCs w:val="24"/>
              </w:rPr>
              <w:t>/</w:t>
            </w:r>
          </w:p>
        </w:tc>
        <w:tc>
          <w:tcPr>
            <w:tcW w:w="288" w:type="pct"/>
            <w:vAlign w:val="center"/>
          </w:tcPr>
          <w:p w14:paraId="2279FC90">
            <w:pPr>
              <w:widowControl/>
              <w:jc w:val="center"/>
              <w:rPr>
                <w:rFonts w:ascii="Times New Roman" w:eastAsia="仿宋"/>
                <w:szCs w:val="24"/>
              </w:rPr>
            </w:pPr>
            <w:r>
              <w:rPr>
                <w:rFonts w:hint="eastAsia" w:ascii="Times New Roman" w:eastAsia="仿宋"/>
                <w:szCs w:val="24"/>
              </w:rPr>
              <w:t>/</w:t>
            </w:r>
          </w:p>
        </w:tc>
        <w:tc>
          <w:tcPr>
            <w:tcW w:w="270" w:type="pct"/>
            <w:vAlign w:val="center"/>
          </w:tcPr>
          <w:p w14:paraId="6E3E49B2">
            <w:pPr>
              <w:widowControl/>
              <w:jc w:val="center"/>
              <w:rPr>
                <w:rFonts w:ascii="Times New Roman" w:eastAsia="仿宋"/>
                <w:szCs w:val="24"/>
              </w:rPr>
            </w:pPr>
            <w:r>
              <w:rPr>
                <w:rFonts w:hint="eastAsia" w:ascii="Times New Roman" w:eastAsia="仿宋"/>
                <w:szCs w:val="24"/>
              </w:rPr>
              <w:t>/</w:t>
            </w:r>
          </w:p>
        </w:tc>
        <w:tc>
          <w:tcPr>
            <w:tcW w:w="364" w:type="pct"/>
            <w:vAlign w:val="center"/>
          </w:tcPr>
          <w:p w14:paraId="2FB83BC7">
            <w:pPr>
              <w:widowControl/>
              <w:jc w:val="center"/>
              <w:rPr>
                <w:rFonts w:ascii="Times New Roman" w:eastAsia="仿宋"/>
                <w:szCs w:val="24"/>
              </w:rPr>
            </w:pPr>
            <w:r>
              <w:rPr>
                <w:rFonts w:hint="eastAsia" w:ascii="Times New Roman" w:eastAsia="仿宋"/>
                <w:szCs w:val="24"/>
              </w:rPr>
              <w:t>/</w:t>
            </w:r>
          </w:p>
        </w:tc>
        <w:tc>
          <w:tcPr>
            <w:tcW w:w="288" w:type="pct"/>
            <w:vAlign w:val="center"/>
          </w:tcPr>
          <w:p w14:paraId="78329096">
            <w:pPr>
              <w:widowControl/>
              <w:jc w:val="center"/>
              <w:rPr>
                <w:rFonts w:ascii="Times New Roman" w:eastAsia="仿宋"/>
                <w:szCs w:val="24"/>
              </w:rPr>
            </w:pPr>
            <w:r>
              <w:rPr>
                <w:rFonts w:hint="eastAsia" w:ascii="Times New Roman" w:eastAsia="仿宋"/>
                <w:szCs w:val="24"/>
              </w:rPr>
              <w:t>/</w:t>
            </w:r>
          </w:p>
        </w:tc>
      </w:tr>
      <w:tr w14:paraId="72EC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5E5C3DA0">
            <w:pPr>
              <w:widowControl/>
              <w:jc w:val="center"/>
              <w:rPr>
                <w:rFonts w:ascii="Times New Roman" w:eastAsia="仿宋"/>
                <w:szCs w:val="24"/>
              </w:rPr>
            </w:pPr>
          </w:p>
        </w:tc>
        <w:tc>
          <w:tcPr>
            <w:tcW w:w="391" w:type="pct"/>
            <w:vMerge w:val="continue"/>
            <w:vAlign w:val="center"/>
          </w:tcPr>
          <w:p w14:paraId="522639F9">
            <w:pPr>
              <w:adjustRightInd w:val="0"/>
              <w:snapToGrid w:val="0"/>
              <w:jc w:val="center"/>
              <w:rPr>
                <w:rFonts w:ascii="Times New Roman" w:eastAsia="仿宋"/>
                <w:szCs w:val="24"/>
              </w:rPr>
            </w:pPr>
          </w:p>
        </w:tc>
        <w:tc>
          <w:tcPr>
            <w:tcW w:w="305" w:type="pct"/>
            <w:vMerge w:val="continue"/>
            <w:shd w:val="clear" w:color="auto" w:fill="auto"/>
            <w:vAlign w:val="center"/>
          </w:tcPr>
          <w:p w14:paraId="328E29DC">
            <w:pPr>
              <w:adjustRightInd w:val="0"/>
              <w:snapToGrid w:val="0"/>
              <w:jc w:val="center"/>
              <w:rPr>
                <w:rFonts w:ascii="Times New Roman" w:eastAsia="仿宋"/>
                <w:szCs w:val="24"/>
              </w:rPr>
            </w:pPr>
          </w:p>
        </w:tc>
        <w:tc>
          <w:tcPr>
            <w:tcW w:w="355" w:type="pct"/>
            <w:shd w:val="clear" w:color="auto" w:fill="auto"/>
            <w:vAlign w:val="center"/>
          </w:tcPr>
          <w:p w14:paraId="4B3C6D6E">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309" w:type="pct"/>
            <w:shd w:val="clear" w:color="auto" w:fill="auto"/>
            <w:vAlign w:val="center"/>
          </w:tcPr>
          <w:p w14:paraId="5B087878">
            <w:pPr>
              <w:widowControl/>
              <w:jc w:val="center"/>
              <w:textAlignment w:val="center"/>
              <w:rPr>
                <w:rFonts w:ascii="Times New Roman" w:eastAsia="仿宋"/>
                <w:szCs w:val="24"/>
              </w:rPr>
            </w:pPr>
            <w:r>
              <w:rPr>
                <w:rFonts w:ascii="Times New Roman" w:eastAsia="仿宋"/>
                <w:szCs w:val="24"/>
              </w:rPr>
              <w:t>1.76</w:t>
            </w:r>
          </w:p>
        </w:tc>
        <w:tc>
          <w:tcPr>
            <w:tcW w:w="291" w:type="pct"/>
            <w:shd w:val="clear" w:color="auto" w:fill="auto"/>
            <w:vAlign w:val="center"/>
          </w:tcPr>
          <w:p w14:paraId="6B1BED59">
            <w:pPr>
              <w:widowControl/>
              <w:jc w:val="center"/>
              <w:textAlignment w:val="center"/>
              <w:rPr>
                <w:rFonts w:ascii="Times New Roman" w:eastAsia="仿宋"/>
                <w:szCs w:val="24"/>
              </w:rPr>
            </w:pPr>
            <w:r>
              <w:rPr>
                <w:rFonts w:hint="eastAsia" w:ascii="Times New Roman" w:eastAsia="仿宋"/>
                <w:szCs w:val="24"/>
              </w:rPr>
              <w:t>0.0</w:t>
            </w:r>
            <w:r>
              <w:rPr>
                <w:rFonts w:ascii="Times New Roman" w:eastAsia="仿宋"/>
                <w:szCs w:val="24"/>
              </w:rPr>
              <w:t>46</w:t>
            </w:r>
          </w:p>
        </w:tc>
        <w:tc>
          <w:tcPr>
            <w:tcW w:w="295" w:type="pct"/>
            <w:shd w:val="clear" w:color="auto" w:fill="auto"/>
            <w:vAlign w:val="center"/>
          </w:tcPr>
          <w:p w14:paraId="4E563213">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224</w:t>
            </w:r>
          </w:p>
        </w:tc>
        <w:tc>
          <w:tcPr>
            <w:tcW w:w="346" w:type="pct"/>
            <w:vMerge w:val="continue"/>
            <w:vAlign w:val="center"/>
          </w:tcPr>
          <w:p w14:paraId="3E6CEADD">
            <w:pPr>
              <w:widowControl/>
              <w:jc w:val="center"/>
              <w:rPr>
                <w:rFonts w:ascii="Times New Roman" w:eastAsia="仿宋"/>
                <w:szCs w:val="24"/>
              </w:rPr>
            </w:pPr>
          </w:p>
        </w:tc>
        <w:tc>
          <w:tcPr>
            <w:tcW w:w="244" w:type="pct"/>
            <w:vMerge w:val="continue"/>
            <w:vAlign w:val="center"/>
          </w:tcPr>
          <w:p w14:paraId="1A86A9A9">
            <w:pPr>
              <w:widowControl/>
              <w:jc w:val="center"/>
              <w:rPr>
                <w:rFonts w:ascii="Times New Roman" w:eastAsia="仿宋"/>
                <w:szCs w:val="24"/>
              </w:rPr>
            </w:pPr>
          </w:p>
        </w:tc>
        <w:tc>
          <w:tcPr>
            <w:tcW w:w="356" w:type="pct"/>
            <w:vAlign w:val="center"/>
          </w:tcPr>
          <w:p w14:paraId="1138B9A3">
            <w:pPr>
              <w:widowControl/>
              <w:jc w:val="center"/>
              <w:rPr>
                <w:rFonts w:ascii="Times New Roman" w:eastAsia="仿宋"/>
                <w:szCs w:val="24"/>
              </w:rPr>
            </w:pPr>
            <w:r>
              <w:rPr>
                <w:rFonts w:hint="eastAsia" w:ascii="Times New Roman" w:eastAsia="仿宋"/>
                <w:szCs w:val="24"/>
              </w:rPr>
              <w:t>/</w:t>
            </w:r>
          </w:p>
        </w:tc>
        <w:tc>
          <w:tcPr>
            <w:tcW w:w="364" w:type="pct"/>
            <w:vAlign w:val="center"/>
          </w:tcPr>
          <w:p w14:paraId="1AB71DD0">
            <w:pPr>
              <w:widowControl/>
              <w:jc w:val="center"/>
              <w:rPr>
                <w:rFonts w:ascii="Times New Roman" w:eastAsia="仿宋"/>
                <w:szCs w:val="24"/>
              </w:rPr>
            </w:pPr>
            <w:r>
              <w:rPr>
                <w:rFonts w:hint="eastAsia" w:ascii="Times New Roman" w:eastAsia="仿宋"/>
                <w:szCs w:val="24"/>
              </w:rPr>
              <w:t>/</w:t>
            </w:r>
          </w:p>
        </w:tc>
        <w:tc>
          <w:tcPr>
            <w:tcW w:w="364" w:type="pct"/>
            <w:vAlign w:val="center"/>
          </w:tcPr>
          <w:p w14:paraId="31A6D9BA">
            <w:pPr>
              <w:widowControl/>
              <w:jc w:val="center"/>
              <w:rPr>
                <w:rFonts w:ascii="Times New Roman" w:eastAsia="仿宋"/>
                <w:szCs w:val="24"/>
              </w:rPr>
            </w:pPr>
            <w:r>
              <w:rPr>
                <w:rFonts w:hint="eastAsia" w:ascii="Times New Roman" w:eastAsia="仿宋"/>
                <w:szCs w:val="24"/>
              </w:rPr>
              <w:t>/</w:t>
            </w:r>
          </w:p>
        </w:tc>
        <w:tc>
          <w:tcPr>
            <w:tcW w:w="288" w:type="pct"/>
            <w:vAlign w:val="center"/>
          </w:tcPr>
          <w:p w14:paraId="7D122B7D">
            <w:pPr>
              <w:widowControl/>
              <w:jc w:val="center"/>
              <w:rPr>
                <w:rFonts w:ascii="Times New Roman" w:eastAsia="仿宋"/>
                <w:szCs w:val="24"/>
              </w:rPr>
            </w:pPr>
            <w:r>
              <w:rPr>
                <w:rFonts w:hint="eastAsia" w:ascii="Times New Roman" w:eastAsia="仿宋"/>
                <w:szCs w:val="24"/>
              </w:rPr>
              <w:t>/</w:t>
            </w:r>
          </w:p>
        </w:tc>
        <w:tc>
          <w:tcPr>
            <w:tcW w:w="270" w:type="pct"/>
            <w:vAlign w:val="center"/>
          </w:tcPr>
          <w:p w14:paraId="75303F3F">
            <w:pPr>
              <w:widowControl/>
              <w:jc w:val="center"/>
              <w:rPr>
                <w:rFonts w:ascii="Times New Roman" w:eastAsia="仿宋"/>
                <w:szCs w:val="24"/>
              </w:rPr>
            </w:pPr>
            <w:r>
              <w:rPr>
                <w:rFonts w:hint="eastAsia" w:ascii="Times New Roman" w:eastAsia="仿宋"/>
                <w:szCs w:val="24"/>
              </w:rPr>
              <w:t>/</w:t>
            </w:r>
          </w:p>
        </w:tc>
        <w:tc>
          <w:tcPr>
            <w:tcW w:w="364" w:type="pct"/>
            <w:vAlign w:val="center"/>
          </w:tcPr>
          <w:p w14:paraId="4A47185B">
            <w:pPr>
              <w:widowControl/>
              <w:jc w:val="center"/>
              <w:rPr>
                <w:rFonts w:ascii="Times New Roman" w:eastAsia="仿宋"/>
                <w:szCs w:val="24"/>
              </w:rPr>
            </w:pPr>
            <w:r>
              <w:rPr>
                <w:rFonts w:hint="eastAsia" w:ascii="Times New Roman" w:eastAsia="仿宋"/>
                <w:szCs w:val="24"/>
              </w:rPr>
              <w:t>/</w:t>
            </w:r>
          </w:p>
        </w:tc>
        <w:tc>
          <w:tcPr>
            <w:tcW w:w="288" w:type="pct"/>
            <w:vAlign w:val="center"/>
          </w:tcPr>
          <w:p w14:paraId="3B89D8E5">
            <w:pPr>
              <w:widowControl/>
              <w:jc w:val="center"/>
              <w:rPr>
                <w:rFonts w:ascii="Times New Roman" w:eastAsia="仿宋"/>
                <w:szCs w:val="24"/>
              </w:rPr>
            </w:pPr>
            <w:r>
              <w:rPr>
                <w:rFonts w:hint="eastAsia" w:ascii="Times New Roman" w:eastAsia="仿宋"/>
                <w:szCs w:val="24"/>
              </w:rPr>
              <w:t>/</w:t>
            </w:r>
          </w:p>
        </w:tc>
      </w:tr>
      <w:tr w14:paraId="2A03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399B3CE">
            <w:pPr>
              <w:widowControl/>
              <w:jc w:val="center"/>
              <w:rPr>
                <w:rFonts w:ascii="Times New Roman" w:eastAsia="仿宋"/>
                <w:szCs w:val="24"/>
              </w:rPr>
            </w:pPr>
          </w:p>
        </w:tc>
        <w:tc>
          <w:tcPr>
            <w:tcW w:w="391" w:type="pct"/>
            <w:vMerge w:val="continue"/>
            <w:vAlign w:val="center"/>
          </w:tcPr>
          <w:p w14:paraId="106767F0">
            <w:pPr>
              <w:adjustRightInd w:val="0"/>
              <w:snapToGrid w:val="0"/>
              <w:jc w:val="center"/>
              <w:rPr>
                <w:rFonts w:ascii="Times New Roman" w:eastAsia="仿宋"/>
                <w:szCs w:val="24"/>
              </w:rPr>
            </w:pPr>
          </w:p>
        </w:tc>
        <w:tc>
          <w:tcPr>
            <w:tcW w:w="305" w:type="pct"/>
            <w:vMerge w:val="continue"/>
            <w:shd w:val="clear" w:color="auto" w:fill="auto"/>
            <w:vAlign w:val="center"/>
          </w:tcPr>
          <w:p w14:paraId="74E09B8F">
            <w:pPr>
              <w:adjustRightInd w:val="0"/>
              <w:snapToGrid w:val="0"/>
              <w:jc w:val="center"/>
              <w:rPr>
                <w:rFonts w:ascii="Times New Roman" w:eastAsia="仿宋"/>
                <w:szCs w:val="24"/>
              </w:rPr>
            </w:pPr>
          </w:p>
        </w:tc>
        <w:tc>
          <w:tcPr>
            <w:tcW w:w="355" w:type="pct"/>
            <w:shd w:val="clear" w:color="auto" w:fill="auto"/>
            <w:vAlign w:val="center"/>
          </w:tcPr>
          <w:p w14:paraId="070824D3">
            <w:pPr>
              <w:adjustRightInd w:val="0"/>
              <w:snapToGrid w:val="0"/>
              <w:jc w:val="center"/>
              <w:rPr>
                <w:rFonts w:ascii="Times New Roman" w:eastAsia="仿宋"/>
                <w:szCs w:val="24"/>
              </w:rPr>
            </w:pPr>
            <w:r>
              <w:rPr>
                <w:rFonts w:hint="eastAsia" w:ascii="Times New Roman" w:eastAsia="仿宋"/>
                <w:szCs w:val="24"/>
              </w:rPr>
              <w:t>颗粒物</w:t>
            </w:r>
          </w:p>
        </w:tc>
        <w:tc>
          <w:tcPr>
            <w:tcW w:w="309" w:type="pct"/>
            <w:shd w:val="clear" w:color="auto" w:fill="auto"/>
            <w:vAlign w:val="center"/>
          </w:tcPr>
          <w:p w14:paraId="4172D2BF">
            <w:pPr>
              <w:widowControl/>
              <w:jc w:val="center"/>
              <w:textAlignment w:val="center"/>
              <w:rPr>
                <w:rFonts w:ascii="Times New Roman" w:eastAsia="仿宋"/>
                <w:szCs w:val="24"/>
              </w:rPr>
            </w:pPr>
            <w:r>
              <w:rPr>
                <w:rFonts w:hint="eastAsia" w:ascii="Times New Roman" w:eastAsia="仿宋"/>
                <w:szCs w:val="24"/>
              </w:rPr>
              <w:t>0.27</w:t>
            </w:r>
          </w:p>
        </w:tc>
        <w:tc>
          <w:tcPr>
            <w:tcW w:w="291" w:type="pct"/>
            <w:shd w:val="clear" w:color="auto" w:fill="auto"/>
            <w:vAlign w:val="center"/>
          </w:tcPr>
          <w:p w14:paraId="67EEFB49">
            <w:pPr>
              <w:widowControl/>
              <w:jc w:val="center"/>
              <w:textAlignment w:val="center"/>
              <w:rPr>
                <w:rFonts w:ascii="Times New Roman" w:eastAsia="仿宋"/>
                <w:szCs w:val="24"/>
              </w:rPr>
            </w:pPr>
            <w:r>
              <w:rPr>
                <w:rFonts w:hint="eastAsia" w:ascii="Times New Roman" w:eastAsia="仿宋"/>
                <w:szCs w:val="24"/>
              </w:rPr>
              <w:t>0.007</w:t>
            </w:r>
          </w:p>
        </w:tc>
        <w:tc>
          <w:tcPr>
            <w:tcW w:w="295" w:type="pct"/>
            <w:shd w:val="clear" w:color="auto" w:fill="auto"/>
            <w:vAlign w:val="center"/>
          </w:tcPr>
          <w:p w14:paraId="1D5DAC69">
            <w:pPr>
              <w:widowControl/>
              <w:jc w:val="center"/>
              <w:textAlignment w:val="center"/>
              <w:rPr>
                <w:rFonts w:ascii="Times New Roman" w:eastAsia="仿宋"/>
                <w:szCs w:val="24"/>
              </w:rPr>
            </w:pPr>
            <w:r>
              <w:rPr>
                <w:rFonts w:hint="eastAsia" w:ascii="Times New Roman" w:eastAsia="仿宋"/>
                <w:szCs w:val="24"/>
              </w:rPr>
              <w:t>0.034</w:t>
            </w:r>
          </w:p>
        </w:tc>
        <w:tc>
          <w:tcPr>
            <w:tcW w:w="346" w:type="pct"/>
            <w:vMerge w:val="continue"/>
            <w:vAlign w:val="center"/>
          </w:tcPr>
          <w:p w14:paraId="2A0142C4">
            <w:pPr>
              <w:widowControl/>
              <w:jc w:val="center"/>
              <w:rPr>
                <w:rFonts w:ascii="Times New Roman" w:eastAsia="仿宋"/>
                <w:szCs w:val="24"/>
              </w:rPr>
            </w:pPr>
          </w:p>
        </w:tc>
        <w:tc>
          <w:tcPr>
            <w:tcW w:w="244" w:type="pct"/>
            <w:vMerge w:val="continue"/>
            <w:vAlign w:val="center"/>
          </w:tcPr>
          <w:p w14:paraId="15B2335E">
            <w:pPr>
              <w:widowControl/>
              <w:jc w:val="center"/>
              <w:rPr>
                <w:rFonts w:ascii="Times New Roman" w:eastAsia="仿宋"/>
                <w:szCs w:val="24"/>
              </w:rPr>
            </w:pPr>
          </w:p>
        </w:tc>
        <w:tc>
          <w:tcPr>
            <w:tcW w:w="356" w:type="pct"/>
            <w:vAlign w:val="center"/>
          </w:tcPr>
          <w:p w14:paraId="738D21DA">
            <w:pPr>
              <w:widowControl/>
              <w:jc w:val="center"/>
              <w:rPr>
                <w:rFonts w:ascii="Times New Roman" w:eastAsia="仿宋"/>
                <w:szCs w:val="24"/>
              </w:rPr>
            </w:pPr>
            <w:r>
              <w:rPr>
                <w:rFonts w:hint="eastAsia" w:ascii="Times New Roman" w:eastAsia="仿宋"/>
                <w:szCs w:val="24"/>
              </w:rPr>
              <w:t>/</w:t>
            </w:r>
          </w:p>
        </w:tc>
        <w:tc>
          <w:tcPr>
            <w:tcW w:w="364" w:type="pct"/>
            <w:vAlign w:val="center"/>
          </w:tcPr>
          <w:p w14:paraId="64710BCC">
            <w:pPr>
              <w:widowControl/>
              <w:jc w:val="center"/>
              <w:rPr>
                <w:rFonts w:ascii="Times New Roman" w:eastAsia="仿宋"/>
                <w:szCs w:val="24"/>
              </w:rPr>
            </w:pPr>
            <w:r>
              <w:rPr>
                <w:rFonts w:hint="eastAsia" w:ascii="Times New Roman" w:eastAsia="仿宋"/>
                <w:szCs w:val="24"/>
              </w:rPr>
              <w:t>/</w:t>
            </w:r>
          </w:p>
        </w:tc>
        <w:tc>
          <w:tcPr>
            <w:tcW w:w="364" w:type="pct"/>
            <w:vAlign w:val="center"/>
          </w:tcPr>
          <w:p w14:paraId="4FA874EE">
            <w:pPr>
              <w:widowControl/>
              <w:jc w:val="center"/>
              <w:rPr>
                <w:rFonts w:ascii="Times New Roman" w:eastAsia="仿宋"/>
                <w:szCs w:val="24"/>
              </w:rPr>
            </w:pPr>
            <w:r>
              <w:rPr>
                <w:rFonts w:hint="eastAsia" w:ascii="Times New Roman" w:eastAsia="仿宋"/>
                <w:szCs w:val="24"/>
              </w:rPr>
              <w:t>/</w:t>
            </w:r>
          </w:p>
        </w:tc>
        <w:tc>
          <w:tcPr>
            <w:tcW w:w="288" w:type="pct"/>
            <w:vAlign w:val="center"/>
          </w:tcPr>
          <w:p w14:paraId="1E09BE40">
            <w:pPr>
              <w:widowControl/>
              <w:jc w:val="center"/>
              <w:rPr>
                <w:rFonts w:ascii="Times New Roman" w:eastAsia="仿宋"/>
                <w:szCs w:val="24"/>
              </w:rPr>
            </w:pPr>
            <w:r>
              <w:rPr>
                <w:rFonts w:hint="eastAsia" w:ascii="Times New Roman" w:eastAsia="仿宋"/>
                <w:szCs w:val="24"/>
              </w:rPr>
              <w:t>/</w:t>
            </w:r>
          </w:p>
        </w:tc>
        <w:tc>
          <w:tcPr>
            <w:tcW w:w="270" w:type="pct"/>
            <w:vAlign w:val="center"/>
          </w:tcPr>
          <w:p w14:paraId="79F3B950">
            <w:pPr>
              <w:widowControl/>
              <w:jc w:val="center"/>
              <w:rPr>
                <w:rFonts w:ascii="Times New Roman" w:eastAsia="仿宋"/>
                <w:szCs w:val="24"/>
              </w:rPr>
            </w:pPr>
            <w:r>
              <w:rPr>
                <w:rFonts w:hint="eastAsia" w:ascii="Times New Roman" w:eastAsia="仿宋"/>
                <w:szCs w:val="24"/>
              </w:rPr>
              <w:t>/</w:t>
            </w:r>
          </w:p>
        </w:tc>
        <w:tc>
          <w:tcPr>
            <w:tcW w:w="364" w:type="pct"/>
            <w:vAlign w:val="center"/>
          </w:tcPr>
          <w:p w14:paraId="3BB9CC54">
            <w:pPr>
              <w:widowControl/>
              <w:jc w:val="center"/>
              <w:rPr>
                <w:rFonts w:ascii="Times New Roman" w:eastAsia="仿宋"/>
                <w:szCs w:val="24"/>
              </w:rPr>
            </w:pPr>
            <w:r>
              <w:rPr>
                <w:rFonts w:hint="eastAsia" w:ascii="Times New Roman" w:eastAsia="仿宋"/>
                <w:szCs w:val="24"/>
              </w:rPr>
              <w:t>/</w:t>
            </w:r>
          </w:p>
        </w:tc>
        <w:tc>
          <w:tcPr>
            <w:tcW w:w="288" w:type="pct"/>
            <w:vAlign w:val="center"/>
          </w:tcPr>
          <w:p w14:paraId="54CE93FE">
            <w:pPr>
              <w:widowControl/>
              <w:jc w:val="center"/>
              <w:rPr>
                <w:rFonts w:ascii="Times New Roman" w:eastAsia="仿宋"/>
                <w:szCs w:val="24"/>
              </w:rPr>
            </w:pPr>
            <w:r>
              <w:rPr>
                <w:rFonts w:hint="eastAsia" w:ascii="Times New Roman" w:eastAsia="仿宋"/>
                <w:szCs w:val="24"/>
              </w:rPr>
              <w:t>/</w:t>
            </w:r>
          </w:p>
        </w:tc>
      </w:tr>
      <w:tr w14:paraId="03F6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vAlign w:val="center"/>
          </w:tcPr>
          <w:p w14:paraId="182F186A">
            <w:pPr>
              <w:widowControl/>
              <w:jc w:val="center"/>
              <w:rPr>
                <w:rFonts w:ascii="Times New Roman" w:eastAsia="仿宋"/>
                <w:szCs w:val="24"/>
              </w:rPr>
            </w:pPr>
            <w:r>
              <w:rPr>
                <w:rFonts w:hint="eastAsia" w:ascii="Times New Roman" w:eastAsia="仿宋"/>
                <w:szCs w:val="24"/>
              </w:rPr>
              <w:t>3#</w:t>
            </w:r>
          </w:p>
        </w:tc>
        <w:tc>
          <w:tcPr>
            <w:tcW w:w="391" w:type="pct"/>
            <w:vMerge w:val="restart"/>
            <w:vAlign w:val="center"/>
          </w:tcPr>
          <w:p w14:paraId="0C8882AC">
            <w:pPr>
              <w:adjustRightInd w:val="0"/>
              <w:snapToGrid w:val="0"/>
              <w:jc w:val="center"/>
              <w:rPr>
                <w:rFonts w:ascii="Times New Roman" w:eastAsia="仿宋"/>
                <w:szCs w:val="24"/>
              </w:rPr>
            </w:pPr>
            <w:r>
              <w:rPr>
                <w:rFonts w:hint="eastAsia" w:ascii="Times New Roman" w:eastAsia="仿宋"/>
                <w:szCs w:val="24"/>
              </w:rPr>
              <w:t>氟碳面漆、底漆调漆废气G9</w:t>
            </w:r>
          </w:p>
        </w:tc>
        <w:tc>
          <w:tcPr>
            <w:tcW w:w="305" w:type="pct"/>
            <w:vMerge w:val="restart"/>
            <w:shd w:val="clear" w:color="auto" w:fill="auto"/>
            <w:vAlign w:val="center"/>
          </w:tcPr>
          <w:p w14:paraId="014228A7">
            <w:pPr>
              <w:jc w:val="center"/>
              <w:rPr>
                <w:rFonts w:ascii="Times New Roman" w:eastAsia="仿宋"/>
                <w:szCs w:val="21"/>
              </w:rPr>
            </w:pPr>
            <w:r>
              <w:rPr>
                <w:rFonts w:hint="eastAsia" w:ascii="Times New Roman" w:eastAsia="仿宋"/>
                <w:szCs w:val="21"/>
              </w:rPr>
              <w:t>28000</w:t>
            </w:r>
          </w:p>
        </w:tc>
        <w:tc>
          <w:tcPr>
            <w:tcW w:w="355" w:type="pct"/>
            <w:shd w:val="clear" w:color="auto" w:fill="auto"/>
            <w:vAlign w:val="center"/>
          </w:tcPr>
          <w:p w14:paraId="6C341904">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12323AB2">
            <w:pPr>
              <w:widowControl/>
              <w:jc w:val="center"/>
              <w:textAlignment w:val="center"/>
              <w:rPr>
                <w:rFonts w:ascii="Times New Roman" w:eastAsia="仿宋"/>
                <w:szCs w:val="24"/>
              </w:rPr>
            </w:pPr>
            <w:r>
              <w:rPr>
                <w:rFonts w:hint="eastAsia" w:ascii="Times New Roman" w:eastAsia="仿宋"/>
                <w:szCs w:val="24"/>
              </w:rPr>
              <w:t>9.28</w:t>
            </w:r>
          </w:p>
        </w:tc>
        <w:tc>
          <w:tcPr>
            <w:tcW w:w="291" w:type="pct"/>
            <w:shd w:val="clear" w:color="auto" w:fill="auto"/>
            <w:vAlign w:val="center"/>
          </w:tcPr>
          <w:p w14:paraId="7FFB3F32">
            <w:pPr>
              <w:widowControl/>
              <w:jc w:val="center"/>
              <w:textAlignment w:val="center"/>
              <w:rPr>
                <w:rFonts w:ascii="Times New Roman" w:eastAsia="仿宋"/>
                <w:szCs w:val="24"/>
              </w:rPr>
            </w:pPr>
            <w:r>
              <w:rPr>
                <w:rFonts w:hint="eastAsia" w:ascii="Times New Roman" w:eastAsia="仿宋"/>
                <w:szCs w:val="24"/>
              </w:rPr>
              <w:t>0.26</w:t>
            </w:r>
          </w:p>
        </w:tc>
        <w:tc>
          <w:tcPr>
            <w:tcW w:w="295" w:type="pct"/>
            <w:shd w:val="clear" w:color="auto" w:fill="auto"/>
            <w:vAlign w:val="center"/>
          </w:tcPr>
          <w:p w14:paraId="6DD847C0">
            <w:pPr>
              <w:widowControl/>
              <w:jc w:val="center"/>
              <w:textAlignment w:val="center"/>
              <w:rPr>
                <w:rFonts w:ascii="Times New Roman" w:eastAsia="仿宋"/>
                <w:szCs w:val="24"/>
              </w:rPr>
            </w:pPr>
            <w:r>
              <w:rPr>
                <w:rFonts w:hint="eastAsia" w:ascii="Times New Roman" w:eastAsia="仿宋"/>
                <w:szCs w:val="24"/>
              </w:rPr>
              <w:t>1.284</w:t>
            </w:r>
          </w:p>
        </w:tc>
        <w:tc>
          <w:tcPr>
            <w:tcW w:w="346" w:type="pct"/>
            <w:vMerge w:val="restart"/>
            <w:vAlign w:val="center"/>
          </w:tcPr>
          <w:p w14:paraId="7B572A4D">
            <w:pPr>
              <w:widowControl/>
              <w:jc w:val="center"/>
              <w:rPr>
                <w:rFonts w:ascii="Times New Roman" w:eastAsia="仿宋"/>
                <w:szCs w:val="24"/>
              </w:rPr>
            </w:pPr>
            <w:r>
              <w:rPr>
                <w:rFonts w:ascii="Times New Roman" w:eastAsia="仿宋"/>
                <w:szCs w:val="21"/>
              </w:rPr>
              <w:t>2</w:t>
            </w:r>
            <w:r>
              <w:rPr>
                <w:rFonts w:hint="eastAsia" w:ascii="Times New Roman" w:eastAsia="仿宋"/>
                <w:szCs w:val="21"/>
              </w:rPr>
              <w:t>号水帘式循环过滤系统+水喷淋+干式过滤器+三级活性炭吸附脱附+催化燃烧</w:t>
            </w:r>
          </w:p>
        </w:tc>
        <w:tc>
          <w:tcPr>
            <w:tcW w:w="244" w:type="pct"/>
            <w:vMerge w:val="restart"/>
            <w:vAlign w:val="center"/>
          </w:tcPr>
          <w:p w14:paraId="042E303F">
            <w:pPr>
              <w:widowControl/>
              <w:jc w:val="center"/>
              <w:rPr>
                <w:rFonts w:ascii="Times New Roman" w:eastAsia="仿宋"/>
                <w:szCs w:val="24"/>
              </w:rPr>
            </w:pPr>
            <w:r>
              <w:rPr>
                <w:rFonts w:hint="eastAsia" w:ascii="Times New Roman" w:eastAsia="仿宋"/>
                <w:szCs w:val="24"/>
              </w:rPr>
              <w:t>9</w:t>
            </w:r>
            <w:r>
              <w:rPr>
                <w:rFonts w:ascii="Times New Roman" w:eastAsia="仿宋"/>
                <w:szCs w:val="24"/>
              </w:rPr>
              <w:t>5</w:t>
            </w:r>
          </w:p>
        </w:tc>
        <w:tc>
          <w:tcPr>
            <w:tcW w:w="356" w:type="pct"/>
            <w:vAlign w:val="center"/>
          </w:tcPr>
          <w:p w14:paraId="3A7D6EA4">
            <w:pPr>
              <w:jc w:val="center"/>
              <w:rPr>
                <w:rFonts w:ascii="Times New Roman" w:eastAsia="仿宋"/>
                <w:szCs w:val="21"/>
              </w:rPr>
            </w:pPr>
            <w:r>
              <w:rPr>
                <w:rFonts w:hint="eastAsia" w:ascii="Times New Roman" w:eastAsia="仿宋"/>
                <w:szCs w:val="21"/>
              </w:rPr>
              <w:t>非甲烷总烃</w:t>
            </w:r>
          </w:p>
        </w:tc>
        <w:tc>
          <w:tcPr>
            <w:tcW w:w="728" w:type="pct"/>
            <w:gridSpan w:val="2"/>
            <w:vAlign w:val="center"/>
          </w:tcPr>
          <w:p w14:paraId="09E199B7">
            <w:pPr>
              <w:widowControl/>
              <w:jc w:val="center"/>
              <w:rPr>
                <w:rFonts w:ascii="Times New Roman" w:eastAsia="仿宋"/>
                <w:szCs w:val="24"/>
              </w:rPr>
            </w:pPr>
            <w:r>
              <w:rPr>
                <w:rFonts w:hint="eastAsia" w:ascii="Times New Roman" w:eastAsia="仿宋"/>
                <w:szCs w:val="24"/>
              </w:rPr>
              <w:t>6</w:t>
            </w:r>
            <w:r>
              <w:rPr>
                <w:rFonts w:ascii="Times New Roman" w:eastAsia="仿宋"/>
                <w:szCs w:val="24"/>
              </w:rPr>
              <w:t>.43</w:t>
            </w:r>
          </w:p>
        </w:tc>
        <w:tc>
          <w:tcPr>
            <w:tcW w:w="288" w:type="pct"/>
            <w:vAlign w:val="center"/>
          </w:tcPr>
          <w:p w14:paraId="076D47C6">
            <w:pPr>
              <w:widowControl/>
              <w:jc w:val="center"/>
              <w:rPr>
                <w:rFonts w:ascii="Times New Roman" w:eastAsia="仿宋"/>
                <w:szCs w:val="24"/>
              </w:rPr>
            </w:pPr>
            <w:r>
              <w:rPr>
                <w:rFonts w:ascii="Times New Roman" w:eastAsia="仿宋"/>
                <w:szCs w:val="24"/>
              </w:rPr>
              <w:t>0.18</w:t>
            </w:r>
          </w:p>
        </w:tc>
        <w:tc>
          <w:tcPr>
            <w:tcW w:w="270" w:type="pct"/>
            <w:vAlign w:val="center"/>
          </w:tcPr>
          <w:p w14:paraId="21FA0ECA">
            <w:pPr>
              <w:widowControl/>
              <w:jc w:val="center"/>
              <w:rPr>
                <w:rFonts w:ascii="Times New Roman" w:eastAsia="仿宋"/>
                <w:szCs w:val="24"/>
              </w:rPr>
            </w:pPr>
            <w:r>
              <w:rPr>
                <w:rFonts w:hint="eastAsia" w:ascii="Times New Roman" w:eastAsia="仿宋"/>
                <w:szCs w:val="24"/>
              </w:rPr>
              <w:t>0</w:t>
            </w:r>
            <w:r>
              <w:rPr>
                <w:rFonts w:ascii="Times New Roman" w:eastAsia="仿宋"/>
                <w:szCs w:val="24"/>
              </w:rPr>
              <w:t>.84</w:t>
            </w:r>
          </w:p>
        </w:tc>
        <w:tc>
          <w:tcPr>
            <w:tcW w:w="364" w:type="pct"/>
            <w:shd w:val="clear" w:color="auto" w:fill="auto"/>
            <w:vAlign w:val="center"/>
          </w:tcPr>
          <w:p w14:paraId="2450F1D4">
            <w:pPr>
              <w:widowControl/>
              <w:jc w:val="center"/>
              <w:rPr>
                <w:rFonts w:ascii="Times New Roman" w:eastAsia="仿宋"/>
                <w:szCs w:val="21"/>
              </w:rPr>
            </w:pPr>
            <w:r>
              <w:rPr>
                <w:rFonts w:ascii="Times New Roman" w:eastAsia="仿宋"/>
                <w:szCs w:val="21"/>
              </w:rPr>
              <w:t>40</w:t>
            </w:r>
          </w:p>
        </w:tc>
        <w:tc>
          <w:tcPr>
            <w:tcW w:w="288" w:type="pct"/>
            <w:shd w:val="clear" w:color="auto" w:fill="auto"/>
            <w:vAlign w:val="center"/>
          </w:tcPr>
          <w:p w14:paraId="502DA515">
            <w:pPr>
              <w:widowControl/>
              <w:jc w:val="center"/>
              <w:rPr>
                <w:rFonts w:ascii="Times New Roman" w:eastAsia="仿宋"/>
                <w:szCs w:val="21"/>
              </w:rPr>
            </w:pPr>
            <w:r>
              <w:rPr>
                <w:rFonts w:ascii="Times New Roman" w:eastAsia="仿宋"/>
                <w:szCs w:val="21"/>
              </w:rPr>
              <w:t>1.8</w:t>
            </w:r>
          </w:p>
        </w:tc>
      </w:tr>
      <w:tr w14:paraId="5816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4512578">
            <w:pPr>
              <w:widowControl/>
              <w:jc w:val="center"/>
              <w:rPr>
                <w:rFonts w:ascii="Times New Roman" w:eastAsia="仿宋"/>
                <w:szCs w:val="24"/>
              </w:rPr>
            </w:pPr>
          </w:p>
        </w:tc>
        <w:tc>
          <w:tcPr>
            <w:tcW w:w="391" w:type="pct"/>
            <w:vMerge w:val="continue"/>
            <w:vAlign w:val="center"/>
          </w:tcPr>
          <w:p w14:paraId="428C2262">
            <w:pPr>
              <w:adjustRightInd w:val="0"/>
              <w:snapToGrid w:val="0"/>
              <w:jc w:val="center"/>
              <w:rPr>
                <w:rFonts w:ascii="Times New Roman" w:eastAsia="仿宋"/>
                <w:szCs w:val="24"/>
              </w:rPr>
            </w:pPr>
          </w:p>
        </w:tc>
        <w:tc>
          <w:tcPr>
            <w:tcW w:w="305" w:type="pct"/>
            <w:vMerge w:val="continue"/>
            <w:shd w:val="clear" w:color="auto" w:fill="auto"/>
            <w:vAlign w:val="center"/>
          </w:tcPr>
          <w:p w14:paraId="015C8AF6">
            <w:pPr>
              <w:jc w:val="center"/>
              <w:rPr>
                <w:rFonts w:ascii="Times New Roman" w:eastAsia="仿宋"/>
                <w:szCs w:val="21"/>
              </w:rPr>
            </w:pPr>
          </w:p>
        </w:tc>
        <w:tc>
          <w:tcPr>
            <w:tcW w:w="355" w:type="pct"/>
            <w:shd w:val="clear" w:color="auto" w:fill="auto"/>
            <w:vAlign w:val="center"/>
          </w:tcPr>
          <w:p w14:paraId="5993A89B">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07DAC0E8">
            <w:pPr>
              <w:widowControl/>
              <w:jc w:val="center"/>
              <w:textAlignment w:val="center"/>
              <w:rPr>
                <w:rFonts w:ascii="Times New Roman" w:eastAsia="仿宋"/>
                <w:szCs w:val="24"/>
              </w:rPr>
            </w:pPr>
            <w:r>
              <w:rPr>
                <w:rFonts w:hint="eastAsia" w:ascii="Times New Roman" w:eastAsia="仿宋"/>
                <w:szCs w:val="24"/>
              </w:rPr>
              <w:t>9.28</w:t>
            </w:r>
          </w:p>
        </w:tc>
        <w:tc>
          <w:tcPr>
            <w:tcW w:w="291" w:type="pct"/>
            <w:shd w:val="clear" w:color="auto" w:fill="auto"/>
            <w:vAlign w:val="center"/>
          </w:tcPr>
          <w:p w14:paraId="40DA68C8">
            <w:pPr>
              <w:widowControl/>
              <w:jc w:val="center"/>
              <w:textAlignment w:val="center"/>
              <w:rPr>
                <w:rFonts w:ascii="Times New Roman" w:eastAsia="仿宋"/>
                <w:szCs w:val="24"/>
              </w:rPr>
            </w:pPr>
            <w:r>
              <w:rPr>
                <w:rFonts w:hint="eastAsia" w:ascii="Times New Roman" w:eastAsia="仿宋"/>
                <w:szCs w:val="24"/>
              </w:rPr>
              <w:t>0.26</w:t>
            </w:r>
          </w:p>
        </w:tc>
        <w:tc>
          <w:tcPr>
            <w:tcW w:w="295" w:type="pct"/>
            <w:shd w:val="clear" w:color="auto" w:fill="auto"/>
            <w:vAlign w:val="center"/>
          </w:tcPr>
          <w:p w14:paraId="4FD6EAF0">
            <w:pPr>
              <w:widowControl/>
              <w:jc w:val="center"/>
              <w:textAlignment w:val="center"/>
              <w:rPr>
                <w:rFonts w:ascii="Times New Roman" w:eastAsia="仿宋"/>
                <w:szCs w:val="24"/>
              </w:rPr>
            </w:pPr>
            <w:r>
              <w:rPr>
                <w:rFonts w:hint="eastAsia" w:ascii="Times New Roman" w:eastAsia="仿宋"/>
                <w:szCs w:val="24"/>
              </w:rPr>
              <w:t>1.284</w:t>
            </w:r>
          </w:p>
        </w:tc>
        <w:tc>
          <w:tcPr>
            <w:tcW w:w="346" w:type="pct"/>
            <w:vMerge w:val="continue"/>
            <w:vAlign w:val="center"/>
          </w:tcPr>
          <w:p w14:paraId="64F0A701">
            <w:pPr>
              <w:widowControl/>
              <w:jc w:val="center"/>
              <w:rPr>
                <w:rFonts w:ascii="Times New Roman" w:eastAsia="仿宋"/>
                <w:szCs w:val="24"/>
              </w:rPr>
            </w:pPr>
          </w:p>
        </w:tc>
        <w:tc>
          <w:tcPr>
            <w:tcW w:w="244" w:type="pct"/>
            <w:vMerge w:val="continue"/>
            <w:vAlign w:val="center"/>
          </w:tcPr>
          <w:p w14:paraId="70045416">
            <w:pPr>
              <w:widowControl/>
              <w:jc w:val="center"/>
              <w:rPr>
                <w:rFonts w:ascii="Times New Roman" w:eastAsia="仿宋"/>
                <w:szCs w:val="24"/>
              </w:rPr>
            </w:pPr>
          </w:p>
        </w:tc>
        <w:tc>
          <w:tcPr>
            <w:tcW w:w="356" w:type="pct"/>
            <w:vAlign w:val="center"/>
          </w:tcPr>
          <w:p w14:paraId="4A5C52BB">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728" w:type="pct"/>
            <w:gridSpan w:val="2"/>
            <w:vAlign w:val="center"/>
          </w:tcPr>
          <w:p w14:paraId="38AB32B9">
            <w:pPr>
              <w:widowControl/>
              <w:jc w:val="center"/>
              <w:rPr>
                <w:rFonts w:ascii="Times New Roman" w:eastAsia="仿宋"/>
                <w:szCs w:val="24"/>
              </w:rPr>
            </w:pPr>
            <w:r>
              <w:rPr>
                <w:rFonts w:hint="eastAsia" w:ascii="Times New Roman" w:eastAsia="仿宋"/>
                <w:szCs w:val="24"/>
              </w:rPr>
              <w:t>6</w:t>
            </w:r>
            <w:r>
              <w:rPr>
                <w:rFonts w:ascii="Times New Roman" w:eastAsia="仿宋"/>
                <w:szCs w:val="24"/>
              </w:rPr>
              <w:t>.43</w:t>
            </w:r>
          </w:p>
        </w:tc>
        <w:tc>
          <w:tcPr>
            <w:tcW w:w="288" w:type="pct"/>
            <w:vAlign w:val="center"/>
          </w:tcPr>
          <w:p w14:paraId="4263976F">
            <w:pPr>
              <w:widowControl/>
              <w:jc w:val="center"/>
              <w:rPr>
                <w:rFonts w:ascii="Times New Roman" w:eastAsia="仿宋"/>
                <w:szCs w:val="24"/>
              </w:rPr>
            </w:pPr>
            <w:r>
              <w:rPr>
                <w:rFonts w:ascii="Times New Roman" w:eastAsia="仿宋"/>
                <w:szCs w:val="24"/>
              </w:rPr>
              <w:t>0.18</w:t>
            </w:r>
          </w:p>
        </w:tc>
        <w:tc>
          <w:tcPr>
            <w:tcW w:w="270" w:type="pct"/>
            <w:vAlign w:val="center"/>
          </w:tcPr>
          <w:p w14:paraId="54B3BC19">
            <w:pPr>
              <w:widowControl/>
              <w:jc w:val="center"/>
              <w:rPr>
                <w:rFonts w:ascii="Times New Roman" w:eastAsia="仿宋"/>
                <w:szCs w:val="24"/>
              </w:rPr>
            </w:pPr>
            <w:r>
              <w:rPr>
                <w:rFonts w:hint="eastAsia" w:ascii="Times New Roman" w:eastAsia="仿宋"/>
                <w:szCs w:val="24"/>
              </w:rPr>
              <w:t>0</w:t>
            </w:r>
            <w:r>
              <w:rPr>
                <w:rFonts w:ascii="Times New Roman" w:eastAsia="仿宋"/>
                <w:szCs w:val="24"/>
              </w:rPr>
              <w:t>.84</w:t>
            </w:r>
          </w:p>
        </w:tc>
        <w:tc>
          <w:tcPr>
            <w:tcW w:w="364" w:type="pct"/>
            <w:vAlign w:val="center"/>
          </w:tcPr>
          <w:p w14:paraId="74212FD2">
            <w:pPr>
              <w:widowControl/>
              <w:jc w:val="center"/>
              <w:rPr>
                <w:rFonts w:ascii="Times New Roman" w:eastAsia="仿宋"/>
                <w:szCs w:val="24"/>
              </w:rPr>
            </w:pPr>
            <w:r>
              <w:rPr>
                <w:rFonts w:hint="eastAsia" w:ascii="Times New Roman" w:eastAsia="仿宋"/>
                <w:szCs w:val="21"/>
              </w:rPr>
              <w:t>60</w:t>
            </w:r>
          </w:p>
        </w:tc>
        <w:tc>
          <w:tcPr>
            <w:tcW w:w="288" w:type="pct"/>
            <w:vAlign w:val="center"/>
          </w:tcPr>
          <w:p w14:paraId="62B84DBF">
            <w:pPr>
              <w:widowControl/>
              <w:jc w:val="center"/>
              <w:rPr>
                <w:rFonts w:ascii="Times New Roman" w:eastAsia="仿宋"/>
                <w:szCs w:val="24"/>
              </w:rPr>
            </w:pPr>
            <w:r>
              <w:rPr>
                <w:rFonts w:hint="eastAsia" w:ascii="Times New Roman" w:eastAsia="仿宋"/>
                <w:szCs w:val="21"/>
              </w:rPr>
              <w:t>2.0</w:t>
            </w:r>
          </w:p>
        </w:tc>
      </w:tr>
      <w:tr w14:paraId="791E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9A5F6B5">
            <w:pPr>
              <w:widowControl/>
              <w:jc w:val="center"/>
              <w:rPr>
                <w:rFonts w:ascii="Times New Roman" w:eastAsia="仿宋"/>
                <w:szCs w:val="24"/>
              </w:rPr>
            </w:pPr>
          </w:p>
        </w:tc>
        <w:tc>
          <w:tcPr>
            <w:tcW w:w="391" w:type="pct"/>
            <w:vMerge w:val="continue"/>
            <w:vAlign w:val="center"/>
          </w:tcPr>
          <w:p w14:paraId="7E6EF57C">
            <w:pPr>
              <w:adjustRightInd w:val="0"/>
              <w:snapToGrid w:val="0"/>
              <w:jc w:val="center"/>
              <w:rPr>
                <w:rFonts w:ascii="Times New Roman" w:eastAsia="仿宋"/>
                <w:szCs w:val="24"/>
              </w:rPr>
            </w:pPr>
          </w:p>
        </w:tc>
        <w:tc>
          <w:tcPr>
            <w:tcW w:w="305" w:type="pct"/>
            <w:vMerge w:val="continue"/>
            <w:shd w:val="clear" w:color="auto" w:fill="auto"/>
            <w:vAlign w:val="center"/>
          </w:tcPr>
          <w:p w14:paraId="197759C4">
            <w:pPr>
              <w:jc w:val="center"/>
              <w:rPr>
                <w:rFonts w:ascii="Times New Roman" w:eastAsia="仿宋"/>
                <w:szCs w:val="21"/>
              </w:rPr>
            </w:pPr>
          </w:p>
        </w:tc>
        <w:tc>
          <w:tcPr>
            <w:tcW w:w="355" w:type="pct"/>
            <w:shd w:val="clear" w:color="auto" w:fill="auto"/>
            <w:vAlign w:val="center"/>
          </w:tcPr>
          <w:p w14:paraId="0F0CFA88">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46E2AA66">
            <w:pPr>
              <w:widowControl/>
              <w:jc w:val="center"/>
              <w:textAlignment w:val="center"/>
              <w:rPr>
                <w:rFonts w:ascii="Times New Roman" w:eastAsia="仿宋"/>
                <w:szCs w:val="24"/>
              </w:rPr>
            </w:pPr>
            <w:r>
              <w:rPr>
                <w:rFonts w:hint="eastAsia" w:ascii="Times New Roman" w:eastAsia="仿宋"/>
                <w:szCs w:val="24"/>
              </w:rPr>
              <w:t>2.5</w:t>
            </w:r>
          </w:p>
        </w:tc>
        <w:tc>
          <w:tcPr>
            <w:tcW w:w="291" w:type="pct"/>
            <w:shd w:val="clear" w:color="auto" w:fill="auto"/>
            <w:vAlign w:val="center"/>
          </w:tcPr>
          <w:p w14:paraId="084DC134">
            <w:pPr>
              <w:widowControl/>
              <w:jc w:val="center"/>
              <w:textAlignment w:val="center"/>
              <w:rPr>
                <w:rFonts w:ascii="Times New Roman" w:eastAsia="仿宋"/>
                <w:szCs w:val="24"/>
              </w:rPr>
            </w:pPr>
            <w:r>
              <w:rPr>
                <w:rFonts w:hint="eastAsia" w:ascii="Times New Roman" w:eastAsia="仿宋"/>
                <w:szCs w:val="24"/>
              </w:rPr>
              <w:t>0.07</w:t>
            </w:r>
          </w:p>
        </w:tc>
        <w:tc>
          <w:tcPr>
            <w:tcW w:w="295" w:type="pct"/>
            <w:shd w:val="clear" w:color="auto" w:fill="auto"/>
            <w:vAlign w:val="center"/>
          </w:tcPr>
          <w:p w14:paraId="600118DC">
            <w:pPr>
              <w:widowControl/>
              <w:jc w:val="center"/>
              <w:textAlignment w:val="center"/>
              <w:rPr>
                <w:rFonts w:ascii="Times New Roman" w:eastAsia="仿宋"/>
                <w:szCs w:val="24"/>
              </w:rPr>
            </w:pPr>
            <w:r>
              <w:rPr>
                <w:rFonts w:hint="eastAsia" w:ascii="Times New Roman" w:eastAsia="仿宋"/>
                <w:szCs w:val="24"/>
              </w:rPr>
              <w:t>0.327</w:t>
            </w:r>
          </w:p>
        </w:tc>
        <w:tc>
          <w:tcPr>
            <w:tcW w:w="346" w:type="pct"/>
            <w:vMerge w:val="continue"/>
            <w:vAlign w:val="center"/>
          </w:tcPr>
          <w:p w14:paraId="774F7CB9">
            <w:pPr>
              <w:widowControl/>
              <w:jc w:val="center"/>
              <w:rPr>
                <w:rFonts w:ascii="Times New Roman" w:eastAsia="仿宋"/>
                <w:szCs w:val="24"/>
              </w:rPr>
            </w:pPr>
          </w:p>
        </w:tc>
        <w:tc>
          <w:tcPr>
            <w:tcW w:w="244" w:type="pct"/>
            <w:vMerge w:val="continue"/>
            <w:vAlign w:val="center"/>
          </w:tcPr>
          <w:p w14:paraId="7E1AD092">
            <w:pPr>
              <w:widowControl/>
              <w:jc w:val="center"/>
              <w:rPr>
                <w:rFonts w:ascii="Times New Roman" w:eastAsia="仿宋"/>
                <w:szCs w:val="24"/>
              </w:rPr>
            </w:pPr>
          </w:p>
        </w:tc>
        <w:tc>
          <w:tcPr>
            <w:tcW w:w="356" w:type="pct"/>
            <w:vAlign w:val="center"/>
          </w:tcPr>
          <w:p w14:paraId="378AD937">
            <w:pPr>
              <w:jc w:val="center"/>
              <w:rPr>
                <w:rFonts w:ascii="Times New Roman" w:eastAsia="仿宋"/>
                <w:szCs w:val="21"/>
              </w:rPr>
            </w:pPr>
            <w:r>
              <w:rPr>
                <w:rFonts w:hint="eastAsia" w:ascii="Times New Roman" w:eastAsia="仿宋"/>
                <w:szCs w:val="21"/>
              </w:rPr>
              <w:t>二甲苯</w:t>
            </w:r>
          </w:p>
        </w:tc>
        <w:tc>
          <w:tcPr>
            <w:tcW w:w="728" w:type="pct"/>
            <w:gridSpan w:val="2"/>
            <w:vAlign w:val="center"/>
          </w:tcPr>
          <w:p w14:paraId="013A9D35">
            <w:pPr>
              <w:widowControl/>
              <w:jc w:val="center"/>
              <w:rPr>
                <w:rFonts w:ascii="Times New Roman" w:eastAsia="仿宋"/>
                <w:szCs w:val="24"/>
              </w:rPr>
            </w:pPr>
            <w:r>
              <w:rPr>
                <w:rFonts w:hint="eastAsia" w:ascii="Times New Roman" w:eastAsia="仿宋"/>
                <w:szCs w:val="24"/>
              </w:rPr>
              <w:t>1</w:t>
            </w:r>
            <w:r>
              <w:rPr>
                <w:rFonts w:ascii="Times New Roman" w:eastAsia="仿宋"/>
                <w:szCs w:val="24"/>
              </w:rPr>
              <w:t>.43</w:t>
            </w:r>
          </w:p>
        </w:tc>
        <w:tc>
          <w:tcPr>
            <w:tcW w:w="288" w:type="pct"/>
            <w:vAlign w:val="center"/>
          </w:tcPr>
          <w:p w14:paraId="32279564">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270" w:type="pct"/>
            <w:vAlign w:val="center"/>
          </w:tcPr>
          <w:p w14:paraId="36FEA34B">
            <w:pPr>
              <w:widowControl/>
              <w:jc w:val="center"/>
              <w:rPr>
                <w:rFonts w:ascii="Times New Roman" w:eastAsia="仿宋"/>
                <w:szCs w:val="24"/>
              </w:rPr>
            </w:pPr>
            <w:r>
              <w:rPr>
                <w:rFonts w:hint="eastAsia" w:ascii="Times New Roman" w:eastAsia="仿宋"/>
                <w:szCs w:val="24"/>
              </w:rPr>
              <w:t>0</w:t>
            </w:r>
            <w:r>
              <w:rPr>
                <w:rFonts w:ascii="Times New Roman" w:eastAsia="仿宋"/>
                <w:szCs w:val="24"/>
              </w:rPr>
              <w:t>.19</w:t>
            </w:r>
          </w:p>
        </w:tc>
        <w:tc>
          <w:tcPr>
            <w:tcW w:w="364" w:type="pct"/>
            <w:vAlign w:val="center"/>
          </w:tcPr>
          <w:p w14:paraId="1A298F36">
            <w:pPr>
              <w:widowControl/>
              <w:jc w:val="center"/>
              <w:rPr>
                <w:rFonts w:ascii="Times New Roman" w:eastAsia="仿宋"/>
                <w:szCs w:val="24"/>
              </w:rPr>
            </w:pPr>
            <w:r>
              <w:rPr>
                <w:rFonts w:ascii="Times New Roman" w:eastAsia="仿宋"/>
                <w:szCs w:val="21"/>
              </w:rPr>
              <w:t>15</w:t>
            </w:r>
          </w:p>
        </w:tc>
        <w:tc>
          <w:tcPr>
            <w:tcW w:w="288" w:type="pct"/>
            <w:vAlign w:val="center"/>
          </w:tcPr>
          <w:p w14:paraId="7596BFC4">
            <w:pPr>
              <w:widowControl/>
              <w:jc w:val="center"/>
              <w:rPr>
                <w:rFonts w:ascii="Times New Roman" w:eastAsia="仿宋"/>
                <w:szCs w:val="24"/>
              </w:rPr>
            </w:pPr>
            <w:r>
              <w:rPr>
                <w:rFonts w:ascii="Times New Roman" w:eastAsia="仿宋"/>
                <w:szCs w:val="21"/>
              </w:rPr>
              <w:t>0.8</w:t>
            </w:r>
          </w:p>
        </w:tc>
      </w:tr>
      <w:tr w14:paraId="3B5C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FA4C28D">
            <w:pPr>
              <w:widowControl/>
              <w:jc w:val="center"/>
              <w:rPr>
                <w:rFonts w:ascii="Times New Roman" w:eastAsia="仿宋"/>
                <w:szCs w:val="24"/>
              </w:rPr>
            </w:pPr>
          </w:p>
        </w:tc>
        <w:tc>
          <w:tcPr>
            <w:tcW w:w="391" w:type="pct"/>
            <w:vMerge w:val="continue"/>
            <w:vAlign w:val="center"/>
          </w:tcPr>
          <w:p w14:paraId="42E709F7">
            <w:pPr>
              <w:adjustRightInd w:val="0"/>
              <w:snapToGrid w:val="0"/>
              <w:jc w:val="center"/>
              <w:rPr>
                <w:rFonts w:ascii="Times New Roman" w:eastAsia="仿宋"/>
                <w:szCs w:val="24"/>
              </w:rPr>
            </w:pPr>
          </w:p>
        </w:tc>
        <w:tc>
          <w:tcPr>
            <w:tcW w:w="305" w:type="pct"/>
            <w:vMerge w:val="continue"/>
            <w:shd w:val="clear" w:color="auto" w:fill="auto"/>
            <w:vAlign w:val="center"/>
          </w:tcPr>
          <w:p w14:paraId="4D3BE43A">
            <w:pPr>
              <w:jc w:val="center"/>
              <w:rPr>
                <w:rFonts w:ascii="Times New Roman" w:eastAsia="仿宋"/>
                <w:szCs w:val="21"/>
              </w:rPr>
            </w:pPr>
          </w:p>
        </w:tc>
        <w:tc>
          <w:tcPr>
            <w:tcW w:w="355" w:type="pct"/>
            <w:shd w:val="clear" w:color="auto" w:fill="auto"/>
            <w:vAlign w:val="center"/>
          </w:tcPr>
          <w:p w14:paraId="119A0900">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06FE9196">
            <w:pPr>
              <w:widowControl/>
              <w:jc w:val="center"/>
              <w:textAlignment w:val="center"/>
              <w:rPr>
                <w:rFonts w:ascii="Times New Roman" w:eastAsia="仿宋"/>
                <w:szCs w:val="24"/>
              </w:rPr>
            </w:pPr>
            <w:r>
              <w:rPr>
                <w:rFonts w:hint="eastAsia" w:ascii="Times New Roman" w:eastAsia="仿宋"/>
                <w:szCs w:val="24"/>
              </w:rPr>
              <w:t>2.5</w:t>
            </w:r>
          </w:p>
        </w:tc>
        <w:tc>
          <w:tcPr>
            <w:tcW w:w="291" w:type="pct"/>
            <w:shd w:val="clear" w:color="auto" w:fill="auto"/>
            <w:vAlign w:val="center"/>
          </w:tcPr>
          <w:p w14:paraId="545C5CEA">
            <w:pPr>
              <w:widowControl/>
              <w:jc w:val="center"/>
              <w:textAlignment w:val="center"/>
              <w:rPr>
                <w:rFonts w:ascii="Times New Roman" w:eastAsia="仿宋"/>
                <w:szCs w:val="24"/>
              </w:rPr>
            </w:pPr>
            <w:r>
              <w:rPr>
                <w:rFonts w:hint="eastAsia" w:ascii="Times New Roman" w:eastAsia="仿宋"/>
                <w:szCs w:val="24"/>
              </w:rPr>
              <w:t>0.07</w:t>
            </w:r>
          </w:p>
        </w:tc>
        <w:tc>
          <w:tcPr>
            <w:tcW w:w="295" w:type="pct"/>
            <w:shd w:val="clear" w:color="auto" w:fill="auto"/>
            <w:vAlign w:val="center"/>
          </w:tcPr>
          <w:p w14:paraId="0DE6CF10">
            <w:pPr>
              <w:widowControl/>
              <w:jc w:val="center"/>
              <w:textAlignment w:val="center"/>
              <w:rPr>
                <w:rFonts w:ascii="Times New Roman" w:eastAsia="仿宋"/>
                <w:szCs w:val="24"/>
              </w:rPr>
            </w:pPr>
            <w:r>
              <w:rPr>
                <w:rFonts w:hint="eastAsia" w:ascii="Times New Roman" w:eastAsia="仿宋"/>
                <w:szCs w:val="24"/>
              </w:rPr>
              <w:t>0.327</w:t>
            </w:r>
          </w:p>
        </w:tc>
        <w:tc>
          <w:tcPr>
            <w:tcW w:w="346" w:type="pct"/>
            <w:vMerge w:val="continue"/>
            <w:vAlign w:val="center"/>
          </w:tcPr>
          <w:p w14:paraId="79435DB8">
            <w:pPr>
              <w:widowControl/>
              <w:jc w:val="center"/>
              <w:rPr>
                <w:rFonts w:ascii="Times New Roman" w:eastAsia="仿宋"/>
                <w:szCs w:val="24"/>
              </w:rPr>
            </w:pPr>
          </w:p>
        </w:tc>
        <w:tc>
          <w:tcPr>
            <w:tcW w:w="244" w:type="pct"/>
            <w:vMerge w:val="continue"/>
            <w:vAlign w:val="center"/>
          </w:tcPr>
          <w:p w14:paraId="10158F52">
            <w:pPr>
              <w:widowControl/>
              <w:jc w:val="center"/>
              <w:rPr>
                <w:rFonts w:ascii="Times New Roman" w:eastAsia="仿宋"/>
                <w:szCs w:val="24"/>
              </w:rPr>
            </w:pPr>
          </w:p>
        </w:tc>
        <w:tc>
          <w:tcPr>
            <w:tcW w:w="356" w:type="pct"/>
            <w:vAlign w:val="center"/>
          </w:tcPr>
          <w:p w14:paraId="118295F1">
            <w:pPr>
              <w:jc w:val="center"/>
              <w:rPr>
                <w:rFonts w:ascii="Times New Roman" w:eastAsia="仿宋"/>
                <w:szCs w:val="21"/>
              </w:rPr>
            </w:pPr>
            <w:r>
              <w:rPr>
                <w:rFonts w:hint="eastAsia" w:ascii="Times New Roman" w:eastAsia="仿宋"/>
                <w:szCs w:val="21"/>
              </w:rPr>
              <w:t>苯系物</w:t>
            </w:r>
          </w:p>
        </w:tc>
        <w:tc>
          <w:tcPr>
            <w:tcW w:w="728" w:type="pct"/>
            <w:gridSpan w:val="2"/>
            <w:vAlign w:val="center"/>
          </w:tcPr>
          <w:p w14:paraId="0BD0DF85">
            <w:pPr>
              <w:widowControl/>
              <w:jc w:val="center"/>
              <w:rPr>
                <w:rFonts w:ascii="Times New Roman" w:eastAsia="仿宋"/>
                <w:szCs w:val="24"/>
              </w:rPr>
            </w:pPr>
            <w:r>
              <w:rPr>
                <w:rFonts w:hint="eastAsia" w:ascii="Times New Roman" w:eastAsia="仿宋"/>
                <w:szCs w:val="24"/>
              </w:rPr>
              <w:t>1</w:t>
            </w:r>
            <w:r>
              <w:rPr>
                <w:rFonts w:ascii="Times New Roman" w:eastAsia="仿宋"/>
                <w:szCs w:val="24"/>
              </w:rPr>
              <w:t>.43</w:t>
            </w:r>
          </w:p>
        </w:tc>
        <w:tc>
          <w:tcPr>
            <w:tcW w:w="288" w:type="pct"/>
            <w:vAlign w:val="center"/>
          </w:tcPr>
          <w:p w14:paraId="70266F11">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270" w:type="pct"/>
            <w:vAlign w:val="center"/>
          </w:tcPr>
          <w:p w14:paraId="39A79312">
            <w:pPr>
              <w:widowControl/>
              <w:jc w:val="center"/>
              <w:rPr>
                <w:rFonts w:ascii="Times New Roman" w:eastAsia="仿宋"/>
                <w:szCs w:val="24"/>
              </w:rPr>
            </w:pPr>
            <w:r>
              <w:rPr>
                <w:rFonts w:hint="eastAsia" w:ascii="Times New Roman" w:eastAsia="仿宋"/>
                <w:szCs w:val="24"/>
              </w:rPr>
              <w:t>0</w:t>
            </w:r>
            <w:r>
              <w:rPr>
                <w:rFonts w:ascii="Times New Roman" w:eastAsia="仿宋"/>
                <w:szCs w:val="24"/>
              </w:rPr>
              <w:t>.19</w:t>
            </w:r>
          </w:p>
        </w:tc>
        <w:tc>
          <w:tcPr>
            <w:tcW w:w="364" w:type="pct"/>
            <w:vAlign w:val="center"/>
          </w:tcPr>
          <w:p w14:paraId="1D056FA7">
            <w:pPr>
              <w:widowControl/>
              <w:jc w:val="center"/>
              <w:rPr>
                <w:rFonts w:ascii="Times New Roman" w:eastAsia="仿宋"/>
                <w:szCs w:val="24"/>
              </w:rPr>
            </w:pPr>
            <w:r>
              <w:rPr>
                <w:rFonts w:ascii="Times New Roman" w:eastAsia="仿宋"/>
                <w:szCs w:val="21"/>
              </w:rPr>
              <w:t>20</w:t>
            </w:r>
          </w:p>
        </w:tc>
        <w:tc>
          <w:tcPr>
            <w:tcW w:w="288" w:type="pct"/>
            <w:vAlign w:val="center"/>
          </w:tcPr>
          <w:p w14:paraId="1D75B36F">
            <w:pPr>
              <w:widowControl/>
              <w:jc w:val="center"/>
              <w:rPr>
                <w:rFonts w:ascii="Times New Roman" w:eastAsia="仿宋"/>
                <w:szCs w:val="24"/>
              </w:rPr>
            </w:pPr>
            <w:r>
              <w:rPr>
                <w:rFonts w:ascii="Times New Roman" w:eastAsia="仿宋"/>
                <w:szCs w:val="21"/>
              </w:rPr>
              <w:t>1.0</w:t>
            </w:r>
          </w:p>
        </w:tc>
      </w:tr>
      <w:tr w14:paraId="3CA5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EE0DEF8">
            <w:pPr>
              <w:widowControl/>
              <w:jc w:val="center"/>
              <w:rPr>
                <w:rFonts w:ascii="Times New Roman" w:eastAsia="仿宋"/>
                <w:szCs w:val="24"/>
              </w:rPr>
            </w:pPr>
          </w:p>
        </w:tc>
        <w:tc>
          <w:tcPr>
            <w:tcW w:w="391" w:type="pct"/>
            <w:vMerge w:val="restart"/>
            <w:vAlign w:val="center"/>
          </w:tcPr>
          <w:p w14:paraId="6FC08443">
            <w:pPr>
              <w:adjustRightInd w:val="0"/>
              <w:snapToGrid w:val="0"/>
              <w:jc w:val="center"/>
              <w:rPr>
                <w:rFonts w:ascii="Times New Roman" w:eastAsia="仿宋"/>
                <w:szCs w:val="24"/>
              </w:rPr>
            </w:pPr>
            <w:r>
              <w:rPr>
                <w:rFonts w:hint="eastAsia" w:ascii="Times New Roman" w:eastAsia="仿宋"/>
                <w:szCs w:val="24"/>
              </w:rPr>
              <w:t>氟碳面漆喷漆废气G1</w:t>
            </w:r>
            <w:r>
              <w:rPr>
                <w:rFonts w:ascii="Times New Roman" w:eastAsia="仿宋"/>
                <w:szCs w:val="24"/>
              </w:rPr>
              <w:t>4</w:t>
            </w:r>
          </w:p>
        </w:tc>
        <w:tc>
          <w:tcPr>
            <w:tcW w:w="305" w:type="pct"/>
            <w:vMerge w:val="continue"/>
            <w:vAlign w:val="center"/>
          </w:tcPr>
          <w:p w14:paraId="2AAC75CD">
            <w:pPr>
              <w:jc w:val="center"/>
              <w:rPr>
                <w:rFonts w:ascii="Times New Roman" w:eastAsia="仿宋"/>
                <w:szCs w:val="24"/>
              </w:rPr>
            </w:pPr>
          </w:p>
        </w:tc>
        <w:tc>
          <w:tcPr>
            <w:tcW w:w="355" w:type="pct"/>
            <w:shd w:val="clear" w:color="auto" w:fill="auto"/>
            <w:vAlign w:val="center"/>
          </w:tcPr>
          <w:p w14:paraId="31536112">
            <w:pPr>
              <w:jc w:val="center"/>
              <w:rPr>
                <w:rFonts w:ascii="Times New Roman" w:eastAsia="仿宋"/>
                <w:szCs w:val="24"/>
              </w:rPr>
            </w:pPr>
            <w:r>
              <w:rPr>
                <w:rFonts w:hint="eastAsia" w:ascii="Times New Roman" w:eastAsia="仿宋"/>
                <w:szCs w:val="21"/>
              </w:rPr>
              <w:t>非甲烷总烃</w:t>
            </w:r>
          </w:p>
        </w:tc>
        <w:tc>
          <w:tcPr>
            <w:tcW w:w="309" w:type="pct"/>
            <w:shd w:val="clear" w:color="auto" w:fill="auto"/>
            <w:vAlign w:val="center"/>
          </w:tcPr>
          <w:p w14:paraId="5E4352EB">
            <w:pPr>
              <w:widowControl/>
              <w:jc w:val="center"/>
              <w:textAlignment w:val="center"/>
              <w:rPr>
                <w:rFonts w:ascii="Times New Roman" w:eastAsia="仿宋"/>
                <w:szCs w:val="24"/>
              </w:rPr>
            </w:pPr>
            <w:r>
              <w:rPr>
                <w:rFonts w:hint="eastAsia" w:ascii="Times New Roman" w:eastAsia="仿宋"/>
                <w:szCs w:val="24"/>
              </w:rPr>
              <w:t>83.21</w:t>
            </w:r>
          </w:p>
        </w:tc>
        <w:tc>
          <w:tcPr>
            <w:tcW w:w="291" w:type="pct"/>
            <w:shd w:val="clear" w:color="auto" w:fill="auto"/>
            <w:vAlign w:val="center"/>
          </w:tcPr>
          <w:p w14:paraId="67C3F2BA">
            <w:pPr>
              <w:widowControl/>
              <w:jc w:val="center"/>
              <w:textAlignment w:val="center"/>
              <w:rPr>
                <w:rFonts w:ascii="Times New Roman" w:eastAsia="仿宋"/>
                <w:szCs w:val="24"/>
              </w:rPr>
            </w:pPr>
            <w:r>
              <w:rPr>
                <w:rFonts w:hint="eastAsia" w:ascii="Times New Roman" w:eastAsia="仿宋"/>
                <w:szCs w:val="24"/>
              </w:rPr>
              <w:t>2.33</w:t>
            </w:r>
          </w:p>
        </w:tc>
        <w:tc>
          <w:tcPr>
            <w:tcW w:w="295" w:type="pct"/>
            <w:shd w:val="clear" w:color="auto" w:fill="auto"/>
            <w:vAlign w:val="center"/>
          </w:tcPr>
          <w:p w14:paraId="38A986BB">
            <w:pPr>
              <w:jc w:val="center"/>
              <w:rPr>
                <w:rFonts w:ascii="Times New Roman" w:eastAsia="仿宋"/>
                <w:szCs w:val="24"/>
              </w:rPr>
            </w:pPr>
            <w:r>
              <w:rPr>
                <w:rFonts w:hint="eastAsia" w:ascii="Times New Roman" w:eastAsia="仿宋"/>
                <w:szCs w:val="24"/>
              </w:rPr>
              <w:t>11.17</w:t>
            </w:r>
          </w:p>
        </w:tc>
        <w:tc>
          <w:tcPr>
            <w:tcW w:w="346" w:type="pct"/>
            <w:vMerge w:val="continue"/>
            <w:vAlign w:val="center"/>
          </w:tcPr>
          <w:p w14:paraId="673CB301">
            <w:pPr>
              <w:widowControl/>
              <w:jc w:val="center"/>
              <w:rPr>
                <w:rFonts w:ascii="Times New Roman" w:eastAsia="仿宋"/>
                <w:szCs w:val="24"/>
              </w:rPr>
            </w:pPr>
          </w:p>
        </w:tc>
        <w:tc>
          <w:tcPr>
            <w:tcW w:w="244" w:type="pct"/>
            <w:vMerge w:val="continue"/>
            <w:vAlign w:val="center"/>
          </w:tcPr>
          <w:p w14:paraId="301D4120">
            <w:pPr>
              <w:widowControl/>
              <w:jc w:val="center"/>
              <w:rPr>
                <w:rFonts w:ascii="Times New Roman" w:eastAsia="仿宋"/>
                <w:szCs w:val="24"/>
              </w:rPr>
            </w:pPr>
          </w:p>
        </w:tc>
        <w:tc>
          <w:tcPr>
            <w:tcW w:w="356" w:type="pct"/>
            <w:vAlign w:val="center"/>
          </w:tcPr>
          <w:p w14:paraId="50752C93">
            <w:pPr>
              <w:widowControl/>
              <w:jc w:val="center"/>
              <w:rPr>
                <w:rFonts w:ascii="Times New Roman" w:eastAsia="仿宋"/>
                <w:szCs w:val="24"/>
              </w:rPr>
            </w:pPr>
            <w:r>
              <w:rPr>
                <w:rFonts w:hint="eastAsia" w:ascii="Times New Roman" w:eastAsia="仿宋"/>
                <w:szCs w:val="24"/>
              </w:rPr>
              <w:t>颗粒物</w:t>
            </w:r>
          </w:p>
        </w:tc>
        <w:tc>
          <w:tcPr>
            <w:tcW w:w="728" w:type="pct"/>
            <w:gridSpan w:val="2"/>
            <w:vAlign w:val="center"/>
          </w:tcPr>
          <w:p w14:paraId="2F62DCFE">
            <w:pPr>
              <w:widowControl/>
              <w:jc w:val="center"/>
              <w:rPr>
                <w:rFonts w:ascii="Times New Roman" w:eastAsia="仿宋"/>
                <w:szCs w:val="24"/>
              </w:rPr>
            </w:pPr>
            <w:r>
              <w:rPr>
                <w:rFonts w:hint="eastAsia" w:ascii="Times New Roman" w:eastAsia="仿宋"/>
                <w:szCs w:val="24"/>
              </w:rPr>
              <w:t>1</w:t>
            </w:r>
            <w:r>
              <w:rPr>
                <w:rFonts w:ascii="Times New Roman" w:eastAsia="仿宋"/>
                <w:szCs w:val="24"/>
              </w:rPr>
              <w:t>.79</w:t>
            </w:r>
          </w:p>
        </w:tc>
        <w:tc>
          <w:tcPr>
            <w:tcW w:w="288" w:type="pct"/>
            <w:vAlign w:val="center"/>
          </w:tcPr>
          <w:p w14:paraId="7C051F9C">
            <w:pPr>
              <w:widowControl/>
              <w:jc w:val="center"/>
              <w:rPr>
                <w:rFonts w:ascii="Times New Roman" w:eastAsia="仿宋"/>
                <w:szCs w:val="24"/>
              </w:rPr>
            </w:pPr>
            <w:r>
              <w:rPr>
                <w:rFonts w:hint="eastAsia" w:ascii="Times New Roman" w:eastAsia="仿宋"/>
                <w:szCs w:val="24"/>
              </w:rPr>
              <w:t>0</w:t>
            </w:r>
            <w:r>
              <w:rPr>
                <w:rFonts w:ascii="Times New Roman" w:eastAsia="仿宋"/>
                <w:szCs w:val="24"/>
              </w:rPr>
              <w:t>.05</w:t>
            </w:r>
          </w:p>
        </w:tc>
        <w:tc>
          <w:tcPr>
            <w:tcW w:w="270" w:type="pct"/>
            <w:vAlign w:val="center"/>
          </w:tcPr>
          <w:p w14:paraId="012E89A9">
            <w:pPr>
              <w:widowControl/>
              <w:jc w:val="center"/>
              <w:rPr>
                <w:rFonts w:ascii="Times New Roman" w:eastAsia="仿宋"/>
                <w:szCs w:val="24"/>
              </w:rPr>
            </w:pPr>
            <w:r>
              <w:rPr>
                <w:rFonts w:hint="eastAsia" w:ascii="Times New Roman" w:eastAsia="仿宋"/>
                <w:szCs w:val="24"/>
              </w:rPr>
              <w:t>0</w:t>
            </w:r>
            <w:r>
              <w:rPr>
                <w:rFonts w:ascii="Times New Roman" w:eastAsia="仿宋"/>
                <w:szCs w:val="24"/>
              </w:rPr>
              <w:t>.25</w:t>
            </w:r>
          </w:p>
        </w:tc>
        <w:tc>
          <w:tcPr>
            <w:tcW w:w="364" w:type="pct"/>
            <w:vAlign w:val="center"/>
          </w:tcPr>
          <w:p w14:paraId="60198DB9">
            <w:pPr>
              <w:widowControl/>
              <w:jc w:val="center"/>
              <w:rPr>
                <w:rFonts w:ascii="Times New Roman" w:eastAsia="仿宋"/>
                <w:szCs w:val="24"/>
              </w:rPr>
            </w:pPr>
            <w:r>
              <w:rPr>
                <w:rFonts w:ascii="Times New Roman" w:eastAsia="仿宋"/>
                <w:szCs w:val="21"/>
              </w:rPr>
              <w:t>10</w:t>
            </w:r>
          </w:p>
        </w:tc>
        <w:tc>
          <w:tcPr>
            <w:tcW w:w="288" w:type="pct"/>
            <w:vAlign w:val="center"/>
          </w:tcPr>
          <w:p w14:paraId="4E4CC342">
            <w:pPr>
              <w:widowControl/>
              <w:jc w:val="center"/>
              <w:rPr>
                <w:rFonts w:ascii="Times New Roman" w:eastAsia="仿宋"/>
                <w:szCs w:val="24"/>
              </w:rPr>
            </w:pPr>
            <w:r>
              <w:rPr>
                <w:rFonts w:ascii="Times New Roman" w:eastAsia="仿宋"/>
                <w:szCs w:val="21"/>
              </w:rPr>
              <w:t>0.6</w:t>
            </w:r>
          </w:p>
        </w:tc>
      </w:tr>
      <w:tr w14:paraId="410B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B9B4F74">
            <w:pPr>
              <w:widowControl/>
              <w:jc w:val="center"/>
              <w:rPr>
                <w:rFonts w:ascii="Times New Roman" w:eastAsia="仿宋"/>
                <w:szCs w:val="24"/>
              </w:rPr>
            </w:pPr>
          </w:p>
        </w:tc>
        <w:tc>
          <w:tcPr>
            <w:tcW w:w="391" w:type="pct"/>
            <w:vMerge w:val="continue"/>
            <w:vAlign w:val="center"/>
          </w:tcPr>
          <w:p w14:paraId="16AF1779">
            <w:pPr>
              <w:adjustRightInd w:val="0"/>
              <w:snapToGrid w:val="0"/>
              <w:jc w:val="center"/>
              <w:rPr>
                <w:rFonts w:ascii="Times New Roman" w:eastAsia="仿宋"/>
                <w:szCs w:val="24"/>
              </w:rPr>
            </w:pPr>
          </w:p>
        </w:tc>
        <w:tc>
          <w:tcPr>
            <w:tcW w:w="305" w:type="pct"/>
            <w:vMerge w:val="continue"/>
            <w:vAlign w:val="center"/>
          </w:tcPr>
          <w:p w14:paraId="69C56425">
            <w:pPr>
              <w:jc w:val="center"/>
              <w:rPr>
                <w:rFonts w:ascii="Times New Roman" w:eastAsia="仿宋"/>
                <w:szCs w:val="24"/>
              </w:rPr>
            </w:pPr>
          </w:p>
        </w:tc>
        <w:tc>
          <w:tcPr>
            <w:tcW w:w="355" w:type="pct"/>
            <w:shd w:val="clear" w:color="auto" w:fill="auto"/>
            <w:vAlign w:val="center"/>
          </w:tcPr>
          <w:p w14:paraId="34644237">
            <w:pPr>
              <w:jc w:val="center"/>
              <w:rPr>
                <w:rFonts w:ascii="Times New Roman" w:eastAsia="仿宋"/>
                <w:szCs w:val="24"/>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3BCA4014">
            <w:pPr>
              <w:widowControl/>
              <w:jc w:val="center"/>
              <w:textAlignment w:val="center"/>
              <w:rPr>
                <w:rFonts w:ascii="Times New Roman" w:eastAsia="仿宋"/>
                <w:szCs w:val="24"/>
              </w:rPr>
            </w:pPr>
            <w:r>
              <w:rPr>
                <w:rFonts w:hint="eastAsia" w:ascii="Times New Roman" w:eastAsia="仿宋"/>
                <w:szCs w:val="24"/>
              </w:rPr>
              <w:t>83.21</w:t>
            </w:r>
          </w:p>
        </w:tc>
        <w:tc>
          <w:tcPr>
            <w:tcW w:w="291" w:type="pct"/>
            <w:shd w:val="clear" w:color="auto" w:fill="auto"/>
            <w:vAlign w:val="center"/>
          </w:tcPr>
          <w:p w14:paraId="05D10AC6">
            <w:pPr>
              <w:widowControl/>
              <w:jc w:val="center"/>
              <w:textAlignment w:val="center"/>
              <w:rPr>
                <w:rFonts w:ascii="Times New Roman" w:eastAsia="仿宋"/>
                <w:szCs w:val="24"/>
              </w:rPr>
            </w:pPr>
            <w:r>
              <w:rPr>
                <w:rFonts w:hint="eastAsia" w:ascii="Times New Roman" w:eastAsia="仿宋"/>
                <w:szCs w:val="24"/>
              </w:rPr>
              <w:t>2.33</w:t>
            </w:r>
          </w:p>
        </w:tc>
        <w:tc>
          <w:tcPr>
            <w:tcW w:w="295" w:type="pct"/>
            <w:shd w:val="clear" w:color="auto" w:fill="auto"/>
            <w:vAlign w:val="center"/>
          </w:tcPr>
          <w:p w14:paraId="259B5E36">
            <w:pPr>
              <w:jc w:val="center"/>
              <w:rPr>
                <w:rFonts w:ascii="Times New Roman" w:eastAsia="仿宋"/>
                <w:szCs w:val="24"/>
              </w:rPr>
            </w:pPr>
            <w:r>
              <w:rPr>
                <w:rFonts w:hint="eastAsia" w:ascii="Times New Roman" w:eastAsia="仿宋"/>
                <w:szCs w:val="24"/>
              </w:rPr>
              <w:t>11.17</w:t>
            </w:r>
          </w:p>
        </w:tc>
        <w:tc>
          <w:tcPr>
            <w:tcW w:w="346" w:type="pct"/>
            <w:vMerge w:val="continue"/>
            <w:vAlign w:val="center"/>
          </w:tcPr>
          <w:p w14:paraId="49A0CB4E">
            <w:pPr>
              <w:widowControl/>
              <w:jc w:val="center"/>
              <w:rPr>
                <w:rFonts w:ascii="Times New Roman" w:eastAsia="仿宋"/>
                <w:szCs w:val="24"/>
              </w:rPr>
            </w:pPr>
          </w:p>
        </w:tc>
        <w:tc>
          <w:tcPr>
            <w:tcW w:w="244" w:type="pct"/>
            <w:vMerge w:val="continue"/>
            <w:vAlign w:val="center"/>
          </w:tcPr>
          <w:p w14:paraId="666F645D">
            <w:pPr>
              <w:widowControl/>
              <w:jc w:val="center"/>
              <w:rPr>
                <w:rFonts w:ascii="Times New Roman" w:eastAsia="仿宋"/>
                <w:szCs w:val="24"/>
              </w:rPr>
            </w:pPr>
          </w:p>
        </w:tc>
        <w:tc>
          <w:tcPr>
            <w:tcW w:w="356" w:type="pct"/>
            <w:vAlign w:val="center"/>
          </w:tcPr>
          <w:p w14:paraId="45F75FFB">
            <w:pPr>
              <w:widowControl/>
              <w:jc w:val="center"/>
              <w:rPr>
                <w:rFonts w:ascii="Times New Roman" w:eastAsia="仿宋"/>
                <w:szCs w:val="24"/>
              </w:rPr>
            </w:pPr>
            <w:r>
              <w:rPr>
                <w:rFonts w:hint="eastAsia" w:ascii="Times New Roman" w:eastAsia="仿宋"/>
                <w:szCs w:val="24"/>
              </w:rPr>
              <w:t>/</w:t>
            </w:r>
          </w:p>
        </w:tc>
        <w:tc>
          <w:tcPr>
            <w:tcW w:w="364" w:type="pct"/>
            <w:vAlign w:val="center"/>
          </w:tcPr>
          <w:p w14:paraId="721639D6">
            <w:pPr>
              <w:widowControl/>
              <w:jc w:val="center"/>
              <w:rPr>
                <w:rFonts w:ascii="Times New Roman" w:eastAsia="仿宋"/>
                <w:szCs w:val="24"/>
              </w:rPr>
            </w:pPr>
            <w:r>
              <w:rPr>
                <w:rFonts w:hint="eastAsia" w:ascii="Times New Roman" w:eastAsia="仿宋"/>
                <w:szCs w:val="24"/>
              </w:rPr>
              <w:t>/</w:t>
            </w:r>
          </w:p>
        </w:tc>
        <w:tc>
          <w:tcPr>
            <w:tcW w:w="364" w:type="pct"/>
            <w:vAlign w:val="center"/>
          </w:tcPr>
          <w:p w14:paraId="125815E3">
            <w:pPr>
              <w:widowControl/>
              <w:jc w:val="center"/>
              <w:rPr>
                <w:rFonts w:ascii="Times New Roman" w:eastAsia="仿宋"/>
                <w:szCs w:val="24"/>
              </w:rPr>
            </w:pPr>
            <w:r>
              <w:rPr>
                <w:rFonts w:hint="eastAsia" w:ascii="Times New Roman" w:eastAsia="仿宋"/>
                <w:szCs w:val="24"/>
              </w:rPr>
              <w:t>/</w:t>
            </w:r>
          </w:p>
        </w:tc>
        <w:tc>
          <w:tcPr>
            <w:tcW w:w="288" w:type="pct"/>
            <w:vAlign w:val="center"/>
          </w:tcPr>
          <w:p w14:paraId="39A2605F">
            <w:pPr>
              <w:widowControl/>
              <w:jc w:val="center"/>
              <w:rPr>
                <w:rFonts w:ascii="Times New Roman" w:eastAsia="仿宋"/>
                <w:szCs w:val="24"/>
              </w:rPr>
            </w:pPr>
            <w:r>
              <w:rPr>
                <w:rFonts w:hint="eastAsia" w:ascii="Times New Roman" w:eastAsia="仿宋"/>
                <w:szCs w:val="24"/>
              </w:rPr>
              <w:t>/</w:t>
            </w:r>
          </w:p>
        </w:tc>
        <w:tc>
          <w:tcPr>
            <w:tcW w:w="270" w:type="pct"/>
            <w:vAlign w:val="center"/>
          </w:tcPr>
          <w:p w14:paraId="781F9BD6">
            <w:pPr>
              <w:widowControl/>
              <w:jc w:val="center"/>
              <w:rPr>
                <w:rFonts w:ascii="Times New Roman" w:eastAsia="仿宋"/>
                <w:szCs w:val="24"/>
              </w:rPr>
            </w:pPr>
            <w:r>
              <w:rPr>
                <w:rFonts w:hint="eastAsia" w:ascii="Times New Roman" w:eastAsia="仿宋"/>
                <w:szCs w:val="24"/>
              </w:rPr>
              <w:t>/</w:t>
            </w:r>
          </w:p>
        </w:tc>
        <w:tc>
          <w:tcPr>
            <w:tcW w:w="364" w:type="pct"/>
            <w:vAlign w:val="center"/>
          </w:tcPr>
          <w:p w14:paraId="7B86468F">
            <w:pPr>
              <w:widowControl/>
              <w:jc w:val="center"/>
              <w:rPr>
                <w:rFonts w:ascii="Times New Roman" w:eastAsia="仿宋"/>
                <w:szCs w:val="24"/>
              </w:rPr>
            </w:pPr>
            <w:r>
              <w:rPr>
                <w:rFonts w:hint="eastAsia" w:ascii="Times New Roman" w:eastAsia="仿宋"/>
                <w:szCs w:val="24"/>
              </w:rPr>
              <w:t>/</w:t>
            </w:r>
          </w:p>
        </w:tc>
        <w:tc>
          <w:tcPr>
            <w:tcW w:w="288" w:type="pct"/>
            <w:vAlign w:val="center"/>
          </w:tcPr>
          <w:p w14:paraId="64F2AABD">
            <w:pPr>
              <w:widowControl/>
              <w:jc w:val="center"/>
              <w:rPr>
                <w:rFonts w:ascii="Times New Roman" w:eastAsia="仿宋"/>
                <w:szCs w:val="24"/>
              </w:rPr>
            </w:pPr>
            <w:r>
              <w:rPr>
                <w:rFonts w:hint="eastAsia" w:ascii="Times New Roman" w:eastAsia="仿宋"/>
                <w:szCs w:val="24"/>
              </w:rPr>
              <w:t>/</w:t>
            </w:r>
          </w:p>
        </w:tc>
      </w:tr>
      <w:tr w14:paraId="353E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7D76594">
            <w:pPr>
              <w:widowControl/>
              <w:jc w:val="center"/>
              <w:rPr>
                <w:rFonts w:ascii="Times New Roman" w:eastAsia="仿宋"/>
                <w:szCs w:val="24"/>
              </w:rPr>
            </w:pPr>
          </w:p>
        </w:tc>
        <w:tc>
          <w:tcPr>
            <w:tcW w:w="391" w:type="pct"/>
            <w:vMerge w:val="continue"/>
            <w:vAlign w:val="center"/>
          </w:tcPr>
          <w:p w14:paraId="726B6F61">
            <w:pPr>
              <w:adjustRightInd w:val="0"/>
              <w:snapToGrid w:val="0"/>
              <w:jc w:val="center"/>
              <w:rPr>
                <w:rFonts w:ascii="Times New Roman" w:eastAsia="仿宋"/>
                <w:szCs w:val="24"/>
              </w:rPr>
            </w:pPr>
          </w:p>
        </w:tc>
        <w:tc>
          <w:tcPr>
            <w:tcW w:w="305" w:type="pct"/>
            <w:vMerge w:val="continue"/>
            <w:vAlign w:val="center"/>
          </w:tcPr>
          <w:p w14:paraId="4C8BBC0D">
            <w:pPr>
              <w:jc w:val="center"/>
              <w:rPr>
                <w:rFonts w:ascii="Times New Roman" w:eastAsia="仿宋"/>
                <w:szCs w:val="24"/>
              </w:rPr>
            </w:pPr>
          </w:p>
        </w:tc>
        <w:tc>
          <w:tcPr>
            <w:tcW w:w="355" w:type="pct"/>
            <w:shd w:val="clear" w:color="auto" w:fill="auto"/>
            <w:vAlign w:val="center"/>
          </w:tcPr>
          <w:p w14:paraId="74987864">
            <w:pPr>
              <w:jc w:val="center"/>
              <w:rPr>
                <w:rFonts w:ascii="Times New Roman" w:eastAsia="仿宋"/>
                <w:szCs w:val="24"/>
              </w:rPr>
            </w:pPr>
            <w:r>
              <w:rPr>
                <w:rFonts w:hint="eastAsia" w:ascii="Times New Roman" w:eastAsia="仿宋"/>
                <w:szCs w:val="21"/>
              </w:rPr>
              <w:t>二甲苯</w:t>
            </w:r>
          </w:p>
        </w:tc>
        <w:tc>
          <w:tcPr>
            <w:tcW w:w="309" w:type="pct"/>
            <w:shd w:val="clear" w:color="auto" w:fill="auto"/>
            <w:vAlign w:val="center"/>
          </w:tcPr>
          <w:p w14:paraId="7FEA3897">
            <w:pPr>
              <w:widowControl/>
              <w:jc w:val="center"/>
              <w:textAlignment w:val="center"/>
              <w:rPr>
                <w:rFonts w:ascii="Times New Roman" w:eastAsia="仿宋"/>
                <w:szCs w:val="24"/>
              </w:rPr>
            </w:pPr>
            <w:r>
              <w:rPr>
                <w:rFonts w:hint="eastAsia" w:ascii="Times New Roman" w:eastAsia="仿宋"/>
                <w:szCs w:val="24"/>
              </w:rPr>
              <w:t>19.29</w:t>
            </w:r>
          </w:p>
        </w:tc>
        <w:tc>
          <w:tcPr>
            <w:tcW w:w="291" w:type="pct"/>
            <w:shd w:val="clear" w:color="auto" w:fill="auto"/>
            <w:vAlign w:val="center"/>
          </w:tcPr>
          <w:p w14:paraId="5F68917A">
            <w:pPr>
              <w:widowControl/>
              <w:jc w:val="center"/>
              <w:textAlignment w:val="center"/>
              <w:rPr>
                <w:rFonts w:ascii="Times New Roman" w:eastAsia="仿宋"/>
                <w:szCs w:val="24"/>
              </w:rPr>
            </w:pPr>
            <w:r>
              <w:rPr>
                <w:rFonts w:hint="eastAsia" w:ascii="Times New Roman" w:eastAsia="仿宋"/>
                <w:szCs w:val="24"/>
              </w:rPr>
              <w:t>0.54</w:t>
            </w:r>
          </w:p>
        </w:tc>
        <w:tc>
          <w:tcPr>
            <w:tcW w:w="295" w:type="pct"/>
            <w:shd w:val="clear" w:color="auto" w:fill="auto"/>
            <w:vAlign w:val="center"/>
          </w:tcPr>
          <w:p w14:paraId="2DF4F2C2">
            <w:pPr>
              <w:jc w:val="center"/>
              <w:rPr>
                <w:rFonts w:ascii="Times New Roman" w:eastAsia="仿宋"/>
                <w:szCs w:val="24"/>
              </w:rPr>
            </w:pPr>
            <w:r>
              <w:rPr>
                <w:rFonts w:hint="eastAsia" w:ascii="Times New Roman" w:eastAsia="仿宋"/>
                <w:szCs w:val="24"/>
              </w:rPr>
              <w:t>2.6</w:t>
            </w:r>
          </w:p>
        </w:tc>
        <w:tc>
          <w:tcPr>
            <w:tcW w:w="346" w:type="pct"/>
            <w:vMerge w:val="continue"/>
            <w:vAlign w:val="center"/>
          </w:tcPr>
          <w:p w14:paraId="1CE47293">
            <w:pPr>
              <w:widowControl/>
              <w:jc w:val="center"/>
              <w:rPr>
                <w:rFonts w:ascii="Times New Roman" w:eastAsia="仿宋"/>
                <w:szCs w:val="24"/>
              </w:rPr>
            </w:pPr>
          </w:p>
        </w:tc>
        <w:tc>
          <w:tcPr>
            <w:tcW w:w="244" w:type="pct"/>
            <w:vMerge w:val="continue"/>
            <w:vAlign w:val="center"/>
          </w:tcPr>
          <w:p w14:paraId="637E33B9">
            <w:pPr>
              <w:widowControl/>
              <w:jc w:val="center"/>
              <w:rPr>
                <w:rFonts w:ascii="Times New Roman" w:eastAsia="仿宋"/>
                <w:szCs w:val="24"/>
              </w:rPr>
            </w:pPr>
          </w:p>
        </w:tc>
        <w:tc>
          <w:tcPr>
            <w:tcW w:w="356" w:type="pct"/>
            <w:vAlign w:val="center"/>
          </w:tcPr>
          <w:p w14:paraId="364A1A8D">
            <w:pPr>
              <w:widowControl/>
              <w:jc w:val="center"/>
              <w:rPr>
                <w:rFonts w:ascii="Times New Roman" w:eastAsia="仿宋"/>
                <w:szCs w:val="24"/>
              </w:rPr>
            </w:pPr>
          </w:p>
        </w:tc>
        <w:tc>
          <w:tcPr>
            <w:tcW w:w="364" w:type="pct"/>
            <w:vAlign w:val="center"/>
          </w:tcPr>
          <w:p w14:paraId="6FA28D39">
            <w:pPr>
              <w:widowControl/>
              <w:jc w:val="center"/>
              <w:rPr>
                <w:rFonts w:ascii="Times New Roman" w:eastAsia="仿宋"/>
                <w:szCs w:val="24"/>
              </w:rPr>
            </w:pPr>
          </w:p>
        </w:tc>
        <w:tc>
          <w:tcPr>
            <w:tcW w:w="364" w:type="pct"/>
            <w:vAlign w:val="center"/>
          </w:tcPr>
          <w:p w14:paraId="12C144EF">
            <w:pPr>
              <w:widowControl/>
              <w:jc w:val="center"/>
              <w:rPr>
                <w:rFonts w:ascii="Times New Roman" w:eastAsia="仿宋"/>
                <w:szCs w:val="24"/>
              </w:rPr>
            </w:pPr>
          </w:p>
        </w:tc>
        <w:tc>
          <w:tcPr>
            <w:tcW w:w="288" w:type="pct"/>
            <w:vAlign w:val="center"/>
          </w:tcPr>
          <w:p w14:paraId="7F004112">
            <w:pPr>
              <w:widowControl/>
              <w:jc w:val="center"/>
              <w:rPr>
                <w:rFonts w:ascii="Times New Roman" w:eastAsia="仿宋"/>
                <w:szCs w:val="24"/>
              </w:rPr>
            </w:pPr>
          </w:p>
        </w:tc>
        <w:tc>
          <w:tcPr>
            <w:tcW w:w="270" w:type="pct"/>
            <w:vAlign w:val="center"/>
          </w:tcPr>
          <w:p w14:paraId="1608D4DD">
            <w:pPr>
              <w:widowControl/>
              <w:jc w:val="center"/>
              <w:rPr>
                <w:rFonts w:ascii="Times New Roman" w:eastAsia="仿宋"/>
                <w:szCs w:val="24"/>
              </w:rPr>
            </w:pPr>
          </w:p>
        </w:tc>
        <w:tc>
          <w:tcPr>
            <w:tcW w:w="364" w:type="pct"/>
            <w:vAlign w:val="center"/>
          </w:tcPr>
          <w:p w14:paraId="077349FC">
            <w:pPr>
              <w:widowControl/>
              <w:jc w:val="center"/>
              <w:rPr>
                <w:rFonts w:ascii="Times New Roman" w:eastAsia="仿宋"/>
                <w:szCs w:val="24"/>
              </w:rPr>
            </w:pPr>
          </w:p>
        </w:tc>
        <w:tc>
          <w:tcPr>
            <w:tcW w:w="288" w:type="pct"/>
            <w:vAlign w:val="center"/>
          </w:tcPr>
          <w:p w14:paraId="0DA41691">
            <w:pPr>
              <w:widowControl/>
              <w:jc w:val="center"/>
              <w:rPr>
                <w:rFonts w:ascii="Times New Roman" w:eastAsia="仿宋"/>
                <w:szCs w:val="24"/>
              </w:rPr>
            </w:pPr>
          </w:p>
        </w:tc>
      </w:tr>
      <w:tr w14:paraId="27A1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33CCC11">
            <w:pPr>
              <w:widowControl/>
              <w:jc w:val="center"/>
              <w:rPr>
                <w:rFonts w:ascii="Times New Roman" w:eastAsia="仿宋"/>
                <w:szCs w:val="24"/>
              </w:rPr>
            </w:pPr>
          </w:p>
        </w:tc>
        <w:tc>
          <w:tcPr>
            <w:tcW w:w="391" w:type="pct"/>
            <w:vMerge w:val="continue"/>
            <w:vAlign w:val="center"/>
          </w:tcPr>
          <w:p w14:paraId="41E6DB90">
            <w:pPr>
              <w:adjustRightInd w:val="0"/>
              <w:snapToGrid w:val="0"/>
              <w:jc w:val="center"/>
              <w:rPr>
                <w:rFonts w:ascii="Times New Roman" w:eastAsia="仿宋"/>
                <w:szCs w:val="24"/>
              </w:rPr>
            </w:pPr>
          </w:p>
        </w:tc>
        <w:tc>
          <w:tcPr>
            <w:tcW w:w="305" w:type="pct"/>
            <w:vMerge w:val="continue"/>
            <w:vAlign w:val="center"/>
          </w:tcPr>
          <w:p w14:paraId="08AF7444">
            <w:pPr>
              <w:jc w:val="center"/>
              <w:rPr>
                <w:rFonts w:ascii="Times New Roman" w:eastAsia="仿宋"/>
                <w:szCs w:val="24"/>
              </w:rPr>
            </w:pPr>
          </w:p>
        </w:tc>
        <w:tc>
          <w:tcPr>
            <w:tcW w:w="355" w:type="pct"/>
            <w:shd w:val="clear" w:color="auto" w:fill="auto"/>
            <w:vAlign w:val="center"/>
          </w:tcPr>
          <w:p w14:paraId="1725ED86">
            <w:pPr>
              <w:jc w:val="center"/>
              <w:rPr>
                <w:rFonts w:ascii="Times New Roman" w:eastAsia="仿宋"/>
                <w:szCs w:val="24"/>
              </w:rPr>
            </w:pPr>
            <w:r>
              <w:rPr>
                <w:rFonts w:hint="eastAsia" w:ascii="Times New Roman" w:eastAsia="仿宋"/>
                <w:szCs w:val="24"/>
              </w:rPr>
              <w:t>苯系物</w:t>
            </w:r>
          </w:p>
        </w:tc>
        <w:tc>
          <w:tcPr>
            <w:tcW w:w="309" w:type="pct"/>
            <w:shd w:val="clear" w:color="auto" w:fill="auto"/>
            <w:vAlign w:val="center"/>
          </w:tcPr>
          <w:p w14:paraId="4AB6E8CE">
            <w:pPr>
              <w:widowControl/>
              <w:jc w:val="center"/>
              <w:textAlignment w:val="center"/>
              <w:rPr>
                <w:rFonts w:ascii="Times New Roman" w:eastAsia="仿宋"/>
                <w:szCs w:val="24"/>
              </w:rPr>
            </w:pPr>
            <w:r>
              <w:rPr>
                <w:rFonts w:hint="eastAsia" w:ascii="Times New Roman" w:eastAsia="仿宋"/>
                <w:szCs w:val="24"/>
              </w:rPr>
              <w:t>19.29</w:t>
            </w:r>
          </w:p>
        </w:tc>
        <w:tc>
          <w:tcPr>
            <w:tcW w:w="291" w:type="pct"/>
            <w:shd w:val="clear" w:color="auto" w:fill="auto"/>
            <w:vAlign w:val="center"/>
          </w:tcPr>
          <w:p w14:paraId="2767AE4D">
            <w:pPr>
              <w:widowControl/>
              <w:jc w:val="center"/>
              <w:textAlignment w:val="center"/>
              <w:rPr>
                <w:rFonts w:ascii="Times New Roman" w:eastAsia="仿宋"/>
                <w:szCs w:val="24"/>
              </w:rPr>
            </w:pPr>
            <w:r>
              <w:rPr>
                <w:rFonts w:hint="eastAsia" w:ascii="Times New Roman" w:eastAsia="仿宋"/>
                <w:szCs w:val="24"/>
              </w:rPr>
              <w:t>0.54</w:t>
            </w:r>
          </w:p>
        </w:tc>
        <w:tc>
          <w:tcPr>
            <w:tcW w:w="295" w:type="pct"/>
            <w:shd w:val="clear" w:color="auto" w:fill="auto"/>
            <w:vAlign w:val="center"/>
          </w:tcPr>
          <w:p w14:paraId="169FC40F">
            <w:pPr>
              <w:jc w:val="center"/>
              <w:rPr>
                <w:rFonts w:ascii="Times New Roman" w:eastAsia="仿宋"/>
                <w:szCs w:val="24"/>
              </w:rPr>
            </w:pPr>
            <w:r>
              <w:rPr>
                <w:rFonts w:hint="eastAsia" w:ascii="Times New Roman" w:eastAsia="仿宋"/>
                <w:szCs w:val="24"/>
              </w:rPr>
              <w:t>2.6</w:t>
            </w:r>
          </w:p>
        </w:tc>
        <w:tc>
          <w:tcPr>
            <w:tcW w:w="346" w:type="pct"/>
            <w:vMerge w:val="continue"/>
            <w:vAlign w:val="center"/>
          </w:tcPr>
          <w:p w14:paraId="1C0CA050">
            <w:pPr>
              <w:widowControl/>
              <w:jc w:val="center"/>
              <w:rPr>
                <w:rFonts w:ascii="Times New Roman" w:eastAsia="仿宋"/>
                <w:szCs w:val="24"/>
              </w:rPr>
            </w:pPr>
          </w:p>
        </w:tc>
        <w:tc>
          <w:tcPr>
            <w:tcW w:w="244" w:type="pct"/>
            <w:vMerge w:val="continue"/>
            <w:vAlign w:val="center"/>
          </w:tcPr>
          <w:p w14:paraId="1A00F98F">
            <w:pPr>
              <w:widowControl/>
              <w:jc w:val="center"/>
              <w:rPr>
                <w:rFonts w:ascii="Times New Roman" w:eastAsia="仿宋"/>
                <w:szCs w:val="24"/>
              </w:rPr>
            </w:pPr>
          </w:p>
        </w:tc>
        <w:tc>
          <w:tcPr>
            <w:tcW w:w="356" w:type="pct"/>
            <w:vAlign w:val="center"/>
          </w:tcPr>
          <w:p w14:paraId="25620A6D">
            <w:pPr>
              <w:widowControl/>
              <w:jc w:val="center"/>
              <w:rPr>
                <w:rFonts w:ascii="Times New Roman" w:eastAsia="仿宋"/>
                <w:szCs w:val="24"/>
              </w:rPr>
            </w:pPr>
            <w:r>
              <w:rPr>
                <w:rFonts w:hint="eastAsia" w:ascii="Times New Roman" w:eastAsia="仿宋"/>
                <w:szCs w:val="24"/>
              </w:rPr>
              <w:t>/</w:t>
            </w:r>
          </w:p>
        </w:tc>
        <w:tc>
          <w:tcPr>
            <w:tcW w:w="364" w:type="pct"/>
            <w:vAlign w:val="center"/>
          </w:tcPr>
          <w:p w14:paraId="2995F0A5">
            <w:pPr>
              <w:widowControl/>
              <w:jc w:val="center"/>
              <w:rPr>
                <w:rFonts w:ascii="Times New Roman" w:eastAsia="仿宋"/>
                <w:szCs w:val="24"/>
              </w:rPr>
            </w:pPr>
            <w:r>
              <w:rPr>
                <w:rFonts w:hint="eastAsia" w:ascii="Times New Roman" w:eastAsia="仿宋"/>
                <w:szCs w:val="24"/>
              </w:rPr>
              <w:t>/</w:t>
            </w:r>
          </w:p>
        </w:tc>
        <w:tc>
          <w:tcPr>
            <w:tcW w:w="364" w:type="pct"/>
            <w:vAlign w:val="center"/>
          </w:tcPr>
          <w:p w14:paraId="0A856D0D">
            <w:pPr>
              <w:widowControl/>
              <w:jc w:val="center"/>
              <w:rPr>
                <w:rFonts w:ascii="Times New Roman" w:eastAsia="仿宋"/>
                <w:szCs w:val="24"/>
              </w:rPr>
            </w:pPr>
            <w:r>
              <w:rPr>
                <w:rFonts w:hint="eastAsia" w:ascii="Times New Roman" w:eastAsia="仿宋"/>
                <w:szCs w:val="24"/>
              </w:rPr>
              <w:t>/</w:t>
            </w:r>
          </w:p>
        </w:tc>
        <w:tc>
          <w:tcPr>
            <w:tcW w:w="288" w:type="pct"/>
            <w:vAlign w:val="center"/>
          </w:tcPr>
          <w:p w14:paraId="5A9488FD">
            <w:pPr>
              <w:widowControl/>
              <w:jc w:val="center"/>
              <w:rPr>
                <w:rFonts w:ascii="Times New Roman" w:eastAsia="仿宋"/>
                <w:szCs w:val="24"/>
              </w:rPr>
            </w:pPr>
            <w:r>
              <w:rPr>
                <w:rFonts w:hint="eastAsia" w:ascii="Times New Roman" w:eastAsia="仿宋"/>
                <w:szCs w:val="24"/>
              </w:rPr>
              <w:t>/</w:t>
            </w:r>
          </w:p>
        </w:tc>
        <w:tc>
          <w:tcPr>
            <w:tcW w:w="270" w:type="pct"/>
            <w:vAlign w:val="center"/>
          </w:tcPr>
          <w:p w14:paraId="35E022B2">
            <w:pPr>
              <w:widowControl/>
              <w:jc w:val="center"/>
              <w:rPr>
                <w:rFonts w:ascii="Times New Roman" w:eastAsia="仿宋"/>
                <w:szCs w:val="24"/>
              </w:rPr>
            </w:pPr>
            <w:r>
              <w:rPr>
                <w:rFonts w:hint="eastAsia" w:ascii="Times New Roman" w:eastAsia="仿宋"/>
                <w:szCs w:val="24"/>
              </w:rPr>
              <w:t>/</w:t>
            </w:r>
          </w:p>
        </w:tc>
        <w:tc>
          <w:tcPr>
            <w:tcW w:w="364" w:type="pct"/>
            <w:vAlign w:val="center"/>
          </w:tcPr>
          <w:p w14:paraId="191B6952">
            <w:pPr>
              <w:widowControl/>
              <w:jc w:val="center"/>
              <w:rPr>
                <w:rFonts w:ascii="Times New Roman" w:eastAsia="仿宋"/>
                <w:szCs w:val="24"/>
              </w:rPr>
            </w:pPr>
            <w:r>
              <w:rPr>
                <w:rFonts w:hint="eastAsia" w:ascii="Times New Roman" w:eastAsia="仿宋"/>
                <w:szCs w:val="24"/>
              </w:rPr>
              <w:t>/</w:t>
            </w:r>
          </w:p>
        </w:tc>
        <w:tc>
          <w:tcPr>
            <w:tcW w:w="288" w:type="pct"/>
            <w:vAlign w:val="center"/>
          </w:tcPr>
          <w:p w14:paraId="73581FAD">
            <w:pPr>
              <w:widowControl/>
              <w:jc w:val="center"/>
              <w:rPr>
                <w:rFonts w:ascii="Times New Roman" w:eastAsia="仿宋"/>
                <w:szCs w:val="24"/>
              </w:rPr>
            </w:pPr>
            <w:r>
              <w:rPr>
                <w:rFonts w:hint="eastAsia" w:ascii="Times New Roman" w:eastAsia="仿宋"/>
                <w:szCs w:val="24"/>
              </w:rPr>
              <w:t>/</w:t>
            </w:r>
          </w:p>
        </w:tc>
      </w:tr>
      <w:tr w14:paraId="79D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115F3E62">
            <w:pPr>
              <w:widowControl/>
              <w:jc w:val="center"/>
              <w:rPr>
                <w:rFonts w:ascii="Times New Roman" w:eastAsia="仿宋"/>
                <w:szCs w:val="24"/>
              </w:rPr>
            </w:pPr>
          </w:p>
        </w:tc>
        <w:tc>
          <w:tcPr>
            <w:tcW w:w="391" w:type="pct"/>
            <w:vMerge w:val="continue"/>
            <w:vAlign w:val="center"/>
          </w:tcPr>
          <w:p w14:paraId="5DFBAE49">
            <w:pPr>
              <w:adjustRightInd w:val="0"/>
              <w:snapToGrid w:val="0"/>
              <w:jc w:val="center"/>
              <w:rPr>
                <w:rFonts w:ascii="Times New Roman" w:eastAsia="仿宋"/>
                <w:szCs w:val="24"/>
              </w:rPr>
            </w:pPr>
          </w:p>
        </w:tc>
        <w:tc>
          <w:tcPr>
            <w:tcW w:w="305" w:type="pct"/>
            <w:vMerge w:val="continue"/>
            <w:vAlign w:val="center"/>
          </w:tcPr>
          <w:p w14:paraId="39C49A63">
            <w:pPr>
              <w:widowControl/>
              <w:jc w:val="center"/>
              <w:rPr>
                <w:rFonts w:ascii="Times New Roman" w:eastAsia="仿宋"/>
                <w:szCs w:val="24"/>
              </w:rPr>
            </w:pPr>
          </w:p>
        </w:tc>
        <w:tc>
          <w:tcPr>
            <w:tcW w:w="355" w:type="pct"/>
            <w:shd w:val="clear" w:color="auto" w:fill="auto"/>
            <w:vAlign w:val="center"/>
          </w:tcPr>
          <w:p w14:paraId="6A683C90">
            <w:pPr>
              <w:widowControl/>
              <w:jc w:val="center"/>
              <w:rPr>
                <w:rFonts w:ascii="Times New Roman" w:eastAsia="仿宋"/>
                <w:szCs w:val="24"/>
              </w:rPr>
            </w:pPr>
            <w:r>
              <w:rPr>
                <w:rFonts w:hint="eastAsia" w:ascii="Times New Roman" w:eastAsia="仿宋"/>
                <w:szCs w:val="24"/>
              </w:rPr>
              <w:t>颗粒物</w:t>
            </w:r>
          </w:p>
        </w:tc>
        <w:tc>
          <w:tcPr>
            <w:tcW w:w="309" w:type="pct"/>
            <w:shd w:val="clear" w:color="auto" w:fill="auto"/>
            <w:vAlign w:val="center"/>
          </w:tcPr>
          <w:p w14:paraId="28727C9A">
            <w:pPr>
              <w:widowControl/>
              <w:jc w:val="center"/>
              <w:textAlignment w:val="center"/>
              <w:rPr>
                <w:rFonts w:ascii="Times New Roman" w:eastAsia="仿宋"/>
                <w:szCs w:val="24"/>
              </w:rPr>
            </w:pPr>
            <w:r>
              <w:rPr>
                <w:rFonts w:hint="eastAsia" w:ascii="Times New Roman" w:eastAsia="仿宋"/>
                <w:szCs w:val="24"/>
              </w:rPr>
              <w:t>37.5</w:t>
            </w:r>
          </w:p>
        </w:tc>
        <w:tc>
          <w:tcPr>
            <w:tcW w:w="291" w:type="pct"/>
            <w:shd w:val="clear" w:color="auto" w:fill="auto"/>
            <w:vAlign w:val="center"/>
          </w:tcPr>
          <w:p w14:paraId="0E59A02D">
            <w:pPr>
              <w:widowControl/>
              <w:jc w:val="center"/>
              <w:textAlignment w:val="center"/>
              <w:rPr>
                <w:rFonts w:ascii="Times New Roman" w:eastAsia="仿宋"/>
                <w:szCs w:val="24"/>
              </w:rPr>
            </w:pPr>
            <w:r>
              <w:rPr>
                <w:rFonts w:hint="eastAsia" w:ascii="Times New Roman" w:eastAsia="仿宋"/>
                <w:szCs w:val="24"/>
              </w:rPr>
              <w:t>1.05</w:t>
            </w:r>
          </w:p>
        </w:tc>
        <w:tc>
          <w:tcPr>
            <w:tcW w:w="295" w:type="pct"/>
            <w:shd w:val="clear" w:color="auto" w:fill="auto"/>
            <w:vAlign w:val="center"/>
          </w:tcPr>
          <w:p w14:paraId="73BAB323">
            <w:pPr>
              <w:widowControl/>
              <w:jc w:val="center"/>
              <w:textAlignment w:val="center"/>
              <w:rPr>
                <w:rFonts w:ascii="Times New Roman" w:eastAsia="仿宋"/>
                <w:szCs w:val="24"/>
              </w:rPr>
            </w:pPr>
            <w:r>
              <w:rPr>
                <w:rFonts w:hint="eastAsia" w:ascii="Times New Roman" w:eastAsia="仿宋"/>
                <w:szCs w:val="24"/>
              </w:rPr>
              <w:t>5.04</w:t>
            </w:r>
          </w:p>
        </w:tc>
        <w:tc>
          <w:tcPr>
            <w:tcW w:w="346" w:type="pct"/>
            <w:vMerge w:val="continue"/>
            <w:vAlign w:val="center"/>
          </w:tcPr>
          <w:p w14:paraId="3FDBC7A7">
            <w:pPr>
              <w:widowControl/>
              <w:jc w:val="center"/>
              <w:rPr>
                <w:rFonts w:ascii="Times New Roman" w:eastAsia="仿宋"/>
                <w:szCs w:val="24"/>
              </w:rPr>
            </w:pPr>
          </w:p>
        </w:tc>
        <w:tc>
          <w:tcPr>
            <w:tcW w:w="244" w:type="pct"/>
            <w:vMerge w:val="continue"/>
            <w:vAlign w:val="center"/>
          </w:tcPr>
          <w:p w14:paraId="28377DA5">
            <w:pPr>
              <w:widowControl/>
              <w:jc w:val="center"/>
              <w:rPr>
                <w:rFonts w:ascii="Times New Roman" w:eastAsia="仿宋"/>
                <w:szCs w:val="24"/>
              </w:rPr>
            </w:pPr>
          </w:p>
        </w:tc>
        <w:tc>
          <w:tcPr>
            <w:tcW w:w="356" w:type="pct"/>
            <w:vAlign w:val="center"/>
          </w:tcPr>
          <w:p w14:paraId="445521F2">
            <w:pPr>
              <w:widowControl/>
              <w:jc w:val="center"/>
              <w:rPr>
                <w:rFonts w:ascii="Times New Roman" w:eastAsia="仿宋"/>
                <w:szCs w:val="24"/>
              </w:rPr>
            </w:pPr>
            <w:r>
              <w:rPr>
                <w:rFonts w:hint="eastAsia" w:ascii="Times New Roman" w:eastAsia="仿宋"/>
                <w:szCs w:val="24"/>
              </w:rPr>
              <w:t>/</w:t>
            </w:r>
          </w:p>
        </w:tc>
        <w:tc>
          <w:tcPr>
            <w:tcW w:w="364" w:type="pct"/>
            <w:vAlign w:val="center"/>
          </w:tcPr>
          <w:p w14:paraId="7508BEC0">
            <w:pPr>
              <w:widowControl/>
              <w:jc w:val="center"/>
              <w:rPr>
                <w:rFonts w:ascii="Times New Roman" w:eastAsia="仿宋"/>
                <w:szCs w:val="24"/>
              </w:rPr>
            </w:pPr>
            <w:r>
              <w:rPr>
                <w:rFonts w:hint="eastAsia" w:ascii="Times New Roman" w:eastAsia="仿宋"/>
                <w:szCs w:val="24"/>
              </w:rPr>
              <w:t>/</w:t>
            </w:r>
          </w:p>
        </w:tc>
        <w:tc>
          <w:tcPr>
            <w:tcW w:w="364" w:type="pct"/>
            <w:vAlign w:val="center"/>
          </w:tcPr>
          <w:p w14:paraId="710871C1">
            <w:pPr>
              <w:widowControl/>
              <w:jc w:val="center"/>
              <w:rPr>
                <w:rFonts w:ascii="Times New Roman" w:eastAsia="仿宋"/>
                <w:szCs w:val="24"/>
              </w:rPr>
            </w:pPr>
            <w:r>
              <w:rPr>
                <w:rFonts w:hint="eastAsia" w:ascii="Times New Roman" w:eastAsia="仿宋"/>
                <w:szCs w:val="24"/>
              </w:rPr>
              <w:t>/</w:t>
            </w:r>
          </w:p>
        </w:tc>
        <w:tc>
          <w:tcPr>
            <w:tcW w:w="288" w:type="pct"/>
            <w:vAlign w:val="center"/>
          </w:tcPr>
          <w:p w14:paraId="40D53163">
            <w:pPr>
              <w:widowControl/>
              <w:jc w:val="center"/>
              <w:rPr>
                <w:rFonts w:ascii="Times New Roman" w:eastAsia="仿宋"/>
                <w:szCs w:val="24"/>
              </w:rPr>
            </w:pPr>
            <w:r>
              <w:rPr>
                <w:rFonts w:hint="eastAsia" w:ascii="Times New Roman" w:eastAsia="仿宋"/>
                <w:szCs w:val="24"/>
              </w:rPr>
              <w:t>/</w:t>
            </w:r>
          </w:p>
        </w:tc>
        <w:tc>
          <w:tcPr>
            <w:tcW w:w="270" w:type="pct"/>
            <w:vAlign w:val="center"/>
          </w:tcPr>
          <w:p w14:paraId="0FE8C2B2">
            <w:pPr>
              <w:widowControl/>
              <w:jc w:val="center"/>
              <w:rPr>
                <w:rFonts w:ascii="Times New Roman" w:eastAsia="仿宋"/>
                <w:szCs w:val="24"/>
              </w:rPr>
            </w:pPr>
            <w:r>
              <w:rPr>
                <w:rFonts w:hint="eastAsia" w:ascii="Times New Roman" w:eastAsia="仿宋"/>
                <w:szCs w:val="24"/>
              </w:rPr>
              <w:t>/</w:t>
            </w:r>
          </w:p>
        </w:tc>
        <w:tc>
          <w:tcPr>
            <w:tcW w:w="364" w:type="pct"/>
            <w:vAlign w:val="center"/>
          </w:tcPr>
          <w:p w14:paraId="1F679DB5">
            <w:pPr>
              <w:widowControl/>
              <w:jc w:val="center"/>
              <w:rPr>
                <w:rFonts w:ascii="Times New Roman" w:eastAsia="仿宋"/>
                <w:szCs w:val="24"/>
              </w:rPr>
            </w:pPr>
            <w:r>
              <w:rPr>
                <w:rFonts w:hint="eastAsia" w:ascii="Times New Roman" w:eastAsia="仿宋"/>
                <w:szCs w:val="24"/>
              </w:rPr>
              <w:t>/</w:t>
            </w:r>
          </w:p>
        </w:tc>
        <w:tc>
          <w:tcPr>
            <w:tcW w:w="288" w:type="pct"/>
            <w:vAlign w:val="center"/>
          </w:tcPr>
          <w:p w14:paraId="58FE2B3F">
            <w:pPr>
              <w:widowControl/>
              <w:jc w:val="center"/>
              <w:rPr>
                <w:rFonts w:ascii="Times New Roman" w:eastAsia="仿宋"/>
                <w:szCs w:val="24"/>
              </w:rPr>
            </w:pPr>
            <w:r>
              <w:rPr>
                <w:rFonts w:hint="eastAsia" w:ascii="Times New Roman" w:eastAsia="仿宋"/>
                <w:szCs w:val="24"/>
              </w:rPr>
              <w:t>/</w:t>
            </w:r>
          </w:p>
        </w:tc>
      </w:tr>
      <w:tr w14:paraId="72D5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92D6C15">
            <w:pPr>
              <w:widowControl/>
              <w:jc w:val="center"/>
              <w:rPr>
                <w:rFonts w:ascii="Times New Roman" w:eastAsia="仿宋"/>
                <w:szCs w:val="24"/>
              </w:rPr>
            </w:pPr>
          </w:p>
        </w:tc>
        <w:tc>
          <w:tcPr>
            <w:tcW w:w="391" w:type="pct"/>
            <w:vMerge w:val="restart"/>
            <w:vAlign w:val="center"/>
          </w:tcPr>
          <w:p w14:paraId="7D4D0881">
            <w:pPr>
              <w:adjustRightInd w:val="0"/>
              <w:snapToGrid w:val="0"/>
              <w:jc w:val="center"/>
              <w:rPr>
                <w:rFonts w:ascii="Times New Roman" w:eastAsia="仿宋"/>
                <w:szCs w:val="24"/>
              </w:rPr>
            </w:pPr>
            <w:r>
              <w:rPr>
                <w:rFonts w:hint="eastAsia" w:ascii="Times New Roman" w:eastAsia="仿宋"/>
                <w:szCs w:val="24"/>
              </w:rPr>
              <w:t>氟碳面漆流平废气G1</w:t>
            </w:r>
            <w:r>
              <w:rPr>
                <w:rFonts w:ascii="Times New Roman" w:eastAsia="仿宋"/>
                <w:szCs w:val="24"/>
              </w:rPr>
              <w:t>5</w:t>
            </w:r>
          </w:p>
        </w:tc>
        <w:tc>
          <w:tcPr>
            <w:tcW w:w="305" w:type="pct"/>
            <w:vMerge w:val="continue"/>
            <w:shd w:val="clear" w:color="auto" w:fill="auto"/>
            <w:vAlign w:val="center"/>
          </w:tcPr>
          <w:p w14:paraId="36262DD4">
            <w:pPr>
              <w:jc w:val="center"/>
              <w:rPr>
                <w:rFonts w:ascii="Times New Roman" w:eastAsia="仿宋"/>
                <w:szCs w:val="21"/>
              </w:rPr>
            </w:pPr>
          </w:p>
        </w:tc>
        <w:tc>
          <w:tcPr>
            <w:tcW w:w="355" w:type="pct"/>
            <w:shd w:val="clear" w:color="auto" w:fill="auto"/>
            <w:vAlign w:val="center"/>
          </w:tcPr>
          <w:p w14:paraId="730B37F8">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3AD8ECF1">
            <w:pPr>
              <w:adjustRightInd w:val="0"/>
              <w:snapToGrid w:val="0"/>
              <w:jc w:val="center"/>
              <w:rPr>
                <w:rFonts w:ascii="Times New Roman" w:eastAsia="仿宋"/>
                <w:szCs w:val="24"/>
              </w:rPr>
            </w:pPr>
            <w:r>
              <w:rPr>
                <w:rFonts w:hint="eastAsia" w:ascii="Times New Roman" w:eastAsia="仿宋"/>
                <w:szCs w:val="24"/>
              </w:rPr>
              <w:t>29.64</w:t>
            </w:r>
          </w:p>
        </w:tc>
        <w:tc>
          <w:tcPr>
            <w:tcW w:w="291" w:type="pct"/>
            <w:shd w:val="clear" w:color="auto" w:fill="auto"/>
            <w:vAlign w:val="center"/>
          </w:tcPr>
          <w:p w14:paraId="434BB51C">
            <w:pPr>
              <w:adjustRightInd w:val="0"/>
              <w:snapToGrid w:val="0"/>
              <w:jc w:val="center"/>
              <w:rPr>
                <w:rFonts w:ascii="Times New Roman" w:eastAsia="仿宋"/>
                <w:szCs w:val="24"/>
              </w:rPr>
            </w:pPr>
            <w:r>
              <w:rPr>
                <w:rFonts w:hint="eastAsia" w:ascii="Times New Roman" w:eastAsia="仿宋"/>
                <w:szCs w:val="24"/>
              </w:rPr>
              <w:t>0.83</w:t>
            </w:r>
          </w:p>
        </w:tc>
        <w:tc>
          <w:tcPr>
            <w:tcW w:w="295" w:type="pct"/>
            <w:shd w:val="clear" w:color="auto" w:fill="auto"/>
            <w:vAlign w:val="center"/>
          </w:tcPr>
          <w:p w14:paraId="35D52308">
            <w:pPr>
              <w:jc w:val="center"/>
              <w:rPr>
                <w:rFonts w:ascii="Times New Roman" w:eastAsia="仿宋"/>
                <w:szCs w:val="24"/>
              </w:rPr>
            </w:pPr>
            <w:r>
              <w:rPr>
                <w:rFonts w:hint="eastAsia" w:ascii="Times New Roman" w:eastAsia="仿宋"/>
                <w:szCs w:val="24"/>
              </w:rPr>
              <w:t>4.0</w:t>
            </w:r>
          </w:p>
        </w:tc>
        <w:tc>
          <w:tcPr>
            <w:tcW w:w="346" w:type="pct"/>
            <w:vMerge w:val="continue"/>
            <w:vAlign w:val="center"/>
          </w:tcPr>
          <w:p w14:paraId="1870B8DD">
            <w:pPr>
              <w:widowControl/>
              <w:jc w:val="center"/>
              <w:rPr>
                <w:rFonts w:ascii="Times New Roman" w:eastAsia="仿宋"/>
                <w:szCs w:val="24"/>
              </w:rPr>
            </w:pPr>
          </w:p>
        </w:tc>
        <w:tc>
          <w:tcPr>
            <w:tcW w:w="244" w:type="pct"/>
            <w:vMerge w:val="continue"/>
            <w:vAlign w:val="center"/>
          </w:tcPr>
          <w:p w14:paraId="43A86522">
            <w:pPr>
              <w:widowControl/>
              <w:jc w:val="center"/>
              <w:rPr>
                <w:rFonts w:ascii="Times New Roman" w:eastAsia="仿宋"/>
                <w:szCs w:val="24"/>
              </w:rPr>
            </w:pPr>
          </w:p>
        </w:tc>
        <w:tc>
          <w:tcPr>
            <w:tcW w:w="356" w:type="pct"/>
            <w:vAlign w:val="center"/>
          </w:tcPr>
          <w:p w14:paraId="191C5467">
            <w:pPr>
              <w:widowControl/>
              <w:jc w:val="center"/>
              <w:rPr>
                <w:rFonts w:ascii="Times New Roman" w:eastAsia="仿宋"/>
                <w:szCs w:val="24"/>
              </w:rPr>
            </w:pPr>
            <w:r>
              <w:rPr>
                <w:rFonts w:hint="eastAsia" w:ascii="Times New Roman" w:eastAsia="仿宋"/>
                <w:szCs w:val="24"/>
              </w:rPr>
              <w:t>/</w:t>
            </w:r>
          </w:p>
        </w:tc>
        <w:tc>
          <w:tcPr>
            <w:tcW w:w="364" w:type="pct"/>
            <w:vAlign w:val="center"/>
          </w:tcPr>
          <w:p w14:paraId="33FD7EEB">
            <w:pPr>
              <w:widowControl/>
              <w:jc w:val="center"/>
              <w:rPr>
                <w:rFonts w:ascii="Times New Roman" w:eastAsia="仿宋"/>
                <w:szCs w:val="24"/>
              </w:rPr>
            </w:pPr>
            <w:r>
              <w:rPr>
                <w:rFonts w:hint="eastAsia" w:ascii="Times New Roman" w:eastAsia="仿宋"/>
                <w:szCs w:val="24"/>
              </w:rPr>
              <w:t>/</w:t>
            </w:r>
          </w:p>
        </w:tc>
        <w:tc>
          <w:tcPr>
            <w:tcW w:w="364" w:type="pct"/>
            <w:vAlign w:val="center"/>
          </w:tcPr>
          <w:p w14:paraId="3009BA30">
            <w:pPr>
              <w:widowControl/>
              <w:jc w:val="center"/>
              <w:rPr>
                <w:rFonts w:ascii="Times New Roman" w:eastAsia="仿宋"/>
                <w:szCs w:val="24"/>
              </w:rPr>
            </w:pPr>
            <w:r>
              <w:rPr>
                <w:rFonts w:hint="eastAsia" w:ascii="Times New Roman" w:eastAsia="仿宋"/>
                <w:szCs w:val="24"/>
              </w:rPr>
              <w:t>/</w:t>
            </w:r>
          </w:p>
        </w:tc>
        <w:tc>
          <w:tcPr>
            <w:tcW w:w="288" w:type="pct"/>
            <w:vAlign w:val="center"/>
          </w:tcPr>
          <w:p w14:paraId="5A28F782">
            <w:pPr>
              <w:widowControl/>
              <w:jc w:val="center"/>
              <w:rPr>
                <w:rFonts w:ascii="Times New Roman" w:eastAsia="仿宋"/>
                <w:szCs w:val="24"/>
              </w:rPr>
            </w:pPr>
            <w:r>
              <w:rPr>
                <w:rFonts w:hint="eastAsia" w:ascii="Times New Roman" w:eastAsia="仿宋"/>
                <w:szCs w:val="24"/>
              </w:rPr>
              <w:t>/</w:t>
            </w:r>
          </w:p>
        </w:tc>
        <w:tc>
          <w:tcPr>
            <w:tcW w:w="270" w:type="pct"/>
            <w:vAlign w:val="center"/>
          </w:tcPr>
          <w:p w14:paraId="75C3C252">
            <w:pPr>
              <w:widowControl/>
              <w:jc w:val="center"/>
              <w:rPr>
                <w:rFonts w:ascii="Times New Roman" w:eastAsia="仿宋"/>
                <w:szCs w:val="24"/>
              </w:rPr>
            </w:pPr>
            <w:r>
              <w:rPr>
                <w:rFonts w:hint="eastAsia" w:ascii="Times New Roman" w:eastAsia="仿宋"/>
                <w:szCs w:val="24"/>
              </w:rPr>
              <w:t>/</w:t>
            </w:r>
          </w:p>
        </w:tc>
        <w:tc>
          <w:tcPr>
            <w:tcW w:w="364" w:type="pct"/>
            <w:vAlign w:val="center"/>
          </w:tcPr>
          <w:p w14:paraId="73081BC6">
            <w:pPr>
              <w:widowControl/>
              <w:jc w:val="center"/>
              <w:rPr>
                <w:rFonts w:ascii="Times New Roman" w:eastAsia="仿宋"/>
                <w:szCs w:val="24"/>
              </w:rPr>
            </w:pPr>
            <w:r>
              <w:rPr>
                <w:rFonts w:hint="eastAsia" w:ascii="Times New Roman" w:eastAsia="仿宋"/>
                <w:szCs w:val="24"/>
              </w:rPr>
              <w:t>/</w:t>
            </w:r>
          </w:p>
        </w:tc>
        <w:tc>
          <w:tcPr>
            <w:tcW w:w="288" w:type="pct"/>
            <w:vAlign w:val="center"/>
          </w:tcPr>
          <w:p w14:paraId="4B179E8A">
            <w:pPr>
              <w:widowControl/>
              <w:jc w:val="center"/>
              <w:rPr>
                <w:rFonts w:ascii="Times New Roman" w:eastAsia="仿宋"/>
                <w:szCs w:val="24"/>
              </w:rPr>
            </w:pPr>
            <w:r>
              <w:rPr>
                <w:rFonts w:hint="eastAsia" w:ascii="Times New Roman" w:eastAsia="仿宋"/>
                <w:szCs w:val="24"/>
              </w:rPr>
              <w:t>/</w:t>
            </w:r>
          </w:p>
        </w:tc>
      </w:tr>
      <w:tr w14:paraId="05C4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7CA154B">
            <w:pPr>
              <w:widowControl/>
              <w:jc w:val="center"/>
              <w:rPr>
                <w:rFonts w:ascii="Times New Roman" w:eastAsia="仿宋"/>
                <w:szCs w:val="24"/>
              </w:rPr>
            </w:pPr>
          </w:p>
        </w:tc>
        <w:tc>
          <w:tcPr>
            <w:tcW w:w="391" w:type="pct"/>
            <w:vMerge w:val="continue"/>
            <w:vAlign w:val="center"/>
          </w:tcPr>
          <w:p w14:paraId="5F22D5F2">
            <w:pPr>
              <w:adjustRightInd w:val="0"/>
              <w:snapToGrid w:val="0"/>
              <w:jc w:val="center"/>
              <w:rPr>
                <w:rFonts w:ascii="Times New Roman" w:eastAsia="仿宋"/>
                <w:szCs w:val="24"/>
              </w:rPr>
            </w:pPr>
          </w:p>
        </w:tc>
        <w:tc>
          <w:tcPr>
            <w:tcW w:w="305" w:type="pct"/>
            <w:vMerge w:val="continue"/>
            <w:shd w:val="clear" w:color="auto" w:fill="auto"/>
            <w:vAlign w:val="center"/>
          </w:tcPr>
          <w:p w14:paraId="3AB44F38">
            <w:pPr>
              <w:jc w:val="center"/>
              <w:rPr>
                <w:rFonts w:ascii="Times New Roman" w:eastAsia="仿宋"/>
                <w:szCs w:val="21"/>
              </w:rPr>
            </w:pPr>
          </w:p>
        </w:tc>
        <w:tc>
          <w:tcPr>
            <w:tcW w:w="355" w:type="pct"/>
            <w:shd w:val="clear" w:color="auto" w:fill="auto"/>
            <w:vAlign w:val="center"/>
          </w:tcPr>
          <w:p w14:paraId="3A0AC41B">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678AD7FB">
            <w:pPr>
              <w:adjustRightInd w:val="0"/>
              <w:snapToGrid w:val="0"/>
              <w:jc w:val="center"/>
              <w:rPr>
                <w:rFonts w:ascii="Times New Roman" w:eastAsia="仿宋"/>
                <w:szCs w:val="24"/>
              </w:rPr>
            </w:pPr>
            <w:r>
              <w:rPr>
                <w:rFonts w:hint="eastAsia" w:ascii="Times New Roman" w:eastAsia="仿宋"/>
                <w:szCs w:val="24"/>
              </w:rPr>
              <w:t>29.64</w:t>
            </w:r>
          </w:p>
        </w:tc>
        <w:tc>
          <w:tcPr>
            <w:tcW w:w="291" w:type="pct"/>
            <w:shd w:val="clear" w:color="auto" w:fill="auto"/>
            <w:vAlign w:val="center"/>
          </w:tcPr>
          <w:p w14:paraId="73A3334F">
            <w:pPr>
              <w:adjustRightInd w:val="0"/>
              <w:snapToGrid w:val="0"/>
              <w:jc w:val="center"/>
              <w:rPr>
                <w:rFonts w:ascii="Times New Roman" w:eastAsia="仿宋"/>
                <w:szCs w:val="24"/>
              </w:rPr>
            </w:pPr>
            <w:r>
              <w:rPr>
                <w:rFonts w:hint="eastAsia" w:ascii="Times New Roman" w:eastAsia="仿宋"/>
                <w:szCs w:val="24"/>
              </w:rPr>
              <w:t>0.83</w:t>
            </w:r>
          </w:p>
        </w:tc>
        <w:tc>
          <w:tcPr>
            <w:tcW w:w="295" w:type="pct"/>
            <w:shd w:val="clear" w:color="auto" w:fill="auto"/>
            <w:vAlign w:val="center"/>
          </w:tcPr>
          <w:p w14:paraId="75C886C8">
            <w:pPr>
              <w:jc w:val="center"/>
              <w:rPr>
                <w:rFonts w:ascii="Times New Roman" w:eastAsia="仿宋"/>
                <w:szCs w:val="24"/>
              </w:rPr>
            </w:pPr>
            <w:r>
              <w:rPr>
                <w:rFonts w:hint="eastAsia" w:ascii="Times New Roman" w:eastAsia="仿宋"/>
                <w:szCs w:val="24"/>
              </w:rPr>
              <w:t>4.0</w:t>
            </w:r>
          </w:p>
        </w:tc>
        <w:tc>
          <w:tcPr>
            <w:tcW w:w="346" w:type="pct"/>
            <w:vMerge w:val="continue"/>
            <w:vAlign w:val="center"/>
          </w:tcPr>
          <w:p w14:paraId="58F86BA4">
            <w:pPr>
              <w:widowControl/>
              <w:jc w:val="center"/>
              <w:rPr>
                <w:rFonts w:ascii="Times New Roman" w:eastAsia="仿宋"/>
                <w:szCs w:val="24"/>
              </w:rPr>
            </w:pPr>
          </w:p>
        </w:tc>
        <w:tc>
          <w:tcPr>
            <w:tcW w:w="244" w:type="pct"/>
            <w:vMerge w:val="continue"/>
            <w:vAlign w:val="center"/>
          </w:tcPr>
          <w:p w14:paraId="1871EB1A">
            <w:pPr>
              <w:widowControl/>
              <w:jc w:val="center"/>
              <w:rPr>
                <w:rFonts w:ascii="Times New Roman" w:eastAsia="仿宋"/>
                <w:szCs w:val="24"/>
              </w:rPr>
            </w:pPr>
          </w:p>
        </w:tc>
        <w:tc>
          <w:tcPr>
            <w:tcW w:w="356" w:type="pct"/>
            <w:vAlign w:val="center"/>
          </w:tcPr>
          <w:p w14:paraId="2F1EE39C">
            <w:pPr>
              <w:widowControl/>
              <w:jc w:val="center"/>
              <w:rPr>
                <w:rFonts w:ascii="Times New Roman" w:eastAsia="仿宋"/>
                <w:szCs w:val="24"/>
              </w:rPr>
            </w:pPr>
            <w:r>
              <w:rPr>
                <w:rFonts w:hint="eastAsia" w:ascii="Times New Roman" w:eastAsia="仿宋"/>
                <w:szCs w:val="24"/>
              </w:rPr>
              <w:t>/</w:t>
            </w:r>
          </w:p>
        </w:tc>
        <w:tc>
          <w:tcPr>
            <w:tcW w:w="364" w:type="pct"/>
            <w:vAlign w:val="center"/>
          </w:tcPr>
          <w:p w14:paraId="48D5C48B">
            <w:pPr>
              <w:widowControl/>
              <w:jc w:val="center"/>
              <w:rPr>
                <w:rFonts w:ascii="Times New Roman" w:eastAsia="仿宋"/>
                <w:szCs w:val="24"/>
              </w:rPr>
            </w:pPr>
            <w:r>
              <w:rPr>
                <w:rFonts w:hint="eastAsia" w:ascii="Times New Roman" w:eastAsia="仿宋"/>
                <w:szCs w:val="24"/>
              </w:rPr>
              <w:t>/</w:t>
            </w:r>
          </w:p>
        </w:tc>
        <w:tc>
          <w:tcPr>
            <w:tcW w:w="364" w:type="pct"/>
            <w:vAlign w:val="center"/>
          </w:tcPr>
          <w:p w14:paraId="252D4B7E">
            <w:pPr>
              <w:widowControl/>
              <w:jc w:val="center"/>
              <w:rPr>
                <w:rFonts w:ascii="Times New Roman" w:eastAsia="仿宋"/>
                <w:szCs w:val="24"/>
              </w:rPr>
            </w:pPr>
            <w:r>
              <w:rPr>
                <w:rFonts w:hint="eastAsia" w:ascii="Times New Roman" w:eastAsia="仿宋"/>
                <w:szCs w:val="24"/>
              </w:rPr>
              <w:t>/</w:t>
            </w:r>
          </w:p>
        </w:tc>
        <w:tc>
          <w:tcPr>
            <w:tcW w:w="288" w:type="pct"/>
            <w:vAlign w:val="center"/>
          </w:tcPr>
          <w:p w14:paraId="56787381">
            <w:pPr>
              <w:widowControl/>
              <w:jc w:val="center"/>
              <w:rPr>
                <w:rFonts w:ascii="Times New Roman" w:eastAsia="仿宋"/>
                <w:szCs w:val="24"/>
              </w:rPr>
            </w:pPr>
            <w:r>
              <w:rPr>
                <w:rFonts w:hint="eastAsia" w:ascii="Times New Roman" w:eastAsia="仿宋"/>
                <w:szCs w:val="24"/>
              </w:rPr>
              <w:t>/</w:t>
            </w:r>
          </w:p>
        </w:tc>
        <w:tc>
          <w:tcPr>
            <w:tcW w:w="270" w:type="pct"/>
            <w:vAlign w:val="center"/>
          </w:tcPr>
          <w:p w14:paraId="5964D8C9">
            <w:pPr>
              <w:widowControl/>
              <w:jc w:val="center"/>
              <w:rPr>
                <w:rFonts w:ascii="Times New Roman" w:eastAsia="仿宋"/>
                <w:szCs w:val="24"/>
              </w:rPr>
            </w:pPr>
            <w:r>
              <w:rPr>
                <w:rFonts w:hint="eastAsia" w:ascii="Times New Roman" w:eastAsia="仿宋"/>
                <w:szCs w:val="24"/>
              </w:rPr>
              <w:t>/</w:t>
            </w:r>
          </w:p>
        </w:tc>
        <w:tc>
          <w:tcPr>
            <w:tcW w:w="364" w:type="pct"/>
            <w:vAlign w:val="center"/>
          </w:tcPr>
          <w:p w14:paraId="31545559">
            <w:pPr>
              <w:widowControl/>
              <w:jc w:val="center"/>
              <w:rPr>
                <w:rFonts w:ascii="Times New Roman" w:eastAsia="仿宋"/>
                <w:szCs w:val="24"/>
              </w:rPr>
            </w:pPr>
            <w:r>
              <w:rPr>
                <w:rFonts w:hint="eastAsia" w:ascii="Times New Roman" w:eastAsia="仿宋"/>
                <w:szCs w:val="24"/>
              </w:rPr>
              <w:t>/</w:t>
            </w:r>
          </w:p>
        </w:tc>
        <w:tc>
          <w:tcPr>
            <w:tcW w:w="288" w:type="pct"/>
            <w:vAlign w:val="center"/>
          </w:tcPr>
          <w:p w14:paraId="44C04AB1">
            <w:pPr>
              <w:widowControl/>
              <w:jc w:val="center"/>
              <w:rPr>
                <w:rFonts w:ascii="Times New Roman" w:eastAsia="仿宋"/>
                <w:szCs w:val="24"/>
              </w:rPr>
            </w:pPr>
            <w:r>
              <w:rPr>
                <w:rFonts w:hint="eastAsia" w:ascii="Times New Roman" w:eastAsia="仿宋"/>
                <w:szCs w:val="24"/>
              </w:rPr>
              <w:t>/</w:t>
            </w:r>
          </w:p>
        </w:tc>
      </w:tr>
      <w:tr w14:paraId="1719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EC5B498">
            <w:pPr>
              <w:widowControl/>
              <w:jc w:val="center"/>
              <w:rPr>
                <w:rFonts w:ascii="Times New Roman" w:eastAsia="仿宋"/>
                <w:szCs w:val="24"/>
              </w:rPr>
            </w:pPr>
          </w:p>
        </w:tc>
        <w:tc>
          <w:tcPr>
            <w:tcW w:w="391" w:type="pct"/>
            <w:vMerge w:val="continue"/>
            <w:vAlign w:val="center"/>
          </w:tcPr>
          <w:p w14:paraId="2699A0C0">
            <w:pPr>
              <w:adjustRightInd w:val="0"/>
              <w:snapToGrid w:val="0"/>
              <w:jc w:val="center"/>
              <w:rPr>
                <w:rFonts w:ascii="Times New Roman" w:eastAsia="仿宋"/>
                <w:szCs w:val="24"/>
              </w:rPr>
            </w:pPr>
          </w:p>
        </w:tc>
        <w:tc>
          <w:tcPr>
            <w:tcW w:w="305" w:type="pct"/>
            <w:vMerge w:val="continue"/>
            <w:shd w:val="clear" w:color="auto" w:fill="auto"/>
            <w:vAlign w:val="center"/>
          </w:tcPr>
          <w:p w14:paraId="6347EAED">
            <w:pPr>
              <w:jc w:val="center"/>
              <w:rPr>
                <w:rFonts w:ascii="Times New Roman" w:eastAsia="仿宋"/>
                <w:szCs w:val="21"/>
              </w:rPr>
            </w:pPr>
          </w:p>
        </w:tc>
        <w:tc>
          <w:tcPr>
            <w:tcW w:w="355" w:type="pct"/>
            <w:shd w:val="clear" w:color="auto" w:fill="auto"/>
            <w:vAlign w:val="center"/>
          </w:tcPr>
          <w:p w14:paraId="3166A3D1">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03AD5BAA">
            <w:pPr>
              <w:adjustRightInd w:val="0"/>
              <w:snapToGrid w:val="0"/>
              <w:jc w:val="center"/>
              <w:rPr>
                <w:rFonts w:ascii="Times New Roman" w:eastAsia="仿宋"/>
                <w:szCs w:val="24"/>
              </w:rPr>
            </w:pPr>
            <w:r>
              <w:rPr>
                <w:rFonts w:hint="eastAsia" w:ascii="Times New Roman" w:eastAsia="仿宋"/>
                <w:szCs w:val="24"/>
              </w:rPr>
              <w:t>6.78</w:t>
            </w:r>
          </w:p>
        </w:tc>
        <w:tc>
          <w:tcPr>
            <w:tcW w:w="291" w:type="pct"/>
            <w:shd w:val="clear" w:color="auto" w:fill="auto"/>
            <w:vAlign w:val="center"/>
          </w:tcPr>
          <w:p w14:paraId="4FA74324">
            <w:pPr>
              <w:adjustRightInd w:val="0"/>
              <w:snapToGrid w:val="0"/>
              <w:jc w:val="center"/>
              <w:rPr>
                <w:rFonts w:ascii="Times New Roman" w:eastAsia="仿宋"/>
                <w:szCs w:val="24"/>
              </w:rPr>
            </w:pPr>
            <w:r>
              <w:rPr>
                <w:rFonts w:hint="eastAsia" w:ascii="Times New Roman" w:eastAsia="仿宋"/>
                <w:szCs w:val="24"/>
              </w:rPr>
              <w:t>0.19</w:t>
            </w:r>
          </w:p>
        </w:tc>
        <w:tc>
          <w:tcPr>
            <w:tcW w:w="295" w:type="pct"/>
            <w:shd w:val="clear" w:color="auto" w:fill="auto"/>
            <w:vAlign w:val="center"/>
          </w:tcPr>
          <w:p w14:paraId="6728B3C5">
            <w:pPr>
              <w:jc w:val="center"/>
              <w:rPr>
                <w:rFonts w:ascii="Times New Roman" w:eastAsia="仿宋"/>
                <w:szCs w:val="24"/>
              </w:rPr>
            </w:pPr>
            <w:r>
              <w:rPr>
                <w:rFonts w:hint="eastAsia" w:ascii="Times New Roman" w:eastAsia="仿宋"/>
                <w:szCs w:val="24"/>
              </w:rPr>
              <w:t>0.925</w:t>
            </w:r>
          </w:p>
        </w:tc>
        <w:tc>
          <w:tcPr>
            <w:tcW w:w="346" w:type="pct"/>
            <w:vMerge w:val="continue"/>
            <w:vAlign w:val="center"/>
          </w:tcPr>
          <w:p w14:paraId="71D53E68">
            <w:pPr>
              <w:widowControl/>
              <w:jc w:val="center"/>
              <w:rPr>
                <w:rFonts w:ascii="Times New Roman" w:eastAsia="仿宋"/>
                <w:szCs w:val="24"/>
              </w:rPr>
            </w:pPr>
          </w:p>
        </w:tc>
        <w:tc>
          <w:tcPr>
            <w:tcW w:w="244" w:type="pct"/>
            <w:vMerge w:val="continue"/>
            <w:vAlign w:val="center"/>
          </w:tcPr>
          <w:p w14:paraId="6C7FDB65">
            <w:pPr>
              <w:widowControl/>
              <w:jc w:val="center"/>
              <w:rPr>
                <w:rFonts w:ascii="Times New Roman" w:eastAsia="仿宋"/>
                <w:szCs w:val="24"/>
              </w:rPr>
            </w:pPr>
          </w:p>
        </w:tc>
        <w:tc>
          <w:tcPr>
            <w:tcW w:w="356" w:type="pct"/>
            <w:vAlign w:val="center"/>
          </w:tcPr>
          <w:p w14:paraId="6BED041A">
            <w:pPr>
              <w:widowControl/>
              <w:jc w:val="center"/>
              <w:rPr>
                <w:rFonts w:ascii="Times New Roman" w:eastAsia="仿宋"/>
                <w:szCs w:val="24"/>
              </w:rPr>
            </w:pPr>
          </w:p>
        </w:tc>
        <w:tc>
          <w:tcPr>
            <w:tcW w:w="364" w:type="pct"/>
            <w:vAlign w:val="center"/>
          </w:tcPr>
          <w:p w14:paraId="0B5C198B">
            <w:pPr>
              <w:widowControl/>
              <w:jc w:val="center"/>
              <w:rPr>
                <w:rFonts w:ascii="Times New Roman" w:eastAsia="仿宋"/>
                <w:szCs w:val="24"/>
              </w:rPr>
            </w:pPr>
          </w:p>
        </w:tc>
        <w:tc>
          <w:tcPr>
            <w:tcW w:w="364" w:type="pct"/>
            <w:vAlign w:val="center"/>
          </w:tcPr>
          <w:p w14:paraId="0157A40B">
            <w:pPr>
              <w:widowControl/>
              <w:jc w:val="center"/>
              <w:rPr>
                <w:rFonts w:ascii="Times New Roman" w:eastAsia="仿宋"/>
                <w:szCs w:val="24"/>
              </w:rPr>
            </w:pPr>
          </w:p>
        </w:tc>
        <w:tc>
          <w:tcPr>
            <w:tcW w:w="288" w:type="pct"/>
            <w:vAlign w:val="center"/>
          </w:tcPr>
          <w:p w14:paraId="36A9BE74">
            <w:pPr>
              <w:widowControl/>
              <w:jc w:val="center"/>
              <w:rPr>
                <w:rFonts w:ascii="Times New Roman" w:eastAsia="仿宋"/>
                <w:szCs w:val="24"/>
              </w:rPr>
            </w:pPr>
          </w:p>
        </w:tc>
        <w:tc>
          <w:tcPr>
            <w:tcW w:w="270" w:type="pct"/>
            <w:vAlign w:val="center"/>
          </w:tcPr>
          <w:p w14:paraId="5B415C02">
            <w:pPr>
              <w:widowControl/>
              <w:jc w:val="center"/>
              <w:rPr>
                <w:rFonts w:ascii="Times New Roman" w:eastAsia="仿宋"/>
                <w:szCs w:val="24"/>
              </w:rPr>
            </w:pPr>
          </w:p>
        </w:tc>
        <w:tc>
          <w:tcPr>
            <w:tcW w:w="364" w:type="pct"/>
            <w:vAlign w:val="center"/>
          </w:tcPr>
          <w:p w14:paraId="3A069EE8">
            <w:pPr>
              <w:widowControl/>
              <w:jc w:val="center"/>
              <w:rPr>
                <w:rFonts w:ascii="Times New Roman" w:eastAsia="仿宋"/>
                <w:szCs w:val="24"/>
              </w:rPr>
            </w:pPr>
          </w:p>
        </w:tc>
        <w:tc>
          <w:tcPr>
            <w:tcW w:w="288" w:type="pct"/>
            <w:vAlign w:val="center"/>
          </w:tcPr>
          <w:p w14:paraId="1317C107">
            <w:pPr>
              <w:widowControl/>
              <w:jc w:val="center"/>
              <w:rPr>
                <w:rFonts w:ascii="Times New Roman" w:eastAsia="仿宋"/>
                <w:szCs w:val="24"/>
              </w:rPr>
            </w:pPr>
          </w:p>
        </w:tc>
      </w:tr>
      <w:tr w14:paraId="3016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895659F">
            <w:pPr>
              <w:widowControl/>
              <w:jc w:val="center"/>
              <w:rPr>
                <w:rFonts w:ascii="Times New Roman" w:eastAsia="仿宋"/>
                <w:szCs w:val="24"/>
              </w:rPr>
            </w:pPr>
          </w:p>
        </w:tc>
        <w:tc>
          <w:tcPr>
            <w:tcW w:w="391" w:type="pct"/>
            <w:vMerge w:val="continue"/>
            <w:vAlign w:val="center"/>
          </w:tcPr>
          <w:p w14:paraId="7CA9EFDC">
            <w:pPr>
              <w:adjustRightInd w:val="0"/>
              <w:snapToGrid w:val="0"/>
              <w:jc w:val="center"/>
              <w:rPr>
                <w:rFonts w:ascii="Times New Roman" w:eastAsia="仿宋"/>
                <w:szCs w:val="24"/>
              </w:rPr>
            </w:pPr>
          </w:p>
        </w:tc>
        <w:tc>
          <w:tcPr>
            <w:tcW w:w="305" w:type="pct"/>
            <w:vMerge w:val="continue"/>
            <w:shd w:val="clear" w:color="auto" w:fill="auto"/>
            <w:vAlign w:val="center"/>
          </w:tcPr>
          <w:p w14:paraId="3ADC389D">
            <w:pPr>
              <w:jc w:val="center"/>
              <w:rPr>
                <w:rFonts w:ascii="Times New Roman" w:eastAsia="仿宋"/>
                <w:szCs w:val="21"/>
              </w:rPr>
            </w:pPr>
          </w:p>
        </w:tc>
        <w:tc>
          <w:tcPr>
            <w:tcW w:w="355" w:type="pct"/>
            <w:shd w:val="clear" w:color="auto" w:fill="auto"/>
            <w:vAlign w:val="center"/>
          </w:tcPr>
          <w:p w14:paraId="19B70660">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5C7F131A">
            <w:pPr>
              <w:adjustRightInd w:val="0"/>
              <w:snapToGrid w:val="0"/>
              <w:jc w:val="center"/>
              <w:rPr>
                <w:rFonts w:ascii="Times New Roman" w:eastAsia="仿宋"/>
                <w:szCs w:val="24"/>
              </w:rPr>
            </w:pPr>
            <w:r>
              <w:rPr>
                <w:rFonts w:hint="eastAsia" w:ascii="Times New Roman" w:eastAsia="仿宋"/>
                <w:szCs w:val="24"/>
              </w:rPr>
              <w:t>6.78</w:t>
            </w:r>
          </w:p>
        </w:tc>
        <w:tc>
          <w:tcPr>
            <w:tcW w:w="291" w:type="pct"/>
            <w:shd w:val="clear" w:color="auto" w:fill="auto"/>
            <w:vAlign w:val="center"/>
          </w:tcPr>
          <w:p w14:paraId="7D9F9B20">
            <w:pPr>
              <w:adjustRightInd w:val="0"/>
              <w:snapToGrid w:val="0"/>
              <w:jc w:val="center"/>
              <w:rPr>
                <w:rFonts w:ascii="Times New Roman" w:eastAsia="仿宋"/>
                <w:szCs w:val="24"/>
              </w:rPr>
            </w:pPr>
            <w:r>
              <w:rPr>
                <w:rFonts w:hint="eastAsia" w:ascii="Times New Roman" w:eastAsia="仿宋"/>
                <w:szCs w:val="24"/>
              </w:rPr>
              <w:t>0.19</w:t>
            </w:r>
          </w:p>
        </w:tc>
        <w:tc>
          <w:tcPr>
            <w:tcW w:w="295" w:type="pct"/>
            <w:shd w:val="clear" w:color="auto" w:fill="auto"/>
            <w:vAlign w:val="center"/>
          </w:tcPr>
          <w:p w14:paraId="41316361">
            <w:pPr>
              <w:jc w:val="center"/>
              <w:rPr>
                <w:rFonts w:ascii="Times New Roman" w:eastAsia="仿宋"/>
                <w:szCs w:val="24"/>
              </w:rPr>
            </w:pPr>
            <w:r>
              <w:rPr>
                <w:rFonts w:hint="eastAsia" w:ascii="Times New Roman" w:eastAsia="仿宋"/>
                <w:szCs w:val="24"/>
              </w:rPr>
              <w:t>0.925</w:t>
            </w:r>
          </w:p>
        </w:tc>
        <w:tc>
          <w:tcPr>
            <w:tcW w:w="346" w:type="pct"/>
            <w:vMerge w:val="continue"/>
            <w:vAlign w:val="center"/>
          </w:tcPr>
          <w:p w14:paraId="1CE4E4BA">
            <w:pPr>
              <w:widowControl/>
              <w:jc w:val="center"/>
              <w:rPr>
                <w:rFonts w:ascii="Times New Roman" w:eastAsia="仿宋"/>
                <w:szCs w:val="24"/>
              </w:rPr>
            </w:pPr>
          </w:p>
        </w:tc>
        <w:tc>
          <w:tcPr>
            <w:tcW w:w="244" w:type="pct"/>
            <w:vMerge w:val="continue"/>
            <w:vAlign w:val="center"/>
          </w:tcPr>
          <w:p w14:paraId="62FC2AF8">
            <w:pPr>
              <w:widowControl/>
              <w:jc w:val="center"/>
              <w:rPr>
                <w:rFonts w:ascii="Times New Roman" w:eastAsia="仿宋"/>
                <w:szCs w:val="24"/>
              </w:rPr>
            </w:pPr>
          </w:p>
        </w:tc>
        <w:tc>
          <w:tcPr>
            <w:tcW w:w="356" w:type="pct"/>
            <w:vAlign w:val="center"/>
          </w:tcPr>
          <w:p w14:paraId="4F622C03">
            <w:pPr>
              <w:widowControl/>
              <w:jc w:val="center"/>
              <w:rPr>
                <w:rFonts w:ascii="Times New Roman" w:eastAsia="仿宋"/>
                <w:szCs w:val="24"/>
              </w:rPr>
            </w:pPr>
            <w:r>
              <w:rPr>
                <w:rFonts w:hint="eastAsia" w:ascii="Times New Roman" w:eastAsia="仿宋"/>
                <w:szCs w:val="24"/>
              </w:rPr>
              <w:t>/</w:t>
            </w:r>
          </w:p>
        </w:tc>
        <w:tc>
          <w:tcPr>
            <w:tcW w:w="364" w:type="pct"/>
            <w:vAlign w:val="center"/>
          </w:tcPr>
          <w:p w14:paraId="20A79CEC">
            <w:pPr>
              <w:widowControl/>
              <w:jc w:val="center"/>
              <w:rPr>
                <w:rFonts w:ascii="Times New Roman" w:eastAsia="仿宋"/>
                <w:szCs w:val="24"/>
              </w:rPr>
            </w:pPr>
            <w:r>
              <w:rPr>
                <w:rFonts w:hint="eastAsia" w:ascii="Times New Roman" w:eastAsia="仿宋"/>
                <w:szCs w:val="24"/>
              </w:rPr>
              <w:t>/</w:t>
            </w:r>
          </w:p>
        </w:tc>
        <w:tc>
          <w:tcPr>
            <w:tcW w:w="364" w:type="pct"/>
            <w:vAlign w:val="center"/>
          </w:tcPr>
          <w:p w14:paraId="220C0B06">
            <w:pPr>
              <w:widowControl/>
              <w:jc w:val="center"/>
              <w:rPr>
                <w:rFonts w:ascii="Times New Roman" w:eastAsia="仿宋"/>
                <w:szCs w:val="24"/>
              </w:rPr>
            </w:pPr>
            <w:r>
              <w:rPr>
                <w:rFonts w:hint="eastAsia" w:ascii="Times New Roman" w:eastAsia="仿宋"/>
                <w:szCs w:val="24"/>
              </w:rPr>
              <w:t>/</w:t>
            </w:r>
          </w:p>
        </w:tc>
        <w:tc>
          <w:tcPr>
            <w:tcW w:w="288" w:type="pct"/>
            <w:vAlign w:val="center"/>
          </w:tcPr>
          <w:p w14:paraId="1B70F60F">
            <w:pPr>
              <w:widowControl/>
              <w:jc w:val="center"/>
              <w:rPr>
                <w:rFonts w:ascii="Times New Roman" w:eastAsia="仿宋"/>
                <w:szCs w:val="24"/>
              </w:rPr>
            </w:pPr>
            <w:r>
              <w:rPr>
                <w:rFonts w:hint="eastAsia" w:ascii="Times New Roman" w:eastAsia="仿宋"/>
                <w:szCs w:val="24"/>
              </w:rPr>
              <w:t>/</w:t>
            </w:r>
          </w:p>
        </w:tc>
        <w:tc>
          <w:tcPr>
            <w:tcW w:w="270" w:type="pct"/>
            <w:vAlign w:val="center"/>
          </w:tcPr>
          <w:p w14:paraId="55508341">
            <w:pPr>
              <w:widowControl/>
              <w:jc w:val="center"/>
              <w:rPr>
                <w:rFonts w:ascii="Times New Roman" w:eastAsia="仿宋"/>
                <w:szCs w:val="24"/>
              </w:rPr>
            </w:pPr>
            <w:r>
              <w:rPr>
                <w:rFonts w:hint="eastAsia" w:ascii="Times New Roman" w:eastAsia="仿宋"/>
                <w:szCs w:val="24"/>
              </w:rPr>
              <w:t>/</w:t>
            </w:r>
          </w:p>
        </w:tc>
        <w:tc>
          <w:tcPr>
            <w:tcW w:w="364" w:type="pct"/>
            <w:vAlign w:val="center"/>
          </w:tcPr>
          <w:p w14:paraId="4150001D">
            <w:pPr>
              <w:widowControl/>
              <w:jc w:val="center"/>
              <w:rPr>
                <w:rFonts w:ascii="Times New Roman" w:eastAsia="仿宋"/>
                <w:szCs w:val="24"/>
              </w:rPr>
            </w:pPr>
            <w:r>
              <w:rPr>
                <w:rFonts w:hint="eastAsia" w:ascii="Times New Roman" w:eastAsia="仿宋"/>
                <w:szCs w:val="24"/>
              </w:rPr>
              <w:t>/</w:t>
            </w:r>
          </w:p>
        </w:tc>
        <w:tc>
          <w:tcPr>
            <w:tcW w:w="288" w:type="pct"/>
            <w:vAlign w:val="center"/>
          </w:tcPr>
          <w:p w14:paraId="3ABDF537">
            <w:pPr>
              <w:widowControl/>
              <w:jc w:val="center"/>
              <w:rPr>
                <w:rFonts w:ascii="Times New Roman" w:eastAsia="仿宋"/>
                <w:szCs w:val="24"/>
              </w:rPr>
            </w:pPr>
            <w:r>
              <w:rPr>
                <w:rFonts w:hint="eastAsia" w:ascii="Times New Roman" w:eastAsia="仿宋"/>
                <w:szCs w:val="24"/>
              </w:rPr>
              <w:t>/</w:t>
            </w:r>
          </w:p>
        </w:tc>
      </w:tr>
      <w:tr w14:paraId="3E66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5047E9B">
            <w:pPr>
              <w:widowControl/>
              <w:jc w:val="center"/>
              <w:rPr>
                <w:rFonts w:ascii="Times New Roman" w:eastAsia="仿宋"/>
                <w:szCs w:val="24"/>
              </w:rPr>
            </w:pPr>
          </w:p>
        </w:tc>
        <w:tc>
          <w:tcPr>
            <w:tcW w:w="391" w:type="pct"/>
            <w:vMerge w:val="restart"/>
            <w:vAlign w:val="center"/>
          </w:tcPr>
          <w:p w14:paraId="2FC16E8A">
            <w:pPr>
              <w:adjustRightInd w:val="0"/>
              <w:snapToGrid w:val="0"/>
              <w:jc w:val="center"/>
              <w:rPr>
                <w:rFonts w:ascii="Times New Roman" w:eastAsia="仿宋"/>
                <w:szCs w:val="24"/>
              </w:rPr>
            </w:pPr>
            <w:r>
              <w:rPr>
                <w:rFonts w:hint="eastAsia" w:ascii="Times New Roman" w:eastAsia="仿宋"/>
                <w:szCs w:val="24"/>
              </w:rPr>
              <w:t>喷枪清洗废气G</w:t>
            </w:r>
            <w:r>
              <w:rPr>
                <w:rFonts w:ascii="Times New Roman" w:eastAsia="仿宋"/>
                <w:szCs w:val="24"/>
              </w:rPr>
              <w:t>18</w:t>
            </w:r>
          </w:p>
        </w:tc>
        <w:tc>
          <w:tcPr>
            <w:tcW w:w="305" w:type="pct"/>
            <w:vMerge w:val="continue"/>
            <w:vAlign w:val="center"/>
          </w:tcPr>
          <w:p w14:paraId="1155509C">
            <w:pPr>
              <w:jc w:val="center"/>
              <w:rPr>
                <w:rFonts w:ascii="Times New Roman" w:eastAsia="仿宋"/>
                <w:szCs w:val="24"/>
              </w:rPr>
            </w:pPr>
          </w:p>
        </w:tc>
        <w:tc>
          <w:tcPr>
            <w:tcW w:w="355" w:type="pct"/>
            <w:shd w:val="clear" w:color="auto" w:fill="auto"/>
            <w:vAlign w:val="center"/>
          </w:tcPr>
          <w:p w14:paraId="6EFD57EB">
            <w:pPr>
              <w:jc w:val="center"/>
              <w:rPr>
                <w:rFonts w:ascii="Times New Roman" w:eastAsia="仿宋"/>
                <w:szCs w:val="24"/>
              </w:rPr>
            </w:pPr>
            <w:r>
              <w:rPr>
                <w:rFonts w:hint="eastAsia" w:ascii="Times New Roman" w:eastAsia="仿宋"/>
                <w:szCs w:val="21"/>
              </w:rPr>
              <w:t>非甲烷总烃</w:t>
            </w:r>
          </w:p>
        </w:tc>
        <w:tc>
          <w:tcPr>
            <w:tcW w:w="309" w:type="pct"/>
            <w:shd w:val="clear" w:color="auto" w:fill="auto"/>
            <w:vAlign w:val="center"/>
          </w:tcPr>
          <w:p w14:paraId="5D8D1142">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291" w:type="pct"/>
            <w:shd w:val="clear" w:color="auto" w:fill="auto"/>
            <w:vAlign w:val="center"/>
          </w:tcPr>
          <w:p w14:paraId="6D043207">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95" w:type="pct"/>
            <w:shd w:val="clear" w:color="auto" w:fill="auto"/>
            <w:vAlign w:val="center"/>
          </w:tcPr>
          <w:p w14:paraId="3A3FC9B9">
            <w:pPr>
              <w:adjustRightInd w:val="0"/>
              <w:snapToGrid w:val="0"/>
              <w:jc w:val="center"/>
              <w:rPr>
                <w:rFonts w:ascii="Times New Roman" w:eastAsia="仿宋"/>
                <w:szCs w:val="24"/>
              </w:rPr>
            </w:pPr>
            <w:r>
              <w:rPr>
                <w:rFonts w:ascii="Times New Roman" w:eastAsia="仿宋"/>
                <w:szCs w:val="24"/>
              </w:rPr>
              <w:t>0.49</w:t>
            </w:r>
          </w:p>
        </w:tc>
        <w:tc>
          <w:tcPr>
            <w:tcW w:w="346" w:type="pct"/>
            <w:vMerge w:val="continue"/>
            <w:vAlign w:val="center"/>
          </w:tcPr>
          <w:p w14:paraId="0E6C3D67">
            <w:pPr>
              <w:widowControl/>
              <w:jc w:val="center"/>
              <w:rPr>
                <w:rFonts w:ascii="Times New Roman" w:eastAsia="仿宋"/>
                <w:szCs w:val="24"/>
              </w:rPr>
            </w:pPr>
          </w:p>
        </w:tc>
        <w:tc>
          <w:tcPr>
            <w:tcW w:w="244" w:type="pct"/>
            <w:vMerge w:val="continue"/>
            <w:vAlign w:val="center"/>
          </w:tcPr>
          <w:p w14:paraId="6D1CAC42">
            <w:pPr>
              <w:widowControl/>
              <w:jc w:val="center"/>
              <w:rPr>
                <w:rFonts w:ascii="Times New Roman" w:eastAsia="仿宋"/>
                <w:szCs w:val="24"/>
              </w:rPr>
            </w:pPr>
          </w:p>
        </w:tc>
        <w:tc>
          <w:tcPr>
            <w:tcW w:w="356" w:type="pct"/>
            <w:vAlign w:val="center"/>
          </w:tcPr>
          <w:p w14:paraId="7792B4B3">
            <w:pPr>
              <w:widowControl/>
              <w:jc w:val="center"/>
              <w:rPr>
                <w:rFonts w:ascii="Times New Roman" w:eastAsia="仿宋"/>
                <w:szCs w:val="24"/>
              </w:rPr>
            </w:pPr>
            <w:r>
              <w:rPr>
                <w:rFonts w:hint="eastAsia" w:ascii="Times New Roman" w:eastAsia="仿宋"/>
                <w:szCs w:val="24"/>
              </w:rPr>
              <w:t>/</w:t>
            </w:r>
          </w:p>
        </w:tc>
        <w:tc>
          <w:tcPr>
            <w:tcW w:w="364" w:type="pct"/>
            <w:vAlign w:val="center"/>
          </w:tcPr>
          <w:p w14:paraId="6606E92B">
            <w:pPr>
              <w:widowControl/>
              <w:jc w:val="center"/>
              <w:rPr>
                <w:rFonts w:ascii="Times New Roman" w:eastAsia="仿宋"/>
                <w:szCs w:val="24"/>
              </w:rPr>
            </w:pPr>
            <w:r>
              <w:rPr>
                <w:rFonts w:hint="eastAsia" w:ascii="Times New Roman" w:eastAsia="仿宋"/>
                <w:szCs w:val="24"/>
              </w:rPr>
              <w:t>/</w:t>
            </w:r>
          </w:p>
        </w:tc>
        <w:tc>
          <w:tcPr>
            <w:tcW w:w="364" w:type="pct"/>
            <w:vAlign w:val="center"/>
          </w:tcPr>
          <w:p w14:paraId="299CF373">
            <w:pPr>
              <w:widowControl/>
              <w:jc w:val="center"/>
              <w:rPr>
                <w:rFonts w:ascii="Times New Roman" w:eastAsia="仿宋"/>
                <w:szCs w:val="24"/>
              </w:rPr>
            </w:pPr>
            <w:r>
              <w:rPr>
                <w:rFonts w:hint="eastAsia" w:ascii="Times New Roman" w:eastAsia="仿宋"/>
                <w:szCs w:val="24"/>
              </w:rPr>
              <w:t>/</w:t>
            </w:r>
          </w:p>
        </w:tc>
        <w:tc>
          <w:tcPr>
            <w:tcW w:w="288" w:type="pct"/>
            <w:vAlign w:val="center"/>
          </w:tcPr>
          <w:p w14:paraId="480979D2">
            <w:pPr>
              <w:widowControl/>
              <w:jc w:val="center"/>
              <w:rPr>
                <w:rFonts w:ascii="Times New Roman" w:eastAsia="仿宋"/>
                <w:szCs w:val="24"/>
              </w:rPr>
            </w:pPr>
            <w:r>
              <w:rPr>
                <w:rFonts w:hint="eastAsia" w:ascii="Times New Roman" w:eastAsia="仿宋"/>
                <w:szCs w:val="24"/>
              </w:rPr>
              <w:t>/</w:t>
            </w:r>
          </w:p>
        </w:tc>
        <w:tc>
          <w:tcPr>
            <w:tcW w:w="270" w:type="pct"/>
            <w:vAlign w:val="center"/>
          </w:tcPr>
          <w:p w14:paraId="209F80CC">
            <w:pPr>
              <w:widowControl/>
              <w:jc w:val="center"/>
              <w:rPr>
                <w:rFonts w:ascii="Times New Roman" w:eastAsia="仿宋"/>
                <w:szCs w:val="24"/>
              </w:rPr>
            </w:pPr>
            <w:r>
              <w:rPr>
                <w:rFonts w:hint="eastAsia" w:ascii="Times New Roman" w:eastAsia="仿宋"/>
                <w:szCs w:val="24"/>
              </w:rPr>
              <w:t>/</w:t>
            </w:r>
          </w:p>
        </w:tc>
        <w:tc>
          <w:tcPr>
            <w:tcW w:w="364" w:type="pct"/>
            <w:vAlign w:val="center"/>
          </w:tcPr>
          <w:p w14:paraId="14AC99BE">
            <w:pPr>
              <w:widowControl/>
              <w:jc w:val="center"/>
              <w:rPr>
                <w:rFonts w:ascii="Times New Roman" w:eastAsia="仿宋"/>
                <w:szCs w:val="24"/>
              </w:rPr>
            </w:pPr>
            <w:r>
              <w:rPr>
                <w:rFonts w:hint="eastAsia" w:ascii="Times New Roman" w:eastAsia="仿宋"/>
                <w:szCs w:val="24"/>
              </w:rPr>
              <w:t>/</w:t>
            </w:r>
          </w:p>
        </w:tc>
        <w:tc>
          <w:tcPr>
            <w:tcW w:w="288" w:type="pct"/>
            <w:vAlign w:val="center"/>
          </w:tcPr>
          <w:p w14:paraId="147FD3A9">
            <w:pPr>
              <w:widowControl/>
              <w:jc w:val="center"/>
              <w:rPr>
                <w:rFonts w:ascii="Times New Roman" w:eastAsia="仿宋"/>
                <w:szCs w:val="24"/>
              </w:rPr>
            </w:pPr>
            <w:r>
              <w:rPr>
                <w:rFonts w:hint="eastAsia" w:ascii="Times New Roman" w:eastAsia="仿宋"/>
                <w:szCs w:val="24"/>
              </w:rPr>
              <w:t>/</w:t>
            </w:r>
          </w:p>
        </w:tc>
      </w:tr>
      <w:tr w14:paraId="4017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0909AA05">
            <w:pPr>
              <w:widowControl/>
              <w:jc w:val="center"/>
              <w:rPr>
                <w:rFonts w:ascii="Times New Roman" w:eastAsia="仿宋"/>
                <w:szCs w:val="24"/>
              </w:rPr>
            </w:pPr>
          </w:p>
        </w:tc>
        <w:tc>
          <w:tcPr>
            <w:tcW w:w="391" w:type="pct"/>
            <w:vMerge w:val="continue"/>
            <w:vAlign w:val="center"/>
          </w:tcPr>
          <w:p w14:paraId="2699E490">
            <w:pPr>
              <w:adjustRightInd w:val="0"/>
              <w:snapToGrid w:val="0"/>
              <w:jc w:val="center"/>
              <w:rPr>
                <w:rFonts w:ascii="Times New Roman" w:eastAsia="仿宋"/>
                <w:szCs w:val="24"/>
              </w:rPr>
            </w:pPr>
          </w:p>
        </w:tc>
        <w:tc>
          <w:tcPr>
            <w:tcW w:w="305" w:type="pct"/>
            <w:vMerge w:val="continue"/>
            <w:vAlign w:val="center"/>
          </w:tcPr>
          <w:p w14:paraId="5F558D03">
            <w:pPr>
              <w:jc w:val="center"/>
              <w:rPr>
                <w:rFonts w:ascii="Times New Roman" w:eastAsia="仿宋"/>
                <w:szCs w:val="24"/>
              </w:rPr>
            </w:pPr>
          </w:p>
        </w:tc>
        <w:tc>
          <w:tcPr>
            <w:tcW w:w="355" w:type="pct"/>
            <w:shd w:val="clear" w:color="auto" w:fill="auto"/>
            <w:vAlign w:val="center"/>
          </w:tcPr>
          <w:p w14:paraId="274C7E47">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4B1673A3">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.57</w:t>
            </w:r>
          </w:p>
        </w:tc>
        <w:tc>
          <w:tcPr>
            <w:tcW w:w="291" w:type="pct"/>
            <w:shd w:val="clear" w:color="auto" w:fill="auto"/>
            <w:vAlign w:val="center"/>
          </w:tcPr>
          <w:p w14:paraId="35475E04">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95" w:type="pct"/>
            <w:shd w:val="clear" w:color="auto" w:fill="auto"/>
            <w:vAlign w:val="center"/>
          </w:tcPr>
          <w:p w14:paraId="0310DEB7">
            <w:pPr>
              <w:adjustRightInd w:val="0"/>
              <w:snapToGrid w:val="0"/>
              <w:jc w:val="center"/>
              <w:rPr>
                <w:rFonts w:ascii="Times New Roman" w:eastAsia="仿宋"/>
                <w:szCs w:val="24"/>
              </w:rPr>
            </w:pPr>
            <w:r>
              <w:rPr>
                <w:rFonts w:ascii="Times New Roman" w:eastAsia="仿宋"/>
                <w:szCs w:val="24"/>
              </w:rPr>
              <w:t>0.49</w:t>
            </w:r>
          </w:p>
        </w:tc>
        <w:tc>
          <w:tcPr>
            <w:tcW w:w="346" w:type="pct"/>
            <w:vMerge w:val="continue"/>
            <w:vAlign w:val="center"/>
          </w:tcPr>
          <w:p w14:paraId="3B302163">
            <w:pPr>
              <w:widowControl/>
              <w:jc w:val="center"/>
              <w:rPr>
                <w:rFonts w:ascii="Times New Roman" w:eastAsia="仿宋"/>
                <w:szCs w:val="24"/>
              </w:rPr>
            </w:pPr>
          </w:p>
        </w:tc>
        <w:tc>
          <w:tcPr>
            <w:tcW w:w="244" w:type="pct"/>
            <w:vMerge w:val="continue"/>
            <w:vAlign w:val="center"/>
          </w:tcPr>
          <w:p w14:paraId="0ECA1838">
            <w:pPr>
              <w:widowControl/>
              <w:jc w:val="center"/>
              <w:rPr>
                <w:rFonts w:ascii="Times New Roman" w:eastAsia="仿宋"/>
                <w:szCs w:val="24"/>
              </w:rPr>
            </w:pPr>
          </w:p>
        </w:tc>
        <w:tc>
          <w:tcPr>
            <w:tcW w:w="356" w:type="pct"/>
            <w:vAlign w:val="center"/>
          </w:tcPr>
          <w:p w14:paraId="70D39967">
            <w:pPr>
              <w:widowControl/>
              <w:jc w:val="center"/>
              <w:rPr>
                <w:rFonts w:ascii="Times New Roman" w:eastAsia="仿宋"/>
                <w:szCs w:val="24"/>
              </w:rPr>
            </w:pPr>
          </w:p>
        </w:tc>
        <w:tc>
          <w:tcPr>
            <w:tcW w:w="364" w:type="pct"/>
            <w:vAlign w:val="center"/>
          </w:tcPr>
          <w:p w14:paraId="58629B17">
            <w:pPr>
              <w:widowControl/>
              <w:jc w:val="center"/>
              <w:rPr>
                <w:rFonts w:ascii="Times New Roman" w:eastAsia="仿宋"/>
                <w:szCs w:val="24"/>
              </w:rPr>
            </w:pPr>
          </w:p>
        </w:tc>
        <w:tc>
          <w:tcPr>
            <w:tcW w:w="364" w:type="pct"/>
            <w:vAlign w:val="center"/>
          </w:tcPr>
          <w:p w14:paraId="6F1F3918">
            <w:pPr>
              <w:widowControl/>
              <w:jc w:val="center"/>
              <w:rPr>
                <w:rFonts w:ascii="Times New Roman" w:eastAsia="仿宋"/>
                <w:szCs w:val="24"/>
              </w:rPr>
            </w:pPr>
          </w:p>
        </w:tc>
        <w:tc>
          <w:tcPr>
            <w:tcW w:w="288" w:type="pct"/>
            <w:vAlign w:val="center"/>
          </w:tcPr>
          <w:p w14:paraId="72B9425E">
            <w:pPr>
              <w:widowControl/>
              <w:jc w:val="center"/>
              <w:rPr>
                <w:rFonts w:ascii="Times New Roman" w:eastAsia="仿宋"/>
                <w:szCs w:val="24"/>
              </w:rPr>
            </w:pPr>
          </w:p>
        </w:tc>
        <w:tc>
          <w:tcPr>
            <w:tcW w:w="270" w:type="pct"/>
            <w:vAlign w:val="center"/>
          </w:tcPr>
          <w:p w14:paraId="7B8CA536">
            <w:pPr>
              <w:widowControl/>
              <w:jc w:val="center"/>
              <w:rPr>
                <w:rFonts w:ascii="Times New Roman" w:eastAsia="仿宋"/>
                <w:szCs w:val="24"/>
              </w:rPr>
            </w:pPr>
          </w:p>
        </w:tc>
        <w:tc>
          <w:tcPr>
            <w:tcW w:w="364" w:type="pct"/>
            <w:vAlign w:val="center"/>
          </w:tcPr>
          <w:p w14:paraId="1DA56777">
            <w:pPr>
              <w:widowControl/>
              <w:jc w:val="center"/>
              <w:rPr>
                <w:rFonts w:ascii="Times New Roman" w:eastAsia="仿宋"/>
                <w:szCs w:val="24"/>
              </w:rPr>
            </w:pPr>
          </w:p>
        </w:tc>
        <w:tc>
          <w:tcPr>
            <w:tcW w:w="288" w:type="pct"/>
            <w:vAlign w:val="center"/>
          </w:tcPr>
          <w:p w14:paraId="25A1D469">
            <w:pPr>
              <w:widowControl/>
              <w:jc w:val="center"/>
              <w:rPr>
                <w:rFonts w:ascii="Times New Roman" w:eastAsia="仿宋"/>
                <w:szCs w:val="24"/>
              </w:rPr>
            </w:pPr>
          </w:p>
        </w:tc>
      </w:tr>
      <w:tr w14:paraId="71D0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8B6A5EF">
            <w:pPr>
              <w:widowControl/>
              <w:jc w:val="center"/>
              <w:rPr>
                <w:rFonts w:ascii="Times New Roman" w:eastAsia="仿宋"/>
                <w:szCs w:val="24"/>
              </w:rPr>
            </w:pPr>
          </w:p>
        </w:tc>
        <w:tc>
          <w:tcPr>
            <w:tcW w:w="391" w:type="pct"/>
            <w:vAlign w:val="center"/>
          </w:tcPr>
          <w:p w14:paraId="13C5708C">
            <w:pPr>
              <w:adjustRightInd w:val="0"/>
              <w:snapToGrid w:val="0"/>
              <w:jc w:val="center"/>
              <w:rPr>
                <w:rFonts w:ascii="Times New Roman" w:eastAsia="仿宋"/>
                <w:szCs w:val="24"/>
              </w:rPr>
            </w:pPr>
            <w:r>
              <w:rPr>
                <w:rFonts w:hint="eastAsia" w:ascii="Times New Roman" w:eastAsia="仿宋"/>
                <w:szCs w:val="24"/>
              </w:rPr>
              <w:t>危废仓库废气</w:t>
            </w:r>
          </w:p>
        </w:tc>
        <w:tc>
          <w:tcPr>
            <w:tcW w:w="305" w:type="pct"/>
            <w:vMerge w:val="continue"/>
            <w:vAlign w:val="center"/>
          </w:tcPr>
          <w:p w14:paraId="495E49AB">
            <w:pPr>
              <w:jc w:val="center"/>
              <w:rPr>
                <w:rFonts w:ascii="Times New Roman" w:eastAsia="仿宋"/>
                <w:szCs w:val="24"/>
              </w:rPr>
            </w:pPr>
          </w:p>
        </w:tc>
        <w:tc>
          <w:tcPr>
            <w:tcW w:w="355" w:type="pct"/>
            <w:shd w:val="clear" w:color="auto" w:fill="auto"/>
            <w:vAlign w:val="center"/>
          </w:tcPr>
          <w:p w14:paraId="6CCC177A">
            <w:pPr>
              <w:jc w:val="center"/>
              <w:rPr>
                <w:rFonts w:ascii="Times New Roman" w:eastAsia="仿宋"/>
                <w:szCs w:val="24"/>
              </w:rPr>
            </w:pPr>
            <w:r>
              <w:rPr>
                <w:rFonts w:hint="eastAsia" w:ascii="Times New Roman" w:eastAsia="仿宋"/>
                <w:szCs w:val="21"/>
              </w:rPr>
              <w:t>非甲烷总烃</w:t>
            </w:r>
          </w:p>
        </w:tc>
        <w:tc>
          <w:tcPr>
            <w:tcW w:w="309" w:type="pct"/>
            <w:shd w:val="clear" w:color="auto" w:fill="auto"/>
            <w:vAlign w:val="center"/>
          </w:tcPr>
          <w:p w14:paraId="53C4D4C9">
            <w:pPr>
              <w:adjustRightInd w:val="0"/>
              <w:snapToGrid w:val="0"/>
              <w:jc w:val="center"/>
              <w:rPr>
                <w:rFonts w:ascii="Times New Roman" w:eastAsia="仿宋"/>
                <w:szCs w:val="24"/>
              </w:rPr>
            </w:pPr>
            <w:r>
              <w:rPr>
                <w:rFonts w:hint="eastAsia" w:ascii="Times New Roman" w:eastAsia="仿宋"/>
                <w:szCs w:val="24"/>
              </w:rPr>
              <w:t>/</w:t>
            </w:r>
          </w:p>
        </w:tc>
        <w:tc>
          <w:tcPr>
            <w:tcW w:w="291" w:type="pct"/>
            <w:shd w:val="clear" w:color="auto" w:fill="auto"/>
            <w:vAlign w:val="center"/>
          </w:tcPr>
          <w:p w14:paraId="290F78F5">
            <w:pPr>
              <w:adjustRightInd w:val="0"/>
              <w:snapToGrid w:val="0"/>
              <w:jc w:val="center"/>
              <w:rPr>
                <w:rFonts w:ascii="Times New Roman" w:eastAsia="仿宋"/>
                <w:szCs w:val="24"/>
              </w:rPr>
            </w:pPr>
            <w:r>
              <w:rPr>
                <w:rFonts w:hint="eastAsia" w:ascii="Times New Roman" w:eastAsia="仿宋"/>
                <w:szCs w:val="24"/>
              </w:rPr>
              <w:t>/</w:t>
            </w:r>
          </w:p>
        </w:tc>
        <w:tc>
          <w:tcPr>
            <w:tcW w:w="295" w:type="pct"/>
            <w:shd w:val="clear" w:color="auto" w:fill="auto"/>
            <w:vAlign w:val="center"/>
          </w:tcPr>
          <w:p w14:paraId="10C364A9">
            <w:pPr>
              <w:adjustRightInd w:val="0"/>
              <w:snapToGrid w:val="0"/>
              <w:jc w:val="center"/>
              <w:rPr>
                <w:rFonts w:ascii="Times New Roman" w:eastAsia="仿宋"/>
                <w:szCs w:val="24"/>
              </w:rPr>
            </w:pPr>
            <w:r>
              <w:rPr>
                <w:rFonts w:hint="eastAsia" w:ascii="Times New Roman" w:eastAsia="仿宋"/>
                <w:szCs w:val="24"/>
              </w:rPr>
              <w:t>/</w:t>
            </w:r>
          </w:p>
        </w:tc>
        <w:tc>
          <w:tcPr>
            <w:tcW w:w="346" w:type="pct"/>
            <w:vMerge w:val="continue"/>
            <w:vAlign w:val="center"/>
          </w:tcPr>
          <w:p w14:paraId="054B33A4">
            <w:pPr>
              <w:widowControl/>
              <w:jc w:val="center"/>
              <w:rPr>
                <w:rFonts w:ascii="Times New Roman" w:eastAsia="仿宋"/>
                <w:szCs w:val="24"/>
              </w:rPr>
            </w:pPr>
          </w:p>
        </w:tc>
        <w:tc>
          <w:tcPr>
            <w:tcW w:w="244" w:type="pct"/>
            <w:vMerge w:val="continue"/>
            <w:vAlign w:val="center"/>
          </w:tcPr>
          <w:p w14:paraId="466C03AC">
            <w:pPr>
              <w:widowControl/>
              <w:jc w:val="center"/>
              <w:rPr>
                <w:rFonts w:ascii="Times New Roman" w:eastAsia="仿宋"/>
                <w:szCs w:val="24"/>
              </w:rPr>
            </w:pPr>
          </w:p>
        </w:tc>
        <w:tc>
          <w:tcPr>
            <w:tcW w:w="356" w:type="pct"/>
            <w:vAlign w:val="center"/>
          </w:tcPr>
          <w:p w14:paraId="0099F82F">
            <w:pPr>
              <w:widowControl/>
              <w:jc w:val="center"/>
              <w:rPr>
                <w:rFonts w:ascii="Times New Roman" w:eastAsia="仿宋"/>
                <w:szCs w:val="24"/>
              </w:rPr>
            </w:pPr>
            <w:r>
              <w:rPr>
                <w:rFonts w:hint="eastAsia" w:ascii="Times New Roman" w:eastAsia="仿宋"/>
                <w:szCs w:val="24"/>
              </w:rPr>
              <w:t>/</w:t>
            </w:r>
          </w:p>
        </w:tc>
        <w:tc>
          <w:tcPr>
            <w:tcW w:w="364" w:type="pct"/>
            <w:vAlign w:val="center"/>
          </w:tcPr>
          <w:p w14:paraId="4AB40F17">
            <w:pPr>
              <w:widowControl/>
              <w:jc w:val="center"/>
              <w:rPr>
                <w:rFonts w:ascii="Times New Roman" w:eastAsia="仿宋"/>
                <w:szCs w:val="24"/>
              </w:rPr>
            </w:pPr>
            <w:r>
              <w:rPr>
                <w:rFonts w:hint="eastAsia" w:ascii="Times New Roman" w:eastAsia="仿宋"/>
                <w:szCs w:val="24"/>
              </w:rPr>
              <w:t>/</w:t>
            </w:r>
          </w:p>
        </w:tc>
        <w:tc>
          <w:tcPr>
            <w:tcW w:w="364" w:type="pct"/>
            <w:vAlign w:val="center"/>
          </w:tcPr>
          <w:p w14:paraId="7DA86002">
            <w:pPr>
              <w:widowControl/>
              <w:jc w:val="center"/>
              <w:rPr>
                <w:rFonts w:ascii="Times New Roman" w:eastAsia="仿宋"/>
                <w:szCs w:val="24"/>
              </w:rPr>
            </w:pPr>
            <w:r>
              <w:rPr>
                <w:rFonts w:hint="eastAsia" w:ascii="Times New Roman" w:eastAsia="仿宋"/>
                <w:szCs w:val="24"/>
              </w:rPr>
              <w:t>/</w:t>
            </w:r>
          </w:p>
        </w:tc>
        <w:tc>
          <w:tcPr>
            <w:tcW w:w="288" w:type="pct"/>
            <w:vAlign w:val="center"/>
          </w:tcPr>
          <w:p w14:paraId="225F0392">
            <w:pPr>
              <w:widowControl/>
              <w:jc w:val="center"/>
              <w:rPr>
                <w:rFonts w:ascii="Times New Roman" w:eastAsia="仿宋"/>
                <w:szCs w:val="24"/>
              </w:rPr>
            </w:pPr>
            <w:r>
              <w:rPr>
                <w:rFonts w:hint="eastAsia" w:ascii="Times New Roman" w:eastAsia="仿宋"/>
                <w:szCs w:val="24"/>
              </w:rPr>
              <w:t>/</w:t>
            </w:r>
          </w:p>
        </w:tc>
        <w:tc>
          <w:tcPr>
            <w:tcW w:w="270" w:type="pct"/>
            <w:vAlign w:val="center"/>
          </w:tcPr>
          <w:p w14:paraId="10DC77D8">
            <w:pPr>
              <w:widowControl/>
              <w:jc w:val="center"/>
              <w:rPr>
                <w:rFonts w:ascii="Times New Roman" w:eastAsia="仿宋"/>
                <w:szCs w:val="24"/>
              </w:rPr>
            </w:pPr>
            <w:r>
              <w:rPr>
                <w:rFonts w:hint="eastAsia" w:ascii="Times New Roman" w:eastAsia="仿宋"/>
                <w:szCs w:val="24"/>
              </w:rPr>
              <w:t>/</w:t>
            </w:r>
          </w:p>
        </w:tc>
        <w:tc>
          <w:tcPr>
            <w:tcW w:w="364" w:type="pct"/>
            <w:vAlign w:val="center"/>
          </w:tcPr>
          <w:p w14:paraId="2F090178">
            <w:pPr>
              <w:widowControl/>
              <w:jc w:val="center"/>
              <w:rPr>
                <w:rFonts w:ascii="Times New Roman" w:eastAsia="仿宋"/>
                <w:szCs w:val="24"/>
              </w:rPr>
            </w:pPr>
            <w:r>
              <w:rPr>
                <w:rFonts w:hint="eastAsia" w:ascii="Times New Roman" w:eastAsia="仿宋"/>
                <w:szCs w:val="24"/>
              </w:rPr>
              <w:t>/</w:t>
            </w:r>
          </w:p>
        </w:tc>
        <w:tc>
          <w:tcPr>
            <w:tcW w:w="288" w:type="pct"/>
            <w:vAlign w:val="center"/>
          </w:tcPr>
          <w:p w14:paraId="26C5CAF8">
            <w:pPr>
              <w:widowControl/>
              <w:jc w:val="center"/>
              <w:rPr>
                <w:rFonts w:ascii="Times New Roman" w:eastAsia="仿宋"/>
                <w:szCs w:val="24"/>
              </w:rPr>
            </w:pPr>
            <w:r>
              <w:rPr>
                <w:rFonts w:hint="eastAsia" w:ascii="Times New Roman" w:eastAsia="仿宋"/>
                <w:szCs w:val="24"/>
              </w:rPr>
              <w:t>/</w:t>
            </w:r>
          </w:p>
        </w:tc>
      </w:tr>
      <w:tr w14:paraId="2C5E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vAlign w:val="center"/>
          </w:tcPr>
          <w:p w14:paraId="44A5FA2E">
            <w:pPr>
              <w:widowControl/>
              <w:jc w:val="center"/>
              <w:rPr>
                <w:rFonts w:ascii="Times New Roman" w:eastAsia="仿宋"/>
                <w:szCs w:val="24"/>
              </w:rPr>
            </w:pPr>
            <w:r>
              <w:rPr>
                <w:rFonts w:hint="eastAsia" w:ascii="Times New Roman" w:eastAsia="仿宋"/>
                <w:szCs w:val="24"/>
              </w:rPr>
              <w:t>4#</w:t>
            </w:r>
          </w:p>
        </w:tc>
        <w:tc>
          <w:tcPr>
            <w:tcW w:w="391" w:type="pct"/>
            <w:vMerge w:val="restart"/>
            <w:shd w:val="clear" w:color="auto" w:fill="auto"/>
            <w:vAlign w:val="center"/>
          </w:tcPr>
          <w:p w14:paraId="185CF4C0">
            <w:pPr>
              <w:adjustRightInd w:val="0"/>
              <w:snapToGrid w:val="0"/>
              <w:jc w:val="center"/>
              <w:rPr>
                <w:rFonts w:ascii="Times New Roman" w:eastAsia="仿宋"/>
                <w:szCs w:val="24"/>
              </w:rPr>
            </w:pPr>
            <w:r>
              <w:rPr>
                <w:rFonts w:hint="eastAsia" w:ascii="Times New Roman" w:eastAsia="仿宋"/>
                <w:szCs w:val="24"/>
              </w:rPr>
              <w:t>固化废气G7</w:t>
            </w:r>
          </w:p>
        </w:tc>
        <w:tc>
          <w:tcPr>
            <w:tcW w:w="305" w:type="pct"/>
            <w:vMerge w:val="restart"/>
            <w:vAlign w:val="center"/>
          </w:tcPr>
          <w:p w14:paraId="01D22C67">
            <w:pPr>
              <w:widowControl/>
              <w:jc w:val="center"/>
              <w:rPr>
                <w:rFonts w:ascii="Times New Roman" w:eastAsia="仿宋"/>
                <w:szCs w:val="24"/>
              </w:rPr>
            </w:pPr>
            <w:r>
              <w:rPr>
                <w:rFonts w:hint="eastAsia" w:ascii="Times New Roman" w:eastAsia="仿宋"/>
                <w:szCs w:val="24"/>
              </w:rPr>
              <w:t>21000</w:t>
            </w:r>
          </w:p>
        </w:tc>
        <w:tc>
          <w:tcPr>
            <w:tcW w:w="355" w:type="pct"/>
            <w:shd w:val="clear" w:color="auto" w:fill="auto"/>
            <w:vAlign w:val="center"/>
          </w:tcPr>
          <w:p w14:paraId="3E22DDAC">
            <w:pPr>
              <w:widowControl/>
              <w:jc w:val="center"/>
              <w:rPr>
                <w:rFonts w:ascii="Times New Roman" w:eastAsia="仿宋"/>
                <w:szCs w:val="24"/>
              </w:rPr>
            </w:pPr>
            <w:r>
              <w:rPr>
                <w:rFonts w:hint="eastAsia" w:ascii="Times New Roman" w:eastAsia="仿宋"/>
                <w:szCs w:val="21"/>
              </w:rPr>
              <w:t>非甲烷总烃</w:t>
            </w:r>
          </w:p>
        </w:tc>
        <w:tc>
          <w:tcPr>
            <w:tcW w:w="309" w:type="pct"/>
            <w:shd w:val="clear" w:color="auto" w:fill="auto"/>
            <w:vAlign w:val="center"/>
          </w:tcPr>
          <w:p w14:paraId="012C2443">
            <w:pPr>
              <w:widowControl/>
              <w:jc w:val="center"/>
              <w:textAlignment w:val="center"/>
              <w:rPr>
                <w:rFonts w:ascii="Times New Roman" w:eastAsia="仿宋"/>
                <w:szCs w:val="24"/>
              </w:rPr>
            </w:pPr>
            <w:r>
              <w:rPr>
                <w:rFonts w:hint="eastAsia" w:ascii="Times New Roman" w:eastAsia="仿宋"/>
                <w:szCs w:val="24"/>
              </w:rPr>
              <w:t>0.52</w:t>
            </w:r>
          </w:p>
        </w:tc>
        <w:tc>
          <w:tcPr>
            <w:tcW w:w="291" w:type="pct"/>
            <w:shd w:val="clear" w:color="auto" w:fill="auto"/>
            <w:vAlign w:val="center"/>
          </w:tcPr>
          <w:p w14:paraId="43E1E0C6">
            <w:pPr>
              <w:widowControl/>
              <w:jc w:val="center"/>
              <w:textAlignment w:val="center"/>
              <w:rPr>
                <w:rFonts w:ascii="Times New Roman" w:eastAsia="仿宋"/>
                <w:szCs w:val="24"/>
              </w:rPr>
            </w:pPr>
            <w:r>
              <w:rPr>
                <w:rFonts w:hint="eastAsia" w:ascii="Times New Roman" w:eastAsia="仿宋"/>
                <w:szCs w:val="24"/>
              </w:rPr>
              <w:t>0.011</w:t>
            </w:r>
          </w:p>
        </w:tc>
        <w:tc>
          <w:tcPr>
            <w:tcW w:w="295" w:type="pct"/>
            <w:shd w:val="clear" w:color="auto" w:fill="auto"/>
            <w:vAlign w:val="center"/>
          </w:tcPr>
          <w:p w14:paraId="345E791B">
            <w:pPr>
              <w:widowControl/>
              <w:jc w:val="center"/>
              <w:textAlignment w:val="center"/>
              <w:rPr>
                <w:rFonts w:ascii="Times New Roman" w:eastAsia="仿宋"/>
                <w:szCs w:val="24"/>
              </w:rPr>
            </w:pPr>
            <w:r>
              <w:rPr>
                <w:rFonts w:hint="eastAsia" w:ascii="Times New Roman" w:eastAsia="仿宋"/>
                <w:szCs w:val="24"/>
              </w:rPr>
              <w:t>0.053</w:t>
            </w:r>
          </w:p>
        </w:tc>
        <w:tc>
          <w:tcPr>
            <w:tcW w:w="346" w:type="pct"/>
            <w:vMerge w:val="restart"/>
            <w:vAlign w:val="center"/>
          </w:tcPr>
          <w:p w14:paraId="63A44DE7">
            <w:pPr>
              <w:widowControl/>
              <w:jc w:val="center"/>
              <w:rPr>
                <w:rFonts w:ascii="Times New Roman" w:eastAsia="仿宋"/>
                <w:szCs w:val="24"/>
              </w:rPr>
            </w:pPr>
            <w:r>
              <w:rPr>
                <w:rFonts w:ascii="Times New Roman" w:eastAsia="仿宋"/>
                <w:szCs w:val="21"/>
              </w:rPr>
              <w:t>3</w:t>
            </w:r>
            <w:r>
              <w:rPr>
                <w:rFonts w:hint="eastAsia" w:ascii="Times New Roman" w:eastAsia="仿宋"/>
                <w:szCs w:val="21"/>
              </w:rPr>
              <w:t>号水帘式循环过滤系统+水喷淋+干式过滤器+三级活性炭吸附脱附+催化燃烧</w:t>
            </w:r>
          </w:p>
        </w:tc>
        <w:tc>
          <w:tcPr>
            <w:tcW w:w="244" w:type="pct"/>
            <w:vMerge w:val="restart"/>
            <w:vAlign w:val="center"/>
          </w:tcPr>
          <w:p w14:paraId="5E8775F2">
            <w:pPr>
              <w:widowControl/>
              <w:jc w:val="center"/>
              <w:rPr>
                <w:rFonts w:ascii="Times New Roman" w:eastAsia="仿宋"/>
                <w:szCs w:val="24"/>
              </w:rPr>
            </w:pPr>
            <w:r>
              <w:rPr>
                <w:rFonts w:hint="eastAsia" w:ascii="Times New Roman" w:eastAsia="仿宋"/>
                <w:szCs w:val="24"/>
              </w:rPr>
              <w:t>9</w:t>
            </w:r>
            <w:r>
              <w:rPr>
                <w:rFonts w:ascii="Times New Roman" w:eastAsia="仿宋"/>
                <w:szCs w:val="24"/>
              </w:rPr>
              <w:t>5</w:t>
            </w:r>
          </w:p>
        </w:tc>
        <w:tc>
          <w:tcPr>
            <w:tcW w:w="356" w:type="pct"/>
            <w:vAlign w:val="center"/>
          </w:tcPr>
          <w:p w14:paraId="60115444">
            <w:pPr>
              <w:jc w:val="center"/>
              <w:rPr>
                <w:rFonts w:ascii="Times New Roman" w:eastAsia="仿宋"/>
                <w:szCs w:val="21"/>
              </w:rPr>
            </w:pPr>
            <w:r>
              <w:rPr>
                <w:rFonts w:hint="eastAsia" w:ascii="Times New Roman" w:eastAsia="仿宋"/>
                <w:szCs w:val="21"/>
              </w:rPr>
              <w:t>非甲烷总烃</w:t>
            </w:r>
          </w:p>
        </w:tc>
        <w:tc>
          <w:tcPr>
            <w:tcW w:w="728" w:type="pct"/>
            <w:gridSpan w:val="2"/>
            <w:vAlign w:val="center"/>
          </w:tcPr>
          <w:p w14:paraId="65D0785D">
            <w:pPr>
              <w:widowControl/>
              <w:jc w:val="center"/>
              <w:rPr>
                <w:rFonts w:ascii="Times New Roman" w:eastAsia="仿宋"/>
                <w:szCs w:val="24"/>
              </w:rPr>
            </w:pPr>
            <w:r>
              <w:rPr>
                <w:rFonts w:hint="eastAsia" w:ascii="Times New Roman" w:eastAsia="仿宋"/>
                <w:szCs w:val="24"/>
              </w:rPr>
              <w:t>1</w:t>
            </w:r>
            <w:r>
              <w:rPr>
                <w:rFonts w:ascii="Times New Roman" w:eastAsia="仿宋"/>
                <w:szCs w:val="24"/>
              </w:rPr>
              <w:t>9.05</w:t>
            </w:r>
          </w:p>
        </w:tc>
        <w:tc>
          <w:tcPr>
            <w:tcW w:w="288" w:type="pct"/>
            <w:vAlign w:val="center"/>
          </w:tcPr>
          <w:p w14:paraId="5217184F">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270" w:type="pct"/>
            <w:vAlign w:val="center"/>
          </w:tcPr>
          <w:p w14:paraId="2C9AA74B">
            <w:pPr>
              <w:widowControl/>
              <w:jc w:val="center"/>
              <w:rPr>
                <w:rFonts w:ascii="Times New Roman" w:eastAsia="仿宋"/>
                <w:szCs w:val="24"/>
              </w:rPr>
            </w:pPr>
            <w:r>
              <w:rPr>
                <w:rFonts w:hint="eastAsia" w:ascii="Times New Roman" w:eastAsia="仿宋"/>
                <w:szCs w:val="24"/>
              </w:rPr>
              <w:t>1</w:t>
            </w:r>
            <w:r>
              <w:rPr>
                <w:rFonts w:ascii="Times New Roman" w:eastAsia="仿宋"/>
                <w:szCs w:val="24"/>
              </w:rPr>
              <w:t>.92</w:t>
            </w:r>
          </w:p>
        </w:tc>
        <w:tc>
          <w:tcPr>
            <w:tcW w:w="364" w:type="pct"/>
            <w:vAlign w:val="center"/>
          </w:tcPr>
          <w:p w14:paraId="2E05ECDB">
            <w:pPr>
              <w:widowControl/>
              <w:jc w:val="center"/>
              <w:rPr>
                <w:rFonts w:ascii="Times New Roman" w:eastAsia="仿宋"/>
                <w:szCs w:val="24"/>
              </w:rPr>
            </w:pPr>
            <w:r>
              <w:rPr>
                <w:rFonts w:ascii="Times New Roman" w:eastAsia="仿宋"/>
                <w:szCs w:val="21"/>
              </w:rPr>
              <w:t>40</w:t>
            </w:r>
          </w:p>
        </w:tc>
        <w:tc>
          <w:tcPr>
            <w:tcW w:w="288" w:type="pct"/>
            <w:vAlign w:val="center"/>
          </w:tcPr>
          <w:p w14:paraId="6DA705E3">
            <w:pPr>
              <w:widowControl/>
              <w:jc w:val="center"/>
              <w:rPr>
                <w:rFonts w:ascii="Times New Roman" w:eastAsia="仿宋"/>
                <w:szCs w:val="24"/>
              </w:rPr>
            </w:pPr>
            <w:r>
              <w:rPr>
                <w:rFonts w:ascii="Times New Roman" w:eastAsia="仿宋"/>
                <w:szCs w:val="21"/>
              </w:rPr>
              <w:t>1.8</w:t>
            </w:r>
          </w:p>
        </w:tc>
      </w:tr>
      <w:tr w14:paraId="1019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21AE24B">
            <w:pPr>
              <w:widowControl/>
              <w:jc w:val="center"/>
              <w:rPr>
                <w:rFonts w:ascii="Times New Roman" w:eastAsia="仿宋"/>
                <w:szCs w:val="24"/>
              </w:rPr>
            </w:pPr>
          </w:p>
        </w:tc>
        <w:tc>
          <w:tcPr>
            <w:tcW w:w="391" w:type="pct"/>
            <w:vMerge w:val="continue"/>
            <w:shd w:val="clear" w:color="auto" w:fill="auto"/>
            <w:vAlign w:val="center"/>
          </w:tcPr>
          <w:p w14:paraId="061F8F1F">
            <w:pPr>
              <w:adjustRightInd w:val="0"/>
              <w:snapToGrid w:val="0"/>
              <w:jc w:val="center"/>
              <w:rPr>
                <w:rFonts w:ascii="Times New Roman" w:eastAsia="仿宋"/>
                <w:szCs w:val="24"/>
              </w:rPr>
            </w:pPr>
          </w:p>
        </w:tc>
        <w:tc>
          <w:tcPr>
            <w:tcW w:w="305" w:type="pct"/>
            <w:vMerge w:val="continue"/>
            <w:vAlign w:val="center"/>
          </w:tcPr>
          <w:p w14:paraId="3EE706E6">
            <w:pPr>
              <w:widowControl/>
              <w:jc w:val="center"/>
              <w:rPr>
                <w:rFonts w:ascii="Times New Roman" w:eastAsia="仿宋"/>
                <w:szCs w:val="24"/>
              </w:rPr>
            </w:pPr>
          </w:p>
        </w:tc>
        <w:tc>
          <w:tcPr>
            <w:tcW w:w="355" w:type="pct"/>
            <w:shd w:val="clear" w:color="auto" w:fill="auto"/>
            <w:vAlign w:val="center"/>
          </w:tcPr>
          <w:p w14:paraId="2C4F1CED">
            <w:pPr>
              <w:widowControl/>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04EA736C">
            <w:pPr>
              <w:widowControl/>
              <w:jc w:val="center"/>
              <w:textAlignment w:val="center"/>
              <w:rPr>
                <w:rFonts w:ascii="Times New Roman" w:eastAsia="仿宋"/>
                <w:szCs w:val="24"/>
              </w:rPr>
            </w:pPr>
            <w:r>
              <w:rPr>
                <w:rFonts w:hint="eastAsia" w:ascii="Times New Roman" w:eastAsia="仿宋"/>
                <w:szCs w:val="24"/>
              </w:rPr>
              <w:t>0.52</w:t>
            </w:r>
          </w:p>
        </w:tc>
        <w:tc>
          <w:tcPr>
            <w:tcW w:w="291" w:type="pct"/>
            <w:shd w:val="clear" w:color="auto" w:fill="auto"/>
            <w:vAlign w:val="center"/>
          </w:tcPr>
          <w:p w14:paraId="50F4EADF">
            <w:pPr>
              <w:widowControl/>
              <w:jc w:val="center"/>
              <w:textAlignment w:val="center"/>
              <w:rPr>
                <w:rFonts w:ascii="Times New Roman" w:eastAsia="仿宋"/>
                <w:szCs w:val="24"/>
              </w:rPr>
            </w:pPr>
            <w:r>
              <w:rPr>
                <w:rFonts w:hint="eastAsia" w:ascii="Times New Roman" w:eastAsia="仿宋"/>
                <w:szCs w:val="24"/>
              </w:rPr>
              <w:t>0.011</w:t>
            </w:r>
          </w:p>
        </w:tc>
        <w:tc>
          <w:tcPr>
            <w:tcW w:w="295" w:type="pct"/>
            <w:shd w:val="clear" w:color="auto" w:fill="auto"/>
            <w:vAlign w:val="center"/>
          </w:tcPr>
          <w:p w14:paraId="72057040">
            <w:pPr>
              <w:widowControl/>
              <w:jc w:val="center"/>
              <w:textAlignment w:val="center"/>
              <w:rPr>
                <w:rFonts w:ascii="Times New Roman" w:eastAsia="仿宋"/>
                <w:szCs w:val="24"/>
              </w:rPr>
            </w:pPr>
            <w:r>
              <w:rPr>
                <w:rFonts w:hint="eastAsia" w:ascii="Times New Roman" w:eastAsia="仿宋"/>
                <w:szCs w:val="24"/>
              </w:rPr>
              <w:t>0.053</w:t>
            </w:r>
          </w:p>
        </w:tc>
        <w:tc>
          <w:tcPr>
            <w:tcW w:w="346" w:type="pct"/>
            <w:vMerge w:val="continue"/>
            <w:vAlign w:val="center"/>
          </w:tcPr>
          <w:p w14:paraId="0A56C1EB">
            <w:pPr>
              <w:widowControl/>
              <w:jc w:val="center"/>
              <w:rPr>
                <w:rFonts w:ascii="Times New Roman" w:eastAsia="仿宋"/>
                <w:szCs w:val="21"/>
              </w:rPr>
            </w:pPr>
          </w:p>
        </w:tc>
        <w:tc>
          <w:tcPr>
            <w:tcW w:w="244" w:type="pct"/>
            <w:vMerge w:val="continue"/>
            <w:vAlign w:val="center"/>
          </w:tcPr>
          <w:p w14:paraId="435079D2">
            <w:pPr>
              <w:widowControl/>
              <w:jc w:val="center"/>
              <w:rPr>
                <w:rFonts w:ascii="Times New Roman" w:eastAsia="仿宋"/>
                <w:szCs w:val="24"/>
              </w:rPr>
            </w:pPr>
          </w:p>
        </w:tc>
        <w:tc>
          <w:tcPr>
            <w:tcW w:w="356" w:type="pct"/>
            <w:vAlign w:val="center"/>
          </w:tcPr>
          <w:p w14:paraId="22FDE09C">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728" w:type="pct"/>
            <w:gridSpan w:val="2"/>
            <w:vAlign w:val="center"/>
          </w:tcPr>
          <w:p w14:paraId="60F28910">
            <w:pPr>
              <w:widowControl/>
              <w:jc w:val="center"/>
              <w:rPr>
                <w:rFonts w:ascii="Times New Roman" w:eastAsia="仿宋"/>
                <w:szCs w:val="24"/>
              </w:rPr>
            </w:pPr>
            <w:r>
              <w:rPr>
                <w:rFonts w:hint="eastAsia" w:ascii="Times New Roman" w:eastAsia="仿宋"/>
                <w:szCs w:val="24"/>
              </w:rPr>
              <w:t>1</w:t>
            </w:r>
            <w:r>
              <w:rPr>
                <w:rFonts w:ascii="Times New Roman" w:eastAsia="仿宋"/>
                <w:szCs w:val="24"/>
              </w:rPr>
              <w:t>9.05</w:t>
            </w:r>
          </w:p>
        </w:tc>
        <w:tc>
          <w:tcPr>
            <w:tcW w:w="288" w:type="pct"/>
            <w:vAlign w:val="center"/>
          </w:tcPr>
          <w:p w14:paraId="332B507E">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270" w:type="pct"/>
            <w:vAlign w:val="center"/>
          </w:tcPr>
          <w:p w14:paraId="3F069B60">
            <w:pPr>
              <w:widowControl/>
              <w:jc w:val="center"/>
              <w:rPr>
                <w:rFonts w:ascii="Times New Roman" w:eastAsia="仿宋"/>
                <w:szCs w:val="24"/>
              </w:rPr>
            </w:pPr>
            <w:r>
              <w:rPr>
                <w:rFonts w:hint="eastAsia" w:ascii="Times New Roman" w:eastAsia="仿宋"/>
                <w:szCs w:val="24"/>
              </w:rPr>
              <w:t>1</w:t>
            </w:r>
            <w:r>
              <w:rPr>
                <w:rFonts w:ascii="Times New Roman" w:eastAsia="仿宋"/>
                <w:szCs w:val="24"/>
              </w:rPr>
              <w:t>.92</w:t>
            </w:r>
          </w:p>
        </w:tc>
        <w:tc>
          <w:tcPr>
            <w:tcW w:w="364" w:type="pct"/>
            <w:vAlign w:val="center"/>
          </w:tcPr>
          <w:p w14:paraId="64576EE2">
            <w:pPr>
              <w:widowControl/>
              <w:jc w:val="center"/>
              <w:rPr>
                <w:rFonts w:ascii="Times New Roman" w:eastAsia="仿宋"/>
                <w:szCs w:val="24"/>
              </w:rPr>
            </w:pPr>
            <w:r>
              <w:rPr>
                <w:rFonts w:hint="eastAsia" w:ascii="Times New Roman" w:eastAsia="仿宋"/>
                <w:szCs w:val="21"/>
              </w:rPr>
              <w:t>60</w:t>
            </w:r>
          </w:p>
        </w:tc>
        <w:tc>
          <w:tcPr>
            <w:tcW w:w="288" w:type="pct"/>
            <w:vAlign w:val="center"/>
          </w:tcPr>
          <w:p w14:paraId="096DB21A">
            <w:pPr>
              <w:widowControl/>
              <w:jc w:val="center"/>
              <w:rPr>
                <w:rFonts w:ascii="Times New Roman" w:eastAsia="仿宋"/>
                <w:szCs w:val="24"/>
              </w:rPr>
            </w:pPr>
            <w:r>
              <w:rPr>
                <w:rFonts w:hint="eastAsia" w:ascii="Times New Roman" w:eastAsia="仿宋"/>
                <w:szCs w:val="21"/>
              </w:rPr>
              <w:t>2.0</w:t>
            </w:r>
          </w:p>
        </w:tc>
      </w:tr>
      <w:tr w14:paraId="5C5C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36FC2484">
            <w:pPr>
              <w:widowControl/>
              <w:jc w:val="center"/>
              <w:rPr>
                <w:rFonts w:ascii="Times New Roman" w:eastAsia="仿宋"/>
                <w:szCs w:val="24"/>
              </w:rPr>
            </w:pPr>
          </w:p>
        </w:tc>
        <w:tc>
          <w:tcPr>
            <w:tcW w:w="391" w:type="pct"/>
            <w:vMerge w:val="restart"/>
            <w:shd w:val="clear" w:color="auto" w:fill="auto"/>
            <w:vAlign w:val="center"/>
          </w:tcPr>
          <w:p w14:paraId="5948554C">
            <w:pPr>
              <w:adjustRightInd w:val="0"/>
              <w:snapToGrid w:val="0"/>
              <w:jc w:val="center"/>
              <w:rPr>
                <w:rFonts w:ascii="Times New Roman" w:eastAsia="仿宋"/>
                <w:szCs w:val="24"/>
              </w:rPr>
            </w:pPr>
            <w:r>
              <w:rPr>
                <w:rFonts w:hint="eastAsia" w:ascii="Times New Roman" w:eastAsia="仿宋"/>
                <w:szCs w:val="24"/>
              </w:rPr>
              <w:t>氟碳面漆烘干废气G1</w:t>
            </w:r>
            <w:r>
              <w:rPr>
                <w:rFonts w:ascii="Times New Roman" w:eastAsia="仿宋"/>
                <w:szCs w:val="24"/>
              </w:rPr>
              <w:t>2</w:t>
            </w:r>
          </w:p>
        </w:tc>
        <w:tc>
          <w:tcPr>
            <w:tcW w:w="305" w:type="pct"/>
            <w:vMerge w:val="continue"/>
            <w:shd w:val="clear" w:color="auto" w:fill="auto"/>
            <w:vAlign w:val="center"/>
          </w:tcPr>
          <w:p w14:paraId="5C6E9315">
            <w:pPr>
              <w:jc w:val="center"/>
              <w:rPr>
                <w:rFonts w:ascii="Times New Roman" w:eastAsia="仿宋"/>
                <w:szCs w:val="21"/>
              </w:rPr>
            </w:pPr>
          </w:p>
        </w:tc>
        <w:tc>
          <w:tcPr>
            <w:tcW w:w="355" w:type="pct"/>
            <w:shd w:val="clear" w:color="auto" w:fill="auto"/>
            <w:vAlign w:val="center"/>
          </w:tcPr>
          <w:p w14:paraId="5940F4E3">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0D970573">
            <w:pPr>
              <w:widowControl/>
              <w:jc w:val="center"/>
              <w:textAlignment w:val="center"/>
              <w:rPr>
                <w:rFonts w:ascii="Times New Roman" w:eastAsia="仿宋"/>
                <w:szCs w:val="24"/>
              </w:rPr>
            </w:pPr>
            <w:r>
              <w:rPr>
                <w:rFonts w:hint="eastAsia" w:ascii="Times New Roman" w:eastAsia="仿宋"/>
                <w:szCs w:val="24"/>
              </w:rPr>
              <w:t>143.8</w:t>
            </w:r>
          </w:p>
        </w:tc>
        <w:tc>
          <w:tcPr>
            <w:tcW w:w="291" w:type="pct"/>
            <w:shd w:val="clear" w:color="auto" w:fill="auto"/>
            <w:vAlign w:val="center"/>
          </w:tcPr>
          <w:p w14:paraId="086D99A4">
            <w:pPr>
              <w:widowControl/>
              <w:jc w:val="center"/>
              <w:textAlignment w:val="center"/>
              <w:rPr>
                <w:rFonts w:ascii="Times New Roman" w:eastAsia="仿宋"/>
                <w:szCs w:val="24"/>
              </w:rPr>
            </w:pPr>
            <w:r>
              <w:rPr>
                <w:rFonts w:hint="eastAsia" w:ascii="Times New Roman" w:eastAsia="仿宋"/>
                <w:szCs w:val="24"/>
              </w:rPr>
              <w:t>3.02</w:t>
            </w:r>
          </w:p>
        </w:tc>
        <w:tc>
          <w:tcPr>
            <w:tcW w:w="295" w:type="pct"/>
            <w:shd w:val="clear" w:color="auto" w:fill="auto"/>
            <w:vAlign w:val="center"/>
          </w:tcPr>
          <w:p w14:paraId="6D9E2A9B">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346" w:type="pct"/>
            <w:vMerge w:val="continue"/>
            <w:vAlign w:val="center"/>
          </w:tcPr>
          <w:p w14:paraId="0EE3C31B">
            <w:pPr>
              <w:widowControl/>
              <w:jc w:val="center"/>
              <w:rPr>
                <w:rFonts w:ascii="Times New Roman" w:eastAsia="仿宋"/>
                <w:szCs w:val="24"/>
              </w:rPr>
            </w:pPr>
          </w:p>
        </w:tc>
        <w:tc>
          <w:tcPr>
            <w:tcW w:w="244" w:type="pct"/>
            <w:vMerge w:val="continue"/>
            <w:vAlign w:val="center"/>
          </w:tcPr>
          <w:p w14:paraId="4762101B">
            <w:pPr>
              <w:widowControl/>
              <w:jc w:val="center"/>
              <w:rPr>
                <w:rFonts w:ascii="Times New Roman" w:eastAsia="仿宋"/>
                <w:szCs w:val="24"/>
              </w:rPr>
            </w:pPr>
          </w:p>
        </w:tc>
        <w:tc>
          <w:tcPr>
            <w:tcW w:w="356" w:type="pct"/>
            <w:vAlign w:val="center"/>
          </w:tcPr>
          <w:p w14:paraId="7F9A3BD4">
            <w:pPr>
              <w:jc w:val="center"/>
              <w:rPr>
                <w:rFonts w:ascii="Times New Roman" w:eastAsia="仿宋"/>
                <w:szCs w:val="21"/>
              </w:rPr>
            </w:pPr>
            <w:r>
              <w:rPr>
                <w:rFonts w:hint="eastAsia" w:ascii="Times New Roman" w:eastAsia="仿宋"/>
                <w:szCs w:val="21"/>
              </w:rPr>
              <w:t>二甲苯</w:t>
            </w:r>
          </w:p>
        </w:tc>
        <w:tc>
          <w:tcPr>
            <w:tcW w:w="728" w:type="pct"/>
            <w:gridSpan w:val="2"/>
            <w:vAlign w:val="center"/>
          </w:tcPr>
          <w:p w14:paraId="51E330AF">
            <w:pPr>
              <w:widowControl/>
              <w:jc w:val="center"/>
              <w:rPr>
                <w:rFonts w:ascii="Times New Roman" w:eastAsia="仿宋"/>
                <w:szCs w:val="24"/>
              </w:rPr>
            </w:pPr>
            <w:r>
              <w:rPr>
                <w:rFonts w:hint="eastAsia" w:ascii="Times New Roman" w:eastAsia="仿宋"/>
                <w:szCs w:val="24"/>
              </w:rPr>
              <w:t>4</w:t>
            </w:r>
            <w:r>
              <w:rPr>
                <w:rFonts w:ascii="Times New Roman" w:eastAsia="仿宋"/>
                <w:szCs w:val="24"/>
              </w:rPr>
              <w:t>.76</w:t>
            </w:r>
          </w:p>
        </w:tc>
        <w:tc>
          <w:tcPr>
            <w:tcW w:w="288" w:type="pct"/>
            <w:vAlign w:val="center"/>
          </w:tcPr>
          <w:p w14:paraId="47B3AA41">
            <w:pPr>
              <w:widowControl/>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70" w:type="pct"/>
            <w:vAlign w:val="center"/>
          </w:tcPr>
          <w:p w14:paraId="1954DDD8">
            <w:pPr>
              <w:widowControl/>
              <w:jc w:val="center"/>
              <w:rPr>
                <w:rFonts w:ascii="Times New Roman" w:eastAsia="仿宋"/>
                <w:szCs w:val="24"/>
              </w:rPr>
            </w:pPr>
            <w:r>
              <w:rPr>
                <w:rFonts w:hint="eastAsia" w:ascii="Times New Roman" w:eastAsia="仿宋"/>
                <w:szCs w:val="24"/>
              </w:rPr>
              <w:t>0</w:t>
            </w:r>
            <w:r>
              <w:rPr>
                <w:rFonts w:ascii="Times New Roman" w:eastAsia="仿宋"/>
                <w:szCs w:val="24"/>
              </w:rPr>
              <w:t>.49</w:t>
            </w:r>
          </w:p>
        </w:tc>
        <w:tc>
          <w:tcPr>
            <w:tcW w:w="364" w:type="pct"/>
            <w:vAlign w:val="center"/>
          </w:tcPr>
          <w:p w14:paraId="2DE55D2C">
            <w:pPr>
              <w:widowControl/>
              <w:jc w:val="center"/>
              <w:rPr>
                <w:rFonts w:ascii="Times New Roman" w:eastAsia="仿宋"/>
                <w:szCs w:val="24"/>
              </w:rPr>
            </w:pPr>
            <w:r>
              <w:rPr>
                <w:rFonts w:ascii="Times New Roman" w:eastAsia="仿宋"/>
                <w:szCs w:val="21"/>
              </w:rPr>
              <w:t>15</w:t>
            </w:r>
          </w:p>
        </w:tc>
        <w:tc>
          <w:tcPr>
            <w:tcW w:w="288" w:type="pct"/>
            <w:vAlign w:val="center"/>
          </w:tcPr>
          <w:p w14:paraId="7182A4F7">
            <w:pPr>
              <w:widowControl/>
              <w:jc w:val="center"/>
              <w:rPr>
                <w:rFonts w:ascii="Times New Roman" w:eastAsia="仿宋"/>
                <w:szCs w:val="24"/>
              </w:rPr>
            </w:pPr>
            <w:r>
              <w:rPr>
                <w:rFonts w:ascii="Times New Roman" w:eastAsia="仿宋"/>
                <w:szCs w:val="21"/>
              </w:rPr>
              <w:t>0.8</w:t>
            </w:r>
          </w:p>
        </w:tc>
      </w:tr>
      <w:tr w14:paraId="35E2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4DB2A978">
            <w:pPr>
              <w:widowControl/>
              <w:jc w:val="center"/>
              <w:rPr>
                <w:rFonts w:ascii="Times New Roman" w:eastAsia="仿宋"/>
                <w:szCs w:val="24"/>
              </w:rPr>
            </w:pPr>
          </w:p>
        </w:tc>
        <w:tc>
          <w:tcPr>
            <w:tcW w:w="391" w:type="pct"/>
            <w:vMerge w:val="continue"/>
            <w:vAlign w:val="center"/>
          </w:tcPr>
          <w:p w14:paraId="4E7728AE">
            <w:pPr>
              <w:adjustRightInd w:val="0"/>
              <w:snapToGrid w:val="0"/>
              <w:jc w:val="center"/>
              <w:rPr>
                <w:rFonts w:ascii="Times New Roman" w:eastAsia="仿宋"/>
                <w:szCs w:val="24"/>
              </w:rPr>
            </w:pPr>
          </w:p>
        </w:tc>
        <w:tc>
          <w:tcPr>
            <w:tcW w:w="305" w:type="pct"/>
            <w:vMerge w:val="continue"/>
            <w:shd w:val="clear" w:color="auto" w:fill="auto"/>
            <w:vAlign w:val="center"/>
          </w:tcPr>
          <w:p w14:paraId="56C52814">
            <w:pPr>
              <w:jc w:val="center"/>
              <w:rPr>
                <w:rFonts w:ascii="Times New Roman" w:eastAsia="仿宋"/>
                <w:szCs w:val="21"/>
              </w:rPr>
            </w:pPr>
          </w:p>
        </w:tc>
        <w:tc>
          <w:tcPr>
            <w:tcW w:w="355" w:type="pct"/>
            <w:shd w:val="clear" w:color="auto" w:fill="auto"/>
            <w:vAlign w:val="center"/>
          </w:tcPr>
          <w:p w14:paraId="5B742CAA">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56A1B059">
            <w:pPr>
              <w:widowControl/>
              <w:jc w:val="center"/>
              <w:textAlignment w:val="center"/>
              <w:rPr>
                <w:rFonts w:ascii="Times New Roman" w:eastAsia="仿宋"/>
                <w:szCs w:val="24"/>
              </w:rPr>
            </w:pPr>
            <w:r>
              <w:rPr>
                <w:rFonts w:hint="eastAsia" w:ascii="Times New Roman" w:eastAsia="仿宋"/>
                <w:szCs w:val="24"/>
              </w:rPr>
              <w:t>143.8</w:t>
            </w:r>
          </w:p>
        </w:tc>
        <w:tc>
          <w:tcPr>
            <w:tcW w:w="291" w:type="pct"/>
            <w:shd w:val="clear" w:color="auto" w:fill="auto"/>
            <w:vAlign w:val="center"/>
          </w:tcPr>
          <w:p w14:paraId="6AC074EE">
            <w:pPr>
              <w:widowControl/>
              <w:jc w:val="center"/>
              <w:textAlignment w:val="center"/>
              <w:rPr>
                <w:rFonts w:ascii="Times New Roman" w:eastAsia="仿宋"/>
                <w:szCs w:val="24"/>
              </w:rPr>
            </w:pPr>
            <w:r>
              <w:rPr>
                <w:rFonts w:hint="eastAsia" w:ascii="Times New Roman" w:eastAsia="仿宋"/>
                <w:szCs w:val="24"/>
              </w:rPr>
              <w:t>3.02</w:t>
            </w:r>
          </w:p>
        </w:tc>
        <w:tc>
          <w:tcPr>
            <w:tcW w:w="295" w:type="pct"/>
            <w:shd w:val="clear" w:color="auto" w:fill="auto"/>
            <w:vAlign w:val="center"/>
          </w:tcPr>
          <w:p w14:paraId="369577BA">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53</w:t>
            </w:r>
          </w:p>
        </w:tc>
        <w:tc>
          <w:tcPr>
            <w:tcW w:w="346" w:type="pct"/>
            <w:vMerge w:val="continue"/>
            <w:vAlign w:val="center"/>
          </w:tcPr>
          <w:p w14:paraId="11A98FE3">
            <w:pPr>
              <w:widowControl/>
              <w:jc w:val="center"/>
              <w:rPr>
                <w:rFonts w:ascii="Times New Roman" w:eastAsia="仿宋"/>
                <w:szCs w:val="24"/>
              </w:rPr>
            </w:pPr>
          </w:p>
        </w:tc>
        <w:tc>
          <w:tcPr>
            <w:tcW w:w="244" w:type="pct"/>
            <w:vMerge w:val="continue"/>
            <w:vAlign w:val="center"/>
          </w:tcPr>
          <w:p w14:paraId="11BE2843">
            <w:pPr>
              <w:widowControl/>
              <w:jc w:val="center"/>
              <w:rPr>
                <w:rFonts w:ascii="Times New Roman" w:eastAsia="仿宋"/>
                <w:szCs w:val="24"/>
              </w:rPr>
            </w:pPr>
          </w:p>
        </w:tc>
        <w:tc>
          <w:tcPr>
            <w:tcW w:w="356" w:type="pct"/>
            <w:vAlign w:val="center"/>
          </w:tcPr>
          <w:p w14:paraId="1FCC851A">
            <w:pPr>
              <w:jc w:val="center"/>
              <w:rPr>
                <w:rFonts w:ascii="Times New Roman" w:eastAsia="仿宋"/>
                <w:szCs w:val="21"/>
              </w:rPr>
            </w:pPr>
            <w:r>
              <w:rPr>
                <w:rFonts w:hint="eastAsia" w:ascii="Times New Roman" w:eastAsia="仿宋"/>
                <w:szCs w:val="21"/>
              </w:rPr>
              <w:t>苯系物</w:t>
            </w:r>
          </w:p>
        </w:tc>
        <w:tc>
          <w:tcPr>
            <w:tcW w:w="728" w:type="pct"/>
            <w:gridSpan w:val="2"/>
            <w:vAlign w:val="center"/>
          </w:tcPr>
          <w:p w14:paraId="3D84271F">
            <w:pPr>
              <w:widowControl/>
              <w:jc w:val="center"/>
              <w:rPr>
                <w:rFonts w:ascii="Times New Roman" w:eastAsia="仿宋"/>
                <w:szCs w:val="24"/>
              </w:rPr>
            </w:pPr>
            <w:r>
              <w:rPr>
                <w:rFonts w:hint="eastAsia" w:ascii="Times New Roman" w:eastAsia="仿宋"/>
                <w:szCs w:val="24"/>
              </w:rPr>
              <w:t>4</w:t>
            </w:r>
            <w:r>
              <w:rPr>
                <w:rFonts w:ascii="Times New Roman" w:eastAsia="仿宋"/>
                <w:szCs w:val="24"/>
              </w:rPr>
              <w:t>.76</w:t>
            </w:r>
          </w:p>
        </w:tc>
        <w:tc>
          <w:tcPr>
            <w:tcW w:w="288" w:type="pct"/>
            <w:vAlign w:val="center"/>
          </w:tcPr>
          <w:p w14:paraId="0C642DF4">
            <w:pPr>
              <w:widowControl/>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70" w:type="pct"/>
            <w:vAlign w:val="center"/>
          </w:tcPr>
          <w:p w14:paraId="4EC0F79E">
            <w:pPr>
              <w:widowControl/>
              <w:jc w:val="center"/>
              <w:rPr>
                <w:rFonts w:ascii="Times New Roman" w:eastAsia="仿宋"/>
                <w:szCs w:val="24"/>
              </w:rPr>
            </w:pPr>
            <w:r>
              <w:rPr>
                <w:rFonts w:hint="eastAsia" w:ascii="Times New Roman" w:eastAsia="仿宋"/>
                <w:szCs w:val="24"/>
              </w:rPr>
              <w:t>0</w:t>
            </w:r>
            <w:r>
              <w:rPr>
                <w:rFonts w:ascii="Times New Roman" w:eastAsia="仿宋"/>
                <w:szCs w:val="24"/>
              </w:rPr>
              <w:t>.49</w:t>
            </w:r>
          </w:p>
        </w:tc>
        <w:tc>
          <w:tcPr>
            <w:tcW w:w="364" w:type="pct"/>
            <w:vAlign w:val="center"/>
          </w:tcPr>
          <w:p w14:paraId="4FB8CA46">
            <w:pPr>
              <w:widowControl/>
              <w:jc w:val="center"/>
              <w:rPr>
                <w:rFonts w:ascii="Times New Roman" w:eastAsia="仿宋"/>
                <w:szCs w:val="24"/>
              </w:rPr>
            </w:pPr>
            <w:r>
              <w:rPr>
                <w:rFonts w:ascii="Times New Roman" w:eastAsia="仿宋"/>
                <w:szCs w:val="21"/>
              </w:rPr>
              <w:t>20</w:t>
            </w:r>
          </w:p>
        </w:tc>
        <w:tc>
          <w:tcPr>
            <w:tcW w:w="288" w:type="pct"/>
            <w:vAlign w:val="center"/>
          </w:tcPr>
          <w:p w14:paraId="6497A7B6">
            <w:pPr>
              <w:widowControl/>
              <w:jc w:val="center"/>
              <w:rPr>
                <w:rFonts w:ascii="Times New Roman" w:eastAsia="仿宋"/>
                <w:szCs w:val="24"/>
              </w:rPr>
            </w:pPr>
            <w:r>
              <w:rPr>
                <w:rFonts w:ascii="Times New Roman" w:eastAsia="仿宋"/>
                <w:szCs w:val="21"/>
              </w:rPr>
              <w:t>1.0</w:t>
            </w:r>
          </w:p>
        </w:tc>
      </w:tr>
      <w:tr w14:paraId="33CA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768A337">
            <w:pPr>
              <w:widowControl/>
              <w:jc w:val="center"/>
              <w:rPr>
                <w:rFonts w:ascii="Times New Roman" w:eastAsia="仿宋"/>
                <w:szCs w:val="24"/>
              </w:rPr>
            </w:pPr>
          </w:p>
        </w:tc>
        <w:tc>
          <w:tcPr>
            <w:tcW w:w="391" w:type="pct"/>
            <w:vMerge w:val="continue"/>
            <w:vAlign w:val="center"/>
          </w:tcPr>
          <w:p w14:paraId="3A157DA1">
            <w:pPr>
              <w:adjustRightInd w:val="0"/>
              <w:snapToGrid w:val="0"/>
              <w:jc w:val="center"/>
              <w:rPr>
                <w:rFonts w:ascii="Times New Roman" w:eastAsia="仿宋"/>
                <w:szCs w:val="24"/>
              </w:rPr>
            </w:pPr>
          </w:p>
        </w:tc>
        <w:tc>
          <w:tcPr>
            <w:tcW w:w="305" w:type="pct"/>
            <w:vMerge w:val="continue"/>
            <w:shd w:val="clear" w:color="auto" w:fill="auto"/>
            <w:vAlign w:val="center"/>
          </w:tcPr>
          <w:p w14:paraId="34ACD47C">
            <w:pPr>
              <w:jc w:val="center"/>
              <w:rPr>
                <w:rFonts w:ascii="Times New Roman" w:eastAsia="仿宋"/>
                <w:szCs w:val="21"/>
              </w:rPr>
            </w:pPr>
          </w:p>
        </w:tc>
        <w:tc>
          <w:tcPr>
            <w:tcW w:w="355" w:type="pct"/>
            <w:shd w:val="clear" w:color="auto" w:fill="auto"/>
            <w:vAlign w:val="center"/>
          </w:tcPr>
          <w:p w14:paraId="6CFD326E">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0E8D3A76">
            <w:pPr>
              <w:widowControl/>
              <w:jc w:val="center"/>
              <w:textAlignment w:val="center"/>
              <w:rPr>
                <w:rFonts w:ascii="Times New Roman" w:eastAsia="仿宋"/>
                <w:szCs w:val="24"/>
              </w:rPr>
            </w:pPr>
            <w:r>
              <w:rPr>
                <w:rFonts w:hint="eastAsia" w:ascii="Times New Roman" w:eastAsia="仿宋"/>
                <w:szCs w:val="24"/>
              </w:rPr>
              <w:t>41.42</w:t>
            </w:r>
          </w:p>
        </w:tc>
        <w:tc>
          <w:tcPr>
            <w:tcW w:w="291" w:type="pct"/>
            <w:shd w:val="clear" w:color="auto" w:fill="auto"/>
            <w:vAlign w:val="center"/>
          </w:tcPr>
          <w:p w14:paraId="2796D640">
            <w:pPr>
              <w:widowControl/>
              <w:jc w:val="center"/>
              <w:textAlignment w:val="center"/>
              <w:rPr>
                <w:rFonts w:ascii="Times New Roman" w:eastAsia="仿宋"/>
                <w:szCs w:val="24"/>
              </w:rPr>
            </w:pPr>
            <w:r>
              <w:rPr>
                <w:rFonts w:hint="eastAsia" w:ascii="Times New Roman" w:eastAsia="仿宋"/>
                <w:szCs w:val="24"/>
              </w:rPr>
              <w:t>0.87</w:t>
            </w:r>
          </w:p>
        </w:tc>
        <w:tc>
          <w:tcPr>
            <w:tcW w:w="295" w:type="pct"/>
            <w:shd w:val="clear" w:color="auto" w:fill="auto"/>
            <w:vAlign w:val="center"/>
          </w:tcPr>
          <w:p w14:paraId="745F1BA6">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346" w:type="pct"/>
            <w:vMerge w:val="continue"/>
            <w:vAlign w:val="center"/>
          </w:tcPr>
          <w:p w14:paraId="34287092">
            <w:pPr>
              <w:widowControl/>
              <w:jc w:val="center"/>
              <w:rPr>
                <w:rFonts w:ascii="Times New Roman" w:eastAsia="仿宋"/>
                <w:szCs w:val="24"/>
              </w:rPr>
            </w:pPr>
          </w:p>
        </w:tc>
        <w:tc>
          <w:tcPr>
            <w:tcW w:w="244" w:type="pct"/>
            <w:vMerge w:val="continue"/>
            <w:vAlign w:val="center"/>
          </w:tcPr>
          <w:p w14:paraId="1DCC64D0">
            <w:pPr>
              <w:widowControl/>
              <w:jc w:val="center"/>
              <w:rPr>
                <w:rFonts w:ascii="Times New Roman" w:eastAsia="仿宋"/>
                <w:szCs w:val="24"/>
              </w:rPr>
            </w:pPr>
          </w:p>
        </w:tc>
        <w:tc>
          <w:tcPr>
            <w:tcW w:w="356" w:type="pct"/>
            <w:vAlign w:val="center"/>
          </w:tcPr>
          <w:p w14:paraId="7278BBB8">
            <w:pPr>
              <w:adjustRightInd w:val="0"/>
              <w:snapToGrid w:val="0"/>
              <w:jc w:val="center"/>
              <w:rPr>
                <w:rFonts w:ascii="Times New Roman" w:eastAsia="仿宋"/>
                <w:szCs w:val="24"/>
              </w:rPr>
            </w:pPr>
            <w:r>
              <w:rPr>
                <w:rFonts w:hint="eastAsia" w:ascii="Times New Roman" w:eastAsia="仿宋"/>
                <w:szCs w:val="24"/>
              </w:rPr>
              <w:t>颗粒物</w:t>
            </w:r>
          </w:p>
        </w:tc>
        <w:tc>
          <w:tcPr>
            <w:tcW w:w="728" w:type="pct"/>
            <w:gridSpan w:val="2"/>
            <w:vAlign w:val="center"/>
          </w:tcPr>
          <w:p w14:paraId="32E872DF">
            <w:pPr>
              <w:widowControl/>
              <w:jc w:val="center"/>
              <w:rPr>
                <w:rFonts w:ascii="Times New Roman" w:eastAsia="仿宋"/>
                <w:szCs w:val="24"/>
              </w:rPr>
            </w:pPr>
            <w:r>
              <w:rPr>
                <w:rFonts w:hint="eastAsia" w:ascii="Times New Roman" w:eastAsia="仿宋"/>
                <w:szCs w:val="24"/>
              </w:rPr>
              <w:t>1</w:t>
            </w:r>
            <w:r>
              <w:rPr>
                <w:rFonts w:ascii="Times New Roman" w:eastAsia="仿宋"/>
                <w:szCs w:val="24"/>
              </w:rPr>
              <w:t>.34</w:t>
            </w:r>
          </w:p>
        </w:tc>
        <w:tc>
          <w:tcPr>
            <w:tcW w:w="288" w:type="pct"/>
            <w:vAlign w:val="center"/>
          </w:tcPr>
          <w:p w14:paraId="7F1C86B7">
            <w:pPr>
              <w:widowControl/>
              <w:jc w:val="center"/>
              <w:rPr>
                <w:rFonts w:ascii="Times New Roman" w:eastAsia="仿宋"/>
                <w:szCs w:val="24"/>
              </w:rPr>
            </w:pPr>
            <w:r>
              <w:rPr>
                <w:rFonts w:hint="eastAsia" w:ascii="Times New Roman" w:eastAsia="仿宋"/>
                <w:szCs w:val="24"/>
              </w:rPr>
              <w:t>0</w:t>
            </w:r>
            <w:r>
              <w:rPr>
                <w:rFonts w:ascii="Times New Roman" w:eastAsia="仿宋"/>
                <w:szCs w:val="24"/>
              </w:rPr>
              <w:t>.028</w:t>
            </w:r>
          </w:p>
        </w:tc>
        <w:tc>
          <w:tcPr>
            <w:tcW w:w="270" w:type="pct"/>
            <w:vAlign w:val="center"/>
          </w:tcPr>
          <w:p w14:paraId="7825E783">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.136</w:t>
            </w:r>
          </w:p>
        </w:tc>
        <w:tc>
          <w:tcPr>
            <w:tcW w:w="364" w:type="pct"/>
            <w:vAlign w:val="center"/>
          </w:tcPr>
          <w:p w14:paraId="4DBC24F9">
            <w:pPr>
              <w:widowControl/>
              <w:jc w:val="center"/>
              <w:rPr>
                <w:rFonts w:ascii="Times New Roman" w:eastAsia="仿宋"/>
                <w:szCs w:val="24"/>
              </w:rPr>
            </w:pPr>
            <w:r>
              <w:rPr>
                <w:rFonts w:ascii="Times New Roman" w:eastAsia="仿宋"/>
                <w:szCs w:val="21"/>
              </w:rPr>
              <w:t>10</w:t>
            </w:r>
          </w:p>
        </w:tc>
        <w:tc>
          <w:tcPr>
            <w:tcW w:w="288" w:type="pct"/>
            <w:vAlign w:val="center"/>
          </w:tcPr>
          <w:p w14:paraId="541698FB">
            <w:pPr>
              <w:widowControl/>
              <w:jc w:val="center"/>
              <w:rPr>
                <w:rFonts w:ascii="Times New Roman" w:eastAsia="仿宋"/>
                <w:szCs w:val="24"/>
              </w:rPr>
            </w:pPr>
            <w:r>
              <w:rPr>
                <w:rFonts w:ascii="Times New Roman" w:eastAsia="仿宋"/>
                <w:szCs w:val="21"/>
              </w:rPr>
              <w:t>0.6</w:t>
            </w:r>
          </w:p>
        </w:tc>
      </w:tr>
      <w:tr w14:paraId="1D7D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6EFFF19D">
            <w:pPr>
              <w:widowControl/>
              <w:jc w:val="center"/>
              <w:rPr>
                <w:rFonts w:ascii="Times New Roman" w:eastAsia="仿宋"/>
                <w:szCs w:val="24"/>
              </w:rPr>
            </w:pPr>
          </w:p>
        </w:tc>
        <w:tc>
          <w:tcPr>
            <w:tcW w:w="391" w:type="pct"/>
            <w:vMerge w:val="continue"/>
            <w:vAlign w:val="center"/>
          </w:tcPr>
          <w:p w14:paraId="3E58CB27">
            <w:pPr>
              <w:adjustRightInd w:val="0"/>
              <w:snapToGrid w:val="0"/>
              <w:jc w:val="center"/>
              <w:rPr>
                <w:rFonts w:ascii="Times New Roman" w:eastAsia="仿宋"/>
                <w:szCs w:val="24"/>
              </w:rPr>
            </w:pPr>
          </w:p>
        </w:tc>
        <w:tc>
          <w:tcPr>
            <w:tcW w:w="305" w:type="pct"/>
            <w:vMerge w:val="continue"/>
            <w:shd w:val="clear" w:color="auto" w:fill="auto"/>
            <w:vAlign w:val="center"/>
          </w:tcPr>
          <w:p w14:paraId="74894F44">
            <w:pPr>
              <w:jc w:val="center"/>
              <w:rPr>
                <w:rFonts w:ascii="Times New Roman" w:eastAsia="仿宋"/>
                <w:szCs w:val="21"/>
              </w:rPr>
            </w:pPr>
          </w:p>
        </w:tc>
        <w:tc>
          <w:tcPr>
            <w:tcW w:w="355" w:type="pct"/>
            <w:shd w:val="clear" w:color="auto" w:fill="auto"/>
            <w:vAlign w:val="center"/>
          </w:tcPr>
          <w:p w14:paraId="46577516">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07768A9D">
            <w:pPr>
              <w:widowControl/>
              <w:jc w:val="center"/>
              <w:textAlignment w:val="center"/>
              <w:rPr>
                <w:rFonts w:ascii="Times New Roman" w:eastAsia="仿宋"/>
                <w:szCs w:val="24"/>
              </w:rPr>
            </w:pPr>
            <w:r>
              <w:rPr>
                <w:rFonts w:hint="eastAsia" w:ascii="Times New Roman" w:eastAsia="仿宋"/>
                <w:szCs w:val="24"/>
              </w:rPr>
              <w:t>41.42</w:t>
            </w:r>
          </w:p>
        </w:tc>
        <w:tc>
          <w:tcPr>
            <w:tcW w:w="291" w:type="pct"/>
            <w:shd w:val="clear" w:color="auto" w:fill="auto"/>
            <w:vAlign w:val="center"/>
          </w:tcPr>
          <w:p w14:paraId="1C073FDE">
            <w:pPr>
              <w:widowControl/>
              <w:jc w:val="center"/>
              <w:textAlignment w:val="center"/>
              <w:rPr>
                <w:rFonts w:ascii="Times New Roman" w:eastAsia="仿宋"/>
                <w:szCs w:val="24"/>
              </w:rPr>
            </w:pPr>
            <w:r>
              <w:rPr>
                <w:rFonts w:hint="eastAsia" w:ascii="Times New Roman" w:eastAsia="仿宋"/>
                <w:szCs w:val="24"/>
              </w:rPr>
              <w:t>0.87</w:t>
            </w:r>
          </w:p>
        </w:tc>
        <w:tc>
          <w:tcPr>
            <w:tcW w:w="295" w:type="pct"/>
            <w:shd w:val="clear" w:color="auto" w:fill="auto"/>
            <w:vAlign w:val="center"/>
          </w:tcPr>
          <w:p w14:paraId="400A086A">
            <w:pPr>
              <w:jc w:val="center"/>
              <w:rPr>
                <w:rFonts w:ascii="Times New Roman" w:eastAsia="仿宋"/>
                <w:szCs w:val="21"/>
              </w:rPr>
            </w:pPr>
            <w:r>
              <w:rPr>
                <w:rFonts w:hint="eastAsia" w:ascii="Times New Roman" w:eastAsia="仿宋"/>
                <w:szCs w:val="21"/>
              </w:rPr>
              <w:t>4</w:t>
            </w:r>
            <w:r>
              <w:rPr>
                <w:rFonts w:ascii="Times New Roman" w:eastAsia="仿宋"/>
                <w:szCs w:val="21"/>
              </w:rPr>
              <w:t>.</w:t>
            </w:r>
            <w:r>
              <w:rPr>
                <w:rFonts w:hint="eastAsia" w:ascii="Times New Roman" w:eastAsia="仿宋"/>
                <w:szCs w:val="21"/>
              </w:rPr>
              <w:t>21</w:t>
            </w:r>
          </w:p>
        </w:tc>
        <w:tc>
          <w:tcPr>
            <w:tcW w:w="346" w:type="pct"/>
            <w:vMerge w:val="continue"/>
            <w:vAlign w:val="center"/>
          </w:tcPr>
          <w:p w14:paraId="7E031BFE">
            <w:pPr>
              <w:widowControl/>
              <w:jc w:val="center"/>
              <w:rPr>
                <w:rFonts w:ascii="Times New Roman" w:eastAsia="仿宋"/>
                <w:szCs w:val="24"/>
              </w:rPr>
            </w:pPr>
          </w:p>
        </w:tc>
        <w:tc>
          <w:tcPr>
            <w:tcW w:w="244" w:type="pct"/>
            <w:vMerge w:val="continue"/>
            <w:vAlign w:val="center"/>
          </w:tcPr>
          <w:p w14:paraId="156DB389">
            <w:pPr>
              <w:widowControl/>
              <w:jc w:val="center"/>
              <w:rPr>
                <w:rFonts w:ascii="Times New Roman" w:eastAsia="仿宋"/>
                <w:szCs w:val="24"/>
              </w:rPr>
            </w:pPr>
          </w:p>
        </w:tc>
        <w:tc>
          <w:tcPr>
            <w:tcW w:w="356" w:type="pct"/>
            <w:vAlign w:val="center"/>
          </w:tcPr>
          <w:p w14:paraId="7121A871">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364" w:type="pct"/>
            <w:vAlign w:val="center"/>
          </w:tcPr>
          <w:p w14:paraId="079AAF11">
            <w:pPr>
              <w:widowControl/>
              <w:jc w:val="center"/>
              <w:rPr>
                <w:rFonts w:ascii="Times New Roman" w:eastAsia="仿宋"/>
                <w:szCs w:val="24"/>
              </w:rPr>
            </w:pPr>
            <w:r>
              <w:rPr>
                <w:rFonts w:ascii="Times New Roman" w:eastAsia="仿宋"/>
                <w:szCs w:val="24"/>
              </w:rPr>
              <w:t>9.5</w:t>
            </w:r>
          </w:p>
        </w:tc>
        <w:tc>
          <w:tcPr>
            <w:tcW w:w="364" w:type="pct"/>
            <w:vAlign w:val="center"/>
          </w:tcPr>
          <w:p w14:paraId="31808D84">
            <w:pPr>
              <w:widowControl/>
              <w:jc w:val="center"/>
              <w:rPr>
                <w:rFonts w:ascii="Times New Roman" w:eastAsia="仿宋"/>
                <w:szCs w:val="24"/>
              </w:rPr>
            </w:pPr>
            <w:r>
              <w:rPr>
                <w:rFonts w:ascii="Times New Roman" w:eastAsia="仿宋"/>
                <w:szCs w:val="24"/>
              </w:rPr>
              <w:t>10.35</w:t>
            </w:r>
          </w:p>
        </w:tc>
        <w:tc>
          <w:tcPr>
            <w:tcW w:w="288" w:type="pct"/>
            <w:vAlign w:val="center"/>
          </w:tcPr>
          <w:p w14:paraId="49C71CC4">
            <w:pPr>
              <w:widowControl/>
              <w:jc w:val="center"/>
              <w:rPr>
                <w:rFonts w:ascii="Times New Roman" w:eastAsia="仿宋"/>
                <w:szCs w:val="24"/>
              </w:rPr>
            </w:pPr>
            <w:r>
              <w:rPr>
                <w:rFonts w:hint="eastAsia" w:ascii="Times New Roman" w:eastAsia="仿宋"/>
                <w:szCs w:val="24"/>
              </w:rPr>
              <w:t>0</w:t>
            </w:r>
            <w:r>
              <w:rPr>
                <w:rFonts w:ascii="Times New Roman" w:eastAsia="仿宋"/>
                <w:szCs w:val="24"/>
              </w:rPr>
              <w:t>.2</w:t>
            </w:r>
          </w:p>
        </w:tc>
        <w:tc>
          <w:tcPr>
            <w:tcW w:w="270" w:type="pct"/>
            <w:vAlign w:val="center"/>
          </w:tcPr>
          <w:p w14:paraId="72D25AA5">
            <w:pPr>
              <w:widowControl/>
              <w:jc w:val="center"/>
              <w:rPr>
                <w:rFonts w:ascii="Times New Roman" w:eastAsia="仿宋"/>
                <w:szCs w:val="24"/>
              </w:rPr>
            </w:pPr>
            <w:r>
              <w:rPr>
                <w:rFonts w:hint="eastAsia" w:ascii="Times New Roman" w:eastAsia="仿宋"/>
                <w:szCs w:val="24"/>
              </w:rPr>
              <w:t>0</w:t>
            </w:r>
            <w:r>
              <w:rPr>
                <w:rFonts w:ascii="Times New Roman" w:eastAsia="仿宋"/>
                <w:szCs w:val="24"/>
              </w:rPr>
              <w:t>.896</w:t>
            </w:r>
          </w:p>
        </w:tc>
        <w:tc>
          <w:tcPr>
            <w:tcW w:w="364" w:type="pct"/>
            <w:vAlign w:val="center"/>
          </w:tcPr>
          <w:p w14:paraId="03AB6E43">
            <w:pPr>
              <w:widowControl/>
              <w:jc w:val="center"/>
              <w:rPr>
                <w:rFonts w:ascii="Times New Roman" w:eastAsia="仿宋"/>
                <w:szCs w:val="21"/>
              </w:rPr>
            </w:pPr>
            <w:r>
              <w:rPr>
                <w:rFonts w:hint="eastAsia" w:ascii="Times New Roman" w:eastAsia="仿宋"/>
                <w:szCs w:val="21"/>
              </w:rPr>
              <w:t>180</w:t>
            </w:r>
          </w:p>
        </w:tc>
        <w:tc>
          <w:tcPr>
            <w:tcW w:w="288" w:type="pct"/>
            <w:vAlign w:val="center"/>
          </w:tcPr>
          <w:p w14:paraId="2F8F1BAE">
            <w:pPr>
              <w:widowControl/>
              <w:jc w:val="center"/>
              <w:rPr>
                <w:rFonts w:ascii="Times New Roman" w:eastAsia="仿宋"/>
                <w:szCs w:val="24"/>
              </w:rPr>
            </w:pPr>
            <w:r>
              <w:rPr>
                <w:rFonts w:hint="eastAsia" w:ascii="Times New Roman" w:eastAsia="仿宋"/>
                <w:szCs w:val="24"/>
              </w:rPr>
              <w:t>/</w:t>
            </w:r>
          </w:p>
        </w:tc>
      </w:tr>
      <w:tr w14:paraId="5E09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018780D9">
            <w:pPr>
              <w:widowControl/>
              <w:jc w:val="center"/>
              <w:rPr>
                <w:rFonts w:ascii="Times New Roman" w:eastAsia="仿宋"/>
                <w:szCs w:val="24"/>
              </w:rPr>
            </w:pPr>
          </w:p>
        </w:tc>
        <w:tc>
          <w:tcPr>
            <w:tcW w:w="391" w:type="pct"/>
            <w:vMerge w:val="restart"/>
            <w:shd w:val="clear" w:color="auto" w:fill="auto"/>
            <w:vAlign w:val="center"/>
          </w:tcPr>
          <w:p w14:paraId="3FCC0DC6">
            <w:pPr>
              <w:adjustRightInd w:val="0"/>
              <w:snapToGrid w:val="0"/>
              <w:jc w:val="center"/>
              <w:rPr>
                <w:rFonts w:ascii="Times New Roman" w:eastAsia="仿宋"/>
                <w:szCs w:val="24"/>
              </w:rPr>
            </w:pPr>
            <w:r>
              <w:rPr>
                <w:rFonts w:hint="eastAsia" w:ascii="Times New Roman" w:eastAsia="仿宋"/>
                <w:szCs w:val="24"/>
              </w:rPr>
              <w:t>氟碳底漆烘干废气G1</w:t>
            </w:r>
            <w:r>
              <w:rPr>
                <w:rFonts w:ascii="Times New Roman" w:eastAsia="仿宋"/>
                <w:szCs w:val="24"/>
              </w:rPr>
              <w:t>6</w:t>
            </w:r>
          </w:p>
        </w:tc>
        <w:tc>
          <w:tcPr>
            <w:tcW w:w="305" w:type="pct"/>
            <w:vMerge w:val="continue"/>
            <w:shd w:val="clear" w:color="auto" w:fill="auto"/>
            <w:vAlign w:val="center"/>
          </w:tcPr>
          <w:p w14:paraId="04B2C4DB">
            <w:pPr>
              <w:jc w:val="center"/>
              <w:rPr>
                <w:rFonts w:ascii="Times New Roman" w:eastAsia="仿宋"/>
                <w:szCs w:val="21"/>
              </w:rPr>
            </w:pPr>
          </w:p>
        </w:tc>
        <w:tc>
          <w:tcPr>
            <w:tcW w:w="355" w:type="pct"/>
            <w:shd w:val="clear" w:color="auto" w:fill="auto"/>
            <w:vAlign w:val="center"/>
          </w:tcPr>
          <w:p w14:paraId="73799CB6">
            <w:pPr>
              <w:jc w:val="center"/>
              <w:rPr>
                <w:rFonts w:ascii="Times New Roman" w:eastAsia="仿宋"/>
                <w:szCs w:val="21"/>
              </w:rPr>
            </w:pPr>
            <w:r>
              <w:rPr>
                <w:rFonts w:hint="eastAsia" w:ascii="Times New Roman" w:eastAsia="仿宋"/>
                <w:szCs w:val="21"/>
              </w:rPr>
              <w:t>非甲烷总烃</w:t>
            </w:r>
          </w:p>
        </w:tc>
        <w:tc>
          <w:tcPr>
            <w:tcW w:w="309" w:type="pct"/>
            <w:shd w:val="clear" w:color="auto" w:fill="auto"/>
            <w:vAlign w:val="center"/>
          </w:tcPr>
          <w:p w14:paraId="7434F86B">
            <w:pPr>
              <w:widowControl/>
              <w:jc w:val="center"/>
              <w:textAlignment w:val="center"/>
              <w:rPr>
                <w:rFonts w:ascii="Times New Roman" w:eastAsia="仿宋"/>
                <w:szCs w:val="24"/>
              </w:rPr>
            </w:pPr>
            <w:r>
              <w:rPr>
                <w:rFonts w:hint="eastAsia" w:ascii="Times New Roman" w:eastAsia="仿宋"/>
                <w:szCs w:val="24"/>
              </w:rPr>
              <w:t>237.14</w:t>
            </w:r>
          </w:p>
        </w:tc>
        <w:tc>
          <w:tcPr>
            <w:tcW w:w="291" w:type="pct"/>
            <w:shd w:val="clear" w:color="auto" w:fill="auto"/>
            <w:vAlign w:val="center"/>
          </w:tcPr>
          <w:p w14:paraId="17064085">
            <w:pPr>
              <w:widowControl/>
              <w:jc w:val="center"/>
              <w:textAlignment w:val="center"/>
              <w:rPr>
                <w:rFonts w:ascii="Times New Roman" w:eastAsia="仿宋"/>
                <w:szCs w:val="24"/>
              </w:rPr>
            </w:pPr>
            <w:r>
              <w:rPr>
                <w:rFonts w:hint="eastAsia" w:ascii="Times New Roman" w:eastAsia="仿宋"/>
                <w:szCs w:val="24"/>
              </w:rPr>
              <w:t>4.98</w:t>
            </w:r>
          </w:p>
        </w:tc>
        <w:tc>
          <w:tcPr>
            <w:tcW w:w="295" w:type="pct"/>
            <w:shd w:val="clear" w:color="auto" w:fill="auto"/>
            <w:vAlign w:val="center"/>
          </w:tcPr>
          <w:p w14:paraId="65786A5A">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346" w:type="pct"/>
            <w:vMerge w:val="continue"/>
            <w:vAlign w:val="center"/>
          </w:tcPr>
          <w:p w14:paraId="5294993C">
            <w:pPr>
              <w:widowControl/>
              <w:jc w:val="center"/>
              <w:rPr>
                <w:rFonts w:ascii="Times New Roman" w:eastAsia="仿宋"/>
                <w:szCs w:val="24"/>
              </w:rPr>
            </w:pPr>
          </w:p>
        </w:tc>
        <w:tc>
          <w:tcPr>
            <w:tcW w:w="244" w:type="pct"/>
            <w:vMerge w:val="continue"/>
            <w:vAlign w:val="center"/>
          </w:tcPr>
          <w:p w14:paraId="5CB9B542">
            <w:pPr>
              <w:widowControl/>
              <w:jc w:val="center"/>
              <w:rPr>
                <w:rFonts w:ascii="Times New Roman" w:eastAsia="仿宋"/>
                <w:szCs w:val="24"/>
              </w:rPr>
            </w:pPr>
          </w:p>
        </w:tc>
        <w:tc>
          <w:tcPr>
            <w:tcW w:w="356" w:type="pct"/>
            <w:vAlign w:val="center"/>
          </w:tcPr>
          <w:p w14:paraId="2A9FD28F">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364" w:type="pct"/>
            <w:vAlign w:val="center"/>
          </w:tcPr>
          <w:p w14:paraId="70B6F0D8">
            <w:pPr>
              <w:widowControl/>
              <w:jc w:val="center"/>
              <w:rPr>
                <w:rFonts w:ascii="Times New Roman" w:eastAsia="仿宋"/>
                <w:szCs w:val="24"/>
              </w:rPr>
            </w:pPr>
            <w:r>
              <w:rPr>
                <w:rFonts w:hint="eastAsia" w:ascii="Times New Roman" w:eastAsia="仿宋"/>
                <w:szCs w:val="24"/>
              </w:rPr>
              <w:t>0</w:t>
            </w:r>
            <w:r>
              <w:rPr>
                <w:rFonts w:ascii="Times New Roman" w:eastAsia="仿宋"/>
                <w:szCs w:val="24"/>
              </w:rPr>
              <w:t>.2</w:t>
            </w:r>
          </w:p>
        </w:tc>
        <w:tc>
          <w:tcPr>
            <w:tcW w:w="364" w:type="pct"/>
            <w:vAlign w:val="center"/>
          </w:tcPr>
          <w:p w14:paraId="2FD6DB3A">
            <w:pPr>
              <w:widowControl/>
              <w:jc w:val="center"/>
              <w:rPr>
                <w:rFonts w:ascii="Times New Roman" w:eastAsia="仿宋"/>
                <w:szCs w:val="24"/>
              </w:rPr>
            </w:pPr>
            <w:r>
              <w:rPr>
                <w:rFonts w:hint="eastAsia" w:ascii="Times New Roman" w:eastAsia="仿宋"/>
                <w:szCs w:val="24"/>
              </w:rPr>
              <w:t>0.</w:t>
            </w:r>
            <w:r>
              <w:rPr>
                <w:rFonts w:ascii="Times New Roman" w:eastAsia="仿宋"/>
                <w:szCs w:val="24"/>
              </w:rPr>
              <w:t>22</w:t>
            </w:r>
          </w:p>
        </w:tc>
        <w:tc>
          <w:tcPr>
            <w:tcW w:w="288" w:type="pct"/>
            <w:vAlign w:val="center"/>
          </w:tcPr>
          <w:p w14:paraId="3D2DD4BD">
            <w:pPr>
              <w:widowControl/>
              <w:jc w:val="center"/>
              <w:rPr>
                <w:rFonts w:ascii="Times New Roman" w:eastAsia="仿宋"/>
                <w:szCs w:val="24"/>
              </w:rPr>
            </w:pPr>
            <w:r>
              <w:rPr>
                <w:rFonts w:hint="eastAsia" w:ascii="Times New Roman" w:eastAsia="仿宋"/>
                <w:szCs w:val="24"/>
              </w:rPr>
              <w:t>0</w:t>
            </w:r>
            <w:r>
              <w:rPr>
                <w:rFonts w:ascii="Times New Roman" w:eastAsia="仿宋"/>
                <w:szCs w:val="24"/>
              </w:rPr>
              <w:t>.004</w:t>
            </w:r>
          </w:p>
        </w:tc>
        <w:tc>
          <w:tcPr>
            <w:tcW w:w="270" w:type="pct"/>
            <w:vAlign w:val="center"/>
          </w:tcPr>
          <w:p w14:paraId="4257EB80">
            <w:pPr>
              <w:widowControl/>
              <w:jc w:val="center"/>
              <w:rPr>
                <w:rFonts w:ascii="Times New Roman" w:eastAsia="仿宋"/>
                <w:szCs w:val="24"/>
              </w:rPr>
            </w:pPr>
            <w:r>
              <w:rPr>
                <w:rFonts w:hint="eastAsia" w:ascii="Times New Roman" w:eastAsia="仿宋"/>
                <w:szCs w:val="24"/>
              </w:rPr>
              <w:t>0</w:t>
            </w:r>
            <w:r>
              <w:rPr>
                <w:rFonts w:ascii="Times New Roman" w:eastAsia="仿宋"/>
                <w:szCs w:val="24"/>
              </w:rPr>
              <w:t>.02</w:t>
            </w:r>
          </w:p>
        </w:tc>
        <w:tc>
          <w:tcPr>
            <w:tcW w:w="364" w:type="pct"/>
            <w:vAlign w:val="center"/>
          </w:tcPr>
          <w:p w14:paraId="2B969217">
            <w:pPr>
              <w:widowControl/>
              <w:jc w:val="center"/>
              <w:rPr>
                <w:rFonts w:ascii="Times New Roman" w:eastAsia="仿宋"/>
                <w:szCs w:val="21"/>
              </w:rPr>
            </w:pPr>
            <w:r>
              <w:rPr>
                <w:rFonts w:hint="eastAsia" w:ascii="Times New Roman" w:eastAsia="仿宋"/>
                <w:szCs w:val="21"/>
              </w:rPr>
              <w:t>80</w:t>
            </w:r>
          </w:p>
        </w:tc>
        <w:tc>
          <w:tcPr>
            <w:tcW w:w="288" w:type="pct"/>
            <w:vAlign w:val="center"/>
          </w:tcPr>
          <w:p w14:paraId="6E5EFAD4">
            <w:pPr>
              <w:widowControl/>
              <w:jc w:val="center"/>
              <w:rPr>
                <w:rFonts w:ascii="Times New Roman" w:eastAsia="仿宋"/>
                <w:szCs w:val="21"/>
              </w:rPr>
            </w:pPr>
            <w:r>
              <w:rPr>
                <w:rFonts w:ascii="Times New Roman" w:eastAsia="仿宋"/>
                <w:szCs w:val="21"/>
              </w:rPr>
              <w:t>/</w:t>
            </w:r>
          </w:p>
        </w:tc>
      </w:tr>
      <w:tr w14:paraId="4145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06C16AA5">
            <w:pPr>
              <w:widowControl/>
              <w:jc w:val="center"/>
              <w:rPr>
                <w:rFonts w:ascii="Times New Roman" w:eastAsia="仿宋"/>
                <w:szCs w:val="24"/>
              </w:rPr>
            </w:pPr>
          </w:p>
        </w:tc>
        <w:tc>
          <w:tcPr>
            <w:tcW w:w="391" w:type="pct"/>
            <w:vMerge w:val="continue"/>
            <w:vAlign w:val="center"/>
          </w:tcPr>
          <w:p w14:paraId="6BDB2C98">
            <w:pPr>
              <w:adjustRightInd w:val="0"/>
              <w:snapToGrid w:val="0"/>
              <w:jc w:val="center"/>
              <w:rPr>
                <w:rFonts w:ascii="Times New Roman" w:eastAsia="仿宋"/>
                <w:szCs w:val="24"/>
              </w:rPr>
            </w:pPr>
          </w:p>
        </w:tc>
        <w:tc>
          <w:tcPr>
            <w:tcW w:w="305" w:type="pct"/>
            <w:vMerge w:val="continue"/>
            <w:shd w:val="clear" w:color="auto" w:fill="auto"/>
            <w:vAlign w:val="center"/>
          </w:tcPr>
          <w:p w14:paraId="72F3A35B">
            <w:pPr>
              <w:jc w:val="center"/>
              <w:rPr>
                <w:rFonts w:ascii="Times New Roman" w:eastAsia="仿宋"/>
                <w:szCs w:val="21"/>
              </w:rPr>
            </w:pPr>
          </w:p>
        </w:tc>
        <w:tc>
          <w:tcPr>
            <w:tcW w:w="355" w:type="pct"/>
            <w:shd w:val="clear" w:color="auto" w:fill="auto"/>
            <w:vAlign w:val="center"/>
          </w:tcPr>
          <w:p w14:paraId="055E2F19">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309" w:type="pct"/>
            <w:shd w:val="clear" w:color="auto" w:fill="auto"/>
            <w:vAlign w:val="center"/>
          </w:tcPr>
          <w:p w14:paraId="719FCF27">
            <w:pPr>
              <w:widowControl/>
              <w:jc w:val="center"/>
              <w:textAlignment w:val="center"/>
              <w:rPr>
                <w:rFonts w:ascii="Times New Roman" w:eastAsia="仿宋"/>
                <w:szCs w:val="24"/>
              </w:rPr>
            </w:pPr>
            <w:r>
              <w:rPr>
                <w:rFonts w:hint="eastAsia" w:ascii="Times New Roman" w:eastAsia="仿宋"/>
                <w:szCs w:val="24"/>
              </w:rPr>
              <w:t>237.14</w:t>
            </w:r>
          </w:p>
        </w:tc>
        <w:tc>
          <w:tcPr>
            <w:tcW w:w="291" w:type="pct"/>
            <w:shd w:val="clear" w:color="auto" w:fill="auto"/>
            <w:vAlign w:val="center"/>
          </w:tcPr>
          <w:p w14:paraId="395BBEA0">
            <w:pPr>
              <w:widowControl/>
              <w:jc w:val="center"/>
              <w:textAlignment w:val="center"/>
              <w:rPr>
                <w:rFonts w:ascii="Times New Roman" w:eastAsia="仿宋"/>
                <w:szCs w:val="24"/>
              </w:rPr>
            </w:pPr>
            <w:r>
              <w:rPr>
                <w:rFonts w:hint="eastAsia" w:ascii="Times New Roman" w:eastAsia="仿宋"/>
                <w:szCs w:val="24"/>
              </w:rPr>
              <w:t>4.98</w:t>
            </w:r>
          </w:p>
        </w:tc>
        <w:tc>
          <w:tcPr>
            <w:tcW w:w="295" w:type="pct"/>
            <w:shd w:val="clear" w:color="auto" w:fill="auto"/>
            <w:vAlign w:val="center"/>
          </w:tcPr>
          <w:p w14:paraId="4C1D962E">
            <w:pPr>
              <w:jc w:val="center"/>
              <w:rPr>
                <w:rFonts w:ascii="Times New Roman" w:eastAsia="仿宋"/>
                <w:szCs w:val="24"/>
              </w:rPr>
            </w:pPr>
            <w:r>
              <w:rPr>
                <w:rFonts w:hint="eastAsia" w:ascii="Times New Roman" w:eastAsia="仿宋"/>
                <w:szCs w:val="21"/>
              </w:rPr>
              <w:t>2</w:t>
            </w:r>
            <w:r>
              <w:rPr>
                <w:rFonts w:ascii="Times New Roman" w:eastAsia="仿宋"/>
                <w:szCs w:val="21"/>
              </w:rPr>
              <w:t>3.</w:t>
            </w:r>
            <w:r>
              <w:rPr>
                <w:rFonts w:hint="eastAsia" w:ascii="Times New Roman" w:eastAsia="仿宋"/>
                <w:szCs w:val="21"/>
              </w:rPr>
              <w:t>94</w:t>
            </w:r>
          </w:p>
        </w:tc>
        <w:tc>
          <w:tcPr>
            <w:tcW w:w="346" w:type="pct"/>
            <w:vMerge w:val="continue"/>
            <w:vAlign w:val="center"/>
          </w:tcPr>
          <w:p w14:paraId="0E37241E">
            <w:pPr>
              <w:widowControl/>
              <w:jc w:val="center"/>
              <w:rPr>
                <w:rFonts w:ascii="Times New Roman" w:eastAsia="仿宋"/>
                <w:szCs w:val="24"/>
              </w:rPr>
            </w:pPr>
          </w:p>
        </w:tc>
        <w:tc>
          <w:tcPr>
            <w:tcW w:w="244" w:type="pct"/>
            <w:vMerge w:val="continue"/>
            <w:vAlign w:val="center"/>
          </w:tcPr>
          <w:p w14:paraId="36C39C6C">
            <w:pPr>
              <w:widowControl/>
              <w:jc w:val="center"/>
              <w:rPr>
                <w:rFonts w:ascii="Times New Roman" w:eastAsia="仿宋"/>
                <w:szCs w:val="24"/>
              </w:rPr>
            </w:pPr>
          </w:p>
        </w:tc>
        <w:tc>
          <w:tcPr>
            <w:tcW w:w="356" w:type="pct"/>
            <w:vAlign w:val="center"/>
          </w:tcPr>
          <w:p w14:paraId="06354653">
            <w:pPr>
              <w:adjustRightInd w:val="0"/>
              <w:snapToGrid w:val="0"/>
              <w:jc w:val="center"/>
              <w:rPr>
                <w:rFonts w:ascii="Times New Roman" w:eastAsia="仿宋"/>
                <w:szCs w:val="24"/>
              </w:rPr>
            </w:pPr>
            <w:r>
              <w:rPr>
                <w:rFonts w:hint="eastAsia" w:ascii="Times New Roman" w:eastAsia="仿宋"/>
                <w:szCs w:val="24"/>
              </w:rPr>
              <w:t>/</w:t>
            </w:r>
          </w:p>
        </w:tc>
        <w:tc>
          <w:tcPr>
            <w:tcW w:w="364" w:type="pct"/>
            <w:vAlign w:val="center"/>
          </w:tcPr>
          <w:p w14:paraId="4A03FE67">
            <w:pPr>
              <w:widowControl/>
              <w:jc w:val="center"/>
              <w:rPr>
                <w:rFonts w:ascii="Times New Roman" w:eastAsia="仿宋"/>
                <w:szCs w:val="24"/>
              </w:rPr>
            </w:pPr>
            <w:r>
              <w:rPr>
                <w:rFonts w:hint="eastAsia" w:ascii="Times New Roman" w:eastAsia="仿宋"/>
                <w:szCs w:val="24"/>
              </w:rPr>
              <w:t>/</w:t>
            </w:r>
          </w:p>
        </w:tc>
        <w:tc>
          <w:tcPr>
            <w:tcW w:w="364" w:type="pct"/>
            <w:vAlign w:val="center"/>
          </w:tcPr>
          <w:p w14:paraId="5B113797">
            <w:pPr>
              <w:widowControl/>
              <w:jc w:val="center"/>
              <w:rPr>
                <w:rFonts w:ascii="Times New Roman" w:eastAsia="仿宋"/>
                <w:szCs w:val="24"/>
              </w:rPr>
            </w:pPr>
            <w:r>
              <w:rPr>
                <w:rFonts w:hint="eastAsia" w:ascii="Times New Roman" w:eastAsia="仿宋"/>
                <w:szCs w:val="24"/>
              </w:rPr>
              <w:t>/</w:t>
            </w:r>
          </w:p>
        </w:tc>
        <w:tc>
          <w:tcPr>
            <w:tcW w:w="288" w:type="pct"/>
            <w:vAlign w:val="center"/>
          </w:tcPr>
          <w:p w14:paraId="0E6FD112">
            <w:pPr>
              <w:widowControl/>
              <w:jc w:val="center"/>
              <w:rPr>
                <w:rFonts w:ascii="Times New Roman" w:eastAsia="仿宋"/>
                <w:szCs w:val="24"/>
              </w:rPr>
            </w:pPr>
            <w:r>
              <w:rPr>
                <w:rFonts w:hint="eastAsia" w:ascii="Times New Roman" w:eastAsia="仿宋"/>
                <w:szCs w:val="24"/>
              </w:rPr>
              <w:t>/</w:t>
            </w:r>
          </w:p>
        </w:tc>
        <w:tc>
          <w:tcPr>
            <w:tcW w:w="270" w:type="pct"/>
            <w:vAlign w:val="center"/>
          </w:tcPr>
          <w:p w14:paraId="60DF0323">
            <w:pPr>
              <w:widowControl/>
              <w:jc w:val="center"/>
              <w:rPr>
                <w:rFonts w:ascii="Times New Roman" w:eastAsia="仿宋"/>
                <w:szCs w:val="24"/>
              </w:rPr>
            </w:pPr>
            <w:r>
              <w:rPr>
                <w:rFonts w:hint="eastAsia" w:ascii="Times New Roman" w:eastAsia="仿宋"/>
                <w:szCs w:val="24"/>
              </w:rPr>
              <w:t>/</w:t>
            </w:r>
          </w:p>
        </w:tc>
        <w:tc>
          <w:tcPr>
            <w:tcW w:w="364" w:type="pct"/>
            <w:vAlign w:val="center"/>
          </w:tcPr>
          <w:p w14:paraId="7C1C37E1">
            <w:pPr>
              <w:widowControl/>
              <w:jc w:val="center"/>
              <w:rPr>
                <w:rFonts w:ascii="Times New Roman" w:eastAsia="仿宋"/>
                <w:szCs w:val="21"/>
              </w:rPr>
            </w:pPr>
            <w:r>
              <w:rPr>
                <w:rFonts w:hint="eastAsia" w:ascii="Times New Roman" w:eastAsia="仿宋"/>
                <w:szCs w:val="21"/>
              </w:rPr>
              <w:t>/</w:t>
            </w:r>
          </w:p>
        </w:tc>
        <w:tc>
          <w:tcPr>
            <w:tcW w:w="288" w:type="pct"/>
            <w:vAlign w:val="center"/>
          </w:tcPr>
          <w:p w14:paraId="072F37EF">
            <w:pPr>
              <w:widowControl/>
              <w:jc w:val="center"/>
              <w:rPr>
                <w:rFonts w:ascii="Times New Roman" w:eastAsia="仿宋"/>
                <w:szCs w:val="21"/>
              </w:rPr>
            </w:pPr>
            <w:r>
              <w:rPr>
                <w:rFonts w:ascii="Times New Roman" w:eastAsia="仿宋"/>
                <w:szCs w:val="21"/>
              </w:rPr>
              <w:t>/</w:t>
            </w:r>
          </w:p>
        </w:tc>
      </w:tr>
      <w:tr w14:paraId="083A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159EDA33">
            <w:pPr>
              <w:widowControl/>
              <w:jc w:val="center"/>
              <w:rPr>
                <w:rFonts w:ascii="Times New Roman" w:eastAsia="仿宋"/>
                <w:szCs w:val="24"/>
              </w:rPr>
            </w:pPr>
          </w:p>
        </w:tc>
        <w:tc>
          <w:tcPr>
            <w:tcW w:w="391" w:type="pct"/>
            <w:vMerge w:val="continue"/>
            <w:vAlign w:val="center"/>
          </w:tcPr>
          <w:p w14:paraId="2675A64D">
            <w:pPr>
              <w:adjustRightInd w:val="0"/>
              <w:snapToGrid w:val="0"/>
              <w:jc w:val="center"/>
              <w:rPr>
                <w:rFonts w:ascii="Times New Roman" w:eastAsia="仿宋"/>
                <w:szCs w:val="24"/>
              </w:rPr>
            </w:pPr>
          </w:p>
        </w:tc>
        <w:tc>
          <w:tcPr>
            <w:tcW w:w="305" w:type="pct"/>
            <w:vMerge w:val="continue"/>
            <w:shd w:val="clear" w:color="auto" w:fill="auto"/>
            <w:vAlign w:val="center"/>
          </w:tcPr>
          <w:p w14:paraId="5F0A8D74">
            <w:pPr>
              <w:jc w:val="center"/>
              <w:rPr>
                <w:rFonts w:ascii="Times New Roman" w:eastAsia="仿宋"/>
                <w:szCs w:val="21"/>
              </w:rPr>
            </w:pPr>
          </w:p>
        </w:tc>
        <w:tc>
          <w:tcPr>
            <w:tcW w:w="355" w:type="pct"/>
            <w:shd w:val="clear" w:color="auto" w:fill="auto"/>
            <w:vAlign w:val="center"/>
          </w:tcPr>
          <w:p w14:paraId="1D3CD374">
            <w:pPr>
              <w:jc w:val="center"/>
              <w:rPr>
                <w:rFonts w:ascii="Times New Roman" w:eastAsia="仿宋"/>
                <w:szCs w:val="21"/>
              </w:rPr>
            </w:pPr>
            <w:r>
              <w:rPr>
                <w:rFonts w:hint="eastAsia" w:ascii="Times New Roman" w:eastAsia="仿宋"/>
                <w:szCs w:val="21"/>
              </w:rPr>
              <w:t>二甲苯</w:t>
            </w:r>
          </w:p>
        </w:tc>
        <w:tc>
          <w:tcPr>
            <w:tcW w:w="309" w:type="pct"/>
            <w:shd w:val="clear" w:color="auto" w:fill="auto"/>
            <w:vAlign w:val="center"/>
          </w:tcPr>
          <w:p w14:paraId="758ABF96">
            <w:pPr>
              <w:widowControl/>
              <w:jc w:val="center"/>
              <w:textAlignment w:val="center"/>
              <w:rPr>
                <w:rFonts w:ascii="Times New Roman" w:eastAsia="仿宋"/>
                <w:szCs w:val="24"/>
              </w:rPr>
            </w:pPr>
            <w:r>
              <w:rPr>
                <w:rFonts w:hint="eastAsia" w:ascii="Times New Roman" w:eastAsia="仿宋"/>
                <w:szCs w:val="24"/>
              </w:rPr>
              <w:t>54.76</w:t>
            </w:r>
          </w:p>
        </w:tc>
        <w:tc>
          <w:tcPr>
            <w:tcW w:w="291" w:type="pct"/>
            <w:shd w:val="clear" w:color="auto" w:fill="auto"/>
            <w:vAlign w:val="center"/>
          </w:tcPr>
          <w:p w14:paraId="432A4AC5">
            <w:pPr>
              <w:widowControl/>
              <w:jc w:val="center"/>
              <w:textAlignment w:val="center"/>
              <w:rPr>
                <w:rFonts w:ascii="Times New Roman" w:eastAsia="仿宋"/>
                <w:szCs w:val="24"/>
              </w:rPr>
            </w:pPr>
            <w:r>
              <w:rPr>
                <w:rFonts w:hint="eastAsia" w:ascii="Times New Roman" w:eastAsia="仿宋"/>
                <w:szCs w:val="24"/>
              </w:rPr>
              <w:t>1.15</w:t>
            </w:r>
          </w:p>
        </w:tc>
        <w:tc>
          <w:tcPr>
            <w:tcW w:w="295" w:type="pct"/>
            <w:shd w:val="clear" w:color="auto" w:fill="auto"/>
            <w:vAlign w:val="center"/>
          </w:tcPr>
          <w:p w14:paraId="7D7A2B56">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346" w:type="pct"/>
            <w:vMerge w:val="continue"/>
            <w:vAlign w:val="center"/>
          </w:tcPr>
          <w:p w14:paraId="22E32169">
            <w:pPr>
              <w:widowControl/>
              <w:jc w:val="center"/>
              <w:rPr>
                <w:rFonts w:ascii="Times New Roman" w:eastAsia="仿宋"/>
                <w:szCs w:val="24"/>
              </w:rPr>
            </w:pPr>
          </w:p>
        </w:tc>
        <w:tc>
          <w:tcPr>
            <w:tcW w:w="244" w:type="pct"/>
            <w:vMerge w:val="continue"/>
            <w:vAlign w:val="center"/>
          </w:tcPr>
          <w:p w14:paraId="258BA798">
            <w:pPr>
              <w:widowControl/>
              <w:jc w:val="center"/>
              <w:rPr>
                <w:rFonts w:ascii="Times New Roman" w:eastAsia="仿宋"/>
                <w:szCs w:val="24"/>
              </w:rPr>
            </w:pPr>
          </w:p>
        </w:tc>
        <w:tc>
          <w:tcPr>
            <w:tcW w:w="356" w:type="pct"/>
            <w:vAlign w:val="center"/>
          </w:tcPr>
          <w:p w14:paraId="2DB8BD53">
            <w:pPr>
              <w:adjustRightInd w:val="0"/>
              <w:snapToGrid w:val="0"/>
              <w:jc w:val="center"/>
              <w:rPr>
                <w:rFonts w:ascii="Times New Roman" w:eastAsia="仿宋"/>
                <w:szCs w:val="24"/>
              </w:rPr>
            </w:pPr>
            <w:r>
              <w:rPr>
                <w:rFonts w:hint="eastAsia" w:ascii="Times New Roman" w:eastAsia="仿宋"/>
                <w:szCs w:val="24"/>
              </w:rPr>
              <w:t>/</w:t>
            </w:r>
          </w:p>
        </w:tc>
        <w:tc>
          <w:tcPr>
            <w:tcW w:w="364" w:type="pct"/>
            <w:vAlign w:val="center"/>
          </w:tcPr>
          <w:p w14:paraId="207BC4FF">
            <w:pPr>
              <w:widowControl/>
              <w:jc w:val="center"/>
              <w:rPr>
                <w:rFonts w:ascii="Times New Roman" w:eastAsia="仿宋"/>
                <w:szCs w:val="24"/>
              </w:rPr>
            </w:pPr>
            <w:r>
              <w:rPr>
                <w:rFonts w:hint="eastAsia" w:ascii="Times New Roman" w:eastAsia="仿宋"/>
                <w:szCs w:val="24"/>
              </w:rPr>
              <w:t>/</w:t>
            </w:r>
          </w:p>
        </w:tc>
        <w:tc>
          <w:tcPr>
            <w:tcW w:w="364" w:type="pct"/>
            <w:vAlign w:val="center"/>
          </w:tcPr>
          <w:p w14:paraId="22B34BA2">
            <w:pPr>
              <w:widowControl/>
              <w:jc w:val="center"/>
              <w:rPr>
                <w:rFonts w:ascii="Times New Roman" w:eastAsia="仿宋"/>
                <w:szCs w:val="24"/>
              </w:rPr>
            </w:pPr>
            <w:r>
              <w:rPr>
                <w:rFonts w:hint="eastAsia" w:ascii="Times New Roman" w:eastAsia="仿宋"/>
                <w:szCs w:val="24"/>
              </w:rPr>
              <w:t>/</w:t>
            </w:r>
          </w:p>
        </w:tc>
        <w:tc>
          <w:tcPr>
            <w:tcW w:w="288" w:type="pct"/>
            <w:vAlign w:val="center"/>
          </w:tcPr>
          <w:p w14:paraId="55A150F4">
            <w:pPr>
              <w:widowControl/>
              <w:jc w:val="center"/>
              <w:rPr>
                <w:rFonts w:ascii="Times New Roman" w:eastAsia="仿宋"/>
                <w:szCs w:val="24"/>
              </w:rPr>
            </w:pPr>
            <w:r>
              <w:rPr>
                <w:rFonts w:hint="eastAsia" w:ascii="Times New Roman" w:eastAsia="仿宋"/>
                <w:szCs w:val="24"/>
              </w:rPr>
              <w:t>/</w:t>
            </w:r>
          </w:p>
        </w:tc>
        <w:tc>
          <w:tcPr>
            <w:tcW w:w="270" w:type="pct"/>
            <w:vAlign w:val="center"/>
          </w:tcPr>
          <w:p w14:paraId="7D5902ED">
            <w:pPr>
              <w:widowControl/>
              <w:jc w:val="center"/>
              <w:rPr>
                <w:rFonts w:ascii="Times New Roman" w:eastAsia="仿宋"/>
                <w:szCs w:val="24"/>
              </w:rPr>
            </w:pPr>
            <w:r>
              <w:rPr>
                <w:rFonts w:hint="eastAsia" w:ascii="Times New Roman" w:eastAsia="仿宋"/>
                <w:szCs w:val="24"/>
              </w:rPr>
              <w:t>/</w:t>
            </w:r>
          </w:p>
        </w:tc>
        <w:tc>
          <w:tcPr>
            <w:tcW w:w="364" w:type="pct"/>
            <w:vAlign w:val="center"/>
          </w:tcPr>
          <w:p w14:paraId="51BE27E5">
            <w:pPr>
              <w:widowControl/>
              <w:jc w:val="center"/>
              <w:rPr>
                <w:rFonts w:ascii="Times New Roman" w:eastAsia="仿宋"/>
                <w:szCs w:val="21"/>
              </w:rPr>
            </w:pPr>
            <w:r>
              <w:rPr>
                <w:rFonts w:hint="eastAsia" w:ascii="Times New Roman" w:eastAsia="仿宋"/>
                <w:szCs w:val="21"/>
              </w:rPr>
              <w:t>/</w:t>
            </w:r>
          </w:p>
        </w:tc>
        <w:tc>
          <w:tcPr>
            <w:tcW w:w="288" w:type="pct"/>
            <w:vAlign w:val="center"/>
          </w:tcPr>
          <w:p w14:paraId="69B160DA">
            <w:pPr>
              <w:widowControl/>
              <w:jc w:val="center"/>
              <w:rPr>
                <w:rFonts w:ascii="Times New Roman" w:eastAsia="仿宋"/>
                <w:szCs w:val="21"/>
              </w:rPr>
            </w:pPr>
            <w:r>
              <w:rPr>
                <w:rFonts w:hint="eastAsia" w:ascii="Times New Roman" w:eastAsia="仿宋"/>
                <w:szCs w:val="21"/>
              </w:rPr>
              <w:t>/</w:t>
            </w:r>
          </w:p>
        </w:tc>
      </w:tr>
      <w:tr w14:paraId="4725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D746C08">
            <w:pPr>
              <w:widowControl/>
              <w:jc w:val="center"/>
              <w:rPr>
                <w:rFonts w:ascii="Times New Roman" w:eastAsia="仿宋"/>
                <w:szCs w:val="24"/>
              </w:rPr>
            </w:pPr>
          </w:p>
        </w:tc>
        <w:tc>
          <w:tcPr>
            <w:tcW w:w="391" w:type="pct"/>
            <w:vMerge w:val="continue"/>
            <w:vAlign w:val="center"/>
          </w:tcPr>
          <w:p w14:paraId="00A0BB15">
            <w:pPr>
              <w:adjustRightInd w:val="0"/>
              <w:snapToGrid w:val="0"/>
              <w:jc w:val="center"/>
              <w:rPr>
                <w:rFonts w:ascii="Times New Roman" w:eastAsia="仿宋"/>
                <w:szCs w:val="24"/>
              </w:rPr>
            </w:pPr>
          </w:p>
        </w:tc>
        <w:tc>
          <w:tcPr>
            <w:tcW w:w="305" w:type="pct"/>
            <w:vMerge w:val="continue"/>
            <w:shd w:val="clear" w:color="auto" w:fill="auto"/>
            <w:vAlign w:val="center"/>
          </w:tcPr>
          <w:p w14:paraId="4F627F14">
            <w:pPr>
              <w:jc w:val="center"/>
              <w:rPr>
                <w:rFonts w:ascii="Times New Roman" w:eastAsia="仿宋"/>
                <w:szCs w:val="21"/>
              </w:rPr>
            </w:pPr>
          </w:p>
        </w:tc>
        <w:tc>
          <w:tcPr>
            <w:tcW w:w="355" w:type="pct"/>
            <w:shd w:val="clear" w:color="auto" w:fill="auto"/>
            <w:vAlign w:val="center"/>
          </w:tcPr>
          <w:p w14:paraId="3E9D4C14">
            <w:pPr>
              <w:jc w:val="center"/>
              <w:rPr>
                <w:rFonts w:ascii="Times New Roman" w:eastAsia="仿宋"/>
                <w:szCs w:val="21"/>
              </w:rPr>
            </w:pPr>
            <w:r>
              <w:rPr>
                <w:rFonts w:hint="eastAsia" w:ascii="Times New Roman" w:eastAsia="仿宋"/>
                <w:szCs w:val="21"/>
              </w:rPr>
              <w:t>苯系物</w:t>
            </w:r>
          </w:p>
        </w:tc>
        <w:tc>
          <w:tcPr>
            <w:tcW w:w="309" w:type="pct"/>
            <w:shd w:val="clear" w:color="auto" w:fill="auto"/>
            <w:vAlign w:val="center"/>
          </w:tcPr>
          <w:p w14:paraId="783146B4">
            <w:pPr>
              <w:widowControl/>
              <w:jc w:val="center"/>
              <w:textAlignment w:val="center"/>
              <w:rPr>
                <w:rFonts w:ascii="Times New Roman" w:eastAsia="仿宋"/>
                <w:szCs w:val="24"/>
              </w:rPr>
            </w:pPr>
            <w:r>
              <w:rPr>
                <w:rFonts w:hint="eastAsia" w:ascii="Times New Roman" w:eastAsia="仿宋"/>
                <w:szCs w:val="24"/>
              </w:rPr>
              <w:t>54.76</w:t>
            </w:r>
          </w:p>
        </w:tc>
        <w:tc>
          <w:tcPr>
            <w:tcW w:w="291" w:type="pct"/>
            <w:shd w:val="clear" w:color="auto" w:fill="auto"/>
            <w:vAlign w:val="center"/>
          </w:tcPr>
          <w:p w14:paraId="544A3ED8">
            <w:pPr>
              <w:widowControl/>
              <w:jc w:val="center"/>
              <w:textAlignment w:val="center"/>
              <w:rPr>
                <w:rFonts w:ascii="Times New Roman" w:eastAsia="仿宋"/>
                <w:szCs w:val="24"/>
              </w:rPr>
            </w:pPr>
            <w:r>
              <w:rPr>
                <w:rFonts w:hint="eastAsia" w:ascii="Times New Roman" w:eastAsia="仿宋"/>
                <w:szCs w:val="24"/>
              </w:rPr>
              <w:t>1.15</w:t>
            </w:r>
          </w:p>
        </w:tc>
        <w:tc>
          <w:tcPr>
            <w:tcW w:w="295" w:type="pct"/>
            <w:shd w:val="clear" w:color="auto" w:fill="auto"/>
            <w:vAlign w:val="center"/>
          </w:tcPr>
          <w:p w14:paraId="1DBC3D14">
            <w:pPr>
              <w:jc w:val="center"/>
              <w:rPr>
                <w:rFonts w:ascii="Times New Roman" w:eastAsia="仿宋"/>
                <w:szCs w:val="24"/>
              </w:rPr>
            </w:pPr>
            <w:r>
              <w:rPr>
                <w:rFonts w:hint="eastAsia" w:ascii="Times New Roman" w:eastAsia="仿宋"/>
                <w:szCs w:val="21"/>
              </w:rPr>
              <w:t>5</w:t>
            </w:r>
            <w:r>
              <w:rPr>
                <w:rFonts w:ascii="Times New Roman" w:eastAsia="仿宋"/>
                <w:szCs w:val="21"/>
              </w:rPr>
              <w:t>.5</w:t>
            </w:r>
            <w:r>
              <w:rPr>
                <w:rFonts w:hint="eastAsia" w:ascii="Times New Roman" w:eastAsia="仿宋"/>
                <w:szCs w:val="21"/>
              </w:rPr>
              <w:t>5</w:t>
            </w:r>
          </w:p>
        </w:tc>
        <w:tc>
          <w:tcPr>
            <w:tcW w:w="346" w:type="pct"/>
            <w:vMerge w:val="continue"/>
            <w:vAlign w:val="center"/>
          </w:tcPr>
          <w:p w14:paraId="74FD0670">
            <w:pPr>
              <w:widowControl/>
              <w:jc w:val="center"/>
              <w:rPr>
                <w:rFonts w:ascii="Times New Roman" w:eastAsia="仿宋"/>
                <w:szCs w:val="24"/>
              </w:rPr>
            </w:pPr>
          </w:p>
        </w:tc>
        <w:tc>
          <w:tcPr>
            <w:tcW w:w="244" w:type="pct"/>
            <w:vMerge w:val="continue"/>
            <w:vAlign w:val="center"/>
          </w:tcPr>
          <w:p w14:paraId="018E7338">
            <w:pPr>
              <w:widowControl/>
              <w:jc w:val="center"/>
              <w:rPr>
                <w:rFonts w:ascii="Times New Roman" w:eastAsia="仿宋"/>
                <w:szCs w:val="24"/>
              </w:rPr>
            </w:pPr>
          </w:p>
        </w:tc>
        <w:tc>
          <w:tcPr>
            <w:tcW w:w="356" w:type="pct"/>
            <w:vAlign w:val="center"/>
          </w:tcPr>
          <w:p w14:paraId="77E2CC7C">
            <w:pPr>
              <w:adjustRightInd w:val="0"/>
              <w:snapToGrid w:val="0"/>
              <w:jc w:val="center"/>
              <w:rPr>
                <w:rFonts w:ascii="Times New Roman" w:eastAsia="仿宋"/>
                <w:szCs w:val="24"/>
              </w:rPr>
            </w:pPr>
            <w:r>
              <w:rPr>
                <w:rFonts w:hint="eastAsia" w:ascii="Times New Roman" w:eastAsia="仿宋"/>
                <w:szCs w:val="24"/>
              </w:rPr>
              <w:t>/</w:t>
            </w:r>
          </w:p>
        </w:tc>
        <w:tc>
          <w:tcPr>
            <w:tcW w:w="364" w:type="pct"/>
            <w:vAlign w:val="center"/>
          </w:tcPr>
          <w:p w14:paraId="41294B6C">
            <w:pPr>
              <w:widowControl/>
              <w:jc w:val="center"/>
              <w:rPr>
                <w:rFonts w:ascii="Times New Roman" w:eastAsia="仿宋"/>
                <w:szCs w:val="24"/>
              </w:rPr>
            </w:pPr>
            <w:r>
              <w:rPr>
                <w:rFonts w:hint="eastAsia" w:ascii="Times New Roman" w:eastAsia="仿宋"/>
                <w:szCs w:val="24"/>
              </w:rPr>
              <w:t>/</w:t>
            </w:r>
          </w:p>
        </w:tc>
        <w:tc>
          <w:tcPr>
            <w:tcW w:w="364" w:type="pct"/>
            <w:vAlign w:val="center"/>
          </w:tcPr>
          <w:p w14:paraId="3732CBF1">
            <w:pPr>
              <w:widowControl/>
              <w:jc w:val="center"/>
              <w:rPr>
                <w:rFonts w:ascii="Times New Roman" w:eastAsia="仿宋"/>
                <w:szCs w:val="24"/>
              </w:rPr>
            </w:pPr>
            <w:r>
              <w:rPr>
                <w:rFonts w:hint="eastAsia" w:ascii="Times New Roman" w:eastAsia="仿宋"/>
                <w:szCs w:val="24"/>
              </w:rPr>
              <w:t>/</w:t>
            </w:r>
          </w:p>
        </w:tc>
        <w:tc>
          <w:tcPr>
            <w:tcW w:w="288" w:type="pct"/>
            <w:vAlign w:val="center"/>
          </w:tcPr>
          <w:p w14:paraId="68DA736F">
            <w:pPr>
              <w:widowControl/>
              <w:jc w:val="center"/>
              <w:rPr>
                <w:rFonts w:ascii="Times New Roman" w:eastAsia="仿宋"/>
                <w:szCs w:val="24"/>
              </w:rPr>
            </w:pPr>
            <w:r>
              <w:rPr>
                <w:rFonts w:hint="eastAsia" w:ascii="Times New Roman" w:eastAsia="仿宋"/>
                <w:szCs w:val="24"/>
              </w:rPr>
              <w:t>/</w:t>
            </w:r>
          </w:p>
        </w:tc>
        <w:tc>
          <w:tcPr>
            <w:tcW w:w="270" w:type="pct"/>
            <w:vAlign w:val="center"/>
          </w:tcPr>
          <w:p w14:paraId="1F5D0A23">
            <w:pPr>
              <w:widowControl/>
              <w:jc w:val="center"/>
              <w:rPr>
                <w:rFonts w:ascii="Times New Roman" w:eastAsia="仿宋"/>
                <w:szCs w:val="24"/>
              </w:rPr>
            </w:pPr>
            <w:r>
              <w:rPr>
                <w:rFonts w:hint="eastAsia" w:ascii="Times New Roman" w:eastAsia="仿宋"/>
                <w:szCs w:val="24"/>
              </w:rPr>
              <w:t>/</w:t>
            </w:r>
          </w:p>
        </w:tc>
        <w:tc>
          <w:tcPr>
            <w:tcW w:w="364" w:type="pct"/>
            <w:vAlign w:val="center"/>
          </w:tcPr>
          <w:p w14:paraId="69133425">
            <w:pPr>
              <w:widowControl/>
              <w:jc w:val="center"/>
              <w:rPr>
                <w:rFonts w:ascii="Times New Roman" w:eastAsia="仿宋"/>
                <w:szCs w:val="24"/>
              </w:rPr>
            </w:pPr>
            <w:r>
              <w:rPr>
                <w:rFonts w:hint="eastAsia" w:ascii="Times New Roman" w:eastAsia="仿宋"/>
                <w:szCs w:val="24"/>
              </w:rPr>
              <w:t>/</w:t>
            </w:r>
          </w:p>
        </w:tc>
        <w:tc>
          <w:tcPr>
            <w:tcW w:w="288" w:type="pct"/>
            <w:vAlign w:val="center"/>
          </w:tcPr>
          <w:p w14:paraId="6F05DA76">
            <w:pPr>
              <w:widowControl/>
              <w:jc w:val="center"/>
              <w:rPr>
                <w:rFonts w:ascii="Times New Roman" w:eastAsia="仿宋"/>
                <w:szCs w:val="24"/>
              </w:rPr>
            </w:pPr>
            <w:r>
              <w:rPr>
                <w:rFonts w:hint="eastAsia" w:ascii="Times New Roman" w:eastAsia="仿宋"/>
                <w:szCs w:val="24"/>
              </w:rPr>
              <w:t>/</w:t>
            </w:r>
          </w:p>
        </w:tc>
      </w:tr>
      <w:tr w14:paraId="3FE2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5C18314">
            <w:pPr>
              <w:widowControl/>
              <w:jc w:val="center"/>
              <w:rPr>
                <w:rFonts w:ascii="Times New Roman" w:eastAsia="仿宋"/>
                <w:szCs w:val="24"/>
              </w:rPr>
            </w:pPr>
          </w:p>
        </w:tc>
        <w:tc>
          <w:tcPr>
            <w:tcW w:w="391" w:type="pct"/>
            <w:vMerge w:val="restart"/>
            <w:shd w:val="clear" w:color="auto" w:fill="auto"/>
            <w:vAlign w:val="center"/>
          </w:tcPr>
          <w:p w14:paraId="47B1967A">
            <w:pPr>
              <w:adjustRightInd w:val="0"/>
              <w:snapToGrid w:val="0"/>
              <w:jc w:val="center"/>
              <w:rPr>
                <w:rFonts w:ascii="Times New Roman" w:eastAsia="仿宋"/>
                <w:szCs w:val="24"/>
              </w:rPr>
            </w:pPr>
            <w:r>
              <w:rPr>
                <w:rFonts w:hint="eastAsia" w:ascii="Times New Roman" w:eastAsia="仿宋"/>
                <w:szCs w:val="24"/>
              </w:rPr>
              <w:t>天然气燃烧废气G8</w:t>
            </w:r>
          </w:p>
        </w:tc>
        <w:tc>
          <w:tcPr>
            <w:tcW w:w="305" w:type="pct"/>
            <w:vMerge w:val="continue"/>
            <w:vAlign w:val="center"/>
          </w:tcPr>
          <w:p w14:paraId="48895221">
            <w:pPr>
              <w:adjustRightInd w:val="0"/>
              <w:snapToGrid w:val="0"/>
              <w:jc w:val="center"/>
              <w:rPr>
                <w:rFonts w:ascii="Times New Roman" w:eastAsia="仿宋"/>
                <w:szCs w:val="24"/>
              </w:rPr>
            </w:pPr>
          </w:p>
        </w:tc>
        <w:tc>
          <w:tcPr>
            <w:tcW w:w="355" w:type="pct"/>
            <w:shd w:val="clear" w:color="auto" w:fill="auto"/>
            <w:vAlign w:val="center"/>
          </w:tcPr>
          <w:p w14:paraId="5276A3F6">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309" w:type="pct"/>
            <w:shd w:val="clear" w:color="auto" w:fill="auto"/>
            <w:vAlign w:val="center"/>
          </w:tcPr>
          <w:p w14:paraId="12E4DE9F">
            <w:pPr>
              <w:widowControl/>
              <w:jc w:val="center"/>
              <w:textAlignment w:val="center"/>
              <w:rPr>
                <w:rFonts w:ascii="Times New Roman" w:eastAsia="仿宋"/>
                <w:szCs w:val="24"/>
              </w:rPr>
            </w:pPr>
            <w:r>
              <w:rPr>
                <w:rFonts w:hint="eastAsia" w:ascii="Times New Roman" w:eastAsia="仿宋"/>
                <w:szCs w:val="24"/>
              </w:rPr>
              <w:t>0.1</w:t>
            </w:r>
          </w:p>
        </w:tc>
        <w:tc>
          <w:tcPr>
            <w:tcW w:w="291" w:type="pct"/>
            <w:shd w:val="clear" w:color="auto" w:fill="auto"/>
            <w:vAlign w:val="center"/>
          </w:tcPr>
          <w:p w14:paraId="32870ECE">
            <w:pPr>
              <w:widowControl/>
              <w:jc w:val="center"/>
              <w:textAlignment w:val="center"/>
              <w:rPr>
                <w:rFonts w:ascii="Times New Roman" w:eastAsia="仿宋"/>
                <w:szCs w:val="24"/>
              </w:rPr>
            </w:pPr>
            <w:r>
              <w:rPr>
                <w:rFonts w:hint="eastAsia" w:ascii="Times New Roman" w:eastAsia="仿宋"/>
                <w:szCs w:val="24"/>
              </w:rPr>
              <w:t>0.002</w:t>
            </w:r>
          </w:p>
        </w:tc>
        <w:tc>
          <w:tcPr>
            <w:tcW w:w="295" w:type="pct"/>
            <w:shd w:val="clear" w:color="auto" w:fill="auto"/>
            <w:vAlign w:val="center"/>
          </w:tcPr>
          <w:p w14:paraId="571038F5">
            <w:pPr>
              <w:widowControl/>
              <w:jc w:val="center"/>
              <w:textAlignment w:val="center"/>
              <w:rPr>
                <w:rFonts w:ascii="Times New Roman" w:eastAsia="仿宋"/>
                <w:szCs w:val="24"/>
              </w:rPr>
            </w:pPr>
            <w:r>
              <w:rPr>
                <w:rFonts w:hint="eastAsia" w:ascii="Times New Roman" w:eastAsia="仿宋"/>
                <w:szCs w:val="24"/>
              </w:rPr>
              <w:t>0.01</w:t>
            </w:r>
          </w:p>
        </w:tc>
        <w:tc>
          <w:tcPr>
            <w:tcW w:w="346" w:type="pct"/>
            <w:vMerge w:val="continue"/>
            <w:vAlign w:val="center"/>
          </w:tcPr>
          <w:p w14:paraId="2A7B76F9">
            <w:pPr>
              <w:widowControl/>
              <w:jc w:val="center"/>
              <w:rPr>
                <w:rFonts w:ascii="Times New Roman" w:eastAsia="仿宋"/>
                <w:szCs w:val="24"/>
              </w:rPr>
            </w:pPr>
          </w:p>
        </w:tc>
        <w:tc>
          <w:tcPr>
            <w:tcW w:w="244" w:type="pct"/>
            <w:vMerge w:val="continue"/>
            <w:vAlign w:val="center"/>
          </w:tcPr>
          <w:p w14:paraId="37C75346">
            <w:pPr>
              <w:widowControl/>
              <w:jc w:val="center"/>
              <w:rPr>
                <w:rFonts w:ascii="Times New Roman" w:eastAsia="仿宋"/>
                <w:szCs w:val="24"/>
              </w:rPr>
            </w:pPr>
          </w:p>
        </w:tc>
        <w:tc>
          <w:tcPr>
            <w:tcW w:w="356" w:type="pct"/>
            <w:vAlign w:val="center"/>
          </w:tcPr>
          <w:p w14:paraId="40BF0BC6">
            <w:pPr>
              <w:widowControl/>
              <w:jc w:val="center"/>
              <w:rPr>
                <w:rFonts w:ascii="Times New Roman" w:eastAsia="仿宋"/>
                <w:szCs w:val="24"/>
              </w:rPr>
            </w:pPr>
            <w:r>
              <w:rPr>
                <w:rFonts w:hint="eastAsia" w:ascii="Times New Roman" w:eastAsia="仿宋"/>
                <w:szCs w:val="24"/>
              </w:rPr>
              <w:t>/</w:t>
            </w:r>
          </w:p>
        </w:tc>
        <w:tc>
          <w:tcPr>
            <w:tcW w:w="364" w:type="pct"/>
            <w:vAlign w:val="center"/>
          </w:tcPr>
          <w:p w14:paraId="145EF7F8">
            <w:pPr>
              <w:widowControl/>
              <w:jc w:val="center"/>
              <w:rPr>
                <w:rFonts w:ascii="Times New Roman" w:eastAsia="仿宋"/>
                <w:szCs w:val="24"/>
              </w:rPr>
            </w:pPr>
            <w:r>
              <w:rPr>
                <w:rFonts w:hint="eastAsia" w:ascii="Times New Roman" w:eastAsia="仿宋"/>
                <w:szCs w:val="24"/>
              </w:rPr>
              <w:t>/</w:t>
            </w:r>
          </w:p>
        </w:tc>
        <w:tc>
          <w:tcPr>
            <w:tcW w:w="364" w:type="pct"/>
            <w:vAlign w:val="center"/>
          </w:tcPr>
          <w:p w14:paraId="46104F25">
            <w:pPr>
              <w:widowControl/>
              <w:jc w:val="center"/>
              <w:rPr>
                <w:rFonts w:ascii="Times New Roman" w:eastAsia="仿宋"/>
                <w:szCs w:val="24"/>
              </w:rPr>
            </w:pPr>
            <w:r>
              <w:rPr>
                <w:rFonts w:hint="eastAsia" w:ascii="Times New Roman" w:eastAsia="仿宋"/>
                <w:szCs w:val="24"/>
              </w:rPr>
              <w:t>/</w:t>
            </w:r>
          </w:p>
        </w:tc>
        <w:tc>
          <w:tcPr>
            <w:tcW w:w="288" w:type="pct"/>
            <w:vAlign w:val="center"/>
          </w:tcPr>
          <w:p w14:paraId="1454029A">
            <w:pPr>
              <w:widowControl/>
              <w:jc w:val="center"/>
              <w:rPr>
                <w:rFonts w:ascii="Times New Roman" w:eastAsia="仿宋"/>
                <w:szCs w:val="24"/>
              </w:rPr>
            </w:pPr>
            <w:r>
              <w:rPr>
                <w:rFonts w:hint="eastAsia" w:ascii="Times New Roman" w:eastAsia="仿宋"/>
                <w:szCs w:val="24"/>
              </w:rPr>
              <w:t>/</w:t>
            </w:r>
          </w:p>
        </w:tc>
        <w:tc>
          <w:tcPr>
            <w:tcW w:w="270" w:type="pct"/>
            <w:vAlign w:val="center"/>
          </w:tcPr>
          <w:p w14:paraId="43BC4D78">
            <w:pPr>
              <w:widowControl/>
              <w:jc w:val="center"/>
              <w:rPr>
                <w:rFonts w:ascii="Times New Roman" w:eastAsia="仿宋"/>
                <w:szCs w:val="24"/>
              </w:rPr>
            </w:pPr>
            <w:r>
              <w:rPr>
                <w:rFonts w:hint="eastAsia" w:ascii="Times New Roman" w:eastAsia="仿宋"/>
                <w:szCs w:val="24"/>
              </w:rPr>
              <w:t>/</w:t>
            </w:r>
          </w:p>
        </w:tc>
        <w:tc>
          <w:tcPr>
            <w:tcW w:w="364" w:type="pct"/>
            <w:shd w:val="clear" w:color="auto" w:fill="auto"/>
            <w:vAlign w:val="center"/>
          </w:tcPr>
          <w:p w14:paraId="068F71AB">
            <w:pPr>
              <w:widowControl/>
              <w:jc w:val="center"/>
              <w:rPr>
                <w:rFonts w:ascii="Times New Roman" w:eastAsia="仿宋"/>
                <w:szCs w:val="24"/>
              </w:rPr>
            </w:pPr>
            <w:r>
              <w:rPr>
                <w:rFonts w:hint="eastAsia" w:ascii="Times New Roman" w:eastAsia="仿宋"/>
                <w:szCs w:val="24"/>
              </w:rPr>
              <w:t>/</w:t>
            </w:r>
          </w:p>
        </w:tc>
        <w:tc>
          <w:tcPr>
            <w:tcW w:w="288" w:type="pct"/>
            <w:shd w:val="clear" w:color="auto" w:fill="auto"/>
            <w:vAlign w:val="center"/>
          </w:tcPr>
          <w:p w14:paraId="00784A99">
            <w:pPr>
              <w:widowControl/>
              <w:jc w:val="center"/>
              <w:rPr>
                <w:rFonts w:ascii="Times New Roman" w:eastAsia="仿宋"/>
                <w:szCs w:val="24"/>
              </w:rPr>
            </w:pPr>
            <w:r>
              <w:rPr>
                <w:rFonts w:hint="eastAsia" w:ascii="Times New Roman" w:eastAsia="仿宋"/>
                <w:szCs w:val="24"/>
              </w:rPr>
              <w:t>/</w:t>
            </w:r>
          </w:p>
        </w:tc>
      </w:tr>
      <w:tr w14:paraId="1C73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3472FD82">
            <w:pPr>
              <w:widowControl/>
              <w:jc w:val="center"/>
              <w:rPr>
                <w:rFonts w:ascii="Times New Roman" w:eastAsia="仿宋"/>
                <w:szCs w:val="24"/>
              </w:rPr>
            </w:pPr>
          </w:p>
        </w:tc>
        <w:tc>
          <w:tcPr>
            <w:tcW w:w="391" w:type="pct"/>
            <w:vMerge w:val="continue"/>
            <w:vAlign w:val="center"/>
          </w:tcPr>
          <w:p w14:paraId="787E831C">
            <w:pPr>
              <w:adjustRightInd w:val="0"/>
              <w:snapToGrid w:val="0"/>
              <w:jc w:val="center"/>
              <w:rPr>
                <w:rFonts w:ascii="Times New Roman" w:eastAsia="仿宋"/>
                <w:szCs w:val="24"/>
              </w:rPr>
            </w:pPr>
          </w:p>
        </w:tc>
        <w:tc>
          <w:tcPr>
            <w:tcW w:w="305" w:type="pct"/>
            <w:vMerge w:val="continue"/>
            <w:vAlign w:val="center"/>
          </w:tcPr>
          <w:p w14:paraId="30D79F8F">
            <w:pPr>
              <w:adjustRightInd w:val="0"/>
              <w:snapToGrid w:val="0"/>
              <w:jc w:val="center"/>
              <w:rPr>
                <w:rFonts w:ascii="Times New Roman" w:eastAsia="仿宋"/>
                <w:szCs w:val="24"/>
              </w:rPr>
            </w:pPr>
          </w:p>
        </w:tc>
        <w:tc>
          <w:tcPr>
            <w:tcW w:w="355" w:type="pct"/>
            <w:shd w:val="clear" w:color="auto" w:fill="auto"/>
            <w:vAlign w:val="center"/>
          </w:tcPr>
          <w:p w14:paraId="455EF771">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309" w:type="pct"/>
            <w:shd w:val="clear" w:color="auto" w:fill="auto"/>
            <w:vAlign w:val="center"/>
          </w:tcPr>
          <w:p w14:paraId="0B9D7709">
            <w:pPr>
              <w:widowControl/>
              <w:jc w:val="center"/>
              <w:textAlignment w:val="center"/>
              <w:rPr>
                <w:rFonts w:ascii="Times New Roman" w:eastAsia="仿宋"/>
                <w:szCs w:val="24"/>
              </w:rPr>
            </w:pPr>
            <w:r>
              <w:rPr>
                <w:rFonts w:ascii="Times New Roman" w:eastAsia="仿宋"/>
                <w:szCs w:val="24"/>
              </w:rPr>
              <w:t>4.8</w:t>
            </w:r>
          </w:p>
        </w:tc>
        <w:tc>
          <w:tcPr>
            <w:tcW w:w="291" w:type="pct"/>
            <w:shd w:val="clear" w:color="auto" w:fill="auto"/>
            <w:vAlign w:val="center"/>
          </w:tcPr>
          <w:p w14:paraId="6A0EF27D">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95" w:type="pct"/>
            <w:shd w:val="clear" w:color="auto" w:fill="auto"/>
            <w:vAlign w:val="center"/>
          </w:tcPr>
          <w:p w14:paraId="31FFE2F2">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346" w:type="pct"/>
            <w:vMerge w:val="continue"/>
            <w:vAlign w:val="center"/>
          </w:tcPr>
          <w:p w14:paraId="332E10FE">
            <w:pPr>
              <w:widowControl/>
              <w:jc w:val="center"/>
              <w:rPr>
                <w:rFonts w:ascii="Times New Roman" w:eastAsia="仿宋"/>
                <w:szCs w:val="24"/>
              </w:rPr>
            </w:pPr>
          </w:p>
        </w:tc>
        <w:tc>
          <w:tcPr>
            <w:tcW w:w="244" w:type="pct"/>
            <w:vMerge w:val="continue"/>
            <w:vAlign w:val="center"/>
          </w:tcPr>
          <w:p w14:paraId="0BA5BEAC">
            <w:pPr>
              <w:widowControl/>
              <w:jc w:val="center"/>
              <w:rPr>
                <w:rFonts w:ascii="Times New Roman" w:eastAsia="仿宋"/>
                <w:szCs w:val="24"/>
              </w:rPr>
            </w:pPr>
          </w:p>
        </w:tc>
        <w:tc>
          <w:tcPr>
            <w:tcW w:w="356" w:type="pct"/>
            <w:vAlign w:val="center"/>
          </w:tcPr>
          <w:p w14:paraId="2704C329">
            <w:pPr>
              <w:widowControl/>
              <w:jc w:val="center"/>
              <w:rPr>
                <w:rFonts w:ascii="Times New Roman" w:eastAsia="仿宋"/>
                <w:szCs w:val="24"/>
              </w:rPr>
            </w:pPr>
            <w:r>
              <w:rPr>
                <w:rFonts w:hint="eastAsia" w:ascii="Times New Roman" w:eastAsia="仿宋"/>
                <w:szCs w:val="24"/>
              </w:rPr>
              <w:t>/</w:t>
            </w:r>
          </w:p>
        </w:tc>
        <w:tc>
          <w:tcPr>
            <w:tcW w:w="364" w:type="pct"/>
            <w:vAlign w:val="center"/>
          </w:tcPr>
          <w:p w14:paraId="7E1B0D4E">
            <w:pPr>
              <w:widowControl/>
              <w:jc w:val="center"/>
              <w:rPr>
                <w:rFonts w:ascii="Times New Roman" w:eastAsia="仿宋"/>
                <w:szCs w:val="24"/>
              </w:rPr>
            </w:pPr>
            <w:r>
              <w:rPr>
                <w:rFonts w:hint="eastAsia" w:ascii="Times New Roman" w:eastAsia="仿宋"/>
                <w:szCs w:val="24"/>
              </w:rPr>
              <w:t>/</w:t>
            </w:r>
          </w:p>
        </w:tc>
        <w:tc>
          <w:tcPr>
            <w:tcW w:w="364" w:type="pct"/>
            <w:vAlign w:val="center"/>
          </w:tcPr>
          <w:p w14:paraId="2396C7FA">
            <w:pPr>
              <w:widowControl/>
              <w:jc w:val="center"/>
              <w:rPr>
                <w:rFonts w:ascii="Times New Roman" w:eastAsia="仿宋"/>
                <w:szCs w:val="24"/>
              </w:rPr>
            </w:pPr>
            <w:r>
              <w:rPr>
                <w:rFonts w:hint="eastAsia" w:ascii="Times New Roman" w:eastAsia="仿宋"/>
                <w:szCs w:val="24"/>
              </w:rPr>
              <w:t>/</w:t>
            </w:r>
          </w:p>
        </w:tc>
        <w:tc>
          <w:tcPr>
            <w:tcW w:w="288" w:type="pct"/>
            <w:vAlign w:val="center"/>
          </w:tcPr>
          <w:p w14:paraId="39DB4E8B">
            <w:pPr>
              <w:widowControl/>
              <w:jc w:val="center"/>
              <w:rPr>
                <w:rFonts w:ascii="Times New Roman" w:eastAsia="仿宋"/>
                <w:szCs w:val="24"/>
              </w:rPr>
            </w:pPr>
            <w:r>
              <w:rPr>
                <w:rFonts w:hint="eastAsia" w:ascii="Times New Roman" w:eastAsia="仿宋"/>
                <w:szCs w:val="24"/>
              </w:rPr>
              <w:t>/</w:t>
            </w:r>
          </w:p>
        </w:tc>
        <w:tc>
          <w:tcPr>
            <w:tcW w:w="270" w:type="pct"/>
            <w:vAlign w:val="center"/>
          </w:tcPr>
          <w:p w14:paraId="1AB915AD">
            <w:pPr>
              <w:widowControl/>
              <w:jc w:val="center"/>
              <w:rPr>
                <w:rFonts w:ascii="Times New Roman" w:eastAsia="仿宋"/>
                <w:szCs w:val="24"/>
              </w:rPr>
            </w:pPr>
            <w:r>
              <w:rPr>
                <w:rFonts w:hint="eastAsia" w:ascii="Times New Roman" w:eastAsia="仿宋"/>
                <w:szCs w:val="24"/>
              </w:rPr>
              <w:t>/</w:t>
            </w:r>
          </w:p>
        </w:tc>
        <w:tc>
          <w:tcPr>
            <w:tcW w:w="364" w:type="pct"/>
            <w:shd w:val="clear" w:color="auto" w:fill="auto"/>
            <w:vAlign w:val="center"/>
          </w:tcPr>
          <w:p w14:paraId="4B2A8846">
            <w:pPr>
              <w:widowControl/>
              <w:jc w:val="center"/>
              <w:rPr>
                <w:rFonts w:ascii="Times New Roman" w:eastAsia="仿宋"/>
                <w:szCs w:val="24"/>
              </w:rPr>
            </w:pPr>
            <w:r>
              <w:rPr>
                <w:rFonts w:hint="eastAsia" w:ascii="Times New Roman" w:eastAsia="仿宋"/>
                <w:szCs w:val="24"/>
              </w:rPr>
              <w:t>/</w:t>
            </w:r>
          </w:p>
        </w:tc>
        <w:tc>
          <w:tcPr>
            <w:tcW w:w="288" w:type="pct"/>
            <w:shd w:val="clear" w:color="auto" w:fill="auto"/>
            <w:vAlign w:val="center"/>
          </w:tcPr>
          <w:p w14:paraId="6D6A86F3">
            <w:pPr>
              <w:widowControl/>
              <w:jc w:val="center"/>
              <w:rPr>
                <w:rFonts w:ascii="Times New Roman" w:eastAsia="仿宋"/>
                <w:szCs w:val="24"/>
              </w:rPr>
            </w:pPr>
            <w:r>
              <w:rPr>
                <w:rFonts w:hint="eastAsia" w:ascii="Times New Roman" w:eastAsia="仿宋"/>
                <w:szCs w:val="24"/>
              </w:rPr>
              <w:t>/</w:t>
            </w:r>
          </w:p>
        </w:tc>
      </w:tr>
      <w:tr w14:paraId="6670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E239DC8">
            <w:pPr>
              <w:widowControl/>
              <w:jc w:val="center"/>
              <w:rPr>
                <w:rFonts w:ascii="Times New Roman" w:eastAsia="仿宋"/>
                <w:szCs w:val="24"/>
              </w:rPr>
            </w:pPr>
          </w:p>
        </w:tc>
        <w:tc>
          <w:tcPr>
            <w:tcW w:w="391" w:type="pct"/>
            <w:vMerge w:val="continue"/>
            <w:vAlign w:val="center"/>
          </w:tcPr>
          <w:p w14:paraId="3050B7E8">
            <w:pPr>
              <w:adjustRightInd w:val="0"/>
              <w:snapToGrid w:val="0"/>
              <w:jc w:val="center"/>
              <w:rPr>
                <w:rFonts w:ascii="Times New Roman" w:eastAsia="仿宋"/>
                <w:szCs w:val="24"/>
              </w:rPr>
            </w:pPr>
          </w:p>
        </w:tc>
        <w:tc>
          <w:tcPr>
            <w:tcW w:w="305" w:type="pct"/>
            <w:vMerge w:val="continue"/>
            <w:vAlign w:val="center"/>
          </w:tcPr>
          <w:p w14:paraId="07A33CE9">
            <w:pPr>
              <w:adjustRightInd w:val="0"/>
              <w:snapToGrid w:val="0"/>
              <w:jc w:val="center"/>
              <w:rPr>
                <w:rFonts w:ascii="Times New Roman" w:eastAsia="仿宋"/>
                <w:szCs w:val="24"/>
              </w:rPr>
            </w:pPr>
          </w:p>
        </w:tc>
        <w:tc>
          <w:tcPr>
            <w:tcW w:w="355" w:type="pct"/>
            <w:shd w:val="clear" w:color="auto" w:fill="auto"/>
            <w:vAlign w:val="center"/>
          </w:tcPr>
          <w:p w14:paraId="59046FFE">
            <w:pPr>
              <w:adjustRightInd w:val="0"/>
              <w:snapToGrid w:val="0"/>
              <w:jc w:val="center"/>
              <w:rPr>
                <w:rFonts w:ascii="Times New Roman" w:eastAsia="仿宋"/>
                <w:szCs w:val="24"/>
              </w:rPr>
            </w:pPr>
            <w:r>
              <w:rPr>
                <w:rFonts w:hint="eastAsia" w:ascii="Times New Roman" w:eastAsia="仿宋"/>
                <w:szCs w:val="24"/>
              </w:rPr>
              <w:t>颗粒物</w:t>
            </w:r>
          </w:p>
        </w:tc>
        <w:tc>
          <w:tcPr>
            <w:tcW w:w="309" w:type="pct"/>
            <w:shd w:val="clear" w:color="auto" w:fill="auto"/>
            <w:vAlign w:val="center"/>
          </w:tcPr>
          <w:p w14:paraId="7CAA2409">
            <w:pPr>
              <w:widowControl/>
              <w:jc w:val="center"/>
              <w:textAlignment w:val="center"/>
              <w:rPr>
                <w:rFonts w:ascii="Times New Roman" w:eastAsia="仿宋"/>
                <w:szCs w:val="24"/>
              </w:rPr>
            </w:pPr>
            <w:r>
              <w:rPr>
                <w:rFonts w:hint="eastAsia" w:ascii="Times New Roman" w:eastAsia="仿宋"/>
                <w:szCs w:val="24"/>
              </w:rPr>
              <w:t>0.67</w:t>
            </w:r>
          </w:p>
        </w:tc>
        <w:tc>
          <w:tcPr>
            <w:tcW w:w="291" w:type="pct"/>
            <w:shd w:val="clear" w:color="auto" w:fill="auto"/>
            <w:vAlign w:val="center"/>
          </w:tcPr>
          <w:p w14:paraId="6C9B271D">
            <w:pPr>
              <w:widowControl/>
              <w:jc w:val="center"/>
              <w:textAlignment w:val="center"/>
              <w:rPr>
                <w:rFonts w:ascii="Times New Roman" w:eastAsia="仿宋"/>
                <w:szCs w:val="24"/>
              </w:rPr>
            </w:pPr>
            <w:r>
              <w:rPr>
                <w:rFonts w:hint="eastAsia" w:ascii="Times New Roman" w:eastAsia="仿宋"/>
                <w:szCs w:val="24"/>
              </w:rPr>
              <w:t>0.014</w:t>
            </w:r>
          </w:p>
        </w:tc>
        <w:tc>
          <w:tcPr>
            <w:tcW w:w="295" w:type="pct"/>
            <w:shd w:val="clear" w:color="auto" w:fill="auto"/>
            <w:vAlign w:val="center"/>
          </w:tcPr>
          <w:p w14:paraId="02E0541A">
            <w:pPr>
              <w:widowControl/>
              <w:jc w:val="center"/>
              <w:textAlignment w:val="center"/>
              <w:rPr>
                <w:rFonts w:ascii="Times New Roman" w:eastAsia="仿宋"/>
                <w:szCs w:val="24"/>
              </w:rPr>
            </w:pPr>
            <w:r>
              <w:rPr>
                <w:rFonts w:hint="eastAsia" w:ascii="Times New Roman" w:eastAsia="仿宋"/>
                <w:szCs w:val="24"/>
              </w:rPr>
              <w:t>0.068</w:t>
            </w:r>
          </w:p>
        </w:tc>
        <w:tc>
          <w:tcPr>
            <w:tcW w:w="346" w:type="pct"/>
            <w:vMerge w:val="continue"/>
            <w:vAlign w:val="center"/>
          </w:tcPr>
          <w:p w14:paraId="612DE3B9">
            <w:pPr>
              <w:widowControl/>
              <w:jc w:val="center"/>
              <w:rPr>
                <w:rFonts w:ascii="Times New Roman" w:eastAsia="仿宋"/>
                <w:szCs w:val="24"/>
              </w:rPr>
            </w:pPr>
          </w:p>
        </w:tc>
        <w:tc>
          <w:tcPr>
            <w:tcW w:w="244" w:type="pct"/>
            <w:vMerge w:val="continue"/>
            <w:vAlign w:val="center"/>
          </w:tcPr>
          <w:p w14:paraId="6F2AF9BF">
            <w:pPr>
              <w:widowControl/>
              <w:jc w:val="center"/>
              <w:rPr>
                <w:rFonts w:ascii="Times New Roman" w:eastAsia="仿宋"/>
                <w:szCs w:val="24"/>
              </w:rPr>
            </w:pPr>
          </w:p>
        </w:tc>
        <w:tc>
          <w:tcPr>
            <w:tcW w:w="356" w:type="pct"/>
            <w:vAlign w:val="center"/>
          </w:tcPr>
          <w:p w14:paraId="2BCB947B">
            <w:pPr>
              <w:widowControl/>
              <w:jc w:val="center"/>
              <w:rPr>
                <w:rFonts w:ascii="Times New Roman" w:eastAsia="仿宋"/>
                <w:szCs w:val="24"/>
              </w:rPr>
            </w:pPr>
            <w:r>
              <w:rPr>
                <w:rFonts w:hint="eastAsia" w:ascii="Times New Roman" w:eastAsia="仿宋"/>
                <w:szCs w:val="24"/>
              </w:rPr>
              <w:t>/</w:t>
            </w:r>
          </w:p>
        </w:tc>
        <w:tc>
          <w:tcPr>
            <w:tcW w:w="364" w:type="pct"/>
            <w:vAlign w:val="center"/>
          </w:tcPr>
          <w:p w14:paraId="7631C0A9">
            <w:pPr>
              <w:widowControl/>
              <w:jc w:val="center"/>
              <w:rPr>
                <w:rFonts w:ascii="Times New Roman" w:eastAsia="仿宋"/>
                <w:szCs w:val="24"/>
              </w:rPr>
            </w:pPr>
            <w:r>
              <w:rPr>
                <w:rFonts w:hint="eastAsia" w:ascii="Times New Roman" w:eastAsia="仿宋"/>
                <w:szCs w:val="24"/>
              </w:rPr>
              <w:t>/</w:t>
            </w:r>
          </w:p>
        </w:tc>
        <w:tc>
          <w:tcPr>
            <w:tcW w:w="364" w:type="pct"/>
            <w:vAlign w:val="center"/>
          </w:tcPr>
          <w:p w14:paraId="23546779">
            <w:pPr>
              <w:widowControl/>
              <w:jc w:val="center"/>
              <w:rPr>
                <w:rFonts w:ascii="Times New Roman" w:eastAsia="仿宋"/>
                <w:szCs w:val="24"/>
              </w:rPr>
            </w:pPr>
            <w:r>
              <w:rPr>
                <w:rFonts w:hint="eastAsia" w:ascii="Times New Roman" w:eastAsia="仿宋"/>
                <w:szCs w:val="24"/>
              </w:rPr>
              <w:t>/</w:t>
            </w:r>
          </w:p>
        </w:tc>
        <w:tc>
          <w:tcPr>
            <w:tcW w:w="288" w:type="pct"/>
            <w:vAlign w:val="center"/>
          </w:tcPr>
          <w:p w14:paraId="425228BE">
            <w:pPr>
              <w:widowControl/>
              <w:jc w:val="center"/>
              <w:rPr>
                <w:rFonts w:ascii="Times New Roman" w:eastAsia="仿宋"/>
                <w:szCs w:val="24"/>
              </w:rPr>
            </w:pPr>
            <w:r>
              <w:rPr>
                <w:rFonts w:hint="eastAsia" w:ascii="Times New Roman" w:eastAsia="仿宋"/>
                <w:szCs w:val="24"/>
              </w:rPr>
              <w:t>/</w:t>
            </w:r>
          </w:p>
        </w:tc>
        <w:tc>
          <w:tcPr>
            <w:tcW w:w="270" w:type="pct"/>
            <w:vAlign w:val="center"/>
          </w:tcPr>
          <w:p w14:paraId="23516E00">
            <w:pPr>
              <w:widowControl/>
              <w:jc w:val="center"/>
              <w:rPr>
                <w:rFonts w:ascii="Times New Roman" w:eastAsia="仿宋"/>
                <w:szCs w:val="24"/>
              </w:rPr>
            </w:pPr>
            <w:r>
              <w:rPr>
                <w:rFonts w:hint="eastAsia" w:ascii="Times New Roman" w:eastAsia="仿宋"/>
                <w:szCs w:val="24"/>
              </w:rPr>
              <w:t>/</w:t>
            </w:r>
          </w:p>
        </w:tc>
        <w:tc>
          <w:tcPr>
            <w:tcW w:w="364" w:type="pct"/>
            <w:vAlign w:val="center"/>
          </w:tcPr>
          <w:p w14:paraId="3A7DCE9B">
            <w:pPr>
              <w:widowControl/>
              <w:jc w:val="center"/>
              <w:rPr>
                <w:rFonts w:ascii="Times New Roman" w:eastAsia="仿宋"/>
                <w:szCs w:val="24"/>
              </w:rPr>
            </w:pPr>
            <w:r>
              <w:rPr>
                <w:rFonts w:hint="eastAsia" w:ascii="Times New Roman" w:eastAsia="仿宋"/>
                <w:szCs w:val="24"/>
              </w:rPr>
              <w:t>/</w:t>
            </w:r>
          </w:p>
        </w:tc>
        <w:tc>
          <w:tcPr>
            <w:tcW w:w="288" w:type="pct"/>
            <w:vAlign w:val="center"/>
          </w:tcPr>
          <w:p w14:paraId="215078AA">
            <w:pPr>
              <w:widowControl/>
              <w:jc w:val="center"/>
              <w:rPr>
                <w:rFonts w:ascii="Times New Roman" w:eastAsia="仿宋"/>
                <w:szCs w:val="24"/>
              </w:rPr>
            </w:pPr>
            <w:r>
              <w:rPr>
                <w:rFonts w:hint="eastAsia" w:ascii="Times New Roman" w:eastAsia="仿宋"/>
                <w:szCs w:val="24"/>
              </w:rPr>
              <w:t>/</w:t>
            </w:r>
          </w:p>
        </w:tc>
      </w:tr>
      <w:tr w14:paraId="1341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71D012D5">
            <w:pPr>
              <w:widowControl/>
              <w:jc w:val="center"/>
              <w:rPr>
                <w:rFonts w:ascii="Times New Roman" w:eastAsia="仿宋"/>
                <w:szCs w:val="24"/>
              </w:rPr>
            </w:pPr>
          </w:p>
        </w:tc>
        <w:tc>
          <w:tcPr>
            <w:tcW w:w="391" w:type="pct"/>
            <w:vMerge w:val="restart"/>
            <w:shd w:val="clear" w:color="auto" w:fill="auto"/>
            <w:vAlign w:val="center"/>
          </w:tcPr>
          <w:p w14:paraId="57782A04">
            <w:pPr>
              <w:adjustRightInd w:val="0"/>
              <w:snapToGrid w:val="0"/>
              <w:jc w:val="center"/>
              <w:rPr>
                <w:rFonts w:ascii="Times New Roman" w:eastAsia="仿宋"/>
                <w:szCs w:val="24"/>
              </w:rPr>
            </w:pPr>
            <w:r>
              <w:rPr>
                <w:rFonts w:hint="eastAsia" w:ascii="Times New Roman" w:eastAsia="仿宋"/>
                <w:szCs w:val="24"/>
              </w:rPr>
              <w:t>天然气燃烧废气G1</w:t>
            </w:r>
            <w:r>
              <w:rPr>
                <w:rFonts w:ascii="Times New Roman" w:eastAsia="仿宋"/>
                <w:szCs w:val="24"/>
              </w:rPr>
              <w:t>3</w:t>
            </w:r>
            <w:r>
              <w:rPr>
                <w:rFonts w:hint="eastAsia" w:ascii="Times New Roman" w:eastAsia="仿宋"/>
                <w:szCs w:val="24"/>
              </w:rPr>
              <w:t>、G1</w:t>
            </w:r>
            <w:r>
              <w:rPr>
                <w:rFonts w:ascii="Times New Roman" w:eastAsia="仿宋"/>
                <w:szCs w:val="24"/>
              </w:rPr>
              <w:t>7</w:t>
            </w:r>
          </w:p>
        </w:tc>
        <w:tc>
          <w:tcPr>
            <w:tcW w:w="305" w:type="pct"/>
            <w:vMerge w:val="continue"/>
            <w:vAlign w:val="center"/>
          </w:tcPr>
          <w:p w14:paraId="734A4271">
            <w:pPr>
              <w:adjustRightInd w:val="0"/>
              <w:snapToGrid w:val="0"/>
              <w:jc w:val="center"/>
              <w:rPr>
                <w:rFonts w:ascii="Times New Roman" w:eastAsia="仿宋"/>
                <w:szCs w:val="24"/>
              </w:rPr>
            </w:pPr>
          </w:p>
        </w:tc>
        <w:tc>
          <w:tcPr>
            <w:tcW w:w="355" w:type="pct"/>
            <w:shd w:val="clear" w:color="auto" w:fill="auto"/>
            <w:vAlign w:val="center"/>
          </w:tcPr>
          <w:p w14:paraId="691A8DE4">
            <w:pPr>
              <w:adjustRightInd w:val="0"/>
              <w:snapToGrid w:val="0"/>
              <w:jc w:val="center"/>
              <w:rPr>
                <w:rFonts w:ascii="Times New Roman" w:eastAsia="仿宋"/>
                <w:szCs w:val="24"/>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309" w:type="pct"/>
            <w:shd w:val="clear" w:color="auto" w:fill="auto"/>
            <w:vAlign w:val="center"/>
          </w:tcPr>
          <w:p w14:paraId="2ED03DAC">
            <w:pPr>
              <w:widowControl/>
              <w:jc w:val="center"/>
              <w:textAlignment w:val="center"/>
              <w:rPr>
                <w:rFonts w:ascii="Times New Roman" w:eastAsia="仿宋"/>
                <w:szCs w:val="24"/>
              </w:rPr>
            </w:pPr>
            <w:r>
              <w:rPr>
                <w:rFonts w:hint="eastAsia" w:ascii="Times New Roman" w:eastAsia="仿宋"/>
                <w:szCs w:val="24"/>
              </w:rPr>
              <w:t>0.1</w:t>
            </w:r>
          </w:p>
        </w:tc>
        <w:tc>
          <w:tcPr>
            <w:tcW w:w="291" w:type="pct"/>
            <w:shd w:val="clear" w:color="auto" w:fill="auto"/>
            <w:vAlign w:val="center"/>
          </w:tcPr>
          <w:p w14:paraId="688C6439">
            <w:pPr>
              <w:widowControl/>
              <w:jc w:val="center"/>
              <w:textAlignment w:val="center"/>
              <w:rPr>
                <w:rFonts w:ascii="Times New Roman" w:eastAsia="仿宋"/>
                <w:szCs w:val="24"/>
              </w:rPr>
            </w:pPr>
            <w:r>
              <w:rPr>
                <w:rFonts w:hint="eastAsia" w:ascii="Times New Roman" w:eastAsia="仿宋"/>
                <w:szCs w:val="24"/>
              </w:rPr>
              <w:t>0.002</w:t>
            </w:r>
          </w:p>
        </w:tc>
        <w:tc>
          <w:tcPr>
            <w:tcW w:w="295" w:type="pct"/>
            <w:shd w:val="clear" w:color="auto" w:fill="auto"/>
            <w:vAlign w:val="center"/>
          </w:tcPr>
          <w:p w14:paraId="728A10E8">
            <w:pPr>
              <w:widowControl/>
              <w:jc w:val="center"/>
              <w:textAlignment w:val="center"/>
              <w:rPr>
                <w:rFonts w:ascii="Times New Roman" w:eastAsia="仿宋"/>
                <w:szCs w:val="24"/>
              </w:rPr>
            </w:pPr>
            <w:r>
              <w:rPr>
                <w:rFonts w:hint="eastAsia" w:ascii="Times New Roman" w:eastAsia="仿宋"/>
                <w:szCs w:val="24"/>
              </w:rPr>
              <w:t>0.01</w:t>
            </w:r>
          </w:p>
        </w:tc>
        <w:tc>
          <w:tcPr>
            <w:tcW w:w="346" w:type="pct"/>
            <w:vMerge w:val="continue"/>
            <w:vAlign w:val="center"/>
          </w:tcPr>
          <w:p w14:paraId="60E82B02">
            <w:pPr>
              <w:widowControl/>
              <w:jc w:val="center"/>
              <w:rPr>
                <w:rFonts w:ascii="Times New Roman" w:eastAsia="仿宋"/>
                <w:szCs w:val="24"/>
              </w:rPr>
            </w:pPr>
          </w:p>
        </w:tc>
        <w:tc>
          <w:tcPr>
            <w:tcW w:w="244" w:type="pct"/>
            <w:vMerge w:val="continue"/>
            <w:vAlign w:val="center"/>
          </w:tcPr>
          <w:p w14:paraId="0703B76A">
            <w:pPr>
              <w:widowControl/>
              <w:jc w:val="center"/>
              <w:rPr>
                <w:rFonts w:ascii="Times New Roman" w:eastAsia="仿宋"/>
                <w:szCs w:val="24"/>
              </w:rPr>
            </w:pPr>
          </w:p>
        </w:tc>
        <w:tc>
          <w:tcPr>
            <w:tcW w:w="356" w:type="pct"/>
            <w:vAlign w:val="center"/>
          </w:tcPr>
          <w:p w14:paraId="52839E88">
            <w:pPr>
              <w:widowControl/>
              <w:jc w:val="center"/>
              <w:rPr>
                <w:rFonts w:ascii="Times New Roman" w:eastAsia="仿宋"/>
                <w:szCs w:val="24"/>
              </w:rPr>
            </w:pPr>
            <w:r>
              <w:rPr>
                <w:rFonts w:hint="eastAsia" w:ascii="Times New Roman" w:eastAsia="仿宋"/>
                <w:szCs w:val="24"/>
              </w:rPr>
              <w:t>/</w:t>
            </w:r>
          </w:p>
        </w:tc>
        <w:tc>
          <w:tcPr>
            <w:tcW w:w="364" w:type="pct"/>
            <w:vAlign w:val="center"/>
          </w:tcPr>
          <w:p w14:paraId="59542C11">
            <w:pPr>
              <w:widowControl/>
              <w:jc w:val="center"/>
              <w:rPr>
                <w:rFonts w:ascii="Times New Roman" w:eastAsia="仿宋"/>
                <w:szCs w:val="24"/>
              </w:rPr>
            </w:pPr>
            <w:r>
              <w:rPr>
                <w:rFonts w:hint="eastAsia" w:ascii="Times New Roman" w:eastAsia="仿宋"/>
                <w:szCs w:val="24"/>
              </w:rPr>
              <w:t>/</w:t>
            </w:r>
          </w:p>
        </w:tc>
        <w:tc>
          <w:tcPr>
            <w:tcW w:w="364" w:type="pct"/>
            <w:vAlign w:val="center"/>
          </w:tcPr>
          <w:p w14:paraId="0F50C230">
            <w:pPr>
              <w:widowControl/>
              <w:jc w:val="center"/>
              <w:rPr>
                <w:rFonts w:ascii="Times New Roman" w:eastAsia="仿宋"/>
                <w:szCs w:val="24"/>
              </w:rPr>
            </w:pPr>
            <w:r>
              <w:rPr>
                <w:rFonts w:hint="eastAsia" w:ascii="Times New Roman" w:eastAsia="仿宋"/>
                <w:szCs w:val="24"/>
              </w:rPr>
              <w:t>/</w:t>
            </w:r>
          </w:p>
        </w:tc>
        <w:tc>
          <w:tcPr>
            <w:tcW w:w="288" w:type="pct"/>
            <w:vAlign w:val="center"/>
          </w:tcPr>
          <w:p w14:paraId="268CD4AC">
            <w:pPr>
              <w:widowControl/>
              <w:jc w:val="center"/>
              <w:rPr>
                <w:rFonts w:ascii="Times New Roman" w:eastAsia="仿宋"/>
                <w:szCs w:val="24"/>
              </w:rPr>
            </w:pPr>
            <w:r>
              <w:rPr>
                <w:rFonts w:hint="eastAsia" w:ascii="Times New Roman" w:eastAsia="仿宋"/>
                <w:szCs w:val="24"/>
              </w:rPr>
              <w:t>/</w:t>
            </w:r>
          </w:p>
        </w:tc>
        <w:tc>
          <w:tcPr>
            <w:tcW w:w="270" w:type="pct"/>
            <w:vAlign w:val="center"/>
          </w:tcPr>
          <w:p w14:paraId="447E3DB7">
            <w:pPr>
              <w:widowControl/>
              <w:jc w:val="center"/>
              <w:rPr>
                <w:rFonts w:ascii="Times New Roman" w:eastAsia="仿宋"/>
                <w:szCs w:val="24"/>
              </w:rPr>
            </w:pPr>
            <w:r>
              <w:rPr>
                <w:rFonts w:hint="eastAsia" w:ascii="Times New Roman" w:eastAsia="仿宋"/>
                <w:szCs w:val="24"/>
              </w:rPr>
              <w:t>/</w:t>
            </w:r>
          </w:p>
        </w:tc>
        <w:tc>
          <w:tcPr>
            <w:tcW w:w="364" w:type="pct"/>
            <w:vAlign w:val="center"/>
          </w:tcPr>
          <w:p w14:paraId="50649766">
            <w:pPr>
              <w:widowControl/>
              <w:jc w:val="center"/>
              <w:rPr>
                <w:rFonts w:ascii="Times New Roman" w:eastAsia="仿宋"/>
                <w:szCs w:val="24"/>
              </w:rPr>
            </w:pPr>
            <w:r>
              <w:rPr>
                <w:rFonts w:hint="eastAsia" w:ascii="Times New Roman" w:eastAsia="仿宋"/>
                <w:szCs w:val="24"/>
              </w:rPr>
              <w:t>/</w:t>
            </w:r>
          </w:p>
        </w:tc>
        <w:tc>
          <w:tcPr>
            <w:tcW w:w="288" w:type="pct"/>
            <w:vAlign w:val="center"/>
          </w:tcPr>
          <w:p w14:paraId="604FDF6E">
            <w:pPr>
              <w:widowControl/>
              <w:jc w:val="center"/>
              <w:rPr>
                <w:rFonts w:ascii="Times New Roman" w:eastAsia="仿宋"/>
                <w:szCs w:val="24"/>
              </w:rPr>
            </w:pPr>
            <w:r>
              <w:rPr>
                <w:rFonts w:hint="eastAsia" w:ascii="Times New Roman" w:eastAsia="仿宋"/>
                <w:szCs w:val="24"/>
              </w:rPr>
              <w:t>/</w:t>
            </w:r>
          </w:p>
        </w:tc>
      </w:tr>
      <w:tr w14:paraId="07FB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AB85C58">
            <w:pPr>
              <w:widowControl/>
              <w:jc w:val="center"/>
              <w:rPr>
                <w:rFonts w:ascii="Times New Roman" w:eastAsia="仿宋"/>
                <w:szCs w:val="24"/>
              </w:rPr>
            </w:pPr>
          </w:p>
        </w:tc>
        <w:tc>
          <w:tcPr>
            <w:tcW w:w="391" w:type="pct"/>
            <w:vMerge w:val="continue"/>
            <w:vAlign w:val="center"/>
          </w:tcPr>
          <w:p w14:paraId="275E6BAB">
            <w:pPr>
              <w:adjustRightInd w:val="0"/>
              <w:snapToGrid w:val="0"/>
              <w:jc w:val="center"/>
              <w:rPr>
                <w:rFonts w:ascii="Times New Roman" w:eastAsia="仿宋"/>
                <w:szCs w:val="24"/>
              </w:rPr>
            </w:pPr>
          </w:p>
        </w:tc>
        <w:tc>
          <w:tcPr>
            <w:tcW w:w="305" w:type="pct"/>
            <w:vMerge w:val="continue"/>
            <w:vAlign w:val="center"/>
          </w:tcPr>
          <w:p w14:paraId="1559D090">
            <w:pPr>
              <w:adjustRightInd w:val="0"/>
              <w:snapToGrid w:val="0"/>
              <w:jc w:val="center"/>
              <w:rPr>
                <w:rFonts w:ascii="Times New Roman" w:eastAsia="仿宋"/>
                <w:szCs w:val="24"/>
              </w:rPr>
            </w:pPr>
          </w:p>
        </w:tc>
        <w:tc>
          <w:tcPr>
            <w:tcW w:w="355" w:type="pct"/>
            <w:shd w:val="clear" w:color="auto" w:fill="auto"/>
            <w:vAlign w:val="center"/>
          </w:tcPr>
          <w:p w14:paraId="5BF39B3D">
            <w:pPr>
              <w:adjustRightInd w:val="0"/>
              <w:snapToGrid w:val="0"/>
              <w:jc w:val="center"/>
              <w:rPr>
                <w:rFonts w:ascii="Times New Roman" w:eastAsia="仿宋"/>
                <w:szCs w:val="24"/>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309" w:type="pct"/>
            <w:shd w:val="clear" w:color="auto" w:fill="auto"/>
            <w:vAlign w:val="center"/>
          </w:tcPr>
          <w:p w14:paraId="1D25C83F">
            <w:pPr>
              <w:widowControl/>
              <w:jc w:val="center"/>
              <w:textAlignment w:val="center"/>
              <w:rPr>
                <w:rFonts w:ascii="Times New Roman" w:eastAsia="仿宋"/>
                <w:szCs w:val="24"/>
              </w:rPr>
            </w:pPr>
            <w:r>
              <w:rPr>
                <w:rFonts w:ascii="Times New Roman" w:eastAsia="仿宋"/>
                <w:szCs w:val="24"/>
              </w:rPr>
              <w:t>4.8</w:t>
            </w:r>
          </w:p>
        </w:tc>
        <w:tc>
          <w:tcPr>
            <w:tcW w:w="291" w:type="pct"/>
            <w:shd w:val="clear" w:color="auto" w:fill="auto"/>
            <w:vAlign w:val="center"/>
          </w:tcPr>
          <w:p w14:paraId="37D497A4">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295" w:type="pct"/>
            <w:shd w:val="clear" w:color="auto" w:fill="auto"/>
            <w:vAlign w:val="center"/>
          </w:tcPr>
          <w:p w14:paraId="3761BE40">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448</w:t>
            </w:r>
          </w:p>
        </w:tc>
        <w:tc>
          <w:tcPr>
            <w:tcW w:w="346" w:type="pct"/>
            <w:vMerge w:val="continue"/>
            <w:vAlign w:val="center"/>
          </w:tcPr>
          <w:p w14:paraId="7F926BF0">
            <w:pPr>
              <w:widowControl/>
              <w:jc w:val="center"/>
              <w:rPr>
                <w:rFonts w:ascii="Times New Roman" w:eastAsia="仿宋"/>
                <w:szCs w:val="24"/>
              </w:rPr>
            </w:pPr>
          </w:p>
        </w:tc>
        <w:tc>
          <w:tcPr>
            <w:tcW w:w="244" w:type="pct"/>
            <w:vMerge w:val="continue"/>
            <w:vAlign w:val="center"/>
          </w:tcPr>
          <w:p w14:paraId="4333C7E8">
            <w:pPr>
              <w:widowControl/>
              <w:jc w:val="center"/>
              <w:rPr>
                <w:rFonts w:ascii="Times New Roman" w:eastAsia="仿宋"/>
                <w:szCs w:val="24"/>
              </w:rPr>
            </w:pPr>
          </w:p>
        </w:tc>
        <w:tc>
          <w:tcPr>
            <w:tcW w:w="356" w:type="pct"/>
            <w:vAlign w:val="center"/>
          </w:tcPr>
          <w:p w14:paraId="206E8590">
            <w:pPr>
              <w:widowControl/>
              <w:jc w:val="center"/>
              <w:rPr>
                <w:rFonts w:ascii="Times New Roman" w:eastAsia="仿宋"/>
                <w:szCs w:val="24"/>
              </w:rPr>
            </w:pPr>
            <w:r>
              <w:rPr>
                <w:rFonts w:hint="eastAsia" w:ascii="Times New Roman" w:eastAsia="仿宋"/>
                <w:szCs w:val="24"/>
              </w:rPr>
              <w:t>/</w:t>
            </w:r>
          </w:p>
        </w:tc>
        <w:tc>
          <w:tcPr>
            <w:tcW w:w="364" w:type="pct"/>
            <w:vAlign w:val="center"/>
          </w:tcPr>
          <w:p w14:paraId="68FABFB9">
            <w:pPr>
              <w:widowControl/>
              <w:jc w:val="center"/>
              <w:rPr>
                <w:rFonts w:ascii="Times New Roman" w:eastAsia="仿宋"/>
                <w:szCs w:val="24"/>
              </w:rPr>
            </w:pPr>
            <w:r>
              <w:rPr>
                <w:rFonts w:hint="eastAsia" w:ascii="Times New Roman" w:eastAsia="仿宋"/>
                <w:szCs w:val="24"/>
              </w:rPr>
              <w:t>/</w:t>
            </w:r>
          </w:p>
        </w:tc>
        <w:tc>
          <w:tcPr>
            <w:tcW w:w="364" w:type="pct"/>
            <w:vAlign w:val="center"/>
          </w:tcPr>
          <w:p w14:paraId="30E7AC2A">
            <w:pPr>
              <w:widowControl/>
              <w:jc w:val="center"/>
              <w:rPr>
                <w:rFonts w:ascii="Times New Roman" w:eastAsia="仿宋"/>
                <w:szCs w:val="24"/>
              </w:rPr>
            </w:pPr>
            <w:r>
              <w:rPr>
                <w:rFonts w:hint="eastAsia" w:ascii="Times New Roman" w:eastAsia="仿宋"/>
                <w:szCs w:val="24"/>
              </w:rPr>
              <w:t>/</w:t>
            </w:r>
          </w:p>
        </w:tc>
        <w:tc>
          <w:tcPr>
            <w:tcW w:w="288" w:type="pct"/>
            <w:vAlign w:val="center"/>
          </w:tcPr>
          <w:p w14:paraId="2C0C971D">
            <w:pPr>
              <w:widowControl/>
              <w:jc w:val="center"/>
              <w:rPr>
                <w:rFonts w:ascii="Times New Roman" w:eastAsia="仿宋"/>
                <w:szCs w:val="24"/>
              </w:rPr>
            </w:pPr>
            <w:r>
              <w:rPr>
                <w:rFonts w:hint="eastAsia" w:ascii="Times New Roman" w:eastAsia="仿宋"/>
                <w:szCs w:val="24"/>
              </w:rPr>
              <w:t>/</w:t>
            </w:r>
          </w:p>
        </w:tc>
        <w:tc>
          <w:tcPr>
            <w:tcW w:w="270" w:type="pct"/>
            <w:vAlign w:val="center"/>
          </w:tcPr>
          <w:p w14:paraId="5A4529B8">
            <w:pPr>
              <w:widowControl/>
              <w:jc w:val="center"/>
              <w:rPr>
                <w:rFonts w:ascii="Times New Roman" w:eastAsia="仿宋"/>
                <w:szCs w:val="24"/>
              </w:rPr>
            </w:pPr>
            <w:r>
              <w:rPr>
                <w:rFonts w:hint="eastAsia" w:ascii="Times New Roman" w:eastAsia="仿宋"/>
                <w:szCs w:val="24"/>
              </w:rPr>
              <w:t>/</w:t>
            </w:r>
          </w:p>
        </w:tc>
        <w:tc>
          <w:tcPr>
            <w:tcW w:w="364" w:type="pct"/>
            <w:vAlign w:val="center"/>
          </w:tcPr>
          <w:p w14:paraId="52A63631">
            <w:pPr>
              <w:widowControl/>
              <w:jc w:val="center"/>
              <w:rPr>
                <w:rFonts w:ascii="Times New Roman" w:eastAsia="仿宋"/>
                <w:szCs w:val="24"/>
              </w:rPr>
            </w:pPr>
            <w:r>
              <w:rPr>
                <w:rFonts w:hint="eastAsia" w:ascii="Times New Roman" w:eastAsia="仿宋"/>
                <w:szCs w:val="24"/>
              </w:rPr>
              <w:t>/</w:t>
            </w:r>
          </w:p>
        </w:tc>
        <w:tc>
          <w:tcPr>
            <w:tcW w:w="288" w:type="pct"/>
            <w:vAlign w:val="center"/>
          </w:tcPr>
          <w:p w14:paraId="6D5B5A06">
            <w:pPr>
              <w:widowControl/>
              <w:jc w:val="center"/>
              <w:rPr>
                <w:rFonts w:ascii="Times New Roman" w:eastAsia="仿宋"/>
                <w:szCs w:val="24"/>
              </w:rPr>
            </w:pPr>
            <w:r>
              <w:rPr>
                <w:rFonts w:hint="eastAsia" w:ascii="Times New Roman" w:eastAsia="仿宋"/>
                <w:szCs w:val="24"/>
              </w:rPr>
              <w:t>/</w:t>
            </w:r>
          </w:p>
        </w:tc>
      </w:tr>
      <w:tr w14:paraId="0EB7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vAlign w:val="center"/>
          </w:tcPr>
          <w:p w14:paraId="24293B66">
            <w:pPr>
              <w:widowControl/>
              <w:jc w:val="center"/>
              <w:rPr>
                <w:rFonts w:ascii="Times New Roman" w:eastAsia="仿宋"/>
                <w:szCs w:val="24"/>
              </w:rPr>
            </w:pPr>
          </w:p>
        </w:tc>
        <w:tc>
          <w:tcPr>
            <w:tcW w:w="391" w:type="pct"/>
            <w:vMerge w:val="continue"/>
            <w:vAlign w:val="center"/>
          </w:tcPr>
          <w:p w14:paraId="534B76B8">
            <w:pPr>
              <w:adjustRightInd w:val="0"/>
              <w:snapToGrid w:val="0"/>
              <w:jc w:val="center"/>
              <w:rPr>
                <w:rFonts w:ascii="Times New Roman" w:eastAsia="仿宋"/>
                <w:szCs w:val="24"/>
              </w:rPr>
            </w:pPr>
          </w:p>
        </w:tc>
        <w:tc>
          <w:tcPr>
            <w:tcW w:w="305" w:type="pct"/>
            <w:vMerge w:val="continue"/>
            <w:vAlign w:val="center"/>
          </w:tcPr>
          <w:p w14:paraId="603B2941">
            <w:pPr>
              <w:adjustRightInd w:val="0"/>
              <w:snapToGrid w:val="0"/>
              <w:jc w:val="center"/>
              <w:rPr>
                <w:rFonts w:ascii="Times New Roman" w:eastAsia="仿宋"/>
                <w:szCs w:val="24"/>
              </w:rPr>
            </w:pPr>
          </w:p>
        </w:tc>
        <w:tc>
          <w:tcPr>
            <w:tcW w:w="355" w:type="pct"/>
            <w:shd w:val="clear" w:color="auto" w:fill="auto"/>
            <w:vAlign w:val="center"/>
          </w:tcPr>
          <w:p w14:paraId="4D515F47">
            <w:pPr>
              <w:adjustRightInd w:val="0"/>
              <w:snapToGrid w:val="0"/>
              <w:jc w:val="center"/>
              <w:rPr>
                <w:rFonts w:ascii="Times New Roman" w:eastAsia="仿宋"/>
                <w:szCs w:val="24"/>
              </w:rPr>
            </w:pPr>
            <w:r>
              <w:rPr>
                <w:rFonts w:hint="eastAsia" w:ascii="Times New Roman" w:eastAsia="仿宋"/>
                <w:szCs w:val="24"/>
              </w:rPr>
              <w:t>颗粒物</w:t>
            </w:r>
          </w:p>
        </w:tc>
        <w:tc>
          <w:tcPr>
            <w:tcW w:w="309" w:type="pct"/>
            <w:shd w:val="clear" w:color="auto" w:fill="auto"/>
            <w:vAlign w:val="center"/>
          </w:tcPr>
          <w:p w14:paraId="74375AA2">
            <w:pPr>
              <w:widowControl/>
              <w:jc w:val="center"/>
              <w:textAlignment w:val="center"/>
              <w:rPr>
                <w:rFonts w:ascii="Times New Roman" w:eastAsia="仿宋"/>
                <w:szCs w:val="24"/>
              </w:rPr>
            </w:pPr>
            <w:r>
              <w:rPr>
                <w:rFonts w:hint="eastAsia" w:ascii="Times New Roman" w:eastAsia="仿宋"/>
                <w:szCs w:val="24"/>
              </w:rPr>
              <w:t>0.67</w:t>
            </w:r>
          </w:p>
        </w:tc>
        <w:tc>
          <w:tcPr>
            <w:tcW w:w="291" w:type="pct"/>
            <w:shd w:val="clear" w:color="auto" w:fill="auto"/>
            <w:vAlign w:val="center"/>
          </w:tcPr>
          <w:p w14:paraId="23736B7F">
            <w:pPr>
              <w:widowControl/>
              <w:jc w:val="center"/>
              <w:textAlignment w:val="center"/>
              <w:rPr>
                <w:rFonts w:ascii="Times New Roman" w:eastAsia="仿宋"/>
                <w:szCs w:val="24"/>
              </w:rPr>
            </w:pPr>
            <w:r>
              <w:rPr>
                <w:rFonts w:hint="eastAsia" w:ascii="Times New Roman" w:eastAsia="仿宋"/>
                <w:szCs w:val="24"/>
              </w:rPr>
              <w:t>0.014</w:t>
            </w:r>
          </w:p>
        </w:tc>
        <w:tc>
          <w:tcPr>
            <w:tcW w:w="295" w:type="pct"/>
            <w:shd w:val="clear" w:color="auto" w:fill="auto"/>
            <w:vAlign w:val="center"/>
          </w:tcPr>
          <w:p w14:paraId="66F6E861">
            <w:pPr>
              <w:widowControl/>
              <w:jc w:val="center"/>
              <w:textAlignment w:val="center"/>
              <w:rPr>
                <w:rFonts w:ascii="Times New Roman" w:eastAsia="仿宋"/>
                <w:szCs w:val="24"/>
              </w:rPr>
            </w:pPr>
            <w:r>
              <w:rPr>
                <w:rFonts w:hint="eastAsia" w:ascii="Times New Roman" w:eastAsia="仿宋"/>
                <w:szCs w:val="24"/>
              </w:rPr>
              <w:t>0.068</w:t>
            </w:r>
          </w:p>
        </w:tc>
        <w:tc>
          <w:tcPr>
            <w:tcW w:w="346" w:type="pct"/>
            <w:vMerge w:val="continue"/>
            <w:vAlign w:val="center"/>
          </w:tcPr>
          <w:p w14:paraId="54D3945E">
            <w:pPr>
              <w:widowControl/>
              <w:jc w:val="center"/>
              <w:rPr>
                <w:rFonts w:ascii="Times New Roman" w:eastAsia="仿宋"/>
                <w:szCs w:val="24"/>
              </w:rPr>
            </w:pPr>
          </w:p>
        </w:tc>
        <w:tc>
          <w:tcPr>
            <w:tcW w:w="244" w:type="pct"/>
            <w:vMerge w:val="continue"/>
            <w:vAlign w:val="center"/>
          </w:tcPr>
          <w:p w14:paraId="09287819">
            <w:pPr>
              <w:widowControl/>
              <w:jc w:val="center"/>
              <w:rPr>
                <w:rFonts w:ascii="Times New Roman" w:eastAsia="仿宋"/>
                <w:szCs w:val="24"/>
              </w:rPr>
            </w:pPr>
          </w:p>
        </w:tc>
        <w:tc>
          <w:tcPr>
            <w:tcW w:w="356" w:type="pct"/>
            <w:vAlign w:val="center"/>
          </w:tcPr>
          <w:p w14:paraId="0656D2BF">
            <w:pPr>
              <w:widowControl/>
              <w:jc w:val="center"/>
              <w:rPr>
                <w:rFonts w:ascii="Times New Roman" w:eastAsia="仿宋"/>
                <w:szCs w:val="24"/>
              </w:rPr>
            </w:pPr>
            <w:r>
              <w:rPr>
                <w:rFonts w:hint="eastAsia" w:ascii="Times New Roman" w:eastAsia="仿宋"/>
                <w:szCs w:val="24"/>
              </w:rPr>
              <w:t>/</w:t>
            </w:r>
          </w:p>
        </w:tc>
        <w:tc>
          <w:tcPr>
            <w:tcW w:w="364" w:type="pct"/>
            <w:vAlign w:val="center"/>
          </w:tcPr>
          <w:p w14:paraId="21422FC0">
            <w:pPr>
              <w:widowControl/>
              <w:jc w:val="center"/>
              <w:rPr>
                <w:rFonts w:ascii="Times New Roman" w:eastAsia="仿宋"/>
                <w:szCs w:val="24"/>
              </w:rPr>
            </w:pPr>
            <w:r>
              <w:rPr>
                <w:rFonts w:hint="eastAsia" w:ascii="Times New Roman" w:eastAsia="仿宋"/>
                <w:szCs w:val="24"/>
              </w:rPr>
              <w:t>/</w:t>
            </w:r>
          </w:p>
        </w:tc>
        <w:tc>
          <w:tcPr>
            <w:tcW w:w="364" w:type="pct"/>
            <w:vAlign w:val="center"/>
          </w:tcPr>
          <w:p w14:paraId="6E6D6746">
            <w:pPr>
              <w:widowControl/>
              <w:jc w:val="center"/>
              <w:rPr>
                <w:rFonts w:ascii="Times New Roman" w:eastAsia="仿宋"/>
                <w:szCs w:val="24"/>
              </w:rPr>
            </w:pPr>
            <w:r>
              <w:rPr>
                <w:rFonts w:hint="eastAsia" w:ascii="Times New Roman" w:eastAsia="仿宋"/>
                <w:szCs w:val="24"/>
              </w:rPr>
              <w:t>/</w:t>
            </w:r>
          </w:p>
        </w:tc>
        <w:tc>
          <w:tcPr>
            <w:tcW w:w="288" w:type="pct"/>
            <w:vAlign w:val="center"/>
          </w:tcPr>
          <w:p w14:paraId="6C3B04D8">
            <w:pPr>
              <w:widowControl/>
              <w:jc w:val="center"/>
              <w:rPr>
                <w:rFonts w:ascii="Times New Roman" w:eastAsia="仿宋"/>
                <w:szCs w:val="24"/>
              </w:rPr>
            </w:pPr>
            <w:r>
              <w:rPr>
                <w:rFonts w:hint="eastAsia" w:ascii="Times New Roman" w:eastAsia="仿宋"/>
                <w:szCs w:val="24"/>
              </w:rPr>
              <w:t>/</w:t>
            </w:r>
          </w:p>
        </w:tc>
        <w:tc>
          <w:tcPr>
            <w:tcW w:w="270" w:type="pct"/>
            <w:vAlign w:val="center"/>
          </w:tcPr>
          <w:p w14:paraId="13626BFE">
            <w:pPr>
              <w:widowControl/>
              <w:jc w:val="center"/>
              <w:rPr>
                <w:rFonts w:ascii="Times New Roman" w:eastAsia="仿宋"/>
                <w:szCs w:val="24"/>
              </w:rPr>
            </w:pPr>
            <w:r>
              <w:rPr>
                <w:rFonts w:hint="eastAsia" w:ascii="Times New Roman" w:eastAsia="仿宋"/>
                <w:szCs w:val="24"/>
              </w:rPr>
              <w:t>/</w:t>
            </w:r>
          </w:p>
        </w:tc>
        <w:tc>
          <w:tcPr>
            <w:tcW w:w="364" w:type="pct"/>
            <w:vAlign w:val="center"/>
          </w:tcPr>
          <w:p w14:paraId="5D58D0DA">
            <w:pPr>
              <w:widowControl/>
              <w:jc w:val="center"/>
              <w:rPr>
                <w:rFonts w:ascii="Times New Roman" w:eastAsia="仿宋"/>
                <w:szCs w:val="24"/>
              </w:rPr>
            </w:pPr>
            <w:r>
              <w:rPr>
                <w:rFonts w:hint="eastAsia" w:ascii="Times New Roman" w:eastAsia="仿宋"/>
                <w:szCs w:val="24"/>
              </w:rPr>
              <w:t>/</w:t>
            </w:r>
          </w:p>
        </w:tc>
        <w:tc>
          <w:tcPr>
            <w:tcW w:w="288" w:type="pct"/>
            <w:vAlign w:val="center"/>
          </w:tcPr>
          <w:p w14:paraId="31484C4E">
            <w:pPr>
              <w:widowControl/>
              <w:jc w:val="center"/>
              <w:rPr>
                <w:rFonts w:ascii="Times New Roman" w:eastAsia="仿宋"/>
                <w:szCs w:val="24"/>
              </w:rPr>
            </w:pPr>
            <w:r>
              <w:rPr>
                <w:rFonts w:hint="eastAsia" w:ascii="Times New Roman" w:eastAsia="仿宋"/>
                <w:szCs w:val="24"/>
              </w:rPr>
              <w:t>/</w:t>
            </w:r>
          </w:p>
        </w:tc>
      </w:tr>
      <w:tr w14:paraId="5539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Align w:val="center"/>
          </w:tcPr>
          <w:p w14:paraId="3EBDB3BF">
            <w:pPr>
              <w:widowControl/>
              <w:jc w:val="center"/>
              <w:rPr>
                <w:rFonts w:ascii="Times New Roman" w:eastAsia="仿宋"/>
                <w:szCs w:val="24"/>
              </w:rPr>
            </w:pPr>
            <w:r>
              <w:rPr>
                <w:rFonts w:hint="eastAsia" w:ascii="Times New Roman" w:eastAsia="仿宋"/>
                <w:szCs w:val="24"/>
              </w:rPr>
              <w:t>5#</w:t>
            </w:r>
          </w:p>
        </w:tc>
        <w:tc>
          <w:tcPr>
            <w:tcW w:w="391" w:type="pct"/>
            <w:shd w:val="clear" w:color="auto" w:fill="auto"/>
            <w:vAlign w:val="center"/>
          </w:tcPr>
          <w:p w14:paraId="77A85040">
            <w:pPr>
              <w:adjustRightInd w:val="0"/>
              <w:snapToGrid w:val="0"/>
              <w:jc w:val="center"/>
              <w:rPr>
                <w:rFonts w:ascii="Times New Roman" w:eastAsia="仿宋"/>
                <w:szCs w:val="24"/>
              </w:rPr>
            </w:pPr>
            <w:r>
              <w:rPr>
                <w:rFonts w:hint="eastAsia" w:ascii="Times New Roman" w:eastAsia="仿宋"/>
                <w:szCs w:val="24"/>
              </w:rPr>
              <w:t>喷塑粉尘G6</w:t>
            </w:r>
          </w:p>
        </w:tc>
        <w:tc>
          <w:tcPr>
            <w:tcW w:w="305" w:type="pct"/>
            <w:vAlign w:val="center"/>
          </w:tcPr>
          <w:p w14:paraId="725148BD">
            <w:pPr>
              <w:adjustRightInd w:val="0"/>
              <w:snapToGrid w:val="0"/>
              <w:jc w:val="center"/>
              <w:rPr>
                <w:rFonts w:ascii="Times New Roman" w:eastAsia="仿宋"/>
                <w:szCs w:val="24"/>
              </w:rPr>
            </w:pPr>
            <w:r>
              <w:rPr>
                <w:rFonts w:ascii="Times New Roman" w:eastAsia="仿宋"/>
                <w:szCs w:val="24"/>
              </w:rPr>
              <w:t>20</w:t>
            </w:r>
            <w:r>
              <w:rPr>
                <w:rFonts w:hint="eastAsia" w:ascii="Times New Roman" w:eastAsia="仿宋"/>
                <w:szCs w:val="24"/>
              </w:rPr>
              <w:t>000</w:t>
            </w:r>
          </w:p>
        </w:tc>
        <w:tc>
          <w:tcPr>
            <w:tcW w:w="355" w:type="pct"/>
            <w:shd w:val="clear" w:color="auto" w:fill="auto"/>
            <w:vAlign w:val="center"/>
          </w:tcPr>
          <w:p w14:paraId="0CE05E9E">
            <w:pPr>
              <w:adjustRightInd w:val="0"/>
              <w:snapToGrid w:val="0"/>
              <w:jc w:val="center"/>
              <w:rPr>
                <w:rFonts w:ascii="Times New Roman" w:eastAsia="仿宋"/>
                <w:szCs w:val="24"/>
              </w:rPr>
            </w:pPr>
            <w:r>
              <w:rPr>
                <w:rFonts w:hint="eastAsia" w:ascii="Times New Roman" w:eastAsia="仿宋"/>
                <w:szCs w:val="24"/>
              </w:rPr>
              <w:t>颗粒物</w:t>
            </w:r>
          </w:p>
        </w:tc>
        <w:tc>
          <w:tcPr>
            <w:tcW w:w="309" w:type="pct"/>
            <w:shd w:val="clear" w:color="auto" w:fill="auto"/>
            <w:vAlign w:val="center"/>
          </w:tcPr>
          <w:p w14:paraId="7ED6FC60">
            <w:pPr>
              <w:adjustRightInd w:val="0"/>
              <w:snapToGrid w:val="0"/>
              <w:jc w:val="center"/>
              <w:rPr>
                <w:rFonts w:ascii="Times New Roman" w:eastAsia="仿宋"/>
                <w:szCs w:val="24"/>
              </w:rPr>
            </w:pPr>
            <w:r>
              <w:rPr>
                <w:rFonts w:ascii="Times New Roman" w:eastAsia="仿宋"/>
                <w:szCs w:val="24"/>
              </w:rPr>
              <w:t>139.5</w:t>
            </w:r>
          </w:p>
        </w:tc>
        <w:tc>
          <w:tcPr>
            <w:tcW w:w="291" w:type="pct"/>
            <w:shd w:val="clear" w:color="auto" w:fill="auto"/>
            <w:vAlign w:val="center"/>
          </w:tcPr>
          <w:p w14:paraId="36346A84">
            <w:pPr>
              <w:adjustRightInd w:val="0"/>
              <w:snapToGrid w:val="0"/>
              <w:jc w:val="center"/>
              <w:rPr>
                <w:rFonts w:ascii="Times New Roman" w:eastAsia="仿宋"/>
                <w:szCs w:val="24"/>
              </w:rPr>
            </w:pPr>
            <w:r>
              <w:rPr>
                <w:rFonts w:hint="eastAsia" w:ascii="Times New Roman" w:eastAsia="仿宋"/>
                <w:szCs w:val="24"/>
              </w:rPr>
              <w:t>2.79</w:t>
            </w:r>
          </w:p>
        </w:tc>
        <w:tc>
          <w:tcPr>
            <w:tcW w:w="295" w:type="pct"/>
            <w:shd w:val="clear" w:color="auto" w:fill="auto"/>
            <w:vAlign w:val="center"/>
          </w:tcPr>
          <w:p w14:paraId="1D376006">
            <w:pPr>
              <w:adjustRightInd w:val="0"/>
              <w:snapToGrid w:val="0"/>
              <w:jc w:val="center"/>
              <w:rPr>
                <w:rFonts w:ascii="Times New Roman" w:eastAsia="仿宋"/>
                <w:szCs w:val="24"/>
              </w:rPr>
            </w:pPr>
            <w:r>
              <w:rPr>
                <w:rFonts w:hint="eastAsia" w:ascii="Times New Roman" w:eastAsia="仿宋"/>
                <w:szCs w:val="24"/>
              </w:rPr>
              <w:t>13.37</w:t>
            </w:r>
          </w:p>
        </w:tc>
        <w:tc>
          <w:tcPr>
            <w:tcW w:w="346" w:type="pct"/>
            <w:vAlign w:val="center"/>
          </w:tcPr>
          <w:p w14:paraId="6F8CDCB8">
            <w:pPr>
              <w:widowControl/>
              <w:jc w:val="center"/>
              <w:rPr>
                <w:rFonts w:ascii="Times New Roman" w:eastAsia="仿宋"/>
                <w:szCs w:val="24"/>
              </w:rPr>
            </w:pPr>
            <w:r>
              <w:rPr>
                <w:rFonts w:hint="eastAsia" w:ascii="Times New Roman" w:eastAsia="仿宋"/>
                <w:szCs w:val="24"/>
              </w:rPr>
              <w:t>滤筒除尘器</w:t>
            </w:r>
          </w:p>
        </w:tc>
        <w:tc>
          <w:tcPr>
            <w:tcW w:w="244" w:type="pct"/>
            <w:vAlign w:val="center"/>
          </w:tcPr>
          <w:p w14:paraId="1A6E354A">
            <w:pPr>
              <w:widowControl/>
              <w:jc w:val="center"/>
              <w:rPr>
                <w:rFonts w:ascii="Times New Roman" w:eastAsia="仿宋"/>
                <w:szCs w:val="24"/>
              </w:rPr>
            </w:pPr>
            <w:r>
              <w:rPr>
                <w:rFonts w:hint="eastAsia" w:ascii="Times New Roman" w:eastAsia="仿宋"/>
                <w:szCs w:val="24"/>
              </w:rPr>
              <w:t>95</w:t>
            </w:r>
          </w:p>
        </w:tc>
        <w:tc>
          <w:tcPr>
            <w:tcW w:w="356" w:type="pct"/>
            <w:vAlign w:val="center"/>
          </w:tcPr>
          <w:p w14:paraId="495CF17B">
            <w:pPr>
              <w:widowControl/>
              <w:jc w:val="center"/>
              <w:rPr>
                <w:rFonts w:ascii="Times New Roman" w:eastAsia="仿宋"/>
                <w:szCs w:val="24"/>
              </w:rPr>
            </w:pPr>
            <w:r>
              <w:rPr>
                <w:rFonts w:hint="eastAsia" w:ascii="Times New Roman" w:eastAsia="仿宋"/>
                <w:szCs w:val="24"/>
              </w:rPr>
              <w:t>颗粒物</w:t>
            </w:r>
          </w:p>
        </w:tc>
        <w:tc>
          <w:tcPr>
            <w:tcW w:w="728" w:type="pct"/>
            <w:gridSpan w:val="2"/>
            <w:vAlign w:val="center"/>
          </w:tcPr>
          <w:p w14:paraId="412B393F">
            <w:pPr>
              <w:widowControl/>
              <w:jc w:val="center"/>
              <w:rPr>
                <w:rFonts w:ascii="Times New Roman" w:eastAsia="仿宋"/>
                <w:szCs w:val="24"/>
              </w:rPr>
            </w:pPr>
            <w:r>
              <w:rPr>
                <w:rFonts w:hint="eastAsia" w:ascii="Times New Roman" w:eastAsia="仿宋"/>
                <w:szCs w:val="24"/>
              </w:rPr>
              <w:t>7</w:t>
            </w:r>
          </w:p>
        </w:tc>
        <w:tc>
          <w:tcPr>
            <w:tcW w:w="288" w:type="pct"/>
            <w:vAlign w:val="center"/>
          </w:tcPr>
          <w:p w14:paraId="20780ED7">
            <w:pPr>
              <w:widowControl/>
              <w:jc w:val="center"/>
              <w:rPr>
                <w:rFonts w:ascii="Times New Roman" w:eastAsia="仿宋"/>
                <w:szCs w:val="24"/>
              </w:rPr>
            </w:pPr>
            <w:r>
              <w:rPr>
                <w:rFonts w:hint="eastAsia" w:ascii="Times New Roman" w:eastAsia="仿宋"/>
                <w:szCs w:val="24"/>
              </w:rPr>
              <w:t>0.14</w:t>
            </w:r>
          </w:p>
        </w:tc>
        <w:tc>
          <w:tcPr>
            <w:tcW w:w="270" w:type="pct"/>
            <w:vAlign w:val="center"/>
          </w:tcPr>
          <w:p w14:paraId="39036A4F">
            <w:pPr>
              <w:widowControl/>
              <w:jc w:val="center"/>
              <w:rPr>
                <w:rFonts w:ascii="Times New Roman" w:eastAsia="仿宋"/>
                <w:szCs w:val="24"/>
              </w:rPr>
            </w:pPr>
            <w:r>
              <w:rPr>
                <w:rFonts w:hint="eastAsia" w:ascii="Times New Roman" w:eastAsia="仿宋"/>
                <w:szCs w:val="24"/>
              </w:rPr>
              <w:t>0.67</w:t>
            </w:r>
          </w:p>
        </w:tc>
        <w:tc>
          <w:tcPr>
            <w:tcW w:w="364" w:type="pct"/>
            <w:vAlign w:val="center"/>
          </w:tcPr>
          <w:p w14:paraId="5BF997E6">
            <w:pPr>
              <w:widowControl/>
              <w:jc w:val="center"/>
              <w:rPr>
                <w:rFonts w:ascii="Times New Roman" w:eastAsia="仿宋"/>
                <w:szCs w:val="24"/>
              </w:rPr>
            </w:pPr>
            <w:r>
              <w:rPr>
                <w:rFonts w:ascii="Times New Roman" w:eastAsia="仿宋"/>
                <w:szCs w:val="21"/>
              </w:rPr>
              <w:t>10</w:t>
            </w:r>
          </w:p>
        </w:tc>
        <w:tc>
          <w:tcPr>
            <w:tcW w:w="288" w:type="pct"/>
            <w:vAlign w:val="center"/>
          </w:tcPr>
          <w:p w14:paraId="630AF17D">
            <w:pPr>
              <w:widowControl/>
              <w:jc w:val="center"/>
              <w:rPr>
                <w:rFonts w:ascii="Times New Roman" w:eastAsia="仿宋"/>
                <w:szCs w:val="24"/>
              </w:rPr>
            </w:pPr>
            <w:r>
              <w:rPr>
                <w:rFonts w:ascii="Times New Roman" w:eastAsia="仿宋"/>
                <w:szCs w:val="21"/>
              </w:rPr>
              <w:t>0.6</w:t>
            </w:r>
          </w:p>
        </w:tc>
      </w:tr>
      <w:bookmarkEnd w:id="228"/>
      <w:bookmarkEnd w:id="229"/>
    </w:tbl>
    <w:p w14:paraId="7D81FBCF">
      <w:pPr>
        <w:spacing w:line="340" w:lineRule="exact"/>
        <w:ind w:firstLine="229" w:firstLineChars="95"/>
        <w:rPr>
          <w:rFonts w:ascii="Times New Roman" w:eastAsia="仿宋"/>
          <w:b/>
          <w:szCs w:val="21"/>
        </w:rPr>
      </w:pPr>
      <w:r>
        <w:rPr>
          <w:rFonts w:hint="eastAsia" w:ascii="Times New Roman" w:eastAsia="仿宋"/>
          <w:b/>
          <w:szCs w:val="21"/>
        </w:rPr>
        <w:t>注：</w:t>
      </w:r>
      <w:r>
        <w:rPr>
          <w:rFonts w:ascii="Times New Roman" w:eastAsia="仿宋"/>
          <w:b/>
          <w:szCs w:val="21"/>
        </w:rPr>
        <w:t>根据废气装置设计单位提供资料，实测干烟气含氧量为10%</w:t>
      </w:r>
    </w:p>
    <w:p w14:paraId="0BF53541">
      <w:pPr>
        <w:pStyle w:val="2"/>
      </w:pPr>
    </w:p>
    <w:p w14:paraId="59EB2072">
      <w:pPr>
        <w:pStyle w:val="2"/>
        <w:sectPr>
          <w:footerReference r:id="rId14" w:type="default"/>
          <w:pgSz w:w="16840" w:h="11907" w:orient="landscape"/>
          <w:pgMar w:top="1797" w:right="1440" w:bottom="1797" w:left="1440" w:header="851" w:footer="992" w:gutter="0"/>
          <w:cols w:space="720" w:num="1"/>
          <w:docGrid w:linePitch="312" w:charSpace="0"/>
        </w:sectPr>
      </w:pPr>
    </w:p>
    <w:p w14:paraId="4323FF34">
      <w:pPr>
        <w:adjustRightInd w:val="0"/>
        <w:spacing w:line="500" w:lineRule="exact"/>
        <w:ind w:firstLine="560" w:firstLineChars="200"/>
        <w:rPr>
          <w:rFonts w:ascii="Times New Roman" w:eastAsia="仿宋"/>
          <w:sz w:val="28"/>
          <w:szCs w:val="28"/>
        </w:rPr>
      </w:pPr>
      <w:r>
        <w:rPr>
          <w:rFonts w:ascii="Times New Roman" w:eastAsia="仿宋"/>
          <w:sz w:val="28"/>
          <w:szCs w:val="28"/>
        </w:rPr>
        <w:t>（2）无组织废气</w:t>
      </w:r>
    </w:p>
    <w:p w14:paraId="60C5E2C1">
      <w:pPr>
        <w:spacing w:line="500" w:lineRule="exact"/>
        <w:jc w:val="center"/>
        <w:rPr>
          <w:rFonts w:ascii="Times New Roman" w:eastAsia="仿宋"/>
          <w:b/>
          <w:bCs/>
        </w:rPr>
      </w:pPr>
      <w:r>
        <w:rPr>
          <w:rFonts w:ascii="Times New Roman" w:eastAsia="仿宋"/>
          <w:b/>
          <w:bCs/>
        </w:rPr>
        <w:t>表3.5-3  本项目无组织废气排放源强表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475"/>
        <w:gridCol w:w="1209"/>
        <w:gridCol w:w="941"/>
        <w:gridCol w:w="1091"/>
        <w:gridCol w:w="996"/>
        <w:gridCol w:w="1017"/>
      </w:tblGrid>
      <w:tr w14:paraId="7D30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Align w:val="center"/>
          </w:tcPr>
          <w:p w14:paraId="147839FB">
            <w:pPr>
              <w:adjustRightInd w:val="0"/>
              <w:snapToGrid w:val="0"/>
              <w:jc w:val="center"/>
              <w:rPr>
                <w:rFonts w:ascii="Times New Roman" w:eastAsia="仿宋"/>
                <w:szCs w:val="24"/>
              </w:rPr>
            </w:pPr>
            <w:r>
              <w:rPr>
                <w:rFonts w:ascii="Times New Roman" w:eastAsia="仿宋"/>
                <w:szCs w:val="24"/>
              </w:rPr>
              <w:t>污染源位置</w:t>
            </w:r>
          </w:p>
        </w:tc>
        <w:tc>
          <w:tcPr>
            <w:tcW w:w="1475" w:type="dxa"/>
            <w:vAlign w:val="center"/>
          </w:tcPr>
          <w:p w14:paraId="10A52CC3">
            <w:pPr>
              <w:adjustRightInd w:val="0"/>
              <w:snapToGrid w:val="0"/>
              <w:jc w:val="center"/>
              <w:rPr>
                <w:rFonts w:ascii="Times New Roman" w:eastAsia="仿宋"/>
                <w:szCs w:val="24"/>
              </w:rPr>
            </w:pPr>
            <w:r>
              <w:rPr>
                <w:rFonts w:ascii="Times New Roman" w:eastAsia="仿宋"/>
                <w:szCs w:val="24"/>
              </w:rPr>
              <w:t>污染物名称</w:t>
            </w:r>
          </w:p>
        </w:tc>
        <w:tc>
          <w:tcPr>
            <w:tcW w:w="1209" w:type="dxa"/>
            <w:vAlign w:val="center"/>
          </w:tcPr>
          <w:p w14:paraId="7C993E9E">
            <w:pPr>
              <w:adjustRightInd w:val="0"/>
              <w:snapToGrid w:val="0"/>
              <w:jc w:val="center"/>
              <w:rPr>
                <w:rFonts w:ascii="Times New Roman" w:eastAsia="仿宋"/>
                <w:szCs w:val="24"/>
              </w:rPr>
            </w:pPr>
            <w:r>
              <w:rPr>
                <w:rFonts w:ascii="Times New Roman" w:eastAsia="仿宋"/>
                <w:szCs w:val="24"/>
              </w:rPr>
              <w:t>污染物</w:t>
            </w:r>
            <w:r>
              <w:rPr>
                <w:rFonts w:hint="eastAsia" w:ascii="Times New Roman" w:eastAsia="仿宋"/>
                <w:szCs w:val="24"/>
              </w:rPr>
              <w:t>种类</w:t>
            </w:r>
          </w:p>
        </w:tc>
        <w:tc>
          <w:tcPr>
            <w:tcW w:w="941" w:type="dxa"/>
            <w:vAlign w:val="center"/>
          </w:tcPr>
          <w:p w14:paraId="0A7961C9">
            <w:pPr>
              <w:adjustRightInd w:val="0"/>
              <w:snapToGrid w:val="0"/>
              <w:jc w:val="center"/>
              <w:rPr>
                <w:rFonts w:ascii="Times New Roman" w:eastAsia="仿宋"/>
                <w:szCs w:val="24"/>
              </w:rPr>
            </w:pPr>
            <w:r>
              <w:rPr>
                <w:rFonts w:ascii="Times New Roman" w:eastAsia="仿宋"/>
                <w:szCs w:val="24"/>
              </w:rPr>
              <w:t>污染物产生量(t/a)</w:t>
            </w:r>
          </w:p>
        </w:tc>
        <w:tc>
          <w:tcPr>
            <w:tcW w:w="1091" w:type="dxa"/>
            <w:vAlign w:val="center"/>
          </w:tcPr>
          <w:p w14:paraId="6FA81915">
            <w:pPr>
              <w:adjustRightInd w:val="0"/>
              <w:snapToGrid w:val="0"/>
              <w:jc w:val="center"/>
              <w:rPr>
                <w:rFonts w:ascii="Times New Roman" w:eastAsia="仿宋"/>
                <w:szCs w:val="24"/>
              </w:rPr>
            </w:pPr>
            <w:r>
              <w:rPr>
                <w:rFonts w:hint="eastAsia" w:ascii="Times New Roman" w:eastAsia="仿宋"/>
                <w:szCs w:val="24"/>
              </w:rPr>
              <w:t>污染物排放量（t/a）</w:t>
            </w:r>
          </w:p>
        </w:tc>
        <w:tc>
          <w:tcPr>
            <w:tcW w:w="996" w:type="dxa"/>
            <w:vAlign w:val="center"/>
          </w:tcPr>
          <w:p w14:paraId="5C21A2F6">
            <w:pPr>
              <w:adjustRightInd w:val="0"/>
              <w:snapToGrid w:val="0"/>
              <w:jc w:val="center"/>
              <w:rPr>
                <w:rFonts w:ascii="Times New Roman" w:eastAsia="仿宋"/>
                <w:szCs w:val="24"/>
              </w:rPr>
            </w:pPr>
            <w:r>
              <w:rPr>
                <w:rFonts w:ascii="Times New Roman" w:eastAsia="仿宋"/>
                <w:szCs w:val="24"/>
              </w:rPr>
              <w:t>面源面积(m</w:t>
            </w:r>
            <w:r>
              <w:rPr>
                <w:rFonts w:ascii="Times New Roman" w:eastAsia="仿宋"/>
                <w:szCs w:val="24"/>
                <w:vertAlign w:val="superscript"/>
              </w:rPr>
              <w:t>2</w:t>
            </w:r>
            <w:r>
              <w:rPr>
                <w:rFonts w:ascii="Times New Roman" w:eastAsia="仿宋"/>
                <w:szCs w:val="24"/>
              </w:rPr>
              <w:t>)</w:t>
            </w:r>
          </w:p>
        </w:tc>
        <w:tc>
          <w:tcPr>
            <w:tcW w:w="1017" w:type="dxa"/>
            <w:vAlign w:val="center"/>
          </w:tcPr>
          <w:p w14:paraId="4E793CB7">
            <w:pPr>
              <w:adjustRightInd w:val="0"/>
              <w:snapToGrid w:val="0"/>
              <w:jc w:val="center"/>
              <w:rPr>
                <w:rFonts w:ascii="Times New Roman" w:eastAsia="仿宋"/>
                <w:szCs w:val="24"/>
              </w:rPr>
            </w:pPr>
            <w:r>
              <w:rPr>
                <w:rFonts w:ascii="Times New Roman" w:eastAsia="仿宋"/>
                <w:szCs w:val="24"/>
              </w:rPr>
              <w:t>面源高度(m)</w:t>
            </w:r>
          </w:p>
        </w:tc>
      </w:tr>
      <w:tr w14:paraId="08BE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Align w:val="center"/>
          </w:tcPr>
          <w:p w14:paraId="237EC253">
            <w:pPr>
              <w:spacing w:line="280" w:lineRule="exact"/>
              <w:jc w:val="center"/>
              <w:rPr>
                <w:rFonts w:ascii="Times New Roman" w:hAnsi="等线" w:eastAsia="仿宋"/>
                <w:kern w:val="2"/>
                <w:szCs w:val="21"/>
              </w:rPr>
            </w:pPr>
            <w:r>
              <w:rPr>
                <w:rFonts w:hint="eastAsia" w:ascii="Times New Roman" w:hAnsi="等线" w:eastAsia="仿宋"/>
                <w:kern w:val="2"/>
                <w:szCs w:val="21"/>
              </w:rPr>
              <w:t>1号钣金车间</w:t>
            </w:r>
          </w:p>
        </w:tc>
        <w:tc>
          <w:tcPr>
            <w:tcW w:w="1475" w:type="dxa"/>
            <w:vAlign w:val="center"/>
          </w:tcPr>
          <w:p w14:paraId="6E9109BB">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焊接烟尘G1-1</w:t>
            </w:r>
          </w:p>
        </w:tc>
        <w:tc>
          <w:tcPr>
            <w:tcW w:w="1209" w:type="dxa"/>
            <w:vAlign w:val="center"/>
          </w:tcPr>
          <w:p w14:paraId="382D6DFC">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016546E8">
            <w:pPr>
              <w:spacing w:line="280" w:lineRule="exact"/>
              <w:jc w:val="center"/>
              <w:rPr>
                <w:rFonts w:ascii="Times New Roman" w:hAnsi="等线" w:eastAsia="仿宋"/>
                <w:kern w:val="2"/>
                <w:szCs w:val="21"/>
              </w:rPr>
            </w:pPr>
            <w:r>
              <w:rPr>
                <w:rFonts w:hint="eastAsia" w:ascii="Times New Roman" w:hAnsi="等线" w:eastAsia="仿宋"/>
                <w:kern w:val="2"/>
                <w:szCs w:val="21"/>
              </w:rPr>
              <w:t>0.018</w:t>
            </w:r>
          </w:p>
        </w:tc>
        <w:tc>
          <w:tcPr>
            <w:tcW w:w="1091" w:type="dxa"/>
            <w:vAlign w:val="center"/>
          </w:tcPr>
          <w:p w14:paraId="57FD7B1B">
            <w:pPr>
              <w:spacing w:line="280" w:lineRule="exact"/>
              <w:jc w:val="center"/>
              <w:rPr>
                <w:rFonts w:ascii="Times New Roman" w:hAnsi="等线" w:eastAsia="仿宋"/>
                <w:kern w:val="2"/>
                <w:szCs w:val="21"/>
              </w:rPr>
            </w:pPr>
            <w:r>
              <w:rPr>
                <w:rFonts w:hint="eastAsia" w:ascii="Times New Roman" w:hAnsi="等线" w:eastAsia="仿宋"/>
                <w:kern w:val="2"/>
                <w:szCs w:val="21"/>
              </w:rPr>
              <w:t>0.01</w:t>
            </w:r>
          </w:p>
        </w:tc>
        <w:tc>
          <w:tcPr>
            <w:tcW w:w="996" w:type="dxa"/>
            <w:vAlign w:val="center"/>
          </w:tcPr>
          <w:p w14:paraId="52812994">
            <w:pPr>
              <w:adjustRightInd w:val="0"/>
              <w:snapToGrid w:val="0"/>
              <w:jc w:val="center"/>
              <w:rPr>
                <w:rFonts w:ascii="Times New Roman" w:eastAsia="仿宋"/>
                <w:szCs w:val="24"/>
              </w:rPr>
            </w:pPr>
            <w:r>
              <w:rPr>
                <w:rFonts w:hint="eastAsia" w:ascii="Times New Roman" w:eastAsia="仿宋"/>
                <w:szCs w:val="24"/>
              </w:rPr>
              <w:t>3257.83</w:t>
            </w:r>
          </w:p>
        </w:tc>
        <w:tc>
          <w:tcPr>
            <w:tcW w:w="1017" w:type="dxa"/>
            <w:vAlign w:val="center"/>
          </w:tcPr>
          <w:p w14:paraId="7B481976">
            <w:pPr>
              <w:adjustRightInd w:val="0"/>
              <w:snapToGrid w:val="0"/>
              <w:jc w:val="center"/>
              <w:rPr>
                <w:rFonts w:ascii="Times New Roman" w:eastAsia="仿宋"/>
                <w:szCs w:val="24"/>
              </w:rPr>
            </w:pPr>
            <w:r>
              <w:rPr>
                <w:rFonts w:hint="eastAsia" w:ascii="Times New Roman" w:eastAsia="仿宋"/>
                <w:szCs w:val="24"/>
              </w:rPr>
              <w:t>10</w:t>
            </w:r>
          </w:p>
        </w:tc>
      </w:tr>
      <w:tr w14:paraId="51CD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restart"/>
            <w:shd w:val="clear" w:color="auto" w:fill="auto"/>
            <w:vAlign w:val="center"/>
          </w:tcPr>
          <w:p w14:paraId="2109B17B">
            <w:pPr>
              <w:spacing w:line="280" w:lineRule="exact"/>
              <w:jc w:val="center"/>
              <w:rPr>
                <w:rFonts w:ascii="Times New Roman" w:hAnsi="等线" w:eastAsia="仿宋"/>
                <w:kern w:val="2"/>
                <w:szCs w:val="21"/>
              </w:rPr>
            </w:pPr>
            <w:r>
              <w:rPr>
                <w:rFonts w:hint="eastAsia" w:ascii="Times New Roman" w:hAnsi="等线" w:eastAsia="仿宋"/>
                <w:kern w:val="2"/>
                <w:szCs w:val="21"/>
              </w:rPr>
              <w:t>2号钣金车间</w:t>
            </w:r>
          </w:p>
        </w:tc>
        <w:tc>
          <w:tcPr>
            <w:tcW w:w="1475" w:type="dxa"/>
            <w:vAlign w:val="center"/>
          </w:tcPr>
          <w:p w14:paraId="3AB33F61">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焊接烟尘G1-2</w:t>
            </w:r>
          </w:p>
        </w:tc>
        <w:tc>
          <w:tcPr>
            <w:tcW w:w="1209" w:type="dxa"/>
            <w:vAlign w:val="center"/>
          </w:tcPr>
          <w:p w14:paraId="1794B8E2">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673AE0BD">
            <w:pPr>
              <w:spacing w:line="280" w:lineRule="exact"/>
              <w:jc w:val="center"/>
              <w:rPr>
                <w:rFonts w:ascii="Times New Roman" w:hAnsi="等线" w:eastAsia="仿宋"/>
                <w:kern w:val="2"/>
                <w:szCs w:val="21"/>
              </w:rPr>
            </w:pPr>
            <w:r>
              <w:rPr>
                <w:rFonts w:hint="eastAsia" w:ascii="Times New Roman" w:hAnsi="等线" w:eastAsia="仿宋"/>
                <w:kern w:val="2"/>
                <w:szCs w:val="21"/>
              </w:rPr>
              <w:t>0.014</w:t>
            </w:r>
          </w:p>
        </w:tc>
        <w:tc>
          <w:tcPr>
            <w:tcW w:w="1091" w:type="dxa"/>
            <w:vAlign w:val="center"/>
          </w:tcPr>
          <w:p w14:paraId="2EC187AA">
            <w:pPr>
              <w:spacing w:line="280" w:lineRule="exact"/>
              <w:jc w:val="center"/>
              <w:rPr>
                <w:rFonts w:ascii="Times New Roman" w:hAnsi="等线" w:eastAsia="仿宋"/>
                <w:kern w:val="2"/>
                <w:szCs w:val="21"/>
              </w:rPr>
            </w:pPr>
            <w:r>
              <w:rPr>
                <w:rFonts w:hint="eastAsia" w:ascii="Times New Roman" w:hAnsi="等线" w:eastAsia="仿宋"/>
                <w:kern w:val="2"/>
                <w:szCs w:val="21"/>
              </w:rPr>
              <w:t>0.006</w:t>
            </w:r>
          </w:p>
        </w:tc>
        <w:tc>
          <w:tcPr>
            <w:tcW w:w="996" w:type="dxa"/>
            <w:vMerge w:val="restart"/>
            <w:vAlign w:val="center"/>
          </w:tcPr>
          <w:p w14:paraId="2E1D8345">
            <w:pPr>
              <w:adjustRightInd w:val="0"/>
              <w:snapToGrid w:val="0"/>
              <w:jc w:val="center"/>
              <w:rPr>
                <w:rFonts w:ascii="Times New Roman" w:eastAsia="仿宋"/>
                <w:szCs w:val="24"/>
              </w:rPr>
            </w:pPr>
            <w:r>
              <w:rPr>
                <w:rFonts w:hint="eastAsia" w:ascii="Times New Roman" w:eastAsia="仿宋"/>
                <w:szCs w:val="24"/>
              </w:rPr>
              <w:t>3257.83</w:t>
            </w:r>
          </w:p>
        </w:tc>
        <w:tc>
          <w:tcPr>
            <w:tcW w:w="1017" w:type="dxa"/>
            <w:vMerge w:val="restart"/>
            <w:vAlign w:val="center"/>
          </w:tcPr>
          <w:p w14:paraId="7F707A37">
            <w:pPr>
              <w:adjustRightInd w:val="0"/>
              <w:snapToGrid w:val="0"/>
              <w:jc w:val="center"/>
              <w:rPr>
                <w:rFonts w:ascii="Times New Roman" w:eastAsia="仿宋"/>
                <w:szCs w:val="24"/>
              </w:rPr>
            </w:pPr>
            <w:r>
              <w:rPr>
                <w:rFonts w:hint="eastAsia" w:ascii="Times New Roman" w:eastAsia="仿宋"/>
                <w:szCs w:val="24"/>
              </w:rPr>
              <w:t>10</w:t>
            </w:r>
          </w:p>
        </w:tc>
      </w:tr>
      <w:tr w14:paraId="0436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shd w:val="clear" w:color="auto" w:fill="auto"/>
            <w:vAlign w:val="center"/>
          </w:tcPr>
          <w:p w14:paraId="392B8CF2">
            <w:pPr>
              <w:spacing w:line="280" w:lineRule="exact"/>
              <w:jc w:val="center"/>
              <w:rPr>
                <w:rFonts w:ascii="Times New Roman" w:hAnsi="等线" w:eastAsia="仿宋"/>
                <w:kern w:val="2"/>
                <w:szCs w:val="21"/>
              </w:rPr>
            </w:pPr>
          </w:p>
        </w:tc>
        <w:tc>
          <w:tcPr>
            <w:tcW w:w="1475" w:type="dxa"/>
            <w:shd w:val="clear" w:color="auto" w:fill="auto"/>
            <w:vAlign w:val="center"/>
          </w:tcPr>
          <w:p w14:paraId="0BE80231">
            <w:pPr>
              <w:spacing w:line="280" w:lineRule="exact"/>
              <w:jc w:val="center"/>
              <w:rPr>
                <w:rFonts w:ascii="Times New Roman" w:hAnsi="等线" w:eastAsia="仿宋"/>
                <w:kern w:val="2"/>
                <w:szCs w:val="21"/>
              </w:rPr>
            </w:pPr>
            <w:r>
              <w:rPr>
                <w:rFonts w:hint="eastAsia" w:ascii="Times New Roman" w:hAnsi="等线" w:eastAsia="仿宋"/>
                <w:kern w:val="2"/>
                <w:szCs w:val="21"/>
              </w:rPr>
              <w:t>未收集的抛光粉尘G</w:t>
            </w:r>
            <w:r>
              <w:rPr>
                <w:rFonts w:ascii="Times New Roman" w:hAnsi="等线" w:eastAsia="仿宋"/>
                <w:kern w:val="2"/>
                <w:szCs w:val="21"/>
              </w:rPr>
              <w:t>2</w:t>
            </w:r>
          </w:p>
        </w:tc>
        <w:tc>
          <w:tcPr>
            <w:tcW w:w="1209" w:type="dxa"/>
            <w:shd w:val="clear" w:color="auto" w:fill="auto"/>
            <w:vAlign w:val="center"/>
          </w:tcPr>
          <w:p w14:paraId="67F0A9A1">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shd w:val="clear" w:color="auto" w:fill="auto"/>
            <w:vAlign w:val="center"/>
          </w:tcPr>
          <w:p w14:paraId="51041594">
            <w:pPr>
              <w:adjustRightInd w:val="0"/>
              <w:snapToGrid w:val="0"/>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1091" w:type="dxa"/>
            <w:shd w:val="clear" w:color="auto" w:fill="auto"/>
            <w:vAlign w:val="center"/>
          </w:tcPr>
          <w:p w14:paraId="1E74E4C6">
            <w:pPr>
              <w:adjustRightInd w:val="0"/>
              <w:snapToGrid w:val="0"/>
              <w:spacing w:line="280" w:lineRule="exact"/>
              <w:jc w:val="center"/>
              <w:rPr>
                <w:rFonts w:ascii="Times New Roman" w:hAnsi="等线" w:eastAsia="仿宋"/>
                <w:kern w:val="2"/>
                <w:szCs w:val="21"/>
              </w:rPr>
            </w:pPr>
            <w:r>
              <w:rPr>
                <w:rFonts w:hint="eastAsia" w:ascii="Times New Roman" w:hAnsi="等线" w:eastAsia="仿宋"/>
                <w:kern w:val="2"/>
                <w:szCs w:val="21"/>
              </w:rPr>
              <w:t>0</w:t>
            </w:r>
            <w:r>
              <w:rPr>
                <w:rFonts w:ascii="Times New Roman" w:hAnsi="等线" w:eastAsia="仿宋"/>
                <w:kern w:val="2"/>
                <w:szCs w:val="21"/>
              </w:rPr>
              <w:t>.01</w:t>
            </w:r>
          </w:p>
        </w:tc>
        <w:tc>
          <w:tcPr>
            <w:tcW w:w="996" w:type="dxa"/>
            <w:vMerge w:val="continue"/>
            <w:shd w:val="clear" w:color="auto" w:fill="auto"/>
            <w:vAlign w:val="center"/>
          </w:tcPr>
          <w:p w14:paraId="409E90A2">
            <w:pPr>
              <w:pStyle w:val="35"/>
              <w:jc w:val="center"/>
              <w:rPr>
                <w:rFonts w:eastAsia="仿宋"/>
                <w:kern w:val="0"/>
                <w:sz w:val="24"/>
              </w:rPr>
            </w:pPr>
          </w:p>
        </w:tc>
        <w:tc>
          <w:tcPr>
            <w:tcW w:w="1017" w:type="dxa"/>
            <w:vMerge w:val="continue"/>
            <w:shd w:val="clear" w:color="auto" w:fill="auto"/>
            <w:vAlign w:val="center"/>
          </w:tcPr>
          <w:p w14:paraId="26CD4C83">
            <w:pPr>
              <w:pStyle w:val="35"/>
              <w:jc w:val="center"/>
              <w:rPr>
                <w:rFonts w:eastAsia="仿宋"/>
                <w:kern w:val="0"/>
                <w:sz w:val="24"/>
              </w:rPr>
            </w:pPr>
          </w:p>
        </w:tc>
      </w:tr>
      <w:tr w14:paraId="5A45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shd w:val="clear" w:color="auto" w:fill="auto"/>
            <w:vAlign w:val="center"/>
          </w:tcPr>
          <w:p w14:paraId="7B0D32A7">
            <w:pPr>
              <w:spacing w:line="280" w:lineRule="exact"/>
              <w:jc w:val="center"/>
              <w:rPr>
                <w:rFonts w:ascii="Times New Roman" w:hAnsi="等线" w:eastAsia="仿宋"/>
                <w:kern w:val="2"/>
                <w:szCs w:val="21"/>
              </w:rPr>
            </w:pPr>
            <w:r>
              <w:rPr>
                <w:rFonts w:hint="eastAsia" w:ascii="Times New Roman" w:hAnsi="等线" w:eastAsia="仿宋"/>
                <w:kern w:val="2"/>
                <w:szCs w:val="21"/>
              </w:rPr>
              <w:t>4号钣金车间</w:t>
            </w:r>
          </w:p>
        </w:tc>
        <w:tc>
          <w:tcPr>
            <w:tcW w:w="1475" w:type="dxa"/>
            <w:vAlign w:val="center"/>
          </w:tcPr>
          <w:p w14:paraId="18095AA5">
            <w:pPr>
              <w:spacing w:line="280" w:lineRule="exact"/>
              <w:jc w:val="center"/>
              <w:rPr>
                <w:rFonts w:ascii="Times New Roman" w:hAnsi="等线" w:eastAsia="仿宋"/>
                <w:kern w:val="2"/>
                <w:szCs w:val="21"/>
              </w:rPr>
            </w:pPr>
            <w:r>
              <w:rPr>
                <w:rFonts w:hint="eastAsia" w:ascii="Times New Roman" w:hAnsi="等线" w:eastAsia="仿宋"/>
                <w:kern w:val="2"/>
                <w:szCs w:val="21"/>
              </w:rPr>
              <w:t>焊接烟尘G1-3</w:t>
            </w:r>
          </w:p>
        </w:tc>
        <w:tc>
          <w:tcPr>
            <w:tcW w:w="1209" w:type="dxa"/>
            <w:vAlign w:val="center"/>
          </w:tcPr>
          <w:p w14:paraId="39214985">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657F4B8F">
            <w:pPr>
              <w:spacing w:line="280" w:lineRule="exact"/>
              <w:jc w:val="center"/>
              <w:rPr>
                <w:rFonts w:ascii="Times New Roman" w:hAnsi="等线" w:eastAsia="仿宋"/>
                <w:kern w:val="2"/>
                <w:szCs w:val="21"/>
              </w:rPr>
            </w:pPr>
            <w:r>
              <w:rPr>
                <w:rFonts w:hint="eastAsia" w:ascii="Times New Roman" w:hAnsi="等线" w:eastAsia="仿宋"/>
                <w:kern w:val="2"/>
                <w:szCs w:val="21"/>
              </w:rPr>
              <w:t>0.018</w:t>
            </w:r>
          </w:p>
        </w:tc>
        <w:tc>
          <w:tcPr>
            <w:tcW w:w="1091" w:type="dxa"/>
            <w:vAlign w:val="center"/>
          </w:tcPr>
          <w:p w14:paraId="040395BE">
            <w:pPr>
              <w:adjustRightInd w:val="0"/>
              <w:snapToGrid w:val="0"/>
              <w:jc w:val="center"/>
              <w:rPr>
                <w:rFonts w:ascii="Times New Roman" w:eastAsia="仿宋"/>
                <w:szCs w:val="24"/>
              </w:rPr>
            </w:pPr>
            <w:r>
              <w:rPr>
                <w:rFonts w:hint="eastAsia" w:ascii="Times New Roman" w:eastAsia="仿宋"/>
                <w:szCs w:val="24"/>
              </w:rPr>
              <w:t>0.01</w:t>
            </w:r>
          </w:p>
        </w:tc>
        <w:tc>
          <w:tcPr>
            <w:tcW w:w="996" w:type="dxa"/>
            <w:vAlign w:val="center"/>
          </w:tcPr>
          <w:p w14:paraId="64263B7D">
            <w:pPr>
              <w:adjustRightInd w:val="0"/>
              <w:snapToGrid w:val="0"/>
              <w:jc w:val="center"/>
              <w:rPr>
                <w:rFonts w:ascii="Times New Roman" w:eastAsia="仿宋"/>
                <w:szCs w:val="24"/>
              </w:rPr>
            </w:pPr>
            <w:r>
              <w:rPr>
                <w:rFonts w:hint="eastAsia" w:ascii="Times New Roman" w:eastAsia="仿宋"/>
                <w:szCs w:val="24"/>
              </w:rPr>
              <w:t>4826.84</w:t>
            </w:r>
          </w:p>
        </w:tc>
        <w:tc>
          <w:tcPr>
            <w:tcW w:w="1017" w:type="dxa"/>
            <w:vAlign w:val="center"/>
          </w:tcPr>
          <w:p w14:paraId="33832018">
            <w:pPr>
              <w:adjustRightInd w:val="0"/>
              <w:snapToGrid w:val="0"/>
              <w:jc w:val="center"/>
              <w:rPr>
                <w:rFonts w:ascii="Times New Roman" w:eastAsia="仿宋"/>
                <w:szCs w:val="24"/>
              </w:rPr>
            </w:pPr>
            <w:r>
              <w:rPr>
                <w:rFonts w:hint="eastAsia" w:ascii="Times New Roman" w:eastAsia="仿宋"/>
                <w:szCs w:val="24"/>
              </w:rPr>
              <w:t>10</w:t>
            </w:r>
          </w:p>
        </w:tc>
      </w:tr>
      <w:tr w14:paraId="42ED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restart"/>
            <w:vAlign w:val="center"/>
          </w:tcPr>
          <w:p w14:paraId="366084C8">
            <w:pPr>
              <w:spacing w:line="280" w:lineRule="exact"/>
              <w:jc w:val="center"/>
            </w:pPr>
            <w:r>
              <w:rPr>
                <w:rFonts w:hint="eastAsia" w:ascii="Times New Roman" w:hAnsi="等线" w:eastAsia="仿宋"/>
                <w:kern w:val="2"/>
                <w:szCs w:val="21"/>
              </w:rPr>
              <w:t>3号喷涂车间</w:t>
            </w:r>
          </w:p>
        </w:tc>
        <w:tc>
          <w:tcPr>
            <w:tcW w:w="1475" w:type="dxa"/>
            <w:vAlign w:val="center"/>
          </w:tcPr>
          <w:p w14:paraId="1EE2C370">
            <w:pPr>
              <w:spacing w:line="280" w:lineRule="exact"/>
              <w:jc w:val="center"/>
              <w:rPr>
                <w:rFonts w:ascii="Times New Roman" w:hAnsi="等线" w:eastAsia="仿宋"/>
                <w:kern w:val="2"/>
                <w:szCs w:val="21"/>
              </w:rPr>
            </w:pPr>
            <w:r>
              <w:rPr>
                <w:rFonts w:hint="eastAsia" w:ascii="Times New Roman" w:hAnsi="等线" w:eastAsia="仿宋"/>
                <w:kern w:val="2"/>
                <w:szCs w:val="21"/>
              </w:rPr>
              <w:t>未收集的钝化废气G4</w:t>
            </w:r>
          </w:p>
        </w:tc>
        <w:tc>
          <w:tcPr>
            <w:tcW w:w="1209" w:type="dxa"/>
            <w:vAlign w:val="center"/>
          </w:tcPr>
          <w:p w14:paraId="09D7F6E2">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6AA816EE">
            <w:pPr>
              <w:widowControl/>
              <w:jc w:val="center"/>
              <w:textAlignment w:val="center"/>
              <w:rPr>
                <w:rFonts w:ascii="Times New Roman" w:hAnsi="等线" w:eastAsia="仿宋"/>
                <w:kern w:val="2"/>
                <w:szCs w:val="21"/>
              </w:rPr>
            </w:pPr>
            <w:r>
              <w:rPr>
                <w:rFonts w:ascii="Times New Roman"/>
                <w:szCs w:val="24"/>
                <w:lang w:bidi="ar"/>
              </w:rPr>
              <w:t>0.87</w:t>
            </w:r>
          </w:p>
        </w:tc>
        <w:tc>
          <w:tcPr>
            <w:tcW w:w="1091" w:type="dxa"/>
            <w:vAlign w:val="center"/>
          </w:tcPr>
          <w:p w14:paraId="595BC254">
            <w:pPr>
              <w:widowControl/>
              <w:jc w:val="center"/>
              <w:textAlignment w:val="center"/>
              <w:rPr>
                <w:rFonts w:ascii="Times New Roman" w:hAnsi="等线" w:eastAsia="仿宋"/>
                <w:kern w:val="2"/>
                <w:szCs w:val="21"/>
              </w:rPr>
            </w:pPr>
            <w:r>
              <w:rPr>
                <w:rFonts w:ascii="Times New Roman"/>
                <w:szCs w:val="24"/>
                <w:lang w:bidi="ar"/>
              </w:rPr>
              <w:t>0.87</w:t>
            </w:r>
          </w:p>
        </w:tc>
        <w:tc>
          <w:tcPr>
            <w:tcW w:w="996" w:type="dxa"/>
            <w:vMerge w:val="restart"/>
            <w:vAlign w:val="center"/>
          </w:tcPr>
          <w:p w14:paraId="4D530D4D">
            <w:pPr>
              <w:spacing w:line="280" w:lineRule="exact"/>
              <w:jc w:val="center"/>
              <w:rPr>
                <w:rFonts w:ascii="Times New Roman" w:hAnsi="等线" w:eastAsia="仿宋"/>
                <w:kern w:val="2"/>
                <w:szCs w:val="21"/>
              </w:rPr>
            </w:pPr>
            <w:r>
              <w:rPr>
                <w:rFonts w:hint="eastAsia" w:ascii="Times New Roman" w:hAnsi="等线" w:eastAsia="仿宋"/>
                <w:kern w:val="2"/>
                <w:szCs w:val="21"/>
              </w:rPr>
              <w:t>3</w:t>
            </w:r>
            <w:r>
              <w:rPr>
                <w:rFonts w:ascii="Times New Roman" w:hAnsi="等线" w:eastAsia="仿宋"/>
                <w:kern w:val="2"/>
                <w:szCs w:val="21"/>
              </w:rPr>
              <w:t>257</w:t>
            </w:r>
            <w:r>
              <w:rPr>
                <w:rFonts w:hint="eastAsia" w:ascii="Times New Roman" w:hAnsi="等线" w:eastAsia="仿宋"/>
                <w:kern w:val="2"/>
                <w:szCs w:val="21"/>
              </w:rPr>
              <w:t>.83</w:t>
            </w:r>
          </w:p>
        </w:tc>
        <w:tc>
          <w:tcPr>
            <w:tcW w:w="1017" w:type="dxa"/>
            <w:vMerge w:val="restart"/>
            <w:vAlign w:val="center"/>
          </w:tcPr>
          <w:p w14:paraId="73942120">
            <w:pPr>
              <w:spacing w:line="280" w:lineRule="exact"/>
              <w:jc w:val="center"/>
              <w:rPr>
                <w:rFonts w:ascii="Times New Roman" w:hAnsi="等线" w:eastAsia="仿宋"/>
                <w:kern w:val="2"/>
                <w:szCs w:val="21"/>
              </w:rPr>
            </w:pPr>
            <w:r>
              <w:rPr>
                <w:rFonts w:hint="eastAsia" w:ascii="Times New Roman" w:hAnsi="等线" w:eastAsia="仿宋"/>
                <w:kern w:val="2"/>
                <w:szCs w:val="21"/>
              </w:rPr>
              <w:t>1</w:t>
            </w:r>
            <w:r>
              <w:rPr>
                <w:rFonts w:ascii="Times New Roman" w:hAnsi="等线" w:eastAsia="仿宋"/>
                <w:kern w:val="2"/>
                <w:szCs w:val="21"/>
              </w:rPr>
              <w:t>0</w:t>
            </w:r>
          </w:p>
        </w:tc>
      </w:tr>
      <w:tr w14:paraId="49EE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56BBE1E">
            <w:pPr>
              <w:pStyle w:val="35"/>
            </w:pPr>
          </w:p>
        </w:tc>
        <w:tc>
          <w:tcPr>
            <w:tcW w:w="1475" w:type="dxa"/>
            <w:vAlign w:val="center"/>
          </w:tcPr>
          <w:p w14:paraId="5DE0BABB">
            <w:pPr>
              <w:spacing w:line="280" w:lineRule="exact"/>
              <w:jc w:val="center"/>
              <w:rPr>
                <w:rFonts w:ascii="Times New Roman" w:hAnsi="等线" w:eastAsia="仿宋"/>
                <w:kern w:val="2"/>
                <w:szCs w:val="21"/>
              </w:rPr>
            </w:pPr>
            <w:r>
              <w:rPr>
                <w:rFonts w:hint="eastAsia" w:ascii="Times New Roman" w:hAnsi="等线" w:eastAsia="仿宋"/>
                <w:kern w:val="2"/>
                <w:szCs w:val="21"/>
              </w:rPr>
              <w:t>未收集的喷粉粉尘G6</w:t>
            </w:r>
          </w:p>
        </w:tc>
        <w:tc>
          <w:tcPr>
            <w:tcW w:w="1209" w:type="dxa"/>
            <w:vAlign w:val="center"/>
          </w:tcPr>
          <w:p w14:paraId="786DFDB7">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76E3746F">
            <w:pPr>
              <w:widowControl/>
              <w:jc w:val="center"/>
              <w:textAlignment w:val="center"/>
              <w:rPr>
                <w:rFonts w:ascii="Times New Roman" w:hAnsi="等线" w:eastAsia="仿宋"/>
                <w:kern w:val="2"/>
                <w:szCs w:val="21"/>
              </w:rPr>
            </w:pPr>
            <w:r>
              <w:rPr>
                <w:rFonts w:ascii="Times New Roman"/>
                <w:szCs w:val="24"/>
                <w:lang w:bidi="ar"/>
              </w:rPr>
              <w:t>0.13</w:t>
            </w:r>
          </w:p>
        </w:tc>
        <w:tc>
          <w:tcPr>
            <w:tcW w:w="1091" w:type="dxa"/>
            <w:vAlign w:val="center"/>
          </w:tcPr>
          <w:p w14:paraId="60CB43DB">
            <w:pPr>
              <w:widowControl/>
              <w:jc w:val="center"/>
              <w:textAlignment w:val="center"/>
              <w:rPr>
                <w:rFonts w:ascii="Times New Roman" w:hAnsi="等线" w:eastAsia="仿宋"/>
                <w:kern w:val="2"/>
                <w:szCs w:val="21"/>
              </w:rPr>
            </w:pPr>
            <w:r>
              <w:rPr>
                <w:rFonts w:ascii="Times New Roman"/>
                <w:szCs w:val="24"/>
                <w:lang w:bidi="ar"/>
              </w:rPr>
              <w:t>0.13</w:t>
            </w:r>
          </w:p>
        </w:tc>
        <w:tc>
          <w:tcPr>
            <w:tcW w:w="996" w:type="dxa"/>
            <w:vMerge w:val="continue"/>
            <w:vAlign w:val="center"/>
          </w:tcPr>
          <w:p w14:paraId="2A8049EE">
            <w:pPr>
              <w:pStyle w:val="35"/>
            </w:pPr>
          </w:p>
        </w:tc>
        <w:tc>
          <w:tcPr>
            <w:tcW w:w="1017" w:type="dxa"/>
            <w:vMerge w:val="continue"/>
            <w:vAlign w:val="center"/>
          </w:tcPr>
          <w:p w14:paraId="31E145F8">
            <w:pPr>
              <w:pStyle w:val="35"/>
            </w:pPr>
          </w:p>
        </w:tc>
      </w:tr>
      <w:tr w14:paraId="7874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4DDDF0F">
            <w:pPr>
              <w:pStyle w:val="35"/>
            </w:pPr>
          </w:p>
        </w:tc>
        <w:tc>
          <w:tcPr>
            <w:tcW w:w="1475" w:type="dxa"/>
            <w:vAlign w:val="center"/>
          </w:tcPr>
          <w:p w14:paraId="0BB96900">
            <w:pPr>
              <w:spacing w:line="280" w:lineRule="exact"/>
              <w:jc w:val="center"/>
              <w:rPr>
                <w:rFonts w:ascii="Times New Roman" w:hAnsi="等线" w:eastAsia="仿宋"/>
                <w:kern w:val="2"/>
                <w:szCs w:val="21"/>
              </w:rPr>
            </w:pPr>
            <w:r>
              <w:rPr>
                <w:rFonts w:hint="eastAsia" w:ascii="Times New Roman" w:hAnsi="等线" w:eastAsia="仿宋"/>
                <w:kern w:val="2"/>
                <w:szCs w:val="21"/>
              </w:rPr>
              <w:t>未收集的固化废气G7</w:t>
            </w:r>
          </w:p>
        </w:tc>
        <w:tc>
          <w:tcPr>
            <w:tcW w:w="1209" w:type="dxa"/>
            <w:vAlign w:val="center"/>
          </w:tcPr>
          <w:p w14:paraId="1F9D1469">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462CA598">
            <w:pPr>
              <w:widowControl/>
              <w:jc w:val="center"/>
              <w:textAlignment w:val="center"/>
              <w:rPr>
                <w:rFonts w:ascii="Times New Roman" w:hAnsi="等线" w:eastAsia="仿宋"/>
                <w:kern w:val="2"/>
                <w:szCs w:val="21"/>
              </w:rPr>
            </w:pPr>
            <w:r>
              <w:rPr>
                <w:rFonts w:ascii="Times New Roman"/>
                <w:szCs w:val="24"/>
                <w:lang w:bidi="ar"/>
              </w:rPr>
              <w:t>0.001</w:t>
            </w:r>
          </w:p>
        </w:tc>
        <w:tc>
          <w:tcPr>
            <w:tcW w:w="1091" w:type="dxa"/>
            <w:vAlign w:val="center"/>
          </w:tcPr>
          <w:p w14:paraId="16FE4FC6">
            <w:pPr>
              <w:widowControl/>
              <w:jc w:val="center"/>
              <w:textAlignment w:val="center"/>
              <w:rPr>
                <w:rFonts w:ascii="Times New Roman" w:hAnsi="等线" w:eastAsia="仿宋"/>
                <w:kern w:val="2"/>
                <w:szCs w:val="21"/>
              </w:rPr>
            </w:pPr>
            <w:r>
              <w:rPr>
                <w:rFonts w:ascii="Times New Roman"/>
                <w:szCs w:val="24"/>
                <w:lang w:bidi="ar"/>
              </w:rPr>
              <w:t>0.001</w:t>
            </w:r>
          </w:p>
        </w:tc>
        <w:tc>
          <w:tcPr>
            <w:tcW w:w="996" w:type="dxa"/>
            <w:vMerge w:val="continue"/>
            <w:vAlign w:val="center"/>
          </w:tcPr>
          <w:p w14:paraId="132FC0C9">
            <w:pPr>
              <w:pStyle w:val="35"/>
            </w:pPr>
          </w:p>
        </w:tc>
        <w:tc>
          <w:tcPr>
            <w:tcW w:w="1017" w:type="dxa"/>
            <w:vMerge w:val="continue"/>
            <w:vAlign w:val="center"/>
          </w:tcPr>
          <w:p w14:paraId="3732611F">
            <w:pPr>
              <w:pStyle w:val="35"/>
            </w:pPr>
          </w:p>
        </w:tc>
      </w:tr>
      <w:tr w14:paraId="0208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EE1DA43">
            <w:pPr>
              <w:pStyle w:val="35"/>
            </w:pPr>
          </w:p>
        </w:tc>
        <w:tc>
          <w:tcPr>
            <w:tcW w:w="1475" w:type="dxa"/>
            <w:vMerge w:val="restart"/>
            <w:vAlign w:val="center"/>
          </w:tcPr>
          <w:p w14:paraId="21D50AD2">
            <w:pPr>
              <w:spacing w:line="280" w:lineRule="exact"/>
              <w:jc w:val="center"/>
              <w:rPr>
                <w:rFonts w:ascii="Times New Roman" w:hAnsi="等线" w:eastAsia="仿宋"/>
                <w:kern w:val="2"/>
                <w:szCs w:val="21"/>
              </w:rPr>
            </w:pPr>
            <w:r>
              <w:rPr>
                <w:rFonts w:hint="eastAsia" w:ascii="Times New Roman" w:hAnsi="等线" w:eastAsia="仿宋"/>
                <w:kern w:val="2"/>
                <w:szCs w:val="21"/>
              </w:rPr>
              <w:t>未收集的调漆废气G9</w:t>
            </w:r>
          </w:p>
        </w:tc>
        <w:tc>
          <w:tcPr>
            <w:tcW w:w="1209" w:type="dxa"/>
            <w:vAlign w:val="center"/>
          </w:tcPr>
          <w:p w14:paraId="6EBEEB4B">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66B62E3D">
            <w:pPr>
              <w:widowControl/>
              <w:jc w:val="center"/>
              <w:textAlignment w:val="center"/>
              <w:rPr>
                <w:rFonts w:ascii="Times New Roman" w:hAnsi="等线" w:eastAsia="仿宋"/>
                <w:kern w:val="2"/>
                <w:szCs w:val="21"/>
              </w:rPr>
            </w:pPr>
            <w:r>
              <w:rPr>
                <w:rFonts w:ascii="Times New Roman"/>
                <w:szCs w:val="24"/>
                <w:lang w:bidi="ar"/>
              </w:rPr>
              <w:t>0.006</w:t>
            </w:r>
          </w:p>
        </w:tc>
        <w:tc>
          <w:tcPr>
            <w:tcW w:w="1091" w:type="dxa"/>
            <w:vAlign w:val="center"/>
          </w:tcPr>
          <w:p w14:paraId="278D89FD">
            <w:pPr>
              <w:widowControl/>
              <w:jc w:val="center"/>
              <w:textAlignment w:val="center"/>
              <w:rPr>
                <w:rFonts w:ascii="Times New Roman" w:hAnsi="等线" w:eastAsia="仿宋"/>
                <w:kern w:val="2"/>
                <w:szCs w:val="21"/>
              </w:rPr>
            </w:pPr>
            <w:r>
              <w:rPr>
                <w:rFonts w:ascii="Times New Roman"/>
                <w:szCs w:val="24"/>
                <w:lang w:bidi="ar"/>
              </w:rPr>
              <w:t>0.006</w:t>
            </w:r>
          </w:p>
        </w:tc>
        <w:tc>
          <w:tcPr>
            <w:tcW w:w="996" w:type="dxa"/>
            <w:vMerge w:val="continue"/>
            <w:vAlign w:val="center"/>
          </w:tcPr>
          <w:p w14:paraId="220D50A8">
            <w:pPr>
              <w:pStyle w:val="35"/>
            </w:pPr>
          </w:p>
        </w:tc>
        <w:tc>
          <w:tcPr>
            <w:tcW w:w="1017" w:type="dxa"/>
            <w:vMerge w:val="continue"/>
            <w:vAlign w:val="center"/>
          </w:tcPr>
          <w:p w14:paraId="465E9784">
            <w:pPr>
              <w:pStyle w:val="35"/>
            </w:pPr>
          </w:p>
        </w:tc>
      </w:tr>
      <w:tr w14:paraId="4361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3D381587">
            <w:pPr>
              <w:pStyle w:val="35"/>
            </w:pPr>
          </w:p>
        </w:tc>
        <w:tc>
          <w:tcPr>
            <w:tcW w:w="1475" w:type="dxa"/>
            <w:vMerge w:val="continue"/>
            <w:vAlign w:val="center"/>
          </w:tcPr>
          <w:p w14:paraId="53022134">
            <w:pPr>
              <w:spacing w:line="280" w:lineRule="exact"/>
              <w:jc w:val="center"/>
              <w:rPr>
                <w:rFonts w:ascii="Times New Roman" w:hAnsi="等线" w:eastAsia="仿宋"/>
                <w:kern w:val="2"/>
                <w:szCs w:val="21"/>
              </w:rPr>
            </w:pPr>
          </w:p>
        </w:tc>
        <w:tc>
          <w:tcPr>
            <w:tcW w:w="1209" w:type="dxa"/>
            <w:vAlign w:val="center"/>
          </w:tcPr>
          <w:p w14:paraId="271E39E1">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66C2CFA6">
            <w:pPr>
              <w:widowControl/>
              <w:jc w:val="center"/>
              <w:textAlignment w:val="center"/>
              <w:rPr>
                <w:rFonts w:ascii="Times New Roman" w:hAnsi="等线" w:eastAsia="仿宋"/>
                <w:kern w:val="2"/>
                <w:szCs w:val="21"/>
              </w:rPr>
            </w:pPr>
            <w:r>
              <w:rPr>
                <w:rFonts w:ascii="Times New Roman"/>
                <w:szCs w:val="24"/>
                <w:lang w:bidi="ar"/>
              </w:rPr>
              <w:t>0.003</w:t>
            </w:r>
          </w:p>
        </w:tc>
        <w:tc>
          <w:tcPr>
            <w:tcW w:w="1091" w:type="dxa"/>
            <w:vAlign w:val="center"/>
          </w:tcPr>
          <w:p w14:paraId="6201E2E2">
            <w:pPr>
              <w:widowControl/>
              <w:jc w:val="center"/>
              <w:textAlignment w:val="center"/>
              <w:rPr>
                <w:rFonts w:ascii="Times New Roman" w:hAnsi="等线" w:eastAsia="仿宋"/>
                <w:kern w:val="2"/>
                <w:szCs w:val="21"/>
              </w:rPr>
            </w:pPr>
            <w:r>
              <w:rPr>
                <w:rFonts w:ascii="Times New Roman"/>
                <w:szCs w:val="24"/>
                <w:lang w:bidi="ar"/>
              </w:rPr>
              <w:t>0.003</w:t>
            </w:r>
          </w:p>
        </w:tc>
        <w:tc>
          <w:tcPr>
            <w:tcW w:w="996" w:type="dxa"/>
            <w:vMerge w:val="continue"/>
            <w:vAlign w:val="center"/>
          </w:tcPr>
          <w:p w14:paraId="359D955A">
            <w:pPr>
              <w:pStyle w:val="35"/>
            </w:pPr>
          </w:p>
        </w:tc>
        <w:tc>
          <w:tcPr>
            <w:tcW w:w="1017" w:type="dxa"/>
            <w:vMerge w:val="continue"/>
            <w:vAlign w:val="center"/>
          </w:tcPr>
          <w:p w14:paraId="62DE3201">
            <w:pPr>
              <w:pStyle w:val="35"/>
            </w:pPr>
          </w:p>
        </w:tc>
      </w:tr>
      <w:tr w14:paraId="413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F96BE5B">
            <w:pPr>
              <w:pStyle w:val="35"/>
            </w:pPr>
          </w:p>
        </w:tc>
        <w:tc>
          <w:tcPr>
            <w:tcW w:w="1475" w:type="dxa"/>
            <w:vMerge w:val="continue"/>
            <w:vAlign w:val="center"/>
          </w:tcPr>
          <w:p w14:paraId="4ACAE6BD">
            <w:pPr>
              <w:spacing w:line="280" w:lineRule="exact"/>
              <w:jc w:val="center"/>
              <w:rPr>
                <w:rFonts w:ascii="Times New Roman" w:hAnsi="等线" w:eastAsia="仿宋"/>
                <w:kern w:val="2"/>
                <w:szCs w:val="21"/>
              </w:rPr>
            </w:pPr>
          </w:p>
        </w:tc>
        <w:tc>
          <w:tcPr>
            <w:tcW w:w="1209" w:type="dxa"/>
            <w:vAlign w:val="center"/>
          </w:tcPr>
          <w:p w14:paraId="4353E662">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181D44E8">
            <w:pPr>
              <w:widowControl/>
              <w:jc w:val="center"/>
              <w:textAlignment w:val="center"/>
              <w:rPr>
                <w:rFonts w:ascii="Times New Roman" w:hAnsi="等线" w:eastAsia="仿宋"/>
                <w:kern w:val="2"/>
                <w:szCs w:val="21"/>
              </w:rPr>
            </w:pPr>
            <w:r>
              <w:rPr>
                <w:rFonts w:ascii="Times New Roman"/>
                <w:szCs w:val="24"/>
                <w:lang w:bidi="ar"/>
              </w:rPr>
              <w:t>0.003</w:t>
            </w:r>
          </w:p>
        </w:tc>
        <w:tc>
          <w:tcPr>
            <w:tcW w:w="1091" w:type="dxa"/>
            <w:vAlign w:val="center"/>
          </w:tcPr>
          <w:p w14:paraId="13E3B8B1">
            <w:pPr>
              <w:widowControl/>
              <w:jc w:val="center"/>
              <w:textAlignment w:val="center"/>
              <w:rPr>
                <w:rFonts w:ascii="Times New Roman" w:hAnsi="等线" w:eastAsia="仿宋"/>
                <w:kern w:val="2"/>
                <w:szCs w:val="21"/>
              </w:rPr>
            </w:pPr>
            <w:r>
              <w:rPr>
                <w:rFonts w:ascii="Times New Roman"/>
                <w:szCs w:val="24"/>
                <w:lang w:bidi="ar"/>
              </w:rPr>
              <w:t>0.003</w:t>
            </w:r>
          </w:p>
        </w:tc>
        <w:tc>
          <w:tcPr>
            <w:tcW w:w="996" w:type="dxa"/>
            <w:vMerge w:val="continue"/>
            <w:vAlign w:val="center"/>
          </w:tcPr>
          <w:p w14:paraId="0CCB4170">
            <w:pPr>
              <w:pStyle w:val="35"/>
            </w:pPr>
          </w:p>
        </w:tc>
        <w:tc>
          <w:tcPr>
            <w:tcW w:w="1017" w:type="dxa"/>
            <w:vMerge w:val="continue"/>
            <w:vAlign w:val="center"/>
          </w:tcPr>
          <w:p w14:paraId="7EE7078C">
            <w:pPr>
              <w:pStyle w:val="35"/>
            </w:pPr>
          </w:p>
        </w:tc>
      </w:tr>
      <w:tr w14:paraId="5689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8E092F3">
            <w:pPr>
              <w:pStyle w:val="35"/>
            </w:pPr>
          </w:p>
        </w:tc>
        <w:tc>
          <w:tcPr>
            <w:tcW w:w="1475" w:type="dxa"/>
            <w:vMerge w:val="restart"/>
            <w:vAlign w:val="center"/>
          </w:tcPr>
          <w:p w14:paraId="73FE0D8F">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喷氟碳底漆喷漆废气G10</w:t>
            </w:r>
          </w:p>
        </w:tc>
        <w:tc>
          <w:tcPr>
            <w:tcW w:w="1209" w:type="dxa"/>
            <w:vAlign w:val="center"/>
          </w:tcPr>
          <w:p w14:paraId="065949F9">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3BDE4DD2">
            <w:pPr>
              <w:widowControl/>
              <w:jc w:val="center"/>
              <w:textAlignment w:val="center"/>
              <w:rPr>
                <w:rFonts w:ascii="Times New Roman" w:hAnsi="等线" w:eastAsia="仿宋"/>
                <w:kern w:val="2"/>
                <w:szCs w:val="21"/>
              </w:rPr>
            </w:pPr>
            <w:r>
              <w:rPr>
                <w:rFonts w:ascii="Times New Roman"/>
                <w:szCs w:val="24"/>
                <w:lang w:bidi="ar"/>
              </w:rPr>
              <w:t>0.03</w:t>
            </w:r>
          </w:p>
        </w:tc>
        <w:tc>
          <w:tcPr>
            <w:tcW w:w="1091" w:type="dxa"/>
            <w:vAlign w:val="center"/>
          </w:tcPr>
          <w:p w14:paraId="48A9E082">
            <w:pPr>
              <w:widowControl/>
              <w:jc w:val="center"/>
              <w:textAlignment w:val="center"/>
              <w:rPr>
                <w:rFonts w:ascii="Times New Roman" w:hAnsi="等线" w:eastAsia="仿宋"/>
                <w:kern w:val="2"/>
                <w:szCs w:val="21"/>
              </w:rPr>
            </w:pPr>
            <w:r>
              <w:rPr>
                <w:rFonts w:ascii="Times New Roman"/>
                <w:szCs w:val="24"/>
                <w:lang w:bidi="ar"/>
              </w:rPr>
              <w:t>0.03</w:t>
            </w:r>
          </w:p>
        </w:tc>
        <w:tc>
          <w:tcPr>
            <w:tcW w:w="996" w:type="dxa"/>
            <w:vMerge w:val="continue"/>
            <w:vAlign w:val="center"/>
          </w:tcPr>
          <w:p w14:paraId="772E692C">
            <w:pPr>
              <w:pStyle w:val="35"/>
            </w:pPr>
          </w:p>
        </w:tc>
        <w:tc>
          <w:tcPr>
            <w:tcW w:w="1017" w:type="dxa"/>
            <w:vMerge w:val="continue"/>
            <w:vAlign w:val="center"/>
          </w:tcPr>
          <w:p w14:paraId="1641AF06">
            <w:pPr>
              <w:pStyle w:val="35"/>
            </w:pPr>
          </w:p>
        </w:tc>
      </w:tr>
      <w:tr w14:paraId="569C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E7131F6">
            <w:pPr>
              <w:pStyle w:val="35"/>
            </w:pPr>
          </w:p>
        </w:tc>
        <w:tc>
          <w:tcPr>
            <w:tcW w:w="1475" w:type="dxa"/>
            <w:vMerge w:val="continue"/>
            <w:vAlign w:val="center"/>
          </w:tcPr>
          <w:p w14:paraId="7E1B9C94">
            <w:pPr>
              <w:spacing w:line="280" w:lineRule="exact"/>
              <w:jc w:val="center"/>
              <w:rPr>
                <w:rFonts w:ascii="Times New Roman" w:hAnsi="等线" w:eastAsia="仿宋"/>
                <w:kern w:val="2"/>
                <w:szCs w:val="21"/>
              </w:rPr>
            </w:pPr>
          </w:p>
        </w:tc>
        <w:tc>
          <w:tcPr>
            <w:tcW w:w="1209" w:type="dxa"/>
            <w:vAlign w:val="center"/>
          </w:tcPr>
          <w:p w14:paraId="27A5FAA0">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2C5CD0B8">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vAlign w:val="center"/>
          </w:tcPr>
          <w:p w14:paraId="757D86B6">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547FB156">
            <w:pPr>
              <w:pStyle w:val="35"/>
            </w:pPr>
          </w:p>
        </w:tc>
        <w:tc>
          <w:tcPr>
            <w:tcW w:w="1017" w:type="dxa"/>
            <w:vMerge w:val="continue"/>
            <w:vAlign w:val="center"/>
          </w:tcPr>
          <w:p w14:paraId="7C9CC2A1">
            <w:pPr>
              <w:pStyle w:val="35"/>
            </w:pPr>
          </w:p>
        </w:tc>
      </w:tr>
      <w:tr w14:paraId="65CA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67D7A6B">
            <w:pPr>
              <w:pStyle w:val="35"/>
            </w:pPr>
          </w:p>
        </w:tc>
        <w:tc>
          <w:tcPr>
            <w:tcW w:w="1475" w:type="dxa"/>
            <w:vMerge w:val="continue"/>
            <w:vAlign w:val="center"/>
          </w:tcPr>
          <w:p w14:paraId="7870A38B">
            <w:pPr>
              <w:spacing w:line="280" w:lineRule="exact"/>
              <w:jc w:val="center"/>
              <w:rPr>
                <w:rFonts w:ascii="Times New Roman" w:hAnsi="等线" w:eastAsia="仿宋"/>
                <w:kern w:val="2"/>
                <w:szCs w:val="21"/>
              </w:rPr>
            </w:pPr>
          </w:p>
        </w:tc>
        <w:tc>
          <w:tcPr>
            <w:tcW w:w="1209" w:type="dxa"/>
            <w:vAlign w:val="center"/>
          </w:tcPr>
          <w:p w14:paraId="4B71424C">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27A47EAC">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vAlign w:val="center"/>
          </w:tcPr>
          <w:p w14:paraId="1F0C7718">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237BA8BD">
            <w:pPr>
              <w:pStyle w:val="35"/>
            </w:pPr>
          </w:p>
        </w:tc>
        <w:tc>
          <w:tcPr>
            <w:tcW w:w="1017" w:type="dxa"/>
            <w:vMerge w:val="continue"/>
            <w:vAlign w:val="center"/>
          </w:tcPr>
          <w:p w14:paraId="19648D5F">
            <w:pPr>
              <w:pStyle w:val="35"/>
            </w:pPr>
          </w:p>
        </w:tc>
      </w:tr>
      <w:tr w14:paraId="798E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03D74F6">
            <w:pPr>
              <w:pStyle w:val="35"/>
            </w:pPr>
          </w:p>
        </w:tc>
        <w:tc>
          <w:tcPr>
            <w:tcW w:w="1475" w:type="dxa"/>
            <w:vMerge w:val="continue"/>
            <w:vAlign w:val="center"/>
          </w:tcPr>
          <w:p w14:paraId="14EF7122">
            <w:pPr>
              <w:spacing w:line="280" w:lineRule="exact"/>
              <w:jc w:val="center"/>
              <w:rPr>
                <w:rFonts w:ascii="Times New Roman" w:hAnsi="等线" w:eastAsia="仿宋"/>
                <w:kern w:val="2"/>
                <w:szCs w:val="21"/>
              </w:rPr>
            </w:pPr>
          </w:p>
        </w:tc>
        <w:tc>
          <w:tcPr>
            <w:tcW w:w="1209" w:type="dxa"/>
            <w:vAlign w:val="center"/>
          </w:tcPr>
          <w:p w14:paraId="3BB35ECC">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6FE3DF7D">
            <w:pPr>
              <w:widowControl/>
              <w:jc w:val="center"/>
              <w:textAlignment w:val="center"/>
              <w:rPr>
                <w:rFonts w:ascii="Times New Roman" w:hAnsi="等线" w:eastAsia="仿宋"/>
                <w:kern w:val="2"/>
                <w:szCs w:val="21"/>
              </w:rPr>
            </w:pPr>
            <w:r>
              <w:rPr>
                <w:rFonts w:ascii="Times New Roman"/>
                <w:szCs w:val="24"/>
                <w:lang w:bidi="ar"/>
              </w:rPr>
              <w:t>0.02</w:t>
            </w:r>
          </w:p>
        </w:tc>
        <w:tc>
          <w:tcPr>
            <w:tcW w:w="1091" w:type="dxa"/>
            <w:vAlign w:val="center"/>
          </w:tcPr>
          <w:p w14:paraId="11C1B671">
            <w:pPr>
              <w:widowControl/>
              <w:jc w:val="center"/>
              <w:textAlignment w:val="center"/>
              <w:rPr>
                <w:rFonts w:ascii="Times New Roman" w:hAnsi="等线" w:eastAsia="仿宋"/>
                <w:kern w:val="2"/>
                <w:szCs w:val="21"/>
              </w:rPr>
            </w:pPr>
            <w:r>
              <w:rPr>
                <w:rFonts w:ascii="Times New Roman"/>
                <w:szCs w:val="24"/>
                <w:lang w:bidi="ar"/>
              </w:rPr>
              <w:t>0.02</w:t>
            </w:r>
          </w:p>
        </w:tc>
        <w:tc>
          <w:tcPr>
            <w:tcW w:w="996" w:type="dxa"/>
            <w:vMerge w:val="continue"/>
            <w:vAlign w:val="center"/>
          </w:tcPr>
          <w:p w14:paraId="60D4989E">
            <w:pPr>
              <w:pStyle w:val="35"/>
            </w:pPr>
          </w:p>
        </w:tc>
        <w:tc>
          <w:tcPr>
            <w:tcW w:w="1017" w:type="dxa"/>
            <w:vMerge w:val="continue"/>
            <w:vAlign w:val="center"/>
          </w:tcPr>
          <w:p w14:paraId="09550F1D">
            <w:pPr>
              <w:pStyle w:val="35"/>
            </w:pPr>
          </w:p>
        </w:tc>
      </w:tr>
      <w:tr w14:paraId="76D4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7EA6C2A">
            <w:pPr>
              <w:pStyle w:val="35"/>
            </w:pPr>
          </w:p>
        </w:tc>
        <w:tc>
          <w:tcPr>
            <w:tcW w:w="1475" w:type="dxa"/>
            <w:vMerge w:val="restart"/>
            <w:vAlign w:val="center"/>
          </w:tcPr>
          <w:p w14:paraId="10978317">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喷氟碳面漆喷漆废气G</w:t>
            </w:r>
            <w:r>
              <w:rPr>
                <w:rFonts w:ascii="Times New Roman" w:hAnsi="等线" w:eastAsia="仿宋"/>
                <w:kern w:val="2"/>
                <w:szCs w:val="21"/>
              </w:rPr>
              <w:t>14</w:t>
            </w:r>
          </w:p>
        </w:tc>
        <w:tc>
          <w:tcPr>
            <w:tcW w:w="1209" w:type="dxa"/>
            <w:vAlign w:val="center"/>
          </w:tcPr>
          <w:p w14:paraId="07C08DFB">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173CE808">
            <w:pPr>
              <w:widowControl/>
              <w:jc w:val="center"/>
              <w:textAlignment w:val="center"/>
              <w:rPr>
                <w:rFonts w:ascii="Times New Roman" w:hAnsi="等线" w:eastAsia="仿宋"/>
                <w:kern w:val="2"/>
                <w:szCs w:val="21"/>
              </w:rPr>
            </w:pPr>
            <w:r>
              <w:rPr>
                <w:rFonts w:ascii="Times New Roman"/>
                <w:szCs w:val="24"/>
                <w:lang w:bidi="ar"/>
              </w:rPr>
              <w:t>0.06</w:t>
            </w:r>
          </w:p>
        </w:tc>
        <w:tc>
          <w:tcPr>
            <w:tcW w:w="1091" w:type="dxa"/>
            <w:vAlign w:val="center"/>
          </w:tcPr>
          <w:p w14:paraId="48BD2884">
            <w:pPr>
              <w:widowControl/>
              <w:jc w:val="center"/>
              <w:textAlignment w:val="center"/>
              <w:rPr>
                <w:rFonts w:ascii="Times New Roman" w:hAnsi="等线" w:eastAsia="仿宋"/>
                <w:kern w:val="2"/>
                <w:szCs w:val="21"/>
              </w:rPr>
            </w:pPr>
            <w:r>
              <w:rPr>
                <w:rFonts w:ascii="Times New Roman"/>
                <w:szCs w:val="24"/>
                <w:lang w:bidi="ar"/>
              </w:rPr>
              <w:t>0.06</w:t>
            </w:r>
          </w:p>
        </w:tc>
        <w:tc>
          <w:tcPr>
            <w:tcW w:w="996" w:type="dxa"/>
            <w:vMerge w:val="continue"/>
            <w:vAlign w:val="center"/>
          </w:tcPr>
          <w:p w14:paraId="40CAEE71">
            <w:pPr>
              <w:pStyle w:val="35"/>
            </w:pPr>
          </w:p>
        </w:tc>
        <w:tc>
          <w:tcPr>
            <w:tcW w:w="1017" w:type="dxa"/>
            <w:vMerge w:val="continue"/>
            <w:vAlign w:val="center"/>
          </w:tcPr>
          <w:p w14:paraId="4F7E7968">
            <w:pPr>
              <w:pStyle w:val="35"/>
            </w:pPr>
          </w:p>
        </w:tc>
      </w:tr>
      <w:tr w14:paraId="3933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83F3792">
            <w:pPr>
              <w:pStyle w:val="35"/>
            </w:pPr>
          </w:p>
        </w:tc>
        <w:tc>
          <w:tcPr>
            <w:tcW w:w="1475" w:type="dxa"/>
            <w:vMerge w:val="continue"/>
            <w:vAlign w:val="center"/>
          </w:tcPr>
          <w:p w14:paraId="361D82F2">
            <w:pPr>
              <w:spacing w:line="280" w:lineRule="exact"/>
              <w:jc w:val="center"/>
              <w:rPr>
                <w:rFonts w:ascii="Times New Roman" w:hAnsi="等线" w:eastAsia="仿宋"/>
                <w:kern w:val="2"/>
                <w:szCs w:val="21"/>
              </w:rPr>
            </w:pPr>
          </w:p>
        </w:tc>
        <w:tc>
          <w:tcPr>
            <w:tcW w:w="1209" w:type="dxa"/>
            <w:vAlign w:val="center"/>
          </w:tcPr>
          <w:p w14:paraId="712337A9">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4CD03E28">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vAlign w:val="center"/>
          </w:tcPr>
          <w:p w14:paraId="6A7064DD">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2B325B91">
            <w:pPr>
              <w:pStyle w:val="35"/>
            </w:pPr>
          </w:p>
        </w:tc>
        <w:tc>
          <w:tcPr>
            <w:tcW w:w="1017" w:type="dxa"/>
            <w:vMerge w:val="continue"/>
            <w:vAlign w:val="center"/>
          </w:tcPr>
          <w:p w14:paraId="34BBB2A8">
            <w:pPr>
              <w:pStyle w:val="35"/>
            </w:pPr>
          </w:p>
        </w:tc>
      </w:tr>
      <w:tr w14:paraId="0FF3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35188600">
            <w:pPr>
              <w:pStyle w:val="35"/>
            </w:pPr>
          </w:p>
        </w:tc>
        <w:tc>
          <w:tcPr>
            <w:tcW w:w="1475" w:type="dxa"/>
            <w:vMerge w:val="continue"/>
            <w:vAlign w:val="center"/>
          </w:tcPr>
          <w:p w14:paraId="324A5B8D">
            <w:pPr>
              <w:spacing w:line="280" w:lineRule="exact"/>
              <w:jc w:val="center"/>
              <w:rPr>
                <w:rFonts w:ascii="Times New Roman" w:hAnsi="等线" w:eastAsia="仿宋"/>
                <w:kern w:val="2"/>
                <w:szCs w:val="21"/>
              </w:rPr>
            </w:pPr>
          </w:p>
        </w:tc>
        <w:tc>
          <w:tcPr>
            <w:tcW w:w="1209" w:type="dxa"/>
            <w:vAlign w:val="center"/>
          </w:tcPr>
          <w:p w14:paraId="14D4F392">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662FFA30">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vAlign w:val="center"/>
          </w:tcPr>
          <w:p w14:paraId="29826714">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00E4C22C">
            <w:pPr>
              <w:pStyle w:val="35"/>
            </w:pPr>
          </w:p>
        </w:tc>
        <w:tc>
          <w:tcPr>
            <w:tcW w:w="1017" w:type="dxa"/>
            <w:vMerge w:val="continue"/>
            <w:vAlign w:val="center"/>
          </w:tcPr>
          <w:p w14:paraId="3CC53709">
            <w:pPr>
              <w:pStyle w:val="35"/>
            </w:pPr>
          </w:p>
        </w:tc>
      </w:tr>
      <w:tr w14:paraId="6E47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1DBDFE0">
            <w:pPr>
              <w:pStyle w:val="35"/>
            </w:pPr>
          </w:p>
        </w:tc>
        <w:tc>
          <w:tcPr>
            <w:tcW w:w="1475" w:type="dxa"/>
            <w:vMerge w:val="continue"/>
            <w:vAlign w:val="center"/>
          </w:tcPr>
          <w:p w14:paraId="756CA8CC">
            <w:pPr>
              <w:spacing w:line="280" w:lineRule="exact"/>
              <w:jc w:val="center"/>
              <w:rPr>
                <w:rFonts w:ascii="Times New Roman" w:hAnsi="等线" w:eastAsia="仿宋"/>
                <w:kern w:val="2"/>
                <w:szCs w:val="21"/>
              </w:rPr>
            </w:pPr>
          </w:p>
        </w:tc>
        <w:tc>
          <w:tcPr>
            <w:tcW w:w="1209" w:type="dxa"/>
            <w:vAlign w:val="center"/>
          </w:tcPr>
          <w:p w14:paraId="1B8B7149">
            <w:pPr>
              <w:spacing w:line="280" w:lineRule="exact"/>
              <w:jc w:val="center"/>
              <w:rPr>
                <w:rFonts w:ascii="Times New Roman" w:hAnsi="等线" w:eastAsia="仿宋"/>
                <w:kern w:val="2"/>
                <w:szCs w:val="21"/>
              </w:rPr>
            </w:pPr>
            <w:r>
              <w:rPr>
                <w:rFonts w:hint="eastAsia" w:ascii="Times New Roman" w:hAnsi="等线" w:eastAsia="仿宋"/>
                <w:kern w:val="2"/>
                <w:szCs w:val="21"/>
              </w:rPr>
              <w:t>颗粒物</w:t>
            </w:r>
          </w:p>
        </w:tc>
        <w:tc>
          <w:tcPr>
            <w:tcW w:w="941" w:type="dxa"/>
            <w:vAlign w:val="center"/>
          </w:tcPr>
          <w:p w14:paraId="2B5734A3">
            <w:pPr>
              <w:widowControl/>
              <w:jc w:val="center"/>
              <w:textAlignment w:val="center"/>
              <w:rPr>
                <w:rFonts w:ascii="Times New Roman" w:hAnsi="等线" w:eastAsia="仿宋"/>
                <w:kern w:val="2"/>
                <w:szCs w:val="21"/>
              </w:rPr>
            </w:pPr>
            <w:r>
              <w:rPr>
                <w:rFonts w:ascii="Times New Roman"/>
                <w:szCs w:val="24"/>
                <w:lang w:bidi="ar"/>
              </w:rPr>
              <w:t>0.03</w:t>
            </w:r>
          </w:p>
        </w:tc>
        <w:tc>
          <w:tcPr>
            <w:tcW w:w="1091" w:type="dxa"/>
            <w:vAlign w:val="center"/>
          </w:tcPr>
          <w:p w14:paraId="1508BAEC">
            <w:pPr>
              <w:widowControl/>
              <w:jc w:val="center"/>
              <w:textAlignment w:val="center"/>
              <w:rPr>
                <w:rFonts w:ascii="Times New Roman" w:hAnsi="等线" w:eastAsia="仿宋"/>
                <w:kern w:val="2"/>
                <w:szCs w:val="21"/>
              </w:rPr>
            </w:pPr>
            <w:r>
              <w:rPr>
                <w:rFonts w:ascii="Times New Roman"/>
                <w:szCs w:val="24"/>
                <w:lang w:bidi="ar"/>
              </w:rPr>
              <w:t>0.03</w:t>
            </w:r>
          </w:p>
        </w:tc>
        <w:tc>
          <w:tcPr>
            <w:tcW w:w="996" w:type="dxa"/>
            <w:vMerge w:val="continue"/>
            <w:vAlign w:val="center"/>
          </w:tcPr>
          <w:p w14:paraId="17D166FF">
            <w:pPr>
              <w:pStyle w:val="35"/>
            </w:pPr>
          </w:p>
        </w:tc>
        <w:tc>
          <w:tcPr>
            <w:tcW w:w="1017" w:type="dxa"/>
            <w:vMerge w:val="continue"/>
            <w:vAlign w:val="center"/>
          </w:tcPr>
          <w:p w14:paraId="1D84F144">
            <w:pPr>
              <w:pStyle w:val="35"/>
            </w:pPr>
          </w:p>
        </w:tc>
      </w:tr>
      <w:tr w14:paraId="3C1D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9BB2560">
            <w:pPr>
              <w:pStyle w:val="35"/>
            </w:pPr>
          </w:p>
        </w:tc>
        <w:tc>
          <w:tcPr>
            <w:tcW w:w="1475" w:type="dxa"/>
            <w:vMerge w:val="restart"/>
            <w:vAlign w:val="center"/>
          </w:tcPr>
          <w:p w14:paraId="6869D684">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氟碳底</w:t>
            </w:r>
            <w:r>
              <w:rPr>
                <w:rFonts w:ascii="Times New Roman" w:hAnsi="等线" w:eastAsia="仿宋"/>
                <w:kern w:val="2"/>
                <w:szCs w:val="21"/>
              </w:rPr>
              <w:t>漆</w:t>
            </w:r>
            <w:r>
              <w:rPr>
                <w:rFonts w:hint="eastAsia" w:ascii="Times New Roman" w:hAnsi="等线" w:eastAsia="仿宋"/>
                <w:kern w:val="2"/>
                <w:szCs w:val="21"/>
              </w:rPr>
              <w:t>流平</w:t>
            </w:r>
            <w:r>
              <w:rPr>
                <w:rFonts w:ascii="Times New Roman" w:hAnsi="等线" w:eastAsia="仿宋"/>
                <w:kern w:val="2"/>
                <w:szCs w:val="21"/>
              </w:rPr>
              <w:t>废气</w:t>
            </w:r>
            <w:r>
              <w:rPr>
                <w:rFonts w:hint="eastAsia" w:ascii="Times New Roman" w:hAnsi="等线" w:eastAsia="仿宋"/>
                <w:kern w:val="2"/>
                <w:szCs w:val="21"/>
              </w:rPr>
              <w:t>G11</w:t>
            </w:r>
          </w:p>
        </w:tc>
        <w:tc>
          <w:tcPr>
            <w:tcW w:w="1209" w:type="dxa"/>
            <w:vAlign w:val="center"/>
          </w:tcPr>
          <w:p w14:paraId="50410ED9">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32C9998D">
            <w:pPr>
              <w:widowControl/>
              <w:jc w:val="center"/>
              <w:textAlignment w:val="center"/>
              <w:rPr>
                <w:rFonts w:ascii="Times New Roman" w:hAnsi="等线" w:eastAsia="仿宋"/>
                <w:kern w:val="2"/>
                <w:szCs w:val="21"/>
              </w:rPr>
            </w:pPr>
            <w:r>
              <w:rPr>
                <w:rFonts w:ascii="Times New Roman"/>
                <w:szCs w:val="24"/>
                <w:lang w:bidi="ar"/>
              </w:rPr>
              <w:t>0.012</w:t>
            </w:r>
          </w:p>
        </w:tc>
        <w:tc>
          <w:tcPr>
            <w:tcW w:w="1091" w:type="dxa"/>
            <w:shd w:val="clear" w:color="auto" w:fill="auto"/>
            <w:vAlign w:val="center"/>
          </w:tcPr>
          <w:p w14:paraId="3948C5CB">
            <w:pPr>
              <w:widowControl/>
              <w:jc w:val="center"/>
              <w:textAlignment w:val="center"/>
              <w:rPr>
                <w:rFonts w:ascii="Times New Roman" w:hAnsi="等线" w:eastAsia="仿宋"/>
                <w:kern w:val="2"/>
                <w:szCs w:val="21"/>
              </w:rPr>
            </w:pPr>
            <w:r>
              <w:rPr>
                <w:rFonts w:ascii="Times New Roman"/>
                <w:szCs w:val="24"/>
                <w:lang w:bidi="ar"/>
              </w:rPr>
              <w:t>0.012</w:t>
            </w:r>
          </w:p>
        </w:tc>
        <w:tc>
          <w:tcPr>
            <w:tcW w:w="996" w:type="dxa"/>
            <w:vMerge w:val="continue"/>
            <w:vAlign w:val="center"/>
          </w:tcPr>
          <w:p w14:paraId="56ADFF39">
            <w:pPr>
              <w:pStyle w:val="35"/>
            </w:pPr>
          </w:p>
        </w:tc>
        <w:tc>
          <w:tcPr>
            <w:tcW w:w="1017" w:type="dxa"/>
            <w:vMerge w:val="continue"/>
            <w:vAlign w:val="center"/>
          </w:tcPr>
          <w:p w14:paraId="4D4D6A10">
            <w:pPr>
              <w:pStyle w:val="35"/>
            </w:pPr>
          </w:p>
        </w:tc>
      </w:tr>
      <w:tr w14:paraId="1941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DA62DA2">
            <w:pPr>
              <w:pStyle w:val="35"/>
            </w:pPr>
          </w:p>
        </w:tc>
        <w:tc>
          <w:tcPr>
            <w:tcW w:w="1475" w:type="dxa"/>
            <w:vMerge w:val="continue"/>
            <w:vAlign w:val="center"/>
          </w:tcPr>
          <w:p w14:paraId="4C964A10">
            <w:pPr>
              <w:spacing w:line="280" w:lineRule="exact"/>
              <w:jc w:val="center"/>
              <w:rPr>
                <w:rFonts w:ascii="Times New Roman" w:hAnsi="等线" w:eastAsia="仿宋"/>
                <w:kern w:val="2"/>
                <w:szCs w:val="21"/>
              </w:rPr>
            </w:pPr>
          </w:p>
        </w:tc>
        <w:tc>
          <w:tcPr>
            <w:tcW w:w="1209" w:type="dxa"/>
            <w:vAlign w:val="center"/>
          </w:tcPr>
          <w:p w14:paraId="63C13F18">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4D026FC1">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shd w:val="clear" w:color="auto" w:fill="auto"/>
            <w:vAlign w:val="center"/>
          </w:tcPr>
          <w:p w14:paraId="36948852">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285B73E8">
            <w:pPr>
              <w:pStyle w:val="35"/>
            </w:pPr>
          </w:p>
        </w:tc>
        <w:tc>
          <w:tcPr>
            <w:tcW w:w="1017" w:type="dxa"/>
            <w:vMerge w:val="continue"/>
            <w:vAlign w:val="center"/>
          </w:tcPr>
          <w:p w14:paraId="232F5294">
            <w:pPr>
              <w:pStyle w:val="35"/>
            </w:pPr>
          </w:p>
        </w:tc>
      </w:tr>
      <w:tr w14:paraId="0282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77981061">
            <w:pPr>
              <w:pStyle w:val="35"/>
            </w:pPr>
          </w:p>
        </w:tc>
        <w:tc>
          <w:tcPr>
            <w:tcW w:w="1475" w:type="dxa"/>
            <w:vMerge w:val="continue"/>
            <w:vAlign w:val="center"/>
          </w:tcPr>
          <w:p w14:paraId="61B46C49">
            <w:pPr>
              <w:spacing w:line="280" w:lineRule="exact"/>
              <w:jc w:val="center"/>
              <w:rPr>
                <w:rFonts w:ascii="Times New Roman" w:hAnsi="等线" w:eastAsia="仿宋"/>
                <w:kern w:val="2"/>
                <w:szCs w:val="21"/>
              </w:rPr>
            </w:pPr>
          </w:p>
        </w:tc>
        <w:tc>
          <w:tcPr>
            <w:tcW w:w="1209" w:type="dxa"/>
            <w:vAlign w:val="center"/>
          </w:tcPr>
          <w:p w14:paraId="54AD971E">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761A3D90">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shd w:val="clear" w:color="auto" w:fill="auto"/>
            <w:vAlign w:val="center"/>
          </w:tcPr>
          <w:p w14:paraId="77B320F5">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3B521207">
            <w:pPr>
              <w:pStyle w:val="35"/>
            </w:pPr>
          </w:p>
        </w:tc>
        <w:tc>
          <w:tcPr>
            <w:tcW w:w="1017" w:type="dxa"/>
            <w:vMerge w:val="continue"/>
            <w:vAlign w:val="center"/>
          </w:tcPr>
          <w:p w14:paraId="76FC9649">
            <w:pPr>
              <w:pStyle w:val="35"/>
            </w:pPr>
          </w:p>
        </w:tc>
      </w:tr>
      <w:tr w14:paraId="6368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34C86F21">
            <w:pPr>
              <w:pStyle w:val="35"/>
            </w:pPr>
          </w:p>
        </w:tc>
        <w:tc>
          <w:tcPr>
            <w:tcW w:w="1475" w:type="dxa"/>
            <w:vMerge w:val="restart"/>
            <w:vAlign w:val="center"/>
          </w:tcPr>
          <w:p w14:paraId="37A90EB6">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氟碳面</w:t>
            </w:r>
            <w:r>
              <w:rPr>
                <w:rFonts w:ascii="Times New Roman" w:hAnsi="等线" w:eastAsia="仿宋"/>
                <w:kern w:val="2"/>
                <w:szCs w:val="21"/>
              </w:rPr>
              <w:t>漆</w:t>
            </w:r>
            <w:r>
              <w:rPr>
                <w:rFonts w:hint="eastAsia" w:ascii="Times New Roman" w:hAnsi="等线" w:eastAsia="仿宋"/>
                <w:kern w:val="2"/>
                <w:szCs w:val="21"/>
              </w:rPr>
              <w:t>流平</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5</w:t>
            </w:r>
          </w:p>
        </w:tc>
        <w:tc>
          <w:tcPr>
            <w:tcW w:w="1209" w:type="dxa"/>
            <w:vAlign w:val="center"/>
          </w:tcPr>
          <w:p w14:paraId="66F55E44">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3BF9D40B">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shd w:val="clear" w:color="auto" w:fill="auto"/>
            <w:vAlign w:val="center"/>
          </w:tcPr>
          <w:p w14:paraId="33021829">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0D6D1EC4">
            <w:pPr>
              <w:pStyle w:val="35"/>
            </w:pPr>
          </w:p>
        </w:tc>
        <w:tc>
          <w:tcPr>
            <w:tcW w:w="1017" w:type="dxa"/>
            <w:vMerge w:val="continue"/>
            <w:vAlign w:val="center"/>
          </w:tcPr>
          <w:p w14:paraId="4504F55A">
            <w:pPr>
              <w:pStyle w:val="35"/>
            </w:pPr>
          </w:p>
        </w:tc>
      </w:tr>
      <w:tr w14:paraId="7B06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A163F91">
            <w:pPr>
              <w:pStyle w:val="35"/>
            </w:pPr>
          </w:p>
        </w:tc>
        <w:tc>
          <w:tcPr>
            <w:tcW w:w="1475" w:type="dxa"/>
            <w:vMerge w:val="continue"/>
            <w:vAlign w:val="center"/>
          </w:tcPr>
          <w:p w14:paraId="6CA4713A">
            <w:pPr>
              <w:spacing w:line="280" w:lineRule="exact"/>
              <w:jc w:val="center"/>
              <w:rPr>
                <w:rFonts w:ascii="Times New Roman" w:hAnsi="等线" w:eastAsia="仿宋"/>
                <w:kern w:val="2"/>
                <w:szCs w:val="21"/>
              </w:rPr>
            </w:pPr>
          </w:p>
        </w:tc>
        <w:tc>
          <w:tcPr>
            <w:tcW w:w="1209" w:type="dxa"/>
            <w:vAlign w:val="center"/>
          </w:tcPr>
          <w:p w14:paraId="28629C23">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2CBD024E">
            <w:pPr>
              <w:widowControl/>
              <w:jc w:val="center"/>
              <w:textAlignment w:val="center"/>
              <w:rPr>
                <w:rFonts w:ascii="Times New Roman" w:hAnsi="等线" w:eastAsia="仿宋"/>
                <w:kern w:val="2"/>
                <w:szCs w:val="21"/>
              </w:rPr>
            </w:pPr>
            <w:r>
              <w:rPr>
                <w:rFonts w:ascii="Times New Roman"/>
                <w:szCs w:val="24"/>
                <w:lang w:bidi="ar"/>
              </w:rPr>
              <w:t>0.005</w:t>
            </w:r>
          </w:p>
        </w:tc>
        <w:tc>
          <w:tcPr>
            <w:tcW w:w="1091" w:type="dxa"/>
            <w:shd w:val="clear" w:color="auto" w:fill="auto"/>
            <w:vAlign w:val="center"/>
          </w:tcPr>
          <w:p w14:paraId="7E47D247">
            <w:pPr>
              <w:widowControl/>
              <w:jc w:val="center"/>
              <w:textAlignment w:val="center"/>
              <w:rPr>
                <w:rFonts w:ascii="Times New Roman" w:hAnsi="等线" w:eastAsia="仿宋"/>
                <w:kern w:val="2"/>
                <w:szCs w:val="21"/>
              </w:rPr>
            </w:pPr>
            <w:r>
              <w:rPr>
                <w:rFonts w:ascii="Times New Roman"/>
                <w:szCs w:val="24"/>
                <w:lang w:bidi="ar"/>
              </w:rPr>
              <w:t>0.005</w:t>
            </w:r>
          </w:p>
        </w:tc>
        <w:tc>
          <w:tcPr>
            <w:tcW w:w="996" w:type="dxa"/>
            <w:vMerge w:val="continue"/>
            <w:vAlign w:val="center"/>
          </w:tcPr>
          <w:p w14:paraId="5692E6D0">
            <w:pPr>
              <w:pStyle w:val="35"/>
            </w:pPr>
          </w:p>
        </w:tc>
        <w:tc>
          <w:tcPr>
            <w:tcW w:w="1017" w:type="dxa"/>
            <w:vMerge w:val="continue"/>
            <w:vAlign w:val="center"/>
          </w:tcPr>
          <w:p w14:paraId="723AB6BE">
            <w:pPr>
              <w:pStyle w:val="35"/>
            </w:pPr>
          </w:p>
        </w:tc>
      </w:tr>
      <w:tr w14:paraId="2D26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2BE0553">
            <w:pPr>
              <w:pStyle w:val="35"/>
            </w:pPr>
          </w:p>
        </w:tc>
        <w:tc>
          <w:tcPr>
            <w:tcW w:w="1475" w:type="dxa"/>
            <w:vMerge w:val="continue"/>
            <w:vAlign w:val="center"/>
          </w:tcPr>
          <w:p w14:paraId="3E73F83E">
            <w:pPr>
              <w:spacing w:line="280" w:lineRule="exact"/>
              <w:jc w:val="center"/>
              <w:rPr>
                <w:rFonts w:ascii="Times New Roman" w:hAnsi="等线" w:eastAsia="仿宋"/>
                <w:kern w:val="2"/>
                <w:szCs w:val="21"/>
              </w:rPr>
            </w:pPr>
          </w:p>
        </w:tc>
        <w:tc>
          <w:tcPr>
            <w:tcW w:w="1209" w:type="dxa"/>
            <w:vAlign w:val="center"/>
          </w:tcPr>
          <w:p w14:paraId="4B9AE21F">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07B1465B">
            <w:pPr>
              <w:widowControl/>
              <w:jc w:val="center"/>
              <w:textAlignment w:val="center"/>
              <w:rPr>
                <w:rFonts w:ascii="Times New Roman" w:hAnsi="等线" w:eastAsia="仿宋"/>
                <w:kern w:val="2"/>
                <w:szCs w:val="21"/>
              </w:rPr>
            </w:pPr>
            <w:r>
              <w:rPr>
                <w:rFonts w:ascii="Times New Roman"/>
                <w:szCs w:val="24"/>
                <w:lang w:bidi="ar"/>
              </w:rPr>
              <w:t>0.005</w:t>
            </w:r>
          </w:p>
        </w:tc>
        <w:tc>
          <w:tcPr>
            <w:tcW w:w="1091" w:type="dxa"/>
            <w:shd w:val="clear" w:color="auto" w:fill="auto"/>
            <w:vAlign w:val="center"/>
          </w:tcPr>
          <w:p w14:paraId="29E48F65">
            <w:pPr>
              <w:widowControl/>
              <w:jc w:val="center"/>
              <w:textAlignment w:val="center"/>
              <w:rPr>
                <w:rFonts w:ascii="Times New Roman" w:hAnsi="等线" w:eastAsia="仿宋"/>
                <w:kern w:val="2"/>
                <w:szCs w:val="21"/>
              </w:rPr>
            </w:pPr>
            <w:r>
              <w:rPr>
                <w:rFonts w:ascii="Times New Roman"/>
                <w:szCs w:val="24"/>
                <w:lang w:bidi="ar"/>
              </w:rPr>
              <w:t>0.005</w:t>
            </w:r>
          </w:p>
        </w:tc>
        <w:tc>
          <w:tcPr>
            <w:tcW w:w="996" w:type="dxa"/>
            <w:vMerge w:val="continue"/>
            <w:vAlign w:val="center"/>
          </w:tcPr>
          <w:p w14:paraId="7CB462AC">
            <w:pPr>
              <w:pStyle w:val="35"/>
            </w:pPr>
          </w:p>
        </w:tc>
        <w:tc>
          <w:tcPr>
            <w:tcW w:w="1017" w:type="dxa"/>
            <w:vMerge w:val="continue"/>
            <w:vAlign w:val="center"/>
          </w:tcPr>
          <w:p w14:paraId="585AD19D">
            <w:pPr>
              <w:pStyle w:val="35"/>
            </w:pPr>
          </w:p>
        </w:tc>
      </w:tr>
      <w:tr w14:paraId="4E9F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152056B1">
            <w:pPr>
              <w:pStyle w:val="35"/>
            </w:pPr>
          </w:p>
        </w:tc>
        <w:tc>
          <w:tcPr>
            <w:tcW w:w="1475" w:type="dxa"/>
            <w:vMerge w:val="restart"/>
            <w:vAlign w:val="center"/>
          </w:tcPr>
          <w:p w14:paraId="2D607697">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氟碳底</w:t>
            </w:r>
            <w:r>
              <w:rPr>
                <w:rFonts w:ascii="Times New Roman" w:hAnsi="等线" w:eastAsia="仿宋"/>
                <w:kern w:val="2"/>
                <w:szCs w:val="21"/>
              </w:rPr>
              <w:t>漆</w:t>
            </w:r>
            <w:r>
              <w:rPr>
                <w:rFonts w:hint="eastAsia" w:ascii="Times New Roman" w:hAnsi="等线" w:eastAsia="仿宋"/>
                <w:kern w:val="2"/>
                <w:szCs w:val="21"/>
              </w:rPr>
              <w:t>烘干</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2</w:t>
            </w:r>
          </w:p>
        </w:tc>
        <w:tc>
          <w:tcPr>
            <w:tcW w:w="1209" w:type="dxa"/>
            <w:vAlign w:val="center"/>
          </w:tcPr>
          <w:p w14:paraId="69C30206">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545523B2">
            <w:pPr>
              <w:widowControl/>
              <w:jc w:val="center"/>
              <w:textAlignment w:val="center"/>
              <w:rPr>
                <w:rFonts w:ascii="Times New Roman" w:hAnsi="等线" w:eastAsia="仿宋"/>
                <w:kern w:val="2"/>
                <w:szCs w:val="21"/>
              </w:rPr>
            </w:pPr>
            <w:r>
              <w:rPr>
                <w:rFonts w:ascii="Times New Roman"/>
                <w:szCs w:val="24"/>
                <w:lang w:bidi="ar"/>
              </w:rPr>
              <w:t>0.08</w:t>
            </w:r>
          </w:p>
        </w:tc>
        <w:tc>
          <w:tcPr>
            <w:tcW w:w="1091" w:type="dxa"/>
            <w:shd w:val="clear" w:color="auto" w:fill="auto"/>
            <w:vAlign w:val="center"/>
          </w:tcPr>
          <w:p w14:paraId="280C24B1">
            <w:pPr>
              <w:widowControl/>
              <w:jc w:val="center"/>
              <w:textAlignment w:val="center"/>
              <w:rPr>
                <w:rFonts w:ascii="Times New Roman" w:hAnsi="等线" w:eastAsia="仿宋"/>
                <w:kern w:val="2"/>
                <w:szCs w:val="21"/>
              </w:rPr>
            </w:pPr>
            <w:r>
              <w:rPr>
                <w:rFonts w:ascii="Times New Roman"/>
                <w:szCs w:val="24"/>
                <w:lang w:bidi="ar"/>
              </w:rPr>
              <w:t>0.08</w:t>
            </w:r>
          </w:p>
        </w:tc>
        <w:tc>
          <w:tcPr>
            <w:tcW w:w="996" w:type="dxa"/>
            <w:vMerge w:val="continue"/>
            <w:vAlign w:val="center"/>
          </w:tcPr>
          <w:p w14:paraId="5D2ED493">
            <w:pPr>
              <w:pStyle w:val="35"/>
            </w:pPr>
          </w:p>
        </w:tc>
        <w:tc>
          <w:tcPr>
            <w:tcW w:w="1017" w:type="dxa"/>
            <w:vMerge w:val="continue"/>
            <w:vAlign w:val="center"/>
          </w:tcPr>
          <w:p w14:paraId="70BEA23C">
            <w:pPr>
              <w:pStyle w:val="35"/>
            </w:pPr>
          </w:p>
        </w:tc>
      </w:tr>
      <w:tr w14:paraId="7D26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0E1F30E3">
            <w:pPr>
              <w:pStyle w:val="35"/>
            </w:pPr>
          </w:p>
        </w:tc>
        <w:tc>
          <w:tcPr>
            <w:tcW w:w="1475" w:type="dxa"/>
            <w:vMerge w:val="continue"/>
            <w:vAlign w:val="center"/>
          </w:tcPr>
          <w:p w14:paraId="07FEAF43">
            <w:pPr>
              <w:spacing w:line="280" w:lineRule="exact"/>
              <w:jc w:val="center"/>
              <w:rPr>
                <w:rFonts w:ascii="Times New Roman" w:hAnsi="等线" w:eastAsia="仿宋"/>
                <w:kern w:val="2"/>
                <w:szCs w:val="21"/>
              </w:rPr>
            </w:pPr>
          </w:p>
        </w:tc>
        <w:tc>
          <w:tcPr>
            <w:tcW w:w="1209" w:type="dxa"/>
            <w:vAlign w:val="center"/>
          </w:tcPr>
          <w:p w14:paraId="43F3B511">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220D8DEB">
            <w:pPr>
              <w:widowControl/>
              <w:jc w:val="center"/>
              <w:textAlignment w:val="center"/>
              <w:rPr>
                <w:rFonts w:ascii="Times New Roman" w:hAnsi="等线" w:eastAsia="仿宋"/>
                <w:kern w:val="2"/>
                <w:szCs w:val="21"/>
              </w:rPr>
            </w:pPr>
            <w:r>
              <w:rPr>
                <w:rFonts w:ascii="Times New Roman"/>
                <w:szCs w:val="24"/>
                <w:lang w:bidi="ar"/>
              </w:rPr>
              <w:t>0.02</w:t>
            </w:r>
          </w:p>
        </w:tc>
        <w:tc>
          <w:tcPr>
            <w:tcW w:w="1091" w:type="dxa"/>
            <w:shd w:val="clear" w:color="auto" w:fill="auto"/>
            <w:vAlign w:val="center"/>
          </w:tcPr>
          <w:p w14:paraId="32337281">
            <w:pPr>
              <w:widowControl/>
              <w:jc w:val="center"/>
              <w:textAlignment w:val="center"/>
              <w:rPr>
                <w:rFonts w:ascii="Times New Roman" w:hAnsi="等线" w:eastAsia="仿宋"/>
                <w:kern w:val="2"/>
                <w:szCs w:val="21"/>
              </w:rPr>
            </w:pPr>
            <w:r>
              <w:rPr>
                <w:rFonts w:ascii="Times New Roman"/>
                <w:szCs w:val="24"/>
                <w:lang w:bidi="ar"/>
              </w:rPr>
              <w:t>0.02</w:t>
            </w:r>
          </w:p>
        </w:tc>
        <w:tc>
          <w:tcPr>
            <w:tcW w:w="996" w:type="dxa"/>
            <w:vMerge w:val="continue"/>
            <w:vAlign w:val="center"/>
          </w:tcPr>
          <w:p w14:paraId="2926F108">
            <w:pPr>
              <w:pStyle w:val="35"/>
            </w:pPr>
          </w:p>
        </w:tc>
        <w:tc>
          <w:tcPr>
            <w:tcW w:w="1017" w:type="dxa"/>
            <w:vMerge w:val="continue"/>
            <w:vAlign w:val="center"/>
          </w:tcPr>
          <w:p w14:paraId="17400AE8">
            <w:pPr>
              <w:pStyle w:val="35"/>
            </w:pPr>
          </w:p>
        </w:tc>
      </w:tr>
      <w:tr w14:paraId="5117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B6EBCDB">
            <w:pPr>
              <w:pStyle w:val="35"/>
            </w:pPr>
          </w:p>
        </w:tc>
        <w:tc>
          <w:tcPr>
            <w:tcW w:w="1475" w:type="dxa"/>
            <w:vMerge w:val="continue"/>
            <w:vAlign w:val="center"/>
          </w:tcPr>
          <w:p w14:paraId="44CCC0DD">
            <w:pPr>
              <w:spacing w:line="280" w:lineRule="exact"/>
              <w:jc w:val="center"/>
              <w:rPr>
                <w:rFonts w:ascii="Times New Roman" w:hAnsi="等线" w:eastAsia="仿宋"/>
                <w:kern w:val="2"/>
                <w:szCs w:val="21"/>
              </w:rPr>
            </w:pPr>
          </w:p>
        </w:tc>
        <w:tc>
          <w:tcPr>
            <w:tcW w:w="1209" w:type="dxa"/>
            <w:vAlign w:val="center"/>
          </w:tcPr>
          <w:p w14:paraId="78C7596E">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62A95392">
            <w:pPr>
              <w:widowControl/>
              <w:jc w:val="center"/>
              <w:textAlignment w:val="center"/>
              <w:rPr>
                <w:rFonts w:ascii="Times New Roman" w:hAnsi="等线" w:eastAsia="仿宋"/>
                <w:kern w:val="2"/>
                <w:szCs w:val="21"/>
              </w:rPr>
            </w:pPr>
            <w:r>
              <w:rPr>
                <w:rFonts w:ascii="Times New Roman"/>
                <w:szCs w:val="24"/>
                <w:lang w:bidi="ar"/>
              </w:rPr>
              <w:t>0.02</w:t>
            </w:r>
          </w:p>
        </w:tc>
        <w:tc>
          <w:tcPr>
            <w:tcW w:w="1091" w:type="dxa"/>
            <w:shd w:val="clear" w:color="auto" w:fill="auto"/>
            <w:vAlign w:val="center"/>
          </w:tcPr>
          <w:p w14:paraId="779E2028">
            <w:pPr>
              <w:widowControl/>
              <w:jc w:val="center"/>
              <w:textAlignment w:val="center"/>
              <w:rPr>
                <w:rFonts w:ascii="Times New Roman" w:hAnsi="等线" w:eastAsia="仿宋"/>
                <w:kern w:val="2"/>
                <w:szCs w:val="21"/>
              </w:rPr>
            </w:pPr>
            <w:r>
              <w:rPr>
                <w:rFonts w:ascii="Times New Roman"/>
                <w:szCs w:val="24"/>
                <w:lang w:bidi="ar"/>
              </w:rPr>
              <w:t>0.02</w:t>
            </w:r>
          </w:p>
        </w:tc>
        <w:tc>
          <w:tcPr>
            <w:tcW w:w="996" w:type="dxa"/>
            <w:vMerge w:val="continue"/>
            <w:vAlign w:val="center"/>
          </w:tcPr>
          <w:p w14:paraId="59A9529C">
            <w:pPr>
              <w:pStyle w:val="35"/>
            </w:pPr>
          </w:p>
        </w:tc>
        <w:tc>
          <w:tcPr>
            <w:tcW w:w="1017" w:type="dxa"/>
            <w:vMerge w:val="continue"/>
            <w:vAlign w:val="center"/>
          </w:tcPr>
          <w:p w14:paraId="66EABC23">
            <w:pPr>
              <w:pStyle w:val="35"/>
            </w:pPr>
          </w:p>
        </w:tc>
      </w:tr>
      <w:tr w14:paraId="74FA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A93F7B3">
            <w:pPr>
              <w:pStyle w:val="35"/>
            </w:pPr>
          </w:p>
        </w:tc>
        <w:tc>
          <w:tcPr>
            <w:tcW w:w="1475" w:type="dxa"/>
            <w:vMerge w:val="restart"/>
            <w:vAlign w:val="center"/>
          </w:tcPr>
          <w:p w14:paraId="3C1E3488">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氟碳面</w:t>
            </w:r>
            <w:r>
              <w:rPr>
                <w:rFonts w:ascii="Times New Roman" w:hAnsi="等线" w:eastAsia="仿宋"/>
                <w:kern w:val="2"/>
                <w:szCs w:val="21"/>
              </w:rPr>
              <w:t>漆</w:t>
            </w:r>
            <w:r>
              <w:rPr>
                <w:rFonts w:hint="eastAsia" w:ascii="Times New Roman" w:hAnsi="等线" w:eastAsia="仿宋"/>
                <w:kern w:val="2"/>
                <w:szCs w:val="21"/>
              </w:rPr>
              <w:t>烘干</w:t>
            </w:r>
            <w:r>
              <w:rPr>
                <w:rFonts w:ascii="Times New Roman" w:hAnsi="等线" w:eastAsia="仿宋"/>
                <w:kern w:val="2"/>
                <w:szCs w:val="21"/>
              </w:rPr>
              <w:t>废气</w:t>
            </w:r>
            <w:r>
              <w:rPr>
                <w:rFonts w:hint="eastAsia" w:ascii="Times New Roman" w:hAnsi="等线" w:eastAsia="仿宋"/>
                <w:kern w:val="2"/>
                <w:szCs w:val="21"/>
              </w:rPr>
              <w:t>G1</w:t>
            </w:r>
            <w:r>
              <w:rPr>
                <w:rFonts w:ascii="Times New Roman" w:hAnsi="等线" w:eastAsia="仿宋"/>
                <w:kern w:val="2"/>
                <w:szCs w:val="21"/>
              </w:rPr>
              <w:t>6</w:t>
            </w:r>
          </w:p>
        </w:tc>
        <w:tc>
          <w:tcPr>
            <w:tcW w:w="1209" w:type="dxa"/>
            <w:vAlign w:val="center"/>
          </w:tcPr>
          <w:p w14:paraId="62FF0470">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2FDFD056">
            <w:pPr>
              <w:widowControl/>
              <w:jc w:val="center"/>
              <w:textAlignment w:val="center"/>
              <w:rPr>
                <w:rFonts w:ascii="Times New Roman" w:hAnsi="等线" w:eastAsia="仿宋"/>
                <w:kern w:val="2"/>
                <w:szCs w:val="21"/>
              </w:rPr>
            </w:pPr>
            <w:r>
              <w:rPr>
                <w:rFonts w:ascii="Times New Roman"/>
                <w:szCs w:val="24"/>
                <w:lang w:bidi="ar"/>
              </w:rPr>
              <w:t>0.12</w:t>
            </w:r>
          </w:p>
        </w:tc>
        <w:tc>
          <w:tcPr>
            <w:tcW w:w="1091" w:type="dxa"/>
            <w:shd w:val="clear" w:color="auto" w:fill="auto"/>
            <w:vAlign w:val="center"/>
          </w:tcPr>
          <w:p w14:paraId="50515E11">
            <w:pPr>
              <w:widowControl/>
              <w:jc w:val="center"/>
              <w:textAlignment w:val="center"/>
              <w:rPr>
                <w:rFonts w:ascii="Times New Roman" w:hAnsi="等线" w:eastAsia="仿宋"/>
                <w:kern w:val="2"/>
                <w:szCs w:val="21"/>
              </w:rPr>
            </w:pPr>
            <w:r>
              <w:rPr>
                <w:rFonts w:ascii="Times New Roman"/>
                <w:szCs w:val="24"/>
                <w:lang w:bidi="ar"/>
              </w:rPr>
              <w:t>0.12</w:t>
            </w:r>
          </w:p>
        </w:tc>
        <w:tc>
          <w:tcPr>
            <w:tcW w:w="996" w:type="dxa"/>
            <w:vMerge w:val="continue"/>
            <w:vAlign w:val="center"/>
          </w:tcPr>
          <w:p w14:paraId="7CEB179A">
            <w:pPr>
              <w:pStyle w:val="35"/>
            </w:pPr>
          </w:p>
        </w:tc>
        <w:tc>
          <w:tcPr>
            <w:tcW w:w="1017" w:type="dxa"/>
            <w:vMerge w:val="continue"/>
            <w:vAlign w:val="center"/>
          </w:tcPr>
          <w:p w14:paraId="2C56960D">
            <w:pPr>
              <w:pStyle w:val="35"/>
            </w:pPr>
          </w:p>
        </w:tc>
      </w:tr>
      <w:tr w14:paraId="2B2A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2E505916">
            <w:pPr>
              <w:pStyle w:val="35"/>
            </w:pPr>
          </w:p>
        </w:tc>
        <w:tc>
          <w:tcPr>
            <w:tcW w:w="1475" w:type="dxa"/>
            <w:vMerge w:val="continue"/>
            <w:vAlign w:val="center"/>
          </w:tcPr>
          <w:p w14:paraId="7608CB2A">
            <w:pPr>
              <w:spacing w:line="280" w:lineRule="exact"/>
              <w:jc w:val="center"/>
              <w:rPr>
                <w:rFonts w:ascii="Times New Roman" w:hAnsi="等线" w:eastAsia="仿宋"/>
                <w:kern w:val="2"/>
                <w:szCs w:val="21"/>
              </w:rPr>
            </w:pPr>
          </w:p>
        </w:tc>
        <w:tc>
          <w:tcPr>
            <w:tcW w:w="1209" w:type="dxa"/>
            <w:vAlign w:val="center"/>
          </w:tcPr>
          <w:p w14:paraId="01E0A58F">
            <w:pPr>
              <w:spacing w:line="280" w:lineRule="exact"/>
              <w:jc w:val="center"/>
              <w:rPr>
                <w:rFonts w:ascii="Times New Roman" w:hAnsi="等线" w:eastAsia="仿宋"/>
                <w:kern w:val="2"/>
                <w:szCs w:val="21"/>
              </w:rPr>
            </w:pPr>
            <w:r>
              <w:rPr>
                <w:rFonts w:hint="eastAsia" w:ascii="Times New Roman" w:hAnsi="等线" w:eastAsia="仿宋"/>
                <w:kern w:val="2"/>
                <w:szCs w:val="21"/>
              </w:rPr>
              <w:t>二甲苯</w:t>
            </w:r>
          </w:p>
        </w:tc>
        <w:tc>
          <w:tcPr>
            <w:tcW w:w="941" w:type="dxa"/>
            <w:vAlign w:val="center"/>
          </w:tcPr>
          <w:p w14:paraId="749AA245">
            <w:pPr>
              <w:widowControl/>
              <w:jc w:val="center"/>
              <w:textAlignment w:val="center"/>
              <w:rPr>
                <w:rFonts w:ascii="Times New Roman" w:hAnsi="等线" w:eastAsia="仿宋"/>
                <w:kern w:val="2"/>
                <w:szCs w:val="21"/>
              </w:rPr>
            </w:pPr>
            <w:r>
              <w:rPr>
                <w:rFonts w:ascii="Times New Roman"/>
                <w:szCs w:val="24"/>
                <w:lang w:bidi="ar"/>
              </w:rPr>
              <w:t>0.03</w:t>
            </w:r>
          </w:p>
        </w:tc>
        <w:tc>
          <w:tcPr>
            <w:tcW w:w="1091" w:type="dxa"/>
            <w:shd w:val="clear" w:color="auto" w:fill="auto"/>
            <w:vAlign w:val="center"/>
          </w:tcPr>
          <w:p w14:paraId="3E79F3CF">
            <w:pPr>
              <w:widowControl/>
              <w:jc w:val="center"/>
              <w:textAlignment w:val="center"/>
              <w:rPr>
                <w:rFonts w:ascii="Times New Roman" w:hAnsi="等线" w:eastAsia="仿宋"/>
                <w:kern w:val="2"/>
                <w:szCs w:val="21"/>
              </w:rPr>
            </w:pPr>
            <w:r>
              <w:rPr>
                <w:rFonts w:ascii="Times New Roman"/>
                <w:szCs w:val="24"/>
                <w:lang w:bidi="ar"/>
              </w:rPr>
              <w:t>0.03</w:t>
            </w:r>
          </w:p>
        </w:tc>
        <w:tc>
          <w:tcPr>
            <w:tcW w:w="996" w:type="dxa"/>
            <w:vMerge w:val="continue"/>
            <w:vAlign w:val="center"/>
          </w:tcPr>
          <w:p w14:paraId="59B48D21">
            <w:pPr>
              <w:pStyle w:val="35"/>
            </w:pPr>
          </w:p>
        </w:tc>
        <w:tc>
          <w:tcPr>
            <w:tcW w:w="1017" w:type="dxa"/>
            <w:vMerge w:val="continue"/>
            <w:vAlign w:val="center"/>
          </w:tcPr>
          <w:p w14:paraId="4C601DD1">
            <w:pPr>
              <w:pStyle w:val="35"/>
            </w:pPr>
          </w:p>
        </w:tc>
      </w:tr>
      <w:tr w14:paraId="0D7C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4BF3305D">
            <w:pPr>
              <w:pStyle w:val="35"/>
            </w:pPr>
          </w:p>
        </w:tc>
        <w:tc>
          <w:tcPr>
            <w:tcW w:w="1475" w:type="dxa"/>
            <w:vMerge w:val="continue"/>
            <w:vAlign w:val="center"/>
          </w:tcPr>
          <w:p w14:paraId="2E15DE06">
            <w:pPr>
              <w:spacing w:line="280" w:lineRule="exact"/>
              <w:jc w:val="center"/>
              <w:rPr>
                <w:rFonts w:ascii="Times New Roman" w:hAnsi="等线" w:eastAsia="仿宋"/>
                <w:kern w:val="2"/>
                <w:szCs w:val="21"/>
              </w:rPr>
            </w:pPr>
          </w:p>
        </w:tc>
        <w:tc>
          <w:tcPr>
            <w:tcW w:w="1209" w:type="dxa"/>
            <w:vAlign w:val="center"/>
          </w:tcPr>
          <w:p w14:paraId="54386137">
            <w:pPr>
              <w:spacing w:line="280" w:lineRule="exact"/>
              <w:jc w:val="center"/>
              <w:rPr>
                <w:rFonts w:ascii="Times New Roman" w:hAnsi="等线" w:eastAsia="仿宋"/>
                <w:kern w:val="2"/>
                <w:szCs w:val="21"/>
              </w:rPr>
            </w:pPr>
            <w:r>
              <w:rPr>
                <w:rFonts w:hint="eastAsia" w:ascii="Times New Roman" w:hAnsi="等线" w:eastAsia="仿宋"/>
                <w:kern w:val="2"/>
                <w:szCs w:val="21"/>
              </w:rPr>
              <w:t>苯系物</w:t>
            </w:r>
          </w:p>
        </w:tc>
        <w:tc>
          <w:tcPr>
            <w:tcW w:w="941" w:type="dxa"/>
            <w:vAlign w:val="center"/>
          </w:tcPr>
          <w:p w14:paraId="262C22ED">
            <w:pPr>
              <w:widowControl/>
              <w:jc w:val="center"/>
              <w:textAlignment w:val="center"/>
              <w:rPr>
                <w:rFonts w:ascii="Times New Roman" w:hAnsi="等线" w:eastAsia="仿宋"/>
                <w:kern w:val="2"/>
                <w:szCs w:val="21"/>
              </w:rPr>
            </w:pPr>
            <w:r>
              <w:rPr>
                <w:rFonts w:ascii="Times New Roman"/>
                <w:szCs w:val="24"/>
                <w:lang w:bidi="ar"/>
              </w:rPr>
              <w:t>0.03</w:t>
            </w:r>
          </w:p>
        </w:tc>
        <w:tc>
          <w:tcPr>
            <w:tcW w:w="1091" w:type="dxa"/>
            <w:shd w:val="clear" w:color="auto" w:fill="auto"/>
            <w:vAlign w:val="center"/>
          </w:tcPr>
          <w:p w14:paraId="638C2A15">
            <w:pPr>
              <w:widowControl/>
              <w:jc w:val="center"/>
              <w:textAlignment w:val="center"/>
              <w:rPr>
                <w:rFonts w:ascii="Times New Roman" w:hAnsi="等线" w:eastAsia="仿宋"/>
                <w:kern w:val="2"/>
                <w:szCs w:val="21"/>
              </w:rPr>
            </w:pPr>
            <w:r>
              <w:rPr>
                <w:rFonts w:ascii="Times New Roman"/>
                <w:szCs w:val="24"/>
                <w:lang w:bidi="ar"/>
              </w:rPr>
              <w:t>0.03</w:t>
            </w:r>
          </w:p>
        </w:tc>
        <w:tc>
          <w:tcPr>
            <w:tcW w:w="996" w:type="dxa"/>
            <w:vMerge w:val="continue"/>
            <w:vAlign w:val="center"/>
          </w:tcPr>
          <w:p w14:paraId="61DD9344">
            <w:pPr>
              <w:pStyle w:val="35"/>
            </w:pPr>
          </w:p>
        </w:tc>
        <w:tc>
          <w:tcPr>
            <w:tcW w:w="1017" w:type="dxa"/>
            <w:vMerge w:val="continue"/>
            <w:vAlign w:val="center"/>
          </w:tcPr>
          <w:p w14:paraId="7E54BC26">
            <w:pPr>
              <w:pStyle w:val="35"/>
            </w:pPr>
          </w:p>
        </w:tc>
      </w:tr>
      <w:tr w14:paraId="2208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 w:type="dxa"/>
            <w:vMerge w:val="continue"/>
          </w:tcPr>
          <w:p w14:paraId="694A2680">
            <w:pPr>
              <w:pStyle w:val="35"/>
            </w:pPr>
          </w:p>
        </w:tc>
        <w:tc>
          <w:tcPr>
            <w:tcW w:w="1475" w:type="dxa"/>
            <w:vAlign w:val="center"/>
          </w:tcPr>
          <w:p w14:paraId="22137220">
            <w:pPr>
              <w:spacing w:line="280" w:lineRule="exact"/>
              <w:jc w:val="center"/>
              <w:rPr>
                <w:rFonts w:ascii="Times New Roman" w:hAnsi="等线" w:eastAsia="仿宋"/>
                <w:kern w:val="2"/>
                <w:szCs w:val="21"/>
              </w:rPr>
            </w:pPr>
            <w:r>
              <w:rPr>
                <w:rFonts w:ascii="Times New Roman" w:hAnsi="等线" w:eastAsia="仿宋"/>
                <w:kern w:val="2"/>
                <w:szCs w:val="21"/>
              </w:rPr>
              <w:t>未</w:t>
            </w:r>
            <w:r>
              <w:rPr>
                <w:rFonts w:hint="eastAsia" w:ascii="Times New Roman" w:hAnsi="等线" w:eastAsia="仿宋"/>
                <w:kern w:val="2"/>
                <w:szCs w:val="21"/>
              </w:rPr>
              <w:t>收</w:t>
            </w:r>
            <w:r>
              <w:rPr>
                <w:rFonts w:ascii="Times New Roman" w:hAnsi="等线" w:eastAsia="仿宋"/>
                <w:kern w:val="2"/>
                <w:szCs w:val="21"/>
              </w:rPr>
              <w:t>集到的</w:t>
            </w:r>
            <w:r>
              <w:rPr>
                <w:rFonts w:hint="eastAsia" w:ascii="Times New Roman" w:hAnsi="等线" w:eastAsia="仿宋"/>
                <w:kern w:val="2"/>
                <w:szCs w:val="21"/>
              </w:rPr>
              <w:t>喷枪清洗废气G</w:t>
            </w:r>
            <w:r>
              <w:rPr>
                <w:rFonts w:ascii="Times New Roman" w:hAnsi="等线" w:eastAsia="仿宋"/>
                <w:kern w:val="2"/>
                <w:szCs w:val="21"/>
              </w:rPr>
              <w:t>18</w:t>
            </w:r>
          </w:p>
        </w:tc>
        <w:tc>
          <w:tcPr>
            <w:tcW w:w="1209" w:type="dxa"/>
            <w:vAlign w:val="center"/>
          </w:tcPr>
          <w:p w14:paraId="1E7EBDF4">
            <w:pPr>
              <w:spacing w:line="280" w:lineRule="exact"/>
              <w:jc w:val="center"/>
              <w:rPr>
                <w:rFonts w:ascii="Times New Roman" w:hAnsi="等线" w:eastAsia="仿宋"/>
                <w:kern w:val="2"/>
                <w:szCs w:val="21"/>
              </w:rPr>
            </w:pPr>
            <w:r>
              <w:rPr>
                <w:rFonts w:hint="eastAsia" w:ascii="Times New Roman" w:hAnsi="等线" w:eastAsia="仿宋"/>
                <w:kern w:val="2"/>
                <w:szCs w:val="21"/>
              </w:rPr>
              <w:t>非甲烷总烃</w:t>
            </w:r>
          </w:p>
        </w:tc>
        <w:tc>
          <w:tcPr>
            <w:tcW w:w="941" w:type="dxa"/>
            <w:vAlign w:val="center"/>
          </w:tcPr>
          <w:p w14:paraId="262FACFB">
            <w:pPr>
              <w:widowControl/>
              <w:jc w:val="center"/>
              <w:textAlignment w:val="center"/>
              <w:rPr>
                <w:rFonts w:ascii="Times New Roman" w:hAnsi="等线" w:eastAsia="仿宋"/>
                <w:kern w:val="2"/>
                <w:szCs w:val="21"/>
              </w:rPr>
            </w:pPr>
            <w:r>
              <w:rPr>
                <w:rFonts w:ascii="Times New Roman"/>
                <w:szCs w:val="24"/>
                <w:lang w:bidi="ar"/>
              </w:rPr>
              <w:t>0.01</w:t>
            </w:r>
          </w:p>
        </w:tc>
        <w:tc>
          <w:tcPr>
            <w:tcW w:w="1091" w:type="dxa"/>
            <w:shd w:val="clear" w:color="auto" w:fill="auto"/>
            <w:vAlign w:val="center"/>
          </w:tcPr>
          <w:p w14:paraId="3939684C">
            <w:pPr>
              <w:widowControl/>
              <w:jc w:val="center"/>
              <w:textAlignment w:val="center"/>
              <w:rPr>
                <w:rFonts w:ascii="Times New Roman" w:hAnsi="等线" w:eastAsia="仿宋"/>
                <w:kern w:val="2"/>
                <w:szCs w:val="21"/>
              </w:rPr>
            </w:pPr>
            <w:r>
              <w:rPr>
                <w:rFonts w:ascii="Times New Roman"/>
                <w:szCs w:val="24"/>
                <w:lang w:bidi="ar"/>
              </w:rPr>
              <w:t>0.01</w:t>
            </w:r>
          </w:p>
        </w:tc>
        <w:tc>
          <w:tcPr>
            <w:tcW w:w="996" w:type="dxa"/>
            <w:vMerge w:val="continue"/>
            <w:vAlign w:val="center"/>
          </w:tcPr>
          <w:p w14:paraId="478ED0D3">
            <w:pPr>
              <w:pStyle w:val="35"/>
            </w:pPr>
          </w:p>
        </w:tc>
        <w:tc>
          <w:tcPr>
            <w:tcW w:w="1017" w:type="dxa"/>
            <w:vMerge w:val="continue"/>
            <w:vAlign w:val="center"/>
          </w:tcPr>
          <w:p w14:paraId="5FABC2E4">
            <w:pPr>
              <w:pStyle w:val="35"/>
            </w:pPr>
          </w:p>
        </w:tc>
      </w:tr>
    </w:tbl>
    <w:p w14:paraId="29F7F0FA">
      <w:pPr>
        <w:pStyle w:val="6"/>
        <w:keepLines w:val="0"/>
        <w:tabs>
          <w:tab w:val="left" w:pos="709"/>
        </w:tabs>
        <w:spacing w:before="120" w:beforeLines="50" w:after="120" w:afterLines="50" w:line="500" w:lineRule="exact"/>
        <w:rPr>
          <w:rFonts w:ascii="Times New Roman" w:eastAsia="仿宋"/>
          <w:sz w:val="30"/>
          <w:szCs w:val="30"/>
        </w:rPr>
      </w:pPr>
      <w:r>
        <w:rPr>
          <w:rFonts w:ascii="Times New Roman" w:eastAsia="仿宋"/>
          <w:sz w:val="30"/>
          <w:szCs w:val="30"/>
        </w:rPr>
        <w:t>3.5.3噪声污染物源强及排放情况</w:t>
      </w:r>
    </w:p>
    <w:p w14:paraId="16396454">
      <w:pPr>
        <w:spacing w:line="500" w:lineRule="exact"/>
        <w:ind w:firstLine="560" w:firstLineChars="200"/>
        <w:rPr>
          <w:rFonts w:ascii="Times New Roman" w:eastAsia="仿宋"/>
          <w:bCs/>
          <w:sz w:val="28"/>
          <w:szCs w:val="28"/>
        </w:rPr>
      </w:pPr>
      <w:r>
        <w:rPr>
          <w:rFonts w:ascii="Times New Roman" w:eastAsia="仿宋"/>
          <w:bCs/>
          <w:sz w:val="28"/>
          <w:szCs w:val="28"/>
        </w:rPr>
        <w:t>本项目噪声产生及排放情况见下表。</w:t>
      </w:r>
      <w:bookmarkStart w:id="231" w:name="_Ref381089991"/>
    </w:p>
    <w:p w14:paraId="16B117AF">
      <w:pPr>
        <w:jc w:val="center"/>
        <w:rPr>
          <w:rFonts w:ascii="Times New Roman" w:eastAsia="仿宋"/>
        </w:rPr>
        <w:sectPr>
          <w:footerReference r:id="rId15" w:type="default"/>
          <w:pgSz w:w="11906" w:h="16838"/>
          <w:pgMar w:top="1800" w:right="1440" w:bottom="1800" w:left="1440" w:header="851" w:footer="992" w:gutter="0"/>
          <w:cols w:space="720" w:num="1"/>
          <w:docGrid w:linePitch="326" w:charSpace="0"/>
        </w:sectPr>
      </w:pPr>
    </w:p>
    <w:bookmarkEnd w:id="231"/>
    <w:p w14:paraId="1AE818D7">
      <w:pPr>
        <w:spacing w:line="500" w:lineRule="exact"/>
        <w:ind w:firstLine="482" w:firstLineChars="200"/>
        <w:jc w:val="center"/>
        <w:rPr>
          <w:rFonts w:ascii="Times New Roman" w:eastAsia="仿宋"/>
          <w:b/>
          <w:bCs/>
        </w:rPr>
      </w:pPr>
      <w:r>
        <w:rPr>
          <w:rFonts w:ascii="Times New Roman" w:eastAsia="仿宋"/>
          <w:b/>
          <w:bCs/>
        </w:rPr>
        <w:t>表3.5-4  工业企业噪声源强调查清单（室内声源）</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180"/>
        <w:gridCol w:w="1678"/>
        <w:gridCol w:w="1196"/>
        <w:gridCol w:w="1557"/>
        <w:gridCol w:w="1010"/>
        <w:gridCol w:w="1095"/>
        <w:gridCol w:w="1056"/>
        <w:gridCol w:w="937"/>
        <w:gridCol w:w="773"/>
        <w:gridCol w:w="1112"/>
        <w:gridCol w:w="1354"/>
      </w:tblGrid>
      <w:tr w14:paraId="1738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Merge w:val="restart"/>
            <w:vAlign w:val="center"/>
          </w:tcPr>
          <w:p w14:paraId="3CF28BCA">
            <w:pPr>
              <w:spacing w:line="240" w:lineRule="atLeast"/>
              <w:jc w:val="center"/>
              <w:rPr>
                <w:rFonts w:ascii="Times New Roman" w:eastAsia="仿宋"/>
                <w:bCs/>
                <w:szCs w:val="21"/>
              </w:rPr>
            </w:pPr>
            <w:r>
              <w:rPr>
                <w:rFonts w:ascii="Times New Roman" w:eastAsia="仿宋"/>
                <w:bCs/>
                <w:szCs w:val="21"/>
              </w:rPr>
              <w:t>序号</w:t>
            </w:r>
          </w:p>
        </w:tc>
        <w:tc>
          <w:tcPr>
            <w:tcW w:w="438" w:type="pct"/>
            <w:vMerge w:val="restart"/>
            <w:vAlign w:val="center"/>
          </w:tcPr>
          <w:p w14:paraId="64409393">
            <w:pPr>
              <w:spacing w:line="240" w:lineRule="atLeast"/>
              <w:jc w:val="center"/>
              <w:rPr>
                <w:rFonts w:ascii="Times New Roman" w:eastAsia="仿宋"/>
                <w:bCs/>
                <w:szCs w:val="21"/>
              </w:rPr>
            </w:pPr>
            <w:r>
              <w:rPr>
                <w:rFonts w:ascii="Times New Roman" w:eastAsia="仿宋"/>
                <w:bCs/>
                <w:szCs w:val="21"/>
              </w:rPr>
              <w:t>建筑物名称</w:t>
            </w:r>
          </w:p>
        </w:tc>
        <w:tc>
          <w:tcPr>
            <w:tcW w:w="623" w:type="pct"/>
            <w:vMerge w:val="restart"/>
            <w:vAlign w:val="center"/>
          </w:tcPr>
          <w:p w14:paraId="23ABED0F">
            <w:pPr>
              <w:spacing w:line="240" w:lineRule="atLeast"/>
              <w:jc w:val="center"/>
              <w:rPr>
                <w:rFonts w:ascii="Times New Roman" w:eastAsia="仿宋"/>
                <w:bCs/>
                <w:szCs w:val="21"/>
              </w:rPr>
            </w:pPr>
            <w:r>
              <w:rPr>
                <w:rFonts w:ascii="Times New Roman" w:eastAsia="仿宋"/>
                <w:bCs/>
                <w:szCs w:val="21"/>
              </w:rPr>
              <w:t>声源名称</w:t>
            </w:r>
          </w:p>
        </w:tc>
        <w:tc>
          <w:tcPr>
            <w:tcW w:w="444" w:type="pct"/>
            <w:vMerge w:val="restart"/>
            <w:vAlign w:val="center"/>
          </w:tcPr>
          <w:p w14:paraId="6C26F3B0">
            <w:pPr>
              <w:spacing w:line="240" w:lineRule="atLeast"/>
              <w:jc w:val="center"/>
              <w:rPr>
                <w:rFonts w:ascii="Times New Roman" w:eastAsia="仿宋"/>
                <w:bCs/>
                <w:szCs w:val="21"/>
              </w:rPr>
            </w:pPr>
            <w:r>
              <w:rPr>
                <w:rFonts w:ascii="Times New Roman" w:eastAsia="仿宋"/>
                <w:bCs/>
                <w:szCs w:val="21"/>
              </w:rPr>
              <w:t>声功率级/dB(A)</w:t>
            </w:r>
          </w:p>
        </w:tc>
        <w:tc>
          <w:tcPr>
            <w:tcW w:w="578" w:type="pct"/>
            <w:vMerge w:val="restart"/>
            <w:vAlign w:val="center"/>
          </w:tcPr>
          <w:p w14:paraId="453B0EFB">
            <w:pPr>
              <w:spacing w:line="240" w:lineRule="atLeast"/>
              <w:jc w:val="center"/>
              <w:rPr>
                <w:rFonts w:ascii="Times New Roman" w:eastAsia="仿宋"/>
                <w:bCs/>
                <w:szCs w:val="21"/>
              </w:rPr>
            </w:pPr>
            <w:r>
              <w:rPr>
                <w:rFonts w:ascii="Times New Roman" w:eastAsia="仿宋"/>
                <w:bCs/>
                <w:szCs w:val="21"/>
              </w:rPr>
              <w:t>同类设备叠加声功率级/dB(A)</w:t>
            </w:r>
          </w:p>
        </w:tc>
        <w:tc>
          <w:tcPr>
            <w:tcW w:w="375" w:type="pct"/>
            <w:vMerge w:val="restart"/>
            <w:vAlign w:val="center"/>
          </w:tcPr>
          <w:p w14:paraId="14B1ED28">
            <w:pPr>
              <w:spacing w:line="240" w:lineRule="atLeast"/>
              <w:jc w:val="center"/>
              <w:rPr>
                <w:rFonts w:ascii="Times New Roman" w:eastAsia="仿宋"/>
                <w:bCs/>
                <w:szCs w:val="21"/>
              </w:rPr>
            </w:pPr>
            <w:r>
              <w:rPr>
                <w:rFonts w:ascii="Times New Roman" w:eastAsia="仿宋"/>
                <w:bCs/>
                <w:szCs w:val="21"/>
              </w:rPr>
              <w:t>声源控制措施</w:t>
            </w:r>
          </w:p>
        </w:tc>
        <w:tc>
          <w:tcPr>
            <w:tcW w:w="407" w:type="pct"/>
            <w:vMerge w:val="restart"/>
            <w:vAlign w:val="center"/>
          </w:tcPr>
          <w:p w14:paraId="1B159169">
            <w:pPr>
              <w:spacing w:line="240" w:lineRule="atLeast"/>
              <w:jc w:val="center"/>
              <w:rPr>
                <w:rFonts w:ascii="Times New Roman" w:eastAsia="仿宋"/>
                <w:bCs/>
                <w:szCs w:val="21"/>
              </w:rPr>
            </w:pPr>
            <w:r>
              <w:rPr>
                <w:rFonts w:ascii="Times New Roman" w:eastAsia="仿宋"/>
                <w:bCs/>
                <w:szCs w:val="21"/>
              </w:rPr>
              <w:t>数量（台/套）</w:t>
            </w:r>
          </w:p>
        </w:tc>
        <w:tc>
          <w:tcPr>
            <w:tcW w:w="1027" w:type="pct"/>
            <w:gridSpan w:val="3"/>
            <w:vAlign w:val="center"/>
          </w:tcPr>
          <w:p w14:paraId="0F8D8350">
            <w:pPr>
              <w:spacing w:line="240" w:lineRule="atLeast"/>
              <w:jc w:val="center"/>
              <w:rPr>
                <w:rFonts w:ascii="Times New Roman" w:eastAsia="仿宋"/>
                <w:bCs/>
                <w:szCs w:val="21"/>
              </w:rPr>
            </w:pPr>
            <w:r>
              <w:rPr>
                <w:rFonts w:ascii="Times New Roman" w:eastAsia="仿宋"/>
                <w:bCs/>
                <w:szCs w:val="21"/>
              </w:rPr>
              <w:t>空间相对位置/m</w:t>
            </w:r>
          </w:p>
        </w:tc>
        <w:tc>
          <w:tcPr>
            <w:tcW w:w="413" w:type="pct"/>
            <w:vMerge w:val="restart"/>
            <w:vAlign w:val="center"/>
          </w:tcPr>
          <w:p w14:paraId="1C510E56">
            <w:pPr>
              <w:spacing w:line="240" w:lineRule="atLeast"/>
              <w:jc w:val="center"/>
              <w:rPr>
                <w:rFonts w:ascii="Times New Roman" w:eastAsia="仿宋"/>
                <w:bCs/>
                <w:szCs w:val="21"/>
              </w:rPr>
            </w:pPr>
            <w:r>
              <w:rPr>
                <w:rFonts w:ascii="Times New Roman" w:eastAsia="仿宋"/>
                <w:bCs/>
                <w:szCs w:val="21"/>
              </w:rPr>
              <w:t>源强降噪效果/dB(A)</w:t>
            </w:r>
          </w:p>
        </w:tc>
        <w:tc>
          <w:tcPr>
            <w:tcW w:w="503" w:type="pct"/>
            <w:vMerge w:val="restart"/>
            <w:vAlign w:val="center"/>
          </w:tcPr>
          <w:p w14:paraId="0A1CDE22">
            <w:pPr>
              <w:spacing w:line="240" w:lineRule="atLeast"/>
              <w:jc w:val="center"/>
              <w:rPr>
                <w:rFonts w:ascii="Times New Roman" w:eastAsia="仿宋"/>
                <w:bCs/>
                <w:szCs w:val="21"/>
              </w:rPr>
            </w:pPr>
            <w:r>
              <w:rPr>
                <w:rFonts w:ascii="Times New Roman" w:eastAsia="仿宋"/>
                <w:bCs/>
                <w:szCs w:val="21"/>
              </w:rPr>
              <w:t>运行时段</w:t>
            </w:r>
          </w:p>
        </w:tc>
      </w:tr>
      <w:tr w14:paraId="2229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Merge w:val="continue"/>
            <w:vAlign w:val="center"/>
          </w:tcPr>
          <w:p w14:paraId="5399414D">
            <w:pPr>
              <w:spacing w:after="120"/>
              <w:jc w:val="center"/>
              <w:rPr>
                <w:rFonts w:ascii="Times New Roman" w:eastAsia="仿宋"/>
                <w:szCs w:val="21"/>
              </w:rPr>
            </w:pPr>
          </w:p>
        </w:tc>
        <w:tc>
          <w:tcPr>
            <w:tcW w:w="438" w:type="pct"/>
            <w:vMerge w:val="continue"/>
            <w:vAlign w:val="center"/>
          </w:tcPr>
          <w:p w14:paraId="48C9CCA1">
            <w:pPr>
              <w:spacing w:after="120"/>
              <w:jc w:val="center"/>
              <w:rPr>
                <w:rFonts w:ascii="Times New Roman" w:eastAsia="仿宋"/>
                <w:szCs w:val="21"/>
              </w:rPr>
            </w:pPr>
          </w:p>
        </w:tc>
        <w:tc>
          <w:tcPr>
            <w:tcW w:w="623" w:type="pct"/>
            <w:vMerge w:val="continue"/>
            <w:vAlign w:val="center"/>
          </w:tcPr>
          <w:p w14:paraId="312E1E94">
            <w:pPr>
              <w:spacing w:after="120"/>
              <w:jc w:val="center"/>
              <w:rPr>
                <w:rFonts w:ascii="Times New Roman" w:eastAsia="仿宋"/>
                <w:szCs w:val="21"/>
              </w:rPr>
            </w:pPr>
          </w:p>
        </w:tc>
        <w:tc>
          <w:tcPr>
            <w:tcW w:w="444" w:type="pct"/>
            <w:vMerge w:val="continue"/>
            <w:vAlign w:val="center"/>
          </w:tcPr>
          <w:p w14:paraId="15168719">
            <w:pPr>
              <w:spacing w:after="120"/>
              <w:jc w:val="center"/>
              <w:rPr>
                <w:rFonts w:ascii="Times New Roman" w:eastAsia="仿宋"/>
                <w:szCs w:val="21"/>
              </w:rPr>
            </w:pPr>
          </w:p>
        </w:tc>
        <w:tc>
          <w:tcPr>
            <w:tcW w:w="578" w:type="pct"/>
            <w:vMerge w:val="continue"/>
            <w:vAlign w:val="center"/>
          </w:tcPr>
          <w:p w14:paraId="71DD5D11">
            <w:pPr>
              <w:spacing w:after="120"/>
              <w:jc w:val="center"/>
              <w:rPr>
                <w:rFonts w:ascii="Times New Roman" w:eastAsia="仿宋"/>
                <w:szCs w:val="21"/>
              </w:rPr>
            </w:pPr>
          </w:p>
        </w:tc>
        <w:tc>
          <w:tcPr>
            <w:tcW w:w="375" w:type="pct"/>
            <w:vMerge w:val="continue"/>
            <w:vAlign w:val="center"/>
          </w:tcPr>
          <w:p w14:paraId="6D1D1355">
            <w:pPr>
              <w:spacing w:after="120"/>
              <w:jc w:val="center"/>
              <w:rPr>
                <w:rFonts w:ascii="Times New Roman" w:eastAsia="仿宋"/>
                <w:szCs w:val="21"/>
              </w:rPr>
            </w:pPr>
          </w:p>
        </w:tc>
        <w:tc>
          <w:tcPr>
            <w:tcW w:w="407" w:type="pct"/>
            <w:vMerge w:val="continue"/>
            <w:vAlign w:val="center"/>
          </w:tcPr>
          <w:p w14:paraId="67299EB6">
            <w:pPr>
              <w:spacing w:line="240" w:lineRule="atLeast"/>
              <w:jc w:val="center"/>
              <w:rPr>
                <w:rFonts w:ascii="Times New Roman" w:eastAsia="仿宋"/>
                <w:bCs/>
                <w:szCs w:val="21"/>
              </w:rPr>
            </w:pPr>
          </w:p>
        </w:tc>
        <w:tc>
          <w:tcPr>
            <w:tcW w:w="392" w:type="pct"/>
            <w:vAlign w:val="center"/>
          </w:tcPr>
          <w:p w14:paraId="264A2072">
            <w:pPr>
              <w:spacing w:line="240" w:lineRule="atLeast"/>
              <w:jc w:val="center"/>
              <w:rPr>
                <w:rFonts w:ascii="Times New Roman" w:eastAsia="仿宋"/>
                <w:bCs/>
                <w:szCs w:val="21"/>
              </w:rPr>
            </w:pPr>
            <w:r>
              <w:rPr>
                <w:rFonts w:ascii="Times New Roman" w:eastAsia="仿宋"/>
                <w:bCs/>
                <w:szCs w:val="21"/>
              </w:rPr>
              <w:t>X</w:t>
            </w:r>
          </w:p>
        </w:tc>
        <w:tc>
          <w:tcPr>
            <w:tcW w:w="348" w:type="pct"/>
            <w:vAlign w:val="center"/>
          </w:tcPr>
          <w:p w14:paraId="7D31FD6C">
            <w:pPr>
              <w:spacing w:line="240" w:lineRule="atLeast"/>
              <w:jc w:val="center"/>
              <w:rPr>
                <w:rFonts w:ascii="Times New Roman" w:eastAsia="仿宋"/>
                <w:bCs/>
                <w:szCs w:val="21"/>
              </w:rPr>
            </w:pPr>
            <w:r>
              <w:rPr>
                <w:rFonts w:ascii="Times New Roman" w:eastAsia="仿宋"/>
                <w:bCs/>
                <w:szCs w:val="21"/>
              </w:rPr>
              <w:t>Y</w:t>
            </w:r>
          </w:p>
        </w:tc>
        <w:tc>
          <w:tcPr>
            <w:tcW w:w="287" w:type="pct"/>
            <w:vAlign w:val="center"/>
          </w:tcPr>
          <w:p w14:paraId="433B55F3">
            <w:pPr>
              <w:spacing w:line="240" w:lineRule="atLeast"/>
              <w:jc w:val="center"/>
              <w:rPr>
                <w:rFonts w:ascii="Times New Roman" w:eastAsia="仿宋"/>
                <w:bCs/>
                <w:szCs w:val="21"/>
              </w:rPr>
            </w:pPr>
            <w:r>
              <w:rPr>
                <w:rFonts w:ascii="Times New Roman" w:eastAsia="仿宋"/>
                <w:bCs/>
                <w:szCs w:val="21"/>
              </w:rPr>
              <w:t>Z</w:t>
            </w:r>
          </w:p>
        </w:tc>
        <w:tc>
          <w:tcPr>
            <w:tcW w:w="413" w:type="pct"/>
            <w:vMerge w:val="continue"/>
            <w:vAlign w:val="center"/>
          </w:tcPr>
          <w:p w14:paraId="10AF9C5F">
            <w:pPr>
              <w:spacing w:after="120"/>
              <w:jc w:val="center"/>
              <w:rPr>
                <w:rFonts w:ascii="Times New Roman" w:eastAsia="仿宋"/>
                <w:szCs w:val="21"/>
              </w:rPr>
            </w:pPr>
          </w:p>
        </w:tc>
        <w:tc>
          <w:tcPr>
            <w:tcW w:w="503" w:type="pct"/>
            <w:vMerge w:val="continue"/>
            <w:vAlign w:val="center"/>
          </w:tcPr>
          <w:p w14:paraId="79B99015">
            <w:pPr>
              <w:spacing w:after="120"/>
              <w:jc w:val="center"/>
              <w:rPr>
                <w:rFonts w:ascii="Times New Roman" w:eastAsia="仿宋"/>
                <w:szCs w:val="21"/>
              </w:rPr>
            </w:pPr>
          </w:p>
        </w:tc>
      </w:tr>
      <w:tr w14:paraId="1B52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8C42E0A">
            <w:pPr>
              <w:jc w:val="center"/>
              <w:rPr>
                <w:rFonts w:ascii="Times New Roman" w:eastAsia="仿宋"/>
                <w:szCs w:val="21"/>
              </w:rPr>
            </w:pPr>
            <w:r>
              <w:rPr>
                <w:rFonts w:ascii="Times New Roman" w:eastAsia="仿宋"/>
                <w:szCs w:val="21"/>
              </w:rPr>
              <w:t>1</w:t>
            </w:r>
          </w:p>
        </w:tc>
        <w:tc>
          <w:tcPr>
            <w:tcW w:w="438" w:type="pct"/>
            <w:vMerge w:val="restart"/>
            <w:vAlign w:val="center"/>
          </w:tcPr>
          <w:p w14:paraId="7142CDA1">
            <w:pPr>
              <w:jc w:val="center"/>
              <w:rPr>
                <w:rFonts w:ascii="Times New Roman" w:eastAsia="仿宋"/>
                <w:szCs w:val="21"/>
              </w:rPr>
            </w:pPr>
            <w:r>
              <w:rPr>
                <w:rFonts w:hint="eastAsia" w:ascii="Times New Roman" w:eastAsia="仿宋"/>
                <w:szCs w:val="21"/>
              </w:rPr>
              <w:t>1号钣金车间</w:t>
            </w:r>
          </w:p>
        </w:tc>
        <w:tc>
          <w:tcPr>
            <w:tcW w:w="623" w:type="pct"/>
            <w:vAlign w:val="center"/>
          </w:tcPr>
          <w:p w14:paraId="69DFE0D0">
            <w:pPr>
              <w:widowControl/>
              <w:jc w:val="center"/>
              <w:rPr>
                <w:rFonts w:ascii="Times New Roman" w:eastAsia="仿宋"/>
                <w:szCs w:val="21"/>
              </w:rPr>
            </w:pPr>
            <w:r>
              <w:rPr>
                <w:rFonts w:ascii="Times New Roman" w:eastAsia="仿宋"/>
                <w:szCs w:val="21"/>
              </w:rPr>
              <w:t>雕刻机</w:t>
            </w:r>
          </w:p>
        </w:tc>
        <w:tc>
          <w:tcPr>
            <w:tcW w:w="444" w:type="pct"/>
            <w:vAlign w:val="center"/>
          </w:tcPr>
          <w:p w14:paraId="402481D1">
            <w:pPr>
              <w:jc w:val="center"/>
              <w:rPr>
                <w:rFonts w:ascii="Times New Roman" w:eastAsia="仿宋"/>
                <w:szCs w:val="21"/>
              </w:rPr>
            </w:pPr>
            <w:r>
              <w:rPr>
                <w:rFonts w:ascii="Times New Roman" w:eastAsia="仿宋"/>
                <w:szCs w:val="21"/>
              </w:rPr>
              <w:t>7</w:t>
            </w:r>
            <w:r>
              <w:rPr>
                <w:rFonts w:hint="eastAsia" w:ascii="Times New Roman" w:eastAsia="仿宋"/>
                <w:szCs w:val="21"/>
              </w:rPr>
              <w:t>5</w:t>
            </w:r>
          </w:p>
        </w:tc>
        <w:tc>
          <w:tcPr>
            <w:tcW w:w="578" w:type="pct"/>
            <w:vAlign w:val="center"/>
          </w:tcPr>
          <w:p w14:paraId="53D089EC">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restart"/>
            <w:vAlign w:val="center"/>
          </w:tcPr>
          <w:p w14:paraId="278D134E">
            <w:pPr>
              <w:spacing w:line="240" w:lineRule="atLeast"/>
              <w:jc w:val="center"/>
              <w:rPr>
                <w:rFonts w:ascii="Times New Roman" w:eastAsia="仿宋"/>
                <w:bCs/>
                <w:szCs w:val="21"/>
              </w:rPr>
            </w:pPr>
            <w:r>
              <w:rPr>
                <w:rFonts w:ascii="Times New Roman" w:eastAsia="仿宋"/>
                <w:szCs w:val="21"/>
              </w:rPr>
              <w:t>基础减震、选用低噪声设备，生产时关闭门窗</w:t>
            </w:r>
          </w:p>
        </w:tc>
        <w:tc>
          <w:tcPr>
            <w:tcW w:w="407" w:type="pct"/>
            <w:vAlign w:val="center"/>
          </w:tcPr>
          <w:p w14:paraId="16EE5645">
            <w:pPr>
              <w:widowControl/>
              <w:jc w:val="center"/>
              <w:rPr>
                <w:rFonts w:ascii="Times New Roman" w:eastAsia="仿宋"/>
                <w:szCs w:val="21"/>
              </w:rPr>
            </w:pPr>
            <w:r>
              <w:rPr>
                <w:rFonts w:hint="eastAsia" w:ascii="Times New Roman" w:eastAsia="仿宋"/>
                <w:szCs w:val="21"/>
              </w:rPr>
              <w:t>6</w:t>
            </w:r>
          </w:p>
        </w:tc>
        <w:tc>
          <w:tcPr>
            <w:tcW w:w="392" w:type="pct"/>
          </w:tcPr>
          <w:p w14:paraId="3B1C5B69">
            <w:pPr>
              <w:jc w:val="center"/>
              <w:rPr>
                <w:rFonts w:ascii="Times New Roman" w:eastAsia="仿宋"/>
                <w:szCs w:val="21"/>
              </w:rPr>
            </w:pPr>
            <w:r>
              <w:rPr>
                <w:rFonts w:hint="eastAsia" w:ascii="Times New Roman" w:eastAsia="仿宋"/>
                <w:szCs w:val="21"/>
              </w:rPr>
              <w:t>1</w:t>
            </w:r>
            <w:r>
              <w:rPr>
                <w:rFonts w:ascii="Times New Roman" w:eastAsia="仿宋"/>
                <w:szCs w:val="21"/>
              </w:rPr>
              <w:t>79.5</w:t>
            </w:r>
          </w:p>
        </w:tc>
        <w:tc>
          <w:tcPr>
            <w:tcW w:w="348" w:type="pct"/>
          </w:tcPr>
          <w:p w14:paraId="73201C6A">
            <w:pPr>
              <w:jc w:val="center"/>
              <w:rPr>
                <w:rFonts w:ascii="Times New Roman" w:eastAsia="仿宋"/>
                <w:szCs w:val="21"/>
              </w:rPr>
            </w:pPr>
            <w:r>
              <w:rPr>
                <w:rFonts w:hint="eastAsia" w:ascii="Times New Roman" w:eastAsia="仿宋"/>
                <w:szCs w:val="21"/>
              </w:rPr>
              <w:t>42</w:t>
            </w:r>
            <w:r>
              <w:rPr>
                <w:rFonts w:ascii="Times New Roman" w:eastAsia="仿宋"/>
                <w:szCs w:val="21"/>
              </w:rPr>
              <w:t>.22</w:t>
            </w:r>
          </w:p>
        </w:tc>
        <w:tc>
          <w:tcPr>
            <w:tcW w:w="287" w:type="pct"/>
          </w:tcPr>
          <w:p w14:paraId="4DE87AC7">
            <w:pPr>
              <w:jc w:val="center"/>
              <w:rPr>
                <w:rFonts w:ascii="Times New Roman" w:eastAsia="仿宋"/>
                <w:szCs w:val="21"/>
              </w:rPr>
            </w:pPr>
            <w:r>
              <w:rPr>
                <w:rFonts w:hint="eastAsia" w:ascii="Times New Roman" w:eastAsia="仿宋"/>
                <w:szCs w:val="21"/>
              </w:rPr>
              <w:t>0</w:t>
            </w:r>
          </w:p>
        </w:tc>
        <w:tc>
          <w:tcPr>
            <w:tcW w:w="413" w:type="pct"/>
            <w:vAlign w:val="center"/>
          </w:tcPr>
          <w:p w14:paraId="4F6A0698">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618C0417">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5A1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0CA6EE6">
            <w:pPr>
              <w:jc w:val="center"/>
              <w:rPr>
                <w:rFonts w:ascii="Times New Roman" w:eastAsia="仿宋"/>
                <w:szCs w:val="21"/>
              </w:rPr>
            </w:pPr>
            <w:r>
              <w:rPr>
                <w:rFonts w:hint="eastAsia" w:ascii="Times New Roman" w:eastAsia="仿宋"/>
                <w:szCs w:val="21"/>
              </w:rPr>
              <w:t>2</w:t>
            </w:r>
          </w:p>
        </w:tc>
        <w:tc>
          <w:tcPr>
            <w:tcW w:w="438" w:type="pct"/>
            <w:vMerge w:val="continue"/>
            <w:vAlign w:val="center"/>
          </w:tcPr>
          <w:p w14:paraId="25FA2CBA">
            <w:pPr>
              <w:jc w:val="center"/>
              <w:rPr>
                <w:rFonts w:ascii="Times New Roman" w:eastAsia="仿宋"/>
                <w:szCs w:val="21"/>
              </w:rPr>
            </w:pPr>
          </w:p>
        </w:tc>
        <w:tc>
          <w:tcPr>
            <w:tcW w:w="623" w:type="pct"/>
            <w:vAlign w:val="center"/>
          </w:tcPr>
          <w:p w14:paraId="764F3FE1">
            <w:pPr>
              <w:widowControl/>
              <w:jc w:val="center"/>
              <w:rPr>
                <w:rFonts w:ascii="Times New Roman" w:eastAsia="仿宋"/>
                <w:szCs w:val="21"/>
              </w:rPr>
            </w:pPr>
            <w:r>
              <w:rPr>
                <w:rFonts w:hint="eastAsia" w:ascii="Times New Roman" w:eastAsia="仿宋"/>
                <w:szCs w:val="21"/>
              </w:rPr>
              <w:t>剪板机</w:t>
            </w:r>
          </w:p>
        </w:tc>
        <w:tc>
          <w:tcPr>
            <w:tcW w:w="444" w:type="pct"/>
            <w:vAlign w:val="center"/>
          </w:tcPr>
          <w:p w14:paraId="44545BA8">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35BE8D1C">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38CC4A72">
            <w:pPr>
              <w:spacing w:line="240" w:lineRule="atLeast"/>
              <w:jc w:val="center"/>
              <w:rPr>
                <w:rFonts w:ascii="Times New Roman" w:eastAsia="仿宋"/>
                <w:bCs/>
                <w:szCs w:val="21"/>
              </w:rPr>
            </w:pPr>
          </w:p>
        </w:tc>
        <w:tc>
          <w:tcPr>
            <w:tcW w:w="407" w:type="pct"/>
            <w:vAlign w:val="center"/>
          </w:tcPr>
          <w:p w14:paraId="01CBF9A8">
            <w:pPr>
              <w:widowControl/>
              <w:jc w:val="center"/>
              <w:rPr>
                <w:rFonts w:ascii="Times New Roman" w:eastAsia="仿宋"/>
                <w:szCs w:val="21"/>
              </w:rPr>
            </w:pPr>
            <w:r>
              <w:rPr>
                <w:rFonts w:hint="eastAsia" w:ascii="Times New Roman" w:eastAsia="仿宋"/>
                <w:szCs w:val="21"/>
              </w:rPr>
              <w:t>2</w:t>
            </w:r>
          </w:p>
        </w:tc>
        <w:tc>
          <w:tcPr>
            <w:tcW w:w="392" w:type="pct"/>
          </w:tcPr>
          <w:p w14:paraId="221E69A7">
            <w:pPr>
              <w:jc w:val="center"/>
              <w:rPr>
                <w:rFonts w:ascii="Times New Roman" w:eastAsia="仿宋"/>
                <w:szCs w:val="21"/>
              </w:rPr>
            </w:pPr>
            <w:r>
              <w:rPr>
                <w:rFonts w:hint="eastAsia" w:ascii="Times New Roman" w:eastAsia="仿宋"/>
                <w:szCs w:val="21"/>
              </w:rPr>
              <w:t>1</w:t>
            </w:r>
            <w:r>
              <w:rPr>
                <w:rFonts w:ascii="Times New Roman" w:eastAsia="仿宋"/>
                <w:szCs w:val="21"/>
              </w:rPr>
              <w:t>81.68</w:t>
            </w:r>
          </w:p>
        </w:tc>
        <w:tc>
          <w:tcPr>
            <w:tcW w:w="348" w:type="pct"/>
          </w:tcPr>
          <w:p w14:paraId="72F7D282">
            <w:pPr>
              <w:jc w:val="center"/>
              <w:rPr>
                <w:rFonts w:ascii="Times New Roman" w:eastAsia="仿宋"/>
                <w:szCs w:val="21"/>
              </w:rPr>
            </w:pPr>
            <w:r>
              <w:rPr>
                <w:rFonts w:hint="eastAsia" w:ascii="Times New Roman" w:eastAsia="仿宋"/>
                <w:szCs w:val="21"/>
              </w:rPr>
              <w:t>29</w:t>
            </w:r>
            <w:r>
              <w:rPr>
                <w:rFonts w:ascii="Times New Roman" w:eastAsia="仿宋"/>
                <w:szCs w:val="21"/>
              </w:rPr>
              <w:t>.47</w:t>
            </w:r>
          </w:p>
        </w:tc>
        <w:tc>
          <w:tcPr>
            <w:tcW w:w="287" w:type="pct"/>
          </w:tcPr>
          <w:p w14:paraId="766F5F45">
            <w:pPr>
              <w:jc w:val="center"/>
              <w:rPr>
                <w:rFonts w:ascii="Times New Roman" w:eastAsia="仿宋"/>
                <w:szCs w:val="21"/>
              </w:rPr>
            </w:pPr>
            <w:r>
              <w:rPr>
                <w:rFonts w:hint="eastAsia" w:ascii="Times New Roman" w:eastAsia="仿宋"/>
                <w:szCs w:val="21"/>
              </w:rPr>
              <w:t>0</w:t>
            </w:r>
          </w:p>
        </w:tc>
        <w:tc>
          <w:tcPr>
            <w:tcW w:w="413" w:type="pct"/>
            <w:vAlign w:val="center"/>
          </w:tcPr>
          <w:p w14:paraId="24AF490B">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18D3A118">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6B93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338FC2B">
            <w:pPr>
              <w:jc w:val="center"/>
              <w:rPr>
                <w:rFonts w:ascii="Times New Roman" w:eastAsia="仿宋"/>
                <w:szCs w:val="21"/>
              </w:rPr>
            </w:pPr>
            <w:r>
              <w:rPr>
                <w:rFonts w:hint="eastAsia" w:ascii="Times New Roman" w:eastAsia="仿宋"/>
                <w:szCs w:val="21"/>
              </w:rPr>
              <w:t>3</w:t>
            </w:r>
          </w:p>
        </w:tc>
        <w:tc>
          <w:tcPr>
            <w:tcW w:w="438" w:type="pct"/>
            <w:vMerge w:val="continue"/>
            <w:vAlign w:val="center"/>
          </w:tcPr>
          <w:p w14:paraId="6B52987F">
            <w:pPr>
              <w:jc w:val="center"/>
              <w:rPr>
                <w:rFonts w:ascii="Times New Roman" w:eastAsia="仿宋"/>
                <w:szCs w:val="21"/>
              </w:rPr>
            </w:pPr>
          </w:p>
        </w:tc>
        <w:tc>
          <w:tcPr>
            <w:tcW w:w="623" w:type="pct"/>
            <w:vAlign w:val="center"/>
          </w:tcPr>
          <w:p w14:paraId="7A894A3C">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2B332F77">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02FC0BE7">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686FCC1F">
            <w:pPr>
              <w:spacing w:line="240" w:lineRule="atLeast"/>
              <w:jc w:val="center"/>
              <w:rPr>
                <w:rFonts w:ascii="Times New Roman" w:eastAsia="仿宋"/>
                <w:bCs/>
                <w:szCs w:val="21"/>
              </w:rPr>
            </w:pPr>
          </w:p>
        </w:tc>
        <w:tc>
          <w:tcPr>
            <w:tcW w:w="407" w:type="pct"/>
            <w:vAlign w:val="center"/>
          </w:tcPr>
          <w:p w14:paraId="61F9F022">
            <w:pPr>
              <w:widowControl/>
              <w:jc w:val="center"/>
              <w:rPr>
                <w:rFonts w:ascii="Times New Roman" w:eastAsia="仿宋"/>
                <w:szCs w:val="21"/>
              </w:rPr>
            </w:pPr>
            <w:r>
              <w:rPr>
                <w:rFonts w:hint="eastAsia" w:ascii="Times New Roman" w:eastAsia="仿宋"/>
                <w:szCs w:val="21"/>
              </w:rPr>
              <w:t>6</w:t>
            </w:r>
          </w:p>
        </w:tc>
        <w:tc>
          <w:tcPr>
            <w:tcW w:w="392" w:type="pct"/>
          </w:tcPr>
          <w:p w14:paraId="058A7162">
            <w:pPr>
              <w:jc w:val="center"/>
              <w:rPr>
                <w:rFonts w:ascii="Times New Roman" w:eastAsia="仿宋"/>
                <w:szCs w:val="21"/>
              </w:rPr>
            </w:pPr>
            <w:r>
              <w:rPr>
                <w:rFonts w:hint="eastAsia" w:ascii="Times New Roman" w:eastAsia="仿宋"/>
                <w:szCs w:val="21"/>
              </w:rPr>
              <w:t>1</w:t>
            </w:r>
            <w:r>
              <w:rPr>
                <w:rFonts w:ascii="Times New Roman" w:eastAsia="仿宋"/>
                <w:szCs w:val="21"/>
              </w:rPr>
              <w:t>63.65</w:t>
            </w:r>
          </w:p>
        </w:tc>
        <w:tc>
          <w:tcPr>
            <w:tcW w:w="348" w:type="pct"/>
          </w:tcPr>
          <w:p w14:paraId="610A0A64">
            <w:pPr>
              <w:jc w:val="center"/>
              <w:rPr>
                <w:rFonts w:ascii="Times New Roman" w:eastAsia="仿宋"/>
                <w:szCs w:val="21"/>
              </w:rPr>
            </w:pPr>
            <w:r>
              <w:rPr>
                <w:rFonts w:hint="eastAsia" w:ascii="Times New Roman" w:eastAsia="仿宋"/>
                <w:szCs w:val="21"/>
              </w:rPr>
              <w:t>28</w:t>
            </w:r>
            <w:r>
              <w:rPr>
                <w:rFonts w:ascii="Times New Roman" w:eastAsia="仿宋"/>
                <w:szCs w:val="21"/>
              </w:rPr>
              <w:t>.23</w:t>
            </w:r>
          </w:p>
        </w:tc>
        <w:tc>
          <w:tcPr>
            <w:tcW w:w="287" w:type="pct"/>
          </w:tcPr>
          <w:p w14:paraId="17169899">
            <w:pPr>
              <w:jc w:val="center"/>
              <w:rPr>
                <w:rFonts w:ascii="Times New Roman" w:eastAsia="仿宋"/>
                <w:szCs w:val="21"/>
              </w:rPr>
            </w:pPr>
            <w:r>
              <w:rPr>
                <w:rFonts w:hint="eastAsia" w:ascii="Times New Roman" w:eastAsia="仿宋"/>
                <w:szCs w:val="21"/>
              </w:rPr>
              <w:t>0</w:t>
            </w:r>
          </w:p>
        </w:tc>
        <w:tc>
          <w:tcPr>
            <w:tcW w:w="413" w:type="pct"/>
            <w:vAlign w:val="center"/>
          </w:tcPr>
          <w:p w14:paraId="56320459">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0C95CE24">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537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D99C3C1">
            <w:pPr>
              <w:jc w:val="center"/>
              <w:rPr>
                <w:rFonts w:ascii="Times New Roman" w:eastAsia="仿宋"/>
                <w:szCs w:val="21"/>
              </w:rPr>
            </w:pPr>
            <w:r>
              <w:rPr>
                <w:rFonts w:hint="eastAsia" w:ascii="Times New Roman" w:eastAsia="仿宋"/>
                <w:szCs w:val="21"/>
              </w:rPr>
              <w:t>4</w:t>
            </w:r>
          </w:p>
        </w:tc>
        <w:tc>
          <w:tcPr>
            <w:tcW w:w="438" w:type="pct"/>
            <w:vMerge w:val="continue"/>
            <w:vAlign w:val="center"/>
          </w:tcPr>
          <w:p w14:paraId="03197BEC">
            <w:pPr>
              <w:jc w:val="center"/>
              <w:rPr>
                <w:rFonts w:ascii="Times New Roman" w:eastAsia="仿宋"/>
                <w:szCs w:val="21"/>
              </w:rPr>
            </w:pPr>
          </w:p>
        </w:tc>
        <w:tc>
          <w:tcPr>
            <w:tcW w:w="623" w:type="pct"/>
            <w:vAlign w:val="center"/>
          </w:tcPr>
          <w:p w14:paraId="61F36150">
            <w:pPr>
              <w:widowControl/>
              <w:jc w:val="center"/>
              <w:rPr>
                <w:rFonts w:ascii="Times New Roman" w:eastAsia="仿宋"/>
                <w:szCs w:val="21"/>
              </w:rPr>
            </w:pPr>
            <w:r>
              <w:rPr>
                <w:rFonts w:hint="eastAsia" w:ascii="Times New Roman" w:eastAsia="仿宋"/>
                <w:szCs w:val="21"/>
              </w:rPr>
              <w:t>开槽机</w:t>
            </w:r>
          </w:p>
        </w:tc>
        <w:tc>
          <w:tcPr>
            <w:tcW w:w="444" w:type="pct"/>
            <w:vAlign w:val="center"/>
          </w:tcPr>
          <w:p w14:paraId="64444869">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08413527">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450BB693">
            <w:pPr>
              <w:spacing w:line="240" w:lineRule="atLeast"/>
              <w:jc w:val="center"/>
              <w:rPr>
                <w:rFonts w:ascii="Times New Roman" w:eastAsia="仿宋"/>
                <w:bCs/>
                <w:szCs w:val="21"/>
              </w:rPr>
            </w:pPr>
          </w:p>
        </w:tc>
        <w:tc>
          <w:tcPr>
            <w:tcW w:w="407" w:type="pct"/>
            <w:vAlign w:val="center"/>
          </w:tcPr>
          <w:p w14:paraId="11680BAB">
            <w:pPr>
              <w:widowControl/>
              <w:jc w:val="center"/>
              <w:rPr>
                <w:rFonts w:ascii="Times New Roman" w:eastAsia="仿宋"/>
                <w:szCs w:val="21"/>
              </w:rPr>
            </w:pPr>
            <w:r>
              <w:rPr>
                <w:rFonts w:hint="eastAsia" w:ascii="Times New Roman" w:eastAsia="仿宋"/>
                <w:szCs w:val="21"/>
              </w:rPr>
              <w:t>2</w:t>
            </w:r>
          </w:p>
        </w:tc>
        <w:tc>
          <w:tcPr>
            <w:tcW w:w="392" w:type="pct"/>
          </w:tcPr>
          <w:p w14:paraId="64438B7E">
            <w:pPr>
              <w:jc w:val="center"/>
              <w:rPr>
                <w:rFonts w:ascii="Times New Roman" w:eastAsia="仿宋"/>
                <w:szCs w:val="21"/>
              </w:rPr>
            </w:pPr>
            <w:r>
              <w:rPr>
                <w:rFonts w:hint="eastAsia" w:ascii="Times New Roman" w:eastAsia="仿宋"/>
                <w:szCs w:val="21"/>
              </w:rPr>
              <w:t>1</w:t>
            </w:r>
            <w:r>
              <w:rPr>
                <w:rFonts w:ascii="Times New Roman" w:eastAsia="仿宋"/>
                <w:szCs w:val="21"/>
              </w:rPr>
              <w:t>62.72</w:t>
            </w:r>
          </w:p>
        </w:tc>
        <w:tc>
          <w:tcPr>
            <w:tcW w:w="348" w:type="pct"/>
          </w:tcPr>
          <w:p w14:paraId="59C1D1E4">
            <w:pPr>
              <w:jc w:val="center"/>
              <w:rPr>
                <w:rFonts w:ascii="Times New Roman" w:eastAsia="仿宋"/>
                <w:szCs w:val="21"/>
              </w:rPr>
            </w:pPr>
            <w:r>
              <w:rPr>
                <w:rFonts w:hint="eastAsia" w:ascii="Times New Roman" w:eastAsia="仿宋"/>
                <w:szCs w:val="21"/>
              </w:rPr>
              <w:t>22</w:t>
            </w:r>
            <w:r>
              <w:rPr>
                <w:rFonts w:ascii="Times New Roman" w:eastAsia="仿宋"/>
                <w:szCs w:val="21"/>
              </w:rPr>
              <w:t>.32</w:t>
            </w:r>
          </w:p>
        </w:tc>
        <w:tc>
          <w:tcPr>
            <w:tcW w:w="287" w:type="pct"/>
          </w:tcPr>
          <w:p w14:paraId="40565F0E">
            <w:pPr>
              <w:jc w:val="center"/>
              <w:rPr>
                <w:rFonts w:ascii="Times New Roman" w:eastAsia="仿宋"/>
                <w:szCs w:val="21"/>
              </w:rPr>
            </w:pPr>
            <w:r>
              <w:rPr>
                <w:rFonts w:hint="eastAsia" w:ascii="Times New Roman" w:eastAsia="仿宋"/>
                <w:szCs w:val="21"/>
              </w:rPr>
              <w:t>0</w:t>
            </w:r>
          </w:p>
        </w:tc>
        <w:tc>
          <w:tcPr>
            <w:tcW w:w="413" w:type="pct"/>
            <w:vAlign w:val="center"/>
          </w:tcPr>
          <w:p w14:paraId="3E232E05">
            <w:pPr>
              <w:spacing w:line="240" w:lineRule="atLeast"/>
              <w:jc w:val="center"/>
              <w:rPr>
                <w:rFonts w:ascii="Times New Roman" w:eastAsia="仿宋"/>
                <w:bCs/>
                <w:szCs w:val="21"/>
              </w:rPr>
            </w:pPr>
            <w:r>
              <w:rPr>
                <w:rFonts w:hint="eastAsia" w:ascii="Times New Roman" w:eastAsia="仿宋"/>
                <w:bCs/>
                <w:szCs w:val="21"/>
              </w:rPr>
              <w:t>3</w:t>
            </w:r>
            <w:r>
              <w:rPr>
                <w:rFonts w:ascii="Times New Roman" w:eastAsia="仿宋"/>
                <w:bCs/>
                <w:szCs w:val="21"/>
              </w:rPr>
              <w:t>5</w:t>
            </w:r>
          </w:p>
        </w:tc>
        <w:tc>
          <w:tcPr>
            <w:tcW w:w="503" w:type="pct"/>
            <w:vAlign w:val="center"/>
          </w:tcPr>
          <w:p w14:paraId="7365BC72">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235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195070FE">
            <w:pPr>
              <w:jc w:val="center"/>
              <w:rPr>
                <w:rFonts w:ascii="Times New Roman" w:eastAsia="仿宋"/>
                <w:szCs w:val="21"/>
              </w:rPr>
            </w:pPr>
            <w:r>
              <w:rPr>
                <w:rFonts w:hint="eastAsia" w:ascii="Times New Roman" w:eastAsia="仿宋"/>
                <w:szCs w:val="21"/>
              </w:rPr>
              <w:t>5</w:t>
            </w:r>
          </w:p>
        </w:tc>
        <w:tc>
          <w:tcPr>
            <w:tcW w:w="438" w:type="pct"/>
            <w:vMerge w:val="continue"/>
            <w:vAlign w:val="center"/>
          </w:tcPr>
          <w:p w14:paraId="7C16AD6E">
            <w:pPr>
              <w:jc w:val="center"/>
              <w:rPr>
                <w:rFonts w:ascii="Times New Roman" w:eastAsia="仿宋"/>
                <w:szCs w:val="21"/>
              </w:rPr>
            </w:pPr>
          </w:p>
        </w:tc>
        <w:tc>
          <w:tcPr>
            <w:tcW w:w="623" w:type="pct"/>
            <w:vAlign w:val="center"/>
          </w:tcPr>
          <w:p w14:paraId="10AC80CC">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706D18E3">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52EE0A1C">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375" w:type="pct"/>
            <w:vMerge w:val="continue"/>
            <w:vAlign w:val="center"/>
          </w:tcPr>
          <w:p w14:paraId="4E2FC18D">
            <w:pPr>
              <w:spacing w:line="240" w:lineRule="atLeast"/>
              <w:jc w:val="center"/>
              <w:rPr>
                <w:rFonts w:ascii="Times New Roman" w:eastAsia="仿宋"/>
                <w:bCs/>
                <w:szCs w:val="21"/>
              </w:rPr>
            </w:pPr>
          </w:p>
        </w:tc>
        <w:tc>
          <w:tcPr>
            <w:tcW w:w="407" w:type="pct"/>
            <w:vAlign w:val="center"/>
          </w:tcPr>
          <w:p w14:paraId="126C35D0">
            <w:pPr>
              <w:jc w:val="center"/>
              <w:rPr>
                <w:rFonts w:ascii="Times New Roman" w:eastAsia="仿宋"/>
                <w:szCs w:val="21"/>
              </w:rPr>
            </w:pPr>
            <w:r>
              <w:rPr>
                <w:rFonts w:hint="eastAsia" w:ascii="Times New Roman" w:eastAsia="仿宋"/>
                <w:szCs w:val="21"/>
              </w:rPr>
              <w:t>8</w:t>
            </w:r>
          </w:p>
        </w:tc>
        <w:tc>
          <w:tcPr>
            <w:tcW w:w="392" w:type="pct"/>
          </w:tcPr>
          <w:p w14:paraId="2A36CCAA">
            <w:pPr>
              <w:jc w:val="center"/>
              <w:rPr>
                <w:rFonts w:ascii="Times New Roman" w:eastAsia="仿宋"/>
                <w:szCs w:val="21"/>
              </w:rPr>
            </w:pPr>
            <w:r>
              <w:rPr>
                <w:rFonts w:hint="eastAsia" w:ascii="Times New Roman" w:eastAsia="仿宋"/>
                <w:szCs w:val="21"/>
              </w:rPr>
              <w:t>1</w:t>
            </w:r>
            <w:r>
              <w:rPr>
                <w:rFonts w:ascii="Times New Roman" w:eastAsia="仿宋"/>
                <w:szCs w:val="21"/>
              </w:rPr>
              <w:t>76.4</w:t>
            </w:r>
          </w:p>
        </w:tc>
        <w:tc>
          <w:tcPr>
            <w:tcW w:w="348" w:type="pct"/>
          </w:tcPr>
          <w:p w14:paraId="6004313D">
            <w:pPr>
              <w:jc w:val="center"/>
              <w:rPr>
                <w:rFonts w:ascii="Times New Roman" w:eastAsia="仿宋"/>
                <w:szCs w:val="21"/>
              </w:rPr>
            </w:pPr>
            <w:r>
              <w:rPr>
                <w:rFonts w:hint="eastAsia" w:ascii="Times New Roman" w:eastAsia="仿宋"/>
                <w:szCs w:val="21"/>
              </w:rPr>
              <w:t>21</w:t>
            </w:r>
            <w:r>
              <w:rPr>
                <w:rFonts w:ascii="Times New Roman" w:eastAsia="仿宋"/>
                <w:szCs w:val="21"/>
              </w:rPr>
              <w:t>.08</w:t>
            </w:r>
          </w:p>
        </w:tc>
        <w:tc>
          <w:tcPr>
            <w:tcW w:w="287" w:type="pct"/>
          </w:tcPr>
          <w:p w14:paraId="6DD7851B">
            <w:pPr>
              <w:jc w:val="center"/>
              <w:rPr>
                <w:rFonts w:ascii="Times New Roman" w:eastAsia="仿宋"/>
                <w:szCs w:val="21"/>
              </w:rPr>
            </w:pPr>
            <w:r>
              <w:rPr>
                <w:rFonts w:hint="eastAsia" w:ascii="Times New Roman" w:eastAsia="仿宋"/>
                <w:szCs w:val="21"/>
              </w:rPr>
              <w:t>0</w:t>
            </w:r>
          </w:p>
        </w:tc>
        <w:tc>
          <w:tcPr>
            <w:tcW w:w="413" w:type="pct"/>
            <w:vAlign w:val="center"/>
          </w:tcPr>
          <w:p w14:paraId="5E7B4D3A">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40F27DC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5E14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CD8ED26">
            <w:pPr>
              <w:jc w:val="center"/>
              <w:rPr>
                <w:rFonts w:ascii="Times New Roman" w:eastAsia="仿宋"/>
                <w:szCs w:val="21"/>
              </w:rPr>
            </w:pPr>
            <w:r>
              <w:rPr>
                <w:rFonts w:hint="eastAsia" w:ascii="Times New Roman" w:eastAsia="仿宋"/>
                <w:szCs w:val="21"/>
              </w:rPr>
              <w:t>6</w:t>
            </w:r>
          </w:p>
        </w:tc>
        <w:tc>
          <w:tcPr>
            <w:tcW w:w="438" w:type="pct"/>
            <w:vMerge w:val="continue"/>
            <w:vAlign w:val="center"/>
          </w:tcPr>
          <w:p w14:paraId="7C028ED5">
            <w:pPr>
              <w:jc w:val="center"/>
              <w:rPr>
                <w:rFonts w:ascii="Times New Roman" w:eastAsia="仿宋"/>
                <w:szCs w:val="21"/>
              </w:rPr>
            </w:pPr>
          </w:p>
        </w:tc>
        <w:tc>
          <w:tcPr>
            <w:tcW w:w="623" w:type="pct"/>
            <w:vAlign w:val="center"/>
          </w:tcPr>
          <w:p w14:paraId="2A3579BB">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0B07F130">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2C63B8ED">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5747FD1F">
            <w:pPr>
              <w:spacing w:line="240" w:lineRule="atLeast"/>
              <w:jc w:val="center"/>
              <w:rPr>
                <w:rFonts w:ascii="Times New Roman" w:eastAsia="仿宋"/>
                <w:bCs/>
                <w:szCs w:val="21"/>
              </w:rPr>
            </w:pPr>
          </w:p>
        </w:tc>
        <w:tc>
          <w:tcPr>
            <w:tcW w:w="407" w:type="pct"/>
            <w:vAlign w:val="center"/>
          </w:tcPr>
          <w:p w14:paraId="503F537E">
            <w:pPr>
              <w:jc w:val="center"/>
              <w:rPr>
                <w:rFonts w:ascii="Times New Roman" w:eastAsia="仿宋"/>
                <w:szCs w:val="21"/>
              </w:rPr>
            </w:pPr>
            <w:r>
              <w:rPr>
                <w:rFonts w:hint="eastAsia" w:ascii="Times New Roman" w:eastAsia="仿宋"/>
                <w:szCs w:val="21"/>
              </w:rPr>
              <w:t>6</w:t>
            </w:r>
          </w:p>
        </w:tc>
        <w:tc>
          <w:tcPr>
            <w:tcW w:w="392" w:type="pct"/>
          </w:tcPr>
          <w:p w14:paraId="0D6DA8CF">
            <w:pPr>
              <w:jc w:val="center"/>
              <w:rPr>
                <w:rFonts w:ascii="Times New Roman" w:eastAsia="仿宋"/>
                <w:szCs w:val="21"/>
              </w:rPr>
            </w:pPr>
            <w:r>
              <w:rPr>
                <w:rFonts w:hint="eastAsia" w:ascii="Times New Roman" w:eastAsia="仿宋"/>
                <w:szCs w:val="21"/>
              </w:rPr>
              <w:t>1</w:t>
            </w:r>
            <w:r>
              <w:rPr>
                <w:rFonts w:ascii="Times New Roman" w:eastAsia="仿宋"/>
                <w:szCs w:val="21"/>
              </w:rPr>
              <w:t>83.24</w:t>
            </w:r>
          </w:p>
        </w:tc>
        <w:tc>
          <w:tcPr>
            <w:tcW w:w="348" w:type="pct"/>
          </w:tcPr>
          <w:p w14:paraId="14CDFA63">
            <w:pPr>
              <w:jc w:val="center"/>
              <w:rPr>
                <w:rFonts w:ascii="Times New Roman" w:eastAsia="仿宋"/>
                <w:szCs w:val="21"/>
              </w:rPr>
            </w:pPr>
            <w:r>
              <w:rPr>
                <w:rFonts w:ascii="Times New Roman" w:eastAsia="仿宋"/>
                <w:szCs w:val="21"/>
              </w:rPr>
              <w:t>10.87</w:t>
            </w:r>
          </w:p>
        </w:tc>
        <w:tc>
          <w:tcPr>
            <w:tcW w:w="287" w:type="pct"/>
          </w:tcPr>
          <w:p w14:paraId="46D2C429">
            <w:pPr>
              <w:jc w:val="center"/>
              <w:rPr>
                <w:rFonts w:ascii="Times New Roman" w:eastAsia="仿宋"/>
                <w:szCs w:val="21"/>
              </w:rPr>
            </w:pPr>
            <w:r>
              <w:rPr>
                <w:rFonts w:hint="eastAsia" w:ascii="Times New Roman" w:eastAsia="仿宋"/>
                <w:szCs w:val="21"/>
              </w:rPr>
              <w:t>0</w:t>
            </w:r>
          </w:p>
        </w:tc>
        <w:tc>
          <w:tcPr>
            <w:tcW w:w="413" w:type="pct"/>
            <w:vAlign w:val="center"/>
          </w:tcPr>
          <w:p w14:paraId="267CDC87">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25CA2900">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FCF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07349D78">
            <w:pPr>
              <w:jc w:val="center"/>
              <w:rPr>
                <w:rFonts w:ascii="Times New Roman" w:eastAsia="仿宋"/>
                <w:szCs w:val="21"/>
              </w:rPr>
            </w:pPr>
            <w:r>
              <w:rPr>
                <w:rFonts w:hint="eastAsia" w:ascii="Times New Roman" w:eastAsia="仿宋"/>
                <w:szCs w:val="21"/>
              </w:rPr>
              <w:t>7</w:t>
            </w:r>
          </w:p>
        </w:tc>
        <w:tc>
          <w:tcPr>
            <w:tcW w:w="438" w:type="pct"/>
            <w:vMerge w:val="continue"/>
            <w:vAlign w:val="center"/>
          </w:tcPr>
          <w:p w14:paraId="420D80A7">
            <w:pPr>
              <w:jc w:val="center"/>
              <w:rPr>
                <w:rFonts w:ascii="Times New Roman" w:eastAsia="仿宋"/>
                <w:szCs w:val="21"/>
              </w:rPr>
            </w:pPr>
          </w:p>
        </w:tc>
        <w:tc>
          <w:tcPr>
            <w:tcW w:w="623" w:type="pct"/>
            <w:vAlign w:val="center"/>
          </w:tcPr>
          <w:p w14:paraId="3488EF87">
            <w:pPr>
              <w:widowControl/>
              <w:jc w:val="center"/>
              <w:rPr>
                <w:rFonts w:ascii="Times New Roman" w:eastAsia="仿宋"/>
                <w:szCs w:val="21"/>
              </w:rPr>
            </w:pPr>
            <w:r>
              <w:rPr>
                <w:rFonts w:hint="eastAsia" w:ascii="Times New Roman" w:eastAsia="仿宋"/>
                <w:szCs w:val="21"/>
              </w:rPr>
              <w:t>激光焊机</w:t>
            </w:r>
          </w:p>
        </w:tc>
        <w:tc>
          <w:tcPr>
            <w:tcW w:w="444" w:type="pct"/>
            <w:vAlign w:val="center"/>
          </w:tcPr>
          <w:p w14:paraId="3B142302">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32E83027">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244D040F">
            <w:pPr>
              <w:spacing w:line="240" w:lineRule="atLeast"/>
              <w:jc w:val="center"/>
              <w:rPr>
                <w:rFonts w:ascii="Times New Roman" w:eastAsia="仿宋"/>
                <w:bCs/>
                <w:szCs w:val="21"/>
              </w:rPr>
            </w:pPr>
          </w:p>
        </w:tc>
        <w:tc>
          <w:tcPr>
            <w:tcW w:w="407" w:type="pct"/>
            <w:vAlign w:val="center"/>
          </w:tcPr>
          <w:p w14:paraId="21262BF8">
            <w:pPr>
              <w:jc w:val="center"/>
              <w:rPr>
                <w:rFonts w:ascii="Times New Roman" w:eastAsia="仿宋"/>
                <w:szCs w:val="21"/>
              </w:rPr>
            </w:pPr>
            <w:r>
              <w:rPr>
                <w:rFonts w:hint="eastAsia" w:ascii="Times New Roman" w:eastAsia="仿宋"/>
                <w:szCs w:val="21"/>
              </w:rPr>
              <w:t>2</w:t>
            </w:r>
          </w:p>
        </w:tc>
        <w:tc>
          <w:tcPr>
            <w:tcW w:w="392" w:type="pct"/>
          </w:tcPr>
          <w:p w14:paraId="4198455C">
            <w:pPr>
              <w:jc w:val="center"/>
              <w:rPr>
                <w:rFonts w:ascii="Times New Roman" w:eastAsia="仿宋"/>
                <w:szCs w:val="21"/>
              </w:rPr>
            </w:pPr>
            <w:r>
              <w:rPr>
                <w:rFonts w:hint="eastAsia" w:ascii="Times New Roman" w:eastAsia="仿宋"/>
                <w:szCs w:val="21"/>
              </w:rPr>
              <w:t>1</w:t>
            </w:r>
            <w:r>
              <w:rPr>
                <w:rFonts w:ascii="Times New Roman" w:eastAsia="仿宋"/>
                <w:szCs w:val="21"/>
              </w:rPr>
              <w:t>70.18</w:t>
            </w:r>
          </w:p>
        </w:tc>
        <w:tc>
          <w:tcPr>
            <w:tcW w:w="348" w:type="pct"/>
          </w:tcPr>
          <w:p w14:paraId="1334DBC6">
            <w:pPr>
              <w:jc w:val="center"/>
              <w:rPr>
                <w:rFonts w:ascii="Times New Roman" w:eastAsia="仿宋"/>
                <w:szCs w:val="21"/>
              </w:rPr>
            </w:pPr>
            <w:r>
              <w:rPr>
                <w:rFonts w:hint="eastAsia" w:ascii="Times New Roman" w:eastAsia="仿宋"/>
                <w:szCs w:val="21"/>
              </w:rPr>
              <w:t>-8</w:t>
            </w:r>
            <w:r>
              <w:rPr>
                <w:rFonts w:ascii="Times New Roman" w:eastAsia="仿宋"/>
                <w:szCs w:val="21"/>
              </w:rPr>
              <w:t>.46</w:t>
            </w:r>
          </w:p>
        </w:tc>
        <w:tc>
          <w:tcPr>
            <w:tcW w:w="287" w:type="pct"/>
          </w:tcPr>
          <w:p w14:paraId="61830AED">
            <w:pPr>
              <w:jc w:val="center"/>
              <w:rPr>
                <w:rFonts w:ascii="Times New Roman" w:eastAsia="仿宋"/>
                <w:szCs w:val="21"/>
              </w:rPr>
            </w:pPr>
            <w:r>
              <w:rPr>
                <w:rFonts w:hint="eastAsia" w:ascii="Times New Roman" w:eastAsia="仿宋"/>
                <w:szCs w:val="21"/>
              </w:rPr>
              <w:t>0</w:t>
            </w:r>
          </w:p>
        </w:tc>
        <w:tc>
          <w:tcPr>
            <w:tcW w:w="413" w:type="pct"/>
            <w:vAlign w:val="center"/>
          </w:tcPr>
          <w:p w14:paraId="58B9038A">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17C06987">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982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0B2E458">
            <w:pPr>
              <w:jc w:val="center"/>
              <w:rPr>
                <w:rFonts w:ascii="Times New Roman" w:eastAsia="仿宋"/>
                <w:szCs w:val="21"/>
              </w:rPr>
            </w:pPr>
            <w:r>
              <w:rPr>
                <w:rFonts w:ascii="Times New Roman" w:eastAsia="仿宋"/>
                <w:szCs w:val="21"/>
              </w:rPr>
              <w:t>8</w:t>
            </w:r>
          </w:p>
        </w:tc>
        <w:tc>
          <w:tcPr>
            <w:tcW w:w="438" w:type="pct"/>
            <w:vMerge w:val="restart"/>
            <w:vAlign w:val="center"/>
          </w:tcPr>
          <w:p w14:paraId="2B8BDFB5">
            <w:pPr>
              <w:jc w:val="center"/>
              <w:rPr>
                <w:rFonts w:ascii="Times New Roman" w:eastAsia="仿宋"/>
                <w:szCs w:val="21"/>
              </w:rPr>
            </w:pPr>
            <w:r>
              <w:rPr>
                <w:rFonts w:hint="eastAsia" w:ascii="Times New Roman" w:eastAsia="仿宋"/>
                <w:szCs w:val="21"/>
              </w:rPr>
              <w:t>2号钣金车间</w:t>
            </w:r>
          </w:p>
        </w:tc>
        <w:tc>
          <w:tcPr>
            <w:tcW w:w="623" w:type="pct"/>
            <w:vAlign w:val="center"/>
          </w:tcPr>
          <w:p w14:paraId="17227816">
            <w:pPr>
              <w:widowControl/>
              <w:jc w:val="center"/>
              <w:rPr>
                <w:rFonts w:ascii="Times New Roman" w:eastAsia="仿宋"/>
                <w:szCs w:val="21"/>
              </w:rPr>
            </w:pPr>
            <w:r>
              <w:rPr>
                <w:rFonts w:hint="eastAsia" w:ascii="Times New Roman" w:eastAsia="仿宋"/>
                <w:szCs w:val="21"/>
              </w:rPr>
              <w:t>雕刻机</w:t>
            </w:r>
          </w:p>
        </w:tc>
        <w:tc>
          <w:tcPr>
            <w:tcW w:w="444" w:type="pct"/>
            <w:vAlign w:val="center"/>
          </w:tcPr>
          <w:p w14:paraId="7FDB0CC4">
            <w:pPr>
              <w:jc w:val="center"/>
              <w:rPr>
                <w:rFonts w:ascii="Times New Roman" w:eastAsia="仿宋"/>
                <w:szCs w:val="21"/>
              </w:rPr>
            </w:pPr>
            <w:r>
              <w:rPr>
                <w:rFonts w:ascii="Times New Roman" w:eastAsia="仿宋"/>
                <w:szCs w:val="21"/>
              </w:rPr>
              <w:t>75</w:t>
            </w:r>
          </w:p>
        </w:tc>
        <w:tc>
          <w:tcPr>
            <w:tcW w:w="578" w:type="pct"/>
            <w:vAlign w:val="center"/>
          </w:tcPr>
          <w:p w14:paraId="26B81CDE">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2EF396D7">
            <w:pPr>
              <w:spacing w:line="240" w:lineRule="atLeast"/>
              <w:jc w:val="center"/>
              <w:rPr>
                <w:rFonts w:ascii="Times New Roman" w:eastAsia="仿宋"/>
                <w:bCs/>
                <w:szCs w:val="21"/>
              </w:rPr>
            </w:pPr>
          </w:p>
        </w:tc>
        <w:tc>
          <w:tcPr>
            <w:tcW w:w="407" w:type="pct"/>
            <w:vAlign w:val="center"/>
          </w:tcPr>
          <w:p w14:paraId="1700C3F2">
            <w:pPr>
              <w:jc w:val="center"/>
              <w:rPr>
                <w:rFonts w:ascii="Times New Roman" w:eastAsia="仿宋"/>
                <w:szCs w:val="21"/>
              </w:rPr>
            </w:pPr>
            <w:r>
              <w:rPr>
                <w:rFonts w:ascii="Times New Roman" w:eastAsia="仿宋"/>
                <w:szCs w:val="21"/>
              </w:rPr>
              <w:t>6</w:t>
            </w:r>
          </w:p>
        </w:tc>
        <w:tc>
          <w:tcPr>
            <w:tcW w:w="392" w:type="pct"/>
            <w:vAlign w:val="center"/>
          </w:tcPr>
          <w:p w14:paraId="6CBDABA3">
            <w:pPr>
              <w:widowControl/>
              <w:jc w:val="center"/>
              <w:rPr>
                <w:rFonts w:ascii="Times New Roman" w:eastAsia="仿宋"/>
                <w:szCs w:val="21"/>
              </w:rPr>
            </w:pPr>
            <w:r>
              <w:rPr>
                <w:rFonts w:hint="eastAsia" w:ascii="Times New Roman" w:eastAsia="仿宋"/>
                <w:szCs w:val="21"/>
              </w:rPr>
              <w:t>13</w:t>
            </w:r>
            <w:r>
              <w:rPr>
                <w:rFonts w:ascii="Times New Roman" w:eastAsia="仿宋"/>
                <w:szCs w:val="21"/>
              </w:rPr>
              <w:t>0.07</w:t>
            </w:r>
          </w:p>
        </w:tc>
        <w:tc>
          <w:tcPr>
            <w:tcW w:w="348" w:type="pct"/>
            <w:vAlign w:val="center"/>
          </w:tcPr>
          <w:p w14:paraId="2DCE9632">
            <w:pPr>
              <w:widowControl/>
              <w:jc w:val="center"/>
              <w:rPr>
                <w:rFonts w:ascii="Times New Roman" w:eastAsia="仿宋"/>
                <w:szCs w:val="21"/>
              </w:rPr>
            </w:pPr>
            <w:r>
              <w:rPr>
                <w:rFonts w:hint="eastAsia" w:ascii="Times New Roman" w:eastAsia="仿宋"/>
                <w:szCs w:val="21"/>
              </w:rPr>
              <w:t>36</w:t>
            </w:r>
          </w:p>
        </w:tc>
        <w:tc>
          <w:tcPr>
            <w:tcW w:w="287" w:type="pct"/>
          </w:tcPr>
          <w:p w14:paraId="33DA72D3">
            <w:pPr>
              <w:jc w:val="center"/>
              <w:rPr>
                <w:rFonts w:ascii="Times New Roman" w:eastAsia="仿宋"/>
                <w:szCs w:val="21"/>
              </w:rPr>
            </w:pPr>
            <w:r>
              <w:rPr>
                <w:rFonts w:ascii="Times New Roman" w:eastAsia="仿宋"/>
                <w:szCs w:val="21"/>
              </w:rPr>
              <w:t>0</w:t>
            </w:r>
          </w:p>
        </w:tc>
        <w:tc>
          <w:tcPr>
            <w:tcW w:w="413" w:type="pct"/>
            <w:vAlign w:val="center"/>
          </w:tcPr>
          <w:p w14:paraId="75DE12E0">
            <w:pPr>
              <w:spacing w:line="240" w:lineRule="atLeast"/>
              <w:jc w:val="center"/>
              <w:rPr>
                <w:rFonts w:ascii="Times New Roman" w:eastAsia="仿宋"/>
                <w:bCs/>
                <w:szCs w:val="21"/>
              </w:rPr>
            </w:pPr>
            <w:r>
              <w:rPr>
                <w:rFonts w:ascii="Times New Roman" w:eastAsia="仿宋"/>
                <w:bCs/>
                <w:szCs w:val="21"/>
              </w:rPr>
              <w:t>35</w:t>
            </w:r>
          </w:p>
        </w:tc>
        <w:tc>
          <w:tcPr>
            <w:tcW w:w="503" w:type="pct"/>
            <w:vAlign w:val="center"/>
          </w:tcPr>
          <w:p w14:paraId="3B1351C2">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6F8F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5D9581E">
            <w:pPr>
              <w:jc w:val="center"/>
              <w:rPr>
                <w:rFonts w:ascii="Times New Roman" w:eastAsia="仿宋"/>
                <w:szCs w:val="21"/>
              </w:rPr>
            </w:pPr>
            <w:r>
              <w:rPr>
                <w:rFonts w:hint="eastAsia" w:ascii="Times New Roman" w:eastAsia="仿宋"/>
                <w:szCs w:val="21"/>
              </w:rPr>
              <w:t>9</w:t>
            </w:r>
          </w:p>
        </w:tc>
        <w:tc>
          <w:tcPr>
            <w:tcW w:w="438" w:type="pct"/>
            <w:vMerge w:val="continue"/>
            <w:vAlign w:val="center"/>
          </w:tcPr>
          <w:p w14:paraId="14922790">
            <w:pPr>
              <w:jc w:val="center"/>
              <w:rPr>
                <w:rFonts w:ascii="Times New Roman" w:eastAsia="仿宋"/>
                <w:szCs w:val="21"/>
              </w:rPr>
            </w:pPr>
          </w:p>
        </w:tc>
        <w:tc>
          <w:tcPr>
            <w:tcW w:w="623" w:type="pct"/>
            <w:vAlign w:val="center"/>
          </w:tcPr>
          <w:p w14:paraId="34194B39">
            <w:pPr>
              <w:widowControl/>
              <w:jc w:val="center"/>
              <w:rPr>
                <w:rFonts w:ascii="Times New Roman" w:eastAsia="仿宋"/>
                <w:szCs w:val="21"/>
              </w:rPr>
            </w:pPr>
            <w:r>
              <w:rPr>
                <w:rFonts w:hint="eastAsia" w:ascii="Times New Roman" w:eastAsia="仿宋"/>
                <w:szCs w:val="21"/>
              </w:rPr>
              <w:t>数控转塔冲</w:t>
            </w:r>
          </w:p>
        </w:tc>
        <w:tc>
          <w:tcPr>
            <w:tcW w:w="444" w:type="pct"/>
            <w:vAlign w:val="center"/>
          </w:tcPr>
          <w:p w14:paraId="67C4014E">
            <w:pPr>
              <w:jc w:val="center"/>
              <w:rPr>
                <w:rFonts w:ascii="Times New Roman" w:eastAsia="仿宋"/>
                <w:szCs w:val="21"/>
              </w:rPr>
            </w:pPr>
            <w:r>
              <w:rPr>
                <w:rFonts w:hint="eastAsia" w:ascii="Times New Roman" w:eastAsia="仿宋"/>
                <w:szCs w:val="21"/>
              </w:rPr>
              <w:t>80</w:t>
            </w:r>
          </w:p>
        </w:tc>
        <w:tc>
          <w:tcPr>
            <w:tcW w:w="578" w:type="pct"/>
            <w:vAlign w:val="center"/>
          </w:tcPr>
          <w:p w14:paraId="7ADD287E">
            <w:pPr>
              <w:widowControl/>
              <w:jc w:val="center"/>
              <w:rPr>
                <w:rFonts w:ascii="Times New Roman" w:eastAsia="仿宋"/>
                <w:szCs w:val="21"/>
              </w:rPr>
            </w:pPr>
            <w:r>
              <w:rPr>
                <w:rFonts w:hint="eastAsia" w:ascii="Times New Roman" w:eastAsia="仿宋"/>
                <w:szCs w:val="21"/>
              </w:rPr>
              <w:t>8</w:t>
            </w:r>
            <w:r>
              <w:rPr>
                <w:rFonts w:ascii="Times New Roman" w:eastAsia="仿宋"/>
                <w:szCs w:val="21"/>
              </w:rPr>
              <w:t>6</w:t>
            </w:r>
          </w:p>
        </w:tc>
        <w:tc>
          <w:tcPr>
            <w:tcW w:w="375" w:type="pct"/>
            <w:vMerge w:val="continue"/>
            <w:vAlign w:val="center"/>
          </w:tcPr>
          <w:p w14:paraId="01695DD5">
            <w:pPr>
              <w:spacing w:line="240" w:lineRule="atLeast"/>
              <w:jc w:val="center"/>
              <w:rPr>
                <w:rFonts w:ascii="Times New Roman" w:eastAsia="仿宋"/>
                <w:bCs/>
                <w:szCs w:val="21"/>
              </w:rPr>
            </w:pPr>
          </w:p>
        </w:tc>
        <w:tc>
          <w:tcPr>
            <w:tcW w:w="407" w:type="pct"/>
            <w:vAlign w:val="center"/>
          </w:tcPr>
          <w:p w14:paraId="1D0568D0">
            <w:pPr>
              <w:jc w:val="center"/>
              <w:rPr>
                <w:rFonts w:ascii="Times New Roman" w:eastAsia="仿宋"/>
                <w:szCs w:val="21"/>
              </w:rPr>
            </w:pPr>
            <w:r>
              <w:rPr>
                <w:rFonts w:hint="eastAsia" w:ascii="Times New Roman" w:eastAsia="仿宋"/>
                <w:szCs w:val="21"/>
              </w:rPr>
              <w:t>4</w:t>
            </w:r>
          </w:p>
        </w:tc>
        <w:tc>
          <w:tcPr>
            <w:tcW w:w="392" w:type="pct"/>
            <w:vAlign w:val="center"/>
          </w:tcPr>
          <w:p w14:paraId="22F36CE1">
            <w:pPr>
              <w:widowControl/>
              <w:jc w:val="center"/>
              <w:rPr>
                <w:rFonts w:ascii="Times New Roman" w:eastAsia="仿宋"/>
                <w:szCs w:val="21"/>
              </w:rPr>
            </w:pPr>
            <w:r>
              <w:rPr>
                <w:rFonts w:hint="eastAsia" w:ascii="Times New Roman" w:eastAsia="仿宋"/>
                <w:szCs w:val="21"/>
              </w:rPr>
              <w:t>1</w:t>
            </w:r>
            <w:r>
              <w:rPr>
                <w:rFonts w:ascii="Times New Roman" w:eastAsia="仿宋"/>
                <w:szCs w:val="21"/>
              </w:rPr>
              <w:t>14.21</w:t>
            </w:r>
          </w:p>
        </w:tc>
        <w:tc>
          <w:tcPr>
            <w:tcW w:w="348" w:type="pct"/>
            <w:vAlign w:val="center"/>
          </w:tcPr>
          <w:p w14:paraId="64CAA25F">
            <w:pPr>
              <w:widowControl/>
              <w:jc w:val="center"/>
              <w:rPr>
                <w:rFonts w:ascii="Times New Roman" w:eastAsia="仿宋"/>
                <w:szCs w:val="21"/>
              </w:rPr>
            </w:pPr>
            <w:r>
              <w:rPr>
                <w:rFonts w:hint="eastAsia" w:ascii="Times New Roman" w:eastAsia="仿宋"/>
                <w:szCs w:val="21"/>
              </w:rPr>
              <w:t>3</w:t>
            </w:r>
            <w:r>
              <w:rPr>
                <w:rFonts w:ascii="Times New Roman" w:eastAsia="仿宋"/>
                <w:szCs w:val="21"/>
              </w:rPr>
              <w:t>0.41</w:t>
            </w:r>
          </w:p>
        </w:tc>
        <w:tc>
          <w:tcPr>
            <w:tcW w:w="287" w:type="pct"/>
          </w:tcPr>
          <w:p w14:paraId="47CD44B7">
            <w:pPr>
              <w:jc w:val="center"/>
              <w:rPr>
                <w:rFonts w:ascii="Times New Roman" w:eastAsia="仿宋"/>
                <w:szCs w:val="21"/>
              </w:rPr>
            </w:pPr>
            <w:r>
              <w:rPr>
                <w:rFonts w:ascii="Times New Roman" w:eastAsia="仿宋"/>
                <w:szCs w:val="21"/>
              </w:rPr>
              <w:t>0</w:t>
            </w:r>
          </w:p>
        </w:tc>
        <w:tc>
          <w:tcPr>
            <w:tcW w:w="413" w:type="pct"/>
          </w:tcPr>
          <w:p w14:paraId="2F7C8CC0">
            <w:pPr>
              <w:spacing w:line="240" w:lineRule="atLeast"/>
              <w:jc w:val="center"/>
              <w:rPr>
                <w:rFonts w:ascii="Times New Roman" w:eastAsia="仿宋"/>
                <w:bCs/>
                <w:szCs w:val="21"/>
              </w:rPr>
            </w:pPr>
            <w:r>
              <w:rPr>
                <w:rFonts w:ascii="Times New Roman" w:eastAsia="仿宋"/>
                <w:bCs/>
                <w:szCs w:val="21"/>
              </w:rPr>
              <w:t>35</w:t>
            </w:r>
          </w:p>
        </w:tc>
        <w:tc>
          <w:tcPr>
            <w:tcW w:w="503" w:type="pct"/>
          </w:tcPr>
          <w:p w14:paraId="2A3CBE01">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43E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3611511">
            <w:pPr>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438" w:type="pct"/>
            <w:vMerge w:val="continue"/>
            <w:vAlign w:val="center"/>
          </w:tcPr>
          <w:p w14:paraId="65E7A1EC">
            <w:pPr>
              <w:jc w:val="center"/>
              <w:rPr>
                <w:rFonts w:ascii="Times New Roman" w:eastAsia="仿宋"/>
                <w:szCs w:val="21"/>
              </w:rPr>
            </w:pPr>
          </w:p>
        </w:tc>
        <w:tc>
          <w:tcPr>
            <w:tcW w:w="623" w:type="pct"/>
            <w:vAlign w:val="center"/>
          </w:tcPr>
          <w:p w14:paraId="248C0F90">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756B1ED1">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76338658">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375" w:type="pct"/>
            <w:vMerge w:val="continue"/>
            <w:vAlign w:val="center"/>
          </w:tcPr>
          <w:p w14:paraId="35BC0073">
            <w:pPr>
              <w:spacing w:line="240" w:lineRule="atLeast"/>
              <w:jc w:val="center"/>
              <w:rPr>
                <w:rFonts w:ascii="Times New Roman" w:eastAsia="仿宋"/>
                <w:bCs/>
                <w:szCs w:val="21"/>
              </w:rPr>
            </w:pPr>
          </w:p>
        </w:tc>
        <w:tc>
          <w:tcPr>
            <w:tcW w:w="407" w:type="pct"/>
            <w:vAlign w:val="center"/>
          </w:tcPr>
          <w:p w14:paraId="16680E9A">
            <w:pPr>
              <w:jc w:val="center"/>
              <w:rPr>
                <w:rFonts w:ascii="Times New Roman" w:eastAsia="仿宋"/>
                <w:szCs w:val="21"/>
              </w:rPr>
            </w:pPr>
            <w:r>
              <w:rPr>
                <w:rFonts w:hint="eastAsia" w:ascii="Times New Roman" w:eastAsia="仿宋"/>
                <w:szCs w:val="21"/>
              </w:rPr>
              <w:t>4</w:t>
            </w:r>
          </w:p>
        </w:tc>
        <w:tc>
          <w:tcPr>
            <w:tcW w:w="392" w:type="pct"/>
            <w:vAlign w:val="center"/>
          </w:tcPr>
          <w:p w14:paraId="44322B53">
            <w:pPr>
              <w:widowControl/>
              <w:jc w:val="center"/>
              <w:rPr>
                <w:rFonts w:ascii="Times New Roman" w:eastAsia="仿宋"/>
                <w:szCs w:val="21"/>
              </w:rPr>
            </w:pPr>
            <w:r>
              <w:rPr>
                <w:rFonts w:hint="eastAsia" w:ascii="Times New Roman" w:eastAsia="仿宋"/>
                <w:szCs w:val="21"/>
              </w:rPr>
              <w:t>1</w:t>
            </w:r>
            <w:r>
              <w:rPr>
                <w:rFonts w:ascii="Times New Roman" w:eastAsia="仿宋"/>
                <w:szCs w:val="21"/>
              </w:rPr>
              <w:t>30.38</w:t>
            </w:r>
          </w:p>
        </w:tc>
        <w:tc>
          <w:tcPr>
            <w:tcW w:w="348" w:type="pct"/>
            <w:vAlign w:val="center"/>
          </w:tcPr>
          <w:p w14:paraId="379BF7BE">
            <w:pPr>
              <w:widowControl/>
              <w:jc w:val="center"/>
              <w:rPr>
                <w:rFonts w:ascii="Times New Roman" w:eastAsia="仿宋"/>
                <w:szCs w:val="21"/>
              </w:rPr>
            </w:pPr>
            <w:r>
              <w:rPr>
                <w:rFonts w:hint="eastAsia" w:ascii="Times New Roman" w:eastAsia="仿宋"/>
                <w:szCs w:val="21"/>
              </w:rPr>
              <w:t>19.</w:t>
            </w:r>
            <w:r>
              <w:rPr>
                <w:rFonts w:ascii="Times New Roman" w:eastAsia="仿宋"/>
                <w:szCs w:val="21"/>
              </w:rPr>
              <w:t>83</w:t>
            </w:r>
          </w:p>
        </w:tc>
        <w:tc>
          <w:tcPr>
            <w:tcW w:w="287" w:type="pct"/>
          </w:tcPr>
          <w:p w14:paraId="280FC6B6">
            <w:pPr>
              <w:jc w:val="center"/>
              <w:rPr>
                <w:rFonts w:ascii="Times New Roman" w:eastAsia="仿宋"/>
                <w:szCs w:val="21"/>
              </w:rPr>
            </w:pPr>
            <w:r>
              <w:rPr>
                <w:rFonts w:ascii="Times New Roman" w:eastAsia="仿宋"/>
                <w:szCs w:val="21"/>
              </w:rPr>
              <w:t>0</w:t>
            </w:r>
          </w:p>
        </w:tc>
        <w:tc>
          <w:tcPr>
            <w:tcW w:w="413" w:type="pct"/>
          </w:tcPr>
          <w:p w14:paraId="6AA59B2C">
            <w:pPr>
              <w:spacing w:line="240" w:lineRule="atLeast"/>
              <w:jc w:val="center"/>
              <w:rPr>
                <w:rFonts w:ascii="Times New Roman" w:eastAsia="仿宋"/>
                <w:bCs/>
                <w:szCs w:val="21"/>
              </w:rPr>
            </w:pPr>
            <w:r>
              <w:rPr>
                <w:rFonts w:ascii="Times New Roman" w:eastAsia="仿宋"/>
                <w:bCs/>
                <w:szCs w:val="21"/>
              </w:rPr>
              <w:t>35</w:t>
            </w:r>
          </w:p>
        </w:tc>
        <w:tc>
          <w:tcPr>
            <w:tcW w:w="503" w:type="pct"/>
          </w:tcPr>
          <w:p w14:paraId="526A18B9">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60A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C66DC30">
            <w:pPr>
              <w:jc w:val="center"/>
              <w:rPr>
                <w:rFonts w:ascii="Times New Roman" w:eastAsia="仿宋"/>
                <w:szCs w:val="21"/>
              </w:rPr>
            </w:pPr>
            <w:r>
              <w:rPr>
                <w:rFonts w:hint="eastAsia" w:ascii="Times New Roman" w:eastAsia="仿宋"/>
                <w:szCs w:val="21"/>
              </w:rPr>
              <w:t>1</w:t>
            </w:r>
            <w:r>
              <w:rPr>
                <w:rFonts w:ascii="Times New Roman" w:eastAsia="仿宋"/>
                <w:szCs w:val="21"/>
              </w:rPr>
              <w:t>1</w:t>
            </w:r>
          </w:p>
        </w:tc>
        <w:tc>
          <w:tcPr>
            <w:tcW w:w="438" w:type="pct"/>
            <w:vMerge w:val="continue"/>
            <w:vAlign w:val="center"/>
          </w:tcPr>
          <w:p w14:paraId="6996D0A6">
            <w:pPr>
              <w:jc w:val="center"/>
              <w:rPr>
                <w:rFonts w:ascii="Times New Roman" w:eastAsia="仿宋"/>
                <w:szCs w:val="21"/>
              </w:rPr>
            </w:pPr>
          </w:p>
        </w:tc>
        <w:tc>
          <w:tcPr>
            <w:tcW w:w="623" w:type="pct"/>
            <w:vAlign w:val="center"/>
          </w:tcPr>
          <w:p w14:paraId="4EEBBEEA">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01D988B9">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5BD7708F">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571FF999">
            <w:pPr>
              <w:spacing w:line="240" w:lineRule="atLeast"/>
              <w:jc w:val="center"/>
              <w:rPr>
                <w:rFonts w:ascii="Times New Roman" w:eastAsia="仿宋"/>
                <w:bCs/>
                <w:szCs w:val="21"/>
              </w:rPr>
            </w:pPr>
          </w:p>
        </w:tc>
        <w:tc>
          <w:tcPr>
            <w:tcW w:w="407" w:type="pct"/>
            <w:vAlign w:val="center"/>
          </w:tcPr>
          <w:p w14:paraId="756878F7">
            <w:pPr>
              <w:jc w:val="center"/>
              <w:rPr>
                <w:rFonts w:ascii="Times New Roman" w:eastAsia="仿宋"/>
                <w:szCs w:val="21"/>
              </w:rPr>
            </w:pPr>
            <w:r>
              <w:rPr>
                <w:rFonts w:hint="eastAsia" w:ascii="Times New Roman" w:eastAsia="仿宋"/>
                <w:szCs w:val="21"/>
              </w:rPr>
              <w:t>6</w:t>
            </w:r>
          </w:p>
        </w:tc>
        <w:tc>
          <w:tcPr>
            <w:tcW w:w="392" w:type="pct"/>
            <w:vAlign w:val="center"/>
          </w:tcPr>
          <w:p w14:paraId="7238BA50">
            <w:pPr>
              <w:widowControl/>
              <w:jc w:val="center"/>
              <w:rPr>
                <w:rFonts w:ascii="Times New Roman" w:eastAsia="仿宋"/>
                <w:szCs w:val="21"/>
              </w:rPr>
            </w:pPr>
            <w:r>
              <w:rPr>
                <w:rFonts w:ascii="Times New Roman" w:eastAsia="仿宋"/>
                <w:szCs w:val="21"/>
              </w:rPr>
              <w:t>1</w:t>
            </w:r>
            <w:r>
              <w:rPr>
                <w:rFonts w:hint="eastAsia" w:ascii="Times New Roman" w:eastAsia="仿宋"/>
                <w:szCs w:val="21"/>
              </w:rPr>
              <w:t>28</w:t>
            </w:r>
            <w:r>
              <w:rPr>
                <w:rFonts w:ascii="Times New Roman" w:eastAsia="仿宋"/>
                <w:szCs w:val="21"/>
              </w:rPr>
              <w:t>.82</w:t>
            </w:r>
          </w:p>
        </w:tc>
        <w:tc>
          <w:tcPr>
            <w:tcW w:w="348" w:type="pct"/>
            <w:vAlign w:val="center"/>
          </w:tcPr>
          <w:p w14:paraId="0A2BAA91">
            <w:pPr>
              <w:widowControl/>
              <w:jc w:val="center"/>
              <w:rPr>
                <w:rFonts w:ascii="Times New Roman" w:eastAsia="仿宋"/>
                <w:szCs w:val="21"/>
              </w:rPr>
            </w:pPr>
            <w:r>
              <w:rPr>
                <w:rFonts w:hint="eastAsia" w:ascii="Times New Roman" w:eastAsia="仿宋"/>
                <w:szCs w:val="21"/>
              </w:rPr>
              <w:t>11</w:t>
            </w:r>
            <w:r>
              <w:rPr>
                <w:rFonts w:ascii="Times New Roman" w:eastAsia="仿宋"/>
                <w:szCs w:val="21"/>
              </w:rPr>
              <w:t>.13</w:t>
            </w:r>
          </w:p>
        </w:tc>
        <w:tc>
          <w:tcPr>
            <w:tcW w:w="287" w:type="pct"/>
          </w:tcPr>
          <w:p w14:paraId="757B9F1A">
            <w:pPr>
              <w:jc w:val="center"/>
              <w:rPr>
                <w:rFonts w:ascii="Times New Roman" w:eastAsia="仿宋"/>
                <w:szCs w:val="21"/>
              </w:rPr>
            </w:pPr>
            <w:r>
              <w:rPr>
                <w:rFonts w:ascii="Times New Roman" w:eastAsia="仿宋"/>
                <w:szCs w:val="21"/>
              </w:rPr>
              <w:t>0</w:t>
            </w:r>
          </w:p>
        </w:tc>
        <w:tc>
          <w:tcPr>
            <w:tcW w:w="413" w:type="pct"/>
          </w:tcPr>
          <w:p w14:paraId="5F88D98D">
            <w:pPr>
              <w:spacing w:line="240" w:lineRule="atLeast"/>
              <w:jc w:val="center"/>
              <w:rPr>
                <w:rFonts w:ascii="Times New Roman" w:eastAsia="仿宋"/>
                <w:bCs/>
                <w:szCs w:val="21"/>
              </w:rPr>
            </w:pPr>
            <w:r>
              <w:rPr>
                <w:rFonts w:ascii="Times New Roman" w:eastAsia="仿宋"/>
                <w:bCs/>
                <w:szCs w:val="21"/>
              </w:rPr>
              <w:t>35</w:t>
            </w:r>
          </w:p>
        </w:tc>
        <w:tc>
          <w:tcPr>
            <w:tcW w:w="503" w:type="pct"/>
          </w:tcPr>
          <w:p w14:paraId="73D5094C">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48B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D4AA15B">
            <w:pPr>
              <w:jc w:val="center"/>
              <w:rPr>
                <w:rFonts w:ascii="Times New Roman" w:eastAsia="仿宋"/>
                <w:szCs w:val="21"/>
              </w:rPr>
            </w:pPr>
            <w:r>
              <w:rPr>
                <w:rFonts w:hint="eastAsia" w:ascii="Times New Roman" w:eastAsia="仿宋"/>
                <w:szCs w:val="21"/>
              </w:rPr>
              <w:t>1</w:t>
            </w:r>
            <w:r>
              <w:rPr>
                <w:rFonts w:ascii="Times New Roman" w:eastAsia="仿宋"/>
                <w:szCs w:val="21"/>
              </w:rPr>
              <w:t>2</w:t>
            </w:r>
          </w:p>
        </w:tc>
        <w:tc>
          <w:tcPr>
            <w:tcW w:w="438" w:type="pct"/>
            <w:vMerge w:val="continue"/>
            <w:vAlign w:val="center"/>
          </w:tcPr>
          <w:p w14:paraId="2B98FCD6">
            <w:pPr>
              <w:jc w:val="center"/>
              <w:rPr>
                <w:rFonts w:ascii="Times New Roman" w:eastAsia="仿宋"/>
                <w:szCs w:val="21"/>
              </w:rPr>
            </w:pPr>
          </w:p>
        </w:tc>
        <w:tc>
          <w:tcPr>
            <w:tcW w:w="623" w:type="pct"/>
            <w:vAlign w:val="center"/>
          </w:tcPr>
          <w:p w14:paraId="394064EE">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607BA46E">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1889CD78">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375" w:type="pct"/>
            <w:vMerge w:val="continue"/>
            <w:vAlign w:val="center"/>
          </w:tcPr>
          <w:p w14:paraId="6BC8DFF3">
            <w:pPr>
              <w:spacing w:line="240" w:lineRule="atLeast"/>
              <w:jc w:val="center"/>
              <w:rPr>
                <w:rFonts w:ascii="Times New Roman" w:eastAsia="仿宋"/>
                <w:bCs/>
                <w:szCs w:val="21"/>
              </w:rPr>
            </w:pPr>
          </w:p>
        </w:tc>
        <w:tc>
          <w:tcPr>
            <w:tcW w:w="407" w:type="pct"/>
            <w:vAlign w:val="center"/>
          </w:tcPr>
          <w:p w14:paraId="07C5528B">
            <w:pPr>
              <w:jc w:val="center"/>
              <w:rPr>
                <w:rFonts w:ascii="Times New Roman" w:eastAsia="仿宋"/>
                <w:szCs w:val="21"/>
              </w:rPr>
            </w:pPr>
            <w:r>
              <w:rPr>
                <w:rFonts w:hint="eastAsia" w:ascii="Times New Roman" w:eastAsia="仿宋"/>
                <w:szCs w:val="21"/>
              </w:rPr>
              <w:t>4</w:t>
            </w:r>
          </w:p>
        </w:tc>
        <w:tc>
          <w:tcPr>
            <w:tcW w:w="392" w:type="pct"/>
            <w:vAlign w:val="center"/>
          </w:tcPr>
          <w:p w14:paraId="1F95F04F">
            <w:pPr>
              <w:widowControl/>
              <w:jc w:val="center"/>
              <w:rPr>
                <w:rFonts w:ascii="Times New Roman" w:eastAsia="仿宋"/>
                <w:szCs w:val="21"/>
              </w:rPr>
            </w:pPr>
            <w:r>
              <w:rPr>
                <w:rFonts w:hint="eastAsia" w:ascii="Times New Roman" w:eastAsia="仿宋"/>
                <w:szCs w:val="21"/>
              </w:rPr>
              <w:t>11</w:t>
            </w:r>
            <w:r>
              <w:rPr>
                <w:rFonts w:ascii="Times New Roman" w:eastAsia="仿宋"/>
                <w:szCs w:val="21"/>
              </w:rPr>
              <w:t>6.39</w:t>
            </w:r>
          </w:p>
        </w:tc>
        <w:tc>
          <w:tcPr>
            <w:tcW w:w="348" w:type="pct"/>
            <w:vAlign w:val="center"/>
          </w:tcPr>
          <w:p w14:paraId="073196F9">
            <w:pPr>
              <w:widowControl/>
              <w:jc w:val="center"/>
              <w:rPr>
                <w:rFonts w:ascii="Times New Roman" w:eastAsia="仿宋"/>
                <w:szCs w:val="21"/>
              </w:rPr>
            </w:pPr>
            <w:r>
              <w:rPr>
                <w:rFonts w:hint="eastAsia" w:ascii="Times New Roman" w:eastAsia="仿宋"/>
                <w:szCs w:val="21"/>
              </w:rPr>
              <w:t>1</w:t>
            </w:r>
            <w:r>
              <w:rPr>
                <w:rFonts w:ascii="Times New Roman" w:eastAsia="仿宋"/>
                <w:szCs w:val="21"/>
              </w:rPr>
              <w:t>0.51</w:t>
            </w:r>
          </w:p>
        </w:tc>
        <w:tc>
          <w:tcPr>
            <w:tcW w:w="287" w:type="pct"/>
          </w:tcPr>
          <w:p w14:paraId="4AB00E94">
            <w:pPr>
              <w:jc w:val="center"/>
              <w:rPr>
                <w:rFonts w:ascii="Times New Roman" w:eastAsia="仿宋"/>
                <w:szCs w:val="21"/>
              </w:rPr>
            </w:pPr>
            <w:r>
              <w:rPr>
                <w:rFonts w:ascii="Times New Roman" w:eastAsia="仿宋"/>
                <w:szCs w:val="21"/>
              </w:rPr>
              <w:t>0</w:t>
            </w:r>
          </w:p>
        </w:tc>
        <w:tc>
          <w:tcPr>
            <w:tcW w:w="413" w:type="pct"/>
          </w:tcPr>
          <w:p w14:paraId="7C188E41">
            <w:pPr>
              <w:spacing w:line="240" w:lineRule="atLeast"/>
              <w:jc w:val="center"/>
              <w:rPr>
                <w:rFonts w:ascii="Times New Roman" w:eastAsia="仿宋"/>
                <w:bCs/>
                <w:szCs w:val="21"/>
              </w:rPr>
            </w:pPr>
            <w:r>
              <w:rPr>
                <w:rFonts w:ascii="Times New Roman" w:eastAsia="仿宋"/>
                <w:bCs/>
                <w:szCs w:val="21"/>
              </w:rPr>
              <w:t>35</w:t>
            </w:r>
          </w:p>
        </w:tc>
        <w:tc>
          <w:tcPr>
            <w:tcW w:w="503" w:type="pct"/>
          </w:tcPr>
          <w:p w14:paraId="39BFFDB8">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7638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3B1D555">
            <w:pPr>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438" w:type="pct"/>
            <w:vMerge w:val="continue"/>
            <w:vAlign w:val="center"/>
          </w:tcPr>
          <w:p w14:paraId="60F5EAA1">
            <w:pPr>
              <w:jc w:val="center"/>
              <w:rPr>
                <w:rFonts w:ascii="Times New Roman" w:eastAsia="仿宋"/>
                <w:szCs w:val="21"/>
              </w:rPr>
            </w:pPr>
          </w:p>
        </w:tc>
        <w:tc>
          <w:tcPr>
            <w:tcW w:w="623" w:type="pct"/>
            <w:vAlign w:val="center"/>
          </w:tcPr>
          <w:p w14:paraId="18B3878E">
            <w:pPr>
              <w:widowControl/>
              <w:jc w:val="center"/>
              <w:rPr>
                <w:rFonts w:ascii="Times New Roman" w:eastAsia="仿宋"/>
                <w:szCs w:val="21"/>
              </w:rPr>
            </w:pPr>
            <w:r>
              <w:rPr>
                <w:rFonts w:hint="eastAsia" w:ascii="Times New Roman" w:eastAsia="仿宋"/>
                <w:szCs w:val="21"/>
              </w:rPr>
              <w:t>手动磨光机</w:t>
            </w:r>
          </w:p>
        </w:tc>
        <w:tc>
          <w:tcPr>
            <w:tcW w:w="444" w:type="pct"/>
            <w:vAlign w:val="center"/>
          </w:tcPr>
          <w:p w14:paraId="4E87578C">
            <w:pPr>
              <w:jc w:val="center"/>
              <w:rPr>
                <w:rFonts w:ascii="Times New Roman" w:eastAsia="仿宋"/>
                <w:szCs w:val="21"/>
              </w:rPr>
            </w:pPr>
            <w:r>
              <w:rPr>
                <w:rFonts w:ascii="Times New Roman" w:eastAsia="仿宋"/>
                <w:szCs w:val="21"/>
              </w:rPr>
              <w:t>60</w:t>
            </w:r>
          </w:p>
        </w:tc>
        <w:tc>
          <w:tcPr>
            <w:tcW w:w="578" w:type="pct"/>
            <w:vAlign w:val="center"/>
          </w:tcPr>
          <w:p w14:paraId="47E1CA54">
            <w:pPr>
              <w:widowControl/>
              <w:jc w:val="center"/>
              <w:rPr>
                <w:rFonts w:ascii="Times New Roman" w:eastAsia="仿宋"/>
                <w:szCs w:val="21"/>
              </w:rPr>
            </w:pPr>
            <w:r>
              <w:rPr>
                <w:rFonts w:hint="eastAsia" w:ascii="Times New Roman" w:eastAsia="仿宋"/>
                <w:szCs w:val="21"/>
              </w:rPr>
              <w:t>7</w:t>
            </w:r>
            <w:r>
              <w:rPr>
                <w:rFonts w:ascii="Times New Roman" w:eastAsia="仿宋"/>
                <w:szCs w:val="21"/>
              </w:rPr>
              <w:t>2</w:t>
            </w:r>
          </w:p>
        </w:tc>
        <w:tc>
          <w:tcPr>
            <w:tcW w:w="375" w:type="pct"/>
            <w:vMerge w:val="continue"/>
            <w:vAlign w:val="center"/>
          </w:tcPr>
          <w:p w14:paraId="4C7001D8">
            <w:pPr>
              <w:spacing w:line="240" w:lineRule="atLeast"/>
              <w:jc w:val="center"/>
              <w:rPr>
                <w:rFonts w:ascii="Times New Roman" w:eastAsia="仿宋"/>
                <w:bCs/>
                <w:szCs w:val="21"/>
              </w:rPr>
            </w:pPr>
          </w:p>
        </w:tc>
        <w:tc>
          <w:tcPr>
            <w:tcW w:w="407" w:type="pct"/>
            <w:vAlign w:val="center"/>
          </w:tcPr>
          <w:p w14:paraId="073CD28B">
            <w:pPr>
              <w:jc w:val="center"/>
              <w:rPr>
                <w:rFonts w:ascii="Times New Roman" w:eastAsia="仿宋"/>
                <w:szCs w:val="21"/>
              </w:rPr>
            </w:pPr>
            <w:r>
              <w:rPr>
                <w:rFonts w:ascii="Times New Roman" w:eastAsia="仿宋"/>
                <w:szCs w:val="21"/>
              </w:rPr>
              <w:t>16</w:t>
            </w:r>
          </w:p>
        </w:tc>
        <w:tc>
          <w:tcPr>
            <w:tcW w:w="392" w:type="pct"/>
            <w:vAlign w:val="center"/>
          </w:tcPr>
          <w:p w14:paraId="2DB04900">
            <w:pPr>
              <w:widowControl/>
              <w:jc w:val="center"/>
              <w:rPr>
                <w:rFonts w:ascii="Times New Roman" w:eastAsia="仿宋"/>
                <w:szCs w:val="21"/>
              </w:rPr>
            </w:pPr>
            <w:r>
              <w:rPr>
                <w:rFonts w:hint="eastAsia" w:ascii="Times New Roman" w:eastAsia="仿宋"/>
                <w:szCs w:val="21"/>
              </w:rPr>
              <w:t>1</w:t>
            </w:r>
            <w:r>
              <w:rPr>
                <w:rFonts w:ascii="Times New Roman" w:eastAsia="仿宋"/>
                <w:szCs w:val="21"/>
              </w:rPr>
              <w:t>29.45</w:t>
            </w:r>
          </w:p>
        </w:tc>
        <w:tc>
          <w:tcPr>
            <w:tcW w:w="348" w:type="pct"/>
            <w:vAlign w:val="center"/>
          </w:tcPr>
          <w:p w14:paraId="5DA30D30">
            <w:pPr>
              <w:widowControl/>
              <w:jc w:val="center"/>
              <w:rPr>
                <w:rFonts w:ascii="Times New Roman" w:eastAsia="仿宋"/>
                <w:szCs w:val="21"/>
              </w:rPr>
            </w:pPr>
            <w:r>
              <w:rPr>
                <w:rFonts w:hint="eastAsia" w:ascii="Times New Roman" w:eastAsia="仿宋"/>
                <w:szCs w:val="21"/>
              </w:rPr>
              <w:t>13</w:t>
            </w:r>
            <w:r>
              <w:rPr>
                <w:rFonts w:ascii="Times New Roman" w:eastAsia="仿宋"/>
                <w:szCs w:val="21"/>
              </w:rPr>
              <w:t>.62</w:t>
            </w:r>
          </w:p>
        </w:tc>
        <w:tc>
          <w:tcPr>
            <w:tcW w:w="287" w:type="pct"/>
          </w:tcPr>
          <w:p w14:paraId="4FE36C0F">
            <w:pPr>
              <w:jc w:val="center"/>
              <w:rPr>
                <w:rFonts w:ascii="Times New Roman" w:eastAsia="仿宋"/>
                <w:szCs w:val="21"/>
              </w:rPr>
            </w:pPr>
            <w:r>
              <w:rPr>
                <w:rFonts w:ascii="Times New Roman" w:eastAsia="仿宋"/>
                <w:szCs w:val="21"/>
              </w:rPr>
              <w:t>0</w:t>
            </w:r>
          </w:p>
        </w:tc>
        <w:tc>
          <w:tcPr>
            <w:tcW w:w="413" w:type="pct"/>
          </w:tcPr>
          <w:p w14:paraId="08EE8391">
            <w:pPr>
              <w:spacing w:line="240" w:lineRule="atLeast"/>
              <w:jc w:val="center"/>
              <w:rPr>
                <w:rFonts w:ascii="Times New Roman" w:eastAsia="仿宋"/>
                <w:bCs/>
                <w:szCs w:val="21"/>
              </w:rPr>
            </w:pPr>
            <w:r>
              <w:rPr>
                <w:rFonts w:ascii="Times New Roman" w:eastAsia="仿宋"/>
                <w:bCs/>
                <w:szCs w:val="21"/>
              </w:rPr>
              <w:t>35</w:t>
            </w:r>
          </w:p>
        </w:tc>
        <w:tc>
          <w:tcPr>
            <w:tcW w:w="503" w:type="pct"/>
          </w:tcPr>
          <w:p w14:paraId="1FCC5C23">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824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13712A3E">
            <w:pPr>
              <w:jc w:val="center"/>
              <w:rPr>
                <w:rFonts w:ascii="Times New Roman" w:eastAsia="仿宋"/>
                <w:szCs w:val="21"/>
              </w:rPr>
            </w:pPr>
            <w:r>
              <w:rPr>
                <w:rFonts w:hint="eastAsia" w:ascii="Times New Roman" w:eastAsia="仿宋"/>
                <w:szCs w:val="21"/>
              </w:rPr>
              <w:t>1</w:t>
            </w:r>
            <w:r>
              <w:rPr>
                <w:rFonts w:ascii="Times New Roman" w:eastAsia="仿宋"/>
                <w:szCs w:val="21"/>
              </w:rPr>
              <w:t>6</w:t>
            </w:r>
          </w:p>
        </w:tc>
        <w:tc>
          <w:tcPr>
            <w:tcW w:w="438" w:type="pct"/>
            <w:vMerge w:val="restart"/>
            <w:vAlign w:val="center"/>
          </w:tcPr>
          <w:p w14:paraId="2980364D">
            <w:pPr>
              <w:jc w:val="center"/>
              <w:rPr>
                <w:rFonts w:ascii="Times New Roman" w:eastAsia="仿宋"/>
                <w:szCs w:val="21"/>
              </w:rPr>
            </w:pPr>
            <w:r>
              <w:rPr>
                <w:rFonts w:hint="eastAsia" w:ascii="Times New Roman" w:eastAsia="仿宋"/>
                <w:szCs w:val="21"/>
              </w:rPr>
              <w:t>3号喷涂车间</w:t>
            </w:r>
          </w:p>
        </w:tc>
        <w:tc>
          <w:tcPr>
            <w:tcW w:w="623" w:type="pct"/>
            <w:vAlign w:val="center"/>
          </w:tcPr>
          <w:p w14:paraId="005A7AC4">
            <w:pPr>
              <w:widowControl/>
              <w:jc w:val="center"/>
              <w:rPr>
                <w:rFonts w:ascii="Times New Roman" w:eastAsia="仿宋"/>
                <w:szCs w:val="21"/>
              </w:rPr>
            </w:pPr>
            <w:r>
              <w:rPr>
                <w:rFonts w:hint="eastAsia" w:ascii="Times New Roman" w:eastAsia="仿宋"/>
                <w:szCs w:val="21"/>
              </w:rPr>
              <w:t>脱脂槽</w:t>
            </w:r>
          </w:p>
        </w:tc>
        <w:tc>
          <w:tcPr>
            <w:tcW w:w="444" w:type="pct"/>
            <w:vAlign w:val="center"/>
          </w:tcPr>
          <w:p w14:paraId="533F1DF6">
            <w:pPr>
              <w:jc w:val="center"/>
              <w:rPr>
                <w:rFonts w:ascii="Times New Roman" w:eastAsia="仿宋"/>
                <w:szCs w:val="21"/>
              </w:rPr>
            </w:pPr>
            <w:r>
              <w:rPr>
                <w:rFonts w:ascii="Times New Roman" w:eastAsia="仿宋"/>
                <w:szCs w:val="21"/>
              </w:rPr>
              <w:t>60</w:t>
            </w:r>
          </w:p>
        </w:tc>
        <w:tc>
          <w:tcPr>
            <w:tcW w:w="578" w:type="pct"/>
            <w:vAlign w:val="center"/>
          </w:tcPr>
          <w:p w14:paraId="7A3589D5">
            <w:pPr>
              <w:widowControl/>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375" w:type="pct"/>
            <w:vMerge w:val="continue"/>
            <w:vAlign w:val="center"/>
          </w:tcPr>
          <w:p w14:paraId="4F59187E">
            <w:pPr>
              <w:spacing w:line="240" w:lineRule="atLeast"/>
              <w:jc w:val="center"/>
              <w:rPr>
                <w:rFonts w:ascii="Times New Roman" w:eastAsia="仿宋"/>
                <w:bCs/>
                <w:szCs w:val="21"/>
              </w:rPr>
            </w:pPr>
          </w:p>
        </w:tc>
        <w:tc>
          <w:tcPr>
            <w:tcW w:w="407" w:type="pct"/>
            <w:vAlign w:val="center"/>
          </w:tcPr>
          <w:p w14:paraId="12CCD3BF">
            <w:pPr>
              <w:jc w:val="center"/>
              <w:rPr>
                <w:rFonts w:ascii="Times New Roman" w:eastAsia="仿宋"/>
                <w:szCs w:val="21"/>
              </w:rPr>
            </w:pPr>
            <w:r>
              <w:rPr>
                <w:rFonts w:hint="eastAsia" w:ascii="Times New Roman" w:eastAsia="仿宋"/>
                <w:szCs w:val="21"/>
              </w:rPr>
              <w:t>1</w:t>
            </w:r>
          </w:p>
        </w:tc>
        <w:tc>
          <w:tcPr>
            <w:tcW w:w="392" w:type="pct"/>
            <w:vAlign w:val="center"/>
          </w:tcPr>
          <w:p w14:paraId="632DE3CC">
            <w:pPr>
              <w:widowControl/>
              <w:jc w:val="center"/>
              <w:rPr>
                <w:rFonts w:ascii="Times New Roman" w:eastAsia="仿宋"/>
                <w:szCs w:val="21"/>
              </w:rPr>
            </w:pPr>
            <w:r>
              <w:rPr>
                <w:rFonts w:hint="eastAsia" w:ascii="Times New Roman" w:eastAsia="仿宋"/>
                <w:szCs w:val="21"/>
              </w:rPr>
              <w:t>7</w:t>
            </w:r>
            <w:r>
              <w:rPr>
                <w:rFonts w:ascii="Times New Roman" w:eastAsia="仿宋"/>
                <w:szCs w:val="21"/>
              </w:rPr>
              <w:t>0.33</w:t>
            </w:r>
          </w:p>
        </w:tc>
        <w:tc>
          <w:tcPr>
            <w:tcW w:w="348" w:type="pct"/>
            <w:vAlign w:val="center"/>
          </w:tcPr>
          <w:p w14:paraId="0F9D1C54">
            <w:pPr>
              <w:widowControl/>
              <w:jc w:val="center"/>
              <w:rPr>
                <w:rFonts w:ascii="Times New Roman" w:eastAsia="仿宋"/>
                <w:szCs w:val="21"/>
              </w:rPr>
            </w:pPr>
            <w:r>
              <w:rPr>
                <w:rFonts w:hint="eastAsia" w:ascii="Times New Roman" w:eastAsia="仿宋"/>
                <w:szCs w:val="21"/>
              </w:rPr>
              <w:t>3</w:t>
            </w:r>
            <w:r>
              <w:rPr>
                <w:rFonts w:ascii="Times New Roman" w:eastAsia="仿宋"/>
                <w:szCs w:val="21"/>
              </w:rPr>
              <w:t>0.91</w:t>
            </w:r>
          </w:p>
        </w:tc>
        <w:tc>
          <w:tcPr>
            <w:tcW w:w="287" w:type="pct"/>
          </w:tcPr>
          <w:p w14:paraId="3AD0A85D">
            <w:pPr>
              <w:jc w:val="center"/>
              <w:rPr>
                <w:rFonts w:ascii="Times New Roman" w:eastAsia="仿宋"/>
                <w:szCs w:val="21"/>
              </w:rPr>
            </w:pPr>
            <w:r>
              <w:rPr>
                <w:rFonts w:ascii="Times New Roman" w:eastAsia="仿宋"/>
                <w:szCs w:val="21"/>
              </w:rPr>
              <w:t>0</w:t>
            </w:r>
          </w:p>
        </w:tc>
        <w:tc>
          <w:tcPr>
            <w:tcW w:w="413" w:type="pct"/>
          </w:tcPr>
          <w:p w14:paraId="1E4903CE">
            <w:pPr>
              <w:spacing w:line="240" w:lineRule="atLeast"/>
              <w:jc w:val="center"/>
              <w:rPr>
                <w:rFonts w:ascii="Times New Roman" w:eastAsia="仿宋"/>
                <w:bCs/>
                <w:szCs w:val="21"/>
              </w:rPr>
            </w:pPr>
            <w:r>
              <w:rPr>
                <w:rFonts w:ascii="Times New Roman" w:eastAsia="仿宋"/>
                <w:bCs/>
                <w:szCs w:val="21"/>
              </w:rPr>
              <w:t>35</w:t>
            </w:r>
          </w:p>
        </w:tc>
        <w:tc>
          <w:tcPr>
            <w:tcW w:w="503" w:type="pct"/>
          </w:tcPr>
          <w:p w14:paraId="68F3FDE6">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122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0E531CE2">
            <w:pPr>
              <w:jc w:val="center"/>
              <w:rPr>
                <w:rFonts w:ascii="Times New Roman" w:eastAsia="仿宋"/>
                <w:szCs w:val="21"/>
              </w:rPr>
            </w:pPr>
            <w:r>
              <w:rPr>
                <w:rFonts w:hint="eastAsia" w:ascii="Times New Roman" w:eastAsia="仿宋"/>
                <w:szCs w:val="21"/>
              </w:rPr>
              <w:t>1</w:t>
            </w:r>
            <w:r>
              <w:rPr>
                <w:rFonts w:ascii="Times New Roman" w:eastAsia="仿宋"/>
                <w:szCs w:val="21"/>
              </w:rPr>
              <w:t>7</w:t>
            </w:r>
          </w:p>
        </w:tc>
        <w:tc>
          <w:tcPr>
            <w:tcW w:w="438" w:type="pct"/>
            <w:vMerge w:val="continue"/>
            <w:vAlign w:val="center"/>
          </w:tcPr>
          <w:p w14:paraId="57BE3FFA">
            <w:pPr>
              <w:jc w:val="center"/>
              <w:rPr>
                <w:rFonts w:ascii="Times New Roman" w:eastAsia="仿宋"/>
                <w:szCs w:val="21"/>
              </w:rPr>
            </w:pPr>
          </w:p>
        </w:tc>
        <w:tc>
          <w:tcPr>
            <w:tcW w:w="623" w:type="pct"/>
            <w:vAlign w:val="center"/>
          </w:tcPr>
          <w:p w14:paraId="5A986512">
            <w:pPr>
              <w:widowControl/>
              <w:jc w:val="center"/>
              <w:rPr>
                <w:rFonts w:ascii="Times New Roman" w:eastAsia="仿宋"/>
                <w:szCs w:val="21"/>
              </w:rPr>
            </w:pPr>
            <w:r>
              <w:rPr>
                <w:rFonts w:hint="eastAsia" w:ascii="Times New Roman" w:eastAsia="仿宋"/>
                <w:szCs w:val="21"/>
              </w:rPr>
              <w:t>水洗槽</w:t>
            </w:r>
          </w:p>
        </w:tc>
        <w:tc>
          <w:tcPr>
            <w:tcW w:w="444" w:type="pct"/>
            <w:vAlign w:val="center"/>
          </w:tcPr>
          <w:p w14:paraId="6BCA1DF0">
            <w:pPr>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578" w:type="pct"/>
            <w:vAlign w:val="center"/>
          </w:tcPr>
          <w:p w14:paraId="5ACAB87A">
            <w:pPr>
              <w:widowControl/>
              <w:jc w:val="center"/>
              <w:rPr>
                <w:rFonts w:ascii="Times New Roman" w:eastAsia="仿宋"/>
                <w:szCs w:val="21"/>
              </w:rPr>
            </w:pPr>
            <w:r>
              <w:rPr>
                <w:rFonts w:hint="eastAsia" w:ascii="Times New Roman" w:eastAsia="仿宋"/>
                <w:szCs w:val="21"/>
              </w:rPr>
              <w:t>6</w:t>
            </w:r>
            <w:r>
              <w:rPr>
                <w:rFonts w:ascii="Times New Roman" w:eastAsia="仿宋"/>
                <w:szCs w:val="21"/>
              </w:rPr>
              <w:t>4</w:t>
            </w:r>
          </w:p>
        </w:tc>
        <w:tc>
          <w:tcPr>
            <w:tcW w:w="375" w:type="pct"/>
            <w:vMerge w:val="continue"/>
            <w:vAlign w:val="center"/>
          </w:tcPr>
          <w:p w14:paraId="33FE661F">
            <w:pPr>
              <w:spacing w:line="240" w:lineRule="atLeast"/>
              <w:jc w:val="center"/>
              <w:rPr>
                <w:rFonts w:ascii="Times New Roman" w:eastAsia="仿宋"/>
                <w:bCs/>
                <w:szCs w:val="21"/>
              </w:rPr>
            </w:pPr>
          </w:p>
        </w:tc>
        <w:tc>
          <w:tcPr>
            <w:tcW w:w="407" w:type="pct"/>
            <w:vAlign w:val="center"/>
          </w:tcPr>
          <w:p w14:paraId="661D46F0">
            <w:pPr>
              <w:jc w:val="center"/>
              <w:rPr>
                <w:rFonts w:ascii="Times New Roman" w:eastAsia="仿宋"/>
                <w:szCs w:val="21"/>
              </w:rPr>
            </w:pPr>
            <w:r>
              <w:rPr>
                <w:rFonts w:hint="eastAsia" w:ascii="Times New Roman" w:eastAsia="仿宋"/>
                <w:szCs w:val="21"/>
              </w:rPr>
              <w:t>3</w:t>
            </w:r>
          </w:p>
        </w:tc>
        <w:tc>
          <w:tcPr>
            <w:tcW w:w="392" w:type="pct"/>
            <w:vAlign w:val="center"/>
          </w:tcPr>
          <w:p w14:paraId="76D8337D">
            <w:pPr>
              <w:widowControl/>
              <w:jc w:val="center"/>
              <w:rPr>
                <w:rFonts w:ascii="Times New Roman" w:eastAsia="仿宋"/>
                <w:szCs w:val="21"/>
              </w:rPr>
            </w:pPr>
            <w:r>
              <w:rPr>
                <w:rFonts w:hint="eastAsia" w:ascii="Times New Roman" w:eastAsia="仿宋"/>
                <w:szCs w:val="21"/>
              </w:rPr>
              <w:t>7</w:t>
            </w:r>
            <w:r>
              <w:rPr>
                <w:rFonts w:ascii="Times New Roman" w:eastAsia="仿宋"/>
                <w:szCs w:val="21"/>
              </w:rPr>
              <w:t>6.9</w:t>
            </w:r>
          </w:p>
        </w:tc>
        <w:tc>
          <w:tcPr>
            <w:tcW w:w="348" w:type="pct"/>
            <w:vAlign w:val="center"/>
          </w:tcPr>
          <w:p w14:paraId="6692E7E0">
            <w:pPr>
              <w:widowControl/>
              <w:jc w:val="center"/>
              <w:rPr>
                <w:rFonts w:ascii="Times New Roman" w:eastAsia="仿宋"/>
                <w:szCs w:val="21"/>
              </w:rPr>
            </w:pPr>
            <w:r>
              <w:rPr>
                <w:rFonts w:hint="eastAsia" w:ascii="Times New Roman" w:eastAsia="仿宋"/>
                <w:szCs w:val="21"/>
              </w:rPr>
              <w:t>1</w:t>
            </w:r>
            <w:r>
              <w:rPr>
                <w:rFonts w:ascii="Times New Roman" w:eastAsia="仿宋"/>
                <w:szCs w:val="21"/>
              </w:rPr>
              <w:t>4.33</w:t>
            </w:r>
          </w:p>
        </w:tc>
        <w:tc>
          <w:tcPr>
            <w:tcW w:w="287" w:type="pct"/>
          </w:tcPr>
          <w:p w14:paraId="546CF658">
            <w:pPr>
              <w:jc w:val="center"/>
              <w:rPr>
                <w:rFonts w:ascii="Times New Roman" w:eastAsia="仿宋"/>
                <w:szCs w:val="21"/>
              </w:rPr>
            </w:pPr>
            <w:r>
              <w:rPr>
                <w:rFonts w:ascii="Times New Roman" w:eastAsia="仿宋"/>
                <w:szCs w:val="21"/>
              </w:rPr>
              <w:t>0</w:t>
            </w:r>
          </w:p>
        </w:tc>
        <w:tc>
          <w:tcPr>
            <w:tcW w:w="413" w:type="pct"/>
          </w:tcPr>
          <w:p w14:paraId="06E5E77C">
            <w:pPr>
              <w:spacing w:line="240" w:lineRule="atLeast"/>
              <w:jc w:val="center"/>
              <w:rPr>
                <w:rFonts w:ascii="Times New Roman" w:eastAsia="仿宋"/>
                <w:bCs/>
                <w:szCs w:val="21"/>
              </w:rPr>
            </w:pPr>
            <w:r>
              <w:rPr>
                <w:rFonts w:ascii="Times New Roman" w:eastAsia="仿宋"/>
                <w:bCs/>
                <w:szCs w:val="21"/>
              </w:rPr>
              <w:t>35</w:t>
            </w:r>
          </w:p>
        </w:tc>
        <w:tc>
          <w:tcPr>
            <w:tcW w:w="503" w:type="pct"/>
          </w:tcPr>
          <w:p w14:paraId="11790F12">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8F5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C8E5A0F">
            <w:pPr>
              <w:jc w:val="center"/>
              <w:rPr>
                <w:rFonts w:ascii="Times New Roman" w:eastAsia="仿宋"/>
                <w:szCs w:val="21"/>
              </w:rPr>
            </w:pPr>
            <w:r>
              <w:rPr>
                <w:rFonts w:hint="eastAsia" w:ascii="Times New Roman" w:eastAsia="仿宋"/>
                <w:szCs w:val="21"/>
              </w:rPr>
              <w:t>1</w:t>
            </w:r>
            <w:r>
              <w:rPr>
                <w:rFonts w:ascii="Times New Roman" w:eastAsia="仿宋"/>
                <w:szCs w:val="21"/>
              </w:rPr>
              <w:t>8</w:t>
            </w:r>
          </w:p>
        </w:tc>
        <w:tc>
          <w:tcPr>
            <w:tcW w:w="438" w:type="pct"/>
            <w:vMerge w:val="continue"/>
            <w:vAlign w:val="center"/>
          </w:tcPr>
          <w:p w14:paraId="48A790D9">
            <w:pPr>
              <w:jc w:val="center"/>
              <w:rPr>
                <w:rFonts w:ascii="Times New Roman" w:eastAsia="仿宋"/>
                <w:szCs w:val="21"/>
              </w:rPr>
            </w:pPr>
          </w:p>
        </w:tc>
        <w:tc>
          <w:tcPr>
            <w:tcW w:w="623" w:type="pct"/>
            <w:vAlign w:val="center"/>
          </w:tcPr>
          <w:p w14:paraId="0EFD02A6">
            <w:pPr>
              <w:widowControl/>
              <w:jc w:val="center"/>
              <w:rPr>
                <w:rFonts w:ascii="Times New Roman" w:eastAsia="仿宋"/>
                <w:szCs w:val="21"/>
              </w:rPr>
            </w:pPr>
            <w:r>
              <w:rPr>
                <w:rFonts w:hint="eastAsia" w:ascii="Times New Roman" w:eastAsia="仿宋"/>
                <w:szCs w:val="21"/>
              </w:rPr>
              <w:t>钝化槽</w:t>
            </w:r>
          </w:p>
        </w:tc>
        <w:tc>
          <w:tcPr>
            <w:tcW w:w="444" w:type="pct"/>
            <w:vAlign w:val="center"/>
          </w:tcPr>
          <w:p w14:paraId="2D7DF036">
            <w:pPr>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578" w:type="pct"/>
            <w:vAlign w:val="center"/>
          </w:tcPr>
          <w:p w14:paraId="1CF8A668">
            <w:pPr>
              <w:widowControl/>
              <w:jc w:val="center"/>
              <w:rPr>
                <w:rFonts w:ascii="Times New Roman" w:eastAsia="仿宋"/>
                <w:szCs w:val="21"/>
              </w:rPr>
            </w:pPr>
            <w:r>
              <w:rPr>
                <w:rFonts w:hint="eastAsia" w:ascii="Times New Roman" w:eastAsia="仿宋"/>
                <w:szCs w:val="21"/>
              </w:rPr>
              <w:t>60</w:t>
            </w:r>
          </w:p>
        </w:tc>
        <w:tc>
          <w:tcPr>
            <w:tcW w:w="375" w:type="pct"/>
            <w:vMerge w:val="continue"/>
            <w:vAlign w:val="center"/>
          </w:tcPr>
          <w:p w14:paraId="5A766C10">
            <w:pPr>
              <w:spacing w:line="240" w:lineRule="atLeast"/>
              <w:jc w:val="center"/>
              <w:rPr>
                <w:rFonts w:ascii="Times New Roman" w:eastAsia="仿宋"/>
                <w:bCs/>
                <w:szCs w:val="21"/>
              </w:rPr>
            </w:pPr>
          </w:p>
        </w:tc>
        <w:tc>
          <w:tcPr>
            <w:tcW w:w="407" w:type="pct"/>
            <w:vAlign w:val="center"/>
          </w:tcPr>
          <w:p w14:paraId="5618923C">
            <w:pPr>
              <w:jc w:val="center"/>
              <w:rPr>
                <w:rFonts w:ascii="Times New Roman" w:eastAsia="仿宋"/>
                <w:szCs w:val="21"/>
              </w:rPr>
            </w:pPr>
            <w:r>
              <w:rPr>
                <w:rFonts w:hint="eastAsia" w:ascii="Times New Roman" w:eastAsia="仿宋"/>
                <w:szCs w:val="21"/>
              </w:rPr>
              <w:t>1</w:t>
            </w:r>
          </w:p>
        </w:tc>
        <w:tc>
          <w:tcPr>
            <w:tcW w:w="392" w:type="pct"/>
            <w:vAlign w:val="center"/>
          </w:tcPr>
          <w:p w14:paraId="22EA73BD">
            <w:pPr>
              <w:widowControl/>
              <w:jc w:val="center"/>
              <w:rPr>
                <w:rFonts w:ascii="Times New Roman" w:eastAsia="仿宋"/>
                <w:szCs w:val="21"/>
              </w:rPr>
            </w:pPr>
            <w:r>
              <w:rPr>
                <w:rFonts w:hint="eastAsia" w:ascii="Times New Roman" w:eastAsia="仿宋"/>
                <w:szCs w:val="21"/>
              </w:rPr>
              <w:t>6</w:t>
            </w:r>
            <w:r>
              <w:rPr>
                <w:rFonts w:ascii="Times New Roman" w:eastAsia="仿宋"/>
                <w:szCs w:val="21"/>
              </w:rPr>
              <w:t>2.2</w:t>
            </w:r>
          </w:p>
        </w:tc>
        <w:tc>
          <w:tcPr>
            <w:tcW w:w="348" w:type="pct"/>
            <w:vAlign w:val="center"/>
          </w:tcPr>
          <w:p w14:paraId="29E41090">
            <w:pPr>
              <w:widowControl/>
              <w:jc w:val="center"/>
              <w:rPr>
                <w:rFonts w:ascii="Times New Roman" w:eastAsia="仿宋"/>
                <w:szCs w:val="21"/>
              </w:rPr>
            </w:pPr>
            <w:r>
              <w:rPr>
                <w:rFonts w:hint="eastAsia" w:ascii="Times New Roman" w:eastAsia="仿宋"/>
                <w:szCs w:val="21"/>
              </w:rPr>
              <w:t>20.</w:t>
            </w:r>
            <w:r>
              <w:rPr>
                <w:rFonts w:ascii="Times New Roman" w:eastAsia="仿宋"/>
                <w:szCs w:val="21"/>
              </w:rPr>
              <w:t>59</w:t>
            </w:r>
          </w:p>
        </w:tc>
        <w:tc>
          <w:tcPr>
            <w:tcW w:w="287" w:type="pct"/>
          </w:tcPr>
          <w:p w14:paraId="4D358A07">
            <w:pPr>
              <w:jc w:val="center"/>
              <w:rPr>
                <w:rFonts w:ascii="Times New Roman" w:eastAsia="仿宋"/>
                <w:szCs w:val="21"/>
              </w:rPr>
            </w:pPr>
            <w:r>
              <w:rPr>
                <w:rFonts w:ascii="Times New Roman" w:eastAsia="仿宋"/>
                <w:szCs w:val="21"/>
              </w:rPr>
              <w:t>0</w:t>
            </w:r>
          </w:p>
        </w:tc>
        <w:tc>
          <w:tcPr>
            <w:tcW w:w="413" w:type="pct"/>
          </w:tcPr>
          <w:p w14:paraId="0C6D2B6A">
            <w:pPr>
              <w:spacing w:line="240" w:lineRule="atLeast"/>
              <w:jc w:val="center"/>
              <w:rPr>
                <w:rFonts w:ascii="Times New Roman" w:eastAsia="仿宋"/>
                <w:bCs/>
                <w:szCs w:val="21"/>
              </w:rPr>
            </w:pPr>
            <w:r>
              <w:rPr>
                <w:rFonts w:ascii="Times New Roman" w:eastAsia="仿宋"/>
                <w:bCs/>
                <w:szCs w:val="21"/>
              </w:rPr>
              <w:t>35</w:t>
            </w:r>
          </w:p>
        </w:tc>
        <w:tc>
          <w:tcPr>
            <w:tcW w:w="503" w:type="pct"/>
          </w:tcPr>
          <w:p w14:paraId="4F71A957">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12A7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F2771CE">
            <w:pPr>
              <w:jc w:val="center"/>
              <w:rPr>
                <w:rFonts w:ascii="Times New Roman" w:eastAsia="仿宋"/>
                <w:szCs w:val="21"/>
              </w:rPr>
            </w:pPr>
            <w:r>
              <w:rPr>
                <w:rFonts w:hint="eastAsia" w:ascii="Times New Roman" w:eastAsia="仿宋"/>
                <w:szCs w:val="21"/>
              </w:rPr>
              <w:t>1</w:t>
            </w:r>
            <w:r>
              <w:rPr>
                <w:rFonts w:ascii="Times New Roman" w:eastAsia="仿宋"/>
                <w:szCs w:val="21"/>
              </w:rPr>
              <w:t>9</w:t>
            </w:r>
          </w:p>
        </w:tc>
        <w:tc>
          <w:tcPr>
            <w:tcW w:w="438" w:type="pct"/>
            <w:vMerge w:val="continue"/>
            <w:vAlign w:val="center"/>
          </w:tcPr>
          <w:p w14:paraId="46176534">
            <w:pPr>
              <w:jc w:val="center"/>
              <w:rPr>
                <w:rFonts w:ascii="Times New Roman" w:eastAsia="仿宋"/>
                <w:szCs w:val="21"/>
              </w:rPr>
            </w:pPr>
          </w:p>
        </w:tc>
        <w:tc>
          <w:tcPr>
            <w:tcW w:w="623" w:type="pct"/>
            <w:vAlign w:val="center"/>
          </w:tcPr>
          <w:p w14:paraId="6599DA7C">
            <w:pPr>
              <w:widowControl/>
              <w:jc w:val="center"/>
              <w:rPr>
                <w:rFonts w:ascii="Times New Roman" w:eastAsia="仿宋"/>
                <w:szCs w:val="21"/>
              </w:rPr>
            </w:pPr>
            <w:r>
              <w:rPr>
                <w:rFonts w:hint="eastAsia" w:ascii="Times New Roman" w:eastAsia="仿宋"/>
                <w:szCs w:val="21"/>
              </w:rPr>
              <w:t>喷粉房</w:t>
            </w:r>
          </w:p>
        </w:tc>
        <w:tc>
          <w:tcPr>
            <w:tcW w:w="444" w:type="pct"/>
            <w:vAlign w:val="center"/>
          </w:tcPr>
          <w:p w14:paraId="313693DD">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0449FE69">
            <w:pPr>
              <w:widowControl/>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375" w:type="pct"/>
            <w:vMerge w:val="continue"/>
            <w:vAlign w:val="center"/>
          </w:tcPr>
          <w:p w14:paraId="1F6BB004">
            <w:pPr>
              <w:spacing w:line="240" w:lineRule="atLeast"/>
              <w:jc w:val="center"/>
              <w:rPr>
                <w:rFonts w:ascii="Times New Roman" w:eastAsia="仿宋"/>
                <w:bCs/>
                <w:szCs w:val="21"/>
              </w:rPr>
            </w:pPr>
          </w:p>
        </w:tc>
        <w:tc>
          <w:tcPr>
            <w:tcW w:w="407" w:type="pct"/>
            <w:vAlign w:val="center"/>
          </w:tcPr>
          <w:p w14:paraId="26CBE740">
            <w:pPr>
              <w:jc w:val="center"/>
              <w:rPr>
                <w:rFonts w:ascii="Times New Roman" w:eastAsia="仿宋"/>
                <w:szCs w:val="21"/>
              </w:rPr>
            </w:pPr>
            <w:r>
              <w:rPr>
                <w:rFonts w:hint="eastAsia" w:ascii="Times New Roman" w:eastAsia="仿宋"/>
                <w:szCs w:val="21"/>
              </w:rPr>
              <w:t>1</w:t>
            </w:r>
          </w:p>
        </w:tc>
        <w:tc>
          <w:tcPr>
            <w:tcW w:w="392" w:type="pct"/>
            <w:vAlign w:val="center"/>
          </w:tcPr>
          <w:p w14:paraId="61035BEB">
            <w:pPr>
              <w:widowControl/>
              <w:jc w:val="center"/>
              <w:rPr>
                <w:rFonts w:ascii="Times New Roman" w:eastAsia="仿宋"/>
                <w:szCs w:val="21"/>
              </w:rPr>
            </w:pPr>
            <w:r>
              <w:rPr>
                <w:rFonts w:hint="eastAsia" w:ascii="Times New Roman" w:eastAsia="仿宋"/>
                <w:szCs w:val="21"/>
              </w:rPr>
              <w:t>6</w:t>
            </w:r>
            <w:r>
              <w:rPr>
                <w:rFonts w:ascii="Times New Roman" w:eastAsia="仿宋"/>
                <w:szCs w:val="21"/>
              </w:rPr>
              <w:t>2.51</w:t>
            </w:r>
          </w:p>
        </w:tc>
        <w:tc>
          <w:tcPr>
            <w:tcW w:w="348" w:type="pct"/>
            <w:vAlign w:val="center"/>
          </w:tcPr>
          <w:p w14:paraId="4EE80725">
            <w:pPr>
              <w:widowControl/>
              <w:jc w:val="center"/>
              <w:rPr>
                <w:rFonts w:ascii="Times New Roman" w:eastAsia="仿宋"/>
                <w:szCs w:val="21"/>
              </w:rPr>
            </w:pPr>
            <w:r>
              <w:rPr>
                <w:rFonts w:hint="eastAsia" w:ascii="Times New Roman" w:eastAsia="仿宋"/>
                <w:szCs w:val="21"/>
              </w:rPr>
              <w:t>1</w:t>
            </w:r>
            <w:r>
              <w:rPr>
                <w:rFonts w:ascii="Times New Roman" w:eastAsia="仿宋"/>
                <w:szCs w:val="21"/>
              </w:rPr>
              <w:t>4.64</w:t>
            </w:r>
          </w:p>
        </w:tc>
        <w:tc>
          <w:tcPr>
            <w:tcW w:w="287" w:type="pct"/>
          </w:tcPr>
          <w:p w14:paraId="08E150CD">
            <w:pPr>
              <w:jc w:val="center"/>
              <w:rPr>
                <w:rFonts w:ascii="Times New Roman" w:eastAsia="仿宋"/>
                <w:szCs w:val="21"/>
              </w:rPr>
            </w:pPr>
            <w:r>
              <w:rPr>
                <w:rFonts w:ascii="Times New Roman" w:eastAsia="仿宋"/>
                <w:szCs w:val="21"/>
              </w:rPr>
              <w:t>0</w:t>
            </w:r>
          </w:p>
        </w:tc>
        <w:tc>
          <w:tcPr>
            <w:tcW w:w="413" w:type="pct"/>
          </w:tcPr>
          <w:p w14:paraId="4A654709">
            <w:pPr>
              <w:spacing w:line="240" w:lineRule="atLeast"/>
              <w:jc w:val="center"/>
              <w:rPr>
                <w:rFonts w:ascii="Times New Roman" w:eastAsia="仿宋"/>
                <w:bCs/>
                <w:szCs w:val="21"/>
              </w:rPr>
            </w:pPr>
            <w:r>
              <w:rPr>
                <w:rFonts w:ascii="Times New Roman" w:eastAsia="仿宋"/>
                <w:bCs/>
                <w:szCs w:val="21"/>
              </w:rPr>
              <w:t>35</w:t>
            </w:r>
          </w:p>
        </w:tc>
        <w:tc>
          <w:tcPr>
            <w:tcW w:w="503" w:type="pct"/>
          </w:tcPr>
          <w:p w14:paraId="1C3C8233">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29C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539840D4">
            <w:pPr>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438" w:type="pct"/>
            <w:vMerge w:val="continue"/>
            <w:vAlign w:val="center"/>
          </w:tcPr>
          <w:p w14:paraId="303B108A">
            <w:pPr>
              <w:jc w:val="center"/>
              <w:rPr>
                <w:rFonts w:ascii="Times New Roman" w:eastAsia="仿宋"/>
                <w:szCs w:val="21"/>
              </w:rPr>
            </w:pPr>
          </w:p>
        </w:tc>
        <w:tc>
          <w:tcPr>
            <w:tcW w:w="623" w:type="pct"/>
            <w:vAlign w:val="center"/>
          </w:tcPr>
          <w:p w14:paraId="3D265C35">
            <w:pPr>
              <w:widowControl/>
              <w:jc w:val="center"/>
              <w:rPr>
                <w:rFonts w:ascii="Times New Roman" w:eastAsia="仿宋"/>
                <w:szCs w:val="21"/>
              </w:rPr>
            </w:pPr>
            <w:r>
              <w:rPr>
                <w:rFonts w:hint="eastAsia" w:ascii="Times New Roman" w:eastAsia="仿宋"/>
                <w:szCs w:val="21"/>
              </w:rPr>
              <w:t>底漆喷房</w:t>
            </w:r>
          </w:p>
        </w:tc>
        <w:tc>
          <w:tcPr>
            <w:tcW w:w="444" w:type="pct"/>
            <w:vAlign w:val="center"/>
          </w:tcPr>
          <w:p w14:paraId="0D93E67F">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57D097E7">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375" w:type="pct"/>
            <w:vMerge w:val="continue"/>
            <w:vAlign w:val="center"/>
          </w:tcPr>
          <w:p w14:paraId="5EB77BBB">
            <w:pPr>
              <w:spacing w:line="240" w:lineRule="atLeast"/>
              <w:jc w:val="center"/>
              <w:rPr>
                <w:rFonts w:ascii="Times New Roman" w:eastAsia="仿宋"/>
                <w:bCs/>
                <w:szCs w:val="21"/>
              </w:rPr>
            </w:pPr>
          </w:p>
        </w:tc>
        <w:tc>
          <w:tcPr>
            <w:tcW w:w="407" w:type="pct"/>
            <w:vAlign w:val="center"/>
          </w:tcPr>
          <w:p w14:paraId="7DBC8305">
            <w:pPr>
              <w:jc w:val="center"/>
              <w:rPr>
                <w:rFonts w:ascii="Times New Roman" w:eastAsia="仿宋"/>
                <w:szCs w:val="21"/>
              </w:rPr>
            </w:pPr>
            <w:r>
              <w:rPr>
                <w:rFonts w:hint="eastAsia" w:ascii="Times New Roman" w:eastAsia="仿宋"/>
                <w:szCs w:val="21"/>
              </w:rPr>
              <w:t>2</w:t>
            </w:r>
          </w:p>
        </w:tc>
        <w:tc>
          <w:tcPr>
            <w:tcW w:w="392" w:type="pct"/>
            <w:vAlign w:val="center"/>
          </w:tcPr>
          <w:p w14:paraId="14301705">
            <w:pPr>
              <w:widowControl/>
              <w:jc w:val="center"/>
              <w:rPr>
                <w:rFonts w:ascii="Times New Roman" w:eastAsia="仿宋"/>
                <w:szCs w:val="21"/>
              </w:rPr>
            </w:pPr>
            <w:r>
              <w:rPr>
                <w:rFonts w:hint="eastAsia" w:ascii="Times New Roman" w:eastAsia="仿宋"/>
                <w:szCs w:val="21"/>
              </w:rPr>
              <w:t>6</w:t>
            </w:r>
            <w:r>
              <w:rPr>
                <w:rFonts w:ascii="Times New Roman" w:eastAsia="仿宋"/>
                <w:szCs w:val="21"/>
              </w:rPr>
              <w:t>3.14</w:t>
            </w:r>
          </w:p>
        </w:tc>
        <w:tc>
          <w:tcPr>
            <w:tcW w:w="348" w:type="pct"/>
            <w:vAlign w:val="center"/>
          </w:tcPr>
          <w:p w14:paraId="5518B1D5">
            <w:pPr>
              <w:widowControl/>
              <w:jc w:val="center"/>
              <w:rPr>
                <w:rFonts w:ascii="Times New Roman" w:eastAsia="仿宋"/>
                <w:szCs w:val="21"/>
              </w:rPr>
            </w:pPr>
            <w:r>
              <w:rPr>
                <w:rFonts w:hint="eastAsia" w:ascii="Times New Roman" w:eastAsia="仿宋"/>
                <w:szCs w:val="21"/>
              </w:rPr>
              <w:t>1</w:t>
            </w:r>
            <w:r>
              <w:rPr>
                <w:rFonts w:ascii="Times New Roman" w:eastAsia="仿宋"/>
                <w:szCs w:val="21"/>
              </w:rPr>
              <w:t>9.02</w:t>
            </w:r>
          </w:p>
        </w:tc>
        <w:tc>
          <w:tcPr>
            <w:tcW w:w="287" w:type="pct"/>
          </w:tcPr>
          <w:p w14:paraId="2A58E681">
            <w:pPr>
              <w:jc w:val="center"/>
              <w:rPr>
                <w:rFonts w:ascii="Times New Roman" w:eastAsia="仿宋"/>
                <w:szCs w:val="21"/>
              </w:rPr>
            </w:pPr>
            <w:r>
              <w:rPr>
                <w:rFonts w:ascii="Times New Roman" w:eastAsia="仿宋"/>
                <w:szCs w:val="21"/>
              </w:rPr>
              <w:t>0</w:t>
            </w:r>
          </w:p>
        </w:tc>
        <w:tc>
          <w:tcPr>
            <w:tcW w:w="413" w:type="pct"/>
          </w:tcPr>
          <w:p w14:paraId="6887B1AD">
            <w:pPr>
              <w:spacing w:line="240" w:lineRule="atLeast"/>
              <w:jc w:val="center"/>
              <w:rPr>
                <w:rFonts w:ascii="Times New Roman" w:eastAsia="仿宋"/>
                <w:bCs/>
                <w:szCs w:val="21"/>
              </w:rPr>
            </w:pPr>
            <w:r>
              <w:rPr>
                <w:rFonts w:ascii="Times New Roman" w:eastAsia="仿宋"/>
                <w:bCs/>
                <w:szCs w:val="21"/>
              </w:rPr>
              <w:t>35</w:t>
            </w:r>
          </w:p>
        </w:tc>
        <w:tc>
          <w:tcPr>
            <w:tcW w:w="503" w:type="pct"/>
          </w:tcPr>
          <w:p w14:paraId="54E8D180">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23EB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1570825E">
            <w:pPr>
              <w:jc w:val="center"/>
              <w:rPr>
                <w:rFonts w:ascii="Times New Roman" w:eastAsia="仿宋"/>
                <w:szCs w:val="21"/>
              </w:rPr>
            </w:pPr>
            <w:r>
              <w:rPr>
                <w:rFonts w:hint="eastAsia" w:ascii="Times New Roman" w:eastAsia="仿宋"/>
                <w:szCs w:val="21"/>
              </w:rPr>
              <w:t>2</w:t>
            </w:r>
            <w:r>
              <w:rPr>
                <w:rFonts w:ascii="Times New Roman" w:eastAsia="仿宋"/>
                <w:szCs w:val="21"/>
              </w:rPr>
              <w:t>1</w:t>
            </w:r>
          </w:p>
        </w:tc>
        <w:tc>
          <w:tcPr>
            <w:tcW w:w="438" w:type="pct"/>
            <w:vMerge w:val="continue"/>
            <w:vAlign w:val="center"/>
          </w:tcPr>
          <w:p w14:paraId="7CCDCE0E">
            <w:pPr>
              <w:jc w:val="center"/>
              <w:rPr>
                <w:rFonts w:ascii="Times New Roman" w:eastAsia="仿宋"/>
                <w:szCs w:val="21"/>
              </w:rPr>
            </w:pPr>
          </w:p>
        </w:tc>
        <w:tc>
          <w:tcPr>
            <w:tcW w:w="623" w:type="pct"/>
            <w:vAlign w:val="center"/>
          </w:tcPr>
          <w:p w14:paraId="4905A77E">
            <w:pPr>
              <w:widowControl/>
              <w:jc w:val="center"/>
              <w:rPr>
                <w:rFonts w:ascii="Times New Roman" w:eastAsia="仿宋"/>
                <w:szCs w:val="21"/>
              </w:rPr>
            </w:pPr>
            <w:r>
              <w:rPr>
                <w:rFonts w:hint="eastAsia" w:ascii="Times New Roman" w:eastAsia="仿宋"/>
                <w:szCs w:val="21"/>
              </w:rPr>
              <w:t>面漆喷房</w:t>
            </w:r>
          </w:p>
        </w:tc>
        <w:tc>
          <w:tcPr>
            <w:tcW w:w="444" w:type="pct"/>
            <w:vAlign w:val="center"/>
          </w:tcPr>
          <w:p w14:paraId="7D329DD2">
            <w:pPr>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578" w:type="pct"/>
            <w:vAlign w:val="center"/>
          </w:tcPr>
          <w:p w14:paraId="76A93F85">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375" w:type="pct"/>
            <w:vMerge w:val="continue"/>
            <w:vAlign w:val="center"/>
          </w:tcPr>
          <w:p w14:paraId="346BEA50">
            <w:pPr>
              <w:spacing w:line="240" w:lineRule="atLeast"/>
              <w:jc w:val="center"/>
              <w:rPr>
                <w:rFonts w:ascii="Times New Roman" w:eastAsia="仿宋"/>
                <w:bCs/>
                <w:szCs w:val="21"/>
              </w:rPr>
            </w:pPr>
          </w:p>
        </w:tc>
        <w:tc>
          <w:tcPr>
            <w:tcW w:w="407" w:type="pct"/>
            <w:vAlign w:val="center"/>
          </w:tcPr>
          <w:p w14:paraId="4A568503">
            <w:pPr>
              <w:jc w:val="center"/>
              <w:rPr>
                <w:rFonts w:ascii="Times New Roman" w:eastAsia="仿宋"/>
                <w:szCs w:val="21"/>
              </w:rPr>
            </w:pPr>
            <w:r>
              <w:rPr>
                <w:rFonts w:hint="eastAsia" w:ascii="Times New Roman" w:eastAsia="仿宋"/>
                <w:szCs w:val="21"/>
              </w:rPr>
              <w:t>2</w:t>
            </w:r>
          </w:p>
        </w:tc>
        <w:tc>
          <w:tcPr>
            <w:tcW w:w="392" w:type="pct"/>
            <w:vAlign w:val="center"/>
          </w:tcPr>
          <w:p w14:paraId="06B76450">
            <w:pPr>
              <w:widowControl/>
              <w:jc w:val="center"/>
              <w:rPr>
                <w:rFonts w:ascii="Times New Roman" w:eastAsia="仿宋"/>
                <w:szCs w:val="21"/>
              </w:rPr>
            </w:pPr>
            <w:r>
              <w:rPr>
                <w:rFonts w:hint="eastAsia" w:ascii="Times New Roman" w:eastAsia="仿宋"/>
                <w:szCs w:val="21"/>
              </w:rPr>
              <w:t>6</w:t>
            </w:r>
            <w:r>
              <w:rPr>
                <w:rFonts w:ascii="Times New Roman" w:eastAsia="仿宋"/>
                <w:szCs w:val="21"/>
              </w:rPr>
              <w:t>3.76</w:t>
            </w:r>
          </w:p>
        </w:tc>
        <w:tc>
          <w:tcPr>
            <w:tcW w:w="348" w:type="pct"/>
            <w:vAlign w:val="center"/>
          </w:tcPr>
          <w:p w14:paraId="37737269">
            <w:pPr>
              <w:widowControl/>
              <w:jc w:val="center"/>
              <w:rPr>
                <w:rFonts w:ascii="Times New Roman" w:eastAsia="仿宋"/>
                <w:szCs w:val="21"/>
              </w:rPr>
            </w:pPr>
            <w:r>
              <w:rPr>
                <w:rFonts w:hint="eastAsia" w:ascii="Times New Roman" w:eastAsia="仿宋"/>
                <w:szCs w:val="21"/>
              </w:rPr>
              <w:t>1</w:t>
            </w:r>
            <w:r>
              <w:rPr>
                <w:rFonts w:ascii="Times New Roman" w:eastAsia="仿宋"/>
                <w:szCs w:val="21"/>
              </w:rPr>
              <w:t>.51</w:t>
            </w:r>
          </w:p>
        </w:tc>
        <w:tc>
          <w:tcPr>
            <w:tcW w:w="287" w:type="pct"/>
          </w:tcPr>
          <w:p w14:paraId="24496009">
            <w:pPr>
              <w:jc w:val="center"/>
              <w:rPr>
                <w:rFonts w:ascii="Times New Roman" w:eastAsia="仿宋"/>
                <w:szCs w:val="21"/>
              </w:rPr>
            </w:pPr>
            <w:r>
              <w:rPr>
                <w:rFonts w:ascii="Times New Roman" w:eastAsia="仿宋"/>
                <w:szCs w:val="21"/>
              </w:rPr>
              <w:t>0</w:t>
            </w:r>
          </w:p>
        </w:tc>
        <w:tc>
          <w:tcPr>
            <w:tcW w:w="413" w:type="pct"/>
          </w:tcPr>
          <w:p w14:paraId="2090EEE2">
            <w:pPr>
              <w:spacing w:line="240" w:lineRule="atLeast"/>
              <w:jc w:val="center"/>
              <w:rPr>
                <w:rFonts w:ascii="Times New Roman" w:eastAsia="仿宋"/>
                <w:bCs/>
                <w:szCs w:val="21"/>
              </w:rPr>
            </w:pPr>
            <w:r>
              <w:rPr>
                <w:rFonts w:ascii="Times New Roman" w:eastAsia="仿宋"/>
                <w:bCs/>
                <w:szCs w:val="21"/>
              </w:rPr>
              <w:t>35</w:t>
            </w:r>
          </w:p>
        </w:tc>
        <w:tc>
          <w:tcPr>
            <w:tcW w:w="503" w:type="pct"/>
          </w:tcPr>
          <w:p w14:paraId="167CB815">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A27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3B8D45F4">
            <w:pPr>
              <w:jc w:val="center"/>
              <w:rPr>
                <w:rFonts w:ascii="Times New Roman" w:eastAsia="仿宋"/>
                <w:szCs w:val="21"/>
              </w:rPr>
            </w:pPr>
            <w:r>
              <w:rPr>
                <w:rFonts w:hint="eastAsia" w:ascii="Times New Roman" w:eastAsia="仿宋"/>
                <w:szCs w:val="21"/>
              </w:rPr>
              <w:t>2</w:t>
            </w:r>
            <w:r>
              <w:rPr>
                <w:rFonts w:ascii="Times New Roman" w:eastAsia="仿宋"/>
                <w:szCs w:val="21"/>
              </w:rPr>
              <w:t>2</w:t>
            </w:r>
          </w:p>
        </w:tc>
        <w:tc>
          <w:tcPr>
            <w:tcW w:w="438" w:type="pct"/>
            <w:vMerge w:val="restart"/>
            <w:vAlign w:val="center"/>
          </w:tcPr>
          <w:p w14:paraId="0D27E09F">
            <w:pPr>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c>
          <w:tcPr>
            <w:tcW w:w="623" w:type="pct"/>
            <w:vAlign w:val="center"/>
          </w:tcPr>
          <w:p w14:paraId="18033E1C">
            <w:pPr>
              <w:widowControl/>
              <w:jc w:val="center"/>
              <w:rPr>
                <w:rFonts w:ascii="Times New Roman" w:eastAsia="仿宋"/>
                <w:szCs w:val="21"/>
              </w:rPr>
            </w:pPr>
            <w:r>
              <w:rPr>
                <w:rFonts w:hint="eastAsia" w:ascii="Times New Roman" w:eastAsia="仿宋"/>
                <w:szCs w:val="21"/>
              </w:rPr>
              <w:t>雕刻机</w:t>
            </w:r>
          </w:p>
        </w:tc>
        <w:tc>
          <w:tcPr>
            <w:tcW w:w="444" w:type="pct"/>
            <w:vAlign w:val="center"/>
          </w:tcPr>
          <w:p w14:paraId="6031F2F6">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07551779">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375" w:type="pct"/>
            <w:vMerge w:val="continue"/>
            <w:vAlign w:val="center"/>
          </w:tcPr>
          <w:p w14:paraId="106AB237">
            <w:pPr>
              <w:spacing w:line="240" w:lineRule="atLeast"/>
              <w:jc w:val="center"/>
              <w:rPr>
                <w:rFonts w:ascii="Times New Roman" w:eastAsia="仿宋"/>
                <w:bCs/>
                <w:szCs w:val="21"/>
              </w:rPr>
            </w:pPr>
          </w:p>
        </w:tc>
        <w:tc>
          <w:tcPr>
            <w:tcW w:w="407" w:type="pct"/>
            <w:vAlign w:val="center"/>
          </w:tcPr>
          <w:p w14:paraId="59FF97B5">
            <w:pPr>
              <w:jc w:val="center"/>
              <w:rPr>
                <w:rFonts w:ascii="Times New Roman" w:eastAsia="仿宋"/>
                <w:szCs w:val="21"/>
              </w:rPr>
            </w:pPr>
            <w:r>
              <w:rPr>
                <w:rFonts w:hint="eastAsia" w:ascii="Times New Roman" w:eastAsia="仿宋"/>
                <w:szCs w:val="21"/>
              </w:rPr>
              <w:t>6</w:t>
            </w:r>
          </w:p>
        </w:tc>
        <w:tc>
          <w:tcPr>
            <w:tcW w:w="392" w:type="pct"/>
          </w:tcPr>
          <w:p w14:paraId="6AE178E3">
            <w:pPr>
              <w:jc w:val="center"/>
              <w:rPr>
                <w:rFonts w:ascii="Times New Roman" w:eastAsia="仿宋"/>
                <w:szCs w:val="21"/>
              </w:rPr>
            </w:pPr>
            <w:r>
              <w:rPr>
                <w:rFonts w:ascii="Times New Roman" w:eastAsia="仿宋"/>
                <w:szCs w:val="21"/>
              </w:rPr>
              <w:t>93.47</w:t>
            </w:r>
          </w:p>
        </w:tc>
        <w:tc>
          <w:tcPr>
            <w:tcW w:w="348" w:type="pct"/>
          </w:tcPr>
          <w:p w14:paraId="5FF37D2D">
            <w:pPr>
              <w:jc w:val="center"/>
              <w:rPr>
                <w:rFonts w:ascii="Times New Roman" w:eastAsia="仿宋"/>
                <w:szCs w:val="21"/>
              </w:rPr>
            </w:pPr>
            <w:r>
              <w:rPr>
                <w:rFonts w:ascii="Times New Roman" w:eastAsia="仿宋"/>
                <w:szCs w:val="21"/>
              </w:rPr>
              <w:t>80.74</w:t>
            </w:r>
          </w:p>
        </w:tc>
        <w:tc>
          <w:tcPr>
            <w:tcW w:w="287" w:type="pct"/>
          </w:tcPr>
          <w:p w14:paraId="70C4D876">
            <w:pPr>
              <w:jc w:val="center"/>
              <w:rPr>
                <w:rFonts w:ascii="Times New Roman" w:eastAsia="仿宋"/>
                <w:szCs w:val="21"/>
              </w:rPr>
            </w:pPr>
            <w:r>
              <w:rPr>
                <w:rFonts w:ascii="Times New Roman" w:eastAsia="仿宋"/>
                <w:szCs w:val="21"/>
              </w:rPr>
              <w:t>0</w:t>
            </w:r>
          </w:p>
        </w:tc>
        <w:tc>
          <w:tcPr>
            <w:tcW w:w="413" w:type="pct"/>
          </w:tcPr>
          <w:p w14:paraId="697229A8">
            <w:pPr>
              <w:spacing w:line="240" w:lineRule="atLeast"/>
              <w:jc w:val="center"/>
              <w:rPr>
                <w:rFonts w:ascii="Times New Roman" w:eastAsia="仿宋"/>
                <w:bCs/>
                <w:szCs w:val="21"/>
              </w:rPr>
            </w:pPr>
            <w:r>
              <w:rPr>
                <w:rFonts w:ascii="Times New Roman" w:eastAsia="仿宋"/>
                <w:bCs/>
                <w:szCs w:val="21"/>
              </w:rPr>
              <w:t>35</w:t>
            </w:r>
          </w:p>
        </w:tc>
        <w:tc>
          <w:tcPr>
            <w:tcW w:w="503" w:type="pct"/>
          </w:tcPr>
          <w:p w14:paraId="1177FDA5">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9CA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039F682E">
            <w:pPr>
              <w:jc w:val="center"/>
              <w:rPr>
                <w:rFonts w:ascii="Times New Roman" w:eastAsia="仿宋"/>
                <w:szCs w:val="21"/>
              </w:rPr>
            </w:pPr>
            <w:r>
              <w:rPr>
                <w:rFonts w:hint="eastAsia" w:ascii="Times New Roman" w:eastAsia="仿宋"/>
                <w:szCs w:val="21"/>
              </w:rPr>
              <w:t>2</w:t>
            </w:r>
            <w:r>
              <w:rPr>
                <w:rFonts w:ascii="Times New Roman" w:eastAsia="仿宋"/>
                <w:szCs w:val="21"/>
              </w:rPr>
              <w:t>3</w:t>
            </w:r>
          </w:p>
        </w:tc>
        <w:tc>
          <w:tcPr>
            <w:tcW w:w="438" w:type="pct"/>
            <w:vMerge w:val="continue"/>
            <w:vAlign w:val="center"/>
          </w:tcPr>
          <w:p w14:paraId="24A553A7">
            <w:pPr>
              <w:jc w:val="center"/>
              <w:rPr>
                <w:rFonts w:ascii="Times New Roman" w:eastAsia="仿宋"/>
                <w:szCs w:val="21"/>
              </w:rPr>
            </w:pPr>
          </w:p>
        </w:tc>
        <w:tc>
          <w:tcPr>
            <w:tcW w:w="623" w:type="pct"/>
            <w:vAlign w:val="center"/>
          </w:tcPr>
          <w:p w14:paraId="6945E860">
            <w:pPr>
              <w:widowControl/>
              <w:jc w:val="center"/>
              <w:rPr>
                <w:rFonts w:ascii="Times New Roman" w:eastAsia="仿宋"/>
                <w:szCs w:val="21"/>
              </w:rPr>
            </w:pPr>
            <w:r>
              <w:rPr>
                <w:rFonts w:hint="eastAsia" w:ascii="Times New Roman" w:eastAsia="仿宋"/>
                <w:szCs w:val="21"/>
              </w:rPr>
              <w:t>数控转塔冲</w:t>
            </w:r>
          </w:p>
        </w:tc>
        <w:tc>
          <w:tcPr>
            <w:tcW w:w="444" w:type="pct"/>
            <w:vAlign w:val="center"/>
          </w:tcPr>
          <w:p w14:paraId="3AEBA29C">
            <w:pPr>
              <w:jc w:val="center"/>
              <w:rPr>
                <w:rFonts w:ascii="Times New Roman" w:eastAsia="仿宋"/>
                <w:szCs w:val="21"/>
              </w:rPr>
            </w:pPr>
            <w:r>
              <w:rPr>
                <w:rFonts w:hint="eastAsia" w:ascii="Times New Roman" w:eastAsia="仿宋"/>
                <w:szCs w:val="21"/>
              </w:rPr>
              <w:t>8</w:t>
            </w:r>
            <w:r>
              <w:rPr>
                <w:rFonts w:ascii="Times New Roman" w:eastAsia="仿宋"/>
                <w:szCs w:val="21"/>
              </w:rPr>
              <w:t>0</w:t>
            </w:r>
          </w:p>
        </w:tc>
        <w:tc>
          <w:tcPr>
            <w:tcW w:w="578" w:type="pct"/>
            <w:vAlign w:val="center"/>
          </w:tcPr>
          <w:p w14:paraId="6C3D2243">
            <w:pPr>
              <w:widowControl/>
              <w:jc w:val="center"/>
              <w:rPr>
                <w:rFonts w:ascii="Times New Roman" w:eastAsia="仿宋"/>
                <w:szCs w:val="21"/>
              </w:rPr>
            </w:pPr>
            <w:r>
              <w:rPr>
                <w:rFonts w:hint="eastAsia" w:ascii="Times New Roman" w:eastAsia="仿宋"/>
                <w:szCs w:val="21"/>
              </w:rPr>
              <w:t>8</w:t>
            </w:r>
            <w:r>
              <w:rPr>
                <w:rFonts w:ascii="Times New Roman" w:eastAsia="仿宋"/>
                <w:szCs w:val="21"/>
              </w:rPr>
              <w:t>3</w:t>
            </w:r>
          </w:p>
        </w:tc>
        <w:tc>
          <w:tcPr>
            <w:tcW w:w="375" w:type="pct"/>
            <w:vMerge w:val="continue"/>
            <w:vAlign w:val="center"/>
          </w:tcPr>
          <w:p w14:paraId="1357F670">
            <w:pPr>
              <w:spacing w:line="240" w:lineRule="atLeast"/>
              <w:jc w:val="center"/>
              <w:rPr>
                <w:rFonts w:ascii="Times New Roman" w:eastAsia="仿宋"/>
                <w:bCs/>
                <w:szCs w:val="21"/>
              </w:rPr>
            </w:pPr>
          </w:p>
        </w:tc>
        <w:tc>
          <w:tcPr>
            <w:tcW w:w="407" w:type="pct"/>
            <w:vAlign w:val="center"/>
          </w:tcPr>
          <w:p w14:paraId="424DC33B">
            <w:pPr>
              <w:jc w:val="center"/>
              <w:rPr>
                <w:rFonts w:ascii="Times New Roman" w:eastAsia="仿宋"/>
                <w:szCs w:val="21"/>
              </w:rPr>
            </w:pPr>
            <w:r>
              <w:rPr>
                <w:rFonts w:hint="eastAsia" w:ascii="Times New Roman" w:eastAsia="仿宋"/>
                <w:szCs w:val="21"/>
              </w:rPr>
              <w:t>2</w:t>
            </w:r>
          </w:p>
        </w:tc>
        <w:tc>
          <w:tcPr>
            <w:tcW w:w="392" w:type="pct"/>
          </w:tcPr>
          <w:p w14:paraId="46564A25">
            <w:pPr>
              <w:jc w:val="center"/>
              <w:rPr>
                <w:rFonts w:ascii="Times New Roman" w:eastAsia="仿宋"/>
                <w:szCs w:val="21"/>
              </w:rPr>
            </w:pPr>
            <w:r>
              <w:rPr>
                <w:rFonts w:ascii="Times New Roman" w:eastAsia="仿宋"/>
                <w:szCs w:val="21"/>
              </w:rPr>
              <w:t>81.33</w:t>
            </w:r>
          </w:p>
        </w:tc>
        <w:tc>
          <w:tcPr>
            <w:tcW w:w="348" w:type="pct"/>
          </w:tcPr>
          <w:p w14:paraId="136F4BA5">
            <w:pPr>
              <w:jc w:val="center"/>
              <w:rPr>
                <w:rFonts w:ascii="Times New Roman" w:eastAsia="仿宋"/>
                <w:szCs w:val="21"/>
              </w:rPr>
            </w:pPr>
            <w:r>
              <w:rPr>
                <w:rFonts w:ascii="Times New Roman" w:eastAsia="仿宋"/>
                <w:szCs w:val="21"/>
              </w:rPr>
              <w:t>90.79</w:t>
            </w:r>
          </w:p>
        </w:tc>
        <w:tc>
          <w:tcPr>
            <w:tcW w:w="287" w:type="pct"/>
          </w:tcPr>
          <w:p w14:paraId="6176EBEF">
            <w:pPr>
              <w:jc w:val="center"/>
              <w:rPr>
                <w:rFonts w:ascii="Times New Roman" w:eastAsia="仿宋"/>
                <w:szCs w:val="21"/>
              </w:rPr>
            </w:pPr>
            <w:r>
              <w:rPr>
                <w:rFonts w:ascii="Times New Roman" w:eastAsia="仿宋"/>
                <w:szCs w:val="21"/>
              </w:rPr>
              <w:t>0</w:t>
            </w:r>
          </w:p>
        </w:tc>
        <w:tc>
          <w:tcPr>
            <w:tcW w:w="413" w:type="pct"/>
          </w:tcPr>
          <w:p w14:paraId="416E2FDE">
            <w:pPr>
              <w:spacing w:line="240" w:lineRule="atLeast"/>
              <w:jc w:val="center"/>
              <w:rPr>
                <w:rFonts w:ascii="Times New Roman" w:eastAsia="仿宋"/>
                <w:bCs/>
                <w:szCs w:val="21"/>
              </w:rPr>
            </w:pPr>
            <w:r>
              <w:rPr>
                <w:rFonts w:ascii="Times New Roman" w:eastAsia="仿宋"/>
                <w:bCs/>
                <w:szCs w:val="21"/>
              </w:rPr>
              <w:t>35</w:t>
            </w:r>
          </w:p>
        </w:tc>
        <w:tc>
          <w:tcPr>
            <w:tcW w:w="503" w:type="pct"/>
          </w:tcPr>
          <w:p w14:paraId="05CC92A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5ED4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7D9C0367">
            <w:pPr>
              <w:jc w:val="center"/>
              <w:rPr>
                <w:rFonts w:ascii="Times New Roman" w:eastAsia="仿宋"/>
                <w:szCs w:val="21"/>
              </w:rPr>
            </w:pPr>
            <w:r>
              <w:rPr>
                <w:rFonts w:hint="eastAsia" w:ascii="Times New Roman" w:eastAsia="仿宋"/>
                <w:szCs w:val="21"/>
              </w:rPr>
              <w:t>2</w:t>
            </w:r>
            <w:r>
              <w:rPr>
                <w:rFonts w:ascii="Times New Roman" w:eastAsia="仿宋"/>
                <w:szCs w:val="21"/>
              </w:rPr>
              <w:t>4</w:t>
            </w:r>
          </w:p>
        </w:tc>
        <w:tc>
          <w:tcPr>
            <w:tcW w:w="438" w:type="pct"/>
            <w:vMerge w:val="continue"/>
            <w:vAlign w:val="center"/>
          </w:tcPr>
          <w:p w14:paraId="12303571">
            <w:pPr>
              <w:jc w:val="center"/>
              <w:rPr>
                <w:rFonts w:ascii="Times New Roman" w:eastAsia="仿宋"/>
                <w:szCs w:val="21"/>
              </w:rPr>
            </w:pPr>
          </w:p>
        </w:tc>
        <w:tc>
          <w:tcPr>
            <w:tcW w:w="623" w:type="pct"/>
            <w:vAlign w:val="center"/>
          </w:tcPr>
          <w:p w14:paraId="2A63FA84">
            <w:pPr>
              <w:widowControl/>
              <w:jc w:val="center"/>
              <w:rPr>
                <w:rFonts w:ascii="Times New Roman" w:eastAsia="仿宋"/>
                <w:szCs w:val="21"/>
              </w:rPr>
            </w:pPr>
            <w:r>
              <w:rPr>
                <w:rFonts w:hint="eastAsia" w:ascii="Times New Roman" w:eastAsia="仿宋"/>
                <w:szCs w:val="21"/>
              </w:rPr>
              <w:t>剪板机</w:t>
            </w:r>
          </w:p>
        </w:tc>
        <w:tc>
          <w:tcPr>
            <w:tcW w:w="444" w:type="pct"/>
            <w:vAlign w:val="center"/>
          </w:tcPr>
          <w:p w14:paraId="1360D58E">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5D048445">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0BFA3787">
            <w:pPr>
              <w:spacing w:line="240" w:lineRule="atLeast"/>
              <w:jc w:val="center"/>
              <w:rPr>
                <w:rFonts w:ascii="Times New Roman" w:eastAsia="仿宋"/>
                <w:bCs/>
                <w:szCs w:val="21"/>
              </w:rPr>
            </w:pPr>
          </w:p>
        </w:tc>
        <w:tc>
          <w:tcPr>
            <w:tcW w:w="407" w:type="pct"/>
            <w:vAlign w:val="center"/>
          </w:tcPr>
          <w:p w14:paraId="6BF3DBAB">
            <w:pPr>
              <w:jc w:val="center"/>
              <w:rPr>
                <w:rFonts w:ascii="Times New Roman" w:eastAsia="仿宋"/>
                <w:szCs w:val="21"/>
              </w:rPr>
            </w:pPr>
            <w:r>
              <w:rPr>
                <w:rFonts w:hint="eastAsia" w:ascii="Times New Roman" w:eastAsia="仿宋"/>
                <w:szCs w:val="21"/>
              </w:rPr>
              <w:t>2</w:t>
            </w:r>
          </w:p>
        </w:tc>
        <w:tc>
          <w:tcPr>
            <w:tcW w:w="392" w:type="pct"/>
          </w:tcPr>
          <w:p w14:paraId="43CC1A43">
            <w:pPr>
              <w:jc w:val="center"/>
              <w:rPr>
                <w:rFonts w:ascii="Times New Roman" w:eastAsia="仿宋"/>
                <w:szCs w:val="21"/>
              </w:rPr>
            </w:pPr>
            <w:r>
              <w:rPr>
                <w:rFonts w:ascii="Times New Roman" w:eastAsia="仿宋"/>
                <w:szCs w:val="21"/>
              </w:rPr>
              <w:t>59.83</w:t>
            </w:r>
          </w:p>
        </w:tc>
        <w:tc>
          <w:tcPr>
            <w:tcW w:w="348" w:type="pct"/>
          </w:tcPr>
          <w:p w14:paraId="50BAC28C">
            <w:pPr>
              <w:jc w:val="center"/>
              <w:rPr>
                <w:rFonts w:ascii="Times New Roman" w:eastAsia="仿宋"/>
                <w:szCs w:val="21"/>
              </w:rPr>
            </w:pPr>
            <w:r>
              <w:rPr>
                <w:rFonts w:ascii="Times New Roman" w:eastAsia="仿宋"/>
                <w:szCs w:val="21"/>
              </w:rPr>
              <w:t>79.7</w:t>
            </w:r>
          </w:p>
        </w:tc>
        <w:tc>
          <w:tcPr>
            <w:tcW w:w="287" w:type="pct"/>
          </w:tcPr>
          <w:p w14:paraId="75BF076D">
            <w:pPr>
              <w:jc w:val="center"/>
              <w:rPr>
                <w:rFonts w:ascii="Times New Roman" w:eastAsia="仿宋"/>
                <w:szCs w:val="21"/>
              </w:rPr>
            </w:pPr>
            <w:r>
              <w:rPr>
                <w:rFonts w:ascii="Times New Roman" w:eastAsia="仿宋"/>
                <w:szCs w:val="21"/>
              </w:rPr>
              <w:t>0</w:t>
            </w:r>
          </w:p>
        </w:tc>
        <w:tc>
          <w:tcPr>
            <w:tcW w:w="413" w:type="pct"/>
          </w:tcPr>
          <w:p w14:paraId="1D3B6267">
            <w:pPr>
              <w:spacing w:line="240" w:lineRule="atLeast"/>
              <w:jc w:val="center"/>
              <w:rPr>
                <w:rFonts w:ascii="Times New Roman" w:eastAsia="仿宋"/>
                <w:bCs/>
                <w:szCs w:val="21"/>
              </w:rPr>
            </w:pPr>
            <w:r>
              <w:rPr>
                <w:rFonts w:ascii="Times New Roman" w:eastAsia="仿宋"/>
                <w:bCs/>
                <w:szCs w:val="21"/>
              </w:rPr>
              <w:t>35</w:t>
            </w:r>
          </w:p>
        </w:tc>
        <w:tc>
          <w:tcPr>
            <w:tcW w:w="503" w:type="pct"/>
          </w:tcPr>
          <w:p w14:paraId="113BD13C">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5B6A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2235D44B">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438" w:type="pct"/>
            <w:vMerge w:val="continue"/>
            <w:vAlign w:val="center"/>
          </w:tcPr>
          <w:p w14:paraId="1872BBBD">
            <w:pPr>
              <w:jc w:val="center"/>
              <w:rPr>
                <w:rFonts w:ascii="Times New Roman" w:eastAsia="仿宋"/>
                <w:szCs w:val="21"/>
              </w:rPr>
            </w:pPr>
          </w:p>
        </w:tc>
        <w:tc>
          <w:tcPr>
            <w:tcW w:w="623" w:type="pct"/>
            <w:vAlign w:val="center"/>
          </w:tcPr>
          <w:p w14:paraId="7D0DD178">
            <w:pPr>
              <w:widowControl/>
              <w:jc w:val="center"/>
              <w:rPr>
                <w:rFonts w:ascii="Times New Roman" w:eastAsia="仿宋"/>
                <w:szCs w:val="21"/>
              </w:rPr>
            </w:pPr>
            <w:r>
              <w:rPr>
                <w:rFonts w:hint="eastAsia" w:ascii="Times New Roman" w:eastAsia="仿宋"/>
                <w:szCs w:val="21"/>
              </w:rPr>
              <w:t>折弯机</w:t>
            </w:r>
          </w:p>
        </w:tc>
        <w:tc>
          <w:tcPr>
            <w:tcW w:w="444" w:type="pct"/>
            <w:vAlign w:val="center"/>
          </w:tcPr>
          <w:p w14:paraId="67ABEC79">
            <w:pPr>
              <w:jc w:val="center"/>
              <w:rPr>
                <w:rFonts w:ascii="Times New Roman" w:eastAsia="仿宋"/>
                <w:szCs w:val="21"/>
              </w:rPr>
            </w:pPr>
            <w:r>
              <w:rPr>
                <w:rFonts w:hint="eastAsia" w:ascii="Times New Roman" w:eastAsia="仿宋"/>
                <w:szCs w:val="21"/>
              </w:rPr>
              <w:t>70</w:t>
            </w:r>
          </w:p>
        </w:tc>
        <w:tc>
          <w:tcPr>
            <w:tcW w:w="578" w:type="pct"/>
            <w:vAlign w:val="center"/>
          </w:tcPr>
          <w:p w14:paraId="7BDB0DCD">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375" w:type="pct"/>
            <w:vMerge w:val="continue"/>
            <w:vAlign w:val="center"/>
          </w:tcPr>
          <w:p w14:paraId="18F5C025">
            <w:pPr>
              <w:spacing w:line="240" w:lineRule="atLeast"/>
              <w:jc w:val="center"/>
              <w:rPr>
                <w:rFonts w:ascii="Times New Roman" w:eastAsia="仿宋"/>
                <w:bCs/>
                <w:szCs w:val="21"/>
              </w:rPr>
            </w:pPr>
          </w:p>
        </w:tc>
        <w:tc>
          <w:tcPr>
            <w:tcW w:w="407" w:type="pct"/>
            <w:vAlign w:val="center"/>
          </w:tcPr>
          <w:p w14:paraId="4564B925">
            <w:pPr>
              <w:jc w:val="center"/>
              <w:rPr>
                <w:rFonts w:ascii="Times New Roman" w:eastAsia="仿宋"/>
                <w:szCs w:val="21"/>
              </w:rPr>
            </w:pPr>
            <w:r>
              <w:rPr>
                <w:rFonts w:hint="eastAsia" w:ascii="Times New Roman" w:eastAsia="仿宋"/>
                <w:szCs w:val="21"/>
              </w:rPr>
              <w:t>6</w:t>
            </w:r>
          </w:p>
        </w:tc>
        <w:tc>
          <w:tcPr>
            <w:tcW w:w="392" w:type="pct"/>
          </w:tcPr>
          <w:p w14:paraId="1644A697">
            <w:pPr>
              <w:jc w:val="center"/>
              <w:rPr>
                <w:rFonts w:ascii="Times New Roman" w:eastAsia="仿宋"/>
                <w:szCs w:val="21"/>
              </w:rPr>
            </w:pPr>
            <w:r>
              <w:rPr>
                <w:rFonts w:ascii="Times New Roman" w:eastAsia="仿宋"/>
                <w:szCs w:val="21"/>
              </w:rPr>
              <w:t>81.33</w:t>
            </w:r>
          </w:p>
        </w:tc>
        <w:tc>
          <w:tcPr>
            <w:tcW w:w="348" w:type="pct"/>
          </w:tcPr>
          <w:p w14:paraId="4E6190BC">
            <w:pPr>
              <w:jc w:val="center"/>
              <w:rPr>
                <w:rFonts w:ascii="Times New Roman" w:eastAsia="仿宋"/>
                <w:szCs w:val="21"/>
              </w:rPr>
            </w:pPr>
            <w:r>
              <w:rPr>
                <w:rFonts w:ascii="Times New Roman" w:eastAsia="仿宋"/>
                <w:szCs w:val="21"/>
              </w:rPr>
              <w:t>81.43</w:t>
            </w:r>
          </w:p>
        </w:tc>
        <w:tc>
          <w:tcPr>
            <w:tcW w:w="287" w:type="pct"/>
          </w:tcPr>
          <w:p w14:paraId="3D5C93F5">
            <w:pPr>
              <w:jc w:val="center"/>
              <w:rPr>
                <w:rFonts w:ascii="Times New Roman" w:eastAsia="仿宋"/>
                <w:szCs w:val="21"/>
              </w:rPr>
            </w:pPr>
            <w:r>
              <w:rPr>
                <w:rFonts w:ascii="Times New Roman" w:eastAsia="仿宋"/>
                <w:szCs w:val="21"/>
              </w:rPr>
              <w:t>0</w:t>
            </w:r>
          </w:p>
        </w:tc>
        <w:tc>
          <w:tcPr>
            <w:tcW w:w="413" w:type="pct"/>
          </w:tcPr>
          <w:p w14:paraId="38F75E82">
            <w:pPr>
              <w:spacing w:line="240" w:lineRule="atLeast"/>
              <w:jc w:val="center"/>
              <w:rPr>
                <w:rFonts w:ascii="Times New Roman" w:eastAsia="仿宋"/>
                <w:bCs/>
                <w:szCs w:val="21"/>
              </w:rPr>
            </w:pPr>
            <w:r>
              <w:rPr>
                <w:rFonts w:ascii="Times New Roman" w:eastAsia="仿宋"/>
                <w:bCs/>
                <w:szCs w:val="21"/>
              </w:rPr>
              <w:t>35</w:t>
            </w:r>
          </w:p>
        </w:tc>
        <w:tc>
          <w:tcPr>
            <w:tcW w:w="503" w:type="pct"/>
          </w:tcPr>
          <w:p w14:paraId="6B58DBCA">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338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66D469FF">
            <w:pPr>
              <w:jc w:val="center"/>
              <w:rPr>
                <w:rFonts w:ascii="Times New Roman" w:eastAsia="仿宋"/>
                <w:szCs w:val="21"/>
              </w:rPr>
            </w:pPr>
            <w:r>
              <w:rPr>
                <w:rFonts w:hint="eastAsia" w:ascii="Times New Roman" w:eastAsia="仿宋"/>
                <w:szCs w:val="21"/>
              </w:rPr>
              <w:t>2</w:t>
            </w:r>
            <w:r>
              <w:rPr>
                <w:rFonts w:ascii="Times New Roman" w:eastAsia="仿宋"/>
                <w:szCs w:val="21"/>
              </w:rPr>
              <w:t>6</w:t>
            </w:r>
          </w:p>
        </w:tc>
        <w:tc>
          <w:tcPr>
            <w:tcW w:w="438" w:type="pct"/>
            <w:vMerge w:val="continue"/>
            <w:vAlign w:val="center"/>
          </w:tcPr>
          <w:p w14:paraId="12632809">
            <w:pPr>
              <w:jc w:val="center"/>
              <w:rPr>
                <w:rFonts w:ascii="Times New Roman" w:eastAsia="仿宋"/>
                <w:szCs w:val="21"/>
              </w:rPr>
            </w:pPr>
          </w:p>
        </w:tc>
        <w:tc>
          <w:tcPr>
            <w:tcW w:w="623" w:type="pct"/>
            <w:vAlign w:val="center"/>
          </w:tcPr>
          <w:p w14:paraId="62716759">
            <w:pPr>
              <w:widowControl/>
              <w:jc w:val="center"/>
              <w:rPr>
                <w:rFonts w:ascii="Times New Roman" w:eastAsia="仿宋"/>
                <w:szCs w:val="21"/>
              </w:rPr>
            </w:pPr>
            <w:r>
              <w:rPr>
                <w:rFonts w:hint="eastAsia" w:ascii="Times New Roman" w:eastAsia="仿宋"/>
                <w:szCs w:val="21"/>
              </w:rPr>
              <w:t>开槽机</w:t>
            </w:r>
          </w:p>
        </w:tc>
        <w:tc>
          <w:tcPr>
            <w:tcW w:w="444" w:type="pct"/>
            <w:vAlign w:val="center"/>
          </w:tcPr>
          <w:p w14:paraId="645B0B48">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43D14651">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0B7358D2">
            <w:pPr>
              <w:spacing w:line="240" w:lineRule="atLeast"/>
              <w:jc w:val="center"/>
              <w:rPr>
                <w:rFonts w:ascii="Times New Roman" w:eastAsia="仿宋"/>
                <w:bCs/>
                <w:szCs w:val="21"/>
              </w:rPr>
            </w:pPr>
          </w:p>
        </w:tc>
        <w:tc>
          <w:tcPr>
            <w:tcW w:w="407" w:type="pct"/>
            <w:vAlign w:val="center"/>
          </w:tcPr>
          <w:p w14:paraId="4B0C0BE4">
            <w:pPr>
              <w:jc w:val="center"/>
              <w:rPr>
                <w:rFonts w:ascii="Times New Roman" w:eastAsia="仿宋"/>
                <w:szCs w:val="21"/>
              </w:rPr>
            </w:pPr>
            <w:r>
              <w:rPr>
                <w:rFonts w:hint="eastAsia" w:ascii="Times New Roman" w:eastAsia="仿宋"/>
                <w:szCs w:val="21"/>
              </w:rPr>
              <w:t>2</w:t>
            </w:r>
          </w:p>
        </w:tc>
        <w:tc>
          <w:tcPr>
            <w:tcW w:w="392" w:type="pct"/>
          </w:tcPr>
          <w:p w14:paraId="2D6D87FC">
            <w:pPr>
              <w:jc w:val="center"/>
              <w:rPr>
                <w:rFonts w:ascii="Times New Roman" w:eastAsia="仿宋"/>
                <w:szCs w:val="21"/>
              </w:rPr>
            </w:pPr>
            <w:r>
              <w:rPr>
                <w:rFonts w:ascii="Times New Roman" w:eastAsia="仿宋"/>
                <w:szCs w:val="21"/>
              </w:rPr>
              <w:t>93.47</w:t>
            </w:r>
          </w:p>
        </w:tc>
        <w:tc>
          <w:tcPr>
            <w:tcW w:w="348" w:type="pct"/>
          </w:tcPr>
          <w:p w14:paraId="53046EAC">
            <w:pPr>
              <w:jc w:val="center"/>
              <w:rPr>
                <w:rFonts w:ascii="Times New Roman" w:eastAsia="仿宋"/>
                <w:szCs w:val="21"/>
              </w:rPr>
            </w:pPr>
            <w:r>
              <w:rPr>
                <w:rFonts w:ascii="Times New Roman" w:eastAsia="仿宋"/>
                <w:szCs w:val="21"/>
              </w:rPr>
              <w:t>80.74</w:t>
            </w:r>
          </w:p>
        </w:tc>
        <w:tc>
          <w:tcPr>
            <w:tcW w:w="287" w:type="pct"/>
          </w:tcPr>
          <w:p w14:paraId="6E128A48">
            <w:pPr>
              <w:jc w:val="center"/>
              <w:rPr>
                <w:rFonts w:ascii="Times New Roman" w:eastAsia="仿宋"/>
                <w:szCs w:val="21"/>
              </w:rPr>
            </w:pPr>
            <w:r>
              <w:rPr>
                <w:rFonts w:ascii="Times New Roman" w:eastAsia="仿宋"/>
                <w:szCs w:val="21"/>
              </w:rPr>
              <w:t>0</w:t>
            </w:r>
          </w:p>
        </w:tc>
        <w:tc>
          <w:tcPr>
            <w:tcW w:w="413" w:type="pct"/>
          </w:tcPr>
          <w:p w14:paraId="2721570E">
            <w:pPr>
              <w:spacing w:line="240" w:lineRule="atLeast"/>
              <w:jc w:val="center"/>
              <w:rPr>
                <w:rFonts w:ascii="Times New Roman" w:eastAsia="仿宋"/>
                <w:bCs/>
                <w:szCs w:val="21"/>
              </w:rPr>
            </w:pPr>
            <w:r>
              <w:rPr>
                <w:rFonts w:ascii="Times New Roman" w:eastAsia="仿宋"/>
                <w:bCs/>
                <w:szCs w:val="21"/>
              </w:rPr>
              <w:t>35</w:t>
            </w:r>
          </w:p>
        </w:tc>
        <w:tc>
          <w:tcPr>
            <w:tcW w:w="503" w:type="pct"/>
          </w:tcPr>
          <w:p w14:paraId="5EB324B7">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5EBD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2BFEB659">
            <w:pPr>
              <w:jc w:val="center"/>
              <w:rPr>
                <w:rFonts w:ascii="Times New Roman" w:eastAsia="仿宋"/>
                <w:szCs w:val="21"/>
              </w:rPr>
            </w:pPr>
            <w:r>
              <w:rPr>
                <w:rFonts w:hint="eastAsia" w:ascii="Times New Roman" w:eastAsia="仿宋"/>
                <w:szCs w:val="21"/>
              </w:rPr>
              <w:t>2</w:t>
            </w:r>
            <w:r>
              <w:rPr>
                <w:rFonts w:ascii="Times New Roman" w:eastAsia="仿宋"/>
                <w:szCs w:val="21"/>
              </w:rPr>
              <w:t>7</w:t>
            </w:r>
          </w:p>
        </w:tc>
        <w:tc>
          <w:tcPr>
            <w:tcW w:w="438" w:type="pct"/>
            <w:vMerge w:val="continue"/>
            <w:vAlign w:val="center"/>
          </w:tcPr>
          <w:p w14:paraId="172BA821">
            <w:pPr>
              <w:jc w:val="center"/>
              <w:rPr>
                <w:rFonts w:ascii="Times New Roman" w:eastAsia="仿宋"/>
                <w:szCs w:val="21"/>
              </w:rPr>
            </w:pPr>
          </w:p>
        </w:tc>
        <w:tc>
          <w:tcPr>
            <w:tcW w:w="623" w:type="pct"/>
            <w:vAlign w:val="center"/>
          </w:tcPr>
          <w:p w14:paraId="0B244C82">
            <w:pPr>
              <w:widowControl/>
              <w:jc w:val="center"/>
              <w:rPr>
                <w:rFonts w:ascii="Times New Roman" w:eastAsia="仿宋"/>
                <w:szCs w:val="21"/>
              </w:rPr>
            </w:pPr>
            <w:r>
              <w:rPr>
                <w:rFonts w:hint="eastAsia" w:ascii="Times New Roman" w:eastAsia="仿宋"/>
                <w:szCs w:val="21"/>
              </w:rPr>
              <w:t>冲压机</w:t>
            </w:r>
          </w:p>
        </w:tc>
        <w:tc>
          <w:tcPr>
            <w:tcW w:w="444" w:type="pct"/>
            <w:vAlign w:val="center"/>
          </w:tcPr>
          <w:p w14:paraId="1AB8CC3E">
            <w:pPr>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578" w:type="pct"/>
            <w:vAlign w:val="center"/>
          </w:tcPr>
          <w:p w14:paraId="6A8736A9">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375" w:type="pct"/>
            <w:vMerge w:val="continue"/>
            <w:vAlign w:val="center"/>
          </w:tcPr>
          <w:p w14:paraId="12A532C1">
            <w:pPr>
              <w:spacing w:line="240" w:lineRule="atLeast"/>
              <w:jc w:val="center"/>
              <w:rPr>
                <w:rFonts w:ascii="Times New Roman" w:eastAsia="仿宋"/>
                <w:bCs/>
                <w:szCs w:val="21"/>
              </w:rPr>
            </w:pPr>
          </w:p>
        </w:tc>
        <w:tc>
          <w:tcPr>
            <w:tcW w:w="407" w:type="pct"/>
            <w:vAlign w:val="center"/>
          </w:tcPr>
          <w:p w14:paraId="5A3EA3AB">
            <w:pPr>
              <w:jc w:val="center"/>
              <w:rPr>
                <w:rFonts w:ascii="Times New Roman" w:eastAsia="仿宋"/>
                <w:szCs w:val="21"/>
              </w:rPr>
            </w:pPr>
            <w:r>
              <w:rPr>
                <w:rFonts w:hint="eastAsia" w:ascii="Times New Roman" w:eastAsia="仿宋"/>
                <w:szCs w:val="21"/>
              </w:rPr>
              <w:t>8</w:t>
            </w:r>
          </w:p>
        </w:tc>
        <w:tc>
          <w:tcPr>
            <w:tcW w:w="392" w:type="pct"/>
          </w:tcPr>
          <w:p w14:paraId="2913FF47">
            <w:pPr>
              <w:jc w:val="center"/>
              <w:rPr>
                <w:rFonts w:ascii="Times New Roman" w:eastAsia="仿宋"/>
                <w:szCs w:val="21"/>
              </w:rPr>
            </w:pPr>
            <w:r>
              <w:rPr>
                <w:rFonts w:ascii="Times New Roman" w:eastAsia="仿宋"/>
                <w:szCs w:val="21"/>
              </w:rPr>
              <w:t>120.86</w:t>
            </w:r>
          </w:p>
        </w:tc>
        <w:tc>
          <w:tcPr>
            <w:tcW w:w="348" w:type="pct"/>
          </w:tcPr>
          <w:p w14:paraId="2E8025DF">
            <w:pPr>
              <w:jc w:val="center"/>
              <w:rPr>
                <w:rFonts w:ascii="Times New Roman" w:eastAsia="仿宋"/>
                <w:szCs w:val="21"/>
              </w:rPr>
            </w:pPr>
            <w:r>
              <w:rPr>
                <w:rFonts w:ascii="Times New Roman" w:eastAsia="仿宋"/>
                <w:szCs w:val="21"/>
              </w:rPr>
              <w:t>83.16</w:t>
            </w:r>
          </w:p>
        </w:tc>
        <w:tc>
          <w:tcPr>
            <w:tcW w:w="287" w:type="pct"/>
          </w:tcPr>
          <w:p w14:paraId="41C39AC4">
            <w:pPr>
              <w:jc w:val="center"/>
              <w:rPr>
                <w:rFonts w:ascii="Times New Roman" w:eastAsia="仿宋"/>
                <w:szCs w:val="21"/>
              </w:rPr>
            </w:pPr>
            <w:r>
              <w:rPr>
                <w:rFonts w:ascii="Times New Roman" w:eastAsia="仿宋"/>
                <w:szCs w:val="21"/>
              </w:rPr>
              <w:t>0</w:t>
            </w:r>
          </w:p>
        </w:tc>
        <w:tc>
          <w:tcPr>
            <w:tcW w:w="413" w:type="pct"/>
          </w:tcPr>
          <w:p w14:paraId="5A5AB548">
            <w:pPr>
              <w:spacing w:line="240" w:lineRule="atLeast"/>
              <w:jc w:val="center"/>
              <w:rPr>
                <w:rFonts w:ascii="Times New Roman" w:eastAsia="仿宋"/>
                <w:bCs/>
                <w:szCs w:val="21"/>
              </w:rPr>
            </w:pPr>
            <w:r>
              <w:rPr>
                <w:rFonts w:ascii="Times New Roman" w:eastAsia="仿宋"/>
                <w:bCs/>
                <w:szCs w:val="21"/>
              </w:rPr>
              <w:t>35</w:t>
            </w:r>
          </w:p>
        </w:tc>
        <w:tc>
          <w:tcPr>
            <w:tcW w:w="503" w:type="pct"/>
          </w:tcPr>
          <w:p w14:paraId="01582D61">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069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61A6EDBA">
            <w:pPr>
              <w:jc w:val="center"/>
              <w:rPr>
                <w:rFonts w:ascii="Times New Roman" w:eastAsia="仿宋"/>
                <w:szCs w:val="21"/>
              </w:rPr>
            </w:pPr>
            <w:r>
              <w:rPr>
                <w:rFonts w:hint="eastAsia" w:ascii="Times New Roman" w:eastAsia="仿宋"/>
                <w:szCs w:val="21"/>
              </w:rPr>
              <w:t>2</w:t>
            </w:r>
            <w:r>
              <w:rPr>
                <w:rFonts w:ascii="Times New Roman" w:eastAsia="仿宋"/>
                <w:szCs w:val="21"/>
              </w:rPr>
              <w:t>8</w:t>
            </w:r>
          </w:p>
        </w:tc>
        <w:tc>
          <w:tcPr>
            <w:tcW w:w="438" w:type="pct"/>
            <w:vMerge w:val="continue"/>
            <w:vAlign w:val="center"/>
          </w:tcPr>
          <w:p w14:paraId="3FBC233C">
            <w:pPr>
              <w:jc w:val="center"/>
              <w:rPr>
                <w:rFonts w:ascii="Times New Roman" w:eastAsia="仿宋"/>
                <w:szCs w:val="21"/>
              </w:rPr>
            </w:pPr>
          </w:p>
        </w:tc>
        <w:tc>
          <w:tcPr>
            <w:tcW w:w="623" w:type="pct"/>
            <w:vAlign w:val="center"/>
          </w:tcPr>
          <w:p w14:paraId="24AEF014">
            <w:pPr>
              <w:widowControl/>
              <w:jc w:val="center"/>
              <w:rPr>
                <w:rFonts w:ascii="Times New Roman" w:eastAsia="仿宋"/>
                <w:szCs w:val="21"/>
              </w:rPr>
            </w:pPr>
            <w:r>
              <w:rPr>
                <w:rFonts w:hint="eastAsia" w:ascii="Times New Roman" w:eastAsia="仿宋"/>
                <w:szCs w:val="21"/>
              </w:rPr>
              <w:t>氩弧焊机</w:t>
            </w:r>
          </w:p>
        </w:tc>
        <w:tc>
          <w:tcPr>
            <w:tcW w:w="444" w:type="pct"/>
            <w:vAlign w:val="center"/>
          </w:tcPr>
          <w:p w14:paraId="2AA1C6BE">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5AA3015E">
            <w:pPr>
              <w:widowControl/>
              <w:jc w:val="center"/>
              <w:rPr>
                <w:rFonts w:ascii="Times New Roman" w:eastAsia="仿宋"/>
                <w:szCs w:val="21"/>
              </w:rPr>
            </w:pPr>
            <w:r>
              <w:rPr>
                <w:rFonts w:hint="eastAsia" w:ascii="Times New Roman" w:eastAsia="仿宋"/>
                <w:szCs w:val="21"/>
              </w:rPr>
              <w:t>77</w:t>
            </w:r>
          </w:p>
        </w:tc>
        <w:tc>
          <w:tcPr>
            <w:tcW w:w="375" w:type="pct"/>
            <w:vMerge w:val="continue"/>
            <w:vAlign w:val="center"/>
          </w:tcPr>
          <w:p w14:paraId="5119AECB">
            <w:pPr>
              <w:spacing w:line="240" w:lineRule="atLeast"/>
              <w:jc w:val="center"/>
              <w:rPr>
                <w:rFonts w:ascii="Times New Roman" w:eastAsia="仿宋"/>
                <w:bCs/>
                <w:szCs w:val="21"/>
              </w:rPr>
            </w:pPr>
          </w:p>
        </w:tc>
        <w:tc>
          <w:tcPr>
            <w:tcW w:w="407" w:type="pct"/>
            <w:vAlign w:val="center"/>
          </w:tcPr>
          <w:p w14:paraId="4CC37EF9">
            <w:pPr>
              <w:jc w:val="center"/>
              <w:rPr>
                <w:rFonts w:ascii="Times New Roman" w:eastAsia="仿宋"/>
                <w:szCs w:val="21"/>
              </w:rPr>
            </w:pPr>
            <w:r>
              <w:rPr>
                <w:rFonts w:hint="eastAsia" w:ascii="Times New Roman" w:eastAsia="仿宋"/>
                <w:szCs w:val="21"/>
              </w:rPr>
              <w:t>6</w:t>
            </w:r>
          </w:p>
        </w:tc>
        <w:tc>
          <w:tcPr>
            <w:tcW w:w="392" w:type="pct"/>
          </w:tcPr>
          <w:p w14:paraId="215E0AEA">
            <w:pPr>
              <w:jc w:val="center"/>
              <w:rPr>
                <w:rFonts w:ascii="Times New Roman" w:eastAsia="仿宋"/>
                <w:szCs w:val="21"/>
              </w:rPr>
            </w:pPr>
            <w:r>
              <w:rPr>
                <w:rFonts w:ascii="Times New Roman" w:eastAsia="仿宋"/>
                <w:szCs w:val="21"/>
              </w:rPr>
              <w:t>141.32</w:t>
            </w:r>
          </w:p>
        </w:tc>
        <w:tc>
          <w:tcPr>
            <w:tcW w:w="348" w:type="pct"/>
          </w:tcPr>
          <w:p w14:paraId="3B5F8CBC">
            <w:pPr>
              <w:jc w:val="center"/>
              <w:rPr>
                <w:rFonts w:ascii="Times New Roman" w:eastAsia="仿宋"/>
                <w:szCs w:val="21"/>
              </w:rPr>
            </w:pPr>
            <w:r>
              <w:rPr>
                <w:rFonts w:ascii="Times New Roman" w:eastAsia="仿宋"/>
                <w:szCs w:val="21"/>
              </w:rPr>
              <w:t>83.16</w:t>
            </w:r>
          </w:p>
        </w:tc>
        <w:tc>
          <w:tcPr>
            <w:tcW w:w="287" w:type="pct"/>
          </w:tcPr>
          <w:p w14:paraId="6BA3BBB0">
            <w:pPr>
              <w:jc w:val="center"/>
              <w:rPr>
                <w:rFonts w:ascii="Times New Roman" w:eastAsia="仿宋"/>
                <w:szCs w:val="21"/>
              </w:rPr>
            </w:pPr>
            <w:r>
              <w:rPr>
                <w:rFonts w:ascii="Times New Roman" w:eastAsia="仿宋"/>
                <w:szCs w:val="21"/>
              </w:rPr>
              <w:t>0</w:t>
            </w:r>
          </w:p>
        </w:tc>
        <w:tc>
          <w:tcPr>
            <w:tcW w:w="413" w:type="pct"/>
          </w:tcPr>
          <w:p w14:paraId="5A856ED9">
            <w:pPr>
              <w:spacing w:line="240" w:lineRule="atLeast"/>
              <w:jc w:val="center"/>
              <w:rPr>
                <w:rFonts w:ascii="Times New Roman" w:eastAsia="仿宋"/>
                <w:bCs/>
                <w:szCs w:val="21"/>
              </w:rPr>
            </w:pPr>
            <w:r>
              <w:rPr>
                <w:rFonts w:ascii="Times New Roman" w:eastAsia="仿宋"/>
                <w:bCs/>
                <w:szCs w:val="21"/>
              </w:rPr>
              <w:t>35</w:t>
            </w:r>
          </w:p>
        </w:tc>
        <w:tc>
          <w:tcPr>
            <w:tcW w:w="503" w:type="pct"/>
          </w:tcPr>
          <w:p w14:paraId="24851A0D">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r w14:paraId="43BD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0" w:type="pct"/>
            <w:vAlign w:val="center"/>
          </w:tcPr>
          <w:p w14:paraId="4FD55C97">
            <w:pPr>
              <w:jc w:val="center"/>
              <w:rPr>
                <w:rFonts w:ascii="Times New Roman" w:eastAsia="仿宋"/>
                <w:szCs w:val="21"/>
              </w:rPr>
            </w:pPr>
            <w:r>
              <w:rPr>
                <w:rFonts w:hint="eastAsia" w:ascii="Times New Roman" w:eastAsia="仿宋"/>
                <w:szCs w:val="21"/>
              </w:rPr>
              <w:t>2</w:t>
            </w:r>
            <w:r>
              <w:rPr>
                <w:rFonts w:ascii="Times New Roman" w:eastAsia="仿宋"/>
                <w:szCs w:val="21"/>
              </w:rPr>
              <w:t>9</w:t>
            </w:r>
          </w:p>
        </w:tc>
        <w:tc>
          <w:tcPr>
            <w:tcW w:w="438" w:type="pct"/>
            <w:vMerge w:val="continue"/>
            <w:vAlign w:val="center"/>
          </w:tcPr>
          <w:p w14:paraId="5C78029E">
            <w:pPr>
              <w:jc w:val="center"/>
              <w:rPr>
                <w:rFonts w:ascii="Times New Roman" w:eastAsia="仿宋"/>
                <w:szCs w:val="21"/>
              </w:rPr>
            </w:pPr>
          </w:p>
        </w:tc>
        <w:tc>
          <w:tcPr>
            <w:tcW w:w="623" w:type="pct"/>
            <w:vAlign w:val="center"/>
          </w:tcPr>
          <w:p w14:paraId="030A0BD6">
            <w:pPr>
              <w:widowControl/>
              <w:jc w:val="center"/>
              <w:rPr>
                <w:rFonts w:ascii="Times New Roman" w:eastAsia="仿宋"/>
                <w:szCs w:val="21"/>
              </w:rPr>
            </w:pPr>
            <w:r>
              <w:rPr>
                <w:rFonts w:hint="eastAsia" w:ascii="Times New Roman" w:eastAsia="仿宋"/>
                <w:szCs w:val="21"/>
              </w:rPr>
              <w:t>激光焊机</w:t>
            </w:r>
          </w:p>
        </w:tc>
        <w:tc>
          <w:tcPr>
            <w:tcW w:w="444" w:type="pct"/>
            <w:vAlign w:val="center"/>
          </w:tcPr>
          <w:p w14:paraId="6EF1819E">
            <w:pPr>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578" w:type="pct"/>
            <w:vAlign w:val="center"/>
          </w:tcPr>
          <w:p w14:paraId="74CC86B9">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375" w:type="pct"/>
            <w:vMerge w:val="continue"/>
            <w:vAlign w:val="center"/>
          </w:tcPr>
          <w:p w14:paraId="02F2C4BF">
            <w:pPr>
              <w:spacing w:line="240" w:lineRule="atLeast"/>
              <w:jc w:val="center"/>
              <w:rPr>
                <w:rFonts w:ascii="Times New Roman" w:eastAsia="仿宋"/>
                <w:bCs/>
                <w:szCs w:val="21"/>
              </w:rPr>
            </w:pPr>
          </w:p>
        </w:tc>
        <w:tc>
          <w:tcPr>
            <w:tcW w:w="407" w:type="pct"/>
            <w:vAlign w:val="center"/>
          </w:tcPr>
          <w:p w14:paraId="0E3A5E70">
            <w:pPr>
              <w:jc w:val="center"/>
              <w:rPr>
                <w:rFonts w:ascii="Times New Roman" w:eastAsia="仿宋"/>
                <w:szCs w:val="21"/>
              </w:rPr>
            </w:pPr>
            <w:r>
              <w:rPr>
                <w:rFonts w:hint="eastAsia" w:ascii="Times New Roman" w:eastAsia="仿宋"/>
                <w:szCs w:val="21"/>
              </w:rPr>
              <w:t>2</w:t>
            </w:r>
          </w:p>
        </w:tc>
        <w:tc>
          <w:tcPr>
            <w:tcW w:w="392" w:type="pct"/>
          </w:tcPr>
          <w:p w14:paraId="66F044DD">
            <w:pPr>
              <w:jc w:val="center"/>
              <w:rPr>
                <w:rFonts w:ascii="Times New Roman" w:eastAsia="仿宋"/>
                <w:szCs w:val="21"/>
              </w:rPr>
            </w:pPr>
            <w:r>
              <w:rPr>
                <w:rFonts w:ascii="Times New Roman" w:eastAsia="仿宋"/>
                <w:szCs w:val="21"/>
              </w:rPr>
              <w:t>93.47</w:t>
            </w:r>
          </w:p>
        </w:tc>
        <w:tc>
          <w:tcPr>
            <w:tcW w:w="348" w:type="pct"/>
          </w:tcPr>
          <w:p w14:paraId="15F77480">
            <w:pPr>
              <w:jc w:val="center"/>
              <w:rPr>
                <w:rFonts w:ascii="Times New Roman" w:eastAsia="仿宋"/>
                <w:szCs w:val="21"/>
              </w:rPr>
            </w:pPr>
            <w:r>
              <w:rPr>
                <w:rFonts w:ascii="Times New Roman" w:eastAsia="仿宋"/>
                <w:szCs w:val="21"/>
              </w:rPr>
              <w:t>80.74</w:t>
            </w:r>
          </w:p>
        </w:tc>
        <w:tc>
          <w:tcPr>
            <w:tcW w:w="287" w:type="pct"/>
          </w:tcPr>
          <w:p w14:paraId="63D6FEDF">
            <w:pPr>
              <w:jc w:val="center"/>
              <w:rPr>
                <w:rFonts w:ascii="Times New Roman" w:eastAsia="仿宋"/>
                <w:szCs w:val="21"/>
              </w:rPr>
            </w:pPr>
            <w:r>
              <w:rPr>
                <w:rFonts w:ascii="Times New Roman" w:eastAsia="仿宋"/>
                <w:szCs w:val="21"/>
              </w:rPr>
              <w:t>0</w:t>
            </w:r>
          </w:p>
        </w:tc>
        <w:tc>
          <w:tcPr>
            <w:tcW w:w="413" w:type="pct"/>
          </w:tcPr>
          <w:p w14:paraId="10E2652E">
            <w:pPr>
              <w:spacing w:line="240" w:lineRule="atLeast"/>
              <w:jc w:val="center"/>
              <w:rPr>
                <w:rFonts w:ascii="Times New Roman" w:eastAsia="仿宋"/>
                <w:bCs/>
                <w:szCs w:val="21"/>
              </w:rPr>
            </w:pPr>
            <w:r>
              <w:rPr>
                <w:rFonts w:ascii="Times New Roman" w:eastAsia="仿宋"/>
                <w:bCs/>
                <w:szCs w:val="21"/>
              </w:rPr>
              <w:t>35</w:t>
            </w:r>
          </w:p>
        </w:tc>
        <w:tc>
          <w:tcPr>
            <w:tcW w:w="503" w:type="pct"/>
          </w:tcPr>
          <w:p w14:paraId="47E35D65">
            <w:pPr>
              <w:spacing w:line="240" w:lineRule="atLeast"/>
              <w:jc w:val="center"/>
              <w:rPr>
                <w:rFonts w:ascii="Times New Roman" w:eastAsia="仿宋"/>
                <w:bCs/>
                <w:szCs w:val="21"/>
              </w:rPr>
            </w:pPr>
            <w:r>
              <w:rPr>
                <w:rFonts w:hint="eastAsia" w:ascii="Times New Roman" w:eastAsia="仿宋"/>
                <w:bCs/>
                <w:szCs w:val="21"/>
              </w:rPr>
              <w:t>间歇</w:t>
            </w:r>
            <w:r>
              <w:rPr>
                <w:rFonts w:ascii="Times New Roman" w:eastAsia="仿宋"/>
                <w:bCs/>
                <w:szCs w:val="21"/>
              </w:rPr>
              <w:t>运行</w:t>
            </w:r>
          </w:p>
        </w:tc>
      </w:tr>
    </w:tbl>
    <w:p w14:paraId="687740BF">
      <w:pPr>
        <w:spacing w:line="500" w:lineRule="exact"/>
        <w:ind w:firstLine="482" w:firstLineChars="200"/>
        <w:jc w:val="center"/>
        <w:rPr>
          <w:rFonts w:ascii="Times New Roman" w:eastAsia="仿宋"/>
          <w:b/>
          <w:bCs/>
        </w:rPr>
      </w:pPr>
      <w:r>
        <w:rPr>
          <w:rFonts w:ascii="Times New Roman" w:eastAsia="仿宋"/>
          <w:b/>
          <w:bCs/>
        </w:rPr>
        <w:t>表3.5-5   工业企业噪声源强调查清单（室外声源）</w:t>
      </w:r>
    </w:p>
    <w:tbl>
      <w:tblPr>
        <w:tblStyle w:val="87"/>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3518"/>
        <w:gridCol w:w="1244"/>
        <w:gridCol w:w="1398"/>
        <w:gridCol w:w="1176"/>
        <w:gridCol w:w="1276"/>
        <w:gridCol w:w="1268"/>
        <w:gridCol w:w="1682"/>
        <w:gridCol w:w="1384"/>
      </w:tblGrid>
      <w:tr w14:paraId="3988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11" w:type="pct"/>
            <w:vMerge w:val="restart"/>
            <w:vAlign w:val="center"/>
          </w:tcPr>
          <w:p w14:paraId="0B00EC6C">
            <w:pPr>
              <w:spacing w:line="240" w:lineRule="atLeast"/>
              <w:jc w:val="center"/>
              <w:rPr>
                <w:rFonts w:ascii="Times New Roman" w:eastAsia="仿宋"/>
                <w:bCs/>
                <w:szCs w:val="21"/>
              </w:rPr>
            </w:pPr>
            <w:r>
              <w:rPr>
                <w:rFonts w:ascii="Times New Roman" w:eastAsia="仿宋"/>
                <w:bCs/>
                <w:szCs w:val="21"/>
              </w:rPr>
              <w:t>序号</w:t>
            </w:r>
          </w:p>
        </w:tc>
        <w:tc>
          <w:tcPr>
            <w:tcW w:w="1301" w:type="pct"/>
            <w:vMerge w:val="restart"/>
            <w:vAlign w:val="center"/>
          </w:tcPr>
          <w:p w14:paraId="29AC6C84">
            <w:pPr>
              <w:spacing w:line="240" w:lineRule="atLeast"/>
              <w:jc w:val="center"/>
              <w:rPr>
                <w:rFonts w:ascii="Times New Roman" w:eastAsia="仿宋"/>
                <w:bCs/>
                <w:szCs w:val="21"/>
              </w:rPr>
            </w:pPr>
            <w:r>
              <w:rPr>
                <w:rFonts w:ascii="Times New Roman" w:eastAsia="仿宋"/>
                <w:bCs/>
                <w:szCs w:val="21"/>
              </w:rPr>
              <w:t>声源名称</w:t>
            </w:r>
          </w:p>
        </w:tc>
        <w:tc>
          <w:tcPr>
            <w:tcW w:w="460" w:type="pct"/>
            <w:vMerge w:val="restart"/>
            <w:vAlign w:val="center"/>
          </w:tcPr>
          <w:p w14:paraId="37F173A6">
            <w:pPr>
              <w:spacing w:line="240" w:lineRule="atLeast"/>
              <w:jc w:val="center"/>
              <w:rPr>
                <w:rFonts w:ascii="Times New Roman" w:eastAsia="仿宋"/>
                <w:bCs/>
                <w:szCs w:val="21"/>
              </w:rPr>
            </w:pPr>
            <w:r>
              <w:rPr>
                <w:rFonts w:ascii="Times New Roman" w:eastAsia="仿宋"/>
                <w:bCs/>
                <w:szCs w:val="21"/>
              </w:rPr>
              <w:t>数量（台/套）</w:t>
            </w:r>
          </w:p>
        </w:tc>
        <w:tc>
          <w:tcPr>
            <w:tcW w:w="1424" w:type="pct"/>
            <w:gridSpan w:val="3"/>
            <w:vAlign w:val="center"/>
          </w:tcPr>
          <w:p w14:paraId="70E6E38A">
            <w:pPr>
              <w:spacing w:line="240" w:lineRule="atLeast"/>
              <w:jc w:val="center"/>
              <w:rPr>
                <w:rFonts w:ascii="Times New Roman" w:eastAsia="仿宋"/>
                <w:bCs/>
                <w:szCs w:val="21"/>
              </w:rPr>
            </w:pPr>
            <w:r>
              <w:rPr>
                <w:rFonts w:ascii="Times New Roman" w:eastAsia="仿宋"/>
                <w:bCs/>
                <w:szCs w:val="21"/>
              </w:rPr>
              <w:t>空间相对位置/m</w:t>
            </w:r>
          </w:p>
        </w:tc>
        <w:tc>
          <w:tcPr>
            <w:tcW w:w="469" w:type="pct"/>
            <w:vMerge w:val="restart"/>
            <w:vAlign w:val="center"/>
          </w:tcPr>
          <w:p w14:paraId="36B3DB99">
            <w:pPr>
              <w:spacing w:line="240" w:lineRule="atLeast"/>
              <w:jc w:val="center"/>
              <w:rPr>
                <w:rFonts w:ascii="Times New Roman" w:eastAsia="仿宋"/>
                <w:bCs/>
                <w:szCs w:val="21"/>
              </w:rPr>
            </w:pPr>
            <w:r>
              <w:rPr>
                <w:rFonts w:ascii="Times New Roman" w:eastAsia="仿宋"/>
                <w:bCs/>
                <w:szCs w:val="21"/>
              </w:rPr>
              <w:t>声功率级/dB(A)</w:t>
            </w:r>
          </w:p>
        </w:tc>
        <w:tc>
          <w:tcPr>
            <w:tcW w:w="622" w:type="pct"/>
            <w:vMerge w:val="restart"/>
            <w:vAlign w:val="center"/>
          </w:tcPr>
          <w:p w14:paraId="22437EFA">
            <w:pPr>
              <w:spacing w:line="240" w:lineRule="atLeast"/>
              <w:jc w:val="center"/>
              <w:rPr>
                <w:rFonts w:ascii="Times New Roman" w:eastAsia="仿宋"/>
                <w:bCs/>
                <w:szCs w:val="21"/>
              </w:rPr>
            </w:pPr>
            <w:r>
              <w:rPr>
                <w:rFonts w:ascii="Times New Roman" w:eastAsia="仿宋"/>
                <w:bCs/>
                <w:szCs w:val="21"/>
              </w:rPr>
              <w:t>声源控制措施</w:t>
            </w:r>
          </w:p>
        </w:tc>
        <w:tc>
          <w:tcPr>
            <w:tcW w:w="512" w:type="pct"/>
            <w:vMerge w:val="restart"/>
            <w:vAlign w:val="center"/>
          </w:tcPr>
          <w:p w14:paraId="5B7EA5F0">
            <w:pPr>
              <w:spacing w:line="240" w:lineRule="atLeast"/>
              <w:jc w:val="center"/>
              <w:rPr>
                <w:rFonts w:ascii="Times New Roman" w:eastAsia="仿宋"/>
                <w:bCs/>
                <w:szCs w:val="21"/>
              </w:rPr>
            </w:pPr>
            <w:r>
              <w:rPr>
                <w:rFonts w:ascii="Times New Roman" w:eastAsia="仿宋"/>
                <w:bCs/>
                <w:szCs w:val="21"/>
              </w:rPr>
              <w:t>运行时段</w:t>
            </w:r>
          </w:p>
        </w:tc>
      </w:tr>
      <w:tr w14:paraId="63C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11" w:type="pct"/>
            <w:vMerge w:val="continue"/>
            <w:vAlign w:val="center"/>
          </w:tcPr>
          <w:p w14:paraId="6BEBCAD7">
            <w:pPr>
              <w:spacing w:after="120"/>
              <w:jc w:val="center"/>
              <w:rPr>
                <w:rFonts w:ascii="Times New Roman" w:eastAsia="仿宋"/>
                <w:szCs w:val="21"/>
              </w:rPr>
            </w:pPr>
          </w:p>
        </w:tc>
        <w:tc>
          <w:tcPr>
            <w:tcW w:w="1301" w:type="pct"/>
            <w:vMerge w:val="continue"/>
            <w:vAlign w:val="center"/>
          </w:tcPr>
          <w:p w14:paraId="2D4841AA">
            <w:pPr>
              <w:spacing w:after="120"/>
              <w:jc w:val="center"/>
              <w:rPr>
                <w:rFonts w:ascii="Times New Roman" w:eastAsia="仿宋"/>
                <w:bCs/>
                <w:szCs w:val="21"/>
              </w:rPr>
            </w:pPr>
          </w:p>
        </w:tc>
        <w:tc>
          <w:tcPr>
            <w:tcW w:w="460" w:type="pct"/>
            <w:vMerge w:val="continue"/>
            <w:vAlign w:val="center"/>
          </w:tcPr>
          <w:p w14:paraId="77894B7A">
            <w:pPr>
              <w:spacing w:line="240" w:lineRule="atLeast"/>
              <w:jc w:val="center"/>
              <w:rPr>
                <w:rFonts w:ascii="Times New Roman" w:eastAsia="仿宋"/>
                <w:bCs/>
                <w:szCs w:val="21"/>
              </w:rPr>
            </w:pPr>
          </w:p>
        </w:tc>
        <w:tc>
          <w:tcPr>
            <w:tcW w:w="517" w:type="pct"/>
            <w:vAlign w:val="center"/>
          </w:tcPr>
          <w:p w14:paraId="2141F405">
            <w:pPr>
              <w:spacing w:line="240" w:lineRule="atLeast"/>
              <w:jc w:val="center"/>
              <w:rPr>
                <w:rFonts w:ascii="Times New Roman" w:eastAsia="仿宋"/>
                <w:bCs/>
                <w:szCs w:val="21"/>
              </w:rPr>
            </w:pPr>
            <w:r>
              <w:rPr>
                <w:rFonts w:ascii="Times New Roman" w:eastAsia="仿宋"/>
                <w:bCs/>
                <w:szCs w:val="21"/>
              </w:rPr>
              <w:t>X</w:t>
            </w:r>
          </w:p>
        </w:tc>
        <w:tc>
          <w:tcPr>
            <w:tcW w:w="435" w:type="pct"/>
            <w:vAlign w:val="center"/>
          </w:tcPr>
          <w:p w14:paraId="035DC6BC">
            <w:pPr>
              <w:spacing w:line="240" w:lineRule="atLeast"/>
              <w:jc w:val="center"/>
              <w:rPr>
                <w:rFonts w:ascii="Times New Roman" w:eastAsia="仿宋"/>
                <w:bCs/>
                <w:szCs w:val="21"/>
              </w:rPr>
            </w:pPr>
            <w:r>
              <w:rPr>
                <w:rFonts w:ascii="Times New Roman" w:eastAsia="仿宋"/>
                <w:bCs/>
                <w:szCs w:val="21"/>
              </w:rPr>
              <w:t>Y</w:t>
            </w:r>
          </w:p>
        </w:tc>
        <w:tc>
          <w:tcPr>
            <w:tcW w:w="472" w:type="pct"/>
            <w:vAlign w:val="center"/>
          </w:tcPr>
          <w:p w14:paraId="65566755">
            <w:pPr>
              <w:spacing w:line="240" w:lineRule="atLeast"/>
              <w:jc w:val="center"/>
              <w:rPr>
                <w:rFonts w:ascii="Times New Roman" w:eastAsia="仿宋"/>
                <w:bCs/>
                <w:szCs w:val="21"/>
              </w:rPr>
            </w:pPr>
            <w:r>
              <w:rPr>
                <w:rFonts w:ascii="Times New Roman" w:eastAsia="仿宋"/>
                <w:bCs/>
                <w:szCs w:val="21"/>
              </w:rPr>
              <w:t>Z</w:t>
            </w:r>
          </w:p>
        </w:tc>
        <w:tc>
          <w:tcPr>
            <w:tcW w:w="469" w:type="pct"/>
            <w:vMerge w:val="continue"/>
            <w:vAlign w:val="center"/>
          </w:tcPr>
          <w:p w14:paraId="1CBDCB94">
            <w:pPr>
              <w:spacing w:after="120"/>
              <w:jc w:val="center"/>
              <w:rPr>
                <w:rFonts w:ascii="Times New Roman" w:eastAsia="仿宋"/>
                <w:szCs w:val="21"/>
              </w:rPr>
            </w:pPr>
          </w:p>
        </w:tc>
        <w:tc>
          <w:tcPr>
            <w:tcW w:w="622" w:type="pct"/>
            <w:vMerge w:val="continue"/>
            <w:vAlign w:val="center"/>
          </w:tcPr>
          <w:p w14:paraId="6D82EBE2">
            <w:pPr>
              <w:spacing w:after="120"/>
              <w:jc w:val="center"/>
              <w:rPr>
                <w:rFonts w:ascii="Times New Roman" w:eastAsia="仿宋"/>
                <w:szCs w:val="21"/>
              </w:rPr>
            </w:pPr>
          </w:p>
        </w:tc>
        <w:tc>
          <w:tcPr>
            <w:tcW w:w="512" w:type="pct"/>
            <w:vMerge w:val="continue"/>
            <w:vAlign w:val="center"/>
          </w:tcPr>
          <w:p w14:paraId="22951B52">
            <w:pPr>
              <w:spacing w:after="120"/>
              <w:jc w:val="center"/>
              <w:rPr>
                <w:rFonts w:ascii="Times New Roman" w:eastAsia="仿宋"/>
                <w:szCs w:val="21"/>
              </w:rPr>
            </w:pPr>
          </w:p>
        </w:tc>
      </w:tr>
      <w:tr w14:paraId="3EA2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1" w:type="pct"/>
            <w:vAlign w:val="center"/>
          </w:tcPr>
          <w:p w14:paraId="37FB2FAB">
            <w:pPr>
              <w:widowControl/>
              <w:jc w:val="center"/>
              <w:rPr>
                <w:rFonts w:ascii="Times New Roman" w:eastAsia="仿宋"/>
                <w:bCs/>
                <w:szCs w:val="21"/>
              </w:rPr>
            </w:pPr>
            <w:r>
              <w:rPr>
                <w:rFonts w:ascii="Times New Roman" w:eastAsia="仿宋"/>
                <w:bCs/>
                <w:szCs w:val="21"/>
              </w:rPr>
              <w:t>1</w:t>
            </w:r>
          </w:p>
        </w:tc>
        <w:tc>
          <w:tcPr>
            <w:tcW w:w="1301" w:type="pct"/>
            <w:vAlign w:val="center"/>
          </w:tcPr>
          <w:p w14:paraId="2AE4E8E5">
            <w:pPr>
              <w:widowControl/>
              <w:jc w:val="center"/>
              <w:rPr>
                <w:rFonts w:ascii="Times New Roman" w:eastAsia="仿宋"/>
                <w:bCs/>
                <w:szCs w:val="21"/>
              </w:rPr>
            </w:pPr>
            <w:r>
              <w:rPr>
                <w:rFonts w:ascii="Times New Roman" w:eastAsia="仿宋"/>
                <w:szCs w:val="21"/>
              </w:rPr>
              <w:t>空压机</w:t>
            </w:r>
          </w:p>
        </w:tc>
        <w:tc>
          <w:tcPr>
            <w:tcW w:w="460" w:type="pct"/>
            <w:vAlign w:val="center"/>
          </w:tcPr>
          <w:p w14:paraId="5C54E0C6">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0E932621">
            <w:pPr>
              <w:jc w:val="center"/>
              <w:rPr>
                <w:rFonts w:ascii="Times New Roman" w:eastAsia="仿宋"/>
                <w:szCs w:val="21"/>
              </w:rPr>
            </w:pPr>
            <w:r>
              <w:rPr>
                <w:rFonts w:hint="eastAsia" w:ascii="Times New Roman" w:eastAsia="仿宋"/>
                <w:szCs w:val="21"/>
              </w:rPr>
              <w:t>5</w:t>
            </w:r>
            <w:r>
              <w:rPr>
                <w:rFonts w:ascii="Times New Roman" w:eastAsia="仿宋"/>
                <w:szCs w:val="21"/>
              </w:rPr>
              <w:t>2.5</w:t>
            </w:r>
          </w:p>
        </w:tc>
        <w:tc>
          <w:tcPr>
            <w:tcW w:w="435" w:type="pct"/>
            <w:vAlign w:val="center"/>
          </w:tcPr>
          <w:p w14:paraId="0703C3B6">
            <w:pPr>
              <w:jc w:val="center"/>
              <w:rPr>
                <w:rFonts w:ascii="Times New Roman" w:eastAsia="仿宋"/>
                <w:szCs w:val="21"/>
              </w:rPr>
            </w:pPr>
            <w:r>
              <w:rPr>
                <w:rFonts w:hint="eastAsia" w:ascii="Times New Roman" w:eastAsia="仿宋"/>
                <w:szCs w:val="21"/>
              </w:rPr>
              <w:t>-21</w:t>
            </w:r>
            <w:r>
              <w:rPr>
                <w:rFonts w:ascii="Times New Roman" w:eastAsia="仿宋"/>
                <w:szCs w:val="21"/>
              </w:rPr>
              <w:t>.01</w:t>
            </w:r>
          </w:p>
        </w:tc>
        <w:tc>
          <w:tcPr>
            <w:tcW w:w="472" w:type="pct"/>
            <w:vAlign w:val="center"/>
          </w:tcPr>
          <w:p w14:paraId="11F874A2">
            <w:pPr>
              <w:jc w:val="center"/>
              <w:rPr>
                <w:rFonts w:ascii="Times New Roman" w:eastAsia="仿宋"/>
                <w:szCs w:val="21"/>
              </w:rPr>
            </w:pPr>
            <w:r>
              <w:rPr>
                <w:rFonts w:hint="eastAsia" w:ascii="Times New Roman" w:eastAsia="仿宋"/>
                <w:szCs w:val="21"/>
              </w:rPr>
              <w:t>0</w:t>
            </w:r>
          </w:p>
        </w:tc>
        <w:tc>
          <w:tcPr>
            <w:tcW w:w="469" w:type="pct"/>
            <w:vAlign w:val="center"/>
          </w:tcPr>
          <w:p w14:paraId="6461716C">
            <w:pPr>
              <w:widowControl/>
              <w:jc w:val="center"/>
              <w:textAlignment w:val="center"/>
              <w:rPr>
                <w:rFonts w:ascii="Times New Roman" w:eastAsia="仿宋"/>
                <w:szCs w:val="21"/>
              </w:rPr>
            </w:pPr>
            <w:r>
              <w:rPr>
                <w:rFonts w:ascii="Times New Roman" w:eastAsia="仿宋"/>
                <w:szCs w:val="21"/>
              </w:rPr>
              <w:t>80</w:t>
            </w:r>
          </w:p>
        </w:tc>
        <w:tc>
          <w:tcPr>
            <w:tcW w:w="622" w:type="pct"/>
            <w:vMerge w:val="restart"/>
            <w:vAlign w:val="center"/>
          </w:tcPr>
          <w:p w14:paraId="78C6D38B">
            <w:pPr>
              <w:spacing w:line="240" w:lineRule="atLeast"/>
              <w:jc w:val="center"/>
              <w:rPr>
                <w:rFonts w:ascii="Times New Roman" w:eastAsia="仿宋"/>
                <w:bCs/>
                <w:szCs w:val="21"/>
              </w:rPr>
            </w:pPr>
            <w:r>
              <w:rPr>
                <w:rFonts w:ascii="Times New Roman" w:eastAsia="仿宋"/>
                <w:szCs w:val="21"/>
              </w:rPr>
              <w:t>设置消音器、安装减震垫</w:t>
            </w:r>
          </w:p>
        </w:tc>
        <w:tc>
          <w:tcPr>
            <w:tcW w:w="512" w:type="pct"/>
            <w:vAlign w:val="center"/>
          </w:tcPr>
          <w:p w14:paraId="05E5D6ED">
            <w:pPr>
              <w:spacing w:line="240" w:lineRule="atLeast"/>
              <w:jc w:val="center"/>
              <w:rPr>
                <w:rFonts w:ascii="Times New Roman" w:eastAsia="仿宋"/>
                <w:bCs/>
                <w:szCs w:val="21"/>
              </w:rPr>
            </w:pPr>
            <w:r>
              <w:rPr>
                <w:rFonts w:ascii="Times New Roman" w:eastAsia="仿宋"/>
                <w:bCs/>
                <w:szCs w:val="21"/>
              </w:rPr>
              <w:t>间歇运行</w:t>
            </w:r>
          </w:p>
        </w:tc>
      </w:tr>
      <w:tr w14:paraId="5F9A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211" w:type="pct"/>
            <w:vAlign w:val="center"/>
          </w:tcPr>
          <w:p w14:paraId="3D6161D1">
            <w:pPr>
              <w:widowControl/>
              <w:jc w:val="center"/>
              <w:rPr>
                <w:rFonts w:ascii="Times New Roman" w:eastAsia="仿宋"/>
                <w:bCs/>
                <w:szCs w:val="21"/>
              </w:rPr>
            </w:pPr>
            <w:r>
              <w:rPr>
                <w:rFonts w:hint="eastAsia" w:ascii="Times New Roman" w:eastAsia="仿宋"/>
                <w:bCs/>
                <w:szCs w:val="21"/>
              </w:rPr>
              <w:t>2</w:t>
            </w:r>
          </w:p>
        </w:tc>
        <w:tc>
          <w:tcPr>
            <w:tcW w:w="1301" w:type="pct"/>
            <w:vAlign w:val="center"/>
          </w:tcPr>
          <w:p w14:paraId="3A1B089B">
            <w:pPr>
              <w:widowControl/>
              <w:jc w:val="center"/>
              <w:rPr>
                <w:rFonts w:ascii="Times New Roman" w:eastAsia="仿宋"/>
                <w:szCs w:val="21"/>
              </w:rPr>
            </w:pPr>
            <w:r>
              <w:rPr>
                <w:rFonts w:hint="eastAsia" w:ascii="Times New Roman" w:eastAsia="仿宋"/>
                <w:szCs w:val="24"/>
              </w:rPr>
              <w:t>湿式除尘器风机</w:t>
            </w:r>
          </w:p>
        </w:tc>
        <w:tc>
          <w:tcPr>
            <w:tcW w:w="460" w:type="pct"/>
            <w:vAlign w:val="center"/>
          </w:tcPr>
          <w:p w14:paraId="0282B141">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61012668">
            <w:pPr>
              <w:jc w:val="center"/>
              <w:rPr>
                <w:rFonts w:ascii="Times New Roman" w:eastAsia="仿宋"/>
                <w:szCs w:val="21"/>
              </w:rPr>
            </w:pPr>
            <w:r>
              <w:rPr>
                <w:rFonts w:hint="eastAsia" w:ascii="Times New Roman" w:eastAsia="仿宋"/>
                <w:szCs w:val="21"/>
              </w:rPr>
              <w:t>1</w:t>
            </w:r>
            <w:r>
              <w:rPr>
                <w:rFonts w:ascii="Times New Roman" w:eastAsia="仿宋"/>
                <w:szCs w:val="21"/>
              </w:rPr>
              <w:t>30.7</w:t>
            </w:r>
          </w:p>
        </w:tc>
        <w:tc>
          <w:tcPr>
            <w:tcW w:w="435" w:type="pct"/>
            <w:vAlign w:val="center"/>
          </w:tcPr>
          <w:p w14:paraId="5969183D">
            <w:pPr>
              <w:jc w:val="center"/>
              <w:rPr>
                <w:rFonts w:ascii="Times New Roman" w:eastAsia="仿宋"/>
                <w:szCs w:val="21"/>
              </w:rPr>
            </w:pPr>
            <w:r>
              <w:rPr>
                <w:rFonts w:hint="eastAsia" w:ascii="Times New Roman" w:eastAsia="仿宋"/>
                <w:szCs w:val="21"/>
              </w:rPr>
              <w:t>-</w:t>
            </w:r>
            <w:r>
              <w:rPr>
                <w:rFonts w:ascii="Times New Roman" w:eastAsia="仿宋"/>
                <w:szCs w:val="21"/>
              </w:rPr>
              <w:t>24.7</w:t>
            </w:r>
          </w:p>
        </w:tc>
        <w:tc>
          <w:tcPr>
            <w:tcW w:w="472" w:type="pct"/>
            <w:vAlign w:val="center"/>
          </w:tcPr>
          <w:p w14:paraId="48247C34">
            <w:pPr>
              <w:jc w:val="center"/>
              <w:rPr>
                <w:rFonts w:ascii="Times New Roman" w:eastAsia="仿宋"/>
                <w:szCs w:val="21"/>
              </w:rPr>
            </w:pPr>
            <w:r>
              <w:rPr>
                <w:rFonts w:hint="eastAsia" w:ascii="Times New Roman" w:eastAsia="仿宋"/>
                <w:szCs w:val="21"/>
              </w:rPr>
              <w:t>0</w:t>
            </w:r>
          </w:p>
        </w:tc>
        <w:tc>
          <w:tcPr>
            <w:tcW w:w="469" w:type="pct"/>
            <w:vAlign w:val="center"/>
          </w:tcPr>
          <w:p w14:paraId="5397CFC3">
            <w:pPr>
              <w:jc w:val="center"/>
            </w:pPr>
            <w:r>
              <w:rPr>
                <w:rFonts w:ascii="Times New Roman" w:eastAsia="仿宋"/>
                <w:szCs w:val="21"/>
              </w:rPr>
              <w:t>80</w:t>
            </w:r>
          </w:p>
        </w:tc>
        <w:tc>
          <w:tcPr>
            <w:tcW w:w="622" w:type="pct"/>
            <w:vMerge w:val="continue"/>
            <w:vAlign w:val="center"/>
          </w:tcPr>
          <w:p w14:paraId="23FB703A">
            <w:pPr>
              <w:spacing w:line="240" w:lineRule="atLeast"/>
              <w:jc w:val="center"/>
              <w:rPr>
                <w:rFonts w:ascii="Times New Roman" w:eastAsia="仿宋"/>
                <w:szCs w:val="21"/>
              </w:rPr>
            </w:pPr>
          </w:p>
        </w:tc>
        <w:tc>
          <w:tcPr>
            <w:tcW w:w="512" w:type="pct"/>
            <w:vAlign w:val="center"/>
          </w:tcPr>
          <w:p w14:paraId="71B99710">
            <w:pPr>
              <w:spacing w:line="240" w:lineRule="atLeast"/>
              <w:jc w:val="center"/>
              <w:rPr>
                <w:rFonts w:ascii="Times New Roman" w:eastAsia="仿宋"/>
                <w:bCs/>
                <w:szCs w:val="21"/>
              </w:rPr>
            </w:pPr>
            <w:r>
              <w:rPr>
                <w:rFonts w:ascii="Times New Roman" w:eastAsia="仿宋"/>
                <w:bCs/>
                <w:szCs w:val="21"/>
              </w:rPr>
              <w:t>连续运行</w:t>
            </w:r>
          </w:p>
        </w:tc>
      </w:tr>
      <w:tr w14:paraId="2E91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191BC247">
            <w:pPr>
              <w:widowControl/>
              <w:jc w:val="center"/>
              <w:rPr>
                <w:rFonts w:ascii="Times New Roman" w:eastAsia="仿宋"/>
                <w:bCs/>
                <w:szCs w:val="21"/>
              </w:rPr>
            </w:pPr>
            <w:r>
              <w:rPr>
                <w:rFonts w:hint="eastAsia" w:ascii="Times New Roman" w:eastAsia="仿宋"/>
                <w:bCs/>
                <w:szCs w:val="21"/>
              </w:rPr>
              <w:t>3</w:t>
            </w:r>
          </w:p>
        </w:tc>
        <w:tc>
          <w:tcPr>
            <w:tcW w:w="1301" w:type="pct"/>
            <w:vAlign w:val="center"/>
          </w:tcPr>
          <w:p w14:paraId="43D9781A">
            <w:pPr>
              <w:widowControl/>
              <w:jc w:val="center"/>
              <w:rPr>
                <w:rFonts w:ascii="Times New Roman" w:eastAsia="仿宋"/>
                <w:szCs w:val="21"/>
              </w:rPr>
            </w:pPr>
            <w:r>
              <w:rPr>
                <w:rFonts w:hint="eastAsia" w:ascii="Times New Roman" w:eastAsia="仿宋"/>
                <w:szCs w:val="21"/>
              </w:rPr>
              <w:t>1号水帘式循环过滤系统+水喷淋+干式过滤器+活性炭吸附脱附+催化燃烧风机</w:t>
            </w:r>
          </w:p>
        </w:tc>
        <w:tc>
          <w:tcPr>
            <w:tcW w:w="460" w:type="pct"/>
            <w:vAlign w:val="center"/>
          </w:tcPr>
          <w:p w14:paraId="1DB63909">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0EE0A007">
            <w:pPr>
              <w:jc w:val="center"/>
              <w:rPr>
                <w:rFonts w:ascii="Times New Roman" w:eastAsia="仿宋"/>
                <w:szCs w:val="21"/>
              </w:rPr>
            </w:pPr>
            <w:r>
              <w:rPr>
                <w:rFonts w:ascii="Times New Roman" w:eastAsia="仿宋"/>
                <w:szCs w:val="21"/>
              </w:rPr>
              <w:t>47.81</w:t>
            </w:r>
          </w:p>
        </w:tc>
        <w:tc>
          <w:tcPr>
            <w:tcW w:w="435" w:type="pct"/>
            <w:vAlign w:val="center"/>
          </w:tcPr>
          <w:p w14:paraId="3C7C5775">
            <w:pPr>
              <w:jc w:val="center"/>
              <w:rPr>
                <w:rFonts w:ascii="Times New Roman" w:eastAsia="仿宋"/>
                <w:szCs w:val="21"/>
              </w:rPr>
            </w:pPr>
            <w:r>
              <w:rPr>
                <w:rFonts w:hint="eastAsia" w:ascii="Times New Roman" w:eastAsia="仿宋"/>
                <w:szCs w:val="21"/>
              </w:rPr>
              <w:t>3</w:t>
            </w:r>
            <w:r>
              <w:rPr>
                <w:rFonts w:ascii="Times New Roman" w:eastAsia="仿宋"/>
                <w:szCs w:val="21"/>
              </w:rPr>
              <w:t>2.85</w:t>
            </w:r>
          </w:p>
        </w:tc>
        <w:tc>
          <w:tcPr>
            <w:tcW w:w="472" w:type="pct"/>
            <w:vAlign w:val="center"/>
          </w:tcPr>
          <w:p w14:paraId="12FCD547">
            <w:pPr>
              <w:jc w:val="center"/>
              <w:rPr>
                <w:rFonts w:ascii="Times New Roman" w:eastAsia="仿宋"/>
                <w:szCs w:val="21"/>
              </w:rPr>
            </w:pPr>
            <w:r>
              <w:rPr>
                <w:rFonts w:hint="eastAsia" w:ascii="Times New Roman" w:eastAsia="仿宋"/>
                <w:szCs w:val="21"/>
              </w:rPr>
              <w:t>0</w:t>
            </w:r>
          </w:p>
        </w:tc>
        <w:tc>
          <w:tcPr>
            <w:tcW w:w="469" w:type="pct"/>
            <w:vAlign w:val="center"/>
          </w:tcPr>
          <w:p w14:paraId="38A2479F">
            <w:pPr>
              <w:jc w:val="center"/>
            </w:pPr>
            <w:r>
              <w:rPr>
                <w:rFonts w:ascii="Times New Roman" w:eastAsia="仿宋"/>
                <w:szCs w:val="21"/>
              </w:rPr>
              <w:t>80</w:t>
            </w:r>
          </w:p>
        </w:tc>
        <w:tc>
          <w:tcPr>
            <w:tcW w:w="622" w:type="pct"/>
            <w:vMerge w:val="continue"/>
            <w:vAlign w:val="center"/>
          </w:tcPr>
          <w:p w14:paraId="04F7B877">
            <w:pPr>
              <w:spacing w:line="240" w:lineRule="atLeast"/>
              <w:jc w:val="center"/>
              <w:rPr>
                <w:rFonts w:ascii="Times New Roman" w:eastAsia="仿宋"/>
                <w:szCs w:val="21"/>
              </w:rPr>
            </w:pPr>
          </w:p>
        </w:tc>
        <w:tc>
          <w:tcPr>
            <w:tcW w:w="512" w:type="pct"/>
            <w:vAlign w:val="center"/>
          </w:tcPr>
          <w:p w14:paraId="7D55B280">
            <w:pPr>
              <w:spacing w:line="240" w:lineRule="atLeast"/>
              <w:jc w:val="center"/>
              <w:rPr>
                <w:rFonts w:ascii="Times New Roman" w:eastAsia="仿宋"/>
                <w:bCs/>
                <w:szCs w:val="21"/>
              </w:rPr>
            </w:pPr>
            <w:r>
              <w:rPr>
                <w:rFonts w:ascii="Times New Roman" w:eastAsia="仿宋"/>
                <w:bCs/>
                <w:szCs w:val="21"/>
              </w:rPr>
              <w:t>连续运行</w:t>
            </w:r>
          </w:p>
        </w:tc>
      </w:tr>
      <w:tr w14:paraId="3166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735B8B4D">
            <w:pPr>
              <w:widowControl/>
              <w:jc w:val="center"/>
              <w:rPr>
                <w:rFonts w:ascii="Times New Roman" w:eastAsia="仿宋"/>
                <w:bCs/>
                <w:szCs w:val="21"/>
              </w:rPr>
            </w:pPr>
            <w:r>
              <w:rPr>
                <w:rFonts w:hint="eastAsia" w:ascii="Times New Roman" w:eastAsia="仿宋"/>
                <w:bCs/>
                <w:szCs w:val="21"/>
              </w:rPr>
              <w:t>4</w:t>
            </w:r>
          </w:p>
        </w:tc>
        <w:tc>
          <w:tcPr>
            <w:tcW w:w="1301" w:type="pct"/>
            <w:vAlign w:val="center"/>
          </w:tcPr>
          <w:p w14:paraId="578189D7">
            <w:pPr>
              <w:widowControl/>
              <w:jc w:val="center"/>
              <w:rPr>
                <w:rFonts w:ascii="Times New Roman" w:eastAsia="仿宋"/>
                <w:szCs w:val="21"/>
              </w:rPr>
            </w:pPr>
            <w:r>
              <w:rPr>
                <w:rFonts w:hint="eastAsia" w:ascii="Times New Roman" w:eastAsia="仿宋"/>
                <w:szCs w:val="21"/>
              </w:rPr>
              <w:t>2号水帘式循环过滤系统+水喷淋+干式过滤器+活性炭吸附脱附+催化燃烧风机</w:t>
            </w:r>
          </w:p>
        </w:tc>
        <w:tc>
          <w:tcPr>
            <w:tcW w:w="460" w:type="pct"/>
            <w:vAlign w:val="center"/>
          </w:tcPr>
          <w:p w14:paraId="1CAD05DF">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3A4190E9">
            <w:pPr>
              <w:jc w:val="center"/>
              <w:rPr>
                <w:rFonts w:ascii="Times New Roman" w:eastAsia="仿宋"/>
                <w:szCs w:val="21"/>
              </w:rPr>
            </w:pPr>
            <w:r>
              <w:rPr>
                <w:rFonts w:ascii="Times New Roman" w:eastAsia="仿宋"/>
                <w:szCs w:val="21"/>
              </w:rPr>
              <w:t>48.75</w:t>
            </w:r>
          </w:p>
        </w:tc>
        <w:tc>
          <w:tcPr>
            <w:tcW w:w="435" w:type="pct"/>
            <w:vAlign w:val="center"/>
          </w:tcPr>
          <w:p w14:paraId="3D2E8A73">
            <w:pPr>
              <w:jc w:val="center"/>
              <w:rPr>
                <w:rFonts w:ascii="Times New Roman" w:eastAsia="仿宋"/>
                <w:szCs w:val="21"/>
              </w:rPr>
            </w:pPr>
            <w:r>
              <w:rPr>
                <w:rFonts w:hint="eastAsia" w:ascii="Times New Roman" w:eastAsia="仿宋"/>
                <w:szCs w:val="21"/>
              </w:rPr>
              <w:t>1</w:t>
            </w:r>
            <w:r>
              <w:rPr>
                <w:rFonts w:ascii="Times New Roman" w:eastAsia="仿宋"/>
                <w:szCs w:val="21"/>
              </w:rPr>
              <w:t>4.96</w:t>
            </w:r>
          </w:p>
        </w:tc>
        <w:tc>
          <w:tcPr>
            <w:tcW w:w="472" w:type="pct"/>
            <w:vAlign w:val="center"/>
          </w:tcPr>
          <w:p w14:paraId="14F5E5AD">
            <w:pPr>
              <w:jc w:val="center"/>
              <w:rPr>
                <w:rFonts w:ascii="Times New Roman" w:eastAsia="仿宋"/>
                <w:szCs w:val="21"/>
              </w:rPr>
            </w:pPr>
            <w:r>
              <w:rPr>
                <w:rFonts w:hint="eastAsia" w:ascii="Times New Roman" w:eastAsia="仿宋"/>
                <w:szCs w:val="21"/>
              </w:rPr>
              <w:t>0</w:t>
            </w:r>
          </w:p>
        </w:tc>
        <w:tc>
          <w:tcPr>
            <w:tcW w:w="469" w:type="pct"/>
            <w:vAlign w:val="center"/>
          </w:tcPr>
          <w:p w14:paraId="329AAC69">
            <w:pPr>
              <w:jc w:val="center"/>
            </w:pPr>
            <w:r>
              <w:rPr>
                <w:rFonts w:ascii="Times New Roman" w:eastAsia="仿宋"/>
                <w:szCs w:val="21"/>
              </w:rPr>
              <w:t>80</w:t>
            </w:r>
          </w:p>
        </w:tc>
        <w:tc>
          <w:tcPr>
            <w:tcW w:w="622" w:type="pct"/>
            <w:vMerge w:val="continue"/>
            <w:vAlign w:val="center"/>
          </w:tcPr>
          <w:p w14:paraId="39D919D5">
            <w:pPr>
              <w:spacing w:line="240" w:lineRule="atLeast"/>
              <w:jc w:val="center"/>
              <w:rPr>
                <w:rFonts w:ascii="Times New Roman" w:eastAsia="仿宋"/>
                <w:szCs w:val="21"/>
              </w:rPr>
            </w:pPr>
          </w:p>
        </w:tc>
        <w:tc>
          <w:tcPr>
            <w:tcW w:w="512" w:type="pct"/>
            <w:vAlign w:val="center"/>
          </w:tcPr>
          <w:p w14:paraId="273CD086">
            <w:pPr>
              <w:spacing w:line="240" w:lineRule="atLeast"/>
              <w:jc w:val="center"/>
              <w:rPr>
                <w:rFonts w:ascii="Times New Roman" w:eastAsia="仿宋"/>
                <w:bCs/>
                <w:szCs w:val="21"/>
              </w:rPr>
            </w:pPr>
            <w:r>
              <w:rPr>
                <w:rFonts w:ascii="Times New Roman" w:eastAsia="仿宋"/>
                <w:bCs/>
                <w:szCs w:val="21"/>
              </w:rPr>
              <w:t>连续运行</w:t>
            </w:r>
          </w:p>
        </w:tc>
      </w:tr>
      <w:tr w14:paraId="2880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11" w:type="pct"/>
            <w:vAlign w:val="center"/>
          </w:tcPr>
          <w:p w14:paraId="16DEAD2C">
            <w:pPr>
              <w:widowControl/>
              <w:jc w:val="center"/>
              <w:rPr>
                <w:rFonts w:ascii="Times New Roman" w:eastAsia="仿宋"/>
                <w:bCs/>
                <w:szCs w:val="21"/>
              </w:rPr>
            </w:pPr>
            <w:r>
              <w:rPr>
                <w:rFonts w:hint="eastAsia" w:ascii="Times New Roman" w:eastAsia="仿宋"/>
                <w:bCs/>
                <w:szCs w:val="21"/>
              </w:rPr>
              <w:t>5</w:t>
            </w:r>
          </w:p>
        </w:tc>
        <w:tc>
          <w:tcPr>
            <w:tcW w:w="1301" w:type="pct"/>
            <w:vAlign w:val="center"/>
          </w:tcPr>
          <w:p w14:paraId="2865BCB0">
            <w:pPr>
              <w:widowControl/>
              <w:jc w:val="center"/>
              <w:rPr>
                <w:rFonts w:ascii="Times New Roman" w:eastAsia="仿宋"/>
                <w:szCs w:val="21"/>
              </w:rPr>
            </w:pPr>
            <w:r>
              <w:rPr>
                <w:rFonts w:hint="eastAsia" w:ascii="Times New Roman" w:eastAsia="仿宋"/>
                <w:szCs w:val="21"/>
              </w:rPr>
              <w:t>3号水帘式循环过滤系统+水喷淋+干式过滤器+活性炭吸附脱附+催化燃烧风机</w:t>
            </w:r>
          </w:p>
        </w:tc>
        <w:tc>
          <w:tcPr>
            <w:tcW w:w="460" w:type="pct"/>
            <w:vAlign w:val="center"/>
          </w:tcPr>
          <w:p w14:paraId="571B7997">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0B0AC811">
            <w:pPr>
              <w:jc w:val="center"/>
              <w:rPr>
                <w:rFonts w:ascii="Times New Roman" w:eastAsia="仿宋"/>
                <w:szCs w:val="21"/>
              </w:rPr>
            </w:pPr>
            <w:r>
              <w:rPr>
                <w:rFonts w:ascii="Times New Roman" w:eastAsia="仿宋"/>
                <w:szCs w:val="21"/>
              </w:rPr>
              <w:t>50.31</w:t>
            </w:r>
          </w:p>
        </w:tc>
        <w:tc>
          <w:tcPr>
            <w:tcW w:w="435" w:type="pct"/>
            <w:vAlign w:val="center"/>
          </w:tcPr>
          <w:p w14:paraId="3A1D617A">
            <w:pPr>
              <w:jc w:val="center"/>
              <w:rPr>
                <w:rFonts w:ascii="Times New Roman" w:eastAsia="仿宋"/>
                <w:szCs w:val="21"/>
              </w:rPr>
            </w:pPr>
            <w:r>
              <w:rPr>
                <w:rFonts w:hint="eastAsia" w:ascii="Times New Roman" w:eastAsia="仿宋"/>
                <w:szCs w:val="21"/>
              </w:rPr>
              <w:t>-</w:t>
            </w:r>
            <w:r>
              <w:rPr>
                <w:rFonts w:ascii="Times New Roman" w:eastAsia="仿宋"/>
                <w:szCs w:val="21"/>
              </w:rPr>
              <w:t>9.75</w:t>
            </w:r>
          </w:p>
        </w:tc>
        <w:tc>
          <w:tcPr>
            <w:tcW w:w="472" w:type="pct"/>
            <w:vAlign w:val="center"/>
          </w:tcPr>
          <w:p w14:paraId="3479991D">
            <w:pPr>
              <w:jc w:val="center"/>
              <w:rPr>
                <w:rFonts w:ascii="Times New Roman" w:eastAsia="仿宋"/>
                <w:szCs w:val="21"/>
              </w:rPr>
            </w:pPr>
            <w:r>
              <w:rPr>
                <w:rFonts w:hint="eastAsia" w:ascii="Times New Roman" w:eastAsia="仿宋"/>
                <w:szCs w:val="21"/>
              </w:rPr>
              <w:t>0</w:t>
            </w:r>
          </w:p>
        </w:tc>
        <w:tc>
          <w:tcPr>
            <w:tcW w:w="469" w:type="pct"/>
            <w:vAlign w:val="center"/>
          </w:tcPr>
          <w:p w14:paraId="6470990A">
            <w:pPr>
              <w:jc w:val="center"/>
            </w:pPr>
            <w:r>
              <w:rPr>
                <w:rFonts w:ascii="Times New Roman" w:eastAsia="仿宋"/>
                <w:szCs w:val="21"/>
              </w:rPr>
              <w:t>80</w:t>
            </w:r>
          </w:p>
        </w:tc>
        <w:tc>
          <w:tcPr>
            <w:tcW w:w="622" w:type="pct"/>
            <w:vMerge w:val="continue"/>
            <w:vAlign w:val="center"/>
          </w:tcPr>
          <w:p w14:paraId="7D9374D8">
            <w:pPr>
              <w:spacing w:line="240" w:lineRule="atLeast"/>
              <w:jc w:val="center"/>
              <w:rPr>
                <w:rFonts w:ascii="Times New Roman" w:eastAsia="仿宋"/>
                <w:szCs w:val="21"/>
              </w:rPr>
            </w:pPr>
          </w:p>
        </w:tc>
        <w:tc>
          <w:tcPr>
            <w:tcW w:w="512" w:type="pct"/>
            <w:vAlign w:val="center"/>
          </w:tcPr>
          <w:p w14:paraId="3ADF4599">
            <w:pPr>
              <w:spacing w:line="240" w:lineRule="atLeast"/>
              <w:jc w:val="center"/>
              <w:rPr>
                <w:rFonts w:ascii="Times New Roman" w:eastAsia="仿宋"/>
                <w:bCs/>
                <w:szCs w:val="21"/>
              </w:rPr>
            </w:pPr>
            <w:r>
              <w:rPr>
                <w:rFonts w:ascii="Times New Roman" w:eastAsia="仿宋"/>
                <w:bCs/>
                <w:szCs w:val="21"/>
              </w:rPr>
              <w:t>连续运行</w:t>
            </w:r>
          </w:p>
        </w:tc>
      </w:tr>
      <w:tr w14:paraId="3A56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1" w:type="pct"/>
            <w:vAlign w:val="center"/>
          </w:tcPr>
          <w:p w14:paraId="2F73B276">
            <w:pPr>
              <w:widowControl/>
              <w:jc w:val="center"/>
              <w:rPr>
                <w:rFonts w:ascii="Times New Roman" w:eastAsia="仿宋"/>
                <w:bCs/>
                <w:szCs w:val="21"/>
              </w:rPr>
            </w:pPr>
            <w:r>
              <w:rPr>
                <w:rFonts w:hint="eastAsia" w:ascii="Times New Roman" w:eastAsia="仿宋"/>
                <w:bCs/>
                <w:szCs w:val="21"/>
              </w:rPr>
              <w:t>6</w:t>
            </w:r>
          </w:p>
        </w:tc>
        <w:tc>
          <w:tcPr>
            <w:tcW w:w="1301" w:type="pct"/>
            <w:vAlign w:val="center"/>
          </w:tcPr>
          <w:p w14:paraId="15E3746B">
            <w:pPr>
              <w:widowControl/>
              <w:jc w:val="center"/>
              <w:rPr>
                <w:rFonts w:ascii="Times New Roman" w:eastAsia="仿宋"/>
                <w:szCs w:val="21"/>
              </w:rPr>
            </w:pPr>
            <w:r>
              <w:rPr>
                <w:rFonts w:hint="eastAsia" w:ascii="Times New Roman" w:eastAsia="仿宋"/>
                <w:szCs w:val="24"/>
              </w:rPr>
              <w:t>滤筒除尘器风机</w:t>
            </w:r>
          </w:p>
        </w:tc>
        <w:tc>
          <w:tcPr>
            <w:tcW w:w="460" w:type="pct"/>
            <w:vAlign w:val="center"/>
          </w:tcPr>
          <w:p w14:paraId="5BE5D44D">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26BA202E">
            <w:pPr>
              <w:jc w:val="center"/>
              <w:rPr>
                <w:rFonts w:ascii="Times New Roman" w:eastAsia="仿宋"/>
                <w:szCs w:val="21"/>
              </w:rPr>
            </w:pPr>
            <w:r>
              <w:rPr>
                <w:rFonts w:hint="eastAsia" w:ascii="Times New Roman" w:eastAsia="仿宋"/>
                <w:szCs w:val="21"/>
              </w:rPr>
              <w:t>8</w:t>
            </w:r>
            <w:r>
              <w:rPr>
                <w:rFonts w:ascii="Times New Roman" w:eastAsia="仿宋"/>
                <w:szCs w:val="21"/>
              </w:rPr>
              <w:t>9.72</w:t>
            </w:r>
          </w:p>
        </w:tc>
        <w:tc>
          <w:tcPr>
            <w:tcW w:w="435" w:type="pct"/>
            <w:vAlign w:val="center"/>
          </w:tcPr>
          <w:p w14:paraId="04FF3F2A">
            <w:pPr>
              <w:jc w:val="center"/>
              <w:rPr>
                <w:rFonts w:ascii="Times New Roman" w:eastAsia="仿宋"/>
                <w:szCs w:val="21"/>
              </w:rPr>
            </w:pPr>
            <w:r>
              <w:rPr>
                <w:rFonts w:hint="eastAsia" w:ascii="Times New Roman" w:eastAsia="仿宋"/>
                <w:szCs w:val="21"/>
              </w:rPr>
              <w:t>-2</w:t>
            </w:r>
            <w:r>
              <w:rPr>
                <w:rFonts w:ascii="Times New Roman" w:eastAsia="仿宋"/>
                <w:szCs w:val="21"/>
              </w:rPr>
              <w:t>.56</w:t>
            </w:r>
          </w:p>
        </w:tc>
        <w:tc>
          <w:tcPr>
            <w:tcW w:w="472" w:type="pct"/>
            <w:vAlign w:val="center"/>
          </w:tcPr>
          <w:p w14:paraId="2FB38DF1">
            <w:pPr>
              <w:jc w:val="center"/>
              <w:rPr>
                <w:rFonts w:ascii="Times New Roman" w:eastAsia="仿宋"/>
                <w:szCs w:val="21"/>
              </w:rPr>
            </w:pPr>
            <w:r>
              <w:rPr>
                <w:rFonts w:hint="eastAsia" w:ascii="Times New Roman" w:eastAsia="仿宋"/>
                <w:szCs w:val="21"/>
              </w:rPr>
              <w:t>0</w:t>
            </w:r>
          </w:p>
        </w:tc>
        <w:tc>
          <w:tcPr>
            <w:tcW w:w="469" w:type="pct"/>
            <w:vAlign w:val="center"/>
          </w:tcPr>
          <w:p w14:paraId="6F5B95DF">
            <w:pPr>
              <w:jc w:val="center"/>
            </w:pPr>
            <w:r>
              <w:rPr>
                <w:rFonts w:ascii="Times New Roman" w:eastAsia="仿宋"/>
                <w:szCs w:val="21"/>
              </w:rPr>
              <w:t>80</w:t>
            </w:r>
          </w:p>
        </w:tc>
        <w:tc>
          <w:tcPr>
            <w:tcW w:w="622" w:type="pct"/>
            <w:vMerge w:val="continue"/>
            <w:vAlign w:val="center"/>
          </w:tcPr>
          <w:p w14:paraId="682AE734">
            <w:pPr>
              <w:spacing w:line="240" w:lineRule="atLeast"/>
              <w:jc w:val="center"/>
              <w:rPr>
                <w:rFonts w:ascii="Times New Roman" w:eastAsia="仿宋"/>
                <w:szCs w:val="21"/>
              </w:rPr>
            </w:pPr>
          </w:p>
        </w:tc>
        <w:tc>
          <w:tcPr>
            <w:tcW w:w="512" w:type="pct"/>
            <w:vAlign w:val="center"/>
          </w:tcPr>
          <w:p w14:paraId="117247BB">
            <w:pPr>
              <w:spacing w:line="240" w:lineRule="atLeast"/>
              <w:jc w:val="center"/>
              <w:rPr>
                <w:rFonts w:ascii="Times New Roman" w:eastAsia="仿宋"/>
                <w:bCs/>
                <w:szCs w:val="21"/>
              </w:rPr>
            </w:pPr>
            <w:r>
              <w:rPr>
                <w:rFonts w:ascii="Times New Roman" w:eastAsia="仿宋"/>
                <w:bCs/>
                <w:szCs w:val="21"/>
              </w:rPr>
              <w:t>连续运行</w:t>
            </w:r>
          </w:p>
        </w:tc>
      </w:tr>
    </w:tbl>
    <w:p w14:paraId="64B74FE3">
      <w:pPr>
        <w:pStyle w:val="2"/>
        <w:rPr>
          <w:rFonts w:eastAsia="仿宋"/>
          <w:b/>
          <w:bCs/>
        </w:rPr>
      </w:pPr>
    </w:p>
    <w:p w14:paraId="6EC50BB4">
      <w:pPr>
        <w:pStyle w:val="2"/>
        <w:rPr>
          <w:rFonts w:eastAsia="仿宋"/>
          <w:b/>
          <w:bCs/>
        </w:rPr>
      </w:pPr>
    </w:p>
    <w:p w14:paraId="4246B689">
      <w:pPr>
        <w:pStyle w:val="2"/>
        <w:rPr>
          <w:rFonts w:eastAsia="仿宋"/>
          <w:b/>
          <w:bCs/>
        </w:rPr>
      </w:pPr>
    </w:p>
    <w:p w14:paraId="3C6560A0">
      <w:pPr>
        <w:pStyle w:val="6"/>
        <w:keepLines w:val="0"/>
        <w:tabs>
          <w:tab w:val="left" w:pos="709"/>
        </w:tabs>
        <w:spacing w:before="120" w:beforeLines="50" w:after="120" w:afterLines="50" w:line="500" w:lineRule="exact"/>
        <w:rPr>
          <w:rFonts w:ascii="Times New Roman" w:eastAsia="仿宋"/>
          <w:sz w:val="30"/>
          <w:szCs w:val="30"/>
        </w:rPr>
        <w:sectPr>
          <w:pgSz w:w="16838" w:h="11906" w:orient="landscape"/>
          <w:pgMar w:top="1440" w:right="1797" w:bottom="1440" w:left="1797" w:header="851" w:footer="992" w:gutter="0"/>
          <w:cols w:space="720" w:num="1"/>
          <w:docGrid w:linePitch="326" w:charSpace="0"/>
        </w:sectPr>
      </w:pPr>
    </w:p>
    <w:p w14:paraId="0789B35C">
      <w:pPr>
        <w:pStyle w:val="6"/>
        <w:keepLines w:val="0"/>
        <w:tabs>
          <w:tab w:val="left" w:pos="709"/>
        </w:tabs>
        <w:spacing w:before="120" w:beforeLines="50" w:after="120" w:afterLines="50" w:line="500" w:lineRule="exact"/>
        <w:rPr>
          <w:rFonts w:ascii="Times New Roman" w:eastAsia="仿宋"/>
          <w:sz w:val="30"/>
          <w:szCs w:val="30"/>
        </w:rPr>
      </w:pPr>
      <w:r>
        <w:rPr>
          <w:rFonts w:ascii="Times New Roman" w:eastAsia="仿宋"/>
          <w:sz w:val="30"/>
          <w:szCs w:val="30"/>
        </w:rPr>
        <w:t>3.5.4固废污染物源强及排放情况</w:t>
      </w:r>
    </w:p>
    <w:p w14:paraId="5FB62BD4">
      <w:pPr>
        <w:spacing w:line="500" w:lineRule="exact"/>
        <w:ind w:firstLine="560" w:firstLineChars="200"/>
        <w:rPr>
          <w:rFonts w:ascii="Times New Roman" w:eastAsia="仿宋"/>
          <w:bCs/>
          <w:sz w:val="28"/>
          <w:szCs w:val="28"/>
        </w:rPr>
      </w:pPr>
      <w:r>
        <w:rPr>
          <w:rFonts w:ascii="Times New Roman" w:eastAsia="仿宋"/>
          <w:bCs/>
          <w:sz w:val="28"/>
          <w:szCs w:val="28"/>
        </w:rPr>
        <w:t>本项目产生的</w:t>
      </w:r>
      <w:bookmarkStart w:id="232" w:name="_Hlk129549296"/>
      <w:r>
        <w:rPr>
          <w:rFonts w:hint="eastAsia" w:ascii="Times New Roman" w:eastAsia="仿宋"/>
          <w:bCs/>
          <w:sz w:val="28"/>
          <w:szCs w:val="28"/>
        </w:rPr>
        <w:t>废边角料、废塑粉、不合格品、焊渣、废一般包装、不合格品、废滤筒、收集尘、湿渣均外售综合利用；钝化废水、水洗废水、水帘废水、废清洗液、漆渣、废包装桶、废机油、废催化剂、污泥、废过滤介质、废过滤棉、废有机溶剂、废手套均</w:t>
      </w:r>
      <w:r>
        <w:rPr>
          <w:rFonts w:ascii="Times New Roman" w:eastAsia="仿宋"/>
          <w:bCs/>
          <w:sz w:val="28"/>
          <w:szCs w:val="28"/>
        </w:rPr>
        <w:t>委托有资质单位处置</w:t>
      </w:r>
      <w:bookmarkEnd w:id="232"/>
      <w:r>
        <w:rPr>
          <w:rFonts w:hint="eastAsia" w:ascii="Times New Roman" w:eastAsia="仿宋"/>
          <w:bCs/>
          <w:sz w:val="28"/>
          <w:szCs w:val="28"/>
        </w:rPr>
        <w:t>；</w:t>
      </w:r>
      <w:r>
        <w:rPr>
          <w:rFonts w:ascii="Times New Roman" w:eastAsia="仿宋"/>
          <w:bCs/>
          <w:sz w:val="28"/>
          <w:szCs w:val="28"/>
        </w:rPr>
        <w:t>生活垃圾委托环卫部门清运，具体见表3.5-6。</w:t>
      </w:r>
    </w:p>
    <w:p w14:paraId="227AFFF7">
      <w:pPr>
        <w:spacing w:line="500" w:lineRule="exact"/>
        <w:ind w:firstLine="560" w:firstLineChars="200"/>
        <w:jc w:val="left"/>
        <w:rPr>
          <w:rFonts w:ascii="Times New Roman" w:eastAsia="仿宋"/>
          <w:bCs/>
          <w:sz w:val="28"/>
          <w:szCs w:val="28"/>
        </w:rPr>
        <w:sectPr>
          <w:pgSz w:w="11906" w:h="16838"/>
          <w:pgMar w:top="1800" w:right="1440" w:bottom="1800" w:left="1440" w:header="851" w:footer="992" w:gutter="0"/>
          <w:cols w:space="720" w:num="1"/>
          <w:docGrid w:linePitch="326" w:charSpace="0"/>
        </w:sectPr>
      </w:pPr>
    </w:p>
    <w:p w14:paraId="09AA3E71">
      <w:pPr>
        <w:spacing w:line="500" w:lineRule="exact"/>
        <w:ind w:firstLine="560" w:firstLineChars="200"/>
        <w:jc w:val="left"/>
        <w:rPr>
          <w:rFonts w:ascii="Times New Roman" w:eastAsia="仿宋"/>
          <w:b/>
        </w:rPr>
      </w:pPr>
      <w:r>
        <w:rPr>
          <w:rFonts w:ascii="Times New Roman" w:eastAsia="仿宋"/>
          <w:bCs/>
          <w:sz w:val="28"/>
          <w:szCs w:val="28"/>
        </w:rPr>
        <w:t>本项目固废产生及排放情况见下表。</w:t>
      </w:r>
    </w:p>
    <w:p w14:paraId="1686112C">
      <w:pPr>
        <w:pStyle w:val="168"/>
        <w:ind w:firstLine="0" w:firstLineChars="0"/>
        <w:rPr>
          <w:rFonts w:ascii="Times New Roman" w:eastAsia="仿宋"/>
        </w:rPr>
      </w:pPr>
      <w:bookmarkStart w:id="233" w:name="_Ref381089953"/>
      <w:r>
        <w:rPr>
          <w:rFonts w:ascii="Times New Roman" w:eastAsia="仿宋"/>
        </w:rPr>
        <w:t>表</w:t>
      </w:r>
      <w:bookmarkEnd w:id="233"/>
      <w:r>
        <w:rPr>
          <w:rFonts w:ascii="Times New Roman" w:eastAsia="仿宋"/>
        </w:rPr>
        <w:t xml:space="preserve">3.5-6 </w:t>
      </w:r>
      <w:r>
        <w:rPr>
          <w:rFonts w:ascii="Times New Roman" w:eastAsia="仿宋"/>
          <w:b w:val="0"/>
        </w:rPr>
        <w:t xml:space="preserve"> </w:t>
      </w:r>
      <w:r>
        <w:rPr>
          <w:rFonts w:ascii="Times New Roman" w:eastAsia="仿宋"/>
        </w:rPr>
        <w:t>本项目固废产生及排放情况</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10"/>
        <w:gridCol w:w="864"/>
        <w:gridCol w:w="1102"/>
        <w:gridCol w:w="1634"/>
        <w:gridCol w:w="849"/>
        <w:gridCol w:w="1350"/>
        <w:gridCol w:w="765"/>
        <w:gridCol w:w="1170"/>
        <w:gridCol w:w="987"/>
        <w:gridCol w:w="992"/>
        <w:gridCol w:w="851"/>
        <w:gridCol w:w="1086"/>
      </w:tblGrid>
      <w:tr w14:paraId="699B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B021695">
            <w:pPr>
              <w:topLinePunct/>
              <w:adjustRightInd w:val="0"/>
              <w:snapToGrid w:val="0"/>
              <w:jc w:val="center"/>
              <w:rPr>
                <w:rFonts w:ascii="Times New Roman" w:eastAsia="仿宋"/>
                <w:szCs w:val="21"/>
              </w:rPr>
            </w:pPr>
            <w:r>
              <w:rPr>
                <w:rFonts w:ascii="Times New Roman" w:eastAsia="仿宋"/>
                <w:szCs w:val="21"/>
              </w:rPr>
              <w:t>序号</w:t>
            </w:r>
          </w:p>
        </w:tc>
        <w:tc>
          <w:tcPr>
            <w:tcW w:w="1610" w:type="dxa"/>
            <w:vAlign w:val="center"/>
          </w:tcPr>
          <w:p w14:paraId="4BFADA3D">
            <w:pPr>
              <w:topLinePunct/>
              <w:adjustRightInd w:val="0"/>
              <w:snapToGrid w:val="0"/>
              <w:jc w:val="center"/>
              <w:rPr>
                <w:rFonts w:ascii="Times New Roman" w:eastAsia="仿宋"/>
                <w:szCs w:val="21"/>
              </w:rPr>
            </w:pPr>
            <w:r>
              <w:rPr>
                <w:rFonts w:ascii="Times New Roman" w:eastAsia="仿宋"/>
                <w:szCs w:val="21"/>
              </w:rPr>
              <w:t>废物名称</w:t>
            </w:r>
          </w:p>
        </w:tc>
        <w:tc>
          <w:tcPr>
            <w:tcW w:w="864" w:type="dxa"/>
            <w:vAlign w:val="center"/>
          </w:tcPr>
          <w:p w14:paraId="480F62E7">
            <w:pPr>
              <w:topLinePunct/>
              <w:adjustRightInd w:val="0"/>
              <w:snapToGrid w:val="0"/>
              <w:jc w:val="center"/>
              <w:rPr>
                <w:rFonts w:ascii="Times New Roman" w:eastAsia="仿宋"/>
                <w:szCs w:val="21"/>
              </w:rPr>
            </w:pPr>
            <w:r>
              <w:rPr>
                <w:rFonts w:hint="eastAsia" w:ascii="Times New Roman" w:eastAsia="仿宋"/>
                <w:szCs w:val="21"/>
              </w:rPr>
              <w:t>性质</w:t>
            </w:r>
          </w:p>
        </w:tc>
        <w:tc>
          <w:tcPr>
            <w:tcW w:w="1102" w:type="dxa"/>
            <w:vAlign w:val="center"/>
          </w:tcPr>
          <w:p w14:paraId="32FB52AF">
            <w:pPr>
              <w:topLinePunct/>
              <w:adjustRightInd w:val="0"/>
              <w:snapToGrid w:val="0"/>
              <w:jc w:val="center"/>
              <w:rPr>
                <w:rFonts w:ascii="Times New Roman" w:eastAsia="仿宋"/>
                <w:szCs w:val="21"/>
              </w:rPr>
            </w:pPr>
            <w:r>
              <w:rPr>
                <w:rFonts w:ascii="Times New Roman" w:eastAsia="仿宋"/>
                <w:szCs w:val="21"/>
              </w:rPr>
              <w:t>废物类别</w:t>
            </w:r>
          </w:p>
        </w:tc>
        <w:tc>
          <w:tcPr>
            <w:tcW w:w="1634" w:type="dxa"/>
            <w:vAlign w:val="center"/>
          </w:tcPr>
          <w:p w14:paraId="3280990C">
            <w:pPr>
              <w:topLinePunct/>
              <w:adjustRightInd w:val="0"/>
              <w:snapToGrid w:val="0"/>
              <w:jc w:val="center"/>
              <w:rPr>
                <w:rFonts w:ascii="Times New Roman" w:eastAsia="仿宋"/>
                <w:szCs w:val="21"/>
              </w:rPr>
            </w:pPr>
            <w:r>
              <w:rPr>
                <w:rFonts w:ascii="Times New Roman" w:eastAsia="仿宋"/>
                <w:szCs w:val="21"/>
              </w:rPr>
              <w:t>废物代码</w:t>
            </w:r>
          </w:p>
        </w:tc>
        <w:tc>
          <w:tcPr>
            <w:tcW w:w="849" w:type="dxa"/>
            <w:vAlign w:val="center"/>
          </w:tcPr>
          <w:p w14:paraId="29AB42C8">
            <w:pPr>
              <w:topLinePunct/>
              <w:adjustRightInd w:val="0"/>
              <w:snapToGrid w:val="0"/>
              <w:jc w:val="center"/>
              <w:rPr>
                <w:rFonts w:ascii="Times New Roman" w:eastAsia="仿宋"/>
                <w:szCs w:val="21"/>
              </w:rPr>
            </w:pPr>
            <w:r>
              <w:rPr>
                <w:rFonts w:ascii="Times New Roman" w:eastAsia="仿宋"/>
                <w:szCs w:val="21"/>
              </w:rPr>
              <w:t>产生量（t/a）</w:t>
            </w:r>
          </w:p>
        </w:tc>
        <w:tc>
          <w:tcPr>
            <w:tcW w:w="1350" w:type="dxa"/>
            <w:vAlign w:val="center"/>
          </w:tcPr>
          <w:p w14:paraId="644314F3">
            <w:pPr>
              <w:topLinePunct/>
              <w:adjustRightInd w:val="0"/>
              <w:snapToGrid w:val="0"/>
              <w:jc w:val="center"/>
              <w:rPr>
                <w:rFonts w:ascii="Times New Roman" w:eastAsia="仿宋"/>
                <w:szCs w:val="21"/>
              </w:rPr>
            </w:pPr>
            <w:r>
              <w:rPr>
                <w:rFonts w:ascii="Times New Roman" w:eastAsia="仿宋"/>
                <w:szCs w:val="21"/>
              </w:rPr>
              <w:t>产生工序及装置</w:t>
            </w:r>
          </w:p>
        </w:tc>
        <w:tc>
          <w:tcPr>
            <w:tcW w:w="765" w:type="dxa"/>
            <w:vAlign w:val="center"/>
          </w:tcPr>
          <w:p w14:paraId="3A88D8AC">
            <w:pPr>
              <w:topLinePunct/>
              <w:adjustRightInd w:val="0"/>
              <w:snapToGrid w:val="0"/>
              <w:jc w:val="center"/>
              <w:rPr>
                <w:rFonts w:ascii="Times New Roman" w:eastAsia="仿宋"/>
                <w:szCs w:val="21"/>
              </w:rPr>
            </w:pPr>
            <w:r>
              <w:rPr>
                <w:rFonts w:ascii="Times New Roman" w:eastAsia="仿宋"/>
                <w:szCs w:val="21"/>
              </w:rPr>
              <w:t>形态</w:t>
            </w:r>
          </w:p>
        </w:tc>
        <w:tc>
          <w:tcPr>
            <w:tcW w:w="1170" w:type="dxa"/>
            <w:vAlign w:val="center"/>
          </w:tcPr>
          <w:p w14:paraId="180420D0">
            <w:pPr>
              <w:topLinePunct/>
              <w:adjustRightInd w:val="0"/>
              <w:snapToGrid w:val="0"/>
              <w:jc w:val="center"/>
              <w:rPr>
                <w:rFonts w:ascii="Times New Roman" w:eastAsia="仿宋"/>
                <w:szCs w:val="21"/>
              </w:rPr>
            </w:pPr>
            <w:r>
              <w:rPr>
                <w:rFonts w:ascii="Times New Roman" w:eastAsia="仿宋"/>
                <w:szCs w:val="21"/>
              </w:rPr>
              <w:t>主要成分</w:t>
            </w:r>
          </w:p>
        </w:tc>
        <w:tc>
          <w:tcPr>
            <w:tcW w:w="987" w:type="dxa"/>
            <w:vAlign w:val="center"/>
          </w:tcPr>
          <w:p w14:paraId="5875998A">
            <w:pPr>
              <w:topLinePunct/>
              <w:adjustRightInd w:val="0"/>
              <w:snapToGrid w:val="0"/>
              <w:jc w:val="center"/>
              <w:rPr>
                <w:rFonts w:ascii="Times New Roman" w:eastAsia="仿宋"/>
                <w:szCs w:val="21"/>
              </w:rPr>
            </w:pPr>
            <w:r>
              <w:rPr>
                <w:rFonts w:ascii="Times New Roman" w:eastAsia="仿宋"/>
                <w:szCs w:val="21"/>
              </w:rPr>
              <w:t>有害成分</w:t>
            </w:r>
          </w:p>
        </w:tc>
        <w:tc>
          <w:tcPr>
            <w:tcW w:w="992" w:type="dxa"/>
            <w:vAlign w:val="center"/>
          </w:tcPr>
          <w:p w14:paraId="071C78C7">
            <w:pPr>
              <w:topLinePunct/>
              <w:adjustRightInd w:val="0"/>
              <w:snapToGrid w:val="0"/>
              <w:jc w:val="center"/>
              <w:rPr>
                <w:rFonts w:ascii="Times New Roman" w:eastAsia="仿宋"/>
                <w:szCs w:val="21"/>
              </w:rPr>
            </w:pPr>
            <w:r>
              <w:rPr>
                <w:rFonts w:ascii="Times New Roman" w:eastAsia="仿宋"/>
                <w:szCs w:val="21"/>
              </w:rPr>
              <w:t>产废周期</w:t>
            </w:r>
          </w:p>
        </w:tc>
        <w:tc>
          <w:tcPr>
            <w:tcW w:w="851" w:type="dxa"/>
            <w:vAlign w:val="center"/>
          </w:tcPr>
          <w:p w14:paraId="0B5A2CF9">
            <w:pPr>
              <w:topLinePunct/>
              <w:adjustRightInd w:val="0"/>
              <w:snapToGrid w:val="0"/>
              <w:jc w:val="center"/>
              <w:rPr>
                <w:rFonts w:ascii="Times New Roman" w:eastAsia="仿宋"/>
                <w:szCs w:val="21"/>
              </w:rPr>
            </w:pPr>
            <w:r>
              <w:rPr>
                <w:rFonts w:ascii="Times New Roman" w:eastAsia="仿宋"/>
                <w:szCs w:val="21"/>
              </w:rPr>
              <w:t>危险</w:t>
            </w:r>
          </w:p>
          <w:p w14:paraId="1E81EC69">
            <w:pPr>
              <w:topLinePunct/>
              <w:adjustRightInd w:val="0"/>
              <w:snapToGrid w:val="0"/>
              <w:jc w:val="center"/>
              <w:rPr>
                <w:rFonts w:ascii="Times New Roman" w:eastAsia="仿宋"/>
                <w:szCs w:val="21"/>
              </w:rPr>
            </w:pPr>
            <w:r>
              <w:rPr>
                <w:rFonts w:ascii="Times New Roman" w:eastAsia="仿宋"/>
                <w:szCs w:val="21"/>
              </w:rPr>
              <w:t>特性</w:t>
            </w:r>
          </w:p>
        </w:tc>
        <w:tc>
          <w:tcPr>
            <w:tcW w:w="1086" w:type="dxa"/>
            <w:vAlign w:val="center"/>
          </w:tcPr>
          <w:p w14:paraId="3289F6B2">
            <w:pPr>
              <w:topLinePunct/>
              <w:adjustRightInd w:val="0"/>
              <w:snapToGrid w:val="0"/>
              <w:jc w:val="center"/>
              <w:rPr>
                <w:rFonts w:ascii="Times New Roman" w:eastAsia="仿宋"/>
                <w:szCs w:val="21"/>
              </w:rPr>
            </w:pPr>
            <w:r>
              <w:rPr>
                <w:rFonts w:ascii="Times New Roman" w:eastAsia="仿宋"/>
                <w:szCs w:val="21"/>
              </w:rPr>
              <w:t>污染防治措施</w:t>
            </w:r>
          </w:p>
        </w:tc>
      </w:tr>
      <w:tr w14:paraId="28E3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81" w:type="dxa"/>
            <w:vAlign w:val="center"/>
          </w:tcPr>
          <w:p w14:paraId="0D29E915">
            <w:pPr>
              <w:topLinePunct/>
              <w:adjustRightInd w:val="0"/>
              <w:snapToGrid w:val="0"/>
              <w:jc w:val="center"/>
              <w:rPr>
                <w:rFonts w:ascii="Times New Roman" w:eastAsia="仿宋"/>
                <w:szCs w:val="21"/>
              </w:rPr>
            </w:pPr>
            <w:r>
              <w:rPr>
                <w:rFonts w:ascii="Times New Roman" w:eastAsia="仿宋"/>
                <w:szCs w:val="21"/>
              </w:rPr>
              <w:t>1</w:t>
            </w:r>
          </w:p>
        </w:tc>
        <w:tc>
          <w:tcPr>
            <w:tcW w:w="1610" w:type="dxa"/>
            <w:vAlign w:val="center"/>
          </w:tcPr>
          <w:p w14:paraId="21C7B155">
            <w:pPr>
              <w:topLinePunct/>
              <w:adjustRightInd w:val="0"/>
              <w:snapToGrid w:val="0"/>
              <w:jc w:val="center"/>
              <w:rPr>
                <w:rFonts w:ascii="Times New Roman" w:eastAsia="仿宋"/>
                <w:szCs w:val="21"/>
              </w:rPr>
            </w:pPr>
            <w:r>
              <w:rPr>
                <w:rFonts w:ascii="Times New Roman" w:eastAsia="仿宋"/>
                <w:szCs w:val="21"/>
              </w:rPr>
              <w:t>生活垃圾</w:t>
            </w:r>
          </w:p>
        </w:tc>
        <w:tc>
          <w:tcPr>
            <w:tcW w:w="864" w:type="dxa"/>
            <w:vMerge w:val="restart"/>
            <w:vAlign w:val="center"/>
          </w:tcPr>
          <w:p w14:paraId="4D29BB1C">
            <w:pPr>
              <w:topLinePunct/>
              <w:adjustRightInd w:val="0"/>
              <w:snapToGrid w:val="0"/>
              <w:jc w:val="center"/>
              <w:rPr>
                <w:rFonts w:ascii="Times New Roman" w:eastAsia="仿宋"/>
                <w:szCs w:val="21"/>
              </w:rPr>
            </w:pPr>
            <w:r>
              <w:rPr>
                <w:rFonts w:hint="eastAsia" w:ascii="Times New Roman" w:eastAsia="仿宋"/>
                <w:szCs w:val="21"/>
              </w:rPr>
              <w:t>一般固废</w:t>
            </w:r>
          </w:p>
        </w:tc>
        <w:tc>
          <w:tcPr>
            <w:tcW w:w="1102" w:type="dxa"/>
            <w:vAlign w:val="center"/>
          </w:tcPr>
          <w:p w14:paraId="36700C7A">
            <w:pPr>
              <w:topLinePunct/>
              <w:adjustRightInd w:val="0"/>
              <w:snapToGrid w:val="0"/>
              <w:jc w:val="center"/>
              <w:rPr>
                <w:rFonts w:ascii="Times New Roman" w:eastAsia="仿宋"/>
                <w:szCs w:val="21"/>
              </w:rPr>
            </w:pPr>
            <w:r>
              <w:rPr>
                <w:rFonts w:hint="eastAsia" w:ascii="Times New Roman" w:eastAsia="仿宋"/>
                <w:szCs w:val="21"/>
              </w:rPr>
              <w:t>SW60</w:t>
            </w:r>
          </w:p>
        </w:tc>
        <w:tc>
          <w:tcPr>
            <w:tcW w:w="1634" w:type="dxa"/>
            <w:vAlign w:val="center"/>
          </w:tcPr>
          <w:p w14:paraId="4E8CEA39">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S60</w:t>
            </w:r>
          </w:p>
        </w:tc>
        <w:tc>
          <w:tcPr>
            <w:tcW w:w="849" w:type="dxa"/>
            <w:vAlign w:val="center"/>
          </w:tcPr>
          <w:p w14:paraId="2FBC4C32">
            <w:pPr>
              <w:topLinePunct/>
              <w:adjustRightInd w:val="0"/>
              <w:snapToGrid w:val="0"/>
              <w:jc w:val="center"/>
              <w:rPr>
                <w:rFonts w:ascii="Times New Roman" w:eastAsia="仿宋"/>
                <w:szCs w:val="21"/>
              </w:rPr>
            </w:pPr>
            <w:r>
              <w:rPr>
                <w:rFonts w:hint="eastAsia" w:ascii="Times New Roman" w:eastAsia="仿宋"/>
                <w:szCs w:val="21"/>
              </w:rPr>
              <w:t>22.5</w:t>
            </w:r>
          </w:p>
        </w:tc>
        <w:tc>
          <w:tcPr>
            <w:tcW w:w="1350" w:type="dxa"/>
            <w:vAlign w:val="center"/>
          </w:tcPr>
          <w:p w14:paraId="184EDDE9">
            <w:pPr>
              <w:topLinePunct/>
              <w:adjustRightInd w:val="0"/>
              <w:snapToGrid w:val="0"/>
              <w:jc w:val="center"/>
              <w:rPr>
                <w:rFonts w:ascii="Times New Roman" w:eastAsia="仿宋"/>
                <w:szCs w:val="21"/>
              </w:rPr>
            </w:pPr>
            <w:r>
              <w:rPr>
                <w:rFonts w:ascii="Times New Roman" w:eastAsia="仿宋"/>
                <w:szCs w:val="21"/>
              </w:rPr>
              <w:t>/</w:t>
            </w:r>
          </w:p>
        </w:tc>
        <w:tc>
          <w:tcPr>
            <w:tcW w:w="765" w:type="dxa"/>
            <w:vAlign w:val="center"/>
          </w:tcPr>
          <w:p w14:paraId="7BBFDDED">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65B89F1A">
            <w:pPr>
              <w:topLinePunct/>
              <w:adjustRightInd w:val="0"/>
              <w:snapToGrid w:val="0"/>
              <w:jc w:val="center"/>
              <w:rPr>
                <w:rFonts w:ascii="Times New Roman" w:eastAsia="仿宋"/>
                <w:szCs w:val="21"/>
              </w:rPr>
            </w:pPr>
            <w:r>
              <w:rPr>
                <w:rFonts w:ascii="Times New Roman" w:eastAsia="仿宋"/>
                <w:szCs w:val="21"/>
              </w:rPr>
              <w:t>/</w:t>
            </w:r>
          </w:p>
        </w:tc>
        <w:tc>
          <w:tcPr>
            <w:tcW w:w="987" w:type="dxa"/>
            <w:vAlign w:val="center"/>
          </w:tcPr>
          <w:p w14:paraId="1A6D8147">
            <w:pPr>
              <w:topLinePunct/>
              <w:adjustRightInd w:val="0"/>
              <w:snapToGrid w:val="0"/>
              <w:jc w:val="center"/>
              <w:rPr>
                <w:rFonts w:ascii="Times New Roman" w:eastAsia="仿宋"/>
                <w:szCs w:val="21"/>
              </w:rPr>
            </w:pPr>
            <w:r>
              <w:rPr>
                <w:rFonts w:ascii="Times New Roman" w:eastAsia="仿宋"/>
                <w:szCs w:val="21"/>
              </w:rPr>
              <w:t>/</w:t>
            </w:r>
          </w:p>
        </w:tc>
        <w:tc>
          <w:tcPr>
            <w:tcW w:w="992" w:type="dxa"/>
            <w:vAlign w:val="center"/>
          </w:tcPr>
          <w:p w14:paraId="3EE799B8">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3B6D889F">
            <w:pPr>
              <w:topLinePunct/>
              <w:adjustRightInd w:val="0"/>
              <w:snapToGrid w:val="0"/>
              <w:jc w:val="center"/>
              <w:rPr>
                <w:rFonts w:ascii="Times New Roman" w:eastAsia="仿宋"/>
                <w:szCs w:val="21"/>
              </w:rPr>
            </w:pPr>
            <w:r>
              <w:rPr>
                <w:rFonts w:ascii="Times New Roman" w:eastAsia="仿宋"/>
                <w:szCs w:val="21"/>
              </w:rPr>
              <w:t>/</w:t>
            </w:r>
          </w:p>
        </w:tc>
        <w:tc>
          <w:tcPr>
            <w:tcW w:w="1086" w:type="dxa"/>
            <w:vAlign w:val="center"/>
          </w:tcPr>
          <w:p w14:paraId="0B5866C8">
            <w:pPr>
              <w:topLinePunct/>
              <w:adjustRightInd w:val="0"/>
              <w:snapToGrid w:val="0"/>
              <w:jc w:val="center"/>
              <w:rPr>
                <w:rFonts w:ascii="Times New Roman" w:eastAsia="仿宋"/>
                <w:szCs w:val="21"/>
              </w:rPr>
            </w:pPr>
            <w:r>
              <w:rPr>
                <w:rFonts w:ascii="Times New Roman" w:eastAsia="仿宋"/>
                <w:szCs w:val="21"/>
              </w:rPr>
              <w:t>由环卫部门清运</w:t>
            </w:r>
            <w:r>
              <w:rPr>
                <w:rFonts w:hint="eastAsia" w:ascii="Times New Roman" w:eastAsia="仿宋"/>
                <w:szCs w:val="21"/>
              </w:rPr>
              <w:t>处置</w:t>
            </w:r>
          </w:p>
        </w:tc>
      </w:tr>
      <w:tr w14:paraId="7A22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6ED41A3">
            <w:pPr>
              <w:topLinePunct/>
              <w:adjustRightInd w:val="0"/>
              <w:snapToGrid w:val="0"/>
              <w:jc w:val="center"/>
              <w:rPr>
                <w:rFonts w:ascii="Times New Roman" w:eastAsia="仿宋"/>
                <w:szCs w:val="21"/>
              </w:rPr>
            </w:pPr>
            <w:r>
              <w:rPr>
                <w:rFonts w:ascii="Times New Roman" w:eastAsia="仿宋"/>
                <w:szCs w:val="21"/>
              </w:rPr>
              <w:t>2</w:t>
            </w:r>
          </w:p>
        </w:tc>
        <w:tc>
          <w:tcPr>
            <w:tcW w:w="1610" w:type="dxa"/>
            <w:vAlign w:val="center"/>
          </w:tcPr>
          <w:p w14:paraId="263B27C0">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边角料</w:t>
            </w:r>
          </w:p>
        </w:tc>
        <w:tc>
          <w:tcPr>
            <w:tcW w:w="864" w:type="dxa"/>
            <w:vMerge w:val="continue"/>
            <w:vAlign w:val="center"/>
          </w:tcPr>
          <w:p w14:paraId="69FB78FA">
            <w:pPr>
              <w:topLinePunct/>
              <w:adjustRightInd w:val="0"/>
              <w:snapToGrid w:val="0"/>
              <w:jc w:val="center"/>
              <w:rPr>
                <w:rFonts w:ascii="Times New Roman" w:eastAsia="仿宋"/>
                <w:szCs w:val="21"/>
              </w:rPr>
            </w:pPr>
          </w:p>
        </w:tc>
        <w:tc>
          <w:tcPr>
            <w:tcW w:w="1102" w:type="dxa"/>
            <w:vAlign w:val="center"/>
          </w:tcPr>
          <w:p w14:paraId="379F6BEB">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345B74C6">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311EB91E">
            <w:pPr>
              <w:topLinePunct/>
              <w:adjustRightInd w:val="0"/>
              <w:snapToGrid w:val="0"/>
              <w:jc w:val="center"/>
              <w:rPr>
                <w:rFonts w:ascii="Times New Roman" w:eastAsia="仿宋"/>
                <w:szCs w:val="21"/>
              </w:rPr>
            </w:pPr>
            <w:r>
              <w:rPr>
                <w:rFonts w:hint="eastAsia" w:ascii="Times New Roman" w:eastAsia="仿宋"/>
                <w:szCs w:val="21"/>
              </w:rPr>
              <w:t>25</w:t>
            </w:r>
          </w:p>
        </w:tc>
        <w:tc>
          <w:tcPr>
            <w:tcW w:w="1350" w:type="dxa"/>
            <w:vAlign w:val="center"/>
          </w:tcPr>
          <w:p w14:paraId="54E141FC">
            <w:pPr>
              <w:topLinePunct/>
              <w:adjustRightInd w:val="0"/>
              <w:snapToGrid w:val="0"/>
              <w:jc w:val="center"/>
              <w:rPr>
                <w:rFonts w:ascii="Times New Roman" w:eastAsia="仿宋"/>
                <w:szCs w:val="21"/>
              </w:rPr>
            </w:pPr>
            <w:r>
              <w:rPr>
                <w:rFonts w:hint="eastAsia" w:ascii="Times New Roman" w:eastAsia="仿宋"/>
                <w:szCs w:val="21"/>
              </w:rPr>
              <w:t>切割、剪板、雕刻</w:t>
            </w:r>
          </w:p>
        </w:tc>
        <w:tc>
          <w:tcPr>
            <w:tcW w:w="765" w:type="dxa"/>
            <w:vAlign w:val="center"/>
          </w:tcPr>
          <w:p w14:paraId="0FDB86EF">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4A0074E">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28FA6073">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4496E672">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14B4AC0A">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restart"/>
            <w:vAlign w:val="center"/>
          </w:tcPr>
          <w:p w14:paraId="7DCEC72B">
            <w:pPr>
              <w:topLinePunct/>
              <w:adjustRightInd w:val="0"/>
              <w:snapToGrid w:val="0"/>
              <w:jc w:val="center"/>
              <w:rPr>
                <w:rFonts w:ascii="Times New Roman" w:eastAsia="仿宋"/>
                <w:szCs w:val="21"/>
              </w:rPr>
            </w:pPr>
            <w:r>
              <w:rPr>
                <w:rFonts w:hint="eastAsia" w:ascii="Times New Roman" w:eastAsia="仿宋"/>
                <w:szCs w:val="21"/>
              </w:rPr>
              <w:t>外售相关单位综合利用</w:t>
            </w:r>
          </w:p>
        </w:tc>
      </w:tr>
      <w:tr w14:paraId="39BF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EBC9BE7">
            <w:pPr>
              <w:topLinePunct/>
              <w:adjustRightInd w:val="0"/>
              <w:snapToGrid w:val="0"/>
              <w:jc w:val="center"/>
              <w:rPr>
                <w:rFonts w:ascii="Times New Roman" w:eastAsia="仿宋"/>
                <w:szCs w:val="21"/>
              </w:rPr>
            </w:pPr>
            <w:r>
              <w:rPr>
                <w:rFonts w:ascii="Times New Roman" w:eastAsia="仿宋"/>
                <w:szCs w:val="21"/>
              </w:rPr>
              <w:t>3</w:t>
            </w:r>
          </w:p>
        </w:tc>
        <w:tc>
          <w:tcPr>
            <w:tcW w:w="1610" w:type="dxa"/>
            <w:shd w:val="clear" w:color="auto" w:fill="auto"/>
            <w:vAlign w:val="center"/>
          </w:tcPr>
          <w:p w14:paraId="034107F4">
            <w:pPr>
              <w:topLinePunct/>
              <w:adjustRightInd w:val="0"/>
              <w:snapToGrid w:val="0"/>
              <w:jc w:val="center"/>
              <w:rPr>
                <w:rFonts w:ascii="Times New Roman" w:eastAsia="仿宋"/>
                <w:szCs w:val="21"/>
              </w:rPr>
            </w:pPr>
            <w:r>
              <w:rPr>
                <w:rFonts w:hint="eastAsia" w:ascii="Times New Roman" w:eastAsia="仿宋"/>
                <w:szCs w:val="21"/>
              </w:rPr>
              <w:t>焊渣</w:t>
            </w:r>
          </w:p>
        </w:tc>
        <w:tc>
          <w:tcPr>
            <w:tcW w:w="864" w:type="dxa"/>
            <w:vMerge w:val="continue"/>
            <w:shd w:val="clear" w:color="auto" w:fill="auto"/>
            <w:vAlign w:val="center"/>
          </w:tcPr>
          <w:p w14:paraId="020FC9DD">
            <w:pPr>
              <w:topLinePunct/>
              <w:adjustRightInd w:val="0"/>
              <w:snapToGrid w:val="0"/>
              <w:jc w:val="center"/>
              <w:rPr>
                <w:rFonts w:ascii="Times New Roman" w:eastAsia="仿宋"/>
                <w:szCs w:val="21"/>
              </w:rPr>
            </w:pPr>
          </w:p>
        </w:tc>
        <w:tc>
          <w:tcPr>
            <w:tcW w:w="1102" w:type="dxa"/>
            <w:shd w:val="clear" w:color="auto" w:fill="auto"/>
            <w:vAlign w:val="center"/>
          </w:tcPr>
          <w:p w14:paraId="401B014A">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7AC5434C">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6404C751">
            <w:pPr>
              <w:topLinePunct/>
              <w:adjustRightInd w:val="0"/>
              <w:snapToGrid w:val="0"/>
              <w:jc w:val="center"/>
              <w:rPr>
                <w:rFonts w:ascii="Times New Roman" w:eastAsia="仿宋"/>
                <w:szCs w:val="21"/>
              </w:rPr>
            </w:pPr>
            <w:r>
              <w:rPr>
                <w:rFonts w:hint="eastAsia" w:ascii="Times New Roman" w:eastAsia="仿宋"/>
                <w:szCs w:val="21"/>
              </w:rPr>
              <w:t>0.1</w:t>
            </w:r>
          </w:p>
        </w:tc>
        <w:tc>
          <w:tcPr>
            <w:tcW w:w="1350" w:type="dxa"/>
            <w:shd w:val="clear" w:color="auto" w:fill="auto"/>
            <w:vAlign w:val="center"/>
          </w:tcPr>
          <w:p w14:paraId="31EA6502">
            <w:pPr>
              <w:topLinePunct/>
              <w:adjustRightInd w:val="0"/>
              <w:snapToGrid w:val="0"/>
              <w:jc w:val="center"/>
              <w:rPr>
                <w:rFonts w:ascii="Times New Roman" w:eastAsia="仿宋"/>
                <w:szCs w:val="21"/>
              </w:rPr>
            </w:pPr>
            <w:r>
              <w:rPr>
                <w:rFonts w:hint="eastAsia" w:ascii="Times New Roman" w:eastAsia="仿宋"/>
                <w:szCs w:val="21"/>
              </w:rPr>
              <w:t>焊接</w:t>
            </w:r>
          </w:p>
        </w:tc>
        <w:tc>
          <w:tcPr>
            <w:tcW w:w="765" w:type="dxa"/>
            <w:shd w:val="clear" w:color="auto" w:fill="auto"/>
            <w:vAlign w:val="center"/>
          </w:tcPr>
          <w:p w14:paraId="0815FA17">
            <w:pPr>
              <w:topLinePunct/>
              <w:adjustRightInd w:val="0"/>
              <w:snapToGrid w:val="0"/>
              <w:jc w:val="center"/>
              <w:rPr>
                <w:rFonts w:ascii="Times New Roman" w:eastAsia="仿宋"/>
                <w:szCs w:val="21"/>
              </w:rPr>
            </w:pPr>
            <w:r>
              <w:rPr>
                <w:rFonts w:ascii="Times New Roman" w:eastAsia="仿宋"/>
                <w:szCs w:val="21"/>
              </w:rPr>
              <w:t>固态</w:t>
            </w:r>
          </w:p>
        </w:tc>
        <w:tc>
          <w:tcPr>
            <w:tcW w:w="1170" w:type="dxa"/>
            <w:shd w:val="clear" w:color="auto" w:fill="auto"/>
            <w:vAlign w:val="center"/>
          </w:tcPr>
          <w:p w14:paraId="36776413">
            <w:pPr>
              <w:topLinePunct/>
              <w:adjustRightInd w:val="0"/>
              <w:snapToGrid w:val="0"/>
              <w:jc w:val="center"/>
              <w:rPr>
                <w:rFonts w:ascii="Times New Roman" w:eastAsia="仿宋"/>
                <w:szCs w:val="21"/>
              </w:rPr>
            </w:pPr>
            <w:r>
              <w:rPr>
                <w:rFonts w:hint="eastAsia" w:ascii="Times New Roman" w:eastAsia="仿宋"/>
                <w:szCs w:val="21"/>
              </w:rPr>
              <w:t>焊渣</w:t>
            </w:r>
          </w:p>
        </w:tc>
        <w:tc>
          <w:tcPr>
            <w:tcW w:w="987" w:type="dxa"/>
            <w:shd w:val="clear" w:color="auto" w:fill="auto"/>
            <w:vAlign w:val="center"/>
          </w:tcPr>
          <w:p w14:paraId="55C5A470">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51F9862E">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16D3D2B4">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367B261A">
            <w:pPr>
              <w:topLinePunct/>
              <w:adjustRightInd w:val="0"/>
              <w:snapToGrid w:val="0"/>
              <w:jc w:val="center"/>
              <w:rPr>
                <w:rFonts w:ascii="Times New Roman" w:eastAsia="仿宋"/>
                <w:szCs w:val="21"/>
              </w:rPr>
            </w:pPr>
          </w:p>
        </w:tc>
      </w:tr>
      <w:tr w14:paraId="07C2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428940C">
            <w:pPr>
              <w:topLinePunct/>
              <w:adjustRightInd w:val="0"/>
              <w:snapToGrid w:val="0"/>
              <w:jc w:val="center"/>
              <w:rPr>
                <w:rFonts w:ascii="Times New Roman" w:eastAsia="仿宋"/>
                <w:szCs w:val="21"/>
              </w:rPr>
            </w:pPr>
            <w:r>
              <w:rPr>
                <w:rFonts w:ascii="Times New Roman" w:eastAsia="仿宋"/>
                <w:szCs w:val="21"/>
              </w:rPr>
              <w:t>4</w:t>
            </w:r>
          </w:p>
        </w:tc>
        <w:tc>
          <w:tcPr>
            <w:tcW w:w="1610" w:type="dxa"/>
            <w:vAlign w:val="center"/>
          </w:tcPr>
          <w:p w14:paraId="3BDD4682">
            <w:pPr>
              <w:topLinePunct/>
              <w:adjustRightInd w:val="0"/>
              <w:snapToGrid w:val="0"/>
              <w:jc w:val="center"/>
              <w:rPr>
                <w:rFonts w:ascii="Times New Roman" w:eastAsia="仿宋"/>
                <w:szCs w:val="21"/>
              </w:rPr>
            </w:pPr>
            <w:r>
              <w:rPr>
                <w:rFonts w:hint="eastAsia" w:ascii="Times New Roman" w:eastAsia="仿宋"/>
                <w:szCs w:val="21"/>
              </w:rPr>
              <w:t>不合格品</w:t>
            </w:r>
          </w:p>
        </w:tc>
        <w:tc>
          <w:tcPr>
            <w:tcW w:w="864" w:type="dxa"/>
            <w:vMerge w:val="continue"/>
            <w:vAlign w:val="center"/>
          </w:tcPr>
          <w:p w14:paraId="47FB2E48">
            <w:pPr>
              <w:topLinePunct/>
              <w:adjustRightInd w:val="0"/>
              <w:snapToGrid w:val="0"/>
              <w:jc w:val="center"/>
              <w:rPr>
                <w:rFonts w:ascii="Times New Roman" w:eastAsia="仿宋"/>
                <w:szCs w:val="21"/>
              </w:rPr>
            </w:pPr>
          </w:p>
        </w:tc>
        <w:tc>
          <w:tcPr>
            <w:tcW w:w="1102" w:type="dxa"/>
            <w:vAlign w:val="center"/>
          </w:tcPr>
          <w:p w14:paraId="5BA17C98">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4E8A6487">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604A1DBA">
            <w:pPr>
              <w:topLinePunct/>
              <w:adjustRightInd w:val="0"/>
              <w:snapToGrid w:val="0"/>
              <w:jc w:val="center"/>
              <w:rPr>
                <w:rFonts w:ascii="Times New Roman" w:eastAsia="仿宋"/>
                <w:szCs w:val="21"/>
              </w:rPr>
            </w:pPr>
            <w:r>
              <w:rPr>
                <w:rFonts w:hint="eastAsia" w:ascii="Times New Roman" w:eastAsia="仿宋"/>
                <w:szCs w:val="21"/>
              </w:rPr>
              <w:t>5</w:t>
            </w:r>
          </w:p>
        </w:tc>
        <w:tc>
          <w:tcPr>
            <w:tcW w:w="1350" w:type="dxa"/>
            <w:vAlign w:val="center"/>
          </w:tcPr>
          <w:p w14:paraId="78DAA543">
            <w:pPr>
              <w:topLinePunct/>
              <w:adjustRightInd w:val="0"/>
              <w:snapToGrid w:val="0"/>
              <w:jc w:val="center"/>
              <w:rPr>
                <w:rFonts w:ascii="Times New Roman" w:eastAsia="仿宋"/>
                <w:szCs w:val="21"/>
              </w:rPr>
            </w:pPr>
            <w:r>
              <w:rPr>
                <w:rFonts w:hint="eastAsia" w:ascii="Times New Roman" w:eastAsia="仿宋"/>
                <w:szCs w:val="21"/>
              </w:rPr>
              <w:t>检验</w:t>
            </w:r>
          </w:p>
        </w:tc>
        <w:tc>
          <w:tcPr>
            <w:tcW w:w="765" w:type="dxa"/>
            <w:vAlign w:val="center"/>
          </w:tcPr>
          <w:p w14:paraId="48C64298">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CFFBE46">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308ED48C">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10988C07">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F3B92BB">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01CDF30">
            <w:pPr>
              <w:topLinePunct/>
              <w:adjustRightInd w:val="0"/>
              <w:snapToGrid w:val="0"/>
              <w:jc w:val="center"/>
              <w:rPr>
                <w:rFonts w:ascii="Times New Roman" w:eastAsia="仿宋"/>
                <w:szCs w:val="21"/>
              </w:rPr>
            </w:pPr>
          </w:p>
        </w:tc>
      </w:tr>
      <w:tr w14:paraId="7298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97851D2">
            <w:pPr>
              <w:topLinePunct/>
              <w:adjustRightInd w:val="0"/>
              <w:snapToGrid w:val="0"/>
              <w:jc w:val="center"/>
              <w:rPr>
                <w:rFonts w:ascii="Times New Roman" w:eastAsia="仿宋"/>
                <w:szCs w:val="21"/>
              </w:rPr>
            </w:pPr>
            <w:r>
              <w:rPr>
                <w:rFonts w:hint="eastAsia" w:ascii="Times New Roman" w:eastAsia="仿宋"/>
                <w:szCs w:val="21"/>
              </w:rPr>
              <w:t>5</w:t>
            </w:r>
          </w:p>
        </w:tc>
        <w:tc>
          <w:tcPr>
            <w:tcW w:w="1610" w:type="dxa"/>
            <w:vAlign w:val="center"/>
          </w:tcPr>
          <w:p w14:paraId="52263A4A">
            <w:pPr>
              <w:topLinePunct/>
              <w:adjustRightInd w:val="0"/>
              <w:snapToGrid w:val="0"/>
              <w:jc w:val="center"/>
              <w:rPr>
                <w:rFonts w:ascii="Times New Roman" w:eastAsia="仿宋"/>
                <w:szCs w:val="21"/>
              </w:rPr>
            </w:pPr>
            <w:r>
              <w:rPr>
                <w:rFonts w:hint="eastAsia" w:ascii="Times New Roman" w:eastAsia="仿宋"/>
                <w:szCs w:val="21"/>
              </w:rPr>
              <w:t>废塑粉</w:t>
            </w:r>
          </w:p>
        </w:tc>
        <w:tc>
          <w:tcPr>
            <w:tcW w:w="864" w:type="dxa"/>
            <w:vMerge w:val="continue"/>
            <w:vAlign w:val="center"/>
          </w:tcPr>
          <w:p w14:paraId="230615EA">
            <w:pPr>
              <w:topLinePunct/>
              <w:adjustRightInd w:val="0"/>
              <w:snapToGrid w:val="0"/>
              <w:jc w:val="center"/>
              <w:rPr>
                <w:rFonts w:ascii="Times New Roman" w:eastAsia="仿宋"/>
                <w:szCs w:val="21"/>
              </w:rPr>
            </w:pPr>
          </w:p>
        </w:tc>
        <w:tc>
          <w:tcPr>
            <w:tcW w:w="1102" w:type="dxa"/>
            <w:vAlign w:val="center"/>
          </w:tcPr>
          <w:p w14:paraId="482E175B">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20E5F58D">
            <w:pPr>
              <w:topLinePunct/>
              <w:adjustRightInd w:val="0"/>
              <w:snapToGrid w:val="0"/>
              <w:jc w:val="center"/>
              <w:rPr>
                <w:rFonts w:ascii="Times New Roman" w:eastAsia="仿宋"/>
                <w:szCs w:val="21"/>
              </w:rPr>
            </w:pPr>
            <w:r>
              <w:rPr>
                <w:rFonts w:hint="eastAsia" w:ascii="Times New Roman" w:eastAsia="仿宋"/>
                <w:szCs w:val="21"/>
              </w:rPr>
              <w:t>900-003-S17</w:t>
            </w:r>
          </w:p>
        </w:tc>
        <w:tc>
          <w:tcPr>
            <w:tcW w:w="849" w:type="dxa"/>
            <w:vAlign w:val="center"/>
          </w:tcPr>
          <w:p w14:paraId="12A6ABE6">
            <w:pPr>
              <w:topLinePunct/>
              <w:adjustRightInd w:val="0"/>
              <w:snapToGrid w:val="0"/>
              <w:jc w:val="center"/>
              <w:rPr>
                <w:rFonts w:ascii="Times New Roman" w:eastAsia="仿宋"/>
                <w:szCs w:val="21"/>
              </w:rPr>
            </w:pPr>
            <w:r>
              <w:rPr>
                <w:rFonts w:ascii="Times New Roman" w:eastAsia="仿宋"/>
                <w:szCs w:val="21"/>
              </w:rPr>
              <w:t>8</w:t>
            </w:r>
            <w:r>
              <w:rPr>
                <w:rFonts w:hint="eastAsia" w:ascii="Times New Roman" w:eastAsia="仿宋"/>
                <w:szCs w:val="21"/>
              </w:rPr>
              <w:t>.</w:t>
            </w:r>
            <w:r>
              <w:rPr>
                <w:rFonts w:ascii="Times New Roman" w:eastAsia="仿宋"/>
                <w:szCs w:val="21"/>
              </w:rPr>
              <w:t>2</w:t>
            </w:r>
          </w:p>
        </w:tc>
        <w:tc>
          <w:tcPr>
            <w:tcW w:w="1350" w:type="dxa"/>
            <w:vAlign w:val="center"/>
          </w:tcPr>
          <w:p w14:paraId="0BD1E694">
            <w:pPr>
              <w:topLinePunct/>
              <w:adjustRightInd w:val="0"/>
              <w:snapToGrid w:val="0"/>
              <w:jc w:val="center"/>
              <w:rPr>
                <w:rFonts w:ascii="Times New Roman" w:eastAsia="仿宋"/>
                <w:szCs w:val="21"/>
              </w:rPr>
            </w:pPr>
            <w:r>
              <w:rPr>
                <w:rFonts w:hint="eastAsia" w:ascii="Times New Roman" w:eastAsia="仿宋"/>
                <w:szCs w:val="21"/>
              </w:rPr>
              <w:t>喷塑</w:t>
            </w:r>
          </w:p>
        </w:tc>
        <w:tc>
          <w:tcPr>
            <w:tcW w:w="765" w:type="dxa"/>
            <w:vAlign w:val="center"/>
          </w:tcPr>
          <w:p w14:paraId="1C4FC0DA">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05C42C65">
            <w:pPr>
              <w:topLinePunct/>
              <w:adjustRightInd w:val="0"/>
              <w:snapToGrid w:val="0"/>
              <w:jc w:val="center"/>
              <w:rPr>
                <w:rFonts w:ascii="Times New Roman" w:eastAsia="仿宋"/>
                <w:szCs w:val="21"/>
              </w:rPr>
            </w:pPr>
            <w:r>
              <w:rPr>
                <w:rFonts w:hint="eastAsia" w:ascii="Times New Roman" w:eastAsia="仿宋"/>
                <w:szCs w:val="21"/>
              </w:rPr>
              <w:t>塑粉</w:t>
            </w:r>
          </w:p>
        </w:tc>
        <w:tc>
          <w:tcPr>
            <w:tcW w:w="987" w:type="dxa"/>
            <w:vAlign w:val="center"/>
          </w:tcPr>
          <w:p w14:paraId="6BC8FB41">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221B145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8191E76">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5363E129">
            <w:pPr>
              <w:topLinePunct/>
              <w:adjustRightInd w:val="0"/>
              <w:snapToGrid w:val="0"/>
              <w:jc w:val="center"/>
              <w:rPr>
                <w:rFonts w:ascii="Times New Roman" w:eastAsia="仿宋"/>
                <w:szCs w:val="21"/>
              </w:rPr>
            </w:pPr>
          </w:p>
        </w:tc>
      </w:tr>
      <w:tr w14:paraId="76A7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50C049D">
            <w:pPr>
              <w:topLinePunct/>
              <w:adjustRightInd w:val="0"/>
              <w:snapToGrid w:val="0"/>
              <w:jc w:val="center"/>
              <w:rPr>
                <w:rFonts w:ascii="Times New Roman" w:eastAsia="仿宋"/>
                <w:szCs w:val="21"/>
              </w:rPr>
            </w:pPr>
            <w:r>
              <w:rPr>
                <w:rFonts w:ascii="Times New Roman" w:eastAsia="仿宋"/>
                <w:szCs w:val="21"/>
              </w:rPr>
              <w:t>6</w:t>
            </w:r>
          </w:p>
        </w:tc>
        <w:tc>
          <w:tcPr>
            <w:tcW w:w="1610" w:type="dxa"/>
            <w:vAlign w:val="center"/>
          </w:tcPr>
          <w:p w14:paraId="0E6942C3">
            <w:pPr>
              <w:topLinePunct/>
              <w:adjustRightInd w:val="0"/>
              <w:snapToGrid w:val="0"/>
              <w:jc w:val="center"/>
              <w:rPr>
                <w:rFonts w:ascii="Times New Roman" w:eastAsia="仿宋"/>
                <w:szCs w:val="21"/>
              </w:rPr>
            </w:pPr>
            <w:r>
              <w:rPr>
                <w:rFonts w:hint="eastAsia" w:ascii="Times New Roman" w:eastAsia="仿宋"/>
                <w:szCs w:val="21"/>
              </w:rPr>
              <w:t>废一般包装</w:t>
            </w:r>
          </w:p>
        </w:tc>
        <w:tc>
          <w:tcPr>
            <w:tcW w:w="864" w:type="dxa"/>
            <w:vMerge w:val="continue"/>
            <w:vAlign w:val="center"/>
          </w:tcPr>
          <w:p w14:paraId="4540D322">
            <w:pPr>
              <w:topLinePunct/>
              <w:adjustRightInd w:val="0"/>
              <w:snapToGrid w:val="0"/>
              <w:jc w:val="center"/>
              <w:rPr>
                <w:rFonts w:ascii="Times New Roman" w:eastAsia="仿宋"/>
                <w:szCs w:val="21"/>
              </w:rPr>
            </w:pPr>
          </w:p>
        </w:tc>
        <w:tc>
          <w:tcPr>
            <w:tcW w:w="1102" w:type="dxa"/>
            <w:vAlign w:val="center"/>
          </w:tcPr>
          <w:p w14:paraId="22C754D0">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7426EEEF">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003</w:t>
            </w:r>
            <w:r>
              <w:rPr>
                <w:rFonts w:ascii="Times New Roman" w:eastAsia="仿宋"/>
                <w:szCs w:val="21"/>
              </w:rPr>
              <w:t>-</w:t>
            </w:r>
            <w:r>
              <w:rPr>
                <w:rFonts w:hint="eastAsia" w:ascii="Times New Roman" w:eastAsia="仿宋"/>
                <w:szCs w:val="21"/>
              </w:rPr>
              <w:t>S17</w:t>
            </w:r>
          </w:p>
        </w:tc>
        <w:tc>
          <w:tcPr>
            <w:tcW w:w="849" w:type="dxa"/>
            <w:vAlign w:val="center"/>
          </w:tcPr>
          <w:p w14:paraId="71A262C3">
            <w:pPr>
              <w:topLinePunct/>
              <w:adjustRightInd w:val="0"/>
              <w:snapToGrid w:val="0"/>
              <w:jc w:val="center"/>
              <w:rPr>
                <w:rFonts w:ascii="Times New Roman" w:eastAsia="仿宋"/>
                <w:szCs w:val="21"/>
              </w:rPr>
            </w:pPr>
            <w:r>
              <w:rPr>
                <w:rFonts w:hint="eastAsia" w:ascii="Times New Roman" w:eastAsia="仿宋"/>
                <w:szCs w:val="21"/>
              </w:rPr>
              <w:t>0.5</w:t>
            </w:r>
          </w:p>
        </w:tc>
        <w:tc>
          <w:tcPr>
            <w:tcW w:w="1350" w:type="dxa"/>
            <w:vAlign w:val="center"/>
          </w:tcPr>
          <w:p w14:paraId="0C3BFBC2">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78AEE46C">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ED33822">
            <w:pPr>
              <w:topLinePunct/>
              <w:adjustRightInd w:val="0"/>
              <w:snapToGrid w:val="0"/>
              <w:jc w:val="center"/>
              <w:rPr>
                <w:rFonts w:ascii="Times New Roman" w:eastAsia="仿宋"/>
                <w:szCs w:val="21"/>
              </w:rPr>
            </w:pPr>
            <w:r>
              <w:rPr>
                <w:rFonts w:hint="eastAsia" w:ascii="Times New Roman" w:eastAsia="仿宋"/>
                <w:szCs w:val="21"/>
              </w:rPr>
              <w:t>塑料等</w:t>
            </w:r>
          </w:p>
        </w:tc>
        <w:tc>
          <w:tcPr>
            <w:tcW w:w="987" w:type="dxa"/>
            <w:vAlign w:val="center"/>
          </w:tcPr>
          <w:p w14:paraId="75E9385A">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37D8C99A">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35FD6FC">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1C3C5A1C">
            <w:pPr>
              <w:topLinePunct/>
              <w:adjustRightInd w:val="0"/>
              <w:snapToGrid w:val="0"/>
              <w:jc w:val="center"/>
              <w:rPr>
                <w:rFonts w:ascii="Times New Roman" w:eastAsia="仿宋"/>
                <w:szCs w:val="21"/>
              </w:rPr>
            </w:pPr>
          </w:p>
        </w:tc>
      </w:tr>
      <w:tr w14:paraId="4F7F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B6BB83A">
            <w:pPr>
              <w:topLinePunct/>
              <w:adjustRightInd w:val="0"/>
              <w:snapToGrid w:val="0"/>
              <w:jc w:val="center"/>
              <w:rPr>
                <w:rFonts w:ascii="Times New Roman" w:eastAsia="仿宋"/>
                <w:szCs w:val="21"/>
              </w:rPr>
            </w:pPr>
            <w:r>
              <w:rPr>
                <w:rFonts w:ascii="Times New Roman" w:eastAsia="仿宋"/>
                <w:szCs w:val="21"/>
              </w:rPr>
              <w:t>7</w:t>
            </w:r>
          </w:p>
        </w:tc>
        <w:tc>
          <w:tcPr>
            <w:tcW w:w="1610" w:type="dxa"/>
            <w:vAlign w:val="center"/>
          </w:tcPr>
          <w:p w14:paraId="6D084856">
            <w:pPr>
              <w:topLinePunct/>
              <w:adjustRightInd w:val="0"/>
              <w:snapToGrid w:val="0"/>
              <w:jc w:val="center"/>
              <w:rPr>
                <w:rFonts w:ascii="Times New Roman" w:eastAsia="仿宋"/>
                <w:szCs w:val="21"/>
              </w:rPr>
            </w:pPr>
            <w:r>
              <w:rPr>
                <w:rFonts w:hint="eastAsia" w:ascii="Times New Roman" w:eastAsia="仿宋"/>
                <w:szCs w:val="21"/>
              </w:rPr>
              <w:t>废滤筒</w:t>
            </w:r>
          </w:p>
        </w:tc>
        <w:tc>
          <w:tcPr>
            <w:tcW w:w="864" w:type="dxa"/>
            <w:vMerge w:val="continue"/>
            <w:vAlign w:val="center"/>
          </w:tcPr>
          <w:p w14:paraId="617E4DED">
            <w:pPr>
              <w:topLinePunct/>
              <w:adjustRightInd w:val="0"/>
              <w:snapToGrid w:val="0"/>
              <w:jc w:val="center"/>
              <w:rPr>
                <w:rFonts w:ascii="Times New Roman" w:eastAsia="仿宋"/>
                <w:szCs w:val="21"/>
              </w:rPr>
            </w:pPr>
          </w:p>
        </w:tc>
        <w:tc>
          <w:tcPr>
            <w:tcW w:w="1102" w:type="dxa"/>
            <w:vAlign w:val="center"/>
          </w:tcPr>
          <w:p w14:paraId="57D1801A">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2EF2BFB8">
            <w:pPr>
              <w:topLinePunct/>
              <w:adjustRightInd w:val="0"/>
              <w:snapToGrid w:val="0"/>
              <w:jc w:val="center"/>
              <w:rPr>
                <w:rFonts w:ascii="Times New Roman" w:eastAsia="仿宋"/>
                <w:szCs w:val="21"/>
              </w:rPr>
            </w:pPr>
            <w:r>
              <w:rPr>
                <w:rFonts w:hint="eastAsia" w:ascii="Times New Roman" w:eastAsia="仿宋"/>
                <w:szCs w:val="21"/>
              </w:rPr>
              <w:t>900-009-S59</w:t>
            </w:r>
          </w:p>
        </w:tc>
        <w:tc>
          <w:tcPr>
            <w:tcW w:w="849" w:type="dxa"/>
            <w:vAlign w:val="center"/>
          </w:tcPr>
          <w:p w14:paraId="35EE2DCB">
            <w:pPr>
              <w:topLinePunct/>
              <w:adjustRightInd w:val="0"/>
              <w:snapToGrid w:val="0"/>
              <w:jc w:val="center"/>
              <w:rPr>
                <w:rFonts w:ascii="Times New Roman" w:eastAsia="仿宋"/>
                <w:szCs w:val="21"/>
              </w:rPr>
            </w:pPr>
            <w:r>
              <w:rPr>
                <w:rFonts w:ascii="Times New Roman" w:eastAsia="仿宋"/>
                <w:szCs w:val="21"/>
              </w:rPr>
              <w:t>2</w:t>
            </w:r>
          </w:p>
        </w:tc>
        <w:tc>
          <w:tcPr>
            <w:tcW w:w="1350" w:type="dxa"/>
            <w:vAlign w:val="center"/>
          </w:tcPr>
          <w:p w14:paraId="3560891D">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4222BA6B">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D171BEF">
            <w:pPr>
              <w:topLinePunct/>
              <w:adjustRightInd w:val="0"/>
              <w:snapToGrid w:val="0"/>
              <w:jc w:val="center"/>
              <w:rPr>
                <w:rFonts w:ascii="Times New Roman" w:eastAsia="仿宋"/>
                <w:szCs w:val="21"/>
              </w:rPr>
            </w:pPr>
            <w:r>
              <w:rPr>
                <w:rFonts w:hint="eastAsia" w:ascii="Times New Roman" w:eastAsia="仿宋"/>
                <w:szCs w:val="21"/>
              </w:rPr>
              <w:t>滤筒</w:t>
            </w:r>
          </w:p>
        </w:tc>
        <w:tc>
          <w:tcPr>
            <w:tcW w:w="987" w:type="dxa"/>
            <w:vAlign w:val="center"/>
          </w:tcPr>
          <w:p w14:paraId="77DE53D0">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49DE46C7">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5F882887">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65475687">
            <w:pPr>
              <w:topLinePunct/>
              <w:adjustRightInd w:val="0"/>
              <w:snapToGrid w:val="0"/>
              <w:jc w:val="center"/>
              <w:rPr>
                <w:rFonts w:ascii="Times New Roman" w:eastAsia="仿宋"/>
                <w:szCs w:val="21"/>
              </w:rPr>
            </w:pPr>
          </w:p>
        </w:tc>
      </w:tr>
      <w:tr w14:paraId="5FBC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4EDFF1A">
            <w:pPr>
              <w:topLinePunct/>
              <w:adjustRightInd w:val="0"/>
              <w:snapToGrid w:val="0"/>
              <w:jc w:val="center"/>
              <w:rPr>
                <w:rFonts w:ascii="Times New Roman" w:eastAsia="仿宋"/>
                <w:szCs w:val="21"/>
              </w:rPr>
            </w:pPr>
            <w:r>
              <w:rPr>
                <w:rFonts w:hint="eastAsia" w:ascii="Times New Roman" w:eastAsia="仿宋"/>
                <w:szCs w:val="21"/>
              </w:rPr>
              <w:t>8</w:t>
            </w:r>
          </w:p>
        </w:tc>
        <w:tc>
          <w:tcPr>
            <w:tcW w:w="1610" w:type="dxa"/>
            <w:shd w:val="clear" w:color="auto" w:fill="auto"/>
            <w:vAlign w:val="center"/>
          </w:tcPr>
          <w:p w14:paraId="69B49718">
            <w:pPr>
              <w:topLinePunct/>
              <w:adjustRightInd w:val="0"/>
              <w:snapToGrid w:val="0"/>
              <w:jc w:val="center"/>
              <w:rPr>
                <w:rFonts w:ascii="Times New Roman" w:eastAsia="仿宋"/>
                <w:szCs w:val="21"/>
              </w:rPr>
            </w:pPr>
            <w:r>
              <w:rPr>
                <w:rFonts w:hint="eastAsia" w:ascii="Times New Roman" w:eastAsia="仿宋"/>
                <w:szCs w:val="21"/>
              </w:rPr>
              <w:t>收集尘</w:t>
            </w:r>
          </w:p>
        </w:tc>
        <w:tc>
          <w:tcPr>
            <w:tcW w:w="864" w:type="dxa"/>
            <w:vMerge w:val="continue"/>
            <w:shd w:val="clear" w:color="auto" w:fill="auto"/>
            <w:vAlign w:val="center"/>
          </w:tcPr>
          <w:p w14:paraId="4005A7EB">
            <w:pPr>
              <w:topLinePunct/>
              <w:adjustRightInd w:val="0"/>
              <w:snapToGrid w:val="0"/>
              <w:jc w:val="center"/>
              <w:rPr>
                <w:rFonts w:ascii="Times New Roman" w:eastAsia="仿宋"/>
                <w:szCs w:val="21"/>
              </w:rPr>
            </w:pPr>
          </w:p>
        </w:tc>
        <w:tc>
          <w:tcPr>
            <w:tcW w:w="1102" w:type="dxa"/>
            <w:shd w:val="clear" w:color="auto" w:fill="auto"/>
            <w:vAlign w:val="center"/>
          </w:tcPr>
          <w:p w14:paraId="56AF00A2">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15975E87">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5AFB6D0E">
            <w:pPr>
              <w:topLinePunct/>
              <w:adjustRightInd w:val="0"/>
              <w:snapToGrid w:val="0"/>
              <w:jc w:val="center"/>
              <w:rPr>
                <w:rFonts w:ascii="Times New Roman" w:eastAsia="仿宋"/>
                <w:szCs w:val="21"/>
              </w:rPr>
            </w:pPr>
            <w:r>
              <w:rPr>
                <w:rFonts w:hint="eastAsia" w:ascii="Times New Roman" w:eastAsia="仿宋"/>
                <w:szCs w:val="21"/>
              </w:rPr>
              <w:t>0.024</w:t>
            </w:r>
          </w:p>
        </w:tc>
        <w:tc>
          <w:tcPr>
            <w:tcW w:w="1350" w:type="dxa"/>
            <w:shd w:val="clear" w:color="auto" w:fill="auto"/>
            <w:vAlign w:val="center"/>
          </w:tcPr>
          <w:p w14:paraId="394FFA66">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shd w:val="clear" w:color="auto" w:fill="auto"/>
            <w:vAlign w:val="center"/>
          </w:tcPr>
          <w:p w14:paraId="2EDF41BC">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201A40FF">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shd w:val="clear" w:color="auto" w:fill="auto"/>
            <w:vAlign w:val="center"/>
          </w:tcPr>
          <w:p w14:paraId="368D82FF">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7B441363">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shd w:val="clear" w:color="auto" w:fill="auto"/>
            <w:vAlign w:val="center"/>
          </w:tcPr>
          <w:p w14:paraId="08578538">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F300FFF">
            <w:pPr>
              <w:topLinePunct/>
              <w:adjustRightInd w:val="0"/>
              <w:snapToGrid w:val="0"/>
              <w:jc w:val="center"/>
              <w:rPr>
                <w:rFonts w:ascii="Times New Roman" w:eastAsia="仿宋"/>
                <w:szCs w:val="21"/>
              </w:rPr>
            </w:pPr>
          </w:p>
        </w:tc>
      </w:tr>
      <w:tr w14:paraId="6F64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095F601">
            <w:pPr>
              <w:topLinePunct/>
              <w:adjustRightInd w:val="0"/>
              <w:snapToGrid w:val="0"/>
              <w:jc w:val="center"/>
              <w:rPr>
                <w:rFonts w:ascii="Times New Roman" w:eastAsia="仿宋"/>
                <w:szCs w:val="21"/>
              </w:rPr>
            </w:pPr>
            <w:r>
              <w:rPr>
                <w:rFonts w:hint="eastAsia" w:ascii="Times New Roman" w:eastAsia="仿宋"/>
                <w:szCs w:val="21"/>
              </w:rPr>
              <w:t>9</w:t>
            </w:r>
          </w:p>
        </w:tc>
        <w:tc>
          <w:tcPr>
            <w:tcW w:w="1610" w:type="dxa"/>
            <w:vAlign w:val="center"/>
          </w:tcPr>
          <w:p w14:paraId="7C69F41E">
            <w:pPr>
              <w:topLinePunct/>
              <w:adjustRightInd w:val="0"/>
              <w:snapToGrid w:val="0"/>
              <w:jc w:val="center"/>
              <w:rPr>
                <w:rFonts w:ascii="Times New Roman" w:eastAsia="仿宋"/>
                <w:szCs w:val="21"/>
              </w:rPr>
            </w:pPr>
            <w:r>
              <w:rPr>
                <w:rFonts w:hint="eastAsia" w:ascii="Times New Roman" w:eastAsia="仿宋"/>
                <w:szCs w:val="21"/>
              </w:rPr>
              <w:t>湿渣</w:t>
            </w:r>
          </w:p>
        </w:tc>
        <w:tc>
          <w:tcPr>
            <w:tcW w:w="864" w:type="dxa"/>
            <w:vMerge w:val="continue"/>
            <w:vAlign w:val="center"/>
          </w:tcPr>
          <w:p w14:paraId="478C3BE2">
            <w:pPr>
              <w:topLinePunct/>
              <w:adjustRightInd w:val="0"/>
              <w:snapToGrid w:val="0"/>
              <w:jc w:val="center"/>
              <w:rPr>
                <w:rFonts w:ascii="Times New Roman" w:eastAsia="仿宋"/>
                <w:szCs w:val="21"/>
              </w:rPr>
            </w:pPr>
          </w:p>
        </w:tc>
        <w:tc>
          <w:tcPr>
            <w:tcW w:w="1102" w:type="dxa"/>
            <w:vAlign w:val="center"/>
          </w:tcPr>
          <w:p w14:paraId="676D79F4">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6AD77F46">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vAlign w:val="center"/>
          </w:tcPr>
          <w:p w14:paraId="36F4989D">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39</w:t>
            </w:r>
          </w:p>
        </w:tc>
        <w:tc>
          <w:tcPr>
            <w:tcW w:w="1350" w:type="dxa"/>
            <w:vAlign w:val="center"/>
          </w:tcPr>
          <w:p w14:paraId="39987A8C">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4A3EFE5E">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3CF49AF4">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38664DC9">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57290BCA">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vAlign w:val="center"/>
          </w:tcPr>
          <w:p w14:paraId="01341556">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67439C6F">
            <w:pPr>
              <w:topLinePunct/>
              <w:adjustRightInd w:val="0"/>
              <w:snapToGrid w:val="0"/>
              <w:jc w:val="center"/>
              <w:rPr>
                <w:rFonts w:ascii="Times New Roman" w:eastAsia="仿宋"/>
                <w:szCs w:val="21"/>
              </w:rPr>
            </w:pPr>
          </w:p>
        </w:tc>
      </w:tr>
      <w:tr w14:paraId="4E2D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7F9DF9C">
            <w:pPr>
              <w:topLinePunct/>
              <w:adjustRightInd w:val="0"/>
              <w:snapToGrid w:val="0"/>
              <w:jc w:val="center"/>
              <w:rPr>
                <w:rFonts w:ascii="Times New Roman" w:eastAsia="仿宋"/>
                <w:szCs w:val="21"/>
              </w:rPr>
            </w:pPr>
            <w:r>
              <w:rPr>
                <w:rFonts w:hint="eastAsia" w:ascii="Times New Roman" w:eastAsia="仿宋"/>
                <w:szCs w:val="21"/>
              </w:rPr>
              <w:t>10</w:t>
            </w:r>
          </w:p>
        </w:tc>
        <w:tc>
          <w:tcPr>
            <w:tcW w:w="1610" w:type="dxa"/>
            <w:vAlign w:val="center"/>
          </w:tcPr>
          <w:p w14:paraId="2F77F39D">
            <w:pPr>
              <w:topLinePunct/>
              <w:adjustRightInd w:val="0"/>
              <w:snapToGrid w:val="0"/>
              <w:jc w:val="center"/>
              <w:rPr>
                <w:rFonts w:ascii="Times New Roman" w:eastAsia="仿宋"/>
                <w:szCs w:val="21"/>
              </w:rPr>
            </w:pPr>
            <w:r>
              <w:rPr>
                <w:rFonts w:hint="eastAsia" w:ascii="Times New Roman" w:eastAsia="仿宋"/>
                <w:szCs w:val="21"/>
              </w:rPr>
              <w:t>钝化废水</w:t>
            </w:r>
          </w:p>
        </w:tc>
        <w:tc>
          <w:tcPr>
            <w:tcW w:w="864" w:type="dxa"/>
            <w:vMerge w:val="restart"/>
            <w:vAlign w:val="center"/>
          </w:tcPr>
          <w:p w14:paraId="4CFD6273">
            <w:pPr>
              <w:topLinePunct/>
              <w:adjustRightInd w:val="0"/>
              <w:snapToGrid w:val="0"/>
              <w:jc w:val="center"/>
              <w:rPr>
                <w:rFonts w:ascii="Times New Roman" w:eastAsia="仿宋"/>
                <w:szCs w:val="21"/>
              </w:rPr>
            </w:pPr>
            <w:r>
              <w:rPr>
                <w:rFonts w:hint="eastAsia" w:ascii="Times New Roman" w:eastAsia="仿宋"/>
                <w:szCs w:val="21"/>
              </w:rPr>
              <w:t>危险废物</w:t>
            </w:r>
          </w:p>
        </w:tc>
        <w:tc>
          <w:tcPr>
            <w:tcW w:w="1102" w:type="dxa"/>
            <w:vAlign w:val="center"/>
          </w:tcPr>
          <w:p w14:paraId="39D191E8">
            <w:pPr>
              <w:topLinePunct/>
              <w:adjustRightInd w:val="0"/>
              <w:snapToGrid w:val="0"/>
              <w:jc w:val="center"/>
              <w:rPr>
                <w:rFonts w:ascii="Times New Roman" w:eastAsia="仿宋"/>
                <w:szCs w:val="21"/>
              </w:rPr>
            </w:pPr>
            <w:r>
              <w:rPr>
                <w:rFonts w:ascii="Times New Roman" w:eastAsia="仿宋"/>
                <w:szCs w:val="21"/>
              </w:rPr>
              <w:t>HW17</w:t>
            </w:r>
          </w:p>
        </w:tc>
        <w:tc>
          <w:tcPr>
            <w:tcW w:w="1634" w:type="dxa"/>
            <w:vAlign w:val="center"/>
          </w:tcPr>
          <w:p w14:paraId="10AECE6D">
            <w:pPr>
              <w:topLinePunct/>
              <w:adjustRightInd w:val="0"/>
              <w:snapToGrid w:val="0"/>
              <w:jc w:val="center"/>
              <w:rPr>
                <w:rFonts w:ascii="Times New Roman" w:eastAsia="仿宋"/>
                <w:szCs w:val="21"/>
              </w:rPr>
            </w:pPr>
            <w:r>
              <w:rPr>
                <w:rFonts w:ascii="Times New Roman" w:eastAsia="仿宋"/>
                <w:szCs w:val="21"/>
              </w:rPr>
              <w:t>336-064-17</w:t>
            </w:r>
          </w:p>
        </w:tc>
        <w:tc>
          <w:tcPr>
            <w:tcW w:w="849" w:type="dxa"/>
            <w:vAlign w:val="center"/>
          </w:tcPr>
          <w:p w14:paraId="0CEB86BE">
            <w:pPr>
              <w:topLinePunct/>
              <w:adjustRightInd w:val="0"/>
              <w:snapToGrid w:val="0"/>
              <w:jc w:val="center"/>
              <w:rPr>
                <w:rFonts w:ascii="Times New Roman" w:eastAsia="仿宋"/>
                <w:szCs w:val="21"/>
              </w:rPr>
            </w:pPr>
            <w:r>
              <w:rPr>
                <w:rFonts w:hint="eastAsia" w:ascii="Times New Roman" w:eastAsia="仿宋"/>
                <w:szCs w:val="21"/>
              </w:rPr>
              <w:t>9.9</w:t>
            </w:r>
          </w:p>
        </w:tc>
        <w:tc>
          <w:tcPr>
            <w:tcW w:w="1350" w:type="dxa"/>
            <w:vAlign w:val="center"/>
          </w:tcPr>
          <w:p w14:paraId="45EE1162">
            <w:pPr>
              <w:topLinePunct/>
              <w:adjustRightInd w:val="0"/>
              <w:snapToGrid w:val="0"/>
              <w:jc w:val="center"/>
              <w:rPr>
                <w:rFonts w:ascii="Times New Roman" w:eastAsia="仿宋"/>
                <w:szCs w:val="21"/>
              </w:rPr>
            </w:pPr>
            <w:r>
              <w:rPr>
                <w:rFonts w:hint="eastAsia" w:ascii="Times New Roman" w:eastAsia="仿宋"/>
                <w:szCs w:val="21"/>
              </w:rPr>
              <w:t>钝化</w:t>
            </w:r>
          </w:p>
        </w:tc>
        <w:tc>
          <w:tcPr>
            <w:tcW w:w="765" w:type="dxa"/>
            <w:vAlign w:val="center"/>
          </w:tcPr>
          <w:p w14:paraId="75AD7785">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64EFF908">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45487A24">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1DFA63FF">
            <w:pPr>
              <w:topLinePunct/>
              <w:adjustRightInd w:val="0"/>
              <w:snapToGrid w:val="0"/>
              <w:jc w:val="center"/>
              <w:rPr>
                <w:rFonts w:ascii="Times New Roman" w:eastAsia="仿宋"/>
                <w:szCs w:val="21"/>
              </w:rPr>
            </w:pPr>
            <w:r>
              <w:rPr>
                <w:rFonts w:hint="eastAsia" w:ascii="Times New Roman" w:eastAsia="仿宋"/>
                <w:szCs w:val="21"/>
              </w:rPr>
              <w:t>4个月</w:t>
            </w:r>
          </w:p>
        </w:tc>
        <w:tc>
          <w:tcPr>
            <w:tcW w:w="851" w:type="dxa"/>
            <w:vAlign w:val="center"/>
          </w:tcPr>
          <w:p w14:paraId="0807ABBC">
            <w:pPr>
              <w:topLinePunct/>
              <w:adjustRightInd w:val="0"/>
              <w:snapToGrid w:val="0"/>
              <w:jc w:val="center"/>
              <w:rPr>
                <w:rFonts w:ascii="Times New Roman" w:eastAsia="仿宋"/>
                <w:szCs w:val="21"/>
              </w:rPr>
            </w:pPr>
            <w:r>
              <w:rPr>
                <w:rFonts w:hint="eastAsia" w:ascii="Times New Roman" w:eastAsia="仿宋"/>
                <w:szCs w:val="21"/>
              </w:rPr>
              <w:t>T/C</w:t>
            </w:r>
          </w:p>
        </w:tc>
        <w:tc>
          <w:tcPr>
            <w:tcW w:w="1086" w:type="dxa"/>
            <w:vMerge w:val="restart"/>
            <w:vAlign w:val="center"/>
          </w:tcPr>
          <w:p w14:paraId="242F2747">
            <w:pPr>
              <w:topLinePunct/>
              <w:adjustRightInd w:val="0"/>
              <w:snapToGrid w:val="0"/>
              <w:jc w:val="center"/>
              <w:rPr>
                <w:rFonts w:ascii="Times New Roman" w:eastAsia="仿宋"/>
                <w:szCs w:val="21"/>
              </w:rPr>
            </w:pPr>
            <w:r>
              <w:rPr>
                <w:rFonts w:ascii="Times New Roman" w:eastAsia="仿宋"/>
                <w:szCs w:val="21"/>
              </w:rPr>
              <w:t>贮存于危废仓库，委托有资质单位处置</w:t>
            </w:r>
          </w:p>
        </w:tc>
      </w:tr>
      <w:tr w14:paraId="3E4C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16E5E9B">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1</w:t>
            </w:r>
          </w:p>
        </w:tc>
        <w:tc>
          <w:tcPr>
            <w:tcW w:w="1610" w:type="dxa"/>
            <w:vAlign w:val="center"/>
          </w:tcPr>
          <w:p w14:paraId="2225B284">
            <w:pPr>
              <w:topLinePunct/>
              <w:adjustRightInd w:val="0"/>
              <w:snapToGrid w:val="0"/>
              <w:jc w:val="center"/>
              <w:rPr>
                <w:rFonts w:ascii="Times New Roman" w:eastAsia="仿宋"/>
                <w:szCs w:val="21"/>
              </w:rPr>
            </w:pPr>
            <w:r>
              <w:rPr>
                <w:rFonts w:hint="eastAsia" w:ascii="Times New Roman" w:eastAsia="仿宋"/>
                <w:szCs w:val="21"/>
              </w:rPr>
              <w:t>水洗废水</w:t>
            </w:r>
          </w:p>
        </w:tc>
        <w:tc>
          <w:tcPr>
            <w:tcW w:w="864" w:type="dxa"/>
            <w:vMerge w:val="continue"/>
            <w:vAlign w:val="center"/>
          </w:tcPr>
          <w:p w14:paraId="7F025C8E">
            <w:pPr>
              <w:topLinePunct/>
              <w:adjustRightInd w:val="0"/>
              <w:snapToGrid w:val="0"/>
              <w:jc w:val="center"/>
              <w:rPr>
                <w:rFonts w:ascii="Times New Roman" w:eastAsia="仿宋"/>
                <w:szCs w:val="21"/>
              </w:rPr>
            </w:pPr>
          </w:p>
        </w:tc>
        <w:tc>
          <w:tcPr>
            <w:tcW w:w="1102" w:type="dxa"/>
            <w:shd w:val="clear" w:color="auto" w:fill="auto"/>
            <w:vAlign w:val="center"/>
          </w:tcPr>
          <w:p w14:paraId="2D5279A6">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shd w:val="clear" w:color="auto" w:fill="auto"/>
            <w:vAlign w:val="center"/>
          </w:tcPr>
          <w:p w14:paraId="33E495BE">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shd w:val="clear" w:color="auto" w:fill="auto"/>
            <w:vAlign w:val="center"/>
          </w:tcPr>
          <w:p w14:paraId="7E8BF2B2">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6.2</w:t>
            </w:r>
          </w:p>
        </w:tc>
        <w:tc>
          <w:tcPr>
            <w:tcW w:w="1350" w:type="dxa"/>
            <w:shd w:val="clear" w:color="auto" w:fill="auto"/>
            <w:vAlign w:val="center"/>
          </w:tcPr>
          <w:p w14:paraId="15B33347">
            <w:pPr>
              <w:topLinePunct/>
              <w:adjustRightInd w:val="0"/>
              <w:snapToGrid w:val="0"/>
              <w:jc w:val="center"/>
              <w:rPr>
                <w:rFonts w:ascii="Times New Roman" w:eastAsia="仿宋"/>
                <w:szCs w:val="21"/>
              </w:rPr>
            </w:pPr>
            <w:r>
              <w:rPr>
                <w:rFonts w:hint="eastAsia" w:ascii="Times New Roman" w:eastAsia="仿宋"/>
                <w:szCs w:val="21"/>
              </w:rPr>
              <w:t>清洗</w:t>
            </w:r>
          </w:p>
        </w:tc>
        <w:tc>
          <w:tcPr>
            <w:tcW w:w="765" w:type="dxa"/>
            <w:shd w:val="clear" w:color="auto" w:fill="auto"/>
            <w:vAlign w:val="center"/>
          </w:tcPr>
          <w:p w14:paraId="17E43DEC">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shd w:val="clear" w:color="auto" w:fill="auto"/>
            <w:vAlign w:val="center"/>
          </w:tcPr>
          <w:p w14:paraId="74500CD5">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shd w:val="clear" w:color="auto" w:fill="auto"/>
            <w:vAlign w:val="center"/>
          </w:tcPr>
          <w:p w14:paraId="1049D843">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shd w:val="clear" w:color="auto" w:fill="auto"/>
            <w:vAlign w:val="center"/>
          </w:tcPr>
          <w:p w14:paraId="455FF19B">
            <w:pPr>
              <w:topLinePunct/>
              <w:adjustRightInd w:val="0"/>
              <w:snapToGrid w:val="0"/>
              <w:jc w:val="center"/>
              <w:rPr>
                <w:rFonts w:ascii="Times New Roman" w:eastAsia="仿宋"/>
                <w:szCs w:val="21"/>
              </w:rPr>
            </w:pPr>
            <w:r>
              <w:rPr>
                <w:rFonts w:hint="eastAsia" w:ascii="Times New Roman" w:eastAsia="仿宋"/>
                <w:szCs w:val="21"/>
              </w:rPr>
              <w:t>2个月</w:t>
            </w:r>
          </w:p>
        </w:tc>
        <w:tc>
          <w:tcPr>
            <w:tcW w:w="851" w:type="dxa"/>
            <w:shd w:val="clear" w:color="auto" w:fill="auto"/>
            <w:vAlign w:val="center"/>
          </w:tcPr>
          <w:p w14:paraId="1F3B7530">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71F53F8F">
            <w:pPr>
              <w:topLinePunct/>
              <w:adjustRightInd w:val="0"/>
              <w:snapToGrid w:val="0"/>
              <w:jc w:val="center"/>
              <w:rPr>
                <w:rFonts w:ascii="Times New Roman" w:eastAsia="仿宋"/>
                <w:szCs w:val="21"/>
              </w:rPr>
            </w:pPr>
          </w:p>
        </w:tc>
      </w:tr>
      <w:tr w14:paraId="5457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8BB36D3">
            <w:pPr>
              <w:topLinePunct/>
              <w:adjustRightInd w:val="0"/>
              <w:snapToGrid w:val="0"/>
              <w:jc w:val="center"/>
              <w:rPr>
                <w:rFonts w:ascii="Times New Roman" w:eastAsia="仿宋"/>
                <w:szCs w:val="21"/>
              </w:rPr>
            </w:pPr>
            <w:r>
              <w:rPr>
                <w:rFonts w:hint="eastAsia" w:ascii="Times New Roman" w:eastAsia="仿宋"/>
                <w:szCs w:val="21"/>
              </w:rPr>
              <w:t>12</w:t>
            </w:r>
          </w:p>
        </w:tc>
        <w:tc>
          <w:tcPr>
            <w:tcW w:w="1610" w:type="dxa"/>
            <w:vAlign w:val="center"/>
          </w:tcPr>
          <w:p w14:paraId="3A2C816F">
            <w:pPr>
              <w:topLinePunct/>
              <w:adjustRightInd w:val="0"/>
              <w:snapToGrid w:val="0"/>
              <w:jc w:val="center"/>
              <w:rPr>
                <w:rFonts w:ascii="Times New Roman" w:eastAsia="仿宋"/>
                <w:szCs w:val="21"/>
              </w:rPr>
            </w:pPr>
            <w:r>
              <w:rPr>
                <w:rFonts w:hint="eastAsia" w:ascii="Times New Roman" w:eastAsia="仿宋"/>
                <w:szCs w:val="21"/>
              </w:rPr>
              <w:t>水帘废水</w:t>
            </w:r>
          </w:p>
        </w:tc>
        <w:tc>
          <w:tcPr>
            <w:tcW w:w="864" w:type="dxa"/>
            <w:vMerge w:val="continue"/>
            <w:vAlign w:val="center"/>
          </w:tcPr>
          <w:p w14:paraId="18A02792">
            <w:pPr>
              <w:topLinePunct/>
              <w:adjustRightInd w:val="0"/>
              <w:snapToGrid w:val="0"/>
              <w:jc w:val="center"/>
              <w:rPr>
                <w:rFonts w:ascii="Times New Roman" w:eastAsia="仿宋"/>
                <w:szCs w:val="21"/>
              </w:rPr>
            </w:pPr>
          </w:p>
        </w:tc>
        <w:tc>
          <w:tcPr>
            <w:tcW w:w="1102" w:type="dxa"/>
            <w:vAlign w:val="center"/>
          </w:tcPr>
          <w:p w14:paraId="0F4CD8D9">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vAlign w:val="center"/>
          </w:tcPr>
          <w:p w14:paraId="3670D337">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vAlign w:val="center"/>
          </w:tcPr>
          <w:p w14:paraId="05CEA87B">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350" w:type="dxa"/>
            <w:vAlign w:val="center"/>
          </w:tcPr>
          <w:p w14:paraId="3B3844B9">
            <w:pPr>
              <w:topLinePunct/>
              <w:adjustRightInd w:val="0"/>
              <w:snapToGrid w:val="0"/>
              <w:jc w:val="center"/>
              <w:rPr>
                <w:rFonts w:ascii="Times New Roman" w:eastAsia="仿宋"/>
                <w:szCs w:val="21"/>
              </w:rPr>
            </w:pPr>
            <w:r>
              <w:rPr>
                <w:rFonts w:hint="eastAsia" w:ascii="Times New Roman" w:eastAsia="仿宋"/>
                <w:szCs w:val="21"/>
              </w:rPr>
              <w:t>废气处理</w:t>
            </w:r>
          </w:p>
        </w:tc>
        <w:tc>
          <w:tcPr>
            <w:tcW w:w="765" w:type="dxa"/>
            <w:vAlign w:val="center"/>
          </w:tcPr>
          <w:p w14:paraId="2AF09BC2">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7780ED49">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755EBD67">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2DC35B09">
            <w:pPr>
              <w:topLinePunct/>
              <w:adjustRightInd w:val="0"/>
              <w:snapToGrid w:val="0"/>
              <w:jc w:val="center"/>
              <w:rPr>
                <w:rFonts w:ascii="Times New Roman" w:eastAsia="仿宋"/>
                <w:szCs w:val="21"/>
              </w:rPr>
            </w:pPr>
            <w:r>
              <w:rPr>
                <w:rFonts w:ascii="Times New Roman" w:eastAsia="仿宋"/>
                <w:szCs w:val="21"/>
              </w:rPr>
              <w:t>3</w:t>
            </w:r>
            <w:r>
              <w:rPr>
                <w:rFonts w:hint="eastAsia" w:ascii="Times New Roman" w:eastAsia="仿宋"/>
                <w:szCs w:val="21"/>
              </w:rPr>
              <w:t>个月</w:t>
            </w:r>
          </w:p>
        </w:tc>
        <w:tc>
          <w:tcPr>
            <w:tcW w:w="851" w:type="dxa"/>
            <w:vAlign w:val="center"/>
          </w:tcPr>
          <w:p w14:paraId="698483B6">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33C456BA">
            <w:pPr>
              <w:topLinePunct/>
              <w:adjustRightInd w:val="0"/>
              <w:snapToGrid w:val="0"/>
              <w:jc w:val="center"/>
              <w:rPr>
                <w:rFonts w:ascii="Times New Roman" w:eastAsia="仿宋"/>
                <w:szCs w:val="21"/>
              </w:rPr>
            </w:pPr>
          </w:p>
        </w:tc>
      </w:tr>
      <w:tr w14:paraId="7534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15EBECD">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3</w:t>
            </w:r>
          </w:p>
        </w:tc>
        <w:tc>
          <w:tcPr>
            <w:tcW w:w="1610" w:type="dxa"/>
            <w:vAlign w:val="center"/>
          </w:tcPr>
          <w:p w14:paraId="4702D5F6">
            <w:pPr>
              <w:topLinePunct/>
              <w:adjustRightInd w:val="0"/>
              <w:snapToGrid w:val="0"/>
              <w:jc w:val="center"/>
              <w:rPr>
                <w:rFonts w:ascii="Times New Roman" w:eastAsia="仿宋"/>
                <w:szCs w:val="21"/>
              </w:rPr>
            </w:pPr>
            <w:r>
              <w:rPr>
                <w:rFonts w:ascii="Times New Roman" w:eastAsia="仿宋"/>
                <w:szCs w:val="21"/>
              </w:rPr>
              <w:t>漆渣</w:t>
            </w:r>
          </w:p>
        </w:tc>
        <w:tc>
          <w:tcPr>
            <w:tcW w:w="864" w:type="dxa"/>
            <w:vMerge w:val="continue"/>
            <w:vAlign w:val="center"/>
          </w:tcPr>
          <w:p w14:paraId="13F35E9C">
            <w:pPr>
              <w:topLinePunct/>
              <w:adjustRightInd w:val="0"/>
              <w:snapToGrid w:val="0"/>
              <w:jc w:val="center"/>
              <w:rPr>
                <w:rFonts w:ascii="Times New Roman" w:eastAsia="仿宋"/>
                <w:szCs w:val="21"/>
              </w:rPr>
            </w:pPr>
          </w:p>
        </w:tc>
        <w:tc>
          <w:tcPr>
            <w:tcW w:w="1102" w:type="dxa"/>
            <w:vAlign w:val="center"/>
          </w:tcPr>
          <w:p w14:paraId="41B1B90A">
            <w:pPr>
              <w:topLinePunct/>
              <w:adjustRightInd w:val="0"/>
              <w:snapToGrid w:val="0"/>
              <w:jc w:val="center"/>
              <w:rPr>
                <w:rFonts w:ascii="Times New Roman" w:eastAsia="仿宋"/>
                <w:szCs w:val="21"/>
              </w:rPr>
            </w:pPr>
            <w:r>
              <w:rPr>
                <w:rFonts w:ascii="Times New Roman" w:eastAsia="仿宋"/>
                <w:szCs w:val="21"/>
              </w:rPr>
              <w:t>HW12</w:t>
            </w:r>
          </w:p>
        </w:tc>
        <w:tc>
          <w:tcPr>
            <w:tcW w:w="1634" w:type="dxa"/>
            <w:vAlign w:val="center"/>
          </w:tcPr>
          <w:p w14:paraId="1D40BC89">
            <w:pPr>
              <w:topLinePunct/>
              <w:adjustRightInd w:val="0"/>
              <w:snapToGrid w:val="0"/>
              <w:jc w:val="center"/>
              <w:rPr>
                <w:rFonts w:ascii="Times New Roman" w:eastAsia="仿宋"/>
                <w:szCs w:val="21"/>
              </w:rPr>
            </w:pPr>
            <w:r>
              <w:rPr>
                <w:rFonts w:ascii="Times New Roman" w:eastAsia="仿宋"/>
                <w:szCs w:val="21"/>
              </w:rPr>
              <w:t>900-252-12</w:t>
            </w:r>
          </w:p>
        </w:tc>
        <w:tc>
          <w:tcPr>
            <w:tcW w:w="849" w:type="dxa"/>
            <w:vAlign w:val="center"/>
          </w:tcPr>
          <w:p w14:paraId="49C5CF7B">
            <w:pPr>
              <w:topLinePunct/>
              <w:adjustRightInd w:val="0"/>
              <w:snapToGrid w:val="0"/>
              <w:jc w:val="center"/>
              <w:rPr>
                <w:rFonts w:ascii="Times New Roman" w:eastAsia="仿宋"/>
                <w:szCs w:val="21"/>
              </w:rPr>
            </w:pPr>
            <w:r>
              <w:rPr>
                <w:rFonts w:hint="eastAsia" w:ascii="Times New Roman" w:eastAsia="仿宋"/>
                <w:szCs w:val="21"/>
              </w:rPr>
              <w:t>20.52</w:t>
            </w:r>
          </w:p>
        </w:tc>
        <w:tc>
          <w:tcPr>
            <w:tcW w:w="1350" w:type="dxa"/>
            <w:vAlign w:val="center"/>
          </w:tcPr>
          <w:p w14:paraId="4C6EAA30">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vAlign w:val="center"/>
          </w:tcPr>
          <w:p w14:paraId="1CF1B804">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0EBDF4BC">
            <w:pPr>
              <w:topLinePunct/>
              <w:adjustRightInd w:val="0"/>
              <w:snapToGrid w:val="0"/>
              <w:jc w:val="center"/>
              <w:rPr>
                <w:rFonts w:ascii="Times New Roman" w:eastAsia="仿宋"/>
                <w:szCs w:val="21"/>
              </w:rPr>
            </w:pPr>
            <w:r>
              <w:rPr>
                <w:rFonts w:ascii="Times New Roman" w:eastAsia="仿宋"/>
                <w:szCs w:val="21"/>
              </w:rPr>
              <w:t>水、有机物</w:t>
            </w:r>
          </w:p>
        </w:tc>
        <w:tc>
          <w:tcPr>
            <w:tcW w:w="987" w:type="dxa"/>
            <w:vAlign w:val="center"/>
          </w:tcPr>
          <w:p w14:paraId="7C6A1334">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7C26F83A">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95D6AE5">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22FC402D">
            <w:pPr>
              <w:topLinePunct/>
              <w:adjustRightInd w:val="0"/>
              <w:snapToGrid w:val="0"/>
              <w:jc w:val="center"/>
              <w:rPr>
                <w:rFonts w:ascii="Times New Roman" w:eastAsia="仿宋"/>
                <w:szCs w:val="21"/>
              </w:rPr>
            </w:pPr>
          </w:p>
        </w:tc>
      </w:tr>
      <w:tr w14:paraId="6519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A6B648B">
            <w:pPr>
              <w:topLinePunct/>
              <w:adjustRightInd w:val="0"/>
              <w:snapToGrid w:val="0"/>
              <w:jc w:val="center"/>
              <w:rPr>
                <w:rFonts w:ascii="Times New Roman" w:eastAsia="仿宋"/>
                <w:szCs w:val="21"/>
              </w:rPr>
            </w:pPr>
            <w:r>
              <w:rPr>
                <w:rFonts w:hint="eastAsia" w:ascii="Times New Roman" w:eastAsia="仿宋"/>
                <w:szCs w:val="21"/>
              </w:rPr>
              <w:t>14</w:t>
            </w:r>
          </w:p>
        </w:tc>
        <w:tc>
          <w:tcPr>
            <w:tcW w:w="1610" w:type="dxa"/>
            <w:shd w:val="clear" w:color="auto" w:fill="auto"/>
            <w:vAlign w:val="center"/>
          </w:tcPr>
          <w:p w14:paraId="2EC1B325">
            <w:pPr>
              <w:topLinePunct/>
              <w:adjustRightInd w:val="0"/>
              <w:snapToGrid w:val="0"/>
              <w:jc w:val="center"/>
              <w:rPr>
                <w:rFonts w:ascii="Times New Roman" w:eastAsia="仿宋"/>
                <w:szCs w:val="21"/>
              </w:rPr>
            </w:pPr>
            <w:r>
              <w:rPr>
                <w:rFonts w:hint="eastAsia" w:ascii="Times New Roman" w:eastAsia="仿宋"/>
                <w:szCs w:val="21"/>
              </w:rPr>
              <w:t>挂具</w:t>
            </w:r>
            <w:r>
              <w:rPr>
                <w:rFonts w:ascii="Times New Roman" w:eastAsia="仿宋"/>
                <w:szCs w:val="21"/>
              </w:rPr>
              <w:t>漆渣</w:t>
            </w:r>
          </w:p>
        </w:tc>
        <w:tc>
          <w:tcPr>
            <w:tcW w:w="864" w:type="dxa"/>
            <w:vMerge w:val="continue"/>
            <w:shd w:val="clear" w:color="auto" w:fill="auto"/>
            <w:vAlign w:val="center"/>
          </w:tcPr>
          <w:p w14:paraId="1CABEAA5">
            <w:pPr>
              <w:topLinePunct/>
              <w:adjustRightInd w:val="0"/>
              <w:snapToGrid w:val="0"/>
              <w:jc w:val="center"/>
              <w:rPr>
                <w:rFonts w:ascii="Times New Roman" w:eastAsia="仿宋"/>
                <w:szCs w:val="21"/>
              </w:rPr>
            </w:pPr>
          </w:p>
        </w:tc>
        <w:tc>
          <w:tcPr>
            <w:tcW w:w="1102" w:type="dxa"/>
            <w:shd w:val="clear" w:color="auto" w:fill="auto"/>
            <w:vAlign w:val="center"/>
          </w:tcPr>
          <w:p w14:paraId="5B8BAC33">
            <w:pPr>
              <w:topLinePunct/>
              <w:adjustRightInd w:val="0"/>
              <w:snapToGrid w:val="0"/>
              <w:jc w:val="center"/>
              <w:rPr>
                <w:rFonts w:ascii="Times New Roman" w:eastAsia="仿宋"/>
                <w:szCs w:val="21"/>
              </w:rPr>
            </w:pPr>
            <w:r>
              <w:rPr>
                <w:rFonts w:ascii="Times New Roman" w:eastAsia="仿宋"/>
                <w:szCs w:val="21"/>
              </w:rPr>
              <w:t>HW12</w:t>
            </w:r>
          </w:p>
        </w:tc>
        <w:tc>
          <w:tcPr>
            <w:tcW w:w="1634" w:type="dxa"/>
            <w:shd w:val="clear" w:color="auto" w:fill="auto"/>
            <w:vAlign w:val="center"/>
          </w:tcPr>
          <w:p w14:paraId="0E782272">
            <w:pPr>
              <w:topLinePunct/>
              <w:adjustRightInd w:val="0"/>
              <w:snapToGrid w:val="0"/>
              <w:jc w:val="center"/>
              <w:rPr>
                <w:rFonts w:ascii="Times New Roman" w:eastAsia="仿宋"/>
                <w:szCs w:val="21"/>
              </w:rPr>
            </w:pPr>
            <w:r>
              <w:rPr>
                <w:rFonts w:ascii="Times New Roman" w:eastAsia="仿宋"/>
                <w:szCs w:val="21"/>
              </w:rPr>
              <w:t>900-252-12</w:t>
            </w:r>
          </w:p>
        </w:tc>
        <w:tc>
          <w:tcPr>
            <w:tcW w:w="849" w:type="dxa"/>
            <w:shd w:val="clear" w:color="auto" w:fill="auto"/>
            <w:vAlign w:val="center"/>
          </w:tcPr>
          <w:p w14:paraId="787E37EA">
            <w:pPr>
              <w:topLinePunct/>
              <w:adjustRightInd w:val="0"/>
              <w:snapToGrid w:val="0"/>
              <w:jc w:val="center"/>
              <w:rPr>
                <w:rFonts w:ascii="Times New Roman" w:eastAsia="仿宋"/>
                <w:szCs w:val="21"/>
              </w:rPr>
            </w:pPr>
            <w:r>
              <w:rPr>
                <w:rFonts w:hint="eastAsia" w:ascii="Times New Roman" w:eastAsia="仿宋"/>
                <w:szCs w:val="21"/>
              </w:rPr>
              <w:t>1.015</w:t>
            </w:r>
          </w:p>
        </w:tc>
        <w:tc>
          <w:tcPr>
            <w:tcW w:w="1350" w:type="dxa"/>
            <w:shd w:val="clear" w:color="auto" w:fill="auto"/>
            <w:vAlign w:val="center"/>
          </w:tcPr>
          <w:p w14:paraId="7320F591">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shd w:val="clear" w:color="auto" w:fill="auto"/>
            <w:vAlign w:val="center"/>
          </w:tcPr>
          <w:p w14:paraId="7766AACD">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1B2B3599">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87" w:type="dxa"/>
            <w:shd w:val="clear" w:color="auto" w:fill="auto"/>
            <w:vAlign w:val="center"/>
          </w:tcPr>
          <w:p w14:paraId="7A30240A">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92" w:type="dxa"/>
            <w:shd w:val="clear" w:color="auto" w:fill="auto"/>
            <w:vAlign w:val="center"/>
          </w:tcPr>
          <w:p w14:paraId="3BBF7C4C">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0719027A">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6BE223EA">
            <w:pPr>
              <w:topLinePunct/>
              <w:adjustRightInd w:val="0"/>
              <w:snapToGrid w:val="0"/>
              <w:jc w:val="center"/>
              <w:rPr>
                <w:rFonts w:ascii="Times New Roman" w:eastAsia="仿宋"/>
                <w:szCs w:val="21"/>
              </w:rPr>
            </w:pPr>
          </w:p>
        </w:tc>
      </w:tr>
      <w:tr w14:paraId="028F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1855641">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5</w:t>
            </w:r>
          </w:p>
        </w:tc>
        <w:tc>
          <w:tcPr>
            <w:tcW w:w="1610" w:type="dxa"/>
            <w:vAlign w:val="center"/>
          </w:tcPr>
          <w:p w14:paraId="639DF899">
            <w:pPr>
              <w:topLinePunct/>
              <w:adjustRightInd w:val="0"/>
              <w:snapToGrid w:val="0"/>
              <w:jc w:val="center"/>
              <w:rPr>
                <w:rFonts w:ascii="Times New Roman" w:eastAsia="仿宋"/>
                <w:szCs w:val="21"/>
              </w:rPr>
            </w:pPr>
            <w:r>
              <w:rPr>
                <w:rFonts w:hint="eastAsia" w:ascii="Times New Roman" w:eastAsia="仿宋"/>
                <w:szCs w:val="21"/>
              </w:rPr>
              <w:t>废清洗液</w:t>
            </w:r>
          </w:p>
        </w:tc>
        <w:tc>
          <w:tcPr>
            <w:tcW w:w="864" w:type="dxa"/>
            <w:vMerge w:val="continue"/>
            <w:vAlign w:val="center"/>
          </w:tcPr>
          <w:p w14:paraId="56E20AD1">
            <w:pPr>
              <w:topLinePunct/>
              <w:adjustRightInd w:val="0"/>
              <w:snapToGrid w:val="0"/>
              <w:jc w:val="center"/>
              <w:rPr>
                <w:rFonts w:ascii="Times New Roman" w:eastAsia="仿宋"/>
                <w:szCs w:val="21"/>
              </w:rPr>
            </w:pPr>
          </w:p>
        </w:tc>
        <w:tc>
          <w:tcPr>
            <w:tcW w:w="1102" w:type="dxa"/>
            <w:vAlign w:val="center"/>
          </w:tcPr>
          <w:p w14:paraId="77494BD9">
            <w:pPr>
              <w:topLinePunct/>
              <w:adjustRightInd w:val="0"/>
              <w:snapToGrid w:val="0"/>
              <w:jc w:val="center"/>
              <w:rPr>
                <w:rFonts w:ascii="Times New Roman" w:eastAsia="仿宋"/>
                <w:szCs w:val="21"/>
              </w:rPr>
            </w:pPr>
            <w:r>
              <w:rPr>
                <w:rFonts w:hint="eastAsia" w:ascii="Times New Roman" w:eastAsia="仿宋"/>
                <w:szCs w:val="21"/>
              </w:rPr>
              <w:t>HW12</w:t>
            </w:r>
          </w:p>
        </w:tc>
        <w:tc>
          <w:tcPr>
            <w:tcW w:w="1634" w:type="dxa"/>
            <w:vAlign w:val="center"/>
          </w:tcPr>
          <w:p w14:paraId="4C149D8B">
            <w:pPr>
              <w:topLinePunct/>
              <w:adjustRightInd w:val="0"/>
              <w:snapToGrid w:val="0"/>
              <w:jc w:val="center"/>
              <w:rPr>
                <w:rFonts w:ascii="Times New Roman" w:eastAsia="仿宋"/>
                <w:szCs w:val="21"/>
              </w:rPr>
            </w:pPr>
            <w:r>
              <w:rPr>
                <w:rFonts w:hint="eastAsia" w:ascii="Times New Roman" w:eastAsia="仿宋"/>
                <w:szCs w:val="21"/>
              </w:rPr>
              <w:t>900-256-12</w:t>
            </w:r>
          </w:p>
        </w:tc>
        <w:tc>
          <w:tcPr>
            <w:tcW w:w="849" w:type="dxa"/>
            <w:vAlign w:val="center"/>
          </w:tcPr>
          <w:p w14:paraId="1E2982AD">
            <w:pPr>
              <w:topLinePunct/>
              <w:adjustRightInd w:val="0"/>
              <w:snapToGrid w:val="0"/>
              <w:jc w:val="center"/>
              <w:rPr>
                <w:rFonts w:ascii="Times New Roman" w:eastAsia="仿宋"/>
                <w:szCs w:val="21"/>
              </w:rPr>
            </w:pPr>
            <w:r>
              <w:rPr>
                <w:rFonts w:hint="eastAsia" w:ascii="Times New Roman" w:eastAsia="仿宋"/>
                <w:szCs w:val="21"/>
              </w:rPr>
              <w:t>4.5</w:t>
            </w:r>
          </w:p>
        </w:tc>
        <w:tc>
          <w:tcPr>
            <w:tcW w:w="1350" w:type="dxa"/>
            <w:vAlign w:val="center"/>
          </w:tcPr>
          <w:p w14:paraId="5462B686">
            <w:pPr>
              <w:topLinePunct/>
              <w:adjustRightInd w:val="0"/>
              <w:snapToGrid w:val="0"/>
              <w:jc w:val="center"/>
              <w:rPr>
                <w:rFonts w:ascii="Times New Roman" w:eastAsia="仿宋"/>
                <w:szCs w:val="21"/>
              </w:rPr>
            </w:pPr>
            <w:r>
              <w:rPr>
                <w:rFonts w:hint="eastAsia" w:ascii="Times New Roman" w:eastAsia="仿宋"/>
                <w:szCs w:val="21"/>
              </w:rPr>
              <w:t>喷枪清洗</w:t>
            </w:r>
          </w:p>
        </w:tc>
        <w:tc>
          <w:tcPr>
            <w:tcW w:w="765" w:type="dxa"/>
            <w:vAlign w:val="center"/>
          </w:tcPr>
          <w:p w14:paraId="69B22C06">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7C668059">
            <w:pPr>
              <w:topLinePunct/>
              <w:adjustRightInd w:val="0"/>
              <w:snapToGrid w:val="0"/>
              <w:jc w:val="center"/>
              <w:rPr>
                <w:rFonts w:ascii="Times New Roman" w:eastAsia="仿宋"/>
                <w:szCs w:val="21"/>
              </w:rPr>
            </w:pPr>
            <w:r>
              <w:rPr>
                <w:rFonts w:hint="eastAsia" w:ascii="Times New Roman" w:eastAsia="仿宋"/>
                <w:szCs w:val="21"/>
              </w:rPr>
              <w:t>稀释剂、杂质</w:t>
            </w:r>
          </w:p>
        </w:tc>
        <w:tc>
          <w:tcPr>
            <w:tcW w:w="987" w:type="dxa"/>
            <w:vAlign w:val="center"/>
          </w:tcPr>
          <w:p w14:paraId="68FB9BA7">
            <w:pPr>
              <w:topLinePunct/>
              <w:adjustRightInd w:val="0"/>
              <w:snapToGrid w:val="0"/>
              <w:jc w:val="center"/>
              <w:rPr>
                <w:rFonts w:ascii="Times New Roman" w:eastAsia="仿宋"/>
                <w:szCs w:val="21"/>
              </w:rPr>
            </w:pPr>
            <w:r>
              <w:rPr>
                <w:rFonts w:hint="eastAsia" w:ascii="Times New Roman" w:eastAsia="仿宋"/>
                <w:szCs w:val="21"/>
              </w:rPr>
              <w:t>稀释剂</w:t>
            </w:r>
          </w:p>
        </w:tc>
        <w:tc>
          <w:tcPr>
            <w:tcW w:w="992" w:type="dxa"/>
            <w:vAlign w:val="center"/>
          </w:tcPr>
          <w:p w14:paraId="4D8E9449">
            <w:pPr>
              <w:topLinePunct/>
              <w:adjustRightInd w:val="0"/>
              <w:snapToGrid w:val="0"/>
              <w:jc w:val="center"/>
              <w:rPr>
                <w:rFonts w:ascii="Times New Roman" w:eastAsia="仿宋"/>
                <w:szCs w:val="21"/>
              </w:rPr>
            </w:pPr>
            <w:r>
              <w:rPr>
                <w:rFonts w:hint="eastAsia" w:ascii="Times New Roman" w:eastAsia="仿宋"/>
                <w:szCs w:val="21"/>
              </w:rPr>
              <w:t>1个月</w:t>
            </w:r>
          </w:p>
        </w:tc>
        <w:tc>
          <w:tcPr>
            <w:tcW w:w="851" w:type="dxa"/>
            <w:vAlign w:val="center"/>
          </w:tcPr>
          <w:p w14:paraId="7AD2E331">
            <w:pPr>
              <w:topLinePunct/>
              <w:adjustRightInd w:val="0"/>
              <w:snapToGrid w:val="0"/>
              <w:jc w:val="center"/>
              <w:rPr>
                <w:rFonts w:ascii="Times New Roman" w:eastAsia="仿宋"/>
                <w:szCs w:val="21"/>
              </w:rPr>
            </w:pPr>
            <w:r>
              <w:rPr>
                <w:rFonts w:hint="eastAsia" w:ascii="Times New Roman" w:eastAsia="仿宋"/>
                <w:szCs w:val="21"/>
              </w:rPr>
              <w:t>T,I,C</w:t>
            </w:r>
          </w:p>
        </w:tc>
        <w:tc>
          <w:tcPr>
            <w:tcW w:w="1086" w:type="dxa"/>
            <w:vMerge w:val="continue"/>
            <w:vAlign w:val="center"/>
          </w:tcPr>
          <w:p w14:paraId="5594C3E5">
            <w:pPr>
              <w:topLinePunct/>
              <w:adjustRightInd w:val="0"/>
              <w:snapToGrid w:val="0"/>
              <w:jc w:val="center"/>
              <w:rPr>
                <w:rFonts w:ascii="Times New Roman" w:eastAsia="仿宋"/>
                <w:szCs w:val="21"/>
              </w:rPr>
            </w:pPr>
          </w:p>
        </w:tc>
      </w:tr>
      <w:tr w14:paraId="626C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B7EDF2A">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6</w:t>
            </w:r>
          </w:p>
        </w:tc>
        <w:tc>
          <w:tcPr>
            <w:tcW w:w="1610" w:type="dxa"/>
            <w:vAlign w:val="center"/>
          </w:tcPr>
          <w:p w14:paraId="793ACAF9">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包装</w:t>
            </w:r>
            <w:r>
              <w:rPr>
                <w:rFonts w:ascii="Times New Roman" w:eastAsia="仿宋"/>
                <w:szCs w:val="21"/>
              </w:rPr>
              <w:t>桶</w:t>
            </w:r>
          </w:p>
        </w:tc>
        <w:tc>
          <w:tcPr>
            <w:tcW w:w="864" w:type="dxa"/>
            <w:vMerge w:val="continue"/>
            <w:vAlign w:val="center"/>
          </w:tcPr>
          <w:p w14:paraId="3125F0A4">
            <w:pPr>
              <w:topLinePunct/>
              <w:adjustRightInd w:val="0"/>
              <w:snapToGrid w:val="0"/>
              <w:jc w:val="center"/>
              <w:rPr>
                <w:rFonts w:ascii="Times New Roman" w:eastAsia="仿宋"/>
                <w:szCs w:val="21"/>
              </w:rPr>
            </w:pPr>
          </w:p>
        </w:tc>
        <w:tc>
          <w:tcPr>
            <w:tcW w:w="1102" w:type="dxa"/>
            <w:vAlign w:val="center"/>
          </w:tcPr>
          <w:p w14:paraId="1D8FE9B2">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FD5B396">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2836959D">
            <w:pPr>
              <w:topLinePunct/>
              <w:adjustRightInd w:val="0"/>
              <w:snapToGrid w:val="0"/>
              <w:jc w:val="center"/>
              <w:rPr>
                <w:rFonts w:ascii="Times New Roman" w:eastAsia="仿宋"/>
                <w:szCs w:val="21"/>
              </w:rPr>
            </w:pPr>
            <w:r>
              <w:rPr>
                <w:rFonts w:hint="eastAsia" w:ascii="Times New Roman" w:eastAsia="仿宋"/>
                <w:szCs w:val="21"/>
              </w:rPr>
              <w:t>12.46</w:t>
            </w:r>
          </w:p>
        </w:tc>
        <w:tc>
          <w:tcPr>
            <w:tcW w:w="1350" w:type="dxa"/>
            <w:vAlign w:val="center"/>
          </w:tcPr>
          <w:p w14:paraId="37582DAB">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17F83BBD">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50C3BD4">
            <w:pPr>
              <w:topLinePunct/>
              <w:adjustRightInd w:val="0"/>
              <w:snapToGrid w:val="0"/>
              <w:jc w:val="center"/>
              <w:rPr>
                <w:rFonts w:ascii="Times New Roman" w:eastAsia="仿宋"/>
                <w:szCs w:val="21"/>
              </w:rPr>
            </w:pPr>
            <w:r>
              <w:rPr>
                <w:rFonts w:ascii="Times New Roman" w:eastAsia="仿宋"/>
                <w:szCs w:val="21"/>
              </w:rPr>
              <w:t>铁、有机物</w:t>
            </w:r>
          </w:p>
        </w:tc>
        <w:tc>
          <w:tcPr>
            <w:tcW w:w="987" w:type="dxa"/>
            <w:vAlign w:val="center"/>
          </w:tcPr>
          <w:p w14:paraId="559119C0">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0BC2DD8E">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7101B8A8">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2D6E0F74">
            <w:pPr>
              <w:topLinePunct/>
              <w:adjustRightInd w:val="0"/>
              <w:snapToGrid w:val="0"/>
              <w:jc w:val="center"/>
              <w:rPr>
                <w:rFonts w:ascii="Times New Roman" w:eastAsia="仿宋"/>
                <w:szCs w:val="21"/>
              </w:rPr>
            </w:pPr>
          </w:p>
        </w:tc>
      </w:tr>
      <w:tr w14:paraId="44E1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1F3723F">
            <w:pPr>
              <w:topLinePunct/>
              <w:adjustRightInd w:val="0"/>
              <w:snapToGrid w:val="0"/>
              <w:jc w:val="center"/>
              <w:rPr>
                <w:rFonts w:ascii="Times New Roman" w:eastAsia="仿宋"/>
                <w:szCs w:val="21"/>
              </w:rPr>
            </w:pPr>
            <w:r>
              <w:rPr>
                <w:rFonts w:hint="eastAsia" w:ascii="Times New Roman" w:eastAsia="仿宋"/>
                <w:szCs w:val="21"/>
              </w:rPr>
              <w:t>17</w:t>
            </w:r>
          </w:p>
        </w:tc>
        <w:tc>
          <w:tcPr>
            <w:tcW w:w="1610" w:type="dxa"/>
            <w:vAlign w:val="center"/>
          </w:tcPr>
          <w:p w14:paraId="048B49CE">
            <w:pPr>
              <w:topLinePunct/>
              <w:adjustRightInd w:val="0"/>
              <w:snapToGrid w:val="0"/>
              <w:jc w:val="center"/>
              <w:rPr>
                <w:rFonts w:ascii="Times New Roman" w:eastAsia="仿宋"/>
                <w:szCs w:val="21"/>
              </w:rPr>
            </w:pPr>
            <w:r>
              <w:rPr>
                <w:rFonts w:hint="eastAsia" w:ascii="Times New Roman" w:eastAsia="仿宋"/>
                <w:szCs w:val="21"/>
              </w:rPr>
              <w:t>废</w:t>
            </w:r>
            <w:r>
              <w:rPr>
                <w:rFonts w:ascii="Times New Roman" w:eastAsia="仿宋"/>
                <w:szCs w:val="21"/>
              </w:rPr>
              <w:t>手套</w:t>
            </w:r>
          </w:p>
        </w:tc>
        <w:tc>
          <w:tcPr>
            <w:tcW w:w="864" w:type="dxa"/>
            <w:vMerge w:val="continue"/>
            <w:vAlign w:val="center"/>
          </w:tcPr>
          <w:p w14:paraId="5BC1BDD8">
            <w:pPr>
              <w:topLinePunct/>
              <w:adjustRightInd w:val="0"/>
              <w:snapToGrid w:val="0"/>
              <w:jc w:val="center"/>
              <w:rPr>
                <w:rFonts w:ascii="Times New Roman" w:eastAsia="仿宋"/>
                <w:szCs w:val="21"/>
              </w:rPr>
            </w:pPr>
          </w:p>
        </w:tc>
        <w:tc>
          <w:tcPr>
            <w:tcW w:w="1102" w:type="dxa"/>
            <w:vAlign w:val="center"/>
          </w:tcPr>
          <w:p w14:paraId="1DA3D33C">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344B47B">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2482EB44">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5</w:t>
            </w:r>
          </w:p>
        </w:tc>
        <w:tc>
          <w:tcPr>
            <w:tcW w:w="1350" w:type="dxa"/>
            <w:vAlign w:val="center"/>
          </w:tcPr>
          <w:p w14:paraId="4F514878">
            <w:pPr>
              <w:topLinePunct/>
              <w:adjustRightInd w:val="0"/>
              <w:snapToGrid w:val="0"/>
              <w:jc w:val="center"/>
              <w:rPr>
                <w:rFonts w:ascii="Times New Roman" w:eastAsia="仿宋"/>
                <w:szCs w:val="21"/>
              </w:rPr>
            </w:pPr>
            <w:r>
              <w:rPr>
                <w:rFonts w:hint="eastAsia" w:ascii="Times New Roman" w:eastAsia="仿宋"/>
                <w:szCs w:val="21"/>
              </w:rPr>
              <w:t>机加工</w:t>
            </w:r>
          </w:p>
        </w:tc>
        <w:tc>
          <w:tcPr>
            <w:tcW w:w="765" w:type="dxa"/>
            <w:vAlign w:val="center"/>
          </w:tcPr>
          <w:p w14:paraId="33E519D1">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40E0295F">
            <w:pPr>
              <w:topLinePunct/>
              <w:adjustRightInd w:val="0"/>
              <w:snapToGrid w:val="0"/>
              <w:jc w:val="center"/>
              <w:rPr>
                <w:rFonts w:ascii="Times New Roman" w:eastAsia="仿宋"/>
                <w:szCs w:val="21"/>
              </w:rPr>
            </w:pPr>
            <w:r>
              <w:rPr>
                <w:rFonts w:ascii="Times New Roman" w:eastAsia="仿宋"/>
                <w:szCs w:val="21"/>
              </w:rPr>
              <w:t>棉、</w:t>
            </w:r>
            <w:r>
              <w:rPr>
                <w:rFonts w:hint="eastAsia" w:ascii="Times New Roman" w:eastAsia="仿宋"/>
                <w:szCs w:val="21"/>
              </w:rPr>
              <w:t>矿物油</w:t>
            </w:r>
          </w:p>
        </w:tc>
        <w:tc>
          <w:tcPr>
            <w:tcW w:w="987" w:type="dxa"/>
            <w:vAlign w:val="center"/>
          </w:tcPr>
          <w:p w14:paraId="2708FBFD">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47AC18EB">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FE54D0C">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626B69CF">
            <w:pPr>
              <w:topLinePunct/>
              <w:adjustRightInd w:val="0"/>
              <w:snapToGrid w:val="0"/>
              <w:jc w:val="center"/>
              <w:rPr>
                <w:rFonts w:ascii="Times New Roman" w:eastAsia="仿宋"/>
                <w:szCs w:val="21"/>
              </w:rPr>
            </w:pPr>
          </w:p>
        </w:tc>
      </w:tr>
      <w:tr w14:paraId="3E78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00F6033">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8</w:t>
            </w:r>
          </w:p>
        </w:tc>
        <w:tc>
          <w:tcPr>
            <w:tcW w:w="1610" w:type="dxa"/>
            <w:vAlign w:val="center"/>
          </w:tcPr>
          <w:p w14:paraId="0BEF9E6A">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机油</w:t>
            </w:r>
          </w:p>
        </w:tc>
        <w:tc>
          <w:tcPr>
            <w:tcW w:w="864" w:type="dxa"/>
            <w:vMerge w:val="continue"/>
            <w:vAlign w:val="center"/>
          </w:tcPr>
          <w:p w14:paraId="69DA311F">
            <w:pPr>
              <w:topLinePunct/>
              <w:adjustRightInd w:val="0"/>
              <w:snapToGrid w:val="0"/>
              <w:jc w:val="center"/>
              <w:rPr>
                <w:rFonts w:ascii="Times New Roman" w:eastAsia="仿宋"/>
                <w:szCs w:val="21"/>
              </w:rPr>
            </w:pPr>
          </w:p>
        </w:tc>
        <w:tc>
          <w:tcPr>
            <w:tcW w:w="1102" w:type="dxa"/>
            <w:vAlign w:val="center"/>
          </w:tcPr>
          <w:p w14:paraId="1E255E97">
            <w:pPr>
              <w:topLinePunct/>
              <w:adjustRightInd w:val="0"/>
              <w:snapToGrid w:val="0"/>
              <w:jc w:val="center"/>
              <w:rPr>
                <w:rFonts w:ascii="Times New Roman" w:eastAsia="仿宋"/>
                <w:szCs w:val="21"/>
              </w:rPr>
            </w:pPr>
            <w:r>
              <w:rPr>
                <w:rFonts w:ascii="Times New Roman" w:eastAsia="仿宋"/>
                <w:szCs w:val="21"/>
              </w:rPr>
              <w:t>HW08</w:t>
            </w:r>
          </w:p>
        </w:tc>
        <w:tc>
          <w:tcPr>
            <w:tcW w:w="1634" w:type="dxa"/>
            <w:vAlign w:val="center"/>
          </w:tcPr>
          <w:p w14:paraId="114FFE40">
            <w:pPr>
              <w:topLinePunct/>
              <w:adjustRightInd w:val="0"/>
              <w:snapToGrid w:val="0"/>
              <w:jc w:val="center"/>
              <w:rPr>
                <w:rFonts w:ascii="Times New Roman" w:eastAsia="仿宋"/>
                <w:szCs w:val="21"/>
              </w:rPr>
            </w:pPr>
            <w:r>
              <w:rPr>
                <w:rFonts w:ascii="Times New Roman" w:eastAsia="仿宋"/>
                <w:szCs w:val="21"/>
              </w:rPr>
              <w:t>900-249-08</w:t>
            </w:r>
          </w:p>
        </w:tc>
        <w:tc>
          <w:tcPr>
            <w:tcW w:w="849" w:type="dxa"/>
            <w:vAlign w:val="center"/>
          </w:tcPr>
          <w:p w14:paraId="7794DFBA">
            <w:pPr>
              <w:topLinePunct/>
              <w:adjustRightInd w:val="0"/>
              <w:snapToGrid w:val="0"/>
              <w:jc w:val="center"/>
              <w:rPr>
                <w:rFonts w:ascii="Times New Roman" w:eastAsia="仿宋"/>
                <w:szCs w:val="21"/>
              </w:rPr>
            </w:pPr>
            <w:r>
              <w:rPr>
                <w:rFonts w:hint="eastAsia" w:ascii="Times New Roman" w:eastAsia="仿宋"/>
                <w:szCs w:val="21"/>
              </w:rPr>
              <w:t>2</w:t>
            </w:r>
          </w:p>
        </w:tc>
        <w:tc>
          <w:tcPr>
            <w:tcW w:w="1350" w:type="dxa"/>
            <w:vAlign w:val="center"/>
          </w:tcPr>
          <w:p w14:paraId="035BB266">
            <w:pPr>
              <w:topLinePunct/>
              <w:adjustRightInd w:val="0"/>
              <w:snapToGrid w:val="0"/>
              <w:jc w:val="center"/>
              <w:rPr>
                <w:rFonts w:ascii="Times New Roman" w:eastAsia="仿宋"/>
                <w:szCs w:val="21"/>
              </w:rPr>
            </w:pPr>
            <w:r>
              <w:rPr>
                <w:rFonts w:hint="eastAsia" w:ascii="Times New Roman" w:eastAsia="仿宋"/>
                <w:szCs w:val="21"/>
              </w:rPr>
              <w:t>设备维修</w:t>
            </w:r>
          </w:p>
        </w:tc>
        <w:tc>
          <w:tcPr>
            <w:tcW w:w="765" w:type="dxa"/>
            <w:vAlign w:val="center"/>
          </w:tcPr>
          <w:p w14:paraId="1CBDEF17">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48A284C0">
            <w:pPr>
              <w:topLinePunct/>
              <w:adjustRightInd w:val="0"/>
              <w:snapToGrid w:val="0"/>
              <w:jc w:val="center"/>
              <w:rPr>
                <w:rFonts w:ascii="Times New Roman" w:eastAsia="仿宋"/>
                <w:szCs w:val="21"/>
              </w:rPr>
            </w:pPr>
            <w:r>
              <w:rPr>
                <w:rFonts w:hint="eastAsia" w:ascii="Times New Roman" w:eastAsia="仿宋"/>
                <w:szCs w:val="21"/>
              </w:rPr>
              <w:t>矿物油</w:t>
            </w:r>
          </w:p>
        </w:tc>
        <w:tc>
          <w:tcPr>
            <w:tcW w:w="987" w:type="dxa"/>
            <w:vAlign w:val="center"/>
          </w:tcPr>
          <w:p w14:paraId="59B4A7DE">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416BD8AF">
            <w:pPr>
              <w:topLinePunct/>
              <w:adjustRightInd w:val="0"/>
              <w:snapToGrid w:val="0"/>
              <w:jc w:val="center"/>
              <w:rPr>
                <w:rFonts w:ascii="Times New Roman" w:eastAsia="仿宋"/>
                <w:szCs w:val="21"/>
              </w:rPr>
            </w:pPr>
            <w:r>
              <w:rPr>
                <w:rFonts w:hint="eastAsia" w:ascii="Times New Roman" w:eastAsia="仿宋"/>
                <w:szCs w:val="21"/>
              </w:rPr>
              <w:t>1年</w:t>
            </w:r>
          </w:p>
        </w:tc>
        <w:tc>
          <w:tcPr>
            <w:tcW w:w="851" w:type="dxa"/>
            <w:vAlign w:val="center"/>
          </w:tcPr>
          <w:p w14:paraId="40E89386">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0F427385">
            <w:pPr>
              <w:topLinePunct/>
              <w:adjustRightInd w:val="0"/>
              <w:snapToGrid w:val="0"/>
              <w:jc w:val="center"/>
              <w:rPr>
                <w:rFonts w:ascii="Times New Roman" w:eastAsia="仿宋"/>
                <w:szCs w:val="21"/>
              </w:rPr>
            </w:pPr>
          </w:p>
        </w:tc>
      </w:tr>
      <w:tr w14:paraId="4EAC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31F9CDD">
            <w:pPr>
              <w:topLinePunct/>
              <w:adjustRightInd w:val="0"/>
              <w:snapToGrid w:val="0"/>
              <w:jc w:val="center"/>
              <w:rPr>
                <w:rFonts w:ascii="Times New Roman" w:eastAsia="仿宋"/>
                <w:szCs w:val="21"/>
              </w:rPr>
            </w:pPr>
            <w:r>
              <w:rPr>
                <w:rFonts w:hint="eastAsia" w:ascii="Times New Roman" w:eastAsia="仿宋"/>
                <w:szCs w:val="21"/>
              </w:rPr>
              <w:t>19</w:t>
            </w:r>
          </w:p>
        </w:tc>
        <w:tc>
          <w:tcPr>
            <w:tcW w:w="1610" w:type="dxa"/>
            <w:vAlign w:val="center"/>
          </w:tcPr>
          <w:p w14:paraId="1ECDDC17">
            <w:pPr>
              <w:topLinePunct/>
              <w:adjustRightInd w:val="0"/>
              <w:snapToGrid w:val="0"/>
              <w:jc w:val="center"/>
              <w:rPr>
                <w:rFonts w:ascii="Times New Roman" w:eastAsia="仿宋"/>
                <w:szCs w:val="21"/>
              </w:rPr>
            </w:pPr>
            <w:r>
              <w:rPr>
                <w:rFonts w:hint="eastAsia" w:ascii="Times New Roman" w:eastAsia="仿宋"/>
                <w:szCs w:val="21"/>
              </w:rPr>
              <w:t>废催化剂</w:t>
            </w:r>
          </w:p>
        </w:tc>
        <w:tc>
          <w:tcPr>
            <w:tcW w:w="864" w:type="dxa"/>
            <w:vMerge w:val="continue"/>
            <w:vAlign w:val="center"/>
          </w:tcPr>
          <w:p w14:paraId="5D05F18C">
            <w:pPr>
              <w:topLinePunct/>
              <w:adjustRightInd w:val="0"/>
              <w:snapToGrid w:val="0"/>
              <w:jc w:val="center"/>
              <w:rPr>
                <w:rFonts w:ascii="Times New Roman" w:eastAsia="仿宋"/>
                <w:szCs w:val="21"/>
              </w:rPr>
            </w:pPr>
          </w:p>
        </w:tc>
        <w:tc>
          <w:tcPr>
            <w:tcW w:w="1102" w:type="dxa"/>
            <w:vAlign w:val="center"/>
          </w:tcPr>
          <w:p w14:paraId="2360A8C1">
            <w:pPr>
              <w:topLinePunct/>
              <w:adjustRightInd w:val="0"/>
              <w:snapToGrid w:val="0"/>
              <w:jc w:val="center"/>
              <w:rPr>
                <w:rFonts w:ascii="Times New Roman" w:eastAsia="仿宋"/>
                <w:szCs w:val="21"/>
              </w:rPr>
            </w:pPr>
            <w:r>
              <w:rPr>
                <w:rFonts w:hint="eastAsia" w:ascii="Times New Roman" w:eastAsia="仿宋"/>
                <w:szCs w:val="21"/>
              </w:rPr>
              <w:t>HW50</w:t>
            </w:r>
          </w:p>
        </w:tc>
        <w:tc>
          <w:tcPr>
            <w:tcW w:w="1634" w:type="dxa"/>
            <w:vAlign w:val="center"/>
          </w:tcPr>
          <w:p w14:paraId="13222ABC">
            <w:pPr>
              <w:topLinePunct/>
              <w:adjustRightInd w:val="0"/>
              <w:snapToGrid w:val="0"/>
              <w:jc w:val="center"/>
              <w:rPr>
                <w:rFonts w:ascii="Times New Roman" w:eastAsia="仿宋"/>
                <w:szCs w:val="21"/>
              </w:rPr>
            </w:pPr>
            <w:r>
              <w:rPr>
                <w:rFonts w:hint="eastAsia" w:ascii="Times New Roman" w:eastAsia="仿宋"/>
                <w:szCs w:val="21"/>
              </w:rPr>
              <w:t>772-007-50</w:t>
            </w:r>
          </w:p>
        </w:tc>
        <w:tc>
          <w:tcPr>
            <w:tcW w:w="849" w:type="dxa"/>
            <w:vAlign w:val="center"/>
          </w:tcPr>
          <w:p w14:paraId="6B02F84A">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6</w:t>
            </w:r>
            <w:r>
              <w:rPr>
                <w:rFonts w:hint="eastAsia" w:ascii="Times New Roman" w:eastAsia="仿宋"/>
                <w:szCs w:val="21"/>
              </w:rPr>
              <w:t>t/3a</w:t>
            </w:r>
          </w:p>
        </w:tc>
        <w:tc>
          <w:tcPr>
            <w:tcW w:w="1350" w:type="dxa"/>
            <w:vAlign w:val="center"/>
          </w:tcPr>
          <w:p w14:paraId="74419646">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6AA61A25">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0438CE98">
            <w:pPr>
              <w:topLinePunct/>
              <w:adjustRightInd w:val="0"/>
              <w:snapToGrid w:val="0"/>
              <w:jc w:val="center"/>
              <w:rPr>
                <w:rFonts w:ascii="Times New Roman" w:eastAsia="仿宋"/>
                <w:szCs w:val="21"/>
              </w:rPr>
            </w:pPr>
            <w:r>
              <w:rPr>
                <w:rFonts w:hint="eastAsia" w:ascii="Times New Roman" w:eastAsia="仿宋"/>
                <w:szCs w:val="21"/>
              </w:rPr>
              <w:t>催化剂、有机物</w:t>
            </w:r>
          </w:p>
        </w:tc>
        <w:tc>
          <w:tcPr>
            <w:tcW w:w="987" w:type="dxa"/>
            <w:vAlign w:val="center"/>
          </w:tcPr>
          <w:p w14:paraId="60845BA2">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2AD26266">
            <w:pPr>
              <w:topLinePunct/>
              <w:adjustRightInd w:val="0"/>
              <w:snapToGrid w:val="0"/>
              <w:jc w:val="center"/>
              <w:rPr>
                <w:rFonts w:ascii="Times New Roman" w:eastAsia="仿宋"/>
                <w:szCs w:val="21"/>
              </w:rPr>
            </w:pPr>
            <w:r>
              <w:rPr>
                <w:rFonts w:hint="eastAsia" w:ascii="Times New Roman" w:eastAsia="仿宋"/>
                <w:szCs w:val="21"/>
              </w:rPr>
              <w:t>2年</w:t>
            </w:r>
          </w:p>
        </w:tc>
        <w:tc>
          <w:tcPr>
            <w:tcW w:w="851" w:type="dxa"/>
            <w:vAlign w:val="center"/>
          </w:tcPr>
          <w:p w14:paraId="652C8F03">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65CB0209">
            <w:pPr>
              <w:topLinePunct/>
              <w:adjustRightInd w:val="0"/>
              <w:snapToGrid w:val="0"/>
              <w:jc w:val="center"/>
              <w:rPr>
                <w:rFonts w:ascii="Times New Roman" w:eastAsia="仿宋"/>
                <w:szCs w:val="21"/>
              </w:rPr>
            </w:pPr>
          </w:p>
        </w:tc>
      </w:tr>
      <w:tr w14:paraId="3D76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5CF6F08">
            <w:pPr>
              <w:topLinePunct/>
              <w:adjustRightInd w:val="0"/>
              <w:snapToGrid w:val="0"/>
              <w:jc w:val="center"/>
              <w:rPr>
                <w:rFonts w:ascii="Times New Roman" w:eastAsia="仿宋"/>
                <w:szCs w:val="21"/>
              </w:rPr>
            </w:pPr>
            <w:r>
              <w:rPr>
                <w:rFonts w:hint="eastAsia" w:ascii="Times New Roman" w:eastAsia="仿宋"/>
                <w:szCs w:val="21"/>
              </w:rPr>
              <w:t>20</w:t>
            </w:r>
          </w:p>
        </w:tc>
        <w:tc>
          <w:tcPr>
            <w:tcW w:w="1610" w:type="dxa"/>
            <w:vAlign w:val="center"/>
          </w:tcPr>
          <w:p w14:paraId="6669BD0F">
            <w:pPr>
              <w:topLinePunct/>
              <w:adjustRightInd w:val="0"/>
              <w:snapToGrid w:val="0"/>
              <w:jc w:val="center"/>
              <w:rPr>
                <w:rFonts w:ascii="Times New Roman" w:eastAsia="仿宋"/>
                <w:szCs w:val="21"/>
              </w:rPr>
            </w:pPr>
            <w:r>
              <w:rPr>
                <w:rFonts w:hint="eastAsia" w:ascii="Times New Roman" w:eastAsia="仿宋"/>
                <w:szCs w:val="21"/>
              </w:rPr>
              <w:t>废活性炭</w:t>
            </w:r>
          </w:p>
        </w:tc>
        <w:tc>
          <w:tcPr>
            <w:tcW w:w="864" w:type="dxa"/>
            <w:vMerge w:val="continue"/>
            <w:vAlign w:val="center"/>
          </w:tcPr>
          <w:p w14:paraId="3E27C2FA">
            <w:pPr>
              <w:topLinePunct/>
              <w:adjustRightInd w:val="0"/>
              <w:snapToGrid w:val="0"/>
              <w:jc w:val="center"/>
              <w:rPr>
                <w:rFonts w:ascii="Times New Roman" w:eastAsia="仿宋"/>
                <w:szCs w:val="21"/>
              </w:rPr>
            </w:pPr>
          </w:p>
        </w:tc>
        <w:tc>
          <w:tcPr>
            <w:tcW w:w="1102" w:type="dxa"/>
            <w:vAlign w:val="center"/>
          </w:tcPr>
          <w:p w14:paraId="217E6B4E">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17283CDB">
            <w:pPr>
              <w:topLinePunct/>
              <w:adjustRightInd w:val="0"/>
              <w:snapToGrid w:val="0"/>
              <w:jc w:val="center"/>
              <w:rPr>
                <w:rFonts w:ascii="Times New Roman" w:eastAsia="仿宋"/>
                <w:szCs w:val="21"/>
              </w:rPr>
            </w:pPr>
            <w:r>
              <w:rPr>
                <w:rFonts w:ascii="Times New Roman" w:eastAsia="仿宋"/>
                <w:szCs w:val="21"/>
              </w:rPr>
              <w:t>900-039-49</w:t>
            </w:r>
          </w:p>
        </w:tc>
        <w:tc>
          <w:tcPr>
            <w:tcW w:w="849" w:type="dxa"/>
            <w:vAlign w:val="center"/>
          </w:tcPr>
          <w:p w14:paraId="7CD30D39">
            <w:pPr>
              <w:topLinePunct/>
              <w:adjustRightInd w:val="0"/>
              <w:snapToGrid w:val="0"/>
              <w:jc w:val="center"/>
              <w:rPr>
                <w:rFonts w:ascii="Times New Roman" w:eastAsia="仿宋"/>
                <w:szCs w:val="21"/>
              </w:rPr>
            </w:pPr>
            <w:r>
              <w:rPr>
                <w:rFonts w:ascii="Times New Roman" w:eastAsia="仿宋"/>
                <w:szCs w:val="21"/>
              </w:rPr>
              <w:t>8.2</w:t>
            </w:r>
          </w:p>
        </w:tc>
        <w:tc>
          <w:tcPr>
            <w:tcW w:w="1350" w:type="dxa"/>
            <w:vAlign w:val="center"/>
          </w:tcPr>
          <w:p w14:paraId="30977F92">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5C0D401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CCFAC1C">
            <w:pPr>
              <w:topLinePunct/>
              <w:adjustRightInd w:val="0"/>
              <w:snapToGrid w:val="0"/>
              <w:jc w:val="center"/>
              <w:rPr>
                <w:rFonts w:ascii="Times New Roman" w:eastAsia="仿宋"/>
                <w:szCs w:val="21"/>
              </w:rPr>
            </w:pPr>
            <w:r>
              <w:rPr>
                <w:rFonts w:hint="eastAsia" w:ascii="Times New Roman" w:eastAsia="仿宋"/>
                <w:szCs w:val="21"/>
              </w:rPr>
              <w:t>活性炭、有机物</w:t>
            </w:r>
          </w:p>
        </w:tc>
        <w:tc>
          <w:tcPr>
            <w:tcW w:w="987" w:type="dxa"/>
            <w:vAlign w:val="center"/>
          </w:tcPr>
          <w:p w14:paraId="6A69E15D">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5809EBE7">
            <w:pPr>
              <w:topLinePunct/>
              <w:adjustRightInd w:val="0"/>
              <w:snapToGrid w:val="0"/>
              <w:jc w:val="center"/>
              <w:rPr>
                <w:rFonts w:ascii="Times New Roman" w:eastAsia="仿宋"/>
                <w:szCs w:val="21"/>
              </w:rPr>
            </w:pPr>
            <w:r>
              <w:rPr>
                <w:rFonts w:ascii="Times New Roman" w:eastAsia="仿宋"/>
                <w:szCs w:val="21"/>
              </w:rPr>
              <w:t>2</w:t>
            </w:r>
            <w:r>
              <w:rPr>
                <w:rFonts w:hint="eastAsia" w:ascii="Times New Roman" w:eastAsia="仿宋"/>
                <w:szCs w:val="21"/>
              </w:rPr>
              <w:t>年</w:t>
            </w:r>
          </w:p>
        </w:tc>
        <w:tc>
          <w:tcPr>
            <w:tcW w:w="851" w:type="dxa"/>
            <w:vAlign w:val="center"/>
          </w:tcPr>
          <w:p w14:paraId="141AC784">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698015A6">
            <w:pPr>
              <w:topLinePunct/>
              <w:adjustRightInd w:val="0"/>
              <w:snapToGrid w:val="0"/>
              <w:jc w:val="center"/>
              <w:rPr>
                <w:rFonts w:ascii="Times New Roman" w:eastAsia="仿宋"/>
                <w:szCs w:val="21"/>
              </w:rPr>
            </w:pPr>
          </w:p>
        </w:tc>
      </w:tr>
      <w:tr w14:paraId="431B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5312AD1">
            <w:pPr>
              <w:topLinePunct/>
              <w:adjustRightInd w:val="0"/>
              <w:snapToGrid w:val="0"/>
              <w:jc w:val="center"/>
              <w:rPr>
                <w:rFonts w:ascii="Times New Roman" w:eastAsia="仿宋"/>
                <w:szCs w:val="21"/>
              </w:rPr>
            </w:pPr>
            <w:r>
              <w:rPr>
                <w:rFonts w:hint="eastAsia" w:ascii="Times New Roman" w:eastAsia="仿宋"/>
                <w:szCs w:val="21"/>
              </w:rPr>
              <w:t>21</w:t>
            </w:r>
          </w:p>
        </w:tc>
        <w:tc>
          <w:tcPr>
            <w:tcW w:w="1610" w:type="dxa"/>
            <w:vAlign w:val="center"/>
          </w:tcPr>
          <w:p w14:paraId="75CA53CB">
            <w:pPr>
              <w:topLinePunct/>
              <w:adjustRightInd w:val="0"/>
              <w:snapToGrid w:val="0"/>
              <w:jc w:val="center"/>
              <w:rPr>
                <w:rFonts w:ascii="Times New Roman" w:eastAsia="仿宋"/>
                <w:szCs w:val="21"/>
              </w:rPr>
            </w:pPr>
            <w:r>
              <w:rPr>
                <w:rFonts w:hint="eastAsia" w:ascii="Times New Roman" w:eastAsia="仿宋"/>
                <w:szCs w:val="21"/>
              </w:rPr>
              <w:t>污泥</w:t>
            </w:r>
          </w:p>
        </w:tc>
        <w:tc>
          <w:tcPr>
            <w:tcW w:w="864" w:type="dxa"/>
            <w:vMerge w:val="continue"/>
            <w:vAlign w:val="center"/>
          </w:tcPr>
          <w:p w14:paraId="735696DB">
            <w:pPr>
              <w:topLinePunct/>
              <w:adjustRightInd w:val="0"/>
              <w:snapToGrid w:val="0"/>
              <w:jc w:val="center"/>
              <w:rPr>
                <w:rFonts w:ascii="Times New Roman" w:eastAsia="仿宋"/>
                <w:szCs w:val="21"/>
              </w:rPr>
            </w:pPr>
          </w:p>
        </w:tc>
        <w:tc>
          <w:tcPr>
            <w:tcW w:w="1102" w:type="dxa"/>
            <w:vAlign w:val="center"/>
          </w:tcPr>
          <w:p w14:paraId="6E2CA55D">
            <w:pPr>
              <w:topLinePunct/>
              <w:adjustRightInd w:val="0"/>
              <w:snapToGrid w:val="0"/>
              <w:jc w:val="center"/>
              <w:rPr>
                <w:rFonts w:ascii="Times New Roman" w:eastAsia="仿宋"/>
                <w:szCs w:val="21"/>
              </w:rPr>
            </w:pPr>
            <w:r>
              <w:rPr>
                <w:rFonts w:hint="eastAsia" w:ascii="Times New Roman" w:eastAsia="仿宋"/>
                <w:szCs w:val="21"/>
              </w:rPr>
              <w:t>HW08</w:t>
            </w:r>
          </w:p>
        </w:tc>
        <w:tc>
          <w:tcPr>
            <w:tcW w:w="1634" w:type="dxa"/>
            <w:vAlign w:val="center"/>
          </w:tcPr>
          <w:p w14:paraId="662482EA">
            <w:pPr>
              <w:topLinePunct/>
              <w:adjustRightInd w:val="0"/>
              <w:snapToGrid w:val="0"/>
              <w:jc w:val="center"/>
              <w:rPr>
                <w:rFonts w:ascii="Times New Roman" w:eastAsia="仿宋"/>
                <w:szCs w:val="21"/>
              </w:rPr>
            </w:pPr>
            <w:r>
              <w:rPr>
                <w:rFonts w:hint="eastAsia" w:ascii="Times New Roman" w:eastAsia="仿宋"/>
                <w:szCs w:val="21"/>
              </w:rPr>
              <w:t>900-210-08</w:t>
            </w:r>
          </w:p>
        </w:tc>
        <w:tc>
          <w:tcPr>
            <w:tcW w:w="849" w:type="dxa"/>
            <w:vAlign w:val="center"/>
          </w:tcPr>
          <w:p w14:paraId="502E5EC1">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350" w:type="dxa"/>
            <w:vAlign w:val="center"/>
          </w:tcPr>
          <w:p w14:paraId="78DAD43A">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604519D7">
            <w:pPr>
              <w:topLinePunct/>
              <w:adjustRightInd w:val="0"/>
              <w:snapToGrid w:val="0"/>
              <w:jc w:val="center"/>
              <w:rPr>
                <w:rFonts w:ascii="Times New Roman" w:eastAsia="仿宋"/>
                <w:szCs w:val="21"/>
              </w:rPr>
            </w:pPr>
            <w:r>
              <w:rPr>
                <w:rFonts w:hint="eastAsia" w:ascii="Times New Roman" w:eastAsia="仿宋"/>
                <w:szCs w:val="21"/>
              </w:rPr>
              <w:t>半固态</w:t>
            </w:r>
          </w:p>
        </w:tc>
        <w:tc>
          <w:tcPr>
            <w:tcW w:w="1170" w:type="dxa"/>
            <w:vAlign w:val="center"/>
          </w:tcPr>
          <w:p w14:paraId="0FE11DAA">
            <w:pPr>
              <w:topLinePunct/>
              <w:adjustRightInd w:val="0"/>
              <w:snapToGrid w:val="0"/>
              <w:jc w:val="center"/>
              <w:rPr>
                <w:rFonts w:ascii="Times New Roman" w:eastAsia="仿宋"/>
                <w:szCs w:val="21"/>
              </w:rPr>
            </w:pPr>
            <w:r>
              <w:rPr>
                <w:rFonts w:hint="eastAsia" w:ascii="Times New Roman" w:eastAsia="仿宋"/>
                <w:szCs w:val="21"/>
              </w:rPr>
              <w:t>矿物油、杂质</w:t>
            </w:r>
          </w:p>
        </w:tc>
        <w:tc>
          <w:tcPr>
            <w:tcW w:w="987" w:type="dxa"/>
            <w:vAlign w:val="center"/>
          </w:tcPr>
          <w:p w14:paraId="236E9C31">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59997049">
            <w:pPr>
              <w:topLinePunct/>
              <w:adjustRightInd w:val="0"/>
              <w:snapToGrid w:val="0"/>
              <w:jc w:val="center"/>
              <w:rPr>
                <w:rFonts w:ascii="Times New Roman" w:eastAsia="仿宋"/>
                <w:szCs w:val="21"/>
              </w:rPr>
            </w:pPr>
            <w:r>
              <w:rPr>
                <w:rFonts w:hint="eastAsia" w:ascii="Times New Roman" w:eastAsia="仿宋"/>
                <w:szCs w:val="21"/>
              </w:rPr>
              <w:t>1天</w:t>
            </w:r>
          </w:p>
        </w:tc>
        <w:tc>
          <w:tcPr>
            <w:tcW w:w="851" w:type="dxa"/>
            <w:vAlign w:val="center"/>
          </w:tcPr>
          <w:p w14:paraId="6EBB81C5">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5D75A8AC">
            <w:pPr>
              <w:topLinePunct/>
              <w:adjustRightInd w:val="0"/>
              <w:snapToGrid w:val="0"/>
              <w:jc w:val="center"/>
              <w:rPr>
                <w:rFonts w:ascii="Times New Roman" w:eastAsia="仿宋"/>
                <w:szCs w:val="21"/>
              </w:rPr>
            </w:pPr>
          </w:p>
        </w:tc>
      </w:tr>
      <w:tr w14:paraId="059D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B1839DB">
            <w:pPr>
              <w:topLinePunct/>
              <w:adjustRightInd w:val="0"/>
              <w:snapToGrid w:val="0"/>
              <w:jc w:val="center"/>
              <w:rPr>
                <w:rFonts w:ascii="Times New Roman" w:eastAsia="仿宋"/>
                <w:szCs w:val="21"/>
              </w:rPr>
            </w:pPr>
            <w:r>
              <w:rPr>
                <w:rFonts w:hint="eastAsia" w:ascii="Times New Roman" w:eastAsia="仿宋"/>
                <w:szCs w:val="21"/>
              </w:rPr>
              <w:t>22</w:t>
            </w:r>
          </w:p>
        </w:tc>
        <w:tc>
          <w:tcPr>
            <w:tcW w:w="1610" w:type="dxa"/>
            <w:vAlign w:val="center"/>
          </w:tcPr>
          <w:p w14:paraId="0E021FF5">
            <w:pPr>
              <w:topLinePunct/>
              <w:adjustRightInd w:val="0"/>
              <w:snapToGrid w:val="0"/>
              <w:jc w:val="center"/>
              <w:rPr>
                <w:rFonts w:ascii="Times New Roman" w:eastAsia="仿宋"/>
                <w:szCs w:val="21"/>
              </w:rPr>
            </w:pPr>
            <w:r>
              <w:rPr>
                <w:rFonts w:hint="eastAsia" w:ascii="Times New Roman" w:eastAsia="仿宋"/>
                <w:szCs w:val="21"/>
              </w:rPr>
              <w:t>废过滤棉</w:t>
            </w:r>
          </w:p>
        </w:tc>
        <w:tc>
          <w:tcPr>
            <w:tcW w:w="864" w:type="dxa"/>
            <w:vMerge w:val="continue"/>
            <w:vAlign w:val="center"/>
          </w:tcPr>
          <w:p w14:paraId="6A2228B5">
            <w:pPr>
              <w:topLinePunct/>
              <w:adjustRightInd w:val="0"/>
              <w:snapToGrid w:val="0"/>
              <w:jc w:val="center"/>
              <w:rPr>
                <w:rFonts w:ascii="Times New Roman" w:eastAsia="仿宋"/>
                <w:szCs w:val="21"/>
              </w:rPr>
            </w:pPr>
          </w:p>
        </w:tc>
        <w:tc>
          <w:tcPr>
            <w:tcW w:w="1102" w:type="dxa"/>
            <w:vAlign w:val="center"/>
          </w:tcPr>
          <w:p w14:paraId="7641E1E8">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67EB35E1">
            <w:pPr>
              <w:topLinePunct/>
              <w:adjustRightInd w:val="0"/>
              <w:snapToGrid w:val="0"/>
              <w:jc w:val="center"/>
              <w:rPr>
                <w:rFonts w:ascii="Times New Roman" w:eastAsia="仿宋"/>
                <w:szCs w:val="21"/>
              </w:rPr>
            </w:pPr>
            <w:r>
              <w:rPr>
                <w:rFonts w:ascii="Times New Roman" w:eastAsia="仿宋"/>
                <w:szCs w:val="21"/>
              </w:rPr>
              <w:t>900-0</w:t>
            </w:r>
            <w:r>
              <w:rPr>
                <w:rFonts w:hint="eastAsia" w:ascii="Times New Roman" w:eastAsia="仿宋"/>
                <w:szCs w:val="21"/>
              </w:rPr>
              <w:t>41</w:t>
            </w:r>
            <w:r>
              <w:rPr>
                <w:rFonts w:ascii="Times New Roman" w:eastAsia="仿宋"/>
                <w:szCs w:val="21"/>
              </w:rPr>
              <w:t>-49</w:t>
            </w:r>
          </w:p>
        </w:tc>
        <w:tc>
          <w:tcPr>
            <w:tcW w:w="849" w:type="dxa"/>
            <w:vAlign w:val="center"/>
          </w:tcPr>
          <w:p w14:paraId="1DFD0016">
            <w:pPr>
              <w:topLinePunct/>
              <w:adjustRightInd w:val="0"/>
              <w:snapToGrid w:val="0"/>
              <w:jc w:val="center"/>
              <w:rPr>
                <w:rFonts w:ascii="Times New Roman" w:eastAsia="仿宋"/>
                <w:szCs w:val="21"/>
              </w:rPr>
            </w:pPr>
            <w:r>
              <w:rPr>
                <w:rFonts w:hint="eastAsia" w:ascii="Times New Roman" w:eastAsia="仿宋"/>
                <w:szCs w:val="21"/>
              </w:rPr>
              <w:t>3</w:t>
            </w:r>
          </w:p>
        </w:tc>
        <w:tc>
          <w:tcPr>
            <w:tcW w:w="1350" w:type="dxa"/>
            <w:vAlign w:val="center"/>
          </w:tcPr>
          <w:p w14:paraId="1A116ACF">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5AD90D02">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40738B88">
            <w:pPr>
              <w:topLinePunct/>
              <w:adjustRightInd w:val="0"/>
              <w:snapToGrid w:val="0"/>
              <w:jc w:val="center"/>
              <w:rPr>
                <w:rFonts w:ascii="Times New Roman" w:eastAsia="仿宋"/>
                <w:szCs w:val="21"/>
              </w:rPr>
            </w:pPr>
            <w:r>
              <w:rPr>
                <w:rFonts w:hint="eastAsia" w:ascii="Times New Roman" w:eastAsia="仿宋"/>
                <w:szCs w:val="21"/>
              </w:rPr>
              <w:t>棉花、有机物</w:t>
            </w:r>
          </w:p>
        </w:tc>
        <w:tc>
          <w:tcPr>
            <w:tcW w:w="987" w:type="dxa"/>
            <w:vAlign w:val="center"/>
          </w:tcPr>
          <w:p w14:paraId="0683C565">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2A992934">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35DDB661">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13108D09">
            <w:pPr>
              <w:topLinePunct/>
              <w:adjustRightInd w:val="0"/>
              <w:snapToGrid w:val="0"/>
              <w:jc w:val="center"/>
              <w:rPr>
                <w:rFonts w:ascii="Times New Roman" w:eastAsia="仿宋"/>
                <w:szCs w:val="21"/>
              </w:rPr>
            </w:pPr>
          </w:p>
        </w:tc>
      </w:tr>
      <w:tr w14:paraId="5774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7559502">
            <w:pPr>
              <w:topLinePunct/>
              <w:adjustRightInd w:val="0"/>
              <w:snapToGrid w:val="0"/>
              <w:jc w:val="center"/>
              <w:rPr>
                <w:rFonts w:ascii="Times New Roman" w:eastAsia="仿宋"/>
                <w:szCs w:val="21"/>
              </w:rPr>
            </w:pPr>
            <w:r>
              <w:rPr>
                <w:rFonts w:hint="eastAsia" w:ascii="Times New Roman" w:eastAsia="仿宋"/>
                <w:szCs w:val="21"/>
              </w:rPr>
              <w:t>23</w:t>
            </w:r>
          </w:p>
        </w:tc>
        <w:tc>
          <w:tcPr>
            <w:tcW w:w="1610" w:type="dxa"/>
            <w:vAlign w:val="center"/>
          </w:tcPr>
          <w:p w14:paraId="7A9E579E">
            <w:pPr>
              <w:topLinePunct/>
              <w:adjustRightInd w:val="0"/>
              <w:snapToGrid w:val="0"/>
              <w:jc w:val="center"/>
              <w:rPr>
                <w:rFonts w:ascii="Times New Roman" w:eastAsia="仿宋"/>
                <w:szCs w:val="21"/>
              </w:rPr>
            </w:pPr>
            <w:r>
              <w:rPr>
                <w:rFonts w:hint="eastAsia" w:ascii="Times New Roman" w:eastAsia="仿宋"/>
                <w:szCs w:val="21"/>
              </w:rPr>
              <w:t>废过滤介质</w:t>
            </w:r>
          </w:p>
        </w:tc>
        <w:tc>
          <w:tcPr>
            <w:tcW w:w="864" w:type="dxa"/>
            <w:vMerge w:val="continue"/>
            <w:vAlign w:val="center"/>
          </w:tcPr>
          <w:p w14:paraId="5B1F0C49">
            <w:pPr>
              <w:topLinePunct/>
              <w:adjustRightInd w:val="0"/>
              <w:snapToGrid w:val="0"/>
              <w:jc w:val="center"/>
              <w:rPr>
                <w:rFonts w:ascii="Times New Roman" w:eastAsia="仿宋"/>
                <w:szCs w:val="21"/>
              </w:rPr>
            </w:pPr>
          </w:p>
        </w:tc>
        <w:tc>
          <w:tcPr>
            <w:tcW w:w="1102" w:type="dxa"/>
            <w:vAlign w:val="center"/>
          </w:tcPr>
          <w:p w14:paraId="33E22936">
            <w:pPr>
              <w:topLinePunct/>
              <w:adjustRightInd w:val="0"/>
              <w:snapToGrid w:val="0"/>
              <w:jc w:val="center"/>
              <w:rPr>
                <w:rFonts w:ascii="Times New Roman" w:eastAsia="仿宋"/>
                <w:szCs w:val="21"/>
              </w:rPr>
            </w:pPr>
            <w:r>
              <w:rPr>
                <w:rFonts w:hint="eastAsia" w:ascii="Times New Roman" w:eastAsia="仿宋"/>
                <w:szCs w:val="21"/>
              </w:rPr>
              <w:t>HW13</w:t>
            </w:r>
          </w:p>
        </w:tc>
        <w:tc>
          <w:tcPr>
            <w:tcW w:w="1634" w:type="dxa"/>
            <w:vAlign w:val="center"/>
          </w:tcPr>
          <w:p w14:paraId="789443FD">
            <w:pPr>
              <w:topLinePunct/>
              <w:adjustRightInd w:val="0"/>
              <w:snapToGrid w:val="0"/>
              <w:jc w:val="center"/>
              <w:rPr>
                <w:rFonts w:ascii="Times New Roman" w:eastAsia="仿宋"/>
                <w:szCs w:val="21"/>
              </w:rPr>
            </w:pPr>
            <w:r>
              <w:rPr>
                <w:rFonts w:hint="eastAsia" w:ascii="Times New Roman" w:eastAsia="仿宋"/>
                <w:szCs w:val="21"/>
              </w:rPr>
              <w:t>900-015-13</w:t>
            </w:r>
          </w:p>
        </w:tc>
        <w:tc>
          <w:tcPr>
            <w:tcW w:w="849" w:type="dxa"/>
            <w:vAlign w:val="center"/>
          </w:tcPr>
          <w:p w14:paraId="56D429A7">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3</w:t>
            </w:r>
            <w:r>
              <w:rPr>
                <w:rFonts w:hint="eastAsia" w:ascii="Times New Roman" w:eastAsia="仿宋"/>
                <w:szCs w:val="21"/>
              </w:rPr>
              <w:t>t/3a</w:t>
            </w:r>
          </w:p>
        </w:tc>
        <w:tc>
          <w:tcPr>
            <w:tcW w:w="1350" w:type="dxa"/>
            <w:vAlign w:val="center"/>
          </w:tcPr>
          <w:p w14:paraId="73C66BA3">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7F061384">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44C0335">
            <w:pPr>
              <w:topLinePunct/>
              <w:adjustRightInd w:val="0"/>
              <w:snapToGrid w:val="0"/>
              <w:jc w:val="center"/>
              <w:rPr>
                <w:rFonts w:ascii="Times New Roman" w:eastAsia="仿宋"/>
                <w:szCs w:val="21"/>
              </w:rPr>
            </w:pPr>
            <w:r>
              <w:rPr>
                <w:rFonts w:hint="eastAsia" w:ascii="Times New Roman" w:eastAsia="仿宋"/>
                <w:szCs w:val="21"/>
              </w:rPr>
              <w:t>有机物等</w:t>
            </w:r>
          </w:p>
        </w:tc>
        <w:tc>
          <w:tcPr>
            <w:tcW w:w="987" w:type="dxa"/>
            <w:vAlign w:val="center"/>
          </w:tcPr>
          <w:p w14:paraId="2BD2E680">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09FB5364">
            <w:pPr>
              <w:topLinePunct/>
              <w:adjustRightInd w:val="0"/>
              <w:snapToGrid w:val="0"/>
              <w:jc w:val="center"/>
              <w:rPr>
                <w:rFonts w:ascii="Times New Roman" w:eastAsia="仿宋"/>
                <w:szCs w:val="21"/>
              </w:rPr>
            </w:pPr>
            <w:r>
              <w:rPr>
                <w:rFonts w:hint="eastAsia" w:ascii="Times New Roman" w:eastAsia="仿宋"/>
                <w:szCs w:val="21"/>
              </w:rPr>
              <w:t>3年</w:t>
            </w:r>
          </w:p>
        </w:tc>
        <w:tc>
          <w:tcPr>
            <w:tcW w:w="851" w:type="dxa"/>
            <w:vAlign w:val="center"/>
          </w:tcPr>
          <w:p w14:paraId="1099D961">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5E33FC7B">
            <w:pPr>
              <w:topLinePunct/>
              <w:adjustRightInd w:val="0"/>
              <w:snapToGrid w:val="0"/>
              <w:jc w:val="center"/>
              <w:rPr>
                <w:rFonts w:ascii="Times New Roman" w:eastAsia="仿宋"/>
                <w:szCs w:val="21"/>
              </w:rPr>
            </w:pPr>
          </w:p>
        </w:tc>
      </w:tr>
    </w:tbl>
    <w:p w14:paraId="5C295296">
      <w:pPr>
        <w:pStyle w:val="168"/>
        <w:ind w:firstLine="0" w:firstLineChars="0"/>
        <w:rPr>
          <w:rFonts w:ascii="Times New Roman" w:eastAsia="仿宋"/>
        </w:rPr>
      </w:pPr>
    </w:p>
    <w:p w14:paraId="5C726454">
      <w:pPr>
        <w:pStyle w:val="168"/>
        <w:ind w:firstLine="0" w:firstLineChars="0"/>
        <w:rPr>
          <w:rFonts w:ascii="Times New Roman" w:eastAsia="仿宋"/>
        </w:rPr>
      </w:pPr>
    </w:p>
    <w:p w14:paraId="1D9ECD92">
      <w:pPr>
        <w:pStyle w:val="168"/>
        <w:ind w:firstLine="0" w:firstLineChars="0"/>
        <w:jc w:val="both"/>
        <w:rPr>
          <w:rFonts w:ascii="Times New Roman" w:eastAsia="仿宋"/>
        </w:rPr>
      </w:pPr>
    </w:p>
    <w:p w14:paraId="50386C53">
      <w:pPr>
        <w:pStyle w:val="499"/>
        <w:spacing w:line="500" w:lineRule="exact"/>
        <w:ind w:left="0" w:firstLine="0"/>
        <w:rPr>
          <w:rFonts w:ascii="Times New Roman" w:hAnsi="Times New Roman" w:eastAsia="仿宋" w:cs="Times New Roman"/>
          <w:sz w:val="30"/>
          <w:szCs w:val="30"/>
          <w:highlight w:val="yellow"/>
        </w:rPr>
        <w:sectPr>
          <w:pgSz w:w="16838" w:h="11906" w:orient="landscape"/>
          <w:pgMar w:top="1440" w:right="1800" w:bottom="1440" w:left="1800" w:header="851" w:footer="992" w:gutter="0"/>
          <w:cols w:space="720" w:num="1"/>
          <w:docGrid w:linePitch="326" w:charSpace="0"/>
        </w:sectPr>
      </w:pPr>
    </w:p>
    <w:bookmarkEnd w:id="223"/>
    <w:p w14:paraId="71019D73">
      <w:pPr>
        <w:pStyle w:val="6"/>
        <w:keepLines w:val="0"/>
        <w:tabs>
          <w:tab w:val="left" w:pos="709"/>
        </w:tabs>
        <w:spacing w:before="120" w:beforeLines="50" w:after="120" w:afterLines="50" w:line="500" w:lineRule="exact"/>
        <w:rPr>
          <w:rFonts w:ascii="Times New Roman" w:eastAsia="仿宋"/>
          <w:sz w:val="30"/>
          <w:szCs w:val="30"/>
        </w:rPr>
      </w:pPr>
      <w:bookmarkStart w:id="234" w:name="_Hlt129056438"/>
      <w:bookmarkEnd w:id="234"/>
      <w:bookmarkStart w:id="235" w:name="_Toc396374795"/>
      <w:bookmarkStart w:id="236" w:name="_Hlk132723047"/>
      <w:bookmarkStart w:id="237" w:name="_Ref369285933"/>
      <w:r>
        <w:rPr>
          <w:rFonts w:ascii="Times New Roman" w:eastAsia="仿宋"/>
          <w:sz w:val="30"/>
          <w:szCs w:val="30"/>
        </w:rPr>
        <w:t>3.5.5污染物</w:t>
      </w:r>
      <w:bookmarkEnd w:id="235"/>
      <w:r>
        <w:rPr>
          <w:rFonts w:ascii="Times New Roman" w:eastAsia="仿宋"/>
          <w:sz w:val="30"/>
          <w:szCs w:val="30"/>
        </w:rPr>
        <w:t>排放量汇总</w:t>
      </w:r>
    </w:p>
    <w:p w14:paraId="6358554F">
      <w:pPr>
        <w:spacing w:line="500" w:lineRule="exact"/>
        <w:ind w:firstLine="560" w:firstLineChars="200"/>
        <w:jc w:val="left"/>
        <w:rPr>
          <w:rFonts w:ascii="Times New Roman" w:eastAsia="仿宋"/>
          <w:bCs/>
          <w:sz w:val="28"/>
          <w:szCs w:val="28"/>
        </w:rPr>
      </w:pPr>
      <w:r>
        <w:rPr>
          <w:rFonts w:ascii="Times New Roman" w:eastAsia="仿宋"/>
          <w:bCs/>
          <w:sz w:val="28"/>
          <w:szCs w:val="28"/>
        </w:rPr>
        <w:t>本项目污染物排放量汇总见下表。</w:t>
      </w:r>
    </w:p>
    <w:p w14:paraId="3FAE3A20">
      <w:pPr>
        <w:spacing w:line="480" w:lineRule="exact"/>
        <w:jc w:val="center"/>
        <w:rPr>
          <w:rFonts w:ascii="Times New Roman" w:eastAsia="仿宋"/>
          <w:b/>
        </w:rPr>
      </w:pPr>
      <w:r>
        <w:rPr>
          <w:rFonts w:ascii="Times New Roman" w:eastAsia="仿宋"/>
          <w:b/>
        </w:rPr>
        <w:t>表3.5-7  全厂污染物总量控制指标（t/a）</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780"/>
        <w:gridCol w:w="1164"/>
        <w:gridCol w:w="1349"/>
        <w:gridCol w:w="1642"/>
        <w:gridCol w:w="1722"/>
        <w:gridCol w:w="1718"/>
        <w:gridCol w:w="2201"/>
        <w:gridCol w:w="2482"/>
      </w:tblGrid>
      <w:tr w14:paraId="41AE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73" w:type="dxa"/>
            <w:gridSpan w:val="4"/>
            <w:vMerge w:val="restart"/>
            <w:vAlign w:val="center"/>
          </w:tcPr>
          <w:p w14:paraId="263A5259">
            <w:pPr>
              <w:jc w:val="center"/>
              <w:rPr>
                <w:rFonts w:ascii="Times New Roman" w:eastAsia="仿宋"/>
                <w:szCs w:val="21"/>
              </w:rPr>
            </w:pPr>
            <w:bookmarkStart w:id="238" w:name="_Hlk129554399"/>
            <w:r>
              <w:rPr>
                <w:rFonts w:ascii="Times New Roman" w:eastAsia="仿宋"/>
                <w:szCs w:val="21"/>
              </w:rPr>
              <w:t>污染物名称</w:t>
            </w:r>
          </w:p>
        </w:tc>
        <w:tc>
          <w:tcPr>
            <w:tcW w:w="5082" w:type="dxa"/>
            <w:gridSpan w:val="3"/>
            <w:vAlign w:val="center"/>
          </w:tcPr>
          <w:p w14:paraId="0E4B779C">
            <w:pPr>
              <w:jc w:val="center"/>
              <w:rPr>
                <w:rFonts w:ascii="Times New Roman" w:eastAsia="仿宋"/>
                <w:szCs w:val="21"/>
              </w:rPr>
            </w:pPr>
            <w:r>
              <w:rPr>
                <w:rFonts w:ascii="Times New Roman" w:eastAsia="仿宋"/>
                <w:szCs w:val="21"/>
              </w:rPr>
              <w:t>本项目</w:t>
            </w:r>
          </w:p>
        </w:tc>
        <w:tc>
          <w:tcPr>
            <w:tcW w:w="2201" w:type="dxa"/>
            <w:vMerge w:val="restart"/>
            <w:vAlign w:val="center"/>
          </w:tcPr>
          <w:p w14:paraId="1CF9648A">
            <w:pPr>
              <w:jc w:val="center"/>
              <w:rPr>
                <w:rFonts w:ascii="Times New Roman" w:eastAsia="仿宋"/>
                <w:szCs w:val="21"/>
              </w:rPr>
            </w:pPr>
            <w:r>
              <w:rPr>
                <w:rFonts w:ascii="Times New Roman" w:eastAsia="仿宋"/>
                <w:szCs w:val="21"/>
              </w:rPr>
              <w:t>增减量</w:t>
            </w:r>
          </w:p>
        </w:tc>
        <w:tc>
          <w:tcPr>
            <w:tcW w:w="2482" w:type="dxa"/>
            <w:vMerge w:val="restart"/>
            <w:vAlign w:val="center"/>
          </w:tcPr>
          <w:p w14:paraId="182EB929">
            <w:pPr>
              <w:jc w:val="center"/>
              <w:rPr>
                <w:rFonts w:ascii="Times New Roman" w:eastAsia="仿宋"/>
                <w:szCs w:val="21"/>
              </w:rPr>
            </w:pPr>
            <w:r>
              <w:rPr>
                <w:rFonts w:hint="eastAsia" w:ascii="Times New Roman" w:eastAsia="仿宋"/>
                <w:bCs/>
                <w:szCs w:val="21"/>
              </w:rPr>
              <w:t>最终外排环境量</w:t>
            </w:r>
          </w:p>
        </w:tc>
      </w:tr>
      <w:tr w14:paraId="7823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73" w:type="dxa"/>
            <w:gridSpan w:val="4"/>
            <w:vMerge w:val="continue"/>
            <w:vAlign w:val="center"/>
          </w:tcPr>
          <w:p w14:paraId="22565330">
            <w:pPr>
              <w:jc w:val="center"/>
              <w:rPr>
                <w:rFonts w:ascii="Times New Roman" w:eastAsia="仿宋"/>
                <w:szCs w:val="21"/>
              </w:rPr>
            </w:pPr>
          </w:p>
        </w:tc>
        <w:tc>
          <w:tcPr>
            <w:tcW w:w="1642" w:type="dxa"/>
            <w:vAlign w:val="center"/>
          </w:tcPr>
          <w:p w14:paraId="1BDA8B31">
            <w:pPr>
              <w:jc w:val="center"/>
              <w:rPr>
                <w:rFonts w:ascii="Times New Roman" w:eastAsia="仿宋"/>
                <w:szCs w:val="21"/>
              </w:rPr>
            </w:pPr>
            <w:r>
              <w:rPr>
                <w:rFonts w:ascii="Times New Roman" w:eastAsia="仿宋"/>
                <w:szCs w:val="21"/>
              </w:rPr>
              <w:t>产生量</w:t>
            </w:r>
          </w:p>
        </w:tc>
        <w:tc>
          <w:tcPr>
            <w:tcW w:w="1722" w:type="dxa"/>
            <w:vAlign w:val="center"/>
          </w:tcPr>
          <w:p w14:paraId="50B62444">
            <w:pPr>
              <w:jc w:val="center"/>
              <w:rPr>
                <w:rFonts w:ascii="Times New Roman" w:eastAsia="仿宋"/>
                <w:szCs w:val="21"/>
              </w:rPr>
            </w:pPr>
            <w:r>
              <w:rPr>
                <w:rFonts w:ascii="Times New Roman" w:eastAsia="仿宋"/>
                <w:szCs w:val="21"/>
              </w:rPr>
              <w:t>削减量</w:t>
            </w:r>
          </w:p>
        </w:tc>
        <w:tc>
          <w:tcPr>
            <w:tcW w:w="1718" w:type="dxa"/>
            <w:vAlign w:val="center"/>
          </w:tcPr>
          <w:p w14:paraId="6B303542">
            <w:pPr>
              <w:jc w:val="center"/>
              <w:rPr>
                <w:rFonts w:ascii="Times New Roman" w:eastAsia="仿宋"/>
                <w:szCs w:val="21"/>
              </w:rPr>
            </w:pPr>
            <w:r>
              <w:rPr>
                <w:rFonts w:ascii="Times New Roman" w:eastAsia="仿宋"/>
                <w:szCs w:val="21"/>
              </w:rPr>
              <w:t>排放量</w:t>
            </w:r>
          </w:p>
        </w:tc>
        <w:tc>
          <w:tcPr>
            <w:tcW w:w="2201" w:type="dxa"/>
            <w:vMerge w:val="continue"/>
            <w:vAlign w:val="center"/>
          </w:tcPr>
          <w:p w14:paraId="4A25BA36">
            <w:pPr>
              <w:jc w:val="center"/>
              <w:rPr>
                <w:rFonts w:ascii="Times New Roman" w:eastAsia="仿宋"/>
                <w:szCs w:val="21"/>
              </w:rPr>
            </w:pPr>
          </w:p>
        </w:tc>
        <w:tc>
          <w:tcPr>
            <w:tcW w:w="2482" w:type="dxa"/>
            <w:vMerge w:val="continue"/>
            <w:vAlign w:val="center"/>
          </w:tcPr>
          <w:p w14:paraId="0F9E5741">
            <w:pPr>
              <w:jc w:val="center"/>
              <w:rPr>
                <w:rFonts w:ascii="Times New Roman" w:eastAsia="仿宋"/>
                <w:szCs w:val="21"/>
              </w:rPr>
            </w:pPr>
          </w:p>
        </w:tc>
      </w:tr>
      <w:tr w14:paraId="3B34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restart"/>
            <w:vAlign w:val="center"/>
          </w:tcPr>
          <w:p w14:paraId="7BCA38A1">
            <w:pPr>
              <w:jc w:val="center"/>
              <w:rPr>
                <w:rFonts w:ascii="Times New Roman" w:eastAsia="仿宋"/>
                <w:szCs w:val="21"/>
              </w:rPr>
            </w:pPr>
            <w:r>
              <w:rPr>
                <w:rFonts w:hint="eastAsia" w:ascii="Times New Roman" w:eastAsia="仿宋"/>
                <w:szCs w:val="21"/>
              </w:rPr>
              <w:t>废气</w:t>
            </w:r>
          </w:p>
        </w:tc>
        <w:tc>
          <w:tcPr>
            <w:tcW w:w="780" w:type="dxa"/>
            <w:vMerge w:val="restart"/>
            <w:vAlign w:val="center"/>
          </w:tcPr>
          <w:p w14:paraId="0A3ECE56">
            <w:pPr>
              <w:jc w:val="center"/>
              <w:rPr>
                <w:rFonts w:ascii="Times New Roman" w:eastAsia="仿宋"/>
                <w:szCs w:val="21"/>
              </w:rPr>
            </w:pPr>
            <w:r>
              <w:rPr>
                <w:rFonts w:hint="eastAsia" w:ascii="Times New Roman" w:eastAsia="仿宋"/>
                <w:szCs w:val="21"/>
              </w:rPr>
              <w:t>有组织</w:t>
            </w:r>
          </w:p>
        </w:tc>
        <w:tc>
          <w:tcPr>
            <w:tcW w:w="2513" w:type="dxa"/>
            <w:gridSpan w:val="2"/>
            <w:vAlign w:val="center"/>
          </w:tcPr>
          <w:p w14:paraId="2E3DF922">
            <w:pPr>
              <w:jc w:val="center"/>
              <w:rPr>
                <w:rFonts w:ascii="Times New Roman" w:eastAsia="仿宋"/>
                <w:szCs w:val="21"/>
              </w:rPr>
            </w:pPr>
            <w:r>
              <w:rPr>
                <w:rFonts w:hint="eastAsia" w:ascii="Times New Roman" w:eastAsia="仿宋"/>
                <w:szCs w:val="21"/>
              </w:rPr>
              <w:t>二甲苯</w:t>
            </w:r>
          </w:p>
        </w:tc>
        <w:tc>
          <w:tcPr>
            <w:tcW w:w="1642" w:type="dxa"/>
            <w:vAlign w:val="bottom"/>
          </w:tcPr>
          <w:p w14:paraId="1B82CCE1">
            <w:pPr>
              <w:widowControl/>
              <w:jc w:val="center"/>
              <w:rPr>
                <w:rFonts w:ascii="Times New Roman" w:eastAsia="仿宋"/>
                <w:szCs w:val="21"/>
              </w:rPr>
            </w:pPr>
            <w:r>
              <w:rPr>
                <w:rFonts w:hint="eastAsia" w:ascii="Times New Roman" w:eastAsia="仿宋"/>
                <w:szCs w:val="21"/>
              </w:rPr>
              <w:t>16.272</w:t>
            </w:r>
          </w:p>
        </w:tc>
        <w:tc>
          <w:tcPr>
            <w:tcW w:w="1722" w:type="dxa"/>
            <w:vAlign w:val="bottom"/>
          </w:tcPr>
          <w:p w14:paraId="7EC8A71A">
            <w:pPr>
              <w:widowControl/>
              <w:jc w:val="center"/>
              <w:rPr>
                <w:rFonts w:ascii="Times New Roman" w:eastAsia="仿宋"/>
                <w:szCs w:val="21"/>
              </w:rPr>
            </w:pPr>
            <w:r>
              <w:rPr>
                <w:rFonts w:hint="eastAsia" w:ascii="Times New Roman" w:eastAsia="仿宋"/>
                <w:szCs w:val="21"/>
              </w:rPr>
              <w:t>15.462</w:t>
            </w:r>
          </w:p>
        </w:tc>
        <w:tc>
          <w:tcPr>
            <w:tcW w:w="1718" w:type="dxa"/>
            <w:vAlign w:val="bottom"/>
          </w:tcPr>
          <w:p w14:paraId="1EFECA4B">
            <w:pPr>
              <w:widowControl/>
              <w:jc w:val="center"/>
              <w:rPr>
                <w:rFonts w:ascii="Times New Roman" w:eastAsia="仿宋"/>
                <w:szCs w:val="21"/>
              </w:rPr>
            </w:pPr>
            <w:r>
              <w:rPr>
                <w:rFonts w:hint="eastAsia" w:ascii="Times New Roman" w:eastAsia="仿宋"/>
                <w:szCs w:val="21"/>
              </w:rPr>
              <w:t>0.81</w:t>
            </w:r>
          </w:p>
        </w:tc>
        <w:tc>
          <w:tcPr>
            <w:tcW w:w="2201" w:type="dxa"/>
            <w:vAlign w:val="bottom"/>
          </w:tcPr>
          <w:p w14:paraId="2F31FF0C">
            <w:pPr>
              <w:widowControl/>
              <w:jc w:val="center"/>
              <w:rPr>
                <w:rFonts w:ascii="Times New Roman" w:eastAsia="仿宋"/>
                <w:szCs w:val="21"/>
              </w:rPr>
            </w:pPr>
            <w:r>
              <w:rPr>
                <w:rFonts w:hint="eastAsia" w:ascii="Times New Roman" w:eastAsia="仿宋"/>
                <w:szCs w:val="21"/>
              </w:rPr>
              <w:t>+0.81</w:t>
            </w:r>
          </w:p>
        </w:tc>
        <w:tc>
          <w:tcPr>
            <w:tcW w:w="2482" w:type="dxa"/>
            <w:vAlign w:val="bottom"/>
          </w:tcPr>
          <w:p w14:paraId="2C5831D0">
            <w:pPr>
              <w:widowControl/>
              <w:jc w:val="center"/>
              <w:rPr>
                <w:rFonts w:ascii="Times New Roman" w:eastAsia="仿宋"/>
                <w:szCs w:val="21"/>
              </w:rPr>
            </w:pPr>
            <w:r>
              <w:rPr>
                <w:rFonts w:hint="eastAsia" w:ascii="Times New Roman" w:eastAsia="仿宋"/>
                <w:szCs w:val="21"/>
              </w:rPr>
              <w:t>+0.81</w:t>
            </w:r>
          </w:p>
        </w:tc>
      </w:tr>
      <w:tr w14:paraId="5A6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2BB4481F">
            <w:pPr>
              <w:jc w:val="center"/>
              <w:rPr>
                <w:rFonts w:ascii="Times New Roman" w:eastAsia="仿宋"/>
                <w:szCs w:val="21"/>
              </w:rPr>
            </w:pPr>
          </w:p>
        </w:tc>
        <w:tc>
          <w:tcPr>
            <w:tcW w:w="780" w:type="dxa"/>
            <w:vMerge w:val="continue"/>
            <w:vAlign w:val="center"/>
          </w:tcPr>
          <w:p w14:paraId="73D4D355">
            <w:pPr>
              <w:jc w:val="center"/>
              <w:rPr>
                <w:rFonts w:ascii="Times New Roman" w:eastAsia="仿宋"/>
                <w:szCs w:val="21"/>
              </w:rPr>
            </w:pPr>
          </w:p>
        </w:tc>
        <w:tc>
          <w:tcPr>
            <w:tcW w:w="2513" w:type="dxa"/>
            <w:gridSpan w:val="2"/>
            <w:vAlign w:val="center"/>
          </w:tcPr>
          <w:p w14:paraId="27D3EF81">
            <w:pPr>
              <w:jc w:val="center"/>
              <w:rPr>
                <w:rFonts w:ascii="Times New Roman" w:eastAsia="仿宋"/>
                <w:szCs w:val="21"/>
              </w:rPr>
            </w:pPr>
            <w:r>
              <w:rPr>
                <w:rFonts w:hint="eastAsia" w:ascii="Times New Roman" w:eastAsia="仿宋"/>
                <w:szCs w:val="21"/>
              </w:rPr>
              <w:t>苯系物</w:t>
            </w:r>
          </w:p>
        </w:tc>
        <w:tc>
          <w:tcPr>
            <w:tcW w:w="1642" w:type="dxa"/>
            <w:vAlign w:val="bottom"/>
          </w:tcPr>
          <w:p w14:paraId="3A970917">
            <w:pPr>
              <w:widowControl/>
              <w:jc w:val="center"/>
              <w:rPr>
                <w:rFonts w:ascii="Times New Roman" w:eastAsia="仿宋"/>
                <w:szCs w:val="21"/>
              </w:rPr>
            </w:pPr>
            <w:r>
              <w:rPr>
                <w:rFonts w:hint="eastAsia" w:ascii="Times New Roman" w:eastAsia="仿宋"/>
                <w:szCs w:val="21"/>
              </w:rPr>
              <w:t>16.272</w:t>
            </w:r>
          </w:p>
        </w:tc>
        <w:tc>
          <w:tcPr>
            <w:tcW w:w="1722" w:type="dxa"/>
            <w:vAlign w:val="bottom"/>
          </w:tcPr>
          <w:p w14:paraId="17C4FD55">
            <w:pPr>
              <w:widowControl/>
              <w:jc w:val="center"/>
              <w:rPr>
                <w:rFonts w:ascii="Times New Roman" w:eastAsia="仿宋"/>
                <w:szCs w:val="21"/>
              </w:rPr>
            </w:pPr>
            <w:r>
              <w:rPr>
                <w:rFonts w:hint="eastAsia" w:ascii="Times New Roman" w:eastAsia="仿宋"/>
                <w:szCs w:val="21"/>
              </w:rPr>
              <w:t>15.462</w:t>
            </w:r>
          </w:p>
        </w:tc>
        <w:tc>
          <w:tcPr>
            <w:tcW w:w="1718" w:type="dxa"/>
            <w:vAlign w:val="bottom"/>
          </w:tcPr>
          <w:p w14:paraId="1176A309">
            <w:pPr>
              <w:widowControl/>
              <w:jc w:val="center"/>
              <w:rPr>
                <w:rFonts w:ascii="Times New Roman" w:eastAsia="仿宋"/>
                <w:szCs w:val="21"/>
              </w:rPr>
            </w:pPr>
            <w:r>
              <w:rPr>
                <w:rFonts w:hint="eastAsia" w:ascii="Times New Roman" w:eastAsia="仿宋"/>
                <w:szCs w:val="21"/>
              </w:rPr>
              <w:t>0.81</w:t>
            </w:r>
          </w:p>
        </w:tc>
        <w:tc>
          <w:tcPr>
            <w:tcW w:w="2201" w:type="dxa"/>
            <w:vAlign w:val="bottom"/>
          </w:tcPr>
          <w:p w14:paraId="513664F1">
            <w:pPr>
              <w:widowControl/>
              <w:jc w:val="center"/>
              <w:rPr>
                <w:rFonts w:ascii="Times New Roman" w:eastAsia="仿宋"/>
                <w:szCs w:val="21"/>
              </w:rPr>
            </w:pPr>
            <w:r>
              <w:rPr>
                <w:rFonts w:hint="eastAsia" w:ascii="Times New Roman" w:eastAsia="仿宋"/>
                <w:szCs w:val="21"/>
              </w:rPr>
              <w:t>+0.81</w:t>
            </w:r>
          </w:p>
        </w:tc>
        <w:tc>
          <w:tcPr>
            <w:tcW w:w="2482" w:type="dxa"/>
            <w:vAlign w:val="bottom"/>
          </w:tcPr>
          <w:p w14:paraId="5CF85522">
            <w:pPr>
              <w:widowControl/>
              <w:jc w:val="center"/>
              <w:rPr>
                <w:rFonts w:ascii="Times New Roman" w:eastAsia="仿宋"/>
                <w:szCs w:val="21"/>
              </w:rPr>
            </w:pPr>
            <w:r>
              <w:rPr>
                <w:rFonts w:hint="eastAsia" w:ascii="Times New Roman" w:eastAsia="仿宋"/>
                <w:szCs w:val="21"/>
              </w:rPr>
              <w:t>+0.81</w:t>
            </w:r>
          </w:p>
        </w:tc>
      </w:tr>
      <w:tr w14:paraId="2BD8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5F168134">
            <w:pPr>
              <w:jc w:val="center"/>
              <w:rPr>
                <w:rFonts w:ascii="Times New Roman" w:eastAsia="仿宋"/>
                <w:szCs w:val="21"/>
              </w:rPr>
            </w:pPr>
          </w:p>
        </w:tc>
        <w:tc>
          <w:tcPr>
            <w:tcW w:w="780" w:type="dxa"/>
            <w:vMerge w:val="continue"/>
            <w:vAlign w:val="center"/>
          </w:tcPr>
          <w:p w14:paraId="587A5641">
            <w:pPr>
              <w:jc w:val="center"/>
              <w:rPr>
                <w:rFonts w:ascii="Times New Roman" w:eastAsia="仿宋"/>
                <w:szCs w:val="21"/>
              </w:rPr>
            </w:pPr>
          </w:p>
        </w:tc>
        <w:tc>
          <w:tcPr>
            <w:tcW w:w="2513" w:type="dxa"/>
            <w:gridSpan w:val="2"/>
            <w:vAlign w:val="center"/>
          </w:tcPr>
          <w:p w14:paraId="466587A5">
            <w:pPr>
              <w:jc w:val="center"/>
              <w:rPr>
                <w:rFonts w:ascii="Times New Roman" w:eastAsia="仿宋"/>
                <w:szCs w:val="21"/>
              </w:rPr>
            </w:pPr>
            <w:r>
              <w:rPr>
                <w:rFonts w:hint="eastAsia" w:ascii="Times New Roman" w:eastAsia="仿宋"/>
                <w:szCs w:val="21"/>
              </w:rPr>
              <w:t>TVOC</w:t>
            </w:r>
          </w:p>
        </w:tc>
        <w:tc>
          <w:tcPr>
            <w:tcW w:w="1642" w:type="dxa"/>
            <w:vAlign w:val="bottom"/>
          </w:tcPr>
          <w:p w14:paraId="031E8FF7">
            <w:pPr>
              <w:widowControl/>
              <w:jc w:val="center"/>
              <w:rPr>
                <w:rFonts w:ascii="Times New Roman" w:eastAsia="仿宋"/>
                <w:szCs w:val="21"/>
              </w:rPr>
            </w:pPr>
            <w:r>
              <w:rPr>
                <w:rFonts w:hint="eastAsia" w:ascii="Times New Roman" w:eastAsia="仿宋"/>
                <w:szCs w:val="21"/>
              </w:rPr>
              <w:t>72.557</w:t>
            </w:r>
          </w:p>
        </w:tc>
        <w:tc>
          <w:tcPr>
            <w:tcW w:w="1722" w:type="dxa"/>
            <w:vAlign w:val="bottom"/>
          </w:tcPr>
          <w:p w14:paraId="074ECFAB">
            <w:pPr>
              <w:jc w:val="center"/>
              <w:rPr>
                <w:rFonts w:ascii="Times New Roman" w:eastAsia="仿宋"/>
                <w:szCs w:val="21"/>
              </w:rPr>
            </w:pPr>
            <w:r>
              <w:rPr>
                <w:rFonts w:hint="eastAsia" w:ascii="Times New Roman" w:eastAsia="仿宋"/>
                <w:szCs w:val="21"/>
              </w:rPr>
              <w:t>68.947</w:t>
            </w:r>
          </w:p>
        </w:tc>
        <w:tc>
          <w:tcPr>
            <w:tcW w:w="1718" w:type="dxa"/>
            <w:vAlign w:val="bottom"/>
          </w:tcPr>
          <w:p w14:paraId="0C262F10">
            <w:pPr>
              <w:jc w:val="center"/>
              <w:rPr>
                <w:rFonts w:ascii="Times New Roman" w:eastAsia="仿宋"/>
                <w:szCs w:val="21"/>
              </w:rPr>
            </w:pPr>
            <w:r>
              <w:rPr>
                <w:rFonts w:hint="eastAsia" w:ascii="Times New Roman" w:eastAsia="仿宋"/>
                <w:szCs w:val="21"/>
              </w:rPr>
              <w:t>3.61</w:t>
            </w:r>
          </w:p>
        </w:tc>
        <w:tc>
          <w:tcPr>
            <w:tcW w:w="2201" w:type="dxa"/>
            <w:vAlign w:val="bottom"/>
          </w:tcPr>
          <w:p w14:paraId="03FF3D32">
            <w:pPr>
              <w:jc w:val="center"/>
              <w:rPr>
                <w:rFonts w:ascii="Times New Roman" w:eastAsia="仿宋"/>
                <w:szCs w:val="21"/>
              </w:rPr>
            </w:pPr>
            <w:r>
              <w:rPr>
                <w:rFonts w:hint="eastAsia" w:ascii="Times New Roman" w:eastAsia="仿宋"/>
                <w:szCs w:val="21"/>
              </w:rPr>
              <w:t>+3.61</w:t>
            </w:r>
          </w:p>
        </w:tc>
        <w:tc>
          <w:tcPr>
            <w:tcW w:w="2482" w:type="dxa"/>
            <w:vAlign w:val="bottom"/>
          </w:tcPr>
          <w:p w14:paraId="22A828EB">
            <w:pPr>
              <w:jc w:val="center"/>
              <w:rPr>
                <w:rFonts w:ascii="Times New Roman" w:eastAsia="仿宋"/>
                <w:szCs w:val="21"/>
              </w:rPr>
            </w:pPr>
            <w:r>
              <w:rPr>
                <w:rFonts w:hint="eastAsia" w:ascii="Times New Roman" w:eastAsia="仿宋"/>
                <w:szCs w:val="21"/>
              </w:rPr>
              <w:t>+3.61</w:t>
            </w:r>
          </w:p>
        </w:tc>
      </w:tr>
      <w:tr w14:paraId="618B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5A05DE7A">
            <w:pPr>
              <w:jc w:val="center"/>
              <w:rPr>
                <w:rFonts w:ascii="Times New Roman" w:eastAsia="仿宋"/>
                <w:szCs w:val="21"/>
              </w:rPr>
            </w:pPr>
          </w:p>
        </w:tc>
        <w:tc>
          <w:tcPr>
            <w:tcW w:w="780" w:type="dxa"/>
            <w:vMerge w:val="continue"/>
            <w:vAlign w:val="center"/>
          </w:tcPr>
          <w:p w14:paraId="4EDF1145">
            <w:pPr>
              <w:jc w:val="center"/>
              <w:rPr>
                <w:rFonts w:ascii="Times New Roman" w:eastAsia="仿宋"/>
                <w:szCs w:val="21"/>
              </w:rPr>
            </w:pPr>
          </w:p>
        </w:tc>
        <w:tc>
          <w:tcPr>
            <w:tcW w:w="2513" w:type="dxa"/>
            <w:gridSpan w:val="2"/>
            <w:vAlign w:val="center"/>
          </w:tcPr>
          <w:p w14:paraId="763B19B3">
            <w:pPr>
              <w:jc w:val="center"/>
              <w:rPr>
                <w:rFonts w:ascii="Times New Roman" w:eastAsia="仿宋"/>
                <w:szCs w:val="21"/>
              </w:rPr>
            </w:pPr>
            <w:r>
              <w:rPr>
                <w:rFonts w:ascii="Times New Roman" w:eastAsia="仿宋"/>
                <w:szCs w:val="21"/>
              </w:rPr>
              <w:t>VOC</w:t>
            </w:r>
            <w:r>
              <w:rPr>
                <w:rFonts w:hint="eastAsia" w:ascii="Times New Roman" w:eastAsia="仿宋"/>
                <w:szCs w:val="21"/>
              </w:rPr>
              <w:t>s（非甲烷总烃）</w:t>
            </w:r>
          </w:p>
        </w:tc>
        <w:tc>
          <w:tcPr>
            <w:tcW w:w="1642" w:type="dxa"/>
            <w:vAlign w:val="bottom"/>
          </w:tcPr>
          <w:p w14:paraId="4125D36B">
            <w:pPr>
              <w:widowControl/>
              <w:jc w:val="center"/>
              <w:rPr>
                <w:rFonts w:ascii="Times New Roman" w:eastAsia="仿宋"/>
                <w:szCs w:val="21"/>
              </w:rPr>
            </w:pPr>
            <w:r>
              <w:rPr>
                <w:rFonts w:hint="eastAsia" w:ascii="Times New Roman" w:eastAsia="仿宋"/>
                <w:szCs w:val="21"/>
              </w:rPr>
              <w:t>72.557</w:t>
            </w:r>
          </w:p>
        </w:tc>
        <w:tc>
          <w:tcPr>
            <w:tcW w:w="1722" w:type="dxa"/>
            <w:vAlign w:val="bottom"/>
          </w:tcPr>
          <w:p w14:paraId="420E38B9">
            <w:pPr>
              <w:jc w:val="center"/>
              <w:rPr>
                <w:rFonts w:ascii="Times New Roman" w:eastAsia="仿宋"/>
                <w:szCs w:val="21"/>
              </w:rPr>
            </w:pPr>
            <w:r>
              <w:rPr>
                <w:rFonts w:hint="eastAsia" w:ascii="Times New Roman" w:eastAsia="仿宋"/>
                <w:szCs w:val="21"/>
              </w:rPr>
              <w:t>68.947</w:t>
            </w:r>
          </w:p>
        </w:tc>
        <w:tc>
          <w:tcPr>
            <w:tcW w:w="1718" w:type="dxa"/>
            <w:vAlign w:val="bottom"/>
          </w:tcPr>
          <w:p w14:paraId="0CF4A003">
            <w:pPr>
              <w:jc w:val="center"/>
              <w:rPr>
                <w:rFonts w:ascii="Times New Roman" w:eastAsia="仿宋"/>
                <w:szCs w:val="21"/>
              </w:rPr>
            </w:pPr>
            <w:r>
              <w:rPr>
                <w:rFonts w:hint="eastAsia" w:ascii="Times New Roman" w:eastAsia="仿宋"/>
                <w:szCs w:val="21"/>
              </w:rPr>
              <w:t>3.61</w:t>
            </w:r>
          </w:p>
        </w:tc>
        <w:tc>
          <w:tcPr>
            <w:tcW w:w="2201" w:type="dxa"/>
            <w:vAlign w:val="bottom"/>
          </w:tcPr>
          <w:p w14:paraId="37B29058">
            <w:pPr>
              <w:jc w:val="center"/>
              <w:rPr>
                <w:rFonts w:ascii="Times New Roman" w:eastAsia="仿宋"/>
                <w:szCs w:val="21"/>
              </w:rPr>
            </w:pPr>
            <w:r>
              <w:rPr>
                <w:rFonts w:hint="eastAsia" w:ascii="Times New Roman" w:eastAsia="仿宋"/>
                <w:szCs w:val="21"/>
              </w:rPr>
              <w:t>+3.61</w:t>
            </w:r>
          </w:p>
        </w:tc>
        <w:tc>
          <w:tcPr>
            <w:tcW w:w="2482" w:type="dxa"/>
            <w:vAlign w:val="bottom"/>
          </w:tcPr>
          <w:p w14:paraId="1E856BA0">
            <w:pPr>
              <w:jc w:val="center"/>
              <w:rPr>
                <w:rFonts w:ascii="Times New Roman" w:eastAsia="仿宋"/>
                <w:szCs w:val="21"/>
              </w:rPr>
            </w:pPr>
            <w:r>
              <w:rPr>
                <w:rFonts w:hint="eastAsia" w:ascii="Times New Roman" w:eastAsia="仿宋"/>
                <w:szCs w:val="21"/>
              </w:rPr>
              <w:t>+3.61</w:t>
            </w:r>
          </w:p>
        </w:tc>
      </w:tr>
      <w:tr w14:paraId="5DBA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7243FEFC">
            <w:pPr>
              <w:jc w:val="center"/>
              <w:rPr>
                <w:rFonts w:ascii="Times New Roman" w:eastAsia="仿宋"/>
                <w:szCs w:val="21"/>
              </w:rPr>
            </w:pPr>
          </w:p>
        </w:tc>
        <w:tc>
          <w:tcPr>
            <w:tcW w:w="780" w:type="dxa"/>
            <w:vMerge w:val="continue"/>
            <w:vAlign w:val="center"/>
          </w:tcPr>
          <w:p w14:paraId="0FED77A0">
            <w:pPr>
              <w:jc w:val="center"/>
              <w:rPr>
                <w:rFonts w:ascii="Times New Roman" w:eastAsia="仿宋"/>
                <w:szCs w:val="21"/>
              </w:rPr>
            </w:pPr>
          </w:p>
        </w:tc>
        <w:tc>
          <w:tcPr>
            <w:tcW w:w="2513" w:type="dxa"/>
            <w:gridSpan w:val="2"/>
            <w:vAlign w:val="center"/>
          </w:tcPr>
          <w:p w14:paraId="40157374">
            <w:pPr>
              <w:jc w:val="center"/>
              <w:rPr>
                <w:rFonts w:ascii="Times New Roman" w:eastAsia="仿宋"/>
                <w:szCs w:val="21"/>
              </w:rPr>
            </w:pPr>
            <w:r>
              <w:rPr>
                <w:rFonts w:hint="eastAsia" w:ascii="Times New Roman" w:eastAsia="仿宋"/>
                <w:szCs w:val="21"/>
              </w:rPr>
              <w:t>颗粒物</w:t>
            </w:r>
          </w:p>
        </w:tc>
        <w:tc>
          <w:tcPr>
            <w:tcW w:w="1642" w:type="dxa"/>
            <w:vAlign w:val="bottom"/>
          </w:tcPr>
          <w:p w14:paraId="3ED29BC6">
            <w:pPr>
              <w:widowControl/>
              <w:jc w:val="center"/>
              <w:rPr>
                <w:rFonts w:ascii="Times New Roman" w:eastAsia="仿宋"/>
                <w:szCs w:val="21"/>
              </w:rPr>
            </w:pPr>
            <w:r>
              <w:rPr>
                <w:rFonts w:hint="eastAsia" w:ascii="Times New Roman" w:eastAsia="仿宋"/>
                <w:szCs w:val="21"/>
              </w:rPr>
              <w:t>22.67</w:t>
            </w:r>
          </w:p>
        </w:tc>
        <w:tc>
          <w:tcPr>
            <w:tcW w:w="1722" w:type="dxa"/>
            <w:vAlign w:val="bottom"/>
          </w:tcPr>
          <w:p w14:paraId="6ED96697">
            <w:pPr>
              <w:jc w:val="center"/>
              <w:rPr>
                <w:rFonts w:ascii="Times New Roman" w:eastAsia="仿宋"/>
                <w:szCs w:val="21"/>
              </w:rPr>
            </w:pPr>
            <w:r>
              <w:rPr>
                <w:rFonts w:hint="eastAsia" w:ascii="Times New Roman" w:eastAsia="仿宋"/>
                <w:szCs w:val="21"/>
              </w:rPr>
              <w:t>21.301</w:t>
            </w:r>
          </w:p>
        </w:tc>
        <w:tc>
          <w:tcPr>
            <w:tcW w:w="1718" w:type="dxa"/>
            <w:vAlign w:val="bottom"/>
          </w:tcPr>
          <w:p w14:paraId="3DCD209A">
            <w:pPr>
              <w:jc w:val="center"/>
              <w:rPr>
                <w:rFonts w:ascii="Times New Roman" w:eastAsia="仿宋"/>
                <w:szCs w:val="21"/>
              </w:rPr>
            </w:pPr>
            <w:r>
              <w:rPr>
                <w:rFonts w:hint="eastAsia" w:ascii="Times New Roman" w:eastAsia="仿宋"/>
                <w:szCs w:val="21"/>
              </w:rPr>
              <w:t>1.369</w:t>
            </w:r>
          </w:p>
        </w:tc>
        <w:tc>
          <w:tcPr>
            <w:tcW w:w="2201" w:type="dxa"/>
            <w:vAlign w:val="bottom"/>
          </w:tcPr>
          <w:p w14:paraId="1E2EB43E">
            <w:pPr>
              <w:jc w:val="center"/>
              <w:rPr>
                <w:rFonts w:ascii="Times New Roman" w:eastAsia="仿宋"/>
                <w:szCs w:val="21"/>
              </w:rPr>
            </w:pPr>
            <w:r>
              <w:rPr>
                <w:rFonts w:hint="eastAsia" w:ascii="Times New Roman" w:eastAsia="仿宋"/>
                <w:szCs w:val="21"/>
              </w:rPr>
              <w:t>+1.369</w:t>
            </w:r>
          </w:p>
        </w:tc>
        <w:tc>
          <w:tcPr>
            <w:tcW w:w="2482" w:type="dxa"/>
            <w:vAlign w:val="bottom"/>
          </w:tcPr>
          <w:p w14:paraId="1567F863">
            <w:pPr>
              <w:jc w:val="center"/>
              <w:rPr>
                <w:rFonts w:ascii="Times New Roman" w:eastAsia="仿宋"/>
                <w:szCs w:val="21"/>
              </w:rPr>
            </w:pPr>
            <w:r>
              <w:rPr>
                <w:rFonts w:hint="eastAsia" w:ascii="Times New Roman" w:eastAsia="仿宋"/>
                <w:szCs w:val="21"/>
              </w:rPr>
              <w:t>+1.369</w:t>
            </w:r>
          </w:p>
        </w:tc>
      </w:tr>
      <w:tr w14:paraId="0956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4137F893">
            <w:pPr>
              <w:jc w:val="center"/>
              <w:rPr>
                <w:rFonts w:ascii="Times New Roman" w:eastAsia="仿宋"/>
                <w:szCs w:val="21"/>
              </w:rPr>
            </w:pPr>
          </w:p>
        </w:tc>
        <w:tc>
          <w:tcPr>
            <w:tcW w:w="780" w:type="dxa"/>
            <w:vMerge w:val="continue"/>
            <w:vAlign w:val="center"/>
          </w:tcPr>
          <w:p w14:paraId="371EB8BB">
            <w:pPr>
              <w:jc w:val="center"/>
              <w:rPr>
                <w:rFonts w:ascii="Times New Roman" w:eastAsia="仿宋"/>
                <w:szCs w:val="21"/>
              </w:rPr>
            </w:pPr>
          </w:p>
        </w:tc>
        <w:tc>
          <w:tcPr>
            <w:tcW w:w="2513" w:type="dxa"/>
            <w:gridSpan w:val="2"/>
            <w:vAlign w:val="center"/>
          </w:tcPr>
          <w:p w14:paraId="00C9E56B">
            <w:pPr>
              <w:adjustRightInd w:val="0"/>
              <w:snapToGrid w:val="0"/>
              <w:jc w:val="center"/>
              <w:rPr>
                <w:rFonts w:ascii="Times New Roman" w:eastAsia="仿宋"/>
                <w:szCs w:val="21"/>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642" w:type="dxa"/>
            <w:vAlign w:val="bottom"/>
          </w:tcPr>
          <w:p w14:paraId="3A5E7D15">
            <w:pPr>
              <w:widowControl/>
              <w:jc w:val="center"/>
              <w:rPr>
                <w:rFonts w:ascii="Times New Roman" w:eastAsia="仿宋"/>
                <w:szCs w:val="21"/>
              </w:rPr>
            </w:pPr>
            <w:r>
              <w:rPr>
                <w:rFonts w:hint="eastAsia" w:ascii="Times New Roman" w:eastAsia="仿宋"/>
                <w:szCs w:val="21"/>
              </w:rPr>
              <w:t>0.025</w:t>
            </w:r>
          </w:p>
        </w:tc>
        <w:tc>
          <w:tcPr>
            <w:tcW w:w="1722" w:type="dxa"/>
            <w:vAlign w:val="bottom"/>
          </w:tcPr>
          <w:p w14:paraId="651D208B">
            <w:pPr>
              <w:widowControl/>
              <w:jc w:val="center"/>
              <w:rPr>
                <w:rFonts w:ascii="Times New Roman" w:eastAsia="仿宋"/>
                <w:szCs w:val="21"/>
              </w:rPr>
            </w:pPr>
            <w:r>
              <w:rPr>
                <w:rFonts w:hint="eastAsia" w:ascii="Times New Roman" w:eastAsia="仿宋"/>
                <w:szCs w:val="21"/>
              </w:rPr>
              <w:t>0</w:t>
            </w:r>
          </w:p>
        </w:tc>
        <w:tc>
          <w:tcPr>
            <w:tcW w:w="1718" w:type="dxa"/>
            <w:vAlign w:val="bottom"/>
          </w:tcPr>
          <w:p w14:paraId="1E1B8244">
            <w:pPr>
              <w:widowControl/>
              <w:jc w:val="center"/>
              <w:rPr>
                <w:rFonts w:ascii="Times New Roman" w:eastAsia="仿宋"/>
                <w:szCs w:val="21"/>
              </w:rPr>
            </w:pPr>
            <w:r>
              <w:rPr>
                <w:rFonts w:hint="eastAsia" w:ascii="Times New Roman" w:eastAsia="仿宋"/>
                <w:szCs w:val="21"/>
              </w:rPr>
              <w:t>0.025</w:t>
            </w:r>
          </w:p>
        </w:tc>
        <w:tc>
          <w:tcPr>
            <w:tcW w:w="2201" w:type="dxa"/>
            <w:vAlign w:val="bottom"/>
          </w:tcPr>
          <w:p w14:paraId="60DDE7C7">
            <w:pPr>
              <w:widowControl/>
              <w:jc w:val="center"/>
              <w:rPr>
                <w:rFonts w:ascii="Times New Roman" w:eastAsia="仿宋"/>
                <w:szCs w:val="21"/>
              </w:rPr>
            </w:pPr>
            <w:r>
              <w:rPr>
                <w:rFonts w:hint="eastAsia" w:ascii="Times New Roman" w:eastAsia="仿宋"/>
                <w:szCs w:val="21"/>
              </w:rPr>
              <w:t>+0.025</w:t>
            </w:r>
          </w:p>
        </w:tc>
        <w:tc>
          <w:tcPr>
            <w:tcW w:w="2482" w:type="dxa"/>
            <w:vAlign w:val="bottom"/>
          </w:tcPr>
          <w:p w14:paraId="30BFCF23">
            <w:pPr>
              <w:widowControl/>
              <w:jc w:val="center"/>
              <w:rPr>
                <w:rFonts w:ascii="Times New Roman" w:eastAsia="仿宋"/>
                <w:szCs w:val="21"/>
              </w:rPr>
            </w:pPr>
            <w:r>
              <w:rPr>
                <w:rFonts w:hint="eastAsia" w:ascii="Times New Roman" w:eastAsia="仿宋"/>
                <w:szCs w:val="21"/>
              </w:rPr>
              <w:t>+0.025</w:t>
            </w:r>
          </w:p>
        </w:tc>
      </w:tr>
      <w:tr w14:paraId="540D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491D505F">
            <w:pPr>
              <w:jc w:val="center"/>
              <w:rPr>
                <w:rFonts w:ascii="Times New Roman" w:eastAsia="仿宋"/>
                <w:szCs w:val="21"/>
              </w:rPr>
            </w:pPr>
          </w:p>
        </w:tc>
        <w:tc>
          <w:tcPr>
            <w:tcW w:w="780" w:type="dxa"/>
            <w:vMerge w:val="continue"/>
            <w:vAlign w:val="center"/>
          </w:tcPr>
          <w:p w14:paraId="699E649C">
            <w:pPr>
              <w:jc w:val="center"/>
              <w:rPr>
                <w:rFonts w:ascii="Times New Roman" w:eastAsia="仿宋"/>
                <w:szCs w:val="21"/>
              </w:rPr>
            </w:pPr>
          </w:p>
        </w:tc>
        <w:tc>
          <w:tcPr>
            <w:tcW w:w="2513" w:type="dxa"/>
            <w:gridSpan w:val="2"/>
            <w:vAlign w:val="center"/>
          </w:tcPr>
          <w:p w14:paraId="3F82D8E9">
            <w:pPr>
              <w:adjustRightInd w:val="0"/>
              <w:snapToGrid w:val="0"/>
              <w:jc w:val="center"/>
              <w:rPr>
                <w:rFonts w:ascii="Times New Roman" w:eastAsia="仿宋"/>
                <w:szCs w:val="21"/>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642" w:type="dxa"/>
            <w:vAlign w:val="bottom"/>
          </w:tcPr>
          <w:p w14:paraId="0146351B">
            <w:pPr>
              <w:widowControl/>
              <w:jc w:val="center"/>
              <w:rPr>
                <w:rFonts w:ascii="Times New Roman" w:eastAsia="仿宋"/>
                <w:szCs w:val="21"/>
              </w:rPr>
            </w:pPr>
            <w:r>
              <w:rPr>
                <w:rFonts w:ascii="Times New Roman" w:eastAsia="仿宋"/>
                <w:szCs w:val="21"/>
              </w:rPr>
              <w:t>1.12</w:t>
            </w:r>
          </w:p>
        </w:tc>
        <w:tc>
          <w:tcPr>
            <w:tcW w:w="1722" w:type="dxa"/>
            <w:vAlign w:val="bottom"/>
          </w:tcPr>
          <w:p w14:paraId="4E37AE65">
            <w:pPr>
              <w:widowControl/>
              <w:jc w:val="center"/>
              <w:rPr>
                <w:rFonts w:ascii="Times New Roman" w:eastAsia="仿宋"/>
                <w:szCs w:val="21"/>
              </w:rPr>
            </w:pPr>
            <w:r>
              <w:rPr>
                <w:rFonts w:hint="eastAsia" w:ascii="Times New Roman" w:eastAsia="仿宋"/>
                <w:szCs w:val="21"/>
              </w:rPr>
              <w:t>0</w:t>
            </w:r>
          </w:p>
        </w:tc>
        <w:tc>
          <w:tcPr>
            <w:tcW w:w="1718" w:type="dxa"/>
            <w:vAlign w:val="bottom"/>
          </w:tcPr>
          <w:p w14:paraId="7643C9E8">
            <w:pPr>
              <w:widowControl/>
              <w:jc w:val="center"/>
              <w:rPr>
                <w:rFonts w:ascii="Times New Roman" w:eastAsia="仿宋"/>
                <w:szCs w:val="21"/>
              </w:rPr>
            </w:pPr>
            <w:r>
              <w:rPr>
                <w:rFonts w:ascii="Times New Roman" w:eastAsia="仿宋"/>
                <w:szCs w:val="21"/>
              </w:rPr>
              <w:t>1.12</w:t>
            </w:r>
          </w:p>
        </w:tc>
        <w:tc>
          <w:tcPr>
            <w:tcW w:w="2201" w:type="dxa"/>
            <w:vAlign w:val="bottom"/>
          </w:tcPr>
          <w:p w14:paraId="7D3DC01C">
            <w:pPr>
              <w:widowControl/>
              <w:jc w:val="center"/>
              <w:rPr>
                <w:rFonts w:ascii="Times New Roman" w:eastAsia="仿宋"/>
                <w:szCs w:val="21"/>
              </w:rPr>
            </w:pPr>
            <w:r>
              <w:rPr>
                <w:rFonts w:hint="eastAsia" w:ascii="Times New Roman" w:eastAsia="仿宋"/>
                <w:szCs w:val="21"/>
              </w:rPr>
              <w:t>+</w:t>
            </w:r>
            <w:r>
              <w:rPr>
                <w:rFonts w:ascii="Times New Roman" w:eastAsia="仿宋"/>
                <w:szCs w:val="21"/>
              </w:rPr>
              <w:t>1.12</w:t>
            </w:r>
          </w:p>
        </w:tc>
        <w:tc>
          <w:tcPr>
            <w:tcW w:w="2482" w:type="dxa"/>
            <w:vAlign w:val="bottom"/>
          </w:tcPr>
          <w:p w14:paraId="70E9CDB5">
            <w:pPr>
              <w:widowControl/>
              <w:jc w:val="center"/>
              <w:rPr>
                <w:rFonts w:ascii="Times New Roman" w:eastAsia="仿宋"/>
                <w:szCs w:val="21"/>
              </w:rPr>
            </w:pPr>
            <w:r>
              <w:rPr>
                <w:rFonts w:hint="eastAsia" w:ascii="Times New Roman" w:eastAsia="仿宋"/>
                <w:szCs w:val="21"/>
              </w:rPr>
              <w:t>+</w:t>
            </w:r>
            <w:r>
              <w:rPr>
                <w:rFonts w:ascii="Times New Roman" w:eastAsia="仿宋"/>
                <w:szCs w:val="21"/>
              </w:rPr>
              <w:t>1.12</w:t>
            </w:r>
          </w:p>
        </w:tc>
      </w:tr>
      <w:tr w14:paraId="10E0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0A834F32">
            <w:pPr>
              <w:jc w:val="center"/>
              <w:rPr>
                <w:rFonts w:ascii="Times New Roman" w:eastAsia="仿宋"/>
                <w:szCs w:val="21"/>
              </w:rPr>
            </w:pPr>
          </w:p>
        </w:tc>
        <w:tc>
          <w:tcPr>
            <w:tcW w:w="780" w:type="dxa"/>
            <w:vMerge w:val="restart"/>
            <w:vAlign w:val="center"/>
          </w:tcPr>
          <w:p w14:paraId="6F534A26">
            <w:pPr>
              <w:jc w:val="center"/>
              <w:rPr>
                <w:rFonts w:ascii="Times New Roman" w:eastAsia="仿宋"/>
                <w:szCs w:val="21"/>
              </w:rPr>
            </w:pPr>
            <w:r>
              <w:rPr>
                <w:rFonts w:ascii="Times New Roman" w:eastAsia="仿宋"/>
                <w:szCs w:val="21"/>
              </w:rPr>
              <w:t>无组织</w:t>
            </w:r>
          </w:p>
        </w:tc>
        <w:tc>
          <w:tcPr>
            <w:tcW w:w="2513" w:type="dxa"/>
            <w:gridSpan w:val="2"/>
            <w:shd w:val="clear" w:color="auto" w:fill="auto"/>
            <w:vAlign w:val="center"/>
          </w:tcPr>
          <w:p w14:paraId="010AAE14">
            <w:pPr>
              <w:jc w:val="center"/>
              <w:rPr>
                <w:rFonts w:ascii="Times New Roman" w:eastAsia="仿宋"/>
                <w:szCs w:val="21"/>
              </w:rPr>
            </w:pPr>
            <w:r>
              <w:rPr>
                <w:rFonts w:hint="eastAsia" w:ascii="Times New Roman" w:eastAsia="仿宋"/>
                <w:szCs w:val="21"/>
              </w:rPr>
              <w:t>二甲苯</w:t>
            </w:r>
          </w:p>
        </w:tc>
        <w:tc>
          <w:tcPr>
            <w:tcW w:w="1642" w:type="dxa"/>
            <w:shd w:val="clear" w:color="auto" w:fill="auto"/>
            <w:vAlign w:val="center"/>
          </w:tcPr>
          <w:p w14:paraId="29276904">
            <w:pPr>
              <w:jc w:val="center"/>
              <w:rPr>
                <w:rFonts w:ascii="Times New Roman" w:eastAsia="仿宋"/>
                <w:szCs w:val="21"/>
              </w:rPr>
            </w:pPr>
            <w:r>
              <w:rPr>
                <w:rFonts w:hint="eastAsia" w:ascii="Times New Roman" w:eastAsia="仿宋"/>
                <w:szCs w:val="21"/>
              </w:rPr>
              <w:t>0.088</w:t>
            </w:r>
          </w:p>
        </w:tc>
        <w:tc>
          <w:tcPr>
            <w:tcW w:w="1722" w:type="dxa"/>
            <w:shd w:val="clear" w:color="auto" w:fill="auto"/>
            <w:vAlign w:val="center"/>
          </w:tcPr>
          <w:p w14:paraId="379A7112">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15308513">
            <w:pPr>
              <w:jc w:val="center"/>
              <w:rPr>
                <w:rFonts w:ascii="Times New Roman" w:eastAsia="仿宋"/>
                <w:szCs w:val="21"/>
              </w:rPr>
            </w:pPr>
            <w:r>
              <w:rPr>
                <w:rFonts w:hint="eastAsia" w:ascii="Times New Roman" w:eastAsia="仿宋"/>
                <w:szCs w:val="21"/>
              </w:rPr>
              <w:t>0.088</w:t>
            </w:r>
          </w:p>
        </w:tc>
        <w:tc>
          <w:tcPr>
            <w:tcW w:w="2201" w:type="dxa"/>
            <w:shd w:val="clear" w:color="auto" w:fill="auto"/>
            <w:vAlign w:val="center"/>
          </w:tcPr>
          <w:p w14:paraId="6D002462">
            <w:pPr>
              <w:jc w:val="center"/>
              <w:rPr>
                <w:rFonts w:ascii="Times New Roman"/>
                <w:szCs w:val="24"/>
              </w:rPr>
            </w:pPr>
            <w:r>
              <w:rPr>
                <w:rFonts w:hint="eastAsia" w:ascii="Times New Roman" w:eastAsia="仿宋"/>
                <w:szCs w:val="21"/>
              </w:rPr>
              <w:t>+0.088</w:t>
            </w:r>
          </w:p>
        </w:tc>
        <w:tc>
          <w:tcPr>
            <w:tcW w:w="2482" w:type="dxa"/>
            <w:shd w:val="clear" w:color="auto" w:fill="auto"/>
            <w:vAlign w:val="center"/>
          </w:tcPr>
          <w:p w14:paraId="0A61B2B3">
            <w:pPr>
              <w:jc w:val="center"/>
              <w:rPr>
                <w:rFonts w:ascii="Times New Roman"/>
                <w:szCs w:val="24"/>
              </w:rPr>
            </w:pPr>
            <w:r>
              <w:rPr>
                <w:rFonts w:hint="eastAsia" w:ascii="Times New Roman" w:eastAsia="仿宋"/>
                <w:szCs w:val="21"/>
              </w:rPr>
              <w:t>+0.088</w:t>
            </w:r>
          </w:p>
        </w:tc>
      </w:tr>
      <w:tr w14:paraId="647A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56594198">
            <w:pPr>
              <w:jc w:val="center"/>
              <w:rPr>
                <w:rFonts w:ascii="Times New Roman" w:eastAsia="仿宋"/>
                <w:szCs w:val="21"/>
              </w:rPr>
            </w:pPr>
          </w:p>
        </w:tc>
        <w:tc>
          <w:tcPr>
            <w:tcW w:w="780" w:type="dxa"/>
            <w:vMerge w:val="continue"/>
            <w:vAlign w:val="center"/>
          </w:tcPr>
          <w:p w14:paraId="75C5122D">
            <w:pPr>
              <w:jc w:val="center"/>
              <w:rPr>
                <w:rFonts w:ascii="Times New Roman" w:eastAsia="仿宋"/>
                <w:szCs w:val="21"/>
              </w:rPr>
            </w:pPr>
          </w:p>
        </w:tc>
        <w:tc>
          <w:tcPr>
            <w:tcW w:w="2513" w:type="dxa"/>
            <w:gridSpan w:val="2"/>
            <w:shd w:val="clear" w:color="auto" w:fill="auto"/>
            <w:vAlign w:val="center"/>
          </w:tcPr>
          <w:p w14:paraId="610BBFDF">
            <w:pPr>
              <w:jc w:val="center"/>
              <w:rPr>
                <w:rFonts w:ascii="Times New Roman" w:eastAsia="仿宋"/>
                <w:szCs w:val="21"/>
              </w:rPr>
            </w:pPr>
            <w:r>
              <w:rPr>
                <w:rFonts w:hint="eastAsia" w:ascii="Times New Roman" w:eastAsia="仿宋"/>
                <w:szCs w:val="21"/>
              </w:rPr>
              <w:t>苯系物</w:t>
            </w:r>
          </w:p>
        </w:tc>
        <w:tc>
          <w:tcPr>
            <w:tcW w:w="1642" w:type="dxa"/>
            <w:shd w:val="clear" w:color="auto" w:fill="auto"/>
            <w:vAlign w:val="center"/>
          </w:tcPr>
          <w:p w14:paraId="4A1AE14D">
            <w:pPr>
              <w:jc w:val="center"/>
              <w:rPr>
                <w:rFonts w:ascii="Times New Roman" w:eastAsia="仿宋"/>
                <w:szCs w:val="21"/>
              </w:rPr>
            </w:pPr>
            <w:r>
              <w:rPr>
                <w:rFonts w:hint="eastAsia" w:ascii="Times New Roman" w:eastAsia="仿宋"/>
                <w:szCs w:val="21"/>
              </w:rPr>
              <w:t>0.088</w:t>
            </w:r>
          </w:p>
        </w:tc>
        <w:tc>
          <w:tcPr>
            <w:tcW w:w="1722" w:type="dxa"/>
            <w:shd w:val="clear" w:color="auto" w:fill="auto"/>
            <w:vAlign w:val="center"/>
          </w:tcPr>
          <w:p w14:paraId="163D80FA">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49EB5AE6">
            <w:pPr>
              <w:jc w:val="center"/>
              <w:rPr>
                <w:rFonts w:ascii="Times New Roman" w:eastAsia="仿宋"/>
                <w:szCs w:val="21"/>
              </w:rPr>
            </w:pPr>
            <w:r>
              <w:rPr>
                <w:rFonts w:hint="eastAsia" w:ascii="Times New Roman" w:eastAsia="仿宋"/>
                <w:szCs w:val="21"/>
              </w:rPr>
              <w:t>0.088</w:t>
            </w:r>
          </w:p>
        </w:tc>
        <w:tc>
          <w:tcPr>
            <w:tcW w:w="2201" w:type="dxa"/>
            <w:shd w:val="clear" w:color="auto" w:fill="auto"/>
            <w:vAlign w:val="center"/>
          </w:tcPr>
          <w:p w14:paraId="24DA93A1">
            <w:pPr>
              <w:jc w:val="center"/>
              <w:rPr>
                <w:rFonts w:ascii="Times New Roman"/>
                <w:szCs w:val="24"/>
              </w:rPr>
            </w:pPr>
            <w:r>
              <w:rPr>
                <w:rFonts w:hint="eastAsia" w:ascii="Times New Roman" w:eastAsia="仿宋"/>
                <w:szCs w:val="21"/>
              </w:rPr>
              <w:t>+0.088</w:t>
            </w:r>
          </w:p>
        </w:tc>
        <w:tc>
          <w:tcPr>
            <w:tcW w:w="2482" w:type="dxa"/>
            <w:shd w:val="clear" w:color="auto" w:fill="auto"/>
            <w:vAlign w:val="center"/>
          </w:tcPr>
          <w:p w14:paraId="2D5EC42E">
            <w:pPr>
              <w:jc w:val="center"/>
              <w:rPr>
                <w:rFonts w:ascii="Times New Roman"/>
                <w:szCs w:val="24"/>
              </w:rPr>
            </w:pPr>
            <w:r>
              <w:rPr>
                <w:rFonts w:hint="eastAsia" w:ascii="Times New Roman" w:eastAsia="仿宋"/>
                <w:szCs w:val="21"/>
              </w:rPr>
              <w:t>+0.088</w:t>
            </w:r>
          </w:p>
        </w:tc>
      </w:tr>
      <w:tr w14:paraId="5E83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09E71685">
            <w:pPr>
              <w:jc w:val="center"/>
              <w:rPr>
                <w:rFonts w:ascii="Times New Roman" w:eastAsia="仿宋"/>
                <w:szCs w:val="21"/>
              </w:rPr>
            </w:pPr>
          </w:p>
        </w:tc>
        <w:tc>
          <w:tcPr>
            <w:tcW w:w="780" w:type="dxa"/>
            <w:vMerge w:val="continue"/>
            <w:vAlign w:val="center"/>
          </w:tcPr>
          <w:p w14:paraId="663B8A13">
            <w:pPr>
              <w:jc w:val="center"/>
              <w:rPr>
                <w:rFonts w:ascii="Times New Roman" w:eastAsia="仿宋"/>
                <w:szCs w:val="21"/>
              </w:rPr>
            </w:pPr>
          </w:p>
        </w:tc>
        <w:tc>
          <w:tcPr>
            <w:tcW w:w="2513" w:type="dxa"/>
            <w:gridSpan w:val="2"/>
            <w:shd w:val="clear" w:color="auto" w:fill="auto"/>
            <w:vAlign w:val="center"/>
          </w:tcPr>
          <w:p w14:paraId="754C1C4F">
            <w:pPr>
              <w:jc w:val="center"/>
              <w:rPr>
                <w:rFonts w:ascii="Times New Roman" w:eastAsia="仿宋"/>
                <w:szCs w:val="21"/>
              </w:rPr>
            </w:pPr>
            <w:r>
              <w:rPr>
                <w:rFonts w:ascii="Times New Roman" w:eastAsia="仿宋"/>
                <w:szCs w:val="21"/>
              </w:rPr>
              <w:t>VOC</w:t>
            </w:r>
            <w:r>
              <w:rPr>
                <w:rFonts w:hint="eastAsia" w:ascii="Times New Roman" w:eastAsia="仿宋"/>
                <w:szCs w:val="21"/>
              </w:rPr>
              <w:t>s（非甲烷总烃）</w:t>
            </w:r>
          </w:p>
        </w:tc>
        <w:tc>
          <w:tcPr>
            <w:tcW w:w="1642" w:type="dxa"/>
            <w:shd w:val="clear" w:color="auto" w:fill="auto"/>
            <w:vAlign w:val="center"/>
          </w:tcPr>
          <w:p w14:paraId="09375E56">
            <w:pPr>
              <w:jc w:val="center"/>
              <w:rPr>
                <w:rFonts w:ascii="Times New Roman" w:eastAsia="仿宋"/>
                <w:szCs w:val="21"/>
              </w:rPr>
            </w:pPr>
            <w:r>
              <w:rPr>
                <w:rFonts w:hint="eastAsia" w:ascii="Times New Roman" w:eastAsia="仿宋"/>
                <w:szCs w:val="21"/>
              </w:rPr>
              <w:t>1.199</w:t>
            </w:r>
          </w:p>
        </w:tc>
        <w:tc>
          <w:tcPr>
            <w:tcW w:w="1722" w:type="dxa"/>
            <w:shd w:val="clear" w:color="auto" w:fill="auto"/>
            <w:vAlign w:val="center"/>
          </w:tcPr>
          <w:p w14:paraId="4E5CE299">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18690A76">
            <w:pPr>
              <w:jc w:val="center"/>
              <w:rPr>
                <w:rFonts w:ascii="Times New Roman" w:eastAsia="仿宋"/>
                <w:szCs w:val="21"/>
              </w:rPr>
            </w:pPr>
            <w:r>
              <w:rPr>
                <w:rFonts w:hint="eastAsia" w:ascii="Times New Roman" w:eastAsia="仿宋"/>
                <w:szCs w:val="21"/>
              </w:rPr>
              <w:t>1.199</w:t>
            </w:r>
          </w:p>
        </w:tc>
        <w:tc>
          <w:tcPr>
            <w:tcW w:w="2201" w:type="dxa"/>
            <w:shd w:val="clear" w:color="auto" w:fill="auto"/>
            <w:vAlign w:val="center"/>
          </w:tcPr>
          <w:p w14:paraId="429AC532">
            <w:pPr>
              <w:jc w:val="center"/>
              <w:rPr>
                <w:rFonts w:ascii="Times New Roman"/>
                <w:szCs w:val="24"/>
              </w:rPr>
            </w:pPr>
            <w:r>
              <w:rPr>
                <w:rFonts w:hint="eastAsia" w:ascii="Times New Roman" w:eastAsia="仿宋"/>
                <w:szCs w:val="21"/>
              </w:rPr>
              <w:t>+1.199</w:t>
            </w:r>
          </w:p>
        </w:tc>
        <w:tc>
          <w:tcPr>
            <w:tcW w:w="2482" w:type="dxa"/>
            <w:shd w:val="clear" w:color="auto" w:fill="auto"/>
            <w:vAlign w:val="center"/>
          </w:tcPr>
          <w:p w14:paraId="3098DDD3">
            <w:pPr>
              <w:jc w:val="center"/>
              <w:rPr>
                <w:rFonts w:ascii="Times New Roman"/>
                <w:szCs w:val="24"/>
              </w:rPr>
            </w:pPr>
            <w:r>
              <w:rPr>
                <w:rFonts w:hint="eastAsia" w:ascii="Times New Roman" w:eastAsia="仿宋"/>
                <w:szCs w:val="21"/>
              </w:rPr>
              <w:t>+1.199</w:t>
            </w:r>
          </w:p>
        </w:tc>
      </w:tr>
      <w:tr w14:paraId="1638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2722D07A">
            <w:pPr>
              <w:jc w:val="center"/>
              <w:rPr>
                <w:rFonts w:ascii="Times New Roman" w:eastAsia="仿宋"/>
                <w:szCs w:val="21"/>
              </w:rPr>
            </w:pPr>
          </w:p>
        </w:tc>
        <w:tc>
          <w:tcPr>
            <w:tcW w:w="780" w:type="dxa"/>
            <w:vMerge w:val="continue"/>
            <w:vAlign w:val="center"/>
          </w:tcPr>
          <w:p w14:paraId="3C2F0D82">
            <w:pPr>
              <w:jc w:val="center"/>
              <w:rPr>
                <w:rFonts w:ascii="Times New Roman" w:eastAsia="仿宋"/>
                <w:szCs w:val="21"/>
              </w:rPr>
            </w:pPr>
          </w:p>
        </w:tc>
        <w:tc>
          <w:tcPr>
            <w:tcW w:w="2513" w:type="dxa"/>
            <w:gridSpan w:val="2"/>
            <w:shd w:val="clear" w:color="auto" w:fill="auto"/>
            <w:vAlign w:val="center"/>
          </w:tcPr>
          <w:p w14:paraId="5028D496">
            <w:pPr>
              <w:jc w:val="center"/>
              <w:rPr>
                <w:rFonts w:ascii="Times New Roman" w:eastAsia="仿宋"/>
                <w:szCs w:val="21"/>
              </w:rPr>
            </w:pPr>
            <w:r>
              <w:rPr>
                <w:rFonts w:hint="eastAsia" w:ascii="Times New Roman" w:eastAsia="仿宋"/>
                <w:szCs w:val="21"/>
              </w:rPr>
              <w:t>颗粒物</w:t>
            </w:r>
          </w:p>
        </w:tc>
        <w:tc>
          <w:tcPr>
            <w:tcW w:w="1642" w:type="dxa"/>
            <w:shd w:val="clear" w:color="auto" w:fill="auto"/>
            <w:vAlign w:val="center"/>
          </w:tcPr>
          <w:p w14:paraId="3C5BB512">
            <w:pPr>
              <w:jc w:val="center"/>
              <w:rPr>
                <w:rFonts w:ascii="Times New Roman" w:eastAsia="仿宋"/>
                <w:szCs w:val="21"/>
              </w:rPr>
            </w:pPr>
            <w:r>
              <w:rPr>
                <w:rFonts w:hint="eastAsia" w:ascii="Times New Roman" w:eastAsia="仿宋"/>
                <w:szCs w:val="21"/>
              </w:rPr>
              <w:t>0.24</w:t>
            </w:r>
          </w:p>
        </w:tc>
        <w:tc>
          <w:tcPr>
            <w:tcW w:w="1722" w:type="dxa"/>
            <w:shd w:val="clear" w:color="auto" w:fill="auto"/>
            <w:vAlign w:val="center"/>
          </w:tcPr>
          <w:p w14:paraId="43457768">
            <w:pPr>
              <w:widowControl/>
              <w:jc w:val="center"/>
              <w:textAlignment w:val="center"/>
              <w:rPr>
                <w:rFonts w:ascii="Times New Roman" w:eastAsia="仿宋"/>
                <w:szCs w:val="21"/>
              </w:rPr>
            </w:pPr>
            <w:r>
              <w:rPr>
                <w:rFonts w:hint="eastAsia" w:ascii="Times New Roman" w:eastAsia="仿宋"/>
                <w:szCs w:val="21"/>
              </w:rPr>
              <w:t>0.024</w:t>
            </w:r>
          </w:p>
        </w:tc>
        <w:tc>
          <w:tcPr>
            <w:tcW w:w="1718" w:type="dxa"/>
            <w:shd w:val="clear" w:color="auto" w:fill="auto"/>
            <w:vAlign w:val="center"/>
          </w:tcPr>
          <w:p w14:paraId="66C57848">
            <w:pPr>
              <w:jc w:val="center"/>
              <w:rPr>
                <w:rFonts w:ascii="Times New Roman" w:eastAsia="仿宋"/>
                <w:szCs w:val="21"/>
              </w:rPr>
            </w:pPr>
            <w:r>
              <w:rPr>
                <w:rFonts w:hint="eastAsia" w:ascii="Times New Roman" w:eastAsia="仿宋"/>
                <w:szCs w:val="21"/>
              </w:rPr>
              <w:t>0.216</w:t>
            </w:r>
          </w:p>
        </w:tc>
        <w:tc>
          <w:tcPr>
            <w:tcW w:w="2201" w:type="dxa"/>
            <w:shd w:val="clear" w:color="auto" w:fill="auto"/>
            <w:vAlign w:val="center"/>
          </w:tcPr>
          <w:p w14:paraId="26756D1D">
            <w:pPr>
              <w:jc w:val="center"/>
              <w:rPr>
                <w:rFonts w:ascii="Times New Roman"/>
                <w:szCs w:val="24"/>
              </w:rPr>
            </w:pPr>
            <w:r>
              <w:rPr>
                <w:rFonts w:hint="eastAsia" w:ascii="Times New Roman" w:eastAsia="仿宋"/>
                <w:szCs w:val="21"/>
              </w:rPr>
              <w:t>+0.216</w:t>
            </w:r>
          </w:p>
        </w:tc>
        <w:tc>
          <w:tcPr>
            <w:tcW w:w="2482" w:type="dxa"/>
            <w:shd w:val="clear" w:color="auto" w:fill="auto"/>
            <w:vAlign w:val="center"/>
          </w:tcPr>
          <w:p w14:paraId="735F9A73">
            <w:pPr>
              <w:jc w:val="center"/>
              <w:rPr>
                <w:rFonts w:ascii="Times New Roman"/>
                <w:szCs w:val="24"/>
              </w:rPr>
            </w:pPr>
            <w:r>
              <w:rPr>
                <w:rFonts w:hint="eastAsia" w:ascii="Times New Roman" w:eastAsia="仿宋"/>
                <w:szCs w:val="21"/>
              </w:rPr>
              <w:t>+0.216</w:t>
            </w:r>
          </w:p>
        </w:tc>
      </w:tr>
      <w:tr w14:paraId="3179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restart"/>
            <w:vAlign w:val="center"/>
          </w:tcPr>
          <w:p w14:paraId="7A69DE9A">
            <w:pPr>
              <w:jc w:val="center"/>
              <w:rPr>
                <w:rFonts w:ascii="Times New Roman" w:eastAsia="仿宋"/>
                <w:szCs w:val="21"/>
              </w:rPr>
            </w:pPr>
            <w:r>
              <w:rPr>
                <w:rFonts w:ascii="Times New Roman" w:eastAsia="仿宋"/>
                <w:szCs w:val="21"/>
              </w:rPr>
              <w:t>废水</w:t>
            </w:r>
          </w:p>
        </w:tc>
        <w:tc>
          <w:tcPr>
            <w:tcW w:w="1164" w:type="dxa"/>
            <w:vMerge w:val="restart"/>
            <w:vAlign w:val="center"/>
          </w:tcPr>
          <w:p w14:paraId="0FF0AD74">
            <w:pPr>
              <w:pStyle w:val="170"/>
              <w:rPr>
                <w:rFonts w:ascii="Times New Roman" w:eastAsia="仿宋"/>
                <w:sz w:val="24"/>
                <w:szCs w:val="21"/>
              </w:rPr>
            </w:pPr>
            <w:r>
              <w:rPr>
                <w:rFonts w:hint="eastAsia" w:ascii="Times New Roman" w:eastAsia="仿宋"/>
                <w:sz w:val="24"/>
                <w:szCs w:val="21"/>
              </w:rPr>
              <w:t>生产污水</w:t>
            </w:r>
          </w:p>
        </w:tc>
        <w:tc>
          <w:tcPr>
            <w:tcW w:w="1349" w:type="dxa"/>
            <w:vAlign w:val="center"/>
          </w:tcPr>
          <w:p w14:paraId="1DCD9479">
            <w:pPr>
              <w:pStyle w:val="170"/>
              <w:rPr>
                <w:rFonts w:ascii="Times New Roman" w:eastAsia="仿宋"/>
                <w:sz w:val="24"/>
                <w:szCs w:val="21"/>
              </w:rPr>
            </w:pPr>
            <w:r>
              <w:rPr>
                <w:rFonts w:hint="eastAsia" w:ascii="Times New Roman" w:eastAsia="仿宋"/>
                <w:sz w:val="24"/>
                <w:szCs w:val="21"/>
              </w:rPr>
              <w:t>水量</w:t>
            </w:r>
          </w:p>
        </w:tc>
        <w:tc>
          <w:tcPr>
            <w:tcW w:w="1642" w:type="dxa"/>
            <w:vAlign w:val="center"/>
          </w:tcPr>
          <w:p w14:paraId="02F9053F">
            <w:pPr>
              <w:jc w:val="center"/>
              <w:rPr>
                <w:rFonts w:ascii="Times New Roman" w:eastAsia="仿宋"/>
              </w:rPr>
            </w:pPr>
            <w:r>
              <w:rPr>
                <w:rFonts w:hint="eastAsia" w:ascii="Times New Roman" w:eastAsia="仿宋"/>
              </w:rPr>
              <w:t>792.4</w:t>
            </w:r>
          </w:p>
        </w:tc>
        <w:tc>
          <w:tcPr>
            <w:tcW w:w="1722" w:type="dxa"/>
            <w:vAlign w:val="center"/>
          </w:tcPr>
          <w:p w14:paraId="6AB8572A">
            <w:pPr>
              <w:pStyle w:val="229"/>
              <w:spacing w:line="240" w:lineRule="auto"/>
              <w:rPr>
                <w:rFonts w:eastAsia="仿宋"/>
                <w:sz w:val="24"/>
              </w:rPr>
            </w:pPr>
            <w:r>
              <w:rPr>
                <w:rFonts w:eastAsia="仿宋"/>
                <w:sz w:val="24"/>
              </w:rPr>
              <w:t>0</w:t>
            </w:r>
          </w:p>
        </w:tc>
        <w:tc>
          <w:tcPr>
            <w:tcW w:w="1718" w:type="dxa"/>
            <w:vAlign w:val="center"/>
          </w:tcPr>
          <w:p w14:paraId="1192AF60">
            <w:pPr>
              <w:jc w:val="center"/>
              <w:rPr>
                <w:rFonts w:ascii="Times New Roman" w:eastAsia="仿宋"/>
              </w:rPr>
            </w:pPr>
            <w:r>
              <w:rPr>
                <w:rFonts w:hint="eastAsia" w:ascii="Times New Roman" w:eastAsia="仿宋"/>
              </w:rPr>
              <w:t>7</w:t>
            </w:r>
            <w:r>
              <w:rPr>
                <w:rFonts w:ascii="Times New Roman" w:eastAsia="仿宋"/>
              </w:rPr>
              <w:t>92.4</w:t>
            </w:r>
          </w:p>
        </w:tc>
        <w:tc>
          <w:tcPr>
            <w:tcW w:w="2201" w:type="dxa"/>
            <w:shd w:val="clear" w:color="auto" w:fill="auto"/>
            <w:vAlign w:val="center"/>
          </w:tcPr>
          <w:p w14:paraId="57B739DB">
            <w:pPr>
              <w:jc w:val="center"/>
              <w:rPr>
                <w:rFonts w:ascii="Times New Roman" w:eastAsia="仿宋"/>
              </w:rPr>
            </w:pPr>
            <w:r>
              <w:rPr>
                <w:rFonts w:hint="eastAsia" w:ascii="Times New Roman" w:eastAsia="仿宋"/>
              </w:rPr>
              <w:t>+7</w:t>
            </w:r>
            <w:r>
              <w:rPr>
                <w:rFonts w:ascii="Times New Roman" w:eastAsia="仿宋"/>
              </w:rPr>
              <w:t>92.4</w:t>
            </w:r>
          </w:p>
        </w:tc>
        <w:tc>
          <w:tcPr>
            <w:tcW w:w="2482" w:type="dxa"/>
            <w:vAlign w:val="center"/>
          </w:tcPr>
          <w:p w14:paraId="00740600">
            <w:pPr>
              <w:jc w:val="center"/>
              <w:rPr>
                <w:rFonts w:ascii="Times New Roman" w:eastAsia="仿宋"/>
                <w:szCs w:val="21"/>
              </w:rPr>
            </w:pPr>
            <w:r>
              <w:rPr>
                <w:rFonts w:hint="eastAsia" w:ascii="Times New Roman" w:eastAsia="仿宋"/>
              </w:rPr>
              <w:t>7</w:t>
            </w:r>
            <w:r>
              <w:rPr>
                <w:rFonts w:ascii="Times New Roman" w:eastAsia="仿宋"/>
              </w:rPr>
              <w:t>92.4</w:t>
            </w:r>
          </w:p>
        </w:tc>
      </w:tr>
      <w:tr w14:paraId="7004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28B0A001">
            <w:pPr>
              <w:jc w:val="center"/>
              <w:rPr>
                <w:rFonts w:ascii="Times New Roman" w:eastAsia="仿宋"/>
                <w:szCs w:val="21"/>
              </w:rPr>
            </w:pPr>
          </w:p>
        </w:tc>
        <w:tc>
          <w:tcPr>
            <w:tcW w:w="1164" w:type="dxa"/>
            <w:vMerge w:val="continue"/>
            <w:vAlign w:val="center"/>
          </w:tcPr>
          <w:p w14:paraId="207DCD5E">
            <w:pPr>
              <w:jc w:val="center"/>
              <w:rPr>
                <w:rFonts w:ascii="Times New Roman" w:eastAsia="仿宋"/>
                <w:szCs w:val="21"/>
              </w:rPr>
            </w:pPr>
          </w:p>
        </w:tc>
        <w:tc>
          <w:tcPr>
            <w:tcW w:w="1349" w:type="dxa"/>
            <w:vAlign w:val="center"/>
          </w:tcPr>
          <w:p w14:paraId="6E64315A">
            <w:pPr>
              <w:jc w:val="center"/>
              <w:rPr>
                <w:rFonts w:ascii="Times New Roman" w:eastAsia="仿宋"/>
                <w:szCs w:val="21"/>
              </w:rPr>
            </w:pPr>
            <w:r>
              <w:rPr>
                <w:rFonts w:ascii="Times New Roman" w:eastAsia="仿宋"/>
                <w:szCs w:val="21"/>
              </w:rPr>
              <w:t>COD</w:t>
            </w:r>
          </w:p>
        </w:tc>
        <w:tc>
          <w:tcPr>
            <w:tcW w:w="1642" w:type="dxa"/>
            <w:vAlign w:val="center"/>
          </w:tcPr>
          <w:p w14:paraId="3F322281">
            <w:pPr>
              <w:jc w:val="center"/>
              <w:rPr>
                <w:rFonts w:ascii="Times New Roman" w:eastAsia="仿宋"/>
              </w:rPr>
            </w:pPr>
            <w:r>
              <w:rPr>
                <w:rFonts w:hint="eastAsia" w:ascii="Times New Roman" w:eastAsia="仿宋"/>
              </w:rPr>
              <w:t>2.312</w:t>
            </w:r>
          </w:p>
        </w:tc>
        <w:tc>
          <w:tcPr>
            <w:tcW w:w="1722" w:type="dxa"/>
            <w:vAlign w:val="center"/>
          </w:tcPr>
          <w:p w14:paraId="0D5A0B22">
            <w:pPr>
              <w:widowControl/>
              <w:jc w:val="center"/>
              <w:textAlignment w:val="center"/>
              <w:rPr>
                <w:rFonts w:ascii="Times New Roman" w:eastAsia="仿宋"/>
                <w:szCs w:val="21"/>
              </w:rPr>
            </w:pPr>
            <w:r>
              <w:rPr>
                <w:rFonts w:hint="eastAsia" w:ascii="Times New Roman" w:eastAsia="仿宋"/>
                <w:szCs w:val="21"/>
              </w:rPr>
              <w:t>2</w:t>
            </w:r>
            <w:r>
              <w:rPr>
                <w:rFonts w:ascii="Times New Roman" w:eastAsia="仿宋"/>
                <w:szCs w:val="21"/>
              </w:rPr>
              <w:t>.032</w:t>
            </w:r>
          </w:p>
        </w:tc>
        <w:tc>
          <w:tcPr>
            <w:tcW w:w="1718" w:type="dxa"/>
            <w:vAlign w:val="center"/>
          </w:tcPr>
          <w:p w14:paraId="16A4C287">
            <w:pPr>
              <w:jc w:val="center"/>
              <w:rPr>
                <w:rFonts w:ascii="Times New Roman" w:eastAsia="仿宋"/>
              </w:rPr>
            </w:pPr>
            <w:r>
              <w:rPr>
                <w:rFonts w:hint="eastAsia" w:ascii="Times New Roman" w:eastAsia="仿宋"/>
              </w:rPr>
              <w:t>0.2</w:t>
            </w:r>
            <w:r>
              <w:rPr>
                <w:rFonts w:ascii="Times New Roman" w:eastAsia="仿宋"/>
              </w:rPr>
              <w:t>8</w:t>
            </w:r>
          </w:p>
        </w:tc>
        <w:tc>
          <w:tcPr>
            <w:tcW w:w="2201" w:type="dxa"/>
            <w:shd w:val="clear" w:color="auto" w:fill="auto"/>
            <w:vAlign w:val="center"/>
          </w:tcPr>
          <w:p w14:paraId="204885D5">
            <w:pPr>
              <w:jc w:val="center"/>
              <w:rPr>
                <w:rFonts w:ascii="Times New Roman" w:eastAsia="仿宋"/>
              </w:rPr>
            </w:pPr>
            <w:r>
              <w:rPr>
                <w:rFonts w:hint="eastAsia" w:ascii="Times New Roman" w:eastAsia="仿宋"/>
              </w:rPr>
              <w:t>+0.2</w:t>
            </w:r>
            <w:r>
              <w:rPr>
                <w:rFonts w:ascii="Times New Roman" w:eastAsia="仿宋"/>
              </w:rPr>
              <w:t>8</w:t>
            </w:r>
          </w:p>
        </w:tc>
        <w:tc>
          <w:tcPr>
            <w:tcW w:w="2482" w:type="dxa"/>
            <w:vAlign w:val="center"/>
          </w:tcPr>
          <w:p w14:paraId="1621C483">
            <w:pPr>
              <w:jc w:val="center"/>
              <w:rPr>
                <w:rFonts w:ascii="Times New Roman" w:eastAsia="仿宋"/>
                <w:szCs w:val="21"/>
              </w:rPr>
            </w:pPr>
            <w:r>
              <w:rPr>
                <w:rFonts w:hint="eastAsia" w:ascii="Times New Roman" w:eastAsia="仿宋"/>
                <w:szCs w:val="21"/>
              </w:rPr>
              <w:t>0</w:t>
            </w:r>
            <w:r>
              <w:rPr>
                <w:rFonts w:ascii="Times New Roman" w:eastAsia="仿宋"/>
                <w:szCs w:val="21"/>
              </w:rPr>
              <w:t>.04</w:t>
            </w:r>
          </w:p>
        </w:tc>
      </w:tr>
      <w:tr w14:paraId="2DE3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74CE2417">
            <w:pPr>
              <w:jc w:val="center"/>
              <w:rPr>
                <w:rFonts w:ascii="Times New Roman" w:eastAsia="仿宋"/>
                <w:szCs w:val="21"/>
              </w:rPr>
            </w:pPr>
          </w:p>
        </w:tc>
        <w:tc>
          <w:tcPr>
            <w:tcW w:w="1164" w:type="dxa"/>
            <w:vMerge w:val="continue"/>
            <w:vAlign w:val="center"/>
          </w:tcPr>
          <w:p w14:paraId="7C9B274A">
            <w:pPr>
              <w:jc w:val="center"/>
              <w:rPr>
                <w:rFonts w:ascii="Times New Roman" w:eastAsia="仿宋"/>
                <w:szCs w:val="21"/>
              </w:rPr>
            </w:pPr>
          </w:p>
        </w:tc>
        <w:tc>
          <w:tcPr>
            <w:tcW w:w="1349" w:type="dxa"/>
            <w:vAlign w:val="center"/>
          </w:tcPr>
          <w:p w14:paraId="0F8F3200">
            <w:pPr>
              <w:jc w:val="center"/>
              <w:rPr>
                <w:rFonts w:ascii="Times New Roman" w:eastAsia="仿宋"/>
                <w:szCs w:val="21"/>
              </w:rPr>
            </w:pPr>
            <w:r>
              <w:rPr>
                <w:rFonts w:ascii="Times New Roman" w:eastAsia="仿宋"/>
                <w:szCs w:val="21"/>
              </w:rPr>
              <w:t>SS</w:t>
            </w:r>
          </w:p>
        </w:tc>
        <w:tc>
          <w:tcPr>
            <w:tcW w:w="1642" w:type="dxa"/>
            <w:vAlign w:val="center"/>
          </w:tcPr>
          <w:p w14:paraId="72A611D1">
            <w:pPr>
              <w:jc w:val="center"/>
              <w:rPr>
                <w:rFonts w:ascii="Times New Roman" w:eastAsia="仿宋"/>
              </w:rPr>
            </w:pPr>
            <w:r>
              <w:rPr>
                <w:rFonts w:hint="eastAsia" w:ascii="Times New Roman" w:eastAsia="仿宋"/>
              </w:rPr>
              <w:t>0.766</w:t>
            </w:r>
          </w:p>
        </w:tc>
        <w:tc>
          <w:tcPr>
            <w:tcW w:w="1722" w:type="dxa"/>
            <w:vAlign w:val="center"/>
          </w:tcPr>
          <w:p w14:paraId="32B58874">
            <w:pPr>
              <w:widowControl/>
              <w:jc w:val="center"/>
              <w:textAlignment w:val="center"/>
              <w:rPr>
                <w:rFonts w:ascii="Times New Roman" w:eastAsia="仿宋"/>
                <w:szCs w:val="21"/>
              </w:rPr>
            </w:pPr>
            <w:r>
              <w:rPr>
                <w:rFonts w:hint="eastAsia" w:ascii="Times New Roman" w:eastAsia="仿宋"/>
                <w:szCs w:val="21"/>
              </w:rPr>
              <w:t>0</w:t>
            </w:r>
            <w:r>
              <w:rPr>
                <w:rFonts w:ascii="Times New Roman" w:eastAsia="仿宋"/>
                <w:szCs w:val="21"/>
              </w:rPr>
              <w:t>.742</w:t>
            </w:r>
          </w:p>
        </w:tc>
        <w:tc>
          <w:tcPr>
            <w:tcW w:w="1718" w:type="dxa"/>
            <w:vAlign w:val="center"/>
          </w:tcPr>
          <w:p w14:paraId="55EF61B9">
            <w:pPr>
              <w:jc w:val="center"/>
              <w:rPr>
                <w:rFonts w:ascii="Times New Roman" w:eastAsia="仿宋"/>
              </w:rPr>
            </w:pPr>
            <w:r>
              <w:rPr>
                <w:rFonts w:hint="eastAsia" w:ascii="Times New Roman" w:eastAsia="仿宋"/>
              </w:rPr>
              <w:t>0.02</w:t>
            </w:r>
            <w:r>
              <w:rPr>
                <w:rFonts w:ascii="Times New Roman" w:eastAsia="仿宋"/>
              </w:rPr>
              <w:t>4</w:t>
            </w:r>
          </w:p>
        </w:tc>
        <w:tc>
          <w:tcPr>
            <w:tcW w:w="2201" w:type="dxa"/>
            <w:shd w:val="clear" w:color="auto" w:fill="auto"/>
            <w:vAlign w:val="center"/>
          </w:tcPr>
          <w:p w14:paraId="607CFD2E">
            <w:pPr>
              <w:jc w:val="center"/>
              <w:rPr>
                <w:rFonts w:ascii="Times New Roman" w:eastAsia="仿宋"/>
              </w:rPr>
            </w:pPr>
            <w:r>
              <w:rPr>
                <w:rFonts w:hint="eastAsia" w:ascii="Times New Roman" w:eastAsia="仿宋"/>
              </w:rPr>
              <w:t>+0.02</w:t>
            </w:r>
            <w:r>
              <w:rPr>
                <w:rFonts w:ascii="Times New Roman" w:eastAsia="仿宋"/>
              </w:rPr>
              <w:t>4</w:t>
            </w:r>
          </w:p>
        </w:tc>
        <w:tc>
          <w:tcPr>
            <w:tcW w:w="2482" w:type="dxa"/>
            <w:vAlign w:val="center"/>
          </w:tcPr>
          <w:p w14:paraId="005BD997">
            <w:pPr>
              <w:jc w:val="center"/>
              <w:rPr>
                <w:rFonts w:ascii="Times New Roman" w:eastAsia="仿宋"/>
                <w:szCs w:val="21"/>
              </w:rPr>
            </w:pPr>
            <w:r>
              <w:rPr>
                <w:rFonts w:hint="eastAsia" w:ascii="Times New Roman" w:eastAsia="仿宋"/>
                <w:szCs w:val="21"/>
              </w:rPr>
              <w:t>0</w:t>
            </w:r>
            <w:r>
              <w:rPr>
                <w:rFonts w:ascii="Times New Roman" w:eastAsia="仿宋"/>
                <w:szCs w:val="21"/>
              </w:rPr>
              <w:t>.008</w:t>
            </w:r>
          </w:p>
        </w:tc>
      </w:tr>
      <w:tr w14:paraId="7FD2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continue"/>
            <w:vAlign w:val="center"/>
          </w:tcPr>
          <w:p w14:paraId="5229BBE3">
            <w:pPr>
              <w:jc w:val="center"/>
              <w:rPr>
                <w:rFonts w:ascii="Times New Roman" w:eastAsia="仿宋"/>
                <w:szCs w:val="21"/>
                <w:highlight w:val="yellow"/>
              </w:rPr>
            </w:pPr>
          </w:p>
        </w:tc>
        <w:tc>
          <w:tcPr>
            <w:tcW w:w="1164" w:type="dxa"/>
            <w:vMerge w:val="continue"/>
            <w:vAlign w:val="center"/>
          </w:tcPr>
          <w:p w14:paraId="6E94C3FF">
            <w:pPr>
              <w:jc w:val="center"/>
              <w:rPr>
                <w:rFonts w:ascii="Times New Roman" w:eastAsia="仿宋"/>
                <w:szCs w:val="21"/>
              </w:rPr>
            </w:pPr>
          </w:p>
        </w:tc>
        <w:tc>
          <w:tcPr>
            <w:tcW w:w="1349" w:type="dxa"/>
            <w:vAlign w:val="center"/>
          </w:tcPr>
          <w:p w14:paraId="3A614B48">
            <w:pPr>
              <w:jc w:val="center"/>
              <w:rPr>
                <w:rFonts w:ascii="Times New Roman" w:eastAsia="仿宋"/>
                <w:szCs w:val="21"/>
              </w:rPr>
            </w:pPr>
            <w:r>
              <w:rPr>
                <w:rFonts w:ascii="Times New Roman" w:eastAsia="仿宋"/>
                <w:szCs w:val="21"/>
              </w:rPr>
              <w:t>石油类</w:t>
            </w:r>
          </w:p>
        </w:tc>
        <w:tc>
          <w:tcPr>
            <w:tcW w:w="1642" w:type="dxa"/>
            <w:vAlign w:val="center"/>
          </w:tcPr>
          <w:p w14:paraId="5D70DE8A">
            <w:pPr>
              <w:jc w:val="center"/>
              <w:rPr>
                <w:rFonts w:ascii="Times New Roman" w:eastAsia="仿宋"/>
              </w:rPr>
            </w:pPr>
            <w:r>
              <w:rPr>
                <w:rFonts w:hint="eastAsia" w:ascii="Times New Roman" w:eastAsia="仿宋"/>
              </w:rPr>
              <w:t>0.763</w:t>
            </w:r>
          </w:p>
        </w:tc>
        <w:tc>
          <w:tcPr>
            <w:tcW w:w="1722" w:type="dxa"/>
            <w:vAlign w:val="center"/>
          </w:tcPr>
          <w:p w14:paraId="33C8607C">
            <w:pPr>
              <w:widowControl/>
              <w:jc w:val="center"/>
              <w:textAlignment w:val="center"/>
              <w:rPr>
                <w:rFonts w:ascii="Times New Roman" w:eastAsia="仿宋"/>
                <w:szCs w:val="21"/>
              </w:rPr>
            </w:pPr>
            <w:r>
              <w:rPr>
                <w:rFonts w:hint="eastAsia" w:ascii="Times New Roman" w:eastAsia="仿宋"/>
                <w:szCs w:val="21"/>
              </w:rPr>
              <w:t>0.7</w:t>
            </w:r>
            <w:r>
              <w:rPr>
                <w:rFonts w:ascii="Times New Roman" w:eastAsia="仿宋"/>
                <w:szCs w:val="21"/>
              </w:rPr>
              <w:t>61</w:t>
            </w:r>
          </w:p>
        </w:tc>
        <w:tc>
          <w:tcPr>
            <w:tcW w:w="1718" w:type="dxa"/>
            <w:vAlign w:val="center"/>
          </w:tcPr>
          <w:p w14:paraId="51594653">
            <w:pPr>
              <w:jc w:val="center"/>
              <w:rPr>
                <w:rFonts w:ascii="Times New Roman" w:eastAsia="仿宋"/>
              </w:rPr>
            </w:pPr>
            <w:r>
              <w:rPr>
                <w:rFonts w:hint="eastAsia" w:ascii="Times New Roman" w:eastAsia="仿宋"/>
              </w:rPr>
              <w:t>0.00</w:t>
            </w:r>
            <w:r>
              <w:rPr>
                <w:rFonts w:ascii="Times New Roman" w:eastAsia="仿宋"/>
              </w:rPr>
              <w:t>2</w:t>
            </w:r>
          </w:p>
        </w:tc>
        <w:tc>
          <w:tcPr>
            <w:tcW w:w="2201" w:type="dxa"/>
            <w:shd w:val="clear" w:color="auto" w:fill="auto"/>
            <w:vAlign w:val="center"/>
          </w:tcPr>
          <w:p w14:paraId="7E24B46F">
            <w:pPr>
              <w:jc w:val="center"/>
              <w:rPr>
                <w:rFonts w:ascii="Times New Roman" w:eastAsia="仿宋"/>
              </w:rPr>
            </w:pPr>
            <w:r>
              <w:rPr>
                <w:rFonts w:hint="eastAsia" w:ascii="Times New Roman" w:eastAsia="仿宋"/>
              </w:rPr>
              <w:t>+0.00</w:t>
            </w:r>
            <w:r>
              <w:rPr>
                <w:rFonts w:ascii="Times New Roman" w:eastAsia="仿宋"/>
              </w:rPr>
              <w:t>2</w:t>
            </w:r>
          </w:p>
        </w:tc>
        <w:tc>
          <w:tcPr>
            <w:tcW w:w="2482" w:type="dxa"/>
            <w:vAlign w:val="center"/>
          </w:tcPr>
          <w:p w14:paraId="0BE55777">
            <w:pPr>
              <w:jc w:val="center"/>
              <w:rPr>
                <w:rFonts w:ascii="Times New Roman" w:eastAsia="仿宋"/>
                <w:szCs w:val="21"/>
              </w:rPr>
            </w:pPr>
            <w:r>
              <w:rPr>
                <w:rFonts w:hint="eastAsia" w:ascii="Times New Roman" w:eastAsia="仿宋"/>
                <w:szCs w:val="21"/>
              </w:rPr>
              <w:t>0</w:t>
            </w:r>
            <w:r>
              <w:rPr>
                <w:rFonts w:ascii="Times New Roman" w:eastAsia="仿宋"/>
                <w:szCs w:val="21"/>
              </w:rPr>
              <w:t>.0008</w:t>
            </w:r>
          </w:p>
        </w:tc>
      </w:tr>
      <w:tr w14:paraId="2FFC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7CA41696">
            <w:pPr>
              <w:jc w:val="center"/>
              <w:rPr>
                <w:rFonts w:ascii="Times New Roman" w:eastAsia="仿宋"/>
                <w:szCs w:val="21"/>
                <w:highlight w:val="yellow"/>
              </w:rPr>
            </w:pPr>
          </w:p>
        </w:tc>
        <w:tc>
          <w:tcPr>
            <w:tcW w:w="1164" w:type="dxa"/>
            <w:vMerge w:val="restart"/>
            <w:vAlign w:val="center"/>
          </w:tcPr>
          <w:p w14:paraId="07B4CC89">
            <w:pPr>
              <w:jc w:val="center"/>
              <w:rPr>
                <w:rFonts w:ascii="Times New Roman" w:eastAsia="仿宋"/>
                <w:szCs w:val="21"/>
              </w:rPr>
            </w:pPr>
            <w:r>
              <w:rPr>
                <w:rFonts w:hint="eastAsia" w:ascii="Times New Roman" w:eastAsia="仿宋"/>
                <w:szCs w:val="21"/>
              </w:rPr>
              <w:t>生活废水</w:t>
            </w:r>
          </w:p>
        </w:tc>
        <w:tc>
          <w:tcPr>
            <w:tcW w:w="1349" w:type="dxa"/>
            <w:vAlign w:val="center"/>
          </w:tcPr>
          <w:p w14:paraId="7C75E106">
            <w:pPr>
              <w:jc w:val="center"/>
              <w:rPr>
                <w:rFonts w:ascii="Times New Roman" w:eastAsia="仿宋"/>
                <w:szCs w:val="21"/>
              </w:rPr>
            </w:pPr>
            <w:r>
              <w:rPr>
                <w:rFonts w:hint="eastAsia" w:ascii="Times New Roman" w:eastAsia="仿宋"/>
                <w:szCs w:val="21"/>
              </w:rPr>
              <w:t>水量</w:t>
            </w:r>
          </w:p>
        </w:tc>
        <w:tc>
          <w:tcPr>
            <w:tcW w:w="1642" w:type="dxa"/>
            <w:vAlign w:val="center"/>
          </w:tcPr>
          <w:p w14:paraId="6D844721">
            <w:pPr>
              <w:jc w:val="center"/>
              <w:rPr>
                <w:rFonts w:ascii="Times New Roman" w:eastAsia="仿宋"/>
              </w:rPr>
            </w:pPr>
            <w:r>
              <w:rPr>
                <w:rFonts w:ascii="Times New Roman" w:eastAsia="仿宋"/>
              </w:rPr>
              <w:t>1275</w:t>
            </w:r>
          </w:p>
        </w:tc>
        <w:tc>
          <w:tcPr>
            <w:tcW w:w="1722" w:type="dxa"/>
            <w:vAlign w:val="center"/>
          </w:tcPr>
          <w:p w14:paraId="75372AC3">
            <w:pPr>
              <w:jc w:val="center"/>
              <w:rPr>
                <w:rFonts w:ascii="Times New Roman" w:eastAsia="仿宋"/>
                <w:szCs w:val="21"/>
              </w:rPr>
            </w:pPr>
            <w:r>
              <w:rPr>
                <w:rFonts w:hint="eastAsia" w:ascii="Times New Roman" w:eastAsia="仿宋"/>
                <w:szCs w:val="21"/>
              </w:rPr>
              <w:t>0</w:t>
            </w:r>
          </w:p>
        </w:tc>
        <w:tc>
          <w:tcPr>
            <w:tcW w:w="1718" w:type="dxa"/>
            <w:vAlign w:val="center"/>
          </w:tcPr>
          <w:p w14:paraId="4BF50894">
            <w:pPr>
              <w:jc w:val="center"/>
              <w:rPr>
                <w:rFonts w:ascii="Times New Roman" w:eastAsia="仿宋"/>
              </w:rPr>
            </w:pPr>
            <w:r>
              <w:rPr>
                <w:rFonts w:ascii="Times New Roman" w:eastAsia="仿宋"/>
              </w:rPr>
              <w:t>1275</w:t>
            </w:r>
          </w:p>
        </w:tc>
        <w:tc>
          <w:tcPr>
            <w:tcW w:w="2201" w:type="dxa"/>
            <w:shd w:val="clear" w:color="auto" w:fill="auto"/>
            <w:vAlign w:val="center"/>
          </w:tcPr>
          <w:p w14:paraId="4048E039">
            <w:pPr>
              <w:jc w:val="center"/>
              <w:rPr>
                <w:rFonts w:ascii="Times New Roman" w:eastAsia="仿宋"/>
              </w:rPr>
            </w:pPr>
            <w:r>
              <w:rPr>
                <w:rFonts w:hint="eastAsia" w:ascii="Times New Roman" w:eastAsia="仿宋"/>
              </w:rPr>
              <w:t>+</w:t>
            </w:r>
            <w:r>
              <w:rPr>
                <w:rFonts w:ascii="Times New Roman" w:eastAsia="仿宋"/>
              </w:rPr>
              <w:t>1275</w:t>
            </w:r>
          </w:p>
        </w:tc>
        <w:tc>
          <w:tcPr>
            <w:tcW w:w="2482" w:type="dxa"/>
            <w:vAlign w:val="center"/>
          </w:tcPr>
          <w:p w14:paraId="42DE73B0">
            <w:pPr>
              <w:jc w:val="center"/>
              <w:rPr>
                <w:rFonts w:ascii="Times New Roman" w:eastAsia="仿宋"/>
                <w:szCs w:val="21"/>
              </w:rPr>
            </w:pPr>
            <w:r>
              <w:rPr>
                <w:rFonts w:ascii="Times New Roman" w:eastAsia="仿宋"/>
              </w:rPr>
              <w:t>1275</w:t>
            </w:r>
          </w:p>
        </w:tc>
      </w:tr>
      <w:tr w14:paraId="4FED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6C7B0FDD">
            <w:pPr>
              <w:jc w:val="center"/>
              <w:rPr>
                <w:rFonts w:ascii="Times New Roman" w:eastAsia="仿宋"/>
                <w:szCs w:val="21"/>
                <w:highlight w:val="yellow"/>
              </w:rPr>
            </w:pPr>
          </w:p>
        </w:tc>
        <w:tc>
          <w:tcPr>
            <w:tcW w:w="1164" w:type="dxa"/>
            <w:vMerge w:val="continue"/>
            <w:vAlign w:val="center"/>
          </w:tcPr>
          <w:p w14:paraId="58762F26">
            <w:pPr>
              <w:jc w:val="center"/>
              <w:rPr>
                <w:rFonts w:ascii="Times New Roman" w:eastAsia="仿宋"/>
                <w:szCs w:val="21"/>
              </w:rPr>
            </w:pPr>
          </w:p>
        </w:tc>
        <w:tc>
          <w:tcPr>
            <w:tcW w:w="1349" w:type="dxa"/>
            <w:vAlign w:val="center"/>
          </w:tcPr>
          <w:p w14:paraId="59E1F781">
            <w:pPr>
              <w:jc w:val="center"/>
              <w:rPr>
                <w:rFonts w:ascii="Times New Roman" w:eastAsia="仿宋"/>
                <w:szCs w:val="21"/>
              </w:rPr>
            </w:pPr>
            <w:r>
              <w:rPr>
                <w:rFonts w:ascii="Times New Roman" w:eastAsia="仿宋"/>
              </w:rPr>
              <w:t>COD</w:t>
            </w:r>
          </w:p>
        </w:tc>
        <w:tc>
          <w:tcPr>
            <w:tcW w:w="1642" w:type="dxa"/>
            <w:vAlign w:val="center"/>
          </w:tcPr>
          <w:p w14:paraId="4EE5374D">
            <w:pPr>
              <w:jc w:val="center"/>
              <w:rPr>
                <w:rFonts w:ascii="Times New Roman" w:eastAsia="仿宋"/>
              </w:rPr>
            </w:pPr>
            <w:r>
              <w:rPr>
                <w:rFonts w:ascii="Times New Roman" w:eastAsia="仿宋"/>
              </w:rPr>
              <w:t>0.38</w:t>
            </w:r>
          </w:p>
        </w:tc>
        <w:tc>
          <w:tcPr>
            <w:tcW w:w="1722" w:type="dxa"/>
            <w:vAlign w:val="center"/>
          </w:tcPr>
          <w:p w14:paraId="18A7ADAF">
            <w:pPr>
              <w:jc w:val="center"/>
              <w:rPr>
                <w:rFonts w:ascii="Times New Roman" w:eastAsia="仿宋"/>
                <w:szCs w:val="21"/>
              </w:rPr>
            </w:pPr>
            <w:r>
              <w:rPr>
                <w:rFonts w:hint="eastAsia" w:ascii="Times New Roman" w:eastAsia="仿宋"/>
                <w:szCs w:val="21"/>
              </w:rPr>
              <w:t>0</w:t>
            </w:r>
          </w:p>
        </w:tc>
        <w:tc>
          <w:tcPr>
            <w:tcW w:w="1718" w:type="dxa"/>
            <w:vAlign w:val="center"/>
          </w:tcPr>
          <w:p w14:paraId="228528B5">
            <w:pPr>
              <w:jc w:val="center"/>
              <w:rPr>
                <w:rFonts w:ascii="Times New Roman" w:eastAsia="仿宋"/>
              </w:rPr>
            </w:pPr>
            <w:r>
              <w:rPr>
                <w:rFonts w:ascii="Times New Roman" w:eastAsia="仿宋"/>
              </w:rPr>
              <w:t>0.38</w:t>
            </w:r>
          </w:p>
        </w:tc>
        <w:tc>
          <w:tcPr>
            <w:tcW w:w="2201" w:type="dxa"/>
            <w:shd w:val="clear" w:color="auto" w:fill="auto"/>
            <w:vAlign w:val="center"/>
          </w:tcPr>
          <w:p w14:paraId="10971A5C">
            <w:pPr>
              <w:jc w:val="center"/>
              <w:rPr>
                <w:rFonts w:ascii="Times New Roman" w:eastAsia="仿宋"/>
              </w:rPr>
            </w:pPr>
            <w:r>
              <w:rPr>
                <w:rFonts w:ascii="Times New Roman" w:eastAsia="仿宋"/>
              </w:rPr>
              <w:t>+0.38</w:t>
            </w:r>
          </w:p>
        </w:tc>
        <w:tc>
          <w:tcPr>
            <w:tcW w:w="2482" w:type="dxa"/>
            <w:vAlign w:val="center"/>
          </w:tcPr>
          <w:p w14:paraId="459956E1">
            <w:pPr>
              <w:jc w:val="center"/>
              <w:rPr>
                <w:rFonts w:ascii="Times New Roman" w:eastAsia="仿宋"/>
                <w:szCs w:val="21"/>
              </w:rPr>
            </w:pPr>
            <w:r>
              <w:rPr>
                <w:rFonts w:hint="eastAsia" w:ascii="Times New Roman" w:eastAsia="仿宋"/>
                <w:szCs w:val="21"/>
              </w:rPr>
              <w:t>0</w:t>
            </w:r>
            <w:r>
              <w:rPr>
                <w:rFonts w:ascii="Times New Roman" w:eastAsia="仿宋"/>
                <w:szCs w:val="21"/>
              </w:rPr>
              <w:t>.06</w:t>
            </w:r>
          </w:p>
        </w:tc>
      </w:tr>
      <w:tr w14:paraId="47EC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646C612B">
            <w:pPr>
              <w:jc w:val="center"/>
              <w:rPr>
                <w:rFonts w:ascii="Times New Roman" w:eastAsia="仿宋"/>
                <w:szCs w:val="21"/>
                <w:highlight w:val="yellow"/>
              </w:rPr>
            </w:pPr>
          </w:p>
        </w:tc>
        <w:tc>
          <w:tcPr>
            <w:tcW w:w="1164" w:type="dxa"/>
            <w:vMerge w:val="continue"/>
            <w:vAlign w:val="center"/>
          </w:tcPr>
          <w:p w14:paraId="0D126B99">
            <w:pPr>
              <w:jc w:val="center"/>
              <w:rPr>
                <w:rFonts w:ascii="Times New Roman" w:eastAsia="仿宋"/>
                <w:szCs w:val="21"/>
              </w:rPr>
            </w:pPr>
          </w:p>
        </w:tc>
        <w:tc>
          <w:tcPr>
            <w:tcW w:w="1349" w:type="dxa"/>
            <w:vAlign w:val="center"/>
          </w:tcPr>
          <w:p w14:paraId="60F06B53">
            <w:pPr>
              <w:jc w:val="center"/>
              <w:rPr>
                <w:rFonts w:ascii="Times New Roman" w:eastAsia="仿宋"/>
                <w:szCs w:val="21"/>
              </w:rPr>
            </w:pPr>
            <w:r>
              <w:rPr>
                <w:rFonts w:ascii="Times New Roman" w:eastAsia="仿宋"/>
              </w:rPr>
              <w:t>SS</w:t>
            </w:r>
          </w:p>
        </w:tc>
        <w:tc>
          <w:tcPr>
            <w:tcW w:w="1642" w:type="dxa"/>
            <w:vAlign w:val="center"/>
          </w:tcPr>
          <w:p w14:paraId="05D1FB5A">
            <w:pPr>
              <w:jc w:val="center"/>
              <w:rPr>
                <w:rFonts w:ascii="Times New Roman" w:eastAsia="仿宋"/>
              </w:rPr>
            </w:pPr>
            <w:r>
              <w:rPr>
                <w:rFonts w:hint="eastAsia" w:ascii="Times New Roman" w:eastAsia="仿宋"/>
              </w:rPr>
              <w:t>0</w:t>
            </w:r>
            <w:r>
              <w:rPr>
                <w:rFonts w:ascii="Times New Roman" w:eastAsia="仿宋"/>
              </w:rPr>
              <w:t>.26</w:t>
            </w:r>
          </w:p>
        </w:tc>
        <w:tc>
          <w:tcPr>
            <w:tcW w:w="1722" w:type="dxa"/>
            <w:vAlign w:val="center"/>
          </w:tcPr>
          <w:p w14:paraId="18855D16">
            <w:pPr>
              <w:jc w:val="center"/>
              <w:rPr>
                <w:rFonts w:ascii="Times New Roman" w:eastAsia="仿宋"/>
                <w:szCs w:val="21"/>
              </w:rPr>
            </w:pPr>
            <w:r>
              <w:rPr>
                <w:rFonts w:hint="eastAsia" w:ascii="Times New Roman" w:eastAsia="仿宋"/>
                <w:szCs w:val="21"/>
              </w:rPr>
              <w:t>0</w:t>
            </w:r>
          </w:p>
        </w:tc>
        <w:tc>
          <w:tcPr>
            <w:tcW w:w="1718" w:type="dxa"/>
            <w:vAlign w:val="center"/>
          </w:tcPr>
          <w:p w14:paraId="3A3E2E81">
            <w:pPr>
              <w:jc w:val="center"/>
              <w:rPr>
                <w:rFonts w:ascii="Times New Roman" w:eastAsia="仿宋"/>
              </w:rPr>
            </w:pPr>
            <w:r>
              <w:rPr>
                <w:rFonts w:hint="eastAsia" w:ascii="Times New Roman" w:eastAsia="仿宋"/>
              </w:rPr>
              <w:t>0</w:t>
            </w:r>
            <w:r>
              <w:rPr>
                <w:rFonts w:ascii="Times New Roman" w:eastAsia="仿宋"/>
              </w:rPr>
              <w:t>.26</w:t>
            </w:r>
          </w:p>
        </w:tc>
        <w:tc>
          <w:tcPr>
            <w:tcW w:w="2201" w:type="dxa"/>
            <w:shd w:val="clear" w:color="auto" w:fill="auto"/>
            <w:vAlign w:val="center"/>
          </w:tcPr>
          <w:p w14:paraId="7A741891">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.26</w:t>
            </w:r>
          </w:p>
        </w:tc>
        <w:tc>
          <w:tcPr>
            <w:tcW w:w="2482" w:type="dxa"/>
            <w:vAlign w:val="center"/>
          </w:tcPr>
          <w:p w14:paraId="3329505A">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r>
      <w:tr w14:paraId="087C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041E732F">
            <w:pPr>
              <w:jc w:val="center"/>
              <w:rPr>
                <w:rFonts w:ascii="Times New Roman" w:eastAsia="仿宋"/>
                <w:szCs w:val="21"/>
                <w:highlight w:val="yellow"/>
              </w:rPr>
            </w:pPr>
          </w:p>
        </w:tc>
        <w:tc>
          <w:tcPr>
            <w:tcW w:w="1164" w:type="dxa"/>
            <w:vMerge w:val="continue"/>
            <w:vAlign w:val="center"/>
          </w:tcPr>
          <w:p w14:paraId="27679C07">
            <w:pPr>
              <w:jc w:val="center"/>
              <w:rPr>
                <w:rFonts w:ascii="Times New Roman" w:eastAsia="仿宋"/>
                <w:szCs w:val="21"/>
              </w:rPr>
            </w:pPr>
          </w:p>
        </w:tc>
        <w:tc>
          <w:tcPr>
            <w:tcW w:w="1349" w:type="dxa"/>
            <w:vAlign w:val="center"/>
          </w:tcPr>
          <w:p w14:paraId="1E4D8649">
            <w:pPr>
              <w:jc w:val="center"/>
              <w:rPr>
                <w:rFonts w:ascii="Times New Roman" w:eastAsia="仿宋"/>
                <w:szCs w:val="21"/>
              </w:rPr>
            </w:pPr>
            <w:r>
              <w:rPr>
                <w:rFonts w:ascii="Times New Roman" w:eastAsia="仿宋"/>
              </w:rPr>
              <w:t>NH</w:t>
            </w:r>
            <w:r>
              <w:rPr>
                <w:rFonts w:ascii="Times New Roman" w:eastAsia="仿宋"/>
                <w:vertAlign w:val="subscript"/>
              </w:rPr>
              <w:t>3</w:t>
            </w:r>
            <w:r>
              <w:rPr>
                <w:rFonts w:ascii="Times New Roman" w:eastAsia="仿宋"/>
              </w:rPr>
              <w:t>-N</w:t>
            </w:r>
          </w:p>
        </w:tc>
        <w:tc>
          <w:tcPr>
            <w:tcW w:w="1642" w:type="dxa"/>
            <w:vAlign w:val="center"/>
          </w:tcPr>
          <w:p w14:paraId="72D4EAE2">
            <w:pPr>
              <w:jc w:val="center"/>
              <w:rPr>
                <w:rFonts w:ascii="Times New Roman" w:eastAsia="仿宋"/>
              </w:rPr>
            </w:pPr>
            <w:r>
              <w:rPr>
                <w:rFonts w:hint="eastAsia" w:ascii="Times New Roman" w:eastAsia="仿宋"/>
              </w:rPr>
              <w:t>0</w:t>
            </w:r>
            <w:r>
              <w:rPr>
                <w:rFonts w:ascii="Times New Roman" w:eastAsia="仿宋"/>
              </w:rPr>
              <w:t>.03</w:t>
            </w:r>
          </w:p>
        </w:tc>
        <w:tc>
          <w:tcPr>
            <w:tcW w:w="1722" w:type="dxa"/>
            <w:vAlign w:val="center"/>
          </w:tcPr>
          <w:p w14:paraId="61F17CD2">
            <w:pPr>
              <w:jc w:val="center"/>
              <w:rPr>
                <w:rFonts w:ascii="Times New Roman" w:eastAsia="仿宋"/>
                <w:szCs w:val="21"/>
              </w:rPr>
            </w:pPr>
            <w:r>
              <w:rPr>
                <w:rFonts w:hint="eastAsia" w:ascii="Times New Roman" w:eastAsia="仿宋"/>
                <w:szCs w:val="21"/>
              </w:rPr>
              <w:t>0</w:t>
            </w:r>
          </w:p>
        </w:tc>
        <w:tc>
          <w:tcPr>
            <w:tcW w:w="1718" w:type="dxa"/>
            <w:vAlign w:val="center"/>
          </w:tcPr>
          <w:p w14:paraId="5D820049">
            <w:pPr>
              <w:jc w:val="center"/>
              <w:rPr>
                <w:rFonts w:ascii="Times New Roman" w:eastAsia="仿宋"/>
              </w:rPr>
            </w:pPr>
            <w:r>
              <w:rPr>
                <w:rFonts w:hint="eastAsia" w:ascii="Times New Roman" w:eastAsia="仿宋"/>
              </w:rPr>
              <w:t>0</w:t>
            </w:r>
            <w:r>
              <w:rPr>
                <w:rFonts w:ascii="Times New Roman" w:eastAsia="仿宋"/>
              </w:rPr>
              <w:t>.03</w:t>
            </w:r>
          </w:p>
        </w:tc>
        <w:tc>
          <w:tcPr>
            <w:tcW w:w="2201" w:type="dxa"/>
            <w:shd w:val="clear" w:color="auto" w:fill="auto"/>
            <w:vAlign w:val="center"/>
          </w:tcPr>
          <w:p w14:paraId="01FC2751">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.03</w:t>
            </w:r>
          </w:p>
        </w:tc>
        <w:tc>
          <w:tcPr>
            <w:tcW w:w="2482" w:type="dxa"/>
            <w:vAlign w:val="center"/>
          </w:tcPr>
          <w:p w14:paraId="37D03E1A">
            <w:pPr>
              <w:jc w:val="center"/>
              <w:rPr>
                <w:rFonts w:ascii="Times New Roman" w:eastAsia="仿宋"/>
                <w:szCs w:val="21"/>
              </w:rPr>
            </w:pPr>
            <w:r>
              <w:rPr>
                <w:rFonts w:hint="eastAsia" w:ascii="Times New Roman" w:eastAsia="仿宋"/>
                <w:szCs w:val="21"/>
              </w:rPr>
              <w:t>0</w:t>
            </w:r>
            <w:r>
              <w:rPr>
                <w:rFonts w:ascii="Times New Roman" w:eastAsia="仿宋"/>
                <w:szCs w:val="21"/>
              </w:rPr>
              <w:t>.005</w:t>
            </w:r>
          </w:p>
        </w:tc>
      </w:tr>
      <w:tr w14:paraId="581B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058CD0B6">
            <w:pPr>
              <w:jc w:val="center"/>
              <w:rPr>
                <w:rFonts w:ascii="Times New Roman" w:eastAsia="仿宋"/>
                <w:szCs w:val="21"/>
                <w:highlight w:val="yellow"/>
              </w:rPr>
            </w:pPr>
          </w:p>
        </w:tc>
        <w:tc>
          <w:tcPr>
            <w:tcW w:w="1164" w:type="dxa"/>
            <w:vMerge w:val="continue"/>
            <w:vAlign w:val="center"/>
          </w:tcPr>
          <w:p w14:paraId="1069F514">
            <w:pPr>
              <w:jc w:val="center"/>
              <w:rPr>
                <w:rFonts w:ascii="Times New Roman" w:eastAsia="仿宋"/>
                <w:szCs w:val="21"/>
              </w:rPr>
            </w:pPr>
          </w:p>
        </w:tc>
        <w:tc>
          <w:tcPr>
            <w:tcW w:w="1349" w:type="dxa"/>
            <w:vAlign w:val="center"/>
          </w:tcPr>
          <w:p w14:paraId="70F55E01">
            <w:pPr>
              <w:jc w:val="center"/>
              <w:rPr>
                <w:rFonts w:ascii="Times New Roman" w:eastAsia="仿宋"/>
                <w:szCs w:val="21"/>
              </w:rPr>
            </w:pPr>
            <w:r>
              <w:rPr>
                <w:rFonts w:hint="eastAsia" w:ascii="Times New Roman" w:eastAsia="仿宋"/>
                <w:szCs w:val="21"/>
              </w:rPr>
              <w:t>TN</w:t>
            </w:r>
          </w:p>
        </w:tc>
        <w:tc>
          <w:tcPr>
            <w:tcW w:w="1642" w:type="dxa"/>
            <w:vAlign w:val="center"/>
          </w:tcPr>
          <w:p w14:paraId="4B0FD9E2">
            <w:pPr>
              <w:jc w:val="center"/>
              <w:rPr>
                <w:rFonts w:ascii="Times New Roman" w:eastAsia="仿宋"/>
              </w:rPr>
            </w:pPr>
            <w:r>
              <w:rPr>
                <w:rFonts w:hint="eastAsia" w:ascii="Times New Roman" w:eastAsia="仿宋"/>
              </w:rPr>
              <w:t>0</w:t>
            </w:r>
            <w:r>
              <w:rPr>
                <w:rFonts w:ascii="Times New Roman" w:eastAsia="仿宋"/>
              </w:rPr>
              <w:t>.04</w:t>
            </w:r>
          </w:p>
        </w:tc>
        <w:tc>
          <w:tcPr>
            <w:tcW w:w="1722" w:type="dxa"/>
            <w:vAlign w:val="center"/>
          </w:tcPr>
          <w:p w14:paraId="15EFE46A">
            <w:pPr>
              <w:jc w:val="center"/>
              <w:rPr>
                <w:rFonts w:ascii="Times New Roman" w:eastAsia="仿宋"/>
                <w:szCs w:val="21"/>
              </w:rPr>
            </w:pPr>
            <w:r>
              <w:rPr>
                <w:rFonts w:hint="eastAsia" w:ascii="Times New Roman" w:eastAsia="仿宋"/>
                <w:szCs w:val="21"/>
              </w:rPr>
              <w:t>0</w:t>
            </w:r>
          </w:p>
        </w:tc>
        <w:tc>
          <w:tcPr>
            <w:tcW w:w="1718" w:type="dxa"/>
            <w:vAlign w:val="center"/>
          </w:tcPr>
          <w:p w14:paraId="39219BB2">
            <w:pPr>
              <w:jc w:val="center"/>
              <w:rPr>
                <w:rFonts w:ascii="Times New Roman" w:eastAsia="仿宋"/>
              </w:rPr>
            </w:pPr>
            <w:r>
              <w:rPr>
                <w:rFonts w:hint="eastAsia" w:ascii="Times New Roman" w:eastAsia="仿宋"/>
              </w:rPr>
              <w:t>0</w:t>
            </w:r>
            <w:r>
              <w:rPr>
                <w:rFonts w:ascii="Times New Roman" w:eastAsia="仿宋"/>
              </w:rPr>
              <w:t>.04</w:t>
            </w:r>
          </w:p>
        </w:tc>
        <w:tc>
          <w:tcPr>
            <w:tcW w:w="2201" w:type="dxa"/>
            <w:shd w:val="clear" w:color="auto" w:fill="auto"/>
            <w:vAlign w:val="center"/>
          </w:tcPr>
          <w:p w14:paraId="5EE16CFD">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.04</w:t>
            </w:r>
          </w:p>
        </w:tc>
        <w:tc>
          <w:tcPr>
            <w:tcW w:w="2482" w:type="dxa"/>
            <w:vAlign w:val="center"/>
          </w:tcPr>
          <w:p w14:paraId="78C1AE22">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r>
      <w:tr w14:paraId="0DA9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2CADE144">
            <w:pPr>
              <w:jc w:val="center"/>
              <w:rPr>
                <w:rFonts w:ascii="Times New Roman" w:eastAsia="仿宋"/>
                <w:szCs w:val="21"/>
                <w:highlight w:val="yellow"/>
              </w:rPr>
            </w:pPr>
          </w:p>
        </w:tc>
        <w:tc>
          <w:tcPr>
            <w:tcW w:w="1164" w:type="dxa"/>
            <w:vMerge w:val="continue"/>
            <w:vAlign w:val="center"/>
          </w:tcPr>
          <w:p w14:paraId="14EFB667">
            <w:pPr>
              <w:jc w:val="center"/>
              <w:rPr>
                <w:rFonts w:ascii="Times New Roman" w:eastAsia="仿宋"/>
                <w:szCs w:val="21"/>
              </w:rPr>
            </w:pPr>
          </w:p>
        </w:tc>
        <w:tc>
          <w:tcPr>
            <w:tcW w:w="1349" w:type="dxa"/>
            <w:vAlign w:val="center"/>
          </w:tcPr>
          <w:p w14:paraId="2CB13F5C">
            <w:pPr>
              <w:jc w:val="center"/>
              <w:rPr>
                <w:rFonts w:ascii="Times New Roman" w:eastAsia="仿宋"/>
                <w:szCs w:val="21"/>
              </w:rPr>
            </w:pPr>
            <w:r>
              <w:rPr>
                <w:rFonts w:hint="eastAsia" w:ascii="Times New Roman" w:eastAsia="仿宋"/>
                <w:szCs w:val="21"/>
              </w:rPr>
              <w:t>TP</w:t>
            </w:r>
          </w:p>
        </w:tc>
        <w:tc>
          <w:tcPr>
            <w:tcW w:w="1642" w:type="dxa"/>
            <w:vAlign w:val="center"/>
          </w:tcPr>
          <w:p w14:paraId="474F210E">
            <w:pPr>
              <w:jc w:val="center"/>
              <w:rPr>
                <w:rFonts w:ascii="Times New Roman" w:eastAsia="仿宋"/>
              </w:rPr>
            </w:pPr>
            <w:r>
              <w:rPr>
                <w:rFonts w:hint="eastAsia" w:ascii="Times New Roman" w:eastAsia="仿宋"/>
              </w:rPr>
              <w:t>0.</w:t>
            </w:r>
            <w:r>
              <w:rPr>
                <w:rFonts w:ascii="Times New Roman" w:eastAsia="仿宋"/>
              </w:rPr>
              <w:t>004</w:t>
            </w:r>
          </w:p>
        </w:tc>
        <w:tc>
          <w:tcPr>
            <w:tcW w:w="1722" w:type="dxa"/>
            <w:vAlign w:val="center"/>
          </w:tcPr>
          <w:p w14:paraId="0D3C9238">
            <w:pPr>
              <w:jc w:val="center"/>
              <w:rPr>
                <w:rFonts w:ascii="Times New Roman" w:eastAsia="仿宋"/>
                <w:szCs w:val="21"/>
              </w:rPr>
            </w:pPr>
            <w:r>
              <w:rPr>
                <w:rFonts w:hint="eastAsia" w:ascii="Times New Roman" w:eastAsia="仿宋"/>
                <w:szCs w:val="21"/>
              </w:rPr>
              <w:t>0</w:t>
            </w:r>
          </w:p>
        </w:tc>
        <w:tc>
          <w:tcPr>
            <w:tcW w:w="1718" w:type="dxa"/>
            <w:vAlign w:val="center"/>
          </w:tcPr>
          <w:p w14:paraId="46D72BAA">
            <w:pPr>
              <w:jc w:val="center"/>
              <w:rPr>
                <w:rFonts w:ascii="Times New Roman" w:eastAsia="仿宋"/>
              </w:rPr>
            </w:pPr>
            <w:r>
              <w:rPr>
                <w:rFonts w:hint="eastAsia" w:ascii="Times New Roman" w:eastAsia="仿宋"/>
              </w:rPr>
              <w:t>0.</w:t>
            </w:r>
            <w:r>
              <w:rPr>
                <w:rFonts w:ascii="Times New Roman" w:eastAsia="仿宋"/>
              </w:rPr>
              <w:t>004</w:t>
            </w:r>
          </w:p>
        </w:tc>
        <w:tc>
          <w:tcPr>
            <w:tcW w:w="2201" w:type="dxa"/>
            <w:shd w:val="clear" w:color="auto" w:fill="auto"/>
            <w:vAlign w:val="center"/>
          </w:tcPr>
          <w:p w14:paraId="56B82447">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004</w:t>
            </w:r>
          </w:p>
        </w:tc>
        <w:tc>
          <w:tcPr>
            <w:tcW w:w="2482" w:type="dxa"/>
            <w:vAlign w:val="center"/>
          </w:tcPr>
          <w:p w14:paraId="15E90C39">
            <w:pPr>
              <w:jc w:val="center"/>
              <w:rPr>
                <w:rFonts w:ascii="Times New Roman" w:eastAsia="仿宋"/>
                <w:szCs w:val="21"/>
              </w:rPr>
            </w:pPr>
            <w:r>
              <w:rPr>
                <w:rFonts w:hint="eastAsia" w:ascii="Times New Roman" w:eastAsia="仿宋"/>
                <w:szCs w:val="21"/>
              </w:rPr>
              <w:t>0</w:t>
            </w:r>
            <w:r>
              <w:rPr>
                <w:rFonts w:ascii="Times New Roman" w:eastAsia="仿宋"/>
                <w:szCs w:val="21"/>
              </w:rPr>
              <w:t>.0006</w:t>
            </w:r>
          </w:p>
        </w:tc>
      </w:tr>
      <w:tr w14:paraId="2591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419F667D">
            <w:pPr>
              <w:jc w:val="center"/>
              <w:rPr>
                <w:rFonts w:ascii="Times New Roman" w:eastAsia="仿宋"/>
                <w:szCs w:val="21"/>
                <w:highlight w:val="yellow"/>
              </w:rPr>
            </w:pPr>
          </w:p>
        </w:tc>
        <w:tc>
          <w:tcPr>
            <w:tcW w:w="1164" w:type="dxa"/>
            <w:vMerge w:val="continue"/>
            <w:vAlign w:val="center"/>
          </w:tcPr>
          <w:p w14:paraId="4A090C2C">
            <w:pPr>
              <w:jc w:val="center"/>
              <w:rPr>
                <w:rFonts w:ascii="Times New Roman" w:eastAsia="仿宋"/>
                <w:szCs w:val="21"/>
              </w:rPr>
            </w:pPr>
          </w:p>
        </w:tc>
        <w:tc>
          <w:tcPr>
            <w:tcW w:w="1349" w:type="dxa"/>
            <w:vAlign w:val="center"/>
          </w:tcPr>
          <w:p w14:paraId="49F8FBEF">
            <w:pPr>
              <w:jc w:val="center"/>
              <w:rPr>
                <w:rFonts w:ascii="Times New Roman" w:eastAsia="仿宋"/>
                <w:szCs w:val="21"/>
              </w:rPr>
            </w:pPr>
            <w:r>
              <w:rPr>
                <w:rFonts w:hint="eastAsia" w:ascii="Times New Roman" w:eastAsia="仿宋"/>
                <w:szCs w:val="21"/>
              </w:rPr>
              <w:t>动植物油</w:t>
            </w:r>
          </w:p>
        </w:tc>
        <w:tc>
          <w:tcPr>
            <w:tcW w:w="1642" w:type="dxa"/>
            <w:vAlign w:val="center"/>
          </w:tcPr>
          <w:p w14:paraId="4EC4D1AB">
            <w:pPr>
              <w:jc w:val="center"/>
              <w:rPr>
                <w:rFonts w:ascii="Times New Roman" w:eastAsia="仿宋"/>
              </w:rPr>
            </w:pPr>
            <w:r>
              <w:rPr>
                <w:rFonts w:hint="eastAsia" w:ascii="Times New Roman" w:eastAsia="仿宋"/>
              </w:rPr>
              <w:t>0.</w:t>
            </w:r>
            <w:r>
              <w:rPr>
                <w:rFonts w:ascii="Times New Roman" w:eastAsia="仿宋"/>
              </w:rPr>
              <w:t>08</w:t>
            </w:r>
          </w:p>
        </w:tc>
        <w:tc>
          <w:tcPr>
            <w:tcW w:w="1722" w:type="dxa"/>
            <w:vAlign w:val="center"/>
          </w:tcPr>
          <w:p w14:paraId="61B2AD6A">
            <w:pPr>
              <w:jc w:val="center"/>
              <w:rPr>
                <w:rFonts w:ascii="Times New Roman" w:eastAsia="仿宋"/>
                <w:szCs w:val="21"/>
              </w:rPr>
            </w:pPr>
            <w:r>
              <w:rPr>
                <w:rFonts w:hint="eastAsia" w:ascii="Times New Roman" w:eastAsia="仿宋"/>
                <w:szCs w:val="21"/>
              </w:rPr>
              <w:t>0</w:t>
            </w:r>
          </w:p>
        </w:tc>
        <w:tc>
          <w:tcPr>
            <w:tcW w:w="1718" w:type="dxa"/>
            <w:vAlign w:val="center"/>
          </w:tcPr>
          <w:p w14:paraId="7BE52749">
            <w:pPr>
              <w:jc w:val="center"/>
              <w:rPr>
                <w:rFonts w:ascii="Times New Roman" w:eastAsia="仿宋"/>
              </w:rPr>
            </w:pPr>
            <w:r>
              <w:rPr>
                <w:rFonts w:ascii="Times New Roman" w:eastAsia="仿宋"/>
              </w:rPr>
              <w:t>0.08</w:t>
            </w:r>
          </w:p>
        </w:tc>
        <w:tc>
          <w:tcPr>
            <w:tcW w:w="2201" w:type="dxa"/>
            <w:vAlign w:val="center"/>
          </w:tcPr>
          <w:p w14:paraId="5692B0B0">
            <w:pPr>
              <w:jc w:val="center"/>
              <w:rPr>
                <w:rFonts w:ascii="Times New Roman" w:eastAsia="仿宋"/>
              </w:rPr>
            </w:pPr>
            <w:r>
              <w:rPr>
                <w:rFonts w:ascii="Times New Roman" w:eastAsia="仿宋"/>
              </w:rPr>
              <w:t>+0.08</w:t>
            </w:r>
          </w:p>
        </w:tc>
        <w:tc>
          <w:tcPr>
            <w:tcW w:w="2482" w:type="dxa"/>
            <w:vAlign w:val="center"/>
          </w:tcPr>
          <w:p w14:paraId="725B009F">
            <w:pPr>
              <w:jc w:val="center"/>
              <w:rPr>
                <w:rFonts w:ascii="Times New Roman" w:eastAsia="仿宋"/>
                <w:szCs w:val="21"/>
              </w:rPr>
            </w:pPr>
            <w:r>
              <w:rPr>
                <w:rFonts w:hint="eastAsia" w:ascii="Times New Roman" w:eastAsia="仿宋"/>
                <w:szCs w:val="21"/>
              </w:rPr>
              <w:t>0</w:t>
            </w:r>
            <w:r>
              <w:rPr>
                <w:rFonts w:ascii="Times New Roman" w:eastAsia="仿宋"/>
                <w:szCs w:val="21"/>
              </w:rPr>
              <w:t>.001</w:t>
            </w:r>
          </w:p>
        </w:tc>
      </w:tr>
      <w:tr w14:paraId="56BF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restart"/>
            <w:vAlign w:val="center"/>
          </w:tcPr>
          <w:p w14:paraId="7DD02DB3">
            <w:pPr>
              <w:jc w:val="center"/>
              <w:rPr>
                <w:rFonts w:ascii="Times New Roman" w:eastAsia="仿宋"/>
                <w:szCs w:val="21"/>
              </w:rPr>
            </w:pPr>
            <w:r>
              <w:rPr>
                <w:rFonts w:ascii="Times New Roman" w:eastAsia="仿宋"/>
                <w:szCs w:val="21"/>
              </w:rPr>
              <w:t>固废</w:t>
            </w:r>
          </w:p>
        </w:tc>
        <w:tc>
          <w:tcPr>
            <w:tcW w:w="2513" w:type="dxa"/>
            <w:gridSpan w:val="2"/>
            <w:vAlign w:val="center"/>
          </w:tcPr>
          <w:p w14:paraId="4962EAC3">
            <w:pPr>
              <w:jc w:val="center"/>
              <w:rPr>
                <w:rFonts w:ascii="Times New Roman" w:eastAsia="仿宋"/>
                <w:szCs w:val="21"/>
              </w:rPr>
            </w:pPr>
            <w:r>
              <w:rPr>
                <w:rFonts w:hint="eastAsia" w:ascii="Times New Roman" w:eastAsia="仿宋"/>
                <w:szCs w:val="21"/>
              </w:rPr>
              <w:t>生活垃圾</w:t>
            </w:r>
          </w:p>
        </w:tc>
        <w:tc>
          <w:tcPr>
            <w:tcW w:w="1642" w:type="dxa"/>
            <w:vAlign w:val="center"/>
          </w:tcPr>
          <w:p w14:paraId="20DBECAE">
            <w:pPr>
              <w:jc w:val="center"/>
              <w:rPr>
                <w:rFonts w:ascii="Times New Roman" w:eastAsia="仿宋"/>
                <w:szCs w:val="21"/>
              </w:rPr>
            </w:pPr>
            <w:r>
              <w:rPr>
                <w:rFonts w:hint="eastAsia" w:ascii="Times New Roman" w:eastAsia="仿宋"/>
                <w:szCs w:val="21"/>
              </w:rPr>
              <w:t>22.5</w:t>
            </w:r>
          </w:p>
        </w:tc>
        <w:tc>
          <w:tcPr>
            <w:tcW w:w="1722" w:type="dxa"/>
            <w:vAlign w:val="center"/>
          </w:tcPr>
          <w:p w14:paraId="2B73C453">
            <w:pPr>
              <w:jc w:val="center"/>
              <w:rPr>
                <w:rFonts w:ascii="Times New Roman" w:eastAsia="仿宋"/>
                <w:szCs w:val="21"/>
              </w:rPr>
            </w:pPr>
            <w:r>
              <w:rPr>
                <w:rFonts w:hint="eastAsia" w:ascii="Times New Roman" w:eastAsia="仿宋"/>
                <w:szCs w:val="21"/>
              </w:rPr>
              <w:t>22.5</w:t>
            </w:r>
          </w:p>
        </w:tc>
        <w:tc>
          <w:tcPr>
            <w:tcW w:w="1718" w:type="dxa"/>
            <w:vAlign w:val="center"/>
          </w:tcPr>
          <w:p w14:paraId="77992A87">
            <w:pPr>
              <w:jc w:val="center"/>
              <w:rPr>
                <w:rFonts w:ascii="Times New Roman" w:eastAsia="仿宋"/>
                <w:szCs w:val="21"/>
              </w:rPr>
            </w:pPr>
            <w:r>
              <w:rPr>
                <w:rFonts w:hint="eastAsia" w:ascii="Times New Roman" w:eastAsia="仿宋"/>
                <w:szCs w:val="21"/>
              </w:rPr>
              <w:t>0</w:t>
            </w:r>
          </w:p>
        </w:tc>
        <w:tc>
          <w:tcPr>
            <w:tcW w:w="2201" w:type="dxa"/>
            <w:vAlign w:val="center"/>
          </w:tcPr>
          <w:p w14:paraId="4FB6D0C6">
            <w:pPr>
              <w:jc w:val="center"/>
              <w:rPr>
                <w:rFonts w:ascii="Times New Roman" w:eastAsia="仿宋"/>
                <w:szCs w:val="21"/>
              </w:rPr>
            </w:pPr>
            <w:r>
              <w:rPr>
                <w:rFonts w:hint="eastAsia" w:ascii="Times New Roman" w:eastAsia="仿宋"/>
                <w:szCs w:val="21"/>
              </w:rPr>
              <w:t>0</w:t>
            </w:r>
          </w:p>
        </w:tc>
        <w:tc>
          <w:tcPr>
            <w:tcW w:w="2482" w:type="dxa"/>
            <w:vAlign w:val="center"/>
          </w:tcPr>
          <w:p w14:paraId="4FFA164F">
            <w:pPr>
              <w:jc w:val="center"/>
              <w:rPr>
                <w:rFonts w:ascii="Times New Roman" w:eastAsia="仿宋"/>
                <w:szCs w:val="21"/>
              </w:rPr>
            </w:pPr>
            <w:r>
              <w:rPr>
                <w:rFonts w:hint="eastAsia" w:ascii="Times New Roman" w:eastAsia="仿宋"/>
                <w:szCs w:val="21"/>
              </w:rPr>
              <w:t>0</w:t>
            </w:r>
          </w:p>
        </w:tc>
      </w:tr>
      <w:tr w14:paraId="1CDA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continue"/>
            <w:vAlign w:val="center"/>
          </w:tcPr>
          <w:p w14:paraId="517DC8F5">
            <w:pPr>
              <w:jc w:val="center"/>
              <w:rPr>
                <w:rFonts w:ascii="Times New Roman" w:eastAsia="仿宋"/>
                <w:szCs w:val="21"/>
              </w:rPr>
            </w:pPr>
          </w:p>
        </w:tc>
        <w:tc>
          <w:tcPr>
            <w:tcW w:w="2513" w:type="dxa"/>
            <w:gridSpan w:val="2"/>
            <w:vAlign w:val="center"/>
          </w:tcPr>
          <w:p w14:paraId="58D7D0A9">
            <w:pPr>
              <w:jc w:val="center"/>
              <w:rPr>
                <w:rFonts w:ascii="Times New Roman" w:eastAsia="仿宋"/>
                <w:szCs w:val="21"/>
              </w:rPr>
            </w:pPr>
            <w:r>
              <w:rPr>
                <w:rFonts w:ascii="Times New Roman" w:eastAsia="仿宋"/>
                <w:szCs w:val="21"/>
              </w:rPr>
              <w:t>一般固废</w:t>
            </w:r>
          </w:p>
        </w:tc>
        <w:tc>
          <w:tcPr>
            <w:tcW w:w="1642" w:type="dxa"/>
            <w:vAlign w:val="center"/>
          </w:tcPr>
          <w:p w14:paraId="455217E0">
            <w:pPr>
              <w:jc w:val="center"/>
              <w:rPr>
                <w:rFonts w:ascii="Times New Roman" w:eastAsia="仿宋"/>
                <w:szCs w:val="21"/>
              </w:rPr>
            </w:pPr>
            <w:r>
              <w:rPr>
                <w:rFonts w:ascii="Times New Roman" w:eastAsia="仿宋"/>
                <w:szCs w:val="21"/>
              </w:rPr>
              <w:t>41.</w:t>
            </w:r>
            <w:r>
              <w:rPr>
                <w:rFonts w:hint="eastAsia" w:ascii="Times New Roman" w:eastAsia="仿宋"/>
                <w:szCs w:val="21"/>
              </w:rPr>
              <w:t>214</w:t>
            </w:r>
          </w:p>
        </w:tc>
        <w:tc>
          <w:tcPr>
            <w:tcW w:w="1722" w:type="dxa"/>
            <w:vAlign w:val="center"/>
          </w:tcPr>
          <w:p w14:paraId="49CFBFD2">
            <w:pPr>
              <w:jc w:val="center"/>
              <w:rPr>
                <w:rFonts w:ascii="Times New Roman" w:eastAsia="仿宋"/>
                <w:szCs w:val="21"/>
              </w:rPr>
            </w:pPr>
            <w:r>
              <w:rPr>
                <w:rFonts w:ascii="Times New Roman" w:eastAsia="仿宋"/>
                <w:szCs w:val="21"/>
              </w:rPr>
              <w:t>41.</w:t>
            </w:r>
            <w:r>
              <w:rPr>
                <w:rFonts w:hint="eastAsia" w:ascii="Times New Roman" w:eastAsia="仿宋"/>
                <w:szCs w:val="21"/>
              </w:rPr>
              <w:t>214</w:t>
            </w:r>
          </w:p>
        </w:tc>
        <w:tc>
          <w:tcPr>
            <w:tcW w:w="1718" w:type="dxa"/>
            <w:vAlign w:val="center"/>
          </w:tcPr>
          <w:p w14:paraId="791BC2EE">
            <w:pPr>
              <w:jc w:val="center"/>
              <w:rPr>
                <w:rFonts w:ascii="Times New Roman" w:eastAsia="仿宋"/>
                <w:szCs w:val="21"/>
              </w:rPr>
            </w:pPr>
            <w:r>
              <w:rPr>
                <w:rFonts w:hint="eastAsia" w:ascii="Times New Roman" w:eastAsia="仿宋"/>
                <w:szCs w:val="21"/>
              </w:rPr>
              <w:t>0</w:t>
            </w:r>
          </w:p>
        </w:tc>
        <w:tc>
          <w:tcPr>
            <w:tcW w:w="2201" w:type="dxa"/>
            <w:vAlign w:val="center"/>
          </w:tcPr>
          <w:p w14:paraId="0F508B85">
            <w:pPr>
              <w:jc w:val="center"/>
              <w:rPr>
                <w:rFonts w:ascii="Times New Roman" w:eastAsia="仿宋"/>
                <w:szCs w:val="21"/>
              </w:rPr>
            </w:pPr>
            <w:r>
              <w:rPr>
                <w:rFonts w:hint="eastAsia" w:ascii="Times New Roman" w:eastAsia="仿宋"/>
                <w:szCs w:val="21"/>
              </w:rPr>
              <w:t>0</w:t>
            </w:r>
          </w:p>
        </w:tc>
        <w:tc>
          <w:tcPr>
            <w:tcW w:w="2482" w:type="dxa"/>
            <w:vAlign w:val="center"/>
          </w:tcPr>
          <w:p w14:paraId="75C81A29">
            <w:pPr>
              <w:jc w:val="center"/>
              <w:rPr>
                <w:rFonts w:ascii="Times New Roman" w:eastAsia="仿宋"/>
                <w:szCs w:val="21"/>
              </w:rPr>
            </w:pPr>
            <w:r>
              <w:rPr>
                <w:rFonts w:hint="eastAsia" w:ascii="Times New Roman" w:eastAsia="仿宋"/>
                <w:szCs w:val="21"/>
              </w:rPr>
              <w:t>0</w:t>
            </w:r>
          </w:p>
        </w:tc>
      </w:tr>
      <w:tr w14:paraId="1601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44C8E05D">
            <w:pPr>
              <w:jc w:val="center"/>
              <w:rPr>
                <w:rFonts w:ascii="Times New Roman" w:eastAsia="仿宋"/>
                <w:szCs w:val="21"/>
              </w:rPr>
            </w:pPr>
          </w:p>
        </w:tc>
        <w:tc>
          <w:tcPr>
            <w:tcW w:w="2513" w:type="dxa"/>
            <w:gridSpan w:val="2"/>
            <w:vAlign w:val="center"/>
          </w:tcPr>
          <w:p w14:paraId="4B50226D">
            <w:pPr>
              <w:jc w:val="center"/>
              <w:rPr>
                <w:rFonts w:ascii="Times New Roman" w:eastAsia="仿宋"/>
                <w:szCs w:val="21"/>
              </w:rPr>
            </w:pPr>
            <w:r>
              <w:rPr>
                <w:rFonts w:ascii="Times New Roman" w:eastAsia="仿宋"/>
                <w:szCs w:val="21"/>
              </w:rPr>
              <w:t>危险废物</w:t>
            </w:r>
          </w:p>
        </w:tc>
        <w:tc>
          <w:tcPr>
            <w:tcW w:w="1642" w:type="dxa"/>
            <w:vAlign w:val="center"/>
          </w:tcPr>
          <w:p w14:paraId="5FE46A67">
            <w:pPr>
              <w:jc w:val="center"/>
              <w:rPr>
                <w:rFonts w:ascii="Times New Roman" w:eastAsia="仿宋"/>
                <w:szCs w:val="21"/>
              </w:rPr>
            </w:pPr>
            <w:r>
              <w:rPr>
                <w:rFonts w:hint="eastAsia" w:ascii="Times New Roman" w:eastAsia="仿宋"/>
                <w:szCs w:val="21"/>
              </w:rPr>
              <w:t>1</w:t>
            </w:r>
            <w:r>
              <w:rPr>
                <w:rFonts w:ascii="Times New Roman" w:eastAsia="仿宋"/>
                <w:szCs w:val="21"/>
              </w:rPr>
              <w:t>1</w:t>
            </w:r>
            <w:r>
              <w:rPr>
                <w:rFonts w:hint="eastAsia" w:ascii="Times New Roman" w:eastAsia="仿宋"/>
                <w:szCs w:val="21"/>
              </w:rPr>
              <w:t>8.</w:t>
            </w:r>
            <w:r>
              <w:rPr>
                <w:rFonts w:ascii="Times New Roman" w:eastAsia="仿宋"/>
                <w:szCs w:val="21"/>
              </w:rPr>
              <w:t>5</w:t>
            </w:r>
            <w:r>
              <w:rPr>
                <w:rFonts w:hint="eastAsia" w:ascii="Times New Roman" w:eastAsia="仿宋"/>
                <w:szCs w:val="21"/>
              </w:rPr>
              <w:t>95</w:t>
            </w:r>
          </w:p>
        </w:tc>
        <w:tc>
          <w:tcPr>
            <w:tcW w:w="1722" w:type="dxa"/>
            <w:vAlign w:val="center"/>
          </w:tcPr>
          <w:p w14:paraId="6D61B5F9">
            <w:pPr>
              <w:jc w:val="center"/>
              <w:rPr>
                <w:rFonts w:ascii="Times New Roman" w:eastAsia="仿宋"/>
                <w:szCs w:val="21"/>
              </w:rPr>
            </w:pPr>
            <w:r>
              <w:rPr>
                <w:rFonts w:ascii="Times New Roman" w:eastAsia="仿宋"/>
                <w:szCs w:val="21"/>
              </w:rPr>
              <w:t>11</w:t>
            </w:r>
            <w:r>
              <w:rPr>
                <w:rFonts w:hint="eastAsia" w:ascii="Times New Roman" w:eastAsia="仿宋"/>
                <w:szCs w:val="21"/>
              </w:rPr>
              <w:t>8</w:t>
            </w:r>
            <w:r>
              <w:rPr>
                <w:rFonts w:ascii="Times New Roman" w:eastAsia="仿宋"/>
                <w:szCs w:val="21"/>
              </w:rPr>
              <w:t>.5</w:t>
            </w:r>
            <w:r>
              <w:rPr>
                <w:rFonts w:hint="eastAsia" w:ascii="Times New Roman" w:eastAsia="仿宋"/>
                <w:szCs w:val="21"/>
              </w:rPr>
              <w:t>95</w:t>
            </w:r>
          </w:p>
        </w:tc>
        <w:tc>
          <w:tcPr>
            <w:tcW w:w="1718" w:type="dxa"/>
            <w:vAlign w:val="center"/>
          </w:tcPr>
          <w:p w14:paraId="401A54E1">
            <w:pPr>
              <w:jc w:val="center"/>
              <w:rPr>
                <w:rFonts w:ascii="Times New Roman" w:eastAsia="仿宋"/>
                <w:szCs w:val="21"/>
              </w:rPr>
            </w:pPr>
            <w:r>
              <w:rPr>
                <w:rFonts w:hint="eastAsia" w:ascii="Times New Roman" w:eastAsia="仿宋"/>
                <w:szCs w:val="21"/>
              </w:rPr>
              <w:t>0</w:t>
            </w:r>
          </w:p>
        </w:tc>
        <w:tc>
          <w:tcPr>
            <w:tcW w:w="2201" w:type="dxa"/>
            <w:vAlign w:val="center"/>
          </w:tcPr>
          <w:p w14:paraId="40033A71">
            <w:pPr>
              <w:jc w:val="center"/>
              <w:rPr>
                <w:rFonts w:ascii="Times New Roman" w:eastAsia="仿宋"/>
                <w:szCs w:val="21"/>
              </w:rPr>
            </w:pPr>
            <w:r>
              <w:rPr>
                <w:rFonts w:hint="eastAsia" w:ascii="Times New Roman" w:eastAsia="仿宋"/>
                <w:szCs w:val="21"/>
              </w:rPr>
              <w:t>0</w:t>
            </w:r>
          </w:p>
        </w:tc>
        <w:tc>
          <w:tcPr>
            <w:tcW w:w="2482" w:type="dxa"/>
            <w:vAlign w:val="center"/>
          </w:tcPr>
          <w:p w14:paraId="64900A15">
            <w:pPr>
              <w:jc w:val="center"/>
              <w:rPr>
                <w:rFonts w:ascii="Times New Roman" w:eastAsia="仿宋"/>
                <w:szCs w:val="21"/>
              </w:rPr>
            </w:pPr>
            <w:r>
              <w:rPr>
                <w:rFonts w:hint="eastAsia" w:ascii="Times New Roman" w:eastAsia="仿宋"/>
                <w:szCs w:val="21"/>
              </w:rPr>
              <w:t>0</w:t>
            </w:r>
          </w:p>
        </w:tc>
      </w:tr>
      <w:bookmarkEnd w:id="236"/>
      <w:bookmarkEnd w:id="238"/>
    </w:tbl>
    <w:p w14:paraId="4618C040">
      <w:pPr>
        <w:pStyle w:val="2"/>
      </w:pPr>
    </w:p>
    <w:p w14:paraId="244200DD">
      <w:pPr>
        <w:pStyle w:val="2"/>
        <w:sectPr>
          <w:footerReference r:id="rId16" w:type="default"/>
          <w:pgSz w:w="16838" w:h="11906" w:orient="landscape"/>
          <w:pgMar w:top="1797" w:right="1440" w:bottom="1797" w:left="1440" w:header="851" w:footer="992" w:gutter="0"/>
          <w:cols w:space="720" w:num="1"/>
          <w:docGrid w:linePitch="312" w:charSpace="0"/>
        </w:sectPr>
      </w:pPr>
    </w:p>
    <w:bookmarkEnd w:id="237"/>
    <w:p w14:paraId="1B90AD8F">
      <w:pPr>
        <w:keepNext/>
        <w:keepLines/>
        <w:tabs>
          <w:tab w:val="left" w:pos="0"/>
          <w:tab w:val="left" w:pos="426"/>
        </w:tabs>
        <w:spacing w:before="120" w:beforeLines="50" w:after="120" w:afterLines="50" w:line="500" w:lineRule="exact"/>
        <w:outlineLvl w:val="1"/>
        <w:rPr>
          <w:rFonts w:ascii="Times New Roman" w:eastAsia="仿宋"/>
          <w:b/>
          <w:spacing w:val="6"/>
          <w:sz w:val="30"/>
          <w:szCs w:val="30"/>
        </w:rPr>
      </w:pPr>
      <w:bookmarkStart w:id="239" w:name="_Toc182553814"/>
      <w:r>
        <w:rPr>
          <w:rFonts w:ascii="Times New Roman" w:eastAsia="仿宋"/>
          <w:b/>
          <w:spacing w:val="6"/>
          <w:sz w:val="30"/>
          <w:szCs w:val="30"/>
        </w:rPr>
        <w:t>3.6清洁生产分析</w:t>
      </w:r>
      <w:bookmarkEnd w:id="239"/>
    </w:p>
    <w:p w14:paraId="149A04AC">
      <w:pPr>
        <w:keepNext/>
        <w:tabs>
          <w:tab w:val="left" w:pos="709"/>
        </w:tabs>
        <w:spacing w:before="120" w:beforeLines="50" w:after="120" w:afterLines="50" w:line="500" w:lineRule="exact"/>
        <w:outlineLvl w:val="2"/>
        <w:rPr>
          <w:rFonts w:ascii="Times New Roman" w:eastAsia="仿宋"/>
          <w:b/>
          <w:bCs/>
          <w:sz w:val="30"/>
          <w:szCs w:val="30"/>
        </w:rPr>
      </w:pPr>
      <w:r>
        <w:rPr>
          <w:rFonts w:ascii="Times New Roman" w:eastAsia="仿宋"/>
          <w:b/>
          <w:bCs/>
          <w:sz w:val="30"/>
          <w:szCs w:val="30"/>
        </w:rPr>
        <w:t>3.6.1生产工艺、设备先进性分析</w:t>
      </w:r>
    </w:p>
    <w:p w14:paraId="2A8CD5AE">
      <w:pPr>
        <w:spacing w:line="500" w:lineRule="exact"/>
        <w:ind w:firstLine="560" w:firstLineChars="200"/>
        <w:rPr>
          <w:rFonts w:ascii="Times New Roman" w:eastAsia="仿宋"/>
          <w:sz w:val="28"/>
          <w:szCs w:val="28"/>
        </w:rPr>
      </w:pPr>
      <w:r>
        <w:rPr>
          <w:rFonts w:ascii="Times New Roman" w:eastAsia="仿宋"/>
          <w:sz w:val="28"/>
          <w:szCs w:val="28"/>
        </w:rPr>
        <w:t>本项目工艺为</w:t>
      </w:r>
      <w:r>
        <w:rPr>
          <w:rFonts w:hint="eastAsia" w:ascii="Times New Roman" w:eastAsia="仿宋"/>
          <w:sz w:val="28"/>
          <w:szCs w:val="28"/>
        </w:rPr>
        <w:t>机加工</w:t>
      </w:r>
      <w:r>
        <w:rPr>
          <w:rFonts w:ascii="Times New Roman" w:eastAsia="仿宋"/>
          <w:sz w:val="28"/>
          <w:szCs w:val="28"/>
        </w:rPr>
        <w:t>、喷涂加工等常用工艺。项目在满足生产工艺前提下，优先选用技术先进、能耗低、性能高的设备，有关工序设备作到选型、配套合理；选型依据安全、可靠、节能、故障率低、易检修、通用性、寿命长的原则，在选型时通过选用新型专用设备配合先进的节能工艺，使其达到最佳的工艺效果。加强设备维修，加强岗位责任制，对设备上有关阀门和管路加强维护，防止跑、冒、滴、漏现象的发生。突出体现了技术成熟、实用耐用、噪声小、自动化程度高、便于维护管理的设备。项目建成后能够保持最佳生产状态，确保产品保持高标准、高质量。</w:t>
      </w:r>
    </w:p>
    <w:p w14:paraId="5CDAD9A5">
      <w:pPr>
        <w:spacing w:line="500" w:lineRule="exact"/>
        <w:ind w:firstLine="560" w:firstLineChars="200"/>
        <w:rPr>
          <w:rFonts w:ascii="Times New Roman" w:eastAsia="仿宋"/>
          <w:sz w:val="28"/>
          <w:szCs w:val="28"/>
        </w:rPr>
      </w:pPr>
      <w:r>
        <w:rPr>
          <w:rFonts w:ascii="Times New Roman" w:eastAsia="仿宋"/>
          <w:sz w:val="28"/>
          <w:szCs w:val="28"/>
        </w:rPr>
        <w:t>生产工艺与设备的先进性的体现：</w:t>
      </w:r>
    </w:p>
    <w:p w14:paraId="3D855D16">
      <w:pPr>
        <w:spacing w:line="500" w:lineRule="exact"/>
        <w:ind w:firstLine="560" w:firstLineChars="200"/>
        <w:rPr>
          <w:rFonts w:ascii="Times New Roman" w:eastAsia="仿宋"/>
          <w:sz w:val="28"/>
          <w:szCs w:val="28"/>
        </w:rPr>
      </w:pPr>
      <w:r>
        <w:rPr>
          <w:rFonts w:hint="eastAsia" w:ascii="Times New Roman" w:eastAsia="仿宋"/>
          <w:sz w:val="28"/>
          <w:szCs w:val="28"/>
        </w:rPr>
        <w:t>①</w:t>
      </w:r>
      <w:r>
        <w:rPr>
          <w:rFonts w:ascii="Times New Roman" w:eastAsia="仿宋"/>
          <w:sz w:val="28"/>
          <w:szCs w:val="28"/>
        </w:rPr>
        <w:t>在设备平面布置时，依据工艺流程、生产特点、火灾危险性和毒性分类，并结合地形、风向等自然条件，将易燃的设备及原料按有关规范和安全规定集中布置，并留有足够的防火间距和消防通道。</w:t>
      </w:r>
    </w:p>
    <w:p w14:paraId="689EFA97">
      <w:pPr>
        <w:spacing w:line="500" w:lineRule="exact"/>
        <w:ind w:firstLine="560" w:firstLineChars="200"/>
        <w:rPr>
          <w:rFonts w:ascii="Times New Roman" w:eastAsia="仿宋"/>
          <w:sz w:val="28"/>
          <w:szCs w:val="28"/>
        </w:rPr>
      </w:pPr>
      <w:r>
        <w:rPr>
          <w:rFonts w:hint="eastAsia" w:ascii="Times New Roman" w:eastAsia="仿宋"/>
          <w:sz w:val="28"/>
          <w:szCs w:val="28"/>
        </w:rPr>
        <w:t>②</w:t>
      </w:r>
      <w:r>
        <w:rPr>
          <w:rFonts w:ascii="Times New Roman" w:eastAsia="仿宋"/>
          <w:sz w:val="28"/>
          <w:szCs w:val="28"/>
        </w:rPr>
        <w:t>提高设备的自动化水平，最大限度的避免人与有害物质的接触，改善操作人员的劳动条件。</w:t>
      </w:r>
    </w:p>
    <w:p w14:paraId="3DA6FA54">
      <w:pPr>
        <w:spacing w:line="500" w:lineRule="exact"/>
        <w:ind w:firstLine="560" w:firstLineChars="200"/>
        <w:rPr>
          <w:rFonts w:ascii="Times New Roman" w:eastAsia="仿宋"/>
          <w:sz w:val="28"/>
          <w:szCs w:val="28"/>
        </w:rPr>
      </w:pPr>
      <w:r>
        <w:rPr>
          <w:rFonts w:hint="eastAsia" w:ascii="Times New Roman" w:eastAsia="仿宋"/>
          <w:sz w:val="28"/>
          <w:szCs w:val="28"/>
        </w:rPr>
        <w:t>③</w:t>
      </w:r>
      <w:r>
        <w:rPr>
          <w:rFonts w:ascii="Times New Roman" w:eastAsia="仿宋"/>
          <w:sz w:val="28"/>
          <w:szCs w:val="28"/>
        </w:rPr>
        <w:t>为了保障供电的可靠性，建设项目</w:t>
      </w:r>
      <w:r>
        <w:rPr>
          <w:rFonts w:hint="eastAsia" w:ascii="Times New Roman" w:eastAsia="仿宋"/>
          <w:sz w:val="28"/>
          <w:szCs w:val="28"/>
        </w:rPr>
        <w:t>采用</w:t>
      </w:r>
      <w:r>
        <w:rPr>
          <w:rFonts w:ascii="Times New Roman" w:eastAsia="仿宋"/>
          <w:sz w:val="28"/>
          <w:szCs w:val="28"/>
        </w:rPr>
        <w:t>备用的电源供电。</w:t>
      </w:r>
    </w:p>
    <w:p w14:paraId="183E16B2">
      <w:pPr>
        <w:spacing w:line="500" w:lineRule="exact"/>
        <w:ind w:firstLine="560" w:firstLineChars="200"/>
        <w:rPr>
          <w:rFonts w:ascii="Times New Roman" w:eastAsia="仿宋"/>
          <w:sz w:val="28"/>
          <w:szCs w:val="28"/>
        </w:rPr>
      </w:pPr>
      <w:r>
        <w:rPr>
          <w:rFonts w:hint="eastAsia" w:ascii="Times New Roman" w:eastAsia="仿宋"/>
          <w:sz w:val="28"/>
          <w:szCs w:val="28"/>
        </w:rPr>
        <w:t>④</w:t>
      </w:r>
      <w:r>
        <w:rPr>
          <w:rFonts w:ascii="Times New Roman" w:eastAsia="仿宋"/>
          <w:sz w:val="28"/>
          <w:szCs w:val="28"/>
        </w:rPr>
        <w:t>生产过程中凡需经常操作和检查的有危险的设备和部位，均设置操作平台、梯子和保护栏杆。</w:t>
      </w:r>
    </w:p>
    <w:p w14:paraId="1F90879C">
      <w:pPr>
        <w:spacing w:line="500" w:lineRule="exact"/>
        <w:ind w:firstLine="560" w:firstLineChars="200"/>
        <w:rPr>
          <w:rFonts w:ascii="Times New Roman" w:eastAsia="仿宋"/>
          <w:sz w:val="28"/>
          <w:szCs w:val="28"/>
        </w:rPr>
      </w:pPr>
      <w:r>
        <w:rPr>
          <w:rFonts w:hint="eastAsia" w:ascii="Times New Roman" w:eastAsia="仿宋"/>
          <w:sz w:val="28"/>
          <w:szCs w:val="28"/>
        </w:rPr>
        <w:t>⑤</w:t>
      </w:r>
      <w:r>
        <w:rPr>
          <w:rFonts w:ascii="Times New Roman" w:eastAsia="仿宋"/>
          <w:sz w:val="28"/>
          <w:szCs w:val="28"/>
        </w:rPr>
        <w:t>本项目使用的喷涂线均为高效率设备，从而能节约能源，降低能耗。</w:t>
      </w:r>
    </w:p>
    <w:p w14:paraId="201B8763">
      <w:pPr>
        <w:spacing w:line="500" w:lineRule="exact"/>
        <w:ind w:firstLine="560" w:firstLineChars="200"/>
        <w:rPr>
          <w:rFonts w:ascii="Times New Roman" w:eastAsia="仿宋"/>
          <w:sz w:val="28"/>
          <w:szCs w:val="28"/>
        </w:rPr>
      </w:pPr>
      <w:r>
        <w:rPr>
          <w:rFonts w:ascii="Times New Roman" w:eastAsia="仿宋"/>
          <w:sz w:val="28"/>
          <w:szCs w:val="28"/>
        </w:rPr>
        <w:t>通过上述措施，有效的体现了“预防为主”的方针，符合国家清洁生产指标中对设备先进性的要求。</w:t>
      </w:r>
    </w:p>
    <w:p w14:paraId="70B57FFE">
      <w:pPr>
        <w:spacing w:line="500" w:lineRule="exact"/>
        <w:ind w:firstLine="560" w:firstLineChars="200"/>
        <w:rPr>
          <w:rFonts w:ascii="Times New Roman" w:eastAsia="仿宋"/>
          <w:sz w:val="28"/>
          <w:szCs w:val="28"/>
        </w:rPr>
      </w:pPr>
    </w:p>
    <w:p w14:paraId="4446A196">
      <w:pPr>
        <w:spacing w:line="500" w:lineRule="exact"/>
        <w:ind w:firstLine="560" w:firstLineChars="200"/>
        <w:rPr>
          <w:rFonts w:ascii="Times New Roman" w:eastAsia="仿宋"/>
          <w:sz w:val="28"/>
          <w:szCs w:val="28"/>
        </w:rPr>
      </w:pPr>
    </w:p>
    <w:p w14:paraId="6F5224A1">
      <w:pPr>
        <w:spacing w:line="500" w:lineRule="exact"/>
        <w:ind w:firstLine="560" w:firstLineChars="200"/>
        <w:rPr>
          <w:rFonts w:ascii="Times New Roman" w:eastAsia="仿宋"/>
          <w:sz w:val="28"/>
          <w:szCs w:val="28"/>
        </w:rPr>
      </w:pPr>
    </w:p>
    <w:p w14:paraId="26F96F86">
      <w:pPr>
        <w:keepNext/>
        <w:tabs>
          <w:tab w:val="left" w:pos="709"/>
        </w:tabs>
        <w:spacing w:before="120" w:beforeLines="50" w:after="120" w:afterLines="50" w:line="500" w:lineRule="exact"/>
        <w:outlineLvl w:val="2"/>
        <w:rPr>
          <w:rFonts w:ascii="Times New Roman" w:eastAsia="仿宋"/>
          <w:b/>
          <w:bCs/>
          <w:sz w:val="30"/>
          <w:szCs w:val="30"/>
        </w:rPr>
      </w:pPr>
      <w:r>
        <w:rPr>
          <w:rFonts w:ascii="Times New Roman" w:eastAsia="仿宋"/>
          <w:b/>
          <w:bCs/>
          <w:sz w:val="30"/>
          <w:szCs w:val="30"/>
        </w:rPr>
        <w:t>3.6.2</w:t>
      </w:r>
      <w:r>
        <w:rPr>
          <w:rFonts w:hint="eastAsia" w:ascii="Times New Roman" w:eastAsia="仿宋"/>
          <w:b/>
          <w:bCs/>
          <w:sz w:val="30"/>
          <w:szCs w:val="30"/>
        </w:rPr>
        <w:t>清洁原料</w:t>
      </w:r>
    </w:p>
    <w:p w14:paraId="1A81C8C4">
      <w:pPr>
        <w:spacing w:line="500" w:lineRule="exact"/>
        <w:ind w:firstLine="560" w:firstLineChars="200"/>
        <w:rPr>
          <w:rFonts w:ascii="Times New Roman" w:eastAsia="仿宋"/>
          <w:sz w:val="28"/>
          <w:szCs w:val="28"/>
        </w:rPr>
      </w:pPr>
      <w:r>
        <w:rPr>
          <w:rFonts w:hint="eastAsia" w:ascii="Times New Roman" w:eastAsia="仿宋"/>
          <w:sz w:val="28"/>
          <w:szCs w:val="28"/>
        </w:rPr>
        <w:t>本项目涂料中氟碳底漆、氟碳面漆中</w:t>
      </w:r>
      <w:r>
        <w:rPr>
          <w:rFonts w:ascii="Times New Roman" w:eastAsia="仿宋"/>
          <w:sz w:val="28"/>
          <w:szCs w:val="28"/>
        </w:rPr>
        <w:t>VOCs</w:t>
      </w:r>
      <w:r>
        <w:rPr>
          <w:rFonts w:hint="eastAsia" w:ascii="Times New Roman" w:eastAsia="仿宋"/>
          <w:sz w:val="28"/>
          <w:szCs w:val="28"/>
        </w:rPr>
        <w:t>含量均符合《涂料中挥发性有机物限量》（</w:t>
      </w:r>
      <w:r>
        <w:rPr>
          <w:rFonts w:ascii="Times New Roman" w:eastAsia="仿宋"/>
          <w:sz w:val="28"/>
          <w:szCs w:val="28"/>
        </w:rPr>
        <w:t>DB32/T 3500</w:t>
      </w:r>
      <w:r>
        <w:rPr>
          <w:rFonts w:hint="eastAsia" w:ascii="Times New Roman" w:eastAsia="仿宋"/>
          <w:sz w:val="28"/>
          <w:szCs w:val="28"/>
        </w:rPr>
        <w:t>—</w:t>
      </w:r>
      <w:r>
        <w:rPr>
          <w:rFonts w:ascii="Times New Roman" w:eastAsia="仿宋"/>
          <w:sz w:val="28"/>
          <w:szCs w:val="28"/>
        </w:rPr>
        <w:t>2019</w:t>
      </w:r>
      <w:r>
        <w:rPr>
          <w:rFonts w:hint="eastAsia" w:ascii="Times New Roman" w:eastAsia="仿宋"/>
          <w:sz w:val="28"/>
          <w:szCs w:val="28"/>
        </w:rPr>
        <w:t>）、《车辆涂料中有害物质限量》（</w:t>
      </w:r>
      <w:r>
        <w:rPr>
          <w:rFonts w:ascii="Times New Roman" w:eastAsia="仿宋"/>
          <w:sz w:val="28"/>
          <w:szCs w:val="28"/>
        </w:rPr>
        <w:t>GB 24409-2020</w:t>
      </w:r>
      <w:r>
        <w:rPr>
          <w:rFonts w:hint="eastAsia" w:ascii="Times New Roman" w:eastAsia="仿宋"/>
          <w:sz w:val="28"/>
          <w:szCs w:val="28"/>
        </w:rPr>
        <w:t>）、《工业防护涂料中有害物质限量》（</w:t>
      </w:r>
      <w:r>
        <w:rPr>
          <w:rFonts w:ascii="Times New Roman" w:eastAsia="仿宋"/>
          <w:sz w:val="28"/>
          <w:szCs w:val="28"/>
        </w:rPr>
        <w:t>GB30981-2020</w:t>
      </w:r>
      <w:r>
        <w:rPr>
          <w:rFonts w:hint="eastAsia" w:ascii="Times New Roman" w:eastAsia="仿宋"/>
          <w:sz w:val="28"/>
          <w:szCs w:val="28"/>
        </w:rPr>
        <w:t>）中相关要求限值；采用的聚氨酯胶符合《胶粘剂挥发性有机化合物含量限值》（GB33372-2020）中相关要求限值。</w:t>
      </w:r>
    </w:p>
    <w:p w14:paraId="0FC23E3E">
      <w:pPr>
        <w:spacing w:line="500" w:lineRule="exact"/>
        <w:ind w:firstLine="560" w:firstLineChars="200"/>
        <w:rPr>
          <w:rFonts w:ascii="Times New Roman" w:eastAsia="仿宋"/>
          <w:sz w:val="28"/>
          <w:szCs w:val="28"/>
        </w:rPr>
      </w:pPr>
      <w:r>
        <w:rPr>
          <w:rFonts w:hint="eastAsia" w:ascii="Times New Roman" w:eastAsia="仿宋"/>
          <w:sz w:val="28"/>
          <w:szCs w:val="28"/>
        </w:rPr>
        <w:t>本项目采用优质的原辅材料，即可减少产生过程中引起的质量问题，提高产品的合格率，又可减少污染物的排放。加强物料库存控制，严格控制投料比，从源头上减少污染物的产生量，符合清洁生产的原则。</w:t>
      </w:r>
    </w:p>
    <w:p w14:paraId="1662C088">
      <w:pPr>
        <w:spacing w:line="500" w:lineRule="exact"/>
        <w:ind w:firstLine="560" w:firstLineChars="200"/>
        <w:rPr>
          <w:rFonts w:ascii="Times New Roman" w:eastAsia="仿宋"/>
          <w:sz w:val="28"/>
          <w:szCs w:val="28"/>
        </w:rPr>
      </w:pPr>
      <w:r>
        <w:rPr>
          <w:rFonts w:hint="eastAsia" w:ascii="Times New Roman" w:eastAsia="仿宋"/>
          <w:sz w:val="28"/>
          <w:szCs w:val="28"/>
        </w:rPr>
        <w:t>②清洁能源</w:t>
      </w:r>
    </w:p>
    <w:p w14:paraId="35C55275">
      <w:pPr>
        <w:spacing w:line="500" w:lineRule="exact"/>
        <w:ind w:firstLine="560" w:firstLineChars="200"/>
        <w:rPr>
          <w:rFonts w:ascii="Times New Roman" w:eastAsia="仿宋"/>
          <w:sz w:val="28"/>
          <w:szCs w:val="28"/>
        </w:rPr>
      </w:pPr>
      <w:r>
        <w:rPr>
          <w:rFonts w:hint="eastAsia" w:ascii="Times New Roman" w:eastAsia="仿宋"/>
          <w:sz w:val="28"/>
          <w:szCs w:val="28"/>
        </w:rPr>
        <w:t>本项目采用的能源为电能、天然气，属于清洁能源。</w:t>
      </w:r>
    </w:p>
    <w:p w14:paraId="31427A7B">
      <w:pPr>
        <w:spacing w:line="500" w:lineRule="exact"/>
        <w:ind w:firstLine="560" w:firstLineChars="200"/>
        <w:rPr>
          <w:rFonts w:ascii="Times New Roman" w:eastAsia="仿宋"/>
          <w:sz w:val="28"/>
          <w:szCs w:val="28"/>
        </w:rPr>
      </w:pPr>
      <w:r>
        <w:rPr>
          <w:rFonts w:hint="eastAsia" w:ascii="Times New Roman" w:eastAsia="仿宋"/>
          <w:sz w:val="28"/>
          <w:szCs w:val="28"/>
        </w:rPr>
        <w:t>电是二次清洁能源，使用中无污染产生，同时能够根据自身生产需要，自我调节用电量，避免能源在使用过程中的浪费，且单位产品能耗相对较低，对节约能源和改善大气环境质量效果明显。</w:t>
      </w:r>
    </w:p>
    <w:p w14:paraId="612F0169">
      <w:pPr>
        <w:spacing w:line="500" w:lineRule="exact"/>
        <w:ind w:firstLine="560" w:firstLineChars="200"/>
        <w:rPr>
          <w:rFonts w:ascii="Times New Roman" w:eastAsia="仿宋"/>
          <w:sz w:val="28"/>
          <w:szCs w:val="28"/>
        </w:rPr>
      </w:pPr>
      <w:r>
        <w:rPr>
          <w:rFonts w:hint="eastAsia" w:ascii="Times New Roman" w:eastAsia="仿宋"/>
          <w:sz w:val="28"/>
          <w:szCs w:val="28"/>
        </w:rPr>
        <w:t>天然气属于一次清洁能源，作为清洁能源，天然气燃烧时产生的二氧化碳比其他化石燃料少，它可以减少近100%的二氧化硫和粉尘排放、60%的二氧化碳排放和50%的氮氧化物排放，有助于减少酸雨的形成，减缓地球的温室效应，从根本上改善环境质量。</w:t>
      </w:r>
    </w:p>
    <w:p w14:paraId="1CA9D5D7">
      <w:pPr>
        <w:spacing w:line="500" w:lineRule="exact"/>
        <w:ind w:firstLine="560" w:firstLineChars="200"/>
        <w:rPr>
          <w:rFonts w:ascii="Times New Roman" w:eastAsia="仿宋"/>
          <w:sz w:val="28"/>
          <w:szCs w:val="28"/>
        </w:rPr>
      </w:pPr>
      <w:r>
        <w:rPr>
          <w:rFonts w:hint="eastAsia" w:ascii="Times New Roman" w:eastAsia="仿宋"/>
          <w:sz w:val="28"/>
          <w:szCs w:val="28"/>
        </w:rPr>
        <w:t>可见，本项目选用清洁能源，符合清洁生产要求，使用的原辅材料无毒或毒性较低，符合清洁生产要求。</w:t>
      </w:r>
    </w:p>
    <w:p w14:paraId="0574FB84">
      <w:pPr>
        <w:keepNext/>
        <w:tabs>
          <w:tab w:val="left" w:pos="709"/>
        </w:tabs>
        <w:spacing w:before="120" w:beforeLines="50" w:after="120" w:afterLines="50" w:line="500" w:lineRule="exact"/>
        <w:outlineLvl w:val="2"/>
        <w:rPr>
          <w:rFonts w:ascii="Times New Roman" w:eastAsia="仿宋"/>
          <w:b/>
          <w:bCs/>
          <w:sz w:val="30"/>
          <w:szCs w:val="30"/>
        </w:rPr>
      </w:pPr>
      <w:r>
        <w:rPr>
          <w:rFonts w:hint="eastAsia" w:ascii="Times New Roman" w:eastAsia="仿宋"/>
          <w:b/>
          <w:bCs/>
          <w:sz w:val="30"/>
          <w:szCs w:val="30"/>
        </w:rPr>
        <w:t>3.</w:t>
      </w:r>
      <w:r>
        <w:rPr>
          <w:rFonts w:ascii="Times New Roman" w:eastAsia="仿宋"/>
          <w:b/>
          <w:bCs/>
          <w:sz w:val="30"/>
          <w:szCs w:val="30"/>
        </w:rPr>
        <w:t>6</w:t>
      </w:r>
      <w:r>
        <w:rPr>
          <w:rFonts w:hint="eastAsia" w:ascii="Times New Roman" w:eastAsia="仿宋"/>
          <w:b/>
          <w:bCs/>
          <w:sz w:val="30"/>
          <w:szCs w:val="30"/>
        </w:rPr>
        <w:t>.3污染控制措施</w:t>
      </w:r>
    </w:p>
    <w:p w14:paraId="49FA2FCC">
      <w:pPr>
        <w:pStyle w:val="4081"/>
        <w:spacing w:line="480" w:lineRule="exact"/>
        <w:rPr>
          <w:color w:val="auto"/>
          <w:kern w:val="2"/>
        </w:rPr>
      </w:pPr>
      <w:r>
        <w:rPr>
          <w:rFonts w:hint="eastAsia"/>
          <w:color w:val="auto"/>
          <w:kern w:val="2"/>
        </w:rPr>
        <w:t>本项目产品喷涂线采用自动化生产线，配置密闭化的喷漆室、烘干室等，各类废气通过合理化收集处置后，达标排放；本项目生产废水均收集通过厂区污水处理站处理后，全部回用，不外排，生活污水排入市政污水管网，接入金坛直溪污水处理厂集中处理。本项目各类固废均合理化处置，其中一般固废外售综合利用，危险废物委托有资质单位进行处置，生活垃圾由区域环卫负责清运，固废达到零排放。</w:t>
      </w:r>
    </w:p>
    <w:p w14:paraId="4023E28F">
      <w:pPr>
        <w:keepNext/>
        <w:tabs>
          <w:tab w:val="left" w:pos="709"/>
        </w:tabs>
        <w:spacing w:before="120" w:beforeLines="50" w:after="120" w:afterLines="50" w:line="500" w:lineRule="exact"/>
        <w:outlineLvl w:val="2"/>
        <w:rPr>
          <w:rFonts w:ascii="Times New Roman" w:eastAsia="仿宋"/>
          <w:b/>
          <w:bCs/>
          <w:sz w:val="30"/>
          <w:szCs w:val="30"/>
        </w:rPr>
      </w:pPr>
      <w:r>
        <w:rPr>
          <w:rFonts w:hint="eastAsia" w:ascii="Times New Roman" w:eastAsia="仿宋"/>
          <w:b/>
          <w:bCs/>
          <w:sz w:val="30"/>
          <w:szCs w:val="30"/>
        </w:rPr>
        <w:t>3.</w:t>
      </w:r>
      <w:r>
        <w:rPr>
          <w:rFonts w:ascii="Times New Roman" w:eastAsia="仿宋"/>
          <w:b/>
          <w:bCs/>
          <w:sz w:val="30"/>
          <w:szCs w:val="30"/>
        </w:rPr>
        <w:t>6</w:t>
      </w:r>
      <w:r>
        <w:rPr>
          <w:rFonts w:hint="eastAsia" w:ascii="Times New Roman" w:eastAsia="仿宋"/>
          <w:b/>
          <w:bCs/>
          <w:sz w:val="30"/>
          <w:szCs w:val="30"/>
        </w:rPr>
        <w:t>.4生产管理</w:t>
      </w:r>
    </w:p>
    <w:p w14:paraId="3F9ED1A0">
      <w:pPr>
        <w:spacing w:line="500" w:lineRule="exact"/>
        <w:ind w:firstLine="560" w:firstLineChars="200"/>
        <w:rPr>
          <w:rFonts w:ascii="Times New Roman" w:eastAsia="仿宋"/>
          <w:sz w:val="28"/>
          <w:szCs w:val="28"/>
        </w:rPr>
      </w:pPr>
      <w:r>
        <w:rPr>
          <w:rFonts w:hint="eastAsia" w:ascii="Times New Roman" w:eastAsia="仿宋"/>
          <w:sz w:val="28"/>
          <w:szCs w:val="28"/>
        </w:rPr>
        <w:t>本项目投产后，企业拟针对本项目拟定有利于清洁生产的管理条例，制定岗位操作规程，规范文明操作。同时整个生产过程中应该设置完整的生产记录；企业应不断提升工艺，完善各项管理制度；同时企业厂区内实行有效的奖惩制度。在此前提下，基本符合清洁生产要求。</w:t>
      </w:r>
    </w:p>
    <w:p w14:paraId="60A72AB4">
      <w:pPr>
        <w:keepNext/>
        <w:tabs>
          <w:tab w:val="left" w:pos="709"/>
        </w:tabs>
        <w:spacing w:before="120" w:beforeLines="50" w:after="120" w:afterLines="50" w:line="500" w:lineRule="exact"/>
        <w:outlineLvl w:val="2"/>
        <w:rPr>
          <w:rFonts w:ascii="Times New Roman" w:eastAsia="仿宋"/>
          <w:b/>
          <w:bCs/>
          <w:sz w:val="30"/>
          <w:szCs w:val="30"/>
        </w:rPr>
      </w:pPr>
      <w:r>
        <w:rPr>
          <w:rFonts w:hint="eastAsia" w:ascii="Times New Roman" w:eastAsia="仿宋"/>
          <w:b/>
          <w:bCs/>
          <w:sz w:val="30"/>
          <w:szCs w:val="30"/>
        </w:rPr>
        <w:t>3.</w:t>
      </w:r>
      <w:r>
        <w:rPr>
          <w:rFonts w:ascii="Times New Roman" w:eastAsia="仿宋"/>
          <w:b/>
          <w:bCs/>
          <w:sz w:val="30"/>
          <w:szCs w:val="30"/>
        </w:rPr>
        <w:t>6</w:t>
      </w:r>
      <w:r>
        <w:rPr>
          <w:rFonts w:hint="eastAsia" w:ascii="Times New Roman" w:eastAsia="仿宋"/>
          <w:b/>
          <w:bCs/>
          <w:sz w:val="30"/>
          <w:szCs w:val="30"/>
        </w:rPr>
        <w:t>.5企业清洁生产等级</w:t>
      </w:r>
    </w:p>
    <w:p w14:paraId="57440FC6">
      <w:pPr>
        <w:spacing w:line="500" w:lineRule="exact"/>
        <w:ind w:firstLine="560" w:firstLineChars="200"/>
        <w:rPr>
          <w:rFonts w:ascii="Times New Roman" w:eastAsia="仿宋"/>
          <w:sz w:val="28"/>
          <w:szCs w:val="28"/>
        </w:rPr>
      </w:pPr>
      <w:r>
        <w:rPr>
          <w:rFonts w:hint="eastAsia" w:ascii="Times New Roman" w:eastAsia="仿宋"/>
          <w:sz w:val="28"/>
          <w:szCs w:val="28"/>
        </w:rPr>
        <w:t>考虑到本项目涉及喷涂工序，参考《涂装行业清洁生产评价指标体系》（2016年版）计算各类指标的清洁生产级别。《涂装行业清洁生产评价指标体系》（2016年版）中明确：本指标体系适用于汽车及其零部件、机电、家具（铁制）、工程机械等行业的有序涂装生产，当建筑、木器、卷材等行业组织有序涂装生产时，可参考本指标体系执行。本项目产品为汽车铝板，因此可参考该指标执行。</w:t>
      </w:r>
    </w:p>
    <w:p w14:paraId="0BAECCA9">
      <w:pPr>
        <w:spacing w:line="500" w:lineRule="exact"/>
        <w:ind w:firstLine="560" w:firstLineChars="200"/>
        <w:rPr>
          <w:rFonts w:ascii="Times New Roman" w:eastAsia="仿宋"/>
          <w:sz w:val="28"/>
          <w:szCs w:val="28"/>
        </w:rPr>
      </w:pPr>
      <w:r>
        <w:rPr>
          <w:rFonts w:ascii="Times New Roman" w:eastAsia="仿宋"/>
          <w:sz w:val="28"/>
          <w:szCs w:val="28"/>
        </w:rPr>
        <w:t>根据《涂装行业清洁生产评价指标体系》（2016年版），不同等级清洁生产企业综合评价指数见下表。</w:t>
      </w:r>
    </w:p>
    <w:p w14:paraId="2374B3F3">
      <w:pPr>
        <w:spacing w:line="480" w:lineRule="exact"/>
        <w:jc w:val="center"/>
        <w:rPr>
          <w:rFonts w:ascii="Times New Roman" w:eastAsia="仿宋"/>
          <w:b/>
        </w:rPr>
      </w:pPr>
      <w:r>
        <w:rPr>
          <w:rFonts w:ascii="Times New Roman" w:eastAsia="仿宋"/>
          <w:b/>
        </w:rPr>
        <w:t>表</w:t>
      </w:r>
      <w:r>
        <w:rPr>
          <w:rFonts w:hint="eastAsia" w:ascii="Times New Roman" w:eastAsia="仿宋"/>
          <w:b/>
        </w:rPr>
        <w:t>3.</w:t>
      </w:r>
      <w:r>
        <w:rPr>
          <w:rFonts w:ascii="Times New Roman" w:eastAsia="仿宋"/>
          <w:b/>
        </w:rPr>
        <w:t>6</w:t>
      </w:r>
      <w:r>
        <w:rPr>
          <w:rFonts w:hint="eastAsia" w:ascii="Times New Roman" w:eastAsia="仿宋"/>
          <w:b/>
        </w:rPr>
        <w:t>-1</w:t>
      </w:r>
      <w:r>
        <w:rPr>
          <w:rFonts w:ascii="Times New Roman" w:eastAsia="仿宋"/>
          <w:b/>
        </w:rPr>
        <w:t>不同等级清洁生产企业综合评价指数表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031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0BBD8F33">
            <w:pPr>
              <w:widowControl/>
              <w:jc w:val="center"/>
              <w:textAlignment w:val="center"/>
              <w:rPr>
                <w:rFonts w:ascii="Times New Roman" w:eastAsia="仿宋"/>
                <w:szCs w:val="21"/>
              </w:rPr>
            </w:pPr>
            <w:r>
              <w:rPr>
                <w:rFonts w:ascii="Times New Roman" w:eastAsia="仿宋"/>
                <w:szCs w:val="21"/>
              </w:rPr>
              <w:t>企业清洁生产水平</w:t>
            </w:r>
          </w:p>
        </w:tc>
        <w:tc>
          <w:tcPr>
            <w:tcW w:w="2500" w:type="pct"/>
            <w:vAlign w:val="center"/>
          </w:tcPr>
          <w:p w14:paraId="6F9925B1">
            <w:pPr>
              <w:widowControl/>
              <w:jc w:val="center"/>
              <w:textAlignment w:val="center"/>
              <w:rPr>
                <w:rFonts w:ascii="Times New Roman" w:eastAsia="仿宋"/>
                <w:szCs w:val="21"/>
              </w:rPr>
            </w:pPr>
            <w:r>
              <w:rPr>
                <w:rFonts w:ascii="Times New Roman" w:eastAsia="仿宋"/>
                <w:szCs w:val="21"/>
              </w:rPr>
              <w:t>清洁生产综合评价指数</w:t>
            </w:r>
          </w:p>
        </w:tc>
      </w:tr>
      <w:tr w14:paraId="6F60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45A93E2B">
            <w:pPr>
              <w:widowControl/>
              <w:jc w:val="center"/>
              <w:textAlignment w:val="center"/>
              <w:rPr>
                <w:rFonts w:ascii="Times New Roman" w:eastAsia="仿宋"/>
                <w:szCs w:val="21"/>
              </w:rPr>
            </w:pPr>
            <w:r>
              <w:rPr>
                <w:rFonts w:ascii="Times New Roman" w:eastAsia="仿宋"/>
                <w:szCs w:val="21"/>
              </w:rPr>
              <w:t>Ⅰ级（国际清洁生产领先水平）</w:t>
            </w:r>
          </w:p>
        </w:tc>
        <w:tc>
          <w:tcPr>
            <w:tcW w:w="2500" w:type="pct"/>
            <w:vAlign w:val="center"/>
          </w:tcPr>
          <w:p w14:paraId="42F03CD1">
            <w:pPr>
              <w:widowControl/>
              <w:jc w:val="center"/>
              <w:textAlignment w:val="center"/>
              <w:rPr>
                <w:rFonts w:ascii="Times New Roman" w:eastAsia="仿宋"/>
                <w:szCs w:val="21"/>
              </w:rPr>
            </w:pPr>
            <w:r>
              <w:rPr>
                <w:rFonts w:ascii="Times New Roman" w:eastAsia="仿宋"/>
                <w:szCs w:val="21"/>
              </w:rPr>
              <w:t>同时满足：</w:t>
            </w:r>
          </w:p>
          <w:p w14:paraId="1F8389E9">
            <w:pPr>
              <w:widowControl/>
              <w:jc w:val="center"/>
              <w:textAlignment w:val="center"/>
              <w:rPr>
                <w:rFonts w:ascii="Times New Roman" w:eastAsia="仿宋"/>
                <w:szCs w:val="21"/>
              </w:rPr>
            </w:pPr>
            <w:r>
              <w:rPr>
                <w:rFonts w:ascii="Times New Roman" w:eastAsia="仿宋"/>
                <w:szCs w:val="21"/>
              </w:rPr>
              <w:t>——YⅠ≥85；</w:t>
            </w:r>
          </w:p>
          <w:p w14:paraId="0B76988C">
            <w:pPr>
              <w:widowControl/>
              <w:jc w:val="center"/>
              <w:textAlignment w:val="center"/>
              <w:rPr>
                <w:rFonts w:ascii="Times New Roman" w:eastAsia="仿宋"/>
                <w:szCs w:val="21"/>
              </w:rPr>
            </w:pPr>
            <w:r>
              <w:rPr>
                <w:rFonts w:ascii="Times New Roman" w:eastAsia="仿宋"/>
                <w:szCs w:val="21"/>
              </w:rPr>
              <w:t>限定性指标全部满足Ⅰ级基准值要求</w:t>
            </w:r>
          </w:p>
        </w:tc>
      </w:tr>
      <w:tr w14:paraId="1353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01CC1F20">
            <w:pPr>
              <w:widowControl/>
              <w:jc w:val="center"/>
              <w:textAlignment w:val="center"/>
              <w:rPr>
                <w:rFonts w:ascii="Times New Roman" w:eastAsia="仿宋"/>
                <w:szCs w:val="21"/>
              </w:rPr>
            </w:pPr>
            <w:r>
              <w:rPr>
                <w:rFonts w:ascii="Times New Roman" w:eastAsia="仿宋"/>
                <w:szCs w:val="21"/>
              </w:rPr>
              <w:t>Ⅱ级（国内清洁生产先进水平）</w:t>
            </w:r>
          </w:p>
        </w:tc>
        <w:tc>
          <w:tcPr>
            <w:tcW w:w="2500" w:type="pct"/>
            <w:vAlign w:val="center"/>
          </w:tcPr>
          <w:p w14:paraId="0AFBF3FC">
            <w:pPr>
              <w:widowControl/>
              <w:jc w:val="center"/>
              <w:textAlignment w:val="center"/>
              <w:rPr>
                <w:rFonts w:ascii="Times New Roman" w:eastAsia="仿宋"/>
                <w:szCs w:val="21"/>
              </w:rPr>
            </w:pPr>
            <w:r>
              <w:rPr>
                <w:rFonts w:ascii="Times New Roman" w:eastAsia="仿宋"/>
                <w:szCs w:val="21"/>
              </w:rPr>
              <w:t>同时满足：</w:t>
            </w:r>
          </w:p>
          <w:p w14:paraId="7FFD5093">
            <w:pPr>
              <w:widowControl/>
              <w:jc w:val="center"/>
              <w:textAlignment w:val="center"/>
              <w:rPr>
                <w:rFonts w:ascii="Times New Roman" w:eastAsia="仿宋"/>
                <w:szCs w:val="21"/>
              </w:rPr>
            </w:pPr>
            <w:r>
              <w:rPr>
                <w:rFonts w:ascii="Times New Roman" w:eastAsia="仿宋"/>
                <w:szCs w:val="21"/>
              </w:rPr>
              <w:t>——YⅡ≥85；</w:t>
            </w:r>
          </w:p>
          <w:p w14:paraId="64188D59">
            <w:pPr>
              <w:widowControl/>
              <w:jc w:val="center"/>
              <w:textAlignment w:val="center"/>
              <w:rPr>
                <w:rFonts w:ascii="Times New Roman" w:eastAsia="仿宋"/>
                <w:szCs w:val="21"/>
              </w:rPr>
            </w:pPr>
            <w:r>
              <w:rPr>
                <w:rFonts w:ascii="Times New Roman" w:eastAsia="仿宋"/>
                <w:szCs w:val="21"/>
              </w:rPr>
              <w:t>限定性指标全部满足Ⅱ级基准值要求</w:t>
            </w:r>
          </w:p>
        </w:tc>
      </w:tr>
      <w:tr w14:paraId="16BC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126E8CA2">
            <w:pPr>
              <w:widowControl/>
              <w:jc w:val="center"/>
              <w:textAlignment w:val="center"/>
              <w:rPr>
                <w:rFonts w:ascii="Times New Roman" w:eastAsia="仿宋"/>
                <w:szCs w:val="21"/>
              </w:rPr>
            </w:pPr>
            <w:r>
              <w:rPr>
                <w:rFonts w:ascii="Times New Roman" w:eastAsia="仿宋"/>
                <w:szCs w:val="21"/>
              </w:rPr>
              <w:t>Ⅲ级（国内清洁生产基本水平）</w:t>
            </w:r>
          </w:p>
        </w:tc>
        <w:tc>
          <w:tcPr>
            <w:tcW w:w="2500" w:type="pct"/>
            <w:vAlign w:val="center"/>
          </w:tcPr>
          <w:p w14:paraId="6FE58FC8">
            <w:pPr>
              <w:widowControl/>
              <w:jc w:val="center"/>
              <w:textAlignment w:val="center"/>
              <w:rPr>
                <w:rFonts w:ascii="Times New Roman" w:eastAsia="仿宋"/>
                <w:szCs w:val="21"/>
              </w:rPr>
            </w:pPr>
            <w:r>
              <w:rPr>
                <w:rFonts w:ascii="Times New Roman" w:eastAsia="仿宋"/>
                <w:szCs w:val="21"/>
              </w:rPr>
              <w:t>同时满足：</w:t>
            </w:r>
          </w:p>
          <w:p w14:paraId="2A479584">
            <w:pPr>
              <w:widowControl/>
              <w:jc w:val="center"/>
              <w:textAlignment w:val="center"/>
              <w:rPr>
                <w:rFonts w:ascii="Times New Roman" w:eastAsia="仿宋"/>
                <w:szCs w:val="21"/>
              </w:rPr>
            </w:pPr>
            <w:r>
              <w:rPr>
                <w:rFonts w:ascii="Times New Roman" w:eastAsia="仿宋"/>
                <w:szCs w:val="21"/>
              </w:rPr>
              <w:t>——YⅢ=100</w:t>
            </w:r>
          </w:p>
        </w:tc>
      </w:tr>
    </w:tbl>
    <w:p w14:paraId="35746C3F">
      <w:pPr>
        <w:spacing w:line="500" w:lineRule="exact"/>
        <w:ind w:firstLine="560" w:firstLineChars="200"/>
        <w:rPr>
          <w:rFonts w:ascii="Times New Roman" w:eastAsia="仿宋"/>
          <w:sz w:val="28"/>
          <w:szCs w:val="28"/>
        </w:rPr>
      </w:pPr>
      <w:r>
        <w:rPr>
          <w:rFonts w:ascii="Times New Roman" w:eastAsia="仿宋"/>
          <w:sz w:val="28"/>
          <w:szCs w:val="28"/>
        </w:rPr>
        <w:t>本项目同时满足YⅡ≥85及限定性指标全部满足Ⅱ级基准值要求，属于国内清洁生产先进水平，具体分析过程如下</w:t>
      </w:r>
      <w:r>
        <w:rPr>
          <w:rFonts w:hint="eastAsia" w:ascii="Times New Roman" w:eastAsia="仿宋"/>
          <w:sz w:val="28"/>
          <w:szCs w:val="28"/>
        </w:rPr>
        <w:t>。</w:t>
      </w:r>
    </w:p>
    <w:p w14:paraId="286845ED">
      <w:pPr>
        <w:pStyle w:val="4081"/>
        <w:spacing w:line="480" w:lineRule="exact"/>
        <w:rPr>
          <w:rFonts w:ascii="Times New Roman" w:eastAsia="仿宋"/>
          <w:color w:val="auto"/>
          <w:lang w:bidi="ar"/>
        </w:rPr>
        <w:sectPr>
          <w:headerReference r:id="rId17" w:type="default"/>
          <w:footerReference r:id="rId18" w:type="default"/>
          <w:pgSz w:w="11906" w:h="16838"/>
          <w:pgMar w:top="1440" w:right="1800" w:bottom="1440" w:left="1800" w:header="850" w:footer="992" w:gutter="0"/>
          <w:cols w:space="720" w:num="1"/>
          <w:docGrid w:linePitch="312" w:charSpace="0"/>
        </w:sectPr>
      </w:pPr>
      <w:r>
        <w:rPr>
          <w:rFonts w:hint="eastAsia" w:ascii="Times New Roman" w:eastAsia="仿宋"/>
          <w:color w:val="auto"/>
          <w:lang w:bidi="ar"/>
        </w:rPr>
        <w:t>：</w:t>
      </w:r>
    </w:p>
    <w:p w14:paraId="64B133CB">
      <w:pPr>
        <w:spacing w:line="480" w:lineRule="exact"/>
        <w:jc w:val="center"/>
        <w:rPr>
          <w:rFonts w:ascii="Times New Roman" w:eastAsia="仿宋"/>
          <w:b/>
        </w:rPr>
      </w:pPr>
      <w:r>
        <w:rPr>
          <w:rFonts w:hint="eastAsia" w:ascii="Times New Roman" w:eastAsia="仿宋"/>
          <w:b/>
        </w:rPr>
        <w:t>表3.</w:t>
      </w:r>
      <w:r>
        <w:rPr>
          <w:rFonts w:ascii="Times New Roman" w:eastAsia="仿宋"/>
          <w:b/>
        </w:rPr>
        <w:t>6</w:t>
      </w:r>
      <w:r>
        <w:rPr>
          <w:rFonts w:hint="eastAsia" w:ascii="Times New Roman" w:eastAsia="仿宋"/>
          <w:b/>
        </w:rPr>
        <w:t>-1</w:t>
      </w:r>
      <w:r>
        <w:rPr>
          <w:rFonts w:ascii="Times New Roman" w:eastAsia="仿宋"/>
          <w:b/>
        </w:rPr>
        <w:t xml:space="preserve">  </w:t>
      </w:r>
      <w:r>
        <w:rPr>
          <w:rFonts w:hint="eastAsia" w:ascii="Times New Roman" w:eastAsia="仿宋"/>
          <w:b/>
        </w:rPr>
        <w:t>喷漆评价指标项目、权重及基准值</w:t>
      </w:r>
    </w:p>
    <w:tbl>
      <w:tblPr>
        <w:tblStyle w:val="87"/>
        <w:tblW w:w="4733" w:type="pct"/>
        <w:jc w:val="center"/>
        <w:tblLayout w:type="autofit"/>
        <w:tblCellMar>
          <w:top w:w="0" w:type="dxa"/>
          <w:left w:w="108" w:type="dxa"/>
          <w:bottom w:w="0" w:type="dxa"/>
          <w:right w:w="108" w:type="dxa"/>
        </w:tblCellMar>
      </w:tblPr>
      <w:tblGrid>
        <w:gridCol w:w="840"/>
        <w:gridCol w:w="592"/>
        <w:gridCol w:w="553"/>
        <w:gridCol w:w="817"/>
        <w:gridCol w:w="497"/>
        <w:gridCol w:w="499"/>
        <w:gridCol w:w="1000"/>
        <w:gridCol w:w="636"/>
        <w:gridCol w:w="1903"/>
        <w:gridCol w:w="1388"/>
        <w:gridCol w:w="1747"/>
        <w:gridCol w:w="2161"/>
        <w:gridCol w:w="784"/>
      </w:tblGrid>
      <w:tr w14:paraId="55279B5F">
        <w:tblPrEx>
          <w:tblCellMar>
            <w:top w:w="0" w:type="dxa"/>
            <w:left w:w="108" w:type="dxa"/>
            <w:bottom w:w="0" w:type="dxa"/>
            <w:right w:w="108" w:type="dxa"/>
          </w:tblCellMar>
        </w:tblPrEx>
        <w:trPr>
          <w:trHeight w:val="23" w:hRule="atLeast"/>
          <w:jc w:val="center"/>
        </w:trPr>
        <w:tc>
          <w:tcPr>
            <w:tcW w:w="546" w:type="dxa"/>
            <w:tcBorders>
              <w:top w:val="single" w:color="000000" w:sz="8" w:space="0"/>
              <w:left w:val="single" w:color="000000" w:sz="8" w:space="0"/>
              <w:bottom w:val="single" w:color="000000" w:sz="4" w:space="0"/>
              <w:right w:val="single" w:color="000000" w:sz="4" w:space="0"/>
            </w:tcBorders>
            <w:textDirection w:val="tbRlV"/>
            <w:vAlign w:val="center"/>
          </w:tcPr>
          <w:p w14:paraId="0888EB20">
            <w:pPr>
              <w:jc w:val="center"/>
              <w:rPr>
                <w:rFonts w:ascii="Times New Roman" w:eastAsia="仿宋"/>
                <w:szCs w:val="21"/>
              </w:rPr>
            </w:pPr>
            <w:r>
              <w:rPr>
                <w:rFonts w:hint="eastAsia" w:ascii="Times New Roman" w:eastAsia="仿宋"/>
                <w:szCs w:val="21"/>
              </w:rPr>
              <w:t>序号</w:t>
            </w:r>
          </w:p>
        </w:tc>
        <w:tc>
          <w:tcPr>
            <w:tcW w:w="597" w:type="dxa"/>
            <w:tcBorders>
              <w:top w:val="single" w:color="000000" w:sz="8" w:space="0"/>
              <w:left w:val="single" w:color="000000" w:sz="4" w:space="0"/>
              <w:bottom w:val="single" w:color="000000" w:sz="4" w:space="0"/>
              <w:right w:val="single" w:color="000000" w:sz="4" w:space="0"/>
            </w:tcBorders>
            <w:vAlign w:val="center"/>
          </w:tcPr>
          <w:p w14:paraId="4CB79E52">
            <w:pPr>
              <w:jc w:val="center"/>
              <w:rPr>
                <w:rFonts w:ascii="Times New Roman" w:eastAsia="仿宋"/>
                <w:szCs w:val="21"/>
              </w:rPr>
            </w:pPr>
            <w:r>
              <w:rPr>
                <w:rFonts w:hint="eastAsia" w:ascii="Times New Roman" w:eastAsia="仿宋"/>
                <w:szCs w:val="21"/>
              </w:rPr>
              <w:t>一级指标</w:t>
            </w:r>
          </w:p>
        </w:tc>
        <w:tc>
          <w:tcPr>
            <w:tcW w:w="554" w:type="dxa"/>
            <w:tcBorders>
              <w:top w:val="single" w:color="000000" w:sz="8" w:space="0"/>
              <w:left w:val="single" w:color="000000" w:sz="4" w:space="0"/>
              <w:bottom w:val="single" w:color="000000" w:sz="4" w:space="0"/>
              <w:right w:val="single" w:color="000000" w:sz="4" w:space="0"/>
            </w:tcBorders>
            <w:vAlign w:val="center"/>
          </w:tcPr>
          <w:p w14:paraId="7CB68237">
            <w:pPr>
              <w:jc w:val="center"/>
              <w:rPr>
                <w:rFonts w:ascii="Times New Roman" w:eastAsia="仿宋"/>
                <w:szCs w:val="21"/>
              </w:rPr>
            </w:pPr>
            <w:r>
              <w:rPr>
                <w:rFonts w:hint="eastAsia" w:ascii="Times New Roman" w:eastAsia="仿宋"/>
                <w:szCs w:val="21"/>
              </w:rPr>
              <w:t>一级</w:t>
            </w:r>
            <w:r>
              <w:rPr>
                <w:rFonts w:ascii="Times New Roman" w:eastAsia="仿宋"/>
                <w:szCs w:val="21"/>
              </w:rPr>
              <w:br w:type="textWrapping"/>
            </w:r>
            <w:r>
              <w:rPr>
                <w:rFonts w:hint="eastAsia" w:ascii="Times New Roman" w:eastAsia="仿宋"/>
                <w:szCs w:val="21"/>
              </w:rPr>
              <w:t>指标</w:t>
            </w:r>
            <w:r>
              <w:rPr>
                <w:rFonts w:ascii="Times New Roman" w:eastAsia="仿宋"/>
                <w:szCs w:val="21"/>
              </w:rPr>
              <w:br w:type="textWrapping"/>
            </w:r>
            <w:r>
              <w:rPr>
                <w:rFonts w:hint="eastAsia" w:ascii="Times New Roman" w:eastAsia="仿宋"/>
                <w:szCs w:val="21"/>
              </w:rPr>
              <w:t>权重</w:t>
            </w:r>
          </w:p>
        </w:tc>
        <w:tc>
          <w:tcPr>
            <w:tcW w:w="1817" w:type="dxa"/>
            <w:gridSpan w:val="3"/>
            <w:tcBorders>
              <w:top w:val="single" w:color="000000" w:sz="8" w:space="0"/>
              <w:left w:val="single" w:color="000000" w:sz="4" w:space="0"/>
              <w:bottom w:val="single" w:color="000000" w:sz="4" w:space="0"/>
              <w:right w:val="single" w:color="000000" w:sz="4" w:space="0"/>
            </w:tcBorders>
            <w:vAlign w:val="center"/>
          </w:tcPr>
          <w:p w14:paraId="1D9CC4A5">
            <w:pPr>
              <w:jc w:val="center"/>
              <w:rPr>
                <w:rFonts w:ascii="Times New Roman" w:eastAsia="仿宋"/>
                <w:szCs w:val="21"/>
              </w:rPr>
            </w:pPr>
            <w:r>
              <w:rPr>
                <w:rFonts w:hint="eastAsia" w:ascii="Times New Roman" w:eastAsia="仿宋"/>
                <w:szCs w:val="21"/>
              </w:rPr>
              <w:t>二级指标</w:t>
            </w:r>
          </w:p>
        </w:tc>
        <w:tc>
          <w:tcPr>
            <w:tcW w:w="976" w:type="dxa"/>
            <w:tcBorders>
              <w:top w:val="single" w:color="000000" w:sz="8" w:space="0"/>
              <w:left w:val="single" w:color="000000" w:sz="4" w:space="0"/>
              <w:bottom w:val="single" w:color="000000" w:sz="4" w:space="0"/>
              <w:right w:val="single" w:color="000000" w:sz="4" w:space="0"/>
            </w:tcBorders>
            <w:vAlign w:val="center"/>
          </w:tcPr>
          <w:p w14:paraId="2BC884EE">
            <w:pPr>
              <w:jc w:val="center"/>
              <w:rPr>
                <w:rFonts w:ascii="Times New Roman" w:eastAsia="仿宋"/>
                <w:szCs w:val="21"/>
              </w:rPr>
            </w:pPr>
            <w:r>
              <w:rPr>
                <w:rFonts w:hint="eastAsia" w:ascii="Times New Roman" w:eastAsia="仿宋"/>
                <w:szCs w:val="21"/>
              </w:rPr>
              <w:t>单位</w:t>
            </w:r>
          </w:p>
        </w:tc>
        <w:tc>
          <w:tcPr>
            <w:tcW w:w="636" w:type="dxa"/>
            <w:tcBorders>
              <w:top w:val="single" w:color="000000" w:sz="8" w:space="0"/>
              <w:left w:val="single" w:color="000000" w:sz="4" w:space="0"/>
              <w:bottom w:val="single" w:color="000000" w:sz="4" w:space="0"/>
              <w:right w:val="single" w:color="000000" w:sz="4" w:space="0"/>
            </w:tcBorders>
            <w:vAlign w:val="center"/>
          </w:tcPr>
          <w:p w14:paraId="060C2A85">
            <w:pPr>
              <w:jc w:val="center"/>
              <w:rPr>
                <w:rFonts w:ascii="Times New Roman" w:eastAsia="仿宋"/>
                <w:szCs w:val="21"/>
              </w:rPr>
            </w:pPr>
            <w:r>
              <w:rPr>
                <w:rFonts w:hint="eastAsia" w:ascii="Times New Roman" w:eastAsia="仿宋"/>
                <w:szCs w:val="21"/>
              </w:rPr>
              <w:t>二级</w:t>
            </w:r>
            <w:r>
              <w:rPr>
                <w:rFonts w:ascii="Times New Roman" w:eastAsia="仿宋"/>
                <w:szCs w:val="21"/>
              </w:rPr>
              <w:br w:type="textWrapping"/>
            </w:r>
            <w:r>
              <w:rPr>
                <w:rFonts w:hint="eastAsia" w:ascii="Times New Roman" w:eastAsia="仿宋"/>
                <w:szCs w:val="21"/>
              </w:rPr>
              <w:t>指标</w:t>
            </w:r>
            <w:r>
              <w:rPr>
                <w:rFonts w:ascii="Times New Roman" w:eastAsia="仿宋"/>
                <w:szCs w:val="21"/>
              </w:rPr>
              <w:br w:type="textWrapping"/>
            </w:r>
            <w:r>
              <w:rPr>
                <w:rFonts w:hint="eastAsia" w:ascii="Times New Roman" w:eastAsia="仿宋"/>
                <w:szCs w:val="21"/>
              </w:rPr>
              <w:t>权重</w:t>
            </w:r>
          </w:p>
        </w:tc>
        <w:tc>
          <w:tcPr>
            <w:tcW w:w="1922" w:type="dxa"/>
            <w:tcBorders>
              <w:top w:val="single" w:color="000000" w:sz="8" w:space="0"/>
              <w:left w:val="single" w:color="000000" w:sz="4" w:space="0"/>
              <w:bottom w:val="single" w:color="000000" w:sz="4" w:space="0"/>
              <w:right w:val="single" w:color="000000" w:sz="4" w:space="0"/>
            </w:tcBorders>
            <w:vAlign w:val="center"/>
          </w:tcPr>
          <w:p w14:paraId="6419B2DD">
            <w:pPr>
              <w:jc w:val="center"/>
              <w:rPr>
                <w:rFonts w:ascii="Times New Roman" w:eastAsia="仿宋"/>
                <w:szCs w:val="21"/>
              </w:rPr>
            </w:pPr>
            <w:r>
              <w:rPr>
                <w:rFonts w:ascii="Times New Roman" w:eastAsia="仿宋"/>
                <w:szCs w:val="21"/>
              </w:rPr>
              <w:t xml:space="preserve">I </w:t>
            </w:r>
            <w:r>
              <w:rPr>
                <w:rFonts w:hint="eastAsia" w:ascii="Times New Roman" w:eastAsia="仿宋"/>
                <w:szCs w:val="21"/>
              </w:rPr>
              <w:t>级基准值</w:t>
            </w:r>
          </w:p>
        </w:tc>
        <w:tc>
          <w:tcPr>
            <w:tcW w:w="1388" w:type="dxa"/>
            <w:tcBorders>
              <w:top w:val="single" w:color="000000" w:sz="8" w:space="0"/>
              <w:left w:val="single" w:color="000000" w:sz="4" w:space="0"/>
              <w:bottom w:val="single" w:color="000000" w:sz="4" w:space="0"/>
              <w:right w:val="single" w:color="000000" w:sz="4" w:space="0"/>
            </w:tcBorders>
            <w:vAlign w:val="center"/>
          </w:tcPr>
          <w:p w14:paraId="77340F2C">
            <w:pPr>
              <w:jc w:val="center"/>
              <w:rPr>
                <w:rFonts w:ascii="Times New Roman" w:eastAsia="仿宋"/>
                <w:szCs w:val="21"/>
              </w:rPr>
            </w:pPr>
            <w:r>
              <w:rPr>
                <w:rFonts w:ascii="Times New Roman" w:eastAsia="仿宋"/>
                <w:szCs w:val="21"/>
              </w:rPr>
              <w:t>II</w:t>
            </w:r>
            <w:r>
              <w:rPr>
                <w:rFonts w:hint="eastAsia" w:ascii="Times New Roman" w:eastAsia="仿宋"/>
                <w:szCs w:val="21"/>
              </w:rPr>
              <w:t>级基准值</w:t>
            </w:r>
          </w:p>
        </w:tc>
        <w:tc>
          <w:tcPr>
            <w:tcW w:w="1760" w:type="dxa"/>
            <w:tcBorders>
              <w:top w:val="single" w:color="000000" w:sz="8" w:space="0"/>
              <w:left w:val="single" w:color="000000" w:sz="4" w:space="0"/>
              <w:bottom w:val="single" w:color="000000" w:sz="4" w:space="0"/>
              <w:right w:val="single" w:color="000000" w:sz="8" w:space="0"/>
            </w:tcBorders>
            <w:vAlign w:val="center"/>
          </w:tcPr>
          <w:p w14:paraId="69D050AA">
            <w:pPr>
              <w:jc w:val="center"/>
              <w:rPr>
                <w:rFonts w:ascii="Times New Roman" w:eastAsia="仿宋"/>
                <w:szCs w:val="21"/>
              </w:rPr>
            </w:pPr>
            <w:r>
              <w:rPr>
                <w:rFonts w:ascii="Times New Roman" w:eastAsia="仿宋"/>
                <w:szCs w:val="21"/>
              </w:rPr>
              <w:t>III</w:t>
            </w:r>
            <w:r>
              <w:rPr>
                <w:rFonts w:hint="eastAsia" w:ascii="Times New Roman" w:eastAsia="仿宋"/>
                <w:szCs w:val="21"/>
              </w:rPr>
              <w:t>级基准值</w:t>
            </w:r>
          </w:p>
        </w:tc>
        <w:tc>
          <w:tcPr>
            <w:tcW w:w="2201" w:type="dxa"/>
            <w:tcBorders>
              <w:top w:val="single" w:color="000000" w:sz="8" w:space="0"/>
              <w:left w:val="single" w:color="000000" w:sz="4" w:space="0"/>
              <w:bottom w:val="single" w:color="000000" w:sz="4" w:space="0"/>
              <w:right w:val="single" w:color="000000" w:sz="8" w:space="0"/>
            </w:tcBorders>
            <w:vAlign w:val="center"/>
          </w:tcPr>
          <w:p w14:paraId="5B5FB103">
            <w:pPr>
              <w:jc w:val="center"/>
              <w:rPr>
                <w:rFonts w:ascii="Times New Roman" w:eastAsia="仿宋"/>
                <w:szCs w:val="21"/>
              </w:rPr>
            </w:pPr>
            <w:r>
              <w:rPr>
                <w:rFonts w:hint="eastAsia" w:ascii="Times New Roman" w:eastAsia="仿宋"/>
                <w:szCs w:val="21"/>
              </w:rPr>
              <w:t>本厂情况</w:t>
            </w:r>
          </w:p>
        </w:tc>
        <w:tc>
          <w:tcPr>
            <w:tcW w:w="796" w:type="dxa"/>
            <w:tcBorders>
              <w:top w:val="single" w:color="000000" w:sz="8" w:space="0"/>
              <w:left w:val="single" w:color="000000" w:sz="4" w:space="0"/>
              <w:bottom w:val="single" w:color="000000" w:sz="4" w:space="0"/>
              <w:right w:val="single" w:color="000000" w:sz="8" w:space="0"/>
            </w:tcBorders>
            <w:vAlign w:val="center"/>
          </w:tcPr>
          <w:p w14:paraId="4BCF404E">
            <w:pPr>
              <w:jc w:val="center"/>
              <w:rPr>
                <w:rFonts w:ascii="Times New Roman" w:eastAsia="仿宋"/>
                <w:szCs w:val="21"/>
              </w:rPr>
            </w:pPr>
            <w:r>
              <w:rPr>
                <w:rFonts w:hint="eastAsia" w:ascii="Times New Roman" w:eastAsia="仿宋"/>
                <w:szCs w:val="21"/>
              </w:rPr>
              <w:t>本项目所属等级</w:t>
            </w:r>
          </w:p>
        </w:tc>
      </w:tr>
      <w:tr w14:paraId="70EA9D73">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46233D42">
            <w:pPr>
              <w:jc w:val="center"/>
              <w:rPr>
                <w:rFonts w:ascii="Times New Roman" w:eastAsia="仿宋"/>
                <w:szCs w:val="21"/>
              </w:rPr>
            </w:pPr>
            <w:r>
              <w:rPr>
                <w:rFonts w:ascii="Times New Roman" w:eastAsia="仿宋"/>
                <w:szCs w:val="21"/>
              </w:rPr>
              <w:t>1</w:t>
            </w:r>
          </w:p>
        </w:tc>
        <w:tc>
          <w:tcPr>
            <w:tcW w:w="597" w:type="dxa"/>
            <w:vMerge w:val="restart"/>
            <w:tcBorders>
              <w:top w:val="single" w:color="000000" w:sz="4" w:space="0"/>
              <w:left w:val="single" w:color="000000" w:sz="4" w:space="0"/>
              <w:bottom w:val="single" w:color="000000" w:sz="4" w:space="0"/>
              <w:right w:val="single" w:color="000000" w:sz="4" w:space="0"/>
            </w:tcBorders>
            <w:vAlign w:val="center"/>
          </w:tcPr>
          <w:p w14:paraId="771DA72A">
            <w:pPr>
              <w:jc w:val="center"/>
              <w:rPr>
                <w:rFonts w:ascii="Times New Roman" w:eastAsia="仿宋"/>
                <w:szCs w:val="21"/>
              </w:rPr>
            </w:pPr>
            <w:r>
              <w:rPr>
                <w:rFonts w:hint="eastAsia" w:ascii="Times New Roman" w:eastAsia="仿宋"/>
                <w:szCs w:val="21"/>
              </w:rPr>
              <w:t>生产工艺</w:t>
            </w:r>
            <w:r>
              <w:rPr>
                <w:rFonts w:ascii="Times New Roman" w:eastAsia="仿宋"/>
                <w:szCs w:val="21"/>
              </w:rPr>
              <w:br w:type="textWrapping"/>
            </w:r>
            <w:r>
              <w:rPr>
                <w:rFonts w:hint="eastAsia" w:ascii="Times New Roman" w:eastAsia="仿宋"/>
                <w:szCs w:val="21"/>
              </w:rPr>
              <w:t>及设备要</w:t>
            </w:r>
            <w:r>
              <w:rPr>
                <w:rFonts w:ascii="Times New Roman" w:eastAsia="仿宋"/>
                <w:szCs w:val="21"/>
              </w:rPr>
              <w:br w:type="textWrapping"/>
            </w:r>
            <w:r>
              <w:rPr>
                <w:rFonts w:hint="eastAsia" w:ascii="Times New Roman" w:eastAsia="仿宋"/>
                <w:szCs w:val="21"/>
              </w:rPr>
              <w:t>求</w:t>
            </w:r>
          </w:p>
        </w:tc>
        <w:tc>
          <w:tcPr>
            <w:tcW w:w="554" w:type="dxa"/>
            <w:vMerge w:val="restart"/>
            <w:tcBorders>
              <w:top w:val="single" w:color="000000" w:sz="4" w:space="0"/>
              <w:left w:val="single" w:color="000000" w:sz="4" w:space="0"/>
              <w:bottom w:val="single" w:color="000000" w:sz="4" w:space="0"/>
              <w:right w:val="single" w:color="000000" w:sz="4" w:space="0"/>
            </w:tcBorders>
            <w:vAlign w:val="center"/>
          </w:tcPr>
          <w:p w14:paraId="3B2EF9B3">
            <w:pPr>
              <w:jc w:val="center"/>
              <w:rPr>
                <w:rFonts w:ascii="Times New Roman" w:eastAsia="仿宋"/>
                <w:szCs w:val="21"/>
              </w:rPr>
            </w:pPr>
            <w:r>
              <w:rPr>
                <w:rFonts w:ascii="Times New Roman" w:eastAsia="仿宋"/>
                <w:szCs w:val="21"/>
              </w:rPr>
              <w:t>0.6</w:t>
            </w: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14:paraId="098BE5FF">
            <w:pPr>
              <w:jc w:val="center"/>
              <w:rPr>
                <w:rFonts w:ascii="Times New Roman" w:eastAsia="仿宋"/>
                <w:szCs w:val="21"/>
              </w:rPr>
            </w:pPr>
            <w:r>
              <w:rPr>
                <w:rFonts w:hint="eastAsia" w:ascii="Times New Roman" w:eastAsia="仿宋"/>
                <w:szCs w:val="21"/>
              </w:rPr>
              <w:t>底漆</w:t>
            </w:r>
          </w:p>
        </w:tc>
        <w:tc>
          <w:tcPr>
            <w:tcW w:w="100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B0967CD">
            <w:pPr>
              <w:jc w:val="center"/>
              <w:rPr>
                <w:rFonts w:ascii="Times New Roman" w:eastAsia="仿宋"/>
                <w:szCs w:val="21"/>
              </w:rPr>
            </w:pPr>
            <w:r>
              <w:rPr>
                <w:rFonts w:hint="eastAsia" w:ascii="Times New Roman" w:eastAsia="仿宋"/>
                <w:szCs w:val="21"/>
              </w:rPr>
              <w:t>电泳漆</w:t>
            </w:r>
            <w:r>
              <w:rPr>
                <w:rFonts w:ascii="Times New Roman" w:eastAsia="仿宋"/>
                <w:szCs w:val="21"/>
              </w:rPr>
              <w:br w:type="textWrapping"/>
            </w:r>
            <w:r>
              <w:rPr>
                <w:rFonts w:hint="eastAsia" w:ascii="Times New Roman" w:eastAsia="仿宋"/>
                <w:szCs w:val="21"/>
              </w:rPr>
              <w:t>自泳漆</w:t>
            </w:r>
            <w:r>
              <w:rPr>
                <w:rFonts w:ascii="Times New Roman" w:eastAsia="仿宋"/>
                <w:szCs w:val="21"/>
              </w:rPr>
              <w:br w:type="textWrapping"/>
            </w:r>
            <w:r>
              <w:rPr>
                <w:rFonts w:hint="eastAsia" w:ascii="Times New Roman" w:eastAsia="仿宋"/>
                <w:szCs w:val="21"/>
              </w:rPr>
              <w:t>喷漆（涂覆）</w:t>
            </w:r>
          </w:p>
        </w:tc>
        <w:tc>
          <w:tcPr>
            <w:tcW w:w="976" w:type="dxa"/>
            <w:vMerge w:val="restart"/>
            <w:tcBorders>
              <w:top w:val="single" w:color="000000" w:sz="4" w:space="0"/>
              <w:left w:val="single" w:color="000000" w:sz="4" w:space="0"/>
              <w:bottom w:val="single" w:color="000000" w:sz="4" w:space="0"/>
              <w:right w:val="single" w:color="000000" w:sz="4" w:space="0"/>
            </w:tcBorders>
            <w:vAlign w:val="center"/>
          </w:tcPr>
          <w:p w14:paraId="41E88A36">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5EE8BE94">
            <w:pPr>
              <w:jc w:val="center"/>
              <w:rPr>
                <w:rFonts w:ascii="Times New Roman" w:eastAsia="仿宋"/>
                <w:szCs w:val="21"/>
              </w:rPr>
            </w:pPr>
            <w:r>
              <w:rPr>
                <w:rFonts w:ascii="Times New Roman" w:eastAsia="仿宋"/>
                <w:szCs w:val="21"/>
              </w:rPr>
              <w:t>0.12</w:t>
            </w:r>
          </w:p>
        </w:tc>
        <w:tc>
          <w:tcPr>
            <w:tcW w:w="1922" w:type="dxa"/>
            <w:tcBorders>
              <w:top w:val="single" w:color="000000" w:sz="4" w:space="0"/>
              <w:left w:val="single" w:color="000000" w:sz="4" w:space="0"/>
              <w:bottom w:val="single" w:color="000000" w:sz="4" w:space="0"/>
              <w:right w:val="single" w:color="000000" w:sz="4" w:space="0"/>
            </w:tcBorders>
            <w:vAlign w:val="center"/>
          </w:tcPr>
          <w:p w14:paraId="1C4467CE">
            <w:pPr>
              <w:jc w:val="center"/>
              <w:rPr>
                <w:rFonts w:ascii="Times New Roman" w:eastAsia="仿宋"/>
                <w:szCs w:val="21"/>
              </w:rPr>
            </w:pPr>
            <w:r>
              <w:rPr>
                <w:rFonts w:hint="eastAsia" w:ascii="Times New Roman" w:eastAsia="仿宋"/>
                <w:szCs w:val="21"/>
              </w:rPr>
              <w:t>应满足以下条件之一：①电泳漆工艺；②自泳漆工艺；③使用水性漆喷涂；④使用粉末涂料</w:t>
            </w:r>
          </w:p>
        </w:tc>
        <w:tc>
          <w:tcPr>
            <w:tcW w:w="3148" w:type="dxa"/>
            <w:gridSpan w:val="2"/>
            <w:tcBorders>
              <w:top w:val="single" w:color="000000" w:sz="4" w:space="0"/>
              <w:left w:val="single" w:color="000000" w:sz="4" w:space="0"/>
              <w:bottom w:val="single" w:color="000000" w:sz="4" w:space="0"/>
              <w:right w:val="single" w:color="000000" w:sz="8" w:space="0"/>
            </w:tcBorders>
            <w:vAlign w:val="center"/>
          </w:tcPr>
          <w:p w14:paraId="1C3E9654">
            <w:pPr>
              <w:jc w:val="center"/>
              <w:rPr>
                <w:rFonts w:ascii="Times New Roman" w:eastAsia="仿宋"/>
                <w:szCs w:val="21"/>
              </w:rPr>
            </w:pPr>
            <w:r>
              <w:rPr>
                <w:rFonts w:hint="eastAsia" w:ascii="Times New Roman" w:eastAsia="仿宋"/>
                <w:szCs w:val="21"/>
              </w:rPr>
              <w:t>节水</w:t>
            </w:r>
            <w:r>
              <w:rPr>
                <w:rFonts w:ascii="Times New Roman" w:eastAsia="仿宋"/>
                <w:szCs w:val="21"/>
              </w:rPr>
              <w:t>b</w:t>
            </w:r>
            <w:r>
              <w:rPr>
                <w:rFonts w:hint="eastAsia" w:ascii="Times New Roman" w:eastAsia="仿宋"/>
                <w:szCs w:val="21"/>
              </w:rPr>
              <w:t>、技术应用</w:t>
            </w:r>
          </w:p>
        </w:tc>
        <w:tc>
          <w:tcPr>
            <w:tcW w:w="2201" w:type="dxa"/>
            <w:tcBorders>
              <w:top w:val="single" w:color="000000" w:sz="4" w:space="0"/>
              <w:left w:val="single" w:color="000000" w:sz="4" w:space="0"/>
              <w:bottom w:val="single" w:color="000000" w:sz="4" w:space="0"/>
              <w:right w:val="single" w:color="000000" w:sz="8" w:space="0"/>
            </w:tcBorders>
            <w:vAlign w:val="center"/>
          </w:tcPr>
          <w:p w14:paraId="6D21CF7E">
            <w:pPr>
              <w:jc w:val="center"/>
              <w:rPr>
                <w:rFonts w:ascii="Times New Roman" w:eastAsia="仿宋"/>
                <w:szCs w:val="21"/>
              </w:rPr>
            </w:pPr>
            <w:r>
              <w:rPr>
                <w:rFonts w:hint="eastAsia" w:ascii="Times New Roman" w:eastAsia="仿宋"/>
                <w:szCs w:val="21"/>
              </w:rPr>
              <w:t>企业涂装线的涂料包括油性氟碳漆以及塑粉等粉末涂料</w:t>
            </w:r>
          </w:p>
        </w:tc>
        <w:tc>
          <w:tcPr>
            <w:tcW w:w="796" w:type="dxa"/>
            <w:tcBorders>
              <w:top w:val="single" w:color="000000" w:sz="4" w:space="0"/>
              <w:left w:val="single" w:color="000000" w:sz="4" w:space="0"/>
              <w:bottom w:val="single" w:color="000000" w:sz="4" w:space="0"/>
              <w:right w:val="single" w:color="000000" w:sz="8" w:space="0"/>
            </w:tcBorders>
            <w:vAlign w:val="center"/>
          </w:tcPr>
          <w:p w14:paraId="56DE21BE">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727B5030">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1D9DF770">
            <w:pPr>
              <w:jc w:val="center"/>
              <w:rPr>
                <w:rFonts w:ascii="Times New Roman" w:eastAsia="仿宋"/>
                <w:szCs w:val="21"/>
              </w:rPr>
            </w:pPr>
            <w:r>
              <w:rPr>
                <w:rFonts w:ascii="Times New Roman" w:eastAsia="仿宋"/>
                <w:szCs w:val="21"/>
              </w:rPr>
              <w:t>2</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6D45726C">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24A16180">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25BCDE6E">
            <w:pPr>
              <w:rPr>
                <w:rFonts w:ascii="Times New Roman" w:eastAsia="仿宋"/>
                <w:szCs w:val="21"/>
              </w:rPr>
            </w:pPr>
          </w:p>
        </w:tc>
        <w:tc>
          <w:tcPr>
            <w:tcW w:w="100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FC38F99">
            <w:pPr>
              <w:rPr>
                <w:rFonts w:ascii="Times New Roman" w:eastAsia="仿宋"/>
                <w:szCs w:val="21"/>
              </w:rPr>
            </w:pP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4C806DC3">
            <w:pPr>
              <w:rPr>
                <w:rFonts w:ascii="Times New Roman" w:eastAsia="仿宋"/>
                <w:szCs w:val="21"/>
              </w:rPr>
            </w:pPr>
          </w:p>
        </w:tc>
        <w:tc>
          <w:tcPr>
            <w:tcW w:w="636" w:type="dxa"/>
            <w:tcBorders>
              <w:top w:val="single" w:color="000000" w:sz="4" w:space="0"/>
              <w:left w:val="single" w:color="000000" w:sz="4" w:space="0"/>
              <w:bottom w:val="single" w:color="000000" w:sz="4" w:space="0"/>
              <w:right w:val="single" w:color="000000" w:sz="4" w:space="0"/>
            </w:tcBorders>
            <w:vAlign w:val="center"/>
          </w:tcPr>
          <w:p w14:paraId="5A60D45D">
            <w:pPr>
              <w:jc w:val="center"/>
              <w:rPr>
                <w:rFonts w:ascii="Times New Roman" w:eastAsia="仿宋"/>
                <w:szCs w:val="21"/>
              </w:rPr>
            </w:pPr>
            <w:r>
              <w:rPr>
                <w:rFonts w:ascii="Times New Roman" w:eastAsia="仿宋"/>
                <w:szCs w:val="21"/>
              </w:rPr>
              <w:t>0.11</w:t>
            </w:r>
          </w:p>
        </w:tc>
        <w:tc>
          <w:tcPr>
            <w:tcW w:w="1922" w:type="dxa"/>
            <w:tcBorders>
              <w:top w:val="single" w:color="000000" w:sz="4" w:space="0"/>
              <w:left w:val="single" w:color="000000" w:sz="4" w:space="0"/>
              <w:bottom w:val="single" w:color="000000" w:sz="4" w:space="0"/>
              <w:right w:val="single" w:color="000000" w:sz="4" w:space="0"/>
            </w:tcBorders>
            <w:vAlign w:val="center"/>
          </w:tcPr>
          <w:p w14:paraId="510841BB">
            <w:pPr>
              <w:jc w:val="center"/>
              <w:rPr>
                <w:rFonts w:ascii="Times New Roman" w:eastAsia="仿宋"/>
                <w:szCs w:val="21"/>
              </w:rPr>
            </w:pPr>
            <w:r>
              <w:rPr>
                <w:rFonts w:hint="eastAsia" w:ascii="Times New Roman" w:eastAsia="仿宋"/>
                <w:szCs w:val="21"/>
              </w:rPr>
              <w:t>节能技术应用</w:t>
            </w:r>
            <w:r>
              <w:rPr>
                <w:rFonts w:ascii="Times New Roman" w:eastAsia="仿宋"/>
                <w:szCs w:val="21"/>
              </w:rPr>
              <w:t>c</w:t>
            </w:r>
            <w:r>
              <w:rPr>
                <w:rFonts w:hint="eastAsia" w:ascii="Times New Roman" w:eastAsia="仿宋"/>
                <w:szCs w:val="21"/>
              </w:rPr>
              <w:t>；电泳漆、自泳漆设置备用槽；喷漆设置漆雾处理</w:t>
            </w:r>
          </w:p>
        </w:tc>
        <w:tc>
          <w:tcPr>
            <w:tcW w:w="3148" w:type="dxa"/>
            <w:gridSpan w:val="2"/>
            <w:tcBorders>
              <w:top w:val="single" w:color="000000" w:sz="4" w:space="0"/>
              <w:left w:val="single" w:color="000000" w:sz="4" w:space="0"/>
              <w:bottom w:val="single" w:color="000000" w:sz="4" w:space="0"/>
              <w:right w:val="single" w:color="000000" w:sz="8" w:space="0"/>
            </w:tcBorders>
            <w:vAlign w:val="center"/>
          </w:tcPr>
          <w:p w14:paraId="7B7F4F09">
            <w:pPr>
              <w:jc w:val="center"/>
              <w:rPr>
                <w:rFonts w:ascii="Times New Roman" w:eastAsia="仿宋"/>
                <w:szCs w:val="21"/>
              </w:rPr>
            </w:pPr>
            <w:r>
              <w:rPr>
                <w:rFonts w:hint="eastAsia" w:ascii="Times New Roman" w:eastAsia="仿宋"/>
                <w:szCs w:val="21"/>
              </w:rPr>
              <w:t>节能技术应用</w:t>
            </w:r>
            <w:r>
              <w:rPr>
                <w:rFonts w:ascii="Times New Roman" w:eastAsia="仿宋"/>
                <w:szCs w:val="21"/>
              </w:rPr>
              <w:t>c</w:t>
            </w:r>
            <w:r>
              <w:rPr>
                <w:rFonts w:hint="eastAsia" w:ascii="Times New Roman" w:eastAsia="仿宋"/>
                <w:szCs w:val="21"/>
              </w:rPr>
              <w:t>；喷漆设置漆雾处理</w:t>
            </w:r>
          </w:p>
        </w:tc>
        <w:tc>
          <w:tcPr>
            <w:tcW w:w="2201" w:type="dxa"/>
            <w:tcBorders>
              <w:top w:val="single" w:color="000000" w:sz="4" w:space="0"/>
              <w:left w:val="single" w:color="000000" w:sz="4" w:space="0"/>
              <w:bottom w:val="single" w:color="000000" w:sz="4" w:space="0"/>
              <w:right w:val="single" w:color="000000" w:sz="8" w:space="0"/>
            </w:tcBorders>
            <w:vAlign w:val="center"/>
          </w:tcPr>
          <w:p w14:paraId="76A79302">
            <w:pPr>
              <w:jc w:val="center"/>
              <w:rPr>
                <w:rFonts w:ascii="Times New Roman" w:eastAsia="仿宋"/>
                <w:szCs w:val="21"/>
              </w:rPr>
            </w:pPr>
            <w:r>
              <w:rPr>
                <w:rFonts w:hint="eastAsia" w:ascii="Times New Roman" w:eastAsia="仿宋"/>
                <w:szCs w:val="21"/>
              </w:rPr>
              <w:t>企业使用变频电机，可按需调节；企业涂装线中喷漆室均设置水帘漆雾处理装置，有机废气均收集后通过“水帘式循环过滤系统+水喷淋+干式过滤器+活性炭吸附脱附+催化燃烧”处理后有组织排放</w:t>
            </w:r>
          </w:p>
        </w:tc>
        <w:tc>
          <w:tcPr>
            <w:tcW w:w="796" w:type="dxa"/>
            <w:tcBorders>
              <w:top w:val="single" w:color="000000" w:sz="4" w:space="0"/>
              <w:left w:val="single" w:color="000000" w:sz="4" w:space="0"/>
              <w:bottom w:val="single" w:color="000000" w:sz="4" w:space="0"/>
              <w:right w:val="single" w:color="000000" w:sz="8" w:space="0"/>
            </w:tcBorders>
            <w:vAlign w:val="center"/>
          </w:tcPr>
          <w:p w14:paraId="3831241A">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28394967">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6533922B">
            <w:pPr>
              <w:jc w:val="center"/>
              <w:rPr>
                <w:rFonts w:ascii="Times New Roman" w:eastAsia="仿宋"/>
                <w:szCs w:val="21"/>
              </w:rPr>
            </w:pPr>
            <w:r>
              <w:rPr>
                <w:rFonts w:ascii="Times New Roman" w:eastAsia="仿宋"/>
                <w:szCs w:val="21"/>
              </w:rPr>
              <w:t>3</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089FA78E">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7FD8569D">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1DAD8B47">
            <w:pP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5E5E7A55">
            <w:pPr>
              <w:jc w:val="center"/>
              <w:rPr>
                <w:rFonts w:ascii="Times New Roman" w:eastAsia="仿宋"/>
                <w:szCs w:val="21"/>
              </w:rPr>
            </w:pPr>
            <w:r>
              <w:rPr>
                <w:rFonts w:hint="eastAsia" w:ascii="Times New Roman" w:eastAsia="仿宋"/>
                <w:szCs w:val="21"/>
              </w:rPr>
              <w:t>烘干</w:t>
            </w:r>
          </w:p>
        </w:tc>
        <w:tc>
          <w:tcPr>
            <w:tcW w:w="976" w:type="dxa"/>
            <w:tcBorders>
              <w:top w:val="single" w:color="000000" w:sz="4" w:space="0"/>
              <w:left w:val="single" w:color="000000" w:sz="4" w:space="0"/>
              <w:bottom w:val="single" w:color="000000" w:sz="4" w:space="0"/>
              <w:right w:val="single" w:color="000000" w:sz="4" w:space="0"/>
            </w:tcBorders>
            <w:vAlign w:val="center"/>
          </w:tcPr>
          <w:p w14:paraId="50EE2C0A">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2478D7C9">
            <w:pPr>
              <w:jc w:val="center"/>
              <w:rPr>
                <w:rFonts w:ascii="Times New Roman" w:eastAsia="仿宋"/>
                <w:szCs w:val="21"/>
              </w:rPr>
            </w:pPr>
            <w:r>
              <w:rPr>
                <w:rFonts w:ascii="Times New Roman" w:eastAsia="仿宋"/>
                <w:szCs w:val="21"/>
              </w:rPr>
              <w:t>0.04</w:t>
            </w:r>
          </w:p>
        </w:tc>
        <w:tc>
          <w:tcPr>
            <w:tcW w:w="3310" w:type="dxa"/>
            <w:gridSpan w:val="2"/>
            <w:tcBorders>
              <w:top w:val="single" w:color="000000" w:sz="4" w:space="0"/>
              <w:left w:val="single" w:color="000000" w:sz="4" w:space="0"/>
              <w:bottom w:val="single" w:color="000000" w:sz="4" w:space="0"/>
              <w:right w:val="single" w:color="000000" w:sz="4" w:space="0"/>
            </w:tcBorders>
            <w:vAlign w:val="center"/>
          </w:tcPr>
          <w:p w14:paraId="680289C4">
            <w:pPr>
              <w:jc w:val="center"/>
              <w:rPr>
                <w:rFonts w:ascii="Times New Roman" w:eastAsia="仿宋"/>
                <w:szCs w:val="21"/>
              </w:rPr>
            </w:pPr>
            <w:r>
              <w:rPr>
                <w:rFonts w:hint="eastAsia" w:ascii="Times New Roman" w:eastAsia="仿宋"/>
                <w:szCs w:val="21"/>
              </w:rPr>
              <w:t>节能技术应用</w:t>
            </w:r>
            <w:r>
              <w:rPr>
                <w:rFonts w:ascii="Times New Roman" w:eastAsia="仿宋"/>
                <w:szCs w:val="21"/>
              </w:rPr>
              <w:t>c</w:t>
            </w:r>
            <w:r>
              <w:rPr>
                <w:rFonts w:hint="eastAsia" w:ascii="Times New Roman" w:eastAsia="仿宋"/>
                <w:szCs w:val="21"/>
              </w:rPr>
              <w:t>；加热装置多级调节</w:t>
            </w:r>
            <w:r>
              <w:rPr>
                <w:rFonts w:ascii="Times New Roman" w:eastAsia="仿宋"/>
                <w:szCs w:val="21"/>
              </w:rPr>
              <w:t>j</w:t>
            </w:r>
            <w:r>
              <w:rPr>
                <w:rFonts w:hint="eastAsia" w:ascii="Times New Roman" w:eastAsia="仿宋"/>
                <w:szCs w:val="21"/>
              </w:rPr>
              <w:t>，使用清洁能源</w:t>
            </w:r>
          </w:p>
        </w:tc>
        <w:tc>
          <w:tcPr>
            <w:tcW w:w="1760" w:type="dxa"/>
            <w:tcBorders>
              <w:top w:val="single" w:color="000000" w:sz="4" w:space="0"/>
              <w:left w:val="single" w:color="000000" w:sz="4" w:space="0"/>
              <w:bottom w:val="single" w:color="000000" w:sz="4" w:space="0"/>
              <w:right w:val="single" w:color="000000" w:sz="8" w:space="0"/>
            </w:tcBorders>
            <w:vAlign w:val="center"/>
          </w:tcPr>
          <w:p w14:paraId="7301EB50">
            <w:pPr>
              <w:jc w:val="center"/>
              <w:rPr>
                <w:rFonts w:ascii="Times New Roman" w:eastAsia="仿宋"/>
                <w:szCs w:val="21"/>
              </w:rPr>
            </w:pPr>
            <w:r>
              <w:rPr>
                <w:rFonts w:hint="eastAsia" w:ascii="Times New Roman" w:eastAsia="仿宋"/>
                <w:szCs w:val="21"/>
              </w:rPr>
              <w:t>加热装置多级调节</w:t>
            </w:r>
            <w:r>
              <w:rPr>
                <w:rFonts w:ascii="Times New Roman" w:eastAsia="仿宋"/>
                <w:szCs w:val="21"/>
              </w:rPr>
              <w:t>j</w:t>
            </w:r>
            <w:r>
              <w:rPr>
                <w:rFonts w:hint="eastAsia" w:ascii="Times New Roman" w:eastAsia="仿宋"/>
                <w:szCs w:val="21"/>
              </w:rPr>
              <w:t>，使用清洁能源</w:t>
            </w:r>
          </w:p>
        </w:tc>
        <w:tc>
          <w:tcPr>
            <w:tcW w:w="2201" w:type="dxa"/>
            <w:tcBorders>
              <w:top w:val="single" w:color="000000" w:sz="4" w:space="0"/>
              <w:left w:val="single" w:color="000000" w:sz="4" w:space="0"/>
              <w:bottom w:val="single" w:color="000000" w:sz="4" w:space="0"/>
              <w:right w:val="single" w:color="000000" w:sz="8" w:space="0"/>
            </w:tcBorders>
            <w:vAlign w:val="center"/>
          </w:tcPr>
          <w:p w14:paraId="603FAEF4">
            <w:pPr>
              <w:jc w:val="center"/>
              <w:rPr>
                <w:rFonts w:ascii="Times New Roman" w:eastAsia="仿宋"/>
                <w:szCs w:val="21"/>
              </w:rPr>
            </w:pPr>
            <w:r>
              <w:rPr>
                <w:rFonts w:hint="eastAsia" w:ascii="Times New Roman" w:eastAsia="仿宋"/>
                <w:szCs w:val="21"/>
              </w:rPr>
              <w:t>企业喷漆、喷粉后烘干均采用天然气</w:t>
            </w:r>
          </w:p>
        </w:tc>
        <w:tc>
          <w:tcPr>
            <w:tcW w:w="796" w:type="dxa"/>
            <w:tcBorders>
              <w:top w:val="single" w:color="000000" w:sz="4" w:space="0"/>
              <w:left w:val="single" w:color="000000" w:sz="4" w:space="0"/>
              <w:bottom w:val="single" w:color="000000" w:sz="4" w:space="0"/>
              <w:right w:val="single" w:color="000000" w:sz="8" w:space="0"/>
            </w:tcBorders>
            <w:vAlign w:val="center"/>
          </w:tcPr>
          <w:p w14:paraId="66FC6317">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5AED5B19">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2E363A47">
            <w:pPr>
              <w:jc w:val="center"/>
              <w:rPr>
                <w:rFonts w:ascii="Times New Roman" w:eastAsia="仿宋"/>
                <w:szCs w:val="21"/>
              </w:rPr>
            </w:pPr>
            <w:r>
              <w:rPr>
                <w:rFonts w:ascii="Times New Roman" w:eastAsia="仿宋"/>
                <w:szCs w:val="21"/>
              </w:rPr>
              <w:t>4</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33A810B4">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3E748950">
            <w:pPr>
              <w:rPr>
                <w:rFonts w:ascii="Times New Roman" w:eastAsia="仿宋"/>
                <w:szCs w:val="21"/>
              </w:rPr>
            </w:pP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14:paraId="1563EED4">
            <w:pPr>
              <w:jc w:val="center"/>
              <w:rPr>
                <w:rFonts w:ascii="Times New Roman" w:eastAsia="仿宋"/>
                <w:szCs w:val="21"/>
              </w:rPr>
            </w:pPr>
            <w:r>
              <w:rPr>
                <w:rFonts w:hint="eastAsia" w:ascii="Times New Roman" w:eastAsia="仿宋"/>
                <w:szCs w:val="21"/>
              </w:rPr>
              <w:t>中涂、面漆</w:t>
            </w: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12A6B38F">
            <w:pPr>
              <w:jc w:val="center"/>
              <w:rPr>
                <w:rFonts w:ascii="Times New Roman" w:eastAsia="仿宋"/>
                <w:szCs w:val="21"/>
              </w:rPr>
            </w:pPr>
            <w:r>
              <w:rPr>
                <w:rFonts w:hint="eastAsia" w:ascii="Times New Roman" w:eastAsia="仿宋"/>
                <w:szCs w:val="21"/>
              </w:rPr>
              <w:t>漆雾处理</w:t>
            </w:r>
          </w:p>
        </w:tc>
        <w:tc>
          <w:tcPr>
            <w:tcW w:w="976" w:type="dxa"/>
            <w:vMerge w:val="restart"/>
            <w:tcBorders>
              <w:top w:val="single" w:color="000000" w:sz="4" w:space="0"/>
              <w:left w:val="single" w:color="000000" w:sz="4" w:space="0"/>
              <w:bottom w:val="single" w:color="000000" w:sz="4" w:space="0"/>
              <w:right w:val="single" w:color="000000" w:sz="4" w:space="0"/>
            </w:tcBorders>
            <w:vAlign w:val="center"/>
          </w:tcPr>
          <w:p w14:paraId="3C9AD702">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4FEBD2C3">
            <w:pPr>
              <w:jc w:val="center"/>
              <w:rPr>
                <w:rFonts w:ascii="Times New Roman" w:eastAsia="仿宋"/>
                <w:szCs w:val="21"/>
              </w:rPr>
            </w:pPr>
            <w:r>
              <w:rPr>
                <w:rFonts w:ascii="Times New Roman" w:eastAsia="仿宋"/>
                <w:szCs w:val="21"/>
              </w:rPr>
              <w:t>0.09</w:t>
            </w:r>
          </w:p>
        </w:tc>
        <w:tc>
          <w:tcPr>
            <w:tcW w:w="1922" w:type="dxa"/>
            <w:tcBorders>
              <w:top w:val="single" w:color="000000" w:sz="4" w:space="0"/>
              <w:left w:val="single" w:color="000000" w:sz="4" w:space="0"/>
              <w:bottom w:val="single" w:color="000000" w:sz="4" w:space="0"/>
              <w:right w:val="single" w:color="000000" w:sz="4" w:space="0"/>
            </w:tcBorders>
            <w:vAlign w:val="center"/>
          </w:tcPr>
          <w:p w14:paraId="763CF803">
            <w:pPr>
              <w:jc w:val="center"/>
              <w:rPr>
                <w:rFonts w:ascii="Times New Roman" w:eastAsia="仿宋"/>
                <w:szCs w:val="21"/>
              </w:rPr>
            </w:pPr>
            <w:r>
              <w:rPr>
                <w:rFonts w:hint="eastAsia" w:ascii="Times New Roman" w:eastAsia="仿宋"/>
                <w:szCs w:val="21"/>
              </w:rPr>
              <w:t>有自动漆雾处理系统，漆雾处理效率</w:t>
            </w:r>
            <w:r>
              <w:rPr>
                <w:rFonts w:ascii="Times New Roman" w:eastAsia="仿宋"/>
                <w:szCs w:val="21"/>
              </w:rPr>
              <w:t>≥95%</w:t>
            </w:r>
          </w:p>
        </w:tc>
        <w:tc>
          <w:tcPr>
            <w:tcW w:w="1388" w:type="dxa"/>
            <w:tcBorders>
              <w:top w:val="single" w:color="000000" w:sz="4" w:space="0"/>
              <w:left w:val="single" w:color="000000" w:sz="4" w:space="0"/>
              <w:bottom w:val="single" w:color="000000" w:sz="4" w:space="0"/>
              <w:right w:val="single" w:color="000000" w:sz="4" w:space="0"/>
            </w:tcBorders>
            <w:vAlign w:val="center"/>
          </w:tcPr>
          <w:p w14:paraId="63F172C5">
            <w:pPr>
              <w:jc w:val="center"/>
              <w:rPr>
                <w:rFonts w:ascii="Times New Roman" w:eastAsia="仿宋"/>
                <w:szCs w:val="21"/>
              </w:rPr>
            </w:pPr>
            <w:r>
              <w:rPr>
                <w:rFonts w:hint="eastAsia" w:ascii="Times New Roman" w:eastAsia="仿宋"/>
                <w:szCs w:val="21"/>
              </w:rPr>
              <w:t>有自动漆雾处理系统，漆雾处理效率</w:t>
            </w:r>
            <w:r>
              <w:rPr>
                <w:rFonts w:ascii="Times New Roman" w:eastAsia="仿宋"/>
                <w:szCs w:val="21"/>
              </w:rPr>
              <w:t>≥85%</w:t>
            </w:r>
          </w:p>
        </w:tc>
        <w:tc>
          <w:tcPr>
            <w:tcW w:w="1760" w:type="dxa"/>
            <w:tcBorders>
              <w:top w:val="single" w:color="000000" w:sz="4" w:space="0"/>
              <w:left w:val="single" w:color="000000" w:sz="4" w:space="0"/>
              <w:bottom w:val="single" w:color="000000" w:sz="4" w:space="0"/>
              <w:right w:val="single" w:color="000000" w:sz="8" w:space="0"/>
            </w:tcBorders>
            <w:vAlign w:val="center"/>
          </w:tcPr>
          <w:p w14:paraId="4A723E03">
            <w:pPr>
              <w:jc w:val="center"/>
              <w:rPr>
                <w:rFonts w:ascii="Times New Roman" w:eastAsia="仿宋"/>
                <w:szCs w:val="21"/>
              </w:rPr>
            </w:pPr>
            <w:r>
              <w:rPr>
                <w:rFonts w:hint="eastAsia" w:ascii="Times New Roman" w:eastAsia="仿宋"/>
                <w:szCs w:val="21"/>
              </w:rPr>
              <w:t>有自动漆雾处理系统，漆雾处理效率</w:t>
            </w:r>
            <w:r>
              <w:rPr>
                <w:rFonts w:ascii="Times New Roman" w:eastAsia="仿宋"/>
                <w:szCs w:val="21"/>
              </w:rPr>
              <w:t>≥80%</w:t>
            </w:r>
          </w:p>
        </w:tc>
        <w:tc>
          <w:tcPr>
            <w:tcW w:w="2201" w:type="dxa"/>
            <w:tcBorders>
              <w:top w:val="single" w:color="000000" w:sz="4" w:space="0"/>
              <w:left w:val="single" w:color="000000" w:sz="4" w:space="0"/>
              <w:bottom w:val="single" w:color="000000" w:sz="4" w:space="0"/>
              <w:right w:val="single" w:color="000000" w:sz="8" w:space="0"/>
            </w:tcBorders>
            <w:vAlign w:val="center"/>
          </w:tcPr>
          <w:p w14:paraId="58E9076D">
            <w:pPr>
              <w:jc w:val="center"/>
              <w:rPr>
                <w:rFonts w:ascii="Times New Roman" w:eastAsia="仿宋"/>
                <w:szCs w:val="21"/>
              </w:rPr>
            </w:pPr>
            <w:r>
              <w:rPr>
                <w:rFonts w:hint="eastAsia" w:ascii="Times New Roman" w:eastAsia="仿宋"/>
                <w:szCs w:val="21"/>
              </w:rPr>
              <w:t>企业喷涂氟碳漆，喷漆室均设置水帘漆雾处理装置，有机废气均收集后通过“水帘式循环过滤系统+水喷淋+干式过滤器+活性炭吸附脱附+催化燃烧”处理，处理效率95%</w:t>
            </w:r>
          </w:p>
        </w:tc>
        <w:tc>
          <w:tcPr>
            <w:tcW w:w="796" w:type="dxa"/>
            <w:tcBorders>
              <w:top w:val="single" w:color="000000" w:sz="4" w:space="0"/>
              <w:left w:val="single" w:color="000000" w:sz="4" w:space="0"/>
              <w:bottom w:val="single" w:color="000000" w:sz="4" w:space="0"/>
              <w:right w:val="single" w:color="000000" w:sz="8" w:space="0"/>
            </w:tcBorders>
            <w:vAlign w:val="center"/>
          </w:tcPr>
          <w:p w14:paraId="34968F86">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55346400">
        <w:tblPrEx>
          <w:tblCellMar>
            <w:top w:w="0" w:type="dxa"/>
            <w:left w:w="108" w:type="dxa"/>
            <w:bottom w:w="0" w:type="dxa"/>
            <w:right w:w="108" w:type="dxa"/>
          </w:tblCellMar>
        </w:tblPrEx>
        <w:trPr>
          <w:trHeight w:val="23" w:hRule="atLeast"/>
          <w:jc w:val="center"/>
        </w:trPr>
        <w:tc>
          <w:tcPr>
            <w:tcW w:w="546" w:type="dxa"/>
            <w:vMerge w:val="restart"/>
            <w:tcBorders>
              <w:top w:val="single" w:color="000000" w:sz="4" w:space="0"/>
              <w:left w:val="single" w:color="000000" w:sz="8" w:space="0"/>
              <w:bottom w:val="single" w:color="000000" w:sz="4" w:space="0"/>
              <w:right w:val="single" w:color="000000" w:sz="4" w:space="0"/>
            </w:tcBorders>
            <w:vAlign w:val="center"/>
          </w:tcPr>
          <w:p w14:paraId="08291FC2">
            <w:pPr>
              <w:jc w:val="center"/>
              <w:rPr>
                <w:rFonts w:ascii="Times New Roman" w:eastAsia="仿宋"/>
                <w:szCs w:val="21"/>
              </w:rPr>
            </w:pPr>
            <w:r>
              <w:rPr>
                <w:rFonts w:ascii="Times New Roman" w:eastAsia="仿宋"/>
                <w:szCs w:val="21"/>
              </w:rPr>
              <w:t>5</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70F3679A">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3C430A91">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4AA00FF1">
            <w:pPr>
              <w:rPr>
                <w:rFonts w:ascii="Times New Roman" w:eastAsia="仿宋"/>
                <w:szCs w:val="21"/>
              </w:rPr>
            </w:pPr>
          </w:p>
        </w:tc>
        <w:tc>
          <w:tcPr>
            <w:tcW w:w="100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C186747">
            <w:pPr>
              <w:jc w:val="center"/>
              <w:rPr>
                <w:rFonts w:ascii="Times New Roman" w:eastAsia="仿宋"/>
                <w:szCs w:val="21"/>
              </w:rPr>
            </w:pPr>
            <w:r>
              <w:rPr>
                <w:rFonts w:hint="eastAsia" w:ascii="Times New Roman" w:eastAsia="仿宋"/>
                <w:szCs w:val="21"/>
              </w:rPr>
              <w:t>喷漆（涂覆）（包括流平）</w:t>
            </w: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335D84B6">
            <w:pPr>
              <w:rPr>
                <w:rFonts w:ascii="Times New Roman" w:eastAsia="仿宋"/>
                <w:szCs w:val="21"/>
              </w:rPr>
            </w:pPr>
          </w:p>
        </w:tc>
        <w:tc>
          <w:tcPr>
            <w:tcW w:w="636" w:type="dxa"/>
            <w:tcBorders>
              <w:top w:val="single" w:color="000000" w:sz="4" w:space="0"/>
              <w:left w:val="single" w:color="000000" w:sz="4" w:space="0"/>
              <w:bottom w:val="single" w:color="000000" w:sz="4" w:space="0"/>
              <w:right w:val="single" w:color="000000" w:sz="4" w:space="0"/>
            </w:tcBorders>
            <w:vAlign w:val="center"/>
          </w:tcPr>
          <w:p w14:paraId="015E3D0B">
            <w:pPr>
              <w:jc w:val="center"/>
              <w:rPr>
                <w:rFonts w:ascii="Times New Roman" w:eastAsia="仿宋"/>
                <w:szCs w:val="21"/>
              </w:rPr>
            </w:pPr>
            <w:r>
              <w:rPr>
                <w:rFonts w:ascii="Times New Roman" w:eastAsia="仿宋"/>
                <w:szCs w:val="21"/>
              </w:rPr>
              <w:t>0.15</w:t>
            </w:r>
          </w:p>
        </w:tc>
        <w:tc>
          <w:tcPr>
            <w:tcW w:w="1922" w:type="dxa"/>
            <w:tcBorders>
              <w:top w:val="single" w:color="000000" w:sz="4" w:space="0"/>
              <w:left w:val="single" w:color="000000" w:sz="4" w:space="0"/>
              <w:bottom w:val="single" w:color="000000" w:sz="4" w:space="0"/>
              <w:right w:val="single" w:color="000000" w:sz="4" w:space="0"/>
            </w:tcBorders>
            <w:vAlign w:val="center"/>
          </w:tcPr>
          <w:p w14:paraId="09E43E8F">
            <w:pPr>
              <w:jc w:val="center"/>
              <w:rPr>
                <w:rFonts w:ascii="Times New Roman" w:eastAsia="仿宋"/>
                <w:szCs w:val="21"/>
              </w:rPr>
            </w:pPr>
            <w:r>
              <w:rPr>
                <w:rFonts w:hint="eastAsia" w:ascii="Times New Roman" w:eastAsia="仿宋"/>
                <w:szCs w:val="21"/>
              </w:rPr>
              <w:t>应满足以下条件之一：①使用水性漆；②使用光固化（</w:t>
            </w:r>
            <w:r>
              <w:rPr>
                <w:rFonts w:ascii="Times New Roman" w:eastAsia="仿宋"/>
                <w:szCs w:val="21"/>
              </w:rPr>
              <w:t>UV</w:t>
            </w:r>
            <w:r>
              <w:rPr>
                <w:rFonts w:hint="eastAsia" w:ascii="Times New Roman" w:eastAsia="仿宋"/>
                <w:szCs w:val="21"/>
              </w:rPr>
              <w:t>）漆；③使用粉末涂料；④免中涂工艺</w:t>
            </w:r>
          </w:p>
        </w:tc>
        <w:tc>
          <w:tcPr>
            <w:tcW w:w="3148" w:type="dxa"/>
            <w:gridSpan w:val="2"/>
            <w:tcBorders>
              <w:top w:val="single" w:color="000000" w:sz="4" w:space="0"/>
              <w:left w:val="single" w:color="000000" w:sz="4" w:space="0"/>
              <w:bottom w:val="single" w:color="000000" w:sz="4" w:space="0"/>
              <w:right w:val="single" w:color="000000" w:sz="8" w:space="0"/>
            </w:tcBorders>
            <w:vAlign w:val="center"/>
          </w:tcPr>
          <w:p w14:paraId="14EF91E7">
            <w:pPr>
              <w:jc w:val="center"/>
              <w:rPr>
                <w:rFonts w:ascii="Times New Roman" w:eastAsia="仿宋"/>
                <w:szCs w:val="21"/>
              </w:rPr>
            </w:pPr>
            <w:r>
              <w:rPr>
                <w:rFonts w:hint="eastAsia" w:ascii="Times New Roman" w:eastAsia="仿宋"/>
                <w:szCs w:val="21"/>
              </w:rPr>
              <w:t>节水</w:t>
            </w:r>
            <w:r>
              <w:rPr>
                <w:rFonts w:ascii="Times New Roman" w:eastAsia="仿宋"/>
                <w:szCs w:val="21"/>
              </w:rPr>
              <w:t>b</w:t>
            </w:r>
            <w:r>
              <w:rPr>
                <w:rFonts w:hint="eastAsia" w:ascii="Times New Roman" w:eastAsia="仿宋"/>
                <w:szCs w:val="21"/>
              </w:rPr>
              <w:t>、节能</w:t>
            </w:r>
            <w:r>
              <w:rPr>
                <w:rFonts w:ascii="Times New Roman" w:eastAsia="仿宋"/>
                <w:szCs w:val="21"/>
              </w:rPr>
              <w:t>c</w:t>
            </w:r>
            <w:r>
              <w:rPr>
                <w:rFonts w:hint="eastAsia" w:ascii="Times New Roman" w:eastAsia="仿宋"/>
                <w:szCs w:val="21"/>
              </w:rPr>
              <w:t>技术应用</w:t>
            </w:r>
          </w:p>
        </w:tc>
        <w:tc>
          <w:tcPr>
            <w:tcW w:w="2201" w:type="dxa"/>
            <w:tcBorders>
              <w:top w:val="single" w:color="000000" w:sz="4" w:space="0"/>
              <w:left w:val="single" w:color="000000" w:sz="4" w:space="0"/>
              <w:bottom w:val="single" w:color="000000" w:sz="4" w:space="0"/>
              <w:right w:val="single" w:color="000000" w:sz="8" w:space="0"/>
            </w:tcBorders>
            <w:vAlign w:val="center"/>
          </w:tcPr>
          <w:p w14:paraId="2DEC8055">
            <w:pPr>
              <w:jc w:val="center"/>
              <w:rPr>
                <w:rFonts w:ascii="Times New Roman" w:eastAsia="仿宋"/>
                <w:szCs w:val="21"/>
              </w:rPr>
            </w:pPr>
            <w:r>
              <w:rPr>
                <w:rFonts w:hint="eastAsia" w:ascii="Times New Roman" w:eastAsia="仿宋"/>
                <w:szCs w:val="21"/>
              </w:rPr>
              <w:t>企业涂装线的涂料包括油性氟碳漆以及塑粉等粉末涂料</w:t>
            </w:r>
          </w:p>
        </w:tc>
        <w:tc>
          <w:tcPr>
            <w:tcW w:w="796" w:type="dxa"/>
            <w:tcBorders>
              <w:top w:val="single" w:color="000000" w:sz="4" w:space="0"/>
              <w:left w:val="single" w:color="000000" w:sz="4" w:space="0"/>
              <w:bottom w:val="single" w:color="000000" w:sz="4" w:space="0"/>
              <w:right w:val="single" w:color="000000" w:sz="8" w:space="0"/>
            </w:tcBorders>
            <w:vAlign w:val="center"/>
          </w:tcPr>
          <w:p w14:paraId="1416F607">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6B6B9951">
        <w:tblPrEx>
          <w:tblCellMar>
            <w:top w:w="0" w:type="dxa"/>
            <w:left w:w="108" w:type="dxa"/>
            <w:bottom w:w="0" w:type="dxa"/>
            <w:right w:w="108" w:type="dxa"/>
          </w:tblCellMar>
        </w:tblPrEx>
        <w:trPr>
          <w:trHeight w:val="23" w:hRule="atLeast"/>
          <w:jc w:val="center"/>
        </w:trPr>
        <w:tc>
          <w:tcPr>
            <w:tcW w:w="546" w:type="dxa"/>
            <w:vMerge w:val="continue"/>
            <w:tcBorders>
              <w:top w:val="single" w:color="000000" w:sz="4" w:space="0"/>
              <w:left w:val="single" w:color="000000" w:sz="8" w:space="0"/>
              <w:bottom w:val="single" w:color="000000" w:sz="4" w:space="0"/>
              <w:right w:val="single" w:color="000000" w:sz="4" w:space="0"/>
            </w:tcBorders>
            <w:vAlign w:val="center"/>
          </w:tcPr>
          <w:p w14:paraId="7927216C">
            <w:pPr>
              <w:jc w:val="center"/>
              <w:rPr>
                <w:rFonts w:ascii="Times New Roman" w:eastAsia="仿宋"/>
                <w:szCs w:val="21"/>
              </w:rPr>
            </w:pP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19D0B8E0">
            <w:pPr>
              <w:jc w:val="cente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1E0E0536">
            <w:pPr>
              <w:jc w:val="cente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039AA2BB">
            <w:pPr>
              <w:jc w:val="center"/>
              <w:rPr>
                <w:rFonts w:ascii="Times New Roman" w:eastAsia="仿宋"/>
                <w:szCs w:val="21"/>
              </w:rPr>
            </w:pPr>
          </w:p>
        </w:tc>
        <w:tc>
          <w:tcPr>
            <w:tcW w:w="100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FFC6C15">
            <w:pPr>
              <w:jc w:val="center"/>
              <w:rPr>
                <w:rFonts w:ascii="Times New Roman" w:eastAsia="仿宋"/>
                <w:szCs w:val="21"/>
              </w:rPr>
            </w:pP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4E2F267E">
            <w:pPr>
              <w:jc w:val="center"/>
              <w:rPr>
                <w:rFonts w:ascii="Times New Roman" w:eastAsia="仿宋"/>
                <w:szCs w:val="21"/>
              </w:rPr>
            </w:pPr>
          </w:p>
        </w:tc>
        <w:tc>
          <w:tcPr>
            <w:tcW w:w="636" w:type="dxa"/>
            <w:tcBorders>
              <w:top w:val="single" w:color="000000" w:sz="4" w:space="0"/>
              <w:left w:val="single" w:color="000000" w:sz="4" w:space="0"/>
              <w:bottom w:val="single" w:color="000000" w:sz="4" w:space="0"/>
              <w:right w:val="single" w:color="000000" w:sz="4" w:space="0"/>
            </w:tcBorders>
            <w:vAlign w:val="center"/>
          </w:tcPr>
          <w:p w14:paraId="66F3E00A">
            <w:pPr>
              <w:widowControl/>
              <w:jc w:val="center"/>
              <w:textAlignment w:val="top"/>
              <w:rPr>
                <w:rFonts w:ascii="Times New Roman" w:eastAsia="仿宋"/>
                <w:szCs w:val="21"/>
              </w:rPr>
            </w:pPr>
            <w:r>
              <w:rPr>
                <w:rFonts w:ascii="Times New Roman" w:eastAsia="仿宋"/>
                <w:szCs w:val="21"/>
              </w:rPr>
              <w:t>0.06</w:t>
            </w:r>
          </w:p>
        </w:tc>
        <w:tc>
          <w:tcPr>
            <w:tcW w:w="5070" w:type="dxa"/>
            <w:gridSpan w:val="3"/>
            <w:tcBorders>
              <w:top w:val="single" w:color="000000" w:sz="4" w:space="0"/>
              <w:left w:val="single" w:color="000000" w:sz="4" w:space="0"/>
              <w:bottom w:val="single" w:color="000000" w:sz="4" w:space="0"/>
              <w:right w:val="single" w:color="000000" w:sz="8" w:space="0"/>
            </w:tcBorders>
            <w:vAlign w:val="center"/>
          </w:tcPr>
          <w:p w14:paraId="10315E3D">
            <w:pPr>
              <w:widowControl/>
              <w:jc w:val="center"/>
              <w:textAlignment w:val="top"/>
              <w:rPr>
                <w:rFonts w:ascii="Times New Roman" w:eastAsia="仿宋"/>
                <w:szCs w:val="21"/>
              </w:rPr>
            </w:pPr>
            <w:r>
              <w:rPr>
                <w:rFonts w:hint="eastAsia" w:ascii="Times New Roman" w:eastAsia="仿宋"/>
                <w:szCs w:val="21"/>
              </w:rPr>
              <w:t>废溶剂收集、处理</w:t>
            </w:r>
            <w:r>
              <w:rPr>
                <w:rFonts w:ascii="Times New Roman" w:eastAsia="仿宋"/>
                <w:szCs w:val="21"/>
              </w:rPr>
              <w:t xml:space="preserve"> e</w:t>
            </w:r>
          </w:p>
        </w:tc>
        <w:tc>
          <w:tcPr>
            <w:tcW w:w="2201" w:type="dxa"/>
            <w:tcBorders>
              <w:top w:val="single" w:color="000000" w:sz="4" w:space="0"/>
              <w:left w:val="single" w:color="000000" w:sz="4" w:space="0"/>
              <w:bottom w:val="single" w:color="000000" w:sz="4" w:space="0"/>
              <w:right w:val="single" w:color="000000" w:sz="8" w:space="0"/>
            </w:tcBorders>
            <w:vAlign w:val="center"/>
          </w:tcPr>
          <w:p w14:paraId="7D0257CC">
            <w:pPr>
              <w:widowControl/>
              <w:jc w:val="center"/>
              <w:textAlignment w:val="top"/>
              <w:rPr>
                <w:rFonts w:ascii="Times New Roman" w:eastAsia="仿宋"/>
                <w:szCs w:val="21"/>
              </w:rPr>
            </w:pPr>
            <w:r>
              <w:rPr>
                <w:rFonts w:hint="eastAsia" w:ascii="Times New Roman" w:eastAsia="仿宋"/>
                <w:szCs w:val="21"/>
              </w:rPr>
              <w:t>企业喷枪清洗使用稀释剂，产生的废有机溶剂收集后委托有资质单位处置。</w:t>
            </w:r>
          </w:p>
        </w:tc>
        <w:tc>
          <w:tcPr>
            <w:tcW w:w="796" w:type="dxa"/>
            <w:tcBorders>
              <w:top w:val="single" w:color="000000" w:sz="4" w:space="0"/>
              <w:left w:val="single" w:color="000000" w:sz="4" w:space="0"/>
              <w:bottom w:val="single" w:color="000000" w:sz="4" w:space="0"/>
              <w:right w:val="single" w:color="000000" w:sz="8" w:space="0"/>
            </w:tcBorders>
            <w:vAlign w:val="center"/>
          </w:tcPr>
          <w:p w14:paraId="20A970B6">
            <w:pPr>
              <w:widowControl/>
              <w:jc w:val="center"/>
              <w:textAlignment w:val="top"/>
              <w:rPr>
                <w:rFonts w:ascii="Times New Roman" w:eastAsia="仿宋"/>
                <w:szCs w:val="21"/>
              </w:rPr>
            </w:pPr>
            <w:r>
              <w:rPr>
                <w:rFonts w:ascii="Times New Roman" w:eastAsia="仿宋"/>
                <w:szCs w:val="21"/>
              </w:rPr>
              <w:t>I</w:t>
            </w:r>
            <w:r>
              <w:rPr>
                <w:rFonts w:hint="eastAsia" w:ascii="Times New Roman" w:eastAsia="仿宋"/>
                <w:szCs w:val="21"/>
              </w:rPr>
              <w:t>级</w:t>
            </w:r>
          </w:p>
        </w:tc>
      </w:tr>
      <w:tr w14:paraId="22C22856">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35D6A064">
            <w:pPr>
              <w:jc w:val="center"/>
              <w:rPr>
                <w:rFonts w:ascii="Times New Roman" w:eastAsia="仿宋"/>
                <w:szCs w:val="21"/>
              </w:rPr>
            </w:pPr>
            <w:r>
              <w:rPr>
                <w:rFonts w:ascii="Times New Roman" w:eastAsia="仿宋"/>
                <w:szCs w:val="21"/>
              </w:rPr>
              <w:t>6</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54931FD3">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7A7C4F62">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233AA39B">
            <w:pP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55173341">
            <w:pPr>
              <w:jc w:val="center"/>
              <w:rPr>
                <w:rFonts w:ascii="Times New Roman" w:eastAsia="仿宋"/>
                <w:szCs w:val="21"/>
              </w:rPr>
            </w:pPr>
            <w:r>
              <w:rPr>
                <w:rFonts w:hint="eastAsia" w:ascii="Times New Roman" w:eastAsia="仿宋"/>
                <w:szCs w:val="21"/>
              </w:rPr>
              <w:t>烘干室</w:t>
            </w: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2AF02C63">
            <w:pPr>
              <w:rPr>
                <w:rFonts w:ascii="Times New Roman" w:eastAsia="仿宋"/>
                <w:szCs w:val="21"/>
              </w:rPr>
            </w:pPr>
          </w:p>
        </w:tc>
        <w:tc>
          <w:tcPr>
            <w:tcW w:w="636" w:type="dxa"/>
            <w:tcBorders>
              <w:top w:val="single" w:color="000000" w:sz="4" w:space="0"/>
              <w:left w:val="single" w:color="000000" w:sz="4" w:space="0"/>
              <w:bottom w:val="single" w:color="000000" w:sz="4" w:space="0"/>
              <w:right w:val="single" w:color="000000" w:sz="4" w:space="0"/>
            </w:tcBorders>
            <w:vAlign w:val="center"/>
          </w:tcPr>
          <w:p w14:paraId="4FE6CEDF">
            <w:pPr>
              <w:jc w:val="center"/>
              <w:rPr>
                <w:rFonts w:ascii="Times New Roman" w:eastAsia="仿宋"/>
                <w:szCs w:val="21"/>
              </w:rPr>
            </w:pPr>
            <w:r>
              <w:rPr>
                <w:rFonts w:ascii="Times New Roman" w:eastAsia="仿宋"/>
                <w:szCs w:val="21"/>
              </w:rPr>
              <w:t>0.04</w:t>
            </w:r>
          </w:p>
        </w:tc>
        <w:tc>
          <w:tcPr>
            <w:tcW w:w="3310" w:type="dxa"/>
            <w:gridSpan w:val="2"/>
            <w:tcBorders>
              <w:top w:val="single" w:color="000000" w:sz="4" w:space="0"/>
              <w:left w:val="single" w:color="000000" w:sz="4" w:space="0"/>
              <w:bottom w:val="single" w:color="000000" w:sz="4" w:space="0"/>
              <w:right w:val="single" w:color="000000" w:sz="4" w:space="0"/>
            </w:tcBorders>
            <w:vAlign w:val="center"/>
          </w:tcPr>
          <w:p w14:paraId="4E6B00AE">
            <w:pPr>
              <w:jc w:val="center"/>
              <w:rPr>
                <w:rFonts w:ascii="Times New Roman" w:eastAsia="仿宋"/>
                <w:szCs w:val="21"/>
              </w:rPr>
            </w:pPr>
            <w:r>
              <w:rPr>
                <w:rFonts w:hint="eastAsia" w:ascii="Times New Roman" w:eastAsia="仿宋"/>
                <w:szCs w:val="21"/>
              </w:rPr>
              <w:t>节能技术应用</w:t>
            </w:r>
            <w:r>
              <w:rPr>
                <w:rFonts w:ascii="Times New Roman" w:eastAsia="仿宋"/>
                <w:szCs w:val="21"/>
              </w:rPr>
              <w:t xml:space="preserve">c </w:t>
            </w:r>
            <w:r>
              <w:rPr>
                <w:rFonts w:hint="eastAsia" w:ascii="Times New Roman" w:eastAsia="仿宋"/>
                <w:szCs w:val="21"/>
              </w:rPr>
              <w:t>；加热装置多级调节</w:t>
            </w:r>
            <w:r>
              <w:rPr>
                <w:rFonts w:ascii="Times New Roman" w:eastAsia="仿宋"/>
                <w:szCs w:val="21"/>
              </w:rPr>
              <w:t>j</w:t>
            </w:r>
            <w:r>
              <w:rPr>
                <w:rFonts w:hint="eastAsia" w:ascii="Times New Roman" w:eastAsia="仿宋"/>
                <w:szCs w:val="21"/>
              </w:rPr>
              <w:t>，使用清洁能源</w:t>
            </w:r>
          </w:p>
        </w:tc>
        <w:tc>
          <w:tcPr>
            <w:tcW w:w="1760" w:type="dxa"/>
            <w:tcBorders>
              <w:top w:val="single" w:color="000000" w:sz="4" w:space="0"/>
              <w:left w:val="single" w:color="000000" w:sz="4" w:space="0"/>
              <w:bottom w:val="single" w:color="000000" w:sz="4" w:space="0"/>
              <w:right w:val="single" w:color="000000" w:sz="8" w:space="0"/>
            </w:tcBorders>
            <w:vAlign w:val="center"/>
          </w:tcPr>
          <w:p w14:paraId="62D26A00">
            <w:pPr>
              <w:jc w:val="center"/>
              <w:rPr>
                <w:rFonts w:ascii="Times New Roman" w:eastAsia="仿宋"/>
                <w:szCs w:val="21"/>
              </w:rPr>
            </w:pPr>
            <w:r>
              <w:rPr>
                <w:rFonts w:hint="eastAsia" w:ascii="Times New Roman" w:eastAsia="仿宋"/>
                <w:szCs w:val="21"/>
              </w:rPr>
              <w:t>加热装置多级调节</w:t>
            </w:r>
            <w:r>
              <w:rPr>
                <w:rFonts w:ascii="Times New Roman" w:eastAsia="仿宋"/>
                <w:szCs w:val="21"/>
              </w:rPr>
              <w:t>j</w:t>
            </w:r>
            <w:r>
              <w:rPr>
                <w:rFonts w:hint="eastAsia" w:ascii="Times New Roman" w:eastAsia="仿宋"/>
                <w:szCs w:val="21"/>
              </w:rPr>
              <w:t>，使用清洁能源</w:t>
            </w:r>
          </w:p>
        </w:tc>
        <w:tc>
          <w:tcPr>
            <w:tcW w:w="2201" w:type="dxa"/>
            <w:tcBorders>
              <w:top w:val="single" w:color="000000" w:sz="4" w:space="0"/>
              <w:left w:val="single" w:color="000000" w:sz="4" w:space="0"/>
              <w:bottom w:val="single" w:color="000000" w:sz="4" w:space="0"/>
              <w:right w:val="single" w:color="000000" w:sz="8" w:space="0"/>
            </w:tcBorders>
            <w:vAlign w:val="center"/>
          </w:tcPr>
          <w:p w14:paraId="716D8240">
            <w:pPr>
              <w:jc w:val="center"/>
              <w:rPr>
                <w:rFonts w:ascii="Times New Roman" w:eastAsia="仿宋"/>
                <w:szCs w:val="21"/>
              </w:rPr>
            </w:pPr>
            <w:r>
              <w:rPr>
                <w:rFonts w:hint="eastAsia" w:ascii="Times New Roman" w:eastAsia="仿宋"/>
                <w:szCs w:val="21"/>
              </w:rPr>
              <w:t>企业喷漆、喷粉后烘干均采用天然气</w:t>
            </w:r>
          </w:p>
        </w:tc>
        <w:tc>
          <w:tcPr>
            <w:tcW w:w="796" w:type="dxa"/>
            <w:tcBorders>
              <w:top w:val="single" w:color="000000" w:sz="4" w:space="0"/>
              <w:left w:val="single" w:color="000000" w:sz="4" w:space="0"/>
              <w:bottom w:val="single" w:color="000000" w:sz="4" w:space="0"/>
              <w:right w:val="single" w:color="000000" w:sz="8" w:space="0"/>
            </w:tcBorders>
            <w:vAlign w:val="center"/>
          </w:tcPr>
          <w:p w14:paraId="115DA776">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167CF070">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1554DAEA">
            <w:pPr>
              <w:jc w:val="center"/>
              <w:rPr>
                <w:rFonts w:ascii="Times New Roman" w:eastAsia="仿宋"/>
                <w:szCs w:val="21"/>
              </w:rPr>
            </w:pPr>
            <w:r>
              <w:rPr>
                <w:rFonts w:ascii="Times New Roman" w:eastAsia="仿宋"/>
                <w:szCs w:val="21"/>
              </w:rPr>
              <w:t>7</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1EECA3F4">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1B3E50EB">
            <w:pPr>
              <w:rPr>
                <w:rFonts w:ascii="Times New Roman" w:eastAsia="仿宋"/>
                <w:szCs w:val="21"/>
              </w:rPr>
            </w:pP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14:paraId="429947CB">
            <w:pPr>
              <w:jc w:val="center"/>
              <w:rPr>
                <w:rFonts w:ascii="Times New Roman" w:eastAsia="仿宋"/>
                <w:szCs w:val="21"/>
              </w:rPr>
            </w:pPr>
            <w:r>
              <w:rPr>
                <w:rFonts w:hint="eastAsia" w:ascii="Times New Roman" w:eastAsia="仿宋"/>
                <w:szCs w:val="21"/>
              </w:rPr>
              <w:t>废气处理设施</w:t>
            </w: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33F43460">
            <w:pPr>
              <w:jc w:val="center"/>
              <w:rPr>
                <w:rFonts w:ascii="Times New Roman" w:eastAsia="仿宋"/>
                <w:szCs w:val="21"/>
              </w:rPr>
            </w:pPr>
            <w:r>
              <w:rPr>
                <w:rFonts w:hint="eastAsia" w:ascii="Times New Roman" w:eastAsia="仿宋"/>
                <w:szCs w:val="21"/>
              </w:rPr>
              <w:t>喷漆废气</w:t>
            </w:r>
          </w:p>
        </w:tc>
        <w:tc>
          <w:tcPr>
            <w:tcW w:w="976" w:type="dxa"/>
            <w:vMerge w:val="restart"/>
            <w:tcBorders>
              <w:top w:val="single" w:color="000000" w:sz="4" w:space="0"/>
              <w:left w:val="single" w:color="000000" w:sz="4" w:space="0"/>
              <w:bottom w:val="single" w:color="000000" w:sz="4" w:space="0"/>
              <w:right w:val="single" w:color="000000" w:sz="4" w:space="0"/>
            </w:tcBorders>
            <w:vAlign w:val="center"/>
          </w:tcPr>
          <w:p w14:paraId="640DCD2F">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3C0E7775">
            <w:pPr>
              <w:jc w:val="center"/>
              <w:rPr>
                <w:rFonts w:ascii="Times New Roman" w:eastAsia="仿宋"/>
                <w:szCs w:val="21"/>
              </w:rPr>
            </w:pPr>
            <w:r>
              <w:rPr>
                <w:rFonts w:ascii="Times New Roman" w:eastAsia="仿宋"/>
                <w:szCs w:val="21"/>
              </w:rPr>
              <w:t>0.11</w:t>
            </w:r>
          </w:p>
        </w:tc>
        <w:tc>
          <w:tcPr>
            <w:tcW w:w="3310" w:type="dxa"/>
            <w:gridSpan w:val="2"/>
            <w:tcBorders>
              <w:top w:val="single" w:color="000000" w:sz="4" w:space="0"/>
              <w:left w:val="single" w:color="000000" w:sz="4" w:space="0"/>
              <w:bottom w:val="single" w:color="000000" w:sz="4" w:space="0"/>
              <w:right w:val="single" w:color="000000" w:sz="4" w:space="0"/>
            </w:tcBorders>
            <w:vAlign w:val="center"/>
          </w:tcPr>
          <w:p w14:paraId="083E488D">
            <w:pPr>
              <w:jc w:val="center"/>
              <w:rPr>
                <w:rFonts w:ascii="Times New Roman" w:eastAsia="仿宋"/>
                <w:szCs w:val="21"/>
              </w:rPr>
            </w:pPr>
            <w:r>
              <w:rPr>
                <w:rFonts w:hint="eastAsia" w:ascii="Times New Roman" w:eastAsia="仿宋"/>
                <w:szCs w:val="21"/>
              </w:rPr>
              <w:t>溶剂工艺段有</w:t>
            </w:r>
            <w:r>
              <w:rPr>
                <w:rFonts w:ascii="Times New Roman" w:eastAsia="仿宋"/>
                <w:szCs w:val="21"/>
              </w:rPr>
              <w:t>VOCs</w:t>
            </w:r>
            <w:r>
              <w:rPr>
                <w:rFonts w:hint="eastAsia" w:ascii="Times New Roman" w:eastAsia="仿宋"/>
                <w:szCs w:val="21"/>
              </w:rPr>
              <w:t>处理设施，处理效率</w:t>
            </w:r>
            <w:r>
              <w:rPr>
                <w:rFonts w:ascii="Times New Roman" w:eastAsia="仿宋"/>
                <w:szCs w:val="21"/>
              </w:rPr>
              <w:t>≥85%</w:t>
            </w:r>
            <w:r>
              <w:rPr>
                <w:rFonts w:hint="eastAsia" w:ascii="Times New Roman" w:eastAsia="仿宋"/>
                <w:szCs w:val="21"/>
              </w:rPr>
              <w:t>；有</w:t>
            </w:r>
            <w:r>
              <w:rPr>
                <w:rFonts w:ascii="Times New Roman" w:eastAsia="仿宋"/>
                <w:szCs w:val="21"/>
              </w:rPr>
              <w:t xml:space="preserve"> VOCs </w:t>
            </w:r>
            <w:r>
              <w:rPr>
                <w:rFonts w:hint="eastAsia" w:ascii="Times New Roman" w:eastAsia="仿宋"/>
                <w:szCs w:val="21"/>
              </w:rPr>
              <w:t>处理设备运行监控装置</w:t>
            </w:r>
          </w:p>
        </w:tc>
        <w:tc>
          <w:tcPr>
            <w:tcW w:w="1760" w:type="dxa"/>
            <w:tcBorders>
              <w:top w:val="single" w:color="000000" w:sz="4" w:space="0"/>
              <w:left w:val="single" w:color="000000" w:sz="4" w:space="0"/>
              <w:bottom w:val="single" w:color="000000" w:sz="4" w:space="0"/>
              <w:right w:val="single" w:color="000000" w:sz="8" w:space="0"/>
            </w:tcBorders>
            <w:vAlign w:val="center"/>
          </w:tcPr>
          <w:p w14:paraId="5BF520F3">
            <w:pPr>
              <w:jc w:val="center"/>
              <w:rPr>
                <w:rFonts w:ascii="Times New Roman" w:eastAsia="仿宋"/>
                <w:szCs w:val="21"/>
              </w:rPr>
            </w:pPr>
            <w:r>
              <w:rPr>
                <w:rFonts w:hint="eastAsia" w:ascii="Times New Roman" w:eastAsia="仿宋"/>
                <w:szCs w:val="21"/>
              </w:rPr>
              <w:t>溶剂型喷漆有</w:t>
            </w:r>
            <w:r>
              <w:rPr>
                <w:rFonts w:ascii="Times New Roman" w:eastAsia="仿宋"/>
                <w:szCs w:val="21"/>
              </w:rPr>
              <w:t xml:space="preserve">VOCs </w:t>
            </w:r>
            <w:r>
              <w:rPr>
                <w:rFonts w:hint="eastAsia" w:ascii="Times New Roman" w:eastAsia="仿宋"/>
                <w:szCs w:val="21"/>
              </w:rPr>
              <w:t>处理设施，处理效率</w:t>
            </w:r>
            <w:r>
              <w:rPr>
                <w:rFonts w:ascii="Times New Roman" w:eastAsia="仿宋"/>
                <w:szCs w:val="21"/>
              </w:rPr>
              <w:t>≥75%</w:t>
            </w:r>
            <w:r>
              <w:rPr>
                <w:rFonts w:hint="eastAsia" w:ascii="Times New Roman" w:eastAsia="仿宋"/>
                <w:szCs w:val="21"/>
              </w:rPr>
              <w:t>；有</w:t>
            </w:r>
            <w:r>
              <w:rPr>
                <w:rFonts w:ascii="Times New Roman" w:eastAsia="仿宋"/>
                <w:szCs w:val="21"/>
              </w:rPr>
              <w:t xml:space="preserve"> VOCs</w:t>
            </w:r>
            <w:r>
              <w:rPr>
                <w:rFonts w:hint="eastAsia" w:ascii="Times New Roman" w:eastAsia="仿宋"/>
                <w:szCs w:val="21"/>
              </w:rPr>
              <w:t>处理设备运行监控装置</w:t>
            </w:r>
          </w:p>
        </w:tc>
        <w:tc>
          <w:tcPr>
            <w:tcW w:w="2201" w:type="dxa"/>
            <w:tcBorders>
              <w:top w:val="single" w:color="000000" w:sz="4" w:space="0"/>
              <w:left w:val="single" w:color="000000" w:sz="4" w:space="0"/>
              <w:bottom w:val="single" w:color="000000" w:sz="4" w:space="0"/>
              <w:right w:val="single" w:color="000000" w:sz="8" w:space="0"/>
            </w:tcBorders>
            <w:vAlign w:val="center"/>
          </w:tcPr>
          <w:p w14:paraId="63383C67">
            <w:pPr>
              <w:jc w:val="center"/>
              <w:rPr>
                <w:rFonts w:ascii="Times New Roman" w:eastAsia="仿宋"/>
                <w:szCs w:val="21"/>
              </w:rPr>
            </w:pPr>
            <w:r>
              <w:rPr>
                <w:rFonts w:hint="eastAsia" w:ascii="Times New Roman" w:eastAsia="仿宋"/>
                <w:szCs w:val="21"/>
              </w:rPr>
              <w:t>企业使用溶剂型氟碳漆，喷漆废气经“水帘式循环过滤系统+水喷淋+干式过滤器+活性炭吸附脱附+催化燃烧”处理，处理效率95%，有配套的运行监控装置</w:t>
            </w:r>
          </w:p>
        </w:tc>
        <w:tc>
          <w:tcPr>
            <w:tcW w:w="796" w:type="dxa"/>
            <w:tcBorders>
              <w:top w:val="single" w:color="000000" w:sz="4" w:space="0"/>
              <w:left w:val="single" w:color="000000" w:sz="4" w:space="0"/>
              <w:bottom w:val="single" w:color="000000" w:sz="4" w:space="0"/>
              <w:right w:val="single" w:color="000000" w:sz="8" w:space="0"/>
            </w:tcBorders>
            <w:vAlign w:val="center"/>
          </w:tcPr>
          <w:p w14:paraId="4029196B">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23B728CA">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4249F5FA">
            <w:pPr>
              <w:jc w:val="center"/>
              <w:rPr>
                <w:rFonts w:ascii="Times New Roman" w:eastAsia="仿宋"/>
                <w:szCs w:val="21"/>
              </w:rPr>
            </w:pPr>
            <w:r>
              <w:rPr>
                <w:rFonts w:ascii="Times New Roman" w:eastAsia="仿宋"/>
                <w:szCs w:val="21"/>
              </w:rPr>
              <w:t>8</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230B80A4">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3E0EF741">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1AFF4B34">
            <w:pP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1AF00685">
            <w:pPr>
              <w:jc w:val="center"/>
              <w:rPr>
                <w:rFonts w:ascii="Times New Roman" w:eastAsia="仿宋"/>
                <w:szCs w:val="21"/>
              </w:rPr>
            </w:pPr>
            <w:r>
              <w:rPr>
                <w:rFonts w:hint="eastAsia" w:ascii="Times New Roman" w:eastAsia="仿宋"/>
                <w:szCs w:val="21"/>
              </w:rPr>
              <w:t>涂层烘干废气</w:t>
            </w: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225D6C4B">
            <w:pPr>
              <w:rPr>
                <w:rFonts w:ascii="Times New Roman" w:eastAsia="仿宋"/>
                <w:szCs w:val="21"/>
              </w:rPr>
            </w:pPr>
          </w:p>
        </w:tc>
        <w:tc>
          <w:tcPr>
            <w:tcW w:w="636" w:type="dxa"/>
            <w:tcBorders>
              <w:top w:val="single" w:color="000000" w:sz="4" w:space="0"/>
              <w:left w:val="single" w:color="000000" w:sz="4" w:space="0"/>
              <w:bottom w:val="single" w:color="000000" w:sz="4" w:space="0"/>
              <w:right w:val="single" w:color="000000" w:sz="4" w:space="0"/>
            </w:tcBorders>
            <w:vAlign w:val="center"/>
          </w:tcPr>
          <w:p w14:paraId="1BD0F50D">
            <w:pPr>
              <w:jc w:val="center"/>
              <w:rPr>
                <w:rFonts w:ascii="Times New Roman" w:eastAsia="仿宋"/>
                <w:szCs w:val="21"/>
              </w:rPr>
            </w:pPr>
            <w:r>
              <w:rPr>
                <w:rFonts w:ascii="Times New Roman" w:eastAsia="仿宋"/>
                <w:szCs w:val="21"/>
              </w:rPr>
              <w:t>0.11</w:t>
            </w:r>
          </w:p>
        </w:tc>
        <w:tc>
          <w:tcPr>
            <w:tcW w:w="1922" w:type="dxa"/>
            <w:tcBorders>
              <w:top w:val="single" w:color="000000" w:sz="4" w:space="0"/>
              <w:left w:val="single" w:color="000000" w:sz="4" w:space="0"/>
              <w:bottom w:val="single" w:color="000000" w:sz="4" w:space="0"/>
              <w:right w:val="single" w:color="000000" w:sz="4" w:space="0"/>
            </w:tcBorders>
            <w:vAlign w:val="center"/>
          </w:tcPr>
          <w:p w14:paraId="0A32139B">
            <w:pPr>
              <w:jc w:val="center"/>
              <w:rPr>
                <w:rFonts w:ascii="Times New Roman" w:eastAsia="仿宋"/>
                <w:szCs w:val="21"/>
              </w:rPr>
            </w:pPr>
            <w:r>
              <w:rPr>
                <w:rFonts w:hint="eastAsia" w:ascii="Times New Roman" w:eastAsia="仿宋"/>
                <w:szCs w:val="21"/>
              </w:rPr>
              <w:t>有</w:t>
            </w:r>
            <w:r>
              <w:rPr>
                <w:rFonts w:ascii="Times New Roman" w:eastAsia="仿宋"/>
                <w:szCs w:val="21"/>
              </w:rPr>
              <w:t>VOCs</w:t>
            </w:r>
            <w:r>
              <w:rPr>
                <w:rFonts w:hint="eastAsia" w:ascii="Times New Roman" w:eastAsia="仿宋"/>
                <w:szCs w:val="21"/>
              </w:rPr>
              <w:t>处理设施，处理效率</w:t>
            </w:r>
            <w:r>
              <w:rPr>
                <w:rFonts w:ascii="Times New Roman" w:eastAsia="仿宋"/>
                <w:szCs w:val="21"/>
              </w:rPr>
              <w:t>≥98%</w:t>
            </w:r>
            <w:r>
              <w:rPr>
                <w:rFonts w:hint="eastAsia" w:ascii="Times New Roman" w:eastAsia="仿宋"/>
                <w:szCs w:val="21"/>
              </w:rPr>
              <w:t>；有</w:t>
            </w:r>
            <w:r>
              <w:rPr>
                <w:rFonts w:ascii="Times New Roman" w:eastAsia="仿宋"/>
                <w:szCs w:val="21"/>
              </w:rPr>
              <w:t>VOCs</w:t>
            </w:r>
            <w:r>
              <w:rPr>
                <w:rFonts w:hint="eastAsia" w:ascii="Times New Roman" w:eastAsia="仿宋"/>
                <w:szCs w:val="21"/>
              </w:rPr>
              <w:t>处理设备运行监控装置</w:t>
            </w:r>
          </w:p>
        </w:tc>
        <w:tc>
          <w:tcPr>
            <w:tcW w:w="1388" w:type="dxa"/>
            <w:tcBorders>
              <w:top w:val="single" w:color="000000" w:sz="4" w:space="0"/>
              <w:left w:val="single" w:color="000000" w:sz="4" w:space="0"/>
              <w:bottom w:val="single" w:color="000000" w:sz="4" w:space="0"/>
              <w:right w:val="single" w:color="000000" w:sz="4" w:space="0"/>
            </w:tcBorders>
            <w:vAlign w:val="center"/>
          </w:tcPr>
          <w:p w14:paraId="661A3812">
            <w:pPr>
              <w:jc w:val="center"/>
              <w:rPr>
                <w:rFonts w:ascii="Times New Roman" w:eastAsia="仿宋"/>
                <w:szCs w:val="21"/>
              </w:rPr>
            </w:pPr>
            <w:r>
              <w:rPr>
                <w:rFonts w:hint="eastAsia" w:ascii="Times New Roman" w:eastAsia="仿宋"/>
                <w:szCs w:val="21"/>
              </w:rPr>
              <w:t>有</w:t>
            </w:r>
            <w:r>
              <w:rPr>
                <w:rFonts w:ascii="Times New Roman" w:eastAsia="仿宋"/>
                <w:szCs w:val="21"/>
              </w:rPr>
              <w:t xml:space="preserve"> VOCs </w:t>
            </w:r>
            <w:r>
              <w:rPr>
                <w:rFonts w:hint="eastAsia" w:ascii="Times New Roman" w:eastAsia="仿宋"/>
                <w:szCs w:val="21"/>
              </w:rPr>
              <w:t>处理设施，处理效率</w:t>
            </w:r>
            <w:r>
              <w:rPr>
                <w:rFonts w:ascii="Times New Roman" w:eastAsia="仿宋"/>
                <w:szCs w:val="21"/>
              </w:rPr>
              <w:t>≥95%</w:t>
            </w:r>
            <w:r>
              <w:rPr>
                <w:rFonts w:hint="eastAsia" w:ascii="Times New Roman" w:eastAsia="仿宋"/>
                <w:szCs w:val="21"/>
              </w:rPr>
              <w:t>；有</w:t>
            </w:r>
            <w:r>
              <w:rPr>
                <w:rFonts w:ascii="Times New Roman" w:eastAsia="仿宋"/>
                <w:szCs w:val="21"/>
              </w:rPr>
              <w:t xml:space="preserve">VOCs </w:t>
            </w:r>
            <w:r>
              <w:rPr>
                <w:rFonts w:hint="eastAsia" w:ascii="Times New Roman" w:eastAsia="仿宋"/>
                <w:szCs w:val="21"/>
              </w:rPr>
              <w:t>处理设备运行监控装置</w:t>
            </w:r>
          </w:p>
        </w:tc>
        <w:tc>
          <w:tcPr>
            <w:tcW w:w="1760" w:type="dxa"/>
            <w:tcBorders>
              <w:top w:val="single" w:color="000000" w:sz="4" w:space="0"/>
              <w:left w:val="single" w:color="000000" w:sz="4" w:space="0"/>
              <w:bottom w:val="single" w:color="000000" w:sz="4" w:space="0"/>
              <w:right w:val="single" w:color="000000" w:sz="8" w:space="0"/>
            </w:tcBorders>
            <w:vAlign w:val="center"/>
          </w:tcPr>
          <w:p w14:paraId="7C15E6E5">
            <w:pPr>
              <w:jc w:val="center"/>
              <w:rPr>
                <w:rFonts w:ascii="Times New Roman" w:eastAsia="仿宋"/>
                <w:szCs w:val="21"/>
              </w:rPr>
            </w:pPr>
            <w:r>
              <w:rPr>
                <w:rFonts w:hint="eastAsia" w:ascii="Times New Roman" w:eastAsia="仿宋"/>
                <w:szCs w:val="21"/>
              </w:rPr>
              <w:t>有</w:t>
            </w:r>
            <w:r>
              <w:rPr>
                <w:rFonts w:ascii="Times New Roman" w:eastAsia="仿宋"/>
                <w:szCs w:val="21"/>
              </w:rPr>
              <w:t xml:space="preserve"> VOCs </w:t>
            </w:r>
            <w:r>
              <w:rPr>
                <w:rFonts w:hint="eastAsia" w:ascii="Times New Roman" w:eastAsia="仿宋"/>
                <w:szCs w:val="21"/>
              </w:rPr>
              <w:t>处理设施，处理效率</w:t>
            </w:r>
            <w:r>
              <w:rPr>
                <w:rFonts w:ascii="Times New Roman" w:eastAsia="仿宋"/>
                <w:szCs w:val="21"/>
              </w:rPr>
              <w:t>≥90%</w:t>
            </w:r>
            <w:r>
              <w:rPr>
                <w:rFonts w:hint="eastAsia" w:ascii="Times New Roman" w:eastAsia="仿宋"/>
                <w:szCs w:val="21"/>
              </w:rPr>
              <w:t>；有</w:t>
            </w:r>
            <w:r>
              <w:rPr>
                <w:rFonts w:ascii="Times New Roman" w:eastAsia="仿宋"/>
                <w:szCs w:val="21"/>
              </w:rPr>
              <w:t>VOCs</w:t>
            </w:r>
            <w:r>
              <w:rPr>
                <w:rFonts w:hint="eastAsia" w:ascii="Times New Roman" w:eastAsia="仿宋"/>
                <w:szCs w:val="21"/>
              </w:rPr>
              <w:t>处理设备运行监控装置</w:t>
            </w:r>
          </w:p>
        </w:tc>
        <w:tc>
          <w:tcPr>
            <w:tcW w:w="2201" w:type="dxa"/>
            <w:tcBorders>
              <w:top w:val="single" w:color="000000" w:sz="4" w:space="0"/>
              <w:left w:val="single" w:color="000000" w:sz="4" w:space="0"/>
              <w:bottom w:val="single" w:color="000000" w:sz="4" w:space="0"/>
              <w:right w:val="single" w:color="000000" w:sz="8" w:space="0"/>
            </w:tcBorders>
            <w:vAlign w:val="center"/>
          </w:tcPr>
          <w:p w14:paraId="6EB23F46">
            <w:pPr>
              <w:jc w:val="center"/>
              <w:rPr>
                <w:rFonts w:ascii="Times New Roman" w:eastAsia="仿宋"/>
                <w:szCs w:val="21"/>
              </w:rPr>
            </w:pPr>
            <w:r>
              <w:rPr>
                <w:rFonts w:hint="eastAsia" w:ascii="Times New Roman" w:eastAsia="仿宋"/>
                <w:szCs w:val="21"/>
              </w:rPr>
              <w:t>企业烘干废气与喷漆废气一并收集处理后排放，去除率为95</w:t>
            </w:r>
            <w:r>
              <w:rPr>
                <w:rFonts w:ascii="Times New Roman" w:eastAsia="仿宋"/>
                <w:szCs w:val="21"/>
              </w:rPr>
              <w:t>%</w:t>
            </w:r>
          </w:p>
        </w:tc>
        <w:tc>
          <w:tcPr>
            <w:tcW w:w="796" w:type="dxa"/>
            <w:tcBorders>
              <w:top w:val="single" w:color="000000" w:sz="4" w:space="0"/>
              <w:left w:val="single" w:color="000000" w:sz="4" w:space="0"/>
              <w:bottom w:val="single" w:color="000000" w:sz="4" w:space="0"/>
              <w:right w:val="single" w:color="000000" w:sz="8" w:space="0"/>
            </w:tcBorders>
            <w:vAlign w:val="center"/>
          </w:tcPr>
          <w:p w14:paraId="761A816B">
            <w:pPr>
              <w:jc w:val="center"/>
              <w:rPr>
                <w:rFonts w:ascii="Times New Roman" w:eastAsia="仿宋"/>
                <w:szCs w:val="21"/>
              </w:rPr>
            </w:pPr>
            <w:r>
              <w:rPr>
                <w:rFonts w:ascii="Times New Roman" w:eastAsia="仿宋"/>
                <w:szCs w:val="21"/>
              </w:rPr>
              <w:t>II</w:t>
            </w:r>
            <w:r>
              <w:rPr>
                <w:rFonts w:hint="eastAsia" w:ascii="Times New Roman" w:eastAsia="仿宋"/>
                <w:szCs w:val="21"/>
              </w:rPr>
              <w:t>级</w:t>
            </w:r>
          </w:p>
        </w:tc>
      </w:tr>
      <w:tr w14:paraId="7FBD9382">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3C354281">
            <w:pPr>
              <w:jc w:val="center"/>
              <w:rPr>
                <w:rFonts w:ascii="Times New Roman" w:eastAsia="仿宋"/>
                <w:szCs w:val="21"/>
              </w:rPr>
            </w:pPr>
            <w:r>
              <w:rPr>
                <w:rFonts w:ascii="Times New Roman" w:eastAsia="仿宋"/>
                <w:szCs w:val="21"/>
              </w:rPr>
              <w:t>9</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77DAECDE">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036CBC17">
            <w:pPr>
              <w:rPr>
                <w:rFonts w:ascii="Times New Roman" w:eastAsia="仿宋"/>
                <w:szCs w:val="21"/>
              </w:rPr>
            </w:pP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14:paraId="6F13905E">
            <w:pPr>
              <w:jc w:val="center"/>
              <w:rPr>
                <w:rFonts w:ascii="Times New Roman" w:eastAsia="仿宋"/>
                <w:szCs w:val="21"/>
              </w:rPr>
            </w:pPr>
            <w:r>
              <w:rPr>
                <w:rFonts w:hint="eastAsia" w:ascii="Times New Roman" w:eastAsia="仿宋"/>
                <w:szCs w:val="21"/>
              </w:rPr>
              <w:t>原辅材料</w:t>
            </w: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5283A9CE">
            <w:pPr>
              <w:jc w:val="center"/>
              <w:rPr>
                <w:rFonts w:ascii="Times New Roman" w:eastAsia="仿宋"/>
                <w:szCs w:val="21"/>
              </w:rPr>
            </w:pPr>
            <w:r>
              <w:rPr>
                <w:rFonts w:hint="eastAsia" w:ascii="Times New Roman" w:eastAsia="仿宋"/>
                <w:szCs w:val="21"/>
              </w:rPr>
              <w:t>底漆</w:t>
            </w:r>
          </w:p>
        </w:tc>
        <w:tc>
          <w:tcPr>
            <w:tcW w:w="976" w:type="dxa"/>
            <w:tcBorders>
              <w:top w:val="single" w:color="000000" w:sz="4" w:space="0"/>
              <w:left w:val="single" w:color="000000" w:sz="4" w:space="0"/>
              <w:bottom w:val="single" w:color="000000" w:sz="4" w:space="0"/>
              <w:right w:val="single" w:color="000000" w:sz="4" w:space="0"/>
            </w:tcBorders>
            <w:vAlign w:val="center"/>
          </w:tcPr>
          <w:p w14:paraId="36A995F8">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3565E993">
            <w:pPr>
              <w:jc w:val="center"/>
              <w:rPr>
                <w:rFonts w:ascii="Times New Roman" w:eastAsia="仿宋"/>
                <w:szCs w:val="21"/>
              </w:rPr>
            </w:pPr>
            <w:r>
              <w:rPr>
                <w:rFonts w:ascii="Times New Roman" w:eastAsia="仿宋"/>
                <w:szCs w:val="21"/>
              </w:rPr>
              <w:t>0.05</w:t>
            </w:r>
          </w:p>
        </w:tc>
        <w:tc>
          <w:tcPr>
            <w:tcW w:w="1922" w:type="dxa"/>
            <w:tcBorders>
              <w:top w:val="single" w:color="000000" w:sz="4" w:space="0"/>
              <w:left w:val="single" w:color="000000" w:sz="4" w:space="0"/>
              <w:bottom w:val="single" w:color="000000" w:sz="4" w:space="0"/>
              <w:right w:val="single" w:color="000000" w:sz="4" w:space="0"/>
            </w:tcBorders>
            <w:vAlign w:val="center"/>
          </w:tcPr>
          <w:p w14:paraId="37867DCA">
            <w:pPr>
              <w:jc w:val="center"/>
              <w:rPr>
                <w:rFonts w:ascii="Times New Roman" w:eastAsia="仿宋"/>
                <w:szCs w:val="21"/>
              </w:rPr>
            </w:pPr>
            <w:r>
              <w:rPr>
                <w:rFonts w:ascii="Times New Roman" w:eastAsia="仿宋"/>
                <w:szCs w:val="21"/>
              </w:rPr>
              <w:t>VOCs≤30%</w:t>
            </w:r>
          </w:p>
        </w:tc>
        <w:tc>
          <w:tcPr>
            <w:tcW w:w="1388" w:type="dxa"/>
            <w:tcBorders>
              <w:top w:val="single" w:color="000000" w:sz="4" w:space="0"/>
              <w:left w:val="single" w:color="000000" w:sz="4" w:space="0"/>
              <w:bottom w:val="single" w:color="000000" w:sz="4" w:space="0"/>
              <w:right w:val="single" w:color="000000" w:sz="4" w:space="0"/>
            </w:tcBorders>
            <w:vAlign w:val="center"/>
          </w:tcPr>
          <w:p w14:paraId="2600A77F">
            <w:pPr>
              <w:jc w:val="center"/>
              <w:rPr>
                <w:rFonts w:ascii="Times New Roman" w:eastAsia="仿宋"/>
                <w:szCs w:val="21"/>
              </w:rPr>
            </w:pPr>
            <w:r>
              <w:rPr>
                <w:rFonts w:ascii="Times New Roman" w:eastAsia="仿宋"/>
                <w:szCs w:val="21"/>
              </w:rPr>
              <w:t>VOCs≤35%</w:t>
            </w:r>
          </w:p>
        </w:tc>
        <w:tc>
          <w:tcPr>
            <w:tcW w:w="1760" w:type="dxa"/>
            <w:tcBorders>
              <w:top w:val="single" w:color="000000" w:sz="4" w:space="0"/>
              <w:left w:val="single" w:color="000000" w:sz="4" w:space="0"/>
              <w:bottom w:val="single" w:color="000000" w:sz="4" w:space="0"/>
              <w:right w:val="single" w:color="000000" w:sz="8" w:space="0"/>
            </w:tcBorders>
            <w:vAlign w:val="center"/>
          </w:tcPr>
          <w:p w14:paraId="53CC127A">
            <w:pPr>
              <w:jc w:val="center"/>
              <w:rPr>
                <w:rFonts w:ascii="Times New Roman" w:eastAsia="仿宋"/>
                <w:szCs w:val="21"/>
              </w:rPr>
            </w:pPr>
            <w:r>
              <w:rPr>
                <w:rFonts w:ascii="Times New Roman" w:eastAsia="仿宋"/>
                <w:szCs w:val="21"/>
              </w:rPr>
              <w:t>VOCs≤45%</w:t>
            </w:r>
          </w:p>
        </w:tc>
        <w:tc>
          <w:tcPr>
            <w:tcW w:w="2201" w:type="dxa"/>
            <w:tcBorders>
              <w:top w:val="single" w:color="000000" w:sz="4" w:space="0"/>
              <w:left w:val="single" w:color="000000" w:sz="4" w:space="0"/>
              <w:bottom w:val="single" w:color="000000" w:sz="4" w:space="0"/>
              <w:right w:val="single" w:color="000000" w:sz="8" w:space="0"/>
            </w:tcBorders>
            <w:vAlign w:val="center"/>
          </w:tcPr>
          <w:p w14:paraId="2EC9B18E">
            <w:pPr>
              <w:jc w:val="center"/>
              <w:rPr>
                <w:rFonts w:ascii="Times New Roman" w:eastAsia="仿宋"/>
                <w:szCs w:val="21"/>
              </w:rPr>
            </w:pPr>
            <w:r>
              <w:rPr>
                <w:rFonts w:hint="eastAsia" w:ascii="Times New Roman" w:eastAsia="仿宋"/>
                <w:szCs w:val="21"/>
              </w:rPr>
              <w:t>根据企业提供资料，工作状态下氟碳底漆VOCs含量为66%。</w:t>
            </w:r>
          </w:p>
        </w:tc>
        <w:tc>
          <w:tcPr>
            <w:tcW w:w="796" w:type="dxa"/>
            <w:tcBorders>
              <w:top w:val="single" w:color="000000" w:sz="4" w:space="0"/>
              <w:left w:val="single" w:color="000000" w:sz="4" w:space="0"/>
              <w:bottom w:val="single" w:color="000000" w:sz="4" w:space="0"/>
              <w:right w:val="single" w:color="000000" w:sz="8" w:space="0"/>
            </w:tcBorders>
            <w:vAlign w:val="center"/>
          </w:tcPr>
          <w:p w14:paraId="5CEF22FB">
            <w:pPr>
              <w:jc w:val="center"/>
              <w:rPr>
                <w:rFonts w:ascii="Times New Roman" w:eastAsia="仿宋"/>
                <w:szCs w:val="21"/>
              </w:rPr>
            </w:pPr>
            <w:r>
              <w:rPr>
                <w:rFonts w:ascii="Times New Roman" w:eastAsia="仿宋"/>
                <w:szCs w:val="21"/>
              </w:rPr>
              <w:t>/</w:t>
            </w:r>
          </w:p>
        </w:tc>
      </w:tr>
      <w:tr w14:paraId="1252E9C6">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4B00C017">
            <w:pPr>
              <w:jc w:val="center"/>
              <w:rPr>
                <w:rFonts w:ascii="Times New Roman" w:eastAsia="仿宋"/>
                <w:szCs w:val="21"/>
              </w:rPr>
            </w:pPr>
            <w:r>
              <w:rPr>
                <w:rFonts w:ascii="Times New Roman" w:eastAsia="仿宋"/>
                <w:szCs w:val="21"/>
              </w:rPr>
              <w:t>10</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5875B406">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09136BF3">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64FE020E">
            <w:pP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59720B8A">
            <w:pPr>
              <w:jc w:val="center"/>
              <w:rPr>
                <w:rFonts w:ascii="Times New Roman" w:eastAsia="仿宋"/>
                <w:szCs w:val="21"/>
              </w:rPr>
            </w:pPr>
            <w:r>
              <w:rPr>
                <w:rFonts w:hint="eastAsia" w:ascii="Times New Roman" w:eastAsia="仿宋"/>
                <w:szCs w:val="21"/>
              </w:rPr>
              <w:t>中涂</w:t>
            </w:r>
          </w:p>
        </w:tc>
        <w:tc>
          <w:tcPr>
            <w:tcW w:w="976" w:type="dxa"/>
            <w:tcBorders>
              <w:top w:val="single" w:color="000000" w:sz="4" w:space="0"/>
              <w:left w:val="single" w:color="000000" w:sz="4" w:space="0"/>
              <w:bottom w:val="single" w:color="000000" w:sz="4" w:space="0"/>
              <w:right w:val="single" w:color="000000" w:sz="4" w:space="0"/>
            </w:tcBorders>
            <w:vAlign w:val="center"/>
          </w:tcPr>
          <w:p w14:paraId="451C828D">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7C83A02C">
            <w:pPr>
              <w:jc w:val="center"/>
              <w:rPr>
                <w:rFonts w:ascii="Times New Roman" w:eastAsia="仿宋"/>
                <w:szCs w:val="21"/>
              </w:rPr>
            </w:pPr>
            <w:r>
              <w:rPr>
                <w:rFonts w:ascii="Times New Roman" w:eastAsia="仿宋"/>
                <w:szCs w:val="21"/>
              </w:rPr>
              <w:t>0.05</w:t>
            </w:r>
          </w:p>
        </w:tc>
        <w:tc>
          <w:tcPr>
            <w:tcW w:w="1922" w:type="dxa"/>
            <w:tcBorders>
              <w:top w:val="single" w:color="000000" w:sz="4" w:space="0"/>
              <w:left w:val="single" w:color="000000" w:sz="4" w:space="0"/>
              <w:bottom w:val="single" w:color="000000" w:sz="4" w:space="0"/>
              <w:right w:val="single" w:color="000000" w:sz="4" w:space="0"/>
            </w:tcBorders>
            <w:vAlign w:val="center"/>
          </w:tcPr>
          <w:p w14:paraId="5ADF5F97">
            <w:pPr>
              <w:jc w:val="center"/>
              <w:rPr>
                <w:rFonts w:ascii="Times New Roman" w:eastAsia="仿宋"/>
                <w:szCs w:val="21"/>
              </w:rPr>
            </w:pPr>
            <w:r>
              <w:rPr>
                <w:rFonts w:ascii="Times New Roman" w:eastAsia="仿宋"/>
                <w:szCs w:val="21"/>
              </w:rPr>
              <w:t>VOCs≤30%</w:t>
            </w:r>
          </w:p>
        </w:tc>
        <w:tc>
          <w:tcPr>
            <w:tcW w:w="1388" w:type="dxa"/>
            <w:tcBorders>
              <w:top w:val="single" w:color="000000" w:sz="4" w:space="0"/>
              <w:left w:val="single" w:color="000000" w:sz="4" w:space="0"/>
              <w:bottom w:val="single" w:color="000000" w:sz="4" w:space="0"/>
              <w:right w:val="single" w:color="000000" w:sz="4" w:space="0"/>
            </w:tcBorders>
            <w:vAlign w:val="center"/>
          </w:tcPr>
          <w:p w14:paraId="6165C127">
            <w:pPr>
              <w:jc w:val="center"/>
              <w:rPr>
                <w:rFonts w:ascii="Times New Roman" w:eastAsia="仿宋"/>
                <w:szCs w:val="21"/>
              </w:rPr>
            </w:pPr>
            <w:r>
              <w:rPr>
                <w:rFonts w:ascii="Times New Roman" w:eastAsia="仿宋"/>
                <w:szCs w:val="21"/>
              </w:rPr>
              <w:t>VOCs≤40%</w:t>
            </w:r>
          </w:p>
        </w:tc>
        <w:tc>
          <w:tcPr>
            <w:tcW w:w="1760" w:type="dxa"/>
            <w:tcBorders>
              <w:top w:val="single" w:color="000000" w:sz="4" w:space="0"/>
              <w:left w:val="single" w:color="000000" w:sz="4" w:space="0"/>
              <w:bottom w:val="single" w:color="000000" w:sz="4" w:space="0"/>
              <w:right w:val="single" w:color="000000" w:sz="8" w:space="0"/>
            </w:tcBorders>
            <w:vAlign w:val="center"/>
          </w:tcPr>
          <w:p w14:paraId="47AE9C62">
            <w:pPr>
              <w:jc w:val="center"/>
              <w:rPr>
                <w:rFonts w:ascii="Times New Roman" w:eastAsia="仿宋"/>
                <w:szCs w:val="21"/>
              </w:rPr>
            </w:pPr>
            <w:r>
              <w:rPr>
                <w:rFonts w:ascii="Times New Roman" w:eastAsia="仿宋"/>
                <w:szCs w:val="21"/>
              </w:rPr>
              <w:t>VOCs≤55%</w:t>
            </w:r>
          </w:p>
        </w:tc>
        <w:tc>
          <w:tcPr>
            <w:tcW w:w="2201" w:type="dxa"/>
            <w:tcBorders>
              <w:top w:val="single" w:color="000000" w:sz="4" w:space="0"/>
              <w:left w:val="single" w:color="000000" w:sz="4" w:space="0"/>
              <w:bottom w:val="single" w:color="000000" w:sz="4" w:space="0"/>
              <w:right w:val="single" w:color="000000" w:sz="8" w:space="0"/>
            </w:tcBorders>
            <w:vAlign w:val="center"/>
          </w:tcPr>
          <w:p w14:paraId="636770D1">
            <w:pPr>
              <w:jc w:val="center"/>
              <w:rPr>
                <w:rFonts w:ascii="Times New Roman" w:eastAsia="仿宋"/>
                <w:szCs w:val="21"/>
              </w:rPr>
            </w:pPr>
            <w:r>
              <w:rPr>
                <w:rFonts w:hint="eastAsia" w:ascii="Times New Roman" w:eastAsia="仿宋"/>
                <w:szCs w:val="21"/>
              </w:rPr>
              <w:t>企业不涉及中涂，默认满足</w:t>
            </w:r>
            <w:r>
              <w:rPr>
                <w:rFonts w:ascii="Times New Roman" w:eastAsia="仿宋"/>
                <w:szCs w:val="21"/>
              </w:rPr>
              <w:t>I</w:t>
            </w:r>
            <w:r>
              <w:rPr>
                <w:rFonts w:hint="eastAsia" w:ascii="Times New Roman" w:eastAsia="仿宋"/>
                <w:szCs w:val="21"/>
              </w:rPr>
              <w:t>级基准值</w:t>
            </w:r>
          </w:p>
        </w:tc>
        <w:tc>
          <w:tcPr>
            <w:tcW w:w="796" w:type="dxa"/>
            <w:tcBorders>
              <w:top w:val="single" w:color="000000" w:sz="4" w:space="0"/>
              <w:left w:val="single" w:color="000000" w:sz="4" w:space="0"/>
              <w:bottom w:val="single" w:color="000000" w:sz="4" w:space="0"/>
              <w:right w:val="single" w:color="000000" w:sz="8" w:space="0"/>
            </w:tcBorders>
            <w:vAlign w:val="center"/>
          </w:tcPr>
          <w:p w14:paraId="23987A64">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6E7FB189">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5891DE2D">
            <w:pPr>
              <w:jc w:val="center"/>
              <w:rPr>
                <w:rFonts w:ascii="Times New Roman" w:eastAsia="仿宋"/>
                <w:szCs w:val="21"/>
              </w:rPr>
            </w:pPr>
            <w:r>
              <w:rPr>
                <w:rFonts w:ascii="Times New Roman" w:eastAsia="仿宋"/>
                <w:szCs w:val="21"/>
              </w:rPr>
              <w:t>11</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2D2F72AB">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3B2B8EC1">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2B5180F0">
            <w:pP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4D4107E7">
            <w:pPr>
              <w:jc w:val="center"/>
              <w:rPr>
                <w:rFonts w:ascii="Times New Roman" w:eastAsia="仿宋"/>
                <w:szCs w:val="21"/>
              </w:rPr>
            </w:pPr>
            <w:r>
              <w:rPr>
                <w:rFonts w:hint="eastAsia" w:ascii="Times New Roman" w:eastAsia="仿宋"/>
                <w:szCs w:val="21"/>
              </w:rPr>
              <w:t>面漆</w:t>
            </w:r>
          </w:p>
        </w:tc>
        <w:tc>
          <w:tcPr>
            <w:tcW w:w="976" w:type="dxa"/>
            <w:tcBorders>
              <w:top w:val="single" w:color="000000" w:sz="4" w:space="0"/>
              <w:left w:val="single" w:color="000000" w:sz="4" w:space="0"/>
              <w:bottom w:val="single" w:color="000000" w:sz="4" w:space="0"/>
              <w:right w:val="single" w:color="000000" w:sz="4" w:space="0"/>
            </w:tcBorders>
            <w:vAlign w:val="center"/>
          </w:tcPr>
          <w:p w14:paraId="66C1C3B9">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13706D5F">
            <w:pPr>
              <w:jc w:val="center"/>
              <w:rPr>
                <w:rFonts w:ascii="Times New Roman" w:eastAsia="仿宋"/>
                <w:szCs w:val="21"/>
              </w:rPr>
            </w:pPr>
            <w:r>
              <w:rPr>
                <w:rFonts w:ascii="Times New Roman" w:eastAsia="仿宋"/>
                <w:szCs w:val="21"/>
              </w:rPr>
              <w:t>0.05</w:t>
            </w:r>
          </w:p>
        </w:tc>
        <w:tc>
          <w:tcPr>
            <w:tcW w:w="1922" w:type="dxa"/>
            <w:tcBorders>
              <w:top w:val="single" w:color="000000" w:sz="4" w:space="0"/>
              <w:left w:val="single" w:color="000000" w:sz="4" w:space="0"/>
              <w:bottom w:val="single" w:color="000000" w:sz="4" w:space="0"/>
              <w:right w:val="single" w:color="000000" w:sz="4" w:space="0"/>
            </w:tcBorders>
            <w:vAlign w:val="center"/>
          </w:tcPr>
          <w:p w14:paraId="35F7A41B">
            <w:pPr>
              <w:jc w:val="center"/>
              <w:rPr>
                <w:rFonts w:ascii="Times New Roman" w:eastAsia="仿宋"/>
                <w:szCs w:val="21"/>
              </w:rPr>
            </w:pPr>
            <w:r>
              <w:rPr>
                <w:rFonts w:ascii="Times New Roman" w:eastAsia="仿宋"/>
                <w:szCs w:val="21"/>
              </w:rPr>
              <w:t>VOCs≤50%</w:t>
            </w:r>
          </w:p>
        </w:tc>
        <w:tc>
          <w:tcPr>
            <w:tcW w:w="1388" w:type="dxa"/>
            <w:tcBorders>
              <w:top w:val="single" w:color="000000" w:sz="4" w:space="0"/>
              <w:left w:val="single" w:color="000000" w:sz="4" w:space="0"/>
              <w:bottom w:val="single" w:color="000000" w:sz="4" w:space="0"/>
              <w:right w:val="single" w:color="000000" w:sz="4" w:space="0"/>
            </w:tcBorders>
            <w:vAlign w:val="center"/>
          </w:tcPr>
          <w:p w14:paraId="2E7F931F">
            <w:pPr>
              <w:jc w:val="center"/>
              <w:rPr>
                <w:rFonts w:ascii="Times New Roman" w:eastAsia="仿宋"/>
                <w:szCs w:val="21"/>
              </w:rPr>
            </w:pPr>
            <w:r>
              <w:rPr>
                <w:rFonts w:ascii="Times New Roman" w:eastAsia="仿宋"/>
                <w:szCs w:val="21"/>
              </w:rPr>
              <w:t>VOCs≤60%</w:t>
            </w:r>
          </w:p>
        </w:tc>
        <w:tc>
          <w:tcPr>
            <w:tcW w:w="1760" w:type="dxa"/>
            <w:tcBorders>
              <w:top w:val="single" w:color="000000" w:sz="4" w:space="0"/>
              <w:left w:val="single" w:color="000000" w:sz="4" w:space="0"/>
              <w:bottom w:val="single" w:color="000000" w:sz="4" w:space="0"/>
              <w:right w:val="single" w:color="000000" w:sz="8" w:space="0"/>
            </w:tcBorders>
            <w:vAlign w:val="center"/>
          </w:tcPr>
          <w:p w14:paraId="569F661C">
            <w:pPr>
              <w:jc w:val="center"/>
              <w:rPr>
                <w:rFonts w:ascii="Times New Roman" w:eastAsia="仿宋"/>
                <w:szCs w:val="21"/>
              </w:rPr>
            </w:pPr>
            <w:r>
              <w:rPr>
                <w:rFonts w:ascii="Times New Roman" w:eastAsia="仿宋"/>
                <w:szCs w:val="21"/>
              </w:rPr>
              <w:t>VOCs≤70%</w:t>
            </w:r>
          </w:p>
        </w:tc>
        <w:tc>
          <w:tcPr>
            <w:tcW w:w="2201" w:type="dxa"/>
            <w:tcBorders>
              <w:top w:val="single" w:color="000000" w:sz="4" w:space="0"/>
              <w:left w:val="single" w:color="000000" w:sz="4" w:space="0"/>
              <w:bottom w:val="single" w:color="000000" w:sz="4" w:space="0"/>
              <w:right w:val="single" w:color="000000" w:sz="8" w:space="0"/>
            </w:tcBorders>
            <w:vAlign w:val="center"/>
          </w:tcPr>
          <w:p w14:paraId="33F35ABA">
            <w:pPr>
              <w:jc w:val="center"/>
              <w:rPr>
                <w:rFonts w:ascii="Times New Roman" w:eastAsia="仿宋"/>
                <w:szCs w:val="21"/>
              </w:rPr>
            </w:pPr>
            <w:r>
              <w:rPr>
                <w:rFonts w:hint="eastAsia" w:ascii="Times New Roman" w:eastAsia="仿宋"/>
                <w:szCs w:val="21"/>
              </w:rPr>
              <w:t>根据企业提供资料，工作状态下氟碳面漆VOCs含量为62.9%。</w:t>
            </w:r>
          </w:p>
        </w:tc>
        <w:tc>
          <w:tcPr>
            <w:tcW w:w="796" w:type="dxa"/>
            <w:tcBorders>
              <w:top w:val="single" w:color="000000" w:sz="4" w:space="0"/>
              <w:left w:val="single" w:color="000000" w:sz="4" w:space="0"/>
              <w:bottom w:val="single" w:color="000000" w:sz="4" w:space="0"/>
              <w:right w:val="single" w:color="000000" w:sz="8" w:space="0"/>
            </w:tcBorders>
            <w:vAlign w:val="center"/>
          </w:tcPr>
          <w:p w14:paraId="557BF9BD">
            <w:pPr>
              <w:jc w:val="center"/>
              <w:rPr>
                <w:rFonts w:ascii="Times New Roman" w:eastAsia="仿宋"/>
                <w:szCs w:val="21"/>
              </w:rPr>
            </w:pPr>
            <w:r>
              <w:rPr>
                <w:rFonts w:ascii="Times New Roman" w:eastAsia="仿宋"/>
                <w:szCs w:val="21"/>
              </w:rPr>
              <w:t>/</w:t>
            </w:r>
          </w:p>
        </w:tc>
      </w:tr>
      <w:tr w14:paraId="539E2231">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3E1E9103">
            <w:pPr>
              <w:jc w:val="center"/>
              <w:rPr>
                <w:rFonts w:ascii="Times New Roman" w:eastAsia="仿宋"/>
                <w:szCs w:val="21"/>
              </w:rPr>
            </w:pPr>
            <w:r>
              <w:rPr>
                <w:rFonts w:ascii="Times New Roman" w:eastAsia="仿宋"/>
                <w:szCs w:val="21"/>
              </w:rPr>
              <w:t>12</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4AD8C592">
            <w:pPr>
              <w:rPr>
                <w:rFonts w:ascii="Times New Roman" w:eastAsia="仿宋"/>
                <w:szCs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0558BD71">
            <w:pPr>
              <w:rPr>
                <w:rFonts w:ascii="Times New Roman" w:eastAsia="仿宋"/>
                <w:szCs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7529A37D">
            <w:pPr>
              <w:rPr>
                <w:rFonts w:ascii="Times New Roman" w:eastAsia="仿宋"/>
                <w:szCs w:val="21"/>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79A2D631">
            <w:pPr>
              <w:jc w:val="center"/>
              <w:rPr>
                <w:rFonts w:ascii="Times New Roman" w:eastAsia="仿宋"/>
                <w:szCs w:val="21"/>
              </w:rPr>
            </w:pPr>
            <w:r>
              <w:rPr>
                <w:rFonts w:hint="eastAsia" w:ascii="Times New Roman" w:eastAsia="仿宋"/>
                <w:szCs w:val="21"/>
              </w:rPr>
              <w:t>喷枪清洗液</w:t>
            </w:r>
          </w:p>
        </w:tc>
        <w:tc>
          <w:tcPr>
            <w:tcW w:w="501" w:type="dxa"/>
            <w:tcBorders>
              <w:top w:val="single" w:color="000000" w:sz="4" w:space="0"/>
              <w:left w:val="single" w:color="000000" w:sz="4" w:space="0"/>
              <w:bottom w:val="single" w:color="000000" w:sz="4" w:space="0"/>
              <w:right w:val="single" w:color="000000" w:sz="4" w:space="0"/>
            </w:tcBorders>
            <w:vAlign w:val="center"/>
          </w:tcPr>
          <w:p w14:paraId="766F48F5">
            <w:pPr>
              <w:jc w:val="center"/>
              <w:rPr>
                <w:rFonts w:ascii="Times New Roman" w:eastAsia="仿宋"/>
                <w:szCs w:val="21"/>
              </w:rPr>
            </w:pPr>
            <w:r>
              <w:rPr>
                <w:rFonts w:hint="eastAsia" w:ascii="Times New Roman" w:eastAsia="仿宋"/>
                <w:szCs w:val="21"/>
              </w:rPr>
              <w:t>水性</w:t>
            </w:r>
            <w:r>
              <w:rPr>
                <w:rFonts w:ascii="Times New Roman" w:eastAsia="仿宋"/>
                <w:szCs w:val="21"/>
              </w:rPr>
              <w:br w:type="textWrapping"/>
            </w:r>
            <w:r>
              <w:rPr>
                <w:rFonts w:hint="eastAsia" w:ascii="Times New Roman" w:eastAsia="仿宋"/>
                <w:szCs w:val="21"/>
              </w:rPr>
              <w:t>漆</w:t>
            </w:r>
          </w:p>
        </w:tc>
        <w:tc>
          <w:tcPr>
            <w:tcW w:w="976" w:type="dxa"/>
            <w:tcBorders>
              <w:top w:val="single" w:color="000000" w:sz="4" w:space="0"/>
              <w:left w:val="single" w:color="000000" w:sz="4" w:space="0"/>
              <w:bottom w:val="single" w:color="000000" w:sz="4" w:space="0"/>
              <w:right w:val="single" w:color="000000" w:sz="4" w:space="0"/>
            </w:tcBorders>
            <w:vAlign w:val="center"/>
          </w:tcPr>
          <w:p w14:paraId="4ADF47DE">
            <w:pPr>
              <w:jc w:val="center"/>
              <w:rPr>
                <w:rFonts w:ascii="Times New Roman" w:eastAsia="仿宋"/>
                <w:szCs w:val="21"/>
              </w:rPr>
            </w:pPr>
            <w:r>
              <w:rPr>
                <w:rFonts w:ascii="Times New Roman" w:eastAsia="仿宋"/>
                <w:szCs w:val="21"/>
              </w:rPr>
              <w:t>-</w:t>
            </w:r>
          </w:p>
        </w:tc>
        <w:tc>
          <w:tcPr>
            <w:tcW w:w="636" w:type="dxa"/>
            <w:tcBorders>
              <w:top w:val="single" w:color="000000" w:sz="4" w:space="0"/>
              <w:left w:val="single" w:color="000000" w:sz="4" w:space="0"/>
              <w:bottom w:val="single" w:color="000000" w:sz="4" w:space="0"/>
              <w:right w:val="single" w:color="000000" w:sz="4" w:space="0"/>
            </w:tcBorders>
            <w:vAlign w:val="center"/>
          </w:tcPr>
          <w:p w14:paraId="12572715">
            <w:pPr>
              <w:jc w:val="center"/>
              <w:rPr>
                <w:rFonts w:ascii="Times New Roman" w:eastAsia="仿宋"/>
                <w:szCs w:val="21"/>
              </w:rPr>
            </w:pPr>
            <w:r>
              <w:rPr>
                <w:rFonts w:ascii="Times New Roman" w:eastAsia="仿宋"/>
                <w:szCs w:val="21"/>
              </w:rPr>
              <w:t>0.02</w:t>
            </w:r>
          </w:p>
        </w:tc>
        <w:tc>
          <w:tcPr>
            <w:tcW w:w="1922" w:type="dxa"/>
            <w:tcBorders>
              <w:top w:val="single" w:color="000000" w:sz="4" w:space="0"/>
              <w:left w:val="single" w:color="000000" w:sz="4" w:space="0"/>
              <w:bottom w:val="single" w:color="000000" w:sz="4" w:space="0"/>
              <w:right w:val="single" w:color="000000" w:sz="4" w:space="0"/>
            </w:tcBorders>
            <w:vAlign w:val="center"/>
          </w:tcPr>
          <w:p w14:paraId="379C8384">
            <w:pPr>
              <w:jc w:val="center"/>
              <w:rPr>
                <w:rFonts w:ascii="Times New Roman" w:eastAsia="仿宋"/>
                <w:szCs w:val="21"/>
              </w:rPr>
            </w:pPr>
            <w:r>
              <w:rPr>
                <w:rFonts w:ascii="Times New Roman" w:eastAsia="仿宋"/>
                <w:szCs w:val="21"/>
              </w:rPr>
              <w:t>VOCs</w:t>
            </w:r>
            <w:r>
              <w:rPr>
                <w:rFonts w:hint="eastAsia" w:ascii="Times New Roman" w:eastAsia="仿宋"/>
                <w:szCs w:val="21"/>
              </w:rPr>
              <w:t>含量</w:t>
            </w:r>
            <w:r>
              <w:rPr>
                <w:rFonts w:ascii="Times New Roman" w:eastAsia="仿宋"/>
                <w:szCs w:val="21"/>
              </w:rPr>
              <w:t>≤5%</w:t>
            </w:r>
          </w:p>
        </w:tc>
        <w:tc>
          <w:tcPr>
            <w:tcW w:w="1388" w:type="dxa"/>
            <w:tcBorders>
              <w:top w:val="single" w:color="000000" w:sz="4" w:space="0"/>
              <w:left w:val="single" w:color="000000" w:sz="4" w:space="0"/>
              <w:bottom w:val="single" w:color="000000" w:sz="4" w:space="0"/>
              <w:right w:val="single" w:color="000000" w:sz="4" w:space="0"/>
            </w:tcBorders>
            <w:vAlign w:val="center"/>
          </w:tcPr>
          <w:p w14:paraId="64FE19A0">
            <w:pPr>
              <w:jc w:val="center"/>
              <w:rPr>
                <w:rFonts w:ascii="Times New Roman" w:eastAsia="仿宋"/>
                <w:szCs w:val="21"/>
              </w:rPr>
            </w:pPr>
            <w:r>
              <w:rPr>
                <w:rFonts w:ascii="Times New Roman" w:eastAsia="仿宋"/>
                <w:szCs w:val="21"/>
              </w:rPr>
              <w:t>VOCs</w:t>
            </w:r>
            <w:r>
              <w:rPr>
                <w:rFonts w:hint="eastAsia" w:ascii="Times New Roman" w:eastAsia="仿宋"/>
                <w:szCs w:val="21"/>
              </w:rPr>
              <w:t>含量</w:t>
            </w:r>
            <w:r>
              <w:rPr>
                <w:rFonts w:ascii="Times New Roman" w:eastAsia="仿宋"/>
                <w:szCs w:val="21"/>
              </w:rPr>
              <w:t>≤20%</w:t>
            </w:r>
          </w:p>
        </w:tc>
        <w:tc>
          <w:tcPr>
            <w:tcW w:w="1760" w:type="dxa"/>
            <w:tcBorders>
              <w:top w:val="single" w:color="000000" w:sz="4" w:space="0"/>
              <w:left w:val="single" w:color="000000" w:sz="4" w:space="0"/>
              <w:bottom w:val="single" w:color="000000" w:sz="4" w:space="0"/>
              <w:right w:val="single" w:color="000000" w:sz="8" w:space="0"/>
            </w:tcBorders>
            <w:vAlign w:val="center"/>
          </w:tcPr>
          <w:p w14:paraId="2F82A79E">
            <w:pPr>
              <w:jc w:val="center"/>
              <w:rPr>
                <w:rFonts w:ascii="Times New Roman" w:eastAsia="仿宋"/>
                <w:szCs w:val="21"/>
              </w:rPr>
            </w:pPr>
            <w:r>
              <w:rPr>
                <w:rFonts w:ascii="Times New Roman" w:eastAsia="仿宋"/>
                <w:szCs w:val="21"/>
              </w:rPr>
              <w:t>VOCs</w:t>
            </w:r>
            <w:r>
              <w:rPr>
                <w:rFonts w:hint="eastAsia" w:ascii="Times New Roman" w:eastAsia="仿宋"/>
                <w:szCs w:val="21"/>
              </w:rPr>
              <w:t>含量</w:t>
            </w:r>
            <w:r>
              <w:rPr>
                <w:rFonts w:ascii="Times New Roman" w:eastAsia="仿宋"/>
                <w:szCs w:val="21"/>
              </w:rPr>
              <w:t>≤30%</w:t>
            </w:r>
          </w:p>
        </w:tc>
        <w:tc>
          <w:tcPr>
            <w:tcW w:w="2201" w:type="dxa"/>
            <w:tcBorders>
              <w:top w:val="single" w:color="000000" w:sz="4" w:space="0"/>
              <w:left w:val="single" w:color="000000" w:sz="4" w:space="0"/>
              <w:bottom w:val="single" w:color="000000" w:sz="4" w:space="0"/>
              <w:right w:val="single" w:color="000000" w:sz="8" w:space="0"/>
            </w:tcBorders>
            <w:vAlign w:val="center"/>
          </w:tcPr>
          <w:p w14:paraId="335E8067">
            <w:pPr>
              <w:jc w:val="center"/>
              <w:rPr>
                <w:rFonts w:ascii="Times New Roman" w:eastAsia="仿宋"/>
                <w:szCs w:val="21"/>
              </w:rPr>
            </w:pPr>
            <w:r>
              <w:rPr>
                <w:rFonts w:hint="eastAsia" w:ascii="Times New Roman" w:eastAsia="仿宋"/>
                <w:szCs w:val="21"/>
              </w:rPr>
              <w:t>企业喷枪清洗使用稀释剂，VOCs含量大于30%。</w:t>
            </w:r>
          </w:p>
        </w:tc>
        <w:tc>
          <w:tcPr>
            <w:tcW w:w="796" w:type="dxa"/>
            <w:tcBorders>
              <w:top w:val="single" w:color="000000" w:sz="4" w:space="0"/>
              <w:left w:val="single" w:color="000000" w:sz="4" w:space="0"/>
              <w:bottom w:val="single" w:color="000000" w:sz="4" w:space="0"/>
              <w:right w:val="single" w:color="000000" w:sz="8" w:space="0"/>
            </w:tcBorders>
            <w:vAlign w:val="center"/>
          </w:tcPr>
          <w:p w14:paraId="1308B917">
            <w:pPr>
              <w:jc w:val="center"/>
              <w:rPr>
                <w:rFonts w:ascii="Times New Roman" w:eastAsia="仿宋"/>
                <w:szCs w:val="21"/>
              </w:rPr>
            </w:pPr>
            <w:r>
              <w:rPr>
                <w:rFonts w:ascii="Times New Roman" w:eastAsia="仿宋"/>
                <w:szCs w:val="21"/>
              </w:rPr>
              <w:t>/</w:t>
            </w:r>
          </w:p>
        </w:tc>
      </w:tr>
      <w:tr w14:paraId="6AB65A45">
        <w:tblPrEx>
          <w:tblCellMar>
            <w:top w:w="0" w:type="dxa"/>
            <w:left w:w="108" w:type="dxa"/>
            <w:bottom w:w="0" w:type="dxa"/>
            <w:right w:w="108" w:type="dxa"/>
          </w:tblCellMar>
        </w:tblPrEx>
        <w:trPr>
          <w:trHeight w:val="23" w:hRule="atLeast"/>
          <w:jc w:val="center"/>
        </w:trPr>
        <w:tc>
          <w:tcPr>
            <w:tcW w:w="546" w:type="dxa"/>
            <w:vMerge w:val="restart"/>
            <w:tcBorders>
              <w:top w:val="single" w:color="000000" w:sz="4" w:space="0"/>
              <w:left w:val="single" w:color="000000" w:sz="8" w:space="0"/>
              <w:bottom w:val="single" w:color="000000" w:sz="8" w:space="0"/>
              <w:right w:val="single" w:color="000000" w:sz="4" w:space="0"/>
            </w:tcBorders>
            <w:vAlign w:val="center"/>
          </w:tcPr>
          <w:p w14:paraId="1E3F223D">
            <w:pPr>
              <w:jc w:val="center"/>
              <w:rPr>
                <w:rFonts w:ascii="Times New Roman" w:eastAsia="仿宋"/>
                <w:szCs w:val="21"/>
              </w:rPr>
            </w:pPr>
            <w:r>
              <w:rPr>
                <w:rFonts w:ascii="Times New Roman" w:eastAsia="仿宋"/>
                <w:szCs w:val="21"/>
              </w:rPr>
              <w:t>13</w:t>
            </w:r>
          </w:p>
        </w:tc>
        <w:tc>
          <w:tcPr>
            <w:tcW w:w="597" w:type="dxa"/>
            <w:vMerge w:val="restart"/>
            <w:tcBorders>
              <w:top w:val="single" w:color="000000" w:sz="4" w:space="0"/>
              <w:left w:val="single" w:color="000000" w:sz="4" w:space="0"/>
              <w:bottom w:val="single" w:color="000000" w:sz="8" w:space="0"/>
              <w:right w:val="single" w:color="000000" w:sz="4" w:space="0"/>
            </w:tcBorders>
            <w:vAlign w:val="center"/>
          </w:tcPr>
          <w:p w14:paraId="61046EB0">
            <w:pPr>
              <w:jc w:val="center"/>
              <w:rPr>
                <w:rFonts w:ascii="Times New Roman" w:eastAsia="仿宋"/>
                <w:szCs w:val="21"/>
              </w:rPr>
            </w:pPr>
            <w:r>
              <w:rPr>
                <w:rFonts w:hint="eastAsia" w:ascii="Times New Roman" w:eastAsia="仿宋"/>
                <w:szCs w:val="21"/>
              </w:rPr>
              <w:t>资源和能源消耗指标</w:t>
            </w:r>
          </w:p>
        </w:tc>
        <w:tc>
          <w:tcPr>
            <w:tcW w:w="554" w:type="dxa"/>
            <w:vMerge w:val="restart"/>
            <w:tcBorders>
              <w:top w:val="single" w:color="000000" w:sz="4" w:space="0"/>
              <w:left w:val="single" w:color="000000" w:sz="4" w:space="0"/>
              <w:bottom w:val="single" w:color="000000" w:sz="8" w:space="0"/>
              <w:right w:val="single" w:color="000000" w:sz="4" w:space="0"/>
            </w:tcBorders>
            <w:vAlign w:val="center"/>
          </w:tcPr>
          <w:p w14:paraId="54212918">
            <w:pPr>
              <w:jc w:val="center"/>
              <w:rPr>
                <w:rFonts w:ascii="Times New Roman" w:eastAsia="仿宋"/>
                <w:szCs w:val="21"/>
              </w:rPr>
            </w:pPr>
            <w:r>
              <w:rPr>
                <w:rFonts w:ascii="Times New Roman" w:eastAsia="仿宋"/>
                <w:szCs w:val="21"/>
              </w:rPr>
              <w:t>0.1</w:t>
            </w:r>
          </w:p>
        </w:tc>
        <w:tc>
          <w:tcPr>
            <w:tcW w:w="1817" w:type="dxa"/>
            <w:gridSpan w:val="3"/>
            <w:tcBorders>
              <w:top w:val="single" w:color="000000" w:sz="4" w:space="0"/>
              <w:left w:val="single" w:color="000000" w:sz="4" w:space="0"/>
              <w:bottom w:val="single" w:color="000000" w:sz="4" w:space="0"/>
              <w:right w:val="single" w:color="000000" w:sz="4" w:space="0"/>
            </w:tcBorders>
            <w:vAlign w:val="center"/>
          </w:tcPr>
          <w:p w14:paraId="68A73163">
            <w:pPr>
              <w:jc w:val="center"/>
              <w:rPr>
                <w:rFonts w:ascii="Times New Roman" w:eastAsia="仿宋"/>
                <w:szCs w:val="21"/>
              </w:rPr>
            </w:pPr>
            <w:r>
              <w:rPr>
                <w:rFonts w:hint="eastAsia" w:ascii="Times New Roman" w:eastAsia="仿宋"/>
                <w:szCs w:val="21"/>
              </w:rPr>
              <w:t>单位面积取水量</w:t>
            </w:r>
            <w:r>
              <w:rPr>
                <w:rFonts w:ascii="Times New Roman" w:eastAsia="仿宋"/>
                <w:szCs w:val="21"/>
              </w:rPr>
              <w:t>*</w:t>
            </w:r>
          </w:p>
        </w:tc>
        <w:tc>
          <w:tcPr>
            <w:tcW w:w="976" w:type="dxa"/>
            <w:tcBorders>
              <w:top w:val="single" w:color="000000" w:sz="4" w:space="0"/>
              <w:left w:val="single" w:color="000000" w:sz="4" w:space="0"/>
              <w:bottom w:val="single" w:color="000000" w:sz="4" w:space="0"/>
              <w:right w:val="single" w:color="000000" w:sz="4" w:space="0"/>
            </w:tcBorders>
            <w:vAlign w:val="center"/>
          </w:tcPr>
          <w:p w14:paraId="274020E6">
            <w:pPr>
              <w:jc w:val="center"/>
              <w:rPr>
                <w:rFonts w:ascii="Times New Roman" w:eastAsia="仿宋"/>
                <w:szCs w:val="21"/>
              </w:rPr>
            </w:pPr>
            <w:r>
              <w:rPr>
                <w:rFonts w:ascii="Times New Roman" w:eastAsia="仿宋"/>
                <w:szCs w:val="21"/>
              </w:rPr>
              <w:t>l/m</w:t>
            </w:r>
            <w:r>
              <w:rPr>
                <w:rFonts w:ascii="Times New Roman" w:eastAsia="仿宋"/>
                <w:szCs w:val="21"/>
                <w:vertAlign w:val="superscript"/>
              </w:rPr>
              <w:t>2</w:t>
            </w:r>
          </w:p>
        </w:tc>
        <w:tc>
          <w:tcPr>
            <w:tcW w:w="636" w:type="dxa"/>
            <w:tcBorders>
              <w:top w:val="single" w:color="000000" w:sz="4" w:space="0"/>
              <w:left w:val="single" w:color="000000" w:sz="4" w:space="0"/>
              <w:bottom w:val="single" w:color="000000" w:sz="4" w:space="0"/>
              <w:right w:val="single" w:color="000000" w:sz="4" w:space="0"/>
            </w:tcBorders>
            <w:vAlign w:val="center"/>
          </w:tcPr>
          <w:p w14:paraId="6D13F442">
            <w:pPr>
              <w:jc w:val="center"/>
              <w:rPr>
                <w:rFonts w:ascii="Times New Roman" w:eastAsia="仿宋"/>
                <w:szCs w:val="21"/>
              </w:rPr>
            </w:pPr>
            <w:r>
              <w:rPr>
                <w:rFonts w:ascii="Times New Roman" w:eastAsia="仿宋"/>
                <w:szCs w:val="21"/>
              </w:rPr>
              <w:t>0.3</w:t>
            </w:r>
          </w:p>
        </w:tc>
        <w:tc>
          <w:tcPr>
            <w:tcW w:w="1922" w:type="dxa"/>
            <w:tcBorders>
              <w:top w:val="single" w:color="000000" w:sz="4" w:space="0"/>
              <w:left w:val="single" w:color="000000" w:sz="4" w:space="0"/>
              <w:bottom w:val="single" w:color="000000" w:sz="4" w:space="0"/>
              <w:right w:val="single" w:color="000000" w:sz="4" w:space="0"/>
            </w:tcBorders>
            <w:vAlign w:val="center"/>
          </w:tcPr>
          <w:p w14:paraId="5AA79F94">
            <w:pPr>
              <w:jc w:val="center"/>
              <w:rPr>
                <w:rFonts w:ascii="Times New Roman" w:eastAsia="仿宋"/>
                <w:szCs w:val="21"/>
              </w:rPr>
            </w:pPr>
            <w:r>
              <w:rPr>
                <w:rFonts w:ascii="Times New Roman" w:eastAsia="仿宋"/>
                <w:szCs w:val="21"/>
              </w:rPr>
              <w:t>≤2.5</w:t>
            </w:r>
          </w:p>
        </w:tc>
        <w:tc>
          <w:tcPr>
            <w:tcW w:w="1388" w:type="dxa"/>
            <w:tcBorders>
              <w:top w:val="single" w:color="000000" w:sz="4" w:space="0"/>
              <w:left w:val="single" w:color="000000" w:sz="4" w:space="0"/>
              <w:bottom w:val="single" w:color="000000" w:sz="4" w:space="0"/>
              <w:right w:val="single" w:color="000000" w:sz="4" w:space="0"/>
            </w:tcBorders>
            <w:vAlign w:val="center"/>
          </w:tcPr>
          <w:p w14:paraId="530C0337">
            <w:pPr>
              <w:jc w:val="center"/>
              <w:rPr>
                <w:rFonts w:ascii="Times New Roman" w:eastAsia="仿宋"/>
                <w:szCs w:val="21"/>
              </w:rPr>
            </w:pPr>
            <w:r>
              <w:rPr>
                <w:rFonts w:ascii="Times New Roman" w:eastAsia="仿宋"/>
                <w:szCs w:val="21"/>
              </w:rPr>
              <w:t>≤3.2</w:t>
            </w:r>
          </w:p>
        </w:tc>
        <w:tc>
          <w:tcPr>
            <w:tcW w:w="1760" w:type="dxa"/>
            <w:tcBorders>
              <w:top w:val="single" w:color="000000" w:sz="4" w:space="0"/>
              <w:left w:val="single" w:color="000000" w:sz="4" w:space="0"/>
              <w:bottom w:val="single" w:color="000000" w:sz="4" w:space="0"/>
              <w:right w:val="single" w:color="000000" w:sz="8" w:space="0"/>
            </w:tcBorders>
            <w:vAlign w:val="center"/>
          </w:tcPr>
          <w:p w14:paraId="723801B8">
            <w:pPr>
              <w:jc w:val="center"/>
              <w:rPr>
                <w:rFonts w:ascii="Times New Roman" w:eastAsia="仿宋"/>
                <w:szCs w:val="21"/>
              </w:rPr>
            </w:pPr>
            <w:r>
              <w:rPr>
                <w:rFonts w:ascii="Times New Roman" w:eastAsia="仿宋"/>
                <w:szCs w:val="21"/>
              </w:rPr>
              <w:t>≤5</w:t>
            </w:r>
          </w:p>
        </w:tc>
        <w:tc>
          <w:tcPr>
            <w:tcW w:w="2201" w:type="dxa"/>
            <w:tcBorders>
              <w:top w:val="single" w:color="000000" w:sz="4" w:space="0"/>
              <w:left w:val="single" w:color="000000" w:sz="4" w:space="0"/>
              <w:bottom w:val="single" w:color="000000" w:sz="4" w:space="0"/>
              <w:right w:val="single" w:color="000000" w:sz="8" w:space="0"/>
            </w:tcBorders>
            <w:vAlign w:val="center"/>
          </w:tcPr>
          <w:p w14:paraId="2A97E9BD">
            <w:pPr>
              <w:jc w:val="center"/>
              <w:rPr>
                <w:rFonts w:ascii="Times New Roman" w:eastAsia="仿宋"/>
                <w:szCs w:val="21"/>
              </w:rPr>
            </w:pPr>
            <w:r>
              <w:rPr>
                <w:rFonts w:ascii="Times New Roman" w:eastAsia="仿宋"/>
                <w:szCs w:val="21"/>
              </w:rPr>
              <w:t>0.0</w:t>
            </w:r>
            <w:r>
              <w:rPr>
                <w:rFonts w:hint="eastAsia" w:ascii="Times New Roman" w:eastAsia="仿宋"/>
                <w:szCs w:val="21"/>
              </w:rPr>
              <w:t>04①</w:t>
            </w:r>
          </w:p>
        </w:tc>
        <w:tc>
          <w:tcPr>
            <w:tcW w:w="796" w:type="dxa"/>
            <w:tcBorders>
              <w:top w:val="single" w:color="000000" w:sz="4" w:space="0"/>
              <w:left w:val="single" w:color="000000" w:sz="4" w:space="0"/>
              <w:bottom w:val="single" w:color="000000" w:sz="4" w:space="0"/>
              <w:right w:val="single" w:color="000000" w:sz="8" w:space="0"/>
            </w:tcBorders>
            <w:vAlign w:val="center"/>
          </w:tcPr>
          <w:p w14:paraId="164B07B2">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409BC30E">
        <w:tblPrEx>
          <w:tblCellMar>
            <w:top w:w="0" w:type="dxa"/>
            <w:left w:w="108" w:type="dxa"/>
            <w:bottom w:w="0" w:type="dxa"/>
            <w:right w:w="108" w:type="dxa"/>
          </w:tblCellMar>
        </w:tblPrEx>
        <w:trPr>
          <w:trHeight w:val="23" w:hRule="atLeast"/>
          <w:jc w:val="center"/>
        </w:trPr>
        <w:tc>
          <w:tcPr>
            <w:tcW w:w="546" w:type="dxa"/>
            <w:vMerge w:val="continue"/>
            <w:tcBorders>
              <w:top w:val="single" w:color="000000" w:sz="4" w:space="0"/>
              <w:left w:val="single" w:color="000000" w:sz="8" w:space="0"/>
              <w:bottom w:val="single" w:color="000000" w:sz="8" w:space="0"/>
              <w:right w:val="single" w:color="000000" w:sz="4" w:space="0"/>
            </w:tcBorders>
            <w:vAlign w:val="center"/>
          </w:tcPr>
          <w:p w14:paraId="5F599F35">
            <w:pPr>
              <w:jc w:val="center"/>
              <w:rPr>
                <w:rFonts w:ascii="Times New Roman" w:eastAsia="仿宋"/>
                <w:szCs w:val="21"/>
              </w:rPr>
            </w:pPr>
          </w:p>
        </w:tc>
        <w:tc>
          <w:tcPr>
            <w:tcW w:w="597" w:type="dxa"/>
            <w:vMerge w:val="continue"/>
            <w:tcBorders>
              <w:top w:val="single" w:color="000000" w:sz="4" w:space="0"/>
              <w:left w:val="single" w:color="000000" w:sz="4" w:space="0"/>
              <w:bottom w:val="single" w:color="000000" w:sz="8" w:space="0"/>
              <w:right w:val="single" w:color="000000" w:sz="4" w:space="0"/>
            </w:tcBorders>
            <w:vAlign w:val="center"/>
          </w:tcPr>
          <w:p w14:paraId="332849A7">
            <w:pPr>
              <w:jc w:val="center"/>
              <w:rPr>
                <w:rFonts w:ascii="Times New Roman" w:eastAsia="仿宋"/>
                <w:szCs w:val="21"/>
              </w:rPr>
            </w:pPr>
          </w:p>
        </w:tc>
        <w:tc>
          <w:tcPr>
            <w:tcW w:w="554" w:type="dxa"/>
            <w:vMerge w:val="continue"/>
            <w:tcBorders>
              <w:top w:val="single" w:color="000000" w:sz="4" w:space="0"/>
              <w:left w:val="single" w:color="000000" w:sz="4" w:space="0"/>
              <w:bottom w:val="single" w:color="000000" w:sz="8" w:space="0"/>
              <w:right w:val="single" w:color="000000" w:sz="4" w:space="0"/>
            </w:tcBorders>
            <w:vAlign w:val="center"/>
          </w:tcPr>
          <w:p w14:paraId="56A199BF">
            <w:pPr>
              <w:jc w:val="center"/>
              <w:rPr>
                <w:rFonts w:ascii="Times New Roman" w:eastAsia="仿宋"/>
                <w:szCs w:val="21"/>
              </w:rPr>
            </w:pPr>
          </w:p>
        </w:tc>
        <w:tc>
          <w:tcPr>
            <w:tcW w:w="1817" w:type="dxa"/>
            <w:gridSpan w:val="3"/>
            <w:tcBorders>
              <w:top w:val="single" w:color="000000" w:sz="4" w:space="0"/>
              <w:left w:val="single" w:color="000000" w:sz="4" w:space="0"/>
              <w:bottom w:val="single" w:color="000000" w:sz="4" w:space="0"/>
              <w:right w:val="single" w:color="000000" w:sz="4" w:space="0"/>
            </w:tcBorders>
            <w:vAlign w:val="center"/>
          </w:tcPr>
          <w:p w14:paraId="49918E7B">
            <w:pPr>
              <w:widowControl/>
              <w:jc w:val="center"/>
              <w:textAlignment w:val="top"/>
              <w:rPr>
                <w:rFonts w:ascii="Times New Roman" w:eastAsia="仿宋"/>
                <w:szCs w:val="21"/>
              </w:rPr>
            </w:pPr>
            <w:r>
              <w:rPr>
                <w:rFonts w:hint="eastAsia" w:ascii="Times New Roman" w:eastAsia="仿宋"/>
                <w:szCs w:val="21"/>
              </w:rPr>
              <w:t>单位面积综合耗能</w:t>
            </w:r>
            <w:r>
              <w:rPr>
                <w:rFonts w:ascii="Times New Roman" w:eastAsia="仿宋"/>
                <w:szCs w:val="21"/>
              </w:rPr>
              <w:t>*</w:t>
            </w:r>
          </w:p>
        </w:tc>
        <w:tc>
          <w:tcPr>
            <w:tcW w:w="976" w:type="dxa"/>
            <w:tcBorders>
              <w:top w:val="single" w:color="000000" w:sz="4" w:space="0"/>
              <w:left w:val="single" w:color="000000" w:sz="4" w:space="0"/>
              <w:bottom w:val="single" w:color="000000" w:sz="4" w:space="0"/>
              <w:right w:val="single" w:color="000000" w:sz="4" w:space="0"/>
            </w:tcBorders>
            <w:vAlign w:val="center"/>
          </w:tcPr>
          <w:p w14:paraId="593EDDB5">
            <w:pPr>
              <w:widowControl/>
              <w:jc w:val="center"/>
              <w:textAlignment w:val="top"/>
              <w:rPr>
                <w:rFonts w:ascii="Times New Roman" w:eastAsia="仿宋"/>
                <w:szCs w:val="21"/>
              </w:rPr>
            </w:pPr>
            <w:r>
              <w:rPr>
                <w:rFonts w:ascii="Times New Roman" w:eastAsia="仿宋"/>
                <w:szCs w:val="21"/>
              </w:rPr>
              <w:t>kgce/m</w:t>
            </w:r>
            <w:r>
              <w:rPr>
                <w:rFonts w:ascii="Times New Roman" w:eastAsia="仿宋"/>
                <w:szCs w:val="21"/>
                <w:vertAlign w:val="superscript"/>
              </w:rPr>
              <w:t>2</w:t>
            </w:r>
          </w:p>
        </w:tc>
        <w:tc>
          <w:tcPr>
            <w:tcW w:w="636" w:type="dxa"/>
            <w:vMerge w:val="restart"/>
            <w:tcBorders>
              <w:top w:val="single" w:color="000000" w:sz="4" w:space="0"/>
              <w:left w:val="single" w:color="000000" w:sz="4" w:space="0"/>
              <w:bottom w:val="single" w:color="000000" w:sz="8" w:space="0"/>
              <w:right w:val="single" w:color="000000" w:sz="4" w:space="0"/>
            </w:tcBorders>
            <w:vAlign w:val="center"/>
          </w:tcPr>
          <w:p w14:paraId="1093B218">
            <w:pPr>
              <w:widowControl/>
              <w:jc w:val="center"/>
              <w:textAlignment w:val="top"/>
              <w:rPr>
                <w:rFonts w:ascii="Times New Roman" w:eastAsia="仿宋"/>
                <w:szCs w:val="21"/>
              </w:rPr>
            </w:pPr>
            <w:r>
              <w:rPr>
                <w:rFonts w:ascii="Times New Roman" w:eastAsia="仿宋"/>
                <w:szCs w:val="21"/>
              </w:rPr>
              <w:t>0.7</w:t>
            </w:r>
          </w:p>
        </w:tc>
        <w:tc>
          <w:tcPr>
            <w:tcW w:w="1922" w:type="dxa"/>
            <w:tcBorders>
              <w:top w:val="single" w:color="000000" w:sz="4" w:space="0"/>
              <w:left w:val="single" w:color="000000" w:sz="4" w:space="0"/>
              <w:bottom w:val="single" w:color="000000" w:sz="4" w:space="0"/>
              <w:right w:val="single" w:color="000000" w:sz="4" w:space="0"/>
            </w:tcBorders>
            <w:vAlign w:val="center"/>
          </w:tcPr>
          <w:p w14:paraId="2CFAAC7A">
            <w:pPr>
              <w:widowControl/>
              <w:jc w:val="center"/>
              <w:textAlignment w:val="top"/>
              <w:rPr>
                <w:rFonts w:ascii="Times New Roman" w:eastAsia="仿宋"/>
                <w:szCs w:val="21"/>
              </w:rPr>
            </w:pPr>
            <w:r>
              <w:rPr>
                <w:rFonts w:ascii="Times New Roman" w:eastAsia="仿宋"/>
                <w:szCs w:val="21"/>
              </w:rPr>
              <w:t>≤1.26</w:t>
            </w:r>
          </w:p>
        </w:tc>
        <w:tc>
          <w:tcPr>
            <w:tcW w:w="1388" w:type="dxa"/>
            <w:tcBorders>
              <w:top w:val="single" w:color="000000" w:sz="4" w:space="0"/>
              <w:left w:val="single" w:color="000000" w:sz="4" w:space="0"/>
              <w:bottom w:val="single" w:color="000000" w:sz="4" w:space="0"/>
              <w:right w:val="single" w:color="000000" w:sz="4" w:space="0"/>
            </w:tcBorders>
            <w:vAlign w:val="center"/>
          </w:tcPr>
          <w:p w14:paraId="3D33E42D">
            <w:pPr>
              <w:widowControl/>
              <w:jc w:val="center"/>
              <w:textAlignment w:val="top"/>
              <w:rPr>
                <w:rFonts w:ascii="Times New Roman" w:eastAsia="仿宋"/>
                <w:szCs w:val="21"/>
              </w:rPr>
            </w:pPr>
            <w:r>
              <w:rPr>
                <w:rFonts w:ascii="Times New Roman" w:eastAsia="仿宋"/>
                <w:szCs w:val="21"/>
              </w:rPr>
              <w:t>≤1.32</w:t>
            </w:r>
          </w:p>
        </w:tc>
        <w:tc>
          <w:tcPr>
            <w:tcW w:w="1760" w:type="dxa"/>
            <w:tcBorders>
              <w:top w:val="single" w:color="000000" w:sz="4" w:space="0"/>
              <w:left w:val="single" w:color="000000" w:sz="4" w:space="0"/>
              <w:bottom w:val="single" w:color="000000" w:sz="4" w:space="0"/>
              <w:right w:val="single" w:color="000000" w:sz="8" w:space="0"/>
            </w:tcBorders>
            <w:vAlign w:val="center"/>
          </w:tcPr>
          <w:p w14:paraId="0F7C7459">
            <w:pPr>
              <w:widowControl/>
              <w:jc w:val="center"/>
              <w:textAlignment w:val="top"/>
              <w:rPr>
                <w:rFonts w:ascii="Times New Roman" w:eastAsia="仿宋"/>
                <w:szCs w:val="21"/>
              </w:rPr>
            </w:pPr>
            <w:r>
              <w:rPr>
                <w:rFonts w:ascii="Times New Roman" w:eastAsia="仿宋"/>
                <w:szCs w:val="21"/>
              </w:rPr>
              <w:t>≤1.43</w:t>
            </w:r>
          </w:p>
        </w:tc>
        <w:tc>
          <w:tcPr>
            <w:tcW w:w="2201" w:type="dxa"/>
            <w:tcBorders>
              <w:top w:val="single" w:color="000000" w:sz="4" w:space="0"/>
              <w:left w:val="single" w:color="000000" w:sz="4" w:space="0"/>
              <w:bottom w:val="single" w:color="000000" w:sz="4" w:space="0"/>
              <w:right w:val="single" w:color="000000" w:sz="8" w:space="0"/>
            </w:tcBorders>
            <w:vAlign w:val="center"/>
          </w:tcPr>
          <w:p w14:paraId="39636790">
            <w:pPr>
              <w:widowControl/>
              <w:jc w:val="center"/>
              <w:textAlignment w:val="top"/>
              <w:rPr>
                <w:rFonts w:ascii="Times New Roman" w:eastAsia="仿宋"/>
                <w:szCs w:val="21"/>
              </w:rPr>
            </w:pPr>
            <w:r>
              <w:rPr>
                <w:rFonts w:ascii="Times New Roman" w:eastAsia="仿宋"/>
                <w:szCs w:val="21"/>
              </w:rPr>
              <w:t>0.72</w:t>
            </w:r>
            <w:r>
              <w:rPr>
                <w:rFonts w:hint="eastAsia" w:ascii="Times New Roman" w:eastAsia="仿宋"/>
                <w:szCs w:val="21"/>
              </w:rPr>
              <w:t>②</w:t>
            </w:r>
          </w:p>
        </w:tc>
        <w:tc>
          <w:tcPr>
            <w:tcW w:w="796" w:type="dxa"/>
            <w:tcBorders>
              <w:top w:val="single" w:color="000000" w:sz="4" w:space="0"/>
              <w:left w:val="single" w:color="000000" w:sz="4" w:space="0"/>
              <w:bottom w:val="single" w:color="000000" w:sz="4" w:space="0"/>
              <w:right w:val="single" w:color="000000" w:sz="8" w:space="0"/>
            </w:tcBorders>
            <w:vAlign w:val="center"/>
          </w:tcPr>
          <w:p w14:paraId="64CAC0AC">
            <w:pPr>
              <w:widowControl/>
              <w:jc w:val="center"/>
              <w:textAlignment w:val="top"/>
              <w:rPr>
                <w:rFonts w:ascii="Times New Roman" w:eastAsia="仿宋"/>
                <w:szCs w:val="21"/>
              </w:rPr>
            </w:pPr>
            <w:r>
              <w:rPr>
                <w:rFonts w:ascii="Times New Roman" w:eastAsia="仿宋"/>
                <w:szCs w:val="21"/>
              </w:rPr>
              <w:t>I</w:t>
            </w:r>
            <w:r>
              <w:rPr>
                <w:rFonts w:hint="eastAsia" w:ascii="Times New Roman" w:eastAsia="仿宋"/>
                <w:szCs w:val="21"/>
              </w:rPr>
              <w:t>级</w:t>
            </w:r>
          </w:p>
        </w:tc>
      </w:tr>
      <w:tr w14:paraId="0A79EEC6">
        <w:tblPrEx>
          <w:tblCellMar>
            <w:top w:w="0" w:type="dxa"/>
            <w:left w:w="108" w:type="dxa"/>
            <w:bottom w:w="0" w:type="dxa"/>
            <w:right w:w="108" w:type="dxa"/>
          </w:tblCellMar>
        </w:tblPrEx>
        <w:trPr>
          <w:trHeight w:val="23" w:hRule="atLeast"/>
          <w:jc w:val="center"/>
        </w:trPr>
        <w:tc>
          <w:tcPr>
            <w:tcW w:w="546" w:type="dxa"/>
            <w:vMerge w:val="continue"/>
            <w:tcBorders>
              <w:top w:val="single" w:color="000000" w:sz="4" w:space="0"/>
              <w:left w:val="single" w:color="000000" w:sz="8" w:space="0"/>
              <w:bottom w:val="single" w:color="000000" w:sz="8" w:space="0"/>
              <w:right w:val="single" w:color="000000" w:sz="4" w:space="0"/>
            </w:tcBorders>
            <w:vAlign w:val="center"/>
          </w:tcPr>
          <w:p w14:paraId="31CEFC85">
            <w:pPr>
              <w:jc w:val="center"/>
              <w:rPr>
                <w:rFonts w:ascii="Times New Roman" w:eastAsia="仿宋"/>
                <w:szCs w:val="21"/>
              </w:rPr>
            </w:pPr>
          </w:p>
        </w:tc>
        <w:tc>
          <w:tcPr>
            <w:tcW w:w="597" w:type="dxa"/>
            <w:vMerge w:val="continue"/>
            <w:tcBorders>
              <w:top w:val="single" w:color="000000" w:sz="4" w:space="0"/>
              <w:left w:val="single" w:color="000000" w:sz="4" w:space="0"/>
              <w:bottom w:val="single" w:color="000000" w:sz="8" w:space="0"/>
              <w:right w:val="single" w:color="000000" w:sz="4" w:space="0"/>
            </w:tcBorders>
            <w:vAlign w:val="center"/>
          </w:tcPr>
          <w:p w14:paraId="00232D97">
            <w:pPr>
              <w:jc w:val="center"/>
              <w:rPr>
                <w:rFonts w:ascii="Times New Roman" w:eastAsia="仿宋"/>
                <w:szCs w:val="21"/>
              </w:rPr>
            </w:pPr>
          </w:p>
        </w:tc>
        <w:tc>
          <w:tcPr>
            <w:tcW w:w="554" w:type="dxa"/>
            <w:vMerge w:val="continue"/>
            <w:tcBorders>
              <w:top w:val="single" w:color="000000" w:sz="4" w:space="0"/>
              <w:left w:val="single" w:color="000000" w:sz="4" w:space="0"/>
              <w:bottom w:val="single" w:color="000000" w:sz="8" w:space="0"/>
              <w:right w:val="single" w:color="000000" w:sz="4" w:space="0"/>
            </w:tcBorders>
            <w:vAlign w:val="center"/>
          </w:tcPr>
          <w:p w14:paraId="0E974738">
            <w:pPr>
              <w:jc w:val="center"/>
              <w:rPr>
                <w:rFonts w:ascii="Times New Roman" w:eastAsia="仿宋"/>
                <w:szCs w:val="21"/>
              </w:rPr>
            </w:pPr>
          </w:p>
        </w:tc>
        <w:tc>
          <w:tcPr>
            <w:tcW w:w="1817" w:type="dxa"/>
            <w:gridSpan w:val="3"/>
            <w:tcBorders>
              <w:top w:val="single" w:color="000000" w:sz="4" w:space="0"/>
              <w:left w:val="single" w:color="000000" w:sz="4" w:space="0"/>
              <w:bottom w:val="single" w:color="000000" w:sz="8" w:space="0"/>
              <w:right w:val="single" w:color="000000" w:sz="4" w:space="0"/>
            </w:tcBorders>
            <w:vAlign w:val="center"/>
          </w:tcPr>
          <w:p w14:paraId="5FEC06BE">
            <w:pPr>
              <w:widowControl/>
              <w:jc w:val="center"/>
              <w:textAlignment w:val="top"/>
              <w:rPr>
                <w:rFonts w:ascii="Times New Roman" w:eastAsia="仿宋"/>
                <w:szCs w:val="21"/>
              </w:rPr>
            </w:pPr>
            <w:r>
              <w:rPr>
                <w:rFonts w:hint="eastAsia" w:ascii="Times New Roman" w:eastAsia="仿宋"/>
                <w:szCs w:val="21"/>
              </w:rPr>
              <w:t>单位重量综合耗能</w:t>
            </w:r>
            <w:r>
              <w:rPr>
                <w:rFonts w:ascii="Times New Roman" w:eastAsia="仿宋"/>
                <w:szCs w:val="21"/>
              </w:rPr>
              <w:t>*</w:t>
            </w:r>
          </w:p>
        </w:tc>
        <w:tc>
          <w:tcPr>
            <w:tcW w:w="976" w:type="dxa"/>
            <w:tcBorders>
              <w:top w:val="single" w:color="000000" w:sz="4" w:space="0"/>
              <w:left w:val="single" w:color="000000" w:sz="4" w:space="0"/>
              <w:bottom w:val="single" w:color="000000" w:sz="8" w:space="0"/>
              <w:right w:val="single" w:color="000000" w:sz="4" w:space="0"/>
            </w:tcBorders>
            <w:vAlign w:val="center"/>
          </w:tcPr>
          <w:p w14:paraId="68B098C1">
            <w:pPr>
              <w:widowControl/>
              <w:jc w:val="center"/>
              <w:textAlignment w:val="top"/>
              <w:rPr>
                <w:rFonts w:ascii="Times New Roman" w:eastAsia="仿宋"/>
                <w:szCs w:val="21"/>
              </w:rPr>
            </w:pPr>
            <w:r>
              <w:rPr>
                <w:rFonts w:ascii="Times New Roman" w:eastAsia="仿宋"/>
                <w:szCs w:val="21"/>
              </w:rPr>
              <w:t>kgce/kg</w:t>
            </w:r>
          </w:p>
        </w:tc>
        <w:tc>
          <w:tcPr>
            <w:tcW w:w="636" w:type="dxa"/>
            <w:vMerge w:val="continue"/>
            <w:tcBorders>
              <w:top w:val="single" w:color="000000" w:sz="4" w:space="0"/>
              <w:left w:val="single" w:color="000000" w:sz="4" w:space="0"/>
              <w:bottom w:val="single" w:color="000000" w:sz="8" w:space="0"/>
              <w:right w:val="single" w:color="000000" w:sz="4" w:space="0"/>
            </w:tcBorders>
            <w:vAlign w:val="center"/>
          </w:tcPr>
          <w:p w14:paraId="118AFF53">
            <w:pPr>
              <w:jc w:val="center"/>
              <w:rPr>
                <w:rFonts w:ascii="Times New Roman" w:eastAsia="仿宋"/>
                <w:szCs w:val="21"/>
              </w:rPr>
            </w:pPr>
          </w:p>
        </w:tc>
        <w:tc>
          <w:tcPr>
            <w:tcW w:w="1922" w:type="dxa"/>
            <w:tcBorders>
              <w:top w:val="single" w:color="000000" w:sz="4" w:space="0"/>
              <w:left w:val="single" w:color="000000" w:sz="4" w:space="0"/>
              <w:bottom w:val="single" w:color="000000" w:sz="8" w:space="0"/>
              <w:right w:val="single" w:color="000000" w:sz="4" w:space="0"/>
            </w:tcBorders>
            <w:vAlign w:val="center"/>
          </w:tcPr>
          <w:p w14:paraId="1F7DBA78">
            <w:pPr>
              <w:widowControl/>
              <w:jc w:val="center"/>
              <w:textAlignment w:val="top"/>
              <w:rPr>
                <w:rFonts w:ascii="Times New Roman" w:eastAsia="仿宋"/>
                <w:szCs w:val="21"/>
              </w:rPr>
            </w:pPr>
            <w:r>
              <w:rPr>
                <w:rFonts w:ascii="Times New Roman" w:eastAsia="仿宋"/>
                <w:szCs w:val="21"/>
              </w:rPr>
              <w:t>≤0.23</w:t>
            </w:r>
          </w:p>
        </w:tc>
        <w:tc>
          <w:tcPr>
            <w:tcW w:w="1388" w:type="dxa"/>
            <w:tcBorders>
              <w:top w:val="single" w:color="000000" w:sz="4" w:space="0"/>
              <w:left w:val="single" w:color="000000" w:sz="4" w:space="0"/>
              <w:bottom w:val="single" w:color="000000" w:sz="8" w:space="0"/>
              <w:right w:val="single" w:color="000000" w:sz="4" w:space="0"/>
            </w:tcBorders>
            <w:vAlign w:val="center"/>
          </w:tcPr>
          <w:p w14:paraId="48400E08">
            <w:pPr>
              <w:widowControl/>
              <w:jc w:val="center"/>
              <w:textAlignment w:val="top"/>
              <w:rPr>
                <w:rFonts w:ascii="Times New Roman" w:eastAsia="仿宋"/>
                <w:szCs w:val="21"/>
              </w:rPr>
            </w:pPr>
            <w:r>
              <w:rPr>
                <w:rFonts w:ascii="Times New Roman" w:eastAsia="仿宋"/>
                <w:szCs w:val="21"/>
              </w:rPr>
              <w:t>≤0.26</w:t>
            </w:r>
          </w:p>
        </w:tc>
        <w:tc>
          <w:tcPr>
            <w:tcW w:w="1760" w:type="dxa"/>
            <w:tcBorders>
              <w:top w:val="single" w:color="000000" w:sz="4" w:space="0"/>
              <w:left w:val="single" w:color="000000" w:sz="4" w:space="0"/>
              <w:bottom w:val="single" w:color="000000" w:sz="8" w:space="0"/>
              <w:right w:val="single" w:color="000000" w:sz="8" w:space="0"/>
            </w:tcBorders>
            <w:vAlign w:val="center"/>
          </w:tcPr>
          <w:p w14:paraId="014B0E02">
            <w:pPr>
              <w:widowControl/>
              <w:jc w:val="center"/>
              <w:textAlignment w:val="top"/>
              <w:rPr>
                <w:rFonts w:ascii="Times New Roman" w:eastAsia="仿宋"/>
                <w:szCs w:val="21"/>
              </w:rPr>
            </w:pPr>
            <w:r>
              <w:rPr>
                <w:rFonts w:ascii="Times New Roman" w:eastAsia="仿宋"/>
                <w:szCs w:val="21"/>
              </w:rPr>
              <w:t>≤0.31</w:t>
            </w:r>
          </w:p>
        </w:tc>
        <w:tc>
          <w:tcPr>
            <w:tcW w:w="2201" w:type="dxa"/>
            <w:tcBorders>
              <w:top w:val="single" w:color="000000" w:sz="4" w:space="0"/>
              <w:left w:val="single" w:color="000000" w:sz="4" w:space="0"/>
              <w:bottom w:val="single" w:color="000000" w:sz="8" w:space="0"/>
              <w:right w:val="single" w:color="000000" w:sz="8" w:space="0"/>
            </w:tcBorders>
            <w:vAlign w:val="center"/>
          </w:tcPr>
          <w:p w14:paraId="40B44DEB">
            <w:pPr>
              <w:widowControl/>
              <w:jc w:val="center"/>
              <w:textAlignment w:val="top"/>
              <w:rPr>
                <w:rFonts w:ascii="Times New Roman" w:eastAsia="仿宋"/>
                <w:szCs w:val="21"/>
              </w:rPr>
            </w:pPr>
            <w:r>
              <w:rPr>
                <w:rFonts w:ascii="Times New Roman" w:eastAsia="仿宋"/>
                <w:szCs w:val="21"/>
              </w:rPr>
              <w:t>/</w:t>
            </w:r>
          </w:p>
        </w:tc>
        <w:tc>
          <w:tcPr>
            <w:tcW w:w="796" w:type="dxa"/>
            <w:tcBorders>
              <w:top w:val="single" w:color="000000" w:sz="4" w:space="0"/>
              <w:left w:val="single" w:color="000000" w:sz="4" w:space="0"/>
              <w:bottom w:val="single" w:color="000000" w:sz="8" w:space="0"/>
              <w:right w:val="single" w:color="000000" w:sz="8" w:space="0"/>
            </w:tcBorders>
            <w:vAlign w:val="center"/>
          </w:tcPr>
          <w:p w14:paraId="083E29F0">
            <w:pPr>
              <w:widowControl/>
              <w:jc w:val="center"/>
              <w:textAlignment w:val="top"/>
              <w:rPr>
                <w:rFonts w:ascii="Times New Roman" w:eastAsia="仿宋"/>
                <w:szCs w:val="21"/>
              </w:rPr>
            </w:pPr>
            <w:r>
              <w:rPr>
                <w:rFonts w:ascii="Times New Roman" w:eastAsia="仿宋"/>
                <w:szCs w:val="21"/>
              </w:rPr>
              <w:t>/</w:t>
            </w:r>
          </w:p>
        </w:tc>
      </w:tr>
      <w:tr w14:paraId="6B3E1E09">
        <w:tblPrEx>
          <w:tblCellMar>
            <w:top w:w="0" w:type="dxa"/>
            <w:left w:w="108" w:type="dxa"/>
            <w:bottom w:w="0" w:type="dxa"/>
            <w:right w:w="108" w:type="dxa"/>
          </w:tblCellMar>
        </w:tblPrEx>
        <w:trPr>
          <w:trHeight w:val="23" w:hRule="atLeast"/>
          <w:jc w:val="center"/>
        </w:trPr>
        <w:tc>
          <w:tcPr>
            <w:tcW w:w="546" w:type="dxa"/>
            <w:vMerge w:val="restart"/>
            <w:tcBorders>
              <w:top w:val="single" w:color="000000" w:sz="4" w:space="0"/>
              <w:left w:val="single" w:color="000000" w:sz="8" w:space="0"/>
              <w:bottom w:val="single" w:color="000000" w:sz="4" w:space="0"/>
              <w:right w:val="single" w:color="000000" w:sz="4" w:space="0"/>
            </w:tcBorders>
            <w:vAlign w:val="center"/>
          </w:tcPr>
          <w:p w14:paraId="39DD2101">
            <w:pPr>
              <w:jc w:val="center"/>
              <w:rPr>
                <w:rFonts w:ascii="Times New Roman" w:eastAsia="仿宋"/>
                <w:szCs w:val="21"/>
              </w:rPr>
            </w:pPr>
            <w:r>
              <w:rPr>
                <w:rFonts w:ascii="Times New Roman" w:eastAsia="仿宋"/>
                <w:szCs w:val="21"/>
              </w:rPr>
              <w:t>14</w:t>
            </w:r>
          </w:p>
        </w:tc>
        <w:tc>
          <w:tcPr>
            <w:tcW w:w="597" w:type="dxa"/>
            <w:vMerge w:val="restart"/>
            <w:tcBorders>
              <w:top w:val="single" w:color="000000" w:sz="4" w:space="0"/>
              <w:left w:val="single" w:color="000000" w:sz="4" w:space="0"/>
              <w:bottom w:val="single" w:color="000000" w:sz="4" w:space="0"/>
              <w:right w:val="single" w:color="000000" w:sz="4" w:space="0"/>
            </w:tcBorders>
            <w:vAlign w:val="center"/>
          </w:tcPr>
          <w:p w14:paraId="50358245">
            <w:pPr>
              <w:jc w:val="center"/>
              <w:rPr>
                <w:rFonts w:ascii="Times New Roman" w:eastAsia="仿宋"/>
                <w:szCs w:val="21"/>
              </w:rPr>
            </w:pPr>
            <w:r>
              <w:rPr>
                <w:rFonts w:hint="eastAsia" w:ascii="Times New Roman" w:eastAsia="仿宋"/>
                <w:szCs w:val="21"/>
              </w:rPr>
              <w:t>污染物产生指标</w:t>
            </w:r>
          </w:p>
        </w:tc>
        <w:tc>
          <w:tcPr>
            <w:tcW w:w="554" w:type="dxa"/>
            <w:vMerge w:val="restart"/>
            <w:tcBorders>
              <w:top w:val="single" w:color="000000" w:sz="4" w:space="0"/>
              <w:left w:val="single" w:color="000000" w:sz="4" w:space="0"/>
              <w:bottom w:val="single" w:color="000000" w:sz="4" w:space="0"/>
              <w:right w:val="single" w:color="000000" w:sz="4" w:space="0"/>
            </w:tcBorders>
            <w:vAlign w:val="center"/>
          </w:tcPr>
          <w:p w14:paraId="21FF3F67">
            <w:pPr>
              <w:widowControl/>
              <w:jc w:val="center"/>
              <w:textAlignment w:val="top"/>
              <w:rPr>
                <w:rFonts w:ascii="Times New Roman" w:eastAsia="仿宋"/>
                <w:szCs w:val="21"/>
              </w:rPr>
            </w:pPr>
            <w:r>
              <w:rPr>
                <w:rFonts w:ascii="Times New Roman" w:eastAsia="仿宋"/>
                <w:szCs w:val="21"/>
              </w:rPr>
              <w:t>0.3</w:t>
            </w:r>
          </w:p>
        </w:tc>
        <w:tc>
          <w:tcPr>
            <w:tcW w:w="817" w:type="dxa"/>
            <w:vMerge w:val="restart"/>
            <w:tcBorders>
              <w:top w:val="single" w:color="000000" w:sz="4" w:space="0"/>
              <w:left w:val="single" w:color="000000" w:sz="4" w:space="0"/>
              <w:bottom w:val="single" w:color="000000" w:sz="4" w:space="0"/>
              <w:right w:val="single" w:color="000000" w:sz="4" w:space="0"/>
            </w:tcBorders>
            <w:vAlign w:val="center"/>
          </w:tcPr>
          <w:p w14:paraId="60912195">
            <w:pPr>
              <w:jc w:val="center"/>
              <w:rPr>
                <w:rFonts w:ascii="Times New Roman" w:eastAsia="仿宋"/>
                <w:szCs w:val="21"/>
              </w:rPr>
            </w:pPr>
            <w:r>
              <w:rPr>
                <w:rFonts w:hint="eastAsia" w:ascii="Times New Roman" w:eastAsia="仿宋"/>
                <w:szCs w:val="21"/>
              </w:rPr>
              <w:t>单位面积</w:t>
            </w:r>
            <w:r>
              <w:rPr>
                <w:rFonts w:ascii="Times New Roman" w:eastAsia="仿宋"/>
                <w:szCs w:val="21"/>
              </w:rPr>
              <w:t>VOCs</w:t>
            </w:r>
            <w:r>
              <w:rPr>
                <w:rFonts w:hint="eastAsia" w:ascii="Times New Roman" w:eastAsia="仿宋"/>
                <w:szCs w:val="21"/>
              </w:rPr>
              <w:t>产生量</w:t>
            </w:r>
            <w:r>
              <w:rPr>
                <w:rFonts w:ascii="Times New Roman" w:eastAsia="仿宋"/>
                <w:szCs w:val="21"/>
              </w:rPr>
              <w:t>*</w:t>
            </w: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4611F596">
            <w:pPr>
              <w:jc w:val="center"/>
              <w:rPr>
                <w:rFonts w:ascii="Times New Roman" w:eastAsia="仿宋"/>
                <w:szCs w:val="21"/>
              </w:rPr>
            </w:pPr>
            <w:r>
              <w:rPr>
                <w:rFonts w:hint="eastAsia" w:ascii="Times New Roman" w:eastAsia="仿宋"/>
                <w:szCs w:val="21"/>
              </w:rPr>
              <w:t>客车、大型机械</w:t>
            </w:r>
          </w:p>
        </w:tc>
        <w:tc>
          <w:tcPr>
            <w:tcW w:w="976" w:type="dxa"/>
            <w:vMerge w:val="restart"/>
            <w:tcBorders>
              <w:top w:val="single" w:color="000000" w:sz="4" w:space="0"/>
              <w:left w:val="single" w:color="000000" w:sz="4" w:space="0"/>
              <w:bottom w:val="single" w:color="000000" w:sz="4" w:space="0"/>
              <w:right w:val="single" w:color="000000" w:sz="4" w:space="0"/>
            </w:tcBorders>
            <w:vAlign w:val="center"/>
          </w:tcPr>
          <w:p w14:paraId="4222EA46">
            <w:pPr>
              <w:jc w:val="center"/>
              <w:rPr>
                <w:rFonts w:ascii="Times New Roman" w:eastAsia="仿宋"/>
                <w:szCs w:val="21"/>
              </w:rPr>
            </w:pPr>
            <w:r>
              <w:rPr>
                <w:rFonts w:ascii="Times New Roman" w:eastAsia="仿宋"/>
                <w:szCs w:val="21"/>
              </w:rPr>
              <w:t>g/m</w:t>
            </w:r>
            <w:r>
              <w:rPr>
                <w:rFonts w:ascii="Times New Roman" w:eastAsia="仿宋"/>
                <w:szCs w:val="21"/>
                <w:vertAlign w:val="superscript"/>
              </w:rPr>
              <w:t>2</w:t>
            </w: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14:paraId="4EEECAF3">
            <w:pPr>
              <w:jc w:val="center"/>
              <w:rPr>
                <w:rFonts w:ascii="Times New Roman" w:eastAsia="仿宋"/>
                <w:szCs w:val="21"/>
              </w:rPr>
            </w:pPr>
            <w:r>
              <w:rPr>
                <w:rFonts w:ascii="Times New Roman" w:eastAsia="仿宋"/>
                <w:szCs w:val="21"/>
              </w:rPr>
              <w:t>0.35</w:t>
            </w:r>
          </w:p>
        </w:tc>
        <w:tc>
          <w:tcPr>
            <w:tcW w:w="1922" w:type="dxa"/>
            <w:tcBorders>
              <w:top w:val="single" w:color="000000" w:sz="4" w:space="0"/>
              <w:left w:val="single" w:color="000000" w:sz="4" w:space="0"/>
              <w:bottom w:val="single" w:color="000000" w:sz="4" w:space="0"/>
              <w:right w:val="single" w:color="000000" w:sz="4" w:space="0"/>
            </w:tcBorders>
            <w:vAlign w:val="center"/>
          </w:tcPr>
          <w:p w14:paraId="65E11743">
            <w:pPr>
              <w:jc w:val="center"/>
              <w:rPr>
                <w:rFonts w:ascii="Times New Roman" w:eastAsia="仿宋"/>
                <w:szCs w:val="21"/>
              </w:rPr>
            </w:pPr>
            <w:r>
              <w:rPr>
                <w:rFonts w:ascii="Times New Roman" w:eastAsia="仿宋"/>
                <w:szCs w:val="21"/>
              </w:rPr>
              <w:t>≤150</w:t>
            </w:r>
          </w:p>
        </w:tc>
        <w:tc>
          <w:tcPr>
            <w:tcW w:w="1388" w:type="dxa"/>
            <w:tcBorders>
              <w:top w:val="single" w:color="000000" w:sz="4" w:space="0"/>
              <w:left w:val="single" w:color="000000" w:sz="4" w:space="0"/>
              <w:bottom w:val="single" w:color="000000" w:sz="4" w:space="0"/>
              <w:right w:val="single" w:color="000000" w:sz="4" w:space="0"/>
            </w:tcBorders>
            <w:vAlign w:val="center"/>
          </w:tcPr>
          <w:p w14:paraId="63142188">
            <w:pPr>
              <w:jc w:val="center"/>
              <w:rPr>
                <w:rFonts w:ascii="Times New Roman" w:eastAsia="仿宋"/>
                <w:szCs w:val="21"/>
              </w:rPr>
            </w:pPr>
            <w:r>
              <w:rPr>
                <w:rFonts w:ascii="Times New Roman" w:eastAsia="仿宋"/>
                <w:szCs w:val="21"/>
              </w:rPr>
              <w:t>≤210</w:t>
            </w:r>
          </w:p>
        </w:tc>
        <w:tc>
          <w:tcPr>
            <w:tcW w:w="1760" w:type="dxa"/>
            <w:tcBorders>
              <w:top w:val="single" w:color="000000" w:sz="4" w:space="0"/>
              <w:left w:val="single" w:color="000000" w:sz="4" w:space="0"/>
              <w:bottom w:val="single" w:color="000000" w:sz="4" w:space="0"/>
              <w:right w:val="single" w:color="000000" w:sz="8" w:space="0"/>
            </w:tcBorders>
            <w:vAlign w:val="center"/>
          </w:tcPr>
          <w:p w14:paraId="69AAA42C">
            <w:pPr>
              <w:jc w:val="center"/>
              <w:rPr>
                <w:rFonts w:ascii="Times New Roman" w:eastAsia="仿宋"/>
                <w:szCs w:val="21"/>
              </w:rPr>
            </w:pPr>
            <w:r>
              <w:rPr>
                <w:rFonts w:ascii="Times New Roman" w:eastAsia="仿宋"/>
                <w:szCs w:val="21"/>
              </w:rPr>
              <w:t>≤280</w:t>
            </w:r>
          </w:p>
        </w:tc>
        <w:tc>
          <w:tcPr>
            <w:tcW w:w="2201" w:type="dxa"/>
            <w:tcBorders>
              <w:top w:val="single" w:color="000000" w:sz="4" w:space="0"/>
              <w:left w:val="single" w:color="000000" w:sz="4" w:space="0"/>
              <w:bottom w:val="single" w:color="000000" w:sz="4" w:space="0"/>
              <w:right w:val="single" w:color="000000" w:sz="8" w:space="0"/>
            </w:tcBorders>
            <w:vAlign w:val="center"/>
          </w:tcPr>
          <w:p w14:paraId="0834F852">
            <w:pPr>
              <w:jc w:val="center"/>
              <w:rPr>
                <w:rFonts w:ascii="Times New Roman" w:eastAsia="仿宋"/>
                <w:szCs w:val="21"/>
              </w:rPr>
            </w:pPr>
            <w:r>
              <w:rPr>
                <w:rFonts w:ascii="Times New Roman" w:eastAsia="仿宋"/>
                <w:szCs w:val="21"/>
              </w:rPr>
              <w:t>/</w:t>
            </w:r>
          </w:p>
        </w:tc>
        <w:tc>
          <w:tcPr>
            <w:tcW w:w="796" w:type="dxa"/>
            <w:tcBorders>
              <w:top w:val="single" w:color="000000" w:sz="4" w:space="0"/>
              <w:left w:val="single" w:color="000000" w:sz="4" w:space="0"/>
              <w:bottom w:val="single" w:color="000000" w:sz="4" w:space="0"/>
              <w:right w:val="single" w:color="000000" w:sz="8" w:space="0"/>
            </w:tcBorders>
            <w:vAlign w:val="center"/>
          </w:tcPr>
          <w:p w14:paraId="1EC04D8A">
            <w:pPr>
              <w:jc w:val="center"/>
              <w:rPr>
                <w:rFonts w:ascii="Times New Roman" w:eastAsia="仿宋"/>
                <w:szCs w:val="21"/>
              </w:rPr>
            </w:pPr>
            <w:r>
              <w:rPr>
                <w:rFonts w:ascii="Times New Roman" w:eastAsia="仿宋"/>
                <w:szCs w:val="21"/>
              </w:rPr>
              <w:t>/</w:t>
            </w:r>
          </w:p>
        </w:tc>
      </w:tr>
      <w:tr w14:paraId="72E5CDD3">
        <w:tblPrEx>
          <w:tblCellMar>
            <w:top w:w="0" w:type="dxa"/>
            <w:left w:w="108" w:type="dxa"/>
            <w:bottom w:w="0" w:type="dxa"/>
            <w:right w:w="108" w:type="dxa"/>
          </w:tblCellMar>
        </w:tblPrEx>
        <w:trPr>
          <w:trHeight w:val="23" w:hRule="atLeast"/>
          <w:jc w:val="center"/>
        </w:trPr>
        <w:tc>
          <w:tcPr>
            <w:tcW w:w="546" w:type="dxa"/>
            <w:vMerge w:val="continue"/>
            <w:tcBorders>
              <w:top w:val="single" w:color="000000" w:sz="4" w:space="0"/>
              <w:left w:val="single" w:color="000000" w:sz="8" w:space="0"/>
              <w:bottom w:val="single" w:color="000000" w:sz="4" w:space="0"/>
              <w:right w:val="single" w:color="000000" w:sz="4" w:space="0"/>
            </w:tcBorders>
            <w:vAlign w:val="center"/>
          </w:tcPr>
          <w:p w14:paraId="23F8E29A">
            <w:pPr>
              <w:jc w:val="center"/>
              <w:rPr>
                <w:rFonts w:ascii="Times New Roman" w:eastAsia="仿宋"/>
                <w:szCs w:val="21"/>
              </w:rPr>
            </w:pP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6E1A0C95">
            <w:pPr>
              <w:rPr>
                <w:rFonts w:ascii="Calibri"/>
                <w:sz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1486686A">
            <w:pPr>
              <w:rPr>
                <w:rFonts w:ascii="Calibri"/>
                <w:sz w:val="21"/>
              </w:rPr>
            </w:pPr>
          </w:p>
        </w:tc>
        <w:tc>
          <w:tcPr>
            <w:tcW w:w="817" w:type="dxa"/>
            <w:vMerge w:val="continue"/>
            <w:tcBorders>
              <w:top w:val="single" w:color="000000" w:sz="4" w:space="0"/>
              <w:left w:val="single" w:color="000000" w:sz="4" w:space="0"/>
              <w:bottom w:val="single" w:color="000000" w:sz="4" w:space="0"/>
              <w:right w:val="single" w:color="000000" w:sz="4" w:space="0"/>
            </w:tcBorders>
            <w:vAlign w:val="center"/>
          </w:tcPr>
          <w:p w14:paraId="4BD9F228">
            <w:pPr>
              <w:jc w:val="center"/>
              <w:rPr>
                <w:rFonts w:ascii="Times New Roman" w:eastAsia="仿宋"/>
                <w:szCs w:val="21"/>
              </w:rPr>
            </w:pPr>
          </w:p>
        </w:tc>
        <w:tc>
          <w:tcPr>
            <w:tcW w:w="1000" w:type="dxa"/>
            <w:gridSpan w:val="2"/>
            <w:tcBorders>
              <w:top w:val="single" w:color="000000" w:sz="4" w:space="0"/>
              <w:left w:val="single" w:color="000000" w:sz="4" w:space="0"/>
              <w:bottom w:val="single" w:color="000000" w:sz="4" w:space="0"/>
              <w:right w:val="single" w:color="000000" w:sz="4" w:space="0"/>
            </w:tcBorders>
            <w:vAlign w:val="center"/>
          </w:tcPr>
          <w:p w14:paraId="19DE7056">
            <w:pPr>
              <w:widowControl/>
              <w:jc w:val="center"/>
              <w:textAlignment w:val="top"/>
              <w:rPr>
                <w:rFonts w:ascii="Times New Roman" w:eastAsia="仿宋"/>
                <w:szCs w:val="21"/>
              </w:rPr>
            </w:pPr>
            <w:r>
              <w:rPr>
                <w:rFonts w:hint="eastAsia" w:ascii="Times New Roman" w:eastAsia="仿宋"/>
                <w:szCs w:val="21"/>
              </w:rPr>
              <w:t>其他</w:t>
            </w:r>
          </w:p>
        </w:tc>
        <w:tc>
          <w:tcPr>
            <w:tcW w:w="976" w:type="dxa"/>
            <w:vMerge w:val="continue"/>
            <w:tcBorders>
              <w:top w:val="single" w:color="000000" w:sz="4" w:space="0"/>
              <w:left w:val="single" w:color="000000" w:sz="4" w:space="0"/>
              <w:bottom w:val="single" w:color="000000" w:sz="4" w:space="0"/>
              <w:right w:val="single" w:color="000000" w:sz="4" w:space="0"/>
            </w:tcBorders>
            <w:vAlign w:val="center"/>
          </w:tcPr>
          <w:p w14:paraId="48876D2F">
            <w:pPr>
              <w:jc w:val="center"/>
              <w:rPr>
                <w:rFonts w:ascii="Times New Roman" w:eastAsia="仿宋"/>
                <w:szCs w:val="21"/>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14:paraId="2D06A1FD">
            <w:pPr>
              <w:jc w:val="center"/>
              <w:rPr>
                <w:rFonts w:ascii="Times New Roman" w:eastAsia="仿宋"/>
                <w:szCs w:val="21"/>
              </w:rPr>
            </w:pPr>
          </w:p>
        </w:tc>
        <w:tc>
          <w:tcPr>
            <w:tcW w:w="1922" w:type="dxa"/>
            <w:tcBorders>
              <w:top w:val="single" w:color="000000" w:sz="4" w:space="0"/>
              <w:left w:val="single" w:color="000000" w:sz="4" w:space="0"/>
              <w:bottom w:val="single" w:color="000000" w:sz="4" w:space="0"/>
              <w:right w:val="single" w:color="000000" w:sz="4" w:space="0"/>
            </w:tcBorders>
            <w:vAlign w:val="center"/>
          </w:tcPr>
          <w:p w14:paraId="3D759D72">
            <w:pPr>
              <w:widowControl/>
              <w:jc w:val="center"/>
              <w:textAlignment w:val="top"/>
              <w:rPr>
                <w:rFonts w:ascii="Times New Roman" w:eastAsia="仿宋"/>
                <w:szCs w:val="21"/>
              </w:rPr>
            </w:pPr>
            <w:r>
              <w:rPr>
                <w:rFonts w:ascii="Times New Roman" w:eastAsia="仿宋"/>
                <w:szCs w:val="21"/>
              </w:rPr>
              <w:t>≤60</w:t>
            </w:r>
          </w:p>
        </w:tc>
        <w:tc>
          <w:tcPr>
            <w:tcW w:w="1388" w:type="dxa"/>
            <w:tcBorders>
              <w:top w:val="single" w:color="000000" w:sz="4" w:space="0"/>
              <w:left w:val="single" w:color="000000" w:sz="4" w:space="0"/>
              <w:bottom w:val="single" w:color="000000" w:sz="4" w:space="0"/>
              <w:right w:val="single" w:color="000000" w:sz="4" w:space="0"/>
            </w:tcBorders>
            <w:vAlign w:val="center"/>
          </w:tcPr>
          <w:p w14:paraId="208B592F">
            <w:pPr>
              <w:widowControl/>
              <w:jc w:val="center"/>
              <w:textAlignment w:val="top"/>
              <w:rPr>
                <w:rFonts w:ascii="Times New Roman" w:eastAsia="仿宋"/>
                <w:szCs w:val="21"/>
              </w:rPr>
            </w:pPr>
            <w:r>
              <w:rPr>
                <w:rFonts w:ascii="Times New Roman" w:eastAsia="仿宋"/>
                <w:szCs w:val="21"/>
              </w:rPr>
              <w:t>≤80</w:t>
            </w:r>
          </w:p>
        </w:tc>
        <w:tc>
          <w:tcPr>
            <w:tcW w:w="1760" w:type="dxa"/>
            <w:tcBorders>
              <w:top w:val="single" w:color="000000" w:sz="4" w:space="0"/>
              <w:left w:val="single" w:color="000000" w:sz="4" w:space="0"/>
              <w:bottom w:val="single" w:color="000000" w:sz="4" w:space="0"/>
              <w:right w:val="single" w:color="000000" w:sz="8" w:space="0"/>
            </w:tcBorders>
            <w:vAlign w:val="center"/>
          </w:tcPr>
          <w:p w14:paraId="7A066C71">
            <w:pPr>
              <w:widowControl/>
              <w:jc w:val="center"/>
              <w:textAlignment w:val="top"/>
              <w:rPr>
                <w:rFonts w:ascii="Times New Roman" w:eastAsia="仿宋"/>
                <w:szCs w:val="21"/>
              </w:rPr>
            </w:pPr>
            <w:r>
              <w:rPr>
                <w:rFonts w:ascii="Times New Roman" w:eastAsia="仿宋"/>
                <w:szCs w:val="21"/>
              </w:rPr>
              <w:t>≤100</w:t>
            </w:r>
          </w:p>
        </w:tc>
        <w:tc>
          <w:tcPr>
            <w:tcW w:w="2201" w:type="dxa"/>
            <w:tcBorders>
              <w:top w:val="single" w:color="000000" w:sz="4" w:space="0"/>
              <w:left w:val="single" w:color="000000" w:sz="4" w:space="0"/>
              <w:bottom w:val="single" w:color="000000" w:sz="4" w:space="0"/>
              <w:right w:val="single" w:color="000000" w:sz="8" w:space="0"/>
            </w:tcBorders>
            <w:vAlign w:val="center"/>
          </w:tcPr>
          <w:p w14:paraId="47719F3B">
            <w:pPr>
              <w:widowControl/>
              <w:jc w:val="center"/>
              <w:textAlignment w:val="top"/>
              <w:rPr>
                <w:rFonts w:ascii="Times New Roman" w:eastAsia="仿宋"/>
                <w:szCs w:val="21"/>
              </w:rPr>
            </w:pPr>
            <w:r>
              <w:rPr>
                <w:rFonts w:hint="eastAsia" w:ascii="Times New Roman" w:eastAsia="仿宋"/>
                <w:szCs w:val="21"/>
              </w:rPr>
              <w:t>1</w:t>
            </w:r>
            <w:r>
              <w:rPr>
                <w:rFonts w:ascii="Times New Roman" w:eastAsia="仿宋"/>
                <w:szCs w:val="21"/>
              </w:rPr>
              <w:t>2.03</w:t>
            </w:r>
            <w:r>
              <w:rPr>
                <w:rFonts w:hint="eastAsia" w:ascii="Times New Roman" w:eastAsia="仿宋"/>
                <w:szCs w:val="21"/>
              </w:rPr>
              <w:t>③</w:t>
            </w:r>
          </w:p>
        </w:tc>
        <w:tc>
          <w:tcPr>
            <w:tcW w:w="796" w:type="dxa"/>
            <w:tcBorders>
              <w:top w:val="single" w:color="000000" w:sz="4" w:space="0"/>
              <w:left w:val="single" w:color="000000" w:sz="4" w:space="0"/>
              <w:bottom w:val="single" w:color="000000" w:sz="4" w:space="0"/>
              <w:right w:val="single" w:color="000000" w:sz="8" w:space="0"/>
            </w:tcBorders>
            <w:vAlign w:val="center"/>
          </w:tcPr>
          <w:p w14:paraId="4792DC50">
            <w:pPr>
              <w:widowControl/>
              <w:jc w:val="center"/>
              <w:textAlignment w:val="top"/>
              <w:rPr>
                <w:rFonts w:ascii="Times New Roman" w:eastAsia="仿宋"/>
                <w:szCs w:val="21"/>
              </w:rPr>
            </w:pPr>
            <w:r>
              <w:rPr>
                <w:rFonts w:ascii="Times New Roman" w:eastAsia="仿宋"/>
                <w:szCs w:val="21"/>
              </w:rPr>
              <w:t>I</w:t>
            </w:r>
            <w:r>
              <w:rPr>
                <w:rFonts w:hint="eastAsia" w:ascii="Times New Roman" w:eastAsia="仿宋"/>
                <w:szCs w:val="21"/>
              </w:rPr>
              <w:t>级</w:t>
            </w:r>
          </w:p>
        </w:tc>
      </w:tr>
      <w:tr w14:paraId="2C8E2630">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606ABC29">
            <w:pPr>
              <w:jc w:val="center"/>
              <w:rPr>
                <w:rFonts w:ascii="Times New Roman" w:eastAsia="仿宋"/>
                <w:szCs w:val="21"/>
              </w:rPr>
            </w:pPr>
            <w:r>
              <w:rPr>
                <w:rFonts w:ascii="Times New Roman" w:eastAsia="仿宋"/>
                <w:szCs w:val="21"/>
              </w:rPr>
              <w:t>15</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0701D196">
            <w:pPr>
              <w:rPr>
                <w:rFonts w:ascii="Calibri"/>
                <w:sz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04332FD2">
            <w:pPr>
              <w:rPr>
                <w:rFonts w:ascii="Calibri"/>
                <w:sz w:val="21"/>
              </w:rPr>
            </w:pPr>
          </w:p>
        </w:tc>
        <w:tc>
          <w:tcPr>
            <w:tcW w:w="1817" w:type="dxa"/>
            <w:gridSpan w:val="3"/>
            <w:tcBorders>
              <w:top w:val="single" w:color="000000" w:sz="4" w:space="0"/>
              <w:left w:val="single" w:color="000000" w:sz="4" w:space="0"/>
              <w:bottom w:val="single" w:color="000000" w:sz="4" w:space="0"/>
              <w:right w:val="single" w:color="000000" w:sz="4" w:space="0"/>
            </w:tcBorders>
            <w:vAlign w:val="center"/>
          </w:tcPr>
          <w:p w14:paraId="5E16CF69">
            <w:pPr>
              <w:jc w:val="center"/>
              <w:rPr>
                <w:rFonts w:ascii="Times New Roman" w:eastAsia="仿宋"/>
                <w:szCs w:val="21"/>
              </w:rPr>
            </w:pPr>
            <w:r>
              <w:rPr>
                <w:rFonts w:hint="eastAsia" w:ascii="Times New Roman" w:eastAsia="仿宋"/>
                <w:szCs w:val="21"/>
              </w:rPr>
              <w:t>单位面积</w:t>
            </w:r>
            <w:r>
              <w:rPr>
                <w:rFonts w:ascii="Times New Roman" w:eastAsia="仿宋"/>
                <w:szCs w:val="21"/>
              </w:rPr>
              <w:t>CODcr</w:t>
            </w:r>
            <w:r>
              <w:rPr>
                <w:rFonts w:hint="eastAsia" w:ascii="Times New Roman" w:eastAsia="仿宋"/>
                <w:szCs w:val="21"/>
              </w:rPr>
              <w:t>产生量</w:t>
            </w:r>
            <w:r>
              <w:rPr>
                <w:rFonts w:ascii="Times New Roman" w:eastAsia="仿宋"/>
                <w:szCs w:val="21"/>
              </w:rPr>
              <w:t>*</w:t>
            </w:r>
          </w:p>
        </w:tc>
        <w:tc>
          <w:tcPr>
            <w:tcW w:w="976" w:type="dxa"/>
            <w:tcBorders>
              <w:top w:val="single" w:color="000000" w:sz="4" w:space="0"/>
              <w:left w:val="single" w:color="000000" w:sz="4" w:space="0"/>
              <w:bottom w:val="single" w:color="000000" w:sz="4" w:space="0"/>
              <w:right w:val="single" w:color="000000" w:sz="4" w:space="0"/>
            </w:tcBorders>
            <w:vAlign w:val="center"/>
          </w:tcPr>
          <w:p w14:paraId="5B08E829">
            <w:pPr>
              <w:jc w:val="center"/>
              <w:rPr>
                <w:rFonts w:ascii="Times New Roman" w:eastAsia="仿宋"/>
                <w:szCs w:val="21"/>
              </w:rPr>
            </w:pPr>
            <w:r>
              <w:rPr>
                <w:rFonts w:ascii="Times New Roman" w:eastAsia="仿宋"/>
                <w:szCs w:val="21"/>
              </w:rPr>
              <w:t>g/m</w:t>
            </w:r>
            <w:r>
              <w:rPr>
                <w:rFonts w:ascii="Times New Roman" w:eastAsia="仿宋"/>
                <w:szCs w:val="21"/>
                <w:vertAlign w:val="superscript"/>
              </w:rPr>
              <w:t>2</w:t>
            </w:r>
          </w:p>
        </w:tc>
        <w:tc>
          <w:tcPr>
            <w:tcW w:w="636" w:type="dxa"/>
            <w:tcBorders>
              <w:top w:val="single" w:color="000000" w:sz="4" w:space="0"/>
              <w:left w:val="single" w:color="000000" w:sz="4" w:space="0"/>
              <w:bottom w:val="single" w:color="000000" w:sz="4" w:space="0"/>
              <w:right w:val="single" w:color="000000" w:sz="4" w:space="0"/>
            </w:tcBorders>
            <w:vAlign w:val="center"/>
          </w:tcPr>
          <w:p w14:paraId="69BE79DF">
            <w:pPr>
              <w:jc w:val="center"/>
              <w:rPr>
                <w:rFonts w:ascii="Times New Roman" w:eastAsia="仿宋"/>
                <w:szCs w:val="21"/>
              </w:rPr>
            </w:pPr>
            <w:r>
              <w:rPr>
                <w:rFonts w:ascii="Times New Roman" w:eastAsia="仿宋"/>
                <w:szCs w:val="21"/>
              </w:rPr>
              <w:t>0.35</w:t>
            </w:r>
          </w:p>
        </w:tc>
        <w:tc>
          <w:tcPr>
            <w:tcW w:w="1922" w:type="dxa"/>
            <w:tcBorders>
              <w:top w:val="single" w:color="000000" w:sz="4" w:space="0"/>
              <w:left w:val="single" w:color="000000" w:sz="4" w:space="0"/>
              <w:bottom w:val="single" w:color="000000" w:sz="4" w:space="0"/>
              <w:right w:val="single" w:color="000000" w:sz="4" w:space="0"/>
            </w:tcBorders>
            <w:vAlign w:val="center"/>
          </w:tcPr>
          <w:p w14:paraId="3C13CCCD">
            <w:pPr>
              <w:jc w:val="center"/>
              <w:rPr>
                <w:rFonts w:ascii="Times New Roman" w:eastAsia="仿宋"/>
                <w:szCs w:val="21"/>
              </w:rPr>
            </w:pPr>
            <w:r>
              <w:rPr>
                <w:rFonts w:ascii="Times New Roman" w:eastAsia="仿宋"/>
                <w:szCs w:val="21"/>
              </w:rPr>
              <w:t>≤2</w:t>
            </w:r>
          </w:p>
        </w:tc>
        <w:tc>
          <w:tcPr>
            <w:tcW w:w="1388" w:type="dxa"/>
            <w:tcBorders>
              <w:top w:val="single" w:color="000000" w:sz="4" w:space="0"/>
              <w:left w:val="single" w:color="000000" w:sz="4" w:space="0"/>
              <w:bottom w:val="single" w:color="000000" w:sz="4" w:space="0"/>
              <w:right w:val="single" w:color="000000" w:sz="4" w:space="0"/>
            </w:tcBorders>
            <w:vAlign w:val="center"/>
          </w:tcPr>
          <w:p w14:paraId="2DAC631D">
            <w:pPr>
              <w:jc w:val="center"/>
              <w:rPr>
                <w:rFonts w:ascii="Times New Roman" w:eastAsia="仿宋"/>
                <w:szCs w:val="21"/>
              </w:rPr>
            </w:pPr>
            <w:r>
              <w:rPr>
                <w:rFonts w:ascii="Times New Roman" w:eastAsia="仿宋"/>
                <w:szCs w:val="21"/>
              </w:rPr>
              <w:t>≤2.5</w:t>
            </w:r>
          </w:p>
        </w:tc>
        <w:tc>
          <w:tcPr>
            <w:tcW w:w="1760" w:type="dxa"/>
            <w:tcBorders>
              <w:top w:val="single" w:color="000000" w:sz="4" w:space="0"/>
              <w:left w:val="single" w:color="000000" w:sz="4" w:space="0"/>
              <w:bottom w:val="single" w:color="000000" w:sz="4" w:space="0"/>
              <w:right w:val="single" w:color="000000" w:sz="8" w:space="0"/>
            </w:tcBorders>
            <w:vAlign w:val="center"/>
          </w:tcPr>
          <w:p w14:paraId="7538325C">
            <w:pPr>
              <w:jc w:val="center"/>
              <w:rPr>
                <w:rFonts w:ascii="Times New Roman" w:eastAsia="仿宋"/>
                <w:szCs w:val="21"/>
              </w:rPr>
            </w:pPr>
            <w:r>
              <w:rPr>
                <w:rFonts w:ascii="Times New Roman" w:eastAsia="仿宋"/>
                <w:szCs w:val="21"/>
              </w:rPr>
              <w:t>≤3.5</w:t>
            </w:r>
          </w:p>
        </w:tc>
        <w:tc>
          <w:tcPr>
            <w:tcW w:w="2201" w:type="dxa"/>
            <w:tcBorders>
              <w:top w:val="single" w:color="000000" w:sz="4" w:space="0"/>
              <w:left w:val="single" w:color="000000" w:sz="4" w:space="0"/>
              <w:bottom w:val="single" w:color="000000" w:sz="4" w:space="0"/>
              <w:right w:val="single" w:color="000000" w:sz="8" w:space="0"/>
            </w:tcBorders>
            <w:vAlign w:val="center"/>
          </w:tcPr>
          <w:p w14:paraId="658A4D65">
            <w:pPr>
              <w:jc w:val="center"/>
              <w:rPr>
                <w:rFonts w:ascii="Times New Roman" w:eastAsia="仿宋"/>
                <w:szCs w:val="21"/>
              </w:rPr>
            </w:pPr>
            <w:r>
              <w:rPr>
                <w:rFonts w:hint="eastAsia" w:ascii="Times New Roman" w:eastAsia="仿宋"/>
                <w:szCs w:val="21"/>
              </w:rPr>
              <w:t>0</w:t>
            </w:r>
            <w:r>
              <w:rPr>
                <w:rFonts w:ascii="Times New Roman" w:eastAsia="仿宋"/>
                <w:szCs w:val="21"/>
              </w:rPr>
              <w:t>.93</w:t>
            </w:r>
            <w:r>
              <w:rPr>
                <w:rFonts w:hint="eastAsia" w:ascii="仿宋" w:hAnsi="仿宋" w:eastAsia="仿宋"/>
                <w:szCs w:val="21"/>
              </w:rPr>
              <w:t>④</w:t>
            </w:r>
          </w:p>
        </w:tc>
        <w:tc>
          <w:tcPr>
            <w:tcW w:w="796" w:type="dxa"/>
            <w:tcBorders>
              <w:top w:val="single" w:color="000000" w:sz="4" w:space="0"/>
              <w:left w:val="single" w:color="000000" w:sz="4" w:space="0"/>
              <w:bottom w:val="single" w:color="000000" w:sz="4" w:space="0"/>
              <w:right w:val="single" w:color="000000" w:sz="8" w:space="0"/>
            </w:tcBorders>
            <w:vAlign w:val="center"/>
          </w:tcPr>
          <w:p w14:paraId="04CD99BC">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11E390AB">
        <w:tblPrEx>
          <w:tblCellMar>
            <w:top w:w="0" w:type="dxa"/>
            <w:left w:w="108" w:type="dxa"/>
            <w:bottom w:w="0" w:type="dxa"/>
            <w:right w:w="108" w:type="dxa"/>
          </w:tblCellMar>
        </w:tblPrEx>
        <w:trPr>
          <w:trHeight w:val="23" w:hRule="atLeast"/>
          <w:jc w:val="center"/>
        </w:trPr>
        <w:tc>
          <w:tcPr>
            <w:tcW w:w="546" w:type="dxa"/>
            <w:tcBorders>
              <w:top w:val="single" w:color="000000" w:sz="4" w:space="0"/>
              <w:left w:val="single" w:color="000000" w:sz="8" w:space="0"/>
              <w:bottom w:val="single" w:color="000000" w:sz="4" w:space="0"/>
              <w:right w:val="single" w:color="000000" w:sz="4" w:space="0"/>
            </w:tcBorders>
            <w:vAlign w:val="center"/>
          </w:tcPr>
          <w:p w14:paraId="4F8AD94D">
            <w:pPr>
              <w:jc w:val="center"/>
              <w:rPr>
                <w:rFonts w:ascii="Times New Roman" w:eastAsia="仿宋"/>
                <w:szCs w:val="21"/>
              </w:rPr>
            </w:pPr>
            <w:r>
              <w:rPr>
                <w:rFonts w:ascii="Times New Roman" w:eastAsia="仿宋"/>
                <w:szCs w:val="21"/>
              </w:rPr>
              <w:t>16</w:t>
            </w:r>
          </w:p>
        </w:tc>
        <w:tc>
          <w:tcPr>
            <w:tcW w:w="597" w:type="dxa"/>
            <w:vMerge w:val="continue"/>
            <w:tcBorders>
              <w:top w:val="single" w:color="000000" w:sz="4" w:space="0"/>
              <w:left w:val="single" w:color="000000" w:sz="4" w:space="0"/>
              <w:bottom w:val="single" w:color="000000" w:sz="4" w:space="0"/>
              <w:right w:val="single" w:color="000000" w:sz="4" w:space="0"/>
            </w:tcBorders>
            <w:vAlign w:val="center"/>
          </w:tcPr>
          <w:p w14:paraId="4233B62C">
            <w:pPr>
              <w:rPr>
                <w:rFonts w:ascii="Calibri"/>
                <w:sz w:val="21"/>
              </w:rPr>
            </w:pPr>
          </w:p>
        </w:tc>
        <w:tc>
          <w:tcPr>
            <w:tcW w:w="554" w:type="dxa"/>
            <w:vMerge w:val="continue"/>
            <w:tcBorders>
              <w:top w:val="single" w:color="000000" w:sz="4" w:space="0"/>
              <w:left w:val="single" w:color="000000" w:sz="4" w:space="0"/>
              <w:bottom w:val="single" w:color="000000" w:sz="4" w:space="0"/>
              <w:right w:val="single" w:color="000000" w:sz="4" w:space="0"/>
            </w:tcBorders>
            <w:vAlign w:val="center"/>
          </w:tcPr>
          <w:p w14:paraId="641E019B">
            <w:pPr>
              <w:rPr>
                <w:rFonts w:ascii="Calibri"/>
                <w:sz w:val="21"/>
              </w:rPr>
            </w:pPr>
          </w:p>
        </w:tc>
        <w:tc>
          <w:tcPr>
            <w:tcW w:w="1817" w:type="dxa"/>
            <w:gridSpan w:val="3"/>
            <w:tcBorders>
              <w:top w:val="single" w:color="000000" w:sz="4" w:space="0"/>
              <w:left w:val="single" w:color="000000" w:sz="4" w:space="0"/>
              <w:bottom w:val="single" w:color="000000" w:sz="4" w:space="0"/>
              <w:right w:val="single" w:color="000000" w:sz="4" w:space="0"/>
            </w:tcBorders>
            <w:vAlign w:val="center"/>
          </w:tcPr>
          <w:p w14:paraId="5D6A6464">
            <w:pPr>
              <w:jc w:val="center"/>
              <w:rPr>
                <w:rFonts w:ascii="Times New Roman" w:eastAsia="仿宋"/>
                <w:szCs w:val="21"/>
              </w:rPr>
            </w:pPr>
            <w:r>
              <w:rPr>
                <w:rFonts w:hint="eastAsia" w:ascii="Times New Roman" w:eastAsia="仿宋"/>
                <w:szCs w:val="21"/>
              </w:rPr>
              <w:t>单位面积的危险废物产生量</w:t>
            </w:r>
            <w:r>
              <w:rPr>
                <w:rFonts w:ascii="Times New Roman" w:eastAsia="仿宋"/>
                <w:szCs w:val="21"/>
              </w:rPr>
              <w:t>*</w:t>
            </w:r>
          </w:p>
        </w:tc>
        <w:tc>
          <w:tcPr>
            <w:tcW w:w="976" w:type="dxa"/>
            <w:tcBorders>
              <w:top w:val="single" w:color="000000" w:sz="4" w:space="0"/>
              <w:left w:val="single" w:color="000000" w:sz="4" w:space="0"/>
              <w:bottom w:val="single" w:color="000000" w:sz="4" w:space="0"/>
              <w:right w:val="single" w:color="000000" w:sz="4" w:space="0"/>
            </w:tcBorders>
            <w:vAlign w:val="center"/>
          </w:tcPr>
          <w:p w14:paraId="7C707F38">
            <w:pPr>
              <w:jc w:val="center"/>
              <w:rPr>
                <w:rFonts w:ascii="Times New Roman" w:eastAsia="仿宋"/>
                <w:szCs w:val="21"/>
              </w:rPr>
            </w:pPr>
            <w:r>
              <w:rPr>
                <w:rFonts w:ascii="Times New Roman" w:eastAsia="仿宋"/>
                <w:szCs w:val="21"/>
              </w:rPr>
              <w:t>g/m</w:t>
            </w:r>
            <w:r>
              <w:rPr>
                <w:rFonts w:ascii="Times New Roman" w:eastAsia="仿宋"/>
                <w:szCs w:val="21"/>
                <w:vertAlign w:val="superscript"/>
              </w:rPr>
              <w:t>2</w:t>
            </w:r>
          </w:p>
        </w:tc>
        <w:tc>
          <w:tcPr>
            <w:tcW w:w="636" w:type="dxa"/>
            <w:tcBorders>
              <w:top w:val="single" w:color="000000" w:sz="4" w:space="0"/>
              <w:left w:val="single" w:color="000000" w:sz="4" w:space="0"/>
              <w:bottom w:val="single" w:color="000000" w:sz="4" w:space="0"/>
              <w:right w:val="single" w:color="000000" w:sz="4" w:space="0"/>
            </w:tcBorders>
            <w:vAlign w:val="center"/>
          </w:tcPr>
          <w:p w14:paraId="7A6C2CA4">
            <w:pPr>
              <w:jc w:val="center"/>
              <w:rPr>
                <w:rFonts w:ascii="Times New Roman" w:eastAsia="仿宋"/>
                <w:szCs w:val="21"/>
              </w:rPr>
            </w:pPr>
            <w:r>
              <w:rPr>
                <w:rFonts w:ascii="Times New Roman" w:eastAsia="仿宋"/>
                <w:szCs w:val="21"/>
              </w:rPr>
              <w:t>0.30</w:t>
            </w:r>
          </w:p>
        </w:tc>
        <w:tc>
          <w:tcPr>
            <w:tcW w:w="1922" w:type="dxa"/>
            <w:tcBorders>
              <w:top w:val="single" w:color="000000" w:sz="4" w:space="0"/>
              <w:left w:val="single" w:color="000000" w:sz="4" w:space="0"/>
              <w:bottom w:val="single" w:color="000000" w:sz="4" w:space="0"/>
              <w:right w:val="single" w:color="000000" w:sz="4" w:space="0"/>
            </w:tcBorders>
            <w:vAlign w:val="center"/>
          </w:tcPr>
          <w:p w14:paraId="5F687696">
            <w:pPr>
              <w:jc w:val="center"/>
              <w:rPr>
                <w:rFonts w:ascii="Times New Roman" w:eastAsia="仿宋"/>
                <w:szCs w:val="21"/>
              </w:rPr>
            </w:pPr>
            <w:r>
              <w:rPr>
                <w:rFonts w:ascii="Times New Roman" w:eastAsia="仿宋"/>
                <w:szCs w:val="21"/>
              </w:rPr>
              <w:t>≤90</w:t>
            </w:r>
          </w:p>
        </w:tc>
        <w:tc>
          <w:tcPr>
            <w:tcW w:w="1388" w:type="dxa"/>
            <w:tcBorders>
              <w:top w:val="single" w:color="000000" w:sz="4" w:space="0"/>
              <w:left w:val="single" w:color="000000" w:sz="4" w:space="0"/>
              <w:bottom w:val="single" w:color="000000" w:sz="4" w:space="0"/>
              <w:right w:val="single" w:color="000000" w:sz="4" w:space="0"/>
            </w:tcBorders>
            <w:vAlign w:val="center"/>
          </w:tcPr>
          <w:p w14:paraId="5F946C0D">
            <w:pPr>
              <w:jc w:val="center"/>
              <w:rPr>
                <w:rFonts w:ascii="Times New Roman" w:eastAsia="仿宋"/>
                <w:szCs w:val="21"/>
              </w:rPr>
            </w:pPr>
            <w:r>
              <w:rPr>
                <w:rFonts w:ascii="Times New Roman" w:eastAsia="仿宋"/>
                <w:szCs w:val="21"/>
              </w:rPr>
              <w:t>≤110</w:t>
            </w:r>
          </w:p>
        </w:tc>
        <w:tc>
          <w:tcPr>
            <w:tcW w:w="1760" w:type="dxa"/>
            <w:tcBorders>
              <w:top w:val="single" w:color="000000" w:sz="4" w:space="0"/>
              <w:left w:val="single" w:color="000000" w:sz="4" w:space="0"/>
              <w:bottom w:val="single" w:color="000000" w:sz="4" w:space="0"/>
              <w:right w:val="single" w:color="000000" w:sz="8" w:space="0"/>
            </w:tcBorders>
            <w:vAlign w:val="center"/>
          </w:tcPr>
          <w:p w14:paraId="0898AD07">
            <w:pPr>
              <w:jc w:val="center"/>
              <w:rPr>
                <w:rFonts w:ascii="Times New Roman" w:eastAsia="仿宋"/>
                <w:szCs w:val="21"/>
              </w:rPr>
            </w:pPr>
            <w:r>
              <w:rPr>
                <w:rFonts w:ascii="Times New Roman" w:eastAsia="仿宋"/>
                <w:szCs w:val="21"/>
              </w:rPr>
              <w:t>≤160</w:t>
            </w:r>
          </w:p>
        </w:tc>
        <w:tc>
          <w:tcPr>
            <w:tcW w:w="2201" w:type="dxa"/>
            <w:tcBorders>
              <w:top w:val="single" w:color="000000" w:sz="4" w:space="0"/>
              <w:left w:val="single" w:color="000000" w:sz="4" w:space="0"/>
              <w:bottom w:val="single" w:color="000000" w:sz="4" w:space="0"/>
              <w:right w:val="single" w:color="000000" w:sz="8" w:space="0"/>
            </w:tcBorders>
            <w:vAlign w:val="center"/>
          </w:tcPr>
          <w:p w14:paraId="7B64642B">
            <w:pPr>
              <w:jc w:val="center"/>
              <w:rPr>
                <w:rFonts w:ascii="Times New Roman" w:eastAsia="仿宋"/>
                <w:szCs w:val="21"/>
              </w:rPr>
            </w:pPr>
            <w:r>
              <w:rPr>
                <w:rFonts w:hint="eastAsia" w:ascii="Times New Roman" w:eastAsia="仿宋"/>
                <w:szCs w:val="21"/>
              </w:rPr>
              <w:t>2</w:t>
            </w:r>
            <w:r>
              <w:rPr>
                <w:rFonts w:ascii="Times New Roman" w:eastAsia="仿宋"/>
                <w:szCs w:val="21"/>
              </w:rPr>
              <w:t>6.8</w:t>
            </w:r>
            <w:r>
              <w:rPr>
                <w:rFonts w:hint="eastAsia" w:ascii="Times New Roman" w:eastAsia="仿宋"/>
                <w:szCs w:val="21"/>
              </w:rPr>
              <w:t>⑤</w:t>
            </w:r>
          </w:p>
        </w:tc>
        <w:tc>
          <w:tcPr>
            <w:tcW w:w="796" w:type="dxa"/>
            <w:tcBorders>
              <w:top w:val="single" w:color="000000" w:sz="4" w:space="0"/>
              <w:left w:val="single" w:color="000000" w:sz="4" w:space="0"/>
              <w:bottom w:val="single" w:color="000000" w:sz="4" w:space="0"/>
              <w:right w:val="single" w:color="000000" w:sz="8" w:space="0"/>
            </w:tcBorders>
            <w:vAlign w:val="center"/>
          </w:tcPr>
          <w:p w14:paraId="678021DA">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6C280B67">
        <w:tblPrEx>
          <w:tblCellMar>
            <w:top w:w="0" w:type="dxa"/>
            <w:left w:w="108" w:type="dxa"/>
            <w:bottom w:w="0" w:type="dxa"/>
            <w:right w:w="108" w:type="dxa"/>
          </w:tblCellMar>
        </w:tblPrEx>
        <w:trPr>
          <w:trHeight w:val="23" w:hRule="atLeast"/>
          <w:jc w:val="center"/>
        </w:trPr>
        <w:tc>
          <w:tcPr>
            <w:tcW w:w="10196" w:type="dxa"/>
            <w:gridSpan w:val="11"/>
            <w:tcBorders>
              <w:top w:val="single" w:color="000000" w:sz="4" w:space="0"/>
              <w:left w:val="single" w:color="000000" w:sz="8" w:space="0"/>
              <w:bottom w:val="single" w:color="000000" w:sz="4" w:space="0"/>
              <w:right w:val="single" w:color="000000" w:sz="8" w:space="0"/>
            </w:tcBorders>
            <w:vAlign w:val="center"/>
          </w:tcPr>
          <w:p w14:paraId="2CFF64BA">
            <w:pPr>
              <w:widowControl/>
              <w:jc w:val="center"/>
              <w:textAlignment w:val="top"/>
              <w:rPr>
                <w:rFonts w:ascii="Times New Roman" w:eastAsia="仿宋"/>
                <w:sz w:val="21"/>
                <w:szCs w:val="21"/>
              </w:rPr>
            </w:pPr>
            <w:r>
              <w:rPr>
                <w:rFonts w:ascii="Times New Roman" w:eastAsia="仿宋"/>
                <w:sz w:val="21"/>
                <w:szCs w:val="21"/>
                <w:lang w:bidi="ar"/>
              </w:rPr>
              <w:t xml:space="preserve">      </w:t>
            </w:r>
            <w:r>
              <w:rPr>
                <w:rFonts w:hint="eastAsia" w:ascii="Times New Roman" w:eastAsia="仿宋"/>
                <w:sz w:val="21"/>
                <w:szCs w:val="21"/>
                <w:lang w:bidi="ar"/>
              </w:rPr>
              <w:t>注</w:t>
            </w:r>
            <w:r>
              <w:rPr>
                <w:rFonts w:ascii="Times New Roman" w:eastAsia="仿宋"/>
                <w:sz w:val="21"/>
                <w:szCs w:val="21"/>
                <w:lang w:bidi="ar"/>
              </w:rPr>
              <w:t>1</w:t>
            </w:r>
            <w:r>
              <w:rPr>
                <w:rFonts w:hint="eastAsia" w:ascii="Times New Roman" w:eastAsia="仿宋"/>
                <w:sz w:val="21"/>
                <w:szCs w:val="21"/>
                <w:lang w:bidi="ar"/>
              </w:rPr>
              <w:t>：单位面积的污染物产生量按照实际喷涂面积计算，单位产品综合耗能按照实际总面积计算。</w:t>
            </w:r>
            <w:r>
              <w:rPr>
                <w:rFonts w:ascii="Times New Roman" w:eastAsia="仿宋"/>
                <w:sz w:val="21"/>
                <w:szCs w:val="21"/>
                <w:lang w:bidi="ar"/>
              </w:rPr>
              <w:br w:type="textWrapping"/>
            </w:r>
            <w:r>
              <w:rPr>
                <w:rFonts w:ascii="Times New Roman" w:eastAsia="仿宋"/>
                <w:sz w:val="21"/>
                <w:szCs w:val="21"/>
                <w:lang w:bidi="ar"/>
              </w:rPr>
              <w:t xml:space="preserve">      </w:t>
            </w:r>
            <w:r>
              <w:rPr>
                <w:rFonts w:hint="eastAsia" w:ascii="Times New Roman" w:eastAsia="仿宋"/>
                <w:sz w:val="21"/>
                <w:szCs w:val="21"/>
                <w:lang w:bidi="ar"/>
              </w:rPr>
              <w:t>注</w:t>
            </w:r>
            <w:r>
              <w:rPr>
                <w:rFonts w:ascii="Times New Roman" w:eastAsia="仿宋"/>
                <w:sz w:val="21"/>
                <w:szCs w:val="21"/>
                <w:lang w:bidi="ar"/>
              </w:rPr>
              <w:t>2</w:t>
            </w:r>
            <w:r>
              <w:rPr>
                <w:rFonts w:hint="eastAsia" w:ascii="Times New Roman" w:eastAsia="仿宋"/>
                <w:sz w:val="21"/>
                <w:szCs w:val="21"/>
                <w:lang w:bidi="ar"/>
              </w:rPr>
              <w:t>：</w:t>
            </w:r>
            <w:r>
              <w:rPr>
                <w:rFonts w:ascii="Times New Roman" w:eastAsia="仿宋"/>
                <w:sz w:val="21"/>
                <w:szCs w:val="21"/>
                <w:lang w:bidi="ar"/>
              </w:rPr>
              <w:t xml:space="preserve">VOCs </w:t>
            </w:r>
            <w:r>
              <w:rPr>
                <w:rFonts w:hint="eastAsia" w:ascii="Times New Roman" w:eastAsia="仿宋"/>
                <w:sz w:val="21"/>
                <w:szCs w:val="21"/>
                <w:lang w:bidi="ar"/>
              </w:rPr>
              <w:t>处理设施是作为工艺设备之一，单位面积</w:t>
            </w:r>
            <w:r>
              <w:rPr>
                <w:rFonts w:ascii="Times New Roman" w:eastAsia="仿宋"/>
                <w:sz w:val="21"/>
                <w:szCs w:val="21"/>
                <w:lang w:bidi="ar"/>
              </w:rPr>
              <w:t xml:space="preserve"> VOCs </w:t>
            </w:r>
            <w:r>
              <w:rPr>
                <w:rFonts w:hint="eastAsia" w:ascii="Times New Roman" w:eastAsia="仿宋"/>
                <w:sz w:val="21"/>
                <w:szCs w:val="21"/>
                <w:lang w:bidi="ar"/>
              </w:rPr>
              <w:t>产生量是指处理设施处理后出口的含量。</w:t>
            </w:r>
            <w:r>
              <w:rPr>
                <w:rFonts w:ascii="Times New Roman" w:eastAsia="仿宋"/>
                <w:sz w:val="21"/>
                <w:szCs w:val="21"/>
                <w:lang w:bidi="ar"/>
              </w:rPr>
              <w:br w:type="textWrapping"/>
            </w:r>
            <w:r>
              <w:rPr>
                <w:rFonts w:ascii="Times New Roman" w:eastAsia="仿宋"/>
                <w:sz w:val="21"/>
                <w:szCs w:val="21"/>
                <w:lang w:bidi="ar"/>
              </w:rPr>
              <w:t xml:space="preserve">      </w:t>
            </w:r>
            <w:r>
              <w:rPr>
                <w:rFonts w:hint="eastAsia" w:ascii="Times New Roman" w:eastAsia="仿宋"/>
                <w:sz w:val="21"/>
                <w:szCs w:val="21"/>
                <w:lang w:bidi="ar"/>
              </w:rPr>
              <w:t>注</w:t>
            </w:r>
            <w:r>
              <w:rPr>
                <w:rFonts w:ascii="Times New Roman" w:eastAsia="仿宋"/>
                <w:sz w:val="21"/>
                <w:szCs w:val="21"/>
                <w:lang w:bidi="ar"/>
              </w:rPr>
              <w:t>3</w:t>
            </w:r>
            <w:r>
              <w:rPr>
                <w:rFonts w:hint="eastAsia" w:ascii="Times New Roman" w:eastAsia="仿宋"/>
                <w:sz w:val="21"/>
                <w:szCs w:val="21"/>
                <w:lang w:bidi="ar"/>
              </w:rPr>
              <w:t>：底漆、中涂、面漆</w:t>
            </w:r>
            <w:r>
              <w:rPr>
                <w:rFonts w:ascii="Times New Roman" w:eastAsia="仿宋"/>
                <w:sz w:val="21"/>
                <w:szCs w:val="21"/>
                <w:lang w:bidi="ar"/>
              </w:rPr>
              <w:t xml:space="preserve"> VOCs </w:t>
            </w:r>
            <w:r>
              <w:rPr>
                <w:rFonts w:hint="eastAsia" w:ascii="Times New Roman" w:eastAsia="仿宋"/>
                <w:sz w:val="21"/>
                <w:szCs w:val="21"/>
                <w:lang w:bidi="ar"/>
              </w:rPr>
              <w:t>含量指的是涂料包装物的</w:t>
            </w:r>
            <w:r>
              <w:rPr>
                <w:rFonts w:ascii="Times New Roman" w:eastAsia="仿宋"/>
                <w:sz w:val="21"/>
                <w:szCs w:val="21"/>
                <w:lang w:bidi="ar"/>
              </w:rPr>
              <w:t xml:space="preserve"> VOCs </w:t>
            </w:r>
            <w:r>
              <w:rPr>
                <w:rFonts w:hint="eastAsia" w:ascii="Times New Roman" w:eastAsia="仿宋"/>
                <w:sz w:val="21"/>
                <w:szCs w:val="21"/>
                <w:lang w:bidi="ar"/>
              </w:rPr>
              <w:t>重量百分比，固体份含量指的是包装物的固体份重量百分比；</w:t>
            </w:r>
            <w:r>
              <w:rPr>
                <w:rFonts w:ascii="Times New Roman" w:eastAsia="仿宋"/>
                <w:sz w:val="21"/>
                <w:szCs w:val="21"/>
                <w:lang w:bidi="ar"/>
              </w:rPr>
              <w:t xml:space="preserve"> </w:t>
            </w:r>
            <w:r>
              <w:rPr>
                <w:rFonts w:hint="eastAsia" w:ascii="Times New Roman" w:eastAsia="仿宋"/>
                <w:sz w:val="21"/>
                <w:szCs w:val="21"/>
                <w:lang w:bidi="ar"/>
              </w:rPr>
              <w:t>喷枪清洗液</w:t>
            </w:r>
            <w:r>
              <w:rPr>
                <w:rFonts w:ascii="Times New Roman" w:eastAsia="仿宋"/>
                <w:sz w:val="21"/>
                <w:szCs w:val="21"/>
                <w:lang w:bidi="ar"/>
              </w:rPr>
              <w:t xml:space="preserve"> VOCs </w:t>
            </w:r>
            <w:r>
              <w:rPr>
                <w:rFonts w:hint="eastAsia" w:ascii="Times New Roman" w:eastAsia="仿宋"/>
                <w:sz w:val="21"/>
                <w:szCs w:val="21"/>
                <w:lang w:bidi="ar"/>
              </w:rPr>
              <w:t>含量指的是施工状</w:t>
            </w:r>
            <w:r>
              <w:rPr>
                <w:rFonts w:ascii="Times New Roman" w:eastAsia="仿宋"/>
                <w:sz w:val="21"/>
                <w:szCs w:val="21"/>
                <w:lang w:bidi="ar"/>
              </w:rPr>
              <w:br w:type="textWrapping"/>
            </w:r>
            <w:r>
              <w:rPr>
                <w:rFonts w:hint="eastAsia" w:ascii="Times New Roman" w:eastAsia="仿宋"/>
                <w:sz w:val="21"/>
                <w:szCs w:val="21"/>
                <w:lang w:bidi="ar"/>
              </w:rPr>
              <w:t>态的喷枪清洗液</w:t>
            </w:r>
            <w:r>
              <w:rPr>
                <w:rFonts w:ascii="Times New Roman" w:eastAsia="仿宋"/>
                <w:sz w:val="21"/>
                <w:szCs w:val="21"/>
                <w:lang w:bidi="ar"/>
              </w:rPr>
              <w:t xml:space="preserve"> VOCs </w:t>
            </w:r>
            <w:r>
              <w:rPr>
                <w:rFonts w:hint="eastAsia" w:ascii="Times New Roman" w:eastAsia="仿宋"/>
                <w:sz w:val="21"/>
                <w:szCs w:val="21"/>
                <w:lang w:bidi="ar"/>
              </w:rPr>
              <w:t>含量。</w:t>
            </w:r>
            <w:r>
              <w:rPr>
                <w:rFonts w:ascii="Times New Roman" w:eastAsia="仿宋"/>
                <w:sz w:val="21"/>
                <w:szCs w:val="21"/>
                <w:lang w:bidi="ar"/>
              </w:rPr>
              <w:br w:type="textWrapping"/>
            </w:r>
            <w:r>
              <w:rPr>
                <w:rFonts w:ascii="Times New Roman" w:eastAsia="仿宋"/>
                <w:sz w:val="21"/>
                <w:szCs w:val="21"/>
                <w:lang w:bidi="ar"/>
              </w:rPr>
              <w:t xml:space="preserve">      </w:t>
            </w:r>
            <w:r>
              <w:rPr>
                <w:rFonts w:hint="eastAsia" w:ascii="Times New Roman" w:eastAsia="仿宋"/>
                <w:sz w:val="21"/>
                <w:szCs w:val="21"/>
                <w:lang w:bidi="ar"/>
              </w:rPr>
              <w:t>注</w:t>
            </w:r>
            <w:r>
              <w:rPr>
                <w:rFonts w:ascii="Times New Roman" w:eastAsia="仿宋"/>
                <w:sz w:val="21"/>
                <w:szCs w:val="21"/>
                <w:lang w:bidi="ar"/>
              </w:rPr>
              <w:t>4</w:t>
            </w:r>
            <w:r>
              <w:rPr>
                <w:rFonts w:hint="eastAsia" w:ascii="Times New Roman" w:eastAsia="仿宋"/>
                <w:sz w:val="21"/>
                <w:szCs w:val="21"/>
                <w:lang w:bidi="ar"/>
              </w:rPr>
              <w:t>：资源和能源消耗指标分为两种考核方式：单位面积综合能耗、单位重量综合能耗；当涂装产品壁厚</w:t>
            </w:r>
            <w:r>
              <w:rPr>
                <w:rFonts w:ascii="Times New Roman" w:eastAsia="仿宋"/>
                <w:sz w:val="21"/>
                <w:szCs w:val="21"/>
                <w:lang w:bidi="ar"/>
              </w:rPr>
              <w:t>≥3mm</w:t>
            </w:r>
            <w:r>
              <w:rPr>
                <w:rFonts w:hint="eastAsia" w:ascii="Times New Roman" w:eastAsia="仿宋"/>
                <w:sz w:val="21"/>
                <w:szCs w:val="21"/>
                <w:lang w:bidi="ar"/>
              </w:rPr>
              <w:t>，可选用单位重量综合能耗作为考核指标。</w:t>
            </w:r>
            <w:r>
              <w:rPr>
                <w:rFonts w:ascii="Times New Roman" w:eastAsia="仿宋"/>
                <w:sz w:val="21"/>
                <w:szCs w:val="21"/>
                <w:lang w:bidi="ar"/>
              </w:rPr>
              <w:br w:type="textWrapping"/>
            </w:r>
            <w:r>
              <w:rPr>
                <w:rFonts w:ascii="Times New Roman" w:eastAsia="仿宋"/>
                <w:sz w:val="21"/>
                <w:szCs w:val="21"/>
                <w:lang w:bidi="ar"/>
              </w:rPr>
              <w:t xml:space="preserve">      </w:t>
            </w:r>
            <w:r>
              <w:rPr>
                <w:rFonts w:hint="eastAsia" w:ascii="Times New Roman" w:eastAsia="仿宋"/>
                <w:sz w:val="21"/>
                <w:szCs w:val="21"/>
                <w:lang w:bidi="ar"/>
              </w:rPr>
              <w:t>注</w:t>
            </w:r>
            <w:r>
              <w:rPr>
                <w:rFonts w:ascii="Times New Roman" w:eastAsia="仿宋"/>
                <w:sz w:val="21"/>
                <w:szCs w:val="21"/>
                <w:lang w:bidi="ar"/>
              </w:rPr>
              <w:t>5</w:t>
            </w:r>
            <w:r>
              <w:rPr>
                <w:rFonts w:hint="eastAsia" w:ascii="Times New Roman" w:eastAsia="仿宋"/>
                <w:sz w:val="21"/>
                <w:szCs w:val="21"/>
                <w:lang w:bidi="ar"/>
              </w:rPr>
              <w:t>：漆雾捕集效率，新一代文丘里漆雾捕集装置，干式漆雾捕集装置（石灰石法、静电法）的漆雾捕集效率均</w:t>
            </w:r>
            <w:r>
              <w:rPr>
                <w:rFonts w:ascii="Times New Roman" w:eastAsia="仿宋"/>
                <w:sz w:val="21"/>
                <w:szCs w:val="21"/>
                <w:lang w:bidi="ar"/>
              </w:rPr>
              <w:t>≥95%</w:t>
            </w:r>
            <w:r>
              <w:rPr>
                <w:rFonts w:hint="eastAsia" w:ascii="Times New Roman" w:eastAsia="仿宋"/>
                <w:sz w:val="21"/>
                <w:szCs w:val="21"/>
                <w:lang w:bidi="ar"/>
              </w:rPr>
              <w:t>，普通文丘里、水旋漆雾捕集装置的漆雾捕</w:t>
            </w:r>
            <w:r>
              <w:rPr>
                <w:rFonts w:ascii="Times New Roman" w:eastAsia="仿宋"/>
                <w:sz w:val="21"/>
                <w:szCs w:val="21"/>
                <w:lang w:bidi="ar"/>
              </w:rPr>
              <w:br w:type="textWrapping"/>
            </w:r>
            <w:r>
              <w:rPr>
                <w:rFonts w:hint="eastAsia" w:ascii="Times New Roman" w:eastAsia="仿宋"/>
                <w:sz w:val="21"/>
                <w:szCs w:val="21"/>
                <w:lang w:bidi="ar"/>
              </w:rPr>
              <w:t>集效率</w:t>
            </w:r>
            <w:r>
              <w:rPr>
                <w:rFonts w:ascii="Times New Roman" w:eastAsia="仿宋"/>
                <w:sz w:val="21"/>
                <w:szCs w:val="21"/>
                <w:lang w:bidi="ar"/>
              </w:rPr>
              <w:t>≥90%</w:t>
            </w:r>
            <w:r>
              <w:rPr>
                <w:rFonts w:hint="eastAsia" w:ascii="Times New Roman" w:eastAsia="仿宋"/>
                <w:sz w:val="21"/>
                <w:szCs w:val="21"/>
                <w:lang w:bidi="ar"/>
              </w:rPr>
              <w:t>，新一代水帘漆雾捕集装置的漆雾捕集效率</w:t>
            </w:r>
            <w:r>
              <w:rPr>
                <w:rFonts w:ascii="Times New Roman" w:eastAsia="仿宋"/>
                <w:sz w:val="21"/>
                <w:szCs w:val="21"/>
                <w:lang w:bidi="ar"/>
              </w:rPr>
              <w:t>≥85%</w:t>
            </w:r>
            <w:r>
              <w:rPr>
                <w:rFonts w:hint="eastAsia" w:ascii="Times New Roman" w:eastAsia="仿宋"/>
                <w:sz w:val="21"/>
                <w:szCs w:val="21"/>
                <w:lang w:bidi="ar"/>
              </w:rPr>
              <w:t>。</w:t>
            </w:r>
          </w:p>
        </w:tc>
        <w:tc>
          <w:tcPr>
            <w:tcW w:w="2201" w:type="dxa"/>
            <w:tcBorders>
              <w:top w:val="single" w:color="000000" w:sz="4" w:space="0"/>
              <w:left w:val="single" w:color="000000" w:sz="8" w:space="0"/>
              <w:bottom w:val="single" w:color="000000" w:sz="4" w:space="0"/>
              <w:right w:val="single" w:color="000000" w:sz="8" w:space="0"/>
            </w:tcBorders>
            <w:vAlign w:val="center"/>
          </w:tcPr>
          <w:p w14:paraId="41B25ABE">
            <w:pPr>
              <w:widowControl/>
              <w:jc w:val="center"/>
              <w:textAlignment w:val="top"/>
              <w:rPr>
                <w:rFonts w:ascii="Times New Roman" w:eastAsia="仿宋"/>
                <w:sz w:val="21"/>
                <w:szCs w:val="21"/>
              </w:rPr>
            </w:pPr>
            <w:r>
              <w:rPr>
                <w:rFonts w:hint="eastAsia" w:ascii="Times New Roman" w:eastAsia="仿宋"/>
                <w:sz w:val="21"/>
                <w:szCs w:val="21"/>
              </w:rPr>
              <w:t>/</w:t>
            </w:r>
          </w:p>
        </w:tc>
        <w:tc>
          <w:tcPr>
            <w:tcW w:w="796" w:type="dxa"/>
            <w:tcBorders>
              <w:top w:val="single" w:color="000000" w:sz="4" w:space="0"/>
              <w:left w:val="single" w:color="000000" w:sz="8" w:space="0"/>
              <w:bottom w:val="single" w:color="000000" w:sz="4" w:space="0"/>
              <w:right w:val="single" w:color="000000" w:sz="8" w:space="0"/>
            </w:tcBorders>
            <w:vAlign w:val="center"/>
          </w:tcPr>
          <w:p w14:paraId="22AC9C26">
            <w:pPr>
              <w:widowControl/>
              <w:jc w:val="center"/>
              <w:textAlignment w:val="top"/>
              <w:rPr>
                <w:rFonts w:ascii="Times New Roman" w:eastAsia="仿宋"/>
                <w:sz w:val="21"/>
                <w:szCs w:val="21"/>
              </w:rPr>
            </w:pPr>
            <w:r>
              <w:rPr>
                <w:rFonts w:hint="eastAsia" w:ascii="Times New Roman" w:eastAsia="仿宋"/>
                <w:sz w:val="21"/>
                <w:szCs w:val="21"/>
              </w:rPr>
              <w:t>/</w:t>
            </w:r>
          </w:p>
        </w:tc>
      </w:tr>
      <w:tr w14:paraId="4DB6AE5B">
        <w:tblPrEx>
          <w:tblCellMar>
            <w:top w:w="0" w:type="dxa"/>
            <w:left w:w="108" w:type="dxa"/>
            <w:bottom w:w="0" w:type="dxa"/>
            <w:right w:w="108" w:type="dxa"/>
          </w:tblCellMar>
        </w:tblPrEx>
        <w:trPr>
          <w:trHeight w:val="23" w:hRule="atLeast"/>
          <w:jc w:val="center"/>
        </w:trPr>
        <w:tc>
          <w:tcPr>
            <w:tcW w:w="10196" w:type="dxa"/>
            <w:gridSpan w:val="11"/>
            <w:tcBorders>
              <w:top w:val="single" w:color="000000" w:sz="4" w:space="0"/>
              <w:left w:val="single" w:color="000000" w:sz="8" w:space="0"/>
              <w:bottom w:val="single" w:color="000000" w:sz="8" w:space="0"/>
              <w:right w:val="single" w:color="000000" w:sz="8" w:space="0"/>
            </w:tcBorders>
            <w:vAlign w:val="center"/>
          </w:tcPr>
          <w:p w14:paraId="7BB95B80">
            <w:pPr>
              <w:widowControl/>
              <w:jc w:val="center"/>
              <w:textAlignment w:val="top"/>
              <w:rPr>
                <w:rFonts w:ascii="Times New Roman" w:eastAsia="仿宋"/>
                <w:sz w:val="21"/>
                <w:szCs w:val="21"/>
              </w:rPr>
            </w:pPr>
            <w:r>
              <w:rPr>
                <w:rFonts w:ascii="Times New Roman" w:eastAsia="仿宋"/>
                <w:sz w:val="21"/>
                <w:szCs w:val="21"/>
                <w:lang w:bidi="ar"/>
              </w:rPr>
              <w:t xml:space="preserve">             b </w:t>
            </w:r>
            <w:r>
              <w:rPr>
                <w:rFonts w:hint="eastAsia" w:ascii="Times New Roman" w:eastAsia="仿宋"/>
                <w:sz w:val="21"/>
                <w:szCs w:val="21"/>
                <w:lang w:bidi="ar"/>
              </w:rPr>
              <w:t>节水技术应用包括：湿式喷漆室有循环系统、除渣措施，干式喷漆室为节水型设备或其他节水的新技术应用（应用以上技术之一即可）。</w:t>
            </w:r>
            <w:r>
              <w:rPr>
                <w:rFonts w:ascii="Times New Roman" w:eastAsia="仿宋"/>
                <w:sz w:val="21"/>
                <w:szCs w:val="21"/>
                <w:lang w:bidi="ar"/>
              </w:rPr>
              <w:br w:type="textWrapping"/>
            </w:r>
            <w:r>
              <w:rPr>
                <w:rFonts w:ascii="Times New Roman" w:eastAsia="仿宋"/>
                <w:sz w:val="21"/>
                <w:szCs w:val="21"/>
                <w:lang w:bidi="ar"/>
              </w:rPr>
              <w:t xml:space="preserve">             c </w:t>
            </w:r>
            <w:r>
              <w:rPr>
                <w:rFonts w:hint="eastAsia" w:ascii="Times New Roman" w:eastAsia="仿宋"/>
                <w:sz w:val="21"/>
                <w:szCs w:val="21"/>
                <w:lang w:bidi="ar"/>
              </w:rPr>
              <w:t>节能技术应用包括：</w:t>
            </w:r>
            <w:r>
              <w:rPr>
                <w:rFonts w:ascii="Times New Roman" w:eastAsia="仿宋"/>
                <w:sz w:val="21"/>
                <w:szCs w:val="21"/>
                <w:lang w:bidi="ar"/>
              </w:rPr>
              <w:t xml:space="preserve"> </w:t>
            </w:r>
            <w:r>
              <w:rPr>
                <w:rFonts w:hint="eastAsia" w:ascii="Times New Roman" w:eastAsia="仿宋"/>
                <w:sz w:val="21"/>
                <w:szCs w:val="21"/>
                <w:lang w:bidi="ar"/>
              </w:rPr>
              <w:t>余热利用；</w:t>
            </w:r>
            <w:r>
              <w:rPr>
                <w:rFonts w:ascii="Times New Roman" w:eastAsia="仿宋"/>
                <w:sz w:val="21"/>
                <w:szCs w:val="21"/>
                <w:lang w:bidi="ar"/>
              </w:rPr>
              <w:t xml:space="preserve"> </w:t>
            </w:r>
            <w:r>
              <w:rPr>
                <w:rFonts w:hint="eastAsia" w:ascii="Times New Roman" w:eastAsia="仿宋"/>
                <w:sz w:val="21"/>
                <w:szCs w:val="21"/>
                <w:lang w:bidi="ar"/>
              </w:rPr>
              <w:t>应用变频电机等节能措施，可按需调节水量、风量、能耗；</w:t>
            </w:r>
            <w:r>
              <w:rPr>
                <w:rFonts w:ascii="Times New Roman" w:eastAsia="仿宋"/>
                <w:sz w:val="21"/>
                <w:szCs w:val="21"/>
                <w:lang w:bidi="ar"/>
              </w:rPr>
              <w:t xml:space="preserve"> </w:t>
            </w:r>
            <w:r>
              <w:rPr>
                <w:rFonts w:hint="eastAsia" w:ascii="Times New Roman" w:eastAsia="仿宋"/>
                <w:sz w:val="21"/>
                <w:szCs w:val="21"/>
                <w:lang w:bidi="ar"/>
              </w:rPr>
              <w:t>喷漆室应用循环风技术；</w:t>
            </w:r>
            <w:r>
              <w:rPr>
                <w:rFonts w:ascii="Times New Roman" w:eastAsia="仿宋"/>
                <w:sz w:val="21"/>
                <w:szCs w:val="21"/>
                <w:lang w:bidi="ar"/>
              </w:rPr>
              <w:t xml:space="preserve"> </w:t>
            </w:r>
            <w:r>
              <w:rPr>
                <w:rFonts w:hint="eastAsia" w:ascii="Times New Roman" w:eastAsia="仿宋"/>
                <w:sz w:val="21"/>
                <w:szCs w:val="21"/>
                <w:lang w:bidi="ar"/>
              </w:rPr>
              <w:t>烘干室采用桥式、风幕等防止热气外溢的节能措施；厚壁产品、大型（重量大）</w:t>
            </w:r>
            <w:r>
              <w:rPr>
                <w:rFonts w:ascii="Times New Roman" w:eastAsia="仿宋"/>
                <w:sz w:val="21"/>
                <w:szCs w:val="21"/>
                <w:lang w:bidi="ar"/>
              </w:rPr>
              <w:t xml:space="preserve"> </w:t>
            </w:r>
            <w:r>
              <w:rPr>
                <w:rFonts w:hint="eastAsia" w:ascii="Times New Roman" w:eastAsia="仿宋"/>
                <w:sz w:val="21"/>
                <w:szCs w:val="21"/>
                <w:lang w:bidi="ar"/>
              </w:rPr>
              <w:t>产品涂层应用辐射等节能加热方式；</w:t>
            </w:r>
            <w:r>
              <w:rPr>
                <w:rFonts w:ascii="Times New Roman" w:eastAsia="仿宋"/>
                <w:sz w:val="21"/>
                <w:szCs w:val="21"/>
                <w:lang w:bidi="ar"/>
              </w:rPr>
              <w:t xml:space="preserve"> </w:t>
            </w:r>
            <w:r>
              <w:rPr>
                <w:rFonts w:hint="eastAsia" w:ascii="Times New Roman" w:eastAsia="仿宋"/>
                <w:sz w:val="21"/>
                <w:szCs w:val="21"/>
                <w:lang w:bidi="ar"/>
              </w:rPr>
              <w:t>排气能源回收利用；</w:t>
            </w:r>
            <w:r>
              <w:rPr>
                <w:rFonts w:ascii="Times New Roman" w:eastAsia="仿宋"/>
                <w:sz w:val="21"/>
                <w:szCs w:val="21"/>
                <w:lang w:bidi="ar"/>
              </w:rPr>
              <w:t xml:space="preserve"> </w:t>
            </w:r>
            <w:r>
              <w:rPr>
                <w:rFonts w:hint="eastAsia" w:ascii="Times New Roman" w:eastAsia="仿宋"/>
                <w:sz w:val="21"/>
                <w:szCs w:val="21"/>
                <w:lang w:bidi="ar"/>
              </w:rPr>
              <w:t>应用简洁、节能的工艺；应用中低温固化的涂料；</w:t>
            </w:r>
            <w:r>
              <w:rPr>
                <w:rFonts w:ascii="Times New Roman" w:eastAsia="仿宋"/>
                <w:sz w:val="21"/>
                <w:szCs w:val="21"/>
                <w:lang w:bidi="ar"/>
              </w:rPr>
              <w:t xml:space="preserve"> </w:t>
            </w:r>
            <w:r>
              <w:rPr>
                <w:rFonts w:hint="eastAsia" w:ascii="Times New Roman" w:eastAsia="仿宋"/>
                <w:sz w:val="21"/>
                <w:szCs w:val="21"/>
                <w:lang w:bidi="ar"/>
              </w:rPr>
              <w:t>具有良好的保温措施；</w:t>
            </w:r>
            <w:r>
              <w:rPr>
                <w:rFonts w:ascii="Times New Roman" w:eastAsia="仿宋"/>
                <w:sz w:val="21"/>
                <w:szCs w:val="21"/>
                <w:lang w:bidi="ar"/>
              </w:rPr>
              <w:t xml:space="preserve"> </w:t>
            </w:r>
            <w:r>
              <w:rPr>
                <w:rFonts w:hint="eastAsia" w:ascii="Times New Roman" w:eastAsia="仿宋"/>
                <w:sz w:val="21"/>
                <w:szCs w:val="21"/>
                <w:lang w:bidi="ar"/>
              </w:rPr>
              <w:t>或其他节约能耗的新技术应用（应用以上技术之一即可）。</w:t>
            </w:r>
            <w:r>
              <w:rPr>
                <w:rFonts w:ascii="Times New Roman" w:eastAsia="仿宋"/>
                <w:sz w:val="21"/>
                <w:szCs w:val="21"/>
                <w:lang w:bidi="ar"/>
              </w:rPr>
              <w:br w:type="textWrapping"/>
            </w:r>
            <w:r>
              <w:rPr>
                <w:rFonts w:ascii="Times New Roman" w:eastAsia="仿宋"/>
                <w:sz w:val="21"/>
                <w:szCs w:val="21"/>
                <w:lang w:bidi="ar"/>
              </w:rPr>
              <w:t xml:space="preserve">             e </w:t>
            </w:r>
            <w:r>
              <w:rPr>
                <w:rFonts w:hint="eastAsia" w:ascii="Times New Roman" w:eastAsia="仿宋"/>
                <w:sz w:val="21"/>
                <w:szCs w:val="21"/>
                <w:lang w:bidi="ar"/>
              </w:rPr>
              <w:t>废溶剂收集、处理：换色、洗枪、管道清洗产生的废溶剂需要全部收集，废溶剂处理可委外处理，此废溶剂不计入单位面积的</w:t>
            </w:r>
            <w:r>
              <w:rPr>
                <w:rFonts w:ascii="Times New Roman" w:eastAsia="仿宋"/>
                <w:sz w:val="21"/>
                <w:szCs w:val="21"/>
                <w:lang w:bidi="ar"/>
              </w:rPr>
              <w:t xml:space="preserve"> CODcr </w:t>
            </w:r>
            <w:r>
              <w:rPr>
                <w:rFonts w:hint="eastAsia" w:ascii="Times New Roman" w:eastAsia="仿宋"/>
                <w:sz w:val="21"/>
                <w:szCs w:val="21"/>
                <w:lang w:bidi="ar"/>
              </w:rPr>
              <w:t>产生量。</w:t>
            </w:r>
            <w:r>
              <w:rPr>
                <w:rFonts w:ascii="Times New Roman" w:eastAsia="仿宋"/>
                <w:sz w:val="21"/>
                <w:szCs w:val="21"/>
                <w:lang w:bidi="ar"/>
              </w:rPr>
              <w:br w:type="textWrapping"/>
            </w:r>
            <w:r>
              <w:rPr>
                <w:rFonts w:ascii="Times New Roman" w:eastAsia="仿宋"/>
                <w:sz w:val="21"/>
                <w:szCs w:val="21"/>
                <w:lang w:bidi="ar"/>
              </w:rPr>
              <w:t xml:space="preserve">            j  </w:t>
            </w:r>
            <w:r>
              <w:rPr>
                <w:rFonts w:hint="eastAsia" w:ascii="Times New Roman" w:eastAsia="仿宋"/>
                <w:sz w:val="21"/>
                <w:szCs w:val="21"/>
                <w:lang w:bidi="ar"/>
              </w:rPr>
              <w:t>加热装置多级调节：燃油、燃气为比例调节；电加热为调功器调节；蒸气为流量、压力调节阀；包括温度可调。</w:t>
            </w:r>
            <w:r>
              <w:rPr>
                <w:rFonts w:ascii="Times New Roman" w:eastAsia="仿宋"/>
                <w:sz w:val="21"/>
                <w:szCs w:val="21"/>
                <w:lang w:bidi="ar"/>
              </w:rPr>
              <w:t>*</w:t>
            </w:r>
            <w:r>
              <w:rPr>
                <w:rFonts w:hint="eastAsia" w:ascii="Times New Roman" w:eastAsia="仿宋"/>
                <w:sz w:val="21"/>
                <w:szCs w:val="21"/>
                <w:lang w:bidi="ar"/>
              </w:rPr>
              <w:t>为限定性指标。</w:t>
            </w:r>
          </w:p>
        </w:tc>
        <w:tc>
          <w:tcPr>
            <w:tcW w:w="2201" w:type="dxa"/>
            <w:tcBorders>
              <w:top w:val="single" w:color="000000" w:sz="4" w:space="0"/>
              <w:left w:val="single" w:color="000000" w:sz="8" w:space="0"/>
              <w:bottom w:val="single" w:color="000000" w:sz="8" w:space="0"/>
              <w:right w:val="single" w:color="000000" w:sz="8" w:space="0"/>
            </w:tcBorders>
            <w:vAlign w:val="center"/>
          </w:tcPr>
          <w:p w14:paraId="11F7DF71">
            <w:pPr>
              <w:widowControl/>
              <w:jc w:val="center"/>
              <w:textAlignment w:val="center"/>
              <w:rPr>
                <w:rFonts w:ascii="Times New Roman"/>
                <w:sz w:val="18"/>
                <w:szCs w:val="18"/>
                <w:lang w:bidi="ar"/>
              </w:rPr>
            </w:pPr>
            <w:r>
              <w:rPr>
                <w:rFonts w:hint="eastAsia" w:ascii="Times New Roman"/>
                <w:sz w:val="18"/>
                <w:szCs w:val="18"/>
                <w:lang w:bidi="ar"/>
              </w:rPr>
              <w:t>/</w:t>
            </w:r>
          </w:p>
        </w:tc>
        <w:tc>
          <w:tcPr>
            <w:tcW w:w="796" w:type="dxa"/>
            <w:tcBorders>
              <w:top w:val="single" w:color="000000" w:sz="4" w:space="0"/>
              <w:left w:val="single" w:color="000000" w:sz="8" w:space="0"/>
              <w:bottom w:val="single" w:color="000000" w:sz="8" w:space="0"/>
              <w:right w:val="single" w:color="000000" w:sz="8" w:space="0"/>
            </w:tcBorders>
            <w:vAlign w:val="center"/>
          </w:tcPr>
          <w:p w14:paraId="11BFD619">
            <w:pPr>
              <w:widowControl/>
              <w:jc w:val="center"/>
              <w:textAlignment w:val="center"/>
              <w:rPr>
                <w:rFonts w:ascii="Times New Roman"/>
                <w:sz w:val="18"/>
                <w:szCs w:val="18"/>
                <w:lang w:bidi="ar"/>
              </w:rPr>
            </w:pPr>
            <w:r>
              <w:rPr>
                <w:rFonts w:hint="eastAsia" w:ascii="Times New Roman"/>
                <w:sz w:val="18"/>
                <w:szCs w:val="18"/>
                <w:lang w:bidi="ar"/>
              </w:rPr>
              <w:t>/</w:t>
            </w:r>
          </w:p>
        </w:tc>
      </w:tr>
    </w:tbl>
    <w:p w14:paraId="6C1F595C">
      <w:pPr>
        <w:spacing w:line="480" w:lineRule="exact"/>
        <w:jc w:val="center"/>
        <w:rPr>
          <w:rFonts w:ascii="Times New Roman" w:eastAsia="仿宋"/>
          <w:b/>
        </w:rPr>
      </w:pPr>
      <w:r>
        <w:rPr>
          <w:rFonts w:hint="eastAsia" w:ascii="Times New Roman" w:eastAsia="仿宋"/>
          <w:b/>
        </w:rPr>
        <w:t>表</w:t>
      </w:r>
      <w:r>
        <w:rPr>
          <w:rFonts w:ascii="Times New Roman" w:eastAsia="仿宋"/>
          <w:b/>
        </w:rPr>
        <w:t>3</w:t>
      </w:r>
      <w:r>
        <w:rPr>
          <w:rFonts w:hint="eastAsia" w:ascii="Times New Roman" w:eastAsia="仿宋"/>
          <w:b/>
        </w:rPr>
        <w:t>.</w:t>
      </w:r>
      <w:r>
        <w:rPr>
          <w:rFonts w:ascii="Times New Roman" w:eastAsia="仿宋"/>
          <w:b/>
        </w:rPr>
        <w:t>6-2</w:t>
      </w:r>
      <w:r>
        <w:rPr>
          <w:rFonts w:hint="eastAsia" w:ascii="Times New Roman" w:eastAsia="仿宋"/>
          <w:b/>
        </w:rPr>
        <w:t>清洁生产管理评价指标项目、权重及基准值</w:t>
      </w:r>
    </w:p>
    <w:tbl>
      <w:tblPr>
        <w:tblStyle w:val="87"/>
        <w:tblW w:w="5001" w:type="pct"/>
        <w:jc w:val="center"/>
        <w:tblLayout w:type="autofit"/>
        <w:tblCellMar>
          <w:top w:w="0" w:type="dxa"/>
          <w:left w:w="108" w:type="dxa"/>
          <w:bottom w:w="0" w:type="dxa"/>
          <w:right w:w="108" w:type="dxa"/>
        </w:tblCellMar>
      </w:tblPr>
      <w:tblGrid>
        <w:gridCol w:w="575"/>
        <w:gridCol w:w="672"/>
        <w:gridCol w:w="670"/>
        <w:gridCol w:w="1194"/>
        <w:gridCol w:w="852"/>
        <w:gridCol w:w="2265"/>
        <w:gridCol w:w="1985"/>
        <w:gridCol w:w="336"/>
        <w:gridCol w:w="523"/>
        <w:gridCol w:w="4180"/>
        <w:gridCol w:w="925"/>
      </w:tblGrid>
      <w:tr w14:paraId="4037E983">
        <w:tblPrEx>
          <w:tblCellMar>
            <w:top w:w="0" w:type="dxa"/>
            <w:left w:w="108" w:type="dxa"/>
            <w:bottom w:w="0" w:type="dxa"/>
            <w:right w:w="108" w:type="dxa"/>
          </w:tblCellMar>
        </w:tblPrEx>
        <w:trPr>
          <w:trHeight w:val="23" w:hRule="atLeast"/>
          <w:jc w:val="center"/>
        </w:trPr>
        <w:tc>
          <w:tcPr>
            <w:tcW w:w="566" w:type="dxa"/>
            <w:tcBorders>
              <w:top w:val="single" w:color="000000" w:sz="8" w:space="0"/>
              <w:left w:val="single" w:color="000000" w:sz="8" w:space="0"/>
              <w:bottom w:val="single" w:color="000000" w:sz="4" w:space="0"/>
              <w:right w:val="single" w:color="000000" w:sz="4" w:space="0"/>
            </w:tcBorders>
            <w:vAlign w:val="center"/>
          </w:tcPr>
          <w:p w14:paraId="43426F29">
            <w:pPr>
              <w:jc w:val="center"/>
              <w:rPr>
                <w:rFonts w:ascii="Times New Roman" w:eastAsia="仿宋"/>
                <w:szCs w:val="21"/>
              </w:rPr>
            </w:pPr>
            <w:r>
              <w:rPr>
                <w:rFonts w:hint="eastAsia" w:ascii="Times New Roman" w:eastAsia="仿宋"/>
                <w:szCs w:val="21"/>
              </w:rPr>
              <w:t>序号</w:t>
            </w:r>
          </w:p>
        </w:tc>
        <w:tc>
          <w:tcPr>
            <w:tcW w:w="661" w:type="dxa"/>
            <w:tcBorders>
              <w:top w:val="single" w:color="000000" w:sz="8" w:space="0"/>
              <w:left w:val="single" w:color="000000" w:sz="4" w:space="0"/>
              <w:bottom w:val="single" w:color="000000" w:sz="4" w:space="0"/>
              <w:right w:val="single" w:color="000000" w:sz="4" w:space="0"/>
            </w:tcBorders>
            <w:vAlign w:val="center"/>
          </w:tcPr>
          <w:p w14:paraId="530F0F9C">
            <w:pPr>
              <w:jc w:val="center"/>
              <w:rPr>
                <w:rFonts w:ascii="Times New Roman" w:eastAsia="仿宋"/>
                <w:szCs w:val="21"/>
              </w:rPr>
            </w:pPr>
            <w:r>
              <w:rPr>
                <w:rFonts w:hint="eastAsia" w:ascii="Times New Roman" w:eastAsia="仿宋"/>
                <w:szCs w:val="21"/>
              </w:rPr>
              <w:t>一级指标</w:t>
            </w:r>
          </w:p>
        </w:tc>
        <w:tc>
          <w:tcPr>
            <w:tcW w:w="659" w:type="dxa"/>
            <w:tcBorders>
              <w:top w:val="single" w:color="000000" w:sz="8" w:space="0"/>
              <w:left w:val="single" w:color="000000" w:sz="4" w:space="0"/>
              <w:bottom w:val="single" w:color="000000" w:sz="4" w:space="0"/>
              <w:right w:val="single" w:color="000000" w:sz="4" w:space="0"/>
            </w:tcBorders>
            <w:vAlign w:val="center"/>
          </w:tcPr>
          <w:p w14:paraId="054B88DF">
            <w:pPr>
              <w:jc w:val="center"/>
              <w:rPr>
                <w:rFonts w:ascii="Times New Roman" w:eastAsia="仿宋"/>
                <w:szCs w:val="21"/>
              </w:rPr>
            </w:pPr>
            <w:r>
              <w:rPr>
                <w:rFonts w:hint="eastAsia" w:ascii="Times New Roman" w:eastAsia="仿宋"/>
                <w:szCs w:val="21"/>
              </w:rPr>
              <w:t>一级指标权重</w:t>
            </w:r>
          </w:p>
        </w:tc>
        <w:tc>
          <w:tcPr>
            <w:tcW w:w="1174" w:type="dxa"/>
            <w:tcBorders>
              <w:top w:val="single" w:color="000000" w:sz="8" w:space="0"/>
              <w:left w:val="single" w:color="000000" w:sz="4" w:space="0"/>
              <w:bottom w:val="single" w:color="000000" w:sz="4" w:space="0"/>
              <w:right w:val="single" w:color="000000" w:sz="4" w:space="0"/>
            </w:tcBorders>
            <w:vAlign w:val="center"/>
          </w:tcPr>
          <w:p w14:paraId="5DC22C13">
            <w:pPr>
              <w:jc w:val="center"/>
              <w:rPr>
                <w:rFonts w:ascii="Times New Roman" w:eastAsia="仿宋"/>
                <w:szCs w:val="21"/>
              </w:rPr>
            </w:pPr>
            <w:r>
              <w:rPr>
                <w:rFonts w:hint="eastAsia" w:ascii="Times New Roman" w:eastAsia="仿宋"/>
                <w:szCs w:val="21"/>
              </w:rPr>
              <w:t>二级指标</w:t>
            </w:r>
          </w:p>
        </w:tc>
        <w:tc>
          <w:tcPr>
            <w:tcW w:w="838" w:type="dxa"/>
            <w:tcBorders>
              <w:top w:val="single" w:color="000000" w:sz="8" w:space="0"/>
              <w:left w:val="single" w:color="000000" w:sz="4" w:space="0"/>
              <w:bottom w:val="single" w:color="000000" w:sz="4" w:space="0"/>
              <w:right w:val="single" w:color="000000" w:sz="4" w:space="0"/>
            </w:tcBorders>
            <w:vAlign w:val="center"/>
          </w:tcPr>
          <w:p w14:paraId="2A26ECAE">
            <w:pPr>
              <w:jc w:val="center"/>
              <w:rPr>
                <w:rFonts w:ascii="Times New Roman" w:eastAsia="仿宋"/>
                <w:szCs w:val="21"/>
              </w:rPr>
            </w:pPr>
            <w:r>
              <w:rPr>
                <w:rFonts w:hint="eastAsia" w:ascii="Times New Roman" w:eastAsia="仿宋"/>
                <w:szCs w:val="21"/>
              </w:rPr>
              <w:t>二级指标</w:t>
            </w:r>
            <w:r>
              <w:rPr>
                <w:rFonts w:ascii="Times New Roman" w:eastAsia="仿宋"/>
                <w:szCs w:val="21"/>
              </w:rPr>
              <w:br w:type="textWrapping"/>
            </w:r>
            <w:r>
              <w:rPr>
                <w:rFonts w:hint="eastAsia" w:ascii="Times New Roman" w:eastAsia="仿宋"/>
                <w:szCs w:val="21"/>
              </w:rPr>
              <w:t>权重</w:t>
            </w:r>
          </w:p>
        </w:tc>
        <w:tc>
          <w:tcPr>
            <w:tcW w:w="2227" w:type="dxa"/>
            <w:tcBorders>
              <w:top w:val="single" w:color="000000" w:sz="8" w:space="0"/>
              <w:left w:val="single" w:color="000000" w:sz="4" w:space="0"/>
              <w:bottom w:val="single" w:color="000000" w:sz="4" w:space="0"/>
              <w:right w:val="single" w:color="000000" w:sz="4" w:space="0"/>
            </w:tcBorders>
            <w:vAlign w:val="center"/>
          </w:tcPr>
          <w:p w14:paraId="5D39EE53">
            <w:pPr>
              <w:jc w:val="center"/>
              <w:rPr>
                <w:rFonts w:ascii="Times New Roman" w:eastAsia="仿宋"/>
                <w:szCs w:val="21"/>
              </w:rPr>
            </w:pPr>
            <w:r>
              <w:rPr>
                <w:rFonts w:ascii="Times New Roman" w:eastAsia="仿宋"/>
                <w:szCs w:val="21"/>
              </w:rPr>
              <w:t xml:space="preserve">I </w:t>
            </w:r>
            <w:r>
              <w:rPr>
                <w:rFonts w:hint="eastAsia" w:ascii="Times New Roman" w:eastAsia="仿宋"/>
                <w:szCs w:val="21"/>
              </w:rPr>
              <w:t>级基准值</w:t>
            </w:r>
          </w:p>
        </w:tc>
        <w:tc>
          <w:tcPr>
            <w:tcW w:w="1952" w:type="dxa"/>
            <w:tcBorders>
              <w:top w:val="single" w:color="000000" w:sz="8" w:space="0"/>
              <w:left w:val="single" w:color="000000" w:sz="4" w:space="0"/>
              <w:bottom w:val="single" w:color="000000" w:sz="4" w:space="0"/>
              <w:right w:val="single" w:color="000000" w:sz="4" w:space="0"/>
            </w:tcBorders>
            <w:vAlign w:val="center"/>
          </w:tcPr>
          <w:p w14:paraId="4E7CFF6A">
            <w:pPr>
              <w:jc w:val="center"/>
              <w:rPr>
                <w:rFonts w:ascii="Times New Roman" w:eastAsia="仿宋"/>
                <w:szCs w:val="21"/>
              </w:rPr>
            </w:pPr>
            <w:r>
              <w:rPr>
                <w:rFonts w:ascii="Times New Roman" w:eastAsia="仿宋"/>
                <w:szCs w:val="21"/>
              </w:rPr>
              <w:t xml:space="preserve">II </w:t>
            </w:r>
            <w:r>
              <w:rPr>
                <w:rFonts w:hint="eastAsia" w:ascii="Times New Roman" w:eastAsia="仿宋"/>
                <w:szCs w:val="21"/>
              </w:rPr>
              <w:t>级基准值</w:t>
            </w:r>
          </w:p>
        </w:tc>
        <w:tc>
          <w:tcPr>
            <w:tcW w:w="844" w:type="dxa"/>
            <w:gridSpan w:val="2"/>
            <w:tcBorders>
              <w:top w:val="single" w:color="000000" w:sz="8" w:space="0"/>
              <w:left w:val="single" w:color="000000" w:sz="4" w:space="0"/>
              <w:bottom w:val="single" w:color="000000" w:sz="4" w:space="0"/>
              <w:right w:val="single" w:color="000000" w:sz="8" w:space="0"/>
            </w:tcBorders>
            <w:vAlign w:val="center"/>
          </w:tcPr>
          <w:p w14:paraId="5D39BC0C">
            <w:pPr>
              <w:jc w:val="center"/>
              <w:rPr>
                <w:rFonts w:ascii="Times New Roman" w:eastAsia="仿宋"/>
                <w:szCs w:val="21"/>
              </w:rPr>
            </w:pPr>
            <w:r>
              <w:rPr>
                <w:rFonts w:ascii="Times New Roman" w:eastAsia="仿宋"/>
                <w:szCs w:val="21"/>
              </w:rPr>
              <w:t xml:space="preserve">III </w:t>
            </w:r>
            <w:r>
              <w:rPr>
                <w:rFonts w:hint="eastAsia" w:ascii="Times New Roman" w:eastAsia="仿宋"/>
                <w:szCs w:val="21"/>
              </w:rPr>
              <w:t>级基准值</w:t>
            </w:r>
          </w:p>
        </w:tc>
        <w:tc>
          <w:tcPr>
            <w:tcW w:w="4110" w:type="dxa"/>
            <w:tcBorders>
              <w:top w:val="single" w:color="000000" w:sz="8" w:space="0"/>
              <w:left w:val="single" w:color="000000" w:sz="4" w:space="0"/>
              <w:bottom w:val="single" w:color="000000" w:sz="4" w:space="0"/>
              <w:right w:val="single" w:color="000000" w:sz="8" w:space="0"/>
            </w:tcBorders>
            <w:vAlign w:val="center"/>
          </w:tcPr>
          <w:p w14:paraId="0CA5AB30">
            <w:pPr>
              <w:jc w:val="center"/>
              <w:rPr>
                <w:rFonts w:ascii="Times New Roman" w:eastAsia="仿宋"/>
                <w:szCs w:val="21"/>
              </w:rPr>
            </w:pPr>
            <w:r>
              <w:rPr>
                <w:rFonts w:hint="eastAsia" w:ascii="Times New Roman" w:eastAsia="仿宋"/>
                <w:szCs w:val="21"/>
              </w:rPr>
              <w:t>本厂情况</w:t>
            </w:r>
          </w:p>
        </w:tc>
        <w:tc>
          <w:tcPr>
            <w:tcW w:w="910" w:type="dxa"/>
            <w:tcBorders>
              <w:top w:val="single" w:color="000000" w:sz="8" w:space="0"/>
              <w:left w:val="single" w:color="000000" w:sz="4" w:space="0"/>
              <w:bottom w:val="single" w:color="000000" w:sz="4" w:space="0"/>
              <w:right w:val="single" w:color="000000" w:sz="8" w:space="0"/>
            </w:tcBorders>
            <w:vAlign w:val="center"/>
          </w:tcPr>
          <w:p w14:paraId="0523FD81">
            <w:pPr>
              <w:jc w:val="center"/>
              <w:rPr>
                <w:rFonts w:ascii="Times New Roman" w:eastAsia="仿宋"/>
                <w:szCs w:val="21"/>
              </w:rPr>
            </w:pPr>
            <w:r>
              <w:rPr>
                <w:rFonts w:hint="eastAsia" w:ascii="Times New Roman" w:eastAsia="仿宋"/>
                <w:szCs w:val="21"/>
              </w:rPr>
              <w:t>本项目所属等级</w:t>
            </w:r>
          </w:p>
        </w:tc>
      </w:tr>
      <w:tr w14:paraId="3EC9B53A">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21C889E6">
            <w:pPr>
              <w:jc w:val="center"/>
              <w:rPr>
                <w:rFonts w:ascii="Times New Roman" w:eastAsia="仿宋"/>
                <w:szCs w:val="21"/>
              </w:rPr>
            </w:pPr>
            <w:r>
              <w:rPr>
                <w:rFonts w:ascii="Times New Roman" w:eastAsia="仿宋"/>
                <w:szCs w:val="21"/>
              </w:rPr>
              <w:t>1</w:t>
            </w:r>
          </w:p>
        </w:tc>
        <w:tc>
          <w:tcPr>
            <w:tcW w:w="661" w:type="dxa"/>
            <w:vMerge w:val="restart"/>
            <w:tcBorders>
              <w:top w:val="single" w:color="000000" w:sz="4" w:space="0"/>
              <w:left w:val="single" w:color="000000" w:sz="4" w:space="0"/>
              <w:bottom w:val="single" w:color="000000" w:sz="8" w:space="0"/>
              <w:right w:val="single" w:color="000000" w:sz="4" w:space="0"/>
            </w:tcBorders>
            <w:vAlign w:val="center"/>
          </w:tcPr>
          <w:p w14:paraId="796C3DC3">
            <w:pPr>
              <w:jc w:val="center"/>
              <w:rPr>
                <w:rFonts w:ascii="Times New Roman" w:eastAsia="仿宋"/>
                <w:szCs w:val="21"/>
              </w:rPr>
            </w:pPr>
            <w:r>
              <w:rPr>
                <w:rFonts w:hint="eastAsia" w:ascii="Times New Roman" w:eastAsia="仿宋"/>
                <w:szCs w:val="21"/>
              </w:rPr>
              <w:t>环境管理指标</w:t>
            </w:r>
          </w:p>
        </w:tc>
        <w:tc>
          <w:tcPr>
            <w:tcW w:w="659" w:type="dxa"/>
            <w:vMerge w:val="restart"/>
            <w:tcBorders>
              <w:top w:val="single" w:color="000000" w:sz="4" w:space="0"/>
              <w:left w:val="single" w:color="000000" w:sz="4" w:space="0"/>
              <w:bottom w:val="single" w:color="000000" w:sz="8" w:space="0"/>
              <w:right w:val="single" w:color="000000" w:sz="4" w:space="0"/>
            </w:tcBorders>
            <w:vAlign w:val="center"/>
          </w:tcPr>
          <w:p w14:paraId="12BF3B42">
            <w:pPr>
              <w:jc w:val="center"/>
              <w:rPr>
                <w:rFonts w:ascii="Times New Roman" w:eastAsia="仿宋"/>
                <w:szCs w:val="21"/>
              </w:rPr>
            </w:pPr>
            <w:r>
              <w:rPr>
                <w:rFonts w:ascii="Times New Roman" w:eastAsia="仿宋"/>
                <w:szCs w:val="21"/>
              </w:rPr>
              <w:t>1</w:t>
            </w:r>
          </w:p>
        </w:tc>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5C429910">
            <w:pPr>
              <w:jc w:val="center"/>
              <w:rPr>
                <w:rFonts w:ascii="Times New Roman" w:eastAsia="仿宋"/>
                <w:szCs w:val="21"/>
              </w:rPr>
            </w:pPr>
            <w:r>
              <w:rPr>
                <w:rFonts w:hint="eastAsia" w:ascii="Times New Roman" w:eastAsia="仿宋"/>
                <w:szCs w:val="21"/>
              </w:rPr>
              <w:t>环境管理</w:t>
            </w:r>
          </w:p>
        </w:tc>
        <w:tc>
          <w:tcPr>
            <w:tcW w:w="838" w:type="dxa"/>
            <w:tcBorders>
              <w:top w:val="single" w:color="000000" w:sz="4" w:space="0"/>
              <w:left w:val="single" w:color="000000" w:sz="4" w:space="0"/>
              <w:bottom w:val="single" w:color="000000" w:sz="4" w:space="0"/>
              <w:right w:val="single" w:color="000000" w:sz="4" w:space="0"/>
            </w:tcBorders>
            <w:vAlign w:val="center"/>
          </w:tcPr>
          <w:p w14:paraId="45F5A4D0">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13BF36EF">
            <w:pPr>
              <w:jc w:val="center"/>
              <w:rPr>
                <w:rFonts w:ascii="Times New Roman" w:eastAsia="仿宋"/>
                <w:szCs w:val="21"/>
              </w:rPr>
            </w:pPr>
            <w:r>
              <w:rPr>
                <w:rFonts w:hint="eastAsia" w:ascii="Times New Roman" w:eastAsia="仿宋"/>
                <w:szCs w:val="21"/>
              </w:rPr>
              <w:t>符合国家和地方有关环境法律、法规，污染物排放达到国家和地方排放标准；满足环境影响评价、环保</w:t>
            </w:r>
            <w:r>
              <w:rPr>
                <w:rFonts w:ascii="Times New Roman" w:eastAsia="仿宋"/>
                <w:szCs w:val="21"/>
              </w:rPr>
              <w:t>“</w:t>
            </w:r>
            <w:r>
              <w:rPr>
                <w:rFonts w:hint="eastAsia" w:ascii="Times New Roman" w:eastAsia="仿宋"/>
                <w:szCs w:val="21"/>
              </w:rPr>
              <w:t>三同时</w:t>
            </w:r>
            <w:r>
              <w:rPr>
                <w:rFonts w:ascii="Times New Roman" w:eastAsia="仿宋"/>
                <w:szCs w:val="21"/>
              </w:rPr>
              <w:t>”</w:t>
            </w:r>
            <w:r>
              <w:rPr>
                <w:rFonts w:hint="eastAsia" w:ascii="Times New Roman" w:eastAsia="仿宋"/>
                <w:szCs w:val="21"/>
              </w:rPr>
              <w:t>制度、总量控制和污染许可证管理要求</w:t>
            </w:r>
          </w:p>
        </w:tc>
        <w:tc>
          <w:tcPr>
            <w:tcW w:w="4110" w:type="dxa"/>
            <w:tcBorders>
              <w:top w:val="single" w:color="000000" w:sz="4" w:space="0"/>
              <w:left w:val="single" w:color="000000" w:sz="4" w:space="0"/>
              <w:bottom w:val="single" w:color="000000" w:sz="4" w:space="0"/>
              <w:right w:val="single" w:color="000000" w:sz="8" w:space="0"/>
            </w:tcBorders>
            <w:vAlign w:val="center"/>
          </w:tcPr>
          <w:p w14:paraId="65F39357">
            <w:pPr>
              <w:jc w:val="center"/>
              <w:rPr>
                <w:rFonts w:ascii="Times New Roman" w:eastAsia="仿宋"/>
                <w:szCs w:val="21"/>
              </w:rPr>
            </w:pPr>
            <w:r>
              <w:rPr>
                <w:rFonts w:hint="eastAsia" w:ascii="Times New Roman" w:eastAsia="仿宋"/>
                <w:szCs w:val="21"/>
              </w:rPr>
              <w:t>企业各类污染物排放均能满足国家和地方排放标准，企业项目建设前按要求获得环评批复、验收意见及排污许可，环保手续齐全</w:t>
            </w:r>
          </w:p>
        </w:tc>
        <w:tc>
          <w:tcPr>
            <w:tcW w:w="910" w:type="dxa"/>
            <w:tcBorders>
              <w:top w:val="single" w:color="000000" w:sz="4" w:space="0"/>
              <w:left w:val="single" w:color="000000" w:sz="4" w:space="0"/>
              <w:bottom w:val="single" w:color="000000" w:sz="4" w:space="0"/>
              <w:right w:val="single" w:color="000000" w:sz="8" w:space="0"/>
            </w:tcBorders>
            <w:vAlign w:val="center"/>
          </w:tcPr>
          <w:p w14:paraId="1722D275">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39FD1463">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7B1C6EBC">
            <w:pPr>
              <w:jc w:val="center"/>
              <w:rPr>
                <w:rFonts w:ascii="Times New Roman" w:eastAsia="仿宋"/>
                <w:szCs w:val="21"/>
              </w:rPr>
            </w:pPr>
            <w:r>
              <w:rPr>
                <w:rFonts w:ascii="Times New Roman" w:eastAsia="仿宋"/>
                <w:szCs w:val="21"/>
              </w:rPr>
              <w:t>2</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3AAE75EB">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294EC608">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41279452">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2588E8C5">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496F3BA2">
            <w:pPr>
              <w:jc w:val="center"/>
              <w:rPr>
                <w:rFonts w:ascii="Times New Roman" w:eastAsia="仿宋"/>
                <w:szCs w:val="21"/>
              </w:rPr>
            </w:pPr>
            <w:r>
              <w:rPr>
                <w:rFonts w:hint="eastAsia" w:ascii="Times New Roman" w:eastAsia="仿宋"/>
                <w:szCs w:val="21"/>
              </w:rPr>
              <w:t>一般工业固体废物贮存按照</w:t>
            </w:r>
            <w:r>
              <w:rPr>
                <w:rFonts w:ascii="Times New Roman" w:eastAsia="仿宋"/>
                <w:szCs w:val="21"/>
              </w:rPr>
              <w:t xml:space="preserve"> GB 18599 </w:t>
            </w:r>
            <w:r>
              <w:rPr>
                <w:rFonts w:hint="eastAsia" w:ascii="Times New Roman" w:eastAsia="仿宋"/>
                <w:szCs w:val="21"/>
              </w:rPr>
              <w:t>相关规定执行；危险废物（包括生产过程中产生的废漆渣、废溶剂等）的贮存严格按照</w:t>
            </w:r>
            <w:r>
              <w:rPr>
                <w:rFonts w:ascii="Times New Roman" w:eastAsia="仿宋"/>
                <w:szCs w:val="21"/>
              </w:rPr>
              <w:t xml:space="preserve"> GB 18597 </w:t>
            </w:r>
            <w:r>
              <w:rPr>
                <w:rFonts w:hint="eastAsia" w:ascii="Times New Roman" w:eastAsia="仿宋"/>
                <w:szCs w:val="21"/>
              </w:rPr>
              <w:t>相关规定执行，后续应交持有危险废物经营许可证的单位处置</w:t>
            </w:r>
          </w:p>
        </w:tc>
        <w:tc>
          <w:tcPr>
            <w:tcW w:w="4110" w:type="dxa"/>
            <w:tcBorders>
              <w:top w:val="single" w:color="000000" w:sz="4" w:space="0"/>
              <w:left w:val="single" w:color="000000" w:sz="4" w:space="0"/>
              <w:bottom w:val="single" w:color="000000" w:sz="4" w:space="0"/>
              <w:right w:val="single" w:color="000000" w:sz="8" w:space="0"/>
            </w:tcBorders>
            <w:vAlign w:val="center"/>
          </w:tcPr>
          <w:p w14:paraId="32A92881">
            <w:pPr>
              <w:jc w:val="center"/>
              <w:rPr>
                <w:rFonts w:ascii="Times New Roman" w:eastAsia="仿宋"/>
                <w:szCs w:val="21"/>
              </w:rPr>
            </w:pPr>
            <w:r>
              <w:rPr>
                <w:rFonts w:hint="eastAsia" w:ascii="Times New Roman" w:eastAsia="仿宋"/>
                <w:szCs w:val="21"/>
              </w:rPr>
              <w:t>企业一般工业固体废物贮存按照</w:t>
            </w:r>
            <w:r>
              <w:rPr>
                <w:rFonts w:ascii="Times New Roman" w:eastAsia="仿宋"/>
                <w:szCs w:val="21"/>
              </w:rPr>
              <w:t xml:space="preserve"> GB 18599 </w:t>
            </w:r>
            <w:r>
              <w:rPr>
                <w:rFonts w:hint="eastAsia" w:ascii="Times New Roman" w:eastAsia="仿宋"/>
                <w:szCs w:val="21"/>
              </w:rPr>
              <w:t>相关规定执行；危险废物（包括生产过程中产生的废漆渣、废溶剂等）的贮存严格按照</w:t>
            </w:r>
            <w:r>
              <w:rPr>
                <w:rFonts w:ascii="Times New Roman" w:eastAsia="仿宋"/>
                <w:szCs w:val="21"/>
              </w:rPr>
              <w:t xml:space="preserve"> GB 18597 </w:t>
            </w:r>
            <w:r>
              <w:rPr>
                <w:rFonts w:hint="eastAsia" w:ascii="Times New Roman" w:eastAsia="仿宋"/>
                <w:szCs w:val="21"/>
              </w:rPr>
              <w:t>相关规定执行，后续应交持有危险废物经营许可证的单位处置</w:t>
            </w:r>
          </w:p>
        </w:tc>
        <w:tc>
          <w:tcPr>
            <w:tcW w:w="910" w:type="dxa"/>
            <w:tcBorders>
              <w:top w:val="single" w:color="000000" w:sz="4" w:space="0"/>
              <w:left w:val="single" w:color="000000" w:sz="4" w:space="0"/>
              <w:bottom w:val="single" w:color="000000" w:sz="4" w:space="0"/>
              <w:right w:val="single" w:color="000000" w:sz="8" w:space="0"/>
            </w:tcBorders>
            <w:vAlign w:val="center"/>
          </w:tcPr>
          <w:p w14:paraId="33DF8571">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7CF722F3">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346D623D">
            <w:pPr>
              <w:jc w:val="center"/>
              <w:rPr>
                <w:rFonts w:ascii="Times New Roman" w:eastAsia="仿宋"/>
                <w:szCs w:val="21"/>
              </w:rPr>
            </w:pPr>
            <w:r>
              <w:rPr>
                <w:rFonts w:ascii="Times New Roman" w:eastAsia="仿宋"/>
                <w:szCs w:val="21"/>
              </w:rPr>
              <w:t>3</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788EE88B">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4D08C43A">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6A69C01E">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5309AE85">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2151F3CC">
            <w:pPr>
              <w:jc w:val="center"/>
              <w:rPr>
                <w:rFonts w:ascii="Times New Roman" w:eastAsia="仿宋"/>
                <w:szCs w:val="21"/>
              </w:rPr>
            </w:pPr>
            <w:r>
              <w:rPr>
                <w:rFonts w:hint="eastAsia" w:ascii="Times New Roman" w:eastAsia="仿宋"/>
                <w:szCs w:val="21"/>
              </w:rPr>
              <w:t>符合国家和地方相关产业政策、不使用国家和地方命令淘汰或禁止的落后工艺和装备，禁止使用</w:t>
            </w:r>
            <w:r>
              <w:rPr>
                <w:rFonts w:ascii="Times New Roman" w:eastAsia="仿宋"/>
                <w:szCs w:val="21"/>
              </w:rPr>
              <w:t>“</w:t>
            </w:r>
            <w:r>
              <w:rPr>
                <w:rFonts w:hint="eastAsia" w:ascii="Times New Roman" w:eastAsia="仿宋"/>
                <w:szCs w:val="21"/>
              </w:rPr>
              <w:t>高耗能落后机电设备（产品）淘汰目录</w:t>
            </w:r>
            <w:r>
              <w:rPr>
                <w:rFonts w:ascii="Times New Roman" w:eastAsia="仿宋"/>
                <w:szCs w:val="21"/>
              </w:rPr>
              <w:t>”</w:t>
            </w:r>
            <w:r>
              <w:rPr>
                <w:rFonts w:hint="eastAsia" w:ascii="Times New Roman" w:eastAsia="仿宋"/>
                <w:szCs w:val="21"/>
              </w:rPr>
              <w:t>规定的内容，禁止使用不符合国家或地方有关有害物质限制标准的涂料</w:t>
            </w:r>
          </w:p>
        </w:tc>
        <w:tc>
          <w:tcPr>
            <w:tcW w:w="4110" w:type="dxa"/>
            <w:tcBorders>
              <w:top w:val="single" w:color="000000" w:sz="4" w:space="0"/>
              <w:left w:val="single" w:color="000000" w:sz="4" w:space="0"/>
              <w:bottom w:val="single" w:color="000000" w:sz="4" w:space="0"/>
              <w:right w:val="single" w:color="000000" w:sz="8" w:space="0"/>
            </w:tcBorders>
            <w:vAlign w:val="center"/>
          </w:tcPr>
          <w:p w14:paraId="76A48A66">
            <w:pPr>
              <w:jc w:val="center"/>
              <w:rPr>
                <w:rFonts w:ascii="Times New Roman" w:eastAsia="仿宋"/>
                <w:szCs w:val="21"/>
              </w:rPr>
            </w:pPr>
            <w:r>
              <w:rPr>
                <w:rFonts w:hint="eastAsia" w:ascii="Times New Roman" w:eastAsia="仿宋"/>
                <w:szCs w:val="21"/>
              </w:rPr>
              <w:t>本项目符合国家和地方相关产业政策、不使用国家和地方命令淘汰或禁止的落后工艺和装备，本项目设备均不属于</w:t>
            </w:r>
            <w:r>
              <w:rPr>
                <w:rFonts w:ascii="Times New Roman" w:eastAsia="仿宋"/>
                <w:szCs w:val="21"/>
              </w:rPr>
              <w:t>“</w:t>
            </w:r>
            <w:r>
              <w:rPr>
                <w:rFonts w:hint="eastAsia" w:ascii="Times New Roman" w:eastAsia="仿宋"/>
                <w:szCs w:val="21"/>
              </w:rPr>
              <w:t>高耗能落后机电设备（产品）淘汰目录</w:t>
            </w:r>
            <w:r>
              <w:rPr>
                <w:rFonts w:ascii="Times New Roman" w:eastAsia="仿宋"/>
                <w:szCs w:val="21"/>
              </w:rPr>
              <w:t>”</w:t>
            </w:r>
            <w:r>
              <w:rPr>
                <w:rFonts w:hint="eastAsia" w:ascii="Times New Roman" w:eastAsia="仿宋"/>
                <w:szCs w:val="21"/>
              </w:rPr>
              <w:t>规定的设备，本项目涂料符合国家或地方有关有害物质限制标准</w:t>
            </w:r>
          </w:p>
        </w:tc>
        <w:tc>
          <w:tcPr>
            <w:tcW w:w="910" w:type="dxa"/>
            <w:tcBorders>
              <w:top w:val="single" w:color="000000" w:sz="4" w:space="0"/>
              <w:left w:val="single" w:color="000000" w:sz="4" w:space="0"/>
              <w:bottom w:val="single" w:color="000000" w:sz="4" w:space="0"/>
              <w:right w:val="single" w:color="000000" w:sz="8" w:space="0"/>
            </w:tcBorders>
            <w:vAlign w:val="center"/>
          </w:tcPr>
          <w:p w14:paraId="2F438821">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597F8E6A">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2C187DDA">
            <w:pPr>
              <w:jc w:val="center"/>
              <w:rPr>
                <w:rFonts w:ascii="Times New Roman" w:eastAsia="仿宋"/>
                <w:szCs w:val="21"/>
              </w:rPr>
            </w:pPr>
            <w:r>
              <w:rPr>
                <w:rFonts w:ascii="Times New Roman" w:eastAsia="仿宋"/>
                <w:szCs w:val="21"/>
              </w:rPr>
              <w:t>4</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3E2C55A3">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6B0611C1">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3852FF0">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697A931E">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0E579D39">
            <w:pPr>
              <w:jc w:val="center"/>
              <w:rPr>
                <w:rFonts w:ascii="Times New Roman" w:eastAsia="仿宋"/>
                <w:szCs w:val="21"/>
              </w:rPr>
            </w:pPr>
            <w:r>
              <w:rPr>
                <w:rFonts w:hint="eastAsia" w:ascii="Times New Roman" w:eastAsia="仿宋"/>
                <w:szCs w:val="21"/>
              </w:rPr>
              <w:t>禁止在前处理工艺中使用苯；禁止在大面积除油和除旧漆中使用甲苯、二甲苯和汽油</w:t>
            </w:r>
          </w:p>
        </w:tc>
        <w:tc>
          <w:tcPr>
            <w:tcW w:w="4110" w:type="dxa"/>
            <w:tcBorders>
              <w:top w:val="single" w:color="000000" w:sz="4" w:space="0"/>
              <w:left w:val="single" w:color="000000" w:sz="4" w:space="0"/>
              <w:bottom w:val="single" w:color="000000" w:sz="4" w:space="0"/>
              <w:right w:val="single" w:color="000000" w:sz="8" w:space="0"/>
            </w:tcBorders>
            <w:vAlign w:val="center"/>
          </w:tcPr>
          <w:p w14:paraId="414CCBE5">
            <w:pPr>
              <w:jc w:val="center"/>
              <w:rPr>
                <w:rFonts w:ascii="Times New Roman" w:eastAsia="仿宋"/>
                <w:szCs w:val="21"/>
              </w:rPr>
            </w:pPr>
            <w:r>
              <w:rPr>
                <w:rFonts w:hint="eastAsia" w:ascii="Times New Roman" w:eastAsia="仿宋"/>
                <w:szCs w:val="21"/>
              </w:rPr>
              <w:t>企业前处理工艺不使用苯、甲苯、二甲苯及汽油</w:t>
            </w:r>
          </w:p>
        </w:tc>
        <w:tc>
          <w:tcPr>
            <w:tcW w:w="910" w:type="dxa"/>
            <w:tcBorders>
              <w:top w:val="single" w:color="000000" w:sz="4" w:space="0"/>
              <w:left w:val="single" w:color="000000" w:sz="4" w:space="0"/>
              <w:bottom w:val="single" w:color="000000" w:sz="4" w:space="0"/>
              <w:right w:val="single" w:color="000000" w:sz="8" w:space="0"/>
            </w:tcBorders>
            <w:vAlign w:val="center"/>
          </w:tcPr>
          <w:p w14:paraId="17F9A61A">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2BC54DFF">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42C2D749">
            <w:pPr>
              <w:jc w:val="center"/>
              <w:rPr>
                <w:rFonts w:ascii="Times New Roman" w:eastAsia="仿宋"/>
                <w:szCs w:val="21"/>
              </w:rPr>
            </w:pPr>
            <w:r>
              <w:rPr>
                <w:rFonts w:ascii="Times New Roman" w:eastAsia="仿宋"/>
                <w:szCs w:val="21"/>
              </w:rPr>
              <w:t>5</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0E639C82">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2B652615">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2A95B3E7">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321E1368">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7217CB29">
            <w:pPr>
              <w:jc w:val="center"/>
              <w:rPr>
                <w:rFonts w:ascii="Times New Roman" w:eastAsia="仿宋"/>
                <w:szCs w:val="21"/>
              </w:rPr>
            </w:pPr>
            <w:r>
              <w:rPr>
                <w:rFonts w:hint="eastAsia" w:ascii="Times New Roman" w:eastAsia="仿宋"/>
                <w:szCs w:val="21"/>
              </w:rPr>
              <w:t>限制使用含二氯乙烷的清洗液；限制使用含铬酸盐的清洗液</w:t>
            </w:r>
          </w:p>
        </w:tc>
        <w:tc>
          <w:tcPr>
            <w:tcW w:w="4110" w:type="dxa"/>
            <w:tcBorders>
              <w:top w:val="single" w:color="000000" w:sz="4" w:space="0"/>
              <w:left w:val="single" w:color="000000" w:sz="4" w:space="0"/>
              <w:bottom w:val="single" w:color="000000" w:sz="4" w:space="0"/>
              <w:right w:val="single" w:color="000000" w:sz="8" w:space="0"/>
            </w:tcBorders>
            <w:vAlign w:val="center"/>
          </w:tcPr>
          <w:p w14:paraId="29F97CEC">
            <w:pPr>
              <w:jc w:val="center"/>
              <w:rPr>
                <w:rFonts w:ascii="Times New Roman" w:eastAsia="仿宋"/>
                <w:szCs w:val="21"/>
              </w:rPr>
            </w:pPr>
            <w:r>
              <w:rPr>
                <w:rFonts w:hint="eastAsia" w:ascii="Times New Roman" w:eastAsia="仿宋"/>
                <w:szCs w:val="21"/>
              </w:rPr>
              <w:t>未使用含二氯乙烷的清洗液；未使用含铬酸盐的清洗液</w:t>
            </w:r>
          </w:p>
        </w:tc>
        <w:tc>
          <w:tcPr>
            <w:tcW w:w="910" w:type="dxa"/>
            <w:tcBorders>
              <w:top w:val="single" w:color="000000" w:sz="4" w:space="0"/>
              <w:left w:val="single" w:color="000000" w:sz="4" w:space="0"/>
              <w:bottom w:val="single" w:color="000000" w:sz="4" w:space="0"/>
              <w:right w:val="single" w:color="000000" w:sz="8" w:space="0"/>
            </w:tcBorders>
            <w:vAlign w:val="center"/>
          </w:tcPr>
          <w:p w14:paraId="096C8E46">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134A563A">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46C0A8FA">
            <w:pPr>
              <w:jc w:val="center"/>
              <w:rPr>
                <w:rFonts w:ascii="Times New Roman" w:eastAsia="仿宋"/>
                <w:szCs w:val="21"/>
              </w:rPr>
            </w:pPr>
            <w:r>
              <w:rPr>
                <w:rFonts w:ascii="Times New Roman" w:eastAsia="仿宋"/>
                <w:szCs w:val="21"/>
              </w:rPr>
              <w:t>6</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01011861">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1217116B">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C132435">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34A87AE1">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59E2CFFA">
            <w:pPr>
              <w:jc w:val="center"/>
              <w:rPr>
                <w:rFonts w:ascii="Times New Roman" w:eastAsia="仿宋"/>
                <w:szCs w:val="21"/>
              </w:rPr>
            </w:pPr>
            <w:r>
              <w:rPr>
                <w:rFonts w:hint="eastAsia" w:ascii="Times New Roman" w:eastAsia="仿宋"/>
                <w:szCs w:val="21"/>
              </w:rPr>
              <w:t>已建立并有效运行环境管理体系，符合标准</w:t>
            </w:r>
            <w:r>
              <w:rPr>
                <w:rFonts w:ascii="Times New Roman" w:eastAsia="仿宋"/>
                <w:szCs w:val="21"/>
              </w:rPr>
              <w:t xml:space="preserve"> GB/T 24001</w:t>
            </w:r>
          </w:p>
        </w:tc>
        <w:tc>
          <w:tcPr>
            <w:tcW w:w="4110" w:type="dxa"/>
            <w:tcBorders>
              <w:top w:val="single" w:color="000000" w:sz="4" w:space="0"/>
              <w:left w:val="single" w:color="000000" w:sz="4" w:space="0"/>
              <w:bottom w:val="single" w:color="000000" w:sz="4" w:space="0"/>
              <w:right w:val="single" w:color="000000" w:sz="8" w:space="0"/>
            </w:tcBorders>
            <w:vAlign w:val="center"/>
          </w:tcPr>
          <w:p w14:paraId="3F824D81">
            <w:pPr>
              <w:jc w:val="center"/>
              <w:rPr>
                <w:rFonts w:ascii="Times New Roman" w:eastAsia="仿宋"/>
                <w:szCs w:val="21"/>
              </w:rPr>
            </w:pPr>
            <w:r>
              <w:rPr>
                <w:rFonts w:hint="eastAsia" w:ascii="Times New Roman" w:eastAsia="仿宋"/>
                <w:szCs w:val="21"/>
              </w:rPr>
              <w:t>/</w:t>
            </w:r>
          </w:p>
        </w:tc>
        <w:tc>
          <w:tcPr>
            <w:tcW w:w="910" w:type="dxa"/>
            <w:tcBorders>
              <w:top w:val="single" w:color="000000" w:sz="4" w:space="0"/>
              <w:left w:val="single" w:color="000000" w:sz="4" w:space="0"/>
              <w:bottom w:val="single" w:color="000000" w:sz="4" w:space="0"/>
              <w:right w:val="single" w:color="000000" w:sz="8" w:space="0"/>
            </w:tcBorders>
            <w:vAlign w:val="center"/>
          </w:tcPr>
          <w:p w14:paraId="4E11E246">
            <w:pPr>
              <w:jc w:val="center"/>
              <w:rPr>
                <w:rFonts w:ascii="Times New Roman" w:eastAsia="仿宋"/>
                <w:szCs w:val="21"/>
              </w:rPr>
            </w:pPr>
            <w:r>
              <w:rPr>
                <w:rFonts w:hint="eastAsia" w:ascii="Times New Roman" w:eastAsia="仿宋"/>
                <w:szCs w:val="21"/>
              </w:rPr>
              <w:t>/</w:t>
            </w:r>
          </w:p>
        </w:tc>
      </w:tr>
      <w:tr w14:paraId="7748ED97">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4BEA4471">
            <w:pPr>
              <w:jc w:val="center"/>
              <w:rPr>
                <w:rFonts w:ascii="Times New Roman" w:eastAsia="仿宋"/>
                <w:szCs w:val="21"/>
              </w:rPr>
            </w:pPr>
            <w:r>
              <w:rPr>
                <w:rFonts w:ascii="Times New Roman" w:eastAsia="仿宋"/>
                <w:szCs w:val="21"/>
              </w:rPr>
              <w:t>7</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16C8D320">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7BF0E97F">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192509C">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022A1943">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5E2207E0">
            <w:pPr>
              <w:jc w:val="center"/>
              <w:rPr>
                <w:rFonts w:ascii="Times New Roman" w:eastAsia="仿宋"/>
                <w:szCs w:val="21"/>
              </w:rPr>
            </w:pPr>
            <w:r>
              <w:rPr>
                <w:rFonts w:hint="eastAsia" w:ascii="Times New Roman" w:eastAsia="仿宋"/>
                <w:szCs w:val="21"/>
              </w:rPr>
              <w:t>按照国家、地方法律法规及环评文件要求安装废水在线监测仪及其配套设施、安装</w:t>
            </w:r>
            <w:r>
              <w:rPr>
                <w:rFonts w:ascii="Times New Roman" w:eastAsia="仿宋"/>
                <w:szCs w:val="21"/>
              </w:rPr>
              <w:t xml:space="preserve"> VOCs </w:t>
            </w:r>
            <w:r>
              <w:rPr>
                <w:rFonts w:hint="eastAsia" w:ascii="Times New Roman" w:eastAsia="仿宋"/>
                <w:szCs w:val="21"/>
              </w:rPr>
              <w:t>处理设备运行监控装置</w:t>
            </w:r>
          </w:p>
        </w:tc>
        <w:tc>
          <w:tcPr>
            <w:tcW w:w="4110" w:type="dxa"/>
            <w:tcBorders>
              <w:top w:val="single" w:color="000000" w:sz="4" w:space="0"/>
              <w:left w:val="single" w:color="000000" w:sz="4" w:space="0"/>
              <w:bottom w:val="single" w:color="000000" w:sz="4" w:space="0"/>
              <w:right w:val="single" w:color="000000" w:sz="8" w:space="0"/>
            </w:tcBorders>
            <w:vAlign w:val="center"/>
          </w:tcPr>
          <w:p w14:paraId="132C227A">
            <w:pPr>
              <w:jc w:val="center"/>
              <w:rPr>
                <w:rFonts w:ascii="Times New Roman" w:eastAsia="仿宋"/>
                <w:szCs w:val="21"/>
              </w:rPr>
            </w:pPr>
            <w:r>
              <w:rPr>
                <w:rFonts w:hint="eastAsia" w:ascii="Times New Roman" w:eastAsia="仿宋"/>
                <w:szCs w:val="21"/>
              </w:rPr>
              <w:t>按照国家、地方法律法规及环评文件要求安装，本项目无需设置废水在线监测仪，本项目安装</w:t>
            </w:r>
            <w:r>
              <w:rPr>
                <w:rFonts w:ascii="Times New Roman" w:eastAsia="仿宋"/>
                <w:szCs w:val="21"/>
              </w:rPr>
              <w:t xml:space="preserve"> VOCs </w:t>
            </w:r>
            <w:r>
              <w:rPr>
                <w:rFonts w:hint="eastAsia" w:ascii="Times New Roman" w:eastAsia="仿宋"/>
                <w:szCs w:val="21"/>
              </w:rPr>
              <w:t>处理设备运行监控装置</w:t>
            </w:r>
          </w:p>
        </w:tc>
        <w:tc>
          <w:tcPr>
            <w:tcW w:w="910" w:type="dxa"/>
            <w:tcBorders>
              <w:top w:val="single" w:color="000000" w:sz="4" w:space="0"/>
              <w:left w:val="single" w:color="000000" w:sz="4" w:space="0"/>
              <w:bottom w:val="single" w:color="000000" w:sz="4" w:space="0"/>
              <w:right w:val="single" w:color="000000" w:sz="8" w:space="0"/>
            </w:tcBorders>
            <w:vAlign w:val="center"/>
          </w:tcPr>
          <w:p w14:paraId="55AD4407">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25264C12">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092D3BEE">
            <w:pPr>
              <w:jc w:val="center"/>
              <w:rPr>
                <w:rFonts w:ascii="Times New Roman" w:eastAsia="仿宋"/>
                <w:szCs w:val="21"/>
              </w:rPr>
            </w:pPr>
            <w:r>
              <w:rPr>
                <w:rFonts w:ascii="Times New Roman" w:eastAsia="仿宋"/>
                <w:szCs w:val="21"/>
              </w:rPr>
              <w:t>8</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3D35F479">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0A4743BD">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252DDF94">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3027BB8E">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6A8BEE84">
            <w:pPr>
              <w:jc w:val="center"/>
              <w:rPr>
                <w:rFonts w:ascii="Times New Roman" w:eastAsia="仿宋"/>
                <w:szCs w:val="21"/>
              </w:rPr>
            </w:pPr>
            <w:r>
              <w:rPr>
                <w:rFonts w:hint="eastAsia" w:ascii="Times New Roman" w:eastAsia="仿宋"/>
                <w:szCs w:val="21"/>
              </w:rPr>
              <w:t>按照《环境信息公开办法（试行）》第十九条公开环境信息</w:t>
            </w:r>
          </w:p>
        </w:tc>
        <w:tc>
          <w:tcPr>
            <w:tcW w:w="4110" w:type="dxa"/>
            <w:tcBorders>
              <w:top w:val="single" w:color="000000" w:sz="4" w:space="0"/>
              <w:left w:val="single" w:color="000000" w:sz="4" w:space="0"/>
              <w:bottom w:val="single" w:color="000000" w:sz="4" w:space="0"/>
              <w:right w:val="single" w:color="000000" w:sz="8" w:space="0"/>
            </w:tcBorders>
            <w:vAlign w:val="center"/>
          </w:tcPr>
          <w:p w14:paraId="2A82D011">
            <w:pPr>
              <w:jc w:val="center"/>
              <w:rPr>
                <w:rFonts w:ascii="Times New Roman" w:eastAsia="仿宋"/>
                <w:szCs w:val="21"/>
              </w:rPr>
            </w:pPr>
            <w:r>
              <w:rPr>
                <w:rFonts w:hint="eastAsia" w:ascii="Times New Roman" w:eastAsia="仿宋"/>
                <w:szCs w:val="21"/>
              </w:rPr>
              <w:t>公司已按照《环境信息公开办法（试行）》第十九条公开环境信息</w:t>
            </w:r>
          </w:p>
        </w:tc>
        <w:tc>
          <w:tcPr>
            <w:tcW w:w="910" w:type="dxa"/>
            <w:tcBorders>
              <w:top w:val="single" w:color="000000" w:sz="4" w:space="0"/>
              <w:left w:val="single" w:color="000000" w:sz="4" w:space="0"/>
              <w:bottom w:val="single" w:color="000000" w:sz="4" w:space="0"/>
              <w:right w:val="single" w:color="000000" w:sz="8" w:space="0"/>
            </w:tcBorders>
            <w:vAlign w:val="center"/>
          </w:tcPr>
          <w:p w14:paraId="55670D8B">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17CBFB0D">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4EE5A9C9">
            <w:pPr>
              <w:jc w:val="center"/>
              <w:rPr>
                <w:rFonts w:ascii="Times New Roman" w:eastAsia="仿宋"/>
                <w:szCs w:val="21"/>
              </w:rPr>
            </w:pPr>
            <w:r>
              <w:rPr>
                <w:rFonts w:ascii="Times New Roman" w:eastAsia="仿宋"/>
                <w:szCs w:val="21"/>
              </w:rPr>
              <w:t>9</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283AE607">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23E18D43">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4F11CC45">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06B3333E">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59403F43">
            <w:pPr>
              <w:jc w:val="center"/>
              <w:rPr>
                <w:rFonts w:ascii="Times New Roman" w:eastAsia="仿宋"/>
                <w:szCs w:val="21"/>
              </w:rPr>
            </w:pPr>
            <w:r>
              <w:rPr>
                <w:rFonts w:hint="eastAsia" w:ascii="Times New Roman" w:eastAsia="仿宋"/>
                <w:szCs w:val="21"/>
              </w:rPr>
              <w:t>建立绿色物流供应链制度，对主要零部件供应商提出环保要求，符合相关法律法规标准要求</w:t>
            </w:r>
          </w:p>
        </w:tc>
        <w:tc>
          <w:tcPr>
            <w:tcW w:w="4110" w:type="dxa"/>
            <w:tcBorders>
              <w:top w:val="single" w:color="000000" w:sz="4" w:space="0"/>
              <w:left w:val="single" w:color="000000" w:sz="4" w:space="0"/>
              <w:bottom w:val="single" w:color="000000" w:sz="4" w:space="0"/>
              <w:right w:val="single" w:color="000000" w:sz="8" w:space="0"/>
            </w:tcBorders>
            <w:vAlign w:val="center"/>
          </w:tcPr>
          <w:p w14:paraId="02B37CD3">
            <w:pPr>
              <w:jc w:val="center"/>
              <w:rPr>
                <w:rFonts w:ascii="Times New Roman" w:eastAsia="仿宋"/>
                <w:szCs w:val="21"/>
              </w:rPr>
            </w:pPr>
            <w:r>
              <w:rPr>
                <w:rFonts w:hint="eastAsia" w:ascii="Times New Roman" w:eastAsia="仿宋"/>
                <w:szCs w:val="21"/>
              </w:rPr>
              <w:t>公司已建立绿色物流供应链制度，对主要零部件供应商提出环保要求，符合相关法律法规标准要求</w:t>
            </w:r>
          </w:p>
        </w:tc>
        <w:tc>
          <w:tcPr>
            <w:tcW w:w="910" w:type="dxa"/>
            <w:tcBorders>
              <w:top w:val="single" w:color="000000" w:sz="4" w:space="0"/>
              <w:left w:val="single" w:color="000000" w:sz="4" w:space="0"/>
              <w:bottom w:val="single" w:color="000000" w:sz="4" w:space="0"/>
              <w:right w:val="single" w:color="000000" w:sz="8" w:space="0"/>
            </w:tcBorders>
            <w:vAlign w:val="center"/>
          </w:tcPr>
          <w:p w14:paraId="3C307CC8">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4C189B37">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2B57CD32">
            <w:pPr>
              <w:jc w:val="center"/>
              <w:rPr>
                <w:rFonts w:ascii="Times New Roman" w:eastAsia="仿宋"/>
                <w:szCs w:val="21"/>
              </w:rPr>
            </w:pPr>
            <w:r>
              <w:rPr>
                <w:rFonts w:ascii="Times New Roman" w:eastAsia="仿宋"/>
                <w:szCs w:val="21"/>
              </w:rPr>
              <w:t>10</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42B127B6">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41255DA9">
            <w:pPr>
              <w:rPr>
                <w:rFonts w:ascii="Times New Roman" w:eastAsia="仿宋"/>
                <w:szCs w:val="21"/>
              </w:rPr>
            </w:pPr>
          </w:p>
        </w:tc>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E63255D">
            <w:pPr>
              <w:rPr>
                <w:rFonts w:ascii="Times New Roman" w:eastAsia="仿宋"/>
                <w:szCs w:val="21"/>
              </w:rPr>
            </w:pPr>
          </w:p>
        </w:tc>
        <w:tc>
          <w:tcPr>
            <w:tcW w:w="838" w:type="dxa"/>
            <w:tcBorders>
              <w:top w:val="single" w:color="000000" w:sz="4" w:space="0"/>
              <w:left w:val="single" w:color="000000" w:sz="4" w:space="0"/>
              <w:bottom w:val="single" w:color="000000" w:sz="4" w:space="0"/>
              <w:right w:val="single" w:color="000000" w:sz="4" w:space="0"/>
            </w:tcBorders>
            <w:vAlign w:val="center"/>
          </w:tcPr>
          <w:p w14:paraId="73326750">
            <w:pPr>
              <w:jc w:val="center"/>
              <w:rPr>
                <w:rFonts w:ascii="Times New Roman" w:eastAsia="仿宋"/>
                <w:szCs w:val="21"/>
              </w:rPr>
            </w:pPr>
            <w:r>
              <w:rPr>
                <w:rFonts w:ascii="Times New Roman" w:eastAsia="仿宋"/>
                <w:szCs w:val="21"/>
              </w:rPr>
              <w:t>0.05</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77D241C8">
            <w:pPr>
              <w:jc w:val="center"/>
              <w:rPr>
                <w:rFonts w:ascii="Times New Roman" w:eastAsia="仿宋"/>
                <w:szCs w:val="21"/>
              </w:rPr>
            </w:pPr>
            <w:r>
              <w:rPr>
                <w:rFonts w:hint="eastAsia" w:ascii="Times New Roman" w:eastAsia="仿宋"/>
                <w:szCs w:val="21"/>
              </w:rPr>
              <w:t>企业建设项目环境保护</w:t>
            </w:r>
            <w:r>
              <w:rPr>
                <w:rFonts w:ascii="Times New Roman" w:eastAsia="仿宋"/>
                <w:szCs w:val="21"/>
              </w:rPr>
              <w:t>“</w:t>
            </w:r>
            <w:r>
              <w:rPr>
                <w:rFonts w:hint="eastAsia" w:ascii="Times New Roman" w:eastAsia="仿宋"/>
                <w:szCs w:val="21"/>
              </w:rPr>
              <w:t>三同时</w:t>
            </w:r>
            <w:r>
              <w:rPr>
                <w:rFonts w:ascii="Times New Roman" w:eastAsia="仿宋"/>
                <w:szCs w:val="21"/>
              </w:rPr>
              <w:t>”</w:t>
            </w:r>
            <w:r>
              <w:rPr>
                <w:rFonts w:hint="eastAsia" w:ascii="Times New Roman" w:eastAsia="仿宋"/>
                <w:szCs w:val="21"/>
              </w:rPr>
              <w:t>执行情况</w:t>
            </w:r>
          </w:p>
        </w:tc>
        <w:tc>
          <w:tcPr>
            <w:tcW w:w="4110" w:type="dxa"/>
            <w:tcBorders>
              <w:top w:val="single" w:color="000000" w:sz="4" w:space="0"/>
              <w:left w:val="single" w:color="000000" w:sz="4" w:space="0"/>
              <w:bottom w:val="single" w:color="000000" w:sz="4" w:space="0"/>
              <w:right w:val="single" w:color="000000" w:sz="8" w:space="0"/>
            </w:tcBorders>
            <w:vAlign w:val="center"/>
          </w:tcPr>
          <w:p w14:paraId="30F688FF">
            <w:pPr>
              <w:jc w:val="center"/>
              <w:rPr>
                <w:rFonts w:ascii="Times New Roman" w:eastAsia="仿宋"/>
                <w:szCs w:val="21"/>
              </w:rPr>
            </w:pPr>
            <w:r>
              <w:rPr>
                <w:rFonts w:hint="eastAsia" w:ascii="Times New Roman" w:eastAsia="仿宋"/>
                <w:szCs w:val="21"/>
              </w:rPr>
              <w:t>企业正在进行环评手续办理阶段，按要求执行环保“三同时”</w:t>
            </w:r>
          </w:p>
        </w:tc>
        <w:tc>
          <w:tcPr>
            <w:tcW w:w="910" w:type="dxa"/>
            <w:tcBorders>
              <w:top w:val="single" w:color="000000" w:sz="4" w:space="0"/>
              <w:left w:val="single" w:color="000000" w:sz="4" w:space="0"/>
              <w:bottom w:val="single" w:color="000000" w:sz="4" w:space="0"/>
              <w:right w:val="single" w:color="000000" w:sz="8" w:space="0"/>
            </w:tcBorders>
            <w:vAlign w:val="center"/>
          </w:tcPr>
          <w:p w14:paraId="0128FCD8">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38232940">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6199480F">
            <w:pPr>
              <w:jc w:val="center"/>
              <w:rPr>
                <w:rFonts w:ascii="Times New Roman" w:eastAsia="仿宋"/>
                <w:szCs w:val="21"/>
              </w:rPr>
            </w:pPr>
            <w:r>
              <w:rPr>
                <w:rFonts w:ascii="Times New Roman" w:eastAsia="仿宋"/>
                <w:szCs w:val="21"/>
              </w:rPr>
              <w:t>11</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4835B3E0">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59801751">
            <w:pPr>
              <w:rPr>
                <w:rFonts w:ascii="Times New Roman" w:eastAsia="仿宋"/>
                <w:szCs w:val="21"/>
              </w:rPr>
            </w:pPr>
          </w:p>
        </w:tc>
        <w:tc>
          <w:tcPr>
            <w:tcW w:w="1174" w:type="dxa"/>
            <w:tcBorders>
              <w:top w:val="single" w:color="000000" w:sz="4" w:space="0"/>
              <w:left w:val="single" w:color="000000" w:sz="4" w:space="0"/>
              <w:bottom w:val="single" w:color="000000" w:sz="4" w:space="0"/>
              <w:right w:val="single" w:color="000000" w:sz="4" w:space="0"/>
            </w:tcBorders>
            <w:vAlign w:val="center"/>
          </w:tcPr>
          <w:p w14:paraId="17ED7133">
            <w:pPr>
              <w:jc w:val="center"/>
              <w:rPr>
                <w:rFonts w:ascii="Times New Roman" w:eastAsia="仿宋"/>
                <w:szCs w:val="21"/>
              </w:rPr>
            </w:pPr>
            <w:r>
              <w:rPr>
                <w:rFonts w:hint="eastAsia" w:ascii="Times New Roman" w:eastAsia="仿宋"/>
                <w:szCs w:val="21"/>
              </w:rPr>
              <w:t>组织机构</w:t>
            </w:r>
          </w:p>
        </w:tc>
        <w:tc>
          <w:tcPr>
            <w:tcW w:w="838" w:type="dxa"/>
            <w:tcBorders>
              <w:top w:val="single" w:color="000000" w:sz="4" w:space="0"/>
              <w:left w:val="single" w:color="000000" w:sz="4" w:space="0"/>
              <w:bottom w:val="single" w:color="000000" w:sz="4" w:space="0"/>
              <w:right w:val="single" w:color="000000" w:sz="4" w:space="0"/>
            </w:tcBorders>
            <w:vAlign w:val="center"/>
          </w:tcPr>
          <w:p w14:paraId="72059DFD">
            <w:pPr>
              <w:jc w:val="center"/>
              <w:rPr>
                <w:rFonts w:ascii="Times New Roman" w:eastAsia="仿宋"/>
                <w:szCs w:val="21"/>
              </w:rPr>
            </w:pPr>
            <w:r>
              <w:rPr>
                <w:rFonts w:ascii="Times New Roman" w:eastAsia="仿宋"/>
                <w:szCs w:val="21"/>
              </w:rPr>
              <w:t>0.10</w:t>
            </w:r>
          </w:p>
        </w:tc>
        <w:tc>
          <w:tcPr>
            <w:tcW w:w="2227" w:type="dxa"/>
            <w:tcBorders>
              <w:top w:val="single" w:color="000000" w:sz="4" w:space="0"/>
              <w:left w:val="single" w:color="000000" w:sz="4" w:space="0"/>
              <w:bottom w:val="single" w:color="000000" w:sz="4" w:space="0"/>
              <w:right w:val="single" w:color="000000" w:sz="4" w:space="0"/>
            </w:tcBorders>
            <w:vAlign w:val="center"/>
          </w:tcPr>
          <w:p w14:paraId="6895645C">
            <w:pPr>
              <w:jc w:val="center"/>
              <w:rPr>
                <w:rFonts w:ascii="Times New Roman" w:eastAsia="仿宋"/>
                <w:szCs w:val="21"/>
              </w:rPr>
            </w:pPr>
            <w:r>
              <w:rPr>
                <w:rFonts w:hint="eastAsia" w:ascii="Times New Roman" w:eastAsia="仿宋"/>
                <w:szCs w:val="21"/>
              </w:rPr>
              <w:t>设置专门的清洁生产、环境管理、能源管理岗位，建立一把手负责的环境管理组织机构</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14:paraId="6A4CD780">
            <w:pPr>
              <w:jc w:val="center"/>
              <w:rPr>
                <w:rFonts w:ascii="Times New Roman" w:eastAsia="仿宋"/>
                <w:szCs w:val="21"/>
              </w:rPr>
            </w:pPr>
            <w:r>
              <w:rPr>
                <w:rFonts w:hint="eastAsia" w:ascii="Times New Roman" w:eastAsia="仿宋"/>
                <w:szCs w:val="21"/>
              </w:rPr>
              <w:t>设置清洁生产管理岗位，</w:t>
            </w:r>
            <w:r>
              <w:rPr>
                <w:rFonts w:ascii="Times New Roman" w:eastAsia="仿宋"/>
                <w:szCs w:val="21"/>
              </w:rPr>
              <w:t xml:space="preserve"> </w:t>
            </w:r>
            <w:r>
              <w:rPr>
                <w:rFonts w:hint="eastAsia" w:ascii="Times New Roman" w:eastAsia="仿宋"/>
                <w:szCs w:val="21"/>
              </w:rPr>
              <w:t>实行环境、能源管理岗位责任制，建立环境管理组织机构</w:t>
            </w:r>
          </w:p>
        </w:tc>
        <w:tc>
          <w:tcPr>
            <w:tcW w:w="514" w:type="dxa"/>
            <w:tcBorders>
              <w:top w:val="single" w:color="000000" w:sz="4" w:space="0"/>
              <w:left w:val="single" w:color="000000" w:sz="4" w:space="0"/>
              <w:bottom w:val="single" w:color="000000" w:sz="4" w:space="0"/>
              <w:right w:val="single" w:color="000000" w:sz="8" w:space="0"/>
            </w:tcBorders>
            <w:vAlign w:val="center"/>
          </w:tcPr>
          <w:p w14:paraId="75A6BD62">
            <w:pPr>
              <w:jc w:val="center"/>
              <w:rPr>
                <w:rFonts w:ascii="Times New Roman" w:eastAsia="仿宋"/>
                <w:szCs w:val="21"/>
              </w:rPr>
            </w:pPr>
            <w:r>
              <w:rPr>
                <w:rFonts w:hint="eastAsia" w:ascii="Times New Roman" w:eastAsia="仿宋"/>
                <w:szCs w:val="21"/>
              </w:rPr>
              <w:t>设置环境管理组织机构</w:t>
            </w:r>
          </w:p>
        </w:tc>
        <w:tc>
          <w:tcPr>
            <w:tcW w:w="4110" w:type="dxa"/>
            <w:tcBorders>
              <w:top w:val="single" w:color="000000" w:sz="4" w:space="0"/>
              <w:left w:val="single" w:color="000000" w:sz="4" w:space="0"/>
              <w:bottom w:val="single" w:color="000000" w:sz="4" w:space="0"/>
              <w:right w:val="single" w:color="000000" w:sz="8" w:space="0"/>
            </w:tcBorders>
            <w:vAlign w:val="center"/>
          </w:tcPr>
          <w:p w14:paraId="5E511054">
            <w:pPr>
              <w:jc w:val="center"/>
              <w:rPr>
                <w:rFonts w:ascii="Times New Roman" w:eastAsia="仿宋"/>
                <w:szCs w:val="21"/>
              </w:rPr>
            </w:pPr>
            <w:r>
              <w:rPr>
                <w:rFonts w:hint="eastAsia" w:ascii="Times New Roman" w:eastAsia="仿宋"/>
                <w:szCs w:val="21"/>
              </w:rPr>
              <w:t>公司拟设置专门的清洁生产、环境管理、能源管理岗位，建立一把手负责的环境管理组织机构</w:t>
            </w:r>
          </w:p>
        </w:tc>
        <w:tc>
          <w:tcPr>
            <w:tcW w:w="910" w:type="dxa"/>
            <w:tcBorders>
              <w:top w:val="single" w:color="000000" w:sz="4" w:space="0"/>
              <w:left w:val="single" w:color="000000" w:sz="4" w:space="0"/>
              <w:bottom w:val="single" w:color="000000" w:sz="4" w:space="0"/>
              <w:right w:val="single" w:color="000000" w:sz="8" w:space="0"/>
            </w:tcBorders>
            <w:vAlign w:val="center"/>
          </w:tcPr>
          <w:p w14:paraId="6F70C141">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6F43D98A">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5E969FDF">
            <w:pPr>
              <w:jc w:val="center"/>
              <w:rPr>
                <w:rFonts w:ascii="Times New Roman" w:eastAsia="仿宋"/>
                <w:szCs w:val="21"/>
              </w:rPr>
            </w:pPr>
            <w:r>
              <w:rPr>
                <w:rFonts w:ascii="Times New Roman" w:eastAsia="仿宋"/>
                <w:szCs w:val="21"/>
              </w:rPr>
              <w:t>12</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3F42970C">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57755D90">
            <w:pPr>
              <w:rPr>
                <w:rFonts w:ascii="Times New Roman" w:eastAsia="仿宋"/>
                <w:szCs w:val="21"/>
              </w:rPr>
            </w:pPr>
          </w:p>
        </w:tc>
        <w:tc>
          <w:tcPr>
            <w:tcW w:w="1174" w:type="dxa"/>
            <w:tcBorders>
              <w:top w:val="single" w:color="000000" w:sz="4" w:space="0"/>
              <w:left w:val="single" w:color="000000" w:sz="4" w:space="0"/>
              <w:bottom w:val="single" w:color="000000" w:sz="4" w:space="0"/>
              <w:right w:val="single" w:color="000000" w:sz="4" w:space="0"/>
            </w:tcBorders>
            <w:vAlign w:val="center"/>
          </w:tcPr>
          <w:p w14:paraId="541FFECD">
            <w:pPr>
              <w:jc w:val="center"/>
              <w:rPr>
                <w:rFonts w:ascii="Times New Roman" w:eastAsia="仿宋"/>
                <w:szCs w:val="21"/>
              </w:rPr>
            </w:pPr>
            <w:r>
              <w:rPr>
                <w:rFonts w:hint="eastAsia" w:ascii="Times New Roman" w:eastAsia="仿宋"/>
                <w:szCs w:val="21"/>
              </w:rPr>
              <w:t>生产过程</w:t>
            </w:r>
          </w:p>
        </w:tc>
        <w:tc>
          <w:tcPr>
            <w:tcW w:w="838" w:type="dxa"/>
            <w:tcBorders>
              <w:top w:val="single" w:color="000000" w:sz="4" w:space="0"/>
              <w:left w:val="single" w:color="000000" w:sz="4" w:space="0"/>
              <w:bottom w:val="single" w:color="000000" w:sz="4" w:space="0"/>
              <w:right w:val="single" w:color="000000" w:sz="4" w:space="0"/>
            </w:tcBorders>
            <w:vAlign w:val="center"/>
          </w:tcPr>
          <w:p w14:paraId="68CFDAD8">
            <w:pPr>
              <w:jc w:val="center"/>
              <w:rPr>
                <w:rFonts w:ascii="Times New Roman" w:eastAsia="仿宋"/>
                <w:szCs w:val="21"/>
              </w:rPr>
            </w:pPr>
            <w:r>
              <w:rPr>
                <w:rFonts w:ascii="Times New Roman" w:eastAsia="仿宋"/>
                <w:szCs w:val="21"/>
              </w:rPr>
              <w:t>0.10</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6011FA38">
            <w:pPr>
              <w:jc w:val="center"/>
              <w:rPr>
                <w:rFonts w:ascii="Times New Roman" w:eastAsia="仿宋"/>
                <w:szCs w:val="21"/>
              </w:rPr>
            </w:pPr>
            <w:r>
              <w:rPr>
                <w:rFonts w:hint="eastAsia" w:ascii="Times New Roman" w:eastAsia="仿宋"/>
                <w:szCs w:val="21"/>
              </w:rPr>
              <w:t>磷化废水应当设施排放口进行废水单独收集，</w:t>
            </w:r>
            <w:r>
              <w:rPr>
                <w:rFonts w:ascii="Times New Roman" w:eastAsia="仿宋"/>
                <w:szCs w:val="21"/>
              </w:rPr>
              <w:t xml:space="preserve"> </w:t>
            </w:r>
            <w:r>
              <w:rPr>
                <w:rFonts w:hint="eastAsia" w:ascii="Times New Roman" w:eastAsia="仿宋"/>
                <w:szCs w:val="21"/>
              </w:rPr>
              <w:t>第一类污染物经单独预处理达标后进入污水处理站；按生产情况制定清理计划，定期清理含粉尘、油漆的设备和管道</w:t>
            </w:r>
          </w:p>
        </w:tc>
        <w:tc>
          <w:tcPr>
            <w:tcW w:w="4110" w:type="dxa"/>
            <w:tcBorders>
              <w:top w:val="single" w:color="000000" w:sz="4" w:space="0"/>
              <w:left w:val="single" w:color="000000" w:sz="4" w:space="0"/>
              <w:bottom w:val="single" w:color="000000" w:sz="4" w:space="0"/>
              <w:right w:val="single" w:color="000000" w:sz="8" w:space="0"/>
            </w:tcBorders>
            <w:vAlign w:val="center"/>
          </w:tcPr>
          <w:p w14:paraId="036F05CC">
            <w:pPr>
              <w:jc w:val="center"/>
              <w:rPr>
                <w:rFonts w:ascii="Times New Roman" w:eastAsia="仿宋"/>
                <w:szCs w:val="21"/>
              </w:rPr>
            </w:pPr>
            <w:r>
              <w:rPr>
                <w:rFonts w:hint="eastAsia" w:ascii="Times New Roman" w:eastAsia="仿宋"/>
                <w:szCs w:val="21"/>
              </w:rPr>
              <w:t>企业不涉及磷化废水及第一类污染物；公司已按生产情况制定清理计划，定期清理含粉尘、涂装的设备和管道</w:t>
            </w:r>
          </w:p>
        </w:tc>
        <w:tc>
          <w:tcPr>
            <w:tcW w:w="910" w:type="dxa"/>
            <w:tcBorders>
              <w:top w:val="single" w:color="000000" w:sz="4" w:space="0"/>
              <w:left w:val="single" w:color="000000" w:sz="4" w:space="0"/>
              <w:bottom w:val="single" w:color="000000" w:sz="4" w:space="0"/>
              <w:right w:val="single" w:color="000000" w:sz="8" w:space="0"/>
            </w:tcBorders>
            <w:vAlign w:val="center"/>
          </w:tcPr>
          <w:p w14:paraId="30E16FF6">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4644DEEB">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294FE81A">
            <w:pPr>
              <w:jc w:val="center"/>
              <w:rPr>
                <w:rFonts w:ascii="Times New Roman" w:eastAsia="仿宋"/>
                <w:szCs w:val="21"/>
              </w:rPr>
            </w:pPr>
            <w:r>
              <w:rPr>
                <w:rFonts w:ascii="Times New Roman" w:eastAsia="仿宋"/>
                <w:szCs w:val="21"/>
              </w:rPr>
              <w:t>13</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5251B2D2">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104C1917">
            <w:pPr>
              <w:rPr>
                <w:rFonts w:ascii="Times New Roman" w:eastAsia="仿宋"/>
                <w:szCs w:val="21"/>
              </w:rPr>
            </w:pPr>
          </w:p>
        </w:tc>
        <w:tc>
          <w:tcPr>
            <w:tcW w:w="1174" w:type="dxa"/>
            <w:tcBorders>
              <w:top w:val="single" w:color="000000" w:sz="4" w:space="0"/>
              <w:left w:val="single" w:color="000000" w:sz="4" w:space="0"/>
              <w:bottom w:val="single" w:color="000000" w:sz="4" w:space="0"/>
              <w:right w:val="single" w:color="000000" w:sz="4" w:space="0"/>
            </w:tcBorders>
            <w:vAlign w:val="center"/>
          </w:tcPr>
          <w:p w14:paraId="61826B84">
            <w:pPr>
              <w:jc w:val="center"/>
              <w:rPr>
                <w:rFonts w:ascii="Times New Roman" w:eastAsia="仿宋"/>
                <w:szCs w:val="21"/>
              </w:rPr>
            </w:pPr>
            <w:r>
              <w:rPr>
                <w:rFonts w:hint="eastAsia" w:ascii="Times New Roman" w:eastAsia="仿宋"/>
                <w:szCs w:val="21"/>
              </w:rPr>
              <w:t>环境应急预案</w:t>
            </w:r>
          </w:p>
        </w:tc>
        <w:tc>
          <w:tcPr>
            <w:tcW w:w="838" w:type="dxa"/>
            <w:tcBorders>
              <w:top w:val="single" w:color="000000" w:sz="4" w:space="0"/>
              <w:left w:val="single" w:color="000000" w:sz="4" w:space="0"/>
              <w:bottom w:val="single" w:color="000000" w:sz="4" w:space="0"/>
              <w:right w:val="single" w:color="000000" w:sz="4" w:space="0"/>
            </w:tcBorders>
            <w:vAlign w:val="center"/>
          </w:tcPr>
          <w:p w14:paraId="018D4793">
            <w:pPr>
              <w:jc w:val="center"/>
              <w:rPr>
                <w:rFonts w:ascii="Times New Roman" w:eastAsia="仿宋"/>
                <w:szCs w:val="21"/>
              </w:rPr>
            </w:pPr>
            <w:r>
              <w:rPr>
                <w:rFonts w:ascii="Times New Roman" w:eastAsia="仿宋"/>
                <w:szCs w:val="21"/>
              </w:rPr>
              <w:t>0.10</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43BD936E">
            <w:pPr>
              <w:jc w:val="center"/>
              <w:rPr>
                <w:rFonts w:ascii="Times New Roman" w:eastAsia="仿宋"/>
                <w:szCs w:val="21"/>
              </w:rPr>
            </w:pPr>
            <w:r>
              <w:rPr>
                <w:rFonts w:hint="eastAsia" w:ascii="Times New Roman" w:eastAsia="仿宋"/>
                <w:szCs w:val="21"/>
              </w:rPr>
              <w:t>制定企业环境风险专项应急预案、应急设施、物资齐备，并定期培训和演练</w:t>
            </w:r>
          </w:p>
        </w:tc>
        <w:tc>
          <w:tcPr>
            <w:tcW w:w="4110" w:type="dxa"/>
            <w:tcBorders>
              <w:top w:val="single" w:color="000000" w:sz="4" w:space="0"/>
              <w:left w:val="single" w:color="000000" w:sz="4" w:space="0"/>
              <w:bottom w:val="single" w:color="000000" w:sz="4" w:space="0"/>
              <w:right w:val="single" w:color="000000" w:sz="8" w:space="0"/>
            </w:tcBorders>
            <w:vAlign w:val="center"/>
          </w:tcPr>
          <w:p w14:paraId="5C389072">
            <w:pPr>
              <w:jc w:val="center"/>
              <w:rPr>
                <w:rFonts w:ascii="Times New Roman" w:eastAsia="仿宋"/>
                <w:szCs w:val="21"/>
              </w:rPr>
            </w:pPr>
            <w:r>
              <w:rPr>
                <w:rFonts w:hint="eastAsia" w:ascii="Times New Roman" w:eastAsia="仿宋"/>
                <w:szCs w:val="21"/>
              </w:rPr>
              <w:t>公司按要求制定企业环境风险专项应急预案、应急设施、物资齐备，并定期培训和演练</w:t>
            </w:r>
          </w:p>
        </w:tc>
        <w:tc>
          <w:tcPr>
            <w:tcW w:w="910" w:type="dxa"/>
            <w:tcBorders>
              <w:top w:val="single" w:color="000000" w:sz="4" w:space="0"/>
              <w:left w:val="single" w:color="000000" w:sz="4" w:space="0"/>
              <w:bottom w:val="single" w:color="000000" w:sz="4" w:space="0"/>
              <w:right w:val="single" w:color="000000" w:sz="8" w:space="0"/>
            </w:tcBorders>
            <w:vAlign w:val="center"/>
          </w:tcPr>
          <w:p w14:paraId="2D525D7D">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0863F8B4">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4" w:space="0"/>
              <w:right w:val="single" w:color="000000" w:sz="4" w:space="0"/>
            </w:tcBorders>
            <w:vAlign w:val="center"/>
          </w:tcPr>
          <w:p w14:paraId="42162FF0">
            <w:pPr>
              <w:jc w:val="center"/>
              <w:rPr>
                <w:rFonts w:ascii="Times New Roman" w:eastAsia="仿宋"/>
                <w:szCs w:val="21"/>
              </w:rPr>
            </w:pPr>
            <w:r>
              <w:rPr>
                <w:rFonts w:ascii="Times New Roman" w:eastAsia="仿宋"/>
                <w:szCs w:val="21"/>
              </w:rPr>
              <w:t>14</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56DD8BFA">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2C175D7B">
            <w:pPr>
              <w:rPr>
                <w:rFonts w:ascii="Times New Roman" w:eastAsia="仿宋"/>
                <w:szCs w:val="21"/>
              </w:rPr>
            </w:pPr>
          </w:p>
        </w:tc>
        <w:tc>
          <w:tcPr>
            <w:tcW w:w="1174" w:type="dxa"/>
            <w:tcBorders>
              <w:top w:val="single" w:color="000000" w:sz="4" w:space="0"/>
              <w:left w:val="single" w:color="000000" w:sz="4" w:space="0"/>
              <w:bottom w:val="single" w:color="000000" w:sz="4" w:space="0"/>
              <w:right w:val="single" w:color="000000" w:sz="4" w:space="0"/>
            </w:tcBorders>
            <w:vAlign w:val="center"/>
          </w:tcPr>
          <w:p w14:paraId="22259BD5">
            <w:pPr>
              <w:jc w:val="center"/>
              <w:rPr>
                <w:rFonts w:ascii="Times New Roman" w:eastAsia="仿宋"/>
                <w:szCs w:val="21"/>
              </w:rPr>
            </w:pPr>
            <w:r>
              <w:rPr>
                <w:rFonts w:hint="eastAsia" w:ascii="Times New Roman" w:eastAsia="仿宋"/>
                <w:szCs w:val="21"/>
              </w:rPr>
              <w:t>能源管理</w:t>
            </w:r>
          </w:p>
        </w:tc>
        <w:tc>
          <w:tcPr>
            <w:tcW w:w="838" w:type="dxa"/>
            <w:tcBorders>
              <w:top w:val="single" w:color="000000" w:sz="4" w:space="0"/>
              <w:left w:val="single" w:color="000000" w:sz="4" w:space="0"/>
              <w:bottom w:val="single" w:color="000000" w:sz="4" w:space="0"/>
              <w:right w:val="single" w:color="000000" w:sz="4" w:space="0"/>
            </w:tcBorders>
            <w:vAlign w:val="center"/>
          </w:tcPr>
          <w:p w14:paraId="3866C7FC">
            <w:pPr>
              <w:jc w:val="center"/>
              <w:rPr>
                <w:rFonts w:ascii="Times New Roman" w:eastAsia="仿宋"/>
                <w:szCs w:val="21"/>
              </w:rPr>
            </w:pPr>
            <w:r>
              <w:rPr>
                <w:rFonts w:ascii="Times New Roman" w:eastAsia="仿宋"/>
                <w:szCs w:val="21"/>
              </w:rPr>
              <w:t>0.10</w:t>
            </w:r>
          </w:p>
        </w:tc>
        <w:tc>
          <w:tcPr>
            <w:tcW w:w="5023" w:type="dxa"/>
            <w:gridSpan w:val="4"/>
            <w:tcBorders>
              <w:top w:val="single" w:color="000000" w:sz="4" w:space="0"/>
              <w:left w:val="single" w:color="000000" w:sz="4" w:space="0"/>
              <w:bottom w:val="single" w:color="000000" w:sz="4" w:space="0"/>
              <w:right w:val="single" w:color="000000" w:sz="8" w:space="0"/>
            </w:tcBorders>
            <w:vAlign w:val="center"/>
          </w:tcPr>
          <w:p w14:paraId="3258A33D">
            <w:pPr>
              <w:jc w:val="center"/>
              <w:rPr>
                <w:rFonts w:ascii="Times New Roman" w:eastAsia="仿宋"/>
                <w:szCs w:val="21"/>
              </w:rPr>
            </w:pPr>
            <w:r>
              <w:rPr>
                <w:rFonts w:hint="eastAsia" w:ascii="Times New Roman" w:eastAsia="仿宋"/>
                <w:szCs w:val="21"/>
              </w:rPr>
              <w:t>能源管理工作体系化；进出用能单位已配备能源计量器具，并符合</w:t>
            </w:r>
            <w:r>
              <w:rPr>
                <w:rFonts w:ascii="Times New Roman" w:eastAsia="仿宋"/>
                <w:szCs w:val="21"/>
              </w:rPr>
              <w:t xml:space="preserve"> GB 17167 </w:t>
            </w:r>
            <w:r>
              <w:rPr>
                <w:rFonts w:hint="eastAsia" w:ascii="Times New Roman" w:eastAsia="仿宋"/>
                <w:szCs w:val="21"/>
              </w:rPr>
              <w:t>配备要求</w:t>
            </w:r>
          </w:p>
        </w:tc>
        <w:tc>
          <w:tcPr>
            <w:tcW w:w="4110" w:type="dxa"/>
            <w:tcBorders>
              <w:top w:val="single" w:color="000000" w:sz="4" w:space="0"/>
              <w:left w:val="single" w:color="000000" w:sz="4" w:space="0"/>
              <w:bottom w:val="single" w:color="000000" w:sz="4" w:space="0"/>
              <w:right w:val="single" w:color="000000" w:sz="8" w:space="0"/>
            </w:tcBorders>
            <w:vAlign w:val="center"/>
          </w:tcPr>
          <w:p w14:paraId="3CA72614">
            <w:pPr>
              <w:jc w:val="center"/>
              <w:rPr>
                <w:rFonts w:ascii="Times New Roman" w:eastAsia="仿宋"/>
                <w:szCs w:val="21"/>
              </w:rPr>
            </w:pPr>
            <w:r>
              <w:rPr>
                <w:rFonts w:hint="eastAsia" w:ascii="Times New Roman" w:eastAsia="仿宋"/>
                <w:szCs w:val="21"/>
              </w:rPr>
              <w:t>公司已实现二级计量，符合</w:t>
            </w:r>
            <w:r>
              <w:rPr>
                <w:rFonts w:ascii="Times New Roman" w:eastAsia="仿宋"/>
                <w:szCs w:val="21"/>
              </w:rPr>
              <w:t xml:space="preserve"> GB 17167 </w:t>
            </w:r>
            <w:r>
              <w:rPr>
                <w:rFonts w:hint="eastAsia" w:ascii="Times New Roman" w:eastAsia="仿宋"/>
                <w:szCs w:val="21"/>
              </w:rPr>
              <w:t>配备要求</w:t>
            </w:r>
          </w:p>
        </w:tc>
        <w:tc>
          <w:tcPr>
            <w:tcW w:w="910" w:type="dxa"/>
            <w:tcBorders>
              <w:top w:val="single" w:color="000000" w:sz="4" w:space="0"/>
              <w:left w:val="single" w:color="000000" w:sz="4" w:space="0"/>
              <w:bottom w:val="single" w:color="000000" w:sz="4" w:space="0"/>
              <w:right w:val="single" w:color="000000" w:sz="8" w:space="0"/>
            </w:tcBorders>
            <w:vAlign w:val="center"/>
          </w:tcPr>
          <w:p w14:paraId="02BE501E">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r w14:paraId="40F5073E">
        <w:tblPrEx>
          <w:tblCellMar>
            <w:top w:w="0" w:type="dxa"/>
            <w:left w:w="108" w:type="dxa"/>
            <w:bottom w:w="0" w:type="dxa"/>
            <w:right w:w="108" w:type="dxa"/>
          </w:tblCellMar>
        </w:tblPrEx>
        <w:trPr>
          <w:trHeight w:val="23" w:hRule="atLeast"/>
          <w:jc w:val="center"/>
        </w:trPr>
        <w:tc>
          <w:tcPr>
            <w:tcW w:w="566" w:type="dxa"/>
            <w:tcBorders>
              <w:top w:val="single" w:color="000000" w:sz="4" w:space="0"/>
              <w:left w:val="single" w:color="000000" w:sz="8" w:space="0"/>
              <w:bottom w:val="single" w:color="000000" w:sz="8" w:space="0"/>
              <w:right w:val="single" w:color="000000" w:sz="4" w:space="0"/>
            </w:tcBorders>
            <w:vAlign w:val="center"/>
          </w:tcPr>
          <w:p w14:paraId="3DC32F5D">
            <w:pPr>
              <w:jc w:val="center"/>
              <w:rPr>
                <w:rFonts w:ascii="Times New Roman" w:eastAsia="仿宋"/>
                <w:szCs w:val="21"/>
              </w:rPr>
            </w:pPr>
            <w:r>
              <w:rPr>
                <w:rFonts w:ascii="Times New Roman" w:eastAsia="仿宋"/>
                <w:szCs w:val="21"/>
              </w:rPr>
              <w:t>15</w:t>
            </w:r>
          </w:p>
        </w:tc>
        <w:tc>
          <w:tcPr>
            <w:tcW w:w="661" w:type="dxa"/>
            <w:vMerge w:val="continue"/>
            <w:tcBorders>
              <w:top w:val="single" w:color="000000" w:sz="4" w:space="0"/>
              <w:left w:val="single" w:color="000000" w:sz="4" w:space="0"/>
              <w:bottom w:val="single" w:color="000000" w:sz="8" w:space="0"/>
              <w:right w:val="single" w:color="000000" w:sz="4" w:space="0"/>
            </w:tcBorders>
            <w:vAlign w:val="center"/>
          </w:tcPr>
          <w:p w14:paraId="611134E3">
            <w:pPr>
              <w:rPr>
                <w:rFonts w:ascii="Times New Roman" w:eastAsia="仿宋"/>
                <w:szCs w:val="21"/>
              </w:rPr>
            </w:pPr>
          </w:p>
        </w:tc>
        <w:tc>
          <w:tcPr>
            <w:tcW w:w="659" w:type="dxa"/>
            <w:vMerge w:val="continue"/>
            <w:tcBorders>
              <w:top w:val="single" w:color="000000" w:sz="4" w:space="0"/>
              <w:left w:val="single" w:color="000000" w:sz="4" w:space="0"/>
              <w:bottom w:val="single" w:color="000000" w:sz="8" w:space="0"/>
              <w:right w:val="single" w:color="000000" w:sz="4" w:space="0"/>
            </w:tcBorders>
            <w:vAlign w:val="center"/>
          </w:tcPr>
          <w:p w14:paraId="1A7A7BB8">
            <w:pPr>
              <w:rPr>
                <w:rFonts w:ascii="Times New Roman" w:eastAsia="仿宋"/>
                <w:szCs w:val="21"/>
              </w:rPr>
            </w:pPr>
          </w:p>
        </w:tc>
        <w:tc>
          <w:tcPr>
            <w:tcW w:w="1174" w:type="dxa"/>
            <w:tcBorders>
              <w:top w:val="single" w:color="000000" w:sz="4" w:space="0"/>
              <w:left w:val="single" w:color="000000" w:sz="4" w:space="0"/>
              <w:bottom w:val="single" w:color="000000" w:sz="8" w:space="0"/>
              <w:right w:val="single" w:color="000000" w:sz="4" w:space="0"/>
            </w:tcBorders>
            <w:vAlign w:val="center"/>
          </w:tcPr>
          <w:p w14:paraId="1E6A08C8">
            <w:pPr>
              <w:jc w:val="center"/>
              <w:rPr>
                <w:rFonts w:ascii="Times New Roman" w:eastAsia="仿宋"/>
                <w:szCs w:val="21"/>
              </w:rPr>
            </w:pPr>
            <w:r>
              <w:rPr>
                <w:rFonts w:hint="eastAsia" w:ascii="Times New Roman" w:eastAsia="仿宋"/>
                <w:szCs w:val="21"/>
              </w:rPr>
              <w:t>节水管理</w:t>
            </w:r>
          </w:p>
        </w:tc>
        <w:tc>
          <w:tcPr>
            <w:tcW w:w="838" w:type="dxa"/>
            <w:tcBorders>
              <w:top w:val="single" w:color="000000" w:sz="4" w:space="0"/>
              <w:left w:val="single" w:color="000000" w:sz="4" w:space="0"/>
              <w:bottom w:val="single" w:color="000000" w:sz="8" w:space="0"/>
              <w:right w:val="single" w:color="000000" w:sz="4" w:space="0"/>
            </w:tcBorders>
            <w:vAlign w:val="center"/>
          </w:tcPr>
          <w:p w14:paraId="340C942E">
            <w:pPr>
              <w:jc w:val="center"/>
              <w:rPr>
                <w:rFonts w:ascii="Times New Roman" w:eastAsia="仿宋"/>
                <w:szCs w:val="21"/>
              </w:rPr>
            </w:pPr>
            <w:r>
              <w:rPr>
                <w:rFonts w:ascii="Times New Roman" w:eastAsia="仿宋"/>
                <w:szCs w:val="21"/>
              </w:rPr>
              <w:t>0.10</w:t>
            </w:r>
          </w:p>
        </w:tc>
        <w:tc>
          <w:tcPr>
            <w:tcW w:w="5023" w:type="dxa"/>
            <w:gridSpan w:val="4"/>
            <w:tcBorders>
              <w:top w:val="single" w:color="000000" w:sz="4" w:space="0"/>
              <w:left w:val="single" w:color="000000" w:sz="4" w:space="0"/>
              <w:bottom w:val="single" w:color="000000" w:sz="8" w:space="0"/>
              <w:right w:val="single" w:color="000000" w:sz="8" w:space="0"/>
            </w:tcBorders>
            <w:vAlign w:val="center"/>
          </w:tcPr>
          <w:p w14:paraId="66B0FAD9">
            <w:pPr>
              <w:jc w:val="center"/>
              <w:rPr>
                <w:rFonts w:ascii="Times New Roman" w:eastAsia="仿宋"/>
                <w:szCs w:val="21"/>
              </w:rPr>
            </w:pPr>
            <w:r>
              <w:rPr>
                <w:rFonts w:hint="eastAsia" w:ascii="Times New Roman" w:eastAsia="仿宋"/>
                <w:szCs w:val="21"/>
              </w:rPr>
              <w:t>进出用能单位配备能源计量器具，并符合</w:t>
            </w:r>
            <w:r>
              <w:rPr>
                <w:rFonts w:ascii="Times New Roman" w:eastAsia="仿宋"/>
                <w:szCs w:val="21"/>
              </w:rPr>
              <w:t xml:space="preserve"> GB 24789 </w:t>
            </w:r>
            <w:r>
              <w:rPr>
                <w:rFonts w:hint="eastAsia" w:ascii="Times New Roman" w:eastAsia="仿宋"/>
                <w:szCs w:val="21"/>
              </w:rPr>
              <w:t>配备要求</w:t>
            </w:r>
          </w:p>
        </w:tc>
        <w:tc>
          <w:tcPr>
            <w:tcW w:w="4110" w:type="dxa"/>
            <w:tcBorders>
              <w:top w:val="single" w:color="000000" w:sz="4" w:space="0"/>
              <w:left w:val="single" w:color="000000" w:sz="4" w:space="0"/>
              <w:bottom w:val="single" w:color="000000" w:sz="8" w:space="0"/>
              <w:right w:val="single" w:color="000000" w:sz="8" w:space="0"/>
            </w:tcBorders>
            <w:vAlign w:val="center"/>
          </w:tcPr>
          <w:p w14:paraId="03688940">
            <w:pPr>
              <w:jc w:val="center"/>
              <w:rPr>
                <w:rFonts w:ascii="Times New Roman" w:eastAsia="仿宋"/>
                <w:szCs w:val="21"/>
              </w:rPr>
            </w:pPr>
            <w:r>
              <w:rPr>
                <w:rFonts w:hint="eastAsia" w:ascii="Times New Roman" w:eastAsia="仿宋"/>
                <w:szCs w:val="21"/>
              </w:rPr>
              <w:t>公司已实现二级计量，符合</w:t>
            </w:r>
            <w:r>
              <w:rPr>
                <w:rFonts w:ascii="Times New Roman" w:eastAsia="仿宋"/>
                <w:szCs w:val="21"/>
              </w:rPr>
              <w:t xml:space="preserve"> GB 17167 </w:t>
            </w:r>
            <w:r>
              <w:rPr>
                <w:rFonts w:hint="eastAsia" w:ascii="Times New Roman" w:eastAsia="仿宋"/>
                <w:szCs w:val="21"/>
              </w:rPr>
              <w:t>配备</w:t>
            </w:r>
          </w:p>
        </w:tc>
        <w:tc>
          <w:tcPr>
            <w:tcW w:w="910" w:type="dxa"/>
            <w:tcBorders>
              <w:top w:val="single" w:color="000000" w:sz="4" w:space="0"/>
              <w:left w:val="single" w:color="000000" w:sz="4" w:space="0"/>
              <w:bottom w:val="single" w:color="000000" w:sz="8" w:space="0"/>
              <w:right w:val="single" w:color="000000" w:sz="8" w:space="0"/>
            </w:tcBorders>
            <w:vAlign w:val="center"/>
          </w:tcPr>
          <w:p w14:paraId="7FE1C57A">
            <w:pPr>
              <w:jc w:val="center"/>
              <w:rPr>
                <w:rFonts w:ascii="Times New Roman" w:eastAsia="仿宋"/>
                <w:szCs w:val="21"/>
              </w:rPr>
            </w:pPr>
            <w:r>
              <w:rPr>
                <w:rFonts w:ascii="Times New Roman" w:eastAsia="仿宋"/>
                <w:szCs w:val="21"/>
              </w:rPr>
              <w:t>I</w:t>
            </w:r>
            <w:r>
              <w:rPr>
                <w:rFonts w:hint="eastAsia" w:ascii="Times New Roman" w:eastAsia="仿宋"/>
                <w:szCs w:val="21"/>
              </w:rPr>
              <w:t>级</w:t>
            </w:r>
          </w:p>
        </w:tc>
      </w:tr>
    </w:tbl>
    <w:p w14:paraId="31F485A1">
      <w:pPr>
        <w:pStyle w:val="4081"/>
        <w:spacing w:line="480" w:lineRule="exact"/>
        <w:rPr>
          <w:color w:val="auto"/>
          <w:kern w:val="2"/>
        </w:rPr>
      </w:pPr>
    </w:p>
    <w:p w14:paraId="314F3AE5">
      <w:pPr>
        <w:pStyle w:val="4081"/>
        <w:spacing w:line="480" w:lineRule="exact"/>
        <w:ind w:firstLine="0" w:firstLineChars="0"/>
        <w:rPr>
          <w:color w:val="auto"/>
          <w:kern w:val="2"/>
        </w:rPr>
        <w:sectPr>
          <w:pgSz w:w="16838" w:h="11906" w:orient="landscape"/>
          <w:pgMar w:top="1800" w:right="1440" w:bottom="1800" w:left="1440" w:header="850" w:footer="992" w:gutter="0"/>
          <w:cols w:space="720" w:num="1"/>
          <w:docGrid w:linePitch="312" w:charSpace="0"/>
        </w:sectPr>
      </w:pPr>
    </w:p>
    <w:p w14:paraId="56520AE1">
      <w:pPr>
        <w:pStyle w:val="4081"/>
        <w:spacing w:line="480" w:lineRule="exact"/>
        <w:rPr>
          <w:color w:val="auto"/>
          <w:kern w:val="2"/>
        </w:rPr>
      </w:pPr>
      <w:r>
        <w:rPr>
          <w:rFonts w:hint="eastAsia"/>
          <w:color w:val="auto"/>
          <w:kern w:val="2"/>
        </w:rPr>
        <w:t>评价结果：</w:t>
      </w:r>
    </w:p>
    <w:p w14:paraId="3702A6E9">
      <w:pPr>
        <w:pStyle w:val="170"/>
        <w:spacing w:line="500" w:lineRule="exact"/>
        <w:ind w:firstLine="560" w:firstLineChars="200"/>
        <w:jc w:val="left"/>
        <w:rPr>
          <w:rFonts w:ascii="Times New Roman" w:eastAsia="仿宋"/>
          <w:sz w:val="28"/>
          <w:szCs w:val="28"/>
        </w:rPr>
      </w:pPr>
      <w:r>
        <w:rPr>
          <w:rFonts w:ascii="Times New Roman" w:eastAsia="仿宋"/>
          <w:sz w:val="28"/>
          <w:szCs w:val="28"/>
        </w:rPr>
        <w:t>（1）组合计算方法</w:t>
      </w:r>
    </w:p>
    <w:p w14:paraId="59F90F7D">
      <w:pPr>
        <w:pStyle w:val="170"/>
        <w:spacing w:line="500" w:lineRule="exact"/>
        <w:ind w:firstLine="560" w:firstLineChars="200"/>
        <w:jc w:val="left"/>
        <w:rPr>
          <w:rFonts w:ascii="Times New Roman" w:eastAsia="仿宋"/>
          <w:sz w:val="28"/>
          <w:szCs w:val="28"/>
        </w:rPr>
      </w:pPr>
      <w:r>
        <w:rPr>
          <w:rFonts w:hint="eastAsia" w:ascii="Times New Roman" w:eastAsia="仿宋"/>
          <w:sz w:val="28"/>
          <w:szCs w:val="28"/>
        </w:rPr>
        <w:t>①</w:t>
      </w:r>
      <w:r>
        <w:rPr>
          <w:rFonts w:ascii="Times New Roman" w:eastAsia="仿宋"/>
          <w:sz w:val="28"/>
          <w:szCs w:val="28"/>
        </w:rPr>
        <w:t>指标无量纲化</w:t>
      </w:r>
    </w:p>
    <w:p w14:paraId="5FB0D38A">
      <w:pPr>
        <w:pStyle w:val="170"/>
        <w:spacing w:line="500" w:lineRule="exact"/>
        <w:ind w:firstLine="560" w:firstLineChars="200"/>
        <w:jc w:val="left"/>
        <w:rPr>
          <w:rFonts w:ascii="Times New Roman" w:eastAsia="仿宋"/>
          <w:sz w:val="28"/>
          <w:szCs w:val="28"/>
        </w:rPr>
      </w:pPr>
      <w:r>
        <w:rPr>
          <w:rFonts w:ascii="Times New Roman" w:eastAsia="仿宋"/>
          <w:sz w:val="28"/>
          <w:szCs w:val="28"/>
        </w:rPr>
        <w:t>不同清洁生产指标由于量纲不同，不能直接比较，需要建立原始指标的函数。</w:t>
      </w:r>
    </w:p>
    <w:p w14:paraId="2DA9204B">
      <w:pPr>
        <w:pStyle w:val="170"/>
        <w:ind w:firstLine="560" w:firstLineChars="200"/>
        <w:rPr>
          <w:rFonts w:ascii="Times New Roman" w:eastAsia="仿宋"/>
          <w:sz w:val="28"/>
          <w:szCs w:val="28"/>
        </w:rPr>
      </w:pPr>
      <w:r>
        <w:rPr>
          <w:rFonts w:ascii="Times New Roman" w:eastAsia="仿宋"/>
          <w:sz w:val="28"/>
          <w:szCs w:val="28"/>
        </w:rPr>
        <w:drawing>
          <wp:inline distT="0" distB="0" distL="0" distR="0">
            <wp:extent cx="2574925" cy="629285"/>
            <wp:effectExtent l="0" t="0" r="15875" b="18415"/>
            <wp:docPr id="1903040"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0" name="图片 3" descr="文本&#10;&#10;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74925" cy="629285"/>
                    </a:xfrm>
                    <a:prstGeom prst="rect">
                      <a:avLst/>
                    </a:prstGeom>
                    <a:noFill/>
                    <a:ln>
                      <a:noFill/>
                    </a:ln>
                  </pic:spPr>
                </pic:pic>
              </a:graphicData>
            </a:graphic>
          </wp:inline>
        </w:drawing>
      </w:r>
    </w:p>
    <w:p w14:paraId="0CD9E8DD">
      <w:pPr>
        <w:pStyle w:val="170"/>
        <w:spacing w:line="500" w:lineRule="exact"/>
        <w:ind w:firstLine="560" w:firstLineChars="200"/>
        <w:jc w:val="left"/>
        <w:rPr>
          <w:rFonts w:ascii="Times New Roman" w:eastAsia="仿宋"/>
          <w:sz w:val="28"/>
          <w:szCs w:val="28"/>
        </w:rPr>
      </w:pPr>
      <w:r>
        <w:rPr>
          <w:rFonts w:ascii="Times New Roman" w:eastAsia="仿宋"/>
          <w:sz w:val="28"/>
          <w:szCs w:val="28"/>
        </w:rPr>
        <w:t>式中Xij表示第i个一级指标下的第j个二级指标，gk表示二级指标基准值，其中gⅠ为Ⅰ级水平，gⅡ为Ⅱ级水平，gⅢ为Ⅲ级水平；Xgk（Xij）为二级指标相对于级别gk的函数，若Xij属于级别gk，则函数的值为100，否则为0。</w:t>
      </w:r>
    </w:p>
    <w:p w14:paraId="3FF5D3B8">
      <w:pPr>
        <w:pStyle w:val="170"/>
        <w:spacing w:line="500" w:lineRule="exact"/>
        <w:ind w:firstLine="560" w:firstLineChars="200"/>
        <w:jc w:val="left"/>
        <w:rPr>
          <w:rFonts w:ascii="Times New Roman" w:eastAsia="仿宋"/>
          <w:sz w:val="28"/>
          <w:szCs w:val="28"/>
        </w:rPr>
      </w:pPr>
      <w:r>
        <w:rPr>
          <w:rFonts w:ascii="Times New Roman" w:eastAsia="仿宋"/>
          <w:sz w:val="28"/>
          <w:szCs w:val="28"/>
        </w:rPr>
        <w:t>（2）单项评价指数计算</w:t>
      </w:r>
    </w:p>
    <w:p w14:paraId="77BBCD3D">
      <w:pPr>
        <w:pStyle w:val="170"/>
        <w:spacing w:line="500" w:lineRule="exact"/>
        <w:ind w:firstLine="560" w:firstLineChars="200"/>
        <w:jc w:val="left"/>
        <w:rPr>
          <w:rFonts w:ascii="Times New Roman" w:eastAsia="仿宋"/>
          <w:sz w:val="28"/>
          <w:szCs w:val="28"/>
        </w:rPr>
      </w:pPr>
      <w:r>
        <w:rPr>
          <w:rFonts w:ascii="Times New Roman" w:eastAsia="仿宋"/>
          <w:sz w:val="28"/>
          <w:szCs w:val="28"/>
        </w:rPr>
        <w:t>通过加权平均、逐层收敛可得到评价对象在不同级别gk的得分Xgk，见下式。</w:t>
      </w:r>
    </w:p>
    <w:p w14:paraId="33D48785">
      <w:pPr>
        <w:pStyle w:val="170"/>
        <w:ind w:firstLine="560" w:firstLineChars="200"/>
        <w:rPr>
          <w:rFonts w:ascii="Times New Roman" w:eastAsia="仿宋"/>
          <w:sz w:val="28"/>
          <w:szCs w:val="28"/>
        </w:rPr>
      </w:pPr>
      <w:r>
        <w:rPr>
          <w:rFonts w:ascii="Times New Roman" w:eastAsia="仿宋"/>
          <w:sz w:val="28"/>
          <w:szCs w:val="28"/>
        </w:rPr>
        <w:drawing>
          <wp:inline distT="0" distB="0" distL="0" distR="0">
            <wp:extent cx="3072130" cy="629285"/>
            <wp:effectExtent l="0" t="0" r="13970" b="18415"/>
            <wp:docPr id="1345996509" name="图片 2"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96509" name="图片 2" descr="屏幕上有字&#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72130" cy="629285"/>
                    </a:xfrm>
                    <a:prstGeom prst="rect">
                      <a:avLst/>
                    </a:prstGeom>
                    <a:noFill/>
                    <a:ln>
                      <a:noFill/>
                    </a:ln>
                  </pic:spPr>
                </pic:pic>
              </a:graphicData>
            </a:graphic>
          </wp:inline>
        </w:drawing>
      </w:r>
    </w:p>
    <w:p w14:paraId="33D3D94D">
      <w:pPr>
        <w:pStyle w:val="170"/>
        <w:spacing w:line="500" w:lineRule="exact"/>
        <w:ind w:firstLine="560" w:firstLineChars="200"/>
        <w:jc w:val="left"/>
        <w:rPr>
          <w:rFonts w:ascii="Times New Roman" w:eastAsia="仿宋"/>
          <w:sz w:val="28"/>
          <w:szCs w:val="28"/>
        </w:rPr>
      </w:pPr>
      <w:r>
        <w:rPr>
          <w:rFonts w:ascii="Times New Roman" w:eastAsia="仿宋"/>
          <w:sz w:val="28"/>
          <w:szCs w:val="28"/>
        </w:rPr>
        <w:t>式中，wi为第i一级指标的权重，</w:t>
      </w:r>
      <w:r>
        <w:rPr>
          <w:rFonts w:ascii="Times New Roman" w:eastAsia="仿宋"/>
          <w:sz w:val="28"/>
          <w:szCs w:val="28"/>
        </w:rPr>
        <w:sym w:font="Symbol" w:char="F077"/>
      </w:r>
      <w:r>
        <w:rPr>
          <w:rFonts w:ascii="Times New Roman" w:eastAsia="仿宋"/>
          <w:sz w:val="28"/>
          <w:szCs w:val="28"/>
        </w:rPr>
        <w:t>ij为第i一级指标下的第j个二级指标的权重。</w:t>
      </w:r>
    </w:p>
    <w:p w14:paraId="57FDDA1C">
      <w:pPr>
        <w:pStyle w:val="170"/>
        <w:spacing w:line="500" w:lineRule="exact"/>
        <w:ind w:firstLine="560" w:firstLineChars="200"/>
        <w:jc w:val="left"/>
        <w:rPr>
          <w:rFonts w:ascii="Times New Roman" w:eastAsia="仿宋"/>
          <w:sz w:val="28"/>
          <w:szCs w:val="28"/>
        </w:rPr>
      </w:pPr>
      <w:r>
        <w:rPr>
          <w:rFonts w:ascii="Times New Roman" w:eastAsia="仿宋"/>
          <w:sz w:val="28"/>
          <w:szCs w:val="28"/>
        </w:rPr>
        <w:t>（3）综合评价指数计算</w:t>
      </w:r>
    </w:p>
    <w:p w14:paraId="29A395F0">
      <w:pPr>
        <w:pStyle w:val="170"/>
        <w:spacing w:line="500" w:lineRule="exact"/>
        <w:ind w:firstLine="560" w:firstLineChars="200"/>
        <w:jc w:val="left"/>
        <w:rPr>
          <w:rFonts w:ascii="Times New Roman" w:eastAsia="仿宋"/>
          <w:sz w:val="28"/>
          <w:szCs w:val="28"/>
        </w:rPr>
      </w:pPr>
      <w:r>
        <w:rPr>
          <w:rFonts w:ascii="Times New Roman" w:eastAsia="仿宋"/>
          <w:sz w:val="28"/>
          <w:szCs w:val="28"/>
        </w:rPr>
        <w:t>通过加权求和，见下式。</w:t>
      </w:r>
    </w:p>
    <w:p w14:paraId="6C0F2E56">
      <w:pPr>
        <w:pStyle w:val="170"/>
        <w:ind w:firstLine="560" w:firstLineChars="200"/>
        <w:rPr>
          <w:rFonts w:ascii="Times New Roman" w:eastAsia="仿宋"/>
          <w:sz w:val="28"/>
          <w:szCs w:val="28"/>
        </w:rPr>
      </w:pPr>
      <w:r>
        <w:rPr>
          <w:rFonts w:ascii="Times New Roman" w:eastAsia="仿宋"/>
          <w:sz w:val="28"/>
          <w:szCs w:val="28"/>
        </w:rPr>
        <w:drawing>
          <wp:inline distT="0" distB="0" distL="0" distR="0">
            <wp:extent cx="1404620" cy="511810"/>
            <wp:effectExtent l="0" t="0" r="5080" b="2540"/>
            <wp:docPr id="1644960408"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60408" name="图片 1" descr="卡通人物&#10;&#10;中度可信度描述已自动生成"/>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04620" cy="511810"/>
                    </a:xfrm>
                    <a:prstGeom prst="rect">
                      <a:avLst/>
                    </a:prstGeom>
                    <a:noFill/>
                    <a:ln>
                      <a:noFill/>
                    </a:ln>
                  </pic:spPr>
                </pic:pic>
              </a:graphicData>
            </a:graphic>
          </wp:inline>
        </w:drawing>
      </w:r>
    </w:p>
    <w:p w14:paraId="7FC4A6A0">
      <w:pPr>
        <w:pStyle w:val="170"/>
        <w:spacing w:line="500" w:lineRule="exact"/>
        <w:ind w:firstLine="560" w:firstLineChars="200"/>
        <w:jc w:val="left"/>
        <w:rPr>
          <w:rFonts w:ascii="Times New Roman" w:eastAsia="仿宋"/>
          <w:sz w:val="28"/>
          <w:szCs w:val="28"/>
        </w:rPr>
      </w:pPr>
      <w:r>
        <w:rPr>
          <w:rFonts w:ascii="Times New Roman" w:eastAsia="仿宋"/>
          <w:sz w:val="28"/>
          <w:szCs w:val="28"/>
        </w:rPr>
        <w:t>式中，Xgk为各单项评价指数，wi为各单项评价指数对应的权重。另外，Yg1等同于YⅠ，Yg2等同于YⅡ，Yg3等同于YⅢ。</w:t>
      </w:r>
    </w:p>
    <w:p w14:paraId="3BFA066A">
      <w:pPr>
        <w:pStyle w:val="170"/>
        <w:spacing w:line="500" w:lineRule="exact"/>
        <w:ind w:firstLine="560" w:firstLineChars="200"/>
        <w:jc w:val="left"/>
        <w:rPr>
          <w:rFonts w:ascii="Times New Roman" w:eastAsia="仿宋"/>
          <w:sz w:val="28"/>
          <w:szCs w:val="28"/>
        </w:rPr>
      </w:pPr>
      <w:r>
        <w:rPr>
          <w:rFonts w:ascii="Times New Roman" w:eastAsia="仿宋"/>
          <w:sz w:val="28"/>
          <w:szCs w:val="28"/>
        </w:rPr>
        <w:t>（2）组合计算方法</w:t>
      </w:r>
    </w:p>
    <w:p w14:paraId="1BD67E2A">
      <w:pPr>
        <w:pStyle w:val="170"/>
        <w:spacing w:line="500" w:lineRule="exact"/>
        <w:ind w:firstLine="560" w:firstLineChars="200"/>
        <w:jc w:val="left"/>
        <w:rPr>
          <w:rFonts w:ascii="Times New Roman" w:eastAsia="仿宋"/>
          <w:sz w:val="28"/>
          <w:szCs w:val="28"/>
        </w:rPr>
      </w:pPr>
      <w:r>
        <w:rPr>
          <w:rFonts w:ascii="Times New Roman" w:eastAsia="仿宋"/>
          <w:sz w:val="28"/>
          <w:szCs w:val="28"/>
        </w:rPr>
        <w:t>第一步：将新建企业或新建项目、现有企业相关指标与Ⅰ级限定性指标进行对比，全部符合要求后，再将企业相关指标与Ⅰ级基准值进行逐项对比，计算综合评价指数得分YI，当综合指数得分YI≥85分时，可判定企业清洁生产水平为Ⅰ级。当企业相关指标不满足Ⅰ级限定性指标要求或综合指数得分YI＜85分时，则进入第2步计算。</w:t>
      </w:r>
    </w:p>
    <w:p w14:paraId="67C39DB6">
      <w:pPr>
        <w:pStyle w:val="170"/>
        <w:spacing w:line="500" w:lineRule="exact"/>
        <w:ind w:firstLine="560" w:firstLineChars="200"/>
        <w:jc w:val="left"/>
        <w:rPr>
          <w:rFonts w:ascii="Times New Roman" w:eastAsia="仿宋"/>
          <w:sz w:val="28"/>
          <w:szCs w:val="28"/>
        </w:rPr>
      </w:pPr>
      <w:r>
        <w:rPr>
          <w:rFonts w:ascii="Times New Roman" w:eastAsia="仿宋"/>
          <w:sz w:val="28"/>
          <w:szCs w:val="28"/>
        </w:rPr>
        <w:t>第二步：将新建企业或新建项目、现有企业相关指标与Ⅱ级限定性指标进行对比，全部符合要求后，再将企业相关指标与Ⅱ级基准值进行逐项对比，计算综合评价指数得分，当综合指数得分YII≥85分时，可判定企业清洁生产水平为Ⅱ级。当企业相关指标不满足Ⅱ级限定性指标要求或综合指数得分YII＜85分时，则进入第3步计算。新建企业或新建项目不再参与第3步计算。</w:t>
      </w:r>
    </w:p>
    <w:p w14:paraId="3EA9BDF5">
      <w:pPr>
        <w:pStyle w:val="170"/>
        <w:spacing w:line="500" w:lineRule="exact"/>
        <w:ind w:firstLine="560" w:firstLineChars="200"/>
        <w:jc w:val="left"/>
        <w:rPr>
          <w:rFonts w:ascii="Times New Roman" w:eastAsia="仿宋"/>
          <w:sz w:val="28"/>
          <w:szCs w:val="28"/>
        </w:rPr>
      </w:pPr>
      <w:r>
        <w:rPr>
          <w:rFonts w:ascii="Times New Roman" w:eastAsia="仿宋"/>
          <w:sz w:val="28"/>
          <w:szCs w:val="28"/>
        </w:rPr>
        <w:t>第三步：将现有企业相关指标与Ⅲ级限定性指标基准值进行对比，全部符合要求后，再将企业相关指标与Ⅲ级基准值进行逐项对比，计算综合指数得分YIII，当综合指数得分YIII=100分时，可判定企业清洁生产水平为Ⅲ级。当企业相关指标不满足Ⅲ级限定性指标要求或综合指数得分YIII＜100分时，表明企业未达到清洁生产要求。</w:t>
      </w:r>
    </w:p>
    <w:p w14:paraId="31AE79A2">
      <w:pPr>
        <w:pStyle w:val="170"/>
        <w:spacing w:line="500" w:lineRule="exact"/>
        <w:ind w:firstLine="560" w:firstLineChars="200"/>
        <w:jc w:val="left"/>
        <w:rPr>
          <w:rFonts w:ascii="Times New Roman" w:eastAsia="仿宋"/>
          <w:sz w:val="28"/>
          <w:szCs w:val="28"/>
        </w:rPr>
      </w:pPr>
      <w:r>
        <w:rPr>
          <w:rFonts w:ascii="Times New Roman" w:eastAsia="仿宋"/>
          <w:sz w:val="28"/>
          <w:szCs w:val="28"/>
        </w:rPr>
        <w:t>根据</w:t>
      </w:r>
      <w:r>
        <w:rPr>
          <w:rFonts w:hint="eastAsia" w:ascii="Times New Roman" w:eastAsia="仿宋"/>
          <w:sz w:val="28"/>
          <w:szCs w:val="28"/>
        </w:rPr>
        <w:t>前节</w:t>
      </w:r>
      <w:r>
        <w:rPr>
          <w:rFonts w:ascii="Times New Roman" w:eastAsia="仿宋"/>
          <w:sz w:val="28"/>
          <w:szCs w:val="28"/>
        </w:rPr>
        <w:t>数据核算，本项目各类限定性指标全部满足Ⅱ级基准值要求及以上，同时YII≥85，因此本项目清洁生产水平为Ⅱ级，属于国内清洁生产先进水平</w:t>
      </w:r>
      <w:r>
        <w:rPr>
          <w:rFonts w:hint="eastAsia" w:ascii="Times New Roman" w:eastAsia="仿宋"/>
          <w:sz w:val="28"/>
          <w:szCs w:val="28"/>
        </w:rPr>
        <w:t>。</w:t>
      </w:r>
    </w:p>
    <w:p w14:paraId="5511C398">
      <w:pPr>
        <w:pStyle w:val="4081"/>
        <w:spacing w:line="480" w:lineRule="exact"/>
        <w:rPr>
          <w:color w:val="auto"/>
          <w:kern w:val="2"/>
        </w:rPr>
      </w:pPr>
    </w:p>
    <w:p w14:paraId="62AB55DD">
      <w:pPr>
        <w:pStyle w:val="4081"/>
        <w:spacing w:line="480" w:lineRule="exact"/>
        <w:rPr>
          <w:color w:val="auto"/>
          <w:kern w:val="2"/>
        </w:rPr>
      </w:pPr>
    </w:p>
    <w:p w14:paraId="47F78EB8">
      <w:pPr>
        <w:pStyle w:val="4081"/>
        <w:spacing w:line="480" w:lineRule="exact"/>
        <w:rPr>
          <w:color w:val="auto"/>
          <w:kern w:val="2"/>
        </w:rPr>
        <w:sectPr>
          <w:pgSz w:w="11906" w:h="16838"/>
          <w:pgMar w:top="1440" w:right="1800" w:bottom="1440" w:left="1800" w:header="850" w:footer="992" w:gutter="0"/>
          <w:cols w:space="720" w:num="1"/>
          <w:docGrid w:linePitch="326" w:charSpace="0"/>
        </w:sectPr>
      </w:pPr>
    </w:p>
    <w:p w14:paraId="31DA60E6">
      <w:pPr>
        <w:pStyle w:val="4"/>
        <w:spacing w:before="120" w:beforeLines="50" w:after="120" w:afterLines="50" w:line="500" w:lineRule="exact"/>
        <w:rPr>
          <w:rFonts w:eastAsia="仿宋"/>
          <w:sz w:val="36"/>
          <w:szCs w:val="36"/>
        </w:rPr>
      </w:pPr>
      <w:bookmarkStart w:id="240" w:name="_Toc182553815"/>
      <w:r>
        <w:rPr>
          <w:rFonts w:hint="eastAsia" w:eastAsia="仿宋"/>
          <w:sz w:val="36"/>
          <w:szCs w:val="36"/>
        </w:rPr>
        <w:t>4</w:t>
      </w:r>
      <w:r>
        <w:rPr>
          <w:rFonts w:eastAsia="仿宋"/>
          <w:sz w:val="36"/>
          <w:szCs w:val="36"/>
        </w:rPr>
        <w:t>环境现状调查与评价</w:t>
      </w:r>
      <w:bookmarkEnd w:id="240"/>
    </w:p>
    <w:p w14:paraId="426815C6">
      <w:pPr>
        <w:pStyle w:val="5"/>
        <w:numPr>
          <w:ilvl w:val="1"/>
          <w:numId w:val="0"/>
        </w:numPr>
        <w:rPr>
          <w:rFonts w:eastAsia="仿宋"/>
          <w:color w:val="auto"/>
        </w:rPr>
      </w:pPr>
      <w:bookmarkStart w:id="241" w:name="_Toc182553816"/>
      <w:bookmarkStart w:id="242" w:name="_Toc328747123"/>
      <w:bookmarkStart w:id="243" w:name="_Toc160271880"/>
      <w:r>
        <w:rPr>
          <w:rFonts w:hint="eastAsia" w:eastAsia="仿宋"/>
          <w:color w:val="auto"/>
        </w:rPr>
        <w:t>4.1</w:t>
      </w:r>
      <w:r>
        <w:rPr>
          <w:rFonts w:eastAsia="仿宋"/>
          <w:color w:val="auto"/>
        </w:rPr>
        <w:t>自然环境现状调查概况</w:t>
      </w:r>
      <w:bookmarkEnd w:id="241"/>
      <w:bookmarkEnd w:id="242"/>
      <w:bookmarkEnd w:id="243"/>
    </w:p>
    <w:p w14:paraId="4F876FDC">
      <w:pPr>
        <w:pStyle w:val="6"/>
        <w:keepLines w:val="0"/>
        <w:tabs>
          <w:tab w:val="left" w:pos="709"/>
        </w:tabs>
        <w:spacing w:before="120" w:beforeLines="50" w:after="120" w:afterLines="50" w:line="500" w:lineRule="exact"/>
        <w:rPr>
          <w:rFonts w:ascii="Times New Roman" w:eastAsia="仿宋"/>
          <w:sz w:val="30"/>
          <w:szCs w:val="30"/>
        </w:rPr>
      </w:pPr>
      <w:bookmarkStart w:id="244" w:name="_Toc85012462"/>
      <w:bookmarkStart w:id="245" w:name="_Toc75316704"/>
      <w:bookmarkStart w:id="246" w:name="_Toc85180760"/>
      <w:bookmarkStart w:id="247" w:name="_Toc51932986"/>
      <w:bookmarkStart w:id="248" w:name="_Toc53396309"/>
      <w:bookmarkStart w:id="249" w:name="_Toc53416249"/>
      <w:bookmarkStart w:id="250" w:name="_Toc51583798"/>
      <w:bookmarkStart w:id="251" w:name="_Toc87426572"/>
      <w:bookmarkStart w:id="252" w:name="_Toc51146454"/>
      <w:r>
        <w:rPr>
          <w:rFonts w:hint="eastAsia" w:ascii="Times New Roman" w:eastAsia="仿宋"/>
          <w:sz w:val="30"/>
          <w:szCs w:val="30"/>
        </w:rPr>
        <w:t>4</w:t>
      </w:r>
      <w:r>
        <w:rPr>
          <w:rFonts w:ascii="Times New Roman" w:eastAsia="仿宋"/>
          <w:sz w:val="30"/>
          <w:szCs w:val="30"/>
        </w:rPr>
        <w:t>.1.1地形、地貌</w:t>
      </w:r>
      <w:bookmarkEnd w:id="244"/>
      <w:bookmarkEnd w:id="245"/>
      <w:bookmarkEnd w:id="246"/>
      <w:bookmarkEnd w:id="247"/>
      <w:bookmarkEnd w:id="248"/>
      <w:bookmarkEnd w:id="249"/>
      <w:bookmarkEnd w:id="250"/>
      <w:bookmarkEnd w:id="251"/>
      <w:bookmarkEnd w:id="252"/>
    </w:p>
    <w:p w14:paraId="324CC34B">
      <w:pPr>
        <w:pStyle w:val="170"/>
        <w:spacing w:line="500" w:lineRule="exact"/>
        <w:ind w:firstLine="560" w:firstLineChars="200"/>
        <w:jc w:val="left"/>
        <w:rPr>
          <w:rFonts w:ascii="Times New Roman" w:eastAsia="仿宋"/>
          <w:sz w:val="28"/>
          <w:szCs w:val="28"/>
        </w:rPr>
      </w:pPr>
      <w:r>
        <w:rPr>
          <w:rFonts w:ascii="Times New Roman" w:eastAsia="仿宋"/>
          <w:sz w:val="28"/>
          <w:szCs w:val="28"/>
        </w:rPr>
        <w:t>常州，地处江苏省南部、长江三角洲、太湖平原西北部，北纬31°09′~32°04′，东经119°08′~120°12′之间，东与无锡市为邻，西与镇江句容、南京溧水、南京高淳接壤，西北与丹徒、丹阳毗邻，南与宜兴、安徽省广德、郎溪交界，北襟江阴，隔长江与扬中、泰兴、靖江相望。辖1市5区，面积4385平方公里。</w:t>
      </w:r>
    </w:p>
    <w:p w14:paraId="04F0F8CB">
      <w:pPr>
        <w:pStyle w:val="170"/>
        <w:spacing w:line="500" w:lineRule="exact"/>
        <w:ind w:firstLine="560" w:firstLineChars="200"/>
        <w:jc w:val="left"/>
        <w:rPr>
          <w:rFonts w:ascii="Times New Roman" w:eastAsia="仿宋"/>
          <w:sz w:val="28"/>
          <w:szCs w:val="28"/>
        </w:rPr>
      </w:pPr>
      <w:r>
        <w:rPr>
          <w:rFonts w:ascii="Times New Roman" w:eastAsia="仿宋"/>
          <w:sz w:val="28"/>
          <w:szCs w:val="28"/>
        </w:rPr>
        <w:t>本项目所在地金坛区境内自西向东呈倾斜状态，依次分为茅山低山丘陵，西部黄土缓岗，中部冲积平原和东部高亢平原四种地貌。金坛区地层分为古生界志留系、泥盆系、石炭系、二迭系，中生界三迭系、侏罗系，新生界第三系、第四系，形成于距今4.4亿至250万年间。构造属扬子古陆东端的下扬子台带。由于受中生代燕山期构造运动中的断裂作用的破坏，西部抬升为今所见的茅山山脉及其低山丘陵，其东为长江三角洲西部的冲积湖积平原区。地下水位一般在地面下1～3m。第一承压含水层水位约在地面下30～50m，第二承压含水层约在地面下70～100m，第三承压含水层在130m以下，由于地下水严重超采，该区域地面沉降严重。</w:t>
      </w:r>
    </w:p>
    <w:p w14:paraId="034D2381">
      <w:pPr>
        <w:pStyle w:val="6"/>
        <w:keepLines w:val="0"/>
        <w:tabs>
          <w:tab w:val="left" w:pos="709"/>
        </w:tabs>
        <w:spacing w:before="120" w:beforeLines="50" w:after="120" w:afterLines="50" w:line="500" w:lineRule="exact"/>
        <w:rPr>
          <w:rFonts w:ascii="Times New Roman" w:eastAsia="仿宋"/>
          <w:sz w:val="30"/>
          <w:szCs w:val="30"/>
        </w:rPr>
      </w:pPr>
      <w:bookmarkStart w:id="253" w:name="_Toc51583799"/>
      <w:bookmarkStart w:id="254" w:name="_Toc51932987"/>
      <w:bookmarkStart w:id="255" w:name="_Toc53416250"/>
      <w:bookmarkStart w:id="256" w:name="_Toc85012463"/>
      <w:bookmarkStart w:id="257" w:name="_Toc53396310"/>
      <w:bookmarkStart w:id="258" w:name="_Toc85180761"/>
      <w:bookmarkStart w:id="259" w:name="_Toc87426573"/>
      <w:bookmarkStart w:id="260" w:name="_Toc75316705"/>
      <w:bookmarkStart w:id="261" w:name="_Toc51146455"/>
      <w:r>
        <w:rPr>
          <w:rFonts w:hint="eastAsia" w:ascii="Times New Roman" w:eastAsia="仿宋"/>
          <w:sz w:val="30"/>
          <w:szCs w:val="30"/>
        </w:rPr>
        <w:t>4</w:t>
      </w:r>
      <w:r>
        <w:rPr>
          <w:rFonts w:ascii="Times New Roman" w:eastAsia="仿宋"/>
          <w:sz w:val="30"/>
          <w:szCs w:val="30"/>
        </w:rPr>
        <w:t>.1.2气象气候</w:t>
      </w:r>
      <w:bookmarkEnd w:id="253"/>
      <w:bookmarkEnd w:id="254"/>
      <w:bookmarkEnd w:id="255"/>
      <w:bookmarkEnd w:id="256"/>
      <w:bookmarkEnd w:id="257"/>
      <w:bookmarkEnd w:id="258"/>
      <w:bookmarkEnd w:id="259"/>
      <w:bookmarkEnd w:id="260"/>
      <w:bookmarkEnd w:id="261"/>
    </w:p>
    <w:p w14:paraId="4CB76C11">
      <w:pPr>
        <w:pStyle w:val="170"/>
        <w:spacing w:line="500" w:lineRule="exact"/>
        <w:ind w:firstLine="560" w:firstLineChars="200"/>
        <w:jc w:val="left"/>
        <w:rPr>
          <w:rFonts w:ascii="Times New Roman" w:eastAsia="仿宋"/>
          <w:sz w:val="28"/>
          <w:szCs w:val="28"/>
        </w:rPr>
      </w:pPr>
      <w:r>
        <w:rPr>
          <w:rFonts w:ascii="Times New Roman" w:eastAsia="仿宋"/>
          <w:sz w:val="28"/>
          <w:szCs w:val="28"/>
        </w:rPr>
        <w:t>常州地处北亚热带季风气候区，气候湿润温和，日照充足，四季分明，雨量充沛。夏季受来自海洋季风控制，炎热多雨；冬季受北高原南来的季风影响，寒冷少雨，春秋两季处南北季风交替时期，形成了冷暖多变，晴雨无常的气候特征。据气象台历年观测资料统计：项目所在地区平均气温15.4</w:t>
      </w:r>
      <w:r>
        <w:rPr>
          <w:rFonts w:hint="eastAsia" w:ascii="Times New Roman" w:eastAsia="仿宋"/>
          <w:sz w:val="28"/>
          <w:szCs w:val="28"/>
        </w:rPr>
        <w:t>℃</w:t>
      </w:r>
      <w:r>
        <w:rPr>
          <w:rFonts w:ascii="Times New Roman" w:eastAsia="仿宋"/>
          <w:sz w:val="28"/>
          <w:szCs w:val="28"/>
        </w:rPr>
        <w:t>，极端最高气温38.9</w:t>
      </w:r>
      <w:r>
        <w:rPr>
          <w:rFonts w:hint="eastAsia" w:ascii="Times New Roman" w:eastAsia="仿宋"/>
          <w:sz w:val="28"/>
          <w:szCs w:val="28"/>
        </w:rPr>
        <w:t>℃</w:t>
      </w:r>
      <w:r>
        <w:rPr>
          <w:rFonts w:ascii="Times New Roman" w:eastAsia="仿宋"/>
          <w:sz w:val="28"/>
          <w:szCs w:val="28"/>
        </w:rPr>
        <w:t>，极端最低气温-12.5</w:t>
      </w:r>
      <w:r>
        <w:rPr>
          <w:rFonts w:hint="eastAsia" w:ascii="Times New Roman" w:eastAsia="仿宋"/>
          <w:sz w:val="28"/>
          <w:szCs w:val="28"/>
        </w:rPr>
        <w:t>℃</w:t>
      </w:r>
      <w:r>
        <w:rPr>
          <w:rFonts w:ascii="Times New Roman" w:eastAsia="仿宋"/>
          <w:sz w:val="28"/>
          <w:szCs w:val="28"/>
        </w:rPr>
        <w:t>。历年平均无霜期220天，平均气压1016.2百帕，相对湿度79%，年平均降水量1106.7mm，年最大降水量1630.7mm，年最小降水量552.9mm。年均日照时数为2019.4小时。年主导风向为ESE，风频11.1%；次导风向SE，风频9.6%，年静风频率12.8%。冬季以WNW为主导风向，风频12.8%；夏季以ESE为主导风向，频率达14.8%。项目所在地区全年以D类（中性）稳定度天气为主。项目所在地近5年平均风速为2.6m/s。各月平均风速变化幅度在2.2-2.8m/s（10m处）。风速昼夜变化不大，下午1-2点风速最大，可达3.1m/s；夜间风速平衡，一般在1.7-1.9m/s。</w:t>
      </w:r>
    </w:p>
    <w:p w14:paraId="40655B61">
      <w:pPr>
        <w:pStyle w:val="170"/>
        <w:spacing w:line="500" w:lineRule="exact"/>
        <w:ind w:firstLine="560" w:firstLineChars="200"/>
        <w:jc w:val="left"/>
        <w:rPr>
          <w:rFonts w:ascii="Times New Roman" w:eastAsia="仿宋"/>
          <w:sz w:val="28"/>
          <w:szCs w:val="28"/>
        </w:rPr>
      </w:pPr>
      <w:r>
        <w:rPr>
          <w:rFonts w:ascii="Times New Roman" w:eastAsia="仿宋"/>
          <w:sz w:val="28"/>
          <w:szCs w:val="28"/>
        </w:rPr>
        <w:t>金坛区位于亚热带，属于季风副热带海洋性气候。全年四季分明，春夏温暖潮湿，雨水充足；秋季凉爽；冬季较寒冷，有霜冻和降雪。年平均气温为15.7</w:t>
      </w:r>
      <w:r>
        <w:rPr>
          <w:rFonts w:hint="eastAsia" w:ascii="Times New Roman" w:eastAsia="仿宋"/>
          <w:sz w:val="28"/>
          <w:szCs w:val="28"/>
        </w:rPr>
        <w:t>℃</w:t>
      </w:r>
      <w:r>
        <w:rPr>
          <w:rFonts w:ascii="Times New Roman" w:eastAsia="仿宋"/>
          <w:sz w:val="28"/>
          <w:szCs w:val="28"/>
        </w:rPr>
        <w:t>，以7、8月份最高（30</w:t>
      </w:r>
      <w:r>
        <w:rPr>
          <w:rFonts w:hint="eastAsia" w:ascii="Times New Roman" w:eastAsia="仿宋"/>
          <w:sz w:val="28"/>
          <w:szCs w:val="28"/>
        </w:rPr>
        <w:t>℃</w:t>
      </w:r>
      <w:r>
        <w:rPr>
          <w:rFonts w:ascii="Times New Roman" w:eastAsia="仿宋"/>
          <w:sz w:val="28"/>
          <w:szCs w:val="28"/>
        </w:rPr>
        <w:t>左右），历年最高气温39.4（1978年），1月份温度最低（2</w:t>
      </w:r>
      <w:r>
        <w:rPr>
          <w:rFonts w:hint="eastAsia" w:ascii="Times New Roman" w:eastAsia="仿宋"/>
          <w:sz w:val="28"/>
          <w:szCs w:val="28"/>
        </w:rPr>
        <w:t>℃</w:t>
      </w:r>
      <w:r>
        <w:rPr>
          <w:rFonts w:ascii="Times New Roman" w:eastAsia="仿宋"/>
          <w:sz w:val="28"/>
          <w:szCs w:val="28"/>
        </w:rPr>
        <w:t>左右），历年最低气温-15.5</w:t>
      </w:r>
      <w:r>
        <w:rPr>
          <w:rFonts w:hint="eastAsia" w:ascii="Times New Roman" w:eastAsia="仿宋"/>
          <w:sz w:val="28"/>
          <w:szCs w:val="28"/>
        </w:rPr>
        <w:t>℃</w:t>
      </w:r>
      <w:r>
        <w:rPr>
          <w:rFonts w:ascii="Times New Roman" w:eastAsia="仿宋"/>
          <w:sz w:val="28"/>
          <w:szCs w:val="28"/>
        </w:rPr>
        <w:t>（1955年）。全年平均日照1908h，年日照时间长，对农作物生长极为有利。全年12个月中，月平均日照以9月为最多（200小时左右），以2月最少（120小时左右）。常年风向为东南风，在春、夏两季居多，秋季多东北风，冬季多西北风，常年风力一般3-4级或5~6级，偶有7~8级大风。</w:t>
      </w:r>
    </w:p>
    <w:p w14:paraId="02B4DB53">
      <w:pPr>
        <w:pStyle w:val="170"/>
        <w:spacing w:line="500" w:lineRule="exact"/>
        <w:ind w:firstLine="560" w:firstLineChars="200"/>
        <w:jc w:val="left"/>
        <w:rPr>
          <w:rFonts w:ascii="Times New Roman" w:eastAsia="仿宋"/>
          <w:sz w:val="28"/>
          <w:szCs w:val="28"/>
        </w:rPr>
      </w:pPr>
      <w:r>
        <w:rPr>
          <w:rFonts w:ascii="Times New Roman" w:eastAsia="仿宋"/>
          <w:sz w:val="28"/>
          <w:szCs w:val="28"/>
        </w:rPr>
        <w:t>近20年资料分析的风向玫瑰图如图3.2-1所示，金坛气象站主要风向为ESE和SE、</w:t>
      </w:r>
      <w:r>
        <w:rPr>
          <w:rFonts w:hint="eastAsia" w:ascii="Times New Roman" w:eastAsia="仿宋"/>
          <w:sz w:val="28"/>
          <w:szCs w:val="28"/>
        </w:rPr>
        <w:t>E、E</w:t>
      </w:r>
      <w:r>
        <w:rPr>
          <w:rFonts w:ascii="Times New Roman" w:eastAsia="仿宋"/>
          <w:sz w:val="28"/>
          <w:szCs w:val="28"/>
        </w:rPr>
        <w:t>NE，占38.9％，其中以ESE为主风向，占到全年11.8%左右。</w:t>
      </w:r>
    </w:p>
    <w:p w14:paraId="0151E778">
      <w:pPr>
        <w:spacing w:line="500" w:lineRule="exact"/>
        <w:ind w:firstLine="482" w:firstLineChars="200"/>
        <w:jc w:val="center"/>
        <w:rPr>
          <w:rFonts w:ascii="Times New Roman" w:eastAsia="仿宋"/>
          <w:b/>
        </w:rPr>
      </w:pPr>
      <w:r>
        <w:rPr>
          <w:rFonts w:ascii="Times New Roman" w:eastAsia="仿宋"/>
          <w:b/>
        </w:rPr>
        <w:t xml:space="preserve">表4.1-1  </w:t>
      </w:r>
      <w:r>
        <w:rPr>
          <w:rFonts w:hint="eastAsia" w:ascii="Times New Roman" w:eastAsia="仿宋"/>
          <w:b/>
        </w:rPr>
        <w:t>金坛</w:t>
      </w:r>
      <w:r>
        <w:rPr>
          <w:rFonts w:ascii="Times New Roman" w:eastAsia="仿宋"/>
          <w:b/>
        </w:rPr>
        <w:t>气象站年风向频率统计（单位：%）</w:t>
      </w:r>
    </w:p>
    <w:tbl>
      <w:tblPr>
        <w:tblStyle w:val="8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456"/>
        <w:gridCol w:w="444"/>
        <w:gridCol w:w="510"/>
        <w:gridCol w:w="441"/>
        <w:gridCol w:w="483"/>
        <w:gridCol w:w="442"/>
        <w:gridCol w:w="443"/>
        <w:gridCol w:w="441"/>
        <w:gridCol w:w="442"/>
        <w:gridCol w:w="317"/>
        <w:gridCol w:w="510"/>
        <w:gridCol w:w="443"/>
        <w:gridCol w:w="603"/>
        <w:gridCol w:w="328"/>
        <w:gridCol w:w="643"/>
        <w:gridCol w:w="443"/>
        <w:gridCol w:w="590"/>
        <w:gridCol w:w="347"/>
      </w:tblGrid>
      <w:tr w14:paraId="4BB6A2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vAlign w:val="center"/>
          </w:tcPr>
          <w:p w14:paraId="5C715671">
            <w:pPr>
              <w:jc w:val="center"/>
              <w:rPr>
                <w:rFonts w:ascii="Times New Roman" w:hAnsi="仿宋" w:eastAsia="仿宋"/>
                <w:szCs w:val="21"/>
              </w:rPr>
            </w:pPr>
            <w:r>
              <w:rPr>
                <w:rFonts w:ascii="Times New Roman" w:hAnsi="仿宋" w:eastAsia="仿宋"/>
                <w:szCs w:val="21"/>
              </w:rPr>
              <w:t>月份</w:t>
            </w:r>
          </w:p>
        </w:tc>
        <w:tc>
          <w:tcPr>
            <w:tcW w:w="278" w:type="pct"/>
            <w:vAlign w:val="center"/>
          </w:tcPr>
          <w:p w14:paraId="64AA885E">
            <w:pPr>
              <w:jc w:val="center"/>
              <w:rPr>
                <w:rFonts w:ascii="Times New Roman" w:hAnsi="仿宋" w:eastAsia="仿宋"/>
                <w:szCs w:val="21"/>
              </w:rPr>
            </w:pPr>
            <w:r>
              <w:rPr>
                <w:rFonts w:ascii="Times New Roman" w:hAnsi="仿宋" w:eastAsia="仿宋"/>
                <w:szCs w:val="21"/>
              </w:rPr>
              <w:t>N</w:t>
            </w:r>
          </w:p>
        </w:tc>
        <w:tc>
          <w:tcPr>
            <w:tcW w:w="276" w:type="pct"/>
            <w:vAlign w:val="center"/>
          </w:tcPr>
          <w:p w14:paraId="64DE4933">
            <w:pPr>
              <w:jc w:val="center"/>
              <w:rPr>
                <w:rFonts w:ascii="Times New Roman" w:hAnsi="仿宋" w:eastAsia="仿宋"/>
                <w:szCs w:val="21"/>
              </w:rPr>
            </w:pPr>
            <w:r>
              <w:rPr>
                <w:rFonts w:ascii="Times New Roman" w:hAnsi="仿宋" w:eastAsia="仿宋"/>
                <w:szCs w:val="21"/>
              </w:rPr>
              <w:t>NNE</w:t>
            </w:r>
          </w:p>
        </w:tc>
        <w:tc>
          <w:tcPr>
            <w:tcW w:w="276" w:type="pct"/>
            <w:vAlign w:val="center"/>
          </w:tcPr>
          <w:p w14:paraId="5A1EB458">
            <w:pPr>
              <w:jc w:val="center"/>
              <w:rPr>
                <w:rFonts w:ascii="Times New Roman" w:hAnsi="仿宋" w:eastAsia="仿宋"/>
                <w:szCs w:val="21"/>
              </w:rPr>
            </w:pPr>
            <w:r>
              <w:rPr>
                <w:rFonts w:ascii="Times New Roman" w:hAnsi="仿宋" w:eastAsia="仿宋"/>
                <w:szCs w:val="21"/>
              </w:rPr>
              <w:t>NE</w:t>
            </w:r>
          </w:p>
        </w:tc>
        <w:tc>
          <w:tcPr>
            <w:tcW w:w="276" w:type="pct"/>
            <w:vAlign w:val="center"/>
          </w:tcPr>
          <w:p w14:paraId="4DB77CEE">
            <w:pPr>
              <w:jc w:val="center"/>
              <w:rPr>
                <w:rFonts w:ascii="Times New Roman" w:hAnsi="仿宋" w:eastAsia="仿宋"/>
                <w:szCs w:val="21"/>
              </w:rPr>
            </w:pPr>
            <w:r>
              <w:rPr>
                <w:rFonts w:ascii="Times New Roman" w:hAnsi="仿宋" w:eastAsia="仿宋"/>
                <w:szCs w:val="21"/>
              </w:rPr>
              <w:t>ENE</w:t>
            </w:r>
          </w:p>
        </w:tc>
        <w:tc>
          <w:tcPr>
            <w:tcW w:w="276" w:type="pct"/>
            <w:vAlign w:val="center"/>
          </w:tcPr>
          <w:p w14:paraId="5FEE5BD9">
            <w:pPr>
              <w:jc w:val="center"/>
              <w:rPr>
                <w:rFonts w:ascii="Times New Roman" w:hAnsi="仿宋" w:eastAsia="仿宋"/>
                <w:szCs w:val="21"/>
              </w:rPr>
            </w:pPr>
            <w:r>
              <w:rPr>
                <w:rFonts w:ascii="Times New Roman" w:hAnsi="仿宋" w:eastAsia="仿宋"/>
                <w:szCs w:val="21"/>
              </w:rPr>
              <w:t>E</w:t>
            </w:r>
          </w:p>
        </w:tc>
        <w:tc>
          <w:tcPr>
            <w:tcW w:w="276" w:type="pct"/>
            <w:vAlign w:val="center"/>
          </w:tcPr>
          <w:p w14:paraId="65079837">
            <w:pPr>
              <w:jc w:val="center"/>
              <w:rPr>
                <w:rFonts w:ascii="Times New Roman" w:hAnsi="仿宋" w:eastAsia="仿宋"/>
                <w:szCs w:val="21"/>
              </w:rPr>
            </w:pPr>
            <w:r>
              <w:rPr>
                <w:rFonts w:ascii="Times New Roman" w:hAnsi="仿宋" w:eastAsia="仿宋"/>
                <w:szCs w:val="21"/>
              </w:rPr>
              <w:t>ESE</w:t>
            </w:r>
          </w:p>
        </w:tc>
        <w:tc>
          <w:tcPr>
            <w:tcW w:w="276" w:type="pct"/>
            <w:vAlign w:val="center"/>
          </w:tcPr>
          <w:p w14:paraId="666C282A">
            <w:pPr>
              <w:jc w:val="center"/>
              <w:rPr>
                <w:rFonts w:ascii="Times New Roman" w:hAnsi="仿宋" w:eastAsia="仿宋"/>
                <w:szCs w:val="21"/>
              </w:rPr>
            </w:pPr>
            <w:r>
              <w:rPr>
                <w:rFonts w:ascii="Times New Roman" w:hAnsi="仿宋" w:eastAsia="仿宋"/>
                <w:szCs w:val="21"/>
              </w:rPr>
              <w:t>SE</w:t>
            </w:r>
          </w:p>
        </w:tc>
        <w:tc>
          <w:tcPr>
            <w:tcW w:w="276" w:type="pct"/>
            <w:vAlign w:val="center"/>
          </w:tcPr>
          <w:p w14:paraId="5DAAEE0E">
            <w:pPr>
              <w:jc w:val="center"/>
              <w:rPr>
                <w:rFonts w:ascii="Times New Roman" w:hAnsi="仿宋" w:eastAsia="仿宋"/>
                <w:szCs w:val="21"/>
              </w:rPr>
            </w:pPr>
            <w:r>
              <w:rPr>
                <w:rFonts w:ascii="Times New Roman" w:hAnsi="仿宋" w:eastAsia="仿宋"/>
                <w:szCs w:val="21"/>
              </w:rPr>
              <w:t>SSE</w:t>
            </w:r>
          </w:p>
        </w:tc>
        <w:tc>
          <w:tcPr>
            <w:tcW w:w="201" w:type="pct"/>
            <w:vAlign w:val="center"/>
          </w:tcPr>
          <w:p w14:paraId="33D0C5A9">
            <w:pPr>
              <w:jc w:val="center"/>
              <w:rPr>
                <w:rFonts w:ascii="Times New Roman" w:hAnsi="仿宋" w:eastAsia="仿宋"/>
                <w:szCs w:val="21"/>
              </w:rPr>
            </w:pPr>
            <w:r>
              <w:rPr>
                <w:rFonts w:ascii="Times New Roman" w:hAnsi="仿宋" w:eastAsia="仿宋"/>
                <w:szCs w:val="21"/>
              </w:rPr>
              <w:t>S</w:t>
            </w:r>
          </w:p>
        </w:tc>
        <w:tc>
          <w:tcPr>
            <w:tcW w:w="277" w:type="pct"/>
            <w:vAlign w:val="center"/>
          </w:tcPr>
          <w:p w14:paraId="2D5D1BAB">
            <w:pPr>
              <w:jc w:val="center"/>
              <w:rPr>
                <w:rFonts w:ascii="Times New Roman" w:hAnsi="仿宋" w:eastAsia="仿宋"/>
                <w:szCs w:val="21"/>
              </w:rPr>
            </w:pPr>
            <w:r>
              <w:rPr>
                <w:rFonts w:ascii="Times New Roman" w:hAnsi="仿宋" w:eastAsia="仿宋"/>
                <w:szCs w:val="21"/>
              </w:rPr>
              <w:t>SSW</w:t>
            </w:r>
          </w:p>
        </w:tc>
        <w:tc>
          <w:tcPr>
            <w:tcW w:w="277" w:type="pct"/>
            <w:vAlign w:val="center"/>
          </w:tcPr>
          <w:p w14:paraId="0A56D586">
            <w:pPr>
              <w:jc w:val="center"/>
              <w:rPr>
                <w:rFonts w:ascii="Times New Roman" w:hAnsi="仿宋" w:eastAsia="仿宋"/>
                <w:szCs w:val="21"/>
              </w:rPr>
            </w:pPr>
            <w:r>
              <w:rPr>
                <w:rFonts w:ascii="Times New Roman" w:hAnsi="仿宋" w:eastAsia="仿宋"/>
                <w:szCs w:val="21"/>
              </w:rPr>
              <w:t>SW</w:t>
            </w:r>
          </w:p>
        </w:tc>
        <w:tc>
          <w:tcPr>
            <w:tcW w:w="347" w:type="pct"/>
            <w:vAlign w:val="center"/>
          </w:tcPr>
          <w:p w14:paraId="33A151E7">
            <w:pPr>
              <w:jc w:val="center"/>
              <w:rPr>
                <w:rFonts w:ascii="Times New Roman" w:hAnsi="仿宋" w:eastAsia="仿宋"/>
                <w:szCs w:val="21"/>
              </w:rPr>
            </w:pPr>
            <w:r>
              <w:rPr>
                <w:rFonts w:ascii="Times New Roman" w:hAnsi="仿宋" w:eastAsia="仿宋"/>
                <w:szCs w:val="21"/>
              </w:rPr>
              <w:t>WSW</w:t>
            </w:r>
          </w:p>
        </w:tc>
        <w:tc>
          <w:tcPr>
            <w:tcW w:w="208" w:type="pct"/>
            <w:vAlign w:val="center"/>
          </w:tcPr>
          <w:p w14:paraId="6AF61B09">
            <w:pPr>
              <w:jc w:val="center"/>
              <w:rPr>
                <w:rFonts w:ascii="Times New Roman" w:hAnsi="仿宋" w:eastAsia="仿宋"/>
                <w:szCs w:val="21"/>
              </w:rPr>
            </w:pPr>
            <w:r>
              <w:rPr>
                <w:rFonts w:ascii="Times New Roman" w:hAnsi="仿宋" w:eastAsia="仿宋"/>
                <w:szCs w:val="21"/>
              </w:rPr>
              <w:t>W</w:t>
            </w:r>
          </w:p>
        </w:tc>
        <w:tc>
          <w:tcPr>
            <w:tcW w:w="352" w:type="pct"/>
            <w:vAlign w:val="center"/>
          </w:tcPr>
          <w:p w14:paraId="78BD5DF3">
            <w:pPr>
              <w:jc w:val="center"/>
              <w:rPr>
                <w:rFonts w:ascii="Times New Roman" w:hAnsi="仿宋" w:eastAsia="仿宋"/>
                <w:szCs w:val="21"/>
              </w:rPr>
            </w:pPr>
            <w:r>
              <w:rPr>
                <w:rFonts w:ascii="Times New Roman" w:hAnsi="仿宋" w:eastAsia="仿宋"/>
                <w:szCs w:val="21"/>
              </w:rPr>
              <w:t>WNW</w:t>
            </w:r>
          </w:p>
        </w:tc>
        <w:tc>
          <w:tcPr>
            <w:tcW w:w="277" w:type="pct"/>
            <w:vAlign w:val="center"/>
          </w:tcPr>
          <w:p w14:paraId="2DD9041A">
            <w:pPr>
              <w:jc w:val="center"/>
              <w:rPr>
                <w:rFonts w:ascii="Times New Roman" w:hAnsi="仿宋" w:eastAsia="仿宋"/>
                <w:szCs w:val="21"/>
              </w:rPr>
            </w:pPr>
            <w:r>
              <w:rPr>
                <w:rFonts w:ascii="Times New Roman" w:hAnsi="仿宋" w:eastAsia="仿宋"/>
                <w:szCs w:val="21"/>
              </w:rPr>
              <w:t>NW</w:t>
            </w:r>
          </w:p>
        </w:tc>
        <w:tc>
          <w:tcPr>
            <w:tcW w:w="347" w:type="pct"/>
            <w:vAlign w:val="center"/>
          </w:tcPr>
          <w:p w14:paraId="26EF6BAE">
            <w:pPr>
              <w:jc w:val="center"/>
              <w:rPr>
                <w:rFonts w:ascii="Times New Roman" w:hAnsi="仿宋" w:eastAsia="仿宋"/>
                <w:szCs w:val="21"/>
              </w:rPr>
            </w:pPr>
            <w:r>
              <w:rPr>
                <w:rFonts w:ascii="Times New Roman" w:hAnsi="仿宋" w:eastAsia="仿宋"/>
                <w:szCs w:val="21"/>
              </w:rPr>
              <w:t>NNW</w:t>
            </w:r>
          </w:p>
        </w:tc>
        <w:tc>
          <w:tcPr>
            <w:tcW w:w="221" w:type="pct"/>
            <w:vAlign w:val="center"/>
          </w:tcPr>
          <w:p w14:paraId="332BBEC8">
            <w:pPr>
              <w:jc w:val="center"/>
              <w:rPr>
                <w:rFonts w:ascii="Times New Roman" w:hAnsi="仿宋" w:eastAsia="仿宋"/>
                <w:szCs w:val="21"/>
              </w:rPr>
            </w:pPr>
            <w:r>
              <w:rPr>
                <w:rFonts w:ascii="Times New Roman" w:hAnsi="仿宋" w:eastAsia="仿宋"/>
                <w:szCs w:val="21"/>
              </w:rPr>
              <w:t>C</w:t>
            </w:r>
          </w:p>
        </w:tc>
      </w:tr>
      <w:tr w14:paraId="63E6F3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5" w:type="pct"/>
            <w:vAlign w:val="center"/>
          </w:tcPr>
          <w:p w14:paraId="62448DB5">
            <w:pPr>
              <w:jc w:val="center"/>
              <w:rPr>
                <w:rFonts w:ascii="Times New Roman" w:hAnsi="仿宋" w:eastAsia="仿宋"/>
                <w:szCs w:val="21"/>
              </w:rPr>
            </w:pPr>
            <w:r>
              <w:rPr>
                <w:rFonts w:ascii="Times New Roman" w:hAnsi="仿宋" w:eastAsia="仿宋"/>
                <w:szCs w:val="21"/>
              </w:rPr>
              <w:t>平均风速</w:t>
            </w:r>
          </w:p>
        </w:tc>
        <w:tc>
          <w:tcPr>
            <w:tcW w:w="278" w:type="pct"/>
            <w:vAlign w:val="center"/>
          </w:tcPr>
          <w:p w14:paraId="51A023E9">
            <w:pPr>
              <w:jc w:val="center"/>
              <w:rPr>
                <w:rFonts w:ascii="Times New Roman" w:hAnsi="仿宋" w:eastAsia="仿宋"/>
                <w:szCs w:val="21"/>
              </w:rPr>
            </w:pPr>
            <w:r>
              <w:rPr>
                <w:rFonts w:ascii="Times New Roman" w:hAnsi="仿宋" w:eastAsia="仿宋"/>
                <w:szCs w:val="21"/>
              </w:rPr>
              <w:t>5.8</w:t>
            </w:r>
          </w:p>
        </w:tc>
        <w:tc>
          <w:tcPr>
            <w:tcW w:w="276" w:type="pct"/>
            <w:vAlign w:val="center"/>
          </w:tcPr>
          <w:p w14:paraId="65AC0B32">
            <w:pPr>
              <w:jc w:val="center"/>
              <w:rPr>
                <w:rFonts w:ascii="Times New Roman" w:hAnsi="仿宋" w:eastAsia="仿宋"/>
                <w:szCs w:val="21"/>
              </w:rPr>
            </w:pPr>
            <w:r>
              <w:rPr>
                <w:rFonts w:ascii="Times New Roman" w:hAnsi="仿宋" w:eastAsia="仿宋"/>
                <w:szCs w:val="21"/>
              </w:rPr>
              <w:t>7.4</w:t>
            </w:r>
          </w:p>
        </w:tc>
        <w:tc>
          <w:tcPr>
            <w:tcW w:w="276" w:type="pct"/>
            <w:vAlign w:val="center"/>
          </w:tcPr>
          <w:p w14:paraId="14B1D913">
            <w:pPr>
              <w:jc w:val="center"/>
              <w:rPr>
                <w:rFonts w:ascii="Times New Roman" w:hAnsi="仿宋" w:eastAsia="仿宋"/>
                <w:szCs w:val="21"/>
              </w:rPr>
            </w:pPr>
            <w:r>
              <w:rPr>
                <w:rFonts w:ascii="Times New Roman" w:hAnsi="仿宋" w:eastAsia="仿宋"/>
                <w:szCs w:val="21"/>
              </w:rPr>
              <w:t>8.0</w:t>
            </w:r>
          </w:p>
        </w:tc>
        <w:tc>
          <w:tcPr>
            <w:tcW w:w="276" w:type="pct"/>
            <w:vAlign w:val="center"/>
          </w:tcPr>
          <w:p w14:paraId="19394EC1">
            <w:pPr>
              <w:jc w:val="center"/>
              <w:rPr>
                <w:rFonts w:ascii="Times New Roman" w:hAnsi="仿宋" w:eastAsia="仿宋"/>
                <w:szCs w:val="21"/>
              </w:rPr>
            </w:pPr>
            <w:r>
              <w:rPr>
                <w:rFonts w:ascii="Times New Roman" w:hAnsi="仿宋" w:eastAsia="仿宋"/>
                <w:szCs w:val="21"/>
              </w:rPr>
              <w:t>8.3</w:t>
            </w:r>
          </w:p>
        </w:tc>
        <w:tc>
          <w:tcPr>
            <w:tcW w:w="276" w:type="pct"/>
            <w:vAlign w:val="center"/>
          </w:tcPr>
          <w:p w14:paraId="68C1808B">
            <w:pPr>
              <w:jc w:val="center"/>
              <w:rPr>
                <w:rFonts w:ascii="Times New Roman" w:hAnsi="仿宋" w:eastAsia="仿宋"/>
                <w:szCs w:val="21"/>
              </w:rPr>
            </w:pPr>
            <w:r>
              <w:rPr>
                <w:rFonts w:ascii="Times New Roman" w:hAnsi="仿宋" w:eastAsia="仿宋"/>
                <w:szCs w:val="21"/>
              </w:rPr>
              <w:t>8.7</w:t>
            </w:r>
          </w:p>
        </w:tc>
        <w:tc>
          <w:tcPr>
            <w:tcW w:w="276" w:type="pct"/>
            <w:vAlign w:val="center"/>
          </w:tcPr>
          <w:p w14:paraId="59BEF003">
            <w:pPr>
              <w:jc w:val="center"/>
              <w:rPr>
                <w:rFonts w:ascii="Times New Roman" w:hAnsi="仿宋" w:eastAsia="仿宋"/>
                <w:szCs w:val="21"/>
              </w:rPr>
            </w:pPr>
            <w:r>
              <w:rPr>
                <w:rFonts w:ascii="Times New Roman" w:hAnsi="仿宋" w:eastAsia="仿宋"/>
                <w:szCs w:val="21"/>
              </w:rPr>
              <w:t>11.8</w:t>
            </w:r>
          </w:p>
        </w:tc>
        <w:tc>
          <w:tcPr>
            <w:tcW w:w="276" w:type="pct"/>
            <w:vAlign w:val="center"/>
          </w:tcPr>
          <w:p w14:paraId="50036DD8">
            <w:pPr>
              <w:jc w:val="center"/>
              <w:rPr>
                <w:rFonts w:ascii="Times New Roman" w:hAnsi="仿宋" w:eastAsia="仿宋"/>
                <w:szCs w:val="21"/>
              </w:rPr>
            </w:pPr>
            <w:r>
              <w:rPr>
                <w:rFonts w:ascii="Times New Roman" w:hAnsi="仿宋" w:eastAsia="仿宋"/>
                <w:szCs w:val="21"/>
              </w:rPr>
              <w:t>10.1</w:t>
            </w:r>
          </w:p>
        </w:tc>
        <w:tc>
          <w:tcPr>
            <w:tcW w:w="276" w:type="pct"/>
            <w:vAlign w:val="center"/>
          </w:tcPr>
          <w:p w14:paraId="73F15B2D">
            <w:pPr>
              <w:jc w:val="center"/>
              <w:rPr>
                <w:rFonts w:ascii="Times New Roman" w:hAnsi="仿宋" w:eastAsia="仿宋"/>
                <w:szCs w:val="21"/>
              </w:rPr>
            </w:pPr>
            <w:r>
              <w:rPr>
                <w:rFonts w:ascii="Times New Roman" w:hAnsi="仿宋" w:eastAsia="仿宋"/>
                <w:szCs w:val="21"/>
              </w:rPr>
              <w:t>4.5</w:t>
            </w:r>
          </w:p>
        </w:tc>
        <w:tc>
          <w:tcPr>
            <w:tcW w:w="201" w:type="pct"/>
            <w:vAlign w:val="center"/>
          </w:tcPr>
          <w:p w14:paraId="1B11C380">
            <w:pPr>
              <w:jc w:val="center"/>
              <w:rPr>
                <w:rFonts w:ascii="Times New Roman" w:hAnsi="仿宋" w:eastAsia="仿宋"/>
                <w:szCs w:val="21"/>
              </w:rPr>
            </w:pPr>
            <w:r>
              <w:rPr>
                <w:rFonts w:ascii="Times New Roman" w:hAnsi="仿宋" w:eastAsia="仿宋"/>
                <w:szCs w:val="21"/>
              </w:rPr>
              <w:t>2.6</w:t>
            </w:r>
          </w:p>
        </w:tc>
        <w:tc>
          <w:tcPr>
            <w:tcW w:w="277" w:type="pct"/>
            <w:vAlign w:val="center"/>
          </w:tcPr>
          <w:p w14:paraId="799A84A7">
            <w:pPr>
              <w:jc w:val="center"/>
              <w:rPr>
                <w:rFonts w:ascii="Times New Roman" w:hAnsi="仿宋" w:eastAsia="仿宋"/>
                <w:szCs w:val="21"/>
              </w:rPr>
            </w:pPr>
            <w:r>
              <w:rPr>
                <w:rFonts w:ascii="Times New Roman" w:hAnsi="仿宋" w:eastAsia="仿宋"/>
                <w:szCs w:val="21"/>
              </w:rPr>
              <w:t>2.5</w:t>
            </w:r>
          </w:p>
        </w:tc>
        <w:tc>
          <w:tcPr>
            <w:tcW w:w="277" w:type="pct"/>
            <w:vAlign w:val="center"/>
          </w:tcPr>
          <w:p w14:paraId="6AA7C5FD">
            <w:pPr>
              <w:jc w:val="center"/>
              <w:rPr>
                <w:rFonts w:ascii="Times New Roman" w:hAnsi="仿宋" w:eastAsia="仿宋"/>
                <w:szCs w:val="21"/>
              </w:rPr>
            </w:pPr>
            <w:r>
              <w:rPr>
                <w:rFonts w:ascii="Times New Roman" w:hAnsi="仿宋" w:eastAsia="仿宋"/>
                <w:szCs w:val="21"/>
              </w:rPr>
              <w:t>4.7</w:t>
            </w:r>
          </w:p>
        </w:tc>
        <w:tc>
          <w:tcPr>
            <w:tcW w:w="347" w:type="pct"/>
            <w:vAlign w:val="center"/>
          </w:tcPr>
          <w:p w14:paraId="537DF7E9">
            <w:pPr>
              <w:jc w:val="center"/>
              <w:rPr>
                <w:rFonts w:ascii="Times New Roman" w:hAnsi="仿宋" w:eastAsia="仿宋"/>
                <w:szCs w:val="21"/>
              </w:rPr>
            </w:pPr>
            <w:r>
              <w:rPr>
                <w:rFonts w:ascii="Times New Roman" w:hAnsi="仿宋" w:eastAsia="仿宋"/>
                <w:szCs w:val="21"/>
              </w:rPr>
              <w:t>4.1</w:t>
            </w:r>
          </w:p>
        </w:tc>
        <w:tc>
          <w:tcPr>
            <w:tcW w:w="208" w:type="pct"/>
            <w:vAlign w:val="center"/>
          </w:tcPr>
          <w:p w14:paraId="2729587D">
            <w:pPr>
              <w:jc w:val="center"/>
              <w:rPr>
                <w:rFonts w:ascii="Times New Roman" w:hAnsi="仿宋" w:eastAsia="仿宋"/>
                <w:szCs w:val="21"/>
              </w:rPr>
            </w:pPr>
            <w:r>
              <w:rPr>
                <w:rFonts w:ascii="Times New Roman" w:hAnsi="仿宋" w:eastAsia="仿宋"/>
                <w:szCs w:val="21"/>
              </w:rPr>
              <w:t>4.0</w:t>
            </w:r>
          </w:p>
        </w:tc>
        <w:tc>
          <w:tcPr>
            <w:tcW w:w="352" w:type="pct"/>
            <w:vAlign w:val="center"/>
          </w:tcPr>
          <w:p w14:paraId="1E9A269F">
            <w:pPr>
              <w:jc w:val="center"/>
              <w:rPr>
                <w:rFonts w:ascii="Times New Roman" w:hAnsi="仿宋" w:eastAsia="仿宋"/>
                <w:szCs w:val="21"/>
              </w:rPr>
            </w:pPr>
            <w:r>
              <w:rPr>
                <w:rFonts w:ascii="Times New Roman" w:hAnsi="仿宋" w:eastAsia="仿宋"/>
                <w:szCs w:val="21"/>
              </w:rPr>
              <w:t>4.2</w:t>
            </w:r>
          </w:p>
        </w:tc>
        <w:tc>
          <w:tcPr>
            <w:tcW w:w="277" w:type="pct"/>
            <w:vAlign w:val="center"/>
          </w:tcPr>
          <w:p w14:paraId="1DA98C10">
            <w:pPr>
              <w:jc w:val="center"/>
              <w:rPr>
                <w:rFonts w:ascii="Times New Roman" w:hAnsi="仿宋" w:eastAsia="仿宋"/>
                <w:szCs w:val="21"/>
              </w:rPr>
            </w:pPr>
            <w:r>
              <w:rPr>
                <w:rFonts w:ascii="Times New Roman" w:hAnsi="仿宋" w:eastAsia="仿宋"/>
                <w:szCs w:val="21"/>
              </w:rPr>
              <w:t>4.9</w:t>
            </w:r>
          </w:p>
        </w:tc>
        <w:tc>
          <w:tcPr>
            <w:tcW w:w="347" w:type="pct"/>
            <w:vAlign w:val="center"/>
          </w:tcPr>
          <w:p w14:paraId="3ED6A141">
            <w:pPr>
              <w:jc w:val="center"/>
              <w:rPr>
                <w:rFonts w:ascii="Times New Roman" w:hAnsi="仿宋" w:eastAsia="仿宋"/>
                <w:szCs w:val="21"/>
              </w:rPr>
            </w:pPr>
            <w:r>
              <w:rPr>
                <w:rFonts w:ascii="Times New Roman" w:hAnsi="仿宋" w:eastAsia="仿宋"/>
                <w:szCs w:val="21"/>
              </w:rPr>
              <w:t>5.1</w:t>
            </w:r>
          </w:p>
        </w:tc>
        <w:tc>
          <w:tcPr>
            <w:tcW w:w="221" w:type="pct"/>
            <w:vAlign w:val="center"/>
          </w:tcPr>
          <w:p w14:paraId="57EDBEF9">
            <w:pPr>
              <w:jc w:val="center"/>
              <w:rPr>
                <w:rFonts w:ascii="Times New Roman" w:hAnsi="仿宋" w:eastAsia="仿宋"/>
                <w:szCs w:val="21"/>
              </w:rPr>
            </w:pPr>
            <w:r>
              <w:rPr>
                <w:rFonts w:ascii="Times New Roman" w:hAnsi="仿宋" w:eastAsia="仿宋"/>
                <w:szCs w:val="21"/>
              </w:rPr>
              <w:t>3.4</w:t>
            </w:r>
          </w:p>
        </w:tc>
      </w:tr>
    </w:tbl>
    <w:p w14:paraId="5FC79F65">
      <w:pPr>
        <w:widowControl/>
        <w:ind w:firstLine="560"/>
        <w:jc w:val="center"/>
        <w:rPr>
          <w:rFonts w:ascii="Times New Roman" w:eastAsia="仿宋"/>
          <w:szCs w:val="24"/>
        </w:rPr>
      </w:pPr>
      <w:r>
        <w:drawing>
          <wp:inline distT="0" distB="0" distL="0" distR="0">
            <wp:extent cx="3914140" cy="31076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919733" cy="3111701"/>
                    </a:xfrm>
                    <a:prstGeom prst="rect">
                      <a:avLst/>
                    </a:prstGeom>
                    <a:noFill/>
                    <a:ln>
                      <a:noFill/>
                    </a:ln>
                  </pic:spPr>
                </pic:pic>
              </a:graphicData>
            </a:graphic>
          </wp:inline>
        </w:drawing>
      </w:r>
    </w:p>
    <w:p w14:paraId="4C8CD941">
      <w:pPr>
        <w:widowControl/>
        <w:ind w:firstLine="482"/>
        <w:jc w:val="center"/>
        <w:rPr>
          <w:rFonts w:ascii="Times New Roman" w:eastAsia="仿宋"/>
          <w:szCs w:val="28"/>
        </w:rPr>
      </w:pPr>
      <w:r>
        <w:rPr>
          <w:rFonts w:ascii="Times New Roman" w:eastAsia="仿宋"/>
          <w:b/>
          <w:bCs/>
        </w:rPr>
        <w:t xml:space="preserve">图4.1-1  </w:t>
      </w:r>
      <w:r>
        <w:rPr>
          <w:rFonts w:hint="eastAsia" w:ascii="Times New Roman" w:eastAsia="仿宋"/>
          <w:b/>
          <w:bCs/>
        </w:rPr>
        <w:t>金坛</w:t>
      </w:r>
      <w:r>
        <w:rPr>
          <w:rFonts w:ascii="Times New Roman" w:eastAsia="仿宋"/>
          <w:b/>
          <w:bCs/>
        </w:rPr>
        <w:t>风向玫瑰图（静风频率3.4%）</w:t>
      </w:r>
    </w:p>
    <w:p w14:paraId="4E746572">
      <w:pPr>
        <w:pStyle w:val="6"/>
        <w:keepLines w:val="0"/>
        <w:tabs>
          <w:tab w:val="left" w:pos="709"/>
        </w:tabs>
        <w:spacing w:before="120" w:beforeLines="50" w:after="120" w:afterLines="50" w:line="500" w:lineRule="exact"/>
        <w:rPr>
          <w:rFonts w:ascii="Times New Roman" w:eastAsia="仿宋"/>
          <w:sz w:val="30"/>
          <w:szCs w:val="30"/>
        </w:rPr>
      </w:pPr>
      <w:bookmarkStart w:id="262" w:name="_Hlt115351835"/>
      <w:bookmarkEnd w:id="262"/>
      <w:bookmarkStart w:id="263" w:name="_Toc53396311"/>
      <w:bookmarkStart w:id="264" w:name="_Toc85012464"/>
      <w:bookmarkStart w:id="265" w:name="_Toc85180762"/>
      <w:bookmarkStart w:id="266" w:name="_Toc75316706"/>
      <w:bookmarkStart w:id="267" w:name="_Toc51583800"/>
      <w:bookmarkStart w:id="268" w:name="_Toc51932988"/>
      <w:bookmarkStart w:id="269" w:name="_Toc53416251"/>
      <w:bookmarkStart w:id="270" w:name="_Toc51146456"/>
      <w:bookmarkStart w:id="271" w:name="_Toc87426574"/>
      <w:r>
        <w:rPr>
          <w:rFonts w:hint="eastAsia" w:ascii="Times New Roman" w:eastAsia="仿宋"/>
          <w:sz w:val="30"/>
          <w:szCs w:val="30"/>
        </w:rPr>
        <w:t>4</w:t>
      </w:r>
      <w:r>
        <w:rPr>
          <w:rFonts w:ascii="Times New Roman" w:eastAsia="仿宋"/>
          <w:sz w:val="30"/>
          <w:szCs w:val="30"/>
        </w:rPr>
        <w:t>.1.3水文特征</w:t>
      </w:r>
      <w:bookmarkEnd w:id="263"/>
      <w:bookmarkEnd w:id="264"/>
      <w:bookmarkEnd w:id="265"/>
      <w:bookmarkEnd w:id="266"/>
      <w:bookmarkEnd w:id="267"/>
      <w:bookmarkEnd w:id="268"/>
      <w:bookmarkEnd w:id="269"/>
      <w:bookmarkEnd w:id="270"/>
      <w:bookmarkEnd w:id="271"/>
      <w:bookmarkStart w:id="272" w:name="_Hlt111974679"/>
      <w:bookmarkEnd w:id="272"/>
    </w:p>
    <w:p w14:paraId="5ACE382F">
      <w:pPr>
        <w:pStyle w:val="170"/>
        <w:spacing w:line="500" w:lineRule="exact"/>
        <w:ind w:firstLine="560" w:firstLineChars="200"/>
        <w:jc w:val="left"/>
        <w:rPr>
          <w:rFonts w:ascii="Times New Roman" w:eastAsia="仿宋"/>
          <w:sz w:val="28"/>
          <w:szCs w:val="28"/>
        </w:rPr>
      </w:pPr>
      <w:r>
        <w:rPr>
          <w:rFonts w:ascii="Times New Roman" w:eastAsia="仿宋"/>
          <w:sz w:val="28"/>
          <w:szCs w:val="28"/>
        </w:rPr>
        <w:t>全市属长江流域的太湖湖区、南溪两大水系，京杭大运河自西北向东南经市区穿越过境，由诸多北支和南支沟通长江以及洮湖、滆湖、太湖等主要湖泊，构成纵横交错的水网地区。</w:t>
      </w:r>
    </w:p>
    <w:p w14:paraId="5055E08C">
      <w:pPr>
        <w:pStyle w:val="170"/>
        <w:spacing w:line="500" w:lineRule="exact"/>
        <w:ind w:firstLine="560" w:firstLineChars="200"/>
        <w:jc w:val="left"/>
        <w:rPr>
          <w:rFonts w:ascii="Times New Roman" w:eastAsia="仿宋"/>
          <w:sz w:val="28"/>
          <w:szCs w:val="28"/>
        </w:rPr>
      </w:pPr>
      <w:r>
        <w:rPr>
          <w:rFonts w:ascii="Times New Roman" w:eastAsia="仿宋"/>
          <w:sz w:val="28"/>
          <w:szCs w:val="28"/>
        </w:rPr>
        <w:t>金坛水系属太湖流域水系，具有水域面积大、过境水量多、雨量充沛等特点。境内水域面积42.2万亩，除去部分荡滩、苇地、沟渠等，实际水面为36.5万亩，其中河流7.7万亩，占20.99%；湖泊12.6万亩，占34.38%；水库0.67万亩，占1.82%；塘坝7.95万亩，占21.78%；渔塘7.68万亩，占2l.03%。金坛市区的水系以丹金溧漕河为主，上游接丹阳境内大运河经谏壁通长江，下游向南连长荡湖、滆湖，注入太湖，市区内有通济河、运粮河、社桥河，东有尧塘河、下丘河，南有老鸭河及东、西城河。老城河仅在北部及东南部尚有残留河段，其余均已填没。金坛市区以外还有许多湖泊，主要包括长荡湖、小型湖泊（如钱资荡）、湖荡（如天荒湖）三种。丹金溧漕河、钱资荡、长荡湖为市区地表水水源。</w:t>
      </w:r>
    </w:p>
    <w:p w14:paraId="22C89AC7">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通济河又名直溪、直里河，自丹徒丁角开始至三岔河入金坛境，经直溪、舍田桥至三里桥与丹金溧漕河相会，金坛区地段全长</w:t>
      </w:r>
      <w:r>
        <w:rPr>
          <w:rFonts w:ascii="Times New Roman" w:eastAsia="仿宋"/>
          <w:kern w:val="2"/>
          <w:sz w:val="28"/>
          <w:szCs w:val="28"/>
        </w:rPr>
        <w:t>25.88</w:t>
      </w:r>
      <w:r>
        <w:rPr>
          <w:rFonts w:hint="eastAsia" w:ascii="Times New Roman" w:eastAsia="仿宋"/>
          <w:kern w:val="2"/>
          <w:sz w:val="28"/>
          <w:szCs w:val="28"/>
        </w:rPr>
        <w:t>公里，通济河南北向穿镇域而过，是直溪镇的骨干河道。通济河水面平均宽</w:t>
      </w:r>
      <w:r>
        <w:rPr>
          <w:rFonts w:ascii="Times New Roman" w:eastAsia="仿宋"/>
          <w:kern w:val="2"/>
          <w:sz w:val="28"/>
          <w:szCs w:val="28"/>
        </w:rPr>
        <w:t>50</w:t>
      </w:r>
      <w:r>
        <w:rPr>
          <w:rFonts w:hint="eastAsia" w:ascii="Times New Roman" w:eastAsia="仿宋"/>
          <w:kern w:val="2"/>
          <w:sz w:val="28"/>
          <w:szCs w:val="28"/>
        </w:rPr>
        <w:t>米，平均水深</w:t>
      </w:r>
      <w:r>
        <w:rPr>
          <w:rFonts w:ascii="Times New Roman" w:eastAsia="仿宋"/>
          <w:kern w:val="2"/>
          <w:sz w:val="28"/>
          <w:szCs w:val="28"/>
        </w:rPr>
        <w:t>1.3</w:t>
      </w:r>
      <w:r>
        <w:rPr>
          <w:rFonts w:hint="eastAsia" w:ascii="Times New Roman" w:eastAsia="仿宋"/>
          <w:kern w:val="2"/>
          <w:sz w:val="28"/>
          <w:szCs w:val="28"/>
        </w:rPr>
        <w:t>米，平均流速</w:t>
      </w:r>
      <w:r>
        <w:rPr>
          <w:rFonts w:ascii="Times New Roman" w:eastAsia="仿宋"/>
          <w:kern w:val="2"/>
          <w:sz w:val="28"/>
          <w:szCs w:val="28"/>
        </w:rPr>
        <w:t>0.062m/s</w:t>
      </w:r>
      <w:r>
        <w:rPr>
          <w:rFonts w:hint="eastAsia" w:ascii="Times New Roman" w:eastAsia="仿宋"/>
          <w:kern w:val="2"/>
          <w:sz w:val="28"/>
          <w:szCs w:val="28"/>
        </w:rPr>
        <w:t>，平均流量</w:t>
      </w:r>
      <w:r>
        <w:rPr>
          <w:rFonts w:ascii="Times New Roman" w:eastAsia="仿宋"/>
          <w:kern w:val="2"/>
          <w:sz w:val="28"/>
          <w:szCs w:val="28"/>
        </w:rPr>
        <w:t>4.02m</w:t>
      </w:r>
      <w:r>
        <w:rPr>
          <w:rFonts w:ascii="Times New Roman" w:eastAsia="仿宋"/>
          <w:kern w:val="2"/>
          <w:sz w:val="28"/>
          <w:szCs w:val="28"/>
          <w:vertAlign w:val="superscript"/>
        </w:rPr>
        <w:t>3</w:t>
      </w:r>
      <w:r>
        <w:rPr>
          <w:rFonts w:ascii="Times New Roman" w:eastAsia="仿宋"/>
          <w:kern w:val="2"/>
          <w:sz w:val="28"/>
          <w:szCs w:val="28"/>
        </w:rPr>
        <w:t>/s</w:t>
      </w:r>
      <w:r>
        <w:rPr>
          <w:rFonts w:hint="eastAsia" w:ascii="Times New Roman" w:eastAsia="仿宋"/>
          <w:kern w:val="2"/>
          <w:sz w:val="28"/>
          <w:szCs w:val="28"/>
        </w:rPr>
        <w:t>。</w:t>
      </w:r>
    </w:p>
    <w:p w14:paraId="59E74CFD">
      <w:pPr>
        <w:spacing w:line="500" w:lineRule="exact"/>
        <w:ind w:firstLine="562" w:firstLineChars="200"/>
        <w:rPr>
          <w:rFonts w:ascii="Times New Roman" w:eastAsia="仿宋"/>
          <w:sz w:val="28"/>
          <w:szCs w:val="28"/>
        </w:rPr>
      </w:pPr>
      <w:r>
        <w:rPr>
          <w:rFonts w:ascii="Times New Roman" w:eastAsia="仿宋_GB2312"/>
          <w:b/>
          <w:sz w:val="28"/>
          <w:szCs w:val="28"/>
        </w:rPr>
        <w:t>本项目周边水系概化示意图详见图4.1-1所示。</w:t>
      </w:r>
    </w:p>
    <w:p w14:paraId="66FB5D05">
      <w:pPr>
        <w:pStyle w:val="6"/>
        <w:keepLines w:val="0"/>
        <w:tabs>
          <w:tab w:val="left" w:pos="709"/>
        </w:tabs>
        <w:spacing w:before="120" w:beforeLines="50" w:after="120" w:afterLines="50" w:line="500" w:lineRule="exact"/>
        <w:rPr>
          <w:rFonts w:ascii="Times New Roman" w:eastAsia="仿宋"/>
          <w:sz w:val="30"/>
          <w:szCs w:val="30"/>
        </w:rPr>
      </w:pPr>
      <w:r>
        <w:rPr>
          <w:rFonts w:hint="eastAsia" w:ascii="Times New Roman" w:eastAsia="仿宋"/>
          <w:sz w:val="30"/>
          <w:szCs w:val="30"/>
        </w:rPr>
        <w:t>4</w:t>
      </w:r>
      <w:r>
        <w:rPr>
          <w:rFonts w:ascii="Times New Roman" w:eastAsia="仿宋"/>
          <w:sz w:val="30"/>
          <w:szCs w:val="30"/>
        </w:rPr>
        <w:t>.1.4</w:t>
      </w:r>
      <w:r>
        <w:rPr>
          <w:rFonts w:hint="eastAsia" w:ascii="Times New Roman" w:eastAsia="仿宋"/>
          <w:sz w:val="30"/>
          <w:szCs w:val="30"/>
        </w:rPr>
        <w:t>生态环境</w:t>
      </w:r>
    </w:p>
    <w:p w14:paraId="54D877C5">
      <w:pPr>
        <w:pStyle w:val="170"/>
        <w:spacing w:line="500" w:lineRule="exact"/>
        <w:ind w:firstLine="560" w:firstLineChars="200"/>
        <w:jc w:val="left"/>
        <w:rPr>
          <w:rFonts w:ascii="Times New Roman" w:eastAsia="仿宋"/>
          <w:sz w:val="28"/>
          <w:szCs w:val="28"/>
        </w:rPr>
      </w:pPr>
      <w:r>
        <w:rPr>
          <w:rFonts w:ascii="Times New Roman" w:eastAsia="仿宋"/>
          <w:sz w:val="28"/>
          <w:szCs w:val="28"/>
        </w:rPr>
        <w:t>（1）土壤</w:t>
      </w:r>
    </w:p>
    <w:p w14:paraId="273369C8">
      <w:pPr>
        <w:pStyle w:val="170"/>
        <w:spacing w:line="500" w:lineRule="exact"/>
        <w:ind w:firstLine="560" w:firstLineChars="200"/>
        <w:jc w:val="left"/>
        <w:rPr>
          <w:rFonts w:ascii="Times New Roman" w:eastAsia="仿宋"/>
          <w:sz w:val="28"/>
          <w:szCs w:val="28"/>
        </w:rPr>
      </w:pPr>
      <w:r>
        <w:rPr>
          <w:rFonts w:ascii="Times New Roman" w:eastAsia="仿宋"/>
          <w:sz w:val="28"/>
          <w:szCs w:val="28"/>
        </w:rPr>
        <w:t>常州耕地土壤类型单一，市郊土壤可分为水稻土和黄棕壤2个土类以及5个亚类、5个土属、16个土种和1个变种。其中，水稻土类占99.89%。耕作层土壤质地各级所占比重：重壤土82.26%、轻粘壤土14.52%、中壤土2.42%、其他0.8%；土壤阳离子代换量：平均每百克21.57毫克当量；土壤所含养份：有机质、氮素中等，磷素中等偏上，钾素不足；土壤酸碱度：pH平均值为6.19，强酸性、酸性和微酸性的三酸土占耕地面积59.85%，耕地趋向酸化，土壤酸化程度菜田大于粮田，弱碱性和碱性土占耕地面积18.33%。</w:t>
      </w:r>
    </w:p>
    <w:p w14:paraId="24671AB5">
      <w:pPr>
        <w:spacing w:line="500" w:lineRule="exact"/>
        <w:ind w:firstLine="560" w:firstLineChars="200"/>
        <w:rPr>
          <w:rFonts w:ascii="Times New Roman" w:eastAsia="仿宋"/>
          <w:sz w:val="28"/>
          <w:szCs w:val="28"/>
        </w:rPr>
      </w:pPr>
      <w:r>
        <w:rPr>
          <w:rFonts w:ascii="Times New Roman" w:eastAsia="仿宋"/>
          <w:sz w:val="28"/>
          <w:szCs w:val="28"/>
        </w:rPr>
        <w:t>（2）森林生态</w:t>
      </w:r>
    </w:p>
    <w:p w14:paraId="1C55D8DF">
      <w:pPr>
        <w:spacing w:line="500" w:lineRule="exact"/>
        <w:ind w:firstLine="560" w:firstLineChars="200"/>
        <w:rPr>
          <w:rFonts w:ascii="Times New Roman" w:eastAsia="仿宋"/>
          <w:sz w:val="28"/>
          <w:szCs w:val="28"/>
        </w:rPr>
      </w:pPr>
      <w:r>
        <w:rPr>
          <w:rFonts w:ascii="Times New Roman" w:eastAsia="仿宋"/>
          <w:sz w:val="28"/>
          <w:szCs w:val="28"/>
        </w:rPr>
        <w:t>根据2008年公布的《常州市森林资源规划设计调查成果报告》，常州市林地面积756.35km</w:t>
      </w:r>
      <w:r>
        <w:rPr>
          <w:rFonts w:ascii="Times New Roman" w:eastAsia="仿宋"/>
          <w:sz w:val="28"/>
          <w:szCs w:val="28"/>
          <w:vertAlign w:val="superscript"/>
        </w:rPr>
        <w:t>2</w:t>
      </w:r>
      <w:r>
        <w:rPr>
          <w:rFonts w:ascii="Times New Roman" w:eastAsia="仿宋"/>
          <w:sz w:val="28"/>
          <w:szCs w:val="28"/>
        </w:rPr>
        <w:t>，占17.29%；四旁树占地面积96.55km</w:t>
      </w:r>
      <w:r>
        <w:rPr>
          <w:rFonts w:ascii="Times New Roman" w:eastAsia="仿宋"/>
          <w:sz w:val="28"/>
          <w:szCs w:val="28"/>
          <w:vertAlign w:val="superscript"/>
        </w:rPr>
        <w:t>2</w:t>
      </w:r>
      <w:r>
        <w:rPr>
          <w:rFonts w:ascii="Times New Roman" w:eastAsia="仿宋"/>
          <w:sz w:val="28"/>
          <w:szCs w:val="28"/>
        </w:rPr>
        <w:t>，占2.21%。林地面积中，有林地面积502.93km</w:t>
      </w:r>
      <w:r>
        <w:rPr>
          <w:rFonts w:ascii="Times New Roman" w:eastAsia="仿宋"/>
          <w:sz w:val="28"/>
          <w:szCs w:val="28"/>
          <w:vertAlign w:val="superscript"/>
        </w:rPr>
        <w:t>2</w:t>
      </w:r>
      <w:r>
        <w:rPr>
          <w:rFonts w:ascii="Times New Roman" w:eastAsia="仿宋"/>
          <w:sz w:val="28"/>
          <w:szCs w:val="28"/>
        </w:rPr>
        <w:t>，占66.49%；疏林地面积0.56km</w:t>
      </w:r>
      <w:r>
        <w:rPr>
          <w:rFonts w:ascii="Times New Roman" w:eastAsia="仿宋"/>
          <w:sz w:val="28"/>
          <w:szCs w:val="28"/>
          <w:vertAlign w:val="superscript"/>
        </w:rPr>
        <w:t>2</w:t>
      </w:r>
      <w:r>
        <w:rPr>
          <w:rFonts w:ascii="Times New Roman" w:eastAsia="仿宋"/>
          <w:sz w:val="28"/>
          <w:szCs w:val="28"/>
        </w:rPr>
        <w:t>，占0.07%；灌木林地面积164.05km</w:t>
      </w:r>
      <w:r>
        <w:rPr>
          <w:rFonts w:ascii="Times New Roman" w:eastAsia="仿宋"/>
          <w:sz w:val="28"/>
          <w:szCs w:val="28"/>
          <w:vertAlign w:val="superscript"/>
        </w:rPr>
        <w:t>2</w:t>
      </w:r>
      <w:r>
        <w:rPr>
          <w:rFonts w:ascii="Times New Roman" w:eastAsia="仿宋"/>
          <w:sz w:val="28"/>
          <w:szCs w:val="28"/>
        </w:rPr>
        <w:t>，占21.69%；未成林地面积18.53km</w:t>
      </w:r>
      <w:r>
        <w:rPr>
          <w:rFonts w:ascii="Times New Roman" w:eastAsia="仿宋"/>
          <w:sz w:val="28"/>
          <w:szCs w:val="28"/>
          <w:vertAlign w:val="superscript"/>
        </w:rPr>
        <w:t>2</w:t>
      </w:r>
      <w:r>
        <w:rPr>
          <w:rFonts w:ascii="Times New Roman" w:eastAsia="仿宋"/>
          <w:sz w:val="28"/>
          <w:szCs w:val="28"/>
        </w:rPr>
        <w:t>，占2.45%；苗圃地面积57.22km</w:t>
      </w:r>
      <w:r>
        <w:rPr>
          <w:rFonts w:ascii="Times New Roman" w:eastAsia="仿宋"/>
          <w:sz w:val="28"/>
          <w:szCs w:val="28"/>
          <w:vertAlign w:val="superscript"/>
        </w:rPr>
        <w:t>2</w:t>
      </w:r>
      <w:r>
        <w:rPr>
          <w:rFonts w:ascii="Times New Roman" w:eastAsia="仿宋"/>
          <w:sz w:val="28"/>
          <w:szCs w:val="28"/>
        </w:rPr>
        <w:t>，占7.56%；无立木林地面积0.85km</w:t>
      </w:r>
      <w:r>
        <w:rPr>
          <w:rFonts w:ascii="Times New Roman" w:eastAsia="仿宋"/>
          <w:sz w:val="28"/>
          <w:szCs w:val="28"/>
          <w:vertAlign w:val="superscript"/>
        </w:rPr>
        <w:t>2</w:t>
      </w:r>
      <w:r>
        <w:rPr>
          <w:rFonts w:ascii="Times New Roman" w:eastAsia="仿宋"/>
          <w:sz w:val="28"/>
          <w:szCs w:val="28"/>
        </w:rPr>
        <w:t>，占0.11%；宜林地面积10.36km</w:t>
      </w:r>
      <w:r>
        <w:rPr>
          <w:rFonts w:ascii="Times New Roman" w:eastAsia="仿宋"/>
          <w:sz w:val="28"/>
          <w:szCs w:val="28"/>
          <w:vertAlign w:val="superscript"/>
        </w:rPr>
        <w:t>2</w:t>
      </w:r>
      <w:r>
        <w:rPr>
          <w:rFonts w:ascii="Times New Roman" w:eastAsia="仿宋"/>
          <w:sz w:val="28"/>
          <w:szCs w:val="28"/>
        </w:rPr>
        <w:t>，占1.37%；辅助生产林地面积1.84km</w:t>
      </w:r>
      <w:r>
        <w:rPr>
          <w:rFonts w:ascii="Times New Roman" w:eastAsia="仿宋"/>
          <w:sz w:val="28"/>
          <w:szCs w:val="28"/>
          <w:vertAlign w:val="superscript"/>
        </w:rPr>
        <w:t>2</w:t>
      </w:r>
      <w:r>
        <w:rPr>
          <w:rFonts w:ascii="Times New Roman" w:eastAsia="仿宋"/>
          <w:sz w:val="28"/>
          <w:szCs w:val="28"/>
        </w:rPr>
        <w:t>，占0.24%。四旁树总株数10635465株，总蓄积6.91×10</w:t>
      </w:r>
      <w:r>
        <w:rPr>
          <w:rFonts w:ascii="Times New Roman" w:eastAsia="仿宋"/>
          <w:sz w:val="28"/>
          <w:szCs w:val="28"/>
          <w:vertAlign w:val="superscript"/>
        </w:rPr>
        <w:t>5</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，占全市活立木总蓄积的30.29%。</w:t>
      </w:r>
    </w:p>
    <w:p w14:paraId="585F8D15">
      <w:pPr>
        <w:spacing w:line="500" w:lineRule="exact"/>
        <w:ind w:firstLine="560" w:firstLineChars="200"/>
        <w:rPr>
          <w:rFonts w:ascii="Times New Roman" w:eastAsia="仿宋"/>
          <w:sz w:val="28"/>
          <w:szCs w:val="28"/>
        </w:rPr>
      </w:pPr>
      <w:r>
        <w:rPr>
          <w:rFonts w:ascii="Times New Roman" w:eastAsia="仿宋"/>
          <w:sz w:val="28"/>
          <w:szCs w:val="28"/>
        </w:rPr>
        <w:t>（3）生物生态</w:t>
      </w:r>
    </w:p>
    <w:p w14:paraId="035C57C5">
      <w:pPr>
        <w:spacing w:line="500" w:lineRule="exact"/>
        <w:ind w:firstLine="560" w:firstLineChars="200"/>
        <w:rPr>
          <w:rFonts w:ascii="Times New Roman" w:eastAsia="仿宋"/>
          <w:sz w:val="28"/>
          <w:szCs w:val="28"/>
        </w:rPr>
      </w:pPr>
      <w:r>
        <w:rPr>
          <w:rFonts w:ascii="Times New Roman" w:eastAsia="仿宋"/>
          <w:sz w:val="28"/>
          <w:szCs w:val="28"/>
        </w:rPr>
        <w:t>常州地处北亚热带季风气候区，市内植被具有明显的从暖温带向亚热带过渡特征，属北亚热带常绿阔叶和落叶阔叶混交林，以落叶阔叶树种为主，此外尚有常绿针叶林、次生山地灌木丛等。根据《常州市生物多样性保护规划》，常州地区植物种类丰富，共有维管植物种1537（含种以下等级），隶属181科，656属。其中被子植物142科，580属，1403种，占绝对优势。主要动物类群组成中，有昆虫782种，隶属12目135科；鱼类85种，隶属于9目18科；陆栖野生脊椎动物433种，隶属于30目89科，包括两栖类2目5科11种、爬行类2目7科23种、鸟类18目56科275种、兽类8目21科39种。在所有动物种类中，国家</w:t>
      </w:r>
      <w:r>
        <w:rPr>
          <w:rFonts w:hint="eastAsia" w:ascii="Times New Roman" w:eastAsia="仿宋"/>
          <w:sz w:val="28"/>
          <w:szCs w:val="28"/>
        </w:rPr>
        <w:t>Ⅱ</w:t>
      </w:r>
      <w:r>
        <w:rPr>
          <w:rFonts w:ascii="Times New Roman" w:eastAsia="仿宋"/>
          <w:sz w:val="28"/>
          <w:szCs w:val="28"/>
        </w:rPr>
        <w:t>级野生保护动物43种；江苏省重点保护动物132种；“三有”保护动物283种；其他濒危动物30种。</w:t>
      </w:r>
    </w:p>
    <w:p w14:paraId="4E81938E">
      <w:pPr>
        <w:spacing w:line="500" w:lineRule="exact"/>
        <w:ind w:firstLine="560" w:firstLineChars="200"/>
        <w:rPr>
          <w:rFonts w:ascii="Times New Roman" w:eastAsia="仿宋"/>
          <w:sz w:val="28"/>
          <w:szCs w:val="28"/>
        </w:rPr>
      </w:pPr>
      <w:r>
        <w:rPr>
          <w:rFonts w:ascii="Times New Roman" w:eastAsia="仿宋"/>
          <w:sz w:val="28"/>
          <w:szCs w:val="28"/>
        </w:rPr>
        <w:t>本地区长江段有经济鱼类50多种，总鱼类组成有120多种，渔业资源丰富，具有丰富的水生生物资源。本江段属国家保护动物有6种，其中属于国家一级保护的珍稀动物有白鳍豚、中华鲟、白鲟；属于二级保护的种类有江豚、胭脂鱼和花鳗鲡。</w:t>
      </w:r>
    </w:p>
    <w:p w14:paraId="53D96D4A">
      <w:pPr>
        <w:pStyle w:val="51"/>
        <w:adjustRightInd w:val="0"/>
        <w:snapToGrid w:val="0"/>
        <w:rPr>
          <w:rFonts w:ascii="Times New Roman" w:eastAsia="仿宋"/>
          <w:szCs w:val="28"/>
        </w:rPr>
      </w:pPr>
      <w:bookmarkStart w:id="273" w:name="_Hlt32736241"/>
      <w:bookmarkEnd w:id="273"/>
      <w:bookmarkStart w:id="274" w:name="_Hlt115440653"/>
      <w:bookmarkEnd w:id="274"/>
    </w:p>
    <w:p w14:paraId="1B9CD211">
      <w:pPr>
        <w:pStyle w:val="5"/>
        <w:rPr>
          <w:rFonts w:eastAsia="仿宋"/>
          <w:color w:val="auto"/>
        </w:rPr>
        <w:sectPr>
          <w:pgSz w:w="11906" w:h="16838"/>
          <w:pgMar w:top="1440" w:right="1800" w:bottom="1440" w:left="1800" w:header="850" w:footer="992" w:gutter="0"/>
          <w:cols w:space="720" w:num="1"/>
          <w:docGrid w:linePitch="312" w:charSpace="0"/>
        </w:sectPr>
      </w:pPr>
    </w:p>
    <w:p w14:paraId="1D2B8F30">
      <w:pPr>
        <w:pStyle w:val="5"/>
        <w:numPr>
          <w:ilvl w:val="0"/>
          <w:numId w:val="0"/>
        </w:numPr>
        <w:rPr>
          <w:rFonts w:eastAsia="仿宋"/>
          <w:color w:val="auto"/>
        </w:rPr>
      </w:pPr>
      <w:bookmarkStart w:id="275" w:name="_Toc182553817"/>
      <w:r>
        <w:rPr>
          <w:rFonts w:hint="eastAsia" w:eastAsia="仿宋"/>
          <w:color w:val="auto"/>
        </w:rPr>
        <w:t>4</w:t>
      </w:r>
      <w:r>
        <w:rPr>
          <w:rFonts w:eastAsia="仿宋"/>
          <w:color w:val="auto"/>
        </w:rPr>
        <w:t>.2环境现状调查与评价</w:t>
      </w:r>
      <w:bookmarkEnd w:id="275"/>
    </w:p>
    <w:p w14:paraId="557AB77E">
      <w:pPr>
        <w:pStyle w:val="6"/>
        <w:keepLines w:val="0"/>
        <w:tabs>
          <w:tab w:val="left" w:pos="709"/>
        </w:tabs>
        <w:spacing w:before="120" w:beforeLines="50" w:after="120" w:afterLines="50" w:line="500" w:lineRule="exact"/>
        <w:rPr>
          <w:rFonts w:ascii="Times New Roman" w:eastAsia="仿宋"/>
          <w:sz w:val="30"/>
          <w:szCs w:val="30"/>
        </w:rPr>
      </w:pPr>
      <w:bookmarkStart w:id="276" w:name="_Toc162926607"/>
      <w:bookmarkStart w:id="277" w:name="_Toc230013714"/>
      <w:bookmarkStart w:id="278" w:name="_Toc229910561"/>
      <w:bookmarkStart w:id="279" w:name="_Toc228754644"/>
      <w:bookmarkStart w:id="280" w:name="_Toc158775292"/>
      <w:bookmarkStart w:id="281" w:name="_Toc162772282"/>
      <w:bookmarkStart w:id="282" w:name="_Toc228541071"/>
      <w:bookmarkStart w:id="283" w:name="_Toc162858158"/>
      <w:bookmarkStart w:id="284" w:name="_Toc229900203"/>
      <w:bookmarkStart w:id="285" w:name="_Toc228779790"/>
      <w:r>
        <w:rPr>
          <w:rFonts w:hint="eastAsia" w:ascii="Times New Roman" w:eastAsia="仿宋"/>
          <w:sz w:val="30"/>
          <w:szCs w:val="30"/>
        </w:rPr>
        <w:t>4</w:t>
      </w:r>
      <w:r>
        <w:rPr>
          <w:rFonts w:ascii="Times New Roman" w:eastAsia="仿宋"/>
          <w:sz w:val="30"/>
          <w:szCs w:val="30"/>
        </w:rPr>
        <w:t>.2.1大气环境质量现状监测与评价</w:t>
      </w:r>
      <w:bookmarkEnd w:id="276"/>
      <w:bookmarkEnd w:id="277"/>
      <w:bookmarkEnd w:id="278"/>
      <w:bookmarkEnd w:id="279"/>
      <w:bookmarkEnd w:id="280"/>
      <w:bookmarkEnd w:id="281"/>
      <w:bookmarkEnd w:id="282"/>
      <w:bookmarkEnd w:id="283"/>
      <w:bookmarkEnd w:id="284"/>
      <w:bookmarkEnd w:id="285"/>
    </w:p>
    <w:p w14:paraId="32E88384">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4</w:t>
      </w:r>
      <w:r>
        <w:rPr>
          <w:rFonts w:ascii="Times New Roman" w:hAnsi="Times New Roman" w:eastAsia="仿宋"/>
          <w:b/>
        </w:rPr>
        <w:t>.2.1.1空气质量达标区判定</w:t>
      </w:r>
    </w:p>
    <w:p w14:paraId="74BFB760">
      <w:pPr>
        <w:pStyle w:val="170"/>
        <w:spacing w:line="500" w:lineRule="exact"/>
        <w:ind w:firstLine="560" w:firstLineChars="200"/>
        <w:jc w:val="left"/>
        <w:rPr>
          <w:rFonts w:ascii="Times New Roman" w:eastAsia="仿宋"/>
          <w:sz w:val="28"/>
          <w:szCs w:val="28"/>
        </w:rPr>
      </w:pPr>
      <w:r>
        <w:rPr>
          <w:rFonts w:ascii="Times New Roman" w:eastAsia="仿宋"/>
          <w:sz w:val="28"/>
          <w:szCs w:val="28"/>
        </w:rPr>
        <w:t>根据《环境影响评价技术导则 大气环境》(HJ2.2-2018)分级判据，确定本项目大气环境影响评价工作等级为二级，调查内容包括：调查项目所在区域环境质量达标情况。调查评价范围内有环境质量标准的评价因子的环境质量监测数据或进行补充监测，用于评价项目所在区域污染物环境质量现状。</w:t>
      </w:r>
    </w:p>
    <w:p w14:paraId="14CEDBC2">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bCs w:val="0"/>
        </w:rPr>
        <w:t>4</w:t>
      </w:r>
      <w:r>
        <w:rPr>
          <w:rFonts w:ascii="Times New Roman" w:hAnsi="Times New Roman" w:eastAsia="仿宋"/>
          <w:b/>
          <w:bCs w:val="0"/>
        </w:rPr>
        <w:t>.2.1.2基本污染物环境质量现状</w:t>
      </w:r>
    </w:p>
    <w:p w14:paraId="0D29B06E">
      <w:pPr>
        <w:spacing w:line="500" w:lineRule="exact"/>
        <w:ind w:firstLine="560" w:firstLineChars="200"/>
        <w:rPr>
          <w:rFonts w:ascii="Times New Roman" w:eastAsia="仿宋"/>
          <w:bCs/>
          <w:sz w:val="28"/>
          <w:szCs w:val="28"/>
        </w:rPr>
      </w:pPr>
      <w:r>
        <w:rPr>
          <w:rFonts w:ascii="Times New Roman" w:eastAsia="仿宋"/>
          <w:sz w:val="28"/>
          <w:szCs w:val="28"/>
        </w:rPr>
        <w:t>根据《2023年常州市生态环境状况公报》中的数据，</w:t>
      </w:r>
      <w:r>
        <w:rPr>
          <w:rFonts w:ascii="Times New Roman" w:eastAsia="仿宋"/>
          <w:bCs/>
          <w:sz w:val="28"/>
          <w:szCs w:val="28"/>
        </w:rPr>
        <w:t>基本污染物环境质量现状评价结果见下表。</w:t>
      </w:r>
    </w:p>
    <w:p w14:paraId="184DF0B4">
      <w:pPr>
        <w:spacing w:line="500" w:lineRule="exact"/>
        <w:ind w:firstLine="482" w:firstLineChars="200"/>
        <w:jc w:val="center"/>
        <w:rPr>
          <w:rFonts w:ascii="Times New Roman" w:eastAsia="仿宋"/>
          <w:b/>
          <w:bCs/>
        </w:rPr>
      </w:pPr>
      <w:r>
        <w:rPr>
          <w:rFonts w:ascii="Times New Roman" w:eastAsia="仿宋"/>
          <w:b/>
        </w:rPr>
        <w:t xml:space="preserve">表4.2-1  </w:t>
      </w:r>
      <w:r>
        <w:rPr>
          <w:rFonts w:ascii="Times New Roman" w:eastAsia="仿宋"/>
          <w:b/>
          <w:bCs/>
        </w:rPr>
        <w:t>基本污染物环境质量现状评价表</w:t>
      </w:r>
    </w:p>
    <w:tbl>
      <w:tblPr>
        <w:tblStyle w:val="87"/>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870"/>
        <w:gridCol w:w="1417"/>
        <w:gridCol w:w="1341"/>
        <w:gridCol w:w="1134"/>
        <w:gridCol w:w="1088"/>
      </w:tblGrid>
      <w:tr w14:paraId="1951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noWrap/>
            <w:vAlign w:val="center"/>
          </w:tcPr>
          <w:p w14:paraId="60A3085A">
            <w:pPr>
              <w:jc w:val="center"/>
              <w:rPr>
                <w:rFonts w:ascii="Times New Roman" w:eastAsia="仿宋"/>
                <w:szCs w:val="21"/>
              </w:rPr>
            </w:pPr>
            <w:r>
              <w:rPr>
                <w:rFonts w:ascii="Times New Roman" w:hAnsi="仿宋" w:eastAsia="仿宋"/>
                <w:szCs w:val="21"/>
              </w:rPr>
              <w:t>污染物</w:t>
            </w:r>
          </w:p>
        </w:tc>
        <w:tc>
          <w:tcPr>
            <w:tcW w:w="2870" w:type="dxa"/>
            <w:noWrap/>
            <w:vAlign w:val="center"/>
          </w:tcPr>
          <w:p w14:paraId="12CEF1F3">
            <w:pPr>
              <w:jc w:val="center"/>
              <w:rPr>
                <w:rFonts w:ascii="Times New Roman" w:eastAsia="仿宋"/>
                <w:szCs w:val="21"/>
              </w:rPr>
            </w:pPr>
            <w:r>
              <w:rPr>
                <w:rFonts w:ascii="Times New Roman" w:hAnsi="仿宋" w:eastAsia="仿宋"/>
                <w:szCs w:val="21"/>
              </w:rPr>
              <w:t>年评价指标</w:t>
            </w:r>
          </w:p>
        </w:tc>
        <w:tc>
          <w:tcPr>
            <w:tcW w:w="1417" w:type="dxa"/>
            <w:noWrap/>
            <w:vAlign w:val="center"/>
          </w:tcPr>
          <w:p w14:paraId="3412B073">
            <w:pPr>
              <w:jc w:val="center"/>
              <w:rPr>
                <w:rFonts w:ascii="Times New Roman" w:eastAsia="仿宋"/>
                <w:szCs w:val="21"/>
              </w:rPr>
            </w:pPr>
            <w:r>
              <w:rPr>
                <w:rFonts w:ascii="Times New Roman" w:hAnsi="仿宋" w:eastAsia="仿宋"/>
                <w:szCs w:val="21"/>
              </w:rPr>
              <w:t>现状浓度（</w:t>
            </w:r>
            <w:r>
              <w:rPr>
                <w:rFonts w:ascii="Times New Roman" w:eastAsia="仿宋"/>
                <w:szCs w:val="21"/>
              </w:rPr>
              <w:t>μg/m</w:t>
            </w:r>
            <w:r>
              <w:rPr>
                <w:rFonts w:ascii="Times New Roman" w:eastAsia="仿宋"/>
                <w:szCs w:val="21"/>
                <w:vertAlign w:val="superscript"/>
              </w:rPr>
              <w:t>3</w:t>
            </w:r>
            <w:r>
              <w:rPr>
                <w:rFonts w:ascii="Times New Roman" w:hAnsi="仿宋" w:eastAsia="仿宋"/>
                <w:szCs w:val="21"/>
              </w:rPr>
              <w:t>）</w:t>
            </w:r>
          </w:p>
        </w:tc>
        <w:tc>
          <w:tcPr>
            <w:tcW w:w="1341" w:type="dxa"/>
            <w:noWrap/>
            <w:vAlign w:val="center"/>
          </w:tcPr>
          <w:p w14:paraId="084C727F">
            <w:pPr>
              <w:jc w:val="center"/>
              <w:rPr>
                <w:rFonts w:ascii="Times New Roman" w:eastAsia="仿宋"/>
                <w:szCs w:val="21"/>
              </w:rPr>
            </w:pPr>
            <w:r>
              <w:rPr>
                <w:rFonts w:ascii="Times New Roman" w:hAnsi="仿宋" w:eastAsia="仿宋"/>
                <w:szCs w:val="21"/>
              </w:rPr>
              <w:t>标准值（</w:t>
            </w:r>
            <w:r>
              <w:rPr>
                <w:rFonts w:ascii="Times New Roman" w:eastAsia="仿宋"/>
                <w:szCs w:val="21"/>
              </w:rPr>
              <w:t>μg/m</w:t>
            </w:r>
            <w:r>
              <w:rPr>
                <w:rFonts w:ascii="Times New Roman" w:eastAsia="仿宋"/>
                <w:szCs w:val="21"/>
                <w:vertAlign w:val="superscript"/>
              </w:rPr>
              <w:t>3</w:t>
            </w:r>
            <w:r>
              <w:rPr>
                <w:rFonts w:ascii="Times New Roman" w:hAnsi="仿宋" w:eastAsia="仿宋"/>
                <w:szCs w:val="21"/>
              </w:rPr>
              <w:t>）</w:t>
            </w:r>
          </w:p>
        </w:tc>
        <w:tc>
          <w:tcPr>
            <w:tcW w:w="1134" w:type="dxa"/>
            <w:noWrap/>
            <w:vAlign w:val="center"/>
          </w:tcPr>
          <w:p w14:paraId="28C76A65">
            <w:pPr>
              <w:jc w:val="center"/>
              <w:rPr>
                <w:rFonts w:ascii="Times New Roman" w:eastAsia="仿宋"/>
                <w:szCs w:val="21"/>
              </w:rPr>
            </w:pPr>
            <w:r>
              <w:rPr>
                <w:rFonts w:hint="eastAsia" w:ascii="Times New Roman" w:hAnsi="仿宋" w:eastAsia="仿宋"/>
                <w:szCs w:val="21"/>
              </w:rPr>
              <w:t>达标率</w:t>
            </w:r>
            <w:r>
              <w:rPr>
                <w:rFonts w:ascii="Times New Roman" w:hAnsi="仿宋" w:eastAsia="仿宋"/>
                <w:szCs w:val="21"/>
              </w:rPr>
              <w:t>（</w:t>
            </w:r>
            <w:r>
              <w:rPr>
                <w:rFonts w:ascii="Times New Roman" w:eastAsia="仿宋"/>
                <w:szCs w:val="21"/>
              </w:rPr>
              <w:t>%</w:t>
            </w:r>
            <w:r>
              <w:rPr>
                <w:rFonts w:ascii="Times New Roman" w:hAnsi="仿宋" w:eastAsia="仿宋"/>
                <w:szCs w:val="21"/>
              </w:rPr>
              <w:t>）</w:t>
            </w:r>
          </w:p>
        </w:tc>
        <w:tc>
          <w:tcPr>
            <w:tcW w:w="1088" w:type="dxa"/>
            <w:noWrap/>
            <w:vAlign w:val="center"/>
          </w:tcPr>
          <w:p w14:paraId="2DB7AD7E">
            <w:pPr>
              <w:jc w:val="center"/>
              <w:rPr>
                <w:rFonts w:ascii="Times New Roman" w:eastAsia="仿宋"/>
                <w:szCs w:val="21"/>
              </w:rPr>
            </w:pPr>
            <w:r>
              <w:rPr>
                <w:rFonts w:ascii="Times New Roman" w:hAnsi="仿宋" w:eastAsia="仿宋"/>
                <w:szCs w:val="21"/>
              </w:rPr>
              <w:t>达标情况</w:t>
            </w:r>
          </w:p>
        </w:tc>
      </w:tr>
      <w:tr w14:paraId="2F3A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186E2C9D">
            <w:pPr>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2870" w:type="dxa"/>
            <w:noWrap/>
            <w:vAlign w:val="center"/>
          </w:tcPr>
          <w:p w14:paraId="6A06DB4B">
            <w:pPr>
              <w:jc w:val="center"/>
              <w:rPr>
                <w:rFonts w:ascii="Times New Roman" w:eastAsia="仿宋"/>
                <w:szCs w:val="21"/>
              </w:rPr>
            </w:pPr>
            <w:r>
              <w:rPr>
                <w:rFonts w:ascii="Times New Roman" w:hAnsi="仿宋" w:eastAsia="仿宋"/>
                <w:szCs w:val="21"/>
              </w:rPr>
              <w:t>年平均质量浓度</w:t>
            </w:r>
          </w:p>
        </w:tc>
        <w:tc>
          <w:tcPr>
            <w:tcW w:w="1417" w:type="dxa"/>
            <w:noWrap/>
            <w:vAlign w:val="center"/>
          </w:tcPr>
          <w:p w14:paraId="724DAA8F">
            <w:pPr>
              <w:jc w:val="center"/>
              <w:rPr>
                <w:rFonts w:ascii="Times New Roman" w:eastAsia="仿宋"/>
                <w:szCs w:val="21"/>
              </w:rPr>
            </w:pPr>
            <w:r>
              <w:rPr>
                <w:rFonts w:ascii="Times New Roman" w:eastAsia="仿宋"/>
                <w:szCs w:val="21"/>
              </w:rPr>
              <w:t>8</w:t>
            </w:r>
          </w:p>
        </w:tc>
        <w:tc>
          <w:tcPr>
            <w:tcW w:w="1341" w:type="dxa"/>
            <w:noWrap/>
            <w:vAlign w:val="center"/>
          </w:tcPr>
          <w:p w14:paraId="2D67E383">
            <w:pPr>
              <w:jc w:val="center"/>
              <w:rPr>
                <w:rFonts w:ascii="Times New Roman" w:eastAsia="仿宋"/>
                <w:szCs w:val="21"/>
              </w:rPr>
            </w:pPr>
            <w:r>
              <w:rPr>
                <w:rFonts w:ascii="Times New Roman" w:eastAsia="仿宋"/>
                <w:szCs w:val="21"/>
              </w:rPr>
              <w:t>60</w:t>
            </w:r>
          </w:p>
        </w:tc>
        <w:tc>
          <w:tcPr>
            <w:tcW w:w="1134" w:type="dxa"/>
            <w:noWrap/>
            <w:vAlign w:val="center"/>
          </w:tcPr>
          <w:p w14:paraId="04CE5048">
            <w:pPr>
              <w:jc w:val="center"/>
              <w:rPr>
                <w:rFonts w:ascii="Times New Roman" w:eastAsia="仿宋"/>
                <w:szCs w:val="21"/>
              </w:rPr>
            </w:pPr>
            <w:r>
              <w:rPr>
                <w:rFonts w:hint="eastAsia" w:ascii="Times New Roman" w:eastAsia="仿宋"/>
                <w:szCs w:val="21"/>
              </w:rPr>
              <w:t>/</w:t>
            </w:r>
          </w:p>
        </w:tc>
        <w:tc>
          <w:tcPr>
            <w:tcW w:w="1088" w:type="dxa"/>
            <w:vMerge w:val="restart"/>
            <w:noWrap/>
            <w:vAlign w:val="center"/>
          </w:tcPr>
          <w:p w14:paraId="09BD2585">
            <w:pPr>
              <w:jc w:val="center"/>
              <w:rPr>
                <w:rFonts w:ascii="Times New Roman" w:eastAsia="仿宋"/>
                <w:szCs w:val="21"/>
              </w:rPr>
            </w:pPr>
            <w:r>
              <w:rPr>
                <w:rFonts w:ascii="Times New Roman" w:hAnsi="仿宋" w:eastAsia="仿宋"/>
                <w:szCs w:val="21"/>
              </w:rPr>
              <w:t>达标</w:t>
            </w:r>
          </w:p>
        </w:tc>
      </w:tr>
      <w:tr w14:paraId="1494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4BFAF009">
            <w:pPr>
              <w:jc w:val="center"/>
              <w:rPr>
                <w:rFonts w:ascii="Times New Roman" w:eastAsia="仿宋"/>
                <w:szCs w:val="21"/>
              </w:rPr>
            </w:pPr>
          </w:p>
        </w:tc>
        <w:tc>
          <w:tcPr>
            <w:tcW w:w="2870" w:type="dxa"/>
            <w:noWrap/>
            <w:vAlign w:val="center"/>
          </w:tcPr>
          <w:p w14:paraId="5247289B">
            <w:pPr>
              <w:jc w:val="center"/>
              <w:rPr>
                <w:rFonts w:ascii="Times New Roman" w:eastAsia="仿宋"/>
                <w:szCs w:val="21"/>
              </w:rPr>
            </w:pPr>
            <w:r>
              <w:rPr>
                <w:rFonts w:ascii="Times New Roman" w:hAnsi="仿宋" w:eastAsia="仿宋"/>
                <w:szCs w:val="21"/>
              </w:rPr>
              <w:t>日均值范围</w:t>
            </w:r>
          </w:p>
        </w:tc>
        <w:tc>
          <w:tcPr>
            <w:tcW w:w="1417" w:type="dxa"/>
            <w:noWrap/>
            <w:vAlign w:val="center"/>
          </w:tcPr>
          <w:p w14:paraId="41AB99CB">
            <w:pPr>
              <w:jc w:val="center"/>
              <w:rPr>
                <w:rFonts w:ascii="Times New Roman" w:eastAsia="仿宋"/>
                <w:szCs w:val="21"/>
              </w:rPr>
            </w:pPr>
            <w:r>
              <w:rPr>
                <w:rFonts w:ascii="Times New Roman" w:eastAsia="仿宋"/>
                <w:szCs w:val="21"/>
              </w:rPr>
              <w:t>4-17</w:t>
            </w:r>
          </w:p>
        </w:tc>
        <w:tc>
          <w:tcPr>
            <w:tcW w:w="1341" w:type="dxa"/>
            <w:noWrap/>
            <w:vAlign w:val="center"/>
          </w:tcPr>
          <w:p w14:paraId="4D2646E4">
            <w:pPr>
              <w:jc w:val="center"/>
              <w:rPr>
                <w:rFonts w:ascii="Times New Roman" w:eastAsia="仿宋"/>
                <w:szCs w:val="21"/>
              </w:rPr>
            </w:pPr>
            <w:r>
              <w:rPr>
                <w:rFonts w:ascii="Times New Roman" w:eastAsia="仿宋"/>
                <w:szCs w:val="21"/>
              </w:rPr>
              <w:t>150</w:t>
            </w:r>
          </w:p>
        </w:tc>
        <w:tc>
          <w:tcPr>
            <w:tcW w:w="1134" w:type="dxa"/>
            <w:noWrap/>
            <w:vAlign w:val="center"/>
          </w:tcPr>
          <w:p w14:paraId="5B206066">
            <w:pPr>
              <w:jc w:val="center"/>
              <w:rPr>
                <w:rFonts w:ascii="Times New Roman" w:eastAsia="仿宋"/>
                <w:szCs w:val="21"/>
              </w:rPr>
            </w:pPr>
            <w:r>
              <w:rPr>
                <w:rFonts w:hint="eastAsia" w:ascii="Times New Roman" w:eastAsia="仿宋"/>
                <w:szCs w:val="21"/>
              </w:rPr>
              <w:t>100</w:t>
            </w:r>
          </w:p>
        </w:tc>
        <w:tc>
          <w:tcPr>
            <w:tcW w:w="1088" w:type="dxa"/>
            <w:vMerge w:val="continue"/>
            <w:noWrap/>
            <w:vAlign w:val="center"/>
          </w:tcPr>
          <w:p w14:paraId="6C7CCBE6">
            <w:pPr>
              <w:jc w:val="center"/>
              <w:rPr>
                <w:rFonts w:ascii="Times New Roman" w:eastAsia="仿宋"/>
                <w:szCs w:val="21"/>
              </w:rPr>
            </w:pPr>
          </w:p>
        </w:tc>
      </w:tr>
      <w:tr w14:paraId="540A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217222CD">
            <w:pPr>
              <w:jc w:val="center"/>
              <w:rPr>
                <w:rFonts w:ascii="Times New Roman" w:eastAsia="仿宋"/>
                <w:szCs w:val="21"/>
              </w:rPr>
            </w:pPr>
            <w:r>
              <w:rPr>
                <w:rFonts w:ascii="Times New Roman" w:eastAsia="仿宋"/>
                <w:szCs w:val="21"/>
              </w:rPr>
              <w:t>NO</w:t>
            </w:r>
            <w:r>
              <w:rPr>
                <w:rFonts w:ascii="Times New Roman" w:eastAsia="仿宋"/>
                <w:szCs w:val="21"/>
                <w:vertAlign w:val="subscript"/>
              </w:rPr>
              <w:t>2</w:t>
            </w:r>
          </w:p>
        </w:tc>
        <w:tc>
          <w:tcPr>
            <w:tcW w:w="2870" w:type="dxa"/>
            <w:noWrap/>
            <w:vAlign w:val="center"/>
          </w:tcPr>
          <w:p w14:paraId="040A7555">
            <w:pPr>
              <w:jc w:val="center"/>
              <w:rPr>
                <w:rFonts w:ascii="Times New Roman" w:eastAsia="仿宋"/>
                <w:szCs w:val="21"/>
              </w:rPr>
            </w:pPr>
            <w:r>
              <w:rPr>
                <w:rFonts w:ascii="Times New Roman" w:hAnsi="仿宋" w:eastAsia="仿宋"/>
                <w:szCs w:val="21"/>
              </w:rPr>
              <w:t>年平均质量浓度</w:t>
            </w:r>
          </w:p>
        </w:tc>
        <w:tc>
          <w:tcPr>
            <w:tcW w:w="1417" w:type="dxa"/>
            <w:noWrap/>
            <w:vAlign w:val="center"/>
          </w:tcPr>
          <w:p w14:paraId="16B594C9">
            <w:pPr>
              <w:jc w:val="center"/>
              <w:rPr>
                <w:rFonts w:ascii="Times New Roman" w:eastAsia="仿宋"/>
                <w:szCs w:val="21"/>
              </w:rPr>
            </w:pPr>
            <w:r>
              <w:rPr>
                <w:rFonts w:ascii="Times New Roman" w:eastAsia="仿宋"/>
                <w:szCs w:val="21"/>
              </w:rPr>
              <w:t>30</w:t>
            </w:r>
          </w:p>
        </w:tc>
        <w:tc>
          <w:tcPr>
            <w:tcW w:w="1341" w:type="dxa"/>
            <w:noWrap/>
            <w:vAlign w:val="center"/>
          </w:tcPr>
          <w:p w14:paraId="62CE017C">
            <w:pPr>
              <w:jc w:val="center"/>
              <w:rPr>
                <w:rFonts w:ascii="Times New Roman" w:eastAsia="仿宋"/>
                <w:szCs w:val="21"/>
              </w:rPr>
            </w:pPr>
            <w:r>
              <w:rPr>
                <w:rFonts w:ascii="Times New Roman" w:eastAsia="仿宋"/>
                <w:szCs w:val="21"/>
              </w:rPr>
              <w:t>40</w:t>
            </w:r>
          </w:p>
        </w:tc>
        <w:tc>
          <w:tcPr>
            <w:tcW w:w="1134" w:type="dxa"/>
            <w:noWrap/>
            <w:vAlign w:val="center"/>
          </w:tcPr>
          <w:p w14:paraId="59870042">
            <w:pPr>
              <w:jc w:val="center"/>
              <w:rPr>
                <w:rFonts w:ascii="Times New Roman" w:eastAsia="仿宋"/>
                <w:szCs w:val="21"/>
              </w:rPr>
            </w:pPr>
            <w:r>
              <w:rPr>
                <w:rFonts w:hint="eastAsia" w:ascii="Times New Roman" w:eastAsia="仿宋"/>
                <w:szCs w:val="21"/>
              </w:rPr>
              <w:t>/</w:t>
            </w:r>
          </w:p>
        </w:tc>
        <w:tc>
          <w:tcPr>
            <w:tcW w:w="1088" w:type="dxa"/>
            <w:vMerge w:val="restart"/>
            <w:noWrap/>
            <w:vAlign w:val="center"/>
          </w:tcPr>
          <w:p w14:paraId="08308A8F">
            <w:pPr>
              <w:jc w:val="center"/>
              <w:rPr>
                <w:rFonts w:ascii="Times New Roman" w:eastAsia="仿宋"/>
                <w:szCs w:val="21"/>
              </w:rPr>
            </w:pPr>
            <w:r>
              <w:rPr>
                <w:rFonts w:ascii="Times New Roman" w:hAnsi="仿宋" w:eastAsia="仿宋"/>
                <w:szCs w:val="21"/>
              </w:rPr>
              <w:t>达标</w:t>
            </w:r>
          </w:p>
        </w:tc>
      </w:tr>
      <w:tr w14:paraId="3DBC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25566F00">
            <w:pPr>
              <w:jc w:val="center"/>
              <w:rPr>
                <w:rFonts w:ascii="Times New Roman" w:eastAsia="仿宋"/>
                <w:szCs w:val="21"/>
              </w:rPr>
            </w:pPr>
          </w:p>
        </w:tc>
        <w:tc>
          <w:tcPr>
            <w:tcW w:w="2870" w:type="dxa"/>
            <w:noWrap/>
            <w:vAlign w:val="center"/>
          </w:tcPr>
          <w:p w14:paraId="66397BBB">
            <w:pPr>
              <w:jc w:val="center"/>
              <w:rPr>
                <w:rFonts w:ascii="Times New Roman" w:eastAsia="仿宋"/>
                <w:szCs w:val="21"/>
              </w:rPr>
            </w:pPr>
            <w:r>
              <w:rPr>
                <w:rFonts w:ascii="Times New Roman" w:hAnsi="仿宋" w:eastAsia="仿宋"/>
                <w:szCs w:val="21"/>
              </w:rPr>
              <w:t>日均值范围</w:t>
            </w:r>
          </w:p>
        </w:tc>
        <w:tc>
          <w:tcPr>
            <w:tcW w:w="1417" w:type="dxa"/>
            <w:noWrap/>
            <w:vAlign w:val="center"/>
          </w:tcPr>
          <w:p w14:paraId="6E690638">
            <w:pPr>
              <w:jc w:val="center"/>
              <w:rPr>
                <w:rFonts w:ascii="Times New Roman" w:eastAsia="仿宋"/>
                <w:szCs w:val="21"/>
              </w:rPr>
            </w:pPr>
            <w:r>
              <w:rPr>
                <w:rFonts w:ascii="Times New Roman" w:eastAsia="仿宋"/>
                <w:szCs w:val="21"/>
              </w:rPr>
              <w:t>6-106</w:t>
            </w:r>
          </w:p>
        </w:tc>
        <w:tc>
          <w:tcPr>
            <w:tcW w:w="1341" w:type="dxa"/>
            <w:noWrap/>
            <w:vAlign w:val="center"/>
          </w:tcPr>
          <w:p w14:paraId="727F2C19">
            <w:pPr>
              <w:jc w:val="center"/>
              <w:rPr>
                <w:rFonts w:ascii="Times New Roman" w:eastAsia="仿宋"/>
                <w:szCs w:val="21"/>
              </w:rPr>
            </w:pPr>
            <w:r>
              <w:rPr>
                <w:rFonts w:ascii="Times New Roman" w:eastAsia="仿宋"/>
                <w:szCs w:val="21"/>
              </w:rPr>
              <w:t>80</w:t>
            </w:r>
          </w:p>
        </w:tc>
        <w:tc>
          <w:tcPr>
            <w:tcW w:w="1134" w:type="dxa"/>
            <w:noWrap/>
            <w:vAlign w:val="center"/>
          </w:tcPr>
          <w:p w14:paraId="6AEC535F">
            <w:pPr>
              <w:jc w:val="center"/>
              <w:rPr>
                <w:rFonts w:ascii="Times New Roman" w:eastAsia="仿宋"/>
                <w:szCs w:val="21"/>
              </w:rPr>
            </w:pPr>
            <w:r>
              <w:rPr>
                <w:rFonts w:hint="eastAsia" w:ascii="Times New Roman" w:eastAsia="仿宋"/>
                <w:szCs w:val="21"/>
              </w:rPr>
              <w:t>98.1</w:t>
            </w:r>
          </w:p>
        </w:tc>
        <w:tc>
          <w:tcPr>
            <w:tcW w:w="1088" w:type="dxa"/>
            <w:vMerge w:val="continue"/>
            <w:noWrap/>
            <w:vAlign w:val="center"/>
          </w:tcPr>
          <w:p w14:paraId="405FA356">
            <w:pPr>
              <w:jc w:val="center"/>
              <w:rPr>
                <w:rFonts w:ascii="Times New Roman" w:eastAsia="仿宋"/>
                <w:szCs w:val="21"/>
              </w:rPr>
            </w:pPr>
          </w:p>
        </w:tc>
      </w:tr>
      <w:tr w14:paraId="2E7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7FECC3EB">
            <w:pPr>
              <w:jc w:val="center"/>
              <w:rPr>
                <w:rFonts w:ascii="Times New Roman" w:eastAsia="仿宋"/>
                <w:szCs w:val="21"/>
              </w:rPr>
            </w:pPr>
            <w:r>
              <w:rPr>
                <w:rFonts w:ascii="Times New Roman" w:eastAsia="仿宋"/>
                <w:szCs w:val="21"/>
              </w:rPr>
              <w:t>CO</w:t>
            </w:r>
          </w:p>
        </w:tc>
        <w:tc>
          <w:tcPr>
            <w:tcW w:w="2870" w:type="dxa"/>
            <w:noWrap/>
            <w:vAlign w:val="center"/>
          </w:tcPr>
          <w:p w14:paraId="27602EA6">
            <w:pPr>
              <w:jc w:val="center"/>
              <w:rPr>
                <w:rFonts w:ascii="Times New Roman" w:eastAsia="仿宋"/>
                <w:szCs w:val="21"/>
              </w:rPr>
            </w:pPr>
            <w:r>
              <w:rPr>
                <w:rFonts w:ascii="Times New Roman" w:eastAsia="仿宋"/>
                <w:szCs w:val="21"/>
              </w:rPr>
              <w:t>24</w:t>
            </w:r>
            <w:r>
              <w:rPr>
                <w:rFonts w:ascii="Times New Roman" w:hAnsi="仿宋" w:eastAsia="仿宋"/>
                <w:szCs w:val="21"/>
              </w:rPr>
              <w:t>小时平均第</w:t>
            </w:r>
            <w:r>
              <w:rPr>
                <w:rFonts w:ascii="Times New Roman" w:eastAsia="仿宋"/>
                <w:szCs w:val="21"/>
              </w:rPr>
              <w:t>95</w:t>
            </w:r>
            <w:r>
              <w:rPr>
                <w:rFonts w:ascii="Times New Roman" w:hAnsi="仿宋" w:eastAsia="仿宋"/>
                <w:szCs w:val="21"/>
              </w:rPr>
              <w:t>百分位数质量浓度</w:t>
            </w:r>
          </w:p>
        </w:tc>
        <w:tc>
          <w:tcPr>
            <w:tcW w:w="1417" w:type="dxa"/>
            <w:noWrap/>
            <w:vAlign w:val="center"/>
          </w:tcPr>
          <w:p w14:paraId="4C94E7B8">
            <w:pPr>
              <w:jc w:val="center"/>
              <w:rPr>
                <w:rFonts w:ascii="Times New Roman" w:eastAsia="仿宋"/>
                <w:szCs w:val="21"/>
              </w:rPr>
            </w:pPr>
            <w:r>
              <w:rPr>
                <w:rFonts w:ascii="Times New Roman" w:eastAsia="仿宋"/>
                <w:szCs w:val="21"/>
              </w:rPr>
              <w:t>1100</w:t>
            </w:r>
          </w:p>
        </w:tc>
        <w:tc>
          <w:tcPr>
            <w:tcW w:w="1341" w:type="dxa"/>
            <w:noWrap/>
            <w:vAlign w:val="center"/>
          </w:tcPr>
          <w:p w14:paraId="3E4A129E">
            <w:pPr>
              <w:jc w:val="center"/>
              <w:rPr>
                <w:rFonts w:ascii="Times New Roman" w:eastAsia="仿宋"/>
                <w:szCs w:val="21"/>
              </w:rPr>
            </w:pPr>
            <w:r>
              <w:rPr>
                <w:rFonts w:ascii="Times New Roman" w:eastAsia="仿宋"/>
                <w:szCs w:val="21"/>
              </w:rPr>
              <w:t>4000</w:t>
            </w:r>
          </w:p>
        </w:tc>
        <w:tc>
          <w:tcPr>
            <w:tcW w:w="1134" w:type="dxa"/>
            <w:noWrap/>
            <w:vAlign w:val="center"/>
          </w:tcPr>
          <w:p w14:paraId="478BCD36">
            <w:pPr>
              <w:jc w:val="center"/>
              <w:rPr>
                <w:rFonts w:ascii="Times New Roman" w:eastAsia="仿宋"/>
                <w:szCs w:val="21"/>
              </w:rPr>
            </w:pPr>
            <w:r>
              <w:rPr>
                <w:rFonts w:hint="eastAsia" w:ascii="Times New Roman" w:eastAsia="仿宋"/>
                <w:szCs w:val="21"/>
              </w:rPr>
              <w:t>/</w:t>
            </w:r>
          </w:p>
        </w:tc>
        <w:tc>
          <w:tcPr>
            <w:tcW w:w="1088" w:type="dxa"/>
            <w:vMerge w:val="restart"/>
            <w:noWrap/>
            <w:vAlign w:val="center"/>
          </w:tcPr>
          <w:p w14:paraId="69017B56">
            <w:pPr>
              <w:jc w:val="center"/>
              <w:rPr>
                <w:rFonts w:ascii="Times New Roman" w:eastAsia="仿宋"/>
                <w:szCs w:val="21"/>
              </w:rPr>
            </w:pPr>
            <w:r>
              <w:rPr>
                <w:rFonts w:ascii="Times New Roman" w:hAnsi="仿宋" w:eastAsia="仿宋"/>
                <w:szCs w:val="21"/>
              </w:rPr>
              <w:t>达标</w:t>
            </w:r>
          </w:p>
        </w:tc>
      </w:tr>
      <w:tr w14:paraId="12AC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248C5486">
            <w:pPr>
              <w:jc w:val="center"/>
              <w:rPr>
                <w:rFonts w:ascii="Times New Roman" w:eastAsia="仿宋"/>
                <w:szCs w:val="21"/>
              </w:rPr>
            </w:pPr>
          </w:p>
        </w:tc>
        <w:tc>
          <w:tcPr>
            <w:tcW w:w="2870" w:type="dxa"/>
            <w:noWrap/>
            <w:vAlign w:val="center"/>
          </w:tcPr>
          <w:p w14:paraId="4056BF8D">
            <w:pPr>
              <w:jc w:val="center"/>
              <w:rPr>
                <w:rFonts w:ascii="Times New Roman" w:eastAsia="仿宋"/>
                <w:szCs w:val="21"/>
              </w:rPr>
            </w:pPr>
            <w:r>
              <w:rPr>
                <w:rFonts w:ascii="Times New Roman" w:hAnsi="仿宋" w:eastAsia="仿宋"/>
                <w:szCs w:val="21"/>
              </w:rPr>
              <w:t>日均值范围</w:t>
            </w:r>
          </w:p>
        </w:tc>
        <w:tc>
          <w:tcPr>
            <w:tcW w:w="1417" w:type="dxa"/>
            <w:noWrap/>
            <w:vAlign w:val="center"/>
          </w:tcPr>
          <w:p w14:paraId="5FB8F514">
            <w:pPr>
              <w:jc w:val="center"/>
              <w:rPr>
                <w:rFonts w:ascii="Times New Roman" w:eastAsia="仿宋"/>
                <w:szCs w:val="21"/>
              </w:rPr>
            </w:pPr>
            <w:r>
              <w:rPr>
                <w:rFonts w:ascii="Times New Roman" w:eastAsia="仿宋"/>
                <w:szCs w:val="21"/>
              </w:rPr>
              <w:t>400-1500</w:t>
            </w:r>
          </w:p>
        </w:tc>
        <w:tc>
          <w:tcPr>
            <w:tcW w:w="1341" w:type="dxa"/>
            <w:noWrap/>
            <w:vAlign w:val="center"/>
          </w:tcPr>
          <w:p w14:paraId="0022D1EE">
            <w:pPr>
              <w:jc w:val="center"/>
              <w:rPr>
                <w:rFonts w:ascii="Times New Roman" w:eastAsia="仿宋"/>
                <w:szCs w:val="21"/>
              </w:rPr>
            </w:pPr>
            <w:r>
              <w:rPr>
                <w:rFonts w:ascii="Times New Roman" w:eastAsia="仿宋"/>
                <w:szCs w:val="21"/>
              </w:rPr>
              <w:t>4000</w:t>
            </w:r>
          </w:p>
        </w:tc>
        <w:tc>
          <w:tcPr>
            <w:tcW w:w="1134" w:type="dxa"/>
            <w:noWrap/>
            <w:vAlign w:val="center"/>
          </w:tcPr>
          <w:p w14:paraId="402DE558">
            <w:pPr>
              <w:jc w:val="center"/>
              <w:rPr>
                <w:rFonts w:ascii="Times New Roman" w:eastAsia="仿宋"/>
                <w:szCs w:val="21"/>
              </w:rPr>
            </w:pPr>
            <w:r>
              <w:rPr>
                <w:rFonts w:hint="eastAsia" w:ascii="Times New Roman" w:eastAsia="仿宋"/>
                <w:szCs w:val="21"/>
              </w:rPr>
              <w:t>100</w:t>
            </w:r>
          </w:p>
        </w:tc>
        <w:tc>
          <w:tcPr>
            <w:tcW w:w="1088" w:type="dxa"/>
            <w:vMerge w:val="continue"/>
            <w:noWrap/>
            <w:vAlign w:val="center"/>
          </w:tcPr>
          <w:p w14:paraId="4D7EEA99">
            <w:pPr>
              <w:jc w:val="center"/>
              <w:rPr>
                <w:rFonts w:ascii="Times New Roman" w:eastAsia="仿宋"/>
                <w:szCs w:val="21"/>
              </w:rPr>
            </w:pPr>
          </w:p>
        </w:tc>
      </w:tr>
      <w:tr w14:paraId="07F3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4D3D985C">
            <w:pPr>
              <w:jc w:val="center"/>
              <w:rPr>
                <w:rFonts w:ascii="Times New Roman" w:eastAsia="仿宋"/>
                <w:b/>
                <w:bCs/>
                <w:szCs w:val="21"/>
              </w:rPr>
            </w:pPr>
            <w:r>
              <w:rPr>
                <w:rFonts w:ascii="Times New Roman" w:eastAsia="仿宋"/>
                <w:b/>
                <w:bCs/>
                <w:szCs w:val="21"/>
              </w:rPr>
              <w:t>O</w:t>
            </w:r>
            <w:r>
              <w:rPr>
                <w:rFonts w:ascii="Times New Roman" w:eastAsia="仿宋"/>
                <w:b/>
                <w:bCs/>
                <w:szCs w:val="21"/>
                <w:vertAlign w:val="subscript"/>
              </w:rPr>
              <w:t>3</w:t>
            </w:r>
          </w:p>
        </w:tc>
        <w:tc>
          <w:tcPr>
            <w:tcW w:w="2870" w:type="dxa"/>
            <w:noWrap/>
            <w:vAlign w:val="center"/>
          </w:tcPr>
          <w:p w14:paraId="0396B472">
            <w:pPr>
              <w:jc w:val="center"/>
              <w:rPr>
                <w:rFonts w:ascii="Times New Roman" w:eastAsia="仿宋"/>
                <w:b/>
                <w:bCs/>
                <w:szCs w:val="21"/>
              </w:rPr>
            </w:pPr>
            <w:r>
              <w:rPr>
                <w:rFonts w:ascii="Times New Roman" w:hAnsi="仿宋" w:eastAsia="仿宋"/>
                <w:b/>
                <w:bCs/>
                <w:szCs w:val="21"/>
              </w:rPr>
              <w:t>日最大</w:t>
            </w:r>
            <w:r>
              <w:rPr>
                <w:rFonts w:ascii="Times New Roman" w:eastAsia="仿宋"/>
                <w:b/>
                <w:bCs/>
                <w:szCs w:val="21"/>
              </w:rPr>
              <w:t>8</w:t>
            </w:r>
            <w:r>
              <w:rPr>
                <w:rFonts w:ascii="Times New Roman" w:hAnsi="仿宋" w:eastAsia="仿宋"/>
                <w:b/>
                <w:bCs/>
                <w:szCs w:val="21"/>
              </w:rPr>
              <w:t>小时滑动平均值的第</w:t>
            </w:r>
            <w:r>
              <w:rPr>
                <w:rFonts w:ascii="Times New Roman" w:eastAsia="仿宋"/>
                <w:b/>
                <w:bCs/>
                <w:szCs w:val="21"/>
              </w:rPr>
              <w:t>90</w:t>
            </w:r>
            <w:r>
              <w:rPr>
                <w:rFonts w:ascii="Times New Roman" w:hAnsi="仿宋" w:eastAsia="仿宋"/>
                <w:b/>
                <w:bCs/>
                <w:szCs w:val="21"/>
              </w:rPr>
              <w:t>位百分位数质量浓度</w:t>
            </w:r>
          </w:p>
        </w:tc>
        <w:tc>
          <w:tcPr>
            <w:tcW w:w="1417" w:type="dxa"/>
            <w:noWrap/>
            <w:vAlign w:val="center"/>
          </w:tcPr>
          <w:p w14:paraId="13219352">
            <w:pPr>
              <w:jc w:val="center"/>
              <w:rPr>
                <w:rFonts w:ascii="Times New Roman" w:eastAsia="仿宋"/>
                <w:b/>
                <w:bCs/>
                <w:szCs w:val="21"/>
              </w:rPr>
            </w:pPr>
            <w:r>
              <w:rPr>
                <w:rFonts w:ascii="Times New Roman" w:eastAsia="仿宋"/>
                <w:b/>
                <w:bCs/>
                <w:szCs w:val="21"/>
              </w:rPr>
              <w:t>174</w:t>
            </w:r>
          </w:p>
        </w:tc>
        <w:tc>
          <w:tcPr>
            <w:tcW w:w="1341" w:type="dxa"/>
            <w:noWrap/>
            <w:vAlign w:val="center"/>
          </w:tcPr>
          <w:p w14:paraId="758C98AB">
            <w:pPr>
              <w:jc w:val="center"/>
              <w:rPr>
                <w:rFonts w:ascii="Times New Roman" w:eastAsia="仿宋"/>
                <w:b/>
                <w:bCs/>
                <w:szCs w:val="21"/>
              </w:rPr>
            </w:pPr>
            <w:r>
              <w:rPr>
                <w:rFonts w:ascii="Times New Roman" w:eastAsia="仿宋"/>
                <w:b/>
                <w:bCs/>
                <w:szCs w:val="21"/>
              </w:rPr>
              <w:t>160</w:t>
            </w:r>
          </w:p>
        </w:tc>
        <w:tc>
          <w:tcPr>
            <w:tcW w:w="1134" w:type="dxa"/>
            <w:noWrap/>
            <w:vAlign w:val="center"/>
          </w:tcPr>
          <w:p w14:paraId="629F6AA8">
            <w:pPr>
              <w:jc w:val="center"/>
              <w:rPr>
                <w:rFonts w:ascii="Times New Roman" w:eastAsia="仿宋"/>
                <w:b/>
                <w:bCs/>
                <w:szCs w:val="21"/>
              </w:rPr>
            </w:pPr>
            <w:r>
              <w:rPr>
                <w:rFonts w:hint="eastAsia" w:ascii="Times New Roman" w:eastAsia="仿宋"/>
                <w:b/>
                <w:bCs/>
                <w:szCs w:val="21"/>
              </w:rPr>
              <w:t>/</w:t>
            </w:r>
          </w:p>
        </w:tc>
        <w:tc>
          <w:tcPr>
            <w:tcW w:w="1088" w:type="dxa"/>
            <w:vMerge w:val="restart"/>
            <w:noWrap/>
            <w:vAlign w:val="center"/>
          </w:tcPr>
          <w:p w14:paraId="3D6886D5">
            <w:pPr>
              <w:jc w:val="center"/>
              <w:rPr>
                <w:rFonts w:ascii="Times New Roman" w:eastAsia="仿宋"/>
                <w:b/>
                <w:bCs/>
                <w:szCs w:val="21"/>
              </w:rPr>
            </w:pPr>
            <w:r>
              <w:rPr>
                <w:rFonts w:ascii="Times New Roman" w:hAnsi="仿宋" w:eastAsia="仿宋"/>
                <w:b/>
                <w:bCs/>
                <w:szCs w:val="21"/>
              </w:rPr>
              <w:t>不达标</w:t>
            </w:r>
          </w:p>
        </w:tc>
      </w:tr>
      <w:tr w14:paraId="48FB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5D0FEFF0">
            <w:pPr>
              <w:jc w:val="center"/>
              <w:rPr>
                <w:rFonts w:ascii="Times New Roman" w:eastAsia="仿宋"/>
                <w:b/>
                <w:bCs/>
                <w:szCs w:val="21"/>
              </w:rPr>
            </w:pPr>
          </w:p>
        </w:tc>
        <w:tc>
          <w:tcPr>
            <w:tcW w:w="2870" w:type="dxa"/>
            <w:noWrap/>
            <w:vAlign w:val="center"/>
          </w:tcPr>
          <w:p w14:paraId="56B6AE38">
            <w:pPr>
              <w:jc w:val="center"/>
              <w:rPr>
                <w:rFonts w:ascii="Times New Roman" w:hAnsi="仿宋" w:eastAsia="仿宋"/>
                <w:b/>
                <w:bCs/>
                <w:szCs w:val="21"/>
              </w:rPr>
            </w:pPr>
            <w:r>
              <w:rPr>
                <w:rFonts w:ascii="Times New Roman" w:hAnsi="仿宋" w:eastAsia="仿宋"/>
                <w:b/>
                <w:bCs/>
                <w:szCs w:val="21"/>
              </w:rPr>
              <w:t>日均值范围</w:t>
            </w:r>
          </w:p>
        </w:tc>
        <w:tc>
          <w:tcPr>
            <w:tcW w:w="1417" w:type="dxa"/>
            <w:noWrap/>
            <w:vAlign w:val="center"/>
          </w:tcPr>
          <w:p w14:paraId="64995C20">
            <w:pPr>
              <w:jc w:val="center"/>
              <w:rPr>
                <w:rFonts w:ascii="Times New Roman" w:eastAsia="仿宋"/>
                <w:b/>
                <w:bCs/>
                <w:szCs w:val="21"/>
              </w:rPr>
            </w:pPr>
            <w:r>
              <w:rPr>
                <w:rFonts w:hint="eastAsia" w:ascii="Times New Roman" w:eastAsia="仿宋"/>
                <w:b/>
                <w:bCs/>
                <w:szCs w:val="21"/>
              </w:rPr>
              <w:t>11-246</w:t>
            </w:r>
          </w:p>
        </w:tc>
        <w:tc>
          <w:tcPr>
            <w:tcW w:w="1341" w:type="dxa"/>
            <w:noWrap/>
            <w:vAlign w:val="center"/>
          </w:tcPr>
          <w:p w14:paraId="48601C96">
            <w:pPr>
              <w:jc w:val="center"/>
              <w:rPr>
                <w:rFonts w:ascii="Times New Roman" w:eastAsia="仿宋"/>
                <w:b/>
                <w:bCs/>
                <w:szCs w:val="21"/>
              </w:rPr>
            </w:pPr>
            <w:r>
              <w:rPr>
                <w:rFonts w:hint="eastAsia" w:ascii="Times New Roman" w:eastAsia="仿宋"/>
                <w:b/>
                <w:bCs/>
                <w:szCs w:val="21"/>
              </w:rPr>
              <w:t>160</w:t>
            </w:r>
          </w:p>
        </w:tc>
        <w:tc>
          <w:tcPr>
            <w:tcW w:w="1134" w:type="dxa"/>
            <w:noWrap/>
            <w:vAlign w:val="center"/>
          </w:tcPr>
          <w:p w14:paraId="49CFFFA7">
            <w:pPr>
              <w:jc w:val="center"/>
              <w:rPr>
                <w:rFonts w:ascii="Times New Roman" w:eastAsia="仿宋"/>
                <w:b/>
                <w:bCs/>
                <w:szCs w:val="21"/>
              </w:rPr>
            </w:pPr>
            <w:r>
              <w:rPr>
                <w:rFonts w:hint="eastAsia" w:ascii="Times New Roman" w:eastAsia="仿宋"/>
                <w:b/>
                <w:bCs/>
                <w:szCs w:val="21"/>
              </w:rPr>
              <w:t>85.5%</w:t>
            </w:r>
          </w:p>
        </w:tc>
        <w:tc>
          <w:tcPr>
            <w:tcW w:w="1088" w:type="dxa"/>
            <w:vMerge w:val="continue"/>
            <w:noWrap/>
            <w:vAlign w:val="center"/>
          </w:tcPr>
          <w:p w14:paraId="735BF516">
            <w:pPr>
              <w:jc w:val="center"/>
              <w:rPr>
                <w:rFonts w:ascii="Times New Roman" w:hAnsi="仿宋" w:eastAsia="仿宋"/>
                <w:b/>
                <w:bCs/>
                <w:szCs w:val="21"/>
              </w:rPr>
            </w:pPr>
          </w:p>
        </w:tc>
      </w:tr>
      <w:tr w14:paraId="7D0C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414F3378">
            <w:pPr>
              <w:jc w:val="center"/>
              <w:rPr>
                <w:rFonts w:ascii="Times New Roman" w:eastAsia="仿宋"/>
                <w:szCs w:val="21"/>
              </w:rPr>
            </w:pPr>
            <w:r>
              <w:rPr>
                <w:rFonts w:ascii="Times New Roman" w:eastAsia="仿宋"/>
                <w:szCs w:val="21"/>
              </w:rPr>
              <w:t>PM</w:t>
            </w:r>
            <w:r>
              <w:rPr>
                <w:rFonts w:ascii="Times New Roman" w:eastAsia="仿宋"/>
                <w:szCs w:val="21"/>
                <w:vertAlign w:val="subscript"/>
              </w:rPr>
              <w:t>10</w:t>
            </w:r>
          </w:p>
        </w:tc>
        <w:tc>
          <w:tcPr>
            <w:tcW w:w="2870" w:type="dxa"/>
            <w:noWrap/>
            <w:vAlign w:val="center"/>
          </w:tcPr>
          <w:p w14:paraId="37E65D7B">
            <w:pPr>
              <w:jc w:val="center"/>
              <w:rPr>
                <w:rFonts w:ascii="Times New Roman" w:eastAsia="仿宋"/>
                <w:szCs w:val="21"/>
              </w:rPr>
            </w:pPr>
            <w:r>
              <w:rPr>
                <w:rFonts w:ascii="Times New Roman" w:hAnsi="仿宋" w:eastAsia="仿宋"/>
                <w:szCs w:val="21"/>
              </w:rPr>
              <w:t>年平均质量浓度</w:t>
            </w:r>
          </w:p>
        </w:tc>
        <w:tc>
          <w:tcPr>
            <w:tcW w:w="1417" w:type="dxa"/>
            <w:noWrap/>
            <w:vAlign w:val="center"/>
          </w:tcPr>
          <w:p w14:paraId="628BDC90">
            <w:pPr>
              <w:jc w:val="center"/>
              <w:rPr>
                <w:rFonts w:ascii="Times New Roman" w:eastAsia="仿宋"/>
                <w:szCs w:val="21"/>
              </w:rPr>
            </w:pPr>
            <w:r>
              <w:rPr>
                <w:rFonts w:ascii="Times New Roman" w:eastAsia="仿宋"/>
                <w:szCs w:val="21"/>
              </w:rPr>
              <w:t>57</w:t>
            </w:r>
          </w:p>
        </w:tc>
        <w:tc>
          <w:tcPr>
            <w:tcW w:w="1341" w:type="dxa"/>
            <w:noWrap/>
            <w:vAlign w:val="center"/>
          </w:tcPr>
          <w:p w14:paraId="7FC4AC13">
            <w:pPr>
              <w:jc w:val="center"/>
              <w:rPr>
                <w:rFonts w:ascii="Times New Roman" w:eastAsia="仿宋"/>
                <w:szCs w:val="21"/>
              </w:rPr>
            </w:pPr>
            <w:r>
              <w:rPr>
                <w:rFonts w:ascii="Times New Roman" w:eastAsia="仿宋"/>
                <w:szCs w:val="21"/>
              </w:rPr>
              <w:t>70</w:t>
            </w:r>
          </w:p>
        </w:tc>
        <w:tc>
          <w:tcPr>
            <w:tcW w:w="1134" w:type="dxa"/>
            <w:noWrap/>
            <w:vAlign w:val="center"/>
          </w:tcPr>
          <w:p w14:paraId="4D8A5570">
            <w:pPr>
              <w:jc w:val="center"/>
              <w:rPr>
                <w:rFonts w:ascii="Times New Roman" w:eastAsia="仿宋"/>
                <w:szCs w:val="21"/>
              </w:rPr>
            </w:pPr>
            <w:r>
              <w:rPr>
                <w:rFonts w:hint="eastAsia" w:ascii="Times New Roman" w:eastAsia="仿宋"/>
                <w:szCs w:val="21"/>
              </w:rPr>
              <w:t>/</w:t>
            </w:r>
          </w:p>
        </w:tc>
        <w:tc>
          <w:tcPr>
            <w:tcW w:w="1088" w:type="dxa"/>
            <w:vMerge w:val="restart"/>
            <w:noWrap/>
            <w:vAlign w:val="center"/>
          </w:tcPr>
          <w:p w14:paraId="07FBE65D">
            <w:pPr>
              <w:jc w:val="center"/>
              <w:rPr>
                <w:rFonts w:ascii="Times New Roman" w:eastAsia="仿宋"/>
                <w:szCs w:val="21"/>
              </w:rPr>
            </w:pPr>
            <w:r>
              <w:rPr>
                <w:rFonts w:ascii="Times New Roman" w:hAnsi="仿宋" w:eastAsia="仿宋"/>
                <w:szCs w:val="21"/>
              </w:rPr>
              <w:t>达标</w:t>
            </w:r>
          </w:p>
        </w:tc>
      </w:tr>
      <w:tr w14:paraId="743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40754E93">
            <w:pPr>
              <w:jc w:val="center"/>
              <w:rPr>
                <w:rFonts w:ascii="Times New Roman" w:eastAsia="仿宋"/>
                <w:szCs w:val="21"/>
              </w:rPr>
            </w:pPr>
          </w:p>
        </w:tc>
        <w:tc>
          <w:tcPr>
            <w:tcW w:w="2870" w:type="dxa"/>
            <w:noWrap/>
            <w:vAlign w:val="center"/>
          </w:tcPr>
          <w:p w14:paraId="4F00E933">
            <w:pPr>
              <w:jc w:val="center"/>
              <w:rPr>
                <w:rFonts w:ascii="Times New Roman" w:eastAsia="仿宋"/>
                <w:szCs w:val="21"/>
              </w:rPr>
            </w:pPr>
            <w:r>
              <w:rPr>
                <w:rFonts w:ascii="Times New Roman" w:hAnsi="仿宋" w:eastAsia="仿宋"/>
                <w:szCs w:val="21"/>
              </w:rPr>
              <w:t>日均值范围</w:t>
            </w:r>
          </w:p>
        </w:tc>
        <w:tc>
          <w:tcPr>
            <w:tcW w:w="1417" w:type="dxa"/>
            <w:noWrap/>
            <w:vAlign w:val="center"/>
          </w:tcPr>
          <w:p w14:paraId="1CA528B5">
            <w:pPr>
              <w:jc w:val="center"/>
              <w:rPr>
                <w:rFonts w:ascii="Times New Roman" w:eastAsia="仿宋"/>
                <w:szCs w:val="21"/>
              </w:rPr>
            </w:pPr>
            <w:r>
              <w:rPr>
                <w:rFonts w:ascii="Times New Roman" w:eastAsia="仿宋"/>
                <w:szCs w:val="21"/>
              </w:rPr>
              <w:t>12-188</w:t>
            </w:r>
          </w:p>
        </w:tc>
        <w:tc>
          <w:tcPr>
            <w:tcW w:w="1341" w:type="dxa"/>
            <w:noWrap/>
            <w:vAlign w:val="center"/>
          </w:tcPr>
          <w:p w14:paraId="5EF10FE3">
            <w:pPr>
              <w:jc w:val="center"/>
              <w:rPr>
                <w:rFonts w:ascii="Times New Roman" w:eastAsia="仿宋"/>
                <w:szCs w:val="21"/>
              </w:rPr>
            </w:pPr>
            <w:r>
              <w:rPr>
                <w:rFonts w:ascii="Times New Roman" w:eastAsia="仿宋"/>
                <w:szCs w:val="21"/>
              </w:rPr>
              <w:t>150</w:t>
            </w:r>
          </w:p>
        </w:tc>
        <w:tc>
          <w:tcPr>
            <w:tcW w:w="1134" w:type="dxa"/>
            <w:noWrap/>
            <w:vAlign w:val="center"/>
          </w:tcPr>
          <w:p w14:paraId="157B1947">
            <w:pPr>
              <w:jc w:val="center"/>
              <w:rPr>
                <w:rFonts w:ascii="Times New Roman" w:eastAsia="仿宋"/>
                <w:szCs w:val="21"/>
              </w:rPr>
            </w:pPr>
            <w:r>
              <w:rPr>
                <w:rFonts w:hint="eastAsia" w:ascii="Times New Roman" w:eastAsia="仿宋"/>
                <w:szCs w:val="21"/>
              </w:rPr>
              <w:t>98.8</w:t>
            </w:r>
          </w:p>
        </w:tc>
        <w:tc>
          <w:tcPr>
            <w:tcW w:w="1088" w:type="dxa"/>
            <w:vMerge w:val="continue"/>
            <w:noWrap/>
            <w:vAlign w:val="center"/>
          </w:tcPr>
          <w:p w14:paraId="73891F80">
            <w:pPr>
              <w:jc w:val="center"/>
              <w:rPr>
                <w:rFonts w:ascii="Times New Roman" w:eastAsia="仿宋"/>
                <w:szCs w:val="21"/>
              </w:rPr>
            </w:pPr>
          </w:p>
        </w:tc>
      </w:tr>
      <w:tr w14:paraId="4093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3F26AFE4">
            <w:pPr>
              <w:jc w:val="center"/>
              <w:rPr>
                <w:rFonts w:ascii="Times New Roman" w:eastAsia="仿宋"/>
                <w:b/>
                <w:bCs/>
                <w:szCs w:val="21"/>
              </w:rPr>
            </w:pPr>
            <w:r>
              <w:rPr>
                <w:rFonts w:ascii="Times New Roman" w:eastAsia="仿宋"/>
                <w:b/>
                <w:bCs/>
                <w:szCs w:val="21"/>
              </w:rPr>
              <w:t>PM</w:t>
            </w:r>
            <w:r>
              <w:rPr>
                <w:rFonts w:ascii="Times New Roman" w:eastAsia="仿宋"/>
                <w:b/>
                <w:bCs/>
                <w:szCs w:val="21"/>
                <w:vertAlign w:val="subscript"/>
              </w:rPr>
              <w:t>2.5</w:t>
            </w:r>
          </w:p>
        </w:tc>
        <w:tc>
          <w:tcPr>
            <w:tcW w:w="2870" w:type="dxa"/>
            <w:noWrap/>
            <w:vAlign w:val="center"/>
          </w:tcPr>
          <w:p w14:paraId="411B97E6">
            <w:pPr>
              <w:jc w:val="center"/>
              <w:rPr>
                <w:rFonts w:ascii="Times New Roman" w:eastAsia="仿宋"/>
                <w:b/>
                <w:bCs/>
                <w:szCs w:val="21"/>
              </w:rPr>
            </w:pPr>
            <w:r>
              <w:rPr>
                <w:rFonts w:ascii="Times New Roman" w:hAnsi="仿宋" w:eastAsia="仿宋"/>
                <w:b/>
                <w:bCs/>
                <w:szCs w:val="21"/>
              </w:rPr>
              <w:t>年平均质量浓度</w:t>
            </w:r>
          </w:p>
        </w:tc>
        <w:tc>
          <w:tcPr>
            <w:tcW w:w="1417" w:type="dxa"/>
            <w:noWrap/>
            <w:vAlign w:val="center"/>
          </w:tcPr>
          <w:p w14:paraId="6549F5E7">
            <w:pPr>
              <w:jc w:val="center"/>
              <w:rPr>
                <w:rFonts w:ascii="Times New Roman" w:eastAsia="仿宋"/>
                <w:b/>
                <w:bCs/>
                <w:szCs w:val="21"/>
              </w:rPr>
            </w:pPr>
            <w:r>
              <w:rPr>
                <w:rFonts w:ascii="Times New Roman" w:eastAsia="仿宋"/>
                <w:b/>
                <w:bCs/>
                <w:szCs w:val="21"/>
              </w:rPr>
              <w:t>34</w:t>
            </w:r>
          </w:p>
        </w:tc>
        <w:tc>
          <w:tcPr>
            <w:tcW w:w="1341" w:type="dxa"/>
            <w:noWrap/>
            <w:vAlign w:val="center"/>
          </w:tcPr>
          <w:p w14:paraId="486A9473">
            <w:pPr>
              <w:jc w:val="center"/>
              <w:rPr>
                <w:rFonts w:ascii="Times New Roman" w:eastAsia="仿宋"/>
                <w:b/>
                <w:bCs/>
                <w:szCs w:val="21"/>
              </w:rPr>
            </w:pPr>
            <w:r>
              <w:rPr>
                <w:rFonts w:ascii="Times New Roman" w:eastAsia="仿宋"/>
                <w:b/>
                <w:bCs/>
                <w:szCs w:val="21"/>
              </w:rPr>
              <w:t>35</w:t>
            </w:r>
          </w:p>
        </w:tc>
        <w:tc>
          <w:tcPr>
            <w:tcW w:w="1134" w:type="dxa"/>
            <w:noWrap/>
            <w:vAlign w:val="center"/>
          </w:tcPr>
          <w:p w14:paraId="11D5F671">
            <w:pPr>
              <w:jc w:val="center"/>
              <w:rPr>
                <w:rFonts w:ascii="Times New Roman" w:eastAsia="仿宋"/>
                <w:b/>
                <w:bCs/>
                <w:szCs w:val="21"/>
              </w:rPr>
            </w:pPr>
            <w:r>
              <w:rPr>
                <w:rFonts w:hint="eastAsia" w:ascii="Times New Roman" w:eastAsia="仿宋"/>
                <w:b/>
                <w:bCs/>
                <w:szCs w:val="21"/>
              </w:rPr>
              <w:t>/</w:t>
            </w:r>
          </w:p>
        </w:tc>
        <w:tc>
          <w:tcPr>
            <w:tcW w:w="1088" w:type="dxa"/>
            <w:vMerge w:val="restart"/>
            <w:noWrap/>
            <w:vAlign w:val="center"/>
          </w:tcPr>
          <w:p w14:paraId="73C50040">
            <w:pPr>
              <w:jc w:val="center"/>
              <w:rPr>
                <w:rFonts w:ascii="Times New Roman" w:eastAsia="仿宋"/>
                <w:b/>
                <w:bCs/>
                <w:szCs w:val="21"/>
              </w:rPr>
            </w:pPr>
            <w:r>
              <w:rPr>
                <w:rFonts w:ascii="Times New Roman" w:hAnsi="仿宋" w:eastAsia="仿宋"/>
                <w:b/>
                <w:bCs/>
                <w:szCs w:val="21"/>
              </w:rPr>
              <w:t>不达标</w:t>
            </w:r>
          </w:p>
        </w:tc>
      </w:tr>
      <w:tr w14:paraId="5E30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72B15D84">
            <w:pPr>
              <w:adjustRightInd w:val="0"/>
              <w:snapToGrid w:val="0"/>
              <w:jc w:val="center"/>
              <w:rPr>
                <w:rFonts w:ascii="Times New Roman" w:eastAsia="仿宋"/>
                <w:b/>
                <w:szCs w:val="21"/>
              </w:rPr>
            </w:pPr>
          </w:p>
        </w:tc>
        <w:tc>
          <w:tcPr>
            <w:tcW w:w="2870" w:type="dxa"/>
            <w:noWrap/>
            <w:vAlign w:val="center"/>
          </w:tcPr>
          <w:p w14:paraId="3EE8CBF8">
            <w:pPr>
              <w:jc w:val="center"/>
              <w:rPr>
                <w:rFonts w:ascii="Times New Roman" w:eastAsia="仿宋"/>
                <w:b/>
                <w:bCs/>
                <w:szCs w:val="21"/>
              </w:rPr>
            </w:pPr>
            <w:r>
              <w:rPr>
                <w:rFonts w:ascii="Times New Roman" w:hAnsi="仿宋" w:eastAsia="仿宋"/>
                <w:b/>
                <w:bCs/>
                <w:szCs w:val="21"/>
              </w:rPr>
              <w:t>日均值范围</w:t>
            </w:r>
          </w:p>
        </w:tc>
        <w:tc>
          <w:tcPr>
            <w:tcW w:w="1417" w:type="dxa"/>
            <w:noWrap/>
            <w:vAlign w:val="center"/>
          </w:tcPr>
          <w:p w14:paraId="187CFF4F">
            <w:pPr>
              <w:jc w:val="center"/>
              <w:rPr>
                <w:rFonts w:ascii="Times New Roman" w:eastAsia="仿宋"/>
                <w:b/>
                <w:bCs/>
                <w:szCs w:val="21"/>
              </w:rPr>
            </w:pPr>
            <w:r>
              <w:rPr>
                <w:rFonts w:ascii="Times New Roman" w:eastAsia="仿宋"/>
                <w:b/>
                <w:bCs/>
                <w:szCs w:val="21"/>
              </w:rPr>
              <w:t>6-151</w:t>
            </w:r>
          </w:p>
        </w:tc>
        <w:tc>
          <w:tcPr>
            <w:tcW w:w="1341" w:type="dxa"/>
            <w:noWrap/>
            <w:vAlign w:val="center"/>
          </w:tcPr>
          <w:p w14:paraId="535FFDF7">
            <w:pPr>
              <w:jc w:val="center"/>
              <w:rPr>
                <w:rFonts w:ascii="Times New Roman" w:eastAsia="仿宋"/>
                <w:b/>
                <w:bCs/>
                <w:szCs w:val="21"/>
              </w:rPr>
            </w:pPr>
            <w:r>
              <w:rPr>
                <w:rFonts w:ascii="Times New Roman" w:eastAsia="仿宋"/>
                <w:b/>
                <w:bCs/>
                <w:szCs w:val="21"/>
              </w:rPr>
              <w:t>75</w:t>
            </w:r>
          </w:p>
        </w:tc>
        <w:tc>
          <w:tcPr>
            <w:tcW w:w="1134" w:type="dxa"/>
            <w:noWrap/>
            <w:vAlign w:val="center"/>
          </w:tcPr>
          <w:p w14:paraId="6D33720B">
            <w:pPr>
              <w:jc w:val="center"/>
              <w:rPr>
                <w:rFonts w:ascii="Times New Roman" w:eastAsia="仿宋"/>
                <w:b/>
                <w:bCs/>
                <w:szCs w:val="21"/>
              </w:rPr>
            </w:pPr>
            <w:r>
              <w:rPr>
                <w:rFonts w:hint="eastAsia" w:ascii="Times New Roman" w:eastAsia="仿宋"/>
                <w:b/>
                <w:bCs/>
                <w:szCs w:val="21"/>
              </w:rPr>
              <w:t>93.6</w:t>
            </w:r>
          </w:p>
        </w:tc>
        <w:tc>
          <w:tcPr>
            <w:tcW w:w="1088" w:type="dxa"/>
            <w:vMerge w:val="continue"/>
            <w:noWrap/>
            <w:vAlign w:val="center"/>
          </w:tcPr>
          <w:p w14:paraId="68A2DEA1">
            <w:pPr>
              <w:adjustRightInd w:val="0"/>
              <w:snapToGrid w:val="0"/>
              <w:jc w:val="center"/>
              <w:rPr>
                <w:rFonts w:ascii="Times New Roman" w:eastAsia="仿宋"/>
                <w:b/>
                <w:szCs w:val="21"/>
              </w:rPr>
            </w:pPr>
          </w:p>
        </w:tc>
      </w:tr>
    </w:tbl>
    <w:p w14:paraId="6A171133">
      <w:pPr>
        <w:spacing w:line="500" w:lineRule="exact"/>
        <w:ind w:firstLine="560" w:firstLineChars="200"/>
        <w:rPr>
          <w:rFonts w:ascii="Times New Roman" w:eastAsia="仿宋"/>
          <w:sz w:val="28"/>
          <w:szCs w:val="28"/>
        </w:rPr>
      </w:pPr>
      <w:r>
        <w:rPr>
          <w:rFonts w:ascii="Times New Roman" w:eastAsia="仿宋"/>
          <w:sz w:val="28"/>
          <w:szCs w:val="28"/>
        </w:rPr>
        <w:t>由上表可知，项目所在区域内NO</w:t>
      </w:r>
      <w:r>
        <w:rPr>
          <w:rFonts w:ascii="Times New Roman" w:eastAsia="仿宋"/>
          <w:sz w:val="28"/>
          <w:szCs w:val="28"/>
          <w:vertAlign w:val="subscript"/>
        </w:rPr>
        <w:t>2</w:t>
      </w:r>
      <w:r>
        <w:rPr>
          <w:rFonts w:ascii="Times New Roman" w:eastAsia="仿宋"/>
          <w:sz w:val="28"/>
          <w:szCs w:val="28"/>
        </w:rPr>
        <w:t>年均值、SO</w:t>
      </w:r>
      <w:r>
        <w:rPr>
          <w:rFonts w:ascii="Times New Roman" w:eastAsia="仿宋"/>
          <w:sz w:val="28"/>
          <w:szCs w:val="28"/>
          <w:vertAlign w:val="subscript"/>
        </w:rPr>
        <w:t>2</w:t>
      </w:r>
      <w:r>
        <w:rPr>
          <w:rFonts w:ascii="Times New Roman" w:eastAsia="仿宋"/>
          <w:sz w:val="28"/>
          <w:szCs w:val="28"/>
        </w:rPr>
        <w:t>年均值、CO 24小时平均第95百分位数以及PM10年均值均符合《环境空气质量标准》（GB3095-2012）表1中二级标准，O</w:t>
      </w:r>
      <w:r>
        <w:rPr>
          <w:rFonts w:ascii="Times New Roman" w:eastAsia="仿宋"/>
          <w:sz w:val="28"/>
          <w:szCs w:val="28"/>
          <w:vertAlign w:val="subscript"/>
        </w:rPr>
        <w:t>3</w:t>
      </w:r>
      <w:r>
        <w:rPr>
          <w:rFonts w:ascii="Times New Roman" w:eastAsia="仿宋"/>
          <w:sz w:val="28"/>
          <w:szCs w:val="28"/>
        </w:rPr>
        <w:t>、PM</w:t>
      </w:r>
      <w:r>
        <w:rPr>
          <w:rFonts w:ascii="Times New Roman" w:eastAsia="仿宋"/>
          <w:sz w:val="28"/>
          <w:szCs w:val="28"/>
          <w:vertAlign w:val="subscript"/>
        </w:rPr>
        <w:t>2.5</w:t>
      </w:r>
      <w:r>
        <w:rPr>
          <w:rFonts w:ascii="Times New Roman" w:eastAsia="仿宋"/>
          <w:sz w:val="28"/>
          <w:szCs w:val="28"/>
        </w:rPr>
        <w:t>两项评价指标均不达标，因此，区域环境空气质量目前不达标。总体而言，本项目所在地为不达标区。</w:t>
      </w:r>
    </w:p>
    <w:p w14:paraId="132BAAFD">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为改善区域空气质量环境，常州市生态文明建设委员会关于印发《2024年度全面推进美丽常州建设工作方案》的通知，主要举措如下：</w:t>
      </w:r>
    </w:p>
    <w:p w14:paraId="2F50C84B">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开展火电煤堆场专项整治行动。年内完成国能常州发电有限公司、常州经开区亚太热电2家火电“一企一策”综合整治，年底前完成广达热电关闭退出工作。</w:t>
      </w:r>
    </w:p>
    <w:p w14:paraId="367826CF">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抓好钢铁、水泥、铸造、垃圾焚烧、汽修“五大行业”整治。完成宝润钢铁全流程超低排放改造；完成江苏常宝钢管股份有限公司2台工业炉窑烟气脱硝或低氮改造；完成光大常高新垃圾焚烧提标改造。推进燃烧法工艺（RTO、RCO、TO）治污设施建设，力争4月底前完成50%以上的年度VOCs治理重点工程项目。9月底前完成154家汽修行业企业全面排查和系统治理。</w:t>
      </w:r>
    </w:p>
    <w:p w14:paraId="2C799424">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强化挥发性有机物全过程全环节综合治理，实施源头替代工程，年内木质家具制造、工程机械替代比例力争达到80%，汽车零部件及配件制造、钢结构（防腐级别C4及以上的除外）替代比例力争达到60%。开展虚假“油改水”专项清理。</w:t>
      </w:r>
    </w:p>
    <w:p w14:paraId="4BE9539E">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常州滨江经济开发区新材料产园、金坛新材料科技产业园制定化工园区综合整治方案，建立统一的泄漏检测与修复信息管理平台。对挥发性有机液体储罐开展排查，4月底前符合要求的力争实现全更换。中石油、中石化两个油库完成储罐浮盘高效密封改造。持续加强原油成品油码头和油船挥发性有机物治理。</w:t>
      </w:r>
    </w:p>
    <w:p w14:paraId="2017912A">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开展55家水泥行业企业和43家玻璃行企业排查整治，对733家铸造企业“回头看”，培育环保绩效AB级水平标杆企业37家以上。鼓励开展清洁生产审核的铸造企业，主动提升清洁生产先进水平。</w:t>
      </w:r>
    </w:p>
    <w:p w14:paraId="7272A69C">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强化施工工地、道路、园林绿化、裸地以及港口码头等扬尘治理，严格执行《常州市扬尘污染防治管理办法》要求，施工工地严格执行“六个百分百”要求，“两区三厂”范围内无大面积未覆盖裸土。推进规模以上工地安装扬尘在线监测和视频监控设备，鼓励实施监测超标预警和喷淋、雾炮等设施的远程控制与自动降尘有效联动。持续对全市63个镇（街道）、园区实施降尘考核,全市降尘不得高于2.2吨/平方千米·月。</w:t>
      </w:r>
    </w:p>
    <w:p w14:paraId="341E2A48">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开展餐饮油烟专项治理，推动产生油烟或异味的餐饮服务单位安装油烟净化装置并定期维护，每季度清洗一次烟道。推进建设钟楼吾悦国际综合体为主要集中治理区域的餐饮油烟治理示范街区。</w:t>
      </w:r>
    </w:p>
    <w:p w14:paraId="55255EE3">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严格落实《江苏省重污染天气应急预案》有关要求，9月底前完成绩效分级、应急减排清单和豁免企业清单修订工作。</w:t>
      </w:r>
    </w:p>
    <w:p w14:paraId="22A122DE">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加强秸秆禁烧，全面提升秸秆收、运、贮、用等方面能力。</w:t>
      </w:r>
    </w:p>
    <w:p w14:paraId="212D0163">
      <w:pPr>
        <w:pStyle w:val="170"/>
        <w:spacing w:line="500" w:lineRule="exact"/>
        <w:ind w:firstLine="560" w:firstLineChars="200"/>
        <w:jc w:val="left"/>
        <w:rPr>
          <w:rFonts w:ascii="Times New Roman" w:eastAsia="仿宋"/>
          <w:kern w:val="0"/>
          <w:sz w:val="28"/>
          <w:szCs w:val="28"/>
        </w:rPr>
      </w:pPr>
      <w:r>
        <w:rPr>
          <w:rFonts w:hint="eastAsia" w:ascii="Times New Roman" w:eastAsia="仿宋"/>
          <w:kern w:val="0"/>
          <w:sz w:val="28"/>
          <w:szCs w:val="28"/>
        </w:rPr>
        <w:t>加强春节、中秋、国庆等重点时段的烟花爆竹燃放管控工作，严防禁放区内发生聚集性违规燃放。</w:t>
      </w:r>
    </w:p>
    <w:p w14:paraId="4FAB1BAE">
      <w:pPr>
        <w:pStyle w:val="170"/>
        <w:spacing w:line="500" w:lineRule="exact"/>
        <w:ind w:firstLine="560" w:firstLineChars="200"/>
        <w:jc w:val="left"/>
        <w:rPr>
          <w:rFonts w:ascii="Times New Roman" w:eastAsia="仿宋"/>
          <w:sz w:val="28"/>
          <w:szCs w:val="28"/>
        </w:rPr>
      </w:pPr>
      <w:r>
        <w:rPr>
          <w:rFonts w:hint="eastAsia" w:ascii="Times New Roman" w:eastAsia="仿宋"/>
          <w:kern w:val="0"/>
          <w:sz w:val="28"/>
          <w:szCs w:val="28"/>
        </w:rPr>
        <w:t>采取上述措施，常州市的大气空气质量将得到进一步改善。</w:t>
      </w:r>
    </w:p>
    <w:p w14:paraId="5312A34E">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4</w:t>
      </w:r>
      <w:r>
        <w:rPr>
          <w:rFonts w:ascii="Times New Roman" w:hAnsi="Times New Roman" w:eastAsia="仿宋"/>
          <w:b/>
        </w:rPr>
        <w:t>.2.1.3其他污染物环境质量现状</w:t>
      </w:r>
    </w:p>
    <w:p w14:paraId="3CFA3288">
      <w:pPr>
        <w:pStyle w:val="170"/>
        <w:spacing w:line="500" w:lineRule="exact"/>
        <w:ind w:firstLine="560" w:firstLineChars="200"/>
        <w:jc w:val="left"/>
        <w:rPr>
          <w:rFonts w:ascii="Times New Roman" w:eastAsia="仿宋"/>
          <w:sz w:val="28"/>
          <w:szCs w:val="28"/>
        </w:rPr>
      </w:pPr>
      <w:r>
        <w:rPr>
          <w:rFonts w:ascii="Times New Roman" w:eastAsia="仿宋"/>
          <w:sz w:val="28"/>
          <w:szCs w:val="28"/>
        </w:rPr>
        <w:t>本次环评采取了现场实测</w:t>
      </w:r>
      <w:r>
        <w:rPr>
          <w:rFonts w:hint="eastAsia" w:ascii="Times New Roman" w:eastAsia="仿宋"/>
          <w:sz w:val="28"/>
          <w:szCs w:val="28"/>
        </w:rPr>
        <w:t>的方式</w:t>
      </w:r>
      <w:r>
        <w:rPr>
          <w:rFonts w:ascii="Times New Roman" w:eastAsia="仿宋"/>
          <w:sz w:val="28"/>
          <w:szCs w:val="28"/>
        </w:rPr>
        <w:t>进行评价。</w:t>
      </w:r>
      <w:r>
        <w:rPr>
          <w:rFonts w:hint="eastAsia" w:ascii="Times New Roman" w:eastAsia="仿宋"/>
          <w:sz w:val="28"/>
          <w:szCs w:val="28"/>
        </w:rPr>
        <w:t>常州苏测环境检测有限公司于202</w:t>
      </w:r>
      <w:r>
        <w:rPr>
          <w:rFonts w:ascii="Times New Roman" w:eastAsia="仿宋"/>
          <w:sz w:val="28"/>
          <w:szCs w:val="28"/>
        </w:rPr>
        <w:t>4</w:t>
      </w:r>
      <w:r>
        <w:rPr>
          <w:rFonts w:hint="eastAsia" w:ascii="Times New Roman" w:eastAsia="仿宋"/>
          <w:sz w:val="28"/>
          <w:szCs w:val="28"/>
        </w:rPr>
        <w:t>年</w:t>
      </w:r>
      <w:r>
        <w:rPr>
          <w:rFonts w:ascii="Times New Roman" w:eastAsia="仿宋"/>
          <w:sz w:val="28"/>
          <w:szCs w:val="28"/>
        </w:rPr>
        <w:t>10</w:t>
      </w:r>
      <w:r>
        <w:rPr>
          <w:rFonts w:hint="eastAsia" w:ascii="Times New Roman" w:eastAsia="仿宋"/>
          <w:sz w:val="28"/>
          <w:szCs w:val="28"/>
        </w:rPr>
        <w:t>月</w:t>
      </w:r>
      <w:r>
        <w:rPr>
          <w:rFonts w:ascii="Times New Roman" w:eastAsia="仿宋"/>
          <w:sz w:val="28"/>
          <w:szCs w:val="28"/>
        </w:rPr>
        <w:t>8</w:t>
      </w:r>
      <w:r>
        <w:rPr>
          <w:rFonts w:hint="eastAsia" w:ascii="Times New Roman" w:eastAsia="仿宋"/>
          <w:sz w:val="28"/>
          <w:szCs w:val="28"/>
        </w:rPr>
        <w:t>日至202</w:t>
      </w:r>
      <w:r>
        <w:rPr>
          <w:rFonts w:ascii="Times New Roman" w:eastAsia="仿宋"/>
          <w:sz w:val="28"/>
          <w:szCs w:val="28"/>
        </w:rPr>
        <w:t>4</w:t>
      </w:r>
      <w:r>
        <w:rPr>
          <w:rFonts w:hint="eastAsia" w:ascii="Times New Roman" w:eastAsia="仿宋"/>
          <w:sz w:val="28"/>
          <w:szCs w:val="28"/>
        </w:rPr>
        <w:t>年</w:t>
      </w:r>
      <w:r>
        <w:rPr>
          <w:rFonts w:ascii="Times New Roman" w:eastAsia="仿宋"/>
          <w:sz w:val="28"/>
          <w:szCs w:val="28"/>
        </w:rPr>
        <w:t>10</w:t>
      </w:r>
      <w:r>
        <w:rPr>
          <w:rFonts w:hint="eastAsia" w:ascii="Times New Roman" w:eastAsia="仿宋"/>
          <w:sz w:val="28"/>
          <w:szCs w:val="28"/>
        </w:rPr>
        <w:t>月</w:t>
      </w:r>
      <w:r>
        <w:rPr>
          <w:rFonts w:ascii="Times New Roman" w:eastAsia="仿宋"/>
          <w:sz w:val="28"/>
          <w:szCs w:val="28"/>
        </w:rPr>
        <w:t>14</w:t>
      </w:r>
      <w:r>
        <w:rPr>
          <w:rFonts w:hint="eastAsia" w:ascii="Times New Roman" w:eastAsia="仿宋"/>
          <w:sz w:val="28"/>
          <w:szCs w:val="28"/>
        </w:rPr>
        <w:t>日对项目所在地及杨桥村进行大气实测（检测报告编号：E</w:t>
      </w:r>
      <w:r>
        <w:rPr>
          <w:rFonts w:ascii="Times New Roman" w:eastAsia="仿宋"/>
          <w:sz w:val="28"/>
          <w:szCs w:val="28"/>
        </w:rPr>
        <w:t>2410043-2</w:t>
      </w:r>
      <w:r>
        <w:rPr>
          <w:rFonts w:hint="eastAsia" w:ascii="Times New Roman" w:eastAsia="仿宋"/>
          <w:sz w:val="28"/>
          <w:szCs w:val="28"/>
        </w:rPr>
        <w:t>），其中非甲烷总烃、二甲苯、氮氧化物连续监测7天，每天4次，每次采样时间不少于45min，并按规范进行了分析；</w:t>
      </w:r>
    </w:p>
    <w:p w14:paraId="69ACF287">
      <w:pPr>
        <w:pStyle w:val="170"/>
        <w:spacing w:line="500" w:lineRule="exact"/>
        <w:ind w:firstLine="560" w:firstLineChars="200"/>
        <w:jc w:val="left"/>
        <w:rPr>
          <w:rFonts w:ascii="Times New Roman" w:eastAsia="仿宋"/>
          <w:sz w:val="28"/>
          <w:szCs w:val="28"/>
        </w:rPr>
      </w:pPr>
      <w:r>
        <w:rPr>
          <w:rFonts w:hint="eastAsia" w:ascii="Times New Roman" w:eastAsia="仿宋"/>
          <w:sz w:val="28"/>
          <w:szCs w:val="28"/>
        </w:rPr>
        <w:t>（1）</w:t>
      </w:r>
      <w:r>
        <w:rPr>
          <w:rFonts w:ascii="Times New Roman" w:eastAsia="仿宋"/>
          <w:sz w:val="28"/>
          <w:szCs w:val="28"/>
        </w:rPr>
        <w:t>监测点的设置</w:t>
      </w:r>
    </w:p>
    <w:p w14:paraId="2D3A4535">
      <w:pPr>
        <w:spacing w:line="500" w:lineRule="exact"/>
        <w:ind w:firstLine="560" w:firstLineChars="200"/>
        <w:rPr>
          <w:rFonts w:ascii="Times New Roman" w:eastAsia="仿宋"/>
          <w:kern w:val="2"/>
          <w:sz w:val="28"/>
          <w:szCs w:val="28"/>
        </w:rPr>
      </w:pPr>
      <w:r>
        <w:rPr>
          <w:rFonts w:ascii="Times New Roman" w:eastAsia="仿宋"/>
          <w:kern w:val="2"/>
          <w:sz w:val="28"/>
          <w:szCs w:val="28"/>
        </w:rPr>
        <w:t>本项目于项目所在地</w:t>
      </w:r>
      <w:r>
        <w:rPr>
          <w:rFonts w:hint="eastAsia" w:ascii="Times New Roman" w:eastAsia="仿宋"/>
          <w:kern w:val="2"/>
          <w:sz w:val="28"/>
          <w:szCs w:val="28"/>
        </w:rPr>
        <w:t>及杨桥村</w:t>
      </w:r>
      <w:r>
        <w:rPr>
          <w:rFonts w:ascii="Times New Roman" w:eastAsia="仿宋"/>
          <w:kern w:val="2"/>
          <w:sz w:val="28"/>
          <w:szCs w:val="28"/>
        </w:rPr>
        <w:t>共布设2个大气监测点，监测时间：</w:t>
      </w:r>
      <w:r>
        <w:rPr>
          <w:rFonts w:hint="eastAsia" w:ascii="Times New Roman" w:eastAsia="仿宋"/>
          <w:kern w:val="2"/>
          <w:sz w:val="28"/>
          <w:szCs w:val="28"/>
        </w:rPr>
        <w:t>202</w:t>
      </w:r>
      <w:r>
        <w:rPr>
          <w:rFonts w:ascii="Times New Roman" w:eastAsia="仿宋"/>
          <w:kern w:val="2"/>
          <w:sz w:val="28"/>
          <w:szCs w:val="28"/>
        </w:rPr>
        <w:t>4</w:t>
      </w:r>
      <w:r>
        <w:rPr>
          <w:rFonts w:hint="eastAsia" w:ascii="Times New Roman" w:eastAsia="仿宋"/>
          <w:kern w:val="2"/>
          <w:sz w:val="28"/>
          <w:szCs w:val="28"/>
        </w:rPr>
        <w:t>年</w:t>
      </w:r>
      <w:r>
        <w:rPr>
          <w:rFonts w:ascii="Times New Roman" w:eastAsia="仿宋"/>
          <w:kern w:val="2"/>
          <w:sz w:val="28"/>
          <w:szCs w:val="28"/>
        </w:rPr>
        <w:t>10</w:t>
      </w:r>
      <w:r>
        <w:rPr>
          <w:rFonts w:hint="eastAsia" w:ascii="Times New Roman" w:eastAsia="仿宋"/>
          <w:kern w:val="2"/>
          <w:sz w:val="28"/>
          <w:szCs w:val="28"/>
        </w:rPr>
        <w:t>月</w:t>
      </w:r>
      <w:r>
        <w:rPr>
          <w:rFonts w:ascii="Times New Roman" w:eastAsia="仿宋"/>
          <w:kern w:val="2"/>
          <w:sz w:val="28"/>
          <w:szCs w:val="28"/>
        </w:rPr>
        <w:t>8</w:t>
      </w:r>
      <w:r>
        <w:rPr>
          <w:rFonts w:hint="eastAsia" w:ascii="Times New Roman" w:eastAsia="仿宋"/>
          <w:kern w:val="2"/>
          <w:sz w:val="28"/>
          <w:szCs w:val="28"/>
        </w:rPr>
        <w:t>日至202</w:t>
      </w:r>
      <w:r>
        <w:rPr>
          <w:rFonts w:ascii="Times New Roman" w:eastAsia="仿宋"/>
          <w:kern w:val="2"/>
          <w:sz w:val="28"/>
          <w:szCs w:val="28"/>
        </w:rPr>
        <w:t>4</w:t>
      </w:r>
      <w:r>
        <w:rPr>
          <w:rFonts w:hint="eastAsia" w:ascii="Times New Roman" w:eastAsia="仿宋"/>
          <w:kern w:val="2"/>
          <w:sz w:val="28"/>
          <w:szCs w:val="28"/>
        </w:rPr>
        <w:t>年</w:t>
      </w:r>
      <w:r>
        <w:rPr>
          <w:rFonts w:ascii="Times New Roman" w:eastAsia="仿宋"/>
          <w:kern w:val="2"/>
          <w:sz w:val="28"/>
          <w:szCs w:val="28"/>
        </w:rPr>
        <w:t>10</w:t>
      </w:r>
      <w:r>
        <w:rPr>
          <w:rFonts w:hint="eastAsia" w:ascii="Times New Roman" w:eastAsia="仿宋"/>
          <w:kern w:val="2"/>
          <w:sz w:val="28"/>
          <w:szCs w:val="28"/>
        </w:rPr>
        <w:t>月</w:t>
      </w:r>
      <w:r>
        <w:rPr>
          <w:rFonts w:ascii="Times New Roman" w:eastAsia="仿宋"/>
          <w:kern w:val="2"/>
          <w:sz w:val="28"/>
          <w:szCs w:val="28"/>
        </w:rPr>
        <w:t>14</w:t>
      </w:r>
      <w:r>
        <w:rPr>
          <w:rFonts w:hint="eastAsia" w:ascii="Times New Roman" w:eastAsia="仿宋"/>
          <w:kern w:val="2"/>
          <w:sz w:val="28"/>
          <w:szCs w:val="28"/>
        </w:rPr>
        <w:t>日</w:t>
      </w:r>
      <w:r>
        <w:rPr>
          <w:rFonts w:ascii="Times New Roman" w:eastAsia="仿宋"/>
          <w:kern w:val="2"/>
          <w:sz w:val="28"/>
          <w:szCs w:val="28"/>
        </w:rPr>
        <w:t>，监测点位置见图</w:t>
      </w:r>
      <w:r>
        <w:rPr>
          <w:rFonts w:hint="eastAsia" w:ascii="Times New Roman" w:eastAsia="仿宋"/>
          <w:kern w:val="2"/>
          <w:sz w:val="28"/>
          <w:szCs w:val="28"/>
        </w:rPr>
        <w:t>4</w:t>
      </w:r>
      <w:r>
        <w:rPr>
          <w:rFonts w:ascii="Times New Roman" w:eastAsia="仿宋"/>
          <w:kern w:val="2"/>
          <w:sz w:val="28"/>
          <w:szCs w:val="28"/>
        </w:rPr>
        <w:t>.</w:t>
      </w:r>
      <w:r>
        <w:rPr>
          <w:rFonts w:hint="eastAsia" w:ascii="Times New Roman" w:eastAsia="仿宋"/>
          <w:kern w:val="2"/>
          <w:sz w:val="28"/>
          <w:szCs w:val="28"/>
        </w:rPr>
        <w:t>2</w:t>
      </w:r>
      <w:r>
        <w:rPr>
          <w:rFonts w:ascii="Times New Roman" w:eastAsia="仿宋"/>
          <w:kern w:val="2"/>
          <w:sz w:val="28"/>
          <w:szCs w:val="28"/>
        </w:rPr>
        <w:t>-1。</w:t>
      </w:r>
    </w:p>
    <w:p w14:paraId="728A34F4">
      <w:pPr>
        <w:spacing w:line="500" w:lineRule="exact"/>
        <w:ind w:firstLine="560" w:firstLineChars="200"/>
        <w:rPr>
          <w:rFonts w:ascii="Times New Roman" w:eastAsia="仿宋"/>
          <w:sz w:val="28"/>
          <w:szCs w:val="28"/>
        </w:rPr>
      </w:pPr>
      <w:r>
        <w:rPr>
          <w:rFonts w:ascii="Times New Roman" w:eastAsia="仿宋"/>
          <w:sz w:val="28"/>
          <w:szCs w:val="28"/>
        </w:rPr>
        <w:t>本项目大气评价等级为二级，现状监测期间，监测点位于厂址及主导风向下风向5km范围内，监测数据时效为3年内</w:t>
      </w:r>
      <w:r>
        <w:rPr>
          <w:rFonts w:hint="eastAsia" w:ascii="Times New Roman" w:eastAsia="仿宋"/>
          <w:sz w:val="28"/>
          <w:szCs w:val="28"/>
        </w:rPr>
        <w:t>，</w:t>
      </w:r>
      <w:r>
        <w:rPr>
          <w:rFonts w:ascii="Times New Roman" w:eastAsia="仿宋"/>
          <w:sz w:val="28"/>
          <w:szCs w:val="28"/>
        </w:rPr>
        <w:t>监测方法符合环境影响评价大气导则要求</w:t>
      </w:r>
      <w:r>
        <w:rPr>
          <w:rFonts w:hint="eastAsia" w:ascii="Times New Roman" w:eastAsia="仿宋"/>
          <w:sz w:val="28"/>
          <w:szCs w:val="28"/>
        </w:rPr>
        <w:t>。本项目大气监测数据有效。</w:t>
      </w:r>
    </w:p>
    <w:p w14:paraId="3982ACA1">
      <w:pPr>
        <w:pStyle w:val="3"/>
        <w:spacing w:after="0" w:line="500" w:lineRule="exact"/>
        <w:ind w:left="0" w:leftChars="0"/>
        <w:jc w:val="center"/>
        <w:rPr>
          <w:rFonts w:eastAsia="仿宋"/>
          <w:b/>
        </w:rPr>
      </w:pPr>
      <w:r>
        <w:rPr>
          <w:rFonts w:hint="eastAsia" w:eastAsia="仿宋"/>
          <w:b/>
        </w:rPr>
        <w:t>表</w:t>
      </w:r>
      <w:r>
        <w:rPr>
          <w:rFonts w:eastAsia="仿宋"/>
          <w:b/>
        </w:rPr>
        <w:t>4.2-2   大气监测点位表</w:t>
      </w:r>
    </w:p>
    <w:tbl>
      <w:tblPr>
        <w:tblStyle w:val="87"/>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149"/>
        <w:gridCol w:w="1560"/>
        <w:gridCol w:w="2504"/>
        <w:gridCol w:w="850"/>
        <w:gridCol w:w="992"/>
        <w:gridCol w:w="1647"/>
      </w:tblGrid>
      <w:tr w14:paraId="73F5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4C1BCBBE">
            <w:pPr>
              <w:spacing w:line="360" w:lineRule="exact"/>
              <w:jc w:val="center"/>
              <w:rPr>
                <w:rFonts w:ascii="Times New Roman" w:eastAsia="仿宋"/>
                <w:szCs w:val="21"/>
              </w:rPr>
            </w:pPr>
            <w:r>
              <w:rPr>
                <w:rFonts w:ascii="Times New Roman" w:eastAsia="仿宋"/>
                <w:szCs w:val="21"/>
              </w:rPr>
              <w:t>编号</w:t>
            </w:r>
          </w:p>
        </w:tc>
        <w:tc>
          <w:tcPr>
            <w:tcW w:w="1149" w:type="dxa"/>
            <w:tcBorders>
              <w:tl2br w:val="nil"/>
              <w:tr2bl w:val="nil"/>
            </w:tcBorders>
            <w:vAlign w:val="center"/>
          </w:tcPr>
          <w:p w14:paraId="48335652">
            <w:pPr>
              <w:spacing w:line="360" w:lineRule="exact"/>
              <w:jc w:val="center"/>
              <w:rPr>
                <w:rFonts w:ascii="Times New Roman" w:eastAsia="仿宋"/>
                <w:szCs w:val="21"/>
              </w:rPr>
            </w:pPr>
            <w:r>
              <w:rPr>
                <w:rFonts w:ascii="Times New Roman" w:eastAsia="仿宋"/>
                <w:szCs w:val="21"/>
              </w:rPr>
              <w:t>位置</w:t>
            </w:r>
          </w:p>
        </w:tc>
        <w:tc>
          <w:tcPr>
            <w:tcW w:w="1560" w:type="dxa"/>
            <w:tcBorders>
              <w:tl2br w:val="nil"/>
              <w:tr2bl w:val="nil"/>
            </w:tcBorders>
            <w:vAlign w:val="center"/>
          </w:tcPr>
          <w:p w14:paraId="6222FF92">
            <w:pPr>
              <w:spacing w:line="360" w:lineRule="exact"/>
              <w:jc w:val="center"/>
              <w:rPr>
                <w:rFonts w:ascii="Times New Roman" w:eastAsia="仿宋"/>
                <w:szCs w:val="21"/>
              </w:rPr>
            </w:pPr>
            <w:r>
              <w:rPr>
                <w:rFonts w:ascii="Times New Roman" w:eastAsia="仿宋"/>
                <w:szCs w:val="21"/>
              </w:rPr>
              <w:t>监测因子</w:t>
            </w:r>
          </w:p>
        </w:tc>
        <w:tc>
          <w:tcPr>
            <w:tcW w:w="2504" w:type="dxa"/>
            <w:tcBorders>
              <w:tl2br w:val="nil"/>
              <w:tr2bl w:val="nil"/>
            </w:tcBorders>
            <w:vAlign w:val="center"/>
          </w:tcPr>
          <w:p w14:paraId="6A439CCE">
            <w:pPr>
              <w:spacing w:line="360" w:lineRule="exact"/>
              <w:jc w:val="center"/>
              <w:rPr>
                <w:rFonts w:ascii="Times New Roman" w:eastAsia="仿宋"/>
                <w:szCs w:val="21"/>
              </w:rPr>
            </w:pPr>
            <w:r>
              <w:rPr>
                <w:rFonts w:ascii="Times New Roman" w:eastAsia="仿宋"/>
                <w:szCs w:val="21"/>
              </w:rPr>
              <w:t>监测时间及数据来源</w:t>
            </w:r>
          </w:p>
        </w:tc>
        <w:tc>
          <w:tcPr>
            <w:tcW w:w="850" w:type="dxa"/>
            <w:tcBorders>
              <w:tl2br w:val="nil"/>
              <w:tr2bl w:val="nil"/>
            </w:tcBorders>
            <w:vAlign w:val="center"/>
          </w:tcPr>
          <w:p w14:paraId="34D71CD4">
            <w:pPr>
              <w:spacing w:line="360" w:lineRule="exact"/>
              <w:jc w:val="center"/>
              <w:rPr>
                <w:rFonts w:ascii="Times New Roman" w:eastAsia="仿宋"/>
                <w:szCs w:val="21"/>
              </w:rPr>
            </w:pPr>
            <w:r>
              <w:rPr>
                <w:rFonts w:ascii="Times New Roman" w:eastAsia="仿宋"/>
                <w:szCs w:val="21"/>
              </w:rPr>
              <w:t>相对厂址方位</w:t>
            </w:r>
          </w:p>
        </w:tc>
        <w:tc>
          <w:tcPr>
            <w:tcW w:w="992" w:type="dxa"/>
            <w:tcBorders>
              <w:tl2br w:val="nil"/>
              <w:tr2bl w:val="nil"/>
            </w:tcBorders>
            <w:vAlign w:val="center"/>
          </w:tcPr>
          <w:p w14:paraId="23B08937">
            <w:pPr>
              <w:spacing w:line="360" w:lineRule="exact"/>
              <w:jc w:val="center"/>
              <w:rPr>
                <w:rFonts w:ascii="Times New Roman" w:eastAsia="仿宋"/>
                <w:szCs w:val="21"/>
              </w:rPr>
            </w:pPr>
            <w:r>
              <w:rPr>
                <w:rFonts w:ascii="Times New Roman" w:eastAsia="仿宋"/>
                <w:szCs w:val="21"/>
              </w:rPr>
              <w:t>相对厂界距离（m）</w:t>
            </w:r>
          </w:p>
        </w:tc>
        <w:tc>
          <w:tcPr>
            <w:tcW w:w="1647" w:type="dxa"/>
            <w:tcBorders>
              <w:tl2br w:val="nil"/>
              <w:tr2bl w:val="nil"/>
            </w:tcBorders>
            <w:vAlign w:val="center"/>
          </w:tcPr>
          <w:p w14:paraId="359B5506">
            <w:pPr>
              <w:spacing w:line="360" w:lineRule="exact"/>
              <w:jc w:val="center"/>
              <w:rPr>
                <w:rFonts w:ascii="Times New Roman" w:eastAsia="仿宋"/>
                <w:szCs w:val="21"/>
              </w:rPr>
            </w:pPr>
            <w:r>
              <w:rPr>
                <w:rFonts w:ascii="Times New Roman" w:eastAsia="仿宋"/>
                <w:szCs w:val="21"/>
              </w:rPr>
              <w:t>监测频次</w:t>
            </w:r>
          </w:p>
        </w:tc>
      </w:tr>
      <w:tr w14:paraId="4692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vMerge w:val="restart"/>
            <w:tcBorders>
              <w:tl2br w:val="nil"/>
              <w:tr2bl w:val="nil"/>
            </w:tcBorders>
            <w:vAlign w:val="center"/>
          </w:tcPr>
          <w:p w14:paraId="0B442E4F">
            <w:pPr>
              <w:spacing w:line="360" w:lineRule="exact"/>
              <w:jc w:val="center"/>
              <w:rPr>
                <w:rFonts w:ascii="Times New Roman" w:eastAsia="仿宋"/>
                <w:szCs w:val="21"/>
              </w:rPr>
            </w:pPr>
            <w:r>
              <w:rPr>
                <w:rFonts w:ascii="Times New Roman" w:eastAsia="仿宋"/>
                <w:szCs w:val="21"/>
              </w:rPr>
              <w:t>G1</w:t>
            </w:r>
          </w:p>
        </w:tc>
        <w:tc>
          <w:tcPr>
            <w:tcW w:w="1149" w:type="dxa"/>
            <w:vMerge w:val="restart"/>
            <w:tcBorders>
              <w:tl2br w:val="nil"/>
              <w:tr2bl w:val="nil"/>
            </w:tcBorders>
            <w:vAlign w:val="center"/>
          </w:tcPr>
          <w:p w14:paraId="18B8E9D2">
            <w:pPr>
              <w:spacing w:line="360" w:lineRule="exact"/>
              <w:jc w:val="center"/>
              <w:rPr>
                <w:rFonts w:ascii="Times New Roman" w:eastAsia="仿宋"/>
                <w:szCs w:val="21"/>
              </w:rPr>
            </w:pPr>
            <w:r>
              <w:rPr>
                <w:rFonts w:hint="eastAsia" w:ascii="Times New Roman" w:eastAsia="仿宋"/>
                <w:szCs w:val="21"/>
              </w:rPr>
              <w:t>项目</w:t>
            </w:r>
            <w:r>
              <w:rPr>
                <w:rFonts w:ascii="Times New Roman" w:eastAsia="仿宋"/>
                <w:szCs w:val="21"/>
              </w:rPr>
              <w:t>所在地</w:t>
            </w:r>
          </w:p>
        </w:tc>
        <w:tc>
          <w:tcPr>
            <w:tcW w:w="1560" w:type="dxa"/>
            <w:tcBorders>
              <w:tl2br w:val="nil"/>
              <w:tr2bl w:val="nil"/>
            </w:tcBorders>
            <w:vAlign w:val="center"/>
          </w:tcPr>
          <w:p w14:paraId="3F36104A">
            <w:pPr>
              <w:spacing w:line="360" w:lineRule="exact"/>
              <w:jc w:val="center"/>
              <w:rPr>
                <w:rFonts w:ascii="Times New Roman" w:eastAsia="仿宋"/>
                <w:szCs w:val="21"/>
              </w:rPr>
            </w:pPr>
            <w:r>
              <w:rPr>
                <w:rFonts w:hint="eastAsia" w:ascii="Times New Roman" w:eastAsia="仿宋"/>
                <w:szCs w:val="21"/>
              </w:rPr>
              <w:t>非甲烷总烃</w:t>
            </w:r>
          </w:p>
        </w:tc>
        <w:tc>
          <w:tcPr>
            <w:tcW w:w="2504" w:type="dxa"/>
            <w:vMerge w:val="restart"/>
            <w:tcBorders>
              <w:tl2br w:val="nil"/>
              <w:tr2bl w:val="nil"/>
            </w:tcBorders>
            <w:vAlign w:val="center"/>
          </w:tcPr>
          <w:p w14:paraId="11994050">
            <w:pPr>
              <w:spacing w:line="360" w:lineRule="exact"/>
              <w:jc w:val="center"/>
              <w:rPr>
                <w:rFonts w:ascii="Times New Roman" w:eastAsia="仿宋"/>
                <w:szCs w:val="21"/>
              </w:rPr>
            </w:pPr>
            <w:r>
              <w:rPr>
                <w:rFonts w:hint="eastAsia" w:ascii="Times New Roman" w:eastAsia="仿宋"/>
                <w:szCs w:val="21"/>
              </w:rPr>
              <w:t>实测</w:t>
            </w:r>
            <w:r>
              <w:rPr>
                <w:rFonts w:ascii="Times New Roman" w:eastAsia="仿宋"/>
                <w:szCs w:val="21"/>
              </w:rPr>
              <w:t>报告：</w:t>
            </w:r>
            <w:r>
              <w:rPr>
                <w:rFonts w:hint="eastAsia" w:ascii="Times New Roman" w:eastAsia="仿宋"/>
                <w:szCs w:val="21"/>
              </w:rPr>
              <w:t>常州苏测环境检测有限公司，202</w:t>
            </w:r>
            <w:r>
              <w:rPr>
                <w:rFonts w:ascii="Times New Roman" w:eastAsia="仿宋"/>
                <w:szCs w:val="21"/>
              </w:rPr>
              <w:t>4</w:t>
            </w:r>
            <w:r>
              <w:rPr>
                <w:rFonts w:hint="eastAsia" w:ascii="Times New Roman" w:eastAsia="仿宋"/>
                <w:szCs w:val="21"/>
              </w:rPr>
              <w:t>.1</w:t>
            </w:r>
            <w:r>
              <w:rPr>
                <w:rFonts w:ascii="Times New Roman" w:eastAsia="仿宋"/>
                <w:szCs w:val="21"/>
              </w:rPr>
              <w:t>0</w:t>
            </w:r>
            <w:r>
              <w:rPr>
                <w:rFonts w:hint="eastAsia" w:ascii="Times New Roman" w:eastAsia="仿宋"/>
                <w:szCs w:val="21"/>
              </w:rPr>
              <w:t>.</w:t>
            </w:r>
            <w:r>
              <w:rPr>
                <w:rFonts w:ascii="Times New Roman" w:eastAsia="仿宋"/>
                <w:szCs w:val="21"/>
              </w:rPr>
              <w:t>8</w:t>
            </w:r>
            <w:r>
              <w:rPr>
                <w:rFonts w:hint="eastAsia" w:ascii="Times New Roman" w:eastAsia="仿宋"/>
                <w:szCs w:val="21"/>
              </w:rPr>
              <w:t>~202</w:t>
            </w:r>
            <w:r>
              <w:rPr>
                <w:rFonts w:ascii="Times New Roman" w:eastAsia="仿宋"/>
                <w:szCs w:val="21"/>
              </w:rPr>
              <w:t>4</w:t>
            </w:r>
            <w:r>
              <w:rPr>
                <w:rFonts w:hint="eastAsia" w:ascii="Times New Roman" w:eastAsia="仿宋"/>
                <w:szCs w:val="21"/>
              </w:rPr>
              <w:t>.1</w:t>
            </w:r>
            <w:r>
              <w:rPr>
                <w:rFonts w:ascii="Times New Roman" w:eastAsia="仿宋"/>
                <w:szCs w:val="21"/>
              </w:rPr>
              <w:t>0</w:t>
            </w:r>
            <w:r>
              <w:rPr>
                <w:rFonts w:hint="eastAsia" w:ascii="Times New Roman" w:eastAsia="仿宋"/>
                <w:szCs w:val="21"/>
              </w:rPr>
              <w:t>.1</w:t>
            </w:r>
            <w:r>
              <w:rPr>
                <w:rFonts w:ascii="Times New Roman" w:eastAsia="仿宋"/>
                <w:szCs w:val="21"/>
              </w:rPr>
              <w:t>4</w:t>
            </w:r>
          </w:p>
        </w:tc>
        <w:tc>
          <w:tcPr>
            <w:tcW w:w="850" w:type="dxa"/>
            <w:vMerge w:val="restart"/>
            <w:tcBorders>
              <w:tl2br w:val="nil"/>
              <w:tr2bl w:val="nil"/>
            </w:tcBorders>
            <w:vAlign w:val="center"/>
          </w:tcPr>
          <w:p w14:paraId="4C6791C1">
            <w:pPr>
              <w:spacing w:line="360" w:lineRule="exact"/>
              <w:jc w:val="center"/>
              <w:rPr>
                <w:rFonts w:ascii="Times New Roman" w:eastAsia="仿宋"/>
                <w:szCs w:val="21"/>
              </w:rPr>
            </w:pPr>
            <w:r>
              <w:rPr>
                <w:rFonts w:hint="eastAsia" w:ascii="Times New Roman" w:eastAsia="仿宋"/>
                <w:szCs w:val="21"/>
              </w:rPr>
              <w:t>/</w:t>
            </w:r>
          </w:p>
        </w:tc>
        <w:tc>
          <w:tcPr>
            <w:tcW w:w="992" w:type="dxa"/>
            <w:vMerge w:val="restart"/>
            <w:tcBorders>
              <w:tl2br w:val="nil"/>
              <w:tr2bl w:val="nil"/>
            </w:tcBorders>
            <w:vAlign w:val="center"/>
          </w:tcPr>
          <w:p w14:paraId="35A50CBE">
            <w:pPr>
              <w:spacing w:line="360" w:lineRule="exact"/>
              <w:jc w:val="center"/>
              <w:rPr>
                <w:rFonts w:ascii="Times New Roman" w:eastAsia="仿宋"/>
                <w:szCs w:val="21"/>
              </w:rPr>
            </w:pPr>
            <w:r>
              <w:rPr>
                <w:rFonts w:hint="eastAsia" w:ascii="Times New Roman" w:eastAsia="仿宋"/>
                <w:szCs w:val="21"/>
              </w:rPr>
              <w:t>/</w:t>
            </w:r>
          </w:p>
        </w:tc>
        <w:tc>
          <w:tcPr>
            <w:tcW w:w="1647" w:type="dxa"/>
            <w:vMerge w:val="restart"/>
            <w:tcBorders>
              <w:tl2br w:val="nil"/>
              <w:tr2bl w:val="nil"/>
            </w:tcBorders>
            <w:vAlign w:val="center"/>
          </w:tcPr>
          <w:p w14:paraId="270B00DD">
            <w:pPr>
              <w:spacing w:line="360" w:lineRule="exact"/>
              <w:jc w:val="center"/>
              <w:rPr>
                <w:rFonts w:ascii="Times New Roman" w:eastAsia="仿宋"/>
                <w:szCs w:val="21"/>
              </w:rPr>
            </w:pPr>
            <w:r>
              <w:rPr>
                <w:rFonts w:ascii="Times New Roman" w:eastAsia="仿宋"/>
                <w:szCs w:val="21"/>
              </w:rPr>
              <w:t>连续监测7天，每天4次，每次采样时间不少于45min</w:t>
            </w:r>
          </w:p>
        </w:tc>
      </w:tr>
      <w:tr w14:paraId="555A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vMerge w:val="continue"/>
            <w:tcBorders>
              <w:tl2br w:val="nil"/>
              <w:tr2bl w:val="nil"/>
            </w:tcBorders>
            <w:vAlign w:val="center"/>
          </w:tcPr>
          <w:p w14:paraId="02AA51D3">
            <w:pPr>
              <w:spacing w:line="360" w:lineRule="exact"/>
              <w:jc w:val="center"/>
              <w:rPr>
                <w:rFonts w:ascii="Times New Roman" w:eastAsia="仿宋"/>
                <w:szCs w:val="21"/>
              </w:rPr>
            </w:pPr>
          </w:p>
        </w:tc>
        <w:tc>
          <w:tcPr>
            <w:tcW w:w="1149" w:type="dxa"/>
            <w:vMerge w:val="continue"/>
            <w:tcBorders>
              <w:tl2br w:val="nil"/>
              <w:tr2bl w:val="nil"/>
            </w:tcBorders>
            <w:vAlign w:val="center"/>
          </w:tcPr>
          <w:p w14:paraId="16EEE429">
            <w:pPr>
              <w:spacing w:line="360" w:lineRule="exact"/>
              <w:jc w:val="center"/>
              <w:rPr>
                <w:rFonts w:ascii="Times New Roman" w:eastAsia="仿宋"/>
                <w:szCs w:val="21"/>
              </w:rPr>
            </w:pPr>
          </w:p>
        </w:tc>
        <w:tc>
          <w:tcPr>
            <w:tcW w:w="1560" w:type="dxa"/>
            <w:tcBorders>
              <w:tl2br w:val="nil"/>
              <w:tr2bl w:val="nil"/>
            </w:tcBorders>
            <w:vAlign w:val="center"/>
          </w:tcPr>
          <w:p w14:paraId="0067FDCA">
            <w:pPr>
              <w:spacing w:line="360" w:lineRule="exact"/>
              <w:jc w:val="center"/>
              <w:rPr>
                <w:rFonts w:ascii="Times New Roman" w:eastAsia="仿宋"/>
                <w:szCs w:val="21"/>
              </w:rPr>
            </w:pPr>
            <w:r>
              <w:rPr>
                <w:rFonts w:hint="eastAsia" w:ascii="Times New Roman" w:eastAsia="仿宋"/>
                <w:szCs w:val="21"/>
              </w:rPr>
              <w:t>二甲苯</w:t>
            </w:r>
          </w:p>
        </w:tc>
        <w:tc>
          <w:tcPr>
            <w:tcW w:w="2504" w:type="dxa"/>
            <w:vMerge w:val="continue"/>
            <w:tcBorders>
              <w:tl2br w:val="nil"/>
              <w:tr2bl w:val="nil"/>
            </w:tcBorders>
            <w:vAlign w:val="center"/>
          </w:tcPr>
          <w:p w14:paraId="33D843E0">
            <w:pPr>
              <w:spacing w:line="360" w:lineRule="exact"/>
              <w:jc w:val="center"/>
              <w:rPr>
                <w:rFonts w:ascii="Times New Roman" w:eastAsia="仿宋"/>
                <w:szCs w:val="21"/>
              </w:rPr>
            </w:pPr>
          </w:p>
        </w:tc>
        <w:tc>
          <w:tcPr>
            <w:tcW w:w="850" w:type="dxa"/>
            <w:vMerge w:val="continue"/>
            <w:tcBorders>
              <w:tl2br w:val="nil"/>
              <w:tr2bl w:val="nil"/>
            </w:tcBorders>
            <w:vAlign w:val="center"/>
          </w:tcPr>
          <w:p w14:paraId="005411EE">
            <w:pPr>
              <w:spacing w:line="360" w:lineRule="exact"/>
              <w:jc w:val="center"/>
              <w:rPr>
                <w:rFonts w:ascii="Times New Roman" w:eastAsia="仿宋"/>
                <w:szCs w:val="21"/>
              </w:rPr>
            </w:pPr>
          </w:p>
        </w:tc>
        <w:tc>
          <w:tcPr>
            <w:tcW w:w="992" w:type="dxa"/>
            <w:vMerge w:val="continue"/>
            <w:tcBorders>
              <w:tl2br w:val="nil"/>
              <w:tr2bl w:val="nil"/>
            </w:tcBorders>
            <w:vAlign w:val="center"/>
          </w:tcPr>
          <w:p w14:paraId="5DCD12E4">
            <w:pPr>
              <w:spacing w:line="360" w:lineRule="exact"/>
              <w:jc w:val="center"/>
              <w:rPr>
                <w:rFonts w:ascii="Times New Roman" w:eastAsia="仿宋"/>
                <w:szCs w:val="21"/>
              </w:rPr>
            </w:pPr>
          </w:p>
        </w:tc>
        <w:tc>
          <w:tcPr>
            <w:tcW w:w="1647" w:type="dxa"/>
            <w:vMerge w:val="continue"/>
            <w:tcBorders>
              <w:tl2br w:val="nil"/>
              <w:tr2bl w:val="nil"/>
            </w:tcBorders>
            <w:vAlign w:val="center"/>
          </w:tcPr>
          <w:p w14:paraId="655D6C03">
            <w:pPr>
              <w:spacing w:line="360" w:lineRule="exact"/>
              <w:jc w:val="center"/>
              <w:rPr>
                <w:rFonts w:ascii="Times New Roman" w:eastAsia="仿宋"/>
                <w:szCs w:val="21"/>
              </w:rPr>
            </w:pPr>
          </w:p>
        </w:tc>
      </w:tr>
      <w:tr w14:paraId="5144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vMerge w:val="continue"/>
            <w:tcBorders>
              <w:tl2br w:val="nil"/>
              <w:tr2bl w:val="nil"/>
            </w:tcBorders>
            <w:vAlign w:val="center"/>
          </w:tcPr>
          <w:p w14:paraId="193E3BEF">
            <w:pPr>
              <w:spacing w:line="360" w:lineRule="exact"/>
              <w:jc w:val="center"/>
              <w:rPr>
                <w:rFonts w:ascii="Times New Roman" w:eastAsia="仿宋"/>
                <w:szCs w:val="21"/>
              </w:rPr>
            </w:pPr>
          </w:p>
        </w:tc>
        <w:tc>
          <w:tcPr>
            <w:tcW w:w="1149" w:type="dxa"/>
            <w:vMerge w:val="continue"/>
            <w:tcBorders>
              <w:tl2br w:val="nil"/>
              <w:tr2bl w:val="nil"/>
            </w:tcBorders>
            <w:vAlign w:val="center"/>
          </w:tcPr>
          <w:p w14:paraId="4FEBFBBB">
            <w:pPr>
              <w:spacing w:line="360" w:lineRule="exact"/>
              <w:jc w:val="center"/>
              <w:rPr>
                <w:rFonts w:ascii="Times New Roman" w:eastAsia="仿宋"/>
                <w:szCs w:val="21"/>
              </w:rPr>
            </w:pPr>
          </w:p>
        </w:tc>
        <w:tc>
          <w:tcPr>
            <w:tcW w:w="1560" w:type="dxa"/>
            <w:tcBorders>
              <w:tl2br w:val="nil"/>
              <w:tr2bl w:val="nil"/>
            </w:tcBorders>
            <w:vAlign w:val="center"/>
          </w:tcPr>
          <w:p w14:paraId="59792A34">
            <w:pPr>
              <w:spacing w:line="360" w:lineRule="exact"/>
              <w:jc w:val="center"/>
              <w:rPr>
                <w:rFonts w:ascii="Times New Roman" w:eastAsia="仿宋"/>
                <w:szCs w:val="21"/>
              </w:rPr>
            </w:pPr>
            <w:r>
              <w:rPr>
                <w:rFonts w:hint="eastAsia" w:ascii="Times New Roman" w:eastAsia="仿宋"/>
                <w:szCs w:val="21"/>
              </w:rPr>
              <w:t>氮氧化物</w:t>
            </w:r>
          </w:p>
        </w:tc>
        <w:tc>
          <w:tcPr>
            <w:tcW w:w="2504" w:type="dxa"/>
            <w:vMerge w:val="continue"/>
            <w:tcBorders>
              <w:tl2br w:val="nil"/>
              <w:tr2bl w:val="nil"/>
            </w:tcBorders>
            <w:vAlign w:val="center"/>
          </w:tcPr>
          <w:p w14:paraId="5F825DC9">
            <w:pPr>
              <w:spacing w:line="360" w:lineRule="exact"/>
              <w:jc w:val="center"/>
              <w:rPr>
                <w:rFonts w:ascii="Times New Roman" w:eastAsia="仿宋"/>
                <w:szCs w:val="21"/>
              </w:rPr>
            </w:pPr>
          </w:p>
        </w:tc>
        <w:tc>
          <w:tcPr>
            <w:tcW w:w="850" w:type="dxa"/>
            <w:vMerge w:val="continue"/>
            <w:tcBorders>
              <w:tl2br w:val="nil"/>
              <w:tr2bl w:val="nil"/>
            </w:tcBorders>
            <w:vAlign w:val="center"/>
          </w:tcPr>
          <w:p w14:paraId="2473ECA1">
            <w:pPr>
              <w:spacing w:line="360" w:lineRule="exact"/>
              <w:jc w:val="center"/>
              <w:rPr>
                <w:rFonts w:ascii="Times New Roman" w:eastAsia="仿宋"/>
                <w:szCs w:val="21"/>
              </w:rPr>
            </w:pPr>
          </w:p>
        </w:tc>
        <w:tc>
          <w:tcPr>
            <w:tcW w:w="992" w:type="dxa"/>
            <w:vMerge w:val="continue"/>
            <w:tcBorders>
              <w:tl2br w:val="nil"/>
              <w:tr2bl w:val="nil"/>
            </w:tcBorders>
            <w:vAlign w:val="center"/>
          </w:tcPr>
          <w:p w14:paraId="1E37631F">
            <w:pPr>
              <w:spacing w:line="360" w:lineRule="exact"/>
              <w:jc w:val="center"/>
              <w:rPr>
                <w:rFonts w:ascii="Times New Roman" w:eastAsia="仿宋"/>
                <w:szCs w:val="21"/>
              </w:rPr>
            </w:pPr>
          </w:p>
        </w:tc>
        <w:tc>
          <w:tcPr>
            <w:tcW w:w="1647" w:type="dxa"/>
            <w:vMerge w:val="continue"/>
            <w:tcBorders>
              <w:tl2br w:val="nil"/>
              <w:tr2bl w:val="nil"/>
            </w:tcBorders>
            <w:vAlign w:val="center"/>
          </w:tcPr>
          <w:p w14:paraId="76597E00">
            <w:pPr>
              <w:spacing w:line="360" w:lineRule="exact"/>
              <w:jc w:val="center"/>
              <w:rPr>
                <w:rFonts w:ascii="Times New Roman" w:eastAsia="仿宋"/>
                <w:szCs w:val="21"/>
              </w:rPr>
            </w:pPr>
          </w:p>
        </w:tc>
      </w:tr>
      <w:tr w14:paraId="042F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0" w:type="auto"/>
            <w:vMerge w:val="restart"/>
            <w:tcBorders>
              <w:tl2br w:val="nil"/>
              <w:tr2bl w:val="nil"/>
            </w:tcBorders>
            <w:vAlign w:val="center"/>
          </w:tcPr>
          <w:p w14:paraId="450E1F73">
            <w:pPr>
              <w:spacing w:line="360" w:lineRule="exact"/>
              <w:jc w:val="center"/>
              <w:rPr>
                <w:rFonts w:ascii="Times New Roman" w:eastAsia="仿宋"/>
                <w:szCs w:val="21"/>
              </w:rPr>
            </w:pPr>
            <w:r>
              <w:rPr>
                <w:rFonts w:hint="eastAsia" w:ascii="Times New Roman" w:eastAsia="仿宋"/>
                <w:szCs w:val="21"/>
              </w:rPr>
              <w:t>G2</w:t>
            </w:r>
          </w:p>
        </w:tc>
        <w:tc>
          <w:tcPr>
            <w:tcW w:w="1149" w:type="dxa"/>
            <w:vMerge w:val="restart"/>
            <w:tcBorders>
              <w:tl2br w:val="nil"/>
              <w:tr2bl w:val="nil"/>
            </w:tcBorders>
            <w:vAlign w:val="center"/>
          </w:tcPr>
          <w:p w14:paraId="0F1F3838">
            <w:pPr>
              <w:spacing w:line="360" w:lineRule="exact"/>
              <w:jc w:val="center"/>
              <w:rPr>
                <w:rFonts w:ascii="Times New Roman" w:eastAsia="仿宋"/>
                <w:szCs w:val="21"/>
              </w:rPr>
            </w:pPr>
            <w:r>
              <w:rPr>
                <w:rFonts w:hint="eastAsia" w:ascii="Times New Roman" w:eastAsia="仿宋"/>
                <w:szCs w:val="21"/>
              </w:rPr>
              <w:t>杨桥村</w:t>
            </w:r>
          </w:p>
        </w:tc>
        <w:tc>
          <w:tcPr>
            <w:tcW w:w="1560" w:type="dxa"/>
            <w:tcBorders>
              <w:tl2br w:val="nil"/>
              <w:tr2bl w:val="nil"/>
            </w:tcBorders>
            <w:vAlign w:val="center"/>
          </w:tcPr>
          <w:p w14:paraId="3CE1E33E">
            <w:pPr>
              <w:spacing w:line="360" w:lineRule="exact"/>
              <w:jc w:val="center"/>
              <w:rPr>
                <w:rFonts w:ascii="Times New Roman" w:eastAsia="仿宋"/>
                <w:szCs w:val="21"/>
              </w:rPr>
            </w:pPr>
            <w:r>
              <w:rPr>
                <w:rFonts w:hint="eastAsia" w:ascii="Times New Roman" w:eastAsia="仿宋"/>
                <w:szCs w:val="21"/>
              </w:rPr>
              <w:t>非甲烷总烃</w:t>
            </w:r>
          </w:p>
        </w:tc>
        <w:tc>
          <w:tcPr>
            <w:tcW w:w="2504" w:type="dxa"/>
            <w:vMerge w:val="continue"/>
            <w:tcBorders>
              <w:tl2br w:val="nil"/>
              <w:tr2bl w:val="nil"/>
            </w:tcBorders>
            <w:vAlign w:val="center"/>
          </w:tcPr>
          <w:p w14:paraId="112B70F3">
            <w:pPr>
              <w:spacing w:line="360" w:lineRule="exact"/>
              <w:jc w:val="center"/>
              <w:rPr>
                <w:rFonts w:ascii="Times New Roman" w:eastAsia="仿宋"/>
                <w:szCs w:val="21"/>
              </w:rPr>
            </w:pPr>
          </w:p>
        </w:tc>
        <w:tc>
          <w:tcPr>
            <w:tcW w:w="850" w:type="dxa"/>
            <w:vMerge w:val="restart"/>
            <w:tcBorders>
              <w:tl2br w:val="nil"/>
              <w:tr2bl w:val="nil"/>
            </w:tcBorders>
            <w:vAlign w:val="center"/>
          </w:tcPr>
          <w:p w14:paraId="5E685B78">
            <w:pPr>
              <w:spacing w:line="360" w:lineRule="exact"/>
              <w:jc w:val="center"/>
              <w:rPr>
                <w:rFonts w:ascii="Times New Roman" w:eastAsia="仿宋"/>
                <w:szCs w:val="21"/>
              </w:rPr>
            </w:pPr>
            <w:r>
              <w:rPr>
                <w:rFonts w:hint="eastAsia" w:ascii="Times New Roman" w:eastAsia="仿宋"/>
                <w:szCs w:val="21"/>
              </w:rPr>
              <w:t>北</w:t>
            </w:r>
          </w:p>
        </w:tc>
        <w:tc>
          <w:tcPr>
            <w:tcW w:w="992" w:type="dxa"/>
            <w:vMerge w:val="restart"/>
            <w:tcBorders>
              <w:tl2br w:val="nil"/>
              <w:tr2bl w:val="nil"/>
            </w:tcBorders>
            <w:vAlign w:val="center"/>
          </w:tcPr>
          <w:p w14:paraId="784928A2">
            <w:pPr>
              <w:spacing w:line="360" w:lineRule="exact"/>
              <w:jc w:val="center"/>
              <w:rPr>
                <w:rFonts w:ascii="Times New Roman" w:eastAsia="仿宋"/>
                <w:szCs w:val="21"/>
              </w:rPr>
            </w:pPr>
            <w:r>
              <w:rPr>
                <w:rFonts w:ascii="Times New Roman" w:eastAsia="仿宋"/>
                <w:szCs w:val="21"/>
              </w:rPr>
              <w:t>1750</w:t>
            </w:r>
          </w:p>
        </w:tc>
        <w:tc>
          <w:tcPr>
            <w:tcW w:w="1647" w:type="dxa"/>
            <w:vMerge w:val="continue"/>
            <w:tcBorders>
              <w:tl2br w:val="nil"/>
              <w:tr2bl w:val="nil"/>
            </w:tcBorders>
            <w:vAlign w:val="center"/>
          </w:tcPr>
          <w:p w14:paraId="19E325ED">
            <w:pPr>
              <w:spacing w:line="240" w:lineRule="exact"/>
              <w:jc w:val="center"/>
              <w:rPr>
                <w:rFonts w:ascii="仿宋" w:hAnsi="仿宋" w:eastAsia="仿宋" w:cs="仿宋"/>
                <w:bCs/>
                <w:szCs w:val="21"/>
              </w:rPr>
            </w:pPr>
          </w:p>
        </w:tc>
      </w:tr>
      <w:tr w14:paraId="0DAE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0" w:type="auto"/>
            <w:vMerge w:val="continue"/>
            <w:tcBorders>
              <w:tl2br w:val="nil"/>
              <w:tr2bl w:val="nil"/>
            </w:tcBorders>
            <w:vAlign w:val="center"/>
          </w:tcPr>
          <w:p w14:paraId="66F03025">
            <w:pPr>
              <w:spacing w:line="360" w:lineRule="exact"/>
              <w:jc w:val="center"/>
              <w:rPr>
                <w:rFonts w:ascii="Times New Roman" w:eastAsia="仿宋"/>
                <w:szCs w:val="21"/>
              </w:rPr>
            </w:pPr>
          </w:p>
        </w:tc>
        <w:tc>
          <w:tcPr>
            <w:tcW w:w="1149" w:type="dxa"/>
            <w:vMerge w:val="continue"/>
            <w:tcBorders>
              <w:tl2br w:val="nil"/>
              <w:tr2bl w:val="nil"/>
            </w:tcBorders>
            <w:vAlign w:val="center"/>
          </w:tcPr>
          <w:p w14:paraId="4DEEC39C">
            <w:pPr>
              <w:spacing w:line="360" w:lineRule="exact"/>
              <w:jc w:val="center"/>
              <w:rPr>
                <w:rFonts w:ascii="Times New Roman" w:eastAsia="仿宋"/>
                <w:szCs w:val="21"/>
              </w:rPr>
            </w:pPr>
          </w:p>
        </w:tc>
        <w:tc>
          <w:tcPr>
            <w:tcW w:w="1560" w:type="dxa"/>
            <w:tcBorders>
              <w:tl2br w:val="nil"/>
              <w:tr2bl w:val="nil"/>
            </w:tcBorders>
            <w:vAlign w:val="center"/>
          </w:tcPr>
          <w:p w14:paraId="17A20FA6">
            <w:pPr>
              <w:spacing w:line="360" w:lineRule="exact"/>
              <w:jc w:val="center"/>
              <w:rPr>
                <w:rFonts w:ascii="Times New Roman" w:eastAsia="仿宋"/>
                <w:szCs w:val="21"/>
              </w:rPr>
            </w:pPr>
            <w:r>
              <w:rPr>
                <w:rFonts w:hint="eastAsia" w:ascii="Times New Roman" w:eastAsia="仿宋"/>
                <w:szCs w:val="21"/>
              </w:rPr>
              <w:t>二甲苯</w:t>
            </w:r>
          </w:p>
        </w:tc>
        <w:tc>
          <w:tcPr>
            <w:tcW w:w="2504" w:type="dxa"/>
            <w:vMerge w:val="continue"/>
            <w:tcBorders>
              <w:tl2br w:val="nil"/>
              <w:tr2bl w:val="nil"/>
            </w:tcBorders>
            <w:vAlign w:val="center"/>
          </w:tcPr>
          <w:p w14:paraId="7C322B0C">
            <w:pPr>
              <w:spacing w:line="360" w:lineRule="exact"/>
              <w:jc w:val="center"/>
              <w:rPr>
                <w:rFonts w:ascii="Times New Roman" w:eastAsia="仿宋"/>
                <w:szCs w:val="21"/>
              </w:rPr>
            </w:pPr>
          </w:p>
        </w:tc>
        <w:tc>
          <w:tcPr>
            <w:tcW w:w="850" w:type="dxa"/>
            <w:vMerge w:val="continue"/>
            <w:tcBorders>
              <w:tl2br w:val="nil"/>
              <w:tr2bl w:val="nil"/>
            </w:tcBorders>
            <w:vAlign w:val="center"/>
          </w:tcPr>
          <w:p w14:paraId="752E2F01">
            <w:pPr>
              <w:spacing w:line="360" w:lineRule="exact"/>
              <w:jc w:val="center"/>
              <w:rPr>
                <w:rFonts w:ascii="Times New Roman" w:eastAsia="仿宋"/>
                <w:szCs w:val="21"/>
              </w:rPr>
            </w:pPr>
          </w:p>
        </w:tc>
        <w:tc>
          <w:tcPr>
            <w:tcW w:w="992" w:type="dxa"/>
            <w:vMerge w:val="continue"/>
            <w:tcBorders>
              <w:tl2br w:val="nil"/>
              <w:tr2bl w:val="nil"/>
            </w:tcBorders>
            <w:vAlign w:val="center"/>
          </w:tcPr>
          <w:p w14:paraId="0C7C2C39">
            <w:pPr>
              <w:spacing w:line="360" w:lineRule="exact"/>
              <w:jc w:val="center"/>
              <w:rPr>
                <w:rFonts w:ascii="Times New Roman" w:eastAsia="仿宋"/>
                <w:szCs w:val="21"/>
              </w:rPr>
            </w:pPr>
          </w:p>
        </w:tc>
        <w:tc>
          <w:tcPr>
            <w:tcW w:w="1647" w:type="dxa"/>
            <w:vMerge w:val="continue"/>
            <w:tcBorders>
              <w:tl2br w:val="nil"/>
              <w:tr2bl w:val="nil"/>
            </w:tcBorders>
            <w:vAlign w:val="center"/>
          </w:tcPr>
          <w:p w14:paraId="0FE4A0E3">
            <w:pPr>
              <w:spacing w:line="240" w:lineRule="exact"/>
              <w:jc w:val="center"/>
              <w:rPr>
                <w:rFonts w:ascii="仿宋" w:hAnsi="仿宋" w:eastAsia="仿宋" w:cs="仿宋"/>
                <w:bCs/>
                <w:szCs w:val="21"/>
              </w:rPr>
            </w:pPr>
          </w:p>
        </w:tc>
      </w:tr>
      <w:tr w14:paraId="42D1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0" w:type="auto"/>
            <w:vMerge w:val="continue"/>
            <w:tcBorders>
              <w:tl2br w:val="nil"/>
              <w:tr2bl w:val="nil"/>
            </w:tcBorders>
            <w:vAlign w:val="center"/>
          </w:tcPr>
          <w:p w14:paraId="505B1E4E">
            <w:pPr>
              <w:spacing w:line="360" w:lineRule="exact"/>
              <w:jc w:val="center"/>
              <w:rPr>
                <w:rFonts w:ascii="Times New Roman" w:eastAsia="仿宋"/>
                <w:szCs w:val="21"/>
              </w:rPr>
            </w:pPr>
          </w:p>
        </w:tc>
        <w:tc>
          <w:tcPr>
            <w:tcW w:w="1149" w:type="dxa"/>
            <w:vMerge w:val="continue"/>
            <w:tcBorders>
              <w:tl2br w:val="nil"/>
              <w:tr2bl w:val="nil"/>
            </w:tcBorders>
            <w:vAlign w:val="center"/>
          </w:tcPr>
          <w:p w14:paraId="68A6CC22">
            <w:pPr>
              <w:spacing w:line="360" w:lineRule="exact"/>
              <w:jc w:val="center"/>
              <w:rPr>
                <w:rFonts w:ascii="Times New Roman" w:eastAsia="仿宋"/>
                <w:szCs w:val="21"/>
              </w:rPr>
            </w:pPr>
          </w:p>
        </w:tc>
        <w:tc>
          <w:tcPr>
            <w:tcW w:w="1560" w:type="dxa"/>
            <w:tcBorders>
              <w:tl2br w:val="nil"/>
              <w:tr2bl w:val="nil"/>
            </w:tcBorders>
            <w:vAlign w:val="center"/>
          </w:tcPr>
          <w:p w14:paraId="63D79AC9">
            <w:pPr>
              <w:spacing w:line="360" w:lineRule="exact"/>
              <w:jc w:val="center"/>
              <w:rPr>
                <w:rFonts w:ascii="Times New Roman" w:eastAsia="仿宋"/>
                <w:szCs w:val="21"/>
              </w:rPr>
            </w:pPr>
            <w:r>
              <w:rPr>
                <w:rFonts w:hint="eastAsia" w:ascii="Times New Roman" w:eastAsia="仿宋"/>
                <w:szCs w:val="21"/>
              </w:rPr>
              <w:t>氮氧化物</w:t>
            </w:r>
          </w:p>
        </w:tc>
        <w:tc>
          <w:tcPr>
            <w:tcW w:w="2504" w:type="dxa"/>
            <w:vMerge w:val="continue"/>
            <w:tcBorders>
              <w:tl2br w:val="nil"/>
              <w:tr2bl w:val="nil"/>
            </w:tcBorders>
            <w:vAlign w:val="center"/>
          </w:tcPr>
          <w:p w14:paraId="2876D47E">
            <w:pPr>
              <w:spacing w:line="360" w:lineRule="exact"/>
              <w:jc w:val="center"/>
              <w:rPr>
                <w:rFonts w:ascii="Times New Roman" w:eastAsia="仿宋"/>
                <w:szCs w:val="21"/>
              </w:rPr>
            </w:pPr>
          </w:p>
        </w:tc>
        <w:tc>
          <w:tcPr>
            <w:tcW w:w="850" w:type="dxa"/>
            <w:vMerge w:val="continue"/>
            <w:tcBorders>
              <w:tl2br w:val="nil"/>
              <w:tr2bl w:val="nil"/>
            </w:tcBorders>
            <w:vAlign w:val="center"/>
          </w:tcPr>
          <w:p w14:paraId="6F3EE686">
            <w:pPr>
              <w:spacing w:line="360" w:lineRule="exact"/>
              <w:jc w:val="center"/>
              <w:rPr>
                <w:rFonts w:ascii="Times New Roman" w:eastAsia="仿宋"/>
                <w:szCs w:val="21"/>
              </w:rPr>
            </w:pPr>
          </w:p>
        </w:tc>
        <w:tc>
          <w:tcPr>
            <w:tcW w:w="992" w:type="dxa"/>
            <w:vMerge w:val="continue"/>
            <w:tcBorders>
              <w:tl2br w:val="nil"/>
              <w:tr2bl w:val="nil"/>
            </w:tcBorders>
            <w:vAlign w:val="center"/>
          </w:tcPr>
          <w:p w14:paraId="2F222817">
            <w:pPr>
              <w:spacing w:line="360" w:lineRule="exact"/>
              <w:jc w:val="center"/>
              <w:rPr>
                <w:rFonts w:ascii="Times New Roman" w:eastAsia="仿宋"/>
                <w:szCs w:val="21"/>
              </w:rPr>
            </w:pPr>
          </w:p>
        </w:tc>
        <w:tc>
          <w:tcPr>
            <w:tcW w:w="1647" w:type="dxa"/>
            <w:vMerge w:val="continue"/>
            <w:tcBorders>
              <w:tl2br w:val="nil"/>
              <w:tr2bl w:val="nil"/>
            </w:tcBorders>
            <w:vAlign w:val="center"/>
          </w:tcPr>
          <w:p w14:paraId="43ECFE1F">
            <w:pPr>
              <w:spacing w:line="240" w:lineRule="exact"/>
              <w:jc w:val="center"/>
              <w:rPr>
                <w:rFonts w:ascii="仿宋" w:hAnsi="仿宋" w:eastAsia="仿宋" w:cs="仿宋"/>
                <w:bCs/>
                <w:szCs w:val="21"/>
              </w:rPr>
            </w:pPr>
          </w:p>
        </w:tc>
      </w:tr>
    </w:tbl>
    <w:p w14:paraId="6EDFE482">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监测频次</w:t>
      </w:r>
    </w:p>
    <w:p w14:paraId="3860424D">
      <w:pPr>
        <w:spacing w:line="500" w:lineRule="exact"/>
        <w:ind w:firstLine="560" w:firstLineChars="200"/>
        <w:rPr>
          <w:rFonts w:ascii="Times New Roman" w:eastAsia="仿宋"/>
          <w:sz w:val="28"/>
          <w:szCs w:val="28"/>
        </w:rPr>
      </w:pPr>
      <w:r>
        <w:rPr>
          <w:rFonts w:hint="eastAsia" w:ascii="Times New Roman" w:eastAsia="仿宋"/>
          <w:sz w:val="28"/>
          <w:szCs w:val="28"/>
        </w:rPr>
        <w:t>非甲烷总烃、二甲苯、氮氧化物连续监测7天，每天4次，每次采样时间不少于45min。</w:t>
      </w:r>
    </w:p>
    <w:p w14:paraId="0B0B3012">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w:t>
      </w:r>
      <w:r>
        <w:rPr>
          <w:rFonts w:ascii="Times New Roman" w:eastAsia="仿宋"/>
          <w:sz w:val="28"/>
          <w:szCs w:val="28"/>
        </w:rPr>
        <w:t>采样及分析方法</w:t>
      </w:r>
    </w:p>
    <w:p w14:paraId="4684EF0F">
      <w:pPr>
        <w:spacing w:line="500" w:lineRule="exact"/>
        <w:ind w:firstLine="560" w:firstLineChars="200"/>
        <w:rPr>
          <w:rFonts w:ascii="Times New Roman" w:eastAsia="仿宋"/>
          <w:sz w:val="28"/>
          <w:szCs w:val="28"/>
        </w:rPr>
      </w:pPr>
      <w:r>
        <w:rPr>
          <w:rFonts w:ascii="Times New Roman" w:eastAsia="仿宋"/>
          <w:sz w:val="28"/>
          <w:szCs w:val="28"/>
        </w:rPr>
        <w:t>采样和分析方法按照国家环保局颁发的《环境监测技术规范》和《空气和废气监测分析方法》的有关规定和要求进行。</w:t>
      </w:r>
    </w:p>
    <w:p w14:paraId="3A84D150">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4</w:t>
      </w:r>
      <w:r>
        <w:rPr>
          <w:rFonts w:hint="eastAsia" w:ascii="Times New Roman" w:eastAsia="仿宋"/>
          <w:sz w:val="28"/>
          <w:szCs w:val="28"/>
        </w:rPr>
        <w:t>）</w:t>
      </w:r>
      <w:r>
        <w:rPr>
          <w:rFonts w:ascii="Times New Roman" w:eastAsia="仿宋"/>
          <w:sz w:val="28"/>
          <w:szCs w:val="28"/>
        </w:rPr>
        <w:t>监测结果</w:t>
      </w:r>
    </w:p>
    <w:p w14:paraId="2B1D57F0">
      <w:pPr>
        <w:spacing w:line="500" w:lineRule="exact"/>
        <w:ind w:firstLine="560" w:firstLineChars="200"/>
        <w:rPr>
          <w:rFonts w:ascii="Times New Roman" w:eastAsia="仿宋"/>
          <w:sz w:val="28"/>
          <w:szCs w:val="28"/>
        </w:rPr>
      </w:pPr>
      <w:r>
        <w:rPr>
          <w:rFonts w:ascii="Times New Roman" w:eastAsia="仿宋"/>
          <w:sz w:val="28"/>
          <w:szCs w:val="28"/>
        </w:rPr>
        <w:t>监测结果见表4.2-3。</w:t>
      </w:r>
    </w:p>
    <w:p w14:paraId="5BD66FAE">
      <w:pPr>
        <w:spacing w:line="500" w:lineRule="exact"/>
        <w:jc w:val="center"/>
        <w:rPr>
          <w:rFonts w:ascii="Times New Roman" w:eastAsia="仿宋"/>
          <w:b/>
          <w:vertAlign w:val="superscript"/>
        </w:rPr>
      </w:pPr>
      <w:r>
        <w:rPr>
          <w:rFonts w:ascii="Times New Roman" w:eastAsia="仿宋"/>
          <w:b/>
        </w:rPr>
        <w:t>表4.2-3  评价区域大气环境质量现状监测结果  mg/m</w:t>
      </w:r>
      <w:r>
        <w:rPr>
          <w:rFonts w:ascii="Times New Roman" w:eastAsia="仿宋"/>
          <w:b/>
          <w:vertAlign w:val="superscript"/>
        </w:rPr>
        <w:t>3</w:t>
      </w:r>
    </w:p>
    <w:tbl>
      <w:tblPr>
        <w:tblStyle w:val="87"/>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5"/>
        <w:gridCol w:w="2644"/>
        <w:gridCol w:w="2179"/>
        <w:gridCol w:w="1576"/>
        <w:gridCol w:w="922"/>
        <w:gridCol w:w="883"/>
      </w:tblGrid>
      <w:tr w14:paraId="3FAF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2" w:type="pct"/>
            <w:vMerge w:val="restart"/>
            <w:vAlign w:val="center"/>
          </w:tcPr>
          <w:p w14:paraId="50C1CCF6">
            <w:pPr>
              <w:spacing w:line="320" w:lineRule="exact"/>
              <w:jc w:val="center"/>
              <w:rPr>
                <w:rFonts w:ascii="Times New Roman" w:eastAsia="仿宋"/>
                <w:szCs w:val="21"/>
              </w:rPr>
            </w:pPr>
            <w:r>
              <w:rPr>
                <w:rFonts w:ascii="Times New Roman" w:eastAsia="仿宋"/>
                <w:szCs w:val="21"/>
              </w:rPr>
              <w:t>监测点位</w:t>
            </w:r>
          </w:p>
        </w:tc>
        <w:tc>
          <w:tcPr>
            <w:tcW w:w="1456" w:type="pct"/>
            <w:vMerge w:val="restart"/>
            <w:vAlign w:val="center"/>
          </w:tcPr>
          <w:p w14:paraId="6360A0E9">
            <w:pPr>
              <w:spacing w:line="320" w:lineRule="exact"/>
              <w:jc w:val="center"/>
              <w:rPr>
                <w:rFonts w:ascii="Times New Roman" w:eastAsia="仿宋"/>
                <w:szCs w:val="21"/>
              </w:rPr>
            </w:pPr>
            <w:r>
              <w:rPr>
                <w:rFonts w:ascii="Times New Roman" w:eastAsia="仿宋"/>
                <w:szCs w:val="21"/>
              </w:rPr>
              <w:t>项目</w:t>
            </w:r>
          </w:p>
        </w:tc>
        <w:tc>
          <w:tcPr>
            <w:tcW w:w="1200" w:type="pct"/>
            <w:vMerge w:val="restart"/>
            <w:vAlign w:val="center"/>
          </w:tcPr>
          <w:p w14:paraId="7BEE0DDF">
            <w:pPr>
              <w:spacing w:line="320" w:lineRule="exact"/>
              <w:jc w:val="center"/>
              <w:rPr>
                <w:rFonts w:ascii="Times New Roman" w:eastAsia="仿宋"/>
                <w:szCs w:val="21"/>
              </w:rPr>
            </w:pPr>
            <w:r>
              <w:rPr>
                <w:rFonts w:ascii="Times New Roman" w:eastAsia="仿宋"/>
                <w:szCs w:val="21"/>
              </w:rPr>
              <w:t>评价标准</w:t>
            </w:r>
          </w:p>
          <w:p w14:paraId="0EDB39C2">
            <w:pPr>
              <w:spacing w:line="320" w:lineRule="exact"/>
              <w:jc w:val="center"/>
              <w:rPr>
                <w:rFonts w:ascii="Times New Roman" w:eastAsia="仿宋"/>
                <w:szCs w:val="21"/>
              </w:rPr>
            </w:pPr>
            <w:r>
              <w:rPr>
                <w:rFonts w:ascii="Times New Roman" w:eastAsia="仿宋"/>
                <w:szCs w:val="21"/>
              </w:rPr>
              <w:t>（mg/m</w:t>
            </w:r>
            <w:r>
              <w:rPr>
                <w:rFonts w:ascii="Times New Roman" w:eastAsia="仿宋"/>
                <w:szCs w:val="21"/>
                <w:vertAlign w:val="superscript"/>
              </w:rPr>
              <w:t>3</w:t>
            </w:r>
            <w:r>
              <w:rPr>
                <w:rFonts w:ascii="Times New Roman" w:eastAsia="仿宋"/>
                <w:szCs w:val="21"/>
              </w:rPr>
              <w:t>）</w:t>
            </w:r>
          </w:p>
        </w:tc>
        <w:tc>
          <w:tcPr>
            <w:tcW w:w="1862" w:type="pct"/>
            <w:gridSpan w:val="3"/>
            <w:vAlign w:val="center"/>
          </w:tcPr>
          <w:p w14:paraId="5F38D84D">
            <w:pPr>
              <w:spacing w:line="320" w:lineRule="exact"/>
              <w:jc w:val="center"/>
              <w:rPr>
                <w:rFonts w:ascii="Times New Roman" w:eastAsia="仿宋"/>
                <w:szCs w:val="21"/>
              </w:rPr>
            </w:pPr>
            <w:r>
              <w:rPr>
                <w:rFonts w:ascii="Times New Roman" w:eastAsia="仿宋"/>
                <w:szCs w:val="21"/>
              </w:rPr>
              <w:t>小时平均浓度</w:t>
            </w:r>
          </w:p>
        </w:tc>
      </w:tr>
      <w:tr w14:paraId="3511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2" w:type="pct"/>
            <w:vMerge w:val="continue"/>
            <w:vAlign w:val="center"/>
          </w:tcPr>
          <w:p w14:paraId="1B814FA0">
            <w:pPr>
              <w:spacing w:line="320" w:lineRule="exact"/>
              <w:jc w:val="center"/>
              <w:rPr>
                <w:rFonts w:ascii="Times New Roman" w:eastAsia="仿宋"/>
                <w:szCs w:val="21"/>
              </w:rPr>
            </w:pPr>
          </w:p>
        </w:tc>
        <w:tc>
          <w:tcPr>
            <w:tcW w:w="1456" w:type="pct"/>
            <w:vMerge w:val="continue"/>
            <w:vAlign w:val="center"/>
          </w:tcPr>
          <w:p w14:paraId="4B2D2ED8">
            <w:pPr>
              <w:spacing w:line="320" w:lineRule="exact"/>
              <w:jc w:val="center"/>
              <w:rPr>
                <w:rFonts w:ascii="Times New Roman" w:eastAsia="仿宋"/>
                <w:szCs w:val="21"/>
              </w:rPr>
            </w:pPr>
          </w:p>
        </w:tc>
        <w:tc>
          <w:tcPr>
            <w:tcW w:w="1200" w:type="pct"/>
            <w:vMerge w:val="continue"/>
            <w:vAlign w:val="center"/>
          </w:tcPr>
          <w:p w14:paraId="4C863300">
            <w:pPr>
              <w:spacing w:line="320" w:lineRule="exact"/>
              <w:jc w:val="center"/>
              <w:rPr>
                <w:rFonts w:ascii="Times New Roman" w:eastAsia="仿宋"/>
                <w:szCs w:val="21"/>
              </w:rPr>
            </w:pPr>
          </w:p>
        </w:tc>
        <w:tc>
          <w:tcPr>
            <w:tcW w:w="868" w:type="pct"/>
            <w:vAlign w:val="center"/>
          </w:tcPr>
          <w:p w14:paraId="5BF74076">
            <w:pPr>
              <w:spacing w:line="320" w:lineRule="exact"/>
              <w:jc w:val="center"/>
              <w:rPr>
                <w:rFonts w:ascii="Times New Roman" w:eastAsia="仿宋"/>
                <w:szCs w:val="21"/>
              </w:rPr>
            </w:pPr>
            <w:r>
              <w:rPr>
                <w:rFonts w:ascii="Times New Roman" w:eastAsia="仿宋"/>
                <w:szCs w:val="21"/>
              </w:rPr>
              <w:t>浓度范围</w:t>
            </w:r>
          </w:p>
        </w:tc>
        <w:tc>
          <w:tcPr>
            <w:tcW w:w="508" w:type="pct"/>
            <w:vAlign w:val="center"/>
          </w:tcPr>
          <w:p w14:paraId="306ECF90">
            <w:pPr>
              <w:spacing w:line="320" w:lineRule="exact"/>
              <w:jc w:val="center"/>
              <w:rPr>
                <w:rFonts w:ascii="Times New Roman" w:eastAsia="仿宋"/>
                <w:szCs w:val="21"/>
              </w:rPr>
            </w:pPr>
            <w:r>
              <w:rPr>
                <w:rFonts w:ascii="Times New Roman" w:eastAsia="仿宋"/>
                <w:szCs w:val="21"/>
              </w:rPr>
              <w:t>最大超标倍数</w:t>
            </w:r>
          </w:p>
        </w:tc>
        <w:tc>
          <w:tcPr>
            <w:tcW w:w="486" w:type="pct"/>
            <w:vAlign w:val="center"/>
          </w:tcPr>
          <w:p w14:paraId="235F99E1">
            <w:pPr>
              <w:spacing w:line="320" w:lineRule="exact"/>
              <w:jc w:val="center"/>
              <w:rPr>
                <w:rFonts w:ascii="Times New Roman" w:eastAsia="仿宋"/>
                <w:szCs w:val="21"/>
              </w:rPr>
            </w:pPr>
            <w:r>
              <w:rPr>
                <w:rFonts w:ascii="Times New Roman" w:eastAsia="仿宋"/>
                <w:szCs w:val="21"/>
              </w:rPr>
              <w:t>超标率%</w:t>
            </w:r>
          </w:p>
        </w:tc>
      </w:tr>
      <w:tr w14:paraId="5BFC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restart"/>
            <w:vAlign w:val="center"/>
          </w:tcPr>
          <w:p w14:paraId="6DA4D748">
            <w:pPr>
              <w:spacing w:line="320" w:lineRule="exact"/>
              <w:jc w:val="center"/>
              <w:rPr>
                <w:rFonts w:ascii="Times New Roman" w:eastAsia="仿宋"/>
                <w:szCs w:val="21"/>
              </w:rPr>
            </w:pPr>
            <w:r>
              <w:rPr>
                <w:rFonts w:ascii="Times New Roman" w:eastAsia="仿宋"/>
                <w:szCs w:val="21"/>
              </w:rPr>
              <w:t>G1</w:t>
            </w:r>
          </w:p>
        </w:tc>
        <w:tc>
          <w:tcPr>
            <w:tcW w:w="1455" w:type="pct"/>
            <w:vAlign w:val="center"/>
          </w:tcPr>
          <w:p w14:paraId="0052D356">
            <w:pPr>
              <w:spacing w:line="320" w:lineRule="exact"/>
              <w:ind w:firstLine="74" w:firstLineChars="31"/>
              <w:jc w:val="center"/>
              <w:rPr>
                <w:rFonts w:ascii="Times New Roman" w:eastAsia="仿宋"/>
                <w:szCs w:val="21"/>
              </w:rPr>
            </w:pPr>
            <w:r>
              <w:rPr>
                <w:rFonts w:ascii="Times New Roman" w:eastAsia="仿宋"/>
                <w:szCs w:val="21"/>
              </w:rPr>
              <w:t>非甲烷总烃</w:t>
            </w:r>
          </w:p>
        </w:tc>
        <w:tc>
          <w:tcPr>
            <w:tcW w:w="1199" w:type="pct"/>
            <w:vAlign w:val="center"/>
          </w:tcPr>
          <w:p w14:paraId="699070D1">
            <w:pPr>
              <w:spacing w:line="320" w:lineRule="exact"/>
              <w:ind w:firstLine="74" w:firstLineChars="31"/>
              <w:jc w:val="center"/>
              <w:rPr>
                <w:rFonts w:ascii="Times New Roman" w:eastAsia="仿宋"/>
                <w:szCs w:val="21"/>
              </w:rPr>
            </w:pPr>
            <w:r>
              <w:rPr>
                <w:rFonts w:hint="eastAsia" w:ascii="Times New Roman" w:eastAsia="仿宋"/>
                <w:szCs w:val="21"/>
              </w:rPr>
              <w:t>2.0</w:t>
            </w:r>
          </w:p>
        </w:tc>
        <w:tc>
          <w:tcPr>
            <w:tcW w:w="867" w:type="pct"/>
            <w:vAlign w:val="center"/>
          </w:tcPr>
          <w:p w14:paraId="510FDE6E">
            <w:pPr>
              <w:adjustRightInd w:val="0"/>
              <w:snapToGrid w:val="0"/>
              <w:spacing w:line="280" w:lineRule="exact"/>
              <w:jc w:val="center"/>
              <w:rPr>
                <w:rFonts w:ascii="Times New Roman" w:eastAsia="仿宋"/>
                <w:szCs w:val="21"/>
              </w:rPr>
            </w:pPr>
            <w:r>
              <w:rPr>
                <w:rFonts w:hint="eastAsia" w:ascii="Times New Roman" w:eastAsia="仿宋"/>
                <w:szCs w:val="21"/>
              </w:rPr>
              <w:t>0.</w:t>
            </w:r>
            <w:r>
              <w:rPr>
                <w:rFonts w:ascii="Times New Roman" w:eastAsia="仿宋"/>
                <w:szCs w:val="21"/>
              </w:rPr>
              <w:t>14</w:t>
            </w:r>
            <w:r>
              <w:rPr>
                <w:rFonts w:hint="eastAsia" w:ascii="Times New Roman" w:eastAsia="仿宋"/>
                <w:szCs w:val="21"/>
              </w:rPr>
              <w:t>-1.</w:t>
            </w:r>
            <w:r>
              <w:rPr>
                <w:rFonts w:ascii="Times New Roman" w:eastAsia="仿宋"/>
                <w:szCs w:val="21"/>
              </w:rPr>
              <w:t>10</w:t>
            </w:r>
          </w:p>
        </w:tc>
        <w:tc>
          <w:tcPr>
            <w:tcW w:w="508" w:type="pct"/>
            <w:vAlign w:val="center"/>
          </w:tcPr>
          <w:p w14:paraId="0471F6B3">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3F3A2B46">
            <w:pPr>
              <w:spacing w:line="320" w:lineRule="exact"/>
              <w:jc w:val="center"/>
              <w:rPr>
                <w:rFonts w:ascii="Times New Roman" w:eastAsia="仿宋"/>
                <w:szCs w:val="21"/>
              </w:rPr>
            </w:pPr>
            <w:r>
              <w:rPr>
                <w:rFonts w:hint="eastAsia" w:ascii="Times New Roman" w:eastAsia="仿宋"/>
                <w:szCs w:val="21"/>
              </w:rPr>
              <w:t>0</w:t>
            </w:r>
          </w:p>
        </w:tc>
      </w:tr>
      <w:tr w14:paraId="5DA7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continue"/>
            <w:vAlign w:val="center"/>
          </w:tcPr>
          <w:p w14:paraId="5DE56805">
            <w:pPr>
              <w:spacing w:line="320" w:lineRule="exact"/>
              <w:jc w:val="center"/>
              <w:rPr>
                <w:rFonts w:ascii="Times New Roman" w:eastAsia="仿宋"/>
                <w:szCs w:val="21"/>
              </w:rPr>
            </w:pPr>
          </w:p>
        </w:tc>
        <w:tc>
          <w:tcPr>
            <w:tcW w:w="1456" w:type="pct"/>
            <w:vAlign w:val="center"/>
          </w:tcPr>
          <w:p w14:paraId="6A75FBBD">
            <w:pPr>
              <w:spacing w:line="320" w:lineRule="exact"/>
              <w:ind w:firstLine="74" w:firstLineChars="31"/>
              <w:jc w:val="center"/>
              <w:rPr>
                <w:rFonts w:ascii="Times New Roman" w:eastAsia="仿宋"/>
                <w:szCs w:val="21"/>
              </w:rPr>
            </w:pPr>
            <w:r>
              <w:rPr>
                <w:rFonts w:hint="eastAsia" w:ascii="Times New Roman" w:eastAsia="仿宋"/>
                <w:szCs w:val="21"/>
              </w:rPr>
              <w:t>二甲苯</w:t>
            </w:r>
          </w:p>
        </w:tc>
        <w:tc>
          <w:tcPr>
            <w:tcW w:w="1200" w:type="pct"/>
            <w:vAlign w:val="center"/>
          </w:tcPr>
          <w:p w14:paraId="77DCC110">
            <w:pPr>
              <w:spacing w:line="320" w:lineRule="exact"/>
              <w:ind w:firstLine="74" w:firstLineChars="31"/>
              <w:jc w:val="center"/>
              <w:rPr>
                <w:rFonts w:ascii="Times New Roman" w:eastAsia="仿宋"/>
                <w:szCs w:val="21"/>
              </w:rPr>
            </w:pPr>
            <w:r>
              <w:rPr>
                <w:rFonts w:hint="eastAsia" w:ascii="Times New Roman" w:eastAsia="仿宋"/>
                <w:szCs w:val="21"/>
              </w:rPr>
              <w:t>0.2</w:t>
            </w:r>
          </w:p>
        </w:tc>
        <w:tc>
          <w:tcPr>
            <w:tcW w:w="868" w:type="pct"/>
            <w:vAlign w:val="center"/>
          </w:tcPr>
          <w:p w14:paraId="66C42A21">
            <w:pPr>
              <w:spacing w:line="320" w:lineRule="exact"/>
              <w:jc w:val="center"/>
              <w:rPr>
                <w:rFonts w:ascii="Times New Roman" w:eastAsia="仿宋"/>
                <w:szCs w:val="21"/>
              </w:rPr>
            </w:pPr>
            <w:r>
              <w:rPr>
                <w:rFonts w:hint="eastAsia" w:ascii="Times New Roman" w:eastAsia="仿宋"/>
                <w:szCs w:val="21"/>
              </w:rPr>
              <w:t>ND-0.0</w:t>
            </w:r>
            <w:r>
              <w:rPr>
                <w:rFonts w:ascii="Times New Roman" w:eastAsia="仿宋"/>
                <w:szCs w:val="21"/>
              </w:rPr>
              <w:t>159</w:t>
            </w:r>
          </w:p>
        </w:tc>
        <w:tc>
          <w:tcPr>
            <w:tcW w:w="508" w:type="pct"/>
            <w:vAlign w:val="center"/>
          </w:tcPr>
          <w:p w14:paraId="04F4E34C">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58E4C8F2">
            <w:pPr>
              <w:spacing w:line="320" w:lineRule="exact"/>
              <w:jc w:val="center"/>
              <w:rPr>
                <w:rFonts w:ascii="Times New Roman" w:eastAsia="仿宋"/>
                <w:szCs w:val="21"/>
              </w:rPr>
            </w:pPr>
            <w:r>
              <w:rPr>
                <w:rFonts w:hint="eastAsia" w:ascii="Times New Roman" w:eastAsia="仿宋"/>
                <w:szCs w:val="21"/>
              </w:rPr>
              <w:t>0</w:t>
            </w:r>
          </w:p>
        </w:tc>
      </w:tr>
      <w:tr w14:paraId="7E43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continue"/>
            <w:vAlign w:val="center"/>
          </w:tcPr>
          <w:p w14:paraId="3675A65A">
            <w:pPr>
              <w:spacing w:line="320" w:lineRule="exact"/>
              <w:jc w:val="center"/>
              <w:rPr>
                <w:rFonts w:ascii="Times New Roman" w:eastAsia="仿宋"/>
                <w:szCs w:val="21"/>
              </w:rPr>
            </w:pPr>
          </w:p>
        </w:tc>
        <w:tc>
          <w:tcPr>
            <w:tcW w:w="1456" w:type="pct"/>
            <w:vAlign w:val="center"/>
          </w:tcPr>
          <w:p w14:paraId="743AE19E">
            <w:pPr>
              <w:spacing w:line="320" w:lineRule="exact"/>
              <w:ind w:firstLine="74" w:firstLineChars="31"/>
              <w:jc w:val="center"/>
              <w:rPr>
                <w:rFonts w:ascii="Times New Roman" w:eastAsia="仿宋"/>
                <w:szCs w:val="21"/>
              </w:rPr>
            </w:pPr>
            <w:r>
              <w:rPr>
                <w:rFonts w:hint="eastAsia" w:ascii="Times New Roman" w:eastAsia="仿宋"/>
                <w:szCs w:val="21"/>
              </w:rPr>
              <w:t>氮氧化物</w:t>
            </w:r>
          </w:p>
        </w:tc>
        <w:tc>
          <w:tcPr>
            <w:tcW w:w="1200" w:type="pct"/>
            <w:vAlign w:val="center"/>
          </w:tcPr>
          <w:p w14:paraId="3740A11F">
            <w:pPr>
              <w:spacing w:line="320" w:lineRule="exact"/>
              <w:ind w:firstLine="74" w:firstLineChars="31"/>
              <w:jc w:val="center"/>
              <w:rPr>
                <w:rFonts w:ascii="Times New Roman" w:eastAsia="仿宋"/>
                <w:szCs w:val="21"/>
              </w:rPr>
            </w:pPr>
            <w:r>
              <w:rPr>
                <w:rFonts w:hint="eastAsia" w:ascii="Times New Roman" w:eastAsia="仿宋"/>
                <w:szCs w:val="21"/>
              </w:rPr>
              <w:t>0</w:t>
            </w:r>
            <w:r>
              <w:rPr>
                <w:rFonts w:ascii="Times New Roman" w:eastAsia="仿宋"/>
                <w:szCs w:val="21"/>
              </w:rPr>
              <w:t>.25</w:t>
            </w:r>
          </w:p>
        </w:tc>
        <w:tc>
          <w:tcPr>
            <w:tcW w:w="868" w:type="pct"/>
            <w:vAlign w:val="center"/>
          </w:tcPr>
          <w:p w14:paraId="4E389FAE">
            <w:pPr>
              <w:spacing w:line="320" w:lineRule="exact"/>
              <w:jc w:val="center"/>
              <w:rPr>
                <w:rFonts w:ascii="Times New Roman" w:eastAsia="仿宋"/>
                <w:szCs w:val="21"/>
              </w:rPr>
            </w:pPr>
            <w:r>
              <w:rPr>
                <w:rFonts w:hint="eastAsia" w:ascii="Times New Roman" w:eastAsia="仿宋"/>
                <w:szCs w:val="21"/>
              </w:rPr>
              <w:t>ND-</w:t>
            </w:r>
            <w:r>
              <w:rPr>
                <w:rFonts w:ascii="Times New Roman" w:eastAsia="仿宋"/>
                <w:szCs w:val="21"/>
              </w:rPr>
              <w:t>0.039</w:t>
            </w:r>
          </w:p>
        </w:tc>
        <w:tc>
          <w:tcPr>
            <w:tcW w:w="508" w:type="pct"/>
            <w:vAlign w:val="center"/>
          </w:tcPr>
          <w:p w14:paraId="3C68D936">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7905571E">
            <w:pPr>
              <w:spacing w:line="320" w:lineRule="exact"/>
              <w:jc w:val="center"/>
              <w:rPr>
                <w:rFonts w:ascii="Times New Roman" w:eastAsia="仿宋"/>
                <w:szCs w:val="21"/>
              </w:rPr>
            </w:pPr>
            <w:r>
              <w:rPr>
                <w:rFonts w:hint="eastAsia" w:ascii="Times New Roman" w:eastAsia="仿宋"/>
                <w:szCs w:val="21"/>
              </w:rPr>
              <w:t>0</w:t>
            </w:r>
          </w:p>
        </w:tc>
      </w:tr>
      <w:tr w14:paraId="0513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restart"/>
            <w:vAlign w:val="center"/>
          </w:tcPr>
          <w:p w14:paraId="4EFC8747">
            <w:pPr>
              <w:spacing w:line="320" w:lineRule="exact"/>
              <w:jc w:val="center"/>
              <w:rPr>
                <w:rFonts w:ascii="Times New Roman" w:eastAsia="仿宋"/>
                <w:szCs w:val="21"/>
              </w:rPr>
            </w:pPr>
            <w:r>
              <w:rPr>
                <w:rFonts w:ascii="Times New Roman" w:eastAsia="仿宋"/>
                <w:szCs w:val="21"/>
              </w:rPr>
              <w:t>G2</w:t>
            </w:r>
          </w:p>
        </w:tc>
        <w:tc>
          <w:tcPr>
            <w:tcW w:w="1456" w:type="pct"/>
            <w:vAlign w:val="center"/>
          </w:tcPr>
          <w:p w14:paraId="1C5C03ED">
            <w:pPr>
              <w:spacing w:line="320" w:lineRule="exact"/>
              <w:ind w:firstLine="74" w:firstLineChars="31"/>
              <w:jc w:val="center"/>
              <w:rPr>
                <w:rFonts w:ascii="Times New Roman" w:eastAsia="仿宋"/>
                <w:szCs w:val="21"/>
              </w:rPr>
            </w:pPr>
            <w:r>
              <w:rPr>
                <w:rFonts w:ascii="Times New Roman" w:eastAsia="仿宋"/>
                <w:szCs w:val="21"/>
              </w:rPr>
              <w:t>非甲烷总烃</w:t>
            </w:r>
          </w:p>
        </w:tc>
        <w:tc>
          <w:tcPr>
            <w:tcW w:w="1200" w:type="pct"/>
            <w:vAlign w:val="center"/>
          </w:tcPr>
          <w:p w14:paraId="13A65CF9">
            <w:pPr>
              <w:spacing w:line="320" w:lineRule="exact"/>
              <w:ind w:firstLine="74" w:firstLineChars="31"/>
              <w:jc w:val="center"/>
              <w:rPr>
                <w:rFonts w:ascii="Times New Roman" w:eastAsia="仿宋"/>
                <w:szCs w:val="21"/>
              </w:rPr>
            </w:pPr>
            <w:r>
              <w:rPr>
                <w:rFonts w:hint="eastAsia" w:ascii="Times New Roman" w:eastAsia="仿宋"/>
                <w:szCs w:val="21"/>
              </w:rPr>
              <w:t>2.0</w:t>
            </w:r>
          </w:p>
        </w:tc>
        <w:tc>
          <w:tcPr>
            <w:tcW w:w="868" w:type="pct"/>
            <w:vAlign w:val="center"/>
          </w:tcPr>
          <w:p w14:paraId="0E8AF0A8">
            <w:pPr>
              <w:spacing w:line="320" w:lineRule="exact"/>
              <w:jc w:val="center"/>
              <w:rPr>
                <w:rFonts w:ascii="Times New Roman" w:eastAsia="仿宋"/>
                <w:szCs w:val="21"/>
              </w:rPr>
            </w:pPr>
            <w:r>
              <w:rPr>
                <w:rFonts w:hint="eastAsia" w:ascii="Times New Roman" w:eastAsia="仿宋"/>
                <w:szCs w:val="21"/>
              </w:rPr>
              <w:t>0.</w:t>
            </w:r>
            <w:r>
              <w:rPr>
                <w:rFonts w:ascii="Times New Roman" w:eastAsia="仿宋"/>
                <w:szCs w:val="21"/>
              </w:rPr>
              <w:t>18</w:t>
            </w:r>
            <w:r>
              <w:rPr>
                <w:rFonts w:hint="eastAsia" w:ascii="Times New Roman" w:eastAsia="仿宋"/>
                <w:szCs w:val="21"/>
              </w:rPr>
              <w:t>-</w:t>
            </w:r>
            <w:r>
              <w:rPr>
                <w:rFonts w:ascii="Times New Roman" w:eastAsia="仿宋"/>
                <w:szCs w:val="21"/>
              </w:rPr>
              <w:t>0.66</w:t>
            </w:r>
          </w:p>
        </w:tc>
        <w:tc>
          <w:tcPr>
            <w:tcW w:w="508" w:type="pct"/>
            <w:vAlign w:val="center"/>
          </w:tcPr>
          <w:p w14:paraId="7DC7C31B">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0D9B00BB">
            <w:pPr>
              <w:spacing w:line="320" w:lineRule="exact"/>
              <w:jc w:val="center"/>
              <w:rPr>
                <w:rFonts w:ascii="Times New Roman" w:eastAsia="仿宋"/>
                <w:szCs w:val="21"/>
              </w:rPr>
            </w:pPr>
            <w:r>
              <w:rPr>
                <w:rFonts w:hint="eastAsia" w:ascii="Times New Roman" w:eastAsia="仿宋"/>
                <w:szCs w:val="21"/>
              </w:rPr>
              <w:t>0</w:t>
            </w:r>
          </w:p>
        </w:tc>
      </w:tr>
      <w:tr w14:paraId="62B2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continue"/>
            <w:vAlign w:val="center"/>
          </w:tcPr>
          <w:p w14:paraId="258BAD16">
            <w:pPr>
              <w:spacing w:line="320" w:lineRule="exact"/>
              <w:jc w:val="center"/>
              <w:rPr>
                <w:rFonts w:ascii="Times New Roman" w:eastAsia="仿宋"/>
                <w:szCs w:val="21"/>
              </w:rPr>
            </w:pPr>
          </w:p>
        </w:tc>
        <w:tc>
          <w:tcPr>
            <w:tcW w:w="1456" w:type="pct"/>
            <w:vAlign w:val="center"/>
          </w:tcPr>
          <w:p w14:paraId="774AF600">
            <w:pPr>
              <w:spacing w:line="320" w:lineRule="exact"/>
              <w:ind w:firstLine="74" w:firstLineChars="31"/>
              <w:jc w:val="center"/>
              <w:rPr>
                <w:rFonts w:ascii="Times New Roman" w:eastAsia="仿宋"/>
                <w:szCs w:val="21"/>
              </w:rPr>
            </w:pPr>
            <w:r>
              <w:rPr>
                <w:rFonts w:hint="eastAsia" w:ascii="Times New Roman" w:eastAsia="仿宋"/>
                <w:szCs w:val="21"/>
              </w:rPr>
              <w:t>二甲苯</w:t>
            </w:r>
          </w:p>
        </w:tc>
        <w:tc>
          <w:tcPr>
            <w:tcW w:w="1200" w:type="pct"/>
            <w:vAlign w:val="center"/>
          </w:tcPr>
          <w:p w14:paraId="5F92CF2F">
            <w:pPr>
              <w:spacing w:line="320" w:lineRule="exact"/>
              <w:ind w:firstLine="74" w:firstLineChars="31"/>
              <w:jc w:val="center"/>
              <w:rPr>
                <w:rFonts w:ascii="Times New Roman" w:eastAsia="仿宋"/>
                <w:szCs w:val="21"/>
              </w:rPr>
            </w:pPr>
            <w:r>
              <w:rPr>
                <w:rFonts w:hint="eastAsia" w:ascii="Times New Roman" w:eastAsia="仿宋"/>
                <w:szCs w:val="21"/>
              </w:rPr>
              <w:t>0.2</w:t>
            </w:r>
          </w:p>
        </w:tc>
        <w:tc>
          <w:tcPr>
            <w:tcW w:w="868" w:type="pct"/>
            <w:vAlign w:val="center"/>
          </w:tcPr>
          <w:p w14:paraId="40E14299">
            <w:pPr>
              <w:spacing w:line="320" w:lineRule="exact"/>
              <w:jc w:val="center"/>
              <w:rPr>
                <w:rFonts w:ascii="Times New Roman" w:eastAsia="仿宋"/>
                <w:szCs w:val="21"/>
              </w:rPr>
            </w:pPr>
            <w:r>
              <w:rPr>
                <w:rFonts w:hint="eastAsia" w:ascii="Times New Roman" w:eastAsia="仿宋"/>
                <w:szCs w:val="21"/>
              </w:rPr>
              <w:t>ND</w:t>
            </w:r>
          </w:p>
        </w:tc>
        <w:tc>
          <w:tcPr>
            <w:tcW w:w="508" w:type="pct"/>
            <w:vAlign w:val="center"/>
          </w:tcPr>
          <w:p w14:paraId="234AF4BF">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6CADDFBC">
            <w:pPr>
              <w:spacing w:line="320" w:lineRule="exact"/>
              <w:jc w:val="center"/>
              <w:rPr>
                <w:rFonts w:ascii="Times New Roman" w:eastAsia="仿宋"/>
                <w:szCs w:val="21"/>
              </w:rPr>
            </w:pPr>
            <w:r>
              <w:rPr>
                <w:rFonts w:hint="eastAsia" w:ascii="Times New Roman" w:eastAsia="仿宋"/>
                <w:szCs w:val="21"/>
              </w:rPr>
              <w:t>0</w:t>
            </w:r>
          </w:p>
        </w:tc>
      </w:tr>
      <w:tr w14:paraId="7B05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 w:hRule="atLeast"/>
          <w:jc w:val="center"/>
        </w:trPr>
        <w:tc>
          <w:tcPr>
            <w:tcW w:w="482" w:type="pct"/>
            <w:vMerge w:val="continue"/>
            <w:vAlign w:val="center"/>
          </w:tcPr>
          <w:p w14:paraId="0280077F">
            <w:pPr>
              <w:spacing w:line="320" w:lineRule="exact"/>
              <w:jc w:val="center"/>
              <w:rPr>
                <w:rFonts w:ascii="Times New Roman" w:eastAsia="仿宋"/>
                <w:szCs w:val="21"/>
              </w:rPr>
            </w:pPr>
          </w:p>
        </w:tc>
        <w:tc>
          <w:tcPr>
            <w:tcW w:w="1456" w:type="pct"/>
            <w:vAlign w:val="center"/>
          </w:tcPr>
          <w:p w14:paraId="2A531241">
            <w:pPr>
              <w:spacing w:line="320" w:lineRule="exact"/>
              <w:ind w:firstLine="74" w:firstLineChars="31"/>
              <w:jc w:val="center"/>
              <w:rPr>
                <w:rFonts w:ascii="Times New Roman" w:eastAsia="仿宋"/>
                <w:szCs w:val="21"/>
              </w:rPr>
            </w:pPr>
            <w:r>
              <w:rPr>
                <w:rFonts w:hint="eastAsia" w:ascii="Times New Roman" w:eastAsia="仿宋"/>
                <w:szCs w:val="21"/>
              </w:rPr>
              <w:t>氮氧化物</w:t>
            </w:r>
          </w:p>
        </w:tc>
        <w:tc>
          <w:tcPr>
            <w:tcW w:w="1200" w:type="pct"/>
            <w:vAlign w:val="center"/>
          </w:tcPr>
          <w:p w14:paraId="45C1CD50">
            <w:pPr>
              <w:spacing w:line="320" w:lineRule="exact"/>
              <w:ind w:firstLine="74" w:firstLineChars="31"/>
              <w:jc w:val="center"/>
              <w:rPr>
                <w:rFonts w:ascii="Times New Roman" w:eastAsia="仿宋"/>
                <w:szCs w:val="21"/>
              </w:rPr>
            </w:pPr>
            <w:r>
              <w:rPr>
                <w:rFonts w:hint="eastAsia" w:ascii="Times New Roman" w:eastAsia="仿宋"/>
                <w:szCs w:val="21"/>
              </w:rPr>
              <w:t>0</w:t>
            </w:r>
            <w:r>
              <w:rPr>
                <w:rFonts w:ascii="Times New Roman" w:eastAsia="仿宋"/>
                <w:szCs w:val="21"/>
              </w:rPr>
              <w:t>.25</w:t>
            </w:r>
          </w:p>
        </w:tc>
        <w:tc>
          <w:tcPr>
            <w:tcW w:w="868" w:type="pct"/>
            <w:vAlign w:val="center"/>
          </w:tcPr>
          <w:p w14:paraId="1C2DCE94">
            <w:pPr>
              <w:spacing w:line="320" w:lineRule="exact"/>
              <w:jc w:val="center"/>
              <w:rPr>
                <w:rFonts w:ascii="Times New Roman" w:eastAsia="仿宋"/>
                <w:szCs w:val="21"/>
              </w:rPr>
            </w:pPr>
            <w:r>
              <w:rPr>
                <w:rFonts w:hint="eastAsia" w:ascii="Times New Roman" w:eastAsia="仿宋"/>
                <w:szCs w:val="21"/>
              </w:rPr>
              <w:t>0</w:t>
            </w:r>
            <w:r>
              <w:rPr>
                <w:rFonts w:ascii="Times New Roman" w:eastAsia="仿宋"/>
                <w:szCs w:val="21"/>
              </w:rPr>
              <w:t>.005-0.038</w:t>
            </w:r>
          </w:p>
        </w:tc>
        <w:tc>
          <w:tcPr>
            <w:tcW w:w="508" w:type="pct"/>
            <w:vAlign w:val="center"/>
          </w:tcPr>
          <w:p w14:paraId="08DA35EF">
            <w:pPr>
              <w:spacing w:line="320" w:lineRule="exact"/>
              <w:jc w:val="center"/>
              <w:rPr>
                <w:rFonts w:ascii="Times New Roman" w:eastAsia="仿宋"/>
                <w:szCs w:val="21"/>
              </w:rPr>
            </w:pPr>
            <w:r>
              <w:rPr>
                <w:rFonts w:hint="eastAsia" w:ascii="Times New Roman" w:eastAsia="仿宋"/>
                <w:szCs w:val="21"/>
              </w:rPr>
              <w:t>0</w:t>
            </w:r>
          </w:p>
        </w:tc>
        <w:tc>
          <w:tcPr>
            <w:tcW w:w="486" w:type="pct"/>
            <w:vAlign w:val="center"/>
          </w:tcPr>
          <w:p w14:paraId="67BE9148">
            <w:pPr>
              <w:spacing w:line="320" w:lineRule="exact"/>
              <w:jc w:val="center"/>
              <w:rPr>
                <w:rFonts w:ascii="Times New Roman" w:eastAsia="仿宋"/>
                <w:szCs w:val="21"/>
              </w:rPr>
            </w:pPr>
            <w:r>
              <w:rPr>
                <w:rFonts w:hint="eastAsia" w:ascii="Times New Roman" w:eastAsia="仿宋"/>
                <w:szCs w:val="21"/>
              </w:rPr>
              <w:t>0</w:t>
            </w:r>
          </w:p>
        </w:tc>
      </w:tr>
    </w:tbl>
    <w:p w14:paraId="2A51DD0D">
      <w:pPr>
        <w:spacing w:line="340" w:lineRule="exact"/>
        <w:ind w:firstLine="229" w:firstLineChars="95"/>
        <w:rPr>
          <w:rFonts w:ascii="Times New Roman" w:eastAsia="仿宋"/>
          <w:b/>
          <w:szCs w:val="21"/>
        </w:rPr>
      </w:pPr>
      <w:r>
        <w:rPr>
          <w:rFonts w:ascii="Times New Roman" w:eastAsia="仿宋"/>
          <w:b/>
          <w:szCs w:val="21"/>
        </w:rPr>
        <w:t>注：</w:t>
      </w:r>
      <w:r>
        <w:rPr>
          <w:rFonts w:hint="eastAsia" w:ascii="Times New Roman" w:eastAsia="仿宋"/>
          <w:b/>
          <w:szCs w:val="21"/>
        </w:rPr>
        <w:t>二甲苯</w:t>
      </w:r>
      <w:r>
        <w:rPr>
          <w:rFonts w:ascii="Times New Roman" w:eastAsia="仿宋"/>
          <w:b/>
          <w:szCs w:val="21"/>
        </w:rPr>
        <w:t>（mg/</w:t>
      </w:r>
      <w:r>
        <w:rPr>
          <w:rFonts w:hint="eastAsia" w:ascii="Times New Roman" w:eastAsia="仿宋"/>
          <w:b/>
          <w:szCs w:val="21"/>
        </w:rPr>
        <w:t>m</w:t>
      </w:r>
      <w:r>
        <w:rPr>
          <w:rFonts w:hint="eastAsia" w:ascii="Times New Roman" w:eastAsia="仿宋"/>
          <w:b/>
          <w:szCs w:val="21"/>
          <w:vertAlign w:val="superscript"/>
        </w:rPr>
        <w:t>3</w:t>
      </w:r>
      <w:r>
        <w:rPr>
          <w:rFonts w:ascii="Times New Roman" w:eastAsia="仿宋"/>
          <w:b/>
          <w:szCs w:val="21"/>
        </w:rPr>
        <w:t>）检出限</w:t>
      </w:r>
      <w:r>
        <w:rPr>
          <w:rFonts w:hint="eastAsia" w:ascii="Times New Roman" w:eastAsia="仿宋"/>
          <w:b/>
          <w:szCs w:val="21"/>
        </w:rPr>
        <w:t>0.0005</w:t>
      </w:r>
      <w:r>
        <w:rPr>
          <w:rFonts w:ascii="Times New Roman" w:eastAsia="仿宋"/>
          <w:b/>
          <w:szCs w:val="21"/>
        </w:rPr>
        <w:t>mg/</w:t>
      </w:r>
      <w:r>
        <w:rPr>
          <w:rFonts w:hint="eastAsia" w:ascii="Times New Roman" w:eastAsia="仿宋"/>
          <w:b/>
          <w:szCs w:val="21"/>
        </w:rPr>
        <w:t>m</w:t>
      </w:r>
      <w:r>
        <w:rPr>
          <w:rFonts w:hint="eastAsia" w:ascii="Times New Roman" w:eastAsia="仿宋"/>
          <w:b/>
          <w:szCs w:val="21"/>
          <w:vertAlign w:val="superscript"/>
        </w:rPr>
        <w:t>3</w:t>
      </w:r>
    </w:p>
    <w:p w14:paraId="589EBDB9">
      <w:pPr>
        <w:pStyle w:val="3"/>
        <w:spacing w:after="0" w:line="500" w:lineRule="exact"/>
        <w:ind w:left="0" w:leftChars="0" w:firstLine="560" w:firstLineChars="200"/>
        <w:jc w:val="left"/>
        <w:rPr>
          <w:rFonts w:eastAsia="仿宋"/>
          <w:b/>
        </w:rPr>
      </w:pPr>
      <w:r>
        <w:rPr>
          <w:rFonts w:eastAsia="仿宋"/>
          <w:sz w:val="28"/>
          <w:szCs w:val="28"/>
        </w:rPr>
        <w:t>从大气环境监测结果来看，</w:t>
      </w:r>
      <w:r>
        <w:rPr>
          <w:rFonts w:hint="eastAsia" w:eastAsia="仿宋"/>
          <w:sz w:val="28"/>
          <w:szCs w:val="28"/>
        </w:rPr>
        <w:t>氮氧化物浓度满足</w:t>
      </w:r>
      <w:r>
        <w:rPr>
          <w:rFonts w:eastAsia="仿宋"/>
          <w:sz w:val="28"/>
          <w:szCs w:val="28"/>
        </w:rPr>
        <w:t>《环境空气质量标准》（GB3095-2012）二级标准</w:t>
      </w:r>
      <w:r>
        <w:rPr>
          <w:rFonts w:hint="eastAsia" w:eastAsia="仿宋"/>
          <w:sz w:val="28"/>
          <w:szCs w:val="28"/>
        </w:rPr>
        <w:t>，</w:t>
      </w:r>
      <w:r>
        <w:rPr>
          <w:rFonts w:eastAsia="仿宋"/>
          <w:sz w:val="28"/>
          <w:szCs w:val="28"/>
        </w:rPr>
        <w:t>非甲烷总烃一次浓度满足《</w:t>
      </w:r>
      <w:r>
        <w:rPr>
          <w:rFonts w:eastAsia="仿宋"/>
          <w:bCs/>
          <w:sz w:val="28"/>
          <w:szCs w:val="28"/>
        </w:rPr>
        <w:t>大气污染物综合排放标准</w:t>
      </w:r>
      <w:r>
        <w:rPr>
          <w:rFonts w:eastAsia="仿宋"/>
          <w:sz w:val="28"/>
          <w:szCs w:val="28"/>
        </w:rPr>
        <w:t>》</w:t>
      </w:r>
      <w:r>
        <w:rPr>
          <w:rFonts w:eastAsia="仿宋"/>
          <w:bCs/>
          <w:sz w:val="28"/>
          <w:szCs w:val="28"/>
        </w:rPr>
        <w:t>详解中推荐值</w:t>
      </w:r>
      <w:r>
        <w:rPr>
          <w:rFonts w:hint="eastAsia" w:eastAsia="仿宋"/>
          <w:bCs/>
          <w:sz w:val="28"/>
          <w:szCs w:val="28"/>
        </w:rPr>
        <w:t>，</w:t>
      </w:r>
      <w:r>
        <w:rPr>
          <w:rFonts w:hint="eastAsia" w:eastAsia="仿宋"/>
          <w:sz w:val="28"/>
          <w:szCs w:val="28"/>
        </w:rPr>
        <w:t>二甲苯浓度满足</w:t>
      </w:r>
      <w:r>
        <w:rPr>
          <w:rFonts w:hint="eastAsia" w:eastAsia="仿宋"/>
          <w:bCs/>
          <w:sz w:val="28"/>
          <w:szCs w:val="28"/>
        </w:rPr>
        <w:t>《环境影响评价技术导则 大气环境》（HJ2.2-2018）附录D中参考限值。</w:t>
      </w:r>
    </w:p>
    <w:p w14:paraId="6802F089">
      <w:pPr>
        <w:pStyle w:val="6"/>
        <w:keepLines w:val="0"/>
        <w:tabs>
          <w:tab w:val="left" w:pos="709"/>
        </w:tabs>
        <w:spacing w:before="120" w:beforeLines="50" w:after="120" w:afterLines="50" w:line="500" w:lineRule="exact"/>
        <w:rPr>
          <w:rFonts w:ascii="Times New Roman" w:eastAsia="仿宋"/>
          <w:sz w:val="30"/>
          <w:szCs w:val="30"/>
        </w:rPr>
      </w:pPr>
      <w:bookmarkStart w:id="286" w:name="_Toc150574779"/>
      <w:bookmarkStart w:id="287" w:name="_Toc192613769"/>
      <w:bookmarkStart w:id="288" w:name="_Toc304838111"/>
      <w:bookmarkStart w:id="289" w:name="_Toc211068007"/>
      <w:bookmarkStart w:id="290" w:name="_Toc183165316"/>
      <w:bookmarkStart w:id="291" w:name="_Toc254685638"/>
      <w:bookmarkStart w:id="292" w:name="_Toc150574780"/>
      <w:bookmarkStart w:id="293" w:name="_Toc109793320"/>
      <w:bookmarkStart w:id="294" w:name="_Toc100549922"/>
      <w:bookmarkStart w:id="295" w:name="_Toc85180839"/>
      <w:bookmarkStart w:id="296" w:name="_Toc85012541"/>
      <w:r>
        <w:rPr>
          <w:rFonts w:hint="eastAsia" w:ascii="Times New Roman" w:eastAsia="仿宋"/>
          <w:sz w:val="30"/>
          <w:szCs w:val="30"/>
        </w:rPr>
        <w:t>4</w:t>
      </w:r>
      <w:r>
        <w:rPr>
          <w:rFonts w:ascii="Times New Roman" w:eastAsia="仿宋"/>
          <w:sz w:val="30"/>
          <w:szCs w:val="30"/>
        </w:rPr>
        <w:t>.2.2地表水环境质量现状监测与评价</w:t>
      </w:r>
      <w:bookmarkEnd w:id="286"/>
      <w:bookmarkEnd w:id="287"/>
      <w:bookmarkEnd w:id="288"/>
      <w:bookmarkEnd w:id="289"/>
      <w:bookmarkEnd w:id="290"/>
      <w:bookmarkEnd w:id="291"/>
    </w:p>
    <w:p w14:paraId="6E578454">
      <w:pPr>
        <w:spacing w:line="500" w:lineRule="exact"/>
        <w:ind w:firstLine="560" w:firstLineChars="200"/>
        <w:rPr>
          <w:rFonts w:ascii="Times New Roman" w:eastAsia="仿宋"/>
          <w:sz w:val="28"/>
          <w:szCs w:val="28"/>
          <w:lang w:val="zh-CN"/>
        </w:rPr>
      </w:pPr>
      <w:r>
        <w:rPr>
          <w:rFonts w:ascii="Times New Roman" w:eastAsia="仿宋"/>
          <w:sz w:val="28"/>
          <w:szCs w:val="28"/>
        </w:rPr>
        <w:t>（1）</w:t>
      </w:r>
      <w:r>
        <w:rPr>
          <w:rFonts w:ascii="Times New Roman" w:eastAsia="仿宋"/>
          <w:sz w:val="28"/>
          <w:szCs w:val="28"/>
          <w:lang w:val="zh-CN"/>
        </w:rPr>
        <w:t>监测断面的布设</w:t>
      </w:r>
    </w:p>
    <w:p w14:paraId="360188B0">
      <w:pPr>
        <w:spacing w:line="500" w:lineRule="exact"/>
        <w:ind w:firstLine="560" w:firstLineChars="200"/>
        <w:rPr>
          <w:rFonts w:ascii="Times New Roman" w:eastAsia="仿宋"/>
          <w:sz w:val="28"/>
          <w:szCs w:val="28"/>
          <w:lang w:val="zh-CN"/>
        </w:rPr>
      </w:pPr>
      <w:r>
        <w:rPr>
          <w:rFonts w:hint="eastAsia" w:ascii="Times New Roman" w:eastAsia="仿宋"/>
          <w:sz w:val="28"/>
          <w:szCs w:val="28"/>
          <w:lang w:val="zh-CN"/>
        </w:rPr>
        <w:t>本项目达标尾水排入通济河，涉及水体为通济河、熊家河，根据评价区域内水文特征、排污口的分布，共布设4个断面，分别位于直溪大桥断面（W1）、亚细路与直溪大道交汇处断面（W2）、鹤科桥断面（W3）、熊家河与通济河交汇处下游2000m处断面（W4）（具体布点见水系图），</w:t>
      </w:r>
      <w:r>
        <w:rPr>
          <w:rFonts w:ascii="Times New Roman" w:eastAsia="仿宋"/>
          <w:sz w:val="28"/>
          <w:szCs w:val="28"/>
          <w:lang w:val="zh-CN"/>
        </w:rPr>
        <w:t>本次地表水环境质量现状引用</w:t>
      </w:r>
      <w:r>
        <w:rPr>
          <w:rFonts w:hint="eastAsia" w:ascii="Times New Roman" w:eastAsia="仿宋"/>
          <w:sz w:val="28"/>
          <w:szCs w:val="28"/>
        </w:rPr>
        <w:t>江苏久诚检验检测有限公司于2022年5月30日至6月1日对通济河、熊家河4个断面进行监测的地表水监测数据</w:t>
      </w:r>
      <w:r>
        <w:rPr>
          <w:rFonts w:ascii="Times New Roman" w:eastAsia="仿宋"/>
          <w:sz w:val="28"/>
          <w:szCs w:val="28"/>
          <w:lang w:val="zh-CN"/>
        </w:rPr>
        <w:t>。</w:t>
      </w:r>
    </w:p>
    <w:p w14:paraId="1F1B015F">
      <w:pPr>
        <w:spacing w:line="500" w:lineRule="exact"/>
        <w:ind w:firstLine="560" w:firstLineChars="200"/>
        <w:rPr>
          <w:rFonts w:ascii="Times New Roman" w:eastAsia="仿宋"/>
          <w:sz w:val="28"/>
          <w:szCs w:val="28"/>
        </w:rPr>
      </w:pPr>
      <w:r>
        <w:rPr>
          <w:rFonts w:hint="eastAsia" w:ascii="Times New Roman" w:eastAsia="仿宋"/>
          <w:sz w:val="28"/>
          <w:szCs w:val="28"/>
        </w:rPr>
        <w:t>引用数据有效性分析：</w:t>
      </w:r>
      <w:r>
        <w:rPr>
          <w:rFonts w:ascii="Times New Roman" w:eastAsia="仿宋"/>
          <w:sz w:val="28"/>
          <w:szCs w:val="28"/>
        </w:rPr>
        <w:t>根据《建设项目环境影响报告表编制技术指南》（污染影响类）（试行）可知，引用与建设项目距离近的有效数据，包括近3</w:t>
      </w:r>
      <w:r>
        <w:rPr>
          <w:rFonts w:hint="eastAsia" w:ascii="Times New Roman" w:eastAsia="仿宋"/>
          <w:sz w:val="28"/>
          <w:szCs w:val="28"/>
        </w:rPr>
        <w:t>年的规划环境影响评价的监测数据，所在流域控制单元内国家、地方控制断面监测数据，生态环境主管部门发布的水环境质量数据或地表水达标情况的结论。</w:t>
      </w:r>
    </w:p>
    <w:p w14:paraId="300C9C19">
      <w:pPr>
        <w:spacing w:line="500" w:lineRule="exact"/>
        <w:ind w:firstLine="560" w:firstLineChars="200"/>
        <w:rPr>
          <w:rFonts w:ascii="Times New Roman" w:eastAsia="仿宋"/>
          <w:sz w:val="28"/>
          <w:szCs w:val="28"/>
        </w:rPr>
      </w:pPr>
      <w:r>
        <w:rPr>
          <w:rFonts w:ascii="Times New Roman" w:eastAsia="仿宋"/>
          <w:sz w:val="28"/>
          <w:szCs w:val="28"/>
        </w:rPr>
        <w:t>本项目地表水评价等级为</w:t>
      </w:r>
      <w:r>
        <w:rPr>
          <w:rFonts w:hint="eastAsia" w:ascii="Times New Roman" w:eastAsia="仿宋"/>
          <w:sz w:val="28"/>
          <w:szCs w:val="28"/>
        </w:rPr>
        <w:t>Ⅳ</w:t>
      </w:r>
      <w:r>
        <w:rPr>
          <w:rFonts w:ascii="Times New Roman" w:eastAsia="仿宋"/>
          <w:sz w:val="28"/>
          <w:szCs w:val="28"/>
        </w:rPr>
        <w:t>级，监测点位覆盖环境风险影响范围所及的水环境保护目标水域，</w:t>
      </w:r>
      <w:r>
        <w:rPr>
          <w:rFonts w:hint="eastAsia" w:ascii="Times New Roman" w:eastAsia="仿宋"/>
          <w:sz w:val="28"/>
          <w:szCs w:val="28"/>
        </w:rPr>
        <w:t>引用</w:t>
      </w:r>
      <w:r>
        <w:rPr>
          <w:rFonts w:ascii="Times New Roman" w:eastAsia="仿宋"/>
          <w:sz w:val="28"/>
          <w:szCs w:val="28"/>
        </w:rPr>
        <w:t>监测数据时效为3年内，监测方法符合《</w:t>
      </w:r>
      <w:r>
        <w:rPr>
          <w:rFonts w:hint="eastAsia" w:ascii="Times New Roman" w:eastAsia="仿宋"/>
          <w:sz w:val="28"/>
          <w:szCs w:val="28"/>
        </w:rPr>
        <w:t xml:space="preserve">环境影响评价技术导则 </w:t>
      </w:r>
      <w:r>
        <w:rPr>
          <w:rFonts w:ascii="Times New Roman" w:eastAsia="仿宋"/>
          <w:sz w:val="28"/>
          <w:szCs w:val="28"/>
        </w:rPr>
        <w:t>地表水环境》（HJ2.3-2018）中相关要求</w:t>
      </w:r>
      <w:r>
        <w:rPr>
          <w:rFonts w:hint="eastAsia" w:ascii="Times New Roman" w:eastAsia="仿宋"/>
          <w:sz w:val="28"/>
          <w:szCs w:val="28"/>
        </w:rPr>
        <w:t>，本项目饮用水数据有效。</w:t>
      </w:r>
    </w:p>
    <w:p w14:paraId="7F747D2E">
      <w:pPr>
        <w:spacing w:line="500" w:lineRule="exact"/>
        <w:ind w:firstLine="560" w:firstLineChars="200"/>
        <w:rPr>
          <w:rFonts w:ascii="Times New Roman" w:eastAsia="仿宋"/>
          <w:sz w:val="28"/>
          <w:szCs w:val="28"/>
          <w:lang w:val="zh-CN"/>
        </w:rPr>
      </w:pPr>
      <w:r>
        <w:rPr>
          <w:rFonts w:ascii="Times New Roman" w:eastAsia="仿宋"/>
          <w:sz w:val="28"/>
          <w:szCs w:val="28"/>
          <w:lang w:val="zh-CN"/>
        </w:rPr>
        <w:t>监测断面和监测因子具体见下表，监测断面位置见图4.2-4。</w:t>
      </w:r>
    </w:p>
    <w:p w14:paraId="326A165F">
      <w:pPr>
        <w:spacing w:line="500" w:lineRule="exact"/>
        <w:jc w:val="center"/>
        <w:rPr>
          <w:rFonts w:ascii="Times New Roman" w:eastAsia="仿宋"/>
          <w:b/>
          <w:bCs/>
        </w:rPr>
      </w:pPr>
      <w:r>
        <w:rPr>
          <w:rFonts w:ascii="Times New Roman" w:eastAsia="仿宋"/>
          <w:b/>
        </w:rPr>
        <w:t xml:space="preserve">表4.2-4   </w:t>
      </w:r>
      <w:r>
        <w:rPr>
          <w:rFonts w:ascii="Times New Roman" w:eastAsia="仿宋"/>
          <w:b/>
          <w:bCs/>
        </w:rPr>
        <w:t>地表水环境监测断面具体位置一览表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247"/>
        <w:gridCol w:w="4110"/>
        <w:gridCol w:w="2070"/>
      </w:tblGrid>
      <w:tr w14:paraId="02A9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74950A0">
            <w:pPr>
              <w:jc w:val="center"/>
              <w:rPr>
                <w:rFonts w:ascii="Times New Roman" w:eastAsia="仿宋"/>
                <w:szCs w:val="21"/>
              </w:rPr>
            </w:pPr>
            <w:r>
              <w:rPr>
                <w:rFonts w:ascii="Times New Roman" w:eastAsia="仿宋"/>
                <w:szCs w:val="21"/>
              </w:rPr>
              <w:t>断面编号</w:t>
            </w:r>
          </w:p>
        </w:tc>
        <w:tc>
          <w:tcPr>
            <w:tcW w:w="1247" w:type="dxa"/>
            <w:tcBorders>
              <w:top w:val="single" w:color="auto" w:sz="4" w:space="0"/>
              <w:left w:val="single" w:color="auto" w:sz="4" w:space="0"/>
              <w:bottom w:val="single" w:color="auto" w:sz="4" w:space="0"/>
              <w:right w:val="single" w:color="auto" w:sz="4" w:space="0"/>
            </w:tcBorders>
            <w:vAlign w:val="center"/>
          </w:tcPr>
          <w:p w14:paraId="769A3F76">
            <w:pPr>
              <w:jc w:val="center"/>
              <w:rPr>
                <w:rFonts w:ascii="Times New Roman" w:eastAsia="仿宋"/>
                <w:szCs w:val="21"/>
              </w:rPr>
            </w:pPr>
            <w:r>
              <w:rPr>
                <w:rFonts w:ascii="Times New Roman" w:eastAsia="仿宋"/>
                <w:szCs w:val="21"/>
              </w:rPr>
              <w:t>水系名称</w:t>
            </w:r>
          </w:p>
        </w:tc>
        <w:tc>
          <w:tcPr>
            <w:tcW w:w="4110" w:type="dxa"/>
            <w:tcBorders>
              <w:top w:val="single" w:color="auto" w:sz="4" w:space="0"/>
              <w:left w:val="single" w:color="auto" w:sz="4" w:space="0"/>
              <w:bottom w:val="single" w:color="auto" w:sz="4" w:space="0"/>
              <w:right w:val="single" w:color="auto" w:sz="4" w:space="0"/>
            </w:tcBorders>
            <w:vAlign w:val="center"/>
          </w:tcPr>
          <w:p w14:paraId="44326848">
            <w:pPr>
              <w:jc w:val="center"/>
              <w:rPr>
                <w:rFonts w:ascii="Times New Roman" w:eastAsia="仿宋"/>
                <w:szCs w:val="21"/>
              </w:rPr>
            </w:pPr>
            <w:r>
              <w:rPr>
                <w:rFonts w:ascii="Times New Roman" w:eastAsia="仿宋"/>
                <w:szCs w:val="21"/>
              </w:rPr>
              <w:t>断面布设位置</w:t>
            </w:r>
          </w:p>
        </w:tc>
        <w:tc>
          <w:tcPr>
            <w:tcW w:w="2064" w:type="dxa"/>
            <w:tcBorders>
              <w:top w:val="single" w:color="auto" w:sz="4" w:space="0"/>
              <w:left w:val="single" w:color="auto" w:sz="4" w:space="0"/>
              <w:bottom w:val="single" w:color="auto" w:sz="4" w:space="0"/>
              <w:right w:val="single" w:color="auto" w:sz="4" w:space="0"/>
            </w:tcBorders>
            <w:vAlign w:val="center"/>
          </w:tcPr>
          <w:p w14:paraId="27FE968E">
            <w:pPr>
              <w:jc w:val="center"/>
              <w:rPr>
                <w:rFonts w:ascii="Times New Roman" w:eastAsia="仿宋"/>
                <w:szCs w:val="21"/>
              </w:rPr>
            </w:pPr>
            <w:r>
              <w:rPr>
                <w:rFonts w:ascii="Times New Roman" w:eastAsia="仿宋"/>
                <w:szCs w:val="21"/>
              </w:rPr>
              <w:t>功能类别</w:t>
            </w:r>
          </w:p>
        </w:tc>
      </w:tr>
      <w:tr w14:paraId="225F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484B2B8">
            <w:pPr>
              <w:jc w:val="center"/>
              <w:rPr>
                <w:rFonts w:ascii="Times New Roman" w:eastAsia="仿宋"/>
                <w:szCs w:val="21"/>
              </w:rPr>
            </w:pPr>
            <w:r>
              <w:rPr>
                <w:rFonts w:ascii="Times New Roman" w:eastAsia="仿宋"/>
                <w:szCs w:val="21"/>
              </w:rPr>
              <w:t>Wl</w:t>
            </w:r>
          </w:p>
        </w:tc>
        <w:tc>
          <w:tcPr>
            <w:tcW w:w="1247" w:type="dxa"/>
            <w:tcBorders>
              <w:top w:val="single" w:color="auto" w:sz="4" w:space="0"/>
              <w:left w:val="single" w:color="auto" w:sz="4" w:space="0"/>
              <w:bottom w:val="single" w:color="auto" w:sz="4" w:space="0"/>
              <w:right w:val="single" w:color="auto" w:sz="4" w:space="0"/>
            </w:tcBorders>
            <w:vAlign w:val="center"/>
          </w:tcPr>
          <w:p w14:paraId="4E1F4FCF">
            <w:pPr>
              <w:jc w:val="center"/>
              <w:rPr>
                <w:rFonts w:ascii="Times New Roman" w:eastAsia="仿宋"/>
                <w:szCs w:val="21"/>
              </w:rPr>
            </w:pPr>
            <w:r>
              <w:rPr>
                <w:rFonts w:hint="eastAsia" w:ascii="Times New Roman" w:eastAsia="仿宋"/>
                <w:szCs w:val="21"/>
              </w:rPr>
              <w:t>通济河</w:t>
            </w:r>
          </w:p>
        </w:tc>
        <w:tc>
          <w:tcPr>
            <w:tcW w:w="4110" w:type="dxa"/>
            <w:tcBorders>
              <w:top w:val="single" w:color="auto" w:sz="4" w:space="0"/>
              <w:left w:val="single" w:color="auto" w:sz="4" w:space="0"/>
              <w:bottom w:val="single" w:color="auto" w:sz="4" w:space="0"/>
              <w:right w:val="single" w:color="auto" w:sz="4" w:space="0"/>
            </w:tcBorders>
            <w:vAlign w:val="center"/>
          </w:tcPr>
          <w:p w14:paraId="6640CB43">
            <w:pPr>
              <w:jc w:val="center"/>
              <w:rPr>
                <w:rFonts w:ascii="Times New Roman" w:eastAsia="仿宋"/>
                <w:szCs w:val="21"/>
              </w:rPr>
            </w:pPr>
            <w:r>
              <w:rPr>
                <w:rFonts w:hint="eastAsia" w:ascii="Times New Roman" w:eastAsia="仿宋"/>
                <w:szCs w:val="21"/>
              </w:rPr>
              <w:t>直溪大桥断面</w:t>
            </w:r>
          </w:p>
        </w:tc>
        <w:tc>
          <w:tcPr>
            <w:tcW w:w="2064" w:type="dxa"/>
            <w:vMerge w:val="restart"/>
            <w:tcBorders>
              <w:top w:val="single" w:color="auto" w:sz="4" w:space="0"/>
              <w:left w:val="single" w:color="auto" w:sz="4" w:space="0"/>
              <w:right w:val="single" w:color="auto" w:sz="4" w:space="0"/>
            </w:tcBorders>
            <w:vAlign w:val="center"/>
          </w:tcPr>
          <w:p w14:paraId="56203326">
            <w:pPr>
              <w:jc w:val="center"/>
              <w:rPr>
                <w:rFonts w:ascii="Times New Roman" w:eastAsia="仿宋"/>
                <w:szCs w:val="21"/>
              </w:rPr>
            </w:pPr>
            <w:r>
              <w:rPr>
                <w:rFonts w:ascii="Times New Roman" w:eastAsia="仿宋"/>
                <w:szCs w:val="21"/>
              </w:rPr>
              <w:t>执行《地表水环境质量标准》（GB3838-2002）</w:t>
            </w:r>
            <w:r>
              <w:rPr>
                <w:rFonts w:hint="eastAsia" w:ascii="Times New Roman" w:eastAsia="仿宋"/>
                <w:szCs w:val="21"/>
              </w:rPr>
              <w:t>Ⅳ</w:t>
            </w:r>
            <w:r>
              <w:rPr>
                <w:rFonts w:ascii="Times New Roman" w:eastAsia="仿宋"/>
                <w:szCs w:val="21"/>
              </w:rPr>
              <w:t>类水质标准</w:t>
            </w:r>
          </w:p>
        </w:tc>
      </w:tr>
      <w:tr w14:paraId="3146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D87733A">
            <w:pPr>
              <w:jc w:val="center"/>
              <w:rPr>
                <w:rFonts w:ascii="Times New Roman" w:eastAsia="仿宋"/>
                <w:szCs w:val="21"/>
              </w:rPr>
            </w:pPr>
            <w:r>
              <w:rPr>
                <w:rFonts w:ascii="Times New Roman" w:eastAsia="仿宋"/>
                <w:szCs w:val="21"/>
              </w:rPr>
              <w:t>W2</w:t>
            </w:r>
          </w:p>
        </w:tc>
        <w:tc>
          <w:tcPr>
            <w:tcW w:w="1247" w:type="dxa"/>
            <w:tcBorders>
              <w:top w:val="single" w:color="auto" w:sz="4" w:space="0"/>
              <w:left w:val="single" w:color="auto" w:sz="4" w:space="0"/>
              <w:bottom w:val="single" w:color="auto" w:sz="4" w:space="0"/>
              <w:right w:val="single" w:color="auto" w:sz="4" w:space="0"/>
            </w:tcBorders>
            <w:vAlign w:val="center"/>
          </w:tcPr>
          <w:p w14:paraId="2C2D9F57">
            <w:pPr>
              <w:widowControl/>
              <w:jc w:val="center"/>
              <w:rPr>
                <w:rFonts w:ascii="Times New Roman" w:eastAsia="仿宋"/>
                <w:szCs w:val="21"/>
              </w:rPr>
            </w:pPr>
            <w:r>
              <w:rPr>
                <w:rFonts w:hint="eastAsia" w:ascii="Times New Roman" w:eastAsia="仿宋"/>
                <w:szCs w:val="21"/>
              </w:rPr>
              <w:t>熊家河</w:t>
            </w:r>
          </w:p>
        </w:tc>
        <w:tc>
          <w:tcPr>
            <w:tcW w:w="4110" w:type="dxa"/>
            <w:tcBorders>
              <w:top w:val="single" w:color="auto" w:sz="4" w:space="0"/>
              <w:left w:val="single" w:color="auto" w:sz="4" w:space="0"/>
              <w:bottom w:val="single" w:color="auto" w:sz="4" w:space="0"/>
              <w:right w:val="single" w:color="auto" w:sz="4" w:space="0"/>
            </w:tcBorders>
            <w:vAlign w:val="center"/>
          </w:tcPr>
          <w:p w14:paraId="31BA4857">
            <w:pPr>
              <w:jc w:val="center"/>
              <w:rPr>
                <w:rFonts w:ascii="Times New Roman" w:eastAsia="仿宋"/>
                <w:szCs w:val="21"/>
              </w:rPr>
            </w:pPr>
            <w:r>
              <w:rPr>
                <w:rFonts w:ascii="Times New Roman" w:eastAsia="仿宋"/>
                <w:szCs w:val="21"/>
              </w:rPr>
              <w:t>亚细路与直溪大道交汇处断面</w:t>
            </w:r>
          </w:p>
        </w:tc>
        <w:tc>
          <w:tcPr>
            <w:tcW w:w="2064" w:type="dxa"/>
            <w:vMerge w:val="continue"/>
            <w:tcBorders>
              <w:left w:val="single" w:color="auto" w:sz="4" w:space="0"/>
              <w:right w:val="single" w:color="auto" w:sz="4" w:space="0"/>
            </w:tcBorders>
            <w:vAlign w:val="center"/>
          </w:tcPr>
          <w:p w14:paraId="37BBB6CA">
            <w:pPr>
              <w:jc w:val="center"/>
              <w:rPr>
                <w:rFonts w:ascii="Times New Roman" w:eastAsia="仿宋_GB2312"/>
                <w:bCs/>
                <w:sz w:val="21"/>
                <w:szCs w:val="21"/>
              </w:rPr>
            </w:pPr>
          </w:p>
        </w:tc>
      </w:tr>
      <w:tr w14:paraId="47EC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9B22F20">
            <w:pPr>
              <w:jc w:val="center"/>
              <w:rPr>
                <w:rFonts w:ascii="Times New Roman" w:eastAsia="仿宋"/>
                <w:szCs w:val="21"/>
              </w:rPr>
            </w:pPr>
            <w:r>
              <w:rPr>
                <w:rFonts w:ascii="Times New Roman" w:eastAsia="仿宋"/>
                <w:szCs w:val="21"/>
              </w:rPr>
              <w:t>W3</w:t>
            </w:r>
          </w:p>
        </w:tc>
        <w:tc>
          <w:tcPr>
            <w:tcW w:w="1247" w:type="dxa"/>
            <w:vMerge w:val="restart"/>
            <w:tcBorders>
              <w:top w:val="single" w:color="auto" w:sz="4" w:space="0"/>
              <w:left w:val="single" w:color="auto" w:sz="4" w:space="0"/>
              <w:right w:val="single" w:color="auto" w:sz="4" w:space="0"/>
            </w:tcBorders>
            <w:vAlign w:val="center"/>
          </w:tcPr>
          <w:p w14:paraId="3D6D90F7">
            <w:pPr>
              <w:widowControl/>
              <w:jc w:val="center"/>
              <w:rPr>
                <w:rFonts w:ascii="Times New Roman" w:eastAsia="仿宋"/>
                <w:szCs w:val="21"/>
              </w:rPr>
            </w:pPr>
            <w:r>
              <w:rPr>
                <w:rFonts w:hint="eastAsia" w:ascii="Times New Roman" w:eastAsia="仿宋"/>
                <w:szCs w:val="21"/>
              </w:rPr>
              <w:t>通济河</w:t>
            </w:r>
          </w:p>
        </w:tc>
        <w:tc>
          <w:tcPr>
            <w:tcW w:w="4110" w:type="dxa"/>
            <w:tcBorders>
              <w:top w:val="single" w:color="auto" w:sz="4" w:space="0"/>
              <w:left w:val="single" w:color="auto" w:sz="4" w:space="0"/>
              <w:bottom w:val="single" w:color="auto" w:sz="4" w:space="0"/>
              <w:right w:val="single" w:color="auto" w:sz="4" w:space="0"/>
            </w:tcBorders>
            <w:vAlign w:val="center"/>
          </w:tcPr>
          <w:p w14:paraId="478A580B">
            <w:pPr>
              <w:jc w:val="center"/>
              <w:rPr>
                <w:rFonts w:ascii="Times New Roman" w:eastAsia="仿宋"/>
                <w:szCs w:val="21"/>
              </w:rPr>
            </w:pPr>
            <w:r>
              <w:rPr>
                <w:rFonts w:hint="eastAsia" w:ascii="Times New Roman" w:eastAsia="仿宋"/>
                <w:szCs w:val="21"/>
              </w:rPr>
              <w:t>鹤科</w:t>
            </w:r>
            <w:r>
              <w:rPr>
                <w:rFonts w:ascii="Times New Roman" w:eastAsia="仿宋"/>
                <w:szCs w:val="21"/>
              </w:rPr>
              <w:t>桥断面</w:t>
            </w:r>
          </w:p>
        </w:tc>
        <w:tc>
          <w:tcPr>
            <w:tcW w:w="2064" w:type="dxa"/>
            <w:vMerge w:val="continue"/>
            <w:tcBorders>
              <w:left w:val="single" w:color="auto" w:sz="4" w:space="0"/>
              <w:right w:val="single" w:color="auto" w:sz="4" w:space="0"/>
            </w:tcBorders>
            <w:vAlign w:val="center"/>
          </w:tcPr>
          <w:p w14:paraId="22488835">
            <w:pPr>
              <w:widowControl/>
              <w:jc w:val="center"/>
              <w:rPr>
                <w:rFonts w:ascii="Times New Roman" w:eastAsia="仿宋_GB2312"/>
                <w:bCs/>
                <w:sz w:val="21"/>
                <w:szCs w:val="21"/>
              </w:rPr>
            </w:pPr>
          </w:p>
        </w:tc>
      </w:tr>
      <w:tr w14:paraId="5943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ABA1863">
            <w:pPr>
              <w:jc w:val="center"/>
              <w:rPr>
                <w:rFonts w:ascii="Times New Roman" w:eastAsia="仿宋"/>
                <w:szCs w:val="21"/>
              </w:rPr>
            </w:pPr>
            <w:r>
              <w:rPr>
                <w:rFonts w:ascii="Times New Roman" w:eastAsia="仿宋"/>
                <w:szCs w:val="21"/>
              </w:rPr>
              <w:t>W4</w:t>
            </w:r>
          </w:p>
        </w:tc>
        <w:tc>
          <w:tcPr>
            <w:tcW w:w="1247" w:type="dxa"/>
            <w:vMerge w:val="continue"/>
            <w:tcBorders>
              <w:left w:val="single" w:color="auto" w:sz="4" w:space="0"/>
              <w:right w:val="single" w:color="auto" w:sz="4" w:space="0"/>
            </w:tcBorders>
            <w:vAlign w:val="center"/>
          </w:tcPr>
          <w:p w14:paraId="080ACBD4">
            <w:pPr>
              <w:widowControl/>
              <w:jc w:val="center"/>
              <w:rPr>
                <w:rFonts w:ascii="Times New Roman" w:eastAsia="仿宋"/>
                <w:szCs w:val="21"/>
              </w:rPr>
            </w:pPr>
          </w:p>
        </w:tc>
        <w:tc>
          <w:tcPr>
            <w:tcW w:w="4110" w:type="dxa"/>
            <w:tcBorders>
              <w:top w:val="single" w:color="auto" w:sz="4" w:space="0"/>
              <w:left w:val="single" w:color="auto" w:sz="4" w:space="0"/>
              <w:bottom w:val="single" w:color="auto" w:sz="4" w:space="0"/>
              <w:right w:val="single" w:color="auto" w:sz="4" w:space="0"/>
            </w:tcBorders>
            <w:vAlign w:val="center"/>
          </w:tcPr>
          <w:p w14:paraId="389F07C1">
            <w:pPr>
              <w:jc w:val="center"/>
              <w:rPr>
                <w:rFonts w:ascii="Times New Roman" w:eastAsia="仿宋"/>
                <w:szCs w:val="21"/>
              </w:rPr>
            </w:pPr>
            <w:r>
              <w:rPr>
                <w:rFonts w:hint="eastAsia" w:ascii="Times New Roman" w:eastAsia="仿宋"/>
                <w:szCs w:val="21"/>
              </w:rPr>
              <w:t>熊家河</w:t>
            </w:r>
            <w:r>
              <w:rPr>
                <w:rFonts w:ascii="Times New Roman" w:eastAsia="仿宋"/>
                <w:szCs w:val="21"/>
              </w:rPr>
              <w:t>与通济河交汇处下游</w:t>
            </w:r>
            <w:r>
              <w:rPr>
                <w:rFonts w:hint="eastAsia" w:ascii="Times New Roman" w:eastAsia="仿宋"/>
                <w:szCs w:val="21"/>
              </w:rPr>
              <w:t>2000</w:t>
            </w:r>
            <w:r>
              <w:rPr>
                <w:rFonts w:ascii="Times New Roman" w:eastAsia="仿宋"/>
                <w:szCs w:val="21"/>
              </w:rPr>
              <w:t>m处断面</w:t>
            </w:r>
          </w:p>
        </w:tc>
        <w:tc>
          <w:tcPr>
            <w:tcW w:w="2064" w:type="dxa"/>
            <w:vMerge w:val="continue"/>
            <w:tcBorders>
              <w:left w:val="single" w:color="auto" w:sz="4" w:space="0"/>
              <w:bottom w:val="single" w:color="auto" w:sz="4" w:space="0"/>
              <w:right w:val="single" w:color="auto" w:sz="4" w:space="0"/>
            </w:tcBorders>
            <w:vAlign w:val="center"/>
          </w:tcPr>
          <w:p w14:paraId="6773948A">
            <w:pPr>
              <w:widowControl/>
              <w:jc w:val="center"/>
              <w:rPr>
                <w:rFonts w:ascii="Times New Roman" w:eastAsia="仿宋_GB2312"/>
                <w:bCs/>
                <w:sz w:val="21"/>
                <w:szCs w:val="21"/>
              </w:rPr>
            </w:pPr>
          </w:p>
        </w:tc>
      </w:tr>
    </w:tbl>
    <w:p w14:paraId="5526FE0A">
      <w:pPr>
        <w:spacing w:line="500" w:lineRule="exact"/>
        <w:ind w:firstLine="560" w:firstLineChars="200"/>
        <w:rPr>
          <w:rFonts w:ascii="Times New Roman" w:eastAsia="仿宋"/>
          <w:sz w:val="28"/>
          <w:szCs w:val="28"/>
        </w:rPr>
      </w:pPr>
      <w:r>
        <w:rPr>
          <w:rFonts w:ascii="Times New Roman" w:eastAsia="仿宋"/>
          <w:sz w:val="28"/>
          <w:szCs w:val="28"/>
        </w:rPr>
        <w:t>（2）</w:t>
      </w:r>
      <w:r>
        <w:rPr>
          <w:rFonts w:ascii="Times New Roman" w:eastAsia="仿宋"/>
          <w:sz w:val="28"/>
          <w:szCs w:val="28"/>
          <w:lang w:val="zh-CN"/>
        </w:rPr>
        <w:t>监测项目</w:t>
      </w:r>
    </w:p>
    <w:p w14:paraId="0C8CE7D9">
      <w:pPr>
        <w:adjustRightInd w:val="0"/>
        <w:snapToGrid w:val="0"/>
        <w:spacing w:line="500" w:lineRule="exact"/>
        <w:ind w:firstLine="560" w:firstLineChars="200"/>
        <w:rPr>
          <w:rFonts w:ascii="Times New Roman" w:eastAsia="仿宋_GB2312"/>
          <w:kern w:val="2"/>
          <w:sz w:val="28"/>
          <w:szCs w:val="28"/>
        </w:rPr>
      </w:pPr>
      <w:r>
        <w:rPr>
          <w:rFonts w:hint="eastAsia" w:ascii="Times New Roman" w:eastAsia="仿宋_GB2312"/>
          <w:kern w:val="2"/>
          <w:sz w:val="28"/>
          <w:szCs w:val="28"/>
        </w:rPr>
        <w:t>通济河</w:t>
      </w:r>
      <w:r>
        <w:rPr>
          <w:rFonts w:ascii="Times New Roman" w:eastAsia="仿宋_GB2312"/>
          <w:kern w:val="2"/>
          <w:sz w:val="28"/>
          <w:szCs w:val="28"/>
        </w:rPr>
        <w:t>、</w:t>
      </w:r>
      <w:r>
        <w:rPr>
          <w:rFonts w:hint="eastAsia" w:ascii="Times New Roman" w:eastAsia="仿宋_GB2312"/>
          <w:kern w:val="2"/>
          <w:sz w:val="28"/>
          <w:szCs w:val="28"/>
        </w:rPr>
        <w:t>熊家河</w:t>
      </w:r>
      <w:r>
        <w:rPr>
          <w:rFonts w:ascii="Times New Roman" w:eastAsia="仿宋_GB2312"/>
          <w:kern w:val="2"/>
          <w:sz w:val="28"/>
          <w:szCs w:val="28"/>
        </w:rPr>
        <w:t>监测因子见下表。</w:t>
      </w:r>
    </w:p>
    <w:p w14:paraId="0156FF19">
      <w:pPr>
        <w:spacing w:before="120" w:beforeLines="50"/>
        <w:jc w:val="center"/>
        <w:rPr>
          <w:rFonts w:ascii="Times New Roman" w:eastAsia="仿宋_GB2312"/>
          <w:b/>
          <w:kern w:val="2"/>
          <w:szCs w:val="24"/>
        </w:rPr>
      </w:pPr>
      <w:r>
        <w:rPr>
          <w:rFonts w:ascii="Times New Roman" w:eastAsia="仿宋_GB2312"/>
          <w:b/>
          <w:kern w:val="2"/>
          <w:szCs w:val="24"/>
        </w:rPr>
        <w:t>表4.2-5  地表水环境监测因子一览表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268"/>
        <w:gridCol w:w="3347"/>
        <w:gridCol w:w="3511"/>
      </w:tblGrid>
      <w:tr w14:paraId="467E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68698371">
            <w:pPr>
              <w:jc w:val="center"/>
              <w:rPr>
                <w:rFonts w:ascii="Times New Roman" w:eastAsia="仿宋"/>
                <w:szCs w:val="21"/>
              </w:rPr>
            </w:pPr>
            <w:r>
              <w:rPr>
                <w:rFonts w:ascii="Times New Roman" w:eastAsia="仿宋"/>
                <w:szCs w:val="21"/>
              </w:rPr>
              <w:t>断面编号</w:t>
            </w:r>
          </w:p>
        </w:tc>
        <w:tc>
          <w:tcPr>
            <w:tcW w:w="686" w:type="pct"/>
            <w:tcBorders>
              <w:top w:val="single" w:color="auto" w:sz="4" w:space="0"/>
              <w:left w:val="single" w:color="auto" w:sz="4" w:space="0"/>
              <w:bottom w:val="single" w:color="auto" w:sz="4" w:space="0"/>
              <w:right w:val="single" w:color="auto" w:sz="4" w:space="0"/>
            </w:tcBorders>
            <w:vAlign w:val="center"/>
          </w:tcPr>
          <w:p w14:paraId="26869999">
            <w:pPr>
              <w:jc w:val="center"/>
              <w:rPr>
                <w:rFonts w:ascii="Times New Roman" w:eastAsia="仿宋"/>
                <w:szCs w:val="21"/>
              </w:rPr>
            </w:pPr>
            <w:r>
              <w:rPr>
                <w:rFonts w:ascii="Times New Roman" w:eastAsia="仿宋"/>
                <w:szCs w:val="21"/>
              </w:rPr>
              <w:t>水系名称</w:t>
            </w:r>
          </w:p>
        </w:tc>
        <w:tc>
          <w:tcPr>
            <w:tcW w:w="1811" w:type="pct"/>
            <w:tcBorders>
              <w:top w:val="single" w:color="auto" w:sz="4" w:space="0"/>
              <w:left w:val="single" w:color="auto" w:sz="4" w:space="0"/>
              <w:bottom w:val="single" w:color="auto" w:sz="4" w:space="0"/>
              <w:right w:val="single" w:color="auto" w:sz="4" w:space="0"/>
            </w:tcBorders>
            <w:vAlign w:val="center"/>
          </w:tcPr>
          <w:p w14:paraId="5F293BF5">
            <w:pPr>
              <w:jc w:val="center"/>
              <w:rPr>
                <w:rFonts w:ascii="Times New Roman" w:eastAsia="仿宋"/>
                <w:szCs w:val="21"/>
              </w:rPr>
            </w:pPr>
            <w:r>
              <w:rPr>
                <w:rFonts w:ascii="Times New Roman" w:eastAsia="仿宋"/>
                <w:szCs w:val="21"/>
              </w:rPr>
              <w:t>断面布设位置</w:t>
            </w:r>
          </w:p>
        </w:tc>
        <w:tc>
          <w:tcPr>
            <w:tcW w:w="1899" w:type="pct"/>
            <w:tcBorders>
              <w:top w:val="single" w:color="auto" w:sz="4" w:space="0"/>
              <w:left w:val="single" w:color="auto" w:sz="4" w:space="0"/>
              <w:bottom w:val="single" w:color="auto" w:sz="4" w:space="0"/>
              <w:right w:val="single" w:color="auto" w:sz="4" w:space="0"/>
            </w:tcBorders>
            <w:vAlign w:val="center"/>
          </w:tcPr>
          <w:p w14:paraId="3F3965A3">
            <w:pPr>
              <w:jc w:val="center"/>
              <w:rPr>
                <w:rFonts w:ascii="Times New Roman" w:eastAsia="仿宋"/>
                <w:szCs w:val="21"/>
              </w:rPr>
            </w:pPr>
            <w:r>
              <w:rPr>
                <w:rFonts w:ascii="Times New Roman" w:eastAsia="仿宋"/>
                <w:szCs w:val="21"/>
              </w:rPr>
              <w:t>监测因子</w:t>
            </w:r>
          </w:p>
        </w:tc>
      </w:tr>
      <w:tr w14:paraId="4A47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758D44BA">
            <w:pPr>
              <w:jc w:val="center"/>
              <w:rPr>
                <w:rFonts w:ascii="Times New Roman" w:eastAsia="仿宋"/>
                <w:szCs w:val="21"/>
              </w:rPr>
            </w:pPr>
            <w:r>
              <w:rPr>
                <w:rFonts w:ascii="Times New Roman" w:eastAsia="仿宋"/>
                <w:szCs w:val="21"/>
              </w:rPr>
              <w:t>Wl</w:t>
            </w:r>
          </w:p>
        </w:tc>
        <w:tc>
          <w:tcPr>
            <w:tcW w:w="686" w:type="pct"/>
            <w:tcBorders>
              <w:top w:val="single" w:color="auto" w:sz="4" w:space="0"/>
              <w:left w:val="single" w:color="auto" w:sz="4" w:space="0"/>
              <w:bottom w:val="single" w:color="auto" w:sz="4" w:space="0"/>
              <w:right w:val="single" w:color="auto" w:sz="4" w:space="0"/>
            </w:tcBorders>
            <w:vAlign w:val="center"/>
          </w:tcPr>
          <w:p w14:paraId="01986DF3">
            <w:pPr>
              <w:jc w:val="center"/>
              <w:rPr>
                <w:rFonts w:ascii="Times New Roman" w:eastAsia="仿宋"/>
                <w:szCs w:val="21"/>
              </w:rPr>
            </w:pPr>
            <w:r>
              <w:rPr>
                <w:rFonts w:hint="eastAsia" w:ascii="Times New Roman" w:eastAsia="仿宋"/>
                <w:szCs w:val="21"/>
              </w:rPr>
              <w:t>通济河</w:t>
            </w:r>
          </w:p>
        </w:tc>
        <w:tc>
          <w:tcPr>
            <w:tcW w:w="1811" w:type="pct"/>
            <w:tcBorders>
              <w:top w:val="single" w:color="auto" w:sz="4" w:space="0"/>
              <w:left w:val="single" w:color="auto" w:sz="4" w:space="0"/>
              <w:bottom w:val="single" w:color="auto" w:sz="4" w:space="0"/>
              <w:right w:val="single" w:color="auto" w:sz="4" w:space="0"/>
            </w:tcBorders>
            <w:vAlign w:val="center"/>
          </w:tcPr>
          <w:p w14:paraId="03B34BB9">
            <w:pPr>
              <w:jc w:val="center"/>
              <w:rPr>
                <w:rFonts w:ascii="Times New Roman" w:eastAsia="仿宋"/>
                <w:szCs w:val="21"/>
              </w:rPr>
            </w:pPr>
            <w:r>
              <w:rPr>
                <w:rFonts w:hint="eastAsia" w:ascii="Times New Roman" w:eastAsia="仿宋"/>
                <w:szCs w:val="21"/>
              </w:rPr>
              <w:t>直溪大桥断面</w:t>
            </w:r>
          </w:p>
        </w:tc>
        <w:tc>
          <w:tcPr>
            <w:tcW w:w="1899" w:type="pct"/>
            <w:vMerge w:val="restart"/>
            <w:tcBorders>
              <w:top w:val="single" w:color="auto" w:sz="4" w:space="0"/>
              <w:left w:val="single" w:color="auto" w:sz="4" w:space="0"/>
              <w:right w:val="single" w:color="auto" w:sz="4" w:space="0"/>
            </w:tcBorders>
            <w:vAlign w:val="center"/>
          </w:tcPr>
          <w:p w14:paraId="5A02DB13">
            <w:pPr>
              <w:jc w:val="center"/>
              <w:rPr>
                <w:rFonts w:ascii="Times New Roman" w:eastAsia="仿宋"/>
                <w:szCs w:val="21"/>
              </w:rPr>
            </w:pPr>
            <w:r>
              <w:rPr>
                <w:rFonts w:ascii="Times New Roman" w:eastAsia="仿宋"/>
                <w:szCs w:val="21"/>
              </w:rPr>
              <w:t>pH</w:t>
            </w:r>
            <w:r>
              <w:rPr>
                <w:rFonts w:hint="eastAsia" w:ascii="Times New Roman" w:eastAsia="仿宋"/>
                <w:szCs w:val="21"/>
              </w:rPr>
              <w:t>、</w:t>
            </w:r>
            <w:r>
              <w:rPr>
                <w:rFonts w:ascii="Times New Roman" w:eastAsia="仿宋"/>
                <w:szCs w:val="21"/>
              </w:rPr>
              <w:t>COD</w:t>
            </w:r>
            <w:r>
              <w:rPr>
                <w:rFonts w:hint="eastAsia" w:ascii="Times New Roman" w:eastAsia="仿宋"/>
                <w:szCs w:val="21"/>
              </w:rPr>
              <w:t>、</w:t>
            </w:r>
            <w:r>
              <w:rPr>
                <w:rFonts w:ascii="Times New Roman" w:eastAsia="仿宋"/>
                <w:szCs w:val="21"/>
              </w:rPr>
              <w:t>TP</w:t>
            </w:r>
            <w:r>
              <w:rPr>
                <w:rFonts w:hint="eastAsia" w:ascii="Times New Roman" w:eastAsia="仿宋"/>
                <w:szCs w:val="21"/>
              </w:rPr>
              <w:t>、NH</w:t>
            </w:r>
            <w:r>
              <w:rPr>
                <w:rFonts w:hint="eastAsia" w:ascii="Times New Roman" w:eastAsia="仿宋"/>
                <w:szCs w:val="21"/>
                <w:vertAlign w:val="subscript"/>
              </w:rPr>
              <w:t>3</w:t>
            </w:r>
            <w:r>
              <w:rPr>
                <w:rFonts w:hint="eastAsia" w:ascii="Times New Roman" w:eastAsia="仿宋"/>
                <w:szCs w:val="21"/>
              </w:rPr>
              <w:t>-N、TN</w:t>
            </w:r>
            <w:r>
              <w:rPr>
                <w:rFonts w:ascii="Times New Roman" w:eastAsia="仿宋"/>
                <w:szCs w:val="21"/>
              </w:rPr>
              <w:t>、水温</w:t>
            </w:r>
          </w:p>
        </w:tc>
      </w:tr>
      <w:tr w14:paraId="03A0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3807CC80">
            <w:pPr>
              <w:jc w:val="center"/>
              <w:rPr>
                <w:rFonts w:ascii="Times New Roman" w:eastAsia="仿宋"/>
                <w:szCs w:val="21"/>
              </w:rPr>
            </w:pPr>
            <w:r>
              <w:rPr>
                <w:rFonts w:ascii="Times New Roman" w:eastAsia="仿宋"/>
                <w:szCs w:val="21"/>
              </w:rPr>
              <w:t>W2</w:t>
            </w:r>
          </w:p>
        </w:tc>
        <w:tc>
          <w:tcPr>
            <w:tcW w:w="686" w:type="pct"/>
            <w:tcBorders>
              <w:top w:val="single" w:color="auto" w:sz="4" w:space="0"/>
              <w:left w:val="single" w:color="auto" w:sz="4" w:space="0"/>
              <w:bottom w:val="single" w:color="auto" w:sz="4" w:space="0"/>
              <w:right w:val="single" w:color="auto" w:sz="4" w:space="0"/>
            </w:tcBorders>
            <w:vAlign w:val="center"/>
          </w:tcPr>
          <w:p w14:paraId="635820C3">
            <w:pPr>
              <w:jc w:val="center"/>
              <w:rPr>
                <w:rFonts w:ascii="Times New Roman" w:eastAsia="仿宋"/>
                <w:szCs w:val="21"/>
              </w:rPr>
            </w:pPr>
            <w:r>
              <w:rPr>
                <w:rFonts w:hint="eastAsia" w:ascii="Times New Roman" w:eastAsia="仿宋"/>
                <w:szCs w:val="21"/>
              </w:rPr>
              <w:t>熊家河</w:t>
            </w:r>
          </w:p>
        </w:tc>
        <w:tc>
          <w:tcPr>
            <w:tcW w:w="1811" w:type="pct"/>
            <w:tcBorders>
              <w:top w:val="single" w:color="auto" w:sz="4" w:space="0"/>
              <w:left w:val="single" w:color="auto" w:sz="4" w:space="0"/>
              <w:bottom w:val="single" w:color="auto" w:sz="4" w:space="0"/>
              <w:right w:val="single" w:color="auto" w:sz="4" w:space="0"/>
            </w:tcBorders>
            <w:vAlign w:val="center"/>
          </w:tcPr>
          <w:p w14:paraId="2A88D404">
            <w:pPr>
              <w:jc w:val="center"/>
              <w:rPr>
                <w:rFonts w:ascii="Times New Roman" w:eastAsia="仿宋"/>
                <w:szCs w:val="21"/>
              </w:rPr>
            </w:pPr>
            <w:r>
              <w:rPr>
                <w:rFonts w:ascii="Times New Roman" w:eastAsia="仿宋"/>
                <w:szCs w:val="21"/>
              </w:rPr>
              <w:t>亚细路与直溪大道交汇处断面</w:t>
            </w:r>
          </w:p>
        </w:tc>
        <w:tc>
          <w:tcPr>
            <w:tcW w:w="1899" w:type="pct"/>
            <w:vMerge w:val="continue"/>
            <w:tcBorders>
              <w:left w:val="single" w:color="auto" w:sz="4" w:space="0"/>
              <w:right w:val="single" w:color="auto" w:sz="4" w:space="0"/>
            </w:tcBorders>
            <w:vAlign w:val="center"/>
          </w:tcPr>
          <w:p w14:paraId="41074DB4">
            <w:pPr>
              <w:adjustRightInd w:val="0"/>
              <w:snapToGrid w:val="0"/>
              <w:jc w:val="center"/>
              <w:rPr>
                <w:rFonts w:ascii="Times New Roman" w:eastAsia="仿宋_GB2312"/>
                <w:w w:val="95"/>
                <w:sz w:val="21"/>
                <w:szCs w:val="36"/>
              </w:rPr>
            </w:pPr>
          </w:p>
        </w:tc>
      </w:tr>
      <w:tr w14:paraId="0EE8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6496D0CC">
            <w:pPr>
              <w:jc w:val="center"/>
              <w:rPr>
                <w:rFonts w:ascii="Times New Roman" w:eastAsia="仿宋"/>
                <w:szCs w:val="21"/>
              </w:rPr>
            </w:pPr>
            <w:r>
              <w:rPr>
                <w:rFonts w:ascii="Times New Roman" w:eastAsia="仿宋"/>
                <w:szCs w:val="21"/>
              </w:rPr>
              <w:t>W3</w:t>
            </w:r>
          </w:p>
        </w:tc>
        <w:tc>
          <w:tcPr>
            <w:tcW w:w="686" w:type="pct"/>
            <w:vMerge w:val="restart"/>
            <w:tcBorders>
              <w:top w:val="single" w:color="auto" w:sz="4" w:space="0"/>
              <w:left w:val="single" w:color="auto" w:sz="4" w:space="0"/>
              <w:right w:val="single" w:color="auto" w:sz="4" w:space="0"/>
            </w:tcBorders>
            <w:vAlign w:val="center"/>
          </w:tcPr>
          <w:p w14:paraId="12C9E925">
            <w:pPr>
              <w:jc w:val="center"/>
              <w:rPr>
                <w:rFonts w:ascii="Times New Roman" w:eastAsia="仿宋"/>
                <w:szCs w:val="21"/>
              </w:rPr>
            </w:pPr>
            <w:r>
              <w:rPr>
                <w:rFonts w:hint="eastAsia" w:ascii="Times New Roman" w:eastAsia="仿宋"/>
                <w:szCs w:val="21"/>
              </w:rPr>
              <w:t>通济河</w:t>
            </w:r>
          </w:p>
        </w:tc>
        <w:tc>
          <w:tcPr>
            <w:tcW w:w="1811" w:type="pct"/>
            <w:tcBorders>
              <w:top w:val="single" w:color="auto" w:sz="4" w:space="0"/>
              <w:left w:val="single" w:color="auto" w:sz="4" w:space="0"/>
              <w:bottom w:val="single" w:color="auto" w:sz="4" w:space="0"/>
              <w:right w:val="single" w:color="auto" w:sz="4" w:space="0"/>
            </w:tcBorders>
            <w:vAlign w:val="center"/>
          </w:tcPr>
          <w:p w14:paraId="10142060">
            <w:pPr>
              <w:jc w:val="center"/>
              <w:rPr>
                <w:rFonts w:ascii="Times New Roman" w:eastAsia="仿宋"/>
                <w:szCs w:val="21"/>
              </w:rPr>
            </w:pPr>
            <w:r>
              <w:rPr>
                <w:rFonts w:hint="eastAsia" w:ascii="Times New Roman" w:eastAsia="仿宋"/>
                <w:szCs w:val="21"/>
              </w:rPr>
              <w:t>鹤科</w:t>
            </w:r>
            <w:r>
              <w:rPr>
                <w:rFonts w:ascii="Times New Roman" w:eastAsia="仿宋"/>
                <w:szCs w:val="21"/>
              </w:rPr>
              <w:t>桥断面</w:t>
            </w:r>
          </w:p>
        </w:tc>
        <w:tc>
          <w:tcPr>
            <w:tcW w:w="1899" w:type="pct"/>
            <w:vMerge w:val="continue"/>
            <w:tcBorders>
              <w:left w:val="single" w:color="auto" w:sz="4" w:space="0"/>
              <w:right w:val="single" w:color="auto" w:sz="4" w:space="0"/>
            </w:tcBorders>
            <w:vAlign w:val="center"/>
          </w:tcPr>
          <w:p w14:paraId="093E2814">
            <w:pPr>
              <w:adjustRightInd w:val="0"/>
              <w:snapToGrid w:val="0"/>
              <w:jc w:val="center"/>
              <w:rPr>
                <w:rFonts w:ascii="Times New Roman" w:eastAsia="仿宋_GB2312"/>
                <w:w w:val="95"/>
                <w:sz w:val="21"/>
                <w:szCs w:val="36"/>
              </w:rPr>
            </w:pPr>
          </w:p>
        </w:tc>
      </w:tr>
      <w:tr w14:paraId="0EEE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14:paraId="6097E9D3">
            <w:pPr>
              <w:jc w:val="center"/>
              <w:rPr>
                <w:rFonts w:ascii="Times New Roman" w:eastAsia="仿宋"/>
                <w:szCs w:val="21"/>
              </w:rPr>
            </w:pPr>
            <w:r>
              <w:rPr>
                <w:rFonts w:ascii="Times New Roman" w:eastAsia="仿宋"/>
                <w:szCs w:val="21"/>
              </w:rPr>
              <w:t>W4</w:t>
            </w:r>
          </w:p>
        </w:tc>
        <w:tc>
          <w:tcPr>
            <w:tcW w:w="686" w:type="pct"/>
            <w:vMerge w:val="continue"/>
            <w:tcBorders>
              <w:left w:val="single" w:color="auto" w:sz="4" w:space="0"/>
              <w:right w:val="single" w:color="auto" w:sz="4" w:space="0"/>
            </w:tcBorders>
            <w:vAlign w:val="center"/>
          </w:tcPr>
          <w:p w14:paraId="4B790AFF">
            <w:pPr>
              <w:jc w:val="center"/>
              <w:rPr>
                <w:rFonts w:ascii="Times New Roman" w:eastAsia="仿宋"/>
                <w:szCs w:val="21"/>
              </w:rPr>
            </w:pPr>
          </w:p>
        </w:tc>
        <w:tc>
          <w:tcPr>
            <w:tcW w:w="1811" w:type="pct"/>
            <w:tcBorders>
              <w:top w:val="single" w:color="auto" w:sz="4" w:space="0"/>
              <w:left w:val="single" w:color="auto" w:sz="4" w:space="0"/>
              <w:bottom w:val="single" w:color="auto" w:sz="4" w:space="0"/>
              <w:right w:val="single" w:color="auto" w:sz="4" w:space="0"/>
            </w:tcBorders>
            <w:vAlign w:val="center"/>
          </w:tcPr>
          <w:p w14:paraId="2D81E0F1">
            <w:pPr>
              <w:jc w:val="center"/>
              <w:rPr>
                <w:rFonts w:ascii="Times New Roman" w:eastAsia="仿宋"/>
                <w:szCs w:val="21"/>
              </w:rPr>
            </w:pPr>
            <w:r>
              <w:rPr>
                <w:rFonts w:hint="eastAsia" w:ascii="Times New Roman" w:eastAsia="仿宋"/>
                <w:szCs w:val="21"/>
              </w:rPr>
              <w:t>熊家河</w:t>
            </w:r>
            <w:r>
              <w:rPr>
                <w:rFonts w:ascii="Times New Roman" w:eastAsia="仿宋"/>
                <w:szCs w:val="21"/>
              </w:rPr>
              <w:t>与通济河交汇处下游</w:t>
            </w:r>
            <w:r>
              <w:rPr>
                <w:rFonts w:hint="eastAsia" w:ascii="Times New Roman" w:eastAsia="仿宋"/>
                <w:szCs w:val="21"/>
              </w:rPr>
              <w:t>2000</w:t>
            </w:r>
            <w:r>
              <w:rPr>
                <w:rFonts w:ascii="Times New Roman" w:eastAsia="仿宋"/>
                <w:szCs w:val="21"/>
              </w:rPr>
              <w:t>m处断面</w:t>
            </w:r>
          </w:p>
        </w:tc>
        <w:tc>
          <w:tcPr>
            <w:tcW w:w="1899" w:type="pct"/>
            <w:vMerge w:val="continue"/>
            <w:tcBorders>
              <w:left w:val="single" w:color="auto" w:sz="4" w:space="0"/>
              <w:bottom w:val="single" w:color="auto" w:sz="4" w:space="0"/>
              <w:right w:val="single" w:color="auto" w:sz="4" w:space="0"/>
            </w:tcBorders>
            <w:vAlign w:val="center"/>
          </w:tcPr>
          <w:p w14:paraId="29AB66A3">
            <w:pPr>
              <w:adjustRightInd w:val="0"/>
              <w:snapToGrid w:val="0"/>
              <w:jc w:val="center"/>
              <w:rPr>
                <w:rFonts w:ascii="Times New Roman" w:eastAsia="仿宋_GB2312"/>
                <w:w w:val="95"/>
                <w:sz w:val="21"/>
                <w:szCs w:val="36"/>
              </w:rPr>
            </w:pPr>
          </w:p>
        </w:tc>
      </w:tr>
    </w:tbl>
    <w:p w14:paraId="6E396CAF">
      <w:pPr>
        <w:spacing w:line="500" w:lineRule="exact"/>
        <w:ind w:firstLine="560" w:firstLineChars="200"/>
        <w:rPr>
          <w:rFonts w:ascii="Times New Roman" w:eastAsia="仿宋"/>
          <w:sz w:val="28"/>
          <w:szCs w:val="28"/>
        </w:rPr>
      </w:pPr>
      <w:r>
        <w:rPr>
          <w:rFonts w:ascii="Times New Roman" w:eastAsia="仿宋"/>
          <w:sz w:val="28"/>
          <w:szCs w:val="28"/>
        </w:rPr>
        <w:t>（3）监测频</w:t>
      </w:r>
      <w:r>
        <w:rPr>
          <w:rFonts w:hint="eastAsia" w:ascii="Times New Roman" w:eastAsia="仿宋"/>
          <w:sz w:val="28"/>
          <w:szCs w:val="28"/>
        </w:rPr>
        <w:t>次</w:t>
      </w:r>
    </w:p>
    <w:p w14:paraId="59CFB7C5">
      <w:pPr>
        <w:pStyle w:val="4080"/>
        <w:ind w:firstLine="560"/>
      </w:pPr>
      <w:r>
        <w:rPr>
          <w:rFonts w:hint="eastAsia"/>
        </w:rPr>
        <w:t>通济河</w:t>
      </w:r>
      <w:r>
        <w:t>、</w:t>
      </w:r>
      <w:r>
        <w:rPr>
          <w:rFonts w:hint="eastAsia"/>
        </w:rPr>
        <w:t>熊家河</w:t>
      </w:r>
      <w:r>
        <w:t>监测因子频次：连续3天，每天2次。</w:t>
      </w:r>
    </w:p>
    <w:p w14:paraId="4748907D">
      <w:pPr>
        <w:spacing w:line="500" w:lineRule="exact"/>
        <w:ind w:firstLine="560" w:firstLineChars="200"/>
        <w:rPr>
          <w:rFonts w:ascii="Times New Roman" w:eastAsia="仿宋"/>
          <w:sz w:val="28"/>
          <w:szCs w:val="28"/>
        </w:rPr>
      </w:pPr>
      <w:r>
        <w:rPr>
          <w:rFonts w:ascii="Times New Roman" w:eastAsia="仿宋"/>
          <w:sz w:val="28"/>
          <w:szCs w:val="28"/>
        </w:rPr>
        <w:t>（4）</w:t>
      </w:r>
      <w:r>
        <w:rPr>
          <w:rFonts w:ascii="Times New Roman" w:eastAsia="仿宋"/>
          <w:sz w:val="28"/>
          <w:szCs w:val="28"/>
          <w:lang w:val="zh-CN"/>
        </w:rPr>
        <w:t>采样及分析方法</w:t>
      </w:r>
    </w:p>
    <w:p w14:paraId="1E3D9BD7">
      <w:pPr>
        <w:pStyle w:val="4080"/>
        <w:ind w:firstLine="560"/>
      </w:pPr>
      <w:r>
        <w:t>采样分析方法根据《环境监测技术规范》、《水和废水监测分析方法》、《环境影响评价导则地表水环境》（HJ2.3-2018）和《环境监测分析方法》有关规定和要求执行。</w:t>
      </w:r>
    </w:p>
    <w:p w14:paraId="563AA06E">
      <w:pPr>
        <w:pStyle w:val="4080"/>
        <w:ind w:firstLine="560"/>
      </w:pPr>
    </w:p>
    <w:p w14:paraId="7F1B37CE">
      <w:pPr>
        <w:pStyle w:val="4080"/>
        <w:ind w:firstLine="560"/>
      </w:pPr>
    </w:p>
    <w:p w14:paraId="4A79805B">
      <w:pPr>
        <w:pStyle w:val="4080"/>
        <w:ind w:firstLine="560"/>
      </w:pPr>
    </w:p>
    <w:p w14:paraId="2B9ACEB5">
      <w:pPr>
        <w:pStyle w:val="4080"/>
        <w:ind w:firstLine="560"/>
      </w:pPr>
    </w:p>
    <w:p w14:paraId="0E1A0ACC">
      <w:pPr>
        <w:pStyle w:val="4080"/>
        <w:ind w:firstLine="560"/>
      </w:pPr>
    </w:p>
    <w:p w14:paraId="65E3E44E">
      <w:pPr>
        <w:pStyle w:val="4080"/>
        <w:ind w:firstLine="560"/>
      </w:pPr>
    </w:p>
    <w:p w14:paraId="70B121B9">
      <w:pPr>
        <w:pStyle w:val="4080"/>
        <w:ind w:firstLine="560"/>
      </w:pPr>
    </w:p>
    <w:p w14:paraId="38A06285">
      <w:pPr>
        <w:pStyle w:val="4080"/>
        <w:ind w:firstLine="560"/>
        <w:sectPr>
          <w:footerReference r:id="rId19" w:type="even"/>
          <w:pgSz w:w="11906" w:h="16838"/>
          <w:pgMar w:top="1800" w:right="1440" w:bottom="1800" w:left="1440" w:header="851" w:footer="992" w:gutter="0"/>
          <w:cols w:space="720" w:num="1"/>
          <w:docGrid w:linePitch="312" w:charSpace="0"/>
        </w:sectPr>
      </w:pPr>
    </w:p>
    <w:p w14:paraId="51CD3018">
      <w:pPr>
        <w:spacing w:line="500" w:lineRule="exact"/>
        <w:ind w:firstLine="560" w:firstLineChars="200"/>
        <w:rPr>
          <w:rFonts w:ascii="Times New Roman" w:eastAsia="仿宋"/>
          <w:sz w:val="28"/>
          <w:szCs w:val="28"/>
        </w:rPr>
      </w:pPr>
      <w:r>
        <w:rPr>
          <w:rFonts w:ascii="Times New Roman" w:eastAsia="仿宋"/>
          <w:sz w:val="28"/>
          <w:szCs w:val="28"/>
        </w:rPr>
        <w:t>（5）</w:t>
      </w:r>
      <w:r>
        <w:rPr>
          <w:rFonts w:ascii="Times New Roman" w:eastAsia="仿宋"/>
          <w:sz w:val="28"/>
          <w:szCs w:val="28"/>
          <w:lang w:val="zh-CN"/>
        </w:rPr>
        <w:t>水质监测结果</w:t>
      </w:r>
    </w:p>
    <w:p w14:paraId="7A581EF9">
      <w:pPr>
        <w:spacing w:line="500" w:lineRule="exact"/>
        <w:ind w:firstLine="560" w:firstLineChars="200"/>
        <w:rPr>
          <w:rFonts w:ascii="Times New Roman" w:eastAsia="仿宋"/>
          <w:sz w:val="28"/>
          <w:szCs w:val="28"/>
          <w:lang w:val="zh-CN"/>
        </w:rPr>
      </w:pPr>
      <w:r>
        <w:rPr>
          <w:rFonts w:ascii="Times New Roman" w:eastAsia="仿宋"/>
          <w:sz w:val="28"/>
          <w:szCs w:val="28"/>
          <w:lang w:val="zh-CN"/>
        </w:rPr>
        <w:t>监测结果见下表。</w:t>
      </w:r>
    </w:p>
    <w:p w14:paraId="74BEA8AA">
      <w:pPr>
        <w:spacing w:line="500" w:lineRule="exact"/>
        <w:jc w:val="center"/>
        <w:rPr>
          <w:rFonts w:ascii="Times New Roman" w:eastAsia="仿宋"/>
          <w:b/>
          <w:bCs/>
          <w:lang w:val="zh-CN"/>
        </w:rPr>
      </w:pPr>
      <w:r>
        <w:rPr>
          <w:rFonts w:ascii="Times New Roman" w:eastAsia="仿宋"/>
          <w:b/>
        </w:rPr>
        <w:t xml:space="preserve">表4.2-6    </w:t>
      </w:r>
      <w:r>
        <w:rPr>
          <w:rFonts w:hint="eastAsia" w:ascii="Times New Roman" w:eastAsia="仿宋"/>
          <w:b/>
        </w:rPr>
        <w:t>地表水监测结果汇总一览表</w:t>
      </w:r>
      <w:r>
        <w:rPr>
          <w:rFonts w:ascii="Times New Roman" w:eastAsia="仿宋"/>
          <w:b/>
          <w:bCs/>
          <w:lang w:val="zh-CN"/>
        </w:rPr>
        <w:t>（单位：mg/L）</w:t>
      </w:r>
    </w:p>
    <w:tbl>
      <w:tblPr>
        <w:tblStyle w:val="8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3"/>
        <w:gridCol w:w="769"/>
        <w:gridCol w:w="769"/>
        <w:gridCol w:w="769"/>
        <w:gridCol w:w="770"/>
        <w:gridCol w:w="770"/>
        <w:gridCol w:w="770"/>
        <w:gridCol w:w="770"/>
        <w:gridCol w:w="770"/>
        <w:gridCol w:w="770"/>
        <w:gridCol w:w="770"/>
        <w:gridCol w:w="770"/>
        <w:gridCol w:w="778"/>
        <w:gridCol w:w="831"/>
        <w:gridCol w:w="675"/>
      </w:tblGrid>
      <w:tr w14:paraId="7902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Merge w:val="restart"/>
            <w:vAlign w:val="center"/>
          </w:tcPr>
          <w:p w14:paraId="6A878F63">
            <w:pPr>
              <w:spacing w:line="320" w:lineRule="exact"/>
              <w:jc w:val="center"/>
              <w:rPr>
                <w:rFonts w:ascii="Times New Roman" w:eastAsia="仿宋"/>
                <w:szCs w:val="21"/>
              </w:rPr>
            </w:pPr>
            <w:r>
              <w:rPr>
                <w:rFonts w:ascii="Times New Roman" w:eastAsia="仿宋"/>
                <w:szCs w:val="21"/>
              </w:rPr>
              <w:t>监测因子</w:t>
            </w:r>
          </w:p>
        </w:tc>
        <w:tc>
          <w:tcPr>
            <w:tcW w:w="1716" w:type="pct"/>
            <w:gridSpan w:val="6"/>
            <w:vAlign w:val="center"/>
          </w:tcPr>
          <w:p w14:paraId="3C7720DD">
            <w:pPr>
              <w:spacing w:line="320" w:lineRule="exact"/>
              <w:jc w:val="center"/>
              <w:rPr>
                <w:rFonts w:ascii="Times New Roman" w:eastAsia="仿宋"/>
                <w:szCs w:val="21"/>
              </w:rPr>
            </w:pPr>
            <w:r>
              <w:rPr>
                <w:rFonts w:ascii="Times New Roman" w:eastAsia="仿宋"/>
                <w:szCs w:val="21"/>
              </w:rPr>
              <w:t>W1</w:t>
            </w:r>
          </w:p>
        </w:tc>
        <w:tc>
          <w:tcPr>
            <w:tcW w:w="1719" w:type="pct"/>
            <w:gridSpan w:val="6"/>
            <w:vAlign w:val="center"/>
          </w:tcPr>
          <w:p w14:paraId="07C8BC5C">
            <w:pPr>
              <w:spacing w:line="320" w:lineRule="exact"/>
              <w:jc w:val="center"/>
              <w:rPr>
                <w:rFonts w:ascii="Times New Roman" w:eastAsia="仿宋"/>
                <w:szCs w:val="21"/>
              </w:rPr>
            </w:pPr>
            <w:r>
              <w:rPr>
                <w:rFonts w:ascii="Times New Roman" w:eastAsia="仿宋"/>
                <w:szCs w:val="21"/>
              </w:rPr>
              <w:t>W2</w:t>
            </w:r>
          </w:p>
        </w:tc>
        <w:tc>
          <w:tcPr>
            <w:tcW w:w="309" w:type="pct"/>
            <w:vMerge w:val="restart"/>
            <w:vAlign w:val="center"/>
          </w:tcPr>
          <w:p w14:paraId="198DECBE">
            <w:pPr>
              <w:spacing w:line="320" w:lineRule="exact"/>
              <w:jc w:val="center"/>
              <w:rPr>
                <w:rFonts w:ascii="Times New Roman" w:eastAsia="仿宋"/>
                <w:szCs w:val="21"/>
              </w:rPr>
            </w:pPr>
            <w:r>
              <w:rPr>
                <w:rFonts w:ascii="Times New Roman" w:eastAsia="仿宋"/>
                <w:szCs w:val="21"/>
              </w:rPr>
              <w:t>检出限</w:t>
            </w:r>
          </w:p>
        </w:tc>
        <w:tc>
          <w:tcPr>
            <w:tcW w:w="252" w:type="pct"/>
            <w:vAlign w:val="center"/>
          </w:tcPr>
          <w:p w14:paraId="34A639FA">
            <w:pPr>
              <w:spacing w:line="320" w:lineRule="exact"/>
              <w:jc w:val="center"/>
              <w:rPr>
                <w:rFonts w:ascii="Times New Roman" w:eastAsia="仿宋"/>
                <w:szCs w:val="21"/>
              </w:rPr>
            </w:pPr>
            <w:r>
              <w:rPr>
                <w:rFonts w:ascii="Times New Roman" w:eastAsia="仿宋"/>
                <w:szCs w:val="21"/>
              </w:rPr>
              <w:t>标准</w:t>
            </w:r>
          </w:p>
        </w:tc>
      </w:tr>
      <w:tr w14:paraId="2FB6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Merge w:val="continue"/>
            <w:vAlign w:val="center"/>
          </w:tcPr>
          <w:p w14:paraId="054FED54">
            <w:pPr>
              <w:spacing w:line="320" w:lineRule="exact"/>
              <w:jc w:val="center"/>
              <w:rPr>
                <w:rFonts w:ascii="Times New Roman" w:eastAsia="仿宋"/>
                <w:szCs w:val="21"/>
              </w:rPr>
            </w:pPr>
          </w:p>
        </w:tc>
        <w:tc>
          <w:tcPr>
            <w:tcW w:w="572" w:type="pct"/>
            <w:gridSpan w:val="2"/>
            <w:vAlign w:val="center"/>
          </w:tcPr>
          <w:p w14:paraId="073AAB43">
            <w:pPr>
              <w:spacing w:line="320" w:lineRule="exact"/>
              <w:jc w:val="center"/>
              <w:rPr>
                <w:rFonts w:ascii="Times New Roman" w:eastAsia="仿宋"/>
                <w:szCs w:val="21"/>
              </w:rPr>
            </w:pPr>
            <w:r>
              <w:rPr>
                <w:rFonts w:ascii="Times New Roman" w:eastAsia="仿宋"/>
                <w:szCs w:val="21"/>
              </w:rPr>
              <w:t>2022.5.30</w:t>
            </w:r>
          </w:p>
        </w:tc>
        <w:tc>
          <w:tcPr>
            <w:tcW w:w="572" w:type="pct"/>
            <w:gridSpan w:val="2"/>
            <w:vAlign w:val="center"/>
          </w:tcPr>
          <w:p w14:paraId="3A0B30A0">
            <w:pPr>
              <w:spacing w:line="320" w:lineRule="exact"/>
              <w:jc w:val="center"/>
              <w:rPr>
                <w:rFonts w:ascii="Times New Roman" w:eastAsia="仿宋"/>
                <w:szCs w:val="21"/>
              </w:rPr>
            </w:pPr>
            <w:r>
              <w:rPr>
                <w:rFonts w:ascii="Times New Roman" w:eastAsia="仿宋"/>
                <w:szCs w:val="21"/>
              </w:rPr>
              <w:t>2022.5.31</w:t>
            </w:r>
          </w:p>
        </w:tc>
        <w:tc>
          <w:tcPr>
            <w:tcW w:w="572" w:type="pct"/>
            <w:gridSpan w:val="2"/>
            <w:vAlign w:val="center"/>
          </w:tcPr>
          <w:p w14:paraId="52F2D042">
            <w:pPr>
              <w:spacing w:line="320" w:lineRule="exact"/>
              <w:jc w:val="center"/>
              <w:rPr>
                <w:rFonts w:ascii="Times New Roman" w:eastAsia="仿宋"/>
                <w:szCs w:val="21"/>
              </w:rPr>
            </w:pPr>
            <w:r>
              <w:rPr>
                <w:rFonts w:ascii="Times New Roman" w:eastAsia="仿宋"/>
                <w:szCs w:val="21"/>
              </w:rPr>
              <w:t>2022.6.1</w:t>
            </w:r>
          </w:p>
        </w:tc>
        <w:tc>
          <w:tcPr>
            <w:tcW w:w="572" w:type="pct"/>
            <w:gridSpan w:val="2"/>
            <w:vAlign w:val="center"/>
          </w:tcPr>
          <w:p w14:paraId="5C1A615A">
            <w:pPr>
              <w:spacing w:line="320" w:lineRule="exact"/>
              <w:jc w:val="center"/>
              <w:rPr>
                <w:rFonts w:ascii="Times New Roman" w:eastAsia="仿宋"/>
                <w:szCs w:val="21"/>
              </w:rPr>
            </w:pPr>
            <w:r>
              <w:rPr>
                <w:rFonts w:ascii="Times New Roman" w:eastAsia="仿宋"/>
                <w:szCs w:val="21"/>
              </w:rPr>
              <w:t>2022.5.30</w:t>
            </w:r>
          </w:p>
        </w:tc>
        <w:tc>
          <w:tcPr>
            <w:tcW w:w="572" w:type="pct"/>
            <w:gridSpan w:val="2"/>
            <w:vAlign w:val="center"/>
          </w:tcPr>
          <w:p w14:paraId="58031B75">
            <w:pPr>
              <w:spacing w:line="320" w:lineRule="exact"/>
              <w:jc w:val="center"/>
              <w:rPr>
                <w:rFonts w:ascii="Times New Roman" w:eastAsia="仿宋"/>
                <w:szCs w:val="21"/>
              </w:rPr>
            </w:pPr>
            <w:r>
              <w:rPr>
                <w:rFonts w:ascii="Times New Roman" w:eastAsia="仿宋"/>
                <w:szCs w:val="21"/>
              </w:rPr>
              <w:t>2022.5.31</w:t>
            </w:r>
          </w:p>
        </w:tc>
        <w:tc>
          <w:tcPr>
            <w:tcW w:w="574" w:type="pct"/>
            <w:gridSpan w:val="2"/>
            <w:vAlign w:val="center"/>
          </w:tcPr>
          <w:p w14:paraId="353E4E98">
            <w:pPr>
              <w:spacing w:line="320" w:lineRule="exact"/>
              <w:jc w:val="center"/>
              <w:rPr>
                <w:rFonts w:ascii="Times New Roman" w:eastAsia="仿宋"/>
                <w:szCs w:val="21"/>
              </w:rPr>
            </w:pPr>
            <w:r>
              <w:rPr>
                <w:rFonts w:ascii="Times New Roman" w:eastAsia="仿宋"/>
                <w:szCs w:val="21"/>
              </w:rPr>
              <w:t>2022.6.1</w:t>
            </w:r>
          </w:p>
        </w:tc>
        <w:tc>
          <w:tcPr>
            <w:tcW w:w="309" w:type="pct"/>
            <w:vMerge w:val="continue"/>
            <w:vAlign w:val="center"/>
          </w:tcPr>
          <w:p w14:paraId="2EA0CCD5">
            <w:pPr>
              <w:spacing w:line="320" w:lineRule="exact"/>
              <w:jc w:val="center"/>
              <w:rPr>
                <w:rFonts w:ascii="Times New Roman" w:eastAsia="仿宋"/>
                <w:szCs w:val="21"/>
              </w:rPr>
            </w:pPr>
          </w:p>
        </w:tc>
        <w:tc>
          <w:tcPr>
            <w:tcW w:w="252" w:type="pct"/>
            <w:vAlign w:val="center"/>
          </w:tcPr>
          <w:p w14:paraId="1E981D78">
            <w:pPr>
              <w:spacing w:line="320" w:lineRule="exact"/>
              <w:jc w:val="center"/>
              <w:rPr>
                <w:rFonts w:ascii="Times New Roman" w:eastAsia="仿宋"/>
                <w:szCs w:val="21"/>
              </w:rPr>
            </w:pPr>
            <w:r>
              <w:rPr>
                <w:rFonts w:hint="eastAsia" w:ascii="Times New Roman" w:eastAsia="仿宋"/>
                <w:szCs w:val="21"/>
              </w:rPr>
              <w:t>Ⅳ</w:t>
            </w:r>
            <w:r>
              <w:rPr>
                <w:rFonts w:ascii="Times New Roman" w:eastAsia="仿宋"/>
                <w:szCs w:val="21"/>
              </w:rPr>
              <w:t>类</w:t>
            </w:r>
          </w:p>
        </w:tc>
      </w:tr>
      <w:tr w14:paraId="2EE8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3973C30F">
            <w:pPr>
              <w:spacing w:line="320" w:lineRule="exact"/>
              <w:jc w:val="center"/>
              <w:rPr>
                <w:rFonts w:ascii="Times New Roman" w:eastAsia="仿宋"/>
                <w:szCs w:val="21"/>
              </w:rPr>
            </w:pPr>
            <w:r>
              <w:rPr>
                <w:rFonts w:ascii="Times New Roman" w:eastAsia="仿宋"/>
                <w:szCs w:val="21"/>
              </w:rPr>
              <w:t>水温（</w:t>
            </w:r>
            <w:r>
              <w:rPr>
                <w:rFonts w:hint="eastAsia" w:ascii="Times New Roman" w:eastAsia="仿宋"/>
                <w:szCs w:val="21"/>
              </w:rPr>
              <w:t>℃</w:t>
            </w:r>
            <w:r>
              <w:rPr>
                <w:rFonts w:ascii="Times New Roman" w:eastAsia="仿宋"/>
                <w:szCs w:val="21"/>
              </w:rPr>
              <w:t>）</w:t>
            </w:r>
          </w:p>
        </w:tc>
        <w:tc>
          <w:tcPr>
            <w:tcW w:w="286" w:type="pct"/>
            <w:vAlign w:val="center"/>
          </w:tcPr>
          <w:p w14:paraId="2CF0E387">
            <w:pPr>
              <w:spacing w:line="320" w:lineRule="exact"/>
              <w:jc w:val="center"/>
              <w:rPr>
                <w:rFonts w:ascii="Times New Roman" w:eastAsia="仿宋"/>
                <w:szCs w:val="21"/>
              </w:rPr>
            </w:pPr>
            <w:r>
              <w:rPr>
                <w:rFonts w:hint="eastAsia" w:ascii="Times New Roman" w:eastAsia="仿宋"/>
                <w:szCs w:val="21"/>
              </w:rPr>
              <w:t>25.6</w:t>
            </w:r>
          </w:p>
        </w:tc>
        <w:tc>
          <w:tcPr>
            <w:tcW w:w="286" w:type="pct"/>
            <w:vAlign w:val="center"/>
          </w:tcPr>
          <w:p w14:paraId="3F8E3A27">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5B092EBA">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25126D60">
            <w:pPr>
              <w:spacing w:line="320" w:lineRule="exact"/>
              <w:jc w:val="center"/>
              <w:rPr>
                <w:rFonts w:ascii="Times New Roman" w:eastAsia="仿宋"/>
                <w:szCs w:val="21"/>
              </w:rPr>
            </w:pPr>
            <w:r>
              <w:rPr>
                <w:rFonts w:hint="eastAsia" w:ascii="Times New Roman" w:eastAsia="仿宋"/>
                <w:szCs w:val="21"/>
              </w:rPr>
              <w:t>25.6</w:t>
            </w:r>
          </w:p>
        </w:tc>
        <w:tc>
          <w:tcPr>
            <w:tcW w:w="286" w:type="pct"/>
            <w:vAlign w:val="center"/>
          </w:tcPr>
          <w:p w14:paraId="69FCACDA">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6448E5BA">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0C36BFAA">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0C727AFB">
            <w:pPr>
              <w:spacing w:line="320" w:lineRule="exact"/>
              <w:jc w:val="center"/>
              <w:rPr>
                <w:rFonts w:ascii="Times New Roman" w:eastAsia="仿宋"/>
                <w:szCs w:val="21"/>
              </w:rPr>
            </w:pPr>
            <w:r>
              <w:rPr>
                <w:rFonts w:hint="eastAsia" w:ascii="Times New Roman" w:eastAsia="仿宋"/>
                <w:szCs w:val="21"/>
              </w:rPr>
              <w:t>25.6</w:t>
            </w:r>
          </w:p>
        </w:tc>
        <w:tc>
          <w:tcPr>
            <w:tcW w:w="286" w:type="pct"/>
            <w:vAlign w:val="center"/>
          </w:tcPr>
          <w:p w14:paraId="4B284024">
            <w:pPr>
              <w:spacing w:line="320" w:lineRule="exact"/>
              <w:jc w:val="center"/>
              <w:rPr>
                <w:rFonts w:ascii="Times New Roman" w:eastAsia="仿宋"/>
                <w:szCs w:val="21"/>
              </w:rPr>
            </w:pPr>
            <w:r>
              <w:rPr>
                <w:rFonts w:hint="eastAsia" w:ascii="Times New Roman" w:eastAsia="仿宋"/>
                <w:szCs w:val="21"/>
              </w:rPr>
              <w:t>25.2</w:t>
            </w:r>
          </w:p>
        </w:tc>
        <w:tc>
          <w:tcPr>
            <w:tcW w:w="286" w:type="pct"/>
            <w:vAlign w:val="center"/>
          </w:tcPr>
          <w:p w14:paraId="4AF5B61D">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7F635E43">
            <w:pPr>
              <w:spacing w:line="320" w:lineRule="exact"/>
              <w:jc w:val="center"/>
              <w:rPr>
                <w:rFonts w:ascii="Times New Roman" w:eastAsia="仿宋"/>
                <w:szCs w:val="21"/>
              </w:rPr>
            </w:pPr>
            <w:r>
              <w:rPr>
                <w:rFonts w:hint="eastAsia" w:ascii="Times New Roman" w:eastAsia="仿宋"/>
                <w:szCs w:val="21"/>
              </w:rPr>
              <w:t>25.6</w:t>
            </w:r>
          </w:p>
        </w:tc>
        <w:tc>
          <w:tcPr>
            <w:tcW w:w="288" w:type="pct"/>
            <w:vAlign w:val="center"/>
          </w:tcPr>
          <w:p w14:paraId="302704B6">
            <w:pPr>
              <w:spacing w:line="320" w:lineRule="exact"/>
              <w:jc w:val="center"/>
              <w:rPr>
                <w:rFonts w:ascii="Times New Roman" w:eastAsia="仿宋"/>
                <w:szCs w:val="21"/>
              </w:rPr>
            </w:pPr>
            <w:r>
              <w:rPr>
                <w:rFonts w:hint="eastAsia" w:ascii="Times New Roman" w:eastAsia="仿宋"/>
                <w:szCs w:val="21"/>
              </w:rPr>
              <w:t>25.8</w:t>
            </w:r>
          </w:p>
        </w:tc>
        <w:tc>
          <w:tcPr>
            <w:tcW w:w="309" w:type="pct"/>
            <w:vAlign w:val="center"/>
          </w:tcPr>
          <w:p w14:paraId="2939CB7A">
            <w:pPr>
              <w:spacing w:line="320" w:lineRule="exact"/>
              <w:jc w:val="center"/>
              <w:rPr>
                <w:rFonts w:ascii="Times New Roman" w:eastAsia="仿宋"/>
                <w:szCs w:val="21"/>
              </w:rPr>
            </w:pPr>
            <w:r>
              <w:rPr>
                <w:rFonts w:ascii="Times New Roman" w:eastAsia="仿宋"/>
                <w:szCs w:val="21"/>
              </w:rPr>
              <w:t>/</w:t>
            </w:r>
          </w:p>
        </w:tc>
        <w:tc>
          <w:tcPr>
            <w:tcW w:w="252" w:type="pct"/>
            <w:vAlign w:val="center"/>
          </w:tcPr>
          <w:p w14:paraId="14E5EBC2">
            <w:pPr>
              <w:spacing w:line="320" w:lineRule="exact"/>
              <w:jc w:val="center"/>
              <w:rPr>
                <w:rFonts w:ascii="Times New Roman" w:eastAsia="仿宋"/>
                <w:szCs w:val="21"/>
              </w:rPr>
            </w:pPr>
            <w:r>
              <w:rPr>
                <w:rFonts w:ascii="Times New Roman" w:eastAsia="仿宋"/>
                <w:szCs w:val="21"/>
              </w:rPr>
              <w:t>/</w:t>
            </w:r>
          </w:p>
        </w:tc>
      </w:tr>
      <w:tr w14:paraId="0059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787FFA6D">
            <w:pPr>
              <w:spacing w:line="320" w:lineRule="exact"/>
              <w:jc w:val="center"/>
              <w:rPr>
                <w:rFonts w:ascii="Times New Roman" w:eastAsia="仿宋"/>
                <w:szCs w:val="21"/>
              </w:rPr>
            </w:pPr>
            <w:r>
              <w:rPr>
                <w:rFonts w:ascii="Times New Roman" w:eastAsia="仿宋"/>
                <w:szCs w:val="21"/>
              </w:rPr>
              <w:t>pH（无量纲）</w:t>
            </w:r>
          </w:p>
        </w:tc>
        <w:tc>
          <w:tcPr>
            <w:tcW w:w="286" w:type="pct"/>
            <w:vAlign w:val="center"/>
          </w:tcPr>
          <w:p w14:paraId="5EBA0339">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4C08ADBA">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38BF98D7">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1DF0DD66">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481B7545">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368EFDC0">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67CBDA9F">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1A0E89B7">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5EC7AC3C">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1AAD5D89">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6C4B52F5">
            <w:pPr>
              <w:spacing w:line="320" w:lineRule="exact"/>
              <w:jc w:val="center"/>
              <w:rPr>
                <w:rFonts w:ascii="Times New Roman" w:eastAsia="仿宋"/>
                <w:szCs w:val="21"/>
              </w:rPr>
            </w:pPr>
            <w:r>
              <w:rPr>
                <w:rFonts w:hint="eastAsia" w:ascii="Times New Roman" w:eastAsia="仿宋"/>
                <w:szCs w:val="21"/>
              </w:rPr>
              <w:t>7.1</w:t>
            </w:r>
          </w:p>
        </w:tc>
        <w:tc>
          <w:tcPr>
            <w:tcW w:w="288" w:type="pct"/>
            <w:vAlign w:val="center"/>
          </w:tcPr>
          <w:p w14:paraId="2EBA2533">
            <w:pPr>
              <w:spacing w:line="320" w:lineRule="exact"/>
              <w:jc w:val="center"/>
              <w:rPr>
                <w:rFonts w:ascii="Times New Roman" w:eastAsia="仿宋"/>
                <w:szCs w:val="21"/>
              </w:rPr>
            </w:pPr>
            <w:r>
              <w:rPr>
                <w:rFonts w:hint="eastAsia" w:ascii="Times New Roman" w:eastAsia="仿宋"/>
                <w:szCs w:val="21"/>
              </w:rPr>
              <w:t>7.1</w:t>
            </w:r>
          </w:p>
        </w:tc>
        <w:tc>
          <w:tcPr>
            <w:tcW w:w="309" w:type="pct"/>
            <w:vAlign w:val="center"/>
          </w:tcPr>
          <w:p w14:paraId="110E9352">
            <w:pPr>
              <w:spacing w:line="320" w:lineRule="exact"/>
              <w:jc w:val="center"/>
              <w:rPr>
                <w:rFonts w:ascii="Times New Roman" w:eastAsia="仿宋"/>
                <w:szCs w:val="21"/>
              </w:rPr>
            </w:pPr>
            <w:r>
              <w:rPr>
                <w:rFonts w:ascii="Times New Roman" w:eastAsia="仿宋"/>
                <w:szCs w:val="21"/>
              </w:rPr>
              <w:t>/</w:t>
            </w:r>
          </w:p>
        </w:tc>
        <w:tc>
          <w:tcPr>
            <w:tcW w:w="252" w:type="pct"/>
            <w:vAlign w:val="center"/>
          </w:tcPr>
          <w:p w14:paraId="38AFA41C">
            <w:pPr>
              <w:spacing w:line="320" w:lineRule="exact"/>
              <w:jc w:val="center"/>
              <w:rPr>
                <w:rFonts w:ascii="Times New Roman" w:eastAsia="仿宋"/>
                <w:szCs w:val="21"/>
              </w:rPr>
            </w:pPr>
            <w:r>
              <w:rPr>
                <w:rFonts w:ascii="Times New Roman" w:eastAsia="仿宋"/>
                <w:szCs w:val="21"/>
              </w:rPr>
              <w:t>6~9</w:t>
            </w:r>
          </w:p>
        </w:tc>
      </w:tr>
      <w:tr w14:paraId="62C3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6DED6E25">
            <w:pPr>
              <w:spacing w:line="320" w:lineRule="exact"/>
              <w:jc w:val="center"/>
              <w:rPr>
                <w:rFonts w:ascii="Times New Roman" w:eastAsia="仿宋"/>
                <w:szCs w:val="21"/>
              </w:rPr>
            </w:pPr>
            <w:r>
              <w:rPr>
                <w:rFonts w:ascii="Times New Roman" w:eastAsia="仿宋"/>
                <w:szCs w:val="21"/>
              </w:rPr>
              <w:t>化学需氧量（mg/L）</w:t>
            </w:r>
          </w:p>
        </w:tc>
        <w:tc>
          <w:tcPr>
            <w:tcW w:w="286" w:type="pct"/>
            <w:vAlign w:val="center"/>
          </w:tcPr>
          <w:p w14:paraId="3DE03BD4">
            <w:pPr>
              <w:spacing w:line="320" w:lineRule="exact"/>
              <w:jc w:val="center"/>
              <w:rPr>
                <w:rFonts w:ascii="Times New Roman" w:eastAsia="仿宋"/>
                <w:szCs w:val="21"/>
              </w:rPr>
            </w:pPr>
            <w:r>
              <w:rPr>
                <w:rFonts w:hint="eastAsia" w:ascii="Times New Roman" w:eastAsia="仿宋"/>
                <w:szCs w:val="21"/>
              </w:rPr>
              <w:t>15</w:t>
            </w:r>
          </w:p>
        </w:tc>
        <w:tc>
          <w:tcPr>
            <w:tcW w:w="286" w:type="pct"/>
            <w:vAlign w:val="center"/>
          </w:tcPr>
          <w:p w14:paraId="63104C74">
            <w:pPr>
              <w:spacing w:line="320" w:lineRule="exact"/>
              <w:jc w:val="center"/>
              <w:rPr>
                <w:rFonts w:ascii="Times New Roman" w:eastAsia="仿宋"/>
                <w:szCs w:val="21"/>
              </w:rPr>
            </w:pPr>
            <w:r>
              <w:rPr>
                <w:rFonts w:hint="eastAsia" w:ascii="Times New Roman" w:eastAsia="仿宋"/>
                <w:szCs w:val="21"/>
              </w:rPr>
              <w:t>1</w:t>
            </w:r>
            <w:r>
              <w:rPr>
                <w:rFonts w:ascii="Times New Roman" w:eastAsia="仿宋"/>
                <w:szCs w:val="21"/>
              </w:rPr>
              <w:t>5</w:t>
            </w:r>
          </w:p>
        </w:tc>
        <w:tc>
          <w:tcPr>
            <w:tcW w:w="286" w:type="pct"/>
            <w:vAlign w:val="center"/>
          </w:tcPr>
          <w:p w14:paraId="0E1D0206">
            <w:pPr>
              <w:spacing w:line="320" w:lineRule="exact"/>
              <w:jc w:val="center"/>
              <w:rPr>
                <w:rFonts w:ascii="Times New Roman" w:eastAsia="仿宋"/>
                <w:szCs w:val="21"/>
              </w:rPr>
            </w:pPr>
            <w:r>
              <w:rPr>
                <w:rFonts w:hint="eastAsia" w:ascii="Times New Roman" w:eastAsia="仿宋"/>
                <w:szCs w:val="21"/>
              </w:rPr>
              <w:t>15</w:t>
            </w:r>
          </w:p>
        </w:tc>
        <w:tc>
          <w:tcPr>
            <w:tcW w:w="286" w:type="pct"/>
            <w:vAlign w:val="center"/>
          </w:tcPr>
          <w:p w14:paraId="624BF2F1">
            <w:pPr>
              <w:spacing w:line="320" w:lineRule="exact"/>
              <w:jc w:val="center"/>
              <w:rPr>
                <w:rFonts w:ascii="Times New Roman" w:eastAsia="仿宋"/>
                <w:szCs w:val="21"/>
              </w:rPr>
            </w:pPr>
            <w:r>
              <w:rPr>
                <w:rFonts w:hint="eastAsia" w:ascii="Times New Roman" w:eastAsia="仿宋"/>
                <w:szCs w:val="21"/>
              </w:rPr>
              <w:t>15</w:t>
            </w:r>
          </w:p>
        </w:tc>
        <w:tc>
          <w:tcPr>
            <w:tcW w:w="286" w:type="pct"/>
            <w:vAlign w:val="center"/>
          </w:tcPr>
          <w:p w14:paraId="1993B413">
            <w:pPr>
              <w:spacing w:line="320" w:lineRule="exact"/>
              <w:jc w:val="center"/>
              <w:rPr>
                <w:rFonts w:ascii="Times New Roman" w:eastAsia="仿宋"/>
                <w:szCs w:val="21"/>
              </w:rPr>
            </w:pPr>
            <w:r>
              <w:rPr>
                <w:rFonts w:hint="eastAsia" w:ascii="Times New Roman" w:eastAsia="仿宋"/>
                <w:szCs w:val="21"/>
              </w:rPr>
              <w:t>15</w:t>
            </w:r>
          </w:p>
        </w:tc>
        <w:tc>
          <w:tcPr>
            <w:tcW w:w="286" w:type="pct"/>
            <w:vAlign w:val="center"/>
          </w:tcPr>
          <w:p w14:paraId="24763631">
            <w:pPr>
              <w:spacing w:line="320" w:lineRule="exact"/>
              <w:jc w:val="center"/>
              <w:rPr>
                <w:rFonts w:ascii="Times New Roman" w:eastAsia="仿宋"/>
                <w:szCs w:val="21"/>
              </w:rPr>
            </w:pPr>
            <w:r>
              <w:rPr>
                <w:rFonts w:hint="eastAsia" w:ascii="Times New Roman" w:eastAsia="仿宋"/>
                <w:szCs w:val="21"/>
              </w:rPr>
              <w:t>16</w:t>
            </w:r>
          </w:p>
        </w:tc>
        <w:tc>
          <w:tcPr>
            <w:tcW w:w="286" w:type="pct"/>
            <w:vAlign w:val="center"/>
          </w:tcPr>
          <w:p w14:paraId="293E334F">
            <w:pPr>
              <w:spacing w:line="320" w:lineRule="exact"/>
              <w:jc w:val="center"/>
              <w:rPr>
                <w:rFonts w:ascii="Times New Roman" w:eastAsia="仿宋"/>
                <w:szCs w:val="21"/>
              </w:rPr>
            </w:pPr>
            <w:r>
              <w:rPr>
                <w:rFonts w:hint="eastAsia" w:ascii="Times New Roman" w:eastAsia="仿宋"/>
                <w:szCs w:val="21"/>
              </w:rPr>
              <w:t>26</w:t>
            </w:r>
          </w:p>
        </w:tc>
        <w:tc>
          <w:tcPr>
            <w:tcW w:w="286" w:type="pct"/>
            <w:vAlign w:val="center"/>
          </w:tcPr>
          <w:p w14:paraId="32EB5B28">
            <w:pPr>
              <w:spacing w:line="320" w:lineRule="exact"/>
              <w:jc w:val="center"/>
              <w:rPr>
                <w:rFonts w:ascii="Times New Roman" w:eastAsia="仿宋"/>
                <w:szCs w:val="21"/>
              </w:rPr>
            </w:pPr>
            <w:r>
              <w:rPr>
                <w:rFonts w:hint="eastAsia" w:ascii="Times New Roman" w:eastAsia="仿宋"/>
                <w:szCs w:val="21"/>
              </w:rPr>
              <w:t>26</w:t>
            </w:r>
          </w:p>
        </w:tc>
        <w:tc>
          <w:tcPr>
            <w:tcW w:w="286" w:type="pct"/>
            <w:vAlign w:val="center"/>
          </w:tcPr>
          <w:p w14:paraId="5BA8BE04">
            <w:pPr>
              <w:spacing w:line="320" w:lineRule="exact"/>
              <w:jc w:val="center"/>
              <w:rPr>
                <w:rFonts w:ascii="Times New Roman" w:eastAsia="仿宋"/>
                <w:szCs w:val="21"/>
              </w:rPr>
            </w:pPr>
            <w:r>
              <w:rPr>
                <w:rFonts w:hint="eastAsia" w:ascii="Times New Roman" w:eastAsia="仿宋"/>
                <w:szCs w:val="21"/>
              </w:rPr>
              <w:t>26</w:t>
            </w:r>
          </w:p>
        </w:tc>
        <w:tc>
          <w:tcPr>
            <w:tcW w:w="286" w:type="pct"/>
            <w:vAlign w:val="center"/>
          </w:tcPr>
          <w:p w14:paraId="1DF30668">
            <w:pPr>
              <w:spacing w:line="320" w:lineRule="exact"/>
              <w:jc w:val="center"/>
              <w:rPr>
                <w:rFonts w:ascii="Times New Roman" w:eastAsia="仿宋"/>
                <w:szCs w:val="21"/>
              </w:rPr>
            </w:pPr>
            <w:r>
              <w:rPr>
                <w:rFonts w:hint="eastAsia" w:ascii="Times New Roman" w:eastAsia="仿宋"/>
                <w:szCs w:val="21"/>
              </w:rPr>
              <w:t>26</w:t>
            </w:r>
          </w:p>
        </w:tc>
        <w:tc>
          <w:tcPr>
            <w:tcW w:w="286" w:type="pct"/>
            <w:vAlign w:val="center"/>
          </w:tcPr>
          <w:p w14:paraId="253BD682">
            <w:pPr>
              <w:spacing w:line="320" w:lineRule="exact"/>
              <w:jc w:val="center"/>
              <w:rPr>
                <w:rFonts w:ascii="Times New Roman" w:eastAsia="仿宋"/>
                <w:szCs w:val="21"/>
              </w:rPr>
            </w:pPr>
            <w:r>
              <w:rPr>
                <w:rFonts w:hint="eastAsia" w:ascii="Times New Roman" w:eastAsia="仿宋"/>
                <w:szCs w:val="21"/>
              </w:rPr>
              <w:t>27</w:t>
            </w:r>
          </w:p>
        </w:tc>
        <w:tc>
          <w:tcPr>
            <w:tcW w:w="288" w:type="pct"/>
            <w:vAlign w:val="center"/>
          </w:tcPr>
          <w:p w14:paraId="45914D09">
            <w:pPr>
              <w:spacing w:line="320" w:lineRule="exact"/>
              <w:jc w:val="center"/>
              <w:rPr>
                <w:rFonts w:ascii="Times New Roman" w:eastAsia="仿宋"/>
                <w:szCs w:val="21"/>
              </w:rPr>
            </w:pPr>
            <w:r>
              <w:rPr>
                <w:rFonts w:hint="eastAsia" w:ascii="Times New Roman" w:eastAsia="仿宋"/>
                <w:szCs w:val="21"/>
              </w:rPr>
              <w:t>28</w:t>
            </w:r>
          </w:p>
        </w:tc>
        <w:tc>
          <w:tcPr>
            <w:tcW w:w="309" w:type="pct"/>
            <w:vAlign w:val="center"/>
          </w:tcPr>
          <w:p w14:paraId="4B09E8B4">
            <w:pPr>
              <w:spacing w:line="320" w:lineRule="exact"/>
              <w:jc w:val="center"/>
              <w:rPr>
                <w:rFonts w:ascii="Times New Roman" w:eastAsia="仿宋"/>
                <w:szCs w:val="21"/>
              </w:rPr>
            </w:pPr>
            <w:r>
              <w:rPr>
                <w:rFonts w:ascii="Times New Roman" w:eastAsia="仿宋"/>
                <w:szCs w:val="21"/>
              </w:rPr>
              <w:t>4</w:t>
            </w:r>
          </w:p>
        </w:tc>
        <w:tc>
          <w:tcPr>
            <w:tcW w:w="252" w:type="pct"/>
            <w:vAlign w:val="center"/>
          </w:tcPr>
          <w:p w14:paraId="2B817283">
            <w:pPr>
              <w:spacing w:line="320" w:lineRule="exact"/>
              <w:jc w:val="center"/>
              <w:rPr>
                <w:rFonts w:ascii="Times New Roman" w:eastAsia="仿宋"/>
                <w:szCs w:val="21"/>
              </w:rPr>
            </w:pPr>
            <w:r>
              <w:rPr>
                <w:rFonts w:ascii="Times New Roman" w:eastAsia="仿宋"/>
                <w:szCs w:val="21"/>
              </w:rPr>
              <w:t>30</w:t>
            </w:r>
          </w:p>
        </w:tc>
      </w:tr>
      <w:tr w14:paraId="6378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4C22DB3B">
            <w:pPr>
              <w:spacing w:line="320" w:lineRule="exact"/>
              <w:jc w:val="center"/>
              <w:rPr>
                <w:rFonts w:ascii="Times New Roman" w:eastAsia="仿宋"/>
                <w:szCs w:val="21"/>
              </w:rPr>
            </w:pPr>
            <w:r>
              <w:rPr>
                <w:rFonts w:ascii="Times New Roman" w:eastAsia="仿宋"/>
                <w:szCs w:val="21"/>
              </w:rPr>
              <w:t>氨氮（mg/L）</w:t>
            </w:r>
          </w:p>
        </w:tc>
        <w:tc>
          <w:tcPr>
            <w:tcW w:w="286" w:type="pct"/>
            <w:vAlign w:val="center"/>
          </w:tcPr>
          <w:p w14:paraId="6F6E09AE">
            <w:pPr>
              <w:spacing w:line="320" w:lineRule="exact"/>
              <w:jc w:val="center"/>
              <w:rPr>
                <w:rFonts w:ascii="Times New Roman" w:eastAsia="仿宋"/>
                <w:szCs w:val="21"/>
              </w:rPr>
            </w:pPr>
            <w:r>
              <w:rPr>
                <w:rFonts w:hint="eastAsia" w:ascii="Times New Roman" w:eastAsia="仿宋"/>
                <w:szCs w:val="21"/>
              </w:rPr>
              <w:t>0.528</w:t>
            </w:r>
          </w:p>
        </w:tc>
        <w:tc>
          <w:tcPr>
            <w:tcW w:w="286" w:type="pct"/>
            <w:vAlign w:val="center"/>
          </w:tcPr>
          <w:p w14:paraId="5AE346FE">
            <w:pPr>
              <w:spacing w:line="320" w:lineRule="exact"/>
              <w:jc w:val="center"/>
              <w:rPr>
                <w:rFonts w:ascii="Times New Roman" w:eastAsia="仿宋"/>
                <w:szCs w:val="21"/>
              </w:rPr>
            </w:pPr>
            <w:r>
              <w:rPr>
                <w:rFonts w:hint="eastAsia" w:ascii="Times New Roman" w:eastAsia="仿宋"/>
                <w:szCs w:val="21"/>
              </w:rPr>
              <w:t>0.5</w:t>
            </w:r>
            <w:r>
              <w:rPr>
                <w:rFonts w:ascii="Times New Roman" w:eastAsia="仿宋"/>
                <w:szCs w:val="21"/>
              </w:rPr>
              <w:t>33</w:t>
            </w:r>
          </w:p>
        </w:tc>
        <w:tc>
          <w:tcPr>
            <w:tcW w:w="286" w:type="pct"/>
            <w:vAlign w:val="center"/>
          </w:tcPr>
          <w:p w14:paraId="6612A14C">
            <w:pPr>
              <w:spacing w:line="320" w:lineRule="exact"/>
              <w:jc w:val="center"/>
              <w:rPr>
                <w:rFonts w:ascii="Times New Roman" w:eastAsia="仿宋"/>
                <w:szCs w:val="21"/>
              </w:rPr>
            </w:pPr>
            <w:r>
              <w:rPr>
                <w:rFonts w:hint="eastAsia" w:ascii="Times New Roman" w:eastAsia="仿宋"/>
                <w:szCs w:val="21"/>
              </w:rPr>
              <w:t>0.53</w:t>
            </w:r>
          </w:p>
        </w:tc>
        <w:tc>
          <w:tcPr>
            <w:tcW w:w="286" w:type="pct"/>
            <w:vAlign w:val="center"/>
          </w:tcPr>
          <w:p w14:paraId="421A3A5A">
            <w:pPr>
              <w:spacing w:line="320" w:lineRule="exact"/>
              <w:jc w:val="center"/>
              <w:rPr>
                <w:rFonts w:ascii="Times New Roman" w:eastAsia="仿宋"/>
                <w:szCs w:val="21"/>
              </w:rPr>
            </w:pPr>
            <w:r>
              <w:rPr>
                <w:rFonts w:hint="eastAsia" w:ascii="Times New Roman" w:eastAsia="仿宋"/>
                <w:szCs w:val="21"/>
              </w:rPr>
              <w:t>0.536</w:t>
            </w:r>
          </w:p>
        </w:tc>
        <w:tc>
          <w:tcPr>
            <w:tcW w:w="286" w:type="pct"/>
            <w:vAlign w:val="center"/>
          </w:tcPr>
          <w:p w14:paraId="1BDA6485">
            <w:pPr>
              <w:spacing w:line="320" w:lineRule="exact"/>
              <w:jc w:val="center"/>
              <w:rPr>
                <w:rFonts w:ascii="Times New Roman" w:eastAsia="仿宋"/>
                <w:szCs w:val="21"/>
              </w:rPr>
            </w:pPr>
            <w:r>
              <w:rPr>
                <w:rFonts w:hint="eastAsia" w:ascii="Times New Roman" w:eastAsia="仿宋"/>
                <w:szCs w:val="21"/>
              </w:rPr>
              <w:t>0.539</w:t>
            </w:r>
          </w:p>
        </w:tc>
        <w:tc>
          <w:tcPr>
            <w:tcW w:w="286" w:type="pct"/>
            <w:vAlign w:val="center"/>
          </w:tcPr>
          <w:p w14:paraId="7B0267BE">
            <w:pPr>
              <w:spacing w:line="320" w:lineRule="exact"/>
              <w:jc w:val="center"/>
              <w:rPr>
                <w:rFonts w:ascii="Times New Roman" w:eastAsia="仿宋"/>
                <w:szCs w:val="21"/>
              </w:rPr>
            </w:pPr>
            <w:r>
              <w:rPr>
                <w:rFonts w:hint="eastAsia" w:ascii="Times New Roman" w:eastAsia="仿宋"/>
                <w:szCs w:val="21"/>
              </w:rPr>
              <w:t>0.536</w:t>
            </w:r>
          </w:p>
        </w:tc>
        <w:tc>
          <w:tcPr>
            <w:tcW w:w="286" w:type="pct"/>
            <w:vAlign w:val="center"/>
          </w:tcPr>
          <w:p w14:paraId="1B324E17">
            <w:pPr>
              <w:spacing w:line="320" w:lineRule="exact"/>
              <w:jc w:val="center"/>
              <w:rPr>
                <w:rFonts w:ascii="Times New Roman" w:eastAsia="仿宋"/>
                <w:szCs w:val="21"/>
              </w:rPr>
            </w:pPr>
            <w:r>
              <w:rPr>
                <w:rFonts w:hint="eastAsia" w:ascii="Times New Roman" w:eastAsia="仿宋"/>
                <w:szCs w:val="21"/>
              </w:rPr>
              <w:t>0.667</w:t>
            </w:r>
          </w:p>
        </w:tc>
        <w:tc>
          <w:tcPr>
            <w:tcW w:w="286" w:type="pct"/>
            <w:vAlign w:val="center"/>
          </w:tcPr>
          <w:p w14:paraId="00912403">
            <w:pPr>
              <w:spacing w:line="320" w:lineRule="exact"/>
              <w:jc w:val="center"/>
              <w:rPr>
                <w:rFonts w:ascii="Times New Roman" w:eastAsia="仿宋"/>
                <w:szCs w:val="21"/>
              </w:rPr>
            </w:pPr>
            <w:r>
              <w:rPr>
                <w:rFonts w:hint="eastAsia" w:ascii="Times New Roman" w:eastAsia="仿宋"/>
                <w:szCs w:val="21"/>
              </w:rPr>
              <w:t>0.672</w:t>
            </w:r>
          </w:p>
        </w:tc>
        <w:tc>
          <w:tcPr>
            <w:tcW w:w="286" w:type="pct"/>
            <w:vAlign w:val="center"/>
          </w:tcPr>
          <w:p w14:paraId="34494ED5">
            <w:pPr>
              <w:spacing w:line="320" w:lineRule="exact"/>
              <w:jc w:val="center"/>
              <w:rPr>
                <w:rFonts w:ascii="Times New Roman" w:eastAsia="仿宋"/>
                <w:szCs w:val="21"/>
              </w:rPr>
            </w:pPr>
            <w:r>
              <w:rPr>
                <w:rFonts w:hint="eastAsia" w:ascii="Times New Roman" w:eastAsia="仿宋"/>
                <w:szCs w:val="21"/>
              </w:rPr>
              <w:t>0.661</w:t>
            </w:r>
          </w:p>
        </w:tc>
        <w:tc>
          <w:tcPr>
            <w:tcW w:w="286" w:type="pct"/>
            <w:vAlign w:val="center"/>
          </w:tcPr>
          <w:p w14:paraId="59C69EB3">
            <w:pPr>
              <w:spacing w:line="320" w:lineRule="exact"/>
              <w:jc w:val="center"/>
              <w:rPr>
                <w:rFonts w:ascii="Times New Roman" w:eastAsia="仿宋"/>
                <w:szCs w:val="21"/>
              </w:rPr>
            </w:pPr>
            <w:r>
              <w:rPr>
                <w:rFonts w:hint="eastAsia" w:ascii="Times New Roman" w:eastAsia="仿宋"/>
                <w:szCs w:val="21"/>
              </w:rPr>
              <w:t>0.678</w:t>
            </w:r>
          </w:p>
        </w:tc>
        <w:tc>
          <w:tcPr>
            <w:tcW w:w="286" w:type="pct"/>
            <w:vAlign w:val="center"/>
          </w:tcPr>
          <w:p w14:paraId="5455564C">
            <w:pPr>
              <w:spacing w:line="320" w:lineRule="exact"/>
              <w:jc w:val="center"/>
              <w:rPr>
                <w:rFonts w:ascii="Times New Roman" w:eastAsia="仿宋"/>
                <w:szCs w:val="21"/>
              </w:rPr>
            </w:pPr>
            <w:r>
              <w:rPr>
                <w:rFonts w:hint="eastAsia" w:ascii="Times New Roman" w:eastAsia="仿宋"/>
                <w:szCs w:val="21"/>
              </w:rPr>
              <w:t>0.655</w:t>
            </w:r>
          </w:p>
        </w:tc>
        <w:tc>
          <w:tcPr>
            <w:tcW w:w="288" w:type="pct"/>
            <w:vAlign w:val="center"/>
          </w:tcPr>
          <w:p w14:paraId="6F7A00C2">
            <w:pPr>
              <w:spacing w:line="320" w:lineRule="exact"/>
              <w:jc w:val="center"/>
              <w:rPr>
                <w:rFonts w:ascii="Times New Roman" w:eastAsia="仿宋"/>
                <w:szCs w:val="21"/>
              </w:rPr>
            </w:pPr>
            <w:r>
              <w:rPr>
                <w:rFonts w:hint="eastAsia" w:ascii="Times New Roman" w:eastAsia="仿宋"/>
                <w:szCs w:val="21"/>
              </w:rPr>
              <w:t>0.658</w:t>
            </w:r>
          </w:p>
        </w:tc>
        <w:tc>
          <w:tcPr>
            <w:tcW w:w="309" w:type="pct"/>
            <w:vAlign w:val="center"/>
          </w:tcPr>
          <w:p w14:paraId="226069C8">
            <w:pPr>
              <w:spacing w:line="320" w:lineRule="exact"/>
              <w:jc w:val="center"/>
              <w:rPr>
                <w:rFonts w:ascii="Times New Roman" w:eastAsia="仿宋"/>
                <w:szCs w:val="21"/>
              </w:rPr>
            </w:pPr>
            <w:r>
              <w:rPr>
                <w:rFonts w:ascii="Times New Roman" w:eastAsia="仿宋"/>
                <w:szCs w:val="21"/>
              </w:rPr>
              <w:t>0.025</w:t>
            </w:r>
          </w:p>
        </w:tc>
        <w:tc>
          <w:tcPr>
            <w:tcW w:w="252" w:type="pct"/>
            <w:vAlign w:val="center"/>
          </w:tcPr>
          <w:p w14:paraId="35F60DF9">
            <w:pPr>
              <w:spacing w:line="320" w:lineRule="exact"/>
              <w:jc w:val="center"/>
              <w:rPr>
                <w:rFonts w:ascii="Times New Roman" w:eastAsia="仿宋"/>
                <w:szCs w:val="21"/>
              </w:rPr>
            </w:pPr>
            <w:r>
              <w:rPr>
                <w:rFonts w:ascii="Times New Roman" w:eastAsia="仿宋"/>
                <w:szCs w:val="21"/>
              </w:rPr>
              <w:t>1.5</w:t>
            </w:r>
          </w:p>
        </w:tc>
      </w:tr>
      <w:tr w14:paraId="25BB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05A072C4">
            <w:pPr>
              <w:spacing w:line="320" w:lineRule="exact"/>
              <w:jc w:val="center"/>
              <w:rPr>
                <w:rFonts w:ascii="Times New Roman" w:eastAsia="仿宋"/>
                <w:szCs w:val="21"/>
              </w:rPr>
            </w:pPr>
            <w:r>
              <w:rPr>
                <w:rFonts w:ascii="Times New Roman" w:eastAsia="仿宋"/>
                <w:szCs w:val="21"/>
              </w:rPr>
              <w:t>总磷（mg/L）</w:t>
            </w:r>
          </w:p>
        </w:tc>
        <w:tc>
          <w:tcPr>
            <w:tcW w:w="286" w:type="pct"/>
            <w:vAlign w:val="center"/>
          </w:tcPr>
          <w:p w14:paraId="7520F5A1">
            <w:pPr>
              <w:spacing w:line="320" w:lineRule="exact"/>
              <w:jc w:val="center"/>
              <w:rPr>
                <w:rFonts w:ascii="Times New Roman" w:eastAsia="仿宋"/>
                <w:szCs w:val="21"/>
              </w:rPr>
            </w:pPr>
            <w:r>
              <w:rPr>
                <w:rFonts w:hint="eastAsia" w:ascii="Times New Roman" w:eastAsia="仿宋"/>
                <w:szCs w:val="21"/>
              </w:rPr>
              <w:t>0.18</w:t>
            </w:r>
          </w:p>
        </w:tc>
        <w:tc>
          <w:tcPr>
            <w:tcW w:w="286" w:type="pct"/>
            <w:vAlign w:val="center"/>
          </w:tcPr>
          <w:p w14:paraId="33097476">
            <w:pPr>
              <w:spacing w:line="320" w:lineRule="exact"/>
              <w:jc w:val="center"/>
              <w:rPr>
                <w:rFonts w:ascii="Times New Roman" w:eastAsia="仿宋"/>
                <w:szCs w:val="21"/>
              </w:rPr>
            </w:pPr>
            <w:r>
              <w:rPr>
                <w:rFonts w:hint="eastAsia" w:ascii="Times New Roman" w:eastAsia="仿宋"/>
                <w:szCs w:val="21"/>
              </w:rPr>
              <w:t>0.1</w:t>
            </w:r>
            <w:r>
              <w:rPr>
                <w:rFonts w:ascii="Times New Roman" w:eastAsia="仿宋"/>
                <w:szCs w:val="21"/>
              </w:rPr>
              <w:t>7</w:t>
            </w:r>
          </w:p>
        </w:tc>
        <w:tc>
          <w:tcPr>
            <w:tcW w:w="286" w:type="pct"/>
            <w:vAlign w:val="center"/>
          </w:tcPr>
          <w:p w14:paraId="6BEC55CE">
            <w:pPr>
              <w:spacing w:line="320" w:lineRule="exact"/>
              <w:jc w:val="center"/>
              <w:rPr>
                <w:rFonts w:ascii="Times New Roman" w:eastAsia="仿宋"/>
                <w:szCs w:val="21"/>
              </w:rPr>
            </w:pPr>
            <w:r>
              <w:rPr>
                <w:rFonts w:hint="eastAsia" w:ascii="Times New Roman" w:eastAsia="仿宋"/>
                <w:szCs w:val="21"/>
              </w:rPr>
              <w:t>0.2</w:t>
            </w:r>
          </w:p>
        </w:tc>
        <w:tc>
          <w:tcPr>
            <w:tcW w:w="286" w:type="pct"/>
            <w:vAlign w:val="center"/>
          </w:tcPr>
          <w:p w14:paraId="7A2F377B">
            <w:pPr>
              <w:spacing w:line="320" w:lineRule="exact"/>
              <w:jc w:val="center"/>
              <w:rPr>
                <w:rFonts w:ascii="Times New Roman" w:eastAsia="仿宋"/>
                <w:szCs w:val="21"/>
              </w:rPr>
            </w:pPr>
            <w:r>
              <w:rPr>
                <w:rFonts w:hint="eastAsia" w:ascii="Times New Roman" w:eastAsia="仿宋"/>
                <w:szCs w:val="21"/>
              </w:rPr>
              <w:t>0.2</w:t>
            </w:r>
          </w:p>
        </w:tc>
        <w:tc>
          <w:tcPr>
            <w:tcW w:w="286" w:type="pct"/>
            <w:vAlign w:val="center"/>
          </w:tcPr>
          <w:p w14:paraId="436EC935">
            <w:pPr>
              <w:spacing w:line="320" w:lineRule="exact"/>
              <w:jc w:val="center"/>
              <w:rPr>
                <w:rFonts w:ascii="Times New Roman" w:eastAsia="仿宋"/>
                <w:szCs w:val="21"/>
              </w:rPr>
            </w:pPr>
            <w:r>
              <w:rPr>
                <w:rFonts w:hint="eastAsia" w:ascii="Times New Roman" w:eastAsia="仿宋"/>
                <w:szCs w:val="21"/>
              </w:rPr>
              <w:t>0.21</w:t>
            </w:r>
          </w:p>
        </w:tc>
        <w:tc>
          <w:tcPr>
            <w:tcW w:w="286" w:type="pct"/>
            <w:vAlign w:val="center"/>
          </w:tcPr>
          <w:p w14:paraId="2BE86877">
            <w:pPr>
              <w:spacing w:line="320" w:lineRule="exact"/>
              <w:jc w:val="center"/>
              <w:rPr>
                <w:rFonts w:ascii="Times New Roman" w:eastAsia="仿宋"/>
                <w:szCs w:val="21"/>
              </w:rPr>
            </w:pPr>
            <w:r>
              <w:rPr>
                <w:rFonts w:hint="eastAsia" w:ascii="Times New Roman" w:eastAsia="仿宋"/>
                <w:szCs w:val="21"/>
              </w:rPr>
              <w:t>0.22</w:t>
            </w:r>
          </w:p>
        </w:tc>
        <w:tc>
          <w:tcPr>
            <w:tcW w:w="286" w:type="pct"/>
            <w:vAlign w:val="center"/>
          </w:tcPr>
          <w:p w14:paraId="6D8EBC33">
            <w:pPr>
              <w:spacing w:line="320" w:lineRule="exact"/>
              <w:jc w:val="center"/>
              <w:rPr>
                <w:rFonts w:ascii="Times New Roman" w:eastAsia="仿宋"/>
                <w:szCs w:val="21"/>
              </w:rPr>
            </w:pPr>
            <w:r>
              <w:rPr>
                <w:rFonts w:hint="eastAsia" w:ascii="Times New Roman" w:eastAsia="仿宋"/>
                <w:szCs w:val="21"/>
              </w:rPr>
              <w:t>0.17</w:t>
            </w:r>
          </w:p>
        </w:tc>
        <w:tc>
          <w:tcPr>
            <w:tcW w:w="286" w:type="pct"/>
            <w:vAlign w:val="center"/>
          </w:tcPr>
          <w:p w14:paraId="3653C752">
            <w:pPr>
              <w:spacing w:line="320" w:lineRule="exact"/>
              <w:jc w:val="center"/>
              <w:rPr>
                <w:rFonts w:ascii="Times New Roman" w:eastAsia="仿宋"/>
                <w:szCs w:val="21"/>
              </w:rPr>
            </w:pPr>
            <w:r>
              <w:rPr>
                <w:rFonts w:hint="eastAsia" w:ascii="Times New Roman" w:eastAsia="仿宋"/>
                <w:szCs w:val="21"/>
              </w:rPr>
              <w:t>0.24</w:t>
            </w:r>
          </w:p>
        </w:tc>
        <w:tc>
          <w:tcPr>
            <w:tcW w:w="286" w:type="pct"/>
            <w:vAlign w:val="center"/>
          </w:tcPr>
          <w:p w14:paraId="58C53C07">
            <w:pPr>
              <w:spacing w:line="320" w:lineRule="exact"/>
              <w:jc w:val="center"/>
              <w:rPr>
                <w:rFonts w:ascii="Times New Roman" w:eastAsia="仿宋"/>
                <w:szCs w:val="21"/>
              </w:rPr>
            </w:pPr>
            <w:r>
              <w:rPr>
                <w:rFonts w:hint="eastAsia" w:ascii="Times New Roman" w:eastAsia="仿宋"/>
                <w:szCs w:val="21"/>
              </w:rPr>
              <w:t>0.26</w:t>
            </w:r>
          </w:p>
        </w:tc>
        <w:tc>
          <w:tcPr>
            <w:tcW w:w="286" w:type="pct"/>
            <w:vAlign w:val="center"/>
          </w:tcPr>
          <w:p w14:paraId="754270F5">
            <w:pPr>
              <w:spacing w:line="320" w:lineRule="exact"/>
              <w:jc w:val="center"/>
              <w:rPr>
                <w:rFonts w:ascii="Times New Roman" w:eastAsia="仿宋"/>
                <w:szCs w:val="21"/>
              </w:rPr>
            </w:pPr>
            <w:r>
              <w:rPr>
                <w:rFonts w:hint="eastAsia" w:ascii="Times New Roman" w:eastAsia="仿宋"/>
                <w:szCs w:val="21"/>
              </w:rPr>
              <w:t>0.25</w:t>
            </w:r>
          </w:p>
        </w:tc>
        <w:tc>
          <w:tcPr>
            <w:tcW w:w="286" w:type="pct"/>
            <w:vAlign w:val="center"/>
          </w:tcPr>
          <w:p w14:paraId="53D69467">
            <w:pPr>
              <w:spacing w:line="320" w:lineRule="exact"/>
              <w:jc w:val="center"/>
              <w:rPr>
                <w:rFonts w:ascii="Times New Roman" w:eastAsia="仿宋"/>
                <w:szCs w:val="21"/>
              </w:rPr>
            </w:pPr>
            <w:r>
              <w:rPr>
                <w:rFonts w:hint="eastAsia" w:ascii="Times New Roman" w:eastAsia="仿宋"/>
                <w:szCs w:val="21"/>
              </w:rPr>
              <w:t>0.24</w:t>
            </w:r>
          </w:p>
        </w:tc>
        <w:tc>
          <w:tcPr>
            <w:tcW w:w="288" w:type="pct"/>
            <w:vAlign w:val="center"/>
          </w:tcPr>
          <w:p w14:paraId="19F19314">
            <w:pPr>
              <w:spacing w:line="320" w:lineRule="exact"/>
              <w:jc w:val="center"/>
              <w:rPr>
                <w:rFonts w:ascii="Times New Roman" w:eastAsia="仿宋"/>
                <w:szCs w:val="21"/>
              </w:rPr>
            </w:pPr>
            <w:r>
              <w:rPr>
                <w:rFonts w:hint="eastAsia" w:ascii="Times New Roman" w:eastAsia="仿宋"/>
                <w:szCs w:val="21"/>
              </w:rPr>
              <w:t>0.24</w:t>
            </w:r>
          </w:p>
        </w:tc>
        <w:tc>
          <w:tcPr>
            <w:tcW w:w="309" w:type="pct"/>
            <w:vAlign w:val="center"/>
          </w:tcPr>
          <w:p w14:paraId="3D019CDD">
            <w:pPr>
              <w:spacing w:line="320" w:lineRule="exact"/>
              <w:jc w:val="center"/>
              <w:rPr>
                <w:rFonts w:ascii="Times New Roman" w:eastAsia="仿宋"/>
                <w:szCs w:val="21"/>
              </w:rPr>
            </w:pPr>
            <w:r>
              <w:rPr>
                <w:rFonts w:ascii="Times New Roman" w:eastAsia="仿宋"/>
                <w:szCs w:val="21"/>
              </w:rPr>
              <w:t>0.01</w:t>
            </w:r>
          </w:p>
        </w:tc>
        <w:tc>
          <w:tcPr>
            <w:tcW w:w="252" w:type="pct"/>
            <w:vAlign w:val="center"/>
          </w:tcPr>
          <w:p w14:paraId="7A38EC53">
            <w:pPr>
              <w:spacing w:line="320" w:lineRule="exact"/>
              <w:jc w:val="center"/>
              <w:rPr>
                <w:rFonts w:ascii="Times New Roman" w:eastAsia="仿宋"/>
                <w:szCs w:val="21"/>
              </w:rPr>
            </w:pPr>
            <w:r>
              <w:rPr>
                <w:rFonts w:ascii="Times New Roman" w:eastAsia="仿宋"/>
                <w:szCs w:val="21"/>
              </w:rPr>
              <w:t>0.3</w:t>
            </w:r>
          </w:p>
        </w:tc>
      </w:tr>
      <w:tr w14:paraId="1D77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0DDFAD16">
            <w:pPr>
              <w:spacing w:line="320" w:lineRule="exact"/>
              <w:jc w:val="center"/>
              <w:rPr>
                <w:rFonts w:ascii="Times New Roman" w:eastAsia="仿宋"/>
                <w:szCs w:val="21"/>
              </w:rPr>
            </w:pPr>
            <w:r>
              <w:rPr>
                <w:rFonts w:ascii="Times New Roman" w:eastAsia="仿宋"/>
                <w:szCs w:val="21"/>
              </w:rPr>
              <w:t>总氮（mg/L）</w:t>
            </w:r>
          </w:p>
        </w:tc>
        <w:tc>
          <w:tcPr>
            <w:tcW w:w="286" w:type="pct"/>
            <w:vAlign w:val="center"/>
          </w:tcPr>
          <w:p w14:paraId="42863654">
            <w:pPr>
              <w:spacing w:line="320" w:lineRule="exact"/>
              <w:jc w:val="center"/>
              <w:rPr>
                <w:rFonts w:ascii="Times New Roman" w:eastAsia="仿宋"/>
                <w:szCs w:val="21"/>
              </w:rPr>
            </w:pPr>
            <w:r>
              <w:rPr>
                <w:rFonts w:hint="eastAsia" w:ascii="Times New Roman" w:eastAsia="仿宋"/>
                <w:szCs w:val="21"/>
              </w:rPr>
              <w:t>1.06</w:t>
            </w:r>
          </w:p>
        </w:tc>
        <w:tc>
          <w:tcPr>
            <w:tcW w:w="286" w:type="pct"/>
            <w:vAlign w:val="center"/>
          </w:tcPr>
          <w:p w14:paraId="2110332F">
            <w:pPr>
              <w:spacing w:line="320" w:lineRule="exact"/>
              <w:jc w:val="center"/>
              <w:rPr>
                <w:rFonts w:ascii="Times New Roman" w:eastAsia="仿宋"/>
                <w:szCs w:val="21"/>
              </w:rPr>
            </w:pPr>
            <w:r>
              <w:rPr>
                <w:rFonts w:hint="eastAsia" w:ascii="Times New Roman" w:eastAsia="仿宋"/>
                <w:szCs w:val="21"/>
              </w:rPr>
              <w:t>1.09</w:t>
            </w:r>
          </w:p>
        </w:tc>
        <w:tc>
          <w:tcPr>
            <w:tcW w:w="286" w:type="pct"/>
            <w:vAlign w:val="center"/>
          </w:tcPr>
          <w:p w14:paraId="75C1CB8E">
            <w:pPr>
              <w:spacing w:line="320" w:lineRule="exact"/>
              <w:jc w:val="center"/>
              <w:rPr>
                <w:rFonts w:ascii="Times New Roman" w:eastAsia="仿宋"/>
                <w:szCs w:val="21"/>
              </w:rPr>
            </w:pPr>
            <w:r>
              <w:rPr>
                <w:rFonts w:hint="eastAsia" w:ascii="Times New Roman" w:eastAsia="仿宋"/>
                <w:szCs w:val="21"/>
              </w:rPr>
              <w:t>1.08</w:t>
            </w:r>
          </w:p>
        </w:tc>
        <w:tc>
          <w:tcPr>
            <w:tcW w:w="286" w:type="pct"/>
            <w:vAlign w:val="center"/>
          </w:tcPr>
          <w:p w14:paraId="05DA7E73">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474A341F">
            <w:pPr>
              <w:spacing w:line="320" w:lineRule="exact"/>
              <w:jc w:val="center"/>
              <w:rPr>
                <w:rFonts w:ascii="Times New Roman" w:eastAsia="仿宋"/>
                <w:szCs w:val="21"/>
              </w:rPr>
            </w:pPr>
            <w:r>
              <w:rPr>
                <w:rFonts w:hint="eastAsia" w:ascii="Times New Roman" w:eastAsia="仿宋"/>
                <w:szCs w:val="21"/>
              </w:rPr>
              <w:t>1.07</w:t>
            </w:r>
          </w:p>
        </w:tc>
        <w:tc>
          <w:tcPr>
            <w:tcW w:w="286" w:type="pct"/>
            <w:vAlign w:val="center"/>
          </w:tcPr>
          <w:p w14:paraId="19C66E8A">
            <w:pPr>
              <w:spacing w:line="320" w:lineRule="exact"/>
              <w:jc w:val="center"/>
              <w:rPr>
                <w:rFonts w:ascii="Times New Roman" w:eastAsia="仿宋"/>
                <w:szCs w:val="21"/>
              </w:rPr>
            </w:pPr>
            <w:r>
              <w:rPr>
                <w:rFonts w:hint="eastAsia" w:ascii="Times New Roman" w:eastAsia="仿宋"/>
                <w:szCs w:val="21"/>
              </w:rPr>
              <w:t>1.04</w:t>
            </w:r>
          </w:p>
        </w:tc>
        <w:tc>
          <w:tcPr>
            <w:tcW w:w="286" w:type="pct"/>
            <w:vAlign w:val="center"/>
          </w:tcPr>
          <w:p w14:paraId="3B18DFD9">
            <w:pPr>
              <w:spacing w:line="320" w:lineRule="exact"/>
              <w:jc w:val="center"/>
              <w:rPr>
                <w:rFonts w:ascii="Times New Roman" w:eastAsia="仿宋"/>
                <w:szCs w:val="21"/>
              </w:rPr>
            </w:pPr>
            <w:r>
              <w:rPr>
                <w:rFonts w:hint="eastAsia" w:ascii="Times New Roman" w:eastAsia="仿宋"/>
                <w:szCs w:val="21"/>
              </w:rPr>
              <w:t>1.34</w:t>
            </w:r>
          </w:p>
        </w:tc>
        <w:tc>
          <w:tcPr>
            <w:tcW w:w="286" w:type="pct"/>
            <w:vAlign w:val="center"/>
          </w:tcPr>
          <w:p w14:paraId="524FADB0">
            <w:pPr>
              <w:spacing w:line="320" w:lineRule="exact"/>
              <w:jc w:val="center"/>
              <w:rPr>
                <w:rFonts w:ascii="Times New Roman" w:eastAsia="仿宋"/>
                <w:szCs w:val="21"/>
              </w:rPr>
            </w:pPr>
            <w:r>
              <w:rPr>
                <w:rFonts w:hint="eastAsia" w:ascii="Times New Roman" w:eastAsia="仿宋"/>
                <w:szCs w:val="21"/>
              </w:rPr>
              <w:t>1.3</w:t>
            </w:r>
          </w:p>
        </w:tc>
        <w:tc>
          <w:tcPr>
            <w:tcW w:w="286" w:type="pct"/>
            <w:vAlign w:val="center"/>
          </w:tcPr>
          <w:p w14:paraId="3E73F8B9">
            <w:pPr>
              <w:spacing w:line="320" w:lineRule="exact"/>
              <w:jc w:val="center"/>
              <w:rPr>
                <w:rFonts w:ascii="Times New Roman" w:eastAsia="仿宋"/>
                <w:szCs w:val="21"/>
              </w:rPr>
            </w:pPr>
            <w:r>
              <w:rPr>
                <w:rFonts w:hint="eastAsia" w:ascii="Times New Roman" w:eastAsia="仿宋"/>
                <w:szCs w:val="21"/>
              </w:rPr>
              <w:t>1.32</w:t>
            </w:r>
          </w:p>
        </w:tc>
        <w:tc>
          <w:tcPr>
            <w:tcW w:w="286" w:type="pct"/>
            <w:vAlign w:val="center"/>
          </w:tcPr>
          <w:p w14:paraId="49885638">
            <w:pPr>
              <w:spacing w:line="320" w:lineRule="exact"/>
              <w:jc w:val="center"/>
              <w:rPr>
                <w:rFonts w:ascii="Times New Roman" w:eastAsia="仿宋"/>
                <w:szCs w:val="21"/>
              </w:rPr>
            </w:pPr>
            <w:r>
              <w:rPr>
                <w:rFonts w:hint="eastAsia" w:ascii="Times New Roman" w:eastAsia="仿宋"/>
                <w:szCs w:val="21"/>
              </w:rPr>
              <w:t>1.4</w:t>
            </w:r>
          </w:p>
        </w:tc>
        <w:tc>
          <w:tcPr>
            <w:tcW w:w="286" w:type="pct"/>
            <w:vAlign w:val="center"/>
          </w:tcPr>
          <w:p w14:paraId="69B328B2">
            <w:pPr>
              <w:spacing w:line="320" w:lineRule="exact"/>
              <w:jc w:val="center"/>
              <w:rPr>
                <w:rFonts w:ascii="Times New Roman" w:eastAsia="仿宋"/>
                <w:szCs w:val="21"/>
              </w:rPr>
            </w:pPr>
            <w:r>
              <w:rPr>
                <w:rFonts w:hint="eastAsia" w:ascii="Times New Roman" w:eastAsia="仿宋"/>
                <w:szCs w:val="21"/>
              </w:rPr>
              <w:t>1.39</w:t>
            </w:r>
          </w:p>
        </w:tc>
        <w:tc>
          <w:tcPr>
            <w:tcW w:w="288" w:type="pct"/>
            <w:vAlign w:val="center"/>
          </w:tcPr>
          <w:p w14:paraId="5583ECE5">
            <w:pPr>
              <w:spacing w:line="320" w:lineRule="exact"/>
              <w:jc w:val="center"/>
              <w:rPr>
                <w:rFonts w:ascii="Times New Roman" w:eastAsia="仿宋"/>
                <w:szCs w:val="21"/>
              </w:rPr>
            </w:pPr>
            <w:r>
              <w:rPr>
                <w:rFonts w:hint="eastAsia" w:ascii="Times New Roman" w:eastAsia="仿宋"/>
                <w:szCs w:val="21"/>
              </w:rPr>
              <w:t>1.44</w:t>
            </w:r>
          </w:p>
        </w:tc>
        <w:tc>
          <w:tcPr>
            <w:tcW w:w="309" w:type="pct"/>
            <w:vAlign w:val="center"/>
          </w:tcPr>
          <w:p w14:paraId="7C274E97">
            <w:pPr>
              <w:spacing w:line="320" w:lineRule="exact"/>
              <w:jc w:val="center"/>
              <w:rPr>
                <w:rFonts w:ascii="Times New Roman" w:eastAsia="仿宋"/>
                <w:szCs w:val="21"/>
              </w:rPr>
            </w:pPr>
            <w:r>
              <w:rPr>
                <w:rFonts w:ascii="Times New Roman" w:eastAsia="仿宋"/>
                <w:szCs w:val="21"/>
              </w:rPr>
              <w:t>0.05</w:t>
            </w:r>
          </w:p>
        </w:tc>
        <w:tc>
          <w:tcPr>
            <w:tcW w:w="252" w:type="pct"/>
            <w:vAlign w:val="center"/>
          </w:tcPr>
          <w:p w14:paraId="760167F5">
            <w:pPr>
              <w:spacing w:line="320" w:lineRule="exact"/>
              <w:jc w:val="center"/>
              <w:rPr>
                <w:rFonts w:ascii="Times New Roman" w:eastAsia="仿宋"/>
                <w:szCs w:val="21"/>
              </w:rPr>
            </w:pPr>
            <w:r>
              <w:rPr>
                <w:rFonts w:ascii="Times New Roman" w:eastAsia="仿宋"/>
                <w:szCs w:val="21"/>
              </w:rPr>
              <w:t>/</w:t>
            </w:r>
          </w:p>
        </w:tc>
      </w:tr>
      <w:tr w14:paraId="7DAB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Merge w:val="restart"/>
            <w:vAlign w:val="center"/>
          </w:tcPr>
          <w:p w14:paraId="24091622">
            <w:pPr>
              <w:spacing w:line="320" w:lineRule="exact"/>
              <w:jc w:val="center"/>
              <w:rPr>
                <w:rFonts w:ascii="Times New Roman" w:eastAsia="仿宋"/>
                <w:szCs w:val="21"/>
              </w:rPr>
            </w:pPr>
            <w:r>
              <w:rPr>
                <w:rFonts w:ascii="Times New Roman" w:eastAsia="仿宋"/>
                <w:szCs w:val="21"/>
              </w:rPr>
              <w:t>监测因子</w:t>
            </w:r>
          </w:p>
        </w:tc>
        <w:tc>
          <w:tcPr>
            <w:tcW w:w="1716" w:type="pct"/>
            <w:gridSpan w:val="6"/>
            <w:vAlign w:val="center"/>
          </w:tcPr>
          <w:p w14:paraId="54423B3D">
            <w:pPr>
              <w:spacing w:line="320" w:lineRule="exact"/>
              <w:jc w:val="center"/>
              <w:rPr>
                <w:rFonts w:ascii="Times New Roman" w:eastAsia="仿宋"/>
                <w:szCs w:val="21"/>
              </w:rPr>
            </w:pPr>
            <w:r>
              <w:rPr>
                <w:rFonts w:ascii="Times New Roman" w:eastAsia="仿宋"/>
                <w:szCs w:val="21"/>
              </w:rPr>
              <w:t>W3</w:t>
            </w:r>
          </w:p>
        </w:tc>
        <w:tc>
          <w:tcPr>
            <w:tcW w:w="1719" w:type="pct"/>
            <w:gridSpan w:val="6"/>
            <w:vAlign w:val="center"/>
          </w:tcPr>
          <w:p w14:paraId="1EB1AC56">
            <w:pPr>
              <w:spacing w:line="320" w:lineRule="exact"/>
              <w:jc w:val="center"/>
              <w:rPr>
                <w:rFonts w:ascii="Times New Roman" w:eastAsia="仿宋"/>
                <w:szCs w:val="21"/>
              </w:rPr>
            </w:pPr>
            <w:r>
              <w:rPr>
                <w:rFonts w:ascii="Times New Roman" w:eastAsia="仿宋"/>
                <w:szCs w:val="21"/>
              </w:rPr>
              <w:t>W4</w:t>
            </w:r>
          </w:p>
        </w:tc>
        <w:tc>
          <w:tcPr>
            <w:tcW w:w="309" w:type="pct"/>
            <w:vMerge w:val="restart"/>
            <w:vAlign w:val="center"/>
          </w:tcPr>
          <w:p w14:paraId="1F910508">
            <w:pPr>
              <w:spacing w:line="320" w:lineRule="exact"/>
              <w:jc w:val="center"/>
              <w:rPr>
                <w:rFonts w:ascii="Times New Roman" w:eastAsia="仿宋"/>
                <w:szCs w:val="21"/>
              </w:rPr>
            </w:pPr>
            <w:r>
              <w:rPr>
                <w:rFonts w:ascii="Times New Roman" w:eastAsia="仿宋"/>
                <w:szCs w:val="21"/>
              </w:rPr>
              <w:t>检出限</w:t>
            </w:r>
          </w:p>
        </w:tc>
        <w:tc>
          <w:tcPr>
            <w:tcW w:w="252" w:type="pct"/>
            <w:vAlign w:val="center"/>
          </w:tcPr>
          <w:p w14:paraId="2F359544">
            <w:pPr>
              <w:spacing w:line="320" w:lineRule="exact"/>
              <w:jc w:val="center"/>
              <w:rPr>
                <w:rFonts w:ascii="Times New Roman" w:eastAsia="仿宋"/>
                <w:szCs w:val="21"/>
              </w:rPr>
            </w:pPr>
            <w:r>
              <w:rPr>
                <w:rFonts w:ascii="Times New Roman" w:eastAsia="仿宋"/>
                <w:szCs w:val="21"/>
              </w:rPr>
              <w:t>标准</w:t>
            </w:r>
          </w:p>
        </w:tc>
      </w:tr>
      <w:tr w14:paraId="27D0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Merge w:val="continue"/>
            <w:vAlign w:val="center"/>
          </w:tcPr>
          <w:p w14:paraId="18654207">
            <w:pPr>
              <w:spacing w:line="320" w:lineRule="exact"/>
              <w:jc w:val="center"/>
              <w:rPr>
                <w:rFonts w:ascii="Times New Roman" w:eastAsia="仿宋"/>
                <w:szCs w:val="21"/>
              </w:rPr>
            </w:pPr>
          </w:p>
        </w:tc>
        <w:tc>
          <w:tcPr>
            <w:tcW w:w="572" w:type="pct"/>
            <w:gridSpan w:val="2"/>
            <w:vAlign w:val="center"/>
          </w:tcPr>
          <w:p w14:paraId="6D5D3972">
            <w:pPr>
              <w:spacing w:line="320" w:lineRule="exact"/>
              <w:jc w:val="center"/>
              <w:rPr>
                <w:rFonts w:ascii="Times New Roman" w:eastAsia="仿宋"/>
                <w:szCs w:val="21"/>
              </w:rPr>
            </w:pPr>
            <w:r>
              <w:rPr>
                <w:rFonts w:ascii="Times New Roman" w:eastAsia="仿宋"/>
                <w:szCs w:val="21"/>
              </w:rPr>
              <w:t>2022.5.30</w:t>
            </w:r>
          </w:p>
        </w:tc>
        <w:tc>
          <w:tcPr>
            <w:tcW w:w="572" w:type="pct"/>
            <w:gridSpan w:val="2"/>
            <w:vAlign w:val="center"/>
          </w:tcPr>
          <w:p w14:paraId="58158218">
            <w:pPr>
              <w:spacing w:line="320" w:lineRule="exact"/>
              <w:jc w:val="center"/>
              <w:rPr>
                <w:rFonts w:ascii="Times New Roman" w:eastAsia="仿宋"/>
                <w:szCs w:val="21"/>
              </w:rPr>
            </w:pPr>
            <w:r>
              <w:rPr>
                <w:rFonts w:ascii="Times New Roman" w:eastAsia="仿宋"/>
                <w:szCs w:val="21"/>
              </w:rPr>
              <w:t>2022.5.31</w:t>
            </w:r>
          </w:p>
        </w:tc>
        <w:tc>
          <w:tcPr>
            <w:tcW w:w="572" w:type="pct"/>
            <w:gridSpan w:val="2"/>
            <w:vAlign w:val="center"/>
          </w:tcPr>
          <w:p w14:paraId="3B9EA6E1">
            <w:pPr>
              <w:spacing w:line="320" w:lineRule="exact"/>
              <w:jc w:val="center"/>
              <w:rPr>
                <w:rFonts w:ascii="Times New Roman" w:eastAsia="仿宋"/>
                <w:szCs w:val="21"/>
              </w:rPr>
            </w:pPr>
            <w:r>
              <w:rPr>
                <w:rFonts w:ascii="Times New Roman" w:eastAsia="仿宋"/>
                <w:szCs w:val="21"/>
              </w:rPr>
              <w:t>2022.6.1</w:t>
            </w:r>
          </w:p>
        </w:tc>
        <w:tc>
          <w:tcPr>
            <w:tcW w:w="572" w:type="pct"/>
            <w:gridSpan w:val="2"/>
            <w:vAlign w:val="center"/>
          </w:tcPr>
          <w:p w14:paraId="1A269E13">
            <w:pPr>
              <w:spacing w:line="320" w:lineRule="exact"/>
              <w:jc w:val="center"/>
              <w:rPr>
                <w:rFonts w:ascii="Times New Roman" w:eastAsia="仿宋"/>
                <w:szCs w:val="21"/>
              </w:rPr>
            </w:pPr>
            <w:r>
              <w:rPr>
                <w:rFonts w:ascii="Times New Roman" w:eastAsia="仿宋"/>
                <w:szCs w:val="21"/>
              </w:rPr>
              <w:t>2022.5.30</w:t>
            </w:r>
          </w:p>
        </w:tc>
        <w:tc>
          <w:tcPr>
            <w:tcW w:w="572" w:type="pct"/>
            <w:gridSpan w:val="2"/>
            <w:vAlign w:val="center"/>
          </w:tcPr>
          <w:p w14:paraId="1EB9EA7A">
            <w:pPr>
              <w:spacing w:line="320" w:lineRule="exact"/>
              <w:jc w:val="center"/>
              <w:rPr>
                <w:rFonts w:ascii="Times New Roman" w:eastAsia="仿宋"/>
                <w:szCs w:val="21"/>
              </w:rPr>
            </w:pPr>
            <w:r>
              <w:rPr>
                <w:rFonts w:ascii="Times New Roman" w:eastAsia="仿宋"/>
                <w:szCs w:val="21"/>
              </w:rPr>
              <w:t>2022.5.31</w:t>
            </w:r>
          </w:p>
        </w:tc>
        <w:tc>
          <w:tcPr>
            <w:tcW w:w="574" w:type="pct"/>
            <w:gridSpan w:val="2"/>
            <w:vAlign w:val="center"/>
          </w:tcPr>
          <w:p w14:paraId="030BC88B">
            <w:pPr>
              <w:spacing w:line="320" w:lineRule="exact"/>
              <w:jc w:val="center"/>
              <w:rPr>
                <w:rFonts w:ascii="Times New Roman" w:eastAsia="仿宋"/>
                <w:szCs w:val="21"/>
              </w:rPr>
            </w:pPr>
            <w:r>
              <w:rPr>
                <w:rFonts w:ascii="Times New Roman" w:eastAsia="仿宋"/>
                <w:szCs w:val="21"/>
              </w:rPr>
              <w:t>2022.6.1</w:t>
            </w:r>
          </w:p>
        </w:tc>
        <w:tc>
          <w:tcPr>
            <w:tcW w:w="309" w:type="pct"/>
            <w:vMerge w:val="continue"/>
            <w:vAlign w:val="center"/>
          </w:tcPr>
          <w:p w14:paraId="220F03CB">
            <w:pPr>
              <w:spacing w:line="320" w:lineRule="exact"/>
              <w:jc w:val="center"/>
              <w:rPr>
                <w:rFonts w:ascii="Times New Roman" w:eastAsia="仿宋"/>
                <w:szCs w:val="21"/>
              </w:rPr>
            </w:pPr>
          </w:p>
        </w:tc>
        <w:tc>
          <w:tcPr>
            <w:tcW w:w="252" w:type="pct"/>
            <w:vAlign w:val="center"/>
          </w:tcPr>
          <w:p w14:paraId="55AC782F">
            <w:pPr>
              <w:spacing w:line="320" w:lineRule="exact"/>
              <w:jc w:val="center"/>
              <w:rPr>
                <w:rFonts w:ascii="Times New Roman" w:eastAsia="仿宋"/>
                <w:szCs w:val="21"/>
              </w:rPr>
            </w:pPr>
            <w:r>
              <w:rPr>
                <w:rFonts w:hint="eastAsia" w:ascii="Times New Roman" w:eastAsia="仿宋"/>
                <w:szCs w:val="21"/>
              </w:rPr>
              <w:t>Ⅳ</w:t>
            </w:r>
            <w:r>
              <w:rPr>
                <w:rFonts w:ascii="Times New Roman" w:eastAsia="仿宋"/>
                <w:szCs w:val="21"/>
              </w:rPr>
              <w:t>类</w:t>
            </w:r>
          </w:p>
        </w:tc>
      </w:tr>
      <w:tr w14:paraId="1835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7A3E503C">
            <w:pPr>
              <w:spacing w:line="320" w:lineRule="exact"/>
              <w:jc w:val="center"/>
              <w:rPr>
                <w:rFonts w:ascii="Times New Roman" w:eastAsia="仿宋"/>
                <w:szCs w:val="21"/>
              </w:rPr>
            </w:pPr>
            <w:r>
              <w:rPr>
                <w:rFonts w:ascii="Times New Roman" w:eastAsia="仿宋"/>
                <w:szCs w:val="21"/>
              </w:rPr>
              <w:t>水温（</w:t>
            </w:r>
            <w:r>
              <w:rPr>
                <w:rFonts w:hint="eastAsia" w:ascii="Times New Roman" w:eastAsia="仿宋"/>
                <w:szCs w:val="21"/>
              </w:rPr>
              <w:t>℃</w:t>
            </w:r>
            <w:r>
              <w:rPr>
                <w:rFonts w:ascii="Times New Roman" w:eastAsia="仿宋"/>
                <w:szCs w:val="21"/>
              </w:rPr>
              <w:t>）</w:t>
            </w:r>
          </w:p>
        </w:tc>
        <w:tc>
          <w:tcPr>
            <w:tcW w:w="286" w:type="pct"/>
            <w:vAlign w:val="center"/>
          </w:tcPr>
          <w:p w14:paraId="6865811E">
            <w:pPr>
              <w:spacing w:line="320" w:lineRule="exact"/>
              <w:jc w:val="center"/>
              <w:rPr>
                <w:rFonts w:ascii="Times New Roman" w:eastAsia="仿宋"/>
                <w:szCs w:val="21"/>
              </w:rPr>
            </w:pPr>
            <w:r>
              <w:rPr>
                <w:rFonts w:hint="eastAsia" w:ascii="Times New Roman" w:eastAsia="仿宋"/>
                <w:szCs w:val="21"/>
              </w:rPr>
              <w:t>25.2</w:t>
            </w:r>
          </w:p>
        </w:tc>
        <w:tc>
          <w:tcPr>
            <w:tcW w:w="286" w:type="pct"/>
            <w:vAlign w:val="center"/>
          </w:tcPr>
          <w:p w14:paraId="1AEC316F">
            <w:pPr>
              <w:spacing w:line="320" w:lineRule="exact"/>
              <w:jc w:val="center"/>
              <w:rPr>
                <w:rFonts w:ascii="Times New Roman" w:eastAsia="仿宋"/>
                <w:szCs w:val="21"/>
              </w:rPr>
            </w:pPr>
            <w:r>
              <w:rPr>
                <w:rFonts w:hint="eastAsia" w:ascii="Times New Roman" w:eastAsia="仿宋"/>
                <w:szCs w:val="21"/>
              </w:rPr>
              <w:t>25.2</w:t>
            </w:r>
          </w:p>
        </w:tc>
        <w:tc>
          <w:tcPr>
            <w:tcW w:w="286" w:type="pct"/>
            <w:vAlign w:val="center"/>
          </w:tcPr>
          <w:p w14:paraId="7B9A3CA6">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6B443C15">
            <w:pPr>
              <w:spacing w:line="320" w:lineRule="exact"/>
              <w:jc w:val="center"/>
              <w:rPr>
                <w:rFonts w:ascii="Times New Roman" w:eastAsia="仿宋"/>
                <w:szCs w:val="21"/>
              </w:rPr>
            </w:pPr>
            <w:r>
              <w:rPr>
                <w:rFonts w:hint="eastAsia" w:ascii="Times New Roman" w:eastAsia="仿宋"/>
                <w:szCs w:val="21"/>
              </w:rPr>
              <w:t>25.6</w:t>
            </w:r>
          </w:p>
        </w:tc>
        <w:tc>
          <w:tcPr>
            <w:tcW w:w="286" w:type="pct"/>
            <w:vAlign w:val="center"/>
          </w:tcPr>
          <w:p w14:paraId="7E0A027D">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347D06C3">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3AF4A31C">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6144A8B0">
            <w:pPr>
              <w:spacing w:line="320" w:lineRule="exact"/>
              <w:jc w:val="center"/>
              <w:rPr>
                <w:rFonts w:ascii="Times New Roman" w:eastAsia="仿宋"/>
                <w:szCs w:val="21"/>
              </w:rPr>
            </w:pPr>
            <w:r>
              <w:rPr>
                <w:rFonts w:hint="eastAsia" w:ascii="Times New Roman" w:eastAsia="仿宋"/>
                <w:szCs w:val="21"/>
              </w:rPr>
              <w:t>25.4</w:t>
            </w:r>
          </w:p>
        </w:tc>
        <w:tc>
          <w:tcPr>
            <w:tcW w:w="286" w:type="pct"/>
            <w:vAlign w:val="center"/>
          </w:tcPr>
          <w:p w14:paraId="066784D7">
            <w:pPr>
              <w:spacing w:line="320" w:lineRule="exact"/>
              <w:jc w:val="center"/>
              <w:rPr>
                <w:rFonts w:ascii="Times New Roman" w:eastAsia="仿宋"/>
                <w:szCs w:val="21"/>
              </w:rPr>
            </w:pPr>
            <w:r>
              <w:rPr>
                <w:rFonts w:hint="eastAsia" w:ascii="Times New Roman" w:eastAsia="仿宋"/>
                <w:szCs w:val="21"/>
              </w:rPr>
              <w:t>25.6</w:t>
            </w:r>
          </w:p>
        </w:tc>
        <w:tc>
          <w:tcPr>
            <w:tcW w:w="286" w:type="pct"/>
            <w:vAlign w:val="center"/>
          </w:tcPr>
          <w:p w14:paraId="62885939">
            <w:pPr>
              <w:spacing w:line="320" w:lineRule="exact"/>
              <w:jc w:val="center"/>
              <w:rPr>
                <w:rFonts w:ascii="Times New Roman" w:eastAsia="仿宋"/>
                <w:szCs w:val="21"/>
              </w:rPr>
            </w:pPr>
            <w:r>
              <w:rPr>
                <w:rFonts w:hint="eastAsia" w:ascii="Times New Roman" w:eastAsia="仿宋"/>
                <w:szCs w:val="21"/>
              </w:rPr>
              <w:t>25.8</w:t>
            </w:r>
          </w:p>
        </w:tc>
        <w:tc>
          <w:tcPr>
            <w:tcW w:w="286" w:type="pct"/>
            <w:vAlign w:val="center"/>
          </w:tcPr>
          <w:p w14:paraId="751AB570">
            <w:pPr>
              <w:spacing w:line="320" w:lineRule="exact"/>
              <w:jc w:val="center"/>
              <w:rPr>
                <w:rFonts w:ascii="Times New Roman" w:eastAsia="仿宋"/>
                <w:szCs w:val="21"/>
              </w:rPr>
            </w:pPr>
            <w:r>
              <w:rPr>
                <w:rFonts w:hint="eastAsia" w:ascii="Times New Roman" w:eastAsia="仿宋"/>
                <w:szCs w:val="21"/>
              </w:rPr>
              <w:t>25.6</w:t>
            </w:r>
          </w:p>
        </w:tc>
        <w:tc>
          <w:tcPr>
            <w:tcW w:w="288" w:type="pct"/>
            <w:vAlign w:val="center"/>
          </w:tcPr>
          <w:p w14:paraId="6E8061DB">
            <w:pPr>
              <w:spacing w:line="320" w:lineRule="exact"/>
              <w:jc w:val="center"/>
              <w:rPr>
                <w:rFonts w:ascii="Times New Roman" w:eastAsia="仿宋"/>
                <w:szCs w:val="21"/>
              </w:rPr>
            </w:pPr>
            <w:r>
              <w:rPr>
                <w:rFonts w:hint="eastAsia" w:ascii="Times New Roman" w:eastAsia="仿宋"/>
                <w:szCs w:val="21"/>
              </w:rPr>
              <w:t>25.</w:t>
            </w:r>
            <w:r>
              <w:rPr>
                <w:rFonts w:ascii="Times New Roman" w:eastAsia="仿宋"/>
                <w:szCs w:val="21"/>
              </w:rPr>
              <w:t>8</w:t>
            </w:r>
          </w:p>
        </w:tc>
        <w:tc>
          <w:tcPr>
            <w:tcW w:w="309" w:type="pct"/>
            <w:vAlign w:val="center"/>
          </w:tcPr>
          <w:p w14:paraId="25D30414">
            <w:pPr>
              <w:spacing w:line="320" w:lineRule="exact"/>
              <w:jc w:val="center"/>
              <w:rPr>
                <w:rFonts w:ascii="Times New Roman" w:eastAsia="仿宋"/>
                <w:szCs w:val="21"/>
              </w:rPr>
            </w:pPr>
            <w:r>
              <w:rPr>
                <w:rFonts w:ascii="Times New Roman" w:eastAsia="仿宋"/>
                <w:szCs w:val="21"/>
              </w:rPr>
              <w:t>/</w:t>
            </w:r>
          </w:p>
        </w:tc>
        <w:tc>
          <w:tcPr>
            <w:tcW w:w="252" w:type="pct"/>
            <w:vAlign w:val="center"/>
          </w:tcPr>
          <w:p w14:paraId="151F2687">
            <w:pPr>
              <w:spacing w:line="320" w:lineRule="exact"/>
              <w:jc w:val="center"/>
              <w:rPr>
                <w:rFonts w:ascii="Times New Roman" w:eastAsia="仿宋"/>
                <w:szCs w:val="21"/>
              </w:rPr>
            </w:pPr>
            <w:r>
              <w:rPr>
                <w:rFonts w:ascii="Times New Roman" w:eastAsia="仿宋"/>
                <w:szCs w:val="21"/>
              </w:rPr>
              <w:t>/</w:t>
            </w:r>
          </w:p>
        </w:tc>
      </w:tr>
      <w:tr w14:paraId="3E00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01A872F3">
            <w:pPr>
              <w:spacing w:line="320" w:lineRule="exact"/>
              <w:jc w:val="center"/>
              <w:rPr>
                <w:rFonts w:ascii="Times New Roman" w:eastAsia="仿宋"/>
                <w:szCs w:val="21"/>
              </w:rPr>
            </w:pPr>
            <w:r>
              <w:rPr>
                <w:rFonts w:ascii="Times New Roman" w:eastAsia="仿宋"/>
                <w:szCs w:val="21"/>
              </w:rPr>
              <w:t>pH（无量纲）</w:t>
            </w:r>
          </w:p>
        </w:tc>
        <w:tc>
          <w:tcPr>
            <w:tcW w:w="286" w:type="pct"/>
            <w:vAlign w:val="center"/>
          </w:tcPr>
          <w:p w14:paraId="3F5923B5">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397962FC">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3359B941">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5EEDD819">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1E7F27EC">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42A998CB">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222F397F">
            <w:pPr>
              <w:spacing w:line="320" w:lineRule="exact"/>
              <w:jc w:val="center"/>
              <w:rPr>
                <w:rFonts w:ascii="Times New Roman" w:eastAsia="仿宋"/>
                <w:szCs w:val="21"/>
              </w:rPr>
            </w:pPr>
            <w:r>
              <w:rPr>
                <w:rFonts w:hint="eastAsia" w:ascii="Times New Roman" w:eastAsia="仿宋"/>
                <w:szCs w:val="21"/>
              </w:rPr>
              <w:t>7</w:t>
            </w:r>
            <w:r>
              <w:rPr>
                <w:rFonts w:ascii="Times New Roman" w:eastAsia="仿宋"/>
                <w:szCs w:val="21"/>
              </w:rPr>
              <w:t>.1</w:t>
            </w:r>
          </w:p>
        </w:tc>
        <w:tc>
          <w:tcPr>
            <w:tcW w:w="286" w:type="pct"/>
            <w:vAlign w:val="center"/>
          </w:tcPr>
          <w:p w14:paraId="7D7D6828">
            <w:pPr>
              <w:spacing w:line="320" w:lineRule="exact"/>
              <w:jc w:val="center"/>
              <w:rPr>
                <w:rFonts w:ascii="Times New Roman" w:eastAsia="仿宋"/>
                <w:szCs w:val="21"/>
              </w:rPr>
            </w:pPr>
            <w:r>
              <w:rPr>
                <w:rFonts w:hint="eastAsia" w:ascii="Times New Roman" w:eastAsia="仿宋"/>
                <w:szCs w:val="21"/>
              </w:rPr>
              <w:t>7</w:t>
            </w:r>
            <w:r>
              <w:rPr>
                <w:rFonts w:ascii="Times New Roman" w:eastAsia="仿宋"/>
                <w:szCs w:val="21"/>
              </w:rPr>
              <w:t>.1</w:t>
            </w:r>
          </w:p>
        </w:tc>
        <w:tc>
          <w:tcPr>
            <w:tcW w:w="286" w:type="pct"/>
            <w:vAlign w:val="center"/>
          </w:tcPr>
          <w:p w14:paraId="756DFBD3">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750F2F5D">
            <w:pPr>
              <w:spacing w:line="320" w:lineRule="exact"/>
              <w:jc w:val="center"/>
              <w:rPr>
                <w:rFonts w:ascii="Times New Roman" w:eastAsia="仿宋"/>
                <w:szCs w:val="21"/>
              </w:rPr>
            </w:pPr>
            <w:r>
              <w:rPr>
                <w:rFonts w:hint="eastAsia" w:ascii="Times New Roman" w:eastAsia="仿宋"/>
                <w:szCs w:val="21"/>
              </w:rPr>
              <w:t>7.1</w:t>
            </w:r>
          </w:p>
        </w:tc>
        <w:tc>
          <w:tcPr>
            <w:tcW w:w="286" w:type="pct"/>
            <w:vAlign w:val="center"/>
          </w:tcPr>
          <w:p w14:paraId="09AD1E31">
            <w:pPr>
              <w:spacing w:line="320" w:lineRule="exact"/>
              <w:jc w:val="center"/>
              <w:rPr>
                <w:rFonts w:ascii="Times New Roman" w:eastAsia="仿宋"/>
                <w:szCs w:val="21"/>
              </w:rPr>
            </w:pPr>
            <w:r>
              <w:rPr>
                <w:rFonts w:hint="eastAsia" w:ascii="Times New Roman" w:eastAsia="仿宋"/>
                <w:szCs w:val="21"/>
              </w:rPr>
              <w:t>7.1</w:t>
            </w:r>
          </w:p>
        </w:tc>
        <w:tc>
          <w:tcPr>
            <w:tcW w:w="288" w:type="pct"/>
            <w:vAlign w:val="center"/>
          </w:tcPr>
          <w:p w14:paraId="379332DA">
            <w:pPr>
              <w:spacing w:line="320" w:lineRule="exact"/>
              <w:jc w:val="center"/>
              <w:rPr>
                <w:rFonts w:ascii="Times New Roman" w:eastAsia="仿宋"/>
                <w:szCs w:val="21"/>
              </w:rPr>
            </w:pPr>
            <w:r>
              <w:rPr>
                <w:rFonts w:hint="eastAsia" w:ascii="Times New Roman" w:eastAsia="仿宋"/>
                <w:szCs w:val="21"/>
              </w:rPr>
              <w:t>7.1</w:t>
            </w:r>
          </w:p>
        </w:tc>
        <w:tc>
          <w:tcPr>
            <w:tcW w:w="309" w:type="pct"/>
            <w:vAlign w:val="center"/>
          </w:tcPr>
          <w:p w14:paraId="387D6A79">
            <w:pPr>
              <w:spacing w:line="320" w:lineRule="exact"/>
              <w:jc w:val="center"/>
              <w:rPr>
                <w:rFonts w:ascii="Times New Roman" w:eastAsia="仿宋"/>
                <w:szCs w:val="21"/>
              </w:rPr>
            </w:pPr>
            <w:r>
              <w:rPr>
                <w:rFonts w:ascii="Times New Roman" w:eastAsia="仿宋"/>
                <w:szCs w:val="21"/>
              </w:rPr>
              <w:t>/</w:t>
            </w:r>
          </w:p>
        </w:tc>
        <w:tc>
          <w:tcPr>
            <w:tcW w:w="252" w:type="pct"/>
            <w:vAlign w:val="center"/>
          </w:tcPr>
          <w:p w14:paraId="676B3C3B">
            <w:pPr>
              <w:spacing w:line="320" w:lineRule="exact"/>
              <w:jc w:val="center"/>
              <w:rPr>
                <w:rFonts w:ascii="Times New Roman" w:eastAsia="仿宋"/>
                <w:szCs w:val="21"/>
              </w:rPr>
            </w:pPr>
            <w:r>
              <w:rPr>
                <w:rFonts w:ascii="Times New Roman" w:eastAsia="仿宋"/>
                <w:szCs w:val="21"/>
              </w:rPr>
              <w:t>6~9</w:t>
            </w:r>
          </w:p>
        </w:tc>
      </w:tr>
      <w:tr w14:paraId="4DDB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699F98C9">
            <w:pPr>
              <w:spacing w:line="320" w:lineRule="exact"/>
              <w:jc w:val="center"/>
              <w:rPr>
                <w:rFonts w:ascii="Times New Roman" w:eastAsia="仿宋"/>
                <w:szCs w:val="21"/>
              </w:rPr>
            </w:pPr>
            <w:r>
              <w:rPr>
                <w:rFonts w:ascii="Times New Roman" w:eastAsia="仿宋"/>
                <w:szCs w:val="21"/>
              </w:rPr>
              <w:t>化学需氧量（mg/L）</w:t>
            </w:r>
          </w:p>
        </w:tc>
        <w:tc>
          <w:tcPr>
            <w:tcW w:w="286" w:type="pct"/>
            <w:vAlign w:val="center"/>
          </w:tcPr>
          <w:p w14:paraId="2A5DED53">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7BFA2CDB">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52171E69">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31A3CB2D">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2C25DB7B">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17CCD90B">
            <w:pPr>
              <w:spacing w:line="320" w:lineRule="exact"/>
              <w:jc w:val="center"/>
              <w:rPr>
                <w:rFonts w:ascii="Times New Roman" w:eastAsia="仿宋"/>
                <w:szCs w:val="21"/>
              </w:rPr>
            </w:pPr>
            <w:r>
              <w:rPr>
                <w:rFonts w:hint="eastAsia" w:ascii="Times New Roman" w:eastAsia="仿宋"/>
                <w:szCs w:val="21"/>
              </w:rPr>
              <w:t>11</w:t>
            </w:r>
          </w:p>
        </w:tc>
        <w:tc>
          <w:tcPr>
            <w:tcW w:w="286" w:type="pct"/>
            <w:vAlign w:val="center"/>
          </w:tcPr>
          <w:p w14:paraId="6193D5A4">
            <w:pPr>
              <w:spacing w:line="320" w:lineRule="exact"/>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286" w:type="pct"/>
            <w:vAlign w:val="center"/>
          </w:tcPr>
          <w:p w14:paraId="0B9BF92A">
            <w:pPr>
              <w:spacing w:line="320" w:lineRule="exact"/>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286" w:type="pct"/>
            <w:vAlign w:val="center"/>
          </w:tcPr>
          <w:p w14:paraId="4BF9DE66">
            <w:pPr>
              <w:spacing w:line="320" w:lineRule="exact"/>
              <w:jc w:val="center"/>
              <w:rPr>
                <w:rFonts w:ascii="Times New Roman" w:eastAsia="仿宋"/>
                <w:szCs w:val="21"/>
              </w:rPr>
            </w:pPr>
            <w:r>
              <w:rPr>
                <w:rFonts w:hint="eastAsia" w:ascii="Times New Roman" w:eastAsia="仿宋"/>
                <w:szCs w:val="21"/>
              </w:rPr>
              <w:t>13</w:t>
            </w:r>
          </w:p>
        </w:tc>
        <w:tc>
          <w:tcPr>
            <w:tcW w:w="286" w:type="pct"/>
            <w:vAlign w:val="center"/>
          </w:tcPr>
          <w:p w14:paraId="4B0C5370">
            <w:pPr>
              <w:spacing w:line="320" w:lineRule="exact"/>
              <w:jc w:val="center"/>
              <w:rPr>
                <w:rFonts w:ascii="Times New Roman" w:eastAsia="仿宋"/>
                <w:szCs w:val="21"/>
              </w:rPr>
            </w:pPr>
            <w:r>
              <w:rPr>
                <w:rFonts w:hint="eastAsia" w:ascii="Times New Roman" w:eastAsia="仿宋"/>
                <w:szCs w:val="21"/>
              </w:rPr>
              <w:t>13</w:t>
            </w:r>
          </w:p>
        </w:tc>
        <w:tc>
          <w:tcPr>
            <w:tcW w:w="286" w:type="pct"/>
            <w:vAlign w:val="center"/>
          </w:tcPr>
          <w:p w14:paraId="2365C423">
            <w:pPr>
              <w:spacing w:line="320" w:lineRule="exact"/>
              <w:jc w:val="center"/>
              <w:rPr>
                <w:rFonts w:ascii="Times New Roman" w:eastAsia="仿宋"/>
                <w:szCs w:val="21"/>
              </w:rPr>
            </w:pPr>
            <w:r>
              <w:rPr>
                <w:rFonts w:hint="eastAsia" w:ascii="Times New Roman" w:eastAsia="仿宋"/>
                <w:szCs w:val="21"/>
              </w:rPr>
              <w:t>13</w:t>
            </w:r>
          </w:p>
        </w:tc>
        <w:tc>
          <w:tcPr>
            <w:tcW w:w="288" w:type="pct"/>
            <w:vAlign w:val="center"/>
          </w:tcPr>
          <w:p w14:paraId="4C59B883">
            <w:pPr>
              <w:spacing w:line="320" w:lineRule="exact"/>
              <w:jc w:val="center"/>
              <w:rPr>
                <w:rFonts w:ascii="Times New Roman" w:eastAsia="仿宋"/>
                <w:szCs w:val="21"/>
              </w:rPr>
            </w:pPr>
            <w:r>
              <w:rPr>
                <w:rFonts w:hint="eastAsia" w:ascii="Times New Roman" w:eastAsia="仿宋"/>
                <w:szCs w:val="21"/>
              </w:rPr>
              <w:t>13</w:t>
            </w:r>
          </w:p>
        </w:tc>
        <w:tc>
          <w:tcPr>
            <w:tcW w:w="309" w:type="pct"/>
            <w:vAlign w:val="center"/>
          </w:tcPr>
          <w:p w14:paraId="21189769">
            <w:pPr>
              <w:spacing w:line="320" w:lineRule="exact"/>
              <w:jc w:val="center"/>
              <w:rPr>
                <w:rFonts w:ascii="Times New Roman" w:eastAsia="仿宋"/>
                <w:szCs w:val="21"/>
              </w:rPr>
            </w:pPr>
            <w:r>
              <w:rPr>
                <w:rFonts w:ascii="Times New Roman" w:eastAsia="仿宋"/>
                <w:szCs w:val="21"/>
              </w:rPr>
              <w:t>4</w:t>
            </w:r>
          </w:p>
        </w:tc>
        <w:tc>
          <w:tcPr>
            <w:tcW w:w="252" w:type="pct"/>
            <w:vAlign w:val="center"/>
          </w:tcPr>
          <w:p w14:paraId="34E4A5ED">
            <w:pPr>
              <w:spacing w:line="320" w:lineRule="exact"/>
              <w:jc w:val="center"/>
              <w:rPr>
                <w:rFonts w:ascii="Times New Roman" w:eastAsia="仿宋"/>
                <w:szCs w:val="21"/>
              </w:rPr>
            </w:pPr>
            <w:r>
              <w:rPr>
                <w:rFonts w:ascii="Times New Roman" w:eastAsia="仿宋"/>
                <w:szCs w:val="21"/>
              </w:rPr>
              <w:t>30</w:t>
            </w:r>
          </w:p>
        </w:tc>
      </w:tr>
      <w:tr w14:paraId="2A4D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4AF3430">
            <w:pPr>
              <w:spacing w:line="320" w:lineRule="exact"/>
              <w:jc w:val="center"/>
              <w:rPr>
                <w:rFonts w:ascii="Times New Roman" w:eastAsia="仿宋"/>
                <w:szCs w:val="21"/>
              </w:rPr>
            </w:pPr>
            <w:r>
              <w:rPr>
                <w:rFonts w:ascii="Times New Roman" w:eastAsia="仿宋"/>
                <w:szCs w:val="21"/>
              </w:rPr>
              <w:t>氨氮（mg/L）</w:t>
            </w:r>
          </w:p>
        </w:tc>
        <w:tc>
          <w:tcPr>
            <w:tcW w:w="286" w:type="pct"/>
            <w:vAlign w:val="center"/>
          </w:tcPr>
          <w:p w14:paraId="4249FBC0">
            <w:pPr>
              <w:spacing w:line="320" w:lineRule="exact"/>
              <w:jc w:val="center"/>
              <w:rPr>
                <w:rFonts w:ascii="Times New Roman" w:eastAsia="仿宋"/>
                <w:szCs w:val="21"/>
              </w:rPr>
            </w:pPr>
            <w:r>
              <w:rPr>
                <w:rFonts w:hint="eastAsia" w:ascii="Times New Roman" w:eastAsia="仿宋"/>
                <w:szCs w:val="21"/>
              </w:rPr>
              <w:t>0.584</w:t>
            </w:r>
          </w:p>
        </w:tc>
        <w:tc>
          <w:tcPr>
            <w:tcW w:w="286" w:type="pct"/>
            <w:vAlign w:val="center"/>
          </w:tcPr>
          <w:p w14:paraId="171531DB">
            <w:pPr>
              <w:spacing w:line="320" w:lineRule="exact"/>
              <w:jc w:val="center"/>
              <w:rPr>
                <w:rFonts w:ascii="Times New Roman" w:eastAsia="仿宋"/>
                <w:szCs w:val="21"/>
              </w:rPr>
            </w:pPr>
            <w:r>
              <w:rPr>
                <w:rFonts w:hint="eastAsia" w:ascii="Times New Roman" w:eastAsia="仿宋"/>
                <w:szCs w:val="21"/>
              </w:rPr>
              <w:t>0.579</w:t>
            </w:r>
          </w:p>
        </w:tc>
        <w:tc>
          <w:tcPr>
            <w:tcW w:w="286" w:type="pct"/>
            <w:vAlign w:val="center"/>
          </w:tcPr>
          <w:p w14:paraId="63768DDD">
            <w:pPr>
              <w:spacing w:line="320" w:lineRule="exact"/>
              <w:jc w:val="center"/>
              <w:rPr>
                <w:rFonts w:ascii="Times New Roman" w:eastAsia="仿宋"/>
                <w:szCs w:val="21"/>
              </w:rPr>
            </w:pPr>
            <w:r>
              <w:rPr>
                <w:rFonts w:hint="eastAsia" w:ascii="Times New Roman" w:eastAsia="仿宋"/>
                <w:szCs w:val="21"/>
              </w:rPr>
              <w:t>0.596</w:t>
            </w:r>
          </w:p>
        </w:tc>
        <w:tc>
          <w:tcPr>
            <w:tcW w:w="286" w:type="pct"/>
            <w:vAlign w:val="center"/>
          </w:tcPr>
          <w:p w14:paraId="59B0B904">
            <w:pPr>
              <w:spacing w:line="320" w:lineRule="exact"/>
              <w:jc w:val="center"/>
              <w:rPr>
                <w:rFonts w:ascii="Times New Roman" w:eastAsia="仿宋"/>
                <w:szCs w:val="21"/>
              </w:rPr>
            </w:pPr>
            <w:r>
              <w:rPr>
                <w:rFonts w:hint="eastAsia" w:ascii="Times New Roman" w:eastAsia="仿宋"/>
                <w:szCs w:val="21"/>
              </w:rPr>
              <w:t>0.587</w:t>
            </w:r>
          </w:p>
        </w:tc>
        <w:tc>
          <w:tcPr>
            <w:tcW w:w="286" w:type="pct"/>
            <w:vAlign w:val="center"/>
          </w:tcPr>
          <w:p w14:paraId="1AFAB4E4">
            <w:pPr>
              <w:spacing w:line="320" w:lineRule="exact"/>
              <w:jc w:val="center"/>
              <w:rPr>
                <w:rFonts w:ascii="Times New Roman" w:eastAsia="仿宋"/>
                <w:szCs w:val="21"/>
              </w:rPr>
            </w:pPr>
            <w:r>
              <w:rPr>
                <w:rFonts w:hint="eastAsia" w:ascii="Times New Roman" w:eastAsia="仿宋"/>
                <w:szCs w:val="21"/>
              </w:rPr>
              <w:t>0.593</w:t>
            </w:r>
          </w:p>
        </w:tc>
        <w:tc>
          <w:tcPr>
            <w:tcW w:w="286" w:type="pct"/>
            <w:vAlign w:val="center"/>
          </w:tcPr>
          <w:p w14:paraId="7F6C9486">
            <w:pPr>
              <w:spacing w:line="320" w:lineRule="exact"/>
              <w:jc w:val="center"/>
              <w:rPr>
                <w:rFonts w:ascii="Times New Roman" w:eastAsia="仿宋"/>
                <w:szCs w:val="21"/>
              </w:rPr>
            </w:pPr>
            <w:r>
              <w:rPr>
                <w:rFonts w:hint="eastAsia" w:ascii="Times New Roman" w:eastAsia="仿宋"/>
                <w:szCs w:val="21"/>
              </w:rPr>
              <w:t>0.587</w:t>
            </w:r>
          </w:p>
        </w:tc>
        <w:tc>
          <w:tcPr>
            <w:tcW w:w="286" w:type="pct"/>
            <w:vAlign w:val="center"/>
          </w:tcPr>
          <w:p w14:paraId="3CBB7CF5">
            <w:pPr>
              <w:spacing w:line="320" w:lineRule="exact"/>
              <w:jc w:val="center"/>
              <w:rPr>
                <w:rFonts w:ascii="Times New Roman" w:eastAsia="仿宋"/>
                <w:szCs w:val="21"/>
              </w:rPr>
            </w:pPr>
            <w:r>
              <w:rPr>
                <w:rFonts w:hint="eastAsia" w:ascii="Times New Roman" w:eastAsia="仿宋"/>
                <w:szCs w:val="21"/>
              </w:rPr>
              <w:t>0.576</w:t>
            </w:r>
          </w:p>
        </w:tc>
        <w:tc>
          <w:tcPr>
            <w:tcW w:w="286" w:type="pct"/>
            <w:vAlign w:val="center"/>
          </w:tcPr>
          <w:p w14:paraId="06804245">
            <w:pPr>
              <w:spacing w:line="320" w:lineRule="exact"/>
              <w:jc w:val="center"/>
              <w:rPr>
                <w:rFonts w:ascii="Times New Roman" w:eastAsia="仿宋"/>
                <w:szCs w:val="21"/>
              </w:rPr>
            </w:pPr>
            <w:r>
              <w:rPr>
                <w:rFonts w:hint="eastAsia" w:ascii="Times New Roman" w:eastAsia="仿宋"/>
                <w:szCs w:val="21"/>
              </w:rPr>
              <w:t>0.569</w:t>
            </w:r>
          </w:p>
        </w:tc>
        <w:tc>
          <w:tcPr>
            <w:tcW w:w="286" w:type="pct"/>
            <w:vAlign w:val="center"/>
          </w:tcPr>
          <w:p w14:paraId="0F5989C3">
            <w:pPr>
              <w:spacing w:line="320" w:lineRule="exact"/>
              <w:jc w:val="center"/>
              <w:rPr>
                <w:rFonts w:ascii="Times New Roman" w:eastAsia="仿宋"/>
                <w:szCs w:val="21"/>
              </w:rPr>
            </w:pPr>
            <w:r>
              <w:rPr>
                <w:rFonts w:hint="eastAsia" w:ascii="Times New Roman" w:eastAsia="仿宋"/>
                <w:szCs w:val="21"/>
              </w:rPr>
              <w:t>0.57</w:t>
            </w:r>
          </w:p>
        </w:tc>
        <w:tc>
          <w:tcPr>
            <w:tcW w:w="286" w:type="pct"/>
            <w:vAlign w:val="center"/>
          </w:tcPr>
          <w:p w14:paraId="13F6B203">
            <w:pPr>
              <w:spacing w:line="320" w:lineRule="exact"/>
              <w:jc w:val="center"/>
              <w:rPr>
                <w:rFonts w:ascii="Times New Roman" w:eastAsia="仿宋"/>
                <w:szCs w:val="21"/>
              </w:rPr>
            </w:pPr>
            <w:r>
              <w:rPr>
                <w:rFonts w:hint="eastAsia" w:ascii="Times New Roman" w:eastAsia="仿宋"/>
                <w:szCs w:val="21"/>
              </w:rPr>
              <w:t>0.579</w:t>
            </w:r>
          </w:p>
        </w:tc>
        <w:tc>
          <w:tcPr>
            <w:tcW w:w="286" w:type="pct"/>
            <w:vAlign w:val="center"/>
          </w:tcPr>
          <w:p w14:paraId="1C6DF26A">
            <w:pPr>
              <w:spacing w:line="320" w:lineRule="exact"/>
              <w:jc w:val="center"/>
              <w:rPr>
                <w:rFonts w:ascii="Times New Roman" w:eastAsia="仿宋"/>
                <w:szCs w:val="21"/>
              </w:rPr>
            </w:pPr>
            <w:r>
              <w:rPr>
                <w:rFonts w:hint="eastAsia" w:ascii="Times New Roman" w:eastAsia="仿宋"/>
                <w:szCs w:val="21"/>
              </w:rPr>
              <w:t>0.57</w:t>
            </w:r>
          </w:p>
        </w:tc>
        <w:tc>
          <w:tcPr>
            <w:tcW w:w="288" w:type="pct"/>
            <w:vAlign w:val="center"/>
          </w:tcPr>
          <w:p w14:paraId="6DA52186">
            <w:pPr>
              <w:spacing w:line="320" w:lineRule="exact"/>
              <w:jc w:val="center"/>
              <w:rPr>
                <w:rFonts w:ascii="Times New Roman" w:eastAsia="仿宋"/>
                <w:szCs w:val="21"/>
              </w:rPr>
            </w:pPr>
            <w:r>
              <w:rPr>
                <w:rFonts w:hint="eastAsia" w:ascii="Times New Roman" w:eastAsia="仿宋"/>
                <w:szCs w:val="21"/>
              </w:rPr>
              <w:t>0.582</w:t>
            </w:r>
          </w:p>
        </w:tc>
        <w:tc>
          <w:tcPr>
            <w:tcW w:w="309" w:type="pct"/>
            <w:vAlign w:val="center"/>
          </w:tcPr>
          <w:p w14:paraId="423F27CF">
            <w:pPr>
              <w:spacing w:line="320" w:lineRule="exact"/>
              <w:jc w:val="center"/>
              <w:rPr>
                <w:rFonts w:ascii="Times New Roman" w:eastAsia="仿宋"/>
                <w:szCs w:val="21"/>
              </w:rPr>
            </w:pPr>
            <w:r>
              <w:rPr>
                <w:rFonts w:ascii="Times New Roman" w:eastAsia="仿宋"/>
                <w:szCs w:val="21"/>
              </w:rPr>
              <w:t>0.025</w:t>
            </w:r>
          </w:p>
        </w:tc>
        <w:tc>
          <w:tcPr>
            <w:tcW w:w="252" w:type="pct"/>
            <w:vAlign w:val="center"/>
          </w:tcPr>
          <w:p w14:paraId="0C462F71">
            <w:pPr>
              <w:spacing w:line="320" w:lineRule="exact"/>
              <w:jc w:val="center"/>
              <w:rPr>
                <w:rFonts w:ascii="Times New Roman" w:eastAsia="仿宋"/>
                <w:szCs w:val="21"/>
              </w:rPr>
            </w:pPr>
            <w:r>
              <w:rPr>
                <w:rFonts w:ascii="Times New Roman" w:eastAsia="仿宋"/>
                <w:szCs w:val="21"/>
              </w:rPr>
              <w:t>1.5</w:t>
            </w:r>
          </w:p>
        </w:tc>
      </w:tr>
      <w:tr w14:paraId="1CAB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1177B39B">
            <w:pPr>
              <w:spacing w:line="320" w:lineRule="exact"/>
              <w:jc w:val="center"/>
              <w:rPr>
                <w:rFonts w:ascii="Times New Roman" w:eastAsia="仿宋"/>
                <w:szCs w:val="21"/>
              </w:rPr>
            </w:pPr>
            <w:r>
              <w:rPr>
                <w:rFonts w:ascii="Times New Roman" w:eastAsia="仿宋"/>
                <w:szCs w:val="21"/>
              </w:rPr>
              <w:t>总磷（mg/L）</w:t>
            </w:r>
          </w:p>
        </w:tc>
        <w:tc>
          <w:tcPr>
            <w:tcW w:w="286" w:type="pct"/>
            <w:vAlign w:val="center"/>
          </w:tcPr>
          <w:p w14:paraId="1F57ACB1">
            <w:pPr>
              <w:spacing w:line="320" w:lineRule="exact"/>
              <w:jc w:val="center"/>
              <w:rPr>
                <w:rFonts w:ascii="Times New Roman" w:eastAsia="仿宋"/>
                <w:szCs w:val="21"/>
              </w:rPr>
            </w:pPr>
            <w:r>
              <w:rPr>
                <w:rFonts w:hint="eastAsia" w:ascii="Times New Roman" w:eastAsia="仿宋"/>
                <w:szCs w:val="21"/>
              </w:rPr>
              <w:t>0.15</w:t>
            </w:r>
          </w:p>
        </w:tc>
        <w:tc>
          <w:tcPr>
            <w:tcW w:w="286" w:type="pct"/>
            <w:vAlign w:val="center"/>
          </w:tcPr>
          <w:p w14:paraId="55898693">
            <w:pPr>
              <w:spacing w:line="320" w:lineRule="exact"/>
              <w:jc w:val="center"/>
              <w:rPr>
                <w:rFonts w:ascii="Times New Roman" w:eastAsia="仿宋"/>
                <w:szCs w:val="21"/>
              </w:rPr>
            </w:pPr>
            <w:r>
              <w:rPr>
                <w:rFonts w:hint="eastAsia" w:ascii="Times New Roman" w:eastAsia="仿宋"/>
                <w:szCs w:val="21"/>
              </w:rPr>
              <w:t>0.15</w:t>
            </w:r>
          </w:p>
        </w:tc>
        <w:tc>
          <w:tcPr>
            <w:tcW w:w="286" w:type="pct"/>
            <w:vAlign w:val="center"/>
          </w:tcPr>
          <w:p w14:paraId="26FD16B3">
            <w:pPr>
              <w:spacing w:line="320" w:lineRule="exact"/>
              <w:jc w:val="center"/>
              <w:rPr>
                <w:rFonts w:ascii="Times New Roman" w:eastAsia="仿宋"/>
                <w:szCs w:val="21"/>
              </w:rPr>
            </w:pPr>
            <w:r>
              <w:rPr>
                <w:rFonts w:hint="eastAsia" w:ascii="Times New Roman" w:eastAsia="仿宋"/>
                <w:szCs w:val="21"/>
              </w:rPr>
              <w:t>0.17</w:t>
            </w:r>
          </w:p>
        </w:tc>
        <w:tc>
          <w:tcPr>
            <w:tcW w:w="286" w:type="pct"/>
            <w:vAlign w:val="center"/>
          </w:tcPr>
          <w:p w14:paraId="374C42D3">
            <w:pPr>
              <w:spacing w:line="320" w:lineRule="exact"/>
              <w:jc w:val="center"/>
              <w:rPr>
                <w:rFonts w:ascii="Times New Roman" w:eastAsia="仿宋"/>
                <w:szCs w:val="21"/>
              </w:rPr>
            </w:pPr>
            <w:r>
              <w:rPr>
                <w:rFonts w:hint="eastAsia" w:ascii="Times New Roman" w:eastAsia="仿宋"/>
                <w:szCs w:val="21"/>
              </w:rPr>
              <w:t>0.16</w:t>
            </w:r>
          </w:p>
        </w:tc>
        <w:tc>
          <w:tcPr>
            <w:tcW w:w="286" w:type="pct"/>
            <w:vAlign w:val="center"/>
          </w:tcPr>
          <w:p w14:paraId="720EDFE6">
            <w:pPr>
              <w:spacing w:line="320" w:lineRule="exact"/>
              <w:jc w:val="center"/>
              <w:rPr>
                <w:rFonts w:ascii="Times New Roman" w:eastAsia="仿宋"/>
                <w:szCs w:val="21"/>
              </w:rPr>
            </w:pPr>
            <w:r>
              <w:rPr>
                <w:rFonts w:hint="eastAsia" w:ascii="Times New Roman" w:eastAsia="仿宋"/>
                <w:szCs w:val="21"/>
              </w:rPr>
              <w:t>0.15</w:t>
            </w:r>
          </w:p>
        </w:tc>
        <w:tc>
          <w:tcPr>
            <w:tcW w:w="286" w:type="pct"/>
            <w:vAlign w:val="center"/>
          </w:tcPr>
          <w:p w14:paraId="2085E46C">
            <w:pPr>
              <w:spacing w:line="320" w:lineRule="exact"/>
              <w:jc w:val="center"/>
              <w:rPr>
                <w:rFonts w:ascii="Times New Roman" w:eastAsia="仿宋"/>
                <w:szCs w:val="21"/>
              </w:rPr>
            </w:pPr>
            <w:r>
              <w:rPr>
                <w:rFonts w:hint="eastAsia" w:ascii="Times New Roman" w:eastAsia="仿宋"/>
                <w:szCs w:val="21"/>
              </w:rPr>
              <w:t>0.14</w:t>
            </w:r>
          </w:p>
        </w:tc>
        <w:tc>
          <w:tcPr>
            <w:tcW w:w="286" w:type="pct"/>
            <w:vAlign w:val="center"/>
          </w:tcPr>
          <w:p w14:paraId="034F6FF1">
            <w:pPr>
              <w:spacing w:line="320" w:lineRule="exact"/>
              <w:jc w:val="center"/>
              <w:rPr>
                <w:rFonts w:ascii="Times New Roman" w:eastAsia="仿宋"/>
                <w:szCs w:val="21"/>
              </w:rPr>
            </w:pPr>
            <w:r>
              <w:rPr>
                <w:rFonts w:hint="eastAsia" w:ascii="Times New Roman" w:eastAsia="仿宋"/>
                <w:szCs w:val="21"/>
              </w:rPr>
              <w:t>0.19</w:t>
            </w:r>
          </w:p>
        </w:tc>
        <w:tc>
          <w:tcPr>
            <w:tcW w:w="286" w:type="pct"/>
            <w:vAlign w:val="center"/>
          </w:tcPr>
          <w:p w14:paraId="21282DD9">
            <w:pPr>
              <w:spacing w:line="320" w:lineRule="exact"/>
              <w:jc w:val="center"/>
              <w:rPr>
                <w:rFonts w:ascii="Times New Roman" w:eastAsia="仿宋"/>
                <w:szCs w:val="21"/>
              </w:rPr>
            </w:pPr>
            <w:r>
              <w:rPr>
                <w:rFonts w:hint="eastAsia" w:ascii="Times New Roman" w:eastAsia="仿宋"/>
                <w:szCs w:val="21"/>
              </w:rPr>
              <w:t>0.19</w:t>
            </w:r>
          </w:p>
        </w:tc>
        <w:tc>
          <w:tcPr>
            <w:tcW w:w="286" w:type="pct"/>
            <w:vAlign w:val="center"/>
          </w:tcPr>
          <w:p w14:paraId="5646A2A1">
            <w:pPr>
              <w:spacing w:line="320" w:lineRule="exact"/>
              <w:jc w:val="center"/>
              <w:rPr>
                <w:rFonts w:ascii="Times New Roman" w:eastAsia="仿宋"/>
                <w:szCs w:val="21"/>
              </w:rPr>
            </w:pPr>
            <w:r>
              <w:rPr>
                <w:rFonts w:hint="eastAsia" w:ascii="Times New Roman" w:eastAsia="仿宋"/>
                <w:szCs w:val="21"/>
              </w:rPr>
              <w:t>0.17</w:t>
            </w:r>
          </w:p>
        </w:tc>
        <w:tc>
          <w:tcPr>
            <w:tcW w:w="286" w:type="pct"/>
            <w:vAlign w:val="center"/>
          </w:tcPr>
          <w:p w14:paraId="4B742C53">
            <w:pPr>
              <w:spacing w:line="320" w:lineRule="exact"/>
              <w:jc w:val="center"/>
              <w:rPr>
                <w:rFonts w:ascii="Times New Roman" w:eastAsia="仿宋"/>
                <w:szCs w:val="21"/>
              </w:rPr>
            </w:pPr>
            <w:r>
              <w:rPr>
                <w:rFonts w:hint="eastAsia" w:ascii="Times New Roman" w:eastAsia="仿宋"/>
                <w:szCs w:val="21"/>
              </w:rPr>
              <w:t>0.18</w:t>
            </w:r>
          </w:p>
        </w:tc>
        <w:tc>
          <w:tcPr>
            <w:tcW w:w="286" w:type="pct"/>
            <w:vAlign w:val="center"/>
          </w:tcPr>
          <w:p w14:paraId="66B1500F">
            <w:pPr>
              <w:spacing w:line="320" w:lineRule="exact"/>
              <w:jc w:val="center"/>
              <w:rPr>
                <w:rFonts w:ascii="Times New Roman" w:eastAsia="仿宋"/>
                <w:szCs w:val="21"/>
              </w:rPr>
            </w:pPr>
            <w:r>
              <w:rPr>
                <w:rFonts w:hint="eastAsia" w:ascii="Times New Roman" w:eastAsia="仿宋"/>
                <w:szCs w:val="21"/>
              </w:rPr>
              <w:t>0.2</w:t>
            </w:r>
          </w:p>
        </w:tc>
        <w:tc>
          <w:tcPr>
            <w:tcW w:w="288" w:type="pct"/>
            <w:vAlign w:val="center"/>
          </w:tcPr>
          <w:p w14:paraId="62E839E0">
            <w:pPr>
              <w:spacing w:line="320" w:lineRule="exact"/>
              <w:jc w:val="center"/>
              <w:rPr>
                <w:rFonts w:ascii="Times New Roman" w:eastAsia="仿宋"/>
                <w:szCs w:val="21"/>
              </w:rPr>
            </w:pPr>
            <w:r>
              <w:rPr>
                <w:rFonts w:hint="eastAsia" w:ascii="Times New Roman" w:eastAsia="仿宋"/>
                <w:szCs w:val="21"/>
              </w:rPr>
              <w:t>0.19</w:t>
            </w:r>
          </w:p>
        </w:tc>
        <w:tc>
          <w:tcPr>
            <w:tcW w:w="309" w:type="pct"/>
            <w:vAlign w:val="center"/>
          </w:tcPr>
          <w:p w14:paraId="6EB374B5">
            <w:pPr>
              <w:spacing w:line="320" w:lineRule="exact"/>
              <w:jc w:val="center"/>
              <w:rPr>
                <w:rFonts w:ascii="Times New Roman" w:eastAsia="仿宋"/>
                <w:szCs w:val="21"/>
              </w:rPr>
            </w:pPr>
            <w:r>
              <w:rPr>
                <w:rFonts w:ascii="Times New Roman" w:eastAsia="仿宋"/>
                <w:szCs w:val="21"/>
              </w:rPr>
              <w:t>0.01</w:t>
            </w:r>
          </w:p>
        </w:tc>
        <w:tc>
          <w:tcPr>
            <w:tcW w:w="252" w:type="pct"/>
            <w:vAlign w:val="center"/>
          </w:tcPr>
          <w:p w14:paraId="5E9F8995">
            <w:pPr>
              <w:spacing w:line="320" w:lineRule="exact"/>
              <w:jc w:val="center"/>
              <w:rPr>
                <w:rFonts w:ascii="Times New Roman" w:eastAsia="仿宋"/>
                <w:szCs w:val="21"/>
              </w:rPr>
            </w:pPr>
            <w:r>
              <w:rPr>
                <w:rFonts w:ascii="Times New Roman" w:eastAsia="仿宋"/>
                <w:szCs w:val="21"/>
              </w:rPr>
              <w:t>0.3</w:t>
            </w:r>
          </w:p>
        </w:tc>
      </w:tr>
      <w:tr w14:paraId="2962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077307F4">
            <w:pPr>
              <w:spacing w:line="320" w:lineRule="exact"/>
              <w:jc w:val="center"/>
              <w:rPr>
                <w:rFonts w:ascii="Times New Roman" w:eastAsia="仿宋"/>
                <w:szCs w:val="21"/>
              </w:rPr>
            </w:pPr>
            <w:r>
              <w:rPr>
                <w:rFonts w:ascii="Times New Roman" w:eastAsia="仿宋"/>
                <w:szCs w:val="21"/>
              </w:rPr>
              <w:t>总氮（mg/L）</w:t>
            </w:r>
          </w:p>
        </w:tc>
        <w:tc>
          <w:tcPr>
            <w:tcW w:w="286" w:type="pct"/>
            <w:vAlign w:val="center"/>
          </w:tcPr>
          <w:p w14:paraId="79CAF270">
            <w:pPr>
              <w:spacing w:line="320" w:lineRule="exact"/>
              <w:jc w:val="center"/>
              <w:rPr>
                <w:rFonts w:ascii="Times New Roman" w:eastAsia="仿宋"/>
                <w:szCs w:val="21"/>
              </w:rPr>
            </w:pPr>
            <w:r>
              <w:rPr>
                <w:rFonts w:hint="eastAsia" w:ascii="Times New Roman" w:eastAsia="仿宋"/>
                <w:szCs w:val="21"/>
              </w:rPr>
              <w:t>1.2</w:t>
            </w:r>
          </w:p>
        </w:tc>
        <w:tc>
          <w:tcPr>
            <w:tcW w:w="286" w:type="pct"/>
            <w:vAlign w:val="center"/>
          </w:tcPr>
          <w:p w14:paraId="251DDA1B">
            <w:pPr>
              <w:spacing w:line="320" w:lineRule="exact"/>
              <w:jc w:val="center"/>
              <w:rPr>
                <w:rFonts w:ascii="Times New Roman" w:eastAsia="仿宋"/>
                <w:szCs w:val="21"/>
              </w:rPr>
            </w:pPr>
            <w:r>
              <w:rPr>
                <w:rFonts w:hint="eastAsia" w:ascii="Times New Roman" w:eastAsia="仿宋"/>
                <w:szCs w:val="21"/>
              </w:rPr>
              <w:t>1.16</w:t>
            </w:r>
          </w:p>
        </w:tc>
        <w:tc>
          <w:tcPr>
            <w:tcW w:w="286" w:type="pct"/>
            <w:vAlign w:val="center"/>
          </w:tcPr>
          <w:p w14:paraId="5378DA99">
            <w:pPr>
              <w:spacing w:line="320" w:lineRule="exact"/>
              <w:jc w:val="center"/>
              <w:rPr>
                <w:rFonts w:ascii="Times New Roman" w:eastAsia="仿宋"/>
                <w:szCs w:val="21"/>
              </w:rPr>
            </w:pPr>
            <w:r>
              <w:rPr>
                <w:rFonts w:hint="eastAsia" w:ascii="Times New Roman" w:eastAsia="仿宋"/>
                <w:szCs w:val="21"/>
              </w:rPr>
              <w:t>1.26</w:t>
            </w:r>
          </w:p>
        </w:tc>
        <w:tc>
          <w:tcPr>
            <w:tcW w:w="286" w:type="pct"/>
            <w:vAlign w:val="center"/>
          </w:tcPr>
          <w:p w14:paraId="4940202F">
            <w:pPr>
              <w:spacing w:line="320" w:lineRule="exact"/>
              <w:jc w:val="center"/>
              <w:rPr>
                <w:rFonts w:ascii="Times New Roman" w:eastAsia="仿宋"/>
                <w:szCs w:val="21"/>
              </w:rPr>
            </w:pPr>
            <w:r>
              <w:rPr>
                <w:rFonts w:hint="eastAsia" w:ascii="Times New Roman" w:eastAsia="仿宋"/>
                <w:szCs w:val="21"/>
              </w:rPr>
              <w:t>1.23</w:t>
            </w:r>
          </w:p>
        </w:tc>
        <w:tc>
          <w:tcPr>
            <w:tcW w:w="286" w:type="pct"/>
            <w:vAlign w:val="center"/>
          </w:tcPr>
          <w:p w14:paraId="24BDBDF2">
            <w:pPr>
              <w:spacing w:line="320" w:lineRule="exact"/>
              <w:jc w:val="center"/>
              <w:rPr>
                <w:rFonts w:ascii="Times New Roman" w:eastAsia="仿宋"/>
                <w:szCs w:val="21"/>
              </w:rPr>
            </w:pPr>
            <w:r>
              <w:rPr>
                <w:rFonts w:hint="eastAsia" w:ascii="Times New Roman" w:eastAsia="仿宋"/>
                <w:szCs w:val="21"/>
              </w:rPr>
              <w:t>1.37</w:t>
            </w:r>
          </w:p>
        </w:tc>
        <w:tc>
          <w:tcPr>
            <w:tcW w:w="286" w:type="pct"/>
            <w:vAlign w:val="center"/>
          </w:tcPr>
          <w:p w14:paraId="18898938">
            <w:pPr>
              <w:spacing w:line="320" w:lineRule="exact"/>
              <w:jc w:val="center"/>
              <w:rPr>
                <w:rFonts w:ascii="Times New Roman" w:eastAsia="仿宋"/>
                <w:szCs w:val="21"/>
              </w:rPr>
            </w:pPr>
            <w:r>
              <w:rPr>
                <w:rFonts w:hint="eastAsia" w:ascii="Times New Roman" w:eastAsia="仿宋"/>
                <w:szCs w:val="21"/>
              </w:rPr>
              <w:t>1.35</w:t>
            </w:r>
          </w:p>
        </w:tc>
        <w:tc>
          <w:tcPr>
            <w:tcW w:w="286" w:type="pct"/>
            <w:vAlign w:val="center"/>
          </w:tcPr>
          <w:p w14:paraId="2C73688F">
            <w:pPr>
              <w:spacing w:line="320" w:lineRule="exact"/>
              <w:jc w:val="center"/>
              <w:rPr>
                <w:rFonts w:ascii="Times New Roman" w:eastAsia="仿宋"/>
                <w:szCs w:val="21"/>
              </w:rPr>
            </w:pPr>
            <w:r>
              <w:rPr>
                <w:rFonts w:hint="eastAsia" w:ascii="Times New Roman" w:eastAsia="仿宋"/>
                <w:szCs w:val="21"/>
              </w:rPr>
              <w:t>1.2</w:t>
            </w:r>
          </w:p>
        </w:tc>
        <w:tc>
          <w:tcPr>
            <w:tcW w:w="286" w:type="pct"/>
            <w:vAlign w:val="center"/>
          </w:tcPr>
          <w:p w14:paraId="05B2A93E">
            <w:pPr>
              <w:spacing w:line="320" w:lineRule="exact"/>
              <w:jc w:val="center"/>
              <w:rPr>
                <w:rFonts w:ascii="Times New Roman" w:eastAsia="仿宋"/>
                <w:szCs w:val="21"/>
              </w:rPr>
            </w:pPr>
            <w:r>
              <w:rPr>
                <w:rFonts w:hint="eastAsia" w:ascii="Times New Roman" w:eastAsia="仿宋"/>
                <w:szCs w:val="21"/>
              </w:rPr>
              <w:t>1.24</w:t>
            </w:r>
          </w:p>
        </w:tc>
        <w:tc>
          <w:tcPr>
            <w:tcW w:w="286" w:type="pct"/>
            <w:vAlign w:val="center"/>
          </w:tcPr>
          <w:p w14:paraId="651F4EB8">
            <w:pPr>
              <w:spacing w:line="320" w:lineRule="exact"/>
              <w:jc w:val="center"/>
              <w:rPr>
                <w:rFonts w:ascii="Times New Roman" w:eastAsia="仿宋"/>
                <w:szCs w:val="21"/>
              </w:rPr>
            </w:pPr>
            <w:r>
              <w:rPr>
                <w:rFonts w:hint="eastAsia" w:ascii="Times New Roman" w:eastAsia="仿宋"/>
                <w:szCs w:val="21"/>
              </w:rPr>
              <w:t>1.31</w:t>
            </w:r>
          </w:p>
        </w:tc>
        <w:tc>
          <w:tcPr>
            <w:tcW w:w="286" w:type="pct"/>
            <w:vAlign w:val="center"/>
          </w:tcPr>
          <w:p w14:paraId="68BB5306">
            <w:pPr>
              <w:spacing w:line="320" w:lineRule="exact"/>
              <w:jc w:val="center"/>
              <w:rPr>
                <w:rFonts w:ascii="Times New Roman" w:eastAsia="仿宋"/>
                <w:szCs w:val="21"/>
              </w:rPr>
            </w:pPr>
            <w:r>
              <w:rPr>
                <w:rFonts w:hint="eastAsia" w:ascii="Times New Roman" w:eastAsia="仿宋"/>
                <w:szCs w:val="21"/>
              </w:rPr>
              <w:t>1.27</w:t>
            </w:r>
          </w:p>
        </w:tc>
        <w:tc>
          <w:tcPr>
            <w:tcW w:w="286" w:type="pct"/>
            <w:vAlign w:val="center"/>
          </w:tcPr>
          <w:p w14:paraId="7A22B87B">
            <w:pPr>
              <w:spacing w:line="320" w:lineRule="exact"/>
              <w:jc w:val="center"/>
              <w:rPr>
                <w:rFonts w:ascii="Times New Roman" w:eastAsia="仿宋"/>
                <w:szCs w:val="21"/>
              </w:rPr>
            </w:pPr>
            <w:r>
              <w:rPr>
                <w:rFonts w:hint="eastAsia" w:ascii="Times New Roman" w:eastAsia="仿宋"/>
                <w:szCs w:val="21"/>
              </w:rPr>
              <w:t>1.37</w:t>
            </w:r>
          </w:p>
        </w:tc>
        <w:tc>
          <w:tcPr>
            <w:tcW w:w="288" w:type="pct"/>
            <w:vAlign w:val="center"/>
          </w:tcPr>
          <w:p w14:paraId="4BF3E55C">
            <w:pPr>
              <w:spacing w:line="320" w:lineRule="exact"/>
              <w:jc w:val="center"/>
              <w:rPr>
                <w:rFonts w:ascii="Times New Roman" w:eastAsia="仿宋"/>
                <w:szCs w:val="21"/>
              </w:rPr>
            </w:pPr>
            <w:r>
              <w:rPr>
                <w:rFonts w:hint="eastAsia" w:ascii="Times New Roman" w:eastAsia="仿宋"/>
                <w:szCs w:val="21"/>
              </w:rPr>
              <w:t>1.29</w:t>
            </w:r>
          </w:p>
        </w:tc>
        <w:tc>
          <w:tcPr>
            <w:tcW w:w="309" w:type="pct"/>
            <w:vAlign w:val="center"/>
          </w:tcPr>
          <w:p w14:paraId="05102FDB">
            <w:pPr>
              <w:spacing w:line="320" w:lineRule="exact"/>
              <w:jc w:val="center"/>
              <w:rPr>
                <w:rFonts w:ascii="Times New Roman" w:eastAsia="仿宋"/>
                <w:szCs w:val="21"/>
              </w:rPr>
            </w:pPr>
            <w:r>
              <w:rPr>
                <w:rFonts w:ascii="Times New Roman" w:eastAsia="仿宋"/>
                <w:szCs w:val="21"/>
              </w:rPr>
              <w:t>0.05</w:t>
            </w:r>
          </w:p>
        </w:tc>
        <w:tc>
          <w:tcPr>
            <w:tcW w:w="252" w:type="pct"/>
            <w:vAlign w:val="center"/>
          </w:tcPr>
          <w:p w14:paraId="2BCF0956">
            <w:pPr>
              <w:spacing w:line="320" w:lineRule="exact"/>
              <w:jc w:val="center"/>
              <w:rPr>
                <w:rFonts w:ascii="Times New Roman" w:eastAsia="仿宋"/>
                <w:szCs w:val="21"/>
              </w:rPr>
            </w:pPr>
            <w:r>
              <w:rPr>
                <w:rFonts w:ascii="Times New Roman" w:eastAsia="仿宋"/>
                <w:szCs w:val="21"/>
              </w:rPr>
              <w:t>/</w:t>
            </w:r>
          </w:p>
        </w:tc>
      </w:tr>
    </w:tbl>
    <w:p w14:paraId="7B371FB0">
      <w:pPr>
        <w:pStyle w:val="35"/>
      </w:pPr>
    </w:p>
    <w:p w14:paraId="44567712">
      <w:pPr>
        <w:spacing w:line="500" w:lineRule="exact"/>
        <w:ind w:firstLine="560" w:firstLineChars="200"/>
        <w:rPr>
          <w:rFonts w:ascii="Times New Roman" w:eastAsia="仿宋"/>
          <w:sz w:val="28"/>
          <w:szCs w:val="28"/>
        </w:rPr>
        <w:sectPr>
          <w:pgSz w:w="16838" w:h="11906" w:orient="landscape"/>
          <w:pgMar w:top="1440" w:right="1800" w:bottom="1440" w:left="1800" w:header="851" w:footer="992" w:gutter="0"/>
          <w:cols w:space="720" w:num="1"/>
          <w:docGrid w:linePitch="326" w:charSpace="0"/>
        </w:sectPr>
      </w:pPr>
    </w:p>
    <w:p w14:paraId="2F5C3EB7">
      <w:pPr>
        <w:spacing w:line="500" w:lineRule="exact"/>
        <w:ind w:firstLine="560" w:firstLineChars="200"/>
        <w:rPr>
          <w:rFonts w:ascii="Times New Roman" w:eastAsia="仿宋"/>
          <w:sz w:val="28"/>
          <w:szCs w:val="28"/>
        </w:rPr>
      </w:pPr>
      <w:r>
        <w:rPr>
          <w:rFonts w:ascii="Times New Roman" w:eastAsia="仿宋"/>
          <w:sz w:val="28"/>
          <w:szCs w:val="28"/>
        </w:rPr>
        <w:t>由上表分析可知，</w:t>
      </w:r>
      <w:r>
        <w:rPr>
          <w:rFonts w:hint="eastAsia" w:ascii="Times New Roman" w:eastAsia="仿宋"/>
          <w:sz w:val="28"/>
          <w:szCs w:val="28"/>
        </w:rPr>
        <w:t>通济河、熊家河</w:t>
      </w:r>
      <w:r>
        <w:rPr>
          <w:rFonts w:ascii="Times New Roman" w:eastAsia="仿宋"/>
          <w:sz w:val="28"/>
          <w:szCs w:val="28"/>
        </w:rPr>
        <w:t>各监测断面各监测因子均符合《地表水环境质量标准》（GB3838-2002）中</w:t>
      </w:r>
      <w:r>
        <w:rPr>
          <w:rFonts w:hint="eastAsia" w:ascii="Times New Roman" w:eastAsia="仿宋"/>
          <w:sz w:val="28"/>
          <w:szCs w:val="28"/>
        </w:rPr>
        <w:t>Ⅳ</w:t>
      </w:r>
      <w:r>
        <w:rPr>
          <w:rFonts w:ascii="Times New Roman" w:eastAsia="仿宋"/>
          <w:sz w:val="28"/>
          <w:szCs w:val="28"/>
        </w:rPr>
        <w:t>类水标准。</w:t>
      </w:r>
    </w:p>
    <w:p w14:paraId="0259A145">
      <w:pPr>
        <w:pStyle w:val="6"/>
        <w:keepLines w:val="0"/>
        <w:tabs>
          <w:tab w:val="left" w:pos="709"/>
        </w:tabs>
        <w:spacing w:before="120" w:beforeLines="50" w:after="120" w:afterLines="50" w:line="500" w:lineRule="exact"/>
        <w:rPr>
          <w:rFonts w:ascii="Times New Roman" w:eastAsia="仿宋"/>
          <w:sz w:val="30"/>
          <w:szCs w:val="30"/>
        </w:rPr>
      </w:pPr>
      <w:bookmarkStart w:id="297" w:name="_Toc254685639"/>
      <w:bookmarkStart w:id="298" w:name="_Toc211068008"/>
      <w:bookmarkStart w:id="299" w:name="_Toc304838112"/>
      <w:r>
        <w:rPr>
          <w:rFonts w:hint="eastAsia" w:ascii="Times New Roman" w:eastAsia="仿宋"/>
          <w:sz w:val="30"/>
          <w:szCs w:val="30"/>
        </w:rPr>
        <w:t>4</w:t>
      </w:r>
      <w:r>
        <w:rPr>
          <w:rFonts w:ascii="Times New Roman" w:eastAsia="仿宋"/>
          <w:sz w:val="30"/>
          <w:szCs w:val="30"/>
        </w:rPr>
        <w:t>.2.3声环境质量现状监测与评价</w:t>
      </w:r>
      <w:bookmarkEnd w:id="292"/>
      <w:bookmarkEnd w:id="293"/>
      <w:bookmarkEnd w:id="294"/>
      <w:bookmarkEnd w:id="297"/>
      <w:bookmarkEnd w:id="298"/>
      <w:bookmarkEnd w:id="299"/>
    </w:p>
    <w:p w14:paraId="253E3528">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4</w:t>
      </w:r>
      <w:r>
        <w:rPr>
          <w:rFonts w:ascii="Times New Roman" w:hAnsi="Times New Roman" w:eastAsia="仿宋"/>
          <w:b/>
        </w:rPr>
        <w:t>.2.3.1声环境现状监测</w:t>
      </w:r>
      <w:bookmarkEnd w:id="295"/>
      <w:bookmarkEnd w:id="296"/>
    </w:p>
    <w:p w14:paraId="4B210A45">
      <w:pPr>
        <w:spacing w:line="500" w:lineRule="exact"/>
        <w:ind w:firstLine="560" w:firstLineChars="200"/>
        <w:rPr>
          <w:rFonts w:ascii="Times New Roman" w:eastAsia="仿宋"/>
          <w:sz w:val="28"/>
          <w:szCs w:val="28"/>
        </w:rPr>
      </w:pPr>
      <w:bookmarkStart w:id="300" w:name="_Toc85012545"/>
      <w:bookmarkStart w:id="301" w:name="_Toc85180843"/>
      <w:r>
        <w:rPr>
          <w:rFonts w:hint="eastAsia" w:ascii="Times New Roman" w:eastAsia="仿宋"/>
          <w:sz w:val="28"/>
          <w:szCs w:val="28"/>
        </w:rPr>
        <w:t>（1）</w:t>
      </w:r>
      <w:r>
        <w:rPr>
          <w:rFonts w:ascii="Times New Roman" w:eastAsia="仿宋"/>
          <w:sz w:val="28"/>
          <w:szCs w:val="28"/>
        </w:rPr>
        <w:t>监测点位</w:t>
      </w:r>
    </w:p>
    <w:p w14:paraId="71568BB7">
      <w:pPr>
        <w:pStyle w:val="22"/>
        <w:spacing w:line="500" w:lineRule="exact"/>
        <w:ind w:firstLine="560"/>
        <w:rPr>
          <w:rFonts w:eastAsia="仿宋"/>
          <w:sz w:val="28"/>
          <w:szCs w:val="28"/>
        </w:rPr>
      </w:pPr>
      <w:r>
        <w:rPr>
          <w:rFonts w:eastAsia="仿宋"/>
          <w:sz w:val="28"/>
          <w:szCs w:val="28"/>
        </w:rPr>
        <w:t>在项目所在地东、南、西、北厂界布设4个噪声监测点。</w:t>
      </w:r>
    </w:p>
    <w:p w14:paraId="41A8DD92">
      <w:pPr>
        <w:spacing w:line="500" w:lineRule="exact"/>
        <w:ind w:firstLine="560" w:firstLineChars="200"/>
        <w:rPr>
          <w:rFonts w:ascii="Times New Roman" w:eastAsia="仿宋"/>
          <w:b/>
          <w:sz w:val="28"/>
          <w:szCs w:val="28"/>
          <w:shd w:val="clear" w:color="auto" w:fill="FFCC00"/>
        </w:rPr>
      </w:pPr>
      <w:r>
        <w:rPr>
          <w:rFonts w:hint="eastAsia" w:ascii="Times New Roman" w:eastAsia="仿宋"/>
          <w:sz w:val="28"/>
          <w:szCs w:val="28"/>
        </w:rPr>
        <w:t>（2）</w:t>
      </w:r>
      <w:r>
        <w:rPr>
          <w:rFonts w:ascii="Times New Roman" w:eastAsia="仿宋"/>
          <w:sz w:val="28"/>
          <w:szCs w:val="28"/>
        </w:rPr>
        <w:t>监测时间、频次</w:t>
      </w:r>
    </w:p>
    <w:p w14:paraId="14A8338A">
      <w:pPr>
        <w:spacing w:line="500" w:lineRule="exact"/>
        <w:ind w:firstLine="560" w:firstLineChars="200"/>
        <w:rPr>
          <w:rFonts w:ascii="Times New Roman" w:eastAsia="仿宋"/>
          <w:sz w:val="28"/>
          <w:szCs w:val="28"/>
        </w:rPr>
      </w:pPr>
      <w:r>
        <w:rPr>
          <w:rFonts w:ascii="Times New Roman" w:eastAsia="仿宋"/>
          <w:sz w:val="28"/>
          <w:szCs w:val="28"/>
        </w:rPr>
        <w:t>监测时间为2024年10月11日～10月12日；</w:t>
      </w:r>
    </w:p>
    <w:p w14:paraId="5CDCDB41">
      <w:pPr>
        <w:spacing w:line="500" w:lineRule="exact"/>
        <w:ind w:firstLine="560" w:firstLineChars="200"/>
        <w:rPr>
          <w:rFonts w:ascii="Times New Roman" w:eastAsia="仿宋"/>
          <w:sz w:val="28"/>
          <w:szCs w:val="28"/>
        </w:rPr>
      </w:pPr>
      <w:r>
        <w:rPr>
          <w:rFonts w:ascii="Times New Roman" w:eastAsia="仿宋"/>
          <w:sz w:val="28"/>
          <w:szCs w:val="28"/>
        </w:rPr>
        <w:t>昼、夜间各监测一次。</w:t>
      </w:r>
    </w:p>
    <w:p w14:paraId="7C02FD46">
      <w:pPr>
        <w:spacing w:line="500" w:lineRule="exact"/>
        <w:ind w:firstLine="560" w:firstLineChars="200"/>
        <w:rPr>
          <w:rFonts w:ascii="Times New Roman" w:eastAsia="仿宋"/>
          <w:sz w:val="28"/>
          <w:szCs w:val="28"/>
        </w:rPr>
      </w:pPr>
      <w:r>
        <w:rPr>
          <w:rFonts w:hint="eastAsia" w:ascii="Times New Roman" w:eastAsia="仿宋"/>
          <w:sz w:val="28"/>
          <w:szCs w:val="28"/>
        </w:rPr>
        <w:t>（3）</w:t>
      </w:r>
      <w:r>
        <w:rPr>
          <w:rFonts w:ascii="Times New Roman" w:eastAsia="仿宋"/>
          <w:sz w:val="28"/>
          <w:szCs w:val="28"/>
        </w:rPr>
        <w:t>监测项目和监测方法</w:t>
      </w:r>
    </w:p>
    <w:p w14:paraId="2A52563C">
      <w:pPr>
        <w:spacing w:line="500" w:lineRule="exact"/>
        <w:ind w:firstLine="560" w:firstLineChars="200"/>
        <w:rPr>
          <w:rFonts w:ascii="Times New Roman" w:eastAsia="仿宋"/>
          <w:sz w:val="28"/>
          <w:szCs w:val="28"/>
        </w:rPr>
      </w:pPr>
      <w:r>
        <w:rPr>
          <w:rFonts w:ascii="Times New Roman" w:eastAsia="仿宋"/>
          <w:sz w:val="28"/>
          <w:szCs w:val="28"/>
        </w:rPr>
        <w:t>测定等效连续A声级；</w:t>
      </w:r>
    </w:p>
    <w:p w14:paraId="2CC82C0C">
      <w:pPr>
        <w:spacing w:line="480" w:lineRule="exact"/>
        <w:ind w:firstLine="560" w:firstLineChars="200"/>
        <w:rPr>
          <w:rFonts w:ascii="Times New Roman" w:eastAsia="仿宋"/>
          <w:sz w:val="28"/>
          <w:szCs w:val="28"/>
        </w:rPr>
      </w:pPr>
      <w:r>
        <w:rPr>
          <w:rFonts w:ascii="Times New Roman" w:eastAsia="仿宋"/>
          <w:sz w:val="28"/>
          <w:szCs w:val="28"/>
        </w:rPr>
        <w:t>按《工业企业厂界环境噪声排放标准》(GB12348-2008)中有关规定进行。</w:t>
      </w:r>
    </w:p>
    <w:p w14:paraId="5C01665A">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4</w:t>
      </w:r>
      <w:r>
        <w:rPr>
          <w:rFonts w:ascii="Times New Roman" w:hAnsi="Times New Roman" w:eastAsia="仿宋"/>
          <w:b/>
        </w:rPr>
        <w:t>.2.3.2声环境现状评价</w:t>
      </w:r>
      <w:bookmarkEnd w:id="300"/>
      <w:bookmarkEnd w:id="301"/>
    </w:p>
    <w:p w14:paraId="5649C548">
      <w:pPr>
        <w:spacing w:line="500" w:lineRule="exact"/>
        <w:ind w:left="920" w:hanging="360"/>
        <w:rPr>
          <w:rFonts w:ascii="Times New Roman" w:eastAsia="仿宋"/>
          <w:sz w:val="28"/>
          <w:szCs w:val="28"/>
        </w:rPr>
      </w:pPr>
      <w:bookmarkStart w:id="302" w:name="_Toc148759032"/>
      <w:bookmarkStart w:id="303" w:name="_Toc149956273"/>
      <w:r>
        <w:rPr>
          <w:rFonts w:hint="eastAsia" w:hAnsi="宋体" w:cs="宋体"/>
          <w:sz w:val="28"/>
          <w:szCs w:val="28"/>
        </w:rPr>
        <w:t>（1）</w:t>
      </w:r>
      <w:r>
        <w:rPr>
          <w:rFonts w:ascii="Times New Roman" w:eastAsia="仿宋"/>
          <w:sz w:val="28"/>
          <w:szCs w:val="28"/>
        </w:rPr>
        <w:t>评价标准和评价方法</w:t>
      </w:r>
    </w:p>
    <w:p w14:paraId="598B67AF">
      <w:pPr>
        <w:spacing w:line="500" w:lineRule="exact"/>
        <w:ind w:firstLine="560" w:firstLineChars="200"/>
        <w:rPr>
          <w:rFonts w:ascii="Times New Roman" w:eastAsia="仿宋"/>
          <w:sz w:val="28"/>
          <w:szCs w:val="28"/>
        </w:rPr>
      </w:pPr>
      <w:r>
        <w:rPr>
          <w:rFonts w:ascii="Times New Roman" w:eastAsia="仿宋"/>
          <w:sz w:val="28"/>
          <w:szCs w:val="28"/>
        </w:rPr>
        <w:t>项目所在地按《声环境质量标准》(GB3096-2008)</w:t>
      </w:r>
      <w:r>
        <w:rPr>
          <w:rFonts w:ascii="Times New Roman" w:eastAsia="仿宋"/>
          <w:sz w:val="28"/>
          <w:szCs w:val="28"/>
          <w:lang w:val="zh-CN"/>
        </w:rPr>
        <w:t>的3类标准执行</w:t>
      </w:r>
      <w:r>
        <w:rPr>
          <w:rFonts w:hint="eastAsia" w:ascii="Times New Roman" w:eastAsia="仿宋"/>
          <w:sz w:val="28"/>
          <w:szCs w:val="28"/>
          <w:lang w:val="zh-CN"/>
        </w:rPr>
        <w:t>。</w:t>
      </w:r>
      <w:r>
        <w:rPr>
          <w:rFonts w:ascii="Times New Roman" w:eastAsia="仿宋"/>
          <w:sz w:val="28"/>
          <w:szCs w:val="28"/>
        </w:rPr>
        <w:t>采用与评价标准对比的方法进行评价。</w:t>
      </w:r>
    </w:p>
    <w:p w14:paraId="45F2FE78">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监测结果及评价</w:t>
      </w:r>
    </w:p>
    <w:p w14:paraId="6E6F3174">
      <w:pPr>
        <w:spacing w:line="500" w:lineRule="exact"/>
        <w:ind w:firstLine="560" w:firstLineChars="200"/>
        <w:rPr>
          <w:rFonts w:ascii="Times New Roman" w:eastAsia="仿宋"/>
          <w:sz w:val="28"/>
          <w:szCs w:val="28"/>
        </w:rPr>
      </w:pPr>
      <w:r>
        <w:rPr>
          <w:rFonts w:hint="eastAsia" w:ascii="Times New Roman" w:eastAsia="仿宋"/>
          <w:sz w:val="28"/>
          <w:szCs w:val="28"/>
        </w:rPr>
        <w:t>本项目委托常州苏测环境检测有限公司对环境噪声进行监测，并出具</w:t>
      </w:r>
      <w:r>
        <w:rPr>
          <w:rFonts w:ascii="Times New Roman" w:eastAsia="仿宋"/>
          <w:sz w:val="28"/>
          <w:szCs w:val="28"/>
        </w:rPr>
        <w:t>《检测报告》（报告编号：</w:t>
      </w:r>
      <w:r>
        <w:rPr>
          <w:rFonts w:hint="eastAsia" w:ascii="Times New Roman" w:eastAsia="仿宋"/>
          <w:sz w:val="28"/>
          <w:szCs w:val="28"/>
        </w:rPr>
        <w:t>E</w:t>
      </w:r>
      <w:r>
        <w:rPr>
          <w:rFonts w:ascii="Times New Roman" w:eastAsia="仿宋"/>
          <w:sz w:val="28"/>
          <w:szCs w:val="28"/>
        </w:rPr>
        <w:t>2410043-4）</w:t>
      </w:r>
      <w:r>
        <w:rPr>
          <w:rFonts w:hint="eastAsia" w:ascii="Times New Roman" w:eastAsia="仿宋"/>
          <w:sz w:val="28"/>
          <w:szCs w:val="28"/>
        </w:rPr>
        <w:t>，</w:t>
      </w:r>
      <w:r>
        <w:rPr>
          <w:rFonts w:ascii="Times New Roman" w:eastAsia="仿宋"/>
          <w:sz w:val="28"/>
          <w:szCs w:val="28"/>
        </w:rPr>
        <w:t>噪声监测结果表4.2-7。</w:t>
      </w:r>
    </w:p>
    <w:p w14:paraId="6BB42531">
      <w:pPr>
        <w:spacing w:line="500" w:lineRule="exact"/>
        <w:jc w:val="center"/>
        <w:rPr>
          <w:rFonts w:ascii="Times New Roman" w:eastAsia="仿宋"/>
          <w:b/>
          <w:lang w:val="zh-CN"/>
        </w:rPr>
      </w:pPr>
      <w:r>
        <w:rPr>
          <w:rFonts w:ascii="Times New Roman" w:eastAsia="仿宋"/>
          <w:b/>
          <w:lang w:val="zh-CN"/>
        </w:rPr>
        <w:t>表4.2-7   噪声监测结果   单位：dB(A)</w:t>
      </w:r>
    </w:p>
    <w:tbl>
      <w:tblPr>
        <w:tblStyle w:val="87"/>
        <w:tblW w:w="51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1125"/>
        <w:gridCol w:w="1265"/>
        <w:gridCol w:w="1172"/>
        <w:gridCol w:w="1150"/>
        <w:gridCol w:w="723"/>
        <w:gridCol w:w="889"/>
        <w:gridCol w:w="736"/>
        <w:gridCol w:w="862"/>
      </w:tblGrid>
      <w:tr w14:paraId="79D7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04" w:type="pct"/>
            <w:vMerge w:val="restart"/>
            <w:vAlign w:val="center"/>
          </w:tcPr>
          <w:p w14:paraId="22C11C28">
            <w:pPr>
              <w:jc w:val="center"/>
              <w:rPr>
                <w:rFonts w:ascii="Times New Roman" w:eastAsia="仿宋"/>
                <w:szCs w:val="21"/>
              </w:rPr>
            </w:pPr>
            <w:r>
              <w:rPr>
                <w:rFonts w:ascii="Times New Roman" w:eastAsia="仿宋"/>
                <w:szCs w:val="21"/>
              </w:rPr>
              <w:t>监测点位</w:t>
            </w:r>
          </w:p>
        </w:tc>
        <w:tc>
          <w:tcPr>
            <w:tcW w:w="1266" w:type="pct"/>
            <w:gridSpan w:val="2"/>
            <w:vAlign w:val="center"/>
          </w:tcPr>
          <w:p w14:paraId="46302B03">
            <w:pPr>
              <w:jc w:val="center"/>
              <w:rPr>
                <w:rFonts w:ascii="Times New Roman" w:eastAsia="仿宋"/>
                <w:szCs w:val="21"/>
              </w:rPr>
            </w:pPr>
            <w:r>
              <w:rPr>
                <w:rFonts w:ascii="Times New Roman" w:eastAsia="仿宋"/>
                <w:szCs w:val="21"/>
              </w:rPr>
              <w:t>20</w:t>
            </w:r>
            <w:r>
              <w:rPr>
                <w:rFonts w:hint="eastAsia" w:ascii="Times New Roman" w:eastAsia="仿宋"/>
                <w:szCs w:val="21"/>
              </w:rPr>
              <w:t>2</w:t>
            </w:r>
            <w:r>
              <w:rPr>
                <w:rFonts w:ascii="Times New Roman" w:eastAsia="仿宋"/>
                <w:szCs w:val="21"/>
              </w:rPr>
              <w:t>4年10月11日</w:t>
            </w:r>
          </w:p>
        </w:tc>
        <w:tc>
          <w:tcPr>
            <w:tcW w:w="1230" w:type="pct"/>
            <w:gridSpan w:val="2"/>
            <w:vAlign w:val="center"/>
          </w:tcPr>
          <w:p w14:paraId="632A103E">
            <w:pPr>
              <w:jc w:val="center"/>
              <w:rPr>
                <w:rFonts w:ascii="Times New Roman" w:eastAsia="仿宋"/>
                <w:szCs w:val="21"/>
              </w:rPr>
            </w:pPr>
            <w:r>
              <w:rPr>
                <w:rFonts w:ascii="Times New Roman" w:eastAsia="仿宋"/>
                <w:szCs w:val="21"/>
              </w:rPr>
              <w:t>2024年10月12日</w:t>
            </w:r>
          </w:p>
        </w:tc>
        <w:tc>
          <w:tcPr>
            <w:tcW w:w="854" w:type="pct"/>
            <w:gridSpan w:val="2"/>
            <w:vAlign w:val="center"/>
          </w:tcPr>
          <w:p w14:paraId="16F94DA1">
            <w:pPr>
              <w:jc w:val="center"/>
              <w:rPr>
                <w:rFonts w:ascii="Times New Roman" w:eastAsia="仿宋"/>
                <w:szCs w:val="21"/>
              </w:rPr>
            </w:pPr>
            <w:r>
              <w:rPr>
                <w:rFonts w:ascii="Times New Roman" w:eastAsia="仿宋"/>
                <w:szCs w:val="21"/>
              </w:rPr>
              <w:t>标准值</w:t>
            </w:r>
          </w:p>
        </w:tc>
        <w:tc>
          <w:tcPr>
            <w:tcW w:w="846" w:type="pct"/>
            <w:gridSpan w:val="2"/>
            <w:vAlign w:val="center"/>
          </w:tcPr>
          <w:p w14:paraId="4BB044BF">
            <w:pPr>
              <w:jc w:val="center"/>
              <w:rPr>
                <w:rFonts w:ascii="Times New Roman" w:eastAsia="仿宋"/>
                <w:szCs w:val="21"/>
              </w:rPr>
            </w:pPr>
            <w:r>
              <w:rPr>
                <w:rFonts w:ascii="Times New Roman" w:eastAsia="仿宋"/>
                <w:szCs w:val="21"/>
              </w:rPr>
              <w:t>达标情况</w:t>
            </w:r>
          </w:p>
        </w:tc>
      </w:tr>
      <w:tr w14:paraId="59CA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4" w:type="pct"/>
            <w:vMerge w:val="continue"/>
            <w:noWrap/>
            <w:vAlign w:val="center"/>
          </w:tcPr>
          <w:p w14:paraId="33BBA084">
            <w:pPr>
              <w:jc w:val="center"/>
              <w:rPr>
                <w:rFonts w:ascii="Times New Roman" w:eastAsia="仿宋"/>
                <w:szCs w:val="21"/>
              </w:rPr>
            </w:pPr>
          </w:p>
        </w:tc>
        <w:tc>
          <w:tcPr>
            <w:tcW w:w="596" w:type="pct"/>
            <w:vAlign w:val="center"/>
          </w:tcPr>
          <w:p w14:paraId="2F6341DC">
            <w:pPr>
              <w:jc w:val="center"/>
              <w:rPr>
                <w:rFonts w:ascii="Times New Roman" w:eastAsia="仿宋"/>
                <w:szCs w:val="21"/>
              </w:rPr>
            </w:pPr>
            <w:r>
              <w:rPr>
                <w:rFonts w:ascii="Times New Roman" w:eastAsia="仿宋"/>
                <w:szCs w:val="21"/>
              </w:rPr>
              <w:t>昼间</w:t>
            </w:r>
          </w:p>
        </w:tc>
        <w:tc>
          <w:tcPr>
            <w:tcW w:w="670" w:type="pct"/>
            <w:noWrap/>
            <w:vAlign w:val="center"/>
          </w:tcPr>
          <w:p w14:paraId="01D6422B">
            <w:pPr>
              <w:jc w:val="center"/>
              <w:rPr>
                <w:rFonts w:ascii="Times New Roman" w:eastAsia="仿宋"/>
                <w:szCs w:val="21"/>
              </w:rPr>
            </w:pPr>
            <w:r>
              <w:rPr>
                <w:rFonts w:ascii="Times New Roman" w:eastAsia="仿宋"/>
                <w:szCs w:val="21"/>
              </w:rPr>
              <w:t>夜间</w:t>
            </w:r>
          </w:p>
        </w:tc>
        <w:tc>
          <w:tcPr>
            <w:tcW w:w="621" w:type="pct"/>
            <w:vAlign w:val="center"/>
          </w:tcPr>
          <w:p w14:paraId="260C22F5">
            <w:pPr>
              <w:jc w:val="center"/>
              <w:rPr>
                <w:rFonts w:ascii="Times New Roman" w:eastAsia="仿宋"/>
                <w:szCs w:val="21"/>
              </w:rPr>
            </w:pPr>
            <w:r>
              <w:rPr>
                <w:rFonts w:ascii="Times New Roman" w:eastAsia="仿宋"/>
                <w:szCs w:val="21"/>
              </w:rPr>
              <w:t>昼间</w:t>
            </w:r>
          </w:p>
        </w:tc>
        <w:tc>
          <w:tcPr>
            <w:tcW w:w="609" w:type="pct"/>
            <w:vAlign w:val="center"/>
          </w:tcPr>
          <w:p w14:paraId="05890106">
            <w:pPr>
              <w:jc w:val="center"/>
              <w:rPr>
                <w:rFonts w:ascii="Times New Roman" w:eastAsia="仿宋"/>
                <w:szCs w:val="21"/>
              </w:rPr>
            </w:pPr>
            <w:r>
              <w:rPr>
                <w:rFonts w:ascii="Times New Roman" w:eastAsia="仿宋"/>
                <w:szCs w:val="21"/>
              </w:rPr>
              <w:t>夜间</w:t>
            </w:r>
          </w:p>
        </w:tc>
        <w:tc>
          <w:tcPr>
            <w:tcW w:w="383" w:type="pct"/>
            <w:vAlign w:val="center"/>
          </w:tcPr>
          <w:p w14:paraId="0182AD9F">
            <w:pPr>
              <w:jc w:val="center"/>
              <w:rPr>
                <w:rFonts w:ascii="Times New Roman" w:eastAsia="仿宋"/>
                <w:szCs w:val="21"/>
              </w:rPr>
            </w:pPr>
            <w:r>
              <w:rPr>
                <w:rFonts w:ascii="Times New Roman" w:eastAsia="仿宋"/>
                <w:szCs w:val="21"/>
              </w:rPr>
              <w:t>昼间</w:t>
            </w:r>
          </w:p>
        </w:tc>
        <w:tc>
          <w:tcPr>
            <w:tcW w:w="471" w:type="pct"/>
            <w:noWrap/>
            <w:vAlign w:val="center"/>
          </w:tcPr>
          <w:p w14:paraId="7E02CB4F">
            <w:pPr>
              <w:jc w:val="center"/>
              <w:rPr>
                <w:rFonts w:ascii="Times New Roman" w:eastAsia="仿宋"/>
                <w:szCs w:val="21"/>
              </w:rPr>
            </w:pPr>
            <w:r>
              <w:rPr>
                <w:rFonts w:ascii="Times New Roman" w:eastAsia="仿宋"/>
                <w:szCs w:val="21"/>
              </w:rPr>
              <w:t>夜间</w:t>
            </w:r>
          </w:p>
        </w:tc>
        <w:tc>
          <w:tcPr>
            <w:tcW w:w="390" w:type="pct"/>
            <w:vAlign w:val="center"/>
          </w:tcPr>
          <w:p w14:paraId="28610D65">
            <w:pPr>
              <w:jc w:val="center"/>
              <w:rPr>
                <w:rFonts w:ascii="Times New Roman" w:eastAsia="仿宋"/>
                <w:szCs w:val="21"/>
              </w:rPr>
            </w:pPr>
            <w:r>
              <w:rPr>
                <w:rFonts w:ascii="Times New Roman" w:eastAsia="仿宋"/>
                <w:szCs w:val="21"/>
              </w:rPr>
              <w:t>昼间</w:t>
            </w:r>
          </w:p>
        </w:tc>
        <w:tc>
          <w:tcPr>
            <w:tcW w:w="456" w:type="pct"/>
            <w:noWrap/>
            <w:vAlign w:val="center"/>
          </w:tcPr>
          <w:p w14:paraId="3D77DEC4">
            <w:pPr>
              <w:jc w:val="center"/>
              <w:rPr>
                <w:rFonts w:ascii="Times New Roman" w:eastAsia="仿宋"/>
                <w:szCs w:val="21"/>
              </w:rPr>
            </w:pPr>
            <w:r>
              <w:rPr>
                <w:rFonts w:ascii="Times New Roman" w:eastAsia="仿宋"/>
                <w:szCs w:val="21"/>
              </w:rPr>
              <w:t>夜间</w:t>
            </w:r>
          </w:p>
        </w:tc>
      </w:tr>
      <w:tr w14:paraId="469B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4" w:type="pct"/>
            <w:vAlign w:val="center"/>
          </w:tcPr>
          <w:p w14:paraId="1A896421">
            <w:pPr>
              <w:jc w:val="center"/>
              <w:rPr>
                <w:rFonts w:ascii="Times New Roman" w:eastAsia="仿宋"/>
                <w:szCs w:val="21"/>
              </w:rPr>
            </w:pPr>
            <w:r>
              <w:rPr>
                <w:rFonts w:ascii="Times New Roman" w:eastAsia="仿宋"/>
                <w:szCs w:val="21"/>
              </w:rPr>
              <w:t>东厂界(N1)</w:t>
            </w:r>
          </w:p>
        </w:tc>
        <w:tc>
          <w:tcPr>
            <w:tcW w:w="596" w:type="pct"/>
            <w:vAlign w:val="center"/>
          </w:tcPr>
          <w:p w14:paraId="5A8BEEB3">
            <w:pPr>
              <w:jc w:val="center"/>
              <w:rPr>
                <w:rFonts w:ascii="Times New Roman" w:eastAsia="仿宋"/>
                <w:szCs w:val="21"/>
              </w:rPr>
            </w:pPr>
            <w:r>
              <w:rPr>
                <w:rFonts w:ascii="Times New Roman" w:eastAsia="仿宋"/>
                <w:szCs w:val="21"/>
              </w:rPr>
              <w:t>56</w:t>
            </w:r>
          </w:p>
        </w:tc>
        <w:tc>
          <w:tcPr>
            <w:tcW w:w="670" w:type="pct"/>
            <w:vAlign w:val="center"/>
          </w:tcPr>
          <w:p w14:paraId="087CF2C5">
            <w:pPr>
              <w:jc w:val="center"/>
              <w:rPr>
                <w:rFonts w:ascii="Times New Roman" w:eastAsia="仿宋"/>
                <w:szCs w:val="21"/>
              </w:rPr>
            </w:pPr>
            <w:r>
              <w:rPr>
                <w:rFonts w:ascii="Times New Roman" w:eastAsia="仿宋"/>
                <w:szCs w:val="21"/>
              </w:rPr>
              <w:t>47</w:t>
            </w:r>
          </w:p>
        </w:tc>
        <w:tc>
          <w:tcPr>
            <w:tcW w:w="621" w:type="pct"/>
            <w:vAlign w:val="center"/>
          </w:tcPr>
          <w:p w14:paraId="5134B9F6">
            <w:pPr>
              <w:jc w:val="center"/>
              <w:rPr>
                <w:rFonts w:ascii="Times New Roman" w:eastAsia="仿宋"/>
                <w:szCs w:val="21"/>
              </w:rPr>
            </w:pPr>
            <w:r>
              <w:rPr>
                <w:rFonts w:ascii="Times New Roman" w:eastAsia="仿宋"/>
                <w:szCs w:val="21"/>
              </w:rPr>
              <w:t>54</w:t>
            </w:r>
          </w:p>
        </w:tc>
        <w:tc>
          <w:tcPr>
            <w:tcW w:w="609" w:type="pct"/>
            <w:vAlign w:val="center"/>
          </w:tcPr>
          <w:p w14:paraId="33BA9DFF">
            <w:pPr>
              <w:jc w:val="center"/>
              <w:rPr>
                <w:rFonts w:ascii="Times New Roman" w:eastAsia="仿宋"/>
                <w:szCs w:val="21"/>
              </w:rPr>
            </w:pPr>
            <w:r>
              <w:rPr>
                <w:rFonts w:ascii="Times New Roman" w:eastAsia="仿宋"/>
                <w:szCs w:val="21"/>
              </w:rPr>
              <w:t>47</w:t>
            </w:r>
          </w:p>
        </w:tc>
        <w:tc>
          <w:tcPr>
            <w:tcW w:w="383" w:type="pct"/>
            <w:noWrap/>
            <w:vAlign w:val="center"/>
          </w:tcPr>
          <w:p w14:paraId="50A08B66">
            <w:pPr>
              <w:jc w:val="center"/>
              <w:rPr>
                <w:rFonts w:ascii="Times New Roman" w:eastAsia="仿宋"/>
                <w:szCs w:val="21"/>
              </w:rPr>
            </w:pPr>
            <w:r>
              <w:rPr>
                <w:rFonts w:ascii="Times New Roman" w:eastAsia="仿宋"/>
                <w:szCs w:val="21"/>
              </w:rPr>
              <w:t>65</w:t>
            </w:r>
          </w:p>
        </w:tc>
        <w:tc>
          <w:tcPr>
            <w:tcW w:w="471" w:type="pct"/>
            <w:noWrap/>
            <w:vAlign w:val="center"/>
          </w:tcPr>
          <w:p w14:paraId="09DC2ED5">
            <w:pPr>
              <w:jc w:val="center"/>
              <w:rPr>
                <w:rFonts w:ascii="Times New Roman" w:eastAsia="仿宋"/>
                <w:szCs w:val="21"/>
              </w:rPr>
            </w:pPr>
            <w:r>
              <w:rPr>
                <w:rFonts w:ascii="Times New Roman" w:eastAsia="仿宋"/>
                <w:szCs w:val="21"/>
              </w:rPr>
              <w:t>55</w:t>
            </w:r>
          </w:p>
        </w:tc>
        <w:tc>
          <w:tcPr>
            <w:tcW w:w="390" w:type="pct"/>
            <w:noWrap/>
            <w:vAlign w:val="center"/>
          </w:tcPr>
          <w:p w14:paraId="7F8CBDBB">
            <w:pPr>
              <w:jc w:val="center"/>
              <w:rPr>
                <w:rFonts w:ascii="Times New Roman" w:eastAsia="仿宋"/>
              </w:rPr>
            </w:pPr>
            <w:r>
              <w:rPr>
                <w:rFonts w:ascii="Times New Roman" w:eastAsia="仿宋"/>
                <w:szCs w:val="21"/>
              </w:rPr>
              <w:t>达标</w:t>
            </w:r>
          </w:p>
        </w:tc>
        <w:tc>
          <w:tcPr>
            <w:tcW w:w="456" w:type="pct"/>
            <w:noWrap/>
            <w:vAlign w:val="center"/>
          </w:tcPr>
          <w:p w14:paraId="57AE0D9B">
            <w:pPr>
              <w:jc w:val="center"/>
              <w:rPr>
                <w:rFonts w:ascii="Times New Roman" w:eastAsia="仿宋"/>
              </w:rPr>
            </w:pPr>
            <w:r>
              <w:rPr>
                <w:rFonts w:ascii="Times New Roman" w:eastAsia="仿宋"/>
                <w:szCs w:val="21"/>
              </w:rPr>
              <w:t>达标</w:t>
            </w:r>
          </w:p>
        </w:tc>
      </w:tr>
      <w:tr w14:paraId="663F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4" w:type="pct"/>
            <w:vAlign w:val="center"/>
          </w:tcPr>
          <w:p w14:paraId="56FE9C45">
            <w:pPr>
              <w:jc w:val="center"/>
              <w:rPr>
                <w:rFonts w:ascii="Times New Roman" w:eastAsia="仿宋"/>
                <w:szCs w:val="21"/>
              </w:rPr>
            </w:pPr>
            <w:r>
              <w:rPr>
                <w:rFonts w:ascii="Times New Roman" w:eastAsia="仿宋"/>
                <w:szCs w:val="21"/>
              </w:rPr>
              <w:t>南厂界(N2)</w:t>
            </w:r>
          </w:p>
        </w:tc>
        <w:tc>
          <w:tcPr>
            <w:tcW w:w="596" w:type="pct"/>
            <w:vAlign w:val="center"/>
          </w:tcPr>
          <w:p w14:paraId="415930DC">
            <w:pPr>
              <w:jc w:val="center"/>
              <w:rPr>
                <w:rFonts w:ascii="Times New Roman" w:eastAsia="仿宋"/>
                <w:szCs w:val="21"/>
              </w:rPr>
            </w:pPr>
            <w:r>
              <w:rPr>
                <w:rFonts w:hint="eastAsia" w:ascii="Times New Roman" w:eastAsia="仿宋"/>
                <w:szCs w:val="21"/>
              </w:rPr>
              <w:t>5</w:t>
            </w:r>
            <w:r>
              <w:rPr>
                <w:rFonts w:ascii="Times New Roman" w:eastAsia="仿宋"/>
                <w:szCs w:val="21"/>
              </w:rPr>
              <w:t>4</w:t>
            </w:r>
          </w:p>
        </w:tc>
        <w:tc>
          <w:tcPr>
            <w:tcW w:w="670" w:type="pct"/>
            <w:vAlign w:val="center"/>
          </w:tcPr>
          <w:p w14:paraId="5A4D04C0">
            <w:pPr>
              <w:jc w:val="center"/>
              <w:rPr>
                <w:rFonts w:ascii="Times New Roman" w:eastAsia="仿宋"/>
                <w:szCs w:val="21"/>
              </w:rPr>
            </w:pPr>
            <w:r>
              <w:rPr>
                <w:rFonts w:ascii="Times New Roman" w:eastAsia="仿宋"/>
                <w:szCs w:val="21"/>
              </w:rPr>
              <w:t>54</w:t>
            </w:r>
          </w:p>
        </w:tc>
        <w:tc>
          <w:tcPr>
            <w:tcW w:w="621" w:type="pct"/>
            <w:vAlign w:val="center"/>
          </w:tcPr>
          <w:p w14:paraId="0EBBDC6D">
            <w:pPr>
              <w:jc w:val="center"/>
              <w:rPr>
                <w:rFonts w:ascii="Times New Roman" w:eastAsia="仿宋"/>
                <w:szCs w:val="21"/>
              </w:rPr>
            </w:pPr>
            <w:r>
              <w:rPr>
                <w:rFonts w:hint="eastAsia" w:ascii="Times New Roman" w:eastAsia="仿宋"/>
                <w:szCs w:val="21"/>
              </w:rPr>
              <w:t>5</w:t>
            </w:r>
            <w:r>
              <w:rPr>
                <w:rFonts w:ascii="Times New Roman" w:eastAsia="仿宋"/>
                <w:szCs w:val="21"/>
              </w:rPr>
              <w:t>0</w:t>
            </w:r>
          </w:p>
        </w:tc>
        <w:tc>
          <w:tcPr>
            <w:tcW w:w="609" w:type="pct"/>
            <w:vAlign w:val="center"/>
          </w:tcPr>
          <w:p w14:paraId="7D8F7E8B">
            <w:pPr>
              <w:jc w:val="center"/>
              <w:rPr>
                <w:rFonts w:ascii="Times New Roman" w:eastAsia="仿宋"/>
                <w:szCs w:val="21"/>
              </w:rPr>
            </w:pPr>
            <w:r>
              <w:rPr>
                <w:rFonts w:ascii="Times New Roman" w:eastAsia="仿宋"/>
                <w:szCs w:val="21"/>
              </w:rPr>
              <w:t>51</w:t>
            </w:r>
          </w:p>
        </w:tc>
        <w:tc>
          <w:tcPr>
            <w:tcW w:w="383" w:type="pct"/>
            <w:noWrap/>
            <w:vAlign w:val="center"/>
          </w:tcPr>
          <w:p w14:paraId="102F0FDC">
            <w:pPr>
              <w:jc w:val="center"/>
              <w:rPr>
                <w:rFonts w:ascii="Times New Roman" w:eastAsia="仿宋"/>
                <w:szCs w:val="21"/>
              </w:rPr>
            </w:pPr>
            <w:r>
              <w:rPr>
                <w:rFonts w:ascii="Times New Roman" w:eastAsia="仿宋"/>
                <w:szCs w:val="21"/>
              </w:rPr>
              <w:t>65</w:t>
            </w:r>
          </w:p>
        </w:tc>
        <w:tc>
          <w:tcPr>
            <w:tcW w:w="471" w:type="pct"/>
            <w:noWrap/>
            <w:vAlign w:val="center"/>
          </w:tcPr>
          <w:p w14:paraId="417AC85F">
            <w:pPr>
              <w:jc w:val="center"/>
              <w:rPr>
                <w:rFonts w:ascii="Times New Roman" w:eastAsia="仿宋"/>
                <w:szCs w:val="21"/>
              </w:rPr>
            </w:pPr>
            <w:r>
              <w:rPr>
                <w:rFonts w:ascii="Times New Roman" w:eastAsia="仿宋"/>
                <w:szCs w:val="21"/>
              </w:rPr>
              <w:t>55</w:t>
            </w:r>
          </w:p>
        </w:tc>
        <w:tc>
          <w:tcPr>
            <w:tcW w:w="390" w:type="pct"/>
            <w:noWrap/>
            <w:vAlign w:val="center"/>
          </w:tcPr>
          <w:p w14:paraId="27321CC3">
            <w:pPr>
              <w:jc w:val="center"/>
              <w:rPr>
                <w:rFonts w:ascii="Times New Roman" w:eastAsia="仿宋"/>
                <w:szCs w:val="21"/>
              </w:rPr>
            </w:pPr>
            <w:r>
              <w:rPr>
                <w:rFonts w:ascii="Times New Roman" w:eastAsia="仿宋"/>
                <w:szCs w:val="21"/>
              </w:rPr>
              <w:t>达标</w:t>
            </w:r>
          </w:p>
        </w:tc>
        <w:tc>
          <w:tcPr>
            <w:tcW w:w="456" w:type="pct"/>
            <w:noWrap/>
            <w:vAlign w:val="center"/>
          </w:tcPr>
          <w:p w14:paraId="47839627">
            <w:pPr>
              <w:jc w:val="center"/>
              <w:rPr>
                <w:rFonts w:ascii="Times New Roman" w:eastAsia="仿宋"/>
                <w:szCs w:val="21"/>
              </w:rPr>
            </w:pPr>
            <w:r>
              <w:rPr>
                <w:rFonts w:ascii="Times New Roman" w:eastAsia="仿宋"/>
                <w:szCs w:val="21"/>
              </w:rPr>
              <w:t>达标</w:t>
            </w:r>
          </w:p>
        </w:tc>
      </w:tr>
      <w:tr w14:paraId="341F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4" w:type="pct"/>
            <w:vAlign w:val="center"/>
          </w:tcPr>
          <w:p w14:paraId="315B9940">
            <w:pPr>
              <w:jc w:val="center"/>
              <w:rPr>
                <w:rFonts w:ascii="Times New Roman" w:eastAsia="仿宋"/>
                <w:szCs w:val="21"/>
              </w:rPr>
            </w:pPr>
            <w:r>
              <w:rPr>
                <w:rFonts w:ascii="Times New Roman" w:eastAsia="仿宋"/>
                <w:szCs w:val="21"/>
              </w:rPr>
              <w:t>西厂界(N3)</w:t>
            </w:r>
          </w:p>
        </w:tc>
        <w:tc>
          <w:tcPr>
            <w:tcW w:w="596" w:type="pct"/>
            <w:vAlign w:val="center"/>
          </w:tcPr>
          <w:p w14:paraId="0C584055">
            <w:pPr>
              <w:jc w:val="center"/>
              <w:rPr>
                <w:rFonts w:ascii="Times New Roman" w:eastAsia="仿宋"/>
                <w:szCs w:val="21"/>
              </w:rPr>
            </w:pPr>
            <w:r>
              <w:rPr>
                <w:rFonts w:ascii="Times New Roman" w:eastAsia="仿宋"/>
                <w:szCs w:val="21"/>
              </w:rPr>
              <w:t>54</w:t>
            </w:r>
          </w:p>
        </w:tc>
        <w:tc>
          <w:tcPr>
            <w:tcW w:w="670" w:type="pct"/>
            <w:vAlign w:val="center"/>
          </w:tcPr>
          <w:p w14:paraId="6DCCD68C">
            <w:pPr>
              <w:jc w:val="center"/>
              <w:rPr>
                <w:rFonts w:ascii="Times New Roman" w:eastAsia="仿宋"/>
                <w:szCs w:val="21"/>
              </w:rPr>
            </w:pPr>
            <w:r>
              <w:rPr>
                <w:rFonts w:ascii="Times New Roman" w:eastAsia="仿宋"/>
                <w:szCs w:val="21"/>
              </w:rPr>
              <w:t>51</w:t>
            </w:r>
          </w:p>
        </w:tc>
        <w:tc>
          <w:tcPr>
            <w:tcW w:w="621" w:type="pct"/>
            <w:vAlign w:val="center"/>
          </w:tcPr>
          <w:p w14:paraId="7C48D4E3">
            <w:pPr>
              <w:jc w:val="center"/>
              <w:rPr>
                <w:rFonts w:ascii="Times New Roman" w:eastAsia="仿宋"/>
                <w:szCs w:val="21"/>
              </w:rPr>
            </w:pPr>
            <w:r>
              <w:rPr>
                <w:rFonts w:hint="eastAsia" w:ascii="Times New Roman" w:eastAsia="仿宋"/>
                <w:szCs w:val="21"/>
              </w:rPr>
              <w:t>5</w:t>
            </w:r>
            <w:r>
              <w:rPr>
                <w:rFonts w:ascii="Times New Roman" w:eastAsia="仿宋"/>
                <w:szCs w:val="21"/>
              </w:rPr>
              <w:t>2</w:t>
            </w:r>
          </w:p>
        </w:tc>
        <w:tc>
          <w:tcPr>
            <w:tcW w:w="609" w:type="pct"/>
            <w:vAlign w:val="center"/>
          </w:tcPr>
          <w:p w14:paraId="54983868">
            <w:pPr>
              <w:jc w:val="center"/>
              <w:rPr>
                <w:rFonts w:ascii="Times New Roman" w:eastAsia="仿宋"/>
                <w:szCs w:val="21"/>
              </w:rPr>
            </w:pPr>
            <w:r>
              <w:rPr>
                <w:rFonts w:ascii="Times New Roman" w:eastAsia="仿宋"/>
                <w:szCs w:val="21"/>
              </w:rPr>
              <w:t>51</w:t>
            </w:r>
          </w:p>
        </w:tc>
        <w:tc>
          <w:tcPr>
            <w:tcW w:w="383" w:type="pct"/>
            <w:noWrap/>
            <w:vAlign w:val="center"/>
          </w:tcPr>
          <w:p w14:paraId="1CF58F1D">
            <w:pPr>
              <w:jc w:val="center"/>
              <w:rPr>
                <w:rFonts w:ascii="Times New Roman" w:eastAsia="仿宋"/>
                <w:szCs w:val="21"/>
              </w:rPr>
            </w:pPr>
            <w:r>
              <w:rPr>
                <w:rFonts w:ascii="Times New Roman" w:eastAsia="仿宋"/>
                <w:szCs w:val="21"/>
              </w:rPr>
              <w:t>65</w:t>
            </w:r>
          </w:p>
        </w:tc>
        <w:tc>
          <w:tcPr>
            <w:tcW w:w="471" w:type="pct"/>
            <w:noWrap/>
            <w:vAlign w:val="center"/>
          </w:tcPr>
          <w:p w14:paraId="3DA11173">
            <w:pPr>
              <w:jc w:val="center"/>
              <w:rPr>
                <w:rFonts w:ascii="Times New Roman" w:eastAsia="仿宋"/>
                <w:szCs w:val="21"/>
              </w:rPr>
            </w:pPr>
            <w:r>
              <w:rPr>
                <w:rFonts w:ascii="Times New Roman" w:eastAsia="仿宋"/>
                <w:szCs w:val="21"/>
              </w:rPr>
              <w:t>55</w:t>
            </w:r>
          </w:p>
        </w:tc>
        <w:tc>
          <w:tcPr>
            <w:tcW w:w="390" w:type="pct"/>
            <w:noWrap/>
            <w:vAlign w:val="center"/>
          </w:tcPr>
          <w:p w14:paraId="6A295D1C">
            <w:pPr>
              <w:jc w:val="center"/>
              <w:rPr>
                <w:rFonts w:ascii="Times New Roman" w:eastAsia="仿宋"/>
                <w:szCs w:val="21"/>
              </w:rPr>
            </w:pPr>
            <w:r>
              <w:rPr>
                <w:rFonts w:ascii="Times New Roman" w:eastAsia="仿宋"/>
                <w:szCs w:val="21"/>
              </w:rPr>
              <w:t>达标</w:t>
            </w:r>
          </w:p>
        </w:tc>
        <w:tc>
          <w:tcPr>
            <w:tcW w:w="456" w:type="pct"/>
            <w:noWrap/>
            <w:vAlign w:val="center"/>
          </w:tcPr>
          <w:p w14:paraId="15A5B4D7">
            <w:pPr>
              <w:jc w:val="center"/>
              <w:rPr>
                <w:rFonts w:ascii="Times New Roman" w:eastAsia="仿宋"/>
                <w:szCs w:val="21"/>
              </w:rPr>
            </w:pPr>
            <w:r>
              <w:rPr>
                <w:rFonts w:ascii="Times New Roman" w:eastAsia="仿宋"/>
                <w:szCs w:val="21"/>
              </w:rPr>
              <w:t>达标</w:t>
            </w:r>
          </w:p>
        </w:tc>
      </w:tr>
      <w:tr w14:paraId="604D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04" w:type="pct"/>
            <w:vAlign w:val="center"/>
          </w:tcPr>
          <w:p w14:paraId="79D7FCE2">
            <w:pPr>
              <w:jc w:val="center"/>
              <w:rPr>
                <w:rFonts w:ascii="Times New Roman" w:eastAsia="仿宋"/>
                <w:szCs w:val="21"/>
              </w:rPr>
            </w:pPr>
            <w:r>
              <w:rPr>
                <w:rFonts w:ascii="Times New Roman" w:eastAsia="仿宋"/>
                <w:szCs w:val="21"/>
              </w:rPr>
              <w:t>北厂界(N4)</w:t>
            </w:r>
          </w:p>
        </w:tc>
        <w:tc>
          <w:tcPr>
            <w:tcW w:w="596" w:type="pct"/>
            <w:vAlign w:val="center"/>
          </w:tcPr>
          <w:p w14:paraId="038D2044">
            <w:pPr>
              <w:jc w:val="center"/>
              <w:rPr>
                <w:rFonts w:ascii="Times New Roman" w:eastAsia="仿宋"/>
                <w:szCs w:val="21"/>
              </w:rPr>
            </w:pPr>
            <w:r>
              <w:rPr>
                <w:rFonts w:ascii="Times New Roman" w:eastAsia="仿宋"/>
                <w:szCs w:val="21"/>
              </w:rPr>
              <w:t>60</w:t>
            </w:r>
          </w:p>
        </w:tc>
        <w:tc>
          <w:tcPr>
            <w:tcW w:w="670" w:type="pct"/>
            <w:vAlign w:val="center"/>
          </w:tcPr>
          <w:p w14:paraId="1CDF5FDA">
            <w:pPr>
              <w:jc w:val="center"/>
              <w:rPr>
                <w:rFonts w:ascii="Times New Roman" w:eastAsia="仿宋"/>
                <w:szCs w:val="21"/>
              </w:rPr>
            </w:pPr>
            <w:r>
              <w:rPr>
                <w:rFonts w:ascii="Times New Roman" w:eastAsia="仿宋"/>
                <w:szCs w:val="21"/>
              </w:rPr>
              <w:t>55</w:t>
            </w:r>
          </w:p>
        </w:tc>
        <w:tc>
          <w:tcPr>
            <w:tcW w:w="621" w:type="pct"/>
            <w:vAlign w:val="center"/>
          </w:tcPr>
          <w:p w14:paraId="2F32F92C">
            <w:pPr>
              <w:jc w:val="center"/>
              <w:rPr>
                <w:rFonts w:ascii="Times New Roman" w:eastAsia="仿宋"/>
                <w:szCs w:val="21"/>
              </w:rPr>
            </w:pPr>
            <w:r>
              <w:rPr>
                <w:rFonts w:ascii="Times New Roman" w:eastAsia="仿宋"/>
                <w:szCs w:val="21"/>
              </w:rPr>
              <w:t>60</w:t>
            </w:r>
          </w:p>
        </w:tc>
        <w:tc>
          <w:tcPr>
            <w:tcW w:w="609" w:type="pct"/>
            <w:vAlign w:val="center"/>
          </w:tcPr>
          <w:p w14:paraId="466AFADA">
            <w:pPr>
              <w:jc w:val="center"/>
              <w:rPr>
                <w:rFonts w:ascii="Times New Roman" w:eastAsia="仿宋"/>
                <w:szCs w:val="21"/>
              </w:rPr>
            </w:pPr>
            <w:r>
              <w:rPr>
                <w:rFonts w:ascii="Times New Roman" w:eastAsia="仿宋"/>
                <w:szCs w:val="21"/>
              </w:rPr>
              <w:t>50</w:t>
            </w:r>
          </w:p>
        </w:tc>
        <w:tc>
          <w:tcPr>
            <w:tcW w:w="383" w:type="pct"/>
            <w:noWrap/>
            <w:vAlign w:val="center"/>
          </w:tcPr>
          <w:p w14:paraId="0854499C">
            <w:pPr>
              <w:jc w:val="center"/>
              <w:rPr>
                <w:rFonts w:ascii="Times New Roman" w:eastAsia="仿宋"/>
                <w:szCs w:val="21"/>
              </w:rPr>
            </w:pPr>
            <w:r>
              <w:rPr>
                <w:rFonts w:hint="eastAsia" w:ascii="Times New Roman" w:eastAsia="仿宋"/>
                <w:szCs w:val="21"/>
              </w:rPr>
              <w:t>65</w:t>
            </w:r>
          </w:p>
        </w:tc>
        <w:tc>
          <w:tcPr>
            <w:tcW w:w="471" w:type="pct"/>
            <w:noWrap/>
            <w:vAlign w:val="center"/>
          </w:tcPr>
          <w:p w14:paraId="62956450">
            <w:pPr>
              <w:jc w:val="center"/>
              <w:rPr>
                <w:rFonts w:ascii="Times New Roman" w:eastAsia="仿宋"/>
                <w:szCs w:val="21"/>
              </w:rPr>
            </w:pPr>
            <w:r>
              <w:rPr>
                <w:rFonts w:ascii="Times New Roman" w:eastAsia="仿宋"/>
                <w:szCs w:val="21"/>
              </w:rPr>
              <w:t>55</w:t>
            </w:r>
          </w:p>
        </w:tc>
        <w:tc>
          <w:tcPr>
            <w:tcW w:w="390" w:type="pct"/>
            <w:noWrap/>
            <w:vAlign w:val="center"/>
          </w:tcPr>
          <w:p w14:paraId="0F1625B4">
            <w:pPr>
              <w:jc w:val="center"/>
              <w:rPr>
                <w:rFonts w:ascii="Times New Roman" w:eastAsia="仿宋"/>
                <w:szCs w:val="21"/>
              </w:rPr>
            </w:pPr>
            <w:r>
              <w:rPr>
                <w:rFonts w:ascii="Times New Roman" w:eastAsia="仿宋"/>
                <w:szCs w:val="21"/>
              </w:rPr>
              <w:t>达标</w:t>
            </w:r>
          </w:p>
        </w:tc>
        <w:tc>
          <w:tcPr>
            <w:tcW w:w="456" w:type="pct"/>
            <w:noWrap/>
            <w:vAlign w:val="center"/>
          </w:tcPr>
          <w:p w14:paraId="01F4B697">
            <w:pPr>
              <w:jc w:val="center"/>
              <w:rPr>
                <w:rFonts w:ascii="Times New Roman" w:eastAsia="仿宋"/>
                <w:szCs w:val="21"/>
              </w:rPr>
            </w:pPr>
            <w:r>
              <w:rPr>
                <w:rFonts w:ascii="Times New Roman" w:eastAsia="仿宋"/>
                <w:szCs w:val="21"/>
              </w:rPr>
              <w:t>达标</w:t>
            </w:r>
          </w:p>
        </w:tc>
      </w:tr>
    </w:tbl>
    <w:p w14:paraId="59989564">
      <w:pPr>
        <w:spacing w:line="500" w:lineRule="exact"/>
        <w:ind w:firstLine="560" w:firstLineChars="200"/>
        <w:rPr>
          <w:rFonts w:ascii="Times New Roman" w:eastAsia="仿宋"/>
          <w:sz w:val="28"/>
          <w:szCs w:val="28"/>
        </w:rPr>
      </w:pPr>
      <w:r>
        <w:rPr>
          <w:rFonts w:ascii="Times New Roman" w:eastAsia="仿宋"/>
          <w:sz w:val="28"/>
        </w:rPr>
        <w:t>由上表可知，项目所在地东、南、西</w:t>
      </w:r>
      <w:r>
        <w:rPr>
          <w:rFonts w:hint="eastAsia" w:ascii="Times New Roman" w:eastAsia="仿宋"/>
          <w:sz w:val="28"/>
        </w:rPr>
        <w:t>、北</w:t>
      </w:r>
      <w:r>
        <w:rPr>
          <w:rFonts w:ascii="Times New Roman" w:eastAsia="仿宋"/>
          <w:sz w:val="28"/>
        </w:rPr>
        <w:t>厂界昼、夜间噪声均符合《声环境质量标准》（GB3096-2008）中3类区域标准。</w:t>
      </w:r>
    </w:p>
    <w:p w14:paraId="74B22684">
      <w:pPr>
        <w:pStyle w:val="6"/>
        <w:keepLines w:val="0"/>
        <w:tabs>
          <w:tab w:val="left" w:pos="709"/>
        </w:tabs>
        <w:spacing w:before="120" w:beforeLines="50" w:after="120" w:afterLines="50" w:line="500" w:lineRule="exact"/>
        <w:rPr>
          <w:rFonts w:ascii="Times New Roman" w:eastAsia="仿宋"/>
          <w:sz w:val="30"/>
          <w:szCs w:val="30"/>
        </w:rPr>
      </w:pPr>
      <w:bookmarkStart w:id="304" w:name="_Toc304838113"/>
      <w:r>
        <w:rPr>
          <w:rFonts w:hint="eastAsia" w:ascii="Times New Roman" w:eastAsia="仿宋"/>
          <w:sz w:val="30"/>
          <w:szCs w:val="30"/>
        </w:rPr>
        <w:t>4</w:t>
      </w:r>
      <w:r>
        <w:rPr>
          <w:rFonts w:ascii="Times New Roman" w:eastAsia="仿宋"/>
          <w:sz w:val="30"/>
          <w:szCs w:val="30"/>
        </w:rPr>
        <w:t>.2.4地下水环境质量监测与</w:t>
      </w:r>
      <w:bookmarkEnd w:id="304"/>
      <w:r>
        <w:rPr>
          <w:rFonts w:ascii="Times New Roman" w:eastAsia="仿宋"/>
          <w:sz w:val="30"/>
          <w:szCs w:val="30"/>
        </w:rPr>
        <w:t>评价</w:t>
      </w:r>
    </w:p>
    <w:p w14:paraId="4066B295">
      <w:pPr>
        <w:pStyle w:val="7"/>
        <w:widowControl/>
        <w:tabs>
          <w:tab w:val="center" w:pos="4025"/>
        </w:tabs>
        <w:jc w:val="left"/>
        <w:rPr>
          <w:rFonts w:ascii="Times New Roman" w:hAnsi="Times New Roman" w:eastAsia="仿宋"/>
          <w:b/>
          <w:bCs w:val="0"/>
        </w:rPr>
      </w:pPr>
      <w:r>
        <w:rPr>
          <w:rFonts w:ascii="Times New Roman" w:hAnsi="Times New Roman" w:eastAsia="仿宋"/>
          <w:b/>
          <w:bCs w:val="0"/>
        </w:rPr>
        <w:t>4.2.4.1地下水环境现状监测</w:t>
      </w:r>
    </w:p>
    <w:p w14:paraId="7874E572">
      <w:pPr>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监测点位</w:t>
      </w:r>
    </w:p>
    <w:p w14:paraId="0BF38598">
      <w:pPr>
        <w:spacing w:line="500" w:lineRule="exact"/>
        <w:ind w:firstLine="560" w:firstLineChars="200"/>
        <w:rPr>
          <w:rFonts w:ascii="Times New Roman" w:eastAsia="仿宋"/>
          <w:sz w:val="28"/>
        </w:rPr>
      </w:pPr>
      <w:r>
        <w:rPr>
          <w:rFonts w:ascii="Times New Roman" w:eastAsia="仿宋"/>
          <w:sz w:val="28"/>
        </w:rPr>
        <w:t>本项目地下水</w:t>
      </w:r>
      <w:r>
        <w:rPr>
          <w:rFonts w:ascii="Times New Roman" w:eastAsia="仿宋"/>
          <w:sz w:val="28"/>
          <w:szCs w:val="28"/>
        </w:rPr>
        <w:t>布设3个地下水水质监测点（项目所在地、</w:t>
      </w:r>
      <w:r>
        <w:rPr>
          <w:rFonts w:hint="eastAsia" w:ascii="Times New Roman" w:eastAsia="仿宋"/>
          <w:sz w:val="28"/>
          <w:szCs w:val="28"/>
        </w:rPr>
        <w:t>杨桥、庄基村</w:t>
      </w:r>
      <w:r>
        <w:rPr>
          <w:rFonts w:ascii="Times New Roman" w:eastAsia="仿宋"/>
          <w:sz w:val="28"/>
          <w:szCs w:val="28"/>
        </w:rPr>
        <w:t>）和6个地下水</w:t>
      </w:r>
      <w:r>
        <w:rPr>
          <w:rFonts w:ascii="Times New Roman" w:eastAsia="仿宋"/>
          <w:sz w:val="28"/>
        </w:rPr>
        <w:t>水位监测</w:t>
      </w:r>
      <w:r>
        <w:rPr>
          <w:rFonts w:ascii="Times New Roman" w:eastAsia="仿宋"/>
          <w:sz w:val="28"/>
          <w:szCs w:val="28"/>
        </w:rPr>
        <w:t>点（项目所在地（</w:t>
      </w:r>
      <w:r>
        <w:rPr>
          <w:rFonts w:hint="eastAsia" w:ascii="Times New Roman" w:eastAsia="仿宋"/>
          <w:sz w:val="28"/>
          <w:szCs w:val="28"/>
        </w:rPr>
        <w:t>D1</w:t>
      </w:r>
      <w:r>
        <w:rPr>
          <w:rFonts w:ascii="Times New Roman" w:eastAsia="仿宋"/>
          <w:sz w:val="28"/>
          <w:szCs w:val="28"/>
        </w:rPr>
        <w:t>）、</w:t>
      </w:r>
      <w:r>
        <w:rPr>
          <w:rFonts w:hint="eastAsia" w:ascii="Times New Roman" w:eastAsia="仿宋"/>
          <w:sz w:val="28"/>
          <w:szCs w:val="28"/>
        </w:rPr>
        <w:t>杨桥(</w:t>
      </w:r>
      <w:r>
        <w:rPr>
          <w:rFonts w:ascii="Times New Roman" w:eastAsia="仿宋"/>
          <w:sz w:val="28"/>
          <w:szCs w:val="28"/>
        </w:rPr>
        <w:t>D2</w:t>
      </w:r>
      <w:r>
        <w:rPr>
          <w:rFonts w:hint="eastAsia" w:ascii="Times New Roman" w:eastAsia="仿宋"/>
          <w:sz w:val="28"/>
          <w:szCs w:val="28"/>
        </w:rPr>
        <w:t>)</w:t>
      </w:r>
      <w:r>
        <w:rPr>
          <w:rFonts w:ascii="Times New Roman" w:eastAsia="仿宋"/>
          <w:sz w:val="28"/>
          <w:szCs w:val="28"/>
        </w:rPr>
        <w:t>、</w:t>
      </w:r>
      <w:r>
        <w:rPr>
          <w:rFonts w:hint="eastAsia" w:ascii="Times New Roman" w:eastAsia="仿宋"/>
          <w:sz w:val="28"/>
          <w:szCs w:val="28"/>
        </w:rPr>
        <w:t>庄基村(</w:t>
      </w:r>
      <w:r>
        <w:rPr>
          <w:rFonts w:ascii="Times New Roman" w:eastAsia="仿宋"/>
          <w:sz w:val="28"/>
          <w:szCs w:val="28"/>
        </w:rPr>
        <w:t>D3</w:t>
      </w:r>
      <w:r>
        <w:rPr>
          <w:rFonts w:hint="eastAsia" w:ascii="Times New Roman" w:eastAsia="仿宋"/>
          <w:sz w:val="28"/>
          <w:szCs w:val="28"/>
        </w:rPr>
        <w:t>)</w:t>
      </w:r>
      <w:r>
        <w:rPr>
          <w:rFonts w:ascii="Times New Roman" w:eastAsia="仿宋"/>
          <w:sz w:val="28"/>
          <w:szCs w:val="28"/>
        </w:rPr>
        <w:t>、</w:t>
      </w:r>
      <w:r>
        <w:rPr>
          <w:rFonts w:hint="eastAsia" w:eastAsia="仿宋_GB2312"/>
          <w:sz w:val="28"/>
          <w:szCs w:val="28"/>
        </w:rPr>
        <w:t>龙溪新村</w:t>
      </w:r>
      <w:r>
        <w:rPr>
          <w:rFonts w:hint="eastAsia" w:ascii="Times New Roman" w:eastAsia="仿宋"/>
          <w:sz w:val="28"/>
          <w:szCs w:val="28"/>
        </w:rPr>
        <w:t>(</w:t>
      </w:r>
      <w:r>
        <w:rPr>
          <w:rFonts w:ascii="Times New Roman" w:eastAsia="仿宋"/>
          <w:sz w:val="28"/>
          <w:szCs w:val="28"/>
        </w:rPr>
        <w:t>D4</w:t>
      </w:r>
      <w:r>
        <w:rPr>
          <w:rFonts w:hint="eastAsia" w:ascii="Times New Roman" w:eastAsia="仿宋"/>
          <w:sz w:val="28"/>
          <w:szCs w:val="28"/>
        </w:rPr>
        <w:t>)</w:t>
      </w:r>
      <w:r>
        <w:rPr>
          <w:rFonts w:ascii="Times New Roman" w:eastAsia="仿宋"/>
          <w:sz w:val="28"/>
          <w:szCs w:val="28"/>
        </w:rPr>
        <w:t>、</w:t>
      </w:r>
      <w:r>
        <w:rPr>
          <w:rFonts w:hint="eastAsia" w:eastAsia="仿宋_GB2312"/>
          <w:sz w:val="28"/>
          <w:szCs w:val="28"/>
        </w:rPr>
        <w:t>东龙背</w:t>
      </w:r>
      <w:r>
        <w:rPr>
          <w:rFonts w:hint="eastAsia" w:ascii="Times New Roman" w:eastAsia="仿宋"/>
          <w:sz w:val="28"/>
          <w:szCs w:val="28"/>
        </w:rPr>
        <w:t>(</w:t>
      </w:r>
      <w:r>
        <w:rPr>
          <w:rFonts w:ascii="Times New Roman" w:eastAsia="仿宋"/>
          <w:sz w:val="28"/>
          <w:szCs w:val="28"/>
        </w:rPr>
        <w:t>D5</w:t>
      </w:r>
      <w:r>
        <w:rPr>
          <w:rFonts w:hint="eastAsia" w:ascii="Times New Roman" w:eastAsia="仿宋"/>
          <w:sz w:val="28"/>
          <w:szCs w:val="28"/>
        </w:rPr>
        <w:t>)</w:t>
      </w:r>
      <w:r>
        <w:rPr>
          <w:rFonts w:ascii="Times New Roman" w:eastAsia="仿宋"/>
          <w:sz w:val="28"/>
          <w:szCs w:val="28"/>
        </w:rPr>
        <w:t>、</w:t>
      </w:r>
      <w:r>
        <w:rPr>
          <w:rFonts w:hint="eastAsia" w:eastAsia="仿宋_GB2312"/>
          <w:sz w:val="28"/>
          <w:szCs w:val="28"/>
        </w:rPr>
        <w:t>西龙背</w:t>
      </w:r>
      <w:r>
        <w:rPr>
          <w:rFonts w:hint="eastAsia" w:ascii="Times New Roman" w:eastAsia="仿宋"/>
          <w:sz w:val="28"/>
          <w:szCs w:val="28"/>
        </w:rPr>
        <w:t>(</w:t>
      </w:r>
      <w:r>
        <w:rPr>
          <w:rFonts w:ascii="Times New Roman" w:eastAsia="仿宋"/>
          <w:sz w:val="28"/>
          <w:szCs w:val="28"/>
        </w:rPr>
        <w:t>D6</w:t>
      </w:r>
      <w:r>
        <w:rPr>
          <w:rFonts w:hint="eastAsia" w:ascii="Times New Roman" w:eastAsia="仿宋"/>
          <w:sz w:val="28"/>
          <w:szCs w:val="28"/>
        </w:rPr>
        <w:t>))</w:t>
      </w:r>
      <w:r>
        <w:rPr>
          <w:rFonts w:ascii="Times New Roman" w:eastAsia="仿宋"/>
          <w:sz w:val="28"/>
          <w:szCs w:val="28"/>
        </w:rPr>
        <w:t>，地下水监测点</w:t>
      </w:r>
      <w:r>
        <w:rPr>
          <w:rFonts w:ascii="Times New Roman" w:eastAsia="仿宋"/>
          <w:sz w:val="28"/>
        </w:rPr>
        <w:t>位布置满足《环境影响评价导则 地下水环境》（HJ 610-2016）对三级评价项目“建设项目场地上游水质监测点不得少于1个点/层，建设项目场地及其下游影响区的地下水质监测点不得少于2个点/层”的要求。地下水环境现状监测点位详见地理位置示意图1.1-1。</w:t>
      </w:r>
    </w:p>
    <w:p w14:paraId="304A8F33">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监测时间、频次</w:t>
      </w:r>
    </w:p>
    <w:p w14:paraId="03F292AD">
      <w:pPr>
        <w:spacing w:line="500" w:lineRule="exact"/>
        <w:ind w:firstLine="482" w:firstLineChars="200"/>
        <w:jc w:val="center"/>
        <w:rPr>
          <w:rFonts w:ascii="Times New Roman" w:eastAsia="仿宋"/>
          <w:b/>
        </w:rPr>
      </w:pPr>
      <w:r>
        <w:rPr>
          <w:rFonts w:ascii="Times New Roman" w:eastAsia="仿宋"/>
          <w:b/>
        </w:rPr>
        <w:t>表4.2-8  地下水监测因子及监测时间一览表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969"/>
        <w:gridCol w:w="5454"/>
        <w:gridCol w:w="2052"/>
      </w:tblGrid>
      <w:tr w14:paraId="2F77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vAlign w:val="center"/>
          </w:tcPr>
          <w:p w14:paraId="29466593">
            <w:pPr>
              <w:adjustRightInd w:val="0"/>
              <w:snapToGrid w:val="0"/>
              <w:spacing w:line="320" w:lineRule="exact"/>
              <w:jc w:val="center"/>
              <w:rPr>
                <w:rFonts w:ascii="Times New Roman" w:eastAsia="仿宋"/>
              </w:rPr>
            </w:pPr>
            <w:r>
              <w:rPr>
                <w:rFonts w:ascii="Times New Roman" w:eastAsia="仿宋"/>
              </w:rPr>
              <w:t>编号</w:t>
            </w:r>
          </w:p>
        </w:tc>
        <w:tc>
          <w:tcPr>
            <w:tcW w:w="524" w:type="pct"/>
            <w:vAlign w:val="center"/>
          </w:tcPr>
          <w:p w14:paraId="5A854B56">
            <w:pPr>
              <w:adjustRightInd w:val="0"/>
              <w:snapToGrid w:val="0"/>
              <w:spacing w:line="320" w:lineRule="exact"/>
              <w:jc w:val="center"/>
              <w:rPr>
                <w:rFonts w:ascii="Times New Roman" w:eastAsia="仿宋"/>
              </w:rPr>
            </w:pPr>
            <w:r>
              <w:rPr>
                <w:rFonts w:ascii="Times New Roman" w:eastAsia="仿宋"/>
              </w:rPr>
              <w:t>位置</w:t>
            </w:r>
          </w:p>
        </w:tc>
        <w:tc>
          <w:tcPr>
            <w:tcW w:w="2950" w:type="pct"/>
            <w:vAlign w:val="center"/>
          </w:tcPr>
          <w:p w14:paraId="7E8A12BE">
            <w:pPr>
              <w:adjustRightInd w:val="0"/>
              <w:snapToGrid w:val="0"/>
              <w:spacing w:line="320" w:lineRule="exact"/>
              <w:jc w:val="center"/>
              <w:rPr>
                <w:rFonts w:ascii="Times New Roman" w:eastAsia="仿宋"/>
              </w:rPr>
            </w:pPr>
            <w:r>
              <w:rPr>
                <w:rFonts w:ascii="Times New Roman" w:eastAsia="仿宋"/>
              </w:rPr>
              <w:t>监测项目</w:t>
            </w:r>
          </w:p>
        </w:tc>
        <w:tc>
          <w:tcPr>
            <w:tcW w:w="1110" w:type="pct"/>
            <w:vAlign w:val="center"/>
          </w:tcPr>
          <w:p w14:paraId="1B2EC715">
            <w:pPr>
              <w:adjustRightInd w:val="0"/>
              <w:snapToGrid w:val="0"/>
              <w:spacing w:line="320" w:lineRule="exact"/>
              <w:jc w:val="center"/>
              <w:rPr>
                <w:rFonts w:ascii="Times New Roman" w:eastAsia="仿宋"/>
              </w:rPr>
            </w:pPr>
            <w:r>
              <w:rPr>
                <w:rFonts w:ascii="Times New Roman" w:eastAsia="仿宋"/>
              </w:rPr>
              <w:t>监测时间</w:t>
            </w:r>
          </w:p>
        </w:tc>
      </w:tr>
      <w:tr w14:paraId="0C6E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vAlign w:val="center"/>
          </w:tcPr>
          <w:p w14:paraId="50FC8146">
            <w:pPr>
              <w:adjustRightInd w:val="0"/>
              <w:snapToGrid w:val="0"/>
              <w:spacing w:line="320" w:lineRule="exact"/>
              <w:jc w:val="center"/>
              <w:rPr>
                <w:rFonts w:ascii="Times New Roman" w:eastAsia="仿宋"/>
                <w:szCs w:val="21"/>
              </w:rPr>
            </w:pPr>
            <w:r>
              <w:rPr>
                <w:rFonts w:ascii="Times New Roman" w:eastAsia="仿宋"/>
                <w:szCs w:val="21"/>
              </w:rPr>
              <w:t>D1</w:t>
            </w:r>
          </w:p>
        </w:tc>
        <w:tc>
          <w:tcPr>
            <w:tcW w:w="524" w:type="pct"/>
            <w:vAlign w:val="center"/>
          </w:tcPr>
          <w:p w14:paraId="0CA268D0">
            <w:pPr>
              <w:adjustRightInd w:val="0"/>
              <w:snapToGrid w:val="0"/>
              <w:spacing w:line="320" w:lineRule="exact"/>
              <w:jc w:val="center"/>
              <w:rPr>
                <w:rFonts w:ascii="Times New Roman" w:eastAsia="仿宋"/>
              </w:rPr>
            </w:pPr>
            <w:r>
              <w:rPr>
                <w:rFonts w:ascii="Times New Roman" w:eastAsia="仿宋"/>
              </w:rPr>
              <w:t>项目所在地</w:t>
            </w:r>
          </w:p>
        </w:tc>
        <w:tc>
          <w:tcPr>
            <w:tcW w:w="2950" w:type="pct"/>
            <w:vMerge w:val="restart"/>
            <w:vAlign w:val="center"/>
          </w:tcPr>
          <w:p w14:paraId="18E4AF0F">
            <w:pPr>
              <w:adjustRightInd w:val="0"/>
              <w:snapToGrid w:val="0"/>
              <w:spacing w:line="320" w:lineRule="exact"/>
              <w:jc w:val="center"/>
              <w:rPr>
                <w:rFonts w:ascii="Times New Roman" w:eastAsia="仿宋"/>
                <w:bCs/>
              </w:rPr>
            </w:pPr>
            <w:r>
              <w:rPr>
                <w:rFonts w:ascii="Times New Roman" w:eastAsia="仿宋"/>
                <w:bCs/>
              </w:rPr>
              <w:t>K</w:t>
            </w:r>
            <w:r>
              <w:rPr>
                <w:rFonts w:ascii="Times New Roman" w:eastAsia="仿宋"/>
                <w:bCs/>
                <w:vertAlign w:val="superscript"/>
              </w:rPr>
              <w:t>+</w:t>
            </w:r>
            <w:r>
              <w:rPr>
                <w:rFonts w:ascii="Times New Roman" w:eastAsia="仿宋"/>
                <w:bCs/>
              </w:rPr>
              <w:t>、Na</w:t>
            </w:r>
            <w:r>
              <w:rPr>
                <w:rFonts w:ascii="Times New Roman" w:eastAsia="仿宋"/>
                <w:bCs/>
                <w:vertAlign w:val="superscript"/>
              </w:rPr>
              <w:t>+</w:t>
            </w:r>
            <w:r>
              <w:rPr>
                <w:rFonts w:ascii="Times New Roman" w:eastAsia="仿宋"/>
                <w:bCs/>
              </w:rPr>
              <w:t>、Ca</w:t>
            </w:r>
            <w:r>
              <w:rPr>
                <w:rFonts w:ascii="Times New Roman" w:eastAsia="仿宋"/>
                <w:bCs/>
                <w:vertAlign w:val="superscript"/>
              </w:rPr>
              <w:t>2+</w:t>
            </w:r>
            <w:r>
              <w:rPr>
                <w:rFonts w:ascii="Times New Roman" w:eastAsia="仿宋"/>
                <w:bCs/>
              </w:rPr>
              <w:t>、Mg</w:t>
            </w:r>
            <w:r>
              <w:rPr>
                <w:rFonts w:ascii="Times New Roman" w:eastAsia="仿宋"/>
                <w:bCs/>
                <w:vertAlign w:val="superscript"/>
              </w:rPr>
              <w:t>2+</w:t>
            </w:r>
            <w:r>
              <w:rPr>
                <w:rFonts w:ascii="Times New Roman" w:eastAsia="仿宋"/>
                <w:bCs/>
              </w:rPr>
              <w:t>、Cl</w:t>
            </w:r>
            <w:r>
              <w:rPr>
                <w:rFonts w:ascii="Times New Roman" w:eastAsia="仿宋"/>
                <w:bCs/>
                <w:vertAlign w:val="superscript"/>
              </w:rPr>
              <w:t>-</w:t>
            </w:r>
            <w:r>
              <w:rPr>
                <w:rFonts w:ascii="Times New Roman" w:eastAsia="仿宋"/>
                <w:bCs/>
              </w:rPr>
              <w:t>、SO</w:t>
            </w:r>
            <w:r>
              <w:rPr>
                <w:rFonts w:ascii="Times New Roman" w:eastAsia="仿宋"/>
                <w:bCs/>
                <w:vertAlign w:val="subscript"/>
              </w:rPr>
              <w:t>4</w:t>
            </w:r>
            <w:r>
              <w:rPr>
                <w:rFonts w:ascii="Times New Roman" w:eastAsia="仿宋"/>
                <w:bCs/>
                <w:vertAlign w:val="superscript"/>
              </w:rPr>
              <w:t>2-</w:t>
            </w:r>
            <w:r>
              <w:rPr>
                <w:rFonts w:ascii="Times New Roman" w:eastAsia="仿宋"/>
                <w:bCs/>
              </w:rPr>
              <w:t>、CO</w:t>
            </w:r>
            <w:r>
              <w:rPr>
                <w:rFonts w:ascii="Times New Roman" w:eastAsia="仿宋"/>
                <w:bCs/>
                <w:vertAlign w:val="subscript"/>
              </w:rPr>
              <w:t>3</w:t>
            </w:r>
            <w:r>
              <w:rPr>
                <w:rFonts w:ascii="Times New Roman" w:eastAsia="仿宋"/>
                <w:bCs/>
                <w:vertAlign w:val="superscript"/>
              </w:rPr>
              <w:t>2-</w:t>
            </w:r>
            <w:r>
              <w:rPr>
                <w:rFonts w:ascii="Times New Roman" w:eastAsia="仿宋"/>
                <w:bCs/>
              </w:rPr>
              <w:t>、HCO</w:t>
            </w:r>
            <w:r>
              <w:rPr>
                <w:rFonts w:ascii="Times New Roman" w:eastAsia="仿宋"/>
                <w:bCs/>
                <w:vertAlign w:val="subscript"/>
              </w:rPr>
              <w:t>3</w:t>
            </w:r>
            <w:r>
              <w:rPr>
                <w:rFonts w:ascii="Times New Roman" w:eastAsia="仿宋"/>
                <w:bCs/>
                <w:vertAlign w:val="superscript"/>
              </w:rPr>
              <w:t>-</w:t>
            </w:r>
            <w:r>
              <w:rPr>
                <w:rFonts w:ascii="Times New Roman" w:eastAsia="仿宋"/>
                <w:bCs/>
              </w:rPr>
              <w:t>、pH、氨氮、硝酸盐、亚硝酸盐（以N计）、挥发性酚类（以苯酚计）、氰化物、砷、汞、铬（六价）、总硬度（以CaCO</w:t>
            </w:r>
            <w:r>
              <w:rPr>
                <w:rFonts w:ascii="Times New Roman" w:eastAsia="仿宋"/>
                <w:bCs/>
                <w:vertAlign w:val="subscript"/>
              </w:rPr>
              <w:t>3</w:t>
            </w:r>
            <w:r>
              <w:rPr>
                <w:rFonts w:ascii="Times New Roman" w:eastAsia="仿宋"/>
                <w:bCs/>
              </w:rPr>
              <w:t>计）、铅、氟、镉、铁、锰、溶解性总固体、高锰酸盐指数、硫酸盐、氯化物、总大肠菌群、细菌总数、石油类、二甲苯</w:t>
            </w:r>
          </w:p>
        </w:tc>
        <w:tc>
          <w:tcPr>
            <w:tcW w:w="1110" w:type="pct"/>
            <w:vMerge w:val="restart"/>
            <w:vAlign w:val="center"/>
          </w:tcPr>
          <w:p w14:paraId="08101AEB">
            <w:pPr>
              <w:adjustRightInd w:val="0"/>
              <w:snapToGrid w:val="0"/>
              <w:spacing w:line="320" w:lineRule="exact"/>
              <w:jc w:val="center"/>
              <w:rPr>
                <w:rFonts w:ascii="Times New Roman" w:eastAsia="仿宋"/>
              </w:rPr>
            </w:pPr>
            <w:r>
              <w:rPr>
                <w:rFonts w:ascii="Times New Roman" w:eastAsia="仿宋"/>
              </w:rPr>
              <w:t>2024年10月9日</w:t>
            </w:r>
            <w:r>
              <w:rPr>
                <w:rFonts w:hint="eastAsia" w:ascii="Times New Roman" w:eastAsia="仿宋"/>
              </w:rPr>
              <w:t>，实测</w:t>
            </w:r>
          </w:p>
        </w:tc>
      </w:tr>
      <w:tr w14:paraId="2963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vAlign w:val="center"/>
          </w:tcPr>
          <w:p w14:paraId="0C1CC33D">
            <w:pPr>
              <w:adjustRightInd w:val="0"/>
              <w:snapToGrid w:val="0"/>
              <w:spacing w:line="320" w:lineRule="exact"/>
              <w:jc w:val="center"/>
              <w:rPr>
                <w:rFonts w:ascii="Times New Roman" w:eastAsia="仿宋"/>
                <w:szCs w:val="21"/>
              </w:rPr>
            </w:pPr>
            <w:r>
              <w:rPr>
                <w:rFonts w:ascii="Times New Roman" w:eastAsia="仿宋"/>
                <w:szCs w:val="21"/>
              </w:rPr>
              <w:t>D2</w:t>
            </w:r>
          </w:p>
        </w:tc>
        <w:tc>
          <w:tcPr>
            <w:tcW w:w="524" w:type="pct"/>
            <w:vAlign w:val="center"/>
          </w:tcPr>
          <w:p w14:paraId="33F2E9A8">
            <w:pPr>
              <w:adjustRightInd w:val="0"/>
              <w:snapToGrid w:val="0"/>
              <w:spacing w:line="320" w:lineRule="exact"/>
              <w:jc w:val="center"/>
              <w:rPr>
                <w:rFonts w:ascii="Times New Roman" w:eastAsia="仿宋"/>
              </w:rPr>
            </w:pPr>
            <w:r>
              <w:rPr>
                <w:rFonts w:hint="eastAsia" w:ascii="Times New Roman" w:eastAsia="仿宋"/>
              </w:rPr>
              <w:t>杨桥</w:t>
            </w:r>
          </w:p>
        </w:tc>
        <w:tc>
          <w:tcPr>
            <w:tcW w:w="2950" w:type="pct"/>
            <w:vMerge w:val="continue"/>
            <w:vAlign w:val="center"/>
          </w:tcPr>
          <w:p w14:paraId="5A945D4A">
            <w:pPr>
              <w:adjustRightInd w:val="0"/>
              <w:snapToGrid w:val="0"/>
              <w:spacing w:line="320" w:lineRule="exact"/>
              <w:jc w:val="center"/>
              <w:rPr>
                <w:rFonts w:ascii="Times New Roman" w:eastAsia="仿宋"/>
                <w:vertAlign w:val="superscript"/>
              </w:rPr>
            </w:pPr>
          </w:p>
        </w:tc>
        <w:tc>
          <w:tcPr>
            <w:tcW w:w="1110" w:type="pct"/>
            <w:vMerge w:val="continue"/>
            <w:vAlign w:val="center"/>
          </w:tcPr>
          <w:p w14:paraId="2648006C">
            <w:pPr>
              <w:adjustRightInd w:val="0"/>
              <w:snapToGrid w:val="0"/>
              <w:spacing w:line="320" w:lineRule="exact"/>
              <w:jc w:val="center"/>
              <w:rPr>
                <w:rFonts w:ascii="Times New Roman" w:eastAsia="仿宋"/>
              </w:rPr>
            </w:pPr>
          </w:p>
        </w:tc>
      </w:tr>
      <w:tr w14:paraId="5275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vAlign w:val="center"/>
          </w:tcPr>
          <w:p w14:paraId="7A78EC58">
            <w:pPr>
              <w:adjustRightInd w:val="0"/>
              <w:snapToGrid w:val="0"/>
              <w:spacing w:line="320" w:lineRule="exact"/>
              <w:jc w:val="center"/>
              <w:rPr>
                <w:rFonts w:ascii="Times New Roman" w:eastAsia="仿宋"/>
                <w:szCs w:val="21"/>
              </w:rPr>
            </w:pPr>
            <w:r>
              <w:rPr>
                <w:rFonts w:ascii="Times New Roman" w:eastAsia="仿宋"/>
                <w:szCs w:val="21"/>
              </w:rPr>
              <w:t>D3</w:t>
            </w:r>
          </w:p>
        </w:tc>
        <w:tc>
          <w:tcPr>
            <w:tcW w:w="524" w:type="pct"/>
            <w:vAlign w:val="center"/>
          </w:tcPr>
          <w:p w14:paraId="7AEFD9D7">
            <w:pPr>
              <w:adjustRightInd w:val="0"/>
              <w:snapToGrid w:val="0"/>
              <w:spacing w:line="320" w:lineRule="exact"/>
              <w:jc w:val="center"/>
              <w:rPr>
                <w:rFonts w:ascii="Times New Roman" w:eastAsia="仿宋"/>
              </w:rPr>
            </w:pPr>
            <w:r>
              <w:rPr>
                <w:rFonts w:hint="eastAsia" w:ascii="Times New Roman" w:eastAsia="仿宋"/>
              </w:rPr>
              <w:t>庄基村</w:t>
            </w:r>
          </w:p>
        </w:tc>
        <w:tc>
          <w:tcPr>
            <w:tcW w:w="2950" w:type="pct"/>
            <w:vMerge w:val="continue"/>
            <w:vAlign w:val="center"/>
          </w:tcPr>
          <w:p w14:paraId="3E0A03EB">
            <w:pPr>
              <w:adjustRightInd w:val="0"/>
              <w:snapToGrid w:val="0"/>
              <w:spacing w:line="320" w:lineRule="exact"/>
              <w:jc w:val="center"/>
              <w:rPr>
                <w:rFonts w:ascii="Times New Roman" w:eastAsia="仿宋"/>
              </w:rPr>
            </w:pPr>
          </w:p>
        </w:tc>
        <w:tc>
          <w:tcPr>
            <w:tcW w:w="1110" w:type="pct"/>
            <w:vMerge w:val="continue"/>
            <w:vAlign w:val="center"/>
          </w:tcPr>
          <w:p w14:paraId="45DA1BA5">
            <w:pPr>
              <w:adjustRightInd w:val="0"/>
              <w:snapToGrid w:val="0"/>
              <w:spacing w:line="320" w:lineRule="exact"/>
              <w:jc w:val="center"/>
              <w:rPr>
                <w:rFonts w:ascii="Times New Roman" w:eastAsia="仿宋"/>
              </w:rPr>
            </w:pPr>
          </w:p>
        </w:tc>
      </w:tr>
    </w:tbl>
    <w:p w14:paraId="73A6CE6A">
      <w:pPr>
        <w:spacing w:line="500" w:lineRule="exact"/>
        <w:ind w:firstLine="560" w:firstLineChars="200"/>
        <w:rPr>
          <w:rFonts w:ascii="Times New Roman" w:eastAsia="仿宋"/>
          <w:sz w:val="28"/>
          <w:szCs w:val="28"/>
        </w:rPr>
      </w:pPr>
      <w:r>
        <w:rPr>
          <w:rFonts w:ascii="Times New Roman" w:eastAsia="仿宋"/>
          <w:sz w:val="28"/>
          <w:szCs w:val="28"/>
        </w:rPr>
        <w:t>监测1天，每天1次，监测时间、监测手段符合环境影响评价地下水导则要求。</w:t>
      </w:r>
    </w:p>
    <w:p w14:paraId="7DE7FC30">
      <w:pPr>
        <w:spacing w:line="500" w:lineRule="exact"/>
        <w:ind w:firstLine="560"/>
        <w:rPr>
          <w:rFonts w:ascii="Times New Roman" w:eastAsia="仿宋"/>
          <w:sz w:val="28"/>
          <w:szCs w:val="28"/>
          <w:lang w:val="zh-CN"/>
        </w:rPr>
      </w:pPr>
      <w:r>
        <w:rPr>
          <w:rFonts w:hint="eastAsia" w:ascii="Times New Roman" w:eastAsia="仿宋"/>
          <w:sz w:val="28"/>
          <w:szCs w:val="28"/>
          <w:lang w:val="zh-CN"/>
        </w:rPr>
        <w:t>（3）</w:t>
      </w:r>
      <w:r>
        <w:rPr>
          <w:rFonts w:ascii="Times New Roman" w:eastAsia="仿宋"/>
          <w:sz w:val="28"/>
          <w:szCs w:val="28"/>
          <w:lang w:val="zh-CN"/>
        </w:rPr>
        <w:t>监测项目和监测方法</w:t>
      </w:r>
    </w:p>
    <w:p w14:paraId="3F6DBDED">
      <w:pPr>
        <w:spacing w:line="500" w:lineRule="exact"/>
        <w:ind w:firstLine="560" w:firstLineChars="200"/>
        <w:rPr>
          <w:rFonts w:ascii="Times New Roman" w:eastAsia="仿宋"/>
          <w:sz w:val="28"/>
          <w:szCs w:val="28"/>
          <w:lang w:val="zh-CN"/>
        </w:rPr>
      </w:pPr>
      <w:r>
        <w:rPr>
          <w:rFonts w:ascii="Times New Roman" w:eastAsia="仿宋"/>
          <w:sz w:val="28"/>
          <w:szCs w:val="28"/>
          <w:lang w:val="zh-CN"/>
        </w:rPr>
        <w:t>监测项目：</w:t>
      </w:r>
      <w:r>
        <w:rPr>
          <w:rFonts w:ascii="Times New Roman" w:eastAsia="仿宋"/>
          <w:bCs/>
          <w:sz w:val="28"/>
          <w:szCs w:val="28"/>
        </w:rPr>
        <w:t>K</w:t>
      </w:r>
      <w:r>
        <w:rPr>
          <w:rFonts w:ascii="Times New Roman" w:eastAsia="仿宋"/>
          <w:bCs/>
          <w:sz w:val="28"/>
          <w:szCs w:val="28"/>
          <w:vertAlign w:val="superscript"/>
        </w:rPr>
        <w:t>+</w:t>
      </w:r>
      <w:r>
        <w:rPr>
          <w:rFonts w:ascii="Times New Roman" w:eastAsia="仿宋"/>
          <w:bCs/>
          <w:sz w:val="28"/>
          <w:szCs w:val="28"/>
        </w:rPr>
        <w:t>、Na</w:t>
      </w:r>
      <w:r>
        <w:rPr>
          <w:rFonts w:ascii="Times New Roman" w:eastAsia="仿宋"/>
          <w:bCs/>
          <w:sz w:val="28"/>
          <w:szCs w:val="28"/>
          <w:vertAlign w:val="superscript"/>
        </w:rPr>
        <w:t>+</w:t>
      </w:r>
      <w:r>
        <w:rPr>
          <w:rFonts w:ascii="Times New Roman" w:eastAsia="仿宋"/>
          <w:bCs/>
          <w:sz w:val="28"/>
          <w:szCs w:val="28"/>
        </w:rPr>
        <w:t>、Ca</w:t>
      </w:r>
      <w:r>
        <w:rPr>
          <w:rFonts w:ascii="Times New Roman" w:eastAsia="仿宋"/>
          <w:bCs/>
          <w:sz w:val="28"/>
          <w:szCs w:val="28"/>
          <w:vertAlign w:val="superscript"/>
        </w:rPr>
        <w:t>2+</w:t>
      </w:r>
      <w:r>
        <w:rPr>
          <w:rFonts w:ascii="Times New Roman" w:eastAsia="仿宋"/>
          <w:bCs/>
          <w:sz w:val="28"/>
          <w:szCs w:val="28"/>
        </w:rPr>
        <w:t>、Mg</w:t>
      </w:r>
      <w:r>
        <w:rPr>
          <w:rFonts w:ascii="Times New Roman" w:eastAsia="仿宋"/>
          <w:bCs/>
          <w:sz w:val="28"/>
          <w:szCs w:val="28"/>
          <w:vertAlign w:val="superscript"/>
        </w:rPr>
        <w:t>2+</w:t>
      </w:r>
      <w:r>
        <w:rPr>
          <w:rFonts w:ascii="Times New Roman" w:eastAsia="仿宋"/>
          <w:bCs/>
          <w:sz w:val="28"/>
          <w:szCs w:val="28"/>
        </w:rPr>
        <w:t>、Cl</w:t>
      </w:r>
      <w:r>
        <w:rPr>
          <w:rFonts w:ascii="Times New Roman" w:eastAsia="仿宋"/>
          <w:bCs/>
          <w:sz w:val="28"/>
          <w:szCs w:val="28"/>
          <w:vertAlign w:val="superscript"/>
        </w:rPr>
        <w:t>-</w:t>
      </w:r>
      <w:r>
        <w:rPr>
          <w:rFonts w:ascii="Times New Roman" w:eastAsia="仿宋"/>
          <w:bCs/>
          <w:sz w:val="28"/>
          <w:szCs w:val="28"/>
        </w:rPr>
        <w:t>、SO</w:t>
      </w:r>
      <w:r>
        <w:rPr>
          <w:rFonts w:ascii="Times New Roman" w:eastAsia="仿宋"/>
          <w:bCs/>
          <w:sz w:val="28"/>
          <w:szCs w:val="28"/>
          <w:vertAlign w:val="subscript"/>
        </w:rPr>
        <w:t>4</w:t>
      </w:r>
      <w:r>
        <w:rPr>
          <w:rFonts w:ascii="Times New Roman" w:eastAsia="仿宋"/>
          <w:bCs/>
          <w:sz w:val="28"/>
          <w:szCs w:val="28"/>
          <w:vertAlign w:val="superscript"/>
        </w:rPr>
        <w:t>2-</w:t>
      </w:r>
      <w:r>
        <w:rPr>
          <w:rFonts w:ascii="Times New Roman" w:eastAsia="仿宋"/>
          <w:bCs/>
          <w:sz w:val="28"/>
          <w:szCs w:val="28"/>
        </w:rPr>
        <w:t>、CO</w:t>
      </w:r>
      <w:r>
        <w:rPr>
          <w:rFonts w:ascii="Times New Roman" w:eastAsia="仿宋"/>
          <w:bCs/>
          <w:sz w:val="28"/>
          <w:szCs w:val="28"/>
          <w:vertAlign w:val="subscript"/>
        </w:rPr>
        <w:t>3</w:t>
      </w:r>
      <w:r>
        <w:rPr>
          <w:rFonts w:ascii="Times New Roman" w:eastAsia="仿宋"/>
          <w:bCs/>
          <w:sz w:val="28"/>
          <w:szCs w:val="28"/>
          <w:vertAlign w:val="superscript"/>
        </w:rPr>
        <w:t>2-</w:t>
      </w:r>
      <w:r>
        <w:rPr>
          <w:rFonts w:ascii="Times New Roman" w:eastAsia="仿宋"/>
          <w:bCs/>
          <w:sz w:val="28"/>
          <w:szCs w:val="28"/>
        </w:rPr>
        <w:t>、HCO</w:t>
      </w:r>
      <w:r>
        <w:rPr>
          <w:rFonts w:ascii="Times New Roman" w:eastAsia="仿宋"/>
          <w:bCs/>
          <w:sz w:val="28"/>
          <w:szCs w:val="28"/>
          <w:vertAlign w:val="subscript"/>
        </w:rPr>
        <w:t>3</w:t>
      </w:r>
      <w:r>
        <w:rPr>
          <w:rFonts w:ascii="Times New Roman" w:eastAsia="仿宋"/>
          <w:bCs/>
          <w:sz w:val="28"/>
          <w:szCs w:val="28"/>
          <w:vertAlign w:val="superscript"/>
        </w:rPr>
        <w:t>-</w:t>
      </w:r>
      <w:r>
        <w:rPr>
          <w:rFonts w:ascii="Times New Roman" w:eastAsia="仿宋"/>
          <w:bCs/>
          <w:sz w:val="28"/>
          <w:szCs w:val="28"/>
        </w:rPr>
        <w:t>、pH、氨氮、硝酸盐、亚硝酸盐（以N计）、</w:t>
      </w:r>
      <w:r>
        <w:rPr>
          <w:rFonts w:hint="eastAsia" w:ascii="Times New Roman" w:eastAsia="仿宋"/>
          <w:bCs/>
          <w:sz w:val="28"/>
          <w:szCs w:val="28"/>
        </w:rPr>
        <w:t>挥发酚、</w:t>
      </w:r>
      <w:r>
        <w:rPr>
          <w:rFonts w:ascii="Times New Roman" w:eastAsia="仿宋"/>
          <w:bCs/>
          <w:sz w:val="28"/>
          <w:szCs w:val="28"/>
        </w:rPr>
        <w:t>氰化物、砷、汞、铬（六价）、总硬度、铅、氟、镉、铁、锰、溶解性总固体、硫酸盐、氯化物、总大肠菌群、细菌总数、石油类、二甲苯</w:t>
      </w:r>
      <w:r>
        <w:rPr>
          <w:rFonts w:hint="eastAsia" w:ascii="Times New Roman" w:eastAsia="仿宋"/>
          <w:bCs/>
          <w:sz w:val="28"/>
          <w:szCs w:val="28"/>
        </w:rPr>
        <w:t>。</w:t>
      </w:r>
    </w:p>
    <w:p w14:paraId="3FBB2934">
      <w:pPr>
        <w:spacing w:line="500" w:lineRule="exact"/>
        <w:ind w:firstLine="560" w:firstLineChars="200"/>
        <w:rPr>
          <w:rFonts w:ascii="Times New Roman" w:eastAsia="仿宋"/>
          <w:sz w:val="28"/>
          <w:szCs w:val="28"/>
          <w:lang w:val="zh-CN"/>
        </w:rPr>
      </w:pPr>
      <w:r>
        <w:rPr>
          <w:rFonts w:ascii="Times New Roman" w:eastAsia="仿宋"/>
          <w:sz w:val="28"/>
          <w:szCs w:val="28"/>
          <w:lang w:val="zh-CN"/>
        </w:rPr>
        <w:t>监测方法按《地下水质量标准》（GB/T14848-2017）中有关规定进行。</w:t>
      </w:r>
    </w:p>
    <w:p w14:paraId="64DC14C7">
      <w:pPr>
        <w:spacing w:line="500" w:lineRule="exact"/>
        <w:ind w:firstLine="560" w:firstLineChars="200"/>
        <w:rPr>
          <w:rFonts w:ascii="Times New Roman" w:eastAsia="仿宋"/>
          <w:sz w:val="28"/>
          <w:szCs w:val="28"/>
          <w:lang w:val="zh-CN"/>
        </w:rPr>
      </w:pPr>
      <w:r>
        <w:rPr>
          <w:rFonts w:hint="eastAsia" w:ascii="Times New Roman" w:eastAsia="仿宋"/>
          <w:sz w:val="28"/>
          <w:szCs w:val="28"/>
          <w:lang w:val="zh-CN"/>
        </w:rPr>
        <w:t>（4）</w:t>
      </w:r>
      <w:r>
        <w:rPr>
          <w:rFonts w:ascii="Times New Roman" w:eastAsia="仿宋"/>
          <w:sz w:val="28"/>
          <w:szCs w:val="28"/>
          <w:lang w:val="zh-CN"/>
        </w:rPr>
        <w:t>监测结果</w:t>
      </w:r>
    </w:p>
    <w:p w14:paraId="289C8382">
      <w:pPr>
        <w:spacing w:line="500" w:lineRule="exact"/>
        <w:ind w:firstLine="560" w:firstLineChars="200"/>
        <w:rPr>
          <w:rFonts w:ascii="Times New Roman" w:eastAsia="仿宋"/>
          <w:sz w:val="28"/>
          <w:szCs w:val="28"/>
          <w:lang w:val="zh-CN"/>
        </w:rPr>
      </w:pPr>
      <w:r>
        <w:rPr>
          <w:rFonts w:ascii="Times New Roman" w:eastAsia="仿宋"/>
          <w:sz w:val="28"/>
          <w:szCs w:val="28"/>
          <w:lang w:val="zh-CN"/>
        </w:rPr>
        <w:t>地下水监测结果表4.2-9、4.2-10。</w:t>
      </w:r>
    </w:p>
    <w:p w14:paraId="65055863">
      <w:pPr>
        <w:spacing w:line="500" w:lineRule="exact"/>
        <w:jc w:val="center"/>
        <w:rPr>
          <w:rFonts w:ascii="Times New Roman" w:eastAsia="仿宋"/>
          <w:b/>
          <w:lang w:val="zh-CN"/>
        </w:rPr>
      </w:pPr>
      <w:r>
        <w:rPr>
          <w:rFonts w:ascii="Times New Roman" w:eastAsia="仿宋"/>
          <w:b/>
          <w:lang w:val="zh-CN"/>
        </w:rPr>
        <w:t xml:space="preserve">表4.2-9  地下水水质监测结果  </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170"/>
        <w:gridCol w:w="1269"/>
        <w:gridCol w:w="1290"/>
        <w:gridCol w:w="1066"/>
        <w:gridCol w:w="1160"/>
        <w:gridCol w:w="1063"/>
      </w:tblGrid>
      <w:tr w14:paraId="61FD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Merge w:val="restart"/>
            <w:vAlign w:val="center"/>
          </w:tcPr>
          <w:p w14:paraId="19777FDF">
            <w:pPr>
              <w:spacing w:line="320" w:lineRule="exact"/>
              <w:jc w:val="center"/>
              <w:rPr>
                <w:rFonts w:ascii="Times New Roman" w:eastAsia="仿宋"/>
                <w:szCs w:val="21"/>
                <w:lang w:val="zh-CN"/>
              </w:rPr>
            </w:pPr>
            <w:r>
              <w:rPr>
                <w:rFonts w:ascii="Times New Roman" w:eastAsia="仿宋"/>
                <w:szCs w:val="21"/>
                <w:lang w:val="zh-CN"/>
              </w:rPr>
              <w:t>项目</w:t>
            </w:r>
          </w:p>
        </w:tc>
        <w:tc>
          <w:tcPr>
            <w:tcW w:w="1318" w:type="pct"/>
            <w:gridSpan w:val="2"/>
            <w:vAlign w:val="center"/>
          </w:tcPr>
          <w:p w14:paraId="688C64F2">
            <w:pPr>
              <w:spacing w:line="320" w:lineRule="exact"/>
              <w:jc w:val="center"/>
              <w:rPr>
                <w:rFonts w:ascii="Times New Roman" w:eastAsia="仿宋"/>
                <w:szCs w:val="21"/>
                <w:lang w:val="zh-CN"/>
              </w:rPr>
            </w:pPr>
            <w:r>
              <w:rPr>
                <w:rFonts w:ascii="Times New Roman" w:eastAsia="仿宋"/>
                <w:szCs w:val="21"/>
              </w:rPr>
              <w:t>项目所在地</w:t>
            </w:r>
            <w:r>
              <w:rPr>
                <w:rFonts w:ascii="Times New Roman" w:eastAsia="仿宋"/>
                <w:szCs w:val="21"/>
                <w:lang w:val="zh-CN"/>
              </w:rPr>
              <w:t>D1</w:t>
            </w:r>
          </w:p>
        </w:tc>
        <w:tc>
          <w:tcPr>
            <w:tcW w:w="1274" w:type="pct"/>
            <w:gridSpan w:val="2"/>
            <w:vAlign w:val="center"/>
          </w:tcPr>
          <w:p w14:paraId="6B45D47D">
            <w:pPr>
              <w:spacing w:line="320" w:lineRule="exact"/>
              <w:jc w:val="center"/>
              <w:rPr>
                <w:rFonts w:ascii="Times New Roman" w:eastAsia="仿宋"/>
                <w:szCs w:val="21"/>
                <w:lang w:val="zh-CN"/>
              </w:rPr>
            </w:pPr>
            <w:r>
              <w:rPr>
                <w:rFonts w:hint="eastAsia" w:ascii="Times New Roman" w:eastAsia="仿宋"/>
              </w:rPr>
              <w:t>杨桥</w:t>
            </w:r>
            <w:r>
              <w:rPr>
                <w:rFonts w:ascii="Times New Roman" w:eastAsia="仿宋"/>
                <w:szCs w:val="21"/>
                <w:lang w:val="zh-CN"/>
              </w:rPr>
              <w:t>D2</w:t>
            </w:r>
          </w:p>
        </w:tc>
        <w:tc>
          <w:tcPr>
            <w:tcW w:w="1203" w:type="pct"/>
            <w:gridSpan w:val="2"/>
            <w:vAlign w:val="center"/>
          </w:tcPr>
          <w:p w14:paraId="791B23C8">
            <w:pPr>
              <w:spacing w:line="320" w:lineRule="exact"/>
              <w:jc w:val="center"/>
              <w:rPr>
                <w:rFonts w:ascii="Times New Roman" w:eastAsia="仿宋"/>
                <w:szCs w:val="21"/>
                <w:lang w:val="zh-CN"/>
              </w:rPr>
            </w:pPr>
            <w:r>
              <w:rPr>
                <w:rFonts w:hint="eastAsia" w:ascii="Times New Roman" w:eastAsia="仿宋"/>
              </w:rPr>
              <w:t>庄基村</w:t>
            </w:r>
            <w:r>
              <w:rPr>
                <w:rFonts w:ascii="Times New Roman" w:eastAsia="仿宋"/>
                <w:szCs w:val="21"/>
                <w:lang w:val="zh-CN"/>
              </w:rPr>
              <w:t>D3</w:t>
            </w:r>
          </w:p>
        </w:tc>
      </w:tr>
      <w:tr w14:paraId="3E5B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Merge w:val="continue"/>
            <w:vAlign w:val="center"/>
          </w:tcPr>
          <w:p w14:paraId="1B9066F6">
            <w:pPr>
              <w:spacing w:line="320" w:lineRule="exact"/>
              <w:jc w:val="center"/>
              <w:rPr>
                <w:rFonts w:ascii="Times New Roman" w:eastAsia="仿宋"/>
                <w:szCs w:val="21"/>
                <w:lang w:val="zh-CN"/>
              </w:rPr>
            </w:pPr>
          </w:p>
        </w:tc>
        <w:tc>
          <w:tcPr>
            <w:tcW w:w="632" w:type="pct"/>
            <w:vAlign w:val="center"/>
          </w:tcPr>
          <w:p w14:paraId="3B69A08F">
            <w:pPr>
              <w:spacing w:line="320" w:lineRule="exact"/>
              <w:jc w:val="center"/>
              <w:rPr>
                <w:rFonts w:ascii="Times New Roman" w:eastAsia="仿宋"/>
                <w:bCs/>
                <w:szCs w:val="21"/>
                <w:lang w:val="zh-CN"/>
              </w:rPr>
            </w:pPr>
            <w:r>
              <w:rPr>
                <w:rFonts w:ascii="Times New Roman" w:eastAsia="仿宋"/>
                <w:bCs/>
                <w:szCs w:val="21"/>
                <w:lang w:val="zh-CN"/>
              </w:rPr>
              <w:t>监测值</w:t>
            </w:r>
          </w:p>
        </w:tc>
        <w:tc>
          <w:tcPr>
            <w:tcW w:w="685" w:type="pct"/>
            <w:vAlign w:val="center"/>
          </w:tcPr>
          <w:p w14:paraId="564F9959">
            <w:pPr>
              <w:spacing w:line="320" w:lineRule="exact"/>
              <w:jc w:val="center"/>
              <w:rPr>
                <w:rFonts w:ascii="Times New Roman" w:eastAsia="仿宋"/>
                <w:bCs/>
                <w:szCs w:val="21"/>
                <w:lang w:val="zh-CN"/>
              </w:rPr>
            </w:pPr>
            <w:r>
              <w:rPr>
                <w:rFonts w:ascii="Times New Roman" w:eastAsia="仿宋"/>
                <w:bCs/>
                <w:szCs w:val="21"/>
                <w:lang w:val="zh-CN"/>
              </w:rPr>
              <w:t>水质类别</w:t>
            </w:r>
          </w:p>
        </w:tc>
        <w:tc>
          <w:tcPr>
            <w:tcW w:w="697" w:type="pct"/>
            <w:vAlign w:val="center"/>
          </w:tcPr>
          <w:p w14:paraId="26CD2EFF">
            <w:pPr>
              <w:spacing w:line="320" w:lineRule="exact"/>
              <w:jc w:val="center"/>
              <w:rPr>
                <w:rFonts w:ascii="Times New Roman" w:eastAsia="仿宋"/>
                <w:bCs/>
                <w:szCs w:val="21"/>
                <w:lang w:val="zh-CN"/>
              </w:rPr>
            </w:pPr>
            <w:r>
              <w:rPr>
                <w:rFonts w:ascii="Times New Roman" w:eastAsia="仿宋"/>
                <w:bCs/>
                <w:szCs w:val="21"/>
                <w:lang w:val="zh-CN"/>
              </w:rPr>
              <w:t>监测值</w:t>
            </w:r>
          </w:p>
        </w:tc>
        <w:tc>
          <w:tcPr>
            <w:tcW w:w="576" w:type="pct"/>
            <w:vAlign w:val="center"/>
          </w:tcPr>
          <w:p w14:paraId="5936B048">
            <w:pPr>
              <w:spacing w:line="320" w:lineRule="exact"/>
              <w:jc w:val="center"/>
              <w:rPr>
                <w:rFonts w:ascii="Times New Roman" w:eastAsia="仿宋"/>
                <w:bCs/>
                <w:szCs w:val="21"/>
                <w:lang w:val="zh-CN"/>
              </w:rPr>
            </w:pPr>
            <w:r>
              <w:rPr>
                <w:rFonts w:ascii="Times New Roman" w:eastAsia="仿宋"/>
                <w:bCs/>
                <w:szCs w:val="21"/>
                <w:lang w:val="zh-CN"/>
              </w:rPr>
              <w:t>水质类别</w:t>
            </w:r>
          </w:p>
        </w:tc>
        <w:tc>
          <w:tcPr>
            <w:tcW w:w="628" w:type="pct"/>
            <w:vAlign w:val="center"/>
          </w:tcPr>
          <w:p w14:paraId="5C2B951D">
            <w:pPr>
              <w:spacing w:line="320" w:lineRule="exact"/>
              <w:jc w:val="center"/>
              <w:rPr>
                <w:rFonts w:ascii="Times New Roman" w:eastAsia="仿宋"/>
                <w:bCs/>
                <w:szCs w:val="21"/>
                <w:lang w:val="zh-CN"/>
              </w:rPr>
            </w:pPr>
            <w:r>
              <w:rPr>
                <w:rFonts w:ascii="Times New Roman" w:eastAsia="仿宋"/>
                <w:bCs/>
                <w:szCs w:val="21"/>
                <w:lang w:val="zh-CN"/>
              </w:rPr>
              <w:t>监测值</w:t>
            </w:r>
          </w:p>
        </w:tc>
        <w:tc>
          <w:tcPr>
            <w:tcW w:w="574" w:type="pct"/>
            <w:vAlign w:val="center"/>
          </w:tcPr>
          <w:p w14:paraId="0A3A5043">
            <w:pPr>
              <w:spacing w:line="320" w:lineRule="exact"/>
              <w:jc w:val="center"/>
              <w:rPr>
                <w:rFonts w:ascii="Times New Roman" w:eastAsia="仿宋"/>
                <w:bCs/>
                <w:szCs w:val="21"/>
                <w:lang w:val="zh-CN"/>
              </w:rPr>
            </w:pPr>
            <w:r>
              <w:rPr>
                <w:rFonts w:ascii="Times New Roman" w:eastAsia="仿宋"/>
                <w:bCs/>
                <w:szCs w:val="21"/>
                <w:lang w:val="zh-CN"/>
              </w:rPr>
              <w:t>水质类别</w:t>
            </w:r>
          </w:p>
        </w:tc>
      </w:tr>
      <w:tr w14:paraId="2BAE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99511D1">
            <w:pPr>
              <w:widowControl/>
              <w:jc w:val="center"/>
              <w:rPr>
                <w:rFonts w:ascii="Times New Roman" w:eastAsia="仿宋"/>
                <w:szCs w:val="21"/>
              </w:rPr>
            </w:pPr>
            <w:r>
              <w:rPr>
                <w:rFonts w:ascii="Times New Roman" w:eastAsia="仿宋"/>
                <w:szCs w:val="21"/>
              </w:rPr>
              <w:t>pH值</w:t>
            </w:r>
          </w:p>
        </w:tc>
        <w:tc>
          <w:tcPr>
            <w:tcW w:w="632" w:type="pct"/>
            <w:vAlign w:val="center"/>
          </w:tcPr>
          <w:p w14:paraId="0C685F9E">
            <w:pPr>
              <w:spacing w:line="320" w:lineRule="exact"/>
              <w:jc w:val="center"/>
              <w:rPr>
                <w:rFonts w:ascii="Times New Roman" w:eastAsia="仿宋"/>
                <w:szCs w:val="21"/>
              </w:rPr>
            </w:pPr>
            <w:r>
              <w:rPr>
                <w:rFonts w:hint="eastAsia" w:ascii="Times New Roman" w:eastAsia="仿宋"/>
                <w:szCs w:val="21"/>
              </w:rPr>
              <w:t>7.0</w:t>
            </w:r>
          </w:p>
        </w:tc>
        <w:tc>
          <w:tcPr>
            <w:tcW w:w="685" w:type="pct"/>
            <w:vAlign w:val="center"/>
          </w:tcPr>
          <w:p w14:paraId="4B641419">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1AB40C5D">
            <w:pPr>
              <w:widowControl/>
              <w:jc w:val="center"/>
              <w:rPr>
                <w:rFonts w:ascii="Times New Roman" w:eastAsia="仿宋"/>
                <w:szCs w:val="21"/>
              </w:rPr>
            </w:pPr>
            <w:r>
              <w:rPr>
                <w:rFonts w:ascii="Times New Roman" w:eastAsia="仿宋"/>
                <w:szCs w:val="21"/>
              </w:rPr>
              <w:t>7.3</w:t>
            </w:r>
          </w:p>
        </w:tc>
        <w:tc>
          <w:tcPr>
            <w:tcW w:w="576" w:type="pct"/>
            <w:vAlign w:val="center"/>
          </w:tcPr>
          <w:p w14:paraId="396B59F3">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7301D365">
            <w:pPr>
              <w:widowControl/>
              <w:snapToGrid w:val="0"/>
              <w:jc w:val="center"/>
              <w:rPr>
                <w:rFonts w:ascii="Times New Roman" w:eastAsia="仿宋"/>
                <w:szCs w:val="21"/>
              </w:rPr>
            </w:pPr>
            <w:r>
              <w:rPr>
                <w:rFonts w:hint="eastAsia" w:ascii="Times New Roman" w:eastAsia="仿宋"/>
                <w:szCs w:val="21"/>
              </w:rPr>
              <w:t>7.1</w:t>
            </w:r>
          </w:p>
        </w:tc>
        <w:tc>
          <w:tcPr>
            <w:tcW w:w="574" w:type="pct"/>
            <w:vAlign w:val="center"/>
          </w:tcPr>
          <w:p w14:paraId="67DE898F">
            <w:pPr>
              <w:spacing w:line="320" w:lineRule="exact"/>
              <w:jc w:val="center"/>
              <w:rPr>
                <w:rFonts w:ascii="Times New Roman" w:eastAsia="仿宋"/>
                <w:szCs w:val="21"/>
              </w:rPr>
            </w:pPr>
            <w:r>
              <w:rPr>
                <w:rFonts w:hint="eastAsia" w:ascii="Times New Roman" w:eastAsia="仿宋"/>
                <w:szCs w:val="21"/>
              </w:rPr>
              <w:t>Ⅰ</w:t>
            </w:r>
          </w:p>
        </w:tc>
      </w:tr>
      <w:tr w14:paraId="5670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72723B0">
            <w:pPr>
              <w:widowControl/>
              <w:jc w:val="center"/>
              <w:rPr>
                <w:rFonts w:ascii="Times New Roman" w:eastAsia="仿宋"/>
                <w:szCs w:val="21"/>
              </w:rPr>
            </w:pPr>
            <w:r>
              <w:rPr>
                <w:rFonts w:ascii="Times New Roman" w:eastAsia="仿宋"/>
                <w:szCs w:val="21"/>
              </w:rPr>
              <w:t>氨氮（mg/L）</w:t>
            </w:r>
          </w:p>
        </w:tc>
        <w:tc>
          <w:tcPr>
            <w:tcW w:w="632" w:type="pct"/>
            <w:vAlign w:val="center"/>
          </w:tcPr>
          <w:p w14:paraId="0D0584F2">
            <w:pPr>
              <w:spacing w:line="320" w:lineRule="exact"/>
              <w:jc w:val="center"/>
              <w:rPr>
                <w:rFonts w:ascii="Times New Roman" w:eastAsia="仿宋"/>
                <w:szCs w:val="21"/>
              </w:rPr>
            </w:pPr>
            <w:r>
              <w:rPr>
                <w:rFonts w:hint="eastAsia" w:ascii="Times New Roman" w:eastAsia="仿宋"/>
                <w:szCs w:val="21"/>
              </w:rPr>
              <w:t>0.044</w:t>
            </w:r>
          </w:p>
        </w:tc>
        <w:tc>
          <w:tcPr>
            <w:tcW w:w="685" w:type="pct"/>
            <w:vAlign w:val="center"/>
          </w:tcPr>
          <w:p w14:paraId="1F3F9320">
            <w:pPr>
              <w:spacing w:line="320" w:lineRule="exact"/>
              <w:jc w:val="center"/>
              <w:rPr>
                <w:rFonts w:ascii="Times New Roman" w:eastAsia="仿宋"/>
                <w:szCs w:val="21"/>
              </w:rPr>
            </w:pPr>
            <w:r>
              <w:rPr>
                <w:rFonts w:hint="eastAsia" w:ascii="Times New Roman" w:eastAsia="仿宋"/>
                <w:szCs w:val="21"/>
              </w:rPr>
              <w:t>Ⅱ</w:t>
            </w:r>
          </w:p>
        </w:tc>
        <w:tc>
          <w:tcPr>
            <w:tcW w:w="697" w:type="pct"/>
            <w:vAlign w:val="center"/>
          </w:tcPr>
          <w:p w14:paraId="4769AD61">
            <w:pPr>
              <w:widowControl/>
              <w:jc w:val="center"/>
              <w:rPr>
                <w:rFonts w:ascii="Times New Roman" w:eastAsia="仿宋"/>
                <w:szCs w:val="21"/>
              </w:rPr>
            </w:pPr>
            <w:r>
              <w:rPr>
                <w:rFonts w:ascii="Times New Roman" w:eastAsia="仿宋"/>
                <w:szCs w:val="21"/>
              </w:rPr>
              <w:t>ND</w:t>
            </w:r>
          </w:p>
        </w:tc>
        <w:tc>
          <w:tcPr>
            <w:tcW w:w="576" w:type="pct"/>
            <w:vAlign w:val="center"/>
          </w:tcPr>
          <w:p w14:paraId="209A90FD">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72D098D6">
            <w:pPr>
              <w:widowControl/>
              <w:snapToGrid w:val="0"/>
              <w:jc w:val="center"/>
              <w:rPr>
                <w:rFonts w:ascii="Times New Roman" w:eastAsia="仿宋"/>
                <w:szCs w:val="21"/>
              </w:rPr>
            </w:pPr>
            <w:r>
              <w:rPr>
                <w:rFonts w:hint="eastAsia" w:ascii="Times New Roman" w:eastAsia="仿宋"/>
                <w:szCs w:val="21"/>
              </w:rPr>
              <w:t>0.036</w:t>
            </w:r>
          </w:p>
        </w:tc>
        <w:tc>
          <w:tcPr>
            <w:tcW w:w="574" w:type="pct"/>
            <w:vAlign w:val="center"/>
          </w:tcPr>
          <w:p w14:paraId="6926F768">
            <w:pPr>
              <w:spacing w:line="320" w:lineRule="exact"/>
              <w:jc w:val="center"/>
              <w:rPr>
                <w:rFonts w:ascii="Times New Roman" w:eastAsia="仿宋"/>
                <w:szCs w:val="21"/>
              </w:rPr>
            </w:pPr>
            <w:r>
              <w:rPr>
                <w:rFonts w:hint="eastAsia" w:ascii="Times New Roman" w:eastAsia="仿宋"/>
                <w:szCs w:val="21"/>
              </w:rPr>
              <w:t>Ⅱ</w:t>
            </w:r>
          </w:p>
        </w:tc>
      </w:tr>
      <w:tr w14:paraId="3830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0F7DB74B">
            <w:pPr>
              <w:adjustRightInd w:val="0"/>
              <w:snapToGrid w:val="0"/>
              <w:spacing w:line="240" w:lineRule="exact"/>
              <w:jc w:val="center"/>
              <w:rPr>
                <w:rFonts w:ascii="Times New Roman" w:eastAsia="仿宋"/>
                <w:szCs w:val="21"/>
              </w:rPr>
            </w:pPr>
            <w:r>
              <w:rPr>
                <w:rFonts w:ascii="Times New Roman" w:eastAsia="仿宋"/>
                <w:szCs w:val="21"/>
              </w:rPr>
              <w:t>硝酸</w:t>
            </w:r>
            <w:r>
              <w:rPr>
                <w:rFonts w:hint="eastAsia" w:ascii="Times New Roman" w:eastAsia="仿宋"/>
                <w:szCs w:val="21"/>
              </w:rPr>
              <w:t>根</w:t>
            </w:r>
            <w:r>
              <w:rPr>
                <w:rFonts w:ascii="Times New Roman" w:eastAsia="仿宋"/>
                <w:szCs w:val="21"/>
              </w:rPr>
              <w:t>（mg/L）</w:t>
            </w:r>
          </w:p>
        </w:tc>
        <w:tc>
          <w:tcPr>
            <w:tcW w:w="632" w:type="pct"/>
            <w:vAlign w:val="center"/>
          </w:tcPr>
          <w:p w14:paraId="199101DE">
            <w:pPr>
              <w:spacing w:line="320" w:lineRule="exact"/>
              <w:jc w:val="center"/>
              <w:rPr>
                <w:rFonts w:ascii="Times New Roman" w:eastAsia="仿宋"/>
                <w:szCs w:val="21"/>
              </w:rPr>
            </w:pPr>
            <w:r>
              <w:rPr>
                <w:rFonts w:hint="eastAsia" w:ascii="Times New Roman" w:eastAsia="仿宋"/>
                <w:szCs w:val="21"/>
              </w:rPr>
              <w:t>54.6</w:t>
            </w:r>
          </w:p>
        </w:tc>
        <w:tc>
          <w:tcPr>
            <w:tcW w:w="685" w:type="pct"/>
            <w:vAlign w:val="center"/>
          </w:tcPr>
          <w:p w14:paraId="125F6393">
            <w:pPr>
              <w:spacing w:line="320" w:lineRule="exact"/>
              <w:jc w:val="center"/>
              <w:rPr>
                <w:rFonts w:ascii="Times New Roman" w:eastAsia="仿宋"/>
                <w:szCs w:val="21"/>
              </w:rPr>
            </w:pPr>
            <w:r>
              <w:rPr>
                <w:rFonts w:hint="eastAsia" w:ascii="Times New Roman" w:eastAsia="仿宋"/>
                <w:szCs w:val="21"/>
              </w:rPr>
              <w:t>V</w:t>
            </w:r>
          </w:p>
        </w:tc>
        <w:tc>
          <w:tcPr>
            <w:tcW w:w="697" w:type="pct"/>
            <w:vAlign w:val="center"/>
          </w:tcPr>
          <w:p w14:paraId="5F257717">
            <w:pPr>
              <w:widowControl/>
              <w:jc w:val="center"/>
              <w:rPr>
                <w:rFonts w:ascii="Times New Roman" w:eastAsia="仿宋"/>
                <w:szCs w:val="21"/>
              </w:rPr>
            </w:pPr>
            <w:r>
              <w:rPr>
                <w:rFonts w:hint="eastAsia" w:ascii="Times New Roman" w:eastAsia="仿宋"/>
                <w:szCs w:val="21"/>
              </w:rPr>
              <w:t>4</w:t>
            </w:r>
            <w:r>
              <w:rPr>
                <w:rFonts w:ascii="Times New Roman" w:eastAsia="仿宋"/>
                <w:szCs w:val="21"/>
              </w:rPr>
              <w:t>8</w:t>
            </w:r>
          </w:p>
        </w:tc>
        <w:tc>
          <w:tcPr>
            <w:tcW w:w="576" w:type="pct"/>
            <w:vAlign w:val="center"/>
          </w:tcPr>
          <w:p w14:paraId="38BF8ECD">
            <w:pPr>
              <w:spacing w:line="320" w:lineRule="exact"/>
              <w:jc w:val="center"/>
              <w:rPr>
                <w:rFonts w:ascii="Times New Roman" w:eastAsia="仿宋"/>
                <w:szCs w:val="21"/>
              </w:rPr>
            </w:pPr>
            <w:r>
              <w:rPr>
                <w:rFonts w:hint="eastAsia" w:ascii="Times New Roman" w:eastAsia="仿宋"/>
                <w:szCs w:val="21"/>
              </w:rPr>
              <w:t>V</w:t>
            </w:r>
          </w:p>
        </w:tc>
        <w:tc>
          <w:tcPr>
            <w:tcW w:w="628" w:type="pct"/>
            <w:vAlign w:val="center"/>
          </w:tcPr>
          <w:p w14:paraId="2D19FBEE">
            <w:pPr>
              <w:widowControl/>
              <w:snapToGrid w:val="0"/>
              <w:jc w:val="center"/>
              <w:rPr>
                <w:rFonts w:ascii="Times New Roman" w:eastAsia="仿宋"/>
                <w:szCs w:val="21"/>
              </w:rPr>
            </w:pPr>
            <w:r>
              <w:rPr>
                <w:rFonts w:hint="eastAsia" w:ascii="Times New Roman" w:eastAsia="仿宋"/>
                <w:szCs w:val="21"/>
              </w:rPr>
              <w:t>18.8</w:t>
            </w:r>
          </w:p>
        </w:tc>
        <w:tc>
          <w:tcPr>
            <w:tcW w:w="574" w:type="pct"/>
            <w:vAlign w:val="center"/>
          </w:tcPr>
          <w:p w14:paraId="478BB1CE">
            <w:pPr>
              <w:spacing w:line="320" w:lineRule="exact"/>
              <w:jc w:val="center"/>
              <w:rPr>
                <w:rFonts w:ascii="Times New Roman" w:eastAsia="仿宋"/>
                <w:szCs w:val="21"/>
              </w:rPr>
            </w:pPr>
            <w:r>
              <w:rPr>
                <w:rFonts w:hint="eastAsia" w:ascii="Times New Roman" w:eastAsia="仿宋"/>
                <w:szCs w:val="21"/>
              </w:rPr>
              <w:t>Ⅲ</w:t>
            </w:r>
          </w:p>
        </w:tc>
      </w:tr>
      <w:tr w14:paraId="68A9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2173F1CC">
            <w:pPr>
              <w:adjustRightInd w:val="0"/>
              <w:snapToGrid w:val="0"/>
              <w:spacing w:line="240" w:lineRule="exact"/>
              <w:jc w:val="center"/>
              <w:rPr>
                <w:rFonts w:ascii="Times New Roman" w:eastAsia="仿宋"/>
                <w:szCs w:val="21"/>
              </w:rPr>
            </w:pPr>
            <w:r>
              <w:rPr>
                <w:rFonts w:ascii="Times New Roman" w:eastAsia="仿宋"/>
                <w:szCs w:val="21"/>
              </w:rPr>
              <w:t>亚硝酸盐氮（mg/L）</w:t>
            </w:r>
          </w:p>
        </w:tc>
        <w:tc>
          <w:tcPr>
            <w:tcW w:w="632" w:type="pct"/>
            <w:vAlign w:val="center"/>
          </w:tcPr>
          <w:p w14:paraId="750FF2FE">
            <w:pPr>
              <w:spacing w:line="320" w:lineRule="exact"/>
              <w:jc w:val="center"/>
              <w:rPr>
                <w:rFonts w:ascii="Times New Roman" w:eastAsia="仿宋"/>
                <w:szCs w:val="21"/>
              </w:rPr>
            </w:pPr>
            <w:r>
              <w:rPr>
                <w:rFonts w:hint="eastAsia" w:ascii="Times New Roman" w:eastAsia="仿宋"/>
                <w:szCs w:val="21"/>
              </w:rPr>
              <w:t>0.006</w:t>
            </w:r>
          </w:p>
        </w:tc>
        <w:tc>
          <w:tcPr>
            <w:tcW w:w="685" w:type="pct"/>
            <w:vAlign w:val="center"/>
          </w:tcPr>
          <w:p w14:paraId="06168169">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387B88C2">
            <w:pPr>
              <w:widowControl/>
              <w:jc w:val="center"/>
              <w:rPr>
                <w:rFonts w:ascii="Times New Roman" w:eastAsia="仿宋"/>
                <w:szCs w:val="21"/>
              </w:rPr>
            </w:pPr>
            <w:r>
              <w:rPr>
                <w:rFonts w:hint="eastAsia" w:ascii="Times New Roman" w:eastAsia="仿宋"/>
                <w:szCs w:val="21"/>
              </w:rPr>
              <w:t>0</w:t>
            </w:r>
            <w:r>
              <w:rPr>
                <w:rFonts w:ascii="Times New Roman" w:eastAsia="仿宋"/>
                <w:szCs w:val="21"/>
              </w:rPr>
              <w:t>.006</w:t>
            </w:r>
          </w:p>
        </w:tc>
        <w:tc>
          <w:tcPr>
            <w:tcW w:w="576" w:type="pct"/>
            <w:vAlign w:val="center"/>
          </w:tcPr>
          <w:p w14:paraId="57079331">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5012864E">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642FE53C">
            <w:pPr>
              <w:spacing w:line="320" w:lineRule="exact"/>
              <w:jc w:val="center"/>
              <w:rPr>
                <w:rFonts w:ascii="Times New Roman" w:eastAsia="仿宋"/>
                <w:szCs w:val="21"/>
              </w:rPr>
            </w:pPr>
            <w:r>
              <w:rPr>
                <w:rFonts w:hint="eastAsia" w:ascii="Times New Roman" w:eastAsia="仿宋"/>
                <w:szCs w:val="21"/>
              </w:rPr>
              <w:t>Ⅰ</w:t>
            </w:r>
          </w:p>
        </w:tc>
      </w:tr>
      <w:tr w14:paraId="79D6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2F2F55E4">
            <w:pPr>
              <w:adjustRightInd w:val="0"/>
              <w:snapToGrid w:val="0"/>
              <w:spacing w:line="240" w:lineRule="exact"/>
              <w:jc w:val="center"/>
              <w:rPr>
                <w:rFonts w:ascii="Times New Roman" w:eastAsia="仿宋"/>
                <w:szCs w:val="21"/>
              </w:rPr>
            </w:pPr>
            <w:r>
              <w:rPr>
                <w:rFonts w:ascii="Times New Roman" w:eastAsia="仿宋"/>
                <w:szCs w:val="21"/>
              </w:rPr>
              <w:t>挥发酚（mg/L）</w:t>
            </w:r>
          </w:p>
        </w:tc>
        <w:tc>
          <w:tcPr>
            <w:tcW w:w="632" w:type="pct"/>
            <w:vAlign w:val="center"/>
          </w:tcPr>
          <w:p w14:paraId="0F2BABA8">
            <w:pPr>
              <w:spacing w:line="320" w:lineRule="exact"/>
              <w:jc w:val="center"/>
              <w:rPr>
                <w:rFonts w:ascii="Times New Roman" w:eastAsia="仿宋"/>
                <w:szCs w:val="21"/>
              </w:rPr>
            </w:pPr>
            <w:r>
              <w:rPr>
                <w:rFonts w:hint="eastAsia" w:ascii="Times New Roman" w:eastAsia="仿宋"/>
                <w:szCs w:val="21"/>
              </w:rPr>
              <w:t>0.0032</w:t>
            </w:r>
          </w:p>
        </w:tc>
        <w:tc>
          <w:tcPr>
            <w:tcW w:w="685" w:type="pct"/>
            <w:vAlign w:val="center"/>
          </w:tcPr>
          <w:p w14:paraId="664DE92B">
            <w:pPr>
              <w:spacing w:line="320" w:lineRule="exact"/>
              <w:jc w:val="center"/>
              <w:rPr>
                <w:rFonts w:ascii="Times New Roman" w:eastAsia="仿宋"/>
                <w:szCs w:val="21"/>
              </w:rPr>
            </w:pPr>
            <w:r>
              <w:rPr>
                <w:rFonts w:hint="eastAsia" w:ascii="Times New Roman" w:eastAsia="仿宋"/>
                <w:szCs w:val="21"/>
              </w:rPr>
              <w:t>Ⅳ</w:t>
            </w:r>
          </w:p>
        </w:tc>
        <w:tc>
          <w:tcPr>
            <w:tcW w:w="697" w:type="pct"/>
            <w:vAlign w:val="center"/>
          </w:tcPr>
          <w:p w14:paraId="4F9B9C91">
            <w:pPr>
              <w:widowControl/>
              <w:jc w:val="center"/>
              <w:rPr>
                <w:rFonts w:ascii="Times New Roman" w:eastAsia="仿宋"/>
                <w:szCs w:val="21"/>
              </w:rPr>
            </w:pPr>
            <w:r>
              <w:rPr>
                <w:rFonts w:hint="eastAsia" w:ascii="Times New Roman" w:eastAsia="仿宋"/>
                <w:szCs w:val="21"/>
              </w:rPr>
              <w:t>0</w:t>
            </w:r>
            <w:r>
              <w:rPr>
                <w:rFonts w:ascii="Times New Roman" w:eastAsia="仿宋"/>
                <w:szCs w:val="21"/>
              </w:rPr>
              <w:t>.0062</w:t>
            </w:r>
          </w:p>
        </w:tc>
        <w:tc>
          <w:tcPr>
            <w:tcW w:w="576" w:type="pct"/>
            <w:vAlign w:val="center"/>
          </w:tcPr>
          <w:p w14:paraId="3D1576C4">
            <w:pPr>
              <w:spacing w:line="320" w:lineRule="exact"/>
              <w:jc w:val="center"/>
              <w:rPr>
                <w:rFonts w:ascii="Times New Roman" w:eastAsia="仿宋"/>
                <w:szCs w:val="21"/>
              </w:rPr>
            </w:pPr>
            <w:r>
              <w:rPr>
                <w:rFonts w:hint="eastAsia" w:ascii="Times New Roman" w:eastAsia="仿宋"/>
                <w:szCs w:val="21"/>
              </w:rPr>
              <w:t>Ⅳ</w:t>
            </w:r>
          </w:p>
        </w:tc>
        <w:tc>
          <w:tcPr>
            <w:tcW w:w="628" w:type="pct"/>
            <w:vAlign w:val="center"/>
          </w:tcPr>
          <w:p w14:paraId="307B5E11">
            <w:pPr>
              <w:widowControl/>
              <w:snapToGrid w:val="0"/>
              <w:jc w:val="center"/>
              <w:rPr>
                <w:rFonts w:ascii="Times New Roman" w:eastAsia="仿宋"/>
                <w:szCs w:val="21"/>
              </w:rPr>
            </w:pPr>
            <w:r>
              <w:rPr>
                <w:rFonts w:hint="eastAsia" w:ascii="Times New Roman" w:eastAsia="仿宋"/>
                <w:szCs w:val="21"/>
              </w:rPr>
              <w:t>0.0083</w:t>
            </w:r>
          </w:p>
        </w:tc>
        <w:tc>
          <w:tcPr>
            <w:tcW w:w="574" w:type="pct"/>
            <w:vAlign w:val="center"/>
          </w:tcPr>
          <w:p w14:paraId="797B88EE">
            <w:pPr>
              <w:spacing w:line="320" w:lineRule="exact"/>
              <w:jc w:val="center"/>
              <w:rPr>
                <w:rFonts w:ascii="Times New Roman" w:eastAsia="仿宋"/>
                <w:szCs w:val="21"/>
              </w:rPr>
            </w:pPr>
            <w:r>
              <w:rPr>
                <w:rFonts w:hint="eastAsia" w:ascii="Times New Roman" w:eastAsia="仿宋"/>
                <w:szCs w:val="21"/>
              </w:rPr>
              <w:t>Ⅳ</w:t>
            </w:r>
          </w:p>
        </w:tc>
      </w:tr>
      <w:tr w14:paraId="1E45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10980309">
            <w:pPr>
              <w:adjustRightInd w:val="0"/>
              <w:snapToGrid w:val="0"/>
              <w:spacing w:line="240" w:lineRule="exact"/>
              <w:jc w:val="center"/>
              <w:rPr>
                <w:rFonts w:ascii="Times New Roman" w:eastAsia="仿宋"/>
                <w:szCs w:val="21"/>
              </w:rPr>
            </w:pPr>
            <w:r>
              <w:rPr>
                <w:rFonts w:ascii="Times New Roman" w:eastAsia="仿宋"/>
                <w:szCs w:val="21"/>
              </w:rPr>
              <w:t>氰化物（mg/L）</w:t>
            </w:r>
          </w:p>
        </w:tc>
        <w:tc>
          <w:tcPr>
            <w:tcW w:w="632" w:type="pct"/>
            <w:vAlign w:val="center"/>
          </w:tcPr>
          <w:p w14:paraId="4BBD4BF5">
            <w:pPr>
              <w:spacing w:line="320" w:lineRule="exact"/>
              <w:jc w:val="center"/>
              <w:rPr>
                <w:rFonts w:ascii="Times New Roman" w:eastAsia="仿宋"/>
                <w:szCs w:val="21"/>
              </w:rPr>
            </w:pPr>
            <w:r>
              <w:rPr>
                <w:rFonts w:hint="eastAsia" w:ascii="Times New Roman" w:eastAsia="仿宋"/>
                <w:szCs w:val="21"/>
              </w:rPr>
              <w:t>ND</w:t>
            </w:r>
          </w:p>
        </w:tc>
        <w:tc>
          <w:tcPr>
            <w:tcW w:w="685" w:type="pct"/>
            <w:vAlign w:val="center"/>
          </w:tcPr>
          <w:p w14:paraId="396449F4">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63CC2CF6">
            <w:pPr>
              <w:widowControl/>
              <w:jc w:val="center"/>
              <w:rPr>
                <w:rFonts w:ascii="Times New Roman" w:eastAsia="仿宋"/>
                <w:szCs w:val="21"/>
              </w:rPr>
            </w:pPr>
            <w:r>
              <w:rPr>
                <w:rFonts w:ascii="Times New Roman" w:eastAsia="仿宋"/>
                <w:szCs w:val="21"/>
              </w:rPr>
              <w:t>ND</w:t>
            </w:r>
          </w:p>
        </w:tc>
        <w:tc>
          <w:tcPr>
            <w:tcW w:w="576" w:type="pct"/>
            <w:vAlign w:val="center"/>
          </w:tcPr>
          <w:p w14:paraId="1705BC62">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4041AF04">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794D34D2">
            <w:pPr>
              <w:spacing w:line="320" w:lineRule="exact"/>
              <w:jc w:val="center"/>
              <w:rPr>
                <w:rFonts w:ascii="Times New Roman" w:eastAsia="仿宋"/>
                <w:szCs w:val="21"/>
              </w:rPr>
            </w:pPr>
            <w:r>
              <w:rPr>
                <w:rFonts w:hint="eastAsia" w:ascii="Times New Roman" w:eastAsia="仿宋"/>
                <w:szCs w:val="21"/>
              </w:rPr>
              <w:t>Ⅰ</w:t>
            </w:r>
          </w:p>
        </w:tc>
      </w:tr>
      <w:tr w14:paraId="2284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067D368B">
            <w:pPr>
              <w:adjustRightInd w:val="0"/>
              <w:snapToGrid w:val="0"/>
              <w:spacing w:line="240" w:lineRule="exact"/>
              <w:jc w:val="center"/>
              <w:rPr>
                <w:rFonts w:ascii="Times New Roman" w:eastAsia="仿宋"/>
                <w:szCs w:val="21"/>
              </w:rPr>
            </w:pPr>
            <w:r>
              <w:rPr>
                <w:rFonts w:hint="eastAsia" w:ascii="Times New Roman" w:eastAsia="仿宋"/>
                <w:szCs w:val="21"/>
              </w:rPr>
              <w:t>砷</w:t>
            </w:r>
            <w:r>
              <w:rPr>
                <w:rFonts w:ascii="Times New Roman" w:eastAsia="仿宋"/>
                <w:szCs w:val="21"/>
              </w:rPr>
              <w:t>（mg/L）</w:t>
            </w:r>
          </w:p>
        </w:tc>
        <w:tc>
          <w:tcPr>
            <w:tcW w:w="632" w:type="pct"/>
            <w:vAlign w:val="center"/>
          </w:tcPr>
          <w:p w14:paraId="30A4BC08">
            <w:pPr>
              <w:spacing w:line="320" w:lineRule="exact"/>
              <w:jc w:val="center"/>
              <w:rPr>
                <w:rFonts w:ascii="Times New Roman" w:eastAsia="仿宋"/>
                <w:szCs w:val="21"/>
              </w:rPr>
            </w:pPr>
            <w:r>
              <w:rPr>
                <w:rFonts w:hint="eastAsia" w:ascii="Times New Roman" w:eastAsia="仿宋"/>
                <w:szCs w:val="21"/>
              </w:rPr>
              <w:t>7.2*10</w:t>
            </w:r>
            <w:r>
              <w:rPr>
                <w:rFonts w:hint="eastAsia" w:ascii="Times New Roman" w:eastAsia="仿宋"/>
                <w:szCs w:val="21"/>
                <w:vertAlign w:val="superscript"/>
              </w:rPr>
              <w:t>-4</w:t>
            </w:r>
          </w:p>
        </w:tc>
        <w:tc>
          <w:tcPr>
            <w:tcW w:w="685" w:type="pct"/>
            <w:vAlign w:val="center"/>
          </w:tcPr>
          <w:p w14:paraId="5F947C9A">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6FA8ED4B">
            <w:pPr>
              <w:widowControl/>
              <w:jc w:val="center"/>
              <w:rPr>
                <w:rFonts w:ascii="Times New Roman" w:eastAsia="仿宋"/>
                <w:szCs w:val="21"/>
              </w:rPr>
            </w:pPr>
            <w:r>
              <w:rPr>
                <w:rFonts w:ascii="Times New Roman" w:eastAsia="仿宋"/>
                <w:szCs w:val="21"/>
              </w:rPr>
              <w:t>3.49</w:t>
            </w:r>
            <w:r>
              <w:rPr>
                <w:rFonts w:hint="eastAsia" w:ascii="Times New Roman" w:eastAsia="仿宋"/>
                <w:szCs w:val="21"/>
              </w:rPr>
              <w:t>*10</w:t>
            </w:r>
            <w:r>
              <w:rPr>
                <w:rFonts w:hint="eastAsia" w:ascii="Times New Roman" w:eastAsia="仿宋"/>
                <w:szCs w:val="21"/>
                <w:vertAlign w:val="superscript"/>
              </w:rPr>
              <w:t>-</w:t>
            </w:r>
            <w:r>
              <w:rPr>
                <w:rFonts w:ascii="Times New Roman" w:eastAsia="仿宋"/>
                <w:szCs w:val="21"/>
                <w:vertAlign w:val="superscript"/>
              </w:rPr>
              <w:t>3</w:t>
            </w:r>
          </w:p>
        </w:tc>
        <w:tc>
          <w:tcPr>
            <w:tcW w:w="576" w:type="pct"/>
            <w:vAlign w:val="center"/>
          </w:tcPr>
          <w:p w14:paraId="4CC3E152">
            <w:pPr>
              <w:spacing w:line="320" w:lineRule="exact"/>
              <w:jc w:val="center"/>
              <w:rPr>
                <w:rFonts w:ascii="Times New Roman" w:eastAsia="仿宋"/>
                <w:szCs w:val="21"/>
              </w:rPr>
            </w:pPr>
            <w:r>
              <w:rPr>
                <w:rFonts w:hint="eastAsia" w:ascii="Times New Roman" w:eastAsia="仿宋"/>
                <w:szCs w:val="21"/>
              </w:rPr>
              <w:t>Ⅲ</w:t>
            </w:r>
          </w:p>
        </w:tc>
        <w:tc>
          <w:tcPr>
            <w:tcW w:w="628" w:type="pct"/>
            <w:vAlign w:val="center"/>
          </w:tcPr>
          <w:p w14:paraId="12978776">
            <w:pPr>
              <w:widowControl/>
              <w:snapToGrid w:val="0"/>
              <w:jc w:val="center"/>
              <w:rPr>
                <w:rFonts w:ascii="Times New Roman" w:eastAsia="仿宋"/>
                <w:szCs w:val="21"/>
              </w:rPr>
            </w:pPr>
            <w:r>
              <w:rPr>
                <w:rFonts w:hint="eastAsia" w:ascii="Times New Roman" w:eastAsia="仿宋"/>
                <w:szCs w:val="21"/>
              </w:rPr>
              <w:t>1.8*10</w:t>
            </w:r>
            <w:r>
              <w:rPr>
                <w:rFonts w:hint="eastAsia" w:ascii="Times New Roman" w:eastAsia="仿宋"/>
                <w:szCs w:val="21"/>
                <w:vertAlign w:val="superscript"/>
              </w:rPr>
              <w:t>-</w:t>
            </w:r>
            <w:r>
              <w:rPr>
                <w:rFonts w:ascii="Times New Roman" w:eastAsia="仿宋"/>
                <w:szCs w:val="21"/>
                <w:vertAlign w:val="superscript"/>
              </w:rPr>
              <w:t>3</w:t>
            </w:r>
          </w:p>
        </w:tc>
        <w:tc>
          <w:tcPr>
            <w:tcW w:w="574" w:type="pct"/>
            <w:vAlign w:val="center"/>
          </w:tcPr>
          <w:p w14:paraId="3C6DD983">
            <w:pPr>
              <w:spacing w:line="320" w:lineRule="exact"/>
              <w:jc w:val="center"/>
              <w:rPr>
                <w:rFonts w:ascii="Times New Roman" w:eastAsia="仿宋"/>
                <w:szCs w:val="21"/>
              </w:rPr>
            </w:pPr>
            <w:r>
              <w:rPr>
                <w:rFonts w:hint="eastAsia" w:ascii="Times New Roman" w:eastAsia="仿宋"/>
                <w:szCs w:val="21"/>
              </w:rPr>
              <w:t>Ⅲ</w:t>
            </w:r>
          </w:p>
        </w:tc>
      </w:tr>
      <w:tr w14:paraId="1306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45892653">
            <w:pPr>
              <w:adjustRightInd w:val="0"/>
              <w:snapToGrid w:val="0"/>
              <w:spacing w:line="240" w:lineRule="exact"/>
              <w:jc w:val="center"/>
              <w:rPr>
                <w:rFonts w:ascii="Times New Roman" w:eastAsia="仿宋"/>
                <w:szCs w:val="21"/>
              </w:rPr>
            </w:pPr>
            <w:r>
              <w:rPr>
                <w:rFonts w:hint="eastAsia" w:ascii="Times New Roman" w:eastAsia="仿宋"/>
                <w:szCs w:val="21"/>
              </w:rPr>
              <w:t>汞</w:t>
            </w:r>
            <w:r>
              <w:rPr>
                <w:rFonts w:ascii="Times New Roman" w:eastAsia="仿宋"/>
                <w:szCs w:val="21"/>
              </w:rPr>
              <w:t>（mg/L）</w:t>
            </w:r>
          </w:p>
        </w:tc>
        <w:tc>
          <w:tcPr>
            <w:tcW w:w="632" w:type="pct"/>
            <w:vAlign w:val="center"/>
          </w:tcPr>
          <w:p w14:paraId="43F53A82">
            <w:pPr>
              <w:spacing w:line="320" w:lineRule="exact"/>
              <w:jc w:val="center"/>
              <w:rPr>
                <w:rFonts w:ascii="Times New Roman" w:eastAsia="仿宋"/>
                <w:szCs w:val="21"/>
              </w:rPr>
            </w:pPr>
            <w:r>
              <w:rPr>
                <w:rFonts w:hint="eastAsia" w:ascii="Times New Roman" w:eastAsia="仿宋"/>
                <w:szCs w:val="21"/>
              </w:rPr>
              <w:t>ND</w:t>
            </w:r>
          </w:p>
        </w:tc>
        <w:tc>
          <w:tcPr>
            <w:tcW w:w="685" w:type="pct"/>
            <w:vAlign w:val="center"/>
          </w:tcPr>
          <w:p w14:paraId="55A93398">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3FF688E6">
            <w:pPr>
              <w:widowControl/>
              <w:jc w:val="center"/>
              <w:rPr>
                <w:rFonts w:ascii="Times New Roman" w:eastAsia="仿宋"/>
                <w:szCs w:val="21"/>
              </w:rPr>
            </w:pPr>
            <w:r>
              <w:rPr>
                <w:rFonts w:ascii="Times New Roman" w:eastAsia="仿宋"/>
                <w:szCs w:val="21"/>
              </w:rPr>
              <w:t>4</w:t>
            </w:r>
            <w:r>
              <w:rPr>
                <w:rFonts w:hint="eastAsia" w:ascii="Times New Roman" w:eastAsia="仿宋"/>
                <w:szCs w:val="21"/>
              </w:rPr>
              <w:t>*10</w:t>
            </w:r>
            <w:r>
              <w:rPr>
                <w:rFonts w:hint="eastAsia" w:ascii="Times New Roman" w:eastAsia="仿宋"/>
                <w:szCs w:val="21"/>
                <w:vertAlign w:val="superscript"/>
              </w:rPr>
              <w:t>-</w:t>
            </w:r>
            <w:r>
              <w:rPr>
                <w:rFonts w:ascii="Times New Roman" w:eastAsia="仿宋"/>
                <w:szCs w:val="21"/>
                <w:vertAlign w:val="superscript"/>
              </w:rPr>
              <w:t>5</w:t>
            </w:r>
          </w:p>
        </w:tc>
        <w:tc>
          <w:tcPr>
            <w:tcW w:w="576" w:type="pct"/>
            <w:vAlign w:val="center"/>
          </w:tcPr>
          <w:p w14:paraId="578E713E">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08FAA769">
            <w:pPr>
              <w:widowControl/>
              <w:snapToGrid w:val="0"/>
              <w:jc w:val="center"/>
              <w:rPr>
                <w:rFonts w:ascii="Times New Roman" w:eastAsia="仿宋"/>
                <w:szCs w:val="21"/>
              </w:rPr>
            </w:pPr>
            <w:r>
              <w:rPr>
                <w:rFonts w:hint="eastAsia" w:ascii="Times New Roman" w:eastAsia="仿宋"/>
                <w:szCs w:val="21"/>
              </w:rPr>
              <w:t>6*10</w:t>
            </w:r>
            <w:r>
              <w:rPr>
                <w:rFonts w:hint="eastAsia" w:ascii="Times New Roman" w:eastAsia="仿宋"/>
                <w:szCs w:val="21"/>
                <w:vertAlign w:val="superscript"/>
              </w:rPr>
              <w:t>-5</w:t>
            </w:r>
          </w:p>
        </w:tc>
        <w:tc>
          <w:tcPr>
            <w:tcW w:w="574" w:type="pct"/>
            <w:vAlign w:val="center"/>
          </w:tcPr>
          <w:p w14:paraId="688B0288">
            <w:pPr>
              <w:spacing w:line="320" w:lineRule="exact"/>
              <w:jc w:val="center"/>
              <w:rPr>
                <w:rFonts w:ascii="Times New Roman" w:eastAsia="仿宋"/>
                <w:szCs w:val="21"/>
              </w:rPr>
            </w:pPr>
            <w:r>
              <w:rPr>
                <w:rFonts w:hint="eastAsia" w:ascii="Times New Roman" w:eastAsia="仿宋"/>
                <w:szCs w:val="21"/>
              </w:rPr>
              <w:t>Ⅰ</w:t>
            </w:r>
          </w:p>
        </w:tc>
      </w:tr>
      <w:tr w14:paraId="3481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1DDC796D">
            <w:pPr>
              <w:adjustRightInd w:val="0"/>
              <w:snapToGrid w:val="0"/>
              <w:spacing w:line="240" w:lineRule="exact"/>
              <w:jc w:val="center"/>
              <w:rPr>
                <w:rFonts w:ascii="Times New Roman" w:eastAsia="仿宋"/>
                <w:szCs w:val="21"/>
              </w:rPr>
            </w:pPr>
            <w:r>
              <w:rPr>
                <w:rFonts w:hint="eastAsia" w:ascii="Times New Roman" w:eastAsia="仿宋"/>
                <w:szCs w:val="21"/>
              </w:rPr>
              <w:t>六价铬</w:t>
            </w:r>
            <w:r>
              <w:rPr>
                <w:rFonts w:ascii="Times New Roman" w:eastAsia="仿宋"/>
                <w:szCs w:val="21"/>
              </w:rPr>
              <w:t>（mg/L）</w:t>
            </w:r>
          </w:p>
        </w:tc>
        <w:tc>
          <w:tcPr>
            <w:tcW w:w="632" w:type="pct"/>
            <w:vAlign w:val="center"/>
          </w:tcPr>
          <w:p w14:paraId="77325C02">
            <w:pPr>
              <w:spacing w:line="320" w:lineRule="exact"/>
              <w:jc w:val="center"/>
              <w:rPr>
                <w:rFonts w:ascii="Times New Roman" w:eastAsia="仿宋"/>
                <w:szCs w:val="21"/>
              </w:rPr>
            </w:pPr>
            <w:r>
              <w:rPr>
                <w:rFonts w:hint="eastAsia" w:ascii="Times New Roman" w:eastAsia="仿宋"/>
                <w:szCs w:val="21"/>
              </w:rPr>
              <w:t>ND</w:t>
            </w:r>
          </w:p>
        </w:tc>
        <w:tc>
          <w:tcPr>
            <w:tcW w:w="685" w:type="pct"/>
            <w:vAlign w:val="center"/>
          </w:tcPr>
          <w:p w14:paraId="3CDC24CC">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7849279F">
            <w:pPr>
              <w:widowControl/>
              <w:jc w:val="center"/>
              <w:rPr>
                <w:rFonts w:ascii="Times New Roman" w:eastAsia="仿宋"/>
                <w:szCs w:val="21"/>
              </w:rPr>
            </w:pPr>
            <w:r>
              <w:rPr>
                <w:rFonts w:hint="eastAsia" w:ascii="Times New Roman" w:eastAsia="仿宋"/>
                <w:szCs w:val="21"/>
              </w:rPr>
              <w:t>ND</w:t>
            </w:r>
          </w:p>
        </w:tc>
        <w:tc>
          <w:tcPr>
            <w:tcW w:w="576" w:type="pct"/>
            <w:vAlign w:val="center"/>
          </w:tcPr>
          <w:p w14:paraId="69416D19">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2208F69D">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421121C1">
            <w:pPr>
              <w:spacing w:line="320" w:lineRule="exact"/>
              <w:jc w:val="center"/>
              <w:rPr>
                <w:rFonts w:ascii="Times New Roman" w:eastAsia="仿宋"/>
                <w:szCs w:val="21"/>
              </w:rPr>
            </w:pPr>
            <w:r>
              <w:rPr>
                <w:rFonts w:hint="eastAsia" w:ascii="Times New Roman" w:eastAsia="仿宋"/>
                <w:szCs w:val="21"/>
              </w:rPr>
              <w:t>Ⅰ</w:t>
            </w:r>
          </w:p>
        </w:tc>
      </w:tr>
      <w:tr w14:paraId="01BB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E2DBF30">
            <w:pPr>
              <w:adjustRightInd w:val="0"/>
              <w:snapToGrid w:val="0"/>
              <w:spacing w:line="240" w:lineRule="exact"/>
              <w:jc w:val="center"/>
              <w:rPr>
                <w:rFonts w:ascii="Times New Roman" w:eastAsia="仿宋"/>
                <w:szCs w:val="21"/>
              </w:rPr>
            </w:pPr>
            <w:r>
              <w:rPr>
                <w:rFonts w:ascii="Times New Roman" w:eastAsia="仿宋"/>
                <w:szCs w:val="21"/>
              </w:rPr>
              <w:t>总硬度（mg/L）</w:t>
            </w:r>
          </w:p>
        </w:tc>
        <w:tc>
          <w:tcPr>
            <w:tcW w:w="632" w:type="pct"/>
            <w:vAlign w:val="center"/>
          </w:tcPr>
          <w:p w14:paraId="0B950141">
            <w:pPr>
              <w:spacing w:line="320" w:lineRule="exact"/>
              <w:jc w:val="center"/>
              <w:rPr>
                <w:rFonts w:ascii="Times New Roman" w:eastAsia="仿宋"/>
                <w:szCs w:val="21"/>
              </w:rPr>
            </w:pPr>
            <w:r>
              <w:rPr>
                <w:rFonts w:hint="eastAsia" w:ascii="Times New Roman" w:eastAsia="仿宋"/>
                <w:szCs w:val="21"/>
              </w:rPr>
              <w:t>201</w:t>
            </w:r>
          </w:p>
        </w:tc>
        <w:tc>
          <w:tcPr>
            <w:tcW w:w="685" w:type="pct"/>
            <w:vAlign w:val="center"/>
          </w:tcPr>
          <w:p w14:paraId="420AFEBC">
            <w:pPr>
              <w:spacing w:line="320" w:lineRule="exact"/>
              <w:jc w:val="center"/>
              <w:rPr>
                <w:rFonts w:ascii="Times New Roman" w:eastAsia="仿宋"/>
                <w:szCs w:val="21"/>
              </w:rPr>
            </w:pPr>
            <w:r>
              <w:rPr>
                <w:rFonts w:hint="eastAsia" w:ascii="Times New Roman" w:eastAsia="仿宋"/>
                <w:szCs w:val="21"/>
              </w:rPr>
              <w:t>Ⅱ</w:t>
            </w:r>
          </w:p>
        </w:tc>
        <w:tc>
          <w:tcPr>
            <w:tcW w:w="697" w:type="pct"/>
            <w:vAlign w:val="center"/>
          </w:tcPr>
          <w:p w14:paraId="4C6EF767">
            <w:pPr>
              <w:widowControl/>
              <w:jc w:val="center"/>
              <w:rPr>
                <w:rFonts w:ascii="Times New Roman" w:eastAsia="仿宋"/>
                <w:szCs w:val="21"/>
              </w:rPr>
            </w:pPr>
            <w:r>
              <w:rPr>
                <w:rFonts w:hint="eastAsia" w:ascii="Times New Roman" w:eastAsia="仿宋"/>
                <w:szCs w:val="21"/>
              </w:rPr>
              <w:t>182</w:t>
            </w:r>
          </w:p>
        </w:tc>
        <w:tc>
          <w:tcPr>
            <w:tcW w:w="576" w:type="pct"/>
            <w:vAlign w:val="center"/>
          </w:tcPr>
          <w:p w14:paraId="0C4EA86A">
            <w:pPr>
              <w:spacing w:line="320" w:lineRule="exact"/>
              <w:jc w:val="center"/>
              <w:rPr>
                <w:rFonts w:ascii="Times New Roman" w:eastAsia="仿宋"/>
                <w:szCs w:val="21"/>
              </w:rPr>
            </w:pPr>
            <w:r>
              <w:rPr>
                <w:rFonts w:hint="eastAsia" w:ascii="Times New Roman" w:eastAsia="仿宋"/>
                <w:szCs w:val="21"/>
              </w:rPr>
              <w:t>Ⅱ</w:t>
            </w:r>
          </w:p>
        </w:tc>
        <w:tc>
          <w:tcPr>
            <w:tcW w:w="628" w:type="pct"/>
            <w:vAlign w:val="center"/>
          </w:tcPr>
          <w:p w14:paraId="6A901674">
            <w:pPr>
              <w:widowControl/>
              <w:snapToGrid w:val="0"/>
              <w:jc w:val="center"/>
              <w:rPr>
                <w:rFonts w:ascii="Times New Roman" w:eastAsia="仿宋"/>
                <w:szCs w:val="21"/>
              </w:rPr>
            </w:pPr>
            <w:r>
              <w:rPr>
                <w:rFonts w:hint="eastAsia" w:ascii="Times New Roman" w:eastAsia="仿宋"/>
                <w:szCs w:val="21"/>
              </w:rPr>
              <w:t>236</w:t>
            </w:r>
          </w:p>
        </w:tc>
        <w:tc>
          <w:tcPr>
            <w:tcW w:w="574" w:type="pct"/>
            <w:vAlign w:val="center"/>
          </w:tcPr>
          <w:p w14:paraId="37DA9B79">
            <w:pPr>
              <w:spacing w:line="320" w:lineRule="exact"/>
              <w:jc w:val="center"/>
              <w:rPr>
                <w:rFonts w:ascii="Times New Roman" w:eastAsia="仿宋"/>
                <w:szCs w:val="21"/>
              </w:rPr>
            </w:pPr>
            <w:r>
              <w:rPr>
                <w:rFonts w:hint="eastAsia" w:ascii="Times New Roman" w:eastAsia="仿宋"/>
                <w:szCs w:val="21"/>
              </w:rPr>
              <w:t>Ⅱ</w:t>
            </w:r>
          </w:p>
        </w:tc>
      </w:tr>
      <w:tr w14:paraId="59B5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9F6C1F5">
            <w:pPr>
              <w:adjustRightInd w:val="0"/>
              <w:snapToGrid w:val="0"/>
              <w:spacing w:line="240" w:lineRule="exact"/>
              <w:jc w:val="center"/>
              <w:rPr>
                <w:rFonts w:ascii="Times New Roman" w:eastAsia="仿宋"/>
                <w:szCs w:val="21"/>
              </w:rPr>
            </w:pPr>
            <w:r>
              <w:rPr>
                <w:rFonts w:ascii="Times New Roman" w:eastAsia="仿宋"/>
                <w:szCs w:val="21"/>
              </w:rPr>
              <w:t>铅（</w:t>
            </w:r>
            <w:r>
              <w:rPr>
                <w:rFonts w:hint="eastAsia" w:ascii="Times New Roman" w:eastAsia="仿宋"/>
                <w:szCs w:val="21"/>
              </w:rPr>
              <w:t>m</w:t>
            </w:r>
            <w:r>
              <w:rPr>
                <w:rFonts w:ascii="Times New Roman" w:eastAsia="仿宋"/>
                <w:szCs w:val="21"/>
              </w:rPr>
              <w:t>g/L）</w:t>
            </w:r>
          </w:p>
        </w:tc>
        <w:tc>
          <w:tcPr>
            <w:tcW w:w="632" w:type="pct"/>
            <w:vAlign w:val="center"/>
          </w:tcPr>
          <w:p w14:paraId="0E301049">
            <w:pPr>
              <w:spacing w:line="320" w:lineRule="exact"/>
              <w:jc w:val="center"/>
              <w:rPr>
                <w:rFonts w:ascii="Times New Roman" w:eastAsia="仿宋"/>
                <w:szCs w:val="21"/>
              </w:rPr>
            </w:pPr>
            <w:r>
              <w:rPr>
                <w:rFonts w:ascii="Times New Roman" w:eastAsia="仿宋"/>
                <w:szCs w:val="21"/>
              </w:rPr>
              <w:t>1</w:t>
            </w:r>
            <w:r>
              <w:rPr>
                <w:rFonts w:hint="eastAsia" w:ascii="Times New Roman" w:eastAsia="仿宋"/>
                <w:szCs w:val="21"/>
              </w:rPr>
              <w:t>.</w:t>
            </w:r>
            <w:r>
              <w:rPr>
                <w:rFonts w:ascii="Times New Roman" w:eastAsia="仿宋"/>
                <w:szCs w:val="21"/>
              </w:rPr>
              <w:t>18</w:t>
            </w:r>
            <w:r>
              <w:rPr>
                <w:rFonts w:hint="eastAsia" w:ascii="Times New Roman" w:eastAsia="仿宋"/>
                <w:szCs w:val="21"/>
              </w:rPr>
              <w:t>*10</w:t>
            </w:r>
            <w:r>
              <w:rPr>
                <w:rFonts w:hint="eastAsia" w:ascii="Times New Roman" w:eastAsia="仿宋"/>
                <w:szCs w:val="21"/>
                <w:vertAlign w:val="superscript"/>
              </w:rPr>
              <w:t>-</w:t>
            </w:r>
            <w:r>
              <w:rPr>
                <w:rFonts w:ascii="Times New Roman" w:eastAsia="仿宋"/>
                <w:szCs w:val="21"/>
                <w:vertAlign w:val="superscript"/>
              </w:rPr>
              <w:t>3</w:t>
            </w:r>
          </w:p>
        </w:tc>
        <w:tc>
          <w:tcPr>
            <w:tcW w:w="685" w:type="pct"/>
            <w:vAlign w:val="center"/>
          </w:tcPr>
          <w:p w14:paraId="5A27E391">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15201286">
            <w:pPr>
              <w:widowControl/>
              <w:jc w:val="center"/>
              <w:rPr>
                <w:rFonts w:ascii="Times New Roman" w:eastAsia="仿宋"/>
                <w:szCs w:val="21"/>
              </w:rPr>
            </w:pPr>
            <w:r>
              <w:rPr>
                <w:rFonts w:hint="eastAsia" w:ascii="Times New Roman" w:eastAsia="仿宋"/>
                <w:szCs w:val="21"/>
              </w:rPr>
              <w:t>1.26*10</w:t>
            </w:r>
            <w:r>
              <w:rPr>
                <w:rFonts w:hint="eastAsia" w:ascii="Times New Roman" w:eastAsia="仿宋"/>
                <w:szCs w:val="21"/>
                <w:vertAlign w:val="superscript"/>
              </w:rPr>
              <w:t>-</w:t>
            </w:r>
            <w:r>
              <w:rPr>
                <w:rFonts w:ascii="Times New Roman" w:eastAsia="仿宋"/>
                <w:szCs w:val="21"/>
                <w:vertAlign w:val="superscript"/>
              </w:rPr>
              <w:t>3</w:t>
            </w:r>
          </w:p>
        </w:tc>
        <w:tc>
          <w:tcPr>
            <w:tcW w:w="576" w:type="pct"/>
            <w:vAlign w:val="center"/>
          </w:tcPr>
          <w:p w14:paraId="018E0D79">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5E37CA80">
            <w:pPr>
              <w:widowControl/>
              <w:snapToGrid w:val="0"/>
              <w:jc w:val="center"/>
              <w:rPr>
                <w:rFonts w:ascii="Times New Roman" w:eastAsia="仿宋"/>
                <w:szCs w:val="21"/>
              </w:rPr>
            </w:pPr>
            <w:r>
              <w:rPr>
                <w:rFonts w:hint="eastAsia" w:ascii="Times New Roman" w:eastAsia="仿宋"/>
                <w:szCs w:val="21"/>
              </w:rPr>
              <w:t>5.29*10</w:t>
            </w:r>
            <w:r>
              <w:rPr>
                <w:rFonts w:hint="eastAsia" w:ascii="Times New Roman" w:eastAsia="仿宋"/>
                <w:szCs w:val="21"/>
                <w:vertAlign w:val="superscript"/>
              </w:rPr>
              <w:t>-</w:t>
            </w:r>
            <w:r>
              <w:rPr>
                <w:rFonts w:ascii="Times New Roman" w:eastAsia="仿宋"/>
                <w:szCs w:val="21"/>
                <w:vertAlign w:val="superscript"/>
              </w:rPr>
              <w:t>3</w:t>
            </w:r>
          </w:p>
        </w:tc>
        <w:tc>
          <w:tcPr>
            <w:tcW w:w="574" w:type="pct"/>
            <w:vAlign w:val="center"/>
          </w:tcPr>
          <w:p w14:paraId="251C455B">
            <w:pPr>
              <w:spacing w:line="320" w:lineRule="exact"/>
              <w:jc w:val="center"/>
              <w:rPr>
                <w:rFonts w:ascii="Times New Roman" w:eastAsia="仿宋"/>
                <w:szCs w:val="21"/>
              </w:rPr>
            </w:pPr>
            <w:r>
              <w:rPr>
                <w:rFonts w:hint="eastAsia" w:ascii="Times New Roman" w:eastAsia="仿宋"/>
                <w:szCs w:val="21"/>
              </w:rPr>
              <w:t>Ⅲ</w:t>
            </w:r>
          </w:p>
        </w:tc>
      </w:tr>
      <w:tr w14:paraId="6290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1A2C79F3">
            <w:pPr>
              <w:adjustRightInd w:val="0"/>
              <w:snapToGrid w:val="0"/>
              <w:spacing w:line="240" w:lineRule="exact"/>
              <w:jc w:val="center"/>
              <w:rPr>
                <w:rFonts w:ascii="Times New Roman" w:eastAsia="仿宋"/>
                <w:szCs w:val="21"/>
              </w:rPr>
            </w:pPr>
            <w:r>
              <w:rPr>
                <w:rFonts w:hint="eastAsia" w:ascii="Times New Roman" w:eastAsia="仿宋"/>
                <w:szCs w:val="21"/>
              </w:rPr>
              <w:t>氟化物</w:t>
            </w:r>
            <w:r>
              <w:rPr>
                <w:rFonts w:ascii="Times New Roman" w:eastAsia="仿宋"/>
                <w:szCs w:val="21"/>
              </w:rPr>
              <w:t>（mg/L）</w:t>
            </w:r>
          </w:p>
        </w:tc>
        <w:tc>
          <w:tcPr>
            <w:tcW w:w="632" w:type="pct"/>
            <w:vAlign w:val="center"/>
          </w:tcPr>
          <w:p w14:paraId="0F5AFEE7">
            <w:pPr>
              <w:spacing w:line="320" w:lineRule="exact"/>
              <w:jc w:val="center"/>
              <w:rPr>
                <w:rFonts w:ascii="Times New Roman" w:eastAsia="仿宋"/>
                <w:szCs w:val="21"/>
              </w:rPr>
            </w:pPr>
            <w:r>
              <w:rPr>
                <w:rFonts w:hint="eastAsia" w:ascii="Times New Roman" w:eastAsia="仿宋"/>
                <w:szCs w:val="21"/>
              </w:rPr>
              <w:t>0</w:t>
            </w:r>
            <w:r>
              <w:rPr>
                <w:rFonts w:ascii="Times New Roman" w:eastAsia="仿宋"/>
                <w:szCs w:val="21"/>
              </w:rPr>
              <w:t>.5</w:t>
            </w:r>
          </w:p>
        </w:tc>
        <w:tc>
          <w:tcPr>
            <w:tcW w:w="685" w:type="pct"/>
            <w:vAlign w:val="center"/>
          </w:tcPr>
          <w:p w14:paraId="5097AC05">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32D39658">
            <w:pPr>
              <w:widowControl/>
              <w:jc w:val="center"/>
              <w:rPr>
                <w:rFonts w:ascii="Times New Roman" w:eastAsia="仿宋"/>
                <w:szCs w:val="21"/>
              </w:rPr>
            </w:pPr>
            <w:r>
              <w:rPr>
                <w:rFonts w:hint="eastAsia" w:ascii="Times New Roman" w:eastAsia="仿宋"/>
                <w:szCs w:val="21"/>
              </w:rPr>
              <w:t>0.71</w:t>
            </w:r>
          </w:p>
        </w:tc>
        <w:tc>
          <w:tcPr>
            <w:tcW w:w="576" w:type="pct"/>
            <w:vAlign w:val="center"/>
          </w:tcPr>
          <w:p w14:paraId="7BF31452">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188061E9">
            <w:pPr>
              <w:widowControl/>
              <w:snapToGrid w:val="0"/>
              <w:jc w:val="center"/>
              <w:rPr>
                <w:rFonts w:ascii="Times New Roman" w:eastAsia="仿宋"/>
                <w:szCs w:val="21"/>
              </w:rPr>
            </w:pPr>
            <w:r>
              <w:rPr>
                <w:rFonts w:hint="eastAsia" w:ascii="Times New Roman" w:eastAsia="仿宋"/>
                <w:szCs w:val="21"/>
              </w:rPr>
              <w:t>0.549</w:t>
            </w:r>
          </w:p>
        </w:tc>
        <w:tc>
          <w:tcPr>
            <w:tcW w:w="574" w:type="pct"/>
            <w:vAlign w:val="center"/>
          </w:tcPr>
          <w:p w14:paraId="5221D840">
            <w:pPr>
              <w:spacing w:line="320" w:lineRule="exact"/>
              <w:jc w:val="center"/>
              <w:rPr>
                <w:rFonts w:ascii="Times New Roman" w:eastAsia="仿宋"/>
                <w:szCs w:val="21"/>
              </w:rPr>
            </w:pPr>
            <w:r>
              <w:rPr>
                <w:rFonts w:hint="eastAsia" w:ascii="Times New Roman" w:eastAsia="仿宋"/>
                <w:szCs w:val="21"/>
              </w:rPr>
              <w:t>Ⅰ</w:t>
            </w:r>
          </w:p>
        </w:tc>
      </w:tr>
      <w:tr w14:paraId="7F39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FBFD30C">
            <w:pPr>
              <w:adjustRightInd w:val="0"/>
              <w:snapToGrid w:val="0"/>
              <w:spacing w:line="240" w:lineRule="exact"/>
              <w:jc w:val="center"/>
              <w:rPr>
                <w:rFonts w:ascii="Times New Roman" w:eastAsia="仿宋"/>
                <w:szCs w:val="21"/>
              </w:rPr>
            </w:pPr>
            <w:r>
              <w:rPr>
                <w:rFonts w:hint="eastAsia" w:ascii="Times New Roman" w:eastAsia="仿宋"/>
                <w:szCs w:val="21"/>
              </w:rPr>
              <w:t>镉</w:t>
            </w:r>
            <w:r>
              <w:rPr>
                <w:rFonts w:ascii="Times New Roman" w:eastAsia="仿宋"/>
                <w:szCs w:val="21"/>
              </w:rPr>
              <w:t>（</w:t>
            </w:r>
            <w:r>
              <w:rPr>
                <w:rFonts w:hint="eastAsia" w:ascii="Times New Roman" w:eastAsia="仿宋"/>
                <w:szCs w:val="21"/>
              </w:rPr>
              <w:t>m</w:t>
            </w:r>
            <w:r>
              <w:rPr>
                <w:rFonts w:ascii="Times New Roman" w:eastAsia="仿宋"/>
                <w:szCs w:val="21"/>
              </w:rPr>
              <w:t>g/L）</w:t>
            </w:r>
          </w:p>
        </w:tc>
        <w:tc>
          <w:tcPr>
            <w:tcW w:w="632" w:type="pct"/>
            <w:vAlign w:val="center"/>
          </w:tcPr>
          <w:p w14:paraId="6F7B90E6">
            <w:pPr>
              <w:spacing w:line="320" w:lineRule="exact"/>
              <w:jc w:val="center"/>
              <w:rPr>
                <w:rFonts w:ascii="Times New Roman" w:eastAsia="仿宋"/>
                <w:szCs w:val="21"/>
              </w:rPr>
            </w:pPr>
            <w:r>
              <w:rPr>
                <w:rFonts w:ascii="Times New Roman" w:eastAsia="仿宋"/>
                <w:szCs w:val="21"/>
              </w:rPr>
              <w:t>9</w:t>
            </w:r>
            <w:r>
              <w:rPr>
                <w:rFonts w:hint="eastAsia" w:ascii="Times New Roman" w:eastAsia="仿宋"/>
                <w:szCs w:val="21"/>
              </w:rPr>
              <w:t>*10</w:t>
            </w:r>
            <w:r>
              <w:rPr>
                <w:rFonts w:hint="eastAsia" w:ascii="Times New Roman" w:eastAsia="仿宋"/>
                <w:szCs w:val="21"/>
                <w:vertAlign w:val="superscript"/>
              </w:rPr>
              <w:t>-</w:t>
            </w:r>
            <w:r>
              <w:rPr>
                <w:rFonts w:ascii="Times New Roman" w:eastAsia="仿宋"/>
                <w:szCs w:val="21"/>
                <w:vertAlign w:val="superscript"/>
              </w:rPr>
              <w:t>5</w:t>
            </w:r>
          </w:p>
        </w:tc>
        <w:tc>
          <w:tcPr>
            <w:tcW w:w="685" w:type="pct"/>
            <w:vAlign w:val="center"/>
          </w:tcPr>
          <w:p w14:paraId="6C68AC62">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6A2F978B">
            <w:pPr>
              <w:widowControl/>
              <w:jc w:val="center"/>
              <w:rPr>
                <w:rFonts w:ascii="Times New Roman" w:eastAsia="仿宋"/>
                <w:szCs w:val="21"/>
              </w:rPr>
            </w:pPr>
            <w:r>
              <w:rPr>
                <w:rFonts w:hint="eastAsia" w:ascii="Times New Roman" w:eastAsia="仿宋"/>
                <w:szCs w:val="21"/>
              </w:rPr>
              <w:t>ND</w:t>
            </w:r>
          </w:p>
        </w:tc>
        <w:tc>
          <w:tcPr>
            <w:tcW w:w="576" w:type="pct"/>
            <w:vAlign w:val="center"/>
          </w:tcPr>
          <w:p w14:paraId="652D0399">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72FDBD21">
            <w:pPr>
              <w:widowControl/>
              <w:snapToGrid w:val="0"/>
              <w:jc w:val="center"/>
              <w:rPr>
                <w:rFonts w:ascii="Times New Roman" w:eastAsia="仿宋"/>
                <w:szCs w:val="21"/>
              </w:rPr>
            </w:pPr>
            <w:r>
              <w:rPr>
                <w:rFonts w:ascii="Times New Roman" w:eastAsia="仿宋"/>
                <w:szCs w:val="21"/>
              </w:rPr>
              <w:t>9</w:t>
            </w:r>
            <w:r>
              <w:rPr>
                <w:rFonts w:hint="eastAsia" w:ascii="Times New Roman" w:eastAsia="仿宋"/>
                <w:szCs w:val="21"/>
              </w:rPr>
              <w:t>*10</w:t>
            </w:r>
            <w:r>
              <w:rPr>
                <w:rFonts w:hint="eastAsia" w:ascii="Times New Roman" w:eastAsia="仿宋"/>
                <w:szCs w:val="21"/>
                <w:vertAlign w:val="superscript"/>
              </w:rPr>
              <w:t>-</w:t>
            </w:r>
            <w:r>
              <w:rPr>
                <w:rFonts w:ascii="Times New Roman" w:eastAsia="仿宋"/>
                <w:szCs w:val="21"/>
                <w:vertAlign w:val="superscript"/>
              </w:rPr>
              <w:t>5</w:t>
            </w:r>
          </w:p>
        </w:tc>
        <w:tc>
          <w:tcPr>
            <w:tcW w:w="574" w:type="pct"/>
            <w:vAlign w:val="center"/>
          </w:tcPr>
          <w:p w14:paraId="1AD3F7ED">
            <w:pPr>
              <w:spacing w:line="320" w:lineRule="exact"/>
              <w:jc w:val="center"/>
              <w:rPr>
                <w:rFonts w:ascii="Times New Roman" w:eastAsia="仿宋"/>
                <w:szCs w:val="21"/>
              </w:rPr>
            </w:pPr>
            <w:r>
              <w:rPr>
                <w:rFonts w:hint="eastAsia" w:ascii="Times New Roman" w:eastAsia="仿宋"/>
                <w:szCs w:val="21"/>
              </w:rPr>
              <w:t>Ⅰ</w:t>
            </w:r>
          </w:p>
        </w:tc>
      </w:tr>
      <w:tr w14:paraId="282F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1D5C79F7">
            <w:pPr>
              <w:adjustRightInd w:val="0"/>
              <w:snapToGrid w:val="0"/>
              <w:spacing w:line="240" w:lineRule="exact"/>
              <w:jc w:val="center"/>
              <w:rPr>
                <w:rFonts w:ascii="Times New Roman" w:eastAsia="仿宋"/>
                <w:szCs w:val="21"/>
              </w:rPr>
            </w:pPr>
            <w:r>
              <w:rPr>
                <w:rFonts w:ascii="Times New Roman" w:eastAsia="仿宋"/>
                <w:szCs w:val="21"/>
              </w:rPr>
              <w:t>铁（mg/L）</w:t>
            </w:r>
          </w:p>
        </w:tc>
        <w:tc>
          <w:tcPr>
            <w:tcW w:w="632" w:type="pct"/>
            <w:vAlign w:val="center"/>
          </w:tcPr>
          <w:p w14:paraId="3786F50D">
            <w:pPr>
              <w:spacing w:line="320" w:lineRule="exact"/>
              <w:jc w:val="center"/>
              <w:rPr>
                <w:rFonts w:ascii="Times New Roman" w:eastAsia="仿宋"/>
                <w:szCs w:val="21"/>
              </w:rPr>
            </w:pPr>
            <w:r>
              <w:rPr>
                <w:rFonts w:hint="eastAsia" w:ascii="Times New Roman" w:eastAsia="仿宋"/>
                <w:szCs w:val="21"/>
              </w:rPr>
              <w:t>0</w:t>
            </w:r>
            <w:r>
              <w:rPr>
                <w:rFonts w:ascii="Times New Roman" w:eastAsia="仿宋"/>
                <w:szCs w:val="21"/>
              </w:rPr>
              <w:t>.02</w:t>
            </w:r>
          </w:p>
        </w:tc>
        <w:tc>
          <w:tcPr>
            <w:tcW w:w="685" w:type="pct"/>
            <w:vAlign w:val="center"/>
          </w:tcPr>
          <w:p w14:paraId="4F55BC5F">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12E2F2DD">
            <w:pPr>
              <w:widowControl/>
              <w:jc w:val="center"/>
              <w:rPr>
                <w:rFonts w:ascii="Times New Roman" w:eastAsia="仿宋"/>
                <w:szCs w:val="21"/>
              </w:rPr>
            </w:pPr>
            <w:r>
              <w:rPr>
                <w:rFonts w:hint="eastAsia" w:ascii="Times New Roman" w:eastAsia="仿宋"/>
                <w:szCs w:val="21"/>
              </w:rPr>
              <w:t>0.02</w:t>
            </w:r>
          </w:p>
        </w:tc>
        <w:tc>
          <w:tcPr>
            <w:tcW w:w="576" w:type="pct"/>
            <w:vAlign w:val="center"/>
          </w:tcPr>
          <w:p w14:paraId="2CB833FF">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51AF25BE">
            <w:pPr>
              <w:widowControl/>
              <w:snapToGrid w:val="0"/>
              <w:jc w:val="center"/>
              <w:rPr>
                <w:rFonts w:ascii="Times New Roman" w:eastAsia="仿宋"/>
                <w:szCs w:val="21"/>
              </w:rPr>
            </w:pPr>
            <w:r>
              <w:rPr>
                <w:rFonts w:hint="eastAsia" w:ascii="Times New Roman" w:eastAsia="仿宋"/>
                <w:szCs w:val="21"/>
              </w:rPr>
              <w:t>0.11</w:t>
            </w:r>
          </w:p>
        </w:tc>
        <w:tc>
          <w:tcPr>
            <w:tcW w:w="574" w:type="pct"/>
            <w:vAlign w:val="center"/>
          </w:tcPr>
          <w:p w14:paraId="042E16C7">
            <w:pPr>
              <w:spacing w:line="320" w:lineRule="exact"/>
              <w:jc w:val="center"/>
              <w:rPr>
                <w:rFonts w:ascii="Times New Roman" w:eastAsia="仿宋"/>
                <w:szCs w:val="21"/>
              </w:rPr>
            </w:pPr>
            <w:r>
              <w:rPr>
                <w:rFonts w:hint="eastAsia" w:ascii="Times New Roman" w:eastAsia="仿宋"/>
                <w:szCs w:val="21"/>
              </w:rPr>
              <w:t>Ⅱ</w:t>
            </w:r>
          </w:p>
        </w:tc>
      </w:tr>
      <w:tr w14:paraId="6FB6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5AAECA0">
            <w:pPr>
              <w:adjustRightInd w:val="0"/>
              <w:snapToGrid w:val="0"/>
              <w:spacing w:line="240" w:lineRule="exact"/>
              <w:jc w:val="center"/>
              <w:rPr>
                <w:rFonts w:ascii="Times New Roman" w:eastAsia="仿宋"/>
                <w:szCs w:val="21"/>
                <w:vertAlign w:val="superscript"/>
              </w:rPr>
            </w:pPr>
            <w:r>
              <w:rPr>
                <w:rFonts w:ascii="Times New Roman" w:eastAsia="仿宋"/>
                <w:szCs w:val="21"/>
              </w:rPr>
              <w:t>锰（</w:t>
            </w:r>
            <w:r>
              <w:rPr>
                <w:rFonts w:hint="eastAsia" w:ascii="Times New Roman" w:eastAsia="仿宋"/>
                <w:szCs w:val="21"/>
              </w:rPr>
              <w:t>m</w:t>
            </w:r>
            <w:r>
              <w:rPr>
                <w:rFonts w:ascii="Times New Roman" w:eastAsia="仿宋"/>
                <w:szCs w:val="21"/>
              </w:rPr>
              <w:t>g/L）</w:t>
            </w:r>
          </w:p>
        </w:tc>
        <w:tc>
          <w:tcPr>
            <w:tcW w:w="632" w:type="pct"/>
            <w:vAlign w:val="center"/>
          </w:tcPr>
          <w:p w14:paraId="6021C593">
            <w:pPr>
              <w:spacing w:line="320" w:lineRule="exact"/>
              <w:jc w:val="center"/>
              <w:rPr>
                <w:rFonts w:ascii="Times New Roman" w:eastAsia="仿宋"/>
                <w:szCs w:val="21"/>
              </w:rPr>
            </w:pPr>
            <w:r>
              <w:rPr>
                <w:rFonts w:hint="eastAsia" w:ascii="Times New Roman" w:eastAsia="仿宋"/>
                <w:szCs w:val="21"/>
              </w:rPr>
              <w:t>N</w:t>
            </w:r>
            <w:r>
              <w:rPr>
                <w:rFonts w:ascii="Times New Roman" w:eastAsia="仿宋"/>
                <w:szCs w:val="21"/>
              </w:rPr>
              <w:t>D</w:t>
            </w:r>
          </w:p>
        </w:tc>
        <w:tc>
          <w:tcPr>
            <w:tcW w:w="685" w:type="pct"/>
            <w:vAlign w:val="center"/>
          </w:tcPr>
          <w:p w14:paraId="4A794267">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556EEF1E">
            <w:pPr>
              <w:widowControl/>
              <w:jc w:val="center"/>
              <w:rPr>
                <w:rFonts w:ascii="Times New Roman" w:eastAsia="仿宋"/>
                <w:szCs w:val="21"/>
              </w:rPr>
            </w:pPr>
            <w:r>
              <w:rPr>
                <w:rFonts w:hint="eastAsia" w:ascii="Times New Roman" w:eastAsia="仿宋"/>
                <w:szCs w:val="21"/>
              </w:rPr>
              <w:t>ND</w:t>
            </w:r>
          </w:p>
        </w:tc>
        <w:tc>
          <w:tcPr>
            <w:tcW w:w="576" w:type="pct"/>
            <w:vAlign w:val="center"/>
          </w:tcPr>
          <w:p w14:paraId="2AD760F6">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5F9E5CC9">
            <w:pPr>
              <w:widowControl/>
              <w:snapToGrid w:val="0"/>
              <w:jc w:val="center"/>
              <w:rPr>
                <w:rFonts w:ascii="Times New Roman" w:eastAsia="仿宋"/>
                <w:szCs w:val="21"/>
              </w:rPr>
            </w:pPr>
            <w:r>
              <w:rPr>
                <w:rFonts w:hint="eastAsia" w:ascii="Times New Roman" w:eastAsia="仿宋"/>
                <w:szCs w:val="21"/>
              </w:rPr>
              <w:t>0.07</w:t>
            </w:r>
          </w:p>
        </w:tc>
        <w:tc>
          <w:tcPr>
            <w:tcW w:w="574" w:type="pct"/>
            <w:vAlign w:val="center"/>
          </w:tcPr>
          <w:p w14:paraId="46408416">
            <w:pPr>
              <w:spacing w:line="320" w:lineRule="exact"/>
              <w:jc w:val="center"/>
              <w:rPr>
                <w:rFonts w:ascii="Times New Roman" w:eastAsia="仿宋"/>
                <w:szCs w:val="21"/>
              </w:rPr>
            </w:pPr>
            <w:r>
              <w:rPr>
                <w:rFonts w:hint="eastAsia" w:ascii="Times New Roman" w:eastAsia="仿宋"/>
                <w:szCs w:val="21"/>
              </w:rPr>
              <w:t>Ⅰ</w:t>
            </w:r>
          </w:p>
        </w:tc>
      </w:tr>
      <w:tr w14:paraId="22E3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61A66A4">
            <w:pPr>
              <w:adjustRightInd w:val="0"/>
              <w:snapToGrid w:val="0"/>
              <w:spacing w:line="240" w:lineRule="exact"/>
              <w:jc w:val="center"/>
              <w:rPr>
                <w:rFonts w:ascii="Times New Roman" w:eastAsia="仿宋"/>
                <w:szCs w:val="21"/>
              </w:rPr>
            </w:pPr>
            <w:r>
              <w:rPr>
                <w:rFonts w:hint="eastAsia" w:ascii="Times New Roman" w:eastAsia="仿宋"/>
                <w:szCs w:val="21"/>
              </w:rPr>
              <w:t>溶解性固体总量</w:t>
            </w:r>
            <w:r>
              <w:rPr>
                <w:rFonts w:ascii="Times New Roman" w:eastAsia="仿宋"/>
                <w:szCs w:val="21"/>
              </w:rPr>
              <w:t>（mg/L）</w:t>
            </w:r>
          </w:p>
        </w:tc>
        <w:tc>
          <w:tcPr>
            <w:tcW w:w="632" w:type="pct"/>
            <w:vAlign w:val="center"/>
          </w:tcPr>
          <w:p w14:paraId="475EC56C">
            <w:pPr>
              <w:spacing w:line="320" w:lineRule="exact"/>
              <w:jc w:val="center"/>
              <w:rPr>
                <w:rFonts w:ascii="Times New Roman" w:eastAsia="仿宋"/>
                <w:szCs w:val="21"/>
              </w:rPr>
            </w:pPr>
            <w:r>
              <w:rPr>
                <w:rFonts w:hint="eastAsia" w:ascii="Times New Roman" w:eastAsia="仿宋"/>
                <w:szCs w:val="21"/>
              </w:rPr>
              <w:t>3</w:t>
            </w:r>
            <w:r>
              <w:rPr>
                <w:rFonts w:ascii="Times New Roman" w:eastAsia="仿宋"/>
                <w:szCs w:val="21"/>
              </w:rPr>
              <w:t>80</w:t>
            </w:r>
          </w:p>
        </w:tc>
        <w:tc>
          <w:tcPr>
            <w:tcW w:w="685" w:type="pct"/>
            <w:vAlign w:val="center"/>
          </w:tcPr>
          <w:p w14:paraId="14F09368">
            <w:pPr>
              <w:spacing w:line="320" w:lineRule="exact"/>
              <w:jc w:val="center"/>
              <w:rPr>
                <w:rFonts w:ascii="Times New Roman" w:eastAsia="仿宋"/>
                <w:szCs w:val="21"/>
              </w:rPr>
            </w:pPr>
            <w:r>
              <w:rPr>
                <w:rFonts w:hint="eastAsia" w:ascii="Times New Roman" w:eastAsia="仿宋"/>
                <w:szCs w:val="21"/>
              </w:rPr>
              <w:t>Ⅱ</w:t>
            </w:r>
          </w:p>
        </w:tc>
        <w:tc>
          <w:tcPr>
            <w:tcW w:w="697" w:type="pct"/>
            <w:vAlign w:val="center"/>
          </w:tcPr>
          <w:p w14:paraId="1B10C50C">
            <w:pPr>
              <w:widowControl/>
              <w:jc w:val="center"/>
              <w:rPr>
                <w:rFonts w:ascii="Times New Roman" w:eastAsia="仿宋"/>
                <w:szCs w:val="21"/>
              </w:rPr>
            </w:pPr>
            <w:r>
              <w:rPr>
                <w:rFonts w:hint="eastAsia" w:ascii="Times New Roman" w:eastAsia="仿宋"/>
                <w:szCs w:val="21"/>
              </w:rPr>
              <w:t>362</w:t>
            </w:r>
          </w:p>
        </w:tc>
        <w:tc>
          <w:tcPr>
            <w:tcW w:w="576" w:type="pct"/>
            <w:vAlign w:val="center"/>
          </w:tcPr>
          <w:p w14:paraId="4797AD26">
            <w:pPr>
              <w:spacing w:line="320" w:lineRule="exact"/>
              <w:jc w:val="center"/>
              <w:rPr>
                <w:rFonts w:ascii="Times New Roman" w:eastAsia="仿宋"/>
                <w:szCs w:val="21"/>
              </w:rPr>
            </w:pPr>
            <w:r>
              <w:rPr>
                <w:rFonts w:hint="eastAsia" w:ascii="Times New Roman" w:eastAsia="仿宋"/>
                <w:szCs w:val="21"/>
              </w:rPr>
              <w:t>Ⅱ</w:t>
            </w:r>
          </w:p>
        </w:tc>
        <w:tc>
          <w:tcPr>
            <w:tcW w:w="628" w:type="pct"/>
            <w:vAlign w:val="center"/>
          </w:tcPr>
          <w:p w14:paraId="0F8CDA57">
            <w:pPr>
              <w:widowControl/>
              <w:snapToGrid w:val="0"/>
              <w:jc w:val="center"/>
              <w:rPr>
                <w:rFonts w:ascii="Times New Roman" w:eastAsia="仿宋"/>
                <w:szCs w:val="21"/>
              </w:rPr>
            </w:pPr>
            <w:r>
              <w:rPr>
                <w:rFonts w:hint="eastAsia" w:ascii="Times New Roman" w:eastAsia="仿宋"/>
                <w:szCs w:val="21"/>
              </w:rPr>
              <w:t>407</w:t>
            </w:r>
          </w:p>
        </w:tc>
        <w:tc>
          <w:tcPr>
            <w:tcW w:w="574" w:type="pct"/>
            <w:vAlign w:val="center"/>
          </w:tcPr>
          <w:p w14:paraId="09F1916D">
            <w:pPr>
              <w:spacing w:line="320" w:lineRule="exact"/>
              <w:jc w:val="center"/>
              <w:rPr>
                <w:rFonts w:ascii="Times New Roman" w:eastAsia="仿宋"/>
                <w:szCs w:val="21"/>
              </w:rPr>
            </w:pPr>
            <w:r>
              <w:rPr>
                <w:rFonts w:hint="eastAsia" w:ascii="Times New Roman" w:eastAsia="仿宋"/>
                <w:szCs w:val="21"/>
              </w:rPr>
              <w:t>Ⅱ</w:t>
            </w:r>
          </w:p>
        </w:tc>
      </w:tr>
      <w:tr w14:paraId="425E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645D9476">
            <w:pPr>
              <w:adjustRightInd w:val="0"/>
              <w:snapToGrid w:val="0"/>
              <w:spacing w:line="240" w:lineRule="exact"/>
              <w:jc w:val="center"/>
              <w:rPr>
                <w:rFonts w:ascii="Times New Roman" w:eastAsia="仿宋"/>
                <w:szCs w:val="21"/>
              </w:rPr>
            </w:pPr>
            <w:r>
              <w:rPr>
                <w:rFonts w:hint="eastAsia" w:ascii="Times New Roman" w:eastAsia="仿宋"/>
                <w:szCs w:val="21"/>
              </w:rPr>
              <w:t>高锰酸盐指数</w:t>
            </w:r>
            <w:r>
              <w:rPr>
                <w:rFonts w:ascii="Times New Roman" w:eastAsia="仿宋"/>
                <w:szCs w:val="21"/>
              </w:rPr>
              <w:t>（</w:t>
            </w:r>
            <w:r>
              <w:rPr>
                <w:rFonts w:hint="eastAsia" w:ascii="Times New Roman" w:eastAsia="仿宋"/>
                <w:szCs w:val="21"/>
              </w:rPr>
              <w:t>m</w:t>
            </w:r>
            <w:r>
              <w:rPr>
                <w:rFonts w:ascii="Times New Roman" w:eastAsia="仿宋"/>
                <w:szCs w:val="21"/>
              </w:rPr>
              <w:t>g/L）</w:t>
            </w:r>
          </w:p>
        </w:tc>
        <w:tc>
          <w:tcPr>
            <w:tcW w:w="632" w:type="pct"/>
            <w:vAlign w:val="center"/>
          </w:tcPr>
          <w:p w14:paraId="06AC55E6">
            <w:pPr>
              <w:spacing w:line="320" w:lineRule="exact"/>
              <w:jc w:val="center"/>
              <w:rPr>
                <w:rFonts w:ascii="Times New Roman" w:eastAsia="仿宋"/>
                <w:szCs w:val="21"/>
              </w:rPr>
            </w:pPr>
            <w:r>
              <w:rPr>
                <w:rFonts w:hint="eastAsia" w:ascii="Times New Roman" w:eastAsia="仿宋"/>
                <w:szCs w:val="21"/>
              </w:rPr>
              <w:t>1</w:t>
            </w:r>
            <w:r>
              <w:rPr>
                <w:rFonts w:ascii="Times New Roman" w:eastAsia="仿宋"/>
                <w:szCs w:val="21"/>
              </w:rPr>
              <w:t>.4</w:t>
            </w:r>
          </w:p>
        </w:tc>
        <w:tc>
          <w:tcPr>
            <w:tcW w:w="685" w:type="pct"/>
            <w:vAlign w:val="center"/>
          </w:tcPr>
          <w:p w14:paraId="5EC14C6B">
            <w:pPr>
              <w:spacing w:line="320" w:lineRule="exact"/>
              <w:jc w:val="center"/>
              <w:rPr>
                <w:rFonts w:ascii="Times New Roman" w:eastAsia="仿宋"/>
                <w:szCs w:val="21"/>
              </w:rPr>
            </w:pPr>
            <w:r>
              <w:rPr>
                <w:rFonts w:hint="eastAsia" w:ascii="Times New Roman" w:eastAsia="仿宋"/>
                <w:szCs w:val="21"/>
              </w:rPr>
              <w:t>Ⅱ</w:t>
            </w:r>
          </w:p>
        </w:tc>
        <w:tc>
          <w:tcPr>
            <w:tcW w:w="697" w:type="pct"/>
            <w:vAlign w:val="center"/>
          </w:tcPr>
          <w:p w14:paraId="2D7CAAED">
            <w:pPr>
              <w:widowControl/>
              <w:jc w:val="center"/>
              <w:rPr>
                <w:rFonts w:ascii="Times New Roman" w:eastAsia="仿宋"/>
                <w:szCs w:val="21"/>
              </w:rPr>
            </w:pPr>
            <w:r>
              <w:rPr>
                <w:rFonts w:hint="eastAsia" w:ascii="Times New Roman" w:eastAsia="仿宋"/>
                <w:szCs w:val="21"/>
              </w:rPr>
              <w:t>1.2</w:t>
            </w:r>
          </w:p>
        </w:tc>
        <w:tc>
          <w:tcPr>
            <w:tcW w:w="576" w:type="pct"/>
            <w:vAlign w:val="center"/>
          </w:tcPr>
          <w:p w14:paraId="4F806EFD">
            <w:pPr>
              <w:spacing w:line="320" w:lineRule="exact"/>
              <w:jc w:val="center"/>
              <w:rPr>
                <w:rFonts w:ascii="Times New Roman" w:eastAsia="仿宋"/>
                <w:szCs w:val="21"/>
              </w:rPr>
            </w:pPr>
            <w:r>
              <w:rPr>
                <w:rFonts w:hint="eastAsia" w:ascii="Times New Roman" w:eastAsia="仿宋"/>
                <w:szCs w:val="21"/>
              </w:rPr>
              <w:t>Ⅱ</w:t>
            </w:r>
          </w:p>
        </w:tc>
        <w:tc>
          <w:tcPr>
            <w:tcW w:w="628" w:type="pct"/>
            <w:vAlign w:val="center"/>
          </w:tcPr>
          <w:p w14:paraId="1B558B37">
            <w:pPr>
              <w:widowControl/>
              <w:snapToGrid w:val="0"/>
              <w:jc w:val="center"/>
              <w:rPr>
                <w:rFonts w:ascii="Times New Roman" w:eastAsia="仿宋"/>
                <w:szCs w:val="21"/>
              </w:rPr>
            </w:pPr>
            <w:r>
              <w:rPr>
                <w:rFonts w:hint="eastAsia" w:ascii="Times New Roman" w:eastAsia="仿宋"/>
                <w:szCs w:val="21"/>
              </w:rPr>
              <w:t>1.1</w:t>
            </w:r>
          </w:p>
        </w:tc>
        <w:tc>
          <w:tcPr>
            <w:tcW w:w="574" w:type="pct"/>
            <w:vAlign w:val="center"/>
          </w:tcPr>
          <w:p w14:paraId="4416DC51">
            <w:pPr>
              <w:spacing w:line="320" w:lineRule="exact"/>
              <w:jc w:val="center"/>
              <w:rPr>
                <w:rFonts w:ascii="Times New Roman" w:eastAsia="仿宋"/>
                <w:szCs w:val="21"/>
              </w:rPr>
            </w:pPr>
            <w:r>
              <w:rPr>
                <w:rFonts w:hint="eastAsia" w:ascii="Times New Roman" w:eastAsia="仿宋"/>
                <w:szCs w:val="21"/>
              </w:rPr>
              <w:t>Ⅱ</w:t>
            </w:r>
          </w:p>
        </w:tc>
      </w:tr>
      <w:tr w14:paraId="06A7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631BD208">
            <w:pPr>
              <w:adjustRightInd w:val="0"/>
              <w:snapToGrid w:val="0"/>
              <w:spacing w:line="240" w:lineRule="exact"/>
              <w:jc w:val="center"/>
              <w:rPr>
                <w:rFonts w:ascii="Times New Roman" w:eastAsia="仿宋"/>
                <w:szCs w:val="21"/>
              </w:rPr>
            </w:pPr>
            <w:r>
              <w:rPr>
                <w:rFonts w:hint="eastAsia" w:ascii="Times New Roman" w:eastAsia="仿宋"/>
                <w:szCs w:val="21"/>
              </w:rPr>
              <w:t>硫酸盐</w:t>
            </w:r>
            <w:r>
              <w:rPr>
                <w:rFonts w:ascii="Times New Roman" w:eastAsia="仿宋"/>
                <w:szCs w:val="21"/>
              </w:rPr>
              <w:t>（mg/L）</w:t>
            </w:r>
          </w:p>
        </w:tc>
        <w:tc>
          <w:tcPr>
            <w:tcW w:w="632" w:type="pct"/>
            <w:vAlign w:val="center"/>
          </w:tcPr>
          <w:p w14:paraId="65E10CD5">
            <w:pPr>
              <w:widowControl/>
              <w:snapToGrid w:val="0"/>
              <w:jc w:val="center"/>
              <w:rPr>
                <w:rFonts w:ascii="Times New Roman" w:eastAsia="仿宋"/>
                <w:szCs w:val="21"/>
              </w:rPr>
            </w:pPr>
            <w:r>
              <w:rPr>
                <w:rFonts w:hint="eastAsia" w:ascii="Times New Roman" w:eastAsia="仿宋"/>
                <w:szCs w:val="21"/>
              </w:rPr>
              <w:t>6</w:t>
            </w:r>
            <w:r>
              <w:rPr>
                <w:rFonts w:ascii="Times New Roman" w:eastAsia="仿宋"/>
                <w:szCs w:val="21"/>
              </w:rPr>
              <w:t>2</w:t>
            </w:r>
          </w:p>
        </w:tc>
        <w:tc>
          <w:tcPr>
            <w:tcW w:w="685" w:type="pct"/>
            <w:vAlign w:val="center"/>
          </w:tcPr>
          <w:p w14:paraId="7349FB60">
            <w:pPr>
              <w:spacing w:line="320" w:lineRule="exact"/>
              <w:jc w:val="center"/>
              <w:rPr>
                <w:rFonts w:ascii="Times New Roman" w:eastAsia="仿宋"/>
                <w:szCs w:val="21"/>
              </w:rPr>
            </w:pPr>
            <w:r>
              <w:rPr>
                <w:rFonts w:hint="eastAsia" w:ascii="Times New Roman" w:eastAsia="仿宋"/>
                <w:szCs w:val="21"/>
              </w:rPr>
              <w:t>Ⅱ</w:t>
            </w:r>
          </w:p>
        </w:tc>
        <w:tc>
          <w:tcPr>
            <w:tcW w:w="697" w:type="pct"/>
            <w:vAlign w:val="center"/>
          </w:tcPr>
          <w:p w14:paraId="7B1AB3B4">
            <w:pPr>
              <w:widowControl/>
              <w:jc w:val="center"/>
              <w:rPr>
                <w:rFonts w:ascii="Times New Roman" w:eastAsia="仿宋"/>
                <w:szCs w:val="21"/>
              </w:rPr>
            </w:pPr>
            <w:r>
              <w:rPr>
                <w:rFonts w:hint="eastAsia" w:ascii="Times New Roman" w:eastAsia="仿宋"/>
                <w:szCs w:val="21"/>
              </w:rPr>
              <w:t>68</w:t>
            </w:r>
          </w:p>
        </w:tc>
        <w:tc>
          <w:tcPr>
            <w:tcW w:w="576" w:type="pct"/>
            <w:vAlign w:val="center"/>
          </w:tcPr>
          <w:p w14:paraId="27805426">
            <w:pPr>
              <w:spacing w:line="320" w:lineRule="exact"/>
              <w:jc w:val="center"/>
              <w:rPr>
                <w:rFonts w:ascii="Times New Roman" w:eastAsia="仿宋"/>
                <w:szCs w:val="21"/>
              </w:rPr>
            </w:pPr>
            <w:r>
              <w:rPr>
                <w:rFonts w:hint="eastAsia" w:ascii="Times New Roman" w:eastAsia="仿宋"/>
                <w:szCs w:val="21"/>
              </w:rPr>
              <w:t>Ⅱ</w:t>
            </w:r>
          </w:p>
        </w:tc>
        <w:tc>
          <w:tcPr>
            <w:tcW w:w="628" w:type="pct"/>
            <w:vAlign w:val="center"/>
          </w:tcPr>
          <w:p w14:paraId="7DFFABDF">
            <w:pPr>
              <w:widowControl/>
              <w:snapToGrid w:val="0"/>
              <w:jc w:val="center"/>
              <w:rPr>
                <w:rFonts w:ascii="Times New Roman" w:eastAsia="仿宋"/>
                <w:szCs w:val="21"/>
              </w:rPr>
            </w:pPr>
            <w:r>
              <w:rPr>
                <w:rFonts w:hint="eastAsia" w:ascii="Times New Roman" w:eastAsia="仿宋"/>
                <w:szCs w:val="21"/>
              </w:rPr>
              <w:t>63</w:t>
            </w:r>
          </w:p>
        </w:tc>
        <w:tc>
          <w:tcPr>
            <w:tcW w:w="574" w:type="pct"/>
            <w:vAlign w:val="center"/>
          </w:tcPr>
          <w:p w14:paraId="3988EE7B">
            <w:pPr>
              <w:spacing w:line="320" w:lineRule="exact"/>
              <w:jc w:val="center"/>
              <w:rPr>
                <w:rFonts w:ascii="Times New Roman" w:eastAsia="仿宋"/>
                <w:szCs w:val="21"/>
              </w:rPr>
            </w:pPr>
            <w:r>
              <w:rPr>
                <w:rFonts w:hint="eastAsia" w:ascii="Times New Roman" w:eastAsia="仿宋"/>
                <w:szCs w:val="21"/>
              </w:rPr>
              <w:t>Ⅱ</w:t>
            </w:r>
          </w:p>
        </w:tc>
      </w:tr>
      <w:tr w14:paraId="37B3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09C2B7A">
            <w:pPr>
              <w:adjustRightInd w:val="0"/>
              <w:snapToGrid w:val="0"/>
              <w:spacing w:line="240" w:lineRule="exact"/>
              <w:jc w:val="center"/>
              <w:rPr>
                <w:rFonts w:ascii="Times New Roman" w:eastAsia="仿宋"/>
                <w:szCs w:val="21"/>
              </w:rPr>
            </w:pPr>
            <w:r>
              <w:rPr>
                <w:rFonts w:hint="eastAsia" w:ascii="Times New Roman" w:eastAsia="仿宋"/>
                <w:szCs w:val="21"/>
              </w:rPr>
              <w:t>氯</w:t>
            </w:r>
            <w:r>
              <w:rPr>
                <w:rFonts w:ascii="Times New Roman" w:eastAsia="仿宋"/>
                <w:szCs w:val="21"/>
              </w:rPr>
              <w:t>化物（mg/L）</w:t>
            </w:r>
          </w:p>
        </w:tc>
        <w:tc>
          <w:tcPr>
            <w:tcW w:w="632" w:type="pct"/>
            <w:vAlign w:val="center"/>
          </w:tcPr>
          <w:p w14:paraId="08266966">
            <w:pPr>
              <w:widowControl/>
              <w:snapToGrid w:val="0"/>
              <w:jc w:val="center"/>
              <w:rPr>
                <w:rFonts w:ascii="Times New Roman" w:eastAsia="仿宋"/>
                <w:szCs w:val="21"/>
              </w:rPr>
            </w:pPr>
            <w:r>
              <w:rPr>
                <w:rFonts w:hint="eastAsia" w:ascii="Times New Roman" w:eastAsia="仿宋"/>
                <w:szCs w:val="21"/>
              </w:rPr>
              <w:t>4</w:t>
            </w:r>
            <w:r>
              <w:rPr>
                <w:rFonts w:ascii="Times New Roman" w:eastAsia="仿宋"/>
                <w:szCs w:val="21"/>
              </w:rPr>
              <w:t>0</w:t>
            </w:r>
          </w:p>
        </w:tc>
        <w:tc>
          <w:tcPr>
            <w:tcW w:w="685" w:type="pct"/>
            <w:vAlign w:val="center"/>
          </w:tcPr>
          <w:p w14:paraId="173C9F31">
            <w:pPr>
              <w:spacing w:line="320" w:lineRule="exact"/>
              <w:jc w:val="center"/>
              <w:rPr>
                <w:rFonts w:ascii="Times New Roman" w:eastAsia="仿宋"/>
                <w:szCs w:val="21"/>
              </w:rPr>
            </w:pPr>
            <w:r>
              <w:rPr>
                <w:rFonts w:hint="eastAsia" w:ascii="Times New Roman" w:eastAsia="仿宋"/>
                <w:szCs w:val="21"/>
              </w:rPr>
              <w:t>Ⅰ</w:t>
            </w:r>
          </w:p>
        </w:tc>
        <w:tc>
          <w:tcPr>
            <w:tcW w:w="697" w:type="pct"/>
            <w:vAlign w:val="center"/>
          </w:tcPr>
          <w:p w14:paraId="23AEA3AC">
            <w:pPr>
              <w:widowControl/>
              <w:jc w:val="center"/>
              <w:rPr>
                <w:rFonts w:ascii="Times New Roman" w:eastAsia="仿宋"/>
                <w:szCs w:val="21"/>
              </w:rPr>
            </w:pPr>
            <w:r>
              <w:rPr>
                <w:rFonts w:hint="eastAsia" w:ascii="Times New Roman" w:eastAsia="仿宋"/>
                <w:szCs w:val="21"/>
              </w:rPr>
              <w:t>40</w:t>
            </w:r>
          </w:p>
        </w:tc>
        <w:tc>
          <w:tcPr>
            <w:tcW w:w="576" w:type="pct"/>
            <w:vAlign w:val="center"/>
          </w:tcPr>
          <w:p w14:paraId="55BDCBEB">
            <w:pPr>
              <w:spacing w:line="320" w:lineRule="exact"/>
              <w:jc w:val="center"/>
              <w:rPr>
                <w:rFonts w:ascii="Times New Roman" w:eastAsia="仿宋"/>
                <w:szCs w:val="21"/>
              </w:rPr>
            </w:pPr>
            <w:r>
              <w:rPr>
                <w:rFonts w:hint="eastAsia" w:ascii="Times New Roman" w:eastAsia="仿宋"/>
                <w:szCs w:val="21"/>
              </w:rPr>
              <w:t>Ⅰ</w:t>
            </w:r>
          </w:p>
        </w:tc>
        <w:tc>
          <w:tcPr>
            <w:tcW w:w="628" w:type="pct"/>
            <w:vAlign w:val="center"/>
          </w:tcPr>
          <w:p w14:paraId="3218802E">
            <w:pPr>
              <w:widowControl/>
              <w:snapToGrid w:val="0"/>
              <w:jc w:val="center"/>
              <w:rPr>
                <w:rFonts w:ascii="Times New Roman" w:eastAsia="仿宋"/>
                <w:szCs w:val="21"/>
              </w:rPr>
            </w:pPr>
            <w:r>
              <w:rPr>
                <w:rFonts w:hint="eastAsia" w:ascii="Times New Roman" w:eastAsia="仿宋"/>
                <w:szCs w:val="21"/>
              </w:rPr>
              <w:t>68</w:t>
            </w:r>
          </w:p>
        </w:tc>
        <w:tc>
          <w:tcPr>
            <w:tcW w:w="574" w:type="pct"/>
            <w:vAlign w:val="center"/>
          </w:tcPr>
          <w:p w14:paraId="58BA495C">
            <w:pPr>
              <w:spacing w:line="320" w:lineRule="exact"/>
              <w:jc w:val="center"/>
              <w:rPr>
                <w:rFonts w:ascii="Times New Roman" w:eastAsia="仿宋"/>
                <w:szCs w:val="21"/>
              </w:rPr>
            </w:pPr>
            <w:r>
              <w:rPr>
                <w:rFonts w:hint="eastAsia" w:ascii="Times New Roman" w:eastAsia="仿宋"/>
                <w:szCs w:val="21"/>
              </w:rPr>
              <w:t>Ⅱ</w:t>
            </w:r>
          </w:p>
        </w:tc>
      </w:tr>
      <w:tr w14:paraId="7B7B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2C80153C">
            <w:pPr>
              <w:adjustRightInd w:val="0"/>
              <w:snapToGrid w:val="0"/>
              <w:spacing w:line="240" w:lineRule="exact"/>
              <w:jc w:val="center"/>
              <w:rPr>
                <w:rFonts w:ascii="Times New Roman" w:eastAsia="仿宋"/>
                <w:szCs w:val="21"/>
              </w:rPr>
            </w:pPr>
            <w:r>
              <w:rPr>
                <w:rFonts w:ascii="Times New Roman" w:eastAsia="仿宋"/>
                <w:szCs w:val="21"/>
              </w:rPr>
              <w:t>总大肠杆菌（MPN/100mL）</w:t>
            </w:r>
          </w:p>
        </w:tc>
        <w:tc>
          <w:tcPr>
            <w:tcW w:w="632" w:type="pct"/>
            <w:vAlign w:val="center"/>
          </w:tcPr>
          <w:p w14:paraId="127F8894">
            <w:pPr>
              <w:widowControl/>
              <w:snapToGrid w:val="0"/>
              <w:jc w:val="center"/>
              <w:rPr>
                <w:rFonts w:ascii="Times New Roman" w:eastAsia="仿宋"/>
                <w:szCs w:val="21"/>
              </w:rPr>
            </w:pPr>
            <w:r>
              <w:rPr>
                <w:rFonts w:hint="eastAsia" w:ascii="Times New Roman" w:eastAsia="仿宋"/>
                <w:szCs w:val="21"/>
              </w:rPr>
              <w:t>9</w:t>
            </w:r>
            <w:r>
              <w:rPr>
                <w:rFonts w:ascii="Times New Roman" w:eastAsia="仿宋"/>
                <w:szCs w:val="21"/>
              </w:rPr>
              <w:t>20</w:t>
            </w:r>
          </w:p>
        </w:tc>
        <w:tc>
          <w:tcPr>
            <w:tcW w:w="685" w:type="pct"/>
            <w:vAlign w:val="center"/>
          </w:tcPr>
          <w:p w14:paraId="564BE367">
            <w:pPr>
              <w:widowControl/>
              <w:snapToGrid w:val="0"/>
              <w:jc w:val="center"/>
              <w:rPr>
                <w:rFonts w:ascii="Times New Roman" w:eastAsia="仿宋"/>
                <w:szCs w:val="21"/>
              </w:rPr>
            </w:pPr>
            <w:r>
              <w:rPr>
                <w:rFonts w:hint="eastAsia" w:ascii="Times New Roman" w:eastAsia="仿宋"/>
                <w:szCs w:val="21"/>
              </w:rPr>
              <w:t>V</w:t>
            </w:r>
          </w:p>
        </w:tc>
        <w:tc>
          <w:tcPr>
            <w:tcW w:w="697" w:type="pct"/>
            <w:vAlign w:val="center"/>
          </w:tcPr>
          <w:p w14:paraId="5883EE6C">
            <w:pPr>
              <w:widowControl/>
              <w:jc w:val="center"/>
              <w:rPr>
                <w:rFonts w:ascii="Times New Roman" w:eastAsia="仿宋"/>
                <w:szCs w:val="21"/>
              </w:rPr>
            </w:pPr>
            <w:r>
              <w:rPr>
                <w:rFonts w:hint="eastAsia" w:ascii="Times New Roman" w:eastAsia="仿宋"/>
                <w:szCs w:val="21"/>
              </w:rPr>
              <w:t>1.6*10</w:t>
            </w:r>
            <w:r>
              <w:rPr>
                <w:rFonts w:ascii="Times New Roman" w:eastAsia="仿宋"/>
                <w:szCs w:val="21"/>
                <w:vertAlign w:val="superscript"/>
              </w:rPr>
              <w:t>3</w:t>
            </w:r>
          </w:p>
        </w:tc>
        <w:tc>
          <w:tcPr>
            <w:tcW w:w="576" w:type="pct"/>
            <w:vAlign w:val="center"/>
          </w:tcPr>
          <w:p w14:paraId="57DF12C5">
            <w:pPr>
              <w:widowControl/>
              <w:snapToGrid w:val="0"/>
              <w:jc w:val="center"/>
              <w:rPr>
                <w:rFonts w:ascii="Times New Roman" w:eastAsia="仿宋"/>
                <w:szCs w:val="21"/>
              </w:rPr>
            </w:pPr>
            <w:r>
              <w:rPr>
                <w:rFonts w:hint="eastAsia" w:ascii="Times New Roman" w:eastAsia="仿宋"/>
                <w:szCs w:val="21"/>
              </w:rPr>
              <w:t>V</w:t>
            </w:r>
          </w:p>
        </w:tc>
        <w:tc>
          <w:tcPr>
            <w:tcW w:w="628" w:type="pct"/>
            <w:vAlign w:val="center"/>
          </w:tcPr>
          <w:p w14:paraId="5F9DCA12">
            <w:pPr>
              <w:widowControl/>
              <w:snapToGrid w:val="0"/>
              <w:jc w:val="center"/>
              <w:rPr>
                <w:rFonts w:ascii="Times New Roman" w:eastAsia="仿宋"/>
                <w:szCs w:val="21"/>
              </w:rPr>
            </w:pPr>
            <w:r>
              <w:rPr>
                <w:rFonts w:hint="eastAsia" w:ascii="Times New Roman" w:eastAsia="仿宋"/>
                <w:szCs w:val="21"/>
              </w:rPr>
              <w:t>540</w:t>
            </w:r>
          </w:p>
        </w:tc>
        <w:tc>
          <w:tcPr>
            <w:tcW w:w="574" w:type="pct"/>
            <w:vAlign w:val="center"/>
          </w:tcPr>
          <w:p w14:paraId="7A8F6478">
            <w:pPr>
              <w:widowControl/>
              <w:snapToGrid w:val="0"/>
              <w:jc w:val="center"/>
              <w:rPr>
                <w:rFonts w:ascii="Times New Roman" w:eastAsia="仿宋"/>
                <w:szCs w:val="21"/>
              </w:rPr>
            </w:pPr>
            <w:r>
              <w:rPr>
                <w:rFonts w:hint="eastAsia" w:ascii="Times New Roman" w:eastAsia="仿宋"/>
                <w:szCs w:val="21"/>
              </w:rPr>
              <w:t>V</w:t>
            </w:r>
          </w:p>
        </w:tc>
      </w:tr>
      <w:tr w14:paraId="3027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425F3824">
            <w:pPr>
              <w:adjustRightInd w:val="0"/>
              <w:snapToGrid w:val="0"/>
              <w:spacing w:line="240" w:lineRule="exact"/>
              <w:jc w:val="center"/>
              <w:rPr>
                <w:rFonts w:ascii="Times New Roman" w:eastAsia="仿宋"/>
                <w:szCs w:val="21"/>
              </w:rPr>
            </w:pPr>
            <w:r>
              <w:rPr>
                <w:rFonts w:ascii="Times New Roman" w:eastAsia="仿宋"/>
                <w:szCs w:val="21"/>
              </w:rPr>
              <w:t>菌落总数（CFU/mL）</w:t>
            </w:r>
          </w:p>
        </w:tc>
        <w:tc>
          <w:tcPr>
            <w:tcW w:w="632" w:type="pct"/>
            <w:vAlign w:val="center"/>
          </w:tcPr>
          <w:p w14:paraId="03B91EF0">
            <w:pPr>
              <w:widowControl/>
              <w:snapToGrid w:val="0"/>
              <w:jc w:val="center"/>
              <w:rPr>
                <w:rFonts w:ascii="Times New Roman" w:eastAsia="仿宋"/>
                <w:szCs w:val="21"/>
              </w:rPr>
            </w:pPr>
            <w:r>
              <w:rPr>
                <w:rFonts w:hint="eastAsia" w:ascii="Times New Roman" w:eastAsia="仿宋"/>
                <w:szCs w:val="21"/>
              </w:rPr>
              <w:t>9</w:t>
            </w:r>
            <w:r>
              <w:rPr>
                <w:rFonts w:ascii="Times New Roman" w:eastAsia="仿宋"/>
                <w:szCs w:val="21"/>
              </w:rPr>
              <w:t>9</w:t>
            </w:r>
          </w:p>
        </w:tc>
        <w:tc>
          <w:tcPr>
            <w:tcW w:w="685" w:type="pct"/>
            <w:vAlign w:val="center"/>
          </w:tcPr>
          <w:p w14:paraId="256D452D">
            <w:pPr>
              <w:widowControl/>
              <w:snapToGrid w:val="0"/>
              <w:jc w:val="center"/>
              <w:rPr>
                <w:rFonts w:ascii="Times New Roman" w:eastAsia="仿宋"/>
                <w:szCs w:val="21"/>
              </w:rPr>
            </w:pPr>
            <w:r>
              <w:rPr>
                <w:rFonts w:hint="eastAsia" w:ascii="Times New Roman" w:eastAsia="仿宋"/>
                <w:szCs w:val="21"/>
              </w:rPr>
              <w:t>Ⅰ</w:t>
            </w:r>
          </w:p>
        </w:tc>
        <w:tc>
          <w:tcPr>
            <w:tcW w:w="697" w:type="pct"/>
            <w:vAlign w:val="center"/>
          </w:tcPr>
          <w:p w14:paraId="7552FA4A">
            <w:pPr>
              <w:widowControl/>
              <w:jc w:val="center"/>
              <w:rPr>
                <w:rFonts w:ascii="Times New Roman" w:eastAsia="仿宋"/>
                <w:szCs w:val="21"/>
              </w:rPr>
            </w:pPr>
            <w:r>
              <w:rPr>
                <w:rFonts w:hint="eastAsia" w:ascii="Times New Roman" w:eastAsia="仿宋"/>
                <w:szCs w:val="21"/>
              </w:rPr>
              <w:t>2.0*10</w:t>
            </w:r>
            <w:r>
              <w:rPr>
                <w:rFonts w:hint="eastAsia" w:ascii="Times New Roman" w:eastAsia="仿宋"/>
                <w:szCs w:val="21"/>
                <w:vertAlign w:val="superscript"/>
              </w:rPr>
              <w:t>2</w:t>
            </w:r>
          </w:p>
        </w:tc>
        <w:tc>
          <w:tcPr>
            <w:tcW w:w="576" w:type="pct"/>
            <w:vAlign w:val="center"/>
          </w:tcPr>
          <w:p w14:paraId="6565B466">
            <w:pPr>
              <w:widowControl/>
              <w:snapToGrid w:val="0"/>
              <w:jc w:val="center"/>
              <w:rPr>
                <w:rFonts w:ascii="Times New Roman" w:eastAsia="仿宋"/>
                <w:szCs w:val="21"/>
              </w:rPr>
            </w:pPr>
            <w:r>
              <w:rPr>
                <w:rFonts w:hint="eastAsia" w:ascii="Times New Roman" w:eastAsia="仿宋"/>
                <w:szCs w:val="21"/>
              </w:rPr>
              <w:t>Ⅳ</w:t>
            </w:r>
          </w:p>
        </w:tc>
        <w:tc>
          <w:tcPr>
            <w:tcW w:w="628" w:type="pct"/>
            <w:vAlign w:val="center"/>
          </w:tcPr>
          <w:p w14:paraId="3046ED59">
            <w:pPr>
              <w:widowControl/>
              <w:snapToGrid w:val="0"/>
              <w:jc w:val="center"/>
              <w:rPr>
                <w:rFonts w:ascii="Times New Roman" w:eastAsia="仿宋"/>
                <w:szCs w:val="21"/>
              </w:rPr>
            </w:pPr>
            <w:r>
              <w:rPr>
                <w:rFonts w:hint="eastAsia" w:ascii="Times New Roman" w:eastAsia="仿宋"/>
                <w:szCs w:val="21"/>
              </w:rPr>
              <w:t>80</w:t>
            </w:r>
          </w:p>
        </w:tc>
        <w:tc>
          <w:tcPr>
            <w:tcW w:w="574" w:type="pct"/>
            <w:vAlign w:val="center"/>
          </w:tcPr>
          <w:p w14:paraId="6F3227B8">
            <w:pPr>
              <w:widowControl/>
              <w:snapToGrid w:val="0"/>
              <w:jc w:val="center"/>
              <w:rPr>
                <w:rFonts w:ascii="Times New Roman" w:eastAsia="仿宋"/>
                <w:szCs w:val="21"/>
              </w:rPr>
            </w:pPr>
            <w:r>
              <w:rPr>
                <w:rFonts w:hint="eastAsia" w:ascii="Times New Roman" w:eastAsia="仿宋"/>
                <w:szCs w:val="21"/>
              </w:rPr>
              <w:t>Ⅰ</w:t>
            </w:r>
          </w:p>
        </w:tc>
      </w:tr>
      <w:tr w14:paraId="6F3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AE8C172">
            <w:pPr>
              <w:adjustRightInd w:val="0"/>
              <w:snapToGrid w:val="0"/>
              <w:spacing w:line="240" w:lineRule="exact"/>
              <w:jc w:val="center"/>
              <w:rPr>
                <w:rFonts w:ascii="Times New Roman" w:eastAsia="仿宋"/>
                <w:szCs w:val="21"/>
              </w:rPr>
            </w:pPr>
            <w:r>
              <w:rPr>
                <w:rFonts w:hint="eastAsia" w:ascii="Times New Roman" w:eastAsia="仿宋"/>
                <w:szCs w:val="21"/>
              </w:rPr>
              <w:t>钾</w:t>
            </w:r>
            <w:r>
              <w:rPr>
                <w:rFonts w:ascii="Times New Roman" w:eastAsia="仿宋"/>
                <w:szCs w:val="21"/>
              </w:rPr>
              <w:t>（mg/L）</w:t>
            </w:r>
          </w:p>
        </w:tc>
        <w:tc>
          <w:tcPr>
            <w:tcW w:w="632" w:type="pct"/>
            <w:vAlign w:val="center"/>
          </w:tcPr>
          <w:p w14:paraId="3A8DA135">
            <w:pPr>
              <w:widowControl/>
              <w:snapToGrid w:val="0"/>
              <w:jc w:val="center"/>
              <w:rPr>
                <w:rFonts w:ascii="Times New Roman" w:eastAsia="仿宋"/>
                <w:szCs w:val="21"/>
              </w:rPr>
            </w:pPr>
            <w:r>
              <w:rPr>
                <w:rFonts w:hint="eastAsia" w:ascii="Times New Roman" w:eastAsia="仿宋"/>
                <w:szCs w:val="21"/>
              </w:rPr>
              <w:t>7</w:t>
            </w:r>
            <w:r>
              <w:rPr>
                <w:rFonts w:ascii="Times New Roman" w:eastAsia="仿宋"/>
                <w:szCs w:val="21"/>
              </w:rPr>
              <w:t>.46</w:t>
            </w:r>
          </w:p>
        </w:tc>
        <w:tc>
          <w:tcPr>
            <w:tcW w:w="685" w:type="pct"/>
            <w:vAlign w:val="center"/>
          </w:tcPr>
          <w:p w14:paraId="00B46062">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799B2CA8">
            <w:pPr>
              <w:widowControl/>
              <w:jc w:val="center"/>
              <w:rPr>
                <w:rFonts w:ascii="Times New Roman" w:eastAsia="仿宋"/>
                <w:szCs w:val="21"/>
              </w:rPr>
            </w:pPr>
            <w:r>
              <w:rPr>
                <w:rFonts w:hint="eastAsia" w:ascii="Times New Roman" w:eastAsia="仿宋"/>
                <w:szCs w:val="21"/>
              </w:rPr>
              <w:t>4.64</w:t>
            </w:r>
          </w:p>
        </w:tc>
        <w:tc>
          <w:tcPr>
            <w:tcW w:w="576" w:type="pct"/>
            <w:vAlign w:val="center"/>
          </w:tcPr>
          <w:p w14:paraId="4FC5A15D">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7B8E1D28">
            <w:pPr>
              <w:widowControl/>
              <w:snapToGrid w:val="0"/>
              <w:jc w:val="center"/>
              <w:rPr>
                <w:rFonts w:ascii="Times New Roman" w:eastAsia="仿宋"/>
                <w:szCs w:val="21"/>
              </w:rPr>
            </w:pPr>
            <w:r>
              <w:rPr>
                <w:rFonts w:hint="eastAsia" w:ascii="Times New Roman" w:eastAsia="仿宋"/>
                <w:szCs w:val="21"/>
              </w:rPr>
              <w:t>4.56</w:t>
            </w:r>
          </w:p>
        </w:tc>
        <w:tc>
          <w:tcPr>
            <w:tcW w:w="574" w:type="pct"/>
            <w:vAlign w:val="center"/>
          </w:tcPr>
          <w:p w14:paraId="29CD2CA0">
            <w:pPr>
              <w:widowControl/>
              <w:snapToGrid w:val="0"/>
              <w:jc w:val="center"/>
              <w:rPr>
                <w:rFonts w:ascii="Times New Roman" w:eastAsia="仿宋"/>
                <w:szCs w:val="21"/>
              </w:rPr>
            </w:pPr>
            <w:r>
              <w:rPr>
                <w:rFonts w:hint="eastAsia" w:ascii="Times New Roman" w:eastAsia="仿宋"/>
                <w:szCs w:val="21"/>
              </w:rPr>
              <w:t>/</w:t>
            </w:r>
          </w:p>
        </w:tc>
      </w:tr>
      <w:tr w14:paraId="3BD9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61576F82">
            <w:pPr>
              <w:adjustRightInd w:val="0"/>
              <w:snapToGrid w:val="0"/>
              <w:spacing w:line="240" w:lineRule="exact"/>
              <w:jc w:val="center"/>
              <w:rPr>
                <w:rFonts w:ascii="Times New Roman" w:eastAsia="仿宋"/>
                <w:szCs w:val="21"/>
              </w:rPr>
            </w:pPr>
            <w:r>
              <w:rPr>
                <w:rFonts w:ascii="Times New Roman" w:eastAsia="仿宋"/>
                <w:szCs w:val="21"/>
              </w:rPr>
              <w:t>钠（mg/L）</w:t>
            </w:r>
          </w:p>
        </w:tc>
        <w:tc>
          <w:tcPr>
            <w:tcW w:w="632" w:type="pct"/>
            <w:vAlign w:val="center"/>
          </w:tcPr>
          <w:p w14:paraId="7BB7C4CB">
            <w:pPr>
              <w:widowControl/>
              <w:snapToGrid w:val="0"/>
              <w:jc w:val="center"/>
              <w:rPr>
                <w:rFonts w:ascii="Times New Roman" w:eastAsia="仿宋"/>
                <w:szCs w:val="21"/>
              </w:rPr>
            </w:pPr>
            <w:r>
              <w:rPr>
                <w:rFonts w:hint="eastAsia" w:ascii="Times New Roman" w:eastAsia="仿宋"/>
                <w:szCs w:val="21"/>
              </w:rPr>
              <w:t>3</w:t>
            </w:r>
            <w:r>
              <w:rPr>
                <w:rFonts w:ascii="Times New Roman" w:eastAsia="仿宋"/>
                <w:szCs w:val="21"/>
              </w:rPr>
              <w:t>7</w:t>
            </w:r>
          </w:p>
        </w:tc>
        <w:tc>
          <w:tcPr>
            <w:tcW w:w="685" w:type="pct"/>
            <w:vAlign w:val="center"/>
          </w:tcPr>
          <w:p w14:paraId="03FD1998">
            <w:pPr>
              <w:widowControl/>
              <w:snapToGrid w:val="0"/>
              <w:jc w:val="center"/>
              <w:rPr>
                <w:rFonts w:ascii="Times New Roman" w:eastAsia="仿宋"/>
                <w:szCs w:val="21"/>
              </w:rPr>
            </w:pPr>
            <w:r>
              <w:rPr>
                <w:rFonts w:hint="eastAsia" w:ascii="Times New Roman" w:eastAsia="仿宋"/>
                <w:szCs w:val="21"/>
              </w:rPr>
              <w:t>Ⅰ</w:t>
            </w:r>
          </w:p>
        </w:tc>
        <w:tc>
          <w:tcPr>
            <w:tcW w:w="697" w:type="pct"/>
            <w:vAlign w:val="center"/>
          </w:tcPr>
          <w:p w14:paraId="26AB6098">
            <w:pPr>
              <w:widowControl/>
              <w:jc w:val="center"/>
              <w:rPr>
                <w:rFonts w:ascii="Times New Roman" w:eastAsia="仿宋"/>
                <w:szCs w:val="21"/>
              </w:rPr>
            </w:pPr>
            <w:r>
              <w:rPr>
                <w:rFonts w:hint="eastAsia" w:ascii="Times New Roman" w:eastAsia="仿宋"/>
                <w:szCs w:val="21"/>
              </w:rPr>
              <w:t>60.0</w:t>
            </w:r>
          </w:p>
        </w:tc>
        <w:tc>
          <w:tcPr>
            <w:tcW w:w="576" w:type="pct"/>
            <w:vAlign w:val="center"/>
          </w:tcPr>
          <w:p w14:paraId="4EBE9C4D">
            <w:pPr>
              <w:widowControl/>
              <w:snapToGrid w:val="0"/>
              <w:jc w:val="center"/>
              <w:rPr>
                <w:rFonts w:ascii="Times New Roman" w:eastAsia="仿宋"/>
                <w:szCs w:val="21"/>
              </w:rPr>
            </w:pPr>
            <w:r>
              <w:rPr>
                <w:rFonts w:hint="eastAsia" w:ascii="Times New Roman" w:eastAsia="仿宋"/>
                <w:szCs w:val="21"/>
              </w:rPr>
              <w:t>Ⅰ</w:t>
            </w:r>
          </w:p>
        </w:tc>
        <w:tc>
          <w:tcPr>
            <w:tcW w:w="628" w:type="pct"/>
            <w:vAlign w:val="center"/>
          </w:tcPr>
          <w:p w14:paraId="4727DA66">
            <w:pPr>
              <w:widowControl/>
              <w:snapToGrid w:val="0"/>
              <w:jc w:val="center"/>
              <w:rPr>
                <w:rFonts w:ascii="Times New Roman" w:eastAsia="仿宋"/>
                <w:szCs w:val="21"/>
              </w:rPr>
            </w:pPr>
            <w:r>
              <w:rPr>
                <w:rFonts w:hint="eastAsia" w:ascii="Times New Roman" w:eastAsia="仿宋"/>
                <w:szCs w:val="21"/>
              </w:rPr>
              <w:t>43.5</w:t>
            </w:r>
          </w:p>
        </w:tc>
        <w:tc>
          <w:tcPr>
            <w:tcW w:w="574" w:type="pct"/>
            <w:vAlign w:val="center"/>
          </w:tcPr>
          <w:p w14:paraId="014AD822">
            <w:pPr>
              <w:widowControl/>
              <w:snapToGrid w:val="0"/>
              <w:jc w:val="center"/>
              <w:rPr>
                <w:rFonts w:ascii="Times New Roman" w:eastAsia="仿宋"/>
                <w:szCs w:val="21"/>
              </w:rPr>
            </w:pPr>
            <w:r>
              <w:rPr>
                <w:rFonts w:hint="eastAsia" w:ascii="Times New Roman" w:eastAsia="仿宋"/>
                <w:szCs w:val="21"/>
              </w:rPr>
              <w:t>Ⅰ</w:t>
            </w:r>
          </w:p>
        </w:tc>
      </w:tr>
      <w:tr w14:paraId="7799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F9BFF50">
            <w:pPr>
              <w:adjustRightInd w:val="0"/>
              <w:snapToGrid w:val="0"/>
              <w:spacing w:line="240" w:lineRule="exact"/>
              <w:jc w:val="center"/>
              <w:rPr>
                <w:rFonts w:ascii="Times New Roman" w:eastAsia="仿宋"/>
                <w:szCs w:val="21"/>
              </w:rPr>
            </w:pPr>
            <w:r>
              <w:rPr>
                <w:rFonts w:ascii="Times New Roman" w:eastAsia="仿宋"/>
                <w:szCs w:val="21"/>
              </w:rPr>
              <w:t>钙（mg/L）</w:t>
            </w:r>
          </w:p>
        </w:tc>
        <w:tc>
          <w:tcPr>
            <w:tcW w:w="632" w:type="pct"/>
            <w:vAlign w:val="center"/>
          </w:tcPr>
          <w:p w14:paraId="2DAAF8F2">
            <w:pPr>
              <w:widowControl/>
              <w:snapToGrid w:val="0"/>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685" w:type="pct"/>
            <w:vAlign w:val="center"/>
          </w:tcPr>
          <w:p w14:paraId="678477C1">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09C52041">
            <w:pPr>
              <w:widowControl/>
              <w:jc w:val="center"/>
              <w:rPr>
                <w:rFonts w:ascii="Times New Roman" w:eastAsia="仿宋"/>
                <w:szCs w:val="21"/>
              </w:rPr>
            </w:pPr>
            <w:r>
              <w:rPr>
                <w:rFonts w:hint="eastAsia" w:ascii="Times New Roman" w:eastAsia="仿宋"/>
                <w:szCs w:val="21"/>
              </w:rPr>
              <w:t>50.8</w:t>
            </w:r>
          </w:p>
        </w:tc>
        <w:tc>
          <w:tcPr>
            <w:tcW w:w="576" w:type="pct"/>
            <w:vAlign w:val="center"/>
          </w:tcPr>
          <w:p w14:paraId="1055B938">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530956D6">
            <w:pPr>
              <w:widowControl/>
              <w:snapToGrid w:val="0"/>
              <w:jc w:val="center"/>
              <w:rPr>
                <w:rFonts w:ascii="Times New Roman" w:eastAsia="仿宋"/>
                <w:szCs w:val="21"/>
              </w:rPr>
            </w:pPr>
            <w:r>
              <w:rPr>
                <w:rFonts w:hint="eastAsia" w:ascii="Times New Roman" w:eastAsia="仿宋"/>
                <w:szCs w:val="21"/>
              </w:rPr>
              <w:t>66.5</w:t>
            </w:r>
          </w:p>
        </w:tc>
        <w:tc>
          <w:tcPr>
            <w:tcW w:w="574" w:type="pct"/>
            <w:vAlign w:val="center"/>
          </w:tcPr>
          <w:p w14:paraId="23BDA2CE">
            <w:pPr>
              <w:widowControl/>
              <w:snapToGrid w:val="0"/>
              <w:jc w:val="center"/>
              <w:rPr>
                <w:rFonts w:ascii="Times New Roman" w:eastAsia="仿宋"/>
                <w:szCs w:val="21"/>
              </w:rPr>
            </w:pPr>
            <w:r>
              <w:rPr>
                <w:rFonts w:hint="eastAsia" w:ascii="Times New Roman" w:eastAsia="仿宋"/>
                <w:szCs w:val="21"/>
              </w:rPr>
              <w:t>/</w:t>
            </w:r>
          </w:p>
        </w:tc>
      </w:tr>
      <w:tr w14:paraId="2784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C50490D">
            <w:pPr>
              <w:adjustRightInd w:val="0"/>
              <w:snapToGrid w:val="0"/>
              <w:spacing w:line="240" w:lineRule="exact"/>
              <w:jc w:val="center"/>
              <w:rPr>
                <w:rFonts w:ascii="Times New Roman" w:eastAsia="仿宋"/>
                <w:szCs w:val="21"/>
              </w:rPr>
            </w:pPr>
            <w:r>
              <w:rPr>
                <w:rFonts w:ascii="Times New Roman" w:eastAsia="仿宋"/>
                <w:szCs w:val="21"/>
              </w:rPr>
              <w:t>镁（mg/L）</w:t>
            </w:r>
          </w:p>
        </w:tc>
        <w:tc>
          <w:tcPr>
            <w:tcW w:w="632" w:type="pct"/>
            <w:vAlign w:val="center"/>
          </w:tcPr>
          <w:p w14:paraId="5D71766E">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5.2</w:t>
            </w:r>
          </w:p>
        </w:tc>
        <w:tc>
          <w:tcPr>
            <w:tcW w:w="685" w:type="pct"/>
            <w:vAlign w:val="center"/>
          </w:tcPr>
          <w:p w14:paraId="7CBD46E9">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14BF7FD9">
            <w:pPr>
              <w:widowControl/>
              <w:jc w:val="center"/>
              <w:rPr>
                <w:rFonts w:ascii="Times New Roman" w:eastAsia="仿宋"/>
                <w:szCs w:val="21"/>
              </w:rPr>
            </w:pPr>
            <w:r>
              <w:rPr>
                <w:rFonts w:hint="eastAsia" w:ascii="Times New Roman" w:eastAsia="仿宋"/>
                <w:szCs w:val="21"/>
              </w:rPr>
              <w:t>14.4</w:t>
            </w:r>
          </w:p>
        </w:tc>
        <w:tc>
          <w:tcPr>
            <w:tcW w:w="576" w:type="pct"/>
            <w:vAlign w:val="center"/>
          </w:tcPr>
          <w:p w14:paraId="06AF9D2C">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25D07122">
            <w:pPr>
              <w:widowControl/>
              <w:snapToGrid w:val="0"/>
              <w:jc w:val="center"/>
              <w:rPr>
                <w:rFonts w:ascii="Times New Roman" w:eastAsia="仿宋"/>
                <w:szCs w:val="21"/>
              </w:rPr>
            </w:pPr>
            <w:r>
              <w:rPr>
                <w:rFonts w:hint="eastAsia" w:ascii="Times New Roman" w:eastAsia="仿宋"/>
                <w:szCs w:val="21"/>
              </w:rPr>
              <w:t>16.9</w:t>
            </w:r>
          </w:p>
        </w:tc>
        <w:tc>
          <w:tcPr>
            <w:tcW w:w="574" w:type="pct"/>
            <w:vAlign w:val="center"/>
          </w:tcPr>
          <w:p w14:paraId="1C9CCF58">
            <w:pPr>
              <w:widowControl/>
              <w:snapToGrid w:val="0"/>
              <w:jc w:val="center"/>
              <w:rPr>
                <w:rFonts w:ascii="Times New Roman" w:eastAsia="仿宋"/>
                <w:szCs w:val="21"/>
              </w:rPr>
            </w:pPr>
            <w:r>
              <w:rPr>
                <w:rFonts w:hint="eastAsia" w:ascii="Times New Roman" w:eastAsia="仿宋"/>
                <w:szCs w:val="21"/>
              </w:rPr>
              <w:t>/</w:t>
            </w:r>
          </w:p>
        </w:tc>
      </w:tr>
      <w:tr w14:paraId="2E45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3E38CA29">
            <w:pPr>
              <w:adjustRightInd w:val="0"/>
              <w:snapToGrid w:val="0"/>
              <w:spacing w:line="240" w:lineRule="exact"/>
              <w:jc w:val="center"/>
              <w:rPr>
                <w:rFonts w:ascii="Times New Roman" w:eastAsia="仿宋"/>
                <w:szCs w:val="21"/>
              </w:rPr>
            </w:pPr>
            <w:r>
              <w:rPr>
                <w:rFonts w:ascii="Times New Roman" w:eastAsia="仿宋"/>
                <w:szCs w:val="21"/>
              </w:rPr>
              <w:t>碱度（碳酸盐）（m</w:t>
            </w:r>
            <w:r>
              <w:rPr>
                <w:rFonts w:hint="eastAsia" w:ascii="Times New Roman" w:eastAsia="仿宋"/>
                <w:szCs w:val="21"/>
              </w:rPr>
              <w:t>ol</w:t>
            </w:r>
            <w:r>
              <w:rPr>
                <w:rFonts w:ascii="Times New Roman" w:eastAsia="仿宋"/>
                <w:szCs w:val="21"/>
              </w:rPr>
              <w:t>/L）</w:t>
            </w:r>
          </w:p>
        </w:tc>
        <w:tc>
          <w:tcPr>
            <w:tcW w:w="632" w:type="pct"/>
            <w:vAlign w:val="center"/>
          </w:tcPr>
          <w:p w14:paraId="4373F7B4">
            <w:pPr>
              <w:widowControl/>
              <w:snapToGrid w:val="0"/>
              <w:jc w:val="center"/>
              <w:rPr>
                <w:rFonts w:ascii="Times New Roman" w:eastAsia="仿宋"/>
                <w:szCs w:val="21"/>
              </w:rPr>
            </w:pPr>
            <w:r>
              <w:rPr>
                <w:rFonts w:hint="eastAsia" w:ascii="Times New Roman" w:eastAsia="仿宋"/>
                <w:szCs w:val="21"/>
              </w:rPr>
              <w:t>N</w:t>
            </w:r>
            <w:r>
              <w:rPr>
                <w:rFonts w:ascii="Times New Roman" w:eastAsia="仿宋"/>
                <w:szCs w:val="21"/>
              </w:rPr>
              <w:t>D</w:t>
            </w:r>
          </w:p>
        </w:tc>
        <w:tc>
          <w:tcPr>
            <w:tcW w:w="685" w:type="pct"/>
            <w:vAlign w:val="center"/>
          </w:tcPr>
          <w:p w14:paraId="2B7E34AB">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3E2E5698">
            <w:pPr>
              <w:widowControl/>
              <w:jc w:val="center"/>
              <w:rPr>
                <w:rFonts w:ascii="Times New Roman" w:eastAsia="仿宋"/>
                <w:szCs w:val="21"/>
              </w:rPr>
            </w:pPr>
            <w:r>
              <w:rPr>
                <w:rFonts w:hint="eastAsia" w:ascii="Times New Roman" w:eastAsia="仿宋"/>
                <w:szCs w:val="21"/>
              </w:rPr>
              <w:t>ND</w:t>
            </w:r>
          </w:p>
        </w:tc>
        <w:tc>
          <w:tcPr>
            <w:tcW w:w="576" w:type="pct"/>
            <w:vAlign w:val="center"/>
          </w:tcPr>
          <w:p w14:paraId="7F91FA8C">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5C03F89C">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2B3E515A">
            <w:pPr>
              <w:widowControl/>
              <w:snapToGrid w:val="0"/>
              <w:jc w:val="center"/>
              <w:rPr>
                <w:rFonts w:ascii="Times New Roman" w:eastAsia="仿宋"/>
                <w:szCs w:val="21"/>
              </w:rPr>
            </w:pPr>
            <w:r>
              <w:rPr>
                <w:rFonts w:hint="eastAsia" w:ascii="Times New Roman" w:eastAsia="仿宋"/>
                <w:szCs w:val="21"/>
              </w:rPr>
              <w:t>/</w:t>
            </w:r>
          </w:p>
        </w:tc>
      </w:tr>
      <w:tr w14:paraId="4570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74D5B21C">
            <w:pPr>
              <w:adjustRightInd w:val="0"/>
              <w:snapToGrid w:val="0"/>
              <w:spacing w:line="240" w:lineRule="exact"/>
              <w:jc w:val="center"/>
              <w:rPr>
                <w:rFonts w:ascii="Times New Roman" w:eastAsia="仿宋"/>
                <w:szCs w:val="21"/>
              </w:rPr>
            </w:pPr>
            <w:r>
              <w:rPr>
                <w:rFonts w:ascii="Times New Roman" w:eastAsia="仿宋"/>
                <w:szCs w:val="21"/>
              </w:rPr>
              <w:t>碱度（重碳酸盐）（m</w:t>
            </w:r>
            <w:r>
              <w:rPr>
                <w:rFonts w:hint="eastAsia" w:ascii="Times New Roman" w:eastAsia="仿宋"/>
                <w:szCs w:val="21"/>
              </w:rPr>
              <w:t>ol</w:t>
            </w:r>
            <w:r>
              <w:rPr>
                <w:rFonts w:ascii="Times New Roman" w:eastAsia="仿宋"/>
                <w:szCs w:val="21"/>
              </w:rPr>
              <w:t>/L）</w:t>
            </w:r>
          </w:p>
        </w:tc>
        <w:tc>
          <w:tcPr>
            <w:tcW w:w="632" w:type="pct"/>
            <w:vAlign w:val="center"/>
          </w:tcPr>
          <w:p w14:paraId="7BB69284">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41</w:t>
            </w:r>
          </w:p>
        </w:tc>
        <w:tc>
          <w:tcPr>
            <w:tcW w:w="685" w:type="pct"/>
            <w:vAlign w:val="center"/>
          </w:tcPr>
          <w:p w14:paraId="062429AF">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1BFDA583">
            <w:pPr>
              <w:widowControl/>
              <w:jc w:val="center"/>
              <w:rPr>
                <w:rFonts w:ascii="Times New Roman" w:eastAsia="仿宋"/>
                <w:szCs w:val="21"/>
              </w:rPr>
            </w:pPr>
            <w:r>
              <w:rPr>
                <w:rFonts w:hint="eastAsia" w:ascii="Times New Roman" w:eastAsia="仿宋"/>
                <w:szCs w:val="21"/>
              </w:rPr>
              <w:t>175</w:t>
            </w:r>
          </w:p>
        </w:tc>
        <w:tc>
          <w:tcPr>
            <w:tcW w:w="576" w:type="pct"/>
            <w:vAlign w:val="center"/>
          </w:tcPr>
          <w:p w14:paraId="0C59B2D5">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60C17B23">
            <w:pPr>
              <w:widowControl/>
              <w:snapToGrid w:val="0"/>
              <w:jc w:val="center"/>
              <w:rPr>
                <w:rFonts w:ascii="Times New Roman" w:eastAsia="仿宋"/>
                <w:szCs w:val="21"/>
              </w:rPr>
            </w:pPr>
            <w:r>
              <w:rPr>
                <w:rFonts w:hint="eastAsia" w:ascii="Times New Roman" w:eastAsia="仿宋"/>
                <w:szCs w:val="21"/>
              </w:rPr>
              <w:t>185</w:t>
            </w:r>
          </w:p>
        </w:tc>
        <w:tc>
          <w:tcPr>
            <w:tcW w:w="574" w:type="pct"/>
            <w:vAlign w:val="center"/>
          </w:tcPr>
          <w:p w14:paraId="61344A02">
            <w:pPr>
              <w:widowControl/>
              <w:snapToGrid w:val="0"/>
              <w:jc w:val="center"/>
              <w:rPr>
                <w:rFonts w:ascii="Times New Roman" w:eastAsia="仿宋"/>
                <w:szCs w:val="21"/>
              </w:rPr>
            </w:pPr>
            <w:r>
              <w:rPr>
                <w:rFonts w:hint="eastAsia" w:ascii="Times New Roman" w:eastAsia="仿宋"/>
                <w:szCs w:val="21"/>
              </w:rPr>
              <w:t>/</w:t>
            </w:r>
          </w:p>
        </w:tc>
      </w:tr>
      <w:tr w14:paraId="0FBE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116ACF86">
            <w:pPr>
              <w:adjustRightInd w:val="0"/>
              <w:snapToGrid w:val="0"/>
              <w:spacing w:line="240" w:lineRule="exact"/>
              <w:jc w:val="center"/>
              <w:rPr>
                <w:rFonts w:ascii="Times New Roman" w:eastAsia="仿宋"/>
                <w:szCs w:val="21"/>
              </w:rPr>
            </w:pPr>
            <w:r>
              <w:rPr>
                <w:rFonts w:hint="eastAsia" w:ascii="Times New Roman" w:eastAsia="仿宋"/>
                <w:szCs w:val="21"/>
              </w:rPr>
              <w:t>氯化物</w:t>
            </w:r>
            <w:r>
              <w:rPr>
                <w:rFonts w:ascii="Times New Roman" w:eastAsia="仿宋"/>
                <w:szCs w:val="21"/>
              </w:rPr>
              <w:t>（mg/L）</w:t>
            </w:r>
          </w:p>
        </w:tc>
        <w:tc>
          <w:tcPr>
            <w:tcW w:w="632" w:type="pct"/>
            <w:vAlign w:val="center"/>
          </w:tcPr>
          <w:p w14:paraId="405F9DDF">
            <w:pPr>
              <w:widowControl/>
              <w:snapToGrid w:val="0"/>
              <w:jc w:val="center"/>
              <w:rPr>
                <w:rFonts w:ascii="Times New Roman" w:eastAsia="仿宋"/>
                <w:szCs w:val="21"/>
              </w:rPr>
            </w:pPr>
            <w:r>
              <w:rPr>
                <w:rFonts w:hint="eastAsia" w:ascii="Times New Roman" w:eastAsia="仿宋"/>
                <w:szCs w:val="21"/>
              </w:rPr>
              <w:t>4</w:t>
            </w:r>
            <w:r>
              <w:rPr>
                <w:rFonts w:ascii="Times New Roman" w:eastAsia="仿宋"/>
                <w:szCs w:val="21"/>
              </w:rPr>
              <w:t>1.6</w:t>
            </w:r>
          </w:p>
        </w:tc>
        <w:tc>
          <w:tcPr>
            <w:tcW w:w="685" w:type="pct"/>
            <w:vAlign w:val="center"/>
          </w:tcPr>
          <w:p w14:paraId="2961386E">
            <w:pPr>
              <w:widowControl/>
              <w:snapToGrid w:val="0"/>
              <w:jc w:val="center"/>
              <w:rPr>
                <w:rFonts w:ascii="Times New Roman" w:eastAsia="仿宋"/>
                <w:szCs w:val="21"/>
              </w:rPr>
            </w:pPr>
            <w:r>
              <w:rPr>
                <w:rFonts w:hint="eastAsia" w:ascii="Times New Roman" w:eastAsia="仿宋"/>
                <w:szCs w:val="21"/>
              </w:rPr>
              <w:t>Ⅰ</w:t>
            </w:r>
          </w:p>
        </w:tc>
        <w:tc>
          <w:tcPr>
            <w:tcW w:w="697" w:type="pct"/>
            <w:vAlign w:val="center"/>
          </w:tcPr>
          <w:p w14:paraId="63BE7B40">
            <w:pPr>
              <w:widowControl/>
              <w:jc w:val="center"/>
              <w:rPr>
                <w:rFonts w:ascii="Times New Roman" w:eastAsia="仿宋"/>
                <w:szCs w:val="21"/>
              </w:rPr>
            </w:pPr>
            <w:r>
              <w:rPr>
                <w:rFonts w:hint="eastAsia" w:ascii="Times New Roman" w:eastAsia="仿宋"/>
                <w:szCs w:val="21"/>
              </w:rPr>
              <w:t>38.6</w:t>
            </w:r>
          </w:p>
        </w:tc>
        <w:tc>
          <w:tcPr>
            <w:tcW w:w="576" w:type="pct"/>
            <w:vAlign w:val="center"/>
          </w:tcPr>
          <w:p w14:paraId="755A3459">
            <w:pPr>
              <w:widowControl/>
              <w:snapToGrid w:val="0"/>
              <w:jc w:val="center"/>
              <w:rPr>
                <w:rFonts w:ascii="Times New Roman" w:eastAsia="仿宋"/>
                <w:szCs w:val="21"/>
              </w:rPr>
            </w:pPr>
            <w:r>
              <w:rPr>
                <w:rFonts w:hint="eastAsia" w:ascii="Times New Roman" w:eastAsia="仿宋"/>
                <w:szCs w:val="21"/>
              </w:rPr>
              <w:t>Ⅰ</w:t>
            </w:r>
          </w:p>
        </w:tc>
        <w:tc>
          <w:tcPr>
            <w:tcW w:w="628" w:type="pct"/>
            <w:vAlign w:val="center"/>
          </w:tcPr>
          <w:p w14:paraId="1B525263">
            <w:pPr>
              <w:widowControl/>
              <w:snapToGrid w:val="0"/>
              <w:jc w:val="center"/>
              <w:rPr>
                <w:rFonts w:ascii="Times New Roman" w:eastAsia="仿宋"/>
                <w:szCs w:val="21"/>
              </w:rPr>
            </w:pPr>
            <w:r>
              <w:rPr>
                <w:rFonts w:hint="eastAsia" w:ascii="Times New Roman" w:eastAsia="仿宋"/>
                <w:szCs w:val="21"/>
              </w:rPr>
              <w:t>68.1</w:t>
            </w:r>
          </w:p>
        </w:tc>
        <w:tc>
          <w:tcPr>
            <w:tcW w:w="574" w:type="pct"/>
            <w:vAlign w:val="center"/>
          </w:tcPr>
          <w:p w14:paraId="328D2D1C">
            <w:pPr>
              <w:widowControl/>
              <w:snapToGrid w:val="0"/>
              <w:jc w:val="center"/>
              <w:rPr>
                <w:rFonts w:ascii="Times New Roman" w:eastAsia="仿宋"/>
                <w:szCs w:val="21"/>
              </w:rPr>
            </w:pPr>
            <w:r>
              <w:rPr>
                <w:rFonts w:hint="eastAsia" w:ascii="Times New Roman" w:eastAsia="仿宋"/>
                <w:szCs w:val="21"/>
              </w:rPr>
              <w:t>Ⅱ</w:t>
            </w:r>
          </w:p>
        </w:tc>
      </w:tr>
      <w:tr w14:paraId="383F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30940C88">
            <w:pPr>
              <w:adjustRightInd w:val="0"/>
              <w:snapToGrid w:val="0"/>
              <w:spacing w:line="240" w:lineRule="exact"/>
              <w:jc w:val="center"/>
              <w:rPr>
                <w:rFonts w:ascii="Times New Roman" w:eastAsia="仿宋"/>
                <w:szCs w:val="21"/>
              </w:rPr>
            </w:pPr>
            <w:r>
              <w:rPr>
                <w:rFonts w:hint="eastAsia" w:ascii="Times New Roman" w:eastAsia="仿宋"/>
                <w:szCs w:val="21"/>
              </w:rPr>
              <w:t>硫酸盐（S</w:t>
            </w:r>
            <w:r>
              <w:rPr>
                <w:rFonts w:ascii="Times New Roman" w:eastAsia="仿宋"/>
                <w:szCs w:val="21"/>
              </w:rPr>
              <w:t>O</w:t>
            </w:r>
            <w:r>
              <w:rPr>
                <w:rFonts w:ascii="Times New Roman" w:eastAsia="仿宋"/>
                <w:szCs w:val="21"/>
                <w:vertAlign w:val="subscript"/>
              </w:rPr>
              <w:t>4</w:t>
            </w:r>
            <w:r>
              <w:rPr>
                <w:rFonts w:hint="eastAsia" w:ascii="Times New Roman" w:eastAsia="仿宋"/>
                <w:szCs w:val="21"/>
                <w:vertAlign w:val="superscript"/>
              </w:rPr>
              <w:t>2</w:t>
            </w:r>
            <w:r>
              <w:rPr>
                <w:rFonts w:ascii="Times New Roman" w:eastAsia="仿宋"/>
                <w:szCs w:val="21"/>
                <w:vertAlign w:val="superscript"/>
              </w:rPr>
              <w:t>-</w:t>
            </w:r>
            <w:r>
              <w:rPr>
                <w:rFonts w:hint="eastAsia" w:ascii="Times New Roman" w:eastAsia="仿宋"/>
                <w:szCs w:val="21"/>
              </w:rPr>
              <w:t>）</w:t>
            </w:r>
            <w:r>
              <w:rPr>
                <w:rFonts w:ascii="Times New Roman" w:eastAsia="仿宋"/>
                <w:szCs w:val="21"/>
              </w:rPr>
              <w:t>（mg/L）</w:t>
            </w:r>
          </w:p>
        </w:tc>
        <w:tc>
          <w:tcPr>
            <w:tcW w:w="632" w:type="pct"/>
            <w:vAlign w:val="center"/>
          </w:tcPr>
          <w:p w14:paraId="5E958224">
            <w:pPr>
              <w:widowControl/>
              <w:snapToGrid w:val="0"/>
              <w:jc w:val="center"/>
              <w:rPr>
                <w:rFonts w:ascii="Times New Roman" w:eastAsia="仿宋"/>
                <w:szCs w:val="21"/>
              </w:rPr>
            </w:pPr>
            <w:r>
              <w:rPr>
                <w:rFonts w:hint="eastAsia" w:ascii="Times New Roman" w:eastAsia="仿宋"/>
                <w:szCs w:val="21"/>
              </w:rPr>
              <w:t>6</w:t>
            </w:r>
            <w:r>
              <w:rPr>
                <w:rFonts w:ascii="Times New Roman" w:eastAsia="仿宋"/>
                <w:szCs w:val="21"/>
              </w:rPr>
              <w:t>3.3</w:t>
            </w:r>
          </w:p>
        </w:tc>
        <w:tc>
          <w:tcPr>
            <w:tcW w:w="685" w:type="pct"/>
            <w:vAlign w:val="center"/>
          </w:tcPr>
          <w:p w14:paraId="03784B1A">
            <w:pPr>
              <w:widowControl/>
              <w:snapToGrid w:val="0"/>
              <w:jc w:val="center"/>
              <w:rPr>
                <w:rFonts w:ascii="Times New Roman" w:eastAsia="仿宋"/>
                <w:szCs w:val="21"/>
              </w:rPr>
            </w:pPr>
            <w:r>
              <w:rPr>
                <w:rFonts w:hint="eastAsia" w:ascii="Times New Roman" w:eastAsia="仿宋"/>
                <w:szCs w:val="21"/>
              </w:rPr>
              <w:t>Ⅱ</w:t>
            </w:r>
          </w:p>
        </w:tc>
        <w:tc>
          <w:tcPr>
            <w:tcW w:w="697" w:type="pct"/>
            <w:vAlign w:val="center"/>
          </w:tcPr>
          <w:p w14:paraId="4050C464">
            <w:pPr>
              <w:widowControl/>
              <w:jc w:val="center"/>
              <w:rPr>
                <w:rFonts w:ascii="Times New Roman" w:eastAsia="仿宋"/>
                <w:szCs w:val="21"/>
              </w:rPr>
            </w:pPr>
            <w:r>
              <w:rPr>
                <w:rFonts w:hint="eastAsia" w:ascii="Times New Roman" w:eastAsia="仿宋"/>
                <w:szCs w:val="21"/>
              </w:rPr>
              <w:t>62.1</w:t>
            </w:r>
          </w:p>
        </w:tc>
        <w:tc>
          <w:tcPr>
            <w:tcW w:w="576" w:type="pct"/>
            <w:vAlign w:val="center"/>
          </w:tcPr>
          <w:p w14:paraId="3E762C25">
            <w:pPr>
              <w:widowControl/>
              <w:snapToGrid w:val="0"/>
              <w:jc w:val="center"/>
              <w:rPr>
                <w:rFonts w:ascii="Times New Roman" w:eastAsia="仿宋"/>
                <w:szCs w:val="21"/>
              </w:rPr>
            </w:pPr>
            <w:r>
              <w:rPr>
                <w:rFonts w:hint="eastAsia" w:ascii="Times New Roman" w:eastAsia="仿宋"/>
                <w:szCs w:val="21"/>
              </w:rPr>
              <w:t>Ⅱ</w:t>
            </w:r>
          </w:p>
        </w:tc>
        <w:tc>
          <w:tcPr>
            <w:tcW w:w="628" w:type="pct"/>
            <w:vAlign w:val="center"/>
          </w:tcPr>
          <w:p w14:paraId="67DBF633">
            <w:pPr>
              <w:widowControl/>
              <w:snapToGrid w:val="0"/>
              <w:jc w:val="center"/>
              <w:rPr>
                <w:rFonts w:ascii="Times New Roman" w:eastAsia="仿宋"/>
                <w:szCs w:val="21"/>
              </w:rPr>
            </w:pPr>
            <w:r>
              <w:rPr>
                <w:rFonts w:hint="eastAsia" w:ascii="Times New Roman" w:eastAsia="仿宋"/>
                <w:szCs w:val="21"/>
              </w:rPr>
              <w:t>57.5</w:t>
            </w:r>
          </w:p>
        </w:tc>
        <w:tc>
          <w:tcPr>
            <w:tcW w:w="574" w:type="pct"/>
            <w:vAlign w:val="center"/>
          </w:tcPr>
          <w:p w14:paraId="106193A4">
            <w:pPr>
              <w:widowControl/>
              <w:snapToGrid w:val="0"/>
              <w:jc w:val="center"/>
              <w:rPr>
                <w:rFonts w:ascii="Times New Roman" w:eastAsia="仿宋"/>
                <w:szCs w:val="21"/>
              </w:rPr>
            </w:pPr>
            <w:r>
              <w:rPr>
                <w:rFonts w:hint="eastAsia" w:ascii="Times New Roman" w:eastAsia="仿宋"/>
                <w:szCs w:val="21"/>
              </w:rPr>
              <w:t>Ⅱ</w:t>
            </w:r>
          </w:p>
        </w:tc>
      </w:tr>
      <w:tr w14:paraId="3D01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5887488A">
            <w:pPr>
              <w:adjustRightInd w:val="0"/>
              <w:snapToGrid w:val="0"/>
              <w:spacing w:line="240" w:lineRule="exact"/>
              <w:jc w:val="center"/>
              <w:rPr>
                <w:rFonts w:ascii="Times New Roman" w:eastAsia="仿宋"/>
                <w:szCs w:val="21"/>
              </w:rPr>
            </w:pPr>
            <w:r>
              <w:rPr>
                <w:rFonts w:hint="eastAsia" w:ascii="Times New Roman" w:eastAsia="仿宋"/>
                <w:szCs w:val="21"/>
              </w:rPr>
              <w:t>二甲苯</w:t>
            </w:r>
            <w:r>
              <w:rPr>
                <w:rFonts w:ascii="Times New Roman" w:eastAsia="仿宋"/>
                <w:szCs w:val="21"/>
              </w:rPr>
              <w:t>（</w:t>
            </w:r>
            <w:r>
              <w:rPr>
                <w:rFonts w:hint="eastAsia" w:ascii="Times New Roman" w:eastAsia="仿宋"/>
                <w:szCs w:val="21"/>
              </w:rPr>
              <w:t>m</w:t>
            </w:r>
            <w:r>
              <w:rPr>
                <w:rFonts w:ascii="Times New Roman" w:eastAsia="仿宋"/>
                <w:szCs w:val="21"/>
              </w:rPr>
              <w:t>g/L）</w:t>
            </w:r>
          </w:p>
        </w:tc>
        <w:tc>
          <w:tcPr>
            <w:tcW w:w="632" w:type="pct"/>
            <w:vAlign w:val="center"/>
          </w:tcPr>
          <w:p w14:paraId="0111451C">
            <w:pPr>
              <w:widowControl/>
              <w:snapToGrid w:val="0"/>
              <w:jc w:val="center"/>
              <w:rPr>
                <w:rFonts w:ascii="Times New Roman" w:eastAsia="仿宋"/>
                <w:szCs w:val="21"/>
              </w:rPr>
            </w:pPr>
            <w:r>
              <w:rPr>
                <w:rFonts w:hint="eastAsia" w:ascii="Times New Roman" w:eastAsia="仿宋"/>
                <w:szCs w:val="21"/>
              </w:rPr>
              <w:t>N</w:t>
            </w:r>
            <w:r>
              <w:rPr>
                <w:rFonts w:ascii="Times New Roman" w:eastAsia="仿宋"/>
                <w:szCs w:val="21"/>
              </w:rPr>
              <w:t>D</w:t>
            </w:r>
          </w:p>
        </w:tc>
        <w:tc>
          <w:tcPr>
            <w:tcW w:w="685" w:type="pct"/>
            <w:vAlign w:val="center"/>
          </w:tcPr>
          <w:p w14:paraId="5A8B2E19">
            <w:pPr>
              <w:widowControl/>
              <w:snapToGrid w:val="0"/>
              <w:jc w:val="center"/>
              <w:rPr>
                <w:rFonts w:ascii="Times New Roman" w:eastAsia="仿宋"/>
                <w:szCs w:val="21"/>
              </w:rPr>
            </w:pPr>
            <w:r>
              <w:rPr>
                <w:rFonts w:hint="eastAsia" w:ascii="Times New Roman" w:eastAsia="仿宋"/>
                <w:szCs w:val="21"/>
              </w:rPr>
              <w:t>Ⅰ</w:t>
            </w:r>
          </w:p>
        </w:tc>
        <w:tc>
          <w:tcPr>
            <w:tcW w:w="697" w:type="pct"/>
            <w:vAlign w:val="center"/>
          </w:tcPr>
          <w:p w14:paraId="2ED71384">
            <w:pPr>
              <w:widowControl/>
              <w:jc w:val="center"/>
              <w:rPr>
                <w:rFonts w:ascii="Times New Roman" w:eastAsia="仿宋"/>
                <w:szCs w:val="21"/>
              </w:rPr>
            </w:pPr>
            <w:r>
              <w:rPr>
                <w:rFonts w:hint="eastAsia" w:ascii="Times New Roman" w:eastAsia="仿宋"/>
                <w:szCs w:val="21"/>
              </w:rPr>
              <w:t>ND</w:t>
            </w:r>
          </w:p>
        </w:tc>
        <w:tc>
          <w:tcPr>
            <w:tcW w:w="576" w:type="pct"/>
            <w:vAlign w:val="center"/>
          </w:tcPr>
          <w:p w14:paraId="3BD9D817">
            <w:pPr>
              <w:widowControl/>
              <w:snapToGrid w:val="0"/>
              <w:jc w:val="center"/>
              <w:rPr>
                <w:rFonts w:ascii="Times New Roman" w:eastAsia="仿宋"/>
                <w:szCs w:val="21"/>
              </w:rPr>
            </w:pPr>
            <w:r>
              <w:rPr>
                <w:rFonts w:hint="eastAsia" w:ascii="Times New Roman" w:eastAsia="仿宋"/>
                <w:szCs w:val="21"/>
              </w:rPr>
              <w:t>Ⅰ</w:t>
            </w:r>
          </w:p>
        </w:tc>
        <w:tc>
          <w:tcPr>
            <w:tcW w:w="628" w:type="pct"/>
            <w:vAlign w:val="center"/>
          </w:tcPr>
          <w:p w14:paraId="46C3BDD2">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378F6274">
            <w:pPr>
              <w:widowControl/>
              <w:snapToGrid w:val="0"/>
              <w:jc w:val="center"/>
              <w:rPr>
                <w:rFonts w:ascii="Times New Roman" w:eastAsia="仿宋"/>
                <w:szCs w:val="21"/>
              </w:rPr>
            </w:pPr>
            <w:r>
              <w:rPr>
                <w:rFonts w:hint="eastAsia" w:ascii="Times New Roman" w:eastAsia="仿宋"/>
                <w:szCs w:val="21"/>
              </w:rPr>
              <w:t>Ⅰ</w:t>
            </w:r>
          </w:p>
        </w:tc>
      </w:tr>
      <w:tr w14:paraId="27EA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pct"/>
            <w:vAlign w:val="center"/>
          </w:tcPr>
          <w:p w14:paraId="4F9D142A">
            <w:pPr>
              <w:adjustRightInd w:val="0"/>
              <w:snapToGrid w:val="0"/>
              <w:spacing w:line="240" w:lineRule="exact"/>
              <w:jc w:val="center"/>
              <w:rPr>
                <w:rFonts w:ascii="Times New Roman" w:eastAsia="仿宋"/>
                <w:szCs w:val="21"/>
              </w:rPr>
            </w:pPr>
            <w:r>
              <w:rPr>
                <w:rFonts w:hint="eastAsia" w:ascii="Times New Roman" w:eastAsia="仿宋"/>
                <w:szCs w:val="21"/>
              </w:rPr>
              <w:t>石油类</w:t>
            </w:r>
            <w:r>
              <w:rPr>
                <w:rFonts w:ascii="Times New Roman" w:eastAsia="仿宋"/>
                <w:szCs w:val="21"/>
              </w:rPr>
              <w:t>（mg/L）</w:t>
            </w:r>
          </w:p>
        </w:tc>
        <w:tc>
          <w:tcPr>
            <w:tcW w:w="632" w:type="pct"/>
            <w:vAlign w:val="center"/>
          </w:tcPr>
          <w:p w14:paraId="681FA830">
            <w:pPr>
              <w:widowControl/>
              <w:snapToGrid w:val="0"/>
              <w:jc w:val="center"/>
              <w:rPr>
                <w:rFonts w:ascii="Times New Roman" w:eastAsia="仿宋"/>
                <w:szCs w:val="21"/>
              </w:rPr>
            </w:pPr>
            <w:r>
              <w:rPr>
                <w:rFonts w:hint="eastAsia" w:ascii="Times New Roman" w:eastAsia="仿宋"/>
                <w:szCs w:val="21"/>
              </w:rPr>
              <w:t>N</w:t>
            </w:r>
            <w:r>
              <w:rPr>
                <w:rFonts w:ascii="Times New Roman" w:eastAsia="仿宋"/>
                <w:szCs w:val="21"/>
              </w:rPr>
              <w:t>D</w:t>
            </w:r>
          </w:p>
        </w:tc>
        <w:tc>
          <w:tcPr>
            <w:tcW w:w="685" w:type="pct"/>
            <w:vAlign w:val="center"/>
          </w:tcPr>
          <w:p w14:paraId="5E9C5E88">
            <w:pPr>
              <w:widowControl/>
              <w:snapToGrid w:val="0"/>
              <w:jc w:val="center"/>
              <w:rPr>
                <w:rFonts w:ascii="Times New Roman" w:eastAsia="仿宋"/>
                <w:szCs w:val="21"/>
              </w:rPr>
            </w:pPr>
            <w:r>
              <w:rPr>
                <w:rFonts w:hint="eastAsia" w:ascii="Times New Roman" w:eastAsia="仿宋"/>
                <w:szCs w:val="21"/>
              </w:rPr>
              <w:t>/</w:t>
            </w:r>
          </w:p>
        </w:tc>
        <w:tc>
          <w:tcPr>
            <w:tcW w:w="697" w:type="pct"/>
            <w:vAlign w:val="center"/>
          </w:tcPr>
          <w:p w14:paraId="02A2C11B">
            <w:pPr>
              <w:widowControl/>
              <w:jc w:val="center"/>
              <w:rPr>
                <w:rFonts w:ascii="Times New Roman" w:eastAsia="仿宋"/>
                <w:szCs w:val="21"/>
              </w:rPr>
            </w:pPr>
            <w:r>
              <w:rPr>
                <w:rFonts w:hint="eastAsia" w:ascii="Times New Roman" w:eastAsia="仿宋"/>
                <w:szCs w:val="21"/>
              </w:rPr>
              <w:t>ND</w:t>
            </w:r>
          </w:p>
        </w:tc>
        <w:tc>
          <w:tcPr>
            <w:tcW w:w="576" w:type="pct"/>
            <w:vAlign w:val="center"/>
          </w:tcPr>
          <w:p w14:paraId="742CF538">
            <w:pPr>
              <w:widowControl/>
              <w:snapToGrid w:val="0"/>
              <w:jc w:val="center"/>
              <w:rPr>
                <w:rFonts w:ascii="Times New Roman" w:eastAsia="仿宋"/>
                <w:szCs w:val="21"/>
              </w:rPr>
            </w:pPr>
            <w:r>
              <w:rPr>
                <w:rFonts w:hint="eastAsia" w:ascii="Times New Roman" w:eastAsia="仿宋"/>
                <w:szCs w:val="21"/>
              </w:rPr>
              <w:t>/</w:t>
            </w:r>
          </w:p>
        </w:tc>
        <w:tc>
          <w:tcPr>
            <w:tcW w:w="628" w:type="pct"/>
            <w:vAlign w:val="center"/>
          </w:tcPr>
          <w:p w14:paraId="25941252">
            <w:pPr>
              <w:widowControl/>
              <w:snapToGrid w:val="0"/>
              <w:jc w:val="center"/>
              <w:rPr>
                <w:rFonts w:ascii="Times New Roman" w:eastAsia="仿宋"/>
                <w:szCs w:val="21"/>
              </w:rPr>
            </w:pPr>
            <w:r>
              <w:rPr>
                <w:rFonts w:hint="eastAsia" w:ascii="Times New Roman" w:eastAsia="仿宋"/>
                <w:szCs w:val="21"/>
              </w:rPr>
              <w:t>ND</w:t>
            </w:r>
          </w:p>
        </w:tc>
        <w:tc>
          <w:tcPr>
            <w:tcW w:w="574" w:type="pct"/>
            <w:vAlign w:val="center"/>
          </w:tcPr>
          <w:p w14:paraId="10ED277C">
            <w:pPr>
              <w:widowControl/>
              <w:snapToGrid w:val="0"/>
              <w:jc w:val="center"/>
              <w:rPr>
                <w:rFonts w:ascii="Times New Roman" w:eastAsia="仿宋"/>
                <w:szCs w:val="21"/>
              </w:rPr>
            </w:pPr>
            <w:r>
              <w:rPr>
                <w:rFonts w:hint="eastAsia" w:ascii="Times New Roman" w:eastAsia="仿宋"/>
                <w:szCs w:val="21"/>
              </w:rPr>
              <w:t>/</w:t>
            </w:r>
          </w:p>
        </w:tc>
      </w:tr>
    </w:tbl>
    <w:p w14:paraId="0D7498DD">
      <w:pPr>
        <w:rPr>
          <w:rFonts w:ascii="Times New Roman" w:eastAsia="仿宋"/>
          <w:bCs/>
          <w:szCs w:val="21"/>
        </w:rPr>
      </w:pPr>
      <w:r>
        <w:rPr>
          <w:rFonts w:ascii="Times New Roman" w:eastAsia="仿宋"/>
          <w:bCs/>
          <w:szCs w:val="21"/>
          <w:lang w:val="zh-CN"/>
        </w:rPr>
        <w:t>注：</w:t>
      </w:r>
      <w:r>
        <w:rPr>
          <w:rFonts w:hint="eastAsia" w:ascii="Times New Roman" w:eastAsia="仿宋"/>
          <w:bCs/>
          <w:szCs w:val="21"/>
        </w:rPr>
        <w:t>1</w:t>
      </w:r>
      <w:r>
        <w:rPr>
          <w:rFonts w:ascii="Times New Roman" w:eastAsia="仿宋"/>
          <w:bCs/>
          <w:szCs w:val="21"/>
          <w:lang w:val="zh-CN"/>
        </w:rPr>
        <w:t>、氰化物检出限0.00</w:t>
      </w:r>
      <w:r>
        <w:rPr>
          <w:rFonts w:hint="eastAsia" w:ascii="Times New Roman" w:eastAsia="仿宋"/>
          <w:bCs/>
          <w:szCs w:val="21"/>
        </w:rPr>
        <w:t>4</w:t>
      </w:r>
      <w:r>
        <w:rPr>
          <w:rFonts w:ascii="Times New Roman" w:eastAsia="仿宋"/>
          <w:bCs/>
          <w:szCs w:val="21"/>
          <w:lang w:val="zh-CN"/>
        </w:rPr>
        <w:t>mg/L；</w:t>
      </w:r>
      <w:r>
        <w:rPr>
          <w:rFonts w:hint="eastAsia" w:ascii="Times New Roman" w:eastAsia="仿宋"/>
          <w:bCs/>
          <w:szCs w:val="21"/>
        </w:rPr>
        <w:t>2</w:t>
      </w:r>
      <w:r>
        <w:rPr>
          <w:rFonts w:ascii="Times New Roman" w:eastAsia="仿宋"/>
          <w:bCs/>
          <w:szCs w:val="21"/>
          <w:lang w:val="zh-CN"/>
        </w:rPr>
        <w:t>、</w:t>
      </w:r>
      <w:r>
        <w:rPr>
          <w:rFonts w:hint="eastAsia" w:ascii="Times New Roman" w:eastAsia="仿宋"/>
          <w:bCs/>
          <w:szCs w:val="21"/>
        </w:rPr>
        <w:t>汞</w:t>
      </w:r>
      <w:r>
        <w:rPr>
          <w:rFonts w:ascii="Times New Roman" w:eastAsia="仿宋"/>
          <w:bCs/>
          <w:szCs w:val="21"/>
          <w:lang w:val="zh-CN"/>
        </w:rPr>
        <w:t>检出限0.00</w:t>
      </w:r>
      <w:r>
        <w:rPr>
          <w:rFonts w:hint="eastAsia" w:ascii="Times New Roman" w:eastAsia="仿宋"/>
          <w:bCs/>
          <w:szCs w:val="21"/>
        </w:rPr>
        <w:t>004</w:t>
      </w:r>
      <w:r>
        <w:rPr>
          <w:rFonts w:ascii="Times New Roman" w:eastAsia="仿宋"/>
          <w:bCs/>
          <w:szCs w:val="21"/>
          <w:lang w:val="zh-CN"/>
        </w:rPr>
        <w:t>mg/L</w:t>
      </w:r>
      <w:r>
        <w:rPr>
          <w:rFonts w:hint="eastAsia" w:ascii="Times New Roman" w:eastAsia="仿宋"/>
          <w:bCs/>
          <w:szCs w:val="21"/>
          <w:lang w:val="zh-CN"/>
        </w:rPr>
        <w:t>；</w:t>
      </w:r>
      <w:r>
        <w:rPr>
          <w:rFonts w:hint="eastAsia" w:ascii="Times New Roman" w:eastAsia="仿宋"/>
          <w:bCs/>
          <w:szCs w:val="21"/>
        </w:rPr>
        <w:t>3、六价铬</w:t>
      </w:r>
      <w:r>
        <w:rPr>
          <w:rFonts w:ascii="Times New Roman" w:eastAsia="仿宋"/>
          <w:bCs/>
          <w:szCs w:val="21"/>
          <w:lang w:val="zh-CN"/>
        </w:rPr>
        <w:t>检出限0.</w:t>
      </w:r>
      <w:r>
        <w:rPr>
          <w:rFonts w:hint="eastAsia" w:ascii="Times New Roman" w:eastAsia="仿宋"/>
          <w:bCs/>
          <w:szCs w:val="21"/>
        </w:rPr>
        <w:t>004</w:t>
      </w:r>
      <w:r>
        <w:rPr>
          <w:rFonts w:ascii="Times New Roman" w:eastAsia="仿宋"/>
          <w:bCs/>
          <w:szCs w:val="21"/>
          <w:lang w:val="zh-CN"/>
        </w:rPr>
        <w:t>mg/L</w:t>
      </w:r>
      <w:r>
        <w:rPr>
          <w:rFonts w:hint="eastAsia" w:ascii="Times New Roman" w:eastAsia="仿宋"/>
          <w:bCs/>
          <w:szCs w:val="21"/>
          <w:lang w:val="zh-CN"/>
        </w:rPr>
        <w:t>；</w:t>
      </w:r>
      <w:r>
        <w:rPr>
          <w:rFonts w:hint="eastAsia" w:ascii="Times New Roman" w:eastAsia="仿宋"/>
          <w:bCs/>
          <w:szCs w:val="21"/>
        </w:rPr>
        <w:t>4、</w:t>
      </w:r>
      <w:r>
        <w:rPr>
          <w:rFonts w:ascii="Times New Roman" w:eastAsia="仿宋"/>
          <w:bCs/>
          <w:szCs w:val="21"/>
          <w:lang w:val="zh-CN"/>
        </w:rPr>
        <w:t>镉检出限0.0</w:t>
      </w:r>
      <w:r>
        <w:rPr>
          <w:rFonts w:hint="eastAsia" w:ascii="Times New Roman" w:eastAsia="仿宋"/>
          <w:bCs/>
          <w:szCs w:val="21"/>
        </w:rPr>
        <w:t>0005m</w:t>
      </w:r>
      <w:r>
        <w:rPr>
          <w:rFonts w:ascii="Times New Roman" w:eastAsia="仿宋"/>
          <w:bCs/>
          <w:szCs w:val="21"/>
          <w:lang w:val="zh-CN"/>
        </w:rPr>
        <w:t>g/L；</w:t>
      </w:r>
      <w:r>
        <w:rPr>
          <w:rFonts w:hint="eastAsia" w:ascii="Times New Roman" w:eastAsia="仿宋"/>
          <w:bCs/>
          <w:szCs w:val="21"/>
        </w:rPr>
        <w:t>5、锰检出限0.01m</w:t>
      </w:r>
      <w:r>
        <w:rPr>
          <w:rFonts w:ascii="Times New Roman" w:eastAsia="仿宋"/>
          <w:bCs/>
          <w:szCs w:val="21"/>
          <w:lang w:val="zh-CN"/>
        </w:rPr>
        <w:t>g/L</w:t>
      </w:r>
      <w:r>
        <w:rPr>
          <w:rFonts w:hint="eastAsia" w:ascii="Times New Roman" w:eastAsia="仿宋"/>
          <w:bCs/>
          <w:szCs w:val="21"/>
          <w:lang w:val="zh-CN"/>
        </w:rPr>
        <w:t>；</w:t>
      </w:r>
      <w:r>
        <w:rPr>
          <w:rFonts w:hint="eastAsia" w:ascii="Times New Roman" w:eastAsia="仿宋"/>
          <w:bCs/>
          <w:szCs w:val="21"/>
        </w:rPr>
        <w:t>6、</w:t>
      </w:r>
      <w:r>
        <w:rPr>
          <w:rFonts w:ascii="Times New Roman" w:eastAsia="仿宋"/>
          <w:bCs/>
          <w:szCs w:val="21"/>
          <w:lang w:val="zh-CN"/>
        </w:rPr>
        <w:t>汞检出限0.04μg/L</w:t>
      </w:r>
      <w:r>
        <w:rPr>
          <w:rFonts w:hint="eastAsia" w:ascii="Times New Roman" w:eastAsia="仿宋"/>
          <w:bCs/>
          <w:szCs w:val="21"/>
          <w:lang w:val="zh-CN"/>
        </w:rPr>
        <w:t>；</w:t>
      </w:r>
      <w:r>
        <w:rPr>
          <w:rFonts w:hint="eastAsia" w:ascii="Times New Roman" w:eastAsia="仿宋"/>
          <w:bCs/>
          <w:szCs w:val="21"/>
        </w:rPr>
        <w:t>7、</w:t>
      </w:r>
      <w:r>
        <w:rPr>
          <w:rFonts w:ascii="Times New Roman" w:eastAsia="仿宋"/>
          <w:szCs w:val="21"/>
        </w:rPr>
        <w:t>碱度（碳酸盐）</w:t>
      </w:r>
      <w:r>
        <w:rPr>
          <w:rFonts w:ascii="Times New Roman" w:eastAsia="仿宋"/>
          <w:bCs/>
          <w:szCs w:val="21"/>
          <w:lang w:val="zh-CN"/>
        </w:rPr>
        <w:t>检出限</w:t>
      </w:r>
      <w:r>
        <w:rPr>
          <w:rFonts w:hint="eastAsia" w:ascii="Times New Roman" w:eastAsia="仿宋"/>
          <w:bCs/>
          <w:szCs w:val="21"/>
        </w:rPr>
        <w:t>1m</w:t>
      </w:r>
      <w:r>
        <w:rPr>
          <w:rFonts w:ascii="Times New Roman" w:eastAsia="仿宋"/>
          <w:bCs/>
          <w:szCs w:val="21"/>
          <w:lang w:val="zh-CN"/>
        </w:rPr>
        <w:t>g/L；</w:t>
      </w:r>
      <w:r>
        <w:rPr>
          <w:rFonts w:hint="eastAsia" w:ascii="Times New Roman" w:eastAsia="仿宋"/>
          <w:bCs/>
          <w:szCs w:val="21"/>
        </w:rPr>
        <w:t>8、石油类检出限0.011m</w:t>
      </w:r>
      <w:r>
        <w:rPr>
          <w:rFonts w:ascii="Times New Roman" w:eastAsia="仿宋"/>
          <w:bCs/>
          <w:szCs w:val="21"/>
          <w:lang w:val="zh-CN"/>
        </w:rPr>
        <w:t>g/L</w:t>
      </w:r>
    </w:p>
    <w:p w14:paraId="47EBCEC6">
      <w:pPr>
        <w:spacing w:line="500" w:lineRule="exact"/>
        <w:jc w:val="center"/>
        <w:rPr>
          <w:rFonts w:ascii="Times New Roman" w:eastAsia="仿宋"/>
          <w:b/>
          <w:lang w:val="zh-CN"/>
        </w:rPr>
      </w:pPr>
      <w:r>
        <w:rPr>
          <w:rFonts w:ascii="Times New Roman" w:eastAsia="仿宋"/>
          <w:b/>
          <w:lang w:val="zh-CN"/>
        </w:rPr>
        <w:t>表4.2-10  地下水水位监测结果</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843"/>
        <w:gridCol w:w="2835"/>
        <w:gridCol w:w="2897"/>
      </w:tblGrid>
      <w:tr w14:paraId="724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6E437174">
            <w:pPr>
              <w:spacing w:line="320" w:lineRule="exact"/>
              <w:jc w:val="center"/>
              <w:rPr>
                <w:rFonts w:ascii="Times New Roman" w:eastAsia="仿宋"/>
                <w:szCs w:val="21"/>
              </w:rPr>
            </w:pPr>
            <w:r>
              <w:rPr>
                <w:rFonts w:ascii="Times New Roman" w:eastAsia="仿宋"/>
                <w:szCs w:val="21"/>
              </w:rPr>
              <w:t>监测点位</w:t>
            </w:r>
          </w:p>
        </w:tc>
        <w:tc>
          <w:tcPr>
            <w:tcW w:w="997" w:type="pct"/>
            <w:vAlign w:val="center"/>
          </w:tcPr>
          <w:p w14:paraId="656E632F">
            <w:pPr>
              <w:spacing w:line="320" w:lineRule="exact"/>
              <w:jc w:val="center"/>
              <w:rPr>
                <w:rFonts w:ascii="Times New Roman" w:eastAsia="仿宋"/>
                <w:szCs w:val="21"/>
              </w:rPr>
            </w:pPr>
            <w:r>
              <w:rPr>
                <w:rFonts w:ascii="Times New Roman" w:eastAsia="仿宋"/>
                <w:szCs w:val="21"/>
              </w:rPr>
              <w:t>项目所在地D1</w:t>
            </w:r>
          </w:p>
        </w:tc>
        <w:tc>
          <w:tcPr>
            <w:tcW w:w="1534" w:type="pct"/>
            <w:vAlign w:val="center"/>
          </w:tcPr>
          <w:p w14:paraId="773A3A87">
            <w:pPr>
              <w:spacing w:line="320" w:lineRule="exact"/>
              <w:jc w:val="center"/>
              <w:rPr>
                <w:rFonts w:ascii="Times New Roman" w:eastAsia="仿宋"/>
                <w:szCs w:val="21"/>
              </w:rPr>
            </w:pPr>
            <w:r>
              <w:rPr>
                <w:rFonts w:hint="eastAsia" w:ascii="Times New Roman" w:eastAsia="仿宋"/>
                <w:szCs w:val="21"/>
              </w:rPr>
              <w:t>杨桥</w:t>
            </w:r>
            <w:r>
              <w:rPr>
                <w:rFonts w:ascii="Times New Roman" w:eastAsia="仿宋"/>
                <w:szCs w:val="21"/>
              </w:rPr>
              <w:t>D2</w:t>
            </w:r>
          </w:p>
        </w:tc>
        <w:tc>
          <w:tcPr>
            <w:tcW w:w="1567" w:type="pct"/>
            <w:vAlign w:val="center"/>
          </w:tcPr>
          <w:p w14:paraId="5DCD0B1B">
            <w:pPr>
              <w:spacing w:line="320" w:lineRule="exact"/>
              <w:jc w:val="center"/>
              <w:rPr>
                <w:rFonts w:ascii="Times New Roman" w:eastAsia="仿宋"/>
                <w:szCs w:val="21"/>
              </w:rPr>
            </w:pPr>
            <w:r>
              <w:rPr>
                <w:rFonts w:hint="eastAsia" w:ascii="Times New Roman" w:eastAsia="仿宋"/>
                <w:szCs w:val="21"/>
              </w:rPr>
              <w:t>庄基村</w:t>
            </w:r>
            <w:r>
              <w:rPr>
                <w:rFonts w:ascii="Times New Roman" w:eastAsia="仿宋"/>
                <w:szCs w:val="21"/>
              </w:rPr>
              <w:t>D3</w:t>
            </w:r>
          </w:p>
        </w:tc>
      </w:tr>
      <w:tr w14:paraId="20BF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2" w:type="pct"/>
            <w:vAlign w:val="center"/>
          </w:tcPr>
          <w:p w14:paraId="6BFE4B79">
            <w:pPr>
              <w:spacing w:line="320" w:lineRule="exact"/>
              <w:jc w:val="center"/>
              <w:rPr>
                <w:rFonts w:ascii="Times New Roman" w:eastAsia="仿宋"/>
                <w:szCs w:val="21"/>
              </w:rPr>
            </w:pPr>
            <w:r>
              <w:rPr>
                <w:rFonts w:ascii="Times New Roman" w:eastAsia="仿宋"/>
                <w:szCs w:val="21"/>
              </w:rPr>
              <w:t>水位（m）</w:t>
            </w:r>
          </w:p>
        </w:tc>
        <w:tc>
          <w:tcPr>
            <w:tcW w:w="997" w:type="pct"/>
            <w:vAlign w:val="center"/>
          </w:tcPr>
          <w:p w14:paraId="0C20126A">
            <w:pPr>
              <w:spacing w:line="320" w:lineRule="exact"/>
              <w:jc w:val="center"/>
              <w:rPr>
                <w:rFonts w:ascii="Times New Roman" w:eastAsia="仿宋"/>
                <w:szCs w:val="21"/>
              </w:rPr>
            </w:pPr>
            <w:r>
              <w:rPr>
                <w:rFonts w:hint="eastAsia" w:ascii="Times New Roman" w:eastAsia="仿宋"/>
                <w:szCs w:val="21"/>
              </w:rPr>
              <w:t>0.84</w:t>
            </w:r>
          </w:p>
        </w:tc>
        <w:tc>
          <w:tcPr>
            <w:tcW w:w="1534" w:type="pct"/>
            <w:vAlign w:val="center"/>
          </w:tcPr>
          <w:p w14:paraId="145EF517">
            <w:pPr>
              <w:spacing w:line="320" w:lineRule="exact"/>
              <w:jc w:val="center"/>
              <w:rPr>
                <w:rFonts w:ascii="Times New Roman" w:eastAsia="仿宋"/>
                <w:szCs w:val="21"/>
              </w:rPr>
            </w:pPr>
            <w:r>
              <w:rPr>
                <w:rFonts w:hint="eastAsia" w:ascii="Times New Roman" w:eastAsia="仿宋"/>
                <w:szCs w:val="21"/>
              </w:rPr>
              <w:t>0.63</w:t>
            </w:r>
          </w:p>
        </w:tc>
        <w:tc>
          <w:tcPr>
            <w:tcW w:w="1567" w:type="pct"/>
            <w:vAlign w:val="center"/>
          </w:tcPr>
          <w:p w14:paraId="45001283">
            <w:pPr>
              <w:spacing w:line="320" w:lineRule="exact"/>
              <w:jc w:val="center"/>
              <w:rPr>
                <w:rFonts w:ascii="Times New Roman" w:eastAsia="仿宋"/>
                <w:szCs w:val="21"/>
              </w:rPr>
            </w:pPr>
            <w:r>
              <w:rPr>
                <w:rFonts w:hint="eastAsia" w:ascii="Times New Roman" w:eastAsia="仿宋"/>
                <w:szCs w:val="21"/>
              </w:rPr>
              <w:t>0.52</w:t>
            </w:r>
          </w:p>
        </w:tc>
      </w:tr>
      <w:tr w14:paraId="466F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1164E6BA">
            <w:pPr>
              <w:spacing w:line="320" w:lineRule="exact"/>
              <w:jc w:val="center"/>
              <w:rPr>
                <w:rFonts w:ascii="Times New Roman" w:eastAsia="仿宋"/>
                <w:szCs w:val="21"/>
              </w:rPr>
            </w:pPr>
            <w:r>
              <w:rPr>
                <w:rFonts w:ascii="Times New Roman" w:eastAsia="仿宋"/>
                <w:szCs w:val="21"/>
              </w:rPr>
              <w:t>监测点位</w:t>
            </w:r>
          </w:p>
        </w:tc>
        <w:tc>
          <w:tcPr>
            <w:tcW w:w="997" w:type="pct"/>
            <w:vAlign w:val="center"/>
          </w:tcPr>
          <w:p w14:paraId="4176F115">
            <w:pPr>
              <w:spacing w:line="320" w:lineRule="exact"/>
              <w:jc w:val="center"/>
              <w:rPr>
                <w:rFonts w:ascii="Times New Roman" w:eastAsia="仿宋"/>
                <w:szCs w:val="21"/>
              </w:rPr>
            </w:pPr>
            <w:r>
              <w:rPr>
                <w:rFonts w:hint="eastAsia" w:ascii="Times New Roman" w:eastAsia="仿宋"/>
                <w:szCs w:val="21"/>
              </w:rPr>
              <w:t>龙溪新村</w:t>
            </w:r>
            <w:r>
              <w:rPr>
                <w:rFonts w:ascii="Times New Roman" w:eastAsia="仿宋"/>
                <w:szCs w:val="21"/>
              </w:rPr>
              <w:t>D4</w:t>
            </w:r>
          </w:p>
        </w:tc>
        <w:tc>
          <w:tcPr>
            <w:tcW w:w="1534" w:type="pct"/>
            <w:vAlign w:val="center"/>
          </w:tcPr>
          <w:p w14:paraId="54BE9FA4">
            <w:pPr>
              <w:spacing w:line="320" w:lineRule="exact"/>
              <w:jc w:val="center"/>
              <w:rPr>
                <w:rFonts w:ascii="Times New Roman" w:eastAsia="仿宋"/>
                <w:szCs w:val="21"/>
              </w:rPr>
            </w:pPr>
            <w:r>
              <w:rPr>
                <w:rFonts w:hint="eastAsia" w:ascii="Times New Roman" w:eastAsia="仿宋"/>
                <w:szCs w:val="21"/>
              </w:rPr>
              <w:t>东龙背</w:t>
            </w:r>
            <w:r>
              <w:rPr>
                <w:rFonts w:ascii="Times New Roman" w:eastAsia="仿宋"/>
                <w:szCs w:val="21"/>
              </w:rPr>
              <w:t>D5</w:t>
            </w:r>
          </w:p>
        </w:tc>
        <w:tc>
          <w:tcPr>
            <w:tcW w:w="1567" w:type="pct"/>
            <w:vAlign w:val="center"/>
          </w:tcPr>
          <w:p w14:paraId="6AE482A4">
            <w:pPr>
              <w:spacing w:line="320" w:lineRule="exact"/>
              <w:jc w:val="center"/>
              <w:rPr>
                <w:rFonts w:ascii="Times New Roman" w:eastAsia="仿宋"/>
                <w:szCs w:val="21"/>
              </w:rPr>
            </w:pPr>
            <w:r>
              <w:rPr>
                <w:rFonts w:hint="eastAsia" w:ascii="Times New Roman" w:eastAsia="仿宋"/>
                <w:szCs w:val="21"/>
              </w:rPr>
              <w:t>西龙背</w:t>
            </w:r>
            <w:r>
              <w:rPr>
                <w:rFonts w:ascii="Times New Roman" w:eastAsia="仿宋"/>
                <w:szCs w:val="21"/>
              </w:rPr>
              <w:t>D6</w:t>
            </w:r>
          </w:p>
        </w:tc>
      </w:tr>
      <w:tr w14:paraId="59A7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pct"/>
            <w:vAlign w:val="center"/>
          </w:tcPr>
          <w:p w14:paraId="4E5DAD55">
            <w:pPr>
              <w:spacing w:line="320" w:lineRule="exact"/>
              <w:jc w:val="center"/>
              <w:rPr>
                <w:rFonts w:ascii="Times New Roman" w:eastAsia="仿宋"/>
                <w:szCs w:val="21"/>
              </w:rPr>
            </w:pPr>
            <w:r>
              <w:rPr>
                <w:rFonts w:ascii="Times New Roman" w:eastAsia="仿宋"/>
                <w:szCs w:val="21"/>
              </w:rPr>
              <w:t>水位（m）</w:t>
            </w:r>
          </w:p>
        </w:tc>
        <w:tc>
          <w:tcPr>
            <w:tcW w:w="997" w:type="pct"/>
            <w:vAlign w:val="center"/>
          </w:tcPr>
          <w:p w14:paraId="7E082ABD">
            <w:pPr>
              <w:spacing w:line="320" w:lineRule="exact"/>
              <w:jc w:val="center"/>
              <w:rPr>
                <w:rFonts w:ascii="Times New Roman" w:eastAsia="仿宋"/>
                <w:szCs w:val="21"/>
              </w:rPr>
            </w:pPr>
            <w:r>
              <w:rPr>
                <w:rFonts w:hint="eastAsia" w:ascii="Times New Roman" w:eastAsia="仿宋"/>
                <w:szCs w:val="21"/>
              </w:rPr>
              <w:t>0.71</w:t>
            </w:r>
          </w:p>
        </w:tc>
        <w:tc>
          <w:tcPr>
            <w:tcW w:w="1534" w:type="pct"/>
            <w:vAlign w:val="center"/>
          </w:tcPr>
          <w:p w14:paraId="594DA74F">
            <w:pPr>
              <w:spacing w:line="320" w:lineRule="exact"/>
              <w:jc w:val="center"/>
              <w:rPr>
                <w:rFonts w:ascii="Times New Roman" w:eastAsia="仿宋"/>
                <w:szCs w:val="21"/>
              </w:rPr>
            </w:pPr>
            <w:r>
              <w:rPr>
                <w:rFonts w:hint="eastAsia" w:ascii="Times New Roman" w:eastAsia="仿宋"/>
                <w:szCs w:val="21"/>
              </w:rPr>
              <w:t>0.68</w:t>
            </w:r>
          </w:p>
        </w:tc>
        <w:tc>
          <w:tcPr>
            <w:tcW w:w="1567" w:type="pct"/>
            <w:vAlign w:val="center"/>
          </w:tcPr>
          <w:p w14:paraId="3574716E">
            <w:pPr>
              <w:spacing w:line="320" w:lineRule="exact"/>
              <w:jc w:val="center"/>
              <w:rPr>
                <w:rFonts w:ascii="Times New Roman" w:eastAsia="仿宋"/>
                <w:szCs w:val="21"/>
              </w:rPr>
            </w:pPr>
            <w:r>
              <w:rPr>
                <w:rFonts w:hint="eastAsia" w:ascii="Times New Roman" w:eastAsia="仿宋"/>
                <w:szCs w:val="21"/>
              </w:rPr>
              <w:t>0.6</w:t>
            </w:r>
          </w:p>
        </w:tc>
      </w:tr>
    </w:tbl>
    <w:p w14:paraId="39AD7CA0">
      <w:pPr>
        <w:spacing w:line="500" w:lineRule="exact"/>
        <w:ind w:firstLine="560" w:firstLineChars="200"/>
        <w:rPr>
          <w:rFonts w:ascii="Times New Roman" w:eastAsia="仿宋"/>
          <w:sz w:val="28"/>
        </w:rPr>
      </w:pPr>
      <w:r>
        <w:rPr>
          <w:rFonts w:ascii="Times New Roman" w:eastAsia="仿宋"/>
          <w:sz w:val="28"/>
          <w:szCs w:val="28"/>
        </w:rPr>
        <w:t>从监测评价结果可知，目前该区域地下水中除</w:t>
      </w:r>
      <w:r>
        <w:rPr>
          <w:rFonts w:hint="eastAsia" w:ascii="Times New Roman" w:eastAsia="仿宋"/>
          <w:sz w:val="28"/>
          <w:szCs w:val="28"/>
        </w:rPr>
        <w:t>DI、D2点硝酸根、D1、D2、D3点</w:t>
      </w:r>
      <w:r>
        <w:rPr>
          <w:rFonts w:ascii="Times New Roman" w:eastAsia="仿宋"/>
          <w:sz w:val="28"/>
          <w:szCs w:val="28"/>
        </w:rPr>
        <w:t>总大肠杆菌符合《地下水质量标准》（GB/T14848-2017）中的Ⅴ类标准，其余因子均符合Ⅳ类及以上标准。</w:t>
      </w:r>
    </w:p>
    <w:bookmarkEnd w:id="302"/>
    <w:bookmarkEnd w:id="303"/>
    <w:p w14:paraId="70B5C55E">
      <w:pPr>
        <w:pStyle w:val="6"/>
        <w:keepLines w:val="0"/>
        <w:tabs>
          <w:tab w:val="left" w:pos="709"/>
        </w:tabs>
        <w:spacing w:before="120" w:beforeLines="50" w:after="120" w:afterLines="50" w:line="500" w:lineRule="exact"/>
        <w:rPr>
          <w:rFonts w:ascii="Times New Roman" w:eastAsia="仿宋"/>
          <w:sz w:val="30"/>
          <w:szCs w:val="30"/>
        </w:rPr>
      </w:pPr>
      <w:bookmarkStart w:id="305" w:name="_Toc173570669"/>
      <w:bookmarkStart w:id="306" w:name="_Toc211068010"/>
      <w:bookmarkStart w:id="307" w:name="_Toc304838114"/>
      <w:bookmarkStart w:id="308" w:name="_Toc254685640"/>
      <w:r>
        <w:rPr>
          <w:rFonts w:hint="eastAsia" w:ascii="Times New Roman" w:eastAsia="仿宋"/>
          <w:sz w:val="30"/>
          <w:szCs w:val="30"/>
        </w:rPr>
        <w:t>4</w:t>
      </w:r>
      <w:r>
        <w:rPr>
          <w:rFonts w:ascii="Times New Roman" w:eastAsia="仿宋"/>
          <w:sz w:val="30"/>
          <w:szCs w:val="30"/>
        </w:rPr>
        <w:t>.2.5土壤环境质量现状</w:t>
      </w:r>
      <w:bookmarkEnd w:id="305"/>
      <w:bookmarkEnd w:id="306"/>
      <w:bookmarkEnd w:id="307"/>
      <w:bookmarkEnd w:id="308"/>
      <w:r>
        <w:rPr>
          <w:rFonts w:ascii="Times New Roman" w:eastAsia="仿宋"/>
          <w:sz w:val="30"/>
          <w:szCs w:val="30"/>
        </w:rPr>
        <w:t>监测与评价</w:t>
      </w:r>
    </w:p>
    <w:p w14:paraId="4D41FBA4">
      <w:pPr>
        <w:spacing w:line="500" w:lineRule="exact"/>
        <w:ind w:firstLine="560" w:firstLineChars="200"/>
        <w:rPr>
          <w:rFonts w:ascii="Times New Roman" w:eastAsia="仿宋"/>
          <w:sz w:val="28"/>
          <w:szCs w:val="28"/>
        </w:rPr>
      </w:pPr>
      <w:r>
        <w:rPr>
          <w:rFonts w:ascii="Times New Roman" w:eastAsia="仿宋"/>
          <w:sz w:val="28"/>
          <w:szCs w:val="28"/>
        </w:rPr>
        <w:t>1、土壤理化性质调查</w:t>
      </w:r>
    </w:p>
    <w:p w14:paraId="39239A7A">
      <w:pPr>
        <w:spacing w:line="500" w:lineRule="exact"/>
        <w:ind w:firstLine="560" w:firstLineChars="200"/>
        <w:rPr>
          <w:rFonts w:ascii="Times New Roman" w:eastAsia="仿宋"/>
          <w:sz w:val="28"/>
          <w:szCs w:val="28"/>
        </w:rPr>
      </w:pPr>
      <w:r>
        <w:rPr>
          <w:rFonts w:ascii="Times New Roman" w:eastAsia="仿宋"/>
          <w:sz w:val="28"/>
          <w:szCs w:val="28"/>
        </w:rPr>
        <w:t>共设置6个点位。在</w:t>
      </w:r>
      <w:r>
        <w:rPr>
          <w:rFonts w:hint="eastAsia" w:ascii="Times New Roman" w:eastAsia="仿宋"/>
          <w:sz w:val="28"/>
          <w:szCs w:val="28"/>
        </w:rPr>
        <w:t>拟建</w:t>
      </w:r>
      <w:r>
        <w:rPr>
          <w:rFonts w:ascii="Times New Roman" w:eastAsia="仿宋"/>
          <w:sz w:val="28"/>
          <w:szCs w:val="28"/>
        </w:rPr>
        <w:t>项目所在地布设4个点，</w:t>
      </w:r>
      <w:r>
        <w:rPr>
          <w:rFonts w:hint="eastAsia" w:ascii="Times New Roman" w:eastAsia="仿宋"/>
          <w:sz w:val="28"/>
          <w:szCs w:val="28"/>
        </w:rPr>
        <w:t>其中</w:t>
      </w:r>
      <w:r>
        <w:rPr>
          <w:rFonts w:ascii="Times New Roman" w:eastAsia="仿宋"/>
          <w:sz w:val="28"/>
          <w:szCs w:val="28"/>
        </w:rPr>
        <w:t>3个柱状样点（T</w:t>
      </w:r>
      <w:r>
        <w:rPr>
          <w:rFonts w:hint="eastAsia" w:ascii="Times New Roman" w:eastAsia="仿宋"/>
          <w:sz w:val="28"/>
          <w:szCs w:val="28"/>
        </w:rPr>
        <w:t>1</w:t>
      </w:r>
      <w:r>
        <w:rPr>
          <w:rFonts w:ascii="Times New Roman" w:eastAsia="仿宋"/>
          <w:sz w:val="28"/>
          <w:szCs w:val="28"/>
        </w:rPr>
        <w:t>-T</w:t>
      </w:r>
      <w:r>
        <w:rPr>
          <w:rFonts w:hint="eastAsia" w:ascii="Times New Roman" w:eastAsia="仿宋"/>
          <w:sz w:val="28"/>
          <w:szCs w:val="28"/>
        </w:rPr>
        <w:t>3</w:t>
      </w:r>
      <w:r>
        <w:rPr>
          <w:rFonts w:ascii="Times New Roman" w:eastAsia="仿宋"/>
          <w:sz w:val="28"/>
          <w:szCs w:val="28"/>
        </w:rPr>
        <w:t>）以及1个表层样点（T</w:t>
      </w:r>
      <w:r>
        <w:rPr>
          <w:rFonts w:hint="eastAsia" w:ascii="Times New Roman" w:eastAsia="仿宋"/>
          <w:sz w:val="28"/>
          <w:szCs w:val="28"/>
        </w:rPr>
        <w:t>4</w:t>
      </w:r>
      <w:r>
        <w:rPr>
          <w:rFonts w:ascii="Times New Roman" w:eastAsia="仿宋"/>
          <w:sz w:val="28"/>
          <w:szCs w:val="28"/>
        </w:rPr>
        <w:t>）；在</w:t>
      </w:r>
      <w:r>
        <w:rPr>
          <w:rFonts w:hint="eastAsia" w:ascii="Times New Roman" w:eastAsia="仿宋"/>
          <w:sz w:val="28"/>
          <w:szCs w:val="28"/>
        </w:rPr>
        <w:t>拟建</w:t>
      </w:r>
      <w:r>
        <w:rPr>
          <w:rFonts w:ascii="Times New Roman" w:eastAsia="仿宋"/>
          <w:sz w:val="28"/>
          <w:szCs w:val="28"/>
        </w:rPr>
        <w:t>项目所在地外，布设2个表层样点（T5-T6），表层样在</w:t>
      </w:r>
      <w:r>
        <w:rPr>
          <w:rFonts w:hint="eastAsia" w:ascii="Times New Roman" w:eastAsia="仿宋"/>
          <w:sz w:val="28"/>
          <w:szCs w:val="28"/>
        </w:rPr>
        <w:t>0.1m</w:t>
      </w:r>
      <w:r>
        <w:rPr>
          <w:rFonts w:ascii="Times New Roman" w:eastAsia="仿宋"/>
          <w:sz w:val="28"/>
          <w:szCs w:val="28"/>
        </w:rPr>
        <w:t>取样；柱状样通常在0.5m，1.5m，3m，6m分别取样。</w:t>
      </w:r>
    </w:p>
    <w:p w14:paraId="00752A6E">
      <w:pPr>
        <w:spacing w:line="500" w:lineRule="exact"/>
        <w:ind w:firstLine="560" w:firstLineChars="200"/>
        <w:rPr>
          <w:rFonts w:ascii="Times New Roman" w:eastAsia="仿宋"/>
          <w:sz w:val="28"/>
          <w:szCs w:val="28"/>
        </w:rPr>
      </w:pPr>
      <w:r>
        <w:rPr>
          <w:rFonts w:hint="eastAsia" w:ascii="Times New Roman" w:eastAsia="仿宋"/>
          <w:sz w:val="28"/>
          <w:szCs w:val="28"/>
        </w:rPr>
        <w:t>本项目委托常州苏测环境检测有限公司对T1点位进行土壤理化特性调查，</w:t>
      </w:r>
      <w:r>
        <w:rPr>
          <w:rFonts w:ascii="Times New Roman" w:eastAsia="仿宋"/>
          <w:sz w:val="28"/>
          <w:szCs w:val="28"/>
        </w:rPr>
        <w:t>根据《检测报告》（报告编号：</w:t>
      </w:r>
      <w:r>
        <w:rPr>
          <w:rFonts w:hint="eastAsia" w:ascii="Times New Roman" w:eastAsia="仿宋"/>
          <w:sz w:val="28"/>
          <w:szCs w:val="28"/>
        </w:rPr>
        <w:t>E2410043-3</w:t>
      </w:r>
      <w:r>
        <w:rPr>
          <w:rFonts w:ascii="Times New Roman" w:eastAsia="仿宋"/>
          <w:sz w:val="28"/>
          <w:szCs w:val="28"/>
        </w:rPr>
        <w:t>），</w:t>
      </w:r>
      <w:r>
        <w:rPr>
          <w:rFonts w:hint="eastAsia" w:ascii="Times New Roman" w:eastAsia="仿宋"/>
          <w:sz w:val="28"/>
          <w:szCs w:val="28"/>
        </w:rPr>
        <w:t>结果</w:t>
      </w:r>
      <w:r>
        <w:rPr>
          <w:rFonts w:ascii="Times New Roman" w:eastAsia="仿宋"/>
          <w:sz w:val="28"/>
          <w:szCs w:val="28"/>
        </w:rPr>
        <w:t>具体如下。</w:t>
      </w:r>
    </w:p>
    <w:p w14:paraId="3925CF82">
      <w:pPr>
        <w:spacing w:line="500" w:lineRule="exact"/>
        <w:jc w:val="center"/>
        <w:rPr>
          <w:rFonts w:ascii="Times New Roman" w:eastAsia="仿宋"/>
          <w:b/>
        </w:rPr>
      </w:pPr>
    </w:p>
    <w:p w14:paraId="198180E3">
      <w:pPr>
        <w:spacing w:line="500" w:lineRule="exact"/>
        <w:jc w:val="center"/>
        <w:rPr>
          <w:rFonts w:ascii="Times New Roman" w:eastAsia="仿宋"/>
          <w:b/>
        </w:rPr>
      </w:pPr>
    </w:p>
    <w:p w14:paraId="45B2A1B5">
      <w:pPr>
        <w:spacing w:line="500" w:lineRule="exact"/>
        <w:jc w:val="center"/>
        <w:rPr>
          <w:rFonts w:ascii="Times New Roman" w:eastAsia="仿宋"/>
          <w:b/>
        </w:rPr>
      </w:pPr>
    </w:p>
    <w:p w14:paraId="0D3E7774">
      <w:pPr>
        <w:spacing w:line="500" w:lineRule="exact"/>
        <w:jc w:val="center"/>
        <w:rPr>
          <w:rFonts w:ascii="Times New Roman" w:eastAsia="仿宋"/>
          <w:b/>
        </w:rPr>
      </w:pPr>
    </w:p>
    <w:p w14:paraId="369CBAB6">
      <w:pPr>
        <w:spacing w:line="500" w:lineRule="exact"/>
        <w:jc w:val="center"/>
        <w:rPr>
          <w:rFonts w:ascii="Times New Roman" w:eastAsia="仿宋"/>
          <w:b/>
        </w:rPr>
      </w:pPr>
    </w:p>
    <w:p w14:paraId="2D116A75">
      <w:pPr>
        <w:pStyle w:val="2"/>
      </w:pPr>
    </w:p>
    <w:p w14:paraId="395B897C">
      <w:pPr>
        <w:spacing w:line="500" w:lineRule="exact"/>
        <w:jc w:val="center"/>
        <w:rPr>
          <w:rFonts w:ascii="Times New Roman" w:eastAsia="仿宋"/>
          <w:b/>
        </w:rPr>
      </w:pPr>
      <w:r>
        <w:rPr>
          <w:rFonts w:ascii="Times New Roman" w:eastAsia="仿宋"/>
          <w:b/>
        </w:rPr>
        <w:t>表4.2-1</w:t>
      </w:r>
      <w:r>
        <w:rPr>
          <w:rFonts w:hint="eastAsia" w:ascii="Times New Roman" w:eastAsia="仿宋"/>
          <w:b/>
        </w:rPr>
        <w:t>1</w:t>
      </w:r>
      <w:r>
        <w:rPr>
          <w:rFonts w:ascii="Times New Roman" w:eastAsia="仿宋"/>
          <w:b/>
        </w:rPr>
        <w:t xml:space="preserve">  土壤理化特性调查表</w:t>
      </w:r>
    </w:p>
    <w:tbl>
      <w:tblPr>
        <w:tblStyle w:val="8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23"/>
        <w:gridCol w:w="1892"/>
        <w:gridCol w:w="1105"/>
        <w:gridCol w:w="808"/>
        <w:gridCol w:w="500"/>
        <w:gridCol w:w="198"/>
        <w:gridCol w:w="1106"/>
        <w:gridCol w:w="1271"/>
        <w:gridCol w:w="1076"/>
      </w:tblGrid>
      <w:tr w14:paraId="3261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pct"/>
            <w:gridSpan w:val="3"/>
            <w:vAlign w:val="center"/>
          </w:tcPr>
          <w:p w14:paraId="6AD18890">
            <w:pPr>
              <w:jc w:val="center"/>
              <w:rPr>
                <w:rFonts w:ascii="Times New Roman" w:eastAsia="仿宋"/>
                <w:szCs w:val="21"/>
              </w:rPr>
            </w:pPr>
            <w:r>
              <w:rPr>
                <w:rFonts w:ascii="Times New Roman" w:eastAsia="仿宋"/>
                <w:szCs w:val="21"/>
              </w:rPr>
              <w:t>点号</w:t>
            </w:r>
          </w:p>
        </w:tc>
        <w:tc>
          <w:tcPr>
            <w:tcW w:w="1035" w:type="pct"/>
            <w:gridSpan w:val="2"/>
            <w:vAlign w:val="center"/>
          </w:tcPr>
          <w:p w14:paraId="537A4253">
            <w:pPr>
              <w:jc w:val="center"/>
              <w:rPr>
                <w:rFonts w:ascii="Times New Roman" w:eastAsia="仿宋"/>
                <w:szCs w:val="21"/>
              </w:rPr>
            </w:pPr>
            <w:r>
              <w:rPr>
                <w:rFonts w:ascii="Times New Roman" w:eastAsia="仿宋"/>
                <w:szCs w:val="21"/>
              </w:rPr>
              <w:t>T1</w:t>
            </w:r>
          </w:p>
        </w:tc>
        <w:tc>
          <w:tcPr>
            <w:tcW w:w="378" w:type="pct"/>
            <w:gridSpan w:val="2"/>
            <w:vAlign w:val="center"/>
          </w:tcPr>
          <w:p w14:paraId="514C2213">
            <w:pPr>
              <w:jc w:val="center"/>
              <w:rPr>
                <w:rFonts w:ascii="Times New Roman" w:eastAsia="仿宋"/>
                <w:szCs w:val="21"/>
              </w:rPr>
            </w:pPr>
            <w:r>
              <w:rPr>
                <w:rFonts w:ascii="Times New Roman" w:eastAsia="仿宋"/>
                <w:szCs w:val="21"/>
              </w:rPr>
              <w:t>时间</w:t>
            </w:r>
          </w:p>
        </w:tc>
        <w:tc>
          <w:tcPr>
            <w:tcW w:w="1870" w:type="pct"/>
            <w:gridSpan w:val="3"/>
            <w:vAlign w:val="center"/>
          </w:tcPr>
          <w:p w14:paraId="013D2765">
            <w:pPr>
              <w:jc w:val="center"/>
              <w:rPr>
                <w:rFonts w:ascii="Times New Roman" w:eastAsia="仿宋"/>
                <w:szCs w:val="21"/>
              </w:rPr>
            </w:pPr>
            <w:r>
              <w:rPr>
                <w:rFonts w:ascii="Times New Roman" w:eastAsia="仿宋"/>
                <w:szCs w:val="21"/>
              </w:rPr>
              <w:t>202</w:t>
            </w:r>
            <w:r>
              <w:rPr>
                <w:rFonts w:hint="eastAsia" w:ascii="Times New Roman" w:eastAsia="仿宋"/>
                <w:szCs w:val="21"/>
              </w:rPr>
              <w:t>4</w:t>
            </w:r>
            <w:r>
              <w:rPr>
                <w:rFonts w:ascii="Times New Roman" w:eastAsia="仿宋"/>
                <w:szCs w:val="21"/>
              </w:rPr>
              <w:t>年</w:t>
            </w:r>
            <w:r>
              <w:rPr>
                <w:rFonts w:hint="eastAsia" w:ascii="Times New Roman" w:eastAsia="仿宋"/>
                <w:szCs w:val="21"/>
              </w:rPr>
              <w:t>10</w:t>
            </w:r>
            <w:r>
              <w:rPr>
                <w:rFonts w:ascii="Times New Roman" w:eastAsia="仿宋"/>
                <w:szCs w:val="21"/>
              </w:rPr>
              <w:t>月</w:t>
            </w:r>
            <w:r>
              <w:rPr>
                <w:rFonts w:hint="eastAsia" w:ascii="Times New Roman" w:eastAsia="仿宋"/>
                <w:szCs w:val="21"/>
              </w:rPr>
              <w:t>17</w:t>
            </w:r>
            <w:r>
              <w:rPr>
                <w:rFonts w:ascii="Times New Roman" w:eastAsia="仿宋"/>
                <w:szCs w:val="21"/>
              </w:rPr>
              <w:t>日</w:t>
            </w:r>
          </w:p>
        </w:tc>
      </w:tr>
      <w:tr w14:paraId="3C42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pct"/>
            <w:gridSpan w:val="3"/>
            <w:vAlign w:val="center"/>
          </w:tcPr>
          <w:p w14:paraId="0469DD2F">
            <w:pPr>
              <w:jc w:val="center"/>
              <w:rPr>
                <w:rFonts w:ascii="Times New Roman" w:eastAsia="仿宋"/>
                <w:szCs w:val="21"/>
              </w:rPr>
            </w:pPr>
            <w:r>
              <w:rPr>
                <w:rFonts w:ascii="Times New Roman" w:eastAsia="仿宋"/>
                <w:szCs w:val="21"/>
              </w:rPr>
              <w:t>经度</w:t>
            </w:r>
          </w:p>
        </w:tc>
        <w:tc>
          <w:tcPr>
            <w:tcW w:w="1035" w:type="pct"/>
            <w:gridSpan w:val="2"/>
            <w:vAlign w:val="center"/>
          </w:tcPr>
          <w:p w14:paraId="6C8441D5">
            <w:pPr>
              <w:jc w:val="center"/>
              <w:rPr>
                <w:rFonts w:ascii="Times New Roman" w:eastAsia="仿宋"/>
                <w:szCs w:val="21"/>
              </w:rPr>
            </w:pPr>
            <w:r>
              <w:rPr>
                <w:rFonts w:ascii="Times New Roman" w:eastAsia="仿宋"/>
                <w:szCs w:val="21"/>
              </w:rPr>
              <w:t>E：119</w:t>
            </w:r>
            <w:r>
              <w:rPr>
                <w:rFonts w:hint="eastAsia" w:ascii="Times New Roman" w:eastAsia="仿宋"/>
                <w:szCs w:val="21"/>
              </w:rPr>
              <w:t>.440380</w:t>
            </w:r>
            <w:r>
              <w:rPr>
                <w:rFonts w:ascii="Times New Roman" w:eastAsia="仿宋"/>
                <w:szCs w:val="21"/>
              </w:rPr>
              <w:t>°</w:t>
            </w:r>
          </w:p>
        </w:tc>
        <w:tc>
          <w:tcPr>
            <w:tcW w:w="378" w:type="pct"/>
            <w:gridSpan w:val="2"/>
            <w:vAlign w:val="center"/>
          </w:tcPr>
          <w:p w14:paraId="742535E0">
            <w:pPr>
              <w:jc w:val="center"/>
              <w:rPr>
                <w:rFonts w:ascii="Times New Roman" w:eastAsia="仿宋"/>
                <w:szCs w:val="21"/>
              </w:rPr>
            </w:pPr>
            <w:r>
              <w:rPr>
                <w:rFonts w:ascii="Times New Roman" w:eastAsia="仿宋"/>
                <w:szCs w:val="21"/>
              </w:rPr>
              <w:t>纬度</w:t>
            </w:r>
          </w:p>
        </w:tc>
        <w:tc>
          <w:tcPr>
            <w:tcW w:w="1870" w:type="pct"/>
            <w:gridSpan w:val="3"/>
            <w:vAlign w:val="center"/>
          </w:tcPr>
          <w:p w14:paraId="6C79B7D6">
            <w:pPr>
              <w:jc w:val="center"/>
              <w:rPr>
                <w:rFonts w:ascii="Times New Roman" w:eastAsia="仿宋"/>
                <w:szCs w:val="21"/>
              </w:rPr>
            </w:pPr>
            <w:r>
              <w:rPr>
                <w:rFonts w:ascii="Times New Roman" w:eastAsia="仿宋"/>
                <w:szCs w:val="21"/>
              </w:rPr>
              <w:t>N：31</w:t>
            </w:r>
            <w:r>
              <w:rPr>
                <w:rFonts w:hint="eastAsia" w:ascii="Times New Roman" w:eastAsia="仿宋"/>
                <w:szCs w:val="21"/>
              </w:rPr>
              <w:t>.725701</w:t>
            </w:r>
            <w:r>
              <w:rPr>
                <w:rFonts w:ascii="Times New Roman" w:eastAsia="仿宋"/>
                <w:szCs w:val="21"/>
              </w:rPr>
              <w:t>°</w:t>
            </w:r>
          </w:p>
        </w:tc>
      </w:tr>
      <w:tr w14:paraId="188D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pct"/>
            <w:gridSpan w:val="3"/>
            <w:vAlign w:val="center"/>
          </w:tcPr>
          <w:p w14:paraId="65B85D71">
            <w:pPr>
              <w:jc w:val="center"/>
              <w:rPr>
                <w:rFonts w:ascii="Times New Roman" w:eastAsia="仿宋"/>
                <w:szCs w:val="21"/>
              </w:rPr>
            </w:pPr>
            <w:r>
              <w:rPr>
                <w:rFonts w:ascii="Times New Roman" w:eastAsia="仿宋"/>
                <w:szCs w:val="21"/>
              </w:rPr>
              <w:t>采样深度</w:t>
            </w:r>
          </w:p>
        </w:tc>
        <w:tc>
          <w:tcPr>
            <w:tcW w:w="598" w:type="pct"/>
            <w:vAlign w:val="center"/>
          </w:tcPr>
          <w:p w14:paraId="50F07627">
            <w:pPr>
              <w:jc w:val="center"/>
              <w:rPr>
                <w:rFonts w:ascii="Times New Roman" w:eastAsia="仿宋"/>
                <w:szCs w:val="21"/>
              </w:rPr>
            </w:pPr>
            <w:r>
              <w:rPr>
                <w:rFonts w:ascii="Times New Roman" w:eastAsia="仿宋"/>
                <w:szCs w:val="21"/>
              </w:rPr>
              <w:t>0.</w:t>
            </w:r>
            <w:r>
              <w:rPr>
                <w:rFonts w:hint="eastAsia" w:ascii="Times New Roman" w:eastAsia="仿宋"/>
                <w:szCs w:val="21"/>
              </w:rPr>
              <w:t>1</w:t>
            </w:r>
            <w:r>
              <w:rPr>
                <w:rFonts w:ascii="Times New Roman" w:eastAsia="仿宋"/>
                <w:szCs w:val="21"/>
              </w:rPr>
              <w:t>m</w:t>
            </w:r>
          </w:p>
        </w:tc>
        <w:tc>
          <w:tcPr>
            <w:tcW w:w="708" w:type="pct"/>
            <w:gridSpan w:val="2"/>
            <w:vAlign w:val="center"/>
          </w:tcPr>
          <w:p w14:paraId="49FB236E">
            <w:pPr>
              <w:jc w:val="center"/>
              <w:rPr>
                <w:rFonts w:ascii="Times New Roman" w:eastAsia="仿宋"/>
                <w:szCs w:val="21"/>
              </w:rPr>
            </w:pPr>
            <w:r>
              <w:rPr>
                <w:rFonts w:ascii="Times New Roman" w:eastAsia="仿宋"/>
                <w:szCs w:val="21"/>
              </w:rPr>
              <w:t>0.5m</w:t>
            </w:r>
          </w:p>
        </w:tc>
        <w:tc>
          <w:tcPr>
            <w:tcW w:w="706" w:type="pct"/>
            <w:gridSpan w:val="2"/>
            <w:vAlign w:val="center"/>
          </w:tcPr>
          <w:p w14:paraId="511B7852">
            <w:pPr>
              <w:jc w:val="center"/>
              <w:rPr>
                <w:rFonts w:ascii="Times New Roman" w:eastAsia="仿宋"/>
                <w:szCs w:val="21"/>
              </w:rPr>
            </w:pPr>
            <w:r>
              <w:rPr>
                <w:rFonts w:ascii="Times New Roman" w:eastAsia="仿宋"/>
                <w:szCs w:val="21"/>
              </w:rPr>
              <w:t>1.5m</w:t>
            </w:r>
          </w:p>
        </w:tc>
        <w:tc>
          <w:tcPr>
            <w:tcW w:w="688" w:type="pct"/>
            <w:vAlign w:val="center"/>
          </w:tcPr>
          <w:p w14:paraId="74DFF82A">
            <w:pPr>
              <w:jc w:val="center"/>
              <w:rPr>
                <w:rFonts w:ascii="Times New Roman" w:eastAsia="仿宋"/>
                <w:szCs w:val="21"/>
              </w:rPr>
            </w:pPr>
            <w:r>
              <w:rPr>
                <w:rFonts w:hint="eastAsia" w:ascii="Times New Roman" w:eastAsia="仿宋"/>
                <w:szCs w:val="21"/>
              </w:rPr>
              <w:t>3.0m</w:t>
            </w:r>
          </w:p>
        </w:tc>
        <w:tc>
          <w:tcPr>
            <w:tcW w:w="583" w:type="pct"/>
            <w:vAlign w:val="center"/>
          </w:tcPr>
          <w:p w14:paraId="1746492F">
            <w:pPr>
              <w:jc w:val="center"/>
              <w:rPr>
                <w:rFonts w:ascii="Times New Roman" w:eastAsia="仿宋"/>
                <w:szCs w:val="21"/>
              </w:rPr>
            </w:pPr>
            <w:r>
              <w:rPr>
                <w:rFonts w:ascii="Times New Roman" w:eastAsia="仿宋"/>
                <w:szCs w:val="21"/>
              </w:rPr>
              <w:t>6</w:t>
            </w:r>
            <w:r>
              <w:rPr>
                <w:rFonts w:hint="eastAsia" w:ascii="Times New Roman" w:eastAsia="仿宋"/>
                <w:szCs w:val="21"/>
              </w:rPr>
              <w:t>.0</w:t>
            </w:r>
            <w:r>
              <w:rPr>
                <w:rFonts w:ascii="Times New Roman" w:eastAsia="仿宋"/>
                <w:szCs w:val="21"/>
              </w:rPr>
              <w:t>m</w:t>
            </w:r>
          </w:p>
        </w:tc>
      </w:tr>
      <w:tr w14:paraId="433E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restart"/>
            <w:vAlign w:val="center"/>
          </w:tcPr>
          <w:p w14:paraId="2B96C44A">
            <w:pPr>
              <w:jc w:val="center"/>
              <w:rPr>
                <w:rFonts w:ascii="Times New Roman" w:eastAsia="仿宋"/>
                <w:szCs w:val="21"/>
              </w:rPr>
            </w:pPr>
            <w:r>
              <w:rPr>
                <w:rFonts w:ascii="Times New Roman" w:eastAsia="仿宋"/>
                <w:szCs w:val="21"/>
              </w:rPr>
              <w:t>现场记录</w:t>
            </w:r>
          </w:p>
        </w:tc>
        <w:tc>
          <w:tcPr>
            <w:tcW w:w="1469" w:type="pct"/>
            <w:gridSpan w:val="2"/>
            <w:vAlign w:val="center"/>
          </w:tcPr>
          <w:p w14:paraId="08635452">
            <w:pPr>
              <w:jc w:val="center"/>
              <w:rPr>
                <w:rFonts w:ascii="Times New Roman" w:eastAsia="仿宋"/>
                <w:szCs w:val="21"/>
              </w:rPr>
            </w:pPr>
            <w:r>
              <w:rPr>
                <w:rFonts w:ascii="Times New Roman" w:eastAsia="仿宋"/>
                <w:szCs w:val="21"/>
              </w:rPr>
              <w:t>颜色</w:t>
            </w:r>
          </w:p>
        </w:tc>
        <w:tc>
          <w:tcPr>
            <w:tcW w:w="598" w:type="pct"/>
            <w:vAlign w:val="center"/>
          </w:tcPr>
          <w:p w14:paraId="1C7BACC7">
            <w:pPr>
              <w:jc w:val="center"/>
              <w:rPr>
                <w:rFonts w:ascii="Times New Roman" w:eastAsia="仿宋"/>
                <w:szCs w:val="21"/>
              </w:rPr>
            </w:pPr>
            <w:r>
              <w:rPr>
                <w:rFonts w:hint="eastAsia" w:ascii="Times New Roman" w:eastAsia="仿宋"/>
                <w:szCs w:val="21"/>
              </w:rPr>
              <w:t>棕色</w:t>
            </w:r>
          </w:p>
        </w:tc>
        <w:tc>
          <w:tcPr>
            <w:tcW w:w="708" w:type="pct"/>
            <w:gridSpan w:val="2"/>
            <w:vAlign w:val="center"/>
          </w:tcPr>
          <w:p w14:paraId="20508FF1">
            <w:pPr>
              <w:jc w:val="center"/>
              <w:rPr>
                <w:rFonts w:ascii="Times New Roman" w:eastAsia="仿宋"/>
                <w:szCs w:val="21"/>
              </w:rPr>
            </w:pPr>
            <w:r>
              <w:rPr>
                <w:rFonts w:hint="eastAsia" w:ascii="Times New Roman" w:eastAsia="仿宋"/>
                <w:szCs w:val="21"/>
              </w:rPr>
              <w:t>棕色</w:t>
            </w:r>
          </w:p>
        </w:tc>
        <w:tc>
          <w:tcPr>
            <w:tcW w:w="706" w:type="pct"/>
            <w:gridSpan w:val="2"/>
            <w:vAlign w:val="center"/>
          </w:tcPr>
          <w:p w14:paraId="1938D640">
            <w:pPr>
              <w:jc w:val="center"/>
              <w:rPr>
                <w:rFonts w:ascii="Times New Roman" w:eastAsia="仿宋"/>
                <w:szCs w:val="21"/>
              </w:rPr>
            </w:pPr>
            <w:r>
              <w:rPr>
                <w:rFonts w:hint="eastAsia" w:ascii="Times New Roman" w:eastAsia="仿宋"/>
                <w:szCs w:val="21"/>
              </w:rPr>
              <w:t>暗</w:t>
            </w:r>
            <w:r>
              <w:rPr>
                <w:rFonts w:ascii="Times New Roman" w:eastAsia="仿宋"/>
                <w:szCs w:val="21"/>
              </w:rPr>
              <w:t>棕</w:t>
            </w:r>
            <w:r>
              <w:rPr>
                <w:rFonts w:hint="eastAsia" w:ascii="Times New Roman" w:eastAsia="仿宋"/>
                <w:szCs w:val="21"/>
              </w:rPr>
              <w:t>色</w:t>
            </w:r>
          </w:p>
        </w:tc>
        <w:tc>
          <w:tcPr>
            <w:tcW w:w="688" w:type="pct"/>
            <w:vAlign w:val="center"/>
          </w:tcPr>
          <w:p w14:paraId="6838AD59">
            <w:pPr>
              <w:jc w:val="center"/>
              <w:rPr>
                <w:rFonts w:ascii="Times New Roman" w:eastAsia="仿宋"/>
                <w:szCs w:val="21"/>
              </w:rPr>
            </w:pPr>
            <w:r>
              <w:rPr>
                <w:rFonts w:hint="eastAsia" w:ascii="Times New Roman" w:eastAsia="仿宋"/>
                <w:szCs w:val="21"/>
              </w:rPr>
              <w:t>暗</w:t>
            </w:r>
            <w:r>
              <w:rPr>
                <w:rFonts w:ascii="Times New Roman" w:eastAsia="仿宋"/>
                <w:szCs w:val="21"/>
              </w:rPr>
              <w:t>棕</w:t>
            </w:r>
            <w:r>
              <w:rPr>
                <w:rFonts w:hint="eastAsia" w:ascii="Times New Roman" w:eastAsia="仿宋"/>
                <w:szCs w:val="21"/>
              </w:rPr>
              <w:t>色</w:t>
            </w:r>
          </w:p>
        </w:tc>
        <w:tc>
          <w:tcPr>
            <w:tcW w:w="583" w:type="pct"/>
            <w:vAlign w:val="center"/>
          </w:tcPr>
          <w:p w14:paraId="6DBFF8CD">
            <w:pPr>
              <w:jc w:val="center"/>
              <w:rPr>
                <w:rFonts w:ascii="Times New Roman" w:eastAsia="仿宋"/>
                <w:szCs w:val="21"/>
              </w:rPr>
            </w:pPr>
            <w:r>
              <w:rPr>
                <w:rFonts w:hint="eastAsia" w:ascii="Times New Roman" w:eastAsia="仿宋"/>
                <w:szCs w:val="21"/>
              </w:rPr>
              <w:t>暗灰色</w:t>
            </w:r>
          </w:p>
        </w:tc>
      </w:tr>
      <w:tr w14:paraId="66AF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7A33ED3D">
            <w:pPr>
              <w:jc w:val="center"/>
              <w:rPr>
                <w:rFonts w:ascii="Times New Roman" w:eastAsia="仿宋"/>
                <w:szCs w:val="21"/>
              </w:rPr>
            </w:pPr>
          </w:p>
        </w:tc>
        <w:tc>
          <w:tcPr>
            <w:tcW w:w="1469" w:type="pct"/>
            <w:gridSpan w:val="2"/>
            <w:vAlign w:val="center"/>
          </w:tcPr>
          <w:p w14:paraId="59877C6C">
            <w:pPr>
              <w:jc w:val="center"/>
              <w:rPr>
                <w:rFonts w:ascii="Times New Roman" w:eastAsia="仿宋"/>
                <w:szCs w:val="21"/>
              </w:rPr>
            </w:pPr>
            <w:r>
              <w:rPr>
                <w:rFonts w:ascii="Times New Roman" w:eastAsia="仿宋"/>
                <w:szCs w:val="21"/>
              </w:rPr>
              <w:t>结构</w:t>
            </w:r>
          </w:p>
        </w:tc>
        <w:tc>
          <w:tcPr>
            <w:tcW w:w="598" w:type="pct"/>
            <w:vAlign w:val="center"/>
          </w:tcPr>
          <w:p w14:paraId="5266D148">
            <w:pPr>
              <w:jc w:val="center"/>
              <w:rPr>
                <w:rFonts w:ascii="Times New Roman" w:eastAsia="仿宋"/>
                <w:szCs w:val="21"/>
              </w:rPr>
            </w:pPr>
            <w:r>
              <w:rPr>
                <w:rFonts w:hint="eastAsia" w:ascii="Times New Roman" w:eastAsia="仿宋"/>
                <w:szCs w:val="21"/>
              </w:rPr>
              <w:t>块状</w:t>
            </w:r>
          </w:p>
        </w:tc>
        <w:tc>
          <w:tcPr>
            <w:tcW w:w="708" w:type="pct"/>
            <w:gridSpan w:val="2"/>
            <w:vAlign w:val="center"/>
          </w:tcPr>
          <w:p w14:paraId="731B4392">
            <w:pPr>
              <w:jc w:val="center"/>
              <w:rPr>
                <w:rFonts w:ascii="Times New Roman" w:eastAsia="仿宋"/>
                <w:szCs w:val="21"/>
              </w:rPr>
            </w:pPr>
            <w:r>
              <w:rPr>
                <w:rFonts w:hint="eastAsia" w:ascii="Times New Roman" w:eastAsia="仿宋"/>
                <w:szCs w:val="21"/>
              </w:rPr>
              <w:t>块状</w:t>
            </w:r>
          </w:p>
        </w:tc>
        <w:tc>
          <w:tcPr>
            <w:tcW w:w="706" w:type="pct"/>
            <w:gridSpan w:val="2"/>
            <w:vAlign w:val="center"/>
          </w:tcPr>
          <w:p w14:paraId="489C9D73">
            <w:pPr>
              <w:jc w:val="center"/>
              <w:rPr>
                <w:rFonts w:ascii="Times New Roman" w:eastAsia="仿宋"/>
                <w:szCs w:val="21"/>
              </w:rPr>
            </w:pPr>
            <w:r>
              <w:rPr>
                <w:rFonts w:hint="eastAsia" w:ascii="Times New Roman" w:eastAsia="仿宋"/>
                <w:szCs w:val="21"/>
              </w:rPr>
              <w:t>块状</w:t>
            </w:r>
          </w:p>
        </w:tc>
        <w:tc>
          <w:tcPr>
            <w:tcW w:w="688" w:type="pct"/>
            <w:vAlign w:val="center"/>
          </w:tcPr>
          <w:p w14:paraId="6680B231">
            <w:pPr>
              <w:jc w:val="center"/>
              <w:rPr>
                <w:rFonts w:ascii="Times New Roman" w:eastAsia="仿宋"/>
                <w:szCs w:val="21"/>
              </w:rPr>
            </w:pPr>
            <w:r>
              <w:rPr>
                <w:rFonts w:hint="eastAsia" w:ascii="Times New Roman" w:eastAsia="仿宋"/>
                <w:szCs w:val="21"/>
              </w:rPr>
              <w:t>块状</w:t>
            </w:r>
          </w:p>
        </w:tc>
        <w:tc>
          <w:tcPr>
            <w:tcW w:w="583" w:type="pct"/>
            <w:vAlign w:val="center"/>
          </w:tcPr>
          <w:p w14:paraId="784DFEE7">
            <w:pPr>
              <w:jc w:val="center"/>
              <w:rPr>
                <w:rFonts w:ascii="Times New Roman" w:eastAsia="仿宋"/>
                <w:szCs w:val="21"/>
              </w:rPr>
            </w:pPr>
            <w:r>
              <w:rPr>
                <w:rFonts w:hint="eastAsia" w:ascii="Times New Roman" w:eastAsia="仿宋"/>
                <w:szCs w:val="21"/>
              </w:rPr>
              <w:t>块状</w:t>
            </w:r>
          </w:p>
        </w:tc>
      </w:tr>
      <w:tr w14:paraId="6693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0D63C52F">
            <w:pPr>
              <w:jc w:val="center"/>
              <w:rPr>
                <w:rFonts w:ascii="Times New Roman" w:eastAsia="仿宋"/>
                <w:szCs w:val="21"/>
              </w:rPr>
            </w:pPr>
          </w:p>
        </w:tc>
        <w:tc>
          <w:tcPr>
            <w:tcW w:w="1469" w:type="pct"/>
            <w:gridSpan w:val="2"/>
            <w:vAlign w:val="center"/>
          </w:tcPr>
          <w:p w14:paraId="3AEB6408">
            <w:pPr>
              <w:jc w:val="center"/>
              <w:rPr>
                <w:rFonts w:ascii="Times New Roman" w:eastAsia="仿宋"/>
                <w:szCs w:val="21"/>
              </w:rPr>
            </w:pPr>
            <w:r>
              <w:rPr>
                <w:rFonts w:hint="eastAsia" w:ascii="Times New Roman" w:eastAsia="仿宋"/>
                <w:szCs w:val="21"/>
              </w:rPr>
              <w:t>氧化还原电位（mV）</w:t>
            </w:r>
          </w:p>
        </w:tc>
        <w:tc>
          <w:tcPr>
            <w:tcW w:w="598" w:type="pct"/>
            <w:vAlign w:val="center"/>
          </w:tcPr>
          <w:p w14:paraId="4DFDDF53">
            <w:pPr>
              <w:autoSpaceDE w:val="0"/>
              <w:autoSpaceDN w:val="0"/>
              <w:adjustRightInd w:val="0"/>
              <w:jc w:val="center"/>
              <w:rPr>
                <w:rFonts w:ascii="Times New Roman" w:eastAsia="仿宋"/>
                <w:szCs w:val="21"/>
              </w:rPr>
            </w:pPr>
            <w:r>
              <w:rPr>
                <w:rFonts w:hint="eastAsia" w:ascii="Times New Roman" w:eastAsia="仿宋"/>
                <w:szCs w:val="21"/>
              </w:rPr>
              <w:t>411</w:t>
            </w:r>
          </w:p>
        </w:tc>
        <w:tc>
          <w:tcPr>
            <w:tcW w:w="708" w:type="pct"/>
            <w:gridSpan w:val="2"/>
            <w:vAlign w:val="center"/>
          </w:tcPr>
          <w:p w14:paraId="5F9D1DB8">
            <w:pPr>
              <w:jc w:val="center"/>
              <w:rPr>
                <w:rFonts w:ascii="Times New Roman" w:eastAsia="仿宋"/>
                <w:szCs w:val="21"/>
              </w:rPr>
            </w:pPr>
            <w:r>
              <w:rPr>
                <w:rFonts w:hint="eastAsia" w:ascii="Times New Roman" w:eastAsia="仿宋"/>
                <w:szCs w:val="21"/>
              </w:rPr>
              <w:t>462</w:t>
            </w:r>
          </w:p>
        </w:tc>
        <w:tc>
          <w:tcPr>
            <w:tcW w:w="706" w:type="pct"/>
            <w:gridSpan w:val="2"/>
            <w:vAlign w:val="center"/>
          </w:tcPr>
          <w:p w14:paraId="5AC5D98E">
            <w:pPr>
              <w:jc w:val="center"/>
              <w:rPr>
                <w:rFonts w:ascii="Times New Roman" w:eastAsia="仿宋"/>
                <w:szCs w:val="21"/>
              </w:rPr>
            </w:pPr>
            <w:r>
              <w:rPr>
                <w:rFonts w:hint="eastAsia" w:ascii="Times New Roman" w:eastAsia="仿宋"/>
                <w:szCs w:val="21"/>
              </w:rPr>
              <w:t>496</w:t>
            </w:r>
          </w:p>
        </w:tc>
        <w:tc>
          <w:tcPr>
            <w:tcW w:w="688" w:type="pct"/>
            <w:vAlign w:val="center"/>
          </w:tcPr>
          <w:p w14:paraId="58FB5286">
            <w:pPr>
              <w:jc w:val="center"/>
              <w:rPr>
                <w:rFonts w:ascii="Times New Roman" w:eastAsia="仿宋"/>
                <w:szCs w:val="21"/>
              </w:rPr>
            </w:pPr>
            <w:r>
              <w:rPr>
                <w:rFonts w:hint="eastAsia" w:ascii="Times New Roman" w:eastAsia="仿宋"/>
                <w:szCs w:val="21"/>
              </w:rPr>
              <w:t>474</w:t>
            </w:r>
          </w:p>
        </w:tc>
        <w:tc>
          <w:tcPr>
            <w:tcW w:w="583" w:type="pct"/>
            <w:vAlign w:val="center"/>
          </w:tcPr>
          <w:p w14:paraId="72D4B4EC">
            <w:pPr>
              <w:jc w:val="center"/>
              <w:rPr>
                <w:rFonts w:ascii="Times New Roman" w:eastAsia="仿宋"/>
                <w:szCs w:val="21"/>
              </w:rPr>
            </w:pPr>
            <w:r>
              <w:rPr>
                <w:rFonts w:hint="eastAsia" w:ascii="Times New Roman" w:eastAsia="仿宋"/>
                <w:szCs w:val="21"/>
              </w:rPr>
              <w:t>483</w:t>
            </w:r>
          </w:p>
        </w:tc>
      </w:tr>
      <w:tr w14:paraId="5052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78B87E43">
            <w:pPr>
              <w:jc w:val="center"/>
              <w:rPr>
                <w:rFonts w:ascii="Times New Roman" w:eastAsia="仿宋"/>
                <w:szCs w:val="21"/>
              </w:rPr>
            </w:pPr>
          </w:p>
        </w:tc>
        <w:tc>
          <w:tcPr>
            <w:tcW w:w="1469" w:type="pct"/>
            <w:gridSpan w:val="2"/>
            <w:vAlign w:val="center"/>
          </w:tcPr>
          <w:p w14:paraId="07905528">
            <w:pPr>
              <w:jc w:val="center"/>
              <w:rPr>
                <w:rFonts w:ascii="Times New Roman" w:eastAsia="仿宋"/>
                <w:szCs w:val="21"/>
              </w:rPr>
            </w:pPr>
            <w:r>
              <w:rPr>
                <w:rFonts w:ascii="Times New Roman" w:eastAsia="仿宋"/>
                <w:szCs w:val="21"/>
              </w:rPr>
              <w:t>其他异物</w:t>
            </w:r>
          </w:p>
        </w:tc>
        <w:tc>
          <w:tcPr>
            <w:tcW w:w="598" w:type="pct"/>
            <w:vAlign w:val="center"/>
          </w:tcPr>
          <w:p w14:paraId="3BBB3E48">
            <w:pPr>
              <w:jc w:val="center"/>
              <w:rPr>
                <w:rFonts w:ascii="Times New Roman" w:eastAsia="仿宋"/>
                <w:szCs w:val="21"/>
              </w:rPr>
            </w:pPr>
            <w:r>
              <w:rPr>
                <w:rFonts w:ascii="Times New Roman" w:eastAsia="仿宋"/>
                <w:szCs w:val="21"/>
              </w:rPr>
              <w:t>无</w:t>
            </w:r>
            <w:r>
              <w:rPr>
                <w:rFonts w:hint="eastAsia" w:ascii="Times New Roman" w:eastAsia="仿宋"/>
                <w:szCs w:val="21"/>
              </w:rPr>
              <w:t>异物</w:t>
            </w:r>
          </w:p>
        </w:tc>
        <w:tc>
          <w:tcPr>
            <w:tcW w:w="708" w:type="pct"/>
            <w:gridSpan w:val="2"/>
            <w:vAlign w:val="center"/>
          </w:tcPr>
          <w:p w14:paraId="4426E958">
            <w:pPr>
              <w:jc w:val="center"/>
              <w:rPr>
                <w:rFonts w:ascii="Times New Roman" w:eastAsia="仿宋"/>
                <w:szCs w:val="21"/>
              </w:rPr>
            </w:pPr>
            <w:r>
              <w:rPr>
                <w:rFonts w:ascii="Times New Roman" w:eastAsia="仿宋"/>
                <w:szCs w:val="21"/>
              </w:rPr>
              <w:t>无</w:t>
            </w:r>
            <w:r>
              <w:rPr>
                <w:rFonts w:hint="eastAsia" w:ascii="Times New Roman" w:eastAsia="仿宋"/>
                <w:szCs w:val="21"/>
              </w:rPr>
              <w:t>异物</w:t>
            </w:r>
          </w:p>
        </w:tc>
        <w:tc>
          <w:tcPr>
            <w:tcW w:w="706" w:type="pct"/>
            <w:gridSpan w:val="2"/>
            <w:vAlign w:val="center"/>
          </w:tcPr>
          <w:p w14:paraId="699F11DF">
            <w:pPr>
              <w:jc w:val="center"/>
              <w:rPr>
                <w:rFonts w:ascii="Times New Roman" w:eastAsia="仿宋"/>
                <w:szCs w:val="21"/>
              </w:rPr>
            </w:pPr>
            <w:r>
              <w:rPr>
                <w:rFonts w:ascii="Times New Roman" w:eastAsia="仿宋"/>
                <w:szCs w:val="21"/>
              </w:rPr>
              <w:t>无</w:t>
            </w:r>
            <w:r>
              <w:rPr>
                <w:rFonts w:hint="eastAsia" w:ascii="Times New Roman" w:eastAsia="仿宋"/>
                <w:szCs w:val="21"/>
              </w:rPr>
              <w:t>异物</w:t>
            </w:r>
          </w:p>
        </w:tc>
        <w:tc>
          <w:tcPr>
            <w:tcW w:w="688" w:type="pct"/>
            <w:vAlign w:val="center"/>
          </w:tcPr>
          <w:p w14:paraId="46AB0DB3">
            <w:pPr>
              <w:jc w:val="center"/>
              <w:rPr>
                <w:rFonts w:ascii="Times New Roman" w:eastAsia="仿宋"/>
                <w:szCs w:val="21"/>
              </w:rPr>
            </w:pPr>
            <w:r>
              <w:rPr>
                <w:rFonts w:ascii="Times New Roman" w:eastAsia="仿宋"/>
                <w:szCs w:val="21"/>
              </w:rPr>
              <w:t>无</w:t>
            </w:r>
            <w:r>
              <w:rPr>
                <w:rFonts w:hint="eastAsia" w:ascii="Times New Roman" w:eastAsia="仿宋"/>
                <w:szCs w:val="21"/>
              </w:rPr>
              <w:t>异物</w:t>
            </w:r>
          </w:p>
        </w:tc>
        <w:tc>
          <w:tcPr>
            <w:tcW w:w="583" w:type="pct"/>
            <w:vAlign w:val="center"/>
          </w:tcPr>
          <w:p w14:paraId="4F8872D7">
            <w:pPr>
              <w:jc w:val="center"/>
              <w:rPr>
                <w:rFonts w:ascii="Times New Roman" w:eastAsia="仿宋"/>
                <w:szCs w:val="21"/>
              </w:rPr>
            </w:pPr>
            <w:r>
              <w:rPr>
                <w:rFonts w:ascii="Times New Roman" w:eastAsia="仿宋"/>
                <w:szCs w:val="21"/>
              </w:rPr>
              <w:t>无</w:t>
            </w:r>
            <w:r>
              <w:rPr>
                <w:rFonts w:hint="eastAsia" w:ascii="Times New Roman" w:eastAsia="仿宋"/>
                <w:szCs w:val="21"/>
              </w:rPr>
              <w:t>异物</w:t>
            </w:r>
          </w:p>
        </w:tc>
      </w:tr>
      <w:tr w14:paraId="6B1E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restart"/>
            <w:vAlign w:val="center"/>
          </w:tcPr>
          <w:p w14:paraId="2A22E708">
            <w:pPr>
              <w:jc w:val="center"/>
              <w:rPr>
                <w:rFonts w:ascii="Times New Roman" w:eastAsia="仿宋"/>
                <w:szCs w:val="21"/>
              </w:rPr>
            </w:pPr>
            <w:r>
              <w:rPr>
                <w:rFonts w:ascii="Times New Roman" w:eastAsia="仿宋"/>
                <w:szCs w:val="21"/>
              </w:rPr>
              <w:t>实验室测定</w:t>
            </w:r>
          </w:p>
        </w:tc>
        <w:tc>
          <w:tcPr>
            <w:tcW w:w="1469" w:type="pct"/>
            <w:gridSpan w:val="2"/>
            <w:vAlign w:val="center"/>
          </w:tcPr>
          <w:p w14:paraId="79FF2DAD">
            <w:pPr>
              <w:jc w:val="center"/>
              <w:rPr>
                <w:rFonts w:ascii="Times New Roman" w:eastAsia="仿宋"/>
                <w:szCs w:val="21"/>
              </w:rPr>
            </w:pPr>
            <w:r>
              <w:rPr>
                <w:rFonts w:ascii="Times New Roman" w:eastAsia="仿宋"/>
                <w:szCs w:val="21"/>
              </w:rPr>
              <w:t>pH</w:t>
            </w:r>
          </w:p>
        </w:tc>
        <w:tc>
          <w:tcPr>
            <w:tcW w:w="598" w:type="pct"/>
            <w:vAlign w:val="center"/>
          </w:tcPr>
          <w:p w14:paraId="52896DFE">
            <w:pPr>
              <w:autoSpaceDE w:val="0"/>
              <w:autoSpaceDN w:val="0"/>
              <w:adjustRightInd w:val="0"/>
              <w:jc w:val="center"/>
              <w:rPr>
                <w:rFonts w:ascii="Times New Roman" w:eastAsia="仿宋"/>
                <w:szCs w:val="21"/>
              </w:rPr>
            </w:pPr>
            <w:r>
              <w:rPr>
                <w:rFonts w:hint="eastAsia" w:ascii="Times New Roman" w:eastAsia="仿宋"/>
                <w:szCs w:val="21"/>
              </w:rPr>
              <w:t>8.11</w:t>
            </w:r>
          </w:p>
        </w:tc>
        <w:tc>
          <w:tcPr>
            <w:tcW w:w="708" w:type="pct"/>
            <w:gridSpan w:val="2"/>
            <w:vAlign w:val="center"/>
          </w:tcPr>
          <w:p w14:paraId="7FF092C6">
            <w:pPr>
              <w:jc w:val="center"/>
              <w:rPr>
                <w:rFonts w:ascii="Times New Roman" w:eastAsia="仿宋"/>
                <w:szCs w:val="21"/>
              </w:rPr>
            </w:pPr>
            <w:r>
              <w:rPr>
                <w:rFonts w:hint="eastAsia" w:ascii="Times New Roman" w:eastAsia="仿宋"/>
                <w:szCs w:val="21"/>
              </w:rPr>
              <w:t>8.38</w:t>
            </w:r>
          </w:p>
        </w:tc>
        <w:tc>
          <w:tcPr>
            <w:tcW w:w="706" w:type="pct"/>
            <w:gridSpan w:val="2"/>
            <w:vAlign w:val="center"/>
          </w:tcPr>
          <w:p w14:paraId="7D9116DB">
            <w:pPr>
              <w:jc w:val="center"/>
              <w:rPr>
                <w:rFonts w:ascii="Times New Roman" w:eastAsia="仿宋"/>
                <w:szCs w:val="21"/>
              </w:rPr>
            </w:pPr>
            <w:r>
              <w:rPr>
                <w:rFonts w:hint="eastAsia" w:ascii="Times New Roman" w:eastAsia="仿宋"/>
                <w:szCs w:val="21"/>
              </w:rPr>
              <w:t>8.11</w:t>
            </w:r>
          </w:p>
        </w:tc>
        <w:tc>
          <w:tcPr>
            <w:tcW w:w="688" w:type="pct"/>
            <w:vAlign w:val="center"/>
          </w:tcPr>
          <w:p w14:paraId="462B5DC3">
            <w:pPr>
              <w:jc w:val="center"/>
              <w:rPr>
                <w:rFonts w:ascii="Times New Roman" w:eastAsia="仿宋"/>
                <w:szCs w:val="21"/>
              </w:rPr>
            </w:pPr>
            <w:r>
              <w:rPr>
                <w:rFonts w:hint="eastAsia" w:ascii="Times New Roman" w:eastAsia="仿宋"/>
                <w:szCs w:val="21"/>
              </w:rPr>
              <w:t>8.36</w:t>
            </w:r>
          </w:p>
        </w:tc>
        <w:tc>
          <w:tcPr>
            <w:tcW w:w="583" w:type="pct"/>
            <w:vAlign w:val="center"/>
          </w:tcPr>
          <w:p w14:paraId="6A0202A7">
            <w:pPr>
              <w:jc w:val="center"/>
              <w:rPr>
                <w:rFonts w:ascii="Times New Roman" w:eastAsia="仿宋"/>
                <w:szCs w:val="21"/>
              </w:rPr>
            </w:pPr>
            <w:r>
              <w:rPr>
                <w:rFonts w:hint="eastAsia" w:ascii="Times New Roman" w:eastAsia="仿宋"/>
                <w:szCs w:val="21"/>
              </w:rPr>
              <w:t>8.38</w:t>
            </w:r>
          </w:p>
        </w:tc>
      </w:tr>
      <w:tr w14:paraId="39BB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4EFAECE6">
            <w:pPr>
              <w:jc w:val="center"/>
              <w:rPr>
                <w:rFonts w:ascii="Times New Roman" w:eastAsia="仿宋"/>
                <w:szCs w:val="21"/>
              </w:rPr>
            </w:pPr>
          </w:p>
        </w:tc>
        <w:tc>
          <w:tcPr>
            <w:tcW w:w="1469" w:type="pct"/>
            <w:gridSpan w:val="2"/>
            <w:vAlign w:val="center"/>
          </w:tcPr>
          <w:p w14:paraId="69F5DE39">
            <w:pPr>
              <w:jc w:val="center"/>
              <w:rPr>
                <w:rFonts w:ascii="Times New Roman" w:eastAsia="仿宋"/>
                <w:szCs w:val="21"/>
              </w:rPr>
            </w:pPr>
            <w:r>
              <w:rPr>
                <w:rFonts w:ascii="Times New Roman" w:eastAsia="仿宋"/>
                <w:szCs w:val="21"/>
              </w:rPr>
              <w:t>阳离子交换量（mol/L）</w:t>
            </w:r>
          </w:p>
        </w:tc>
        <w:tc>
          <w:tcPr>
            <w:tcW w:w="598" w:type="pct"/>
            <w:vAlign w:val="center"/>
          </w:tcPr>
          <w:p w14:paraId="1AEAFA28">
            <w:pPr>
              <w:jc w:val="center"/>
              <w:rPr>
                <w:rFonts w:ascii="Times New Roman" w:eastAsia="仿宋"/>
                <w:szCs w:val="21"/>
              </w:rPr>
            </w:pPr>
            <w:r>
              <w:rPr>
                <w:rFonts w:hint="eastAsia" w:ascii="Times New Roman" w:eastAsia="仿宋"/>
                <w:szCs w:val="21"/>
              </w:rPr>
              <w:t>20.1</w:t>
            </w:r>
          </w:p>
        </w:tc>
        <w:tc>
          <w:tcPr>
            <w:tcW w:w="708" w:type="pct"/>
            <w:gridSpan w:val="2"/>
            <w:vAlign w:val="center"/>
          </w:tcPr>
          <w:p w14:paraId="770D91E2">
            <w:pPr>
              <w:jc w:val="center"/>
              <w:rPr>
                <w:rFonts w:ascii="Times New Roman" w:eastAsia="仿宋"/>
                <w:szCs w:val="21"/>
              </w:rPr>
            </w:pPr>
            <w:r>
              <w:rPr>
                <w:rFonts w:hint="eastAsia" w:ascii="Times New Roman" w:eastAsia="仿宋"/>
                <w:szCs w:val="21"/>
              </w:rPr>
              <w:t>17.2</w:t>
            </w:r>
          </w:p>
        </w:tc>
        <w:tc>
          <w:tcPr>
            <w:tcW w:w="706" w:type="pct"/>
            <w:gridSpan w:val="2"/>
            <w:vAlign w:val="center"/>
          </w:tcPr>
          <w:p w14:paraId="44903879">
            <w:pPr>
              <w:jc w:val="center"/>
              <w:rPr>
                <w:rFonts w:ascii="Times New Roman" w:eastAsia="仿宋"/>
                <w:szCs w:val="21"/>
              </w:rPr>
            </w:pPr>
            <w:r>
              <w:rPr>
                <w:rFonts w:hint="eastAsia" w:ascii="Times New Roman" w:eastAsia="仿宋"/>
                <w:szCs w:val="21"/>
              </w:rPr>
              <w:t>12.3</w:t>
            </w:r>
          </w:p>
        </w:tc>
        <w:tc>
          <w:tcPr>
            <w:tcW w:w="688" w:type="pct"/>
            <w:vAlign w:val="center"/>
          </w:tcPr>
          <w:p w14:paraId="706C6CF7">
            <w:pPr>
              <w:jc w:val="center"/>
              <w:rPr>
                <w:rFonts w:ascii="Times New Roman" w:eastAsia="仿宋"/>
                <w:szCs w:val="21"/>
              </w:rPr>
            </w:pPr>
            <w:r>
              <w:rPr>
                <w:rFonts w:hint="eastAsia" w:ascii="Times New Roman" w:eastAsia="仿宋"/>
                <w:szCs w:val="21"/>
              </w:rPr>
              <w:t>8.86</w:t>
            </w:r>
          </w:p>
        </w:tc>
        <w:tc>
          <w:tcPr>
            <w:tcW w:w="583" w:type="pct"/>
            <w:vAlign w:val="center"/>
          </w:tcPr>
          <w:p w14:paraId="4F950826">
            <w:pPr>
              <w:jc w:val="center"/>
              <w:rPr>
                <w:rFonts w:ascii="Times New Roman" w:eastAsia="仿宋"/>
                <w:szCs w:val="21"/>
              </w:rPr>
            </w:pPr>
            <w:r>
              <w:rPr>
                <w:rFonts w:hint="eastAsia" w:ascii="Times New Roman" w:eastAsia="仿宋"/>
                <w:szCs w:val="21"/>
              </w:rPr>
              <w:t>8.86</w:t>
            </w:r>
          </w:p>
        </w:tc>
      </w:tr>
      <w:tr w14:paraId="4E9B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6A945B3C">
            <w:pPr>
              <w:jc w:val="center"/>
              <w:rPr>
                <w:rFonts w:ascii="Times New Roman" w:eastAsia="仿宋"/>
                <w:szCs w:val="21"/>
              </w:rPr>
            </w:pPr>
          </w:p>
        </w:tc>
        <w:tc>
          <w:tcPr>
            <w:tcW w:w="1469" w:type="pct"/>
            <w:gridSpan w:val="2"/>
            <w:vAlign w:val="center"/>
          </w:tcPr>
          <w:p w14:paraId="0F8A66C7">
            <w:pPr>
              <w:jc w:val="center"/>
              <w:rPr>
                <w:rFonts w:ascii="Times New Roman" w:eastAsia="仿宋"/>
                <w:szCs w:val="21"/>
              </w:rPr>
            </w:pPr>
            <w:r>
              <w:rPr>
                <w:rFonts w:hint="eastAsia" w:ascii="Times New Roman" w:eastAsia="仿宋"/>
                <w:szCs w:val="21"/>
              </w:rPr>
              <w:t>质地</w:t>
            </w:r>
          </w:p>
        </w:tc>
        <w:tc>
          <w:tcPr>
            <w:tcW w:w="598" w:type="pct"/>
            <w:vAlign w:val="center"/>
          </w:tcPr>
          <w:p w14:paraId="6C32606E">
            <w:pPr>
              <w:jc w:val="center"/>
              <w:rPr>
                <w:rFonts w:ascii="Times New Roman" w:eastAsia="仿宋"/>
                <w:szCs w:val="21"/>
              </w:rPr>
            </w:pPr>
            <w:r>
              <w:rPr>
                <w:rFonts w:hint="eastAsia" w:ascii="Times New Roman" w:eastAsia="仿宋"/>
                <w:szCs w:val="21"/>
              </w:rPr>
              <w:t>粉（砂）壤土</w:t>
            </w:r>
          </w:p>
        </w:tc>
        <w:tc>
          <w:tcPr>
            <w:tcW w:w="708" w:type="pct"/>
            <w:gridSpan w:val="2"/>
            <w:vAlign w:val="center"/>
          </w:tcPr>
          <w:p w14:paraId="0432949E">
            <w:pPr>
              <w:jc w:val="center"/>
              <w:rPr>
                <w:rFonts w:ascii="Times New Roman" w:eastAsia="仿宋"/>
                <w:szCs w:val="21"/>
              </w:rPr>
            </w:pPr>
            <w:r>
              <w:rPr>
                <w:rFonts w:hint="eastAsia" w:ascii="Times New Roman" w:eastAsia="仿宋"/>
                <w:szCs w:val="21"/>
              </w:rPr>
              <w:t>粘壤土</w:t>
            </w:r>
          </w:p>
        </w:tc>
        <w:tc>
          <w:tcPr>
            <w:tcW w:w="706" w:type="pct"/>
            <w:gridSpan w:val="2"/>
            <w:vAlign w:val="center"/>
          </w:tcPr>
          <w:p w14:paraId="651DFF23">
            <w:pPr>
              <w:jc w:val="center"/>
              <w:rPr>
                <w:rFonts w:ascii="Times New Roman" w:eastAsia="仿宋"/>
                <w:szCs w:val="21"/>
              </w:rPr>
            </w:pPr>
            <w:r>
              <w:rPr>
                <w:rFonts w:hint="eastAsia" w:ascii="Times New Roman" w:eastAsia="仿宋"/>
                <w:szCs w:val="21"/>
              </w:rPr>
              <w:t>粘壤土</w:t>
            </w:r>
          </w:p>
        </w:tc>
        <w:tc>
          <w:tcPr>
            <w:tcW w:w="688" w:type="pct"/>
            <w:vAlign w:val="center"/>
          </w:tcPr>
          <w:p w14:paraId="29EAF222">
            <w:pPr>
              <w:jc w:val="center"/>
              <w:rPr>
                <w:rFonts w:ascii="Times New Roman" w:eastAsia="仿宋"/>
                <w:szCs w:val="21"/>
              </w:rPr>
            </w:pPr>
            <w:r>
              <w:rPr>
                <w:rFonts w:hint="eastAsia" w:ascii="Times New Roman" w:eastAsia="仿宋"/>
                <w:szCs w:val="21"/>
              </w:rPr>
              <w:t>粘壤土</w:t>
            </w:r>
          </w:p>
        </w:tc>
        <w:tc>
          <w:tcPr>
            <w:tcW w:w="583" w:type="pct"/>
            <w:vAlign w:val="center"/>
          </w:tcPr>
          <w:p w14:paraId="1D855FE2">
            <w:pPr>
              <w:jc w:val="center"/>
              <w:rPr>
                <w:rFonts w:ascii="Times New Roman" w:eastAsia="仿宋"/>
                <w:szCs w:val="21"/>
              </w:rPr>
            </w:pPr>
            <w:r>
              <w:rPr>
                <w:rFonts w:hint="eastAsia" w:ascii="Times New Roman" w:eastAsia="仿宋"/>
                <w:szCs w:val="21"/>
              </w:rPr>
              <w:t>粘壤土</w:t>
            </w:r>
          </w:p>
        </w:tc>
      </w:tr>
      <w:tr w14:paraId="063D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4381B205">
            <w:pPr>
              <w:jc w:val="center"/>
              <w:rPr>
                <w:rFonts w:ascii="Times New Roman" w:eastAsia="仿宋"/>
                <w:szCs w:val="21"/>
              </w:rPr>
            </w:pPr>
          </w:p>
        </w:tc>
        <w:tc>
          <w:tcPr>
            <w:tcW w:w="1469" w:type="pct"/>
            <w:gridSpan w:val="2"/>
            <w:vAlign w:val="center"/>
          </w:tcPr>
          <w:p w14:paraId="1A6B5CA0">
            <w:pPr>
              <w:jc w:val="center"/>
              <w:rPr>
                <w:rFonts w:ascii="Times New Roman" w:eastAsia="仿宋"/>
                <w:szCs w:val="21"/>
              </w:rPr>
            </w:pPr>
            <w:r>
              <w:rPr>
                <w:rFonts w:ascii="Times New Roman" w:eastAsia="仿宋"/>
                <w:szCs w:val="21"/>
              </w:rPr>
              <w:t>渗滤率（mm/min）</w:t>
            </w:r>
          </w:p>
        </w:tc>
        <w:tc>
          <w:tcPr>
            <w:tcW w:w="598" w:type="pct"/>
            <w:vAlign w:val="center"/>
          </w:tcPr>
          <w:p w14:paraId="226AAF09">
            <w:pPr>
              <w:jc w:val="center"/>
              <w:rPr>
                <w:rFonts w:ascii="Times New Roman" w:eastAsia="仿宋"/>
                <w:szCs w:val="21"/>
              </w:rPr>
            </w:pPr>
            <w:r>
              <w:rPr>
                <w:rFonts w:hint="eastAsia" w:ascii="Times New Roman" w:eastAsia="仿宋"/>
                <w:szCs w:val="21"/>
              </w:rPr>
              <w:t>0.92</w:t>
            </w:r>
          </w:p>
        </w:tc>
        <w:tc>
          <w:tcPr>
            <w:tcW w:w="708" w:type="pct"/>
            <w:gridSpan w:val="2"/>
            <w:vAlign w:val="center"/>
          </w:tcPr>
          <w:p w14:paraId="7754FF5A">
            <w:pPr>
              <w:jc w:val="center"/>
              <w:rPr>
                <w:rFonts w:ascii="Times New Roman" w:eastAsia="仿宋"/>
                <w:szCs w:val="21"/>
              </w:rPr>
            </w:pPr>
            <w:r>
              <w:rPr>
                <w:rFonts w:hint="eastAsia" w:ascii="Times New Roman" w:eastAsia="仿宋"/>
                <w:szCs w:val="21"/>
              </w:rPr>
              <w:t>0.78</w:t>
            </w:r>
          </w:p>
        </w:tc>
        <w:tc>
          <w:tcPr>
            <w:tcW w:w="706" w:type="pct"/>
            <w:gridSpan w:val="2"/>
            <w:vAlign w:val="center"/>
          </w:tcPr>
          <w:p w14:paraId="6C671FD0">
            <w:pPr>
              <w:jc w:val="center"/>
              <w:rPr>
                <w:rFonts w:ascii="Times New Roman" w:eastAsia="仿宋"/>
                <w:szCs w:val="21"/>
              </w:rPr>
            </w:pPr>
            <w:r>
              <w:rPr>
                <w:rFonts w:hint="eastAsia" w:ascii="Times New Roman" w:eastAsia="仿宋"/>
                <w:szCs w:val="21"/>
              </w:rPr>
              <w:t>0.64</w:t>
            </w:r>
          </w:p>
        </w:tc>
        <w:tc>
          <w:tcPr>
            <w:tcW w:w="688" w:type="pct"/>
            <w:vAlign w:val="center"/>
          </w:tcPr>
          <w:p w14:paraId="7484CFFF">
            <w:pPr>
              <w:jc w:val="center"/>
              <w:rPr>
                <w:rFonts w:ascii="Times New Roman" w:eastAsia="仿宋"/>
                <w:szCs w:val="21"/>
              </w:rPr>
            </w:pPr>
            <w:r>
              <w:rPr>
                <w:rFonts w:hint="eastAsia" w:ascii="Times New Roman" w:eastAsia="仿宋"/>
                <w:szCs w:val="21"/>
              </w:rPr>
              <w:t>0.92</w:t>
            </w:r>
          </w:p>
        </w:tc>
        <w:tc>
          <w:tcPr>
            <w:tcW w:w="583" w:type="pct"/>
            <w:vAlign w:val="center"/>
          </w:tcPr>
          <w:p w14:paraId="29D2409B">
            <w:pPr>
              <w:jc w:val="center"/>
              <w:rPr>
                <w:rFonts w:ascii="Times New Roman" w:eastAsia="仿宋"/>
                <w:szCs w:val="21"/>
              </w:rPr>
            </w:pPr>
            <w:r>
              <w:rPr>
                <w:rFonts w:hint="eastAsia" w:ascii="Times New Roman" w:eastAsia="仿宋"/>
                <w:szCs w:val="21"/>
              </w:rPr>
              <w:t>0.65</w:t>
            </w:r>
          </w:p>
        </w:tc>
      </w:tr>
      <w:tr w14:paraId="0132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254FFEBD">
            <w:pPr>
              <w:jc w:val="center"/>
              <w:rPr>
                <w:rFonts w:ascii="Times New Roman" w:eastAsia="仿宋"/>
                <w:szCs w:val="21"/>
              </w:rPr>
            </w:pPr>
          </w:p>
        </w:tc>
        <w:tc>
          <w:tcPr>
            <w:tcW w:w="1469" w:type="pct"/>
            <w:gridSpan w:val="2"/>
            <w:vAlign w:val="center"/>
          </w:tcPr>
          <w:p w14:paraId="76337A24">
            <w:pPr>
              <w:jc w:val="center"/>
              <w:rPr>
                <w:rFonts w:ascii="Times New Roman" w:eastAsia="仿宋"/>
                <w:szCs w:val="21"/>
              </w:rPr>
            </w:pPr>
            <w:r>
              <w:rPr>
                <w:rFonts w:ascii="Times New Roman" w:eastAsia="仿宋"/>
                <w:szCs w:val="21"/>
              </w:rPr>
              <w:t>土壤容重（g/cm</w:t>
            </w:r>
            <w:r>
              <w:rPr>
                <w:rFonts w:ascii="Times New Roman" w:eastAsia="仿宋"/>
                <w:szCs w:val="21"/>
                <w:vertAlign w:val="superscript"/>
              </w:rPr>
              <w:t>3</w:t>
            </w:r>
            <w:r>
              <w:rPr>
                <w:rFonts w:ascii="Times New Roman" w:eastAsia="仿宋"/>
                <w:szCs w:val="21"/>
              </w:rPr>
              <w:t>）</w:t>
            </w:r>
          </w:p>
        </w:tc>
        <w:tc>
          <w:tcPr>
            <w:tcW w:w="598" w:type="pct"/>
            <w:vAlign w:val="center"/>
          </w:tcPr>
          <w:p w14:paraId="2FEE9C1A">
            <w:pPr>
              <w:jc w:val="center"/>
              <w:rPr>
                <w:rFonts w:ascii="Times New Roman" w:eastAsia="仿宋"/>
                <w:szCs w:val="21"/>
              </w:rPr>
            </w:pPr>
            <w:r>
              <w:rPr>
                <w:rFonts w:hint="eastAsia" w:ascii="Times New Roman" w:eastAsia="仿宋"/>
                <w:szCs w:val="21"/>
              </w:rPr>
              <w:t>1.42</w:t>
            </w:r>
          </w:p>
        </w:tc>
        <w:tc>
          <w:tcPr>
            <w:tcW w:w="708" w:type="pct"/>
            <w:gridSpan w:val="2"/>
            <w:vAlign w:val="center"/>
          </w:tcPr>
          <w:p w14:paraId="5A9B93A5">
            <w:pPr>
              <w:jc w:val="center"/>
              <w:rPr>
                <w:rFonts w:ascii="Times New Roman" w:eastAsia="仿宋"/>
                <w:szCs w:val="21"/>
              </w:rPr>
            </w:pPr>
            <w:r>
              <w:rPr>
                <w:rFonts w:ascii="Times New Roman" w:eastAsia="仿宋"/>
                <w:szCs w:val="21"/>
              </w:rPr>
              <w:t>1.</w:t>
            </w:r>
            <w:r>
              <w:rPr>
                <w:rFonts w:hint="eastAsia" w:ascii="Times New Roman" w:eastAsia="仿宋"/>
                <w:szCs w:val="21"/>
              </w:rPr>
              <w:t>27</w:t>
            </w:r>
          </w:p>
        </w:tc>
        <w:tc>
          <w:tcPr>
            <w:tcW w:w="706" w:type="pct"/>
            <w:gridSpan w:val="2"/>
            <w:vAlign w:val="center"/>
          </w:tcPr>
          <w:p w14:paraId="36D8244B">
            <w:pPr>
              <w:jc w:val="center"/>
              <w:rPr>
                <w:rFonts w:ascii="Times New Roman" w:eastAsia="仿宋"/>
                <w:szCs w:val="21"/>
              </w:rPr>
            </w:pPr>
            <w:r>
              <w:rPr>
                <w:rFonts w:ascii="Times New Roman" w:eastAsia="仿宋"/>
                <w:szCs w:val="21"/>
              </w:rPr>
              <w:t>1.</w:t>
            </w:r>
            <w:r>
              <w:rPr>
                <w:rFonts w:hint="eastAsia" w:ascii="Times New Roman" w:eastAsia="仿宋"/>
                <w:szCs w:val="21"/>
              </w:rPr>
              <w:t>47</w:t>
            </w:r>
          </w:p>
        </w:tc>
        <w:tc>
          <w:tcPr>
            <w:tcW w:w="688" w:type="pct"/>
            <w:vAlign w:val="center"/>
          </w:tcPr>
          <w:p w14:paraId="599A0631">
            <w:pPr>
              <w:jc w:val="center"/>
              <w:rPr>
                <w:rFonts w:ascii="Times New Roman" w:eastAsia="仿宋"/>
                <w:szCs w:val="21"/>
              </w:rPr>
            </w:pPr>
            <w:r>
              <w:rPr>
                <w:rFonts w:hint="eastAsia" w:ascii="Times New Roman" w:eastAsia="仿宋"/>
                <w:szCs w:val="21"/>
              </w:rPr>
              <w:t>1.35</w:t>
            </w:r>
          </w:p>
        </w:tc>
        <w:tc>
          <w:tcPr>
            <w:tcW w:w="583" w:type="pct"/>
            <w:vAlign w:val="center"/>
          </w:tcPr>
          <w:p w14:paraId="0E8928E6">
            <w:pPr>
              <w:jc w:val="center"/>
              <w:rPr>
                <w:rFonts w:ascii="Times New Roman" w:eastAsia="仿宋"/>
                <w:szCs w:val="21"/>
              </w:rPr>
            </w:pPr>
            <w:r>
              <w:rPr>
                <w:rFonts w:ascii="Times New Roman" w:eastAsia="仿宋"/>
                <w:szCs w:val="21"/>
              </w:rPr>
              <w:t>1.</w:t>
            </w:r>
            <w:r>
              <w:rPr>
                <w:rFonts w:hint="eastAsia" w:ascii="Times New Roman" w:eastAsia="仿宋"/>
                <w:szCs w:val="21"/>
              </w:rPr>
              <w:t>36</w:t>
            </w:r>
          </w:p>
        </w:tc>
      </w:tr>
      <w:tr w14:paraId="5602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6ED86EFD">
            <w:pPr>
              <w:jc w:val="center"/>
              <w:rPr>
                <w:rFonts w:ascii="Times New Roman" w:eastAsia="仿宋"/>
                <w:szCs w:val="21"/>
              </w:rPr>
            </w:pPr>
          </w:p>
        </w:tc>
        <w:tc>
          <w:tcPr>
            <w:tcW w:w="1469" w:type="pct"/>
            <w:gridSpan w:val="2"/>
            <w:vAlign w:val="center"/>
          </w:tcPr>
          <w:p w14:paraId="040A0001">
            <w:pPr>
              <w:jc w:val="center"/>
              <w:rPr>
                <w:rFonts w:ascii="Times New Roman" w:eastAsia="仿宋"/>
                <w:szCs w:val="21"/>
              </w:rPr>
            </w:pPr>
            <w:r>
              <w:rPr>
                <w:rFonts w:ascii="Times New Roman" w:eastAsia="仿宋"/>
                <w:szCs w:val="21"/>
              </w:rPr>
              <w:t>总孔隙（%）</w:t>
            </w:r>
          </w:p>
        </w:tc>
        <w:tc>
          <w:tcPr>
            <w:tcW w:w="598" w:type="pct"/>
            <w:vAlign w:val="center"/>
          </w:tcPr>
          <w:p w14:paraId="182223A5">
            <w:pPr>
              <w:jc w:val="center"/>
              <w:rPr>
                <w:rFonts w:ascii="Times New Roman" w:eastAsia="仿宋"/>
                <w:szCs w:val="21"/>
              </w:rPr>
            </w:pPr>
            <w:r>
              <w:rPr>
                <w:rFonts w:hint="eastAsia" w:ascii="Times New Roman" w:eastAsia="仿宋"/>
                <w:szCs w:val="21"/>
              </w:rPr>
              <w:t>38.2</w:t>
            </w:r>
          </w:p>
        </w:tc>
        <w:tc>
          <w:tcPr>
            <w:tcW w:w="708" w:type="pct"/>
            <w:gridSpan w:val="2"/>
            <w:vAlign w:val="center"/>
          </w:tcPr>
          <w:p w14:paraId="4FBA97A8">
            <w:pPr>
              <w:jc w:val="center"/>
              <w:rPr>
                <w:rFonts w:ascii="Times New Roman" w:eastAsia="仿宋"/>
                <w:szCs w:val="21"/>
              </w:rPr>
            </w:pPr>
            <w:r>
              <w:rPr>
                <w:rFonts w:hint="eastAsia" w:ascii="Times New Roman" w:eastAsia="仿宋"/>
                <w:szCs w:val="21"/>
              </w:rPr>
              <w:t>49</w:t>
            </w:r>
            <w:r>
              <w:rPr>
                <w:rFonts w:ascii="Times New Roman" w:eastAsia="仿宋"/>
                <w:szCs w:val="21"/>
              </w:rPr>
              <w:t>.6</w:t>
            </w:r>
          </w:p>
        </w:tc>
        <w:tc>
          <w:tcPr>
            <w:tcW w:w="706" w:type="pct"/>
            <w:gridSpan w:val="2"/>
            <w:vAlign w:val="center"/>
          </w:tcPr>
          <w:p w14:paraId="062F1C5C">
            <w:pPr>
              <w:jc w:val="center"/>
              <w:rPr>
                <w:rFonts w:ascii="Times New Roman" w:eastAsia="仿宋"/>
                <w:szCs w:val="21"/>
              </w:rPr>
            </w:pPr>
            <w:r>
              <w:rPr>
                <w:rFonts w:hint="eastAsia" w:ascii="Times New Roman" w:eastAsia="仿宋"/>
                <w:szCs w:val="21"/>
              </w:rPr>
              <w:t>35.2</w:t>
            </w:r>
          </w:p>
        </w:tc>
        <w:tc>
          <w:tcPr>
            <w:tcW w:w="688" w:type="pct"/>
            <w:vAlign w:val="center"/>
          </w:tcPr>
          <w:p w14:paraId="68DE2FBC">
            <w:pPr>
              <w:jc w:val="center"/>
              <w:rPr>
                <w:rFonts w:ascii="Times New Roman" w:eastAsia="仿宋"/>
                <w:szCs w:val="21"/>
              </w:rPr>
            </w:pPr>
            <w:r>
              <w:rPr>
                <w:rFonts w:hint="eastAsia" w:ascii="Times New Roman" w:eastAsia="仿宋"/>
                <w:szCs w:val="21"/>
              </w:rPr>
              <w:t>53.9</w:t>
            </w:r>
          </w:p>
        </w:tc>
        <w:tc>
          <w:tcPr>
            <w:tcW w:w="583" w:type="pct"/>
            <w:vAlign w:val="center"/>
          </w:tcPr>
          <w:p w14:paraId="4DF4BE14">
            <w:pPr>
              <w:jc w:val="center"/>
              <w:rPr>
                <w:rFonts w:ascii="Times New Roman" w:eastAsia="仿宋"/>
                <w:szCs w:val="21"/>
              </w:rPr>
            </w:pPr>
            <w:r>
              <w:rPr>
                <w:rFonts w:hint="eastAsia" w:ascii="Times New Roman" w:eastAsia="仿宋"/>
                <w:szCs w:val="21"/>
              </w:rPr>
              <w:t>49.9</w:t>
            </w:r>
          </w:p>
        </w:tc>
      </w:tr>
      <w:tr w14:paraId="2519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5A13A7AC">
            <w:pPr>
              <w:jc w:val="center"/>
              <w:rPr>
                <w:rFonts w:ascii="Times New Roman" w:eastAsia="仿宋"/>
                <w:szCs w:val="21"/>
              </w:rPr>
            </w:pPr>
          </w:p>
        </w:tc>
        <w:tc>
          <w:tcPr>
            <w:tcW w:w="445" w:type="pct"/>
            <w:vMerge w:val="restart"/>
            <w:vAlign w:val="center"/>
          </w:tcPr>
          <w:p w14:paraId="07BEE634">
            <w:pPr>
              <w:jc w:val="center"/>
              <w:rPr>
                <w:rFonts w:ascii="Times New Roman" w:eastAsia="仿宋"/>
                <w:szCs w:val="21"/>
              </w:rPr>
            </w:pPr>
            <w:r>
              <w:rPr>
                <w:rFonts w:hint="eastAsia" w:ascii="Times New Roman" w:eastAsia="仿宋"/>
                <w:szCs w:val="21"/>
              </w:rPr>
              <w:t>机械组成（g/kg）</w:t>
            </w:r>
          </w:p>
        </w:tc>
        <w:tc>
          <w:tcPr>
            <w:tcW w:w="1024" w:type="pct"/>
            <w:vAlign w:val="center"/>
          </w:tcPr>
          <w:p w14:paraId="69BC72C2">
            <w:pPr>
              <w:jc w:val="center"/>
              <w:rPr>
                <w:rFonts w:ascii="Times New Roman" w:eastAsia="仿宋"/>
                <w:szCs w:val="21"/>
              </w:rPr>
            </w:pPr>
            <w:r>
              <w:rPr>
                <w:rFonts w:hint="eastAsia" w:ascii="Times New Roman" w:eastAsia="仿宋"/>
                <w:szCs w:val="21"/>
              </w:rPr>
              <w:t>砂粒</w:t>
            </w:r>
          </w:p>
          <w:p w14:paraId="49503BA7">
            <w:pPr>
              <w:jc w:val="center"/>
              <w:rPr>
                <w:rFonts w:ascii="Times New Roman" w:eastAsia="仿宋"/>
                <w:szCs w:val="21"/>
              </w:rPr>
            </w:pPr>
            <w:r>
              <w:rPr>
                <w:rFonts w:hint="eastAsia" w:ascii="Times New Roman" w:eastAsia="仿宋"/>
                <w:szCs w:val="21"/>
              </w:rPr>
              <w:t>（2.0-0.05）</w:t>
            </w:r>
          </w:p>
        </w:tc>
        <w:tc>
          <w:tcPr>
            <w:tcW w:w="598" w:type="pct"/>
            <w:vAlign w:val="center"/>
          </w:tcPr>
          <w:p w14:paraId="24D2CC3F">
            <w:pPr>
              <w:jc w:val="center"/>
              <w:rPr>
                <w:rFonts w:ascii="Times New Roman" w:eastAsia="仿宋"/>
                <w:szCs w:val="21"/>
              </w:rPr>
            </w:pPr>
            <w:r>
              <w:rPr>
                <w:rFonts w:hint="eastAsia" w:ascii="Times New Roman" w:eastAsia="仿宋"/>
                <w:szCs w:val="21"/>
              </w:rPr>
              <w:t>166</w:t>
            </w:r>
          </w:p>
        </w:tc>
        <w:tc>
          <w:tcPr>
            <w:tcW w:w="708" w:type="pct"/>
            <w:gridSpan w:val="2"/>
            <w:vAlign w:val="center"/>
          </w:tcPr>
          <w:p w14:paraId="50BB03B9">
            <w:pPr>
              <w:jc w:val="center"/>
              <w:rPr>
                <w:rFonts w:ascii="Times New Roman" w:eastAsia="仿宋"/>
                <w:szCs w:val="21"/>
              </w:rPr>
            </w:pPr>
            <w:r>
              <w:rPr>
                <w:rFonts w:hint="eastAsia" w:ascii="Times New Roman" w:eastAsia="仿宋"/>
                <w:szCs w:val="21"/>
              </w:rPr>
              <w:t>295</w:t>
            </w:r>
          </w:p>
        </w:tc>
        <w:tc>
          <w:tcPr>
            <w:tcW w:w="706" w:type="pct"/>
            <w:gridSpan w:val="2"/>
            <w:vAlign w:val="center"/>
          </w:tcPr>
          <w:p w14:paraId="2ADB6CF9">
            <w:pPr>
              <w:jc w:val="center"/>
              <w:rPr>
                <w:rFonts w:ascii="Times New Roman" w:eastAsia="仿宋"/>
                <w:szCs w:val="21"/>
              </w:rPr>
            </w:pPr>
            <w:r>
              <w:rPr>
                <w:rFonts w:hint="eastAsia" w:ascii="Times New Roman" w:eastAsia="仿宋"/>
                <w:szCs w:val="21"/>
              </w:rPr>
              <w:t>139</w:t>
            </w:r>
          </w:p>
        </w:tc>
        <w:tc>
          <w:tcPr>
            <w:tcW w:w="688" w:type="pct"/>
            <w:vAlign w:val="center"/>
          </w:tcPr>
          <w:p w14:paraId="3575B019">
            <w:pPr>
              <w:jc w:val="center"/>
              <w:rPr>
                <w:rFonts w:ascii="Times New Roman" w:eastAsia="仿宋"/>
                <w:szCs w:val="21"/>
              </w:rPr>
            </w:pPr>
            <w:r>
              <w:rPr>
                <w:rFonts w:hint="eastAsia" w:ascii="Times New Roman" w:eastAsia="仿宋"/>
                <w:szCs w:val="21"/>
              </w:rPr>
              <w:t>187</w:t>
            </w:r>
          </w:p>
        </w:tc>
        <w:tc>
          <w:tcPr>
            <w:tcW w:w="583" w:type="pct"/>
            <w:vAlign w:val="center"/>
          </w:tcPr>
          <w:p w14:paraId="537F2348">
            <w:pPr>
              <w:jc w:val="center"/>
              <w:rPr>
                <w:rFonts w:ascii="Times New Roman" w:eastAsia="仿宋"/>
                <w:szCs w:val="21"/>
              </w:rPr>
            </w:pPr>
            <w:r>
              <w:rPr>
                <w:rFonts w:hint="eastAsia" w:ascii="Times New Roman" w:eastAsia="仿宋"/>
                <w:szCs w:val="21"/>
              </w:rPr>
              <w:t>169</w:t>
            </w:r>
          </w:p>
        </w:tc>
      </w:tr>
      <w:tr w14:paraId="2F49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6520ABFE">
            <w:pPr>
              <w:jc w:val="center"/>
              <w:rPr>
                <w:rFonts w:ascii="Times New Roman" w:eastAsia="仿宋"/>
                <w:szCs w:val="21"/>
              </w:rPr>
            </w:pPr>
          </w:p>
        </w:tc>
        <w:tc>
          <w:tcPr>
            <w:tcW w:w="445" w:type="pct"/>
            <w:vMerge w:val="continue"/>
            <w:vAlign w:val="center"/>
          </w:tcPr>
          <w:p w14:paraId="26A01B1B">
            <w:pPr>
              <w:jc w:val="center"/>
              <w:rPr>
                <w:rFonts w:ascii="Times New Roman" w:eastAsia="仿宋"/>
                <w:szCs w:val="21"/>
              </w:rPr>
            </w:pPr>
          </w:p>
        </w:tc>
        <w:tc>
          <w:tcPr>
            <w:tcW w:w="1024" w:type="pct"/>
            <w:vAlign w:val="center"/>
          </w:tcPr>
          <w:p w14:paraId="1023BBDD">
            <w:pPr>
              <w:jc w:val="center"/>
              <w:rPr>
                <w:rFonts w:ascii="Times New Roman" w:eastAsia="仿宋"/>
                <w:szCs w:val="21"/>
              </w:rPr>
            </w:pPr>
            <w:r>
              <w:rPr>
                <w:rFonts w:hint="eastAsia" w:ascii="Times New Roman" w:eastAsia="仿宋"/>
                <w:szCs w:val="21"/>
              </w:rPr>
              <w:t>粉（砂）粒</w:t>
            </w:r>
          </w:p>
          <w:p w14:paraId="2804F6CD">
            <w:pPr>
              <w:jc w:val="center"/>
              <w:rPr>
                <w:rFonts w:ascii="Times New Roman" w:eastAsia="仿宋"/>
                <w:szCs w:val="21"/>
              </w:rPr>
            </w:pPr>
            <w:r>
              <w:rPr>
                <w:rFonts w:hint="eastAsia" w:ascii="Times New Roman" w:eastAsia="仿宋"/>
                <w:szCs w:val="21"/>
              </w:rPr>
              <w:t>（0.05-0.002）</w:t>
            </w:r>
          </w:p>
        </w:tc>
        <w:tc>
          <w:tcPr>
            <w:tcW w:w="598" w:type="pct"/>
            <w:vAlign w:val="center"/>
          </w:tcPr>
          <w:p w14:paraId="0DD793D7">
            <w:pPr>
              <w:jc w:val="center"/>
              <w:rPr>
                <w:rFonts w:ascii="Times New Roman" w:eastAsia="仿宋"/>
                <w:szCs w:val="21"/>
              </w:rPr>
            </w:pPr>
            <w:r>
              <w:rPr>
                <w:rFonts w:hint="eastAsia" w:ascii="Times New Roman" w:eastAsia="仿宋"/>
                <w:szCs w:val="21"/>
              </w:rPr>
              <w:t>571</w:t>
            </w:r>
          </w:p>
        </w:tc>
        <w:tc>
          <w:tcPr>
            <w:tcW w:w="708" w:type="pct"/>
            <w:gridSpan w:val="2"/>
            <w:vAlign w:val="center"/>
          </w:tcPr>
          <w:p w14:paraId="13D1E60A">
            <w:pPr>
              <w:jc w:val="center"/>
              <w:rPr>
                <w:rFonts w:ascii="Times New Roman" w:eastAsia="仿宋"/>
                <w:szCs w:val="21"/>
              </w:rPr>
            </w:pPr>
            <w:r>
              <w:rPr>
                <w:rFonts w:hint="eastAsia" w:ascii="Times New Roman" w:eastAsia="仿宋"/>
                <w:szCs w:val="21"/>
              </w:rPr>
              <w:t>449</w:t>
            </w:r>
          </w:p>
        </w:tc>
        <w:tc>
          <w:tcPr>
            <w:tcW w:w="706" w:type="pct"/>
            <w:gridSpan w:val="2"/>
            <w:vAlign w:val="center"/>
          </w:tcPr>
          <w:p w14:paraId="34A874D5">
            <w:pPr>
              <w:jc w:val="center"/>
              <w:rPr>
                <w:rFonts w:ascii="Times New Roman" w:eastAsia="仿宋"/>
                <w:szCs w:val="21"/>
              </w:rPr>
            </w:pPr>
            <w:r>
              <w:rPr>
                <w:rFonts w:hint="eastAsia" w:ascii="Times New Roman" w:eastAsia="仿宋"/>
                <w:szCs w:val="21"/>
              </w:rPr>
              <w:t>571</w:t>
            </w:r>
          </w:p>
        </w:tc>
        <w:tc>
          <w:tcPr>
            <w:tcW w:w="688" w:type="pct"/>
            <w:vAlign w:val="center"/>
          </w:tcPr>
          <w:p w14:paraId="5C2CA8EC">
            <w:pPr>
              <w:jc w:val="center"/>
              <w:rPr>
                <w:rFonts w:ascii="Times New Roman" w:eastAsia="仿宋"/>
                <w:szCs w:val="21"/>
              </w:rPr>
            </w:pPr>
            <w:r>
              <w:rPr>
                <w:rFonts w:hint="eastAsia" w:ascii="Times New Roman" w:eastAsia="仿宋"/>
                <w:szCs w:val="21"/>
              </w:rPr>
              <w:t>457</w:t>
            </w:r>
          </w:p>
        </w:tc>
        <w:tc>
          <w:tcPr>
            <w:tcW w:w="583" w:type="pct"/>
            <w:vAlign w:val="center"/>
          </w:tcPr>
          <w:p w14:paraId="44412F3A">
            <w:pPr>
              <w:jc w:val="center"/>
              <w:rPr>
                <w:rFonts w:ascii="Times New Roman" w:eastAsia="仿宋"/>
                <w:szCs w:val="21"/>
              </w:rPr>
            </w:pPr>
            <w:r>
              <w:rPr>
                <w:rFonts w:hint="eastAsia" w:ascii="Times New Roman" w:eastAsia="仿宋"/>
                <w:szCs w:val="21"/>
              </w:rPr>
              <w:t>446</w:t>
            </w:r>
          </w:p>
        </w:tc>
      </w:tr>
      <w:tr w14:paraId="47CC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vMerge w:val="continue"/>
            <w:vAlign w:val="center"/>
          </w:tcPr>
          <w:p w14:paraId="69D27012">
            <w:pPr>
              <w:jc w:val="center"/>
              <w:rPr>
                <w:rFonts w:ascii="Times New Roman" w:eastAsia="仿宋"/>
                <w:szCs w:val="21"/>
              </w:rPr>
            </w:pPr>
          </w:p>
        </w:tc>
        <w:tc>
          <w:tcPr>
            <w:tcW w:w="445" w:type="pct"/>
            <w:vMerge w:val="continue"/>
            <w:vAlign w:val="center"/>
          </w:tcPr>
          <w:p w14:paraId="52E80A2C">
            <w:pPr>
              <w:jc w:val="center"/>
              <w:rPr>
                <w:rFonts w:ascii="Times New Roman" w:eastAsia="仿宋"/>
                <w:szCs w:val="21"/>
              </w:rPr>
            </w:pPr>
          </w:p>
        </w:tc>
        <w:tc>
          <w:tcPr>
            <w:tcW w:w="1024" w:type="pct"/>
            <w:vAlign w:val="center"/>
          </w:tcPr>
          <w:p w14:paraId="2D9A7A90">
            <w:pPr>
              <w:jc w:val="center"/>
              <w:rPr>
                <w:rFonts w:ascii="Times New Roman" w:eastAsia="仿宋"/>
                <w:szCs w:val="21"/>
              </w:rPr>
            </w:pPr>
            <w:r>
              <w:rPr>
                <w:rFonts w:hint="eastAsia" w:ascii="Times New Roman" w:eastAsia="仿宋"/>
                <w:szCs w:val="21"/>
              </w:rPr>
              <w:t>粘粒</w:t>
            </w:r>
          </w:p>
          <w:p w14:paraId="181EC046">
            <w:pPr>
              <w:jc w:val="center"/>
              <w:rPr>
                <w:rFonts w:ascii="Times New Roman" w:eastAsia="仿宋"/>
                <w:szCs w:val="21"/>
              </w:rPr>
            </w:pPr>
            <w:r>
              <w:rPr>
                <w:rFonts w:hint="eastAsia" w:ascii="Times New Roman" w:eastAsia="仿宋"/>
                <w:szCs w:val="21"/>
              </w:rPr>
              <w:t>（0.002）</w:t>
            </w:r>
          </w:p>
        </w:tc>
        <w:tc>
          <w:tcPr>
            <w:tcW w:w="598" w:type="pct"/>
            <w:vAlign w:val="center"/>
          </w:tcPr>
          <w:p w14:paraId="7B802249">
            <w:pPr>
              <w:jc w:val="center"/>
              <w:rPr>
                <w:rFonts w:ascii="Times New Roman" w:eastAsia="仿宋"/>
                <w:szCs w:val="21"/>
              </w:rPr>
            </w:pPr>
            <w:r>
              <w:rPr>
                <w:rFonts w:hint="eastAsia" w:ascii="Times New Roman" w:eastAsia="仿宋"/>
                <w:szCs w:val="21"/>
              </w:rPr>
              <w:t>264</w:t>
            </w:r>
          </w:p>
        </w:tc>
        <w:tc>
          <w:tcPr>
            <w:tcW w:w="708" w:type="pct"/>
            <w:gridSpan w:val="2"/>
            <w:vAlign w:val="center"/>
          </w:tcPr>
          <w:p w14:paraId="60D60DAF">
            <w:pPr>
              <w:jc w:val="center"/>
              <w:rPr>
                <w:rFonts w:ascii="Times New Roman" w:eastAsia="仿宋"/>
                <w:szCs w:val="21"/>
              </w:rPr>
            </w:pPr>
            <w:r>
              <w:rPr>
                <w:rFonts w:hint="eastAsia" w:ascii="Times New Roman" w:eastAsia="仿宋"/>
                <w:szCs w:val="21"/>
              </w:rPr>
              <w:t>256</w:t>
            </w:r>
          </w:p>
        </w:tc>
        <w:tc>
          <w:tcPr>
            <w:tcW w:w="706" w:type="pct"/>
            <w:gridSpan w:val="2"/>
            <w:vAlign w:val="center"/>
          </w:tcPr>
          <w:p w14:paraId="43FFFC0E">
            <w:pPr>
              <w:jc w:val="center"/>
              <w:rPr>
                <w:rFonts w:ascii="Times New Roman" w:eastAsia="仿宋"/>
                <w:szCs w:val="21"/>
              </w:rPr>
            </w:pPr>
            <w:r>
              <w:rPr>
                <w:rFonts w:hint="eastAsia" w:ascii="Times New Roman" w:eastAsia="仿宋"/>
                <w:szCs w:val="21"/>
              </w:rPr>
              <w:t>289</w:t>
            </w:r>
          </w:p>
        </w:tc>
        <w:tc>
          <w:tcPr>
            <w:tcW w:w="688" w:type="pct"/>
            <w:vAlign w:val="center"/>
          </w:tcPr>
          <w:p w14:paraId="35FC4038">
            <w:pPr>
              <w:jc w:val="center"/>
              <w:rPr>
                <w:rFonts w:ascii="Times New Roman" w:eastAsia="仿宋"/>
                <w:szCs w:val="21"/>
              </w:rPr>
            </w:pPr>
            <w:r>
              <w:rPr>
                <w:rFonts w:hint="eastAsia" w:ascii="Times New Roman" w:eastAsia="仿宋"/>
                <w:szCs w:val="21"/>
              </w:rPr>
              <w:t>355</w:t>
            </w:r>
          </w:p>
        </w:tc>
        <w:tc>
          <w:tcPr>
            <w:tcW w:w="583" w:type="pct"/>
            <w:vAlign w:val="center"/>
          </w:tcPr>
          <w:p w14:paraId="3B1B66DE">
            <w:pPr>
              <w:jc w:val="center"/>
              <w:rPr>
                <w:rFonts w:ascii="Times New Roman" w:eastAsia="仿宋"/>
                <w:szCs w:val="21"/>
              </w:rPr>
            </w:pPr>
            <w:r>
              <w:rPr>
                <w:rFonts w:hint="eastAsia" w:ascii="Times New Roman" w:eastAsia="仿宋"/>
                <w:szCs w:val="21"/>
              </w:rPr>
              <w:t>386</w:t>
            </w:r>
          </w:p>
        </w:tc>
      </w:tr>
    </w:tbl>
    <w:p w14:paraId="0AD42932">
      <w:pPr>
        <w:spacing w:line="500" w:lineRule="exact"/>
        <w:ind w:firstLine="560" w:firstLineChars="200"/>
        <w:rPr>
          <w:rFonts w:ascii="Times New Roman" w:eastAsia="仿宋"/>
          <w:sz w:val="28"/>
          <w:szCs w:val="28"/>
        </w:rPr>
      </w:pPr>
      <w:r>
        <w:rPr>
          <w:rFonts w:ascii="Times New Roman" w:eastAsia="仿宋"/>
          <w:sz w:val="28"/>
          <w:szCs w:val="28"/>
        </w:rPr>
        <w:t>2、土壤环境质量现状监测</w:t>
      </w:r>
    </w:p>
    <w:p w14:paraId="0E8E99C9">
      <w:pPr>
        <w:spacing w:line="500" w:lineRule="exact"/>
        <w:ind w:firstLine="560" w:firstLineChars="200"/>
        <w:rPr>
          <w:rFonts w:ascii="Times New Roman" w:eastAsia="仿宋"/>
          <w:sz w:val="28"/>
          <w:szCs w:val="28"/>
        </w:rPr>
      </w:pPr>
      <w:r>
        <w:rPr>
          <w:rFonts w:ascii="Times New Roman" w:eastAsia="仿宋"/>
          <w:sz w:val="28"/>
          <w:szCs w:val="28"/>
        </w:rPr>
        <w:t>（1）监测点的设置</w:t>
      </w:r>
    </w:p>
    <w:p w14:paraId="17291441">
      <w:pPr>
        <w:spacing w:line="500" w:lineRule="exact"/>
        <w:ind w:firstLine="560" w:firstLineChars="200"/>
        <w:rPr>
          <w:rFonts w:ascii="Times New Roman" w:eastAsia="仿宋"/>
          <w:sz w:val="28"/>
          <w:szCs w:val="28"/>
        </w:rPr>
      </w:pPr>
      <w:r>
        <w:rPr>
          <w:rFonts w:hint="eastAsia" w:ascii="Times New Roman" w:eastAsia="仿宋"/>
          <w:sz w:val="28"/>
          <w:szCs w:val="28"/>
        </w:rPr>
        <w:t>本项目</w:t>
      </w:r>
      <w:r>
        <w:rPr>
          <w:rFonts w:ascii="Times New Roman" w:eastAsia="仿宋"/>
          <w:sz w:val="28"/>
          <w:szCs w:val="28"/>
        </w:rPr>
        <w:t>共设置6个点位。在</w:t>
      </w:r>
      <w:r>
        <w:rPr>
          <w:rFonts w:hint="eastAsia" w:ascii="Times New Roman" w:eastAsia="仿宋"/>
          <w:sz w:val="28"/>
          <w:szCs w:val="28"/>
        </w:rPr>
        <w:t>拟建</w:t>
      </w:r>
      <w:r>
        <w:rPr>
          <w:rFonts w:ascii="Times New Roman" w:eastAsia="仿宋"/>
          <w:sz w:val="28"/>
          <w:szCs w:val="28"/>
        </w:rPr>
        <w:t>项目所在地布设4个点，</w:t>
      </w:r>
      <w:r>
        <w:rPr>
          <w:rFonts w:hint="eastAsia" w:ascii="Times New Roman" w:eastAsia="仿宋"/>
          <w:sz w:val="28"/>
          <w:szCs w:val="28"/>
        </w:rPr>
        <w:t>其中</w:t>
      </w:r>
      <w:r>
        <w:rPr>
          <w:rFonts w:ascii="Times New Roman" w:eastAsia="仿宋"/>
          <w:sz w:val="28"/>
          <w:szCs w:val="28"/>
        </w:rPr>
        <w:t>3个柱状样点（T</w:t>
      </w:r>
      <w:r>
        <w:rPr>
          <w:rFonts w:hint="eastAsia" w:ascii="Times New Roman" w:eastAsia="仿宋"/>
          <w:sz w:val="28"/>
          <w:szCs w:val="28"/>
        </w:rPr>
        <w:t>1</w:t>
      </w:r>
      <w:r>
        <w:rPr>
          <w:rFonts w:ascii="Times New Roman" w:eastAsia="仿宋"/>
          <w:sz w:val="28"/>
          <w:szCs w:val="28"/>
        </w:rPr>
        <w:t>-T</w:t>
      </w:r>
      <w:r>
        <w:rPr>
          <w:rFonts w:hint="eastAsia" w:ascii="Times New Roman" w:eastAsia="仿宋"/>
          <w:sz w:val="28"/>
          <w:szCs w:val="28"/>
        </w:rPr>
        <w:t>3</w:t>
      </w:r>
      <w:r>
        <w:rPr>
          <w:rFonts w:ascii="Times New Roman" w:eastAsia="仿宋"/>
          <w:sz w:val="28"/>
          <w:szCs w:val="28"/>
        </w:rPr>
        <w:t>）以及1个表层样点（T</w:t>
      </w:r>
      <w:r>
        <w:rPr>
          <w:rFonts w:hint="eastAsia" w:ascii="Times New Roman" w:eastAsia="仿宋"/>
          <w:sz w:val="28"/>
          <w:szCs w:val="28"/>
        </w:rPr>
        <w:t>4</w:t>
      </w:r>
      <w:r>
        <w:rPr>
          <w:rFonts w:ascii="Times New Roman" w:eastAsia="仿宋"/>
          <w:sz w:val="28"/>
          <w:szCs w:val="28"/>
        </w:rPr>
        <w:t>）；在</w:t>
      </w:r>
      <w:r>
        <w:rPr>
          <w:rFonts w:hint="eastAsia" w:ascii="Times New Roman" w:eastAsia="仿宋"/>
          <w:sz w:val="28"/>
          <w:szCs w:val="28"/>
        </w:rPr>
        <w:t>拟建</w:t>
      </w:r>
      <w:r>
        <w:rPr>
          <w:rFonts w:ascii="Times New Roman" w:eastAsia="仿宋"/>
          <w:sz w:val="28"/>
          <w:szCs w:val="28"/>
        </w:rPr>
        <w:t>项目所在地外布设2个表层样点（T5-T6），表层样在</w:t>
      </w:r>
      <w:r>
        <w:rPr>
          <w:rFonts w:hint="eastAsia" w:ascii="Times New Roman" w:eastAsia="仿宋"/>
          <w:sz w:val="28"/>
          <w:szCs w:val="28"/>
        </w:rPr>
        <w:t>0.1m</w:t>
      </w:r>
      <w:r>
        <w:rPr>
          <w:rFonts w:ascii="Times New Roman" w:eastAsia="仿宋"/>
          <w:sz w:val="28"/>
          <w:szCs w:val="28"/>
        </w:rPr>
        <w:t>取样；柱状样通常在0.5m，1.5m，3m，6m分别取样。</w:t>
      </w:r>
    </w:p>
    <w:p w14:paraId="16E74E59">
      <w:pPr>
        <w:spacing w:line="500" w:lineRule="exact"/>
        <w:ind w:firstLine="560" w:firstLineChars="200"/>
        <w:rPr>
          <w:rFonts w:ascii="Times New Roman" w:eastAsia="仿宋"/>
          <w:sz w:val="28"/>
          <w:szCs w:val="28"/>
        </w:rPr>
      </w:pPr>
      <w:r>
        <w:rPr>
          <w:rFonts w:ascii="Times New Roman" w:eastAsia="仿宋"/>
          <w:sz w:val="28"/>
          <w:szCs w:val="28"/>
        </w:rPr>
        <w:t>本项目土壤评价等级为二级，监测因子包括基本因子和特征因子，基本因子为GB15618、GB36600中规定的45个基本项目，特征因子为项目产生的特有因子，本项目主要为</w:t>
      </w:r>
      <w:r>
        <w:rPr>
          <w:rFonts w:hint="eastAsia" w:ascii="Times New Roman" w:eastAsia="仿宋"/>
          <w:sz w:val="28"/>
          <w:szCs w:val="28"/>
        </w:rPr>
        <w:t>二甲苯和</w:t>
      </w:r>
      <w:r>
        <w:rPr>
          <w:rFonts w:ascii="Times New Roman" w:eastAsia="仿宋"/>
          <w:sz w:val="28"/>
          <w:szCs w:val="28"/>
        </w:rPr>
        <w:t>石油烃，符合环境影响评价土壤导则要求。</w:t>
      </w:r>
    </w:p>
    <w:p w14:paraId="5041EA25">
      <w:pPr>
        <w:spacing w:line="500" w:lineRule="exact"/>
        <w:ind w:firstLine="560" w:firstLineChars="200"/>
        <w:rPr>
          <w:rFonts w:ascii="Times New Roman" w:eastAsia="仿宋"/>
          <w:sz w:val="28"/>
          <w:szCs w:val="28"/>
        </w:rPr>
      </w:pPr>
      <w:r>
        <w:rPr>
          <w:rFonts w:ascii="Times New Roman" w:eastAsia="仿宋"/>
          <w:sz w:val="28"/>
          <w:szCs w:val="28"/>
        </w:rPr>
        <w:t>监测点位见下图。</w:t>
      </w:r>
    </w:p>
    <w:p w14:paraId="5A042AD6">
      <w:pPr>
        <w:ind w:firstLine="480" w:firstLineChars="200"/>
        <w:jc w:val="center"/>
        <w:rPr>
          <w:rFonts w:ascii="Times New Roman" w:eastAsia="仿宋"/>
          <w:sz w:val="28"/>
          <w:szCs w:val="28"/>
        </w:rPr>
      </w:pPr>
      <w:r>
        <w:drawing>
          <wp:inline distT="0" distB="0" distL="114300" distR="114300">
            <wp:extent cx="4827905" cy="4023995"/>
            <wp:effectExtent l="0" t="0" r="1079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4"/>
                    <a:stretch>
                      <a:fillRect/>
                    </a:stretch>
                  </pic:blipFill>
                  <pic:spPr>
                    <a:xfrm>
                      <a:off x="0" y="0"/>
                      <a:ext cx="4827905" cy="4023995"/>
                    </a:xfrm>
                    <a:prstGeom prst="rect">
                      <a:avLst/>
                    </a:prstGeom>
                    <a:noFill/>
                    <a:ln>
                      <a:noFill/>
                    </a:ln>
                  </pic:spPr>
                </pic:pic>
              </a:graphicData>
            </a:graphic>
          </wp:inline>
        </w:drawing>
      </w:r>
    </w:p>
    <w:p w14:paraId="10DECDB9">
      <w:pPr>
        <w:jc w:val="center"/>
        <w:rPr>
          <w:rFonts w:ascii="Times New Roman" w:eastAsia="仿宋"/>
          <w:b/>
        </w:rPr>
      </w:pPr>
      <w:r>
        <w:rPr>
          <w:rFonts w:ascii="Times New Roman" w:eastAsia="仿宋"/>
          <w:b/>
        </w:rPr>
        <w:t>图</w:t>
      </w:r>
      <w:r>
        <w:rPr>
          <w:rFonts w:ascii="Times New Roman" w:eastAsia="仿宋"/>
          <w:b/>
        </w:rPr>
        <w:fldChar w:fldCharType="begin"/>
      </w:r>
      <w:r>
        <w:rPr>
          <w:rFonts w:ascii="Times New Roman" w:eastAsia="仿宋"/>
          <w:b/>
        </w:rPr>
        <w:instrText xml:space="preserve"> STYLEREF 2 \s </w:instrText>
      </w:r>
      <w:r>
        <w:rPr>
          <w:rFonts w:ascii="Times New Roman" w:eastAsia="仿宋"/>
          <w:b/>
        </w:rPr>
        <w:fldChar w:fldCharType="separate"/>
      </w:r>
      <w:r>
        <w:rPr>
          <w:rFonts w:ascii="Times New Roman" w:eastAsia="仿宋"/>
          <w:b/>
        </w:rPr>
        <w:t>0</w:t>
      </w:r>
      <w:r>
        <w:rPr>
          <w:rFonts w:ascii="Times New Roman" w:eastAsia="仿宋"/>
          <w:b/>
        </w:rPr>
        <w:fldChar w:fldCharType="end"/>
      </w:r>
      <w:r>
        <w:rPr>
          <w:rFonts w:ascii="Times New Roman" w:eastAsia="仿宋"/>
          <w:b/>
        </w:rPr>
        <w:t>-</w:t>
      </w:r>
      <w:r>
        <w:rPr>
          <w:rFonts w:ascii="Times New Roman" w:eastAsia="仿宋"/>
          <w:b/>
        </w:rPr>
        <w:fldChar w:fldCharType="begin"/>
      </w:r>
      <w:r>
        <w:rPr>
          <w:rFonts w:ascii="Times New Roman" w:eastAsia="仿宋"/>
          <w:b/>
        </w:rPr>
        <w:instrText xml:space="preserve"> SEQ 图 \* ARABIC \s 2 </w:instrText>
      </w:r>
      <w:r>
        <w:rPr>
          <w:rFonts w:ascii="Times New Roman" w:eastAsia="仿宋"/>
          <w:b/>
        </w:rPr>
        <w:fldChar w:fldCharType="separate"/>
      </w:r>
      <w:r>
        <w:rPr>
          <w:rFonts w:ascii="Times New Roman" w:eastAsia="仿宋"/>
          <w:b/>
        </w:rPr>
        <w:t>1</w:t>
      </w:r>
      <w:r>
        <w:rPr>
          <w:rFonts w:ascii="Times New Roman" w:eastAsia="仿宋"/>
          <w:b/>
        </w:rPr>
        <w:fldChar w:fldCharType="end"/>
      </w:r>
      <w:r>
        <w:rPr>
          <w:rFonts w:ascii="Times New Roman" w:eastAsia="仿宋"/>
          <w:b/>
        </w:rPr>
        <w:t xml:space="preserve">  土壤监测点位图（T1-T6）</w:t>
      </w:r>
    </w:p>
    <w:p w14:paraId="02D6DB8E">
      <w:pPr>
        <w:spacing w:line="500" w:lineRule="exact"/>
        <w:ind w:firstLine="560" w:firstLineChars="200"/>
        <w:rPr>
          <w:rFonts w:ascii="Times New Roman" w:eastAsia="仿宋"/>
          <w:b/>
        </w:rPr>
      </w:pPr>
      <w:r>
        <w:rPr>
          <w:rFonts w:ascii="Times New Roman" w:eastAsia="仿宋"/>
          <w:sz w:val="28"/>
          <w:szCs w:val="28"/>
        </w:rPr>
        <w:t>（2）监测点位、监测因子</w:t>
      </w:r>
    </w:p>
    <w:p w14:paraId="0D750594">
      <w:pPr>
        <w:spacing w:line="500" w:lineRule="exact"/>
        <w:jc w:val="center"/>
        <w:rPr>
          <w:rFonts w:ascii="Times New Roman" w:eastAsia="仿宋"/>
          <w:b/>
        </w:rPr>
      </w:pPr>
      <w:r>
        <w:rPr>
          <w:rFonts w:ascii="Times New Roman" w:eastAsia="仿宋"/>
          <w:b/>
        </w:rPr>
        <w:t>表4.2-12   土壤监测点位、监测因子及监测时间、频次</w:t>
      </w:r>
    </w:p>
    <w:tbl>
      <w:tblPr>
        <w:tblStyle w:val="87"/>
        <w:tblW w:w="54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2894"/>
        <w:gridCol w:w="5716"/>
      </w:tblGrid>
      <w:tr w14:paraId="6976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shd w:val="clear" w:color="auto" w:fill="auto"/>
            <w:vAlign w:val="center"/>
          </w:tcPr>
          <w:p w14:paraId="4C4AD9C0">
            <w:pPr>
              <w:widowControl/>
              <w:jc w:val="center"/>
              <w:rPr>
                <w:rFonts w:ascii="Times New Roman" w:eastAsia="仿宋"/>
                <w:lang w:val="zh-CN"/>
              </w:rPr>
            </w:pPr>
            <w:r>
              <w:rPr>
                <w:rFonts w:ascii="Times New Roman" w:eastAsia="仿宋"/>
                <w:lang w:val="zh-CN"/>
              </w:rPr>
              <w:t>点位类型</w:t>
            </w:r>
          </w:p>
        </w:tc>
        <w:tc>
          <w:tcPr>
            <w:tcW w:w="1431" w:type="pct"/>
            <w:vAlign w:val="center"/>
          </w:tcPr>
          <w:p w14:paraId="42FA7226">
            <w:pPr>
              <w:widowControl/>
              <w:jc w:val="center"/>
              <w:rPr>
                <w:rFonts w:ascii="Times New Roman" w:eastAsia="仿宋"/>
                <w:lang w:val="zh-CN"/>
              </w:rPr>
            </w:pPr>
            <w:r>
              <w:rPr>
                <w:rFonts w:ascii="Times New Roman" w:eastAsia="仿宋"/>
                <w:lang w:val="zh-CN"/>
              </w:rPr>
              <w:t>点位编号及位置</w:t>
            </w:r>
          </w:p>
        </w:tc>
        <w:tc>
          <w:tcPr>
            <w:tcW w:w="2826" w:type="pct"/>
            <w:shd w:val="clear" w:color="auto" w:fill="auto"/>
            <w:vAlign w:val="center"/>
          </w:tcPr>
          <w:p w14:paraId="4418D496">
            <w:pPr>
              <w:widowControl/>
              <w:jc w:val="center"/>
              <w:rPr>
                <w:rFonts w:ascii="Times New Roman" w:eastAsia="仿宋"/>
                <w:lang w:val="zh-CN"/>
              </w:rPr>
            </w:pPr>
            <w:r>
              <w:rPr>
                <w:rFonts w:ascii="Times New Roman" w:eastAsia="仿宋"/>
                <w:lang w:val="zh-CN"/>
              </w:rPr>
              <w:t>监测因子</w:t>
            </w:r>
          </w:p>
        </w:tc>
      </w:tr>
      <w:tr w14:paraId="0713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Merge w:val="restart"/>
            <w:shd w:val="clear" w:color="auto" w:fill="auto"/>
            <w:vAlign w:val="center"/>
          </w:tcPr>
          <w:p w14:paraId="15E84010">
            <w:pPr>
              <w:widowControl/>
              <w:jc w:val="center"/>
              <w:rPr>
                <w:rFonts w:ascii="Times New Roman" w:eastAsia="仿宋"/>
                <w:lang w:val="zh-CN"/>
              </w:rPr>
            </w:pPr>
            <w:r>
              <w:rPr>
                <w:rFonts w:ascii="Times New Roman" w:eastAsia="仿宋"/>
                <w:lang w:val="zh-CN"/>
              </w:rPr>
              <w:t>厂内柱状样</w:t>
            </w:r>
          </w:p>
        </w:tc>
        <w:tc>
          <w:tcPr>
            <w:tcW w:w="1431" w:type="pct"/>
            <w:vMerge w:val="restart"/>
            <w:vAlign w:val="center"/>
          </w:tcPr>
          <w:p w14:paraId="76684585">
            <w:pPr>
              <w:widowControl/>
              <w:jc w:val="center"/>
              <w:rPr>
                <w:rFonts w:ascii="Times New Roman" w:eastAsia="仿宋"/>
                <w:lang w:val="zh-CN"/>
              </w:rPr>
            </w:pPr>
            <w:r>
              <w:rPr>
                <w:rFonts w:hint="eastAsia" w:ascii="Times New Roman" w:eastAsia="仿宋"/>
              </w:rPr>
              <w:t>喷涂车间</w:t>
            </w:r>
            <w:r>
              <w:rPr>
                <w:rFonts w:ascii="Times New Roman" w:eastAsia="仿宋"/>
                <w:lang w:val="zh-CN"/>
              </w:rPr>
              <w:t>T1</w:t>
            </w:r>
          </w:p>
        </w:tc>
        <w:tc>
          <w:tcPr>
            <w:tcW w:w="2826" w:type="pct"/>
            <w:shd w:val="clear" w:color="auto" w:fill="auto"/>
            <w:vAlign w:val="center"/>
          </w:tcPr>
          <w:p w14:paraId="7E981203">
            <w:pPr>
              <w:widowControl/>
              <w:jc w:val="center"/>
              <w:rPr>
                <w:rFonts w:ascii="Times New Roman" w:eastAsia="仿宋"/>
                <w:lang w:val="zh-CN"/>
              </w:rPr>
            </w:pPr>
            <w:r>
              <w:rPr>
                <w:rFonts w:hint="eastAsia" w:ascii="Times New Roman" w:eastAsia="仿宋"/>
                <w:lang w:val="zh-CN"/>
              </w:rPr>
              <w:t>p</w:t>
            </w:r>
            <w:r>
              <w:rPr>
                <w:rFonts w:ascii="Times New Roman" w:eastAsia="仿宋"/>
                <w:lang w:val="zh-CN"/>
              </w:rPr>
              <w:t>H</w:t>
            </w:r>
            <w:r>
              <w:rPr>
                <w:rFonts w:hint="eastAsia" w:ascii="Times New Roman" w:eastAsia="仿宋"/>
                <w:lang w:val="zh-CN"/>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二甲苯</w:t>
            </w:r>
          </w:p>
        </w:tc>
      </w:tr>
      <w:tr w14:paraId="3EB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Merge w:val="continue"/>
            <w:vAlign w:val="center"/>
          </w:tcPr>
          <w:p w14:paraId="3CA751D4">
            <w:pPr>
              <w:widowControl/>
              <w:jc w:val="center"/>
              <w:rPr>
                <w:rFonts w:ascii="Times New Roman" w:eastAsia="仿宋"/>
                <w:lang w:val="zh-CN"/>
              </w:rPr>
            </w:pPr>
          </w:p>
        </w:tc>
        <w:tc>
          <w:tcPr>
            <w:tcW w:w="1431" w:type="pct"/>
            <w:vMerge w:val="continue"/>
            <w:vAlign w:val="center"/>
          </w:tcPr>
          <w:p w14:paraId="1D055737">
            <w:pPr>
              <w:widowControl/>
              <w:jc w:val="center"/>
              <w:rPr>
                <w:rFonts w:ascii="Times New Roman" w:eastAsia="仿宋"/>
                <w:lang w:val="zh-CN"/>
              </w:rPr>
            </w:pPr>
          </w:p>
        </w:tc>
        <w:tc>
          <w:tcPr>
            <w:tcW w:w="2826" w:type="pct"/>
            <w:shd w:val="clear" w:color="auto" w:fill="auto"/>
            <w:vAlign w:val="center"/>
          </w:tcPr>
          <w:p w14:paraId="1E667F14">
            <w:pPr>
              <w:widowControl/>
              <w:jc w:val="center"/>
              <w:rPr>
                <w:rFonts w:ascii="Times New Roman" w:eastAsia="仿宋"/>
                <w:lang w:val="zh-CN"/>
              </w:rPr>
            </w:pPr>
            <w:r>
              <w:rPr>
                <w:rFonts w:ascii="Times New Roman" w:eastAsia="仿宋"/>
                <w:lang w:val="zh-CN"/>
              </w:rPr>
              <w:t>pH值、石油烃（C10-C40）</w:t>
            </w:r>
            <w:r>
              <w:rPr>
                <w:rFonts w:hint="eastAsia" w:ascii="Times New Roman" w:eastAsia="仿宋"/>
                <w:lang w:val="zh-CN"/>
              </w:rPr>
              <w:t>、</w:t>
            </w:r>
            <w:r>
              <w:rPr>
                <w:rFonts w:hint="eastAsia" w:ascii="Times New Roman" w:eastAsia="仿宋"/>
              </w:rPr>
              <w:t>二甲苯</w:t>
            </w:r>
          </w:p>
        </w:tc>
      </w:tr>
      <w:tr w14:paraId="777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Merge w:val="continue"/>
            <w:vAlign w:val="center"/>
          </w:tcPr>
          <w:p w14:paraId="7A5EC36E">
            <w:pPr>
              <w:widowControl/>
              <w:jc w:val="center"/>
              <w:rPr>
                <w:rFonts w:ascii="Times New Roman" w:eastAsia="仿宋"/>
                <w:lang w:val="zh-CN"/>
              </w:rPr>
            </w:pPr>
          </w:p>
        </w:tc>
        <w:tc>
          <w:tcPr>
            <w:tcW w:w="1431" w:type="pct"/>
            <w:vAlign w:val="center"/>
          </w:tcPr>
          <w:p w14:paraId="646E7969">
            <w:pPr>
              <w:widowControl/>
              <w:jc w:val="center"/>
              <w:rPr>
                <w:rFonts w:ascii="Times New Roman" w:eastAsia="仿宋"/>
                <w:lang w:val="zh-CN"/>
              </w:rPr>
            </w:pPr>
            <w:r>
              <w:rPr>
                <w:rFonts w:hint="eastAsia" w:ascii="Times New Roman" w:eastAsia="仿宋"/>
              </w:rPr>
              <w:t>喷涂车间</w:t>
            </w:r>
            <w:r>
              <w:rPr>
                <w:rFonts w:ascii="Times New Roman" w:eastAsia="仿宋"/>
                <w:lang w:val="zh-CN"/>
              </w:rPr>
              <w:t>T2</w:t>
            </w:r>
          </w:p>
        </w:tc>
        <w:tc>
          <w:tcPr>
            <w:tcW w:w="2826" w:type="pct"/>
            <w:shd w:val="clear" w:color="auto" w:fill="auto"/>
            <w:vAlign w:val="center"/>
          </w:tcPr>
          <w:p w14:paraId="40E79CDF">
            <w:pPr>
              <w:widowControl/>
              <w:jc w:val="center"/>
              <w:rPr>
                <w:rFonts w:ascii="Times New Roman" w:eastAsia="仿宋"/>
                <w:lang w:val="zh-CN"/>
              </w:rPr>
            </w:pPr>
            <w:r>
              <w:rPr>
                <w:rFonts w:ascii="Times New Roman" w:eastAsia="仿宋"/>
                <w:lang w:val="zh-CN"/>
              </w:rPr>
              <w:t>pH值、石油烃（C10-C40）</w:t>
            </w:r>
            <w:r>
              <w:rPr>
                <w:rFonts w:hint="eastAsia" w:ascii="Times New Roman" w:eastAsia="仿宋"/>
                <w:lang w:val="zh-CN"/>
              </w:rPr>
              <w:t>、</w:t>
            </w:r>
            <w:r>
              <w:rPr>
                <w:rFonts w:hint="eastAsia" w:ascii="Times New Roman" w:eastAsia="仿宋"/>
              </w:rPr>
              <w:t>二甲苯</w:t>
            </w:r>
          </w:p>
        </w:tc>
      </w:tr>
      <w:tr w14:paraId="0AA9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Merge w:val="continue"/>
            <w:vAlign w:val="center"/>
          </w:tcPr>
          <w:p w14:paraId="136CB962">
            <w:pPr>
              <w:widowControl/>
              <w:jc w:val="center"/>
              <w:rPr>
                <w:rFonts w:ascii="Times New Roman" w:eastAsia="仿宋"/>
                <w:lang w:val="zh-CN"/>
              </w:rPr>
            </w:pPr>
          </w:p>
        </w:tc>
        <w:tc>
          <w:tcPr>
            <w:tcW w:w="1431" w:type="pct"/>
            <w:vAlign w:val="center"/>
          </w:tcPr>
          <w:p w14:paraId="3D7D80C6">
            <w:pPr>
              <w:widowControl/>
              <w:jc w:val="center"/>
              <w:rPr>
                <w:rFonts w:ascii="Times New Roman" w:eastAsia="仿宋"/>
                <w:lang w:val="zh-CN"/>
              </w:rPr>
            </w:pPr>
            <w:r>
              <w:rPr>
                <w:rFonts w:hint="eastAsia" w:ascii="Times New Roman" w:eastAsia="仿宋"/>
              </w:rPr>
              <w:t>4号钣金车间</w:t>
            </w:r>
            <w:r>
              <w:rPr>
                <w:rFonts w:ascii="Times New Roman" w:eastAsia="仿宋"/>
                <w:lang w:val="zh-CN"/>
              </w:rPr>
              <w:t>T3</w:t>
            </w:r>
          </w:p>
        </w:tc>
        <w:tc>
          <w:tcPr>
            <w:tcW w:w="2826" w:type="pct"/>
            <w:shd w:val="clear" w:color="auto" w:fill="auto"/>
            <w:vAlign w:val="center"/>
          </w:tcPr>
          <w:p w14:paraId="46891E45">
            <w:pPr>
              <w:widowControl/>
              <w:jc w:val="center"/>
              <w:rPr>
                <w:rFonts w:ascii="Times New Roman" w:eastAsia="仿宋"/>
                <w:lang w:val="zh-CN"/>
              </w:rPr>
            </w:pPr>
            <w:r>
              <w:rPr>
                <w:rFonts w:ascii="Times New Roman" w:eastAsia="仿宋"/>
                <w:lang w:val="zh-CN"/>
              </w:rPr>
              <w:t>pH值、石油烃（C10-C40）</w:t>
            </w:r>
            <w:r>
              <w:rPr>
                <w:rFonts w:hint="eastAsia" w:ascii="Times New Roman" w:eastAsia="仿宋"/>
                <w:lang w:val="zh-CN"/>
              </w:rPr>
              <w:t>、</w:t>
            </w:r>
            <w:r>
              <w:rPr>
                <w:rFonts w:hint="eastAsia" w:ascii="Times New Roman" w:eastAsia="仿宋"/>
              </w:rPr>
              <w:t>二甲苯</w:t>
            </w:r>
          </w:p>
        </w:tc>
      </w:tr>
      <w:tr w14:paraId="170A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02C76A3F">
            <w:pPr>
              <w:widowControl/>
              <w:jc w:val="center"/>
              <w:rPr>
                <w:rFonts w:ascii="Times New Roman" w:eastAsia="仿宋"/>
                <w:lang w:val="zh-CN"/>
              </w:rPr>
            </w:pPr>
            <w:r>
              <w:rPr>
                <w:rFonts w:ascii="Times New Roman" w:eastAsia="仿宋"/>
                <w:lang w:val="zh-CN"/>
              </w:rPr>
              <w:t>厂内表层样</w:t>
            </w:r>
          </w:p>
        </w:tc>
        <w:tc>
          <w:tcPr>
            <w:tcW w:w="1431" w:type="pct"/>
            <w:vAlign w:val="center"/>
          </w:tcPr>
          <w:p w14:paraId="6064062C">
            <w:pPr>
              <w:widowControl/>
              <w:jc w:val="center"/>
              <w:rPr>
                <w:rFonts w:ascii="Times New Roman" w:eastAsia="仿宋"/>
                <w:lang w:val="zh-CN"/>
              </w:rPr>
            </w:pPr>
            <w:r>
              <w:rPr>
                <w:rFonts w:hint="eastAsia" w:ascii="Times New Roman" w:eastAsia="仿宋"/>
              </w:rPr>
              <w:t>1号钣金车间东侧</w:t>
            </w:r>
            <w:r>
              <w:rPr>
                <w:rFonts w:ascii="Times New Roman" w:eastAsia="仿宋"/>
                <w:lang w:val="zh-CN"/>
              </w:rPr>
              <w:t>T4</w:t>
            </w:r>
          </w:p>
        </w:tc>
        <w:tc>
          <w:tcPr>
            <w:tcW w:w="2826" w:type="pct"/>
            <w:shd w:val="clear" w:color="auto" w:fill="auto"/>
            <w:vAlign w:val="center"/>
          </w:tcPr>
          <w:p w14:paraId="5A652C64">
            <w:pPr>
              <w:widowControl/>
              <w:jc w:val="center"/>
              <w:rPr>
                <w:rFonts w:ascii="Times New Roman" w:eastAsia="仿宋"/>
                <w:lang w:val="zh-CN"/>
              </w:rPr>
            </w:pPr>
            <w:r>
              <w:rPr>
                <w:rFonts w:ascii="Times New Roman" w:eastAsia="仿宋"/>
                <w:lang w:val="zh-CN"/>
              </w:rPr>
              <w:t>pH值、石油烃（C10-C40）</w:t>
            </w:r>
            <w:r>
              <w:rPr>
                <w:rFonts w:hint="eastAsia" w:ascii="Times New Roman" w:eastAsia="仿宋"/>
                <w:lang w:val="zh-CN"/>
              </w:rPr>
              <w:t>、</w:t>
            </w:r>
            <w:r>
              <w:rPr>
                <w:rFonts w:hint="eastAsia" w:ascii="Times New Roman" w:eastAsia="仿宋"/>
              </w:rPr>
              <w:t>二甲苯</w:t>
            </w:r>
          </w:p>
        </w:tc>
      </w:tr>
      <w:tr w14:paraId="40B3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41" w:type="pct"/>
            <w:vMerge w:val="restart"/>
            <w:vAlign w:val="center"/>
          </w:tcPr>
          <w:p w14:paraId="3A0398FF">
            <w:pPr>
              <w:widowControl/>
              <w:jc w:val="center"/>
              <w:rPr>
                <w:rFonts w:ascii="Times New Roman" w:eastAsia="仿宋"/>
                <w:lang w:val="zh-CN"/>
              </w:rPr>
            </w:pPr>
            <w:r>
              <w:rPr>
                <w:rFonts w:hint="eastAsia" w:ascii="Times New Roman" w:eastAsia="仿宋"/>
                <w:lang w:val="zh-CN"/>
              </w:rPr>
              <w:t>厂外表层样</w:t>
            </w:r>
          </w:p>
        </w:tc>
        <w:tc>
          <w:tcPr>
            <w:tcW w:w="1431" w:type="pct"/>
            <w:vAlign w:val="center"/>
          </w:tcPr>
          <w:p w14:paraId="6FA13C32">
            <w:pPr>
              <w:widowControl/>
              <w:jc w:val="center"/>
              <w:rPr>
                <w:rFonts w:ascii="Times New Roman" w:eastAsia="仿宋"/>
                <w:lang w:val="zh-CN"/>
              </w:rPr>
            </w:pPr>
            <w:r>
              <w:rPr>
                <w:rFonts w:hint="eastAsia" w:ascii="Times New Roman" w:eastAsia="仿宋"/>
                <w:lang w:val="zh-CN"/>
              </w:rPr>
              <w:t>厂区</w:t>
            </w:r>
            <w:r>
              <w:rPr>
                <w:rFonts w:hint="eastAsia" w:ascii="Times New Roman" w:eastAsia="仿宋"/>
              </w:rPr>
              <w:t>外南侧空地</w:t>
            </w:r>
            <w:r>
              <w:rPr>
                <w:rFonts w:ascii="Times New Roman" w:eastAsia="仿宋"/>
                <w:lang w:val="zh-CN"/>
              </w:rPr>
              <w:t>T5</w:t>
            </w:r>
          </w:p>
        </w:tc>
        <w:tc>
          <w:tcPr>
            <w:tcW w:w="2826" w:type="pct"/>
            <w:shd w:val="clear" w:color="auto" w:fill="auto"/>
            <w:vAlign w:val="center"/>
          </w:tcPr>
          <w:p w14:paraId="55EE9E03">
            <w:pPr>
              <w:widowControl/>
              <w:jc w:val="center"/>
              <w:rPr>
                <w:rFonts w:ascii="Times New Roman" w:eastAsia="仿宋"/>
                <w:lang w:val="zh-CN"/>
              </w:rPr>
            </w:pPr>
            <w:r>
              <w:rPr>
                <w:rFonts w:hint="eastAsia" w:ascii="Times New Roman" w:eastAsia="仿宋"/>
                <w:lang w:val="zh-CN"/>
              </w:rPr>
              <w:t>p</w:t>
            </w:r>
            <w:r>
              <w:rPr>
                <w:rFonts w:ascii="Times New Roman" w:eastAsia="仿宋"/>
                <w:lang w:val="zh-CN"/>
              </w:rPr>
              <w:t>H</w:t>
            </w:r>
            <w:r>
              <w:rPr>
                <w:rFonts w:hint="eastAsia" w:ascii="Times New Roman" w:eastAsia="仿宋"/>
                <w:lang w:val="zh-CN"/>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二甲苯</w:t>
            </w:r>
          </w:p>
        </w:tc>
      </w:tr>
      <w:tr w14:paraId="6751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Merge w:val="continue"/>
            <w:shd w:val="clear" w:color="auto" w:fill="auto"/>
            <w:vAlign w:val="center"/>
          </w:tcPr>
          <w:p w14:paraId="0B6098DB">
            <w:pPr>
              <w:widowControl/>
              <w:jc w:val="center"/>
              <w:rPr>
                <w:rFonts w:ascii="Times New Roman" w:eastAsia="仿宋"/>
                <w:lang w:val="zh-CN"/>
              </w:rPr>
            </w:pPr>
          </w:p>
        </w:tc>
        <w:tc>
          <w:tcPr>
            <w:tcW w:w="1431" w:type="pct"/>
            <w:vAlign w:val="center"/>
          </w:tcPr>
          <w:p w14:paraId="7F49A583">
            <w:pPr>
              <w:widowControl/>
              <w:jc w:val="center"/>
              <w:rPr>
                <w:rFonts w:ascii="Times New Roman" w:eastAsia="仿宋"/>
                <w:lang w:val="zh-CN"/>
              </w:rPr>
            </w:pPr>
            <w:r>
              <w:rPr>
                <w:rFonts w:hint="eastAsia" w:ascii="Times New Roman" w:eastAsia="仿宋"/>
                <w:lang w:val="zh-CN"/>
              </w:rPr>
              <w:t>厂区外西北侧</w:t>
            </w:r>
            <w:r>
              <w:rPr>
                <w:rFonts w:hint="eastAsia" w:ascii="Times New Roman" w:eastAsia="仿宋"/>
              </w:rPr>
              <w:t>空地</w:t>
            </w:r>
            <w:r>
              <w:rPr>
                <w:rFonts w:ascii="Times New Roman" w:eastAsia="仿宋"/>
                <w:lang w:val="zh-CN"/>
              </w:rPr>
              <w:t>T6</w:t>
            </w:r>
          </w:p>
        </w:tc>
        <w:tc>
          <w:tcPr>
            <w:tcW w:w="2826" w:type="pct"/>
            <w:shd w:val="clear" w:color="auto" w:fill="auto"/>
            <w:vAlign w:val="center"/>
          </w:tcPr>
          <w:p w14:paraId="1806654A">
            <w:pPr>
              <w:widowControl/>
              <w:jc w:val="center"/>
              <w:rPr>
                <w:rFonts w:ascii="Times New Roman" w:eastAsia="仿宋"/>
                <w:lang w:val="zh-CN"/>
              </w:rPr>
            </w:pPr>
            <w:r>
              <w:rPr>
                <w:rFonts w:ascii="Times New Roman" w:eastAsia="仿宋"/>
                <w:lang w:val="zh-CN"/>
              </w:rPr>
              <w:t>pH值、石油烃（C10-C40）</w:t>
            </w:r>
            <w:r>
              <w:rPr>
                <w:rFonts w:hint="eastAsia" w:ascii="Times New Roman" w:eastAsia="仿宋"/>
                <w:lang w:val="zh-CN"/>
              </w:rPr>
              <w:t>、二甲苯</w:t>
            </w:r>
          </w:p>
        </w:tc>
      </w:tr>
    </w:tbl>
    <w:p w14:paraId="5599DC32">
      <w:pPr>
        <w:spacing w:line="500" w:lineRule="exact"/>
        <w:ind w:firstLine="560" w:firstLineChars="200"/>
        <w:rPr>
          <w:rFonts w:ascii="Times New Roman" w:eastAsia="仿宋"/>
          <w:sz w:val="28"/>
          <w:szCs w:val="28"/>
        </w:rPr>
      </w:pPr>
      <w:r>
        <w:rPr>
          <w:rFonts w:ascii="Times New Roman" w:eastAsia="仿宋"/>
          <w:sz w:val="28"/>
          <w:szCs w:val="28"/>
        </w:rPr>
        <w:t>（3）监测时间和频率</w:t>
      </w:r>
    </w:p>
    <w:p w14:paraId="184ED2BF">
      <w:pPr>
        <w:spacing w:line="500" w:lineRule="exact"/>
        <w:ind w:firstLine="560" w:firstLineChars="200"/>
        <w:rPr>
          <w:rFonts w:ascii="Times New Roman" w:eastAsia="仿宋"/>
          <w:sz w:val="28"/>
          <w:szCs w:val="28"/>
        </w:rPr>
      </w:pPr>
      <w:r>
        <w:rPr>
          <w:rFonts w:ascii="Times New Roman" w:eastAsia="仿宋"/>
          <w:sz w:val="28"/>
          <w:szCs w:val="28"/>
        </w:rPr>
        <w:t>监测时间：202</w:t>
      </w:r>
      <w:r>
        <w:rPr>
          <w:rFonts w:hint="eastAsia" w:ascii="Times New Roman" w:eastAsia="仿宋"/>
          <w:sz w:val="28"/>
          <w:szCs w:val="28"/>
        </w:rPr>
        <w:t>4</w:t>
      </w:r>
      <w:r>
        <w:rPr>
          <w:rFonts w:ascii="Times New Roman" w:eastAsia="仿宋"/>
          <w:sz w:val="28"/>
          <w:szCs w:val="28"/>
        </w:rPr>
        <w:t>年</w:t>
      </w:r>
      <w:r>
        <w:rPr>
          <w:rFonts w:hint="eastAsia" w:ascii="Times New Roman" w:eastAsia="仿宋"/>
          <w:sz w:val="28"/>
          <w:szCs w:val="28"/>
        </w:rPr>
        <w:t>10</w:t>
      </w:r>
      <w:r>
        <w:rPr>
          <w:rFonts w:ascii="Times New Roman" w:eastAsia="仿宋"/>
          <w:sz w:val="28"/>
          <w:szCs w:val="28"/>
        </w:rPr>
        <w:t>月</w:t>
      </w:r>
      <w:r>
        <w:rPr>
          <w:rFonts w:hint="eastAsia" w:ascii="Times New Roman" w:eastAsia="仿宋"/>
          <w:sz w:val="28"/>
          <w:szCs w:val="28"/>
        </w:rPr>
        <w:t>17</w:t>
      </w:r>
      <w:r>
        <w:rPr>
          <w:rFonts w:ascii="Times New Roman" w:eastAsia="仿宋"/>
          <w:sz w:val="28"/>
          <w:szCs w:val="28"/>
        </w:rPr>
        <w:t>日（T1-T</w:t>
      </w:r>
      <w:r>
        <w:rPr>
          <w:rFonts w:hint="eastAsia" w:ascii="Times New Roman" w:eastAsia="仿宋"/>
          <w:sz w:val="28"/>
          <w:szCs w:val="28"/>
        </w:rPr>
        <w:t>6</w:t>
      </w:r>
      <w:r>
        <w:rPr>
          <w:rFonts w:ascii="Times New Roman" w:eastAsia="仿宋"/>
          <w:sz w:val="28"/>
          <w:szCs w:val="28"/>
        </w:rPr>
        <w:t>）；监测1次。</w:t>
      </w:r>
    </w:p>
    <w:p w14:paraId="46F675E5">
      <w:pPr>
        <w:spacing w:line="500" w:lineRule="exact"/>
        <w:ind w:firstLine="560" w:firstLineChars="200"/>
        <w:rPr>
          <w:rFonts w:ascii="Times New Roman" w:eastAsia="仿宋"/>
          <w:sz w:val="28"/>
          <w:szCs w:val="28"/>
        </w:rPr>
      </w:pPr>
      <w:r>
        <w:rPr>
          <w:rFonts w:ascii="Times New Roman" w:eastAsia="仿宋"/>
          <w:sz w:val="28"/>
          <w:szCs w:val="28"/>
        </w:rPr>
        <w:t>（4）监测方法</w:t>
      </w:r>
    </w:p>
    <w:p w14:paraId="403F0B5B">
      <w:pPr>
        <w:spacing w:line="500" w:lineRule="exact"/>
        <w:ind w:firstLine="560" w:firstLineChars="200"/>
        <w:rPr>
          <w:rFonts w:ascii="Times New Roman" w:eastAsia="仿宋"/>
          <w:sz w:val="28"/>
          <w:szCs w:val="28"/>
        </w:rPr>
      </w:pPr>
      <w:r>
        <w:rPr>
          <w:rFonts w:ascii="Times New Roman" w:eastAsia="仿宋"/>
          <w:sz w:val="28"/>
          <w:szCs w:val="28"/>
        </w:rPr>
        <w:t>按照《土壤环境质量建设用地土壤污染风险管控标准（试行）》（GB36600-2018）中监测方法。</w:t>
      </w:r>
    </w:p>
    <w:p w14:paraId="3E771DE9">
      <w:pPr>
        <w:spacing w:line="500" w:lineRule="exact"/>
        <w:ind w:firstLine="560" w:firstLineChars="200"/>
        <w:rPr>
          <w:rFonts w:ascii="Times New Roman" w:eastAsia="仿宋"/>
          <w:sz w:val="28"/>
          <w:szCs w:val="28"/>
        </w:rPr>
      </w:pPr>
      <w:r>
        <w:rPr>
          <w:rFonts w:ascii="Times New Roman" w:eastAsia="仿宋"/>
          <w:sz w:val="28"/>
          <w:szCs w:val="28"/>
        </w:rPr>
        <w:t>（5）监测结果</w:t>
      </w:r>
    </w:p>
    <w:p w14:paraId="66A96F41">
      <w:pPr>
        <w:spacing w:line="500" w:lineRule="exact"/>
        <w:ind w:firstLine="560" w:firstLineChars="200"/>
        <w:rPr>
          <w:rFonts w:ascii="Times New Roman" w:eastAsia="仿宋"/>
          <w:sz w:val="28"/>
          <w:szCs w:val="28"/>
        </w:rPr>
      </w:pPr>
      <w:r>
        <w:rPr>
          <w:rFonts w:hint="eastAsia" w:ascii="Times New Roman" w:eastAsia="仿宋"/>
          <w:sz w:val="28"/>
          <w:szCs w:val="28"/>
        </w:rPr>
        <w:t>本项目委托江苏科发检测技术有限公司对土壤现状进行监测，根据</w:t>
      </w:r>
      <w:r>
        <w:rPr>
          <w:rFonts w:ascii="Times New Roman" w:eastAsia="仿宋"/>
          <w:sz w:val="28"/>
          <w:szCs w:val="28"/>
        </w:rPr>
        <w:t>《检测报告》（报告编号：</w:t>
      </w:r>
      <w:r>
        <w:rPr>
          <w:rFonts w:hint="eastAsia" w:ascii="Times New Roman" w:eastAsia="仿宋"/>
          <w:sz w:val="28"/>
          <w:szCs w:val="28"/>
        </w:rPr>
        <w:t>E2410043-3</w:t>
      </w:r>
      <w:r>
        <w:rPr>
          <w:rFonts w:ascii="Times New Roman" w:eastAsia="仿宋"/>
          <w:sz w:val="28"/>
          <w:szCs w:val="28"/>
        </w:rPr>
        <w:t>）</w:t>
      </w:r>
      <w:r>
        <w:rPr>
          <w:rFonts w:hint="eastAsia" w:ascii="Times New Roman" w:eastAsia="仿宋"/>
          <w:sz w:val="28"/>
          <w:szCs w:val="28"/>
        </w:rPr>
        <w:t>，</w:t>
      </w:r>
      <w:r>
        <w:rPr>
          <w:rFonts w:ascii="Times New Roman" w:eastAsia="仿宋"/>
          <w:sz w:val="28"/>
          <w:szCs w:val="28"/>
        </w:rPr>
        <w:t>具体监测结果如下</w:t>
      </w:r>
      <w:r>
        <w:rPr>
          <w:rFonts w:hint="eastAsia" w:ascii="Times New Roman" w:eastAsia="仿宋"/>
          <w:sz w:val="28"/>
          <w:szCs w:val="28"/>
        </w:rPr>
        <w:t>：</w:t>
      </w:r>
    </w:p>
    <w:p w14:paraId="1CC45E16">
      <w:pPr>
        <w:spacing w:line="500" w:lineRule="exact"/>
        <w:ind w:firstLine="560" w:firstLineChars="200"/>
        <w:rPr>
          <w:rFonts w:ascii="Times New Roman" w:eastAsia="仿宋"/>
          <w:sz w:val="28"/>
          <w:szCs w:val="28"/>
        </w:rPr>
      </w:pPr>
    </w:p>
    <w:p w14:paraId="42A26A24">
      <w:pPr>
        <w:spacing w:line="500" w:lineRule="exact"/>
        <w:ind w:firstLine="560" w:firstLineChars="200"/>
        <w:rPr>
          <w:rFonts w:ascii="Times New Roman" w:eastAsia="仿宋"/>
          <w:sz w:val="28"/>
          <w:szCs w:val="28"/>
        </w:rPr>
      </w:pPr>
    </w:p>
    <w:p w14:paraId="5EB594E4">
      <w:pPr>
        <w:spacing w:line="500" w:lineRule="exact"/>
        <w:jc w:val="center"/>
        <w:rPr>
          <w:rFonts w:ascii="Times New Roman" w:eastAsia="仿宋"/>
          <w:b/>
        </w:rPr>
        <w:sectPr>
          <w:pgSz w:w="11906" w:h="16838"/>
          <w:pgMar w:top="1800" w:right="1440" w:bottom="1800" w:left="1440" w:header="851" w:footer="992" w:gutter="0"/>
          <w:cols w:space="720" w:num="1"/>
          <w:docGrid w:linePitch="312" w:charSpace="0"/>
        </w:sectPr>
      </w:pPr>
    </w:p>
    <w:p w14:paraId="2EF5BB5B">
      <w:pPr>
        <w:spacing w:line="500" w:lineRule="exact"/>
        <w:jc w:val="center"/>
        <w:rPr>
          <w:rFonts w:ascii="Times New Roman" w:eastAsia="仿宋"/>
          <w:b/>
        </w:rPr>
      </w:pPr>
      <w:r>
        <w:rPr>
          <w:rFonts w:ascii="Times New Roman" w:eastAsia="仿宋"/>
          <w:b/>
        </w:rPr>
        <w:t>表4.2-13  土壤监测结果统计表  单位：mg/kg</w:t>
      </w:r>
    </w:p>
    <w:tbl>
      <w:tblPr>
        <w:tblStyle w:val="87"/>
        <w:tblW w:w="506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854"/>
        <w:gridCol w:w="672"/>
        <w:gridCol w:w="792"/>
        <w:gridCol w:w="792"/>
        <w:gridCol w:w="799"/>
        <w:gridCol w:w="671"/>
        <w:gridCol w:w="791"/>
        <w:gridCol w:w="791"/>
        <w:gridCol w:w="799"/>
        <w:gridCol w:w="671"/>
        <w:gridCol w:w="788"/>
        <w:gridCol w:w="624"/>
        <w:gridCol w:w="731"/>
        <w:gridCol w:w="731"/>
        <w:gridCol w:w="668"/>
        <w:gridCol w:w="668"/>
        <w:gridCol w:w="785"/>
      </w:tblGrid>
      <w:tr w14:paraId="2A325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368" w:type="pct"/>
            <w:vMerge w:val="restart"/>
            <w:vAlign w:val="center"/>
          </w:tcPr>
          <w:p w14:paraId="5E198160">
            <w:pPr>
              <w:jc w:val="center"/>
              <w:rPr>
                <w:rFonts w:ascii="Times New Roman" w:eastAsia="仿宋"/>
                <w:sz w:val="21"/>
                <w:szCs w:val="21"/>
                <w:lang w:val="zh-CN"/>
              </w:rPr>
            </w:pPr>
            <w:r>
              <w:rPr>
                <w:rFonts w:ascii="Times New Roman" w:eastAsia="仿宋"/>
                <w:sz w:val="21"/>
                <w:szCs w:val="21"/>
                <w:lang w:val="zh-CN"/>
              </w:rPr>
              <w:t>监测因子</w:t>
            </w:r>
          </w:p>
        </w:tc>
        <w:tc>
          <w:tcPr>
            <w:tcW w:w="313" w:type="pct"/>
            <w:vMerge w:val="restart"/>
            <w:vAlign w:val="center"/>
          </w:tcPr>
          <w:p w14:paraId="035A61DE">
            <w:pPr>
              <w:jc w:val="center"/>
              <w:rPr>
                <w:rFonts w:ascii="Times New Roman" w:eastAsia="仿宋"/>
                <w:sz w:val="21"/>
                <w:szCs w:val="21"/>
              </w:rPr>
            </w:pPr>
            <w:r>
              <w:rPr>
                <w:rFonts w:hint="eastAsia" w:ascii="Times New Roman" w:eastAsia="仿宋"/>
                <w:sz w:val="21"/>
                <w:szCs w:val="21"/>
              </w:rPr>
              <w:t>检出限</w:t>
            </w:r>
          </w:p>
        </w:tc>
        <w:tc>
          <w:tcPr>
            <w:tcW w:w="1119" w:type="pct"/>
            <w:gridSpan w:val="4"/>
            <w:vAlign w:val="center"/>
          </w:tcPr>
          <w:p w14:paraId="0F5A4F0D">
            <w:pPr>
              <w:jc w:val="center"/>
              <w:rPr>
                <w:rFonts w:ascii="Times New Roman" w:eastAsia="仿宋"/>
                <w:sz w:val="21"/>
                <w:szCs w:val="21"/>
                <w:lang w:val="zh-CN"/>
              </w:rPr>
            </w:pPr>
            <w:r>
              <w:rPr>
                <w:rFonts w:ascii="Times New Roman" w:eastAsia="仿宋"/>
                <w:sz w:val="21"/>
                <w:szCs w:val="21"/>
                <w:lang w:val="zh-CN"/>
              </w:rPr>
              <w:t>T1</w:t>
            </w:r>
          </w:p>
        </w:tc>
        <w:tc>
          <w:tcPr>
            <w:tcW w:w="1119" w:type="pct"/>
            <w:gridSpan w:val="4"/>
            <w:vAlign w:val="center"/>
          </w:tcPr>
          <w:p w14:paraId="1497A55D">
            <w:pPr>
              <w:jc w:val="center"/>
              <w:rPr>
                <w:rFonts w:ascii="Times New Roman" w:eastAsia="仿宋"/>
                <w:sz w:val="21"/>
                <w:szCs w:val="21"/>
                <w:lang w:val="zh-CN"/>
              </w:rPr>
            </w:pPr>
            <w:r>
              <w:rPr>
                <w:rFonts w:ascii="Times New Roman" w:eastAsia="仿宋"/>
                <w:sz w:val="21"/>
                <w:szCs w:val="21"/>
                <w:lang w:val="zh-CN"/>
              </w:rPr>
              <w:t>T2</w:t>
            </w:r>
          </w:p>
        </w:tc>
        <w:tc>
          <w:tcPr>
            <w:tcW w:w="1032" w:type="pct"/>
            <w:gridSpan w:val="4"/>
            <w:vAlign w:val="center"/>
          </w:tcPr>
          <w:p w14:paraId="3ED2EF48">
            <w:pPr>
              <w:jc w:val="center"/>
              <w:rPr>
                <w:rFonts w:ascii="Times New Roman" w:eastAsia="仿宋"/>
                <w:sz w:val="21"/>
                <w:szCs w:val="21"/>
                <w:lang w:val="zh-CN"/>
              </w:rPr>
            </w:pPr>
            <w:r>
              <w:rPr>
                <w:rFonts w:ascii="Times New Roman" w:eastAsia="仿宋"/>
                <w:sz w:val="21"/>
                <w:szCs w:val="21"/>
                <w:lang w:val="zh-CN"/>
              </w:rPr>
              <w:t>T3</w:t>
            </w:r>
          </w:p>
        </w:tc>
        <w:tc>
          <w:tcPr>
            <w:tcW w:w="268" w:type="pct"/>
            <w:vAlign w:val="center"/>
          </w:tcPr>
          <w:p w14:paraId="44B9D155">
            <w:pPr>
              <w:jc w:val="center"/>
              <w:rPr>
                <w:rFonts w:ascii="Times New Roman" w:eastAsia="仿宋"/>
                <w:sz w:val="21"/>
                <w:szCs w:val="21"/>
                <w:lang w:val="zh-CN"/>
              </w:rPr>
            </w:pPr>
            <w:r>
              <w:rPr>
                <w:rFonts w:ascii="Times New Roman" w:eastAsia="仿宋"/>
                <w:sz w:val="21"/>
                <w:szCs w:val="21"/>
                <w:lang w:val="zh-CN"/>
              </w:rPr>
              <w:t>T4</w:t>
            </w:r>
          </w:p>
        </w:tc>
        <w:tc>
          <w:tcPr>
            <w:tcW w:w="245" w:type="pct"/>
            <w:vAlign w:val="center"/>
          </w:tcPr>
          <w:p w14:paraId="125475CF">
            <w:pPr>
              <w:jc w:val="center"/>
              <w:rPr>
                <w:rFonts w:ascii="Times New Roman" w:eastAsia="仿宋"/>
                <w:sz w:val="21"/>
                <w:szCs w:val="21"/>
                <w:lang w:val="zh-CN"/>
              </w:rPr>
            </w:pPr>
            <w:r>
              <w:rPr>
                <w:rFonts w:ascii="Times New Roman" w:eastAsia="仿宋"/>
                <w:sz w:val="21"/>
                <w:szCs w:val="21"/>
                <w:lang w:val="zh-CN"/>
              </w:rPr>
              <w:t>T5</w:t>
            </w:r>
          </w:p>
        </w:tc>
        <w:tc>
          <w:tcPr>
            <w:tcW w:w="245" w:type="pct"/>
            <w:vAlign w:val="center"/>
          </w:tcPr>
          <w:p w14:paraId="2DF885C3">
            <w:pPr>
              <w:jc w:val="center"/>
              <w:rPr>
                <w:rFonts w:ascii="Times New Roman" w:eastAsia="仿宋"/>
                <w:sz w:val="21"/>
                <w:szCs w:val="21"/>
                <w:lang w:val="zh-CN"/>
              </w:rPr>
            </w:pPr>
            <w:r>
              <w:rPr>
                <w:rFonts w:ascii="Times New Roman" w:eastAsia="仿宋"/>
                <w:sz w:val="21"/>
                <w:szCs w:val="21"/>
                <w:lang w:val="zh-CN"/>
              </w:rPr>
              <w:t>T6</w:t>
            </w:r>
          </w:p>
        </w:tc>
        <w:tc>
          <w:tcPr>
            <w:tcW w:w="288" w:type="pct"/>
            <w:vMerge w:val="restart"/>
            <w:vAlign w:val="center"/>
          </w:tcPr>
          <w:p w14:paraId="79D1C78D">
            <w:pPr>
              <w:jc w:val="center"/>
              <w:rPr>
                <w:rFonts w:ascii="Times New Roman" w:eastAsia="仿宋"/>
                <w:sz w:val="21"/>
                <w:szCs w:val="21"/>
              </w:rPr>
            </w:pPr>
            <w:r>
              <w:rPr>
                <w:rFonts w:ascii="Times New Roman" w:eastAsia="仿宋"/>
                <w:sz w:val="21"/>
                <w:szCs w:val="21"/>
                <w:lang w:val="zh-CN"/>
              </w:rPr>
              <w:t>第二类用地筛选值标准</w:t>
            </w:r>
            <w:r>
              <w:rPr>
                <w:rFonts w:hint="eastAsia" w:ascii="Times New Roman" w:eastAsia="仿宋"/>
                <w:sz w:val="21"/>
                <w:szCs w:val="21"/>
              </w:rPr>
              <w:t>(mg/kg)</w:t>
            </w:r>
          </w:p>
        </w:tc>
      </w:tr>
      <w:tr w14:paraId="402A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vMerge w:val="continue"/>
            <w:vAlign w:val="center"/>
          </w:tcPr>
          <w:p w14:paraId="3F83E9C8">
            <w:pPr>
              <w:jc w:val="center"/>
              <w:rPr>
                <w:rFonts w:ascii="Times New Roman" w:eastAsia="仿宋"/>
                <w:sz w:val="21"/>
                <w:szCs w:val="21"/>
                <w:lang w:val="zh-CN"/>
              </w:rPr>
            </w:pPr>
          </w:p>
        </w:tc>
        <w:tc>
          <w:tcPr>
            <w:tcW w:w="313" w:type="pct"/>
            <w:vMerge w:val="continue"/>
            <w:vAlign w:val="center"/>
          </w:tcPr>
          <w:p w14:paraId="3C3A2852">
            <w:pPr>
              <w:jc w:val="center"/>
              <w:rPr>
                <w:rFonts w:ascii="Times New Roman" w:eastAsia="仿宋"/>
                <w:sz w:val="21"/>
                <w:szCs w:val="21"/>
                <w:lang w:val="zh-CN"/>
              </w:rPr>
            </w:pPr>
          </w:p>
        </w:tc>
        <w:tc>
          <w:tcPr>
            <w:tcW w:w="246" w:type="pct"/>
            <w:vAlign w:val="center"/>
          </w:tcPr>
          <w:p w14:paraId="3A31A509">
            <w:pPr>
              <w:jc w:val="center"/>
              <w:rPr>
                <w:rFonts w:ascii="Times New Roman" w:eastAsia="仿宋"/>
                <w:sz w:val="21"/>
                <w:szCs w:val="21"/>
                <w:lang w:val="zh-CN"/>
              </w:rPr>
            </w:pPr>
            <w:r>
              <w:rPr>
                <w:rFonts w:ascii="Times New Roman" w:eastAsia="仿宋"/>
                <w:sz w:val="21"/>
                <w:szCs w:val="21"/>
                <w:lang w:val="zh-CN"/>
              </w:rPr>
              <w:t>0-0.5m</w:t>
            </w:r>
          </w:p>
        </w:tc>
        <w:tc>
          <w:tcPr>
            <w:tcW w:w="290" w:type="pct"/>
            <w:vAlign w:val="center"/>
          </w:tcPr>
          <w:p w14:paraId="4D838C9C">
            <w:pPr>
              <w:jc w:val="center"/>
              <w:rPr>
                <w:rFonts w:ascii="Times New Roman" w:eastAsia="仿宋"/>
                <w:sz w:val="21"/>
                <w:szCs w:val="21"/>
                <w:lang w:val="zh-CN"/>
              </w:rPr>
            </w:pPr>
            <w:r>
              <w:rPr>
                <w:rFonts w:hint="eastAsia" w:ascii="Times New Roman" w:eastAsia="仿宋"/>
                <w:sz w:val="21"/>
                <w:szCs w:val="21"/>
              </w:rPr>
              <w:t>0.5</w:t>
            </w:r>
            <w:r>
              <w:rPr>
                <w:rFonts w:ascii="Times New Roman" w:eastAsia="仿宋"/>
                <w:sz w:val="21"/>
                <w:szCs w:val="21"/>
                <w:lang w:val="zh-CN"/>
              </w:rPr>
              <w:t>-</w:t>
            </w:r>
            <w:r>
              <w:rPr>
                <w:rFonts w:hint="eastAsia" w:ascii="Times New Roman" w:eastAsia="仿宋"/>
                <w:sz w:val="21"/>
                <w:szCs w:val="21"/>
              </w:rPr>
              <w:t>1.5</w:t>
            </w:r>
            <w:r>
              <w:rPr>
                <w:rFonts w:ascii="Times New Roman" w:eastAsia="仿宋"/>
                <w:sz w:val="21"/>
                <w:szCs w:val="21"/>
                <w:lang w:val="zh-CN"/>
              </w:rPr>
              <w:t>m</w:t>
            </w:r>
          </w:p>
        </w:tc>
        <w:tc>
          <w:tcPr>
            <w:tcW w:w="290" w:type="pct"/>
            <w:vAlign w:val="center"/>
          </w:tcPr>
          <w:p w14:paraId="04566AEC">
            <w:pPr>
              <w:jc w:val="center"/>
              <w:rPr>
                <w:rFonts w:ascii="Times New Roman" w:eastAsia="仿宋"/>
                <w:sz w:val="21"/>
                <w:szCs w:val="21"/>
                <w:lang w:val="zh-CN"/>
              </w:rPr>
            </w:pPr>
            <w:r>
              <w:rPr>
                <w:rFonts w:hint="eastAsia" w:ascii="Times New Roman" w:eastAsia="仿宋"/>
                <w:sz w:val="21"/>
                <w:szCs w:val="21"/>
              </w:rPr>
              <w:t>1.5</w:t>
            </w:r>
            <w:r>
              <w:rPr>
                <w:rFonts w:ascii="Times New Roman" w:eastAsia="仿宋"/>
                <w:sz w:val="21"/>
                <w:szCs w:val="21"/>
                <w:lang w:val="zh-CN"/>
              </w:rPr>
              <w:t>-3</w:t>
            </w:r>
            <w:r>
              <w:rPr>
                <w:rFonts w:hint="eastAsia" w:ascii="Times New Roman" w:eastAsia="仿宋"/>
                <w:sz w:val="21"/>
                <w:szCs w:val="21"/>
              </w:rPr>
              <w:t>.0</w:t>
            </w:r>
            <w:r>
              <w:rPr>
                <w:rFonts w:ascii="Times New Roman" w:eastAsia="仿宋"/>
                <w:sz w:val="21"/>
                <w:szCs w:val="21"/>
                <w:lang w:val="zh-CN"/>
              </w:rPr>
              <w:t>m</w:t>
            </w:r>
          </w:p>
        </w:tc>
        <w:tc>
          <w:tcPr>
            <w:tcW w:w="292" w:type="pct"/>
            <w:vAlign w:val="center"/>
          </w:tcPr>
          <w:p w14:paraId="620E8A02">
            <w:pPr>
              <w:jc w:val="center"/>
              <w:rPr>
                <w:rFonts w:ascii="Times New Roman" w:eastAsia="仿宋"/>
                <w:sz w:val="21"/>
                <w:szCs w:val="21"/>
                <w:lang w:val="zh-CN"/>
              </w:rPr>
            </w:pPr>
            <w:r>
              <w:rPr>
                <w:rFonts w:hint="eastAsia" w:ascii="Times New Roman" w:eastAsia="仿宋"/>
                <w:sz w:val="21"/>
                <w:szCs w:val="21"/>
              </w:rPr>
              <w:t>3.0</w:t>
            </w:r>
            <w:r>
              <w:rPr>
                <w:rFonts w:ascii="Times New Roman" w:eastAsia="仿宋"/>
                <w:sz w:val="21"/>
                <w:szCs w:val="21"/>
                <w:lang w:val="zh-CN"/>
              </w:rPr>
              <w:t>-6</w:t>
            </w:r>
            <w:r>
              <w:rPr>
                <w:rFonts w:hint="eastAsia" w:ascii="Times New Roman" w:eastAsia="仿宋"/>
                <w:sz w:val="21"/>
                <w:szCs w:val="21"/>
              </w:rPr>
              <w:t>.0</w:t>
            </w:r>
            <w:r>
              <w:rPr>
                <w:rFonts w:ascii="Times New Roman" w:eastAsia="仿宋"/>
                <w:sz w:val="21"/>
                <w:szCs w:val="21"/>
                <w:lang w:val="zh-CN"/>
              </w:rPr>
              <w:t>m</w:t>
            </w:r>
          </w:p>
        </w:tc>
        <w:tc>
          <w:tcPr>
            <w:tcW w:w="246" w:type="pct"/>
            <w:vAlign w:val="center"/>
          </w:tcPr>
          <w:p w14:paraId="343D0BCE">
            <w:pPr>
              <w:jc w:val="center"/>
              <w:rPr>
                <w:rFonts w:ascii="Times New Roman" w:eastAsia="仿宋"/>
                <w:sz w:val="21"/>
                <w:szCs w:val="21"/>
                <w:lang w:val="zh-CN"/>
              </w:rPr>
            </w:pPr>
            <w:r>
              <w:rPr>
                <w:rFonts w:ascii="Times New Roman" w:eastAsia="仿宋"/>
                <w:sz w:val="21"/>
                <w:szCs w:val="21"/>
                <w:lang w:val="zh-CN"/>
              </w:rPr>
              <w:t>0-0.5m</w:t>
            </w:r>
          </w:p>
        </w:tc>
        <w:tc>
          <w:tcPr>
            <w:tcW w:w="290" w:type="pct"/>
            <w:vAlign w:val="center"/>
          </w:tcPr>
          <w:p w14:paraId="7201E4ED">
            <w:pPr>
              <w:jc w:val="center"/>
              <w:rPr>
                <w:rFonts w:ascii="Times New Roman" w:eastAsia="仿宋"/>
                <w:sz w:val="21"/>
                <w:szCs w:val="21"/>
                <w:lang w:val="zh-CN"/>
              </w:rPr>
            </w:pPr>
            <w:r>
              <w:rPr>
                <w:rFonts w:hint="eastAsia" w:ascii="Times New Roman" w:eastAsia="仿宋"/>
                <w:sz w:val="21"/>
                <w:szCs w:val="21"/>
              </w:rPr>
              <w:t>0.5</w:t>
            </w:r>
            <w:r>
              <w:rPr>
                <w:rFonts w:ascii="Times New Roman" w:eastAsia="仿宋"/>
                <w:sz w:val="21"/>
                <w:szCs w:val="21"/>
                <w:lang w:val="zh-CN"/>
              </w:rPr>
              <w:t>-</w:t>
            </w:r>
            <w:r>
              <w:rPr>
                <w:rFonts w:hint="eastAsia" w:ascii="Times New Roman" w:eastAsia="仿宋"/>
                <w:sz w:val="21"/>
                <w:szCs w:val="21"/>
              </w:rPr>
              <w:t>1.5</w:t>
            </w:r>
            <w:r>
              <w:rPr>
                <w:rFonts w:ascii="Times New Roman" w:eastAsia="仿宋"/>
                <w:sz w:val="21"/>
                <w:szCs w:val="21"/>
                <w:lang w:val="zh-CN"/>
              </w:rPr>
              <w:t>m</w:t>
            </w:r>
          </w:p>
        </w:tc>
        <w:tc>
          <w:tcPr>
            <w:tcW w:w="290" w:type="pct"/>
            <w:vAlign w:val="center"/>
          </w:tcPr>
          <w:p w14:paraId="155FA9D2">
            <w:pPr>
              <w:jc w:val="center"/>
              <w:rPr>
                <w:rFonts w:ascii="Times New Roman" w:eastAsia="仿宋"/>
                <w:sz w:val="21"/>
                <w:szCs w:val="21"/>
                <w:lang w:val="zh-CN"/>
              </w:rPr>
            </w:pPr>
            <w:r>
              <w:rPr>
                <w:rFonts w:hint="eastAsia" w:ascii="Times New Roman" w:eastAsia="仿宋"/>
                <w:sz w:val="21"/>
                <w:szCs w:val="21"/>
              </w:rPr>
              <w:t>1.5</w:t>
            </w:r>
            <w:r>
              <w:rPr>
                <w:rFonts w:ascii="Times New Roman" w:eastAsia="仿宋"/>
                <w:sz w:val="21"/>
                <w:szCs w:val="21"/>
                <w:lang w:val="zh-CN"/>
              </w:rPr>
              <w:t>-3</w:t>
            </w:r>
            <w:r>
              <w:rPr>
                <w:rFonts w:hint="eastAsia" w:ascii="Times New Roman" w:eastAsia="仿宋"/>
                <w:sz w:val="21"/>
                <w:szCs w:val="21"/>
              </w:rPr>
              <w:t>.0</w:t>
            </w:r>
            <w:r>
              <w:rPr>
                <w:rFonts w:ascii="Times New Roman" w:eastAsia="仿宋"/>
                <w:sz w:val="21"/>
                <w:szCs w:val="21"/>
                <w:lang w:val="zh-CN"/>
              </w:rPr>
              <w:t>m</w:t>
            </w:r>
          </w:p>
        </w:tc>
        <w:tc>
          <w:tcPr>
            <w:tcW w:w="292" w:type="pct"/>
            <w:vAlign w:val="center"/>
          </w:tcPr>
          <w:p w14:paraId="2F1CA29A">
            <w:pPr>
              <w:jc w:val="center"/>
              <w:rPr>
                <w:rFonts w:ascii="Times New Roman" w:eastAsia="仿宋"/>
                <w:sz w:val="21"/>
                <w:szCs w:val="21"/>
                <w:lang w:val="zh-CN"/>
              </w:rPr>
            </w:pPr>
            <w:r>
              <w:rPr>
                <w:rFonts w:hint="eastAsia" w:ascii="Times New Roman" w:eastAsia="仿宋"/>
                <w:sz w:val="21"/>
                <w:szCs w:val="21"/>
              </w:rPr>
              <w:t>3.0</w:t>
            </w:r>
            <w:r>
              <w:rPr>
                <w:rFonts w:ascii="Times New Roman" w:eastAsia="仿宋"/>
                <w:sz w:val="21"/>
                <w:szCs w:val="21"/>
                <w:lang w:val="zh-CN"/>
              </w:rPr>
              <w:t>-6</w:t>
            </w:r>
            <w:r>
              <w:rPr>
                <w:rFonts w:hint="eastAsia" w:ascii="Times New Roman" w:eastAsia="仿宋"/>
                <w:sz w:val="21"/>
                <w:szCs w:val="21"/>
              </w:rPr>
              <w:t>.0</w:t>
            </w:r>
            <w:r>
              <w:rPr>
                <w:rFonts w:ascii="Times New Roman" w:eastAsia="仿宋"/>
                <w:sz w:val="21"/>
                <w:szCs w:val="21"/>
                <w:lang w:val="zh-CN"/>
              </w:rPr>
              <w:t>m</w:t>
            </w:r>
          </w:p>
        </w:tc>
        <w:tc>
          <w:tcPr>
            <w:tcW w:w="246" w:type="pct"/>
            <w:vAlign w:val="center"/>
          </w:tcPr>
          <w:p w14:paraId="00DE5B61">
            <w:pPr>
              <w:jc w:val="center"/>
              <w:rPr>
                <w:rFonts w:ascii="Times New Roman" w:eastAsia="仿宋"/>
                <w:sz w:val="21"/>
                <w:szCs w:val="21"/>
                <w:lang w:val="zh-CN"/>
              </w:rPr>
            </w:pPr>
            <w:r>
              <w:rPr>
                <w:rFonts w:ascii="Times New Roman" w:eastAsia="仿宋"/>
                <w:sz w:val="21"/>
                <w:szCs w:val="21"/>
                <w:lang w:val="zh-CN"/>
              </w:rPr>
              <w:t>0-0.5m</w:t>
            </w:r>
          </w:p>
        </w:tc>
        <w:tc>
          <w:tcPr>
            <w:tcW w:w="289" w:type="pct"/>
            <w:vAlign w:val="center"/>
          </w:tcPr>
          <w:p w14:paraId="7AF12B8A">
            <w:pPr>
              <w:jc w:val="center"/>
              <w:rPr>
                <w:rFonts w:ascii="Times New Roman" w:eastAsia="仿宋"/>
                <w:sz w:val="21"/>
                <w:szCs w:val="21"/>
                <w:lang w:val="zh-CN"/>
              </w:rPr>
            </w:pPr>
            <w:r>
              <w:rPr>
                <w:rFonts w:hint="eastAsia" w:ascii="Times New Roman" w:eastAsia="仿宋"/>
                <w:sz w:val="21"/>
                <w:szCs w:val="21"/>
              </w:rPr>
              <w:t>0.5</w:t>
            </w:r>
            <w:r>
              <w:rPr>
                <w:rFonts w:ascii="Times New Roman" w:eastAsia="仿宋"/>
                <w:sz w:val="21"/>
                <w:szCs w:val="21"/>
                <w:lang w:val="zh-CN"/>
              </w:rPr>
              <w:t>-</w:t>
            </w:r>
            <w:r>
              <w:rPr>
                <w:rFonts w:hint="eastAsia" w:ascii="Times New Roman" w:eastAsia="仿宋"/>
                <w:sz w:val="21"/>
                <w:szCs w:val="21"/>
              </w:rPr>
              <w:t>1.5</w:t>
            </w:r>
            <w:r>
              <w:rPr>
                <w:rFonts w:ascii="Times New Roman" w:eastAsia="仿宋"/>
                <w:sz w:val="21"/>
                <w:szCs w:val="21"/>
                <w:lang w:val="zh-CN"/>
              </w:rPr>
              <w:t>m</w:t>
            </w:r>
          </w:p>
        </w:tc>
        <w:tc>
          <w:tcPr>
            <w:tcW w:w="229" w:type="pct"/>
            <w:vAlign w:val="center"/>
          </w:tcPr>
          <w:p w14:paraId="1284DF24">
            <w:pPr>
              <w:jc w:val="center"/>
              <w:rPr>
                <w:rFonts w:ascii="Times New Roman" w:eastAsia="仿宋"/>
                <w:sz w:val="21"/>
                <w:szCs w:val="21"/>
                <w:lang w:val="zh-CN"/>
              </w:rPr>
            </w:pPr>
            <w:r>
              <w:rPr>
                <w:rFonts w:hint="eastAsia" w:ascii="Times New Roman" w:eastAsia="仿宋"/>
                <w:sz w:val="21"/>
                <w:szCs w:val="21"/>
              </w:rPr>
              <w:t>1.5</w:t>
            </w:r>
            <w:r>
              <w:rPr>
                <w:rFonts w:ascii="Times New Roman" w:eastAsia="仿宋"/>
                <w:sz w:val="21"/>
                <w:szCs w:val="21"/>
                <w:lang w:val="zh-CN"/>
              </w:rPr>
              <w:t>-3</w:t>
            </w:r>
            <w:r>
              <w:rPr>
                <w:rFonts w:hint="eastAsia" w:ascii="Times New Roman" w:eastAsia="仿宋"/>
                <w:sz w:val="21"/>
                <w:szCs w:val="21"/>
              </w:rPr>
              <w:t>.0</w:t>
            </w:r>
            <w:r>
              <w:rPr>
                <w:rFonts w:ascii="Times New Roman" w:eastAsia="仿宋"/>
                <w:sz w:val="21"/>
                <w:szCs w:val="21"/>
                <w:lang w:val="zh-CN"/>
              </w:rPr>
              <w:t>m</w:t>
            </w:r>
          </w:p>
        </w:tc>
        <w:tc>
          <w:tcPr>
            <w:tcW w:w="267" w:type="pct"/>
            <w:vAlign w:val="center"/>
          </w:tcPr>
          <w:p w14:paraId="21A63BA0">
            <w:pPr>
              <w:jc w:val="center"/>
              <w:rPr>
                <w:rFonts w:ascii="Times New Roman" w:eastAsia="仿宋"/>
                <w:sz w:val="21"/>
                <w:szCs w:val="21"/>
                <w:lang w:val="zh-CN"/>
              </w:rPr>
            </w:pPr>
            <w:r>
              <w:rPr>
                <w:rFonts w:hint="eastAsia" w:ascii="Times New Roman" w:eastAsia="仿宋"/>
                <w:sz w:val="21"/>
                <w:szCs w:val="21"/>
              </w:rPr>
              <w:t>3.0</w:t>
            </w:r>
            <w:r>
              <w:rPr>
                <w:rFonts w:ascii="Times New Roman" w:eastAsia="仿宋"/>
                <w:sz w:val="21"/>
                <w:szCs w:val="21"/>
                <w:lang w:val="zh-CN"/>
              </w:rPr>
              <w:t>-6</w:t>
            </w:r>
            <w:r>
              <w:rPr>
                <w:rFonts w:hint="eastAsia" w:ascii="Times New Roman" w:eastAsia="仿宋"/>
                <w:sz w:val="21"/>
                <w:szCs w:val="21"/>
              </w:rPr>
              <w:t>.0</w:t>
            </w:r>
            <w:r>
              <w:rPr>
                <w:rFonts w:ascii="Times New Roman" w:eastAsia="仿宋"/>
                <w:sz w:val="21"/>
                <w:szCs w:val="21"/>
                <w:lang w:val="zh-CN"/>
              </w:rPr>
              <w:t>m</w:t>
            </w:r>
          </w:p>
        </w:tc>
        <w:tc>
          <w:tcPr>
            <w:tcW w:w="268" w:type="pct"/>
            <w:vAlign w:val="center"/>
          </w:tcPr>
          <w:p w14:paraId="1A412706">
            <w:pPr>
              <w:jc w:val="center"/>
              <w:rPr>
                <w:rFonts w:ascii="Times New Roman" w:eastAsia="仿宋"/>
                <w:sz w:val="21"/>
                <w:szCs w:val="21"/>
                <w:lang w:val="zh-CN"/>
              </w:rPr>
            </w:pPr>
            <w:r>
              <w:rPr>
                <w:rFonts w:ascii="Times New Roman" w:eastAsia="仿宋"/>
                <w:sz w:val="21"/>
                <w:szCs w:val="21"/>
                <w:lang w:val="zh-CN"/>
              </w:rPr>
              <w:t>0-0.</w:t>
            </w:r>
            <w:r>
              <w:rPr>
                <w:rFonts w:hint="eastAsia" w:ascii="Times New Roman" w:eastAsia="仿宋"/>
                <w:sz w:val="21"/>
                <w:szCs w:val="21"/>
              </w:rPr>
              <w:t>1</w:t>
            </w:r>
            <w:r>
              <w:rPr>
                <w:rFonts w:ascii="Times New Roman" w:eastAsia="仿宋"/>
                <w:sz w:val="21"/>
                <w:szCs w:val="21"/>
                <w:lang w:val="zh-CN"/>
              </w:rPr>
              <w:t>m</w:t>
            </w:r>
          </w:p>
        </w:tc>
        <w:tc>
          <w:tcPr>
            <w:tcW w:w="245" w:type="pct"/>
            <w:vAlign w:val="center"/>
          </w:tcPr>
          <w:p w14:paraId="7D055AD3">
            <w:pPr>
              <w:jc w:val="center"/>
              <w:rPr>
                <w:rFonts w:ascii="Times New Roman" w:eastAsia="仿宋"/>
                <w:sz w:val="21"/>
                <w:szCs w:val="21"/>
                <w:lang w:val="zh-CN"/>
              </w:rPr>
            </w:pPr>
            <w:r>
              <w:rPr>
                <w:rFonts w:ascii="Times New Roman" w:eastAsia="仿宋"/>
                <w:sz w:val="21"/>
                <w:szCs w:val="21"/>
                <w:lang w:val="zh-CN"/>
              </w:rPr>
              <w:t>0-0.</w:t>
            </w:r>
            <w:r>
              <w:rPr>
                <w:rFonts w:hint="eastAsia" w:ascii="Times New Roman" w:eastAsia="仿宋"/>
                <w:sz w:val="21"/>
                <w:szCs w:val="21"/>
              </w:rPr>
              <w:t>1</w:t>
            </w:r>
            <w:r>
              <w:rPr>
                <w:rFonts w:ascii="Times New Roman" w:eastAsia="仿宋"/>
                <w:sz w:val="21"/>
                <w:szCs w:val="21"/>
                <w:lang w:val="zh-CN"/>
              </w:rPr>
              <w:t>m</w:t>
            </w:r>
          </w:p>
        </w:tc>
        <w:tc>
          <w:tcPr>
            <w:tcW w:w="245" w:type="pct"/>
            <w:vAlign w:val="center"/>
          </w:tcPr>
          <w:p w14:paraId="0AEED180">
            <w:pPr>
              <w:jc w:val="center"/>
              <w:rPr>
                <w:rFonts w:ascii="Times New Roman" w:eastAsia="仿宋"/>
                <w:sz w:val="21"/>
                <w:szCs w:val="21"/>
                <w:lang w:val="zh-CN"/>
              </w:rPr>
            </w:pPr>
            <w:r>
              <w:rPr>
                <w:rFonts w:ascii="Times New Roman" w:eastAsia="仿宋"/>
                <w:sz w:val="21"/>
                <w:szCs w:val="21"/>
                <w:lang w:val="zh-CN"/>
              </w:rPr>
              <w:t>0-0.</w:t>
            </w:r>
            <w:r>
              <w:rPr>
                <w:rFonts w:hint="eastAsia" w:ascii="Times New Roman" w:eastAsia="仿宋"/>
                <w:sz w:val="21"/>
                <w:szCs w:val="21"/>
              </w:rPr>
              <w:t>1</w:t>
            </w:r>
            <w:r>
              <w:rPr>
                <w:rFonts w:ascii="Times New Roman" w:eastAsia="仿宋"/>
                <w:sz w:val="21"/>
                <w:szCs w:val="21"/>
                <w:lang w:val="zh-CN"/>
              </w:rPr>
              <w:t>m</w:t>
            </w:r>
          </w:p>
        </w:tc>
        <w:tc>
          <w:tcPr>
            <w:tcW w:w="288" w:type="pct"/>
            <w:vMerge w:val="continue"/>
            <w:vAlign w:val="center"/>
          </w:tcPr>
          <w:p w14:paraId="0EE34B9C">
            <w:pPr>
              <w:jc w:val="center"/>
              <w:rPr>
                <w:rFonts w:ascii="Times New Roman" w:eastAsia="仿宋"/>
                <w:sz w:val="21"/>
                <w:szCs w:val="21"/>
                <w:lang w:val="zh-CN"/>
              </w:rPr>
            </w:pPr>
          </w:p>
        </w:tc>
      </w:tr>
      <w:tr w14:paraId="4339B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vAlign w:val="center"/>
          </w:tcPr>
          <w:p w14:paraId="45C35951">
            <w:pPr>
              <w:jc w:val="center"/>
              <w:rPr>
                <w:rFonts w:ascii="Times New Roman" w:eastAsia="仿宋"/>
                <w:sz w:val="21"/>
                <w:szCs w:val="21"/>
                <w:lang w:val="zh-CN"/>
              </w:rPr>
            </w:pPr>
            <w:r>
              <w:rPr>
                <w:rFonts w:ascii="Times New Roman" w:eastAsia="仿宋"/>
                <w:sz w:val="21"/>
                <w:szCs w:val="21"/>
                <w:lang w:val="zh-CN"/>
              </w:rPr>
              <w:t>pH</w:t>
            </w:r>
          </w:p>
        </w:tc>
        <w:tc>
          <w:tcPr>
            <w:tcW w:w="313" w:type="pct"/>
            <w:vAlign w:val="center"/>
          </w:tcPr>
          <w:p w14:paraId="282168C9">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BEC9F37">
            <w:pPr>
              <w:autoSpaceDE w:val="0"/>
              <w:autoSpaceDN w:val="0"/>
              <w:adjustRightInd w:val="0"/>
              <w:jc w:val="center"/>
              <w:rPr>
                <w:rFonts w:ascii="Times New Roman" w:eastAsia="仿宋"/>
                <w:sz w:val="21"/>
                <w:szCs w:val="21"/>
              </w:rPr>
            </w:pPr>
            <w:r>
              <w:rPr>
                <w:rFonts w:hint="eastAsia" w:ascii="Times New Roman" w:eastAsia="仿宋"/>
                <w:sz w:val="21"/>
                <w:szCs w:val="21"/>
              </w:rPr>
              <w:t>8.38</w:t>
            </w:r>
          </w:p>
        </w:tc>
        <w:tc>
          <w:tcPr>
            <w:tcW w:w="290" w:type="pct"/>
            <w:vAlign w:val="center"/>
          </w:tcPr>
          <w:p w14:paraId="0D48FA28">
            <w:pPr>
              <w:jc w:val="center"/>
              <w:rPr>
                <w:rFonts w:ascii="Times New Roman" w:eastAsia="仿宋"/>
                <w:sz w:val="21"/>
                <w:szCs w:val="21"/>
              </w:rPr>
            </w:pPr>
            <w:r>
              <w:rPr>
                <w:rFonts w:hint="eastAsia" w:ascii="Times New Roman" w:eastAsia="仿宋"/>
                <w:sz w:val="21"/>
                <w:szCs w:val="21"/>
              </w:rPr>
              <w:t>8.11</w:t>
            </w:r>
          </w:p>
        </w:tc>
        <w:tc>
          <w:tcPr>
            <w:tcW w:w="290" w:type="pct"/>
            <w:vAlign w:val="center"/>
          </w:tcPr>
          <w:p w14:paraId="3EAE3E71">
            <w:pPr>
              <w:jc w:val="center"/>
              <w:rPr>
                <w:rFonts w:ascii="Times New Roman" w:eastAsia="仿宋"/>
                <w:sz w:val="21"/>
                <w:szCs w:val="21"/>
              </w:rPr>
            </w:pPr>
            <w:r>
              <w:rPr>
                <w:rFonts w:hint="eastAsia" w:ascii="Times New Roman" w:eastAsia="仿宋"/>
                <w:sz w:val="21"/>
                <w:szCs w:val="21"/>
              </w:rPr>
              <w:t>8.36</w:t>
            </w:r>
          </w:p>
        </w:tc>
        <w:tc>
          <w:tcPr>
            <w:tcW w:w="292" w:type="pct"/>
            <w:vAlign w:val="center"/>
          </w:tcPr>
          <w:p w14:paraId="11268EED">
            <w:pPr>
              <w:jc w:val="center"/>
              <w:rPr>
                <w:rFonts w:ascii="Times New Roman" w:eastAsia="仿宋"/>
                <w:sz w:val="21"/>
                <w:szCs w:val="21"/>
              </w:rPr>
            </w:pPr>
            <w:r>
              <w:rPr>
                <w:rFonts w:hint="eastAsia" w:ascii="Times New Roman" w:eastAsia="仿宋"/>
                <w:sz w:val="21"/>
                <w:szCs w:val="21"/>
              </w:rPr>
              <w:t>8.38</w:t>
            </w:r>
          </w:p>
        </w:tc>
        <w:tc>
          <w:tcPr>
            <w:tcW w:w="246" w:type="pct"/>
            <w:vAlign w:val="center"/>
          </w:tcPr>
          <w:p w14:paraId="4997B8B5">
            <w:pPr>
              <w:jc w:val="center"/>
              <w:rPr>
                <w:rFonts w:ascii="Times New Roman" w:eastAsia="仿宋"/>
                <w:sz w:val="21"/>
                <w:szCs w:val="21"/>
              </w:rPr>
            </w:pPr>
            <w:r>
              <w:rPr>
                <w:rFonts w:hint="eastAsia" w:ascii="Times New Roman" w:eastAsia="仿宋"/>
                <w:sz w:val="21"/>
                <w:szCs w:val="21"/>
              </w:rPr>
              <w:t>8.35</w:t>
            </w:r>
          </w:p>
        </w:tc>
        <w:tc>
          <w:tcPr>
            <w:tcW w:w="290" w:type="pct"/>
            <w:vAlign w:val="center"/>
          </w:tcPr>
          <w:p w14:paraId="17F33B6B">
            <w:pPr>
              <w:jc w:val="center"/>
              <w:rPr>
                <w:rFonts w:ascii="Times New Roman" w:eastAsia="仿宋"/>
                <w:sz w:val="21"/>
                <w:szCs w:val="21"/>
              </w:rPr>
            </w:pPr>
            <w:r>
              <w:rPr>
                <w:rFonts w:hint="eastAsia" w:ascii="Times New Roman" w:eastAsia="仿宋"/>
                <w:sz w:val="21"/>
                <w:szCs w:val="21"/>
              </w:rPr>
              <w:t>7.65</w:t>
            </w:r>
          </w:p>
        </w:tc>
        <w:tc>
          <w:tcPr>
            <w:tcW w:w="290" w:type="pct"/>
            <w:vAlign w:val="center"/>
          </w:tcPr>
          <w:p w14:paraId="07954FFF">
            <w:pPr>
              <w:jc w:val="center"/>
              <w:rPr>
                <w:rFonts w:ascii="Times New Roman" w:eastAsia="仿宋"/>
                <w:sz w:val="21"/>
                <w:szCs w:val="21"/>
              </w:rPr>
            </w:pPr>
            <w:r>
              <w:rPr>
                <w:rFonts w:hint="eastAsia" w:ascii="Times New Roman" w:eastAsia="仿宋"/>
                <w:sz w:val="21"/>
                <w:szCs w:val="21"/>
              </w:rPr>
              <w:t>8.24</w:t>
            </w:r>
          </w:p>
        </w:tc>
        <w:tc>
          <w:tcPr>
            <w:tcW w:w="292" w:type="pct"/>
            <w:vAlign w:val="center"/>
          </w:tcPr>
          <w:p w14:paraId="0B0997EB">
            <w:pPr>
              <w:jc w:val="center"/>
              <w:rPr>
                <w:rFonts w:ascii="Times New Roman" w:eastAsia="仿宋"/>
                <w:sz w:val="21"/>
                <w:szCs w:val="21"/>
              </w:rPr>
            </w:pPr>
            <w:r>
              <w:rPr>
                <w:rFonts w:hint="eastAsia" w:ascii="Times New Roman" w:eastAsia="仿宋"/>
                <w:sz w:val="21"/>
                <w:szCs w:val="21"/>
              </w:rPr>
              <w:t>8.28</w:t>
            </w:r>
          </w:p>
        </w:tc>
        <w:tc>
          <w:tcPr>
            <w:tcW w:w="246" w:type="pct"/>
            <w:vAlign w:val="center"/>
          </w:tcPr>
          <w:p w14:paraId="0819B8D8">
            <w:pPr>
              <w:jc w:val="center"/>
              <w:rPr>
                <w:rFonts w:ascii="Times New Roman" w:eastAsia="仿宋"/>
                <w:sz w:val="21"/>
                <w:szCs w:val="21"/>
              </w:rPr>
            </w:pPr>
            <w:r>
              <w:rPr>
                <w:rFonts w:hint="eastAsia" w:ascii="Times New Roman" w:eastAsia="仿宋"/>
                <w:sz w:val="21"/>
                <w:szCs w:val="21"/>
              </w:rPr>
              <w:t>8.46</w:t>
            </w:r>
          </w:p>
        </w:tc>
        <w:tc>
          <w:tcPr>
            <w:tcW w:w="289" w:type="pct"/>
            <w:vAlign w:val="center"/>
          </w:tcPr>
          <w:p w14:paraId="520C5706">
            <w:pPr>
              <w:jc w:val="center"/>
              <w:rPr>
                <w:rFonts w:ascii="Times New Roman" w:eastAsia="仿宋"/>
                <w:sz w:val="21"/>
                <w:szCs w:val="21"/>
              </w:rPr>
            </w:pPr>
            <w:r>
              <w:rPr>
                <w:rFonts w:hint="eastAsia" w:ascii="Times New Roman" w:eastAsia="仿宋"/>
                <w:sz w:val="21"/>
                <w:szCs w:val="21"/>
              </w:rPr>
              <w:t>7.47</w:t>
            </w:r>
          </w:p>
        </w:tc>
        <w:tc>
          <w:tcPr>
            <w:tcW w:w="229" w:type="pct"/>
            <w:vAlign w:val="center"/>
          </w:tcPr>
          <w:p w14:paraId="26E670D5">
            <w:pPr>
              <w:jc w:val="center"/>
              <w:rPr>
                <w:rFonts w:ascii="Times New Roman" w:eastAsia="仿宋"/>
                <w:sz w:val="21"/>
                <w:szCs w:val="21"/>
              </w:rPr>
            </w:pPr>
            <w:r>
              <w:rPr>
                <w:rFonts w:hint="eastAsia" w:ascii="Times New Roman" w:eastAsia="仿宋"/>
                <w:sz w:val="21"/>
                <w:szCs w:val="21"/>
              </w:rPr>
              <w:t>8.17</w:t>
            </w:r>
          </w:p>
        </w:tc>
        <w:tc>
          <w:tcPr>
            <w:tcW w:w="267" w:type="pct"/>
            <w:vAlign w:val="center"/>
          </w:tcPr>
          <w:p w14:paraId="7EF384B3">
            <w:pPr>
              <w:jc w:val="center"/>
              <w:rPr>
                <w:rFonts w:ascii="Times New Roman" w:eastAsia="仿宋"/>
                <w:sz w:val="21"/>
                <w:szCs w:val="21"/>
              </w:rPr>
            </w:pPr>
            <w:r>
              <w:rPr>
                <w:rFonts w:hint="eastAsia" w:ascii="Times New Roman" w:eastAsia="仿宋"/>
                <w:sz w:val="21"/>
                <w:szCs w:val="21"/>
              </w:rPr>
              <w:t>8.28</w:t>
            </w:r>
          </w:p>
        </w:tc>
        <w:tc>
          <w:tcPr>
            <w:tcW w:w="268" w:type="pct"/>
            <w:vAlign w:val="center"/>
          </w:tcPr>
          <w:p w14:paraId="16749EF9">
            <w:pPr>
              <w:jc w:val="center"/>
              <w:rPr>
                <w:rFonts w:ascii="Times New Roman" w:eastAsia="仿宋"/>
                <w:sz w:val="21"/>
                <w:szCs w:val="21"/>
              </w:rPr>
            </w:pPr>
            <w:r>
              <w:rPr>
                <w:rFonts w:hint="eastAsia" w:ascii="Times New Roman" w:eastAsia="仿宋"/>
                <w:sz w:val="21"/>
                <w:szCs w:val="21"/>
              </w:rPr>
              <w:t>8.23</w:t>
            </w:r>
          </w:p>
        </w:tc>
        <w:tc>
          <w:tcPr>
            <w:tcW w:w="245" w:type="pct"/>
            <w:vAlign w:val="center"/>
          </w:tcPr>
          <w:p w14:paraId="4B44497D">
            <w:pPr>
              <w:jc w:val="center"/>
              <w:rPr>
                <w:rFonts w:ascii="Times New Roman" w:eastAsia="仿宋"/>
                <w:sz w:val="21"/>
                <w:szCs w:val="21"/>
              </w:rPr>
            </w:pPr>
            <w:r>
              <w:rPr>
                <w:rFonts w:hint="eastAsia" w:ascii="Times New Roman" w:eastAsia="仿宋"/>
                <w:sz w:val="21"/>
                <w:szCs w:val="21"/>
              </w:rPr>
              <w:t>8.27</w:t>
            </w:r>
          </w:p>
        </w:tc>
        <w:tc>
          <w:tcPr>
            <w:tcW w:w="245" w:type="pct"/>
            <w:shd w:val="clear" w:color="auto" w:fill="auto"/>
            <w:vAlign w:val="center"/>
          </w:tcPr>
          <w:p w14:paraId="0CCBB4E5">
            <w:pPr>
              <w:jc w:val="center"/>
              <w:rPr>
                <w:rFonts w:ascii="Times New Roman" w:eastAsia="仿宋"/>
                <w:sz w:val="21"/>
                <w:szCs w:val="21"/>
              </w:rPr>
            </w:pPr>
            <w:r>
              <w:rPr>
                <w:rFonts w:hint="eastAsia" w:ascii="Times New Roman" w:eastAsia="仿宋"/>
                <w:sz w:val="21"/>
                <w:szCs w:val="21"/>
              </w:rPr>
              <w:t>8.26</w:t>
            </w:r>
          </w:p>
        </w:tc>
        <w:tc>
          <w:tcPr>
            <w:tcW w:w="288" w:type="pct"/>
            <w:vAlign w:val="center"/>
          </w:tcPr>
          <w:p w14:paraId="79C4AC71">
            <w:pPr>
              <w:jc w:val="center"/>
              <w:rPr>
                <w:rFonts w:ascii="Times New Roman" w:eastAsia="仿宋"/>
                <w:sz w:val="21"/>
                <w:szCs w:val="21"/>
                <w:lang w:val="zh-CN"/>
              </w:rPr>
            </w:pPr>
            <w:r>
              <w:rPr>
                <w:rFonts w:ascii="Times New Roman" w:eastAsia="仿宋"/>
                <w:sz w:val="21"/>
                <w:szCs w:val="21"/>
                <w:lang w:val="zh-CN"/>
              </w:rPr>
              <w:t>/</w:t>
            </w:r>
          </w:p>
        </w:tc>
      </w:tr>
      <w:tr w14:paraId="776DB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6E8BCAA5">
            <w:pPr>
              <w:jc w:val="center"/>
              <w:rPr>
                <w:rFonts w:ascii="Times New Roman" w:eastAsia="仿宋"/>
                <w:sz w:val="21"/>
                <w:szCs w:val="21"/>
                <w:lang w:val="zh-CN"/>
              </w:rPr>
            </w:pPr>
            <w:r>
              <w:rPr>
                <w:rFonts w:ascii="Times New Roman" w:eastAsia="仿宋"/>
                <w:sz w:val="21"/>
                <w:szCs w:val="21"/>
                <w:lang w:val="zh-CN"/>
              </w:rPr>
              <w:t>总砷</w:t>
            </w:r>
          </w:p>
        </w:tc>
        <w:tc>
          <w:tcPr>
            <w:tcW w:w="313" w:type="pct"/>
            <w:shd w:val="clear" w:color="auto" w:fill="auto"/>
            <w:vAlign w:val="center"/>
          </w:tcPr>
          <w:p w14:paraId="7AB4B719">
            <w:pPr>
              <w:jc w:val="center"/>
              <w:rPr>
                <w:rFonts w:ascii="Times New Roman" w:eastAsia="仿宋"/>
                <w:sz w:val="21"/>
                <w:szCs w:val="21"/>
              </w:rPr>
            </w:pPr>
            <w:r>
              <w:rPr>
                <w:rFonts w:hint="eastAsia" w:ascii="Times New Roman" w:eastAsia="仿宋"/>
                <w:sz w:val="21"/>
                <w:szCs w:val="21"/>
              </w:rPr>
              <w:t>0.01</w:t>
            </w:r>
          </w:p>
          <w:p w14:paraId="344B85B6">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250DB7A5">
            <w:pPr>
              <w:autoSpaceDE w:val="0"/>
              <w:autoSpaceDN w:val="0"/>
              <w:adjustRightInd w:val="0"/>
              <w:jc w:val="center"/>
              <w:rPr>
                <w:rFonts w:ascii="Times New Roman" w:eastAsia="仿宋"/>
                <w:sz w:val="21"/>
                <w:szCs w:val="21"/>
              </w:rPr>
            </w:pPr>
            <w:r>
              <w:rPr>
                <w:rFonts w:hint="eastAsia" w:ascii="Times New Roman" w:eastAsia="仿宋"/>
                <w:sz w:val="21"/>
                <w:szCs w:val="21"/>
              </w:rPr>
              <w:t>5.71</w:t>
            </w:r>
          </w:p>
        </w:tc>
        <w:tc>
          <w:tcPr>
            <w:tcW w:w="290" w:type="pct"/>
            <w:vAlign w:val="center"/>
          </w:tcPr>
          <w:p w14:paraId="12B27ADE">
            <w:pPr>
              <w:jc w:val="center"/>
              <w:rPr>
                <w:rFonts w:ascii="Times New Roman" w:eastAsia="仿宋"/>
                <w:sz w:val="21"/>
                <w:szCs w:val="21"/>
              </w:rPr>
            </w:pPr>
            <w:r>
              <w:rPr>
                <w:rFonts w:hint="eastAsia" w:ascii="Times New Roman" w:eastAsia="仿宋"/>
                <w:sz w:val="21"/>
                <w:szCs w:val="21"/>
              </w:rPr>
              <w:t>6.22</w:t>
            </w:r>
          </w:p>
        </w:tc>
        <w:tc>
          <w:tcPr>
            <w:tcW w:w="290" w:type="pct"/>
            <w:vAlign w:val="center"/>
          </w:tcPr>
          <w:p w14:paraId="2EB9F5FA">
            <w:pPr>
              <w:jc w:val="center"/>
              <w:rPr>
                <w:rFonts w:ascii="Times New Roman" w:eastAsia="仿宋"/>
                <w:sz w:val="21"/>
                <w:szCs w:val="21"/>
              </w:rPr>
            </w:pPr>
            <w:r>
              <w:rPr>
                <w:rFonts w:hint="eastAsia" w:ascii="Times New Roman" w:eastAsia="仿宋"/>
                <w:sz w:val="21"/>
                <w:szCs w:val="21"/>
              </w:rPr>
              <w:t>4.03</w:t>
            </w:r>
          </w:p>
        </w:tc>
        <w:tc>
          <w:tcPr>
            <w:tcW w:w="292" w:type="pct"/>
            <w:vAlign w:val="center"/>
          </w:tcPr>
          <w:p w14:paraId="51E7F06F">
            <w:pPr>
              <w:jc w:val="center"/>
              <w:rPr>
                <w:rFonts w:ascii="Times New Roman" w:eastAsia="仿宋"/>
                <w:sz w:val="21"/>
                <w:szCs w:val="21"/>
              </w:rPr>
            </w:pPr>
            <w:r>
              <w:rPr>
                <w:rFonts w:hint="eastAsia" w:ascii="Times New Roman" w:eastAsia="仿宋"/>
                <w:sz w:val="21"/>
                <w:szCs w:val="21"/>
              </w:rPr>
              <w:t>4.4</w:t>
            </w:r>
          </w:p>
        </w:tc>
        <w:tc>
          <w:tcPr>
            <w:tcW w:w="246" w:type="pct"/>
            <w:vAlign w:val="center"/>
          </w:tcPr>
          <w:p w14:paraId="49FEF45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D08A1B0">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9FE9D65">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F52B02E">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6CEB999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75975C7">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ED162DA">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F72DA1C">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85838D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09F0DD6F">
            <w:pPr>
              <w:jc w:val="center"/>
              <w:rPr>
                <w:rFonts w:ascii="Times New Roman" w:eastAsia="仿宋"/>
                <w:sz w:val="21"/>
                <w:szCs w:val="21"/>
              </w:rPr>
            </w:pPr>
            <w:r>
              <w:rPr>
                <w:rFonts w:hint="eastAsia" w:ascii="Times New Roman" w:eastAsia="仿宋"/>
                <w:sz w:val="21"/>
                <w:szCs w:val="21"/>
              </w:rPr>
              <w:t>7.68</w:t>
            </w:r>
          </w:p>
        </w:tc>
        <w:tc>
          <w:tcPr>
            <w:tcW w:w="245" w:type="pct"/>
            <w:shd w:val="clear" w:color="auto" w:fill="auto"/>
            <w:vAlign w:val="center"/>
          </w:tcPr>
          <w:p w14:paraId="61156A5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9303AD0">
            <w:pPr>
              <w:jc w:val="center"/>
              <w:rPr>
                <w:rFonts w:ascii="Times New Roman" w:eastAsia="仿宋"/>
                <w:sz w:val="21"/>
                <w:szCs w:val="21"/>
              </w:rPr>
            </w:pPr>
            <w:r>
              <w:rPr>
                <w:rFonts w:hint="eastAsia" w:ascii="Times New Roman" w:eastAsia="仿宋"/>
                <w:sz w:val="21"/>
                <w:szCs w:val="21"/>
              </w:rPr>
              <w:t>60</w:t>
            </w:r>
          </w:p>
        </w:tc>
      </w:tr>
      <w:tr w14:paraId="61D7A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1744387">
            <w:pPr>
              <w:jc w:val="center"/>
              <w:rPr>
                <w:rFonts w:ascii="Times New Roman" w:eastAsia="仿宋"/>
                <w:sz w:val="21"/>
                <w:szCs w:val="21"/>
                <w:lang w:val="zh-CN"/>
              </w:rPr>
            </w:pPr>
            <w:r>
              <w:rPr>
                <w:rFonts w:hint="eastAsia" w:ascii="Times New Roman" w:eastAsia="仿宋"/>
                <w:sz w:val="21"/>
                <w:szCs w:val="21"/>
              </w:rPr>
              <w:t>镉</w:t>
            </w:r>
          </w:p>
        </w:tc>
        <w:tc>
          <w:tcPr>
            <w:tcW w:w="313" w:type="pct"/>
            <w:shd w:val="clear" w:color="auto" w:fill="auto"/>
            <w:vAlign w:val="center"/>
          </w:tcPr>
          <w:p w14:paraId="77FA671F">
            <w:pPr>
              <w:jc w:val="center"/>
              <w:rPr>
                <w:rFonts w:ascii="Times New Roman" w:eastAsia="仿宋"/>
                <w:sz w:val="21"/>
                <w:szCs w:val="21"/>
              </w:rPr>
            </w:pPr>
            <w:r>
              <w:rPr>
                <w:rFonts w:hint="eastAsia" w:ascii="Times New Roman" w:eastAsia="仿宋"/>
                <w:sz w:val="21"/>
                <w:szCs w:val="21"/>
              </w:rPr>
              <w:t>0.01</w:t>
            </w:r>
          </w:p>
          <w:p w14:paraId="64A55530">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75E5CC95">
            <w:pPr>
              <w:autoSpaceDE w:val="0"/>
              <w:autoSpaceDN w:val="0"/>
              <w:adjustRightInd w:val="0"/>
              <w:jc w:val="center"/>
              <w:rPr>
                <w:rFonts w:ascii="Times New Roman" w:eastAsia="仿宋"/>
                <w:sz w:val="21"/>
                <w:szCs w:val="21"/>
              </w:rPr>
            </w:pPr>
            <w:r>
              <w:rPr>
                <w:rFonts w:hint="eastAsia" w:ascii="Times New Roman" w:eastAsia="仿宋"/>
                <w:sz w:val="21"/>
                <w:szCs w:val="21"/>
              </w:rPr>
              <w:t>0.078</w:t>
            </w:r>
          </w:p>
        </w:tc>
        <w:tc>
          <w:tcPr>
            <w:tcW w:w="290" w:type="pct"/>
            <w:vAlign w:val="center"/>
          </w:tcPr>
          <w:p w14:paraId="2C149FDE">
            <w:pPr>
              <w:jc w:val="center"/>
              <w:rPr>
                <w:rFonts w:ascii="Times New Roman" w:eastAsia="仿宋"/>
                <w:sz w:val="21"/>
                <w:szCs w:val="21"/>
              </w:rPr>
            </w:pPr>
            <w:r>
              <w:rPr>
                <w:rFonts w:hint="eastAsia" w:ascii="Times New Roman" w:eastAsia="仿宋"/>
                <w:sz w:val="21"/>
                <w:szCs w:val="21"/>
              </w:rPr>
              <w:t>0.075</w:t>
            </w:r>
          </w:p>
        </w:tc>
        <w:tc>
          <w:tcPr>
            <w:tcW w:w="290" w:type="pct"/>
            <w:vAlign w:val="center"/>
          </w:tcPr>
          <w:p w14:paraId="7BA7FA53">
            <w:pPr>
              <w:jc w:val="center"/>
              <w:rPr>
                <w:rFonts w:ascii="Times New Roman" w:eastAsia="仿宋"/>
                <w:sz w:val="21"/>
                <w:szCs w:val="21"/>
              </w:rPr>
            </w:pPr>
            <w:r>
              <w:rPr>
                <w:rFonts w:hint="eastAsia" w:ascii="Times New Roman" w:eastAsia="仿宋"/>
                <w:sz w:val="21"/>
                <w:szCs w:val="21"/>
              </w:rPr>
              <w:t>0.109</w:t>
            </w:r>
          </w:p>
        </w:tc>
        <w:tc>
          <w:tcPr>
            <w:tcW w:w="292" w:type="pct"/>
            <w:vAlign w:val="center"/>
          </w:tcPr>
          <w:p w14:paraId="1EA91554">
            <w:pPr>
              <w:jc w:val="center"/>
              <w:rPr>
                <w:rFonts w:ascii="Times New Roman" w:eastAsia="仿宋"/>
                <w:sz w:val="21"/>
                <w:szCs w:val="21"/>
              </w:rPr>
            </w:pPr>
            <w:r>
              <w:rPr>
                <w:rFonts w:hint="eastAsia" w:ascii="Times New Roman" w:eastAsia="仿宋"/>
                <w:sz w:val="21"/>
                <w:szCs w:val="21"/>
              </w:rPr>
              <w:t>0.109</w:t>
            </w:r>
          </w:p>
        </w:tc>
        <w:tc>
          <w:tcPr>
            <w:tcW w:w="246" w:type="pct"/>
            <w:vAlign w:val="center"/>
          </w:tcPr>
          <w:p w14:paraId="6DA623D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50ACC15">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191D50B">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1865132D">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3ADDA16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1FF073D">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04A37632">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29285384">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8C931B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7F5BFA43">
            <w:pPr>
              <w:jc w:val="center"/>
              <w:rPr>
                <w:rFonts w:ascii="Times New Roman" w:eastAsia="仿宋"/>
                <w:sz w:val="21"/>
                <w:szCs w:val="21"/>
              </w:rPr>
            </w:pPr>
            <w:r>
              <w:rPr>
                <w:rFonts w:hint="eastAsia" w:ascii="Times New Roman" w:eastAsia="仿宋"/>
                <w:sz w:val="21"/>
                <w:szCs w:val="21"/>
              </w:rPr>
              <w:t>0.077</w:t>
            </w:r>
          </w:p>
        </w:tc>
        <w:tc>
          <w:tcPr>
            <w:tcW w:w="245" w:type="pct"/>
            <w:shd w:val="clear" w:color="auto" w:fill="auto"/>
            <w:vAlign w:val="center"/>
          </w:tcPr>
          <w:p w14:paraId="2591BC9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700EABF">
            <w:pPr>
              <w:jc w:val="center"/>
              <w:rPr>
                <w:rFonts w:ascii="Times New Roman" w:eastAsia="仿宋"/>
                <w:sz w:val="21"/>
                <w:szCs w:val="21"/>
              </w:rPr>
            </w:pPr>
            <w:r>
              <w:rPr>
                <w:rFonts w:hint="eastAsia" w:ascii="Times New Roman" w:eastAsia="仿宋"/>
                <w:sz w:val="21"/>
                <w:szCs w:val="21"/>
              </w:rPr>
              <w:t>65</w:t>
            </w:r>
          </w:p>
        </w:tc>
      </w:tr>
      <w:tr w14:paraId="27215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EF1991E">
            <w:pPr>
              <w:jc w:val="center"/>
              <w:rPr>
                <w:rFonts w:ascii="Times New Roman" w:eastAsia="仿宋"/>
                <w:sz w:val="21"/>
                <w:szCs w:val="21"/>
                <w:lang w:val="zh-CN"/>
              </w:rPr>
            </w:pPr>
            <w:r>
              <w:rPr>
                <w:rFonts w:hint="eastAsia" w:ascii="Times New Roman" w:eastAsia="仿宋"/>
                <w:sz w:val="21"/>
                <w:szCs w:val="21"/>
              </w:rPr>
              <w:t>六价铬</w:t>
            </w:r>
          </w:p>
        </w:tc>
        <w:tc>
          <w:tcPr>
            <w:tcW w:w="313" w:type="pct"/>
            <w:shd w:val="clear" w:color="auto" w:fill="auto"/>
            <w:vAlign w:val="center"/>
          </w:tcPr>
          <w:p w14:paraId="728585ED">
            <w:pPr>
              <w:jc w:val="center"/>
              <w:rPr>
                <w:rFonts w:ascii="Times New Roman" w:eastAsia="仿宋"/>
                <w:sz w:val="21"/>
                <w:szCs w:val="21"/>
              </w:rPr>
            </w:pPr>
            <w:r>
              <w:rPr>
                <w:rFonts w:hint="eastAsia" w:ascii="Times New Roman" w:eastAsia="仿宋"/>
                <w:sz w:val="21"/>
                <w:szCs w:val="21"/>
              </w:rPr>
              <w:t>0.5</w:t>
            </w:r>
          </w:p>
          <w:p w14:paraId="5AB234C1">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2672574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B745025">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B62F05F">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EF8D08A">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1DCE71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A93D72B">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1577A1E">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E505F52">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651812C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5613ACBD">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F7EA7AF">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5868E3E1">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7A2C228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7D2D836A">
            <w:pPr>
              <w:jc w:val="center"/>
              <w:rPr>
                <w:rFonts w:ascii="Times New Roman" w:eastAsia="仿宋"/>
                <w:sz w:val="21"/>
                <w:szCs w:val="21"/>
              </w:rPr>
            </w:pPr>
            <w:r>
              <w:rPr>
                <w:rFonts w:hint="eastAsia" w:ascii="Times New Roman" w:eastAsia="仿宋"/>
                <w:sz w:val="21"/>
                <w:szCs w:val="21"/>
              </w:rPr>
              <w:t>ND</w:t>
            </w:r>
          </w:p>
        </w:tc>
        <w:tc>
          <w:tcPr>
            <w:tcW w:w="245" w:type="pct"/>
            <w:shd w:val="clear" w:color="auto" w:fill="auto"/>
            <w:vAlign w:val="center"/>
          </w:tcPr>
          <w:p w14:paraId="1D99B02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703660ED">
            <w:pPr>
              <w:jc w:val="center"/>
              <w:rPr>
                <w:rFonts w:ascii="Times New Roman" w:eastAsia="仿宋"/>
                <w:sz w:val="21"/>
                <w:szCs w:val="21"/>
              </w:rPr>
            </w:pPr>
            <w:r>
              <w:rPr>
                <w:rFonts w:hint="eastAsia" w:ascii="Times New Roman" w:eastAsia="仿宋"/>
                <w:sz w:val="21"/>
                <w:szCs w:val="21"/>
              </w:rPr>
              <w:t>5.7</w:t>
            </w:r>
          </w:p>
        </w:tc>
      </w:tr>
      <w:tr w14:paraId="1A596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4174B62">
            <w:pPr>
              <w:jc w:val="center"/>
              <w:rPr>
                <w:rFonts w:ascii="Times New Roman" w:eastAsia="仿宋"/>
                <w:sz w:val="21"/>
                <w:szCs w:val="21"/>
                <w:lang w:val="zh-CN"/>
              </w:rPr>
            </w:pPr>
            <w:r>
              <w:rPr>
                <w:rFonts w:hint="eastAsia" w:ascii="Times New Roman" w:eastAsia="仿宋"/>
                <w:sz w:val="21"/>
                <w:szCs w:val="21"/>
              </w:rPr>
              <w:t>铜</w:t>
            </w:r>
          </w:p>
        </w:tc>
        <w:tc>
          <w:tcPr>
            <w:tcW w:w="313" w:type="pct"/>
            <w:shd w:val="clear" w:color="auto" w:fill="auto"/>
            <w:vAlign w:val="center"/>
          </w:tcPr>
          <w:p w14:paraId="1D07A9F8">
            <w:pPr>
              <w:jc w:val="center"/>
              <w:rPr>
                <w:rFonts w:ascii="Times New Roman" w:eastAsia="仿宋"/>
                <w:sz w:val="21"/>
                <w:szCs w:val="21"/>
              </w:rPr>
            </w:pPr>
            <w:r>
              <w:rPr>
                <w:rFonts w:hint="eastAsia" w:ascii="Times New Roman" w:eastAsia="仿宋"/>
                <w:sz w:val="21"/>
                <w:szCs w:val="21"/>
              </w:rPr>
              <w:t>1</w:t>
            </w:r>
          </w:p>
          <w:p w14:paraId="7D6B8AE9">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757C7F99">
            <w:pPr>
              <w:autoSpaceDE w:val="0"/>
              <w:autoSpaceDN w:val="0"/>
              <w:adjustRightInd w:val="0"/>
              <w:jc w:val="center"/>
              <w:rPr>
                <w:rFonts w:ascii="Times New Roman" w:eastAsia="仿宋"/>
                <w:sz w:val="21"/>
                <w:szCs w:val="21"/>
              </w:rPr>
            </w:pPr>
            <w:r>
              <w:rPr>
                <w:rFonts w:hint="eastAsia" w:ascii="Times New Roman" w:eastAsia="仿宋"/>
                <w:sz w:val="21"/>
                <w:szCs w:val="21"/>
              </w:rPr>
              <w:t>17</w:t>
            </w:r>
          </w:p>
        </w:tc>
        <w:tc>
          <w:tcPr>
            <w:tcW w:w="290" w:type="pct"/>
            <w:vAlign w:val="center"/>
          </w:tcPr>
          <w:p w14:paraId="1D2FE912">
            <w:pPr>
              <w:jc w:val="center"/>
              <w:rPr>
                <w:rFonts w:ascii="Times New Roman" w:eastAsia="仿宋"/>
                <w:sz w:val="21"/>
                <w:szCs w:val="21"/>
              </w:rPr>
            </w:pPr>
            <w:r>
              <w:rPr>
                <w:rFonts w:hint="eastAsia" w:ascii="Times New Roman" w:eastAsia="仿宋"/>
                <w:sz w:val="21"/>
                <w:szCs w:val="21"/>
              </w:rPr>
              <w:t>23</w:t>
            </w:r>
          </w:p>
        </w:tc>
        <w:tc>
          <w:tcPr>
            <w:tcW w:w="290" w:type="pct"/>
            <w:vAlign w:val="center"/>
          </w:tcPr>
          <w:p w14:paraId="4068593F">
            <w:pPr>
              <w:jc w:val="center"/>
              <w:rPr>
                <w:rFonts w:ascii="Times New Roman" w:eastAsia="仿宋"/>
                <w:sz w:val="21"/>
                <w:szCs w:val="21"/>
              </w:rPr>
            </w:pPr>
            <w:r>
              <w:rPr>
                <w:rFonts w:hint="eastAsia" w:ascii="Times New Roman" w:eastAsia="仿宋"/>
                <w:sz w:val="21"/>
                <w:szCs w:val="21"/>
              </w:rPr>
              <w:t>19</w:t>
            </w:r>
          </w:p>
        </w:tc>
        <w:tc>
          <w:tcPr>
            <w:tcW w:w="292" w:type="pct"/>
            <w:vAlign w:val="center"/>
          </w:tcPr>
          <w:p w14:paraId="5D48B11B">
            <w:pPr>
              <w:jc w:val="center"/>
              <w:rPr>
                <w:rFonts w:ascii="Times New Roman" w:eastAsia="仿宋"/>
                <w:sz w:val="21"/>
                <w:szCs w:val="21"/>
              </w:rPr>
            </w:pPr>
            <w:r>
              <w:rPr>
                <w:rFonts w:hint="eastAsia" w:ascii="Times New Roman" w:eastAsia="仿宋"/>
                <w:sz w:val="21"/>
                <w:szCs w:val="21"/>
              </w:rPr>
              <w:t>18</w:t>
            </w:r>
          </w:p>
        </w:tc>
        <w:tc>
          <w:tcPr>
            <w:tcW w:w="246" w:type="pct"/>
            <w:vAlign w:val="center"/>
          </w:tcPr>
          <w:p w14:paraId="5F858AA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0C4184B">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6E53706">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A97805F">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691C2F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4EBC9245">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9FCA2B1">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26488F5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FD0BE8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48D37BCC">
            <w:pPr>
              <w:jc w:val="center"/>
              <w:rPr>
                <w:rFonts w:ascii="Times New Roman" w:eastAsia="仿宋"/>
                <w:sz w:val="21"/>
                <w:szCs w:val="21"/>
              </w:rPr>
            </w:pPr>
            <w:r>
              <w:rPr>
                <w:rFonts w:hint="eastAsia" w:ascii="Times New Roman" w:eastAsia="仿宋"/>
                <w:sz w:val="21"/>
                <w:szCs w:val="21"/>
              </w:rPr>
              <w:t>19</w:t>
            </w:r>
          </w:p>
        </w:tc>
        <w:tc>
          <w:tcPr>
            <w:tcW w:w="245" w:type="pct"/>
            <w:shd w:val="clear" w:color="auto" w:fill="auto"/>
            <w:vAlign w:val="center"/>
          </w:tcPr>
          <w:p w14:paraId="0437919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1A8250AC">
            <w:pPr>
              <w:jc w:val="center"/>
              <w:rPr>
                <w:rFonts w:ascii="Times New Roman" w:eastAsia="仿宋"/>
                <w:sz w:val="21"/>
                <w:szCs w:val="21"/>
              </w:rPr>
            </w:pPr>
            <w:r>
              <w:rPr>
                <w:rFonts w:hint="eastAsia" w:ascii="Times New Roman" w:eastAsia="仿宋"/>
                <w:sz w:val="21"/>
                <w:szCs w:val="21"/>
              </w:rPr>
              <w:t>18000</w:t>
            </w:r>
          </w:p>
        </w:tc>
      </w:tr>
      <w:tr w14:paraId="34BB5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934C0B5">
            <w:pPr>
              <w:jc w:val="center"/>
              <w:rPr>
                <w:rFonts w:ascii="Times New Roman" w:eastAsia="仿宋"/>
                <w:sz w:val="21"/>
                <w:szCs w:val="21"/>
                <w:lang w:val="zh-CN"/>
              </w:rPr>
            </w:pPr>
            <w:r>
              <w:rPr>
                <w:rFonts w:hint="eastAsia" w:ascii="Times New Roman" w:eastAsia="仿宋"/>
                <w:sz w:val="21"/>
                <w:szCs w:val="21"/>
              </w:rPr>
              <w:t>铅</w:t>
            </w:r>
          </w:p>
        </w:tc>
        <w:tc>
          <w:tcPr>
            <w:tcW w:w="313" w:type="pct"/>
            <w:shd w:val="clear" w:color="auto" w:fill="auto"/>
            <w:vAlign w:val="center"/>
          </w:tcPr>
          <w:p w14:paraId="3B6DD47C">
            <w:pPr>
              <w:jc w:val="center"/>
              <w:rPr>
                <w:rFonts w:ascii="Times New Roman" w:eastAsia="仿宋"/>
                <w:sz w:val="21"/>
                <w:szCs w:val="21"/>
              </w:rPr>
            </w:pPr>
            <w:r>
              <w:rPr>
                <w:rFonts w:hint="eastAsia" w:ascii="Times New Roman" w:eastAsia="仿宋"/>
                <w:sz w:val="21"/>
                <w:szCs w:val="21"/>
              </w:rPr>
              <w:t>0.1</w:t>
            </w:r>
          </w:p>
          <w:p w14:paraId="46DF7163">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3B89690D">
            <w:pPr>
              <w:autoSpaceDE w:val="0"/>
              <w:autoSpaceDN w:val="0"/>
              <w:adjustRightInd w:val="0"/>
              <w:jc w:val="center"/>
              <w:rPr>
                <w:rFonts w:ascii="Times New Roman" w:eastAsia="仿宋"/>
                <w:sz w:val="21"/>
                <w:szCs w:val="21"/>
              </w:rPr>
            </w:pPr>
            <w:r>
              <w:rPr>
                <w:rFonts w:hint="eastAsia" w:ascii="Times New Roman" w:eastAsia="仿宋"/>
                <w:sz w:val="21"/>
                <w:szCs w:val="21"/>
              </w:rPr>
              <w:t>10.5</w:t>
            </w:r>
          </w:p>
        </w:tc>
        <w:tc>
          <w:tcPr>
            <w:tcW w:w="290" w:type="pct"/>
            <w:vAlign w:val="center"/>
          </w:tcPr>
          <w:p w14:paraId="499A8C64">
            <w:pPr>
              <w:jc w:val="center"/>
              <w:rPr>
                <w:rFonts w:ascii="Times New Roman" w:eastAsia="仿宋"/>
                <w:sz w:val="21"/>
                <w:szCs w:val="21"/>
              </w:rPr>
            </w:pPr>
            <w:r>
              <w:rPr>
                <w:rFonts w:hint="eastAsia" w:ascii="Times New Roman" w:eastAsia="仿宋"/>
                <w:sz w:val="21"/>
                <w:szCs w:val="21"/>
              </w:rPr>
              <w:t>15.7</w:t>
            </w:r>
          </w:p>
        </w:tc>
        <w:tc>
          <w:tcPr>
            <w:tcW w:w="290" w:type="pct"/>
            <w:vAlign w:val="center"/>
          </w:tcPr>
          <w:p w14:paraId="50412B72">
            <w:pPr>
              <w:jc w:val="center"/>
              <w:rPr>
                <w:rFonts w:ascii="Times New Roman" w:eastAsia="仿宋"/>
                <w:sz w:val="21"/>
                <w:szCs w:val="21"/>
              </w:rPr>
            </w:pPr>
            <w:r>
              <w:rPr>
                <w:rFonts w:hint="eastAsia" w:ascii="Times New Roman" w:eastAsia="仿宋"/>
                <w:sz w:val="21"/>
                <w:szCs w:val="21"/>
              </w:rPr>
              <w:t>7.67</w:t>
            </w:r>
          </w:p>
        </w:tc>
        <w:tc>
          <w:tcPr>
            <w:tcW w:w="292" w:type="pct"/>
            <w:vAlign w:val="center"/>
          </w:tcPr>
          <w:p w14:paraId="728DA337">
            <w:pPr>
              <w:jc w:val="center"/>
              <w:rPr>
                <w:rFonts w:ascii="Times New Roman" w:eastAsia="仿宋"/>
                <w:sz w:val="21"/>
                <w:szCs w:val="21"/>
              </w:rPr>
            </w:pPr>
            <w:r>
              <w:rPr>
                <w:rFonts w:hint="eastAsia" w:ascii="Times New Roman" w:eastAsia="仿宋"/>
                <w:sz w:val="21"/>
                <w:szCs w:val="21"/>
              </w:rPr>
              <w:t>6.42</w:t>
            </w:r>
          </w:p>
        </w:tc>
        <w:tc>
          <w:tcPr>
            <w:tcW w:w="246" w:type="pct"/>
            <w:vAlign w:val="center"/>
          </w:tcPr>
          <w:p w14:paraId="6741ACF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9542EDD">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5EED22A">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A28A5B0">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7D4408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6EAA7949">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6B27048B">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52DAB297">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8FA847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1D650A04">
            <w:pPr>
              <w:jc w:val="center"/>
              <w:rPr>
                <w:rFonts w:ascii="Times New Roman" w:eastAsia="仿宋"/>
                <w:sz w:val="21"/>
                <w:szCs w:val="21"/>
              </w:rPr>
            </w:pPr>
            <w:r>
              <w:rPr>
                <w:rFonts w:hint="eastAsia" w:ascii="Times New Roman" w:eastAsia="仿宋"/>
                <w:sz w:val="21"/>
                <w:szCs w:val="21"/>
              </w:rPr>
              <w:t>11.8</w:t>
            </w:r>
          </w:p>
        </w:tc>
        <w:tc>
          <w:tcPr>
            <w:tcW w:w="245" w:type="pct"/>
            <w:shd w:val="clear" w:color="auto" w:fill="auto"/>
            <w:vAlign w:val="center"/>
          </w:tcPr>
          <w:p w14:paraId="2F1F8F8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A51CC41">
            <w:pPr>
              <w:jc w:val="center"/>
              <w:rPr>
                <w:rFonts w:ascii="Times New Roman" w:eastAsia="仿宋"/>
                <w:sz w:val="21"/>
                <w:szCs w:val="21"/>
              </w:rPr>
            </w:pPr>
            <w:r>
              <w:rPr>
                <w:rFonts w:hint="eastAsia" w:ascii="Times New Roman" w:eastAsia="仿宋"/>
                <w:sz w:val="21"/>
                <w:szCs w:val="21"/>
              </w:rPr>
              <w:t>800</w:t>
            </w:r>
          </w:p>
        </w:tc>
      </w:tr>
      <w:tr w14:paraId="604DC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61B53B2C">
            <w:pPr>
              <w:jc w:val="center"/>
              <w:rPr>
                <w:rFonts w:ascii="Times New Roman" w:eastAsia="仿宋"/>
                <w:sz w:val="21"/>
                <w:szCs w:val="21"/>
                <w:lang w:val="zh-CN"/>
              </w:rPr>
            </w:pPr>
            <w:r>
              <w:rPr>
                <w:rFonts w:ascii="Times New Roman" w:eastAsia="仿宋"/>
                <w:sz w:val="21"/>
                <w:szCs w:val="21"/>
                <w:lang w:val="zh-CN"/>
              </w:rPr>
              <w:t>总汞</w:t>
            </w:r>
          </w:p>
        </w:tc>
        <w:tc>
          <w:tcPr>
            <w:tcW w:w="313" w:type="pct"/>
            <w:shd w:val="clear" w:color="auto" w:fill="auto"/>
            <w:vAlign w:val="center"/>
          </w:tcPr>
          <w:p w14:paraId="7594DF40">
            <w:pPr>
              <w:jc w:val="center"/>
              <w:rPr>
                <w:rFonts w:ascii="Times New Roman" w:eastAsia="仿宋"/>
                <w:sz w:val="21"/>
                <w:szCs w:val="21"/>
              </w:rPr>
            </w:pPr>
            <w:r>
              <w:rPr>
                <w:rFonts w:hint="eastAsia" w:ascii="Times New Roman" w:eastAsia="仿宋"/>
                <w:sz w:val="21"/>
                <w:szCs w:val="21"/>
              </w:rPr>
              <w:t>0.002mg/kg</w:t>
            </w:r>
          </w:p>
        </w:tc>
        <w:tc>
          <w:tcPr>
            <w:tcW w:w="246" w:type="pct"/>
            <w:vAlign w:val="center"/>
          </w:tcPr>
          <w:p w14:paraId="7B56C955">
            <w:pPr>
              <w:autoSpaceDE w:val="0"/>
              <w:autoSpaceDN w:val="0"/>
              <w:adjustRightInd w:val="0"/>
              <w:jc w:val="center"/>
              <w:rPr>
                <w:rFonts w:ascii="Times New Roman" w:eastAsia="仿宋"/>
                <w:sz w:val="21"/>
                <w:szCs w:val="21"/>
              </w:rPr>
            </w:pPr>
            <w:r>
              <w:rPr>
                <w:rFonts w:hint="eastAsia" w:ascii="Times New Roman" w:eastAsia="仿宋"/>
                <w:sz w:val="21"/>
                <w:szCs w:val="21"/>
              </w:rPr>
              <w:t>0.054</w:t>
            </w:r>
          </w:p>
        </w:tc>
        <w:tc>
          <w:tcPr>
            <w:tcW w:w="290" w:type="pct"/>
            <w:vAlign w:val="center"/>
          </w:tcPr>
          <w:p w14:paraId="059CCDAD">
            <w:pPr>
              <w:jc w:val="center"/>
              <w:rPr>
                <w:rFonts w:ascii="Times New Roman" w:eastAsia="仿宋"/>
                <w:sz w:val="21"/>
                <w:szCs w:val="21"/>
              </w:rPr>
            </w:pPr>
            <w:r>
              <w:rPr>
                <w:rFonts w:hint="eastAsia" w:ascii="Times New Roman" w:eastAsia="仿宋"/>
                <w:sz w:val="21"/>
                <w:szCs w:val="21"/>
              </w:rPr>
              <w:t>0.096</w:t>
            </w:r>
          </w:p>
        </w:tc>
        <w:tc>
          <w:tcPr>
            <w:tcW w:w="290" w:type="pct"/>
            <w:vAlign w:val="center"/>
          </w:tcPr>
          <w:p w14:paraId="27435687">
            <w:pPr>
              <w:jc w:val="center"/>
              <w:rPr>
                <w:rFonts w:ascii="Times New Roman" w:eastAsia="仿宋"/>
                <w:sz w:val="21"/>
                <w:szCs w:val="21"/>
              </w:rPr>
            </w:pPr>
            <w:r>
              <w:rPr>
                <w:rFonts w:hint="eastAsia" w:ascii="Times New Roman" w:eastAsia="仿宋"/>
                <w:sz w:val="21"/>
                <w:szCs w:val="21"/>
              </w:rPr>
              <w:t>0.065</w:t>
            </w:r>
          </w:p>
        </w:tc>
        <w:tc>
          <w:tcPr>
            <w:tcW w:w="292" w:type="pct"/>
            <w:vAlign w:val="center"/>
          </w:tcPr>
          <w:p w14:paraId="790C7D24">
            <w:pPr>
              <w:jc w:val="center"/>
              <w:rPr>
                <w:rFonts w:ascii="Times New Roman" w:eastAsia="仿宋"/>
                <w:sz w:val="21"/>
                <w:szCs w:val="21"/>
              </w:rPr>
            </w:pPr>
            <w:r>
              <w:rPr>
                <w:rFonts w:hint="eastAsia" w:ascii="Times New Roman" w:eastAsia="仿宋"/>
                <w:sz w:val="21"/>
                <w:szCs w:val="21"/>
              </w:rPr>
              <w:t>0.072</w:t>
            </w:r>
          </w:p>
        </w:tc>
        <w:tc>
          <w:tcPr>
            <w:tcW w:w="246" w:type="pct"/>
            <w:vAlign w:val="center"/>
          </w:tcPr>
          <w:p w14:paraId="023DFB7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EA9B527">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DC11037">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5BA0AC70">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F4F2D9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7808330">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CF1B71E">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3EAEB33">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8687B0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6877D8AF">
            <w:pPr>
              <w:jc w:val="center"/>
              <w:rPr>
                <w:rFonts w:ascii="Times New Roman" w:eastAsia="仿宋"/>
                <w:sz w:val="21"/>
                <w:szCs w:val="21"/>
              </w:rPr>
            </w:pPr>
            <w:r>
              <w:rPr>
                <w:rFonts w:hint="eastAsia" w:ascii="Times New Roman" w:eastAsia="仿宋"/>
                <w:sz w:val="21"/>
                <w:szCs w:val="21"/>
              </w:rPr>
              <w:t>0.181</w:t>
            </w:r>
          </w:p>
        </w:tc>
        <w:tc>
          <w:tcPr>
            <w:tcW w:w="245" w:type="pct"/>
            <w:shd w:val="clear" w:color="auto" w:fill="auto"/>
            <w:vAlign w:val="center"/>
          </w:tcPr>
          <w:p w14:paraId="733D0D1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57F4AC5">
            <w:pPr>
              <w:jc w:val="center"/>
              <w:rPr>
                <w:rFonts w:ascii="Times New Roman" w:eastAsia="仿宋"/>
                <w:sz w:val="21"/>
                <w:szCs w:val="21"/>
              </w:rPr>
            </w:pPr>
            <w:r>
              <w:rPr>
                <w:rFonts w:hint="eastAsia" w:ascii="Times New Roman" w:eastAsia="仿宋"/>
                <w:sz w:val="21"/>
                <w:szCs w:val="21"/>
              </w:rPr>
              <w:t>38</w:t>
            </w:r>
          </w:p>
        </w:tc>
      </w:tr>
      <w:tr w14:paraId="0B57F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1C2D538F">
            <w:pPr>
              <w:jc w:val="center"/>
              <w:rPr>
                <w:rFonts w:ascii="Times New Roman" w:eastAsia="仿宋"/>
                <w:sz w:val="21"/>
                <w:szCs w:val="21"/>
                <w:lang w:val="zh-CN"/>
              </w:rPr>
            </w:pPr>
            <w:r>
              <w:rPr>
                <w:rFonts w:ascii="Times New Roman" w:eastAsia="仿宋"/>
                <w:sz w:val="21"/>
                <w:szCs w:val="21"/>
                <w:lang w:val="zh-CN"/>
              </w:rPr>
              <w:t>镍</w:t>
            </w:r>
          </w:p>
        </w:tc>
        <w:tc>
          <w:tcPr>
            <w:tcW w:w="313" w:type="pct"/>
            <w:shd w:val="clear" w:color="auto" w:fill="auto"/>
            <w:vAlign w:val="center"/>
          </w:tcPr>
          <w:p w14:paraId="02E966DE">
            <w:pPr>
              <w:jc w:val="center"/>
              <w:rPr>
                <w:rFonts w:ascii="Times New Roman" w:eastAsia="仿宋"/>
                <w:sz w:val="21"/>
                <w:szCs w:val="21"/>
              </w:rPr>
            </w:pPr>
            <w:r>
              <w:rPr>
                <w:rFonts w:hint="eastAsia" w:ascii="Times New Roman" w:eastAsia="仿宋"/>
                <w:sz w:val="21"/>
                <w:szCs w:val="21"/>
              </w:rPr>
              <w:t>3</w:t>
            </w:r>
          </w:p>
          <w:p w14:paraId="4EE27221">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5B346588">
            <w:pPr>
              <w:autoSpaceDE w:val="0"/>
              <w:autoSpaceDN w:val="0"/>
              <w:adjustRightInd w:val="0"/>
              <w:jc w:val="center"/>
              <w:rPr>
                <w:rFonts w:ascii="Times New Roman" w:eastAsia="仿宋"/>
                <w:sz w:val="21"/>
                <w:szCs w:val="21"/>
              </w:rPr>
            </w:pPr>
            <w:r>
              <w:rPr>
                <w:rFonts w:hint="eastAsia" w:ascii="Times New Roman" w:eastAsia="仿宋"/>
                <w:sz w:val="21"/>
                <w:szCs w:val="21"/>
              </w:rPr>
              <w:t>34</w:t>
            </w:r>
          </w:p>
        </w:tc>
        <w:tc>
          <w:tcPr>
            <w:tcW w:w="290" w:type="pct"/>
            <w:vAlign w:val="center"/>
          </w:tcPr>
          <w:p w14:paraId="26967CBF">
            <w:pPr>
              <w:jc w:val="center"/>
              <w:rPr>
                <w:rFonts w:ascii="Times New Roman" w:eastAsia="仿宋"/>
                <w:sz w:val="21"/>
                <w:szCs w:val="21"/>
              </w:rPr>
            </w:pPr>
            <w:r>
              <w:rPr>
                <w:rFonts w:hint="eastAsia" w:ascii="Times New Roman" w:eastAsia="仿宋"/>
                <w:sz w:val="21"/>
                <w:szCs w:val="21"/>
              </w:rPr>
              <w:t>38</w:t>
            </w:r>
          </w:p>
        </w:tc>
        <w:tc>
          <w:tcPr>
            <w:tcW w:w="290" w:type="pct"/>
            <w:vAlign w:val="center"/>
          </w:tcPr>
          <w:p w14:paraId="6AA22511">
            <w:pPr>
              <w:jc w:val="center"/>
              <w:rPr>
                <w:rFonts w:ascii="Times New Roman" w:eastAsia="仿宋"/>
                <w:sz w:val="21"/>
                <w:szCs w:val="21"/>
              </w:rPr>
            </w:pPr>
            <w:r>
              <w:rPr>
                <w:rFonts w:hint="eastAsia" w:ascii="Times New Roman" w:eastAsia="仿宋"/>
                <w:sz w:val="21"/>
                <w:szCs w:val="21"/>
              </w:rPr>
              <w:t>34</w:t>
            </w:r>
          </w:p>
        </w:tc>
        <w:tc>
          <w:tcPr>
            <w:tcW w:w="292" w:type="pct"/>
            <w:vAlign w:val="center"/>
          </w:tcPr>
          <w:p w14:paraId="7720CCAF">
            <w:pPr>
              <w:jc w:val="center"/>
              <w:rPr>
                <w:rFonts w:ascii="Times New Roman" w:eastAsia="仿宋"/>
                <w:sz w:val="21"/>
                <w:szCs w:val="21"/>
              </w:rPr>
            </w:pPr>
            <w:r>
              <w:rPr>
                <w:rFonts w:hint="eastAsia" w:ascii="Times New Roman" w:eastAsia="仿宋"/>
                <w:sz w:val="21"/>
                <w:szCs w:val="21"/>
              </w:rPr>
              <w:t>35</w:t>
            </w:r>
          </w:p>
        </w:tc>
        <w:tc>
          <w:tcPr>
            <w:tcW w:w="246" w:type="pct"/>
            <w:vAlign w:val="center"/>
          </w:tcPr>
          <w:p w14:paraId="2C094BB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775BED1">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17EB902">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038CDA4">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5D44B1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8B72832">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91734BC">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12EBBEC">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03364A8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1FD1B8FB">
            <w:pPr>
              <w:jc w:val="center"/>
              <w:rPr>
                <w:rFonts w:ascii="Times New Roman" w:eastAsia="仿宋"/>
                <w:sz w:val="21"/>
                <w:szCs w:val="21"/>
              </w:rPr>
            </w:pPr>
            <w:r>
              <w:rPr>
                <w:rFonts w:hint="eastAsia" w:ascii="Times New Roman" w:eastAsia="仿宋"/>
                <w:sz w:val="21"/>
                <w:szCs w:val="21"/>
              </w:rPr>
              <w:t>38</w:t>
            </w:r>
          </w:p>
        </w:tc>
        <w:tc>
          <w:tcPr>
            <w:tcW w:w="245" w:type="pct"/>
            <w:shd w:val="clear" w:color="auto" w:fill="auto"/>
            <w:vAlign w:val="center"/>
          </w:tcPr>
          <w:p w14:paraId="00DC05F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8CDCFA3">
            <w:pPr>
              <w:jc w:val="center"/>
              <w:rPr>
                <w:rFonts w:ascii="Times New Roman" w:eastAsia="仿宋"/>
                <w:sz w:val="21"/>
                <w:szCs w:val="21"/>
              </w:rPr>
            </w:pPr>
            <w:r>
              <w:rPr>
                <w:rFonts w:hint="eastAsia" w:ascii="Times New Roman" w:eastAsia="仿宋"/>
                <w:sz w:val="21"/>
                <w:szCs w:val="21"/>
              </w:rPr>
              <w:t>900</w:t>
            </w:r>
          </w:p>
        </w:tc>
      </w:tr>
      <w:tr w14:paraId="6866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626E5770">
            <w:pPr>
              <w:jc w:val="center"/>
              <w:rPr>
                <w:rFonts w:ascii="Times New Roman" w:eastAsia="仿宋"/>
                <w:bCs/>
                <w:sz w:val="21"/>
                <w:szCs w:val="21"/>
                <w:lang w:val="zh-CN"/>
              </w:rPr>
            </w:pPr>
            <w:r>
              <w:rPr>
                <w:rFonts w:hint="eastAsia" w:ascii="Times New Roman" w:eastAsia="仿宋"/>
                <w:bCs/>
                <w:sz w:val="21"/>
                <w:szCs w:val="21"/>
              </w:rPr>
              <w:t>苯胺</w:t>
            </w:r>
          </w:p>
        </w:tc>
        <w:tc>
          <w:tcPr>
            <w:tcW w:w="313" w:type="pct"/>
            <w:shd w:val="clear" w:color="auto" w:fill="auto"/>
            <w:vAlign w:val="center"/>
          </w:tcPr>
          <w:p w14:paraId="3F2FE8AD">
            <w:pPr>
              <w:jc w:val="center"/>
              <w:rPr>
                <w:rFonts w:ascii="Times New Roman" w:eastAsia="仿宋"/>
                <w:bCs/>
                <w:sz w:val="21"/>
                <w:szCs w:val="21"/>
              </w:rPr>
            </w:pPr>
            <w:r>
              <w:rPr>
                <w:rFonts w:hint="eastAsia" w:ascii="Times New Roman" w:eastAsia="仿宋"/>
                <w:bCs/>
                <w:sz w:val="21"/>
                <w:szCs w:val="21"/>
              </w:rPr>
              <w:t>0.06</w:t>
            </w:r>
          </w:p>
          <w:p w14:paraId="287EDA09">
            <w:pPr>
              <w:jc w:val="center"/>
              <w:rPr>
                <w:rFonts w:ascii="Times New Roman" w:eastAsia="仿宋"/>
                <w:bCs/>
                <w:sz w:val="21"/>
                <w:szCs w:val="21"/>
              </w:rPr>
            </w:pPr>
            <w:r>
              <w:rPr>
                <w:rFonts w:hint="eastAsia" w:ascii="Times New Roman" w:eastAsia="仿宋"/>
                <w:sz w:val="21"/>
                <w:szCs w:val="21"/>
              </w:rPr>
              <w:t>mg/kg</w:t>
            </w:r>
          </w:p>
        </w:tc>
        <w:tc>
          <w:tcPr>
            <w:tcW w:w="246" w:type="pct"/>
            <w:shd w:val="clear" w:color="auto" w:fill="auto"/>
            <w:vAlign w:val="center"/>
          </w:tcPr>
          <w:p w14:paraId="64A2346B">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shd w:val="clear" w:color="auto" w:fill="auto"/>
            <w:vAlign w:val="center"/>
          </w:tcPr>
          <w:p w14:paraId="53C1B79A">
            <w:pPr>
              <w:jc w:val="center"/>
              <w:rPr>
                <w:rFonts w:ascii="Times New Roman" w:eastAsia="仿宋"/>
                <w:sz w:val="21"/>
                <w:szCs w:val="21"/>
              </w:rPr>
            </w:pPr>
            <w:r>
              <w:rPr>
                <w:rFonts w:hint="eastAsia" w:ascii="Times New Roman" w:eastAsia="仿宋"/>
                <w:sz w:val="21"/>
                <w:szCs w:val="21"/>
              </w:rPr>
              <w:t>ND</w:t>
            </w:r>
          </w:p>
        </w:tc>
        <w:tc>
          <w:tcPr>
            <w:tcW w:w="290" w:type="pct"/>
            <w:shd w:val="clear" w:color="auto" w:fill="auto"/>
            <w:vAlign w:val="center"/>
          </w:tcPr>
          <w:p w14:paraId="34B6DB8B">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84AC98C">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0D6C08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2F1B32A">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3871B3C">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1AACF886">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7E2C8B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656507E">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195ACFE">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5A1174CD">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3C47558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vAlign w:val="center"/>
          </w:tcPr>
          <w:p w14:paraId="5AD7DA3C">
            <w:pPr>
              <w:jc w:val="center"/>
              <w:rPr>
                <w:rFonts w:ascii="Times New Roman" w:eastAsia="仿宋"/>
                <w:sz w:val="21"/>
                <w:szCs w:val="21"/>
              </w:rPr>
            </w:pPr>
            <w:r>
              <w:rPr>
                <w:rFonts w:hint="eastAsia" w:ascii="Times New Roman" w:eastAsia="仿宋"/>
                <w:sz w:val="21"/>
                <w:szCs w:val="21"/>
              </w:rPr>
              <w:t>ND</w:t>
            </w:r>
          </w:p>
        </w:tc>
        <w:tc>
          <w:tcPr>
            <w:tcW w:w="245" w:type="pct"/>
            <w:shd w:val="clear" w:color="auto" w:fill="auto"/>
            <w:vAlign w:val="center"/>
          </w:tcPr>
          <w:p w14:paraId="0646389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DEBDEBF">
            <w:pPr>
              <w:jc w:val="center"/>
              <w:rPr>
                <w:rFonts w:ascii="Times New Roman" w:eastAsia="仿宋"/>
                <w:sz w:val="21"/>
                <w:szCs w:val="21"/>
              </w:rPr>
            </w:pPr>
            <w:r>
              <w:rPr>
                <w:rFonts w:hint="eastAsia" w:ascii="Times New Roman" w:eastAsia="仿宋"/>
                <w:sz w:val="21"/>
                <w:szCs w:val="21"/>
              </w:rPr>
              <w:t>260</w:t>
            </w:r>
          </w:p>
        </w:tc>
      </w:tr>
      <w:tr w14:paraId="7A8A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1A98D82F">
            <w:pPr>
              <w:jc w:val="center"/>
              <w:rPr>
                <w:rFonts w:ascii="Times New Roman" w:eastAsia="仿宋"/>
                <w:sz w:val="21"/>
                <w:szCs w:val="21"/>
                <w:lang w:val="zh-CN"/>
              </w:rPr>
            </w:pPr>
            <w:r>
              <w:rPr>
                <w:rFonts w:hint="eastAsia" w:ascii="Times New Roman" w:eastAsia="仿宋"/>
                <w:sz w:val="21"/>
                <w:szCs w:val="21"/>
              </w:rPr>
              <w:t>石油烃（C</w:t>
            </w:r>
            <w:r>
              <w:rPr>
                <w:rFonts w:hint="eastAsia" w:ascii="Times New Roman" w:eastAsia="仿宋"/>
                <w:sz w:val="21"/>
                <w:szCs w:val="21"/>
                <w:vertAlign w:val="subscript"/>
              </w:rPr>
              <w:t>10</w:t>
            </w:r>
            <w:r>
              <w:rPr>
                <w:rFonts w:hint="eastAsia" w:ascii="Times New Roman" w:eastAsia="仿宋"/>
                <w:sz w:val="21"/>
                <w:szCs w:val="21"/>
              </w:rPr>
              <w:t>-C</w:t>
            </w:r>
            <w:r>
              <w:rPr>
                <w:rFonts w:hint="eastAsia" w:ascii="Times New Roman" w:eastAsia="仿宋"/>
                <w:sz w:val="21"/>
                <w:szCs w:val="21"/>
                <w:vertAlign w:val="subscript"/>
              </w:rPr>
              <w:t>40</w:t>
            </w:r>
            <w:r>
              <w:rPr>
                <w:rFonts w:hint="eastAsia" w:ascii="Times New Roman" w:eastAsia="仿宋"/>
                <w:sz w:val="21"/>
                <w:szCs w:val="21"/>
              </w:rPr>
              <w:t>）</w:t>
            </w:r>
          </w:p>
        </w:tc>
        <w:tc>
          <w:tcPr>
            <w:tcW w:w="313" w:type="pct"/>
            <w:shd w:val="clear" w:color="auto" w:fill="auto"/>
            <w:vAlign w:val="center"/>
          </w:tcPr>
          <w:p w14:paraId="6C1AB529">
            <w:pPr>
              <w:jc w:val="center"/>
              <w:rPr>
                <w:rFonts w:ascii="Times New Roman" w:eastAsia="仿宋"/>
                <w:sz w:val="21"/>
                <w:szCs w:val="21"/>
              </w:rPr>
            </w:pPr>
            <w:r>
              <w:rPr>
                <w:rFonts w:hint="eastAsia" w:ascii="Times New Roman" w:eastAsia="仿宋"/>
                <w:sz w:val="21"/>
                <w:szCs w:val="21"/>
              </w:rPr>
              <w:t>6</w:t>
            </w:r>
          </w:p>
          <w:p w14:paraId="19B38BC7">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78B674A6">
            <w:pPr>
              <w:autoSpaceDE w:val="0"/>
              <w:autoSpaceDN w:val="0"/>
              <w:adjustRightInd w:val="0"/>
              <w:jc w:val="center"/>
              <w:rPr>
                <w:rFonts w:ascii="Times New Roman" w:eastAsia="仿宋"/>
                <w:sz w:val="21"/>
                <w:szCs w:val="21"/>
              </w:rPr>
            </w:pPr>
            <w:r>
              <w:rPr>
                <w:rFonts w:hint="eastAsia" w:ascii="Times New Roman" w:eastAsia="仿宋"/>
                <w:sz w:val="21"/>
                <w:szCs w:val="21"/>
              </w:rPr>
              <w:t>28</w:t>
            </w:r>
          </w:p>
        </w:tc>
        <w:tc>
          <w:tcPr>
            <w:tcW w:w="290" w:type="pct"/>
            <w:vAlign w:val="center"/>
          </w:tcPr>
          <w:p w14:paraId="57A2A54C">
            <w:pPr>
              <w:jc w:val="center"/>
              <w:rPr>
                <w:rFonts w:ascii="Times New Roman" w:eastAsia="仿宋"/>
                <w:sz w:val="21"/>
                <w:szCs w:val="21"/>
              </w:rPr>
            </w:pPr>
            <w:r>
              <w:rPr>
                <w:rFonts w:hint="eastAsia" w:ascii="Times New Roman" w:eastAsia="仿宋"/>
                <w:sz w:val="21"/>
                <w:szCs w:val="21"/>
              </w:rPr>
              <w:t>16</w:t>
            </w:r>
          </w:p>
        </w:tc>
        <w:tc>
          <w:tcPr>
            <w:tcW w:w="290" w:type="pct"/>
            <w:vAlign w:val="center"/>
          </w:tcPr>
          <w:p w14:paraId="174A9509">
            <w:pPr>
              <w:jc w:val="center"/>
              <w:rPr>
                <w:rFonts w:ascii="Times New Roman" w:eastAsia="仿宋"/>
                <w:sz w:val="21"/>
                <w:szCs w:val="21"/>
              </w:rPr>
            </w:pPr>
            <w:r>
              <w:rPr>
                <w:rFonts w:hint="eastAsia" w:ascii="Times New Roman" w:eastAsia="仿宋"/>
                <w:sz w:val="21"/>
                <w:szCs w:val="21"/>
              </w:rPr>
              <w:t>25</w:t>
            </w:r>
          </w:p>
        </w:tc>
        <w:tc>
          <w:tcPr>
            <w:tcW w:w="292" w:type="pct"/>
            <w:vAlign w:val="center"/>
          </w:tcPr>
          <w:p w14:paraId="5E1A47C8">
            <w:pPr>
              <w:jc w:val="center"/>
              <w:rPr>
                <w:rFonts w:ascii="Times New Roman" w:eastAsia="仿宋"/>
                <w:sz w:val="21"/>
                <w:szCs w:val="21"/>
              </w:rPr>
            </w:pPr>
            <w:r>
              <w:rPr>
                <w:rFonts w:hint="eastAsia" w:ascii="Times New Roman" w:eastAsia="仿宋"/>
                <w:sz w:val="21"/>
                <w:szCs w:val="21"/>
              </w:rPr>
              <w:t>27</w:t>
            </w:r>
          </w:p>
        </w:tc>
        <w:tc>
          <w:tcPr>
            <w:tcW w:w="246" w:type="pct"/>
            <w:vAlign w:val="center"/>
          </w:tcPr>
          <w:p w14:paraId="7B6CB0E1">
            <w:pPr>
              <w:jc w:val="center"/>
              <w:rPr>
                <w:rFonts w:ascii="Times New Roman" w:eastAsia="仿宋"/>
                <w:sz w:val="21"/>
                <w:szCs w:val="21"/>
              </w:rPr>
            </w:pPr>
            <w:r>
              <w:rPr>
                <w:rFonts w:hint="eastAsia" w:ascii="Times New Roman" w:eastAsia="仿宋"/>
                <w:sz w:val="21"/>
                <w:szCs w:val="21"/>
              </w:rPr>
              <w:t>20</w:t>
            </w:r>
          </w:p>
        </w:tc>
        <w:tc>
          <w:tcPr>
            <w:tcW w:w="290" w:type="pct"/>
            <w:vAlign w:val="center"/>
          </w:tcPr>
          <w:p w14:paraId="437D5B0D">
            <w:pPr>
              <w:jc w:val="center"/>
              <w:rPr>
                <w:rFonts w:ascii="Times New Roman" w:eastAsia="仿宋"/>
                <w:sz w:val="21"/>
                <w:szCs w:val="21"/>
              </w:rPr>
            </w:pPr>
            <w:r>
              <w:rPr>
                <w:rFonts w:hint="eastAsia" w:ascii="Times New Roman" w:eastAsia="仿宋"/>
                <w:sz w:val="21"/>
                <w:szCs w:val="21"/>
              </w:rPr>
              <w:t>55</w:t>
            </w:r>
          </w:p>
        </w:tc>
        <w:tc>
          <w:tcPr>
            <w:tcW w:w="290" w:type="pct"/>
            <w:vAlign w:val="center"/>
          </w:tcPr>
          <w:p w14:paraId="0CC11901">
            <w:pPr>
              <w:jc w:val="center"/>
              <w:rPr>
                <w:rFonts w:ascii="Times New Roman" w:eastAsia="仿宋"/>
                <w:sz w:val="21"/>
                <w:szCs w:val="21"/>
              </w:rPr>
            </w:pPr>
            <w:r>
              <w:rPr>
                <w:rFonts w:hint="eastAsia" w:ascii="Times New Roman" w:eastAsia="仿宋"/>
                <w:sz w:val="21"/>
                <w:szCs w:val="21"/>
              </w:rPr>
              <w:t>21</w:t>
            </w:r>
          </w:p>
        </w:tc>
        <w:tc>
          <w:tcPr>
            <w:tcW w:w="292" w:type="pct"/>
            <w:vAlign w:val="center"/>
          </w:tcPr>
          <w:p w14:paraId="44A10B0A">
            <w:pPr>
              <w:jc w:val="center"/>
              <w:rPr>
                <w:rFonts w:ascii="Times New Roman" w:eastAsia="仿宋"/>
                <w:sz w:val="21"/>
                <w:szCs w:val="21"/>
              </w:rPr>
            </w:pPr>
            <w:r>
              <w:rPr>
                <w:rFonts w:hint="eastAsia" w:ascii="Times New Roman" w:eastAsia="仿宋"/>
                <w:sz w:val="21"/>
                <w:szCs w:val="21"/>
              </w:rPr>
              <w:t>32</w:t>
            </w:r>
          </w:p>
        </w:tc>
        <w:tc>
          <w:tcPr>
            <w:tcW w:w="246" w:type="pct"/>
            <w:vAlign w:val="center"/>
          </w:tcPr>
          <w:p w14:paraId="7DA5EE58">
            <w:pPr>
              <w:jc w:val="center"/>
              <w:rPr>
                <w:rFonts w:ascii="Times New Roman" w:eastAsia="仿宋"/>
                <w:sz w:val="21"/>
                <w:szCs w:val="21"/>
              </w:rPr>
            </w:pPr>
            <w:r>
              <w:rPr>
                <w:rFonts w:hint="eastAsia" w:ascii="Times New Roman" w:eastAsia="仿宋"/>
                <w:sz w:val="21"/>
                <w:szCs w:val="21"/>
              </w:rPr>
              <w:t>27</w:t>
            </w:r>
          </w:p>
        </w:tc>
        <w:tc>
          <w:tcPr>
            <w:tcW w:w="289" w:type="pct"/>
            <w:vAlign w:val="center"/>
          </w:tcPr>
          <w:p w14:paraId="2783B3E0">
            <w:pPr>
              <w:jc w:val="center"/>
              <w:rPr>
                <w:rFonts w:ascii="Times New Roman" w:eastAsia="仿宋"/>
                <w:sz w:val="21"/>
                <w:szCs w:val="21"/>
              </w:rPr>
            </w:pPr>
            <w:r>
              <w:rPr>
                <w:rFonts w:hint="eastAsia" w:ascii="Times New Roman" w:eastAsia="仿宋"/>
                <w:sz w:val="21"/>
                <w:szCs w:val="21"/>
              </w:rPr>
              <w:t>40</w:t>
            </w:r>
          </w:p>
        </w:tc>
        <w:tc>
          <w:tcPr>
            <w:tcW w:w="229" w:type="pct"/>
            <w:vAlign w:val="center"/>
          </w:tcPr>
          <w:p w14:paraId="6813BAF6">
            <w:pPr>
              <w:jc w:val="center"/>
              <w:rPr>
                <w:rFonts w:ascii="Times New Roman" w:eastAsia="仿宋"/>
                <w:sz w:val="21"/>
                <w:szCs w:val="21"/>
              </w:rPr>
            </w:pPr>
            <w:r>
              <w:rPr>
                <w:rFonts w:hint="eastAsia" w:ascii="Times New Roman" w:eastAsia="仿宋"/>
                <w:sz w:val="21"/>
                <w:szCs w:val="21"/>
              </w:rPr>
              <w:t>22</w:t>
            </w:r>
          </w:p>
        </w:tc>
        <w:tc>
          <w:tcPr>
            <w:tcW w:w="267" w:type="pct"/>
            <w:vAlign w:val="center"/>
          </w:tcPr>
          <w:p w14:paraId="31A9ACDE">
            <w:pPr>
              <w:jc w:val="center"/>
              <w:rPr>
                <w:rFonts w:ascii="Times New Roman" w:eastAsia="仿宋"/>
                <w:sz w:val="21"/>
                <w:szCs w:val="21"/>
              </w:rPr>
            </w:pPr>
            <w:r>
              <w:rPr>
                <w:rFonts w:hint="eastAsia" w:ascii="Times New Roman" w:eastAsia="仿宋"/>
                <w:sz w:val="21"/>
                <w:szCs w:val="21"/>
              </w:rPr>
              <w:t>26</w:t>
            </w:r>
          </w:p>
        </w:tc>
        <w:tc>
          <w:tcPr>
            <w:tcW w:w="268" w:type="pct"/>
            <w:vAlign w:val="center"/>
          </w:tcPr>
          <w:p w14:paraId="3A437544">
            <w:pPr>
              <w:jc w:val="center"/>
              <w:rPr>
                <w:rFonts w:ascii="Times New Roman" w:eastAsia="仿宋"/>
                <w:sz w:val="21"/>
                <w:szCs w:val="21"/>
              </w:rPr>
            </w:pPr>
            <w:r>
              <w:rPr>
                <w:rFonts w:hint="eastAsia" w:ascii="Times New Roman" w:eastAsia="仿宋"/>
                <w:sz w:val="21"/>
                <w:szCs w:val="21"/>
              </w:rPr>
              <w:t>13</w:t>
            </w:r>
          </w:p>
        </w:tc>
        <w:tc>
          <w:tcPr>
            <w:tcW w:w="245" w:type="pct"/>
            <w:vAlign w:val="center"/>
          </w:tcPr>
          <w:p w14:paraId="416ECCC3">
            <w:pPr>
              <w:jc w:val="center"/>
              <w:rPr>
                <w:rFonts w:ascii="Times New Roman" w:eastAsia="仿宋"/>
                <w:sz w:val="21"/>
                <w:szCs w:val="21"/>
              </w:rPr>
            </w:pPr>
            <w:r>
              <w:rPr>
                <w:rFonts w:hint="eastAsia" w:ascii="Times New Roman" w:eastAsia="仿宋"/>
                <w:sz w:val="21"/>
                <w:szCs w:val="21"/>
              </w:rPr>
              <w:t>28</w:t>
            </w:r>
          </w:p>
        </w:tc>
        <w:tc>
          <w:tcPr>
            <w:tcW w:w="245" w:type="pct"/>
            <w:shd w:val="clear" w:color="auto" w:fill="auto"/>
            <w:vAlign w:val="center"/>
          </w:tcPr>
          <w:p w14:paraId="1097BE69">
            <w:pPr>
              <w:jc w:val="center"/>
              <w:rPr>
                <w:rFonts w:ascii="Times New Roman" w:eastAsia="仿宋"/>
                <w:sz w:val="21"/>
                <w:szCs w:val="21"/>
              </w:rPr>
            </w:pPr>
            <w:r>
              <w:rPr>
                <w:rFonts w:hint="eastAsia" w:ascii="Times New Roman" w:eastAsia="仿宋"/>
                <w:sz w:val="21"/>
                <w:szCs w:val="21"/>
              </w:rPr>
              <w:t>18</w:t>
            </w:r>
          </w:p>
        </w:tc>
        <w:tc>
          <w:tcPr>
            <w:tcW w:w="288" w:type="pct"/>
            <w:vAlign w:val="center"/>
          </w:tcPr>
          <w:p w14:paraId="5DC55566">
            <w:pPr>
              <w:jc w:val="center"/>
              <w:rPr>
                <w:rFonts w:ascii="Times New Roman" w:eastAsia="仿宋"/>
                <w:sz w:val="21"/>
                <w:szCs w:val="21"/>
              </w:rPr>
            </w:pPr>
            <w:r>
              <w:rPr>
                <w:rFonts w:hint="eastAsia" w:ascii="Times New Roman" w:eastAsia="仿宋"/>
                <w:sz w:val="21"/>
                <w:szCs w:val="21"/>
              </w:rPr>
              <w:t>4500</w:t>
            </w:r>
          </w:p>
        </w:tc>
      </w:tr>
      <w:tr w14:paraId="51205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397BAEB">
            <w:pPr>
              <w:jc w:val="center"/>
              <w:rPr>
                <w:rFonts w:ascii="Times New Roman" w:eastAsia="仿宋"/>
                <w:bCs/>
                <w:sz w:val="21"/>
                <w:szCs w:val="21"/>
                <w:lang w:val="zh-CN"/>
              </w:rPr>
            </w:pPr>
            <w:r>
              <w:rPr>
                <w:rFonts w:hint="eastAsia" w:ascii="Times New Roman" w:eastAsia="仿宋"/>
                <w:bCs/>
                <w:sz w:val="21"/>
                <w:szCs w:val="21"/>
              </w:rPr>
              <w:t>氯甲烷</w:t>
            </w:r>
          </w:p>
        </w:tc>
        <w:tc>
          <w:tcPr>
            <w:tcW w:w="313" w:type="pct"/>
            <w:shd w:val="clear" w:color="auto" w:fill="auto"/>
            <w:vAlign w:val="center"/>
          </w:tcPr>
          <w:p w14:paraId="268DCB92">
            <w:pPr>
              <w:jc w:val="center"/>
              <w:rPr>
                <w:rFonts w:ascii="Times New Roman" w:eastAsia="仿宋"/>
                <w:bCs/>
                <w:sz w:val="21"/>
                <w:szCs w:val="21"/>
              </w:rPr>
            </w:pPr>
            <w:r>
              <w:rPr>
                <w:rFonts w:hint="eastAsia" w:ascii="Times New Roman" w:eastAsia="仿宋"/>
                <w:bCs/>
                <w:sz w:val="21"/>
                <w:szCs w:val="21"/>
              </w:rPr>
              <w:t>1.0</w:t>
            </w:r>
          </w:p>
          <w:p w14:paraId="70297798">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1DD5ED6B">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D96FAFC">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76F3EE04">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7F0B5842">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3ECFFC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AFF2C62">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1036DF0">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7DA78965">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45F2FAD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57A54B27">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8BA6A19">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1B2B1B50">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09C5BF5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74D9B2BE">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C0C6D8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70AD19DB">
            <w:pPr>
              <w:jc w:val="center"/>
              <w:rPr>
                <w:rFonts w:ascii="Times New Roman" w:eastAsia="仿宋"/>
                <w:sz w:val="21"/>
                <w:szCs w:val="21"/>
              </w:rPr>
            </w:pPr>
            <w:r>
              <w:rPr>
                <w:rFonts w:hint="eastAsia" w:ascii="Times New Roman" w:eastAsia="仿宋"/>
                <w:sz w:val="21"/>
                <w:szCs w:val="21"/>
              </w:rPr>
              <w:t>37</w:t>
            </w:r>
          </w:p>
        </w:tc>
      </w:tr>
      <w:tr w14:paraId="74130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548F7F1">
            <w:pPr>
              <w:jc w:val="center"/>
              <w:rPr>
                <w:rFonts w:ascii="Times New Roman" w:eastAsia="仿宋"/>
                <w:bCs/>
                <w:sz w:val="21"/>
                <w:szCs w:val="21"/>
                <w:lang w:val="zh-CN"/>
              </w:rPr>
            </w:pPr>
            <w:r>
              <w:rPr>
                <w:rFonts w:ascii="Times New Roman" w:eastAsia="仿宋"/>
                <w:bCs/>
                <w:sz w:val="21"/>
                <w:szCs w:val="21"/>
              </w:rPr>
              <w:t>氯乙烯</w:t>
            </w:r>
          </w:p>
        </w:tc>
        <w:tc>
          <w:tcPr>
            <w:tcW w:w="313" w:type="pct"/>
            <w:shd w:val="clear" w:color="auto" w:fill="auto"/>
            <w:vAlign w:val="center"/>
          </w:tcPr>
          <w:p w14:paraId="0DCA529E">
            <w:pPr>
              <w:jc w:val="center"/>
              <w:rPr>
                <w:rFonts w:ascii="Times New Roman" w:eastAsia="仿宋"/>
                <w:bCs/>
                <w:sz w:val="21"/>
                <w:szCs w:val="21"/>
              </w:rPr>
            </w:pPr>
            <w:r>
              <w:rPr>
                <w:rFonts w:hint="eastAsia" w:ascii="Times New Roman" w:eastAsia="仿宋"/>
                <w:bCs/>
                <w:sz w:val="21"/>
                <w:szCs w:val="21"/>
              </w:rPr>
              <w:t>1.0</w:t>
            </w:r>
          </w:p>
          <w:p w14:paraId="2E695A5A">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1C87AA17">
            <w:pPr>
              <w:autoSpaceDE w:val="0"/>
              <w:autoSpaceDN w:val="0"/>
              <w:adjustRightInd w:val="0"/>
              <w:jc w:val="center"/>
              <w:rPr>
                <w:rFonts w:ascii="Times New Roman" w:eastAsia="仿宋"/>
                <w:sz w:val="21"/>
                <w:szCs w:val="21"/>
              </w:rPr>
            </w:pPr>
            <w:r>
              <w:rPr>
                <w:rFonts w:hint="eastAsia" w:ascii="Times New Roman" w:eastAsia="仿宋"/>
                <w:sz w:val="21"/>
                <w:szCs w:val="21"/>
              </w:rPr>
              <w:t>1.5</w:t>
            </w:r>
          </w:p>
        </w:tc>
        <w:tc>
          <w:tcPr>
            <w:tcW w:w="290" w:type="pct"/>
            <w:vAlign w:val="center"/>
          </w:tcPr>
          <w:p w14:paraId="47920657">
            <w:pPr>
              <w:jc w:val="center"/>
              <w:rPr>
                <w:rFonts w:ascii="Times New Roman" w:eastAsia="仿宋"/>
                <w:sz w:val="21"/>
                <w:szCs w:val="21"/>
              </w:rPr>
            </w:pPr>
            <w:r>
              <w:rPr>
                <w:rFonts w:hint="eastAsia" w:ascii="Times New Roman" w:eastAsia="仿宋"/>
                <w:sz w:val="21"/>
                <w:szCs w:val="21"/>
              </w:rPr>
              <w:t>2</w:t>
            </w:r>
          </w:p>
        </w:tc>
        <w:tc>
          <w:tcPr>
            <w:tcW w:w="290" w:type="pct"/>
            <w:vAlign w:val="center"/>
          </w:tcPr>
          <w:p w14:paraId="7823B2B8">
            <w:pPr>
              <w:jc w:val="center"/>
              <w:rPr>
                <w:rFonts w:ascii="Times New Roman" w:eastAsia="仿宋"/>
                <w:sz w:val="21"/>
                <w:szCs w:val="21"/>
              </w:rPr>
            </w:pPr>
            <w:r>
              <w:rPr>
                <w:rFonts w:hint="eastAsia" w:ascii="Times New Roman" w:eastAsia="仿宋"/>
                <w:sz w:val="21"/>
                <w:szCs w:val="21"/>
              </w:rPr>
              <w:t>1.9</w:t>
            </w:r>
          </w:p>
        </w:tc>
        <w:tc>
          <w:tcPr>
            <w:tcW w:w="292" w:type="pct"/>
            <w:vAlign w:val="center"/>
          </w:tcPr>
          <w:p w14:paraId="585B62A0">
            <w:pPr>
              <w:jc w:val="center"/>
              <w:rPr>
                <w:rFonts w:ascii="Times New Roman" w:eastAsia="仿宋"/>
                <w:sz w:val="21"/>
                <w:szCs w:val="21"/>
              </w:rPr>
            </w:pPr>
            <w:r>
              <w:rPr>
                <w:rFonts w:hint="eastAsia" w:ascii="Times New Roman" w:eastAsia="仿宋"/>
                <w:sz w:val="21"/>
                <w:szCs w:val="21"/>
              </w:rPr>
              <w:t>2.7</w:t>
            </w:r>
          </w:p>
        </w:tc>
        <w:tc>
          <w:tcPr>
            <w:tcW w:w="246" w:type="pct"/>
            <w:vAlign w:val="center"/>
          </w:tcPr>
          <w:p w14:paraId="18D7E5D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9EEED1E">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DB4940A">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88A032B">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D3BF13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0F0ADD66">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B613C17">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245F1A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8C1F96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347C55ED">
            <w:pPr>
              <w:jc w:val="center"/>
              <w:rPr>
                <w:rFonts w:ascii="Times New Roman" w:eastAsia="仿宋"/>
                <w:sz w:val="21"/>
                <w:szCs w:val="21"/>
              </w:rPr>
            </w:pPr>
            <w:r>
              <w:rPr>
                <w:rFonts w:hint="eastAsia" w:ascii="Times New Roman" w:eastAsia="仿宋"/>
                <w:sz w:val="21"/>
                <w:szCs w:val="21"/>
              </w:rPr>
              <w:t>3.1</w:t>
            </w:r>
          </w:p>
        </w:tc>
        <w:tc>
          <w:tcPr>
            <w:tcW w:w="245" w:type="pct"/>
            <w:vAlign w:val="center"/>
          </w:tcPr>
          <w:p w14:paraId="12C8D59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64F4447">
            <w:pPr>
              <w:jc w:val="center"/>
              <w:rPr>
                <w:rFonts w:ascii="Times New Roman" w:eastAsia="仿宋"/>
                <w:sz w:val="21"/>
                <w:szCs w:val="21"/>
              </w:rPr>
            </w:pPr>
            <w:r>
              <w:rPr>
                <w:rFonts w:hint="eastAsia" w:ascii="Times New Roman" w:eastAsia="仿宋"/>
                <w:sz w:val="21"/>
                <w:szCs w:val="21"/>
              </w:rPr>
              <w:t>0.43</w:t>
            </w:r>
          </w:p>
        </w:tc>
      </w:tr>
      <w:tr w14:paraId="50CEA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C5C2005">
            <w:pPr>
              <w:jc w:val="center"/>
              <w:rPr>
                <w:rFonts w:ascii="Times New Roman" w:eastAsia="仿宋"/>
                <w:bCs/>
                <w:sz w:val="21"/>
                <w:szCs w:val="21"/>
              </w:rPr>
            </w:pPr>
            <w:r>
              <w:rPr>
                <w:rFonts w:ascii="Times New Roman" w:eastAsia="仿宋"/>
                <w:bCs/>
                <w:sz w:val="21"/>
                <w:szCs w:val="21"/>
              </w:rPr>
              <w:t>1,1-二氯</w:t>
            </w:r>
            <w:r>
              <w:rPr>
                <w:rFonts w:hint="eastAsia" w:ascii="Times New Roman" w:eastAsia="仿宋"/>
                <w:bCs/>
                <w:sz w:val="21"/>
                <w:szCs w:val="21"/>
              </w:rPr>
              <w:t>乙烯</w:t>
            </w:r>
          </w:p>
        </w:tc>
        <w:tc>
          <w:tcPr>
            <w:tcW w:w="313" w:type="pct"/>
            <w:shd w:val="clear" w:color="auto" w:fill="auto"/>
            <w:vAlign w:val="center"/>
          </w:tcPr>
          <w:p w14:paraId="31113C1E">
            <w:pPr>
              <w:jc w:val="center"/>
              <w:rPr>
                <w:rFonts w:ascii="Times New Roman" w:eastAsia="仿宋"/>
                <w:bCs/>
                <w:sz w:val="21"/>
                <w:szCs w:val="21"/>
              </w:rPr>
            </w:pPr>
            <w:r>
              <w:rPr>
                <w:rFonts w:hint="eastAsia" w:ascii="Times New Roman" w:eastAsia="仿宋"/>
                <w:bCs/>
                <w:sz w:val="21"/>
                <w:szCs w:val="21"/>
              </w:rPr>
              <w:t>1.0</w:t>
            </w:r>
          </w:p>
          <w:p w14:paraId="3F1F8080">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4A3AFB5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33870FD">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FB68B16">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480BC8FA">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7041F2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709A175">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2655E2F">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F12E7CA">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ECAD0C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1EA18354">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78A651F">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00A9466">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72488E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18919A47">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5B905BA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CAF9A8E">
            <w:pPr>
              <w:jc w:val="center"/>
              <w:rPr>
                <w:rFonts w:ascii="Times New Roman" w:eastAsia="仿宋"/>
                <w:sz w:val="21"/>
                <w:szCs w:val="21"/>
              </w:rPr>
            </w:pPr>
            <w:r>
              <w:rPr>
                <w:rFonts w:hint="eastAsia" w:ascii="Times New Roman" w:eastAsia="仿宋"/>
                <w:sz w:val="21"/>
                <w:szCs w:val="21"/>
              </w:rPr>
              <w:t>66</w:t>
            </w:r>
          </w:p>
        </w:tc>
      </w:tr>
      <w:tr w14:paraId="59182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B2482C7">
            <w:pPr>
              <w:jc w:val="center"/>
              <w:rPr>
                <w:rFonts w:ascii="Times New Roman" w:eastAsia="仿宋"/>
                <w:bCs/>
                <w:sz w:val="21"/>
                <w:szCs w:val="21"/>
                <w:lang w:val="zh-CN"/>
              </w:rPr>
            </w:pPr>
            <w:r>
              <w:rPr>
                <w:rFonts w:hint="eastAsia" w:ascii="Times New Roman" w:eastAsia="仿宋"/>
                <w:bCs/>
                <w:sz w:val="21"/>
                <w:szCs w:val="21"/>
              </w:rPr>
              <w:t>二氯甲烷</w:t>
            </w:r>
          </w:p>
        </w:tc>
        <w:tc>
          <w:tcPr>
            <w:tcW w:w="313" w:type="pct"/>
            <w:shd w:val="clear" w:color="auto" w:fill="auto"/>
            <w:vAlign w:val="center"/>
          </w:tcPr>
          <w:p w14:paraId="5ECDBCD2">
            <w:pPr>
              <w:jc w:val="center"/>
              <w:rPr>
                <w:rFonts w:ascii="Times New Roman" w:eastAsia="仿宋"/>
                <w:bCs/>
                <w:sz w:val="21"/>
                <w:szCs w:val="21"/>
              </w:rPr>
            </w:pPr>
            <w:r>
              <w:rPr>
                <w:rFonts w:hint="eastAsia" w:ascii="Times New Roman" w:eastAsia="仿宋"/>
                <w:bCs/>
                <w:sz w:val="21"/>
                <w:szCs w:val="21"/>
              </w:rPr>
              <w:t>1.5</w:t>
            </w:r>
          </w:p>
          <w:p w14:paraId="746CC511">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42BEFF2D">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402E92A">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8C92ABF">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8DD7319">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36F1B53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F19BFC1">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93CDAA0">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78BCFB32">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D39D27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6F396715">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B65645E">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ABFA26A">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04F80B9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61216F3">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4F9C540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7F771764">
            <w:pPr>
              <w:jc w:val="center"/>
              <w:rPr>
                <w:rFonts w:ascii="Times New Roman" w:eastAsia="仿宋"/>
                <w:sz w:val="21"/>
                <w:szCs w:val="21"/>
              </w:rPr>
            </w:pPr>
            <w:r>
              <w:rPr>
                <w:rFonts w:hint="eastAsia" w:ascii="Times New Roman" w:eastAsia="仿宋"/>
                <w:sz w:val="21"/>
                <w:szCs w:val="21"/>
              </w:rPr>
              <w:t>616</w:t>
            </w:r>
          </w:p>
        </w:tc>
      </w:tr>
      <w:tr w14:paraId="59324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EE0C44E">
            <w:pPr>
              <w:jc w:val="center"/>
              <w:rPr>
                <w:rFonts w:ascii="Times New Roman" w:eastAsia="仿宋"/>
                <w:bCs/>
                <w:sz w:val="21"/>
                <w:szCs w:val="21"/>
              </w:rPr>
            </w:pPr>
            <w:r>
              <w:rPr>
                <w:rFonts w:ascii="Times New Roman" w:eastAsia="仿宋"/>
                <w:bCs/>
                <w:sz w:val="21"/>
                <w:szCs w:val="21"/>
              </w:rPr>
              <w:t>反-1,2-二氯乙烯</w:t>
            </w:r>
          </w:p>
        </w:tc>
        <w:tc>
          <w:tcPr>
            <w:tcW w:w="313" w:type="pct"/>
            <w:shd w:val="clear" w:color="auto" w:fill="auto"/>
            <w:vAlign w:val="center"/>
          </w:tcPr>
          <w:p w14:paraId="09C821C8">
            <w:pPr>
              <w:jc w:val="center"/>
              <w:rPr>
                <w:rFonts w:ascii="Times New Roman" w:eastAsia="仿宋"/>
                <w:bCs/>
                <w:sz w:val="21"/>
                <w:szCs w:val="21"/>
              </w:rPr>
            </w:pPr>
            <w:r>
              <w:rPr>
                <w:rFonts w:hint="eastAsia" w:ascii="Times New Roman" w:eastAsia="仿宋"/>
                <w:bCs/>
                <w:sz w:val="21"/>
                <w:szCs w:val="21"/>
              </w:rPr>
              <w:t>1.4</w:t>
            </w:r>
          </w:p>
          <w:p w14:paraId="681FB680">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624B6D8E">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65BCB99">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3996FDB">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13B3E2D">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75D727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0CD013E">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A1BC20F">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F0DF084">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452C07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0BA95962">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F9224BC">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13D1339E">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509A8A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C7C2461">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29622BC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D399537">
            <w:pPr>
              <w:jc w:val="center"/>
              <w:rPr>
                <w:rFonts w:ascii="Times New Roman" w:eastAsia="仿宋"/>
                <w:sz w:val="21"/>
                <w:szCs w:val="21"/>
              </w:rPr>
            </w:pPr>
            <w:r>
              <w:rPr>
                <w:rFonts w:hint="eastAsia" w:ascii="Times New Roman" w:eastAsia="仿宋"/>
                <w:sz w:val="21"/>
                <w:szCs w:val="21"/>
              </w:rPr>
              <w:t>54</w:t>
            </w:r>
          </w:p>
        </w:tc>
      </w:tr>
      <w:tr w14:paraId="655EF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2820024">
            <w:pPr>
              <w:jc w:val="center"/>
              <w:rPr>
                <w:rFonts w:ascii="Times New Roman" w:eastAsia="仿宋"/>
                <w:bCs/>
                <w:sz w:val="21"/>
                <w:szCs w:val="21"/>
              </w:rPr>
            </w:pPr>
            <w:r>
              <w:rPr>
                <w:rFonts w:ascii="Times New Roman" w:eastAsia="仿宋"/>
                <w:bCs/>
                <w:sz w:val="21"/>
                <w:szCs w:val="21"/>
              </w:rPr>
              <w:t>1,1-二氯</w:t>
            </w:r>
            <w:r>
              <w:rPr>
                <w:rFonts w:hint="eastAsia" w:ascii="Times New Roman" w:eastAsia="仿宋"/>
                <w:bCs/>
                <w:sz w:val="21"/>
                <w:szCs w:val="21"/>
              </w:rPr>
              <w:t>乙烷</w:t>
            </w:r>
          </w:p>
        </w:tc>
        <w:tc>
          <w:tcPr>
            <w:tcW w:w="313" w:type="pct"/>
            <w:shd w:val="clear" w:color="auto" w:fill="auto"/>
            <w:vAlign w:val="center"/>
          </w:tcPr>
          <w:p w14:paraId="349AD2CB">
            <w:pPr>
              <w:jc w:val="center"/>
              <w:rPr>
                <w:rFonts w:ascii="Times New Roman" w:eastAsia="仿宋"/>
                <w:bCs/>
                <w:sz w:val="21"/>
                <w:szCs w:val="21"/>
              </w:rPr>
            </w:pPr>
            <w:r>
              <w:rPr>
                <w:rFonts w:hint="eastAsia" w:ascii="Times New Roman" w:eastAsia="仿宋"/>
                <w:bCs/>
                <w:sz w:val="21"/>
                <w:szCs w:val="21"/>
              </w:rPr>
              <w:t>1.0</w:t>
            </w:r>
          </w:p>
          <w:p w14:paraId="1A92540F">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6FB3166D">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491A9D8">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7C081546">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7D8BA597">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77E125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1AD6C53">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89840AA">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9B15D44">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DA93AA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DBAFFFD">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8B6FA7B">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04677CF">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7D6879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3F3B685A">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7426E8B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2430197">
            <w:pPr>
              <w:jc w:val="center"/>
              <w:rPr>
                <w:rFonts w:ascii="Times New Roman" w:eastAsia="仿宋"/>
                <w:sz w:val="21"/>
                <w:szCs w:val="21"/>
              </w:rPr>
            </w:pPr>
            <w:r>
              <w:rPr>
                <w:rFonts w:hint="eastAsia" w:ascii="Times New Roman" w:eastAsia="仿宋"/>
                <w:sz w:val="21"/>
                <w:szCs w:val="21"/>
              </w:rPr>
              <w:t>9</w:t>
            </w:r>
          </w:p>
        </w:tc>
      </w:tr>
      <w:tr w14:paraId="597B9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8D73CCB">
            <w:pPr>
              <w:jc w:val="center"/>
              <w:rPr>
                <w:rFonts w:ascii="Times New Roman" w:eastAsia="仿宋"/>
                <w:bCs/>
                <w:sz w:val="21"/>
                <w:szCs w:val="21"/>
              </w:rPr>
            </w:pPr>
            <w:r>
              <w:rPr>
                <w:rFonts w:ascii="Times New Roman" w:eastAsia="仿宋"/>
                <w:bCs/>
                <w:sz w:val="21"/>
                <w:szCs w:val="21"/>
              </w:rPr>
              <w:t>顺-1,2-二氯乙烯</w:t>
            </w:r>
          </w:p>
        </w:tc>
        <w:tc>
          <w:tcPr>
            <w:tcW w:w="313" w:type="pct"/>
            <w:shd w:val="clear" w:color="auto" w:fill="auto"/>
            <w:vAlign w:val="center"/>
          </w:tcPr>
          <w:p w14:paraId="0B69D01E">
            <w:pPr>
              <w:jc w:val="center"/>
              <w:rPr>
                <w:rFonts w:ascii="Times New Roman" w:eastAsia="仿宋"/>
                <w:bCs/>
                <w:sz w:val="21"/>
                <w:szCs w:val="21"/>
              </w:rPr>
            </w:pPr>
            <w:r>
              <w:rPr>
                <w:rFonts w:hint="eastAsia" w:ascii="Times New Roman" w:eastAsia="仿宋"/>
                <w:bCs/>
                <w:sz w:val="21"/>
                <w:szCs w:val="21"/>
              </w:rPr>
              <w:t>1.3</w:t>
            </w:r>
          </w:p>
          <w:p w14:paraId="3A05A7E3">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554EAD33">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F84D33E">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C44793A">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4C3EAA67">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0F606D5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A5D572A">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280D5A0">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03CA308">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6548CC2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12F9D47C">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3682F6D6">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FB0326F">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73D30FF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4BD3E1B7">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04127F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4131374E">
            <w:pPr>
              <w:jc w:val="center"/>
              <w:rPr>
                <w:rFonts w:ascii="Times New Roman" w:eastAsia="仿宋"/>
                <w:sz w:val="21"/>
                <w:szCs w:val="21"/>
              </w:rPr>
            </w:pPr>
            <w:r>
              <w:rPr>
                <w:rFonts w:hint="eastAsia" w:ascii="Times New Roman" w:eastAsia="仿宋"/>
                <w:sz w:val="21"/>
                <w:szCs w:val="21"/>
              </w:rPr>
              <w:t>596</w:t>
            </w:r>
          </w:p>
        </w:tc>
      </w:tr>
      <w:tr w14:paraId="5CA1F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7C9BE42A">
            <w:pPr>
              <w:jc w:val="center"/>
              <w:rPr>
                <w:rFonts w:ascii="Times New Roman" w:eastAsia="仿宋"/>
                <w:bCs/>
                <w:sz w:val="21"/>
                <w:szCs w:val="21"/>
              </w:rPr>
            </w:pPr>
            <w:r>
              <w:rPr>
                <w:rFonts w:hint="eastAsia" w:ascii="Times New Roman" w:eastAsia="仿宋"/>
                <w:bCs/>
                <w:sz w:val="21"/>
                <w:szCs w:val="21"/>
              </w:rPr>
              <w:t>氯仿</w:t>
            </w:r>
          </w:p>
        </w:tc>
        <w:tc>
          <w:tcPr>
            <w:tcW w:w="313" w:type="pct"/>
            <w:shd w:val="clear" w:color="auto" w:fill="auto"/>
            <w:vAlign w:val="center"/>
          </w:tcPr>
          <w:p w14:paraId="73EDD6F9">
            <w:pPr>
              <w:jc w:val="center"/>
              <w:rPr>
                <w:rFonts w:ascii="Times New Roman" w:eastAsia="仿宋"/>
                <w:bCs/>
                <w:sz w:val="21"/>
                <w:szCs w:val="21"/>
              </w:rPr>
            </w:pPr>
            <w:r>
              <w:rPr>
                <w:rFonts w:hint="eastAsia" w:ascii="Times New Roman" w:eastAsia="仿宋"/>
                <w:bCs/>
                <w:sz w:val="21"/>
                <w:szCs w:val="21"/>
              </w:rPr>
              <w:t>1.1</w:t>
            </w:r>
          </w:p>
          <w:p w14:paraId="4B93B090">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79ED29CC">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60C7C83">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F6E863E">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6221DDD">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1C0880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38CBDE8">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3D74526">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50645171">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33502F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669AFF5A">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6AB7B0B2">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C15CCF9">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112235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383B2693">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5A149DB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4D053DB1">
            <w:pPr>
              <w:jc w:val="center"/>
              <w:rPr>
                <w:rFonts w:ascii="Times New Roman" w:eastAsia="仿宋"/>
                <w:sz w:val="21"/>
                <w:szCs w:val="21"/>
              </w:rPr>
            </w:pPr>
            <w:r>
              <w:rPr>
                <w:rFonts w:hint="eastAsia" w:ascii="Times New Roman" w:eastAsia="仿宋"/>
                <w:sz w:val="21"/>
                <w:szCs w:val="21"/>
              </w:rPr>
              <w:t>0.9</w:t>
            </w:r>
          </w:p>
        </w:tc>
      </w:tr>
      <w:tr w14:paraId="5C7D2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1F214E8">
            <w:pPr>
              <w:jc w:val="center"/>
              <w:rPr>
                <w:rFonts w:ascii="Times New Roman" w:eastAsia="仿宋"/>
                <w:bCs/>
                <w:sz w:val="21"/>
                <w:szCs w:val="21"/>
              </w:rPr>
            </w:pPr>
            <w:r>
              <w:rPr>
                <w:rFonts w:ascii="Times New Roman" w:eastAsia="仿宋"/>
                <w:bCs/>
                <w:sz w:val="21"/>
                <w:szCs w:val="21"/>
              </w:rPr>
              <w:t>1,1,1-三氯乙烷</w:t>
            </w:r>
          </w:p>
        </w:tc>
        <w:tc>
          <w:tcPr>
            <w:tcW w:w="313" w:type="pct"/>
            <w:shd w:val="clear" w:color="auto" w:fill="auto"/>
            <w:vAlign w:val="center"/>
          </w:tcPr>
          <w:p w14:paraId="035D4FF7">
            <w:pPr>
              <w:jc w:val="center"/>
              <w:rPr>
                <w:rFonts w:ascii="Times New Roman" w:eastAsia="仿宋"/>
                <w:bCs/>
                <w:sz w:val="21"/>
                <w:szCs w:val="21"/>
              </w:rPr>
            </w:pPr>
            <w:r>
              <w:rPr>
                <w:rFonts w:hint="eastAsia" w:ascii="Times New Roman" w:eastAsia="仿宋"/>
                <w:bCs/>
                <w:sz w:val="21"/>
                <w:szCs w:val="21"/>
              </w:rPr>
              <w:t>1.3</w:t>
            </w:r>
          </w:p>
          <w:p w14:paraId="6D462C1D">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008AC615">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1F47BAC">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76851BB2">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504AA16">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E49B46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462E45E">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A645AB4">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410AF40">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5A4DCD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177695DA">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2D452B2">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E61CE50">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3C9E1AB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4FE4E852">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CF529B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1FB6B807">
            <w:pPr>
              <w:jc w:val="center"/>
              <w:rPr>
                <w:rFonts w:ascii="Times New Roman" w:eastAsia="仿宋"/>
                <w:sz w:val="21"/>
                <w:szCs w:val="21"/>
              </w:rPr>
            </w:pPr>
            <w:r>
              <w:rPr>
                <w:rFonts w:hint="eastAsia" w:ascii="Times New Roman" w:eastAsia="仿宋"/>
                <w:sz w:val="21"/>
                <w:szCs w:val="21"/>
              </w:rPr>
              <w:t>840</w:t>
            </w:r>
          </w:p>
        </w:tc>
      </w:tr>
      <w:tr w14:paraId="1D615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33A4041">
            <w:pPr>
              <w:jc w:val="center"/>
              <w:rPr>
                <w:rFonts w:ascii="Times New Roman" w:eastAsia="仿宋"/>
                <w:bCs/>
                <w:sz w:val="21"/>
                <w:szCs w:val="21"/>
              </w:rPr>
            </w:pPr>
            <w:r>
              <w:rPr>
                <w:rFonts w:hint="eastAsia" w:ascii="Times New Roman" w:eastAsia="仿宋"/>
                <w:bCs/>
                <w:sz w:val="21"/>
                <w:szCs w:val="21"/>
              </w:rPr>
              <w:t>四氯化碳</w:t>
            </w:r>
          </w:p>
        </w:tc>
        <w:tc>
          <w:tcPr>
            <w:tcW w:w="313" w:type="pct"/>
            <w:shd w:val="clear" w:color="auto" w:fill="auto"/>
            <w:vAlign w:val="center"/>
          </w:tcPr>
          <w:p w14:paraId="2DC3C3FB">
            <w:pPr>
              <w:jc w:val="center"/>
              <w:rPr>
                <w:rFonts w:ascii="Times New Roman" w:eastAsia="仿宋"/>
                <w:bCs/>
                <w:sz w:val="21"/>
                <w:szCs w:val="21"/>
              </w:rPr>
            </w:pPr>
            <w:r>
              <w:rPr>
                <w:rFonts w:hint="eastAsia" w:ascii="Times New Roman" w:eastAsia="仿宋"/>
                <w:bCs/>
                <w:sz w:val="21"/>
                <w:szCs w:val="21"/>
              </w:rPr>
              <w:t>1.3</w:t>
            </w:r>
          </w:p>
          <w:p w14:paraId="1FDCFD0F">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53333429">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EFEECBD">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A6DBFF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6A7DA383">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30D77E5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C8BD364">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48087F3">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1911A51E">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C1F32E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D2A7E50">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A3B3ACB">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1D7E386">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E22A1F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77A8393C">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595BA7B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16A6EAA">
            <w:pPr>
              <w:jc w:val="center"/>
              <w:rPr>
                <w:rFonts w:ascii="Times New Roman" w:eastAsia="仿宋"/>
                <w:sz w:val="21"/>
                <w:szCs w:val="21"/>
              </w:rPr>
            </w:pPr>
            <w:r>
              <w:rPr>
                <w:rFonts w:hint="eastAsia" w:ascii="Times New Roman" w:eastAsia="仿宋"/>
                <w:sz w:val="21"/>
                <w:szCs w:val="21"/>
              </w:rPr>
              <w:t>2.8</w:t>
            </w:r>
          </w:p>
        </w:tc>
      </w:tr>
      <w:tr w14:paraId="0AA25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3580B59">
            <w:pPr>
              <w:jc w:val="center"/>
              <w:rPr>
                <w:rFonts w:ascii="Times New Roman" w:eastAsia="仿宋"/>
                <w:bCs/>
                <w:sz w:val="21"/>
                <w:szCs w:val="21"/>
              </w:rPr>
            </w:pPr>
            <w:r>
              <w:rPr>
                <w:rFonts w:hint="eastAsia" w:ascii="Times New Roman" w:eastAsia="仿宋"/>
                <w:bCs/>
                <w:sz w:val="21"/>
                <w:szCs w:val="21"/>
              </w:rPr>
              <w:t>苯</w:t>
            </w:r>
          </w:p>
        </w:tc>
        <w:tc>
          <w:tcPr>
            <w:tcW w:w="313" w:type="pct"/>
            <w:shd w:val="clear" w:color="auto" w:fill="auto"/>
            <w:vAlign w:val="center"/>
          </w:tcPr>
          <w:p w14:paraId="3034C3F8">
            <w:pPr>
              <w:jc w:val="center"/>
              <w:rPr>
                <w:rFonts w:ascii="Times New Roman" w:eastAsia="仿宋"/>
                <w:bCs/>
                <w:sz w:val="21"/>
                <w:szCs w:val="21"/>
              </w:rPr>
            </w:pPr>
            <w:r>
              <w:rPr>
                <w:rFonts w:hint="eastAsia" w:ascii="Times New Roman" w:eastAsia="仿宋"/>
                <w:bCs/>
                <w:sz w:val="21"/>
                <w:szCs w:val="21"/>
              </w:rPr>
              <w:t>1.9</w:t>
            </w:r>
          </w:p>
          <w:p w14:paraId="272013FE">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2A958EF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72A6F033">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01D570A">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09C80579">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058705D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113417D">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EF6F927">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57B2F09">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CEA971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22D6401">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378056BF">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2005C23">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7F6D158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68B1A2DE">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591B5C8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01EA122">
            <w:pPr>
              <w:jc w:val="center"/>
              <w:rPr>
                <w:rFonts w:ascii="Times New Roman" w:eastAsia="仿宋"/>
                <w:sz w:val="21"/>
                <w:szCs w:val="21"/>
              </w:rPr>
            </w:pPr>
            <w:r>
              <w:rPr>
                <w:rFonts w:hint="eastAsia" w:ascii="Times New Roman" w:eastAsia="仿宋"/>
                <w:sz w:val="21"/>
                <w:szCs w:val="21"/>
              </w:rPr>
              <w:t>4</w:t>
            </w:r>
          </w:p>
        </w:tc>
      </w:tr>
      <w:tr w14:paraId="32A69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1DFD1010">
            <w:pPr>
              <w:jc w:val="center"/>
              <w:rPr>
                <w:rFonts w:ascii="Times New Roman" w:eastAsia="仿宋"/>
                <w:bCs/>
                <w:sz w:val="21"/>
                <w:szCs w:val="21"/>
              </w:rPr>
            </w:pPr>
            <w:r>
              <w:rPr>
                <w:rFonts w:ascii="Times New Roman" w:eastAsia="仿宋"/>
                <w:bCs/>
                <w:sz w:val="21"/>
                <w:szCs w:val="21"/>
              </w:rPr>
              <w:t>1,2-二氯乙烷</w:t>
            </w:r>
          </w:p>
        </w:tc>
        <w:tc>
          <w:tcPr>
            <w:tcW w:w="313" w:type="pct"/>
            <w:shd w:val="clear" w:color="auto" w:fill="auto"/>
            <w:vAlign w:val="center"/>
          </w:tcPr>
          <w:p w14:paraId="523CB4A0">
            <w:pPr>
              <w:jc w:val="center"/>
              <w:rPr>
                <w:rFonts w:ascii="Times New Roman" w:eastAsia="仿宋"/>
                <w:bCs/>
                <w:sz w:val="21"/>
                <w:szCs w:val="21"/>
              </w:rPr>
            </w:pPr>
            <w:r>
              <w:rPr>
                <w:rFonts w:hint="eastAsia" w:ascii="Times New Roman" w:eastAsia="仿宋"/>
                <w:bCs/>
                <w:sz w:val="21"/>
                <w:szCs w:val="21"/>
              </w:rPr>
              <w:t>1.3</w:t>
            </w:r>
          </w:p>
          <w:p w14:paraId="542BAE80">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19DADAE2">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F69AD6D">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680DF7B">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63BAD6ED">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9161F4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F2B9BF3">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9BFA58E">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E123DC2">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7C05E2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C6F3EC6">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1C4AB38">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0CE2B33">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BD7A5C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295842E">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49903E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F64944B">
            <w:pPr>
              <w:jc w:val="center"/>
              <w:rPr>
                <w:rFonts w:ascii="Times New Roman" w:eastAsia="仿宋"/>
                <w:sz w:val="21"/>
                <w:szCs w:val="21"/>
              </w:rPr>
            </w:pPr>
            <w:r>
              <w:rPr>
                <w:rFonts w:hint="eastAsia" w:ascii="Times New Roman" w:eastAsia="仿宋"/>
                <w:sz w:val="21"/>
                <w:szCs w:val="21"/>
              </w:rPr>
              <w:t>5</w:t>
            </w:r>
          </w:p>
        </w:tc>
      </w:tr>
      <w:tr w14:paraId="59E35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47981D0">
            <w:pPr>
              <w:jc w:val="center"/>
              <w:rPr>
                <w:rFonts w:ascii="Times New Roman" w:eastAsia="仿宋"/>
                <w:bCs/>
                <w:sz w:val="21"/>
                <w:szCs w:val="21"/>
              </w:rPr>
            </w:pPr>
            <w:r>
              <w:rPr>
                <w:rFonts w:hint="eastAsia" w:ascii="Times New Roman" w:eastAsia="仿宋"/>
                <w:bCs/>
                <w:sz w:val="21"/>
                <w:szCs w:val="21"/>
              </w:rPr>
              <w:t>三氯乙烯</w:t>
            </w:r>
          </w:p>
        </w:tc>
        <w:tc>
          <w:tcPr>
            <w:tcW w:w="313" w:type="pct"/>
            <w:shd w:val="clear" w:color="auto" w:fill="auto"/>
            <w:vAlign w:val="center"/>
          </w:tcPr>
          <w:p w14:paraId="51A3C754">
            <w:pPr>
              <w:jc w:val="center"/>
              <w:rPr>
                <w:rFonts w:ascii="Times New Roman" w:eastAsia="仿宋"/>
                <w:bCs/>
                <w:sz w:val="21"/>
                <w:szCs w:val="21"/>
              </w:rPr>
            </w:pPr>
            <w:r>
              <w:rPr>
                <w:rFonts w:hint="eastAsia" w:ascii="Times New Roman" w:eastAsia="仿宋"/>
                <w:bCs/>
                <w:sz w:val="21"/>
                <w:szCs w:val="21"/>
              </w:rPr>
              <w:t>1.2</w:t>
            </w:r>
          </w:p>
          <w:p w14:paraId="63829DE2">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63B29B48">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80B5E58">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7E3FD10">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443A1EE">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357F340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DC55569">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C9A3A71">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B4C8D80">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ED95DC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1A09C658">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6A8D7D5E">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971B70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7730E6B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F0BD1D7">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3436257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2277C6D">
            <w:pPr>
              <w:jc w:val="center"/>
              <w:rPr>
                <w:rFonts w:ascii="Times New Roman" w:eastAsia="仿宋"/>
                <w:sz w:val="21"/>
                <w:szCs w:val="21"/>
              </w:rPr>
            </w:pPr>
            <w:r>
              <w:rPr>
                <w:rFonts w:hint="eastAsia" w:ascii="Times New Roman" w:eastAsia="仿宋"/>
                <w:sz w:val="21"/>
                <w:szCs w:val="21"/>
              </w:rPr>
              <w:t>2.8</w:t>
            </w:r>
          </w:p>
        </w:tc>
      </w:tr>
      <w:tr w14:paraId="24B48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B33BE59">
            <w:pPr>
              <w:jc w:val="center"/>
              <w:rPr>
                <w:rFonts w:ascii="Times New Roman" w:eastAsia="仿宋"/>
                <w:bCs/>
                <w:sz w:val="21"/>
                <w:szCs w:val="21"/>
                <w:lang w:val="zh-CN"/>
              </w:rPr>
            </w:pPr>
            <w:r>
              <w:rPr>
                <w:rFonts w:hint="eastAsia" w:ascii="Times New Roman" w:eastAsia="仿宋"/>
                <w:bCs/>
                <w:sz w:val="21"/>
                <w:szCs w:val="21"/>
              </w:rPr>
              <w:t>1,2-二氯丙烷</w:t>
            </w:r>
          </w:p>
        </w:tc>
        <w:tc>
          <w:tcPr>
            <w:tcW w:w="313" w:type="pct"/>
            <w:shd w:val="clear" w:color="auto" w:fill="auto"/>
            <w:vAlign w:val="center"/>
          </w:tcPr>
          <w:p w14:paraId="649811A2">
            <w:pPr>
              <w:jc w:val="center"/>
              <w:rPr>
                <w:rFonts w:ascii="Times New Roman" w:eastAsia="仿宋"/>
                <w:bCs/>
                <w:sz w:val="21"/>
                <w:szCs w:val="21"/>
              </w:rPr>
            </w:pPr>
            <w:r>
              <w:rPr>
                <w:rFonts w:hint="eastAsia" w:ascii="Times New Roman" w:eastAsia="仿宋"/>
                <w:bCs/>
                <w:sz w:val="21"/>
                <w:szCs w:val="21"/>
              </w:rPr>
              <w:t>1.1</w:t>
            </w:r>
          </w:p>
          <w:p w14:paraId="28ACD0E2">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4C44FAAD">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ABC78FB">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EA637B8">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60A59F56">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28838A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97E8DBD">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A2A6F5D">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2CEC179">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F1450F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97539D0">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0A24D4E5">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CF957F7">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D6E366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A4C8BE2">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F9BDFA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95D8351">
            <w:pPr>
              <w:jc w:val="center"/>
              <w:rPr>
                <w:rFonts w:ascii="Times New Roman" w:eastAsia="仿宋"/>
                <w:sz w:val="21"/>
                <w:szCs w:val="21"/>
              </w:rPr>
            </w:pPr>
            <w:r>
              <w:rPr>
                <w:rFonts w:hint="eastAsia" w:ascii="Times New Roman" w:eastAsia="仿宋"/>
                <w:sz w:val="21"/>
                <w:szCs w:val="21"/>
              </w:rPr>
              <w:t>5</w:t>
            </w:r>
          </w:p>
        </w:tc>
      </w:tr>
      <w:tr w14:paraId="01204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1944F5F4">
            <w:pPr>
              <w:jc w:val="center"/>
              <w:rPr>
                <w:rFonts w:ascii="Times New Roman" w:eastAsia="仿宋"/>
                <w:bCs/>
                <w:sz w:val="21"/>
                <w:szCs w:val="21"/>
                <w:lang w:val="zh-CN"/>
              </w:rPr>
            </w:pPr>
            <w:r>
              <w:rPr>
                <w:rFonts w:hint="eastAsia" w:ascii="Times New Roman" w:eastAsia="仿宋"/>
                <w:bCs/>
                <w:sz w:val="21"/>
                <w:szCs w:val="21"/>
              </w:rPr>
              <w:t>甲苯</w:t>
            </w:r>
          </w:p>
        </w:tc>
        <w:tc>
          <w:tcPr>
            <w:tcW w:w="313" w:type="pct"/>
            <w:shd w:val="clear" w:color="auto" w:fill="auto"/>
            <w:vAlign w:val="center"/>
          </w:tcPr>
          <w:p w14:paraId="354933A7">
            <w:pPr>
              <w:jc w:val="center"/>
              <w:rPr>
                <w:rFonts w:ascii="Times New Roman" w:eastAsia="仿宋"/>
                <w:bCs/>
                <w:sz w:val="21"/>
                <w:szCs w:val="21"/>
              </w:rPr>
            </w:pPr>
            <w:r>
              <w:rPr>
                <w:rFonts w:hint="eastAsia" w:ascii="Times New Roman" w:eastAsia="仿宋"/>
                <w:bCs/>
                <w:sz w:val="21"/>
                <w:szCs w:val="21"/>
              </w:rPr>
              <w:t>1.3</w:t>
            </w:r>
          </w:p>
          <w:p w14:paraId="38EA7C72">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6029509D">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CCBCEA4">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0488663">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A3293D0">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0FDB41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F1856EF">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8AE7FAC">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B0B37EC">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C3DDCA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406A71D1">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2A0AE20">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7FCC6FA">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9A7DE0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4B34D7CE">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69556A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084B54B">
            <w:pPr>
              <w:jc w:val="center"/>
              <w:rPr>
                <w:rFonts w:ascii="Times New Roman" w:eastAsia="仿宋"/>
                <w:sz w:val="21"/>
                <w:szCs w:val="21"/>
              </w:rPr>
            </w:pPr>
            <w:r>
              <w:rPr>
                <w:rFonts w:hint="eastAsia" w:ascii="Times New Roman" w:eastAsia="仿宋"/>
                <w:sz w:val="21"/>
                <w:szCs w:val="21"/>
              </w:rPr>
              <w:t>1200</w:t>
            </w:r>
          </w:p>
        </w:tc>
      </w:tr>
      <w:tr w14:paraId="466DC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858D9AB">
            <w:pPr>
              <w:jc w:val="center"/>
              <w:rPr>
                <w:rFonts w:ascii="Times New Roman" w:eastAsia="仿宋"/>
                <w:bCs/>
                <w:sz w:val="21"/>
                <w:szCs w:val="21"/>
                <w:lang w:val="zh-CN"/>
              </w:rPr>
            </w:pPr>
            <w:r>
              <w:rPr>
                <w:rFonts w:hint="eastAsia" w:ascii="Times New Roman" w:eastAsia="仿宋"/>
                <w:bCs/>
                <w:sz w:val="21"/>
                <w:szCs w:val="21"/>
              </w:rPr>
              <w:t>1,1,2-三氯乙烷</w:t>
            </w:r>
          </w:p>
        </w:tc>
        <w:tc>
          <w:tcPr>
            <w:tcW w:w="313" w:type="pct"/>
            <w:shd w:val="clear" w:color="auto" w:fill="auto"/>
            <w:vAlign w:val="center"/>
          </w:tcPr>
          <w:p w14:paraId="215CEC7F">
            <w:pPr>
              <w:jc w:val="center"/>
              <w:rPr>
                <w:rFonts w:ascii="Times New Roman" w:eastAsia="仿宋"/>
                <w:bCs/>
                <w:sz w:val="21"/>
                <w:szCs w:val="21"/>
              </w:rPr>
            </w:pPr>
            <w:r>
              <w:rPr>
                <w:rFonts w:hint="eastAsia" w:ascii="Times New Roman" w:eastAsia="仿宋"/>
                <w:bCs/>
                <w:sz w:val="21"/>
                <w:szCs w:val="21"/>
              </w:rPr>
              <w:t>1.2</w:t>
            </w:r>
          </w:p>
          <w:p w14:paraId="0E7F78B9">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539F78F5">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11DDE4F">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FD739CC">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794EF03">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31E3598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C9E1D3D">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B435ED1">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DC3BDB5">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0ED42E1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50B29891">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378AF10F">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D25B2FE">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F15FDF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12F9677C">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55273E1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625880C7">
            <w:pPr>
              <w:jc w:val="center"/>
              <w:rPr>
                <w:rFonts w:ascii="Times New Roman" w:eastAsia="仿宋"/>
                <w:sz w:val="21"/>
                <w:szCs w:val="21"/>
              </w:rPr>
            </w:pPr>
            <w:r>
              <w:rPr>
                <w:rFonts w:hint="eastAsia" w:ascii="Times New Roman" w:eastAsia="仿宋"/>
                <w:sz w:val="21"/>
                <w:szCs w:val="21"/>
              </w:rPr>
              <w:t>2.8</w:t>
            </w:r>
          </w:p>
        </w:tc>
      </w:tr>
      <w:tr w14:paraId="5D677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67A472C5">
            <w:pPr>
              <w:jc w:val="center"/>
              <w:rPr>
                <w:rFonts w:ascii="Times New Roman" w:eastAsia="仿宋"/>
                <w:bCs/>
                <w:sz w:val="21"/>
                <w:szCs w:val="21"/>
                <w:lang w:val="zh-CN"/>
              </w:rPr>
            </w:pPr>
            <w:r>
              <w:rPr>
                <w:rFonts w:hint="eastAsia" w:ascii="Times New Roman" w:eastAsia="仿宋"/>
                <w:bCs/>
                <w:sz w:val="21"/>
                <w:szCs w:val="21"/>
              </w:rPr>
              <w:t>四氯乙烯</w:t>
            </w:r>
          </w:p>
        </w:tc>
        <w:tc>
          <w:tcPr>
            <w:tcW w:w="313" w:type="pct"/>
            <w:shd w:val="clear" w:color="auto" w:fill="auto"/>
            <w:vAlign w:val="center"/>
          </w:tcPr>
          <w:p w14:paraId="21E2835A">
            <w:pPr>
              <w:jc w:val="center"/>
              <w:rPr>
                <w:rFonts w:ascii="Times New Roman" w:eastAsia="仿宋"/>
                <w:bCs/>
                <w:sz w:val="21"/>
                <w:szCs w:val="21"/>
              </w:rPr>
            </w:pPr>
            <w:r>
              <w:rPr>
                <w:rFonts w:hint="eastAsia" w:ascii="Times New Roman" w:eastAsia="仿宋"/>
                <w:bCs/>
                <w:sz w:val="21"/>
                <w:szCs w:val="21"/>
              </w:rPr>
              <w:t>1.4</w:t>
            </w:r>
          </w:p>
          <w:p w14:paraId="3928A15C">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77C0451B">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F3F601E">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030B6C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72E470A1">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068BFA8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88CE0E2">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4F293B2">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55050FD">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4AF8AEA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4B81974">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37367E7">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216C5951">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3B052F2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57B751B0">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6ADC4B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4ACD6E3C">
            <w:pPr>
              <w:jc w:val="center"/>
              <w:rPr>
                <w:rFonts w:ascii="Times New Roman" w:eastAsia="仿宋"/>
                <w:sz w:val="21"/>
                <w:szCs w:val="21"/>
              </w:rPr>
            </w:pPr>
            <w:r>
              <w:rPr>
                <w:rFonts w:hint="eastAsia" w:ascii="Times New Roman" w:eastAsia="仿宋"/>
                <w:sz w:val="21"/>
                <w:szCs w:val="21"/>
              </w:rPr>
              <w:t>53</w:t>
            </w:r>
          </w:p>
        </w:tc>
      </w:tr>
      <w:tr w14:paraId="00128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40B69B6">
            <w:pPr>
              <w:jc w:val="center"/>
              <w:rPr>
                <w:rFonts w:ascii="Times New Roman" w:eastAsia="仿宋"/>
                <w:bCs/>
                <w:sz w:val="21"/>
                <w:szCs w:val="21"/>
                <w:lang w:val="zh-CN"/>
              </w:rPr>
            </w:pPr>
            <w:r>
              <w:rPr>
                <w:rFonts w:hint="eastAsia" w:ascii="Times New Roman" w:eastAsia="仿宋"/>
                <w:bCs/>
                <w:sz w:val="21"/>
                <w:szCs w:val="21"/>
              </w:rPr>
              <w:t>氯苯</w:t>
            </w:r>
          </w:p>
        </w:tc>
        <w:tc>
          <w:tcPr>
            <w:tcW w:w="313" w:type="pct"/>
            <w:shd w:val="clear" w:color="auto" w:fill="auto"/>
            <w:vAlign w:val="center"/>
          </w:tcPr>
          <w:p w14:paraId="4A02A4F2">
            <w:pPr>
              <w:jc w:val="center"/>
              <w:rPr>
                <w:rFonts w:ascii="Times New Roman" w:eastAsia="仿宋"/>
                <w:bCs/>
                <w:sz w:val="21"/>
                <w:szCs w:val="21"/>
              </w:rPr>
            </w:pPr>
            <w:r>
              <w:rPr>
                <w:rFonts w:hint="eastAsia" w:ascii="Times New Roman" w:eastAsia="仿宋"/>
                <w:bCs/>
                <w:sz w:val="21"/>
                <w:szCs w:val="21"/>
              </w:rPr>
              <w:t>1.2</w:t>
            </w:r>
          </w:p>
          <w:p w14:paraId="2F0CB07F">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2E2CF06C">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2851AE8">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C51018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188C9BFF">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D35B32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C729D82">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BECBF0F">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3B912FD3">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6C2D7E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69CABBC">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5137AEF">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8E15C0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C5779D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3A0B0822">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8DC7A7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11F876CB">
            <w:pPr>
              <w:jc w:val="center"/>
              <w:rPr>
                <w:rFonts w:ascii="Times New Roman" w:eastAsia="仿宋"/>
                <w:sz w:val="21"/>
                <w:szCs w:val="21"/>
              </w:rPr>
            </w:pPr>
            <w:r>
              <w:rPr>
                <w:rFonts w:hint="eastAsia" w:ascii="Times New Roman" w:eastAsia="仿宋"/>
                <w:sz w:val="21"/>
                <w:szCs w:val="21"/>
              </w:rPr>
              <w:t>270</w:t>
            </w:r>
          </w:p>
        </w:tc>
      </w:tr>
      <w:tr w14:paraId="3AC43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7305D55">
            <w:pPr>
              <w:jc w:val="center"/>
              <w:rPr>
                <w:rFonts w:ascii="Times New Roman" w:eastAsia="仿宋"/>
                <w:bCs/>
                <w:sz w:val="21"/>
                <w:szCs w:val="21"/>
                <w:lang w:val="zh-CN"/>
              </w:rPr>
            </w:pPr>
            <w:r>
              <w:rPr>
                <w:rFonts w:hint="eastAsia" w:ascii="Times New Roman" w:eastAsia="仿宋"/>
                <w:bCs/>
                <w:sz w:val="21"/>
                <w:szCs w:val="21"/>
              </w:rPr>
              <w:t>1,1,1,2-四氯乙烷</w:t>
            </w:r>
          </w:p>
        </w:tc>
        <w:tc>
          <w:tcPr>
            <w:tcW w:w="313" w:type="pct"/>
            <w:shd w:val="clear" w:color="auto" w:fill="auto"/>
            <w:vAlign w:val="center"/>
          </w:tcPr>
          <w:p w14:paraId="1898CBD9">
            <w:pPr>
              <w:jc w:val="center"/>
              <w:rPr>
                <w:rFonts w:ascii="Times New Roman" w:eastAsia="仿宋"/>
                <w:bCs/>
                <w:sz w:val="21"/>
                <w:szCs w:val="21"/>
              </w:rPr>
            </w:pPr>
            <w:r>
              <w:rPr>
                <w:rFonts w:hint="eastAsia" w:ascii="Times New Roman" w:eastAsia="仿宋"/>
                <w:bCs/>
                <w:sz w:val="21"/>
                <w:szCs w:val="21"/>
              </w:rPr>
              <w:t>1.5</w:t>
            </w:r>
          </w:p>
          <w:p w14:paraId="448E21FF">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57A311C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6AAA331">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018ED94">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1295C9C2">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0B4EB7D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5C8C7F5">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A892316">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22027D8">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6388B23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A0DB072">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0B828348">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46CFE0A9">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36AD2AA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3B0A6804">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F2648E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D529DB2">
            <w:pPr>
              <w:jc w:val="center"/>
              <w:rPr>
                <w:rFonts w:ascii="Times New Roman" w:eastAsia="仿宋"/>
                <w:sz w:val="21"/>
                <w:szCs w:val="21"/>
              </w:rPr>
            </w:pPr>
            <w:r>
              <w:rPr>
                <w:rFonts w:hint="eastAsia" w:ascii="Times New Roman" w:eastAsia="仿宋"/>
                <w:sz w:val="21"/>
                <w:szCs w:val="21"/>
              </w:rPr>
              <w:t>10</w:t>
            </w:r>
          </w:p>
        </w:tc>
      </w:tr>
      <w:tr w14:paraId="2037B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4CA111C">
            <w:pPr>
              <w:jc w:val="center"/>
              <w:rPr>
                <w:rFonts w:ascii="Times New Roman" w:eastAsia="仿宋"/>
                <w:bCs/>
                <w:sz w:val="21"/>
                <w:szCs w:val="21"/>
                <w:lang w:val="zh-CN"/>
              </w:rPr>
            </w:pPr>
            <w:r>
              <w:rPr>
                <w:rFonts w:hint="eastAsia" w:ascii="Times New Roman" w:eastAsia="仿宋"/>
                <w:bCs/>
                <w:sz w:val="21"/>
                <w:szCs w:val="21"/>
              </w:rPr>
              <w:t>乙苯</w:t>
            </w:r>
          </w:p>
        </w:tc>
        <w:tc>
          <w:tcPr>
            <w:tcW w:w="313" w:type="pct"/>
            <w:shd w:val="clear" w:color="auto" w:fill="auto"/>
            <w:vAlign w:val="center"/>
          </w:tcPr>
          <w:p w14:paraId="2958BA9B">
            <w:pPr>
              <w:jc w:val="center"/>
              <w:rPr>
                <w:rFonts w:ascii="Times New Roman" w:eastAsia="仿宋"/>
                <w:bCs/>
                <w:sz w:val="21"/>
                <w:szCs w:val="21"/>
              </w:rPr>
            </w:pPr>
            <w:r>
              <w:rPr>
                <w:rFonts w:hint="eastAsia" w:ascii="Times New Roman" w:eastAsia="仿宋"/>
                <w:bCs/>
                <w:sz w:val="21"/>
                <w:szCs w:val="21"/>
              </w:rPr>
              <w:t>1.2</w:t>
            </w:r>
          </w:p>
          <w:p w14:paraId="24805154">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0FDBD7F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A776F10">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714B5A2A">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076BC415">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DCB019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70E3E8B">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5BB2A93">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56136979">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C28DAF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2AA95AC">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33DFCB6B">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391FE0C9">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34C702F8">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7B2B7D18">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1E23E16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7155FB1">
            <w:pPr>
              <w:jc w:val="center"/>
              <w:rPr>
                <w:rFonts w:ascii="Times New Roman" w:eastAsia="仿宋"/>
                <w:sz w:val="21"/>
                <w:szCs w:val="21"/>
              </w:rPr>
            </w:pPr>
            <w:r>
              <w:rPr>
                <w:rFonts w:hint="eastAsia" w:ascii="Times New Roman" w:eastAsia="仿宋"/>
                <w:sz w:val="21"/>
                <w:szCs w:val="21"/>
              </w:rPr>
              <w:t>28</w:t>
            </w:r>
          </w:p>
        </w:tc>
      </w:tr>
      <w:tr w14:paraId="545F8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E9383F5">
            <w:pPr>
              <w:jc w:val="center"/>
              <w:rPr>
                <w:rFonts w:ascii="Times New Roman" w:eastAsia="仿宋"/>
                <w:bCs/>
                <w:sz w:val="21"/>
                <w:szCs w:val="21"/>
              </w:rPr>
            </w:pPr>
            <w:r>
              <w:rPr>
                <w:rFonts w:hint="eastAsia" w:ascii="Times New Roman" w:eastAsia="仿宋"/>
                <w:bCs/>
                <w:sz w:val="21"/>
                <w:szCs w:val="21"/>
              </w:rPr>
              <w:t>间，对-二甲苯</w:t>
            </w:r>
          </w:p>
        </w:tc>
        <w:tc>
          <w:tcPr>
            <w:tcW w:w="313" w:type="pct"/>
            <w:shd w:val="clear" w:color="auto" w:fill="auto"/>
            <w:vAlign w:val="center"/>
          </w:tcPr>
          <w:p w14:paraId="53905AB0">
            <w:pPr>
              <w:jc w:val="center"/>
              <w:rPr>
                <w:rFonts w:ascii="Times New Roman" w:eastAsia="仿宋"/>
                <w:bCs/>
                <w:sz w:val="21"/>
                <w:szCs w:val="21"/>
              </w:rPr>
            </w:pPr>
            <w:r>
              <w:rPr>
                <w:rFonts w:hint="eastAsia" w:ascii="Times New Roman" w:eastAsia="仿宋"/>
                <w:bCs/>
                <w:sz w:val="21"/>
                <w:szCs w:val="21"/>
              </w:rPr>
              <w:t>1.2</w:t>
            </w:r>
          </w:p>
          <w:p w14:paraId="4939C432">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671" w:type="dxa"/>
            <w:vAlign w:val="center"/>
          </w:tcPr>
          <w:p w14:paraId="351A38E5">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773A2492">
            <w:pPr>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6473C78F">
            <w:pPr>
              <w:jc w:val="center"/>
              <w:rPr>
                <w:rFonts w:ascii="Times New Roman" w:eastAsia="仿宋"/>
                <w:sz w:val="21"/>
                <w:szCs w:val="21"/>
              </w:rPr>
            </w:pPr>
            <w:r>
              <w:rPr>
                <w:rFonts w:hint="eastAsia" w:ascii="Times New Roman" w:eastAsia="仿宋"/>
                <w:sz w:val="21"/>
                <w:szCs w:val="21"/>
              </w:rPr>
              <w:t>ND</w:t>
            </w:r>
          </w:p>
        </w:tc>
        <w:tc>
          <w:tcPr>
            <w:tcW w:w="797" w:type="dxa"/>
            <w:vAlign w:val="center"/>
          </w:tcPr>
          <w:p w14:paraId="1E8CE698">
            <w:pPr>
              <w:jc w:val="center"/>
              <w:rPr>
                <w:rFonts w:ascii="Times New Roman" w:eastAsia="仿宋"/>
                <w:sz w:val="21"/>
                <w:szCs w:val="21"/>
              </w:rPr>
            </w:pPr>
            <w:r>
              <w:rPr>
                <w:rFonts w:hint="eastAsia" w:ascii="Times New Roman" w:eastAsia="仿宋"/>
                <w:sz w:val="21"/>
                <w:szCs w:val="21"/>
              </w:rPr>
              <w:t>ND</w:t>
            </w:r>
          </w:p>
        </w:tc>
        <w:tc>
          <w:tcPr>
            <w:tcW w:w="671" w:type="dxa"/>
            <w:vAlign w:val="center"/>
          </w:tcPr>
          <w:p w14:paraId="71ACA53B">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28BDE09B">
            <w:pPr>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1302011A">
            <w:pPr>
              <w:jc w:val="center"/>
              <w:rPr>
                <w:rFonts w:ascii="Times New Roman" w:eastAsia="仿宋"/>
                <w:sz w:val="21"/>
                <w:szCs w:val="21"/>
              </w:rPr>
            </w:pPr>
            <w:r>
              <w:rPr>
                <w:rFonts w:hint="eastAsia" w:ascii="Times New Roman" w:eastAsia="仿宋"/>
                <w:sz w:val="21"/>
                <w:szCs w:val="21"/>
              </w:rPr>
              <w:t>ND</w:t>
            </w:r>
          </w:p>
        </w:tc>
        <w:tc>
          <w:tcPr>
            <w:tcW w:w="797" w:type="dxa"/>
            <w:vAlign w:val="center"/>
          </w:tcPr>
          <w:p w14:paraId="61C577EF">
            <w:pPr>
              <w:jc w:val="center"/>
              <w:rPr>
                <w:rFonts w:ascii="Times New Roman" w:eastAsia="仿宋"/>
                <w:sz w:val="21"/>
                <w:szCs w:val="21"/>
              </w:rPr>
            </w:pPr>
            <w:r>
              <w:rPr>
                <w:rFonts w:hint="eastAsia" w:ascii="Times New Roman" w:eastAsia="仿宋"/>
                <w:sz w:val="21"/>
                <w:szCs w:val="21"/>
              </w:rPr>
              <w:t>ND</w:t>
            </w:r>
          </w:p>
        </w:tc>
        <w:tc>
          <w:tcPr>
            <w:tcW w:w="671" w:type="dxa"/>
            <w:vAlign w:val="center"/>
          </w:tcPr>
          <w:p w14:paraId="0978CDAF">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789" w:type="dxa"/>
            <w:vAlign w:val="center"/>
          </w:tcPr>
          <w:p w14:paraId="3BA242A8">
            <w:pPr>
              <w:jc w:val="center"/>
              <w:rPr>
                <w:rFonts w:ascii="Times New Roman" w:eastAsia="仿宋"/>
                <w:sz w:val="21"/>
                <w:szCs w:val="21"/>
              </w:rPr>
            </w:pPr>
            <w:r>
              <w:rPr>
                <w:rFonts w:hint="eastAsia" w:ascii="Times New Roman" w:eastAsia="仿宋"/>
                <w:sz w:val="21"/>
                <w:szCs w:val="21"/>
              </w:rPr>
              <w:t>ND</w:t>
            </w:r>
          </w:p>
        </w:tc>
        <w:tc>
          <w:tcPr>
            <w:tcW w:w="625" w:type="dxa"/>
            <w:vAlign w:val="center"/>
          </w:tcPr>
          <w:p w14:paraId="75202E20">
            <w:pPr>
              <w:jc w:val="center"/>
              <w:rPr>
                <w:rFonts w:ascii="Times New Roman" w:eastAsia="仿宋"/>
                <w:sz w:val="21"/>
                <w:szCs w:val="21"/>
              </w:rPr>
            </w:pPr>
            <w:r>
              <w:rPr>
                <w:rFonts w:hint="eastAsia" w:ascii="Times New Roman" w:eastAsia="仿宋"/>
                <w:sz w:val="21"/>
                <w:szCs w:val="21"/>
              </w:rPr>
              <w:t>ND</w:t>
            </w:r>
          </w:p>
        </w:tc>
        <w:tc>
          <w:tcPr>
            <w:tcW w:w="729" w:type="dxa"/>
            <w:vAlign w:val="center"/>
          </w:tcPr>
          <w:p w14:paraId="1660CBD9">
            <w:pPr>
              <w:jc w:val="center"/>
              <w:rPr>
                <w:rFonts w:ascii="Times New Roman" w:eastAsia="仿宋"/>
                <w:sz w:val="21"/>
                <w:szCs w:val="21"/>
              </w:rPr>
            </w:pPr>
            <w:r>
              <w:rPr>
                <w:rFonts w:hint="eastAsia" w:ascii="Times New Roman" w:eastAsia="仿宋"/>
                <w:sz w:val="21"/>
                <w:szCs w:val="21"/>
              </w:rPr>
              <w:t>ND</w:t>
            </w:r>
          </w:p>
        </w:tc>
        <w:tc>
          <w:tcPr>
            <w:tcW w:w="733" w:type="dxa"/>
            <w:vAlign w:val="center"/>
          </w:tcPr>
          <w:p w14:paraId="5FB1A064">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45" w:type="pct"/>
            <w:shd w:val="clear" w:color="auto" w:fill="auto"/>
            <w:vAlign w:val="center"/>
          </w:tcPr>
          <w:p w14:paraId="08ABA2F6">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2F389D5C">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88" w:type="pct"/>
            <w:vAlign w:val="center"/>
          </w:tcPr>
          <w:p w14:paraId="53CE31BE">
            <w:pPr>
              <w:jc w:val="center"/>
              <w:rPr>
                <w:rFonts w:ascii="Times New Roman" w:eastAsia="仿宋"/>
                <w:sz w:val="21"/>
                <w:szCs w:val="21"/>
              </w:rPr>
            </w:pPr>
            <w:r>
              <w:rPr>
                <w:rFonts w:hint="eastAsia" w:ascii="Times New Roman" w:eastAsia="仿宋"/>
                <w:sz w:val="21"/>
                <w:szCs w:val="21"/>
              </w:rPr>
              <w:t>570</w:t>
            </w:r>
          </w:p>
        </w:tc>
      </w:tr>
      <w:tr w14:paraId="3314A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A9EB28C">
            <w:pPr>
              <w:jc w:val="center"/>
              <w:rPr>
                <w:rFonts w:ascii="Times New Roman" w:eastAsia="仿宋"/>
                <w:bCs/>
                <w:sz w:val="21"/>
                <w:szCs w:val="21"/>
              </w:rPr>
            </w:pPr>
            <w:r>
              <w:rPr>
                <w:rFonts w:hint="eastAsia" w:ascii="Times New Roman" w:eastAsia="仿宋"/>
                <w:bCs/>
                <w:sz w:val="21"/>
                <w:szCs w:val="21"/>
              </w:rPr>
              <w:t>邻二甲苯</w:t>
            </w:r>
          </w:p>
        </w:tc>
        <w:tc>
          <w:tcPr>
            <w:tcW w:w="313" w:type="pct"/>
            <w:shd w:val="clear" w:color="auto" w:fill="auto"/>
            <w:vAlign w:val="center"/>
          </w:tcPr>
          <w:p w14:paraId="05067539">
            <w:pPr>
              <w:jc w:val="center"/>
              <w:rPr>
                <w:rFonts w:ascii="Times New Roman" w:eastAsia="仿宋"/>
                <w:bCs/>
                <w:sz w:val="21"/>
                <w:szCs w:val="21"/>
              </w:rPr>
            </w:pPr>
            <w:r>
              <w:rPr>
                <w:rFonts w:hint="eastAsia" w:ascii="Times New Roman" w:eastAsia="仿宋"/>
                <w:bCs/>
                <w:sz w:val="21"/>
                <w:szCs w:val="21"/>
              </w:rPr>
              <w:t>1.2</w:t>
            </w:r>
          </w:p>
          <w:p w14:paraId="4B6F2A28">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79F66B27">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566F04A">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0CFF091">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4667230D">
            <w:pPr>
              <w:jc w:val="center"/>
              <w:rPr>
                <w:rFonts w:ascii="Times New Roman" w:eastAsia="仿宋"/>
                <w:sz w:val="21"/>
                <w:szCs w:val="21"/>
              </w:rPr>
            </w:pPr>
            <w:r>
              <w:rPr>
                <w:rFonts w:hint="eastAsia" w:ascii="Times New Roman" w:eastAsia="仿宋"/>
                <w:sz w:val="21"/>
                <w:szCs w:val="21"/>
              </w:rPr>
              <w:t>ND</w:t>
            </w:r>
          </w:p>
        </w:tc>
        <w:tc>
          <w:tcPr>
            <w:tcW w:w="671" w:type="dxa"/>
            <w:vAlign w:val="center"/>
          </w:tcPr>
          <w:p w14:paraId="4E5CEC7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2C6CC3B0">
            <w:pPr>
              <w:jc w:val="center"/>
              <w:rPr>
                <w:rFonts w:ascii="Times New Roman" w:eastAsia="仿宋"/>
                <w:sz w:val="21"/>
                <w:szCs w:val="21"/>
              </w:rPr>
            </w:pPr>
            <w:r>
              <w:rPr>
                <w:rFonts w:hint="eastAsia" w:ascii="Times New Roman" w:eastAsia="仿宋"/>
                <w:sz w:val="21"/>
                <w:szCs w:val="21"/>
              </w:rPr>
              <w:t>ND</w:t>
            </w:r>
          </w:p>
        </w:tc>
        <w:tc>
          <w:tcPr>
            <w:tcW w:w="791" w:type="dxa"/>
            <w:vAlign w:val="center"/>
          </w:tcPr>
          <w:p w14:paraId="4368548E">
            <w:pPr>
              <w:jc w:val="center"/>
              <w:rPr>
                <w:rFonts w:ascii="Times New Roman" w:eastAsia="仿宋"/>
                <w:sz w:val="21"/>
                <w:szCs w:val="21"/>
              </w:rPr>
            </w:pPr>
            <w:r>
              <w:rPr>
                <w:rFonts w:hint="eastAsia" w:ascii="Times New Roman" w:eastAsia="仿宋"/>
                <w:sz w:val="21"/>
                <w:szCs w:val="21"/>
              </w:rPr>
              <w:t>ND</w:t>
            </w:r>
          </w:p>
        </w:tc>
        <w:tc>
          <w:tcPr>
            <w:tcW w:w="797" w:type="dxa"/>
            <w:vAlign w:val="center"/>
          </w:tcPr>
          <w:p w14:paraId="0B5BAD68">
            <w:pPr>
              <w:jc w:val="center"/>
              <w:rPr>
                <w:rFonts w:ascii="Times New Roman" w:eastAsia="仿宋"/>
                <w:sz w:val="21"/>
                <w:szCs w:val="21"/>
              </w:rPr>
            </w:pPr>
            <w:r>
              <w:rPr>
                <w:rFonts w:hint="eastAsia" w:ascii="Times New Roman" w:eastAsia="仿宋"/>
                <w:sz w:val="21"/>
                <w:szCs w:val="21"/>
              </w:rPr>
              <w:t>ND</w:t>
            </w:r>
          </w:p>
        </w:tc>
        <w:tc>
          <w:tcPr>
            <w:tcW w:w="671" w:type="dxa"/>
            <w:vAlign w:val="center"/>
          </w:tcPr>
          <w:p w14:paraId="2B25A464">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789" w:type="dxa"/>
            <w:vAlign w:val="center"/>
          </w:tcPr>
          <w:p w14:paraId="2138A3C4">
            <w:pPr>
              <w:jc w:val="center"/>
              <w:rPr>
                <w:rFonts w:ascii="Times New Roman" w:eastAsia="仿宋"/>
                <w:sz w:val="21"/>
                <w:szCs w:val="21"/>
              </w:rPr>
            </w:pPr>
            <w:r>
              <w:rPr>
                <w:rFonts w:hint="eastAsia" w:ascii="Times New Roman" w:eastAsia="仿宋"/>
                <w:sz w:val="21"/>
                <w:szCs w:val="21"/>
              </w:rPr>
              <w:t>ND</w:t>
            </w:r>
          </w:p>
        </w:tc>
        <w:tc>
          <w:tcPr>
            <w:tcW w:w="625" w:type="dxa"/>
            <w:vAlign w:val="center"/>
          </w:tcPr>
          <w:p w14:paraId="6C208A9F">
            <w:pPr>
              <w:jc w:val="center"/>
              <w:rPr>
                <w:rFonts w:ascii="Times New Roman" w:eastAsia="仿宋"/>
                <w:sz w:val="21"/>
                <w:szCs w:val="21"/>
              </w:rPr>
            </w:pPr>
            <w:r>
              <w:rPr>
                <w:rFonts w:hint="eastAsia" w:ascii="Times New Roman" w:eastAsia="仿宋"/>
                <w:sz w:val="21"/>
                <w:szCs w:val="21"/>
              </w:rPr>
              <w:t>ND</w:t>
            </w:r>
          </w:p>
        </w:tc>
        <w:tc>
          <w:tcPr>
            <w:tcW w:w="729" w:type="dxa"/>
            <w:vAlign w:val="center"/>
          </w:tcPr>
          <w:p w14:paraId="24F81BFC">
            <w:pPr>
              <w:jc w:val="center"/>
              <w:rPr>
                <w:rFonts w:ascii="Times New Roman" w:eastAsia="仿宋"/>
                <w:sz w:val="21"/>
                <w:szCs w:val="21"/>
              </w:rPr>
            </w:pPr>
            <w:r>
              <w:rPr>
                <w:rFonts w:hint="eastAsia" w:ascii="Times New Roman" w:eastAsia="仿宋"/>
                <w:sz w:val="21"/>
                <w:szCs w:val="21"/>
              </w:rPr>
              <w:t>ND</w:t>
            </w:r>
          </w:p>
        </w:tc>
        <w:tc>
          <w:tcPr>
            <w:tcW w:w="733" w:type="dxa"/>
            <w:vAlign w:val="center"/>
          </w:tcPr>
          <w:p w14:paraId="1370C61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45" w:type="pct"/>
            <w:shd w:val="clear" w:color="auto" w:fill="auto"/>
            <w:vAlign w:val="center"/>
          </w:tcPr>
          <w:p w14:paraId="56240B42">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6EB778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88" w:type="pct"/>
            <w:vAlign w:val="center"/>
          </w:tcPr>
          <w:p w14:paraId="654F7929">
            <w:pPr>
              <w:jc w:val="center"/>
              <w:rPr>
                <w:rFonts w:ascii="Times New Roman" w:eastAsia="仿宋"/>
                <w:sz w:val="21"/>
                <w:szCs w:val="21"/>
              </w:rPr>
            </w:pPr>
            <w:r>
              <w:rPr>
                <w:rFonts w:hint="eastAsia" w:ascii="Times New Roman" w:eastAsia="仿宋"/>
                <w:sz w:val="21"/>
                <w:szCs w:val="21"/>
              </w:rPr>
              <w:t>640</w:t>
            </w:r>
          </w:p>
        </w:tc>
      </w:tr>
      <w:tr w14:paraId="101C2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87026EC">
            <w:pPr>
              <w:jc w:val="center"/>
              <w:rPr>
                <w:rFonts w:ascii="Times New Roman" w:eastAsia="仿宋"/>
                <w:bCs/>
                <w:sz w:val="21"/>
                <w:szCs w:val="21"/>
              </w:rPr>
            </w:pPr>
            <w:r>
              <w:rPr>
                <w:rFonts w:hint="eastAsia" w:ascii="Times New Roman" w:eastAsia="仿宋"/>
                <w:bCs/>
                <w:sz w:val="21"/>
                <w:szCs w:val="21"/>
              </w:rPr>
              <w:t>苯乙烯</w:t>
            </w:r>
          </w:p>
        </w:tc>
        <w:tc>
          <w:tcPr>
            <w:tcW w:w="313" w:type="pct"/>
            <w:shd w:val="clear" w:color="auto" w:fill="auto"/>
            <w:vAlign w:val="center"/>
          </w:tcPr>
          <w:p w14:paraId="25F95FD1">
            <w:pPr>
              <w:jc w:val="center"/>
              <w:rPr>
                <w:rFonts w:ascii="Times New Roman" w:eastAsia="仿宋"/>
                <w:bCs/>
                <w:sz w:val="21"/>
                <w:szCs w:val="21"/>
              </w:rPr>
            </w:pPr>
            <w:r>
              <w:rPr>
                <w:rFonts w:hint="eastAsia" w:ascii="Times New Roman" w:eastAsia="仿宋"/>
                <w:bCs/>
                <w:sz w:val="21"/>
                <w:szCs w:val="21"/>
              </w:rPr>
              <w:t>1.1</w:t>
            </w:r>
          </w:p>
          <w:p w14:paraId="52646FEC">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22312E02">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7DAF7A2">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609559D">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7C3A72AB">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502900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4B37D80">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BA8AEB5">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BA4C246">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96CCE7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0E3DE16D">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0AEFB906">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43B924D9">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6817C6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1C0A8C3">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7B2E7C8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1D5D8B2">
            <w:pPr>
              <w:jc w:val="center"/>
              <w:rPr>
                <w:rFonts w:ascii="Times New Roman" w:eastAsia="仿宋"/>
                <w:sz w:val="21"/>
                <w:szCs w:val="21"/>
              </w:rPr>
            </w:pPr>
            <w:r>
              <w:rPr>
                <w:rFonts w:hint="eastAsia" w:ascii="Times New Roman" w:eastAsia="仿宋"/>
                <w:sz w:val="21"/>
                <w:szCs w:val="21"/>
              </w:rPr>
              <w:t>1290</w:t>
            </w:r>
          </w:p>
        </w:tc>
      </w:tr>
      <w:tr w14:paraId="66A6A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0896D63">
            <w:pPr>
              <w:jc w:val="center"/>
              <w:rPr>
                <w:rFonts w:ascii="Times New Roman" w:eastAsia="仿宋"/>
                <w:bCs/>
                <w:sz w:val="21"/>
                <w:szCs w:val="21"/>
                <w:lang w:val="zh-CN"/>
              </w:rPr>
            </w:pPr>
            <w:r>
              <w:rPr>
                <w:rFonts w:hint="eastAsia" w:ascii="Times New Roman" w:eastAsia="仿宋"/>
                <w:bCs/>
                <w:sz w:val="21"/>
                <w:szCs w:val="21"/>
              </w:rPr>
              <w:t>1,1,2,2-四氯乙烷</w:t>
            </w:r>
          </w:p>
        </w:tc>
        <w:tc>
          <w:tcPr>
            <w:tcW w:w="313" w:type="pct"/>
            <w:shd w:val="clear" w:color="auto" w:fill="auto"/>
            <w:vAlign w:val="center"/>
          </w:tcPr>
          <w:p w14:paraId="19D84409">
            <w:pPr>
              <w:jc w:val="center"/>
              <w:rPr>
                <w:rFonts w:ascii="Times New Roman" w:eastAsia="仿宋"/>
                <w:bCs/>
                <w:sz w:val="21"/>
                <w:szCs w:val="21"/>
              </w:rPr>
            </w:pPr>
            <w:r>
              <w:rPr>
                <w:rFonts w:hint="eastAsia" w:ascii="Times New Roman" w:eastAsia="仿宋"/>
                <w:bCs/>
                <w:sz w:val="21"/>
                <w:szCs w:val="21"/>
              </w:rPr>
              <w:t>1.2</w:t>
            </w:r>
          </w:p>
          <w:p w14:paraId="5E920507">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2B3C21B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16F5958">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CF8AED1">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63141FAB">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27BECF0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540E0F7">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8DE9782">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F511D27">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194001F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765DE728">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3A4DDB87">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677C0AA">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1483F1A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6BBED4C1">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757FAAD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1258D924">
            <w:pPr>
              <w:jc w:val="center"/>
              <w:rPr>
                <w:rFonts w:ascii="Times New Roman" w:eastAsia="仿宋"/>
                <w:sz w:val="21"/>
                <w:szCs w:val="21"/>
              </w:rPr>
            </w:pPr>
            <w:r>
              <w:rPr>
                <w:rFonts w:hint="eastAsia" w:ascii="Times New Roman" w:eastAsia="仿宋"/>
                <w:sz w:val="21"/>
                <w:szCs w:val="21"/>
              </w:rPr>
              <w:t>6.8</w:t>
            </w:r>
          </w:p>
        </w:tc>
      </w:tr>
      <w:tr w14:paraId="44304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542DDDB">
            <w:pPr>
              <w:widowControl/>
              <w:jc w:val="center"/>
              <w:rPr>
                <w:rFonts w:ascii="Times New Roman" w:eastAsia="仿宋"/>
                <w:sz w:val="21"/>
                <w:szCs w:val="21"/>
                <w:lang w:val="zh-CN"/>
              </w:rPr>
            </w:pPr>
            <w:r>
              <w:rPr>
                <w:rFonts w:hint="eastAsia" w:ascii="Times New Roman" w:eastAsia="仿宋"/>
                <w:sz w:val="21"/>
                <w:szCs w:val="21"/>
              </w:rPr>
              <w:t>1,2,3-三氯丙烷</w:t>
            </w:r>
          </w:p>
        </w:tc>
        <w:tc>
          <w:tcPr>
            <w:tcW w:w="313" w:type="pct"/>
            <w:shd w:val="clear" w:color="auto" w:fill="auto"/>
            <w:vAlign w:val="center"/>
          </w:tcPr>
          <w:p w14:paraId="2E0A3668">
            <w:pPr>
              <w:jc w:val="center"/>
              <w:rPr>
                <w:rFonts w:ascii="Times New Roman" w:eastAsia="仿宋"/>
                <w:bCs/>
                <w:sz w:val="21"/>
                <w:szCs w:val="21"/>
              </w:rPr>
            </w:pPr>
            <w:r>
              <w:rPr>
                <w:rFonts w:hint="eastAsia" w:ascii="Times New Roman" w:eastAsia="仿宋"/>
                <w:bCs/>
                <w:sz w:val="21"/>
                <w:szCs w:val="21"/>
              </w:rPr>
              <w:t>1.2</w:t>
            </w:r>
          </w:p>
          <w:p w14:paraId="5004870F">
            <w:pPr>
              <w:widowControl/>
              <w:jc w:val="center"/>
              <w:rPr>
                <w:rFonts w:ascii="Times New Roman" w:eastAsia="仿宋"/>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3F6D9708">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78F58BD">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19EFC08">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686318A">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2E880E65">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4D94EB6">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67B67A4">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679CC17">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3EA4D14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0831D4DE">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B6B6845">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4AB4A717">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68F9704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75401A15">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33D9B69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277B627">
            <w:pPr>
              <w:jc w:val="center"/>
              <w:rPr>
                <w:rFonts w:ascii="Times New Roman" w:eastAsia="仿宋"/>
                <w:sz w:val="21"/>
                <w:szCs w:val="21"/>
              </w:rPr>
            </w:pPr>
            <w:r>
              <w:rPr>
                <w:rFonts w:hint="eastAsia" w:ascii="Times New Roman" w:eastAsia="仿宋"/>
                <w:sz w:val="21"/>
                <w:szCs w:val="21"/>
              </w:rPr>
              <w:t>0.5</w:t>
            </w:r>
          </w:p>
        </w:tc>
      </w:tr>
      <w:tr w14:paraId="2967A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F788383">
            <w:pPr>
              <w:jc w:val="center"/>
              <w:rPr>
                <w:rFonts w:ascii="Times New Roman" w:eastAsia="仿宋"/>
                <w:bCs/>
                <w:sz w:val="21"/>
                <w:szCs w:val="21"/>
                <w:lang w:val="zh-CN"/>
              </w:rPr>
            </w:pPr>
            <w:r>
              <w:rPr>
                <w:rFonts w:hint="eastAsia" w:ascii="Times New Roman" w:eastAsia="仿宋"/>
                <w:bCs/>
                <w:sz w:val="21"/>
                <w:szCs w:val="21"/>
              </w:rPr>
              <w:t>1,4-二氯苯</w:t>
            </w:r>
          </w:p>
        </w:tc>
        <w:tc>
          <w:tcPr>
            <w:tcW w:w="313" w:type="pct"/>
            <w:shd w:val="clear" w:color="auto" w:fill="auto"/>
            <w:vAlign w:val="center"/>
          </w:tcPr>
          <w:p w14:paraId="6DB09A16">
            <w:pPr>
              <w:jc w:val="center"/>
              <w:rPr>
                <w:rFonts w:ascii="Times New Roman" w:eastAsia="仿宋"/>
                <w:bCs/>
                <w:sz w:val="21"/>
                <w:szCs w:val="21"/>
              </w:rPr>
            </w:pPr>
            <w:r>
              <w:rPr>
                <w:rFonts w:hint="eastAsia" w:ascii="Times New Roman" w:eastAsia="仿宋"/>
                <w:bCs/>
                <w:sz w:val="21"/>
                <w:szCs w:val="21"/>
              </w:rPr>
              <w:t>1.5</w:t>
            </w:r>
          </w:p>
          <w:p w14:paraId="708830A6">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43C981D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0A6D68A">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CBD33C4">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37AE4F46">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0967FB3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BED55A2">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BF43DDA">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3EE14095">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3F74E42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2BABDCE">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1E19F3BE">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45C6CAF6">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0483B8A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1D659193">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797DE2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7CDA207A">
            <w:pPr>
              <w:jc w:val="center"/>
              <w:rPr>
                <w:rFonts w:ascii="Times New Roman" w:eastAsia="仿宋"/>
                <w:sz w:val="21"/>
                <w:szCs w:val="21"/>
              </w:rPr>
            </w:pPr>
            <w:r>
              <w:rPr>
                <w:rFonts w:hint="eastAsia" w:ascii="Times New Roman" w:eastAsia="仿宋"/>
                <w:sz w:val="21"/>
                <w:szCs w:val="21"/>
              </w:rPr>
              <w:t>20</w:t>
            </w:r>
          </w:p>
        </w:tc>
      </w:tr>
      <w:tr w14:paraId="378E5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0F90A598">
            <w:pPr>
              <w:jc w:val="center"/>
              <w:rPr>
                <w:rFonts w:ascii="Times New Roman" w:eastAsia="仿宋"/>
                <w:bCs/>
                <w:sz w:val="21"/>
                <w:szCs w:val="21"/>
                <w:lang w:val="zh-CN"/>
              </w:rPr>
            </w:pPr>
            <w:r>
              <w:rPr>
                <w:rFonts w:hint="eastAsia" w:ascii="Times New Roman" w:eastAsia="仿宋"/>
                <w:bCs/>
                <w:sz w:val="21"/>
                <w:szCs w:val="21"/>
              </w:rPr>
              <w:t>1.2-二氯苯</w:t>
            </w:r>
          </w:p>
        </w:tc>
        <w:tc>
          <w:tcPr>
            <w:tcW w:w="313" w:type="pct"/>
            <w:shd w:val="clear" w:color="auto" w:fill="auto"/>
            <w:vAlign w:val="center"/>
          </w:tcPr>
          <w:p w14:paraId="76CEEE32">
            <w:pPr>
              <w:jc w:val="center"/>
              <w:rPr>
                <w:rFonts w:ascii="Times New Roman" w:eastAsia="仿宋"/>
                <w:bCs/>
                <w:sz w:val="21"/>
                <w:szCs w:val="21"/>
              </w:rPr>
            </w:pPr>
            <w:r>
              <w:rPr>
                <w:rFonts w:hint="eastAsia" w:ascii="Times New Roman" w:eastAsia="仿宋"/>
                <w:bCs/>
                <w:sz w:val="21"/>
                <w:szCs w:val="21"/>
              </w:rPr>
              <w:t>1.5</w:t>
            </w:r>
          </w:p>
          <w:p w14:paraId="64221CF4">
            <w:pPr>
              <w:jc w:val="center"/>
              <w:rPr>
                <w:rFonts w:ascii="Times New Roman" w:eastAsia="仿宋"/>
                <w:bCs/>
                <w:sz w:val="21"/>
                <w:szCs w:val="21"/>
              </w:rPr>
            </w:pPr>
            <w:r>
              <w:rPr>
                <w:rFonts w:ascii="Times New Roman" w:eastAsia="仿宋"/>
                <w:bCs/>
                <w:sz w:val="21"/>
                <w:szCs w:val="21"/>
              </w:rPr>
              <w:t>μ</w:t>
            </w:r>
            <w:r>
              <w:rPr>
                <w:rFonts w:hint="eastAsia" w:ascii="Times New Roman" w:eastAsia="仿宋"/>
                <w:bCs/>
                <w:sz w:val="21"/>
                <w:szCs w:val="21"/>
              </w:rPr>
              <w:t>g/kg</w:t>
            </w:r>
          </w:p>
        </w:tc>
        <w:tc>
          <w:tcPr>
            <w:tcW w:w="246" w:type="pct"/>
            <w:vAlign w:val="center"/>
          </w:tcPr>
          <w:p w14:paraId="1704903B">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0C2F80F">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B43218A">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4F670C2C">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4FF2B03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B8E04D0">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1AEC849">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DFA9582">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A8E988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66D5544A">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695C78E2">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A78CAD1">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71C0CB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DC766DF">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1F44C39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0E61BAF">
            <w:pPr>
              <w:jc w:val="center"/>
              <w:rPr>
                <w:rFonts w:ascii="Times New Roman" w:eastAsia="仿宋"/>
                <w:sz w:val="21"/>
                <w:szCs w:val="21"/>
              </w:rPr>
            </w:pPr>
            <w:r>
              <w:rPr>
                <w:rFonts w:hint="eastAsia" w:ascii="Times New Roman" w:eastAsia="仿宋"/>
                <w:sz w:val="21"/>
                <w:szCs w:val="21"/>
              </w:rPr>
              <w:t>560</w:t>
            </w:r>
          </w:p>
        </w:tc>
      </w:tr>
      <w:tr w14:paraId="23F8F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1A6DAFB">
            <w:pPr>
              <w:jc w:val="center"/>
              <w:rPr>
                <w:rFonts w:ascii="Times New Roman" w:eastAsia="仿宋"/>
                <w:bCs/>
                <w:sz w:val="21"/>
                <w:szCs w:val="21"/>
                <w:lang w:val="zh-CN"/>
              </w:rPr>
            </w:pPr>
            <w:r>
              <w:rPr>
                <w:rFonts w:hint="eastAsia" w:ascii="Times New Roman" w:eastAsia="仿宋"/>
                <w:bCs/>
                <w:sz w:val="21"/>
                <w:szCs w:val="21"/>
              </w:rPr>
              <w:t>2-氯苯酚</w:t>
            </w:r>
          </w:p>
        </w:tc>
        <w:tc>
          <w:tcPr>
            <w:tcW w:w="313" w:type="pct"/>
            <w:shd w:val="clear" w:color="auto" w:fill="auto"/>
            <w:vAlign w:val="center"/>
          </w:tcPr>
          <w:p w14:paraId="5B35E7BD">
            <w:pPr>
              <w:jc w:val="center"/>
              <w:rPr>
                <w:rFonts w:ascii="Times New Roman" w:eastAsia="仿宋"/>
                <w:bCs/>
                <w:sz w:val="21"/>
                <w:szCs w:val="21"/>
              </w:rPr>
            </w:pPr>
            <w:r>
              <w:rPr>
                <w:rFonts w:hint="eastAsia" w:ascii="Times New Roman" w:eastAsia="仿宋"/>
                <w:bCs/>
                <w:sz w:val="21"/>
                <w:szCs w:val="21"/>
              </w:rPr>
              <w:t>0.06</w:t>
            </w:r>
          </w:p>
          <w:p w14:paraId="2432EAA2">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1F4E2E2E">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F3CE404">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23E927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4C122587">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B9F4F8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54448E2">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AF61A63">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66AB1E0">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787A92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6AC71F0B">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74A3FFC">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7A3AAEF">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CDD134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443E3AF">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24A585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1BF556B6">
            <w:pPr>
              <w:jc w:val="center"/>
              <w:rPr>
                <w:rFonts w:ascii="Times New Roman" w:eastAsia="仿宋"/>
                <w:sz w:val="21"/>
                <w:szCs w:val="21"/>
              </w:rPr>
            </w:pPr>
            <w:r>
              <w:rPr>
                <w:rFonts w:hint="eastAsia" w:ascii="Times New Roman" w:eastAsia="仿宋"/>
                <w:sz w:val="21"/>
                <w:szCs w:val="21"/>
              </w:rPr>
              <w:t>2256</w:t>
            </w:r>
          </w:p>
        </w:tc>
      </w:tr>
      <w:tr w14:paraId="04A7E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8868C96">
            <w:pPr>
              <w:jc w:val="center"/>
              <w:rPr>
                <w:rFonts w:ascii="Times New Roman" w:eastAsia="仿宋"/>
                <w:bCs/>
                <w:sz w:val="21"/>
                <w:szCs w:val="21"/>
                <w:lang w:val="zh-CN"/>
              </w:rPr>
            </w:pPr>
            <w:r>
              <w:rPr>
                <w:rFonts w:hint="eastAsia" w:ascii="Times New Roman" w:eastAsia="仿宋"/>
                <w:bCs/>
                <w:sz w:val="21"/>
                <w:szCs w:val="21"/>
              </w:rPr>
              <w:t>硝基苯</w:t>
            </w:r>
          </w:p>
        </w:tc>
        <w:tc>
          <w:tcPr>
            <w:tcW w:w="313" w:type="pct"/>
            <w:shd w:val="clear" w:color="auto" w:fill="auto"/>
            <w:vAlign w:val="center"/>
          </w:tcPr>
          <w:p w14:paraId="7B4A459B">
            <w:pPr>
              <w:jc w:val="center"/>
              <w:rPr>
                <w:rFonts w:ascii="Times New Roman" w:eastAsia="仿宋"/>
                <w:bCs/>
                <w:sz w:val="21"/>
                <w:szCs w:val="21"/>
              </w:rPr>
            </w:pPr>
            <w:r>
              <w:rPr>
                <w:rFonts w:hint="eastAsia" w:ascii="Times New Roman" w:eastAsia="仿宋"/>
                <w:bCs/>
                <w:sz w:val="21"/>
                <w:szCs w:val="21"/>
              </w:rPr>
              <w:t>0.09</w:t>
            </w:r>
          </w:p>
          <w:p w14:paraId="505E5B28">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67DCABF4">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28C22FB">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45F9F3A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3F8CFA20">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6965CB0D">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AF04C94">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F6D7B40">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3ABC4295">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D62A29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303CC1F6">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6D7F57D">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D7D959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AFDEECC">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51F9E208">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19C3F4C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1578C56">
            <w:pPr>
              <w:jc w:val="center"/>
              <w:rPr>
                <w:rFonts w:ascii="Times New Roman" w:eastAsia="仿宋"/>
                <w:sz w:val="21"/>
                <w:szCs w:val="21"/>
              </w:rPr>
            </w:pPr>
            <w:r>
              <w:rPr>
                <w:rFonts w:hint="eastAsia" w:ascii="Times New Roman" w:eastAsia="仿宋"/>
                <w:sz w:val="21"/>
                <w:szCs w:val="21"/>
              </w:rPr>
              <w:t>76</w:t>
            </w:r>
          </w:p>
        </w:tc>
      </w:tr>
      <w:tr w14:paraId="46B3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3BB4C04">
            <w:pPr>
              <w:jc w:val="center"/>
              <w:rPr>
                <w:rFonts w:ascii="Times New Roman" w:eastAsia="仿宋"/>
                <w:bCs/>
                <w:sz w:val="21"/>
                <w:szCs w:val="21"/>
              </w:rPr>
            </w:pPr>
            <w:r>
              <w:rPr>
                <w:rFonts w:hint="eastAsia" w:ascii="Times New Roman" w:eastAsia="仿宋"/>
                <w:bCs/>
                <w:sz w:val="21"/>
                <w:szCs w:val="21"/>
              </w:rPr>
              <w:t>萘</w:t>
            </w:r>
          </w:p>
        </w:tc>
        <w:tc>
          <w:tcPr>
            <w:tcW w:w="313" w:type="pct"/>
            <w:shd w:val="clear" w:color="auto" w:fill="auto"/>
            <w:vAlign w:val="center"/>
          </w:tcPr>
          <w:p w14:paraId="40C0459E">
            <w:pPr>
              <w:jc w:val="center"/>
              <w:rPr>
                <w:rFonts w:ascii="Times New Roman" w:eastAsia="仿宋"/>
                <w:bCs/>
                <w:sz w:val="21"/>
                <w:szCs w:val="21"/>
              </w:rPr>
            </w:pPr>
            <w:r>
              <w:rPr>
                <w:rFonts w:hint="eastAsia" w:ascii="Times New Roman" w:eastAsia="仿宋"/>
                <w:bCs/>
                <w:sz w:val="21"/>
                <w:szCs w:val="21"/>
              </w:rPr>
              <w:t>0.09</w:t>
            </w:r>
          </w:p>
          <w:p w14:paraId="6982B617">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46C276B4">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0327E34">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5A0541B">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33E4A51F">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81A31C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99888E7">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3BF3671C">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69817DDE">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CEAA93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5845CA7E">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460A9E2">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3B29275">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1F0CB95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3978DB7">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71C45D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5E2565C">
            <w:pPr>
              <w:jc w:val="center"/>
              <w:rPr>
                <w:rFonts w:ascii="Times New Roman" w:eastAsia="仿宋"/>
                <w:sz w:val="21"/>
                <w:szCs w:val="21"/>
              </w:rPr>
            </w:pPr>
            <w:r>
              <w:rPr>
                <w:rFonts w:hint="eastAsia" w:ascii="Times New Roman" w:eastAsia="仿宋"/>
                <w:sz w:val="21"/>
                <w:szCs w:val="21"/>
              </w:rPr>
              <w:t>70</w:t>
            </w:r>
          </w:p>
        </w:tc>
      </w:tr>
      <w:tr w14:paraId="5F6A9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57F15E3">
            <w:pPr>
              <w:jc w:val="center"/>
              <w:rPr>
                <w:rFonts w:ascii="Times New Roman" w:eastAsia="仿宋"/>
                <w:bCs/>
                <w:sz w:val="21"/>
                <w:szCs w:val="21"/>
                <w:lang w:val="zh-CN"/>
              </w:rPr>
            </w:pPr>
            <w:r>
              <w:rPr>
                <w:rFonts w:ascii="Times New Roman" w:eastAsia="仿宋"/>
                <w:bCs/>
                <w:sz w:val="21"/>
                <w:szCs w:val="21"/>
              </w:rPr>
              <w:t>苯并[a]蔥</w:t>
            </w:r>
          </w:p>
        </w:tc>
        <w:tc>
          <w:tcPr>
            <w:tcW w:w="313" w:type="pct"/>
            <w:shd w:val="clear" w:color="auto" w:fill="auto"/>
            <w:vAlign w:val="center"/>
          </w:tcPr>
          <w:p w14:paraId="05A140EE">
            <w:pPr>
              <w:jc w:val="center"/>
              <w:rPr>
                <w:rFonts w:ascii="Times New Roman" w:eastAsia="仿宋"/>
                <w:bCs/>
                <w:sz w:val="21"/>
                <w:szCs w:val="21"/>
              </w:rPr>
            </w:pPr>
            <w:r>
              <w:rPr>
                <w:rFonts w:hint="eastAsia" w:ascii="Times New Roman" w:eastAsia="仿宋"/>
                <w:bCs/>
                <w:sz w:val="21"/>
                <w:szCs w:val="21"/>
              </w:rPr>
              <w:t>0.1</w:t>
            </w:r>
          </w:p>
          <w:p w14:paraId="367B0F65">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3794ECBA">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F77D63E">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A1A1CBF">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7400D978">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6AD3105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8C88469">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E7A4160">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18298931">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C6FF4B1">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CFC12F3">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E295CB9">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AA22468">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EADEC8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28215A92">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423AF38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3B5CA398">
            <w:pPr>
              <w:jc w:val="center"/>
              <w:rPr>
                <w:rFonts w:ascii="Times New Roman" w:eastAsia="仿宋"/>
                <w:sz w:val="21"/>
                <w:szCs w:val="21"/>
              </w:rPr>
            </w:pPr>
            <w:r>
              <w:rPr>
                <w:rFonts w:hint="eastAsia" w:ascii="Times New Roman" w:eastAsia="仿宋"/>
                <w:sz w:val="21"/>
                <w:szCs w:val="21"/>
              </w:rPr>
              <w:t>15</w:t>
            </w:r>
          </w:p>
        </w:tc>
      </w:tr>
      <w:tr w14:paraId="06787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48806ED">
            <w:pPr>
              <w:jc w:val="center"/>
              <w:rPr>
                <w:rFonts w:ascii="Times New Roman" w:eastAsia="仿宋"/>
                <w:bCs/>
                <w:sz w:val="21"/>
                <w:szCs w:val="21"/>
                <w:lang w:val="zh-CN"/>
              </w:rPr>
            </w:pPr>
            <w:r>
              <w:rPr>
                <w:rFonts w:ascii="Times New Roman" w:eastAsia="仿宋"/>
                <w:sz w:val="21"/>
                <w:szCs w:val="21"/>
              </w:rPr>
              <w:t>䓛</w:t>
            </w:r>
          </w:p>
        </w:tc>
        <w:tc>
          <w:tcPr>
            <w:tcW w:w="313" w:type="pct"/>
            <w:shd w:val="clear" w:color="auto" w:fill="auto"/>
            <w:vAlign w:val="center"/>
          </w:tcPr>
          <w:p w14:paraId="6441FEFF">
            <w:pPr>
              <w:jc w:val="center"/>
              <w:rPr>
                <w:rFonts w:ascii="Times New Roman" w:eastAsia="仿宋"/>
                <w:sz w:val="21"/>
                <w:szCs w:val="21"/>
              </w:rPr>
            </w:pPr>
            <w:r>
              <w:rPr>
                <w:rFonts w:hint="eastAsia" w:ascii="Times New Roman" w:eastAsia="仿宋"/>
                <w:sz w:val="21"/>
                <w:szCs w:val="21"/>
              </w:rPr>
              <w:t>0.1</w:t>
            </w:r>
          </w:p>
          <w:p w14:paraId="241C2034">
            <w:pPr>
              <w:jc w:val="center"/>
              <w:rPr>
                <w:rFonts w:ascii="Times New Roman" w:eastAsia="仿宋"/>
                <w:sz w:val="21"/>
                <w:szCs w:val="21"/>
              </w:rPr>
            </w:pPr>
            <w:r>
              <w:rPr>
                <w:rFonts w:hint="eastAsia" w:ascii="Times New Roman" w:eastAsia="仿宋"/>
                <w:sz w:val="21"/>
                <w:szCs w:val="21"/>
              </w:rPr>
              <w:t>mg/kg</w:t>
            </w:r>
          </w:p>
        </w:tc>
        <w:tc>
          <w:tcPr>
            <w:tcW w:w="246" w:type="pct"/>
            <w:vAlign w:val="center"/>
          </w:tcPr>
          <w:p w14:paraId="2D82D6EF">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1384551">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20CD084">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6C6BAA2">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3C0C5C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D42E9A7">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72C3D43">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24F90118">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2DBAFC0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140F193B">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5107A2FA">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4B9A767B">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F72F88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13E49DA">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37058DE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45D74D7">
            <w:pPr>
              <w:jc w:val="center"/>
              <w:rPr>
                <w:rFonts w:ascii="Times New Roman" w:eastAsia="仿宋"/>
                <w:sz w:val="21"/>
                <w:szCs w:val="21"/>
              </w:rPr>
            </w:pPr>
            <w:r>
              <w:rPr>
                <w:rFonts w:hint="eastAsia" w:ascii="Times New Roman" w:eastAsia="仿宋"/>
                <w:sz w:val="21"/>
                <w:szCs w:val="21"/>
              </w:rPr>
              <w:t>1293</w:t>
            </w:r>
          </w:p>
        </w:tc>
      </w:tr>
      <w:tr w14:paraId="7CBF6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11587731">
            <w:pPr>
              <w:jc w:val="center"/>
              <w:rPr>
                <w:rFonts w:ascii="Times New Roman" w:eastAsia="仿宋"/>
                <w:bCs/>
                <w:sz w:val="21"/>
                <w:szCs w:val="21"/>
                <w:lang w:val="zh-CN"/>
              </w:rPr>
            </w:pPr>
            <w:r>
              <w:rPr>
                <w:rFonts w:ascii="Times New Roman" w:eastAsia="仿宋"/>
                <w:bCs/>
                <w:sz w:val="21"/>
                <w:szCs w:val="21"/>
              </w:rPr>
              <w:t>苯并[b]荧蔥</w:t>
            </w:r>
          </w:p>
        </w:tc>
        <w:tc>
          <w:tcPr>
            <w:tcW w:w="313" w:type="pct"/>
            <w:shd w:val="clear" w:color="auto" w:fill="auto"/>
            <w:vAlign w:val="center"/>
          </w:tcPr>
          <w:p w14:paraId="3AD58C4A">
            <w:pPr>
              <w:jc w:val="center"/>
              <w:rPr>
                <w:rFonts w:ascii="Times New Roman" w:eastAsia="仿宋"/>
                <w:bCs/>
                <w:sz w:val="21"/>
                <w:szCs w:val="21"/>
              </w:rPr>
            </w:pPr>
            <w:r>
              <w:rPr>
                <w:rFonts w:hint="eastAsia" w:ascii="Times New Roman" w:eastAsia="仿宋"/>
                <w:bCs/>
                <w:sz w:val="21"/>
                <w:szCs w:val="21"/>
              </w:rPr>
              <w:t>0.2</w:t>
            </w:r>
          </w:p>
          <w:p w14:paraId="23C52A7F">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536ECC08">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DFBBDB1">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09891B9">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02D4E4A">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44DEDA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1308FBB6">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76C04C6A">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5D3454A2">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317E3EA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B6F7C21">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0F5F4D98">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6351EF40">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15046BE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6F208888">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6C1F636">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7C7C2D5">
            <w:pPr>
              <w:jc w:val="center"/>
              <w:rPr>
                <w:rFonts w:ascii="Times New Roman" w:eastAsia="仿宋"/>
                <w:sz w:val="21"/>
                <w:szCs w:val="21"/>
              </w:rPr>
            </w:pPr>
            <w:r>
              <w:rPr>
                <w:rFonts w:hint="eastAsia" w:ascii="Times New Roman" w:eastAsia="仿宋"/>
                <w:sz w:val="21"/>
                <w:szCs w:val="21"/>
              </w:rPr>
              <w:t>15</w:t>
            </w:r>
          </w:p>
        </w:tc>
      </w:tr>
      <w:tr w14:paraId="03146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25DF4DDC">
            <w:pPr>
              <w:jc w:val="center"/>
              <w:rPr>
                <w:rFonts w:ascii="Times New Roman" w:eastAsia="仿宋"/>
                <w:bCs/>
                <w:sz w:val="21"/>
                <w:szCs w:val="21"/>
                <w:lang w:val="zh-CN"/>
              </w:rPr>
            </w:pPr>
            <w:r>
              <w:rPr>
                <w:rFonts w:ascii="Times New Roman" w:eastAsia="仿宋"/>
                <w:bCs/>
                <w:sz w:val="21"/>
                <w:szCs w:val="21"/>
              </w:rPr>
              <w:t>苯并[k]荧蔥</w:t>
            </w:r>
          </w:p>
        </w:tc>
        <w:tc>
          <w:tcPr>
            <w:tcW w:w="313" w:type="pct"/>
            <w:shd w:val="clear" w:color="auto" w:fill="auto"/>
            <w:vAlign w:val="center"/>
          </w:tcPr>
          <w:p w14:paraId="1A44A31E">
            <w:pPr>
              <w:jc w:val="center"/>
              <w:rPr>
                <w:rFonts w:ascii="Times New Roman" w:eastAsia="仿宋"/>
                <w:bCs/>
                <w:sz w:val="21"/>
                <w:szCs w:val="21"/>
              </w:rPr>
            </w:pPr>
            <w:r>
              <w:rPr>
                <w:rFonts w:hint="eastAsia" w:ascii="Times New Roman" w:eastAsia="仿宋"/>
                <w:bCs/>
                <w:sz w:val="21"/>
                <w:szCs w:val="21"/>
              </w:rPr>
              <w:t>0.1</w:t>
            </w:r>
          </w:p>
          <w:p w14:paraId="65E5C5DF">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0A8DE336">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34E8B99">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06EDC412">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393C132D">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570E8E8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2FD937AD">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E09A272">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3F8F349">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2134B9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7C0FBA6">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287ECE20">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D3DEEB0">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53B62164">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678C27B3">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2BCD835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EF2D119">
            <w:pPr>
              <w:jc w:val="center"/>
              <w:rPr>
                <w:rFonts w:ascii="Times New Roman" w:eastAsia="仿宋"/>
                <w:sz w:val="21"/>
                <w:szCs w:val="21"/>
              </w:rPr>
            </w:pPr>
            <w:r>
              <w:rPr>
                <w:rFonts w:hint="eastAsia" w:ascii="Times New Roman" w:eastAsia="仿宋"/>
                <w:sz w:val="21"/>
                <w:szCs w:val="21"/>
              </w:rPr>
              <w:t>151</w:t>
            </w:r>
          </w:p>
        </w:tc>
      </w:tr>
      <w:tr w14:paraId="4871B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3E35C7B5">
            <w:pPr>
              <w:jc w:val="center"/>
              <w:rPr>
                <w:rFonts w:ascii="Times New Roman" w:eastAsia="仿宋"/>
                <w:bCs/>
                <w:sz w:val="21"/>
                <w:szCs w:val="21"/>
                <w:lang w:val="zh-CN"/>
              </w:rPr>
            </w:pPr>
            <w:r>
              <w:rPr>
                <w:rFonts w:ascii="Times New Roman" w:eastAsia="仿宋"/>
                <w:bCs/>
                <w:sz w:val="21"/>
                <w:szCs w:val="21"/>
              </w:rPr>
              <w:t>苯并[a]芘</w:t>
            </w:r>
          </w:p>
        </w:tc>
        <w:tc>
          <w:tcPr>
            <w:tcW w:w="313" w:type="pct"/>
            <w:shd w:val="clear" w:color="auto" w:fill="auto"/>
            <w:vAlign w:val="center"/>
          </w:tcPr>
          <w:p w14:paraId="2C8A634C">
            <w:pPr>
              <w:jc w:val="center"/>
              <w:rPr>
                <w:rFonts w:ascii="Times New Roman" w:eastAsia="仿宋"/>
                <w:bCs/>
                <w:sz w:val="21"/>
                <w:szCs w:val="21"/>
              </w:rPr>
            </w:pPr>
            <w:r>
              <w:rPr>
                <w:rFonts w:hint="eastAsia" w:ascii="Times New Roman" w:eastAsia="仿宋"/>
                <w:bCs/>
                <w:sz w:val="21"/>
                <w:szCs w:val="21"/>
              </w:rPr>
              <w:t>0.1</w:t>
            </w:r>
          </w:p>
          <w:p w14:paraId="060708D8">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7D65FF0D">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323375AE">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6BAFFD97">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29DF0DE7">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59E705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7BF6FB8">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6300BAE2">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4B04162B">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6E01A2CA">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5AB6A0F0">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BF518F8">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0B1CA6BB">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46CA889B">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6E5F3A7F">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671A987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07F6BF93">
            <w:pPr>
              <w:jc w:val="center"/>
              <w:rPr>
                <w:rFonts w:ascii="Times New Roman" w:eastAsia="仿宋"/>
                <w:sz w:val="21"/>
                <w:szCs w:val="21"/>
              </w:rPr>
            </w:pPr>
            <w:r>
              <w:rPr>
                <w:rFonts w:hint="eastAsia" w:ascii="Times New Roman" w:eastAsia="仿宋"/>
                <w:sz w:val="21"/>
                <w:szCs w:val="21"/>
              </w:rPr>
              <w:t>1.5</w:t>
            </w:r>
          </w:p>
        </w:tc>
      </w:tr>
      <w:tr w14:paraId="451BB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56A8180B">
            <w:pPr>
              <w:jc w:val="center"/>
              <w:rPr>
                <w:rFonts w:ascii="Times New Roman" w:eastAsia="仿宋"/>
                <w:bCs/>
                <w:sz w:val="21"/>
                <w:szCs w:val="21"/>
                <w:lang w:val="zh-CN"/>
              </w:rPr>
            </w:pPr>
            <w:r>
              <w:rPr>
                <w:rFonts w:ascii="Times New Roman" w:eastAsia="仿宋"/>
                <w:bCs/>
                <w:sz w:val="21"/>
                <w:szCs w:val="21"/>
              </w:rPr>
              <w:t>茚并[1,2,3-cd]芘</w:t>
            </w:r>
          </w:p>
        </w:tc>
        <w:tc>
          <w:tcPr>
            <w:tcW w:w="313" w:type="pct"/>
            <w:shd w:val="clear" w:color="auto" w:fill="auto"/>
            <w:vAlign w:val="center"/>
          </w:tcPr>
          <w:p w14:paraId="0A74CC70">
            <w:pPr>
              <w:jc w:val="center"/>
              <w:rPr>
                <w:rFonts w:ascii="Times New Roman" w:eastAsia="仿宋"/>
                <w:bCs/>
                <w:sz w:val="21"/>
                <w:szCs w:val="21"/>
              </w:rPr>
            </w:pPr>
            <w:r>
              <w:rPr>
                <w:rFonts w:hint="eastAsia" w:ascii="Times New Roman" w:eastAsia="仿宋"/>
                <w:bCs/>
                <w:sz w:val="21"/>
                <w:szCs w:val="21"/>
              </w:rPr>
              <w:t>0.1</w:t>
            </w:r>
          </w:p>
          <w:p w14:paraId="384FFB30">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533165AF">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E1AA959">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5C9CA4DE">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59E97A9C">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7107E6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6817D5E">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0A52FA75">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09621D87">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79ABF379">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998BD0C">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482F42B4">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5E29E523">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0FE77A80">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05215CA4">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3A6892A3">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28F24B1A">
            <w:pPr>
              <w:jc w:val="center"/>
              <w:rPr>
                <w:rFonts w:ascii="Times New Roman" w:eastAsia="仿宋"/>
                <w:sz w:val="21"/>
                <w:szCs w:val="21"/>
              </w:rPr>
            </w:pPr>
            <w:r>
              <w:rPr>
                <w:rFonts w:hint="eastAsia" w:ascii="Times New Roman" w:eastAsia="仿宋"/>
                <w:sz w:val="21"/>
                <w:szCs w:val="21"/>
              </w:rPr>
              <w:t>15</w:t>
            </w:r>
          </w:p>
        </w:tc>
      </w:tr>
      <w:tr w14:paraId="30B8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8" w:type="pct"/>
            <w:shd w:val="clear" w:color="auto" w:fill="auto"/>
            <w:vAlign w:val="center"/>
          </w:tcPr>
          <w:p w14:paraId="41B46AD2">
            <w:pPr>
              <w:jc w:val="center"/>
              <w:rPr>
                <w:rFonts w:ascii="Times New Roman" w:eastAsia="仿宋"/>
                <w:bCs/>
                <w:sz w:val="21"/>
                <w:szCs w:val="21"/>
                <w:lang w:val="zh-CN"/>
              </w:rPr>
            </w:pPr>
            <w:r>
              <w:rPr>
                <w:rFonts w:ascii="Times New Roman" w:eastAsia="仿宋"/>
                <w:bCs/>
                <w:sz w:val="21"/>
                <w:szCs w:val="21"/>
              </w:rPr>
              <w:t>二苯并[a,h]蔥</w:t>
            </w:r>
          </w:p>
        </w:tc>
        <w:tc>
          <w:tcPr>
            <w:tcW w:w="313" w:type="pct"/>
            <w:shd w:val="clear" w:color="auto" w:fill="auto"/>
            <w:vAlign w:val="center"/>
          </w:tcPr>
          <w:p w14:paraId="23DA6A95">
            <w:pPr>
              <w:jc w:val="center"/>
              <w:rPr>
                <w:rFonts w:ascii="Times New Roman" w:eastAsia="仿宋"/>
                <w:bCs/>
                <w:sz w:val="21"/>
                <w:szCs w:val="21"/>
              </w:rPr>
            </w:pPr>
            <w:r>
              <w:rPr>
                <w:rFonts w:hint="eastAsia" w:ascii="Times New Roman" w:eastAsia="仿宋"/>
                <w:bCs/>
                <w:sz w:val="21"/>
                <w:szCs w:val="21"/>
              </w:rPr>
              <w:t>0.1</w:t>
            </w:r>
          </w:p>
          <w:p w14:paraId="27006BBA">
            <w:pPr>
              <w:jc w:val="center"/>
              <w:rPr>
                <w:rFonts w:ascii="Times New Roman" w:eastAsia="仿宋"/>
                <w:bCs/>
                <w:sz w:val="21"/>
                <w:szCs w:val="21"/>
              </w:rPr>
            </w:pPr>
            <w:r>
              <w:rPr>
                <w:rFonts w:hint="eastAsia" w:ascii="Times New Roman" w:eastAsia="仿宋"/>
                <w:sz w:val="21"/>
                <w:szCs w:val="21"/>
              </w:rPr>
              <w:t>mg/kg</w:t>
            </w:r>
          </w:p>
        </w:tc>
        <w:tc>
          <w:tcPr>
            <w:tcW w:w="246" w:type="pct"/>
            <w:vAlign w:val="center"/>
          </w:tcPr>
          <w:p w14:paraId="5EAFC194">
            <w:pPr>
              <w:autoSpaceDE w:val="0"/>
              <w:autoSpaceDN w:val="0"/>
              <w:adjustRightInd w:val="0"/>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211FB49C">
            <w:pPr>
              <w:jc w:val="center"/>
              <w:rPr>
                <w:rFonts w:ascii="Times New Roman" w:eastAsia="仿宋"/>
                <w:sz w:val="21"/>
                <w:szCs w:val="21"/>
              </w:rPr>
            </w:pPr>
            <w:r>
              <w:rPr>
                <w:rFonts w:hint="eastAsia" w:ascii="Times New Roman" w:eastAsia="仿宋"/>
                <w:sz w:val="21"/>
                <w:szCs w:val="21"/>
              </w:rPr>
              <w:t>ND</w:t>
            </w:r>
          </w:p>
        </w:tc>
        <w:tc>
          <w:tcPr>
            <w:tcW w:w="290" w:type="pct"/>
            <w:vAlign w:val="center"/>
          </w:tcPr>
          <w:p w14:paraId="13C40F9F">
            <w:pPr>
              <w:jc w:val="center"/>
              <w:rPr>
                <w:rFonts w:ascii="Times New Roman" w:eastAsia="仿宋"/>
                <w:sz w:val="21"/>
                <w:szCs w:val="21"/>
              </w:rPr>
            </w:pPr>
            <w:r>
              <w:rPr>
                <w:rFonts w:hint="eastAsia" w:ascii="Times New Roman" w:eastAsia="仿宋"/>
                <w:sz w:val="21"/>
                <w:szCs w:val="21"/>
              </w:rPr>
              <w:t>ND</w:t>
            </w:r>
          </w:p>
        </w:tc>
        <w:tc>
          <w:tcPr>
            <w:tcW w:w="292" w:type="pct"/>
            <w:vAlign w:val="center"/>
          </w:tcPr>
          <w:p w14:paraId="032C8B27">
            <w:pPr>
              <w:jc w:val="center"/>
              <w:rPr>
                <w:rFonts w:ascii="Times New Roman" w:eastAsia="仿宋"/>
                <w:sz w:val="21"/>
                <w:szCs w:val="21"/>
              </w:rPr>
            </w:pPr>
            <w:r>
              <w:rPr>
                <w:rFonts w:hint="eastAsia" w:ascii="Times New Roman" w:eastAsia="仿宋"/>
                <w:sz w:val="21"/>
                <w:szCs w:val="21"/>
              </w:rPr>
              <w:t>ND</w:t>
            </w:r>
          </w:p>
        </w:tc>
        <w:tc>
          <w:tcPr>
            <w:tcW w:w="246" w:type="pct"/>
            <w:vAlign w:val="center"/>
          </w:tcPr>
          <w:p w14:paraId="1ABE3722">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4285F45E">
            <w:pPr>
              <w:jc w:val="center"/>
              <w:rPr>
                <w:rFonts w:ascii="Times New Roman" w:eastAsia="仿宋"/>
                <w:sz w:val="21"/>
                <w:szCs w:val="21"/>
              </w:rPr>
            </w:pPr>
            <w:r>
              <w:rPr>
                <w:rFonts w:hint="eastAsia" w:ascii="Times New Roman" w:eastAsia="仿宋"/>
                <w:sz w:val="21"/>
                <w:szCs w:val="21"/>
              </w:rPr>
              <w:t>/</w:t>
            </w:r>
          </w:p>
        </w:tc>
        <w:tc>
          <w:tcPr>
            <w:tcW w:w="290" w:type="pct"/>
            <w:vAlign w:val="center"/>
          </w:tcPr>
          <w:p w14:paraId="5B3C8A14">
            <w:pPr>
              <w:jc w:val="center"/>
              <w:rPr>
                <w:rFonts w:ascii="Times New Roman" w:eastAsia="仿宋"/>
                <w:sz w:val="21"/>
                <w:szCs w:val="21"/>
              </w:rPr>
            </w:pPr>
            <w:r>
              <w:rPr>
                <w:rFonts w:hint="eastAsia" w:ascii="Times New Roman" w:eastAsia="仿宋"/>
                <w:sz w:val="21"/>
                <w:szCs w:val="21"/>
              </w:rPr>
              <w:t>/</w:t>
            </w:r>
          </w:p>
        </w:tc>
        <w:tc>
          <w:tcPr>
            <w:tcW w:w="292" w:type="pct"/>
            <w:vAlign w:val="center"/>
          </w:tcPr>
          <w:p w14:paraId="5EB9841C">
            <w:pPr>
              <w:jc w:val="center"/>
              <w:rPr>
                <w:rFonts w:ascii="Times New Roman" w:eastAsia="仿宋"/>
                <w:sz w:val="21"/>
                <w:szCs w:val="21"/>
              </w:rPr>
            </w:pPr>
            <w:r>
              <w:rPr>
                <w:rFonts w:hint="eastAsia" w:ascii="Times New Roman" w:eastAsia="仿宋"/>
                <w:sz w:val="21"/>
                <w:szCs w:val="21"/>
              </w:rPr>
              <w:t>/</w:t>
            </w:r>
          </w:p>
        </w:tc>
        <w:tc>
          <w:tcPr>
            <w:tcW w:w="246" w:type="pct"/>
            <w:vAlign w:val="center"/>
          </w:tcPr>
          <w:p w14:paraId="5884C82E">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9" w:type="pct"/>
            <w:vAlign w:val="center"/>
          </w:tcPr>
          <w:p w14:paraId="2E366C52">
            <w:pPr>
              <w:jc w:val="center"/>
              <w:rPr>
                <w:rFonts w:ascii="Times New Roman" w:eastAsia="仿宋"/>
                <w:sz w:val="21"/>
                <w:szCs w:val="21"/>
              </w:rPr>
            </w:pPr>
            <w:r>
              <w:rPr>
                <w:rFonts w:hint="eastAsia" w:ascii="Times New Roman" w:eastAsia="仿宋"/>
                <w:sz w:val="21"/>
                <w:szCs w:val="21"/>
              </w:rPr>
              <w:t>/</w:t>
            </w:r>
          </w:p>
        </w:tc>
        <w:tc>
          <w:tcPr>
            <w:tcW w:w="229" w:type="pct"/>
            <w:vAlign w:val="center"/>
          </w:tcPr>
          <w:p w14:paraId="7240BC87">
            <w:pPr>
              <w:jc w:val="center"/>
              <w:rPr>
                <w:rFonts w:ascii="Times New Roman" w:eastAsia="仿宋"/>
                <w:sz w:val="21"/>
                <w:szCs w:val="21"/>
              </w:rPr>
            </w:pPr>
            <w:r>
              <w:rPr>
                <w:rFonts w:hint="eastAsia" w:ascii="Times New Roman" w:eastAsia="仿宋"/>
                <w:sz w:val="21"/>
                <w:szCs w:val="21"/>
              </w:rPr>
              <w:t>/</w:t>
            </w:r>
          </w:p>
        </w:tc>
        <w:tc>
          <w:tcPr>
            <w:tcW w:w="267" w:type="pct"/>
            <w:vAlign w:val="center"/>
          </w:tcPr>
          <w:p w14:paraId="77FBC1CF">
            <w:pPr>
              <w:jc w:val="center"/>
              <w:rPr>
                <w:rFonts w:ascii="Times New Roman" w:eastAsia="仿宋"/>
                <w:sz w:val="21"/>
                <w:szCs w:val="21"/>
              </w:rPr>
            </w:pPr>
            <w:r>
              <w:rPr>
                <w:rFonts w:hint="eastAsia" w:ascii="Times New Roman" w:eastAsia="仿宋"/>
                <w:sz w:val="21"/>
                <w:szCs w:val="21"/>
              </w:rPr>
              <w:t>/</w:t>
            </w:r>
          </w:p>
        </w:tc>
        <w:tc>
          <w:tcPr>
            <w:tcW w:w="268" w:type="pct"/>
            <w:vAlign w:val="center"/>
          </w:tcPr>
          <w:p w14:paraId="25EA2AC7">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45" w:type="pct"/>
            <w:shd w:val="clear" w:color="auto" w:fill="auto"/>
            <w:vAlign w:val="center"/>
          </w:tcPr>
          <w:p w14:paraId="54B3382F">
            <w:pPr>
              <w:jc w:val="center"/>
              <w:rPr>
                <w:rFonts w:ascii="Times New Roman" w:eastAsia="仿宋"/>
                <w:sz w:val="21"/>
                <w:szCs w:val="21"/>
              </w:rPr>
            </w:pPr>
            <w:r>
              <w:rPr>
                <w:rFonts w:hint="eastAsia" w:ascii="Times New Roman" w:eastAsia="仿宋"/>
                <w:sz w:val="21"/>
                <w:szCs w:val="21"/>
              </w:rPr>
              <w:t>ND</w:t>
            </w:r>
          </w:p>
        </w:tc>
        <w:tc>
          <w:tcPr>
            <w:tcW w:w="245" w:type="pct"/>
            <w:vAlign w:val="center"/>
          </w:tcPr>
          <w:p w14:paraId="0A53DC2F">
            <w:pPr>
              <w:autoSpaceDE w:val="0"/>
              <w:autoSpaceDN w:val="0"/>
              <w:adjustRightInd w:val="0"/>
              <w:jc w:val="center"/>
              <w:rPr>
                <w:rFonts w:ascii="Times New Roman" w:eastAsia="仿宋"/>
                <w:sz w:val="21"/>
                <w:szCs w:val="21"/>
              </w:rPr>
            </w:pPr>
            <w:r>
              <w:rPr>
                <w:rFonts w:hint="eastAsia" w:ascii="Times New Roman" w:eastAsia="仿宋"/>
                <w:sz w:val="21"/>
                <w:szCs w:val="21"/>
              </w:rPr>
              <w:t>/</w:t>
            </w:r>
          </w:p>
        </w:tc>
        <w:tc>
          <w:tcPr>
            <w:tcW w:w="288" w:type="pct"/>
            <w:vAlign w:val="center"/>
          </w:tcPr>
          <w:p w14:paraId="5D750CCF">
            <w:pPr>
              <w:jc w:val="center"/>
              <w:rPr>
                <w:rFonts w:ascii="Times New Roman" w:eastAsia="仿宋"/>
                <w:sz w:val="21"/>
                <w:szCs w:val="21"/>
              </w:rPr>
            </w:pPr>
            <w:r>
              <w:rPr>
                <w:rFonts w:hint="eastAsia" w:ascii="Times New Roman" w:eastAsia="仿宋"/>
                <w:sz w:val="21"/>
                <w:szCs w:val="21"/>
              </w:rPr>
              <w:t>1.5</w:t>
            </w:r>
          </w:p>
        </w:tc>
      </w:tr>
    </w:tbl>
    <w:p w14:paraId="0AE84C10">
      <w:pPr>
        <w:spacing w:line="500" w:lineRule="exact"/>
        <w:ind w:firstLine="560" w:firstLineChars="200"/>
        <w:rPr>
          <w:rFonts w:ascii="Times New Roman" w:eastAsia="仿宋"/>
          <w:sz w:val="28"/>
          <w:szCs w:val="28"/>
        </w:rPr>
      </w:pPr>
      <w:r>
        <w:rPr>
          <w:rFonts w:ascii="Times New Roman" w:eastAsia="仿宋"/>
          <w:sz w:val="28"/>
          <w:szCs w:val="28"/>
        </w:rPr>
        <w:t>由上表可见，所测各项土壤指标均</w:t>
      </w:r>
      <w:r>
        <w:rPr>
          <w:rFonts w:hint="eastAsia" w:ascii="Times New Roman" w:eastAsia="仿宋"/>
          <w:sz w:val="28"/>
          <w:szCs w:val="28"/>
        </w:rPr>
        <w:t>低于</w:t>
      </w:r>
      <w:r>
        <w:rPr>
          <w:rFonts w:ascii="Times New Roman" w:eastAsia="仿宋"/>
          <w:sz w:val="28"/>
          <w:szCs w:val="28"/>
        </w:rPr>
        <w:t>国家《土壤环境质量建设用地土壤污染风险管控标准（试行）》(GB36600-2018)中第二类用地</w:t>
      </w:r>
      <w:r>
        <w:rPr>
          <w:rFonts w:hint="eastAsia" w:ascii="Times New Roman" w:eastAsia="仿宋"/>
          <w:sz w:val="28"/>
          <w:szCs w:val="28"/>
        </w:rPr>
        <w:t>土壤污染风险筛选值</w:t>
      </w:r>
      <w:r>
        <w:rPr>
          <w:rFonts w:ascii="Times New Roman" w:eastAsia="仿宋"/>
          <w:sz w:val="28"/>
          <w:szCs w:val="28"/>
        </w:rPr>
        <w:t>。</w:t>
      </w:r>
    </w:p>
    <w:p w14:paraId="1757F404">
      <w:pPr>
        <w:spacing w:line="500" w:lineRule="exact"/>
        <w:jc w:val="center"/>
        <w:rPr>
          <w:rFonts w:ascii="Times New Roman" w:eastAsia="仿宋"/>
          <w:b/>
        </w:rPr>
      </w:pPr>
    </w:p>
    <w:p w14:paraId="1777A422">
      <w:pPr>
        <w:pStyle w:val="2"/>
        <w:rPr>
          <w:rFonts w:eastAsia="仿宋"/>
          <w:b/>
        </w:rPr>
      </w:pPr>
    </w:p>
    <w:p w14:paraId="01715F4A">
      <w:pPr>
        <w:pStyle w:val="2"/>
        <w:rPr>
          <w:rFonts w:eastAsia="仿宋"/>
          <w:b/>
        </w:rPr>
        <w:sectPr>
          <w:pgSz w:w="16838" w:h="11906" w:orient="landscape"/>
          <w:pgMar w:top="1440" w:right="1797" w:bottom="1440" w:left="1797" w:header="851" w:footer="992" w:gutter="0"/>
          <w:cols w:space="720" w:num="1"/>
          <w:docGrid w:linePitch="312" w:charSpace="0"/>
        </w:sectPr>
      </w:pPr>
    </w:p>
    <w:p w14:paraId="1784C1BA">
      <w:pPr>
        <w:pStyle w:val="5"/>
        <w:numPr>
          <w:ilvl w:val="0"/>
          <w:numId w:val="0"/>
        </w:numPr>
        <w:rPr>
          <w:rFonts w:eastAsia="仿宋"/>
          <w:color w:val="auto"/>
        </w:rPr>
      </w:pPr>
      <w:bookmarkStart w:id="309" w:name="_Toc182553818"/>
      <w:r>
        <w:rPr>
          <w:rFonts w:hint="eastAsia" w:eastAsia="仿宋"/>
          <w:color w:val="auto"/>
        </w:rPr>
        <w:t>4</w:t>
      </w:r>
      <w:r>
        <w:rPr>
          <w:rFonts w:eastAsia="仿宋"/>
          <w:color w:val="auto"/>
        </w:rPr>
        <w:t>.3区域污染源调查与评价</w:t>
      </w:r>
      <w:bookmarkEnd w:id="309"/>
    </w:p>
    <w:p w14:paraId="03E66A92">
      <w:pPr>
        <w:pStyle w:val="81"/>
        <w:adjustRightInd w:val="0"/>
        <w:snapToGrid w:val="0"/>
        <w:spacing w:line="500" w:lineRule="exact"/>
        <w:ind w:firstLine="560" w:firstLineChars="200"/>
        <w:rPr>
          <w:rFonts w:eastAsia="仿宋"/>
          <w:sz w:val="28"/>
          <w:szCs w:val="28"/>
        </w:rPr>
      </w:pPr>
      <w:r>
        <w:rPr>
          <w:rFonts w:hint="eastAsia" w:eastAsia="仿宋"/>
          <w:sz w:val="28"/>
          <w:szCs w:val="28"/>
        </w:rPr>
        <w:t>根据现场踏勘和资料调查，项目周围主要污染源为废水和废气，根据企业排污申报资料，结合实际调查，对该评价区内已建、在建和拟建项目的各污染源、污染因子、排放量进行核实和汇总，筛选出评价区域内的废气主要污染源和污染因子。</w:t>
      </w:r>
    </w:p>
    <w:p w14:paraId="152311D6">
      <w:pPr>
        <w:pStyle w:val="6"/>
        <w:keepLines w:val="0"/>
        <w:tabs>
          <w:tab w:val="left" w:pos="709"/>
        </w:tabs>
        <w:spacing w:before="0" w:after="120" w:afterLines="50" w:line="500" w:lineRule="exact"/>
        <w:rPr>
          <w:rFonts w:ascii="Times New Roman" w:eastAsia="仿宋"/>
          <w:sz w:val="30"/>
          <w:szCs w:val="30"/>
        </w:rPr>
      </w:pPr>
      <w:r>
        <w:rPr>
          <w:rFonts w:hint="eastAsia" w:ascii="Times New Roman" w:eastAsia="仿宋"/>
          <w:sz w:val="30"/>
          <w:szCs w:val="30"/>
        </w:rPr>
        <w:t>4</w:t>
      </w:r>
      <w:r>
        <w:rPr>
          <w:rFonts w:ascii="Times New Roman" w:eastAsia="仿宋"/>
          <w:sz w:val="30"/>
          <w:szCs w:val="30"/>
        </w:rPr>
        <w:t>.3.1大气污染物现状调查与评价</w:t>
      </w:r>
    </w:p>
    <w:p w14:paraId="7A2EC773">
      <w:pPr>
        <w:spacing w:line="500" w:lineRule="exact"/>
        <w:ind w:firstLine="560" w:firstLineChars="200"/>
        <w:rPr>
          <w:rFonts w:ascii="Times New Roman" w:eastAsia="仿宋"/>
          <w:sz w:val="28"/>
          <w:szCs w:val="28"/>
        </w:rPr>
      </w:pPr>
      <w:r>
        <w:rPr>
          <w:rFonts w:ascii="Times New Roman" w:eastAsia="仿宋"/>
          <w:sz w:val="28"/>
          <w:szCs w:val="28"/>
        </w:rPr>
        <w:t>根据现状调查，项目周围废气污染物排放状况见表4.3-1。</w:t>
      </w:r>
    </w:p>
    <w:p w14:paraId="6E10BE38">
      <w:pPr>
        <w:spacing w:line="500" w:lineRule="exact"/>
        <w:jc w:val="center"/>
        <w:rPr>
          <w:rFonts w:ascii="Times New Roman" w:eastAsia="仿宋"/>
          <w:b/>
          <w:szCs w:val="24"/>
        </w:rPr>
      </w:pPr>
      <w:r>
        <w:rPr>
          <w:rFonts w:hint="eastAsia" w:ascii="Times New Roman" w:eastAsia="仿宋"/>
          <w:b/>
        </w:rPr>
        <w:t>表4.3-1评价</w:t>
      </w:r>
      <w:r>
        <w:rPr>
          <w:rFonts w:ascii="Times New Roman" w:eastAsia="仿宋"/>
          <w:b/>
        </w:rPr>
        <w:t>区域废气污染物排放现状一览表</w:t>
      </w:r>
      <w:r>
        <w:rPr>
          <w:rFonts w:hint="eastAsia" w:ascii="Times New Roman" w:eastAsia="仿宋"/>
          <w:b/>
        </w:rPr>
        <w:t xml:space="preserve"> </w:t>
      </w:r>
      <w:r>
        <w:rPr>
          <w:rFonts w:ascii="Times New Roman" w:eastAsia="仿宋"/>
          <w:b/>
          <w:szCs w:val="24"/>
        </w:rPr>
        <w:t>单位：t/a</w:t>
      </w:r>
    </w:p>
    <w:tbl>
      <w:tblPr>
        <w:tblStyle w:val="87"/>
        <w:tblW w:w="5000" w:type="pct"/>
        <w:jc w:val="center"/>
        <w:tblLayout w:type="fixed"/>
        <w:tblCellMar>
          <w:top w:w="0" w:type="dxa"/>
          <w:left w:w="108" w:type="dxa"/>
          <w:bottom w:w="0" w:type="dxa"/>
          <w:right w:w="108" w:type="dxa"/>
        </w:tblCellMar>
      </w:tblPr>
      <w:tblGrid>
        <w:gridCol w:w="557"/>
        <w:gridCol w:w="3296"/>
        <w:gridCol w:w="833"/>
        <w:gridCol w:w="971"/>
        <w:gridCol w:w="964"/>
        <w:gridCol w:w="1106"/>
        <w:gridCol w:w="1516"/>
      </w:tblGrid>
      <w:tr w14:paraId="641C193D">
        <w:tblPrEx>
          <w:tblCellMar>
            <w:top w:w="0" w:type="dxa"/>
            <w:left w:w="108" w:type="dxa"/>
            <w:bottom w:w="0" w:type="dxa"/>
            <w:right w:w="108" w:type="dxa"/>
          </w:tblCellMar>
        </w:tblPrEx>
        <w:trPr>
          <w:trHeight w:val="20" w:hRule="atLeast"/>
          <w:tblHeade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A7F1FA9">
            <w:pPr>
              <w:widowControl/>
              <w:jc w:val="center"/>
              <w:rPr>
                <w:rFonts w:ascii="Times New Roman" w:eastAsia="仿宋"/>
                <w:sz w:val="21"/>
                <w:szCs w:val="21"/>
              </w:rPr>
            </w:pPr>
            <w:r>
              <w:rPr>
                <w:rFonts w:ascii="Times New Roman" w:eastAsia="仿宋"/>
                <w:sz w:val="21"/>
                <w:szCs w:val="21"/>
              </w:rPr>
              <w:t>序号</w:t>
            </w:r>
          </w:p>
        </w:tc>
        <w:tc>
          <w:tcPr>
            <w:tcW w:w="3408" w:type="dxa"/>
            <w:tcBorders>
              <w:top w:val="single" w:color="auto" w:sz="4" w:space="0"/>
              <w:left w:val="nil"/>
              <w:bottom w:val="single" w:color="auto" w:sz="4" w:space="0"/>
              <w:right w:val="single" w:color="auto" w:sz="4" w:space="0"/>
            </w:tcBorders>
            <w:shd w:val="clear" w:color="auto" w:fill="auto"/>
            <w:vAlign w:val="center"/>
          </w:tcPr>
          <w:p w14:paraId="61F17CEB">
            <w:pPr>
              <w:widowControl/>
              <w:jc w:val="center"/>
              <w:rPr>
                <w:rFonts w:ascii="Times New Roman" w:eastAsia="仿宋"/>
                <w:sz w:val="21"/>
                <w:szCs w:val="21"/>
              </w:rPr>
            </w:pPr>
            <w:r>
              <w:rPr>
                <w:rFonts w:ascii="Times New Roman" w:eastAsia="仿宋"/>
                <w:sz w:val="21"/>
                <w:szCs w:val="21"/>
              </w:rPr>
              <w:t>企业名称</w:t>
            </w:r>
          </w:p>
        </w:tc>
        <w:tc>
          <w:tcPr>
            <w:tcW w:w="850" w:type="dxa"/>
            <w:tcBorders>
              <w:top w:val="single" w:color="auto" w:sz="4" w:space="0"/>
              <w:left w:val="nil"/>
              <w:bottom w:val="single" w:color="auto" w:sz="4" w:space="0"/>
              <w:right w:val="single" w:color="auto" w:sz="4" w:space="0"/>
            </w:tcBorders>
            <w:shd w:val="clear" w:color="auto" w:fill="auto"/>
            <w:vAlign w:val="center"/>
          </w:tcPr>
          <w:p w14:paraId="3ECE3AE9">
            <w:pPr>
              <w:widowControl/>
              <w:jc w:val="center"/>
              <w:rPr>
                <w:rFonts w:ascii="Times New Roman" w:eastAsia="仿宋"/>
                <w:sz w:val="21"/>
                <w:szCs w:val="21"/>
              </w:rPr>
            </w:pPr>
            <w:r>
              <w:rPr>
                <w:rFonts w:ascii="Times New Roman" w:eastAsia="仿宋"/>
                <w:sz w:val="21"/>
                <w:szCs w:val="21"/>
              </w:rPr>
              <w:t>粉尘</w:t>
            </w:r>
          </w:p>
        </w:tc>
        <w:tc>
          <w:tcPr>
            <w:tcW w:w="993" w:type="dxa"/>
            <w:tcBorders>
              <w:top w:val="single" w:color="auto" w:sz="4" w:space="0"/>
              <w:left w:val="nil"/>
              <w:bottom w:val="single" w:color="auto" w:sz="4" w:space="0"/>
              <w:right w:val="single" w:color="auto" w:sz="4" w:space="0"/>
            </w:tcBorders>
            <w:shd w:val="clear" w:color="auto" w:fill="auto"/>
            <w:vAlign w:val="center"/>
          </w:tcPr>
          <w:p w14:paraId="567519C2">
            <w:pPr>
              <w:widowControl/>
              <w:jc w:val="center"/>
              <w:rPr>
                <w:rFonts w:ascii="Times New Roman" w:eastAsia="仿宋"/>
                <w:sz w:val="21"/>
                <w:szCs w:val="21"/>
              </w:rPr>
            </w:pPr>
            <w:r>
              <w:rPr>
                <w:rFonts w:ascii="Times New Roman" w:eastAsia="仿宋"/>
                <w:sz w:val="21"/>
                <w:szCs w:val="21"/>
              </w:rPr>
              <w:t>SO</w:t>
            </w:r>
            <w:r>
              <w:rPr>
                <w:rFonts w:ascii="Times New Roman" w:eastAsia="仿宋"/>
                <w:sz w:val="21"/>
                <w:szCs w:val="21"/>
                <w:vertAlign w:val="subscript"/>
              </w:rPr>
              <w:t>2</w:t>
            </w:r>
          </w:p>
        </w:tc>
        <w:tc>
          <w:tcPr>
            <w:tcW w:w="986" w:type="dxa"/>
            <w:tcBorders>
              <w:top w:val="single" w:color="auto" w:sz="4" w:space="0"/>
              <w:left w:val="nil"/>
              <w:bottom w:val="single" w:color="auto" w:sz="4" w:space="0"/>
              <w:right w:val="single" w:color="auto" w:sz="4" w:space="0"/>
            </w:tcBorders>
            <w:shd w:val="clear" w:color="auto" w:fill="auto"/>
            <w:vAlign w:val="center"/>
          </w:tcPr>
          <w:p w14:paraId="507C14CE">
            <w:pPr>
              <w:widowControl/>
              <w:jc w:val="center"/>
              <w:rPr>
                <w:rFonts w:ascii="Times New Roman" w:eastAsia="仿宋"/>
                <w:sz w:val="21"/>
                <w:szCs w:val="21"/>
              </w:rPr>
            </w:pPr>
            <w:r>
              <w:rPr>
                <w:rFonts w:ascii="Times New Roman" w:eastAsia="仿宋"/>
                <w:sz w:val="21"/>
                <w:szCs w:val="21"/>
              </w:rPr>
              <w:t>NO</w:t>
            </w:r>
            <w:r>
              <w:rPr>
                <w:rFonts w:ascii="Times New Roman" w:eastAsia="仿宋"/>
                <w:sz w:val="21"/>
                <w:szCs w:val="21"/>
                <w:vertAlign w:val="subscript"/>
              </w:rPr>
              <w:t>X</w:t>
            </w:r>
          </w:p>
        </w:tc>
        <w:tc>
          <w:tcPr>
            <w:tcW w:w="1134" w:type="dxa"/>
            <w:tcBorders>
              <w:top w:val="single" w:color="auto" w:sz="4" w:space="0"/>
              <w:left w:val="nil"/>
              <w:bottom w:val="single" w:color="auto" w:sz="4" w:space="0"/>
              <w:right w:val="single" w:color="auto" w:sz="4" w:space="0"/>
            </w:tcBorders>
            <w:shd w:val="clear" w:color="auto" w:fill="auto"/>
            <w:vAlign w:val="center"/>
          </w:tcPr>
          <w:p w14:paraId="1148052D">
            <w:pPr>
              <w:widowControl/>
              <w:jc w:val="center"/>
              <w:rPr>
                <w:rFonts w:ascii="Times New Roman" w:eastAsia="仿宋"/>
                <w:sz w:val="21"/>
                <w:szCs w:val="21"/>
              </w:rPr>
            </w:pPr>
            <w:r>
              <w:rPr>
                <w:rFonts w:ascii="Times New Roman" w:eastAsia="仿宋"/>
                <w:sz w:val="21"/>
                <w:szCs w:val="21"/>
              </w:rPr>
              <w:t>vocs（非甲烷总烃）</w:t>
            </w:r>
          </w:p>
        </w:tc>
        <w:tc>
          <w:tcPr>
            <w:tcW w:w="1560" w:type="dxa"/>
            <w:tcBorders>
              <w:top w:val="single" w:color="auto" w:sz="4" w:space="0"/>
              <w:left w:val="nil"/>
              <w:bottom w:val="single" w:color="auto" w:sz="4" w:space="0"/>
              <w:right w:val="single" w:color="auto" w:sz="4" w:space="0"/>
            </w:tcBorders>
            <w:shd w:val="clear" w:color="auto" w:fill="auto"/>
            <w:vAlign w:val="center"/>
          </w:tcPr>
          <w:p w14:paraId="06B5F419">
            <w:pPr>
              <w:widowControl/>
              <w:jc w:val="center"/>
              <w:rPr>
                <w:rFonts w:ascii="Times New Roman" w:eastAsia="仿宋"/>
                <w:sz w:val="21"/>
                <w:szCs w:val="21"/>
              </w:rPr>
            </w:pPr>
            <w:r>
              <w:rPr>
                <w:rFonts w:ascii="Times New Roman" w:eastAsia="仿宋"/>
                <w:sz w:val="21"/>
                <w:szCs w:val="21"/>
              </w:rPr>
              <w:t>其他特征污染物</w:t>
            </w:r>
          </w:p>
        </w:tc>
      </w:tr>
      <w:tr w14:paraId="0290D1FD">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203A30C6">
            <w:pPr>
              <w:widowControl/>
              <w:jc w:val="center"/>
              <w:rPr>
                <w:rFonts w:ascii="Times New Roman" w:eastAsia="仿宋"/>
                <w:sz w:val="21"/>
                <w:szCs w:val="21"/>
              </w:rPr>
            </w:pPr>
            <w:r>
              <w:rPr>
                <w:rFonts w:ascii="Times New Roman" w:eastAsia="仿宋"/>
                <w:sz w:val="21"/>
                <w:szCs w:val="21"/>
              </w:rPr>
              <w:t>1</w:t>
            </w:r>
          </w:p>
        </w:tc>
        <w:tc>
          <w:tcPr>
            <w:tcW w:w="3408" w:type="dxa"/>
            <w:tcBorders>
              <w:top w:val="nil"/>
              <w:left w:val="nil"/>
              <w:bottom w:val="single" w:color="auto" w:sz="4" w:space="0"/>
              <w:right w:val="single" w:color="auto" w:sz="4" w:space="0"/>
            </w:tcBorders>
            <w:shd w:val="clear" w:color="auto" w:fill="auto"/>
            <w:vAlign w:val="center"/>
          </w:tcPr>
          <w:p w14:paraId="47546D30">
            <w:pPr>
              <w:widowControl/>
              <w:jc w:val="center"/>
              <w:rPr>
                <w:rFonts w:ascii="Times New Roman" w:eastAsia="仿宋"/>
                <w:sz w:val="21"/>
                <w:szCs w:val="21"/>
              </w:rPr>
            </w:pPr>
            <w:r>
              <w:rPr>
                <w:rFonts w:ascii="Times New Roman" w:eastAsia="仿宋"/>
                <w:sz w:val="21"/>
                <w:szCs w:val="21"/>
              </w:rPr>
              <w:t>凡登（常州）新型金属材料技术有限公司</w:t>
            </w:r>
          </w:p>
        </w:tc>
        <w:tc>
          <w:tcPr>
            <w:tcW w:w="850" w:type="dxa"/>
            <w:tcBorders>
              <w:top w:val="nil"/>
              <w:left w:val="nil"/>
              <w:bottom w:val="single" w:color="auto" w:sz="4" w:space="0"/>
              <w:right w:val="single" w:color="auto" w:sz="4" w:space="0"/>
            </w:tcBorders>
            <w:shd w:val="clear" w:color="auto" w:fill="auto"/>
            <w:vAlign w:val="center"/>
          </w:tcPr>
          <w:p w14:paraId="677B3DC5">
            <w:pPr>
              <w:widowControl/>
              <w:jc w:val="center"/>
              <w:rPr>
                <w:rFonts w:ascii="Times New Roman" w:eastAsia="仿宋"/>
                <w:sz w:val="21"/>
                <w:szCs w:val="21"/>
              </w:rPr>
            </w:pPr>
            <w:r>
              <w:rPr>
                <w:rFonts w:ascii="Times New Roman" w:eastAsia="仿宋"/>
                <w:sz w:val="21"/>
                <w:szCs w:val="21"/>
              </w:rPr>
              <w:t>1.908</w:t>
            </w:r>
          </w:p>
        </w:tc>
        <w:tc>
          <w:tcPr>
            <w:tcW w:w="993" w:type="dxa"/>
            <w:tcBorders>
              <w:top w:val="nil"/>
              <w:left w:val="nil"/>
              <w:bottom w:val="single" w:color="auto" w:sz="4" w:space="0"/>
              <w:right w:val="single" w:color="auto" w:sz="4" w:space="0"/>
            </w:tcBorders>
            <w:shd w:val="clear" w:color="auto" w:fill="auto"/>
            <w:vAlign w:val="center"/>
          </w:tcPr>
          <w:p w14:paraId="7FF9D69C">
            <w:pPr>
              <w:widowControl/>
              <w:jc w:val="center"/>
              <w:rPr>
                <w:rFonts w:ascii="Times New Roman" w:eastAsia="仿宋"/>
                <w:sz w:val="21"/>
                <w:szCs w:val="21"/>
              </w:rPr>
            </w:pPr>
            <w:r>
              <w:rPr>
                <w:rFonts w:ascii="Times New Roman" w:eastAsia="仿宋"/>
                <w:sz w:val="21"/>
                <w:szCs w:val="21"/>
              </w:rPr>
              <w:t>0.7</w:t>
            </w:r>
          </w:p>
        </w:tc>
        <w:tc>
          <w:tcPr>
            <w:tcW w:w="986" w:type="dxa"/>
            <w:tcBorders>
              <w:top w:val="nil"/>
              <w:left w:val="nil"/>
              <w:bottom w:val="single" w:color="auto" w:sz="4" w:space="0"/>
              <w:right w:val="single" w:color="auto" w:sz="4" w:space="0"/>
            </w:tcBorders>
            <w:shd w:val="clear" w:color="auto" w:fill="auto"/>
            <w:vAlign w:val="center"/>
          </w:tcPr>
          <w:p w14:paraId="05629FF9">
            <w:pPr>
              <w:widowControl/>
              <w:jc w:val="center"/>
              <w:rPr>
                <w:rFonts w:ascii="Times New Roman" w:eastAsia="仿宋"/>
                <w:sz w:val="21"/>
                <w:szCs w:val="21"/>
              </w:rPr>
            </w:pPr>
            <w:r>
              <w:rPr>
                <w:rFonts w:ascii="Times New Roman" w:eastAsia="仿宋"/>
                <w:sz w:val="21"/>
                <w:szCs w:val="21"/>
              </w:rPr>
              <w:t>13.1</w:t>
            </w:r>
          </w:p>
        </w:tc>
        <w:tc>
          <w:tcPr>
            <w:tcW w:w="1134" w:type="dxa"/>
            <w:tcBorders>
              <w:top w:val="nil"/>
              <w:left w:val="nil"/>
              <w:bottom w:val="single" w:color="auto" w:sz="4" w:space="0"/>
              <w:right w:val="single" w:color="auto" w:sz="4" w:space="0"/>
            </w:tcBorders>
            <w:shd w:val="clear" w:color="auto" w:fill="auto"/>
            <w:vAlign w:val="center"/>
          </w:tcPr>
          <w:p w14:paraId="0FE4C2D8">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0867A79C">
            <w:pPr>
              <w:widowControl/>
              <w:jc w:val="center"/>
              <w:rPr>
                <w:rFonts w:ascii="Times New Roman" w:eastAsia="仿宋"/>
                <w:sz w:val="21"/>
                <w:szCs w:val="21"/>
              </w:rPr>
            </w:pPr>
            <w:r>
              <w:rPr>
                <w:rFonts w:ascii="Times New Roman" w:eastAsia="仿宋"/>
                <w:sz w:val="21"/>
                <w:szCs w:val="21"/>
              </w:rPr>
              <w:t>HCl:0.535</w:t>
            </w:r>
            <w:r>
              <w:rPr>
                <w:rFonts w:ascii="Times New Roman" w:eastAsia="仿宋"/>
                <w:sz w:val="21"/>
                <w:szCs w:val="21"/>
              </w:rPr>
              <w:br w:type="textWrapping"/>
            </w:r>
            <w:r>
              <w:rPr>
                <w:rFonts w:ascii="Times New Roman" w:eastAsia="仿宋"/>
                <w:sz w:val="21"/>
                <w:szCs w:val="21"/>
              </w:rPr>
              <w:t>NH</w:t>
            </w:r>
            <w:r>
              <w:rPr>
                <w:rFonts w:ascii="Times New Roman" w:eastAsia="仿宋"/>
                <w:sz w:val="21"/>
                <w:szCs w:val="21"/>
                <w:vertAlign w:val="subscript"/>
              </w:rPr>
              <w:t>3</w:t>
            </w:r>
            <w:r>
              <w:rPr>
                <w:rFonts w:ascii="Times New Roman" w:eastAsia="仿宋"/>
                <w:sz w:val="21"/>
                <w:szCs w:val="21"/>
              </w:rPr>
              <w:t>:0.455</w:t>
            </w:r>
          </w:p>
        </w:tc>
      </w:tr>
      <w:tr w14:paraId="6C198097">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37F8822C">
            <w:pPr>
              <w:widowControl/>
              <w:jc w:val="center"/>
              <w:rPr>
                <w:rFonts w:ascii="Times New Roman" w:eastAsia="仿宋"/>
                <w:sz w:val="21"/>
                <w:szCs w:val="21"/>
              </w:rPr>
            </w:pPr>
            <w:r>
              <w:rPr>
                <w:rFonts w:ascii="Times New Roman" w:eastAsia="仿宋"/>
                <w:sz w:val="21"/>
                <w:szCs w:val="21"/>
              </w:rPr>
              <w:t>2</w:t>
            </w:r>
          </w:p>
        </w:tc>
        <w:tc>
          <w:tcPr>
            <w:tcW w:w="3408" w:type="dxa"/>
            <w:tcBorders>
              <w:top w:val="nil"/>
              <w:left w:val="nil"/>
              <w:bottom w:val="single" w:color="auto" w:sz="4" w:space="0"/>
              <w:right w:val="single" w:color="auto" w:sz="4" w:space="0"/>
            </w:tcBorders>
            <w:shd w:val="clear" w:color="auto" w:fill="auto"/>
            <w:vAlign w:val="center"/>
          </w:tcPr>
          <w:p w14:paraId="2604CDFE">
            <w:pPr>
              <w:widowControl/>
              <w:jc w:val="center"/>
              <w:rPr>
                <w:rFonts w:ascii="Times New Roman" w:eastAsia="仿宋"/>
                <w:sz w:val="21"/>
                <w:szCs w:val="21"/>
              </w:rPr>
            </w:pPr>
            <w:r>
              <w:rPr>
                <w:rFonts w:ascii="Times New Roman" w:eastAsia="仿宋"/>
                <w:sz w:val="21"/>
                <w:szCs w:val="21"/>
              </w:rPr>
              <w:t>常州京洋半导体材料科技有限公司</w:t>
            </w:r>
          </w:p>
        </w:tc>
        <w:tc>
          <w:tcPr>
            <w:tcW w:w="850" w:type="dxa"/>
            <w:tcBorders>
              <w:top w:val="nil"/>
              <w:left w:val="nil"/>
              <w:bottom w:val="single" w:color="auto" w:sz="4" w:space="0"/>
              <w:right w:val="single" w:color="auto" w:sz="4" w:space="0"/>
            </w:tcBorders>
            <w:shd w:val="clear" w:color="auto" w:fill="auto"/>
            <w:vAlign w:val="center"/>
          </w:tcPr>
          <w:p w14:paraId="214B5300">
            <w:pPr>
              <w:widowControl/>
              <w:jc w:val="center"/>
              <w:rPr>
                <w:rFonts w:ascii="Times New Roman" w:eastAsia="仿宋"/>
                <w:sz w:val="21"/>
                <w:szCs w:val="21"/>
              </w:rPr>
            </w:pPr>
            <w:r>
              <w:rPr>
                <w:rFonts w:ascii="Times New Roman" w:eastAsia="仿宋"/>
                <w:sz w:val="21"/>
                <w:szCs w:val="21"/>
              </w:rPr>
              <w:t>0.63</w:t>
            </w:r>
          </w:p>
        </w:tc>
        <w:tc>
          <w:tcPr>
            <w:tcW w:w="993" w:type="dxa"/>
            <w:tcBorders>
              <w:top w:val="nil"/>
              <w:left w:val="nil"/>
              <w:bottom w:val="single" w:color="auto" w:sz="4" w:space="0"/>
              <w:right w:val="single" w:color="auto" w:sz="4" w:space="0"/>
            </w:tcBorders>
            <w:shd w:val="clear" w:color="auto" w:fill="auto"/>
            <w:vAlign w:val="center"/>
          </w:tcPr>
          <w:p w14:paraId="32489150">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3BFE20C1">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06AE0CAB">
            <w:pPr>
              <w:widowControl/>
              <w:jc w:val="center"/>
              <w:rPr>
                <w:rFonts w:ascii="Times New Roman" w:eastAsia="仿宋"/>
                <w:sz w:val="21"/>
                <w:szCs w:val="21"/>
              </w:rPr>
            </w:pPr>
            <w:r>
              <w:rPr>
                <w:rFonts w:ascii="Times New Roman" w:eastAsia="仿宋"/>
                <w:sz w:val="21"/>
                <w:szCs w:val="21"/>
              </w:rPr>
              <w:t>0.09</w:t>
            </w:r>
          </w:p>
        </w:tc>
        <w:tc>
          <w:tcPr>
            <w:tcW w:w="1560" w:type="dxa"/>
            <w:tcBorders>
              <w:top w:val="nil"/>
              <w:left w:val="nil"/>
              <w:bottom w:val="single" w:color="auto" w:sz="4" w:space="0"/>
              <w:right w:val="single" w:color="auto" w:sz="4" w:space="0"/>
            </w:tcBorders>
            <w:shd w:val="clear" w:color="auto" w:fill="auto"/>
            <w:vAlign w:val="center"/>
          </w:tcPr>
          <w:p w14:paraId="2E0A0761">
            <w:pPr>
              <w:widowControl/>
              <w:jc w:val="center"/>
              <w:rPr>
                <w:rFonts w:ascii="Times New Roman" w:eastAsia="仿宋"/>
                <w:sz w:val="21"/>
                <w:szCs w:val="21"/>
              </w:rPr>
            </w:pPr>
            <w:r>
              <w:rPr>
                <w:rFonts w:ascii="Times New Roman" w:eastAsia="仿宋"/>
                <w:sz w:val="21"/>
                <w:szCs w:val="21"/>
              </w:rPr>
              <w:t>/</w:t>
            </w:r>
          </w:p>
        </w:tc>
      </w:tr>
      <w:tr w14:paraId="237005F1">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682DA533">
            <w:pPr>
              <w:widowControl/>
              <w:jc w:val="center"/>
              <w:rPr>
                <w:rFonts w:ascii="Times New Roman" w:eastAsia="仿宋"/>
                <w:sz w:val="21"/>
                <w:szCs w:val="21"/>
              </w:rPr>
            </w:pPr>
            <w:r>
              <w:rPr>
                <w:rFonts w:ascii="Times New Roman" w:eastAsia="仿宋"/>
                <w:sz w:val="21"/>
                <w:szCs w:val="21"/>
              </w:rPr>
              <w:t>3</w:t>
            </w:r>
          </w:p>
        </w:tc>
        <w:tc>
          <w:tcPr>
            <w:tcW w:w="3408" w:type="dxa"/>
            <w:tcBorders>
              <w:top w:val="nil"/>
              <w:left w:val="nil"/>
              <w:bottom w:val="single" w:color="auto" w:sz="4" w:space="0"/>
              <w:right w:val="single" w:color="auto" w:sz="4" w:space="0"/>
            </w:tcBorders>
            <w:shd w:val="clear" w:color="auto" w:fill="auto"/>
            <w:vAlign w:val="center"/>
          </w:tcPr>
          <w:p w14:paraId="5F7C93AC">
            <w:pPr>
              <w:widowControl/>
              <w:jc w:val="center"/>
              <w:rPr>
                <w:rFonts w:ascii="Times New Roman" w:eastAsia="仿宋"/>
                <w:sz w:val="21"/>
                <w:szCs w:val="21"/>
              </w:rPr>
            </w:pPr>
            <w:r>
              <w:rPr>
                <w:rFonts w:ascii="Times New Roman" w:eastAsia="仿宋"/>
                <w:sz w:val="21"/>
                <w:szCs w:val="21"/>
              </w:rPr>
              <w:t>常州盈美新材料科技有限公司</w:t>
            </w:r>
          </w:p>
        </w:tc>
        <w:tc>
          <w:tcPr>
            <w:tcW w:w="850" w:type="dxa"/>
            <w:tcBorders>
              <w:top w:val="nil"/>
              <w:left w:val="nil"/>
              <w:bottom w:val="single" w:color="auto" w:sz="4" w:space="0"/>
              <w:right w:val="single" w:color="auto" w:sz="4" w:space="0"/>
            </w:tcBorders>
            <w:shd w:val="clear" w:color="auto" w:fill="auto"/>
            <w:vAlign w:val="center"/>
          </w:tcPr>
          <w:p w14:paraId="7124B1FD">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641BB432">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4945D234">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461FC056">
            <w:pPr>
              <w:widowControl/>
              <w:jc w:val="center"/>
              <w:rPr>
                <w:rFonts w:ascii="Times New Roman" w:eastAsia="仿宋"/>
                <w:sz w:val="21"/>
                <w:szCs w:val="21"/>
              </w:rPr>
            </w:pPr>
            <w:r>
              <w:rPr>
                <w:rFonts w:ascii="Times New Roman" w:eastAsia="仿宋"/>
                <w:sz w:val="21"/>
                <w:szCs w:val="21"/>
              </w:rPr>
              <w:t>0.0245</w:t>
            </w:r>
          </w:p>
        </w:tc>
        <w:tc>
          <w:tcPr>
            <w:tcW w:w="1560" w:type="dxa"/>
            <w:tcBorders>
              <w:top w:val="nil"/>
              <w:left w:val="nil"/>
              <w:bottom w:val="single" w:color="auto" w:sz="4" w:space="0"/>
              <w:right w:val="single" w:color="auto" w:sz="4" w:space="0"/>
            </w:tcBorders>
            <w:shd w:val="clear" w:color="auto" w:fill="auto"/>
            <w:vAlign w:val="center"/>
          </w:tcPr>
          <w:p w14:paraId="698DB1D8">
            <w:pPr>
              <w:widowControl/>
              <w:jc w:val="center"/>
              <w:rPr>
                <w:rFonts w:ascii="Times New Roman" w:eastAsia="仿宋"/>
                <w:sz w:val="21"/>
                <w:szCs w:val="21"/>
              </w:rPr>
            </w:pPr>
            <w:r>
              <w:rPr>
                <w:rFonts w:ascii="Times New Roman" w:eastAsia="仿宋"/>
                <w:sz w:val="21"/>
                <w:szCs w:val="21"/>
              </w:rPr>
              <w:t>苯乙烯：0.118</w:t>
            </w:r>
          </w:p>
        </w:tc>
      </w:tr>
      <w:tr w14:paraId="5DF8DD60">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201960ED">
            <w:pPr>
              <w:widowControl/>
              <w:jc w:val="center"/>
              <w:rPr>
                <w:rFonts w:ascii="Times New Roman" w:eastAsia="仿宋"/>
                <w:sz w:val="21"/>
                <w:szCs w:val="21"/>
              </w:rPr>
            </w:pPr>
            <w:r>
              <w:rPr>
                <w:rFonts w:ascii="Times New Roman" w:eastAsia="仿宋"/>
                <w:sz w:val="21"/>
                <w:szCs w:val="21"/>
              </w:rPr>
              <w:t>4</w:t>
            </w:r>
          </w:p>
        </w:tc>
        <w:tc>
          <w:tcPr>
            <w:tcW w:w="3408" w:type="dxa"/>
            <w:tcBorders>
              <w:top w:val="nil"/>
              <w:left w:val="nil"/>
              <w:bottom w:val="single" w:color="auto" w:sz="4" w:space="0"/>
              <w:right w:val="single" w:color="auto" w:sz="4" w:space="0"/>
            </w:tcBorders>
            <w:shd w:val="clear" w:color="auto" w:fill="auto"/>
            <w:vAlign w:val="center"/>
          </w:tcPr>
          <w:p w14:paraId="49947850">
            <w:pPr>
              <w:widowControl/>
              <w:jc w:val="center"/>
              <w:rPr>
                <w:rFonts w:ascii="Times New Roman" w:eastAsia="仿宋"/>
                <w:sz w:val="21"/>
                <w:szCs w:val="21"/>
              </w:rPr>
            </w:pPr>
            <w:r>
              <w:rPr>
                <w:rFonts w:ascii="Times New Roman" w:eastAsia="仿宋"/>
                <w:sz w:val="21"/>
                <w:szCs w:val="21"/>
              </w:rPr>
              <w:t>江苏常链传动机械有限公司</w:t>
            </w:r>
          </w:p>
        </w:tc>
        <w:tc>
          <w:tcPr>
            <w:tcW w:w="850" w:type="dxa"/>
            <w:tcBorders>
              <w:top w:val="nil"/>
              <w:left w:val="nil"/>
              <w:bottom w:val="single" w:color="auto" w:sz="4" w:space="0"/>
              <w:right w:val="single" w:color="auto" w:sz="4" w:space="0"/>
            </w:tcBorders>
            <w:shd w:val="clear" w:color="auto" w:fill="auto"/>
            <w:vAlign w:val="center"/>
          </w:tcPr>
          <w:p w14:paraId="670840D5">
            <w:pPr>
              <w:widowControl/>
              <w:jc w:val="center"/>
              <w:rPr>
                <w:rFonts w:ascii="Times New Roman" w:eastAsia="仿宋"/>
                <w:sz w:val="21"/>
                <w:szCs w:val="21"/>
              </w:rPr>
            </w:pPr>
            <w:r>
              <w:rPr>
                <w:rFonts w:ascii="Times New Roman" w:eastAsia="仿宋"/>
                <w:sz w:val="21"/>
                <w:szCs w:val="21"/>
              </w:rPr>
              <w:t>0.214</w:t>
            </w:r>
          </w:p>
        </w:tc>
        <w:tc>
          <w:tcPr>
            <w:tcW w:w="993" w:type="dxa"/>
            <w:tcBorders>
              <w:top w:val="nil"/>
              <w:left w:val="nil"/>
              <w:bottom w:val="single" w:color="auto" w:sz="4" w:space="0"/>
              <w:right w:val="single" w:color="auto" w:sz="4" w:space="0"/>
            </w:tcBorders>
            <w:shd w:val="clear" w:color="auto" w:fill="auto"/>
            <w:vAlign w:val="center"/>
          </w:tcPr>
          <w:p w14:paraId="009F16F7">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4160363A">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6290ADC7">
            <w:pPr>
              <w:widowControl/>
              <w:jc w:val="center"/>
              <w:rPr>
                <w:rFonts w:ascii="Times New Roman" w:eastAsia="仿宋"/>
                <w:sz w:val="21"/>
                <w:szCs w:val="21"/>
              </w:rPr>
            </w:pPr>
            <w:r>
              <w:rPr>
                <w:rFonts w:ascii="Times New Roman" w:eastAsia="仿宋"/>
                <w:sz w:val="21"/>
                <w:szCs w:val="21"/>
              </w:rPr>
              <w:t>0.0024</w:t>
            </w:r>
          </w:p>
        </w:tc>
        <w:tc>
          <w:tcPr>
            <w:tcW w:w="1560" w:type="dxa"/>
            <w:tcBorders>
              <w:top w:val="nil"/>
              <w:left w:val="nil"/>
              <w:bottom w:val="single" w:color="auto" w:sz="4" w:space="0"/>
              <w:right w:val="single" w:color="auto" w:sz="4" w:space="0"/>
            </w:tcBorders>
            <w:shd w:val="clear" w:color="auto" w:fill="auto"/>
            <w:vAlign w:val="center"/>
          </w:tcPr>
          <w:p w14:paraId="2D8A4A32">
            <w:pPr>
              <w:widowControl/>
              <w:jc w:val="center"/>
              <w:rPr>
                <w:rFonts w:ascii="Times New Roman" w:eastAsia="仿宋"/>
                <w:sz w:val="21"/>
                <w:szCs w:val="21"/>
              </w:rPr>
            </w:pPr>
            <w:r>
              <w:rPr>
                <w:rFonts w:ascii="Times New Roman" w:eastAsia="仿宋"/>
                <w:sz w:val="21"/>
                <w:szCs w:val="21"/>
              </w:rPr>
              <w:t>/</w:t>
            </w:r>
          </w:p>
        </w:tc>
      </w:tr>
      <w:tr w14:paraId="795F432C">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AF359C4">
            <w:pPr>
              <w:widowControl/>
              <w:jc w:val="center"/>
              <w:rPr>
                <w:rFonts w:ascii="Times New Roman" w:eastAsia="仿宋"/>
                <w:sz w:val="21"/>
                <w:szCs w:val="21"/>
              </w:rPr>
            </w:pPr>
            <w:r>
              <w:rPr>
                <w:rFonts w:ascii="Times New Roman" w:eastAsia="仿宋"/>
                <w:sz w:val="21"/>
                <w:szCs w:val="21"/>
              </w:rPr>
              <w:t>5</w:t>
            </w:r>
          </w:p>
        </w:tc>
        <w:tc>
          <w:tcPr>
            <w:tcW w:w="3408" w:type="dxa"/>
            <w:tcBorders>
              <w:top w:val="nil"/>
              <w:left w:val="nil"/>
              <w:bottom w:val="single" w:color="auto" w:sz="4" w:space="0"/>
              <w:right w:val="single" w:color="auto" w:sz="4" w:space="0"/>
            </w:tcBorders>
            <w:shd w:val="clear" w:color="auto" w:fill="auto"/>
            <w:vAlign w:val="center"/>
          </w:tcPr>
          <w:p w14:paraId="251A0D00">
            <w:pPr>
              <w:widowControl/>
              <w:jc w:val="center"/>
              <w:rPr>
                <w:rFonts w:ascii="Times New Roman" w:eastAsia="仿宋"/>
                <w:sz w:val="21"/>
                <w:szCs w:val="21"/>
              </w:rPr>
            </w:pPr>
            <w:r>
              <w:rPr>
                <w:rFonts w:ascii="Times New Roman" w:eastAsia="仿宋"/>
                <w:sz w:val="21"/>
                <w:szCs w:val="21"/>
              </w:rPr>
              <w:t>江苏远能电力设备有限公司</w:t>
            </w:r>
          </w:p>
        </w:tc>
        <w:tc>
          <w:tcPr>
            <w:tcW w:w="850" w:type="dxa"/>
            <w:tcBorders>
              <w:top w:val="nil"/>
              <w:left w:val="nil"/>
              <w:bottom w:val="single" w:color="auto" w:sz="4" w:space="0"/>
              <w:right w:val="single" w:color="auto" w:sz="4" w:space="0"/>
            </w:tcBorders>
            <w:shd w:val="clear" w:color="auto" w:fill="auto"/>
            <w:vAlign w:val="center"/>
          </w:tcPr>
          <w:p w14:paraId="74BA16D8">
            <w:pPr>
              <w:widowControl/>
              <w:jc w:val="center"/>
              <w:rPr>
                <w:rFonts w:ascii="Times New Roman" w:eastAsia="仿宋"/>
                <w:sz w:val="21"/>
                <w:szCs w:val="21"/>
              </w:rPr>
            </w:pPr>
            <w:r>
              <w:rPr>
                <w:rFonts w:ascii="Times New Roman" w:eastAsia="仿宋"/>
                <w:sz w:val="21"/>
                <w:szCs w:val="21"/>
              </w:rPr>
              <w:t>0.007</w:t>
            </w:r>
          </w:p>
        </w:tc>
        <w:tc>
          <w:tcPr>
            <w:tcW w:w="993" w:type="dxa"/>
            <w:tcBorders>
              <w:top w:val="nil"/>
              <w:left w:val="nil"/>
              <w:bottom w:val="single" w:color="auto" w:sz="4" w:space="0"/>
              <w:right w:val="single" w:color="auto" w:sz="4" w:space="0"/>
            </w:tcBorders>
            <w:shd w:val="clear" w:color="auto" w:fill="auto"/>
            <w:vAlign w:val="center"/>
          </w:tcPr>
          <w:p w14:paraId="3AD97062">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4A87F0E3">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0809A064">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387EA137">
            <w:pPr>
              <w:widowControl/>
              <w:jc w:val="center"/>
              <w:rPr>
                <w:rFonts w:ascii="Times New Roman" w:eastAsia="仿宋"/>
                <w:sz w:val="21"/>
                <w:szCs w:val="21"/>
              </w:rPr>
            </w:pPr>
            <w:r>
              <w:rPr>
                <w:rFonts w:ascii="Times New Roman" w:eastAsia="仿宋"/>
                <w:sz w:val="21"/>
                <w:szCs w:val="21"/>
              </w:rPr>
              <w:t>/</w:t>
            </w:r>
          </w:p>
        </w:tc>
      </w:tr>
      <w:tr w14:paraId="461E376D">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DB5CEB3">
            <w:pPr>
              <w:widowControl/>
              <w:jc w:val="center"/>
              <w:rPr>
                <w:rFonts w:ascii="Times New Roman" w:eastAsia="仿宋"/>
                <w:sz w:val="21"/>
                <w:szCs w:val="21"/>
              </w:rPr>
            </w:pPr>
            <w:r>
              <w:rPr>
                <w:rFonts w:ascii="Times New Roman" w:eastAsia="仿宋"/>
                <w:sz w:val="21"/>
                <w:szCs w:val="21"/>
              </w:rPr>
              <w:t>6</w:t>
            </w:r>
          </w:p>
        </w:tc>
        <w:tc>
          <w:tcPr>
            <w:tcW w:w="3408" w:type="dxa"/>
            <w:tcBorders>
              <w:top w:val="nil"/>
              <w:left w:val="nil"/>
              <w:bottom w:val="single" w:color="auto" w:sz="4" w:space="0"/>
              <w:right w:val="single" w:color="auto" w:sz="4" w:space="0"/>
            </w:tcBorders>
            <w:shd w:val="clear" w:color="auto" w:fill="auto"/>
            <w:vAlign w:val="center"/>
          </w:tcPr>
          <w:p w14:paraId="1677319C">
            <w:pPr>
              <w:widowControl/>
              <w:jc w:val="center"/>
              <w:rPr>
                <w:rFonts w:ascii="Times New Roman" w:eastAsia="仿宋"/>
                <w:sz w:val="21"/>
                <w:szCs w:val="21"/>
              </w:rPr>
            </w:pPr>
            <w:r>
              <w:rPr>
                <w:rFonts w:ascii="Times New Roman" w:eastAsia="仿宋"/>
                <w:sz w:val="21"/>
                <w:szCs w:val="21"/>
              </w:rPr>
              <w:t>常州市和顺玻璃制品有限公司</w:t>
            </w:r>
          </w:p>
        </w:tc>
        <w:tc>
          <w:tcPr>
            <w:tcW w:w="850" w:type="dxa"/>
            <w:tcBorders>
              <w:top w:val="nil"/>
              <w:left w:val="nil"/>
              <w:bottom w:val="single" w:color="auto" w:sz="4" w:space="0"/>
              <w:right w:val="single" w:color="auto" w:sz="4" w:space="0"/>
            </w:tcBorders>
            <w:shd w:val="clear" w:color="auto" w:fill="auto"/>
            <w:vAlign w:val="center"/>
          </w:tcPr>
          <w:p w14:paraId="7CF19481">
            <w:pPr>
              <w:widowControl/>
              <w:jc w:val="center"/>
              <w:rPr>
                <w:rFonts w:ascii="Times New Roman" w:eastAsia="仿宋"/>
                <w:sz w:val="21"/>
                <w:szCs w:val="21"/>
              </w:rPr>
            </w:pPr>
            <w:r>
              <w:rPr>
                <w:rFonts w:ascii="Times New Roman" w:eastAsia="仿宋"/>
                <w:sz w:val="21"/>
                <w:szCs w:val="21"/>
              </w:rPr>
              <w:t>14.47</w:t>
            </w:r>
          </w:p>
        </w:tc>
        <w:tc>
          <w:tcPr>
            <w:tcW w:w="993" w:type="dxa"/>
            <w:tcBorders>
              <w:top w:val="nil"/>
              <w:left w:val="nil"/>
              <w:bottom w:val="single" w:color="auto" w:sz="4" w:space="0"/>
              <w:right w:val="single" w:color="auto" w:sz="4" w:space="0"/>
            </w:tcBorders>
            <w:shd w:val="clear" w:color="auto" w:fill="auto"/>
            <w:vAlign w:val="center"/>
          </w:tcPr>
          <w:p w14:paraId="51CB2973">
            <w:pPr>
              <w:widowControl/>
              <w:jc w:val="center"/>
              <w:rPr>
                <w:rFonts w:ascii="Times New Roman" w:eastAsia="仿宋"/>
                <w:sz w:val="21"/>
                <w:szCs w:val="21"/>
              </w:rPr>
            </w:pPr>
            <w:r>
              <w:rPr>
                <w:rFonts w:ascii="Times New Roman" w:eastAsia="仿宋"/>
                <w:sz w:val="21"/>
                <w:szCs w:val="21"/>
              </w:rPr>
              <w:t>47</w:t>
            </w:r>
          </w:p>
        </w:tc>
        <w:tc>
          <w:tcPr>
            <w:tcW w:w="986" w:type="dxa"/>
            <w:tcBorders>
              <w:top w:val="nil"/>
              <w:left w:val="nil"/>
              <w:bottom w:val="single" w:color="auto" w:sz="4" w:space="0"/>
              <w:right w:val="single" w:color="auto" w:sz="4" w:space="0"/>
            </w:tcBorders>
            <w:shd w:val="clear" w:color="auto" w:fill="auto"/>
            <w:vAlign w:val="center"/>
          </w:tcPr>
          <w:p w14:paraId="4C61DC2A">
            <w:pPr>
              <w:widowControl/>
              <w:jc w:val="center"/>
              <w:rPr>
                <w:rFonts w:ascii="Times New Roman" w:eastAsia="仿宋"/>
                <w:sz w:val="21"/>
                <w:szCs w:val="21"/>
              </w:rPr>
            </w:pPr>
            <w:r>
              <w:rPr>
                <w:rFonts w:ascii="Times New Roman" w:eastAsia="仿宋"/>
                <w:sz w:val="21"/>
                <w:szCs w:val="21"/>
              </w:rPr>
              <w:t>4.52</w:t>
            </w:r>
          </w:p>
        </w:tc>
        <w:tc>
          <w:tcPr>
            <w:tcW w:w="1134" w:type="dxa"/>
            <w:tcBorders>
              <w:top w:val="nil"/>
              <w:left w:val="nil"/>
              <w:bottom w:val="single" w:color="auto" w:sz="4" w:space="0"/>
              <w:right w:val="single" w:color="auto" w:sz="4" w:space="0"/>
            </w:tcBorders>
            <w:shd w:val="clear" w:color="auto" w:fill="auto"/>
            <w:vAlign w:val="center"/>
          </w:tcPr>
          <w:p w14:paraId="31C6D9B2">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202B655B">
            <w:pPr>
              <w:widowControl/>
              <w:jc w:val="center"/>
              <w:rPr>
                <w:rFonts w:ascii="Times New Roman" w:eastAsia="仿宋"/>
                <w:sz w:val="21"/>
                <w:szCs w:val="21"/>
              </w:rPr>
            </w:pPr>
            <w:r>
              <w:rPr>
                <w:rFonts w:ascii="Times New Roman" w:eastAsia="仿宋"/>
                <w:sz w:val="21"/>
                <w:szCs w:val="21"/>
              </w:rPr>
              <w:t>/</w:t>
            </w:r>
          </w:p>
        </w:tc>
      </w:tr>
      <w:tr w14:paraId="6BAFF017">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1E071827">
            <w:pPr>
              <w:widowControl/>
              <w:jc w:val="center"/>
              <w:rPr>
                <w:rFonts w:ascii="Times New Roman" w:eastAsia="仿宋"/>
                <w:sz w:val="21"/>
                <w:szCs w:val="21"/>
              </w:rPr>
            </w:pPr>
            <w:r>
              <w:rPr>
                <w:rFonts w:ascii="Times New Roman" w:eastAsia="仿宋"/>
                <w:sz w:val="21"/>
                <w:szCs w:val="21"/>
              </w:rPr>
              <w:t>7</w:t>
            </w:r>
          </w:p>
        </w:tc>
        <w:tc>
          <w:tcPr>
            <w:tcW w:w="3408" w:type="dxa"/>
            <w:tcBorders>
              <w:top w:val="nil"/>
              <w:left w:val="nil"/>
              <w:bottom w:val="single" w:color="auto" w:sz="4" w:space="0"/>
              <w:right w:val="single" w:color="auto" w:sz="4" w:space="0"/>
            </w:tcBorders>
            <w:shd w:val="clear" w:color="auto" w:fill="auto"/>
            <w:vAlign w:val="center"/>
          </w:tcPr>
          <w:p w14:paraId="143A2A25">
            <w:pPr>
              <w:widowControl/>
              <w:jc w:val="center"/>
              <w:rPr>
                <w:rFonts w:ascii="Times New Roman" w:eastAsia="仿宋"/>
                <w:sz w:val="21"/>
                <w:szCs w:val="21"/>
              </w:rPr>
            </w:pPr>
            <w:r>
              <w:rPr>
                <w:rFonts w:ascii="Times New Roman" w:eastAsia="仿宋"/>
                <w:sz w:val="21"/>
                <w:szCs w:val="21"/>
              </w:rPr>
              <w:t>常州瑞峰新能源有限公司</w:t>
            </w:r>
          </w:p>
        </w:tc>
        <w:tc>
          <w:tcPr>
            <w:tcW w:w="850" w:type="dxa"/>
            <w:tcBorders>
              <w:top w:val="nil"/>
              <w:left w:val="nil"/>
              <w:bottom w:val="single" w:color="auto" w:sz="4" w:space="0"/>
              <w:right w:val="single" w:color="auto" w:sz="4" w:space="0"/>
            </w:tcBorders>
            <w:shd w:val="clear" w:color="auto" w:fill="auto"/>
            <w:vAlign w:val="center"/>
          </w:tcPr>
          <w:p w14:paraId="318B259C">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6CC2DC2E">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534864EF">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6EA1B54A">
            <w:pPr>
              <w:widowControl/>
              <w:jc w:val="center"/>
              <w:rPr>
                <w:rFonts w:ascii="Times New Roman" w:eastAsia="仿宋"/>
                <w:sz w:val="21"/>
                <w:szCs w:val="21"/>
              </w:rPr>
            </w:pPr>
            <w:r>
              <w:rPr>
                <w:rFonts w:ascii="Times New Roman" w:eastAsia="仿宋"/>
                <w:sz w:val="21"/>
                <w:szCs w:val="21"/>
              </w:rPr>
              <w:t>0.041</w:t>
            </w:r>
          </w:p>
        </w:tc>
        <w:tc>
          <w:tcPr>
            <w:tcW w:w="1560" w:type="dxa"/>
            <w:tcBorders>
              <w:top w:val="nil"/>
              <w:left w:val="nil"/>
              <w:bottom w:val="single" w:color="auto" w:sz="4" w:space="0"/>
              <w:right w:val="single" w:color="auto" w:sz="4" w:space="0"/>
            </w:tcBorders>
            <w:shd w:val="clear" w:color="auto" w:fill="auto"/>
            <w:vAlign w:val="center"/>
          </w:tcPr>
          <w:p w14:paraId="0A27092B">
            <w:pPr>
              <w:widowControl/>
              <w:jc w:val="center"/>
              <w:rPr>
                <w:rFonts w:ascii="Times New Roman" w:eastAsia="仿宋"/>
                <w:sz w:val="21"/>
                <w:szCs w:val="21"/>
              </w:rPr>
            </w:pPr>
            <w:r>
              <w:rPr>
                <w:rFonts w:ascii="Times New Roman" w:eastAsia="仿宋"/>
                <w:sz w:val="21"/>
                <w:szCs w:val="21"/>
              </w:rPr>
              <w:t>/</w:t>
            </w:r>
          </w:p>
        </w:tc>
      </w:tr>
      <w:tr w14:paraId="1D7DC899">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D13DC18">
            <w:pPr>
              <w:widowControl/>
              <w:jc w:val="center"/>
              <w:rPr>
                <w:rFonts w:ascii="Times New Roman" w:eastAsia="仿宋"/>
                <w:sz w:val="21"/>
                <w:szCs w:val="21"/>
              </w:rPr>
            </w:pPr>
            <w:r>
              <w:rPr>
                <w:rFonts w:ascii="Times New Roman" w:eastAsia="仿宋"/>
                <w:sz w:val="21"/>
                <w:szCs w:val="21"/>
              </w:rPr>
              <w:t>8</w:t>
            </w:r>
          </w:p>
        </w:tc>
        <w:tc>
          <w:tcPr>
            <w:tcW w:w="3408" w:type="dxa"/>
            <w:tcBorders>
              <w:top w:val="nil"/>
              <w:left w:val="nil"/>
              <w:bottom w:val="single" w:color="auto" w:sz="4" w:space="0"/>
              <w:right w:val="single" w:color="auto" w:sz="4" w:space="0"/>
            </w:tcBorders>
            <w:shd w:val="clear" w:color="auto" w:fill="auto"/>
            <w:vAlign w:val="center"/>
          </w:tcPr>
          <w:p w14:paraId="4FC83D4C">
            <w:pPr>
              <w:widowControl/>
              <w:jc w:val="center"/>
              <w:rPr>
                <w:rFonts w:ascii="Times New Roman" w:eastAsia="仿宋"/>
                <w:sz w:val="21"/>
                <w:szCs w:val="21"/>
              </w:rPr>
            </w:pPr>
            <w:r>
              <w:rPr>
                <w:rFonts w:ascii="Times New Roman" w:eastAsia="仿宋"/>
                <w:sz w:val="21"/>
                <w:szCs w:val="21"/>
              </w:rPr>
              <w:t>江苏博海橡塑科技有限公司</w:t>
            </w:r>
          </w:p>
        </w:tc>
        <w:tc>
          <w:tcPr>
            <w:tcW w:w="850" w:type="dxa"/>
            <w:tcBorders>
              <w:top w:val="nil"/>
              <w:left w:val="nil"/>
              <w:bottom w:val="single" w:color="auto" w:sz="4" w:space="0"/>
              <w:right w:val="single" w:color="auto" w:sz="4" w:space="0"/>
            </w:tcBorders>
            <w:shd w:val="clear" w:color="auto" w:fill="auto"/>
            <w:vAlign w:val="center"/>
          </w:tcPr>
          <w:p w14:paraId="4C81C514">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74F8CEB9">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281860CF">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791E169E">
            <w:pPr>
              <w:widowControl/>
              <w:jc w:val="center"/>
              <w:rPr>
                <w:rFonts w:ascii="Times New Roman" w:eastAsia="仿宋"/>
                <w:sz w:val="21"/>
                <w:szCs w:val="21"/>
              </w:rPr>
            </w:pPr>
            <w:r>
              <w:rPr>
                <w:rFonts w:ascii="Times New Roman" w:eastAsia="仿宋"/>
                <w:sz w:val="21"/>
                <w:szCs w:val="21"/>
              </w:rPr>
              <w:t>0.089</w:t>
            </w:r>
          </w:p>
        </w:tc>
        <w:tc>
          <w:tcPr>
            <w:tcW w:w="1560" w:type="dxa"/>
            <w:tcBorders>
              <w:top w:val="nil"/>
              <w:left w:val="nil"/>
              <w:bottom w:val="single" w:color="auto" w:sz="4" w:space="0"/>
              <w:right w:val="single" w:color="auto" w:sz="4" w:space="0"/>
            </w:tcBorders>
            <w:shd w:val="clear" w:color="auto" w:fill="auto"/>
            <w:vAlign w:val="center"/>
          </w:tcPr>
          <w:p w14:paraId="7576C909">
            <w:pPr>
              <w:widowControl/>
              <w:jc w:val="center"/>
              <w:rPr>
                <w:rFonts w:ascii="Times New Roman" w:eastAsia="仿宋"/>
                <w:sz w:val="21"/>
                <w:szCs w:val="21"/>
              </w:rPr>
            </w:pPr>
            <w:r>
              <w:rPr>
                <w:rFonts w:ascii="Times New Roman" w:eastAsia="仿宋"/>
                <w:sz w:val="21"/>
                <w:szCs w:val="21"/>
              </w:rPr>
              <w:t>苯乙烯：0.018</w:t>
            </w:r>
            <w:r>
              <w:rPr>
                <w:rFonts w:ascii="Times New Roman" w:eastAsia="仿宋"/>
                <w:sz w:val="21"/>
                <w:szCs w:val="21"/>
              </w:rPr>
              <w:br w:type="textWrapping"/>
            </w:r>
            <w:r>
              <w:rPr>
                <w:rFonts w:ascii="Times New Roman" w:eastAsia="仿宋"/>
                <w:sz w:val="21"/>
                <w:szCs w:val="21"/>
              </w:rPr>
              <w:t>HCl:0.014</w:t>
            </w:r>
            <w:r>
              <w:rPr>
                <w:rFonts w:ascii="Times New Roman" w:eastAsia="仿宋"/>
                <w:sz w:val="21"/>
                <w:szCs w:val="21"/>
              </w:rPr>
              <w:br w:type="textWrapping"/>
            </w:r>
            <w:r>
              <w:rPr>
                <w:rFonts w:ascii="Times New Roman" w:eastAsia="仿宋"/>
                <w:sz w:val="21"/>
                <w:szCs w:val="21"/>
              </w:rPr>
              <w:t>氟化氢：0.004</w:t>
            </w:r>
          </w:p>
        </w:tc>
      </w:tr>
      <w:tr w14:paraId="15955D6E">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7AAADCD5">
            <w:pPr>
              <w:widowControl/>
              <w:jc w:val="center"/>
              <w:rPr>
                <w:rFonts w:ascii="Times New Roman" w:eastAsia="仿宋"/>
                <w:sz w:val="21"/>
                <w:szCs w:val="21"/>
              </w:rPr>
            </w:pPr>
            <w:r>
              <w:rPr>
                <w:rFonts w:ascii="Times New Roman" w:eastAsia="仿宋"/>
                <w:sz w:val="21"/>
                <w:szCs w:val="21"/>
              </w:rPr>
              <w:t>9</w:t>
            </w:r>
          </w:p>
        </w:tc>
        <w:tc>
          <w:tcPr>
            <w:tcW w:w="3408" w:type="dxa"/>
            <w:tcBorders>
              <w:top w:val="nil"/>
              <w:left w:val="nil"/>
              <w:bottom w:val="single" w:color="auto" w:sz="4" w:space="0"/>
              <w:right w:val="single" w:color="auto" w:sz="4" w:space="0"/>
            </w:tcBorders>
            <w:shd w:val="clear" w:color="auto" w:fill="auto"/>
            <w:vAlign w:val="center"/>
          </w:tcPr>
          <w:p w14:paraId="2A4D182E">
            <w:pPr>
              <w:widowControl/>
              <w:jc w:val="center"/>
              <w:rPr>
                <w:rFonts w:ascii="Times New Roman" w:eastAsia="仿宋"/>
                <w:sz w:val="21"/>
                <w:szCs w:val="21"/>
              </w:rPr>
            </w:pPr>
            <w:r>
              <w:rPr>
                <w:rFonts w:ascii="Times New Roman" w:eastAsia="仿宋"/>
                <w:sz w:val="21"/>
                <w:szCs w:val="21"/>
              </w:rPr>
              <w:t>江苏亮舟防爆电气有限公司</w:t>
            </w:r>
          </w:p>
        </w:tc>
        <w:tc>
          <w:tcPr>
            <w:tcW w:w="850" w:type="dxa"/>
            <w:tcBorders>
              <w:top w:val="nil"/>
              <w:left w:val="nil"/>
              <w:bottom w:val="single" w:color="auto" w:sz="4" w:space="0"/>
              <w:right w:val="single" w:color="auto" w:sz="4" w:space="0"/>
            </w:tcBorders>
            <w:shd w:val="clear" w:color="auto" w:fill="auto"/>
            <w:vAlign w:val="center"/>
          </w:tcPr>
          <w:p w14:paraId="18AAA9AD">
            <w:pPr>
              <w:widowControl/>
              <w:jc w:val="center"/>
              <w:rPr>
                <w:rFonts w:ascii="Times New Roman" w:eastAsia="仿宋"/>
                <w:sz w:val="21"/>
                <w:szCs w:val="21"/>
              </w:rPr>
            </w:pPr>
            <w:r>
              <w:rPr>
                <w:rFonts w:ascii="Times New Roman" w:eastAsia="仿宋"/>
                <w:sz w:val="21"/>
                <w:szCs w:val="21"/>
              </w:rPr>
              <w:t>0.063</w:t>
            </w:r>
          </w:p>
        </w:tc>
        <w:tc>
          <w:tcPr>
            <w:tcW w:w="993" w:type="dxa"/>
            <w:tcBorders>
              <w:top w:val="nil"/>
              <w:left w:val="nil"/>
              <w:bottom w:val="single" w:color="auto" w:sz="4" w:space="0"/>
              <w:right w:val="single" w:color="auto" w:sz="4" w:space="0"/>
            </w:tcBorders>
            <w:shd w:val="clear" w:color="auto" w:fill="auto"/>
            <w:vAlign w:val="center"/>
          </w:tcPr>
          <w:p w14:paraId="7CA1B237">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144158AE">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5A4B7EFC">
            <w:pPr>
              <w:widowControl/>
              <w:jc w:val="center"/>
              <w:rPr>
                <w:rFonts w:ascii="Times New Roman" w:eastAsia="仿宋"/>
                <w:sz w:val="21"/>
                <w:szCs w:val="21"/>
              </w:rPr>
            </w:pPr>
            <w:r>
              <w:rPr>
                <w:rFonts w:ascii="Times New Roman" w:eastAsia="仿宋"/>
                <w:sz w:val="21"/>
                <w:szCs w:val="21"/>
              </w:rPr>
              <w:t>0.202</w:t>
            </w:r>
          </w:p>
        </w:tc>
        <w:tc>
          <w:tcPr>
            <w:tcW w:w="1560" w:type="dxa"/>
            <w:tcBorders>
              <w:top w:val="nil"/>
              <w:left w:val="nil"/>
              <w:bottom w:val="single" w:color="auto" w:sz="4" w:space="0"/>
              <w:right w:val="single" w:color="auto" w:sz="4" w:space="0"/>
            </w:tcBorders>
            <w:shd w:val="clear" w:color="auto" w:fill="auto"/>
            <w:vAlign w:val="center"/>
          </w:tcPr>
          <w:p w14:paraId="060CA662">
            <w:pPr>
              <w:widowControl/>
              <w:jc w:val="center"/>
              <w:rPr>
                <w:rFonts w:ascii="Times New Roman" w:eastAsia="仿宋"/>
                <w:sz w:val="21"/>
                <w:szCs w:val="21"/>
              </w:rPr>
            </w:pPr>
            <w:r>
              <w:rPr>
                <w:rFonts w:ascii="Times New Roman" w:eastAsia="仿宋"/>
                <w:sz w:val="21"/>
                <w:szCs w:val="21"/>
              </w:rPr>
              <w:t>HCl:0.025</w:t>
            </w:r>
          </w:p>
        </w:tc>
      </w:tr>
      <w:tr w14:paraId="3CE70278">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97CE702">
            <w:pPr>
              <w:widowControl/>
              <w:jc w:val="center"/>
              <w:rPr>
                <w:rFonts w:ascii="Times New Roman" w:eastAsia="仿宋"/>
                <w:sz w:val="21"/>
                <w:szCs w:val="21"/>
              </w:rPr>
            </w:pPr>
            <w:r>
              <w:rPr>
                <w:rFonts w:ascii="Times New Roman" w:eastAsia="仿宋"/>
                <w:sz w:val="21"/>
                <w:szCs w:val="21"/>
              </w:rPr>
              <w:t>10</w:t>
            </w:r>
          </w:p>
        </w:tc>
        <w:tc>
          <w:tcPr>
            <w:tcW w:w="3408" w:type="dxa"/>
            <w:tcBorders>
              <w:top w:val="nil"/>
              <w:left w:val="nil"/>
              <w:bottom w:val="single" w:color="auto" w:sz="4" w:space="0"/>
              <w:right w:val="single" w:color="auto" w:sz="4" w:space="0"/>
            </w:tcBorders>
            <w:shd w:val="clear" w:color="auto" w:fill="auto"/>
            <w:vAlign w:val="center"/>
          </w:tcPr>
          <w:p w14:paraId="567281D5">
            <w:pPr>
              <w:widowControl/>
              <w:jc w:val="center"/>
              <w:rPr>
                <w:rFonts w:ascii="Times New Roman" w:eastAsia="仿宋"/>
                <w:sz w:val="21"/>
                <w:szCs w:val="21"/>
              </w:rPr>
            </w:pPr>
            <w:r>
              <w:rPr>
                <w:rFonts w:ascii="Times New Roman" w:eastAsia="仿宋"/>
                <w:sz w:val="21"/>
                <w:szCs w:val="21"/>
              </w:rPr>
              <w:t>常州市丛禾电梯配件有限公司</w:t>
            </w:r>
          </w:p>
        </w:tc>
        <w:tc>
          <w:tcPr>
            <w:tcW w:w="850" w:type="dxa"/>
            <w:tcBorders>
              <w:top w:val="nil"/>
              <w:left w:val="nil"/>
              <w:bottom w:val="single" w:color="auto" w:sz="4" w:space="0"/>
              <w:right w:val="single" w:color="auto" w:sz="4" w:space="0"/>
            </w:tcBorders>
            <w:shd w:val="clear" w:color="auto" w:fill="auto"/>
            <w:vAlign w:val="center"/>
          </w:tcPr>
          <w:p w14:paraId="1FD5EECC">
            <w:pPr>
              <w:widowControl/>
              <w:jc w:val="center"/>
              <w:rPr>
                <w:rFonts w:ascii="Times New Roman" w:eastAsia="仿宋"/>
                <w:sz w:val="21"/>
                <w:szCs w:val="21"/>
              </w:rPr>
            </w:pPr>
            <w:r>
              <w:rPr>
                <w:rFonts w:ascii="Times New Roman" w:eastAsia="仿宋"/>
                <w:sz w:val="21"/>
                <w:szCs w:val="21"/>
              </w:rPr>
              <w:t>0.0002</w:t>
            </w:r>
          </w:p>
        </w:tc>
        <w:tc>
          <w:tcPr>
            <w:tcW w:w="993" w:type="dxa"/>
            <w:tcBorders>
              <w:top w:val="nil"/>
              <w:left w:val="nil"/>
              <w:bottom w:val="single" w:color="auto" w:sz="4" w:space="0"/>
              <w:right w:val="single" w:color="auto" w:sz="4" w:space="0"/>
            </w:tcBorders>
            <w:shd w:val="clear" w:color="auto" w:fill="auto"/>
            <w:vAlign w:val="center"/>
          </w:tcPr>
          <w:p w14:paraId="43E5675E">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436525D9">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5763C3A0">
            <w:pPr>
              <w:widowControl/>
              <w:jc w:val="center"/>
              <w:rPr>
                <w:rFonts w:ascii="Times New Roman" w:eastAsia="仿宋"/>
                <w:sz w:val="21"/>
                <w:szCs w:val="21"/>
              </w:rPr>
            </w:pPr>
            <w:r>
              <w:rPr>
                <w:rFonts w:ascii="Times New Roman" w:eastAsia="仿宋"/>
                <w:sz w:val="21"/>
                <w:szCs w:val="21"/>
              </w:rPr>
              <w:t>0.076</w:t>
            </w:r>
          </w:p>
        </w:tc>
        <w:tc>
          <w:tcPr>
            <w:tcW w:w="1560" w:type="dxa"/>
            <w:tcBorders>
              <w:top w:val="nil"/>
              <w:left w:val="nil"/>
              <w:bottom w:val="single" w:color="auto" w:sz="4" w:space="0"/>
              <w:right w:val="single" w:color="auto" w:sz="4" w:space="0"/>
            </w:tcBorders>
            <w:shd w:val="clear" w:color="auto" w:fill="auto"/>
            <w:vAlign w:val="center"/>
          </w:tcPr>
          <w:p w14:paraId="5D13F914">
            <w:pPr>
              <w:widowControl/>
              <w:jc w:val="center"/>
              <w:rPr>
                <w:rFonts w:ascii="Times New Roman" w:eastAsia="仿宋"/>
                <w:sz w:val="21"/>
                <w:szCs w:val="21"/>
              </w:rPr>
            </w:pPr>
            <w:r>
              <w:rPr>
                <w:rFonts w:ascii="Times New Roman" w:eastAsia="仿宋"/>
                <w:sz w:val="21"/>
                <w:szCs w:val="21"/>
              </w:rPr>
              <w:t>苯乙烯：0.041</w:t>
            </w:r>
          </w:p>
        </w:tc>
      </w:tr>
      <w:tr w14:paraId="6BC90E75">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74053BDE">
            <w:pPr>
              <w:widowControl/>
              <w:jc w:val="center"/>
              <w:rPr>
                <w:rFonts w:ascii="Times New Roman" w:eastAsia="仿宋"/>
                <w:sz w:val="21"/>
                <w:szCs w:val="21"/>
              </w:rPr>
            </w:pPr>
            <w:r>
              <w:rPr>
                <w:rFonts w:ascii="Times New Roman" w:eastAsia="仿宋"/>
                <w:sz w:val="21"/>
                <w:szCs w:val="21"/>
              </w:rPr>
              <w:t>11</w:t>
            </w:r>
          </w:p>
        </w:tc>
        <w:tc>
          <w:tcPr>
            <w:tcW w:w="3408" w:type="dxa"/>
            <w:tcBorders>
              <w:top w:val="nil"/>
              <w:left w:val="nil"/>
              <w:bottom w:val="single" w:color="auto" w:sz="4" w:space="0"/>
              <w:right w:val="single" w:color="auto" w:sz="4" w:space="0"/>
            </w:tcBorders>
            <w:shd w:val="clear" w:color="auto" w:fill="auto"/>
            <w:vAlign w:val="center"/>
          </w:tcPr>
          <w:p w14:paraId="0349B1F9">
            <w:pPr>
              <w:widowControl/>
              <w:jc w:val="center"/>
              <w:rPr>
                <w:rFonts w:ascii="Times New Roman" w:eastAsia="仿宋"/>
                <w:sz w:val="21"/>
                <w:szCs w:val="21"/>
              </w:rPr>
            </w:pPr>
            <w:r>
              <w:rPr>
                <w:rFonts w:ascii="Times New Roman" w:eastAsia="仿宋"/>
                <w:sz w:val="21"/>
                <w:szCs w:val="21"/>
              </w:rPr>
              <w:t>常州市米邦新材料有限公司</w:t>
            </w:r>
          </w:p>
        </w:tc>
        <w:tc>
          <w:tcPr>
            <w:tcW w:w="850" w:type="dxa"/>
            <w:tcBorders>
              <w:top w:val="nil"/>
              <w:left w:val="nil"/>
              <w:bottom w:val="single" w:color="auto" w:sz="4" w:space="0"/>
              <w:right w:val="single" w:color="auto" w:sz="4" w:space="0"/>
            </w:tcBorders>
            <w:shd w:val="clear" w:color="auto" w:fill="auto"/>
            <w:vAlign w:val="center"/>
          </w:tcPr>
          <w:p w14:paraId="0C2C96AC">
            <w:pPr>
              <w:widowControl/>
              <w:jc w:val="center"/>
              <w:rPr>
                <w:rFonts w:ascii="Times New Roman" w:eastAsia="仿宋"/>
                <w:sz w:val="21"/>
                <w:szCs w:val="21"/>
              </w:rPr>
            </w:pPr>
            <w:r>
              <w:rPr>
                <w:rFonts w:ascii="Times New Roman" w:eastAsia="仿宋"/>
                <w:sz w:val="21"/>
                <w:szCs w:val="21"/>
              </w:rPr>
              <w:t>0.013</w:t>
            </w:r>
          </w:p>
        </w:tc>
        <w:tc>
          <w:tcPr>
            <w:tcW w:w="993" w:type="dxa"/>
            <w:tcBorders>
              <w:top w:val="nil"/>
              <w:left w:val="nil"/>
              <w:bottom w:val="single" w:color="auto" w:sz="4" w:space="0"/>
              <w:right w:val="single" w:color="auto" w:sz="4" w:space="0"/>
            </w:tcBorders>
            <w:shd w:val="clear" w:color="auto" w:fill="auto"/>
            <w:vAlign w:val="center"/>
          </w:tcPr>
          <w:p w14:paraId="53AC7595">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6B62E551">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50E34C69">
            <w:pPr>
              <w:widowControl/>
              <w:jc w:val="center"/>
              <w:rPr>
                <w:rFonts w:ascii="Times New Roman" w:eastAsia="仿宋"/>
                <w:sz w:val="21"/>
                <w:szCs w:val="21"/>
              </w:rPr>
            </w:pPr>
            <w:r>
              <w:rPr>
                <w:rFonts w:ascii="Times New Roman" w:eastAsia="仿宋"/>
                <w:sz w:val="21"/>
                <w:szCs w:val="21"/>
              </w:rPr>
              <w:t>0.079</w:t>
            </w:r>
          </w:p>
        </w:tc>
        <w:tc>
          <w:tcPr>
            <w:tcW w:w="1560" w:type="dxa"/>
            <w:tcBorders>
              <w:top w:val="nil"/>
              <w:left w:val="nil"/>
              <w:bottom w:val="single" w:color="auto" w:sz="4" w:space="0"/>
              <w:right w:val="single" w:color="auto" w:sz="4" w:space="0"/>
            </w:tcBorders>
            <w:shd w:val="clear" w:color="auto" w:fill="auto"/>
            <w:vAlign w:val="center"/>
          </w:tcPr>
          <w:p w14:paraId="3B47C5AD">
            <w:pPr>
              <w:widowControl/>
              <w:jc w:val="center"/>
              <w:rPr>
                <w:rFonts w:ascii="Times New Roman" w:eastAsia="仿宋"/>
                <w:sz w:val="21"/>
                <w:szCs w:val="21"/>
              </w:rPr>
            </w:pPr>
            <w:r>
              <w:rPr>
                <w:rFonts w:ascii="Times New Roman" w:eastAsia="仿宋"/>
                <w:sz w:val="21"/>
                <w:szCs w:val="21"/>
              </w:rPr>
              <w:t>/</w:t>
            </w:r>
          </w:p>
        </w:tc>
      </w:tr>
      <w:tr w14:paraId="451563E4">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13246D4C">
            <w:pPr>
              <w:widowControl/>
              <w:jc w:val="center"/>
              <w:rPr>
                <w:rFonts w:ascii="Times New Roman" w:eastAsia="仿宋"/>
                <w:sz w:val="21"/>
                <w:szCs w:val="21"/>
              </w:rPr>
            </w:pPr>
            <w:r>
              <w:rPr>
                <w:rFonts w:ascii="Times New Roman" w:eastAsia="仿宋"/>
                <w:sz w:val="21"/>
                <w:szCs w:val="21"/>
              </w:rPr>
              <w:t>12</w:t>
            </w:r>
          </w:p>
        </w:tc>
        <w:tc>
          <w:tcPr>
            <w:tcW w:w="3408" w:type="dxa"/>
            <w:tcBorders>
              <w:top w:val="nil"/>
              <w:left w:val="nil"/>
              <w:bottom w:val="single" w:color="auto" w:sz="4" w:space="0"/>
              <w:right w:val="single" w:color="auto" w:sz="4" w:space="0"/>
            </w:tcBorders>
            <w:shd w:val="clear" w:color="auto" w:fill="auto"/>
            <w:vAlign w:val="center"/>
          </w:tcPr>
          <w:p w14:paraId="0816CCF9">
            <w:pPr>
              <w:widowControl/>
              <w:jc w:val="center"/>
              <w:rPr>
                <w:rFonts w:ascii="Times New Roman" w:eastAsia="仿宋"/>
                <w:sz w:val="21"/>
                <w:szCs w:val="21"/>
              </w:rPr>
            </w:pPr>
            <w:r>
              <w:rPr>
                <w:rFonts w:ascii="Times New Roman" w:eastAsia="仿宋"/>
                <w:sz w:val="21"/>
                <w:szCs w:val="21"/>
              </w:rPr>
              <w:t>江苏三德利食品有限公司</w:t>
            </w:r>
          </w:p>
        </w:tc>
        <w:tc>
          <w:tcPr>
            <w:tcW w:w="850" w:type="dxa"/>
            <w:tcBorders>
              <w:top w:val="nil"/>
              <w:left w:val="nil"/>
              <w:bottom w:val="single" w:color="auto" w:sz="4" w:space="0"/>
              <w:right w:val="single" w:color="auto" w:sz="4" w:space="0"/>
            </w:tcBorders>
            <w:shd w:val="clear" w:color="auto" w:fill="auto"/>
            <w:vAlign w:val="center"/>
          </w:tcPr>
          <w:p w14:paraId="78E82E54">
            <w:pPr>
              <w:widowControl/>
              <w:jc w:val="center"/>
              <w:rPr>
                <w:rFonts w:ascii="Times New Roman" w:eastAsia="仿宋"/>
                <w:sz w:val="21"/>
                <w:szCs w:val="21"/>
              </w:rPr>
            </w:pPr>
            <w:r>
              <w:rPr>
                <w:rFonts w:ascii="Times New Roman" w:eastAsia="仿宋"/>
                <w:sz w:val="21"/>
                <w:szCs w:val="21"/>
              </w:rPr>
              <w:t>0.0024</w:t>
            </w:r>
          </w:p>
        </w:tc>
        <w:tc>
          <w:tcPr>
            <w:tcW w:w="993" w:type="dxa"/>
            <w:tcBorders>
              <w:top w:val="nil"/>
              <w:left w:val="nil"/>
              <w:bottom w:val="single" w:color="auto" w:sz="4" w:space="0"/>
              <w:right w:val="single" w:color="auto" w:sz="4" w:space="0"/>
            </w:tcBorders>
            <w:shd w:val="clear" w:color="auto" w:fill="auto"/>
            <w:vAlign w:val="center"/>
          </w:tcPr>
          <w:p w14:paraId="0FE11D50">
            <w:pPr>
              <w:widowControl/>
              <w:jc w:val="center"/>
              <w:rPr>
                <w:rFonts w:ascii="Times New Roman" w:eastAsia="仿宋"/>
                <w:sz w:val="21"/>
                <w:szCs w:val="21"/>
              </w:rPr>
            </w:pPr>
            <w:r>
              <w:rPr>
                <w:rFonts w:ascii="Times New Roman" w:eastAsia="仿宋"/>
                <w:sz w:val="21"/>
                <w:szCs w:val="21"/>
              </w:rPr>
              <w:t>0.0057</w:t>
            </w:r>
          </w:p>
        </w:tc>
        <w:tc>
          <w:tcPr>
            <w:tcW w:w="986" w:type="dxa"/>
            <w:tcBorders>
              <w:top w:val="nil"/>
              <w:left w:val="nil"/>
              <w:bottom w:val="single" w:color="auto" w:sz="4" w:space="0"/>
              <w:right w:val="single" w:color="auto" w:sz="4" w:space="0"/>
            </w:tcBorders>
            <w:shd w:val="clear" w:color="auto" w:fill="auto"/>
            <w:vAlign w:val="center"/>
          </w:tcPr>
          <w:p w14:paraId="73FA56DB">
            <w:pPr>
              <w:widowControl/>
              <w:jc w:val="center"/>
              <w:rPr>
                <w:rFonts w:ascii="Times New Roman" w:eastAsia="仿宋"/>
                <w:sz w:val="21"/>
                <w:szCs w:val="21"/>
              </w:rPr>
            </w:pPr>
            <w:r>
              <w:rPr>
                <w:rFonts w:ascii="Times New Roman" w:eastAsia="仿宋"/>
                <w:sz w:val="21"/>
                <w:szCs w:val="21"/>
              </w:rPr>
              <w:t>0.0187</w:t>
            </w:r>
          </w:p>
        </w:tc>
        <w:tc>
          <w:tcPr>
            <w:tcW w:w="1134" w:type="dxa"/>
            <w:tcBorders>
              <w:top w:val="nil"/>
              <w:left w:val="nil"/>
              <w:bottom w:val="single" w:color="auto" w:sz="4" w:space="0"/>
              <w:right w:val="single" w:color="auto" w:sz="4" w:space="0"/>
            </w:tcBorders>
            <w:shd w:val="clear" w:color="auto" w:fill="auto"/>
            <w:vAlign w:val="center"/>
          </w:tcPr>
          <w:p w14:paraId="6D585064">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21689153">
            <w:pPr>
              <w:widowControl/>
              <w:jc w:val="center"/>
              <w:rPr>
                <w:rFonts w:ascii="Times New Roman" w:eastAsia="仿宋"/>
                <w:sz w:val="21"/>
                <w:szCs w:val="21"/>
              </w:rPr>
            </w:pPr>
            <w:r>
              <w:rPr>
                <w:rFonts w:ascii="Times New Roman" w:eastAsia="仿宋"/>
                <w:sz w:val="21"/>
                <w:szCs w:val="21"/>
              </w:rPr>
              <w:t>氨：0.355</w:t>
            </w:r>
            <w:r>
              <w:rPr>
                <w:rFonts w:ascii="Times New Roman" w:eastAsia="仿宋"/>
                <w:sz w:val="21"/>
                <w:szCs w:val="21"/>
              </w:rPr>
              <w:br w:type="textWrapping"/>
            </w:r>
            <w:r>
              <w:rPr>
                <w:rFonts w:ascii="Times New Roman" w:eastAsia="仿宋"/>
                <w:sz w:val="21"/>
                <w:szCs w:val="21"/>
              </w:rPr>
              <w:t>硫化氢：0.048</w:t>
            </w:r>
          </w:p>
        </w:tc>
      </w:tr>
      <w:tr w14:paraId="41E687B3">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32CD80C1">
            <w:pPr>
              <w:widowControl/>
              <w:jc w:val="center"/>
              <w:rPr>
                <w:rFonts w:ascii="Times New Roman" w:eastAsia="仿宋"/>
                <w:sz w:val="21"/>
                <w:szCs w:val="21"/>
              </w:rPr>
            </w:pPr>
            <w:r>
              <w:rPr>
                <w:rFonts w:ascii="Times New Roman" w:eastAsia="仿宋"/>
                <w:sz w:val="21"/>
                <w:szCs w:val="21"/>
              </w:rPr>
              <w:t>13</w:t>
            </w:r>
          </w:p>
        </w:tc>
        <w:tc>
          <w:tcPr>
            <w:tcW w:w="3408" w:type="dxa"/>
            <w:tcBorders>
              <w:top w:val="nil"/>
              <w:left w:val="nil"/>
              <w:bottom w:val="single" w:color="auto" w:sz="4" w:space="0"/>
              <w:right w:val="single" w:color="auto" w:sz="4" w:space="0"/>
            </w:tcBorders>
            <w:shd w:val="clear" w:color="auto" w:fill="auto"/>
            <w:vAlign w:val="center"/>
          </w:tcPr>
          <w:p w14:paraId="6E257C16">
            <w:pPr>
              <w:widowControl/>
              <w:jc w:val="center"/>
              <w:rPr>
                <w:rFonts w:ascii="Times New Roman" w:eastAsia="仿宋"/>
                <w:sz w:val="21"/>
                <w:szCs w:val="21"/>
              </w:rPr>
            </w:pPr>
            <w:r>
              <w:rPr>
                <w:rFonts w:ascii="Times New Roman" w:eastAsia="仿宋"/>
                <w:sz w:val="21"/>
                <w:szCs w:val="21"/>
              </w:rPr>
              <w:t>江苏东方洁妮儿新材料有限公司</w:t>
            </w:r>
          </w:p>
        </w:tc>
        <w:tc>
          <w:tcPr>
            <w:tcW w:w="850" w:type="dxa"/>
            <w:tcBorders>
              <w:top w:val="nil"/>
              <w:left w:val="nil"/>
              <w:bottom w:val="single" w:color="auto" w:sz="4" w:space="0"/>
              <w:right w:val="single" w:color="auto" w:sz="4" w:space="0"/>
            </w:tcBorders>
            <w:shd w:val="clear" w:color="auto" w:fill="auto"/>
            <w:vAlign w:val="center"/>
          </w:tcPr>
          <w:p w14:paraId="6B7EB0FF">
            <w:pPr>
              <w:widowControl/>
              <w:jc w:val="center"/>
              <w:rPr>
                <w:rFonts w:ascii="Times New Roman" w:eastAsia="仿宋"/>
                <w:sz w:val="21"/>
                <w:szCs w:val="21"/>
              </w:rPr>
            </w:pPr>
            <w:r>
              <w:rPr>
                <w:rFonts w:ascii="Times New Roman" w:eastAsia="仿宋"/>
                <w:sz w:val="21"/>
                <w:szCs w:val="21"/>
              </w:rPr>
              <w:t>0.28</w:t>
            </w:r>
          </w:p>
        </w:tc>
        <w:tc>
          <w:tcPr>
            <w:tcW w:w="993" w:type="dxa"/>
            <w:tcBorders>
              <w:top w:val="nil"/>
              <w:left w:val="nil"/>
              <w:bottom w:val="single" w:color="auto" w:sz="4" w:space="0"/>
              <w:right w:val="single" w:color="auto" w:sz="4" w:space="0"/>
            </w:tcBorders>
            <w:shd w:val="clear" w:color="auto" w:fill="auto"/>
            <w:vAlign w:val="center"/>
          </w:tcPr>
          <w:p w14:paraId="30F08B65">
            <w:pPr>
              <w:widowControl/>
              <w:jc w:val="center"/>
              <w:rPr>
                <w:rFonts w:ascii="Times New Roman" w:eastAsia="仿宋"/>
                <w:sz w:val="21"/>
                <w:szCs w:val="21"/>
              </w:rPr>
            </w:pPr>
            <w:r>
              <w:rPr>
                <w:rFonts w:ascii="Times New Roman" w:eastAsia="仿宋"/>
                <w:sz w:val="21"/>
                <w:szCs w:val="21"/>
              </w:rPr>
              <w:t>0.4</w:t>
            </w:r>
          </w:p>
        </w:tc>
        <w:tc>
          <w:tcPr>
            <w:tcW w:w="986" w:type="dxa"/>
            <w:tcBorders>
              <w:top w:val="nil"/>
              <w:left w:val="nil"/>
              <w:bottom w:val="single" w:color="auto" w:sz="4" w:space="0"/>
              <w:right w:val="single" w:color="auto" w:sz="4" w:space="0"/>
            </w:tcBorders>
            <w:shd w:val="clear" w:color="auto" w:fill="auto"/>
            <w:vAlign w:val="center"/>
          </w:tcPr>
          <w:p w14:paraId="67FEA869">
            <w:pPr>
              <w:widowControl/>
              <w:jc w:val="center"/>
              <w:rPr>
                <w:rFonts w:ascii="Times New Roman" w:eastAsia="仿宋"/>
                <w:sz w:val="21"/>
                <w:szCs w:val="21"/>
              </w:rPr>
            </w:pPr>
            <w:r>
              <w:rPr>
                <w:rFonts w:ascii="Times New Roman" w:eastAsia="仿宋"/>
                <w:sz w:val="21"/>
                <w:szCs w:val="21"/>
              </w:rPr>
              <w:t>3.742</w:t>
            </w:r>
          </w:p>
        </w:tc>
        <w:tc>
          <w:tcPr>
            <w:tcW w:w="1134" w:type="dxa"/>
            <w:tcBorders>
              <w:top w:val="nil"/>
              <w:left w:val="nil"/>
              <w:bottom w:val="single" w:color="auto" w:sz="4" w:space="0"/>
              <w:right w:val="single" w:color="auto" w:sz="4" w:space="0"/>
            </w:tcBorders>
            <w:shd w:val="clear" w:color="auto" w:fill="auto"/>
            <w:vAlign w:val="center"/>
          </w:tcPr>
          <w:p w14:paraId="1D9FDB1E">
            <w:pPr>
              <w:widowControl/>
              <w:jc w:val="center"/>
              <w:rPr>
                <w:rFonts w:ascii="Times New Roman" w:eastAsia="仿宋"/>
                <w:sz w:val="21"/>
                <w:szCs w:val="21"/>
              </w:rPr>
            </w:pPr>
            <w:r>
              <w:rPr>
                <w:rFonts w:ascii="Times New Roman" w:eastAsia="仿宋"/>
                <w:sz w:val="21"/>
                <w:szCs w:val="21"/>
              </w:rPr>
              <w:t>0.228</w:t>
            </w:r>
          </w:p>
        </w:tc>
        <w:tc>
          <w:tcPr>
            <w:tcW w:w="1560" w:type="dxa"/>
            <w:tcBorders>
              <w:top w:val="nil"/>
              <w:left w:val="nil"/>
              <w:bottom w:val="single" w:color="auto" w:sz="4" w:space="0"/>
              <w:right w:val="single" w:color="auto" w:sz="4" w:space="0"/>
            </w:tcBorders>
            <w:shd w:val="clear" w:color="auto" w:fill="auto"/>
            <w:vAlign w:val="center"/>
          </w:tcPr>
          <w:p w14:paraId="6F2896A0">
            <w:pPr>
              <w:widowControl/>
              <w:jc w:val="center"/>
              <w:rPr>
                <w:rFonts w:ascii="Times New Roman" w:eastAsia="仿宋"/>
                <w:sz w:val="21"/>
                <w:szCs w:val="21"/>
              </w:rPr>
            </w:pPr>
            <w:r>
              <w:rPr>
                <w:rFonts w:ascii="Times New Roman" w:eastAsia="仿宋"/>
                <w:sz w:val="21"/>
                <w:szCs w:val="21"/>
              </w:rPr>
              <w:t>/</w:t>
            </w:r>
          </w:p>
        </w:tc>
      </w:tr>
      <w:tr w14:paraId="43DC1ACA">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56218AC0">
            <w:pPr>
              <w:widowControl/>
              <w:jc w:val="center"/>
              <w:rPr>
                <w:rFonts w:ascii="Times New Roman" w:eastAsia="仿宋"/>
                <w:sz w:val="21"/>
                <w:szCs w:val="21"/>
              </w:rPr>
            </w:pPr>
            <w:r>
              <w:rPr>
                <w:rFonts w:ascii="Times New Roman" w:eastAsia="仿宋"/>
                <w:sz w:val="21"/>
                <w:szCs w:val="21"/>
              </w:rPr>
              <w:t>14</w:t>
            </w:r>
          </w:p>
        </w:tc>
        <w:tc>
          <w:tcPr>
            <w:tcW w:w="3408" w:type="dxa"/>
            <w:tcBorders>
              <w:top w:val="nil"/>
              <w:left w:val="nil"/>
              <w:bottom w:val="single" w:color="auto" w:sz="4" w:space="0"/>
              <w:right w:val="single" w:color="auto" w:sz="4" w:space="0"/>
            </w:tcBorders>
            <w:shd w:val="clear" w:color="auto" w:fill="auto"/>
            <w:vAlign w:val="center"/>
          </w:tcPr>
          <w:p w14:paraId="1D88C143">
            <w:pPr>
              <w:widowControl/>
              <w:jc w:val="center"/>
              <w:rPr>
                <w:rFonts w:ascii="Times New Roman" w:eastAsia="仿宋"/>
                <w:sz w:val="21"/>
                <w:szCs w:val="21"/>
              </w:rPr>
            </w:pPr>
            <w:r>
              <w:rPr>
                <w:rFonts w:ascii="Times New Roman" w:eastAsia="仿宋"/>
                <w:sz w:val="21"/>
                <w:szCs w:val="21"/>
              </w:rPr>
              <w:t>江苏科菱库精工科技有限公司</w:t>
            </w:r>
          </w:p>
        </w:tc>
        <w:tc>
          <w:tcPr>
            <w:tcW w:w="850" w:type="dxa"/>
            <w:tcBorders>
              <w:top w:val="nil"/>
              <w:left w:val="nil"/>
              <w:bottom w:val="single" w:color="auto" w:sz="4" w:space="0"/>
              <w:right w:val="single" w:color="auto" w:sz="4" w:space="0"/>
            </w:tcBorders>
            <w:shd w:val="clear" w:color="auto" w:fill="auto"/>
            <w:vAlign w:val="center"/>
          </w:tcPr>
          <w:p w14:paraId="70142230">
            <w:pPr>
              <w:widowControl/>
              <w:jc w:val="center"/>
              <w:rPr>
                <w:rFonts w:ascii="Times New Roman" w:eastAsia="仿宋"/>
                <w:sz w:val="21"/>
                <w:szCs w:val="21"/>
              </w:rPr>
            </w:pPr>
            <w:r>
              <w:rPr>
                <w:rFonts w:ascii="Times New Roman" w:eastAsia="仿宋"/>
                <w:sz w:val="21"/>
                <w:szCs w:val="21"/>
              </w:rPr>
              <w:t>0.019</w:t>
            </w:r>
          </w:p>
        </w:tc>
        <w:tc>
          <w:tcPr>
            <w:tcW w:w="993" w:type="dxa"/>
            <w:tcBorders>
              <w:top w:val="nil"/>
              <w:left w:val="nil"/>
              <w:bottom w:val="single" w:color="auto" w:sz="4" w:space="0"/>
              <w:right w:val="single" w:color="auto" w:sz="4" w:space="0"/>
            </w:tcBorders>
            <w:shd w:val="clear" w:color="auto" w:fill="auto"/>
            <w:vAlign w:val="center"/>
          </w:tcPr>
          <w:p w14:paraId="178C6992">
            <w:pPr>
              <w:widowControl/>
              <w:jc w:val="center"/>
              <w:rPr>
                <w:rFonts w:ascii="Times New Roman" w:eastAsia="仿宋"/>
                <w:sz w:val="21"/>
                <w:szCs w:val="21"/>
              </w:rPr>
            </w:pPr>
            <w:r>
              <w:rPr>
                <w:rFonts w:ascii="Times New Roman" w:eastAsia="仿宋"/>
                <w:sz w:val="21"/>
                <w:szCs w:val="21"/>
              </w:rPr>
              <w:t>0.008</w:t>
            </w:r>
          </w:p>
        </w:tc>
        <w:tc>
          <w:tcPr>
            <w:tcW w:w="986" w:type="dxa"/>
            <w:tcBorders>
              <w:top w:val="nil"/>
              <w:left w:val="nil"/>
              <w:bottom w:val="single" w:color="auto" w:sz="4" w:space="0"/>
              <w:right w:val="single" w:color="auto" w:sz="4" w:space="0"/>
            </w:tcBorders>
            <w:shd w:val="clear" w:color="auto" w:fill="auto"/>
            <w:vAlign w:val="center"/>
          </w:tcPr>
          <w:p w14:paraId="33EEF05E">
            <w:pPr>
              <w:widowControl/>
              <w:jc w:val="center"/>
              <w:rPr>
                <w:rFonts w:ascii="Times New Roman" w:eastAsia="仿宋"/>
                <w:sz w:val="21"/>
                <w:szCs w:val="21"/>
              </w:rPr>
            </w:pPr>
            <w:r>
              <w:rPr>
                <w:rFonts w:ascii="Times New Roman" w:eastAsia="仿宋"/>
                <w:sz w:val="21"/>
                <w:szCs w:val="21"/>
              </w:rPr>
              <w:t>0.049</w:t>
            </w:r>
          </w:p>
        </w:tc>
        <w:tc>
          <w:tcPr>
            <w:tcW w:w="1134" w:type="dxa"/>
            <w:tcBorders>
              <w:top w:val="nil"/>
              <w:left w:val="nil"/>
              <w:bottom w:val="single" w:color="auto" w:sz="4" w:space="0"/>
              <w:right w:val="single" w:color="auto" w:sz="4" w:space="0"/>
            </w:tcBorders>
            <w:shd w:val="clear" w:color="auto" w:fill="auto"/>
            <w:vAlign w:val="center"/>
          </w:tcPr>
          <w:p w14:paraId="217199E2">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7A8CE902">
            <w:pPr>
              <w:widowControl/>
              <w:jc w:val="center"/>
              <w:rPr>
                <w:rFonts w:ascii="Times New Roman" w:eastAsia="仿宋"/>
                <w:sz w:val="21"/>
                <w:szCs w:val="21"/>
              </w:rPr>
            </w:pPr>
            <w:r>
              <w:rPr>
                <w:rFonts w:ascii="Times New Roman" w:eastAsia="仿宋"/>
                <w:sz w:val="21"/>
                <w:szCs w:val="21"/>
              </w:rPr>
              <w:t>/</w:t>
            </w:r>
          </w:p>
        </w:tc>
      </w:tr>
      <w:tr w14:paraId="1623620C">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6B640601">
            <w:pPr>
              <w:widowControl/>
              <w:jc w:val="center"/>
              <w:rPr>
                <w:rFonts w:ascii="Times New Roman" w:eastAsia="仿宋"/>
                <w:sz w:val="21"/>
                <w:szCs w:val="21"/>
              </w:rPr>
            </w:pPr>
            <w:r>
              <w:rPr>
                <w:rFonts w:ascii="Times New Roman" w:eastAsia="仿宋"/>
                <w:sz w:val="21"/>
                <w:szCs w:val="21"/>
              </w:rPr>
              <w:t>15</w:t>
            </w:r>
          </w:p>
        </w:tc>
        <w:tc>
          <w:tcPr>
            <w:tcW w:w="3408" w:type="dxa"/>
            <w:tcBorders>
              <w:top w:val="nil"/>
              <w:left w:val="nil"/>
              <w:bottom w:val="single" w:color="auto" w:sz="4" w:space="0"/>
              <w:right w:val="single" w:color="auto" w:sz="4" w:space="0"/>
            </w:tcBorders>
            <w:shd w:val="clear" w:color="auto" w:fill="auto"/>
            <w:vAlign w:val="center"/>
          </w:tcPr>
          <w:p w14:paraId="6E8D4978">
            <w:pPr>
              <w:widowControl/>
              <w:jc w:val="center"/>
              <w:rPr>
                <w:rFonts w:ascii="Times New Roman" w:eastAsia="仿宋"/>
                <w:sz w:val="21"/>
                <w:szCs w:val="21"/>
              </w:rPr>
            </w:pPr>
            <w:r>
              <w:rPr>
                <w:rFonts w:ascii="Times New Roman" w:eastAsia="仿宋"/>
                <w:sz w:val="21"/>
                <w:szCs w:val="21"/>
              </w:rPr>
              <w:t>常州思必达新能源设备有限公司</w:t>
            </w:r>
          </w:p>
        </w:tc>
        <w:tc>
          <w:tcPr>
            <w:tcW w:w="850" w:type="dxa"/>
            <w:tcBorders>
              <w:top w:val="nil"/>
              <w:left w:val="nil"/>
              <w:bottom w:val="single" w:color="auto" w:sz="4" w:space="0"/>
              <w:right w:val="single" w:color="auto" w:sz="4" w:space="0"/>
            </w:tcBorders>
            <w:shd w:val="clear" w:color="auto" w:fill="auto"/>
            <w:vAlign w:val="center"/>
          </w:tcPr>
          <w:p w14:paraId="0699EE79">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4CAD0317">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70C44ED1">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27797CD4">
            <w:pPr>
              <w:widowControl/>
              <w:jc w:val="center"/>
              <w:rPr>
                <w:rFonts w:ascii="Times New Roman" w:eastAsia="仿宋"/>
                <w:sz w:val="21"/>
                <w:szCs w:val="21"/>
              </w:rPr>
            </w:pPr>
            <w:r>
              <w:rPr>
                <w:rFonts w:ascii="Times New Roman" w:eastAsia="仿宋"/>
                <w:sz w:val="21"/>
                <w:szCs w:val="21"/>
              </w:rPr>
              <w:t>0.178</w:t>
            </w:r>
          </w:p>
        </w:tc>
        <w:tc>
          <w:tcPr>
            <w:tcW w:w="1560" w:type="dxa"/>
            <w:tcBorders>
              <w:top w:val="nil"/>
              <w:left w:val="nil"/>
              <w:bottom w:val="single" w:color="auto" w:sz="4" w:space="0"/>
              <w:right w:val="single" w:color="auto" w:sz="4" w:space="0"/>
            </w:tcBorders>
            <w:shd w:val="clear" w:color="auto" w:fill="auto"/>
            <w:vAlign w:val="center"/>
          </w:tcPr>
          <w:p w14:paraId="0253E1B4">
            <w:pPr>
              <w:widowControl/>
              <w:jc w:val="center"/>
              <w:rPr>
                <w:rFonts w:ascii="Times New Roman" w:eastAsia="仿宋"/>
                <w:sz w:val="21"/>
                <w:szCs w:val="21"/>
              </w:rPr>
            </w:pPr>
            <w:r>
              <w:rPr>
                <w:rFonts w:ascii="Times New Roman" w:eastAsia="仿宋"/>
                <w:sz w:val="21"/>
                <w:szCs w:val="21"/>
              </w:rPr>
              <w:t>/</w:t>
            </w:r>
          </w:p>
        </w:tc>
      </w:tr>
      <w:tr w14:paraId="2448B6F9">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9487F0F">
            <w:pPr>
              <w:widowControl/>
              <w:jc w:val="center"/>
              <w:rPr>
                <w:rFonts w:ascii="Times New Roman" w:eastAsia="仿宋"/>
                <w:sz w:val="21"/>
                <w:szCs w:val="21"/>
              </w:rPr>
            </w:pPr>
            <w:r>
              <w:rPr>
                <w:rFonts w:ascii="Times New Roman" w:eastAsia="仿宋"/>
                <w:sz w:val="21"/>
                <w:szCs w:val="21"/>
              </w:rPr>
              <w:t>16</w:t>
            </w:r>
          </w:p>
        </w:tc>
        <w:tc>
          <w:tcPr>
            <w:tcW w:w="3408" w:type="dxa"/>
            <w:tcBorders>
              <w:top w:val="nil"/>
              <w:left w:val="nil"/>
              <w:bottom w:val="single" w:color="auto" w:sz="4" w:space="0"/>
              <w:right w:val="single" w:color="auto" w:sz="4" w:space="0"/>
            </w:tcBorders>
            <w:shd w:val="clear" w:color="auto" w:fill="auto"/>
            <w:vAlign w:val="center"/>
          </w:tcPr>
          <w:p w14:paraId="0D31296E">
            <w:pPr>
              <w:widowControl/>
              <w:jc w:val="center"/>
              <w:rPr>
                <w:rFonts w:ascii="Times New Roman" w:eastAsia="仿宋"/>
                <w:sz w:val="21"/>
                <w:szCs w:val="21"/>
              </w:rPr>
            </w:pPr>
            <w:r>
              <w:rPr>
                <w:rFonts w:ascii="Times New Roman" w:eastAsia="仿宋"/>
                <w:sz w:val="21"/>
                <w:szCs w:val="21"/>
              </w:rPr>
              <w:t>常州银丰电力装备有限公司</w:t>
            </w:r>
          </w:p>
        </w:tc>
        <w:tc>
          <w:tcPr>
            <w:tcW w:w="850" w:type="dxa"/>
            <w:tcBorders>
              <w:top w:val="nil"/>
              <w:left w:val="nil"/>
              <w:bottom w:val="single" w:color="auto" w:sz="4" w:space="0"/>
              <w:right w:val="single" w:color="auto" w:sz="4" w:space="0"/>
            </w:tcBorders>
            <w:shd w:val="clear" w:color="auto" w:fill="auto"/>
            <w:vAlign w:val="center"/>
          </w:tcPr>
          <w:p w14:paraId="55AF73D9">
            <w:pPr>
              <w:widowControl/>
              <w:jc w:val="center"/>
              <w:rPr>
                <w:rFonts w:ascii="Times New Roman" w:eastAsia="仿宋"/>
                <w:sz w:val="21"/>
                <w:szCs w:val="21"/>
              </w:rPr>
            </w:pPr>
            <w:r>
              <w:rPr>
                <w:rFonts w:ascii="Times New Roman" w:eastAsia="仿宋"/>
                <w:sz w:val="21"/>
                <w:szCs w:val="21"/>
              </w:rPr>
              <w:t>0.58</w:t>
            </w:r>
          </w:p>
        </w:tc>
        <w:tc>
          <w:tcPr>
            <w:tcW w:w="993" w:type="dxa"/>
            <w:tcBorders>
              <w:top w:val="nil"/>
              <w:left w:val="nil"/>
              <w:bottom w:val="single" w:color="auto" w:sz="4" w:space="0"/>
              <w:right w:val="single" w:color="auto" w:sz="4" w:space="0"/>
            </w:tcBorders>
            <w:shd w:val="clear" w:color="auto" w:fill="auto"/>
            <w:vAlign w:val="center"/>
          </w:tcPr>
          <w:p w14:paraId="41648060">
            <w:pPr>
              <w:widowControl/>
              <w:jc w:val="center"/>
              <w:rPr>
                <w:rFonts w:ascii="Times New Roman" w:eastAsia="仿宋"/>
                <w:sz w:val="21"/>
                <w:szCs w:val="21"/>
              </w:rPr>
            </w:pPr>
            <w:r>
              <w:rPr>
                <w:rFonts w:ascii="Times New Roman" w:eastAsia="仿宋"/>
                <w:sz w:val="21"/>
                <w:szCs w:val="21"/>
              </w:rPr>
              <w:t>0.746</w:t>
            </w:r>
          </w:p>
        </w:tc>
        <w:tc>
          <w:tcPr>
            <w:tcW w:w="986" w:type="dxa"/>
            <w:tcBorders>
              <w:top w:val="nil"/>
              <w:left w:val="nil"/>
              <w:bottom w:val="single" w:color="auto" w:sz="4" w:space="0"/>
              <w:right w:val="single" w:color="auto" w:sz="4" w:space="0"/>
            </w:tcBorders>
            <w:shd w:val="clear" w:color="auto" w:fill="auto"/>
            <w:vAlign w:val="center"/>
          </w:tcPr>
          <w:p w14:paraId="1C469503">
            <w:pPr>
              <w:widowControl/>
              <w:jc w:val="center"/>
              <w:rPr>
                <w:rFonts w:ascii="Times New Roman" w:eastAsia="仿宋"/>
                <w:sz w:val="21"/>
                <w:szCs w:val="21"/>
              </w:rPr>
            </w:pPr>
            <w:r>
              <w:rPr>
                <w:rFonts w:ascii="Times New Roman" w:eastAsia="仿宋"/>
                <w:sz w:val="21"/>
                <w:szCs w:val="21"/>
              </w:rPr>
              <w:t>7.29</w:t>
            </w:r>
          </w:p>
        </w:tc>
        <w:tc>
          <w:tcPr>
            <w:tcW w:w="1134" w:type="dxa"/>
            <w:tcBorders>
              <w:top w:val="nil"/>
              <w:left w:val="nil"/>
              <w:bottom w:val="single" w:color="auto" w:sz="4" w:space="0"/>
              <w:right w:val="single" w:color="auto" w:sz="4" w:space="0"/>
            </w:tcBorders>
            <w:shd w:val="clear" w:color="auto" w:fill="auto"/>
            <w:vAlign w:val="center"/>
          </w:tcPr>
          <w:p w14:paraId="7332B5D3">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25770014">
            <w:pPr>
              <w:widowControl/>
              <w:jc w:val="center"/>
              <w:rPr>
                <w:rFonts w:ascii="Times New Roman" w:eastAsia="仿宋"/>
                <w:sz w:val="21"/>
                <w:szCs w:val="21"/>
              </w:rPr>
            </w:pPr>
            <w:r>
              <w:rPr>
                <w:rFonts w:ascii="Times New Roman" w:eastAsia="仿宋"/>
                <w:sz w:val="21"/>
                <w:szCs w:val="21"/>
              </w:rPr>
              <w:t>锌尘：0.016</w:t>
            </w:r>
            <w:r>
              <w:rPr>
                <w:rFonts w:ascii="Times New Roman" w:eastAsia="仿宋"/>
                <w:sz w:val="21"/>
                <w:szCs w:val="21"/>
              </w:rPr>
              <w:br w:type="textWrapping"/>
            </w:r>
            <w:r>
              <w:rPr>
                <w:rFonts w:ascii="Times New Roman" w:eastAsia="仿宋"/>
                <w:sz w:val="21"/>
                <w:szCs w:val="21"/>
              </w:rPr>
              <w:t>HCl:0.183</w:t>
            </w:r>
            <w:r>
              <w:rPr>
                <w:rFonts w:ascii="Times New Roman" w:eastAsia="仿宋"/>
                <w:sz w:val="21"/>
                <w:szCs w:val="21"/>
              </w:rPr>
              <w:br w:type="textWrapping"/>
            </w:r>
            <w:r>
              <w:rPr>
                <w:rFonts w:ascii="Times New Roman" w:eastAsia="仿宋"/>
                <w:sz w:val="21"/>
                <w:szCs w:val="21"/>
              </w:rPr>
              <w:t>氨：0.19</w:t>
            </w:r>
          </w:p>
        </w:tc>
      </w:tr>
      <w:tr w14:paraId="24E05F29">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1AE00CD3">
            <w:pPr>
              <w:widowControl/>
              <w:jc w:val="center"/>
              <w:rPr>
                <w:rFonts w:ascii="Times New Roman" w:eastAsia="仿宋"/>
                <w:sz w:val="21"/>
                <w:szCs w:val="21"/>
              </w:rPr>
            </w:pPr>
            <w:r>
              <w:rPr>
                <w:rFonts w:ascii="Times New Roman" w:eastAsia="仿宋"/>
                <w:sz w:val="21"/>
                <w:szCs w:val="21"/>
              </w:rPr>
              <w:t>17</w:t>
            </w:r>
          </w:p>
        </w:tc>
        <w:tc>
          <w:tcPr>
            <w:tcW w:w="3408" w:type="dxa"/>
            <w:tcBorders>
              <w:top w:val="nil"/>
              <w:left w:val="nil"/>
              <w:bottom w:val="single" w:color="auto" w:sz="4" w:space="0"/>
              <w:right w:val="single" w:color="auto" w:sz="4" w:space="0"/>
            </w:tcBorders>
            <w:shd w:val="clear" w:color="auto" w:fill="auto"/>
            <w:vAlign w:val="center"/>
          </w:tcPr>
          <w:p w14:paraId="01B1028F">
            <w:pPr>
              <w:widowControl/>
              <w:jc w:val="center"/>
              <w:rPr>
                <w:rFonts w:ascii="Times New Roman" w:eastAsia="仿宋"/>
                <w:sz w:val="21"/>
                <w:szCs w:val="21"/>
              </w:rPr>
            </w:pPr>
            <w:r>
              <w:rPr>
                <w:rFonts w:ascii="Times New Roman" w:eastAsia="仿宋"/>
                <w:sz w:val="21"/>
                <w:szCs w:val="21"/>
              </w:rPr>
              <w:t>江苏鹏德保温包装材料有限公司</w:t>
            </w:r>
          </w:p>
        </w:tc>
        <w:tc>
          <w:tcPr>
            <w:tcW w:w="850" w:type="dxa"/>
            <w:tcBorders>
              <w:top w:val="nil"/>
              <w:left w:val="nil"/>
              <w:bottom w:val="single" w:color="auto" w:sz="4" w:space="0"/>
              <w:right w:val="single" w:color="auto" w:sz="4" w:space="0"/>
            </w:tcBorders>
            <w:shd w:val="clear" w:color="auto" w:fill="auto"/>
            <w:vAlign w:val="center"/>
          </w:tcPr>
          <w:p w14:paraId="0987F849">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5CBC704B">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30AC5632">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0EF15DC4">
            <w:pPr>
              <w:widowControl/>
              <w:jc w:val="center"/>
              <w:rPr>
                <w:rFonts w:ascii="Times New Roman" w:eastAsia="仿宋"/>
                <w:sz w:val="21"/>
                <w:szCs w:val="21"/>
              </w:rPr>
            </w:pPr>
            <w:r>
              <w:rPr>
                <w:rFonts w:ascii="Times New Roman" w:eastAsia="仿宋"/>
                <w:sz w:val="21"/>
                <w:szCs w:val="21"/>
              </w:rPr>
              <w:t>0.006</w:t>
            </w:r>
          </w:p>
        </w:tc>
        <w:tc>
          <w:tcPr>
            <w:tcW w:w="1560" w:type="dxa"/>
            <w:tcBorders>
              <w:top w:val="nil"/>
              <w:left w:val="nil"/>
              <w:bottom w:val="single" w:color="auto" w:sz="4" w:space="0"/>
              <w:right w:val="single" w:color="auto" w:sz="4" w:space="0"/>
            </w:tcBorders>
            <w:shd w:val="clear" w:color="auto" w:fill="auto"/>
            <w:vAlign w:val="center"/>
          </w:tcPr>
          <w:p w14:paraId="5232D9E7">
            <w:pPr>
              <w:widowControl/>
              <w:jc w:val="center"/>
              <w:rPr>
                <w:rFonts w:ascii="Times New Roman" w:eastAsia="仿宋"/>
                <w:sz w:val="21"/>
                <w:szCs w:val="21"/>
              </w:rPr>
            </w:pPr>
            <w:r>
              <w:rPr>
                <w:rFonts w:ascii="Times New Roman" w:eastAsia="仿宋"/>
                <w:sz w:val="21"/>
                <w:szCs w:val="21"/>
              </w:rPr>
              <w:t>/</w:t>
            </w:r>
          </w:p>
        </w:tc>
      </w:tr>
      <w:tr w14:paraId="10F1F9AD">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01043807">
            <w:pPr>
              <w:widowControl/>
              <w:jc w:val="center"/>
              <w:rPr>
                <w:rFonts w:ascii="Times New Roman" w:eastAsia="仿宋"/>
                <w:sz w:val="21"/>
                <w:szCs w:val="21"/>
              </w:rPr>
            </w:pPr>
            <w:r>
              <w:rPr>
                <w:rFonts w:ascii="Times New Roman" w:eastAsia="仿宋"/>
                <w:sz w:val="21"/>
                <w:szCs w:val="21"/>
              </w:rPr>
              <w:t>18</w:t>
            </w:r>
          </w:p>
        </w:tc>
        <w:tc>
          <w:tcPr>
            <w:tcW w:w="3408" w:type="dxa"/>
            <w:tcBorders>
              <w:top w:val="nil"/>
              <w:left w:val="nil"/>
              <w:bottom w:val="single" w:color="auto" w:sz="4" w:space="0"/>
              <w:right w:val="single" w:color="auto" w:sz="4" w:space="0"/>
            </w:tcBorders>
            <w:shd w:val="clear" w:color="auto" w:fill="auto"/>
            <w:vAlign w:val="center"/>
          </w:tcPr>
          <w:p w14:paraId="42714488">
            <w:pPr>
              <w:widowControl/>
              <w:jc w:val="center"/>
              <w:rPr>
                <w:rFonts w:ascii="Times New Roman" w:eastAsia="仿宋"/>
                <w:sz w:val="21"/>
                <w:szCs w:val="21"/>
              </w:rPr>
            </w:pPr>
            <w:r>
              <w:rPr>
                <w:rFonts w:ascii="Times New Roman" w:eastAsia="仿宋"/>
                <w:sz w:val="21"/>
                <w:szCs w:val="21"/>
              </w:rPr>
              <w:t>常州日新模塑科技有限公司</w:t>
            </w:r>
          </w:p>
        </w:tc>
        <w:tc>
          <w:tcPr>
            <w:tcW w:w="850" w:type="dxa"/>
            <w:tcBorders>
              <w:top w:val="nil"/>
              <w:left w:val="nil"/>
              <w:bottom w:val="single" w:color="auto" w:sz="4" w:space="0"/>
              <w:right w:val="single" w:color="auto" w:sz="4" w:space="0"/>
            </w:tcBorders>
            <w:shd w:val="clear" w:color="auto" w:fill="auto"/>
            <w:vAlign w:val="center"/>
          </w:tcPr>
          <w:p w14:paraId="73248655">
            <w:pPr>
              <w:widowControl/>
              <w:jc w:val="center"/>
              <w:rPr>
                <w:rFonts w:ascii="Times New Roman" w:eastAsia="仿宋"/>
                <w:sz w:val="21"/>
                <w:szCs w:val="21"/>
              </w:rPr>
            </w:pPr>
            <w:r>
              <w:rPr>
                <w:rFonts w:ascii="Times New Roman" w:eastAsia="仿宋"/>
                <w:sz w:val="21"/>
                <w:szCs w:val="21"/>
              </w:rPr>
              <w:t>0.046</w:t>
            </w:r>
          </w:p>
        </w:tc>
        <w:tc>
          <w:tcPr>
            <w:tcW w:w="993" w:type="dxa"/>
            <w:tcBorders>
              <w:top w:val="nil"/>
              <w:left w:val="nil"/>
              <w:bottom w:val="single" w:color="auto" w:sz="4" w:space="0"/>
              <w:right w:val="single" w:color="auto" w:sz="4" w:space="0"/>
            </w:tcBorders>
            <w:shd w:val="clear" w:color="auto" w:fill="auto"/>
            <w:vAlign w:val="center"/>
          </w:tcPr>
          <w:p w14:paraId="2C1F75C0">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0DB1AF7C">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658DB3F2">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5DBBCD45">
            <w:pPr>
              <w:widowControl/>
              <w:jc w:val="center"/>
              <w:rPr>
                <w:rFonts w:ascii="Times New Roman" w:eastAsia="仿宋"/>
                <w:sz w:val="21"/>
                <w:szCs w:val="21"/>
              </w:rPr>
            </w:pPr>
            <w:r>
              <w:rPr>
                <w:rFonts w:ascii="Times New Roman" w:eastAsia="仿宋"/>
                <w:sz w:val="21"/>
                <w:szCs w:val="21"/>
              </w:rPr>
              <w:t>/</w:t>
            </w:r>
          </w:p>
        </w:tc>
      </w:tr>
      <w:tr w14:paraId="41DD6E8A">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38826E42">
            <w:pPr>
              <w:widowControl/>
              <w:jc w:val="center"/>
              <w:rPr>
                <w:rFonts w:ascii="Times New Roman" w:eastAsia="仿宋"/>
                <w:sz w:val="21"/>
                <w:szCs w:val="21"/>
              </w:rPr>
            </w:pPr>
            <w:r>
              <w:rPr>
                <w:rFonts w:ascii="Times New Roman" w:eastAsia="仿宋"/>
                <w:sz w:val="21"/>
                <w:szCs w:val="21"/>
              </w:rPr>
              <w:t>19</w:t>
            </w:r>
          </w:p>
        </w:tc>
        <w:tc>
          <w:tcPr>
            <w:tcW w:w="3408" w:type="dxa"/>
            <w:tcBorders>
              <w:top w:val="nil"/>
              <w:left w:val="nil"/>
              <w:bottom w:val="single" w:color="auto" w:sz="4" w:space="0"/>
              <w:right w:val="single" w:color="auto" w:sz="4" w:space="0"/>
            </w:tcBorders>
            <w:shd w:val="clear" w:color="auto" w:fill="auto"/>
            <w:vAlign w:val="center"/>
          </w:tcPr>
          <w:p w14:paraId="0064075A">
            <w:pPr>
              <w:widowControl/>
              <w:jc w:val="center"/>
              <w:rPr>
                <w:rFonts w:ascii="Times New Roman" w:eastAsia="仿宋"/>
                <w:sz w:val="21"/>
                <w:szCs w:val="21"/>
              </w:rPr>
            </w:pPr>
            <w:r>
              <w:rPr>
                <w:rFonts w:ascii="Times New Roman" w:eastAsia="仿宋"/>
                <w:sz w:val="21"/>
                <w:szCs w:val="21"/>
              </w:rPr>
              <w:t>江苏立华食品有限公司</w:t>
            </w:r>
          </w:p>
        </w:tc>
        <w:tc>
          <w:tcPr>
            <w:tcW w:w="850" w:type="dxa"/>
            <w:tcBorders>
              <w:top w:val="nil"/>
              <w:left w:val="nil"/>
              <w:bottom w:val="single" w:color="auto" w:sz="4" w:space="0"/>
              <w:right w:val="single" w:color="auto" w:sz="4" w:space="0"/>
            </w:tcBorders>
            <w:shd w:val="clear" w:color="auto" w:fill="auto"/>
            <w:vAlign w:val="center"/>
          </w:tcPr>
          <w:p w14:paraId="7F134908">
            <w:pPr>
              <w:widowControl/>
              <w:jc w:val="center"/>
              <w:rPr>
                <w:rFonts w:ascii="Times New Roman" w:eastAsia="仿宋"/>
                <w:sz w:val="21"/>
                <w:szCs w:val="21"/>
              </w:rPr>
            </w:pPr>
            <w:r>
              <w:rPr>
                <w:rFonts w:ascii="Times New Roman" w:eastAsia="仿宋"/>
                <w:sz w:val="21"/>
                <w:szCs w:val="21"/>
              </w:rPr>
              <w:t>0.095</w:t>
            </w:r>
          </w:p>
        </w:tc>
        <w:tc>
          <w:tcPr>
            <w:tcW w:w="993" w:type="dxa"/>
            <w:tcBorders>
              <w:top w:val="nil"/>
              <w:left w:val="nil"/>
              <w:bottom w:val="single" w:color="auto" w:sz="4" w:space="0"/>
              <w:right w:val="single" w:color="auto" w:sz="4" w:space="0"/>
            </w:tcBorders>
            <w:shd w:val="clear" w:color="auto" w:fill="auto"/>
            <w:vAlign w:val="center"/>
          </w:tcPr>
          <w:p w14:paraId="720C4022">
            <w:pPr>
              <w:widowControl/>
              <w:jc w:val="center"/>
              <w:rPr>
                <w:rFonts w:ascii="Times New Roman" w:eastAsia="仿宋"/>
                <w:sz w:val="21"/>
                <w:szCs w:val="21"/>
              </w:rPr>
            </w:pPr>
            <w:r>
              <w:rPr>
                <w:rFonts w:ascii="Times New Roman" w:eastAsia="仿宋"/>
                <w:sz w:val="21"/>
                <w:szCs w:val="21"/>
              </w:rPr>
              <w:t>0.04</w:t>
            </w:r>
          </w:p>
        </w:tc>
        <w:tc>
          <w:tcPr>
            <w:tcW w:w="986" w:type="dxa"/>
            <w:tcBorders>
              <w:top w:val="nil"/>
              <w:left w:val="nil"/>
              <w:bottom w:val="single" w:color="auto" w:sz="4" w:space="0"/>
              <w:right w:val="single" w:color="auto" w:sz="4" w:space="0"/>
            </w:tcBorders>
            <w:shd w:val="clear" w:color="auto" w:fill="auto"/>
            <w:vAlign w:val="center"/>
          </w:tcPr>
          <w:p w14:paraId="05A8007A">
            <w:pPr>
              <w:widowControl/>
              <w:jc w:val="center"/>
              <w:rPr>
                <w:rFonts w:ascii="Times New Roman" w:eastAsia="仿宋"/>
                <w:sz w:val="21"/>
                <w:szCs w:val="21"/>
              </w:rPr>
            </w:pPr>
            <w:r>
              <w:rPr>
                <w:rFonts w:ascii="Times New Roman" w:eastAsia="仿宋"/>
                <w:sz w:val="21"/>
                <w:szCs w:val="21"/>
              </w:rPr>
              <w:t>0.249</w:t>
            </w:r>
          </w:p>
        </w:tc>
        <w:tc>
          <w:tcPr>
            <w:tcW w:w="1134" w:type="dxa"/>
            <w:tcBorders>
              <w:top w:val="nil"/>
              <w:left w:val="nil"/>
              <w:bottom w:val="single" w:color="auto" w:sz="4" w:space="0"/>
              <w:right w:val="single" w:color="auto" w:sz="4" w:space="0"/>
            </w:tcBorders>
            <w:shd w:val="clear" w:color="auto" w:fill="auto"/>
            <w:vAlign w:val="center"/>
          </w:tcPr>
          <w:p w14:paraId="413CB67F">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2AC42F61">
            <w:pPr>
              <w:widowControl/>
              <w:jc w:val="center"/>
              <w:rPr>
                <w:rFonts w:ascii="Times New Roman" w:eastAsia="仿宋"/>
                <w:sz w:val="21"/>
                <w:szCs w:val="21"/>
              </w:rPr>
            </w:pPr>
            <w:r>
              <w:rPr>
                <w:rFonts w:ascii="Times New Roman" w:eastAsia="仿宋"/>
                <w:sz w:val="21"/>
                <w:szCs w:val="21"/>
              </w:rPr>
              <w:t>氨：0.322</w:t>
            </w:r>
            <w:r>
              <w:rPr>
                <w:rFonts w:ascii="Times New Roman" w:eastAsia="仿宋"/>
                <w:sz w:val="21"/>
                <w:szCs w:val="21"/>
              </w:rPr>
              <w:br w:type="textWrapping"/>
            </w:r>
            <w:r>
              <w:rPr>
                <w:rFonts w:ascii="Times New Roman" w:eastAsia="仿宋"/>
                <w:sz w:val="21"/>
                <w:szCs w:val="21"/>
              </w:rPr>
              <w:t>硫化氢：0.056</w:t>
            </w:r>
          </w:p>
        </w:tc>
      </w:tr>
      <w:tr w14:paraId="47D2A44A">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4F52E33A">
            <w:pPr>
              <w:widowControl/>
              <w:jc w:val="center"/>
              <w:rPr>
                <w:rFonts w:ascii="Times New Roman" w:eastAsia="仿宋"/>
                <w:sz w:val="21"/>
                <w:szCs w:val="21"/>
              </w:rPr>
            </w:pPr>
            <w:r>
              <w:rPr>
                <w:rFonts w:ascii="Times New Roman" w:eastAsia="仿宋"/>
                <w:sz w:val="21"/>
                <w:szCs w:val="21"/>
              </w:rPr>
              <w:t>20</w:t>
            </w:r>
          </w:p>
        </w:tc>
        <w:tc>
          <w:tcPr>
            <w:tcW w:w="3408" w:type="dxa"/>
            <w:tcBorders>
              <w:top w:val="nil"/>
              <w:left w:val="nil"/>
              <w:bottom w:val="single" w:color="auto" w:sz="4" w:space="0"/>
              <w:right w:val="single" w:color="auto" w:sz="4" w:space="0"/>
            </w:tcBorders>
            <w:shd w:val="clear" w:color="auto" w:fill="auto"/>
            <w:vAlign w:val="center"/>
          </w:tcPr>
          <w:p w14:paraId="5998C669">
            <w:pPr>
              <w:widowControl/>
              <w:jc w:val="center"/>
              <w:rPr>
                <w:rFonts w:ascii="Times New Roman" w:eastAsia="仿宋"/>
                <w:sz w:val="21"/>
                <w:szCs w:val="21"/>
              </w:rPr>
            </w:pPr>
            <w:r>
              <w:rPr>
                <w:rFonts w:ascii="Times New Roman" w:eastAsia="仿宋"/>
                <w:sz w:val="21"/>
                <w:szCs w:val="21"/>
              </w:rPr>
              <w:t>常州市金坛建明机械制造厂（普通合伙）</w:t>
            </w:r>
          </w:p>
        </w:tc>
        <w:tc>
          <w:tcPr>
            <w:tcW w:w="850" w:type="dxa"/>
            <w:tcBorders>
              <w:top w:val="nil"/>
              <w:left w:val="nil"/>
              <w:bottom w:val="single" w:color="auto" w:sz="4" w:space="0"/>
              <w:right w:val="single" w:color="auto" w:sz="4" w:space="0"/>
            </w:tcBorders>
            <w:shd w:val="clear" w:color="auto" w:fill="auto"/>
            <w:vAlign w:val="center"/>
          </w:tcPr>
          <w:p w14:paraId="6BA79688">
            <w:pPr>
              <w:widowControl/>
              <w:jc w:val="center"/>
              <w:rPr>
                <w:rFonts w:ascii="Times New Roman" w:eastAsia="仿宋"/>
                <w:sz w:val="21"/>
                <w:szCs w:val="21"/>
              </w:rPr>
            </w:pPr>
            <w:r>
              <w:rPr>
                <w:rFonts w:ascii="Times New Roman" w:eastAsia="仿宋"/>
                <w:sz w:val="21"/>
                <w:szCs w:val="21"/>
              </w:rPr>
              <w:t>6.983</w:t>
            </w:r>
          </w:p>
        </w:tc>
        <w:tc>
          <w:tcPr>
            <w:tcW w:w="993" w:type="dxa"/>
            <w:tcBorders>
              <w:top w:val="nil"/>
              <w:left w:val="nil"/>
              <w:bottom w:val="single" w:color="auto" w:sz="4" w:space="0"/>
              <w:right w:val="single" w:color="auto" w:sz="4" w:space="0"/>
            </w:tcBorders>
            <w:shd w:val="clear" w:color="auto" w:fill="auto"/>
            <w:vAlign w:val="center"/>
          </w:tcPr>
          <w:p w14:paraId="6F16225D">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193A07E1">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06BDB300">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178C5481">
            <w:pPr>
              <w:widowControl/>
              <w:jc w:val="center"/>
              <w:rPr>
                <w:rFonts w:ascii="Times New Roman" w:eastAsia="仿宋"/>
                <w:sz w:val="21"/>
                <w:szCs w:val="21"/>
              </w:rPr>
            </w:pPr>
            <w:r>
              <w:rPr>
                <w:rFonts w:ascii="Times New Roman" w:eastAsia="仿宋"/>
                <w:sz w:val="21"/>
                <w:szCs w:val="21"/>
              </w:rPr>
              <w:t>/</w:t>
            </w:r>
          </w:p>
        </w:tc>
      </w:tr>
      <w:tr w14:paraId="56587A85">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7779C945">
            <w:pPr>
              <w:widowControl/>
              <w:jc w:val="center"/>
              <w:rPr>
                <w:rFonts w:ascii="Times New Roman" w:eastAsia="仿宋"/>
                <w:sz w:val="21"/>
                <w:szCs w:val="21"/>
              </w:rPr>
            </w:pPr>
            <w:r>
              <w:rPr>
                <w:rFonts w:ascii="Times New Roman" w:eastAsia="仿宋"/>
                <w:sz w:val="21"/>
                <w:szCs w:val="21"/>
              </w:rPr>
              <w:t>21</w:t>
            </w:r>
          </w:p>
        </w:tc>
        <w:tc>
          <w:tcPr>
            <w:tcW w:w="3408" w:type="dxa"/>
            <w:tcBorders>
              <w:top w:val="nil"/>
              <w:left w:val="nil"/>
              <w:bottom w:val="single" w:color="auto" w:sz="4" w:space="0"/>
              <w:right w:val="single" w:color="auto" w:sz="4" w:space="0"/>
            </w:tcBorders>
            <w:shd w:val="clear" w:color="auto" w:fill="auto"/>
            <w:vAlign w:val="center"/>
          </w:tcPr>
          <w:p w14:paraId="266C352F">
            <w:pPr>
              <w:widowControl/>
              <w:jc w:val="center"/>
              <w:rPr>
                <w:rFonts w:ascii="Times New Roman" w:eastAsia="仿宋"/>
                <w:sz w:val="21"/>
                <w:szCs w:val="21"/>
              </w:rPr>
            </w:pPr>
            <w:r>
              <w:rPr>
                <w:rFonts w:ascii="Times New Roman" w:eastAsia="仿宋"/>
                <w:sz w:val="21"/>
                <w:szCs w:val="21"/>
              </w:rPr>
              <w:t>常州新瑞卫生用品有限公司</w:t>
            </w:r>
          </w:p>
        </w:tc>
        <w:tc>
          <w:tcPr>
            <w:tcW w:w="850" w:type="dxa"/>
            <w:tcBorders>
              <w:top w:val="nil"/>
              <w:left w:val="nil"/>
              <w:bottom w:val="single" w:color="auto" w:sz="4" w:space="0"/>
              <w:right w:val="single" w:color="auto" w:sz="4" w:space="0"/>
            </w:tcBorders>
            <w:shd w:val="clear" w:color="auto" w:fill="auto"/>
            <w:vAlign w:val="center"/>
          </w:tcPr>
          <w:p w14:paraId="19B302B7">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0FBA0722">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104D8A0A">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79615C17">
            <w:pPr>
              <w:widowControl/>
              <w:jc w:val="center"/>
              <w:rPr>
                <w:rFonts w:ascii="Times New Roman" w:eastAsia="仿宋"/>
                <w:sz w:val="21"/>
                <w:szCs w:val="21"/>
              </w:rPr>
            </w:pPr>
            <w:r>
              <w:rPr>
                <w:rFonts w:ascii="Times New Roman" w:eastAsia="仿宋"/>
                <w:sz w:val="21"/>
                <w:szCs w:val="21"/>
              </w:rPr>
              <w:t>0.037</w:t>
            </w:r>
          </w:p>
        </w:tc>
        <w:tc>
          <w:tcPr>
            <w:tcW w:w="1560" w:type="dxa"/>
            <w:tcBorders>
              <w:top w:val="nil"/>
              <w:left w:val="nil"/>
              <w:bottom w:val="single" w:color="auto" w:sz="4" w:space="0"/>
              <w:right w:val="single" w:color="auto" w:sz="4" w:space="0"/>
            </w:tcBorders>
            <w:shd w:val="clear" w:color="auto" w:fill="auto"/>
            <w:vAlign w:val="center"/>
          </w:tcPr>
          <w:p w14:paraId="2D9DE9DE">
            <w:pPr>
              <w:widowControl/>
              <w:jc w:val="center"/>
              <w:rPr>
                <w:rFonts w:ascii="Times New Roman" w:eastAsia="仿宋"/>
                <w:sz w:val="21"/>
                <w:szCs w:val="21"/>
              </w:rPr>
            </w:pPr>
            <w:r>
              <w:rPr>
                <w:rFonts w:ascii="Times New Roman" w:eastAsia="仿宋"/>
                <w:sz w:val="21"/>
                <w:szCs w:val="21"/>
              </w:rPr>
              <w:t>/</w:t>
            </w:r>
          </w:p>
        </w:tc>
      </w:tr>
      <w:tr w14:paraId="7237E504">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614F61D0">
            <w:pPr>
              <w:widowControl/>
              <w:jc w:val="center"/>
              <w:rPr>
                <w:rFonts w:ascii="Times New Roman" w:eastAsia="仿宋"/>
                <w:sz w:val="21"/>
                <w:szCs w:val="21"/>
              </w:rPr>
            </w:pPr>
            <w:r>
              <w:rPr>
                <w:rFonts w:ascii="Times New Roman" w:eastAsia="仿宋"/>
                <w:sz w:val="21"/>
                <w:szCs w:val="21"/>
              </w:rPr>
              <w:t>22</w:t>
            </w:r>
          </w:p>
        </w:tc>
        <w:tc>
          <w:tcPr>
            <w:tcW w:w="3408" w:type="dxa"/>
            <w:tcBorders>
              <w:top w:val="nil"/>
              <w:left w:val="nil"/>
              <w:bottom w:val="single" w:color="auto" w:sz="4" w:space="0"/>
              <w:right w:val="single" w:color="auto" w:sz="4" w:space="0"/>
            </w:tcBorders>
            <w:shd w:val="clear" w:color="auto" w:fill="auto"/>
            <w:vAlign w:val="center"/>
          </w:tcPr>
          <w:p w14:paraId="15BDE82E">
            <w:pPr>
              <w:widowControl/>
              <w:jc w:val="center"/>
              <w:rPr>
                <w:rFonts w:ascii="Times New Roman" w:eastAsia="仿宋"/>
                <w:sz w:val="21"/>
                <w:szCs w:val="21"/>
              </w:rPr>
            </w:pPr>
            <w:r>
              <w:rPr>
                <w:rFonts w:ascii="Times New Roman" w:eastAsia="仿宋"/>
                <w:sz w:val="21"/>
                <w:szCs w:val="21"/>
              </w:rPr>
              <w:t>江苏天潭科技材料有限公司</w:t>
            </w:r>
          </w:p>
        </w:tc>
        <w:tc>
          <w:tcPr>
            <w:tcW w:w="850" w:type="dxa"/>
            <w:tcBorders>
              <w:top w:val="nil"/>
              <w:left w:val="nil"/>
              <w:bottom w:val="single" w:color="auto" w:sz="4" w:space="0"/>
              <w:right w:val="single" w:color="auto" w:sz="4" w:space="0"/>
            </w:tcBorders>
            <w:shd w:val="clear" w:color="auto" w:fill="auto"/>
            <w:vAlign w:val="center"/>
          </w:tcPr>
          <w:p w14:paraId="49F5F1F5">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102738F4">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0ADD756F">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24E7EED4">
            <w:pPr>
              <w:widowControl/>
              <w:jc w:val="center"/>
              <w:rPr>
                <w:rFonts w:ascii="Times New Roman" w:eastAsia="仿宋"/>
                <w:sz w:val="21"/>
                <w:szCs w:val="21"/>
              </w:rPr>
            </w:pPr>
            <w:r>
              <w:rPr>
                <w:rFonts w:ascii="Times New Roman" w:eastAsia="仿宋"/>
                <w:sz w:val="21"/>
                <w:szCs w:val="21"/>
              </w:rPr>
              <w:t>0.5</w:t>
            </w:r>
          </w:p>
        </w:tc>
        <w:tc>
          <w:tcPr>
            <w:tcW w:w="1560" w:type="dxa"/>
            <w:tcBorders>
              <w:top w:val="nil"/>
              <w:left w:val="nil"/>
              <w:bottom w:val="single" w:color="auto" w:sz="4" w:space="0"/>
              <w:right w:val="single" w:color="auto" w:sz="4" w:space="0"/>
            </w:tcBorders>
            <w:shd w:val="clear" w:color="auto" w:fill="auto"/>
            <w:vAlign w:val="center"/>
          </w:tcPr>
          <w:p w14:paraId="50CD22FB">
            <w:pPr>
              <w:widowControl/>
              <w:jc w:val="center"/>
              <w:rPr>
                <w:rFonts w:ascii="Times New Roman" w:eastAsia="仿宋"/>
                <w:sz w:val="21"/>
                <w:szCs w:val="21"/>
              </w:rPr>
            </w:pPr>
            <w:r>
              <w:rPr>
                <w:rFonts w:ascii="Times New Roman" w:eastAsia="仿宋"/>
                <w:sz w:val="21"/>
                <w:szCs w:val="21"/>
              </w:rPr>
              <w:t>/</w:t>
            </w:r>
          </w:p>
        </w:tc>
      </w:tr>
      <w:tr w14:paraId="732F9150">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5DF12F09">
            <w:pPr>
              <w:widowControl/>
              <w:jc w:val="center"/>
              <w:rPr>
                <w:rFonts w:ascii="Times New Roman" w:eastAsia="仿宋"/>
                <w:sz w:val="21"/>
                <w:szCs w:val="21"/>
              </w:rPr>
            </w:pPr>
            <w:r>
              <w:rPr>
                <w:rFonts w:ascii="Times New Roman" w:eastAsia="仿宋"/>
                <w:sz w:val="21"/>
                <w:szCs w:val="21"/>
              </w:rPr>
              <w:t>23</w:t>
            </w:r>
          </w:p>
        </w:tc>
        <w:tc>
          <w:tcPr>
            <w:tcW w:w="3408" w:type="dxa"/>
            <w:tcBorders>
              <w:top w:val="nil"/>
              <w:left w:val="nil"/>
              <w:bottom w:val="single" w:color="auto" w:sz="4" w:space="0"/>
              <w:right w:val="single" w:color="auto" w:sz="4" w:space="0"/>
            </w:tcBorders>
            <w:shd w:val="clear" w:color="auto" w:fill="auto"/>
            <w:vAlign w:val="center"/>
          </w:tcPr>
          <w:p w14:paraId="0BE63850">
            <w:pPr>
              <w:widowControl/>
              <w:jc w:val="center"/>
              <w:rPr>
                <w:rFonts w:ascii="Times New Roman" w:eastAsia="仿宋"/>
                <w:sz w:val="21"/>
                <w:szCs w:val="21"/>
              </w:rPr>
            </w:pPr>
            <w:r>
              <w:rPr>
                <w:rFonts w:ascii="Times New Roman" w:eastAsia="仿宋"/>
                <w:sz w:val="21"/>
                <w:szCs w:val="21"/>
              </w:rPr>
              <w:t>常州洮湖机械有限公司</w:t>
            </w:r>
          </w:p>
        </w:tc>
        <w:tc>
          <w:tcPr>
            <w:tcW w:w="850" w:type="dxa"/>
            <w:tcBorders>
              <w:top w:val="nil"/>
              <w:left w:val="nil"/>
              <w:bottom w:val="single" w:color="auto" w:sz="4" w:space="0"/>
              <w:right w:val="single" w:color="auto" w:sz="4" w:space="0"/>
            </w:tcBorders>
            <w:shd w:val="clear" w:color="auto" w:fill="auto"/>
            <w:vAlign w:val="center"/>
          </w:tcPr>
          <w:p w14:paraId="79181804">
            <w:pPr>
              <w:widowControl/>
              <w:jc w:val="center"/>
              <w:rPr>
                <w:rFonts w:ascii="Times New Roman" w:eastAsia="仿宋"/>
                <w:sz w:val="21"/>
                <w:szCs w:val="21"/>
              </w:rPr>
            </w:pPr>
            <w:r>
              <w:rPr>
                <w:rFonts w:ascii="Times New Roman" w:eastAsia="仿宋"/>
                <w:sz w:val="21"/>
                <w:szCs w:val="21"/>
              </w:rPr>
              <w:t>0.013</w:t>
            </w:r>
          </w:p>
        </w:tc>
        <w:tc>
          <w:tcPr>
            <w:tcW w:w="993" w:type="dxa"/>
            <w:tcBorders>
              <w:top w:val="nil"/>
              <w:left w:val="nil"/>
              <w:bottom w:val="single" w:color="auto" w:sz="4" w:space="0"/>
              <w:right w:val="single" w:color="auto" w:sz="4" w:space="0"/>
            </w:tcBorders>
            <w:shd w:val="clear" w:color="auto" w:fill="auto"/>
            <w:vAlign w:val="center"/>
          </w:tcPr>
          <w:p w14:paraId="376F7CFF">
            <w:pPr>
              <w:widowControl/>
              <w:jc w:val="center"/>
              <w:rPr>
                <w:rFonts w:ascii="Times New Roman" w:eastAsia="仿宋"/>
                <w:sz w:val="21"/>
                <w:szCs w:val="21"/>
              </w:rPr>
            </w:pPr>
            <w:r>
              <w:rPr>
                <w:rFonts w:ascii="Times New Roman" w:eastAsia="仿宋"/>
                <w:sz w:val="21"/>
                <w:szCs w:val="21"/>
              </w:rPr>
              <w:t>0.02</w:t>
            </w:r>
          </w:p>
        </w:tc>
        <w:tc>
          <w:tcPr>
            <w:tcW w:w="986" w:type="dxa"/>
            <w:tcBorders>
              <w:top w:val="nil"/>
              <w:left w:val="nil"/>
              <w:bottom w:val="single" w:color="auto" w:sz="4" w:space="0"/>
              <w:right w:val="single" w:color="auto" w:sz="4" w:space="0"/>
            </w:tcBorders>
            <w:shd w:val="clear" w:color="auto" w:fill="auto"/>
            <w:vAlign w:val="center"/>
          </w:tcPr>
          <w:p w14:paraId="681EE922">
            <w:pPr>
              <w:widowControl/>
              <w:jc w:val="center"/>
              <w:rPr>
                <w:rFonts w:ascii="Times New Roman" w:eastAsia="仿宋"/>
                <w:sz w:val="21"/>
                <w:szCs w:val="21"/>
              </w:rPr>
            </w:pPr>
            <w:r>
              <w:rPr>
                <w:rFonts w:ascii="Times New Roman" w:eastAsia="仿宋"/>
                <w:sz w:val="21"/>
                <w:szCs w:val="21"/>
              </w:rPr>
              <w:t>0.168</w:t>
            </w:r>
          </w:p>
        </w:tc>
        <w:tc>
          <w:tcPr>
            <w:tcW w:w="1134" w:type="dxa"/>
            <w:tcBorders>
              <w:top w:val="nil"/>
              <w:left w:val="nil"/>
              <w:bottom w:val="single" w:color="auto" w:sz="4" w:space="0"/>
              <w:right w:val="single" w:color="auto" w:sz="4" w:space="0"/>
            </w:tcBorders>
            <w:shd w:val="clear" w:color="auto" w:fill="auto"/>
            <w:vAlign w:val="center"/>
          </w:tcPr>
          <w:p w14:paraId="3F32325E">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586848AA">
            <w:pPr>
              <w:widowControl/>
              <w:jc w:val="center"/>
              <w:rPr>
                <w:rFonts w:ascii="Times New Roman" w:eastAsia="仿宋"/>
                <w:sz w:val="21"/>
                <w:szCs w:val="21"/>
              </w:rPr>
            </w:pPr>
            <w:r>
              <w:rPr>
                <w:rFonts w:ascii="Times New Roman" w:eastAsia="仿宋"/>
                <w:sz w:val="21"/>
                <w:szCs w:val="21"/>
              </w:rPr>
              <w:t>/</w:t>
            </w:r>
          </w:p>
        </w:tc>
      </w:tr>
      <w:tr w14:paraId="0EF27A32">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3041322B">
            <w:pPr>
              <w:widowControl/>
              <w:jc w:val="center"/>
              <w:rPr>
                <w:rFonts w:ascii="Times New Roman" w:eastAsia="仿宋"/>
                <w:sz w:val="21"/>
                <w:szCs w:val="21"/>
              </w:rPr>
            </w:pPr>
            <w:r>
              <w:rPr>
                <w:rFonts w:ascii="Times New Roman" w:eastAsia="仿宋"/>
                <w:sz w:val="21"/>
                <w:szCs w:val="21"/>
              </w:rPr>
              <w:t>24</w:t>
            </w:r>
          </w:p>
        </w:tc>
        <w:tc>
          <w:tcPr>
            <w:tcW w:w="3408" w:type="dxa"/>
            <w:tcBorders>
              <w:top w:val="nil"/>
              <w:left w:val="nil"/>
              <w:bottom w:val="single" w:color="auto" w:sz="4" w:space="0"/>
              <w:right w:val="single" w:color="auto" w:sz="4" w:space="0"/>
            </w:tcBorders>
            <w:shd w:val="clear" w:color="auto" w:fill="auto"/>
            <w:vAlign w:val="center"/>
          </w:tcPr>
          <w:p w14:paraId="59626DE8">
            <w:pPr>
              <w:widowControl/>
              <w:jc w:val="center"/>
              <w:rPr>
                <w:rFonts w:ascii="Times New Roman" w:eastAsia="仿宋"/>
                <w:sz w:val="21"/>
                <w:szCs w:val="21"/>
              </w:rPr>
            </w:pPr>
            <w:r>
              <w:rPr>
                <w:rFonts w:ascii="Times New Roman" w:eastAsia="仿宋"/>
                <w:sz w:val="21"/>
                <w:szCs w:val="21"/>
              </w:rPr>
              <w:t>江苏巨晶新材料科技有限公司</w:t>
            </w:r>
          </w:p>
        </w:tc>
        <w:tc>
          <w:tcPr>
            <w:tcW w:w="850" w:type="dxa"/>
            <w:tcBorders>
              <w:top w:val="nil"/>
              <w:left w:val="nil"/>
              <w:bottom w:val="single" w:color="auto" w:sz="4" w:space="0"/>
              <w:right w:val="single" w:color="auto" w:sz="4" w:space="0"/>
            </w:tcBorders>
            <w:shd w:val="clear" w:color="auto" w:fill="auto"/>
            <w:vAlign w:val="center"/>
          </w:tcPr>
          <w:p w14:paraId="7CB071DE">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43D9A3E2">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12DBC6A7">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2BFBDDFB">
            <w:pPr>
              <w:widowControl/>
              <w:jc w:val="center"/>
              <w:rPr>
                <w:rFonts w:ascii="Times New Roman" w:eastAsia="仿宋"/>
                <w:sz w:val="21"/>
                <w:szCs w:val="21"/>
              </w:rPr>
            </w:pPr>
            <w:r>
              <w:rPr>
                <w:rFonts w:ascii="Times New Roman" w:eastAsia="仿宋"/>
                <w:sz w:val="21"/>
                <w:szCs w:val="21"/>
              </w:rPr>
              <w:t>0.0004</w:t>
            </w:r>
          </w:p>
        </w:tc>
        <w:tc>
          <w:tcPr>
            <w:tcW w:w="1560" w:type="dxa"/>
            <w:tcBorders>
              <w:top w:val="nil"/>
              <w:left w:val="nil"/>
              <w:bottom w:val="single" w:color="auto" w:sz="4" w:space="0"/>
              <w:right w:val="single" w:color="auto" w:sz="4" w:space="0"/>
            </w:tcBorders>
            <w:shd w:val="clear" w:color="auto" w:fill="auto"/>
            <w:vAlign w:val="center"/>
          </w:tcPr>
          <w:p w14:paraId="70BC1B1B">
            <w:pPr>
              <w:widowControl/>
              <w:jc w:val="center"/>
              <w:rPr>
                <w:rFonts w:ascii="Times New Roman" w:eastAsia="仿宋"/>
                <w:sz w:val="21"/>
                <w:szCs w:val="21"/>
              </w:rPr>
            </w:pPr>
            <w:r>
              <w:rPr>
                <w:rFonts w:ascii="Times New Roman" w:eastAsia="仿宋"/>
                <w:sz w:val="21"/>
                <w:szCs w:val="21"/>
              </w:rPr>
              <w:t>/</w:t>
            </w:r>
          </w:p>
        </w:tc>
      </w:tr>
      <w:tr w14:paraId="548C5E5B">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2BF082EA">
            <w:pPr>
              <w:widowControl/>
              <w:jc w:val="center"/>
              <w:rPr>
                <w:rFonts w:ascii="Times New Roman" w:eastAsia="仿宋"/>
                <w:sz w:val="21"/>
                <w:szCs w:val="21"/>
              </w:rPr>
            </w:pPr>
            <w:r>
              <w:rPr>
                <w:rFonts w:ascii="Times New Roman" w:eastAsia="仿宋"/>
                <w:sz w:val="21"/>
                <w:szCs w:val="21"/>
              </w:rPr>
              <w:t>25</w:t>
            </w:r>
          </w:p>
        </w:tc>
        <w:tc>
          <w:tcPr>
            <w:tcW w:w="3408" w:type="dxa"/>
            <w:tcBorders>
              <w:top w:val="nil"/>
              <w:left w:val="nil"/>
              <w:bottom w:val="single" w:color="auto" w:sz="4" w:space="0"/>
              <w:right w:val="single" w:color="auto" w:sz="4" w:space="0"/>
            </w:tcBorders>
            <w:shd w:val="clear" w:color="auto" w:fill="auto"/>
            <w:vAlign w:val="center"/>
          </w:tcPr>
          <w:p w14:paraId="143204E5">
            <w:pPr>
              <w:widowControl/>
              <w:jc w:val="center"/>
              <w:rPr>
                <w:rFonts w:ascii="Times New Roman" w:eastAsia="仿宋"/>
                <w:sz w:val="21"/>
                <w:szCs w:val="21"/>
              </w:rPr>
            </w:pPr>
            <w:r>
              <w:rPr>
                <w:rFonts w:ascii="Times New Roman" w:eastAsia="仿宋"/>
                <w:sz w:val="21"/>
                <w:szCs w:val="21"/>
              </w:rPr>
              <w:t>江苏应天光电科技有限公司</w:t>
            </w:r>
          </w:p>
        </w:tc>
        <w:tc>
          <w:tcPr>
            <w:tcW w:w="850" w:type="dxa"/>
            <w:tcBorders>
              <w:top w:val="nil"/>
              <w:left w:val="nil"/>
              <w:bottom w:val="single" w:color="auto" w:sz="4" w:space="0"/>
              <w:right w:val="single" w:color="auto" w:sz="4" w:space="0"/>
            </w:tcBorders>
            <w:shd w:val="clear" w:color="auto" w:fill="auto"/>
            <w:vAlign w:val="center"/>
          </w:tcPr>
          <w:p w14:paraId="7797424F">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42F567CB">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7D24C58D">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0F89C028">
            <w:pPr>
              <w:widowControl/>
              <w:jc w:val="center"/>
              <w:rPr>
                <w:rFonts w:ascii="Times New Roman" w:eastAsia="仿宋"/>
                <w:sz w:val="21"/>
                <w:szCs w:val="21"/>
              </w:rPr>
            </w:pPr>
            <w:r>
              <w:rPr>
                <w:rFonts w:ascii="Times New Roman" w:eastAsia="仿宋"/>
                <w:sz w:val="21"/>
                <w:szCs w:val="21"/>
              </w:rPr>
              <w:t>0.019</w:t>
            </w:r>
          </w:p>
        </w:tc>
        <w:tc>
          <w:tcPr>
            <w:tcW w:w="1560" w:type="dxa"/>
            <w:tcBorders>
              <w:top w:val="nil"/>
              <w:left w:val="nil"/>
              <w:bottom w:val="single" w:color="auto" w:sz="4" w:space="0"/>
              <w:right w:val="single" w:color="auto" w:sz="4" w:space="0"/>
            </w:tcBorders>
            <w:shd w:val="clear" w:color="auto" w:fill="auto"/>
            <w:vAlign w:val="center"/>
          </w:tcPr>
          <w:p w14:paraId="7DA6EEF9">
            <w:pPr>
              <w:widowControl/>
              <w:jc w:val="center"/>
              <w:rPr>
                <w:rFonts w:ascii="Times New Roman" w:eastAsia="仿宋"/>
                <w:sz w:val="21"/>
                <w:szCs w:val="21"/>
              </w:rPr>
            </w:pPr>
            <w:r>
              <w:rPr>
                <w:rFonts w:ascii="Times New Roman" w:eastAsia="仿宋"/>
                <w:sz w:val="21"/>
                <w:szCs w:val="21"/>
              </w:rPr>
              <w:t>/</w:t>
            </w:r>
          </w:p>
        </w:tc>
      </w:tr>
      <w:tr w14:paraId="18A6D3C7">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4BF1D07C">
            <w:pPr>
              <w:widowControl/>
              <w:jc w:val="center"/>
              <w:rPr>
                <w:rFonts w:ascii="Times New Roman" w:eastAsia="仿宋"/>
                <w:sz w:val="21"/>
                <w:szCs w:val="21"/>
              </w:rPr>
            </w:pPr>
            <w:r>
              <w:rPr>
                <w:rFonts w:ascii="Times New Roman" w:eastAsia="仿宋"/>
                <w:sz w:val="21"/>
                <w:szCs w:val="21"/>
              </w:rPr>
              <w:t>26</w:t>
            </w:r>
          </w:p>
        </w:tc>
        <w:tc>
          <w:tcPr>
            <w:tcW w:w="3408" w:type="dxa"/>
            <w:tcBorders>
              <w:top w:val="nil"/>
              <w:left w:val="nil"/>
              <w:bottom w:val="single" w:color="auto" w:sz="4" w:space="0"/>
              <w:right w:val="single" w:color="auto" w:sz="4" w:space="0"/>
            </w:tcBorders>
            <w:shd w:val="clear" w:color="auto" w:fill="auto"/>
            <w:vAlign w:val="center"/>
          </w:tcPr>
          <w:p w14:paraId="1F1938ED">
            <w:pPr>
              <w:widowControl/>
              <w:jc w:val="center"/>
              <w:rPr>
                <w:rFonts w:ascii="Times New Roman" w:eastAsia="仿宋"/>
                <w:sz w:val="21"/>
                <w:szCs w:val="21"/>
              </w:rPr>
            </w:pPr>
            <w:r>
              <w:rPr>
                <w:rFonts w:ascii="Times New Roman" w:eastAsia="仿宋"/>
                <w:sz w:val="21"/>
                <w:szCs w:val="21"/>
              </w:rPr>
              <w:t>常州品禾金属制品有限公司</w:t>
            </w:r>
          </w:p>
        </w:tc>
        <w:tc>
          <w:tcPr>
            <w:tcW w:w="850" w:type="dxa"/>
            <w:tcBorders>
              <w:top w:val="nil"/>
              <w:left w:val="nil"/>
              <w:bottom w:val="single" w:color="auto" w:sz="4" w:space="0"/>
              <w:right w:val="single" w:color="auto" w:sz="4" w:space="0"/>
            </w:tcBorders>
            <w:shd w:val="clear" w:color="auto" w:fill="auto"/>
            <w:vAlign w:val="center"/>
          </w:tcPr>
          <w:p w14:paraId="3841D14E">
            <w:pPr>
              <w:widowControl/>
              <w:jc w:val="center"/>
              <w:rPr>
                <w:rFonts w:ascii="Times New Roman" w:eastAsia="仿宋"/>
                <w:sz w:val="21"/>
                <w:szCs w:val="21"/>
              </w:rPr>
            </w:pPr>
            <w:r>
              <w:rPr>
                <w:rFonts w:ascii="Times New Roman" w:eastAsia="仿宋"/>
                <w:sz w:val="21"/>
                <w:szCs w:val="21"/>
              </w:rPr>
              <w:t>0.488</w:t>
            </w:r>
          </w:p>
        </w:tc>
        <w:tc>
          <w:tcPr>
            <w:tcW w:w="993" w:type="dxa"/>
            <w:tcBorders>
              <w:top w:val="nil"/>
              <w:left w:val="nil"/>
              <w:bottom w:val="single" w:color="auto" w:sz="4" w:space="0"/>
              <w:right w:val="single" w:color="auto" w:sz="4" w:space="0"/>
            </w:tcBorders>
            <w:shd w:val="clear" w:color="auto" w:fill="auto"/>
            <w:vAlign w:val="center"/>
          </w:tcPr>
          <w:p w14:paraId="73888946">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5A8B6728">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6F4A2B87">
            <w:pPr>
              <w:widowControl/>
              <w:jc w:val="center"/>
              <w:rPr>
                <w:rFonts w:ascii="Times New Roman" w:eastAsia="仿宋"/>
                <w:sz w:val="21"/>
                <w:szCs w:val="21"/>
              </w:rPr>
            </w:pPr>
            <w:r>
              <w:rPr>
                <w:rFonts w:ascii="Times New Roman" w:eastAsia="仿宋"/>
                <w:sz w:val="21"/>
                <w:szCs w:val="21"/>
              </w:rPr>
              <w:t>/</w:t>
            </w:r>
          </w:p>
        </w:tc>
        <w:tc>
          <w:tcPr>
            <w:tcW w:w="1560" w:type="dxa"/>
            <w:tcBorders>
              <w:top w:val="nil"/>
              <w:left w:val="nil"/>
              <w:bottom w:val="single" w:color="auto" w:sz="4" w:space="0"/>
              <w:right w:val="single" w:color="auto" w:sz="4" w:space="0"/>
            </w:tcBorders>
            <w:shd w:val="clear" w:color="auto" w:fill="auto"/>
            <w:vAlign w:val="center"/>
          </w:tcPr>
          <w:p w14:paraId="718F1D08">
            <w:pPr>
              <w:widowControl/>
              <w:jc w:val="center"/>
              <w:rPr>
                <w:rFonts w:ascii="Times New Roman" w:eastAsia="仿宋"/>
                <w:sz w:val="21"/>
                <w:szCs w:val="21"/>
              </w:rPr>
            </w:pPr>
            <w:r>
              <w:rPr>
                <w:rFonts w:ascii="Times New Roman" w:eastAsia="仿宋"/>
                <w:sz w:val="21"/>
                <w:szCs w:val="21"/>
              </w:rPr>
              <w:t>/</w:t>
            </w:r>
          </w:p>
        </w:tc>
      </w:tr>
      <w:tr w14:paraId="04EF501E">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6DFAA0EC">
            <w:pPr>
              <w:widowControl/>
              <w:jc w:val="center"/>
              <w:rPr>
                <w:rFonts w:ascii="Times New Roman" w:eastAsia="仿宋"/>
                <w:sz w:val="21"/>
                <w:szCs w:val="21"/>
              </w:rPr>
            </w:pPr>
            <w:r>
              <w:rPr>
                <w:rFonts w:ascii="Times New Roman" w:eastAsia="仿宋"/>
                <w:sz w:val="21"/>
                <w:szCs w:val="21"/>
              </w:rPr>
              <w:t>27</w:t>
            </w:r>
          </w:p>
        </w:tc>
        <w:tc>
          <w:tcPr>
            <w:tcW w:w="3408" w:type="dxa"/>
            <w:tcBorders>
              <w:top w:val="nil"/>
              <w:left w:val="nil"/>
              <w:bottom w:val="single" w:color="auto" w:sz="4" w:space="0"/>
              <w:right w:val="single" w:color="auto" w:sz="4" w:space="0"/>
            </w:tcBorders>
            <w:shd w:val="clear" w:color="auto" w:fill="auto"/>
            <w:vAlign w:val="center"/>
          </w:tcPr>
          <w:p w14:paraId="5C8D97AD">
            <w:pPr>
              <w:widowControl/>
              <w:jc w:val="center"/>
              <w:rPr>
                <w:rFonts w:ascii="Times New Roman" w:eastAsia="仿宋"/>
                <w:sz w:val="21"/>
                <w:szCs w:val="21"/>
              </w:rPr>
            </w:pPr>
            <w:r>
              <w:rPr>
                <w:rFonts w:ascii="Times New Roman" w:eastAsia="仿宋"/>
                <w:sz w:val="21"/>
                <w:szCs w:val="21"/>
              </w:rPr>
              <w:t>天成涂装系统（常州）有限公司</w:t>
            </w:r>
          </w:p>
        </w:tc>
        <w:tc>
          <w:tcPr>
            <w:tcW w:w="850" w:type="dxa"/>
            <w:tcBorders>
              <w:top w:val="nil"/>
              <w:left w:val="nil"/>
              <w:bottom w:val="single" w:color="auto" w:sz="4" w:space="0"/>
              <w:right w:val="single" w:color="auto" w:sz="4" w:space="0"/>
            </w:tcBorders>
            <w:shd w:val="clear" w:color="auto" w:fill="auto"/>
            <w:vAlign w:val="center"/>
          </w:tcPr>
          <w:p w14:paraId="5EA47699">
            <w:pPr>
              <w:widowControl/>
              <w:jc w:val="center"/>
              <w:rPr>
                <w:rFonts w:ascii="Times New Roman" w:eastAsia="仿宋"/>
                <w:sz w:val="21"/>
                <w:szCs w:val="21"/>
              </w:rPr>
            </w:pPr>
            <w:r>
              <w:rPr>
                <w:rFonts w:ascii="Times New Roman" w:eastAsia="仿宋"/>
                <w:sz w:val="21"/>
                <w:szCs w:val="21"/>
              </w:rPr>
              <w:t>0.769</w:t>
            </w:r>
          </w:p>
        </w:tc>
        <w:tc>
          <w:tcPr>
            <w:tcW w:w="993" w:type="dxa"/>
            <w:tcBorders>
              <w:top w:val="nil"/>
              <w:left w:val="nil"/>
              <w:bottom w:val="single" w:color="auto" w:sz="4" w:space="0"/>
              <w:right w:val="single" w:color="auto" w:sz="4" w:space="0"/>
            </w:tcBorders>
            <w:shd w:val="clear" w:color="auto" w:fill="auto"/>
            <w:vAlign w:val="center"/>
          </w:tcPr>
          <w:p w14:paraId="77A5E45D">
            <w:pPr>
              <w:widowControl/>
              <w:jc w:val="center"/>
              <w:rPr>
                <w:rFonts w:ascii="Times New Roman" w:eastAsia="仿宋"/>
                <w:sz w:val="21"/>
                <w:szCs w:val="21"/>
              </w:rPr>
            </w:pPr>
            <w:r>
              <w:rPr>
                <w:rFonts w:ascii="Times New Roman" w:eastAsia="仿宋"/>
                <w:sz w:val="21"/>
                <w:szCs w:val="21"/>
              </w:rPr>
              <w:t>0.008</w:t>
            </w:r>
          </w:p>
        </w:tc>
        <w:tc>
          <w:tcPr>
            <w:tcW w:w="986" w:type="dxa"/>
            <w:tcBorders>
              <w:top w:val="nil"/>
              <w:left w:val="nil"/>
              <w:bottom w:val="single" w:color="auto" w:sz="4" w:space="0"/>
              <w:right w:val="single" w:color="auto" w:sz="4" w:space="0"/>
            </w:tcBorders>
            <w:shd w:val="clear" w:color="auto" w:fill="auto"/>
            <w:vAlign w:val="center"/>
          </w:tcPr>
          <w:p w14:paraId="3CC194AB">
            <w:pPr>
              <w:widowControl/>
              <w:jc w:val="center"/>
              <w:rPr>
                <w:rFonts w:ascii="Times New Roman" w:eastAsia="仿宋"/>
                <w:sz w:val="21"/>
                <w:szCs w:val="21"/>
              </w:rPr>
            </w:pPr>
            <w:r>
              <w:rPr>
                <w:rFonts w:ascii="Times New Roman" w:eastAsia="仿宋"/>
                <w:sz w:val="21"/>
                <w:szCs w:val="21"/>
              </w:rPr>
              <w:t>0.336</w:t>
            </w:r>
          </w:p>
        </w:tc>
        <w:tc>
          <w:tcPr>
            <w:tcW w:w="1134" w:type="dxa"/>
            <w:tcBorders>
              <w:top w:val="nil"/>
              <w:left w:val="nil"/>
              <w:bottom w:val="single" w:color="auto" w:sz="4" w:space="0"/>
              <w:right w:val="single" w:color="auto" w:sz="4" w:space="0"/>
            </w:tcBorders>
            <w:shd w:val="clear" w:color="auto" w:fill="auto"/>
            <w:vAlign w:val="center"/>
          </w:tcPr>
          <w:p w14:paraId="0E7F994E">
            <w:pPr>
              <w:widowControl/>
              <w:jc w:val="center"/>
              <w:rPr>
                <w:rFonts w:ascii="Times New Roman" w:eastAsia="仿宋"/>
                <w:sz w:val="21"/>
                <w:szCs w:val="21"/>
              </w:rPr>
            </w:pPr>
            <w:r>
              <w:rPr>
                <w:rFonts w:ascii="Times New Roman" w:eastAsia="仿宋"/>
                <w:sz w:val="21"/>
                <w:szCs w:val="21"/>
              </w:rPr>
              <w:t>0.735</w:t>
            </w:r>
          </w:p>
        </w:tc>
        <w:tc>
          <w:tcPr>
            <w:tcW w:w="1560" w:type="dxa"/>
            <w:tcBorders>
              <w:top w:val="nil"/>
              <w:left w:val="nil"/>
              <w:bottom w:val="single" w:color="auto" w:sz="4" w:space="0"/>
              <w:right w:val="single" w:color="auto" w:sz="4" w:space="0"/>
            </w:tcBorders>
            <w:shd w:val="clear" w:color="auto" w:fill="auto"/>
            <w:vAlign w:val="center"/>
          </w:tcPr>
          <w:p w14:paraId="7E48AB79">
            <w:pPr>
              <w:widowControl/>
              <w:jc w:val="center"/>
              <w:rPr>
                <w:rFonts w:ascii="Times New Roman" w:eastAsia="仿宋"/>
                <w:sz w:val="21"/>
                <w:szCs w:val="21"/>
              </w:rPr>
            </w:pPr>
            <w:r>
              <w:rPr>
                <w:rFonts w:ascii="Times New Roman" w:eastAsia="仿宋"/>
                <w:sz w:val="21"/>
                <w:szCs w:val="21"/>
              </w:rPr>
              <w:t>/</w:t>
            </w:r>
          </w:p>
        </w:tc>
      </w:tr>
      <w:tr w14:paraId="6D324EC0">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4559FEFA">
            <w:pPr>
              <w:widowControl/>
              <w:jc w:val="center"/>
              <w:rPr>
                <w:rFonts w:ascii="Times New Roman" w:eastAsia="仿宋"/>
                <w:sz w:val="21"/>
                <w:szCs w:val="21"/>
              </w:rPr>
            </w:pPr>
            <w:r>
              <w:rPr>
                <w:rFonts w:ascii="Times New Roman" w:eastAsia="仿宋"/>
                <w:sz w:val="21"/>
                <w:szCs w:val="21"/>
              </w:rPr>
              <w:t>28</w:t>
            </w:r>
          </w:p>
        </w:tc>
        <w:tc>
          <w:tcPr>
            <w:tcW w:w="3408" w:type="dxa"/>
            <w:tcBorders>
              <w:top w:val="nil"/>
              <w:left w:val="nil"/>
              <w:bottom w:val="single" w:color="auto" w:sz="4" w:space="0"/>
              <w:right w:val="single" w:color="auto" w:sz="4" w:space="0"/>
            </w:tcBorders>
            <w:shd w:val="clear" w:color="auto" w:fill="auto"/>
            <w:vAlign w:val="center"/>
          </w:tcPr>
          <w:p w14:paraId="527D0DDA">
            <w:pPr>
              <w:widowControl/>
              <w:jc w:val="center"/>
              <w:rPr>
                <w:rFonts w:ascii="Times New Roman" w:eastAsia="仿宋"/>
                <w:sz w:val="21"/>
                <w:szCs w:val="21"/>
              </w:rPr>
            </w:pPr>
            <w:r>
              <w:rPr>
                <w:rFonts w:ascii="Times New Roman" w:eastAsia="仿宋"/>
                <w:sz w:val="21"/>
                <w:szCs w:val="21"/>
              </w:rPr>
              <w:t>江苏健裕健康医疗器械有限公司</w:t>
            </w:r>
          </w:p>
        </w:tc>
        <w:tc>
          <w:tcPr>
            <w:tcW w:w="850" w:type="dxa"/>
            <w:tcBorders>
              <w:top w:val="nil"/>
              <w:left w:val="nil"/>
              <w:bottom w:val="single" w:color="auto" w:sz="4" w:space="0"/>
              <w:right w:val="single" w:color="auto" w:sz="4" w:space="0"/>
            </w:tcBorders>
            <w:shd w:val="clear" w:color="auto" w:fill="auto"/>
            <w:vAlign w:val="center"/>
          </w:tcPr>
          <w:p w14:paraId="460D7754">
            <w:pPr>
              <w:widowControl/>
              <w:jc w:val="center"/>
              <w:rPr>
                <w:rFonts w:ascii="Times New Roman" w:eastAsia="仿宋"/>
                <w:sz w:val="21"/>
                <w:szCs w:val="21"/>
              </w:rPr>
            </w:pPr>
            <w:r>
              <w:rPr>
                <w:rFonts w:ascii="Times New Roman" w:eastAsia="仿宋"/>
                <w:sz w:val="21"/>
                <w:szCs w:val="21"/>
              </w:rPr>
              <w:t>/</w:t>
            </w:r>
          </w:p>
        </w:tc>
        <w:tc>
          <w:tcPr>
            <w:tcW w:w="993" w:type="dxa"/>
            <w:tcBorders>
              <w:top w:val="nil"/>
              <w:left w:val="nil"/>
              <w:bottom w:val="single" w:color="auto" w:sz="4" w:space="0"/>
              <w:right w:val="single" w:color="auto" w:sz="4" w:space="0"/>
            </w:tcBorders>
            <w:shd w:val="clear" w:color="auto" w:fill="auto"/>
            <w:vAlign w:val="center"/>
          </w:tcPr>
          <w:p w14:paraId="3DA0599B">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371051C2">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5F555B91">
            <w:pPr>
              <w:widowControl/>
              <w:jc w:val="center"/>
              <w:rPr>
                <w:rFonts w:ascii="Times New Roman" w:eastAsia="仿宋"/>
                <w:sz w:val="21"/>
                <w:szCs w:val="21"/>
              </w:rPr>
            </w:pPr>
            <w:r>
              <w:rPr>
                <w:rFonts w:ascii="Times New Roman" w:eastAsia="仿宋"/>
                <w:sz w:val="21"/>
                <w:szCs w:val="21"/>
              </w:rPr>
              <w:t>0.315</w:t>
            </w:r>
          </w:p>
        </w:tc>
        <w:tc>
          <w:tcPr>
            <w:tcW w:w="1560" w:type="dxa"/>
            <w:tcBorders>
              <w:top w:val="nil"/>
              <w:left w:val="nil"/>
              <w:bottom w:val="single" w:color="auto" w:sz="4" w:space="0"/>
              <w:right w:val="single" w:color="auto" w:sz="4" w:space="0"/>
            </w:tcBorders>
            <w:shd w:val="clear" w:color="auto" w:fill="auto"/>
            <w:vAlign w:val="center"/>
          </w:tcPr>
          <w:p w14:paraId="65DC679F">
            <w:pPr>
              <w:widowControl/>
              <w:jc w:val="center"/>
              <w:rPr>
                <w:rFonts w:ascii="Times New Roman" w:eastAsia="仿宋"/>
                <w:sz w:val="21"/>
                <w:szCs w:val="21"/>
              </w:rPr>
            </w:pPr>
            <w:r>
              <w:rPr>
                <w:rFonts w:ascii="Times New Roman" w:eastAsia="仿宋"/>
                <w:sz w:val="21"/>
                <w:szCs w:val="21"/>
              </w:rPr>
              <w:t>/</w:t>
            </w:r>
          </w:p>
        </w:tc>
      </w:tr>
      <w:tr w14:paraId="13B8ECB8">
        <w:tblPrEx>
          <w:tblCellMar>
            <w:top w:w="0" w:type="dxa"/>
            <w:left w:w="108" w:type="dxa"/>
            <w:bottom w:w="0" w:type="dxa"/>
            <w:right w:w="108" w:type="dxa"/>
          </w:tblCellMar>
        </w:tblPrEx>
        <w:trPr>
          <w:trHeight w:val="20" w:hRule="atLeast"/>
          <w:jc w:val="center"/>
        </w:trPr>
        <w:tc>
          <w:tcPr>
            <w:tcW w:w="562" w:type="dxa"/>
            <w:tcBorders>
              <w:top w:val="nil"/>
              <w:left w:val="single" w:color="auto" w:sz="4" w:space="0"/>
              <w:bottom w:val="single" w:color="auto" w:sz="4" w:space="0"/>
              <w:right w:val="single" w:color="auto" w:sz="4" w:space="0"/>
            </w:tcBorders>
            <w:shd w:val="clear" w:color="auto" w:fill="auto"/>
            <w:vAlign w:val="center"/>
          </w:tcPr>
          <w:p w14:paraId="6625AE54">
            <w:pPr>
              <w:widowControl/>
              <w:jc w:val="center"/>
              <w:rPr>
                <w:rFonts w:ascii="Times New Roman" w:eastAsia="仿宋"/>
                <w:sz w:val="21"/>
                <w:szCs w:val="21"/>
              </w:rPr>
            </w:pPr>
            <w:r>
              <w:rPr>
                <w:rFonts w:ascii="Times New Roman" w:eastAsia="仿宋"/>
                <w:sz w:val="21"/>
                <w:szCs w:val="21"/>
              </w:rPr>
              <w:t>29</w:t>
            </w:r>
          </w:p>
        </w:tc>
        <w:tc>
          <w:tcPr>
            <w:tcW w:w="3408" w:type="dxa"/>
            <w:tcBorders>
              <w:top w:val="nil"/>
              <w:left w:val="nil"/>
              <w:bottom w:val="single" w:color="auto" w:sz="4" w:space="0"/>
              <w:right w:val="single" w:color="auto" w:sz="4" w:space="0"/>
            </w:tcBorders>
            <w:shd w:val="clear" w:color="auto" w:fill="auto"/>
            <w:vAlign w:val="center"/>
          </w:tcPr>
          <w:p w14:paraId="6ACB2DE1">
            <w:pPr>
              <w:widowControl/>
              <w:jc w:val="center"/>
              <w:rPr>
                <w:rFonts w:ascii="Times New Roman" w:eastAsia="仿宋"/>
                <w:sz w:val="21"/>
                <w:szCs w:val="21"/>
              </w:rPr>
            </w:pPr>
            <w:r>
              <w:rPr>
                <w:rFonts w:ascii="Times New Roman" w:eastAsia="仿宋"/>
                <w:sz w:val="21"/>
                <w:szCs w:val="21"/>
              </w:rPr>
              <w:t>江苏法勒卫浴有限公司</w:t>
            </w:r>
          </w:p>
        </w:tc>
        <w:tc>
          <w:tcPr>
            <w:tcW w:w="850" w:type="dxa"/>
            <w:tcBorders>
              <w:top w:val="nil"/>
              <w:left w:val="nil"/>
              <w:bottom w:val="single" w:color="auto" w:sz="4" w:space="0"/>
              <w:right w:val="single" w:color="auto" w:sz="4" w:space="0"/>
            </w:tcBorders>
            <w:shd w:val="clear" w:color="auto" w:fill="auto"/>
            <w:vAlign w:val="center"/>
          </w:tcPr>
          <w:p w14:paraId="0E67EAE6">
            <w:pPr>
              <w:widowControl/>
              <w:jc w:val="center"/>
              <w:rPr>
                <w:rFonts w:ascii="Times New Roman" w:eastAsia="仿宋"/>
                <w:sz w:val="21"/>
                <w:szCs w:val="21"/>
              </w:rPr>
            </w:pPr>
            <w:r>
              <w:rPr>
                <w:rFonts w:ascii="Times New Roman" w:eastAsia="仿宋"/>
                <w:sz w:val="21"/>
                <w:szCs w:val="21"/>
              </w:rPr>
              <w:t>0.741</w:t>
            </w:r>
          </w:p>
        </w:tc>
        <w:tc>
          <w:tcPr>
            <w:tcW w:w="993" w:type="dxa"/>
            <w:tcBorders>
              <w:top w:val="nil"/>
              <w:left w:val="nil"/>
              <w:bottom w:val="single" w:color="auto" w:sz="4" w:space="0"/>
              <w:right w:val="single" w:color="auto" w:sz="4" w:space="0"/>
            </w:tcBorders>
            <w:shd w:val="clear" w:color="auto" w:fill="auto"/>
            <w:vAlign w:val="center"/>
          </w:tcPr>
          <w:p w14:paraId="429A1C6E">
            <w:pPr>
              <w:widowControl/>
              <w:jc w:val="center"/>
              <w:rPr>
                <w:rFonts w:ascii="Times New Roman" w:eastAsia="仿宋"/>
                <w:sz w:val="21"/>
                <w:szCs w:val="21"/>
              </w:rPr>
            </w:pPr>
            <w:r>
              <w:rPr>
                <w:rFonts w:ascii="Times New Roman" w:eastAsia="仿宋"/>
                <w:sz w:val="21"/>
                <w:szCs w:val="21"/>
              </w:rPr>
              <w:t>/</w:t>
            </w:r>
          </w:p>
        </w:tc>
        <w:tc>
          <w:tcPr>
            <w:tcW w:w="986" w:type="dxa"/>
            <w:tcBorders>
              <w:top w:val="nil"/>
              <w:left w:val="nil"/>
              <w:bottom w:val="single" w:color="auto" w:sz="4" w:space="0"/>
              <w:right w:val="single" w:color="auto" w:sz="4" w:space="0"/>
            </w:tcBorders>
            <w:shd w:val="clear" w:color="auto" w:fill="auto"/>
            <w:vAlign w:val="center"/>
          </w:tcPr>
          <w:p w14:paraId="0DA41EB4">
            <w:pPr>
              <w:widowControl/>
              <w:jc w:val="center"/>
              <w:rPr>
                <w:rFonts w:ascii="Times New Roman" w:eastAsia="仿宋"/>
                <w:sz w:val="21"/>
                <w:szCs w:val="21"/>
              </w:rPr>
            </w:pPr>
            <w:r>
              <w:rPr>
                <w:rFonts w:ascii="Times New Roman" w:eastAsia="仿宋"/>
                <w:sz w:val="21"/>
                <w:szCs w:val="21"/>
              </w:rPr>
              <w:t>/</w:t>
            </w:r>
          </w:p>
        </w:tc>
        <w:tc>
          <w:tcPr>
            <w:tcW w:w="1134" w:type="dxa"/>
            <w:tcBorders>
              <w:top w:val="nil"/>
              <w:left w:val="nil"/>
              <w:bottom w:val="single" w:color="auto" w:sz="4" w:space="0"/>
              <w:right w:val="single" w:color="auto" w:sz="4" w:space="0"/>
            </w:tcBorders>
            <w:shd w:val="clear" w:color="auto" w:fill="auto"/>
            <w:vAlign w:val="center"/>
          </w:tcPr>
          <w:p w14:paraId="37823291">
            <w:pPr>
              <w:widowControl/>
              <w:jc w:val="center"/>
              <w:rPr>
                <w:rFonts w:ascii="Times New Roman" w:eastAsia="仿宋"/>
                <w:sz w:val="21"/>
                <w:szCs w:val="21"/>
              </w:rPr>
            </w:pPr>
            <w:r>
              <w:rPr>
                <w:rFonts w:ascii="Times New Roman" w:eastAsia="仿宋"/>
                <w:sz w:val="21"/>
                <w:szCs w:val="21"/>
              </w:rPr>
              <w:t>0.939</w:t>
            </w:r>
          </w:p>
        </w:tc>
        <w:tc>
          <w:tcPr>
            <w:tcW w:w="1560" w:type="dxa"/>
            <w:tcBorders>
              <w:top w:val="nil"/>
              <w:left w:val="nil"/>
              <w:bottom w:val="single" w:color="auto" w:sz="4" w:space="0"/>
              <w:right w:val="single" w:color="auto" w:sz="4" w:space="0"/>
            </w:tcBorders>
            <w:shd w:val="clear" w:color="auto" w:fill="auto"/>
            <w:vAlign w:val="center"/>
          </w:tcPr>
          <w:p w14:paraId="6F77E030">
            <w:pPr>
              <w:widowControl/>
              <w:jc w:val="center"/>
              <w:rPr>
                <w:rFonts w:ascii="Times New Roman" w:eastAsia="仿宋"/>
                <w:sz w:val="21"/>
                <w:szCs w:val="21"/>
              </w:rPr>
            </w:pPr>
            <w:r>
              <w:rPr>
                <w:rFonts w:ascii="Times New Roman" w:eastAsia="仿宋"/>
                <w:sz w:val="21"/>
                <w:szCs w:val="21"/>
              </w:rPr>
              <w:t>/</w:t>
            </w:r>
          </w:p>
        </w:tc>
      </w:tr>
      <w:tr w14:paraId="000395DF">
        <w:tblPrEx>
          <w:tblCellMar>
            <w:top w:w="0" w:type="dxa"/>
            <w:left w:w="108" w:type="dxa"/>
            <w:bottom w:w="0" w:type="dxa"/>
            <w:right w:w="108" w:type="dxa"/>
          </w:tblCellMar>
        </w:tblPrEx>
        <w:trPr>
          <w:trHeight w:val="20" w:hRule="atLeast"/>
          <w:jc w:val="center"/>
        </w:trPr>
        <w:tc>
          <w:tcPr>
            <w:tcW w:w="397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D4C7AF3">
            <w:pPr>
              <w:widowControl/>
              <w:jc w:val="center"/>
              <w:rPr>
                <w:rFonts w:ascii="Times New Roman" w:eastAsia="仿宋"/>
                <w:sz w:val="21"/>
                <w:szCs w:val="21"/>
              </w:rPr>
            </w:pPr>
            <w:r>
              <w:rPr>
                <w:rFonts w:ascii="Times New Roman" w:eastAsia="仿宋"/>
                <w:sz w:val="21"/>
                <w:szCs w:val="21"/>
              </w:rPr>
              <w:t>总计</w:t>
            </w:r>
          </w:p>
        </w:tc>
        <w:tc>
          <w:tcPr>
            <w:tcW w:w="850" w:type="dxa"/>
            <w:tcBorders>
              <w:top w:val="nil"/>
              <w:left w:val="nil"/>
              <w:bottom w:val="single" w:color="auto" w:sz="4" w:space="0"/>
              <w:right w:val="single" w:color="auto" w:sz="4" w:space="0"/>
            </w:tcBorders>
            <w:shd w:val="clear" w:color="auto" w:fill="auto"/>
            <w:vAlign w:val="center"/>
          </w:tcPr>
          <w:p w14:paraId="52F95D13">
            <w:pPr>
              <w:widowControl/>
              <w:jc w:val="center"/>
              <w:rPr>
                <w:rFonts w:ascii="Times New Roman" w:eastAsia="仿宋"/>
                <w:sz w:val="21"/>
                <w:szCs w:val="21"/>
              </w:rPr>
            </w:pPr>
            <w:r>
              <w:rPr>
                <w:rFonts w:ascii="Times New Roman" w:eastAsia="仿宋"/>
                <w:sz w:val="21"/>
                <w:szCs w:val="21"/>
              </w:rPr>
              <w:t>27.323</w:t>
            </w:r>
          </w:p>
        </w:tc>
        <w:tc>
          <w:tcPr>
            <w:tcW w:w="993" w:type="dxa"/>
            <w:tcBorders>
              <w:top w:val="nil"/>
              <w:left w:val="nil"/>
              <w:bottom w:val="single" w:color="auto" w:sz="4" w:space="0"/>
              <w:right w:val="single" w:color="auto" w:sz="4" w:space="0"/>
            </w:tcBorders>
            <w:shd w:val="clear" w:color="auto" w:fill="auto"/>
            <w:vAlign w:val="center"/>
          </w:tcPr>
          <w:p w14:paraId="1EA9ADC4">
            <w:pPr>
              <w:widowControl/>
              <w:jc w:val="center"/>
              <w:rPr>
                <w:rFonts w:ascii="Times New Roman" w:eastAsia="仿宋"/>
                <w:sz w:val="21"/>
                <w:szCs w:val="21"/>
              </w:rPr>
            </w:pPr>
            <w:r>
              <w:rPr>
                <w:rFonts w:ascii="Times New Roman" w:eastAsia="仿宋"/>
                <w:sz w:val="21"/>
                <w:szCs w:val="21"/>
              </w:rPr>
              <w:t>48.928</w:t>
            </w:r>
          </w:p>
        </w:tc>
        <w:tc>
          <w:tcPr>
            <w:tcW w:w="986" w:type="dxa"/>
            <w:tcBorders>
              <w:top w:val="nil"/>
              <w:left w:val="nil"/>
              <w:bottom w:val="single" w:color="auto" w:sz="4" w:space="0"/>
              <w:right w:val="single" w:color="auto" w:sz="4" w:space="0"/>
            </w:tcBorders>
            <w:shd w:val="clear" w:color="auto" w:fill="auto"/>
            <w:vAlign w:val="center"/>
          </w:tcPr>
          <w:p w14:paraId="3617547F">
            <w:pPr>
              <w:widowControl/>
              <w:jc w:val="center"/>
              <w:rPr>
                <w:rFonts w:ascii="Times New Roman" w:eastAsia="仿宋"/>
                <w:sz w:val="21"/>
                <w:szCs w:val="21"/>
              </w:rPr>
            </w:pPr>
            <w:r>
              <w:rPr>
                <w:rFonts w:ascii="Times New Roman" w:eastAsia="仿宋"/>
                <w:sz w:val="21"/>
                <w:szCs w:val="21"/>
              </w:rPr>
              <w:t>137.833</w:t>
            </w:r>
          </w:p>
        </w:tc>
        <w:tc>
          <w:tcPr>
            <w:tcW w:w="1134" w:type="dxa"/>
            <w:tcBorders>
              <w:top w:val="nil"/>
              <w:left w:val="nil"/>
              <w:bottom w:val="single" w:color="auto" w:sz="4" w:space="0"/>
              <w:right w:val="single" w:color="auto" w:sz="4" w:space="0"/>
            </w:tcBorders>
            <w:shd w:val="clear" w:color="auto" w:fill="auto"/>
            <w:vAlign w:val="center"/>
          </w:tcPr>
          <w:p w14:paraId="1146C3D0">
            <w:pPr>
              <w:widowControl/>
              <w:jc w:val="center"/>
              <w:rPr>
                <w:rFonts w:ascii="Times New Roman" w:eastAsia="仿宋"/>
                <w:sz w:val="21"/>
                <w:szCs w:val="21"/>
              </w:rPr>
            </w:pPr>
            <w:r>
              <w:rPr>
                <w:rFonts w:ascii="Times New Roman" w:eastAsia="仿宋"/>
                <w:sz w:val="21"/>
                <w:szCs w:val="21"/>
              </w:rPr>
              <w:t>3.561</w:t>
            </w:r>
          </w:p>
        </w:tc>
        <w:tc>
          <w:tcPr>
            <w:tcW w:w="1560" w:type="dxa"/>
            <w:tcBorders>
              <w:top w:val="nil"/>
              <w:left w:val="nil"/>
              <w:bottom w:val="single" w:color="auto" w:sz="4" w:space="0"/>
              <w:right w:val="single" w:color="auto" w:sz="4" w:space="0"/>
            </w:tcBorders>
            <w:shd w:val="clear" w:color="auto" w:fill="auto"/>
            <w:vAlign w:val="center"/>
          </w:tcPr>
          <w:p w14:paraId="63EB6F22">
            <w:pPr>
              <w:widowControl/>
              <w:jc w:val="center"/>
              <w:rPr>
                <w:rFonts w:ascii="Times New Roman" w:eastAsia="仿宋"/>
                <w:sz w:val="21"/>
                <w:szCs w:val="21"/>
              </w:rPr>
            </w:pPr>
            <w:r>
              <w:rPr>
                <w:rFonts w:ascii="Times New Roman" w:eastAsia="仿宋"/>
                <w:sz w:val="21"/>
                <w:szCs w:val="21"/>
              </w:rPr>
              <w:t>HCl：0.757；氨：1.322；苯乙烯：0.177；硫化氢：0.104；氟化氢：0.004</w:t>
            </w:r>
          </w:p>
        </w:tc>
      </w:tr>
    </w:tbl>
    <w:p w14:paraId="7BEE9DC7">
      <w:pPr>
        <w:spacing w:line="500" w:lineRule="exact"/>
        <w:jc w:val="center"/>
        <w:rPr>
          <w:rFonts w:ascii="Times New Roman" w:eastAsia="仿宋"/>
          <w:b/>
        </w:rPr>
        <w:sectPr>
          <w:pgSz w:w="11906" w:h="16838"/>
          <w:pgMar w:top="1800" w:right="1440" w:bottom="1800" w:left="1440" w:header="851" w:footer="992" w:gutter="0"/>
          <w:cols w:space="720" w:num="1"/>
          <w:docGrid w:linePitch="326" w:charSpace="0"/>
        </w:sectPr>
      </w:pPr>
    </w:p>
    <w:p w14:paraId="4C21EF94">
      <w:pPr>
        <w:spacing w:line="500" w:lineRule="exact"/>
        <w:jc w:val="center"/>
        <w:rPr>
          <w:rFonts w:ascii="Times New Roman" w:eastAsia="仿宋"/>
          <w:b/>
        </w:rPr>
      </w:pPr>
      <w:r>
        <w:rPr>
          <w:rFonts w:ascii="Times New Roman" w:eastAsia="仿宋"/>
          <w:b/>
        </w:rPr>
        <w:t>表</w:t>
      </w:r>
      <w:r>
        <w:rPr>
          <w:rFonts w:hint="eastAsia" w:ascii="Times New Roman" w:eastAsia="仿宋"/>
          <w:b/>
        </w:rPr>
        <w:t>4</w:t>
      </w:r>
      <w:r>
        <w:rPr>
          <w:rFonts w:ascii="Times New Roman" w:eastAsia="仿宋"/>
          <w:b/>
        </w:rPr>
        <w:t>.3-2</w:t>
      </w:r>
      <w:r>
        <w:rPr>
          <w:rFonts w:hint="eastAsia" w:ascii="Times New Roman" w:eastAsia="仿宋"/>
          <w:b/>
        </w:rPr>
        <w:t>区内主要企业废气等标污染负荷</w:t>
      </w:r>
    </w:p>
    <w:tbl>
      <w:tblPr>
        <w:tblStyle w:val="87"/>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426"/>
        <w:gridCol w:w="1090"/>
        <w:gridCol w:w="820"/>
        <w:gridCol w:w="956"/>
        <w:gridCol w:w="956"/>
        <w:gridCol w:w="862"/>
        <w:gridCol w:w="782"/>
        <w:gridCol w:w="1090"/>
        <w:gridCol w:w="825"/>
        <w:gridCol w:w="1085"/>
        <w:gridCol w:w="823"/>
      </w:tblGrid>
      <w:tr w14:paraId="7327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blHeader/>
          <w:jc w:val="center"/>
        </w:trPr>
        <w:tc>
          <w:tcPr>
            <w:tcW w:w="254" w:type="pct"/>
            <w:shd w:val="clear" w:color="auto" w:fill="auto"/>
            <w:vAlign w:val="center"/>
          </w:tcPr>
          <w:p w14:paraId="129B7F49">
            <w:pPr>
              <w:widowControl/>
              <w:jc w:val="center"/>
              <w:rPr>
                <w:rFonts w:ascii="Times New Roman" w:eastAsia="仿宋"/>
                <w:sz w:val="21"/>
                <w:szCs w:val="21"/>
              </w:rPr>
            </w:pPr>
            <w:r>
              <w:rPr>
                <w:rFonts w:ascii="Times New Roman" w:eastAsia="仿宋"/>
                <w:sz w:val="21"/>
                <w:szCs w:val="21"/>
              </w:rPr>
              <w:t>序号</w:t>
            </w:r>
          </w:p>
        </w:tc>
        <w:tc>
          <w:tcPr>
            <w:tcW w:w="1278" w:type="pct"/>
            <w:shd w:val="clear" w:color="auto" w:fill="auto"/>
            <w:noWrap/>
            <w:vAlign w:val="center"/>
          </w:tcPr>
          <w:p w14:paraId="23F11768">
            <w:pPr>
              <w:widowControl/>
              <w:jc w:val="center"/>
              <w:rPr>
                <w:rFonts w:ascii="Times New Roman" w:eastAsia="仿宋"/>
                <w:sz w:val="21"/>
                <w:szCs w:val="21"/>
              </w:rPr>
            </w:pPr>
            <w:r>
              <w:rPr>
                <w:rFonts w:ascii="Times New Roman" w:eastAsia="仿宋"/>
                <w:sz w:val="21"/>
                <w:szCs w:val="21"/>
              </w:rPr>
              <w:t>企业名称</w:t>
            </w:r>
          </w:p>
        </w:tc>
        <w:tc>
          <w:tcPr>
            <w:tcW w:w="407" w:type="pct"/>
            <w:shd w:val="clear" w:color="auto" w:fill="auto"/>
            <w:vAlign w:val="center"/>
          </w:tcPr>
          <w:p w14:paraId="67B21E02">
            <w:pPr>
              <w:widowControl/>
              <w:jc w:val="center"/>
              <w:rPr>
                <w:rFonts w:ascii="Times New Roman" w:eastAsia="仿宋"/>
                <w:sz w:val="21"/>
                <w:szCs w:val="21"/>
              </w:rPr>
            </w:pPr>
            <w:r>
              <w:rPr>
                <w:rFonts w:ascii="Times New Roman" w:eastAsia="仿宋"/>
                <w:sz w:val="21"/>
                <w:szCs w:val="21"/>
              </w:rPr>
              <w:t>P粉尘</w:t>
            </w:r>
          </w:p>
        </w:tc>
        <w:tc>
          <w:tcPr>
            <w:tcW w:w="306" w:type="pct"/>
            <w:shd w:val="clear" w:color="auto" w:fill="auto"/>
            <w:vAlign w:val="center"/>
          </w:tcPr>
          <w:p w14:paraId="4E53B1E1">
            <w:pPr>
              <w:widowControl/>
              <w:jc w:val="center"/>
              <w:rPr>
                <w:rFonts w:ascii="Times New Roman" w:eastAsia="仿宋"/>
                <w:sz w:val="21"/>
                <w:szCs w:val="21"/>
              </w:rPr>
            </w:pPr>
            <w:r>
              <w:rPr>
                <w:rFonts w:ascii="Times New Roman" w:eastAsia="仿宋"/>
                <w:sz w:val="21"/>
                <w:szCs w:val="21"/>
              </w:rPr>
              <w:t>PSO</w:t>
            </w:r>
            <w:r>
              <w:rPr>
                <w:rFonts w:ascii="Times New Roman" w:eastAsia="仿宋"/>
                <w:sz w:val="21"/>
                <w:szCs w:val="21"/>
                <w:vertAlign w:val="subscript"/>
              </w:rPr>
              <w:t>2</w:t>
            </w:r>
          </w:p>
        </w:tc>
        <w:tc>
          <w:tcPr>
            <w:tcW w:w="357" w:type="pct"/>
            <w:shd w:val="clear" w:color="auto" w:fill="auto"/>
            <w:vAlign w:val="center"/>
          </w:tcPr>
          <w:p w14:paraId="343C16F9">
            <w:pPr>
              <w:widowControl/>
              <w:jc w:val="center"/>
              <w:rPr>
                <w:rFonts w:ascii="Times New Roman" w:eastAsia="仿宋"/>
                <w:sz w:val="21"/>
                <w:szCs w:val="21"/>
              </w:rPr>
            </w:pPr>
            <w:r>
              <w:rPr>
                <w:rFonts w:ascii="Times New Roman" w:eastAsia="仿宋"/>
                <w:sz w:val="21"/>
                <w:szCs w:val="21"/>
              </w:rPr>
              <w:t>PNOx</w:t>
            </w:r>
          </w:p>
        </w:tc>
        <w:tc>
          <w:tcPr>
            <w:tcW w:w="357" w:type="pct"/>
            <w:shd w:val="clear" w:color="auto" w:fill="auto"/>
            <w:vAlign w:val="center"/>
          </w:tcPr>
          <w:p w14:paraId="5A38A85D">
            <w:pPr>
              <w:widowControl/>
              <w:jc w:val="center"/>
              <w:rPr>
                <w:rFonts w:ascii="Times New Roman" w:eastAsia="仿宋"/>
                <w:sz w:val="21"/>
                <w:szCs w:val="21"/>
              </w:rPr>
            </w:pPr>
            <w:r>
              <w:rPr>
                <w:rFonts w:ascii="Times New Roman" w:eastAsia="仿宋"/>
                <w:sz w:val="21"/>
                <w:szCs w:val="21"/>
              </w:rPr>
              <w:t>P</w:t>
            </w:r>
            <w:r>
              <w:rPr>
                <w:rFonts w:hint="eastAsia" w:ascii="Times New Roman" w:eastAsia="仿宋"/>
                <w:sz w:val="21"/>
                <w:szCs w:val="21"/>
              </w:rPr>
              <w:t>vocs</w:t>
            </w:r>
          </w:p>
        </w:tc>
        <w:tc>
          <w:tcPr>
            <w:tcW w:w="322" w:type="pct"/>
            <w:shd w:val="clear" w:color="auto" w:fill="auto"/>
            <w:vAlign w:val="center"/>
          </w:tcPr>
          <w:p w14:paraId="3C9479AA">
            <w:pPr>
              <w:widowControl/>
              <w:jc w:val="center"/>
              <w:rPr>
                <w:rFonts w:ascii="Times New Roman" w:eastAsia="仿宋"/>
                <w:sz w:val="21"/>
                <w:szCs w:val="21"/>
              </w:rPr>
            </w:pPr>
            <w:r>
              <w:rPr>
                <w:rFonts w:ascii="Times New Roman" w:eastAsia="仿宋"/>
                <w:sz w:val="21"/>
                <w:szCs w:val="21"/>
              </w:rPr>
              <w:t>PHCl</w:t>
            </w:r>
          </w:p>
        </w:tc>
        <w:tc>
          <w:tcPr>
            <w:tcW w:w="292" w:type="pct"/>
            <w:shd w:val="clear" w:color="auto" w:fill="auto"/>
            <w:vAlign w:val="center"/>
          </w:tcPr>
          <w:p w14:paraId="2E311E5E">
            <w:pPr>
              <w:widowControl/>
              <w:jc w:val="center"/>
              <w:rPr>
                <w:rFonts w:ascii="Times New Roman" w:eastAsia="仿宋"/>
                <w:sz w:val="21"/>
                <w:szCs w:val="21"/>
              </w:rPr>
            </w:pPr>
            <w:r>
              <w:rPr>
                <w:rFonts w:ascii="Times New Roman" w:eastAsia="仿宋"/>
                <w:sz w:val="21"/>
                <w:szCs w:val="21"/>
              </w:rPr>
              <w:t>PNH</w:t>
            </w:r>
            <w:r>
              <w:rPr>
                <w:rFonts w:ascii="Times New Roman" w:eastAsia="仿宋"/>
                <w:sz w:val="21"/>
                <w:szCs w:val="21"/>
                <w:vertAlign w:val="subscript"/>
              </w:rPr>
              <w:t>3</w:t>
            </w:r>
          </w:p>
        </w:tc>
        <w:tc>
          <w:tcPr>
            <w:tcW w:w="407" w:type="pct"/>
            <w:shd w:val="clear" w:color="auto" w:fill="auto"/>
            <w:vAlign w:val="center"/>
          </w:tcPr>
          <w:p w14:paraId="05508E32">
            <w:pPr>
              <w:widowControl/>
              <w:jc w:val="center"/>
              <w:rPr>
                <w:rFonts w:ascii="Times New Roman" w:eastAsia="仿宋"/>
                <w:sz w:val="21"/>
                <w:szCs w:val="21"/>
              </w:rPr>
            </w:pPr>
            <w:r>
              <w:rPr>
                <w:rFonts w:ascii="Times New Roman" w:eastAsia="仿宋"/>
                <w:sz w:val="21"/>
                <w:szCs w:val="21"/>
              </w:rPr>
              <w:t>P苯乙烯</w:t>
            </w:r>
          </w:p>
        </w:tc>
        <w:tc>
          <w:tcPr>
            <w:tcW w:w="308" w:type="pct"/>
            <w:shd w:val="clear" w:color="auto" w:fill="auto"/>
            <w:vAlign w:val="center"/>
          </w:tcPr>
          <w:p w14:paraId="56173834">
            <w:pPr>
              <w:widowControl/>
              <w:jc w:val="center"/>
              <w:rPr>
                <w:rFonts w:ascii="Times New Roman" w:eastAsia="仿宋"/>
                <w:sz w:val="21"/>
                <w:szCs w:val="21"/>
              </w:rPr>
            </w:pPr>
            <w:r>
              <w:rPr>
                <w:rFonts w:ascii="Times New Roman" w:eastAsia="仿宋"/>
                <w:sz w:val="21"/>
                <w:szCs w:val="21"/>
              </w:rPr>
              <w:t>PH</w:t>
            </w:r>
            <w:r>
              <w:rPr>
                <w:rFonts w:ascii="Times New Roman" w:eastAsia="仿宋"/>
                <w:sz w:val="21"/>
                <w:szCs w:val="21"/>
                <w:vertAlign w:val="subscript"/>
              </w:rPr>
              <w:t>2</w:t>
            </w:r>
            <w:r>
              <w:rPr>
                <w:rFonts w:ascii="Times New Roman" w:eastAsia="仿宋"/>
                <w:sz w:val="21"/>
                <w:szCs w:val="21"/>
              </w:rPr>
              <w:t>S</w:t>
            </w:r>
          </w:p>
        </w:tc>
        <w:tc>
          <w:tcPr>
            <w:tcW w:w="405" w:type="pct"/>
            <w:shd w:val="clear" w:color="auto" w:fill="auto"/>
            <w:vAlign w:val="center"/>
          </w:tcPr>
          <w:p w14:paraId="392C2347">
            <w:pPr>
              <w:widowControl/>
              <w:jc w:val="center"/>
              <w:rPr>
                <w:rFonts w:ascii="Times New Roman" w:eastAsia="仿宋"/>
                <w:sz w:val="21"/>
                <w:szCs w:val="21"/>
              </w:rPr>
            </w:pPr>
            <w:r>
              <w:rPr>
                <w:rFonts w:ascii="Times New Roman" w:eastAsia="仿宋"/>
                <w:sz w:val="21"/>
                <w:szCs w:val="21"/>
              </w:rPr>
              <w:t>Pi</w:t>
            </w:r>
          </w:p>
        </w:tc>
        <w:tc>
          <w:tcPr>
            <w:tcW w:w="308" w:type="pct"/>
            <w:shd w:val="clear" w:color="auto" w:fill="auto"/>
            <w:vAlign w:val="center"/>
          </w:tcPr>
          <w:p w14:paraId="4BF0014A">
            <w:pPr>
              <w:widowControl/>
              <w:jc w:val="center"/>
              <w:rPr>
                <w:rFonts w:ascii="Times New Roman" w:eastAsia="仿宋"/>
                <w:sz w:val="21"/>
                <w:szCs w:val="21"/>
              </w:rPr>
            </w:pPr>
            <w:r>
              <w:rPr>
                <w:rFonts w:ascii="Times New Roman" w:eastAsia="仿宋"/>
                <w:sz w:val="21"/>
                <w:szCs w:val="21"/>
              </w:rPr>
              <w:t>Ki</w:t>
            </w:r>
          </w:p>
          <w:p w14:paraId="42E7753B">
            <w:pPr>
              <w:widowControl/>
              <w:jc w:val="center"/>
              <w:rPr>
                <w:rFonts w:ascii="Times New Roman" w:eastAsia="仿宋"/>
                <w:sz w:val="21"/>
                <w:szCs w:val="21"/>
              </w:rPr>
            </w:pPr>
            <w:r>
              <w:rPr>
                <w:rFonts w:ascii="Times New Roman" w:eastAsia="仿宋"/>
                <w:sz w:val="21"/>
                <w:szCs w:val="21"/>
              </w:rPr>
              <w:t>(%)</w:t>
            </w:r>
          </w:p>
        </w:tc>
      </w:tr>
      <w:tr w14:paraId="7942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54" w:type="pct"/>
            <w:shd w:val="clear" w:color="auto" w:fill="auto"/>
            <w:vAlign w:val="center"/>
          </w:tcPr>
          <w:p w14:paraId="0769127D">
            <w:pPr>
              <w:widowControl/>
              <w:jc w:val="center"/>
              <w:rPr>
                <w:rFonts w:ascii="Times New Roman" w:eastAsia="仿宋"/>
                <w:sz w:val="21"/>
                <w:szCs w:val="21"/>
              </w:rPr>
            </w:pPr>
            <w:r>
              <w:rPr>
                <w:rFonts w:ascii="Times New Roman" w:eastAsia="仿宋"/>
                <w:sz w:val="21"/>
                <w:szCs w:val="21"/>
              </w:rPr>
              <w:t>1</w:t>
            </w:r>
          </w:p>
        </w:tc>
        <w:tc>
          <w:tcPr>
            <w:tcW w:w="1278" w:type="pct"/>
            <w:shd w:val="clear" w:color="auto" w:fill="auto"/>
            <w:noWrap/>
            <w:vAlign w:val="center"/>
          </w:tcPr>
          <w:p w14:paraId="77590CD7">
            <w:pPr>
              <w:widowControl/>
              <w:jc w:val="center"/>
              <w:rPr>
                <w:rFonts w:ascii="Times New Roman" w:eastAsia="仿宋"/>
                <w:sz w:val="21"/>
                <w:szCs w:val="21"/>
              </w:rPr>
            </w:pPr>
            <w:r>
              <w:rPr>
                <w:rFonts w:ascii="Times New Roman" w:eastAsia="仿宋"/>
                <w:sz w:val="21"/>
                <w:szCs w:val="21"/>
              </w:rPr>
              <w:t>凡登（常州）新型金属材料技术有限公司</w:t>
            </w:r>
          </w:p>
        </w:tc>
        <w:tc>
          <w:tcPr>
            <w:tcW w:w="407" w:type="pct"/>
            <w:shd w:val="clear" w:color="auto" w:fill="auto"/>
            <w:noWrap/>
            <w:vAlign w:val="center"/>
          </w:tcPr>
          <w:p w14:paraId="51699E0A">
            <w:pPr>
              <w:widowControl/>
              <w:jc w:val="center"/>
              <w:rPr>
                <w:rFonts w:ascii="Times New Roman" w:eastAsia="仿宋"/>
                <w:sz w:val="21"/>
                <w:szCs w:val="21"/>
              </w:rPr>
            </w:pPr>
            <w:r>
              <w:rPr>
                <w:rFonts w:ascii="Times New Roman" w:eastAsia="仿宋"/>
                <w:sz w:val="21"/>
                <w:szCs w:val="21"/>
              </w:rPr>
              <w:t>12.72</w:t>
            </w:r>
          </w:p>
        </w:tc>
        <w:tc>
          <w:tcPr>
            <w:tcW w:w="306" w:type="pct"/>
            <w:shd w:val="clear" w:color="auto" w:fill="auto"/>
            <w:noWrap/>
            <w:vAlign w:val="center"/>
          </w:tcPr>
          <w:p w14:paraId="0A041553">
            <w:pPr>
              <w:widowControl/>
              <w:jc w:val="center"/>
              <w:rPr>
                <w:rFonts w:ascii="Times New Roman" w:eastAsia="仿宋"/>
                <w:sz w:val="21"/>
                <w:szCs w:val="21"/>
              </w:rPr>
            </w:pPr>
            <w:r>
              <w:rPr>
                <w:rFonts w:ascii="Times New Roman" w:eastAsia="仿宋"/>
                <w:sz w:val="21"/>
                <w:szCs w:val="21"/>
              </w:rPr>
              <w:t>1.4</w:t>
            </w:r>
          </w:p>
        </w:tc>
        <w:tc>
          <w:tcPr>
            <w:tcW w:w="357" w:type="pct"/>
            <w:shd w:val="clear" w:color="auto" w:fill="auto"/>
            <w:noWrap/>
            <w:vAlign w:val="center"/>
          </w:tcPr>
          <w:p w14:paraId="38CF7E22">
            <w:pPr>
              <w:widowControl/>
              <w:jc w:val="center"/>
              <w:rPr>
                <w:rFonts w:ascii="Times New Roman" w:eastAsia="仿宋"/>
                <w:sz w:val="21"/>
                <w:szCs w:val="21"/>
              </w:rPr>
            </w:pPr>
            <w:r>
              <w:rPr>
                <w:rFonts w:ascii="Times New Roman" w:eastAsia="仿宋"/>
                <w:sz w:val="21"/>
                <w:szCs w:val="21"/>
              </w:rPr>
              <w:t>65.5</w:t>
            </w:r>
          </w:p>
        </w:tc>
        <w:tc>
          <w:tcPr>
            <w:tcW w:w="357" w:type="pct"/>
            <w:shd w:val="clear" w:color="auto" w:fill="auto"/>
            <w:noWrap/>
            <w:vAlign w:val="center"/>
          </w:tcPr>
          <w:p w14:paraId="0B5776D2">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0BA6917C">
            <w:pPr>
              <w:widowControl/>
              <w:jc w:val="center"/>
              <w:rPr>
                <w:rFonts w:ascii="Times New Roman" w:eastAsia="仿宋"/>
                <w:sz w:val="21"/>
                <w:szCs w:val="21"/>
              </w:rPr>
            </w:pPr>
            <w:r>
              <w:rPr>
                <w:rFonts w:ascii="Times New Roman" w:eastAsia="仿宋"/>
                <w:sz w:val="21"/>
                <w:szCs w:val="21"/>
              </w:rPr>
              <w:t>10.7</w:t>
            </w:r>
          </w:p>
        </w:tc>
        <w:tc>
          <w:tcPr>
            <w:tcW w:w="292" w:type="pct"/>
            <w:shd w:val="clear" w:color="auto" w:fill="auto"/>
            <w:noWrap/>
            <w:vAlign w:val="center"/>
          </w:tcPr>
          <w:p w14:paraId="34B9FA15">
            <w:pPr>
              <w:widowControl/>
              <w:jc w:val="center"/>
              <w:rPr>
                <w:rFonts w:ascii="Times New Roman" w:eastAsia="仿宋"/>
                <w:sz w:val="21"/>
                <w:szCs w:val="21"/>
              </w:rPr>
            </w:pPr>
            <w:r>
              <w:rPr>
                <w:rFonts w:ascii="Times New Roman" w:eastAsia="仿宋"/>
                <w:sz w:val="21"/>
                <w:szCs w:val="21"/>
              </w:rPr>
              <w:t>2.265</w:t>
            </w:r>
          </w:p>
        </w:tc>
        <w:tc>
          <w:tcPr>
            <w:tcW w:w="407" w:type="pct"/>
            <w:shd w:val="clear" w:color="auto" w:fill="auto"/>
            <w:noWrap/>
            <w:vAlign w:val="center"/>
          </w:tcPr>
          <w:p w14:paraId="5D8AAC5F">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3935AA5D">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7A9D7C64">
            <w:pPr>
              <w:widowControl/>
              <w:jc w:val="center"/>
              <w:rPr>
                <w:rFonts w:ascii="Times New Roman" w:eastAsia="仿宋"/>
                <w:sz w:val="21"/>
                <w:szCs w:val="21"/>
              </w:rPr>
            </w:pPr>
            <w:r>
              <w:rPr>
                <w:rFonts w:ascii="Times New Roman" w:eastAsia="仿宋"/>
                <w:sz w:val="21"/>
                <w:szCs w:val="21"/>
              </w:rPr>
              <w:t>92.585</w:t>
            </w:r>
          </w:p>
        </w:tc>
        <w:tc>
          <w:tcPr>
            <w:tcW w:w="308" w:type="pct"/>
            <w:shd w:val="clear" w:color="auto" w:fill="auto"/>
            <w:noWrap/>
            <w:vAlign w:val="center"/>
          </w:tcPr>
          <w:p w14:paraId="2DCC7A09">
            <w:pPr>
              <w:widowControl/>
              <w:jc w:val="center"/>
              <w:rPr>
                <w:rFonts w:ascii="Times New Roman" w:eastAsia="仿宋"/>
                <w:sz w:val="21"/>
                <w:szCs w:val="21"/>
              </w:rPr>
            </w:pPr>
            <w:r>
              <w:rPr>
                <w:rFonts w:ascii="Times New Roman" w:eastAsia="仿宋"/>
                <w:sz w:val="21"/>
                <w:szCs w:val="21"/>
              </w:rPr>
              <w:t>19.33%</w:t>
            </w:r>
          </w:p>
        </w:tc>
      </w:tr>
      <w:tr w14:paraId="1255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04446F6A">
            <w:pPr>
              <w:widowControl/>
              <w:jc w:val="center"/>
              <w:rPr>
                <w:rFonts w:ascii="Times New Roman" w:eastAsia="仿宋"/>
                <w:sz w:val="21"/>
                <w:szCs w:val="21"/>
              </w:rPr>
            </w:pPr>
            <w:r>
              <w:rPr>
                <w:rFonts w:ascii="Times New Roman" w:eastAsia="仿宋"/>
                <w:sz w:val="21"/>
                <w:szCs w:val="21"/>
              </w:rPr>
              <w:t>2</w:t>
            </w:r>
          </w:p>
        </w:tc>
        <w:tc>
          <w:tcPr>
            <w:tcW w:w="1278" w:type="pct"/>
            <w:shd w:val="clear" w:color="auto" w:fill="auto"/>
            <w:noWrap/>
            <w:vAlign w:val="center"/>
          </w:tcPr>
          <w:p w14:paraId="0D4D3A38">
            <w:pPr>
              <w:widowControl/>
              <w:jc w:val="center"/>
              <w:rPr>
                <w:rFonts w:ascii="Times New Roman" w:eastAsia="仿宋"/>
                <w:sz w:val="21"/>
                <w:szCs w:val="21"/>
              </w:rPr>
            </w:pPr>
            <w:r>
              <w:rPr>
                <w:rFonts w:ascii="Times New Roman" w:eastAsia="仿宋"/>
                <w:sz w:val="21"/>
                <w:szCs w:val="21"/>
              </w:rPr>
              <w:t>常州京洋半导体材料科技有限公司</w:t>
            </w:r>
          </w:p>
        </w:tc>
        <w:tc>
          <w:tcPr>
            <w:tcW w:w="407" w:type="pct"/>
            <w:shd w:val="clear" w:color="auto" w:fill="auto"/>
            <w:noWrap/>
            <w:vAlign w:val="center"/>
          </w:tcPr>
          <w:p w14:paraId="45DAFD82">
            <w:pPr>
              <w:widowControl/>
              <w:jc w:val="center"/>
              <w:rPr>
                <w:rFonts w:ascii="Times New Roman" w:eastAsia="仿宋"/>
                <w:sz w:val="21"/>
                <w:szCs w:val="21"/>
              </w:rPr>
            </w:pPr>
            <w:r>
              <w:rPr>
                <w:rFonts w:ascii="Times New Roman" w:eastAsia="仿宋"/>
                <w:sz w:val="21"/>
                <w:szCs w:val="21"/>
              </w:rPr>
              <w:t>4.2</w:t>
            </w:r>
          </w:p>
        </w:tc>
        <w:tc>
          <w:tcPr>
            <w:tcW w:w="306" w:type="pct"/>
            <w:shd w:val="clear" w:color="auto" w:fill="auto"/>
            <w:noWrap/>
            <w:vAlign w:val="center"/>
          </w:tcPr>
          <w:p w14:paraId="11630209">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02290A6E">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62D98AD2">
            <w:pPr>
              <w:widowControl/>
              <w:jc w:val="center"/>
              <w:rPr>
                <w:rFonts w:ascii="Times New Roman" w:eastAsia="仿宋"/>
                <w:sz w:val="21"/>
                <w:szCs w:val="21"/>
              </w:rPr>
            </w:pPr>
            <w:r>
              <w:rPr>
                <w:rFonts w:ascii="Times New Roman" w:eastAsia="仿宋"/>
                <w:sz w:val="21"/>
                <w:szCs w:val="21"/>
              </w:rPr>
              <w:t>0.045</w:t>
            </w:r>
          </w:p>
        </w:tc>
        <w:tc>
          <w:tcPr>
            <w:tcW w:w="322" w:type="pct"/>
            <w:shd w:val="clear" w:color="auto" w:fill="auto"/>
            <w:noWrap/>
            <w:vAlign w:val="center"/>
          </w:tcPr>
          <w:p w14:paraId="4115E872">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39C7AFD3">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1DCE1055">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5BA1C8D7">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6DEDD767">
            <w:pPr>
              <w:widowControl/>
              <w:jc w:val="center"/>
              <w:rPr>
                <w:rFonts w:ascii="Times New Roman" w:eastAsia="仿宋"/>
                <w:sz w:val="21"/>
                <w:szCs w:val="21"/>
              </w:rPr>
            </w:pPr>
            <w:r>
              <w:rPr>
                <w:rFonts w:ascii="Times New Roman" w:eastAsia="仿宋"/>
                <w:sz w:val="21"/>
                <w:szCs w:val="21"/>
              </w:rPr>
              <w:t>4.245</w:t>
            </w:r>
          </w:p>
        </w:tc>
        <w:tc>
          <w:tcPr>
            <w:tcW w:w="308" w:type="pct"/>
            <w:shd w:val="clear" w:color="auto" w:fill="auto"/>
            <w:noWrap/>
            <w:vAlign w:val="center"/>
          </w:tcPr>
          <w:p w14:paraId="37A44450">
            <w:pPr>
              <w:widowControl/>
              <w:jc w:val="center"/>
              <w:rPr>
                <w:rFonts w:ascii="Times New Roman" w:eastAsia="仿宋"/>
                <w:sz w:val="21"/>
                <w:szCs w:val="21"/>
              </w:rPr>
            </w:pPr>
            <w:r>
              <w:rPr>
                <w:rFonts w:ascii="Times New Roman" w:eastAsia="仿宋"/>
                <w:sz w:val="21"/>
                <w:szCs w:val="21"/>
              </w:rPr>
              <w:t>0.89%</w:t>
            </w:r>
          </w:p>
        </w:tc>
      </w:tr>
      <w:tr w14:paraId="36C8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6C8FFFCE">
            <w:pPr>
              <w:widowControl/>
              <w:jc w:val="center"/>
              <w:rPr>
                <w:rFonts w:ascii="Times New Roman" w:eastAsia="仿宋"/>
                <w:sz w:val="21"/>
                <w:szCs w:val="21"/>
              </w:rPr>
            </w:pPr>
            <w:r>
              <w:rPr>
                <w:rFonts w:ascii="Times New Roman" w:eastAsia="仿宋"/>
                <w:sz w:val="21"/>
                <w:szCs w:val="21"/>
              </w:rPr>
              <w:t>3</w:t>
            </w:r>
          </w:p>
        </w:tc>
        <w:tc>
          <w:tcPr>
            <w:tcW w:w="1278" w:type="pct"/>
            <w:shd w:val="clear" w:color="auto" w:fill="auto"/>
            <w:noWrap/>
            <w:vAlign w:val="center"/>
          </w:tcPr>
          <w:p w14:paraId="6EBFB9E0">
            <w:pPr>
              <w:widowControl/>
              <w:jc w:val="center"/>
              <w:rPr>
                <w:rFonts w:ascii="Times New Roman" w:eastAsia="仿宋"/>
                <w:sz w:val="21"/>
                <w:szCs w:val="21"/>
              </w:rPr>
            </w:pPr>
            <w:r>
              <w:rPr>
                <w:rFonts w:ascii="Times New Roman" w:eastAsia="仿宋"/>
                <w:sz w:val="21"/>
                <w:szCs w:val="21"/>
              </w:rPr>
              <w:t>常州盈美新材料科技有限公司</w:t>
            </w:r>
          </w:p>
        </w:tc>
        <w:tc>
          <w:tcPr>
            <w:tcW w:w="407" w:type="pct"/>
            <w:shd w:val="clear" w:color="auto" w:fill="auto"/>
            <w:noWrap/>
            <w:vAlign w:val="center"/>
          </w:tcPr>
          <w:p w14:paraId="5016CFF9">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20E328A4">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7C8DC658">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2CAC0193">
            <w:pPr>
              <w:widowControl/>
              <w:jc w:val="center"/>
              <w:rPr>
                <w:rFonts w:ascii="Times New Roman" w:eastAsia="仿宋"/>
                <w:sz w:val="21"/>
                <w:szCs w:val="21"/>
              </w:rPr>
            </w:pPr>
            <w:r>
              <w:rPr>
                <w:rFonts w:ascii="Times New Roman" w:eastAsia="仿宋"/>
                <w:sz w:val="21"/>
                <w:szCs w:val="21"/>
              </w:rPr>
              <w:t>0.01225</w:t>
            </w:r>
          </w:p>
        </w:tc>
        <w:tc>
          <w:tcPr>
            <w:tcW w:w="322" w:type="pct"/>
            <w:shd w:val="clear" w:color="auto" w:fill="auto"/>
            <w:noWrap/>
            <w:vAlign w:val="center"/>
          </w:tcPr>
          <w:p w14:paraId="3F0933B5">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87868C9">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CDCA6F7">
            <w:pPr>
              <w:widowControl/>
              <w:jc w:val="center"/>
              <w:rPr>
                <w:rFonts w:ascii="Times New Roman" w:eastAsia="仿宋"/>
                <w:sz w:val="21"/>
                <w:szCs w:val="21"/>
              </w:rPr>
            </w:pPr>
            <w:r>
              <w:rPr>
                <w:rFonts w:ascii="Times New Roman" w:eastAsia="仿宋"/>
                <w:sz w:val="21"/>
                <w:szCs w:val="21"/>
              </w:rPr>
              <w:t>11.8</w:t>
            </w:r>
          </w:p>
        </w:tc>
        <w:tc>
          <w:tcPr>
            <w:tcW w:w="308" w:type="pct"/>
            <w:shd w:val="clear" w:color="auto" w:fill="auto"/>
            <w:noWrap/>
            <w:vAlign w:val="center"/>
          </w:tcPr>
          <w:p w14:paraId="7E85ED0B">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4DC0AD1D">
            <w:pPr>
              <w:widowControl/>
              <w:jc w:val="center"/>
              <w:rPr>
                <w:rFonts w:ascii="Times New Roman" w:eastAsia="仿宋"/>
                <w:sz w:val="21"/>
                <w:szCs w:val="21"/>
              </w:rPr>
            </w:pPr>
            <w:r>
              <w:rPr>
                <w:rFonts w:ascii="Times New Roman" w:eastAsia="仿宋"/>
                <w:sz w:val="21"/>
                <w:szCs w:val="21"/>
              </w:rPr>
              <w:t>11.81225</w:t>
            </w:r>
          </w:p>
        </w:tc>
        <w:tc>
          <w:tcPr>
            <w:tcW w:w="308" w:type="pct"/>
            <w:shd w:val="clear" w:color="auto" w:fill="auto"/>
            <w:noWrap/>
            <w:vAlign w:val="center"/>
          </w:tcPr>
          <w:p w14:paraId="1C31238A">
            <w:pPr>
              <w:widowControl/>
              <w:jc w:val="center"/>
              <w:rPr>
                <w:rFonts w:ascii="Times New Roman" w:eastAsia="仿宋"/>
                <w:sz w:val="21"/>
                <w:szCs w:val="21"/>
              </w:rPr>
            </w:pPr>
            <w:r>
              <w:rPr>
                <w:rFonts w:ascii="Times New Roman" w:eastAsia="仿宋"/>
                <w:sz w:val="21"/>
                <w:szCs w:val="21"/>
              </w:rPr>
              <w:t>2.47%</w:t>
            </w:r>
          </w:p>
        </w:tc>
      </w:tr>
      <w:tr w14:paraId="5BA7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3ACF7835">
            <w:pPr>
              <w:widowControl/>
              <w:jc w:val="center"/>
              <w:rPr>
                <w:rFonts w:ascii="Times New Roman" w:eastAsia="仿宋"/>
                <w:sz w:val="21"/>
                <w:szCs w:val="21"/>
              </w:rPr>
            </w:pPr>
            <w:r>
              <w:rPr>
                <w:rFonts w:ascii="Times New Roman" w:eastAsia="仿宋"/>
                <w:sz w:val="21"/>
                <w:szCs w:val="21"/>
              </w:rPr>
              <w:t>4</w:t>
            </w:r>
          </w:p>
        </w:tc>
        <w:tc>
          <w:tcPr>
            <w:tcW w:w="1278" w:type="pct"/>
            <w:shd w:val="clear" w:color="auto" w:fill="auto"/>
            <w:noWrap/>
            <w:vAlign w:val="center"/>
          </w:tcPr>
          <w:p w14:paraId="111988F7">
            <w:pPr>
              <w:widowControl/>
              <w:jc w:val="center"/>
              <w:rPr>
                <w:rFonts w:ascii="Times New Roman" w:eastAsia="仿宋"/>
                <w:sz w:val="21"/>
                <w:szCs w:val="21"/>
              </w:rPr>
            </w:pPr>
            <w:r>
              <w:rPr>
                <w:rFonts w:ascii="Times New Roman" w:eastAsia="仿宋"/>
                <w:sz w:val="21"/>
                <w:szCs w:val="21"/>
              </w:rPr>
              <w:t>江苏常链传动机械有限公司</w:t>
            </w:r>
          </w:p>
        </w:tc>
        <w:tc>
          <w:tcPr>
            <w:tcW w:w="407" w:type="pct"/>
            <w:shd w:val="clear" w:color="auto" w:fill="auto"/>
            <w:noWrap/>
            <w:vAlign w:val="center"/>
          </w:tcPr>
          <w:p w14:paraId="26378F48">
            <w:pPr>
              <w:widowControl/>
              <w:jc w:val="center"/>
              <w:rPr>
                <w:rFonts w:ascii="Times New Roman" w:eastAsia="仿宋"/>
                <w:sz w:val="21"/>
                <w:szCs w:val="21"/>
              </w:rPr>
            </w:pPr>
            <w:r>
              <w:rPr>
                <w:rFonts w:ascii="Times New Roman" w:eastAsia="仿宋"/>
                <w:sz w:val="21"/>
                <w:szCs w:val="21"/>
              </w:rPr>
              <w:t>1.426667</w:t>
            </w:r>
          </w:p>
        </w:tc>
        <w:tc>
          <w:tcPr>
            <w:tcW w:w="306" w:type="pct"/>
            <w:shd w:val="clear" w:color="auto" w:fill="auto"/>
            <w:noWrap/>
            <w:vAlign w:val="center"/>
          </w:tcPr>
          <w:p w14:paraId="088DF50F">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AD70A45">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73B2EDCD">
            <w:pPr>
              <w:widowControl/>
              <w:jc w:val="center"/>
              <w:rPr>
                <w:rFonts w:ascii="Times New Roman" w:eastAsia="仿宋"/>
                <w:sz w:val="21"/>
                <w:szCs w:val="21"/>
              </w:rPr>
            </w:pPr>
            <w:r>
              <w:rPr>
                <w:rFonts w:ascii="Times New Roman" w:eastAsia="仿宋"/>
                <w:sz w:val="21"/>
                <w:szCs w:val="21"/>
              </w:rPr>
              <w:t>0.0012</w:t>
            </w:r>
          </w:p>
        </w:tc>
        <w:tc>
          <w:tcPr>
            <w:tcW w:w="322" w:type="pct"/>
            <w:shd w:val="clear" w:color="auto" w:fill="auto"/>
            <w:noWrap/>
            <w:vAlign w:val="center"/>
          </w:tcPr>
          <w:p w14:paraId="01C388C7">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3F6060FA">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66C1FD49">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78E93C9C">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0F0DF9A9">
            <w:pPr>
              <w:widowControl/>
              <w:jc w:val="center"/>
              <w:rPr>
                <w:rFonts w:ascii="Times New Roman" w:eastAsia="仿宋"/>
                <w:sz w:val="21"/>
                <w:szCs w:val="21"/>
              </w:rPr>
            </w:pPr>
            <w:r>
              <w:rPr>
                <w:rFonts w:ascii="Times New Roman" w:eastAsia="仿宋"/>
                <w:sz w:val="21"/>
                <w:szCs w:val="21"/>
              </w:rPr>
              <w:t>1.427867</w:t>
            </w:r>
          </w:p>
        </w:tc>
        <w:tc>
          <w:tcPr>
            <w:tcW w:w="308" w:type="pct"/>
            <w:shd w:val="clear" w:color="auto" w:fill="auto"/>
            <w:noWrap/>
            <w:vAlign w:val="center"/>
          </w:tcPr>
          <w:p w14:paraId="500B7CB7">
            <w:pPr>
              <w:widowControl/>
              <w:jc w:val="center"/>
              <w:rPr>
                <w:rFonts w:ascii="Times New Roman" w:eastAsia="仿宋"/>
                <w:sz w:val="21"/>
                <w:szCs w:val="21"/>
              </w:rPr>
            </w:pPr>
            <w:r>
              <w:rPr>
                <w:rFonts w:ascii="Times New Roman" w:eastAsia="仿宋"/>
                <w:sz w:val="21"/>
                <w:szCs w:val="21"/>
              </w:rPr>
              <w:t>0.30%</w:t>
            </w:r>
          </w:p>
        </w:tc>
      </w:tr>
      <w:tr w14:paraId="44D1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2D294E7E">
            <w:pPr>
              <w:widowControl/>
              <w:jc w:val="center"/>
              <w:rPr>
                <w:rFonts w:ascii="Times New Roman" w:eastAsia="仿宋"/>
                <w:sz w:val="21"/>
                <w:szCs w:val="21"/>
              </w:rPr>
            </w:pPr>
            <w:r>
              <w:rPr>
                <w:rFonts w:ascii="Times New Roman" w:eastAsia="仿宋"/>
                <w:sz w:val="21"/>
                <w:szCs w:val="21"/>
              </w:rPr>
              <w:t>5</w:t>
            </w:r>
          </w:p>
        </w:tc>
        <w:tc>
          <w:tcPr>
            <w:tcW w:w="1278" w:type="pct"/>
            <w:shd w:val="clear" w:color="auto" w:fill="auto"/>
            <w:noWrap/>
            <w:vAlign w:val="center"/>
          </w:tcPr>
          <w:p w14:paraId="73056282">
            <w:pPr>
              <w:widowControl/>
              <w:jc w:val="center"/>
              <w:rPr>
                <w:rFonts w:ascii="Times New Roman" w:eastAsia="仿宋"/>
                <w:sz w:val="21"/>
                <w:szCs w:val="21"/>
              </w:rPr>
            </w:pPr>
            <w:r>
              <w:rPr>
                <w:rFonts w:ascii="Times New Roman" w:eastAsia="仿宋"/>
                <w:sz w:val="21"/>
                <w:szCs w:val="21"/>
              </w:rPr>
              <w:t>江苏远能电力设备有限公司</w:t>
            </w:r>
          </w:p>
        </w:tc>
        <w:tc>
          <w:tcPr>
            <w:tcW w:w="407" w:type="pct"/>
            <w:shd w:val="clear" w:color="auto" w:fill="auto"/>
            <w:noWrap/>
            <w:vAlign w:val="center"/>
          </w:tcPr>
          <w:p w14:paraId="3560EB45">
            <w:pPr>
              <w:widowControl/>
              <w:jc w:val="center"/>
              <w:rPr>
                <w:rFonts w:ascii="Times New Roman" w:eastAsia="仿宋"/>
                <w:sz w:val="21"/>
                <w:szCs w:val="21"/>
              </w:rPr>
            </w:pPr>
            <w:r>
              <w:rPr>
                <w:rFonts w:ascii="Times New Roman" w:eastAsia="仿宋"/>
                <w:sz w:val="21"/>
                <w:szCs w:val="21"/>
              </w:rPr>
              <w:t>0.046667</w:t>
            </w:r>
          </w:p>
        </w:tc>
        <w:tc>
          <w:tcPr>
            <w:tcW w:w="306" w:type="pct"/>
            <w:shd w:val="clear" w:color="auto" w:fill="auto"/>
            <w:noWrap/>
            <w:vAlign w:val="center"/>
          </w:tcPr>
          <w:p w14:paraId="049AE851">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EB61336">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1ADBFEDF">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2897A7BA">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2FEDBF8B">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7F1B8C7A">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3A9D7909">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0FE261E0">
            <w:pPr>
              <w:widowControl/>
              <w:jc w:val="center"/>
              <w:rPr>
                <w:rFonts w:ascii="Times New Roman" w:eastAsia="仿宋"/>
                <w:sz w:val="21"/>
                <w:szCs w:val="21"/>
              </w:rPr>
            </w:pPr>
            <w:r>
              <w:rPr>
                <w:rFonts w:ascii="Times New Roman" w:eastAsia="仿宋"/>
                <w:sz w:val="21"/>
                <w:szCs w:val="21"/>
              </w:rPr>
              <w:t>0.046667</w:t>
            </w:r>
          </w:p>
        </w:tc>
        <w:tc>
          <w:tcPr>
            <w:tcW w:w="308" w:type="pct"/>
            <w:shd w:val="clear" w:color="auto" w:fill="auto"/>
            <w:noWrap/>
            <w:vAlign w:val="center"/>
          </w:tcPr>
          <w:p w14:paraId="43C93EE3">
            <w:pPr>
              <w:widowControl/>
              <w:jc w:val="center"/>
              <w:rPr>
                <w:rFonts w:ascii="Times New Roman" w:eastAsia="仿宋"/>
                <w:sz w:val="21"/>
                <w:szCs w:val="21"/>
              </w:rPr>
            </w:pPr>
            <w:r>
              <w:rPr>
                <w:rFonts w:ascii="Times New Roman" w:eastAsia="仿宋"/>
                <w:sz w:val="21"/>
                <w:szCs w:val="21"/>
              </w:rPr>
              <w:t>0.01%</w:t>
            </w:r>
          </w:p>
        </w:tc>
      </w:tr>
      <w:tr w14:paraId="2C1B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0D366475">
            <w:pPr>
              <w:widowControl/>
              <w:jc w:val="center"/>
              <w:rPr>
                <w:rFonts w:ascii="Times New Roman" w:eastAsia="仿宋"/>
                <w:sz w:val="21"/>
                <w:szCs w:val="21"/>
              </w:rPr>
            </w:pPr>
            <w:r>
              <w:rPr>
                <w:rFonts w:ascii="Times New Roman" w:eastAsia="仿宋"/>
                <w:sz w:val="21"/>
                <w:szCs w:val="21"/>
              </w:rPr>
              <w:t>6</w:t>
            </w:r>
          </w:p>
        </w:tc>
        <w:tc>
          <w:tcPr>
            <w:tcW w:w="1278" w:type="pct"/>
            <w:shd w:val="clear" w:color="auto" w:fill="auto"/>
            <w:noWrap/>
            <w:vAlign w:val="center"/>
          </w:tcPr>
          <w:p w14:paraId="17CFCD97">
            <w:pPr>
              <w:widowControl/>
              <w:jc w:val="center"/>
              <w:rPr>
                <w:rFonts w:ascii="Times New Roman" w:eastAsia="仿宋"/>
                <w:sz w:val="21"/>
                <w:szCs w:val="21"/>
              </w:rPr>
            </w:pPr>
            <w:r>
              <w:rPr>
                <w:rFonts w:ascii="Times New Roman" w:eastAsia="仿宋"/>
                <w:sz w:val="21"/>
                <w:szCs w:val="21"/>
              </w:rPr>
              <w:t>常州市和顺玻璃制品有限公司</w:t>
            </w:r>
          </w:p>
        </w:tc>
        <w:tc>
          <w:tcPr>
            <w:tcW w:w="407" w:type="pct"/>
            <w:shd w:val="clear" w:color="auto" w:fill="auto"/>
            <w:noWrap/>
            <w:vAlign w:val="center"/>
          </w:tcPr>
          <w:p w14:paraId="517E396A">
            <w:pPr>
              <w:widowControl/>
              <w:jc w:val="center"/>
              <w:rPr>
                <w:rFonts w:ascii="Times New Roman" w:eastAsia="仿宋"/>
                <w:sz w:val="21"/>
                <w:szCs w:val="21"/>
              </w:rPr>
            </w:pPr>
            <w:r>
              <w:rPr>
                <w:rFonts w:ascii="Times New Roman" w:eastAsia="仿宋"/>
                <w:sz w:val="21"/>
                <w:szCs w:val="21"/>
              </w:rPr>
              <w:t>96.46667</w:t>
            </w:r>
          </w:p>
        </w:tc>
        <w:tc>
          <w:tcPr>
            <w:tcW w:w="306" w:type="pct"/>
            <w:shd w:val="clear" w:color="auto" w:fill="auto"/>
            <w:noWrap/>
            <w:vAlign w:val="center"/>
          </w:tcPr>
          <w:p w14:paraId="5A0892A9">
            <w:pPr>
              <w:widowControl/>
              <w:jc w:val="center"/>
              <w:rPr>
                <w:rFonts w:ascii="Times New Roman" w:eastAsia="仿宋"/>
                <w:sz w:val="21"/>
                <w:szCs w:val="21"/>
              </w:rPr>
            </w:pPr>
            <w:r>
              <w:rPr>
                <w:rFonts w:ascii="Times New Roman" w:eastAsia="仿宋"/>
                <w:sz w:val="21"/>
                <w:szCs w:val="21"/>
              </w:rPr>
              <w:t>94</w:t>
            </w:r>
          </w:p>
        </w:tc>
        <w:tc>
          <w:tcPr>
            <w:tcW w:w="357" w:type="pct"/>
            <w:shd w:val="clear" w:color="auto" w:fill="auto"/>
            <w:noWrap/>
            <w:vAlign w:val="center"/>
          </w:tcPr>
          <w:p w14:paraId="40FD0AB8">
            <w:pPr>
              <w:widowControl/>
              <w:jc w:val="center"/>
              <w:rPr>
                <w:rFonts w:ascii="Times New Roman" w:eastAsia="仿宋"/>
                <w:sz w:val="21"/>
                <w:szCs w:val="21"/>
              </w:rPr>
            </w:pPr>
            <w:r>
              <w:rPr>
                <w:rFonts w:ascii="Times New Roman" w:eastAsia="仿宋"/>
                <w:sz w:val="21"/>
                <w:szCs w:val="21"/>
              </w:rPr>
              <w:t>22.58</w:t>
            </w:r>
          </w:p>
        </w:tc>
        <w:tc>
          <w:tcPr>
            <w:tcW w:w="357" w:type="pct"/>
            <w:shd w:val="clear" w:color="auto" w:fill="auto"/>
            <w:noWrap/>
            <w:vAlign w:val="center"/>
          </w:tcPr>
          <w:p w14:paraId="6E8C63B2">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7820DB1F">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6B76A9C9">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505DD80B">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A250492">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67FE42F1">
            <w:pPr>
              <w:widowControl/>
              <w:jc w:val="center"/>
              <w:rPr>
                <w:rFonts w:ascii="Times New Roman" w:eastAsia="仿宋"/>
                <w:sz w:val="21"/>
                <w:szCs w:val="21"/>
              </w:rPr>
            </w:pPr>
            <w:r>
              <w:rPr>
                <w:rFonts w:ascii="Times New Roman" w:eastAsia="仿宋"/>
                <w:sz w:val="21"/>
                <w:szCs w:val="21"/>
              </w:rPr>
              <w:t>213.0417</w:t>
            </w:r>
          </w:p>
        </w:tc>
        <w:tc>
          <w:tcPr>
            <w:tcW w:w="308" w:type="pct"/>
            <w:shd w:val="clear" w:color="auto" w:fill="auto"/>
            <w:noWrap/>
            <w:vAlign w:val="center"/>
          </w:tcPr>
          <w:p w14:paraId="23BE3C11">
            <w:pPr>
              <w:widowControl/>
              <w:jc w:val="center"/>
              <w:rPr>
                <w:rFonts w:ascii="Times New Roman" w:eastAsia="仿宋"/>
                <w:sz w:val="21"/>
                <w:szCs w:val="21"/>
              </w:rPr>
            </w:pPr>
            <w:r>
              <w:rPr>
                <w:rFonts w:ascii="Times New Roman" w:eastAsia="仿宋"/>
                <w:sz w:val="21"/>
                <w:szCs w:val="21"/>
              </w:rPr>
              <w:t>44.48%</w:t>
            </w:r>
          </w:p>
        </w:tc>
      </w:tr>
      <w:tr w14:paraId="0AD7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2AC8891C">
            <w:pPr>
              <w:widowControl/>
              <w:jc w:val="center"/>
              <w:rPr>
                <w:rFonts w:ascii="Times New Roman" w:eastAsia="仿宋"/>
                <w:sz w:val="21"/>
                <w:szCs w:val="21"/>
              </w:rPr>
            </w:pPr>
            <w:r>
              <w:rPr>
                <w:rFonts w:ascii="Times New Roman" w:eastAsia="仿宋"/>
                <w:sz w:val="21"/>
                <w:szCs w:val="21"/>
              </w:rPr>
              <w:t>7</w:t>
            </w:r>
          </w:p>
        </w:tc>
        <w:tc>
          <w:tcPr>
            <w:tcW w:w="1278" w:type="pct"/>
            <w:shd w:val="clear" w:color="auto" w:fill="auto"/>
            <w:noWrap/>
            <w:vAlign w:val="center"/>
          </w:tcPr>
          <w:p w14:paraId="77AA7054">
            <w:pPr>
              <w:widowControl/>
              <w:jc w:val="center"/>
              <w:rPr>
                <w:rFonts w:ascii="Times New Roman" w:eastAsia="仿宋"/>
                <w:sz w:val="21"/>
                <w:szCs w:val="21"/>
              </w:rPr>
            </w:pPr>
            <w:r>
              <w:rPr>
                <w:rFonts w:ascii="Times New Roman" w:eastAsia="仿宋"/>
                <w:sz w:val="21"/>
                <w:szCs w:val="21"/>
              </w:rPr>
              <w:t>常州瑞峰新能源有限公司</w:t>
            </w:r>
          </w:p>
        </w:tc>
        <w:tc>
          <w:tcPr>
            <w:tcW w:w="407" w:type="pct"/>
            <w:shd w:val="clear" w:color="auto" w:fill="auto"/>
            <w:noWrap/>
            <w:vAlign w:val="center"/>
          </w:tcPr>
          <w:p w14:paraId="0464781D">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46576758">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5286EC05">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204176C2">
            <w:pPr>
              <w:widowControl/>
              <w:jc w:val="center"/>
              <w:rPr>
                <w:rFonts w:ascii="Times New Roman" w:eastAsia="仿宋"/>
                <w:sz w:val="21"/>
                <w:szCs w:val="21"/>
              </w:rPr>
            </w:pPr>
            <w:r>
              <w:rPr>
                <w:rFonts w:ascii="Times New Roman" w:eastAsia="仿宋"/>
                <w:sz w:val="21"/>
                <w:szCs w:val="21"/>
              </w:rPr>
              <w:t>0.0205</w:t>
            </w:r>
          </w:p>
        </w:tc>
        <w:tc>
          <w:tcPr>
            <w:tcW w:w="322" w:type="pct"/>
            <w:shd w:val="clear" w:color="auto" w:fill="auto"/>
            <w:noWrap/>
            <w:vAlign w:val="center"/>
          </w:tcPr>
          <w:p w14:paraId="209EC35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63277F9F">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010D4E83">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46DB6A70">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19DFA645">
            <w:pPr>
              <w:widowControl/>
              <w:jc w:val="center"/>
              <w:rPr>
                <w:rFonts w:ascii="Times New Roman" w:eastAsia="仿宋"/>
                <w:sz w:val="21"/>
                <w:szCs w:val="21"/>
              </w:rPr>
            </w:pPr>
            <w:r>
              <w:rPr>
                <w:rFonts w:ascii="Times New Roman" w:eastAsia="仿宋"/>
                <w:sz w:val="21"/>
                <w:szCs w:val="21"/>
              </w:rPr>
              <w:t>0.0205</w:t>
            </w:r>
          </w:p>
        </w:tc>
        <w:tc>
          <w:tcPr>
            <w:tcW w:w="308" w:type="pct"/>
            <w:shd w:val="clear" w:color="auto" w:fill="auto"/>
            <w:noWrap/>
            <w:vAlign w:val="center"/>
          </w:tcPr>
          <w:p w14:paraId="7BF6C2CA">
            <w:pPr>
              <w:widowControl/>
              <w:jc w:val="center"/>
              <w:rPr>
                <w:rFonts w:ascii="Times New Roman" w:eastAsia="仿宋"/>
                <w:sz w:val="21"/>
                <w:szCs w:val="21"/>
              </w:rPr>
            </w:pPr>
            <w:r>
              <w:rPr>
                <w:rFonts w:ascii="Times New Roman" w:eastAsia="仿宋"/>
                <w:sz w:val="21"/>
                <w:szCs w:val="21"/>
              </w:rPr>
              <w:t>0.00%</w:t>
            </w:r>
          </w:p>
        </w:tc>
      </w:tr>
      <w:tr w14:paraId="1F32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6082A1AD">
            <w:pPr>
              <w:widowControl/>
              <w:jc w:val="center"/>
              <w:rPr>
                <w:rFonts w:ascii="Times New Roman" w:eastAsia="仿宋"/>
                <w:sz w:val="21"/>
                <w:szCs w:val="21"/>
              </w:rPr>
            </w:pPr>
            <w:r>
              <w:rPr>
                <w:rFonts w:ascii="Times New Roman" w:eastAsia="仿宋"/>
                <w:sz w:val="21"/>
                <w:szCs w:val="21"/>
              </w:rPr>
              <w:t>8</w:t>
            </w:r>
          </w:p>
        </w:tc>
        <w:tc>
          <w:tcPr>
            <w:tcW w:w="1278" w:type="pct"/>
            <w:shd w:val="clear" w:color="auto" w:fill="auto"/>
            <w:noWrap/>
            <w:vAlign w:val="center"/>
          </w:tcPr>
          <w:p w14:paraId="45D2BC29">
            <w:pPr>
              <w:widowControl/>
              <w:jc w:val="center"/>
              <w:rPr>
                <w:rFonts w:ascii="Times New Roman" w:eastAsia="仿宋"/>
                <w:sz w:val="21"/>
                <w:szCs w:val="21"/>
              </w:rPr>
            </w:pPr>
            <w:r>
              <w:rPr>
                <w:rFonts w:ascii="Times New Roman" w:eastAsia="仿宋"/>
                <w:sz w:val="21"/>
                <w:szCs w:val="21"/>
              </w:rPr>
              <w:t>江苏博海橡塑科技有限公司</w:t>
            </w:r>
          </w:p>
        </w:tc>
        <w:tc>
          <w:tcPr>
            <w:tcW w:w="407" w:type="pct"/>
            <w:shd w:val="clear" w:color="auto" w:fill="auto"/>
            <w:noWrap/>
            <w:vAlign w:val="center"/>
          </w:tcPr>
          <w:p w14:paraId="7D942D77">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41F0464B">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5857E9B5">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499BD19">
            <w:pPr>
              <w:widowControl/>
              <w:jc w:val="center"/>
              <w:rPr>
                <w:rFonts w:ascii="Times New Roman" w:eastAsia="仿宋"/>
                <w:sz w:val="21"/>
                <w:szCs w:val="21"/>
              </w:rPr>
            </w:pPr>
            <w:r>
              <w:rPr>
                <w:rFonts w:ascii="Times New Roman" w:eastAsia="仿宋"/>
                <w:sz w:val="21"/>
                <w:szCs w:val="21"/>
              </w:rPr>
              <w:t>0.0445</w:t>
            </w:r>
          </w:p>
        </w:tc>
        <w:tc>
          <w:tcPr>
            <w:tcW w:w="322" w:type="pct"/>
            <w:shd w:val="clear" w:color="auto" w:fill="auto"/>
            <w:noWrap/>
            <w:vAlign w:val="center"/>
          </w:tcPr>
          <w:p w14:paraId="5D8D433F">
            <w:pPr>
              <w:widowControl/>
              <w:jc w:val="center"/>
              <w:rPr>
                <w:rFonts w:ascii="Times New Roman" w:eastAsia="仿宋"/>
                <w:sz w:val="21"/>
                <w:szCs w:val="21"/>
              </w:rPr>
            </w:pPr>
            <w:r>
              <w:rPr>
                <w:rFonts w:ascii="Times New Roman" w:eastAsia="仿宋"/>
                <w:sz w:val="21"/>
                <w:szCs w:val="21"/>
              </w:rPr>
              <w:t>0.28</w:t>
            </w:r>
          </w:p>
        </w:tc>
        <w:tc>
          <w:tcPr>
            <w:tcW w:w="292" w:type="pct"/>
            <w:shd w:val="clear" w:color="auto" w:fill="auto"/>
            <w:noWrap/>
            <w:vAlign w:val="center"/>
          </w:tcPr>
          <w:p w14:paraId="7831342F">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A4EE5B6">
            <w:pPr>
              <w:widowControl/>
              <w:jc w:val="center"/>
              <w:rPr>
                <w:rFonts w:ascii="Times New Roman" w:eastAsia="仿宋"/>
                <w:sz w:val="21"/>
                <w:szCs w:val="21"/>
              </w:rPr>
            </w:pPr>
            <w:r>
              <w:rPr>
                <w:rFonts w:ascii="Times New Roman" w:eastAsia="仿宋"/>
                <w:sz w:val="21"/>
                <w:szCs w:val="21"/>
              </w:rPr>
              <w:t>1.8</w:t>
            </w:r>
          </w:p>
        </w:tc>
        <w:tc>
          <w:tcPr>
            <w:tcW w:w="308" w:type="pct"/>
            <w:shd w:val="clear" w:color="auto" w:fill="auto"/>
            <w:noWrap/>
            <w:vAlign w:val="center"/>
          </w:tcPr>
          <w:p w14:paraId="531E6F23">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5051F45D">
            <w:pPr>
              <w:widowControl/>
              <w:jc w:val="center"/>
              <w:rPr>
                <w:rFonts w:ascii="Times New Roman" w:eastAsia="仿宋"/>
                <w:sz w:val="21"/>
                <w:szCs w:val="21"/>
              </w:rPr>
            </w:pPr>
            <w:r>
              <w:rPr>
                <w:rFonts w:ascii="Times New Roman" w:eastAsia="仿宋"/>
                <w:sz w:val="21"/>
                <w:szCs w:val="21"/>
              </w:rPr>
              <w:t>2.1245</w:t>
            </w:r>
          </w:p>
        </w:tc>
        <w:tc>
          <w:tcPr>
            <w:tcW w:w="308" w:type="pct"/>
            <w:shd w:val="clear" w:color="auto" w:fill="auto"/>
            <w:noWrap/>
            <w:vAlign w:val="center"/>
          </w:tcPr>
          <w:p w14:paraId="07D2EB0B">
            <w:pPr>
              <w:widowControl/>
              <w:jc w:val="center"/>
              <w:rPr>
                <w:rFonts w:ascii="Times New Roman" w:eastAsia="仿宋"/>
                <w:sz w:val="21"/>
                <w:szCs w:val="21"/>
              </w:rPr>
            </w:pPr>
            <w:r>
              <w:rPr>
                <w:rFonts w:ascii="Times New Roman" w:eastAsia="仿宋"/>
                <w:sz w:val="21"/>
                <w:szCs w:val="21"/>
              </w:rPr>
              <w:t>0.44%</w:t>
            </w:r>
          </w:p>
        </w:tc>
      </w:tr>
      <w:tr w14:paraId="122B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19AA268A">
            <w:pPr>
              <w:widowControl/>
              <w:jc w:val="center"/>
              <w:rPr>
                <w:rFonts w:ascii="Times New Roman" w:eastAsia="仿宋"/>
                <w:sz w:val="21"/>
                <w:szCs w:val="21"/>
              </w:rPr>
            </w:pPr>
            <w:r>
              <w:rPr>
                <w:rFonts w:ascii="Times New Roman" w:eastAsia="仿宋"/>
                <w:sz w:val="21"/>
                <w:szCs w:val="21"/>
              </w:rPr>
              <w:t>9</w:t>
            </w:r>
          </w:p>
        </w:tc>
        <w:tc>
          <w:tcPr>
            <w:tcW w:w="1278" w:type="pct"/>
            <w:shd w:val="clear" w:color="auto" w:fill="auto"/>
            <w:noWrap/>
            <w:vAlign w:val="center"/>
          </w:tcPr>
          <w:p w14:paraId="4C9393B7">
            <w:pPr>
              <w:widowControl/>
              <w:jc w:val="center"/>
              <w:rPr>
                <w:rFonts w:ascii="Times New Roman" w:eastAsia="仿宋"/>
                <w:sz w:val="21"/>
                <w:szCs w:val="21"/>
              </w:rPr>
            </w:pPr>
            <w:r>
              <w:rPr>
                <w:rFonts w:ascii="Times New Roman" w:eastAsia="仿宋"/>
                <w:sz w:val="21"/>
                <w:szCs w:val="21"/>
              </w:rPr>
              <w:t>江苏亮舟防爆电气有限公司</w:t>
            </w:r>
          </w:p>
        </w:tc>
        <w:tc>
          <w:tcPr>
            <w:tcW w:w="407" w:type="pct"/>
            <w:shd w:val="clear" w:color="auto" w:fill="auto"/>
            <w:noWrap/>
            <w:vAlign w:val="center"/>
          </w:tcPr>
          <w:p w14:paraId="753FCEBD">
            <w:pPr>
              <w:widowControl/>
              <w:jc w:val="center"/>
              <w:rPr>
                <w:rFonts w:ascii="Times New Roman" w:eastAsia="仿宋"/>
                <w:sz w:val="21"/>
                <w:szCs w:val="21"/>
              </w:rPr>
            </w:pPr>
            <w:r>
              <w:rPr>
                <w:rFonts w:ascii="Times New Roman" w:eastAsia="仿宋"/>
                <w:sz w:val="21"/>
                <w:szCs w:val="21"/>
              </w:rPr>
              <w:t>0.42</w:t>
            </w:r>
          </w:p>
        </w:tc>
        <w:tc>
          <w:tcPr>
            <w:tcW w:w="306" w:type="pct"/>
            <w:shd w:val="clear" w:color="auto" w:fill="auto"/>
            <w:noWrap/>
            <w:vAlign w:val="center"/>
          </w:tcPr>
          <w:p w14:paraId="7ADCBC16">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68438EE7">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29652C78">
            <w:pPr>
              <w:widowControl/>
              <w:jc w:val="center"/>
              <w:rPr>
                <w:rFonts w:ascii="Times New Roman" w:eastAsia="仿宋"/>
                <w:sz w:val="21"/>
                <w:szCs w:val="21"/>
              </w:rPr>
            </w:pPr>
            <w:r>
              <w:rPr>
                <w:rFonts w:ascii="Times New Roman" w:eastAsia="仿宋"/>
                <w:sz w:val="21"/>
                <w:szCs w:val="21"/>
              </w:rPr>
              <w:t>0.101</w:t>
            </w:r>
          </w:p>
        </w:tc>
        <w:tc>
          <w:tcPr>
            <w:tcW w:w="322" w:type="pct"/>
            <w:shd w:val="clear" w:color="auto" w:fill="auto"/>
            <w:noWrap/>
            <w:vAlign w:val="center"/>
          </w:tcPr>
          <w:p w14:paraId="6D5E7677">
            <w:pPr>
              <w:widowControl/>
              <w:jc w:val="center"/>
              <w:rPr>
                <w:rFonts w:ascii="Times New Roman" w:eastAsia="仿宋"/>
                <w:sz w:val="21"/>
                <w:szCs w:val="21"/>
              </w:rPr>
            </w:pPr>
            <w:r>
              <w:rPr>
                <w:rFonts w:ascii="Times New Roman" w:eastAsia="仿宋"/>
                <w:sz w:val="21"/>
                <w:szCs w:val="21"/>
              </w:rPr>
              <w:t>0.5</w:t>
            </w:r>
          </w:p>
        </w:tc>
        <w:tc>
          <w:tcPr>
            <w:tcW w:w="292" w:type="pct"/>
            <w:shd w:val="clear" w:color="auto" w:fill="auto"/>
            <w:noWrap/>
            <w:vAlign w:val="center"/>
          </w:tcPr>
          <w:p w14:paraId="54191C8A">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3FD4B29C">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A85B737">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6E3366E4">
            <w:pPr>
              <w:widowControl/>
              <w:jc w:val="center"/>
              <w:rPr>
                <w:rFonts w:ascii="Times New Roman" w:eastAsia="仿宋"/>
                <w:sz w:val="21"/>
                <w:szCs w:val="21"/>
              </w:rPr>
            </w:pPr>
            <w:r>
              <w:rPr>
                <w:rFonts w:ascii="Times New Roman" w:eastAsia="仿宋"/>
                <w:sz w:val="21"/>
                <w:szCs w:val="21"/>
              </w:rPr>
              <w:t>1.021</w:t>
            </w:r>
          </w:p>
        </w:tc>
        <w:tc>
          <w:tcPr>
            <w:tcW w:w="308" w:type="pct"/>
            <w:shd w:val="clear" w:color="auto" w:fill="auto"/>
            <w:noWrap/>
            <w:vAlign w:val="center"/>
          </w:tcPr>
          <w:p w14:paraId="4469FCA4">
            <w:pPr>
              <w:widowControl/>
              <w:jc w:val="center"/>
              <w:rPr>
                <w:rFonts w:ascii="Times New Roman" w:eastAsia="仿宋"/>
                <w:sz w:val="21"/>
                <w:szCs w:val="21"/>
              </w:rPr>
            </w:pPr>
            <w:r>
              <w:rPr>
                <w:rFonts w:ascii="Times New Roman" w:eastAsia="仿宋"/>
                <w:sz w:val="21"/>
                <w:szCs w:val="21"/>
              </w:rPr>
              <w:t>0.21%</w:t>
            </w:r>
          </w:p>
        </w:tc>
      </w:tr>
      <w:tr w14:paraId="6B74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6C5E9CB1">
            <w:pPr>
              <w:widowControl/>
              <w:jc w:val="center"/>
              <w:rPr>
                <w:rFonts w:ascii="Times New Roman" w:eastAsia="仿宋"/>
                <w:sz w:val="21"/>
                <w:szCs w:val="21"/>
              </w:rPr>
            </w:pPr>
            <w:r>
              <w:rPr>
                <w:rFonts w:ascii="Times New Roman" w:eastAsia="仿宋"/>
                <w:sz w:val="21"/>
                <w:szCs w:val="21"/>
              </w:rPr>
              <w:t>10</w:t>
            </w:r>
          </w:p>
        </w:tc>
        <w:tc>
          <w:tcPr>
            <w:tcW w:w="1278" w:type="pct"/>
            <w:shd w:val="clear" w:color="auto" w:fill="auto"/>
            <w:noWrap/>
            <w:vAlign w:val="center"/>
          </w:tcPr>
          <w:p w14:paraId="096B971F">
            <w:pPr>
              <w:widowControl/>
              <w:jc w:val="center"/>
              <w:rPr>
                <w:rFonts w:ascii="Times New Roman" w:eastAsia="仿宋"/>
                <w:sz w:val="21"/>
                <w:szCs w:val="21"/>
              </w:rPr>
            </w:pPr>
            <w:r>
              <w:rPr>
                <w:rFonts w:ascii="Times New Roman" w:eastAsia="仿宋"/>
                <w:sz w:val="21"/>
                <w:szCs w:val="21"/>
              </w:rPr>
              <w:t>常州市丛禾电梯配件有限公司</w:t>
            </w:r>
          </w:p>
        </w:tc>
        <w:tc>
          <w:tcPr>
            <w:tcW w:w="407" w:type="pct"/>
            <w:shd w:val="clear" w:color="auto" w:fill="auto"/>
            <w:noWrap/>
            <w:vAlign w:val="center"/>
          </w:tcPr>
          <w:p w14:paraId="2D073FF4">
            <w:pPr>
              <w:widowControl/>
              <w:jc w:val="center"/>
              <w:rPr>
                <w:rFonts w:ascii="Times New Roman" w:eastAsia="仿宋"/>
                <w:sz w:val="21"/>
                <w:szCs w:val="21"/>
              </w:rPr>
            </w:pPr>
            <w:r>
              <w:rPr>
                <w:rFonts w:ascii="Times New Roman" w:eastAsia="仿宋"/>
                <w:sz w:val="21"/>
                <w:szCs w:val="21"/>
              </w:rPr>
              <w:t>0.001333</w:t>
            </w:r>
          </w:p>
        </w:tc>
        <w:tc>
          <w:tcPr>
            <w:tcW w:w="306" w:type="pct"/>
            <w:shd w:val="clear" w:color="auto" w:fill="auto"/>
            <w:noWrap/>
            <w:vAlign w:val="center"/>
          </w:tcPr>
          <w:p w14:paraId="4ABB79C2">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6EA35C90">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695651A">
            <w:pPr>
              <w:widowControl/>
              <w:jc w:val="center"/>
              <w:rPr>
                <w:rFonts w:ascii="Times New Roman" w:eastAsia="仿宋"/>
                <w:sz w:val="21"/>
                <w:szCs w:val="21"/>
              </w:rPr>
            </w:pPr>
            <w:r>
              <w:rPr>
                <w:rFonts w:ascii="Times New Roman" w:eastAsia="仿宋"/>
                <w:sz w:val="21"/>
                <w:szCs w:val="21"/>
              </w:rPr>
              <w:t>0.038</w:t>
            </w:r>
          </w:p>
        </w:tc>
        <w:tc>
          <w:tcPr>
            <w:tcW w:w="322" w:type="pct"/>
            <w:shd w:val="clear" w:color="auto" w:fill="auto"/>
            <w:noWrap/>
            <w:vAlign w:val="center"/>
          </w:tcPr>
          <w:p w14:paraId="6EAF1CD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848A8EE">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297CF1F5">
            <w:pPr>
              <w:widowControl/>
              <w:jc w:val="center"/>
              <w:rPr>
                <w:rFonts w:ascii="Times New Roman" w:eastAsia="仿宋"/>
                <w:sz w:val="21"/>
                <w:szCs w:val="21"/>
              </w:rPr>
            </w:pPr>
            <w:r>
              <w:rPr>
                <w:rFonts w:ascii="Times New Roman" w:eastAsia="仿宋"/>
                <w:sz w:val="21"/>
                <w:szCs w:val="21"/>
              </w:rPr>
              <w:t>4.1</w:t>
            </w:r>
          </w:p>
        </w:tc>
        <w:tc>
          <w:tcPr>
            <w:tcW w:w="308" w:type="pct"/>
            <w:shd w:val="clear" w:color="auto" w:fill="auto"/>
            <w:noWrap/>
            <w:vAlign w:val="center"/>
          </w:tcPr>
          <w:p w14:paraId="48BA8D66">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5FC878F3">
            <w:pPr>
              <w:widowControl/>
              <w:jc w:val="center"/>
              <w:rPr>
                <w:rFonts w:ascii="Times New Roman" w:eastAsia="仿宋"/>
                <w:sz w:val="21"/>
                <w:szCs w:val="21"/>
              </w:rPr>
            </w:pPr>
            <w:r>
              <w:rPr>
                <w:rFonts w:ascii="Times New Roman" w:eastAsia="仿宋"/>
                <w:sz w:val="21"/>
                <w:szCs w:val="21"/>
              </w:rPr>
              <w:t>4.139333</w:t>
            </w:r>
          </w:p>
        </w:tc>
        <w:tc>
          <w:tcPr>
            <w:tcW w:w="308" w:type="pct"/>
            <w:shd w:val="clear" w:color="auto" w:fill="auto"/>
            <w:noWrap/>
            <w:vAlign w:val="center"/>
          </w:tcPr>
          <w:p w14:paraId="5EC1EB41">
            <w:pPr>
              <w:widowControl/>
              <w:jc w:val="center"/>
              <w:rPr>
                <w:rFonts w:ascii="Times New Roman" w:eastAsia="仿宋"/>
                <w:sz w:val="21"/>
                <w:szCs w:val="21"/>
              </w:rPr>
            </w:pPr>
            <w:r>
              <w:rPr>
                <w:rFonts w:ascii="Times New Roman" w:eastAsia="仿宋"/>
                <w:sz w:val="21"/>
                <w:szCs w:val="21"/>
              </w:rPr>
              <w:t>0.86%</w:t>
            </w:r>
          </w:p>
        </w:tc>
      </w:tr>
      <w:tr w14:paraId="4E31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65BD7893">
            <w:pPr>
              <w:widowControl/>
              <w:jc w:val="center"/>
              <w:rPr>
                <w:rFonts w:ascii="Times New Roman" w:eastAsia="仿宋"/>
                <w:sz w:val="21"/>
                <w:szCs w:val="21"/>
              </w:rPr>
            </w:pPr>
            <w:r>
              <w:rPr>
                <w:rFonts w:ascii="Times New Roman" w:eastAsia="仿宋"/>
                <w:sz w:val="21"/>
                <w:szCs w:val="21"/>
              </w:rPr>
              <w:t>11</w:t>
            </w:r>
          </w:p>
        </w:tc>
        <w:tc>
          <w:tcPr>
            <w:tcW w:w="1278" w:type="pct"/>
            <w:shd w:val="clear" w:color="auto" w:fill="auto"/>
            <w:noWrap/>
            <w:vAlign w:val="center"/>
          </w:tcPr>
          <w:p w14:paraId="775B610E">
            <w:pPr>
              <w:widowControl/>
              <w:jc w:val="center"/>
              <w:rPr>
                <w:rFonts w:ascii="Times New Roman" w:eastAsia="仿宋"/>
                <w:sz w:val="21"/>
                <w:szCs w:val="21"/>
              </w:rPr>
            </w:pPr>
            <w:r>
              <w:rPr>
                <w:rFonts w:ascii="Times New Roman" w:eastAsia="仿宋"/>
                <w:sz w:val="21"/>
                <w:szCs w:val="21"/>
              </w:rPr>
              <w:t>常州市米邦新材料有限公司</w:t>
            </w:r>
          </w:p>
        </w:tc>
        <w:tc>
          <w:tcPr>
            <w:tcW w:w="407" w:type="pct"/>
            <w:shd w:val="clear" w:color="auto" w:fill="auto"/>
            <w:noWrap/>
            <w:vAlign w:val="center"/>
          </w:tcPr>
          <w:p w14:paraId="0E4EDCE0">
            <w:pPr>
              <w:widowControl/>
              <w:jc w:val="center"/>
              <w:rPr>
                <w:rFonts w:ascii="Times New Roman" w:eastAsia="仿宋"/>
                <w:sz w:val="21"/>
                <w:szCs w:val="21"/>
              </w:rPr>
            </w:pPr>
            <w:r>
              <w:rPr>
                <w:rFonts w:ascii="Times New Roman" w:eastAsia="仿宋"/>
                <w:sz w:val="21"/>
                <w:szCs w:val="21"/>
              </w:rPr>
              <w:t>0.086667</w:t>
            </w:r>
          </w:p>
        </w:tc>
        <w:tc>
          <w:tcPr>
            <w:tcW w:w="306" w:type="pct"/>
            <w:shd w:val="clear" w:color="auto" w:fill="auto"/>
            <w:noWrap/>
            <w:vAlign w:val="center"/>
          </w:tcPr>
          <w:p w14:paraId="55DC203D">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182BA997">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04F14357">
            <w:pPr>
              <w:widowControl/>
              <w:jc w:val="center"/>
              <w:rPr>
                <w:rFonts w:ascii="Times New Roman" w:eastAsia="仿宋"/>
                <w:sz w:val="21"/>
                <w:szCs w:val="21"/>
              </w:rPr>
            </w:pPr>
            <w:r>
              <w:rPr>
                <w:rFonts w:ascii="Times New Roman" w:eastAsia="仿宋"/>
                <w:sz w:val="21"/>
                <w:szCs w:val="21"/>
              </w:rPr>
              <w:t>0.0395</w:t>
            </w:r>
          </w:p>
        </w:tc>
        <w:tc>
          <w:tcPr>
            <w:tcW w:w="322" w:type="pct"/>
            <w:shd w:val="clear" w:color="auto" w:fill="auto"/>
            <w:noWrap/>
            <w:vAlign w:val="center"/>
          </w:tcPr>
          <w:p w14:paraId="69DCDFBF">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50ADC576">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7DC161FD">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5D9854C">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751A56EF">
            <w:pPr>
              <w:widowControl/>
              <w:jc w:val="center"/>
              <w:rPr>
                <w:rFonts w:ascii="Times New Roman" w:eastAsia="仿宋"/>
                <w:sz w:val="21"/>
                <w:szCs w:val="21"/>
              </w:rPr>
            </w:pPr>
            <w:r>
              <w:rPr>
                <w:rFonts w:ascii="Times New Roman" w:eastAsia="仿宋"/>
                <w:sz w:val="21"/>
                <w:szCs w:val="21"/>
              </w:rPr>
              <w:t>0.126167</w:t>
            </w:r>
          </w:p>
        </w:tc>
        <w:tc>
          <w:tcPr>
            <w:tcW w:w="308" w:type="pct"/>
            <w:shd w:val="clear" w:color="auto" w:fill="auto"/>
            <w:noWrap/>
            <w:vAlign w:val="center"/>
          </w:tcPr>
          <w:p w14:paraId="0ED80202">
            <w:pPr>
              <w:widowControl/>
              <w:jc w:val="center"/>
              <w:rPr>
                <w:rFonts w:ascii="Times New Roman" w:eastAsia="仿宋"/>
                <w:sz w:val="21"/>
                <w:szCs w:val="21"/>
              </w:rPr>
            </w:pPr>
            <w:r>
              <w:rPr>
                <w:rFonts w:ascii="Times New Roman" w:eastAsia="仿宋"/>
                <w:sz w:val="21"/>
                <w:szCs w:val="21"/>
              </w:rPr>
              <w:t>0.03%</w:t>
            </w:r>
          </w:p>
        </w:tc>
      </w:tr>
      <w:tr w14:paraId="5726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230A671">
            <w:pPr>
              <w:widowControl/>
              <w:jc w:val="center"/>
              <w:rPr>
                <w:rFonts w:ascii="Times New Roman" w:eastAsia="仿宋"/>
                <w:sz w:val="21"/>
                <w:szCs w:val="21"/>
              </w:rPr>
            </w:pPr>
            <w:r>
              <w:rPr>
                <w:rFonts w:ascii="Times New Roman" w:eastAsia="仿宋"/>
                <w:sz w:val="21"/>
                <w:szCs w:val="21"/>
              </w:rPr>
              <w:t>12</w:t>
            </w:r>
          </w:p>
        </w:tc>
        <w:tc>
          <w:tcPr>
            <w:tcW w:w="1278" w:type="pct"/>
            <w:shd w:val="clear" w:color="auto" w:fill="auto"/>
            <w:noWrap/>
            <w:vAlign w:val="center"/>
          </w:tcPr>
          <w:p w14:paraId="1DD2C216">
            <w:pPr>
              <w:widowControl/>
              <w:jc w:val="center"/>
              <w:rPr>
                <w:rFonts w:ascii="Times New Roman" w:eastAsia="仿宋"/>
                <w:sz w:val="21"/>
                <w:szCs w:val="21"/>
              </w:rPr>
            </w:pPr>
            <w:r>
              <w:rPr>
                <w:rFonts w:ascii="Times New Roman" w:eastAsia="仿宋"/>
                <w:sz w:val="21"/>
                <w:szCs w:val="21"/>
              </w:rPr>
              <w:t>江苏三德利食品有限公司</w:t>
            </w:r>
          </w:p>
        </w:tc>
        <w:tc>
          <w:tcPr>
            <w:tcW w:w="407" w:type="pct"/>
            <w:shd w:val="clear" w:color="auto" w:fill="auto"/>
            <w:noWrap/>
            <w:vAlign w:val="center"/>
          </w:tcPr>
          <w:p w14:paraId="61628F26">
            <w:pPr>
              <w:widowControl/>
              <w:jc w:val="center"/>
              <w:rPr>
                <w:rFonts w:ascii="Times New Roman" w:eastAsia="仿宋"/>
                <w:sz w:val="21"/>
                <w:szCs w:val="21"/>
              </w:rPr>
            </w:pPr>
            <w:r>
              <w:rPr>
                <w:rFonts w:ascii="Times New Roman" w:eastAsia="仿宋"/>
                <w:sz w:val="21"/>
                <w:szCs w:val="21"/>
              </w:rPr>
              <w:t>0.016</w:t>
            </w:r>
          </w:p>
        </w:tc>
        <w:tc>
          <w:tcPr>
            <w:tcW w:w="306" w:type="pct"/>
            <w:shd w:val="clear" w:color="auto" w:fill="auto"/>
            <w:noWrap/>
            <w:vAlign w:val="center"/>
          </w:tcPr>
          <w:p w14:paraId="3E33CE7B">
            <w:pPr>
              <w:widowControl/>
              <w:jc w:val="center"/>
              <w:rPr>
                <w:rFonts w:ascii="Times New Roman" w:eastAsia="仿宋"/>
                <w:sz w:val="21"/>
                <w:szCs w:val="21"/>
              </w:rPr>
            </w:pPr>
            <w:r>
              <w:rPr>
                <w:rFonts w:ascii="Times New Roman" w:eastAsia="仿宋"/>
                <w:sz w:val="21"/>
                <w:szCs w:val="21"/>
              </w:rPr>
              <w:t>0.0114</w:t>
            </w:r>
          </w:p>
        </w:tc>
        <w:tc>
          <w:tcPr>
            <w:tcW w:w="357" w:type="pct"/>
            <w:shd w:val="clear" w:color="auto" w:fill="auto"/>
            <w:noWrap/>
            <w:vAlign w:val="center"/>
          </w:tcPr>
          <w:p w14:paraId="63B23739">
            <w:pPr>
              <w:widowControl/>
              <w:jc w:val="center"/>
              <w:rPr>
                <w:rFonts w:ascii="Times New Roman" w:eastAsia="仿宋"/>
                <w:sz w:val="21"/>
                <w:szCs w:val="21"/>
              </w:rPr>
            </w:pPr>
            <w:r>
              <w:rPr>
                <w:rFonts w:ascii="Times New Roman" w:eastAsia="仿宋"/>
                <w:sz w:val="21"/>
                <w:szCs w:val="21"/>
              </w:rPr>
              <w:t>0.0935</w:t>
            </w:r>
          </w:p>
        </w:tc>
        <w:tc>
          <w:tcPr>
            <w:tcW w:w="357" w:type="pct"/>
            <w:shd w:val="clear" w:color="auto" w:fill="auto"/>
            <w:noWrap/>
            <w:vAlign w:val="center"/>
          </w:tcPr>
          <w:p w14:paraId="2BCF97FE">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7BFD1781">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4C8F4360">
            <w:pPr>
              <w:widowControl/>
              <w:jc w:val="center"/>
              <w:rPr>
                <w:rFonts w:ascii="Times New Roman" w:eastAsia="仿宋"/>
                <w:sz w:val="21"/>
                <w:szCs w:val="21"/>
              </w:rPr>
            </w:pPr>
            <w:r>
              <w:rPr>
                <w:rFonts w:ascii="Times New Roman" w:eastAsia="仿宋"/>
                <w:sz w:val="21"/>
                <w:szCs w:val="21"/>
              </w:rPr>
              <w:t>1.775</w:t>
            </w:r>
          </w:p>
        </w:tc>
        <w:tc>
          <w:tcPr>
            <w:tcW w:w="407" w:type="pct"/>
            <w:shd w:val="clear" w:color="auto" w:fill="auto"/>
            <w:noWrap/>
            <w:vAlign w:val="center"/>
          </w:tcPr>
          <w:p w14:paraId="0D2BA8DA">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10F206AE">
            <w:pPr>
              <w:widowControl/>
              <w:jc w:val="center"/>
              <w:rPr>
                <w:rFonts w:ascii="Times New Roman" w:eastAsia="仿宋"/>
                <w:sz w:val="21"/>
                <w:szCs w:val="21"/>
              </w:rPr>
            </w:pPr>
            <w:r>
              <w:rPr>
                <w:rFonts w:ascii="Times New Roman" w:eastAsia="仿宋"/>
                <w:sz w:val="21"/>
                <w:szCs w:val="21"/>
              </w:rPr>
              <w:t>4.8</w:t>
            </w:r>
          </w:p>
        </w:tc>
        <w:tc>
          <w:tcPr>
            <w:tcW w:w="405" w:type="pct"/>
            <w:shd w:val="clear" w:color="auto" w:fill="auto"/>
            <w:noWrap/>
            <w:vAlign w:val="center"/>
          </w:tcPr>
          <w:p w14:paraId="4E5DDE2F">
            <w:pPr>
              <w:widowControl/>
              <w:jc w:val="center"/>
              <w:rPr>
                <w:rFonts w:ascii="Times New Roman" w:eastAsia="仿宋"/>
                <w:sz w:val="21"/>
                <w:szCs w:val="21"/>
              </w:rPr>
            </w:pPr>
            <w:r>
              <w:rPr>
                <w:rFonts w:ascii="Times New Roman" w:eastAsia="仿宋"/>
                <w:sz w:val="21"/>
                <w:szCs w:val="21"/>
              </w:rPr>
              <w:t>6.6959</w:t>
            </w:r>
          </w:p>
        </w:tc>
        <w:tc>
          <w:tcPr>
            <w:tcW w:w="308" w:type="pct"/>
            <w:shd w:val="clear" w:color="auto" w:fill="auto"/>
            <w:noWrap/>
            <w:vAlign w:val="center"/>
          </w:tcPr>
          <w:p w14:paraId="6CD1B5B2">
            <w:pPr>
              <w:widowControl/>
              <w:jc w:val="center"/>
              <w:rPr>
                <w:rFonts w:ascii="Times New Roman" w:eastAsia="仿宋"/>
                <w:sz w:val="21"/>
                <w:szCs w:val="21"/>
              </w:rPr>
            </w:pPr>
            <w:r>
              <w:rPr>
                <w:rFonts w:ascii="Times New Roman" w:eastAsia="仿宋"/>
                <w:sz w:val="21"/>
                <w:szCs w:val="21"/>
              </w:rPr>
              <w:t>1.4%</w:t>
            </w:r>
          </w:p>
        </w:tc>
      </w:tr>
      <w:tr w14:paraId="6174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813F319">
            <w:pPr>
              <w:widowControl/>
              <w:jc w:val="center"/>
              <w:rPr>
                <w:rFonts w:ascii="Times New Roman" w:eastAsia="仿宋"/>
                <w:sz w:val="21"/>
                <w:szCs w:val="21"/>
              </w:rPr>
            </w:pPr>
            <w:r>
              <w:rPr>
                <w:rFonts w:ascii="Times New Roman" w:eastAsia="仿宋"/>
                <w:sz w:val="21"/>
                <w:szCs w:val="21"/>
              </w:rPr>
              <w:t>13</w:t>
            </w:r>
          </w:p>
        </w:tc>
        <w:tc>
          <w:tcPr>
            <w:tcW w:w="1278" w:type="pct"/>
            <w:shd w:val="clear" w:color="auto" w:fill="auto"/>
            <w:noWrap/>
            <w:vAlign w:val="center"/>
          </w:tcPr>
          <w:p w14:paraId="58D68147">
            <w:pPr>
              <w:widowControl/>
              <w:jc w:val="center"/>
              <w:rPr>
                <w:rFonts w:ascii="Times New Roman" w:eastAsia="仿宋"/>
                <w:sz w:val="21"/>
                <w:szCs w:val="21"/>
              </w:rPr>
            </w:pPr>
            <w:r>
              <w:rPr>
                <w:rFonts w:ascii="Times New Roman" w:eastAsia="仿宋"/>
                <w:sz w:val="21"/>
                <w:szCs w:val="21"/>
              </w:rPr>
              <w:t>江苏东方洁妮儿新材料有限公司</w:t>
            </w:r>
          </w:p>
        </w:tc>
        <w:tc>
          <w:tcPr>
            <w:tcW w:w="407" w:type="pct"/>
            <w:shd w:val="clear" w:color="auto" w:fill="auto"/>
            <w:noWrap/>
            <w:vAlign w:val="center"/>
          </w:tcPr>
          <w:p w14:paraId="24315869">
            <w:pPr>
              <w:widowControl/>
              <w:jc w:val="center"/>
              <w:rPr>
                <w:rFonts w:ascii="Times New Roman" w:eastAsia="仿宋"/>
                <w:sz w:val="21"/>
                <w:szCs w:val="21"/>
              </w:rPr>
            </w:pPr>
            <w:r>
              <w:rPr>
                <w:rFonts w:ascii="Times New Roman" w:eastAsia="仿宋"/>
                <w:sz w:val="21"/>
                <w:szCs w:val="21"/>
              </w:rPr>
              <w:t>1.866667</w:t>
            </w:r>
          </w:p>
        </w:tc>
        <w:tc>
          <w:tcPr>
            <w:tcW w:w="306" w:type="pct"/>
            <w:shd w:val="clear" w:color="auto" w:fill="auto"/>
            <w:noWrap/>
            <w:vAlign w:val="center"/>
          </w:tcPr>
          <w:p w14:paraId="45840F1E">
            <w:pPr>
              <w:widowControl/>
              <w:jc w:val="center"/>
              <w:rPr>
                <w:rFonts w:ascii="Times New Roman" w:eastAsia="仿宋"/>
                <w:sz w:val="21"/>
                <w:szCs w:val="21"/>
              </w:rPr>
            </w:pPr>
            <w:r>
              <w:rPr>
                <w:rFonts w:ascii="Times New Roman" w:eastAsia="仿宋"/>
                <w:sz w:val="21"/>
                <w:szCs w:val="21"/>
              </w:rPr>
              <w:t>0.8</w:t>
            </w:r>
          </w:p>
        </w:tc>
        <w:tc>
          <w:tcPr>
            <w:tcW w:w="357" w:type="pct"/>
            <w:shd w:val="clear" w:color="auto" w:fill="auto"/>
            <w:noWrap/>
            <w:vAlign w:val="center"/>
          </w:tcPr>
          <w:p w14:paraId="15241AC3">
            <w:pPr>
              <w:widowControl/>
              <w:jc w:val="center"/>
              <w:rPr>
                <w:rFonts w:ascii="Times New Roman" w:eastAsia="仿宋"/>
                <w:sz w:val="21"/>
                <w:szCs w:val="21"/>
              </w:rPr>
            </w:pPr>
            <w:r>
              <w:rPr>
                <w:rFonts w:ascii="Times New Roman" w:eastAsia="仿宋"/>
                <w:sz w:val="21"/>
                <w:szCs w:val="21"/>
              </w:rPr>
              <w:t>18.71</w:t>
            </w:r>
          </w:p>
        </w:tc>
        <w:tc>
          <w:tcPr>
            <w:tcW w:w="357" w:type="pct"/>
            <w:shd w:val="clear" w:color="auto" w:fill="auto"/>
            <w:noWrap/>
            <w:vAlign w:val="center"/>
          </w:tcPr>
          <w:p w14:paraId="7BEC8977">
            <w:pPr>
              <w:widowControl/>
              <w:jc w:val="center"/>
              <w:rPr>
                <w:rFonts w:ascii="Times New Roman" w:eastAsia="仿宋"/>
                <w:sz w:val="21"/>
                <w:szCs w:val="21"/>
              </w:rPr>
            </w:pPr>
            <w:r>
              <w:rPr>
                <w:rFonts w:ascii="Times New Roman" w:eastAsia="仿宋"/>
                <w:sz w:val="21"/>
                <w:szCs w:val="21"/>
              </w:rPr>
              <w:t>0.114</w:t>
            </w:r>
          </w:p>
        </w:tc>
        <w:tc>
          <w:tcPr>
            <w:tcW w:w="322" w:type="pct"/>
            <w:shd w:val="clear" w:color="auto" w:fill="auto"/>
            <w:noWrap/>
            <w:vAlign w:val="center"/>
          </w:tcPr>
          <w:p w14:paraId="57CE5962">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DBFF24D">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522E1DE2">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7C53B023">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64988F01">
            <w:pPr>
              <w:widowControl/>
              <w:jc w:val="center"/>
              <w:rPr>
                <w:rFonts w:ascii="Times New Roman" w:eastAsia="仿宋"/>
                <w:sz w:val="21"/>
                <w:szCs w:val="21"/>
              </w:rPr>
            </w:pPr>
            <w:r>
              <w:rPr>
                <w:rFonts w:ascii="Times New Roman" w:eastAsia="仿宋"/>
                <w:sz w:val="21"/>
                <w:szCs w:val="21"/>
              </w:rPr>
              <w:t>21.49067</w:t>
            </w:r>
          </w:p>
        </w:tc>
        <w:tc>
          <w:tcPr>
            <w:tcW w:w="308" w:type="pct"/>
            <w:shd w:val="clear" w:color="auto" w:fill="auto"/>
            <w:noWrap/>
            <w:vAlign w:val="center"/>
          </w:tcPr>
          <w:p w14:paraId="22B7E82F">
            <w:pPr>
              <w:widowControl/>
              <w:jc w:val="center"/>
              <w:rPr>
                <w:rFonts w:ascii="Times New Roman" w:eastAsia="仿宋"/>
                <w:sz w:val="21"/>
                <w:szCs w:val="21"/>
              </w:rPr>
            </w:pPr>
            <w:r>
              <w:rPr>
                <w:rFonts w:ascii="Times New Roman" w:eastAsia="仿宋"/>
                <w:sz w:val="21"/>
                <w:szCs w:val="21"/>
              </w:rPr>
              <w:t>4.49%</w:t>
            </w:r>
          </w:p>
        </w:tc>
      </w:tr>
      <w:tr w14:paraId="6AF9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2926C26">
            <w:pPr>
              <w:widowControl/>
              <w:jc w:val="center"/>
              <w:rPr>
                <w:rFonts w:ascii="Times New Roman" w:eastAsia="仿宋"/>
                <w:sz w:val="21"/>
                <w:szCs w:val="21"/>
              </w:rPr>
            </w:pPr>
            <w:r>
              <w:rPr>
                <w:rFonts w:ascii="Times New Roman" w:eastAsia="仿宋"/>
                <w:sz w:val="21"/>
                <w:szCs w:val="21"/>
              </w:rPr>
              <w:t>14</w:t>
            </w:r>
          </w:p>
        </w:tc>
        <w:tc>
          <w:tcPr>
            <w:tcW w:w="1278" w:type="pct"/>
            <w:shd w:val="clear" w:color="auto" w:fill="auto"/>
            <w:noWrap/>
            <w:vAlign w:val="center"/>
          </w:tcPr>
          <w:p w14:paraId="2DB6EE72">
            <w:pPr>
              <w:widowControl/>
              <w:jc w:val="center"/>
              <w:rPr>
                <w:rFonts w:ascii="Times New Roman" w:eastAsia="仿宋"/>
                <w:sz w:val="21"/>
                <w:szCs w:val="21"/>
              </w:rPr>
            </w:pPr>
            <w:r>
              <w:rPr>
                <w:rFonts w:ascii="Times New Roman" w:eastAsia="仿宋"/>
                <w:sz w:val="21"/>
                <w:szCs w:val="21"/>
              </w:rPr>
              <w:t>江苏科菱库精工科技有限公司</w:t>
            </w:r>
          </w:p>
        </w:tc>
        <w:tc>
          <w:tcPr>
            <w:tcW w:w="407" w:type="pct"/>
            <w:shd w:val="clear" w:color="auto" w:fill="auto"/>
            <w:noWrap/>
            <w:vAlign w:val="center"/>
          </w:tcPr>
          <w:p w14:paraId="585EDC44">
            <w:pPr>
              <w:widowControl/>
              <w:jc w:val="center"/>
              <w:rPr>
                <w:rFonts w:ascii="Times New Roman" w:eastAsia="仿宋"/>
                <w:sz w:val="21"/>
                <w:szCs w:val="21"/>
              </w:rPr>
            </w:pPr>
            <w:r>
              <w:rPr>
                <w:rFonts w:ascii="Times New Roman" w:eastAsia="仿宋"/>
                <w:sz w:val="21"/>
                <w:szCs w:val="21"/>
              </w:rPr>
              <w:t>0.126667</w:t>
            </w:r>
          </w:p>
        </w:tc>
        <w:tc>
          <w:tcPr>
            <w:tcW w:w="306" w:type="pct"/>
            <w:shd w:val="clear" w:color="auto" w:fill="auto"/>
            <w:noWrap/>
            <w:vAlign w:val="center"/>
          </w:tcPr>
          <w:p w14:paraId="665FA3ED">
            <w:pPr>
              <w:widowControl/>
              <w:jc w:val="center"/>
              <w:rPr>
                <w:rFonts w:ascii="Times New Roman" w:eastAsia="仿宋"/>
                <w:sz w:val="21"/>
                <w:szCs w:val="21"/>
              </w:rPr>
            </w:pPr>
            <w:r>
              <w:rPr>
                <w:rFonts w:ascii="Times New Roman" w:eastAsia="仿宋"/>
                <w:sz w:val="21"/>
                <w:szCs w:val="21"/>
              </w:rPr>
              <w:t>0.016</w:t>
            </w:r>
          </w:p>
        </w:tc>
        <w:tc>
          <w:tcPr>
            <w:tcW w:w="357" w:type="pct"/>
            <w:shd w:val="clear" w:color="auto" w:fill="auto"/>
            <w:noWrap/>
            <w:vAlign w:val="center"/>
          </w:tcPr>
          <w:p w14:paraId="28866ED7">
            <w:pPr>
              <w:widowControl/>
              <w:jc w:val="center"/>
              <w:rPr>
                <w:rFonts w:ascii="Times New Roman" w:eastAsia="仿宋"/>
                <w:sz w:val="21"/>
                <w:szCs w:val="21"/>
              </w:rPr>
            </w:pPr>
            <w:r>
              <w:rPr>
                <w:rFonts w:ascii="Times New Roman" w:eastAsia="仿宋"/>
                <w:sz w:val="21"/>
                <w:szCs w:val="21"/>
              </w:rPr>
              <w:t>0.245</w:t>
            </w:r>
          </w:p>
        </w:tc>
        <w:tc>
          <w:tcPr>
            <w:tcW w:w="357" w:type="pct"/>
            <w:shd w:val="clear" w:color="auto" w:fill="auto"/>
            <w:noWrap/>
            <w:vAlign w:val="center"/>
          </w:tcPr>
          <w:p w14:paraId="052E3541">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39FE0851">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2727F1FC">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7C368210">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7FE880AC">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3ADBDF9C">
            <w:pPr>
              <w:widowControl/>
              <w:jc w:val="center"/>
              <w:rPr>
                <w:rFonts w:ascii="Times New Roman" w:eastAsia="仿宋"/>
                <w:sz w:val="21"/>
                <w:szCs w:val="21"/>
              </w:rPr>
            </w:pPr>
            <w:r>
              <w:rPr>
                <w:rFonts w:ascii="Times New Roman" w:eastAsia="仿宋"/>
                <w:sz w:val="21"/>
                <w:szCs w:val="21"/>
              </w:rPr>
              <w:t>0.387667</w:t>
            </w:r>
          </w:p>
        </w:tc>
        <w:tc>
          <w:tcPr>
            <w:tcW w:w="308" w:type="pct"/>
            <w:shd w:val="clear" w:color="auto" w:fill="auto"/>
            <w:noWrap/>
            <w:vAlign w:val="center"/>
          </w:tcPr>
          <w:p w14:paraId="211B3AE5">
            <w:pPr>
              <w:widowControl/>
              <w:jc w:val="center"/>
              <w:rPr>
                <w:rFonts w:ascii="Times New Roman" w:eastAsia="仿宋"/>
                <w:sz w:val="21"/>
                <w:szCs w:val="21"/>
              </w:rPr>
            </w:pPr>
            <w:r>
              <w:rPr>
                <w:rFonts w:ascii="Times New Roman" w:eastAsia="仿宋"/>
                <w:sz w:val="21"/>
                <w:szCs w:val="21"/>
              </w:rPr>
              <w:t>0.08%</w:t>
            </w:r>
          </w:p>
        </w:tc>
      </w:tr>
      <w:tr w14:paraId="62F1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3CC0E60">
            <w:pPr>
              <w:widowControl/>
              <w:jc w:val="center"/>
              <w:rPr>
                <w:rFonts w:ascii="Times New Roman" w:eastAsia="仿宋"/>
                <w:sz w:val="21"/>
                <w:szCs w:val="21"/>
              </w:rPr>
            </w:pPr>
            <w:r>
              <w:rPr>
                <w:rFonts w:ascii="Times New Roman" w:eastAsia="仿宋"/>
                <w:sz w:val="21"/>
                <w:szCs w:val="21"/>
              </w:rPr>
              <w:t>15</w:t>
            </w:r>
          </w:p>
        </w:tc>
        <w:tc>
          <w:tcPr>
            <w:tcW w:w="1278" w:type="pct"/>
            <w:shd w:val="clear" w:color="auto" w:fill="auto"/>
            <w:noWrap/>
            <w:vAlign w:val="center"/>
          </w:tcPr>
          <w:p w14:paraId="25CFE2C4">
            <w:pPr>
              <w:widowControl/>
              <w:jc w:val="center"/>
              <w:rPr>
                <w:rFonts w:ascii="Times New Roman" w:eastAsia="仿宋"/>
                <w:sz w:val="21"/>
                <w:szCs w:val="21"/>
              </w:rPr>
            </w:pPr>
            <w:r>
              <w:rPr>
                <w:rFonts w:ascii="Times New Roman" w:eastAsia="仿宋"/>
                <w:sz w:val="21"/>
                <w:szCs w:val="21"/>
              </w:rPr>
              <w:t>常州思必达新能源设备有限公司</w:t>
            </w:r>
          </w:p>
        </w:tc>
        <w:tc>
          <w:tcPr>
            <w:tcW w:w="407" w:type="pct"/>
            <w:shd w:val="clear" w:color="auto" w:fill="auto"/>
            <w:noWrap/>
            <w:vAlign w:val="center"/>
          </w:tcPr>
          <w:p w14:paraId="58A2308C">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008E1AEA">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71B59377">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64330677">
            <w:pPr>
              <w:widowControl/>
              <w:jc w:val="center"/>
              <w:rPr>
                <w:rFonts w:ascii="Times New Roman" w:eastAsia="仿宋"/>
                <w:sz w:val="21"/>
                <w:szCs w:val="21"/>
              </w:rPr>
            </w:pPr>
            <w:r>
              <w:rPr>
                <w:rFonts w:ascii="Times New Roman" w:eastAsia="仿宋"/>
                <w:sz w:val="21"/>
                <w:szCs w:val="21"/>
              </w:rPr>
              <w:t>0.089</w:t>
            </w:r>
          </w:p>
        </w:tc>
        <w:tc>
          <w:tcPr>
            <w:tcW w:w="322" w:type="pct"/>
            <w:shd w:val="clear" w:color="auto" w:fill="auto"/>
            <w:noWrap/>
            <w:vAlign w:val="center"/>
          </w:tcPr>
          <w:p w14:paraId="5AC96FEE">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E3ECF19">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3C8597FA">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76079F6">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16089C27">
            <w:pPr>
              <w:widowControl/>
              <w:jc w:val="center"/>
              <w:rPr>
                <w:rFonts w:ascii="Times New Roman" w:eastAsia="仿宋"/>
                <w:sz w:val="21"/>
                <w:szCs w:val="21"/>
              </w:rPr>
            </w:pPr>
            <w:r>
              <w:rPr>
                <w:rFonts w:ascii="Times New Roman" w:eastAsia="仿宋"/>
                <w:sz w:val="21"/>
                <w:szCs w:val="21"/>
              </w:rPr>
              <w:t>0.089</w:t>
            </w:r>
          </w:p>
        </w:tc>
        <w:tc>
          <w:tcPr>
            <w:tcW w:w="308" w:type="pct"/>
            <w:shd w:val="clear" w:color="auto" w:fill="auto"/>
            <w:noWrap/>
            <w:vAlign w:val="center"/>
          </w:tcPr>
          <w:p w14:paraId="7D0002CF">
            <w:pPr>
              <w:widowControl/>
              <w:jc w:val="center"/>
              <w:rPr>
                <w:rFonts w:ascii="Times New Roman" w:eastAsia="仿宋"/>
                <w:sz w:val="21"/>
                <w:szCs w:val="21"/>
              </w:rPr>
            </w:pPr>
            <w:r>
              <w:rPr>
                <w:rFonts w:ascii="Times New Roman" w:eastAsia="仿宋"/>
                <w:sz w:val="21"/>
                <w:szCs w:val="21"/>
              </w:rPr>
              <w:t>0.02%</w:t>
            </w:r>
          </w:p>
        </w:tc>
      </w:tr>
      <w:tr w14:paraId="1983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3B4ACD89">
            <w:pPr>
              <w:widowControl/>
              <w:jc w:val="center"/>
              <w:rPr>
                <w:rFonts w:ascii="Times New Roman" w:eastAsia="仿宋"/>
                <w:sz w:val="21"/>
                <w:szCs w:val="21"/>
              </w:rPr>
            </w:pPr>
            <w:r>
              <w:rPr>
                <w:rFonts w:ascii="Times New Roman" w:eastAsia="仿宋"/>
                <w:sz w:val="21"/>
                <w:szCs w:val="21"/>
              </w:rPr>
              <w:t>16</w:t>
            </w:r>
          </w:p>
        </w:tc>
        <w:tc>
          <w:tcPr>
            <w:tcW w:w="1278" w:type="pct"/>
            <w:shd w:val="clear" w:color="auto" w:fill="auto"/>
            <w:noWrap/>
            <w:vAlign w:val="center"/>
          </w:tcPr>
          <w:p w14:paraId="146BFAE8">
            <w:pPr>
              <w:widowControl/>
              <w:jc w:val="center"/>
              <w:rPr>
                <w:rFonts w:ascii="Times New Roman" w:eastAsia="仿宋"/>
                <w:sz w:val="21"/>
                <w:szCs w:val="21"/>
              </w:rPr>
            </w:pPr>
            <w:r>
              <w:rPr>
                <w:rFonts w:ascii="Times New Roman" w:eastAsia="仿宋"/>
                <w:sz w:val="21"/>
                <w:szCs w:val="21"/>
              </w:rPr>
              <w:t>常州银丰电力装备有限公司</w:t>
            </w:r>
          </w:p>
        </w:tc>
        <w:tc>
          <w:tcPr>
            <w:tcW w:w="407" w:type="pct"/>
            <w:shd w:val="clear" w:color="auto" w:fill="auto"/>
            <w:noWrap/>
            <w:vAlign w:val="center"/>
          </w:tcPr>
          <w:p w14:paraId="350B3BF2">
            <w:pPr>
              <w:widowControl/>
              <w:jc w:val="center"/>
              <w:rPr>
                <w:rFonts w:ascii="Times New Roman" w:eastAsia="仿宋"/>
                <w:sz w:val="21"/>
                <w:szCs w:val="21"/>
              </w:rPr>
            </w:pPr>
            <w:r>
              <w:rPr>
                <w:rFonts w:ascii="Times New Roman" w:eastAsia="仿宋"/>
                <w:sz w:val="21"/>
                <w:szCs w:val="21"/>
              </w:rPr>
              <w:t>3.866667</w:t>
            </w:r>
          </w:p>
        </w:tc>
        <w:tc>
          <w:tcPr>
            <w:tcW w:w="306" w:type="pct"/>
            <w:shd w:val="clear" w:color="auto" w:fill="auto"/>
            <w:noWrap/>
            <w:vAlign w:val="center"/>
          </w:tcPr>
          <w:p w14:paraId="74C009D2">
            <w:pPr>
              <w:widowControl/>
              <w:jc w:val="center"/>
              <w:rPr>
                <w:rFonts w:ascii="Times New Roman" w:eastAsia="仿宋"/>
                <w:sz w:val="21"/>
                <w:szCs w:val="21"/>
              </w:rPr>
            </w:pPr>
            <w:r>
              <w:rPr>
                <w:rFonts w:ascii="Times New Roman" w:eastAsia="仿宋"/>
                <w:sz w:val="21"/>
                <w:szCs w:val="21"/>
              </w:rPr>
              <w:t>1.492</w:t>
            </w:r>
          </w:p>
        </w:tc>
        <w:tc>
          <w:tcPr>
            <w:tcW w:w="357" w:type="pct"/>
            <w:shd w:val="clear" w:color="auto" w:fill="auto"/>
            <w:noWrap/>
            <w:vAlign w:val="center"/>
          </w:tcPr>
          <w:p w14:paraId="04B7121E">
            <w:pPr>
              <w:widowControl/>
              <w:jc w:val="center"/>
              <w:rPr>
                <w:rFonts w:ascii="Times New Roman" w:eastAsia="仿宋"/>
                <w:sz w:val="21"/>
                <w:szCs w:val="21"/>
              </w:rPr>
            </w:pPr>
            <w:r>
              <w:rPr>
                <w:rFonts w:ascii="Times New Roman" w:eastAsia="仿宋"/>
                <w:sz w:val="21"/>
                <w:szCs w:val="21"/>
              </w:rPr>
              <w:t>36.45</w:t>
            </w:r>
          </w:p>
        </w:tc>
        <w:tc>
          <w:tcPr>
            <w:tcW w:w="357" w:type="pct"/>
            <w:shd w:val="clear" w:color="auto" w:fill="auto"/>
            <w:noWrap/>
            <w:vAlign w:val="center"/>
          </w:tcPr>
          <w:p w14:paraId="30F0243B">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6870054F">
            <w:pPr>
              <w:widowControl/>
              <w:jc w:val="center"/>
              <w:rPr>
                <w:rFonts w:ascii="Times New Roman" w:eastAsia="仿宋"/>
                <w:sz w:val="21"/>
                <w:szCs w:val="21"/>
              </w:rPr>
            </w:pPr>
            <w:r>
              <w:rPr>
                <w:rFonts w:ascii="Times New Roman" w:eastAsia="仿宋"/>
                <w:sz w:val="21"/>
                <w:szCs w:val="21"/>
              </w:rPr>
              <w:t>3.66</w:t>
            </w:r>
          </w:p>
        </w:tc>
        <w:tc>
          <w:tcPr>
            <w:tcW w:w="292" w:type="pct"/>
            <w:shd w:val="clear" w:color="auto" w:fill="auto"/>
            <w:noWrap/>
            <w:vAlign w:val="center"/>
          </w:tcPr>
          <w:p w14:paraId="11631963">
            <w:pPr>
              <w:widowControl/>
              <w:jc w:val="center"/>
              <w:rPr>
                <w:rFonts w:ascii="Times New Roman" w:eastAsia="仿宋"/>
                <w:sz w:val="21"/>
                <w:szCs w:val="21"/>
              </w:rPr>
            </w:pPr>
            <w:r>
              <w:rPr>
                <w:rFonts w:ascii="Times New Roman" w:eastAsia="仿宋"/>
                <w:sz w:val="21"/>
                <w:szCs w:val="21"/>
              </w:rPr>
              <w:t>0.95</w:t>
            </w:r>
          </w:p>
        </w:tc>
        <w:tc>
          <w:tcPr>
            <w:tcW w:w="407" w:type="pct"/>
            <w:shd w:val="clear" w:color="auto" w:fill="auto"/>
            <w:noWrap/>
            <w:vAlign w:val="center"/>
          </w:tcPr>
          <w:p w14:paraId="5F54715F">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540F3A9B">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460EF7E5">
            <w:pPr>
              <w:widowControl/>
              <w:jc w:val="center"/>
              <w:rPr>
                <w:rFonts w:ascii="Times New Roman" w:eastAsia="仿宋"/>
                <w:sz w:val="21"/>
                <w:szCs w:val="21"/>
              </w:rPr>
            </w:pPr>
            <w:r>
              <w:rPr>
                <w:rFonts w:ascii="Times New Roman" w:eastAsia="仿宋"/>
                <w:sz w:val="21"/>
                <w:szCs w:val="21"/>
              </w:rPr>
              <w:t>46.41867</w:t>
            </w:r>
          </w:p>
        </w:tc>
        <w:tc>
          <w:tcPr>
            <w:tcW w:w="308" w:type="pct"/>
            <w:shd w:val="clear" w:color="auto" w:fill="auto"/>
            <w:noWrap/>
            <w:vAlign w:val="center"/>
          </w:tcPr>
          <w:p w14:paraId="40F37B5B">
            <w:pPr>
              <w:widowControl/>
              <w:jc w:val="center"/>
              <w:rPr>
                <w:rFonts w:ascii="Times New Roman" w:eastAsia="仿宋"/>
                <w:sz w:val="21"/>
                <w:szCs w:val="21"/>
              </w:rPr>
            </w:pPr>
            <w:r>
              <w:rPr>
                <w:rFonts w:ascii="Times New Roman" w:eastAsia="仿宋"/>
                <w:sz w:val="21"/>
                <w:szCs w:val="21"/>
              </w:rPr>
              <w:t>9.69%</w:t>
            </w:r>
          </w:p>
        </w:tc>
      </w:tr>
      <w:tr w14:paraId="5B36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0979498">
            <w:pPr>
              <w:widowControl/>
              <w:jc w:val="center"/>
              <w:rPr>
                <w:rFonts w:ascii="Times New Roman" w:eastAsia="仿宋"/>
                <w:sz w:val="21"/>
                <w:szCs w:val="21"/>
              </w:rPr>
            </w:pPr>
            <w:r>
              <w:rPr>
                <w:rFonts w:ascii="Times New Roman" w:eastAsia="仿宋"/>
                <w:sz w:val="21"/>
                <w:szCs w:val="21"/>
              </w:rPr>
              <w:t>17</w:t>
            </w:r>
          </w:p>
        </w:tc>
        <w:tc>
          <w:tcPr>
            <w:tcW w:w="1278" w:type="pct"/>
            <w:shd w:val="clear" w:color="auto" w:fill="auto"/>
            <w:noWrap/>
            <w:vAlign w:val="center"/>
          </w:tcPr>
          <w:p w14:paraId="438ECCD5">
            <w:pPr>
              <w:widowControl/>
              <w:jc w:val="center"/>
              <w:rPr>
                <w:rFonts w:ascii="Times New Roman" w:eastAsia="仿宋"/>
                <w:sz w:val="21"/>
                <w:szCs w:val="21"/>
              </w:rPr>
            </w:pPr>
            <w:r>
              <w:rPr>
                <w:rFonts w:ascii="Times New Roman" w:eastAsia="仿宋"/>
                <w:sz w:val="21"/>
                <w:szCs w:val="21"/>
              </w:rPr>
              <w:t>江苏鹏德保温包装材料有限公司</w:t>
            </w:r>
          </w:p>
        </w:tc>
        <w:tc>
          <w:tcPr>
            <w:tcW w:w="407" w:type="pct"/>
            <w:shd w:val="clear" w:color="auto" w:fill="auto"/>
            <w:noWrap/>
            <w:vAlign w:val="center"/>
          </w:tcPr>
          <w:p w14:paraId="41A1A184">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4A6333DE">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5340D104">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9AFFBE8">
            <w:pPr>
              <w:widowControl/>
              <w:jc w:val="center"/>
              <w:rPr>
                <w:rFonts w:ascii="Times New Roman" w:eastAsia="仿宋"/>
                <w:sz w:val="21"/>
                <w:szCs w:val="21"/>
              </w:rPr>
            </w:pPr>
            <w:r>
              <w:rPr>
                <w:rFonts w:ascii="Times New Roman" w:eastAsia="仿宋"/>
                <w:sz w:val="21"/>
                <w:szCs w:val="21"/>
              </w:rPr>
              <w:t>0.003</w:t>
            </w:r>
          </w:p>
        </w:tc>
        <w:tc>
          <w:tcPr>
            <w:tcW w:w="322" w:type="pct"/>
            <w:shd w:val="clear" w:color="auto" w:fill="auto"/>
            <w:noWrap/>
            <w:vAlign w:val="center"/>
          </w:tcPr>
          <w:p w14:paraId="1CC26627">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ED9DDB1">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213EE909">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7A0BDE08">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16478979">
            <w:pPr>
              <w:widowControl/>
              <w:jc w:val="center"/>
              <w:rPr>
                <w:rFonts w:ascii="Times New Roman" w:eastAsia="仿宋"/>
                <w:sz w:val="21"/>
                <w:szCs w:val="21"/>
              </w:rPr>
            </w:pPr>
            <w:r>
              <w:rPr>
                <w:rFonts w:ascii="Times New Roman" w:eastAsia="仿宋"/>
                <w:sz w:val="21"/>
                <w:szCs w:val="21"/>
              </w:rPr>
              <w:t>0.003</w:t>
            </w:r>
          </w:p>
        </w:tc>
        <w:tc>
          <w:tcPr>
            <w:tcW w:w="308" w:type="pct"/>
            <w:shd w:val="clear" w:color="auto" w:fill="auto"/>
            <w:noWrap/>
            <w:vAlign w:val="center"/>
          </w:tcPr>
          <w:p w14:paraId="71ACDDFD">
            <w:pPr>
              <w:widowControl/>
              <w:jc w:val="center"/>
              <w:rPr>
                <w:rFonts w:ascii="Times New Roman" w:eastAsia="仿宋"/>
                <w:sz w:val="21"/>
                <w:szCs w:val="21"/>
              </w:rPr>
            </w:pPr>
            <w:r>
              <w:rPr>
                <w:rFonts w:ascii="Times New Roman" w:eastAsia="仿宋"/>
                <w:sz w:val="21"/>
                <w:szCs w:val="21"/>
              </w:rPr>
              <w:t>0.00%</w:t>
            </w:r>
          </w:p>
        </w:tc>
      </w:tr>
      <w:tr w14:paraId="21E6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05116ECC">
            <w:pPr>
              <w:widowControl/>
              <w:jc w:val="center"/>
              <w:rPr>
                <w:rFonts w:ascii="Times New Roman" w:eastAsia="仿宋"/>
                <w:sz w:val="21"/>
                <w:szCs w:val="21"/>
              </w:rPr>
            </w:pPr>
            <w:r>
              <w:rPr>
                <w:rFonts w:ascii="Times New Roman" w:eastAsia="仿宋"/>
                <w:sz w:val="21"/>
                <w:szCs w:val="21"/>
              </w:rPr>
              <w:t>18</w:t>
            </w:r>
          </w:p>
        </w:tc>
        <w:tc>
          <w:tcPr>
            <w:tcW w:w="1278" w:type="pct"/>
            <w:shd w:val="clear" w:color="auto" w:fill="auto"/>
            <w:noWrap/>
            <w:vAlign w:val="center"/>
          </w:tcPr>
          <w:p w14:paraId="192C4CD8">
            <w:pPr>
              <w:widowControl/>
              <w:jc w:val="center"/>
              <w:rPr>
                <w:rFonts w:ascii="Times New Roman" w:eastAsia="仿宋"/>
                <w:sz w:val="21"/>
                <w:szCs w:val="21"/>
              </w:rPr>
            </w:pPr>
            <w:r>
              <w:rPr>
                <w:rFonts w:ascii="Times New Roman" w:eastAsia="仿宋"/>
                <w:sz w:val="21"/>
                <w:szCs w:val="21"/>
              </w:rPr>
              <w:t>常州日新模塑科技有限公司</w:t>
            </w:r>
          </w:p>
        </w:tc>
        <w:tc>
          <w:tcPr>
            <w:tcW w:w="407" w:type="pct"/>
            <w:shd w:val="clear" w:color="auto" w:fill="auto"/>
            <w:noWrap/>
            <w:vAlign w:val="center"/>
          </w:tcPr>
          <w:p w14:paraId="7063AD03">
            <w:pPr>
              <w:widowControl/>
              <w:jc w:val="center"/>
              <w:rPr>
                <w:rFonts w:ascii="Times New Roman" w:eastAsia="仿宋"/>
                <w:sz w:val="21"/>
                <w:szCs w:val="21"/>
              </w:rPr>
            </w:pPr>
            <w:r>
              <w:rPr>
                <w:rFonts w:ascii="Times New Roman" w:eastAsia="仿宋"/>
                <w:sz w:val="21"/>
                <w:szCs w:val="21"/>
              </w:rPr>
              <w:t>0.306667</w:t>
            </w:r>
          </w:p>
        </w:tc>
        <w:tc>
          <w:tcPr>
            <w:tcW w:w="306" w:type="pct"/>
            <w:shd w:val="clear" w:color="auto" w:fill="auto"/>
            <w:noWrap/>
            <w:vAlign w:val="center"/>
          </w:tcPr>
          <w:p w14:paraId="2EBB6464">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02E7B975">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18640074">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48A534F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0F473E4">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A00395B">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72DB55A3">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0042A773">
            <w:pPr>
              <w:widowControl/>
              <w:jc w:val="center"/>
              <w:rPr>
                <w:rFonts w:ascii="Times New Roman" w:eastAsia="仿宋"/>
                <w:sz w:val="21"/>
                <w:szCs w:val="21"/>
              </w:rPr>
            </w:pPr>
            <w:r>
              <w:rPr>
                <w:rFonts w:ascii="Times New Roman" w:eastAsia="仿宋"/>
                <w:sz w:val="21"/>
                <w:szCs w:val="21"/>
              </w:rPr>
              <w:t>0.306667</w:t>
            </w:r>
          </w:p>
        </w:tc>
        <w:tc>
          <w:tcPr>
            <w:tcW w:w="308" w:type="pct"/>
            <w:shd w:val="clear" w:color="auto" w:fill="auto"/>
            <w:noWrap/>
            <w:vAlign w:val="center"/>
          </w:tcPr>
          <w:p w14:paraId="28BDD470">
            <w:pPr>
              <w:widowControl/>
              <w:jc w:val="center"/>
              <w:rPr>
                <w:rFonts w:ascii="Times New Roman" w:eastAsia="仿宋"/>
                <w:sz w:val="21"/>
                <w:szCs w:val="21"/>
              </w:rPr>
            </w:pPr>
            <w:r>
              <w:rPr>
                <w:rFonts w:ascii="Times New Roman" w:eastAsia="仿宋"/>
                <w:sz w:val="21"/>
                <w:szCs w:val="21"/>
              </w:rPr>
              <w:t>0.06%</w:t>
            </w:r>
          </w:p>
        </w:tc>
      </w:tr>
      <w:tr w14:paraId="0A9D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F3FB217">
            <w:pPr>
              <w:widowControl/>
              <w:jc w:val="center"/>
              <w:rPr>
                <w:rFonts w:ascii="Times New Roman" w:eastAsia="仿宋"/>
                <w:sz w:val="21"/>
                <w:szCs w:val="21"/>
              </w:rPr>
            </w:pPr>
            <w:r>
              <w:rPr>
                <w:rFonts w:ascii="Times New Roman" w:eastAsia="仿宋"/>
                <w:sz w:val="21"/>
                <w:szCs w:val="21"/>
              </w:rPr>
              <w:t>19</w:t>
            </w:r>
          </w:p>
        </w:tc>
        <w:tc>
          <w:tcPr>
            <w:tcW w:w="1278" w:type="pct"/>
            <w:shd w:val="clear" w:color="auto" w:fill="auto"/>
            <w:noWrap/>
            <w:vAlign w:val="center"/>
          </w:tcPr>
          <w:p w14:paraId="6FD32E20">
            <w:pPr>
              <w:widowControl/>
              <w:jc w:val="center"/>
              <w:rPr>
                <w:rFonts w:ascii="Times New Roman" w:eastAsia="仿宋"/>
                <w:sz w:val="21"/>
                <w:szCs w:val="21"/>
              </w:rPr>
            </w:pPr>
            <w:r>
              <w:rPr>
                <w:rFonts w:ascii="Times New Roman" w:eastAsia="仿宋"/>
                <w:sz w:val="21"/>
                <w:szCs w:val="21"/>
              </w:rPr>
              <w:t>江苏立华食品有限公司</w:t>
            </w:r>
          </w:p>
        </w:tc>
        <w:tc>
          <w:tcPr>
            <w:tcW w:w="407" w:type="pct"/>
            <w:shd w:val="clear" w:color="auto" w:fill="auto"/>
            <w:noWrap/>
            <w:vAlign w:val="center"/>
          </w:tcPr>
          <w:p w14:paraId="6A50FAB5">
            <w:pPr>
              <w:widowControl/>
              <w:jc w:val="center"/>
              <w:rPr>
                <w:rFonts w:ascii="Times New Roman" w:eastAsia="仿宋"/>
                <w:sz w:val="21"/>
                <w:szCs w:val="21"/>
              </w:rPr>
            </w:pPr>
            <w:r>
              <w:rPr>
                <w:rFonts w:ascii="Times New Roman" w:eastAsia="仿宋"/>
                <w:sz w:val="21"/>
                <w:szCs w:val="21"/>
              </w:rPr>
              <w:t>0.633333</w:t>
            </w:r>
          </w:p>
        </w:tc>
        <w:tc>
          <w:tcPr>
            <w:tcW w:w="306" w:type="pct"/>
            <w:shd w:val="clear" w:color="auto" w:fill="auto"/>
            <w:noWrap/>
            <w:vAlign w:val="center"/>
          </w:tcPr>
          <w:p w14:paraId="6C18D3E6">
            <w:pPr>
              <w:widowControl/>
              <w:jc w:val="center"/>
              <w:rPr>
                <w:rFonts w:ascii="Times New Roman" w:eastAsia="仿宋"/>
                <w:sz w:val="21"/>
                <w:szCs w:val="21"/>
              </w:rPr>
            </w:pPr>
            <w:r>
              <w:rPr>
                <w:rFonts w:ascii="Times New Roman" w:eastAsia="仿宋"/>
                <w:sz w:val="21"/>
                <w:szCs w:val="21"/>
              </w:rPr>
              <w:t>0.08</w:t>
            </w:r>
          </w:p>
        </w:tc>
        <w:tc>
          <w:tcPr>
            <w:tcW w:w="357" w:type="pct"/>
            <w:shd w:val="clear" w:color="auto" w:fill="auto"/>
            <w:noWrap/>
            <w:vAlign w:val="center"/>
          </w:tcPr>
          <w:p w14:paraId="545C5749">
            <w:pPr>
              <w:widowControl/>
              <w:jc w:val="center"/>
              <w:rPr>
                <w:rFonts w:ascii="Times New Roman" w:eastAsia="仿宋"/>
                <w:sz w:val="21"/>
                <w:szCs w:val="21"/>
              </w:rPr>
            </w:pPr>
            <w:r>
              <w:rPr>
                <w:rFonts w:ascii="Times New Roman" w:eastAsia="仿宋"/>
                <w:sz w:val="21"/>
                <w:szCs w:val="21"/>
              </w:rPr>
              <w:t>1.245</w:t>
            </w:r>
          </w:p>
        </w:tc>
        <w:tc>
          <w:tcPr>
            <w:tcW w:w="357" w:type="pct"/>
            <w:shd w:val="clear" w:color="auto" w:fill="auto"/>
            <w:noWrap/>
            <w:vAlign w:val="center"/>
          </w:tcPr>
          <w:p w14:paraId="73DBC7F0">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2F7456DC">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6288B328">
            <w:pPr>
              <w:widowControl/>
              <w:jc w:val="center"/>
              <w:rPr>
                <w:rFonts w:ascii="Times New Roman" w:eastAsia="仿宋"/>
                <w:sz w:val="21"/>
                <w:szCs w:val="21"/>
              </w:rPr>
            </w:pPr>
            <w:r>
              <w:rPr>
                <w:rFonts w:ascii="Times New Roman" w:eastAsia="仿宋"/>
                <w:sz w:val="21"/>
                <w:szCs w:val="21"/>
              </w:rPr>
              <w:t>1.61</w:t>
            </w:r>
          </w:p>
        </w:tc>
        <w:tc>
          <w:tcPr>
            <w:tcW w:w="407" w:type="pct"/>
            <w:shd w:val="clear" w:color="auto" w:fill="auto"/>
            <w:noWrap/>
            <w:vAlign w:val="center"/>
          </w:tcPr>
          <w:p w14:paraId="4C74D08C">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D80FDBD">
            <w:pPr>
              <w:widowControl/>
              <w:jc w:val="center"/>
              <w:rPr>
                <w:rFonts w:ascii="Times New Roman" w:eastAsia="仿宋"/>
                <w:sz w:val="21"/>
                <w:szCs w:val="21"/>
              </w:rPr>
            </w:pPr>
            <w:r>
              <w:rPr>
                <w:rFonts w:ascii="Times New Roman" w:eastAsia="仿宋"/>
                <w:sz w:val="21"/>
                <w:szCs w:val="21"/>
              </w:rPr>
              <w:t>5.6</w:t>
            </w:r>
          </w:p>
        </w:tc>
        <w:tc>
          <w:tcPr>
            <w:tcW w:w="405" w:type="pct"/>
            <w:shd w:val="clear" w:color="auto" w:fill="auto"/>
            <w:noWrap/>
            <w:vAlign w:val="center"/>
          </w:tcPr>
          <w:p w14:paraId="184F6C3A">
            <w:pPr>
              <w:widowControl/>
              <w:jc w:val="center"/>
              <w:rPr>
                <w:rFonts w:ascii="Times New Roman" w:eastAsia="仿宋"/>
                <w:sz w:val="21"/>
                <w:szCs w:val="21"/>
              </w:rPr>
            </w:pPr>
            <w:r>
              <w:rPr>
                <w:rFonts w:ascii="Times New Roman" w:eastAsia="仿宋"/>
                <w:sz w:val="21"/>
                <w:szCs w:val="21"/>
              </w:rPr>
              <w:t>9.168333</w:t>
            </w:r>
          </w:p>
        </w:tc>
        <w:tc>
          <w:tcPr>
            <w:tcW w:w="308" w:type="pct"/>
            <w:shd w:val="clear" w:color="auto" w:fill="auto"/>
            <w:noWrap/>
            <w:vAlign w:val="center"/>
          </w:tcPr>
          <w:p w14:paraId="13DE49D3">
            <w:pPr>
              <w:widowControl/>
              <w:jc w:val="center"/>
              <w:rPr>
                <w:rFonts w:ascii="Times New Roman" w:eastAsia="仿宋"/>
                <w:sz w:val="21"/>
                <w:szCs w:val="21"/>
              </w:rPr>
            </w:pPr>
            <w:r>
              <w:rPr>
                <w:rFonts w:ascii="Times New Roman" w:eastAsia="仿宋"/>
                <w:sz w:val="21"/>
                <w:szCs w:val="21"/>
              </w:rPr>
              <w:t>1.91%</w:t>
            </w:r>
          </w:p>
        </w:tc>
      </w:tr>
      <w:tr w14:paraId="2F5B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6ACB704">
            <w:pPr>
              <w:widowControl/>
              <w:jc w:val="center"/>
              <w:rPr>
                <w:rFonts w:ascii="Times New Roman" w:eastAsia="仿宋"/>
                <w:sz w:val="21"/>
                <w:szCs w:val="21"/>
              </w:rPr>
            </w:pPr>
            <w:r>
              <w:rPr>
                <w:rFonts w:ascii="Times New Roman" w:eastAsia="仿宋"/>
                <w:sz w:val="21"/>
                <w:szCs w:val="21"/>
              </w:rPr>
              <w:t>20</w:t>
            </w:r>
          </w:p>
        </w:tc>
        <w:tc>
          <w:tcPr>
            <w:tcW w:w="1278" w:type="pct"/>
            <w:shd w:val="clear" w:color="auto" w:fill="auto"/>
            <w:noWrap/>
            <w:vAlign w:val="center"/>
          </w:tcPr>
          <w:p w14:paraId="7E1952AC">
            <w:pPr>
              <w:widowControl/>
              <w:jc w:val="center"/>
              <w:rPr>
                <w:rFonts w:ascii="Times New Roman" w:eastAsia="仿宋"/>
                <w:sz w:val="21"/>
                <w:szCs w:val="21"/>
              </w:rPr>
            </w:pPr>
            <w:r>
              <w:rPr>
                <w:rFonts w:ascii="Times New Roman" w:eastAsia="仿宋"/>
                <w:sz w:val="21"/>
                <w:szCs w:val="21"/>
              </w:rPr>
              <w:t>常州市金坛建明机械制造厂（普通合伙）</w:t>
            </w:r>
          </w:p>
        </w:tc>
        <w:tc>
          <w:tcPr>
            <w:tcW w:w="407" w:type="pct"/>
            <w:shd w:val="clear" w:color="auto" w:fill="auto"/>
            <w:noWrap/>
            <w:vAlign w:val="center"/>
          </w:tcPr>
          <w:p w14:paraId="675C22C6">
            <w:pPr>
              <w:widowControl/>
              <w:jc w:val="center"/>
              <w:rPr>
                <w:rFonts w:ascii="Times New Roman" w:eastAsia="仿宋"/>
                <w:sz w:val="21"/>
                <w:szCs w:val="21"/>
              </w:rPr>
            </w:pPr>
            <w:r>
              <w:rPr>
                <w:rFonts w:ascii="Times New Roman" w:eastAsia="仿宋"/>
                <w:sz w:val="21"/>
                <w:szCs w:val="21"/>
              </w:rPr>
              <w:t>46.55333</w:t>
            </w:r>
          </w:p>
        </w:tc>
        <w:tc>
          <w:tcPr>
            <w:tcW w:w="306" w:type="pct"/>
            <w:shd w:val="clear" w:color="auto" w:fill="auto"/>
            <w:noWrap/>
            <w:vAlign w:val="center"/>
          </w:tcPr>
          <w:p w14:paraId="3C758D3C">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7AA87A1E">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F621C20">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23E1F78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4AC2A9F6">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26D5F7D2">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BB5DCFB">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3E8B57AE">
            <w:pPr>
              <w:widowControl/>
              <w:jc w:val="center"/>
              <w:rPr>
                <w:rFonts w:ascii="Times New Roman" w:eastAsia="仿宋"/>
                <w:sz w:val="21"/>
                <w:szCs w:val="21"/>
              </w:rPr>
            </w:pPr>
            <w:r>
              <w:rPr>
                <w:rFonts w:ascii="Times New Roman" w:eastAsia="仿宋"/>
                <w:sz w:val="21"/>
                <w:szCs w:val="21"/>
              </w:rPr>
              <w:t>46.55333</w:t>
            </w:r>
          </w:p>
        </w:tc>
        <w:tc>
          <w:tcPr>
            <w:tcW w:w="308" w:type="pct"/>
            <w:shd w:val="clear" w:color="auto" w:fill="auto"/>
            <w:noWrap/>
            <w:vAlign w:val="center"/>
          </w:tcPr>
          <w:p w14:paraId="74292D3E">
            <w:pPr>
              <w:widowControl/>
              <w:jc w:val="center"/>
              <w:rPr>
                <w:rFonts w:ascii="Times New Roman" w:eastAsia="仿宋"/>
                <w:sz w:val="21"/>
                <w:szCs w:val="21"/>
              </w:rPr>
            </w:pPr>
            <w:r>
              <w:rPr>
                <w:rFonts w:ascii="Times New Roman" w:eastAsia="仿宋"/>
                <w:sz w:val="21"/>
                <w:szCs w:val="21"/>
              </w:rPr>
              <w:t>9.72%</w:t>
            </w:r>
          </w:p>
        </w:tc>
      </w:tr>
      <w:tr w14:paraId="7954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56E26305">
            <w:pPr>
              <w:widowControl/>
              <w:jc w:val="center"/>
              <w:rPr>
                <w:rFonts w:ascii="Times New Roman" w:eastAsia="仿宋"/>
                <w:sz w:val="21"/>
                <w:szCs w:val="21"/>
              </w:rPr>
            </w:pPr>
            <w:r>
              <w:rPr>
                <w:rFonts w:ascii="Times New Roman" w:eastAsia="仿宋"/>
                <w:sz w:val="21"/>
                <w:szCs w:val="21"/>
              </w:rPr>
              <w:t>21</w:t>
            </w:r>
          </w:p>
        </w:tc>
        <w:tc>
          <w:tcPr>
            <w:tcW w:w="1278" w:type="pct"/>
            <w:shd w:val="clear" w:color="auto" w:fill="auto"/>
            <w:noWrap/>
            <w:vAlign w:val="center"/>
          </w:tcPr>
          <w:p w14:paraId="4AC6044E">
            <w:pPr>
              <w:widowControl/>
              <w:jc w:val="center"/>
              <w:rPr>
                <w:rFonts w:ascii="Times New Roman" w:eastAsia="仿宋"/>
                <w:sz w:val="21"/>
                <w:szCs w:val="21"/>
              </w:rPr>
            </w:pPr>
            <w:r>
              <w:rPr>
                <w:rFonts w:ascii="Times New Roman" w:eastAsia="仿宋"/>
                <w:sz w:val="21"/>
                <w:szCs w:val="21"/>
              </w:rPr>
              <w:t>常州新瑞卫生用品有限公司</w:t>
            </w:r>
          </w:p>
        </w:tc>
        <w:tc>
          <w:tcPr>
            <w:tcW w:w="407" w:type="pct"/>
            <w:shd w:val="clear" w:color="auto" w:fill="auto"/>
            <w:noWrap/>
            <w:vAlign w:val="center"/>
          </w:tcPr>
          <w:p w14:paraId="709855DC">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7CC8C11E">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58A395BA">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7550A7D">
            <w:pPr>
              <w:widowControl/>
              <w:jc w:val="center"/>
              <w:rPr>
                <w:rFonts w:ascii="Times New Roman" w:eastAsia="仿宋"/>
                <w:sz w:val="21"/>
                <w:szCs w:val="21"/>
              </w:rPr>
            </w:pPr>
            <w:r>
              <w:rPr>
                <w:rFonts w:ascii="Times New Roman" w:eastAsia="仿宋"/>
                <w:sz w:val="21"/>
                <w:szCs w:val="21"/>
              </w:rPr>
              <w:t>0.0185</w:t>
            </w:r>
          </w:p>
        </w:tc>
        <w:tc>
          <w:tcPr>
            <w:tcW w:w="322" w:type="pct"/>
            <w:shd w:val="clear" w:color="auto" w:fill="auto"/>
            <w:noWrap/>
            <w:vAlign w:val="center"/>
          </w:tcPr>
          <w:p w14:paraId="30A50AB3">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0D9E70D7">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6FA758CE">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FB8C868">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1B5939A6">
            <w:pPr>
              <w:widowControl/>
              <w:jc w:val="center"/>
              <w:rPr>
                <w:rFonts w:ascii="Times New Roman" w:eastAsia="仿宋"/>
                <w:sz w:val="21"/>
                <w:szCs w:val="21"/>
              </w:rPr>
            </w:pPr>
            <w:r>
              <w:rPr>
                <w:rFonts w:ascii="Times New Roman" w:eastAsia="仿宋"/>
                <w:sz w:val="21"/>
                <w:szCs w:val="21"/>
              </w:rPr>
              <w:t>0.0185</w:t>
            </w:r>
          </w:p>
        </w:tc>
        <w:tc>
          <w:tcPr>
            <w:tcW w:w="308" w:type="pct"/>
            <w:shd w:val="clear" w:color="auto" w:fill="auto"/>
            <w:noWrap/>
            <w:vAlign w:val="center"/>
          </w:tcPr>
          <w:p w14:paraId="000A03C2">
            <w:pPr>
              <w:widowControl/>
              <w:jc w:val="center"/>
              <w:rPr>
                <w:rFonts w:ascii="Times New Roman" w:eastAsia="仿宋"/>
                <w:sz w:val="21"/>
                <w:szCs w:val="21"/>
              </w:rPr>
            </w:pPr>
            <w:r>
              <w:rPr>
                <w:rFonts w:ascii="Times New Roman" w:eastAsia="仿宋"/>
                <w:sz w:val="21"/>
                <w:szCs w:val="21"/>
              </w:rPr>
              <w:t>0.00%</w:t>
            </w:r>
          </w:p>
        </w:tc>
      </w:tr>
      <w:tr w14:paraId="3D2A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1779FA3">
            <w:pPr>
              <w:widowControl/>
              <w:jc w:val="center"/>
              <w:rPr>
                <w:rFonts w:ascii="Times New Roman" w:eastAsia="仿宋"/>
                <w:sz w:val="21"/>
                <w:szCs w:val="21"/>
              </w:rPr>
            </w:pPr>
            <w:r>
              <w:rPr>
                <w:rFonts w:ascii="Times New Roman" w:eastAsia="仿宋"/>
                <w:sz w:val="21"/>
                <w:szCs w:val="21"/>
              </w:rPr>
              <w:t>22</w:t>
            </w:r>
          </w:p>
        </w:tc>
        <w:tc>
          <w:tcPr>
            <w:tcW w:w="1278" w:type="pct"/>
            <w:shd w:val="clear" w:color="auto" w:fill="auto"/>
            <w:noWrap/>
            <w:vAlign w:val="center"/>
          </w:tcPr>
          <w:p w14:paraId="1C9A6E9C">
            <w:pPr>
              <w:widowControl/>
              <w:jc w:val="center"/>
              <w:rPr>
                <w:rFonts w:ascii="Times New Roman" w:eastAsia="仿宋"/>
                <w:sz w:val="21"/>
                <w:szCs w:val="21"/>
              </w:rPr>
            </w:pPr>
            <w:r>
              <w:rPr>
                <w:rFonts w:ascii="Times New Roman" w:eastAsia="仿宋"/>
                <w:sz w:val="21"/>
                <w:szCs w:val="21"/>
              </w:rPr>
              <w:t>江苏天潭科技材料有限公司</w:t>
            </w:r>
          </w:p>
        </w:tc>
        <w:tc>
          <w:tcPr>
            <w:tcW w:w="407" w:type="pct"/>
            <w:shd w:val="clear" w:color="auto" w:fill="auto"/>
            <w:noWrap/>
            <w:vAlign w:val="center"/>
          </w:tcPr>
          <w:p w14:paraId="6AAF2792">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63855C6D">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7D19D72">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158128E5">
            <w:pPr>
              <w:widowControl/>
              <w:jc w:val="center"/>
              <w:rPr>
                <w:rFonts w:ascii="Times New Roman" w:eastAsia="仿宋"/>
                <w:sz w:val="21"/>
                <w:szCs w:val="21"/>
              </w:rPr>
            </w:pPr>
            <w:r>
              <w:rPr>
                <w:rFonts w:ascii="Times New Roman" w:eastAsia="仿宋"/>
                <w:sz w:val="21"/>
                <w:szCs w:val="21"/>
              </w:rPr>
              <w:t>0.25</w:t>
            </w:r>
          </w:p>
        </w:tc>
        <w:tc>
          <w:tcPr>
            <w:tcW w:w="322" w:type="pct"/>
            <w:shd w:val="clear" w:color="auto" w:fill="auto"/>
            <w:noWrap/>
            <w:vAlign w:val="center"/>
          </w:tcPr>
          <w:p w14:paraId="0BCCC0EE">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51AEA4BA">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380167DF">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43C6DB54">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0C45F67A">
            <w:pPr>
              <w:widowControl/>
              <w:jc w:val="center"/>
              <w:rPr>
                <w:rFonts w:ascii="Times New Roman" w:eastAsia="仿宋"/>
                <w:sz w:val="21"/>
                <w:szCs w:val="21"/>
              </w:rPr>
            </w:pPr>
            <w:r>
              <w:rPr>
                <w:rFonts w:ascii="Times New Roman" w:eastAsia="仿宋"/>
                <w:sz w:val="21"/>
                <w:szCs w:val="21"/>
              </w:rPr>
              <w:t>0.25</w:t>
            </w:r>
          </w:p>
        </w:tc>
        <w:tc>
          <w:tcPr>
            <w:tcW w:w="308" w:type="pct"/>
            <w:shd w:val="clear" w:color="auto" w:fill="auto"/>
            <w:noWrap/>
            <w:vAlign w:val="center"/>
          </w:tcPr>
          <w:p w14:paraId="0A2FA71E">
            <w:pPr>
              <w:widowControl/>
              <w:jc w:val="center"/>
              <w:rPr>
                <w:rFonts w:ascii="Times New Roman" w:eastAsia="仿宋"/>
                <w:sz w:val="21"/>
                <w:szCs w:val="21"/>
              </w:rPr>
            </w:pPr>
            <w:r>
              <w:rPr>
                <w:rFonts w:ascii="Times New Roman" w:eastAsia="仿宋"/>
                <w:sz w:val="21"/>
                <w:szCs w:val="21"/>
              </w:rPr>
              <w:t>0.05%</w:t>
            </w:r>
          </w:p>
        </w:tc>
      </w:tr>
      <w:tr w14:paraId="13D2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5D269B97">
            <w:pPr>
              <w:widowControl/>
              <w:jc w:val="center"/>
              <w:rPr>
                <w:rFonts w:ascii="Times New Roman" w:eastAsia="仿宋"/>
                <w:sz w:val="21"/>
                <w:szCs w:val="21"/>
              </w:rPr>
            </w:pPr>
            <w:r>
              <w:rPr>
                <w:rFonts w:ascii="Times New Roman" w:eastAsia="仿宋"/>
                <w:sz w:val="21"/>
                <w:szCs w:val="21"/>
              </w:rPr>
              <w:t>23</w:t>
            </w:r>
          </w:p>
        </w:tc>
        <w:tc>
          <w:tcPr>
            <w:tcW w:w="1278" w:type="pct"/>
            <w:shd w:val="clear" w:color="auto" w:fill="auto"/>
            <w:noWrap/>
            <w:vAlign w:val="center"/>
          </w:tcPr>
          <w:p w14:paraId="3377417D">
            <w:pPr>
              <w:widowControl/>
              <w:jc w:val="center"/>
              <w:rPr>
                <w:rFonts w:ascii="Times New Roman" w:eastAsia="仿宋"/>
                <w:sz w:val="21"/>
                <w:szCs w:val="21"/>
              </w:rPr>
            </w:pPr>
            <w:r>
              <w:rPr>
                <w:rFonts w:ascii="Times New Roman" w:eastAsia="仿宋"/>
                <w:sz w:val="21"/>
                <w:szCs w:val="21"/>
              </w:rPr>
              <w:t>常州洮湖机械有限公司</w:t>
            </w:r>
          </w:p>
        </w:tc>
        <w:tc>
          <w:tcPr>
            <w:tcW w:w="407" w:type="pct"/>
            <w:shd w:val="clear" w:color="auto" w:fill="auto"/>
            <w:noWrap/>
            <w:vAlign w:val="center"/>
          </w:tcPr>
          <w:p w14:paraId="135ECC00">
            <w:pPr>
              <w:widowControl/>
              <w:jc w:val="center"/>
              <w:rPr>
                <w:rFonts w:ascii="Times New Roman" w:eastAsia="仿宋"/>
                <w:sz w:val="21"/>
                <w:szCs w:val="21"/>
              </w:rPr>
            </w:pPr>
            <w:r>
              <w:rPr>
                <w:rFonts w:ascii="Times New Roman" w:eastAsia="仿宋"/>
                <w:sz w:val="21"/>
                <w:szCs w:val="21"/>
              </w:rPr>
              <w:t>0.086667</w:t>
            </w:r>
          </w:p>
        </w:tc>
        <w:tc>
          <w:tcPr>
            <w:tcW w:w="306" w:type="pct"/>
            <w:shd w:val="clear" w:color="auto" w:fill="auto"/>
            <w:noWrap/>
            <w:vAlign w:val="center"/>
          </w:tcPr>
          <w:p w14:paraId="356E860F">
            <w:pPr>
              <w:widowControl/>
              <w:jc w:val="center"/>
              <w:rPr>
                <w:rFonts w:ascii="Times New Roman" w:eastAsia="仿宋"/>
                <w:sz w:val="21"/>
                <w:szCs w:val="21"/>
              </w:rPr>
            </w:pPr>
            <w:r>
              <w:rPr>
                <w:rFonts w:ascii="Times New Roman" w:eastAsia="仿宋"/>
                <w:sz w:val="21"/>
                <w:szCs w:val="21"/>
              </w:rPr>
              <w:t>0.04</w:t>
            </w:r>
          </w:p>
        </w:tc>
        <w:tc>
          <w:tcPr>
            <w:tcW w:w="357" w:type="pct"/>
            <w:shd w:val="clear" w:color="auto" w:fill="auto"/>
            <w:noWrap/>
            <w:vAlign w:val="center"/>
          </w:tcPr>
          <w:p w14:paraId="730DF098">
            <w:pPr>
              <w:widowControl/>
              <w:jc w:val="center"/>
              <w:rPr>
                <w:rFonts w:ascii="Times New Roman" w:eastAsia="仿宋"/>
                <w:sz w:val="21"/>
                <w:szCs w:val="21"/>
              </w:rPr>
            </w:pPr>
            <w:r>
              <w:rPr>
                <w:rFonts w:ascii="Times New Roman" w:eastAsia="仿宋"/>
                <w:sz w:val="21"/>
                <w:szCs w:val="21"/>
              </w:rPr>
              <w:t>0.84</w:t>
            </w:r>
          </w:p>
        </w:tc>
        <w:tc>
          <w:tcPr>
            <w:tcW w:w="357" w:type="pct"/>
            <w:shd w:val="clear" w:color="auto" w:fill="auto"/>
            <w:noWrap/>
            <w:vAlign w:val="center"/>
          </w:tcPr>
          <w:p w14:paraId="14D116F0">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22E99D25">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2B52A04E">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6938CC33">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AE94F14">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42A898B1">
            <w:pPr>
              <w:widowControl/>
              <w:jc w:val="center"/>
              <w:rPr>
                <w:rFonts w:ascii="Times New Roman" w:eastAsia="仿宋"/>
                <w:sz w:val="21"/>
                <w:szCs w:val="21"/>
              </w:rPr>
            </w:pPr>
            <w:r>
              <w:rPr>
                <w:rFonts w:ascii="Times New Roman" w:eastAsia="仿宋"/>
                <w:sz w:val="21"/>
                <w:szCs w:val="21"/>
              </w:rPr>
              <w:t>0.966667</w:t>
            </w:r>
          </w:p>
        </w:tc>
        <w:tc>
          <w:tcPr>
            <w:tcW w:w="308" w:type="pct"/>
            <w:shd w:val="clear" w:color="auto" w:fill="auto"/>
            <w:noWrap/>
            <w:vAlign w:val="center"/>
          </w:tcPr>
          <w:p w14:paraId="4FCD0F5A">
            <w:pPr>
              <w:widowControl/>
              <w:jc w:val="center"/>
              <w:rPr>
                <w:rFonts w:ascii="Times New Roman" w:eastAsia="仿宋"/>
                <w:sz w:val="21"/>
                <w:szCs w:val="21"/>
              </w:rPr>
            </w:pPr>
            <w:r>
              <w:rPr>
                <w:rFonts w:ascii="Times New Roman" w:eastAsia="仿宋"/>
                <w:sz w:val="21"/>
                <w:szCs w:val="21"/>
              </w:rPr>
              <w:t>0.20%</w:t>
            </w:r>
          </w:p>
        </w:tc>
      </w:tr>
      <w:tr w14:paraId="2164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648F9A2C">
            <w:pPr>
              <w:widowControl/>
              <w:jc w:val="center"/>
              <w:rPr>
                <w:rFonts w:ascii="Times New Roman" w:eastAsia="仿宋"/>
                <w:sz w:val="21"/>
                <w:szCs w:val="21"/>
              </w:rPr>
            </w:pPr>
            <w:r>
              <w:rPr>
                <w:rFonts w:ascii="Times New Roman" w:eastAsia="仿宋"/>
                <w:sz w:val="21"/>
                <w:szCs w:val="21"/>
              </w:rPr>
              <w:t>24</w:t>
            </w:r>
          </w:p>
        </w:tc>
        <w:tc>
          <w:tcPr>
            <w:tcW w:w="1278" w:type="pct"/>
            <w:shd w:val="clear" w:color="auto" w:fill="auto"/>
            <w:noWrap/>
            <w:vAlign w:val="center"/>
          </w:tcPr>
          <w:p w14:paraId="09981939">
            <w:pPr>
              <w:widowControl/>
              <w:jc w:val="center"/>
              <w:rPr>
                <w:rFonts w:ascii="Times New Roman" w:eastAsia="仿宋"/>
                <w:sz w:val="21"/>
                <w:szCs w:val="21"/>
              </w:rPr>
            </w:pPr>
            <w:r>
              <w:rPr>
                <w:rFonts w:ascii="Times New Roman" w:eastAsia="仿宋"/>
                <w:sz w:val="21"/>
                <w:szCs w:val="21"/>
              </w:rPr>
              <w:t>江苏巨晶新材料科技有限公司</w:t>
            </w:r>
          </w:p>
        </w:tc>
        <w:tc>
          <w:tcPr>
            <w:tcW w:w="407" w:type="pct"/>
            <w:shd w:val="clear" w:color="auto" w:fill="auto"/>
            <w:noWrap/>
            <w:vAlign w:val="center"/>
          </w:tcPr>
          <w:p w14:paraId="7B28903A">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669636BC">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A2C364E">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5EDD3ACE">
            <w:pPr>
              <w:widowControl/>
              <w:jc w:val="center"/>
              <w:rPr>
                <w:rFonts w:ascii="Times New Roman" w:eastAsia="仿宋"/>
                <w:sz w:val="21"/>
                <w:szCs w:val="21"/>
              </w:rPr>
            </w:pPr>
            <w:r>
              <w:rPr>
                <w:rFonts w:ascii="Times New Roman" w:eastAsia="仿宋"/>
                <w:sz w:val="21"/>
                <w:szCs w:val="21"/>
              </w:rPr>
              <w:t>0.0002</w:t>
            </w:r>
          </w:p>
        </w:tc>
        <w:tc>
          <w:tcPr>
            <w:tcW w:w="322" w:type="pct"/>
            <w:shd w:val="clear" w:color="auto" w:fill="auto"/>
            <w:noWrap/>
            <w:vAlign w:val="center"/>
          </w:tcPr>
          <w:p w14:paraId="66912079">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10327E54">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717100F8">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3A0594BB">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37C4179E">
            <w:pPr>
              <w:widowControl/>
              <w:jc w:val="center"/>
              <w:rPr>
                <w:rFonts w:ascii="Times New Roman" w:eastAsia="仿宋"/>
                <w:sz w:val="21"/>
                <w:szCs w:val="21"/>
              </w:rPr>
            </w:pPr>
            <w:r>
              <w:rPr>
                <w:rFonts w:ascii="Times New Roman" w:eastAsia="仿宋"/>
                <w:sz w:val="21"/>
                <w:szCs w:val="21"/>
              </w:rPr>
              <w:t>0.0002</w:t>
            </w:r>
          </w:p>
        </w:tc>
        <w:tc>
          <w:tcPr>
            <w:tcW w:w="308" w:type="pct"/>
            <w:shd w:val="clear" w:color="auto" w:fill="auto"/>
            <w:noWrap/>
            <w:vAlign w:val="center"/>
          </w:tcPr>
          <w:p w14:paraId="2D6D6252">
            <w:pPr>
              <w:widowControl/>
              <w:jc w:val="center"/>
              <w:rPr>
                <w:rFonts w:ascii="Times New Roman" w:eastAsia="仿宋"/>
                <w:sz w:val="21"/>
                <w:szCs w:val="21"/>
              </w:rPr>
            </w:pPr>
            <w:r>
              <w:rPr>
                <w:rFonts w:ascii="Times New Roman" w:eastAsia="仿宋"/>
                <w:sz w:val="21"/>
                <w:szCs w:val="21"/>
              </w:rPr>
              <w:t>0.00%</w:t>
            </w:r>
          </w:p>
        </w:tc>
      </w:tr>
      <w:tr w14:paraId="0093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4A1CEAC3">
            <w:pPr>
              <w:widowControl/>
              <w:jc w:val="center"/>
              <w:rPr>
                <w:rFonts w:ascii="Times New Roman" w:eastAsia="仿宋"/>
                <w:sz w:val="21"/>
                <w:szCs w:val="21"/>
              </w:rPr>
            </w:pPr>
            <w:r>
              <w:rPr>
                <w:rFonts w:ascii="Times New Roman" w:eastAsia="仿宋"/>
                <w:sz w:val="21"/>
                <w:szCs w:val="21"/>
              </w:rPr>
              <w:t>25</w:t>
            </w:r>
          </w:p>
        </w:tc>
        <w:tc>
          <w:tcPr>
            <w:tcW w:w="1278" w:type="pct"/>
            <w:shd w:val="clear" w:color="auto" w:fill="auto"/>
            <w:noWrap/>
            <w:vAlign w:val="center"/>
          </w:tcPr>
          <w:p w14:paraId="7BBDD6EE">
            <w:pPr>
              <w:widowControl/>
              <w:jc w:val="center"/>
              <w:rPr>
                <w:rFonts w:ascii="Times New Roman" w:eastAsia="仿宋"/>
                <w:sz w:val="21"/>
                <w:szCs w:val="21"/>
              </w:rPr>
            </w:pPr>
            <w:r>
              <w:rPr>
                <w:rFonts w:ascii="Times New Roman" w:eastAsia="仿宋"/>
                <w:sz w:val="21"/>
                <w:szCs w:val="21"/>
              </w:rPr>
              <w:t>江苏应天光电科技有限公司</w:t>
            </w:r>
          </w:p>
        </w:tc>
        <w:tc>
          <w:tcPr>
            <w:tcW w:w="407" w:type="pct"/>
            <w:shd w:val="clear" w:color="auto" w:fill="auto"/>
            <w:noWrap/>
            <w:vAlign w:val="center"/>
          </w:tcPr>
          <w:p w14:paraId="15A78005">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16938DC7">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81E9A79">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461DE74E">
            <w:pPr>
              <w:widowControl/>
              <w:jc w:val="center"/>
              <w:rPr>
                <w:rFonts w:ascii="Times New Roman" w:eastAsia="仿宋"/>
                <w:sz w:val="21"/>
                <w:szCs w:val="21"/>
              </w:rPr>
            </w:pPr>
            <w:r>
              <w:rPr>
                <w:rFonts w:ascii="Times New Roman" w:eastAsia="仿宋"/>
                <w:sz w:val="21"/>
                <w:szCs w:val="21"/>
              </w:rPr>
              <w:t>0.0095</w:t>
            </w:r>
          </w:p>
        </w:tc>
        <w:tc>
          <w:tcPr>
            <w:tcW w:w="322" w:type="pct"/>
            <w:shd w:val="clear" w:color="auto" w:fill="auto"/>
            <w:noWrap/>
            <w:vAlign w:val="center"/>
          </w:tcPr>
          <w:p w14:paraId="660C8864">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31C746B5">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68E8660">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55EFF064">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5751AC2F">
            <w:pPr>
              <w:widowControl/>
              <w:jc w:val="center"/>
              <w:rPr>
                <w:rFonts w:ascii="Times New Roman" w:eastAsia="仿宋"/>
                <w:sz w:val="21"/>
                <w:szCs w:val="21"/>
              </w:rPr>
            </w:pPr>
            <w:r>
              <w:rPr>
                <w:rFonts w:ascii="Times New Roman" w:eastAsia="仿宋"/>
                <w:sz w:val="21"/>
                <w:szCs w:val="21"/>
              </w:rPr>
              <w:t>0.0095</w:t>
            </w:r>
          </w:p>
        </w:tc>
        <w:tc>
          <w:tcPr>
            <w:tcW w:w="308" w:type="pct"/>
            <w:shd w:val="clear" w:color="auto" w:fill="auto"/>
            <w:noWrap/>
            <w:vAlign w:val="center"/>
          </w:tcPr>
          <w:p w14:paraId="5C97DE12">
            <w:pPr>
              <w:widowControl/>
              <w:jc w:val="center"/>
              <w:rPr>
                <w:rFonts w:ascii="Times New Roman" w:eastAsia="仿宋"/>
                <w:sz w:val="21"/>
                <w:szCs w:val="21"/>
              </w:rPr>
            </w:pPr>
            <w:r>
              <w:rPr>
                <w:rFonts w:ascii="Times New Roman" w:eastAsia="仿宋"/>
                <w:sz w:val="21"/>
                <w:szCs w:val="21"/>
              </w:rPr>
              <w:t>0.00%</w:t>
            </w:r>
          </w:p>
        </w:tc>
      </w:tr>
      <w:tr w14:paraId="7500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0A8C2E24">
            <w:pPr>
              <w:widowControl/>
              <w:jc w:val="center"/>
              <w:rPr>
                <w:rFonts w:ascii="Times New Roman" w:eastAsia="仿宋"/>
                <w:sz w:val="21"/>
                <w:szCs w:val="21"/>
              </w:rPr>
            </w:pPr>
            <w:r>
              <w:rPr>
                <w:rFonts w:ascii="Times New Roman" w:eastAsia="仿宋"/>
                <w:sz w:val="21"/>
                <w:szCs w:val="21"/>
              </w:rPr>
              <w:t>26</w:t>
            </w:r>
          </w:p>
        </w:tc>
        <w:tc>
          <w:tcPr>
            <w:tcW w:w="1278" w:type="pct"/>
            <w:shd w:val="clear" w:color="auto" w:fill="auto"/>
            <w:noWrap/>
            <w:vAlign w:val="center"/>
          </w:tcPr>
          <w:p w14:paraId="030EC189">
            <w:pPr>
              <w:widowControl/>
              <w:jc w:val="center"/>
              <w:rPr>
                <w:rFonts w:ascii="Times New Roman" w:eastAsia="仿宋"/>
                <w:sz w:val="21"/>
                <w:szCs w:val="21"/>
              </w:rPr>
            </w:pPr>
            <w:r>
              <w:rPr>
                <w:rFonts w:ascii="Times New Roman" w:eastAsia="仿宋"/>
                <w:sz w:val="21"/>
                <w:szCs w:val="21"/>
              </w:rPr>
              <w:t>常州品禾金属制品有限公司</w:t>
            </w:r>
          </w:p>
        </w:tc>
        <w:tc>
          <w:tcPr>
            <w:tcW w:w="407" w:type="pct"/>
            <w:shd w:val="clear" w:color="auto" w:fill="auto"/>
            <w:noWrap/>
            <w:vAlign w:val="center"/>
          </w:tcPr>
          <w:p w14:paraId="202B25BC">
            <w:pPr>
              <w:widowControl/>
              <w:jc w:val="center"/>
              <w:rPr>
                <w:rFonts w:ascii="Times New Roman" w:eastAsia="仿宋"/>
                <w:sz w:val="21"/>
                <w:szCs w:val="21"/>
              </w:rPr>
            </w:pPr>
            <w:r>
              <w:rPr>
                <w:rFonts w:ascii="Times New Roman" w:eastAsia="仿宋"/>
                <w:sz w:val="21"/>
                <w:szCs w:val="21"/>
              </w:rPr>
              <w:t>3.253333</w:t>
            </w:r>
          </w:p>
        </w:tc>
        <w:tc>
          <w:tcPr>
            <w:tcW w:w="306" w:type="pct"/>
            <w:shd w:val="clear" w:color="auto" w:fill="auto"/>
            <w:noWrap/>
            <w:vAlign w:val="center"/>
          </w:tcPr>
          <w:p w14:paraId="0A970441">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248CD1B6">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7289809D">
            <w:pPr>
              <w:widowControl/>
              <w:jc w:val="center"/>
              <w:rPr>
                <w:rFonts w:ascii="Times New Roman" w:eastAsia="仿宋"/>
                <w:sz w:val="21"/>
                <w:szCs w:val="21"/>
              </w:rPr>
            </w:pPr>
            <w:r>
              <w:rPr>
                <w:rFonts w:ascii="Times New Roman" w:eastAsia="仿宋"/>
                <w:sz w:val="21"/>
                <w:szCs w:val="21"/>
              </w:rPr>
              <w:t>/</w:t>
            </w:r>
          </w:p>
        </w:tc>
        <w:tc>
          <w:tcPr>
            <w:tcW w:w="322" w:type="pct"/>
            <w:shd w:val="clear" w:color="auto" w:fill="auto"/>
            <w:noWrap/>
            <w:vAlign w:val="center"/>
          </w:tcPr>
          <w:p w14:paraId="69BBB035">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2D591A1D">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24346D7">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B80DDB8">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16FC9453">
            <w:pPr>
              <w:widowControl/>
              <w:jc w:val="center"/>
              <w:rPr>
                <w:rFonts w:ascii="Times New Roman" w:eastAsia="仿宋"/>
                <w:sz w:val="21"/>
                <w:szCs w:val="21"/>
              </w:rPr>
            </w:pPr>
            <w:r>
              <w:rPr>
                <w:rFonts w:ascii="Times New Roman" w:eastAsia="仿宋"/>
                <w:sz w:val="21"/>
                <w:szCs w:val="21"/>
              </w:rPr>
              <w:t>3.253333</w:t>
            </w:r>
          </w:p>
        </w:tc>
        <w:tc>
          <w:tcPr>
            <w:tcW w:w="308" w:type="pct"/>
            <w:shd w:val="clear" w:color="auto" w:fill="auto"/>
            <w:noWrap/>
            <w:vAlign w:val="center"/>
          </w:tcPr>
          <w:p w14:paraId="21BC763A">
            <w:pPr>
              <w:widowControl/>
              <w:jc w:val="center"/>
              <w:rPr>
                <w:rFonts w:ascii="Times New Roman" w:eastAsia="仿宋"/>
                <w:sz w:val="21"/>
                <w:szCs w:val="21"/>
              </w:rPr>
            </w:pPr>
            <w:r>
              <w:rPr>
                <w:rFonts w:ascii="Times New Roman" w:eastAsia="仿宋"/>
                <w:sz w:val="21"/>
                <w:szCs w:val="21"/>
              </w:rPr>
              <w:t>0.68%</w:t>
            </w:r>
          </w:p>
        </w:tc>
      </w:tr>
      <w:tr w14:paraId="63C9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1719AF21">
            <w:pPr>
              <w:widowControl/>
              <w:jc w:val="center"/>
              <w:rPr>
                <w:rFonts w:ascii="Times New Roman" w:eastAsia="仿宋"/>
                <w:sz w:val="21"/>
                <w:szCs w:val="21"/>
              </w:rPr>
            </w:pPr>
            <w:r>
              <w:rPr>
                <w:rFonts w:ascii="Times New Roman" w:eastAsia="仿宋"/>
                <w:sz w:val="21"/>
                <w:szCs w:val="21"/>
              </w:rPr>
              <w:t>27</w:t>
            </w:r>
          </w:p>
        </w:tc>
        <w:tc>
          <w:tcPr>
            <w:tcW w:w="1278" w:type="pct"/>
            <w:shd w:val="clear" w:color="auto" w:fill="auto"/>
            <w:noWrap/>
            <w:vAlign w:val="center"/>
          </w:tcPr>
          <w:p w14:paraId="3AB7053C">
            <w:pPr>
              <w:widowControl/>
              <w:jc w:val="center"/>
              <w:rPr>
                <w:rFonts w:ascii="Times New Roman" w:eastAsia="仿宋"/>
                <w:sz w:val="21"/>
                <w:szCs w:val="21"/>
              </w:rPr>
            </w:pPr>
            <w:r>
              <w:rPr>
                <w:rFonts w:ascii="Times New Roman" w:eastAsia="仿宋"/>
                <w:sz w:val="21"/>
                <w:szCs w:val="21"/>
              </w:rPr>
              <w:t>天成涂装系统（常州）有限公司</w:t>
            </w:r>
          </w:p>
        </w:tc>
        <w:tc>
          <w:tcPr>
            <w:tcW w:w="407" w:type="pct"/>
            <w:shd w:val="clear" w:color="auto" w:fill="auto"/>
            <w:noWrap/>
            <w:vAlign w:val="center"/>
          </w:tcPr>
          <w:p w14:paraId="08719A66">
            <w:pPr>
              <w:widowControl/>
              <w:jc w:val="center"/>
              <w:rPr>
                <w:rFonts w:ascii="Times New Roman" w:eastAsia="仿宋"/>
                <w:sz w:val="21"/>
                <w:szCs w:val="21"/>
              </w:rPr>
            </w:pPr>
            <w:r>
              <w:rPr>
                <w:rFonts w:ascii="Times New Roman" w:eastAsia="仿宋"/>
                <w:sz w:val="21"/>
                <w:szCs w:val="21"/>
              </w:rPr>
              <w:t>5.126667</w:t>
            </w:r>
          </w:p>
        </w:tc>
        <w:tc>
          <w:tcPr>
            <w:tcW w:w="306" w:type="pct"/>
            <w:shd w:val="clear" w:color="auto" w:fill="auto"/>
            <w:noWrap/>
            <w:vAlign w:val="center"/>
          </w:tcPr>
          <w:p w14:paraId="70D30AA6">
            <w:pPr>
              <w:widowControl/>
              <w:jc w:val="center"/>
              <w:rPr>
                <w:rFonts w:ascii="Times New Roman" w:eastAsia="仿宋"/>
                <w:sz w:val="21"/>
                <w:szCs w:val="21"/>
              </w:rPr>
            </w:pPr>
            <w:r>
              <w:rPr>
                <w:rFonts w:ascii="Times New Roman" w:eastAsia="仿宋"/>
                <w:sz w:val="21"/>
                <w:szCs w:val="21"/>
              </w:rPr>
              <w:t>0.016</w:t>
            </w:r>
          </w:p>
        </w:tc>
        <w:tc>
          <w:tcPr>
            <w:tcW w:w="357" w:type="pct"/>
            <w:shd w:val="clear" w:color="auto" w:fill="auto"/>
            <w:noWrap/>
            <w:vAlign w:val="center"/>
          </w:tcPr>
          <w:p w14:paraId="634A35C6">
            <w:pPr>
              <w:widowControl/>
              <w:jc w:val="center"/>
              <w:rPr>
                <w:rFonts w:ascii="Times New Roman" w:eastAsia="仿宋"/>
                <w:sz w:val="21"/>
                <w:szCs w:val="21"/>
              </w:rPr>
            </w:pPr>
            <w:r>
              <w:rPr>
                <w:rFonts w:ascii="Times New Roman" w:eastAsia="仿宋"/>
                <w:sz w:val="21"/>
                <w:szCs w:val="21"/>
              </w:rPr>
              <w:t>1.68</w:t>
            </w:r>
          </w:p>
        </w:tc>
        <w:tc>
          <w:tcPr>
            <w:tcW w:w="357" w:type="pct"/>
            <w:shd w:val="clear" w:color="auto" w:fill="auto"/>
            <w:noWrap/>
            <w:vAlign w:val="center"/>
          </w:tcPr>
          <w:p w14:paraId="14B545FE">
            <w:pPr>
              <w:widowControl/>
              <w:jc w:val="center"/>
              <w:rPr>
                <w:rFonts w:ascii="Times New Roman" w:eastAsia="仿宋"/>
                <w:sz w:val="21"/>
                <w:szCs w:val="21"/>
              </w:rPr>
            </w:pPr>
            <w:r>
              <w:rPr>
                <w:rFonts w:ascii="Times New Roman" w:eastAsia="仿宋"/>
                <w:sz w:val="21"/>
                <w:szCs w:val="21"/>
              </w:rPr>
              <w:t>0.3675</w:t>
            </w:r>
          </w:p>
        </w:tc>
        <w:tc>
          <w:tcPr>
            <w:tcW w:w="322" w:type="pct"/>
            <w:shd w:val="clear" w:color="auto" w:fill="auto"/>
            <w:noWrap/>
            <w:vAlign w:val="center"/>
          </w:tcPr>
          <w:p w14:paraId="4320FE2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02152664">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075E5B26">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500428F5">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605D2FB3">
            <w:pPr>
              <w:widowControl/>
              <w:jc w:val="center"/>
              <w:rPr>
                <w:rFonts w:ascii="Times New Roman" w:eastAsia="仿宋"/>
                <w:sz w:val="21"/>
                <w:szCs w:val="21"/>
              </w:rPr>
            </w:pPr>
            <w:r>
              <w:rPr>
                <w:rFonts w:ascii="Times New Roman" w:eastAsia="仿宋"/>
                <w:sz w:val="21"/>
                <w:szCs w:val="21"/>
              </w:rPr>
              <w:t>7.190167</w:t>
            </w:r>
          </w:p>
        </w:tc>
        <w:tc>
          <w:tcPr>
            <w:tcW w:w="308" w:type="pct"/>
            <w:shd w:val="clear" w:color="auto" w:fill="auto"/>
            <w:noWrap/>
            <w:vAlign w:val="center"/>
          </w:tcPr>
          <w:p w14:paraId="09620102">
            <w:pPr>
              <w:widowControl/>
              <w:jc w:val="center"/>
              <w:rPr>
                <w:rFonts w:ascii="Times New Roman" w:eastAsia="仿宋"/>
                <w:sz w:val="21"/>
                <w:szCs w:val="21"/>
              </w:rPr>
            </w:pPr>
            <w:r>
              <w:rPr>
                <w:rFonts w:ascii="Times New Roman" w:eastAsia="仿宋"/>
                <w:sz w:val="21"/>
                <w:szCs w:val="21"/>
              </w:rPr>
              <w:t>1.50%</w:t>
            </w:r>
          </w:p>
        </w:tc>
      </w:tr>
      <w:tr w14:paraId="1EBD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2C593F79">
            <w:pPr>
              <w:widowControl/>
              <w:jc w:val="center"/>
              <w:rPr>
                <w:rFonts w:ascii="Times New Roman" w:eastAsia="仿宋"/>
                <w:sz w:val="21"/>
                <w:szCs w:val="21"/>
              </w:rPr>
            </w:pPr>
            <w:r>
              <w:rPr>
                <w:rFonts w:ascii="Times New Roman" w:eastAsia="仿宋"/>
                <w:sz w:val="21"/>
                <w:szCs w:val="21"/>
              </w:rPr>
              <w:t>28</w:t>
            </w:r>
          </w:p>
        </w:tc>
        <w:tc>
          <w:tcPr>
            <w:tcW w:w="1278" w:type="pct"/>
            <w:shd w:val="clear" w:color="auto" w:fill="auto"/>
            <w:noWrap/>
            <w:vAlign w:val="center"/>
          </w:tcPr>
          <w:p w14:paraId="5F0FC518">
            <w:pPr>
              <w:widowControl/>
              <w:jc w:val="center"/>
              <w:rPr>
                <w:rFonts w:ascii="Times New Roman" w:eastAsia="仿宋"/>
                <w:sz w:val="21"/>
                <w:szCs w:val="21"/>
              </w:rPr>
            </w:pPr>
            <w:r>
              <w:rPr>
                <w:rFonts w:ascii="Times New Roman" w:eastAsia="仿宋"/>
                <w:sz w:val="21"/>
                <w:szCs w:val="21"/>
              </w:rPr>
              <w:t>江苏健裕健康医疗器械有限公司</w:t>
            </w:r>
          </w:p>
        </w:tc>
        <w:tc>
          <w:tcPr>
            <w:tcW w:w="407" w:type="pct"/>
            <w:shd w:val="clear" w:color="auto" w:fill="auto"/>
            <w:noWrap/>
            <w:vAlign w:val="center"/>
          </w:tcPr>
          <w:p w14:paraId="2A44F401">
            <w:pPr>
              <w:widowControl/>
              <w:jc w:val="center"/>
              <w:rPr>
                <w:rFonts w:ascii="Times New Roman" w:eastAsia="仿宋"/>
                <w:sz w:val="21"/>
                <w:szCs w:val="21"/>
              </w:rPr>
            </w:pPr>
            <w:r>
              <w:rPr>
                <w:rFonts w:ascii="Times New Roman" w:eastAsia="仿宋"/>
                <w:sz w:val="21"/>
                <w:szCs w:val="21"/>
              </w:rPr>
              <w:t>/</w:t>
            </w:r>
          </w:p>
        </w:tc>
        <w:tc>
          <w:tcPr>
            <w:tcW w:w="306" w:type="pct"/>
            <w:shd w:val="clear" w:color="auto" w:fill="auto"/>
            <w:noWrap/>
            <w:vAlign w:val="center"/>
          </w:tcPr>
          <w:p w14:paraId="4433E80A">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009A5A02">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19A117AD">
            <w:pPr>
              <w:widowControl/>
              <w:jc w:val="center"/>
              <w:rPr>
                <w:rFonts w:ascii="Times New Roman" w:eastAsia="仿宋"/>
                <w:sz w:val="21"/>
                <w:szCs w:val="21"/>
              </w:rPr>
            </w:pPr>
            <w:r>
              <w:rPr>
                <w:rFonts w:ascii="Times New Roman" w:eastAsia="仿宋"/>
                <w:sz w:val="21"/>
                <w:szCs w:val="21"/>
              </w:rPr>
              <w:t>0.1575</w:t>
            </w:r>
          </w:p>
        </w:tc>
        <w:tc>
          <w:tcPr>
            <w:tcW w:w="322" w:type="pct"/>
            <w:shd w:val="clear" w:color="auto" w:fill="auto"/>
            <w:noWrap/>
            <w:vAlign w:val="center"/>
          </w:tcPr>
          <w:p w14:paraId="5526BAAA">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6929082B">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5ED8B9CB">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05E958C6">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0FEBFE5B">
            <w:pPr>
              <w:widowControl/>
              <w:jc w:val="center"/>
              <w:rPr>
                <w:rFonts w:ascii="Times New Roman" w:eastAsia="仿宋"/>
                <w:sz w:val="21"/>
                <w:szCs w:val="21"/>
              </w:rPr>
            </w:pPr>
            <w:r>
              <w:rPr>
                <w:rFonts w:ascii="Times New Roman" w:eastAsia="仿宋"/>
                <w:sz w:val="21"/>
                <w:szCs w:val="21"/>
              </w:rPr>
              <w:t>0.1575</w:t>
            </w:r>
          </w:p>
        </w:tc>
        <w:tc>
          <w:tcPr>
            <w:tcW w:w="308" w:type="pct"/>
            <w:shd w:val="clear" w:color="auto" w:fill="auto"/>
            <w:noWrap/>
            <w:vAlign w:val="center"/>
          </w:tcPr>
          <w:p w14:paraId="4BCFE924">
            <w:pPr>
              <w:widowControl/>
              <w:jc w:val="center"/>
              <w:rPr>
                <w:rFonts w:ascii="Times New Roman" w:eastAsia="仿宋"/>
                <w:sz w:val="21"/>
                <w:szCs w:val="21"/>
              </w:rPr>
            </w:pPr>
            <w:r>
              <w:rPr>
                <w:rFonts w:ascii="Times New Roman" w:eastAsia="仿宋"/>
                <w:sz w:val="21"/>
                <w:szCs w:val="21"/>
              </w:rPr>
              <w:t>0.03%</w:t>
            </w:r>
          </w:p>
        </w:tc>
      </w:tr>
      <w:tr w14:paraId="1690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4" w:type="pct"/>
            <w:shd w:val="clear" w:color="auto" w:fill="auto"/>
            <w:vAlign w:val="center"/>
          </w:tcPr>
          <w:p w14:paraId="16931171">
            <w:pPr>
              <w:widowControl/>
              <w:jc w:val="center"/>
              <w:rPr>
                <w:rFonts w:ascii="Times New Roman" w:eastAsia="仿宋"/>
                <w:sz w:val="21"/>
                <w:szCs w:val="21"/>
              </w:rPr>
            </w:pPr>
            <w:r>
              <w:rPr>
                <w:rFonts w:ascii="Times New Roman" w:eastAsia="仿宋"/>
                <w:sz w:val="21"/>
                <w:szCs w:val="21"/>
              </w:rPr>
              <w:t>29</w:t>
            </w:r>
          </w:p>
        </w:tc>
        <w:tc>
          <w:tcPr>
            <w:tcW w:w="1278" w:type="pct"/>
            <w:shd w:val="clear" w:color="auto" w:fill="auto"/>
            <w:noWrap/>
            <w:vAlign w:val="center"/>
          </w:tcPr>
          <w:p w14:paraId="7074A25B">
            <w:pPr>
              <w:widowControl/>
              <w:jc w:val="center"/>
              <w:rPr>
                <w:rFonts w:ascii="Times New Roman" w:eastAsia="仿宋"/>
                <w:sz w:val="21"/>
                <w:szCs w:val="21"/>
              </w:rPr>
            </w:pPr>
            <w:r>
              <w:rPr>
                <w:rFonts w:ascii="Times New Roman" w:eastAsia="仿宋"/>
                <w:sz w:val="21"/>
                <w:szCs w:val="21"/>
              </w:rPr>
              <w:t>江苏法勒卫浴有限公司</w:t>
            </w:r>
          </w:p>
        </w:tc>
        <w:tc>
          <w:tcPr>
            <w:tcW w:w="407" w:type="pct"/>
            <w:shd w:val="clear" w:color="auto" w:fill="auto"/>
            <w:noWrap/>
            <w:vAlign w:val="center"/>
          </w:tcPr>
          <w:p w14:paraId="66C6D5B1">
            <w:pPr>
              <w:widowControl/>
              <w:jc w:val="center"/>
              <w:rPr>
                <w:rFonts w:ascii="Times New Roman" w:eastAsia="仿宋"/>
                <w:sz w:val="21"/>
                <w:szCs w:val="21"/>
              </w:rPr>
            </w:pPr>
            <w:r>
              <w:rPr>
                <w:rFonts w:ascii="Times New Roman" w:eastAsia="仿宋"/>
                <w:sz w:val="21"/>
                <w:szCs w:val="21"/>
              </w:rPr>
              <w:t>4.94</w:t>
            </w:r>
          </w:p>
        </w:tc>
        <w:tc>
          <w:tcPr>
            <w:tcW w:w="306" w:type="pct"/>
            <w:shd w:val="clear" w:color="auto" w:fill="auto"/>
            <w:noWrap/>
            <w:vAlign w:val="center"/>
          </w:tcPr>
          <w:p w14:paraId="57BBAD12">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984613C">
            <w:pPr>
              <w:widowControl/>
              <w:jc w:val="center"/>
              <w:rPr>
                <w:rFonts w:ascii="Times New Roman" w:eastAsia="仿宋"/>
                <w:sz w:val="21"/>
                <w:szCs w:val="21"/>
              </w:rPr>
            </w:pPr>
            <w:r>
              <w:rPr>
                <w:rFonts w:ascii="Times New Roman" w:eastAsia="仿宋"/>
                <w:sz w:val="21"/>
                <w:szCs w:val="21"/>
              </w:rPr>
              <w:t>/</w:t>
            </w:r>
          </w:p>
        </w:tc>
        <w:tc>
          <w:tcPr>
            <w:tcW w:w="357" w:type="pct"/>
            <w:shd w:val="clear" w:color="auto" w:fill="auto"/>
            <w:noWrap/>
            <w:vAlign w:val="center"/>
          </w:tcPr>
          <w:p w14:paraId="3D9B6CC2">
            <w:pPr>
              <w:widowControl/>
              <w:jc w:val="center"/>
              <w:rPr>
                <w:rFonts w:ascii="Times New Roman" w:eastAsia="仿宋"/>
                <w:sz w:val="21"/>
                <w:szCs w:val="21"/>
              </w:rPr>
            </w:pPr>
            <w:r>
              <w:rPr>
                <w:rFonts w:ascii="Times New Roman" w:eastAsia="仿宋"/>
                <w:sz w:val="21"/>
                <w:szCs w:val="21"/>
              </w:rPr>
              <w:t>0.4695</w:t>
            </w:r>
          </w:p>
        </w:tc>
        <w:tc>
          <w:tcPr>
            <w:tcW w:w="322" w:type="pct"/>
            <w:shd w:val="clear" w:color="auto" w:fill="auto"/>
            <w:noWrap/>
            <w:vAlign w:val="center"/>
          </w:tcPr>
          <w:p w14:paraId="4025D840">
            <w:pPr>
              <w:widowControl/>
              <w:jc w:val="center"/>
              <w:rPr>
                <w:rFonts w:ascii="Times New Roman" w:eastAsia="仿宋"/>
                <w:sz w:val="21"/>
                <w:szCs w:val="21"/>
              </w:rPr>
            </w:pPr>
            <w:r>
              <w:rPr>
                <w:rFonts w:ascii="Times New Roman" w:eastAsia="仿宋"/>
                <w:sz w:val="21"/>
                <w:szCs w:val="21"/>
              </w:rPr>
              <w:t>/</w:t>
            </w:r>
          </w:p>
        </w:tc>
        <w:tc>
          <w:tcPr>
            <w:tcW w:w="292" w:type="pct"/>
            <w:shd w:val="clear" w:color="auto" w:fill="auto"/>
            <w:noWrap/>
            <w:vAlign w:val="center"/>
          </w:tcPr>
          <w:p w14:paraId="73C0AF25">
            <w:pPr>
              <w:widowControl/>
              <w:jc w:val="center"/>
              <w:rPr>
                <w:rFonts w:ascii="Times New Roman" w:eastAsia="仿宋"/>
                <w:sz w:val="21"/>
                <w:szCs w:val="21"/>
              </w:rPr>
            </w:pPr>
            <w:r>
              <w:rPr>
                <w:rFonts w:ascii="Times New Roman" w:eastAsia="仿宋"/>
                <w:sz w:val="21"/>
                <w:szCs w:val="21"/>
              </w:rPr>
              <w:t>/</w:t>
            </w:r>
          </w:p>
        </w:tc>
        <w:tc>
          <w:tcPr>
            <w:tcW w:w="407" w:type="pct"/>
            <w:shd w:val="clear" w:color="auto" w:fill="auto"/>
            <w:noWrap/>
            <w:vAlign w:val="center"/>
          </w:tcPr>
          <w:p w14:paraId="49AA0E0A">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96D13CD">
            <w:pPr>
              <w:widowControl/>
              <w:jc w:val="center"/>
              <w:rPr>
                <w:rFonts w:ascii="Times New Roman" w:eastAsia="仿宋"/>
                <w:sz w:val="21"/>
                <w:szCs w:val="21"/>
              </w:rPr>
            </w:pPr>
            <w:r>
              <w:rPr>
                <w:rFonts w:ascii="Times New Roman" w:eastAsia="仿宋"/>
                <w:sz w:val="21"/>
                <w:szCs w:val="21"/>
              </w:rPr>
              <w:t>/</w:t>
            </w:r>
          </w:p>
        </w:tc>
        <w:tc>
          <w:tcPr>
            <w:tcW w:w="405" w:type="pct"/>
            <w:shd w:val="clear" w:color="auto" w:fill="auto"/>
            <w:noWrap/>
            <w:vAlign w:val="center"/>
          </w:tcPr>
          <w:p w14:paraId="48587ABC">
            <w:pPr>
              <w:widowControl/>
              <w:jc w:val="center"/>
              <w:rPr>
                <w:rFonts w:ascii="Times New Roman" w:eastAsia="仿宋"/>
                <w:sz w:val="21"/>
                <w:szCs w:val="21"/>
              </w:rPr>
            </w:pPr>
            <w:r>
              <w:rPr>
                <w:rFonts w:ascii="Times New Roman" w:eastAsia="仿宋"/>
                <w:sz w:val="21"/>
                <w:szCs w:val="21"/>
              </w:rPr>
              <w:t>5.4095</w:t>
            </w:r>
          </w:p>
        </w:tc>
        <w:tc>
          <w:tcPr>
            <w:tcW w:w="308" w:type="pct"/>
            <w:shd w:val="clear" w:color="auto" w:fill="auto"/>
            <w:noWrap/>
            <w:vAlign w:val="center"/>
          </w:tcPr>
          <w:p w14:paraId="7C8BB682">
            <w:pPr>
              <w:widowControl/>
              <w:jc w:val="center"/>
              <w:rPr>
                <w:rFonts w:ascii="Times New Roman" w:eastAsia="仿宋"/>
                <w:sz w:val="21"/>
                <w:szCs w:val="21"/>
              </w:rPr>
            </w:pPr>
            <w:r>
              <w:rPr>
                <w:rFonts w:ascii="Times New Roman" w:eastAsia="仿宋"/>
                <w:sz w:val="21"/>
                <w:szCs w:val="21"/>
              </w:rPr>
              <w:t>1.13%</w:t>
            </w:r>
          </w:p>
        </w:tc>
      </w:tr>
      <w:tr w14:paraId="6B6F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32" w:type="pct"/>
            <w:gridSpan w:val="2"/>
            <w:shd w:val="clear" w:color="auto" w:fill="auto"/>
            <w:noWrap/>
            <w:vAlign w:val="center"/>
          </w:tcPr>
          <w:p w14:paraId="28BCE30A">
            <w:pPr>
              <w:widowControl/>
              <w:jc w:val="center"/>
              <w:rPr>
                <w:rFonts w:ascii="Times New Roman" w:eastAsia="仿宋"/>
                <w:sz w:val="21"/>
                <w:szCs w:val="21"/>
              </w:rPr>
            </w:pPr>
            <w:r>
              <w:rPr>
                <w:rFonts w:ascii="Times New Roman" w:eastAsia="仿宋"/>
                <w:sz w:val="21"/>
                <w:szCs w:val="21"/>
              </w:rPr>
              <w:t>Pi合计</w:t>
            </w:r>
          </w:p>
        </w:tc>
        <w:tc>
          <w:tcPr>
            <w:tcW w:w="407" w:type="pct"/>
            <w:shd w:val="clear" w:color="auto" w:fill="auto"/>
            <w:noWrap/>
            <w:vAlign w:val="center"/>
          </w:tcPr>
          <w:p w14:paraId="212CE96F">
            <w:pPr>
              <w:widowControl/>
              <w:jc w:val="center"/>
              <w:rPr>
                <w:rFonts w:ascii="Times New Roman" w:eastAsia="仿宋"/>
                <w:sz w:val="21"/>
                <w:szCs w:val="21"/>
              </w:rPr>
            </w:pPr>
            <w:r>
              <w:rPr>
                <w:rFonts w:ascii="Times New Roman" w:eastAsia="仿宋"/>
                <w:sz w:val="21"/>
                <w:szCs w:val="21"/>
              </w:rPr>
              <w:t>182.144</w:t>
            </w:r>
          </w:p>
        </w:tc>
        <w:tc>
          <w:tcPr>
            <w:tcW w:w="306" w:type="pct"/>
            <w:shd w:val="clear" w:color="auto" w:fill="auto"/>
            <w:noWrap/>
            <w:vAlign w:val="center"/>
          </w:tcPr>
          <w:p w14:paraId="0CCE558B">
            <w:pPr>
              <w:widowControl/>
              <w:jc w:val="center"/>
              <w:rPr>
                <w:rFonts w:ascii="Times New Roman" w:eastAsia="仿宋"/>
                <w:sz w:val="21"/>
                <w:szCs w:val="21"/>
              </w:rPr>
            </w:pPr>
            <w:r>
              <w:rPr>
                <w:rFonts w:ascii="Times New Roman" w:eastAsia="仿宋"/>
                <w:sz w:val="21"/>
                <w:szCs w:val="21"/>
              </w:rPr>
              <w:t>97.855</w:t>
            </w:r>
          </w:p>
        </w:tc>
        <w:tc>
          <w:tcPr>
            <w:tcW w:w="357" w:type="pct"/>
            <w:shd w:val="clear" w:color="auto" w:fill="auto"/>
            <w:noWrap/>
            <w:vAlign w:val="center"/>
          </w:tcPr>
          <w:p w14:paraId="16E1DB46">
            <w:pPr>
              <w:widowControl/>
              <w:jc w:val="center"/>
              <w:rPr>
                <w:rFonts w:ascii="Times New Roman" w:eastAsia="仿宋"/>
                <w:sz w:val="21"/>
                <w:szCs w:val="21"/>
              </w:rPr>
            </w:pPr>
            <w:r>
              <w:rPr>
                <w:rFonts w:ascii="Times New Roman" w:eastAsia="仿宋"/>
                <w:sz w:val="21"/>
                <w:szCs w:val="21"/>
              </w:rPr>
              <w:t>147.339</w:t>
            </w:r>
          </w:p>
        </w:tc>
        <w:tc>
          <w:tcPr>
            <w:tcW w:w="357" w:type="pct"/>
            <w:shd w:val="clear" w:color="auto" w:fill="auto"/>
            <w:noWrap/>
            <w:vAlign w:val="center"/>
          </w:tcPr>
          <w:p w14:paraId="568BE4B3">
            <w:pPr>
              <w:widowControl/>
              <w:jc w:val="center"/>
              <w:rPr>
                <w:rFonts w:ascii="Times New Roman" w:eastAsia="仿宋"/>
                <w:sz w:val="21"/>
                <w:szCs w:val="21"/>
              </w:rPr>
            </w:pPr>
            <w:r>
              <w:rPr>
                <w:rFonts w:ascii="Times New Roman" w:eastAsia="仿宋"/>
                <w:sz w:val="21"/>
                <w:szCs w:val="21"/>
              </w:rPr>
              <w:t>1.781</w:t>
            </w:r>
          </w:p>
        </w:tc>
        <w:tc>
          <w:tcPr>
            <w:tcW w:w="322" w:type="pct"/>
            <w:shd w:val="clear" w:color="auto" w:fill="auto"/>
            <w:noWrap/>
            <w:vAlign w:val="center"/>
          </w:tcPr>
          <w:p w14:paraId="029DD4E7">
            <w:pPr>
              <w:widowControl/>
              <w:jc w:val="center"/>
              <w:rPr>
                <w:rFonts w:ascii="Times New Roman" w:eastAsia="仿宋"/>
                <w:sz w:val="21"/>
                <w:szCs w:val="21"/>
              </w:rPr>
            </w:pPr>
            <w:r>
              <w:rPr>
                <w:rFonts w:ascii="Times New Roman" w:eastAsia="仿宋"/>
                <w:sz w:val="21"/>
                <w:szCs w:val="21"/>
              </w:rPr>
              <w:t>15.14</w:t>
            </w:r>
          </w:p>
        </w:tc>
        <w:tc>
          <w:tcPr>
            <w:tcW w:w="292" w:type="pct"/>
            <w:shd w:val="clear" w:color="auto" w:fill="auto"/>
            <w:noWrap/>
            <w:vAlign w:val="center"/>
          </w:tcPr>
          <w:p w14:paraId="7AFDB588">
            <w:pPr>
              <w:widowControl/>
              <w:jc w:val="center"/>
              <w:rPr>
                <w:rFonts w:ascii="Times New Roman" w:eastAsia="仿宋"/>
                <w:sz w:val="21"/>
                <w:szCs w:val="21"/>
              </w:rPr>
            </w:pPr>
            <w:r>
              <w:rPr>
                <w:rFonts w:ascii="Times New Roman" w:eastAsia="仿宋"/>
                <w:sz w:val="21"/>
                <w:szCs w:val="21"/>
              </w:rPr>
              <w:t>6.6</w:t>
            </w:r>
          </w:p>
        </w:tc>
        <w:tc>
          <w:tcPr>
            <w:tcW w:w="407" w:type="pct"/>
            <w:shd w:val="clear" w:color="auto" w:fill="auto"/>
            <w:noWrap/>
            <w:vAlign w:val="center"/>
          </w:tcPr>
          <w:p w14:paraId="47CFF2F0">
            <w:pPr>
              <w:widowControl/>
              <w:jc w:val="center"/>
              <w:rPr>
                <w:rFonts w:ascii="Times New Roman" w:eastAsia="仿宋"/>
                <w:sz w:val="21"/>
                <w:szCs w:val="21"/>
              </w:rPr>
            </w:pPr>
            <w:r>
              <w:rPr>
                <w:rFonts w:ascii="Times New Roman" w:eastAsia="仿宋"/>
                <w:sz w:val="21"/>
                <w:szCs w:val="21"/>
              </w:rPr>
              <w:t>17.7</w:t>
            </w:r>
          </w:p>
        </w:tc>
        <w:tc>
          <w:tcPr>
            <w:tcW w:w="308" w:type="pct"/>
            <w:shd w:val="clear" w:color="auto" w:fill="auto"/>
            <w:noWrap/>
            <w:vAlign w:val="center"/>
          </w:tcPr>
          <w:p w14:paraId="4F268430">
            <w:pPr>
              <w:widowControl/>
              <w:jc w:val="center"/>
              <w:rPr>
                <w:rFonts w:ascii="Times New Roman" w:eastAsia="仿宋"/>
                <w:sz w:val="21"/>
                <w:szCs w:val="21"/>
              </w:rPr>
            </w:pPr>
            <w:r>
              <w:rPr>
                <w:rFonts w:ascii="Times New Roman" w:eastAsia="仿宋"/>
                <w:sz w:val="21"/>
                <w:szCs w:val="21"/>
              </w:rPr>
              <w:t>10.4</w:t>
            </w:r>
          </w:p>
        </w:tc>
        <w:tc>
          <w:tcPr>
            <w:tcW w:w="405" w:type="pct"/>
            <w:shd w:val="clear" w:color="auto" w:fill="auto"/>
            <w:noWrap/>
            <w:vAlign w:val="center"/>
          </w:tcPr>
          <w:p w14:paraId="10FD5077">
            <w:pPr>
              <w:widowControl/>
              <w:jc w:val="center"/>
              <w:rPr>
                <w:rFonts w:ascii="Times New Roman" w:eastAsia="仿宋"/>
                <w:sz w:val="21"/>
                <w:szCs w:val="21"/>
              </w:rPr>
            </w:pPr>
            <w:r>
              <w:rPr>
                <w:rFonts w:ascii="Times New Roman" w:eastAsia="仿宋"/>
                <w:sz w:val="21"/>
                <w:szCs w:val="21"/>
              </w:rPr>
              <w:t>478.959</w:t>
            </w:r>
          </w:p>
        </w:tc>
        <w:tc>
          <w:tcPr>
            <w:tcW w:w="308" w:type="pct"/>
            <w:shd w:val="clear" w:color="auto" w:fill="auto"/>
            <w:noWrap/>
            <w:vAlign w:val="center"/>
          </w:tcPr>
          <w:p w14:paraId="1C0B856D">
            <w:pPr>
              <w:widowControl/>
              <w:jc w:val="center"/>
              <w:rPr>
                <w:rFonts w:ascii="Times New Roman" w:eastAsia="仿宋"/>
                <w:sz w:val="21"/>
                <w:szCs w:val="21"/>
              </w:rPr>
            </w:pPr>
            <w:r>
              <w:rPr>
                <w:rFonts w:ascii="Times New Roman" w:eastAsia="仿宋"/>
                <w:sz w:val="21"/>
                <w:szCs w:val="21"/>
              </w:rPr>
              <w:t>100%</w:t>
            </w:r>
          </w:p>
        </w:tc>
      </w:tr>
      <w:tr w14:paraId="54C0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32" w:type="pct"/>
            <w:gridSpan w:val="2"/>
            <w:shd w:val="clear" w:color="auto" w:fill="auto"/>
            <w:noWrap/>
            <w:vAlign w:val="center"/>
          </w:tcPr>
          <w:p w14:paraId="6BB66615">
            <w:pPr>
              <w:widowControl/>
              <w:jc w:val="center"/>
              <w:rPr>
                <w:rFonts w:ascii="Times New Roman" w:eastAsia="仿宋"/>
                <w:sz w:val="21"/>
                <w:szCs w:val="21"/>
              </w:rPr>
            </w:pPr>
            <w:r>
              <w:rPr>
                <w:rFonts w:ascii="Times New Roman" w:eastAsia="仿宋"/>
                <w:sz w:val="21"/>
                <w:szCs w:val="21"/>
              </w:rPr>
              <w:t>Kn（%）</w:t>
            </w:r>
          </w:p>
        </w:tc>
        <w:tc>
          <w:tcPr>
            <w:tcW w:w="407" w:type="pct"/>
            <w:shd w:val="clear" w:color="auto" w:fill="auto"/>
            <w:noWrap/>
            <w:vAlign w:val="center"/>
          </w:tcPr>
          <w:p w14:paraId="0A8ED05B">
            <w:pPr>
              <w:widowControl/>
              <w:jc w:val="center"/>
              <w:rPr>
                <w:rFonts w:ascii="Times New Roman" w:eastAsia="仿宋"/>
                <w:sz w:val="21"/>
                <w:szCs w:val="21"/>
              </w:rPr>
            </w:pPr>
            <w:r>
              <w:rPr>
                <w:rFonts w:ascii="Times New Roman" w:eastAsia="仿宋"/>
                <w:sz w:val="21"/>
                <w:szCs w:val="21"/>
              </w:rPr>
              <w:t>38.03%</w:t>
            </w:r>
          </w:p>
        </w:tc>
        <w:tc>
          <w:tcPr>
            <w:tcW w:w="306" w:type="pct"/>
            <w:shd w:val="clear" w:color="auto" w:fill="auto"/>
            <w:noWrap/>
            <w:vAlign w:val="center"/>
          </w:tcPr>
          <w:p w14:paraId="5D77F638">
            <w:pPr>
              <w:widowControl/>
              <w:jc w:val="center"/>
              <w:rPr>
                <w:rFonts w:ascii="Times New Roman" w:eastAsia="仿宋"/>
                <w:sz w:val="21"/>
                <w:szCs w:val="21"/>
              </w:rPr>
            </w:pPr>
            <w:r>
              <w:rPr>
                <w:rFonts w:ascii="Times New Roman" w:eastAsia="仿宋"/>
                <w:sz w:val="21"/>
                <w:szCs w:val="21"/>
              </w:rPr>
              <w:t>20.43%</w:t>
            </w:r>
          </w:p>
        </w:tc>
        <w:tc>
          <w:tcPr>
            <w:tcW w:w="357" w:type="pct"/>
            <w:shd w:val="clear" w:color="auto" w:fill="auto"/>
            <w:noWrap/>
            <w:vAlign w:val="center"/>
          </w:tcPr>
          <w:p w14:paraId="4725E4D5">
            <w:pPr>
              <w:widowControl/>
              <w:jc w:val="center"/>
              <w:rPr>
                <w:rFonts w:ascii="Times New Roman" w:eastAsia="仿宋"/>
                <w:sz w:val="21"/>
                <w:szCs w:val="21"/>
              </w:rPr>
            </w:pPr>
            <w:r>
              <w:rPr>
                <w:rFonts w:ascii="Times New Roman" w:eastAsia="仿宋"/>
                <w:sz w:val="21"/>
                <w:szCs w:val="21"/>
              </w:rPr>
              <w:t>30.76%</w:t>
            </w:r>
          </w:p>
        </w:tc>
        <w:tc>
          <w:tcPr>
            <w:tcW w:w="357" w:type="pct"/>
            <w:shd w:val="clear" w:color="auto" w:fill="auto"/>
            <w:noWrap/>
            <w:vAlign w:val="center"/>
          </w:tcPr>
          <w:p w14:paraId="4096849F">
            <w:pPr>
              <w:widowControl/>
              <w:jc w:val="center"/>
              <w:rPr>
                <w:rFonts w:ascii="Times New Roman" w:eastAsia="仿宋"/>
                <w:sz w:val="21"/>
                <w:szCs w:val="21"/>
              </w:rPr>
            </w:pPr>
            <w:r>
              <w:rPr>
                <w:rFonts w:ascii="Times New Roman" w:eastAsia="仿宋"/>
                <w:sz w:val="21"/>
                <w:szCs w:val="21"/>
              </w:rPr>
              <w:t>0.37%</w:t>
            </w:r>
          </w:p>
        </w:tc>
        <w:tc>
          <w:tcPr>
            <w:tcW w:w="322" w:type="pct"/>
            <w:shd w:val="clear" w:color="auto" w:fill="auto"/>
            <w:noWrap/>
            <w:vAlign w:val="center"/>
          </w:tcPr>
          <w:p w14:paraId="38941395">
            <w:pPr>
              <w:widowControl/>
              <w:jc w:val="center"/>
              <w:rPr>
                <w:rFonts w:ascii="Times New Roman" w:eastAsia="仿宋"/>
                <w:sz w:val="21"/>
                <w:szCs w:val="21"/>
              </w:rPr>
            </w:pPr>
            <w:r>
              <w:rPr>
                <w:rFonts w:ascii="Times New Roman" w:eastAsia="仿宋"/>
                <w:sz w:val="21"/>
                <w:szCs w:val="21"/>
              </w:rPr>
              <w:t>3.16%</w:t>
            </w:r>
          </w:p>
        </w:tc>
        <w:tc>
          <w:tcPr>
            <w:tcW w:w="292" w:type="pct"/>
            <w:shd w:val="clear" w:color="auto" w:fill="auto"/>
            <w:noWrap/>
            <w:vAlign w:val="center"/>
          </w:tcPr>
          <w:p w14:paraId="38E182A8">
            <w:pPr>
              <w:widowControl/>
              <w:jc w:val="center"/>
              <w:rPr>
                <w:rFonts w:ascii="Times New Roman" w:eastAsia="仿宋"/>
                <w:sz w:val="21"/>
                <w:szCs w:val="21"/>
              </w:rPr>
            </w:pPr>
            <w:r>
              <w:rPr>
                <w:rFonts w:ascii="Times New Roman" w:eastAsia="仿宋"/>
                <w:sz w:val="21"/>
                <w:szCs w:val="21"/>
              </w:rPr>
              <w:t>1.38%</w:t>
            </w:r>
          </w:p>
        </w:tc>
        <w:tc>
          <w:tcPr>
            <w:tcW w:w="407" w:type="pct"/>
            <w:shd w:val="clear" w:color="auto" w:fill="auto"/>
            <w:noWrap/>
            <w:vAlign w:val="center"/>
          </w:tcPr>
          <w:p w14:paraId="4C7C0B67">
            <w:pPr>
              <w:widowControl/>
              <w:jc w:val="center"/>
              <w:rPr>
                <w:rFonts w:ascii="Times New Roman" w:eastAsia="仿宋"/>
                <w:sz w:val="21"/>
                <w:szCs w:val="21"/>
              </w:rPr>
            </w:pPr>
            <w:r>
              <w:rPr>
                <w:rFonts w:ascii="Times New Roman" w:eastAsia="仿宋"/>
                <w:sz w:val="21"/>
                <w:szCs w:val="21"/>
              </w:rPr>
              <w:t>3.70%</w:t>
            </w:r>
          </w:p>
        </w:tc>
        <w:tc>
          <w:tcPr>
            <w:tcW w:w="308" w:type="pct"/>
            <w:shd w:val="clear" w:color="auto" w:fill="auto"/>
            <w:noWrap/>
            <w:vAlign w:val="center"/>
          </w:tcPr>
          <w:p w14:paraId="6C252C2E">
            <w:pPr>
              <w:widowControl/>
              <w:jc w:val="center"/>
              <w:rPr>
                <w:rFonts w:ascii="Times New Roman" w:eastAsia="仿宋"/>
                <w:sz w:val="21"/>
                <w:szCs w:val="21"/>
              </w:rPr>
            </w:pPr>
            <w:r>
              <w:rPr>
                <w:rFonts w:ascii="Times New Roman" w:eastAsia="仿宋"/>
                <w:sz w:val="21"/>
                <w:szCs w:val="21"/>
              </w:rPr>
              <w:t>2.17%</w:t>
            </w:r>
          </w:p>
        </w:tc>
        <w:tc>
          <w:tcPr>
            <w:tcW w:w="405" w:type="pct"/>
            <w:shd w:val="clear" w:color="auto" w:fill="auto"/>
            <w:noWrap/>
            <w:vAlign w:val="center"/>
          </w:tcPr>
          <w:p w14:paraId="18B3638F">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4386CAB4">
            <w:pPr>
              <w:widowControl/>
              <w:jc w:val="center"/>
              <w:rPr>
                <w:rFonts w:ascii="Times New Roman" w:eastAsia="仿宋"/>
                <w:sz w:val="21"/>
                <w:szCs w:val="21"/>
              </w:rPr>
            </w:pPr>
            <w:r>
              <w:rPr>
                <w:rFonts w:ascii="Times New Roman" w:eastAsia="仿宋"/>
                <w:sz w:val="21"/>
                <w:szCs w:val="21"/>
              </w:rPr>
              <w:t>/</w:t>
            </w:r>
          </w:p>
        </w:tc>
      </w:tr>
      <w:tr w14:paraId="66CB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32" w:type="pct"/>
            <w:gridSpan w:val="2"/>
            <w:shd w:val="clear" w:color="auto" w:fill="auto"/>
            <w:noWrap/>
            <w:vAlign w:val="center"/>
          </w:tcPr>
          <w:p w14:paraId="7935C867">
            <w:pPr>
              <w:widowControl/>
              <w:jc w:val="center"/>
              <w:rPr>
                <w:rFonts w:ascii="Times New Roman" w:eastAsia="仿宋"/>
                <w:sz w:val="21"/>
                <w:szCs w:val="21"/>
              </w:rPr>
            </w:pPr>
            <w:r>
              <w:rPr>
                <w:rFonts w:ascii="Times New Roman" w:eastAsia="仿宋"/>
                <w:sz w:val="21"/>
                <w:szCs w:val="21"/>
              </w:rPr>
              <w:t>排序</w:t>
            </w:r>
          </w:p>
        </w:tc>
        <w:tc>
          <w:tcPr>
            <w:tcW w:w="407" w:type="pct"/>
            <w:shd w:val="clear" w:color="auto" w:fill="auto"/>
            <w:noWrap/>
            <w:vAlign w:val="center"/>
          </w:tcPr>
          <w:p w14:paraId="603B77F5">
            <w:pPr>
              <w:widowControl/>
              <w:jc w:val="center"/>
              <w:rPr>
                <w:rFonts w:ascii="Times New Roman" w:eastAsia="仿宋"/>
                <w:sz w:val="21"/>
                <w:szCs w:val="21"/>
              </w:rPr>
            </w:pPr>
            <w:r>
              <w:rPr>
                <w:rFonts w:ascii="Times New Roman" w:eastAsia="仿宋"/>
                <w:sz w:val="21"/>
                <w:szCs w:val="21"/>
              </w:rPr>
              <w:t>1</w:t>
            </w:r>
          </w:p>
        </w:tc>
        <w:tc>
          <w:tcPr>
            <w:tcW w:w="306" w:type="pct"/>
            <w:shd w:val="clear" w:color="auto" w:fill="auto"/>
            <w:noWrap/>
            <w:vAlign w:val="center"/>
          </w:tcPr>
          <w:p w14:paraId="5CA75B0E">
            <w:pPr>
              <w:widowControl/>
              <w:jc w:val="center"/>
              <w:rPr>
                <w:rFonts w:ascii="Times New Roman" w:eastAsia="仿宋"/>
                <w:sz w:val="21"/>
                <w:szCs w:val="21"/>
              </w:rPr>
            </w:pPr>
            <w:r>
              <w:rPr>
                <w:rFonts w:ascii="Times New Roman" w:eastAsia="仿宋"/>
                <w:sz w:val="21"/>
                <w:szCs w:val="21"/>
              </w:rPr>
              <w:t>3</w:t>
            </w:r>
          </w:p>
        </w:tc>
        <w:tc>
          <w:tcPr>
            <w:tcW w:w="357" w:type="pct"/>
            <w:shd w:val="clear" w:color="auto" w:fill="auto"/>
            <w:noWrap/>
            <w:vAlign w:val="center"/>
          </w:tcPr>
          <w:p w14:paraId="1490B0EA">
            <w:pPr>
              <w:widowControl/>
              <w:jc w:val="center"/>
              <w:rPr>
                <w:rFonts w:ascii="Times New Roman" w:eastAsia="仿宋"/>
                <w:sz w:val="21"/>
                <w:szCs w:val="21"/>
              </w:rPr>
            </w:pPr>
            <w:r>
              <w:rPr>
                <w:rFonts w:ascii="Times New Roman" w:eastAsia="仿宋"/>
                <w:sz w:val="21"/>
                <w:szCs w:val="21"/>
              </w:rPr>
              <w:t>2</w:t>
            </w:r>
          </w:p>
        </w:tc>
        <w:tc>
          <w:tcPr>
            <w:tcW w:w="357" w:type="pct"/>
            <w:shd w:val="clear" w:color="auto" w:fill="auto"/>
            <w:noWrap/>
            <w:vAlign w:val="center"/>
          </w:tcPr>
          <w:p w14:paraId="36367B16">
            <w:pPr>
              <w:widowControl/>
              <w:jc w:val="center"/>
              <w:rPr>
                <w:rFonts w:ascii="Times New Roman" w:eastAsia="仿宋"/>
                <w:sz w:val="21"/>
                <w:szCs w:val="21"/>
              </w:rPr>
            </w:pPr>
            <w:r>
              <w:rPr>
                <w:rFonts w:ascii="Times New Roman" w:eastAsia="仿宋"/>
                <w:sz w:val="21"/>
                <w:szCs w:val="21"/>
              </w:rPr>
              <w:t>8</w:t>
            </w:r>
          </w:p>
        </w:tc>
        <w:tc>
          <w:tcPr>
            <w:tcW w:w="322" w:type="pct"/>
            <w:shd w:val="clear" w:color="auto" w:fill="auto"/>
            <w:noWrap/>
            <w:vAlign w:val="center"/>
          </w:tcPr>
          <w:p w14:paraId="2D9F2B1B">
            <w:pPr>
              <w:widowControl/>
              <w:jc w:val="center"/>
              <w:rPr>
                <w:rFonts w:ascii="Times New Roman" w:eastAsia="仿宋"/>
                <w:sz w:val="21"/>
                <w:szCs w:val="21"/>
              </w:rPr>
            </w:pPr>
            <w:r>
              <w:rPr>
                <w:rFonts w:ascii="Times New Roman" w:eastAsia="仿宋"/>
                <w:sz w:val="21"/>
                <w:szCs w:val="21"/>
              </w:rPr>
              <w:t>5</w:t>
            </w:r>
          </w:p>
        </w:tc>
        <w:tc>
          <w:tcPr>
            <w:tcW w:w="292" w:type="pct"/>
            <w:shd w:val="clear" w:color="auto" w:fill="auto"/>
            <w:noWrap/>
            <w:vAlign w:val="center"/>
          </w:tcPr>
          <w:p w14:paraId="1CCB8E7C">
            <w:pPr>
              <w:widowControl/>
              <w:jc w:val="center"/>
              <w:rPr>
                <w:rFonts w:ascii="Times New Roman" w:eastAsia="仿宋"/>
                <w:sz w:val="21"/>
                <w:szCs w:val="21"/>
              </w:rPr>
            </w:pPr>
            <w:r>
              <w:rPr>
                <w:rFonts w:ascii="Times New Roman" w:eastAsia="仿宋"/>
                <w:sz w:val="21"/>
                <w:szCs w:val="21"/>
              </w:rPr>
              <w:t>7</w:t>
            </w:r>
          </w:p>
        </w:tc>
        <w:tc>
          <w:tcPr>
            <w:tcW w:w="407" w:type="pct"/>
            <w:shd w:val="clear" w:color="auto" w:fill="auto"/>
            <w:noWrap/>
            <w:vAlign w:val="center"/>
          </w:tcPr>
          <w:p w14:paraId="101A4608">
            <w:pPr>
              <w:widowControl/>
              <w:jc w:val="center"/>
              <w:rPr>
                <w:rFonts w:ascii="Times New Roman" w:eastAsia="仿宋"/>
                <w:sz w:val="21"/>
                <w:szCs w:val="21"/>
              </w:rPr>
            </w:pPr>
            <w:r>
              <w:rPr>
                <w:rFonts w:ascii="Times New Roman" w:eastAsia="仿宋"/>
                <w:sz w:val="21"/>
                <w:szCs w:val="21"/>
              </w:rPr>
              <w:t>4</w:t>
            </w:r>
          </w:p>
        </w:tc>
        <w:tc>
          <w:tcPr>
            <w:tcW w:w="308" w:type="pct"/>
            <w:shd w:val="clear" w:color="auto" w:fill="auto"/>
            <w:noWrap/>
            <w:vAlign w:val="center"/>
          </w:tcPr>
          <w:p w14:paraId="5961CDF6">
            <w:pPr>
              <w:widowControl/>
              <w:jc w:val="center"/>
              <w:rPr>
                <w:rFonts w:ascii="Times New Roman" w:eastAsia="仿宋"/>
                <w:sz w:val="21"/>
                <w:szCs w:val="21"/>
              </w:rPr>
            </w:pPr>
            <w:r>
              <w:rPr>
                <w:rFonts w:ascii="Times New Roman" w:eastAsia="仿宋"/>
                <w:sz w:val="21"/>
                <w:szCs w:val="21"/>
              </w:rPr>
              <w:t>6</w:t>
            </w:r>
          </w:p>
        </w:tc>
        <w:tc>
          <w:tcPr>
            <w:tcW w:w="405" w:type="pct"/>
            <w:shd w:val="clear" w:color="auto" w:fill="auto"/>
            <w:noWrap/>
            <w:vAlign w:val="center"/>
          </w:tcPr>
          <w:p w14:paraId="5B9A62DA">
            <w:pPr>
              <w:widowControl/>
              <w:jc w:val="center"/>
              <w:rPr>
                <w:rFonts w:ascii="Times New Roman" w:eastAsia="仿宋"/>
                <w:sz w:val="21"/>
                <w:szCs w:val="21"/>
              </w:rPr>
            </w:pPr>
            <w:r>
              <w:rPr>
                <w:rFonts w:ascii="Times New Roman" w:eastAsia="仿宋"/>
                <w:sz w:val="21"/>
                <w:szCs w:val="21"/>
              </w:rPr>
              <w:t>/</w:t>
            </w:r>
          </w:p>
        </w:tc>
        <w:tc>
          <w:tcPr>
            <w:tcW w:w="308" w:type="pct"/>
            <w:shd w:val="clear" w:color="auto" w:fill="auto"/>
            <w:noWrap/>
            <w:vAlign w:val="center"/>
          </w:tcPr>
          <w:p w14:paraId="6B26AF98">
            <w:pPr>
              <w:widowControl/>
              <w:jc w:val="center"/>
              <w:rPr>
                <w:rFonts w:ascii="Times New Roman" w:eastAsia="仿宋"/>
                <w:sz w:val="21"/>
                <w:szCs w:val="21"/>
              </w:rPr>
            </w:pPr>
            <w:r>
              <w:rPr>
                <w:rFonts w:ascii="Times New Roman" w:eastAsia="仿宋"/>
                <w:sz w:val="21"/>
                <w:szCs w:val="21"/>
              </w:rPr>
              <w:t>/</w:t>
            </w:r>
          </w:p>
        </w:tc>
      </w:tr>
    </w:tbl>
    <w:p w14:paraId="024C723D">
      <w:pPr>
        <w:spacing w:line="500" w:lineRule="exact"/>
        <w:ind w:firstLine="560" w:firstLineChars="200"/>
        <w:rPr>
          <w:rFonts w:ascii="Times New Roman" w:eastAsia="仿宋_GB2312"/>
          <w:kern w:val="2"/>
          <w:sz w:val="28"/>
          <w:szCs w:val="28"/>
          <w:lang w:bidi="ar"/>
        </w:rPr>
      </w:pPr>
    </w:p>
    <w:p w14:paraId="6F21806A">
      <w:pPr>
        <w:spacing w:line="500" w:lineRule="exact"/>
        <w:ind w:firstLine="560" w:firstLineChars="200"/>
        <w:rPr>
          <w:rFonts w:ascii="Times New Roman" w:eastAsia="仿宋_GB2312"/>
          <w:kern w:val="2"/>
          <w:sz w:val="28"/>
          <w:szCs w:val="28"/>
          <w:lang w:bidi="ar"/>
        </w:rPr>
        <w:sectPr>
          <w:pgSz w:w="16838" w:h="11906" w:orient="landscape"/>
          <w:pgMar w:top="1440" w:right="1800" w:bottom="1440" w:left="1800" w:header="851" w:footer="992" w:gutter="0"/>
          <w:cols w:space="720" w:num="1"/>
          <w:docGrid w:linePitch="326" w:charSpace="0"/>
        </w:sectPr>
      </w:pPr>
    </w:p>
    <w:p w14:paraId="1C5E103D">
      <w:pPr>
        <w:spacing w:line="500" w:lineRule="exact"/>
        <w:ind w:firstLine="560" w:firstLineChars="200"/>
        <w:rPr>
          <w:rFonts w:ascii="Times New Roman" w:eastAsia="仿宋_GB2312"/>
          <w:sz w:val="28"/>
          <w:szCs w:val="28"/>
        </w:rPr>
      </w:pPr>
      <w:r>
        <w:rPr>
          <w:rFonts w:hint="eastAsia" w:ascii="Times New Roman" w:eastAsia="仿宋_GB2312"/>
          <w:kern w:val="2"/>
          <w:sz w:val="28"/>
          <w:szCs w:val="28"/>
          <w:lang w:bidi="ar"/>
        </w:rPr>
        <w:t>由上表知：评价区域内主要大气污染物为粉尘，污染物等标负荷为38.03%，主要废气污染源为常州市和顺玻璃制品有限公司，其等标污染负荷为44.48%。</w:t>
      </w:r>
    </w:p>
    <w:p w14:paraId="34ED3ECC">
      <w:pPr>
        <w:rPr>
          <w:rFonts w:ascii="Times New Roman" w:eastAsia="仿宋"/>
        </w:rPr>
        <w:sectPr>
          <w:pgSz w:w="11906" w:h="16838"/>
          <w:pgMar w:top="1800" w:right="1440" w:bottom="1800" w:left="1440" w:header="851" w:footer="992" w:gutter="0"/>
          <w:cols w:space="720" w:num="1"/>
          <w:docGrid w:linePitch="326" w:charSpace="0"/>
        </w:sectPr>
      </w:pPr>
    </w:p>
    <w:p w14:paraId="6F1A33C2">
      <w:pPr>
        <w:pStyle w:val="6"/>
        <w:keepLines w:val="0"/>
        <w:tabs>
          <w:tab w:val="left" w:pos="709"/>
        </w:tabs>
        <w:spacing w:before="0" w:after="120" w:afterLines="50" w:line="500" w:lineRule="exact"/>
        <w:rPr>
          <w:rFonts w:ascii="Times New Roman" w:eastAsia="仿宋"/>
          <w:sz w:val="30"/>
          <w:szCs w:val="30"/>
        </w:rPr>
      </w:pPr>
      <w:r>
        <w:rPr>
          <w:rFonts w:hint="eastAsia" w:ascii="Times New Roman" w:eastAsia="仿宋"/>
          <w:sz w:val="30"/>
          <w:szCs w:val="30"/>
        </w:rPr>
        <w:t>4</w:t>
      </w:r>
      <w:r>
        <w:rPr>
          <w:rFonts w:ascii="Times New Roman" w:eastAsia="仿宋"/>
          <w:sz w:val="30"/>
          <w:szCs w:val="30"/>
        </w:rPr>
        <w:t>.3.2水污染物现状调查与评价</w:t>
      </w:r>
    </w:p>
    <w:p w14:paraId="5C6480FD">
      <w:pPr>
        <w:spacing w:line="500" w:lineRule="exact"/>
        <w:ind w:firstLine="560" w:firstLineChars="200"/>
        <w:rPr>
          <w:rFonts w:ascii="Times New Roman" w:eastAsia="仿宋"/>
          <w:sz w:val="28"/>
          <w:szCs w:val="28"/>
        </w:rPr>
      </w:pPr>
      <w:r>
        <w:rPr>
          <w:rFonts w:ascii="Times New Roman" w:eastAsia="仿宋"/>
          <w:sz w:val="28"/>
          <w:szCs w:val="28"/>
        </w:rPr>
        <w:t>根据现状调查，区域废水污染物排放状况见表4.3-3。</w:t>
      </w:r>
    </w:p>
    <w:p w14:paraId="645F1D27">
      <w:pPr>
        <w:spacing w:line="500" w:lineRule="exact"/>
        <w:jc w:val="center"/>
        <w:rPr>
          <w:rFonts w:ascii="Times New Roman" w:eastAsia="仿宋"/>
          <w:b/>
        </w:rPr>
      </w:pPr>
      <w:r>
        <w:rPr>
          <w:rFonts w:ascii="Times New Roman" w:eastAsia="仿宋"/>
          <w:b/>
        </w:rPr>
        <w:t xml:space="preserve">表4.3-3   </w:t>
      </w:r>
      <w:r>
        <w:rPr>
          <w:rFonts w:hint="eastAsia" w:ascii="Times New Roman" w:eastAsia="仿宋"/>
          <w:b/>
        </w:rPr>
        <w:t>评价</w:t>
      </w:r>
      <w:r>
        <w:rPr>
          <w:rFonts w:ascii="Times New Roman" w:eastAsia="仿宋"/>
          <w:b/>
        </w:rPr>
        <w:t>区域废</w:t>
      </w:r>
      <w:r>
        <w:rPr>
          <w:rFonts w:hint="eastAsia" w:ascii="Times New Roman" w:eastAsia="仿宋"/>
          <w:b/>
        </w:rPr>
        <w:t>水</w:t>
      </w:r>
      <w:r>
        <w:rPr>
          <w:rFonts w:ascii="Times New Roman" w:eastAsia="仿宋"/>
          <w:b/>
        </w:rPr>
        <w:t>污染物排放现状一览表</w:t>
      </w:r>
      <w:r>
        <w:rPr>
          <w:rFonts w:hint="eastAsia" w:ascii="Times New Roman" w:eastAsia="仿宋"/>
          <w:b/>
        </w:rPr>
        <w:t xml:space="preserve"> </w:t>
      </w:r>
      <w:r>
        <w:rPr>
          <w:rFonts w:ascii="Times New Roman" w:eastAsia="仿宋"/>
          <w:b/>
          <w:szCs w:val="24"/>
        </w:rPr>
        <w:t>单位：t/a</w:t>
      </w:r>
    </w:p>
    <w:tbl>
      <w:tblPr>
        <w:tblStyle w:val="87"/>
        <w:tblW w:w="51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2913"/>
        <w:gridCol w:w="1066"/>
        <w:gridCol w:w="884"/>
        <w:gridCol w:w="755"/>
        <w:gridCol w:w="985"/>
        <w:gridCol w:w="762"/>
        <w:gridCol w:w="875"/>
      </w:tblGrid>
      <w:tr w14:paraId="58CC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5018171">
            <w:pPr>
              <w:widowControl/>
              <w:jc w:val="center"/>
              <w:rPr>
                <w:rFonts w:ascii="Times New Roman" w:eastAsia="仿宋"/>
                <w:sz w:val="21"/>
                <w:szCs w:val="21"/>
              </w:rPr>
            </w:pPr>
            <w:r>
              <w:rPr>
                <w:rFonts w:ascii="Times New Roman" w:eastAsia="仿宋"/>
                <w:sz w:val="21"/>
                <w:szCs w:val="21"/>
              </w:rPr>
              <w:t>序号</w:t>
            </w:r>
          </w:p>
        </w:tc>
        <w:tc>
          <w:tcPr>
            <w:tcW w:w="1650" w:type="pct"/>
            <w:shd w:val="clear" w:color="auto" w:fill="auto"/>
            <w:noWrap/>
            <w:vAlign w:val="center"/>
          </w:tcPr>
          <w:p w14:paraId="79314C13">
            <w:pPr>
              <w:widowControl/>
              <w:jc w:val="center"/>
              <w:rPr>
                <w:rFonts w:ascii="Times New Roman" w:eastAsia="仿宋"/>
                <w:sz w:val="21"/>
                <w:szCs w:val="21"/>
              </w:rPr>
            </w:pPr>
            <w:r>
              <w:rPr>
                <w:rFonts w:ascii="Times New Roman" w:eastAsia="仿宋"/>
                <w:sz w:val="21"/>
                <w:szCs w:val="21"/>
              </w:rPr>
              <w:t>企业名称</w:t>
            </w:r>
          </w:p>
        </w:tc>
        <w:tc>
          <w:tcPr>
            <w:tcW w:w="604" w:type="pct"/>
            <w:shd w:val="clear" w:color="auto" w:fill="auto"/>
            <w:noWrap/>
            <w:vAlign w:val="center"/>
          </w:tcPr>
          <w:p w14:paraId="441B9E89">
            <w:pPr>
              <w:widowControl/>
              <w:jc w:val="center"/>
              <w:rPr>
                <w:rFonts w:ascii="Times New Roman" w:eastAsia="仿宋"/>
                <w:sz w:val="21"/>
                <w:szCs w:val="21"/>
              </w:rPr>
            </w:pPr>
            <w:r>
              <w:rPr>
                <w:rFonts w:ascii="Times New Roman" w:eastAsia="仿宋"/>
                <w:sz w:val="21"/>
                <w:szCs w:val="21"/>
              </w:rPr>
              <w:t>排放总量</w:t>
            </w:r>
          </w:p>
        </w:tc>
        <w:tc>
          <w:tcPr>
            <w:tcW w:w="501" w:type="pct"/>
            <w:shd w:val="clear" w:color="auto" w:fill="auto"/>
            <w:noWrap/>
            <w:vAlign w:val="center"/>
          </w:tcPr>
          <w:p w14:paraId="5ACAAFD6">
            <w:pPr>
              <w:widowControl/>
              <w:jc w:val="center"/>
              <w:rPr>
                <w:rFonts w:ascii="Times New Roman" w:eastAsia="仿宋"/>
                <w:sz w:val="21"/>
                <w:szCs w:val="21"/>
              </w:rPr>
            </w:pPr>
            <w:r>
              <w:rPr>
                <w:rFonts w:ascii="Times New Roman" w:eastAsia="仿宋"/>
                <w:sz w:val="21"/>
                <w:szCs w:val="21"/>
              </w:rPr>
              <w:t>COD</w:t>
            </w:r>
          </w:p>
        </w:tc>
        <w:tc>
          <w:tcPr>
            <w:tcW w:w="428" w:type="pct"/>
            <w:vAlign w:val="center"/>
          </w:tcPr>
          <w:p w14:paraId="398D10EC">
            <w:pPr>
              <w:widowControl/>
              <w:jc w:val="center"/>
              <w:rPr>
                <w:rFonts w:ascii="Times New Roman" w:eastAsia="仿宋"/>
                <w:sz w:val="21"/>
                <w:szCs w:val="21"/>
              </w:rPr>
            </w:pPr>
            <w:r>
              <w:rPr>
                <w:rFonts w:ascii="Times New Roman" w:eastAsia="仿宋"/>
                <w:sz w:val="21"/>
                <w:szCs w:val="21"/>
              </w:rPr>
              <w:t>SS</w:t>
            </w:r>
          </w:p>
        </w:tc>
        <w:tc>
          <w:tcPr>
            <w:tcW w:w="558" w:type="pct"/>
            <w:shd w:val="clear" w:color="auto" w:fill="auto"/>
            <w:noWrap/>
            <w:vAlign w:val="center"/>
          </w:tcPr>
          <w:p w14:paraId="591C89CC">
            <w:pPr>
              <w:widowControl/>
              <w:jc w:val="center"/>
              <w:rPr>
                <w:rFonts w:ascii="Times New Roman" w:eastAsia="仿宋"/>
                <w:sz w:val="21"/>
                <w:szCs w:val="21"/>
              </w:rPr>
            </w:pPr>
            <w:r>
              <w:rPr>
                <w:rFonts w:ascii="Times New Roman" w:eastAsia="仿宋"/>
                <w:sz w:val="21"/>
                <w:szCs w:val="21"/>
              </w:rPr>
              <w:t>氨氮</w:t>
            </w:r>
          </w:p>
        </w:tc>
        <w:tc>
          <w:tcPr>
            <w:tcW w:w="432" w:type="pct"/>
            <w:vAlign w:val="center"/>
          </w:tcPr>
          <w:p w14:paraId="36D94F4F">
            <w:pPr>
              <w:widowControl/>
              <w:jc w:val="center"/>
              <w:rPr>
                <w:rFonts w:ascii="Times New Roman" w:eastAsia="仿宋"/>
                <w:sz w:val="21"/>
                <w:szCs w:val="21"/>
              </w:rPr>
            </w:pPr>
            <w:r>
              <w:rPr>
                <w:rFonts w:ascii="Times New Roman" w:eastAsia="仿宋"/>
                <w:sz w:val="21"/>
                <w:szCs w:val="21"/>
              </w:rPr>
              <w:t>总氮</w:t>
            </w:r>
          </w:p>
        </w:tc>
        <w:tc>
          <w:tcPr>
            <w:tcW w:w="496" w:type="pct"/>
            <w:shd w:val="clear" w:color="auto" w:fill="auto"/>
            <w:noWrap/>
            <w:vAlign w:val="center"/>
          </w:tcPr>
          <w:p w14:paraId="40CA0DCF">
            <w:pPr>
              <w:widowControl/>
              <w:jc w:val="center"/>
              <w:rPr>
                <w:rFonts w:ascii="Times New Roman" w:eastAsia="仿宋"/>
                <w:sz w:val="21"/>
                <w:szCs w:val="21"/>
              </w:rPr>
            </w:pPr>
            <w:r>
              <w:rPr>
                <w:rFonts w:ascii="Times New Roman" w:eastAsia="仿宋"/>
                <w:sz w:val="21"/>
                <w:szCs w:val="21"/>
              </w:rPr>
              <w:t>总磷</w:t>
            </w:r>
          </w:p>
        </w:tc>
      </w:tr>
      <w:tr w14:paraId="2CBB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62F80F53">
            <w:pPr>
              <w:widowControl/>
              <w:jc w:val="center"/>
              <w:rPr>
                <w:rFonts w:ascii="Times New Roman" w:eastAsia="仿宋"/>
                <w:sz w:val="21"/>
                <w:szCs w:val="21"/>
              </w:rPr>
            </w:pPr>
            <w:r>
              <w:rPr>
                <w:rFonts w:hint="eastAsia" w:ascii="Times New Roman" w:eastAsia="仿宋"/>
                <w:sz w:val="21"/>
                <w:szCs w:val="21"/>
              </w:rPr>
              <w:t>1</w:t>
            </w:r>
          </w:p>
        </w:tc>
        <w:tc>
          <w:tcPr>
            <w:tcW w:w="1650" w:type="pct"/>
            <w:shd w:val="clear" w:color="auto" w:fill="auto"/>
            <w:noWrap/>
            <w:vAlign w:val="center"/>
          </w:tcPr>
          <w:p w14:paraId="5CDA7178">
            <w:pPr>
              <w:widowControl/>
              <w:jc w:val="center"/>
              <w:rPr>
                <w:rFonts w:ascii="Times New Roman" w:eastAsia="仿宋"/>
                <w:sz w:val="21"/>
                <w:szCs w:val="21"/>
              </w:rPr>
            </w:pPr>
            <w:r>
              <w:rPr>
                <w:rFonts w:ascii="Times New Roman" w:eastAsia="仿宋"/>
                <w:sz w:val="21"/>
                <w:szCs w:val="21"/>
              </w:rPr>
              <w:t>凡登（常州）新型金属材料技术有限公司</w:t>
            </w:r>
          </w:p>
        </w:tc>
        <w:tc>
          <w:tcPr>
            <w:tcW w:w="604" w:type="pct"/>
            <w:shd w:val="clear" w:color="auto" w:fill="auto"/>
            <w:noWrap/>
            <w:vAlign w:val="center"/>
          </w:tcPr>
          <w:p w14:paraId="4FF0D8FC">
            <w:pPr>
              <w:widowControl/>
              <w:jc w:val="center"/>
              <w:rPr>
                <w:rFonts w:ascii="Times New Roman" w:eastAsia="仿宋"/>
                <w:sz w:val="21"/>
                <w:szCs w:val="21"/>
              </w:rPr>
            </w:pPr>
            <w:r>
              <w:rPr>
                <w:rFonts w:ascii="Times New Roman" w:eastAsia="仿宋"/>
                <w:sz w:val="21"/>
                <w:szCs w:val="21"/>
              </w:rPr>
              <w:t>133980</w:t>
            </w:r>
          </w:p>
        </w:tc>
        <w:tc>
          <w:tcPr>
            <w:tcW w:w="501" w:type="pct"/>
            <w:shd w:val="clear" w:color="auto" w:fill="auto"/>
            <w:noWrap/>
            <w:vAlign w:val="center"/>
          </w:tcPr>
          <w:p w14:paraId="2482263C">
            <w:pPr>
              <w:widowControl/>
              <w:jc w:val="center"/>
              <w:rPr>
                <w:rFonts w:ascii="Times New Roman" w:eastAsia="仿宋"/>
                <w:sz w:val="21"/>
                <w:szCs w:val="21"/>
              </w:rPr>
            </w:pPr>
            <w:r>
              <w:rPr>
                <w:rFonts w:ascii="Times New Roman" w:eastAsia="仿宋"/>
                <w:sz w:val="21"/>
                <w:szCs w:val="21"/>
              </w:rPr>
              <w:t>43.962</w:t>
            </w:r>
          </w:p>
        </w:tc>
        <w:tc>
          <w:tcPr>
            <w:tcW w:w="428" w:type="pct"/>
            <w:vAlign w:val="center"/>
          </w:tcPr>
          <w:p w14:paraId="22ACCE22">
            <w:pPr>
              <w:widowControl/>
              <w:jc w:val="center"/>
              <w:rPr>
                <w:rFonts w:ascii="Times New Roman" w:eastAsia="仿宋"/>
                <w:sz w:val="21"/>
                <w:szCs w:val="21"/>
              </w:rPr>
            </w:pPr>
            <w:r>
              <w:rPr>
                <w:rFonts w:ascii="Times New Roman" w:eastAsia="仿宋"/>
                <w:sz w:val="21"/>
                <w:szCs w:val="21"/>
              </w:rPr>
              <w:t>14.386</w:t>
            </w:r>
          </w:p>
        </w:tc>
        <w:tc>
          <w:tcPr>
            <w:tcW w:w="558" w:type="pct"/>
            <w:shd w:val="clear" w:color="auto" w:fill="auto"/>
            <w:noWrap/>
            <w:vAlign w:val="center"/>
          </w:tcPr>
          <w:p w14:paraId="7966F042">
            <w:pPr>
              <w:widowControl/>
              <w:jc w:val="center"/>
              <w:rPr>
                <w:rFonts w:ascii="Times New Roman" w:eastAsia="仿宋"/>
                <w:sz w:val="21"/>
                <w:szCs w:val="21"/>
              </w:rPr>
            </w:pPr>
            <w:r>
              <w:rPr>
                <w:rFonts w:ascii="Times New Roman" w:eastAsia="仿宋"/>
                <w:sz w:val="21"/>
                <w:szCs w:val="21"/>
              </w:rPr>
              <w:t>1.593</w:t>
            </w:r>
          </w:p>
        </w:tc>
        <w:tc>
          <w:tcPr>
            <w:tcW w:w="432" w:type="pct"/>
            <w:vAlign w:val="center"/>
          </w:tcPr>
          <w:p w14:paraId="5B422AD0">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01964D60">
            <w:pPr>
              <w:widowControl/>
              <w:jc w:val="center"/>
              <w:rPr>
                <w:rFonts w:ascii="Times New Roman" w:eastAsia="仿宋"/>
                <w:sz w:val="21"/>
                <w:szCs w:val="21"/>
              </w:rPr>
            </w:pPr>
            <w:r>
              <w:rPr>
                <w:rFonts w:ascii="Times New Roman" w:eastAsia="仿宋"/>
                <w:sz w:val="21"/>
                <w:szCs w:val="21"/>
              </w:rPr>
              <w:t>0.212</w:t>
            </w:r>
          </w:p>
        </w:tc>
      </w:tr>
      <w:tr w14:paraId="5116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DAA7FC5">
            <w:pPr>
              <w:widowControl/>
              <w:jc w:val="center"/>
              <w:rPr>
                <w:rFonts w:ascii="Times New Roman" w:eastAsia="仿宋"/>
                <w:sz w:val="21"/>
                <w:szCs w:val="21"/>
              </w:rPr>
            </w:pPr>
            <w:r>
              <w:rPr>
                <w:rFonts w:hint="eastAsia" w:ascii="Times New Roman" w:eastAsia="仿宋"/>
                <w:sz w:val="21"/>
                <w:szCs w:val="21"/>
              </w:rPr>
              <w:t>2</w:t>
            </w:r>
          </w:p>
        </w:tc>
        <w:tc>
          <w:tcPr>
            <w:tcW w:w="1650" w:type="pct"/>
            <w:shd w:val="clear" w:color="auto" w:fill="auto"/>
            <w:noWrap/>
            <w:vAlign w:val="center"/>
          </w:tcPr>
          <w:p w14:paraId="32EB85C3">
            <w:pPr>
              <w:widowControl/>
              <w:jc w:val="center"/>
              <w:rPr>
                <w:rFonts w:ascii="Times New Roman" w:eastAsia="仿宋"/>
                <w:sz w:val="21"/>
                <w:szCs w:val="21"/>
              </w:rPr>
            </w:pPr>
            <w:r>
              <w:rPr>
                <w:rFonts w:ascii="Times New Roman" w:eastAsia="仿宋"/>
                <w:sz w:val="21"/>
                <w:szCs w:val="21"/>
              </w:rPr>
              <w:t>常州京洋半导体材料科技有限公司</w:t>
            </w:r>
          </w:p>
        </w:tc>
        <w:tc>
          <w:tcPr>
            <w:tcW w:w="604" w:type="pct"/>
            <w:shd w:val="clear" w:color="auto" w:fill="auto"/>
            <w:noWrap/>
            <w:vAlign w:val="center"/>
          </w:tcPr>
          <w:p w14:paraId="2306A382">
            <w:pPr>
              <w:widowControl/>
              <w:jc w:val="center"/>
              <w:rPr>
                <w:rFonts w:ascii="Times New Roman" w:eastAsia="仿宋"/>
                <w:sz w:val="21"/>
                <w:szCs w:val="21"/>
              </w:rPr>
            </w:pPr>
            <w:r>
              <w:rPr>
                <w:rFonts w:ascii="Times New Roman" w:eastAsia="仿宋"/>
                <w:sz w:val="21"/>
                <w:szCs w:val="21"/>
              </w:rPr>
              <w:t>1630</w:t>
            </w:r>
          </w:p>
        </w:tc>
        <w:tc>
          <w:tcPr>
            <w:tcW w:w="501" w:type="pct"/>
            <w:shd w:val="clear" w:color="auto" w:fill="auto"/>
            <w:noWrap/>
            <w:vAlign w:val="center"/>
          </w:tcPr>
          <w:p w14:paraId="03BDBE7C">
            <w:pPr>
              <w:widowControl/>
              <w:jc w:val="center"/>
              <w:rPr>
                <w:rFonts w:ascii="Times New Roman" w:eastAsia="仿宋"/>
                <w:sz w:val="21"/>
                <w:szCs w:val="21"/>
              </w:rPr>
            </w:pPr>
            <w:r>
              <w:rPr>
                <w:rFonts w:ascii="Times New Roman" w:eastAsia="仿宋"/>
                <w:sz w:val="21"/>
                <w:szCs w:val="21"/>
              </w:rPr>
              <w:t>0.653</w:t>
            </w:r>
          </w:p>
        </w:tc>
        <w:tc>
          <w:tcPr>
            <w:tcW w:w="428" w:type="pct"/>
            <w:vAlign w:val="center"/>
          </w:tcPr>
          <w:p w14:paraId="2B43CD5D">
            <w:pPr>
              <w:widowControl/>
              <w:jc w:val="center"/>
              <w:rPr>
                <w:rFonts w:ascii="Times New Roman" w:eastAsia="仿宋"/>
                <w:sz w:val="21"/>
                <w:szCs w:val="21"/>
              </w:rPr>
            </w:pPr>
            <w:r>
              <w:rPr>
                <w:rFonts w:ascii="Times New Roman" w:eastAsia="仿宋"/>
                <w:sz w:val="21"/>
                <w:szCs w:val="21"/>
              </w:rPr>
              <w:t>0.322</w:t>
            </w:r>
          </w:p>
        </w:tc>
        <w:tc>
          <w:tcPr>
            <w:tcW w:w="558" w:type="pct"/>
            <w:shd w:val="clear" w:color="auto" w:fill="auto"/>
            <w:noWrap/>
            <w:vAlign w:val="center"/>
          </w:tcPr>
          <w:p w14:paraId="1C089752">
            <w:pPr>
              <w:widowControl/>
              <w:jc w:val="center"/>
              <w:rPr>
                <w:rFonts w:ascii="Times New Roman" w:eastAsia="仿宋"/>
                <w:sz w:val="21"/>
                <w:szCs w:val="21"/>
              </w:rPr>
            </w:pPr>
            <w:r>
              <w:rPr>
                <w:rFonts w:ascii="Times New Roman" w:eastAsia="仿宋"/>
                <w:sz w:val="21"/>
                <w:szCs w:val="21"/>
              </w:rPr>
              <w:t>0.032</w:t>
            </w:r>
          </w:p>
        </w:tc>
        <w:tc>
          <w:tcPr>
            <w:tcW w:w="432" w:type="pct"/>
            <w:vAlign w:val="center"/>
          </w:tcPr>
          <w:p w14:paraId="5EB5780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7193FC63">
            <w:pPr>
              <w:widowControl/>
              <w:jc w:val="center"/>
              <w:rPr>
                <w:rFonts w:ascii="Times New Roman" w:eastAsia="仿宋"/>
                <w:sz w:val="21"/>
                <w:szCs w:val="21"/>
              </w:rPr>
            </w:pPr>
            <w:r>
              <w:rPr>
                <w:rFonts w:ascii="Times New Roman" w:eastAsia="仿宋"/>
                <w:sz w:val="21"/>
                <w:szCs w:val="21"/>
              </w:rPr>
              <w:t>0.005</w:t>
            </w:r>
          </w:p>
        </w:tc>
      </w:tr>
      <w:tr w14:paraId="1BD0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1D6B329">
            <w:pPr>
              <w:widowControl/>
              <w:jc w:val="center"/>
              <w:rPr>
                <w:rFonts w:ascii="Times New Roman" w:eastAsia="仿宋"/>
                <w:sz w:val="21"/>
                <w:szCs w:val="21"/>
              </w:rPr>
            </w:pPr>
            <w:r>
              <w:rPr>
                <w:rFonts w:hint="eastAsia" w:ascii="Times New Roman" w:eastAsia="仿宋"/>
                <w:sz w:val="21"/>
                <w:szCs w:val="21"/>
              </w:rPr>
              <w:t>3</w:t>
            </w:r>
          </w:p>
        </w:tc>
        <w:tc>
          <w:tcPr>
            <w:tcW w:w="1650" w:type="pct"/>
            <w:shd w:val="clear" w:color="auto" w:fill="auto"/>
            <w:noWrap/>
            <w:vAlign w:val="center"/>
          </w:tcPr>
          <w:p w14:paraId="581540FE">
            <w:pPr>
              <w:widowControl/>
              <w:jc w:val="center"/>
              <w:rPr>
                <w:rFonts w:ascii="Times New Roman" w:eastAsia="仿宋"/>
                <w:sz w:val="21"/>
                <w:szCs w:val="21"/>
              </w:rPr>
            </w:pPr>
            <w:r>
              <w:rPr>
                <w:rFonts w:ascii="Times New Roman" w:eastAsia="仿宋"/>
                <w:sz w:val="21"/>
                <w:szCs w:val="21"/>
              </w:rPr>
              <w:t>常州盈美新材料科技有限公司</w:t>
            </w:r>
          </w:p>
        </w:tc>
        <w:tc>
          <w:tcPr>
            <w:tcW w:w="604" w:type="pct"/>
            <w:shd w:val="clear" w:color="auto" w:fill="auto"/>
            <w:noWrap/>
            <w:vAlign w:val="center"/>
          </w:tcPr>
          <w:p w14:paraId="0B97F77E">
            <w:pPr>
              <w:widowControl/>
              <w:jc w:val="center"/>
              <w:rPr>
                <w:rFonts w:ascii="Times New Roman" w:eastAsia="仿宋"/>
                <w:sz w:val="21"/>
                <w:szCs w:val="21"/>
              </w:rPr>
            </w:pPr>
            <w:r>
              <w:rPr>
                <w:rFonts w:ascii="Times New Roman" w:eastAsia="仿宋"/>
                <w:sz w:val="21"/>
                <w:szCs w:val="21"/>
              </w:rPr>
              <w:t>864</w:t>
            </w:r>
          </w:p>
        </w:tc>
        <w:tc>
          <w:tcPr>
            <w:tcW w:w="501" w:type="pct"/>
            <w:shd w:val="clear" w:color="auto" w:fill="auto"/>
            <w:noWrap/>
            <w:vAlign w:val="center"/>
          </w:tcPr>
          <w:p w14:paraId="50208EEC">
            <w:pPr>
              <w:widowControl/>
              <w:jc w:val="center"/>
              <w:rPr>
                <w:rFonts w:ascii="Times New Roman" w:eastAsia="仿宋"/>
                <w:sz w:val="21"/>
                <w:szCs w:val="21"/>
              </w:rPr>
            </w:pPr>
            <w:r>
              <w:rPr>
                <w:rFonts w:ascii="Times New Roman" w:eastAsia="仿宋"/>
                <w:sz w:val="21"/>
                <w:szCs w:val="21"/>
              </w:rPr>
              <w:t>0.346</w:t>
            </w:r>
          </w:p>
        </w:tc>
        <w:tc>
          <w:tcPr>
            <w:tcW w:w="428" w:type="pct"/>
            <w:vAlign w:val="center"/>
          </w:tcPr>
          <w:p w14:paraId="49ED762F">
            <w:pPr>
              <w:widowControl/>
              <w:jc w:val="center"/>
              <w:rPr>
                <w:rFonts w:ascii="Times New Roman" w:eastAsia="仿宋"/>
                <w:sz w:val="21"/>
                <w:szCs w:val="21"/>
              </w:rPr>
            </w:pPr>
            <w:r>
              <w:rPr>
                <w:rFonts w:ascii="Times New Roman" w:eastAsia="仿宋"/>
                <w:sz w:val="21"/>
                <w:szCs w:val="21"/>
              </w:rPr>
              <w:t>0.108</w:t>
            </w:r>
          </w:p>
        </w:tc>
        <w:tc>
          <w:tcPr>
            <w:tcW w:w="558" w:type="pct"/>
            <w:shd w:val="clear" w:color="auto" w:fill="auto"/>
            <w:noWrap/>
            <w:vAlign w:val="center"/>
          </w:tcPr>
          <w:p w14:paraId="72D84890">
            <w:pPr>
              <w:widowControl/>
              <w:jc w:val="center"/>
              <w:rPr>
                <w:rFonts w:ascii="Times New Roman" w:eastAsia="仿宋"/>
                <w:sz w:val="21"/>
                <w:szCs w:val="21"/>
              </w:rPr>
            </w:pPr>
            <w:r>
              <w:rPr>
                <w:rFonts w:ascii="Times New Roman" w:eastAsia="仿宋"/>
                <w:sz w:val="21"/>
                <w:szCs w:val="21"/>
              </w:rPr>
              <w:t>0.026</w:t>
            </w:r>
          </w:p>
        </w:tc>
        <w:tc>
          <w:tcPr>
            <w:tcW w:w="432" w:type="pct"/>
            <w:vAlign w:val="center"/>
          </w:tcPr>
          <w:p w14:paraId="21E6756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4D556442">
            <w:pPr>
              <w:widowControl/>
              <w:jc w:val="center"/>
              <w:rPr>
                <w:rFonts w:ascii="Times New Roman" w:eastAsia="仿宋"/>
                <w:sz w:val="21"/>
                <w:szCs w:val="21"/>
              </w:rPr>
            </w:pPr>
            <w:r>
              <w:rPr>
                <w:rFonts w:ascii="Times New Roman" w:eastAsia="仿宋"/>
                <w:sz w:val="21"/>
                <w:szCs w:val="21"/>
              </w:rPr>
              <w:t>0.003</w:t>
            </w:r>
          </w:p>
        </w:tc>
      </w:tr>
      <w:tr w14:paraId="2703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5A049FB1">
            <w:pPr>
              <w:widowControl/>
              <w:jc w:val="center"/>
              <w:rPr>
                <w:rFonts w:ascii="Times New Roman" w:eastAsia="仿宋"/>
                <w:sz w:val="21"/>
                <w:szCs w:val="21"/>
              </w:rPr>
            </w:pPr>
            <w:r>
              <w:rPr>
                <w:rFonts w:hint="eastAsia" w:ascii="Times New Roman" w:eastAsia="仿宋"/>
                <w:sz w:val="21"/>
                <w:szCs w:val="21"/>
              </w:rPr>
              <w:t>4</w:t>
            </w:r>
          </w:p>
        </w:tc>
        <w:tc>
          <w:tcPr>
            <w:tcW w:w="1650" w:type="pct"/>
            <w:shd w:val="clear" w:color="auto" w:fill="auto"/>
            <w:noWrap/>
            <w:vAlign w:val="center"/>
          </w:tcPr>
          <w:p w14:paraId="601E36BB">
            <w:pPr>
              <w:widowControl/>
              <w:jc w:val="center"/>
              <w:rPr>
                <w:rFonts w:ascii="Times New Roman" w:eastAsia="仿宋"/>
                <w:sz w:val="21"/>
                <w:szCs w:val="21"/>
              </w:rPr>
            </w:pPr>
            <w:r>
              <w:rPr>
                <w:rFonts w:ascii="Times New Roman" w:eastAsia="仿宋"/>
                <w:sz w:val="21"/>
                <w:szCs w:val="21"/>
              </w:rPr>
              <w:t>常州市天顺能源科技有限公司</w:t>
            </w:r>
          </w:p>
        </w:tc>
        <w:tc>
          <w:tcPr>
            <w:tcW w:w="604" w:type="pct"/>
            <w:shd w:val="clear" w:color="auto" w:fill="auto"/>
            <w:noWrap/>
            <w:vAlign w:val="center"/>
          </w:tcPr>
          <w:p w14:paraId="7533B558">
            <w:pPr>
              <w:widowControl/>
              <w:jc w:val="center"/>
              <w:rPr>
                <w:rFonts w:ascii="Times New Roman" w:eastAsia="仿宋"/>
                <w:sz w:val="21"/>
                <w:szCs w:val="21"/>
              </w:rPr>
            </w:pPr>
            <w:r>
              <w:rPr>
                <w:rFonts w:ascii="Times New Roman" w:eastAsia="仿宋"/>
                <w:sz w:val="21"/>
                <w:szCs w:val="21"/>
              </w:rPr>
              <w:t>2400</w:t>
            </w:r>
          </w:p>
        </w:tc>
        <w:tc>
          <w:tcPr>
            <w:tcW w:w="501" w:type="pct"/>
            <w:shd w:val="clear" w:color="auto" w:fill="auto"/>
            <w:noWrap/>
            <w:vAlign w:val="center"/>
          </w:tcPr>
          <w:p w14:paraId="7F00E6DB">
            <w:pPr>
              <w:widowControl/>
              <w:jc w:val="center"/>
              <w:rPr>
                <w:rFonts w:ascii="Times New Roman" w:eastAsia="仿宋"/>
                <w:sz w:val="21"/>
                <w:szCs w:val="21"/>
              </w:rPr>
            </w:pPr>
            <w:r>
              <w:rPr>
                <w:rFonts w:ascii="Times New Roman" w:eastAsia="仿宋"/>
                <w:sz w:val="21"/>
                <w:szCs w:val="21"/>
              </w:rPr>
              <w:t>0.72</w:t>
            </w:r>
          </w:p>
        </w:tc>
        <w:tc>
          <w:tcPr>
            <w:tcW w:w="428" w:type="pct"/>
            <w:vAlign w:val="center"/>
          </w:tcPr>
          <w:p w14:paraId="14B96D90">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0892755B">
            <w:pPr>
              <w:widowControl/>
              <w:jc w:val="center"/>
              <w:rPr>
                <w:rFonts w:ascii="Times New Roman" w:eastAsia="仿宋"/>
                <w:sz w:val="21"/>
                <w:szCs w:val="21"/>
              </w:rPr>
            </w:pPr>
            <w:r>
              <w:rPr>
                <w:rFonts w:ascii="Times New Roman" w:eastAsia="仿宋"/>
                <w:sz w:val="21"/>
                <w:szCs w:val="21"/>
              </w:rPr>
              <w:t>0.06</w:t>
            </w:r>
          </w:p>
        </w:tc>
        <w:tc>
          <w:tcPr>
            <w:tcW w:w="432" w:type="pct"/>
            <w:vAlign w:val="center"/>
          </w:tcPr>
          <w:p w14:paraId="6F929F93">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17D1DD6F">
            <w:pPr>
              <w:widowControl/>
              <w:jc w:val="center"/>
              <w:rPr>
                <w:rFonts w:ascii="Times New Roman" w:eastAsia="仿宋"/>
                <w:sz w:val="21"/>
                <w:szCs w:val="21"/>
              </w:rPr>
            </w:pPr>
            <w:r>
              <w:rPr>
                <w:rFonts w:ascii="Times New Roman" w:eastAsia="仿宋"/>
                <w:sz w:val="21"/>
                <w:szCs w:val="21"/>
              </w:rPr>
              <w:t>0.012</w:t>
            </w:r>
          </w:p>
        </w:tc>
      </w:tr>
      <w:tr w14:paraId="672B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56C26C1">
            <w:pPr>
              <w:widowControl/>
              <w:jc w:val="center"/>
              <w:rPr>
                <w:rFonts w:ascii="Times New Roman" w:eastAsia="仿宋"/>
                <w:sz w:val="21"/>
                <w:szCs w:val="21"/>
              </w:rPr>
            </w:pPr>
            <w:r>
              <w:rPr>
                <w:rFonts w:hint="eastAsia" w:ascii="Times New Roman" w:eastAsia="仿宋"/>
                <w:sz w:val="21"/>
                <w:szCs w:val="21"/>
              </w:rPr>
              <w:t>5</w:t>
            </w:r>
          </w:p>
        </w:tc>
        <w:tc>
          <w:tcPr>
            <w:tcW w:w="1650" w:type="pct"/>
            <w:shd w:val="clear" w:color="auto" w:fill="auto"/>
            <w:noWrap/>
            <w:vAlign w:val="center"/>
          </w:tcPr>
          <w:p w14:paraId="51E7F754">
            <w:pPr>
              <w:widowControl/>
              <w:jc w:val="center"/>
              <w:rPr>
                <w:rFonts w:ascii="Times New Roman" w:eastAsia="仿宋"/>
                <w:sz w:val="21"/>
                <w:szCs w:val="21"/>
              </w:rPr>
            </w:pPr>
            <w:r>
              <w:rPr>
                <w:rFonts w:ascii="Times New Roman" w:eastAsia="仿宋"/>
                <w:sz w:val="21"/>
                <w:szCs w:val="21"/>
              </w:rPr>
              <w:t>江苏常链传动机械有限公司</w:t>
            </w:r>
          </w:p>
        </w:tc>
        <w:tc>
          <w:tcPr>
            <w:tcW w:w="604" w:type="pct"/>
            <w:shd w:val="clear" w:color="auto" w:fill="auto"/>
            <w:noWrap/>
            <w:vAlign w:val="center"/>
          </w:tcPr>
          <w:p w14:paraId="3796EB68">
            <w:pPr>
              <w:widowControl/>
              <w:jc w:val="center"/>
              <w:rPr>
                <w:rFonts w:ascii="Times New Roman" w:eastAsia="仿宋"/>
                <w:sz w:val="21"/>
                <w:szCs w:val="21"/>
              </w:rPr>
            </w:pPr>
            <w:r>
              <w:rPr>
                <w:rFonts w:ascii="Times New Roman" w:eastAsia="仿宋"/>
                <w:sz w:val="21"/>
                <w:szCs w:val="21"/>
              </w:rPr>
              <w:t>1700</w:t>
            </w:r>
          </w:p>
        </w:tc>
        <w:tc>
          <w:tcPr>
            <w:tcW w:w="501" w:type="pct"/>
            <w:shd w:val="clear" w:color="auto" w:fill="auto"/>
            <w:noWrap/>
            <w:vAlign w:val="center"/>
          </w:tcPr>
          <w:p w14:paraId="57E41708">
            <w:pPr>
              <w:widowControl/>
              <w:jc w:val="center"/>
              <w:rPr>
                <w:rFonts w:ascii="Times New Roman" w:eastAsia="仿宋"/>
                <w:sz w:val="21"/>
                <w:szCs w:val="21"/>
              </w:rPr>
            </w:pPr>
            <w:r>
              <w:rPr>
                <w:rFonts w:ascii="Times New Roman" w:eastAsia="仿宋"/>
                <w:sz w:val="21"/>
                <w:szCs w:val="21"/>
              </w:rPr>
              <w:t>0.255</w:t>
            </w:r>
          </w:p>
        </w:tc>
        <w:tc>
          <w:tcPr>
            <w:tcW w:w="428" w:type="pct"/>
            <w:vAlign w:val="center"/>
          </w:tcPr>
          <w:p w14:paraId="679A02AA">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39E56020">
            <w:pPr>
              <w:widowControl/>
              <w:jc w:val="center"/>
              <w:rPr>
                <w:rFonts w:ascii="Times New Roman" w:eastAsia="仿宋"/>
                <w:sz w:val="21"/>
                <w:szCs w:val="21"/>
              </w:rPr>
            </w:pPr>
            <w:r>
              <w:rPr>
                <w:rFonts w:ascii="Times New Roman" w:eastAsia="仿宋"/>
                <w:sz w:val="21"/>
                <w:szCs w:val="21"/>
              </w:rPr>
              <w:t>0.068</w:t>
            </w:r>
          </w:p>
        </w:tc>
        <w:tc>
          <w:tcPr>
            <w:tcW w:w="432" w:type="pct"/>
            <w:vAlign w:val="center"/>
          </w:tcPr>
          <w:p w14:paraId="147B508A">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4EBCA746">
            <w:pPr>
              <w:widowControl/>
              <w:jc w:val="center"/>
              <w:rPr>
                <w:rFonts w:ascii="Times New Roman" w:eastAsia="仿宋"/>
                <w:sz w:val="21"/>
                <w:szCs w:val="21"/>
              </w:rPr>
            </w:pPr>
            <w:r>
              <w:rPr>
                <w:rFonts w:ascii="Times New Roman" w:eastAsia="仿宋"/>
                <w:sz w:val="21"/>
                <w:szCs w:val="21"/>
              </w:rPr>
              <w:t>0.003</w:t>
            </w:r>
          </w:p>
        </w:tc>
      </w:tr>
      <w:tr w14:paraId="4CF7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DCD038D">
            <w:pPr>
              <w:widowControl/>
              <w:jc w:val="center"/>
              <w:rPr>
                <w:rFonts w:ascii="Times New Roman" w:eastAsia="仿宋"/>
                <w:sz w:val="21"/>
                <w:szCs w:val="21"/>
              </w:rPr>
            </w:pPr>
            <w:r>
              <w:rPr>
                <w:rFonts w:hint="eastAsia" w:ascii="Times New Roman" w:eastAsia="仿宋"/>
                <w:sz w:val="21"/>
                <w:szCs w:val="21"/>
              </w:rPr>
              <w:t>6</w:t>
            </w:r>
          </w:p>
        </w:tc>
        <w:tc>
          <w:tcPr>
            <w:tcW w:w="1650" w:type="pct"/>
            <w:shd w:val="clear" w:color="auto" w:fill="auto"/>
            <w:noWrap/>
            <w:vAlign w:val="center"/>
          </w:tcPr>
          <w:p w14:paraId="768482F3">
            <w:pPr>
              <w:widowControl/>
              <w:jc w:val="center"/>
              <w:rPr>
                <w:rFonts w:ascii="Times New Roman" w:eastAsia="仿宋"/>
                <w:sz w:val="21"/>
                <w:szCs w:val="21"/>
              </w:rPr>
            </w:pPr>
            <w:r>
              <w:rPr>
                <w:rFonts w:ascii="Times New Roman" w:eastAsia="仿宋"/>
                <w:sz w:val="21"/>
                <w:szCs w:val="21"/>
              </w:rPr>
              <w:t>江苏天鑫机械科技有限公司</w:t>
            </w:r>
          </w:p>
        </w:tc>
        <w:tc>
          <w:tcPr>
            <w:tcW w:w="604" w:type="pct"/>
            <w:shd w:val="clear" w:color="auto" w:fill="auto"/>
            <w:noWrap/>
            <w:vAlign w:val="center"/>
          </w:tcPr>
          <w:p w14:paraId="3C01ACD2">
            <w:pPr>
              <w:widowControl/>
              <w:jc w:val="center"/>
              <w:rPr>
                <w:rFonts w:ascii="Times New Roman" w:eastAsia="仿宋"/>
                <w:sz w:val="21"/>
                <w:szCs w:val="21"/>
              </w:rPr>
            </w:pPr>
            <w:r>
              <w:rPr>
                <w:rFonts w:ascii="Times New Roman" w:eastAsia="仿宋"/>
                <w:sz w:val="21"/>
                <w:szCs w:val="21"/>
              </w:rPr>
              <w:t>1340</w:t>
            </w:r>
          </w:p>
        </w:tc>
        <w:tc>
          <w:tcPr>
            <w:tcW w:w="501" w:type="pct"/>
            <w:shd w:val="clear" w:color="auto" w:fill="auto"/>
            <w:noWrap/>
            <w:vAlign w:val="center"/>
          </w:tcPr>
          <w:p w14:paraId="6124E697">
            <w:pPr>
              <w:widowControl/>
              <w:jc w:val="center"/>
              <w:rPr>
                <w:rFonts w:ascii="Times New Roman" w:eastAsia="仿宋"/>
                <w:sz w:val="21"/>
                <w:szCs w:val="21"/>
              </w:rPr>
            </w:pPr>
            <w:r>
              <w:rPr>
                <w:rFonts w:ascii="Times New Roman" w:eastAsia="仿宋"/>
                <w:sz w:val="21"/>
                <w:szCs w:val="21"/>
              </w:rPr>
              <w:t>0.538</w:t>
            </w:r>
          </w:p>
        </w:tc>
        <w:tc>
          <w:tcPr>
            <w:tcW w:w="428" w:type="pct"/>
            <w:vAlign w:val="center"/>
          </w:tcPr>
          <w:p w14:paraId="38637643">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5D12762">
            <w:pPr>
              <w:widowControl/>
              <w:jc w:val="center"/>
              <w:rPr>
                <w:rFonts w:ascii="Times New Roman" w:eastAsia="仿宋"/>
                <w:sz w:val="21"/>
                <w:szCs w:val="21"/>
              </w:rPr>
            </w:pPr>
            <w:r>
              <w:rPr>
                <w:rFonts w:ascii="Times New Roman" w:eastAsia="仿宋"/>
                <w:sz w:val="21"/>
                <w:szCs w:val="21"/>
              </w:rPr>
              <w:t>0.034</w:t>
            </w:r>
          </w:p>
        </w:tc>
        <w:tc>
          <w:tcPr>
            <w:tcW w:w="432" w:type="pct"/>
            <w:vAlign w:val="center"/>
          </w:tcPr>
          <w:p w14:paraId="6D51F0D7">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7601848B">
            <w:pPr>
              <w:widowControl/>
              <w:jc w:val="center"/>
              <w:rPr>
                <w:rFonts w:ascii="Times New Roman" w:eastAsia="仿宋"/>
                <w:sz w:val="21"/>
                <w:szCs w:val="21"/>
              </w:rPr>
            </w:pPr>
            <w:r>
              <w:rPr>
                <w:rFonts w:ascii="Times New Roman" w:eastAsia="仿宋"/>
                <w:sz w:val="21"/>
                <w:szCs w:val="21"/>
              </w:rPr>
              <w:t>0.004</w:t>
            </w:r>
          </w:p>
        </w:tc>
      </w:tr>
      <w:tr w14:paraId="78E2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DBB3681">
            <w:pPr>
              <w:widowControl/>
              <w:jc w:val="center"/>
              <w:rPr>
                <w:rFonts w:ascii="Times New Roman" w:eastAsia="仿宋"/>
                <w:sz w:val="21"/>
                <w:szCs w:val="21"/>
              </w:rPr>
            </w:pPr>
            <w:r>
              <w:rPr>
                <w:rFonts w:hint="eastAsia" w:ascii="Times New Roman" w:eastAsia="仿宋"/>
                <w:sz w:val="21"/>
                <w:szCs w:val="21"/>
              </w:rPr>
              <w:t>7</w:t>
            </w:r>
          </w:p>
        </w:tc>
        <w:tc>
          <w:tcPr>
            <w:tcW w:w="1650" w:type="pct"/>
            <w:shd w:val="clear" w:color="auto" w:fill="auto"/>
            <w:noWrap/>
            <w:vAlign w:val="center"/>
          </w:tcPr>
          <w:p w14:paraId="4F4F86E0">
            <w:pPr>
              <w:widowControl/>
              <w:jc w:val="center"/>
              <w:rPr>
                <w:rFonts w:ascii="Times New Roman" w:eastAsia="仿宋"/>
                <w:sz w:val="21"/>
                <w:szCs w:val="21"/>
              </w:rPr>
            </w:pPr>
            <w:r>
              <w:rPr>
                <w:rFonts w:ascii="Times New Roman" w:eastAsia="仿宋"/>
                <w:sz w:val="21"/>
                <w:szCs w:val="21"/>
              </w:rPr>
              <w:t>江苏远能电力设备有限公司</w:t>
            </w:r>
          </w:p>
        </w:tc>
        <w:tc>
          <w:tcPr>
            <w:tcW w:w="604" w:type="pct"/>
            <w:shd w:val="clear" w:color="auto" w:fill="auto"/>
            <w:noWrap/>
            <w:vAlign w:val="center"/>
          </w:tcPr>
          <w:p w14:paraId="5532A794">
            <w:pPr>
              <w:widowControl/>
              <w:jc w:val="center"/>
              <w:rPr>
                <w:rFonts w:ascii="Times New Roman" w:eastAsia="仿宋"/>
                <w:sz w:val="21"/>
                <w:szCs w:val="21"/>
              </w:rPr>
            </w:pPr>
            <w:r>
              <w:rPr>
                <w:rFonts w:ascii="Times New Roman" w:eastAsia="仿宋"/>
                <w:sz w:val="21"/>
                <w:szCs w:val="21"/>
              </w:rPr>
              <w:t>450</w:t>
            </w:r>
          </w:p>
        </w:tc>
        <w:tc>
          <w:tcPr>
            <w:tcW w:w="501" w:type="pct"/>
            <w:shd w:val="clear" w:color="auto" w:fill="auto"/>
            <w:noWrap/>
            <w:vAlign w:val="center"/>
          </w:tcPr>
          <w:p w14:paraId="2309EC44">
            <w:pPr>
              <w:widowControl/>
              <w:jc w:val="center"/>
              <w:rPr>
                <w:rFonts w:ascii="Times New Roman" w:eastAsia="仿宋"/>
                <w:sz w:val="21"/>
                <w:szCs w:val="21"/>
              </w:rPr>
            </w:pPr>
            <w:r>
              <w:rPr>
                <w:rFonts w:ascii="Times New Roman" w:eastAsia="仿宋"/>
                <w:sz w:val="21"/>
                <w:szCs w:val="21"/>
              </w:rPr>
              <w:t>0.18</w:t>
            </w:r>
          </w:p>
        </w:tc>
        <w:tc>
          <w:tcPr>
            <w:tcW w:w="428" w:type="pct"/>
            <w:vAlign w:val="center"/>
          </w:tcPr>
          <w:p w14:paraId="32FC11F9">
            <w:pPr>
              <w:widowControl/>
              <w:jc w:val="center"/>
              <w:rPr>
                <w:rFonts w:ascii="Times New Roman" w:eastAsia="仿宋"/>
                <w:sz w:val="21"/>
                <w:szCs w:val="21"/>
              </w:rPr>
            </w:pPr>
            <w:r>
              <w:rPr>
                <w:rFonts w:ascii="Times New Roman" w:eastAsia="仿宋"/>
                <w:sz w:val="21"/>
                <w:szCs w:val="21"/>
              </w:rPr>
              <w:t>0.14</w:t>
            </w:r>
          </w:p>
        </w:tc>
        <w:tc>
          <w:tcPr>
            <w:tcW w:w="558" w:type="pct"/>
            <w:shd w:val="clear" w:color="auto" w:fill="auto"/>
            <w:noWrap/>
            <w:vAlign w:val="center"/>
          </w:tcPr>
          <w:p w14:paraId="03399D94">
            <w:pPr>
              <w:widowControl/>
              <w:jc w:val="center"/>
              <w:rPr>
                <w:rFonts w:ascii="Times New Roman" w:eastAsia="仿宋"/>
                <w:sz w:val="21"/>
                <w:szCs w:val="21"/>
              </w:rPr>
            </w:pPr>
            <w:r>
              <w:rPr>
                <w:rFonts w:ascii="Times New Roman" w:eastAsia="仿宋"/>
                <w:sz w:val="21"/>
                <w:szCs w:val="21"/>
              </w:rPr>
              <w:t>0.014</w:t>
            </w:r>
          </w:p>
        </w:tc>
        <w:tc>
          <w:tcPr>
            <w:tcW w:w="432" w:type="pct"/>
            <w:vAlign w:val="center"/>
          </w:tcPr>
          <w:p w14:paraId="3851B0B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297617C0">
            <w:pPr>
              <w:widowControl/>
              <w:jc w:val="center"/>
              <w:rPr>
                <w:rFonts w:ascii="Times New Roman" w:eastAsia="仿宋"/>
                <w:sz w:val="21"/>
                <w:szCs w:val="21"/>
              </w:rPr>
            </w:pPr>
            <w:r>
              <w:rPr>
                <w:rFonts w:ascii="Times New Roman" w:eastAsia="仿宋"/>
                <w:sz w:val="21"/>
                <w:szCs w:val="21"/>
              </w:rPr>
              <w:t>0.0014</w:t>
            </w:r>
          </w:p>
        </w:tc>
      </w:tr>
      <w:tr w14:paraId="5D7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458820BF">
            <w:pPr>
              <w:widowControl/>
              <w:jc w:val="center"/>
              <w:rPr>
                <w:rFonts w:ascii="Times New Roman" w:eastAsia="仿宋"/>
                <w:sz w:val="21"/>
                <w:szCs w:val="21"/>
              </w:rPr>
            </w:pPr>
            <w:r>
              <w:rPr>
                <w:rFonts w:hint="eastAsia" w:ascii="Times New Roman" w:eastAsia="仿宋"/>
                <w:sz w:val="21"/>
                <w:szCs w:val="21"/>
              </w:rPr>
              <w:t>8</w:t>
            </w:r>
          </w:p>
        </w:tc>
        <w:tc>
          <w:tcPr>
            <w:tcW w:w="1650" w:type="pct"/>
            <w:shd w:val="clear" w:color="auto" w:fill="auto"/>
            <w:noWrap/>
            <w:vAlign w:val="center"/>
          </w:tcPr>
          <w:p w14:paraId="2A159B93">
            <w:pPr>
              <w:widowControl/>
              <w:jc w:val="center"/>
              <w:rPr>
                <w:rFonts w:ascii="Times New Roman" w:eastAsia="仿宋"/>
                <w:sz w:val="21"/>
                <w:szCs w:val="21"/>
              </w:rPr>
            </w:pPr>
            <w:r>
              <w:rPr>
                <w:rFonts w:ascii="Times New Roman" w:eastAsia="仿宋"/>
                <w:sz w:val="21"/>
                <w:szCs w:val="21"/>
              </w:rPr>
              <w:t>常州市和顺玻璃制品有限公司</w:t>
            </w:r>
          </w:p>
        </w:tc>
        <w:tc>
          <w:tcPr>
            <w:tcW w:w="604" w:type="pct"/>
            <w:shd w:val="clear" w:color="auto" w:fill="auto"/>
            <w:noWrap/>
            <w:vAlign w:val="center"/>
          </w:tcPr>
          <w:p w14:paraId="40FEBCC2">
            <w:pPr>
              <w:widowControl/>
              <w:jc w:val="center"/>
              <w:rPr>
                <w:rFonts w:ascii="Times New Roman" w:eastAsia="仿宋"/>
                <w:sz w:val="21"/>
                <w:szCs w:val="21"/>
              </w:rPr>
            </w:pPr>
            <w:r>
              <w:rPr>
                <w:rFonts w:ascii="Times New Roman" w:eastAsia="仿宋"/>
                <w:sz w:val="21"/>
                <w:szCs w:val="21"/>
              </w:rPr>
              <w:t>1730</w:t>
            </w:r>
          </w:p>
        </w:tc>
        <w:tc>
          <w:tcPr>
            <w:tcW w:w="501" w:type="pct"/>
            <w:shd w:val="clear" w:color="auto" w:fill="auto"/>
            <w:noWrap/>
            <w:vAlign w:val="center"/>
          </w:tcPr>
          <w:p w14:paraId="611E5BAA">
            <w:pPr>
              <w:widowControl/>
              <w:jc w:val="center"/>
              <w:rPr>
                <w:rFonts w:ascii="Times New Roman" w:eastAsia="仿宋"/>
                <w:sz w:val="21"/>
                <w:szCs w:val="21"/>
              </w:rPr>
            </w:pPr>
            <w:r>
              <w:rPr>
                <w:rFonts w:ascii="Times New Roman" w:eastAsia="仿宋"/>
                <w:sz w:val="21"/>
                <w:szCs w:val="21"/>
              </w:rPr>
              <w:t>0.691</w:t>
            </w:r>
          </w:p>
        </w:tc>
        <w:tc>
          <w:tcPr>
            <w:tcW w:w="428" w:type="pct"/>
            <w:vAlign w:val="center"/>
          </w:tcPr>
          <w:p w14:paraId="05B5B342">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6A75C73">
            <w:pPr>
              <w:widowControl/>
              <w:jc w:val="center"/>
              <w:rPr>
                <w:rFonts w:ascii="Times New Roman" w:eastAsia="仿宋"/>
                <w:sz w:val="21"/>
                <w:szCs w:val="21"/>
              </w:rPr>
            </w:pPr>
            <w:r>
              <w:rPr>
                <w:rFonts w:ascii="Times New Roman" w:eastAsia="仿宋"/>
                <w:sz w:val="21"/>
                <w:szCs w:val="21"/>
              </w:rPr>
              <w:t>0.043</w:t>
            </w:r>
          </w:p>
        </w:tc>
        <w:tc>
          <w:tcPr>
            <w:tcW w:w="432" w:type="pct"/>
            <w:vAlign w:val="center"/>
          </w:tcPr>
          <w:p w14:paraId="718E7370">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0E1FDE2B">
            <w:pPr>
              <w:widowControl/>
              <w:jc w:val="center"/>
              <w:rPr>
                <w:rFonts w:ascii="Times New Roman" w:eastAsia="仿宋"/>
                <w:sz w:val="21"/>
                <w:szCs w:val="21"/>
              </w:rPr>
            </w:pPr>
            <w:r>
              <w:rPr>
                <w:rFonts w:ascii="Times New Roman" w:eastAsia="仿宋"/>
                <w:sz w:val="21"/>
                <w:szCs w:val="21"/>
              </w:rPr>
              <w:t>0.005</w:t>
            </w:r>
          </w:p>
        </w:tc>
      </w:tr>
      <w:tr w14:paraId="0383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6FDE728">
            <w:pPr>
              <w:widowControl/>
              <w:jc w:val="center"/>
              <w:rPr>
                <w:rFonts w:ascii="Times New Roman" w:eastAsia="仿宋"/>
                <w:sz w:val="21"/>
                <w:szCs w:val="21"/>
              </w:rPr>
            </w:pPr>
            <w:r>
              <w:rPr>
                <w:rFonts w:hint="eastAsia" w:ascii="Times New Roman" w:eastAsia="仿宋"/>
                <w:sz w:val="21"/>
                <w:szCs w:val="21"/>
              </w:rPr>
              <w:t>9</w:t>
            </w:r>
          </w:p>
        </w:tc>
        <w:tc>
          <w:tcPr>
            <w:tcW w:w="1650" w:type="pct"/>
            <w:shd w:val="clear" w:color="auto" w:fill="auto"/>
            <w:noWrap/>
            <w:vAlign w:val="center"/>
          </w:tcPr>
          <w:p w14:paraId="6EDEC428">
            <w:pPr>
              <w:widowControl/>
              <w:jc w:val="center"/>
              <w:rPr>
                <w:rFonts w:ascii="Times New Roman" w:eastAsia="仿宋"/>
                <w:sz w:val="21"/>
                <w:szCs w:val="21"/>
              </w:rPr>
            </w:pPr>
            <w:r>
              <w:rPr>
                <w:rFonts w:ascii="Times New Roman" w:eastAsia="仿宋"/>
                <w:sz w:val="21"/>
                <w:szCs w:val="21"/>
              </w:rPr>
              <w:t>常州瑞峰新能源有限公司</w:t>
            </w:r>
          </w:p>
        </w:tc>
        <w:tc>
          <w:tcPr>
            <w:tcW w:w="604" w:type="pct"/>
            <w:shd w:val="clear" w:color="auto" w:fill="auto"/>
            <w:noWrap/>
            <w:vAlign w:val="center"/>
          </w:tcPr>
          <w:p w14:paraId="4E9213CA">
            <w:pPr>
              <w:widowControl/>
              <w:jc w:val="center"/>
              <w:rPr>
                <w:rFonts w:ascii="Times New Roman" w:eastAsia="仿宋"/>
                <w:sz w:val="21"/>
                <w:szCs w:val="21"/>
              </w:rPr>
            </w:pPr>
            <w:r>
              <w:rPr>
                <w:rFonts w:ascii="Times New Roman" w:eastAsia="仿宋"/>
                <w:sz w:val="21"/>
                <w:szCs w:val="21"/>
              </w:rPr>
              <w:t>2400</w:t>
            </w:r>
          </w:p>
        </w:tc>
        <w:tc>
          <w:tcPr>
            <w:tcW w:w="501" w:type="pct"/>
            <w:shd w:val="clear" w:color="auto" w:fill="auto"/>
            <w:noWrap/>
            <w:vAlign w:val="center"/>
          </w:tcPr>
          <w:p w14:paraId="5E4CDB5B">
            <w:pPr>
              <w:widowControl/>
              <w:jc w:val="center"/>
              <w:rPr>
                <w:rFonts w:ascii="Times New Roman" w:eastAsia="仿宋"/>
                <w:sz w:val="21"/>
                <w:szCs w:val="21"/>
              </w:rPr>
            </w:pPr>
            <w:r>
              <w:rPr>
                <w:rFonts w:ascii="Times New Roman" w:eastAsia="仿宋"/>
                <w:sz w:val="21"/>
                <w:szCs w:val="21"/>
              </w:rPr>
              <w:t>0.96</w:t>
            </w:r>
          </w:p>
        </w:tc>
        <w:tc>
          <w:tcPr>
            <w:tcW w:w="428" w:type="pct"/>
            <w:vAlign w:val="center"/>
          </w:tcPr>
          <w:p w14:paraId="0DAFFAF2">
            <w:pPr>
              <w:widowControl/>
              <w:jc w:val="center"/>
              <w:rPr>
                <w:rFonts w:ascii="Times New Roman" w:eastAsia="仿宋"/>
                <w:sz w:val="21"/>
                <w:szCs w:val="21"/>
              </w:rPr>
            </w:pPr>
            <w:r>
              <w:rPr>
                <w:rFonts w:ascii="Times New Roman" w:eastAsia="仿宋"/>
                <w:sz w:val="21"/>
                <w:szCs w:val="21"/>
              </w:rPr>
              <w:t>0.72</w:t>
            </w:r>
          </w:p>
        </w:tc>
        <w:tc>
          <w:tcPr>
            <w:tcW w:w="558" w:type="pct"/>
            <w:shd w:val="clear" w:color="auto" w:fill="auto"/>
            <w:noWrap/>
            <w:vAlign w:val="center"/>
          </w:tcPr>
          <w:p w14:paraId="7EAEAB44">
            <w:pPr>
              <w:widowControl/>
              <w:jc w:val="center"/>
              <w:rPr>
                <w:rFonts w:ascii="Times New Roman" w:eastAsia="仿宋"/>
                <w:sz w:val="21"/>
                <w:szCs w:val="21"/>
              </w:rPr>
            </w:pPr>
            <w:r>
              <w:rPr>
                <w:rFonts w:ascii="Times New Roman" w:eastAsia="仿宋"/>
                <w:sz w:val="21"/>
                <w:szCs w:val="21"/>
              </w:rPr>
              <w:t>0.06</w:t>
            </w:r>
          </w:p>
        </w:tc>
        <w:tc>
          <w:tcPr>
            <w:tcW w:w="432" w:type="pct"/>
            <w:vAlign w:val="center"/>
          </w:tcPr>
          <w:p w14:paraId="6E233E0C">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66653F4D">
            <w:pPr>
              <w:widowControl/>
              <w:jc w:val="center"/>
              <w:rPr>
                <w:rFonts w:ascii="Times New Roman" w:eastAsia="仿宋"/>
                <w:sz w:val="21"/>
                <w:szCs w:val="21"/>
              </w:rPr>
            </w:pPr>
            <w:r>
              <w:rPr>
                <w:rFonts w:ascii="Times New Roman" w:eastAsia="仿宋"/>
                <w:sz w:val="21"/>
                <w:szCs w:val="21"/>
              </w:rPr>
              <w:t>0.012</w:t>
            </w:r>
          </w:p>
        </w:tc>
      </w:tr>
      <w:tr w14:paraId="236B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6B064D8E">
            <w:pPr>
              <w:widowControl/>
              <w:jc w:val="center"/>
              <w:rPr>
                <w:rFonts w:ascii="Times New Roman" w:eastAsia="仿宋"/>
                <w:sz w:val="21"/>
                <w:szCs w:val="21"/>
              </w:rPr>
            </w:pPr>
            <w:r>
              <w:rPr>
                <w:rFonts w:hint="eastAsia" w:ascii="Times New Roman" w:eastAsia="仿宋"/>
                <w:sz w:val="21"/>
                <w:szCs w:val="21"/>
              </w:rPr>
              <w:t>10</w:t>
            </w:r>
          </w:p>
        </w:tc>
        <w:tc>
          <w:tcPr>
            <w:tcW w:w="1650" w:type="pct"/>
            <w:shd w:val="clear" w:color="auto" w:fill="auto"/>
            <w:noWrap/>
            <w:vAlign w:val="center"/>
          </w:tcPr>
          <w:p w14:paraId="54BA4660">
            <w:pPr>
              <w:widowControl/>
              <w:jc w:val="center"/>
              <w:rPr>
                <w:rFonts w:ascii="Times New Roman" w:eastAsia="仿宋"/>
                <w:sz w:val="21"/>
                <w:szCs w:val="21"/>
              </w:rPr>
            </w:pPr>
            <w:r>
              <w:rPr>
                <w:rFonts w:ascii="Times New Roman" w:eastAsia="仿宋"/>
                <w:sz w:val="21"/>
                <w:szCs w:val="21"/>
              </w:rPr>
              <w:t>江苏博海橡塑科技有限公司</w:t>
            </w:r>
          </w:p>
        </w:tc>
        <w:tc>
          <w:tcPr>
            <w:tcW w:w="604" w:type="pct"/>
            <w:shd w:val="clear" w:color="auto" w:fill="auto"/>
            <w:noWrap/>
            <w:vAlign w:val="center"/>
          </w:tcPr>
          <w:p w14:paraId="647E9ED1">
            <w:pPr>
              <w:widowControl/>
              <w:jc w:val="center"/>
              <w:rPr>
                <w:rFonts w:ascii="Times New Roman" w:eastAsia="仿宋"/>
                <w:sz w:val="21"/>
                <w:szCs w:val="21"/>
              </w:rPr>
            </w:pPr>
            <w:r>
              <w:rPr>
                <w:rFonts w:ascii="Times New Roman" w:eastAsia="仿宋"/>
                <w:sz w:val="21"/>
                <w:szCs w:val="21"/>
              </w:rPr>
              <w:t>960</w:t>
            </w:r>
          </w:p>
        </w:tc>
        <w:tc>
          <w:tcPr>
            <w:tcW w:w="501" w:type="pct"/>
            <w:shd w:val="clear" w:color="auto" w:fill="auto"/>
            <w:noWrap/>
            <w:vAlign w:val="center"/>
          </w:tcPr>
          <w:p w14:paraId="027E9CB9">
            <w:pPr>
              <w:widowControl/>
              <w:jc w:val="center"/>
              <w:rPr>
                <w:rFonts w:ascii="Times New Roman" w:eastAsia="仿宋"/>
                <w:sz w:val="21"/>
                <w:szCs w:val="21"/>
              </w:rPr>
            </w:pPr>
            <w:r>
              <w:rPr>
                <w:rFonts w:ascii="Times New Roman" w:eastAsia="仿宋"/>
                <w:sz w:val="21"/>
                <w:szCs w:val="21"/>
              </w:rPr>
              <w:t>0.255</w:t>
            </w:r>
          </w:p>
        </w:tc>
        <w:tc>
          <w:tcPr>
            <w:tcW w:w="428" w:type="pct"/>
            <w:vAlign w:val="center"/>
          </w:tcPr>
          <w:p w14:paraId="0B272842">
            <w:pPr>
              <w:widowControl/>
              <w:jc w:val="center"/>
              <w:rPr>
                <w:rFonts w:ascii="Times New Roman" w:eastAsia="仿宋"/>
                <w:sz w:val="21"/>
                <w:szCs w:val="21"/>
              </w:rPr>
            </w:pPr>
            <w:r>
              <w:rPr>
                <w:rFonts w:ascii="Times New Roman" w:eastAsia="仿宋"/>
                <w:sz w:val="21"/>
                <w:szCs w:val="21"/>
              </w:rPr>
              <w:t>0.122</w:t>
            </w:r>
          </w:p>
        </w:tc>
        <w:tc>
          <w:tcPr>
            <w:tcW w:w="558" w:type="pct"/>
            <w:shd w:val="clear" w:color="auto" w:fill="auto"/>
            <w:noWrap/>
            <w:vAlign w:val="center"/>
          </w:tcPr>
          <w:p w14:paraId="1B0A1DB7">
            <w:pPr>
              <w:widowControl/>
              <w:jc w:val="center"/>
              <w:rPr>
                <w:rFonts w:ascii="Times New Roman" w:eastAsia="仿宋"/>
                <w:sz w:val="21"/>
                <w:szCs w:val="21"/>
              </w:rPr>
            </w:pPr>
            <w:r>
              <w:rPr>
                <w:rFonts w:ascii="Times New Roman" w:eastAsia="仿宋"/>
                <w:sz w:val="21"/>
                <w:szCs w:val="21"/>
              </w:rPr>
              <w:t>0.026</w:t>
            </w:r>
          </w:p>
        </w:tc>
        <w:tc>
          <w:tcPr>
            <w:tcW w:w="432" w:type="pct"/>
            <w:vAlign w:val="center"/>
          </w:tcPr>
          <w:p w14:paraId="7DAB1501">
            <w:pPr>
              <w:widowControl/>
              <w:jc w:val="center"/>
              <w:rPr>
                <w:rFonts w:ascii="Times New Roman" w:eastAsia="仿宋"/>
                <w:sz w:val="21"/>
                <w:szCs w:val="21"/>
              </w:rPr>
            </w:pPr>
            <w:r>
              <w:rPr>
                <w:rFonts w:ascii="Times New Roman" w:eastAsia="仿宋"/>
                <w:sz w:val="21"/>
                <w:szCs w:val="21"/>
              </w:rPr>
              <w:t>0.031</w:t>
            </w:r>
          </w:p>
        </w:tc>
        <w:tc>
          <w:tcPr>
            <w:tcW w:w="496" w:type="pct"/>
            <w:shd w:val="clear" w:color="auto" w:fill="auto"/>
            <w:noWrap/>
            <w:vAlign w:val="center"/>
          </w:tcPr>
          <w:p w14:paraId="552A31BD">
            <w:pPr>
              <w:widowControl/>
              <w:jc w:val="center"/>
              <w:rPr>
                <w:rFonts w:ascii="Times New Roman" w:eastAsia="仿宋"/>
                <w:sz w:val="21"/>
                <w:szCs w:val="21"/>
              </w:rPr>
            </w:pPr>
            <w:r>
              <w:rPr>
                <w:rFonts w:ascii="Times New Roman" w:eastAsia="仿宋"/>
                <w:sz w:val="21"/>
                <w:szCs w:val="21"/>
              </w:rPr>
              <w:t>0.001</w:t>
            </w:r>
          </w:p>
        </w:tc>
      </w:tr>
      <w:tr w14:paraId="744D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84BB1B3">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1</w:t>
            </w:r>
          </w:p>
        </w:tc>
        <w:tc>
          <w:tcPr>
            <w:tcW w:w="1650" w:type="pct"/>
            <w:shd w:val="clear" w:color="auto" w:fill="auto"/>
            <w:noWrap/>
            <w:vAlign w:val="center"/>
          </w:tcPr>
          <w:p w14:paraId="721714C8">
            <w:pPr>
              <w:widowControl/>
              <w:jc w:val="center"/>
              <w:rPr>
                <w:rFonts w:ascii="Times New Roman" w:eastAsia="仿宋"/>
                <w:sz w:val="21"/>
                <w:szCs w:val="21"/>
              </w:rPr>
            </w:pPr>
            <w:r>
              <w:rPr>
                <w:rFonts w:ascii="Times New Roman" w:eastAsia="仿宋"/>
                <w:sz w:val="21"/>
                <w:szCs w:val="21"/>
              </w:rPr>
              <w:t>江苏亮舟防爆电气有限公司</w:t>
            </w:r>
          </w:p>
        </w:tc>
        <w:tc>
          <w:tcPr>
            <w:tcW w:w="604" w:type="pct"/>
            <w:shd w:val="clear" w:color="auto" w:fill="auto"/>
            <w:noWrap/>
            <w:vAlign w:val="center"/>
          </w:tcPr>
          <w:p w14:paraId="242B07A9">
            <w:pPr>
              <w:widowControl/>
              <w:jc w:val="center"/>
              <w:rPr>
                <w:rFonts w:ascii="Times New Roman" w:eastAsia="仿宋"/>
                <w:sz w:val="21"/>
                <w:szCs w:val="21"/>
              </w:rPr>
            </w:pPr>
            <w:r>
              <w:rPr>
                <w:rFonts w:ascii="Times New Roman" w:eastAsia="仿宋"/>
                <w:sz w:val="21"/>
                <w:szCs w:val="21"/>
              </w:rPr>
              <w:t>2540</w:t>
            </w:r>
          </w:p>
        </w:tc>
        <w:tc>
          <w:tcPr>
            <w:tcW w:w="501" w:type="pct"/>
            <w:shd w:val="clear" w:color="auto" w:fill="auto"/>
            <w:noWrap/>
            <w:vAlign w:val="center"/>
          </w:tcPr>
          <w:p w14:paraId="65DCB418">
            <w:pPr>
              <w:widowControl/>
              <w:jc w:val="center"/>
              <w:rPr>
                <w:rFonts w:ascii="Times New Roman" w:eastAsia="仿宋"/>
                <w:sz w:val="21"/>
                <w:szCs w:val="21"/>
              </w:rPr>
            </w:pPr>
            <w:r>
              <w:rPr>
                <w:rFonts w:ascii="Times New Roman" w:eastAsia="仿宋"/>
                <w:sz w:val="21"/>
                <w:szCs w:val="21"/>
              </w:rPr>
              <w:t>0.756</w:t>
            </w:r>
          </w:p>
        </w:tc>
        <w:tc>
          <w:tcPr>
            <w:tcW w:w="428" w:type="pct"/>
            <w:vAlign w:val="center"/>
          </w:tcPr>
          <w:p w14:paraId="3D74ED33">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501282B7">
            <w:pPr>
              <w:widowControl/>
              <w:jc w:val="center"/>
              <w:rPr>
                <w:rFonts w:ascii="Times New Roman" w:eastAsia="仿宋"/>
                <w:sz w:val="21"/>
                <w:szCs w:val="21"/>
              </w:rPr>
            </w:pPr>
            <w:r>
              <w:rPr>
                <w:rFonts w:ascii="Times New Roman" w:eastAsia="仿宋"/>
                <w:sz w:val="21"/>
                <w:szCs w:val="21"/>
              </w:rPr>
              <w:t>0.061</w:t>
            </w:r>
          </w:p>
        </w:tc>
        <w:tc>
          <w:tcPr>
            <w:tcW w:w="432" w:type="pct"/>
            <w:vAlign w:val="center"/>
          </w:tcPr>
          <w:p w14:paraId="579A45A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50D0F54F">
            <w:pPr>
              <w:widowControl/>
              <w:jc w:val="center"/>
              <w:rPr>
                <w:rFonts w:ascii="Times New Roman" w:eastAsia="仿宋"/>
                <w:sz w:val="21"/>
                <w:szCs w:val="21"/>
              </w:rPr>
            </w:pPr>
            <w:r>
              <w:rPr>
                <w:rFonts w:ascii="Times New Roman" w:eastAsia="仿宋"/>
                <w:sz w:val="21"/>
                <w:szCs w:val="21"/>
              </w:rPr>
              <w:t>0.007</w:t>
            </w:r>
          </w:p>
        </w:tc>
      </w:tr>
      <w:tr w14:paraId="546C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01827D06">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2</w:t>
            </w:r>
          </w:p>
        </w:tc>
        <w:tc>
          <w:tcPr>
            <w:tcW w:w="1650" w:type="pct"/>
            <w:shd w:val="clear" w:color="auto" w:fill="auto"/>
            <w:noWrap/>
            <w:vAlign w:val="center"/>
          </w:tcPr>
          <w:p w14:paraId="39C42CC9">
            <w:pPr>
              <w:widowControl/>
              <w:jc w:val="center"/>
              <w:rPr>
                <w:rFonts w:ascii="Times New Roman" w:eastAsia="仿宋"/>
                <w:sz w:val="21"/>
                <w:szCs w:val="21"/>
              </w:rPr>
            </w:pPr>
            <w:r>
              <w:rPr>
                <w:rFonts w:ascii="Times New Roman" w:eastAsia="仿宋"/>
                <w:sz w:val="21"/>
                <w:szCs w:val="21"/>
              </w:rPr>
              <w:t>常州市丛禾电梯配件有限公司</w:t>
            </w:r>
          </w:p>
        </w:tc>
        <w:tc>
          <w:tcPr>
            <w:tcW w:w="604" w:type="pct"/>
            <w:shd w:val="clear" w:color="auto" w:fill="auto"/>
            <w:noWrap/>
            <w:vAlign w:val="center"/>
          </w:tcPr>
          <w:p w14:paraId="420211B9">
            <w:pPr>
              <w:widowControl/>
              <w:jc w:val="center"/>
              <w:rPr>
                <w:rFonts w:ascii="Times New Roman" w:eastAsia="仿宋"/>
                <w:sz w:val="21"/>
                <w:szCs w:val="21"/>
              </w:rPr>
            </w:pPr>
            <w:r>
              <w:rPr>
                <w:rFonts w:ascii="Times New Roman" w:eastAsia="仿宋"/>
                <w:sz w:val="21"/>
                <w:szCs w:val="21"/>
              </w:rPr>
              <w:t>720</w:t>
            </w:r>
          </w:p>
        </w:tc>
        <w:tc>
          <w:tcPr>
            <w:tcW w:w="501" w:type="pct"/>
            <w:shd w:val="clear" w:color="auto" w:fill="auto"/>
            <w:noWrap/>
            <w:vAlign w:val="center"/>
          </w:tcPr>
          <w:p w14:paraId="400DA7A8">
            <w:pPr>
              <w:widowControl/>
              <w:jc w:val="center"/>
              <w:rPr>
                <w:rFonts w:ascii="Times New Roman" w:eastAsia="仿宋"/>
                <w:sz w:val="21"/>
                <w:szCs w:val="21"/>
              </w:rPr>
            </w:pPr>
            <w:r>
              <w:rPr>
                <w:rFonts w:ascii="Times New Roman" w:eastAsia="仿宋"/>
                <w:sz w:val="21"/>
                <w:szCs w:val="21"/>
              </w:rPr>
              <w:t>0.18</w:t>
            </w:r>
          </w:p>
        </w:tc>
        <w:tc>
          <w:tcPr>
            <w:tcW w:w="428" w:type="pct"/>
            <w:vAlign w:val="center"/>
          </w:tcPr>
          <w:p w14:paraId="4CDE2B10">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EEAF07E">
            <w:pPr>
              <w:widowControl/>
              <w:jc w:val="center"/>
              <w:rPr>
                <w:rFonts w:ascii="Times New Roman" w:eastAsia="仿宋"/>
                <w:sz w:val="21"/>
                <w:szCs w:val="21"/>
              </w:rPr>
            </w:pPr>
            <w:r>
              <w:rPr>
                <w:rFonts w:ascii="Times New Roman" w:eastAsia="仿宋"/>
                <w:sz w:val="21"/>
                <w:szCs w:val="21"/>
              </w:rPr>
              <w:t>0.018</w:t>
            </w:r>
          </w:p>
        </w:tc>
        <w:tc>
          <w:tcPr>
            <w:tcW w:w="432" w:type="pct"/>
            <w:vAlign w:val="center"/>
          </w:tcPr>
          <w:p w14:paraId="14646251">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1B70DFDC">
            <w:pPr>
              <w:widowControl/>
              <w:jc w:val="center"/>
              <w:rPr>
                <w:rFonts w:ascii="Times New Roman" w:eastAsia="仿宋"/>
                <w:sz w:val="21"/>
                <w:szCs w:val="21"/>
              </w:rPr>
            </w:pPr>
            <w:r>
              <w:rPr>
                <w:rFonts w:ascii="Times New Roman" w:eastAsia="仿宋"/>
                <w:sz w:val="21"/>
                <w:szCs w:val="21"/>
              </w:rPr>
              <w:t>0.004</w:t>
            </w:r>
          </w:p>
        </w:tc>
      </w:tr>
      <w:tr w14:paraId="2039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2C0B3B0A">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3</w:t>
            </w:r>
          </w:p>
        </w:tc>
        <w:tc>
          <w:tcPr>
            <w:tcW w:w="1650" w:type="pct"/>
            <w:shd w:val="clear" w:color="auto" w:fill="auto"/>
            <w:noWrap/>
            <w:vAlign w:val="center"/>
          </w:tcPr>
          <w:p w14:paraId="647237F4">
            <w:pPr>
              <w:widowControl/>
              <w:jc w:val="center"/>
              <w:rPr>
                <w:rFonts w:ascii="Times New Roman" w:eastAsia="仿宋"/>
                <w:sz w:val="21"/>
                <w:szCs w:val="21"/>
              </w:rPr>
            </w:pPr>
            <w:r>
              <w:rPr>
                <w:rFonts w:ascii="Times New Roman" w:eastAsia="仿宋"/>
                <w:sz w:val="21"/>
                <w:szCs w:val="21"/>
              </w:rPr>
              <w:t>常州市米邦新材料有限公司</w:t>
            </w:r>
          </w:p>
        </w:tc>
        <w:tc>
          <w:tcPr>
            <w:tcW w:w="604" w:type="pct"/>
            <w:shd w:val="clear" w:color="auto" w:fill="auto"/>
            <w:noWrap/>
            <w:vAlign w:val="center"/>
          </w:tcPr>
          <w:p w14:paraId="03627334">
            <w:pPr>
              <w:widowControl/>
              <w:jc w:val="center"/>
              <w:rPr>
                <w:rFonts w:ascii="Times New Roman" w:eastAsia="仿宋"/>
                <w:sz w:val="21"/>
                <w:szCs w:val="21"/>
              </w:rPr>
            </w:pPr>
            <w:r>
              <w:rPr>
                <w:rFonts w:ascii="Times New Roman" w:eastAsia="仿宋"/>
                <w:sz w:val="21"/>
                <w:szCs w:val="21"/>
              </w:rPr>
              <w:t>280</w:t>
            </w:r>
          </w:p>
        </w:tc>
        <w:tc>
          <w:tcPr>
            <w:tcW w:w="501" w:type="pct"/>
            <w:shd w:val="clear" w:color="auto" w:fill="auto"/>
            <w:noWrap/>
            <w:vAlign w:val="center"/>
          </w:tcPr>
          <w:p w14:paraId="602D8A6E">
            <w:pPr>
              <w:widowControl/>
              <w:jc w:val="center"/>
              <w:rPr>
                <w:rFonts w:ascii="Times New Roman" w:eastAsia="仿宋"/>
                <w:sz w:val="21"/>
                <w:szCs w:val="21"/>
              </w:rPr>
            </w:pPr>
            <w:r>
              <w:rPr>
                <w:rFonts w:ascii="Times New Roman" w:eastAsia="仿宋"/>
                <w:sz w:val="21"/>
                <w:szCs w:val="21"/>
              </w:rPr>
              <w:t>0.098</w:t>
            </w:r>
          </w:p>
        </w:tc>
        <w:tc>
          <w:tcPr>
            <w:tcW w:w="428" w:type="pct"/>
            <w:vAlign w:val="center"/>
          </w:tcPr>
          <w:p w14:paraId="4906EC23">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31C4663">
            <w:pPr>
              <w:widowControl/>
              <w:jc w:val="center"/>
              <w:rPr>
                <w:rFonts w:ascii="Times New Roman" w:eastAsia="仿宋"/>
                <w:sz w:val="21"/>
                <w:szCs w:val="21"/>
              </w:rPr>
            </w:pPr>
            <w:r>
              <w:rPr>
                <w:rFonts w:ascii="Times New Roman" w:eastAsia="仿宋"/>
                <w:sz w:val="21"/>
                <w:szCs w:val="21"/>
              </w:rPr>
              <w:t>0.007</w:t>
            </w:r>
          </w:p>
        </w:tc>
        <w:tc>
          <w:tcPr>
            <w:tcW w:w="432" w:type="pct"/>
            <w:vAlign w:val="center"/>
          </w:tcPr>
          <w:p w14:paraId="1F7372C3">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22EE06DD">
            <w:pPr>
              <w:widowControl/>
              <w:jc w:val="center"/>
              <w:rPr>
                <w:rFonts w:ascii="Times New Roman" w:eastAsia="仿宋"/>
                <w:sz w:val="21"/>
                <w:szCs w:val="21"/>
              </w:rPr>
            </w:pPr>
            <w:r>
              <w:rPr>
                <w:rFonts w:ascii="Times New Roman" w:eastAsia="仿宋"/>
                <w:sz w:val="21"/>
                <w:szCs w:val="21"/>
              </w:rPr>
              <w:t>0.001</w:t>
            </w:r>
          </w:p>
        </w:tc>
      </w:tr>
      <w:tr w14:paraId="1E54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1" w:type="pct"/>
            <w:shd w:val="clear" w:color="auto" w:fill="auto"/>
            <w:vAlign w:val="center"/>
          </w:tcPr>
          <w:p w14:paraId="046D007A">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4</w:t>
            </w:r>
          </w:p>
        </w:tc>
        <w:tc>
          <w:tcPr>
            <w:tcW w:w="1650" w:type="pct"/>
            <w:shd w:val="clear" w:color="auto" w:fill="auto"/>
            <w:noWrap/>
            <w:vAlign w:val="center"/>
          </w:tcPr>
          <w:p w14:paraId="4D920811">
            <w:pPr>
              <w:widowControl/>
              <w:jc w:val="center"/>
              <w:rPr>
                <w:rFonts w:ascii="Times New Roman" w:eastAsia="仿宋"/>
                <w:sz w:val="21"/>
                <w:szCs w:val="21"/>
              </w:rPr>
            </w:pPr>
            <w:r>
              <w:rPr>
                <w:rFonts w:ascii="Times New Roman" w:eastAsia="仿宋"/>
                <w:sz w:val="21"/>
                <w:szCs w:val="21"/>
              </w:rPr>
              <w:t>江苏三德利食品有限公司</w:t>
            </w:r>
          </w:p>
        </w:tc>
        <w:tc>
          <w:tcPr>
            <w:tcW w:w="604" w:type="pct"/>
            <w:shd w:val="clear" w:color="auto" w:fill="auto"/>
            <w:noWrap/>
            <w:vAlign w:val="center"/>
          </w:tcPr>
          <w:p w14:paraId="720E272D">
            <w:pPr>
              <w:widowControl/>
              <w:jc w:val="center"/>
              <w:rPr>
                <w:rFonts w:ascii="Times New Roman" w:eastAsia="仿宋"/>
                <w:sz w:val="21"/>
                <w:szCs w:val="21"/>
              </w:rPr>
            </w:pPr>
            <w:r>
              <w:rPr>
                <w:rFonts w:ascii="Times New Roman" w:eastAsia="仿宋"/>
                <w:sz w:val="21"/>
                <w:szCs w:val="21"/>
              </w:rPr>
              <w:t>41486</w:t>
            </w:r>
          </w:p>
        </w:tc>
        <w:tc>
          <w:tcPr>
            <w:tcW w:w="501" w:type="pct"/>
            <w:shd w:val="clear" w:color="auto" w:fill="auto"/>
            <w:noWrap/>
            <w:vAlign w:val="center"/>
          </w:tcPr>
          <w:p w14:paraId="759F8AC2">
            <w:pPr>
              <w:widowControl/>
              <w:jc w:val="center"/>
              <w:rPr>
                <w:rFonts w:ascii="Times New Roman" w:eastAsia="仿宋"/>
                <w:sz w:val="21"/>
                <w:szCs w:val="21"/>
              </w:rPr>
            </w:pPr>
            <w:r>
              <w:rPr>
                <w:rFonts w:ascii="Times New Roman" w:eastAsia="仿宋"/>
                <w:sz w:val="21"/>
                <w:szCs w:val="21"/>
              </w:rPr>
              <w:t>2.9</w:t>
            </w:r>
          </w:p>
        </w:tc>
        <w:tc>
          <w:tcPr>
            <w:tcW w:w="428" w:type="pct"/>
            <w:vAlign w:val="center"/>
          </w:tcPr>
          <w:p w14:paraId="17293EC0">
            <w:pPr>
              <w:widowControl/>
              <w:jc w:val="center"/>
              <w:rPr>
                <w:rFonts w:ascii="Times New Roman" w:eastAsia="仿宋"/>
                <w:sz w:val="21"/>
                <w:szCs w:val="21"/>
              </w:rPr>
            </w:pPr>
            <w:r>
              <w:rPr>
                <w:rFonts w:ascii="Times New Roman" w:eastAsia="仿宋"/>
                <w:sz w:val="21"/>
                <w:szCs w:val="21"/>
              </w:rPr>
              <w:t>2.49</w:t>
            </w:r>
          </w:p>
        </w:tc>
        <w:tc>
          <w:tcPr>
            <w:tcW w:w="558" w:type="pct"/>
            <w:shd w:val="clear" w:color="auto" w:fill="auto"/>
            <w:noWrap/>
            <w:vAlign w:val="center"/>
          </w:tcPr>
          <w:p w14:paraId="564F4AB5">
            <w:pPr>
              <w:widowControl/>
              <w:jc w:val="center"/>
              <w:rPr>
                <w:rFonts w:ascii="Times New Roman" w:eastAsia="仿宋"/>
                <w:sz w:val="21"/>
                <w:szCs w:val="21"/>
              </w:rPr>
            </w:pPr>
            <w:r>
              <w:rPr>
                <w:rFonts w:ascii="Times New Roman" w:eastAsia="仿宋"/>
                <w:sz w:val="21"/>
                <w:szCs w:val="21"/>
              </w:rPr>
              <w:t>0.62</w:t>
            </w:r>
          </w:p>
        </w:tc>
        <w:tc>
          <w:tcPr>
            <w:tcW w:w="432" w:type="pct"/>
            <w:vAlign w:val="center"/>
          </w:tcPr>
          <w:p w14:paraId="359FFA7D">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vAlign w:val="center"/>
          </w:tcPr>
          <w:p w14:paraId="1346C992">
            <w:pPr>
              <w:widowControl/>
              <w:jc w:val="center"/>
              <w:rPr>
                <w:rFonts w:ascii="Times New Roman" w:eastAsia="仿宋"/>
                <w:sz w:val="21"/>
                <w:szCs w:val="21"/>
              </w:rPr>
            </w:pPr>
            <w:r>
              <w:rPr>
                <w:rFonts w:ascii="Times New Roman" w:eastAsia="仿宋"/>
                <w:sz w:val="21"/>
                <w:szCs w:val="21"/>
              </w:rPr>
              <w:t>0.021</w:t>
            </w:r>
          </w:p>
        </w:tc>
      </w:tr>
      <w:tr w14:paraId="14A1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803A25F">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5</w:t>
            </w:r>
          </w:p>
        </w:tc>
        <w:tc>
          <w:tcPr>
            <w:tcW w:w="1650" w:type="pct"/>
            <w:shd w:val="clear" w:color="auto" w:fill="auto"/>
            <w:noWrap/>
            <w:vAlign w:val="center"/>
          </w:tcPr>
          <w:p w14:paraId="11688DCB">
            <w:pPr>
              <w:widowControl/>
              <w:jc w:val="center"/>
              <w:rPr>
                <w:rFonts w:ascii="Times New Roman" w:eastAsia="仿宋"/>
                <w:sz w:val="21"/>
                <w:szCs w:val="21"/>
              </w:rPr>
            </w:pPr>
            <w:r>
              <w:rPr>
                <w:rFonts w:ascii="Times New Roman" w:eastAsia="仿宋"/>
                <w:sz w:val="21"/>
                <w:szCs w:val="21"/>
              </w:rPr>
              <w:t>江苏东方洁妮儿新材料有限公司</w:t>
            </w:r>
          </w:p>
        </w:tc>
        <w:tc>
          <w:tcPr>
            <w:tcW w:w="604" w:type="pct"/>
            <w:shd w:val="clear" w:color="auto" w:fill="auto"/>
            <w:noWrap/>
            <w:vAlign w:val="center"/>
          </w:tcPr>
          <w:p w14:paraId="1D3AE346">
            <w:pPr>
              <w:widowControl/>
              <w:jc w:val="center"/>
              <w:rPr>
                <w:rFonts w:ascii="Times New Roman" w:eastAsia="仿宋"/>
                <w:sz w:val="21"/>
                <w:szCs w:val="21"/>
              </w:rPr>
            </w:pPr>
            <w:r>
              <w:rPr>
                <w:rFonts w:ascii="Times New Roman" w:eastAsia="仿宋"/>
                <w:sz w:val="21"/>
                <w:szCs w:val="21"/>
              </w:rPr>
              <w:t>1200</w:t>
            </w:r>
          </w:p>
        </w:tc>
        <w:tc>
          <w:tcPr>
            <w:tcW w:w="501" w:type="pct"/>
            <w:shd w:val="clear" w:color="auto" w:fill="auto"/>
            <w:noWrap/>
            <w:vAlign w:val="center"/>
          </w:tcPr>
          <w:p w14:paraId="2459A16F">
            <w:pPr>
              <w:widowControl/>
              <w:jc w:val="center"/>
              <w:rPr>
                <w:rFonts w:ascii="Times New Roman" w:eastAsia="仿宋"/>
                <w:sz w:val="21"/>
                <w:szCs w:val="21"/>
              </w:rPr>
            </w:pPr>
            <w:r>
              <w:rPr>
                <w:rFonts w:ascii="Times New Roman" w:eastAsia="仿宋"/>
                <w:sz w:val="21"/>
                <w:szCs w:val="21"/>
              </w:rPr>
              <w:t>0.48</w:t>
            </w:r>
          </w:p>
        </w:tc>
        <w:tc>
          <w:tcPr>
            <w:tcW w:w="428" w:type="pct"/>
            <w:vAlign w:val="center"/>
          </w:tcPr>
          <w:p w14:paraId="5F3AC196">
            <w:pPr>
              <w:widowControl/>
              <w:jc w:val="center"/>
              <w:rPr>
                <w:rFonts w:ascii="Times New Roman" w:eastAsia="仿宋"/>
                <w:sz w:val="21"/>
                <w:szCs w:val="21"/>
              </w:rPr>
            </w:pPr>
            <w:r>
              <w:rPr>
                <w:rFonts w:ascii="Times New Roman" w:eastAsia="仿宋"/>
                <w:sz w:val="21"/>
                <w:szCs w:val="21"/>
              </w:rPr>
              <w:t>0.36</w:t>
            </w:r>
          </w:p>
        </w:tc>
        <w:tc>
          <w:tcPr>
            <w:tcW w:w="558" w:type="pct"/>
            <w:shd w:val="clear" w:color="auto" w:fill="auto"/>
            <w:noWrap/>
            <w:vAlign w:val="center"/>
          </w:tcPr>
          <w:p w14:paraId="388CEE50">
            <w:pPr>
              <w:widowControl/>
              <w:jc w:val="center"/>
              <w:rPr>
                <w:rFonts w:ascii="Times New Roman" w:eastAsia="仿宋"/>
                <w:sz w:val="21"/>
                <w:szCs w:val="21"/>
              </w:rPr>
            </w:pPr>
            <w:r>
              <w:rPr>
                <w:rFonts w:ascii="Times New Roman" w:eastAsia="仿宋"/>
                <w:sz w:val="21"/>
                <w:szCs w:val="21"/>
              </w:rPr>
              <w:t>0.048</w:t>
            </w:r>
          </w:p>
        </w:tc>
        <w:tc>
          <w:tcPr>
            <w:tcW w:w="432" w:type="pct"/>
            <w:vAlign w:val="center"/>
          </w:tcPr>
          <w:p w14:paraId="1DD90520">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3C181598">
            <w:pPr>
              <w:widowControl/>
              <w:jc w:val="center"/>
              <w:rPr>
                <w:rFonts w:ascii="Times New Roman" w:eastAsia="仿宋"/>
                <w:sz w:val="21"/>
                <w:szCs w:val="21"/>
              </w:rPr>
            </w:pPr>
            <w:r>
              <w:rPr>
                <w:rFonts w:ascii="Times New Roman" w:eastAsia="仿宋"/>
                <w:sz w:val="21"/>
                <w:szCs w:val="21"/>
              </w:rPr>
              <w:t>0.006</w:t>
            </w:r>
          </w:p>
        </w:tc>
      </w:tr>
      <w:tr w14:paraId="1A51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6FAD323F">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6</w:t>
            </w:r>
          </w:p>
        </w:tc>
        <w:tc>
          <w:tcPr>
            <w:tcW w:w="1650" w:type="pct"/>
            <w:shd w:val="clear" w:color="auto" w:fill="auto"/>
            <w:noWrap/>
            <w:vAlign w:val="center"/>
          </w:tcPr>
          <w:p w14:paraId="209A4D26">
            <w:pPr>
              <w:widowControl/>
              <w:jc w:val="center"/>
              <w:rPr>
                <w:rFonts w:ascii="Times New Roman" w:eastAsia="仿宋"/>
                <w:sz w:val="21"/>
                <w:szCs w:val="21"/>
              </w:rPr>
            </w:pPr>
            <w:r>
              <w:rPr>
                <w:rFonts w:ascii="Times New Roman" w:eastAsia="仿宋"/>
                <w:sz w:val="21"/>
                <w:szCs w:val="21"/>
              </w:rPr>
              <w:t>江苏科菱库精工科技有限公司</w:t>
            </w:r>
          </w:p>
        </w:tc>
        <w:tc>
          <w:tcPr>
            <w:tcW w:w="604" w:type="pct"/>
            <w:shd w:val="clear" w:color="auto" w:fill="auto"/>
            <w:noWrap/>
            <w:vAlign w:val="center"/>
          </w:tcPr>
          <w:p w14:paraId="17B85816">
            <w:pPr>
              <w:widowControl/>
              <w:jc w:val="center"/>
              <w:rPr>
                <w:rFonts w:ascii="Times New Roman" w:eastAsia="仿宋"/>
                <w:sz w:val="21"/>
                <w:szCs w:val="21"/>
              </w:rPr>
            </w:pPr>
            <w:r>
              <w:rPr>
                <w:rFonts w:ascii="Times New Roman" w:eastAsia="仿宋"/>
                <w:sz w:val="21"/>
                <w:szCs w:val="21"/>
              </w:rPr>
              <w:t>8468</w:t>
            </w:r>
          </w:p>
        </w:tc>
        <w:tc>
          <w:tcPr>
            <w:tcW w:w="501" w:type="pct"/>
            <w:shd w:val="clear" w:color="auto" w:fill="auto"/>
            <w:noWrap/>
            <w:vAlign w:val="center"/>
          </w:tcPr>
          <w:p w14:paraId="7B367D92">
            <w:pPr>
              <w:widowControl/>
              <w:jc w:val="center"/>
              <w:rPr>
                <w:rFonts w:ascii="Times New Roman" w:eastAsia="仿宋"/>
                <w:sz w:val="21"/>
                <w:szCs w:val="21"/>
              </w:rPr>
            </w:pPr>
            <w:r>
              <w:rPr>
                <w:rFonts w:ascii="Times New Roman" w:eastAsia="仿宋"/>
                <w:sz w:val="21"/>
                <w:szCs w:val="21"/>
              </w:rPr>
              <w:t>0.854</w:t>
            </w:r>
          </w:p>
        </w:tc>
        <w:tc>
          <w:tcPr>
            <w:tcW w:w="428" w:type="pct"/>
            <w:vAlign w:val="center"/>
          </w:tcPr>
          <w:p w14:paraId="7EF66CD1">
            <w:pPr>
              <w:widowControl/>
              <w:jc w:val="center"/>
              <w:rPr>
                <w:rFonts w:ascii="Times New Roman" w:eastAsia="仿宋"/>
                <w:sz w:val="21"/>
                <w:szCs w:val="21"/>
              </w:rPr>
            </w:pPr>
            <w:r>
              <w:rPr>
                <w:rFonts w:ascii="Times New Roman" w:eastAsia="仿宋"/>
                <w:sz w:val="21"/>
                <w:szCs w:val="21"/>
              </w:rPr>
              <w:t>0.714</w:t>
            </w:r>
          </w:p>
        </w:tc>
        <w:tc>
          <w:tcPr>
            <w:tcW w:w="558" w:type="pct"/>
            <w:shd w:val="clear" w:color="auto" w:fill="auto"/>
            <w:noWrap/>
            <w:vAlign w:val="center"/>
          </w:tcPr>
          <w:p w14:paraId="4267DBB3">
            <w:pPr>
              <w:widowControl/>
              <w:jc w:val="center"/>
              <w:rPr>
                <w:rFonts w:ascii="Times New Roman" w:eastAsia="仿宋"/>
                <w:sz w:val="21"/>
                <w:szCs w:val="21"/>
              </w:rPr>
            </w:pPr>
            <w:r>
              <w:rPr>
                <w:rFonts w:ascii="Times New Roman" w:eastAsia="仿宋"/>
                <w:sz w:val="21"/>
                <w:szCs w:val="21"/>
              </w:rPr>
              <w:t>0.025</w:t>
            </w:r>
          </w:p>
        </w:tc>
        <w:tc>
          <w:tcPr>
            <w:tcW w:w="432" w:type="pct"/>
            <w:vAlign w:val="center"/>
          </w:tcPr>
          <w:p w14:paraId="085901C0">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2D3B8F82">
            <w:pPr>
              <w:widowControl/>
              <w:jc w:val="center"/>
              <w:rPr>
                <w:rFonts w:ascii="Times New Roman" w:eastAsia="仿宋"/>
                <w:sz w:val="21"/>
                <w:szCs w:val="21"/>
              </w:rPr>
            </w:pPr>
            <w:r>
              <w:rPr>
                <w:rFonts w:ascii="Times New Roman" w:eastAsia="仿宋"/>
                <w:sz w:val="21"/>
                <w:szCs w:val="21"/>
              </w:rPr>
              <w:t>0.0035</w:t>
            </w:r>
          </w:p>
        </w:tc>
      </w:tr>
      <w:tr w14:paraId="1B86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406551F5">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7</w:t>
            </w:r>
          </w:p>
        </w:tc>
        <w:tc>
          <w:tcPr>
            <w:tcW w:w="1650" w:type="pct"/>
            <w:shd w:val="clear" w:color="auto" w:fill="auto"/>
            <w:noWrap/>
            <w:vAlign w:val="center"/>
          </w:tcPr>
          <w:p w14:paraId="27418EB7">
            <w:pPr>
              <w:widowControl/>
              <w:jc w:val="center"/>
              <w:rPr>
                <w:rFonts w:ascii="Times New Roman" w:eastAsia="仿宋"/>
                <w:sz w:val="21"/>
                <w:szCs w:val="21"/>
              </w:rPr>
            </w:pPr>
            <w:r>
              <w:rPr>
                <w:rFonts w:ascii="Times New Roman" w:eastAsia="仿宋"/>
                <w:sz w:val="21"/>
                <w:szCs w:val="21"/>
              </w:rPr>
              <w:t>常州卓美家纺有限公司</w:t>
            </w:r>
          </w:p>
        </w:tc>
        <w:tc>
          <w:tcPr>
            <w:tcW w:w="604" w:type="pct"/>
            <w:shd w:val="clear" w:color="auto" w:fill="auto"/>
            <w:noWrap/>
            <w:vAlign w:val="center"/>
          </w:tcPr>
          <w:p w14:paraId="37C5301C">
            <w:pPr>
              <w:widowControl/>
              <w:jc w:val="center"/>
              <w:rPr>
                <w:rFonts w:ascii="Times New Roman" w:eastAsia="仿宋"/>
                <w:sz w:val="21"/>
                <w:szCs w:val="21"/>
              </w:rPr>
            </w:pPr>
            <w:r>
              <w:rPr>
                <w:rFonts w:ascii="Times New Roman" w:eastAsia="仿宋"/>
                <w:sz w:val="21"/>
                <w:szCs w:val="21"/>
              </w:rPr>
              <w:t>360</w:t>
            </w:r>
          </w:p>
        </w:tc>
        <w:tc>
          <w:tcPr>
            <w:tcW w:w="501" w:type="pct"/>
            <w:shd w:val="clear" w:color="auto" w:fill="auto"/>
            <w:noWrap/>
            <w:vAlign w:val="center"/>
          </w:tcPr>
          <w:p w14:paraId="13BE4FBE">
            <w:pPr>
              <w:widowControl/>
              <w:jc w:val="center"/>
              <w:rPr>
                <w:rFonts w:ascii="Times New Roman" w:eastAsia="仿宋"/>
                <w:sz w:val="21"/>
                <w:szCs w:val="21"/>
              </w:rPr>
            </w:pPr>
            <w:r>
              <w:rPr>
                <w:rFonts w:ascii="Times New Roman" w:eastAsia="仿宋"/>
                <w:sz w:val="21"/>
                <w:szCs w:val="21"/>
              </w:rPr>
              <w:t>1.08</w:t>
            </w:r>
          </w:p>
        </w:tc>
        <w:tc>
          <w:tcPr>
            <w:tcW w:w="428" w:type="pct"/>
            <w:vAlign w:val="center"/>
          </w:tcPr>
          <w:p w14:paraId="70FE2044">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4CF10918">
            <w:pPr>
              <w:widowControl/>
              <w:jc w:val="center"/>
              <w:rPr>
                <w:rFonts w:ascii="Times New Roman" w:eastAsia="仿宋"/>
                <w:sz w:val="21"/>
                <w:szCs w:val="21"/>
              </w:rPr>
            </w:pPr>
            <w:r>
              <w:rPr>
                <w:rFonts w:ascii="Times New Roman" w:eastAsia="仿宋"/>
                <w:sz w:val="21"/>
                <w:szCs w:val="21"/>
              </w:rPr>
              <w:t>0.09</w:t>
            </w:r>
          </w:p>
        </w:tc>
        <w:tc>
          <w:tcPr>
            <w:tcW w:w="432" w:type="pct"/>
            <w:vAlign w:val="center"/>
          </w:tcPr>
          <w:p w14:paraId="3D114705">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6F15DD1F">
            <w:pPr>
              <w:widowControl/>
              <w:jc w:val="center"/>
              <w:rPr>
                <w:rFonts w:ascii="Times New Roman" w:eastAsia="仿宋"/>
                <w:sz w:val="21"/>
                <w:szCs w:val="21"/>
              </w:rPr>
            </w:pPr>
            <w:r>
              <w:rPr>
                <w:rFonts w:ascii="Times New Roman" w:eastAsia="仿宋"/>
                <w:sz w:val="21"/>
                <w:szCs w:val="21"/>
              </w:rPr>
              <w:t>0.011</w:t>
            </w:r>
          </w:p>
        </w:tc>
      </w:tr>
      <w:tr w14:paraId="69D7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4293A7E6">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8</w:t>
            </w:r>
          </w:p>
        </w:tc>
        <w:tc>
          <w:tcPr>
            <w:tcW w:w="1650" w:type="pct"/>
            <w:shd w:val="clear" w:color="auto" w:fill="auto"/>
            <w:noWrap/>
            <w:vAlign w:val="center"/>
          </w:tcPr>
          <w:p w14:paraId="765A3667">
            <w:pPr>
              <w:widowControl/>
              <w:jc w:val="center"/>
              <w:rPr>
                <w:rFonts w:ascii="Times New Roman" w:eastAsia="仿宋"/>
                <w:sz w:val="21"/>
                <w:szCs w:val="21"/>
              </w:rPr>
            </w:pPr>
            <w:r>
              <w:rPr>
                <w:rFonts w:ascii="Times New Roman" w:eastAsia="仿宋"/>
                <w:sz w:val="21"/>
                <w:szCs w:val="21"/>
              </w:rPr>
              <w:t>常州思必达新能源设备有限公司</w:t>
            </w:r>
          </w:p>
        </w:tc>
        <w:tc>
          <w:tcPr>
            <w:tcW w:w="604" w:type="pct"/>
            <w:shd w:val="clear" w:color="auto" w:fill="auto"/>
            <w:noWrap/>
            <w:vAlign w:val="center"/>
          </w:tcPr>
          <w:p w14:paraId="61F1B832">
            <w:pPr>
              <w:widowControl/>
              <w:jc w:val="center"/>
              <w:rPr>
                <w:rFonts w:ascii="Times New Roman" w:eastAsia="仿宋"/>
                <w:sz w:val="21"/>
                <w:szCs w:val="21"/>
              </w:rPr>
            </w:pPr>
            <w:r>
              <w:rPr>
                <w:rFonts w:ascii="Times New Roman" w:eastAsia="仿宋"/>
                <w:sz w:val="21"/>
                <w:szCs w:val="21"/>
              </w:rPr>
              <w:t>506</w:t>
            </w:r>
          </w:p>
        </w:tc>
        <w:tc>
          <w:tcPr>
            <w:tcW w:w="501" w:type="pct"/>
            <w:shd w:val="clear" w:color="auto" w:fill="auto"/>
            <w:noWrap/>
            <w:vAlign w:val="center"/>
          </w:tcPr>
          <w:p w14:paraId="6C383AAB">
            <w:pPr>
              <w:widowControl/>
              <w:jc w:val="center"/>
              <w:rPr>
                <w:rFonts w:ascii="Times New Roman" w:eastAsia="仿宋"/>
                <w:sz w:val="21"/>
                <w:szCs w:val="21"/>
              </w:rPr>
            </w:pPr>
            <w:r>
              <w:rPr>
                <w:rFonts w:ascii="Times New Roman" w:eastAsia="仿宋"/>
                <w:sz w:val="21"/>
                <w:szCs w:val="21"/>
              </w:rPr>
              <w:t>0.202</w:t>
            </w:r>
          </w:p>
        </w:tc>
        <w:tc>
          <w:tcPr>
            <w:tcW w:w="428" w:type="pct"/>
            <w:vAlign w:val="center"/>
          </w:tcPr>
          <w:p w14:paraId="597B6B53">
            <w:pPr>
              <w:widowControl/>
              <w:jc w:val="center"/>
              <w:rPr>
                <w:rFonts w:ascii="Times New Roman" w:eastAsia="仿宋"/>
                <w:sz w:val="21"/>
                <w:szCs w:val="21"/>
              </w:rPr>
            </w:pPr>
            <w:r>
              <w:rPr>
                <w:rFonts w:ascii="Times New Roman" w:eastAsia="仿宋"/>
                <w:sz w:val="21"/>
                <w:szCs w:val="21"/>
              </w:rPr>
              <w:t>0.127</w:t>
            </w:r>
          </w:p>
        </w:tc>
        <w:tc>
          <w:tcPr>
            <w:tcW w:w="558" w:type="pct"/>
            <w:shd w:val="clear" w:color="auto" w:fill="auto"/>
            <w:noWrap/>
            <w:vAlign w:val="center"/>
          </w:tcPr>
          <w:p w14:paraId="13CB044A">
            <w:pPr>
              <w:widowControl/>
              <w:jc w:val="center"/>
              <w:rPr>
                <w:rFonts w:ascii="Times New Roman" w:eastAsia="仿宋"/>
                <w:sz w:val="21"/>
                <w:szCs w:val="21"/>
              </w:rPr>
            </w:pPr>
            <w:r>
              <w:rPr>
                <w:rFonts w:ascii="Times New Roman" w:eastAsia="仿宋"/>
                <w:sz w:val="21"/>
                <w:szCs w:val="21"/>
              </w:rPr>
              <w:t>0.015</w:t>
            </w:r>
          </w:p>
        </w:tc>
        <w:tc>
          <w:tcPr>
            <w:tcW w:w="432" w:type="pct"/>
            <w:vAlign w:val="center"/>
          </w:tcPr>
          <w:p w14:paraId="442F838C">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58B43BD9">
            <w:pPr>
              <w:widowControl/>
              <w:jc w:val="center"/>
              <w:rPr>
                <w:rFonts w:ascii="Times New Roman" w:eastAsia="仿宋"/>
                <w:sz w:val="21"/>
                <w:szCs w:val="21"/>
              </w:rPr>
            </w:pPr>
            <w:r>
              <w:rPr>
                <w:rFonts w:ascii="Times New Roman" w:eastAsia="仿宋"/>
                <w:sz w:val="21"/>
                <w:szCs w:val="21"/>
              </w:rPr>
              <w:t>0.003</w:t>
            </w:r>
          </w:p>
        </w:tc>
      </w:tr>
      <w:tr w14:paraId="155D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0BA4BF2B">
            <w:pPr>
              <w:widowControl/>
              <w:jc w:val="center"/>
              <w:rPr>
                <w:rFonts w:ascii="Times New Roman" w:eastAsia="仿宋"/>
                <w:sz w:val="21"/>
                <w:szCs w:val="21"/>
              </w:rPr>
            </w:pPr>
            <w:r>
              <w:rPr>
                <w:rFonts w:hint="eastAsia" w:ascii="Times New Roman" w:eastAsia="仿宋"/>
                <w:sz w:val="21"/>
                <w:szCs w:val="21"/>
              </w:rPr>
              <w:t>1</w:t>
            </w:r>
            <w:r>
              <w:rPr>
                <w:rFonts w:ascii="Times New Roman" w:eastAsia="仿宋"/>
                <w:sz w:val="21"/>
                <w:szCs w:val="21"/>
              </w:rPr>
              <w:t>9</w:t>
            </w:r>
          </w:p>
        </w:tc>
        <w:tc>
          <w:tcPr>
            <w:tcW w:w="1650" w:type="pct"/>
            <w:shd w:val="clear" w:color="auto" w:fill="auto"/>
            <w:noWrap/>
            <w:vAlign w:val="center"/>
          </w:tcPr>
          <w:p w14:paraId="57C3DD3F">
            <w:pPr>
              <w:widowControl/>
              <w:jc w:val="center"/>
              <w:rPr>
                <w:rFonts w:ascii="Times New Roman" w:eastAsia="仿宋"/>
                <w:sz w:val="21"/>
                <w:szCs w:val="21"/>
              </w:rPr>
            </w:pPr>
            <w:r>
              <w:rPr>
                <w:rFonts w:ascii="Times New Roman" w:eastAsia="仿宋"/>
                <w:sz w:val="21"/>
                <w:szCs w:val="21"/>
              </w:rPr>
              <w:t>常州银丰电力装备有限公司</w:t>
            </w:r>
          </w:p>
        </w:tc>
        <w:tc>
          <w:tcPr>
            <w:tcW w:w="604" w:type="pct"/>
            <w:shd w:val="clear" w:color="auto" w:fill="auto"/>
            <w:noWrap/>
            <w:vAlign w:val="center"/>
          </w:tcPr>
          <w:p w14:paraId="1A8BD1F1">
            <w:pPr>
              <w:widowControl/>
              <w:jc w:val="center"/>
              <w:rPr>
                <w:rFonts w:ascii="Times New Roman" w:eastAsia="仿宋"/>
                <w:sz w:val="21"/>
                <w:szCs w:val="21"/>
              </w:rPr>
            </w:pPr>
            <w:r>
              <w:rPr>
                <w:rFonts w:ascii="Times New Roman" w:eastAsia="仿宋"/>
                <w:sz w:val="21"/>
                <w:szCs w:val="21"/>
              </w:rPr>
              <w:t>5700</w:t>
            </w:r>
          </w:p>
        </w:tc>
        <w:tc>
          <w:tcPr>
            <w:tcW w:w="501" w:type="pct"/>
            <w:shd w:val="clear" w:color="auto" w:fill="auto"/>
            <w:noWrap/>
            <w:vAlign w:val="center"/>
          </w:tcPr>
          <w:p w14:paraId="62492966">
            <w:pPr>
              <w:widowControl/>
              <w:jc w:val="center"/>
              <w:rPr>
                <w:rFonts w:ascii="Times New Roman" w:eastAsia="仿宋"/>
                <w:sz w:val="21"/>
                <w:szCs w:val="21"/>
              </w:rPr>
            </w:pPr>
            <w:r>
              <w:rPr>
                <w:rFonts w:ascii="Times New Roman" w:eastAsia="仿宋"/>
                <w:sz w:val="21"/>
                <w:szCs w:val="21"/>
              </w:rPr>
              <w:t>2.87</w:t>
            </w:r>
          </w:p>
        </w:tc>
        <w:tc>
          <w:tcPr>
            <w:tcW w:w="428" w:type="pct"/>
            <w:vAlign w:val="center"/>
          </w:tcPr>
          <w:p w14:paraId="0E3381A2">
            <w:pPr>
              <w:widowControl/>
              <w:jc w:val="center"/>
              <w:rPr>
                <w:rFonts w:ascii="Times New Roman" w:eastAsia="仿宋"/>
                <w:sz w:val="21"/>
                <w:szCs w:val="21"/>
              </w:rPr>
            </w:pPr>
            <w:r>
              <w:rPr>
                <w:rFonts w:ascii="Times New Roman" w:eastAsia="仿宋"/>
                <w:sz w:val="21"/>
                <w:szCs w:val="21"/>
              </w:rPr>
              <w:t>0.057</w:t>
            </w:r>
          </w:p>
        </w:tc>
        <w:tc>
          <w:tcPr>
            <w:tcW w:w="558" w:type="pct"/>
            <w:shd w:val="clear" w:color="auto" w:fill="auto"/>
            <w:noWrap/>
            <w:vAlign w:val="center"/>
          </w:tcPr>
          <w:p w14:paraId="26FA0055">
            <w:pPr>
              <w:widowControl/>
              <w:jc w:val="center"/>
              <w:rPr>
                <w:rFonts w:ascii="Times New Roman" w:eastAsia="仿宋"/>
                <w:sz w:val="21"/>
                <w:szCs w:val="21"/>
              </w:rPr>
            </w:pPr>
            <w:r>
              <w:rPr>
                <w:rFonts w:ascii="Times New Roman" w:eastAsia="仿宋"/>
                <w:sz w:val="21"/>
                <w:szCs w:val="21"/>
              </w:rPr>
              <w:t>0.14</w:t>
            </w:r>
          </w:p>
        </w:tc>
        <w:tc>
          <w:tcPr>
            <w:tcW w:w="432" w:type="pct"/>
            <w:vAlign w:val="center"/>
          </w:tcPr>
          <w:p w14:paraId="33D0313A">
            <w:pPr>
              <w:widowControl/>
              <w:jc w:val="center"/>
              <w:rPr>
                <w:rFonts w:ascii="Times New Roman" w:eastAsia="仿宋"/>
                <w:sz w:val="21"/>
                <w:szCs w:val="21"/>
              </w:rPr>
            </w:pPr>
            <w:r>
              <w:rPr>
                <w:rFonts w:ascii="Times New Roman" w:eastAsia="仿宋"/>
                <w:sz w:val="21"/>
                <w:szCs w:val="21"/>
              </w:rPr>
              <w:t>0.086</w:t>
            </w:r>
          </w:p>
        </w:tc>
        <w:tc>
          <w:tcPr>
            <w:tcW w:w="496" w:type="pct"/>
            <w:shd w:val="clear" w:color="auto" w:fill="auto"/>
            <w:noWrap/>
            <w:vAlign w:val="center"/>
          </w:tcPr>
          <w:p w14:paraId="3A6BBA0E">
            <w:pPr>
              <w:widowControl/>
              <w:jc w:val="center"/>
              <w:rPr>
                <w:rFonts w:ascii="Times New Roman" w:eastAsia="仿宋"/>
                <w:sz w:val="21"/>
                <w:szCs w:val="21"/>
              </w:rPr>
            </w:pPr>
            <w:r>
              <w:rPr>
                <w:rFonts w:ascii="Times New Roman" w:eastAsia="仿宋"/>
                <w:sz w:val="21"/>
                <w:szCs w:val="21"/>
              </w:rPr>
              <w:t>0.03</w:t>
            </w:r>
          </w:p>
        </w:tc>
      </w:tr>
      <w:tr w14:paraId="41F0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94B0B46">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0</w:t>
            </w:r>
          </w:p>
        </w:tc>
        <w:tc>
          <w:tcPr>
            <w:tcW w:w="1650" w:type="pct"/>
            <w:shd w:val="clear" w:color="auto" w:fill="auto"/>
            <w:noWrap/>
            <w:vAlign w:val="center"/>
          </w:tcPr>
          <w:p w14:paraId="15BE807A">
            <w:pPr>
              <w:widowControl/>
              <w:jc w:val="center"/>
              <w:rPr>
                <w:rFonts w:ascii="Times New Roman" w:eastAsia="仿宋"/>
                <w:sz w:val="21"/>
                <w:szCs w:val="21"/>
              </w:rPr>
            </w:pPr>
            <w:r>
              <w:rPr>
                <w:rFonts w:ascii="Times New Roman" w:eastAsia="仿宋"/>
                <w:sz w:val="21"/>
                <w:szCs w:val="21"/>
              </w:rPr>
              <w:t>常州科林线缆有限公司</w:t>
            </w:r>
          </w:p>
        </w:tc>
        <w:tc>
          <w:tcPr>
            <w:tcW w:w="604" w:type="pct"/>
            <w:shd w:val="clear" w:color="auto" w:fill="auto"/>
            <w:noWrap/>
            <w:vAlign w:val="center"/>
          </w:tcPr>
          <w:p w14:paraId="1595B21C">
            <w:pPr>
              <w:widowControl/>
              <w:jc w:val="center"/>
              <w:rPr>
                <w:rFonts w:ascii="Times New Roman" w:eastAsia="仿宋"/>
                <w:sz w:val="21"/>
                <w:szCs w:val="21"/>
              </w:rPr>
            </w:pPr>
            <w:r>
              <w:rPr>
                <w:rFonts w:ascii="Times New Roman" w:eastAsia="仿宋"/>
                <w:sz w:val="21"/>
                <w:szCs w:val="21"/>
              </w:rPr>
              <w:t>840</w:t>
            </w:r>
          </w:p>
        </w:tc>
        <w:tc>
          <w:tcPr>
            <w:tcW w:w="501" w:type="pct"/>
            <w:shd w:val="clear" w:color="auto" w:fill="auto"/>
            <w:noWrap/>
            <w:vAlign w:val="center"/>
          </w:tcPr>
          <w:p w14:paraId="4C7B4C63">
            <w:pPr>
              <w:widowControl/>
              <w:jc w:val="center"/>
              <w:rPr>
                <w:rFonts w:ascii="Times New Roman" w:eastAsia="仿宋"/>
                <w:sz w:val="21"/>
                <w:szCs w:val="21"/>
              </w:rPr>
            </w:pPr>
            <w:r>
              <w:rPr>
                <w:rFonts w:ascii="Times New Roman" w:eastAsia="仿宋"/>
                <w:sz w:val="21"/>
                <w:szCs w:val="21"/>
              </w:rPr>
              <w:t>0.252</w:t>
            </w:r>
          </w:p>
        </w:tc>
        <w:tc>
          <w:tcPr>
            <w:tcW w:w="428" w:type="pct"/>
            <w:vAlign w:val="center"/>
          </w:tcPr>
          <w:p w14:paraId="63B6B978">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0D9EF7B5">
            <w:pPr>
              <w:widowControl/>
              <w:jc w:val="center"/>
              <w:rPr>
                <w:rFonts w:ascii="Times New Roman" w:eastAsia="仿宋"/>
                <w:sz w:val="21"/>
                <w:szCs w:val="21"/>
              </w:rPr>
            </w:pPr>
            <w:r>
              <w:rPr>
                <w:rFonts w:ascii="Times New Roman" w:eastAsia="仿宋"/>
                <w:sz w:val="21"/>
                <w:szCs w:val="21"/>
              </w:rPr>
              <w:t>0.017</w:t>
            </w:r>
          </w:p>
        </w:tc>
        <w:tc>
          <w:tcPr>
            <w:tcW w:w="432" w:type="pct"/>
            <w:vAlign w:val="center"/>
          </w:tcPr>
          <w:p w14:paraId="576D41A8">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02C23F51">
            <w:pPr>
              <w:widowControl/>
              <w:jc w:val="center"/>
              <w:rPr>
                <w:rFonts w:ascii="Times New Roman" w:eastAsia="仿宋"/>
                <w:sz w:val="21"/>
                <w:szCs w:val="21"/>
              </w:rPr>
            </w:pPr>
            <w:r>
              <w:rPr>
                <w:rFonts w:ascii="Times New Roman" w:eastAsia="仿宋"/>
                <w:sz w:val="21"/>
                <w:szCs w:val="21"/>
              </w:rPr>
              <w:t>0.0025</w:t>
            </w:r>
          </w:p>
        </w:tc>
      </w:tr>
      <w:tr w14:paraId="4631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52FE1C28">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1</w:t>
            </w:r>
          </w:p>
        </w:tc>
        <w:tc>
          <w:tcPr>
            <w:tcW w:w="1650" w:type="pct"/>
            <w:shd w:val="clear" w:color="auto" w:fill="auto"/>
            <w:noWrap/>
            <w:vAlign w:val="center"/>
          </w:tcPr>
          <w:p w14:paraId="46A99045">
            <w:pPr>
              <w:widowControl/>
              <w:jc w:val="center"/>
              <w:rPr>
                <w:rFonts w:ascii="Times New Roman" w:eastAsia="仿宋"/>
                <w:sz w:val="21"/>
                <w:szCs w:val="21"/>
              </w:rPr>
            </w:pPr>
            <w:r>
              <w:rPr>
                <w:rFonts w:ascii="Times New Roman" w:eastAsia="仿宋"/>
                <w:sz w:val="21"/>
                <w:szCs w:val="21"/>
              </w:rPr>
              <w:t>江苏鹏德保温包装材料有限公司</w:t>
            </w:r>
          </w:p>
        </w:tc>
        <w:tc>
          <w:tcPr>
            <w:tcW w:w="604" w:type="pct"/>
            <w:shd w:val="clear" w:color="auto" w:fill="auto"/>
            <w:noWrap/>
            <w:vAlign w:val="center"/>
          </w:tcPr>
          <w:p w14:paraId="7001F9D0">
            <w:pPr>
              <w:widowControl/>
              <w:jc w:val="center"/>
              <w:rPr>
                <w:rFonts w:ascii="Times New Roman" w:eastAsia="仿宋"/>
                <w:sz w:val="21"/>
                <w:szCs w:val="21"/>
              </w:rPr>
            </w:pPr>
            <w:r>
              <w:rPr>
                <w:rFonts w:ascii="Times New Roman" w:eastAsia="仿宋"/>
                <w:sz w:val="21"/>
                <w:szCs w:val="21"/>
              </w:rPr>
              <w:t>720</w:t>
            </w:r>
          </w:p>
        </w:tc>
        <w:tc>
          <w:tcPr>
            <w:tcW w:w="501" w:type="pct"/>
            <w:shd w:val="clear" w:color="auto" w:fill="auto"/>
            <w:noWrap/>
            <w:vAlign w:val="center"/>
          </w:tcPr>
          <w:p w14:paraId="7165D3C6">
            <w:pPr>
              <w:widowControl/>
              <w:jc w:val="center"/>
              <w:rPr>
                <w:rFonts w:ascii="Times New Roman" w:eastAsia="仿宋"/>
                <w:sz w:val="21"/>
                <w:szCs w:val="21"/>
              </w:rPr>
            </w:pPr>
            <w:r>
              <w:rPr>
                <w:rFonts w:ascii="Times New Roman" w:eastAsia="仿宋"/>
                <w:sz w:val="21"/>
                <w:szCs w:val="21"/>
              </w:rPr>
              <w:t>0.288</w:t>
            </w:r>
          </w:p>
        </w:tc>
        <w:tc>
          <w:tcPr>
            <w:tcW w:w="428" w:type="pct"/>
            <w:vAlign w:val="center"/>
          </w:tcPr>
          <w:p w14:paraId="6320F189">
            <w:pPr>
              <w:widowControl/>
              <w:jc w:val="center"/>
              <w:rPr>
                <w:rFonts w:ascii="Times New Roman" w:eastAsia="仿宋"/>
                <w:sz w:val="21"/>
                <w:szCs w:val="21"/>
              </w:rPr>
            </w:pPr>
            <w:r>
              <w:rPr>
                <w:rFonts w:ascii="Times New Roman" w:eastAsia="仿宋"/>
                <w:sz w:val="21"/>
                <w:szCs w:val="21"/>
              </w:rPr>
              <w:t>0.216</w:t>
            </w:r>
          </w:p>
        </w:tc>
        <w:tc>
          <w:tcPr>
            <w:tcW w:w="558" w:type="pct"/>
            <w:shd w:val="clear" w:color="auto" w:fill="auto"/>
            <w:noWrap/>
            <w:vAlign w:val="center"/>
          </w:tcPr>
          <w:p w14:paraId="4BEFCBF3">
            <w:pPr>
              <w:widowControl/>
              <w:jc w:val="center"/>
              <w:rPr>
                <w:rFonts w:ascii="Times New Roman" w:eastAsia="仿宋"/>
                <w:sz w:val="21"/>
                <w:szCs w:val="21"/>
              </w:rPr>
            </w:pPr>
            <w:r>
              <w:rPr>
                <w:rFonts w:ascii="Times New Roman" w:eastAsia="仿宋"/>
                <w:sz w:val="21"/>
                <w:szCs w:val="21"/>
              </w:rPr>
              <w:t>0.0288</w:t>
            </w:r>
          </w:p>
        </w:tc>
        <w:tc>
          <w:tcPr>
            <w:tcW w:w="432" w:type="pct"/>
            <w:vAlign w:val="center"/>
          </w:tcPr>
          <w:p w14:paraId="76349D0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5BBAC002">
            <w:pPr>
              <w:widowControl/>
              <w:jc w:val="center"/>
              <w:rPr>
                <w:rFonts w:ascii="Times New Roman" w:eastAsia="仿宋"/>
                <w:sz w:val="21"/>
                <w:szCs w:val="21"/>
              </w:rPr>
            </w:pPr>
            <w:r>
              <w:rPr>
                <w:rFonts w:ascii="Times New Roman" w:eastAsia="仿宋"/>
                <w:sz w:val="21"/>
                <w:szCs w:val="21"/>
              </w:rPr>
              <w:t>0.0036</w:t>
            </w:r>
          </w:p>
        </w:tc>
      </w:tr>
      <w:tr w14:paraId="376C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4F6A0D6">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2</w:t>
            </w:r>
          </w:p>
        </w:tc>
        <w:tc>
          <w:tcPr>
            <w:tcW w:w="1650" w:type="pct"/>
            <w:shd w:val="clear" w:color="auto" w:fill="auto"/>
            <w:noWrap/>
            <w:vAlign w:val="center"/>
          </w:tcPr>
          <w:p w14:paraId="30C8E750">
            <w:pPr>
              <w:widowControl/>
              <w:jc w:val="center"/>
              <w:rPr>
                <w:rFonts w:ascii="Times New Roman" w:eastAsia="仿宋"/>
                <w:sz w:val="21"/>
                <w:szCs w:val="21"/>
              </w:rPr>
            </w:pPr>
            <w:r>
              <w:rPr>
                <w:rFonts w:ascii="Times New Roman" w:eastAsia="仿宋"/>
                <w:sz w:val="21"/>
                <w:szCs w:val="21"/>
              </w:rPr>
              <w:t>常州日新模塑科技有限公司</w:t>
            </w:r>
          </w:p>
        </w:tc>
        <w:tc>
          <w:tcPr>
            <w:tcW w:w="604" w:type="pct"/>
            <w:shd w:val="clear" w:color="auto" w:fill="auto"/>
            <w:noWrap/>
            <w:vAlign w:val="center"/>
          </w:tcPr>
          <w:p w14:paraId="5B19FDF4">
            <w:pPr>
              <w:widowControl/>
              <w:jc w:val="center"/>
              <w:rPr>
                <w:rFonts w:ascii="Times New Roman" w:eastAsia="仿宋"/>
                <w:sz w:val="21"/>
                <w:szCs w:val="21"/>
              </w:rPr>
            </w:pPr>
            <w:r>
              <w:rPr>
                <w:rFonts w:ascii="Times New Roman" w:eastAsia="仿宋"/>
                <w:sz w:val="21"/>
                <w:szCs w:val="21"/>
              </w:rPr>
              <w:t>1680</w:t>
            </w:r>
          </w:p>
        </w:tc>
        <w:tc>
          <w:tcPr>
            <w:tcW w:w="501" w:type="pct"/>
            <w:shd w:val="clear" w:color="auto" w:fill="auto"/>
            <w:noWrap/>
            <w:vAlign w:val="center"/>
          </w:tcPr>
          <w:p w14:paraId="60D2BD49">
            <w:pPr>
              <w:widowControl/>
              <w:jc w:val="center"/>
              <w:rPr>
                <w:rFonts w:ascii="Times New Roman" w:eastAsia="仿宋"/>
                <w:sz w:val="21"/>
                <w:szCs w:val="21"/>
              </w:rPr>
            </w:pPr>
            <w:r>
              <w:rPr>
                <w:rFonts w:ascii="Times New Roman" w:eastAsia="仿宋"/>
                <w:sz w:val="21"/>
                <w:szCs w:val="21"/>
              </w:rPr>
              <w:t>0.67</w:t>
            </w:r>
          </w:p>
        </w:tc>
        <w:tc>
          <w:tcPr>
            <w:tcW w:w="428" w:type="pct"/>
            <w:vAlign w:val="center"/>
          </w:tcPr>
          <w:p w14:paraId="7AFCD3E4">
            <w:pPr>
              <w:widowControl/>
              <w:jc w:val="center"/>
              <w:rPr>
                <w:rFonts w:ascii="Times New Roman" w:eastAsia="仿宋"/>
                <w:sz w:val="21"/>
                <w:szCs w:val="21"/>
              </w:rPr>
            </w:pPr>
            <w:r>
              <w:rPr>
                <w:rFonts w:ascii="Times New Roman" w:eastAsia="仿宋"/>
                <w:sz w:val="21"/>
                <w:szCs w:val="21"/>
              </w:rPr>
              <w:t>0.42</w:t>
            </w:r>
          </w:p>
        </w:tc>
        <w:tc>
          <w:tcPr>
            <w:tcW w:w="558" w:type="pct"/>
            <w:shd w:val="clear" w:color="auto" w:fill="auto"/>
            <w:noWrap/>
            <w:vAlign w:val="center"/>
          </w:tcPr>
          <w:p w14:paraId="4CBB42CE">
            <w:pPr>
              <w:widowControl/>
              <w:jc w:val="center"/>
              <w:rPr>
                <w:rFonts w:ascii="Times New Roman" w:eastAsia="仿宋"/>
                <w:sz w:val="21"/>
                <w:szCs w:val="21"/>
              </w:rPr>
            </w:pPr>
            <w:r>
              <w:rPr>
                <w:rFonts w:ascii="Times New Roman" w:eastAsia="仿宋"/>
                <w:sz w:val="21"/>
                <w:szCs w:val="21"/>
              </w:rPr>
              <w:t>0.05</w:t>
            </w:r>
          </w:p>
        </w:tc>
        <w:tc>
          <w:tcPr>
            <w:tcW w:w="432" w:type="pct"/>
            <w:vAlign w:val="center"/>
          </w:tcPr>
          <w:p w14:paraId="60BA9033">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36DB08F1">
            <w:pPr>
              <w:widowControl/>
              <w:jc w:val="center"/>
              <w:rPr>
                <w:rFonts w:ascii="Times New Roman" w:eastAsia="仿宋"/>
                <w:sz w:val="21"/>
                <w:szCs w:val="21"/>
              </w:rPr>
            </w:pPr>
            <w:r>
              <w:rPr>
                <w:rFonts w:ascii="Times New Roman" w:eastAsia="仿宋"/>
                <w:sz w:val="21"/>
                <w:szCs w:val="21"/>
              </w:rPr>
              <w:t>0.005</w:t>
            </w:r>
          </w:p>
        </w:tc>
      </w:tr>
      <w:tr w14:paraId="591A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2FC1792F">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3</w:t>
            </w:r>
          </w:p>
        </w:tc>
        <w:tc>
          <w:tcPr>
            <w:tcW w:w="1650" w:type="pct"/>
            <w:shd w:val="clear" w:color="auto" w:fill="auto"/>
            <w:noWrap/>
            <w:vAlign w:val="center"/>
          </w:tcPr>
          <w:p w14:paraId="78E6964D">
            <w:pPr>
              <w:widowControl/>
              <w:jc w:val="center"/>
              <w:rPr>
                <w:rFonts w:ascii="Times New Roman" w:eastAsia="仿宋"/>
                <w:sz w:val="21"/>
                <w:szCs w:val="21"/>
              </w:rPr>
            </w:pPr>
            <w:r>
              <w:rPr>
                <w:rFonts w:ascii="Times New Roman" w:eastAsia="仿宋"/>
                <w:sz w:val="21"/>
                <w:szCs w:val="21"/>
              </w:rPr>
              <w:t>江苏立华食品有限公司</w:t>
            </w:r>
          </w:p>
        </w:tc>
        <w:tc>
          <w:tcPr>
            <w:tcW w:w="604" w:type="pct"/>
            <w:shd w:val="clear" w:color="auto" w:fill="auto"/>
            <w:noWrap/>
            <w:vAlign w:val="center"/>
          </w:tcPr>
          <w:p w14:paraId="60170128">
            <w:pPr>
              <w:widowControl/>
              <w:jc w:val="center"/>
              <w:rPr>
                <w:rFonts w:ascii="Times New Roman" w:eastAsia="仿宋"/>
                <w:sz w:val="21"/>
                <w:szCs w:val="21"/>
              </w:rPr>
            </w:pPr>
            <w:r>
              <w:rPr>
                <w:rFonts w:ascii="Times New Roman" w:eastAsia="仿宋"/>
                <w:sz w:val="21"/>
                <w:szCs w:val="21"/>
              </w:rPr>
              <w:t>48376</w:t>
            </w:r>
          </w:p>
        </w:tc>
        <w:tc>
          <w:tcPr>
            <w:tcW w:w="501" w:type="pct"/>
            <w:shd w:val="clear" w:color="auto" w:fill="auto"/>
            <w:noWrap/>
            <w:vAlign w:val="center"/>
          </w:tcPr>
          <w:p w14:paraId="594AFF31">
            <w:pPr>
              <w:widowControl/>
              <w:jc w:val="center"/>
              <w:rPr>
                <w:rFonts w:ascii="Times New Roman" w:eastAsia="仿宋"/>
                <w:sz w:val="21"/>
                <w:szCs w:val="21"/>
              </w:rPr>
            </w:pPr>
            <w:r>
              <w:rPr>
                <w:rFonts w:ascii="Times New Roman" w:eastAsia="仿宋"/>
                <w:sz w:val="21"/>
                <w:szCs w:val="21"/>
              </w:rPr>
              <w:t>5.12</w:t>
            </w:r>
          </w:p>
        </w:tc>
        <w:tc>
          <w:tcPr>
            <w:tcW w:w="428" w:type="pct"/>
            <w:shd w:val="clear" w:color="auto" w:fill="auto"/>
            <w:vAlign w:val="center"/>
          </w:tcPr>
          <w:p w14:paraId="0CD11B60">
            <w:pPr>
              <w:widowControl/>
              <w:jc w:val="center"/>
              <w:rPr>
                <w:rFonts w:ascii="Times New Roman" w:eastAsia="仿宋"/>
                <w:sz w:val="21"/>
                <w:szCs w:val="21"/>
              </w:rPr>
            </w:pPr>
            <w:r>
              <w:rPr>
                <w:rFonts w:ascii="Times New Roman" w:eastAsia="仿宋"/>
                <w:sz w:val="21"/>
                <w:szCs w:val="21"/>
              </w:rPr>
              <w:t>3.46</w:t>
            </w:r>
          </w:p>
        </w:tc>
        <w:tc>
          <w:tcPr>
            <w:tcW w:w="558" w:type="pct"/>
            <w:shd w:val="clear" w:color="auto" w:fill="auto"/>
            <w:noWrap/>
            <w:vAlign w:val="center"/>
          </w:tcPr>
          <w:p w14:paraId="267C5FE4">
            <w:pPr>
              <w:widowControl/>
              <w:jc w:val="center"/>
              <w:rPr>
                <w:rFonts w:ascii="Times New Roman" w:eastAsia="仿宋"/>
                <w:sz w:val="21"/>
                <w:szCs w:val="21"/>
              </w:rPr>
            </w:pPr>
            <w:r>
              <w:rPr>
                <w:rFonts w:ascii="Times New Roman" w:eastAsia="仿宋"/>
                <w:sz w:val="21"/>
                <w:szCs w:val="21"/>
              </w:rPr>
              <w:t>0.552</w:t>
            </w:r>
          </w:p>
        </w:tc>
        <w:tc>
          <w:tcPr>
            <w:tcW w:w="432" w:type="pct"/>
            <w:shd w:val="clear" w:color="auto" w:fill="auto"/>
            <w:vAlign w:val="center"/>
          </w:tcPr>
          <w:p w14:paraId="4C25EC95">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461CA5FC">
            <w:pPr>
              <w:widowControl/>
              <w:jc w:val="center"/>
              <w:rPr>
                <w:rFonts w:ascii="Times New Roman" w:eastAsia="仿宋"/>
                <w:sz w:val="21"/>
                <w:szCs w:val="21"/>
              </w:rPr>
            </w:pPr>
            <w:r>
              <w:rPr>
                <w:rFonts w:ascii="Times New Roman" w:eastAsia="仿宋"/>
                <w:sz w:val="21"/>
                <w:szCs w:val="21"/>
              </w:rPr>
              <w:t>0.055</w:t>
            </w:r>
          </w:p>
        </w:tc>
      </w:tr>
      <w:tr w14:paraId="1388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44F718B6">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4</w:t>
            </w:r>
          </w:p>
        </w:tc>
        <w:tc>
          <w:tcPr>
            <w:tcW w:w="1650" w:type="pct"/>
            <w:shd w:val="clear" w:color="auto" w:fill="auto"/>
            <w:noWrap/>
            <w:vAlign w:val="center"/>
          </w:tcPr>
          <w:p w14:paraId="6244F7DD">
            <w:pPr>
              <w:widowControl/>
              <w:jc w:val="center"/>
              <w:rPr>
                <w:rFonts w:ascii="Times New Roman" w:eastAsia="仿宋"/>
                <w:sz w:val="21"/>
                <w:szCs w:val="21"/>
              </w:rPr>
            </w:pPr>
            <w:r>
              <w:rPr>
                <w:rFonts w:ascii="Times New Roman" w:eastAsia="仿宋"/>
                <w:sz w:val="21"/>
                <w:szCs w:val="21"/>
              </w:rPr>
              <w:t>常州苏昊服装有限公司</w:t>
            </w:r>
          </w:p>
        </w:tc>
        <w:tc>
          <w:tcPr>
            <w:tcW w:w="604" w:type="pct"/>
            <w:shd w:val="clear" w:color="auto" w:fill="auto"/>
            <w:noWrap/>
            <w:vAlign w:val="center"/>
          </w:tcPr>
          <w:p w14:paraId="2B16A4A7">
            <w:pPr>
              <w:widowControl/>
              <w:jc w:val="center"/>
              <w:rPr>
                <w:rFonts w:ascii="Times New Roman" w:eastAsia="仿宋"/>
                <w:sz w:val="21"/>
                <w:szCs w:val="21"/>
              </w:rPr>
            </w:pPr>
            <w:r>
              <w:rPr>
                <w:rFonts w:ascii="Times New Roman" w:eastAsia="仿宋"/>
                <w:sz w:val="21"/>
                <w:szCs w:val="21"/>
              </w:rPr>
              <w:t>1500</w:t>
            </w:r>
          </w:p>
        </w:tc>
        <w:tc>
          <w:tcPr>
            <w:tcW w:w="501" w:type="pct"/>
            <w:shd w:val="clear" w:color="auto" w:fill="auto"/>
            <w:noWrap/>
            <w:vAlign w:val="center"/>
          </w:tcPr>
          <w:p w14:paraId="13A1F292">
            <w:pPr>
              <w:widowControl/>
              <w:jc w:val="center"/>
              <w:rPr>
                <w:rFonts w:ascii="Times New Roman" w:eastAsia="仿宋"/>
                <w:sz w:val="21"/>
                <w:szCs w:val="21"/>
              </w:rPr>
            </w:pPr>
            <w:r>
              <w:rPr>
                <w:rFonts w:ascii="Times New Roman" w:eastAsia="仿宋"/>
                <w:sz w:val="21"/>
                <w:szCs w:val="21"/>
              </w:rPr>
              <w:t>0.45</w:t>
            </w:r>
          </w:p>
        </w:tc>
        <w:tc>
          <w:tcPr>
            <w:tcW w:w="428" w:type="pct"/>
            <w:vAlign w:val="center"/>
          </w:tcPr>
          <w:p w14:paraId="28F3D9C3">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2AECEDB7">
            <w:pPr>
              <w:widowControl/>
              <w:jc w:val="center"/>
              <w:rPr>
                <w:rFonts w:ascii="Times New Roman" w:eastAsia="仿宋"/>
                <w:sz w:val="21"/>
                <w:szCs w:val="21"/>
              </w:rPr>
            </w:pPr>
            <w:r>
              <w:rPr>
                <w:rFonts w:ascii="Times New Roman" w:eastAsia="仿宋"/>
                <w:sz w:val="21"/>
                <w:szCs w:val="21"/>
              </w:rPr>
              <w:t>0.038</w:t>
            </w:r>
          </w:p>
        </w:tc>
        <w:tc>
          <w:tcPr>
            <w:tcW w:w="432" w:type="pct"/>
            <w:vAlign w:val="center"/>
          </w:tcPr>
          <w:p w14:paraId="500F353D">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4FE65DDB">
            <w:pPr>
              <w:widowControl/>
              <w:jc w:val="center"/>
              <w:rPr>
                <w:rFonts w:ascii="Times New Roman" w:eastAsia="仿宋"/>
                <w:sz w:val="21"/>
                <w:szCs w:val="21"/>
              </w:rPr>
            </w:pPr>
            <w:r>
              <w:rPr>
                <w:rFonts w:ascii="Times New Roman" w:eastAsia="仿宋"/>
                <w:sz w:val="21"/>
                <w:szCs w:val="21"/>
              </w:rPr>
              <w:t>0.0045</w:t>
            </w:r>
          </w:p>
        </w:tc>
      </w:tr>
      <w:tr w14:paraId="0F00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68EC496">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5</w:t>
            </w:r>
          </w:p>
        </w:tc>
        <w:tc>
          <w:tcPr>
            <w:tcW w:w="1650" w:type="pct"/>
            <w:shd w:val="clear" w:color="auto" w:fill="auto"/>
            <w:noWrap/>
            <w:vAlign w:val="center"/>
          </w:tcPr>
          <w:p w14:paraId="2F05D48C">
            <w:pPr>
              <w:widowControl/>
              <w:jc w:val="center"/>
              <w:rPr>
                <w:rFonts w:ascii="Times New Roman" w:eastAsia="仿宋"/>
                <w:sz w:val="21"/>
                <w:szCs w:val="21"/>
              </w:rPr>
            </w:pPr>
            <w:r>
              <w:rPr>
                <w:rFonts w:ascii="Times New Roman" w:eastAsia="仿宋"/>
                <w:sz w:val="21"/>
                <w:szCs w:val="21"/>
              </w:rPr>
              <w:t>常州市金坛建明机械制造厂（普通合伙）</w:t>
            </w:r>
          </w:p>
        </w:tc>
        <w:tc>
          <w:tcPr>
            <w:tcW w:w="604" w:type="pct"/>
            <w:shd w:val="clear" w:color="auto" w:fill="auto"/>
            <w:noWrap/>
            <w:vAlign w:val="center"/>
          </w:tcPr>
          <w:p w14:paraId="45349882">
            <w:pPr>
              <w:widowControl/>
              <w:jc w:val="center"/>
              <w:rPr>
                <w:rFonts w:ascii="Times New Roman" w:eastAsia="仿宋"/>
                <w:sz w:val="21"/>
                <w:szCs w:val="21"/>
              </w:rPr>
            </w:pPr>
            <w:r>
              <w:rPr>
                <w:rFonts w:ascii="Times New Roman" w:eastAsia="仿宋"/>
                <w:sz w:val="21"/>
                <w:szCs w:val="21"/>
              </w:rPr>
              <w:t>2600</w:t>
            </w:r>
          </w:p>
        </w:tc>
        <w:tc>
          <w:tcPr>
            <w:tcW w:w="501" w:type="pct"/>
            <w:shd w:val="clear" w:color="auto" w:fill="auto"/>
            <w:noWrap/>
            <w:vAlign w:val="center"/>
          </w:tcPr>
          <w:p w14:paraId="27D3C1C5">
            <w:pPr>
              <w:widowControl/>
              <w:jc w:val="center"/>
              <w:rPr>
                <w:rFonts w:ascii="Times New Roman" w:eastAsia="仿宋"/>
                <w:sz w:val="21"/>
                <w:szCs w:val="21"/>
              </w:rPr>
            </w:pPr>
            <w:r>
              <w:rPr>
                <w:rFonts w:ascii="Times New Roman" w:eastAsia="仿宋"/>
                <w:sz w:val="21"/>
                <w:szCs w:val="21"/>
              </w:rPr>
              <w:t>1.04</w:t>
            </w:r>
          </w:p>
        </w:tc>
        <w:tc>
          <w:tcPr>
            <w:tcW w:w="428" w:type="pct"/>
            <w:vAlign w:val="center"/>
          </w:tcPr>
          <w:p w14:paraId="7176BF4D">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2E80C147">
            <w:pPr>
              <w:widowControl/>
              <w:jc w:val="center"/>
              <w:rPr>
                <w:rFonts w:ascii="Times New Roman" w:eastAsia="仿宋"/>
                <w:sz w:val="21"/>
                <w:szCs w:val="21"/>
              </w:rPr>
            </w:pPr>
            <w:r>
              <w:rPr>
                <w:rFonts w:ascii="Times New Roman" w:eastAsia="仿宋"/>
                <w:sz w:val="21"/>
                <w:szCs w:val="21"/>
              </w:rPr>
              <w:t>0.065</w:t>
            </w:r>
          </w:p>
        </w:tc>
        <w:tc>
          <w:tcPr>
            <w:tcW w:w="432" w:type="pct"/>
            <w:vAlign w:val="center"/>
          </w:tcPr>
          <w:p w14:paraId="7513096A">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322A85E6">
            <w:pPr>
              <w:widowControl/>
              <w:jc w:val="center"/>
              <w:rPr>
                <w:rFonts w:ascii="Times New Roman" w:eastAsia="仿宋"/>
                <w:sz w:val="21"/>
                <w:szCs w:val="21"/>
              </w:rPr>
            </w:pPr>
            <w:r>
              <w:rPr>
                <w:rFonts w:ascii="Times New Roman" w:eastAsia="仿宋"/>
                <w:sz w:val="21"/>
                <w:szCs w:val="21"/>
              </w:rPr>
              <w:t>0.013</w:t>
            </w:r>
          </w:p>
        </w:tc>
      </w:tr>
      <w:tr w14:paraId="727F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054D0A50">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6</w:t>
            </w:r>
          </w:p>
        </w:tc>
        <w:tc>
          <w:tcPr>
            <w:tcW w:w="1650" w:type="pct"/>
            <w:shd w:val="clear" w:color="auto" w:fill="auto"/>
            <w:noWrap/>
            <w:vAlign w:val="center"/>
          </w:tcPr>
          <w:p w14:paraId="2B80239A">
            <w:pPr>
              <w:widowControl/>
              <w:jc w:val="center"/>
              <w:rPr>
                <w:rFonts w:ascii="Times New Roman" w:eastAsia="仿宋"/>
                <w:sz w:val="21"/>
                <w:szCs w:val="21"/>
              </w:rPr>
            </w:pPr>
            <w:r>
              <w:rPr>
                <w:rFonts w:ascii="Times New Roman" w:eastAsia="仿宋"/>
                <w:sz w:val="21"/>
                <w:szCs w:val="21"/>
              </w:rPr>
              <w:t>常州辉友金属材料有限公司</w:t>
            </w:r>
          </w:p>
        </w:tc>
        <w:tc>
          <w:tcPr>
            <w:tcW w:w="604" w:type="pct"/>
            <w:shd w:val="clear" w:color="auto" w:fill="auto"/>
            <w:noWrap/>
            <w:vAlign w:val="center"/>
          </w:tcPr>
          <w:p w14:paraId="481B6776">
            <w:pPr>
              <w:widowControl/>
              <w:jc w:val="center"/>
              <w:rPr>
                <w:rFonts w:ascii="Times New Roman" w:eastAsia="仿宋"/>
                <w:sz w:val="21"/>
                <w:szCs w:val="21"/>
              </w:rPr>
            </w:pPr>
            <w:r>
              <w:rPr>
                <w:rFonts w:ascii="Times New Roman" w:eastAsia="仿宋"/>
                <w:sz w:val="21"/>
                <w:szCs w:val="21"/>
              </w:rPr>
              <w:t>714</w:t>
            </w:r>
          </w:p>
        </w:tc>
        <w:tc>
          <w:tcPr>
            <w:tcW w:w="501" w:type="pct"/>
            <w:shd w:val="clear" w:color="auto" w:fill="auto"/>
            <w:noWrap/>
            <w:vAlign w:val="center"/>
          </w:tcPr>
          <w:p w14:paraId="301CDBC8">
            <w:pPr>
              <w:widowControl/>
              <w:jc w:val="center"/>
              <w:rPr>
                <w:rFonts w:ascii="Times New Roman" w:eastAsia="仿宋"/>
                <w:sz w:val="21"/>
                <w:szCs w:val="21"/>
              </w:rPr>
            </w:pPr>
            <w:r>
              <w:rPr>
                <w:rFonts w:ascii="Times New Roman" w:eastAsia="仿宋"/>
                <w:sz w:val="21"/>
                <w:szCs w:val="21"/>
              </w:rPr>
              <w:t>0.25</w:t>
            </w:r>
          </w:p>
        </w:tc>
        <w:tc>
          <w:tcPr>
            <w:tcW w:w="428" w:type="pct"/>
            <w:vAlign w:val="center"/>
          </w:tcPr>
          <w:p w14:paraId="24A8DABC">
            <w:pPr>
              <w:widowControl/>
              <w:jc w:val="center"/>
              <w:rPr>
                <w:rFonts w:ascii="Times New Roman" w:eastAsia="仿宋"/>
                <w:sz w:val="21"/>
                <w:szCs w:val="21"/>
              </w:rPr>
            </w:pPr>
            <w:r>
              <w:rPr>
                <w:rFonts w:ascii="Times New Roman" w:eastAsia="仿宋"/>
                <w:sz w:val="21"/>
                <w:szCs w:val="21"/>
              </w:rPr>
              <w:t>0.008</w:t>
            </w:r>
          </w:p>
        </w:tc>
        <w:tc>
          <w:tcPr>
            <w:tcW w:w="558" w:type="pct"/>
            <w:shd w:val="clear" w:color="auto" w:fill="auto"/>
            <w:noWrap/>
            <w:vAlign w:val="center"/>
          </w:tcPr>
          <w:p w14:paraId="38842A90">
            <w:pPr>
              <w:widowControl/>
              <w:jc w:val="center"/>
              <w:rPr>
                <w:rFonts w:ascii="Times New Roman" w:eastAsia="仿宋"/>
                <w:sz w:val="21"/>
                <w:szCs w:val="21"/>
              </w:rPr>
            </w:pPr>
            <w:r>
              <w:rPr>
                <w:rFonts w:ascii="Times New Roman" w:eastAsia="仿宋"/>
                <w:sz w:val="21"/>
                <w:szCs w:val="21"/>
              </w:rPr>
              <w:t>0.018</w:t>
            </w:r>
          </w:p>
        </w:tc>
        <w:tc>
          <w:tcPr>
            <w:tcW w:w="432" w:type="pct"/>
            <w:vAlign w:val="center"/>
          </w:tcPr>
          <w:p w14:paraId="0E64533F">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43660073">
            <w:pPr>
              <w:widowControl/>
              <w:jc w:val="center"/>
              <w:rPr>
                <w:rFonts w:ascii="Times New Roman" w:eastAsia="仿宋"/>
                <w:sz w:val="21"/>
                <w:szCs w:val="21"/>
              </w:rPr>
            </w:pPr>
            <w:r>
              <w:rPr>
                <w:rFonts w:ascii="Times New Roman" w:eastAsia="仿宋"/>
                <w:sz w:val="21"/>
                <w:szCs w:val="21"/>
              </w:rPr>
              <w:t>0.002</w:t>
            </w:r>
          </w:p>
        </w:tc>
      </w:tr>
      <w:tr w14:paraId="2C4C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8F2BA24">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7</w:t>
            </w:r>
          </w:p>
        </w:tc>
        <w:tc>
          <w:tcPr>
            <w:tcW w:w="1650" w:type="pct"/>
            <w:shd w:val="clear" w:color="auto" w:fill="auto"/>
            <w:noWrap/>
            <w:vAlign w:val="center"/>
          </w:tcPr>
          <w:p w14:paraId="7A064540">
            <w:pPr>
              <w:widowControl/>
              <w:jc w:val="center"/>
              <w:rPr>
                <w:rFonts w:ascii="Times New Roman" w:eastAsia="仿宋"/>
                <w:sz w:val="21"/>
                <w:szCs w:val="21"/>
              </w:rPr>
            </w:pPr>
            <w:r>
              <w:rPr>
                <w:rFonts w:ascii="Times New Roman" w:eastAsia="仿宋"/>
                <w:sz w:val="21"/>
                <w:szCs w:val="21"/>
              </w:rPr>
              <w:t>常州新瑞卫生用品有限公司</w:t>
            </w:r>
          </w:p>
        </w:tc>
        <w:tc>
          <w:tcPr>
            <w:tcW w:w="604" w:type="pct"/>
            <w:shd w:val="clear" w:color="auto" w:fill="auto"/>
            <w:noWrap/>
            <w:vAlign w:val="center"/>
          </w:tcPr>
          <w:p w14:paraId="6CB54C6F">
            <w:pPr>
              <w:widowControl/>
              <w:jc w:val="center"/>
              <w:rPr>
                <w:rFonts w:ascii="Times New Roman" w:eastAsia="仿宋"/>
                <w:sz w:val="21"/>
                <w:szCs w:val="21"/>
              </w:rPr>
            </w:pPr>
            <w:r>
              <w:rPr>
                <w:rFonts w:ascii="Times New Roman" w:eastAsia="仿宋"/>
                <w:sz w:val="21"/>
                <w:szCs w:val="21"/>
              </w:rPr>
              <w:t>1200</w:t>
            </w:r>
          </w:p>
        </w:tc>
        <w:tc>
          <w:tcPr>
            <w:tcW w:w="501" w:type="pct"/>
            <w:shd w:val="clear" w:color="auto" w:fill="auto"/>
            <w:noWrap/>
            <w:vAlign w:val="center"/>
          </w:tcPr>
          <w:p w14:paraId="4261E274">
            <w:pPr>
              <w:widowControl/>
              <w:jc w:val="center"/>
              <w:rPr>
                <w:rFonts w:ascii="Times New Roman" w:eastAsia="仿宋"/>
                <w:sz w:val="21"/>
                <w:szCs w:val="21"/>
              </w:rPr>
            </w:pPr>
            <w:r>
              <w:rPr>
                <w:rFonts w:ascii="Times New Roman" w:eastAsia="仿宋"/>
                <w:sz w:val="21"/>
                <w:szCs w:val="21"/>
              </w:rPr>
              <w:t>0.3</w:t>
            </w:r>
          </w:p>
        </w:tc>
        <w:tc>
          <w:tcPr>
            <w:tcW w:w="428" w:type="pct"/>
            <w:vAlign w:val="center"/>
          </w:tcPr>
          <w:p w14:paraId="50D847CB">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330D56CC">
            <w:pPr>
              <w:widowControl/>
              <w:jc w:val="center"/>
              <w:rPr>
                <w:rFonts w:ascii="Times New Roman" w:eastAsia="仿宋"/>
                <w:sz w:val="21"/>
                <w:szCs w:val="21"/>
              </w:rPr>
            </w:pPr>
            <w:r>
              <w:rPr>
                <w:rFonts w:ascii="Times New Roman" w:eastAsia="仿宋"/>
                <w:sz w:val="21"/>
                <w:szCs w:val="21"/>
              </w:rPr>
              <w:t>0.03</w:t>
            </w:r>
          </w:p>
        </w:tc>
        <w:tc>
          <w:tcPr>
            <w:tcW w:w="432" w:type="pct"/>
            <w:vAlign w:val="center"/>
          </w:tcPr>
          <w:p w14:paraId="306E3174">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65A2C690">
            <w:pPr>
              <w:widowControl/>
              <w:jc w:val="center"/>
              <w:rPr>
                <w:rFonts w:ascii="Times New Roman" w:eastAsia="仿宋"/>
                <w:sz w:val="21"/>
                <w:szCs w:val="21"/>
              </w:rPr>
            </w:pPr>
            <w:r>
              <w:rPr>
                <w:rFonts w:ascii="Times New Roman" w:eastAsia="仿宋"/>
                <w:sz w:val="21"/>
                <w:szCs w:val="21"/>
              </w:rPr>
              <w:t>0.0036</w:t>
            </w:r>
          </w:p>
        </w:tc>
      </w:tr>
      <w:tr w14:paraId="230A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6D55D3D7">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8</w:t>
            </w:r>
          </w:p>
        </w:tc>
        <w:tc>
          <w:tcPr>
            <w:tcW w:w="1650" w:type="pct"/>
            <w:shd w:val="clear" w:color="auto" w:fill="auto"/>
            <w:noWrap/>
            <w:vAlign w:val="center"/>
          </w:tcPr>
          <w:p w14:paraId="36E26D39">
            <w:pPr>
              <w:widowControl/>
              <w:jc w:val="center"/>
              <w:rPr>
                <w:rFonts w:ascii="Times New Roman" w:eastAsia="仿宋"/>
                <w:sz w:val="21"/>
                <w:szCs w:val="21"/>
              </w:rPr>
            </w:pPr>
            <w:r>
              <w:rPr>
                <w:rFonts w:ascii="Times New Roman" w:eastAsia="仿宋"/>
                <w:sz w:val="21"/>
                <w:szCs w:val="21"/>
              </w:rPr>
              <w:t>江苏天潭科技材料有限公司</w:t>
            </w:r>
          </w:p>
        </w:tc>
        <w:tc>
          <w:tcPr>
            <w:tcW w:w="604" w:type="pct"/>
            <w:shd w:val="clear" w:color="auto" w:fill="auto"/>
            <w:noWrap/>
            <w:vAlign w:val="center"/>
          </w:tcPr>
          <w:p w14:paraId="72ACA882">
            <w:pPr>
              <w:widowControl/>
              <w:jc w:val="center"/>
              <w:rPr>
                <w:rFonts w:ascii="Times New Roman" w:eastAsia="仿宋"/>
                <w:sz w:val="21"/>
                <w:szCs w:val="21"/>
              </w:rPr>
            </w:pPr>
            <w:r>
              <w:rPr>
                <w:rFonts w:ascii="Times New Roman" w:eastAsia="仿宋"/>
                <w:sz w:val="21"/>
                <w:szCs w:val="21"/>
              </w:rPr>
              <w:t>720</w:t>
            </w:r>
          </w:p>
        </w:tc>
        <w:tc>
          <w:tcPr>
            <w:tcW w:w="501" w:type="pct"/>
            <w:shd w:val="clear" w:color="auto" w:fill="auto"/>
            <w:noWrap/>
            <w:vAlign w:val="center"/>
          </w:tcPr>
          <w:p w14:paraId="5DFC601B">
            <w:pPr>
              <w:widowControl/>
              <w:jc w:val="center"/>
              <w:rPr>
                <w:rFonts w:ascii="Times New Roman" w:eastAsia="仿宋"/>
                <w:sz w:val="21"/>
                <w:szCs w:val="21"/>
              </w:rPr>
            </w:pPr>
            <w:r>
              <w:rPr>
                <w:rFonts w:ascii="Times New Roman" w:eastAsia="仿宋"/>
                <w:sz w:val="21"/>
                <w:szCs w:val="21"/>
              </w:rPr>
              <w:t>0.23</w:t>
            </w:r>
          </w:p>
        </w:tc>
        <w:tc>
          <w:tcPr>
            <w:tcW w:w="428" w:type="pct"/>
            <w:vAlign w:val="center"/>
          </w:tcPr>
          <w:p w14:paraId="53229FF2">
            <w:pPr>
              <w:widowControl/>
              <w:jc w:val="center"/>
              <w:rPr>
                <w:rFonts w:ascii="Times New Roman" w:eastAsia="仿宋"/>
                <w:sz w:val="21"/>
                <w:szCs w:val="21"/>
              </w:rPr>
            </w:pPr>
            <w:r>
              <w:rPr>
                <w:rFonts w:ascii="Times New Roman" w:eastAsia="仿宋"/>
                <w:sz w:val="21"/>
                <w:szCs w:val="21"/>
              </w:rPr>
              <w:t>0.14</w:t>
            </w:r>
          </w:p>
        </w:tc>
        <w:tc>
          <w:tcPr>
            <w:tcW w:w="558" w:type="pct"/>
            <w:shd w:val="clear" w:color="auto" w:fill="auto"/>
            <w:noWrap/>
            <w:vAlign w:val="center"/>
          </w:tcPr>
          <w:p w14:paraId="291A5148">
            <w:pPr>
              <w:widowControl/>
              <w:jc w:val="center"/>
              <w:rPr>
                <w:rFonts w:ascii="Times New Roman" w:eastAsia="仿宋"/>
                <w:sz w:val="21"/>
                <w:szCs w:val="21"/>
              </w:rPr>
            </w:pPr>
            <w:r>
              <w:rPr>
                <w:rFonts w:ascii="Times New Roman" w:eastAsia="仿宋"/>
                <w:sz w:val="21"/>
                <w:szCs w:val="21"/>
              </w:rPr>
              <w:t>0.014</w:t>
            </w:r>
          </w:p>
        </w:tc>
        <w:tc>
          <w:tcPr>
            <w:tcW w:w="432" w:type="pct"/>
            <w:vAlign w:val="center"/>
          </w:tcPr>
          <w:p w14:paraId="5BEA04DD">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7CF80CEA">
            <w:pPr>
              <w:widowControl/>
              <w:jc w:val="center"/>
              <w:rPr>
                <w:rFonts w:ascii="Times New Roman" w:eastAsia="仿宋"/>
                <w:sz w:val="21"/>
                <w:szCs w:val="21"/>
              </w:rPr>
            </w:pPr>
            <w:r>
              <w:rPr>
                <w:rFonts w:ascii="Times New Roman" w:eastAsia="仿宋"/>
                <w:sz w:val="21"/>
                <w:szCs w:val="21"/>
              </w:rPr>
              <w:t>0.002</w:t>
            </w:r>
          </w:p>
        </w:tc>
      </w:tr>
      <w:tr w14:paraId="7C0E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50B6624">
            <w:pPr>
              <w:widowControl/>
              <w:jc w:val="center"/>
              <w:rPr>
                <w:rFonts w:ascii="Times New Roman" w:eastAsia="仿宋"/>
                <w:sz w:val="21"/>
                <w:szCs w:val="21"/>
              </w:rPr>
            </w:pPr>
            <w:r>
              <w:rPr>
                <w:rFonts w:hint="eastAsia" w:ascii="Times New Roman" w:eastAsia="仿宋"/>
                <w:sz w:val="21"/>
                <w:szCs w:val="21"/>
              </w:rPr>
              <w:t>2</w:t>
            </w:r>
            <w:r>
              <w:rPr>
                <w:rFonts w:ascii="Times New Roman" w:eastAsia="仿宋"/>
                <w:sz w:val="21"/>
                <w:szCs w:val="21"/>
              </w:rPr>
              <w:t>9</w:t>
            </w:r>
          </w:p>
        </w:tc>
        <w:tc>
          <w:tcPr>
            <w:tcW w:w="1650" w:type="pct"/>
            <w:shd w:val="clear" w:color="auto" w:fill="auto"/>
            <w:noWrap/>
            <w:vAlign w:val="center"/>
          </w:tcPr>
          <w:p w14:paraId="3AA5206A">
            <w:pPr>
              <w:widowControl/>
              <w:jc w:val="center"/>
              <w:rPr>
                <w:rFonts w:ascii="Times New Roman" w:eastAsia="仿宋"/>
                <w:sz w:val="21"/>
                <w:szCs w:val="21"/>
              </w:rPr>
            </w:pPr>
            <w:r>
              <w:rPr>
                <w:rFonts w:ascii="Times New Roman" w:eastAsia="仿宋"/>
                <w:sz w:val="21"/>
                <w:szCs w:val="21"/>
              </w:rPr>
              <w:t>常州洮湖机械有限公司</w:t>
            </w:r>
          </w:p>
        </w:tc>
        <w:tc>
          <w:tcPr>
            <w:tcW w:w="604" w:type="pct"/>
            <w:shd w:val="clear" w:color="auto" w:fill="auto"/>
            <w:noWrap/>
            <w:vAlign w:val="center"/>
          </w:tcPr>
          <w:p w14:paraId="27F967B5">
            <w:pPr>
              <w:widowControl/>
              <w:jc w:val="center"/>
              <w:rPr>
                <w:rFonts w:ascii="Times New Roman" w:eastAsia="仿宋"/>
                <w:sz w:val="21"/>
                <w:szCs w:val="21"/>
              </w:rPr>
            </w:pPr>
            <w:r>
              <w:rPr>
                <w:rFonts w:ascii="Times New Roman" w:eastAsia="仿宋"/>
                <w:sz w:val="21"/>
                <w:szCs w:val="21"/>
              </w:rPr>
              <w:t>240</w:t>
            </w:r>
          </w:p>
        </w:tc>
        <w:tc>
          <w:tcPr>
            <w:tcW w:w="501" w:type="pct"/>
            <w:shd w:val="clear" w:color="auto" w:fill="auto"/>
            <w:noWrap/>
            <w:vAlign w:val="center"/>
          </w:tcPr>
          <w:p w14:paraId="304B4711">
            <w:pPr>
              <w:widowControl/>
              <w:jc w:val="center"/>
              <w:rPr>
                <w:rFonts w:ascii="Times New Roman" w:eastAsia="仿宋"/>
                <w:sz w:val="21"/>
                <w:szCs w:val="21"/>
              </w:rPr>
            </w:pPr>
            <w:r>
              <w:rPr>
                <w:rFonts w:ascii="Times New Roman" w:eastAsia="仿宋"/>
                <w:sz w:val="21"/>
                <w:szCs w:val="21"/>
              </w:rPr>
              <w:t>0.096</w:t>
            </w:r>
          </w:p>
        </w:tc>
        <w:tc>
          <w:tcPr>
            <w:tcW w:w="428" w:type="pct"/>
            <w:vAlign w:val="center"/>
          </w:tcPr>
          <w:p w14:paraId="16F1E611">
            <w:pPr>
              <w:widowControl/>
              <w:jc w:val="center"/>
              <w:rPr>
                <w:rFonts w:ascii="Times New Roman" w:eastAsia="仿宋"/>
                <w:sz w:val="21"/>
                <w:szCs w:val="21"/>
              </w:rPr>
            </w:pPr>
            <w:r>
              <w:rPr>
                <w:rFonts w:ascii="Times New Roman" w:eastAsia="仿宋"/>
                <w:sz w:val="21"/>
                <w:szCs w:val="21"/>
              </w:rPr>
              <w:t>0.07</w:t>
            </w:r>
          </w:p>
        </w:tc>
        <w:tc>
          <w:tcPr>
            <w:tcW w:w="558" w:type="pct"/>
            <w:shd w:val="clear" w:color="auto" w:fill="auto"/>
            <w:noWrap/>
            <w:vAlign w:val="center"/>
          </w:tcPr>
          <w:p w14:paraId="031EC18A">
            <w:pPr>
              <w:widowControl/>
              <w:jc w:val="center"/>
              <w:rPr>
                <w:rFonts w:ascii="Times New Roman" w:eastAsia="仿宋"/>
                <w:sz w:val="21"/>
                <w:szCs w:val="21"/>
              </w:rPr>
            </w:pPr>
            <w:r>
              <w:rPr>
                <w:rFonts w:ascii="Times New Roman" w:eastAsia="仿宋"/>
                <w:sz w:val="21"/>
                <w:szCs w:val="21"/>
              </w:rPr>
              <w:t>0.0096</w:t>
            </w:r>
          </w:p>
        </w:tc>
        <w:tc>
          <w:tcPr>
            <w:tcW w:w="432" w:type="pct"/>
            <w:vAlign w:val="center"/>
          </w:tcPr>
          <w:p w14:paraId="23B99F88">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5B3FAFF5">
            <w:pPr>
              <w:widowControl/>
              <w:jc w:val="center"/>
              <w:rPr>
                <w:rFonts w:ascii="Times New Roman" w:eastAsia="仿宋"/>
                <w:sz w:val="21"/>
                <w:szCs w:val="21"/>
              </w:rPr>
            </w:pPr>
            <w:r>
              <w:rPr>
                <w:rFonts w:ascii="Times New Roman" w:eastAsia="仿宋"/>
                <w:sz w:val="21"/>
                <w:szCs w:val="21"/>
              </w:rPr>
              <w:t>0.0012</w:t>
            </w:r>
          </w:p>
        </w:tc>
      </w:tr>
      <w:tr w14:paraId="7CC9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7D19FBC6">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0</w:t>
            </w:r>
          </w:p>
        </w:tc>
        <w:tc>
          <w:tcPr>
            <w:tcW w:w="1650" w:type="pct"/>
            <w:shd w:val="clear" w:color="auto" w:fill="auto"/>
            <w:noWrap/>
            <w:vAlign w:val="center"/>
          </w:tcPr>
          <w:p w14:paraId="748E6159">
            <w:pPr>
              <w:widowControl/>
              <w:jc w:val="center"/>
              <w:rPr>
                <w:rFonts w:ascii="Times New Roman" w:eastAsia="仿宋"/>
                <w:sz w:val="21"/>
                <w:szCs w:val="21"/>
              </w:rPr>
            </w:pPr>
            <w:r>
              <w:rPr>
                <w:rFonts w:ascii="Times New Roman" w:eastAsia="仿宋"/>
                <w:sz w:val="21"/>
                <w:szCs w:val="21"/>
              </w:rPr>
              <w:t>江苏巨晶新材料科技有限公司</w:t>
            </w:r>
          </w:p>
        </w:tc>
        <w:tc>
          <w:tcPr>
            <w:tcW w:w="604" w:type="pct"/>
            <w:shd w:val="clear" w:color="auto" w:fill="auto"/>
            <w:noWrap/>
            <w:vAlign w:val="center"/>
          </w:tcPr>
          <w:p w14:paraId="29854C61">
            <w:pPr>
              <w:widowControl/>
              <w:jc w:val="center"/>
              <w:rPr>
                <w:rFonts w:ascii="Times New Roman" w:eastAsia="仿宋"/>
                <w:sz w:val="21"/>
                <w:szCs w:val="21"/>
              </w:rPr>
            </w:pPr>
            <w:r>
              <w:rPr>
                <w:rFonts w:ascii="Times New Roman" w:eastAsia="仿宋"/>
                <w:sz w:val="21"/>
                <w:szCs w:val="21"/>
              </w:rPr>
              <w:t>607.12</w:t>
            </w:r>
          </w:p>
        </w:tc>
        <w:tc>
          <w:tcPr>
            <w:tcW w:w="501" w:type="pct"/>
            <w:shd w:val="clear" w:color="auto" w:fill="auto"/>
            <w:noWrap/>
            <w:vAlign w:val="center"/>
          </w:tcPr>
          <w:p w14:paraId="03B7799B">
            <w:pPr>
              <w:widowControl/>
              <w:jc w:val="center"/>
              <w:rPr>
                <w:rFonts w:ascii="Times New Roman" w:eastAsia="仿宋"/>
                <w:sz w:val="21"/>
                <w:szCs w:val="21"/>
              </w:rPr>
            </w:pPr>
            <w:r>
              <w:rPr>
                <w:rFonts w:ascii="Times New Roman" w:eastAsia="仿宋"/>
                <w:sz w:val="21"/>
                <w:szCs w:val="21"/>
              </w:rPr>
              <w:t>0.24</w:t>
            </w:r>
          </w:p>
        </w:tc>
        <w:tc>
          <w:tcPr>
            <w:tcW w:w="428" w:type="pct"/>
            <w:vAlign w:val="center"/>
          </w:tcPr>
          <w:p w14:paraId="05E1A64F">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F5A0685">
            <w:pPr>
              <w:widowControl/>
              <w:jc w:val="center"/>
              <w:rPr>
                <w:rFonts w:ascii="Times New Roman" w:eastAsia="仿宋"/>
                <w:sz w:val="21"/>
                <w:szCs w:val="21"/>
              </w:rPr>
            </w:pPr>
            <w:r>
              <w:rPr>
                <w:rFonts w:ascii="Times New Roman" w:eastAsia="仿宋"/>
                <w:sz w:val="21"/>
                <w:szCs w:val="21"/>
              </w:rPr>
              <w:t>0.02</w:t>
            </w:r>
          </w:p>
        </w:tc>
        <w:tc>
          <w:tcPr>
            <w:tcW w:w="432" w:type="pct"/>
            <w:vAlign w:val="center"/>
          </w:tcPr>
          <w:p w14:paraId="772D3EE5">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53BF716E">
            <w:pPr>
              <w:widowControl/>
              <w:jc w:val="center"/>
              <w:rPr>
                <w:rFonts w:ascii="Times New Roman" w:eastAsia="仿宋"/>
                <w:sz w:val="21"/>
                <w:szCs w:val="21"/>
              </w:rPr>
            </w:pPr>
            <w:r>
              <w:rPr>
                <w:rFonts w:ascii="Times New Roman" w:eastAsia="仿宋"/>
                <w:sz w:val="21"/>
                <w:szCs w:val="21"/>
              </w:rPr>
              <w:t>0.003</w:t>
            </w:r>
          </w:p>
        </w:tc>
      </w:tr>
      <w:tr w14:paraId="6318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10F5A2A0">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1</w:t>
            </w:r>
          </w:p>
        </w:tc>
        <w:tc>
          <w:tcPr>
            <w:tcW w:w="1650" w:type="pct"/>
            <w:shd w:val="clear" w:color="auto" w:fill="auto"/>
            <w:noWrap/>
            <w:vAlign w:val="center"/>
          </w:tcPr>
          <w:p w14:paraId="24DC8AF2">
            <w:pPr>
              <w:widowControl/>
              <w:jc w:val="center"/>
              <w:rPr>
                <w:rFonts w:ascii="Times New Roman" w:eastAsia="仿宋"/>
                <w:sz w:val="21"/>
                <w:szCs w:val="21"/>
              </w:rPr>
            </w:pPr>
            <w:r>
              <w:rPr>
                <w:rFonts w:ascii="Times New Roman" w:eastAsia="仿宋"/>
                <w:sz w:val="21"/>
                <w:szCs w:val="21"/>
              </w:rPr>
              <w:t>江苏应天光电科技有限公司</w:t>
            </w:r>
          </w:p>
        </w:tc>
        <w:tc>
          <w:tcPr>
            <w:tcW w:w="604" w:type="pct"/>
            <w:shd w:val="clear" w:color="auto" w:fill="auto"/>
            <w:noWrap/>
            <w:vAlign w:val="center"/>
          </w:tcPr>
          <w:p w14:paraId="4E616599">
            <w:pPr>
              <w:widowControl/>
              <w:jc w:val="center"/>
              <w:rPr>
                <w:rFonts w:ascii="Times New Roman" w:eastAsia="仿宋"/>
                <w:sz w:val="21"/>
                <w:szCs w:val="21"/>
              </w:rPr>
            </w:pPr>
            <w:r>
              <w:rPr>
                <w:rFonts w:ascii="Times New Roman" w:eastAsia="仿宋"/>
                <w:sz w:val="21"/>
                <w:szCs w:val="21"/>
              </w:rPr>
              <w:t>960</w:t>
            </w:r>
          </w:p>
        </w:tc>
        <w:tc>
          <w:tcPr>
            <w:tcW w:w="501" w:type="pct"/>
            <w:shd w:val="clear" w:color="auto" w:fill="auto"/>
            <w:noWrap/>
            <w:vAlign w:val="center"/>
          </w:tcPr>
          <w:p w14:paraId="3499FF6F">
            <w:pPr>
              <w:widowControl/>
              <w:jc w:val="center"/>
              <w:rPr>
                <w:rFonts w:ascii="Times New Roman" w:eastAsia="仿宋"/>
                <w:sz w:val="21"/>
                <w:szCs w:val="21"/>
              </w:rPr>
            </w:pPr>
            <w:r>
              <w:rPr>
                <w:rFonts w:ascii="Times New Roman" w:eastAsia="仿宋"/>
                <w:sz w:val="21"/>
                <w:szCs w:val="21"/>
              </w:rPr>
              <w:t>0.336</w:t>
            </w:r>
          </w:p>
        </w:tc>
        <w:tc>
          <w:tcPr>
            <w:tcW w:w="428" w:type="pct"/>
            <w:vAlign w:val="center"/>
          </w:tcPr>
          <w:p w14:paraId="5463F7DD">
            <w:pPr>
              <w:widowControl/>
              <w:jc w:val="center"/>
              <w:rPr>
                <w:rFonts w:ascii="Times New Roman" w:eastAsia="仿宋"/>
                <w:sz w:val="21"/>
                <w:szCs w:val="21"/>
              </w:rPr>
            </w:pPr>
            <w:r>
              <w:rPr>
                <w:rFonts w:ascii="Times New Roman" w:eastAsia="仿宋"/>
                <w:sz w:val="21"/>
                <w:szCs w:val="21"/>
              </w:rPr>
              <w:t>0.24</w:t>
            </w:r>
          </w:p>
        </w:tc>
        <w:tc>
          <w:tcPr>
            <w:tcW w:w="558" w:type="pct"/>
            <w:shd w:val="clear" w:color="auto" w:fill="auto"/>
            <w:noWrap/>
            <w:vAlign w:val="center"/>
          </w:tcPr>
          <w:p w14:paraId="0969EBC6">
            <w:pPr>
              <w:widowControl/>
              <w:jc w:val="center"/>
              <w:rPr>
                <w:rFonts w:ascii="Times New Roman" w:eastAsia="仿宋"/>
                <w:sz w:val="21"/>
                <w:szCs w:val="21"/>
              </w:rPr>
            </w:pPr>
            <w:r>
              <w:rPr>
                <w:rFonts w:ascii="Times New Roman" w:eastAsia="仿宋"/>
                <w:sz w:val="21"/>
                <w:szCs w:val="21"/>
              </w:rPr>
              <w:t>0.034</w:t>
            </w:r>
          </w:p>
        </w:tc>
        <w:tc>
          <w:tcPr>
            <w:tcW w:w="432" w:type="pct"/>
            <w:vAlign w:val="center"/>
          </w:tcPr>
          <w:p w14:paraId="50737ED4">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603C1D3F">
            <w:pPr>
              <w:widowControl/>
              <w:jc w:val="center"/>
              <w:rPr>
                <w:rFonts w:ascii="Times New Roman" w:eastAsia="仿宋"/>
                <w:sz w:val="21"/>
                <w:szCs w:val="21"/>
              </w:rPr>
            </w:pPr>
            <w:r>
              <w:rPr>
                <w:rFonts w:ascii="Times New Roman" w:eastAsia="仿宋"/>
                <w:sz w:val="21"/>
                <w:szCs w:val="21"/>
              </w:rPr>
              <w:t>0.005</w:t>
            </w:r>
          </w:p>
        </w:tc>
      </w:tr>
      <w:tr w14:paraId="4FD0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31" w:type="pct"/>
            <w:shd w:val="clear" w:color="auto" w:fill="auto"/>
            <w:vAlign w:val="center"/>
          </w:tcPr>
          <w:p w14:paraId="647A9AD6">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2</w:t>
            </w:r>
          </w:p>
        </w:tc>
        <w:tc>
          <w:tcPr>
            <w:tcW w:w="1650" w:type="pct"/>
            <w:shd w:val="clear" w:color="auto" w:fill="auto"/>
            <w:noWrap/>
            <w:vAlign w:val="center"/>
          </w:tcPr>
          <w:p w14:paraId="04D56020">
            <w:pPr>
              <w:widowControl/>
              <w:jc w:val="center"/>
              <w:rPr>
                <w:rFonts w:ascii="Times New Roman" w:eastAsia="仿宋"/>
                <w:sz w:val="21"/>
                <w:szCs w:val="21"/>
              </w:rPr>
            </w:pPr>
            <w:r>
              <w:rPr>
                <w:rFonts w:ascii="Times New Roman" w:eastAsia="仿宋"/>
                <w:sz w:val="21"/>
                <w:szCs w:val="21"/>
              </w:rPr>
              <w:t>常州品禾金属制品有限公司</w:t>
            </w:r>
          </w:p>
        </w:tc>
        <w:tc>
          <w:tcPr>
            <w:tcW w:w="604" w:type="pct"/>
            <w:shd w:val="clear" w:color="auto" w:fill="auto"/>
            <w:noWrap/>
            <w:vAlign w:val="center"/>
          </w:tcPr>
          <w:p w14:paraId="13FA9C1B">
            <w:pPr>
              <w:widowControl/>
              <w:jc w:val="center"/>
              <w:rPr>
                <w:rFonts w:ascii="Times New Roman" w:eastAsia="仿宋"/>
                <w:sz w:val="21"/>
                <w:szCs w:val="21"/>
              </w:rPr>
            </w:pPr>
            <w:r>
              <w:rPr>
                <w:rFonts w:ascii="Times New Roman" w:eastAsia="仿宋"/>
                <w:sz w:val="21"/>
                <w:szCs w:val="21"/>
              </w:rPr>
              <w:t>1620</w:t>
            </w:r>
          </w:p>
        </w:tc>
        <w:tc>
          <w:tcPr>
            <w:tcW w:w="501" w:type="pct"/>
            <w:shd w:val="clear" w:color="auto" w:fill="auto"/>
            <w:noWrap/>
            <w:vAlign w:val="center"/>
          </w:tcPr>
          <w:p w14:paraId="27F30297">
            <w:pPr>
              <w:widowControl/>
              <w:jc w:val="center"/>
              <w:rPr>
                <w:rFonts w:ascii="Times New Roman" w:eastAsia="仿宋"/>
                <w:sz w:val="21"/>
                <w:szCs w:val="21"/>
              </w:rPr>
            </w:pPr>
            <w:r>
              <w:rPr>
                <w:rFonts w:ascii="Times New Roman" w:eastAsia="仿宋"/>
                <w:sz w:val="21"/>
                <w:szCs w:val="21"/>
              </w:rPr>
              <w:t>0.648</w:t>
            </w:r>
          </w:p>
        </w:tc>
        <w:tc>
          <w:tcPr>
            <w:tcW w:w="428" w:type="pct"/>
            <w:vAlign w:val="center"/>
          </w:tcPr>
          <w:p w14:paraId="3B73772E">
            <w:pPr>
              <w:widowControl/>
              <w:jc w:val="center"/>
              <w:rPr>
                <w:rFonts w:ascii="Times New Roman" w:eastAsia="仿宋"/>
                <w:sz w:val="21"/>
                <w:szCs w:val="21"/>
              </w:rPr>
            </w:pPr>
            <w:r>
              <w:rPr>
                <w:rFonts w:ascii="Times New Roman" w:eastAsia="仿宋"/>
                <w:sz w:val="21"/>
                <w:szCs w:val="21"/>
              </w:rPr>
              <w:t>0.405</w:t>
            </w:r>
          </w:p>
        </w:tc>
        <w:tc>
          <w:tcPr>
            <w:tcW w:w="558" w:type="pct"/>
            <w:shd w:val="clear" w:color="auto" w:fill="auto"/>
            <w:noWrap/>
            <w:vAlign w:val="center"/>
          </w:tcPr>
          <w:p w14:paraId="34B846D4">
            <w:pPr>
              <w:widowControl/>
              <w:jc w:val="center"/>
              <w:rPr>
                <w:rFonts w:ascii="Times New Roman" w:eastAsia="仿宋"/>
                <w:sz w:val="21"/>
                <w:szCs w:val="21"/>
              </w:rPr>
            </w:pPr>
            <w:r>
              <w:rPr>
                <w:rFonts w:ascii="Times New Roman" w:eastAsia="仿宋"/>
                <w:sz w:val="21"/>
                <w:szCs w:val="21"/>
              </w:rPr>
              <w:t>0.0486</w:t>
            </w:r>
          </w:p>
        </w:tc>
        <w:tc>
          <w:tcPr>
            <w:tcW w:w="432" w:type="pct"/>
            <w:vAlign w:val="center"/>
          </w:tcPr>
          <w:p w14:paraId="3EB2B2AB">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66F98BF8">
            <w:pPr>
              <w:widowControl/>
              <w:jc w:val="center"/>
              <w:rPr>
                <w:rFonts w:ascii="Times New Roman" w:eastAsia="仿宋"/>
                <w:sz w:val="21"/>
                <w:szCs w:val="21"/>
              </w:rPr>
            </w:pPr>
            <w:r>
              <w:rPr>
                <w:rFonts w:ascii="Times New Roman" w:eastAsia="仿宋"/>
                <w:sz w:val="21"/>
                <w:szCs w:val="21"/>
              </w:rPr>
              <w:t>0.0081</w:t>
            </w:r>
          </w:p>
        </w:tc>
      </w:tr>
      <w:tr w14:paraId="67E2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30975C71">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3</w:t>
            </w:r>
          </w:p>
        </w:tc>
        <w:tc>
          <w:tcPr>
            <w:tcW w:w="1650" w:type="pct"/>
            <w:shd w:val="clear" w:color="auto" w:fill="auto"/>
            <w:noWrap/>
            <w:vAlign w:val="center"/>
          </w:tcPr>
          <w:p w14:paraId="45F1730F">
            <w:pPr>
              <w:widowControl/>
              <w:jc w:val="center"/>
              <w:rPr>
                <w:rFonts w:ascii="Times New Roman" w:eastAsia="仿宋"/>
                <w:sz w:val="21"/>
                <w:szCs w:val="21"/>
              </w:rPr>
            </w:pPr>
            <w:r>
              <w:rPr>
                <w:rFonts w:ascii="Times New Roman" w:eastAsia="仿宋"/>
                <w:sz w:val="21"/>
                <w:szCs w:val="21"/>
              </w:rPr>
              <w:t>天成涂装系统（常州）有限公司</w:t>
            </w:r>
          </w:p>
        </w:tc>
        <w:tc>
          <w:tcPr>
            <w:tcW w:w="604" w:type="pct"/>
            <w:shd w:val="clear" w:color="auto" w:fill="auto"/>
            <w:noWrap/>
            <w:vAlign w:val="center"/>
          </w:tcPr>
          <w:p w14:paraId="6A0AA485">
            <w:pPr>
              <w:widowControl/>
              <w:jc w:val="center"/>
              <w:rPr>
                <w:rFonts w:ascii="Times New Roman" w:eastAsia="仿宋"/>
                <w:sz w:val="21"/>
                <w:szCs w:val="21"/>
              </w:rPr>
            </w:pPr>
            <w:r>
              <w:rPr>
                <w:rFonts w:ascii="Times New Roman" w:eastAsia="仿宋"/>
                <w:sz w:val="21"/>
                <w:szCs w:val="21"/>
              </w:rPr>
              <w:t>12150</w:t>
            </w:r>
          </w:p>
        </w:tc>
        <w:tc>
          <w:tcPr>
            <w:tcW w:w="501" w:type="pct"/>
            <w:shd w:val="clear" w:color="auto" w:fill="auto"/>
            <w:noWrap/>
            <w:vAlign w:val="center"/>
          </w:tcPr>
          <w:p w14:paraId="497F69FB">
            <w:pPr>
              <w:widowControl/>
              <w:jc w:val="center"/>
              <w:rPr>
                <w:rFonts w:ascii="Times New Roman" w:eastAsia="仿宋"/>
                <w:sz w:val="21"/>
                <w:szCs w:val="21"/>
              </w:rPr>
            </w:pPr>
            <w:r>
              <w:rPr>
                <w:rFonts w:ascii="Times New Roman" w:eastAsia="仿宋"/>
                <w:sz w:val="21"/>
                <w:szCs w:val="21"/>
              </w:rPr>
              <w:t>4.86</w:t>
            </w:r>
          </w:p>
        </w:tc>
        <w:tc>
          <w:tcPr>
            <w:tcW w:w="428" w:type="pct"/>
            <w:vAlign w:val="center"/>
          </w:tcPr>
          <w:p w14:paraId="68B38543">
            <w:pPr>
              <w:widowControl/>
              <w:jc w:val="center"/>
              <w:rPr>
                <w:rFonts w:ascii="Times New Roman" w:eastAsia="仿宋"/>
                <w:sz w:val="21"/>
                <w:szCs w:val="21"/>
              </w:rPr>
            </w:pPr>
            <w:r>
              <w:rPr>
                <w:rFonts w:ascii="Times New Roman" w:eastAsia="仿宋"/>
                <w:sz w:val="21"/>
                <w:szCs w:val="21"/>
              </w:rPr>
              <w:t>3.04</w:t>
            </w:r>
          </w:p>
        </w:tc>
        <w:tc>
          <w:tcPr>
            <w:tcW w:w="558" w:type="pct"/>
            <w:shd w:val="clear" w:color="auto" w:fill="auto"/>
            <w:noWrap/>
            <w:vAlign w:val="center"/>
          </w:tcPr>
          <w:p w14:paraId="36D3A54E">
            <w:pPr>
              <w:widowControl/>
              <w:jc w:val="center"/>
              <w:rPr>
                <w:rFonts w:ascii="Times New Roman" w:eastAsia="仿宋"/>
                <w:sz w:val="21"/>
                <w:szCs w:val="21"/>
              </w:rPr>
            </w:pPr>
            <w:r>
              <w:rPr>
                <w:rFonts w:ascii="Times New Roman" w:eastAsia="仿宋"/>
                <w:sz w:val="21"/>
                <w:szCs w:val="21"/>
              </w:rPr>
              <w:t>0.36</w:t>
            </w:r>
          </w:p>
        </w:tc>
        <w:tc>
          <w:tcPr>
            <w:tcW w:w="432" w:type="pct"/>
            <w:vAlign w:val="center"/>
          </w:tcPr>
          <w:p w14:paraId="37DBF5C7">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27B9FCC4">
            <w:pPr>
              <w:widowControl/>
              <w:jc w:val="center"/>
              <w:rPr>
                <w:rFonts w:ascii="Times New Roman" w:eastAsia="仿宋"/>
                <w:sz w:val="21"/>
                <w:szCs w:val="21"/>
              </w:rPr>
            </w:pPr>
            <w:r>
              <w:rPr>
                <w:rFonts w:ascii="Times New Roman" w:eastAsia="仿宋"/>
                <w:sz w:val="21"/>
                <w:szCs w:val="21"/>
              </w:rPr>
              <w:t>0.06</w:t>
            </w:r>
          </w:p>
        </w:tc>
      </w:tr>
      <w:tr w14:paraId="0063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331" w:type="pct"/>
            <w:shd w:val="clear" w:color="auto" w:fill="auto"/>
            <w:vAlign w:val="center"/>
          </w:tcPr>
          <w:p w14:paraId="55571BB1">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4</w:t>
            </w:r>
          </w:p>
        </w:tc>
        <w:tc>
          <w:tcPr>
            <w:tcW w:w="1650" w:type="pct"/>
            <w:shd w:val="clear" w:color="auto" w:fill="auto"/>
            <w:noWrap/>
            <w:vAlign w:val="center"/>
          </w:tcPr>
          <w:p w14:paraId="436F9D3C">
            <w:pPr>
              <w:widowControl/>
              <w:jc w:val="center"/>
              <w:rPr>
                <w:rFonts w:ascii="Times New Roman" w:eastAsia="仿宋"/>
                <w:sz w:val="21"/>
                <w:szCs w:val="21"/>
              </w:rPr>
            </w:pPr>
            <w:r>
              <w:rPr>
                <w:rFonts w:ascii="Times New Roman" w:eastAsia="仿宋"/>
                <w:sz w:val="21"/>
                <w:szCs w:val="21"/>
              </w:rPr>
              <w:t>江苏健裕健康医疗器械有限公司</w:t>
            </w:r>
          </w:p>
        </w:tc>
        <w:tc>
          <w:tcPr>
            <w:tcW w:w="604" w:type="pct"/>
            <w:shd w:val="clear" w:color="auto" w:fill="auto"/>
            <w:noWrap/>
            <w:vAlign w:val="center"/>
          </w:tcPr>
          <w:p w14:paraId="541001E2">
            <w:pPr>
              <w:widowControl/>
              <w:jc w:val="center"/>
              <w:rPr>
                <w:rFonts w:ascii="Times New Roman" w:eastAsia="仿宋"/>
                <w:sz w:val="21"/>
                <w:szCs w:val="21"/>
              </w:rPr>
            </w:pPr>
            <w:r>
              <w:rPr>
                <w:rFonts w:ascii="Times New Roman" w:eastAsia="仿宋"/>
                <w:sz w:val="21"/>
                <w:szCs w:val="21"/>
              </w:rPr>
              <w:t>8320</w:t>
            </w:r>
          </w:p>
        </w:tc>
        <w:tc>
          <w:tcPr>
            <w:tcW w:w="501" w:type="pct"/>
            <w:shd w:val="clear" w:color="auto" w:fill="auto"/>
            <w:noWrap/>
            <w:vAlign w:val="center"/>
          </w:tcPr>
          <w:p w14:paraId="4811A01E">
            <w:pPr>
              <w:widowControl/>
              <w:jc w:val="center"/>
              <w:rPr>
                <w:rFonts w:ascii="Times New Roman" w:eastAsia="仿宋"/>
                <w:sz w:val="21"/>
                <w:szCs w:val="21"/>
              </w:rPr>
            </w:pPr>
            <w:r>
              <w:rPr>
                <w:rFonts w:ascii="Times New Roman" w:eastAsia="仿宋"/>
                <w:sz w:val="21"/>
                <w:szCs w:val="21"/>
              </w:rPr>
              <w:t>2.91</w:t>
            </w:r>
          </w:p>
        </w:tc>
        <w:tc>
          <w:tcPr>
            <w:tcW w:w="428" w:type="pct"/>
            <w:vAlign w:val="center"/>
          </w:tcPr>
          <w:p w14:paraId="57927A74">
            <w:pPr>
              <w:widowControl/>
              <w:jc w:val="center"/>
              <w:rPr>
                <w:rFonts w:ascii="Times New Roman" w:eastAsia="仿宋"/>
                <w:sz w:val="21"/>
                <w:szCs w:val="21"/>
              </w:rPr>
            </w:pPr>
            <w:r>
              <w:rPr>
                <w:rFonts w:ascii="Times New Roman" w:eastAsia="仿宋"/>
                <w:sz w:val="21"/>
                <w:szCs w:val="21"/>
              </w:rPr>
              <w:t>1.66</w:t>
            </w:r>
          </w:p>
        </w:tc>
        <w:tc>
          <w:tcPr>
            <w:tcW w:w="558" w:type="pct"/>
            <w:shd w:val="clear" w:color="auto" w:fill="auto"/>
            <w:noWrap/>
            <w:vAlign w:val="center"/>
          </w:tcPr>
          <w:p w14:paraId="283612C0">
            <w:pPr>
              <w:widowControl/>
              <w:jc w:val="center"/>
              <w:rPr>
                <w:rFonts w:ascii="Times New Roman" w:eastAsia="仿宋"/>
                <w:sz w:val="21"/>
                <w:szCs w:val="21"/>
              </w:rPr>
            </w:pPr>
            <w:r>
              <w:rPr>
                <w:rFonts w:ascii="Times New Roman" w:eastAsia="仿宋"/>
                <w:sz w:val="21"/>
                <w:szCs w:val="21"/>
              </w:rPr>
              <w:t>0.298</w:t>
            </w:r>
          </w:p>
        </w:tc>
        <w:tc>
          <w:tcPr>
            <w:tcW w:w="432" w:type="pct"/>
            <w:vAlign w:val="center"/>
          </w:tcPr>
          <w:p w14:paraId="2B221FF1">
            <w:pPr>
              <w:widowControl/>
              <w:jc w:val="center"/>
              <w:rPr>
                <w:rFonts w:ascii="Times New Roman" w:eastAsia="仿宋"/>
                <w:sz w:val="21"/>
                <w:szCs w:val="21"/>
              </w:rPr>
            </w:pPr>
            <w:r>
              <w:rPr>
                <w:rFonts w:ascii="Times New Roman" w:eastAsia="仿宋"/>
                <w:sz w:val="21"/>
                <w:szCs w:val="21"/>
              </w:rPr>
              <w:t>0.25</w:t>
            </w:r>
          </w:p>
        </w:tc>
        <w:tc>
          <w:tcPr>
            <w:tcW w:w="496" w:type="pct"/>
            <w:shd w:val="clear" w:color="auto" w:fill="auto"/>
            <w:vAlign w:val="center"/>
          </w:tcPr>
          <w:p w14:paraId="1BC4A2F4">
            <w:pPr>
              <w:widowControl/>
              <w:jc w:val="center"/>
              <w:rPr>
                <w:rFonts w:ascii="Times New Roman" w:eastAsia="仿宋"/>
                <w:sz w:val="21"/>
                <w:szCs w:val="21"/>
              </w:rPr>
            </w:pPr>
            <w:r>
              <w:rPr>
                <w:rFonts w:ascii="Times New Roman" w:eastAsia="仿宋"/>
                <w:sz w:val="21"/>
                <w:szCs w:val="21"/>
              </w:rPr>
              <w:t>0.017</w:t>
            </w:r>
          </w:p>
        </w:tc>
      </w:tr>
      <w:tr w14:paraId="5C7E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1" w:type="pct"/>
            <w:shd w:val="clear" w:color="auto" w:fill="auto"/>
            <w:vAlign w:val="center"/>
          </w:tcPr>
          <w:p w14:paraId="56FBC2E5">
            <w:pPr>
              <w:widowControl/>
              <w:jc w:val="center"/>
              <w:rPr>
                <w:rFonts w:ascii="Times New Roman" w:eastAsia="仿宋"/>
                <w:sz w:val="21"/>
                <w:szCs w:val="21"/>
              </w:rPr>
            </w:pPr>
            <w:r>
              <w:rPr>
                <w:rFonts w:hint="eastAsia" w:ascii="Times New Roman" w:eastAsia="仿宋"/>
                <w:sz w:val="21"/>
                <w:szCs w:val="21"/>
              </w:rPr>
              <w:t>3</w:t>
            </w:r>
            <w:r>
              <w:rPr>
                <w:rFonts w:ascii="Times New Roman" w:eastAsia="仿宋"/>
                <w:sz w:val="21"/>
                <w:szCs w:val="21"/>
              </w:rPr>
              <w:t>5</w:t>
            </w:r>
          </w:p>
        </w:tc>
        <w:tc>
          <w:tcPr>
            <w:tcW w:w="1650" w:type="pct"/>
            <w:shd w:val="clear" w:color="auto" w:fill="auto"/>
            <w:noWrap/>
            <w:vAlign w:val="center"/>
          </w:tcPr>
          <w:p w14:paraId="0E064A92">
            <w:pPr>
              <w:widowControl/>
              <w:jc w:val="center"/>
              <w:rPr>
                <w:rFonts w:ascii="Times New Roman" w:eastAsia="仿宋"/>
                <w:sz w:val="21"/>
                <w:szCs w:val="21"/>
              </w:rPr>
            </w:pPr>
            <w:r>
              <w:rPr>
                <w:rFonts w:ascii="Times New Roman" w:eastAsia="仿宋"/>
                <w:sz w:val="21"/>
                <w:szCs w:val="21"/>
              </w:rPr>
              <w:t>江苏法勒卫浴有限公司</w:t>
            </w:r>
          </w:p>
        </w:tc>
        <w:tc>
          <w:tcPr>
            <w:tcW w:w="604" w:type="pct"/>
            <w:shd w:val="clear" w:color="auto" w:fill="auto"/>
            <w:noWrap/>
            <w:vAlign w:val="center"/>
          </w:tcPr>
          <w:p w14:paraId="7456E1A3">
            <w:pPr>
              <w:widowControl/>
              <w:jc w:val="center"/>
              <w:rPr>
                <w:rFonts w:ascii="Times New Roman" w:eastAsia="仿宋"/>
                <w:sz w:val="21"/>
                <w:szCs w:val="21"/>
              </w:rPr>
            </w:pPr>
            <w:r>
              <w:rPr>
                <w:rFonts w:ascii="Times New Roman" w:eastAsia="仿宋"/>
                <w:sz w:val="21"/>
                <w:szCs w:val="21"/>
              </w:rPr>
              <w:t>8100</w:t>
            </w:r>
          </w:p>
        </w:tc>
        <w:tc>
          <w:tcPr>
            <w:tcW w:w="501" w:type="pct"/>
            <w:shd w:val="clear" w:color="auto" w:fill="auto"/>
            <w:noWrap/>
            <w:vAlign w:val="center"/>
          </w:tcPr>
          <w:p w14:paraId="2A7531DA">
            <w:pPr>
              <w:widowControl/>
              <w:jc w:val="center"/>
              <w:rPr>
                <w:rFonts w:ascii="Times New Roman" w:eastAsia="仿宋"/>
                <w:sz w:val="21"/>
                <w:szCs w:val="21"/>
              </w:rPr>
            </w:pPr>
            <w:r>
              <w:rPr>
                <w:rFonts w:ascii="Times New Roman" w:eastAsia="仿宋"/>
                <w:sz w:val="21"/>
                <w:szCs w:val="21"/>
              </w:rPr>
              <w:t>3.24</w:t>
            </w:r>
          </w:p>
        </w:tc>
        <w:tc>
          <w:tcPr>
            <w:tcW w:w="428" w:type="pct"/>
            <w:vAlign w:val="center"/>
          </w:tcPr>
          <w:p w14:paraId="44F81D1B">
            <w:pPr>
              <w:widowControl/>
              <w:jc w:val="center"/>
              <w:rPr>
                <w:rFonts w:ascii="Times New Roman" w:eastAsia="仿宋"/>
                <w:sz w:val="21"/>
                <w:szCs w:val="21"/>
              </w:rPr>
            </w:pPr>
            <w:r>
              <w:rPr>
                <w:rFonts w:ascii="Times New Roman" w:eastAsia="仿宋"/>
                <w:sz w:val="21"/>
                <w:szCs w:val="21"/>
              </w:rPr>
              <w:t>1.62</w:t>
            </w:r>
          </w:p>
        </w:tc>
        <w:tc>
          <w:tcPr>
            <w:tcW w:w="558" w:type="pct"/>
            <w:shd w:val="clear" w:color="auto" w:fill="auto"/>
            <w:noWrap/>
            <w:vAlign w:val="center"/>
          </w:tcPr>
          <w:p w14:paraId="4DF934D2">
            <w:pPr>
              <w:widowControl/>
              <w:jc w:val="center"/>
              <w:rPr>
                <w:rFonts w:ascii="Times New Roman" w:eastAsia="仿宋"/>
                <w:sz w:val="21"/>
                <w:szCs w:val="21"/>
              </w:rPr>
            </w:pPr>
            <w:r>
              <w:rPr>
                <w:rFonts w:ascii="Times New Roman" w:eastAsia="仿宋"/>
                <w:sz w:val="21"/>
                <w:szCs w:val="21"/>
              </w:rPr>
              <w:t>0.2</w:t>
            </w:r>
          </w:p>
        </w:tc>
        <w:tc>
          <w:tcPr>
            <w:tcW w:w="432" w:type="pct"/>
            <w:vAlign w:val="center"/>
          </w:tcPr>
          <w:p w14:paraId="531F71D4">
            <w:pPr>
              <w:widowControl/>
              <w:jc w:val="center"/>
              <w:rPr>
                <w:rFonts w:ascii="Times New Roman" w:eastAsia="仿宋"/>
                <w:sz w:val="21"/>
                <w:szCs w:val="21"/>
              </w:rPr>
            </w:pPr>
            <w:r>
              <w:rPr>
                <w:rFonts w:ascii="Times New Roman" w:eastAsia="仿宋"/>
                <w:sz w:val="21"/>
                <w:szCs w:val="21"/>
              </w:rPr>
              <w:t>0.32</w:t>
            </w:r>
          </w:p>
        </w:tc>
        <w:tc>
          <w:tcPr>
            <w:tcW w:w="496" w:type="pct"/>
            <w:shd w:val="clear" w:color="auto" w:fill="auto"/>
            <w:noWrap/>
            <w:vAlign w:val="center"/>
          </w:tcPr>
          <w:p w14:paraId="4D5D5AE3">
            <w:pPr>
              <w:widowControl/>
              <w:jc w:val="center"/>
              <w:rPr>
                <w:rFonts w:ascii="Times New Roman" w:eastAsia="仿宋"/>
                <w:sz w:val="21"/>
                <w:szCs w:val="21"/>
              </w:rPr>
            </w:pPr>
            <w:r>
              <w:rPr>
                <w:rFonts w:ascii="Times New Roman" w:eastAsia="仿宋"/>
                <w:sz w:val="21"/>
                <w:szCs w:val="21"/>
              </w:rPr>
              <w:t>0.02</w:t>
            </w:r>
          </w:p>
        </w:tc>
      </w:tr>
      <w:tr w14:paraId="513C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81" w:type="pct"/>
            <w:gridSpan w:val="2"/>
            <w:shd w:val="clear" w:color="auto" w:fill="auto"/>
            <w:vAlign w:val="center"/>
          </w:tcPr>
          <w:p w14:paraId="0B78E8BB">
            <w:pPr>
              <w:widowControl/>
              <w:jc w:val="center"/>
              <w:rPr>
                <w:rFonts w:ascii="Times New Roman" w:eastAsia="仿宋"/>
                <w:sz w:val="21"/>
                <w:szCs w:val="21"/>
              </w:rPr>
            </w:pPr>
            <w:r>
              <w:rPr>
                <w:rFonts w:ascii="Times New Roman" w:eastAsia="仿宋"/>
                <w:sz w:val="21"/>
                <w:szCs w:val="21"/>
              </w:rPr>
              <w:t>总计</w:t>
            </w:r>
          </w:p>
        </w:tc>
        <w:tc>
          <w:tcPr>
            <w:tcW w:w="604" w:type="pct"/>
            <w:shd w:val="clear" w:color="auto" w:fill="auto"/>
            <w:noWrap/>
            <w:vAlign w:val="center"/>
          </w:tcPr>
          <w:p w14:paraId="35A1F758">
            <w:pPr>
              <w:widowControl/>
              <w:jc w:val="center"/>
              <w:rPr>
                <w:rFonts w:ascii="Times New Roman" w:eastAsia="仿宋"/>
                <w:sz w:val="21"/>
                <w:szCs w:val="21"/>
              </w:rPr>
            </w:pPr>
            <w:r>
              <w:rPr>
                <w:rFonts w:ascii="Times New Roman" w:eastAsia="仿宋"/>
                <w:sz w:val="21"/>
                <w:szCs w:val="21"/>
              </w:rPr>
              <w:t>168443.1</w:t>
            </w:r>
          </w:p>
        </w:tc>
        <w:tc>
          <w:tcPr>
            <w:tcW w:w="501" w:type="pct"/>
            <w:shd w:val="clear" w:color="auto" w:fill="auto"/>
            <w:noWrap/>
            <w:vAlign w:val="center"/>
          </w:tcPr>
          <w:p w14:paraId="22B9199A">
            <w:pPr>
              <w:widowControl/>
              <w:jc w:val="center"/>
              <w:rPr>
                <w:rFonts w:ascii="Times New Roman" w:eastAsia="仿宋"/>
                <w:sz w:val="21"/>
                <w:szCs w:val="21"/>
              </w:rPr>
            </w:pPr>
            <w:r>
              <w:rPr>
                <w:rFonts w:ascii="Times New Roman" w:eastAsia="仿宋"/>
                <w:sz w:val="21"/>
                <w:szCs w:val="21"/>
              </w:rPr>
              <w:t>37.496</w:t>
            </w:r>
          </w:p>
        </w:tc>
        <w:tc>
          <w:tcPr>
            <w:tcW w:w="428" w:type="pct"/>
            <w:vAlign w:val="center"/>
          </w:tcPr>
          <w:p w14:paraId="4BD0A9A9">
            <w:pPr>
              <w:widowControl/>
              <w:jc w:val="center"/>
              <w:rPr>
                <w:rFonts w:ascii="Times New Roman" w:eastAsia="仿宋"/>
                <w:sz w:val="21"/>
                <w:szCs w:val="21"/>
              </w:rPr>
            </w:pPr>
            <w:r>
              <w:rPr>
                <w:rFonts w:ascii="Times New Roman" w:eastAsia="仿宋"/>
                <w:sz w:val="21"/>
                <w:szCs w:val="21"/>
              </w:rPr>
              <w:t>/</w:t>
            </w:r>
          </w:p>
        </w:tc>
        <w:tc>
          <w:tcPr>
            <w:tcW w:w="558" w:type="pct"/>
            <w:shd w:val="clear" w:color="auto" w:fill="auto"/>
            <w:noWrap/>
            <w:vAlign w:val="center"/>
          </w:tcPr>
          <w:p w14:paraId="62C49A31">
            <w:pPr>
              <w:widowControl/>
              <w:jc w:val="center"/>
              <w:rPr>
                <w:rFonts w:ascii="Times New Roman" w:eastAsia="仿宋"/>
                <w:sz w:val="21"/>
                <w:szCs w:val="21"/>
              </w:rPr>
            </w:pPr>
            <w:r>
              <w:rPr>
                <w:rFonts w:ascii="Times New Roman" w:eastAsia="仿宋"/>
                <w:sz w:val="21"/>
                <w:szCs w:val="21"/>
              </w:rPr>
              <w:t>3.88</w:t>
            </w:r>
          </w:p>
        </w:tc>
        <w:tc>
          <w:tcPr>
            <w:tcW w:w="432" w:type="pct"/>
            <w:vAlign w:val="center"/>
          </w:tcPr>
          <w:p w14:paraId="487E8C02">
            <w:pPr>
              <w:widowControl/>
              <w:jc w:val="center"/>
              <w:rPr>
                <w:rFonts w:ascii="Times New Roman" w:eastAsia="仿宋"/>
                <w:sz w:val="21"/>
                <w:szCs w:val="21"/>
              </w:rPr>
            </w:pPr>
            <w:r>
              <w:rPr>
                <w:rFonts w:ascii="Times New Roman" w:eastAsia="仿宋"/>
                <w:sz w:val="21"/>
                <w:szCs w:val="21"/>
              </w:rPr>
              <w:t>/</w:t>
            </w:r>
          </w:p>
        </w:tc>
        <w:tc>
          <w:tcPr>
            <w:tcW w:w="496" w:type="pct"/>
            <w:shd w:val="clear" w:color="auto" w:fill="auto"/>
            <w:noWrap/>
            <w:vAlign w:val="center"/>
          </w:tcPr>
          <w:p w14:paraId="1705238A">
            <w:pPr>
              <w:widowControl/>
              <w:jc w:val="center"/>
              <w:rPr>
                <w:rFonts w:ascii="Times New Roman" w:eastAsia="仿宋"/>
                <w:sz w:val="21"/>
                <w:szCs w:val="21"/>
              </w:rPr>
            </w:pPr>
            <w:r>
              <w:rPr>
                <w:rFonts w:ascii="Times New Roman" w:eastAsia="仿宋"/>
                <w:sz w:val="21"/>
                <w:szCs w:val="21"/>
              </w:rPr>
              <w:t>0.3578</w:t>
            </w:r>
          </w:p>
        </w:tc>
      </w:tr>
    </w:tbl>
    <w:p w14:paraId="4DA1A5E5">
      <w:pPr>
        <w:spacing w:line="500" w:lineRule="exact"/>
        <w:jc w:val="center"/>
        <w:rPr>
          <w:rFonts w:ascii="Times New Roman" w:eastAsia="仿宋"/>
          <w:b/>
        </w:rPr>
      </w:pPr>
      <w:r>
        <w:rPr>
          <w:rFonts w:ascii="Times New Roman" w:eastAsia="仿宋"/>
          <w:b/>
        </w:rPr>
        <w:t>表</w:t>
      </w:r>
      <w:r>
        <w:rPr>
          <w:rFonts w:hint="eastAsia" w:ascii="Times New Roman" w:eastAsia="仿宋"/>
          <w:b/>
        </w:rPr>
        <w:t>4</w:t>
      </w:r>
      <w:r>
        <w:rPr>
          <w:rFonts w:ascii="Times New Roman" w:eastAsia="仿宋"/>
          <w:b/>
        </w:rPr>
        <w:t>.3-4</w:t>
      </w:r>
      <w:r>
        <w:rPr>
          <w:rFonts w:hint="eastAsia" w:ascii="Times New Roman" w:eastAsia="仿宋"/>
          <w:b/>
        </w:rPr>
        <w:t>区内主要企业废气等标污染负荷</w:t>
      </w:r>
    </w:p>
    <w:tbl>
      <w:tblPr>
        <w:tblStyle w:val="87"/>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162"/>
        <w:gridCol w:w="1239"/>
        <w:gridCol w:w="1239"/>
        <w:gridCol w:w="1239"/>
        <w:gridCol w:w="1239"/>
        <w:gridCol w:w="1037"/>
      </w:tblGrid>
      <w:tr w14:paraId="2970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68" w:type="dxa"/>
            <w:shd w:val="clear" w:color="auto" w:fill="auto"/>
            <w:vAlign w:val="center"/>
          </w:tcPr>
          <w:p w14:paraId="75504CE1">
            <w:pPr>
              <w:widowControl/>
              <w:jc w:val="center"/>
              <w:rPr>
                <w:rFonts w:ascii="Times New Roman" w:eastAsia="仿宋"/>
                <w:sz w:val="21"/>
                <w:szCs w:val="21"/>
              </w:rPr>
            </w:pPr>
            <w:r>
              <w:rPr>
                <w:rFonts w:ascii="Times New Roman" w:eastAsia="仿宋"/>
                <w:sz w:val="21"/>
                <w:szCs w:val="21"/>
              </w:rPr>
              <w:t>序号</w:t>
            </w:r>
          </w:p>
        </w:tc>
        <w:tc>
          <w:tcPr>
            <w:tcW w:w="2105" w:type="dxa"/>
            <w:shd w:val="clear" w:color="auto" w:fill="auto"/>
            <w:noWrap/>
            <w:vAlign w:val="center"/>
          </w:tcPr>
          <w:p w14:paraId="4514DD34">
            <w:pPr>
              <w:widowControl/>
              <w:jc w:val="center"/>
              <w:rPr>
                <w:rFonts w:ascii="Times New Roman" w:eastAsia="仿宋"/>
                <w:sz w:val="21"/>
                <w:szCs w:val="21"/>
              </w:rPr>
            </w:pPr>
            <w:r>
              <w:rPr>
                <w:rFonts w:ascii="Times New Roman" w:eastAsia="仿宋"/>
                <w:sz w:val="21"/>
                <w:szCs w:val="21"/>
              </w:rPr>
              <w:t>企业名称</w:t>
            </w:r>
          </w:p>
        </w:tc>
        <w:tc>
          <w:tcPr>
            <w:tcW w:w="1206" w:type="dxa"/>
            <w:shd w:val="clear" w:color="auto" w:fill="auto"/>
            <w:noWrap/>
            <w:vAlign w:val="center"/>
          </w:tcPr>
          <w:p w14:paraId="2C77AF53">
            <w:pPr>
              <w:widowControl/>
              <w:jc w:val="center"/>
              <w:rPr>
                <w:rFonts w:ascii="Times New Roman" w:eastAsia="仿宋"/>
                <w:sz w:val="21"/>
                <w:szCs w:val="21"/>
              </w:rPr>
            </w:pPr>
            <w:r>
              <w:rPr>
                <w:rFonts w:ascii="Times New Roman" w:eastAsia="仿宋"/>
                <w:sz w:val="21"/>
                <w:szCs w:val="21"/>
              </w:rPr>
              <w:t>P</w:t>
            </w:r>
            <w:r>
              <w:rPr>
                <w:rFonts w:ascii="Times New Roman" w:eastAsia="仿宋"/>
                <w:sz w:val="21"/>
                <w:szCs w:val="21"/>
                <w:vertAlign w:val="subscript"/>
              </w:rPr>
              <w:t>COD</w:t>
            </w:r>
          </w:p>
        </w:tc>
        <w:tc>
          <w:tcPr>
            <w:tcW w:w="1206" w:type="dxa"/>
            <w:shd w:val="clear" w:color="auto" w:fill="auto"/>
            <w:noWrap/>
            <w:vAlign w:val="center"/>
          </w:tcPr>
          <w:p w14:paraId="73E86346">
            <w:pPr>
              <w:widowControl/>
              <w:jc w:val="center"/>
              <w:rPr>
                <w:rFonts w:ascii="Times New Roman" w:eastAsia="仿宋"/>
                <w:sz w:val="21"/>
                <w:szCs w:val="21"/>
              </w:rPr>
            </w:pPr>
            <w:r>
              <w:rPr>
                <w:rFonts w:ascii="Times New Roman" w:eastAsia="仿宋"/>
                <w:sz w:val="21"/>
                <w:szCs w:val="21"/>
              </w:rPr>
              <w:t>P</w:t>
            </w:r>
            <w:r>
              <w:rPr>
                <w:rFonts w:ascii="Times New Roman" w:eastAsia="仿宋"/>
                <w:sz w:val="21"/>
                <w:szCs w:val="21"/>
                <w:vertAlign w:val="subscript"/>
              </w:rPr>
              <w:t>氨氮</w:t>
            </w:r>
          </w:p>
        </w:tc>
        <w:tc>
          <w:tcPr>
            <w:tcW w:w="1206" w:type="dxa"/>
            <w:shd w:val="clear" w:color="auto" w:fill="auto"/>
            <w:noWrap/>
            <w:vAlign w:val="center"/>
          </w:tcPr>
          <w:p w14:paraId="1FCDD701">
            <w:pPr>
              <w:widowControl/>
              <w:jc w:val="center"/>
              <w:rPr>
                <w:rFonts w:ascii="Times New Roman" w:eastAsia="仿宋"/>
                <w:sz w:val="21"/>
                <w:szCs w:val="21"/>
              </w:rPr>
            </w:pPr>
            <w:r>
              <w:rPr>
                <w:rFonts w:ascii="Times New Roman" w:eastAsia="仿宋"/>
                <w:sz w:val="21"/>
                <w:szCs w:val="21"/>
              </w:rPr>
              <w:t>P</w:t>
            </w:r>
            <w:r>
              <w:rPr>
                <w:rFonts w:ascii="Times New Roman" w:eastAsia="仿宋"/>
                <w:sz w:val="21"/>
                <w:szCs w:val="21"/>
                <w:vertAlign w:val="subscript"/>
              </w:rPr>
              <w:t>TP</w:t>
            </w:r>
          </w:p>
        </w:tc>
        <w:tc>
          <w:tcPr>
            <w:tcW w:w="1206" w:type="dxa"/>
            <w:shd w:val="clear" w:color="auto" w:fill="auto"/>
            <w:vAlign w:val="center"/>
          </w:tcPr>
          <w:p w14:paraId="55F4A2AF">
            <w:pPr>
              <w:widowControl/>
              <w:jc w:val="center"/>
              <w:rPr>
                <w:rFonts w:ascii="Times New Roman" w:eastAsia="仿宋"/>
                <w:sz w:val="21"/>
                <w:szCs w:val="21"/>
              </w:rPr>
            </w:pPr>
            <w:r>
              <w:rPr>
                <w:rFonts w:ascii="Times New Roman" w:eastAsia="仿宋"/>
                <w:sz w:val="21"/>
                <w:szCs w:val="21"/>
              </w:rPr>
              <w:t>P</w:t>
            </w:r>
            <w:r>
              <w:rPr>
                <w:rFonts w:ascii="Times New Roman" w:eastAsia="仿宋"/>
                <w:sz w:val="21"/>
                <w:szCs w:val="21"/>
                <w:vertAlign w:val="subscript"/>
              </w:rPr>
              <w:t>n</w:t>
            </w:r>
          </w:p>
        </w:tc>
        <w:tc>
          <w:tcPr>
            <w:tcW w:w="1009" w:type="dxa"/>
            <w:shd w:val="clear" w:color="auto" w:fill="auto"/>
            <w:vAlign w:val="center"/>
          </w:tcPr>
          <w:p w14:paraId="251ABDDE">
            <w:pPr>
              <w:widowControl/>
              <w:jc w:val="center"/>
              <w:rPr>
                <w:rFonts w:ascii="Times New Roman" w:eastAsia="仿宋"/>
                <w:sz w:val="21"/>
                <w:szCs w:val="21"/>
              </w:rPr>
            </w:pPr>
            <w:r>
              <w:rPr>
                <w:rFonts w:ascii="Times New Roman" w:eastAsia="仿宋"/>
                <w:sz w:val="21"/>
                <w:szCs w:val="21"/>
              </w:rPr>
              <w:t>Kn（%）</w:t>
            </w:r>
          </w:p>
        </w:tc>
      </w:tr>
      <w:tr w14:paraId="1B30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6D71717">
            <w:pPr>
              <w:widowControl/>
              <w:jc w:val="center"/>
              <w:rPr>
                <w:rFonts w:ascii="Times New Roman" w:eastAsia="仿宋"/>
                <w:sz w:val="21"/>
                <w:szCs w:val="21"/>
              </w:rPr>
            </w:pPr>
            <w:r>
              <w:rPr>
                <w:rFonts w:ascii="Times New Roman" w:eastAsia="仿宋"/>
                <w:sz w:val="21"/>
                <w:szCs w:val="21"/>
              </w:rPr>
              <w:t>1</w:t>
            </w:r>
          </w:p>
        </w:tc>
        <w:tc>
          <w:tcPr>
            <w:tcW w:w="2105" w:type="dxa"/>
            <w:shd w:val="clear" w:color="auto" w:fill="auto"/>
            <w:noWrap/>
            <w:vAlign w:val="center"/>
          </w:tcPr>
          <w:p w14:paraId="24760EDB">
            <w:pPr>
              <w:widowControl/>
              <w:jc w:val="center"/>
              <w:rPr>
                <w:rFonts w:ascii="Times New Roman" w:eastAsia="仿宋"/>
                <w:sz w:val="21"/>
                <w:szCs w:val="21"/>
              </w:rPr>
            </w:pPr>
            <w:r>
              <w:rPr>
                <w:rFonts w:ascii="Times New Roman" w:eastAsia="仿宋"/>
                <w:sz w:val="21"/>
                <w:szCs w:val="21"/>
              </w:rPr>
              <w:t>凡登（常州）新型金属材料技术有限公司</w:t>
            </w:r>
          </w:p>
        </w:tc>
        <w:tc>
          <w:tcPr>
            <w:tcW w:w="1206" w:type="dxa"/>
            <w:shd w:val="clear" w:color="auto" w:fill="auto"/>
            <w:noWrap/>
            <w:vAlign w:val="center"/>
          </w:tcPr>
          <w:p w14:paraId="52B6F517">
            <w:pPr>
              <w:widowControl/>
              <w:jc w:val="center"/>
              <w:rPr>
                <w:rFonts w:ascii="Times New Roman" w:eastAsia="仿宋"/>
                <w:sz w:val="21"/>
                <w:szCs w:val="21"/>
              </w:rPr>
            </w:pPr>
            <w:r>
              <w:rPr>
                <w:rFonts w:ascii="Times New Roman" w:eastAsia="仿宋"/>
                <w:sz w:val="21"/>
                <w:szCs w:val="21"/>
              </w:rPr>
              <w:t>1.4654</w:t>
            </w:r>
          </w:p>
        </w:tc>
        <w:tc>
          <w:tcPr>
            <w:tcW w:w="1206" w:type="dxa"/>
            <w:shd w:val="clear" w:color="auto" w:fill="auto"/>
            <w:noWrap/>
            <w:vAlign w:val="center"/>
          </w:tcPr>
          <w:p w14:paraId="4E027226">
            <w:pPr>
              <w:widowControl/>
              <w:jc w:val="center"/>
              <w:rPr>
                <w:rFonts w:ascii="Times New Roman" w:eastAsia="仿宋"/>
                <w:sz w:val="21"/>
                <w:szCs w:val="21"/>
              </w:rPr>
            </w:pPr>
            <w:r>
              <w:rPr>
                <w:rFonts w:ascii="Times New Roman" w:eastAsia="仿宋"/>
                <w:sz w:val="21"/>
                <w:szCs w:val="21"/>
              </w:rPr>
              <w:t>1.0620</w:t>
            </w:r>
          </w:p>
        </w:tc>
        <w:tc>
          <w:tcPr>
            <w:tcW w:w="1206" w:type="dxa"/>
            <w:shd w:val="clear" w:color="auto" w:fill="auto"/>
            <w:noWrap/>
            <w:vAlign w:val="center"/>
          </w:tcPr>
          <w:p w14:paraId="6C2BCF5D">
            <w:pPr>
              <w:widowControl/>
              <w:jc w:val="center"/>
              <w:rPr>
                <w:rFonts w:ascii="Times New Roman" w:eastAsia="仿宋"/>
                <w:sz w:val="21"/>
                <w:szCs w:val="21"/>
              </w:rPr>
            </w:pPr>
            <w:r>
              <w:rPr>
                <w:rFonts w:ascii="Times New Roman" w:eastAsia="仿宋"/>
                <w:sz w:val="21"/>
                <w:szCs w:val="21"/>
              </w:rPr>
              <w:t>0.7067</w:t>
            </w:r>
          </w:p>
        </w:tc>
        <w:tc>
          <w:tcPr>
            <w:tcW w:w="1206" w:type="dxa"/>
            <w:shd w:val="clear" w:color="auto" w:fill="auto"/>
            <w:noWrap/>
            <w:vAlign w:val="center"/>
          </w:tcPr>
          <w:p w14:paraId="6EB640BB">
            <w:pPr>
              <w:widowControl/>
              <w:jc w:val="center"/>
              <w:rPr>
                <w:rFonts w:ascii="Times New Roman" w:eastAsia="仿宋"/>
                <w:sz w:val="21"/>
                <w:szCs w:val="21"/>
              </w:rPr>
            </w:pPr>
            <w:r>
              <w:rPr>
                <w:rFonts w:ascii="Times New Roman" w:eastAsia="仿宋"/>
                <w:sz w:val="21"/>
                <w:szCs w:val="21"/>
              </w:rPr>
              <w:t>3.2341</w:t>
            </w:r>
          </w:p>
        </w:tc>
        <w:tc>
          <w:tcPr>
            <w:tcW w:w="1009" w:type="dxa"/>
            <w:shd w:val="clear" w:color="auto" w:fill="auto"/>
            <w:noWrap/>
            <w:vAlign w:val="center"/>
          </w:tcPr>
          <w:p w14:paraId="4A5BA6E8">
            <w:pPr>
              <w:widowControl/>
              <w:jc w:val="center"/>
              <w:rPr>
                <w:rFonts w:ascii="Times New Roman" w:eastAsia="仿宋"/>
                <w:sz w:val="21"/>
                <w:szCs w:val="21"/>
              </w:rPr>
            </w:pPr>
            <w:r>
              <w:rPr>
                <w:rFonts w:ascii="Times New Roman" w:eastAsia="仿宋"/>
                <w:sz w:val="21"/>
                <w:szCs w:val="21"/>
              </w:rPr>
              <w:t>42.33%</w:t>
            </w:r>
          </w:p>
        </w:tc>
      </w:tr>
      <w:tr w14:paraId="78D1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7FE4B32">
            <w:pPr>
              <w:widowControl/>
              <w:jc w:val="center"/>
              <w:rPr>
                <w:rFonts w:ascii="Times New Roman" w:eastAsia="仿宋"/>
                <w:sz w:val="21"/>
                <w:szCs w:val="21"/>
              </w:rPr>
            </w:pPr>
            <w:r>
              <w:rPr>
                <w:rFonts w:ascii="Times New Roman" w:eastAsia="仿宋"/>
                <w:sz w:val="21"/>
                <w:szCs w:val="21"/>
              </w:rPr>
              <w:t>2</w:t>
            </w:r>
          </w:p>
        </w:tc>
        <w:tc>
          <w:tcPr>
            <w:tcW w:w="2105" w:type="dxa"/>
            <w:shd w:val="clear" w:color="auto" w:fill="auto"/>
            <w:noWrap/>
            <w:vAlign w:val="center"/>
          </w:tcPr>
          <w:p w14:paraId="6293C33F">
            <w:pPr>
              <w:widowControl/>
              <w:jc w:val="center"/>
              <w:rPr>
                <w:rFonts w:ascii="Times New Roman" w:eastAsia="仿宋"/>
                <w:sz w:val="21"/>
                <w:szCs w:val="21"/>
              </w:rPr>
            </w:pPr>
            <w:r>
              <w:rPr>
                <w:rFonts w:ascii="Times New Roman" w:eastAsia="仿宋"/>
                <w:sz w:val="21"/>
                <w:szCs w:val="21"/>
              </w:rPr>
              <w:t>常州京洋半导体材料科技有限公司</w:t>
            </w:r>
          </w:p>
        </w:tc>
        <w:tc>
          <w:tcPr>
            <w:tcW w:w="1206" w:type="dxa"/>
            <w:shd w:val="clear" w:color="auto" w:fill="auto"/>
            <w:noWrap/>
            <w:vAlign w:val="center"/>
          </w:tcPr>
          <w:p w14:paraId="356E475C">
            <w:pPr>
              <w:widowControl/>
              <w:jc w:val="center"/>
              <w:rPr>
                <w:rFonts w:ascii="Times New Roman" w:eastAsia="仿宋"/>
                <w:sz w:val="21"/>
                <w:szCs w:val="21"/>
              </w:rPr>
            </w:pPr>
            <w:r>
              <w:rPr>
                <w:rFonts w:ascii="Times New Roman" w:eastAsia="仿宋"/>
                <w:sz w:val="21"/>
                <w:szCs w:val="21"/>
              </w:rPr>
              <w:t>0.0218</w:t>
            </w:r>
          </w:p>
        </w:tc>
        <w:tc>
          <w:tcPr>
            <w:tcW w:w="1206" w:type="dxa"/>
            <w:shd w:val="clear" w:color="auto" w:fill="auto"/>
            <w:noWrap/>
            <w:vAlign w:val="center"/>
          </w:tcPr>
          <w:p w14:paraId="71B8ECE4">
            <w:pPr>
              <w:widowControl/>
              <w:jc w:val="center"/>
              <w:rPr>
                <w:rFonts w:ascii="Times New Roman" w:eastAsia="仿宋"/>
                <w:sz w:val="21"/>
                <w:szCs w:val="21"/>
              </w:rPr>
            </w:pPr>
            <w:r>
              <w:rPr>
                <w:rFonts w:ascii="Times New Roman" w:eastAsia="仿宋"/>
                <w:sz w:val="21"/>
                <w:szCs w:val="21"/>
              </w:rPr>
              <w:t>0.0213</w:t>
            </w:r>
          </w:p>
        </w:tc>
        <w:tc>
          <w:tcPr>
            <w:tcW w:w="1206" w:type="dxa"/>
            <w:shd w:val="clear" w:color="auto" w:fill="auto"/>
            <w:noWrap/>
            <w:vAlign w:val="center"/>
          </w:tcPr>
          <w:p w14:paraId="58A8EBD3">
            <w:pPr>
              <w:widowControl/>
              <w:jc w:val="center"/>
              <w:rPr>
                <w:rFonts w:ascii="Times New Roman" w:eastAsia="仿宋"/>
                <w:sz w:val="21"/>
                <w:szCs w:val="21"/>
              </w:rPr>
            </w:pPr>
            <w:r>
              <w:rPr>
                <w:rFonts w:ascii="Times New Roman" w:eastAsia="仿宋"/>
                <w:sz w:val="21"/>
                <w:szCs w:val="21"/>
              </w:rPr>
              <w:t>0.0167</w:t>
            </w:r>
          </w:p>
        </w:tc>
        <w:tc>
          <w:tcPr>
            <w:tcW w:w="1206" w:type="dxa"/>
            <w:shd w:val="clear" w:color="auto" w:fill="auto"/>
            <w:noWrap/>
            <w:vAlign w:val="center"/>
          </w:tcPr>
          <w:p w14:paraId="714364D4">
            <w:pPr>
              <w:widowControl/>
              <w:jc w:val="center"/>
              <w:rPr>
                <w:rFonts w:ascii="Times New Roman" w:eastAsia="仿宋"/>
                <w:sz w:val="21"/>
                <w:szCs w:val="21"/>
              </w:rPr>
            </w:pPr>
            <w:r>
              <w:rPr>
                <w:rFonts w:ascii="Times New Roman" w:eastAsia="仿宋"/>
                <w:sz w:val="21"/>
                <w:szCs w:val="21"/>
              </w:rPr>
              <w:t>0.0598</w:t>
            </w:r>
          </w:p>
        </w:tc>
        <w:tc>
          <w:tcPr>
            <w:tcW w:w="1009" w:type="dxa"/>
            <w:shd w:val="clear" w:color="auto" w:fill="auto"/>
            <w:noWrap/>
            <w:vAlign w:val="center"/>
          </w:tcPr>
          <w:p w14:paraId="03324E22">
            <w:pPr>
              <w:widowControl/>
              <w:jc w:val="center"/>
              <w:rPr>
                <w:rFonts w:ascii="Times New Roman" w:eastAsia="仿宋"/>
                <w:sz w:val="21"/>
                <w:szCs w:val="21"/>
              </w:rPr>
            </w:pPr>
            <w:r>
              <w:rPr>
                <w:rFonts w:ascii="Times New Roman" w:eastAsia="仿宋"/>
                <w:sz w:val="21"/>
                <w:szCs w:val="21"/>
              </w:rPr>
              <w:t>0.78%</w:t>
            </w:r>
          </w:p>
        </w:tc>
      </w:tr>
      <w:tr w14:paraId="4003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B562FAA">
            <w:pPr>
              <w:widowControl/>
              <w:jc w:val="center"/>
              <w:rPr>
                <w:rFonts w:ascii="Times New Roman" w:eastAsia="仿宋"/>
                <w:sz w:val="21"/>
                <w:szCs w:val="21"/>
              </w:rPr>
            </w:pPr>
            <w:r>
              <w:rPr>
                <w:rFonts w:ascii="Times New Roman" w:eastAsia="仿宋"/>
                <w:sz w:val="21"/>
                <w:szCs w:val="21"/>
              </w:rPr>
              <w:t>3</w:t>
            </w:r>
          </w:p>
        </w:tc>
        <w:tc>
          <w:tcPr>
            <w:tcW w:w="2105" w:type="dxa"/>
            <w:shd w:val="clear" w:color="auto" w:fill="auto"/>
            <w:noWrap/>
            <w:vAlign w:val="center"/>
          </w:tcPr>
          <w:p w14:paraId="065ABF15">
            <w:pPr>
              <w:widowControl/>
              <w:jc w:val="center"/>
              <w:rPr>
                <w:rFonts w:ascii="Times New Roman" w:eastAsia="仿宋"/>
                <w:sz w:val="21"/>
                <w:szCs w:val="21"/>
              </w:rPr>
            </w:pPr>
            <w:r>
              <w:rPr>
                <w:rFonts w:ascii="Times New Roman" w:eastAsia="仿宋"/>
                <w:sz w:val="21"/>
                <w:szCs w:val="21"/>
              </w:rPr>
              <w:t>常州盈美新材料科技有限公司</w:t>
            </w:r>
          </w:p>
        </w:tc>
        <w:tc>
          <w:tcPr>
            <w:tcW w:w="1206" w:type="dxa"/>
            <w:shd w:val="clear" w:color="auto" w:fill="auto"/>
            <w:noWrap/>
            <w:vAlign w:val="center"/>
          </w:tcPr>
          <w:p w14:paraId="6263FF03">
            <w:pPr>
              <w:widowControl/>
              <w:jc w:val="center"/>
              <w:rPr>
                <w:rFonts w:ascii="Times New Roman" w:eastAsia="仿宋"/>
                <w:sz w:val="21"/>
                <w:szCs w:val="21"/>
              </w:rPr>
            </w:pPr>
            <w:r>
              <w:rPr>
                <w:rFonts w:ascii="Times New Roman" w:eastAsia="仿宋"/>
                <w:sz w:val="21"/>
                <w:szCs w:val="21"/>
              </w:rPr>
              <w:t>0.0115</w:t>
            </w:r>
          </w:p>
        </w:tc>
        <w:tc>
          <w:tcPr>
            <w:tcW w:w="1206" w:type="dxa"/>
            <w:shd w:val="clear" w:color="auto" w:fill="auto"/>
            <w:noWrap/>
            <w:vAlign w:val="center"/>
          </w:tcPr>
          <w:p w14:paraId="47006672">
            <w:pPr>
              <w:widowControl/>
              <w:jc w:val="center"/>
              <w:rPr>
                <w:rFonts w:ascii="Times New Roman" w:eastAsia="仿宋"/>
                <w:sz w:val="21"/>
                <w:szCs w:val="21"/>
              </w:rPr>
            </w:pPr>
            <w:r>
              <w:rPr>
                <w:rFonts w:ascii="Times New Roman" w:eastAsia="仿宋"/>
                <w:sz w:val="21"/>
                <w:szCs w:val="21"/>
              </w:rPr>
              <w:t>0.0173</w:t>
            </w:r>
          </w:p>
        </w:tc>
        <w:tc>
          <w:tcPr>
            <w:tcW w:w="1206" w:type="dxa"/>
            <w:shd w:val="clear" w:color="auto" w:fill="auto"/>
            <w:noWrap/>
            <w:vAlign w:val="center"/>
          </w:tcPr>
          <w:p w14:paraId="5B5E4904">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6EC73CEA">
            <w:pPr>
              <w:widowControl/>
              <w:jc w:val="center"/>
              <w:rPr>
                <w:rFonts w:ascii="Times New Roman" w:eastAsia="仿宋"/>
                <w:sz w:val="21"/>
                <w:szCs w:val="21"/>
              </w:rPr>
            </w:pPr>
            <w:r>
              <w:rPr>
                <w:rFonts w:ascii="Times New Roman" w:eastAsia="仿宋"/>
                <w:sz w:val="21"/>
                <w:szCs w:val="21"/>
              </w:rPr>
              <w:t>0.0389</w:t>
            </w:r>
          </w:p>
        </w:tc>
        <w:tc>
          <w:tcPr>
            <w:tcW w:w="1009" w:type="dxa"/>
            <w:shd w:val="clear" w:color="auto" w:fill="auto"/>
            <w:noWrap/>
            <w:vAlign w:val="center"/>
          </w:tcPr>
          <w:p w14:paraId="2B47CC1D">
            <w:pPr>
              <w:widowControl/>
              <w:jc w:val="center"/>
              <w:rPr>
                <w:rFonts w:ascii="Times New Roman" w:eastAsia="仿宋"/>
                <w:sz w:val="21"/>
                <w:szCs w:val="21"/>
              </w:rPr>
            </w:pPr>
            <w:r>
              <w:rPr>
                <w:rFonts w:ascii="Times New Roman" w:eastAsia="仿宋"/>
                <w:sz w:val="21"/>
                <w:szCs w:val="21"/>
              </w:rPr>
              <w:t>0.51%</w:t>
            </w:r>
          </w:p>
        </w:tc>
      </w:tr>
      <w:tr w14:paraId="3F43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5136705">
            <w:pPr>
              <w:widowControl/>
              <w:jc w:val="center"/>
              <w:rPr>
                <w:rFonts w:ascii="Times New Roman" w:eastAsia="仿宋"/>
                <w:sz w:val="21"/>
                <w:szCs w:val="21"/>
              </w:rPr>
            </w:pPr>
            <w:r>
              <w:rPr>
                <w:rFonts w:ascii="Times New Roman" w:eastAsia="仿宋"/>
                <w:sz w:val="21"/>
                <w:szCs w:val="21"/>
              </w:rPr>
              <w:t>4</w:t>
            </w:r>
          </w:p>
        </w:tc>
        <w:tc>
          <w:tcPr>
            <w:tcW w:w="2105" w:type="dxa"/>
            <w:shd w:val="clear" w:color="auto" w:fill="auto"/>
            <w:noWrap/>
            <w:vAlign w:val="center"/>
          </w:tcPr>
          <w:p w14:paraId="7D419E34">
            <w:pPr>
              <w:widowControl/>
              <w:jc w:val="center"/>
              <w:rPr>
                <w:rFonts w:ascii="Times New Roman" w:eastAsia="仿宋"/>
                <w:sz w:val="21"/>
                <w:szCs w:val="21"/>
              </w:rPr>
            </w:pPr>
            <w:r>
              <w:rPr>
                <w:rFonts w:ascii="Times New Roman" w:eastAsia="仿宋"/>
                <w:sz w:val="21"/>
                <w:szCs w:val="21"/>
              </w:rPr>
              <w:t>常州市天顺能源科技有限公司</w:t>
            </w:r>
          </w:p>
        </w:tc>
        <w:tc>
          <w:tcPr>
            <w:tcW w:w="1206" w:type="dxa"/>
            <w:shd w:val="clear" w:color="auto" w:fill="auto"/>
            <w:noWrap/>
            <w:vAlign w:val="center"/>
          </w:tcPr>
          <w:p w14:paraId="7C2B13BA">
            <w:pPr>
              <w:widowControl/>
              <w:jc w:val="center"/>
              <w:rPr>
                <w:rFonts w:ascii="Times New Roman" w:eastAsia="仿宋"/>
                <w:sz w:val="21"/>
                <w:szCs w:val="21"/>
              </w:rPr>
            </w:pPr>
            <w:r>
              <w:rPr>
                <w:rFonts w:ascii="Times New Roman" w:eastAsia="仿宋"/>
                <w:sz w:val="21"/>
                <w:szCs w:val="21"/>
              </w:rPr>
              <w:t>0.0240</w:t>
            </w:r>
          </w:p>
        </w:tc>
        <w:tc>
          <w:tcPr>
            <w:tcW w:w="1206" w:type="dxa"/>
            <w:shd w:val="clear" w:color="auto" w:fill="auto"/>
            <w:noWrap/>
            <w:vAlign w:val="center"/>
          </w:tcPr>
          <w:p w14:paraId="0F7AF9AD">
            <w:pPr>
              <w:widowControl/>
              <w:jc w:val="center"/>
              <w:rPr>
                <w:rFonts w:ascii="Times New Roman" w:eastAsia="仿宋"/>
                <w:sz w:val="21"/>
                <w:szCs w:val="21"/>
              </w:rPr>
            </w:pPr>
            <w:r>
              <w:rPr>
                <w:rFonts w:ascii="Times New Roman" w:eastAsia="仿宋"/>
                <w:sz w:val="21"/>
                <w:szCs w:val="21"/>
              </w:rPr>
              <w:t>0.0400</w:t>
            </w:r>
          </w:p>
        </w:tc>
        <w:tc>
          <w:tcPr>
            <w:tcW w:w="1206" w:type="dxa"/>
            <w:shd w:val="clear" w:color="auto" w:fill="auto"/>
            <w:noWrap/>
            <w:vAlign w:val="center"/>
          </w:tcPr>
          <w:p w14:paraId="35AE8AE6">
            <w:pPr>
              <w:widowControl/>
              <w:jc w:val="center"/>
              <w:rPr>
                <w:rFonts w:ascii="Times New Roman" w:eastAsia="仿宋"/>
                <w:sz w:val="21"/>
                <w:szCs w:val="21"/>
              </w:rPr>
            </w:pPr>
            <w:r>
              <w:rPr>
                <w:rFonts w:ascii="Times New Roman" w:eastAsia="仿宋"/>
                <w:sz w:val="21"/>
                <w:szCs w:val="21"/>
              </w:rPr>
              <w:t>0.0400</w:t>
            </w:r>
          </w:p>
        </w:tc>
        <w:tc>
          <w:tcPr>
            <w:tcW w:w="1206" w:type="dxa"/>
            <w:shd w:val="clear" w:color="auto" w:fill="auto"/>
            <w:noWrap/>
            <w:vAlign w:val="center"/>
          </w:tcPr>
          <w:p w14:paraId="4FC98FA6">
            <w:pPr>
              <w:widowControl/>
              <w:jc w:val="center"/>
              <w:rPr>
                <w:rFonts w:ascii="Times New Roman" w:eastAsia="仿宋"/>
                <w:sz w:val="21"/>
                <w:szCs w:val="21"/>
              </w:rPr>
            </w:pPr>
            <w:r>
              <w:rPr>
                <w:rFonts w:ascii="Times New Roman" w:eastAsia="仿宋"/>
                <w:sz w:val="21"/>
                <w:szCs w:val="21"/>
              </w:rPr>
              <w:t>0.1040</w:t>
            </w:r>
          </w:p>
        </w:tc>
        <w:tc>
          <w:tcPr>
            <w:tcW w:w="1009" w:type="dxa"/>
            <w:shd w:val="clear" w:color="auto" w:fill="auto"/>
            <w:noWrap/>
            <w:vAlign w:val="center"/>
          </w:tcPr>
          <w:p w14:paraId="5117F2D1">
            <w:pPr>
              <w:widowControl/>
              <w:jc w:val="center"/>
              <w:rPr>
                <w:rFonts w:ascii="Times New Roman" w:eastAsia="仿宋"/>
                <w:sz w:val="21"/>
                <w:szCs w:val="21"/>
              </w:rPr>
            </w:pPr>
            <w:r>
              <w:rPr>
                <w:rFonts w:ascii="Times New Roman" w:eastAsia="仿宋"/>
                <w:sz w:val="21"/>
                <w:szCs w:val="21"/>
              </w:rPr>
              <w:t>1.36%</w:t>
            </w:r>
          </w:p>
        </w:tc>
      </w:tr>
      <w:tr w14:paraId="7FDD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ACE74FA">
            <w:pPr>
              <w:widowControl/>
              <w:jc w:val="center"/>
              <w:rPr>
                <w:rFonts w:ascii="Times New Roman" w:eastAsia="仿宋"/>
                <w:sz w:val="21"/>
                <w:szCs w:val="21"/>
              </w:rPr>
            </w:pPr>
            <w:r>
              <w:rPr>
                <w:rFonts w:ascii="Times New Roman" w:eastAsia="仿宋"/>
                <w:sz w:val="21"/>
                <w:szCs w:val="21"/>
              </w:rPr>
              <w:t>5</w:t>
            </w:r>
          </w:p>
        </w:tc>
        <w:tc>
          <w:tcPr>
            <w:tcW w:w="2105" w:type="dxa"/>
            <w:shd w:val="clear" w:color="auto" w:fill="auto"/>
            <w:noWrap/>
            <w:vAlign w:val="center"/>
          </w:tcPr>
          <w:p w14:paraId="03CD3CF1">
            <w:pPr>
              <w:widowControl/>
              <w:jc w:val="center"/>
              <w:rPr>
                <w:rFonts w:ascii="Times New Roman" w:eastAsia="仿宋"/>
                <w:sz w:val="21"/>
                <w:szCs w:val="21"/>
              </w:rPr>
            </w:pPr>
            <w:r>
              <w:rPr>
                <w:rFonts w:ascii="Times New Roman" w:eastAsia="仿宋"/>
                <w:sz w:val="21"/>
                <w:szCs w:val="21"/>
              </w:rPr>
              <w:t>江苏常链传动机械有限公司</w:t>
            </w:r>
          </w:p>
        </w:tc>
        <w:tc>
          <w:tcPr>
            <w:tcW w:w="1206" w:type="dxa"/>
            <w:shd w:val="clear" w:color="auto" w:fill="auto"/>
            <w:noWrap/>
            <w:vAlign w:val="center"/>
          </w:tcPr>
          <w:p w14:paraId="675AAB8B">
            <w:pPr>
              <w:widowControl/>
              <w:jc w:val="center"/>
              <w:rPr>
                <w:rFonts w:ascii="Times New Roman" w:eastAsia="仿宋"/>
                <w:sz w:val="21"/>
                <w:szCs w:val="21"/>
              </w:rPr>
            </w:pPr>
            <w:r>
              <w:rPr>
                <w:rFonts w:ascii="Times New Roman" w:eastAsia="仿宋"/>
                <w:sz w:val="21"/>
                <w:szCs w:val="21"/>
              </w:rPr>
              <w:t>0.0085</w:t>
            </w:r>
          </w:p>
        </w:tc>
        <w:tc>
          <w:tcPr>
            <w:tcW w:w="1206" w:type="dxa"/>
            <w:shd w:val="clear" w:color="auto" w:fill="auto"/>
            <w:noWrap/>
            <w:vAlign w:val="center"/>
          </w:tcPr>
          <w:p w14:paraId="75966D0C">
            <w:pPr>
              <w:widowControl/>
              <w:jc w:val="center"/>
              <w:rPr>
                <w:rFonts w:ascii="Times New Roman" w:eastAsia="仿宋"/>
                <w:sz w:val="21"/>
                <w:szCs w:val="21"/>
              </w:rPr>
            </w:pPr>
            <w:r>
              <w:rPr>
                <w:rFonts w:ascii="Times New Roman" w:eastAsia="仿宋"/>
                <w:sz w:val="21"/>
                <w:szCs w:val="21"/>
              </w:rPr>
              <w:t>0.0453</w:t>
            </w:r>
          </w:p>
        </w:tc>
        <w:tc>
          <w:tcPr>
            <w:tcW w:w="1206" w:type="dxa"/>
            <w:shd w:val="clear" w:color="auto" w:fill="auto"/>
            <w:noWrap/>
            <w:vAlign w:val="center"/>
          </w:tcPr>
          <w:p w14:paraId="24453362">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2D7C1D67">
            <w:pPr>
              <w:widowControl/>
              <w:jc w:val="center"/>
              <w:rPr>
                <w:rFonts w:ascii="Times New Roman" w:eastAsia="仿宋"/>
                <w:sz w:val="21"/>
                <w:szCs w:val="21"/>
              </w:rPr>
            </w:pPr>
            <w:r>
              <w:rPr>
                <w:rFonts w:ascii="Times New Roman" w:eastAsia="仿宋"/>
                <w:sz w:val="21"/>
                <w:szCs w:val="21"/>
              </w:rPr>
              <w:t>0.0638</w:t>
            </w:r>
          </w:p>
        </w:tc>
        <w:tc>
          <w:tcPr>
            <w:tcW w:w="1009" w:type="dxa"/>
            <w:shd w:val="clear" w:color="auto" w:fill="auto"/>
            <w:noWrap/>
            <w:vAlign w:val="center"/>
          </w:tcPr>
          <w:p w14:paraId="22547113">
            <w:pPr>
              <w:widowControl/>
              <w:jc w:val="center"/>
              <w:rPr>
                <w:rFonts w:ascii="Times New Roman" w:eastAsia="仿宋"/>
                <w:sz w:val="21"/>
                <w:szCs w:val="21"/>
              </w:rPr>
            </w:pPr>
            <w:r>
              <w:rPr>
                <w:rFonts w:ascii="Times New Roman" w:eastAsia="仿宋"/>
                <w:sz w:val="21"/>
                <w:szCs w:val="21"/>
              </w:rPr>
              <w:t>0.84%</w:t>
            </w:r>
          </w:p>
        </w:tc>
      </w:tr>
      <w:tr w14:paraId="02D6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E596B4E">
            <w:pPr>
              <w:widowControl/>
              <w:jc w:val="center"/>
              <w:rPr>
                <w:rFonts w:ascii="Times New Roman" w:eastAsia="仿宋"/>
                <w:sz w:val="21"/>
                <w:szCs w:val="21"/>
              </w:rPr>
            </w:pPr>
            <w:r>
              <w:rPr>
                <w:rFonts w:ascii="Times New Roman" w:eastAsia="仿宋"/>
                <w:sz w:val="21"/>
                <w:szCs w:val="21"/>
              </w:rPr>
              <w:t>6</w:t>
            </w:r>
          </w:p>
        </w:tc>
        <w:tc>
          <w:tcPr>
            <w:tcW w:w="2105" w:type="dxa"/>
            <w:shd w:val="clear" w:color="auto" w:fill="auto"/>
            <w:noWrap/>
            <w:vAlign w:val="center"/>
          </w:tcPr>
          <w:p w14:paraId="49844CE0">
            <w:pPr>
              <w:widowControl/>
              <w:jc w:val="center"/>
              <w:rPr>
                <w:rFonts w:ascii="Times New Roman" w:eastAsia="仿宋"/>
                <w:sz w:val="21"/>
                <w:szCs w:val="21"/>
              </w:rPr>
            </w:pPr>
            <w:r>
              <w:rPr>
                <w:rFonts w:ascii="Times New Roman" w:eastAsia="仿宋"/>
                <w:sz w:val="21"/>
                <w:szCs w:val="21"/>
              </w:rPr>
              <w:t>江苏天鑫机械科技有限公司</w:t>
            </w:r>
          </w:p>
        </w:tc>
        <w:tc>
          <w:tcPr>
            <w:tcW w:w="1206" w:type="dxa"/>
            <w:shd w:val="clear" w:color="auto" w:fill="auto"/>
            <w:noWrap/>
            <w:vAlign w:val="center"/>
          </w:tcPr>
          <w:p w14:paraId="3F8B2A91">
            <w:pPr>
              <w:widowControl/>
              <w:jc w:val="center"/>
              <w:rPr>
                <w:rFonts w:ascii="Times New Roman" w:eastAsia="仿宋"/>
                <w:sz w:val="21"/>
                <w:szCs w:val="21"/>
              </w:rPr>
            </w:pPr>
            <w:r>
              <w:rPr>
                <w:rFonts w:ascii="Times New Roman" w:eastAsia="仿宋"/>
                <w:sz w:val="21"/>
                <w:szCs w:val="21"/>
              </w:rPr>
              <w:t>0.0179</w:t>
            </w:r>
          </w:p>
        </w:tc>
        <w:tc>
          <w:tcPr>
            <w:tcW w:w="1206" w:type="dxa"/>
            <w:shd w:val="clear" w:color="auto" w:fill="auto"/>
            <w:noWrap/>
            <w:vAlign w:val="center"/>
          </w:tcPr>
          <w:p w14:paraId="3A135577">
            <w:pPr>
              <w:widowControl/>
              <w:jc w:val="center"/>
              <w:rPr>
                <w:rFonts w:ascii="Times New Roman" w:eastAsia="仿宋"/>
                <w:sz w:val="21"/>
                <w:szCs w:val="21"/>
              </w:rPr>
            </w:pPr>
            <w:r>
              <w:rPr>
                <w:rFonts w:ascii="Times New Roman" w:eastAsia="仿宋"/>
                <w:sz w:val="21"/>
                <w:szCs w:val="21"/>
              </w:rPr>
              <w:t>0.0227</w:t>
            </w:r>
          </w:p>
        </w:tc>
        <w:tc>
          <w:tcPr>
            <w:tcW w:w="1206" w:type="dxa"/>
            <w:shd w:val="clear" w:color="auto" w:fill="auto"/>
            <w:noWrap/>
            <w:vAlign w:val="center"/>
          </w:tcPr>
          <w:p w14:paraId="139CA85C">
            <w:pPr>
              <w:widowControl/>
              <w:jc w:val="center"/>
              <w:rPr>
                <w:rFonts w:ascii="Times New Roman" w:eastAsia="仿宋"/>
                <w:sz w:val="21"/>
                <w:szCs w:val="21"/>
              </w:rPr>
            </w:pPr>
            <w:r>
              <w:rPr>
                <w:rFonts w:ascii="Times New Roman" w:eastAsia="仿宋"/>
                <w:sz w:val="21"/>
                <w:szCs w:val="21"/>
              </w:rPr>
              <w:t>0.0133</w:t>
            </w:r>
          </w:p>
        </w:tc>
        <w:tc>
          <w:tcPr>
            <w:tcW w:w="1206" w:type="dxa"/>
            <w:shd w:val="clear" w:color="auto" w:fill="auto"/>
            <w:noWrap/>
            <w:vAlign w:val="center"/>
          </w:tcPr>
          <w:p w14:paraId="5E94BEA2">
            <w:pPr>
              <w:widowControl/>
              <w:jc w:val="center"/>
              <w:rPr>
                <w:rFonts w:ascii="Times New Roman" w:eastAsia="仿宋"/>
                <w:sz w:val="21"/>
                <w:szCs w:val="21"/>
              </w:rPr>
            </w:pPr>
            <w:r>
              <w:rPr>
                <w:rFonts w:ascii="Times New Roman" w:eastAsia="仿宋"/>
                <w:sz w:val="21"/>
                <w:szCs w:val="21"/>
              </w:rPr>
              <w:t>0.0539</w:t>
            </w:r>
          </w:p>
        </w:tc>
        <w:tc>
          <w:tcPr>
            <w:tcW w:w="1009" w:type="dxa"/>
            <w:shd w:val="clear" w:color="auto" w:fill="auto"/>
            <w:noWrap/>
            <w:vAlign w:val="center"/>
          </w:tcPr>
          <w:p w14:paraId="7B1C0E45">
            <w:pPr>
              <w:widowControl/>
              <w:jc w:val="center"/>
              <w:rPr>
                <w:rFonts w:ascii="Times New Roman" w:eastAsia="仿宋"/>
                <w:sz w:val="21"/>
                <w:szCs w:val="21"/>
              </w:rPr>
            </w:pPr>
            <w:r>
              <w:rPr>
                <w:rFonts w:ascii="Times New Roman" w:eastAsia="仿宋"/>
                <w:sz w:val="21"/>
                <w:szCs w:val="21"/>
              </w:rPr>
              <w:t>0.71%</w:t>
            </w:r>
          </w:p>
        </w:tc>
      </w:tr>
      <w:tr w14:paraId="4DC2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9C37202">
            <w:pPr>
              <w:widowControl/>
              <w:jc w:val="center"/>
              <w:rPr>
                <w:rFonts w:ascii="Times New Roman" w:eastAsia="仿宋"/>
                <w:sz w:val="21"/>
                <w:szCs w:val="21"/>
              </w:rPr>
            </w:pPr>
            <w:r>
              <w:rPr>
                <w:rFonts w:ascii="Times New Roman" w:eastAsia="仿宋"/>
                <w:sz w:val="21"/>
                <w:szCs w:val="21"/>
              </w:rPr>
              <w:t>7</w:t>
            </w:r>
          </w:p>
        </w:tc>
        <w:tc>
          <w:tcPr>
            <w:tcW w:w="2105" w:type="dxa"/>
            <w:shd w:val="clear" w:color="auto" w:fill="auto"/>
            <w:noWrap/>
            <w:vAlign w:val="center"/>
          </w:tcPr>
          <w:p w14:paraId="009D4936">
            <w:pPr>
              <w:widowControl/>
              <w:jc w:val="center"/>
              <w:rPr>
                <w:rFonts w:ascii="Times New Roman" w:eastAsia="仿宋"/>
                <w:sz w:val="21"/>
                <w:szCs w:val="21"/>
              </w:rPr>
            </w:pPr>
            <w:r>
              <w:rPr>
                <w:rFonts w:ascii="Times New Roman" w:eastAsia="仿宋"/>
                <w:sz w:val="21"/>
                <w:szCs w:val="21"/>
              </w:rPr>
              <w:t>江苏远能电力设备有限公司</w:t>
            </w:r>
          </w:p>
        </w:tc>
        <w:tc>
          <w:tcPr>
            <w:tcW w:w="1206" w:type="dxa"/>
            <w:shd w:val="clear" w:color="auto" w:fill="auto"/>
            <w:noWrap/>
            <w:vAlign w:val="center"/>
          </w:tcPr>
          <w:p w14:paraId="71C3FA00">
            <w:pPr>
              <w:widowControl/>
              <w:jc w:val="center"/>
              <w:rPr>
                <w:rFonts w:ascii="Times New Roman" w:eastAsia="仿宋"/>
                <w:sz w:val="21"/>
                <w:szCs w:val="21"/>
              </w:rPr>
            </w:pPr>
            <w:r>
              <w:rPr>
                <w:rFonts w:ascii="Times New Roman" w:eastAsia="仿宋"/>
                <w:sz w:val="21"/>
                <w:szCs w:val="21"/>
              </w:rPr>
              <w:t>0.0060</w:t>
            </w:r>
          </w:p>
        </w:tc>
        <w:tc>
          <w:tcPr>
            <w:tcW w:w="1206" w:type="dxa"/>
            <w:shd w:val="clear" w:color="auto" w:fill="auto"/>
            <w:noWrap/>
            <w:vAlign w:val="center"/>
          </w:tcPr>
          <w:p w14:paraId="05DA15A3">
            <w:pPr>
              <w:widowControl/>
              <w:jc w:val="center"/>
              <w:rPr>
                <w:rFonts w:ascii="Times New Roman" w:eastAsia="仿宋"/>
                <w:sz w:val="21"/>
                <w:szCs w:val="21"/>
              </w:rPr>
            </w:pPr>
            <w:r>
              <w:rPr>
                <w:rFonts w:ascii="Times New Roman" w:eastAsia="仿宋"/>
                <w:sz w:val="21"/>
                <w:szCs w:val="21"/>
              </w:rPr>
              <w:t>0.0093</w:t>
            </w:r>
          </w:p>
        </w:tc>
        <w:tc>
          <w:tcPr>
            <w:tcW w:w="1206" w:type="dxa"/>
            <w:shd w:val="clear" w:color="auto" w:fill="auto"/>
            <w:noWrap/>
            <w:vAlign w:val="center"/>
          </w:tcPr>
          <w:p w14:paraId="64F60E36">
            <w:pPr>
              <w:widowControl/>
              <w:jc w:val="center"/>
              <w:rPr>
                <w:rFonts w:ascii="Times New Roman" w:eastAsia="仿宋"/>
                <w:sz w:val="21"/>
                <w:szCs w:val="21"/>
              </w:rPr>
            </w:pPr>
            <w:r>
              <w:rPr>
                <w:rFonts w:ascii="Times New Roman" w:eastAsia="仿宋"/>
                <w:sz w:val="21"/>
                <w:szCs w:val="21"/>
              </w:rPr>
              <w:t>0.0047</w:t>
            </w:r>
          </w:p>
        </w:tc>
        <w:tc>
          <w:tcPr>
            <w:tcW w:w="1206" w:type="dxa"/>
            <w:shd w:val="clear" w:color="auto" w:fill="auto"/>
            <w:noWrap/>
            <w:vAlign w:val="center"/>
          </w:tcPr>
          <w:p w14:paraId="4EB9145C">
            <w:pPr>
              <w:widowControl/>
              <w:jc w:val="center"/>
              <w:rPr>
                <w:rFonts w:ascii="Times New Roman" w:eastAsia="仿宋"/>
                <w:sz w:val="21"/>
                <w:szCs w:val="21"/>
              </w:rPr>
            </w:pPr>
            <w:r>
              <w:rPr>
                <w:rFonts w:ascii="Times New Roman" w:eastAsia="仿宋"/>
                <w:sz w:val="21"/>
                <w:szCs w:val="21"/>
              </w:rPr>
              <w:t>0.0200</w:t>
            </w:r>
          </w:p>
        </w:tc>
        <w:tc>
          <w:tcPr>
            <w:tcW w:w="1009" w:type="dxa"/>
            <w:shd w:val="clear" w:color="auto" w:fill="auto"/>
            <w:noWrap/>
            <w:vAlign w:val="center"/>
          </w:tcPr>
          <w:p w14:paraId="2107453A">
            <w:pPr>
              <w:widowControl/>
              <w:jc w:val="center"/>
              <w:rPr>
                <w:rFonts w:ascii="Times New Roman" w:eastAsia="仿宋"/>
                <w:sz w:val="21"/>
                <w:szCs w:val="21"/>
              </w:rPr>
            </w:pPr>
            <w:r>
              <w:rPr>
                <w:rFonts w:ascii="Times New Roman" w:eastAsia="仿宋"/>
                <w:sz w:val="21"/>
                <w:szCs w:val="21"/>
              </w:rPr>
              <w:t>0.26%</w:t>
            </w:r>
          </w:p>
        </w:tc>
      </w:tr>
      <w:tr w14:paraId="5AAC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1D820F7D">
            <w:pPr>
              <w:widowControl/>
              <w:jc w:val="center"/>
              <w:rPr>
                <w:rFonts w:ascii="Times New Roman" w:eastAsia="仿宋"/>
                <w:sz w:val="21"/>
                <w:szCs w:val="21"/>
              </w:rPr>
            </w:pPr>
            <w:r>
              <w:rPr>
                <w:rFonts w:ascii="Times New Roman" w:eastAsia="仿宋"/>
                <w:sz w:val="21"/>
                <w:szCs w:val="21"/>
              </w:rPr>
              <w:t>8</w:t>
            </w:r>
          </w:p>
        </w:tc>
        <w:tc>
          <w:tcPr>
            <w:tcW w:w="2105" w:type="dxa"/>
            <w:shd w:val="clear" w:color="auto" w:fill="auto"/>
            <w:noWrap/>
            <w:vAlign w:val="center"/>
          </w:tcPr>
          <w:p w14:paraId="71B39040">
            <w:pPr>
              <w:widowControl/>
              <w:jc w:val="center"/>
              <w:rPr>
                <w:rFonts w:ascii="Times New Roman" w:eastAsia="仿宋"/>
                <w:sz w:val="21"/>
                <w:szCs w:val="21"/>
              </w:rPr>
            </w:pPr>
            <w:r>
              <w:rPr>
                <w:rFonts w:ascii="Times New Roman" w:eastAsia="仿宋"/>
                <w:sz w:val="21"/>
                <w:szCs w:val="21"/>
              </w:rPr>
              <w:t>常州市和顺玻璃制品有限公司</w:t>
            </w:r>
          </w:p>
        </w:tc>
        <w:tc>
          <w:tcPr>
            <w:tcW w:w="1206" w:type="dxa"/>
            <w:shd w:val="clear" w:color="auto" w:fill="auto"/>
            <w:noWrap/>
            <w:vAlign w:val="center"/>
          </w:tcPr>
          <w:p w14:paraId="6183307D">
            <w:pPr>
              <w:widowControl/>
              <w:jc w:val="center"/>
              <w:rPr>
                <w:rFonts w:ascii="Times New Roman" w:eastAsia="仿宋"/>
                <w:sz w:val="21"/>
                <w:szCs w:val="21"/>
              </w:rPr>
            </w:pPr>
            <w:r>
              <w:rPr>
                <w:rFonts w:ascii="Times New Roman" w:eastAsia="仿宋"/>
                <w:sz w:val="21"/>
                <w:szCs w:val="21"/>
              </w:rPr>
              <w:t>0.0230</w:t>
            </w:r>
          </w:p>
        </w:tc>
        <w:tc>
          <w:tcPr>
            <w:tcW w:w="1206" w:type="dxa"/>
            <w:shd w:val="clear" w:color="auto" w:fill="auto"/>
            <w:noWrap/>
            <w:vAlign w:val="center"/>
          </w:tcPr>
          <w:p w14:paraId="153C7F61">
            <w:pPr>
              <w:widowControl/>
              <w:jc w:val="center"/>
              <w:rPr>
                <w:rFonts w:ascii="Times New Roman" w:eastAsia="仿宋"/>
                <w:sz w:val="21"/>
                <w:szCs w:val="21"/>
              </w:rPr>
            </w:pPr>
            <w:r>
              <w:rPr>
                <w:rFonts w:ascii="Times New Roman" w:eastAsia="仿宋"/>
                <w:sz w:val="21"/>
                <w:szCs w:val="21"/>
              </w:rPr>
              <w:t>0.0287</w:t>
            </w:r>
          </w:p>
        </w:tc>
        <w:tc>
          <w:tcPr>
            <w:tcW w:w="1206" w:type="dxa"/>
            <w:shd w:val="clear" w:color="auto" w:fill="auto"/>
            <w:noWrap/>
            <w:vAlign w:val="center"/>
          </w:tcPr>
          <w:p w14:paraId="200038CD">
            <w:pPr>
              <w:widowControl/>
              <w:jc w:val="center"/>
              <w:rPr>
                <w:rFonts w:ascii="Times New Roman" w:eastAsia="仿宋"/>
                <w:sz w:val="21"/>
                <w:szCs w:val="21"/>
              </w:rPr>
            </w:pPr>
            <w:r>
              <w:rPr>
                <w:rFonts w:ascii="Times New Roman" w:eastAsia="仿宋"/>
                <w:sz w:val="21"/>
                <w:szCs w:val="21"/>
              </w:rPr>
              <w:t>0.0167</w:t>
            </w:r>
          </w:p>
        </w:tc>
        <w:tc>
          <w:tcPr>
            <w:tcW w:w="1206" w:type="dxa"/>
            <w:shd w:val="clear" w:color="auto" w:fill="auto"/>
            <w:noWrap/>
            <w:vAlign w:val="center"/>
          </w:tcPr>
          <w:p w14:paraId="6CDB148E">
            <w:pPr>
              <w:widowControl/>
              <w:jc w:val="center"/>
              <w:rPr>
                <w:rFonts w:ascii="Times New Roman" w:eastAsia="仿宋"/>
                <w:sz w:val="21"/>
                <w:szCs w:val="21"/>
              </w:rPr>
            </w:pPr>
            <w:r>
              <w:rPr>
                <w:rFonts w:ascii="Times New Roman" w:eastAsia="仿宋"/>
                <w:sz w:val="21"/>
                <w:szCs w:val="21"/>
              </w:rPr>
              <w:t>0.0684</w:t>
            </w:r>
          </w:p>
        </w:tc>
        <w:tc>
          <w:tcPr>
            <w:tcW w:w="1009" w:type="dxa"/>
            <w:shd w:val="clear" w:color="auto" w:fill="auto"/>
            <w:noWrap/>
            <w:vAlign w:val="center"/>
          </w:tcPr>
          <w:p w14:paraId="62F7A21C">
            <w:pPr>
              <w:widowControl/>
              <w:jc w:val="center"/>
              <w:rPr>
                <w:rFonts w:ascii="Times New Roman" w:eastAsia="仿宋"/>
                <w:sz w:val="21"/>
                <w:szCs w:val="21"/>
              </w:rPr>
            </w:pPr>
            <w:r>
              <w:rPr>
                <w:rFonts w:ascii="Times New Roman" w:eastAsia="仿宋"/>
                <w:sz w:val="21"/>
                <w:szCs w:val="21"/>
              </w:rPr>
              <w:t>0.89%</w:t>
            </w:r>
          </w:p>
        </w:tc>
      </w:tr>
      <w:tr w14:paraId="7874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79A95007">
            <w:pPr>
              <w:widowControl/>
              <w:jc w:val="center"/>
              <w:rPr>
                <w:rFonts w:ascii="Times New Roman" w:eastAsia="仿宋"/>
                <w:sz w:val="21"/>
                <w:szCs w:val="21"/>
              </w:rPr>
            </w:pPr>
            <w:r>
              <w:rPr>
                <w:rFonts w:ascii="Times New Roman" w:eastAsia="仿宋"/>
                <w:sz w:val="21"/>
                <w:szCs w:val="21"/>
              </w:rPr>
              <w:t>9</w:t>
            </w:r>
          </w:p>
        </w:tc>
        <w:tc>
          <w:tcPr>
            <w:tcW w:w="2105" w:type="dxa"/>
            <w:shd w:val="clear" w:color="auto" w:fill="auto"/>
            <w:noWrap/>
            <w:vAlign w:val="center"/>
          </w:tcPr>
          <w:p w14:paraId="0BE465FE">
            <w:pPr>
              <w:widowControl/>
              <w:jc w:val="center"/>
              <w:rPr>
                <w:rFonts w:ascii="Times New Roman" w:eastAsia="仿宋"/>
                <w:sz w:val="21"/>
                <w:szCs w:val="21"/>
              </w:rPr>
            </w:pPr>
            <w:r>
              <w:rPr>
                <w:rFonts w:ascii="Times New Roman" w:eastAsia="仿宋"/>
                <w:sz w:val="21"/>
                <w:szCs w:val="21"/>
              </w:rPr>
              <w:t>常州瑞峰新能源有限公司</w:t>
            </w:r>
          </w:p>
        </w:tc>
        <w:tc>
          <w:tcPr>
            <w:tcW w:w="1206" w:type="dxa"/>
            <w:shd w:val="clear" w:color="auto" w:fill="auto"/>
            <w:noWrap/>
            <w:vAlign w:val="center"/>
          </w:tcPr>
          <w:p w14:paraId="587D620E">
            <w:pPr>
              <w:widowControl/>
              <w:jc w:val="center"/>
              <w:rPr>
                <w:rFonts w:ascii="Times New Roman" w:eastAsia="仿宋"/>
                <w:sz w:val="21"/>
                <w:szCs w:val="21"/>
              </w:rPr>
            </w:pPr>
            <w:r>
              <w:rPr>
                <w:rFonts w:ascii="Times New Roman" w:eastAsia="仿宋"/>
                <w:sz w:val="21"/>
                <w:szCs w:val="21"/>
              </w:rPr>
              <w:t>0.0320</w:t>
            </w:r>
          </w:p>
        </w:tc>
        <w:tc>
          <w:tcPr>
            <w:tcW w:w="1206" w:type="dxa"/>
            <w:shd w:val="clear" w:color="auto" w:fill="auto"/>
            <w:noWrap/>
            <w:vAlign w:val="center"/>
          </w:tcPr>
          <w:p w14:paraId="6FD7373F">
            <w:pPr>
              <w:widowControl/>
              <w:jc w:val="center"/>
              <w:rPr>
                <w:rFonts w:ascii="Times New Roman" w:eastAsia="仿宋"/>
                <w:sz w:val="21"/>
                <w:szCs w:val="21"/>
              </w:rPr>
            </w:pPr>
            <w:r>
              <w:rPr>
                <w:rFonts w:ascii="Times New Roman" w:eastAsia="仿宋"/>
                <w:sz w:val="21"/>
                <w:szCs w:val="21"/>
              </w:rPr>
              <w:t>0.0400</w:t>
            </w:r>
          </w:p>
        </w:tc>
        <w:tc>
          <w:tcPr>
            <w:tcW w:w="1206" w:type="dxa"/>
            <w:shd w:val="clear" w:color="auto" w:fill="auto"/>
            <w:noWrap/>
            <w:vAlign w:val="center"/>
          </w:tcPr>
          <w:p w14:paraId="4E9F3889">
            <w:pPr>
              <w:widowControl/>
              <w:jc w:val="center"/>
              <w:rPr>
                <w:rFonts w:ascii="Times New Roman" w:eastAsia="仿宋"/>
                <w:sz w:val="21"/>
                <w:szCs w:val="21"/>
              </w:rPr>
            </w:pPr>
            <w:r>
              <w:rPr>
                <w:rFonts w:ascii="Times New Roman" w:eastAsia="仿宋"/>
                <w:sz w:val="21"/>
                <w:szCs w:val="21"/>
              </w:rPr>
              <w:t>0.0400</w:t>
            </w:r>
          </w:p>
        </w:tc>
        <w:tc>
          <w:tcPr>
            <w:tcW w:w="1206" w:type="dxa"/>
            <w:shd w:val="clear" w:color="auto" w:fill="auto"/>
            <w:noWrap/>
            <w:vAlign w:val="center"/>
          </w:tcPr>
          <w:p w14:paraId="4F47E794">
            <w:pPr>
              <w:widowControl/>
              <w:jc w:val="center"/>
              <w:rPr>
                <w:rFonts w:ascii="Times New Roman" w:eastAsia="仿宋"/>
                <w:sz w:val="21"/>
                <w:szCs w:val="21"/>
              </w:rPr>
            </w:pPr>
            <w:r>
              <w:rPr>
                <w:rFonts w:ascii="Times New Roman" w:eastAsia="仿宋"/>
                <w:sz w:val="21"/>
                <w:szCs w:val="21"/>
              </w:rPr>
              <w:t>0.1120</w:t>
            </w:r>
          </w:p>
        </w:tc>
        <w:tc>
          <w:tcPr>
            <w:tcW w:w="1009" w:type="dxa"/>
            <w:shd w:val="clear" w:color="auto" w:fill="auto"/>
            <w:noWrap/>
            <w:vAlign w:val="center"/>
          </w:tcPr>
          <w:p w14:paraId="69833AFE">
            <w:pPr>
              <w:widowControl/>
              <w:jc w:val="center"/>
              <w:rPr>
                <w:rFonts w:ascii="Times New Roman" w:eastAsia="仿宋"/>
                <w:sz w:val="21"/>
                <w:szCs w:val="21"/>
              </w:rPr>
            </w:pPr>
            <w:r>
              <w:rPr>
                <w:rFonts w:ascii="Times New Roman" w:eastAsia="仿宋"/>
                <w:sz w:val="21"/>
                <w:szCs w:val="21"/>
              </w:rPr>
              <w:t>1.47%</w:t>
            </w:r>
          </w:p>
        </w:tc>
      </w:tr>
      <w:tr w14:paraId="316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4510EE6">
            <w:pPr>
              <w:widowControl/>
              <w:jc w:val="center"/>
              <w:rPr>
                <w:rFonts w:ascii="Times New Roman" w:eastAsia="仿宋"/>
                <w:sz w:val="21"/>
                <w:szCs w:val="21"/>
              </w:rPr>
            </w:pPr>
            <w:r>
              <w:rPr>
                <w:rFonts w:ascii="Times New Roman" w:eastAsia="仿宋"/>
                <w:sz w:val="21"/>
                <w:szCs w:val="21"/>
              </w:rPr>
              <w:t>10</w:t>
            </w:r>
          </w:p>
        </w:tc>
        <w:tc>
          <w:tcPr>
            <w:tcW w:w="2105" w:type="dxa"/>
            <w:shd w:val="clear" w:color="auto" w:fill="auto"/>
            <w:noWrap/>
            <w:vAlign w:val="center"/>
          </w:tcPr>
          <w:p w14:paraId="18F505DC">
            <w:pPr>
              <w:widowControl/>
              <w:jc w:val="center"/>
              <w:rPr>
                <w:rFonts w:ascii="Times New Roman" w:eastAsia="仿宋"/>
                <w:sz w:val="21"/>
                <w:szCs w:val="21"/>
              </w:rPr>
            </w:pPr>
            <w:r>
              <w:rPr>
                <w:rFonts w:ascii="Times New Roman" w:eastAsia="仿宋"/>
                <w:sz w:val="21"/>
                <w:szCs w:val="21"/>
              </w:rPr>
              <w:t>江苏博海橡塑科技有限公司</w:t>
            </w:r>
          </w:p>
        </w:tc>
        <w:tc>
          <w:tcPr>
            <w:tcW w:w="1206" w:type="dxa"/>
            <w:shd w:val="clear" w:color="auto" w:fill="auto"/>
            <w:noWrap/>
            <w:vAlign w:val="center"/>
          </w:tcPr>
          <w:p w14:paraId="5D83A479">
            <w:pPr>
              <w:widowControl/>
              <w:jc w:val="center"/>
              <w:rPr>
                <w:rFonts w:ascii="Times New Roman" w:eastAsia="仿宋"/>
                <w:sz w:val="21"/>
                <w:szCs w:val="21"/>
              </w:rPr>
            </w:pPr>
            <w:r>
              <w:rPr>
                <w:rFonts w:ascii="Times New Roman" w:eastAsia="仿宋"/>
                <w:sz w:val="21"/>
                <w:szCs w:val="21"/>
              </w:rPr>
              <w:t>0.0085</w:t>
            </w:r>
          </w:p>
        </w:tc>
        <w:tc>
          <w:tcPr>
            <w:tcW w:w="1206" w:type="dxa"/>
            <w:shd w:val="clear" w:color="auto" w:fill="auto"/>
            <w:noWrap/>
            <w:vAlign w:val="center"/>
          </w:tcPr>
          <w:p w14:paraId="701194E1">
            <w:pPr>
              <w:widowControl/>
              <w:jc w:val="center"/>
              <w:rPr>
                <w:rFonts w:ascii="Times New Roman" w:eastAsia="仿宋"/>
                <w:sz w:val="21"/>
                <w:szCs w:val="21"/>
              </w:rPr>
            </w:pPr>
            <w:r>
              <w:rPr>
                <w:rFonts w:ascii="Times New Roman" w:eastAsia="仿宋"/>
                <w:sz w:val="21"/>
                <w:szCs w:val="21"/>
              </w:rPr>
              <w:t>0.0173</w:t>
            </w:r>
          </w:p>
        </w:tc>
        <w:tc>
          <w:tcPr>
            <w:tcW w:w="1206" w:type="dxa"/>
            <w:shd w:val="clear" w:color="auto" w:fill="auto"/>
            <w:noWrap/>
            <w:vAlign w:val="center"/>
          </w:tcPr>
          <w:p w14:paraId="26E278D3">
            <w:pPr>
              <w:widowControl/>
              <w:jc w:val="center"/>
              <w:rPr>
                <w:rFonts w:ascii="Times New Roman" w:eastAsia="仿宋"/>
                <w:sz w:val="21"/>
                <w:szCs w:val="21"/>
              </w:rPr>
            </w:pPr>
            <w:r>
              <w:rPr>
                <w:rFonts w:ascii="Times New Roman" w:eastAsia="仿宋"/>
                <w:sz w:val="21"/>
                <w:szCs w:val="21"/>
              </w:rPr>
              <w:t>0.0033</w:t>
            </w:r>
          </w:p>
        </w:tc>
        <w:tc>
          <w:tcPr>
            <w:tcW w:w="1206" w:type="dxa"/>
            <w:shd w:val="clear" w:color="auto" w:fill="auto"/>
            <w:noWrap/>
            <w:vAlign w:val="center"/>
          </w:tcPr>
          <w:p w14:paraId="5FBCAA99">
            <w:pPr>
              <w:widowControl/>
              <w:jc w:val="center"/>
              <w:rPr>
                <w:rFonts w:ascii="Times New Roman" w:eastAsia="仿宋"/>
                <w:sz w:val="21"/>
                <w:szCs w:val="21"/>
              </w:rPr>
            </w:pPr>
            <w:r>
              <w:rPr>
                <w:rFonts w:ascii="Times New Roman" w:eastAsia="仿宋"/>
                <w:sz w:val="21"/>
                <w:szCs w:val="21"/>
              </w:rPr>
              <w:t>0.0292</w:t>
            </w:r>
          </w:p>
        </w:tc>
        <w:tc>
          <w:tcPr>
            <w:tcW w:w="1009" w:type="dxa"/>
            <w:shd w:val="clear" w:color="auto" w:fill="auto"/>
            <w:noWrap/>
            <w:vAlign w:val="center"/>
          </w:tcPr>
          <w:p w14:paraId="75EC6BD3">
            <w:pPr>
              <w:widowControl/>
              <w:jc w:val="center"/>
              <w:rPr>
                <w:rFonts w:ascii="Times New Roman" w:eastAsia="仿宋"/>
                <w:sz w:val="21"/>
                <w:szCs w:val="21"/>
              </w:rPr>
            </w:pPr>
            <w:r>
              <w:rPr>
                <w:rFonts w:ascii="Times New Roman" w:eastAsia="仿宋"/>
                <w:sz w:val="21"/>
                <w:szCs w:val="21"/>
              </w:rPr>
              <w:t>0.38%</w:t>
            </w:r>
          </w:p>
        </w:tc>
      </w:tr>
      <w:tr w14:paraId="7690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B957AD3">
            <w:pPr>
              <w:widowControl/>
              <w:jc w:val="center"/>
              <w:rPr>
                <w:rFonts w:ascii="Times New Roman" w:eastAsia="仿宋"/>
                <w:sz w:val="21"/>
                <w:szCs w:val="21"/>
              </w:rPr>
            </w:pPr>
            <w:r>
              <w:rPr>
                <w:rFonts w:ascii="Times New Roman" w:eastAsia="仿宋"/>
                <w:sz w:val="21"/>
                <w:szCs w:val="21"/>
              </w:rPr>
              <w:t>11</w:t>
            </w:r>
          </w:p>
        </w:tc>
        <w:tc>
          <w:tcPr>
            <w:tcW w:w="2105" w:type="dxa"/>
            <w:shd w:val="clear" w:color="auto" w:fill="auto"/>
            <w:noWrap/>
            <w:vAlign w:val="center"/>
          </w:tcPr>
          <w:p w14:paraId="21C06346">
            <w:pPr>
              <w:widowControl/>
              <w:jc w:val="center"/>
              <w:rPr>
                <w:rFonts w:ascii="Times New Roman" w:eastAsia="仿宋"/>
                <w:sz w:val="21"/>
                <w:szCs w:val="21"/>
              </w:rPr>
            </w:pPr>
            <w:r>
              <w:rPr>
                <w:rFonts w:ascii="Times New Roman" w:eastAsia="仿宋"/>
                <w:sz w:val="21"/>
                <w:szCs w:val="21"/>
              </w:rPr>
              <w:t>江苏亮舟防爆电气有限公司</w:t>
            </w:r>
          </w:p>
        </w:tc>
        <w:tc>
          <w:tcPr>
            <w:tcW w:w="1206" w:type="dxa"/>
            <w:shd w:val="clear" w:color="auto" w:fill="auto"/>
            <w:noWrap/>
            <w:vAlign w:val="center"/>
          </w:tcPr>
          <w:p w14:paraId="1B112BB1">
            <w:pPr>
              <w:widowControl/>
              <w:jc w:val="center"/>
              <w:rPr>
                <w:rFonts w:ascii="Times New Roman" w:eastAsia="仿宋"/>
                <w:sz w:val="21"/>
                <w:szCs w:val="21"/>
              </w:rPr>
            </w:pPr>
            <w:r>
              <w:rPr>
                <w:rFonts w:ascii="Times New Roman" w:eastAsia="仿宋"/>
                <w:sz w:val="21"/>
                <w:szCs w:val="21"/>
              </w:rPr>
              <w:t>0.0252</w:t>
            </w:r>
          </w:p>
        </w:tc>
        <w:tc>
          <w:tcPr>
            <w:tcW w:w="1206" w:type="dxa"/>
            <w:shd w:val="clear" w:color="auto" w:fill="auto"/>
            <w:noWrap/>
            <w:vAlign w:val="center"/>
          </w:tcPr>
          <w:p w14:paraId="36FD0DAA">
            <w:pPr>
              <w:widowControl/>
              <w:jc w:val="center"/>
              <w:rPr>
                <w:rFonts w:ascii="Times New Roman" w:eastAsia="仿宋"/>
                <w:sz w:val="21"/>
                <w:szCs w:val="21"/>
              </w:rPr>
            </w:pPr>
            <w:r>
              <w:rPr>
                <w:rFonts w:ascii="Times New Roman" w:eastAsia="仿宋"/>
                <w:sz w:val="21"/>
                <w:szCs w:val="21"/>
              </w:rPr>
              <w:t>0.0407</w:t>
            </w:r>
          </w:p>
        </w:tc>
        <w:tc>
          <w:tcPr>
            <w:tcW w:w="1206" w:type="dxa"/>
            <w:shd w:val="clear" w:color="auto" w:fill="auto"/>
            <w:noWrap/>
            <w:vAlign w:val="center"/>
          </w:tcPr>
          <w:p w14:paraId="09DC8AE6">
            <w:pPr>
              <w:widowControl/>
              <w:jc w:val="center"/>
              <w:rPr>
                <w:rFonts w:ascii="Times New Roman" w:eastAsia="仿宋"/>
                <w:sz w:val="21"/>
                <w:szCs w:val="21"/>
              </w:rPr>
            </w:pPr>
            <w:r>
              <w:rPr>
                <w:rFonts w:ascii="Times New Roman" w:eastAsia="仿宋"/>
                <w:sz w:val="21"/>
                <w:szCs w:val="21"/>
              </w:rPr>
              <w:t>0.0233</w:t>
            </w:r>
          </w:p>
        </w:tc>
        <w:tc>
          <w:tcPr>
            <w:tcW w:w="1206" w:type="dxa"/>
            <w:shd w:val="clear" w:color="auto" w:fill="auto"/>
            <w:noWrap/>
            <w:vAlign w:val="center"/>
          </w:tcPr>
          <w:p w14:paraId="1A99F4F5">
            <w:pPr>
              <w:widowControl/>
              <w:jc w:val="center"/>
              <w:rPr>
                <w:rFonts w:ascii="Times New Roman" w:eastAsia="仿宋"/>
                <w:sz w:val="21"/>
                <w:szCs w:val="21"/>
              </w:rPr>
            </w:pPr>
            <w:r>
              <w:rPr>
                <w:rFonts w:ascii="Times New Roman" w:eastAsia="仿宋"/>
                <w:sz w:val="21"/>
                <w:szCs w:val="21"/>
              </w:rPr>
              <w:t>0.0892</w:t>
            </w:r>
          </w:p>
        </w:tc>
        <w:tc>
          <w:tcPr>
            <w:tcW w:w="1009" w:type="dxa"/>
            <w:shd w:val="clear" w:color="auto" w:fill="auto"/>
            <w:noWrap/>
            <w:vAlign w:val="center"/>
          </w:tcPr>
          <w:p w14:paraId="643FB643">
            <w:pPr>
              <w:widowControl/>
              <w:jc w:val="center"/>
              <w:rPr>
                <w:rFonts w:ascii="Times New Roman" w:eastAsia="仿宋"/>
                <w:sz w:val="21"/>
                <w:szCs w:val="21"/>
              </w:rPr>
            </w:pPr>
            <w:r>
              <w:rPr>
                <w:rFonts w:ascii="Times New Roman" w:eastAsia="仿宋"/>
                <w:sz w:val="21"/>
                <w:szCs w:val="21"/>
              </w:rPr>
              <w:t>1.17%</w:t>
            </w:r>
          </w:p>
        </w:tc>
      </w:tr>
      <w:tr w14:paraId="01F7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2C5040C4">
            <w:pPr>
              <w:widowControl/>
              <w:jc w:val="center"/>
              <w:rPr>
                <w:rFonts w:ascii="Times New Roman" w:eastAsia="仿宋"/>
                <w:sz w:val="21"/>
                <w:szCs w:val="21"/>
              </w:rPr>
            </w:pPr>
            <w:r>
              <w:rPr>
                <w:rFonts w:ascii="Times New Roman" w:eastAsia="仿宋"/>
                <w:sz w:val="21"/>
                <w:szCs w:val="21"/>
              </w:rPr>
              <w:t>12</w:t>
            </w:r>
          </w:p>
        </w:tc>
        <w:tc>
          <w:tcPr>
            <w:tcW w:w="2105" w:type="dxa"/>
            <w:shd w:val="clear" w:color="auto" w:fill="auto"/>
            <w:noWrap/>
            <w:vAlign w:val="center"/>
          </w:tcPr>
          <w:p w14:paraId="20822FCE">
            <w:pPr>
              <w:widowControl/>
              <w:jc w:val="center"/>
              <w:rPr>
                <w:rFonts w:ascii="Times New Roman" w:eastAsia="仿宋"/>
                <w:sz w:val="21"/>
                <w:szCs w:val="21"/>
              </w:rPr>
            </w:pPr>
            <w:r>
              <w:rPr>
                <w:rFonts w:ascii="Times New Roman" w:eastAsia="仿宋"/>
                <w:sz w:val="21"/>
                <w:szCs w:val="21"/>
              </w:rPr>
              <w:t>常州市丛禾电梯配件有限公司</w:t>
            </w:r>
          </w:p>
        </w:tc>
        <w:tc>
          <w:tcPr>
            <w:tcW w:w="1206" w:type="dxa"/>
            <w:shd w:val="clear" w:color="auto" w:fill="auto"/>
            <w:noWrap/>
            <w:vAlign w:val="center"/>
          </w:tcPr>
          <w:p w14:paraId="17DBB842">
            <w:pPr>
              <w:widowControl/>
              <w:jc w:val="center"/>
              <w:rPr>
                <w:rFonts w:ascii="Times New Roman" w:eastAsia="仿宋"/>
                <w:sz w:val="21"/>
                <w:szCs w:val="21"/>
              </w:rPr>
            </w:pPr>
            <w:r>
              <w:rPr>
                <w:rFonts w:ascii="Times New Roman" w:eastAsia="仿宋"/>
                <w:sz w:val="21"/>
                <w:szCs w:val="21"/>
              </w:rPr>
              <w:t>0.0060</w:t>
            </w:r>
          </w:p>
        </w:tc>
        <w:tc>
          <w:tcPr>
            <w:tcW w:w="1206" w:type="dxa"/>
            <w:shd w:val="clear" w:color="auto" w:fill="auto"/>
            <w:noWrap/>
            <w:vAlign w:val="center"/>
          </w:tcPr>
          <w:p w14:paraId="1F80C44F">
            <w:pPr>
              <w:widowControl/>
              <w:jc w:val="center"/>
              <w:rPr>
                <w:rFonts w:ascii="Times New Roman" w:eastAsia="仿宋"/>
                <w:sz w:val="21"/>
                <w:szCs w:val="21"/>
              </w:rPr>
            </w:pPr>
            <w:r>
              <w:rPr>
                <w:rFonts w:ascii="Times New Roman" w:eastAsia="仿宋"/>
                <w:sz w:val="21"/>
                <w:szCs w:val="21"/>
              </w:rPr>
              <w:t>0.0120</w:t>
            </w:r>
          </w:p>
        </w:tc>
        <w:tc>
          <w:tcPr>
            <w:tcW w:w="1206" w:type="dxa"/>
            <w:shd w:val="clear" w:color="auto" w:fill="auto"/>
            <w:noWrap/>
            <w:vAlign w:val="center"/>
          </w:tcPr>
          <w:p w14:paraId="15CEABF2">
            <w:pPr>
              <w:widowControl/>
              <w:jc w:val="center"/>
              <w:rPr>
                <w:rFonts w:ascii="Times New Roman" w:eastAsia="仿宋"/>
                <w:sz w:val="21"/>
                <w:szCs w:val="21"/>
              </w:rPr>
            </w:pPr>
            <w:r>
              <w:rPr>
                <w:rFonts w:ascii="Times New Roman" w:eastAsia="仿宋"/>
                <w:sz w:val="21"/>
                <w:szCs w:val="21"/>
              </w:rPr>
              <w:t>0.0133</w:t>
            </w:r>
          </w:p>
        </w:tc>
        <w:tc>
          <w:tcPr>
            <w:tcW w:w="1206" w:type="dxa"/>
            <w:shd w:val="clear" w:color="auto" w:fill="auto"/>
            <w:noWrap/>
            <w:vAlign w:val="center"/>
          </w:tcPr>
          <w:p w14:paraId="1DDDBFAB">
            <w:pPr>
              <w:widowControl/>
              <w:jc w:val="center"/>
              <w:rPr>
                <w:rFonts w:ascii="Times New Roman" w:eastAsia="仿宋"/>
                <w:sz w:val="21"/>
                <w:szCs w:val="21"/>
              </w:rPr>
            </w:pPr>
            <w:r>
              <w:rPr>
                <w:rFonts w:ascii="Times New Roman" w:eastAsia="仿宋"/>
                <w:sz w:val="21"/>
                <w:szCs w:val="21"/>
              </w:rPr>
              <w:t>0.0313</w:t>
            </w:r>
          </w:p>
        </w:tc>
        <w:tc>
          <w:tcPr>
            <w:tcW w:w="1009" w:type="dxa"/>
            <w:shd w:val="clear" w:color="auto" w:fill="auto"/>
            <w:noWrap/>
            <w:vAlign w:val="center"/>
          </w:tcPr>
          <w:p w14:paraId="2D68DE06">
            <w:pPr>
              <w:widowControl/>
              <w:jc w:val="center"/>
              <w:rPr>
                <w:rFonts w:ascii="Times New Roman" w:eastAsia="仿宋"/>
                <w:sz w:val="21"/>
                <w:szCs w:val="21"/>
              </w:rPr>
            </w:pPr>
            <w:r>
              <w:rPr>
                <w:rFonts w:ascii="Times New Roman" w:eastAsia="仿宋"/>
                <w:sz w:val="21"/>
                <w:szCs w:val="21"/>
              </w:rPr>
              <w:t>0.41%</w:t>
            </w:r>
          </w:p>
        </w:tc>
      </w:tr>
      <w:tr w14:paraId="3187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67EC2FC1">
            <w:pPr>
              <w:widowControl/>
              <w:jc w:val="center"/>
              <w:rPr>
                <w:rFonts w:ascii="Times New Roman" w:eastAsia="仿宋"/>
                <w:sz w:val="21"/>
                <w:szCs w:val="21"/>
              </w:rPr>
            </w:pPr>
            <w:r>
              <w:rPr>
                <w:rFonts w:ascii="Times New Roman" w:eastAsia="仿宋"/>
                <w:sz w:val="21"/>
                <w:szCs w:val="21"/>
              </w:rPr>
              <w:t>13</w:t>
            </w:r>
          </w:p>
        </w:tc>
        <w:tc>
          <w:tcPr>
            <w:tcW w:w="2105" w:type="dxa"/>
            <w:shd w:val="clear" w:color="auto" w:fill="auto"/>
            <w:noWrap/>
            <w:vAlign w:val="center"/>
          </w:tcPr>
          <w:p w14:paraId="40FFA3D6">
            <w:pPr>
              <w:widowControl/>
              <w:jc w:val="center"/>
              <w:rPr>
                <w:rFonts w:ascii="Times New Roman" w:eastAsia="仿宋"/>
                <w:sz w:val="21"/>
                <w:szCs w:val="21"/>
              </w:rPr>
            </w:pPr>
            <w:r>
              <w:rPr>
                <w:rFonts w:ascii="Times New Roman" w:eastAsia="仿宋"/>
                <w:sz w:val="21"/>
                <w:szCs w:val="21"/>
              </w:rPr>
              <w:t>常州市米邦新材料有限公司</w:t>
            </w:r>
          </w:p>
        </w:tc>
        <w:tc>
          <w:tcPr>
            <w:tcW w:w="1206" w:type="dxa"/>
            <w:shd w:val="clear" w:color="auto" w:fill="auto"/>
            <w:noWrap/>
            <w:vAlign w:val="center"/>
          </w:tcPr>
          <w:p w14:paraId="327F5B78">
            <w:pPr>
              <w:widowControl/>
              <w:jc w:val="center"/>
              <w:rPr>
                <w:rFonts w:ascii="Times New Roman" w:eastAsia="仿宋"/>
                <w:sz w:val="21"/>
                <w:szCs w:val="21"/>
              </w:rPr>
            </w:pPr>
            <w:r>
              <w:rPr>
                <w:rFonts w:ascii="Times New Roman" w:eastAsia="仿宋"/>
                <w:sz w:val="21"/>
                <w:szCs w:val="21"/>
              </w:rPr>
              <w:t>0.0033</w:t>
            </w:r>
          </w:p>
        </w:tc>
        <w:tc>
          <w:tcPr>
            <w:tcW w:w="1206" w:type="dxa"/>
            <w:shd w:val="clear" w:color="auto" w:fill="auto"/>
            <w:noWrap/>
            <w:vAlign w:val="center"/>
          </w:tcPr>
          <w:p w14:paraId="133B2965">
            <w:pPr>
              <w:widowControl/>
              <w:jc w:val="center"/>
              <w:rPr>
                <w:rFonts w:ascii="Times New Roman" w:eastAsia="仿宋"/>
                <w:sz w:val="21"/>
                <w:szCs w:val="21"/>
              </w:rPr>
            </w:pPr>
            <w:r>
              <w:rPr>
                <w:rFonts w:ascii="Times New Roman" w:eastAsia="仿宋"/>
                <w:sz w:val="21"/>
                <w:szCs w:val="21"/>
              </w:rPr>
              <w:t>0.0047</w:t>
            </w:r>
          </w:p>
        </w:tc>
        <w:tc>
          <w:tcPr>
            <w:tcW w:w="1206" w:type="dxa"/>
            <w:shd w:val="clear" w:color="auto" w:fill="auto"/>
            <w:noWrap/>
            <w:vAlign w:val="center"/>
          </w:tcPr>
          <w:p w14:paraId="0BC2371C">
            <w:pPr>
              <w:widowControl/>
              <w:jc w:val="center"/>
              <w:rPr>
                <w:rFonts w:ascii="Times New Roman" w:eastAsia="仿宋"/>
                <w:sz w:val="21"/>
                <w:szCs w:val="21"/>
              </w:rPr>
            </w:pPr>
            <w:r>
              <w:rPr>
                <w:rFonts w:ascii="Times New Roman" w:eastAsia="仿宋"/>
                <w:sz w:val="21"/>
                <w:szCs w:val="21"/>
              </w:rPr>
              <w:t>0.0033</w:t>
            </w:r>
          </w:p>
        </w:tc>
        <w:tc>
          <w:tcPr>
            <w:tcW w:w="1206" w:type="dxa"/>
            <w:shd w:val="clear" w:color="auto" w:fill="auto"/>
            <w:noWrap/>
            <w:vAlign w:val="center"/>
          </w:tcPr>
          <w:p w14:paraId="06C0C9B4">
            <w:pPr>
              <w:widowControl/>
              <w:jc w:val="center"/>
              <w:rPr>
                <w:rFonts w:ascii="Times New Roman" w:eastAsia="仿宋"/>
                <w:sz w:val="21"/>
                <w:szCs w:val="21"/>
              </w:rPr>
            </w:pPr>
            <w:r>
              <w:rPr>
                <w:rFonts w:ascii="Times New Roman" w:eastAsia="仿宋"/>
                <w:sz w:val="21"/>
                <w:szCs w:val="21"/>
              </w:rPr>
              <w:t>0.0113</w:t>
            </w:r>
          </w:p>
        </w:tc>
        <w:tc>
          <w:tcPr>
            <w:tcW w:w="1009" w:type="dxa"/>
            <w:shd w:val="clear" w:color="auto" w:fill="auto"/>
            <w:noWrap/>
            <w:vAlign w:val="center"/>
          </w:tcPr>
          <w:p w14:paraId="56A0368E">
            <w:pPr>
              <w:widowControl/>
              <w:jc w:val="center"/>
              <w:rPr>
                <w:rFonts w:ascii="Times New Roman" w:eastAsia="仿宋"/>
                <w:sz w:val="21"/>
                <w:szCs w:val="21"/>
              </w:rPr>
            </w:pPr>
            <w:r>
              <w:rPr>
                <w:rFonts w:ascii="Times New Roman" w:eastAsia="仿宋"/>
                <w:sz w:val="21"/>
                <w:szCs w:val="21"/>
              </w:rPr>
              <w:t>0.15%</w:t>
            </w:r>
          </w:p>
        </w:tc>
      </w:tr>
      <w:tr w14:paraId="362D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1B736CCD">
            <w:pPr>
              <w:widowControl/>
              <w:jc w:val="center"/>
              <w:rPr>
                <w:rFonts w:ascii="Times New Roman" w:eastAsia="仿宋"/>
                <w:sz w:val="21"/>
                <w:szCs w:val="21"/>
              </w:rPr>
            </w:pPr>
            <w:r>
              <w:rPr>
                <w:rFonts w:ascii="Times New Roman" w:eastAsia="仿宋"/>
                <w:sz w:val="21"/>
                <w:szCs w:val="21"/>
              </w:rPr>
              <w:t>14</w:t>
            </w:r>
          </w:p>
        </w:tc>
        <w:tc>
          <w:tcPr>
            <w:tcW w:w="2105" w:type="dxa"/>
            <w:shd w:val="clear" w:color="auto" w:fill="auto"/>
            <w:noWrap/>
            <w:vAlign w:val="center"/>
          </w:tcPr>
          <w:p w14:paraId="50190C4B">
            <w:pPr>
              <w:widowControl/>
              <w:jc w:val="center"/>
              <w:rPr>
                <w:rFonts w:ascii="Times New Roman" w:eastAsia="仿宋"/>
                <w:sz w:val="21"/>
                <w:szCs w:val="21"/>
              </w:rPr>
            </w:pPr>
            <w:r>
              <w:rPr>
                <w:rFonts w:ascii="Times New Roman" w:eastAsia="仿宋"/>
                <w:sz w:val="21"/>
                <w:szCs w:val="21"/>
              </w:rPr>
              <w:t>江苏三德利食品有限公司</w:t>
            </w:r>
          </w:p>
        </w:tc>
        <w:tc>
          <w:tcPr>
            <w:tcW w:w="1206" w:type="dxa"/>
            <w:shd w:val="clear" w:color="auto" w:fill="auto"/>
            <w:noWrap/>
            <w:vAlign w:val="center"/>
          </w:tcPr>
          <w:p w14:paraId="22FB9AF1">
            <w:pPr>
              <w:widowControl/>
              <w:jc w:val="center"/>
              <w:rPr>
                <w:rFonts w:ascii="Times New Roman" w:eastAsia="仿宋"/>
                <w:sz w:val="21"/>
                <w:szCs w:val="21"/>
              </w:rPr>
            </w:pPr>
            <w:r>
              <w:rPr>
                <w:rFonts w:ascii="Times New Roman" w:eastAsia="仿宋"/>
                <w:sz w:val="21"/>
                <w:szCs w:val="21"/>
              </w:rPr>
              <w:t>0.0967</w:t>
            </w:r>
          </w:p>
        </w:tc>
        <w:tc>
          <w:tcPr>
            <w:tcW w:w="1206" w:type="dxa"/>
            <w:shd w:val="clear" w:color="auto" w:fill="auto"/>
            <w:noWrap/>
            <w:vAlign w:val="center"/>
          </w:tcPr>
          <w:p w14:paraId="7781FCFF">
            <w:pPr>
              <w:widowControl/>
              <w:jc w:val="center"/>
              <w:rPr>
                <w:rFonts w:ascii="Times New Roman" w:eastAsia="仿宋"/>
                <w:sz w:val="21"/>
                <w:szCs w:val="21"/>
              </w:rPr>
            </w:pPr>
            <w:r>
              <w:rPr>
                <w:rFonts w:ascii="Times New Roman" w:eastAsia="仿宋"/>
                <w:sz w:val="21"/>
                <w:szCs w:val="21"/>
              </w:rPr>
              <w:t>0.4133</w:t>
            </w:r>
          </w:p>
        </w:tc>
        <w:tc>
          <w:tcPr>
            <w:tcW w:w="1206" w:type="dxa"/>
            <w:shd w:val="clear" w:color="auto" w:fill="auto"/>
            <w:noWrap/>
            <w:vAlign w:val="center"/>
          </w:tcPr>
          <w:p w14:paraId="33C25329">
            <w:pPr>
              <w:widowControl/>
              <w:jc w:val="center"/>
              <w:rPr>
                <w:rFonts w:ascii="Times New Roman" w:eastAsia="仿宋"/>
                <w:sz w:val="21"/>
                <w:szCs w:val="21"/>
              </w:rPr>
            </w:pPr>
            <w:r>
              <w:rPr>
                <w:rFonts w:ascii="Times New Roman" w:eastAsia="仿宋"/>
                <w:sz w:val="21"/>
                <w:szCs w:val="21"/>
              </w:rPr>
              <w:t>0.0700</w:t>
            </w:r>
          </w:p>
        </w:tc>
        <w:tc>
          <w:tcPr>
            <w:tcW w:w="1206" w:type="dxa"/>
            <w:shd w:val="clear" w:color="auto" w:fill="auto"/>
            <w:noWrap/>
            <w:vAlign w:val="center"/>
          </w:tcPr>
          <w:p w14:paraId="25586621">
            <w:pPr>
              <w:widowControl/>
              <w:jc w:val="center"/>
              <w:rPr>
                <w:rFonts w:ascii="Times New Roman" w:eastAsia="仿宋"/>
                <w:sz w:val="21"/>
                <w:szCs w:val="21"/>
              </w:rPr>
            </w:pPr>
            <w:r>
              <w:rPr>
                <w:rFonts w:ascii="Times New Roman" w:eastAsia="仿宋"/>
                <w:sz w:val="21"/>
                <w:szCs w:val="21"/>
              </w:rPr>
              <w:t>0.5800</w:t>
            </w:r>
          </w:p>
        </w:tc>
        <w:tc>
          <w:tcPr>
            <w:tcW w:w="1009" w:type="dxa"/>
            <w:shd w:val="clear" w:color="auto" w:fill="auto"/>
            <w:noWrap/>
            <w:vAlign w:val="center"/>
          </w:tcPr>
          <w:p w14:paraId="27E5B327">
            <w:pPr>
              <w:widowControl/>
              <w:jc w:val="center"/>
              <w:rPr>
                <w:rFonts w:ascii="Times New Roman" w:eastAsia="仿宋"/>
                <w:sz w:val="21"/>
                <w:szCs w:val="21"/>
              </w:rPr>
            </w:pPr>
            <w:r>
              <w:rPr>
                <w:rFonts w:ascii="Times New Roman" w:eastAsia="仿宋"/>
                <w:sz w:val="21"/>
                <w:szCs w:val="21"/>
              </w:rPr>
              <w:t>7.59%</w:t>
            </w:r>
          </w:p>
        </w:tc>
      </w:tr>
      <w:tr w14:paraId="138C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033DA04">
            <w:pPr>
              <w:widowControl/>
              <w:jc w:val="center"/>
              <w:rPr>
                <w:rFonts w:ascii="Times New Roman" w:eastAsia="仿宋"/>
                <w:sz w:val="21"/>
                <w:szCs w:val="21"/>
              </w:rPr>
            </w:pPr>
            <w:r>
              <w:rPr>
                <w:rFonts w:ascii="Times New Roman" w:eastAsia="仿宋"/>
                <w:sz w:val="21"/>
                <w:szCs w:val="21"/>
              </w:rPr>
              <w:t>15</w:t>
            </w:r>
          </w:p>
        </w:tc>
        <w:tc>
          <w:tcPr>
            <w:tcW w:w="2105" w:type="dxa"/>
            <w:shd w:val="clear" w:color="auto" w:fill="auto"/>
            <w:noWrap/>
            <w:vAlign w:val="center"/>
          </w:tcPr>
          <w:p w14:paraId="60CEEE5A">
            <w:pPr>
              <w:widowControl/>
              <w:jc w:val="center"/>
              <w:rPr>
                <w:rFonts w:ascii="Times New Roman" w:eastAsia="仿宋"/>
                <w:sz w:val="21"/>
                <w:szCs w:val="21"/>
              </w:rPr>
            </w:pPr>
            <w:r>
              <w:rPr>
                <w:rFonts w:ascii="Times New Roman" w:eastAsia="仿宋"/>
                <w:sz w:val="21"/>
                <w:szCs w:val="21"/>
              </w:rPr>
              <w:t>江苏东方洁妮儿新材料有限公司</w:t>
            </w:r>
          </w:p>
        </w:tc>
        <w:tc>
          <w:tcPr>
            <w:tcW w:w="1206" w:type="dxa"/>
            <w:shd w:val="clear" w:color="auto" w:fill="auto"/>
            <w:noWrap/>
            <w:vAlign w:val="center"/>
          </w:tcPr>
          <w:p w14:paraId="43D00D92">
            <w:pPr>
              <w:widowControl/>
              <w:jc w:val="center"/>
              <w:rPr>
                <w:rFonts w:ascii="Times New Roman" w:eastAsia="仿宋"/>
                <w:sz w:val="21"/>
                <w:szCs w:val="21"/>
              </w:rPr>
            </w:pPr>
            <w:r>
              <w:rPr>
                <w:rFonts w:ascii="Times New Roman" w:eastAsia="仿宋"/>
                <w:sz w:val="21"/>
                <w:szCs w:val="21"/>
              </w:rPr>
              <w:t>0.0160</w:t>
            </w:r>
          </w:p>
        </w:tc>
        <w:tc>
          <w:tcPr>
            <w:tcW w:w="1206" w:type="dxa"/>
            <w:shd w:val="clear" w:color="auto" w:fill="auto"/>
            <w:noWrap/>
            <w:vAlign w:val="center"/>
          </w:tcPr>
          <w:p w14:paraId="63057A11">
            <w:pPr>
              <w:widowControl/>
              <w:jc w:val="center"/>
              <w:rPr>
                <w:rFonts w:ascii="Times New Roman" w:eastAsia="仿宋"/>
                <w:sz w:val="21"/>
                <w:szCs w:val="21"/>
              </w:rPr>
            </w:pPr>
            <w:r>
              <w:rPr>
                <w:rFonts w:ascii="Times New Roman" w:eastAsia="仿宋"/>
                <w:sz w:val="21"/>
                <w:szCs w:val="21"/>
              </w:rPr>
              <w:t>0.0320</w:t>
            </w:r>
          </w:p>
        </w:tc>
        <w:tc>
          <w:tcPr>
            <w:tcW w:w="1206" w:type="dxa"/>
            <w:shd w:val="clear" w:color="auto" w:fill="auto"/>
            <w:noWrap/>
            <w:vAlign w:val="center"/>
          </w:tcPr>
          <w:p w14:paraId="45FEFA5B">
            <w:pPr>
              <w:widowControl/>
              <w:jc w:val="center"/>
              <w:rPr>
                <w:rFonts w:ascii="Times New Roman" w:eastAsia="仿宋"/>
                <w:sz w:val="21"/>
                <w:szCs w:val="21"/>
              </w:rPr>
            </w:pPr>
            <w:r>
              <w:rPr>
                <w:rFonts w:ascii="Times New Roman" w:eastAsia="仿宋"/>
                <w:sz w:val="21"/>
                <w:szCs w:val="21"/>
              </w:rPr>
              <w:t>0.0200</w:t>
            </w:r>
          </w:p>
        </w:tc>
        <w:tc>
          <w:tcPr>
            <w:tcW w:w="1206" w:type="dxa"/>
            <w:shd w:val="clear" w:color="auto" w:fill="auto"/>
            <w:noWrap/>
            <w:vAlign w:val="center"/>
          </w:tcPr>
          <w:p w14:paraId="44FB00DD">
            <w:pPr>
              <w:widowControl/>
              <w:jc w:val="center"/>
              <w:rPr>
                <w:rFonts w:ascii="Times New Roman" w:eastAsia="仿宋"/>
                <w:sz w:val="21"/>
                <w:szCs w:val="21"/>
              </w:rPr>
            </w:pPr>
            <w:r>
              <w:rPr>
                <w:rFonts w:ascii="Times New Roman" w:eastAsia="仿宋"/>
                <w:sz w:val="21"/>
                <w:szCs w:val="21"/>
              </w:rPr>
              <w:t>0.0680</w:t>
            </w:r>
          </w:p>
        </w:tc>
        <w:tc>
          <w:tcPr>
            <w:tcW w:w="1009" w:type="dxa"/>
            <w:shd w:val="clear" w:color="auto" w:fill="auto"/>
            <w:noWrap/>
            <w:vAlign w:val="center"/>
          </w:tcPr>
          <w:p w14:paraId="481AF31E">
            <w:pPr>
              <w:widowControl/>
              <w:jc w:val="center"/>
              <w:rPr>
                <w:rFonts w:ascii="Times New Roman" w:eastAsia="仿宋"/>
                <w:sz w:val="21"/>
                <w:szCs w:val="21"/>
              </w:rPr>
            </w:pPr>
            <w:r>
              <w:rPr>
                <w:rFonts w:ascii="Times New Roman" w:eastAsia="仿宋"/>
                <w:sz w:val="21"/>
                <w:szCs w:val="21"/>
              </w:rPr>
              <w:t>0.89%</w:t>
            </w:r>
          </w:p>
        </w:tc>
      </w:tr>
      <w:tr w14:paraId="576D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B74FD48">
            <w:pPr>
              <w:widowControl/>
              <w:jc w:val="center"/>
              <w:rPr>
                <w:rFonts w:ascii="Times New Roman" w:eastAsia="仿宋"/>
                <w:sz w:val="21"/>
                <w:szCs w:val="21"/>
              </w:rPr>
            </w:pPr>
            <w:r>
              <w:rPr>
                <w:rFonts w:ascii="Times New Roman" w:eastAsia="仿宋"/>
                <w:sz w:val="21"/>
                <w:szCs w:val="21"/>
              </w:rPr>
              <w:t>16</w:t>
            </w:r>
          </w:p>
        </w:tc>
        <w:tc>
          <w:tcPr>
            <w:tcW w:w="2105" w:type="dxa"/>
            <w:shd w:val="clear" w:color="auto" w:fill="auto"/>
            <w:noWrap/>
            <w:vAlign w:val="center"/>
          </w:tcPr>
          <w:p w14:paraId="1122085A">
            <w:pPr>
              <w:widowControl/>
              <w:jc w:val="center"/>
              <w:rPr>
                <w:rFonts w:ascii="Times New Roman" w:eastAsia="仿宋"/>
                <w:sz w:val="21"/>
                <w:szCs w:val="21"/>
              </w:rPr>
            </w:pPr>
            <w:r>
              <w:rPr>
                <w:rFonts w:ascii="Times New Roman" w:eastAsia="仿宋"/>
                <w:sz w:val="21"/>
                <w:szCs w:val="21"/>
              </w:rPr>
              <w:t>江苏科菱库精工科技有限公司</w:t>
            </w:r>
          </w:p>
        </w:tc>
        <w:tc>
          <w:tcPr>
            <w:tcW w:w="1206" w:type="dxa"/>
            <w:shd w:val="clear" w:color="auto" w:fill="auto"/>
            <w:noWrap/>
            <w:vAlign w:val="center"/>
          </w:tcPr>
          <w:p w14:paraId="2AECBBDF">
            <w:pPr>
              <w:widowControl/>
              <w:jc w:val="center"/>
              <w:rPr>
                <w:rFonts w:ascii="Times New Roman" w:eastAsia="仿宋"/>
                <w:sz w:val="21"/>
                <w:szCs w:val="21"/>
              </w:rPr>
            </w:pPr>
            <w:r>
              <w:rPr>
                <w:rFonts w:ascii="Times New Roman" w:eastAsia="仿宋"/>
                <w:sz w:val="21"/>
                <w:szCs w:val="21"/>
              </w:rPr>
              <w:t>0.0285</w:t>
            </w:r>
          </w:p>
        </w:tc>
        <w:tc>
          <w:tcPr>
            <w:tcW w:w="1206" w:type="dxa"/>
            <w:shd w:val="clear" w:color="auto" w:fill="auto"/>
            <w:noWrap/>
            <w:vAlign w:val="center"/>
          </w:tcPr>
          <w:p w14:paraId="45949DE0">
            <w:pPr>
              <w:widowControl/>
              <w:jc w:val="center"/>
              <w:rPr>
                <w:rFonts w:ascii="Times New Roman" w:eastAsia="仿宋"/>
                <w:sz w:val="21"/>
                <w:szCs w:val="21"/>
              </w:rPr>
            </w:pPr>
            <w:r>
              <w:rPr>
                <w:rFonts w:ascii="Times New Roman" w:eastAsia="仿宋"/>
                <w:sz w:val="21"/>
                <w:szCs w:val="21"/>
              </w:rPr>
              <w:t>0.0167</w:t>
            </w:r>
          </w:p>
        </w:tc>
        <w:tc>
          <w:tcPr>
            <w:tcW w:w="1206" w:type="dxa"/>
            <w:shd w:val="clear" w:color="auto" w:fill="auto"/>
            <w:noWrap/>
            <w:vAlign w:val="center"/>
          </w:tcPr>
          <w:p w14:paraId="58867415">
            <w:pPr>
              <w:widowControl/>
              <w:jc w:val="center"/>
              <w:rPr>
                <w:rFonts w:ascii="Times New Roman" w:eastAsia="仿宋"/>
                <w:sz w:val="21"/>
                <w:szCs w:val="21"/>
              </w:rPr>
            </w:pPr>
            <w:r>
              <w:rPr>
                <w:rFonts w:ascii="Times New Roman" w:eastAsia="仿宋"/>
                <w:sz w:val="21"/>
                <w:szCs w:val="21"/>
              </w:rPr>
              <w:t>0.0117</w:t>
            </w:r>
          </w:p>
        </w:tc>
        <w:tc>
          <w:tcPr>
            <w:tcW w:w="1206" w:type="dxa"/>
            <w:shd w:val="clear" w:color="auto" w:fill="auto"/>
            <w:noWrap/>
            <w:vAlign w:val="center"/>
          </w:tcPr>
          <w:p w14:paraId="73876426">
            <w:pPr>
              <w:widowControl/>
              <w:jc w:val="center"/>
              <w:rPr>
                <w:rFonts w:ascii="Times New Roman" w:eastAsia="仿宋"/>
                <w:sz w:val="21"/>
                <w:szCs w:val="21"/>
              </w:rPr>
            </w:pPr>
            <w:r>
              <w:rPr>
                <w:rFonts w:ascii="Times New Roman" w:eastAsia="仿宋"/>
                <w:sz w:val="21"/>
                <w:szCs w:val="21"/>
              </w:rPr>
              <w:t>0.0568</w:t>
            </w:r>
          </w:p>
        </w:tc>
        <w:tc>
          <w:tcPr>
            <w:tcW w:w="1009" w:type="dxa"/>
            <w:shd w:val="clear" w:color="auto" w:fill="auto"/>
            <w:noWrap/>
            <w:vAlign w:val="center"/>
          </w:tcPr>
          <w:p w14:paraId="35F4D114">
            <w:pPr>
              <w:widowControl/>
              <w:jc w:val="center"/>
              <w:rPr>
                <w:rFonts w:ascii="Times New Roman" w:eastAsia="仿宋"/>
                <w:sz w:val="21"/>
                <w:szCs w:val="21"/>
              </w:rPr>
            </w:pPr>
            <w:r>
              <w:rPr>
                <w:rFonts w:ascii="Times New Roman" w:eastAsia="仿宋"/>
                <w:sz w:val="21"/>
                <w:szCs w:val="21"/>
              </w:rPr>
              <w:t>0.74%</w:t>
            </w:r>
          </w:p>
        </w:tc>
      </w:tr>
      <w:tr w14:paraId="349F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F5AE5BF">
            <w:pPr>
              <w:widowControl/>
              <w:jc w:val="center"/>
              <w:rPr>
                <w:rFonts w:ascii="Times New Roman" w:eastAsia="仿宋"/>
                <w:sz w:val="21"/>
                <w:szCs w:val="21"/>
              </w:rPr>
            </w:pPr>
            <w:r>
              <w:rPr>
                <w:rFonts w:ascii="Times New Roman" w:eastAsia="仿宋"/>
                <w:sz w:val="21"/>
                <w:szCs w:val="21"/>
              </w:rPr>
              <w:t>17</w:t>
            </w:r>
          </w:p>
        </w:tc>
        <w:tc>
          <w:tcPr>
            <w:tcW w:w="2105" w:type="dxa"/>
            <w:shd w:val="clear" w:color="auto" w:fill="auto"/>
            <w:noWrap/>
            <w:vAlign w:val="center"/>
          </w:tcPr>
          <w:p w14:paraId="32EA5969">
            <w:pPr>
              <w:widowControl/>
              <w:jc w:val="center"/>
              <w:rPr>
                <w:rFonts w:ascii="Times New Roman" w:eastAsia="仿宋"/>
                <w:sz w:val="21"/>
                <w:szCs w:val="21"/>
              </w:rPr>
            </w:pPr>
            <w:r>
              <w:rPr>
                <w:rFonts w:ascii="Times New Roman" w:eastAsia="仿宋"/>
                <w:sz w:val="21"/>
                <w:szCs w:val="21"/>
              </w:rPr>
              <w:t>常州卓美家纺有限公司</w:t>
            </w:r>
          </w:p>
        </w:tc>
        <w:tc>
          <w:tcPr>
            <w:tcW w:w="1206" w:type="dxa"/>
            <w:shd w:val="clear" w:color="auto" w:fill="auto"/>
            <w:noWrap/>
            <w:vAlign w:val="center"/>
          </w:tcPr>
          <w:p w14:paraId="1F3D73E8">
            <w:pPr>
              <w:widowControl/>
              <w:jc w:val="center"/>
              <w:rPr>
                <w:rFonts w:ascii="Times New Roman" w:eastAsia="仿宋"/>
                <w:sz w:val="21"/>
                <w:szCs w:val="21"/>
              </w:rPr>
            </w:pPr>
            <w:r>
              <w:rPr>
                <w:rFonts w:ascii="Times New Roman" w:eastAsia="仿宋"/>
                <w:sz w:val="21"/>
                <w:szCs w:val="21"/>
              </w:rPr>
              <w:t>0.0360</w:t>
            </w:r>
          </w:p>
        </w:tc>
        <w:tc>
          <w:tcPr>
            <w:tcW w:w="1206" w:type="dxa"/>
            <w:shd w:val="clear" w:color="auto" w:fill="auto"/>
            <w:noWrap/>
            <w:vAlign w:val="center"/>
          </w:tcPr>
          <w:p w14:paraId="70E400C3">
            <w:pPr>
              <w:widowControl/>
              <w:jc w:val="center"/>
              <w:rPr>
                <w:rFonts w:ascii="Times New Roman" w:eastAsia="仿宋"/>
                <w:sz w:val="21"/>
                <w:szCs w:val="21"/>
              </w:rPr>
            </w:pPr>
            <w:r>
              <w:rPr>
                <w:rFonts w:ascii="Times New Roman" w:eastAsia="仿宋"/>
                <w:sz w:val="21"/>
                <w:szCs w:val="21"/>
              </w:rPr>
              <w:t>0.0600</w:t>
            </w:r>
          </w:p>
        </w:tc>
        <w:tc>
          <w:tcPr>
            <w:tcW w:w="1206" w:type="dxa"/>
            <w:shd w:val="clear" w:color="auto" w:fill="auto"/>
            <w:noWrap/>
            <w:vAlign w:val="center"/>
          </w:tcPr>
          <w:p w14:paraId="1B1A460B">
            <w:pPr>
              <w:widowControl/>
              <w:jc w:val="center"/>
              <w:rPr>
                <w:rFonts w:ascii="Times New Roman" w:eastAsia="仿宋"/>
                <w:sz w:val="21"/>
                <w:szCs w:val="21"/>
              </w:rPr>
            </w:pPr>
            <w:r>
              <w:rPr>
                <w:rFonts w:ascii="Times New Roman" w:eastAsia="仿宋"/>
                <w:sz w:val="21"/>
                <w:szCs w:val="21"/>
              </w:rPr>
              <w:t>0.0367</w:t>
            </w:r>
          </w:p>
        </w:tc>
        <w:tc>
          <w:tcPr>
            <w:tcW w:w="1206" w:type="dxa"/>
            <w:shd w:val="clear" w:color="auto" w:fill="auto"/>
            <w:noWrap/>
            <w:vAlign w:val="center"/>
          </w:tcPr>
          <w:p w14:paraId="09373288">
            <w:pPr>
              <w:widowControl/>
              <w:jc w:val="center"/>
              <w:rPr>
                <w:rFonts w:ascii="Times New Roman" w:eastAsia="仿宋"/>
                <w:sz w:val="21"/>
                <w:szCs w:val="21"/>
              </w:rPr>
            </w:pPr>
            <w:r>
              <w:rPr>
                <w:rFonts w:ascii="Times New Roman" w:eastAsia="仿宋"/>
                <w:sz w:val="21"/>
                <w:szCs w:val="21"/>
              </w:rPr>
              <w:t>0.1327</w:t>
            </w:r>
          </w:p>
        </w:tc>
        <w:tc>
          <w:tcPr>
            <w:tcW w:w="1009" w:type="dxa"/>
            <w:shd w:val="clear" w:color="auto" w:fill="auto"/>
            <w:noWrap/>
            <w:vAlign w:val="center"/>
          </w:tcPr>
          <w:p w14:paraId="19430C41">
            <w:pPr>
              <w:widowControl/>
              <w:jc w:val="center"/>
              <w:rPr>
                <w:rFonts w:ascii="Times New Roman" w:eastAsia="仿宋"/>
                <w:sz w:val="21"/>
                <w:szCs w:val="21"/>
              </w:rPr>
            </w:pPr>
            <w:r>
              <w:rPr>
                <w:rFonts w:ascii="Times New Roman" w:eastAsia="仿宋"/>
                <w:sz w:val="21"/>
                <w:szCs w:val="21"/>
              </w:rPr>
              <w:t>1.74%</w:t>
            </w:r>
          </w:p>
        </w:tc>
      </w:tr>
      <w:tr w14:paraId="0E9C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69D08D6">
            <w:pPr>
              <w:widowControl/>
              <w:jc w:val="center"/>
              <w:rPr>
                <w:rFonts w:ascii="Times New Roman" w:eastAsia="仿宋"/>
                <w:sz w:val="21"/>
                <w:szCs w:val="21"/>
              </w:rPr>
            </w:pPr>
            <w:r>
              <w:rPr>
                <w:rFonts w:ascii="Times New Roman" w:eastAsia="仿宋"/>
                <w:sz w:val="21"/>
                <w:szCs w:val="21"/>
              </w:rPr>
              <w:t>18</w:t>
            </w:r>
          </w:p>
        </w:tc>
        <w:tc>
          <w:tcPr>
            <w:tcW w:w="2105" w:type="dxa"/>
            <w:shd w:val="clear" w:color="auto" w:fill="auto"/>
            <w:noWrap/>
            <w:vAlign w:val="center"/>
          </w:tcPr>
          <w:p w14:paraId="24F889F0">
            <w:pPr>
              <w:widowControl/>
              <w:jc w:val="center"/>
              <w:rPr>
                <w:rFonts w:ascii="Times New Roman" w:eastAsia="仿宋"/>
                <w:sz w:val="21"/>
                <w:szCs w:val="21"/>
              </w:rPr>
            </w:pPr>
            <w:r>
              <w:rPr>
                <w:rFonts w:ascii="Times New Roman" w:eastAsia="仿宋"/>
                <w:sz w:val="21"/>
                <w:szCs w:val="21"/>
              </w:rPr>
              <w:t>常州思必达新能源设备有限公司</w:t>
            </w:r>
          </w:p>
        </w:tc>
        <w:tc>
          <w:tcPr>
            <w:tcW w:w="1206" w:type="dxa"/>
            <w:shd w:val="clear" w:color="auto" w:fill="auto"/>
            <w:noWrap/>
            <w:vAlign w:val="center"/>
          </w:tcPr>
          <w:p w14:paraId="1D5B4CD8">
            <w:pPr>
              <w:widowControl/>
              <w:jc w:val="center"/>
              <w:rPr>
                <w:rFonts w:ascii="Times New Roman" w:eastAsia="仿宋"/>
                <w:sz w:val="21"/>
                <w:szCs w:val="21"/>
              </w:rPr>
            </w:pPr>
            <w:r>
              <w:rPr>
                <w:rFonts w:ascii="Times New Roman" w:eastAsia="仿宋"/>
                <w:sz w:val="21"/>
                <w:szCs w:val="21"/>
              </w:rPr>
              <w:t>0.0067</w:t>
            </w:r>
          </w:p>
        </w:tc>
        <w:tc>
          <w:tcPr>
            <w:tcW w:w="1206" w:type="dxa"/>
            <w:shd w:val="clear" w:color="auto" w:fill="auto"/>
            <w:noWrap/>
            <w:vAlign w:val="center"/>
          </w:tcPr>
          <w:p w14:paraId="7B2118AD">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650CDCC9">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5A6D3FEA">
            <w:pPr>
              <w:widowControl/>
              <w:jc w:val="center"/>
              <w:rPr>
                <w:rFonts w:ascii="Times New Roman" w:eastAsia="仿宋"/>
                <w:sz w:val="21"/>
                <w:szCs w:val="21"/>
              </w:rPr>
            </w:pPr>
            <w:r>
              <w:rPr>
                <w:rFonts w:ascii="Times New Roman" w:eastAsia="仿宋"/>
                <w:sz w:val="21"/>
                <w:szCs w:val="21"/>
              </w:rPr>
              <w:t>0.0267</w:t>
            </w:r>
          </w:p>
        </w:tc>
        <w:tc>
          <w:tcPr>
            <w:tcW w:w="1009" w:type="dxa"/>
            <w:shd w:val="clear" w:color="auto" w:fill="auto"/>
            <w:noWrap/>
            <w:vAlign w:val="center"/>
          </w:tcPr>
          <w:p w14:paraId="48243689">
            <w:pPr>
              <w:widowControl/>
              <w:jc w:val="center"/>
              <w:rPr>
                <w:rFonts w:ascii="Times New Roman" w:eastAsia="仿宋"/>
                <w:sz w:val="21"/>
                <w:szCs w:val="21"/>
              </w:rPr>
            </w:pPr>
            <w:r>
              <w:rPr>
                <w:rFonts w:ascii="Times New Roman" w:eastAsia="仿宋"/>
                <w:sz w:val="21"/>
                <w:szCs w:val="21"/>
              </w:rPr>
              <w:t>0.35%</w:t>
            </w:r>
          </w:p>
        </w:tc>
      </w:tr>
      <w:tr w14:paraId="4960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40309DC3">
            <w:pPr>
              <w:widowControl/>
              <w:jc w:val="center"/>
              <w:rPr>
                <w:rFonts w:ascii="Times New Roman" w:eastAsia="仿宋"/>
                <w:sz w:val="21"/>
                <w:szCs w:val="21"/>
              </w:rPr>
            </w:pPr>
            <w:r>
              <w:rPr>
                <w:rFonts w:ascii="Times New Roman" w:eastAsia="仿宋"/>
                <w:sz w:val="21"/>
                <w:szCs w:val="21"/>
              </w:rPr>
              <w:t>19</w:t>
            </w:r>
          </w:p>
        </w:tc>
        <w:tc>
          <w:tcPr>
            <w:tcW w:w="2105" w:type="dxa"/>
            <w:shd w:val="clear" w:color="auto" w:fill="auto"/>
            <w:noWrap/>
            <w:vAlign w:val="center"/>
          </w:tcPr>
          <w:p w14:paraId="36B3CD7E">
            <w:pPr>
              <w:widowControl/>
              <w:jc w:val="center"/>
              <w:rPr>
                <w:rFonts w:ascii="Times New Roman" w:eastAsia="仿宋"/>
                <w:sz w:val="21"/>
                <w:szCs w:val="21"/>
              </w:rPr>
            </w:pPr>
            <w:r>
              <w:rPr>
                <w:rFonts w:ascii="Times New Roman" w:eastAsia="仿宋"/>
                <w:sz w:val="21"/>
                <w:szCs w:val="21"/>
              </w:rPr>
              <w:t>常州银丰电力装备有限公司</w:t>
            </w:r>
          </w:p>
        </w:tc>
        <w:tc>
          <w:tcPr>
            <w:tcW w:w="1206" w:type="dxa"/>
            <w:shd w:val="clear" w:color="auto" w:fill="auto"/>
            <w:noWrap/>
            <w:vAlign w:val="center"/>
          </w:tcPr>
          <w:p w14:paraId="56562751">
            <w:pPr>
              <w:widowControl/>
              <w:jc w:val="center"/>
              <w:rPr>
                <w:rFonts w:ascii="Times New Roman" w:eastAsia="仿宋"/>
                <w:sz w:val="21"/>
                <w:szCs w:val="21"/>
              </w:rPr>
            </w:pPr>
            <w:r>
              <w:rPr>
                <w:rFonts w:ascii="Times New Roman" w:eastAsia="仿宋"/>
                <w:sz w:val="21"/>
                <w:szCs w:val="21"/>
              </w:rPr>
              <w:t>0.0957</w:t>
            </w:r>
          </w:p>
        </w:tc>
        <w:tc>
          <w:tcPr>
            <w:tcW w:w="1206" w:type="dxa"/>
            <w:shd w:val="clear" w:color="auto" w:fill="auto"/>
            <w:noWrap/>
            <w:vAlign w:val="center"/>
          </w:tcPr>
          <w:p w14:paraId="451F1DF1">
            <w:pPr>
              <w:widowControl/>
              <w:jc w:val="center"/>
              <w:rPr>
                <w:rFonts w:ascii="Times New Roman" w:eastAsia="仿宋"/>
                <w:sz w:val="21"/>
                <w:szCs w:val="21"/>
              </w:rPr>
            </w:pPr>
            <w:r>
              <w:rPr>
                <w:rFonts w:ascii="Times New Roman" w:eastAsia="仿宋"/>
                <w:sz w:val="21"/>
                <w:szCs w:val="21"/>
              </w:rPr>
              <w:t>0.0933</w:t>
            </w:r>
          </w:p>
        </w:tc>
        <w:tc>
          <w:tcPr>
            <w:tcW w:w="1206" w:type="dxa"/>
            <w:shd w:val="clear" w:color="auto" w:fill="auto"/>
            <w:noWrap/>
            <w:vAlign w:val="center"/>
          </w:tcPr>
          <w:p w14:paraId="4A9C0A7B">
            <w:pPr>
              <w:widowControl/>
              <w:jc w:val="center"/>
              <w:rPr>
                <w:rFonts w:ascii="Times New Roman" w:eastAsia="仿宋"/>
                <w:sz w:val="21"/>
                <w:szCs w:val="21"/>
              </w:rPr>
            </w:pPr>
            <w:r>
              <w:rPr>
                <w:rFonts w:ascii="Times New Roman" w:eastAsia="仿宋"/>
                <w:sz w:val="21"/>
                <w:szCs w:val="21"/>
              </w:rPr>
              <w:t>0.1000</w:t>
            </w:r>
          </w:p>
        </w:tc>
        <w:tc>
          <w:tcPr>
            <w:tcW w:w="1206" w:type="dxa"/>
            <w:shd w:val="clear" w:color="auto" w:fill="auto"/>
            <w:noWrap/>
            <w:vAlign w:val="center"/>
          </w:tcPr>
          <w:p w14:paraId="6A5907AB">
            <w:pPr>
              <w:widowControl/>
              <w:jc w:val="center"/>
              <w:rPr>
                <w:rFonts w:ascii="Times New Roman" w:eastAsia="仿宋"/>
                <w:sz w:val="21"/>
                <w:szCs w:val="21"/>
              </w:rPr>
            </w:pPr>
            <w:r>
              <w:rPr>
                <w:rFonts w:ascii="Times New Roman" w:eastAsia="仿宋"/>
                <w:sz w:val="21"/>
                <w:szCs w:val="21"/>
              </w:rPr>
              <w:t>0.2890</w:t>
            </w:r>
          </w:p>
        </w:tc>
        <w:tc>
          <w:tcPr>
            <w:tcW w:w="1009" w:type="dxa"/>
            <w:shd w:val="clear" w:color="auto" w:fill="auto"/>
            <w:noWrap/>
            <w:vAlign w:val="center"/>
          </w:tcPr>
          <w:p w14:paraId="0121A4F6">
            <w:pPr>
              <w:widowControl/>
              <w:jc w:val="center"/>
              <w:rPr>
                <w:rFonts w:ascii="Times New Roman" w:eastAsia="仿宋"/>
                <w:sz w:val="21"/>
                <w:szCs w:val="21"/>
              </w:rPr>
            </w:pPr>
            <w:r>
              <w:rPr>
                <w:rFonts w:ascii="Times New Roman" w:eastAsia="仿宋"/>
                <w:sz w:val="21"/>
                <w:szCs w:val="21"/>
              </w:rPr>
              <w:t>3.78%</w:t>
            </w:r>
          </w:p>
        </w:tc>
      </w:tr>
      <w:tr w14:paraId="4E3D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79357343">
            <w:pPr>
              <w:widowControl/>
              <w:jc w:val="center"/>
              <w:rPr>
                <w:rFonts w:ascii="Times New Roman" w:eastAsia="仿宋"/>
                <w:sz w:val="21"/>
                <w:szCs w:val="21"/>
              </w:rPr>
            </w:pPr>
            <w:r>
              <w:rPr>
                <w:rFonts w:ascii="Times New Roman" w:eastAsia="仿宋"/>
                <w:sz w:val="21"/>
                <w:szCs w:val="21"/>
              </w:rPr>
              <w:t>20</w:t>
            </w:r>
          </w:p>
        </w:tc>
        <w:tc>
          <w:tcPr>
            <w:tcW w:w="2105" w:type="dxa"/>
            <w:shd w:val="clear" w:color="auto" w:fill="auto"/>
            <w:noWrap/>
            <w:vAlign w:val="center"/>
          </w:tcPr>
          <w:p w14:paraId="29717967">
            <w:pPr>
              <w:widowControl/>
              <w:jc w:val="center"/>
              <w:rPr>
                <w:rFonts w:ascii="Times New Roman" w:eastAsia="仿宋"/>
                <w:sz w:val="21"/>
                <w:szCs w:val="21"/>
              </w:rPr>
            </w:pPr>
            <w:r>
              <w:rPr>
                <w:rFonts w:ascii="Times New Roman" w:eastAsia="仿宋"/>
                <w:sz w:val="21"/>
                <w:szCs w:val="21"/>
              </w:rPr>
              <w:t>常州科林线缆有限公司</w:t>
            </w:r>
          </w:p>
        </w:tc>
        <w:tc>
          <w:tcPr>
            <w:tcW w:w="1206" w:type="dxa"/>
            <w:shd w:val="clear" w:color="auto" w:fill="auto"/>
            <w:noWrap/>
            <w:vAlign w:val="center"/>
          </w:tcPr>
          <w:p w14:paraId="0FC77D5A">
            <w:pPr>
              <w:widowControl/>
              <w:jc w:val="center"/>
              <w:rPr>
                <w:rFonts w:ascii="Times New Roman" w:eastAsia="仿宋"/>
                <w:sz w:val="21"/>
                <w:szCs w:val="21"/>
              </w:rPr>
            </w:pPr>
            <w:r>
              <w:rPr>
                <w:rFonts w:ascii="Times New Roman" w:eastAsia="仿宋"/>
                <w:sz w:val="21"/>
                <w:szCs w:val="21"/>
              </w:rPr>
              <w:t>0.0084</w:t>
            </w:r>
          </w:p>
        </w:tc>
        <w:tc>
          <w:tcPr>
            <w:tcW w:w="1206" w:type="dxa"/>
            <w:shd w:val="clear" w:color="auto" w:fill="auto"/>
            <w:noWrap/>
            <w:vAlign w:val="center"/>
          </w:tcPr>
          <w:p w14:paraId="1DE0B47C">
            <w:pPr>
              <w:widowControl/>
              <w:jc w:val="center"/>
              <w:rPr>
                <w:rFonts w:ascii="Times New Roman" w:eastAsia="仿宋"/>
                <w:sz w:val="21"/>
                <w:szCs w:val="21"/>
              </w:rPr>
            </w:pPr>
            <w:r>
              <w:rPr>
                <w:rFonts w:ascii="Times New Roman" w:eastAsia="仿宋"/>
                <w:sz w:val="21"/>
                <w:szCs w:val="21"/>
              </w:rPr>
              <w:t>0.0113</w:t>
            </w:r>
          </w:p>
        </w:tc>
        <w:tc>
          <w:tcPr>
            <w:tcW w:w="1206" w:type="dxa"/>
            <w:shd w:val="clear" w:color="auto" w:fill="auto"/>
            <w:noWrap/>
            <w:vAlign w:val="center"/>
          </w:tcPr>
          <w:p w14:paraId="7BF6192B">
            <w:pPr>
              <w:widowControl/>
              <w:jc w:val="center"/>
              <w:rPr>
                <w:rFonts w:ascii="Times New Roman" w:eastAsia="仿宋"/>
                <w:sz w:val="21"/>
                <w:szCs w:val="21"/>
              </w:rPr>
            </w:pPr>
            <w:r>
              <w:rPr>
                <w:rFonts w:ascii="Times New Roman" w:eastAsia="仿宋"/>
                <w:sz w:val="21"/>
                <w:szCs w:val="21"/>
              </w:rPr>
              <w:t>0.0083</w:t>
            </w:r>
          </w:p>
        </w:tc>
        <w:tc>
          <w:tcPr>
            <w:tcW w:w="1206" w:type="dxa"/>
            <w:shd w:val="clear" w:color="auto" w:fill="auto"/>
            <w:noWrap/>
            <w:vAlign w:val="center"/>
          </w:tcPr>
          <w:p w14:paraId="106B683F">
            <w:pPr>
              <w:widowControl/>
              <w:jc w:val="center"/>
              <w:rPr>
                <w:rFonts w:ascii="Times New Roman" w:eastAsia="仿宋"/>
                <w:sz w:val="21"/>
                <w:szCs w:val="21"/>
              </w:rPr>
            </w:pPr>
            <w:r>
              <w:rPr>
                <w:rFonts w:ascii="Times New Roman" w:eastAsia="仿宋"/>
                <w:sz w:val="21"/>
                <w:szCs w:val="21"/>
              </w:rPr>
              <w:t>0.0281</w:t>
            </w:r>
          </w:p>
        </w:tc>
        <w:tc>
          <w:tcPr>
            <w:tcW w:w="1009" w:type="dxa"/>
            <w:shd w:val="clear" w:color="auto" w:fill="auto"/>
            <w:noWrap/>
            <w:vAlign w:val="center"/>
          </w:tcPr>
          <w:p w14:paraId="1759E193">
            <w:pPr>
              <w:widowControl/>
              <w:jc w:val="center"/>
              <w:rPr>
                <w:rFonts w:ascii="Times New Roman" w:eastAsia="仿宋"/>
                <w:sz w:val="21"/>
                <w:szCs w:val="21"/>
              </w:rPr>
            </w:pPr>
            <w:r>
              <w:rPr>
                <w:rFonts w:ascii="Times New Roman" w:eastAsia="仿宋"/>
                <w:sz w:val="21"/>
                <w:szCs w:val="21"/>
              </w:rPr>
              <w:t>0.37%</w:t>
            </w:r>
          </w:p>
        </w:tc>
      </w:tr>
      <w:tr w14:paraId="3820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9F12F9B">
            <w:pPr>
              <w:widowControl/>
              <w:jc w:val="center"/>
              <w:rPr>
                <w:rFonts w:ascii="Times New Roman" w:eastAsia="仿宋"/>
                <w:sz w:val="21"/>
                <w:szCs w:val="21"/>
              </w:rPr>
            </w:pPr>
            <w:r>
              <w:rPr>
                <w:rFonts w:ascii="Times New Roman" w:eastAsia="仿宋"/>
                <w:sz w:val="21"/>
                <w:szCs w:val="21"/>
              </w:rPr>
              <w:t>21</w:t>
            </w:r>
          </w:p>
        </w:tc>
        <w:tc>
          <w:tcPr>
            <w:tcW w:w="2105" w:type="dxa"/>
            <w:shd w:val="clear" w:color="auto" w:fill="auto"/>
            <w:noWrap/>
            <w:vAlign w:val="center"/>
          </w:tcPr>
          <w:p w14:paraId="03C8A94A">
            <w:pPr>
              <w:widowControl/>
              <w:jc w:val="center"/>
              <w:rPr>
                <w:rFonts w:ascii="Times New Roman" w:eastAsia="仿宋"/>
                <w:sz w:val="21"/>
                <w:szCs w:val="21"/>
              </w:rPr>
            </w:pPr>
            <w:r>
              <w:rPr>
                <w:rFonts w:ascii="Times New Roman" w:eastAsia="仿宋"/>
                <w:sz w:val="21"/>
                <w:szCs w:val="21"/>
              </w:rPr>
              <w:t>江苏鹏德保温包装材料有限公司</w:t>
            </w:r>
          </w:p>
        </w:tc>
        <w:tc>
          <w:tcPr>
            <w:tcW w:w="1206" w:type="dxa"/>
            <w:shd w:val="clear" w:color="auto" w:fill="auto"/>
            <w:noWrap/>
            <w:vAlign w:val="center"/>
          </w:tcPr>
          <w:p w14:paraId="55CD24EF">
            <w:pPr>
              <w:widowControl/>
              <w:jc w:val="center"/>
              <w:rPr>
                <w:rFonts w:ascii="Times New Roman" w:eastAsia="仿宋"/>
                <w:sz w:val="21"/>
                <w:szCs w:val="21"/>
              </w:rPr>
            </w:pPr>
            <w:r>
              <w:rPr>
                <w:rFonts w:ascii="Times New Roman" w:eastAsia="仿宋"/>
                <w:sz w:val="21"/>
                <w:szCs w:val="21"/>
              </w:rPr>
              <w:t>0.0096</w:t>
            </w:r>
          </w:p>
        </w:tc>
        <w:tc>
          <w:tcPr>
            <w:tcW w:w="1206" w:type="dxa"/>
            <w:shd w:val="clear" w:color="auto" w:fill="auto"/>
            <w:noWrap/>
            <w:vAlign w:val="center"/>
          </w:tcPr>
          <w:p w14:paraId="6D83C2D2">
            <w:pPr>
              <w:widowControl/>
              <w:jc w:val="center"/>
              <w:rPr>
                <w:rFonts w:ascii="Times New Roman" w:eastAsia="仿宋"/>
                <w:sz w:val="21"/>
                <w:szCs w:val="21"/>
              </w:rPr>
            </w:pPr>
            <w:r>
              <w:rPr>
                <w:rFonts w:ascii="Times New Roman" w:eastAsia="仿宋"/>
                <w:sz w:val="21"/>
                <w:szCs w:val="21"/>
              </w:rPr>
              <w:t>0.0192</w:t>
            </w:r>
          </w:p>
        </w:tc>
        <w:tc>
          <w:tcPr>
            <w:tcW w:w="1206" w:type="dxa"/>
            <w:shd w:val="clear" w:color="auto" w:fill="auto"/>
            <w:noWrap/>
            <w:vAlign w:val="center"/>
          </w:tcPr>
          <w:p w14:paraId="060F07D5">
            <w:pPr>
              <w:widowControl/>
              <w:jc w:val="center"/>
              <w:rPr>
                <w:rFonts w:ascii="Times New Roman" w:eastAsia="仿宋"/>
                <w:sz w:val="21"/>
                <w:szCs w:val="21"/>
              </w:rPr>
            </w:pPr>
            <w:r>
              <w:rPr>
                <w:rFonts w:ascii="Times New Roman" w:eastAsia="仿宋"/>
                <w:sz w:val="21"/>
                <w:szCs w:val="21"/>
              </w:rPr>
              <w:t>0.0120</w:t>
            </w:r>
          </w:p>
        </w:tc>
        <w:tc>
          <w:tcPr>
            <w:tcW w:w="1206" w:type="dxa"/>
            <w:shd w:val="clear" w:color="auto" w:fill="auto"/>
            <w:noWrap/>
            <w:vAlign w:val="center"/>
          </w:tcPr>
          <w:p w14:paraId="5742FAAC">
            <w:pPr>
              <w:widowControl/>
              <w:jc w:val="center"/>
              <w:rPr>
                <w:rFonts w:ascii="Times New Roman" w:eastAsia="仿宋"/>
                <w:sz w:val="21"/>
                <w:szCs w:val="21"/>
              </w:rPr>
            </w:pPr>
            <w:r>
              <w:rPr>
                <w:rFonts w:ascii="Times New Roman" w:eastAsia="仿宋"/>
                <w:sz w:val="21"/>
                <w:szCs w:val="21"/>
              </w:rPr>
              <w:t>0.0408</w:t>
            </w:r>
          </w:p>
        </w:tc>
        <w:tc>
          <w:tcPr>
            <w:tcW w:w="1009" w:type="dxa"/>
            <w:shd w:val="clear" w:color="auto" w:fill="auto"/>
            <w:noWrap/>
            <w:vAlign w:val="center"/>
          </w:tcPr>
          <w:p w14:paraId="3EF9C9A1">
            <w:pPr>
              <w:widowControl/>
              <w:jc w:val="center"/>
              <w:rPr>
                <w:rFonts w:ascii="Times New Roman" w:eastAsia="仿宋"/>
                <w:sz w:val="21"/>
                <w:szCs w:val="21"/>
              </w:rPr>
            </w:pPr>
            <w:r>
              <w:rPr>
                <w:rFonts w:ascii="Times New Roman" w:eastAsia="仿宋"/>
                <w:sz w:val="21"/>
                <w:szCs w:val="21"/>
              </w:rPr>
              <w:t>0.53%</w:t>
            </w:r>
          </w:p>
        </w:tc>
      </w:tr>
      <w:tr w14:paraId="1978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623BFC9D">
            <w:pPr>
              <w:widowControl/>
              <w:jc w:val="center"/>
              <w:rPr>
                <w:rFonts w:ascii="Times New Roman" w:eastAsia="仿宋"/>
                <w:sz w:val="21"/>
                <w:szCs w:val="21"/>
              </w:rPr>
            </w:pPr>
            <w:r>
              <w:rPr>
                <w:rFonts w:ascii="Times New Roman" w:eastAsia="仿宋"/>
                <w:sz w:val="21"/>
                <w:szCs w:val="21"/>
              </w:rPr>
              <w:t>22</w:t>
            </w:r>
          </w:p>
        </w:tc>
        <w:tc>
          <w:tcPr>
            <w:tcW w:w="2105" w:type="dxa"/>
            <w:shd w:val="clear" w:color="auto" w:fill="auto"/>
            <w:noWrap/>
            <w:vAlign w:val="center"/>
          </w:tcPr>
          <w:p w14:paraId="6B1B267C">
            <w:pPr>
              <w:widowControl/>
              <w:jc w:val="center"/>
              <w:rPr>
                <w:rFonts w:ascii="Times New Roman" w:eastAsia="仿宋"/>
                <w:sz w:val="21"/>
                <w:szCs w:val="21"/>
              </w:rPr>
            </w:pPr>
            <w:r>
              <w:rPr>
                <w:rFonts w:ascii="Times New Roman" w:eastAsia="仿宋"/>
                <w:sz w:val="21"/>
                <w:szCs w:val="21"/>
              </w:rPr>
              <w:t>常州日新模塑科技有限公司</w:t>
            </w:r>
          </w:p>
        </w:tc>
        <w:tc>
          <w:tcPr>
            <w:tcW w:w="1206" w:type="dxa"/>
            <w:shd w:val="clear" w:color="auto" w:fill="auto"/>
            <w:noWrap/>
            <w:vAlign w:val="center"/>
          </w:tcPr>
          <w:p w14:paraId="714B0046">
            <w:pPr>
              <w:widowControl/>
              <w:jc w:val="center"/>
              <w:rPr>
                <w:rFonts w:ascii="Times New Roman" w:eastAsia="仿宋"/>
                <w:sz w:val="21"/>
                <w:szCs w:val="21"/>
              </w:rPr>
            </w:pPr>
            <w:r>
              <w:rPr>
                <w:rFonts w:ascii="Times New Roman" w:eastAsia="仿宋"/>
                <w:sz w:val="21"/>
                <w:szCs w:val="21"/>
              </w:rPr>
              <w:t>0.0223</w:t>
            </w:r>
          </w:p>
        </w:tc>
        <w:tc>
          <w:tcPr>
            <w:tcW w:w="1206" w:type="dxa"/>
            <w:shd w:val="clear" w:color="auto" w:fill="auto"/>
            <w:noWrap/>
            <w:vAlign w:val="center"/>
          </w:tcPr>
          <w:p w14:paraId="63135989">
            <w:pPr>
              <w:widowControl/>
              <w:jc w:val="center"/>
              <w:rPr>
                <w:rFonts w:ascii="Times New Roman" w:eastAsia="仿宋"/>
                <w:sz w:val="21"/>
                <w:szCs w:val="21"/>
              </w:rPr>
            </w:pPr>
            <w:r>
              <w:rPr>
                <w:rFonts w:ascii="Times New Roman" w:eastAsia="仿宋"/>
                <w:sz w:val="21"/>
                <w:szCs w:val="21"/>
              </w:rPr>
              <w:t>0.0333</w:t>
            </w:r>
          </w:p>
        </w:tc>
        <w:tc>
          <w:tcPr>
            <w:tcW w:w="1206" w:type="dxa"/>
            <w:shd w:val="clear" w:color="auto" w:fill="auto"/>
            <w:noWrap/>
            <w:vAlign w:val="center"/>
          </w:tcPr>
          <w:p w14:paraId="4597FC9B">
            <w:pPr>
              <w:widowControl/>
              <w:jc w:val="center"/>
              <w:rPr>
                <w:rFonts w:ascii="Times New Roman" w:eastAsia="仿宋"/>
                <w:sz w:val="21"/>
                <w:szCs w:val="21"/>
              </w:rPr>
            </w:pPr>
            <w:r>
              <w:rPr>
                <w:rFonts w:ascii="Times New Roman" w:eastAsia="仿宋"/>
                <w:sz w:val="21"/>
                <w:szCs w:val="21"/>
              </w:rPr>
              <w:t>0.0167</w:t>
            </w:r>
          </w:p>
        </w:tc>
        <w:tc>
          <w:tcPr>
            <w:tcW w:w="1206" w:type="dxa"/>
            <w:shd w:val="clear" w:color="auto" w:fill="auto"/>
            <w:noWrap/>
            <w:vAlign w:val="center"/>
          </w:tcPr>
          <w:p w14:paraId="670573B5">
            <w:pPr>
              <w:widowControl/>
              <w:jc w:val="center"/>
              <w:rPr>
                <w:rFonts w:ascii="Times New Roman" w:eastAsia="仿宋"/>
                <w:sz w:val="21"/>
                <w:szCs w:val="21"/>
              </w:rPr>
            </w:pPr>
            <w:r>
              <w:rPr>
                <w:rFonts w:ascii="Times New Roman" w:eastAsia="仿宋"/>
                <w:sz w:val="21"/>
                <w:szCs w:val="21"/>
              </w:rPr>
              <w:t>0.0723</w:t>
            </w:r>
          </w:p>
        </w:tc>
        <w:tc>
          <w:tcPr>
            <w:tcW w:w="1009" w:type="dxa"/>
            <w:shd w:val="clear" w:color="auto" w:fill="auto"/>
            <w:noWrap/>
            <w:vAlign w:val="center"/>
          </w:tcPr>
          <w:p w14:paraId="48942C58">
            <w:pPr>
              <w:widowControl/>
              <w:jc w:val="center"/>
              <w:rPr>
                <w:rFonts w:ascii="Times New Roman" w:eastAsia="仿宋"/>
                <w:sz w:val="21"/>
                <w:szCs w:val="21"/>
              </w:rPr>
            </w:pPr>
            <w:r>
              <w:rPr>
                <w:rFonts w:ascii="Times New Roman" w:eastAsia="仿宋"/>
                <w:sz w:val="21"/>
                <w:szCs w:val="21"/>
              </w:rPr>
              <w:t>0.95%</w:t>
            </w:r>
          </w:p>
        </w:tc>
      </w:tr>
      <w:tr w14:paraId="51AE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2B71B3C9">
            <w:pPr>
              <w:widowControl/>
              <w:jc w:val="center"/>
              <w:rPr>
                <w:rFonts w:ascii="Times New Roman" w:eastAsia="仿宋"/>
                <w:sz w:val="21"/>
                <w:szCs w:val="21"/>
              </w:rPr>
            </w:pPr>
            <w:r>
              <w:rPr>
                <w:rFonts w:ascii="Times New Roman" w:eastAsia="仿宋"/>
                <w:sz w:val="21"/>
                <w:szCs w:val="21"/>
              </w:rPr>
              <w:t>23</w:t>
            </w:r>
          </w:p>
        </w:tc>
        <w:tc>
          <w:tcPr>
            <w:tcW w:w="2105" w:type="dxa"/>
            <w:shd w:val="clear" w:color="auto" w:fill="auto"/>
            <w:noWrap/>
            <w:vAlign w:val="center"/>
          </w:tcPr>
          <w:p w14:paraId="4BE98A7E">
            <w:pPr>
              <w:widowControl/>
              <w:jc w:val="center"/>
              <w:rPr>
                <w:rFonts w:ascii="Times New Roman" w:eastAsia="仿宋"/>
                <w:sz w:val="21"/>
                <w:szCs w:val="21"/>
              </w:rPr>
            </w:pPr>
            <w:r>
              <w:rPr>
                <w:rFonts w:ascii="Times New Roman" w:eastAsia="仿宋"/>
                <w:sz w:val="21"/>
                <w:szCs w:val="21"/>
              </w:rPr>
              <w:t>江苏立华食品有限公司</w:t>
            </w:r>
          </w:p>
        </w:tc>
        <w:tc>
          <w:tcPr>
            <w:tcW w:w="1206" w:type="dxa"/>
            <w:shd w:val="clear" w:color="auto" w:fill="auto"/>
            <w:noWrap/>
            <w:vAlign w:val="center"/>
          </w:tcPr>
          <w:p w14:paraId="2C397ED7">
            <w:pPr>
              <w:widowControl/>
              <w:jc w:val="center"/>
              <w:rPr>
                <w:rFonts w:ascii="Times New Roman" w:eastAsia="仿宋"/>
                <w:sz w:val="21"/>
                <w:szCs w:val="21"/>
              </w:rPr>
            </w:pPr>
            <w:r>
              <w:rPr>
                <w:rFonts w:ascii="Times New Roman" w:eastAsia="仿宋"/>
                <w:sz w:val="21"/>
                <w:szCs w:val="21"/>
              </w:rPr>
              <w:t>0.1707</w:t>
            </w:r>
          </w:p>
        </w:tc>
        <w:tc>
          <w:tcPr>
            <w:tcW w:w="1206" w:type="dxa"/>
            <w:shd w:val="clear" w:color="auto" w:fill="auto"/>
            <w:noWrap/>
            <w:vAlign w:val="center"/>
          </w:tcPr>
          <w:p w14:paraId="20BAE99A">
            <w:pPr>
              <w:widowControl/>
              <w:jc w:val="center"/>
              <w:rPr>
                <w:rFonts w:ascii="Times New Roman" w:eastAsia="仿宋"/>
                <w:sz w:val="21"/>
                <w:szCs w:val="21"/>
              </w:rPr>
            </w:pPr>
            <w:r>
              <w:rPr>
                <w:rFonts w:ascii="Times New Roman" w:eastAsia="仿宋"/>
                <w:sz w:val="21"/>
                <w:szCs w:val="21"/>
              </w:rPr>
              <w:t>0.3680</w:t>
            </w:r>
          </w:p>
        </w:tc>
        <w:tc>
          <w:tcPr>
            <w:tcW w:w="1206" w:type="dxa"/>
            <w:shd w:val="clear" w:color="auto" w:fill="auto"/>
            <w:noWrap/>
            <w:vAlign w:val="center"/>
          </w:tcPr>
          <w:p w14:paraId="039C85D0">
            <w:pPr>
              <w:widowControl/>
              <w:jc w:val="center"/>
              <w:rPr>
                <w:rFonts w:ascii="Times New Roman" w:eastAsia="仿宋"/>
                <w:sz w:val="21"/>
                <w:szCs w:val="21"/>
              </w:rPr>
            </w:pPr>
            <w:r>
              <w:rPr>
                <w:rFonts w:ascii="Times New Roman" w:eastAsia="仿宋"/>
                <w:sz w:val="21"/>
                <w:szCs w:val="21"/>
              </w:rPr>
              <w:t>0.1833</w:t>
            </w:r>
          </w:p>
        </w:tc>
        <w:tc>
          <w:tcPr>
            <w:tcW w:w="1206" w:type="dxa"/>
            <w:shd w:val="clear" w:color="auto" w:fill="auto"/>
            <w:noWrap/>
            <w:vAlign w:val="center"/>
          </w:tcPr>
          <w:p w14:paraId="1CA77ACD">
            <w:pPr>
              <w:widowControl/>
              <w:jc w:val="center"/>
              <w:rPr>
                <w:rFonts w:ascii="Times New Roman" w:eastAsia="仿宋"/>
                <w:sz w:val="21"/>
                <w:szCs w:val="21"/>
              </w:rPr>
            </w:pPr>
            <w:r>
              <w:rPr>
                <w:rFonts w:ascii="Times New Roman" w:eastAsia="仿宋"/>
                <w:sz w:val="21"/>
                <w:szCs w:val="21"/>
              </w:rPr>
              <w:t>0.7220</w:t>
            </w:r>
          </w:p>
        </w:tc>
        <w:tc>
          <w:tcPr>
            <w:tcW w:w="1009" w:type="dxa"/>
            <w:shd w:val="clear" w:color="auto" w:fill="auto"/>
            <w:noWrap/>
            <w:vAlign w:val="center"/>
          </w:tcPr>
          <w:p w14:paraId="4EABF45C">
            <w:pPr>
              <w:widowControl/>
              <w:jc w:val="center"/>
              <w:rPr>
                <w:rFonts w:ascii="Times New Roman" w:eastAsia="仿宋"/>
                <w:sz w:val="21"/>
                <w:szCs w:val="21"/>
              </w:rPr>
            </w:pPr>
            <w:r>
              <w:rPr>
                <w:rFonts w:ascii="Times New Roman" w:eastAsia="仿宋"/>
                <w:sz w:val="21"/>
                <w:szCs w:val="21"/>
              </w:rPr>
              <w:t>9.45%</w:t>
            </w:r>
          </w:p>
        </w:tc>
      </w:tr>
      <w:tr w14:paraId="162D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1EF6D267">
            <w:pPr>
              <w:widowControl/>
              <w:jc w:val="center"/>
              <w:rPr>
                <w:rFonts w:ascii="Times New Roman" w:eastAsia="仿宋"/>
                <w:sz w:val="21"/>
                <w:szCs w:val="21"/>
              </w:rPr>
            </w:pPr>
            <w:r>
              <w:rPr>
                <w:rFonts w:ascii="Times New Roman" w:eastAsia="仿宋"/>
                <w:sz w:val="21"/>
                <w:szCs w:val="21"/>
              </w:rPr>
              <w:t>24</w:t>
            </w:r>
          </w:p>
        </w:tc>
        <w:tc>
          <w:tcPr>
            <w:tcW w:w="2105" w:type="dxa"/>
            <w:shd w:val="clear" w:color="auto" w:fill="auto"/>
            <w:noWrap/>
            <w:vAlign w:val="center"/>
          </w:tcPr>
          <w:p w14:paraId="2A0F87BB">
            <w:pPr>
              <w:widowControl/>
              <w:jc w:val="center"/>
              <w:rPr>
                <w:rFonts w:ascii="Times New Roman" w:eastAsia="仿宋"/>
                <w:sz w:val="21"/>
                <w:szCs w:val="21"/>
              </w:rPr>
            </w:pPr>
            <w:r>
              <w:rPr>
                <w:rFonts w:ascii="Times New Roman" w:eastAsia="仿宋"/>
                <w:sz w:val="21"/>
                <w:szCs w:val="21"/>
              </w:rPr>
              <w:t>常州苏昊服装有限公司</w:t>
            </w:r>
          </w:p>
        </w:tc>
        <w:tc>
          <w:tcPr>
            <w:tcW w:w="1206" w:type="dxa"/>
            <w:shd w:val="clear" w:color="auto" w:fill="auto"/>
            <w:noWrap/>
            <w:vAlign w:val="center"/>
          </w:tcPr>
          <w:p w14:paraId="120345F5">
            <w:pPr>
              <w:widowControl/>
              <w:jc w:val="center"/>
              <w:rPr>
                <w:rFonts w:ascii="Times New Roman" w:eastAsia="仿宋"/>
                <w:sz w:val="21"/>
                <w:szCs w:val="21"/>
              </w:rPr>
            </w:pPr>
            <w:r>
              <w:rPr>
                <w:rFonts w:ascii="Times New Roman" w:eastAsia="仿宋"/>
                <w:sz w:val="21"/>
                <w:szCs w:val="21"/>
              </w:rPr>
              <w:t>0.0150</w:t>
            </w:r>
          </w:p>
        </w:tc>
        <w:tc>
          <w:tcPr>
            <w:tcW w:w="1206" w:type="dxa"/>
            <w:shd w:val="clear" w:color="auto" w:fill="auto"/>
            <w:noWrap/>
            <w:vAlign w:val="center"/>
          </w:tcPr>
          <w:p w14:paraId="267EA6A8">
            <w:pPr>
              <w:widowControl/>
              <w:jc w:val="center"/>
              <w:rPr>
                <w:rFonts w:ascii="Times New Roman" w:eastAsia="仿宋"/>
                <w:sz w:val="21"/>
                <w:szCs w:val="21"/>
              </w:rPr>
            </w:pPr>
            <w:r>
              <w:rPr>
                <w:rFonts w:ascii="Times New Roman" w:eastAsia="仿宋"/>
                <w:sz w:val="21"/>
                <w:szCs w:val="21"/>
              </w:rPr>
              <w:t>0.0253</w:t>
            </w:r>
          </w:p>
        </w:tc>
        <w:tc>
          <w:tcPr>
            <w:tcW w:w="1206" w:type="dxa"/>
            <w:shd w:val="clear" w:color="auto" w:fill="auto"/>
            <w:noWrap/>
            <w:vAlign w:val="center"/>
          </w:tcPr>
          <w:p w14:paraId="3EDAC48D">
            <w:pPr>
              <w:widowControl/>
              <w:jc w:val="center"/>
              <w:rPr>
                <w:rFonts w:ascii="Times New Roman" w:eastAsia="仿宋"/>
                <w:sz w:val="21"/>
                <w:szCs w:val="21"/>
              </w:rPr>
            </w:pPr>
            <w:r>
              <w:rPr>
                <w:rFonts w:ascii="Times New Roman" w:eastAsia="仿宋"/>
                <w:sz w:val="21"/>
                <w:szCs w:val="21"/>
              </w:rPr>
              <w:t>0.0150</w:t>
            </w:r>
          </w:p>
        </w:tc>
        <w:tc>
          <w:tcPr>
            <w:tcW w:w="1206" w:type="dxa"/>
            <w:shd w:val="clear" w:color="auto" w:fill="auto"/>
            <w:noWrap/>
            <w:vAlign w:val="center"/>
          </w:tcPr>
          <w:p w14:paraId="300297F5">
            <w:pPr>
              <w:widowControl/>
              <w:jc w:val="center"/>
              <w:rPr>
                <w:rFonts w:ascii="Times New Roman" w:eastAsia="仿宋"/>
                <w:sz w:val="21"/>
                <w:szCs w:val="21"/>
              </w:rPr>
            </w:pPr>
            <w:r>
              <w:rPr>
                <w:rFonts w:ascii="Times New Roman" w:eastAsia="仿宋"/>
                <w:sz w:val="21"/>
                <w:szCs w:val="21"/>
              </w:rPr>
              <w:t>0.0553</w:t>
            </w:r>
          </w:p>
        </w:tc>
        <w:tc>
          <w:tcPr>
            <w:tcW w:w="1009" w:type="dxa"/>
            <w:shd w:val="clear" w:color="auto" w:fill="auto"/>
            <w:noWrap/>
            <w:vAlign w:val="center"/>
          </w:tcPr>
          <w:p w14:paraId="46C7262E">
            <w:pPr>
              <w:widowControl/>
              <w:jc w:val="center"/>
              <w:rPr>
                <w:rFonts w:ascii="Times New Roman" w:eastAsia="仿宋"/>
                <w:sz w:val="21"/>
                <w:szCs w:val="21"/>
              </w:rPr>
            </w:pPr>
            <w:r>
              <w:rPr>
                <w:rFonts w:ascii="Times New Roman" w:eastAsia="仿宋"/>
                <w:sz w:val="21"/>
                <w:szCs w:val="21"/>
              </w:rPr>
              <w:t>0.72%</w:t>
            </w:r>
          </w:p>
        </w:tc>
      </w:tr>
      <w:tr w14:paraId="5900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9A40148">
            <w:pPr>
              <w:widowControl/>
              <w:jc w:val="center"/>
              <w:rPr>
                <w:rFonts w:ascii="Times New Roman" w:eastAsia="仿宋"/>
                <w:sz w:val="21"/>
                <w:szCs w:val="21"/>
              </w:rPr>
            </w:pPr>
            <w:r>
              <w:rPr>
                <w:rFonts w:ascii="Times New Roman" w:eastAsia="仿宋"/>
                <w:sz w:val="21"/>
                <w:szCs w:val="21"/>
              </w:rPr>
              <w:t>25</w:t>
            </w:r>
          </w:p>
        </w:tc>
        <w:tc>
          <w:tcPr>
            <w:tcW w:w="2105" w:type="dxa"/>
            <w:shd w:val="clear" w:color="auto" w:fill="auto"/>
            <w:noWrap/>
            <w:vAlign w:val="center"/>
          </w:tcPr>
          <w:p w14:paraId="1828B1C6">
            <w:pPr>
              <w:widowControl/>
              <w:jc w:val="center"/>
              <w:rPr>
                <w:rFonts w:ascii="Times New Roman" w:eastAsia="仿宋"/>
                <w:sz w:val="21"/>
                <w:szCs w:val="21"/>
              </w:rPr>
            </w:pPr>
            <w:r>
              <w:rPr>
                <w:rFonts w:ascii="Times New Roman" w:eastAsia="仿宋"/>
                <w:sz w:val="21"/>
                <w:szCs w:val="21"/>
              </w:rPr>
              <w:t>常州市金坛建明机械制造厂（普通合伙）</w:t>
            </w:r>
          </w:p>
        </w:tc>
        <w:tc>
          <w:tcPr>
            <w:tcW w:w="1206" w:type="dxa"/>
            <w:shd w:val="clear" w:color="auto" w:fill="auto"/>
            <w:noWrap/>
            <w:vAlign w:val="center"/>
          </w:tcPr>
          <w:p w14:paraId="419AA747">
            <w:pPr>
              <w:widowControl/>
              <w:jc w:val="center"/>
              <w:rPr>
                <w:rFonts w:ascii="Times New Roman" w:eastAsia="仿宋"/>
                <w:sz w:val="21"/>
                <w:szCs w:val="21"/>
              </w:rPr>
            </w:pPr>
            <w:r>
              <w:rPr>
                <w:rFonts w:ascii="Times New Roman" w:eastAsia="仿宋"/>
                <w:sz w:val="21"/>
                <w:szCs w:val="21"/>
              </w:rPr>
              <w:t>0.0347</w:t>
            </w:r>
          </w:p>
        </w:tc>
        <w:tc>
          <w:tcPr>
            <w:tcW w:w="1206" w:type="dxa"/>
            <w:shd w:val="clear" w:color="auto" w:fill="auto"/>
            <w:noWrap/>
            <w:vAlign w:val="center"/>
          </w:tcPr>
          <w:p w14:paraId="311F38E0">
            <w:pPr>
              <w:widowControl/>
              <w:jc w:val="center"/>
              <w:rPr>
                <w:rFonts w:ascii="Times New Roman" w:eastAsia="仿宋"/>
                <w:sz w:val="21"/>
                <w:szCs w:val="21"/>
              </w:rPr>
            </w:pPr>
            <w:r>
              <w:rPr>
                <w:rFonts w:ascii="Times New Roman" w:eastAsia="仿宋"/>
                <w:sz w:val="21"/>
                <w:szCs w:val="21"/>
              </w:rPr>
              <w:t>0.0433</w:t>
            </w:r>
          </w:p>
        </w:tc>
        <w:tc>
          <w:tcPr>
            <w:tcW w:w="1206" w:type="dxa"/>
            <w:shd w:val="clear" w:color="auto" w:fill="auto"/>
            <w:noWrap/>
            <w:vAlign w:val="center"/>
          </w:tcPr>
          <w:p w14:paraId="6BFA4FD5">
            <w:pPr>
              <w:widowControl/>
              <w:jc w:val="center"/>
              <w:rPr>
                <w:rFonts w:ascii="Times New Roman" w:eastAsia="仿宋"/>
                <w:sz w:val="21"/>
                <w:szCs w:val="21"/>
              </w:rPr>
            </w:pPr>
            <w:r>
              <w:rPr>
                <w:rFonts w:ascii="Times New Roman" w:eastAsia="仿宋"/>
                <w:sz w:val="21"/>
                <w:szCs w:val="21"/>
              </w:rPr>
              <w:t>0.0433</w:t>
            </w:r>
          </w:p>
        </w:tc>
        <w:tc>
          <w:tcPr>
            <w:tcW w:w="1206" w:type="dxa"/>
            <w:shd w:val="clear" w:color="auto" w:fill="auto"/>
            <w:noWrap/>
            <w:vAlign w:val="center"/>
          </w:tcPr>
          <w:p w14:paraId="4AB57E9A">
            <w:pPr>
              <w:widowControl/>
              <w:jc w:val="center"/>
              <w:rPr>
                <w:rFonts w:ascii="Times New Roman" w:eastAsia="仿宋"/>
                <w:sz w:val="21"/>
                <w:szCs w:val="21"/>
              </w:rPr>
            </w:pPr>
            <w:r>
              <w:rPr>
                <w:rFonts w:ascii="Times New Roman" w:eastAsia="仿宋"/>
                <w:sz w:val="21"/>
                <w:szCs w:val="21"/>
              </w:rPr>
              <w:t>0.1213</w:t>
            </w:r>
          </w:p>
        </w:tc>
        <w:tc>
          <w:tcPr>
            <w:tcW w:w="1009" w:type="dxa"/>
            <w:shd w:val="clear" w:color="auto" w:fill="auto"/>
            <w:noWrap/>
            <w:vAlign w:val="center"/>
          </w:tcPr>
          <w:p w14:paraId="7C6009FC">
            <w:pPr>
              <w:widowControl/>
              <w:jc w:val="center"/>
              <w:rPr>
                <w:rFonts w:ascii="Times New Roman" w:eastAsia="仿宋"/>
                <w:sz w:val="21"/>
                <w:szCs w:val="21"/>
              </w:rPr>
            </w:pPr>
            <w:r>
              <w:rPr>
                <w:rFonts w:ascii="Times New Roman" w:eastAsia="仿宋"/>
                <w:sz w:val="21"/>
                <w:szCs w:val="21"/>
              </w:rPr>
              <w:t>1.59%</w:t>
            </w:r>
          </w:p>
        </w:tc>
      </w:tr>
      <w:tr w14:paraId="0772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5FF0DEC">
            <w:pPr>
              <w:widowControl/>
              <w:jc w:val="center"/>
              <w:rPr>
                <w:rFonts w:ascii="Times New Roman" w:eastAsia="仿宋"/>
                <w:sz w:val="21"/>
                <w:szCs w:val="21"/>
              </w:rPr>
            </w:pPr>
            <w:r>
              <w:rPr>
                <w:rFonts w:ascii="Times New Roman" w:eastAsia="仿宋"/>
                <w:sz w:val="21"/>
                <w:szCs w:val="21"/>
              </w:rPr>
              <w:t>26</w:t>
            </w:r>
          </w:p>
        </w:tc>
        <w:tc>
          <w:tcPr>
            <w:tcW w:w="2105" w:type="dxa"/>
            <w:shd w:val="clear" w:color="auto" w:fill="auto"/>
            <w:noWrap/>
            <w:vAlign w:val="center"/>
          </w:tcPr>
          <w:p w14:paraId="37FF57A3">
            <w:pPr>
              <w:widowControl/>
              <w:jc w:val="center"/>
              <w:rPr>
                <w:rFonts w:ascii="Times New Roman" w:eastAsia="仿宋"/>
                <w:sz w:val="21"/>
                <w:szCs w:val="21"/>
              </w:rPr>
            </w:pPr>
            <w:r>
              <w:rPr>
                <w:rFonts w:ascii="Times New Roman" w:eastAsia="仿宋"/>
                <w:sz w:val="21"/>
                <w:szCs w:val="21"/>
              </w:rPr>
              <w:t>常州辉友金属材料有限公司</w:t>
            </w:r>
          </w:p>
        </w:tc>
        <w:tc>
          <w:tcPr>
            <w:tcW w:w="1206" w:type="dxa"/>
            <w:shd w:val="clear" w:color="auto" w:fill="auto"/>
            <w:noWrap/>
            <w:vAlign w:val="center"/>
          </w:tcPr>
          <w:p w14:paraId="1B587E03">
            <w:pPr>
              <w:widowControl/>
              <w:jc w:val="center"/>
              <w:rPr>
                <w:rFonts w:ascii="Times New Roman" w:eastAsia="仿宋"/>
                <w:sz w:val="21"/>
                <w:szCs w:val="21"/>
              </w:rPr>
            </w:pPr>
            <w:r>
              <w:rPr>
                <w:rFonts w:ascii="Times New Roman" w:eastAsia="仿宋"/>
                <w:sz w:val="21"/>
                <w:szCs w:val="21"/>
              </w:rPr>
              <w:t>0.0083</w:t>
            </w:r>
          </w:p>
        </w:tc>
        <w:tc>
          <w:tcPr>
            <w:tcW w:w="1206" w:type="dxa"/>
            <w:shd w:val="clear" w:color="auto" w:fill="auto"/>
            <w:noWrap/>
            <w:vAlign w:val="center"/>
          </w:tcPr>
          <w:p w14:paraId="7C88B36A">
            <w:pPr>
              <w:widowControl/>
              <w:jc w:val="center"/>
              <w:rPr>
                <w:rFonts w:ascii="Times New Roman" w:eastAsia="仿宋"/>
                <w:sz w:val="21"/>
                <w:szCs w:val="21"/>
              </w:rPr>
            </w:pPr>
            <w:r>
              <w:rPr>
                <w:rFonts w:ascii="Times New Roman" w:eastAsia="仿宋"/>
                <w:sz w:val="21"/>
                <w:szCs w:val="21"/>
              </w:rPr>
              <w:t>0.0120</w:t>
            </w:r>
          </w:p>
        </w:tc>
        <w:tc>
          <w:tcPr>
            <w:tcW w:w="1206" w:type="dxa"/>
            <w:shd w:val="clear" w:color="auto" w:fill="auto"/>
            <w:noWrap/>
            <w:vAlign w:val="center"/>
          </w:tcPr>
          <w:p w14:paraId="10E9B57F">
            <w:pPr>
              <w:widowControl/>
              <w:jc w:val="center"/>
              <w:rPr>
                <w:rFonts w:ascii="Times New Roman" w:eastAsia="仿宋"/>
                <w:sz w:val="21"/>
                <w:szCs w:val="21"/>
              </w:rPr>
            </w:pPr>
            <w:r>
              <w:rPr>
                <w:rFonts w:ascii="Times New Roman" w:eastAsia="仿宋"/>
                <w:sz w:val="21"/>
                <w:szCs w:val="21"/>
              </w:rPr>
              <w:t>0.0067</w:t>
            </w:r>
          </w:p>
        </w:tc>
        <w:tc>
          <w:tcPr>
            <w:tcW w:w="1206" w:type="dxa"/>
            <w:shd w:val="clear" w:color="auto" w:fill="auto"/>
            <w:noWrap/>
            <w:vAlign w:val="center"/>
          </w:tcPr>
          <w:p w14:paraId="6AEF1B6A">
            <w:pPr>
              <w:widowControl/>
              <w:jc w:val="center"/>
              <w:rPr>
                <w:rFonts w:ascii="Times New Roman" w:eastAsia="仿宋"/>
                <w:sz w:val="21"/>
                <w:szCs w:val="21"/>
              </w:rPr>
            </w:pPr>
            <w:r>
              <w:rPr>
                <w:rFonts w:ascii="Times New Roman" w:eastAsia="仿宋"/>
                <w:sz w:val="21"/>
                <w:szCs w:val="21"/>
              </w:rPr>
              <w:t>0.0270</w:t>
            </w:r>
          </w:p>
        </w:tc>
        <w:tc>
          <w:tcPr>
            <w:tcW w:w="1009" w:type="dxa"/>
            <w:shd w:val="clear" w:color="auto" w:fill="auto"/>
            <w:noWrap/>
            <w:vAlign w:val="center"/>
          </w:tcPr>
          <w:p w14:paraId="1C9ECEE9">
            <w:pPr>
              <w:widowControl/>
              <w:jc w:val="center"/>
              <w:rPr>
                <w:rFonts w:ascii="Times New Roman" w:eastAsia="仿宋"/>
                <w:sz w:val="21"/>
                <w:szCs w:val="21"/>
              </w:rPr>
            </w:pPr>
            <w:r>
              <w:rPr>
                <w:rFonts w:ascii="Times New Roman" w:eastAsia="仿宋"/>
                <w:sz w:val="21"/>
                <w:szCs w:val="21"/>
              </w:rPr>
              <w:t>0.35%</w:t>
            </w:r>
          </w:p>
        </w:tc>
      </w:tr>
      <w:tr w14:paraId="2DD6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601720DA">
            <w:pPr>
              <w:widowControl/>
              <w:jc w:val="center"/>
              <w:rPr>
                <w:rFonts w:ascii="Times New Roman" w:eastAsia="仿宋"/>
                <w:sz w:val="21"/>
                <w:szCs w:val="21"/>
              </w:rPr>
            </w:pPr>
            <w:r>
              <w:rPr>
                <w:rFonts w:ascii="Times New Roman" w:eastAsia="仿宋"/>
                <w:sz w:val="21"/>
                <w:szCs w:val="21"/>
              </w:rPr>
              <w:t>27</w:t>
            </w:r>
          </w:p>
        </w:tc>
        <w:tc>
          <w:tcPr>
            <w:tcW w:w="2105" w:type="dxa"/>
            <w:shd w:val="clear" w:color="auto" w:fill="auto"/>
            <w:noWrap/>
            <w:vAlign w:val="center"/>
          </w:tcPr>
          <w:p w14:paraId="31E48C13">
            <w:pPr>
              <w:widowControl/>
              <w:jc w:val="center"/>
              <w:rPr>
                <w:rFonts w:ascii="Times New Roman" w:eastAsia="仿宋"/>
                <w:sz w:val="21"/>
                <w:szCs w:val="21"/>
              </w:rPr>
            </w:pPr>
            <w:r>
              <w:rPr>
                <w:rFonts w:ascii="Times New Roman" w:eastAsia="仿宋"/>
                <w:sz w:val="21"/>
                <w:szCs w:val="21"/>
              </w:rPr>
              <w:t>常州新瑞卫生用品有限公司</w:t>
            </w:r>
          </w:p>
        </w:tc>
        <w:tc>
          <w:tcPr>
            <w:tcW w:w="1206" w:type="dxa"/>
            <w:shd w:val="clear" w:color="auto" w:fill="auto"/>
            <w:noWrap/>
            <w:vAlign w:val="center"/>
          </w:tcPr>
          <w:p w14:paraId="06B19F16">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2CC88619">
            <w:pPr>
              <w:widowControl/>
              <w:jc w:val="center"/>
              <w:rPr>
                <w:rFonts w:ascii="Times New Roman" w:eastAsia="仿宋"/>
                <w:sz w:val="21"/>
                <w:szCs w:val="21"/>
              </w:rPr>
            </w:pPr>
            <w:r>
              <w:rPr>
                <w:rFonts w:ascii="Times New Roman" w:eastAsia="仿宋"/>
                <w:sz w:val="21"/>
                <w:szCs w:val="21"/>
              </w:rPr>
              <w:t>0.0200</w:t>
            </w:r>
          </w:p>
        </w:tc>
        <w:tc>
          <w:tcPr>
            <w:tcW w:w="1206" w:type="dxa"/>
            <w:shd w:val="clear" w:color="auto" w:fill="auto"/>
            <w:noWrap/>
            <w:vAlign w:val="center"/>
          </w:tcPr>
          <w:p w14:paraId="5DDFD176">
            <w:pPr>
              <w:widowControl/>
              <w:jc w:val="center"/>
              <w:rPr>
                <w:rFonts w:ascii="Times New Roman" w:eastAsia="仿宋"/>
                <w:sz w:val="21"/>
                <w:szCs w:val="21"/>
              </w:rPr>
            </w:pPr>
            <w:r>
              <w:rPr>
                <w:rFonts w:ascii="Times New Roman" w:eastAsia="仿宋"/>
                <w:sz w:val="21"/>
                <w:szCs w:val="21"/>
              </w:rPr>
              <w:t>0.0120</w:t>
            </w:r>
          </w:p>
        </w:tc>
        <w:tc>
          <w:tcPr>
            <w:tcW w:w="1206" w:type="dxa"/>
            <w:shd w:val="clear" w:color="auto" w:fill="auto"/>
            <w:noWrap/>
            <w:vAlign w:val="center"/>
          </w:tcPr>
          <w:p w14:paraId="6EA09A8B">
            <w:pPr>
              <w:widowControl/>
              <w:jc w:val="center"/>
              <w:rPr>
                <w:rFonts w:ascii="Times New Roman" w:eastAsia="仿宋"/>
                <w:sz w:val="21"/>
                <w:szCs w:val="21"/>
              </w:rPr>
            </w:pPr>
            <w:r>
              <w:rPr>
                <w:rFonts w:ascii="Times New Roman" w:eastAsia="仿宋"/>
                <w:sz w:val="21"/>
                <w:szCs w:val="21"/>
              </w:rPr>
              <w:t>0.0420</w:t>
            </w:r>
          </w:p>
        </w:tc>
        <w:tc>
          <w:tcPr>
            <w:tcW w:w="1009" w:type="dxa"/>
            <w:shd w:val="clear" w:color="auto" w:fill="auto"/>
            <w:noWrap/>
            <w:vAlign w:val="center"/>
          </w:tcPr>
          <w:p w14:paraId="3DC7E4CC">
            <w:pPr>
              <w:widowControl/>
              <w:jc w:val="center"/>
              <w:rPr>
                <w:rFonts w:ascii="Times New Roman" w:eastAsia="仿宋"/>
                <w:sz w:val="21"/>
                <w:szCs w:val="21"/>
              </w:rPr>
            </w:pPr>
            <w:r>
              <w:rPr>
                <w:rFonts w:ascii="Times New Roman" w:eastAsia="仿宋"/>
                <w:sz w:val="21"/>
                <w:szCs w:val="21"/>
              </w:rPr>
              <w:t>0.55%</w:t>
            </w:r>
          </w:p>
        </w:tc>
      </w:tr>
      <w:tr w14:paraId="076C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22A2D84">
            <w:pPr>
              <w:widowControl/>
              <w:jc w:val="center"/>
              <w:rPr>
                <w:rFonts w:ascii="Times New Roman" w:eastAsia="仿宋"/>
                <w:sz w:val="21"/>
                <w:szCs w:val="21"/>
              </w:rPr>
            </w:pPr>
            <w:r>
              <w:rPr>
                <w:rFonts w:ascii="Times New Roman" w:eastAsia="仿宋"/>
                <w:sz w:val="21"/>
                <w:szCs w:val="21"/>
              </w:rPr>
              <w:t>28</w:t>
            </w:r>
          </w:p>
        </w:tc>
        <w:tc>
          <w:tcPr>
            <w:tcW w:w="2105" w:type="dxa"/>
            <w:shd w:val="clear" w:color="auto" w:fill="auto"/>
            <w:noWrap/>
            <w:vAlign w:val="center"/>
          </w:tcPr>
          <w:p w14:paraId="7244F7D1">
            <w:pPr>
              <w:widowControl/>
              <w:jc w:val="center"/>
              <w:rPr>
                <w:rFonts w:ascii="Times New Roman" w:eastAsia="仿宋"/>
                <w:sz w:val="21"/>
                <w:szCs w:val="21"/>
              </w:rPr>
            </w:pPr>
            <w:r>
              <w:rPr>
                <w:rFonts w:ascii="Times New Roman" w:eastAsia="仿宋"/>
                <w:sz w:val="21"/>
                <w:szCs w:val="21"/>
              </w:rPr>
              <w:t>江苏天潭科技材料有限公司</w:t>
            </w:r>
          </w:p>
        </w:tc>
        <w:tc>
          <w:tcPr>
            <w:tcW w:w="1206" w:type="dxa"/>
            <w:shd w:val="clear" w:color="auto" w:fill="auto"/>
            <w:noWrap/>
            <w:vAlign w:val="center"/>
          </w:tcPr>
          <w:p w14:paraId="33CD783A">
            <w:pPr>
              <w:widowControl/>
              <w:jc w:val="center"/>
              <w:rPr>
                <w:rFonts w:ascii="Times New Roman" w:eastAsia="仿宋"/>
                <w:sz w:val="21"/>
                <w:szCs w:val="21"/>
              </w:rPr>
            </w:pPr>
            <w:r>
              <w:rPr>
                <w:rFonts w:ascii="Times New Roman" w:eastAsia="仿宋"/>
                <w:sz w:val="21"/>
                <w:szCs w:val="21"/>
              </w:rPr>
              <w:t>0.0077</w:t>
            </w:r>
          </w:p>
        </w:tc>
        <w:tc>
          <w:tcPr>
            <w:tcW w:w="1206" w:type="dxa"/>
            <w:shd w:val="clear" w:color="auto" w:fill="auto"/>
            <w:noWrap/>
            <w:vAlign w:val="center"/>
          </w:tcPr>
          <w:p w14:paraId="26E1876C">
            <w:pPr>
              <w:widowControl/>
              <w:jc w:val="center"/>
              <w:rPr>
                <w:rFonts w:ascii="Times New Roman" w:eastAsia="仿宋"/>
                <w:sz w:val="21"/>
                <w:szCs w:val="21"/>
              </w:rPr>
            </w:pPr>
            <w:r>
              <w:rPr>
                <w:rFonts w:ascii="Times New Roman" w:eastAsia="仿宋"/>
                <w:sz w:val="21"/>
                <w:szCs w:val="21"/>
              </w:rPr>
              <w:t>0.0093</w:t>
            </w:r>
          </w:p>
        </w:tc>
        <w:tc>
          <w:tcPr>
            <w:tcW w:w="1206" w:type="dxa"/>
            <w:shd w:val="clear" w:color="auto" w:fill="auto"/>
            <w:noWrap/>
            <w:vAlign w:val="center"/>
          </w:tcPr>
          <w:p w14:paraId="1C017933">
            <w:pPr>
              <w:widowControl/>
              <w:jc w:val="center"/>
              <w:rPr>
                <w:rFonts w:ascii="Times New Roman" w:eastAsia="仿宋"/>
                <w:sz w:val="21"/>
                <w:szCs w:val="21"/>
              </w:rPr>
            </w:pPr>
            <w:r>
              <w:rPr>
                <w:rFonts w:ascii="Times New Roman" w:eastAsia="仿宋"/>
                <w:sz w:val="21"/>
                <w:szCs w:val="21"/>
              </w:rPr>
              <w:t>0.0067</w:t>
            </w:r>
          </w:p>
        </w:tc>
        <w:tc>
          <w:tcPr>
            <w:tcW w:w="1206" w:type="dxa"/>
            <w:shd w:val="clear" w:color="auto" w:fill="auto"/>
            <w:noWrap/>
            <w:vAlign w:val="center"/>
          </w:tcPr>
          <w:p w14:paraId="38908225">
            <w:pPr>
              <w:widowControl/>
              <w:jc w:val="center"/>
              <w:rPr>
                <w:rFonts w:ascii="Times New Roman" w:eastAsia="仿宋"/>
                <w:sz w:val="21"/>
                <w:szCs w:val="21"/>
              </w:rPr>
            </w:pPr>
            <w:r>
              <w:rPr>
                <w:rFonts w:ascii="Times New Roman" w:eastAsia="仿宋"/>
                <w:sz w:val="21"/>
                <w:szCs w:val="21"/>
              </w:rPr>
              <w:t>0.0237</w:t>
            </w:r>
          </w:p>
        </w:tc>
        <w:tc>
          <w:tcPr>
            <w:tcW w:w="1009" w:type="dxa"/>
            <w:shd w:val="clear" w:color="auto" w:fill="auto"/>
            <w:noWrap/>
            <w:vAlign w:val="center"/>
          </w:tcPr>
          <w:p w14:paraId="5A5071FF">
            <w:pPr>
              <w:widowControl/>
              <w:jc w:val="center"/>
              <w:rPr>
                <w:rFonts w:ascii="Times New Roman" w:eastAsia="仿宋"/>
                <w:sz w:val="21"/>
                <w:szCs w:val="21"/>
              </w:rPr>
            </w:pPr>
            <w:r>
              <w:rPr>
                <w:rFonts w:ascii="Times New Roman" w:eastAsia="仿宋"/>
                <w:sz w:val="21"/>
                <w:szCs w:val="21"/>
              </w:rPr>
              <w:t>0.31%</w:t>
            </w:r>
          </w:p>
        </w:tc>
      </w:tr>
      <w:tr w14:paraId="1382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240DDA0">
            <w:pPr>
              <w:widowControl/>
              <w:jc w:val="center"/>
              <w:rPr>
                <w:rFonts w:ascii="Times New Roman" w:eastAsia="仿宋"/>
                <w:sz w:val="21"/>
                <w:szCs w:val="21"/>
              </w:rPr>
            </w:pPr>
            <w:r>
              <w:rPr>
                <w:rFonts w:ascii="Times New Roman" w:eastAsia="仿宋"/>
                <w:sz w:val="21"/>
                <w:szCs w:val="21"/>
              </w:rPr>
              <w:t>29</w:t>
            </w:r>
          </w:p>
        </w:tc>
        <w:tc>
          <w:tcPr>
            <w:tcW w:w="2105" w:type="dxa"/>
            <w:shd w:val="clear" w:color="auto" w:fill="auto"/>
            <w:noWrap/>
            <w:vAlign w:val="center"/>
          </w:tcPr>
          <w:p w14:paraId="557998AD">
            <w:pPr>
              <w:widowControl/>
              <w:jc w:val="center"/>
              <w:rPr>
                <w:rFonts w:ascii="Times New Roman" w:eastAsia="仿宋"/>
                <w:sz w:val="21"/>
                <w:szCs w:val="21"/>
              </w:rPr>
            </w:pPr>
            <w:r>
              <w:rPr>
                <w:rFonts w:ascii="Times New Roman" w:eastAsia="仿宋"/>
                <w:sz w:val="21"/>
                <w:szCs w:val="21"/>
              </w:rPr>
              <w:t>常州洮湖机械有限公司</w:t>
            </w:r>
          </w:p>
        </w:tc>
        <w:tc>
          <w:tcPr>
            <w:tcW w:w="1206" w:type="dxa"/>
            <w:shd w:val="clear" w:color="auto" w:fill="auto"/>
            <w:noWrap/>
            <w:vAlign w:val="center"/>
          </w:tcPr>
          <w:p w14:paraId="7F28851F">
            <w:pPr>
              <w:widowControl/>
              <w:jc w:val="center"/>
              <w:rPr>
                <w:rFonts w:ascii="Times New Roman" w:eastAsia="仿宋"/>
                <w:sz w:val="21"/>
                <w:szCs w:val="21"/>
              </w:rPr>
            </w:pPr>
            <w:r>
              <w:rPr>
                <w:rFonts w:ascii="Times New Roman" w:eastAsia="仿宋"/>
                <w:sz w:val="21"/>
                <w:szCs w:val="21"/>
              </w:rPr>
              <w:t>0.0032</w:t>
            </w:r>
          </w:p>
        </w:tc>
        <w:tc>
          <w:tcPr>
            <w:tcW w:w="1206" w:type="dxa"/>
            <w:shd w:val="clear" w:color="auto" w:fill="auto"/>
            <w:noWrap/>
            <w:vAlign w:val="center"/>
          </w:tcPr>
          <w:p w14:paraId="1A670A6B">
            <w:pPr>
              <w:widowControl/>
              <w:jc w:val="center"/>
              <w:rPr>
                <w:rFonts w:ascii="Times New Roman" w:eastAsia="仿宋"/>
                <w:sz w:val="21"/>
                <w:szCs w:val="21"/>
              </w:rPr>
            </w:pPr>
            <w:r>
              <w:rPr>
                <w:rFonts w:ascii="Times New Roman" w:eastAsia="仿宋"/>
                <w:sz w:val="21"/>
                <w:szCs w:val="21"/>
              </w:rPr>
              <w:t>0.0064</w:t>
            </w:r>
          </w:p>
        </w:tc>
        <w:tc>
          <w:tcPr>
            <w:tcW w:w="1206" w:type="dxa"/>
            <w:shd w:val="clear" w:color="auto" w:fill="auto"/>
            <w:noWrap/>
            <w:vAlign w:val="center"/>
          </w:tcPr>
          <w:p w14:paraId="415DEA71">
            <w:pPr>
              <w:widowControl/>
              <w:jc w:val="center"/>
              <w:rPr>
                <w:rFonts w:ascii="Times New Roman" w:eastAsia="仿宋"/>
                <w:sz w:val="21"/>
                <w:szCs w:val="21"/>
              </w:rPr>
            </w:pPr>
            <w:r>
              <w:rPr>
                <w:rFonts w:ascii="Times New Roman" w:eastAsia="仿宋"/>
                <w:sz w:val="21"/>
                <w:szCs w:val="21"/>
              </w:rPr>
              <w:t>0.0040</w:t>
            </w:r>
          </w:p>
        </w:tc>
        <w:tc>
          <w:tcPr>
            <w:tcW w:w="1206" w:type="dxa"/>
            <w:shd w:val="clear" w:color="auto" w:fill="auto"/>
            <w:noWrap/>
            <w:vAlign w:val="center"/>
          </w:tcPr>
          <w:p w14:paraId="02E7DD6D">
            <w:pPr>
              <w:widowControl/>
              <w:jc w:val="center"/>
              <w:rPr>
                <w:rFonts w:ascii="Times New Roman" w:eastAsia="仿宋"/>
                <w:sz w:val="21"/>
                <w:szCs w:val="21"/>
              </w:rPr>
            </w:pPr>
            <w:r>
              <w:rPr>
                <w:rFonts w:ascii="Times New Roman" w:eastAsia="仿宋"/>
                <w:sz w:val="21"/>
                <w:szCs w:val="21"/>
              </w:rPr>
              <w:t>0.0136</w:t>
            </w:r>
          </w:p>
        </w:tc>
        <w:tc>
          <w:tcPr>
            <w:tcW w:w="1009" w:type="dxa"/>
            <w:shd w:val="clear" w:color="auto" w:fill="auto"/>
            <w:noWrap/>
            <w:vAlign w:val="center"/>
          </w:tcPr>
          <w:p w14:paraId="20F73B68">
            <w:pPr>
              <w:widowControl/>
              <w:jc w:val="center"/>
              <w:rPr>
                <w:rFonts w:ascii="Times New Roman" w:eastAsia="仿宋"/>
                <w:sz w:val="21"/>
                <w:szCs w:val="21"/>
              </w:rPr>
            </w:pPr>
            <w:r>
              <w:rPr>
                <w:rFonts w:ascii="Times New Roman" w:eastAsia="仿宋"/>
                <w:sz w:val="21"/>
                <w:szCs w:val="21"/>
              </w:rPr>
              <w:t>0.18%</w:t>
            </w:r>
          </w:p>
        </w:tc>
      </w:tr>
      <w:tr w14:paraId="70B0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3F3C01A">
            <w:pPr>
              <w:widowControl/>
              <w:jc w:val="center"/>
              <w:rPr>
                <w:rFonts w:ascii="Times New Roman" w:eastAsia="仿宋"/>
                <w:sz w:val="21"/>
                <w:szCs w:val="21"/>
              </w:rPr>
            </w:pPr>
            <w:r>
              <w:rPr>
                <w:rFonts w:ascii="Times New Roman" w:eastAsia="仿宋"/>
                <w:sz w:val="21"/>
                <w:szCs w:val="21"/>
              </w:rPr>
              <w:t>30</w:t>
            </w:r>
          </w:p>
        </w:tc>
        <w:tc>
          <w:tcPr>
            <w:tcW w:w="2105" w:type="dxa"/>
            <w:shd w:val="clear" w:color="auto" w:fill="auto"/>
            <w:noWrap/>
            <w:vAlign w:val="center"/>
          </w:tcPr>
          <w:p w14:paraId="06D7276E">
            <w:pPr>
              <w:widowControl/>
              <w:jc w:val="center"/>
              <w:rPr>
                <w:rFonts w:ascii="Times New Roman" w:eastAsia="仿宋"/>
                <w:sz w:val="21"/>
                <w:szCs w:val="21"/>
              </w:rPr>
            </w:pPr>
            <w:r>
              <w:rPr>
                <w:rFonts w:ascii="Times New Roman" w:eastAsia="仿宋"/>
                <w:sz w:val="21"/>
                <w:szCs w:val="21"/>
              </w:rPr>
              <w:t>江苏巨晶新材料科技有限公司</w:t>
            </w:r>
          </w:p>
        </w:tc>
        <w:tc>
          <w:tcPr>
            <w:tcW w:w="1206" w:type="dxa"/>
            <w:shd w:val="clear" w:color="auto" w:fill="auto"/>
            <w:noWrap/>
            <w:vAlign w:val="center"/>
          </w:tcPr>
          <w:p w14:paraId="76E078CB">
            <w:pPr>
              <w:widowControl/>
              <w:jc w:val="center"/>
              <w:rPr>
                <w:rFonts w:ascii="Times New Roman" w:eastAsia="仿宋"/>
                <w:sz w:val="21"/>
                <w:szCs w:val="21"/>
              </w:rPr>
            </w:pPr>
            <w:r>
              <w:rPr>
                <w:rFonts w:ascii="Times New Roman" w:eastAsia="仿宋"/>
                <w:sz w:val="21"/>
                <w:szCs w:val="21"/>
              </w:rPr>
              <w:t>0.0080</w:t>
            </w:r>
          </w:p>
        </w:tc>
        <w:tc>
          <w:tcPr>
            <w:tcW w:w="1206" w:type="dxa"/>
            <w:shd w:val="clear" w:color="auto" w:fill="auto"/>
            <w:noWrap/>
            <w:vAlign w:val="center"/>
          </w:tcPr>
          <w:p w14:paraId="459A55D0">
            <w:pPr>
              <w:widowControl/>
              <w:jc w:val="center"/>
              <w:rPr>
                <w:rFonts w:ascii="Times New Roman" w:eastAsia="仿宋"/>
                <w:sz w:val="21"/>
                <w:szCs w:val="21"/>
              </w:rPr>
            </w:pPr>
            <w:r>
              <w:rPr>
                <w:rFonts w:ascii="Times New Roman" w:eastAsia="仿宋"/>
                <w:sz w:val="21"/>
                <w:szCs w:val="21"/>
              </w:rPr>
              <w:t>0.0133</w:t>
            </w:r>
          </w:p>
        </w:tc>
        <w:tc>
          <w:tcPr>
            <w:tcW w:w="1206" w:type="dxa"/>
            <w:shd w:val="clear" w:color="auto" w:fill="auto"/>
            <w:noWrap/>
            <w:vAlign w:val="center"/>
          </w:tcPr>
          <w:p w14:paraId="58ACF5E8">
            <w:pPr>
              <w:widowControl/>
              <w:jc w:val="center"/>
              <w:rPr>
                <w:rFonts w:ascii="Times New Roman" w:eastAsia="仿宋"/>
                <w:sz w:val="21"/>
                <w:szCs w:val="21"/>
              </w:rPr>
            </w:pPr>
            <w:r>
              <w:rPr>
                <w:rFonts w:ascii="Times New Roman" w:eastAsia="仿宋"/>
                <w:sz w:val="21"/>
                <w:szCs w:val="21"/>
              </w:rPr>
              <w:t>0.0100</w:t>
            </w:r>
          </w:p>
        </w:tc>
        <w:tc>
          <w:tcPr>
            <w:tcW w:w="1206" w:type="dxa"/>
            <w:shd w:val="clear" w:color="auto" w:fill="auto"/>
            <w:noWrap/>
            <w:vAlign w:val="center"/>
          </w:tcPr>
          <w:p w14:paraId="6D4BC509">
            <w:pPr>
              <w:widowControl/>
              <w:jc w:val="center"/>
              <w:rPr>
                <w:rFonts w:ascii="Times New Roman" w:eastAsia="仿宋"/>
                <w:sz w:val="21"/>
                <w:szCs w:val="21"/>
              </w:rPr>
            </w:pPr>
            <w:r>
              <w:rPr>
                <w:rFonts w:ascii="Times New Roman" w:eastAsia="仿宋"/>
                <w:sz w:val="21"/>
                <w:szCs w:val="21"/>
              </w:rPr>
              <w:t>0.0313</w:t>
            </w:r>
          </w:p>
        </w:tc>
        <w:tc>
          <w:tcPr>
            <w:tcW w:w="1009" w:type="dxa"/>
            <w:shd w:val="clear" w:color="auto" w:fill="auto"/>
            <w:noWrap/>
            <w:vAlign w:val="center"/>
          </w:tcPr>
          <w:p w14:paraId="1AC4B209">
            <w:pPr>
              <w:widowControl/>
              <w:jc w:val="center"/>
              <w:rPr>
                <w:rFonts w:ascii="Times New Roman" w:eastAsia="仿宋"/>
                <w:sz w:val="21"/>
                <w:szCs w:val="21"/>
              </w:rPr>
            </w:pPr>
            <w:r>
              <w:rPr>
                <w:rFonts w:ascii="Times New Roman" w:eastAsia="仿宋"/>
                <w:sz w:val="21"/>
                <w:szCs w:val="21"/>
              </w:rPr>
              <w:t>0.41%</w:t>
            </w:r>
          </w:p>
        </w:tc>
      </w:tr>
      <w:tr w14:paraId="33B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35E62C6C">
            <w:pPr>
              <w:widowControl/>
              <w:jc w:val="center"/>
              <w:rPr>
                <w:rFonts w:ascii="Times New Roman" w:eastAsia="仿宋"/>
                <w:sz w:val="21"/>
                <w:szCs w:val="21"/>
              </w:rPr>
            </w:pPr>
            <w:r>
              <w:rPr>
                <w:rFonts w:ascii="Times New Roman" w:eastAsia="仿宋"/>
                <w:sz w:val="21"/>
                <w:szCs w:val="21"/>
              </w:rPr>
              <w:t>31</w:t>
            </w:r>
          </w:p>
        </w:tc>
        <w:tc>
          <w:tcPr>
            <w:tcW w:w="2105" w:type="dxa"/>
            <w:shd w:val="clear" w:color="auto" w:fill="auto"/>
            <w:noWrap/>
            <w:vAlign w:val="center"/>
          </w:tcPr>
          <w:p w14:paraId="08E026AB">
            <w:pPr>
              <w:widowControl/>
              <w:jc w:val="center"/>
              <w:rPr>
                <w:rFonts w:ascii="Times New Roman" w:eastAsia="仿宋"/>
                <w:sz w:val="21"/>
                <w:szCs w:val="21"/>
              </w:rPr>
            </w:pPr>
            <w:r>
              <w:rPr>
                <w:rFonts w:ascii="Times New Roman" w:eastAsia="仿宋"/>
                <w:sz w:val="21"/>
                <w:szCs w:val="21"/>
              </w:rPr>
              <w:t>江苏应天光电科技有限公司</w:t>
            </w:r>
          </w:p>
        </w:tc>
        <w:tc>
          <w:tcPr>
            <w:tcW w:w="1206" w:type="dxa"/>
            <w:shd w:val="clear" w:color="auto" w:fill="auto"/>
            <w:noWrap/>
            <w:vAlign w:val="center"/>
          </w:tcPr>
          <w:p w14:paraId="5E2C804E">
            <w:pPr>
              <w:widowControl/>
              <w:jc w:val="center"/>
              <w:rPr>
                <w:rFonts w:ascii="Times New Roman" w:eastAsia="仿宋"/>
                <w:sz w:val="21"/>
                <w:szCs w:val="21"/>
              </w:rPr>
            </w:pPr>
            <w:r>
              <w:rPr>
                <w:rFonts w:ascii="Times New Roman" w:eastAsia="仿宋"/>
                <w:sz w:val="21"/>
                <w:szCs w:val="21"/>
              </w:rPr>
              <w:t>0.0112</w:t>
            </w:r>
          </w:p>
        </w:tc>
        <w:tc>
          <w:tcPr>
            <w:tcW w:w="1206" w:type="dxa"/>
            <w:shd w:val="clear" w:color="auto" w:fill="auto"/>
            <w:noWrap/>
            <w:vAlign w:val="center"/>
          </w:tcPr>
          <w:p w14:paraId="30FA94B2">
            <w:pPr>
              <w:widowControl/>
              <w:jc w:val="center"/>
              <w:rPr>
                <w:rFonts w:ascii="Times New Roman" w:eastAsia="仿宋"/>
                <w:sz w:val="21"/>
                <w:szCs w:val="21"/>
              </w:rPr>
            </w:pPr>
            <w:r>
              <w:rPr>
                <w:rFonts w:ascii="Times New Roman" w:eastAsia="仿宋"/>
                <w:sz w:val="21"/>
                <w:szCs w:val="21"/>
              </w:rPr>
              <w:t>0.0227</w:t>
            </w:r>
          </w:p>
        </w:tc>
        <w:tc>
          <w:tcPr>
            <w:tcW w:w="1206" w:type="dxa"/>
            <w:shd w:val="clear" w:color="auto" w:fill="auto"/>
            <w:noWrap/>
            <w:vAlign w:val="center"/>
          </w:tcPr>
          <w:p w14:paraId="0354B6E7">
            <w:pPr>
              <w:widowControl/>
              <w:jc w:val="center"/>
              <w:rPr>
                <w:rFonts w:ascii="Times New Roman" w:eastAsia="仿宋"/>
                <w:sz w:val="21"/>
                <w:szCs w:val="21"/>
              </w:rPr>
            </w:pPr>
            <w:r>
              <w:rPr>
                <w:rFonts w:ascii="Times New Roman" w:eastAsia="仿宋"/>
                <w:sz w:val="21"/>
                <w:szCs w:val="21"/>
              </w:rPr>
              <w:t>0.0167</w:t>
            </w:r>
          </w:p>
        </w:tc>
        <w:tc>
          <w:tcPr>
            <w:tcW w:w="1206" w:type="dxa"/>
            <w:shd w:val="clear" w:color="auto" w:fill="auto"/>
            <w:noWrap/>
            <w:vAlign w:val="center"/>
          </w:tcPr>
          <w:p w14:paraId="1CE427C2">
            <w:pPr>
              <w:widowControl/>
              <w:jc w:val="center"/>
              <w:rPr>
                <w:rFonts w:ascii="Times New Roman" w:eastAsia="仿宋"/>
                <w:sz w:val="21"/>
                <w:szCs w:val="21"/>
              </w:rPr>
            </w:pPr>
            <w:r>
              <w:rPr>
                <w:rFonts w:ascii="Times New Roman" w:eastAsia="仿宋"/>
                <w:sz w:val="21"/>
                <w:szCs w:val="21"/>
              </w:rPr>
              <w:t>0.0505</w:t>
            </w:r>
          </w:p>
        </w:tc>
        <w:tc>
          <w:tcPr>
            <w:tcW w:w="1009" w:type="dxa"/>
            <w:shd w:val="clear" w:color="auto" w:fill="auto"/>
            <w:noWrap/>
            <w:vAlign w:val="center"/>
          </w:tcPr>
          <w:p w14:paraId="1FE88B44">
            <w:pPr>
              <w:widowControl/>
              <w:jc w:val="center"/>
              <w:rPr>
                <w:rFonts w:ascii="Times New Roman" w:eastAsia="仿宋"/>
                <w:sz w:val="21"/>
                <w:szCs w:val="21"/>
              </w:rPr>
            </w:pPr>
            <w:r>
              <w:rPr>
                <w:rFonts w:ascii="Times New Roman" w:eastAsia="仿宋"/>
                <w:sz w:val="21"/>
                <w:szCs w:val="21"/>
              </w:rPr>
              <w:t>0.66%</w:t>
            </w:r>
          </w:p>
        </w:tc>
      </w:tr>
      <w:tr w14:paraId="1D11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7622FE74">
            <w:pPr>
              <w:widowControl/>
              <w:jc w:val="center"/>
              <w:rPr>
                <w:rFonts w:ascii="Times New Roman" w:eastAsia="仿宋"/>
                <w:sz w:val="21"/>
                <w:szCs w:val="21"/>
              </w:rPr>
            </w:pPr>
            <w:r>
              <w:rPr>
                <w:rFonts w:ascii="Times New Roman" w:eastAsia="仿宋"/>
                <w:sz w:val="21"/>
                <w:szCs w:val="21"/>
              </w:rPr>
              <w:t>32</w:t>
            </w:r>
          </w:p>
        </w:tc>
        <w:tc>
          <w:tcPr>
            <w:tcW w:w="2105" w:type="dxa"/>
            <w:shd w:val="clear" w:color="auto" w:fill="auto"/>
            <w:noWrap/>
            <w:vAlign w:val="center"/>
          </w:tcPr>
          <w:p w14:paraId="37A2B89C">
            <w:pPr>
              <w:widowControl/>
              <w:jc w:val="center"/>
              <w:rPr>
                <w:rFonts w:ascii="Times New Roman" w:eastAsia="仿宋"/>
                <w:sz w:val="21"/>
                <w:szCs w:val="21"/>
              </w:rPr>
            </w:pPr>
            <w:r>
              <w:rPr>
                <w:rFonts w:ascii="Times New Roman" w:eastAsia="仿宋"/>
                <w:sz w:val="21"/>
                <w:szCs w:val="21"/>
              </w:rPr>
              <w:t>常州品禾金属制品有限公司</w:t>
            </w:r>
          </w:p>
        </w:tc>
        <w:tc>
          <w:tcPr>
            <w:tcW w:w="1206" w:type="dxa"/>
            <w:shd w:val="clear" w:color="auto" w:fill="auto"/>
            <w:noWrap/>
            <w:vAlign w:val="center"/>
          </w:tcPr>
          <w:p w14:paraId="7DA52730">
            <w:pPr>
              <w:widowControl/>
              <w:jc w:val="center"/>
              <w:rPr>
                <w:rFonts w:ascii="Times New Roman" w:eastAsia="仿宋"/>
                <w:sz w:val="21"/>
                <w:szCs w:val="21"/>
              </w:rPr>
            </w:pPr>
            <w:r>
              <w:rPr>
                <w:rFonts w:ascii="Times New Roman" w:eastAsia="仿宋"/>
                <w:sz w:val="21"/>
                <w:szCs w:val="21"/>
              </w:rPr>
              <w:t>0.0216</w:t>
            </w:r>
          </w:p>
        </w:tc>
        <w:tc>
          <w:tcPr>
            <w:tcW w:w="1206" w:type="dxa"/>
            <w:shd w:val="clear" w:color="auto" w:fill="auto"/>
            <w:noWrap/>
            <w:vAlign w:val="center"/>
          </w:tcPr>
          <w:p w14:paraId="1FE0A7B3">
            <w:pPr>
              <w:widowControl/>
              <w:jc w:val="center"/>
              <w:rPr>
                <w:rFonts w:ascii="Times New Roman" w:eastAsia="仿宋"/>
                <w:sz w:val="21"/>
                <w:szCs w:val="21"/>
              </w:rPr>
            </w:pPr>
            <w:r>
              <w:rPr>
                <w:rFonts w:ascii="Times New Roman" w:eastAsia="仿宋"/>
                <w:sz w:val="21"/>
                <w:szCs w:val="21"/>
              </w:rPr>
              <w:t>0.0324</w:t>
            </w:r>
          </w:p>
        </w:tc>
        <w:tc>
          <w:tcPr>
            <w:tcW w:w="1206" w:type="dxa"/>
            <w:shd w:val="clear" w:color="auto" w:fill="auto"/>
            <w:noWrap/>
            <w:vAlign w:val="center"/>
          </w:tcPr>
          <w:p w14:paraId="14851F94">
            <w:pPr>
              <w:widowControl/>
              <w:jc w:val="center"/>
              <w:rPr>
                <w:rFonts w:ascii="Times New Roman" w:eastAsia="仿宋"/>
                <w:sz w:val="21"/>
                <w:szCs w:val="21"/>
              </w:rPr>
            </w:pPr>
            <w:r>
              <w:rPr>
                <w:rFonts w:ascii="Times New Roman" w:eastAsia="仿宋"/>
                <w:sz w:val="21"/>
                <w:szCs w:val="21"/>
              </w:rPr>
              <w:t>0.0270</w:t>
            </w:r>
          </w:p>
        </w:tc>
        <w:tc>
          <w:tcPr>
            <w:tcW w:w="1206" w:type="dxa"/>
            <w:shd w:val="clear" w:color="auto" w:fill="auto"/>
            <w:noWrap/>
            <w:vAlign w:val="center"/>
          </w:tcPr>
          <w:p w14:paraId="772AE4C0">
            <w:pPr>
              <w:widowControl/>
              <w:jc w:val="center"/>
              <w:rPr>
                <w:rFonts w:ascii="Times New Roman" w:eastAsia="仿宋"/>
                <w:sz w:val="21"/>
                <w:szCs w:val="21"/>
              </w:rPr>
            </w:pPr>
            <w:r>
              <w:rPr>
                <w:rFonts w:ascii="Times New Roman" w:eastAsia="仿宋"/>
                <w:sz w:val="21"/>
                <w:szCs w:val="21"/>
              </w:rPr>
              <w:t>0.0810</w:t>
            </w:r>
          </w:p>
        </w:tc>
        <w:tc>
          <w:tcPr>
            <w:tcW w:w="1009" w:type="dxa"/>
            <w:shd w:val="clear" w:color="auto" w:fill="auto"/>
            <w:noWrap/>
            <w:vAlign w:val="center"/>
          </w:tcPr>
          <w:p w14:paraId="20209E1C">
            <w:pPr>
              <w:widowControl/>
              <w:jc w:val="center"/>
              <w:rPr>
                <w:rFonts w:ascii="Times New Roman" w:eastAsia="仿宋"/>
                <w:sz w:val="21"/>
                <w:szCs w:val="21"/>
              </w:rPr>
            </w:pPr>
            <w:r>
              <w:rPr>
                <w:rFonts w:ascii="Times New Roman" w:eastAsia="仿宋"/>
                <w:sz w:val="21"/>
                <w:szCs w:val="21"/>
              </w:rPr>
              <w:t>1.06%</w:t>
            </w:r>
          </w:p>
        </w:tc>
      </w:tr>
      <w:tr w14:paraId="0707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0DF07A26">
            <w:pPr>
              <w:widowControl/>
              <w:jc w:val="center"/>
              <w:rPr>
                <w:rFonts w:ascii="Times New Roman" w:eastAsia="仿宋"/>
                <w:sz w:val="21"/>
                <w:szCs w:val="21"/>
              </w:rPr>
            </w:pPr>
            <w:r>
              <w:rPr>
                <w:rFonts w:ascii="Times New Roman" w:eastAsia="仿宋"/>
                <w:sz w:val="21"/>
                <w:szCs w:val="21"/>
              </w:rPr>
              <w:t>33</w:t>
            </w:r>
          </w:p>
        </w:tc>
        <w:tc>
          <w:tcPr>
            <w:tcW w:w="2105" w:type="dxa"/>
            <w:shd w:val="clear" w:color="auto" w:fill="auto"/>
            <w:noWrap/>
            <w:vAlign w:val="center"/>
          </w:tcPr>
          <w:p w14:paraId="73D535A5">
            <w:pPr>
              <w:widowControl/>
              <w:jc w:val="center"/>
              <w:rPr>
                <w:rFonts w:ascii="Times New Roman" w:eastAsia="仿宋"/>
                <w:sz w:val="21"/>
                <w:szCs w:val="21"/>
              </w:rPr>
            </w:pPr>
            <w:r>
              <w:rPr>
                <w:rFonts w:ascii="Times New Roman" w:eastAsia="仿宋"/>
                <w:sz w:val="21"/>
                <w:szCs w:val="21"/>
              </w:rPr>
              <w:t>天成涂装系统（常州）有限公司</w:t>
            </w:r>
          </w:p>
        </w:tc>
        <w:tc>
          <w:tcPr>
            <w:tcW w:w="1206" w:type="dxa"/>
            <w:shd w:val="clear" w:color="auto" w:fill="auto"/>
            <w:noWrap/>
            <w:vAlign w:val="center"/>
          </w:tcPr>
          <w:p w14:paraId="362FC317">
            <w:pPr>
              <w:widowControl/>
              <w:jc w:val="center"/>
              <w:rPr>
                <w:rFonts w:ascii="Times New Roman" w:eastAsia="仿宋"/>
                <w:sz w:val="21"/>
                <w:szCs w:val="21"/>
              </w:rPr>
            </w:pPr>
            <w:r>
              <w:rPr>
                <w:rFonts w:ascii="Times New Roman" w:eastAsia="仿宋"/>
                <w:sz w:val="21"/>
                <w:szCs w:val="21"/>
              </w:rPr>
              <w:t>0.1620</w:t>
            </w:r>
          </w:p>
        </w:tc>
        <w:tc>
          <w:tcPr>
            <w:tcW w:w="1206" w:type="dxa"/>
            <w:shd w:val="clear" w:color="auto" w:fill="auto"/>
            <w:noWrap/>
            <w:vAlign w:val="center"/>
          </w:tcPr>
          <w:p w14:paraId="5EC90F89">
            <w:pPr>
              <w:widowControl/>
              <w:jc w:val="center"/>
              <w:rPr>
                <w:rFonts w:ascii="Times New Roman" w:eastAsia="仿宋"/>
                <w:sz w:val="21"/>
                <w:szCs w:val="21"/>
              </w:rPr>
            </w:pPr>
            <w:r>
              <w:rPr>
                <w:rFonts w:ascii="Times New Roman" w:eastAsia="仿宋"/>
                <w:sz w:val="21"/>
                <w:szCs w:val="21"/>
              </w:rPr>
              <w:t>0.2400</w:t>
            </w:r>
          </w:p>
        </w:tc>
        <w:tc>
          <w:tcPr>
            <w:tcW w:w="1206" w:type="dxa"/>
            <w:shd w:val="clear" w:color="auto" w:fill="auto"/>
            <w:noWrap/>
            <w:vAlign w:val="center"/>
          </w:tcPr>
          <w:p w14:paraId="58ADDC7D">
            <w:pPr>
              <w:widowControl/>
              <w:jc w:val="center"/>
              <w:rPr>
                <w:rFonts w:ascii="Times New Roman" w:eastAsia="仿宋"/>
                <w:sz w:val="21"/>
                <w:szCs w:val="21"/>
              </w:rPr>
            </w:pPr>
            <w:r>
              <w:rPr>
                <w:rFonts w:ascii="Times New Roman" w:eastAsia="仿宋"/>
                <w:sz w:val="21"/>
                <w:szCs w:val="21"/>
              </w:rPr>
              <w:t>0.2000</w:t>
            </w:r>
          </w:p>
        </w:tc>
        <w:tc>
          <w:tcPr>
            <w:tcW w:w="1206" w:type="dxa"/>
            <w:shd w:val="clear" w:color="auto" w:fill="auto"/>
            <w:noWrap/>
            <w:vAlign w:val="center"/>
          </w:tcPr>
          <w:p w14:paraId="734266F7">
            <w:pPr>
              <w:widowControl/>
              <w:jc w:val="center"/>
              <w:rPr>
                <w:rFonts w:ascii="Times New Roman" w:eastAsia="仿宋"/>
                <w:sz w:val="21"/>
                <w:szCs w:val="21"/>
              </w:rPr>
            </w:pPr>
            <w:r>
              <w:rPr>
                <w:rFonts w:ascii="Times New Roman" w:eastAsia="仿宋"/>
                <w:sz w:val="21"/>
                <w:szCs w:val="21"/>
              </w:rPr>
              <w:t>0.6020</w:t>
            </w:r>
          </w:p>
        </w:tc>
        <w:tc>
          <w:tcPr>
            <w:tcW w:w="1009" w:type="dxa"/>
            <w:shd w:val="clear" w:color="auto" w:fill="auto"/>
            <w:noWrap/>
            <w:vAlign w:val="center"/>
          </w:tcPr>
          <w:p w14:paraId="24130820">
            <w:pPr>
              <w:widowControl/>
              <w:jc w:val="center"/>
              <w:rPr>
                <w:rFonts w:ascii="Times New Roman" w:eastAsia="仿宋"/>
                <w:sz w:val="21"/>
                <w:szCs w:val="21"/>
              </w:rPr>
            </w:pPr>
            <w:r>
              <w:rPr>
                <w:rFonts w:ascii="Times New Roman" w:eastAsia="仿宋"/>
                <w:sz w:val="21"/>
                <w:szCs w:val="21"/>
              </w:rPr>
              <w:t>7.88%</w:t>
            </w:r>
          </w:p>
        </w:tc>
      </w:tr>
      <w:tr w14:paraId="22A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5F00A451">
            <w:pPr>
              <w:widowControl/>
              <w:jc w:val="center"/>
              <w:rPr>
                <w:rFonts w:ascii="Times New Roman" w:eastAsia="仿宋"/>
                <w:sz w:val="21"/>
                <w:szCs w:val="21"/>
              </w:rPr>
            </w:pPr>
            <w:r>
              <w:rPr>
                <w:rFonts w:ascii="Times New Roman" w:eastAsia="仿宋"/>
                <w:sz w:val="21"/>
                <w:szCs w:val="21"/>
              </w:rPr>
              <w:t>34</w:t>
            </w:r>
          </w:p>
        </w:tc>
        <w:tc>
          <w:tcPr>
            <w:tcW w:w="2105" w:type="dxa"/>
            <w:shd w:val="clear" w:color="auto" w:fill="auto"/>
            <w:noWrap/>
            <w:vAlign w:val="center"/>
          </w:tcPr>
          <w:p w14:paraId="166C4083">
            <w:pPr>
              <w:widowControl/>
              <w:jc w:val="center"/>
              <w:rPr>
                <w:rFonts w:ascii="Times New Roman" w:eastAsia="仿宋"/>
                <w:sz w:val="21"/>
                <w:szCs w:val="21"/>
              </w:rPr>
            </w:pPr>
            <w:r>
              <w:rPr>
                <w:rFonts w:ascii="Times New Roman" w:eastAsia="仿宋"/>
                <w:sz w:val="21"/>
                <w:szCs w:val="21"/>
              </w:rPr>
              <w:t>江苏健裕健康医疗器械有限公司</w:t>
            </w:r>
          </w:p>
        </w:tc>
        <w:tc>
          <w:tcPr>
            <w:tcW w:w="1206" w:type="dxa"/>
            <w:shd w:val="clear" w:color="auto" w:fill="auto"/>
            <w:noWrap/>
            <w:vAlign w:val="center"/>
          </w:tcPr>
          <w:p w14:paraId="3B82B444">
            <w:pPr>
              <w:widowControl/>
              <w:jc w:val="center"/>
              <w:rPr>
                <w:rFonts w:ascii="Times New Roman" w:eastAsia="仿宋"/>
                <w:sz w:val="21"/>
                <w:szCs w:val="21"/>
              </w:rPr>
            </w:pPr>
            <w:r>
              <w:rPr>
                <w:rFonts w:ascii="Times New Roman" w:eastAsia="仿宋"/>
                <w:sz w:val="21"/>
                <w:szCs w:val="21"/>
              </w:rPr>
              <w:t>0.0970</w:t>
            </w:r>
          </w:p>
        </w:tc>
        <w:tc>
          <w:tcPr>
            <w:tcW w:w="1206" w:type="dxa"/>
            <w:shd w:val="clear" w:color="auto" w:fill="auto"/>
            <w:noWrap/>
            <w:vAlign w:val="center"/>
          </w:tcPr>
          <w:p w14:paraId="2A5E16DF">
            <w:pPr>
              <w:widowControl/>
              <w:jc w:val="center"/>
              <w:rPr>
                <w:rFonts w:ascii="Times New Roman" w:eastAsia="仿宋"/>
                <w:sz w:val="21"/>
                <w:szCs w:val="21"/>
              </w:rPr>
            </w:pPr>
            <w:r>
              <w:rPr>
                <w:rFonts w:ascii="Times New Roman" w:eastAsia="仿宋"/>
                <w:sz w:val="21"/>
                <w:szCs w:val="21"/>
              </w:rPr>
              <w:t>0.1987</w:t>
            </w:r>
          </w:p>
        </w:tc>
        <w:tc>
          <w:tcPr>
            <w:tcW w:w="1206" w:type="dxa"/>
            <w:shd w:val="clear" w:color="auto" w:fill="auto"/>
            <w:noWrap/>
            <w:vAlign w:val="center"/>
          </w:tcPr>
          <w:p w14:paraId="292304D4">
            <w:pPr>
              <w:widowControl/>
              <w:jc w:val="center"/>
              <w:rPr>
                <w:rFonts w:ascii="Times New Roman" w:eastAsia="仿宋"/>
                <w:sz w:val="21"/>
                <w:szCs w:val="21"/>
              </w:rPr>
            </w:pPr>
            <w:r>
              <w:rPr>
                <w:rFonts w:ascii="Times New Roman" w:eastAsia="仿宋"/>
                <w:sz w:val="21"/>
                <w:szCs w:val="21"/>
              </w:rPr>
              <w:t>0.0567</w:t>
            </w:r>
          </w:p>
        </w:tc>
        <w:tc>
          <w:tcPr>
            <w:tcW w:w="1206" w:type="dxa"/>
            <w:shd w:val="clear" w:color="auto" w:fill="auto"/>
            <w:noWrap/>
            <w:vAlign w:val="center"/>
          </w:tcPr>
          <w:p w14:paraId="6CBF5C3F">
            <w:pPr>
              <w:widowControl/>
              <w:jc w:val="center"/>
              <w:rPr>
                <w:rFonts w:ascii="Times New Roman" w:eastAsia="仿宋"/>
                <w:sz w:val="21"/>
                <w:szCs w:val="21"/>
              </w:rPr>
            </w:pPr>
            <w:r>
              <w:rPr>
                <w:rFonts w:ascii="Times New Roman" w:eastAsia="仿宋"/>
                <w:sz w:val="21"/>
                <w:szCs w:val="21"/>
              </w:rPr>
              <w:t>0.3523</w:t>
            </w:r>
          </w:p>
        </w:tc>
        <w:tc>
          <w:tcPr>
            <w:tcW w:w="1009" w:type="dxa"/>
            <w:shd w:val="clear" w:color="auto" w:fill="auto"/>
            <w:noWrap/>
            <w:vAlign w:val="center"/>
          </w:tcPr>
          <w:p w14:paraId="6C207641">
            <w:pPr>
              <w:widowControl/>
              <w:jc w:val="center"/>
              <w:rPr>
                <w:rFonts w:ascii="Times New Roman" w:eastAsia="仿宋"/>
                <w:sz w:val="21"/>
                <w:szCs w:val="21"/>
              </w:rPr>
            </w:pPr>
            <w:r>
              <w:rPr>
                <w:rFonts w:ascii="Times New Roman" w:eastAsia="仿宋"/>
                <w:sz w:val="21"/>
                <w:szCs w:val="21"/>
              </w:rPr>
              <w:t>4.61%</w:t>
            </w:r>
          </w:p>
        </w:tc>
      </w:tr>
      <w:tr w14:paraId="773C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68" w:type="dxa"/>
            <w:shd w:val="clear" w:color="auto" w:fill="auto"/>
            <w:vAlign w:val="center"/>
          </w:tcPr>
          <w:p w14:paraId="6470B95A">
            <w:pPr>
              <w:widowControl/>
              <w:jc w:val="center"/>
              <w:rPr>
                <w:rFonts w:ascii="Times New Roman" w:eastAsia="仿宋"/>
                <w:sz w:val="21"/>
                <w:szCs w:val="21"/>
              </w:rPr>
            </w:pPr>
            <w:r>
              <w:rPr>
                <w:rFonts w:ascii="Times New Roman" w:eastAsia="仿宋"/>
                <w:sz w:val="21"/>
                <w:szCs w:val="21"/>
              </w:rPr>
              <w:t>35</w:t>
            </w:r>
          </w:p>
        </w:tc>
        <w:tc>
          <w:tcPr>
            <w:tcW w:w="2105" w:type="dxa"/>
            <w:shd w:val="clear" w:color="auto" w:fill="auto"/>
            <w:noWrap/>
            <w:vAlign w:val="center"/>
          </w:tcPr>
          <w:p w14:paraId="30757861">
            <w:pPr>
              <w:widowControl/>
              <w:jc w:val="center"/>
              <w:rPr>
                <w:rFonts w:ascii="Times New Roman" w:eastAsia="仿宋"/>
                <w:sz w:val="21"/>
                <w:szCs w:val="21"/>
              </w:rPr>
            </w:pPr>
            <w:r>
              <w:rPr>
                <w:rFonts w:ascii="Times New Roman" w:eastAsia="仿宋"/>
                <w:sz w:val="21"/>
                <w:szCs w:val="21"/>
              </w:rPr>
              <w:t>江苏法勒卫浴有限公司</w:t>
            </w:r>
          </w:p>
        </w:tc>
        <w:tc>
          <w:tcPr>
            <w:tcW w:w="1206" w:type="dxa"/>
            <w:shd w:val="clear" w:color="auto" w:fill="auto"/>
            <w:noWrap/>
            <w:vAlign w:val="center"/>
          </w:tcPr>
          <w:p w14:paraId="2151841B">
            <w:pPr>
              <w:widowControl/>
              <w:jc w:val="center"/>
              <w:rPr>
                <w:rFonts w:ascii="Times New Roman" w:eastAsia="仿宋"/>
                <w:sz w:val="21"/>
                <w:szCs w:val="21"/>
              </w:rPr>
            </w:pPr>
            <w:r>
              <w:rPr>
                <w:rFonts w:ascii="Times New Roman" w:eastAsia="仿宋"/>
                <w:sz w:val="21"/>
                <w:szCs w:val="21"/>
              </w:rPr>
              <w:t>0.1080</w:t>
            </w:r>
          </w:p>
        </w:tc>
        <w:tc>
          <w:tcPr>
            <w:tcW w:w="1206" w:type="dxa"/>
            <w:shd w:val="clear" w:color="auto" w:fill="auto"/>
            <w:noWrap/>
            <w:vAlign w:val="center"/>
          </w:tcPr>
          <w:p w14:paraId="77471A0D">
            <w:pPr>
              <w:widowControl/>
              <w:jc w:val="center"/>
              <w:rPr>
                <w:rFonts w:ascii="Times New Roman" w:eastAsia="仿宋"/>
                <w:sz w:val="21"/>
                <w:szCs w:val="21"/>
              </w:rPr>
            </w:pPr>
            <w:r>
              <w:rPr>
                <w:rFonts w:ascii="Times New Roman" w:eastAsia="仿宋"/>
                <w:sz w:val="21"/>
                <w:szCs w:val="21"/>
              </w:rPr>
              <w:t>0.1333</w:t>
            </w:r>
          </w:p>
        </w:tc>
        <w:tc>
          <w:tcPr>
            <w:tcW w:w="1206" w:type="dxa"/>
            <w:shd w:val="clear" w:color="auto" w:fill="auto"/>
            <w:noWrap/>
            <w:vAlign w:val="center"/>
          </w:tcPr>
          <w:p w14:paraId="1DDB6F79">
            <w:pPr>
              <w:widowControl/>
              <w:jc w:val="center"/>
              <w:rPr>
                <w:rFonts w:ascii="Times New Roman" w:eastAsia="仿宋"/>
                <w:sz w:val="21"/>
                <w:szCs w:val="21"/>
              </w:rPr>
            </w:pPr>
            <w:r>
              <w:rPr>
                <w:rFonts w:ascii="Times New Roman" w:eastAsia="仿宋"/>
                <w:sz w:val="21"/>
                <w:szCs w:val="21"/>
              </w:rPr>
              <w:t>0.0667</w:t>
            </w:r>
          </w:p>
        </w:tc>
        <w:tc>
          <w:tcPr>
            <w:tcW w:w="1206" w:type="dxa"/>
            <w:shd w:val="clear" w:color="auto" w:fill="auto"/>
            <w:noWrap/>
            <w:vAlign w:val="center"/>
          </w:tcPr>
          <w:p w14:paraId="05A4677C">
            <w:pPr>
              <w:widowControl/>
              <w:jc w:val="center"/>
              <w:rPr>
                <w:rFonts w:ascii="Times New Roman" w:eastAsia="仿宋"/>
                <w:sz w:val="21"/>
                <w:szCs w:val="21"/>
              </w:rPr>
            </w:pPr>
            <w:r>
              <w:rPr>
                <w:rFonts w:ascii="Times New Roman" w:eastAsia="仿宋"/>
                <w:sz w:val="21"/>
                <w:szCs w:val="21"/>
              </w:rPr>
              <w:t>0.3080</w:t>
            </w:r>
          </w:p>
        </w:tc>
        <w:tc>
          <w:tcPr>
            <w:tcW w:w="1009" w:type="dxa"/>
            <w:shd w:val="clear" w:color="auto" w:fill="auto"/>
            <w:noWrap/>
            <w:vAlign w:val="center"/>
          </w:tcPr>
          <w:p w14:paraId="5089F13B">
            <w:pPr>
              <w:widowControl/>
              <w:jc w:val="center"/>
              <w:rPr>
                <w:rFonts w:ascii="Times New Roman" w:eastAsia="仿宋"/>
                <w:sz w:val="21"/>
                <w:szCs w:val="21"/>
              </w:rPr>
            </w:pPr>
            <w:r>
              <w:rPr>
                <w:rFonts w:ascii="Times New Roman" w:eastAsia="仿宋"/>
                <w:sz w:val="21"/>
                <w:szCs w:val="21"/>
              </w:rPr>
              <w:t>4.03%</w:t>
            </w:r>
          </w:p>
        </w:tc>
      </w:tr>
      <w:tr w14:paraId="0976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673" w:type="dxa"/>
            <w:gridSpan w:val="2"/>
            <w:shd w:val="clear" w:color="auto" w:fill="auto"/>
            <w:noWrap/>
            <w:vAlign w:val="center"/>
          </w:tcPr>
          <w:p w14:paraId="2A5E5E42">
            <w:pPr>
              <w:widowControl/>
              <w:jc w:val="center"/>
              <w:rPr>
                <w:rFonts w:ascii="Times New Roman" w:eastAsia="仿宋"/>
                <w:sz w:val="21"/>
                <w:szCs w:val="21"/>
              </w:rPr>
            </w:pPr>
            <w:r>
              <w:rPr>
                <w:rFonts w:ascii="Times New Roman" w:eastAsia="仿宋"/>
                <w:sz w:val="21"/>
                <w:szCs w:val="21"/>
              </w:rPr>
              <w:t>Pi合计</w:t>
            </w:r>
          </w:p>
        </w:tc>
        <w:tc>
          <w:tcPr>
            <w:tcW w:w="1206" w:type="dxa"/>
            <w:shd w:val="clear" w:color="auto" w:fill="auto"/>
            <w:noWrap/>
            <w:vAlign w:val="center"/>
          </w:tcPr>
          <w:p w14:paraId="2E69D1F5">
            <w:pPr>
              <w:widowControl/>
              <w:jc w:val="center"/>
              <w:rPr>
                <w:rFonts w:ascii="Times New Roman" w:eastAsia="仿宋"/>
                <w:sz w:val="21"/>
                <w:szCs w:val="21"/>
              </w:rPr>
            </w:pPr>
            <w:r>
              <w:rPr>
                <w:rFonts w:ascii="Times New Roman" w:eastAsia="仿宋"/>
                <w:sz w:val="21"/>
                <w:szCs w:val="21"/>
              </w:rPr>
              <w:t>2.6303</w:t>
            </w:r>
          </w:p>
        </w:tc>
        <w:tc>
          <w:tcPr>
            <w:tcW w:w="1206" w:type="dxa"/>
            <w:shd w:val="clear" w:color="auto" w:fill="auto"/>
            <w:noWrap/>
            <w:vAlign w:val="center"/>
          </w:tcPr>
          <w:p w14:paraId="38CBCE3B">
            <w:pPr>
              <w:widowControl/>
              <w:jc w:val="center"/>
              <w:rPr>
                <w:rFonts w:ascii="Times New Roman" w:eastAsia="仿宋"/>
                <w:sz w:val="21"/>
                <w:szCs w:val="21"/>
              </w:rPr>
            </w:pPr>
            <w:r>
              <w:rPr>
                <w:rFonts w:ascii="Times New Roman" w:eastAsia="仿宋"/>
                <w:sz w:val="21"/>
                <w:szCs w:val="21"/>
              </w:rPr>
              <w:t>3.1753</w:t>
            </w:r>
          </w:p>
        </w:tc>
        <w:tc>
          <w:tcPr>
            <w:tcW w:w="1206" w:type="dxa"/>
            <w:shd w:val="clear" w:color="auto" w:fill="auto"/>
            <w:noWrap/>
            <w:vAlign w:val="center"/>
          </w:tcPr>
          <w:p w14:paraId="6E2CF2E6">
            <w:pPr>
              <w:widowControl/>
              <w:jc w:val="center"/>
              <w:rPr>
                <w:rFonts w:ascii="Times New Roman" w:eastAsia="仿宋"/>
                <w:sz w:val="21"/>
                <w:szCs w:val="21"/>
              </w:rPr>
            </w:pPr>
            <w:r>
              <w:rPr>
                <w:rFonts w:ascii="Times New Roman" w:eastAsia="仿宋"/>
                <w:sz w:val="21"/>
                <w:szCs w:val="21"/>
              </w:rPr>
              <w:t>1.8347</w:t>
            </w:r>
          </w:p>
        </w:tc>
        <w:tc>
          <w:tcPr>
            <w:tcW w:w="1206" w:type="dxa"/>
            <w:shd w:val="clear" w:color="auto" w:fill="auto"/>
            <w:noWrap/>
            <w:vAlign w:val="center"/>
          </w:tcPr>
          <w:p w14:paraId="5BA54215">
            <w:pPr>
              <w:widowControl/>
              <w:jc w:val="center"/>
              <w:rPr>
                <w:rFonts w:ascii="Times New Roman" w:eastAsia="仿宋"/>
                <w:sz w:val="21"/>
                <w:szCs w:val="21"/>
              </w:rPr>
            </w:pPr>
            <w:r>
              <w:rPr>
                <w:rFonts w:ascii="Times New Roman" w:eastAsia="仿宋"/>
                <w:sz w:val="21"/>
                <w:szCs w:val="21"/>
              </w:rPr>
              <w:t>7.6403</w:t>
            </w:r>
          </w:p>
        </w:tc>
        <w:tc>
          <w:tcPr>
            <w:tcW w:w="1009" w:type="dxa"/>
            <w:shd w:val="clear" w:color="auto" w:fill="auto"/>
            <w:noWrap/>
            <w:vAlign w:val="center"/>
          </w:tcPr>
          <w:p w14:paraId="323B87D3">
            <w:pPr>
              <w:widowControl/>
              <w:jc w:val="center"/>
              <w:rPr>
                <w:rFonts w:ascii="Times New Roman" w:eastAsia="仿宋"/>
                <w:sz w:val="21"/>
                <w:szCs w:val="21"/>
              </w:rPr>
            </w:pPr>
            <w:r>
              <w:rPr>
                <w:rFonts w:ascii="Times New Roman" w:eastAsia="仿宋"/>
                <w:sz w:val="21"/>
                <w:szCs w:val="21"/>
              </w:rPr>
              <w:t>/</w:t>
            </w:r>
          </w:p>
        </w:tc>
      </w:tr>
      <w:tr w14:paraId="1D38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73" w:type="dxa"/>
            <w:gridSpan w:val="2"/>
            <w:shd w:val="clear" w:color="auto" w:fill="auto"/>
            <w:noWrap/>
            <w:vAlign w:val="center"/>
          </w:tcPr>
          <w:p w14:paraId="55501D93">
            <w:pPr>
              <w:widowControl/>
              <w:jc w:val="center"/>
              <w:rPr>
                <w:rFonts w:ascii="Times New Roman" w:eastAsia="仿宋"/>
                <w:sz w:val="21"/>
                <w:szCs w:val="21"/>
              </w:rPr>
            </w:pPr>
            <w:r>
              <w:rPr>
                <w:rFonts w:ascii="Times New Roman" w:eastAsia="仿宋"/>
                <w:sz w:val="21"/>
                <w:szCs w:val="21"/>
              </w:rPr>
              <w:t>Ki（%）</w:t>
            </w:r>
          </w:p>
        </w:tc>
        <w:tc>
          <w:tcPr>
            <w:tcW w:w="1206" w:type="dxa"/>
            <w:shd w:val="clear" w:color="auto" w:fill="auto"/>
            <w:noWrap/>
            <w:vAlign w:val="center"/>
          </w:tcPr>
          <w:p w14:paraId="33D1F3D3">
            <w:pPr>
              <w:widowControl/>
              <w:jc w:val="center"/>
              <w:rPr>
                <w:rFonts w:ascii="Times New Roman" w:eastAsia="仿宋"/>
                <w:sz w:val="21"/>
                <w:szCs w:val="21"/>
              </w:rPr>
            </w:pPr>
            <w:r>
              <w:rPr>
                <w:rFonts w:ascii="Times New Roman" w:eastAsia="仿宋"/>
                <w:sz w:val="21"/>
                <w:szCs w:val="21"/>
              </w:rPr>
              <w:t>34.43%</w:t>
            </w:r>
          </w:p>
        </w:tc>
        <w:tc>
          <w:tcPr>
            <w:tcW w:w="1206" w:type="dxa"/>
            <w:shd w:val="clear" w:color="auto" w:fill="auto"/>
            <w:noWrap/>
            <w:vAlign w:val="center"/>
          </w:tcPr>
          <w:p w14:paraId="2CD68A34">
            <w:pPr>
              <w:widowControl/>
              <w:jc w:val="center"/>
              <w:rPr>
                <w:rFonts w:ascii="Times New Roman" w:eastAsia="仿宋"/>
                <w:sz w:val="21"/>
                <w:szCs w:val="21"/>
              </w:rPr>
            </w:pPr>
            <w:r>
              <w:rPr>
                <w:rFonts w:ascii="Times New Roman" w:eastAsia="仿宋"/>
                <w:sz w:val="21"/>
                <w:szCs w:val="21"/>
              </w:rPr>
              <w:t>41.56%</w:t>
            </w:r>
          </w:p>
        </w:tc>
        <w:tc>
          <w:tcPr>
            <w:tcW w:w="1206" w:type="dxa"/>
            <w:shd w:val="clear" w:color="auto" w:fill="auto"/>
            <w:noWrap/>
            <w:vAlign w:val="center"/>
          </w:tcPr>
          <w:p w14:paraId="5C7375AF">
            <w:pPr>
              <w:widowControl/>
              <w:jc w:val="center"/>
              <w:rPr>
                <w:rFonts w:ascii="Times New Roman" w:eastAsia="仿宋"/>
                <w:sz w:val="21"/>
                <w:szCs w:val="21"/>
              </w:rPr>
            </w:pPr>
            <w:r>
              <w:rPr>
                <w:rFonts w:ascii="Times New Roman" w:eastAsia="仿宋"/>
                <w:sz w:val="21"/>
                <w:szCs w:val="21"/>
              </w:rPr>
              <w:t>24.01%</w:t>
            </w:r>
          </w:p>
        </w:tc>
        <w:tc>
          <w:tcPr>
            <w:tcW w:w="1206" w:type="dxa"/>
            <w:shd w:val="clear" w:color="auto" w:fill="auto"/>
            <w:noWrap/>
            <w:vAlign w:val="center"/>
          </w:tcPr>
          <w:p w14:paraId="1CE269CA">
            <w:pPr>
              <w:widowControl/>
              <w:jc w:val="center"/>
              <w:rPr>
                <w:rFonts w:ascii="Times New Roman" w:eastAsia="仿宋"/>
                <w:sz w:val="21"/>
                <w:szCs w:val="21"/>
              </w:rPr>
            </w:pPr>
            <w:r>
              <w:rPr>
                <w:rFonts w:ascii="Times New Roman" w:eastAsia="仿宋"/>
                <w:sz w:val="21"/>
                <w:szCs w:val="21"/>
              </w:rPr>
              <w:t>/</w:t>
            </w:r>
          </w:p>
        </w:tc>
        <w:tc>
          <w:tcPr>
            <w:tcW w:w="1009" w:type="dxa"/>
            <w:shd w:val="clear" w:color="auto" w:fill="auto"/>
            <w:noWrap/>
            <w:vAlign w:val="center"/>
          </w:tcPr>
          <w:p w14:paraId="3942C589">
            <w:pPr>
              <w:widowControl/>
              <w:jc w:val="center"/>
              <w:rPr>
                <w:rFonts w:ascii="Times New Roman" w:eastAsia="仿宋"/>
                <w:sz w:val="21"/>
                <w:szCs w:val="21"/>
              </w:rPr>
            </w:pPr>
            <w:r>
              <w:rPr>
                <w:rFonts w:ascii="Times New Roman" w:eastAsia="仿宋"/>
                <w:sz w:val="21"/>
                <w:szCs w:val="21"/>
              </w:rPr>
              <w:t>/</w:t>
            </w:r>
          </w:p>
        </w:tc>
      </w:tr>
      <w:tr w14:paraId="120D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673" w:type="dxa"/>
            <w:gridSpan w:val="2"/>
            <w:shd w:val="clear" w:color="auto" w:fill="auto"/>
            <w:noWrap/>
            <w:vAlign w:val="center"/>
          </w:tcPr>
          <w:p w14:paraId="4F071543">
            <w:pPr>
              <w:widowControl/>
              <w:jc w:val="center"/>
              <w:rPr>
                <w:rFonts w:ascii="Times New Roman" w:eastAsia="仿宋"/>
                <w:sz w:val="21"/>
                <w:szCs w:val="21"/>
              </w:rPr>
            </w:pPr>
            <w:r>
              <w:rPr>
                <w:rFonts w:ascii="Times New Roman" w:eastAsia="仿宋"/>
                <w:sz w:val="21"/>
                <w:szCs w:val="21"/>
              </w:rPr>
              <w:t>排序</w:t>
            </w:r>
          </w:p>
        </w:tc>
        <w:tc>
          <w:tcPr>
            <w:tcW w:w="1206" w:type="dxa"/>
            <w:shd w:val="clear" w:color="auto" w:fill="auto"/>
            <w:noWrap/>
            <w:vAlign w:val="center"/>
          </w:tcPr>
          <w:p w14:paraId="1EC0D581">
            <w:pPr>
              <w:widowControl/>
              <w:jc w:val="center"/>
              <w:rPr>
                <w:rFonts w:ascii="Times New Roman" w:eastAsia="仿宋"/>
                <w:sz w:val="21"/>
                <w:szCs w:val="21"/>
              </w:rPr>
            </w:pPr>
            <w:r>
              <w:rPr>
                <w:rFonts w:ascii="Times New Roman" w:eastAsia="仿宋"/>
                <w:sz w:val="21"/>
                <w:szCs w:val="21"/>
              </w:rPr>
              <w:t>1</w:t>
            </w:r>
          </w:p>
        </w:tc>
        <w:tc>
          <w:tcPr>
            <w:tcW w:w="1206" w:type="dxa"/>
            <w:shd w:val="clear" w:color="auto" w:fill="auto"/>
            <w:noWrap/>
            <w:vAlign w:val="center"/>
          </w:tcPr>
          <w:p w14:paraId="2774718D">
            <w:pPr>
              <w:widowControl/>
              <w:jc w:val="center"/>
              <w:rPr>
                <w:rFonts w:ascii="Times New Roman" w:eastAsia="仿宋"/>
                <w:sz w:val="21"/>
                <w:szCs w:val="21"/>
              </w:rPr>
            </w:pPr>
            <w:r>
              <w:rPr>
                <w:rFonts w:ascii="Times New Roman" w:eastAsia="仿宋"/>
                <w:sz w:val="21"/>
                <w:szCs w:val="21"/>
              </w:rPr>
              <w:t>2</w:t>
            </w:r>
          </w:p>
        </w:tc>
        <w:tc>
          <w:tcPr>
            <w:tcW w:w="1206" w:type="dxa"/>
            <w:shd w:val="clear" w:color="auto" w:fill="auto"/>
            <w:noWrap/>
            <w:vAlign w:val="center"/>
          </w:tcPr>
          <w:p w14:paraId="2E6EC95B">
            <w:pPr>
              <w:widowControl/>
              <w:jc w:val="center"/>
              <w:rPr>
                <w:rFonts w:ascii="Times New Roman" w:eastAsia="仿宋"/>
                <w:sz w:val="21"/>
                <w:szCs w:val="21"/>
              </w:rPr>
            </w:pPr>
            <w:r>
              <w:rPr>
                <w:rFonts w:ascii="Times New Roman" w:eastAsia="仿宋"/>
                <w:sz w:val="21"/>
                <w:szCs w:val="21"/>
              </w:rPr>
              <w:t>3</w:t>
            </w:r>
          </w:p>
        </w:tc>
        <w:tc>
          <w:tcPr>
            <w:tcW w:w="1206" w:type="dxa"/>
            <w:shd w:val="clear" w:color="auto" w:fill="auto"/>
            <w:noWrap/>
            <w:vAlign w:val="center"/>
          </w:tcPr>
          <w:p w14:paraId="6D8681D8">
            <w:pPr>
              <w:widowControl/>
              <w:jc w:val="center"/>
              <w:rPr>
                <w:rFonts w:ascii="Times New Roman" w:eastAsia="仿宋"/>
                <w:sz w:val="21"/>
                <w:szCs w:val="21"/>
              </w:rPr>
            </w:pPr>
            <w:r>
              <w:rPr>
                <w:rFonts w:ascii="Times New Roman" w:eastAsia="仿宋"/>
                <w:sz w:val="21"/>
                <w:szCs w:val="21"/>
              </w:rPr>
              <w:t>/</w:t>
            </w:r>
          </w:p>
        </w:tc>
        <w:tc>
          <w:tcPr>
            <w:tcW w:w="1009" w:type="dxa"/>
            <w:shd w:val="clear" w:color="auto" w:fill="auto"/>
            <w:noWrap/>
            <w:vAlign w:val="center"/>
          </w:tcPr>
          <w:p w14:paraId="6B5654EC">
            <w:pPr>
              <w:widowControl/>
              <w:jc w:val="center"/>
              <w:rPr>
                <w:rFonts w:ascii="Times New Roman" w:eastAsia="仿宋"/>
                <w:sz w:val="21"/>
                <w:szCs w:val="21"/>
              </w:rPr>
            </w:pPr>
            <w:r>
              <w:rPr>
                <w:rFonts w:ascii="Times New Roman" w:eastAsia="仿宋"/>
                <w:sz w:val="21"/>
                <w:szCs w:val="21"/>
              </w:rPr>
              <w:t>/</w:t>
            </w:r>
          </w:p>
        </w:tc>
      </w:tr>
    </w:tbl>
    <w:p w14:paraId="7F4490D8">
      <w:pPr>
        <w:pStyle w:val="81"/>
        <w:adjustRightInd w:val="0"/>
        <w:snapToGrid w:val="0"/>
        <w:spacing w:line="500" w:lineRule="exact"/>
        <w:ind w:firstLine="560" w:firstLineChars="200"/>
        <w:rPr>
          <w:rFonts w:eastAsia="仿宋"/>
          <w:sz w:val="28"/>
          <w:szCs w:val="28"/>
        </w:rPr>
      </w:pPr>
      <w:r>
        <w:rPr>
          <w:rFonts w:hint="eastAsia" w:eastAsia="仿宋"/>
          <w:sz w:val="28"/>
          <w:szCs w:val="28"/>
        </w:rPr>
        <w:t>由上表可知：评价区域内主要水污染物为氨氮，污染物等标负荷为</w:t>
      </w:r>
      <w:r>
        <w:rPr>
          <w:rFonts w:eastAsia="仿宋"/>
          <w:sz w:val="28"/>
          <w:szCs w:val="28"/>
        </w:rPr>
        <w:t>41.56</w:t>
      </w:r>
      <w:r>
        <w:rPr>
          <w:rFonts w:hint="eastAsia" w:eastAsia="仿宋"/>
          <w:sz w:val="28"/>
          <w:szCs w:val="28"/>
        </w:rPr>
        <w:t>%，氨氮主要排放企业为凡登（常州）新型金属材料技术有限公司。</w:t>
      </w:r>
    </w:p>
    <w:p w14:paraId="174D1EA9">
      <w:pPr>
        <w:spacing w:line="500" w:lineRule="exact"/>
        <w:rPr>
          <w:rFonts w:ascii="Times New Roman" w:eastAsia="仿宋"/>
          <w:sz w:val="28"/>
          <w:szCs w:val="28"/>
          <w:highlight w:val="yellow"/>
        </w:rPr>
        <w:sectPr>
          <w:footerReference r:id="rId20" w:type="even"/>
          <w:pgSz w:w="11906" w:h="16838"/>
          <w:pgMar w:top="1440" w:right="1800" w:bottom="1440" w:left="1800" w:header="851" w:footer="992" w:gutter="0"/>
          <w:cols w:space="720" w:num="1"/>
          <w:docGrid w:linePitch="312" w:charSpace="0"/>
        </w:sectPr>
      </w:pPr>
    </w:p>
    <w:p w14:paraId="2B4B3CFA">
      <w:pPr>
        <w:pStyle w:val="4"/>
        <w:tabs>
          <w:tab w:val="left" w:pos="284"/>
        </w:tabs>
        <w:spacing w:before="120" w:beforeLines="50" w:after="120" w:afterLines="50" w:line="500" w:lineRule="exact"/>
        <w:rPr>
          <w:rFonts w:eastAsia="仿宋"/>
          <w:bCs w:val="0"/>
          <w:sz w:val="36"/>
          <w:szCs w:val="36"/>
        </w:rPr>
      </w:pPr>
      <w:bookmarkStart w:id="310" w:name="_Toc200707938"/>
      <w:bookmarkStart w:id="311" w:name="_Toc236536293"/>
      <w:bookmarkStart w:id="312" w:name="_Toc182553819"/>
      <w:bookmarkStart w:id="313" w:name="_Toc238363470"/>
      <w:bookmarkStart w:id="314" w:name="_Toc240859399"/>
      <w:bookmarkStart w:id="315" w:name="_Toc113810204"/>
      <w:bookmarkStart w:id="316" w:name="_Toc227951083"/>
      <w:bookmarkStart w:id="317" w:name="_Toc105743730"/>
      <w:bookmarkStart w:id="318" w:name="_Toc170530409"/>
      <w:bookmarkStart w:id="319" w:name="_Toc236536295"/>
      <w:bookmarkStart w:id="320" w:name="_Toc238363472"/>
      <w:bookmarkStart w:id="321" w:name="_Toc240859401"/>
      <w:r>
        <w:rPr>
          <w:rFonts w:hint="eastAsia" w:eastAsia="仿宋"/>
          <w:bCs w:val="0"/>
          <w:sz w:val="36"/>
          <w:szCs w:val="36"/>
        </w:rPr>
        <w:t>5</w:t>
      </w:r>
      <w:r>
        <w:rPr>
          <w:rFonts w:eastAsia="仿宋"/>
          <w:bCs w:val="0"/>
          <w:sz w:val="36"/>
          <w:szCs w:val="36"/>
        </w:rPr>
        <w:t>环境影响预测与评价</w:t>
      </w:r>
      <w:bookmarkEnd w:id="310"/>
      <w:bookmarkEnd w:id="311"/>
      <w:bookmarkEnd w:id="312"/>
      <w:bookmarkEnd w:id="313"/>
      <w:bookmarkEnd w:id="314"/>
      <w:bookmarkEnd w:id="315"/>
      <w:bookmarkEnd w:id="316"/>
      <w:bookmarkEnd w:id="317"/>
      <w:bookmarkEnd w:id="318"/>
    </w:p>
    <w:p w14:paraId="69EB88A2">
      <w:pPr>
        <w:pStyle w:val="5"/>
        <w:numPr>
          <w:ilvl w:val="0"/>
          <w:numId w:val="0"/>
        </w:numPr>
        <w:rPr>
          <w:rFonts w:eastAsia="仿宋"/>
          <w:color w:val="auto"/>
        </w:rPr>
      </w:pPr>
      <w:bookmarkStart w:id="322" w:name="_Toc116115812"/>
      <w:bookmarkStart w:id="323" w:name="_Toc108238467"/>
      <w:bookmarkStart w:id="324" w:name="_Toc128475726"/>
      <w:bookmarkStart w:id="325" w:name="_Toc182553820"/>
      <w:r>
        <w:rPr>
          <w:rFonts w:hint="eastAsia" w:eastAsia="仿宋"/>
          <w:color w:val="auto"/>
        </w:rPr>
        <w:t>5</w:t>
      </w:r>
      <w:r>
        <w:rPr>
          <w:rFonts w:eastAsia="仿宋"/>
          <w:color w:val="auto"/>
        </w:rPr>
        <w:t>.1施工期环境影响</w:t>
      </w:r>
      <w:bookmarkEnd w:id="322"/>
      <w:bookmarkEnd w:id="323"/>
      <w:r>
        <w:rPr>
          <w:rFonts w:eastAsia="仿宋"/>
          <w:color w:val="auto"/>
        </w:rPr>
        <w:t>评述</w:t>
      </w:r>
      <w:bookmarkEnd w:id="324"/>
      <w:bookmarkEnd w:id="325"/>
    </w:p>
    <w:p w14:paraId="2E79D0B9">
      <w:pPr>
        <w:spacing w:line="500" w:lineRule="exact"/>
        <w:ind w:firstLine="560" w:firstLineChars="200"/>
        <w:rPr>
          <w:rFonts w:ascii="Times New Roman" w:eastAsia="仿宋"/>
          <w:sz w:val="28"/>
          <w:szCs w:val="28"/>
        </w:rPr>
      </w:pPr>
      <w:r>
        <w:rPr>
          <w:rFonts w:ascii="Times New Roman" w:eastAsia="仿宋"/>
          <w:sz w:val="28"/>
          <w:szCs w:val="28"/>
        </w:rPr>
        <w:t>本项目利用</w:t>
      </w:r>
      <w:r>
        <w:rPr>
          <w:rFonts w:hint="eastAsia" w:ascii="Times New Roman" w:eastAsia="仿宋"/>
          <w:sz w:val="28"/>
          <w:szCs w:val="28"/>
        </w:rPr>
        <w:t>厂区现有已建成厂房生产</w:t>
      </w:r>
      <w:r>
        <w:rPr>
          <w:rFonts w:ascii="Times New Roman" w:eastAsia="仿宋"/>
          <w:sz w:val="28"/>
          <w:szCs w:val="28"/>
        </w:rPr>
        <w:t>，不需要新增厂房，施工期主要为</w:t>
      </w:r>
      <w:r>
        <w:rPr>
          <w:rFonts w:hint="eastAsia" w:ascii="Times New Roman" w:eastAsia="仿宋"/>
          <w:sz w:val="28"/>
          <w:szCs w:val="28"/>
        </w:rPr>
        <w:t>厂房装修、</w:t>
      </w:r>
      <w:r>
        <w:rPr>
          <w:rFonts w:ascii="Times New Roman" w:eastAsia="仿宋"/>
          <w:sz w:val="28"/>
          <w:szCs w:val="28"/>
        </w:rPr>
        <w:t>设备安装等，主要环境影响包括噪声和固废：</w:t>
      </w:r>
    </w:p>
    <w:p w14:paraId="641A523E">
      <w:pPr>
        <w:spacing w:line="500" w:lineRule="exact"/>
        <w:ind w:firstLine="562" w:firstLineChars="200"/>
        <w:rPr>
          <w:rFonts w:ascii="Times New Roman" w:eastAsia="仿宋"/>
          <w:b/>
          <w:sz w:val="28"/>
          <w:szCs w:val="28"/>
        </w:rPr>
      </w:pPr>
      <w:r>
        <w:rPr>
          <w:rFonts w:ascii="Times New Roman" w:eastAsia="仿宋"/>
          <w:b/>
          <w:sz w:val="28"/>
          <w:szCs w:val="28"/>
        </w:rPr>
        <w:t>1、噪声</w:t>
      </w:r>
    </w:p>
    <w:p w14:paraId="3C5E40AE">
      <w:pPr>
        <w:spacing w:line="500" w:lineRule="exact"/>
        <w:ind w:firstLine="560" w:firstLineChars="200"/>
        <w:rPr>
          <w:rFonts w:ascii="Times New Roman" w:eastAsia="仿宋"/>
          <w:sz w:val="28"/>
          <w:szCs w:val="28"/>
        </w:rPr>
      </w:pPr>
      <w:r>
        <w:rPr>
          <w:rFonts w:ascii="Times New Roman" w:eastAsia="仿宋"/>
          <w:sz w:val="28"/>
          <w:szCs w:val="28"/>
        </w:rPr>
        <w:t>噪声是施工期主要的污染因子，施工噪声对周围地区噪声环境的影响，采用《建筑施工场界环境噪声排放标准》（GB12523-2011）进行评价，施工安装过程中场界环境噪声不得超过表5.1-1规定的排放限值。</w:t>
      </w:r>
    </w:p>
    <w:p w14:paraId="7F08B9C2">
      <w:pPr>
        <w:spacing w:line="500" w:lineRule="exact"/>
        <w:jc w:val="center"/>
        <w:rPr>
          <w:rFonts w:ascii="Times New Roman" w:eastAsia="仿宋"/>
          <w:b/>
          <w:bCs/>
        </w:rPr>
      </w:pPr>
      <w:r>
        <w:rPr>
          <w:rFonts w:ascii="Times New Roman" w:eastAsia="仿宋"/>
          <w:b/>
          <w:bCs/>
        </w:rPr>
        <w:t>表5.1-1 建筑施工场界环境噪声排放限值</w:t>
      </w:r>
    </w:p>
    <w:tbl>
      <w:tblPr>
        <w:tblStyle w:val="87"/>
        <w:tblW w:w="79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0"/>
        <w:gridCol w:w="2699"/>
        <w:gridCol w:w="2700"/>
      </w:tblGrid>
      <w:tr w14:paraId="1671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40" w:type="dxa"/>
            <w:tcBorders>
              <w:right w:val="single" w:color="auto" w:sz="4" w:space="0"/>
            </w:tcBorders>
            <w:vAlign w:val="center"/>
          </w:tcPr>
          <w:p w14:paraId="3921C185">
            <w:pPr>
              <w:adjustRightInd w:val="0"/>
              <w:snapToGrid w:val="0"/>
              <w:jc w:val="center"/>
              <w:rPr>
                <w:rFonts w:ascii="Times New Roman" w:eastAsia="仿宋"/>
              </w:rPr>
            </w:pPr>
            <w:r>
              <w:rPr>
                <w:rFonts w:ascii="Times New Roman" w:eastAsia="仿宋"/>
              </w:rPr>
              <w:t>时段</w:t>
            </w:r>
          </w:p>
        </w:tc>
        <w:tc>
          <w:tcPr>
            <w:tcW w:w="2699" w:type="dxa"/>
            <w:tcBorders>
              <w:left w:val="single" w:color="auto" w:sz="4" w:space="0"/>
            </w:tcBorders>
            <w:vAlign w:val="center"/>
          </w:tcPr>
          <w:p w14:paraId="5E5C0BE8">
            <w:pPr>
              <w:adjustRightInd w:val="0"/>
              <w:snapToGrid w:val="0"/>
              <w:jc w:val="center"/>
              <w:rPr>
                <w:rFonts w:ascii="Times New Roman" w:eastAsia="仿宋"/>
              </w:rPr>
            </w:pPr>
            <w:r>
              <w:rPr>
                <w:rFonts w:ascii="Times New Roman" w:eastAsia="仿宋"/>
              </w:rPr>
              <w:t>昼间</w:t>
            </w:r>
          </w:p>
        </w:tc>
        <w:tc>
          <w:tcPr>
            <w:tcW w:w="2700" w:type="dxa"/>
            <w:vAlign w:val="center"/>
          </w:tcPr>
          <w:p w14:paraId="3352A35E">
            <w:pPr>
              <w:adjustRightInd w:val="0"/>
              <w:snapToGrid w:val="0"/>
              <w:jc w:val="center"/>
              <w:rPr>
                <w:rFonts w:ascii="Times New Roman" w:eastAsia="仿宋"/>
              </w:rPr>
            </w:pPr>
            <w:r>
              <w:rPr>
                <w:rFonts w:ascii="Times New Roman" w:eastAsia="仿宋"/>
              </w:rPr>
              <w:t>夜间</w:t>
            </w:r>
          </w:p>
        </w:tc>
      </w:tr>
      <w:tr w14:paraId="48D21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40" w:type="dxa"/>
            <w:tcBorders>
              <w:right w:val="single" w:color="auto" w:sz="4" w:space="0"/>
            </w:tcBorders>
            <w:vAlign w:val="center"/>
          </w:tcPr>
          <w:p w14:paraId="2B9B5AA5">
            <w:pPr>
              <w:adjustRightInd w:val="0"/>
              <w:snapToGrid w:val="0"/>
              <w:jc w:val="center"/>
              <w:rPr>
                <w:rFonts w:ascii="Times New Roman" w:eastAsia="仿宋"/>
              </w:rPr>
            </w:pPr>
            <w:r>
              <w:rPr>
                <w:rFonts w:ascii="Times New Roman" w:eastAsia="仿宋"/>
              </w:rPr>
              <w:t>标准值（dB（A））</w:t>
            </w:r>
          </w:p>
        </w:tc>
        <w:tc>
          <w:tcPr>
            <w:tcW w:w="2699" w:type="dxa"/>
            <w:tcBorders>
              <w:left w:val="single" w:color="auto" w:sz="4" w:space="0"/>
            </w:tcBorders>
            <w:vAlign w:val="center"/>
          </w:tcPr>
          <w:p w14:paraId="58F07DD4">
            <w:pPr>
              <w:adjustRightInd w:val="0"/>
              <w:snapToGrid w:val="0"/>
              <w:jc w:val="center"/>
              <w:rPr>
                <w:rFonts w:ascii="Times New Roman" w:eastAsia="仿宋"/>
              </w:rPr>
            </w:pPr>
            <w:r>
              <w:rPr>
                <w:rFonts w:ascii="Times New Roman" w:eastAsia="仿宋"/>
              </w:rPr>
              <w:t>70</w:t>
            </w:r>
          </w:p>
        </w:tc>
        <w:tc>
          <w:tcPr>
            <w:tcW w:w="2700" w:type="dxa"/>
            <w:vAlign w:val="center"/>
          </w:tcPr>
          <w:p w14:paraId="4BD9AF18">
            <w:pPr>
              <w:adjustRightInd w:val="0"/>
              <w:snapToGrid w:val="0"/>
              <w:jc w:val="center"/>
              <w:rPr>
                <w:rFonts w:ascii="Times New Roman" w:eastAsia="仿宋"/>
              </w:rPr>
            </w:pPr>
            <w:r>
              <w:rPr>
                <w:rFonts w:ascii="Times New Roman" w:eastAsia="仿宋"/>
              </w:rPr>
              <w:t>55</w:t>
            </w:r>
          </w:p>
        </w:tc>
      </w:tr>
    </w:tbl>
    <w:p w14:paraId="0A885CED">
      <w:pPr>
        <w:spacing w:line="500" w:lineRule="exact"/>
        <w:ind w:firstLine="560" w:firstLineChars="200"/>
        <w:rPr>
          <w:rFonts w:ascii="Times New Roman" w:eastAsia="仿宋"/>
          <w:sz w:val="28"/>
          <w:szCs w:val="28"/>
        </w:rPr>
      </w:pPr>
      <w:r>
        <w:rPr>
          <w:rFonts w:ascii="Times New Roman" w:eastAsia="仿宋"/>
          <w:sz w:val="28"/>
          <w:szCs w:val="28"/>
        </w:rPr>
        <w:t>施工过程中使用的施工机械所产生的噪声主要属于中低频噪声，因此在预测其影响时可只考虑其扩散衰减，预测模型选用：</w:t>
      </w:r>
    </w:p>
    <w:p w14:paraId="26261938">
      <w:pPr>
        <w:spacing w:line="500" w:lineRule="exact"/>
        <w:jc w:val="center"/>
        <w:rPr>
          <w:rFonts w:ascii="Times New Roman" w:eastAsia="仿宋"/>
          <w:sz w:val="28"/>
          <w:szCs w:val="28"/>
        </w:rPr>
      </w:pPr>
      <w:r>
        <w:rPr>
          <w:rFonts w:ascii="Times New Roman" w:eastAsia="仿宋"/>
          <w:sz w:val="28"/>
          <w:szCs w:val="28"/>
        </w:rPr>
        <w:t>L</w:t>
      </w:r>
      <w:r>
        <w:rPr>
          <w:rFonts w:ascii="Times New Roman" w:eastAsia="仿宋"/>
          <w:sz w:val="28"/>
          <w:szCs w:val="28"/>
          <w:vertAlign w:val="subscript"/>
        </w:rPr>
        <w:t>2</w:t>
      </w:r>
      <w:r>
        <w:rPr>
          <w:rFonts w:ascii="Times New Roman" w:eastAsia="仿宋"/>
          <w:sz w:val="28"/>
          <w:szCs w:val="28"/>
        </w:rPr>
        <w:t>=L</w:t>
      </w:r>
      <w:r>
        <w:rPr>
          <w:rFonts w:ascii="Times New Roman" w:eastAsia="仿宋"/>
          <w:sz w:val="28"/>
          <w:szCs w:val="28"/>
          <w:vertAlign w:val="subscript"/>
        </w:rPr>
        <w:t>1</w:t>
      </w:r>
      <w:r>
        <w:rPr>
          <w:rFonts w:ascii="Times New Roman" w:eastAsia="仿宋"/>
          <w:sz w:val="28"/>
          <w:szCs w:val="28"/>
        </w:rPr>
        <w:t>-20lgr</w:t>
      </w:r>
      <w:r>
        <w:rPr>
          <w:rFonts w:ascii="Times New Roman" w:eastAsia="仿宋"/>
          <w:sz w:val="28"/>
          <w:szCs w:val="28"/>
          <w:vertAlign w:val="subscript"/>
        </w:rPr>
        <w:t>2</w:t>
      </w:r>
      <w:r>
        <w:rPr>
          <w:rFonts w:ascii="Times New Roman" w:eastAsia="仿宋"/>
          <w:sz w:val="28"/>
          <w:szCs w:val="28"/>
        </w:rPr>
        <w:t>/r</w:t>
      </w:r>
      <w:r>
        <w:rPr>
          <w:rFonts w:ascii="Times New Roman" w:eastAsia="仿宋"/>
          <w:sz w:val="28"/>
          <w:szCs w:val="28"/>
          <w:vertAlign w:val="subscript"/>
        </w:rPr>
        <w:t>1</w:t>
      </w:r>
    </w:p>
    <w:p w14:paraId="77CA41B0">
      <w:pPr>
        <w:spacing w:line="500" w:lineRule="exact"/>
        <w:ind w:firstLine="560" w:firstLineChars="200"/>
        <w:rPr>
          <w:rFonts w:ascii="Times New Roman" w:eastAsia="仿宋"/>
          <w:sz w:val="28"/>
          <w:szCs w:val="28"/>
        </w:rPr>
      </w:pPr>
      <w:r>
        <w:rPr>
          <w:rFonts w:ascii="Times New Roman" w:eastAsia="仿宋"/>
          <w:sz w:val="28"/>
          <w:szCs w:val="28"/>
        </w:rPr>
        <w:t>式中：L</w:t>
      </w:r>
      <w:r>
        <w:rPr>
          <w:rFonts w:ascii="Times New Roman" w:eastAsia="仿宋"/>
          <w:sz w:val="28"/>
          <w:szCs w:val="28"/>
          <w:vertAlign w:val="subscript"/>
        </w:rPr>
        <w:t>1</w:t>
      </w:r>
      <w:r>
        <w:rPr>
          <w:rFonts w:ascii="Times New Roman" w:eastAsia="仿宋"/>
          <w:sz w:val="28"/>
          <w:szCs w:val="28"/>
        </w:rPr>
        <w:t>、L</w:t>
      </w:r>
      <w:r>
        <w:rPr>
          <w:rFonts w:ascii="Times New Roman" w:eastAsia="仿宋"/>
          <w:sz w:val="28"/>
          <w:szCs w:val="28"/>
          <w:vertAlign w:val="subscript"/>
        </w:rPr>
        <w:t>2</w:t>
      </w:r>
      <w:r>
        <w:rPr>
          <w:rFonts w:ascii="Times New Roman" w:eastAsia="仿宋"/>
          <w:sz w:val="28"/>
          <w:szCs w:val="28"/>
        </w:rPr>
        <w:t>分别为距声源r</w:t>
      </w:r>
      <w:r>
        <w:rPr>
          <w:rFonts w:ascii="Times New Roman" w:eastAsia="仿宋"/>
          <w:sz w:val="28"/>
          <w:szCs w:val="28"/>
          <w:vertAlign w:val="subscript"/>
        </w:rPr>
        <w:t>1</w:t>
      </w:r>
      <w:r>
        <w:rPr>
          <w:rFonts w:ascii="Times New Roman" w:eastAsia="仿宋"/>
          <w:sz w:val="28"/>
          <w:szCs w:val="28"/>
        </w:rPr>
        <w:t>、r</w:t>
      </w:r>
      <w:r>
        <w:rPr>
          <w:rFonts w:ascii="Times New Roman" w:eastAsia="仿宋"/>
          <w:sz w:val="28"/>
          <w:szCs w:val="28"/>
          <w:vertAlign w:val="subscript"/>
        </w:rPr>
        <w:t>2</w:t>
      </w:r>
      <w:r>
        <w:rPr>
          <w:rFonts w:ascii="Times New Roman" w:eastAsia="仿宋"/>
          <w:sz w:val="28"/>
          <w:szCs w:val="28"/>
        </w:rPr>
        <w:t>处的等效A声级（dB（A））；</w:t>
      </w:r>
    </w:p>
    <w:p w14:paraId="4194F539">
      <w:pPr>
        <w:spacing w:line="500" w:lineRule="exact"/>
        <w:ind w:firstLine="560" w:firstLineChars="200"/>
        <w:rPr>
          <w:rFonts w:ascii="Times New Roman" w:eastAsia="仿宋"/>
          <w:sz w:val="28"/>
          <w:szCs w:val="28"/>
        </w:rPr>
      </w:pPr>
      <w:r>
        <w:rPr>
          <w:rFonts w:ascii="Times New Roman" w:eastAsia="仿宋"/>
          <w:sz w:val="28"/>
          <w:szCs w:val="28"/>
        </w:rPr>
        <w:t xml:space="preserve">      r</w:t>
      </w:r>
      <w:r>
        <w:rPr>
          <w:rFonts w:ascii="Times New Roman" w:eastAsia="仿宋"/>
          <w:sz w:val="28"/>
          <w:szCs w:val="28"/>
          <w:vertAlign w:val="subscript"/>
        </w:rPr>
        <w:t>1</w:t>
      </w:r>
      <w:r>
        <w:rPr>
          <w:rFonts w:ascii="Times New Roman" w:eastAsia="仿宋"/>
          <w:sz w:val="28"/>
          <w:szCs w:val="28"/>
        </w:rPr>
        <w:t>、r</w:t>
      </w:r>
      <w:r>
        <w:rPr>
          <w:rFonts w:ascii="Times New Roman" w:eastAsia="仿宋"/>
          <w:sz w:val="28"/>
          <w:szCs w:val="28"/>
          <w:vertAlign w:val="subscript"/>
        </w:rPr>
        <w:t>2</w:t>
      </w:r>
      <w:r>
        <w:rPr>
          <w:rFonts w:ascii="Times New Roman" w:eastAsia="仿宋"/>
          <w:sz w:val="28"/>
          <w:szCs w:val="28"/>
        </w:rPr>
        <w:t>为接受点距声源的距离（m）。</w:t>
      </w:r>
    </w:p>
    <w:p w14:paraId="584CD1DC">
      <w:pPr>
        <w:spacing w:line="500" w:lineRule="exact"/>
        <w:ind w:firstLine="560" w:firstLineChars="200"/>
        <w:rPr>
          <w:rFonts w:ascii="Times New Roman" w:eastAsia="仿宋"/>
          <w:sz w:val="28"/>
          <w:szCs w:val="28"/>
        </w:rPr>
      </w:pPr>
      <w:r>
        <w:rPr>
          <w:rFonts w:ascii="Times New Roman" w:eastAsia="仿宋"/>
          <w:sz w:val="28"/>
          <w:szCs w:val="28"/>
        </w:rPr>
        <w:t>由上式可推出噪声随距离增加而衰减的量ΔL：</w:t>
      </w:r>
    </w:p>
    <w:p w14:paraId="57BEB87F">
      <w:pPr>
        <w:spacing w:line="500" w:lineRule="exact"/>
        <w:jc w:val="center"/>
        <w:rPr>
          <w:rFonts w:ascii="Times New Roman" w:eastAsia="仿宋"/>
          <w:sz w:val="28"/>
          <w:szCs w:val="28"/>
        </w:rPr>
      </w:pPr>
      <w:r>
        <w:rPr>
          <w:rFonts w:ascii="Times New Roman" w:eastAsia="仿宋"/>
          <w:sz w:val="28"/>
          <w:szCs w:val="28"/>
        </w:rPr>
        <w:t>ΔL=L</w:t>
      </w:r>
      <w:r>
        <w:rPr>
          <w:rFonts w:ascii="Times New Roman" w:eastAsia="仿宋"/>
          <w:sz w:val="28"/>
          <w:szCs w:val="28"/>
          <w:vertAlign w:val="subscript"/>
        </w:rPr>
        <w:t>1</w:t>
      </w:r>
      <w:r>
        <w:rPr>
          <w:rFonts w:ascii="Times New Roman" w:eastAsia="仿宋"/>
          <w:sz w:val="28"/>
          <w:szCs w:val="28"/>
        </w:rPr>
        <w:t>-L</w:t>
      </w:r>
      <w:r>
        <w:rPr>
          <w:rFonts w:ascii="Times New Roman" w:eastAsia="仿宋"/>
          <w:sz w:val="28"/>
          <w:szCs w:val="28"/>
          <w:vertAlign w:val="subscript"/>
        </w:rPr>
        <w:t>2</w:t>
      </w:r>
      <w:r>
        <w:rPr>
          <w:rFonts w:ascii="Times New Roman" w:eastAsia="仿宋"/>
          <w:sz w:val="28"/>
          <w:szCs w:val="28"/>
        </w:rPr>
        <w:t>=20lgr</w:t>
      </w:r>
      <w:r>
        <w:rPr>
          <w:rFonts w:ascii="Times New Roman" w:eastAsia="仿宋"/>
          <w:sz w:val="28"/>
          <w:szCs w:val="28"/>
          <w:vertAlign w:val="subscript"/>
        </w:rPr>
        <w:t>2</w:t>
      </w:r>
      <w:r>
        <w:rPr>
          <w:rFonts w:ascii="Times New Roman" w:eastAsia="仿宋"/>
          <w:sz w:val="28"/>
          <w:szCs w:val="28"/>
        </w:rPr>
        <w:t>/r</w:t>
      </w:r>
      <w:r>
        <w:rPr>
          <w:rFonts w:ascii="Times New Roman" w:eastAsia="仿宋"/>
          <w:sz w:val="28"/>
          <w:szCs w:val="28"/>
          <w:vertAlign w:val="subscript"/>
        </w:rPr>
        <w:t>1</w:t>
      </w:r>
    </w:p>
    <w:p w14:paraId="04B50B1A">
      <w:pPr>
        <w:spacing w:line="500" w:lineRule="exact"/>
        <w:ind w:firstLine="560" w:firstLineChars="200"/>
        <w:rPr>
          <w:rFonts w:ascii="Times New Roman" w:eastAsia="仿宋"/>
          <w:sz w:val="28"/>
          <w:szCs w:val="28"/>
        </w:rPr>
      </w:pPr>
      <w:r>
        <w:rPr>
          <w:rFonts w:ascii="Times New Roman" w:eastAsia="仿宋"/>
          <w:sz w:val="28"/>
          <w:szCs w:val="28"/>
        </w:rPr>
        <w:t>由上式可计算出噪声值随距离衰减的情况，结果见表5.1-2。</w:t>
      </w:r>
    </w:p>
    <w:p w14:paraId="479F3E5E">
      <w:pPr>
        <w:spacing w:line="500" w:lineRule="exact"/>
        <w:jc w:val="center"/>
        <w:rPr>
          <w:rFonts w:ascii="Times New Roman" w:eastAsia="仿宋"/>
          <w:b/>
          <w:bCs/>
        </w:rPr>
      </w:pPr>
      <w:r>
        <w:rPr>
          <w:rFonts w:ascii="Times New Roman" w:eastAsia="仿宋"/>
          <w:b/>
          <w:bCs/>
        </w:rPr>
        <w:t>表5.1-2 噪声值随距离的衰减关系</w:t>
      </w:r>
    </w:p>
    <w:tbl>
      <w:tblPr>
        <w:tblStyle w:val="87"/>
        <w:tblW w:w="46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683"/>
        <w:gridCol w:w="683"/>
        <w:gridCol w:w="683"/>
        <w:gridCol w:w="683"/>
        <w:gridCol w:w="683"/>
        <w:gridCol w:w="683"/>
        <w:gridCol w:w="683"/>
        <w:gridCol w:w="683"/>
        <w:gridCol w:w="683"/>
        <w:gridCol w:w="681"/>
      </w:tblGrid>
      <w:tr w14:paraId="7CBE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Align w:val="center"/>
          </w:tcPr>
          <w:p w14:paraId="408BDFA1">
            <w:pPr>
              <w:adjustRightInd w:val="0"/>
              <w:snapToGrid w:val="0"/>
              <w:jc w:val="center"/>
              <w:rPr>
                <w:rFonts w:ascii="Times New Roman" w:eastAsia="仿宋"/>
              </w:rPr>
            </w:pPr>
            <w:r>
              <w:rPr>
                <w:rFonts w:ascii="Times New Roman" w:eastAsia="仿宋"/>
              </w:rPr>
              <w:t>距离（m）</w:t>
            </w:r>
          </w:p>
        </w:tc>
        <w:tc>
          <w:tcPr>
            <w:tcW w:w="415" w:type="pct"/>
            <w:vAlign w:val="center"/>
          </w:tcPr>
          <w:p w14:paraId="7A8A879B">
            <w:pPr>
              <w:adjustRightInd w:val="0"/>
              <w:snapToGrid w:val="0"/>
              <w:jc w:val="center"/>
              <w:rPr>
                <w:rFonts w:ascii="Times New Roman" w:eastAsia="仿宋"/>
              </w:rPr>
            </w:pPr>
            <w:r>
              <w:rPr>
                <w:rFonts w:ascii="Times New Roman" w:eastAsia="仿宋"/>
              </w:rPr>
              <w:t>1</w:t>
            </w:r>
          </w:p>
        </w:tc>
        <w:tc>
          <w:tcPr>
            <w:tcW w:w="415" w:type="pct"/>
            <w:vAlign w:val="center"/>
          </w:tcPr>
          <w:p w14:paraId="592F395E">
            <w:pPr>
              <w:adjustRightInd w:val="0"/>
              <w:snapToGrid w:val="0"/>
              <w:jc w:val="center"/>
              <w:rPr>
                <w:rFonts w:ascii="Times New Roman" w:eastAsia="仿宋"/>
              </w:rPr>
            </w:pPr>
            <w:r>
              <w:rPr>
                <w:rFonts w:ascii="Times New Roman" w:eastAsia="仿宋"/>
              </w:rPr>
              <w:t>10</w:t>
            </w:r>
          </w:p>
        </w:tc>
        <w:tc>
          <w:tcPr>
            <w:tcW w:w="415" w:type="pct"/>
            <w:vAlign w:val="center"/>
          </w:tcPr>
          <w:p w14:paraId="62839CDD">
            <w:pPr>
              <w:adjustRightInd w:val="0"/>
              <w:snapToGrid w:val="0"/>
              <w:jc w:val="center"/>
              <w:rPr>
                <w:rFonts w:ascii="Times New Roman" w:eastAsia="仿宋"/>
              </w:rPr>
            </w:pPr>
            <w:r>
              <w:rPr>
                <w:rFonts w:ascii="Times New Roman" w:eastAsia="仿宋"/>
              </w:rPr>
              <w:t>50</w:t>
            </w:r>
          </w:p>
        </w:tc>
        <w:tc>
          <w:tcPr>
            <w:tcW w:w="415" w:type="pct"/>
            <w:vAlign w:val="center"/>
          </w:tcPr>
          <w:p w14:paraId="711815B6">
            <w:pPr>
              <w:adjustRightInd w:val="0"/>
              <w:snapToGrid w:val="0"/>
              <w:jc w:val="center"/>
              <w:rPr>
                <w:rFonts w:ascii="Times New Roman" w:eastAsia="仿宋"/>
              </w:rPr>
            </w:pPr>
            <w:r>
              <w:rPr>
                <w:rFonts w:ascii="Times New Roman" w:eastAsia="仿宋"/>
              </w:rPr>
              <w:t>100</w:t>
            </w:r>
          </w:p>
        </w:tc>
        <w:tc>
          <w:tcPr>
            <w:tcW w:w="415" w:type="pct"/>
            <w:vAlign w:val="center"/>
          </w:tcPr>
          <w:p w14:paraId="02A86FF1">
            <w:pPr>
              <w:adjustRightInd w:val="0"/>
              <w:snapToGrid w:val="0"/>
              <w:jc w:val="center"/>
              <w:rPr>
                <w:rFonts w:ascii="Times New Roman" w:eastAsia="仿宋"/>
              </w:rPr>
            </w:pPr>
            <w:r>
              <w:rPr>
                <w:rFonts w:ascii="Times New Roman" w:eastAsia="仿宋"/>
              </w:rPr>
              <w:t>150</w:t>
            </w:r>
          </w:p>
        </w:tc>
        <w:tc>
          <w:tcPr>
            <w:tcW w:w="415" w:type="pct"/>
            <w:vAlign w:val="center"/>
          </w:tcPr>
          <w:p w14:paraId="7211A7F2">
            <w:pPr>
              <w:adjustRightInd w:val="0"/>
              <w:snapToGrid w:val="0"/>
              <w:jc w:val="center"/>
              <w:rPr>
                <w:rFonts w:ascii="Times New Roman" w:eastAsia="仿宋"/>
              </w:rPr>
            </w:pPr>
            <w:r>
              <w:rPr>
                <w:rFonts w:ascii="Times New Roman" w:eastAsia="仿宋"/>
              </w:rPr>
              <w:t>200</w:t>
            </w:r>
          </w:p>
        </w:tc>
        <w:tc>
          <w:tcPr>
            <w:tcW w:w="415" w:type="pct"/>
            <w:vAlign w:val="center"/>
          </w:tcPr>
          <w:p w14:paraId="7F97008F">
            <w:pPr>
              <w:adjustRightInd w:val="0"/>
              <w:snapToGrid w:val="0"/>
              <w:jc w:val="center"/>
              <w:rPr>
                <w:rFonts w:ascii="Times New Roman" w:eastAsia="仿宋"/>
              </w:rPr>
            </w:pPr>
            <w:r>
              <w:rPr>
                <w:rFonts w:ascii="Times New Roman" w:eastAsia="仿宋"/>
              </w:rPr>
              <w:t>250</w:t>
            </w:r>
          </w:p>
        </w:tc>
        <w:tc>
          <w:tcPr>
            <w:tcW w:w="415" w:type="pct"/>
            <w:vAlign w:val="center"/>
          </w:tcPr>
          <w:p w14:paraId="4C82173A">
            <w:pPr>
              <w:adjustRightInd w:val="0"/>
              <w:snapToGrid w:val="0"/>
              <w:jc w:val="center"/>
              <w:rPr>
                <w:rFonts w:ascii="Times New Roman" w:eastAsia="仿宋"/>
              </w:rPr>
            </w:pPr>
            <w:r>
              <w:rPr>
                <w:rFonts w:ascii="Times New Roman" w:eastAsia="仿宋"/>
              </w:rPr>
              <w:t>300</w:t>
            </w:r>
          </w:p>
        </w:tc>
        <w:tc>
          <w:tcPr>
            <w:tcW w:w="415" w:type="pct"/>
            <w:vAlign w:val="center"/>
          </w:tcPr>
          <w:p w14:paraId="4B45B67E">
            <w:pPr>
              <w:adjustRightInd w:val="0"/>
              <w:snapToGrid w:val="0"/>
              <w:jc w:val="center"/>
              <w:rPr>
                <w:rFonts w:ascii="Times New Roman" w:eastAsia="仿宋"/>
              </w:rPr>
            </w:pPr>
            <w:r>
              <w:rPr>
                <w:rFonts w:ascii="Times New Roman" w:eastAsia="仿宋"/>
              </w:rPr>
              <w:t>400</w:t>
            </w:r>
          </w:p>
        </w:tc>
        <w:tc>
          <w:tcPr>
            <w:tcW w:w="415" w:type="pct"/>
            <w:vAlign w:val="center"/>
          </w:tcPr>
          <w:p w14:paraId="0AA05C65">
            <w:pPr>
              <w:adjustRightInd w:val="0"/>
              <w:snapToGrid w:val="0"/>
              <w:jc w:val="center"/>
              <w:rPr>
                <w:rFonts w:ascii="Times New Roman" w:eastAsia="仿宋"/>
              </w:rPr>
            </w:pPr>
            <w:r>
              <w:rPr>
                <w:rFonts w:ascii="Times New Roman" w:eastAsia="仿宋"/>
              </w:rPr>
              <w:t>600</w:t>
            </w:r>
          </w:p>
        </w:tc>
      </w:tr>
      <w:tr w14:paraId="4E8A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Align w:val="center"/>
          </w:tcPr>
          <w:p w14:paraId="2D2E11D9">
            <w:pPr>
              <w:adjustRightInd w:val="0"/>
              <w:snapToGrid w:val="0"/>
              <w:jc w:val="center"/>
              <w:rPr>
                <w:rFonts w:ascii="Times New Roman" w:eastAsia="仿宋"/>
              </w:rPr>
            </w:pPr>
            <w:r>
              <w:rPr>
                <w:rFonts w:ascii="Times New Roman" w:eastAsia="仿宋"/>
              </w:rPr>
              <w:t>ΔL dB（A）</w:t>
            </w:r>
          </w:p>
        </w:tc>
        <w:tc>
          <w:tcPr>
            <w:tcW w:w="415" w:type="pct"/>
            <w:vAlign w:val="center"/>
          </w:tcPr>
          <w:p w14:paraId="7C8200BD">
            <w:pPr>
              <w:adjustRightInd w:val="0"/>
              <w:snapToGrid w:val="0"/>
              <w:jc w:val="center"/>
              <w:rPr>
                <w:rFonts w:ascii="Times New Roman" w:eastAsia="仿宋"/>
              </w:rPr>
            </w:pPr>
            <w:r>
              <w:rPr>
                <w:rFonts w:ascii="Times New Roman" w:eastAsia="仿宋"/>
              </w:rPr>
              <w:t>0</w:t>
            </w:r>
          </w:p>
        </w:tc>
        <w:tc>
          <w:tcPr>
            <w:tcW w:w="415" w:type="pct"/>
            <w:vAlign w:val="center"/>
          </w:tcPr>
          <w:p w14:paraId="5DE59862">
            <w:pPr>
              <w:adjustRightInd w:val="0"/>
              <w:snapToGrid w:val="0"/>
              <w:jc w:val="center"/>
              <w:rPr>
                <w:rFonts w:ascii="Times New Roman" w:eastAsia="仿宋"/>
              </w:rPr>
            </w:pPr>
            <w:r>
              <w:rPr>
                <w:rFonts w:ascii="Times New Roman" w:eastAsia="仿宋"/>
              </w:rPr>
              <w:t>20</w:t>
            </w:r>
          </w:p>
        </w:tc>
        <w:tc>
          <w:tcPr>
            <w:tcW w:w="415" w:type="pct"/>
            <w:vAlign w:val="center"/>
          </w:tcPr>
          <w:p w14:paraId="0155D5A4">
            <w:pPr>
              <w:adjustRightInd w:val="0"/>
              <w:snapToGrid w:val="0"/>
              <w:jc w:val="center"/>
              <w:rPr>
                <w:rFonts w:ascii="Times New Roman" w:eastAsia="仿宋"/>
              </w:rPr>
            </w:pPr>
            <w:r>
              <w:rPr>
                <w:rFonts w:ascii="Times New Roman" w:eastAsia="仿宋"/>
              </w:rPr>
              <w:t>34</w:t>
            </w:r>
          </w:p>
        </w:tc>
        <w:tc>
          <w:tcPr>
            <w:tcW w:w="415" w:type="pct"/>
            <w:vAlign w:val="center"/>
          </w:tcPr>
          <w:p w14:paraId="08951934">
            <w:pPr>
              <w:adjustRightInd w:val="0"/>
              <w:snapToGrid w:val="0"/>
              <w:jc w:val="center"/>
              <w:rPr>
                <w:rFonts w:ascii="Times New Roman" w:eastAsia="仿宋"/>
              </w:rPr>
            </w:pPr>
            <w:r>
              <w:rPr>
                <w:rFonts w:ascii="Times New Roman" w:eastAsia="仿宋"/>
              </w:rPr>
              <w:t>40</w:t>
            </w:r>
          </w:p>
        </w:tc>
        <w:tc>
          <w:tcPr>
            <w:tcW w:w="415" w:type="pct"/>
            <w:vAlign w:val="center"/>
          </w:tcPr>
          <w:p w14:paraId="68D4F9C4">
            <w:pPr>
              <w:adjustRightInd w:val="0"/>
              <w:snapToGrid w:val="0"/>
              <w:jc w:val="center"/>
              <w:rPr>
                <w:rFonts w:ascii="Times New Roman" w:eastAsia="仿宋"/>
              </w:rPr>
            </w:pPr>
            <w:r>
              <w:rPr>
                <w:rFonts w:ascii="Times New Roman" w:eastAsia="仿宋"/>
              </w:rPr>
              <w:t>43</w:t>
            </w:r>
          </w:p>
        </w:tc>
        <w:tc>
          <w:tcPr>
            <w:tcW w:w="415" w:type="pct"/>
            <w:vAlign w:val="center"/>
          </w:tcPr>
          <w:p w14:paraId="46690D05">
            <w:pPr>
              <w:adjustRightInd w:val="0"/>
              <w:snapToGrid w:val="0"/>
              <w:jc w:val="center"/>
              <w:rPr>
                <w:rFonts w:ascii="Times New Roman" w:eastAsia="仿宋"/>
              </w:rPr>
            </w:pPr>
            <w:r>
              <w:rPr>
                <w:rFonts w:ascii="Times New Roman" w:eastAsia="仿宋"/>
              </w:rPr>
              <w:t>46</w:t>
            </w:r>
          </w:p>
        </w:tc>
        <w:tc>
          <w:tcPr>
            <w:tcW w:w="415" w:type="pct"/>
            <w:vAlign w:val="center"/>
          </w:tcPr>
          <w:p w14:paraId="3EC11E61">
            <w:pPr>
              <w:adjustRightInd w:val="0"/>
              <w:snapToGrid w:val="0"/>
              <w:jc w:val="center"/>
              <w:rPr>
                <w:rFonts w:ascii="Times New Roman" w:eastAsia="仿宋"/>
              </w:rPr>
            </w:pPr>
            <w:r>
              <w:rPr>
                <w:rFonts w:ascii="Times New Roman" w:eastAsia="仿宋"/>
              </w:rPr>
              <w:t>48</w:t>
            </w:r>
          </w:p>
        </w:tc>
        <w:tc>
          <w:tcPr>
            <w:tcW w:w="415" w:type="pct"/>
            <w:vAlign w:val="center"/>
          </w:tcPr>
          <w:p w14:paraId="3D1CABC5">
            <w:pPr>
              <w:adjustRightInd w:val="0"/>
              <w:snapToGrid w:val="0"/>
              <w:jc w:val="center"/>
              <w:rPr>
                <w:rFonts w:ascii="Times New Roman" w:eastAsia="仿宋"/>
              </w:rPr>
            </w:pPr>
            <w:r>
              <w:rPr>
                <w:rFonts w:ascii="Times New Roman" w:eastAsia="仿宋"/>
              </w:rPr>
              <w:t>49</w:t>
            </w:r>
          </w:p>
        </w:tc>
        <w:tc>
          <w:tcPr>
            <w:tcW w:w="415" w:type="pct"/>
            <w:vAlign w:val="center"/>
          </w:tcPr>
          <w:p w14:paraId="075DE21E">
            <w:pPr>
              <w:adjustRightInd w:val="0"/>
              <w:snapToGrid w:val="0"/>
              <w:jc w:val="center"/>
              <w:rPr>
                <w:rFonts w:ascii="Times New Roman" w:eastAsia="仿宋"/>
              </w:rPr>
            </w:pPr>
            <w:r>
              <w:rPr>
                <w:rFonts w:ascii="Times New Roman" w:eastAsia="仿宋"/>
              </w:rPr>
              <w:t>52</w:t>
            </w:r>
          </w:p>
        </w:tc>
        <w:tc>
          <w:tcPr>
            <w:tcW w:w="415" w:type="pct"/>
            <w:vAlign w:val="center"/>
          </w:tcPr>
          <w:p w14:paraId="586661D2">
            <w:pPr>
              <w:adjustRightInd w:val="0"/>
              <w:snapToGrid w:val="0"/>
              <w:jc w:val="center"/>
              <w:rPr>
                <w:rFonts w:ascii="Times New Roman" w:eastAsia="仿宋"/>
              </w:rPr>
            </w:pPr>
            <w:r>
              <w:rPr>
                <w:rFonts w:ascii="Times New Roman" w:eastAsia="仿宋"/>
              </w:rPr>
              <w:t>57</w:t>
            </w:r>
          </w:p>
        </w:tc>
      </w:tr>
    </w:tbl>
    <w:p w14:paraId="03510B99">
      <w:pPr>
        <w:spacing w:line="500" w:lineRule="exact"/>
        <w:ind w:firstLine="560" w:firstLineChars="200"/>
        <w:rPr>
          <w:rFonts w:ascii="Times New Roman" w:eastAsia="仿宋"/>
          <w:sz w:val="28"/>
          <w:szCs w:val="28"/>
        </w:rPr>
      </w:pPr>
      <w:r>
        <w:rPr>
          <w:rFonts w:ascii="Times New Roman" w:eastAsia="仿宋"/>
          <w:sz w:val="28"/>
          <w:szCs w:val="28"/>
        </w:rPr>
        <w:t>为了减轻施工噪声对周围环境的影响，建议采取以下措施：</w:t>
      </w:r>
    </w:p>
    <w:p w14:paraId="459B3BEA">
      <w:pPr>
        <w:spacing w:line="500" w:lineRule="exact"/>
        <w:ind w:firstLine="560" w:firstLineChars="200"/>
        <w:rPr>
          <w:rFonts w:ascii="Times New Roman" w:eastAsia="仿宋"/>
          <w:sz w:val="28"/>
          <w:szCs w:val="28"/>
        </w:rPr>
      </w:pPr>
      <w:r>
        <w:rPr>
          <w:rFonts w:ascii="Times New Roman" w:eastAsia="仿宋"/>
          <w:sz w:val="28"/>
          <w:szCs w:val="28"/>
        </w:rPr>
        <w:t>（1）加强施工管理，合理安排施工作业时间，严格按照施工噪声管理的有关规定执行，严禁夜间进行高噪声施工安装作业。</w:t>
      </w:r>
    </w:p>
    <w:p w14:paraId="5100F700">
      <w:pPr>
        <w:spacing w:line="500" w:lineRule="exact"/>
        <w:ind w:firstLine="560" w:firstLineChars="200"/>
        <w:rPr>
          <w:rFonts w:ascii="Times New Roman" w:eastAsia="仿宋"/>
          <w:sz w:val="28"/>
          <w:szCs w:val="28"/>
        </w:rPr>
      </w:pPr>
      <w:r>
        <w:rPr>
          <w:rFonts w:ascii="Times New Roman" w:eastAsia="仿宋"/>
          <w:sz w:val="28"/>
          <w:szCs w:val="28"/>
        </w:rPr>
        <w:t>（2）施工安装设备应尽可能放置于对周围敏感点造成影响最小的地点。</w:t>
      </w:r>
    </w:p>
    <w:p w14:paraId="6BB872E2">
      <w:pPr>
        <w:spacing w:line="500" w:lineRule="exact"/>
        <w:ind w:firstLine="562" w:firstLineChars="200"/>
        <w:rPr>
          <w:rFonts w:ascii="Times New Roman" w:eastAsia="仿宋"/>
          <w:b/>
          <w:sz w:val="28"/>
          <w:szCs w:val="28"/>
        </w:rPr>
      </w:pPr>
      <w:r>
        <w:rPr>
          <w:rFonts w:ascii="Times New Roman" w:eastAsia="仿宋"/>
          <w:b/>
          <w:sz w:val="28"/>
          <w:szCs w:val="28"/>
        </w:rPr>
        <w:t>2、固废</w:t>
      </w:r>
    </w:p>
    <w:p w14:paraId="1765A405">
      <w:pPr>
        <w:spacing w:line="500" w:lineRule="exact"/>
        <w:ind w:firstLine="560" w:firstLineChars="200"/>
        <w:rPr>
          <w:rFonts w:ascii="Times New Roman" w:eastAsia="仿宋"/>
          <w:sz w:val="28"/>
          <w:szCs w:val="28"/>
        </w:rPr>
      </w:pPr>
      <w:r>
        <w:rPr>
          <w:rFonts w:ascii="Times New Roman" w:eastAsia="仿宋"/>
          <w:sz w:val="28"/>
          <w:szCs w:val="28"/>
        </w:rPr>
        <w:t>施工期产生的固体废弃物主要为施工人员产生的生活垃圾，该部分生活垃圾纳入公司员工日常生活产生的生活垃圾一并处理，即由公司内部保洁人员统一收集后，交由环卫部门定期清运处理，因此对周围的环境影响较小。</w:t>
      </w:r>
    </w:p>
    <w:p w14:paraId="6A92CFD3">
      <w:pPr>
        <w:pStyle w:val="5"/>
        <w:numPr>
          <w:ilvl w:val="0"/>
          <w:numId w:val="0"/>
        </w:numPr>
        <w:rPr>
          <w:rFonts w:eastAsia="仿宋"/>
          <w:color w:val="auto"/>
        </w:rPr>
      </w:pPr>
      <w:bookmarkStart w:id="326" w:name="_Toc182553821"/>
      <w:r>
        <w:rPr>
          <w:rFonts w:hint="eastAsia" w:eastAsia="仿宋"/>
          <w:color w:val="auto"/>
        </w:rPr>
        <w:t>5.</w:t>
      </w:r>
      <w:r>
        <w:rPr>
          <w:rFonts w:eastAsia="仿宋"/>
          <w:color w:val="auto"/>
        </w:rPr>
        <w:t>2运营期环境影响预测</w:t>
      </w:r>
      <w:bookmarkEnd w:id="326"/>
    </w:p>
    <w:p w14:paraId="7DFADEAA">
      <w:pPr>
        <w:pStyle w:val="6"/>
        <w:keepLines w:val="0"/>
        <w:tabs>
          <w:tab w:val="left" w:pos="709"/>
        </w:tabs>
        <w:spacing w:before="0" w:after="120" w:afterLines="50" w:line="500" w:lineRule="exact"/>
        <w:rPr>
          <w:rFonts w:ascii="Times New Roman" w:eastAsia="仿宋"/>
          <w:bCs w:val="0"/>
          <w:sz w:val="28"/>
          <w:szCs w:val="28"/>
        </w:rPr>
      </w:pPr>
      <w:bookmarkStart w:id="327" w:name="_Toc97911007"/>
      <w:bookmarkStart w:id="328" w:name="_Toc105743731"/>
      <w:bookmarkStart w:id="329" w:name="_Toc200707939"/>
      <w:bookmarkStart w:id="330" w:name="_Toc59606837"/>
      <w:bookmarkStart w:id="331" w:name="_Toc170530410"/>
      <w:bookmarkStart w:id="332" w:name="_Toc236536294"/>
      <w:bookmarkStart w:id="333" w:name="_Toc60506274"/>
      <w:bookmarkStart w:id="334" w:name="_Toc57537617"/>
      <w:bookmarkStart w:id="335" w:name="_Toc238363471"/>
      <w:bookmarkStart w:id="336" w:name="_Toc113810205"/>
      <w:bookmarkStart w:id="337" w:name="_Toc50457211"/>
      <w:bookmarkStart w:id="338" w:name="_Toc227951084"/>
      <w:bookmarkStart w:id="339" w:name="_Toc64374113"/>
      <w:bookmarkStart w:id="340" w:name="_Toc240859400"/>
      <w:r>
        <w:rPr>
          <w:rFonts w:hint="eastAsia" w:ascii="Times New Roman" w:eastAsia="仿宋"/>
          <w:bCs w:val="0"/>
          <w:sz w:val="28"/>
          <w:szCs w:val="28"/>
        </w:rPr>
        <w:t>5</w:t>
      </w:r>
      <w:r>
        <w:rPr>
          <w:rFonts w:ascii="Times New Roman" w:eastAsia="仿宋"/>
          <w:bCs w:val="0"/>
          <w:sz w:val="28"/>
          <w:szCs w:val="28"/>
        </w:rPr>
        <w:t>.2.1大气环境影响预测与评价</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E4BCBBB">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.2.1.1高空及常规气象资料分析</w:t>
      </w:r>
    </w:p>
    <w:p w14:paraId="6B6C3E66">
      <w:pPr>
        <w:spacing w:line="500" w:lineRule="exact"/>
        <w:ind w:firstLine="560" w:firstLineChars="200"/>
        <w:rPr>
          <w:rFonts w:ascii="Times New Roman" w:eastAsia="仿宋"/>
          <w:sz w:val="28"/>
          <w:szCs w:val="28"/>
        </w:rPr>
      </w:pPr>
      <w:r>
        <w:rPr>
          <w:rFonts w:ascii="Times New Roman" w:eastAsia="仿宋"/>
          <w:sz w:val="28"/>
          <w:szCs w:val="28"/>
        </w:rPr>
        <w:t>1）气象概况</w:t>
      </w:r>
    </w:p>
    <w:p w14:paraId="2643B8BB">
      <w:pPr>
        <w:spacing w:line="500" w:lineRule="exact"/>
        <w:ind w:firstLine="560" w:firstLineChars="200"/>
        <w:rPr>
          <w:rFonts w:ascii="Times New Roman" w:eastAsia="仿宋"/>
          <w:sz w:val="28"/>
          <w:szCs w:val="28"/>
        </w:rPr>
      </w:pPr>
      <w:r>
        <w:rPr>
          <w:rFonts w:ascii="Times New Roman" w:eastAsia="仿宋"/>
          <w:sz w:val="28"/>
          <w:szCs w:val="28"/>
        </w:rPr>
        <w:t>本项目采用的是常州气象站（58343）资料，气象站位于江苏省，地理坐标为东经119.9781度，北纬31.8666度，海拔高度4.4米。气象站始建于1952年，1952 年正式进行气象观测。</w:t>
      </w:r>
    </w:p>
    <w:p w14:paraId="54A66282">
      <w:pPr>
        <w:spacing w:line="500" w:lineRule="exact"/>
        <w:ind w:firstLine="560" w:firstLineChars="200"/>
        <w:rPr>
          <w:rFonts w:ascii="Times New Roman" w:eastAsia="仿宋"/>
          <w:sz w:val="28"/>
          <w:szCs w:val="28"/>
        </w:rPr>
      </w:pPr>
      <w:r>
        <w:rPr>
          <w:rFonts w:ascii="Times New Roman" w:eastAsia="仿宋"/>
          <w:sz w:val="28"/>
          <w:szCs w:val="28"/>
        </w:rPr>
        <w:t>常州气象站距本项目12.4km（&lt;50km），是与本项目气象特征基本一致的国家气象站，拥有长期的气象观测资料。因此，本次预测采用的气象资料满足HJ 2.2-2018技术导则中相关要求。以下资料根据2002-2021年气象数据统计分析。</w:t>
      </w:r>
    </w:p>
    <w:p w14:paraId="5FDA355F">
      <w:pPr>
        <w:spacing w:line="500" w:lineRule="exact"/>
        <w:ind w:firstLine="560" w:firstLineChars="200"/>
        <w:rPr>
          <w:rFonts w:ascii="Times New Roman" w:eastAsia="仿宋"/>
          <w:sz w:val="28"/>
          <w:szCs w:val="28"/>
        </w:rPr>
      </w:pPr>
      <w:r>
        <w:rPr>
          <w:rFonts w:ascii="Times New Roman" w:eastAsia="仿宋"/>
          <w:sz w:val="28"/>
          <w:szCs w:val="28"/>
        </w:rPr>
        <w:t>常州气象站气象资料整编表如表5.2-1所示。</w:t>
      </w:r>
    </w:p>
    <w:p w14:paraId="5875B019">
      <w:pPr>
        <w:spacing w:line="500" w:lineRule="exact"/>
        <w:ind w:firstLine="560" w:firstLineChars="200"/>
        <w:rPr>
          <w:rFonts w:ascii="Times New Roman" w:eastAsia="仿宋"/>
          <w:sz w:val="28"/>
          <w:szCs w:val="28"/>
        </w:rPr>
      </w:pPr>
    </w:p>
    <w:p w14:paraId="57391ECA">
      <w:pPr>
        <w:spacing w:line="500" w:lineRule="exact"/>
        <w:ind w:firstLine="560" w:firstLineChars="200"/>
        <w:rPr>
          <w:rFonts w:ascii="Times New Roman" w:eastAsia="仿宋"/>
          <w:sz w:val="28"/>
          <w:szCs w:val="28"/>
        </w:rPr>
      </w:pPr>
    </w:p>
    <w:p w14:paraId="30CC09C8">
      <w:pPr>
        <w:spacing w:line="500" w:lineRule="exact"/>
        <w:ind w:firstLine="560" w:firstLineChars="200"/>
        <w:rPr>
          <w:rFonts w:ascii="Times New Roman" w:eastAsia="仿宋"/>
          <w:sz w:val="28"/>
          <w:szCs w:val="28"/>
        </w:rPr>
      </w:pPr>
    </w:p>
    <w:p w14:paraId="1F260674">
      <w:pPr>
        <w:spacing w:line="500" w:lineRule="exact"/>
        <w:ind w:firstLine="560" w:firstLineChars="200"/>
        <w:rPr>
          <w:rFonts w:ascii="Times New Roman" w:eastAsia="仿宋"/>
          <w:sz w:val="28"/>
          <w:szCs w:val="28"/>
        </w:rPr>
      </w:pPr>
    </w:p>
    <w:p w14:paraId="63E00684">
      <w:pPr>
        <w:spacing w:line="500" w:lineRule="exact"/>
        <w:ind w:firstLine="560" w:firstLineChars="200"/>
        <w:rPr>
          <w:rFonts w:ascii="Times New Roman" w:eastAsia="仿宋"/>
          <w:sz w:val="28"/>
          <w:szCs w:val="28"/>
        </w:rPr>
      </w:pPr>
    </w:p>
    <w:p w14:paraId="1EEF871B">
      <w:pPr>
        <w:spacing w:line="500" w:lineRule="exact"/>
        <w:ind w:firstLine="560" w:firstLineChars="200"/>
        <w:rPr>
          <w:rFonts w:ascii="Times New Roman" w:eastAsia="仿宋"/>
          <w:sz w:val="28"/>
          <w:szCs w:val="28"/>
        </w:rPr>
      </w:pPr>
    </w:p>
    <w:p w14:paraId="20932000">
      <w:pPr>
        <w:spacing w:line="500" w:lineRule="exact"/>
        <w:ind w:firstLine="560" w:firstLineChars="200"/>
        <w:rPr>
          <w:rFonts w:ascii="Times New Roman" w:eastAsia="仿宋"/>
          <w:sz w:val="28"/>
          <w:szCs w:val="28"/>
        </w:rPr>
      </w:pPr>
    </w:p>
    <w:p w14:paraId="2D2377A0">
      <w:pPr>
        <w:spacing w:line="500" w:lineRule="exact"/>
        <w:ind w:firstLine="560" w:firstLineChars="200"/>
        <w:rPr>
          <w:rFonts w:ascii="Times New Roman" w:eastAsia="仿宋"/>
          <w:sz w:val="28"/>
          <w:szCs w:val="28"/>
        </w:rPr>
      </w:pPr>
    </w:p>
    <w:p w14:paraId="2E1FD28B">
      <w:pPr>
        <w:spacing w:line="500" w:lineRule="exact"/>
        <w:ind w:firstLine="560" w:firstLineChars="200"/>
        <w:rPr>
          <w:rFonts w:ascii="Times New Roman" w:eastAsia="仿宋"/>
          <w:sz w:val="28"/>
          <w:szCs w:val="28"/>
        </w:rPr>
      </w:pPr>
    </w:p>
    <w:p w14:paraId="6919A597">
      <w:pPr>
        <w:widowControl/>
        <w:spacing w:line="500" w:lineRule="exact"/>
        <w:ind w:firstLine="482" w:firstLineChars="200"/>
        <w:jc w:val="center"/>
        <w:rPr>
          <w:rFonts w:ascii="Times New Roman" w:eastAsia="仿宋"/>
          <w:b/>
          <w:bCs/>
          <w:szCs w:val="21"/>
        </w:rPr>
      </w:pPr>
      <w:r>
        <w:rPr>
          <w:rFonts w:ascii="Times New Roman" w:eastAsia="仿宋"/>
          <w:b/>
          <w:bCs/>
          <w:szCs w:val="21"/>
        </w:rPr>
        <w:t>表5.2-1  常州气象站常规气象项目统计（2002-2021年）</w:t>
      </w:r>
    </w:p>
    <w:tbl>
      <w:tblPr>
        <w:tblStyle w:val="87"/>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2989"/>
        <w:gridCol w:w="978"/>
        <w:gridCol w:w="1786"/>
        <w:gridCol w:w="1710"/>
      </w:tblGrid>
      <w:tr w14:paraId="751C0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0A85330D">
            <w:pPr>
              <w:widowControl/>
              <w:spacing w:line="320" w:lineRule="exact"/>
              <w:jc w:val="center"/>
              <w:rPr>
                <w:rFonts w:ascii="Times New Roman" w:eastAsia="仿宋"/>
                <w:szCs w:val="21"/>
              </w:rPr>
            </w:pPr>
            <w:r>
              <w:rPr>
                <w:rFonts w:ascii="Times New Roman" w:eastAsia="仿宋"/>
                <w:szCs w:val="21"/>
              </w:rPr>
              <w:t>统计项目</w:t>
            </w:r>
          </w:p>
        </w:tc>
        <w:tc>
          <w:tcPr>
            <w:tcW w:w="978" w:type="dxa"/>
            <w:vAlign w:val="center"/>
          </w:tcPr>
          <w:p w14:paraId="3E4CA71B">
            <w:pPr>
              <w:widowControl/>
              <w:spacing w:line="320" w:lineRule="exact"/>
              <w:jc w:val="center"/>
              <w:rPr>
                <w:rFonts w:ascii="Times New Roman" w:eastAsia="仿宋"/>
                <w:szCs w:val="21"/>
              </w:rPr>
            </w:pPr>
            <w:r>
              <w:rPr>
                <w:rFonts w:ascii="Times New Roman" w:eastAsia="仿宋"/>
                <w:szCs w:val="21"/>
              </w:rPr>
              <w:t>统计值</w:t>
            </w:r>
          </w:p>
        </w:tc>
        <w:tc>
          <w:tcPr>
            <w:tcW w:w="1786" w:type="dxa"/>
            <w:vAlign w:val="center"/>
          </w:tcPr>
          <w:p w14:paraId="58800F4D">
            <w:pPr>
              <w:widowControl/>
              <w:spacing w:line="320" w:lineRule="exact"/>
              <w:jc w:val="center"/>
              <w:rPr>
                <w:rFonts w:ascii="Times New Roman" w:eastAsia="仿宋"/>
                <w:szCs w:val="21"/>
              </w:rPr>
            </w:pPr>
            <w:r>
              <w:rPr>
                <w:rFonts w:ascii="Times New Roman" w:eastAsia="仿宋"/>
                <w:szCs w:val="21"/>
              </w:rPr>
              <w:t>极值出现时间</w:t>
            </w:r>
          </w:p>
        </w:tc>
        <w:tc>
          <w:tcPr>
            <w:tcW w:w="1710" w:type="dxa"/>
            <w:vAlign w:val="center"/>
          </w:tcPr>
          <w:p w14:paraId="1FB80497">
            <w:pPr>
              <w:widowControl/>
              <w:spacing w:line="320" w:lineRule="exact"/>
              <w:jc w:val="center"/>
              <w:rPr>
                <w:rFonts w:ascii="Times New Roman" w:eastAsia="仿宋"/>
                <w:szCs w:val="21"/>
              </w:rPr>
            </w:pPr>
            <w:r>
              <w:rPr>
                <w:rFonts w:ascii="Times New Roman" w:eastAsia="仿宋"/>
                <w:szCs w:val="21"/>
              </w:rPr>
              <w:t>极值</w:t>
            </w:r>
          </w:p>
        </w:tc>
      </w:tr>
      <w:tr w14:paraId="04F40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08103F28">
            <w:pPr>
              <w:widowControl/>
              <w:spacing w:line="320" w:lineRule="exact"/>
              <w:jc w:val="center"/>
              <w:rPr>
                <w:rFonts w:ascii="Times New Roman" w:eastAsia="仿宋"/>
                <w:szCs w:val="21"/>
              </w:rPr>
            </w:pPr>
            <w:r>
              <w:rPr>
                <w:rFonts w:ascii="Times New Roman" w:eastAsia="仿宋"/>
                <w:szCs w:val="21"/>
              </w:rPr>
              <w:t>多年平均气温（℃）</w:t>
            </w:r>
          </w:p>
        </w:tc>
        <w:tc>
          <w:tcPr>
            <w:tcW w:w="978" w:type="dxa"/>
            <w:vAlign w:val="center"/>
          </w:tcPr>
          <w:p w14:paraId="66100D58">
            <w:pPr>
              <w:widowControl/>
              <w:spacing w:line="320" w:lineRule="exact"/>
              <w:jc w:val="center"/>
              <w:rPr>
                <w:rFonts w:ascii="Times New Roman" w:eastAsia="仿宋"/>
                <w:szCs w:val="21"/>
              </w:rPr>
            </w:pPr>
            <w:r>
              <w:rPr>
                <w:rFonts w:ascii="Times New Roman" w:eastAsia="仿宋"/>
                <w:szCs w:val="21"/>
              </w:rPr>
              <w:t>16.9</w:t>
            </w:r>
          </w:p>
        </w:tc>
        <w:tc>
          <w:tcPr>
            <w:tcW w:w="1786" w:type="dxa"/>
            <w:vAlign w:val="center"/>
          </w:tcPr>
          <w:p w14:paraId="3E999F69">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1665CF19">
            <w:pPr>
              <w:widowControl/>
              <w:spacing w:line="320" w:lineRule="exact"/>
              <w:jc w:val="center"/>
              <w:rPr>
                <w:rFonts w:ascii="Times New Roman" w:eastAsia="仿宋"/>
                <w:szCs w:val="21"/>
              </w:rPr>
            </w:pPr>
            <w:r>
              <w:rPr>
                <w:rFonts w:ascii="Times New Roman" w:eastAsia="仿宋"/>
                <w:szCs w:val="21"/>
              </w:rPr>
              <w:t>——</w:t>
            </w:r>
          </w:p>
        </w:tc>
      </w:tr>
      <w:tr w14:paraId="3838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51AD48C1">
            <w:pPr>
              <w:widowControl/>
              <w:spacing w:line="320" w:lineRule="exact"/>
              <w:jc w:val="center"/>
              <w:rPr>
                <w:rFonts w:ascii="Times New Roman" w:eastAsia="仿宋"/>
                <w:szCs w:val="21"/>
              </w:rPr>
            </w:pPr>
            <w:r>
              <w:rPr>
                <w:rFonts w:ascii="Times New Roman" w:eastAsia="仿宋"/>
                <w:szCs w:val="21"/>
              </w:rPr>
              <w:t>累年极端最高气温（℃）</w:t>
            </w:r>
          </w:p>
        </w:tc>
        <w:tc>
          <w:tcPr>
            <w:tcW w:w="978" w:type="dxa"/>
            <w:vAlign w:val="center"/>
          </w:tcPr>
          <w:p w14:paraId="13B90CA5">
            <w:pPr>
              <w:widowControl/>
              <w:spacing w:line="320" w:lineRule="exact"/>
              <w:jc w:val="center"/>
              <w:rPr>
                <w:rFonts w:ascii="Times New Roman" w:eastAsia="仿宋"/>
                <w:szCs w:val="21"/>
              </w:rPr>
            </w:pPr>
            <w:r>
              <w:rPr>
                <w:rFonts w:ascii="Times New Roman" w:eastAsia="仿宋"/>
                <w:szCs w:val="21"/>
              </w:rPr>
              <w:t>38.3</w:t>
            </w:r>
          </w:p>
        </w:tc>
        <w:tc>
          <w:tcPr>
            <w:tcW w:w="1786" w:type="dxa"/>
            <w:vAlign w:val="center"/>
          </w:tcPr>
          <w:p w14:paraId="7C762FFD">
            <w:pPr>
              <w:widowControl/>
              <w:spacing w:line="320" w:lineRule="exact"/>
              <w:jc w:val="center"/>
              <w:rPr>
                <w:rFonts w:ascii="Times New Roman" w:eastAsia="仿宋"/>
                <w:szCs w:val="21"/>
              </w:rPr>
            </w:pPr>
            <w:r>
              <w:rPr>
                <w:rFonts w:ascii="Times New Roman" w:eastAsia="仿宋"/>
                <w:szCs w:val="21"/>
              </w:rPr>
              <w:t>2017-07-23</w:t>
            </w:r>
          </w:p>
        </w:tc>
        <w:tc>
          <w:tcPr>
            <w:tcW w:w="1710" w:type="dxa"/>
            <w:vAlign w:val="center"/>
          </w:tcPr>
          <w:p w14:paraId="35453447">
            <w:pPr>
              <w:widowControl/>
              <w:spacing w:line="320" w:lineRule="exact"/>
              <w:jc w:val="center"/>
              <w:rPr>
                <w:rFonts w:ascii="Times New Roman" w:eastAsia="仿宋"/>
                <w:szCs w:val="21"/>
              </w:rPr>
            </w:pPr>
            <w:r>
              <w:rPr>
                <w:rFonts w:ascii="Times New Roman" w:eastAsia="仿宋"/>
                <w:szCs w:val="21"/>
              </w:rPr>
              <w:t>40.6</w:t>
            </w:r>
          </w:p>
        </w:tc>
      </w:tr>
      <w:tr w14:paraId="4EC73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64A75F76">
            <w:pPr>
              <w:widowControl/>
              <w:spacing w:line="320" w:lineRule="exact"/>
              <w:jc w:val="center"/>
              <w:rPr>
                <w:rFonts w:ascii="Times New Roman" w:eastAsia="仿宋"/>
                <w:szCs w:val="21"/>
              </w:rPr>
            </w:pPr>
            <w:r>
              <w:rPr>
                <w:rFonts w:ascii="Times New Roman" w:eastAsia="仿宋"/>
                <w:szCs w:val="21"/>
              </w:rPr>
              <w:t>累年极端最低气温（℃）</w:t>
            </w:r>
          </w:p>
        </w:tc>
        <w:tc>
          <w:tcPr>
            <w:tcW w:w="978" w:type="dxa"/>
            <w:vAlign w:val="center"/>
          </w:tcPr>
          <w:p w14:paraId="4334E3BC">
            <w:pPr>
              <w:widowControl/>
              <w:spacing w:line="320" w:lineRule="exact"/>
              <w:jc w:val="center"/>
              <w:rPr>
                <w:rFonts w:ascii="Times New Roman" w:eastAsia="仿宋"/>
                <w:szCs w:val="21"/>
              </w:rPr>
            </w:pPr>
            <w:r>
              <w:rPr>
                <w:rFonts w:ascii="Times New Roman" w:eastAsia="仿宋"/>
                <w:szCs w:val="21"/>
              </w:rPr>
              <w:t>-5.7</w:t>
            </w:r>
          </w:p>
        </w:tc>
        <w:tc>
          <w:tcPr>
            <w:tcW w:w="1786" w:type="dxa"/>
            <w:vAlign w:val="center"/>
          </w:tcPr>
          <w:p w14:paraId="19AB9595">
            <w:pPr>
              <w:widowControl/>
              <w:spacing w:line="320" w:lineRule="exact"/>
              <w:jc w:val="center"/>
              <w:rPr>
                <w:rFonts w:ascii="Times New Roman" w:eastAsia="仿宋"/>
                <w:szCs w:val="21"/>
              </w:rPr>
            </w:pPr>
            <w:r>
              <w:rPr>
                <w:rFonts w:ascii="Times New Roman" w:eastAsia="仿宋"/>
                <w:szCs w:val="21"/>
              </w:rPr>
              <w:t>2016-01-24</w:t>
            </w:r>
          </w:p>
        </w:tc>
        <w:tc>
          <w:tcPr>
            <w:tcW w:w="1710" w:type="dxa"/>
            <w:vAlign w:val="center"/>
          </w:tcPr>
          <w:p w14:paraId="4B6D4C26">
            <w:pPr>
              <w:widowControl/>
              <w:spacing w:line="320" w:lineRule="exact"/>
              <w:jc w:val="center"/>
              <w:rPr>
                <w:rFonts w:ascii="Times New Roman" w:eastAsia="仿宋"/>
                <w:szCs w:val="21"/>
              </w:rPr>
            </w:pPr>
            <w:r>
              <w:rPr>
                <w:rFonts w:ascii="Times New Roman" w:eastAsia="仿宋"/>
                <w:szCs w:val="21"/>
              </w:rPr>
              <w:t>-9.2</w:t>
            </w:r>
          </w:p>
        </w:tc>
      </w:tr>
      <w:tr w14:paraId="66211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3707A548">
            <w:pPr>
              <w:widowControl/>
              <w:spacing w:line="320" w:lineRule="exact"/>
              <w:jc w:val="center"/>
              <w:rPr>
                <w:rFonts w:ascii="Times New Roman" w:eastAsia="仿宋"/>
                <w:szCs w:val="21"/>
              </w:rPr>
            </w:pPr>
            <w:r>
              <w:rPr>
                <w:rFonts w:ascii="Times New Roman" w:eastAsia="仿宋"/>
                <w:szCs w:val="21"/>
              </w:rPr>
              <w:t>多年平均气压（hPa）</w:t>
            </w:r>
          </w:p>
        </w:tc>
        <w:tc>
          <w:tcPr>
            <w:tcW w:w="978" w:type="dxa"/>
            <w:vAlign w:val="center"/>
          </w:tcPr>
          <w:p w14:paraId="5B3D25BE">
            <w:pPr>
              <w:widowControl/>
              <w:spacing w:line="320" w:lineRule="exact"/>
              <w:jc w:val="center"/>
              <w:rPr>
                <w:rFonts w:ascii="Times New Roman" w:eastAsia="仿宋"/>
                <w:szCs w:val="21"/>
              </w:rPr>
            </w:pPr>
            <w:r>
              <w:rPr>
                <w:rFonts w:ascii="Times New Roman" w:eastAsia="仿宋"/>
                <w:szCs w:val="21"/>
              </w:rPr>
              <w:t>1015.9</w:t>
            </w:r>
          </w:p>
        </w:tc>
        <w:tc>
          <w:tcPr>
            <w:tcW w:w="1786" w:type="dxa"/>
            <w:vAlign w:val="center"/>
          </w:tcPr>
          <w:p w14:paraId="51D5E205">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6FBABD01">
            <w:pPr>
              <w:widowControl/>
              <w:spacing w:line="320" w:lineRule="exact"/>
              <w:jc w:val="center"/>
              <w:rPr>
                <w:rFonts w:ascii="Times New Roman" w:eastAsia="仿宋"/>
                <w:szCs w:val="21"/>
              </w:rPr>
            </w:pPr>
            <w:r>
              <w:rPr>
                <w:rFonts w:ascii="Times New Roman" w:eastAsia="仿宋"/>
                <w:szCs w:val="21"/>
              </w:rPr>
              <w:t>——</w:t>
            </w:r>
          </w:p>
        </w:tc>
      </w:tr>
      <w:tr w14:paraId="7D850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030C85AE">
            <w:pPr>
              <w:widowControl/>
              <w:spacing w:line="320" w:lineRule="exact"/>
              <w:jc w:val="center"/>
              <w:rPr>
                <w:rFonts w:ascii="Times New Roman" w:eastAsia="仿宋"/>
                <w:szCs w:val="21"/>
              </w:rPr>
            </w:pPr>
            <w:r>
              <w:rPr>
                <w:rFonts w:ascii="Times New Roman" w:eastAsia="仿宋"/>
                <w:szCs w:val="21"/>
              </w:rPr>
              <w:t>多年平均水汽压（hPa）</w:t>
            </w:r>
          </w:p>
        </w:tc>
        <w:tc>
          <w:tcPr>
            <w:tcW w:w="978" w:type="dxa"/>
            <w:vAlign w:val="center"/>
          </w:tcPr>
          <w:p w14:paraId="7F548367">
            <w:pPr>
              <w:widowControl/>
              <w:spacing w:line="320" w:lineRule="exact"/>
              <w:jc w:val="center"/>
              <w:rPr>
                <w:rFonts w:ascii="Times New Roman" w:eastAsia="仿宋"/>
                <w:szCs w:val="21"/>
              </w:rPr>
            </w:pPr>
            <w:r>
              <w:rPr>
                <w:rFonts w:ascii="Times New Roman" w:eastAsia="仿宋"/>
                <w:szCs w:val="21"/>
              </w:rPr>
              <w:t>16.0</w:t>
            </w:r>
          </w:p>
        </w:tc>
        <w:tc>
          <w:tcPr>
            <w:tcW w:w="1786" w:type="dxa"/>
            <w:vAlign w:val="center"/>
          </w:tcPr>
          <w:p w14:paraId="3F3EE557">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2D8747DE">
            <w:pPr>
              <w:widowControl/>
              <w:spacing w:line="320" w:lineRule="exact"/>
              <w:jc w:val="center"/>
              <w:rPr>
                <w:rFonts w:ascii="Times New Roman" w:eastAsia="仿宋"/>
                <w:szCs w:val="21"/>
              </w:rPr>
            </w:pPr>
            <w:r>
              <w:rPr>
                <w:rFonts w:ascii="Times New Roman" w:eastAsia="仿宋"/>
                <w:szCs w:val="21"/>
              </w:rPr>
              <w:t>——</w:t>
            </w:r>
          </w:p>
        </w:tc>
      </w:tr>
      <w:tr w14:paraId="7A07E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319875C9">
            <w:pPr>
              <w:widowControl/>
              <w:spacing w:line="320" w:lineRule="exact"/>
              <w:jc w:val="center"/>
              <w:rPr>
                <w:rFonts w:ascii="Times New Roman" w:eastAsia="仿宋"/>
                <w:szCs w:val="21"/>
              </w:rPr>
            </w:pPr>
            <w:r>
              <w:rPr>
                <w:rFonts w:ascii="Times New Roman" w:eastAsia="仿宋"/>
                <w:szCs w:val="21"/>
              </w:rPr>
              <w:t>多年平均相对湿度（%）</w:t>
            </w:r>
          </w:p>
        </w:tc>
        <w:tc>
          <w:tcPr>
            <w:tcW w:w="978" w:type="dxa"/>
            <w:vAlign w:val="center"/>
          </w:tcPr>
          <w:p w14:paraId="79D16ED1">
            <w:pPr>
              <w:widowControl/>
              <w:spacing w:line="320" w:lineRule="exact"/>
              <w:jc w:val="center"/>
              <w:rPr>
                <w:rFonts w:ascii="Times New Roman" w:eastAsia="仿宋"/>
                <w:szCs w:val="21"/>
              </w:rPr>
            </w:pPr>
            <w:r>
              <w:rPr>
                <w:rFonts w:ascii="Times New Roman" w:eastAsia="仿宋"/>
                <w:szCs w:val="21"/>
              </w:rPr>
              <w:t>73.4</w:t>
            </w:r>
          </w:p>
        </w:tc>
        <w:tc>
          <w:tcPr>
            <w:tcW w:w="1786" w:type="dxa"/>
            <w:vAlign w:val="center"/>
          </w:tcPr>
          <w:p w14:paraId="5F005CEB">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72AE3484">
            <w:pPr>
              <w:widowControl/>
              <w:spacing w:line="320" w:lineRule="exact"/>
              <w:jc w:val="center"/>
              <w:rPr>
                <w:rFonts w:ascii="Times New Roman" w:eastAsia="仿宋"/>
                <w:szCs w:val="21"/>
              </w:rPr>
            </w:pPr>
            <w:r>
              <w:rPr>
                <w:rFonts w:ascii="Times New Roman" w:eastAsia="仿宋"/>
                <w:szCs w:val="21"/>
              </w:rPr>
              <w:t>——</w:t>
            </w:r>
          </w:p>
        </w:tc>
      </w:tr>
      <w:tr w14:paraId="4C48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78FEB1B2">
            <w:pPr>
              <w:widowControl/>
              <w:spacing w:line="320" w:lineRule="exact"/>
              <w:jc w:val="center"/>
              <w:rPr>
                <w:rFonts w:ascii="Times New Roman" w:eastAsia="仿宋"/>
                <w:szCs w:val="21"/>
              </w:rPr>
            </w:pPr>
            <w:r>
              <w:rPr>
                <w:rFonts w:ascii="Times New Roman" w:eastAsia="仿宋"/>
                <w:szCs w:val="21"/>
              </w:rPr>
              <w:t>多年平均降雨量（mm）</w:t>
            </w:r>
          </w:p>
        </w:tc>
        <w:tc>
          <w:tcPr>
            <w:tcW w:w="978" w:type="dxa"/>
            <w:vAlign w:val="center"/>
          </w:tcPr>
          <w:p w14:paraId="554EDDD6">
            <w:pPr>
              <w:widowControl/>
              <w:spacing w:line="320" w:lineRule="exact"/>
              <w:jc w:val="center"/>
              <w:rPr>
                <w:rFonts w:ascii="Times New Roman" w:eastAsia="仿宋"/>
                <w:szCs w:val="21"/>
              </w:rPr>
            </w:pPr>
            <w:r>
              <w:rPr>
                <w:rFonts w:ascii="Times New Roman" w:eastAsia="仿宋"/>
                <w:szCs w:val="21"/>
              </w:rPr>
              <w:t>1246.7</w:t>
            </w:r>
          </w:p>
        </w:tc>
        <w:tc>
          <w:tcPr>
            <w:tcW w:w="1786" w:type="dxa"/>
            <w:vAlign w:val="center"/>
          </w:tcPr>
          <w:p w14:paraId="687B083A">
            <w:pPr>
              <w:widowControl/>
              <w:spacing w:line="320" w:lineRule="exact"/>
              <w:jc w:val="center"/>
              <w:rPr>
                <w:rFonts w:ascii="Times New Roman" w:eastAsia="仿宋"/>
                <w:szCs w:val="21"/>
              </w:rPr>
            </w:pPr>
            <w:r>
              <w:rPr>
                <w:rFonts w:ascii="Times New Roman" w:eastAsia="仿宋"/>
                <w:szCs w:val="21"/>
              </w:rPr>
              <w:t>2015-06-27</w:t>
            </w:r>
          </w:p>
        </w:tc>
        <w:tc>
          <w:tcPr>
            <w:tcW w:w="1710" w:type="dxa"/>
            <w:vAlign w:val="center"/>
          </w:tcPr>
          <w:p w14:paraId="09C99CCC">
            <w:pPr>
              <w:widowControl/>
              <w:spacing w:line="320" w:lineRule="exact"/>
              <w:jc w:val="center"/>
              <w:rPr>
                <w:rFonts w:ascii="Times New Roman" w:eastAsia="仿宋"/>
                <w:szCs w:val="21"/>
              </w:rPr>
            </w:pPr>
            <w:r>
              <w:rPr>
                <w:rFonts w:ascii="Times New Roman" w:eastAsia="仿宋"/>
                <w:szCs w:val="21"/>
              </w:rPr>
              <w:t>243.6</w:t>
            </w:r>
          </w:p>
        </w:tc>
      </w:tr>
      <w:tr w14:paraId="01B62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9" w:type="dxa"/>
            <w:vMerge w:val="restart"/>
            <w:vAlign w:val="center"/>
          </w:tcPr>
          <w:p w14:paraId="7D419F2D">
            <w:pPr>
              <w:widowControl/>
              <w:spacing w:line="320" w:lineRule="exact"/>
              <w:jc w:val="center"/>
              <w:rPr>
                <w:rFonts w:ascii="Times New Roman" w:eastAsia="仿宋"/>
                <w:szCs w:val="21"/>
              </w:rPr>
            </w:pPr>
            <w:r>
              <w:rPr>
                <w:rFonts w:ascii="Times New Roman" w:eastAsia="仿宋"/>
                <w:szCs w:val="21"/>
              </w:rPr>
              <w:t>灾害天气统计</w:t>
            </w:r>
          </w:p>
        </w:tc>
        <w:tc>
          <w:tcPr>
            <w:tcW w:w="2989" w:type="dxa"/>
            <w:vAlign w:val="center"/>
          </w:tcPr>
          <w:p w14:paraId="53DEEA0D">
            <w:pPr>
              <w:widowControl/>
              <w:spacing w:line="320" w:lineRule="exact"/>
              <w:jc w:val="center"/>
              <w:rPr>
                <w:rFonts w:ascii="Times New Roman" w:eastAsia="仿宋"/>
                <w:szCs w:val="21"/>
              </w:rPr>
            </w:pPr>
            <w:r>
              <w:rPr>
                <w:rFonts w:ascii="Times New Roman" w:eastAsia="仿宋"/>
                <w:szCs w:val="21"/>
              </w:rPr>
              <w:t>多年平均沙暴日数（d）</w:t>
            </w:r>
          </w:p>
        </w:tc>
        <w:tc>
          <w:tcPr>
            <w:tcW w:w="978" w:type="dxa"/>
            <w:vAlign w:val="center"/>
          </w:tcPr>
          <w:p w14:paraId="7BBA6703">
            <w:pPr>
              <w:widowControl/>
              <w:spacing w:line="320" w:lineRule="exact"/>
              <w:jc w:val="center"/>
              <w:rPr>
                <w:rFonts w:ascii="Times New Roman" w:eastAsia="仿宋"/>
                <w:szCs w:val="21"/>
              </w:rPr>
            </w:pPr>
            <w:r>
              <w:rPr>
                <w:rFonts w:ascii="Times New Roman" w:eastAsia="仿宋"/>
                <w:szCs w:val="21"/>
              </w:rPr>
              <w:t>0.0</w:t>
            </w:r>
          </w:p>
        </w:tc>
        <w:tc>
          <w:tcPr>
            <w:tcW w:w="1786" w:type="dxa"/>
            <w:vAlign w:val="center"/>
          </w:tcPr>
          <w:p w14:paraId="5EC55076">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6A98D1B3">
            <w:pPr>
              <w:widowControl/>
              <w:spacing w:line="320" w:lineRule="exact"/>
              <w:jc w:val="center"/>
              <w:rPr>
                <w:rFonts w:ascii="Times New Roman" w:eastAsia="仿宋"/>
                <w:szCs w:val="21"/>
              </w:rPr>
            </w:pPr>
            <w:r>
              <w:rPr>
                <w:rFonts w:ascii="Times New Roman" w:eastAsia="仿宋"/>
                <w:szCs w:val="21"/>
              </w:rPr>
              <w:t>——</w:t>
            </w:r>
          </w:p>
        </w:tc>
      </w:tr>
      <w:tr w14:paraId="7DE61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9" w:type="dxa"/>
            <w:vMerge w:val="continue"/>
            <w:vAlign w:val="center"/>
          </w:tcPr>
          <w:p w14:paraId="2E610438">
            <w:pPr>
              <w:widowControl/>
              <w:spacing w:line="320" w:lineRule="exact"/>
              <w:jc w:val="center"/>
              <w:rPr>
                <w:rFonts w:ascii="Times New Roman" w:eastAsia="仿宋"/>
                <w:szCs w:val="21"/>
              </w:rPr>
            </w:pPr>
          </w:p>
        </w:tc>
        <w:tc>
          <w:tcPr>
            <w:tcW w:w="2989" w:type="dxa"/>
            <w:vAlign w:val="center"/>
          </w:tcPr>
          <w:p w14:paraId="12EA9C69">
            <w:pPr>
              <w:widowControl/>
              <w:spacing w:line="320" w:lineRule="exact"/>
              <w:jc w:val="center"/>
              <w:rPr>
                <w:rFonts w:ascii="Times New Roman" w:eastAsia="仿宋"/>
                <w:szCs w:val="21"/>
              </w:rPr>
            </w:pPr>
            <w:r>
              <w:rPr>
                <w:rFonts w:ascii="Times New Roman" w:eastAsia="仿宋"/>
                <w:szCs w:val="21"/>
              </w:rPr>
              <w:t>多年平均雷暴日数（d）</w:t>
            </w:r>
          </w:p>
        </w:tc>
        <w:tc>
          <w:tcPr>
            <w:tcW w:w="978" w:type="dxa"/>
            <w:vAlign w:val="center"/>
          </w:tcPr>
          <w:p w14:paraId="5C979B16">
            <w:pPr>
              <w:widowControl/>
              <w:spacing w:line="320" w:lineRule="exact"/>
              <w:jc w:val="center"/>
              <w:rPr>
                <w:rFonts w:ascii="Times New Roman" w:eastAsia="仿宋"/>
                <w:szCs w:val="21"/>
              </w:rPr>
            </w:pPr>
            <w:r>
              <w:rPr>
                <w:rFonts w:ascii="Times New Roman" w:eastAsia="仿宋"/>
                <w:szCs w:val="21"/>
              </w:rPr>
              <w:t>26.8</w:t>
            </w:r>
          </w:p>
        </w:tc>
        <w:tc>
          <w:tcPr>
            <w:tcW w:w="1786" w:type="dxa"/>
            <w:vAlign w:val="center"/>
          </w:tcPr>
          <w:p w14:paraId="363EDE04">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64DFD394">
            <w:pPr>
              <w:widowControl/>
              <w:spacing w:line="320" w:lineRule="exact"/>
              <w:jc w:val="center"/>
              <w:rPr>
                <w:rFonts w:ascii="Times New Roman" w:eastAsia="仿宋"/>
                <w:szCs w:val="21"/>
              </w:rPr>
            </w:pPr>
            <w:r>
              <w:rPr>
                <w:rFonts w:ascii="Times New Roman" w:eastAsia="仿宋"/>
                <w:szCs w:val="21"/>
              </w:rPr>
              <w:t>——</w:t>
            </w:r>
          </w:p>
        </w:tc>
      </w:tr>
      <w:tr w14:paraId="10D74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9" w:type="dxa"/>
            <w:vMerge w:val="continue"/>
            <w:vAlign w:val="center"/>
          </w:tcPr>
          <w:p w14:paraId="7DDDF050">
            <w:pPr>
              <w:widowControl/>
              <w:spacing w:line="320" w:lineRule="exact"/>
              <w:jc w:val="center"/>
              <w:rPr>
                <w:rFonts w:ascii="Times New Roman" w:eastAsia="仿宋"/>
                <w:szCs w:val="21"/>
              </w:rPr>
            </w:pPr>
          </w:p>
        </w:tc>
        <w:tc>
          <w:tcPr>
            <w:tcW w:w="2989" w:type="dxa"/>
            <w:vAlign w:val="center"/>
          </w:tcPr>
          <w:p w14:paraId="2D81CAD1">
            <w:pPr>
              <w:widowControl/>
              <w:spacing w:line="320" w:lineRule="exact"/>
              <w:jc w:val="center"/>
              <w:rPr>
                <w:rFonts w:ascii="Times New Roman" w:eastAsia="仿宋"/>
                <w:szCs w:val="21"/>
              </w:rPr>
            </w:pPr>
            <w:r>
              <w:rPr>
                <w:rFonts w:ascii="Times New Roman" w:eastAsia="仿宋"/>
                <w:szCs w:val="21"/>
              </w:rPr>
              <w:t>多年平均冰雹日数（d）</w:t>
            </w:r>
          </w:p>
        </w:tc>
        <w:tc>
          <w:tcPr>
            <w:tcW w:w="978" w:type="dxa"/>
            <w:vAlign w:val="center"/>
          </w:tcPr>
          <w:p w14:paraId="17ABE25C">
            <w:pPr>
              <w:widowControl/>
              <w:spacing w:line="320" w:lineRule="exact"/>
              <w:jc w:val="center"/>
              <w:rPr>
                <w:rFonts w:ascii="Times New Roman" w:eastAsia="仿宋"/>
                <w:szCs w:val="21"/>
              </w:rPr>
            </w:pPr>
            <w:r>
              <w:rPr>
                <w:rFonts w:ascii="Times New Roman" w:eastAsia="仿宋"/>
                <w:szCs w:val="21"/>
              </w:rPr>
              <w:t>0.3</w:t>
            </w:r>
          </w:p>
        </w:tc>
        <w:tc>
          <w:tcPr>
            <w:tcW w:w="1786" w:type="dxa"/>
            <w:vAlign w:val="center"/>
          </w:tcPr>
          <w:p w14:paraId="702228BE">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24592585">
            <w:pPr>
              <w:widowControl/>
              <w:spacing w:line="320" w:lineRule="exact"/>
              <w:jc w:val="center"/>
              <w:rPr>
                <w:rFonts w:ascii="Times New Roman" w:eastAsia="仿宋"/>
                <w:szCs w:val="21"/>
              </w:rPr>
            </w:pPr>
            <w:r>
              <w:rPr>
                <w:rFonts w:ascii="Times New Roman" w:eastAsia="仿宋"/>
                <w:szCs w:val="21"/>
              </w:rPr>
              <w:t>——</w:t>
            </w:r>
          </w:p>
        </w:tc>
      </w:tr>
      <w:tr w14:paraId="61A72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9" w:type="dxa"/>
            <w:vMerge w:val="continue"/>
            <w:vAlign w:val="center"/>
          </w:tcPr>
          <w:p w14:paraId="36D250E9">
            <w:pPr>
              <w:widowControl/>
              <w:spacing w:line="320" w:lineRule="exact"/>
              <w:jc w:val="center"/>
              <w:rPr>
                <w:rFonts w:ascii="Times New Roman" w:eastAsia="仿宋"/>
                <w:szCs w:val="21"/>
              </w:rPr>
            </w:pPr>
          </w:p>
        </w:tc>
        <w:tc>
          <w:tcPr>
            <w:tcW w:w="2989" w:type="dxa"/>
            <w:vAlign w:val="center"/>
          </w:tcPr>
          <w:p w14:paraId="1AD1BDB2">
            <w:pPr>
              <w:widowControl/>
              <w:spacing w:line="320" w:lineRule="exact"/>
              <w:jc w:val="center"/>
              <w:rPr>
                <w:rFonts w:ascii="Times New Roman" w:eastAsia="仿宋"/>
                <w:szCs w:val="21"/>
              </w:rPr>
            </w:pPr>
            <w:r>
              <w:rPr>
                <w:rFonts w:ascii="Times New Roman" w:eastAsia="仿宋"/>
                <w:szCs w:val="21"/>
              </w:rPr>
              <w:t>多年平均大风日数（d）</w:t>
            </w:r>
          </w:p>
        </w:tc>
        <w:tc>
          <w:tcPr>
            <w:tcW w:w="978" w:type="dxa"/>
            <w:vAlign w:val="center"/>
          </w:tcPr>
          <w:p w14:paraId="3F67C042">
            <w:pPr>
              <w:widowControl/>
              <w:spacing w:line="320" w:lineRule="exact"/>
              <w:jc w:val="center"/>
              <w:rPr>
                <w:rFonts w:ascii="Times New Roman" w:eastAsia="仿宋"/>
                <w:szCs w:val="21"/>
              </w:rPr>
            </w:pPr>
            <w:r>
              <w:rPr>
                <w:rFonts w:ascii="Times New Roman" w:eastAsia="仿宋"/>
                <w:szCs w:val="21"/>
              </w:rPr>
              <w:t>3.5</w:t>
            </w:r>
          </w:p>
        </w:tc>
        <w:tc>
          <w:tcPr>
            <w:tcW w:w="1786" w:type="dxa"/>
            <w:vAlign w:val="center"/>
          </w:tcPr>
          <w:p w14:paraId="57BC2619">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0A4B2208">
            <w:pPr>
              <w:widowControl/>
              <w:spacing w:line="320" w:lineRule="exact"/>
              <w:jc w:val="center"/>
              <w:rPr>
                <w:rFonts w:ascii="Times New Roman" w:eastAsia="仿宋"/>
                <w:szCs w:val="21"/>
              </w:rPr>
            </w:pPr>
            <w:r>
              <w:rPr>
                <w:rFonts w:ascii="Times New Roman" w:eastAsia="仿宋"/>
                <w:szCs w:val="21"/>
              </w:rPr>
              <w:t>——</w:t>
            </w:r>
          </w:p>
        </w:tc>
      </w:tr>
      <w:tr w14:paraId="48A11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1761FC06">
            <w:pPr>
              <w:widowControl/>
              <w:spacing w:line="320" w:lineRule="exact"/>
              <w:jc w:val="center"/>
              <w:rPr>
                <w:rFonts w:ascii="Times New Roman" w:eastAsia="仿宋"/>
                <w:szCs w:val="21"/>
              </w:rPr>
            </w:pPr>
            <w:r>
              <w:rPr>
                <w:rFonts w:ascii="Times New Roman" w:eastAsia="仿宋"/>
                <w:szCs w:val="21"/>
              </w:rPr>
              <w:t>多年实测极大风速（m/s）、相应风向</w:t>
            </w:r>
          </w:p>
        </w:tc>
        <w:tc>
          <w:tcPr>
            <w:tcW w:w="978" w:type="dxa"/>
            <w:vAlign w:val="center"/>
          </w:tcPr>
          <w:p w14:paraId="326B4061">
            <w:pPr>
              <w:widowControl/>
              <w:spacing w:line="320" w:lineRule="exact"/>
              <w:jc w:val="center"/>
              <w:rPr>
                <w:rFonts w:ascii="Times New Roman" w:eastAsia="仿宋"/>
                <w:szCs w:val="21"/>
              </w:rPr>
            </w:pPr>
            <w:r>
              <w:rPr>
                <w:rFonts w:ascii="Times New Roman" w:eastAsia="仿宋"/>
                <w:szCs w:val="21"/>
              </w:rPr>
              <w:t>20.3</w:t>
            </w:r>
          </w:p>
        </w:tc>
        <w:tc>
          <w:tcPr>
            <w:tcW w:w="1786" w:type="dxa"/>
            <w:vAlign w:val="center"/>
          </w:tcPr>
          <w:p w14:paraId="24628CC4">
            <w:pPr>
              <w:widowControl/>
              <w:spacing w:line="320" w:lineRule="exact"/>
              <w:jc w:val="center"/>
              <w:rPr>
                <w:rFonts w:ascii="Times New Roman" w:eastAsia="仿宋"/>
                <w:szCs w:val="21"/>
              </w:rPr>
            </w:pPr>
            <w:r>
              <w:rPr>
                <w:rFonts w:ascii="Times New Roman" w:eastAsia="仿宋"/>
                <w:szCs w:val="21"/>
              </w:rPr>
              <w:t>2003-07-21</w:t>
            </w:r>
          </w:p>
        </w:tc>
        <w:tc>
          <w:tcPr>
            <w:tcW w:w="1710" w:type="dxa"/>
            <w:vAlign w:val="center"/>
          </w:tcPr>
          <w:p w14:paraId="5E94219E">
            <w:pPr>
              <w:widowControl/>
              <w:spacing w:line="320" w:lineRule="exact"/>
              <w:jc w:val="center"/>
              <w:rPr>
                <w:rFonts w:ascii="Times New Roman" w:eastAsia="仿宋"/>
                <w:szCs w:val="21"/>
              </w:rPr>
            </w:pPr>
            <w:r>
              <w:rPr>
                <w:rFonts w:ascii="Times New Roman" w:eastAsia="仿宋"/>
                <w:szCs w:val="21"/>
              </w:rPr>
              <w:t>27.5</w:t>
            </w:r>
          </w:p>
          <w:p w14:paraId="4EED7963">
            <w:pPr>
              <w:widowControl/>
              <w:spacing w:line="320" w:lineRule="exact"/>
              <w:jc w:val="center"/>
              <w:rPr>
                <w:rFonts w:ascii="Times New Roman" w:eastAsia="仿宋"/>
                <w:szCs w:val="21"/>
              </w:rPr>
            </w:pPr>
            <w:r>
              <w:rPr>
                <w:rFonts w:ascii="Times New Roman" w:eastAsia="仿宋"/>
                <w:szCs w:val="21"/>
              </w:rPr>
              <w:t>SSW</w:t>
            </w:r>
          </w:p>
        </w:tc>
      </w:tr>
      <w:tr w14:paraId="42CC0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1310616B">
            <w:pPr>
              <w:widowControl/>
              <w:spacing w:line="320" w:lineRule="exact"/>
              <w:jc w:val="center"/>
              <w:rPr>
                <w:rFonts w:ascii="Times New Roman" w:eastAsia="仿宋"/>
                <w:szCs w:val="21"/>
              </w:rPr>
            </w:pPr>
            <w:r>
              <w:rPr>
                <w:rFonts w:ascii="Times New Roman" w:eastAsia="仿宋"/>
                <w:szCs w:val="21"/>
              </w:rPr>
              <w:t>多年平均风速（m/s）</w:t>
            </w:r>
          </w:p>
        </w:tc>
        <w:tc>
          <w:tcPr>
            <w:tcW w:w="978" w:type="dxa"/>
            <w:vAlign w:val="center"/>
          </w:tcPr>
          <w:p w14:paraId="593B9270">
            <w:pPr>
              <w:widowControl/>
              <w:spacing w:line="320" w:lineRule="exact"/>
              <w:jc w:val="center"/>
              <w:rPr>
                <w:rFonts w:ascii="Times New Roman" w:eastAsia="仿宋"/>
                <w:szCs w:val="21"/>
              </w:rPr>
            </w:pPr>
            <w:r>
              <w:rPr>
                <w:rFonts w:ascii="Times New Roman" w:eastAsia="仿宋"/>
                <w:szCs w:val="21"/>
              </w:rPr>
              <w:t>2.4</w:t>
            </w:r>
          </w:p>
        </w:tc>
        <w:tc>
          <w:tcPr>
            <w:tcW w:w="1786" w:type="dxa"/>
            <w:vAlign w:val="center"/>
          </w:tcPr>
          <w:p w14:paraId="0B9760C1">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655D9CFC">
            <w:pPr>
              <w:widowControl/>
              <w:spacing w:line="320" w:lineRule="exact"/>
              <w:jc w:val="center"/>
              <w:rPr>
                <w:rFonts w:ascii="Times New Roman" w:eastAsia="仿宋"/>
                <w:szCs w:val="21"/>
              </w:rPr>
            </w:pPr>
            <w:r>
              <w:rPr>
                <w:rFonts w:ascii="Times New Roman" w:eastAsia="仿宋"/>
                <w:szCs w:val="21"/>
              </w:rPr>
              <w:t>——</w:t>
            </w:r>
          </w:p>
        </w:tc>
      </w:tr>
      <w:tr w14:paraId="2D8A3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61F18943">
            <w:pPr>
              <w:widowControl/>
              <w:spacing w:line="320" w:lineRule="exact"/>
              <w:jc w:val="center"/>
              <w:rPr>
                <w:rFonts w:ascii="Times New Roman" w:eastAsia="仿宋"/>
                <w:szCs w:val="21"/>
              </w:rPr>
            </w:pPr>
            <w:r>
              <w:rPr>
                <w:rFonts w:ascii="Times New Roman" w:eastAsia="仿宋"/>
                <w:szCs w:val="21"/>
              </w:rPr>
              <w:t>多年主导风向、风向频率</w:t>
            </w:r>
          </w:p>
        </w:tc>
        <w:tc>
          <w:tcPr>
            <w:tcW w:w="978" w:type="dxa"/>
            <w:vAlign w:val="center"/>
          </w:tcPr>
          <w:p w14:paraId="043ED6F5">
            <w:pPr>
              <w:widowControl/>
              <w:spacing w:line="320" w:lineRule="exact"/>
              <w:jc w:val="center"/>
              <w:rPr>
                <w:rFonts w:ascii="Times New Roman" w:eastAsia="仿宋"/>
                <w:szCs w:val="21"/>
              </w:rPr>
            </w:pPr>
            <w:r>
              <w:rPr>
                <w:rFonts w:ascii="Times New Roman" w:eastAsia="仿宋"/>
                <w:szCs w:val="21"/>
              </w:rPr>
              <w:t>ESE</w:t>
            </w:r>
          </w:p>
          <w:p w14:paraId="72CEF9E4">
            <w:pPr>
              <w:widowControl/>
              <w:spacing w:line="320" w:lineRule="exact"/>
              <w:jc w:val="center"/>
              <w:rPr>
                <w:rFonts w:ascii="Times New Roman" w:eastAsia="仿宋"/>
                <w:szCs w:val="21"/>
              </w:rPr>
            </w:pPr>
            <w:r>
              <w:rPr>
                <w:rFonts w:ascii="Times New Roman" w:eastAsia="仿宋"/>
                <w:szCs w:val="21"/>
              </w:rPr>
              <w:t>11.7%</w:t>
            </w:r>
          </w:p>
        </w:tc>
        <w:tc>
          <w:tcPr>
            <w:tcW w:w="1786" w:type="dxa"/>
            <w:vAlign w:val="center"/>
          </w:tcPr>
          <w:p w14:paraId="3490587F">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69524256">
            <w:pPr>
              <w:widowControl/>
              <w:spacing w:line="320" w:lineRule="exact"/>
              <w:jc w:val="center"/>
              <w:rPr>
                <w:rFonts w:ascii="Times New Roman" w:eastAsia="仿宋"/>
                <w:szCs w:val="21"/>
              </w:rPr>
            </w:pPr>
            <w:r>
              <w:rPr>
                <w:rFonts w:ascii="Times New Roman" w:eastAsia="仿宋"/>
                <w:szCs w:val="21"/>
              </w:rPr>
              <w:t>——</w:t>
            </w:r>
          </w:p>
        </w:tc>
      </w:tr>
      <w:tr w14:paraId="76D2A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48" w:type="dxa"/>
            <w:gridSpan w:val="2"/>
            <w:vAlign w:val="center"/>
          </w:tcPr>
          <w:p w14:paraId="0F6E33E1">
            <w:pPr>
              <w:widowControl/>
              <w:spacing w:line="320" w:lineRule="exact"/>
              <w:jc w:val="center"/>
              <w:rPr>
                <w:rFonts w:ascii="Times New Roman" w:eastAsia="仿宋"/>
                <w:szCs w:val="21"/>
              </w:rPr>
            </w:pPr>
            <w:r>
              <w:rPr>
                <w:rFonts w:ascii="Times New Roman" w:eastAsia="仿宋"/>
                <w:szCs w:val="21"/>
              </w:rPr>
              <w:t>多年静风频率（风速≤0.2m/s）(%)</w:t>
            </w:r>
          </w:p>
        </w:tc>
        <w:tc>
          <w:tcPr>
            <w:tcW w:w="978" w:type="dxa"/>
            <w:vAlign w:val="center"/>
          </w:tcPr>
          <w:p w14:paraId="30FB3FF4">
            <w:pPr>
              <w:widowControl/>
              <w:spacing w:line="320" w:lineRule="exact"/>
              <w:jc w:val="center"/>
              <w:rPr>
                <w:rFonts w:ascii="Times New Roman" w:eastAsia="仿宋"/>
                <w:szCs w:val="21"/>
              </w:rPr>
            </w:pPr>
            <w:r>
              <w:rPr>
                <w:rFonts w:ascii="Times New Roman" w:eastAsia="仿宋"/>
                <w:szCs w:val="21"/>
              </w:rPr>
              <w:t>4.2</w:t>
            </w:r>
          </w:p>
        </w:tc>
        <w:tc>
          <w:tcPr>
            <w:tcW w:w="1786" w:type="dxa"/>
            <w:vAlign w:val="center"/>
          </w:tcPr>
          <w:p w14:paraId="73FAB1DC">
            <w:pPr>
              <w:widowControl/>
              <w:spacing w:line="320" w:lineRule="exact"/>
              <w:jc w:val="center"/>
              <w:rPr>
                <w:rFonts w:ascii="Times New Roman" w:eastAsia="仿宋"/>
                <w:szCs w:val="21"/>
              </w:rPr>
            </w:pPr>
            <w:r>
              <w:rPr>
                <w:rFonts w:ascii="Times New Roman" w:eastAsia="仿宋"/>
                <w:szCs w:val="21"/>
              </w:rPr>
              <w:t>——</w:t>
            </w:r>
          </w:p>
        </w:tc>
        <w:tc>
          <w:tcPr>
            <w:tcW w:w="1710" w:type="dxa"/>
            <w:vAlign w:val="center"/>
          </w:tcPr>
          <w:p w14:paraId="2367891A">
            <w:pPr>
              <w:widowControl/>
              <w:spacing w:line="320" w:lineRule="exact"/>
              <w:jc w:val="center"/>
              <w:rPr>
                <w:rFonts w:ascii="Times New Roman" w:eastAsia="仿宋"/>
                <w:szCs w:val="21"/>
              </w:rPr>
            </w:pPr>
            <w:r>
              <w:rPr>
                <w:rFonts w:ascii="Times New Roman" w:eastAsia="仿宋"/>
                <w:szCs w:val="21"/>
              </w:rPr>
              <w:t>——</w:t>
            </w:r>
          </w:p>
        </w:tc>
      </w:tr>
    </w:tbl>
    <w:p w14:paraId="1169BB45">
      <w:pPr>
        <w:spacing w:line="500" w:lineRule="exact"/>
        <w:ind w:firstLine="560" w:firstLineChars="200"/>
        <w:rPr>
          <w:rFonts w:ascii="Times New Roman" w:eastAsia="仿宋"/>
          <w:sz w:val="28"/>
          <w:szCs w:val="28"/>
        </w:rPr>
      </w:pPr>
      <w:r>
        <w:rPr>
          <w:rFonts w:ascii="Times New Roman" w:eastAsia="仿宋"/>
          <w:sz w:val="28"/>
          <w:szCs w:val="28"/>
        </w:rPr>
        <w:t>2）气象站风观测数据统计</w:t>
      </w:r>
    </w:p>
    <w:p w14:paraId="76FD82E0">
      <w:pPr>
        <w:widowControl/>
        <w:spacing w:line="500" w:lineRule="exact"/>
        <w:ind w:firstLine="560" w:firstLineChars="200"/>
        <w:jc w:val="left"/>
        <w:rPr>
          <w:rFonts w:ascii="Times New Roman" w:eastAsia="仿宋"/>
          <w:sz w:val="28"/>
          <w:szCs w:val="28"/>
        </w:rPr>
      </w:pPr>
      <w:r>
        <w:rPr>
          <w:rFonts w:ascii="Times New Roman" w:eastAsia="仿宋"/>
          <w:sz w:val="28"/>
          <w:szCs w:val="28"/>
        </w:rPr>
        <w:t>（1）月平均风速</w:t>
      </w:r>
    </w:p>
    <w:p w14:paraId="44777B2E">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常州气象站月平均风速如表5.2-2，03月平均风速最大（2.8米/秒），10月风最小（2.1米/秒）。</w:t>
      </w:r>
    </w:p>
    <w:p w14:paraId="3FBB88B8">
      <w:pPr>
        <w:widowControl/>
        <w:spacing w:line="500" w:lineRule="exact"/>
        <w:ind w:firstLine="482" w:firstLineChars="200"/>
        <w:jc w:val="center"/>
        <w:rPr>
          <w:rFonts w:ascii="Times New Roman" w:eastAsia="仿宋"/>
        </w:rPr>
      </w:pPr>
      <w:r>
        <w:rPr>
          <w:rFonts w:ascii="Times New Roman" w:eastAsia="仿宋"/>
          <w:b/>
          <w:bCs/>
          <w:szCs w:val="21"/>
        </w:rPr>
        <w:t>表5.2-2  常州气象站月平均风速统计（单位：m/s）</w:t>
      </w:r>
    </w:p>
    <w:tbl>
      <w:tblPr>
        <w:tblStyle w:val="8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276"/>
        <w:gridCol w:w="587"/>
        <w:gridCol w:w="586"/>
        <w:gridCol w:w="586"/>
        <w:gridCol w:w="587"/>
        <w:gridCol w:w="587"/>
        <w:gridCol w:w="587"/>
        <w:gridCol w:w="587"/>
        <w:gridCol w:w="587"/>
        <w:gridCol w:w="587"/>
        <w:gridCol w:w="692"/>
        <w:gridCol w:w="685"/>
        <w:gridCol w:w="692"/>
      </w:tblGrid>
      <w:tr w14:paraId="6A78C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0" w:type="pct"/>
            <w:vAlign w:val="center"/>
          </w:tcPr>
          <w:p w14:paraId="0402CFCB">
            <w:pPr>
              <w:widowControl/>
              <w:spacing w:line="320" w:lineRule="exact"/>
              <w:jc w:val="center"/>
              <w:rPr>
                <w:rFonts w:ascii="Times New Roman" w:eastAsia="仿宋"/>
                <w:szCs w:val="21"/>
              </w:rPr>
            </w:pPr>
            <w:r>
              <w:rPr>
                <w:rFonts w:ascii="Times New Roman" w:eastAsia="仿宋"/>
                <w:szCs w:val="21"/>
              </w:rPr>
              <w:t>月份</w:t>
            </w:r>
          </w:p>
        </w:tc>
        <w:tc>
          <w:tcPr>
            <w:tcW w:w="341" w:type="pct"/>
            <w:vAlign w:val="center"/>
          </w:tcPr>
          <w:p w14:paraId="1A8A4B38">
            <w:pPr>
              <w:spacing w:line="320" w:lineRule="exact"/>
              <w:jc w:val="center"/>
              <w:rPr>
                <w:rFonts w:ascii="Times New Roman" w:eastAsia="仿宋"/>
                <w:szCs w:val="21"/>
              </w:rPr>
            </w:pPr>
            <w:r>
              <w:rPr>
                <w:rFonts w:ascii="Times New Roman" w:eastAsia="仿宋"/>
                <w:szCs w:val="21"/>
              </w:rPr>
              <w:t>1月</w:t>
            </w:r>
          </w:p>
        </w:tc>
        <w:tc>
          <w:tcPr>
            <w:tcW w:w="340" w:type="pct"/>
            <w:vAlign w:val="center"/>
          </w:tcPr>
          <w:p w14:paraId="452E4F85">
            <w:pPr>
              <w:spacing w:line="320" w:lineRule="exact"/>
              <w:jc w:val="center"/>
              <w:rPr>
                <w:rFonts w:ascii="Times New Roman" w:eastAsia="仿宋"/>
                <w:szCs w:val="21"/>
              </w:rPr>
            </w:pPr>
            <w:r>
              <w:rPr>
                <w:rFonts w:ascii="Times New Roman" w:eastAsia="仿宋"/>
                <w:szCs w:val="21"/>
              </w:rPr>
              <w:t>2月</w:t>
            </w:r>
          </w:p>
        </w:tc>
        <w:tc>
          <w:tcPr>
            <w:tcW w:w="340" w:type="pct"/>
            <w:vAlign w:val="center"/>
          </w:tcPr>
          <w:p w14:paraId="59EC3B5E">
            <w:pPr>
              <w:spacing w:line="320" w:lineRule="exact"/>
              <w:jc w:val="center"/>
              <w:rPr>
                <w:rFonts w:ascii="Times New Roman" w:eastAsia="仿宋"/>
                <w:szCs w:val="21"/>
              </w:rPr>
            </w:pPr>
            <w:r>
              <w:rPr>
                <w:rFonts w:ascii="Times New Roman" w:eastAsia="仿宋"/>
                <w:szCs w:val="21"/>
              </w:rPr>
              <w:t>3月</w:t>
            </w:r>
          </w:p>
        </w:tc>
        <w:tc>
          <w:tcPr>
            <w:tcW w:w="340" w:type="pct"/>
            <w:vAlign w:val="center"/>
          </w:tcPr>
          <w:p w14:paraId="02CDA65B">
            <w:pPr>
              <w:spacing w:line="320" w:lineRule="exact"/>
              <w:jc w:val="center"/>
              <w:rPr>
                <w:rFonts w:ascii="Times New Roman" w:eastAsia="仿宋"/>
                <w:szCs w:val="21"/>
              </w:rPr>
            </w:pPr>
            <w:r>
              <w:rPr>
                <w:rFonts w:ascii="Times New Roman" w:eastAsia="仿宋"/>
                <w:szCs w:val="21"/>
              </w:rPr>
              <w:t>4月</w:t>
            </w:r>
          </w:p>
        </w:tc>
        <w:tc>
          <w:tcPr>
            <w:tcW w:w="340" w:type="pct"/>
            <w:vAlign w:val="center"/>
          </w:tcPr>
          <w:p w14:paraId="4005B9CC">
            <w:pPr>
              <w:spacing w:line="320" w:lineRule="exact"/>
              <w:jc w:val="center"/>
              <w:rPr>
                <w:rFonts w:ascii="Times New Roman" w:eastAsia="仿宋"/>
                <w:szCs w:val="21"/>
              </w:rPr>
            </w:pPr>
            <w:r>
              <w:rPr>
                <w:rFonts w:ascii="Times New Roman" w:eastAsia="仿宋"/>
                <w:szCs w:val="21"/>
              </w:rPr>
              <w:t>5月</w:t>
            </w:r>
          </w:p>
        </w:tc>
        <w:tc>
          <w:tcPr>
            <w:tcW w:w="340" w:type="pct"/>
            <w:vAlign w:val="center"/>
          </w:tcPr>
          <w:p w14:paraId="598470B2">
            <w:pPr>
              <w:spacing w:line="320" w:lineRule="exact"/>
              <w:jc w:val="center"/>
              <w:rPr>
                <w:rFonts w:ascii="Times New Roman" w:eastAsia="仿宋"/>
                <w:szCs w:val="21"/>
              </w:rPr>
            </w:pPr>
            <w:r>
              <w:rPr>
                <w:rFonts w:ascii="Times New Roman" w:eastAsia="仿宋"/>
                <w:szCs w:val="21"/>
              </w:rPr>
              <w:t>6月</w:t>
            </w:r>
          </w:p>
        </w:tc>
        <w:tc>
          <w:tcPr>
            <w:tcW w:w="340" w:type="pct"/>
            <w:vAlign w:val="center"/>
          </w:tcPr>
          <w:p w14:paraId="022492CE">
            <w:pPr>
              <w:spacing w:line="320" w:lineRule="exact"/>
              <w:jc w:val="center"/>
              <w:rPr>
                <w:rFonts w:ascii="Times New Roman" w:eastAsia="仿宋"/>
                <w:szCs w:val="21"/>
              </w:rPr>
            </w:pPr>
            <w:r>
              <w:rPr>
                <w:rFonts w:ascii="Times New Roman" w:eastAsia="仿宋"/>
                <w:szCs w:val="21"/>
              </w:rPr>
              <w:t>7月</w:t>
            </w:r>
          </w:p>
        </w:tc>
        <w:tc>
          <w:tcPr>
            <w:tcW w:w="340" w:type="pct"/>
            <w:vAlign w:val="center"/>
          </w:tcPr>
          <w:p w14:paraId="56380554">
            <w:pPr>
              <w:spacing w:line="320" w:lineRule="exact"/>
              <w:jc w:val="center"/>
              <w:rPr>
                <w:rFonts w:ascii="Times New Roman" w:eastAsia="仿宋"/>
                <w:szCs w:val="21"/>
              </w:rPr>
            </w:pPr>
            <w:r>
              <w:rPr>
                <w:rFonts w:ascii="Times New Roman" w:eastAsia="仿宋"/>
                <w:szCs w:val="21"/>
              </w:rPr>
              <w:t>8月</w:t>
            </w:r>
          </w:p>
        </w:tc>
        <w:tc>
          <w:tcPr>
            <w:tcW w:w="340" w:type="pct"/>
            <w:vAlign w:val="center"/>
          </w:tcPr>
          <w:p w14:paraId="7959AEE9">
            <w:pPr>
              <w:spacing w:line="320" w:lineRule="exact"/>
              <w:jc w:val="center"/>
              <w:rPr>
                <w:rFonts w:ascii="Times New Roman" w:eastAsia="仿宋"/>
                <w:szCs w:val="21"/>
              </w:rPr>
            </w:pPr>
            <w:r>
              <w:rPr>
                <w:rFonts w:ascii="Times New Roman" w:eastAsia="仿宋"/>
                <w:szCs w:val="21"/>
              </w:rPr>
              <w:t>9月</w:t>
            </w:r>
          </w:p>
        </w:tc>
        <w:tc>
          <w:tcPr>
            <w:tcW w:w="401" w:type="pct"/>
            <w:vAlign w:val="center"/>
          </w:tcPr>
          <w:p w14:paraId="6FB6724C">
            <w:pPr>
              <w:spacing w:line="320" w:lineRule="exact"/>
              <w:jc w:val="center"/>
              <w:rPr>
                <w:rFonts w:ascii="Times New Roman" w:eastAsia="仿宋"/>
                <w:szCs w:val="21"/>
              </w:rPr>
            </w:pPr>
            <w:r>
              <w:rPr>
                <w:rFonts w:ascii="Times New Roman" w:eastAsia="仿宋"/>
                <w:szCs w:val="21"/>
              </w:rPr>
              <w:t>10月</w:t>
            </w:r>
          </w:p>
        </w:tc>
        <w:tc>
          <w:tcPr>
            <w:tcW w:w="397" w:type="pct"/>
            <w:vAlign w:val="center"/>
          </w:tcPr>
          <w:p w14:paraId="03BA47F9">
            <w:pPr>
              <w:spacing w:line="320" w:lineRule="exact"/>
              <w:jc w:val="center"/>
              <w:rPr>
                <w:rFonts w:ascii="Times New Roman" w:eastAsia="仿宋"/>
                <w:szCs w:val="21"/>
              </w:rPr>
            </w:pPr>
            <w:r>
              <w:rPr>
                <w:rFonts w:ascii="Times New Roman" w:eastAsia="仿宋"/>
                <w:szCs w:val="21"/>
              </w:rPr>
              <w:t>11月</w:t>
            </w:r>
          </w:p>
        </w:tc>
        <w:tc>
          <w:tcPr>
            <w:tcW w:w="401" w:type="pct"/>
            <w:vAlign w:val="center"/>
          </w:tcPr>
          <w:p w14:paraId="2936D35A">
            <w:pPr>
              <w:spacing w:line="320" w:lineRule="exact"/>
              <w:jc w:val="center"/>
              <w:rPr>
                <w:rFonts w:ascii="Times New Roman" w:eastAsia="仿宋"/>
                <w:szCs w:val="21"/>
              </w:rPr>
            </w:pPr>
            <w:r>
              <w:rPr>
                <w:rFonts w:ascii="Times New Roman" w:eastAsia="仿宋"/>
                <w:szCs w:val="21"/>
              </w:rPr>
              <w:t>12月</w:t>
            </w:r>
          </w:p>
        </w:tc>
      </w:tr>
      <w:tr w14:paraId="53748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40" w:type="pct"/>
            <w:vAlign w:val="center"/>
          </w:tcPr>
          <w:p w14:paraId="4DD68B69">
            <w:pPr>
              <w:widowControl/>
              <w:spacing w:line="320" w:lineRule="exact"/>
              <w:jc w:val="center"/>
              <w:rPr>
                <w:rFonts w:ascii="Times New Roman" w:eastAsia="仿宋"/>
                <w:szCs w:val="21"/>
              </w:rPr>
            </w:pPr>
            <w:r>
              <w:rPr>
                <w:rFonts w:ascii="Times New Roman" w:eastAsia="仿宋"/>
                <w:szCs w:val="21"/>
              </w:rPr>
              <w:t>平均风速</w:t>
            </w:r>
          </w:p>
        </w:tc>
        <w:tc>
          <w:tcPr>
            <w:tcW w:w="341" w:type="pct"/>
            <w:vAlign w:val="center"/>
          </w:tcPr>
          <w:p w14:paraId="37A3DDE4">
            <w:pPr>
              <w:spacing w:line="320" w:lineRule="exact"/>
              <w:jc w:val="center"/>
              <w:rPr>
                <w:rFonts w:ascii="Times New Roman" w:eastAsia="仿宋"/>
                <w:szCs w:val="21"/>
              </w:rPr>
            </w:pPr>
            <w:r>
              <w:rPr>
                <w:rFonts w:ascii="Times New Roman" w:eastAsia="仿宋"/>
                <w:szCs w:val="21"/>
              </w:rPr>
              <w:t>2.2</w:t>
            </w:r>
          </w:p>
        </w:tc>
        <w:tc>
          <w:tcPr>
            <w:tcW w:w="340" w:type="pct"/>
            <w:vAlign w:val="center"/>
          </w:tcPr>
          <w:p w14:paraId="77617193">
            <w:pPr>
              <w:spacing w:line="320" w:lineRule="exact"/>
              <w:jc w:val="center"/>
              <w:rPr>
                <w:rFonts w:ascii="Times New Roman" w:eastAsia="仿宋"/>
                <w:szCs w:val="21"/>
              </w:rPr>
            </w:pPr>
            <w:r>
              <w:rPr>
                <w:rFonts w:ascii="Times New Roman" w:eastAsia="仿宋"/>
                <w:szCs w:val="21"/>
              </w:rPr>
              <w:t>2.6</w:t>
            </w:r>
          </w:p>
        </w:tc>
        <w:tc>
          <w:tcPr>
            <w:tcW w:w="340" w:type="pct"/>
            <w:vAlign w:val="center"/>
          </w:tcPr>
          <w:p w14:paraId="45BCFFEE">
            <w:pPr>
              <w:spacing w:line="320" w:lineRule="exact"/>
              <w:jc w:val="center"/>
              <w:rPr>
                <w:rFonts w:ascii="Times New Roman" w:eastAsia="仿宋"/>
                <w:szCs w:val="21"/>
              </w:rPr>
            </w:pPr>
            <w:r>
              <w:rPr>
                <w:rFonts w:ascii="Times New Roman" w:eastAsia="仿宋"/>
                <w:szCs w:val="21"/>
              </w:rPr>
              <w:t>2.8</w:t>
            </w:r>
          </w:p>
        </w:tc>
        <w:tc>
          <w:tcPr>
            <w:tcW w:w="340" w:type="pct"/>
            <w:vAlign w:val="center"/>
          </w:tcPr>
          <w:p w14:paraId="0ECE50C9">
            <w:pPr>
              <w:spacing w:line="320" w:lineRule="exact"/>
              <w:jc w:val="center"/>
              <w:rPr>
                <w:rFonts w:ascii="Times New Roman" w:eastAsia="仿宋"/>
                <w:szCs w:val="21"/>
              </w:rPr>
            </w:pPr>
            <w:r>
              <w:rPr>
                <w:rFonts w:ascii="Times New Roman" w:eastAsia="仿宋"/>
                <w:szCs w:val="21"/>
              </w:rPr>
              <w:t>2.8</w:t>
            </w:r>
          </w:p>
        </w:tc>
        <w:tc>
          <w:tcPr>
            <w:tcW w:w="340" w:type="pct"/>
            <w:vAlign w:val="center"/>
          </w:tcPr>
          <w:p w14:paraId="7915ABAF">
            <w:pPr>
              <w:spacing w:line="320" w:lineRule="exact"/>
              <w:jc w:val="center"/>
              <w:rPr>
                <w:rFonts w:ascii="Times New Roman" w:eastAsia="仿宋"/>
                <w:szCs w:val="21"/>
              </w:rPr>
            </w:pPr>
            <w:r>
              <w:rPr>
                <w:rFonts w:ascii="Times New Roman" w:eastAsia="仿宋"/>
                <w:szCs w:val="21"/>
              </w:rPr>
              <w:t>2.7</w:t>
            </w:r>
          </w:p>
        </w:tc>
        <w:tc>
          <w:tcPr>
            <w:tcW w:w="340" w:type="pct"/>
            <w:vAlign w:val="center"/>
          </w:tcPr>
          <w:p w14:paraId="5C7AB722">
            <w:pPr>
              <w:spacing w:line="320" w:lineRule="exact"/>
              <w:jc w:val="center"/>
              <w:rPr>
                <w:rFonts w:ascii="Times New Roman" w:eastAsia="仿宋"/>
                <w:szCs w:val="21"/>
              </w:rPr>
            </w:pPr>
            <w:r>
              <w:rPr>
                <w:rFonts w:ascii="Times New Roman" w:eastAsia="仿宋"/>
                <w:szCs w:val="21"/>
              </w:rPr>
              <w:t>2.5</w:t>
            </w:r>
          </w:p>
        </w:tc>
        <w:tc>
          <w:tcPr>
            <w:tcW w:w="340" w:type="pct"/>
            <w:vAlign w:val="center"/>
          </w:tcPr>
          <w:p w14:paraId="701521AE">
            <w:pPr>
              <w:spacing w:line="320" w:lineRule="exact"/>
              <w:jc w:val="center"/>
              <w:rPr>
                <w:rFonts w:ascii="Times New Roman" w:eastAsia="仿宋"/>
                <w:szCs w:val="21"/>
              </w:rPr>
            </w:pPr>
            <w:r>
              <w:rPr>
                <w:rFonts w:ascii="Times New Roman" w:eastAsia="仿宋"/>
                <w:szCs w:val="21"/>
              </w:rPr>
              <w:t>2.4</w:t>
            </w:r>
          </w:p>
        </w:tc>
        <w:tc>
          <w:tcPr>
            <w:tcW w:w="340" w:type="pct"/>
            <w:vAlign w:val="center"/>
          </w:tcPr>
          <w:p w14:paraId="1960F23E">
            <w:pPr>
              <w:spacing w:line="320" w:lineRule="exact"/>
              <w:jc w:val="center"/>
              <w:rPr>
                <w:rFonts w:ascii="Times New Roman" w:eastAsia="仿宋"/>
                <w:szCs w:val="21"/>
              </w:rPr>
            </w:pPr>
            <w:r>
              <w:rPr>
                <w:rFonts w:ascii="Times New Roman" w:eastAsia="仿宋"/>
                <w:szCs w:val="21"/>
              </w:rPr>
              <w:t>2.6</w:t>
            </w:r>
          </w:p>
        </w:tc>
        <w:tc>
          <w:tcPr>
            <w:tcW w:w="340" w:type="pct"/>
            <w:vAlign w:val="center"/>
          </w:tcPr>
          <w:p w14:paraId="6799E2CC">
            <w:pPr>
              <w:spacing w:line="320" w:lineRule="exact"/>
              <w:jc w:val="center"/>
              <w:rPr>
                <w:rFonts w:ascii="Times New Roman" w:eastAsia="仿宋"/>
                <w:szCs w:val="21"/>
              </w:rPr>
            </w:pPr>
            <w:r>
              <w:rPr>
                <w:rFonts w:ascii="Times New Roman" w:eastAsia="仿宋"/>
                <w:szCs w:val="21"/>
              </w:rPr>
              <w:t>2.3</w:t>
            </w:r>
          </w:p>
        </w:tc>
        <w:tc>
          <w:tcPr>
            <w:tcW w:w="401" w:type="pct"/>
            <w:vAlign w:val="center"/>
          </w:tcPr>
          <w:p w14:paraId="39801B5A">
            <w:pPr>
              <w:spacing w:line="320" w:lineRule="exact"/>
              <w:jc w:val="center"/>
              <w:rPr>
                <w:rFonts w:ascii="Times New Roman" w:eastAsia="仿宋"/>
                <w:szCs w:val="21"/>
              </w:rPr>
            </w:pPr>
            <w:r>
              <w:rPr>
                <w:rFonts w:ascii="Times New Roman" w:eastAsia="仿宋"/>
                <w:szCs w:val="21"/>
              </w:rPr>
              <w:t>2.1</w:t>
            </w:r>
          </w:p>
        </w:tc>
        <w:tc>
          <w:tcPr>
            <w:tcW w:w="397" w:type="pct"/>
            <w:vAlign w:val="center"/>
          </w:tcPr>
          <w:p w14:paraId="33D3FE7E">
            <w:pPr>
              <w:spacing w:line="320" w:lineRule="exact"/>
              <w:jc w:val="center"/>
              <w:rPr>
                <w:rFonts w:ascii="Times New Roman" w:eastAsia="仿宋"/>
                <w:szCs w:val="21"/>
              </w:rPr>
            </w:pPr>
            <w:r>
              <w:rPr>
                <w:rFonts w:ascii="Times New Roman" w:eastAsia="仿宋"/>
                <w:szCs w:val="21"/>
              </w:rPr>
              <w:t>2.2</w:t>
            </w:r>
          </w:p>
        </w:tc>
        <w:tc>
          <w:tcPr>
            <w:tcW w:w="401" w:type="pct"/>
            <w:vAlign w:val="center"/>
          </w:tcPr>
          <w:p w14:paraId="1017804C">
            <w:pPr>
              <w:spacing w:line="320" w:lineRule="exact"/>
              <w:jc w:val="center"/>
              <w:rPr>
                <w:rFonts w:ascii="Times New Roman" w:eastAsia="仿宋"/>
                <w:szCs w:val="21"/>
              </w:rPr>
            </w:pPr>
            <w:r>
              <w:rPr>
                <w:rFonts w:ascii="Times New Roman" w:eastAsia="仿宋"/>
                <w:szCs w:val="21"/>
              </w:rPr>
              <w:t>2.2</w:t>
            </w:r>
          </w:p>
        </w:tc>
      </w:tr>
    </w:tbl>
    <w:p w14:paraId="2C758481">
      <w:pPr>
        <w:widowControl/>
        <w:spacing w:line="500" w:lineRule="exact"/>
        <w:ind w:firstLine="560" w:firstLineChars="200"/>
        <w:jc w:val="left"/>
        <w:rPr>
          <w:rFonts w:ascii="Times New Roman" w:eastAsia="仿宋"/>
          <w:sz w:val="28"/>
          <w:szCs w:val="28"/>
        </w:rPr>
      </w:pPr>
      <w:r>
        <w:rPr>
          <w:rFonts w:ascii="Times New Roman" w:eastAsia="仿宋"/>
          <w:sz w:val="28"/>
          <w:szCs w:val="28"/>
        </w:rPr>
        <w:t>（2）风向特征</w:t>
      </w:r>
    </w:p>
    <w:p w14:paraId="27592156">
      <w:pPr>
        <w:widowControl/>
        <w:spacing w:line="500" w:lineRule="exact"/>
        <w:ind w:firstLine="560" w:firstLineChars="200"/>
        <w:jc w:val="left"/>
        <w:rPr>
          <w:rFonts w:ascii="Times New Roman" w:eastAsia="仿宋"/>
          <w:sz w:val="28"/>
          <w:szCs w:val="28"/>
        </w:rPr>
      </w:pPr>
      <w:r>
        <w:rPr>
          <w:rFonts w:ascii="Times New Roman" w:eastAsia="仿宋"/>
          <w:sz w:val="28"/>
          <w:szCs w:val="28"/>
        </w:rPr>
        <w:t>近20年资料分析的风向玫瑰图如图5.2-1所示，常州气象站主要风向为ESE和NNE、ENE、E，占35.4％，其中以ESE为主风向，占到全年11.7％左右。</w:t>
      </w:r>
    </w:p>
    <w:p w14:paraId="184B735C">
      <w:pPr>
        <w:widowControl/>
        <w:spacing w:line="500" w:lineRule="exact"/>
        <w:ind w:firstLine="482" w:firstLineChars="200"/>
        <w:jc w:val="center"/>
        <w:rPr>
          <w:rFonts w:ascii="Times New Roman" w:eastAsia="仿宋"/>
          <w:b/>
          <w:bCs/>
          <w:szCs w:val="21"/>
        </w:rPr>
      </w:pPr>
    </w:p>
    <w:p w14:paraId="16B6CF61">
      <w:pPr>
        <w:widowControl/>
        <w:spacing w:line="500" w:lineRule="exact"/>
        <w:ind w:firstLine="482" w:firstLineChars="200"/>
        <w:jc w:val="center"/>
        <w:rPr>
          <w:rFonts w:ascii="Times New Roman" w:eastAsia="仿宋"/>
          <w:b/>
          <w:bCs/>
          <w:szCs w:val="21"/>
        </w:rPr>
      </w:pPr>
    </w:p>
    <w:p w14:paraId="31DAB3E3">
      <w:pPr>
        <w:widowControl/>
        <w:spacing w:line="500" w:lineRule="exact"/>
        <w:ind w:firstLine="482" w:firstLineChars="200"/>
        <w:jc w:val="center"/>
        <w:rPr>
          <w:rFonts w:ascii="Times New Roman" w:eastAsia="仿宋"/>
          <w:b/>
          <w:bCs/>
          <w:szCs w:val="21"/>
        </w:rPr>
      </w:pPr>
    </w:p>
    <w:p w14:paraId="3DA47105">
      <w:pPr>
        <w:widowControl/>
        <w:spacing w:line="500" w:lineRule="exact"/>
        <w:ind w:firstLine="482" w:firstLineChars="200"/>
        <w:jc w:val="center"/>
        <w:rPr>
          <w:rFonts w:ascii="Times New Roman" w:eastAsia="仿宋"/>
          <w:b/>
          <w:bCs/>
          <w:szCs w:val="21"/>
        </w:rPr>
      </w:pPr>
      <w:r>
        <w:rPr>
          <w:rFonts w:ascii="Times New Roman" w:eastAsia="仿宋"/>
          <w:b/>
          <w:bCs/>
          <w:szCs w:val="21"/>
        </w:rPr>
        <w:t>表5.2-3  常州气象站年风向频率统计（单位：%）</w:t>
      </w:r>
    </w:p>
    <w:tbl>
      <w:tblPr>
        <w:tblStyle w:val="8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79"/>
        <w:gridCol w:w="469"/>
        <w:gridCol w:w="510"/>
        <w:gridCol w:w="467"/>
        <w:gridCol w:w="483"/>
        <w:gridCol w:w="467"/>
        <w:gridCol w:w="467"/>
        <w:gridCol w:w="467"/>
        <w:gridCol w:w="467"/>
        <w:gridCol w:w="338"/>
        <w:gridCol w:w="510"/>
        <w:gridCol w:w="469"/>
        <w:gridCol w:w="603"/>
        <w:gridCol w:w="350"/>
        <w:gridCol w:w="643"/>
        <w:gridCol w:w="469"/>
        <w:gridCol w:w="590"/>
        <w:gridCol w:w="378"/>
      </w:tblGrid>
      <w:tr w14:paraId="5EA2F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3" w:type="pct"/>
            <w:vAlign w:val="center"/>
          </w:tcPr>
          <w:p w14:paraId="2A7CDAF7">
            <w:pPr>
              <w:spacing w:line="320" w:lineRule="exact"/>
              <w:jc w:val="center"/>
              <w:rPr>
                <w:rFonts w:ascii="Times New Roman" w:eastAsia="仿宋"/>
                <w:szCs w:val="21"/>
              </w:rPr>
            </w:pPr>
            <w:r>
              <w:rPr>
                <w:rFonts w:ascii="Times New Roman" w:eastAsia="仿宋"/>
                <w:szCs w:val="21"/>
              </w:rPr>
              <w:t>月份</w:t>
            </w:r>
          </w:p>
        </w:tc>
        <w:tc>
          <w:tcPr>
            <w:tcW w:w="277" w:type="pct"/>
            <w:vAlign w:val="center"/>
          </w:tcPr>
          <w:p w14:paraId="20621654">
            <w:pPr>
              <w:spacing w:line="320" w:lineRule="exact"/>
              <w:jc w:val="center"/>
              <w:rPr>
                <w:rFonts w:ascii="Times New Roman" w:eastAsia="仿宋"/>
                <w:szCs w:val="21"/>
              </w:rPr>
            </w:pPr>
            <w:r>
              <w:rPr>
                <w:rFonts w:ascii="Times New Roman" w:eastAsia="仿宋"/>
                <w:szCs w:val="21"/>
              </w:rPr>
              <w:t>N</w:t>
            </w:r>
          </w:p>
        </w:tc>
        <w:tc>
          <w:tcPr>
            <w:tcW w:w="276" w:type="pct"/>
            <w:vAlign w:val="center"/>
          </w:tcPr>
          <w:p w14:paraId="4ECC900E">
            <w:pPr>
              <w:spacing w:line="320" w:lineRule="exact"/>
              <w:jc w:val="center"/>
              <w:rPr>
                <w:rFonts w:ascii="Times New Roman" w:eastAsia="仿宋"/>
                <w:szCs w:val="21"/>
              </w:rPr>
            </w:pPr>
            <w:r>
              <w:rPr>
                <w:rFonts w:ascii="Times New Roman" w:eastAsia="仿宋"/>
                <w:szCs w:val="21"/>
              </w:rPr>
              <w:t>NNE</w:t>
            </w:r>
          </w:p>
        </w:tc>
        <w:tc>
          <w:tcPr>
            <w:tcW w:w="276" w:type="pct"/>
            <w:vAlign w:val="center"/>
          </w:tcPr>
          <w:p w14:paraId="76AAA72B">
            <w:pPr>
              <w:spacing w:line="320" w:lineRule="exact"/>
              <w:jc w:val="center"/>
              <w:rPr>
                <w:rFonts w:ascii="Times New Roman" w:eastAsia="仿宋"/>
                <w:szCs w:val="21"/>
              </w:rPr>
            </w:pPr>
            <w:r>
              <w:rPr>
                <w:rFonts w:ascii="Times New Roman" w:eastAsia="仿宋"/>
                <w:szCs w:val="21"/>
              </w:rPr>
              <w:t>NE</w:t>
            </w:r>
          </w:p>
        </w:tc>
        <w:tc>
          <w:tcPr>
            <w:tcW w:w="276" w:type="pct"/>
            <w:vAlign w:val="center"/>
          </w:tcPr>
          <w:p w14:paraId="5A9384B8">
            <w:pPr>
              <w:spacing w:line="320" w:lineRule="exact"/>
              <w:jc w:val="center"/>
              <w:rPr>
                <w:rFonts w:ascii="Times New Roman" w:eastAsia="仿宋"/>
                <w:szCs w:val="21"/>
              </w:rPr>
            </w:pPr>
            <w:r>
              <w:rPr>
                <w:rFonts w:ascii="Times New Roman" w:eastAsia="仿宋"/>
                <w:szCs w:val="21"/>
              </w:rPr>
              <w:t>ENE</w:t>
            </w:r>
          </w:p>
        </w:tc>
        <w:tc>
          <w:tcPr>
            <w:tcW w:w="276" w:type="pct"/>
            <w:vAlign w:val="center"/>
          </w:tcPr>
          <w:p w14:paraId="5B4A9F40">
            <w:pPr>
              <w:spacing w:line="320" w:lineRule="exact"/>
              <w:jc w:val="center"/>
              <w:rPr>
                <w:rFonts w:ascii="Times New Roman" w:eastAsia="仿宋"/>
                <w:szCs w:val="21"/>
              </w:rPr>
            </w:pPr>
            <w:r>
              <w:rPr>
                <w:rFonts w:ascii="Times New Roman" w:eastAsia="仿宋"/>
                <w:szCs w:val="21"/>
              </w:rPr>
              <w:t>E</w:t>
            </w:r>
          </w:p>
        </w:tc>
        <w:tc>
          <w:tcPr>
            <w:tcW w:w="276" w:type="pct"/>
            <w:vAlign w:val="center"/>
          </w:tcPr>
          <w:p w14:paraId="78DED443">
            <w:pPr>
              <w:spacing w:line="320" w:lineRule="exact"/>
              <w:jc w:val="center"/>
              <w:rPr>
                <w:rFonts w:ascii="Times New Roman" w:eastAsia="仿宋"/>
                <w:szCs w:val="21"/>
              </w:rPr>
            </w:pPr>
            <w:r>
              <w:rPr>
                <w:rFonts w:ascii="Times New Roman" w:eastAsia="仿宋"/>
                <w:szCs w:val="21"/>
              </w:rPr>
              <w:t>ESE</w:t>
            </w:r>
          </w:p>
        </w:tc>
        <w:tc>
          <w:tcPr>
            <w:tcW w:w="276" w:type="pct"/>
            <w:vAlign w:val="center"/>
          </w:tcPr>
          <w:p w14:paraId="2C2C248A">
            <w:pPr>
              <w:spacing w:line="320" w:lineRule="exact"/>
              <w:jc w:val="center"/>
              <w:rPr>
                <w:rFonts w:ascii="Times New Roman" w:eastAsia="仿宋"/>
                <w:szCs w:val="21"/>
              </w:rPr>
            </w:pPr>
            <w:r>
              <w:rPr>
                <w:rFonts w:ascii="Times New Roman" w:eastAsia="仿宋"/>
                <w:szCs w:val="21"/>
              </w:rPr>
              <w:t>SE</w:t>
            </w:r>
          </w:p>
        </w:tc>
        <w:tc>
          <w:tcPr>
            <w:tcW w:w="276" w:type="pct"/>
            <w:vAlign w:val="center"/>
          </w:tcPr>
          <w:p w14:paraId="75BFF916">
            <w:pPr>
              <w:spacing w:line="320" w:lineRule="exact"/>
              <w:jc w:val="center"/>
              <w:rPr>
                <w:rFonts w:ascii="Times New Roman" w:eastAsia="仿宋"/>
                <w:szCs w:val="21"/>
              </w:rPr>
            </w:pPr>
            <w:r>
              <w:rPr>
                <w:rFonts w:ascii="Times New Roman" w:eastAsia="仿宋"/>
                <w:szCs w:val="21"/>
              </w:rPr>
              <w:t>SSE</w:t>
            </w:r>
          </w:p>
        </w:tc>
        <w:tc>
          <w:tcPr>
            <w:tcW w:w="201" w:type="pct"/>
            <w:vAlign w:val="center"/>
          </w:tcPr>
          <w:p w14:paraId="6DD5E01C">
            <w:pPr>
              <w:spacing w:line="320" w:lineRule="exact"/>
              <w:jc w:val="center"/>
              <w:rPr>
                <w:rFonts w:ascii="Times New Roman" w:eastAsia="仿宋"/>
                <w:szCs w:val="21"/>
              </w:rPr>
            </w:pPr>
            <w:r>
              <w:rPr>
                <w:rFonts w:ascii="Times New Roman" w:eastAsia="仿宋"/>
                <w:szCs w:val="21"/>
              </w:rPr>
              <w:t>S</w:t>
            </w:r>
          </w:p>
        </w:tc>
        <w:tc>
          <w:tcPr>
            <w:tcW w:w="277" w:type="pct"/>
            <w:vAlign w:val="center"/>
          </w:tcPr>
          <w:p w14:paraId="3737FDD4">
            <w:pPr>
              <w:spacing w:line="320" w:lineRule="exact"/>
              <w:jc w:val="center"/>
              <w:rPr>
                <w:rFonts w:ascii="Times New Roman" w:eastAsia="仿宋"/>
                <w:szCs w:val="21"/>
              </w:rPr>
            </w:pPr>
            <w:r>
              <w:rPr>
                <w:rFonts w:ascii="Times New Roman" w:eastAsia="仿宋"/>
                <w:szCs w:val="21"/>
              </w:rPr>
              <w:t>SSW</w:t>
            </w:r>
          </w:p>
        </w:tc>
        <w:tc>
          <w:tcPr>
            <w:tcW w:w="277" w:type="pct"/>
            <w:vAlign w:val="center"/>
          </w:tcPr>
          <w:p w14:paraId="66040030">
            <w:pPr>
              <w:spacing w:line="320" w:lineRule="exact"/>
              <w:jc w:val="center"/>
              <w:rPr>
                <w:rFonts w:ascii="Times New Roman" w:eastAsia="仿宋"/>
                <w:szCs w:val="21"/>
              </w:rPr>
            </w:pPr>
            <w:r>
              <w:rPr>
                <w:rFonts w:ascii="Times New Roman" w:eastAsia="仿宋"/>
                <w:szCs w:val="21"/>
              </w:rPr>
              <w:t>SW</w:t>
            </w:r>
          </w:p>
        </w:tc>
        <w:tc>
          <w:tcPr>
            <w:tcW w:w="347" w:type="pct"/>
            <w:vAlign w:val="center"/>
          </w:tcPr>
          <w:p w14:paraId="1021F12D">
            <w:pPr>
              <w:spacing w:line="320" w:lineRule="exact"/>
              <w:jc w:val="center"/>
              <w:rPr>
                <w:rFonts w:ascii="Times New Roman" w:eastAsia="仿宋"/>
                <w:szCs w:val="21"/>
              </w:rPr>
            </w:pPr>
            <w:r>
              <w:rPr>
                <w:rFonts w:ascii="Times New Roman" w:eastAsia="仿宋"/>
                <w:szCs w:val="21"/>
              </w:rPr>
              <w:t>WSW</w:t>
            </w:r>
          </w:p>
        </w:tc>
        <w:tc>
          <w:tcPr>
            <w:tcW w:w="208" w:type="pct"/>
            <w:vAlign w:val="center"/>
          </w:tcPr>
          <w:p w14:paraId="22308E2A">
            <w:pPr>
              <w:spacing w:line="320" w:lineRule="exact"/>
              <w:jc w:val="center"/>
              <w:rPr>
                <w:rFonts w:ascii="Times New Roman" w:eastAsia="仿宋"/>
                <w:szCs w:val="21"/>
              </w:rPr>
            </w:pPr>
            <w:r>
              <w:rPr>
                <w:rFonts w:ascii="Times New Roman" w:eastAsia="仿宋"/>
                <w:szCs w:val="21"/>
              </w:rPr>
              <w:t>W</w:t>
            </w:r>
          </w:p>
        </w:tc>
        <w:tc>
          <w:tcPr>
            <w:tcW w:w="347" w:type="pct"/>
            <w:vAlign w:val="center"/>
          </w:tcPr>
          <w:p w14:paraId="2BF35EEC">
            <w:pPr>
              <w:spacing w:line="320" w:lineRule="exact"/>
              <w:jc w:val="center"/>
              <w:rPr>
                <w:rFonts w:ascii="Times New Roman" w:eastAsia="仿宋"/>
                <w:szCs w:val="21"/>
              </w:rPr>
            </w:pPr>
            <w:r>
              <w:rPr>
                <w:rFonts w:ascii="Times New Roman" w:eastAsia="仿宋"/>
                <w:szCs w:val="21"/>
              </w:rPr>
              <w:t>WNW</w:t>
            </w:r>
          </w:p>
        </w:tc>
        <w:tc>
          <w:tcPr>
            <w:tcW w:w="277" w:type="pct"/>
            <w:vAlign w:val="center"/>
          </w:tcPr>
          <w:p w14:paraId="3F67F572">
            <w:pPr>
              <w:spacing w:line="320" w:lineRule="exact"/>
              <w:jc w:val="center"/>
              <w:rPr>
                <w:rFonts w:ascii="Times New Roman" w:eastAsia="仿宋"/>
                <w:szCs w:val="21"/>
              </w:rPr>
            </w:pPr>
            <w:r>
              <w:rPr>
                <w:rFonts w:ascii="Times New Roman" w:eastAsia="仿宋"/>
                <w:szCs w:val="21"/>
              </w:rPr>
              <w:t>NW</w:t>
            </w:r>
          </w:p>
        </w:tc>
        <w:tc>
          <w:tcPr>
            <w:tcW w:w="347" w:type="pct"/>
            <w:vAlign w:val="center"/>
          </w:tcPr>
          <w:p w14:paraId="1D3A2CF3">
            <w:pPr>
              <w:spacing w:line="320" w:lineRule="exact"/>
              <w:jc w:val="center"/>
              <w:rPr>
                <w:rFonts w:ascii="Times New Roman" w:eastAsia="仿宋"/>
                <w:szCs w:val="21"/>
              </w:rPr>
            </w:pPr>
            <w:r>
              <w:rPr>
                <w:rFonts w:ascii="Times New Roman" w:eastAsia="仿宋"/>
                <w:szCs w:val="21"/>
              </w:rPr>
              <w:t>NNW</w:t>
            </w:r>
          </w:p>
        </w:tc>
        <w:tc>
          <w:tcPr>
            <w:tcW w:w="224" w:type="pct"/>
            <w:vAlign w:val="center"/>
          </w:tcPr>
          <w:p w14:paraId="29EFB559">
            <w:pPr>
              <w:spacing w:line="320" w:lineRule="exact"/>
              <w:jc w:val="center"/>
              <w:rPr>
                <w:rFonts w:ascii="Times New Roman" w:eastAsia="仿宋"/>
                <w:szCs w:val="21"/>
              </w:rPr>
            </w:pPr>
            <w:r>
              <w:rPr>
                <w:rFonts w:ascii="Times New Roman" w:eastAsia="仿宋"/>
                <w:szCs w:val="21"/>
              </w:rPr>
              <w:t>C</w:t>
            </w:r>
          </w:p>
        </w:tc>
      </w:tr>
      <w:tr w14:paraId="6BDB4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83" w:type="pct"/>
            <w:vAlign w:val="center"/>
          </w:tcPr>
          <w:p w14:paraId="0806B1F8">
            <w:pPr>
              <w:spacing w:line="320" w:lineRule="exact"/>
              <w:jc w:val="center"/>
              <w:rPr>
                <w:rFonts w:ascii="Times New Roman" w:eastAsia="仿宋"/>
                <w:szCs w:val="21"/>
              </w:rPr>
            </w:pPr>
            <w:r>
              <w:rPr>
                <w:rFonts w:ascii="Times New Roman" w:eastAsia="仿宋"/>
                <w:szCs w:val="21"/>
              </w:rPr>
              <w:t>平均风速</w:t>
            </w:r>
          </w:p>
        </w:tc>
        <w:tc>
          <w:tcPr>
            <w:tcW w:w="277" w:type="pct"/>
            <w:vAlign w:val="center"/>
          </w:tcPr>
          <w:p w14:paraId="3C5607F1">
            <w:pPr>
              <w:spacing w:line="320" w:lineRule="exact"/>
              <w:jc w:val="center"/>
              <w:rPr>
                <w:rFonts w:ascii="Times New Roman" w:eastAsia="仿宋"/>
                <w:szCs w:val="21"/>
              </w:rPr>
            </w:pPr>
            <w:r>
              <w:rPr>
                <w:rFonts w:ascii="Times New Roman" w:eastAsia="仿宋"/>
                <w:szCs w:val="21"/>
              </w:rPr>
              <w:t>5.9</w:t>
            </w:r>
          </w:p>
        </w:tc>
        <w:tc>
          <w:tcPr>
            <w:tcW w:w="276" w:type="pct"/>
            <w:vAlign w:val="center"/>
          </w:tcPr>
          <w:p w14:paraId="29A3BB4D">
            <w:pPr>
              <w:spacing w:line="320" w:lineRule="exact"/>
              <w:jc w:val="center"/>
              <w:rPr>
                <w:rFonts w:ascii="Times New Roman" w:eastAsia="仿宋"/>
                <w:szCs w:val="21"/>
              </w:rPr>
            </w:pPr>
            <w:r>
              <w:rPr>
                <w:rFonts w:ascii="Times New Roman" w:eastAsia="仿宋"/>
                <w:szCs w:val="21"/>
              </w:rPr>
              <w:t>8.3</w:t>
            </w:r>
          </w:p>
        </w:tc>
        <w:tc>
          <w:tcPr>
            <w:tcW w:w="276" w:type="pct"/>
            <w:vAlign w:val="center"/>
          </w:tcPr>
          <w:p w14:paraId="5BAC71DD">
            <w:pPr>
              <w:spacing w:line="320" w:lineRule="exact"/>
              <w:jc w:val="center"/>
              <w:rPr>
                <w:rFonts w:ascii="Times New Roman" w:eastAsia="仿宋"/>
                <w:szCs w:val="21"/>
              </w:rPr>
            </w:pPr>
            <w:r>
              <w:rPr>
                <w:rFonts w:ascii="Times New Roman" w:eastAsia="仿宋"/>
                <w:szCs w:val="21"/>
              </w:rPr>
              <w:t>7.7</w:t>
            </w:r>
          </w:p>
        </w:tc>
        <w:tc>
          <w:tcPr>
            <w:tcW w:w="276" w:type="pct"/>
            <w:vAlign w:val="center"/>
          </w:tcPr>
          <w:p w14:paraId="03AE45D7">
            <w:pPr>
              <w:spacing w:line="320" w:lineRule="exact"/>
              <w:jc w:val="center"/>
              <w:rPr>
                <w:rFonts w:ascii="Times New Roman" w:eastAsia="仿宋"/>
                <w:szCs w:val="21"/>
              </w:rPr>
            </w:pPr>
            <w:r>
              <w:rPr>
                <w:rFonts w:ascii="Times New Roman" w:eastAsia="仿宋"/>
                <w:szCs w:val="21"/>
              </w:rPr>
              <w:t>7.7</w:t>
            </w:r>
          </w:p>
        </w:tc>
        <w:tc>
          <w:tcPr>
            <w:tcW w:w="276" w:type="pct"/>
            <w:vAlign w:val="center"/>
          </w:tcPr>
          <w:p w14:paraId="34FBEFB7">
            <w:pPr>
              <w:spacing w:line="320" w:lineRule="exact"/>
              <w:jc w:val="center"/>
              <w:rPr>
                <w:rFonts w:ascii="Times New Roman" w:eastAsia="仿宋"/>
                <w:szCs w:val="21"/>
              </w:rPr>
            </w:pPr>
            <w:r>
              <w:rPr>
                <w:rFonts w:ascii="Times New Roman" w:eastAsia="仿宋"/>
                <w:szCs w:val="21"/>
              </w:rPr>
              <w:t>7.7</w:t>
            </w:r>
          </w:p>
        </w:tc>
        <w:tc>
          <w:tcPr>
            <w:tcW w:w="276" w:type="pct"/>
            <w:vAlign w:val="center"/>
          </w:tcPr>
          <w:p w14:paraId="7D862E02">
            <w:pPr>
              <w:spacing w:line="320" w:lineRule="exact"/>
              <w:jc w:val="center"/>
              <w:rPr>
                <w:rFonts w:ascii="Times New Roman" w:eastAsia="仿宋"/>
                <w:szCs w:val="21"/>
              </w:rPr>
            </w:pPr>
            <w:r>
              <w:rPr>
                <w:rFonts w:ascii="Times New Roman" w:eastAsia="仿宋"/>
                <w:szCs w:val="21"/>
              </w:rPr>
              <w:t>11.7</w:t>
            </w:r>
          </w:p>
        </w:tc>
        <w:tc>
          <w:tcPr>
            <w:tcW w:w="276" w:type="pct"/>
            <w:vAlign w:val="center"/>
          </w:tcPr>
          <w:p w14:paraId="2464F8D9">
            <w:pPr>
              <w:spacing w:line="320" w:lineRule="exact"/>
              <w:jc w:val="center"/>
              <w:rPr>
                <w:rFonts w:ascii="Times New Roman" w:eastAsia="仿宋"/>
                <w:szCs w:val="21"/>
              </w:rPr>
            </w:pPr>
            <w:r>
              <w:rPr>
                <w:rFonts w:ascii="Times New Roman" w:eastAsia="仿宋"/>
                <w:szCs w:val="21"/>
              </w:rPr>
              <w:t>7.7</w:t>
            </w:r>
          </w:p>
        </w:tc>
        <w:tc>
          <w:tcPr>
            <w:tcW w:w="276" w:type="pct"/>
            <w:vAlign w:val="center"/>
          </w:tcPr>
          <w:p w14:paraId="5477E6D8">
            <w:pPr>
              <w:spacing w:line="320" w:lineRule="exact"/>
              <w:jc w:val="center"/>
              <w:rPr>
                <w:rFonts w:ascii="Times New Roman" w:eastAsia="仿宋"/>
                <w:szCs w:val="21"/>
              </w:rPr>
            </w:pPr>
            <w:r>
              <w:rPr>
                <w:rFonts w:ascii="Times New Roman" w:eastAsia="仿宋"/>
                <w:szCs w:val="21"/>
              </w:rPr>
              <w:t>6.2</w:t>
            </w:r>
          </w:p>
        </w:tc>
        <w:tc>
          <w:tcPr>
            <w:tcW w:w="201" w:type="pct"/>
            <w:vAlign w:val="center"/>
          </w:tcPr>
          <w:p w14:paraId="79B8AC3E">
            <w:pPr>
              <w:spacing w:line="320" w:lineRule="exact"/>
              <w:jc w:val="center"/>
              <w:rPr>
                <w:rFonts w:ascii="Times New Roman" w:eastAsia="仿宋"/>
                <w:szCs w:val="21"/>
              </w:rPr>
            </w:pPr>
            <w:r>
              <w:rPr>
                <w:rFonts w:ascii="Times New Roman" w:eastAsia="仿宋"/>
                <w:szCs w:val="21"/>
              </w:rPr>
              <w:t>3.1</w:t>
            </w:r>
          </w:p>
        </w:tc>
        <w:tc>
          <w:tcPr>
            <w:tcW w:w="277" w:type="pct"/>
            <w:vAlign w:val="center"/>
          </w:tcPr>
          <w:p w14:paraId="7215904B">
            <w:pPr>
              <w:spacing w:line="320" w:lineRule="exact"/>
              <w:jc w:val="center"/>
              <w:rPr>
                <w:rFonts w:ascii="Times New Roman" w:eastAsia="仿宋"/>
                <w:szCs w:val="21"/>
              </w:rPr>
            </w:pPr>
            <w:r>
              <w:rPr>
                <w:rFonts w:ascii="Times New Roman" w:eastAsia="仿宋"/>
                <w:szCs w:val="21"/>
              </w:rPr>
              <w:t>2.6</w:t>
            </w:r>
          </w:p>
        </w:tc>
        <w:tc>
          <w:tcPr>
            <w:tcW w:w="277" w:type="pct"/>
            <w:vAlign w:val="center"/>
          </w:tcPr>
          <w:p w14:paraId="714F9116">
            <w:pPr>
              <w:spacing w:line="320" w:lineRule="exact"/>
              <w:jc w:val="center"/>
              <w:rPr>
                <w:rFonts w:ascii="Times New Roman" w:eastAsia="仿宋"/>
                <w:szCs w:val="21"/>
              </w:rPr>
            </w:pPr>
            <w:r>
              <w:rPr>
                <w:rFonts w:ascii="Times New Roman" w:eastAsia="仿宋"/>
                <w:szCs w:val="21"/>
              </w:rPr>
              <w:t>3.1</w:t>
            </w:r>
          </w:p>
        </w:tc>
        <w:tc>
          <w:tcPr>
            <w:tcW w:w="347" w:type="pct"/>
            <w:vAlign w:val="center"/>
          </w:tcPr>
          <w:p w14:paraId="76BC72DA">
            <w:pPr>
              <w:spacing w:line="320" w:lineRule="exact"/>
              <w:jc w:val="center"/>
              <w:rPr>
                <w:rFonts w:ascii="Times New Roman" w:eastAsia="仿宋"/>
                <w:szCs w:val="21"/>
              </w:rPr>
            </w:pPr>
            <w:r>
              <w:rPr>
                <w:rFonts w:ascii="Times New Roman" w:eastAsia="仿宋"/>
                <w:szCs w:val="21"/>
              </w:rPr>
              <w:t>3.9</w:t>
            </w:r>
          </w:p>
        </w:tc>
        <w:tc>
          <w:tcPr>
            <w:tcW w:w="208" w:type="pct"/>
            <w:vAlign w:val="center"/>
          </w:tcPr>
          <w:p w14:paraId="0B482E52">
            <w:pPr>
              <w:spacing w:line="320" w:lineRule="exact"/>
              <w:jc w:val="center"/>
              <w:rPr>
                <w:rFonts w:ascii="Times New Roman" w:eastAsia="仿宋"/>
                <w:szCs w:val="21"/>
              </w:rPr>
            </w:pPr>
            <w:r>
              <w:rPr>
                <w:rFonts w:ascii="Times New Roman" w:eastAsia="仿宋"/>
                <w:szCs w:val="21"/>
              </w:rPr>
              <w:t>5.4</w:t>
            </w:r>
          </w:p>
        </w:tc>
        <w:tc>
          <w:tcPr>
            <w:tcW w:w="347" w:type="pct"/>
            <w:vAlign w:val="center"/>
          </w:tcPr>
          <w:p w14:paraId="00AC02F5">
            <w:pPr>
              <w:spacing w:line="320" w:lineRule="exact"/>
              <w:jc w:val="center"/>
              <w:rPr>
                <w:rFonts w:ascii="Times New Roman" w:eastAsia="仿宋"/>
                <w:szCs w:val="21"/>
              </w:rPr>
            </w:pPr>
            <w:r>
              <w:rPr>
                <w:rFonts w:ascii="Times New Roman" w:eastAsia="仿宋"/>
                <w:szCs w:val="21"/>
              </w:rPr>
              <w:t>4.4</w:t>
            </w:r>
          </w:p>
        </w:tc>
        <w:tc>
          <w:tcPr>
            <w:tcW w:w="277" w:type="pct"/>
            <w:vAlign w:val="center"/>
          </w:tcPr>
          <w:p w14:paraId="3A2654B2">
            <w:pPr>
              <w:spacing w:line="320" w:lineRule="exact"/>
              <w:jc w:val="center"/>
              <w:rPr>
                <w:rFonts w:ascii="Times New Roman" w:eastAsia="仿宋"/>
                <w:szCs w:val="21"/>
              </w:rPr>
            </w:pPr>
            <w:r>
              <w:rPr>
                <w:rFonts w:ascii="Times New Roman" w:eastAsia="仿宋"/>
                <w:szCs w:val="21"/>
              </w:rPr>
              <w:t>4.4</w:t>
            </w:r>
          </w:p>
        </w:tc>
        <w:tc>
          <w:tcPr>
            <w:tcW w:w="347" w:type="pct"/>
            <w:vAlign w:val="center"/>
          </w:tcPr>
          <w:p w14:paraId="217C2D75">
            <w:pPr>
              <w:spacing w:line="320" w:lineRule="exact"/>
              <w:jc w:val="center"/>
              <w:rPr>
                <w:rFonts w:ascii="Times New Roman" w:eastAsia="仿宋"/>
                <w:szCs w:val="21"/>
              </w:rPr>
            </w:pPr>
            <w:r>
              <w:rPr>
                <w:rFonts w:ascii="Times New Roman" w:eastAsia="仿宋"/>
                <w:szCs w:val="21"/>
              </w:rPr>
              <w:t>6.0</w:t>
            </w:r>
          </w:p>
        </w:tc>
        <w:tc>
          <w:tcPr>
            <w:tcW w:w="224" w:type="pct"/>
            <w:vAlign w:val="center"/>
          </w:tcPr>
          <w:p w14:paraId="227455C7">
            <w:pPr>
              <w:spacing w:line="320" w:lineRule="exact"/>
              <w:jc w:val="center"/>
              <w:rPr>
                <w:rFonts w:ascii="Times New Roman" w:eastAsia="仿宋"/>
                <w:szCs w:val="21"/>
              </w:rPr>
            </w:pPr>
            <w:r>
              <w:rPr>
                <w:rFonts w:ascii="Times New Roman" w:eastAsia="仿宋"/>
                <w:szCs w:val="21"/>
              </w:rPr>
              <w:t>4.2</w:t>
            </w:r>
          </w:p>
        </w:tc>
      </w:tr>
    </w:tbl>
    <w:p w14:paraId="181DFFC0">
      <w:pPr>
        <w:widowControl/>
        <w:jc w:val="center"/>
        <w:rPr>
          <w:rFonts w:ascii="Times New Roman" w:eastAsia="仿宋"/>
        </w:rPr>
      </w:pPr>
      <w:r>
        <w:rPr>
          <w:rFonts w:hint="eastAsia" w:ascii="Times New Roman" w:eastAsia="仿宋"/>
        </w:rPr>
        <w:drawing>
          <wp:inline distT="0" distB="0" distL="0" distR="0">
            <wp:extent cx="3935730" cy="3355340"/>
            <wp:effectExtent l="0" t="0" r="0" b="0"/>
            <wp:docPr id="27" name="图片 73" descr="169684759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3" descr="16968475967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935730" cy="3355340"/>
                    </a:xfrm>
                    <a:prstGeom prst="rect">
                      <a:avLst/>
                    </a:prstGeom>
                    <a:noFill/>
                    <a:ln>
                      <a:noFill/>
                    </a:ln>
                  </pic:spPr>
                </pic:pic>
              </a:graphicData>
            </a:graphic>
          </wp:inline>
        </w:drawing>
      </w:r>
    </w:p>
    <w:p w14:paraId="3D502741">
      <w:pPr>
        <w:widowControl/>
        <w:spacing w:line="500" w:lineRule="exact"/>
        <w:ind w:firstLine="482" w:firstLineChars="200"/>
        <w:jc w:val="center"/>
        <w:rPr>
          <w:rFonts w:ascii="Times New Roman" w:eastAsia="仿宋"/>
          <w:b/>
          <w:bCs/>
          <w:szCs w:val="21"/>
        </w:rPr>
      </w:pPr>
      <w:r>
        <w:rPr>
          <w:rFonts w:ascii="Times New Roman" w:eastAsia="仿宋"/>
          <w:b/>
          <w:bCs/>
          <w:szCs w:val="21"/>
        </w:rPr>
        <w:t>图5.2-1  常州风向玫瑰图（静风频率4.2%）</w:t>
      </w:r>
    </w:p>
    <w:p w14:paraId="0150D8A0">
      <w:pPr>
        <w:widowControl/>
        <w:spacing w:line="500" w:lineRule="exact"/>
        <w:ind w:firstLine="560" w:firstLineChars="200"/>
        <w:jc w:val="left"/>
        <w:rPr>
          <w:rFonts w:ascii="Times New Roman" w:eastAsia="仿宋"/>
          <w:sz w:val="28"/>
          <w:szCs w:val="28"/>
        </w:rPr>
      </w:pPr>
      <w:r>
        <w:rPr>
          <w:rFonts w:ascii="Times New Roman" w:eastAsia="仿宋"/>
          <w:sz w:val="28"/>
          <w:szCs w:val="28"/>
        </w:rPr>
        <w:t>各月风向频率如下：</w:t>
      </w:r>
    </w:p>
    <w:p w14:paraId="089E6831">
      <w:pPr>
        <w:widowControl/>
        <w:spacing w:line="500" w:lineRule="exact"/>
        <w:ind w:firstLine="482" w:firstLineChars="200"/>
        <w:jc w:val="center"/>
        <w:rPr>
          <w:rFonts w:ascii="Times New Roman" w:eastAsia="仿宋"/>
          <w:b/>
          <w:bCs/>
          <w:szCs w:val="21"/>
        </w:rPr>
        <w:sectPr>
          <w:footerReference r:id="rId21" w:type="default"/>
          <w:pgSz w:w="11906" w:h="16838"/>
          <w:pgMar w:top="1843" w:right="1616" w:bottom="1440" w:left="1680" w:header="1191" w:footer="992" w:gutter="0"/>
          <w:cols w:space="720" w:num="1"/>
          <w:docGrid w:linePitch="312" w:charSpace="0"/>
        </w:sectPr>
      </w:pPr>
    </w:p>
    <w:p w14:paraId="040CD08D">
      <w:pPr>
        <w:widowControl/>
        <w:spacing w:line="500" w:lineRule="exact"/>
        <w:ind w:firstLine="482" w:firstLineChars="200"/>
        <w:jc w:val="center"/>
        <w:rPr>
          <w:rFonts w:ascii="Times New Roman" w:eastAsia="仿宋"/>
          <w:b/>
          <w:bCs/>
          <w:szCs w:val="21"/>
        </w:rPr>
      </w:pPr>
      <w:r>
        <w:rPr>
          <w:rFonts w:ascii="Times New Roman" w:eastAsia="仿宋"/>
          <w:b/>
          <w:bCs/>
          <w:szCs w:val="21"/>
        </w:rPr>
        <w:t>表5.2-4  常州气象站月风向频率统计（单位：%）</w:t>
      </w:r>
    </w:p>
    <w:tbl>
      <w:tblPr>
        <w:tblStyle w:val="8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9"/>
        <w:gridCol w:w="583"/>
        <w:gridCol w:w="867"/>
        <w:gridCol w:w="713"/>
        <w:gridCol w:w="792"/>
        <w:gridCol w:w="636"/>
        <w:gridCol w:w="776"/>
        <w:gridCol w:w="636"/>
        <w:gridCol w:w="721"/>
        <w:gridCol w:w="583"/>
        <w:gridCol w:w="806"/>
        <w:gridCol w:w="660"/>
        <w:gridCol w:w="922"/>
        <w:gridCol w:w="636"/>
        <w:gridCol w:w="964"/>
        <w:gridCol w:w="705"/>
        <w:gridCol w:w="893"/>
        <w:gridCol w:w="579"/>
      </w:tblGrid>
      <w:tr w14:paraId="0515E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top w:val="single" w:color="000000" w:sz="6" w:space="0"/>
              <w:bottom w:val="single" w:color="000000" w:sz="12" w:space="0"/>
              <w:right w:val="single" w:color="000000" w:sz="12" w:space="0"/>
            </w:tcBorders>
            <w:shd w:val="clear" w:color="auto" w:fill="FFFFFF"/>
            <w:vAlign w:val="center"/>
          </w:tcPr>
          <w:p w14:paraId="4F3F8B00">
            <w:pPr>
              <w:contextualSpacing/>
              <w:jc w:val="center"/>
              <w:rPr>
                <w:rFonts w:ascii="Times New Roman" w:eastAsia="仿宋"/>
                <w:szCs w:val="21"/>
              </w:rPr>
            </w:pPr>
            <w:r>
              <w:rPr>
                <w:rFonts w:ascii="Times New Roman" w:eastAsia="仿宋"/>
                <w:szCs w:val="21"/>
              </w:rPr>
              <w:t>风向频率</w:t>
            </w:r>
          </w:p>
        </w:tc>
        <w:tc>
          <w:tcPr>
            <w:tcW w:w="215" w:type="pct"/>
            <w:tcBorders>
              <w:top w:val="single" w:color="000000" w:sz="6" w:space="0"/>
              <w:bottom w:val="single" w:color="000000" w:sz="12" w:space="0"/>
            </w:tcBorders>
            <w:vAlign w:val="center"/>
          </w:tcPr>
          <w:p w14:paraId="13F335F2">
            <w:pPr>
              <w:contextualSpacing/>
              <w:jc w:val="center"/>
              <w:rPr>
                <w:rFonts w:ascii="Times New Roman" w:eastAsia="仿宋"/>
                <w:szCs w:val="21"/>
              </w:rPr>
            </w:pPr>
            <w:r>
              <w:rPr>
                <w:rFonts w:ascii="Times New Roman" w:eastAsia="仿宋"/>
                <w:szCs w:val="21"/>
              </w:rPr>
              <w:t>N</w:t>
            </w:r>
          </w:p>
        </w:tc>
        <w:tc>
          <w:tcPr>
            <w:tcW w:w="318" w:type="pct"/>
            <w:tcBorders>
              <w:top w:val="single" w:color="000000" w:sz="6" w:space="0"/>
              <w:bottom w:val="single" w:color="000000" w:sz="12" w:space="0"/>
            </w:tcBorders>
            <w:vAlign w:val="center"/>
          </w:tcPr>
          <w:p w14:paraId="26CF80F4">
            <w:pPr>
              <w:contextualSpacing/>
              <w:jc w:val="center"/>
              <w:rPr>
                <w:rFonts w:ascii="Times New Roman" w:eastAsia="仿宋"/>
                <w:szCs w:val="21"/>
              </w:rPr>
            </w:pPr>
            <w:r>
              <w:rPr>
                <w:rFonts w:ascii="Times New Roman" w:eastAsia="仿宋"/>
                <w:szCs w:val="21"/>
              </w:rPr>
              <w:t>NNE</w:t>
            </w:r>
          </w:p>
        </w:tc>
        <w:tc>
          <w:tcPr>
            <w:tcW w:w="262" w:type="pct"/>
            <w:tcBorders>
              <w:top w:val="single" w:color="000000" w:sz="6" w:space="0"/>
              <w:bottom w:val="single" w:color="000000" w:sz="12" w:space="0"/>
            </w:tcBorders>
            <w:vAlign w:val="center"/>
          </w:tcPr>
          <w:p w14:paraId="0439C693">
            <w:pPr>
              <w:contextualSpacing/>
              <w:jc w:val="center"/>
              <w:rPr>
                <w:rFonts w:ascii="Times New Roman" w:eastAsia="仿宋"/>
                <w:szCs w:val="21"/>
              </w:rPr>
            </w:pPr>
            <w:r>
              <w:rPr>
                <w:rFonts w:ascii="Times New Roman" w:eastAsia="仿宋"/>
                <w:szCs w:val="21"/>
              </w:rPr>
              <w:t>NE</w:t>
            </w:r>
          </w:p>
        </w:tc>
        <w:tc>
          <w:tcPr>
            <w:tcW w:w="291" w:type="pct"/>
            <w:tcBorders>
              <w:top w:val="single" w:color="000000" w:sz="6" w:space="0"/>
              <w:bottom w:val="single" w:color="000000" w:sz="12" w:space="0"/>
            </w:tcBorders>
            <w:vAlign w:val="center"/>
          </w:tcPr>
          <w:p w14:paraId="2748FBBA">
            <w:pPr>
              <w:contextualSpacing/>
              <w:jc w:val="center"/>
              <w:rPr>
                <w:rFonts w:ascii="Times New Roman" w:eastAsia="仿宋"/>
                <w:szCs w:val="21"/>
              </w:rPr>
            </w:pPr>
            <w:r>
              <w:rPr>
                <w:rFonts w:ascii="Times New Roman" w:eastAsia="仿宋"/>
                <w:szCs w:val="21"/>
              </w:rPr>
              <w:t>ENE</w:t>
            </w:r>
          </w:p>
        </w:tc>
        <w:tc>
          <w:tcPr>
            <w:tcW w:w="215" w:type="pct"/>
            <w:tcBorders>
              <w:top w:val="single" w:color="000000" w:sz="6" w:space="0"/>
              <w:bottom w:val="single" w:color="000000" w:sz="12" w:space="0"/>
            </w:tcBorders>
            <w:vAlign w:val="center"/>
          </w:tcPr>
          <w:p w14:paraId="7F28B6D4">
            <w:pPr>
              <w:contextualSpacing/>
              <w:jc w:val="center"/>
              <w:rPr>
                <w:rFonts w:ascii="Times New Roman" w:eastAsia="仿宋"/>
                <w:szCs w:val="21"/>
              </w:rPr>
            </w:pPr>
            <w:r>
              <w:rPr>
                <w:rFonts w:ascii="Times New Roman" w:eastAsia="仿宋"/>
                <w:szCs w:val="21"/>
              </w:rPr>
              <w:t>E</w:t>
            </w:r>
          </w:p>
        </w:tc>
        <w:tc>
          <w:tcPr>
            <w:tcW w:w="285" w:type="pct"/>
            <w:tcBorders>
              <w:top w:val="single" w:color="000000" w:sz="6" w:space="0"/>
              <w:bottom w:val="single" w:color="000000" w:sz="12" w:space="0"/>
            </w:tcBorders>
            <w:vAlign w:val="center"/>
          </w:tcPr>
          <w:p w14:paraId="7D785527">
            <w:pPr>
              <w:contextualSpacing/>
              <w:jc w:val="center"/>
              <w:rPr>
                <w:rFonts w:ascii="Times New Roman" w:eastAsia="仿宋"/>
                <w:szCs w:val="21"/>
              </w:rPr>
            </w:pPr>
            <w:r>
              <w:rPr>
                <w:rFonts w:ascii="Times New Roman" w:eastAsia="仿宋"/>
                <w:szCs w:val="21"/>
              </w:rPr>
              <w:t>ESE</w:t>
            </w:r>
          </w:p>
        </w:tc>
        <w:tc>
          <w:tcPr>
            <w:tcW w:w="215" w:type="pct"/>
            <w:tcBorders>
              <w:top w:val="single" w:color="000000" w:sz="6" w:space="0"/>
              <w:bottom w:val="single" w:color="000000" w:sz="12" w:space="0"/>
            </w:tcBorders>
            <w:vAlign w:val="center"/>
          </w:tcPr>
          <w:p w14:paraId="4ED85BCF">
            <w:pPr>
              <w:contextualSpacing/>
              <w:jc w:val="center"/>
              <w:rPr>
                <w:rFonts w:ascii="Times New Roman" w:eastAsia="仿宋"/>
                <w:szCs w:val="21"/>
              </w:rPr>
            </w:pPr>
            <w:r>
              <w:rPr>
                <w:rFonts w:ascii="Times New Roman" w:eastAsia="仿宋"/>
                <w:szCs w:val="21"/>
              </w:rPr>
              <w:t>SE</w:t>
            </w:r>
          </w:p>
        </w:tc>
        <w:tc>
          <w:tcPr>
            <w:tcW w:w="265" w:type="pct"/>
            <w:tcBorders>
              <w:top w:val="single" w:color="000000" w:sz="6" w:space="0"/>
              <w:bottom w:val="single" w:color="000000" w:sz="12" w:space="0"/>
            </w:tcBorders>
            <w:vAlign w:val="center"/>
          </w:tcPr>
          <w:p w14:paraId="06057FEE">
            <w:pPr>
              <w:contextualSpacing/>
              <w:jc w:val="center"/>
              <w:rPr>
                <w:rFonts w:ascii="Times New Roman" w:eastAsia="仿宋"/>
                <w:szCs w:val="21"/>
              </w:rPr>
            </w:pPr>
            <w:r>
              <w:rPr>
                <w:rFonts w:ascii="Times New Roman" w:eastAsia="仿宋"/>
                <w:szCs w:val="21"/>
              </w:rPr>
              <w:t>SSE</w:t>
            </w:r>
          </w:p>
        </w:tc>
        <w:tc>
          <w:tcPr>
            <w:tcW w:w="215" w:type="pct"/>
            <w:tcBorders>
              <w:top w:val="single" w:color="000000" w:sz="6" w:space="0"/>
              <w:bottom w:val="single" w:color="000000" w:sz="12" w:space="0"/>
            </w:tcBorders>
            <w:vAlign w:val="center"/>
          </w:tcPr>
          <w:p w14:paraId="456B81C5">
            <w:pPr>
              <w:contextualSpacing/>
              <w:jc w:val="center"/>
              <w:rPr>
                <w:rFonts w:ascii="Times New Roman" w:eastAsia="仿宋"/>
                <w:szCs w:val="21"/>
              </w:rPr>
            </w:pPr>
            <w:r>
              <w:rPr>
                <w:rFonts w:ascii="Times New Roman" w:eastAsia="仿宋"/>
                <w:szCs w:val="21"/>
              </w:rPr>
              <w:t>S</w:t>
            </w:r>
          </w:p>
        </w:tc>
        <w:tc>
          <w:tcPr>
            <w:tcW w:w="296" w:type="pct"/>
            <w:tcBorders>
              <w:top w:val="single" w:color="000000" w:sz="6" w:space="0"/>
              <w:bottom w:val="single" w:color="000000" w:sz="12" w:space="0"/>
            </w:tcBorders>
            <w:vAlign w:val="center"/>
          </w:tcPr>
          <w:p w14:paraId="41640E0A">
            <w:pPr>
              <w:contextualSpacing/>
              <w:jc w:val="center"/>
              <w:rPr>
                <w:rFonts w:ascii="Times New Roman" w:eastAsia="仿宋"/>
                <w:szCs w:val="21"/>
              </w:rPr>
            </w:pPr>
            <w:r>
              <w:rPr>
                <w:rFonts w:ascii="Times New Roman" w:eastAsia="仿宋"/>
                <w:szCs w:val="21"/>
              </w:rPr>
              <w:t>SSW</w:t>
            </w:r>
          </w:p>
        </w:tc>
        <w:tc>
          <w:tcPr>
            <w:tcW w:w="243" w:type="pct"/>
            <w:tcBorders>
              <w:top w:val="single" w:color="000000" w:sz="6" w:space="0"/>
              <w:bottom w:val="single" w:color="000000" w:sz="12" w:space="0"/>
            </w:tcBorders>
            <w:vAlign w:val="center"/>
          </w:tcPr>
          <w:p w14:paraId="332561BD">
            <w:pPr>
              <w:contextualSpacing/>
              <w:jc w:val="center"/>
              <w:rPr>
                <w:rFonts w:ascii="Times New Roman" w:eastAsia="仿宋"/>
                <w:szCs w:val="21"/>
              </w:rPr>
            </w:pPr>
            <w:r>
              <w:rPr>
                <w:rFonts w:ascii="Times New Roman" w:eastAsia="仿宋"/>
                <w:szCs w:val="21"/>
              </w:rPr>
              <w:t>SW</w:t>
            </w:r>
          </w:p>
        </w:tc>
        <w:tc>
          <w:tcPr>
            <w:tcW w:w="338" w:type="pct"/>
            <w:tcBorders>
              <w:top w:val="single" w:color="000000" w:sz="6" w:space="0"/>
              <w:bottom w:val="single" w:color="000000" w:sz="12" w:space="0"/>
            </w:tcBorders>
            <w:vAlign w:val="center"/>
          </w:tcPr>
          <w:p w14:paraId="21F680F6">
            <w:pPr>
              <w:contextualSpacing/>
              <w:jc w:val="center"/>
              <w:rPr>
                <w:rFonts w:ascii="Times New Roman" w:eastAsia="仿宋"/>
                <w:szCs w:val="21"/>
              </w:rPr>
            </w:pPr>
            <w:r>
              <w:rPr>
                <w:rFonts w:ascii="Times New Roman" w:eastAsia="仿宋"/>
                <w:szCs w:val="21"/>
              </w:rPr>
              <w:t>WSW</w:t>
            </w:r>
          </w:p>
        </w:tc>
        <w:tc>
          <w:tcPr>
            <w:tcW w:w="215" w:type="pct"/>
            <w:tcBorders>
              <w:top w:val="single" w:color="000000" w:sz="6" w:space="0"/>
              <w:bottom w:val="single" w:color="000000" w:sz="12" w:space="0"/>
            </w:tcBorders>
            <w:vAlign w:val="center"/>
          </w:tcPr>
          <w:p w14:paraId="006E1950">
            <w:pPr>
              <w:contextualSpacing/>
              <w:jc w:val="center"/>
              <w:rPr>
                <w:rFonts w:ascii="Times New Roman" w:eastAsia="仿宋"/>
                <w:szCs w:val="21"/>
              </w:rPr>
            </w:pPr>
            <w:r>
              <w:rPr>
                <w:rFonts w:ascii="Times New Roman" w:eastAsia="仿宋"/>
                <w:szCs w:val="21"/>
              </w:rPr>
              <w:t>W</w:t>
            </w:r>
          </w:p>
        </w:tc>
        <w:tc>
          <w:tcPr>
            <w:tcW w:w="353" w:type="pct"/>
            <w:tcBorders>
              <w:top w:val="single" w:color="000000" w:sz="6" w:space="0"/>
              <w:bottom w:val="single" w:color="000000" w:sz="12" w:space="0"/>
            </w:tcBorders>
            <w:vAlign w:val="center"/>
          </w:tcPr>
          <w:p w14:paraId="1492D512">
            <w:pPr>
              <w:contextualSpacing/>
              <w:jc w:val="center"/>
              <w:rPr>
                <w:rFonts w:ascii="Times New Roman" w:eastAsia="仿宋"/>
                <w:szCs w:val="21"/>
              </w:rPr>
            </w:pPr>
            <w:r>
              <w:rPr>
                <w:rFonts w:ascii="Times New Roman" w:eastAsia="仿宋"/>
                <w:szCs w:val="21"/>
              </w:rPr>
              <w:t>WNW</w:t>
            </w:r>
          </w:p>
        </w:tc>
        <w:tc>
          <w:tcPr>
            <w:tcW w:w="259" w:type="pct"/>
            <w:tcBorders>
              <w:top w:val="single" w:color="000000" w:sz="6" w:space="0"/>
              <w:bottom w:val="single" w:color="000000" w:sz="12" w:space="0"/>
            </w:tcBorders>
            <w:vAlign w:val="center"/>
          </w:tcPr>
          <w:p w14:paraId="5C5E62B7">
            <w:pPr>
              <w:contextualSpacing/>
              <w:jc w:val="center"/>
              <w:rPr>
                <w:rFonts w:ascii="Times New Roman" w:eastAsia="仿宋"/>
                <w:szCs w:val="21"/>
              </w:rPr>
            </w:pPr>
            <w:r>
              <w:rPr>
                <w:rFonts w:ascii="Times New Roman" w:eastAsia="仿宋"/>
                <w:szCs w:val="21"/>
              </w:rPr>
              <w:t>NW</w:t>
            </w:r>
          </w:p>
        </w:tc>
        <w:tc>
          <w:tcPr>
            <w:tcW w:w="327" w:type="pct"/>
            <w:tcBorders>
              <w:top w:val="single" w:color="000000" w:sz="6" w:space="0"/>
              <w:bottom w:val="single" w:color="000000" w:sz="12" w:space="0"/>
            </w:tcBorders>
            <w:vAlign w:val="center"/>
          </w:tcPr>
          <w:p w14:paraId="57760FB0">
            <w:pPr>
              <w:contextualSpacing/>
              <w:jc w:val="center"/>
              <w:rPr>
                <w:rFonts w:ascii="Times New Roman" w:eastAsia="仿宋"/>
                <w:szCs w:val="21"/>
              </w:rPr>
            </w:pPr>
            <w:r>
              <w:rPr>
                <w:rFonts w:ascii="Times New Roman" w:eastAsia="仿宋"/>
                <w:szCs w:val="21"/>
              </w:rPr>
              <w:t>NNW</w:t>
            </w:r>
          </w:p>
        </w:tc>
        <w:tc>
          <w:tcPr>
            <w:tcW w:w="215" w:type="pct"/>
            <w:tcBorders>
              <w:top w:val="single" w:color="000000" w:sz="6" w:space="0"/>
              <w:left w:val="single" w:color="000000" w:sz="12" w:space="0"/>
              <w:bottom w:val="single" w:color="000000" w:sz="12" w:space="0"/>
            </w:tcBorders>
            <w:vAlign w:val="center"/>
          </w:tcPr>
          <w:p w14:paraId="553B1EE5">
            <w:pPr>
              <w:contextualSpacing/>
              <w:jc w:val="center"/>
              <w:rPr>
                <w:rFonts w:ascii="Times New Roman" w:eastAsia="仿宋"/>
                <w:szCs w:val="21"/>
              </w:rPr>
            </w:pPr>
            <w:r>
              <w:rPr>
                <w:rFonts w:ascii="Times New Roman" w:eastAsia="仿宋"/>
                <w:szCs w:val="21"/>
              </w:rPr>
              <w:t>C</w:t>
            </w:r>
          </w:p>
        </w:tc>
      </w:tr>
      <w:tr w14:paraId="6FC04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0CEAC2EC">
            <w:pPr>
              <w:contextualSpacing/>
              <w:jc w:val="center"/>
              <w:rPr>
                <w:rFonts w:ascii="Times New Roman" w:eastAsia="仿宋"/>
                <w:szCs w:val="21"/>
              </w:rPr>
            </w:pPr>
            <w:r>
              <w:rPr>
                <w:rFonts w:ascii="Times New Roman" w:eastAsia="仿宋"/>
                <w:szCs w:val="21"/>
              </w:rPr>
              <w:t>01</w:t>
            </w:r>
          </w:p>
        </w:tc>
        <w:tc>
          <w:tcPr>
            <w:tcW w:w="215" w:type="pct"/>
            <w:vAlign w:val="center"/>
          </w:tcPr>
          <w:p w14:paraId="71AB2275">
            <w:pPr>
              <w:contextualSpacing/>
              <w:jc w:val="center"/>
              <w:rPr>
                <w:rFonts w:ascii="Times New Roman" w:eastAsia="仿宋"/>
                <w:szCs w:val="21"/>
              </w:rPr>
            </w:pPr>
            <w:r>
              <w:rPr>
                <w:rFonts w:ascii="Times New Roman" w:eastAsia="仿宋"/>
                <w:szCs w:val="21"/>
              </w:rPr>
              <w:t>8.1</w:t>
            </w:r>
          </w:p>
        </w:tc>
        <w:tc>
          <w:tcPr>
            <w:tcW w:w="318" w:type="pct"/>
            <w:vAlign w:val="center"/>
          </w:tcPr>
          <w:p w14:paraId="7FCA9B3D">
            <w:pPr>
              <w:contextualSpacing/>
              <w:jc w:val="center"/>
              <w:rPr>
                <w:rFonts w:ascii="Times New Roman" w:eastAsia="仿宋"/>
                <w:szCs w:val="21"/>
              </w:rPr>
            </w:pPr>
            <w:r>
              <w:rPr>
                <w:rFonts w:ascii="Times New Roman" w:eastAsia="仿宋"/>
                <w:szCs w:val="21"/>
              </w:rPr>
              <w:t>12.1</w:t>
            </w:r>
          </w:p>
        </w:tc>
        <w:tc>
          <w:tcPr>
            <w:tcW w:w="262" w:type="pct"/>
            <w:vAlign w:val="center"/>
          </w:tcPr>
          <w:p w14:paraId="6596940F">
            <w:pPr>
              <w:contextualSpacing/>
              <w:jc w:val="center"/>
              <w:rPr>
                <w:rFonts w:ascii="Times New Roman" w:eastAsia="仿宋"/>
                <w:szCs w:val="21"/>
              </w:rPr>
            </w:pPr>
            <w:r>
              <w:rPr>
                <w:rFonts w:ascii="Times New Roman" w:eastAsia="仿宋"/>
                <w:szCs w:val="21"/>
              </w:rPr>
              <w:t>8.5</w:t>
            </w:r>
          </w:p>
        </w:tc>
        <w:tc>
          <w:tcPr>
            <w:tcW w:w="291" w:type="pct"/>
            <w:vAlign w:val="center"/>
          </w:tcPr>
          <w:p w14:paraId="4CFD24E5">
            <w:pPr>
              <w:contextualSpacing/>
              <w:jc w:val="center"/>
              <w:rPr>
                <w:rFonts w:ascii="Times New Roman" w:eastAsia="仿宋"/>
                <w:szCs w:val="21"/>
              </w:rPr>
            </w:pPr>
            <w:r>
              <w:rPr>
                <w:rFonts w:ascii="Times New Roman" w:eastAsia="仿宋"/>
                <w:szCs w:val="21"/>
              </w:rPr>
              <w:t>6.3</w:t>
            </w:r>
          </w:p>
        </w:tc>
        <w:tc>
          <w:tcPr>
            <w:tcW w:w="215" w:type="pct"/>
            <w:vAlign w:val="center"/>
          </w:tcPr>
          <w:p w14:paraId="527C353C">
            <w:pPr>
              <w:contextualSpacing/>
              <w:jc w:val="center"/>
              <w:rPr>
                <w:rFonts w:ascii="Times New Roman" w:eastAsia="仿宋"/>
                <w:szCs w:val="21"/>
              </w:rPr>
            </w:pPr>
            <w:r>
              <w:rPr>
                <w:rFonts w:ascii="Times New Roman" w:eastAsia="仿宋"/>
                <w:szCs w:val="21"/>
              </w:rPr>
              <w:t>5.6</w:t>
            </w:r>
          </w:p>
        </w:tc>
        <w:tc>
          <w:tcPr>
            <w:tcW w:w="285" w:type="pct"/>
            <w:vAlign w:val="center"/>
          </w:tcPr>
          <w:p w14:paraId="5E9A2B6D">
            <w:pPr>
              <w:contextualSpacing/>
              <w:jc w:val="center"/>
              <w:rPr>
                <w:rFonts w:ascii="Times New Roman" w:eastAsia="仿宋"/>
                <w:szCs w:val="21"/>
              </w:rPr>
            </w:pPr>
            <w:r>
              <w:rPr>
                <w:rFonts w:ascii="Times New Roman" w:eastAsia="仿宋"/>
                <w:szCs w:val="21"/>
              </w:rPr>
              <w:t>7.6</w:t>
            </w:r>
          </w:p>
        </w:tc>
        <w:tc>
          <w:tcPr>
            <w:tcW w:w="215" w:type="pct"/>
            <w:vAlign w:val="center"/>
          </w:tcPr>
          <w:p w14:paraId="62DC9A0C">
            <w:pPr>
              <w:contextualSpacing/>
              <w:jc w:val="center"/>
              <w:rPr>
                <w:rFonts w:ascii="Times New Roman" w:eastAsia="仿宋"/>
                <w:szCs w:val="21"/>
              </w:rPr>
            </w:pPr>
            <w:r>
              <w:rPr>
                <w:rFonts w:ascii="Times New Roman" w:eastAsia="仿宋"/>
                <w:szCs w:val="21"/>
              </w:rPr>
              <w:t>4.3</w:t>
            </w:r>
          </w:p>
        </w:tc>
        <w:tc>
          <w:tcPr>
            <w:tcW w:w="265" w:type="pct"/>
            <w:vAlign w:val="center"/>
          </w:tcPr>
          <w:p w14:paraId="396343CD">
            <w:pPr>
              <w:contextualSpacing/>
              <w:jc w:val="center"/>
              <w:rPr>
                <w:rFonts w:ascii="Times New Roman" w:eastAsia="仿宋"/>
                <w:szCs w:val="21"/>
              </w:rPr>
            </w:pPr>
            <w:r>
              <w:rPr>
                <w:rFonts w:ascii="Times New Roman" w:eastAsia="仿宋"/>
                <w:szCs w:val="21"/>
              </w:rPr>
              <w:t>3.2</w:t>
            </w:r>
          </w:p>
        </w:tc>
        <w:tc>
          <w:tcPr>
            <w:tcW w:w="215" w:type="pct"/>
            <w:vAlign w:val="center"/>
          </w:tcPr>
          <w:p w14:paraId="29B050FA">
            <w:pPr>
              <w:contextualSpacing/>
              <w:jc w:val="center"/>
              <w:rPr>
                <w:rFonts w:ascii="Times New Roman" w:eastAsia="仿宋"/>
                <w:szCs w:val="21"/>
              </w:rPr>
            </w:pPr>
            <w:r>
              <w:rPr>
                <w:rFonts w:ascii="Times New Roman" w:eastAsia="仿宋"/>
                <w:szCs w:val="21"/>
              </w:rPr>
              <w:t>1.8</w:t>
            </w:r>
          </w:p>
        </w:tc>
        <w:tc>
          <w:tcPr>
            <w:tcW w:w="296" w:type="pct"/>
            <w:vAlign w:val="center"/>
          </w:tcPr>
          <w:p w14:paraId="6BB9A2FE">
            <w:pPr>
              <w:contextualSpacing/>
              <w:jc w:val="center"/>
              <w:rPr>
                <w:rFonts w:ascii="Times New Roman" w:eastAsia="仿宋"/>
                <w:szCs w:val="21"/>
              </w:rPr>
            </w:pPr>
            <w:r>
              <w:rPr>
                <w:rFonts w:ascii="Times New Roman" w:eastAsia="仿宋"/>
                <w:szCs w:val="21"/>
              </w:rPr>
              <w:t>1.4</w:t>
            </w:r>
          </w:p>
        </w:tc>
        <w:tc>
          <w:tcPr>
            <w:tcW w:w="243" w:type="pct"/>
            <w:vAlign w:val="center"/>
          </w:tcPr>
          <w:p w14:paraId="445037C2">
            <w:pPr>
              <w:contextualSpacing/>
              <w:jc w:val="center"/>
              <w:rPr>
                <w:rFonts w:ascii="Times New Roman" w:eastAsia="仿宋"/>
                <w:szCs w:val="21"/>
              </w:rPr>
            </w:pPr>
            <w:r>
              <w:rPr>
                <w:rFonts w:ascii="Times New Roman" w:eastAsia="仿宋"/>
                <w:szCs w:val="21"/>
              </w:rPr>
              <w:t>2.0</w:t>
            </w:r>
          </w:p>
        </w:tc>
        <w:tc>
          <w:tcPr>
            <w:tcW w:w="338" w:type="pct"/>
            <w:vAlign w:val="center"/>
          </w:tcPr>
          <w:p w14:paraId="66909707">
            <w:pPr>
              <w:contextualSpacing/>
              <w:jc w:val="center"/>
              <w:rPr>
                <w:rFonts w:ascii="Times New Roman" w:eastAsia="仿宋"/>
                <w:szCs w:val="21"/>
              </w:rPr>
            </w:pPr>
            <w:r>
              <w:rPr>
                <w:rFonts w:ascii="Times New Roman" w:eastAsia="仿宋"/>
                <w:szCs w:val="21"/>
              </w:rPr>
              <w:t>4.1</w:t>
            </w:r>
          </w:p>
        </w:tc>
        <w:tc>
          <w:tcPr>
            <w:tcW w:w="215" w:type="pct"/>
            <w:vAlign w:val="center"/>
          </w:tcPr>
          <w:p w14:paraId="74F1CCB9">
            <w:pPr>
              <w:contextualSpacing/>
              <w:jc w:val="center"/>
              <w:rPr>
                <w:rFonts w:ascii="Times New Roman" w:eastAsia="仿宋"/>
                <w:szCs w:val="21"/>
              </w:rPr>
            </w:pPr>
            <w:r>
              <w:rPr>
                <w:rFonts w:ascii="Times New Roman" w:eastAsia="仿宋"/>
                <w:szCs w:val="21"/>
              </w:rPr>
              <w:t>8.5</w:t>
            </w:r>
          </w:p>
        </w:tc>
        <w:tc>
          <w:tcPr>
            <w:tcW w:w="353" w:type="pct"/>
            <w:vAlign w:val="center"/>
          </w:tcPr>
          <w:p w14:paraId="649E119B">
            <w:pPr>
              <w:contextualSpacing/>
              <w:jc w:val="center"/>
              <w:rPr>
                <w:rFonts w:ascii="Times New Roman" w:eastAsia="仿宋"/>
                <w:szCs w:val="21"/>
              </w:rPr>
            </w:pPr>
            <w:r>
              <w:rPr>
                <w:rFonts w:ascii="Times New Roman" w:eastAsia="仿宋"/>
                <w:szCs w:val="21"/>
              </w:rPr>
              <w:t>5.9</w:t>
            </w:r>
          </w:p>
        </w:tc>
        <w:tc>
          <w:tcPr>
            <w:tcW w:w="259" w:type="pct"/>
            <w:vAlign w:val="center"/>
          </w:tcPr>
          <w:p w14:paraId="4589AC4A">
            <w:pPr>
              <w:contextualSpacing/>
              <w:jc w:val="center"/>
              <w:rPr>
                <w:rFonts w:ascii="Times New Roman" w:eastAsia="仿宋"/>
                <w:szCs w:val="21"/>
              </w:rPr>
            </w:pPr>
            <w:r>
              <w:rPr>
                <w:rFonts w:ascii="Times New Roman" w:eastAsia="仿宋"/>
                <w:szCs w:val="21"/>
              </w:rPr>
              <w:t>6.9</w:t>
            </w:r>
          </w:p>
        </w:tc>
        <w:tc>
          <w:tcPr>
            <w:tcW w:w="327" w:type="pct"/>
            <w:vAlign w:val="center"/>
          </w:tcPr>
          <w:p w14:paraId="1DCB1AA3">
            <w:pPr>
              <w:contextualSpacing/>
              <w:jc w:val="center"/>
              <w:rPr>
                <w:rFonts w:ascii="Times New Roman" w:eastAsia="仿宋"/>
                <w:szCs w:val="21"/>
              </w:rPr>
            </w:pPr>
            <w:r>
              <w:rPr>
                <w:rFonts w:ascii="Times New Roman" w:eastAsia="仿宋"/>
                <w:szCs w:val="21"/>
              </w:rPr>
              <w:t>7.9</w:t>
            </w:r>
          </w:p>
        </w:tc>
        <w:tc>
          <w:tcPr>
            <w:tcW w:w="215" w:type="pct"/>
            <w:tcBorders>
              <w:left w:val="single" w:color="000000" w:sz="12" w:space="0"/>
            </w:tcBorders>
            <w:vAlign w:val="center"/>
          </w:tcPr>
          <w:p w14:paraId="39E3B96D">
            <w:pPr>
              <w:contextualSpacing/>
              <w:jc w:val="center"/>
              <w:rPr>
                <w:rFonts w:ascii="Times New Roman" w:eastAsia="仿宋"/>
                <w:szCs w:val="21"/>
              </w:rPr>
            </w:pPr>
            <w:r>
              <w:rPr>
                <w:rFonts w:ascii="Times New Roman" w:eastAsia="仿宋"/>
                <w:szCs w:val="21"/>
              </w:rPr>
              <w:t>5.9</w:t>
            </w:r>
          </w:p>
        </w:tc>
      </w:tr>
      <w:tr w14:paraId="263B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6BA0ACA3">
            <w:pPr>
              <w:contextualSpacing/>
              <w:jc w:val="center"/>
              <w:rPr>
                <w:rFonts w:ascii="Times New Roman" w:eastAsia="仿宋"/>
                <w:szCs w:val="21"/>
              </w:rPr>
            </w:pPr>
            <w:r>
              <w:rPr>
                <w:rFonts w:ascii="Times New Roman" w:eastAsia="仿宋"/>
                <w:szCs w:val="21"/>
              </w:rPr>
              <w:t>02</w:t>
            </w:r>
          </w:p>
        </w:tc>
        <w:tc>
          <w:tcPr>
            <w:tcW w:w="215" w:type="pct"/>
            <w:vAlign w:val="center"/>
          </w:tcPr>
          <w:p w14:paraId="0F5D8CBF">
            <w:pPr>
              <w:contextualSpacing/>
              <w:jc w:val="center"/>
              <w:rPr>
                <w:rFonts w:ascii="Times New Roman" w:eastAsia="仿宋"/>
                <w:szCs w:val="21"/>
              </w:rPr>
            </w:pPr>
            <w:r>
              <w:rPr>
                <w:rFonts w:ascii="Times New Roman" w:eastAsia="仿宋"/>
                <w:szCs w:val="21"/>
              </w:rPr>
              <w:t>6.9</w:t>
            </w:r>
          </w:p>
        </w:tc>
        <w:tc>
          <w:tcPr>
            <w:tcW w:w="318" w:type="pct"/>
            <w:vAlign w:val="center"/>
          </w:tcPr>
          <w:p w14:paraId="425BFD4C">
            <w:pPr>
              <w:contextualSpacing/>
              <w:jc w:val="center"/>
              <w:rPr>
                <w:rFonts w:ascii="Times New Roman" w:eastAsia="仿宋"/>
                <w:szCs w:val="21"/>
              </w:rPr>
            </w:pPr>
            <w:r>
              <w:rPr>
                <w:rFonts w:ascii="Times New Roman" w:eastAsia="仿宋"/>
                <w:szCs w:val="21"/>
              </w:rPr>
              <w:t>9.0</w:t>
            </w:r>
          </w:p>
        </w:tc>
        <w:tc>
          <w:tcPr>
            <w:tcW w:w="262" w:type="pct"/>
            <w:vAlign w:val="center"/>
          </w:tcPr>
          <w:p w14:paraId="24DDC910">
            <w:pPr>
              <w:contextualSpacing/>
              <w:jc w:val="center"/>
              <w:rPr>
                <w:rFonts w:ascii="Times New Roman" w:eastAsia="仿宋"/>
                <w:szCs w:val="21"/>
              </w:rPr>
            </w:pPr>
            <w:r>
              <w:rPr>
                <w:rFonts w:ascii="Times New Roman" w:eastAsia="仿宋"/>
                <w:szCs w:val="21"/>
              </w:rPr>
              <w:t>9.0</w:t>
            </w:r>
          </w:p>
        </w:tc>
        <w:tc>
          <w:tcPr>
            <w:tcW w:w="291" w:type="pct"/>
            <w:vAlign w:val="center"/>
          </w:tcPr>
          <w:p w14:paraId="4955CD89">
            <w:pPr>
              <w:contextualSpacing/>
              <w:jc w:val="center"/>
              <w:rPr>
                <w:rFonts w:ascii="Times New Roman" w:eastAsia="仿宋"/>
                <w:szCs w:val="21"/>
              </w:rPr>
            </w:pPr>
            <w:r>
              <w:rPr>
                <w:rFonts w:ascii="Times New Roman" w:eastAsia="仿宋"/>
                <w:szCs w:val="21"/>
              </w:rPr>
              <w:t>8.9</w:t>
            </w:r>
          </w:p>
        </w:tc>
        <w:tc>
          <w:tcPr>
            <w:tcW w:w="215" w:type="pct"/>
            <w:vAlign w:val="center"/>
          </w:tcPr>
          <w:p w14:paraId="20796F24">
            <w:pPr>
              <w:contextualSpacing/>
              <w:jc w:val="center"/>
              <w:rPr>
                <w:rFonts w:ascii="Times New Roman" w:eastAsia="仿宋"/>
                <w:szCs w:val="21"/>
              </w:rPr>
            </w:pPr>
            <w:r>
              <w:rPr>
                <w:rFonts w:ascii="Times New Roman" w:eastAsia="仿宋"/>
                <w:szCs w:val="21"/>
              </w:rPr>
              <w:t>9.0</w:t>
            </w:r>
          </w:p>
        </w:tc>
        <w:tc>
          <w:tcPr>
            <w:tcW w:w="285" w:type="pct"/>
            <w:vAlign w:val="center"/>
          </w:tcPr>
          <w:p w14:paraId="03742F29">
            <w:pPr>
              <w:contextualSpacing/>
              <w:jc w:val="center"/>
              <w:rPr>
                <w:rFonts w:ascii="Times New Roman" w:eastAsia="仿宋"/>
                <w:szCs w:val="21"/>
              </w:rPr>
            </w:pPr>
            <w:r>
              <w:rPr>
                <w:rFonts w:ascii="Times New Roman" w:eastAsia="仿宋"/>
                <w:szCs w:val="21"/>
              </w:rPr>
              <w:t>11.3</w:t>
            </w:r>
          </w:p>
        </w:tc>
        <w:tc>
          <w:tcPr>
            <w:tcW w:w="215" w:type="pct"/>
            <w:vAlign w:val="center"/>
          </w:tcPr>
          <w:p w14:paraId="48480B59">
            <w:pPr>
              <w:contextualSpacing/>
              <w:jc w:val="center"/>
              <w:rPr>
                <w:rFonts w:ascii="Times New Roman" w:eastAsia="仿宋"/>
                <w:szCs w:val="21"/>
              </w:rPr>
            </w:pPr>
            <w:r>
              <w:rPr>
                <w:rFonts w:ascii="Times New Roman" w:eastAsia="仿宋"/>
                <w:szCs w:val="21"/>
              </w:rPr>
              <w:t>6.0</w:t>
            </w:r>
          </w:p>
        </w:tc>
        <w:tc>
          <w:tcPr>
            <w:tcW w:w="265" w:type="pct"/>
            <w:vAlign w:val="center"/>
          </w:tcPr>
          <w:p w14:paraId="3D346EC1">
            <w:pPr>
              <w:contextualSpacing/>
              <w:jc w:val="center"/>
              <w:rPr>
                <w:rFonts w:ascii="Times New Roman" w:eastAsia="仿宋"/>
                <w:szCs w:val="21"/>
              </w:rPr>
            </w:pPr>
            <w:r>
              <w:rPr>
                <w:rFonts w:ascii="Times New Roman" w:eastAsia="仿宋"/>
                <w:szCs w:val="21"/>
              </w:rPr>
              <w:t>4.5</w:t>
            </w:r>
          </w:p>
        </w:tc>
        <w:tc>
          <w:tcPr>
            <w:tcW w:w="215" w:type="pct"/>
            <w:vAlign w:val="center"/>
          </w:tcPr>
          <w:p w14:paraId="46018F3D">
            <w:pPr>
              <w:contextualSpacing/>
              <w:jc w:val="center"/>
              <w:rPr>
                <w:rFonts w:ascii="Times New Roman" w:eastAsia="仿宋"/>
                <w:szCs w:val="21"/>
              </w:rPr>
            </w:pPr>
            <w:r>
              <w:rPr>
                <w:rFonts w:ascii="Times New Roman" w:eastAsia="仿宋"/>
                <w:szCs w:val="21"/>
              </w:rPr>
              <w:t>2.3</w:t>
            </w:r>
          </w:p>
        </w:tc>
        <w:tc>
          <w:tcPr>
            <w:tcW w:w="296" w:type="pct"/>
            <w:vAlign w:val="center"/>
          </w:tcPr>
          <w:p w14:paraId="64B64199">
            <w:pPr>
              <w:contextualSpacing/>
              <w:jc w:val="center"/>
              <w:rPr>
                <w:rFonts w:ascii="Times New Roman" w:eastAsia="仿宋"/>
                <w:szCs w:val="21"/>
              </w:rPr>
            </w:pPr>
            <w:r>
              <w:rPr>
                <w:rFonts w:ascii="Times New Roman" w:eastAsia="仿宋"/>
                <w:szCs w:val="21"/>
              </w:rPr>
              <w:t>1.2</w:t>
            </w:r>
          </w:p>
        </w:tc>
        <w:tc>
          <w:tcPr>
            <w:tcW w:w="243" w:type="pct"/>
            <w:vAlign w:val="center"/>
          </w:tcPr>
          <w:p w14:paraId="292B1108">
            <w:pPr>
              <w:contextualSpacing/>
              <w:jc w:val="center"/>
              <w:rPr>
                <w:rFonts w:ascii="Times New Roman" w:eastAsia="仿宋"/>
                <w:szCs w:val="21"/>
              </w:rPr>
            </w:pPr>
            <w:r>
              <w:rPr>
                <w:rFonts w:ascii="Times New Roman" w:eastAsia="仿宋"/>
                <w:szCs w:val="21"/>
              </w:rPr>
              <w:t>1.9</w:t>
            </w:r>
          </w:p>
        </w:tc>
        <w:tc>
          <w:tcPr>
            <w:tcW w:w="338" w:type="pct"/>
            <w:vAlign w:val="center"/>
          </w:tcPr>
          <w:p w14:paraId="3A262912">
            <w:pPr>
              <w:contextualSpacing/>
              <w:jc w:val="center"/>
              <w:rPr>
                <w:rFonts w:ascii="Times New Roman" w:eastAsia="仿宋"/>
                <w:szCs w:val="21"/>
              </w:rPr>
            </w:pPr>
            <w:r>
              <w:rPr>
                <w:rFonts w:ascii="Times New Roman" w:eastAsia="仿宋"/>
                <w:szCs w:val="21"/>
              </w:rPr>
              <w:t>2.9</w:t>
            </w:r>
          </w:p>
        </w:tc>
        <w:tc>
          <w:tcPr>
            <w:tcW w:w="215" w:type="pct"/>
            <w:vAlign w:val="center"/>
          </w:tcPr>
          <w:p w14:paraId="3EEC2EEE">
            <w:pPr>
              <w:contextualSpacing/>
              <w:jc w:val="center"/>
              <w:rPr>
                <w:rFonts w:ascii="Times New Roman" w:eastAsia="仿宋"/>
                <w:szCs w:val="21"/>
              </w:rPr>
            </w:pPr>
            <w:r>
              <w:rPr>
                <w:rFonts w:ascii="Times New Roman" w:eastAsia="仿宋"/>
                <w:szCs w:val="21"/>
              </w:rPr>
              <w:t>6.0</w:t>
            </w:r>
          </w:p>
        </w:tc>
        <w:tc>
          <w:tcPr>
            <w:tcW w:w="353" w:type="pct"/>
            <w:vAlign w:val="center"/>
          </w:tcPr>
          <w:p w14:paraId="1B9CC013">
            <w:pPr>
              <w:contextualSpacing/>
              <w:jc w:val="center"/>
              <w:rPr>
                <w:rFonts w:ascii="Times New Roman" w:eastAsia="仿宋"/>
                <w:szCs w:val="21"/>
              </w:rPr>
            </w:pPr>
            <w:r>
              <w:rPr>
                <w:rFonts w:ascii="Times New Roman" w:eastAsia="仿宋"/>
                <w:szCs w:val="21"/>
              </w:rPr>
              <w:t>5.7</w:t>
            </w:r>
          </w:p>
        </w:tc>
        <w:tc>
          <w:tcPr>
            <w:tcW w:w="259" w:type="pct"/>
            <w:vAlign w:val="center"/>
          </w:tcPr>
          <w:p w14:paraId="45BE743A">
            <w:pPr>
              <w:contextualSpacing/>
              <w:jc w:val="center"/>
              <w:rPr>
                <w:rFonts w:ascii="Times New Roman" w:eastAsia="仿宋"/>
                <w:szCs w:val="21"/>
              </w:rPr>
            </w:pPr>
            <w:r>
              <w:rPr>
                <w:rFonts w:ascii="Times New Roman" w:eastAsia="仿宋"/>
                <w:szCs w:val="21"/>
              </w:rPr>
              <w:t>4.6</w:t>
            </w:r>
          </w:p>
        </w:tc>
        <w:tc>
          <w:tcPr>
            <w:tcW w:w="327" w:type="pct"/>
            <w:vAlign w:val="center"/>
          </w:tcPr>
          <w:p w14:paraId="1A1E1897">
            <w:pPr>
              <w:contextualSpacing/>
              <w:jc w:val="center"/>
              <w:rPr>
                <w:rFonts w:ascii="Times New Roman" w:eastAsia="仿宋"/>
                <w:szCs w:val="21"/>
              </w:rPr>
            </w:pPr>
            <w:r>
              <w:rPr>
                <w:rFonts w:ascii="Times New Roman" w:eastAsia="仿宋"/>
                <w:szCs w:val="21"/>
              </w:rPr>
              <w:t>6.2</w:t>
            </w:r>
          </w:p>
        </w:tc>
        <w:tc>
          <w:tcPr>
            <w:tcW w:w="215" w:type="pct"/>
            <w:tcBorders>
              <w:left w:val="single" w:color="000000" w:sz="12" w:space="0"/>
            </w:tcBorders>
            <w:vAlign w:val="center"/>
          </w:tcPr>
          <w:p w14:paraId="5AFD63E3">
            <w:pPr>
              <w:contextualSpacing/>
              <w:jc w:val="center"/>
              <w:rPr>
                <w:rFonts w:ascii="Times New Roman" w:eastAsia="仿宋"/>
                <w:szCs w:val="21"/>
              </w:rPr>
            </w:pPr>
            <w:r>
              <w:rPr>
                <w:rFonts w:ascii="Times New Roman" w:eastAsia="仿宋"/>
                <w:szCs w:val="21"/>
              </w:rPr>
              <w:t>4.6</w:t>
            </w:r>
          </w:p>
        </w:tc>
      </w:tr>
      <w:tr w14:paraId="614AF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1580F872">
            <w:pPr>
              <w:contextualSpacing/>
              <w:jc w:val="center"/>
              <w:rPr>
                <w:rFonts w:ascii="Times New Roman" w:eastAsia="仿宋"/>
                <w:szCs w:val="21"/>
              </w:rPr>
            </w:pPr>
            <w:r>
              <w:rPr>
                <w:rFonts w:ascii="Times New Roman" w:eastAsia="仿宋"/>
                <w:szCs w:val="21"/>
              </w:rPr>
              <w:t>03</w:t>
            </w:r>
          </w:p>
        </w:tc>
        <w:tc>
          <w:tcPr>
            <w:tcW w:w="215" w:type="pct"/>
            <w:vAlign w:val="center"/>
          </w:tcPr>
          <w:p w14:paraId="2F5A6504">
            <w:pPr>
              <w:contextualSpacing/>
              <w:jc w:val="center"/>
              <w:rPr>
                <w:rFonts w:ascii="Times New Roman" w:eastAsia="仿宋"/>
                <w:szCs w:val="21"/>
              </w:rPr>
            </w:pPr>
            <w:r>
              <w:rPr>
                <w:rFonts w:ascii="Times New Roman" w:eastAsia="仿宋"/>
                <w:szCs w:val="21"/>
              </w:rPr>
              <w:t>5.5</w:t>
            </w:r>
          </w:p>
        </w:tc>
        <w:tc>
          <w:tcPr>
            <w:tcW w:w="318" w:type="pct"/>
            <w:vAlign w:val="center"/>
          </w:tcPr>
          <w:p w14:paraId="68BDAEF6">
            <w:pPr>
              <w:contextualSpacing/>
              <w:jc w:val="center"/>
              <w:rPr>
                <w:rFonts w:ascii="Times New Roman" w:eastAsia="仿宋"/>
                <w:szCs w:val="21"/>
              </w:rPr>
            </w:pPr>
            <w:r>
              <w:rPr>
                <w:rFonts w:ascii="Times New Roman" w:eastAsia="仿宋"/>
                <w:szCs w:val="21"/>
              </w:rPr>
              <w:t>8.1</w:t>
            </w:r>
          </w:p>
        </w:tc>
        <w:tc>
          <w:tcPr>
            <w:tcW w:w="262" w:type="pct"/>
            <w:vAlign w:val="center"/>
          </w:tcPr>
          <w:p w14:paraId="6CFA20C1">
            <w:pPr>
              <w:contextualSpacing/>
              <w:jc w:val="center"/>
              <w:rPr>
                <w:rFonts w:ascii="Times New Roman" w:eastAsia="仿宋"/>
                <w:szCs w:val="21"/>
              </w:rPr>
            </w:pPr>
            <w:r>
              <w:rPr>
                <w:rFonts w:ascii="Times New Roman" w:eastAsia="仿宋"/>
                <w:szCs w:val="21"/>
              </w:rPr>
              <w:t>7.6</w:t>
            </w:r>
          </w:p>
        </w:tc>
        <w:tc>
          <w:tcPr>
            <w:tcW w:w="291" w:type="pct"/>
            <w:vAlign w:val="center"/>
          </w:tcPr>
          <w:p w14:paraId="08501AF1">
            <w:pPr>
              <w:contextualSpacing/>
              <w:jc w:val="center"/>
              <w:rPr>
                <w:rFonts w:ascii="Times New Roman" w:eastAsia="仿宋"/>
                <w:szCs w:val="21"/>
              </w:rPr>
            </w:pPr>
            <w:r>
              <w:rPr>
                <w:rFonts w:ascii="Times New Roman" w:eastAsia="仿宋"/>
                <w:szCs w:val="21"/>
              </w:rPr>
              <w:t>8.7</w:t>
            </w:r>
          </w:p>
        </w:tc>
        <w:tc>
          <w:tcPr>
            <w:tcW w:w="215" w:type="pct"/>
            <w:vAlign w:val="center"/>
          </w:tcPr>
          <w:p w14:paraId="6A7D8C7A">
            <w:pPr>
              <w:contextualSpacing/>
              <w:jc w:val="center"/>
              <w:rPr>
                <w:rFonts w:ascii="Times New Roman" w:eastAsia="仿宋"/>
                <w:szCs w:val="21"/>
              </w:rPr>
            </w:pPr>
            <w:r>
              <w:rPr>
                <w:rFonts w:ascii="Times New Roman" w:eastAsia="仿宋"/>
                <w:szCs w:val="21"/>
              </w:rPr>
              <w:t>8.4</w:t>
            </w:r>
          </w:p>
        </w:tc>
        <w:tc>
          <w:tcPr>
            <w:tcW w:w="285" w:type="pct"/>
            <w:vAlign w:val="center"/>
          </w:tcPr>
          <w:p w14:paraId="5D1B9175">
            <w:pPr>
              <w:contextualSpacing/>
              <w:jc w:val="center"/>
              <w:rPr>
                <w:rFonts w:ascii="Times New Roman" w:eastAsia="仿宋"/>
                <w:szCs w:val="21"/>
              </w:rPr>
            </w:pPr>
            <w:r>
              <w:rPr>
                <w:rFonts w:ascii="Times New Roman" w:eastAsia="仿宋"/>
                <w:szCs w:val="21"/>
              </w:rPr>
              <w:t>11.9</w:t>
            </w:r>
          </w:p>
        </w:tc>
        <w:tc>
          <w:tcPr>
            <w:tcW w:w="215" w:type="pct"/>
            <w:vAlign w:val="center"/>
          </w:tcPr>
          <w:p w14:paraId="0CB310DA">
            <w:pPr>
              <w:contextualSpacing/>
              <w:jc w:val="center"/>
              <w:rPr>
                <w:rFonts w:ascii="Times New Roman" w:eastAsia="仿宋"/>
                <w:szCs w:val="21"/>
              </w:rPr>
            </w:pPr>
            <w:r>
              <w:rPr>
                <w:rFonts w:ascii="Times New Roman" w:eastAsia="仿宋"/>
                <w:szCs w:val="21"/>
              </w:rPr>
              <w:t>9.6</w:t>
            </w:r>
          </w:p>
        </w:tc>
        <w:tc>
          <w:tcPr>
            <w:tcW w:w="265" w:type="pct"/>
            <w:vAlign w:val="center"/>
          </w:tcPr>
          <w:p w14:paraId="7C2BFFFC">
            <w:pPr>
              <w:contextualSpacing/>
              <w:jc w:val="center"/>
              <w:rPr>
                <w:rFonts w:ascii="Times New Roman" w:eastAsia="仿宋"/>
                <w:szCs w:val="21"/>
              </w:rPr>
            </w:pPr>
            <w:r>
              <w:rPr>
                <w:rFonts w:ascii="Times New Roman" w:eastAsia="仿宋"/>
                <w:szCs w:val="21"/>
              </w:rPr>
              <w:t>6.6</w:t>
            </w:r>
          </w:p>
        </w:tc>
        <w:tc>
          <w:tcPr>
            <w:tcW w:w="215" w:type="pct"/>
            <w:vAlign w:val="center"/>
          </w:tcPr>
          <w:p w14:paraId="1BCF6F7F">
            <w:pPr>
              <w:contextualSpacing/>
              <w:jc w:val="center"/>
              <w:rPr>
                <w:rFonts w:ascii="Times New Roman" w:eastAsia="仿宋"/>
                <w:szCs w:val="21"/>
              </w:rPr>
            </w:pPr>
            <w:r>
              <w:rPr>
                <w:rFonts w:ascii="Times New Roman" w:eastAsia="仿宋"/>
                <w:szCs w:val="21"/>
              </w:rPr>
              <w:t>3.7</w:t>
            </w:r>
          </w:p>
        </w:tc>
        <w:tc>
          <w:tcPr>
            <w:tcW w:w="296" w:type="pct"/>
            <w:vAlign w:val="center"/>
          </w:tcPr>
          <w:p w14:paraId="0276ABCD">
            <w:pPr>
              <w:contextualSpacing/>
              <w:jc w:val="center"/>
              <w:rPr>
                <w:rFonts w:ascii="Times New Roman" w:eastAsia="仿宋"/>
                <w:szCs w:val="21"/>
              </w:rPr>
            </w:pPr>
            <w:r>
              <w:rPr>
                <w:rFonts w:ascii="Times New Roman" w:eastAsia="仿宋"/>
                <w:szCs w:val="21"/>
              </w:rPr>
              <w:t>2.7</w:t>
            </w:r>
          </w:p>
        </w:tc>
        <w:tc>
          <w:tcPr>
            <w:tcW w:w="243" w:type="pct"/>
            <w:vAlign w:val="center"/>
          </w:tcPr>
          <w:p w14:paraId="13FFBEDA">
            <w:pPr>
              <w:contextualSpacing/>
              <w:jc w:val="center"/>
              <w:rPr>
                <w:rFonts w:ascii="Times New Roman" w:eastAsia="仿宋"/>
                <w:szCs w:val="21"/>
              </w:rPr>
            </w:pPr>
            <w:r>
              <w:rPr>
                <w:rFonts w:ascii="Times New Roman" w:eastAsia="仿宋"/>
                <w:szCs w:val="21"/>
              </w:rPr>
              <w:t>3.2</w:t>
            </w:r>
          </w:p>
        </w:tc>
        <w:tc>
          <w:tcPr>
            <w:tcW w:w="338" w:type="pct"/>
            <w:vAlign w:val="center"/>
          </w:tcPr>
          <w:p w14:paraId="40A52007">
            <w:pPr>
              <w:contextualSpacing/>
              <w:jc w:val="center"/>
              <w:rPr>
                <w:rFonts w:ascii="Times New Roman" w:eastAsia="仿宋"/>
                <w:szCs w:val="21"/>
              </w:rPr>
            </w:pPr>
            <w:r>
              <w:rPr>
                <w:rFonts w:ascii="Times New Roman" w:eastAsia="仿宋"/>
                <w:szCs w:val="21"/>
              </w:rPr>
              <w:t>4.1</w:t>
            </w:r>
          </w:p>
        </w:tc>
        <w:tc>
          <w:tcPr>
            <w:tcW w:w="215" w:type="pct"/>
            <w:vAlign w:val="center"/>
          </w:tcPr>
          <w:p w14:paraId="7D15C325">
            <w:pPr>
              <w:contextualSpacing/>
              <w:jc w:val="center"/>
              <w:rPr>
                <w:rFonts w:ascii="Times New Roman" w:eastAsia="仿宋"/>
                <w:szCs w:val="21"/>
              </w:rPr>
            </w:pPr>
            <w:r>
              <w:rPr>
                <w:rFonts w:ascii="Times New Roman" w:eastAsia="仿宋"/>
                <w:szCs w:val="21"/>
              </w:rPr>
              <w:t>4.2</w:t>
            </w:r>
          </w:p>
        </w:tc>
        <w:tc>
          <w:tcPr>
            <w:tcW w:w="353" w:type="pct"/>
            <w:vAlign w:val="center"/>
          </w:tcPr>
          <w:p w14:paraId="210F95D3">
            <w:pPr>
              <w:contextualSpacing/>
              <w:jc w:val="center"/>
              <w:rPr>
                <w:rFonts w:ascii="Times New Roman" w:eastAsia="仿宋"/>
                <w:szCs w:val="21"/>
              </w:rPr>
            </w:pPr>
            <w:r>
              <w:rPr>
                <w:rFonts w:ascii="Times New Roman" w:eastAsia="仿宋"/>
                <w:szCs w:val="21"/>
              </w:rPr>
              <w:t>4.4</w:t>
            </w:r>
          </w:p>
        </w:tc>
        <w:tc>
          <w:tcPr>
            <w:tcW w:w="259" w:type="pct"/>
            <w:vAlign w:val="center"/>
          </w:tcPr>
          <w:p w14:paraId="712978AF">
            <w:pPr>
              <w:contextualSpacing/>
              <w:jc w:val="center"/>
              <w:rPr>
                <w:rFonts w:ascii="Times New Roman" w:eastAsia="仿宋"/>
                <w:szCs w:val="21"/>
              </w:rPr>
            </w:pPr>
            <w:r>
              <w:rPr>
                <w:rFonts w:ascii="Times New Roman" w:eastAsia="仿宋"/>
                <w:szCs w:val="21"/>
              </w:rPr>
              <w:t>3.0</w:t>
            </w:r>
          </w:p>
        </w:tc>
        <w:tc>
          <w:tcPr>
            <w:tcW w:w="327" w:type="pct"/>
            <w:vAlign w:val="center"/>
          </w:tcPr>
          <w:p w14:paraId="0B525EBA">
            <w:pPr>
              <w:contextualSpacing/>
              <w:jc w:val="center"/>
              <w:rPr>
                <w:rFonts w:ascii="Times New Roman" w:eastAsia="仿宋"/>
                <w:szCs w:val="21"/>
              </w:rPr>
            </w:pPr>
            <w:r>
              <w:rPr>
                <w:rFonts w:ascii="Times New Roman" w:eastAsia="仿宋"/>
                <w:szCs w:val="21"/>
              </w:rPr>
              <w:t>4.7</w:t>
            </w:r>
          </w:p>
        </w:tc>
        <w:tc>
          <w:tcPr>
            <w:tcW w:w="215" w:type="pct"/>
            <w:tcBorders>
              <w:left w:val="single" w:color="000000" w:sz="12" w:space="0"/>
            </w:tcBorders>
            <w:vAlign w:val="center"/>
          </w:tcPr>
          <w:p w14:paraId="0D85CEC1">
            <w:pPr>
              <w:contextualSpacing/>
              <w:jc w:val="center"/>
              <w:rPr>
                <w:rFonts w:ascii="Times New Roman" w:eastAsia="仿宋"/>
                <w:szCs w:val="21"/>
              </w:rPr>
            </w:pPr>
            <w:r>
              <w:rPr>
                <w:rFonts w:ascii="Times New Roman" w:eastAsia="仿宋"/>
                <w:szCs w:val="21"/>
              </w:rPr>
              <w:t>3.5</w:t>
            </w:r>
          </w:p>
        </w:tc>
      </w:tr>
      <w:tr w14:paraId="648AA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657C59A8">
            <w:pPr>
              <w:contextualSpacing/>
              <w:jc w:val="center"/>
              <w:rPr>
                <w:rFonts w:ascii="Times New Roman" w:eastAsia="仿宋"/>
                <w:szCs w:val="21"/>
              </w:rPr>
            </w:pPr>
            <w:r>
              <w:rPr>
                <w:rFonts w:ascii="Times New Roman" w:eastAsia="仿宋"/>
                <w:szCs w:val="21"/>
              </w:rPr>
              <w:t>04</w:t>
            </w:r>
          </w:p>
        </w:tc>
        <w:tc>
          <w:tcPr>
            <w:tcW w:w="215" w:type="pct"/>
            <w:vAlign w:val="center"/>
          </w:tcPr>
          <w:p w14:paraId="58E70BDA">
            <w:pPr>
              <w:contextualSpacing/>
              <w:jc w:val="center"/>
              <w:rPr>
                <w:rFonts w:ascii="Times New Roman" w:eastAsia="仿宋"/>
                <w:szCs w:val="21"/>
              </w:rPr>
            </w:pPr>
            <w:r>
              <w:rPr>
                <w:rFonts w:ascii="Times New Roman" w:eastAsia="仿宋"/>
                <w:szCs w:val="21"/>
              </w:rPr>
              <w:t>4.8</w:t>
            </w:r>
          </w:p>
        </w:tc>
        <w:tc>
          <w:tcPr>
            <w:tcW w:w="318" w:type="pct"/>
            <w:vAlign w:val="center"/>
          </w:tcPr>
          <w:p w14:paraId="39E3684F">
            <w:pPr>
              <w:contextualSpacing/>
              <w:jc w:val="center"/>
              <w:rPr>
                <w:rFonts w:ascii="Times New Roman" w:eastAsia="仿宋"/>
                <w:szCs w:val="21"/>
              </w:rPr>
            </w:pPr>
            <w:r>
              <w:rPr>
                <w:rFonts w:ascii="Times New Roman" w:eastAsia="仿宋"/>
                <w:szCs w:val="21"/>
              </w:rPr>
              <w:t>6.1</w:t>
            </w:r>
          </w:p>
        </w:tc>
        <w:tc>
          <w:tcPr>
            <w:tcW w:w="262" w:type="pct"/>
            <w:vAlign w:val="center"/>
          </w:tcPr>
          <w:p w14:paraId="645727B6">
            <w:pPr>
              <w:contextualSpacing/>
              <w:jc w:val="center"/>
              <w:rPr>
                <w:rFonts w:ascii="Times New Roman" w:eastAsia="仿宋"/>
                <w:szCs w:val="21"/>
              </w:rPr>
            </w:pPr>
            <w:r>
              <w:rPr>
                <w:rFonts w:ascii="Times New Roman" w:eastAsia="仿宋"/>
                <w:szCs w:val="21"/>
              </w:rPr>
              <w:t>5.8</w:t>
            </w:r>
          </w:p>
        </w:tc>
        <w:tc>
          <w:tcPr>
            <w:tcW w:w="291" w:type="pct"/>
            <w:vAlign w:val="center"/>
          </w:tcPr>
          <w:p w14:paraId="216239C5">
            <w:pPr>
              <w:contextualSpacing/>
              <w:jc w:val="center"/>
              <w:rPr>
                <w:rFonts w:ascii="Times New Roman" w:eastAsia="仿宋"/>
                <w:szCs w:val="21"/>
              </w:rPr>
            </w:pPr>
            <w:r>
              <w:rPr>
                <w:rFonts w:ascii="Times New Roman" w:eastAsia="仿宋"/>
                <w:szCs w:val="21"/>
              </w:rPr>
              <w:t>5.7</w:t>
            </w:r>
          </w:p>
        </w:tc>
        <w:tc>
          <w:tcPr>
            <w:tcW w:w="215" w:type="pct"/>
            <w:vAlign w:val="center"/>
          </w:tcPr>
          <w:p w14:paraId="1B0D3DAF">
            <w:pPr>
              <w:contextualSpacing/>
              <w:jc w:val="center"/>
              <w:rPr>
                <w:rFonts w:ascii="Times New Roman" w:eastAsia="仿宋"/>
                <w:szCs w:val="21"/>
              </w:rPr>
            </w:pPr>
            <w:r>
              <w:rPr>
                <w:rFonts w:ascii="Times New Roman" w:eastAsia="仿宋"/>
                <w:szCs w:val="21"/>
              </w:rPr>
              <w:t>6.1</w:t>
            </w:r>
          </w:p>
        </w:tc>
        <w:tc>
          <w:tcPr>
            <w:tcW w:w="285" w:type="pct"/>
            <w:vAlign w:val="center"/>
          </w:tcPr>
          <w:p w14:paraId="2C0CF460">
            <w:pPr>
              <w:contextualSpacing/>
              <w:jc w:val="center"/>
              <w:rPr>
                <w:rFonts w:ascii="Times New Roman" w:eastAsia="仿宋"/>
                <w:szCs w:val="21"/>
              </w:rPr>
            </w:pPr>
            <w:r>
              <w:rPr>
                <w:rFonts w:ascii="Times New Roman" w:eastAsia="仿宋"/>
                <w:szCs w:val="21"/>
              </w:rPr>
              <w:t>13.5</w:t>
            </w:r>
          </w:p>
        </w:tc>
        <w:tc>
          <w:tcPr>
            <w:tcW w:w="215" w:type="pct"/>
            <w:vAlign w:val="center"/>
          </w:tcPr>
          <w:p w14:paraId="30166E46">
            <w:pPr>
              <w:contextualSpacing/>
              <w:jc w:val="center"/>
              <w:rPr>
                <w:rFonts w:ascii="Times New Roman" w:eastAsia="仿宋"/>
                <w:szCs w:val="21"/>
              </w:rPr>
            </w:pPr>
            <w:r>
              <w:rPr>
                <w:rFonts w:ascii="Times New Roman" w:eastAsia="仿宋"/>
                <w:szCs w:val="21"/>
              </w:rPr>
              <w:t>11.3</w:t>
            </w:r>
          </w:p>
        </w:tc>
        <w:tc>
          <w:tcPr>
            <w:tcW w:w="265" w:type="pct"/>
            <w:vAlign w:val="center"/>
          </w:tcPr>
          <w:p w14:paraId="2ABD033F">
            <w:pPr>
              <w:contextualSpacing/>
              <w:jc w:val="center"/>
              <w:rPr>
                <w:rFonts w:ascii="Times New Roman" w:eastAsia="仿宋"/>
                <w:szCs w:val="21"/>
              </w:rPr>
            </w:pPr>
            <w:r>
              <w:rPr>
                <w:rFonts w:ascii="Times New Roman" w:eastAsia="仿宋"/>
                <w:szCs w:val="21"/>
              </w:rPr>
              <w:t>10.4</w:t>
            </w:r>
          </w:p>
        </w:tc>
        <w:tc>
          <w:tcPr>
            <w:tcW w:w="215" w:type="pct"/>
            <w:vAlign w:val="center"/>
          </w:tcPr>
          <w:p w14:paraId="6DDE568E">
            <w:pPr>
              <w:contextualSpacing/>
              <w:jc w:val="center"/>
              <w:rPr>
                <w:rFonts w:ascii="Times New Roman" w:eastAsia="仿宋"/>
                <w:szCs w:val="21"/>
              </w:rPr>
            </w:pPr>
            <w:r>
              <w:rPr>
                <w:rFonts w:ascii="Times New Roman" w:eastAsia="仿宋"/>
                <w:szCs w:val="21"/>
              </w:rPr>
              <w:t>3.9</w:t>
            </w:r>
          </w:p>
        </w:tc>
        <w:tc>
          <w:tcPr>
            <w:tcW w:w="296" w:type="pct"/>
            <w:vAlign w:val="center"/>
          </w:tcPr>
          <w:p w14:paraId="0FBCD9CC">
            <w:pPr>
              <w:contextualSpacing/>
              <w:jc w:val="center"/>
              <w:rPr>
                <w:rFonts w:ascii="Times New Roman" w:eastAsia="仿宋"/>
                <w:szCs w:val="21"/>
              </w:rPr>
            </w:pPr>
            <w:r>
              <w:rPr>
                <w:rFonts w:ascii="Times New Roman" w:eastAsia="仿宋"/>
                <w:szCs w:val="21"/>
              </w:rPr>
              <w:t>4.0</w:t>
            </w:r>
          </w:p>
        </w:tc>
        <w:tc>
          <w:tcPr>
            <w:tcW w:w="243" w:type="pct"/>
            <w:vAlign w:val="center"/>
          </w:tcPr>
          <w:p w14:paraId="0AFF1350">
            <w:pPr>
              <w:contextualSpacing/>
              <w:jc w:val="center"/>
              <w:rPr>
                <w:rFonts w:ascii="Times New Roman" w:eastAsia="仿宋"/>
                <w:szCs w:val="21"/>
              </w:rPr>
            </w:pPr>
            <w:r>
              <w:rPr>
                <w:rFonts w:ascii="Times New Roman" w:eastAsia="仿宋"/>
                <w:szCs w:val="21"/>
              </w:rPr>
              <w:t>3.4</w:t>
            </w:r>
          </w:p>
        </w:tc>
        <w:tc>
          <w:tcPr>
            <w:tcW w:w="338" w:type="pct"/>
            <w:vAlign w:val="center"/>
          </w:tcPr>
          <w:p w14:paraId="6BB4F1A3">
            <w:pPr>
              <w:contextualSpacing/>
              <w:jc w:val="center"/>
              <w:rPr>
                <w:rFonts w:ascii="Times New Roman" w:eastAsia="仿宋"/>
                <w:szCs w:val="21"/>
              </w:rPr>
            </w:pPr>
            <w:r>
              <w:rPr>
                <w:rFonts w:ascii="Times New Roman" w:eastAsia="仿宋"/>
                <w:szCs w:val="21"/>
              </w:rPr>
              <w:t>3.8</w:t>
            </w:r>
          </w:p>
        </w:tc>
        <w:tc>
          <w:tcPr>
            <w:tcW w:w="215" w:type="pct"/>
            <w:vAlign w:val="center"/>
          </w:tcPr>
          <w:p w14:paraId="6450EBB1">
            <w:pPr>
              <w:contextualSpacing/>
              <w:jc w:val="center"/>
              <w:rPr>
                <w:rFonts w:ascii="Times New Roman" w:eastAsia="仿宋"/>
                <w:szCs w:val="21"/>
              </w:rPr>
            </w:pPr>
            <w:r>
              <w:rPr>
                <w:rFonts w:ascii="Times New Roman" w:eastAsia="仿宋"/>
                <w:szCs w:val="21"/>
              </w:rPr>
              <w:t>5.5</w:t>
            </w:r>
          </w:p>
        </w:tc>
        <w:tc>
          <w:tcPr>
            <w:tcW w:w="353" w:type="pct"/>
            <w:vAlign w:val="center"/>
          </w:tcPr>
          <w:p w14:paraId="4CE73ECF">
            <w:pPr>
              <w:contextualSpacing/>
              <w:jc w:val="center"/>
              <w:rPr>
                <w:rFonts w:ascii="Times New Roman" w:eastAsia="仿宋"/>
                <w:szCs w:val="21"/>
              </w:rPr>
            </w:pPr>
            <w:r>
              <w:rPr>
                <w:rFonts w:ascii="Times New Roman" w:eastAsia="仿宋"/>
                <w:szCs w:val="21"/>
              </w:rPr>
              <w:t>4.0</w:t>
            </w:r>
          </w:p>
        </w:tc>
        <w:tc>
          <w:tcPr>
            <w:tcW w:w="259" w:type="pct"/>
            <w:vAlign w:val="center"/>
          </w:tcPr>
          <w:p w14:paraId="4B2A600B">
            <w:pPr>
              <w:contextualSpacing/>
              <w:jc w:val="center"/>
              <w:rPr>
                <w:rFonts w:ascii="Times New Roman" w:eastAsia="仿宋"/>
                <w:szCs w:val="21"/>
              </w:rPr>
            </w:pPr>
            <w:r>
              <w:rPr>
                <w:rFonts w:ascii="Times New Roman" w:eastAsia="仿宋"/>
                <w:szCs w:val="21"/>
              </w:rPr>
              <w:t>4.0</w:t>
            </w:r>
          </w:p>
        </w:tc>
        <w:tc>
          <w:tcPr>
            <w:tcW w:w="327" w:type="pct"/>
            <w:vAlign w:val="center"/>
          </w:tcPr>
          <w:p w14:paraId="2B0E0054">
            <w:pPr>
              <w:contextualSpacing/>
              <w:jc w:val="center"/>
              <w:rPr>
                <w:rFonts w:ascii="Times New Roman" w:eastAsia="仿宋"/>
                <w:szCs w:val="21"/>
              </w:rPr>
            </w:pPr>
            <w:r>
              <w:rPr>
                <w:rFonts w:ascii="Times New Roman" w:eastAsia="仿宋"/>
                <w:szCs w:val="21"/>
              </w:rPr>
              <w:t>5.2</w:t>
            </w:r>
          </w:p>
        </w:tc>
        <w:tc>
          <w:tcPr>
            <w:tcW w:w="215" w:type="pct"/>
            <w:tcBorders>
              <w:left w:val="single" w:color="000000" w:sz="12" w:space="0"/>
            </w:tcBorders>
            <w:vAlign w:val="center"/>
          </w:tcPr>
          <w:p w14:paraId="630885F2">
            <w:pPr>
              <w:contextualSpacing/>
              <w:jc w:val="center"/>
              <w:rPr>
                <w:rFonts w:ascii="Times New Roman" w:eastAsia="仿宋"/>
                <w:szCs w:val="21"/>
              </w:rPr>
            </w:pPr>
            <w:r>
              <w:rPr>
                <w:rFonts w:ascii="Times New Roman" w:eastAsia="仿宋"/>
                <w:szCs w:val="21"/>
              </w:rPr>
              <w:t>2.5</w:t>
            </w:r>
          </w:p>
        </w:tc>
      </w:tr>
      <w:tr w14:paraId="50CE6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1322228A">
            <w:pPr>
              <w:contextualSpacing/>
              <w:jc w:val="center"/>
              <w:rPr>
                <w:rFonts w:ascii="Times New Roman" w:eastAsia="仿宋"/>
                <w:szCs w:val="21"/>
              </w:rPr>
            </w:pPr>
            <w:r>
              <w:rPr>
                <w:rFonts w:ascii="Times New Roman" w:eastAsia="仿宋"/>
                <w:szCs w:val="21"/>
              </w:rPr>
              <w:t>05</w:t>
            </w:r>
          </w:p>
        </w:tc>
        <w:tc>
          <w:tcPr>
            <w:tcW w:w="215" w:type="pct"/>
            <w:vAlign w:val="center"/>
          </w:tcPr>
          <w:p w14:paraId="31A4197B">
            <w:pPr>
              <w:contextualSpacing/>
              <w:jc w:val="center"/>
              <w:rPr>
                <w:rFonts w:ascii="Times New Roman" w:eastAsia="仿宋"/>
                <w:szCs w:val="21"/>
              </w:rPr>
            </w:pPr>
            <w:r>
              <w:rPr>
                <w:rFonts w:ascii="Times New Roman" w:eastAsia="仿宋"/>
                <w:szCs w:val="21"/>
              </w:rPr>
              <w:t>3.3</w:t>
            </w:r>
          </w:p>
        </w:tc>
        <w:tc>
          <w:tcPr>
            <w:tcW w:w="318" w:type="pct"/>
            <w:vAlign w:val="center"/>
          </w:tcPr>
          <w:p w14:paraId="707D19E6">
            <w:pPr>
              <w:contextualSpacing/>
              <w:jc w:val="center"/>
              <w:rPr>
                <w:rFonts w:ascii="Times New Roman" w:eastAsia="仿宋"/>
                <w:szCs w:val="21"/>
              </w:rPr>
            </w:pPr>
            <w:r>
              <w:rPr>
                <w:rFonts w:ascii="Times New Roman" w:eastAsia="仿宋"/>
                <w:szCs w:val="21"/>
              </w:rPr>
              <w:t>4.9</w:t>
            </w:r>
          </w:p>
        </w:tc>
        <w:tc>
          <w:tcPr>
            <w:tcW w:w="262" w:type="pct"/>
            <w:vAlign w:val="center"/>
          </w:tcPr>
          <w:p w14:paraId="76A38D95">
            <w:pPr>
              <w:contextualSpacing/>
              <w:jc w:val="center"/>
              <w:rPr>
                <w:rFonts w:ascii="Times New Roman" w:eastAsia="仿宋"/>
                <w:szCs w:val="21"/>
              </w:rPr>
            </w:pPr>
            <w:r>
              <w:rPr>
                <w:rFonts w:ascii="Times New Roman" w:eastAsia="仿宋"/>
                <w:szCs w:val="21"/>
              </w:rPr>
              <w:t>5.7</w:t>
            </w:r>
          </w:p>
        </w:tc>
        <w:tc>
          <w:tcPr>
            <w:tcW w:w="291" w:type="pct"/>
            <w:vAlign w:val="center"/>
          </w:tcPr>
          <w:p w14:paraId="4CC9FC15">
            <w:pPr>
              <w:contextualSpacing/>
              <w:jc w:val="center"/>
              <w:rPr>
                <w:rFonts w:ascii="Times New Roman" w:eastAsia="仿宋"/>
                <w:szCs w:val="21"/>
              </w:rPr>
            </w:pPr>
            <w:r>
              <w:rPr>
                <w:rFonts w:ascii="Times New Roman" w:eastAsia="仿宋"/>
                <w:szCs w:val="21"/>
              </w:rPr>
              <w:t>6.2</w:t>
            </w:r>
          </w:p>
        </w:tc>
        <w:tc>
          <w:tcPr>
            <w:tcW w:w="215" w:type="pct"/>
            <w:vAlign w:val="center"/>
          </w:tcPr>
          <w:p w14:paraId="269E0001">
            <w:pPr>
              <w:contextualSpacing/>
              <w:jc w:val="center"/>
              <w:rPr>
                <w:rFonts w:ascii="Times New Roman" w:eastAsia="仿宋"/>
                <w:szCs w:val="21"/>
              </w:rPr>
            </w:pPr>
            <w:r>
              <w:rPr>
                <w:rFonts w:ascii="Times New Roman" w:eastAsia="仿宋"/>
                <w:szCs w:val="21"/>
              </w:rPr>
              <w:t>9.2</w:t>
            </w:r>
          </w:p>
        </w:tc>
        <w:tc>
          <w:tcPr>
            <w:tcW w:w="285" w:type="pct"/>
            <w:vAlign w:val="center"/>
          </w:tcPr>
          <w:p w14:paraId="0535070C">
            <w:pPr>
              <w:contextualSpacing/>
              <w:jc w:val="center"/>
              <w:rPr>
                <w:rFonts w:ascii="Times New Roman" w:eastAsia="仿宋"/>
                <w:szCs w:val="21"/>
              </w:rPr>
            </w:pPr>
            <w:r>
              <w:rPr>
                <w:rFonts w:ascii="Times New Roman" w:eastAsia="仿宋"/>
                <w:szCs w:val="21"/>
              </w:rPr>
              <w:t>16.1</w:t>
            </w:r>
          </w:p>
        </w:tc>
        <w:tc>
          <w:tcPr>
            <w:tcW w:w="215" w:type="pct"/>
            <w:vAlign w:val="center"/>
          </w:tcPr>
          <w:p w14:paraId="24EDB433">
            <w:pPr>
              <w:contextualSpacing/>
              <w:jc w:val="center"/>
              <w:rPr>
                <w:rFonts w:ascii="Times New Roman" w:eastAsia="仿宋"/>
                <w:szCs w:val="21"/>
              </w:rPr>
            </w:pPr>
            <w:r>
              <w:rPr>
                <w:rFonts w:ascii="Times New Roman" w:eastAsia="仿宋"/>
                <w:szCs w:val="21"/>
              </w:rPr>
              <w:t>11.6</w:t>
            </w:r>
          </w:p>
        </w:tc>
        <w:tc>
          <w:tcPr>
            <w:tcW w:w="265" w:type="pct"/>
            <w:vAlign w:val="center"/>
          </w:tcPr>
          <w:p w14:paraId="65572CAA">
            <w:pPr>
              <w:contextualSpacing/>
              <w:jc w:val="center"/>
              <w:rPr>
                <w:rFonts w:ascii="Times New Roman" w:eastAsia="仿宋"/>
                <w:szCs w:val="21"/>
              </w:rPr>
            </w:pPr>
            <w:r>
              <w:rPr>
                <w:rFonts w:ascii="Times New Roman" w:eastAsia="仿宋"/>
                <w:szCs w:val="21"/>
              </w:rPr>
              <w:t>9.9</w:t>
            </w:r>
          </w:p>
        </w:tc>
        <w:tc>
          <w:tcPr>
            <w:tcW w:w="215" w:type="pct"/>
            <w:vAlign w:val="center"/>
          </w:tcPr>
          <w:p w14:paraId="77A76431">
            <w:pPr>
              <w:contextualSpacing/>
              <w:jc w:val="center"/>
              <w:rPr>
                <w:rFonts w:ascii="Times New Roman" w:eastAsia="仿宋"/>
                <w:szCs w:val="21"/>
              </w:rPr>
            </w:pPr>
            <w:r>
              <w:rPr>
                <w:rFonts w:ascii="Times New Roman" w:eastAsia="仿宋"/>
                <w:szCs w:val="21"/>
              </w:rPr>
              <w:t>5.0</w:t>
            </w:r>
          </w:p>
        </w:tc>
        <w:tc>
          <w:tcPr>
            <w:tcW w:w="296" w:type="pct"/>
            <w:vAlign w:val="center"/>
          </w:tcPr>
          <w:p w14:paraId="5B4AA317">
            <w:pPr>
              <w:contextualSpacing/>
              <w:jc w:val="center"/>
              <w:rPr>
                <w:rFonts w:ascii="Times New Roman" w:eastAsia="仿宋"/>
                <w:szCs w:val="21"/>
              </w:rPr>
            </w:pPr>
            <w:r>
              <w:rPr>
                <w:rFonts w:ascii="Times New Roman" w:eastAsia="仿宋"/>
                <w:szCs w:val="21"/>
              </w:rPr>
              <w:t>2.7</w:t>
            </w:r>
          </w:p>
        </w:tc>
        <w:tc>
          <w:tcPr>
            <w:tcW w:w="243" w:type="pct"/>
            <w:vAlign w:val="center"/>
          </w:tcPr>
          <w:p w14:paraId="4E599909">
            <w:pPr>
              <w:contextualSpacing/>
              <w:jc w:val="center"/>
              <w:rPr>
                <w:rFonts w:ascii="Times New Roman" w:eastAsia="仿宋"/>
                <w:szCs w:val="21"/>
              </w:rPr>
            </w:pPr>
            <w:r>
              <w:rPr>
                <w:rFonts w:ascii="Times New Roman" w:eastAsia="仿宋"/>
                <w:szCs w:val="21"/>
              </w:rPr>
              <w:t>3.5</w:t>
            </w:r>
          </w:p>
        </w:tc>
        <w:tc>
          <w:tcPr>
            <w:tcW w:w="338" w:type="pct"/>
            <w:vAlign w:val="center"/>
          </w:tcPr>
          <w:p w14:paraId="498B899B">
            <w:pPr>
              <w:contextualSpacing/>
              <w:jc w:val="center"/>
              <w:rPr>
                <w:rFonts w:ascii="Times New Roman" w:eastAsia="仿宋"/>
                <w:szCs w:val="21"/>
              </w:rPr>
            </w:pPr>
            <w:r>
              <w:rPr>
                <w:rFonts w:ascii="Times New Roman" w:eastAsia="仿宋"/>
                <w:szCs w:val="21"/>
              </w:rPr>
              <w:t>3.5</w:t>
            </w:r>
          </w:p>
        </w:tc>
        <w:tc>
          <w:tcPr>
            <w:tcW w:w="215" w:type="pct"/>
            <w:vAlign w:val="center"/>
          </w:tcPr>
          <w:p w14:paraId="7774BD3B">
            <w:pPr>
              <w:contextualSpacing/>
              <w:jc w:val="center"/>
              <w:rPr>
                <w:rFonts w:ascii="Times New Roman" w:eastAsia="仿宋"/>
                <w:szCs w:val="21"/>
              </w:rPr>
            </w:pPr>
            <w:r>
              <w:rPr>
                <w:rFonts w:ascii="Times New Roman" w:eastAsia="仿宋"/>
                <w:szCs w:val="21"/>
              </w:rPr>
              <w:t>5.1</w:t>
            </w:r>
          </w:p>
        </w:tc>
        <w:tc>
          <w:tcPr>
            <w:tcW w:w="353" w:type="pct"/>
            <w:vAlign w:val="center"/>
          </w:tcPr>
          <w:p w14:paraId="24C62426">
            <w:pPr>
              <w:contextualSpacing/>
              <w:jc w:val="center"/>
              <w:rPr>
                <w:rFonts w:ascii="Times New Roman" w:eastAsia="仿宋"/>
                <w:szCs w:val="21"/>
              </w:rPr>
            </w:pPr>
            <w:r>
              <w:rPr>
                <w:rFonts w:ascii="Times New Roman" w:eastAsia="仿宋"/>
                <w:szCs w:val="21"/>
              </w:rPr>
              <w:t>3.6</w:t>
            </w:r>
          </w:p>
        </w:tc>
        <w:tc>
          <w:tcPr>
            <w:tcW w:w="259" w:type="pct"/>
            <w:vAlign w:val="center"/>
          </w:tcPr>
          <w:p w14:paraId="31D1C857">
            <w:pPr>
              <w:contextualSpacing/>
              <w:jc w:val="center"/>
              <w:rPr>
                <w:rFonts w:ascii="Times New Roman" w:eastAsia="仿宋"/>
                <w:szCs w:val="21"/>
              </w:rPr>
            </w:pPr>
            <w:r>
              <w:rPr>
                <w:rFonts w:ascii="Times New Roman" w:eastAsia="仿宋"/>
                <w:szCs w:val="21"/>
              </w:rPr>
              <w:t>3.8</w:t>
            </w:r>
          </w:p>
        </w:tc>
        <w:tc>
          <w:tcPr>
            <w:tcW w:w="327" w:type="pct"/>
            <w:vAlign w:val="center"/>
          </w:tcPr>
          <w:p w14:paraId="697B5308">
            <w:pPr>
              <w:contextualSpacing/>
              <w:jc w:val="center"/>
              <w:rPr>
                <w:rFonts w:ascii="Times New Roman" w:eastAsia="仿宋"/>
                <w:szCs w:val="21"/>
              </w:rPr>
            </w:pPr>
            <w:r>
              <w:rPr>
                <w:rFonts w:ascii="Times New Roman" w:eastAsia="仿宋"/>
                <w:szCs w:val="21"/>
              </w:rPr>
              <w:t>3.3</w:t>
            </w:r>
          </w:p>
        </w:tc>
        <w:tc>
          <w:tcPr>
            <w:tcW w:w="215" w:type="pct"/>
            <w:tcBorders>
              <w:left w:val="single" w:color="000000" w:sz="12" w:space="0"/>
            </w:tcBorders>
            <w:vAlign w:val="center"/>
          </w:tcPr>
          <w:p w14:paraId="3D05C788">
            <w:pPr>
              <w:contextualSpacing/>
              <w:jc w:val="center"/>
              <w:rPr>
                <w:rFonts w:ascii="Times New Roman" w:eastAsia="仿宋"/>
                <w:szCs w:val="21"/>
              </w:rPr>
            </w:pPr>
            <w:r>
              <w:rPr>
                <w:rFonts w:ascii="Times New Roman" w:eastAsia="仿宋"/>
                <w:szCs w:val="21"/>
              </w:rPr>
              <w:t>2.5</w:t>
            </w:r>
          </w:p>
        </w:tc>
      </w:tr>
      <w:tr w14:paraId="1AEF9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571B4DC2">
            <w:pPr>
              <w:contextualSpacing/>
              <w:jc w:val="center"/>
              <w:rPr>
                <w:rFonts w:ascii="Times New Roman" w:eastAsia="仿宋"/>
                <w:szCs w:val="21"/>
              </w:rPr>
            </w:pPr>
            <w:r>
              <w:rPr>
                <w:rFonts w:ascii="Times New Roman" w:eastAsia="仿宋"/>
                <w:szCs w:val="21"/>
              </w:rPr>
              <w:t>06</w:t>
            </w:r>
          </w:p>
        </w:tc>
        <w:tc>
          <w:tcPr>
            <w:tcW w:w="215" w:type="pct"/>
            <w:vAlign w:val="center"/>
          </w:tcPr>
          <w:p w14:paraId="075CCB6B">
            <w:pPr>
              <w:contextualSpacing/>
              <w:jc w:val="center"/>
              <w:rPr>
                <w:rFonts w:ascii="Times New Roman" w:eastAsia="仿宋"/>
                <w:szCs w:val="21"/>
              </w:rPr>
            </w:pPr>
            <w:r>
              <w:rPr>
                <w:rFonts w:ascii="Times New Roman" w:eastAsia="仿宋"/>
                <w:szCs w:val="21"/>
              </w:rPr>
              <w:t>2.4</w:t>
            </w:r>
          </w:p>
        </w:tc>
        <w:tc>
          <w:tcPr>
            <w:tcW w:w="318" w:type="pct"/>
            <w:vAlign w:val="center"/>
          </w:tcPr>
          <w:p w14:paraId="3CFCC29E">
            <w:pPr>
              <w:contextualSpacing/>
              <w:jc w:val="center"/>
              <w:rPr>
                <w:rFonts w:ascii="Times New Roman" w:eastAsia="仿宋"/>
                <w:szCs w:val="21"/>
              </w:rPr>
            </w:pPr>
            <w:r>
              <w:rPr>
                <w:rFonts w:ascii="Times New Roman" w:eastAsia="仿宋"/>
                <w:szCs w:val="21"/>
              </w:rPr>
              <w:t>4.7</w:t>
            </w:r>
          </w:p>
        </w:tc>
        <w:tc>
          <w:tcPr>
            <w:tcW w:w="262" w:type="pct"/>
            <w:vAlign w:val="center"/>
          </w:tcPr>
          <w:p w14:paraId="271F8880">
            <w:pPr>
              <w:contextualSpacing/>
              <w:jc w:val="center"/>
              <w:rPr>
                <w:rFonts w:ascii="Times New Roman" w:eastAsia="仿宋"/>
                <w:szCs w:val="21"/>
              </w:rPr>
            </w:pPr>
            <w:r>
              <w:rPr>
                <w:rFonts w:ascii="Times New Roman" w:eastAsia="仿宋"/>
                <w:szCs w:val="21"/>
              </w:rPr>
              <w:t>5.5</w:t>
            </w:r>
          </w:p>
        </w:tc>
        <w:tc>
          <w:tcPr>
            <w:tcW w:w="291" w:type="pct"/>
            <w:vAlign w:val="center"/>
          </w:tcPr>
          <w:p w14:paraId="65641F3B">
            <w:pPr>
              <w:contextualSpacing/>
              <w:jc w:val="center"/>
              <w:rPr>
                <w:rFonts w:ascii="Times New Roman" w:eastAsia="仿宋"/>
                <w:szCs w:val="21"/>
              </w:rPr>
            </w:pPr>
            <w:r>
              <w:rPr>
                <w:rFonts w:ascii="Times New Roman" w:eastAsia="仿宋"/>
                <w:szCs w:val="21"/>
              </w:rPr>
              <w:t>7.8</w:t>
            </w:r>
          </w:p>
        </w:tc>
        <w:tc>
          <w:tcPr>
            <w:tcW w:w="215" w:type="pct"/>
            <w:vAlign w:val="center"/>
          </w:tcPr>
          <w:p w14:paraId="25910415">
            <w:pPr>
              <w:contextualSpacing/>
              <w:jc w:val="center"/>
              <w:rPr>
                <w:rFonts w:ascii="Times New Roman" w:eastAsia="仿宋"/>
                <w:szCs w:val="21"/>
              </w:rPr>
            </w:pPr>
            <w:r>
              <w:rPr>
                <w:rFonts w:ascii="Times New Roman" w:eastAsia="仿宋"/>
                <w:szCs w:val="21"/>
              </w:rPr>
              <w:t>11.0</w:t>
            </w:r>
          </w:p>
        </w:tc>
        <w:tc>
          <w:tcPr>
            <w:tcW w:w="285" w:type="pct"/>
            <w:vAlign w:val="center"/>
          </w:tcPr>
          <w:p w14:paraId="57DAA3C2">
            <w:pPr>
              <w:contextualSpacing/>
              <w:jc w:val="center"/>
              <w:rPr>
                <w:rFonts w:ascii="Times New Roman" w:eastAsia="仿宋"/>
                <w:szCs w:val="21"/>
              </w:rPr>
            </w:pPr>
            <w:r>
              <w:rPr>
                <w:rFonts w:ascii="Times New Roman" w:eastAsia="仿宋"/>
                <w:szCs w:val="21"/>
              </w:rPr>
              <w:t>17.9</w:t>
            </w:r>
          </w:p>
        </w:tc>
        <w:tc>
          <w:tcPr>
            <w:tcW w:w="215" w:type="pct"/>
            <w:vAlign w:val="center"/>
          </w:tcPr>
          <w:p w14:paraId="080405EC">
            <w:pPr>
              <w:contextualSpacing/>
              <w:jc w:val="center"/>
              <w:rPr>
                <w:rFonts w:ascii="Times New Roman" w:eastAsia="仿宋"/>
                <w:szCs w:val="21"/>
              </w:rPr>
            </w:pPr>
            <w:r>
              <w:rPr>
                <w:rFonts w:ascii="Times New Roman" w:eastAsia="仿宋"/>
                <w:szCs w:val="21"/>
              </w:rPr>
              <w:t>12.1</w:t>
            </w:r>
          </w:p>
        </w:tc>
        <w:tc>
          <w:tcPr>
            <w:tcW w:w="265" w:type="pct"/>
            <w:vAlign w:val="center"/>
          </w:tcPr>
          <w:p w14:paraId="4D815B63">
            <w:pPr>
              <w:contextualSpacing/>
              <w:jc w:val="center"/>
              <w:rPr>
                <w:rFonts w:ascii="Times New Roman" w:eastAsia="仿宋"/>
                <w:szCs w:val="21"/>
              </w:rPr>
            </w:pPr>
            <w:r>
              <w:rPr>
                <w:rFonts w:ascii="Times New Roman" w:eastAsia="仿宋"/>
                <w:szCs w:val="21"/>
              </w:rPr>
              <w:t>10.1</w:t>
            </w:r>
          </w:p>
        </w:tc>
        <w:tc>
          <w:tcPr>
            <w:tcW w:w="215" w:type="pct"/>
            <w:vAlign w:val="center"/>
          </w:tcPr>
          <w:p w14:paraId="2846B3AE">
            <w:pPr>
              <w:contextualSpacing/>
              <w:jc w:val="center"/>
              <w:rPr>
                <w:rFonts w:ascii="Times New Roman" w:eastAsia="仿宋"/>
                <w:szCs w:val="21"/>
              </w:rPr>
            </w:pPr>
            <w:r>
              <w:rPr>
                <w:rFonts w:ascii="Times New Roman" w:eastAsia="仿宋"/>
                <w:szCs w:val="21"/>
              </w:rPr>
              <w:t>4.4</w:t>
            </w:r>
          </w:p>
        </w:tc>
        <w:tc>
          <w:tcPr>
            <w:tcW w:w="296" w:type="pct"/>
            <w:vAlign w:val="center"/>
          </w:tcPr>
          <w:p w14:paraId="5CB5092D">
            <w:pPr>
              <w:contextualSpacing/>
              <w:jc w:val="center"/>
              <w:rPr>
                <w:rFonts w:ascii="Times New Roman" w:eastAsia="仿宋"/>
                <w:szCs w:val="21"/>
              </w:rPr>
            </w:pPr>
            <w:r>
              <w:rPr>
                <w:rFonts w:ascii="Times New Roman" w:eastAsia="仿宋"/>
                <w:szCs w:val="21"/>
              </w:rPr>
              <w:t>4.1</w:t>
            </w:r>
          </w:p>
        </w:tc>
        <w:tc>
          <w:tcPr>
            <w:tcW w:w="243" w:type="pct"/>
            <w:vAlign w:val="center"/>
          </w:tcPr>
          <w:p w14:paraId="7198379B">
            <w:pPr>
              <w:contextualSpacing/>
              <w:jc w:val="center"/>
              <w:rPr>
                <w:rFonts w:ascii="Times New Roman" w:eastAsia="仿宋"/>
                <w:szCs w:val="21"/>
              </w:rPr>
            </w:pPr>
            <w:r>
              <w:rPr>
                <w:rFonts w:ascii="Times New Roman" w:eastAsia="仿宋"/>
                <w:szCs w:val="21"/>
              </w:rPr>
              <w:t>4.0</w:t>
            </w:r>
          </w:p>
        </w:tc>
        <w:tc>
          <w:tcPr>
            <w:tcW w:w="338" w:type="pct"/>
            <w:vAlign w:val="center"/>
          </w:tcPr>
          <w:p w14:paraId="4CD2E122">
            <w:pPr>
              <w:contextualSpacing/>
              <w:jc w:val="center"/>
              <w:rPr>
                <w:rFonts w:ascii="Times New Roman" w:eastAsia="仿宋"/>
                <w:szCs w:val="21"/>
              </w:rPr>
            </w:pPr>
            <w:r>
              <w:rPr>
                <w:rFonts w:ascii="Times New Roman" w:eastAsia="仿宋"/>
                <w:szCs w:val="21"/>
              </w:rPr>
              <w:t>4.2</w:t>
            </w:r>
          </w:p>
        </w:tc>
        <w:tc>
          <w:tcPr>
            <w:tcW w:w="215" w:type="pct"/>
            <w:vAlign w:val="center"/>
          </w:tcPr>
          <w:p w14:paraId="62728F91">
            <w:pPr>
              <w:contextualSpacing/>
              <w:jc w:val="center"/>
              <w:rPr>
                <w:rFonts w:ascii="Times New Roman" w:eastAsia="仿宋"/>
                <w:szCs w:val="21"/>
              </w:rPr>
            </w:pPr>
            <w:r>
              <w:rPr>
                <w:rFonts w:ascii="Times New Roman" w:eastAsia="仿宋"/>
                <w:szCs w:val="21"/>
              </w:rPr>
              <w:t>3.7</w:t>
            </w:r>
          </w:p>
        </w:tc>
        <w:tc>
          <w:tcPr>
            <w:tcW w:w="353" w:type="pct"/>
            <w:vAlign w:val="center"/>
          </w:tcPr>
          <w:p w14:paraId="3FCC4EE9">
            <w:pPr>
              <w:contextualSpacing/>
              <w:jc w:val="center"/>
              <w:rPr>
                <w:rFonts w:ascii="Times New Roman" w:eastAsia="仿宋"/>
                <w:szCs w:val="21"/>
              </w:rPr>
            </w:pPr>
            <w:r>
              <w:rPr>
                <w:rFonts w:ascii="Times New Roman" w:eastAsia="仿宋"/>
                <w:szCs w:val="21"/>
              </w:rPr>
              <w:t>1.8</w:t>
            </w:r>
          </w:p>
        </w:tc>
        <w:tc>
          <w:tcPr>
            <w:tcW w:w="259" w:type="pct"/>
            <w:vAlign w:val="center"/>
          </w:tcPr>
          <w:p w14:paraId="4725853E">
            <w:pPr>
              <w:contextualSpacing/>
              <w:jc w:val="center"/>
              <w:rPr>
                <w:rFonts w:ascii="Times New Roman" w:eastAsia="仿宋"/>
                <w:szCs w:val="21"/>
              </w:rPr>
            </w:pPr>
            <w:r>
              <w:rPr>
                <w:rFonts w:ascii="Times New Roman" w:eastAsia="仿宋"/>
                <w:szCs w:val="21"/>
              </w:rPr>
              <w:t>2.0</w:t>
            </w:r>
          </w:p>
        </w:tc>
        <w:tc>
          <w:tcPr>
            <w:tcW w:w="327" w:type="pct"/>
            <w:vAlign w:val="center"/>
          </w:tcPr>
          <w:p w14:paraId="2699E5DF">
            <w:pPr>
              <w:contextualSpacing/>
              <w:jc w:val="center"/>
              <w:rPr>
                <w:rFonts w:ascii="Times New Roman" w:eastAsia="仿宋"/>
                <w:szCs w:val="21"/>
              </w:rPr>
            </w:pPr>
            <w:r>
              <w:rPr>
                <w:rFonts w:ascii="Times New Roman" w:eastAsia="仿宋"/>
                <w:szCs w:val="21"/>
              </w:rPr>
              <w:t>2.6</w:t>
            </w:r>
          </w:p>
        </w:tc>
        <w:tc>
          <w:tcPr>
            <w:tcW w:w="215" w:type="pct"/>
            <w:tcBorders>
              <w:left w:val="single" w:color="000000" w:sz="12" w:space="0"/>
            </w:tcBorders>
            <w:vAlign w:val="center"/>
          </w:tcPr>
          <w:p w14:paraId="772B9CAA">
            <w:pPr>
              <w:contextualSpacing/>
              <w:jc w:val="center"/>
              <w:rPr>
                <w:rFonts w:ascii="Times New Roman" w:eastAsia="仿宋"/>
                <w:szCs w:val="21"/>
              </w:rPr>
            </w:pPr>
            <w:r>
              <w:rPr>
                <w:rFonts w:ascii="Times New Roman" w:eastAsia="仿宋"/>
                <w:szCs w:val="21"/>
              </w:rPr>
              <w:t>1.9</w:t>
            </w:r>
          </w:p>
        </w:tc>
      </w:tr>
      <w:tr w14:paraId="28A4B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shd w:val="clear" w:color="auto" w:fill="FFFFFF"/>
            <w:vAlign w:val="center"/>
          </w:tcPr>
          <w:p w14:paraId="435A71AE">
            <w:pPr>
              <w:contextualSpacing/>
              <w:jc w:val="center"/>
              <w:rPr>
                <w:rFonts w:ascii="Times New Roman" w:eastAsia="仿宋"/>
                <w:szCs w:val="21"/>
              </w:rPr>
            </w:pPr>
            <w:r>
              <w:rPr>
                <w:rFonts w:ascii="Times New Roman" w:eastAsia="仿宋"/>
                <w:szCs w:val="21"/>
              </w:rPr>
              <w:t>07</w:t>
            </w:r>
          </w:p>
        </w:tc>
        <w:tc>
          <w:tcPr>
            <w:tcW w:w="215" w:type="pct"/>
            <w:vAlign w:val="center"/>
          </w:tcPr>
          <w:p w14:paraId="0A0FBFF5">
            <w:pPr>
              <w:contextualSpacing/>
              <w:jc w:val="center"/>
              <w:rPr>
                <w:rFonts w:ascii="Times New Roman" w:eastAsia="仿宋"/>
                <w:szCs w:val="21"/>
              </w:rPr>
            </w:pPr>
            <w:r>
              <w:rPr>
                <w:rFonts w:ascii="Times New Roman" w:eastAsia="仿宋"/>
                <w:szCs w:val="21"/>
              </w:rPr>
              <w:t>2.6</w:t>
            </w:r>
          </w:p>
        </w:tc>
        <w:tc>
          <w:tcPr>
            <w:tcW w:w="318" w:type="pct"/>
            <w:vAlign w:val="center"/>
          </w:tcPr>
          <w:p w14:paraId="31AF43DA">
            <w:pPr>
              <w:contextualSpacing/>
              <w:jc w:val="center"/>
              <w:rPr>
                <w:rFonts w:ascii="Times New Roman" w:eastAsia="仿宋"/>
                <w:szCs w:val="21"/>
              </w:rPr>
            </w:pPr>
            <w:r>
              <w:rPr>
                <w:rFonts w:ascii="Times New Roman" w:eastAsia="仿宋"/>
                <w:szCs w:val="21"/>
              </w:rPr>
              <w:t>3.8</w:t>
            </w:r>
          </w:p>
        </w:tc>
        <w:tc>
          <w:tcPr>
            <w:tcW w:w="262" w:type="pct"/>
            <w:vAlign w:val="center"/>
          </w:tcPr>
          <w:p w14:paraId="32C34F6F">
            <w:pPr>
              <w:contextualSpacing/>
              <w:jc w:val="center"/>
              <w:rPr>
                <w:rFonts w:ascii="Times New Roman" w:eastAsia="仿宋"/>
                <w:szCs w:val="21"/>
              </w:rPr>
            </w:pPr>
            <w:r>
              <w:rPr>
                <w:rFonts w:ascii="Times New Roman" w:eastAsia="仿宋"/>
                <w:szCs w:val="21"/>
              </w:rPr>
              <w:t>5.0</w:t>
            </w:r>
          </w:p>
        </w:tc>
        <w:tc>
          <w:tcPr>
            <w:tcW w:w="291" w:type="pct"/>
            <w:vAlign w:val="center"/>
          </w:tcPr>
          <w:p w14:paraId="17593908">
            <w:pPr>
              <w:contextualSpacing/>
              <w:jc w:val="center"/>
              <w:rPr>
                <w:rFonts w:ascii="Times New Roman" w:eastAsia="仿宋"/>
                <w:szCs w:val="21"/>
              </w:rPr>
            </w:pPr>
            <w:r>
              <w:rPr>
                <w:rFonts w:ascii="Times New Roman" w:eastAsia="仿宋"/>
                <w:szCs w:val="21"/>
              </w:rPr>
              <w:t>6.4</w:t>
            </w:r>
          </w:p>
        </w:tc>
        <w:tc>
          <w:tcPr>
            <w:tcW w:w="215" w:type="pct"/>
            <w:vAlign w:val="center"/>
          </w:tcPr>
          <w:p w14:paraId="4AD7A582">
            <w:pPr>
              <w:contextualSpacing/>
              <w:jc w:val="center"/>
              <w:rPr>
                <w:rFonts w:ascii="Times New Roman" w:eastAsia="仿宋"/>
                <w:szCs w:val="21"/>
              </w:rPr>
            </w:pPr>
            <w:r>
              <w:rPr>
                <w:rFonts w:ascii="Times New Roman" w:eastAsia="仿宋"/>
                <w:szCs w:val="21"/>
              </w:rPr>
              <w:t>7.0</w:t>
            </w:r>
          </w:p>
        </w:tc>
        <w:tc>
          <w:tcPr>
            <w:tcW w:w="285" w:type="pct"/>
            <w:vAlign w:val="center"/>
          </w:tcPr>
          <w:p w14:paraId="6B217351">
            <w:pPr>
              <w:contextualSpacing/>
              <w:jc w:val="center"/>
              <w:rPr>
                <w:rFonts w:ascii="Times New Roman" w:eastAsia="仿宋"/>
                <w:szCs w:val="21"/>
              </w:rPr>
            </w:pPr>
            <w:r>
              <w:rPr>
                <w:rFonts w:ascii="Times New Roman" w:eastAsia="仿宋"/>
                <w:szCs w:val="21"/>
              </w:rPr>
              <w:t>10.9</w:t>
            </w:r>
          </w:p>
        </w:tc>
        <w:tc>
          <w:tcPr>
            <w:tcW w:w="215" w:type="pct"/>
            <w:vAlign w:val="center"/>
          </w:tcPr>
          <w:p w14:paraId="39284855">
            <w:pPr>
              <w:contextualSpacing/>
              <w:jc w:val="center"/>
              <w:rPr>
                <w:rFonts w:ascii="Times New Roman" w:eastAsia="仿宋"/>
                <w:szCs w:val="21"/>
              </w:rPr>
            </w:pPr>
            <w:r>
              <w:rPr>
                <w:rFonts w:ascii="Times New Roman" w:eastAsia="仿宋"/>
                <w:szCs w:val="21"/>
              </w:rPr>
              <w:t>9.2</w:t>
            </w:r>
          </w:p>
        </w:tc>
        <w:tc>
          <w:tcPr>
            <w:tcW w:w="265" w:type="pct"/>
            <w:vAlign w:val="center"/>
          </w:tcPr>
          <w:p w14:paraId="78A3AAA0">
            <w:pPr>
              <w:contextualSpacing/>
              <w:jc w:val="center"/>
              <w:rPr>
                <w:rFonts w:ascii="Times New Roman" w:eastAsia="仿宋"/>
                <w:szCs w:val="21"/>
              </w:rPr>
            </w:pPr>
            <w:r>
              <w:rPr>
                <w:rFonts w:ascii="Times New Roman" w:eastAsia="仿宋"/>
                <w:szCs w:val="21"/>
              </w:rPr>
              <w:t>10.9</w:t>
            </w:r>
          </w:p>
        </w:tc>
        <w:tc>
          <w:tcPr>
            <w:tcW w:w="215" w:type="pct"/>
            <w:vAlign w:val="center"/>
          </w:tcPr>
          <w:p w14:paraId="092C36EB">
            <w:pPr>
              <w:contextualSpacing/>
              <w:jc w:val="center"/>
              <w:rPr>
                <w:rFonts w:ascii="Times New Roman" w:eastAsia="仿宋"/>
                <w:szCs w:val="21"/>
              </w:rPr>
            </w:pPr>
            <w:r>
              <w:rPr>
                <w:rFonts w:ascii="Times New Roman" w:eastAsia="仿宋"/>
                <w:szCs w:val="21"/>
              </w:rPr>
              <w:t>5.6</w:t>
            </w:r>
          </w:p>
        </w:tc>
        <w:tc>
          <w:tcPr>
            <w:tcW w:w="296" w:type="pct"/>
            <w:vAlign w:val="center"/>
          </w:tcPr>
          <w:p w14:paraId="09EB52F2">
            <w:pPr>
              <w:contextualSpacing/>
              <w:jc w:val="center"/>
              <w:rPr>
                <w:rFonts w:ascii="Times New Roman" w:eastAsia="仿宋"/>
                <w:szCs w:val="21"/>
              </w:rPr>
            </w:pPr>
            <w:r>
              <w:rPr>
                <w:rFonts w:ascii="Times New Roman" w:eastAsia="仿宋"/>
                <w:szCs w:val="21"/>
              </w:rPr>
              <w:t>6.8</w:t>
            </w:r>
          </w:p>
        </w:tc>
        <w:tc>
          <w:tcPr>
            <w:tcW w:w="243" w:type="pct"/>
            <w:vAlign w:val="center"/>
          </w:tcPr>
          <w:p w14:paraId="3A04654F">
            <w:pPr>
              <w:contextualSpacing/>
              <w:jc w:val="center"/>
              <w:rPr>
                <w:rFonts w:ascii="Times New Roman" w:eastAsia="仿宋"/>
                <w:szCs w:val="21"/>
              </w:rPr>
            </w:pPr>
            <w:r>
              <w:rPr>
                <w:rFonts w:ascii="Times New Roman" w:eastAsia="仿宋"/>
                <w:szCs w:val="21"/>
              </w:rPr>
              <w:t>7.7</w:t>
            </w:r>
          </w:p>
        </w:tc>
        <w:tc>
          <w:tcPr>
            <w:tcW w:w="338" w:type="pct"/>
            <w:vAlign w:val="center"/>
          </w:tcPr>
          <w:p w14:paraId="6EF7A942">
            <w:pPr>
              <w:contextualSpacing/>
              <w:jc w:val="center"/>
              <w:rPr>
                <w:rFonts w:ascii="Times New Roman" w:eastAsia="仿宋"/>
                <w:szCs w:val="21"/>
              </w:rPr>
            </w:pPr>
            <w:r>
              <w:rPr>
                <w:rFonts w:ascii="Times New Roman" w:eastAsia="仿宋"/>
                <w:szCs w:val="21"/>
              </w:rPr>
              <w:t>6.1</w:t>
            </w:r>
          </w:p>
        </w:tc>
        <w:tc>
          <w:tcPr>
            <w:tcW w:w="215" w:type="pct"/>
            <w:vAlign w:val="center"/>
          </w:tcPr>
          <w:p w14:paraId="7465E8DE">
            <w:pPr>
              <w:contextualSpacing/>
              <w:jc w:val="center"/>
              <w:rPr>
                <w:rFonts w:ascii="Times New Roman" w:eastAsia="仿宋"/>
                <w:szCs w:val="21"/>
              </w:rPr>
            </w:pPr>
            <w:r>
              <w:rPr>
                <w:rFonts w:ascii="Times New Roman" w:eastAsia="仿宋"/>
                <w:szCs w:val="21"/>
              </w:rPr>
              <w:t>4.1</w:t>
            </w:r>
          </w:p>
        </w:tc>
        <w:tc>
          <w:tcPr>
            <w:tcW w:w="353" w:type="pct"/>
            <w:vAlign w:val="center"/>
          </w:tcPr>
          <w:p w14:paraId="7CEF620D">
            <w:pPr>
              <w:contextualSpacing/>
              <w:jc w:val="center"/>
              <w:rPr>
                <w:rFonts w:ascii="Times New Roman" w:eastAsia="仿宋"/>
                <w:szCs w:val="21"/>
              </w:rPr>
            </w:pPr>
            <w:r>
              <w:rPr>
                <w:rFonts w:ascii="Times New Roman" w:eastAsia="仿宋"/>
                <w:szCs w:val="21"/>
              </w:rPr>
              <w:t>3.3</w:t>
            </w:r>
          </w:p>
        </w:tc>
        <w:tc>
          <w:tcPr>
            <w:tcW w:w="259" w:type="pct"/>
            <w:vAlign w:val="center"/>
          </w:tcPr>
          <w:p w14:paraId="4AFFBBAE">
            <w:pPr>
              <w:contextualSpacing/>
              <w:jc w:val="center"/>
              <w:rPr>
                <w:rFonts w:ascii="Times New Roman" w:eastAsia="仿宋"/>
                <w:szCs w:val="21"/>
              </w:rPr>
            </w:pPr>
            <w:r>
              <w:rPr>
                <w:rFonts w:ascii="Times New Roman" w:eastAsia="仿宋"/>
                <w:szCs w:val="21"/>
              </w:rPr>
              <w:t>2.7</w:t>
            </w:r>
          </w:p>
        </w:tc>
        <w:tc>
          <w:tcPr>
            <w:tcW w:w="327" w:type="pct"/>
            <w:vAlign w:val="center"/>
          </w:tcPr>
          <w:p w14:paraId="4F181E9B">
            <w:pPr>
              <w:contextualSpacing/>
              <w:jc w:val="center"/>
              <w:rPr>
                <w:rFonts w:ascii="Times New Roman" w:eastAsia="仿宋"/>
                <w:szCs w:val="21"/>
              </w:rPr>
            </w:pPr>
            <w:r>
              <w:rPr>
                <w:rFonts w:ascii="Times New Roman" w:eastAsia="仿宋"/>
                <w:szCs w:val="21"/>
              </w:rPr>
              <w:t>3.3</w:t>
            </w:r>
          </w:p>
        </w:tc>
        <w:tc>
          <w:tcPr>
            <w:tcW w:w="215" w:type="pct"/>
            <w:tcBorders>
              <w:left w:val="single" w:color="000000" w:sz="12" w:space="0"/>
            </w:tcBorders>
            <w:vAlign w:val="center"/>
          </w:tcPr>
          <w:p w14:paraId="7295AEAF">
            <w:pPr>
              <w:contextualSpacing/>
              <w:jc w:val="center"/>
              <w:rPr>
                <w:rFonts w:ascii="Times New Roman" w:eastAsia="仿宋"/>
                <w:szCs w:val="21"/>
              </w:rPr>
            </w:pPr>
            <w:r>
              <w:rPr>
                <w:rFonts w:ascii="Times New Roman" w:eastAsia="仿宋"/>
                <w:szCs w:val="21"/>
              </w:rPr>
              <w:t>4.4</w:t>
            </w:r>
          </w:p>
        </w:tc>
      </w:tr>
      <w:tr w14:paraId="2F2A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vAlign w:val="center"/>
          </w:tcPr>
          <w:p w14:paraId="00975ED6">
            <w:pPr>
              <w:contextualSpacing/>
              <w:jc w:val="center"/>
              <w:rPr>
                <w:rFonts w:ascii="Times New Roman" w:eastAsia="仿宋"/>
                <w:szCs w:val="21"/>
              </w:rPr>
            </w:pPr>
            <w:r>
              <w:rPr>
                <w:rFonts w:ascii="Times New Roman" w:eastAsia="仿宋"/>
                <w:szCs w:val="21"/>
              </w:rPr>
              <w:t>08</w:t>
            </w:r>
          </w:p>
        </w:tc>
        <w:tc>
          <w:tcPr>
            <w:tcW w:w="215" w:type="pct"/>
            <w:vAlign w:val="center"/>
          </w:tcPr>
          <w:p w14:paraId="713AD78F">
            <w:pPr>
              <w:contextualSpacing/>
              <w:jc w:val="center"/>
              <w:rPr>
                <w:rFonts w:ascii="Times New Roman" w:eastAsia="仿宋"/>
                <w:szCs w:val="21"/>
              </w:rPr>
            </w:pPr>
            <w:r>
              <w:rPr>
                <w:rFonts w:ascii="Times New Roman" w:eastAsia="仿宋"/>
                <w:szCs w:val="21"/>
              </w:rPr>
              <w:t>4.9</w:t>
            </w:r>
          </w:p>
        </w:tc>
        <w:tc>
          <w:tcPr>
            <w:tcW w:w="318" w:type="pct"/>
            <w:vAlign w:val="center"/>
          </w:tcPr>
          <w:p w14:paraId="54E37AD5">
            <w:pPr>
              <w:contextualSpacing/>
              <w:jc w:val="center"/>
              <w:rPr>
                <w:rFonts w:ascii="Times New Roman" w:eastAsia="仿宋"/>
                <w:szCs w:val="21"/>
              </w:rPr>
            </w:pPr>
            <w:r>
              <w:rPr>
                <w:rFonts w:ascii="Times New Roman" w:eastAsia="仿宋"/>
                <w:szCs w:val="21"/>
              </w:rPr>
              <w:t>8.6</w:t>
            </w:r>
          </w:p>
        </w:tc>
        <w:tc>
          <w:tcPr>
            <w:tcW w:w="262" w:type="pct"/>
            <w:vAlign w:val="center"/>
          </w:tcPr>
          <w:p w14:paraId="71337AEA">
            <w:pPr>
              <w:contextualSpacing/>
              <w:jc w:val="center"/>
              <w:rPr>
                <w:rFonts w:ascii="Times New Roman" w:eastAsia="仿宋"/>
                <w:szCs w:val="21"/>
              </w:rPr>
            </w:pPr>
            <w:r>
              <w:rPr>
                <w:rFonts w:ascii="Times New Roman" w:eastAsia="仿宋"/>
                <w:szCs w:val="21"/>
              </w:rPr>
              <w:t>8.1</w:t>
            </w:r>
          </w:p>
        </w:tc>
        <w:tc>
          <w:tcPr>
            <w:tcW w:w="291" w:type="pct"/>
            <w:vAlign w:val="center"/>
          </w:tcPr>
          <w:p w14:paraId="41A7B2B2">
            <w:pPr>
              <w:contextualSpacing/>
              <w:jc w:val="center"/>
              <w:rPr>
                <w:rFonts w:ascii="Times New Roman" w:eastAsia="仿宋"/>
                <w:szCs w:val="21"/>
              </w:rPr>
            </w:pPr>
            <w:r>
              <w:rPr>
                <w:rFonts w:ascii="Times New Roman" w:eastAsia="仿宋"/>
                <w:szCs w:val="21"/>
              </w:rPr>
              <w:t>9.3</w:t>
            </w:r>
          </w:p>
        </w:tc>
        <w:tc>
          <w:tcPr>
            <w:tcW w:w="215" w:type="pct"/>
            <w:vAlign w:val="center"/>
          </w:tcPr>
          <w:p w14:paraId="6EDEE949">
            <w:pPr>
              <w:contextualSpacing/>
              <w:jc w:val="center"/>
              <w:rPr>
                <w:rFonts w:ascii="Times New Roman" w:eastAsia="仿宋"/>
                <w:szCs w:val="21"/>
              </w:rPr>
            </w:pPr>
            <w:r>
              <w:rPr>
                <w:rFonts w:ascii="Times New Roman" w:eastAsia="仿宋"/>
                <w:szCs w:val="21"/>
              </w:rPr>
              <w:t>9.0</w:t>
            </w:r>
          </w:p>
        </w:tc>
        <w:tc>
          <w:tcPr>
            <w:tcW w:w="285" w:type="pct"/>
            <w:vAlign w:val="center"/>
          </w:tcPr>
          <w:p w14:paraId="27E4004D">
            <w:pPr>
              <w:contextualSpacing/>
              <w:jc w:val="center"/>
              <w:rPr>
                <w:rFonts w:ascii="Times New Roman" w:eastAsia="仿宋"/>
                <w:szCs w:val="21"/>
              </w:rPr>
            </w:pPr>
            <w:r>
              <w:rPr>
                <w:rFonts w:ascii="Times New Roman" w:eastAsia="仿宋"/>
                <w:szCs w:val="21"/>
              </w:rPr>
              <w:t>13.9</w:t>
            </w:r>
          </w:p>
        </w:tc>
        <w:tc>
          <w:tcPr>
            <w:tcW w:w="215" w:type="pct"/>
            <w:vAlign w:val="center"/>
          </w:tcPr>
          <w:p w14:paraId="0AB5E633">
            <w:pPr>
              <w:contextualSpacing/>
              <w:jc w:val="center"/>
              <w:rPr>
                <w:rFonts w:ascii="Times New Roman" w:eastAsia="仿宋"/>
                <w:szCs w:val="21"/>
              </w:rPr>
            </w:pPr>
            <w:r>
              <w:rPr>
                <w:rFonts w:ascii="Times New Roman" w:eastAsia="仿宋"/>
                <w:szCs w:val="21"/>
              </w:rPr>
              <w:t>8.8</w:t>
            </w:r>
          </w:p>
        </w:tc>
        <w:tc>
          <w:tcPr>
            <w:tcW w:w="265" w:type="pct"/>
            <w:vAlign w:val="center"/>
          </w:tcPr>
          <w:p w14:paraId="6E062CD7">
            <w:pPr>
              <w:contextualSpacing/>
              <w:jc w:val="center"/>
              <w:rPr>
                <w:rFonts w:ascii="Times New Roman" w:eastAsia="仿宋"/>
                <w:szCs w:val="21"/>
              </w:rPr>
            </w:pPr>
            <w:r>
              <w:rPr>
                <w:rFonts w:ascii="Times New Roman" w:eastAsia="仿宋"/>
                <w:szCs w:val="21"/>
              </w:rPr>
              <w:t>6.0</w:t>
            </w:r>
          </w:p>
        </w:tc>
        <w:tc>
          <w:tcPr>
            <w:tcW w:w="215" w:type="pct"/>
            <w:vAlign w:val="center"/>
          </w:tcPr>
          <w:p w14:paraId="77C1EF15">
            <w:pPr>
              <w:contextualSpacing/>
              <w:jc w:val="center"/>
              <w:rPr>
                <w:rFonts w:ascii="Times New Roman" w:eastAsia="仿宋"/>
                <w:szCs w:val="21"/>
              </w:rPr>
            </w:pPr>
            <w:r>
              <w:rPr>
                <w:rFonts w:ascii="Times New Roman" w:eastAsia="仿宋"/>
                <w:szCs w:val="21"/>
              </w:rPr>
              <w:t>2.5</w:t>
            </w:r>
          </w:p>
        </w:tc>
        <w:tc>
          <w:tcPr>
            <w:tcW w:w="296" w:type="pct"/>
            <w:vAlign w:val="center"/>
          </w:tcPr>
          <w:p w14:paraId="4DE16245">
            <w:pPr>
              <w:contextualSpacing/>
              <w:jc w:val="center"/>
              <w:rPr>
                <w:rFonts w:ascii="Times New Roman" w:eastAsia="仿宋"/>
                <w:szCs w:val="21"/>
              </w:rPr>
            </w:pPr>
            <w:r>
              <w:rPr>
                <w:rFonts w:ascii="Times New Roman" w:eastAsia="仿宋"/>
                <w:szCs w:val="21"/>
              </w:rPr>
              <w:t>3.1</w:t>
            </w:r>
          </w:p>
        </w:tc>
        <w:tc>
          <w:tcPr>
            <w:tcW w:w="243" w:type="pct"/>
            <w:vAlign w:val="center"/>
          </w:tcPr>
          <w:p w14:paraId="565B8623">
            <w:pPr>
              <w:contextualSpacing/>
              <w:jc w:val="center"/>
              <w:rPr>
                <w:rFonts w:ascii="Times New Roman" w:eastAsia="仿宋"/>
                <w:szCs w:val="21"/>
              </w:rPr>
            </w:pPr>
            <w:r>
              <w:rPr>
                <w:rFonts w:ascii="Times New Roman" w:eastAsia="仿宋"/>
                <w:szCs w:val="21"/>
              </w:rPr>
              <w:t>3.2</w:t>
            </w:r>
          </w:p>
        </w:tc>
        <w:tc>
          <w:tcPr>
            <w:tcW w:w="338" w:type="pct"/>
            <w:vAlign w:val="center"/>
          </w:tcPr>
          <w:p w14:paraId="46798486">
            <w:pPr>
              <w:contextualSpacing/>
              <w:jc w:val="center"/>
              <w:rPr>
                <w:rFonts w:ascii="Times New Roman" w:eastAsia="仿宋"/>
                <w:szCs w:val="21"/>
              </w:rPr>
            </w:pPr>
            <w:r>
              <w:rPr>
                <w:rFonts w:ascii="Times New Roman" w:eastAsia="仿宋"/>
                <w:szCs w:val="21"/>
              </w:rPr>
              <w:t>3.0</w:t>
            </w:r>
          </w:p>
        </w:tc>
        <w:tc>
          <w:tcPr>
            <w:tcW w:w="215" w:type="pct"/>
            <w:vAlign w:val="center"/>
          </w:tcPr>
          <w:p w14:paraId="294F328C">
            <w:pPr>
              <w:contextualSpacing/>
              <w:jc w:val="center"/>
              <w:rPr>
                <w:rFonts w:ascii="Times New Roman" w:eastAsia="仿宋"/>
                <w:szCs w:val="21"/>
              </w:rPr>
            </w:pPr>
            <w:r>
              <w:rPr>
                <w:rFonts w:ascii="Times New Roman" w:eastAsia="仿宋"/>
                <w:szCs w:val="21"/>
              </w:rPr>
              <w:t>4.3</w:t>
            </w:r>
          </w:p>
        </w:tc>
        <w:tc>
          <w:tcPr>
            <w:tcW w:w="353" w:type="pct"/>
            <w:vAlign w:val="center"/>
          </w:tcPr>
          <w:p w14:paraId="06B80F36">
            <w:pPr>
              <w:contextualSpacing/>
              <w:jc w:val="center"/>
              <w:rPr>
                <w:rFonts w:ascii="Times New Roman" w:eastAsia="仿宋"/>
                <w:szCs w:val="21"/>
              </w:rPr>
            </w:pPr>
            <w:r>
              <w:rPr>
                <w:rFonts w:ascii="Times New Roman" w:eastAsia="仿宋"/>
                <w:szCs w:val="21"/>
              </w:rPr>
              <w:t>2.7</w:t>
            </w:r>
          </w:p>
        </w:tc>
        <w:tc>
          <w:tcPr>
            <w:tcW w:w="259" w:type="pct"/>
            <w:vAlign w:val="center"/>
          </w:tcPr>
          <w:p w14:paraId="7A311BC1">
            <w:pPr>
              <w:contextualSpacing/>
              <w:jc w:val="center"/>
              <w:rPr>
                <w:rFonts w:ascii="Times New Roman" w:eastAsia="仿宋"/>
                <w:szCs w:val="21"/>
              </w:rPr>
            </w:pPr>
            <w:r>
              <w:rPr>
                <w:rFonts w:ascii="Times New Roman" w:eastAsia="仿宋"/>
                <w:szCs w:val="21"/>
              </w:rPr>
              <w:t>3.5</w:t>
            </w:r>
          </w:p>
        </w:tc>
        <w:tc>
          <w:tcPr>
            <w:tcW w:w="327" w:type="pct"/>
            <w:vAlign w:val="center"/>
          </w:tcPr>
          <w:p w14:paraId="6216D666">
            <w:pPr>
              <w:contextualSpacing/>
              <w:jc w:val="center"/>
              <w:rPr>
                <w:rFonts w:ascii="Times New Roman" w:eastAsia="仿宋"/>
                <w:szCs w:val="21"/>
              </w:rPr>
            </w:pPr>
            <w:r>
              <w:rPr>
                <w:rFonts w:ascii="Times New Roman" w:eastAsia="仿宋"/>
                <w:szCs w:val="21"/>
              </w:rPr>
              <w:t>5.5</w:t>
            </w:r>
          </w:p>
        </w:tc>
        <w:tc>
          <w:tcPr>
            <w:tcW w:w="215" w:type="pct"/>
            <w:vAlign w:val="center"/>
          </w:tcPr>
          <w:p w14:paraId="4FDF5433">
            <w:pPr>
              <w:contextualSpacing/>
              <w:jc w:val="center"/>
              <w:rPr>
                <w:rFonts w:ascii="Times New Roman" w:eastAsia="仿宋"/>
                <w:szCs w:val="21"/>
              </w:rPr>
            </w:pPr>
            <w:r>
              <w:rPr>
                <w:rFonts w:ascii="Times New Roman" w:eastAsia="仿宋"/>
                <w:szCs w:val="21"/>
              </w:rPr>
              <w:t>3.5</w:t>
            </w:r>
          </w:p>
        </w:tc>
      </w:tr>
      <w:tr w14:paraId="0B557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vAlign w:val="center"/>
          </w:tcPr>
          <w:p w14:paraId="5E368880">
            <w:pPr>
              <w:contextualSpacing/>
              <w:jc w:val="center"/>
              <w:rPr>
                <w:rFonts w:ascii="Times New Roman" w:eastAsia="仿宋"/>
                <w:szCs w:val="21"/>
              </w:rPr>
            </w:pPr>
            <w:r>
              <w:rPr>
                <w:rFonts w:ascii="Times New Roman" w:eastAsia="仿宋"/>
                <w:szCs w:val="21"/>
              </w:rPr>
              <w:t>09</w:t>
            </w:r>
          </w:p>
        </w:tc>
        <w:tc>
          <w:tcPr>
            <w:tcW w:w="215" w:type="pct"/>
            <w:vAlign w:val="center"/>
          </w:tcPr>
          <w:p w14:paraId="475091CC">
            <w:pPr>
              <w:contextualSpacing/>
              <w:jc w:val="center"/>
              <w:rPr>
                <w:rFonts w:ascii="Times New Roman" w:eastAsia="仿宋"/>
                <w:szCs w:val="21"/>
              </w:rPr>
            </w:pPr>
            <w:r>
              <w:rPr>
                <w:rFonts w:ascii="Times New Roman" w:eastAsia="仿宋"/>
                <w:szCs w:val="21"/>
              </w:rPr>
              <w:t>7.3</w:t>
            </w:r>
          </w:p>
        </w:tc>
        <w:tc>
          <w:tcPr>
            <w:tcW w:w="318" w:type="pct"/>
            <w:vAlign w:val="center"/>
          </w:tcPr>
          <w:p w14:paraId="6917ACF8">
            <w:pPr>
              <w:contextualSpacing/>
              <w:jc w:val="center"/>
              <w:rPr>
                <w:rFonts w:ascii="Times New Roman" w:eastAsia="仿宋"/>
                <w:szCs w:val="21"/>
              </w:rPr>
            </w:pPr>
            <w:r>
              <w:rPr>
                <w:rFonts w:ascii="Times New Roman" w:eastAsia="仿宋"/>
                <w:szCs w:val="21"/>
              </w:rPr>
              <w:t>13.7</w:t>
            </w:r>
          </w:p>
        </w:tc>
        <w:tc>
          <w:tcPr>
            <w:tcW w:w="262" w:type="pct"/>
            <w:vAlign w:val="center"/>
          </w:tcPr>
          <w:p w14:paraId="5A189115">
            <w:pPr>
              <w:contextualSpacing/>
              <w:jc w:val="center"/>
              <w:rPr>
                <w:rFonts w:ascii="Times New Roman" w:eastAsia="仿宋"/>
                <w:szCs w:val="21"/>
              </w:rPr>
            </w:pPr>
            <w:r>
              <w:rPr>
                <w:rFonts w:ascii="Times New Roman" w:eastAsia="仿宋"/>
                <w:szCs w:val="21"/>
              </w:rPr>
              <w:t>12.1</w:t>
            </w:r>
          </w:p>
        </w:tc>
        <w:tc>
          <w:tcPr>
            <w:tcW w:w="291" w:type="pct"/>
            <w:vAlign w:val="center"/>
          </w:tcPr>
          <w:p w14:paraId="1AD17E37">
            <w:pPr>
              <w:contextualSpacing/>
              <w:jc w:val="center"/>
              <w:rPr>
                <w:rFonts w:ascii="Times New Roman" w:eastAsia="仿宋"/>
                <w:szCs w:val="21"/>
              </w:rPr>
            </w:pPr>
            <w:r>
              <w:rPr>
                <w:rFonts w:ascii="Times New Roman" w:eastAsia="仿宋"/>
                <w:szCs w:val="21"/>
              </w:rPr>
              <w:t>13.8</w:t>
            </w:r>
          </w:p>
        </w:tc>
        <w:tc>
          <w:tcPr>
            <w:tcW w:w="215" w:type="pct"/>
            <w:vAlign w:val="center"/>
          </w:tcPr>
          <w:p w14:paraId="3DABF6E4">
            <w:pPr>
              <w:contextualSpacing/>
              <w:jc w:val="center"/>
              <w:rPr>
                <w:rFonts w:ascii="Times New Roman" w:eastAsia="仿宋"/>
                <w:szCs w:val="21"/>
              </w:rPr>
            </w:pPr>
            <w:r>
              <w:rPr>
                <w:rFonts w:ascii="Times New Roman" w:eastAsia="仿宋"/>
                <w:szCs w:val="21"/>
              </w:rPr>
              <w:t>8.8</w:t>
            </w:r>
          </w:p>
        </w:tc>
        <w:tc>
          <w:tcPr>
            <w:tcW w:w="285" w:type="pct"/>
            <w:vAlign w:val="center"/>
          </w:tcPr>
          <w:p w14:paraId="427C62F0">
            <w:pPr>
              <w:contextualSpacing/>
              <w:jc w:val="center"/>
              <w:rPr>
                <w:rFonts w:ascii="Times New Roman" w:eastAsia="仿宋"/>
                <w:szCs w:val="21"/>
              </w:rPr>
            </w:pPr>
            <w:r>
              <w:rPr>
                <w:rFonts w:ascii="Times New Roman" w:eastAsia="仿宋"/>
                <w:szCs w:val="21"/>
              </w:rPr>
              <w:t>10.8</w:t>
            </w:r>
          </w:p>
        </w:tc>
        <w:tc>
          <w:tcPr>
            <w:tcW w:w="215" w:type="pct"/>
            <w:vAlign w:val="center"/>
          </w:tcPr>
          <w:p w14:paraId="6A09A261">
            <w:pPr>
              <w:contextualSpacing/>
              <w:jc w:val="center"/>
              <w:rPr>
                <w:rFonts w:ascii="Times New Roman" w:eastAsia="仿宋"/>
                <w:szCs w:val="21"/>
              </w:rPr>
            </w:pPr>
            <w:r>
              <w:rPr>
                <w:rFonts w:ascii="Times New Roman" w:eastAsia="仿宋"/>
                <w:szCs w:val="21"/>
              </w:rPr>
              <w:t>4.7</w:t>
            </w:r>
          </w:p>
        </w:tc>
        <w:tc>
          <w:tcPr>
            <w:tcW w:w="265" w:type="pct"/>
            <w:vAlign w:val="center"/>
          </w:tcPr>
          <w:p w14:paraId="2B9CB37C">
            <w:pPr>
              <w:contextualSpacing/>
              <w:jc w:val="center"/>
              <w:rPr>
                <w:rFonts w:ascii="Times New Roman" w:eastAsia="仿宋"/>
                <w:szCs w:val="21"/>
              </w:rPr>
            </w:pPr>
            <w:r>
              <w:rPr>
                <w:rFonts w:ascii="Times New Roman" w:eastAsia="仿宋"/>
                <w:szCs w:val="21"/>
              </w:rPr>
              <w:t>3.2</w:t>
            </w:r>
          </w:p>
        </w:tc>
        <w:tc>
          <w:tcPr>
            <w:tcW w:w="215" w:type="pct"/>
            <w:vAlign w:val="center"/>
          </w:tcPr>
          <w:p w14:paraId="2CA20E6E">
            <w:pPr>
              <w:contextualSpacing/>
              <w:jc w:val="center"/>
              <w:rPr>
                <w:rFonts w:ascii="Times New Roman" w:eastAsia="仿宋"/>
                <w:szCs w:val="21"/>
              </w:rPr>
            </w:pPr>
            <w:r>
              <w:rPr>
                <w:rFonts w:ascii="Times New Roman" w:eastAsia="仿宋"/>
                <w:szCs w:val="21"/>
              </w:rPr>
              <w:t>1.4</w:t>
            </w:r>
          </w:p>
        </w:tc>
        <w:tc>
          <w:tcPr>
            <w:tcW w:w="296" w:type="pct"/>
            <w:vAlign w:val="center"/>
          </w:tcPr>
          <w:p w14:paraId="60024EFB">
            <w:pPr>
              <w:contextualSpacing/>
              <w:jc w:val="center"/>
              <w:rPr>
                <w:rFonts w:ascii="Times New Roman" w:eastAsia="仿宋"/>
                <w:szCs w:val="21"/>
              </w:rPr>
            </w:pPr>
            <w:r>
              <w:rPr>
                <w:rFonts w:ascii="Times New Roman" w:eastAsia="仿宋"/>
                <w:szCs w:val="21"/>
              </w:rPr>
              <w:t>1.0</w:t>
            </w:r>
          </w:p>
        </w:tc>
        <w:tc>
          <w:tcPr>
            <w:tcW w:w="243" w:type="pct"/>
            <w:vAlign w:val="center"/>
          </w:tcPr>
          <w:p w14:paraId="3D323C93">
            <w:pPr>
              <w:contextualSpacing/>
              <w:jc w:val="center"/>
              <w:rPr>
                <w:rFonts w:ascii="Times New Roman" w:eastAsia="仿宋"/>
                <w:szCs w:val="21"/>
              </w:rPr>
            </w:pPr>
            <w:r>
              <w:rPr>
                <w:rFonts w:ascii="Times New Roman" w:eastAsia="仿宋"/>
                <w:szCs w:val="21"/>
              </w:rPr>
              <w:t>1.2</w:t>
            </w:r>
          </w:p>
        </w:tc>
        <w:tc>
          <w:tcPr>
            <w:tcW w:w="338" w:type="pct"/>
            <w:vAlign w:val="center"/>
          </w:tcPr>
          <w:p w14:paraId="010D39EA">
            <w:pPr>
              <w:contextualSpacing/>
              <w:jc w:val="center"/>
              <w:rPr>
                <w:rFonts w:ascii="Times New Roman" w:eastAsia="仿宋"/>
                <w:szCs w:val="21"/>
              </w:rPr>
            </w:pPr>
            <w:r>
              <w:rPr>
                <w:rFonts w:ascii="Times New Roman" w:eastAsia="仿宋"/>
                <w:szCs w:val="21"/>
              </w:rPr>
              <w:t>1.2</w:t>
            </w:r>
          </w:p>
        </w:tc>
        <w:tc>
          <w:tcPr>
            <w:tcW w:w="215" w:type="pct"/>
            <w:vAlign w:val="center"/>
          </w:tcPr>
          <w:p w14:paraId="4AE4CEA7">
            <w:pPr>
              <w:contextualSpacing/>
              <w:jc w:val="center"/>
              <w:rPr>
                <w:rFonts w:ascii="Times New Roman" w:eastAsia="仿宋"/>
                <w:szCs w:val="21"/>
              </w:rPr>
            </w:pPr>
            <w:r>
              <w:rPr>
                <w:rFonts w:ascii="Times New Roman" w:eastAsia="仿宋"/>
                <w:szCs w:val="21"/>
              </w:rPr>
              <w:t>3.2</w:t>
            </w:r>
          </w:p>
        </w:tc>
        <w:tc>
          <w:tcPr>
            <w:tcW w:w="353" w:type="pct"/>
            <w:vAlign w:val="center"/>
          </w:tcPr>
          <w:p w14:paraId="3FE2299C">
            <w:pPr>
              <w:contextualSpacing/>
              <w:jc w:val="center"/>
              <w:rPr>
                <w:rFonts w:ascii="Times New Roman" w:eastAsia="仿宋"/>
                <w:szCs w:val="21"/>
              </w:rPr>
            </w:pPr>
            <w:r>
              <w:rPr>
                <w:rFonts w:ascii="Times New Roman" w:eastAsia="仿宋"/>
                <w:szCs w:val="21"/>
              </w:rPr>
              <w:t>3.2</w:t>
            </w:r>
          </w:p>
        </w:tc>
        <w:tc>
          <w:tcPr>
            <w:tcW w:w="259" w:type="pct"/>
            <w:vAlign w:val="center"/>
          </w:tcPr>
          <w:p w14:paraId="0C5DC79E">
            <w:pPr>
              <w:contextualSpacing/>
              <w:jc w:val="center"/>
              <w:rPr>
                <w:rFonts w:ascii="Times New Roman" w:eastAsia="仿宋"/>
                <w:szCs w:val="21"/>
              </w:rPr>
            </w:pPr>
            <w:r>
              <w:rPr>
                <w:rFonts w:ascii="Times New Roman" w:eastAsia="仿宋"/>
                <w:szCs w:val="21"/>
              </w:rPr>
              <w:t>3.4</w:t>
            </w:r>
          </w:p>
        </w:tc>
        <w:tc>
          <w:tcPr>
            <w:tcW w:w="327" w:type="pct"/>
            <w:vAlign w:val="center"/>
          </w:tcPr>
          <w:p w14:paraId="48125872">
            <w:pPr>
              <w:contextualSpacing/>
              <w:jc w:val="center"/>
              <w:rPr>
                <w:rFonts w:ascii="Times New Roman" w:eastAsia="仿宋"/>
                <w:szCs w:val="21"/>
              </w:rPr>
            </w:pPr>
            <w:r>
              <w:rPr>
                <w:rFonts w:ascii="Times New Roman" w:eastAsia="仿宋"/>
                <w:szCs w:val="21"/>
              </w:rPr>
              <w:t>7.8</w:t>
            </w:r>
          </w:p>
        </w:tc>
        <w:tc>
          <w:tcPr>
            <w:tcW w:w="215" w:type="pct"/>
            <w:vAlign w:val="center"/>
          </w:tcPr>
          <w:p w14:paraId="0BD40BE1">
            <w:pPr>
              <w:contextualSpacing/>
              <w:jc w:val="center"/>
              <w:rPr>
                <w:rFonts w:ascii="Times New Roman" w:eastAsia="仿宋"/>
                <w:szCs w:val="21"/>
              </w:rPr>
            </w:pPr>
            <w:r>
              <w:rPr>
                <w:rFonts w:ascii="Times New Roman" w:eastAsia="仿宋"/>
                <w:szCs w:val="21"/>
              </w:rPr>
              <w:t>3.4</w:t>
            </w:r>
          </w:p>
        </w:tc>
      </w:tr>
      <w:tr w14:paraId="2A5A4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vAlign w:val="center"/>
          </w:tcPr>
          <w:p w14:paraId="289FECE9">
            <w:pPr>
              <w:contextualSpacing/>
              <w:jc w:val="center"/>
              <w:rPr>
                <w:rFonts w:ascii="Times New Roman" w:eastAsia="仿宋"/>
                <w:szCs w:val="21"/>
              </w:rPr>
            </w:pPr>
            <w:r>
              <w:rPr>
                <w:rFonts w:ascii="Times New Roman" w:eastAsia="仿宋"/>
                <w:szCs w:val="21"/>
              </w:rPr>
              <w:t>10</w:t>
            </w:r>
          </w:p>
        </w:tc>
        <w:tc>
          <w:tcPr>
            <w:tcW w:w="215" w:type="pct"/>
            <w:vAlign w:val="center"/>
          </w:tcPr>
          <w:p w14:paraId="33CCCF48">
            <w:pPr>
              <w:contextualSpacing/>
              <w:jc w:val="center"/>
              <w:rPr>
                <w:rFonts w:ascii="Times New Roman" w:eastAsia="仿宋"/>
                <w:szCs w:val="21"/>
              </w:rPr>
            </w:pPr>
            <w:r>
              <w:rPr>
                <w:rFonts w:ascii="Times New Roman" w:eastAsia="仿宋"/>
                <w:szCs w:val="21"/>
              </w:rPr>
              <w:t>8.9</w:t>
            </w:r>
          </w:p>
        </w:tc>
        <w:tc>
          <w:tcPr>
            <w:tcW w:w="318" w:type="pct"/>
            <w:vAlign w:val="center"/>
          </w:tcPr>
          <w:p w14:paraId="4CE4E4DC">
            <w:pPr>
              <w:contextualSpacing/>
              <w:jc w:val="center"/>
              <w:rPr>
                <w:rFonts w:ascii="Times New Roman" w:eastAsia="仿宋"/>
                <w:szCs w:val="21"/>
              </w:rPr>
            </w:pPr>
            <w:r>
              <w:rPr>
                <w:rFonts w:ascii="Times New Roman" w:eastAsia="仿宋"/>
                <w:szCs w:val="21"/>
              </w:rPr>
              <w:t>11.5</w:t>
            </w:r>
          </w:p>
        </w:tc>
        <w:tc>
          <w:tcPr>
            <w:tcW w:w="262" w:type="pct"/>
            <w:vAlign w:val="center"/>
          </w:tcPr>
          <w:p w14:paraId="4EB10C88">
            <w:pPr>
              <w:contextualSpacing/>
              <w:jc w:val="center"/>
              <w:rPr>
                <w:rFonts w:ascii="Times New Roman" w:eastAsia="仿宋"/>
                <w:szCs w:val="21"/>
              </w:rPr>
            </w:pPr>
            <w:r>
              <w:rPr>
                <w:rFonts w:ascii="Times New Roman" w:eastAsia="仿宋"/>
                <w:szCs w:val="21"/>
              </w:rPr>
              <w:t>10.7</w:t>
            </w:r>
          </w:p>
        </w:tc>
        <w:tc>
          <w:tcPr>
            <w:tcW w:w="291" w:type="pct"/>
            <w:vAlign w:val="center"/>
          </w:tcPr>
          <w:p w14:paraId="2E9DB063">
            <w:pPr>
              <w:contextualSpacing/>
              <w:jc w:val="center"/>
              <w:rPr>
                <w:rFonts w:ascii="Times New Roman" w:eastAsia="仿宋"/>
                <w:szCs w:val="21"/>
              </w:rPr>
            </w:pPr>
            <w:r>
              <w:rPr>
                <w:rFonts w:ascii="Times New Roman" w:eastAsia="仿宋"/>
                <w:szCs w:val="21"/>
              </w:rPr>
              <w:t>9.1</w:t>
            </w:r>
          </w:p>
        </w:tc>
        <w:tc>
          <w:tcPr>
            <w:tcW w:w="215" w:type="pct"/>
            <w:vAlign w:val="center"/>
          </w:tcPr>
          <w:p w14:paraId="25AF2EA6">
            <w:pPr>
              <w:contextualSpacing/>
              <w:jc w:val="center"/>
              <w:rPr>
                <w:rFonts w:ascii="Times New Roman" w:eastAsia="仿宋"/>
                <w:szCs w:val="21"/>
              </w:rPr>
            </w:pPr>
            <w:r>
              <w:rPr>
                <w:rFonts w:ascii="Times New Roman" w:eastAsia="仿宋"/>
                <w:szCs w:val="21"/>
              </w:rPr>
              <w:t>7.5</w:t>
            </w:r>
          </w:p>
        </w:tc>
        <w:tc>
          <w:tcPr>
            <w:tcW w:w="285" w:type="pct"/>
            <w:vAlign w:val="center"/>
          </w:tcPr>
          <w:p w14:paraId="449C5D6D">
            <w:pPr>
              <w:contextualSpacing/>
              <w:jc w:val="center"/>
              <w:rPr>
                <w:rFonts w:ascii="Times New Roman" w:eastAsia="仿宋"/>
                <w:szCs w:val="21"/>
              </w:rPr>
            </w:pPr>
            <w:r>
              <w:rPr>
                <w:rFonts w:ascii="Times New Roman" w:eastAsia="仿宋"/>
                <w:szCs w:val="21"/>
              </w:rPr>
              <w:t>10.3</w:t>
            </w:r>
          </w:p>
        </w:tc>
        <w:tc>
          <w:tcPr>
            <w:tcW w:w="215" w:type="pct"/>
            <w:vAlign w:val="center"/>
          </w:tcPr>
          <w:p w14:paraId="2EE62627">
            <w:pPr>
              <w:contextualSpacing/>
              <w:jc w:val="center"/>
              <w:rPr>
                <w:rFonts w:ascii="Times New Roman" w:eastAsia="仿宋"/>
                <w:szCs w:val="21"/>
              </w:rPr>
            </w:pPr>
            <w:r>
              <w:rPr>
                <w:rFonts w:ascii="Times New Roman" w:eastAsia="仿宋"/>
                <w:szCs w:val="21"/>
              </w:rPr>
              <w:t>5.8</w:t>
            </w:r>
          </w:p>
        </w:tc>
        <w:tc>
          <w:tcPr>
            <w:tcW w:w="265" w:type="pct"/>
            <w:vAlign w:val="center"/>
          </w:tcPr>
          <w:p w14:paraId="2B022565">
            <w:pPr>
              <w:contextualSpacing/>
              <w:jc w:val="center"/>
              <w:rPr>
                <w:rFonts w:ascii="Times New Roman" w:eastAsia="仿宋"/>
                <w:szCs w:val="21"/>
              </w:rPr>
            </w:pPr>
            <w:r>
              <w:rPr>
                <w:rFonts w:ascii="Times New Roman" w:eastAsia="仿宋"/>
                <w:szCs w:val="21"/>
              </w:rPr>
              <w:t>2.6</w:t>
            </w:r>
          </w:p>
        </w:tc>
        <w:tc>
          <w:tcPr>
            <w:tcW w:w="215" w:type="pct"/>
            <w:vAlign w:val="center"/>
          </w:tcPr>
          <w:p w14:paraId="54512C7A">
            <w:pPr>
              <w:contextualSpacing/>
              <w:jc w:val="center"/>
              <w:rPr>
                <w:rFonts w:ascii="Times New Roman" w:eastAsia="仿宋"/>
                <w:szCs w:val="21"/>
              </w:rPr>
            </w:pPr>
            <w:r>
              <w:rPr>
                <w:rFonts w:ascii="Times New Roman" w:eastAsia="仿宋"/>
                <w:szCs w:val="21"/>
              </w:rPr>
              <w:t>1.8</w:t>
            </w:r>
          </w:p>
        </w:tc>
        <w:tc>
          <w:tcPr>
            <w:tcW w:w="296" w:type="pct"/>
            <w:vAlign w:val="center"/>
          </w:tcPr>
          <w:p w14:paraId="2B09E991">
            <w:pPr>
              <w:contextualSpacing/>
              <w:jc w:val="center"/>
              <w:rPr>
                <w:rFonts w:ascii="Times New Roman" w:eastAsia="仿宋"/>
                <w:szCs w:val="21"/>
              </w:rPr>
            </w:pPr>
            <w:r>
              <w:rPr>
                <w:rFonts w:ascii="Times New Roman" w:eastAsia="仿宋"/>
                <w:szCs w:val="21"/>
              </w:rPr>
              <w:t>1.2</w:t>
            </w:r>
          </w:p>
        </w:tc>
        <w:tc>
          <w:tcPr>
            <w:tcW w:w="243" w:type="pct"/>
            <w:vAlign w:val="center"/>
          </w:tcPr>
          <w:p w14:paraId="3FD072ED">
            <w:pPr>
              <w:contextualSpacing/>
              <w:jc w:val="center"/>
              <w:rPr>
                <w:rFonts w:ascii="Times New Roman" w:eastAsia="仿宋"/>
                <w:szCs w:val="21"/>
              </w:rPr>
            </w:pPr>
            <w:r>
              <w:rPr>
                <w:rFonts w:ascii="Times New Roman" w:eastAsia="仿宋"/>
                <w:szCs w:val="21"/>
              </w:rPr>
              <w:t>1.6</w:t>
            </w:r>
          </w:p>
        </w:tc>
        <w:tc>
          <w:tcPr>
            <w:tcW w:w="338" w:type="pct"/>
            <w:vAlign w:val="center"/>
          </w:tcPr>
          <w:p w14:paraId="05BC5DC5">
            <w:pPr>
              <w:contextualSpacing/>
              <w:jc w:val="center"/>
              <w:rPr>
                <w:rFonts w:ascii="Times New Roman" w:eastAsia="仿宋"/>
                <w:szCs w:val="21"/>
              </w:rPr>
            </w:pPr>
            <w:r>
              <w:rPr>
                <w:rFonts w:ascii="Times New Roman" w:eastAsia="仿宋"/>
                <w:szCs w:val="21"/>
              </w:rPr>
              <w:t>2.4</w:t>
            </w:r>
          </w:p>
        </w:tc>
        <w:tc>
          <w:tcPr>
            <w:tcW w:w="215" w:type="pct"/>
            <w:vAlign w:val="center"/>
          </w:tcPr>
          <w:p w14:paraId="76A0D661">
            <w:pPr>
              <w:contextualSpacing/>
              <w:jc w:val="center"/>
              <w:rPr>
                <w:rFonts w:ascii="Times New Roman" w:eastAsia="仿宋"/>
                <w:szCs w:val="21"/>
              </w:rPr>
            </w:pPr>
            <w:r>
              <w:rPr>
                <w:rFonts w:ascii="Times New Roman" w:eastAsia="仿宋"/>
                <w:szCs w:val="21"/>
              </w:rPr>
              <w:t>3.9</w:t>
            </w:r>
          </w:p>
        </w:tc>
        <w:tc>
          <w:tcPr>
            <w:tcW w:w="353" w:type="pct"/>
            <w:vAlign w:val="center"/>
          </w:tcPr>
          <w:p w14:paraId="54876EC9">
            <w:pPr>
              <w:contextualSpacing/>
              <w:jc w:val="center"/>
              <w:rPr>
                <w:rFonts w:ascii="Times New Roman" w:eastAsia="仿宋"/>
                <w:szCs w:val="21"/>
              </w:rPr>
            </w:pPr>
            <w:r>
              <w:rPr>
                <w:rFonts w:ascii="Times New Roman" w:eastAsia="仿宋"/>
                <w:szCs w:val="21"/>
              </w:rPr>
              <w:t>3.7</w:t>
            </w:r>
          </w:p>
        </w:tc>
        <w:tc>
          <w:tcPr>
            <w:tcW w:w="259" w:type="pct"/>
            <w:vAlign w:val="center"/>
          </w:tcPr>
          <w:p w14:paraId="0515AA85">
            <w:pPr>
              <w:contextualSpacing/>
              <w:jc w:val="center"/>
              <w:rPr>
                <w:rFonts w:ascii="Times New Roman" w:eastAsia="仿宋"/>
                <w:szCs w:val="21"/>
              </w:rPr>
            </w:pPr>
            <w:r>
              <w:rPr>
                <w:rFonts w:ascii="Times New Roman" w:eastAsia="仿宋"/>
                <w:szCs w:val="21"/>
              </w:rPr>
              <w:t>5.3</w:t>
            </w:r>
          </w:p>
        </w:tc>
        <w:tc>
          <w:tcPr>
            <w:tcW w:w="327" w:type="pct"/>
            <w:vAlign w:val="center"/>
          </w:tcPr>
          <w:p w14:paraId="3316BDB5">
            <w:pPr>
              <w:contextualSpacing/>
              <w:jc w:val="center"/>
              <w:rPr>
                <w:rFonts w:ascii="Times New Roman" w:eastAsia="仿宋"/>
                <w:szCs w:val="21"/>
              </w:rPr>
            </w:pPr>
            <w:r>
              <w:rPr>
                <w:rFonts w:ascii="Times New Roman" w:eastAsia="仿宋"/>
                <w:szCs w:val="21"/>
              </w:rPr>
              <w:t>7.8</w:t>
            </w:r>
          </w:p>
        </w:tc>
        <w:tc>
          <w:tcPr>
            <w:tcW w:w="215" w:type="pct"/>
            <w:vAlign w:val="center"/>
          </w:tcPr>
          <w:p w14:paraId="66C8C48C">
            <w:pPr>
              <w:contextualSpacing/>
              <w:jc w:val="center"/>
              <w:rPr>
                <w:rFonts w:ascii="Times New Roman" w:eastAsia="仿宋"/>
                <w:szCs w:val="21"/>
              </w:rPr>
            </w:pPr>
            <w:r>
              <w:rPr>
                <w:rFonts w:ascii="Times New Roman" w:eastAsia="仿宋"/>
                <w:szCs w:val="21"/>
              </w:rPr>
              <w:t>6.0</w:t>
            </w:r>
          </w:p>
        </w:tc>
      </w:tr>
      <w:tr w14:paraId="7FC30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vAlign w:val="center"/>
          </w:tcPr>
          <w:p w14:paraId="12E14D3C">
            <w:pPr>
              <w:contextualSpacing/>
              <w:jc w:val="center"/>
              <w:rPr>
                <w:rFonts w:ascii="Times New Roman" w:eastAsia="仿宋"/>
                <w:szCs w:val="21"/>
              </w:rPr>
            </w:pPr>
            <w:r>
              <w:rPr>
                <w:rFonts w:ascii="Times New Roman" w:eastAsia="仿宋"/>
                <w:szCs w:val="21"/>
              </w:rPr>
              <w:t>11</w:t>
            </w:r>
          </w:p>
        </w:tc>
        <w:tc>
          <w:tcPr>
            <w:tcW w:w="215" w:type="pct"/>
            <w:vAlign w:val="center"/>
          </w:tcPr>
          <w:p w14:paraId="49F8488E">
            <w:pPr>
              <w:contextualSpacing/>
              <w:jc w:val="center"/>
              <w:rPr>
                <w:rFonts w:ascii="Times New Roman" w:eastAsia="仿宋"/>
                <w:szCs w:val="21"/>
              </w:rPr>
            </w:pPr>
            <w:r>
              <w:rPr>
                <w:rFonts w:ascii="Times New Roman" w:eastAsia="仿宋"/>
                <w:szCs w:val="21"/>
              </w:rPr>
              <w:t>8.2</w:t>
            </w:r>
          </w:p>
        </w:tc>
        <w:tc>
          <w:tcPr>
            <w:tcW w:w="318" w:type="pct"/>
            <w:vAlign w:val="center"/>
          </w:tcPr>
          <w:p w14:paraId="171D2E8C">
            <w:pPr>
              <w:contextualSpacing/>
              <w:jc w:val="center"/>
              <w:rPr>
                <w:rFonts w:ascii="Times New Roman" w:eastAsia="仿宋"/>
                <w:szCs w:val="21"/>
              </w:rPr>
            </w:pPr>
            <w:r>
              <w:rPr>
                <w:rFonts w:ascii="Times New Roman" w:eastAsia="仿宋"/>
                <w:szCs w:val="21"/>
              </w:rPr>
              <w:t>9.3</w:t>
            </w:r>
          </w:p>
        </w:tc>
        <w:tc>
          <w:tcPr>
            <w:tcW w:w="262" w:type="pct"/>
            <w:vAlign w:val="center"/>
          </w:tcPr>
          <w:p w14:paraId="04482489">
            <w:pPr>
              <w:contextualSpacing/>
              <w:jc w:val="center"/>
              <w:rPr>
                <w:rFonts w:ascii="Times New Roman" w:eastAsia="仿宋"/>
                <w:szCs w:val="21"/>
              </w:rPr>
            </w:pPr>
            <w:r>
              <w:rPr>
                <w:rFonts w:ascii="Times New Roman" w:eastAsia="仿宋"/>
                <w:szCs w:val="21"/>
              </w:rPr>
              <w:t>7.3</w:t>
            </w:r>
          </w:p>
        </w:tc>
        <w:tc>
          <w:tcPr>
            <w:tcW w:w="291" w:type="pct"/>
            <w:vAlign w:val="center"/>
          </w:tcPr>
          <w:p w14:paraId="1F794ED7">
            <w:pPr>
              <w:contextualSpacing/>
              <w:jc w:val="center"/>
              <w:rPr>
                <w:rFonts w:ascii="Times New Roman" w:eastAsia="仿宋"/>
                <w:szCs w:val="21"/>
              </w:rPr>
            </w:pPr>
            <w:r>
              <w:rPr>
                <w:rFonts w:ascii="Times New Roman" w:eastAsia="仿宋"/>
                <w:szCs w:val="21"/>
              </w:rPr>
              <w:t>6.2</w:t>
            </w:r>
          </w:p>
        </w:tc>
        <w:tc>
          <w:tcPr>
            <w:tcW w:w="215" w:type="pct"/>
            <w:vAlign w:val="center"/>
          </w:tcPr>
          <w:p w14:paraId="2A505DD4">
            <w:pPr>
              <w:contextualSpacing/>
              <w:jc w:val="center"/>
              <w:rPr>
                <w:rFonts w:ascii="Times New Roman" w:eastAsia="仿宋"/>
                <w:szCs w:val="21"/>
              </w:rPr>
            </w:pPr>
            <w:r>
              <w:rPr>
                <w:rFonts w:ascii="Times New Roman" w:eastAsia="仿宋"/>
                <w:szCs w:val="21"/>
              </w:rPr>
              <w:t>5.4</w:t>
            </w:r>
          </w:p>
        </w:tc>
        <w:tc>
          <w:tcPr>
            <w:tcW w:w="285" w:type="pct"/>
            <w:vAlign w:val="center"/>
          </w:tcPr>
          <w:p w14:paraId="334165EB">
            <w:pPr>
              <w:contextualSpacing/>
              <w:jc w:val="center"/>
              <w:rPr>
                <w:rFonts w:ascii="Times New Roman" w:eastAsia="仿宋"/>
                <w:szCs w:val="21"/>
              </w:rPr>
            </w:pPr>
            <w:r>
              <w:rPr>
                <w:rFonts w:ascii="Times New Roman" w:eastAsia="仿宋"/>
                <w:szCs w:val="21"/>
              </w:rPr>
              <w:t>9.3</w:t>
            </w:r>
          </w:p>
        </w:tc>
        <w:tc>
          <w:tcPr>
            <w:tcW w:w="215" w:type="pct"/>
            <w:vAlign w:val="center"/>
          </w:tcPr>
          <w:p w14:paraId="69F13146">
            <w:pPr>
              <w:contextualSpacing/>
              <w:jc w:val="center"/>
              <w:rPr>
                <w:rFonts w:ascii="Times New Roman" w:eastAsia="仿宋"/>
                <w:szCs w:val="21"/>
              </w:rPr>
            </w:pPr>
            <w:r>
              <w:rPr>
                <w:rFonts w:ascii="Times New Roman" w:eastAsia="仿宋"/>
                <w:szCs w:val="21"/>
              </w:rPr>
              <w:t>5.2</w:t>
            </w:r>
          </w:p>
        </w:tc>
        <w:tc>
          <w:tcPr>
            <w:tcW w:w="265" w:type="pct"/>
            <w:vAlign w:val="center"/>
          </w:tcPr>
          <w:p w14:paraId="4BCAD818">
            <w:pPr>
              <w:contextualSpacing/>
              <w:jc w:val="center"/>
              <w:rPr>
                <w:rFonts w:ascii="Times New Roman" w:eastAsia="仿宋"/>
                <w:szCs w:val="21"/>
              </w:rPr>
            </w:pPr>
            <w:r>
              <w:rPr>
                <w:rFonts w:ascii="Times New Roman" w:eastAsia="仿宋"/>
                <w:szCs w:val="21"/>
              </w:rPr>
              <w:t>4.3</w:t>
            </w:r>
          </w:p>
        </w:tc>
        <w:tc>
          <w:tcPr>
            <w:tcW w:w="215" w:type="pct"/>
            <w:vAlign w:val="center"/>
          </w:tcPr>
          <w:p w14:paraId="0048D124">
            <w:pPr>
              <w:contextualSpacing/>
              <w:jc w:val="center"/>
              <w:rPr>
                <w:rFonts w:ascii="Times New Roman" w:eastAsia="仿宋"/>
                <w:szCs w:val="21"/>
              </w:rPr>
            </w:pPr>
            <w:r>
              <w:rPr>
                <w:rFonts w:ascii="Times New Roman" w:eastAsia="仿宋"/>
                <w:szCs w:val="21"/>
              </w:rPr>
              <w:t>2.8</w:t>
            </w:r>
          </w:p>
        </w:tc>
        <w:tc>
          <w:tcPr>
            <w:tcW w:w="296" w:type="pct"/>
            <w:vAlign w:val="center"/>
          </w:tcPr>
          <w:p w14:paraId="7862CAD1">
            <w:pPr>
              <w:contextualSpacing/>
              <w:jc w:val="center"/>
              <w:rPr>
                <w:rFonts w:ascii="Times New Roman" w:eastAsia="仿宋"/>
                <w:szCs w:val="21"/>
              </w:rPr>
            </w:pPr>
            <w:r>
              <w:rPr>
                <w:rFonts w:ascii="Times New Roman" w:eastAsia="仿宋"/>
                <w:szCs w:val="21"/>
              </w:rPr>
              <w:t>2.0</w:t>
            </w:r>
          </w:p>
        </w:tc>
        <w:tc>
          <w:tcPr>
            <w:tcW w:w="243" w:type="pct"/>
            <w:vAlign w:val="center"/>
          </w:tcPr>
          <w:p w14:paraId="2FB197CE">
            <w:pPr>
              <w:contextualSpacing/>
              <w:jc w:val="center"/>
              <w:rPr>
                <w:rFonts w:ascii="Times New Roman" w:eastAsia="仿宋"/>
                <w:szCs w:val="21"/>
              </w:rPr>
            </w:pPr>
            <w:r>
              <w:rPr>
                <w:rFonts w:ascii="Times New Roman" w:eastAsia="仿宋"/>
                <w:szCs w:val="21"/>
              </w:rPr>
              <w:t>2.7</w:t>
            </w:r>
          </w:p>
        </w:tc>
        <w:tc>
          <w:tcPr>
            <w:tcW w:w="338" w:type="pct"/>
            <w:vAlign w:val="center"/>
          </w:tcPr>
          <w:p w14:paraId="18067B7F">
            <w:pPr>
              <w:contextualSpacing/>
              <w:jc w:val="center"/>
              <w:rPr>
                <w:rFonts w:ascii="Times New Roman" w:eastAsia="仿宋"/>
                <w:szCs w:val="21"/>
              </w:rPr>
            </w:pPr>
            <w:r>
              <w:rPr>
                <w:rFonts w:ascii="Times New Roman" w:eastAsia="仿宋"/>
                <w:szCs w:val="21"/>
              </w:rPr>
              <w:t>4.8</w:t>
            </w:r>
          </w:p>
        </w:tc>
        <w:tc>
          <w:tcPr>
            <w:tcW w:w="215" w:type="pct"/>
            <w:vAlign w:val="center"/>
          </w:tcPr>
          <w:p w14:paraId="668629AC">
            <w:pPr>
              <w:contextualSpacing/>
              <w:jc w:val="center"/>
              <w:rPr>
                <w:rFonts w:ascii="Times New Roman" w:eastAsia="仿宋"/>
                <w:szCs w:val="21"/>
              </w:rPr>
            </w:pPr>
            <w:r>
              <w:rPr>
                <w:rFonts w:ascii="Times New Roman" w:eastAsia="仿宋"/>
                <w:szCs w:val="21"/>
              </w:rPr>
              <w:t>6.4</w:t>
            </w:r>
          </w:p>
        </w:tc>
        <w:tc>
          <w:tcPr>
            <w:tcW w:w="353" w:type="pct"/>
            <w:vAlign w:val="center"/>
          </w:tcPr>
          <w:p w14:paraId="5FC51EE0">
            <w:pPr>
              <w:contextualSpacing/>
              <w:jc w:val="center"/>
              <w:rPr>
                <w:rFonts w:ascii="Times New Roman" w:eastAsia="仿宋"/>
                <w:szCs w:val="21"/>
              </w:rPr>
            </w:pPr>
            <w:r>
              <w:rPr>
                <w:rFonts w:ascii="Times New Roman" w:eastAsia="仿宋"/>
                <w:szCs w:val="21"/>
              </w:rPr>
              <w:t>6.0</w:t>
            </w:r>
          </w:p>
        </w:tc>
        <w:tc>
          <w:tcPr>
            <w:tcW w:w="259" w:type="pct"/>
            <w:vAlign w:val="center"/>
          </w:tcPr>
          <w:p w14:paraId="5A588861">
            <w:pPr>
              <w:contextualSpacing/>
              <w:jc w:val="center"/>
              <w:rPr>
                <w:rFonts w:ascii="Times New Roman" w:eastAsia="仿宋"/>
                <w:szCs w:val="21"/>
              </w:rPr>
            </w:pPr>
            <w:r>
              <w:rPr>
                <w:rFonts w:ascii="Times New Roman" w:eastAsia="仿宋"/>
                <w:szCs w:val="21"/>
              </w:rPr>
              <w:t>6.0</w:t>
            </w:r>
          </w:p>
        </w:tc>
        <w:tc>
          <w:tcPr>
            <w:tcW w:w="327" w:type="pct"/>
            <w:vAlign w:val="center"/>
          </w:tcPr>
          <w:p w14:paraId="0054E626">
            <w:pPr>
              <w:contextualSpacing/>
              <w:jc w:val="center"/>
              <w:rPr>
                <w:rFonts w:ascii="Times New Roman" w:eastAsia="仿宋"/>
                <w:szCs w:val="21"/>
              </w:rPr>
            </w:pPr>
            <w:r>
              <w:rPr>
                <w:rFonts w:ascii="Times New Roman" w:eastAsia="仿宋"/>
                <w:szCs w:val="21"/>
              </w:rPr>
              <w:t>8.1</w:t>
            </w:r>
          </w:p>
        </w:tc>
        <w:tc>
          <w:tcPr>
            <w:tcW w:w="215" w:type="pct"/>
            <w:vAlign w:val="center"/>
          </w:tcPr>
          <w:p w14:paraId="0D116C44">
            <w:pPr>
              <w:contextualSpacing/>
              <w:jc w:val="center"/>
              <w:rPr>
                <w:rFonts w:ascii="Times New Roman" w:eastAsia="仿宋"/>
                <w:szCs w:val="21"/>
              </w:rPr>
            </w:pPr>
            <w:r>
              <w:rPr>
                <w:rFonts w:ascii="Times New Roman" w:eastAsia="仿宋"/>
                <w:szCs w:val="21"/>
              </w:rPr>
              <w:t>6.0</w:t>
            </w:r>
          </w:p>
        </w:tc>
      </w:tr>
      <w:tr w14:paraId="615C2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5" w:type="pct"/>
            <w:tcBorders>
              <w:right w:val="single" w:color="000000" w:sz="12" w:space="0"/>
            </w:tcBorders>
            <w:vAlign w:val="center"/>
          </w:tcPr>
          <w:p w14:paraId="279C3AD0">
            <w:pPr>
              <w:contextualSpacing/>
              <w:jc w:val="center"/>
              <w:rPr>
                <w:rFonts w:ascii="Times New Roman" w:eastAsia="仿宋"/>
                <w:szCs w:val="21"/>
              </w:rPr>
            </w:pPr>
            <w:r>
              <w:rPr>
                <w:rFonts w:ascii="Times New Roman" w:eastAsia="仿宋"/>
                <w:szCs w:val="21"/>
              </w:rPr>
              <w:t>12</w:t>
            </w:r>
          </w:p>
        </w:tc>
        <w:tc>
          <w:tcPr>
            <w:tcW w:w="215" w:type="pct"/>
            <w:vAlign w:val="center"/>
          </w:tcPr>
          <w:p w14:paraId="3E973A3D">
            <w:pPr>
              <w:contextualSpacing/>
              <w:jc w:val="center"/>
              <w:rPr>
                <w:rFonts w:ascii="Times New Roman" w:eastAsia="仿宋"/>
                <w:szCs w:val="21"/>
              </w:rPr>
            </w:pPr>
            <w:r>
              <w:rPr>
                <w:rFonts w:ascii="Times New Roman" w:eastAsia="仿宋"/>
                <w:szCs w:val="21"/>
              </w:rPr>
              <w:t>7.5</w:t>
            </w:r>
          </w:p>
        </w:tc>
        <w:tc>
          <w:tcPr>
            <w:tcW w:w="318" w:type="pct"/>
            <w:vAlign w:val="center"/>
          </w:tcPr>
          <w:p w14:paraId="07275272">
            <w:pPr>
              <w:contextualSpacing/>
              <w:jc w:val="center"/>
              <w:rPr>
                <w:rFonts w:ascii="Times New Roman" w:eastAsia="仿宋"/>
                <w:szCs w:val="21"/>
              </w:rPr>
            </w:pPr>
            <w:r>
              <w:rPr>
                <w:rFonts w:ascii="Times New Roman" w:eastAsia="仿宋"/>
                <w:szCs w:val="21"/>
              </w:rPr>
              <w:t>8.1</w:t>
            </w:r>
          </w:p>
        </w:tc>
        <w:tc>
          <w:tcPr>
            <w:tcW w:w="262" w:type="pct"/>
            <w:vAlign w:val="center"/>
          </w:tcPr>
          <w:p w14:paraId="7E216B4F">
            <w:pPr>
              <w:contextualSpacing/>
              <w:jc w:val="center"/>
              <w:rPr>
                <w:rFonts w:ascii="Times New Roman" w:eastAsia="仿宋"/>
                <w:szCs w:val="21"/>
              </w:rPr>
            </w:pPr>
            <w:r>
              <w:rPr>
                <w:rFonts w:ascii="Times New Roman" w:eastAsia="仿宋"/>
                <w:szCs w:val="21"/>
              </w:rPr>
              <w:t>6.9</w:t>
            </w:r>
          </w:p>
        </w:tc>
        <w:tc>
          <w:tcPr>
            <w:tcW w:w="291" w:type="pct"/>
            <w:vAlign w:val="center"/>
          </w:tcPr>
          <w:p w14:paraId="1053522C">
            <w:pPr>
              <w:contextualSpacing/>
              <w:jc w:val="center"/>
              <w:rPr>
                <w:rFonts w:ascii="Times New Roman" w:eastAsia="仿宋"/>
                <w:szCs w:val="21"/>
              </w:rPr>
            </w:pPr>
            <w:r>
              <w:rPr>
                <w:rFonts w:ascii="Times New Roman" w:eastAsia="仿宋"/>
                <w:szCs w:val="21"/>
              </w:rPr>
              <w:t>4.8</w:t>
            </w:r>
          </w:p>
        </w:tc>
        <w:tc>
          <w:tcPr>
            <w:tcW w:w="215" w:type="pct"/>
            <w:vAlign w:val="center"/>
          </w:tcPr>
          <w:p w14:paraId="0AC0B5DD">
            <w:pPr>
              <w:contextualSpacing/>
              <w:jc w:val="center"/>
              <w:rPr>
                <w:rFonts w:ascii="Times New Roman" w:eastAsia="仿宋"/>
                <w:szCs w:val="21"/>
              </w:rPr>
            </w:pPr>
            <w:r>
              <w:rPr>
                <w:rFonts w:ascii="Times New Roman" w:eastAsia="仿宋"/>
                <w:szCs w:val="21"/>
              </w:rPr>
              <w:t>5.8</w:t>
            </w:r>
          </w:p>
        </w:tc>
        <w:tc>
          <w:tcPr>
            <w:tcW w:w="285" w:type="pct"/>
            <w:vAlign w:val="center"/>
          </w:tcPr>
          <w:p w14:paraId="7805674C">
            <w:pPr>
              <w:contextualSpacing/>
              <w:jc w:val="center"/>
              <w:rPr>
                <w:rFonts w:ascii="Times New Roman" w:eastAsia="仿宋"/>
                <w:szCs w:val="21"/>
              </w:rPr>
            </w:pPr>
            <w:r>
              <w:rPr>
                <w:rFonts w:ascii="Times New Roman" w:eastAsia="仿宋"/>
                <w:szCs w:val="21"/>
              </w:rPr>
              <w:t>6.6</w:t>
            </w:r>
          </w:p>
        </w:tc>
        <w:tc>
          <w:tcPr>
            <w:tcW w:w="215" w:type="pct"/>
            <w:vAlign w:val="center"/>
          </w:tcPr>
          <w:p w14:paraId="4C51D649">
            <w:pPr>
              <w:contextualSpacing/>
              <w:jc w:val="center"/>
              <w:rPr>
                <w:rFonts w:ascii="Times New Roman" w:eastAsia="仿宋"/>
                <w:szCs w:val="21"/>
              </w:rPr>
            </w:pPr>
            <w:r>
              <w:rPr>
                <w:rFonts w:ascii="Times New Roman" w:eastAsia="仿宋"/>
                <w:szCs w:val="21"/>
              </w:rPr>
              <w:t>3.8</w:t>
            </w:r>
          </w:p>
        </w:tc>
        <w:tc>
          <w:tcPr>
            <w:tcW w:w="265" w:type="pct"/>
            <w:vAlign w:val="center"/>
          </w:tcPr>
          <w:p w14:paraId="6A529524">
            <w:pPr>
              <w:contextualSpacing/>
              <w:jc w:val="center"/>
              <w:rPr>
                <w:rFonts w:ascii="Times New Roman" w:eastAsia="仿宋"/>
                <w:szCs w:val="21"/>
              </w:rPr>
            </w:pPr>
            <w:r>
              <w:rPr>
                <w:rFonts w:ascii="Times New Roman" w:eastAsia="仿宋"/>
                <w:szCs w:val="21"/>
              </w:rPr>
              <w:t>3.0</w:t>
            </w:r>
          </w:p>
        </w:tc>
        <w:tc>
          <w:tcPr>
            <w:tcW w:w="215" w:type="pct"/>
            <w:vAlign w:val="center"/>
          </w:tcPr>
          <w:p w14:paraId="2243DABC">
            <w:pPr>
              <w:contextualSpacing/>
              <w:jc w:val="center"/>
              <w:rPr>
                <w:rFonts w:ascii="Times New Roman" w:eastAsia="仿宋"/>
                <w:szCs w:val="21"/>
              </w:rPr>
            </w:pPr>
            <w:r>
              <w:rPr>
                <w:rFonts w:ascii="Times New Roman" w:eastAsia="仿宋"/>
                <w:szCs w:val="21"/>
              </w:rPr>
              <w:t>1.9</w:t>
            </w:r>
          </w:p>
        </w:tc>
        <w:tc>
          <w:tcPr>
            <w:tcW w:w="296" w:type="pct"/>
            <w:vAlign w:val="center"/>
          </w:tcPr>
          <w:p w14:paraId="1FF75E2B">
            <w:pPr>
              <w:contextualSpacing/>
              <w:jc w:val="center"/>
              <w:rPr>
                <w:rFonts w:ascii="Times New Roman" w:eastAsia="仿宋"/>
                <w:szCs w:val="21"/>
              </w:rPr>
            </w:pPr>
            <w:r>
              <w:rPr>
                <w:rFonts w:ascii="Times New Roman" w:eastAsia="仿宋"/>
                <w:szCs w:val="21"/>
              </w:rPr>
              <w:t>1.4</w:t>
            </w:r>
          </w:p>
        </w:tc>
        <w:tc>
          <w:tcPr>
            <w:tcW w:w="243" w:type="pct"/>
            <w:vAlign w:val="center"/>
          </w:tcPr>
          <w:p w14:paraId="08663F35">
            <w:pPr>
              <w:contextualSpacing/>
              <w:jc w:val="center"/>
              <w:rPr>
                <w:rFonts w:ascii="Times New Roman" w:eastAsia="仿宋"/>
                <w:szCs w:val="21"/>
              </w:rPr>
            </w:pPr>
            <w:r>
              <w:rPr>
                <w:rFonts w:ascii="Times New Roman" w:eastAsia="仿宋"/>
                <w:szCs w:val="21"/>
              </w:rPr>
              <w:t>2.9</w:t>
            </w:r>
          </w:p>
        </w:tc>
        <w:tc>
          <w:tcPr>
            <w:tcW w:w="338" w:type="pct"/>
            <w:vAlign w:val="center"/>
          </w:tcPr>
          <w:p w14:paraId="24A4B95A">
            <w:pPr>
              <w:contextualSpacing/>
              <w:jc w:val="center"/>
              <w:rPr>
                <w:rFonts w:ascii="Times New Roman" w:eastAsia="仿宋"/>
                <w:szCs w:val="21"/>
              </w:rPr>
            </w:pPr>
            <w:r>
              <w:rPr>
                <w:rFonts w:ascii="Times New Roman" w:eastAsia="仿宋"/>
                <w:szCs w:val="21"/>
              </w:rPr>
              <w:t>6.0</w:t>
            </w:r>
          </w:p>
        </w:tc>
        <w:tc>
          <w:tcPr>
            <w:tcW w:w="215" w:type="pct"/>
            <w:vAlign w:val="center"/>
          </w:tcPr>
          <w:p w14:paraId="2AA00AE2">
            <w:pPr>
              <w:contextualSpacing/>
              <w:jc w:val="center"/>
              <w:rPr>
                <w:rFonts w:ascii="Times New Roman" w:eastAsia="仿宋"/>
                <w:szCs w:val="21"/>
              </w:rPr>
            </w:pPr>
            <w:r>
              <w:rPr>
                <w:rFonts w:ascii="Times New Roman" w:eastAsia="仿宋"/>
                <w:szCs w:val="21"/>
              </w:rPr>
              <w:t>10.0</w:t>
            </w:r>
          </w:p>
        </w:tc>
        <w:tc>
          <w:tcPr>
            <w:tcW w:w="353" w:type="pct"/>
            <w:vAlign w:val="center"/>
          </w:tcPr>
          <w:p w14:paraId="2F1315A9">
            <w:pPr>
              <w:contextualSpacing/>
              <w:jc w:val="center"/>
              <w:rPr>
                <w:rFonts w:ascii="Times New Roman" w:eastAsia="仿宋"/>
                <w:szCs w:val="21"/>
              </w:rPr>
            </w:pPr>
            <w:r>
              <w:rPr>
                <w:rFonts w:ascii="Times New Roman" w:eastAsia="仿宋"/>
                <w:szCs w:val="21"/>
              </w:rPr>
              <w:t>8.3</w:t>
            </w:r>
          </w:p>
        </w:tc>
        <w:tc>
          <w:tcPr>
            <w:tcW w:w="259" w:type="pct"/>
            <w:vAlign w:val="center"/>
          </w:tcPr>
          <w:p w14:paraId="12CB0DAB">
            <w:pPr>
              <w:contextualSpacing/>
              <w:jc w:val="center"/>
              <w:rPr>
                <w:rFonts w:ascii="Times New Roman" w:eastAsia="仿宋"/>
                <w:szCs w:val="21"/>
              </w:rPr>
            </w:pPr>
            <w:r>
              <w:rPr>
                <w:rFonts w:ascii="Times New Roman" w:eastAsia="仿宋"/>
                <w:szCs w:val="21"/>
              </w:rPr>
              <w:t>7.7</w:t>
            </w:r>
          </w:p>
        </w:tc>
        <w:tc>
          <w:tcPr>
            <w:tcW w:w="327" w:type="pct"/>
            <w:vAlign w:val="center"/>
          </w:tcPr>
          <w:p w14:paraId="603A5386">
            <w:pPr>
              <w:contextualSpacing/>
              <w:jc w:val="center"/>
              <w:rPr>
                <w:rFonts w:ascii="Times New Roman" w:eastAsia="仿宋"/>
                <w:szCs w:val="21"/>
              </w:rPr>
            </w:pPr>
            <w:r>
              <w:rPr>
                <w:rFonts w:ascii="Times New Roman" w:eastAsia="仿宋"/>
                <w:szCs w:val="21"/>
              </w:rPr>
              <w:t>9.1</w:t>
            </w:r>
          </w:p>
        </w:tc>
        <w:tc>
          <w:tcPr>
            <w:tcW w:w="215" w:type="pct"/>
            <w:vAlign w:val="center"/>
          </w:tcPr>
          <w:p w14:paraId="7C8E5C8B">
            <w:pPr>
              <w:contextualSpacing/>
              <w:jc w:val="center"/>
              <w:rPr>
                <w:rFonts w:ascii="Times New Roman" w:eastAsia="仿宋"/>
                <w:szCs w:val="21"/>
              </w:rPr>
            </w:pPr>
            <w:r>
              <w:rPr>
                <w:rFonts w:ascii="Times New Roman" w:eastAsia="仿宋"/>
                <w:szCs w:val="21"/>
              </w:rPr>
              <w:t>6.3</w:t>
            </w:r>
          </w:p>
        </w:tc>
      </w:tr>
    </w:tbl>
    <w:p w14:paraId="4A0C2FA5">
      <w:pPr>
        <w:widowControl/>
        <w:spacing w:line="500" w:lineRule="exact"/>
        <w:ind w:firstLine="482" w:firstLineChars="200"/>
        <w:jc w:val="center"/>
        <w:rPr>
          <w:rFonts w:ascii="Times New Roman" w:eastAsia="仿宋"/>
          <w:b/>
          <w:bCs/>
          <w:szCs w:val="21"/>
        </w:rPr>
        <w:sectPr>
          <w:pgSz w:w="16838" w:h="11906" w:orient="landscape"/>
          <w:pgMar w:top="1678" w:right="1843" w:bottom="1616" w:left="1440" w:header="1191" w:footer="992" w:gutter="0"/>
          <w:cols w:space="720" w:num="1"/>
          <w:docGrid w:linePitch="312" w:charSpace="0"/>
        </w:sectPr>
      </w:pPr>
    </w:p>
    <w:p w14:paraId="7D8CD7FC">
      <w:pPr>
        <w:widowControl/>
        <w:jc w:val="left"/>
        <w:rPr>
          <w:rFonts w:ascii="Times New Roman" w:eastAsia="仿宋"/>
        </w:rPr>
      </w:pPr>
      <w:r>
        <w:rPr>
          <w:rFonts w:ascii="Times New Roman" w:eastAsia="仿宋"/>
        </w:rPr>
        <w:drawing>
          <wp:inline distT="0" distB="0" distL="0" distR="0">
            <wp:extent cx="5462270" cy="235331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462270" cy="2353310"/>
                    </a:xfrm>
                    <a:prstGeom prst="rect">
                      <a:avLst/>
                    </a:prstGeom>
                    <a:noFill/>
                    <a:ln>
                      <a:noFill/>
                    </a:ln>
                  </pic:spPr>
                </pic:pic>
              </a:graphicData>
            </a:graphic>
          </wp:inline>
        </w:drawing>
      </w:r>
    </w:p>
    <w:p w14:paraId="552EB1BC">
      <w:pPr>
        <w:widowControl/>
        <w:adjustRightInd w:val="0"/>
        <w:snapToGrid w:val="0"/>
        <w:spacing w:line="360" w:lineRule="auto"/>
        <w:ind w:left="1440" w:leftChars="550" w:hanging="120" w:hangingChars="50"/>
        <w:jc w:val="left"/>
        <w:rPr>
          <w:rFonts w:ascii="Times New Roman" w:eastAsia="仿宋"/>
          <w:b/>
        </w:rPr>
      </w:pPr>
      <w:r>
        <w:rPr>
          <w:rFonts w:ascii="Times New Roman" w:eastAsia="仿宋"/>
          <w:b/>
        </w:rPr>
        <w:t>1月静风5.9%                       2月静风4.6%</w:t>
      </w:r>
    </w:p>
    <w:p w14:paraId="52D05F84">
      <w:pPr>
        <w:widowControl/>
        <w:jc w:val="center"/>
        <w:rPr>
          <w:rFonts w:ascii="Times New Roman" w:eastAsia="仿宋"/>
        </w:rPr>
      </w:pPr>
      <w:r>
        <w:rPr>
          <w:rFonts w:ascii="Times New Roman" w:eastAsia="仿宋"/>
        </w:rPr>
        <w:drawing>
          <wp:inline distT="0" distB="0" distL="0" distR="0">
            <wp:extent cx="5470525" cy="2115185"/>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470525" cy="2115185"/>
                    </a:xfrm>
                    <a:prstGeom prst="rect">
                      <a:avLst/>
                    </a:prstGeom>
                    <a:noFill/>
                    <a:ln>
                      <a:noFill/>
                    </a:ln>
                  </pic:spPr>
                </pic:pic>
              </a:graphicData>
            </a:graphic>
          </wp:inline>
        </w:drawing>
      </w:r>
    </w:p>
    <w:p w14:paraId="022BB9DB">
      <w:pPr>
        <w:widowControl/>
        <w:spacing w:line="400" w:lineRule="exact"/>
        <w:ind w:firstLine="1325" w:firstLineChars="550"/>
        <w:jc w:val="left"/>
        <w:rPr>
          <w:rFonts w:ascii="Times New Roman" w:eastAsia="仿宋"/>
          <w:b/>
          <w:bCs/>
          <w:szCs w:val="21"/>
        </w:rPr>
      </w:pPr>
      <w:r>
        <w:rPr>
          <w:rFonts w:ascii="Times New Roman" w:eastAsia="仿宋"/>
          <w:b/>
          <w:bCs/>
          <w:szCs w:val="21"/>
        </w:rPr>
        <w:t>3月静风3.5%                       4月静风2.5%</w:t>
      </w:r>
    </w:p>
    <w:p w14:paraId="2D0C1215">
      <w:pPr>
        <w:widowControl/>
        <w:ind w:firstLine="560"/>
        <w:jc w:val="left"/>
        <w:rPr>
          <w:rFonts w:ascii="Times New Roman" w:eastAsia="仿宋"/>
          <w:szCs w:val="28"/>
          <w:highlight w:val="yellow"/>
        </w:rPr>
      </w:pPr>
    </w:p>
    <w:p w14:paraId="4D5EED69">
      <w:pPr>
        <w:widowControl/>
        <w:jc w:val="left"/>
        <w:rPr>
          <w:rFonts w:ascii="Times New Roman" w:eastAsia="仿宋"/>
        </w:rPr>
      </w:pPr>
      <w:r>
        <w:rPr>
          <w:rFonts w:ascii="Times New Roman" w:eastAsia="仿宋"/>
        </w:rPr>
        <w:drawing>
          <wp:inline distT="0" distB="0" distL="0" distR="0">
            <wp:extent cx="5462270" cy="2258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462270" cy="2258060"/>
                    </a:xfrm>
                    <a:prstGeom prst="rect">
                      <a:avLst/>
                    </a:prstGeom>
                    <a:noFill/>
                    <a:ln>
                      <a:noFill/>
                    </a:ln>
                  </pic:spPr>
                </pic:pic>
              </a:graphicData>
            </a:graphic>
          </wp:inline>
        </w:drawing>
      </w:r>
    </w:p>
    <w:p w14:paraId="23796778">
      <w:pPr>
        <w:tabs>
          <w:tab w:val="left" w:pos="567"/>
          <w:tab w:val="left" w:pos="630"/>
          <w:tab w:val="right" w:leader="dot" w:pos="8302"/>
        </w:tabs>
        <w:ind w:left="210" w:firstLine="482"/>
        <w:jc w:val="left"/>
        <w:rPr>
          <w:rFonts w:ascii="Times New Roman" w:eastAsia="仿宋"/>
          <w:b/>
          <w:bCs/>
          <w:smallCaps/>
          <w:szCs w:val="21"/>
        </w:rPr>
      </w:pPr>
      <w:r>
        <w:rPr>
          <w:rFonts w:ascii="Times New Roman" w:eastAsia="仿宋"/>
          <w:b/>
          <w:bCs/>
          <w:smallCaps/>
          <w:szCs w:val="21"/>
        </w:rPr>
        <w:t xml:space="preserve">       5月静风2.5%                            6月静风1.9%</w:t>
      </w:r>
    </w:p>
    <w:p w14:paraId="6EBF2876">
      <w:pPr>
        <w:tabs>
          <w:tab w:val="left" w:pos="567"/>
          <w:tab w:val="left" w:pos="630"/>
          <w:tab w:val="right" w:leader="dot" w:pos="8302"/>
        </w:tabs>
        <w:ind w:left="210" w:firstLine="482"/>
        <w:jc w:val="left"/>
        <w:rPr>
          <w:rFonts w:ascii="Times New Roman" w:eastAsia="仿宋"/>
          <w:b/>
          <w:bCs/>
          <w:smallCaps/>
          <w:szCs w:val="21"/>
        </w:rPr>
      </w:pPr>
    </w:p>
    <w:p w14:paraId="7AF3C926">
      <w:pPr>
        <w:widowControl/>
        <w:jc w:val="left"/>
        <w:rPr>
          <w:rFonts w:ascii="Times New Roman" w:eastAsia="仿宋"/>
        </w:rPr>
      </w:pPr>
      <w:r>
        <w:rPr>
          <w:rFonts w:ascii="Times New Roman" w:eastAsia="仿宋"/>
        </w:rPr>
        <w:drawing>
          <wp:inline distT="0" distB="0" distL="0" distR="0">
            <wp:extent cx="5470525" cy="213106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470525" cy="2131060"/>
                    </a:xfrm>
                    <a:prstGeom prst="rect">
                      <a:avLst/>
                    </a:prstGeom>
                    <a:noFill/>
                    <a:ln>
                      <a:noFill/>
                    </a:ln>
                  </pic:spPr>
                </pic:pic>
              </a:graphicData>
            </a:graphic>
          </wp:inline>
        </w:drawing>
      </w:r>
    </w:p>
    <w:p w14:paraId="7EB2E816">
      <w:pPr>
        <w:tabs>
          <w:tab w:val="left" w:pos="567"/>
          <w:tab w:val="left" w:pos="630"/>
          <w:tab w:val="right" w:leader="dot" w:pos="8302"/>
        </w:tabs>
        <w:ind w:left="210" w:firstLine="482"/>
        <w:jc w:val="left"/>
        <w:rPr>
          <w:rFonts w:ascii="Times New Roman" w:eastAsia="仿宋"/>
          <w:b/>
          <w:bCs/>
          <w:smallCaps/>
          <w:szCs w:val="21"/>
        </w:rPr>
      </w:pPr>
      <w:r>
        <w:rPr>
          <w:rFonts w:ascii="Times New Roman" w:eastAsia="仿宋"/>
          <w:b/>
          <w:bCs/>
          <w:smallCaps/>
          <w:szCs w:val="21"/>
        </w:rPr>
        <w:t xml:space="preserve">      7月静风4.4%                                8月静风3.5%</w:t>
      </w:r>
    </w:p>
    <w:p w14:paraId="032A4B6F">
      <w:pPr>
        <w:tabs>
          <w:tab w:val="left" w:pos="567"/>
          <w:tab w:val="left" w:pos="630"/>
          <w:tab w:val="right" w:leader="dot" w:pos="8302"/>
        </w:tabs>
        <w:ind w:left="210" w:firstLine="482"/>
        <w:jc w:val="left"/>
        <w:rPr>
          <w:rFonts w:ascii="Times New Roman" w:eastAsia="仿宋"/>
          <w:b/>
          <w:bCs/>
          <w:smallCaps/>
          <w:szCs w:val="21"/>
        </w:rPr>
      </w:pPr>
    </w:p>
    <w:p w14:paraId="674ABEDB">
      <w:pPr>
        <w:widowControl/>
        <w:jc w:val="left"/>
        <w:rPr>
          <w:rFonts w:ascii="Times New Roman" w:eastAsia="仿宋"/>
        </w:rPr>
      </w:pPr>
      <w:r>
        <w:rPr>
          <w:rFonts w:ascii="Times New Roman" w:eastAsia="仿宋"/>
        </w:rPr>
        <w:drawing>
          <wp:inline distT="0" distB="0" distL="0" distR="0">
            <wp:extent cx="5470525" cy="2202815"/>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470525" cy="2202815"/>
                    </a:xfrm>
                    <a:prstGeom prst="rect">
                      <a:avLst/>
                    </a:prstGeom>
                    <a:noFill/>
                    <a:ln>
                      <a:noFill/>
                    </a:ln>
                  </pic:spPr>
                </pic:pic>
              </a:graphicData>
            </a:graphic>
          </wp:inline>
        </w:drawing>
      </w:r>
    </w:p>
    <w:p w14:paraId="3DB82133">
      <w:pPr>
        <w:tabs>
          <w:tab w:val="left" w:pos="567"/>
          <w:tab w:val="left" w:pos="630"/>
          <w:tab w:val="right" w:leader="dot" w:pos="8302"/>
        </w:tabs>
        <w:ind w:left="210" w:firstLine="482"/>
        <w:jc w:val="left"/>
        <w:rPr>
          <w:rFonts w:ascii="Times New Roman" w:eastAsia="仿宋"/>
          <w:b/>
          <w:bCs/>
          <w:smallCaps/>
          <w:szCs w:val="21"/>
        </w:rPr>
      </w:pPr>
      <w:r>
        <w:rPr>
          <w:rFonts w:ascii="Times New Roman" w:eastAsia="仿宋"/>
          <w:b/>
          <w:bCs/>
          <w:smallCaps/>
          <w:szCs w:val="21"/>
        </w:rPr>
        <w:t xml:space="preserve">     9月静风3.9%                                10月静风5.1%</w:t>
      </w:r>
    </w:p>
    <w:p w14:paraId="0A8C2E27">
      <w:pPr>
        <w:widowControl/>
        <w:jc w:val="left"/>
        <w:rPr>
          <w:rFonts w:ascii="Times New Roman" w:eastAsia="仿宋"/>
        </w:rPr>
      </w:pPr>
      <w:r>
        <w:rPr>
          <w:rFonts w:ascii="Times New Roman" w:eastAsia="仿宋"/>
        </w:rPr>
        <w:drawing>
          <wp:inline distT="0" distB="0" distL="0" distR="0">
            <wp:extent cx="5462270" cy="2298065"/>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462270" cy="2298065"/>
                    </a:xfrm>
                    <a:prstGeom prst="rect">
                      <a:avLst/>
                    </a:prstGeom>
                    <a:noFill/>
                    <a:ln>
                      <a:noFill/>
                    </a:ln>
                  </pic:spPr>
                </pic:pic>
              </a:graphicData>
            </a:graphic>
          </wp:inline>
        </w:drawing>
      </w:r>
    </w:p>
    <w:p w14:paraId="4A0CBD14">
      <w:pPr>
        <w:tabs>
          <w:tab w:val="left" w:pos="567"/>
          <w:tab w:val="left" w:pos="630"/>
          <w:tab w:val="right" w:leader="dot" w:pos="8302"/>
        </w:tabs>
        <w:ind w:left="210" w:firstLine="482"/>
        <w:jc w:val="left"/>
        <w:rPr>
          <w:rFonts w:ascii="Times New Roman" w:eastAsia="仿宋"/>
          <w:b/>
          <w:bCs/>
          <w:smallCaps/>
          <w:szCs w:val="21"/>
        </w:rPr>
      </w:pPr>
      <w:r>
        <w:rPr>
          <w:rFonts w:ascii="Times New Roman" w:eastAsia="仿宋"/>
          <w:b/>
          <w:bCs/>
          <w:smallCaps/>
          <w:szCs w:val="21"/>
        </w:rPr>
        <w:t xml:space="preserve">       11月静风6.8%                            12月静风7.1%</w:t>
      </w:r>
    </w:p>
    <w:p w14:paraId="38BB3FC9">
      <w:pPr>
        <w:widowControl/>
        <w:spacing w:line="500" w:lineRule="exact"/>
        <w:ind w:firstLine="482" w:firstLineChars="200"/>
        <w:jc w:val="center"/>
        <w:rPr>
          <w:rFonts w:ascii="Times New Roman" w:eastAsia="仿宋"/>
          <w:b/>
          <w:bCs/>
          <w:szCs w:val="21"/>
        </w:rPr>
      </w:pPr>
      <w:r>
        <w:rPr>
          <w:rFonts w:ascii="Times New Roman" w:eastAsia="仿宋"/>
          <w:b/>
          <w:bCs/>
          <w:szCs w:val="21"/>
        </w:rPr>
        <w:t>图5.2-2  常州月风向玫瑰图</w:t>
      </w:r>
    </w:p>
    <w:p w14:paraId="6AE2A7E9">
      <w:pPr>
        <w:widowControl/>
        <w:spacing w:line="500" w:lineRule="exact"/>
        <w:ind w:firstLine="560" w:firstLineChars="200"/>
        <w:jc w:val="left"/>
        <w:rPr>
          <w:rFonts w:ascii="Times New Roman" w:eastAsia="仿宋"/>
          <w:sz w:val="28"/>
          <w:szCs w:val="28"/>
        </w:rPr>
      </w:pPr>
      <w:r>
        <w:rPr>
          <w:rFonts w:ascii="Times New Roman" w:eastAsia="仿宋"/>
          <w:sz w:val="28"/>
          <w:szCs w:val="28"/>
        </w:rPr>
        <w:t>（3）风速年际变化特征与周期分析</w:t>
      </w:r>
    </w:p>
    <w:p w14:paraId="77DB6E73">
      <w:pPr>
        <w:widowControl/>
        <w:spacing w:line="500" w:lineRule="exact"/>
        <w:ind w:firstLine="560" w:firstLineChars="200"/>
        <w:jc w:val="left"/>
        <w:rPr>
          <w:rFonts w:ascii="Times New Roman" w:eastAsia="仿宋"/>
          <w:sz w:val="28"/>
          <w:szCs w:val="28"/>
        </w:rPr>
      </w:pPr>
      <w:r>
        <w:rPr>
          <w:rFonts w:ascii="Times New Roman" w:eastAsia="仿宋"/>
          <w:sz w:val="28"/>
          <w:szCs w:val="28"/>
        </w:rPr>
        <w:t>根据近20年资料分析，常州气象站风速呈现下降趋势,每年下降0.05%，2002年年平均风速最大（3.2米/秒），2020年年平均风速最小（2.0米/秒），无明显周期。</w:t>
      </w:r>
    </w:p>
    <w:p w14:paraId="423B2C2B">
      <w:pPr>
        <w:widowControl/>
        <w:jc w:val="center"/>
        <w:rPr>
          <w:rFonts w:ascii="Times New Roman" w:eastAsia="仿宋"/>
        </w:rPr>
      </w:pPr>
      <w:r>
        <w:rPr>
          <w:rFonts w:ascii="Times New Roman" w:eastAsia="仿宋"/>
        </w:rPr>
        <w:drawing>
          <wp:inline distT="0" distB="0" distL="0" distR="0">
            <wp:extent cx="5462270" cy="4095115"/>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4B1B1E0F">
      <w:pPr>
        <w:widowControl/>
        <w:spacing w:line="320" w:lineRule="exact"/>
        <w:ind w:firstLine="482" w:firstLineChars="200"/>
        <w:jc w:val="center"/>
        <w:rPr>
          <w:rFonts w:ascii="Times New Roman" w:eastAsia="仿宋"/>
          <w:b/>
          <w:bCs/>
          <w:szCs w:val="21"/>
        </w:rPr>
      </w:pPr>
      <w:r>
        <w:rPr>
          <w:rFonts w:ascii="Times New Roman" w:eastAsia="仿宋"/>
          <w:b/>
          <w:bCs/>
          <w:szCs w:val="21"/>
        </w:rPr>
        <w:t>图5.2-3  常州（2002-2021年）年平均风速（单位：m/s，虚线为趋势线）</w:t>
      </w:r>
    </w:p>
    <w:p w14:paraId="08670F75">
      <w:pPr>
        <w:widowControl/>
        <w:spacing w:line="500" w:lineRule="exact"/>
        <w:ind w:firstLine="560" w:firstLineChars="200"/>
        <w:jc w:val="left"/>
        <w:rPr>
          <w:rFonts w:ascii="Times New Roman" w:eastAsia="仿宋"/>
          <w:sz w:val="28"/>
          <w:szCs w:val="28"/>
        </w:rPr>
      </w:pPr>
      <w:r>
        <w:rPr>
          <w:rFonts w:ascii="Times New Roman" w:eastAsia="仿宋"/>
          <w:sz w:val="28"/>
          <w:szCs w:val="28"/>
        </w:rPr>
        <w:t>3）气象站温度分析</w:t>
      </w:r>
    </w:p>
    <w:p w14:paraId="424209A2">
      <w:pPr>
        <w:widowControl/>
        <w:spacing w:line="500" w:lineRule="exact"/>
        <w:ind w:firstLine="560" w:firstLineChars="200"/>
        <w:jc w:val="left"/>
        <w:rPr>
          <w:rFonts w:ascii="Times New Roman" w:eastAsia="仿宋"/>
          <w:sz w:val="28"/>
          <w:szCs w:val="28"/>
        </w:rPr>
      </w:pPr>
      <w:r>
        <w:rPr>
          <w:rFonts w:ascii="Times New Roman" w:eastAsia="仿宋"/>
          <w:sz w:val="28"/>
          <w:szCs w:val="28"/>
        </w:rPr>
        <w:t>（1）月平均气温与极端气温</w:t>
      </w:r>
    </w:p>
    <w:p w14:paraId="110535DF">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常州气象站07 月气温最高（28.8℃），01 月气温最低（3.7℃），近20年极端最高气温出现在2017-07-23（40.6℃），近20 年极端最低气温出现在2016-01-24（-9.2℃）。</w:t>
      </w:r>
    </w:p>
    <w:p w14:paraId="051F4007">
      <w:pPr>
        <w:widowControl/>
        <w:jc w:val="center"/>
        <w:rPr>
          <w:rFonts w:ascii="Times New Roman" w:eastAsia="仿宋"/>
        </w:rPr>
      </w:pPr>
      <w:r>
        <w:rPr>
          <w:rFonts w:ascii="Times New Roman" w:eastAsia="仿宋"/>
        </w:rPr>
        <w:drawing>
          <wp:inline distT="0" distB="0" distL="0" distR="0">
            <wp:extent cx="5462270" cy="4095115"/>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040FF0EB">
      <w:pPr>
        <w:widowControl/>
        <w:spacing w:line="320" w:lineRule="exact"/>
        <w:ind w:firstLine="482" w:firstLineChars="200"/>
        <w:jc w:val="center"/>
        <w:rPr>
          <w:rFonts w:ascii="Times New Roman" w:eastAsia="仿宋"/>
          <w:b/>
          <w:bCs/>
          <w:szCs w:val="21"/>
        </w:rPr>
      </w:pPr>
      <w:r>
        <w:rPr>
          <w:rFonts w:ascii="Times New Roman" w:eastAsia="仿宋"/>
          <w:b/>
          <w:bCs/>
          <w:szCs w:val="21"/>
        </w:rPr>
        <w:t>图5.2-4  常州月平均气温（单位：℃）</w:t>
      </w:r>
    </w:p>
    <w:p w14:paraId="0EECE32E">
      <w:pPr>
        <w:widowControl/>
        <w:spacing w:line="500" w:lineRule="exact"/>
        <w:ind w:firstLine="560" w:firstLineChars="200"/>
        <w:jc w:val="left"/>
        <w:rPr>
          <w:rFonts w:ascii="Times New Roman" w:eastAsia="仿宋"/>
          <w:sz w:val="28"/>
          <w:szCs w:val="28"/>
        </w:rPr>
      </w:pPr>
      <w:r>
        <w:rPr>
          <w:rFonts w:ascii="Times New Roman" w:eastAsia="仿宋"/>
          <w:sz w:val="28"/>
          <w:szCs w:val="28"/>
        </w:rPr>
        <w:t>（2）温度年际变化趋势与周期分析</w:t>
      </w:r>
    </w:p>
    <w:p w14:paraId="311D2F57">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常州气象站近20 年气温呈现上升趋势,每年上升0.05%，2021 年年平均气温最高（17.9℃），2003年年平均气温最低（16.2℃），周期为10 年。</w:t>
      </w:r>
    </w:p>
    <w:p w14:paraId="06443D55">
      <w:pPr>
        <w:widowControl/>
        <w:jc w:val="center"/>
        <w:rPr>
          <w:rFonts w:ascii="Times New Roman" w:eastAsia="仿宋"/>
        </w:rPr>
      </w:pPr>
      <w:r>
        <w:rPr>
          <w:rFonts w:ascii="Times New Roman" w:eastAsia="仿宋"/>
        </w:rPr>
        <w:drawing>
          <wp:inline distT="0" distB="0" distL="0" distR="0">
            <wp:extent cx="5462270" cy="4095115"/>
            <wp:effectExtent l="0" t="0" r="0" b="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3ECFE1AF">
      <w:pPr>
        <w:widowControl/>
        <w:spacing w:line="500" w:lineRule="exact"/>
        <w:ind w:firstLine="482" w:firstLineChars="200"/>
        <w:jc w:val="center"/>
        <w:rPr>
          <w:rFonts w:ascii="Times New Roman" w:eastAsia="仿宋"/>
          <w:b/>
          <w:bCs/>
          <w:szCs w:val="21"/>
        </w:rPr>
      </w:pPr>
      <w:r>
        <w:rPr>
          <w:rFonts w:ascii="Times New Roman" w:eastAsia="仿宋"/>
          <w:b/>
          <w:bCs/>
          <w:szCs w:val="21"/>
        </w:rPr>
        <w:t>图5.2-5  常州（2002-2021年）年平均气温（单位：℃，虚线为趋势线）</w:t>
      </w:r>
    </w:p>
    <w:p w14:paraId="73DD004E">
      <w:pPr>
        <w:widowControl/>
        <w:spacing w:line="500" w:lineRule="exact"/>
        <w:ind w:firstLine="560" w:firstLineChars="200"/>
        <w:jc w:val="left"/>
        <w:rPr>
          <w:rFonts w:ascii="Times New Roman" w:eastAsia="仿宋"/>
          <w:sz w:val="28"/>
          <w:szCs w:val="28"/>
        </w:rPr>
      </w:pPr>
      <w:r>
        <w:rPr>
          <w:rFonts w:ascii="Times New Roman" w:eastAsia="仿宋"/>
          <w:sz w:val="28"/>
          <w:szCs w:val="28"/>
        </w:rPr>
        <w:t>4）气象站降水分析</w:t>
      </w:r>
    </w:p>
    <w:p w14:paraId="1F3EA660">
      <w:pPr>
        <w:widowControl/>
        <w:spacing w:line="500" w:lineRule="exact"/>
        <w:ind w:firstLine="560" w:firstLineChars="200"/>
        <w:jc w:val="left"/>
        <w:rPr>
          <w:rFonts w:ascii="Times New Roman" w:eastAsia="仿宋"/>
          <w:sz w:val="28"/>
          <w:szCs w:val="28"/>
        </w:rPr>
      </w:pPr>
      <w:r>
        <w:rPr>
          <w:rFonts w:ascii="Times New Roman" w:eastAsia="仿宋"/>
          <w:sz w:val="28"/>
          <w:szCs w:val="28"/>
        </w:rPr>
        <w:t>（1）月平均降水与极端降水</w:t>
      </w:r>
    </w:p>
    <w:p w14:paraId="2D45F71B">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常州气象站07月降水量最大（250.1毫米），12 月降水量最小（41.7 毫米），近20年极端最大日降水出现在2015-06-27（243.6 毫米）。</w:t>
      </w:r>
    </w:p>
    <w:p w14:paraId="77C0A083">
      <w:pPr>
        <w:widowControl/>
        <w:jc w:val="center"/>
        <w:rPr>
          <w:rFonts w:ascii="Times New Roman" w:eastAsia="仿宋"/>
        </w:rPr>
      </w:pPr>
      <w:r>
        <w:rPr>
          <w:rFonts w:ascii="Times New Roman" w:eastAsia="仿宋"/>
        </w:rPr>
        <w:drawing>
          <wp:inline distT="0" distB="0" distL="0" distR="0">
            <wp:extent cx="5462270" cy="4095115"/>
            <wp:effectExtent l="0" t="0" r="0"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2F4113FB">
      <w:pPr>
        <w:widowControl/>
        <w:spacing w:line="500" w:lineRule="exact"/>
        <w:ind w:firstLine="482" w:firstLineChars="200"/>
        <w:jc w:val="center"/>
        <w:rPr>
          <w:rFonts w:ascii="Times New Roman" w:eastAsia="仿宋"/>
          <w:b/>
          <w:bCs/>
          <w:szCs w:val="21"/>
        </w:rPr>
      </w:pPr>
      <w:r>
        <w:rPr>
          <w:rFonts w:ascii="Times New Roman" w:eastAsia="仿宋"/>
          <w:b/>
          <w:bCs/>
          <w:szCs w:val="21"/>
        </w:rPr>
        <w:t>图5.2-6  常州月平均降水量（单位：毫米）</w:t>
      </w:r>
    </w:p>
    <w:p w14:paraId="277ABF37">
      <w:pPr>
        <w:widowControl/>
        <w:spacing w:line="500" w:lineRule="exact"/>
        <w:ind w:firstLine="560" w:firstLineChars="200"/>
        <w:jc w:val="left"/>
        <w:rPr>
          <w:rFonts w:ascii="Times New Roman" w:eastAsia="仿宋"/>
          <w:sz w:val="28"/>
          <w:szCs w:val="28"/>
        </w:rPr>
      </w:pPr>
      <w:r>
        <w:rPr>
          <w:rFonts w:ascii="Times New Roman" w:eastAsia="仿宋"/>
          <w:sz w:val="28"/>
          <w:szCs w:val="28"/>
        </w:rPr>
        <w:t>（2）降水年际变化趋势与周期分析</w:t>
      </w:r>
    </w:p>
    <w:p w14:paraId="65830EFB">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常州气象站近20年年降水总量无明显变化趋势，2016年年总降水量最大（2165.1毫米），2013年年总降水量最小（868.0毫米），周期为10年。</w:t>
      </w:r>
    </w:p>
    <w:p w14:paraId="5D6D9C0E">
      <w:pPr>
        <w:widowControl/>
        <w:jc w:val="center"/>
        <w:rPr>
          <w:rFonts w:ascii="Times New Roman" w:eastAsia="仿宋"/>
        </w:rPr>
      </w:pPr>
      <w:r>
        <w:rPr>
          <w:rFonts w:ascii="Times New Roman" w:eastAsia="仿宋"/>
        </w:rPr>
        <w:drawing>
          <wp:inline distT="0" distB="0" distL="0" distR="0">
            <wp:extent cx="5462270" cy="4095115"/>
            <wp:effectExtent l="0" t="0" r="0"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09032A1B">
      <w:pPr>
        <w:widowControl/>
        <w:spacing w:line="500" w:lineRule="exact"/>
        <w:ind w:firstLine="482" w:firstLineChars="200"/>
        <w:jc w:val="center"/>
        <w:rPr>
          <w:rFonts w:ascii="Times New Roman" w:eastAsia="仿宋"/>
          <w:b/>
          <w:bCs/>
          <w:szCs w:val="21"/>
        </w:rPr>
      </w:pPr>
      <w:r>
        <w:rPr>
          <w:rFonts w:ascii="Times New Roman" w:eastAsia="仿宋"/>
          <w:b/>
          <w:bCs/>
          <w:szCs w:val="21"/>
        </w:rPr>
        <w:t>图5.2-7  常州（2002-2021）年总降水量（单位：毫米，虚线为趋势线）</w:t>
      </w:r>
    </w:p>
    <w:p w14:paraId="469438B8">
      <w:pPr>
        <w:widowControl/>
        <w:spacing w:line="500" w:lineRule="exact"/>
        <w:ind w:firstLine="560" w:firstLineChars="200"/>
        <w:jc w:val="left"/>
        <w:rPr>
          <w:rFonts w:ascii="Times New Roman" w:eastAsia="仿宋"/>
          <w:sz w:val="28"/>
          <w:szCs w:val="28"/>
        </w:rPr>
      </w:pPr>
      <w:r>
        <w:rPr>
          <w:rFonts w:ascii="Times New Roman" w:eastAsia="仿宋"/>
          <w:sz w:val="28"/>
          <w:szCs w:val="28"/>
        </w:rPr>
        <w:t>5）气象站日照分析</w:t>
      </w:r>
    </w:p>
    <w:p w14:paraId="57C43D40">
      <w:pPr>
        <w:widowControl/>
        <w:spacing w:line="500" w:lineRule="exact"/>
        <w:ind w:firstLine="560" w:firstLineChars="200"/>
        <w:jc w:val="left"/>
        <w:rPr>
          <w:rFonts w:ascii="Times New Roman" w:eastAsia="仿宋"/>
          <w:sz w:val="28"/>
          <w:szCs w:val="28"/>
        </w:rPr>
      </w:pPr>
      <w:r>
        <w:rPr>
          <w:rFonts w:ascii="Times New Roman" w:eastAsia="仿宋"/>
          <w:sz w:val="28"/>
          <w:szCs w:val="28"/>
        </w:rPr>
        <w:t>（1）月日照时数</w:t>
      </w:r>
    </w:p>
    <w:p w14:paraId="5AFBFCD0">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常州气象站08月日照最长（208.3 小时），02 月日照最短（120.0 小时）。</w:t>
      </w:r>
    </w:p>
    <w:p w14:paraId="3492FF32">
      <w:pPr>
        <w:widowControl/>
        <w:jc w:val="center"/>
        <w:rPr>
          <w:rFonts w:ascii="Times New Roman" w:eastAsia="仿宋"/>
        </w:rPr>
      </w:pPr>
      <w:r>
        <w:rPr>
          <w:rFonts w:ascii="Times New Roman" w:eastAsia="仿宋"/>
        </w:rPr>
        <w:drawing>
          <wp:inline distT="0" distB="0" distL="0" distR="0">
            <wp:extent cx="5462270" cy="4095115"/>
            <wp:effectExtent l="0" t="0" r="0" b="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3EC96759">
      <w:pPr>
        <w:widowControl/>
        <w:spacing w:line="500" w:lineRule="exact"/>
        <w:ind w:firstLine="482" w:firstLineChars="200"/>
        <w:jc w:val="center"/>
        <w:rPr>
          <w:rFonts w:ascii="Times New Roman" w:eastAsia="仿宋"/>
          <w:b/>
          <w:bCs/>
          <w:szCs w:val="21"/>
        </w:rPr>
      </w:pPr>
      <w:r>
        <w:rPr>
          <w:rFonts w:ascii="Times New Roman" w:eastAsia="仿宋"/>
          <w:b/>
          <w:bCs/>
          <w:szCs w:val="21"/>
        </w:rPr>
        <w:t>图5.2-8  常州月日照时数（单位：小时）</w:t>
      </w:r>
    </w:p>
    <w:p w14:paraId="2A1BDA89">
      <w:pPr>
        <w:widowControl/>
        <w:spacing w:line="500" w:lineRule="exact"/>
        <w:ind w:firstLine="560" w:firstLineChars="200"/>
        <w:jc w:val="left"/>
        <w:rPr>
          <w:rFonts w:ascii="Times New Roman" w:eastAsia="仿宋"/>
          <w:sz w:val="28"/>
          <w:szCs w:val="28"/>
        </w:rPr>
      </w:pPr>
      <w:r>
        <w:rPr>
          <w:rFonts w:ascii="Times New Roman" w:eastAsia="仿宋"/>
          <w:sz w:val="28"/>
          <w:szCs w:val="28"/>
        </w:rPr>
        <w:t>（2）日照时数年际变化趋势与周期分析</w:t>
      </w:r>
    </w:p>
    <w:p w14:paraId="5884CCA2">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常州气象站近20 年年日照时数呈现下降趋势,每年下降18.29%，2013 年年日照时数最长（2309.2 小时），2020 年年日照时数最短（1591.5 小时），周期为6-7 年。</w:t>
      </w:r>
    </w:p>
    <w:p w14:paraId="3A014579">
      <w:pPr>
        <w:widowControl/>
        <w:jc w:val="center"/>
        <w:rPr>
          <w:rFonts w:ascii="Times New Roman" w:eastAsia="仿宋"/>
        </w:rPr>
      </w:pPr>
      <w:r>
        <w:rPr>
          <w:rFonts w:ascii="Times New Roman" w:eastAsia="仿宋"/>
        </w:rPr>
        <w:drawing>
          <wp:inline distT="0" distB="0" distL="0" distR="0">
            <wp:extent cx="5462270" cy="4095115"/>
            <wp:effectExtent l="0" t="0" r="0" b="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5E59E953">
      <w:pPr>
        <w:widowControl/>
        <w:spacing w:line="500" w:lineRule="exact"/>
        <w:ind w:firstLine="482" w:firstLineChars="200"/>
        <w:jc w:val="center"/>
        <w:rPr>
          <w:rFonts w:ascii="Times New Roman" w:eastAsia="仿宋"/>
          <w:b/>
          <w:bCs/>
          <w:szCs w:val="21"/>
        </w:rPr>
      </w:pPr>
      <w:r>
        <w:rPr>
          <w:rFonts w:ascii="Times New Roman" w:eastAsia="仿宋"/>
          <w:b/>
          <w:bCs/>
          <w:szCs w:val="21"/>
        </w:rPr>
        <w:t>图5.2-9  常州（2002-2021）年日照时长（单位：小时，虚线为趋势线）</w:t>
      </w:r>
    </w:p>
    <w:p w14:paraId="548DB7FB">
      <w:pPr>
        <w:widowControl/>
        <w:spacing w:line="500" w:lineRule="exact"/>
        <w:ind w:firstLine="560" w:firstLineChars="200"/>
        <w:jc w:val="left"/>
        <w:rPr>
          <w:rFonts w:ascii="Times New Roman" w:eastAsia="仿宋"/>
          <w:sz w:val="28"/>
          <w:szCs w:val="28"/>
        </w:rPr>
      </w:pPr>
      <w:r>
        <w:rPr>
          <w:rFonts w:ascii="Times New Roman" w:eastAsia="仿宋"/>
          <w:sz w:val="28"/>
          <w:szCs w:val="28"/>
        </w:rPr>
        <w:t>6）气象站相对湿度分析</w:t>
      </w:r>
    </w:p>
    <w:p w14:paraId="50478B34">
      <w:pPr>
        <w:widowControl/>
        <w:spacing w:line="500" w:lineRule="exact"/>
        <w:ind w:firstLine="560" w:firstLineChars="200"/>
        <w:jc w:val="left"/>
        <w:rPr>
          <w:rFonts w:ascii="Times New Roman" w:eastAsia="仿宋"/>
          <w:sz w:val="28"/>
          <w:szCs w:val="28"/>
        </w:rPr>
      </w:pPr>
      <w:r>
        <w:rPr>
          <w:rFonts w:ascii="Times New Roman" w:eastAsia="仿宋"/>
          <w:sz w:val="28"/>
          <w:szCs w:val="28"/>
        </w:rPr>
        <w:t>（1）月相对湿度分析</w:t>
      </w:r>
    </w:p>
    <w:p w14:paraId="737A6B60">
      <w:pPr>
        <w:widowControl/>
        <w:spacing w:line="500" w:lineRule="exact"/>
        <w:ind w:firstLine="560" w:firstLineChars="200"/>
        <w:jc w:val="left"/>
        <w:rPr>
          <w:rFonts w:ascii="Times New Roman" w:eastAsia="仿宋"/>
          <w:sz w:val="28"/>
          <w:szCs w:val="28"/>
        </w:rPr>
      </w:pPr>
      <w:bookmarkStart w:id="341" w:name="_Hlk21943971"/>
      <w:r>
        <w:rPr>
          <w:rFonts w:ascii="Times New Roman" w:eastAsia="仿宋"/>
          <w:sz w:val="28"/>
          <w:szCs w:val="28"/>
        </w:rPr>
        <w:t>常州气象站09 月平均相对湿度最大（78.1%），04 月平均相对湿度最小（67.7%）。</w:t>
      </w:r>
    </w:p>
    <w:p w14:paraId="6613DDD6">
      <w:pPr>
        <w:widowControl/>
        <w:jc w:val="center"/>
        <w:rPr>
          <w:rFonts w:ascii="Times New Roman" w:eastAsia="仿宋"/>
        </w:rPr>
      </w:pPr>
      <w:r>
        <w:rPr>
          <w:rFonts w:ascii="Times New Roman" w:eastAsia="仿宋"/>
        </w:rPr>
        <w:drawing>
          <wp:inline distT="0" distB="0" distL="0" distR="0">
            <wp:extent cx="5462270" cy="4095115"/>
            <wp:effectExtent l="0" t="0" r="0" b="0"/>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6AAE971B">
      <w:pPr>
        <w:widowControl/>
        <w:spacing w:line="500" w:lineRule="exact"/>
        <w:ind w:firstLine="482" w:firstLineChars="200"/>
        <w:jc w:val="center"/>
        <w:rPr>
          <w:rFonts w:ascii="Times New Roman" w:eastAsia="仿宋"/>
          <w:b/>
          <w:bCs/>
          <w:szCs w:val="21"/>
        </w:rPr>
      </w:pPr>
      <w:r>
        <w:rPr>
          <w:rFonts w:ascii="Times New Roman" w:eastAsia="仿宋"/>
          <w:b/>
          <w:bCs/>
          <w:szCs w:val="21"/>
        </w:rPr>
        <w:t>图5.2-10  常州月平均相对湿度（纵轴为百分比）</w:t>
      </w:r>
    </w:p>
    <w:p w14:paraId="5BC3B848">
      <w:pPr>
        <w:widowControl/>
        <w:spacing w:line="500" w:lineRule="exact"/>
        <w:ind w:firstLine="560" w:firstLineChars="200"/>
        <w:jc w:val="left"/>
        <w:rPr>
          <w:rFonts w:ascii="Times New Roman" w:eastAsia="仿宋"/>
          <w:sz w:val="28"/>
          <w:szCs w:val="28"/>
        </w:rPr>
      </w:pPr>
      <w:r>
        <w:rPr>
          <w:rFonts w:ascii="Times New Roman" w:eastAsia="仿宋"/>
          <w:sz w:val="28"/>
          <w:szCs w:val="28"/>
        </w:rPr>
        <w:t>（2）相对湿度年际变化趋势与周期分析</w:t>
      </w:r>
    </w:p>
    <w:p w14:paraId="22A4FBB7">
      <w:pPr>
        <w:widowControl/>
        <w:spacing w:line="500" w:lineRule="exact"/>
        <w:ind w:firstLine="560" w:firstLineChars="200"/>
        <w:jc w:val="left"/>
        <w:rPr>
          <w:rFonts w:ascii="Times New Roman" w:eastAsia="仿宋"/>
          <w:sz w:val="28"/>
          <w:szCs w:val="28"/>
        </w:rPr>
      </w:pPr>
      <w:r>
        <w:rPr>
          <w:rFonts w:ascii="Times New Roman" w:eastAsia="仿宋"/>
          <w:sz w:val="28"/>
          <w:szCs w:val="28"/>
        </w:rPr>
        <w:t>常州气象站近20 年年平均相对湿度无明显变化趋势，2006 年年平均相对湿度最大（78.0%），2013 年年平均相对湿度最小（69.0%），无明显周期。</w:t>
      </w:r>
    </w:p>
    <w:p w14:paraId="31F77ED8">
      <w:pPr>
        <w:widowControl/>
        <w:jc w:val="center"/>
        <w:rPr>
          <w:rFonts w:ascii="Times New Roman" w:eastAsia="仿宋"/>
        </w:rPr>
      </w:pPr>
      <w:r>
        <w:rPr>
          <w:rFonts w:ascii="Times New Roman" w:eastAsia="仿宋"/>
        </w:rPr>
        <w:drawing>
          <wp:inline distT="0" distB="0" distL="0" distR="0">
            <wp:extent cx="5462270" cy="4095115"/>
            <wp:effectExtent l="0" t="0" r="0" b="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462270" cy="4095115"/>
                    </a:xfrm>
                    <a:prstGeom prst="rect">
                      <a:avLst/>
                    </a:prstGeom>
                    <a:noFill/>
                    <a:ln>
                      <a:noFill/>
                    </a:ln>
                  </pic:spPr>
                </pic:pic>
              </a:graphicData>
            </a:graphic>
          </wp:inline>
        </w:drawing>
      </w:r>
    </w:p>
    <w:p w14:paraId="7F3A547F">
      <w:pPr>
        <w:spacing w:line="500" w:lineRule="exact"/>
        <w:ind w:firstLine="482" w:firstLineChars="200"/>
        <w:jc w:val="left"/>
        <w:rPr>
          <w:rFonts w:ascii="Times New Roman" w:eastAsia="仿宋"/>
          <w:sz w:val="28"/>
          <w:szCs w:val="28"/>
        </w:rPr>
      </w:pPr>
      <w:r>
        <w:rPr>
          <w:rFonts w:ascii="Times New Roman" w:eastAsia="仿宋"/>
          <w:b/>
          <w:bCs/>
          <w:szCs w:val="21"/>
        </w:rPr>
        <w:t>图5.2-11  常州（2002-2021）年平均相对湿度（纵轴为百分比，虚线为趋势线）</w:t>
      </w:r>
      <w:bookmarkEnd w:id="341"/>
    </w:p>
    <w:p w14:paraId="7857099C">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.2.1.2预测模式</w:t>
      </w:r>
    </w:p>
    <w:p w14:paraId="1220E65E">
      <w:pPr>
        <w:spacing w:line="500" w:lineRule="exact"/>
        <w:ind w:firstLine="560" w:firstLineChars="200"/>
        <w:rPr>
          <w:rFonts w:ascii="Times New Roman" w:eastAsia="仿宋"/>
          <w:sz w:val="28"/>
          <w:szCs w:val="28"/>
        </w:rPr>
      </w:pPr>
      <w:r>
        <w:rPr>
          <w:rFonts w:ascii="Times New Roman" w:eastAsia="仿宋"/>
          <w:sz w:val="28"/>
          <w:szCs w:val="28"/>
        </w:rPr>
        <w:t>根据《环境影响评价技术导则——大气环境》（HJ2.2-2018）要求，本项目评价等级定为二级评价，因此，本项目预测模式选用估算模式AERSCREEN进行，估算模式是一种单源预测模式，估算模式中嵌入了多种预设的气象组合条件，包括一些最不利的气象条件，此类气象条件在该地区可能发生也可能不发生。经估算模式计算的最大地面浓度大于进一步模式预测的结果。对于小于1小时的短期非正常排放可以采用估算模式进行预测。</w:t>
      </w:r>
    </w:p>
    <w:p w14:paraId="742B644E">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.2.1.3预测方案</w:t>
      </w:r>
    </w:p>
    <w:p w14:paraId="106471F7">
      <w:pPr>
        <w:spacing w:line="500" w:lineRule="exact"/>
        <w:ind w:firstLine="560" w:firstLineChars="200"/>
        <w:rPr>
          <w:rFonts w:ascii="Times New Roman" w:eastAsia="仿宋"/>
          <w:sz w:val="28"/>
          <w:szCs w:val="28"/>
        </w:rPr>
      </w:pPr>
      <w:r>
        <w:rPr>
          <w:rFonts w:ascii="Times New Roman" w:eastAsia="仿宋"/>
          <w:sz w:val="28"/>
          <w:szCs w:val="28"/>
        </w:rPr>
        <w:t>根据《环境影响评价技术导则——大气环境》（HJ2.2-2018）要求，“8.1.2二级评价项目不进行进一步预测与评价，只对污染物排放量进行核算”。</w:t>
      </w:r>
    </w:p>
    <w:p w14:paraId="12B1EB81">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.2.1.4</w:t>
      </w:r>
      <w:r>
        <w:rPr>
          <w:rFonts w:hint="eastAsia" w:ascii="Times New Roman" w:hAnsi="Times New Roman" w:eastAsia="仿宋"/>
          <w:b/>
        </w:rPr>
        <w:t>污染源参数</w:t>
      </w:r>
    </w:p>
    <w:p w14:paraId="4793B596">
      <w:pPr>
        <w:spacing w:line="500" w:lineRule="exact"/>
        <w:ind w:firstLine="560" w:firstLineChars="200"/>
        <w:rPr>
          <w:rFonts w:ascii="Times New Roman" w:eastAsia="仿宋"/>
          <w:sz w:val="28"/>
          <w:szCs w:val="28"/>
        </w:rPr>
      </w:pPr>
      <w:r>
        <w:rPr>
          <w:rFonts w:hint="eastAsia" w:ascii="Times New Roman" w:eastAsia="仿宋"/>
          <w:sz w:val="28"/>
          <w:szCs w:val="28"/>
        </w:rPr>
        <w:t>①</w:t>
      </w:r>
      <w:r>
        <w:rPr>
          <w:rFonts w:ascii="Times New Roman" w:eastAsia="仿宋"/>
          <w:sz w:val="28"/>
          <w:szCs w:val="28"/>
        </w:rPr>
        <w:t>正常工况</w:t>
      </w:r>
    </w:p>
    <w:p w14:paraId="79553769">
      <w:pPr>
        <w:spacing w:line="500" w:lineRule="exact"/>
        <w:ind w:firstLine="560" w:firstLineChars="200"/>
        <w:rPr>
          <w:rFonts w:ascii="Times New Roman" w:eastAsia="仿宋"/>
          <w:sz w:val="28"/>
          <w:szCs w:val="28"/>
        </w:rPr>
      </w:pPr>
      <w:r>
        <w:rPr>
          <w:rFonts w:ascii="Times New Roman" w:eastAsia="仿宋"/>
          <w:sz w:val="28"/>
          <w:szCs w:val="28"/>
        </w:rPr>
        <w:t>根据工程分析，本项目正常工况有组织排放大气污染物预测参数、正常工况下无组织排放大气污染物源强预测参数分别见下表。</w:t>
      </w:r>
    </w:p>
    <w:p w14:paraId="553D5B41">
      <w:pPr>
        <w:pStyle w:val="182"/>
        <w:spacing w:line="500" w:lineRule="exact"/>
        <w:ind w:firstLine="482"/>
        <w:jc w:val="center"/>
        <w:rPr>
          <w:rFonts w:eastAsia="仿宋"/>
          <w:b/>
        </w:rPr>
      </w:pPr>
      <w:r>
        <w:rPr>
          <w:rFonts w:eastAsia="仿宋"/>
          <w:b/>
        </w:rPr>
        <w:t>表5.2-6  主要废气污染源参数一览表(点源)</w:t>
      </w:r>
    </w:p>
    <w:tbl>
      <w:tblPr>
        <w:tblStyle w:val="87"/>
        <w:tblW w:w="52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70"/>
        <w:gridCol w:w="1216"/>
        <w:gridCol w:w="1148"/>
        <w:gridCol w:w="690"/>
        <w:gridCol w:w="502"/>
        <w:gridCol w:w="502"/>
        <w:gridCol w:w="645"/>
        <w:gridCol w:w="701"/>
        <w:gridCol w:w="1074"/>
        <w:gridCol w:w="739"/>
        <w:gridCol w:w="826"/>
      </w:tblGrid>
      <w:tr w14:paraId="155CC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restart"/>
            <w:vAlign w:val="center"/>
          </w:tcPr>
          <w:p w14:paraId="79840579">
            <w:pPr>
              <w:jc w:val="center"/>
              <w:rPr>
                <w:rFonts w:ascii="Times New Roman" w:eastAsia="仿宋"/>
                <w:szCs w:val="21"/>
              </w:rPr>
            </w:pPr>
            <w:r>
              <w:rPr>
                <w:rFonts w:ascii="Times New Roman" w:eastAsia="仿宋"/>
                <w:szCs w:val="21"/>
              </w:rPr>
              <w:t>排气筒编号</w:t>
            </w:r>
          </w:p>
        </w:tc>
        <w:tc>
          <w:tcPr>
            <w:tcW w:w="1357" w:type="pct"/>
            <w:gridSpan w:val="2"/>
            <w:vAlign w:val="center"/>
          </w:tcPr>
          <w:p w14:paraId="745D3672">
            <w:pPr>
              <w:snapToGrid w:val="0"/>
              <w:jc w:val="center"/>
              <w:rPr>
                <w:rFonts w:ascii="Times New Roman" w:eastAsia="仿宋"/>
                <w:szCs w:val="21"/>
              </w:rPr>
            </w:pPr>
            <w:r>
              <w:rPr>
                <w:rFonts w:ascii="Times New Roman" w:eastAsia="仿宋"/>
                <w:szCs w:val="21"/>
              </w:rPr>
              <w:t>排气筒底部中心坐标(</w:t>
            </w:r>
            <w:r>
              <w:rPr>
                <w:rFonts w:ascii="Times New Roman" w:eastAsia="仿宋"/>
                <w:szCs w:val="21"/>
                <w:vertAlign w:val="superscript"/>
              </w:rPr>
              <w:t>o</w:t>
            </w:r>
            <w:r>
              <w:rPr>
                <w:rFonts w:ascii="Times New Roman" w:eastAsia="仿宋"/>
                <w:szCs w:val="21"/>
              </w:rPr>
              <w:t>)</w:t>
            </w:r>
          </w:p>
        </w:tc>
        <w:tc>
          <w:tcPr>
            <w:tcW w:w="396" w:type="pct"/>
            <w:vMerge w:val="restart"/>
            <w:vAlign w:val="center"/>
          </w:tcPr>
          <w:p w14:paraId="719C30BB">
            <w:pPr>
              <w:snapToGrid w:val="0"/>
              <w:jc w:val="center"/>
              <w:rPr>
                <w:rFonts w:ascii="Times New Roman" w:eastAsia="仿宋"/>
                <w:szCs w:val="21"/>
              </w:rPr>
            </w:pPr>
            <w:r>
              <w:rPr>
                <w:rFonts w:ascii="Times New Roman" w:eastAsia="仿宋"/>
                <w:szCs w:val="21"/>
              </w:rPr>
              <w:t>排气筒底部海拔高度(m)</w:t>
            </w:r>
          </w:p>
        </w:tc>
        <w:tc>
          <w:tcPr>
            <w:tcW w:w="1348" w:type="pct"/>
            <w:gridSpan w:val="4"/>
            <w:vAlign w:val="center"/>
          </w:tcPr>
          <w:p w14:paraId="27A547D8">
            <w:pPr>
              <w:snapToGrid w:val="0"/>
              <w:jc w:val="center"/>
              <w:rPr>
                <w:rFonts w:ascii="Times New Roman" w:eastAsia="仿宋"/>
                <w:szCs w:val="21"/>
              </w:rPr>
            </w:pPr>
            <w:r>
              <w:rPr>
                <w:rFonts w:ascii="Times New Roman" w:eastAsia="仿宋"/>
                <w:szCs w:val="21"/>
              </w:rPr>
              <w:t>排气筒参数</w:t>
            </w:r>
          </w:p>
        </w:tc>
        <w:tc>
          <w:tcPr>
            <w:tcW w:w="616" w:type="pct"/>
            <w:vMerge w:val="restart"/>
            <w:vAlign w:val="center"/>
          </w:tcPr>
          <w:p w14:paraId="3B2FE181">
            <w:pPr>
              <w:snapToGrid w:val="0"/>
              <w:jc w:val="center"/>
              <w:rPr>
                <w:rFonts w:ascii="Times New Roman" w:eastAsia="仿宋"/>
                <w:szCs w:val="21"/>
              </w:rPr>
            </w:pPr>
            <w:r>
              <w:rPr>
                <w:rFonts w:ascii="Times New Roman" w:eastAsia="仿宋"/>
                <w:szCs w:val="21"/>
              </w:rPr>
              <w:t>污染物名称</w:t>
            </w:r>
          </w:p>
        </w:tc>
        <w:tc>
          <w:tcPr>
            <w:tcW w:w="424" w:type="pct"/>
            <w:vMerge w:val="restart"/>
            <w:vAlign w:val="center"/>
          </w:tcPr>
          <w:p w14:paraId="3CA17B32">
            <w:pPr>
              <w:snapToGrid w:val="0"/>
              <w:jc w:val="center"/>
              <w:rPr>
                <w:rFonts w:ascii="Times New Roman" w:eastAsia="仿宋"/>
                <w:szCs w:val="21"/>
              </w:rPr>
            </w:pPr>
            <w:r>
              <w:rPr>
                <w:rFonts w:ascii="Times New Roman" w:eastAsia="仿宋"/>
                <w:szCs w:val="21"/>
              </w:rPr>
              <w:t>排放速率</w:t>
            </w:r>
          </w:p>
        </w:tc>
        <w:tc>
          <w:tcPr>
            <w:tcW w:w="474" w:type="pct"/>
            <w:vMerge w:val="restart"/>
            <w:vAlign w:val="center"/>
          </w:tcPr>
          <w:p w14:paraId="2D9CC486">
            <w:pPr>
              <w:snapToGrid w:val="0"/>
              <w:jc w:val="center"/>
              <w:rPr>
                <w:rFonts w:ascii="Times New Roman" w:eastAsia="仿宋"/>
                <w:szCs w:val="21"/>
              </w:rPr>
            </w:pPr>
            <w:r>
              <w:rPr>
                <w:rFonts w:ascii="Times New Roman" w:eastAsia="仿宋"/>
                <w:szCs w:val="21"/>
              </w:rPr>
              <w:t>单位</w:t>
            </w:r>
          </w:p>
        </w:tc>
      </w:tr>
      <w:tr w14:paraId="4A5BB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0EACD518">
            <w:pPr>
              <w:snapToGrid w:val="0"/>
              <w:jc w:val="center"/>
              <w:rPr>
                <w:rFonts w:ascii="Times New Roman" w:eastAsia="仿宋"/>
                <w:szCs w:val="21"/>
              </w:rPr>
            </w:pPr>
          </w:p>
        </w:tc>
        <w:tc>
          <w:tcPr>
            <w:tcW w:w="698" w:type="pct"/>
            <w:vAlign w:val="center"/>
          </w:tcPr>
          <w:p w14:paraId="52711B1D">
            <w:pPr>
              <w:snapToGrid w:val="0"/>
              <w:jc w:val="center"/>
              <w:rPr>
                <w:rFonts w:ascii="Times New Roman" w:eastAsia="仿宋"/>
                <w:szCs w:val="21"/>
              </w:rPr>
            </w:pPr>
            <w:r>
              <w:rPr>
                <w:rFonts w:hint="eastAsia" w:ascii="Times New Roman" w:eastAsia="仿宋"/>
                <w:szCs w:val="21"/>
              </w:rPr>
              <w:t>经度</w:t>
            </w:r>
          </w:p>
        </w:tc>
        <w:tc>
          <w:tcPr>
            <w:tcW w:w="659" w:type="pct"/>
            <w:vAlign w:val="center"/>
          </w:tcPr>
          <w:p w14:paraId="727FE052">
            <w:pPr>
              <w:snapToGrid w:val="0"/>
              <w:jc w:val="center"/>
              <w:rPr>
                <w:rFonts w:ascii="Times New Roman" w:eastAsia="仿宋"/>
                <w:szCs w:val="21"/>
              </w:rPr>
            </w:pPr>
            <w:r>
              <w:rPr>
                <w:rFonts w:hint="eastAsia" w:ascii="Times New Roman" w:eastAsia="仿宋"/>
                <w:szCs w:val="21"/>
              </w:rPr>
              <w:t>纬度</w:t>
            </w:r>
          </w:p>
        </w:tc>
        <w:tc>
          <w:tcPr>
            <w:tcW w:w="396" w:type="pct"/>
            <w:vMerge w:val="continue"/>
            <w:vAlign w:val="center"/>
          </w:tcPr>
          <w:p w14:paraId="760D43B9">
            <w:pPr>
              <w:snapToGrid w:val="0"/>
              <w:jc w:val="center"/>
              <w:rPr>
                <w:rFonts w:ascii="Times New Roman" w:eastAsia="仿宋"/>
                <w:szCs w:val="21"/>
              </w:rPr>
            </w:pPr>
          </w:p>
        </w:tc>
        <w:tc>
          <w:tcPr>
            <w:tcW w:w="288" w:type="pct"/>
            <w:vAlign w:val="center"/>
          </w:tcPr>
          <w:p w14:paraId="72C6543D">
            <w:pPr>
              <w:snapToGrid w:val="0"/>
              <w:jc w:val="center"/>
              <w:rPr>
                <w:rFonts w:ascii="Times New Roman" w:eastAsia="仿宋"/>
                <w:szCs w:val="21"/>
              </w:rPr>
            </w:pPr>
            <w:r>
              <w:rPr>
                <w:rFonts w:ascii="Times New Roman" w:eastAsia="仿宋"/>
                <w:szCs w:val="21"/>
              </w:rPr>
              <w:t>高度</w:t>
            </w:r>
          </w:p>
          <w:p w14:paraId="7E4477A7">
            <w:pPr>
              <w:snapToGrid w:val="0"/>
              <w:jc w:val="center"/>
              <w:rPr>
                <w:rFonts w:ascii="Times New Roman" w:eastAsia="仿宋"/>
                <w:szCs w:val="21"/>
              </w:rPr>
            </w:pPr>
            <w:r>
              <w:rPr>
                <w:rFonts w:ascii="Times New Roman" w:eastAsia="仿宋"/>
                <w:szCs w:val="21"/>
              </w:rPr>
              <w:t>(m)</w:t>
            </w:r>
          </w:p>
        </w:tc>
        <w:tc>
          <w:tcPr>
            <w:tcW w:w="288" w:type="pct"/>
            <w:vAlign w:val="center"/>
          </w:tcPr>
          <w:p w14:paraId="30F999A2">
            <w:pPr>
              <w:snapToGrid w:val="0"/>
              <w:jc w:val="center"/>
              <w:rPr>
                <w:rFonts w:ascii="Times New Roman" w:eastAsia="仿宋"/>
                <w:szCs w:val="21"/>
              </w:rPr>
            </w:pPr>
            <w:r>
              <w:rPr>
                <w:rFonts w:ascii="Times New Roman" w:eastAsia="仿宋"/>
                <w:szCs w:val="21"/>
              </w:rPr>
              <w:t>内径</w:t>
            </w:r>
          </w:p>
          <w:p w14:paraId="2CDC6AE6">
            <w:pPr>
              <w:snapToGrid w:val="0"/>
              <w:jc w:val="center"/>
              <w:rPr>
                <w:rFonts w:ascii="Times New Roman" w:eastAsia="仿宋"/>
                <w:szCs w:val="21"/>
              </w:rPr>
            </w:pPr>
            <w:r>
              <w:rPr>
                <w:rFonts w:ascii="Times New Roman" w:eastAsia="仿宋"/>
                <w:szCs w:val="21"/>
              </w:rPr>
              <w:t>(m)</w:t>
            </w:r>
          </w:p>
        </w:tc>
        <w:tc>
          <w:tcPr>
            <w:tcW w:w="370" w:type="pct"/>
            <w:vAlign w:val="center"/>
          </w:tcPr>
          <w:p w14:paraId="6A47BE9D">
            <w:pPr>
              <w:snapToGrid w:val="0"/>
              <w:jc w:val="center"/>
              <w:rPr>
                <w:rFonts w:ascii="Times New Roman" w:eastAsia="仿宋"/>
                <w:szCs w:val="21"/>
              </w:rPr>
            </w:pPr>
            <w:r>
              <w:rPr>
                <w:rFonts w:ascii="Times New Roman" w:eastAsia="仿宋"/>
                <w:szCs w:val="21"/>
              </w:rPr>
              <w:t>温度</w:t>
            </w:r>
          </w:p>
          <w:p w14:paraId="0E349E1C">
            <w:pPr>
              <w:snapToGrid w:val="0"/>
              <w:jc w:val="center"/>
              <w:rPr>
                <w:rFonts w:ascii="Times New Roman" w:eastAsia="仿宋"/>
                <w:szCs w:val="21"/>
              </w:rPr>
            </w:pPr>
            <w:r>
              <w:rPr>
                <w:rFonts w:ascii="Times New Roman" w:eastAsia="仿宋"/>
                <w:szCs w:val="21"/>
              </w:rPr>
              <w:t>(℃)</w:t>
            </w:r>
          </w:p>
        </w:tc>
        <w:tc>
          <w:tcPr>
            <w:tcW w:w="402" w:type="pct"/>
            <w:vAlign w:val="center"/>
          </w:tcPr>
          <w:p w14:paraId="4092CCF5">
            <w:pPr>
              <w:snapToGrid w:val="0"/>
              <w:jc w:val="center"/>
              <w:rPr>
                <w:rFonts w:ascii="Times New Roman" w:eastAsia="仿宋"/>
                <w:szCs w:val="21"/>
              </w:rPr>
            </w:pPr>
            <w:r>
              <w:rPr>
                <w:rFonts w:ascii="Times New Roman" w:eastAsia="仿宋"/>
                <w:szCs w:val="21"/>
              </w:rPr>
              <w:t>流速</w:t>
            </w:r>
          </w:p>
          <w:p w14:paraId="600E5EB7">
            <w:pPr>
              <w:snapToGrid w:val="0"/>
              <w:jc w:val="center"/>
              <w:rPr>
                <w:rFonts w:ascii="Times New Roman" w:eastAsia="仿宋"/>
                <w:szCs w:val="21"/>
              </w:rPr>
            </w:pPr>
            <w:r>
              <w:rPr>
                <w:rFonts w:ascii="Times New Roman" w:eastAsia="仿宋"/>
                <w:szCs w:val="21"/>
              </w:rPr>
              <w:t>(m/s)</w:t>
            </w:r>
          </w:p>
        </w:tc>
        <w:tc>
          <w:tcPr>
            <w:tcW w:w="616" w:type="pct"/>
            <w:vMerge w:val="continue"/>
            <w:vAlign w:val="center"/>
          </w:tcPr>
          <w:p w14:paraId="31368D97">
            <w:pPr>
              <w:snapToGrid w:val="0"/>
              <w:jc w:val="center"/>
              <w:rPr>
                <w:rFonts w:ascii="Times New Roman" w:eastAsia="仿宋"/>
                <w:szCs w:val="21"/>
              </w:rPr>
            </w:pPr>
          </w:p>
        </w:tc>
        <w:tc>
          <w:tcPr>
            <w:tcW w:w="424" w:type="pct"/>
            <w:vMerge w:val="continue"/>
            <w:vAlign w:val="center"/>
          </w:tcPr>
          <w:p w14:paraId="5F120600">
            <w:pPr>
              <w:snapToGrid w:val="0"/>
              <w:jc w:val="center"/>
              <w:rPr>
                <w:rFonts w:ascii="Times New Roman" w:eastAsia="仿宋"/>
                <w:szCs w:val="21"/>
              </w:rPr>
            </w:pPr>
          </w:p>
        </w:tc>
        <w:tc>
          <w:tcPr>
            <w:tcW w:w="474" w:type="pct"/>
            <w:vMerge w:val="continue"/>
            <w:vAlign w:val="center"/>
          </w:tcPr>
          <w:p w14:paraId="31DACA70">
            <w:pPr>
              <w:snapToGrid w:val="0"/>
              <w:jc w:val="center"/>
              <w:rPr>
                <w:rFonts w:ascii="Times New Roman" w:eastAsia="仿宋"/>
                <w:szCs w:val="21"/>
              </w:rPr>
            </w:pPr>
          </w:p>
        </w:tc>
      </w:tr>
      <w:tr w14:paraId="4E932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2" w:hRule="atLeast"/>
          <w:jc w:val="center"/>
        </w:trPr>
        <w:tc>
          <w:tcPr>
            <w:tcW w:w="385" w:type="pct"/>
            <w:vAlign w:val="center"/>
          </w:tcPr>
          <w:p w14:paraId="420F177A">
            <w:pPr>
              <w:jc w:val="center"/>
              <w:rPr>
                <w:rFonts w:ascii="Times New Roman" w:eastAsia="仿宋"/>
                <w:szCs w:val="21"/>
              </w:rPr>
            </w:pPr>
            <w:r>
              <w:rPr>
                <w:rFonts w:hint="eastAsia" w:ascii="Times New Roman" w:eastAsia="仿宋"/>
                <w:szCs w:val="21"/>
              </w:rPr>
              <w:t>1</w:t>
            </w:r>
          </w:p>
        </w:tc>
        <w:tc>
          <w:tcPr>
            <w:tcW w:w="698" w:type="pct"/>
            <w:vAlign w:val="center"/>
          </w:tcPr>
          <w:p w14:paraId="5BFD2B8F">
            <w:pPr>
              <w:jc w:val="center"/>
              <w:rPr>
                <w:rFonts w:ascii="Times New Roman" w:eastAsia="仿宋"/>
                <w:szCs w:val="21"/>
              </w:rPr>
            </w:pPr>
            <w:r>
              <w:rPr>
                <w:rFonts w:ascii="Times New Roman" w:eastAsia="仿宋"/>
                <w:szCs w:val="21"/>
              </w:rPr>
              <w:t>119.43484</w:t>
            </w:r>
          </w:p>
        </w:tc>
        <w:tc>
          <w:tcPr>
            <w:tcW w:w="659" w:type="pct"/>
            <w:vAlign w:val="center"/>
          </w:tcPr>
          <w:p w14:paraId="0E9D00F5">
            <w:pPr>
              <w:jc w:val="center"/>
              <w:rPr>
                <w:rFonts w:ascii="Times New Roman" w:eastAsia="仿宋"/>
                <w:szCs w:val="21"/>
              </w:rPr>
            </w:pPr>
            <w:r>
              <w:rPr>
                <w:rFonts w:ascii="Times New Roman" w:eastAsia="仿宋"/>
                <w:szCs w:val="21"/>
              </w:rPr>
              <w:t>31.72774</w:t>
            </w:r>
          </w:p>
        </w:tc>
        <w:tc>
          <w:tcPr>
            <w:tcW w:w="396" w:type="pct"/>
            <w:vAlign w:val="center"/>
          </w:tcPr>
          <w:p w14:paraId="1BE877D0">
            <w:pPr>
              <w:jc w:val="center"/>
              <w:rPr>
                <w:rFonts w:ascii="Times New Roman" w:eastAsia="仿宋"/>
                <w:szCs w:val="21"/>
              </w:rPr>
            </w:pPr>
            <w:r>
              <w:rPr>
                <w:rFonts w:hint="eastAsia" w:ascii="Times New Roman" w:eastAsia="仿宋"/>
                <w:szCs w:val="21"/>
              </w:rPr>
              <w:t>7</w:t>
            </w:r>
          </w:p>
        </w:tc>
        <w:tc>
          <w:tcPr>
            <w:tcW w:w="288" w:type="pct"/>
            <w:vAlign w:val="center"/>
          </w:tcPr>
          <w:p w14:paraId="1E1A4343">
            <w:pPr>
              <w:jc w:val="center"/>
              <w:rPr>
                <w:rFonts w:ascii="Times New Roman" w:eastAsia="仿宋"/>
                <w:szCs w:val="21"/>
              </w:rPr>
            </w:pPr>
            <w:r>
              <w:rPr>
                <w:rFonts w:hint="eastAsia" w:ascii="Times New Roman" w:eastAsia="仿宋"/>
                <w:szCs w:val="21"/>
              </w:rPr>
              <w:t>15</w:t>
            </w:r>
          </w:p>
        </w:tc>
        <w:tc>
          <w:tcPr>
            <w:tcW w:w="288" w:type="pct"/>
            <w:vAlign w:val="center"/>
          </w:tcPr>
          <w:p w14:paraId="0F5FF895">
            <w:pPr>
              <w:jc w:val="center"/>
              <w:rPr>
                <w:rFonts w:ascii="Times New Roman" w:eastAsia="仿宋"/>
                <w:szCs w:val="21"/>
              </w:rPr>
            </w:pPr>
            <w:r>
              <w:rPr>
                <w:rFonts w:ascii="Times New Roman" w:eastAsia="仿宋"/>
                <w:szCs w:val="21"/>
              </w:rPr>
              <w:t>0</w:t>
            </w:r>
            <w:r>
              <w:rPr>
                <w:rFonts w:hint="eastAsia" w:ascii="Times New Roman" w:eastAsia="仿宋"/>
                <w:szCs w:val="21"/>
              </w:rPr>
              <w:t>.</w:t>
            </w:r>
            <w:r>
              <w:rPr>
                <w:rFonts w:ascii="Times New Roman" w:eastAsia="仿宋"/>
                <w:szCs w:val="21"/>
              </w:rPr>
              <w:t>8</w:t>
            </w:r>
          </w:p>
        </w:tc>
        <w:tc>
          <w:tcPr>
            <w:tcW w:w="370" w:type="pct"/>
            <w:vAlign w:val="center"/>
          </w:tcPr>
          <w:p w14:paraId="3C23ED4E">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402" w:type="pct"/>
            <w:vAlign w:val="center"/>
          </w:tcPr>
          <w:p w14:paraId="192E2FED">
            <w:pPr>
              <w:jc w:val="center"/>
              <w:rPr>
                <w:rFonts w:ascii="Times New Roman" w:eastAsia="仿宋"/>
                <w:szCs w:val="21"/>
              </w:rPr>
            </w:pPr>
            <w:r>
              <w:rPr>
                <w:rFonts w:hint="eastAsia" w:ascii="Times New Roman" w:eastAsia="仿宋"/>
                <w:szCs w:val="21"/>
              </w:rPr>
              <w:t>1</w:t>
            </w:r>
            <w:r>
              <w:rPr>
                <w:rFonts w:ascii="Times New Roman" w:eastAsia="仿宋"/>
                <w:szCs w:val="21"/>
              </w:rPr>
              <w:t>1.06</w:t>
            </w:r>
          </w:p>
        </w:tc>
        <w:tc>
          <w:tcPr>
            <w:tcW w:w="616" w:type="pct"/>
            <w:vAlign w:val="center"/>
          </w:tcPr>
          <w:p w14:paraId="0F431ECF">
            <w:pPr>
              <w:jc w:val="center"/>
              <w:rPr>
                <w:rFonts w:ascii="Times New Roman" w:eastAsia="仿宋"/>
                <w:szCs w:val="21"/>
              </w:rPr>
            </w:pPr>
            <w:r>
              <w:rPr>
                <w:rFonts w:hint="eastAsia" w:ascii="Times New Roman" w:eastAsia="仿宋"/>
                <w:szCs w:val="21"/>
              </w:rPr>
              <w:t>颗粒物</w:t>
            </w:r>
          </w:p>
        </w:tc>
        <w:tc>
          <w:tcPr>
            <w:tcW w:w="424" w:type="pct"/>
            <w:vAlign w:val="center"/>
          </w:tcPr>
          <w:p w14:paraId="6149446C">
            <w:pPr>
              <w:widowControl/>
              <w:jc w:val="center"/>
              <w:rPr>
                <w:rFonts w:ascii="Times New Roman" w:eastAsia="仿宋"/>
                <w:szCs w:val="21"/>
              </w:rPr>
            </w:pPr>
            <w:r>
              <w:rPr>
                <w:rFonts w:hint="eastAsia" w:ascii="Times New Roman" w:eastAsia="仿宋"/>
                <w:szCs w:val="21"/>
              </w:rPr>
              <w:t>0.</w:t>
            </w:r>
            <w:r>
              <w:rPr>
                <w:rFonts w:ascii="Times New Roman" w:eastAsia="仿宋"/>
                <w:szCs w:val="21"/>
              </w:rPr>
              <w:t>0</w:t>
            </w:r>
            <w:r>
              <w:rPr>
                <w:rFonts w:hint="eastAsia" w:ascii="Times New Roman" w:eastAsia="仿宋"/>
                <w:szCs w:val="21"/>
              </w:rPr>
              <w:t>2</w:t>
            </w:r>
          </w:p>
        </w:tc>
        <w:tc>
          <w:tcPr>
            <w:tcW w:w="474" w:type="pct"/>
            <w:vMerge w:val="restart"/>
            <w:vAlign w:val="center"/>
          </w:tcPr>
          <w:p w14:paraId="6565EA2C">
            <w:pPr>
              <w:jc w:val="center"/>
              <w:rPr>
                <w:rFonts w:ascii="Times New Roman" w:eastAsia="仿宋"/>
                <w:szCs w:val="21"/>
              </w:rPr>
            </w:pPr>
            <w:r>
              <w:rPr>
                <w:rFonts w:ascii="Times New Roman" w:eastAsia="仿宋"/>
                <w:szCs w:val="21"/>
              </w:rPr>
              <w:t>kg/h</w:t>
            </w:r>
          </w:p>
        </w:tc>
      </w:tr>
      <w:tr w14:paraId="6CA28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restart"/>
            <w:vAlign w:val="center"/>
          </w:tcPr>
          <w:p w14:paraId="4BB671BE">
            <w:pPr>
              <w:jc w:val="center"/>
              <w:rPr>
                <w:rFonts w:ascii="Times New Roman" w:eastAsia="仿宋"/>
                <w:szCs w:val="21"/>
              </w:rPr>
            </w:pPr>
            <w:r>
              <w:rPr>
                <w:rFonts w:hint="eastAsia" w:ascii="Times New Roman" w:eastAsia="仿宋"/>
                <w:szCs w:val="21"/>
              </w:rPr>
              <w:t>2</w:t>
            </w:r>
          </w:p>
        </w:tc>
        <w:tc>
          <w:tcPr>
            <w:tcW w:w="698" w:type="pct"/>
            <w:vMerge w:val="restart"/>
            <w:vAlign w:val="center"/>
          </w:tcPr>
          <w:p w14:paraId="055522F5">
            <w:pPr>
              <w:jc w:val="center"/>
              <w:rPr>
                <w:rFonts w:ascii="Times New Roman" w:eastAsia="仿宋"/>
                <w:szCs w:val="21"/>
              </w:rPr>
            </w:pPr>
            <w:r>
              <w:rPr>
                <w:rFonts w:ascii="Times New Roman" w:eastAsia="仿宋"/>
                <w:szCs w:val="21"/>
              </w:rPr>
              <w:t>119.434723</w:t>
            </w:r>
          </w:p>
        </w:tc>
        <w:tc>
          <w:tcPr>
            <w:tcW w:w="659" w:type="pct"/>
            <w:vMerge w:val="restart"/>
            <w:vAlign w:val="center"/>
          </w:tcPr>
          <w:p w14:paraId="0802C272">
            <w:pPr>
              <w:jc w:val="center"/>
              <w:rPr>
                <w:rFonts w:ascii="Times New Roman" w:eastAsia="仿宋"/>
                <w:szCs w:val="21"/>
              </w:rPr>
            </w:pPr>
            <w:r>
              <w:rPr>
                <w:rFonts w:ascii="Times New Roman" w:eastAsia="仿宋"/>
                <w:szCs w:val="21"/>
              </w:rPr>
              <w:t>31.72741</w:t>
            </w:r>
          </w:p>
        </w:tc>
        <w:tc>
          <w:tcPr>
            <w:tcW w:w="396" w:type="pct"/>
            <w:vMerge w:val="restart"/>
            <w:vAlign w:val="center"/>
          </w:tcPr>
          <w:p w14:paraId="73D3C887">
            <w:pPr>
              <w:jc w:val="center"/>
              <w:rPr>
                <w:rFonts w:ascii="Times New Roman" w:eastAsia="仿宋"/>
                <w:szCs w:val="21"/>
              </w:rPr>
            </w:pPr>
            <w:r>
              <w:rPr>
                <w:rFonts w:hint="eastAsia" w:ascii="Times New Roman" w:eastAsia="仿宋"/>
                <w:szCs w:val="21"/>
              </w:rPr>
              <w:t>7</w:t>
            </w:r>
          </w:p>
        </w:tc>
        <w:tc>
          <w:tcPr>
            <w:tcW w:w="288" w:type="pct"/>
            <w:vMerge w:val="restart"/>
            <w:vAlign w:val="center"/>
          </w:tcPr>
          <w:p w14:paraId="176506FB">
            <w:pPr>
              <w:jc w:val="center"/>
              <w:rPr>
                <w:rFonts w:ascii="Times New Roman" w:eastAsia="仿宋"/>
                <w:szCs w:val="21"/>
              </w:rPr>
            </w:pPr>
            <w:r>
              <w:rPr>
                <w:rFonts w:hint="eastAsia" w:ascii="Times New Roman" w:eastAsia="仿宋"/>
                <w:szCs w:val="21"/>
              </w:rPr>
              <w:t>15</w:t>
            </w:r>
          </w:p>
        </w:tc>
        <w:tc>
          <w:tcPr>
            <w:tcW w:w="288" w:type="pct"/>
            <w:vMerge w:val="restart"/>
            <w:vAlign w:val="center"/>
          </w:tcPr>
          <w:p w14:paraId="16A8AA3E">
            <w:pPr>
              <w:jc w:val="center"/>
              <w:rPr>
                <w:rFonts w:ascii="Times New Roman" w:eastAsia="仿宋"/>
                <w:szCs w:val="21"/>
              </w:rPr>
            </w:pPr>
            <w:r>
              <w:rPr>
                <w:rFonts w:ascii="Times New Roman" w:eastAsia="仿宋"/>
                <w:szCs w:val="21"/>
              </w:rPr>
              <w:t>0.9</w:t>
            </w:r>
          </w:p>
        </w:tc>
        <w:tc>
          <w:tcPr>
            <w:tcW w:w="370" w:type="pct"/>
            <w:vMerge w:val="restart"/>
            <w:vAlign w:val="center"/>
          </w:tcPr>
          <w:p w14:paraId="1D661D64">
            <w:pPr>
              <w:jc w:val="center"/>
              <w:rPr>
                <w:rFonts w:ascii="Times New Roman" w:eastAsia="仿宋"/>
                <w:szCs w:val="21"/>
              </w:rPr>
            </w:pPr>
            <w:r>
              <w:rPr>
                <w:rFonts w:hint="eastAsia" w:ascii="Times New Roman" w:eastAsia="仿宋"/>
                <w:szCs w:val="21"/>
              </w:rPr>
              <w:t>5</w:t>
            </w:r>
            <w:r>
              <w:rPr>
                <w:rFonts w:ascii="Times New Roman" w:eastAsia="仿宋"/>
                <w:szCs w:val="21"/>
              </w:rPr>
              <w:t>0</w:t>
            </w:r>
          </w:p>
        </w:tc>
        <w:tc>
          <w:tcPr>
            <w:tcW w:w="402" w:type="pct"/>
            <w:vMerge w:val="restart"/>
            <w:vAlign w:val="center"/>
          </w:tcPr>
          <w:p w14:paraId="4D6E0930">
            <w:pPr>
              <w:jc w:val="center"/>
              <w:rPr>
                <w:rFonts w:ascii="Times New Roman" w:eastAsia="仿宋"/>
                <w:szCs w:val="21"/>
              </w:rPr>
            </w:pPr>
            <w:r>
              <w:rPr>
                <w:rFonts w:hint="eastAsia" w:ascii="Times New Roman" w:eastAsia="仿宋"/>
                <w:szCs w:val="21"/>
              </w:rPr>
              <w:t>1</w:t>
            </w:r>
            <w:r>
              <w:rPr>
                <w:rFonts w:ascii="Times New Roman" w:eastAsia="仿宋"/>
                <w:szCs w:val="21"/>
              </w:rPr>
              <w:t>1.36</w:t>
            </w:r>
          </w:p>
        </w:tc>
        <w:tc>
          <w:tcPr>
            <w:tcW w:w="616" w:type="pct"/>
            <w:shd w:val="clear" w:color="auto" w:fill="auto"/>
            <w:vAlign w:val="center"/>
          </w:tcPr>
          <w:p w14:paraId="6C749F52">
            <w:pPr>
              <w:jc w:val="center"/>
              <w:rPr>
                <w:rFonts w:ascii="Times New Roman" w:eastAsia="仿宋"/>
                <w:szCs w:val="21"/>
              </w:rPr>
            </w:pPr>
            <w:r>
              <w:rPr>
                <w:rFonts w:hint="eastAsia" w:ascii="Times New Roman" w:eastAsia="仿宋"/>
                <w:szCs w:val="21"/>
              </w:rPr>
              <w:t>非甲烷总烃</w:t>
            </w:r>
          </w:p>
        </w:tc>
        <w:tc>
          <w:tcPr>
            <w:tcW w:w="424" w:type="pct"/>
            <w:vAlign w:val="center"/>
          </w:tcPr>
          <w:p w14:paraId="69A6A018">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474" w:type="pct"/>
            <w:vMerge w:val="continue"/>
            <w:vAlign w:val="center"/>
          </w:tcPr>
          <w:p w14:paraId="4AD6F09A">
            <w:pPr>
              <w:jc w:val="center"/>
              <w:rPr>
                <w:rFonts w:ascii="Times New Roman" w:eastAsia="仿宋"/>
                <w:szCs w:val="21"/>
              </w:rPr>
            </w:pPr>
          </w:p>
        </w:tc>
      </w:tr>
      <w:tr w14:paraId="3860F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08922CFF">
            <w:pPr>
              <w:jc w:val="center"/>
              <w:rPr>
                <w:rFonts w:ascii="Times New Roman" w:eastAsia="仿宋"/>
                <w:szCs w:val="21"/>
              </w:rPr>
            </w:pPr>
          </w:p>
        </w:tc>
        <w:tc>
          <w:tcPr>
            <w:tcW w:w="698" w:type="pct"/>
            <w:vMerge w:val="continue"/>
            <w:vAlign w:val="center"/>
          </w:tcPr>
          <w:p w14:paraId="6BF9DB2E">
            <w:pPr>
              <w:jc w:val="center"/>
              <w:rPr>
                <w:rFonts w:ascii="Times New Roman" w:eastAsia="仿宋"/>
                <w:szCs w:val="21"/>
              </w:rPr>
            </w:pPr>
          </w:p>
        </w:tc>
        <w:tc>
          <w:tcPr>
            <w:tcW w:w="659" w:type="pct"/>
            <w:vMerge w:val="continue"/>
            <w:vAlign w:val="center"/>
          </w:tcPr>
          <w:p w14:paraId="63C39DD4">
            <w:pPr>
              <w:jc w:val="center"/>
              <w:rPr>
                <w:rFonts w:ascii="Times New Roman" w:eastAsia="仿宋"/>
                <w:szCs w:val="21"/>
              </w:rPr>
            </w:pPr>
          </w:p>
        </w:tc>
        <w:tc>
          <w:tcPr>
            <w:tcW w:w="396" w:type="pct"/>
            <w:vMerge w:val="continue"/>
            <w:vAlign w:val="center"/>
          </w:tcPr>
          <w:p w14:paraId="2BB71343">
            <w:pPr>
              <w:jc w:val="center"/>
              <w:rPr>
                <w:rFonts w:ascii="Times New Roman" w:eastAsia="仿宋"/>
                <w:szCs w:val="21"/>
              </w:rPr>
            </w:pPr>
          </w:p>
        </w:tc>
        <w:tc>
          <w:tcPr>
            <w:tcW w:w="288" w:type="pct"/>
            <w:vMerge w:val="continue"/>
            <w:vAlign w:val="center"/>
          </w:tcPr>
          <w:p w14:paraId="4DACE84D">
            <w:pPr>
              <w:jc w:val="center"/>
              <w:rPr>
                <w:rFonts w:ascii="Times New Roman" w:eastAsia="仿宋"/>
                <w:szCs w:val="21"/>
              </w:rPr>
            </w:pPr>
          </w:p>
        </w:tc>
        <w:tc>
          <w:tcPr>
            <w:tcW w:w="288" w:type="pct"/>
            <w:vMerge w:val="continue"/>
            <w:vAlign w:val="center"/>
          </w:tcPr>
          <w:p w14:paraId="1CFF9A03">
            <w:pPr>
              <w:jc w:val="center"/>
              <w:rPr>
                <w:rFonts w:ascii="Times New Roman" w:eastAsia="仿宋"/>
                <w:szCs w:val="21"/>
              </w:rPr>
            </w:pPr>
          </w:p>
        </w:tc>
        <w:tc>
          <w:tcPr>
            <w:tcW w:w="370" w:type="pct"/>
            <w:vMerge w:val="continue"/>
            <w:vAlign w:val="center"/>
          </w:tcPr>
          <w:p w14:paraId="7B939C81">
            <w:pPr>
              <w:jc w:val="center"/>
              <w:rPr>
                <w:rFonts w:ascii="Times New Roman" w:eastAsia="仿宋"/>
                <w:szCs w:val="21"/>
              </w:rPr>
            </w:pPr>
          </w:p>
        </w:tc>
        <w:tc>
          <w:tcPr>
            <w:tcW w:w="402" w:type="pct"/>
            <w:vMerge w:val="continue"/>
            <w:vAlign w:val="center"/>
          </w:tcPr>
          <w:p w14:paraId="38319DC6">
            <w:pPr>
              <w:jc w:val="center"/>
              <w:rPr>
                <w:rFonts w:ascii="Times New Roman" w:eastAsia="仿宋"/>
                <w:szCs w:val="21"/>
              </w:rPr>
            </w:pPr>
          </w:p>
        </w:tc>
        <w:tc>
          <w:tcPr>
            <w:tcW w:w="616" w:type="pct"/>
            <w:shd w:val="clear" w:color="auto" w:fill="auto"/>
            <w:vAlign w:val="center"/>
          </w:tcPr>
          <w:p w14:paraId="67F0AF08">
            <w:pPr>
              <w:jc w:val="center"/>
              <w:rPr>
                <w:rFonts w:ascii="Times New Roman" w:eastAsia="仿宋"/>
                <w:szCs w:val="21"/>
              </w:rPr>
            </w:pPr>
            <w:r>
              <w:rPr>
                <w:rFonts w:hint="eastAsia" w:ascii="Times New Roman" w:eastAsia="仿宋"/>
                <w:szCs w:val="21"/>
              </w:rPr>
              <w:t>TVOC</w:t>
            </w:r>
          </w:p>
        </w:tc>
        <w:tc>
          <w:tcPr>
            <w:tcW w:w="424" w:type="pct"/>
            <w:vAlign w:val="center"/>
          </w:tcPr>
          <w:p w14:paraId="55BEE876">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474" w:type="pct"/>
            <w:vMerge w:val="continue"/>
            <w:vAlign w:val="center"/>
          </w:tcPr>
          <w:p w14:paraId="4B5194F1">
            <w:pPr>
              <w:jc w:val="center"/>
              <w:rPr>
                <w:rFonts w:ascii="Times New Roman" w:eastAsia="仿宋"/>
                <w:szCs w:val="21"/>
              </w:rPr>
            </w:pPr>
          </w:p>
        </w:tc>
      </w:tr>
      <w:tr w14:paraId="17AE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1D4A669B">
            <w:pPr>
              <w:jc w:val="center"/>
              <w:rPr>
                <w:rFonts w:ascii="Times New Roman" w:eastAsia="仿宋"/>
                <w:szCs w:val="21"/>
              </w:rPr>
            </w:pPr>
          </w:p>
        </w:tc>
        <w:tc>
          <w:tcPr>
            <w:tcW w:w="698" w:type="pct"/>
            <w:vMerge w:val="continue"/>
            <w:vAlign w:val="center"/>
          </w:tcPr>
          <w:p w14:paraId="02CA7FC2">
            <w:pPr>
              <w:jc w:val="center"/>
              <w:rPr>
                <w:rFonts w:ascii="Times New Roman" w:eastAsia="仿宋"/>
                <w:szCs w:val="21"/>
              </w:rPr>
            </w:pPr>
          </w:p>
        </w:tc>
        <w:tc>
          <w:tcPr>
            <w:tcW w:w="659" w:type="pct"/>
            <w:vMerge w:val="continue"/>
            <w:vAlign w:val="center"/>
          </w:tcPr>
          <w:p w14:paraId="0DA95385">
            <w:pPr>
              <w:jc w:val="center"/>
              <w:rPr>
                <w:rFonts w:ascii="Times New Roman" w:eastAsia="仿宋"/>
                <w:szCs w:val="21"/>
              </w:rPr>
            </w:pPr>
          </w:p>
        </w:tc>
        <w:tc>
          <w:tcPr>
            <w:tcW w:w="396" w:type="pct"/>
            <w:vMerge w:val="continue"/>
            <w:vAlign w:val="center"/>
          </w:tcPr>
          <w:p w14:paraId="5250573E">
            <w:pPr>
              <w:jc w:val="center"/>
              <w:rPr>
                <w:rFonts w:ascii="Times New Roman" w:eastAsia="仿宋"/>
                <w:szCs w:val="21"/>
              </w:rPr>
            </w:pPr>
          </w:p>
        </w:tc>
        <w:tc>
          <w:tcPr>
            <w:tcW w:w="288" w:type="pct"/>
            <w:vMerge w:val="continue"/>
            <w:vAlign w:val="center"/>
          </w:tcPr>
          <w:p w14:paraId="70E90874">
            <w:pPr>
              <w:jc w:val="center"/>
              <w:rPr>
                <w:rFonts w:ascii="Times New Roman" w:eastAsia="仿宋"/>
                <w:szCs w:val="21"/>
              </w:rPr>
            </w:pPr>
          </w:p>
        </w:tc>
        <w:tc>
          <w:tcPr>
            <w:tcW w:w="288" w:type="pct"/>
            <w:vMerge w:val="continue"/>
            <w:vAlign w:val="center"/>
          </w:tcPr>
          <w:p w14:paraId="61C9F9C0">
            <w:pPr>
              <w:jc w:val="center"/>
              <w:rPr>
                <w:rFonts w:ascii="Times New Roman" w:eastAsia="仿宋"/>
                <w:szCs w:val="21"/>
              </w:rPr>
            </w:pPr>
          </w:p>
        </w:tc>
        <w:tc>
          <w:tcPr>
            <w:tcW w:w="370" w:type="pct"/>
            <w:vMerge w:val="continue"/>
            <w:vAlign w:val="center"/>
          </w:tcPr>
          <w:p w14:paraId="6E8FB519">
            <w:pPr>
              <w:jc w:val="center"/>
              <w:rPr>
                <w:rFonts w:ascii="Times New Roman" w:eastAsia="仿宋"/>
                <w:szCs w:val="21"/>
              </w:rPr>
            </w:pPr>
          </w:p>
        </w:tc>
        <w:tc>
          <w:tcPr>
            <w:tcW w:w="402" w:type="pct"/>
            <w:vMerge w:val="continue"/>
            <w:vAlign w:val="center"/>
          </w:tcPr>
          <w:p w14:paraId="37A9E635">
            <w:pPr>
              <w:jc w:val="center"/>
              <w:rPr>
                <w:rFonts w:ascii="Times New Roman" w:eastAsia="仿宋"/>
                <w:szCs w:val="21"/>
              </w:rPr>
            </w:pPr>
          </w:p>
        </w:tc>
        <w:tc>
          <w:tcPr>
            <w:tcW w:w="616" w:type="pct"/>
            <w:shd w:val="clear" w:color="auto" w:fill="auto"/>
            <w:vAlign w:val="center"/>
          </w:tcPr>
          <w:p w14:paraId="56FD5C69">
            <w:pPr>
              <w:jc w:val="center"/>
              <w:rPr>
                <w:rFonts w:ascii="Times New Roman" w:eastAsia="仿宋"/>
                <w:szCs w:val="21"/>
              </w:rPr>
            </w:pPr>
            <w:r>
              <w:rPr>
                <w:rFonts w:hint="eastAsia" w:ascii="Times New Roman" w:eastAsia="仿宋"/>
                <w:szCs w:val="21"/>
              </w:rPr>
              <w:t>二甲苯</w:t>
            </w:r>
          </w:p>
        </w:tc>
        <w:tc>
          <w:tcPr>
            <w:tcW w:w="424" w:type="pct"/>
            <w:vAlign w:val="center"/>
          </w:tcPr>
          <w:p w14:paraId="481F58CB">
            <w:pPr>
              <w:widowControl/>
              <w:jc w:val="center"/>
              <w:rPr>
                <w:rFonts w:ascii="Times New Roman" w:eastAsia="仿宋"/>
                <w:szCs w:val="24"/>
              </w:rPr>
            </w:pPr>
            <w:r>
              <w:rPr>
                <w:rFonts w:hint="eastAsia" w:ascii="Times New Roman" w:eastAsia="仿宋"/>
                <w:szCs w:val="24"/>
              </w:rPr>
              <w:t>0</w:t>
            </w:r>
            <w:r>
              <w:rPr>
                <w:rFonts w:ascii="Times New Roman" w:eastAsia="仿宋"/>
                <w:szCs w:val="24"/>
              </w:rPr>
              <w:t>.03</w:t>
            </w:r>
          </w:p>
        </w:tc>
        <w:tc>
          <w:tcPr>
            <w:tcW w:w="474" w:type="pct"/>
            <w:vMerge w:val="continue"/>
            <w:vAlign w:val="center"/>
          </w:tcPr>
          <w:p w14:paraId="37765E2E">
            <w:pPr>
              <w:jc w:val="center"/>
              <w:rPr>
                <w:rFonts w:ascii="Times New Roman" w:eastAsia="仿宋"/>
                <w:szCs w:val="21"/>
              </w:rPr>
            </w:pPr>
          </w:p>
        </w:tc>
      </w:tr>
      <w:tr w14:paraId="0664A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5318BB2F">
            <w:pPr>
              <w:jc w:val="center"/>
              <w:rPr>
                <w:rFonts w:ascii="Times New Roman" w:eastAsia="仿宋"/>
                <w:szCs w:val="21"/>
              </w:rPr>
            </w:pPr>
          </w:p>
        </w:tc>
        <w:tc>
          <w:tcPr>
            <w:tcW w:w="698" w:type="pct"/>
            <w:vMerge w:val="continue"/>
            <w:vAlign w:val="center"/>
          </w:tcPr>
          <w:p w14:paraId="549EF3EF">
            <w:pPr>
              <w:jc w:val="center"/>
              <w:rPr>
                <w:rFonts w:ascii="Times New Roman" w:eastAsia="仿宋"/>
                <w:szCs w:val="21"/>
              </w:rPr>
            </w:pPr>
          </w:p>
        </w:tc>
        <w:tc>
          <w:tcPr>
            <w:tcW w:w="659" w:type="pct"/>
            <w:vMerge w:val="continue"/>
            <w:vAlign w:val="center"/>
          </w:tcPr>
          <w:p w14:paraId="7AD4E5B2">
            <w:pPr>
              <w:jc w:val="center"/>
              <w:rPr>
                <w:rFonts w:ascii="Times New Roman" w:eastAsia="仿宋"/>
                <w:szCs w:val="21"/>
              </w:rPr>
            </w:pPr>
          </w:p>
        </w:tc>
        <w:tc>
          <w:tcPr>
            <w:tcW w:w="396" w:type="pct"/>
            <w:vMerge w:val="continue"/>
            <w:vAlign w:val="center"/>
          </w:tcPr>
          <w:p w14:paraId="235717EC">
            <w:pPr>
              <w:jc w:val="center"/>
              <w:rPr>
                <w:rFonts w:ascii="Times New Roman" w:eastAsia="仿宋"/>
                <w:szCs w:val="21"/>
              </w:rPr>
            </w:pPr>
          </w:p>
        </w:tc>
        <w:tc>
          <w:tcPr>
            <w:tcW w:w="288" w:type="pct"/>
            <w:vMerge w:val="continue"/>
            <w:vAlign w:val="center"/>
          </w:tcPr>
          <w:p w14:paraId="051AD7D1">
            <w:pPr>
              <w:jc w:val="center"/>
              <w:rPr>
                <w:rFonts w:ascii="Times New Roman" w:eastAsia="仿宋"/>
                <w:szCs w:val="21"/>
              </w:rPr>
            </w:pPr>
          </w:p>
        </w:tc>
        <w:tc>
          <w:tcPr>
            <w:tcW w:w="288" w:type="pct"/>
            <w:vMerge w:val="continue"/>
            <w:vAlign w:val="center"/>
          </w:tcPr>
          <w:p w14:paraId="7D8029BE">
            <w:pPr>
              <w:jc w:val="center"/>
              <w:rPr>
                <w:rFonts w:ascii="Times New Roman" w:eastAsia="仿宋"/>
                <w:szCs w:val="21"/>
              </w:rPr>
            </w:pPr>
          </w:p>
        </w:tc>
        <w:tc>
          <w:tcPr>
            <w:tcW w:w="370" w:type="pct"/>
            <w:vMerge w:val="continue"/>
            <w:vAlign w:val="center"/>
          </w:tcPr>
          <w:p w14:paraId="2F0FA6C6">
            <w:pPr>
              <w:jc w:val="center"/>
              <w:rPr>
                <w:rFonts w:ascii="Times New Roman" w:eastAsia="仿宋"/>
                <w:szCs w:val="21"/>
              </w:rPr>
            </w:pPr>
          </w:p>
        </w:tc>
        <w:tc>
          <w:tcPr>
            <w:tcW w:w="402" w:type="pct"/>
            <w:vMerge w:val="continue"/>
            <w:vAlign w:val="center"/>
          </w:tcPr>
          <w:p w14:paraId="5D2BF6EF">
            <w:pPr>
              <w:jc w:val="center"/>
              <w:rPr>
                <w:rFonts w:ascii="Times New Roman" w:eastAsia="仿宋"/>
                <w:szCs w:val="21"/>
              </w:rPr>
            </w:pPr>
          </w:p>
        </w:tc>
        <w:tc>
          <w:tcPr>
            <w:tcW w:w="616" w:type="pct"/>
            <w:vAlign w:val="center"/>
          </w:tcPr>
          <w:p w14:paraId="4EB89261">
            <w:pPr>
              <w:jc w:val="center"/>
              <w:rPr>
                <w:rFonts w:ascii="Times New Roman" w:eastAsia="仿宋"/>
                <w:szCs w:val="21"/>
              </w:rPr>
            </w:pPr>
            <w:r>
              <w:rPr>
                <w:rFonts w:hint="eastAsia" w:ascii="Times New Roman" w:eastAsia="仿宋"/>
                <w:szCs w:val="21"/>
              </w:rPr>
              <w:t>颗粒物</w:t>
            </w:r>
          </w:p>
        </w:tc>
        <w:tc>
          <w:tcPr>
            <w:tcW w:w="424" w:type="pct"/>
            <w:vAlign w:val="center"/>
          </w:tcPr>
          <w:p w14:paraId="37FF83E0">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474" w:type="pct"/>
            <w:vMerge w:val="continue"/>
            <w:vAlign w:val="center"/>
          </w:tcPr>
          <w:p w14:paraId="47767010">
            <w:pPr>
              <w:jc w:val="center"/>
              <w:rPr>
                <w:rFonts w:ascii="Times New Roman" w:eastAsia="仿宋"/>
                <w:szCs w:val="21"/>
              </w:rPr>
            </w:pPr>
          </w:p>
        </w:tc>
      </w:tr>
      <w:tr w14:paraId="3FF6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6E9DCF2E">
            <w:pPr>
              <w:jc w:val="center"/>
              <w:rPr>
                <w:rFonts w:ascii="Times New Roman" w:eastAsia="仿宋"/>
                <w:szCs w:val="21"/>
              </w:rPr>
            </w:pPr>
          </w:p>
        </w:tc>
        <w:tc>
          <w:tcPr>
            <w:tcW w:w="698" w:type="pct"/>
            <w:vMerge w:val="continue"/>
            <w:vAlign w:val="center"/>
          </w:tcPr>
          <w:p w14:paraId="5A4A58E3">
            <w:pPr>
              <w:jc w:val="center"/>
              <w:rPr>
                <w:rFonts w:ascii="Times New Roman" w:eastAsia="仿宋"/>
                <w:szCs w:val="21"/>
              </w:rPr>
            </w:pPr>
          </w:p>
        </w:tc>
        <w:tc>
          <w:tcPr>
            <w:tcW w:w="659" w:type="pct"/>
            <w:vMerge w:val="continue"/>
            <w:vAlign w:val="center"/>
          </w:tcPr>
          <w:p w14:paraId="525D2F70">
            <w:pPr>
              <w:jc w:val="center"/>
              <w:rPr>
                <w:rFonts w:ascii="Times New Roman" w:eastAsia="仿宋"/>
                <w:szCs w:val="21"/>
              </w:rPr>
            </w:pPr>
          </w:p>
        </w:tc>
        <w:tc>
          <w:tcPr>
            <w:tcW w:w="396" w:type="pct"/>
            <w:vMerge w:val="continue"/>
            <w:vAlign w:val="center"/>
          </w:tcPr>
          <w:p w14:paraId="1BABAA0E">
            <w:pPr>
              <w:jc w:val="center"/>
              <w:rPr>
                <w:rFonts w:ascii="Times New Roman" w:eastAsia="仿宋"/>
                <w:szCs w:val="21"/>
              </w:rPr>
            </w:pPr>
          </w:p>
        </w:tc>
        <w:tc>
          <w:tcPr>
            <w:tcW w:w="288" w:type="pct"/>
            <w:vMerge w:val="continue"/>
            <w:vAlign w:val="center"/>
          </w:tcPr>
          <w:p w14:paraId="795AAA1D">
            <w:pPr>
              <w:jc w:val="center"/>
              <w:rPr>
                <w:rFonts w:ascii="Times New Roman" w:eastAsia="仿宋"/>
                <w:szCs w:val="21"/>
              </w:rPr>
            </w:pPr>
          </w:p>
        </w:tc>
        <w:tc>
          <w:tcPr>
            <w:tcW w:w="288" w:type="pct"/>
            <w:vMerge w:val="continue"/>
            <w:vAlign w:val="center"/>
          </w:tcPr>
          <w:p w14:paraId="229145B1">
            <w:pPr>
              <w:jc w:val="center"/>
              <w:rPr>
                <w:rFonts w:ascii="Times New Roman" w:eastAsia="仿宋"/>
                <w:szCs w:val="21"/>
              </w:rPr>
            </w:pPr>
          </w:p>
        </w:tc>
        <w:tc>
          <w:tcPr>
            <w:tcW w:w="370" w:type="pct"/>
            <w:vMerge w:val="continue"/>
            <w:vAlign w:val="center"/>
          </w:tcPr>
          <w:p w14:paraId="298132F1">
            <w:pPr>
              <w:jc w:val="center"/>
              <w:rPr>
                <w:rFonts w:ascii="Times New Roman" w:eastAsia="仿宋"/>
                <w:szCs w:val="21"/>
              </w:rPr>
            </w:pPr>
          </w:p>
        </w:tc>
        <w:tc>
          <w:tcPr>
            <w:tcW w:w="402" w:type="pct"/>
            <w:vMerge w:val="continue"/>
            <w:vAlign w:val="center"/>
          </w:tcPr>
          <w:p w14:paraId="7287074E">
            <w:pPr>
              <w:jc w:val="center"/>
              <w:rPr>
                <w:rFonts w:ascii="Times New Roman" w:eastAsia="仿宋"/>
                <w:szCs w:val="21"/>
              </w:rPr>
            </w:pPr>
          </w:p>
        </w:tc>
        <w:tc>
          <w:tcPr>
            <w:tcW w:w="616" w:type="pct"/>
            <w:vAlign w:val="center"/>
          </w:tcPr>
          <w:p w14:paraId="11AF0A89">
            <w:pPr>
              <w:jc w:val="center"/>
              <w:rPr>
                <w:rFonts w:ascii="Times New Roman" w:eastAsia="仿宋"/>
                <w:szCs w:val="21"/>
              </w:rPr>
            </w:pPr>
            <w:r>
              <w:rPr>
                <w:rFonts w:hint="eastAsia" w:ascii="Times New Roman" w:eastAsia="仿宋"/>
                <w:szCs w:val="21"/>
              </w:rPr>
              <w:t>二氧化硫</w:t>
            </w:r>
          </w:p>
        </w:tc>
        <w:tc>
          <w:tcPr>
            <w:tcW w:w="424" w:type="pct"/>
            <w:vAlign w:val="center"/>
          </w:tcPr>
          <w:p w14:paraId="50F1B459">
            <w:pPr>
              <w:widowControl/>
              <w:jc w:val="center"/>
              <w:textAlignment w:val="center"/>
              <w:rPr>
                <w:rFonts w:ascii="Times New Roman" w:eastAsia="仿宋"/>
                <w:szCs w:val="21"/>
              </w:rPr>
            </w:pPr>
            <w:r>
              <w:rPr>
                <w:rFonts w:hint="eastAsia" w:ascii="Times New Roman" w:eastAsia="仿宋"/>
                <w:szCs w:val="24"/>
              </w:rPr>
              <w:t>0.001</w:t>
            </w:r>
          </w:p>
        </w:tc>
        <w:tc>
          <w:tcPr>
            <w:tcW w:w="474" w:type="pct"/>
            <w:vMerge w:val="continue"/>
            <w:vAlign w:val="center"/>
          </w:tcPr>
          <w:p w14:paraId="0B8D011D">
            <w:pPr>
              <w:jc w:val="center"/>
              <w:rPr>
                <w:rFonts w:ascii="Times New Roman" w:eastAsia="仿宋"/>
                <w:szCs w:val="21"/>
              </w:rPr>
            </w:pPr>
          </w:p>
        </w:tc>
      </w:tr>
      <w:tr w14:paraId="313B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94" w:hRule="atLeast"/>
          <w:jc w:val="center"/>
        </w:trPr>
        <w:tc>
          <w:tcPr>
            <w:tcW w:w="385" w:type="pct"/>
            <w:vMerge w:val="continue"/>
            <w:vAlign w:val="center"/>
          </w:tcPr>
          <w:p w14:paraId="3AE78275">
            <w:pPr>
              <w:jc w:val="center"/>
              <w:rPr>
                <w:rFonts w:ascii="Times New Roman" w:eastAsia="仿宋"/>
                <w:szCs w:val="21"/>
              </w:rPr>
            </w:pPr>
          </w:p>
        </w:tc>
        <w:tc>
          <w:tcPr>
            <w:tcW w:w="698" w:type="pct"/>
            <w:vMerge w:val="continue"/>
            <w:vAlign w:val="center"/>
          </w:tcPr>
          <w:p w14:paraId="286623EB">
            <w:pPr>
              <w:jc w:val="center"/>
              <w:rPr>
                <w:rFonts w:ascii="Times New Roman" w:eastAsia="仿宋"/>
                <w:szCs w:val="21"/>
              </w:rPr>
            </w:pPr>
          </w:p>
        </w:tc>
        <w:tc>
          <w:tcPr>
            <w:tcW w:w="659" w:type="pct"/>
            <w:vMerge w:val="continue"/>
            <w:vAlign w:val="center"/>
          </w:tcPr>
          <w:p w14:paraId="0CE1E07A">
            <w:pPr>
              <w:jc w:val="center"/>
              <w:rPr>
                <w:rFonts w:ascii="Times New Roman" w:eastAsia="仿宋"/>
                <w:szCs w:val="21"/>
              </w:rPr>
            </w:pPr>
          </w:p>
        </w:tc>
        <w:tc>
          <w:tcPr>
            <w:tcW w:w="396" w:type="pct"/>
            <w:vMerge w:val="continue"/>
            <w:vAlign w:val="center"/>
          </w:tcPr>
          <w:p w14:paraId="42A46A11">
            <w:pPr>
              <w:jc w:val="center"/>
              <w:rPr>
                <w:rFonts w:ascii="Times New Roman" w:eastAsia="仿宋"/>
                <w:szCs w:val="21"/>
              </w:rPr>
            </w:pPr>
          </w:p>
        </w:tc>
        <w:tc>
          <w:tcPr>
            <w:tcW w:w="288" w:type="pct"/>
            <w:vMerge w:val="continue"/>
            <w:vAlign w:val="center"/>
          </w:tcPr>
          <w:p w14:paraId="10FC3FA8">
            <w:pPr>
              <w:jc w:val="center"/>
              <w:rPr>
                <w:rFonts w:ascii="Times New Roman" w:eastAsia="仿宋"/>
                <w:szCs w:val="21"/>
              </w:rPr>
            </w:pPr>
          </w:p>
        </w:tc>
        <w:tc>
          <w:tcPr>
            <w:tcW w:w="288" w:type="pct"/>
            <w:vMerge w:val="continue"/>
            <w:vAlign w:val="center"/>
          </w:tcPr>
          <w:p w14:paraId="465F7259">
            <w:pPr>
              <w:jc w:val="center"/>
              <w:rPr>
                <w:rFonts w:ascii="Times New Roman" w:eastAsia="仿宋"/>
                <w:szCs w:val="21"/>
              </w:rPr>
            </w:pPr>
          </w:p>
        </w:tc>
        <w:tc>
          <w:tcPr>
            <w:tcW w:w="370" w:type="pct"/>
            <w:vMerge w:val="continue"/>
            <w:vAlign w:val="center"/>
          </w:tcPr>
          <w:p w14:paraId="5D097ED4">
            <w:pPr>
              <w:jc w:val="center"/>
              <w:rPr>
                <w:rFonts w:ascii="Times New Roman" w:eastAsia="仿宋"/>
                <w:szCs w:val="21"/>
              </w:rPr>
            </w:pPr>
          </w:p>
        </w:tc>
        <w:tc>
          <w:tcPr>
            <w:tcW w:w="402" w:type="pct"/>
            <w:vMerge w:val="continue"/>
            <w:vAlign w:val="center"/>
          </w:tcPr>
          <w:p w14:paraId="590779D8">
            <w:pPr>
              <w:jc w:val="center"/>
              <w:rPr>
                <w:rFonts w:ascii="Times New Roman" w:eastAsia="仿宋"/>
                <w:szCs w:val="21"/>
              </w:rPr>
            </w:pPr>
          </w:p>
        </w:tc>
        <w:tc>
          <w:tcPr>
            <w:tcW w:w="616" w:type="pct"/>
            <w:vAlign w:val="center"/>
          </w:tcPr>
          <w:p w14:paraId="709F228A">
            <w:pPr>
              <w:jc w:val="center"/>
              <w:rPr>
                <w:rFonts w:ascii="Times New Roman" w:eastAsia="仿宋"/>
                <w:szCs w:val="21"/>
              </w:rPr>
            </w:pPr>
            <w:r>
              <w:rPr>
                <w:rFonts w:hint="eastAsia" w:ascii="Times New Roman" w:eastAsia="仿宋"/>
                <w:szCs w:val="21"/>
              </w:rPr>
              <w:t>氮氧化物</w:t>
            </w:r>
          </w:p>
        </w:tc>
        <w:tc>
          <w:tcPr>
            <w:tcW w:w="424" w:type="pct"/>
            <w:vAlign w:val="center"/>
          </w:tcPr>
          <w:p w14:paraId="36AB9542">
            <w:pPr>
              <w:widowControl/>
              <w:jc w:val="center"/>
              <w:textAlignment w:val="center"/>
              <w:rPr>
                <w:rFonts w:ascii="Times New Roman" w:eastAsia="仿宋"/>
                <w:szCs w:val="21"/>
              </w:rPr>
            </w:pPr>
            <w:r>
              <w:rPr>
                <w:rFonts w:hint="eastAsia" w:ascii="Times New Roman" w:eastAsia="仿宋"/>
                <w:szCs w:val="24"/>
              </w:rPr>
              <w:t>0.0</w:t>
            </w:r>
            <w:r>
              <w:rPr>
                <w:rFonts w:ascii="Times New Roman" w:eastAsia="仿宋"/>
                <w:szCs w:val="24"/>
              </w:rPr>
              <w:t>46</w:t>
            </w:r>
          </w:p>
        </w:tc>
        <w:tc>
          <w:tcPr>
            <w:tcW w:w="474" w:type="pct"/>
            <w:vMerge w:val="continue"/>
            <w:vAlign w:val="center"/>
          </w:tcPr>
          <w:p w14:paraId="27872F9D">
            <w:pPr>
              <w:jc w:val="center"/>
              <w:rPr>
                <w:rFonts w:ascii="Times New Roman" w:eastAsia="仿宋"/>
                <w:szCs w:val="21"/>
              </w:rPr>
            </w:pPr>
          </w:p>
        </w:tc>
      </w:tr>
      <w:tr w14:paraId="18F5C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restart"/>
            <w:vAlign w:val="center"/>
          </w:tcPr>
          <w:p w14:paraId="5478F122">
            <w:pPr>
              <w:jc w:val="center"/>
              <w:rPr>
                <w:rFonts w:ascii="Times New Roman" w:eastAsia="仿宋"/>
                <w:szCs w:val="21"/>
              </w:rPr>
            </w:pPr>
            <w:r>
              <w:rPr>
                <w:rFonts w:hint="eastAsia" w:ascii="Times New Roman" w:eastAsia="仿宋"/>
                <w:szCs w:val="21"/>
              </w:rPr>
              <w:t>3</w:t>
            </w:r>
          </w:p>
        </w:tc>
        <w:tc>
          <w:tcPr>
            <w:tcW w:w="698" w:type="pct"/>
            <w:vMerge w:val="restart"/>
            <w:vAlign w:val="center"/>
          </w:tcPr>
          <w:p w14:paraId="6D43A52A">
            <w:pPr>
              <w:jc w:val="center"/>
              <w:rPr>
                <w:rFonts w:ascii="Times New Roman" w:eastAsia="仿宋"/>
                <w:szCs w:val="21"/>
              </w:rPr>
            </w:pPr>
            <w:r>
              <w:rPr>
                <w:rFonts w:ascii="Times New Roman" w:eastAsia="仿宋"/>
                <w:szCs w:val="21"/>
              </w:rPr>
              <w:t>119.43508</w:t>
            </w:r>
          </w:p>
        </w:tc>
        <w:tc>
          <w:tcPr>
            <w:tcW w:w="659" w:type="pct"/>
            <w:vMerge w:val="restart"/>
            <w:vAlign w:val="center"/>
          </w:tcPr>
          <w:p w14:paraId="7E8124B8">
            <w:pPr>
              <w:jc w:val="center"/>
              <w:rPr>
                <w:rFonts w:ascii="Times New Roman" w:eastAsia="仿宋"/>
                <w:szCs w:val="21"/>
              </w:rPr>
            </w:pPr>
            <w:r>
              <w:rPr>
                <w:rFonts w:ascii="Times New Roman" w:eastAsia="仿宋"/>
                <w:szCs w:val="21"/>
              </w:rPr>
              <w:t>31.72715</w:t>
            </w:r>
          </w:p>
        </w:tc>
        <w:tc>
          <w:tcPr>
            <w:tcW w:w="396" w:type="pct"/>
            <w:vMerge w:val="restart"/>
            <w:vAlign w:val="center"/>
          </w:tcPr>
          <w:p w14:paraId="43EA81F1">
            <w:pPr>
              <w:jc w:val="center"/>
              <w:rPr>
                <w:rFonts w:ascii="Times New Roman" w:eastAsia="仿宋"/>
                <w:szCs w:val="21"/>
              </w:rPr>
            </w:pPr>
            <w:r>
              <w:rPr>
                <w:rFonts w:hint="eastAsia" w:ascii="Times New Roman" w:eastAsia="仿宋"/>
                <w:szCs w:val="21"/>
              </w:rPr>
              <w:t>7</w:t>
            </w:r>
          </w:p>
        </w:tc>
        <w:tc>
          <w:tcPr>
            <w:tcW w:w="288" w:type="pct"/>
            <w:vMerge w:val="restart"/>
            <w:vAlign w:val="center"/>
          </w:tcPr>
          <w:p w14:paraId="740A0A90">
            <w:pPr>
              <w:jc w:val="center"/>
              <w:rPr>
                <w:rFonts w:ascii="Times New Roman" w:eastAsia="仿宋"/>
                <w:szCs w:val="21"/>
              </w:rPr>
            </w:pPr>
            <w:r>
              <w:rPr>
                <w:rFonts w:hint="eastAsia" w:ascii="Times New Roman" w:eastAsia="仿宋"/>
                <w:szCs w:val="21"/>
              </w:rPr>
              <w:t>15</w:t>
            </w:r>
          </w:p>
        </w:tc>
        <w:tc>
          <w:tcPr>
            <w:tcW w:w="288" w:type="pct"/>
            <w:vMerge w:val="restart"/>
            <w:vAlign w:val="center"/>
          </w:tcPr>
          <w:p w14:paraId="2A1F6A13">
            <w:pPr>
              <w:jc w:val="center"/>
              <w:rPr>
                <w:rFonts w:ascii="Times New Roman" w:eastAsia="仿宋"/>
                <w:szCs w:val="21"/>
              </w:rPr>
            </w:pPr>
            <w:r>
              <w:rPr>
                <w:rFonts w:ascii="Times New Roman" w:eastAsia="仿宋"/>
                <w:szCs w:val="21"/>
              </w:rPr>
              <w:t>0.9</w:t>
            </w:r>
          </w:p>
        </w:tc>
        <w:tc>
          <w:tcPr>
            <w:tcW w:w="370" w:type="pct"/>
            <w:vMerge w:val="restart"/>
            <w:vAlign w:val="center"/>
          </w:tcPr>
          <w:p w14:paraId="451190A0">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402" w:type="pct"/>
            <w:vMerge w:val="restart"/>
            <w:vAlign w:val="center"/>
          </w:tcPr>
          <w:p w14:paraId="19125655">
            <w:pPr>
              <w:jc w:val="center"/>
              <w:rPr>
                <w:rFonts w:ascii="Times New Roman" w:eastAsia="仿宋"/>
                <w:szCs w:val="21"/>
              </w:rPr>
            </w:pPr>
            <w:r>
              <w:rPr>
                <w:rFonts w:hint="eastAsia" w:ascii="Times New Roman" w:eastAsia="仿宋"/>
                <w:szCs w:val="21"/>
              </w:rPr>
              <w:t>12</w:t>
            </w:r>
            <w:r>
              <w:rPr>
                <w:rFonts w:ascii="Times New Roman" w:eastAsia="仿宋"/>
                <w:szCs w:val="21"/>
              </w:rPr>
              <w:t>.23</w:t>
            </w:r>
          </w:p>
        </w:tc>
        <w:tc>
          <w:tcPr>
            <w:tcW w:w="616" w:type="pct"/>
            <w:vAlign w:val="center"/>
          </w:tcPr>
          <w:p w14:paraId="65C32344">
            <w:pPr>
              <w:jc w:val="center"/>
              <w:rPr>
                <w:rFonts w:ascii="Times New Roman" w:eastAsia="仿宋"/>
                <w:szCs w:val="21"/>
              </w:rPr>
            </w:pPr>
            <w:r>
              <w:rPr>
                <w:rFonts w:hint="eastAsia" w:ascii="Times New Roman" w:eastAsia="仿宋"/>
                <w:szCs w:val="21"/>
              </w:rPr>
              <w:t>非甲烷总烃</w:t>
            </w:r>
          </w:p>
        </w:tc>
        <w:tc>
          <w:tcPr>
            <w:tcW w:w="424" w:type="pct"/>
            <w:vAlign w:val="center"/>
          </w:tcPr>
          <w:p w14:paraId="25F820DE">
            <w:pPr>
              <w:widowControl/>
              <w:jc w:val="center"/>
              <w:rPr>
                <w:rFonts w:ascii="Times New Roman" w:eastAsia="仿宋"/>
                <w:szCs w:val="24"/>
              </w:rPr>
            </w:pPr>
            <w:r>
              <w:rPr>
                <w:rFonts w:ascii="Times New Roman" w:eastAsia="仿宋"/>
                <w:szCs w:val="24"/>
              </w:rPr>
              <w:t>0.18</w:t>
            </w:r>
          </w:p>
        </w:tc>
        <w:tc>
          <w:tcPr>
            <w:tcW w:w="474" w:type="pct"/>
            <w:vMerge w:val="continue"/>
            <w:vAlign w:val="center"/>
          </w:tcPr>
          <w:p w14:paraId="5E31EA4D">
            <w:pPr>
              <w:jc w:val="center"/>
              <w:rPr>
                <w:rFonts w:ascii="Times New Roman" w:eastAsia="仿宋"/>
                <w:szCs w:val="21"/>
              </w:rPr>
            </w:pPr>
          </w:p>
        </w:tc>
      </w:tr>
      <w:tr w14:paraId="531DD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0D3607DB">
            <w:pPr>
              <w:jc w:val="center"/>
              <w:rPr>
                <w:rFonts w:ascii="Times New Roman" w:eastAsia="仿宋"/>
                <w:szCs w:val="21"/>
              </w:rPr>
            </w:pPr>
          </w:p>
        </w:tc>
        <w:tc>
          <w:tcPr>
            <w:tcW w:w="698" w:type="pct"/>
            <w:vMerge w:val="continue"/>
            <w:vAlign w:val="center"/>
          </w:tcPr>
          <w:p w14:paraId="18443C22">
            <w:pPr>
              <w:jc w:val="center"/>
              <w:rPr>
                <w:rFonts w:ascii="Times New Roman" w:eastAsia="仿宋"/>
                <w:szCs w:val="21"/>
              </w:rPr>
            </w:pPr>
          </w:p>
        </w:tc>
        <w:tc>
          <w:tcPr>
            <w:tcW w:w="659" w:type="pct"/>
            <w:vMerge w:val="continue"/>
            <w:vAlign w:val="center"/>
          </w:tcPr>
          <w:p w14:paraId="6E7EBE1F">
            <w:pPr>
              <w:jc w:val="center"/>
              <w:rPr>
                <w:rFonts w:ascii="Times New Roman" w:eastAsia="仿宋"/>
                <w:szCs w:val="21"/>
              </w:rPr>
            </w:pPr>
          </w:p>
        </w:tc>
        <w:tc>
          <w:tcPr>
            <w:tcW w:w="396" w:type="pct"/>
            <w:vMerge w:val="continue"/>
            <w:vAlign w:val="center"/>
          </w:tcPr>
          <w:p w14:paraId="75555E1C">
            <w:pPr>
              <w:jc w:val="center"/>
              <w:rPr>
                <w:rFonts w:ascii="Times New Roman" w:eastAsia="仿宋"/>
                <w:szCs w:val="21"/>
              </w:rPr>
            </w:pPr>
          </w:p>
        </w:tc>
        <w:tc>
          <w:tcPr>
            <w:tcW w:w="288" w:type="pct"/>
            <w:vMerge w:val="continue"/>
            <w:vAlign w:val="center"/>
          </w:tcPr>
          <w:p w14:paraId="2D7D9D4A">
            <w:pPr>
              <w:jc w:val="center"/>
              <w:rPr>
                <w:rFonts w:ascii="Times New Roman" w:eastAsia="仿宋"/>
                <w:szCs w:val="21"/>
              </w:rPr>
            </w:pPr>
          </w:p>
        </w:tc>
        <w:tc>
          <w:tcPr>
            <w:tcW w:w="288" w:type="pct"/>
            <w:vMerge w:val="continue"/>
            <w:vAlign w:val="center"/>
          </w:tcPr>
          <w:p w14:paraId="3886EA00">
            <w:pPr>
              <w:jc w:val="center"/>
              <w:rPr>
                <w:rFonts w:ascii="Times New Roman" w:eastAsia="仿宋"/>
                <w:szCs w:val="21"/>
              </w:rPr>
            </w:pPr>
          </w:p>
        </w:tc>
        <w:tc>
          <w:tcPr>
            <w:tcW w:w="370" w:type="pct"/>
            <w:vMerge w:val="continue"/>
            <w:vAlign w:val="center"/>
          </w:tcPr>
          <w:p w14:paraId="40ADF987">
            <w:pPr>
              <w:jc w:val="center"/>
              <w:rPr>
                <w:rFonts w:ascii="Times New Roman" w:eastAsia="仿宋"/>
                <w:szCs w:val="21"/>
              </w:rPr>
            </w:pPr>
          </w:p>
        </w:tc>
        <w:tc>
          <w:tcPr>
            <w:tcW w:w="402" w:type="pct"/>
            <w:vMerge w:val="continue"/>
            <w:vAlign w:val="center"/>
          </w:tcPr>
          <w:p w14:paraId="5D79E4C6">
            <w:pPr>
              <w:jc w:val="center"/>
              <w:rPr>
                <w:rFonts w:ascii="Times New Roman" w:eastAsia="仿宋"/>
                <w:szCs w:val="21"/>
              </w:rPr>
            </w:pPr>
          </w:p>
        </w:tc>
        <w:tc>
          <w:tcPr>
            <w:tcW w:w="616" w:type="pct"/>
            <w:vAlign w:val="center"/>
          </w:tcPr>
          <w:p w14:paraId="2FA9A6B9">
            <w:pPr>
              <w:jc w:val="center"/>
              <w:rPr>
                <w:rFonts w:ascii="Times New Roman" w:eastAsia="仿宋"/>
                <w:szCs w:val="21"/>
              </w:rPr>
            </w:pPr>
            <w:r>
              <w:rPr>
                <w:rFonts w:hint="eastAsia" w:ascii="Times New Roman" w:eastAsia="仿宋"/>
                <w:szCs w:val="21"/>
              </w:rPr>
              <w:t>TVOC</w:t>
            </w:r>
          </w:p>
        </w:tc>
        <w:tc>
          <w:tcPr>
            <w:tcW w:w="424" w:type="pct"/>
            <w:vAlign w:val="center"/>
          </w:tcPr>
          <w:p w14:paraId="1477D204">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474" w:type="pct"/>
            <w:vMerge w:val="continue"/>
            <w:vAlign w:val="center"/>
          </w:tcPr>
          <w:p w14:paraId="771F4CA3">
            <w:pPr>
              <w:jc w:val="center"/>
              <w:rPr>
                <w:rFonts w:ascii="Times New Roman" w:eastAsia="仿宋"/>
                <w:szCs w:val="21"/>
              </w:rPr>
            </w:pPr>
          </w:p>
        </w:tc>
      </w:tr>
      <w:tr w14:paraId="17A93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5A81B7BE">
            <w:pPr>
              <w:jc w:val="center"/>
              <w:rPr>
                <w:rFonts w:ascii="Times New Roman" w:eastAsia="仿宋"/>
                <w:szCs w:val="21"/>
              </w:rPr>
            </w:pPr>
          </w:p>
        </w:tc>
        <w:tc>
          <w:tcPr>
            <w:tcW w:w="698" w:type="pct"/>
            <w:vMerge w:val="continue"/>
            <w:vAlign w:val="center"/>
          </w:tcPr>
          <w:p w14:paraId="1DB3CA3E">
            <w:pPr>
              <w:jc w:val="center"/>
              <w:rPr>
                <w:rFonts w:ascii="Times New Roman" w:eastAsia="仿宋"/>
                <w:szCs w:val="21"/>
              </w:rPr>
            </w:pPr>
          </w:p>
        </w:tc>
        <w:tc>
          <w:tcPr>
            <w:tcW w:w="659" w:type="pct"/>
            <w:vMerge w:val="continue"/>
            <w:vAlign w:val="center"/>
          </w:tcPr>
          <w:p w14:paraId="5AEDF5CF">
            <w:pPr>
              <w:jc w:val="center"/>
              <w:rPr>
                <w:rFonts w:ascii="Times New Roman" w:eastAsia="仿宋"/>
                <w:szCs w:val="21"/>
              </w:rPr>
            </w:pPr>
          </w:p>
        </w:tc>
        <w:tc>
          <w:tcPr>
            <w:tcW w:w="396" w:type="pct"/>
            <w:vMerge w:val="continue"/>
            <w:vAlign w:val="center"/>
          </w:tcPr>
          <w:p w14:paraId="62AD62DD">
            <w:pPr>
              <w:jc w:val="center"/>
              <w:rPr>
                <w:rFonts w:ascii="Times New Roman" w:eastAsia="仿宋"/>
                <w:szCs w:val="21"/>
              </w:rPr>
            </w:pPr>
          </w:p>
        </w:tc>
        <w:tc>
          <w:tcPr>
            <w:tcW w:w="288" w:type="pct"/>
            <w:vMerge w:val="continue"/>
            <w:vAlign w:val="center"/>
          </w:tcPr>
          <w:p w14:paraId="46D4531E">
            <w:pPr>
              <w:jc w:val="center"/>
              <w:rPr>
                <w:rFonts w:ascii="Times New Roman" w:eastAsia="仿宋"/>
                <w:szCs w:val="21"/>
              </w:rPr>
            </w:pPr>
          </w:p>
        </w:tc>
        <w:tc>
          <w:tcPr>
            <w:tcW w:w="288" w:type="pct"/>
            <w:vMerge w:val="continue"/>
            <w:vAlign w:val="center"/>
          </w:tcPr>
          <w:p w14:paraId="4BB22416">
            <w:pPr>
              <w:jc w:val="center"/>
              <w:rPr>
                <w:rFonts w:ascii="Times New Roman" w:eastAsia="仿宋"/>
                <w:szCs w:val="21"/>
              </w:rPr>
            </w:pPr>
          </w:p>
        </w:tc>
        <w:tc>
          <w:tcPr>
            <w:tcW w:w="370" w:type="pct"/>
            <w:vMerge w:val="continue"/>
            <w:vAlign w:val="center"/>
          </w:tcPr>
          <w:p w14:paraId="37EF5E3F">
            <w:pPr>
              <w:jc w:val="center"/>
              <w:rPr>
                <w:rFonts w:ascii="Times New Roman" w:eastAsia="仿宋"/>
                <w:szCs w:val="21"/>
              </w:rPr>
            </w:pPr>
          </w:p>
        </w:tc>
        <w:tc>
          <w:tcPr>
            <w:tcW w:w="402" w:type="pct"/>
            <w:vMerge w:val="continue"/>
            <w:vAlign w:val="center"/>
          </w:tcPr>
          <w:p w14:paraId="5CAFFE7D">
            <w:pPr>
              <w:jc w:val="center"/>
              <w:rPr>
                <w:rFonts w:ascii="Times New Roman" w:eastAsia="仿宋"/>
                <w:szCs w:val="21"/>
              </w:rPr>
            </w:pPr>
          </w:p>
        </w:tc>
        <w:tc>
          <w:tcPr>
            <w:tcW w:w="616" w:type="pct"/>
            <w:vAlign w:val="center"/>
          </w:tcPr>
          <w:p w14:paraId="4ACB077F">
            <w:pPr>
              <w:jc w:val="center"/>
              <w:rPr>
                <w:rFonts w:ascii="Times New Roman" w:eastAsia="仿宋"/>
                <w:szCs w:val="21"/>
              </w:rPr>
            </w:pPr>
            <w:r>
              <w:rPr>
                <w:rFonts w:hint="eastAsia" w:ascii="Times New Roman" w:eastAsia="仿宋"/>
                <w:szCs w:val="21"/>
              </w:rPr>
              <w:t>二甲苯</w:t>
            </w:r>
          </w:p>
        </w:tc>
        <w:tc>
          <w:tcPr>
            <w:tcW w:w="424" w:type="pct"/>
            <w:vAlign w:val="center"/>
          </w:tcPr>
          <w:p w14:paraId="208C9B0B">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474" w:type="pct"/>
            <w:vMerge w:val="continue"/>
            <w:vAlign w:val="center"/>
          </w:tcPr>
          <w:p w14:paraId="65615EEE">
            <w:pPr>
              <w:jc w:val="center"/>
              <w:rPr>
                <w:rFonts w:ascii="Times New Roman" w:eastAsia="仿宋"/>
                <w:szCs w:val="21"/>
              </w:rPr>
            </w:pPr>
          </w:p>
        </w:tc>
      </w:tr>
      <w:tr w14:paraId="1FD64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29B5329F">
            <w:pPr>
              <w:jc w:val="center"/>
              <w:rPr>
                <w:rFonts w:ascii="Times New Roman" w:eastAsia="仿宋"/>
                <w:szCs w:val="21"/>
              </w:rPr>
            </w:pPr>
          </w:p>
        </w:tc>
        <w:tc>
          <w:tcPr>
            <w:tcW w:w="698" w:type="pct"/>
            <w:vMerge w:val="continue"/>
            <w:vAlign w:val="center"/>
          </w:tcPr>
          <w:p w14:paraId="70AA6489">
            <w:pPr>
              <w:jc w:val="center"/>
              <w:rPr>
                <w:rFonts w:ascii="Times New Roman" w:eastAsia="仿宋"/>
                <w:szCs w:val="21"/>
              </w:rPr>
            </w:pPr>
          </w:p>
        </w:tc>
        <w:tc>
          <w:tcPr>
            <w:tcW w:w="659" w:type="pct"/>
            <w:vMerge w:val="continue"/>
            <w:vAlign w:val="center"/>
          </w:tcPr>
          <w:p w14:paraId="5A9445A5">
            <w:pPr>
              <w:jc w:val="center"/>
              <w:rPr>
                <w:rFonts w:ascii="Times New Roman" w:eastAsia="仿宋"/>
                <w:szCs w:val="21"/>
              </w:rPr>
            </w:pPr>
          </w:p>
        </w:tc>
        <w:tc>
          <w:tcPr>
            <w:tcW w:w="396" w:type="pct"/>
            <w:vMerge w:val="continue"/>
            <w:vAlign w:val="center"/>
          </w:tcPr>
          <w:p w14:paraId="38A1A918">
            <w:pPr>
              <w:jc w:val="center"/>
              <w:rPr>
                <w:rFonts w:ascii="Times New Roman" w:eastAsia="仿宋"/>
                <w:szCs w:val="21"/>
              </w:rPr>
            </w:pPr>
          </w:p>
        </w:tc>
        <w:tc>
          <w:tcPr>
            <w:tcW w:w="288" w:type="pct"/>
            <w:vMerge w:val="continue"/>
            <w:vAlign w:val="center"/>
          </w:tcPr>
          <w:p w14:paraId="222E9956">
            <w:pPr>
              <w:jc w:val="center"/>
              <w:rPr>
                <w:rFonts w:ascii="Times New Roman" w:eastAsia="仿宋"/>
                <w:szCs w:val="21"/>
              </w:rPr>
            </w:pPr>
          </w:p>
        </w:tc>
        <w:tc>
          <w:tcPr>
            <w:tcW w:w="288" w:type="pct"/>
            <w:vMerge w:val="continue"/>
            <w:vAlign w:val="center"/>
          </w:tcPr>
          <w:p w14:paraId="6F8E69DE">
            <w:pPr>
              <w:jc w:val="center"/>
              <w:rPr>
                <w:rFonts w:ascii="Times New Roman" w:eastAsia="仿宋"/>
                <w:szCs w:val="21"/>
              </w:rPr>
            </w:pPr>
          </w:p>
        </w:tc>
        <w:tc>
          <w:tcPr>
            <w:tcW w:w="370" w:type="pct"/>
            <w:vMerge w:val="continue"/>
            <w:vAlign w:val="center"/>
          </w:tcPr>
          <w:p w14:paraId="4A2FC792">
            <w:pPr>
              <w:jc w:val="center"/>
              <w:rPr>
                <w:rFonts w:ascii="Times New Roman" w:eastAsia="仿宋"/>
                <w:szCs w:val="21"/>
              </w:rPr>
            </w:pPr>
          </w:p>
        </w:tc>
        <w:tc>
          <w:tcPr>
            <w:tcW w:w="402" w:type="pct"/>
            <w:vMerge w:val="continue"/>
            <w:vAlign w:val="center"/>
          </w:tcPr>
          <w:p w14:paraId="30E67065">
            <w:pPr>
              <w:jc w:val="center"/>
              <w:rPr>
                <w:rFonts w:ascii="Times New Roman" w:eastAsia="仿宋"/>
                <w:szCs w:val="21"/>
              </w:rPr>
            </w:pPr>
          </w:p>
        </w:tc>
        <w:tc>
          <w:tcPr>
            <w:tcW w:w="616" w:type="pct"/>
            <w:vAlign w:val="center"/>
          </w:tcPr>
          <w:p w14:paraId="067FF277">
            <w:pPr>
              <w:jc w:val="center"/>
              <w:rPr>
                <w:rFonts w:ascii="Times New Roman" w:eastAsia="仿宋"/>
                <w:szCs w:val="21"/>
              </w:rPr>
            </w:pPr>
            <w:r>
              <w:rPr>
                <w:rFonts w:hint="eastAsia" w:ascii="Times New Roman" w:eastAsia="仿宋"/>
                <w:szCs w:val="21"/>
              </w:rPr>
              <w:t>颗粒物</w:t>
            </w:r>
          </w:p>
        </w:tc>
        <w:tc>
          <w:tcPr>
            <w:tcW w:w="424" w:type="pct"/>
            <w:vAlign w:val="center"/>
          </w:tcPr>
          <w:p w14:paraId="2D2E31A0">
            <w:pPr>
              <w:widowControl/>
              <w:jc w:val="center"/>
              <w:rPr>
                <w:rFonts w:ascii="Times New Roman" w:eastAsia="仿宋"/>
                <w:szCs w:val="24"/>
              </w:rPr>
            </w:pPr>
            <w:r>
              <w:rPr>
                <w:rFonts w:hint="eastAsia" w:ascii="Times New Roman" w:eastAsia="仿宋"/>
                <w:szCs w:val="24"/>
              </w:rPr>
              <w:t>0</w:t>
            </w:r>
            <w:r>
              <w:rPr>
                <w:rFonts w:ascii="Times New Roman" w:eastAsia="仿宋"/>
                <w:szCs w:val="24"/>
              </w:rPr>
              <w:t>.05</w:t>
            </w:r>
          </w:p>
        </w:tc>
        <w:tc>
          <w:tcPr>
            <w:tcW w:w="474" w:type="pct"/>
            <w:vMerge w:val="continue"/>
            <w:vAlign w:val="center"/>
          </w:tcPr>
          <w:p w14:paraId="3C854EE2">
            <w:pPr>
              <w:jc w:val="center"/>
              <w:rPr>
                <w:rFonts w:ascii="Times New Roman" w:eastAsia="仿宋"/>
                <w:szCs w:val="21"/>
              </w:rPr>
            </w:pPr>
          </w:p>
        </w:tc>
      </w:tr>
      <w:tr w14:paraId="3C9CC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restart"/>
            <w:vAlign w:val="center"/>
          </w:tcPr>
          <w:p w14:paraId="542A5845">
            <w:pPr>
              <w:jc w:val="center"/>
              <w:rPr>
                <w:rFonts w:ascii="Times New Roman" w:eastAsia="仿宋"/>
                <w:szCs w:val="21"/>
              </w:rPr>
            </w:pPr>
            <w:r>
              <w:rPr>
                <w:rFonts w:hint="eastAsia" w:ascii="Times New Roman" w:eastAsia="仿宋"/>
                <w:szCs w:val="21"/>
              </w:rPr>
              <w:t>4</w:t>
            </w:r>
          </w:p>
        </w:tc>
        <w:tc>
          <w:tcPr>
            <w:tcW w:w="698" w:type="pct"/>
            <w:vMerge w:val="restart"/>
            <w:vAlign w:val="center"/>
          </w:tcPr>
          <w:p w14:paraId="254C54E6">
            <w:pPr>
              <w:jc w:val="center"/>
              <w:rPr>
                <w:rFonts w:ascii="Times New Roman" w:eastAsia="仿宋"/>
                <w:szCs w:val="21"/>
              </w:rPr>
            </w:pPr>
            <w:r>
              <w:rPr>
                <w:rFonts w:ascii="Times New Roman" w:eastAsia="仿宋"/>
                <w:szCs w:val="21"/>
              </w:rPr>
              <w:t>119.43477</w:t>
            </w:r>
          </w:p>
        </w:tc>
        <w:tc>
          <w:tcPr>
            <w:tcW w:w="659" w:type="pct"/>
            <w:vMerge w:val="restart"/>
            <w:vAlign w:val="center"/>
          </w:tcPr>
          <w:p w14:paraId="46BC5BAE">
            <w:pPr>
              <w:jc w:val="center"/>
              <w:rPr>
                <w:rFonts w:ascii="Times New Roman" w:eastAsia="仿宋"/>
                <w:szCs w:val="21"/>
              </w:rPr>
            </w:pPr>
            <w:r>
              <w:rPr>
                <w:rFonts w:ascii="Times New Roman" w:eastAsia="仿宋"/>
                <w:szCs w:val="21"/>
              </w:rPr>
              <w:t>31.72691</w:t>
            </w:r>
          </w:p>
        </w:tc>
        <w:tc>
          <w:tcPr>
            <w:tcW w:w="396" w:type="pct"/>
            <w:vMerge w:val="restart"/>
            <w:vAlign w:val="center"/>
          </w:tcPr>
          <w:p w14:paraId="3AEB4E99">
            <w:pPr>
              <w:jc w:val="center"/>
              <w:rPr>
                <w:rFonts w:ascii="Times New Roman" w:eastAsia="仿宋"/>
                <w:szCs w:val="21"/>
              </w:rPr>
            </w:pPr>
            <w:r>
              <w:rPr>
                <w:rFonts w:hint="eastAsia" w:ascii="Times New Roman" w:eastAsia="仿宋"/>
                <w:szCs w:val="21"/>
              </w:rPr>
              <w:t>7</w:t>
            </w:r>
          </w:p>
        </w:tc>
        <w:tc>
          <w:tcPr>
            <w:tcW w:w="288" w:type="pct"/>
            <w:vMerge w:val="restart"/>
            <w:vAlign w:val="center"/>
          </w:tcPr>
          <w:p w14:paraId="7E841C5A">
            <w:pPr>
              <w:jc w:val="center"/>
              <w:rPr>
                <w:rFonts w:ascii="Times New Roman" w:eastAsia="仿宋"/>
                <w:szCs w:val="21"/>
              </w:rPr>
            </w:pPr>
            <w:r>
              <w:rPr>
                <w:rFonts w:hint="eastAsia" w:ascii="Times New Roman" w:eastAsia="仿宋"/>
                <w:szCs w:val="21"/>
              </w:rPr>
              <w:t>15</w:t>
            </w:r>
          </w:p>
        </w:tc>
        <w:tc>
          <w:tcPr>
            <w:tcW w:w="288" w:type="pct"/>
            <w:vMerge w:val="restart"/>
            <w:vAlign w:val="center"/>
          </w:tcPr>
          <w:p w14:paraId="70F52CF8">
            <w:pPr>
              <w:jc w:val="center"/>
              <w:rPr>
                <w:rFonts w:ascii="Times New Roman" w:eastAsia="仿宋"/>
                <w:szCs w:val="21"/>
              </w:rPr>
            </w:pPr>
            <w:r>
              <w:rPr>
                <w:rFonts w:ascii="Times New Roman" w:eastAsia="仿宋"/>
                <w:szCs w:val="21"/>
              </w:rPr>
              <w:t>0.8</w:t>
            </w:r>
          </w:p>
        </w:tc>
        <w:tc>
          <w:tcPr>
            <w:tcW w:w="370" w:type="pct"/>
            <w:vMerge w:val="restart"/>
            <w:vAlign w:val="center"/>
          </w:tcPr>
          <w:p w14:paraId="456780FC">
            <w:pPr>
              <w:jc w:val="center"/>
              <w:rPr>
                <w:rFonts w:ascii="Times New Roman" w:eastAsia="仿宋"/>
                <w:szCs w:val="21"/>
              </w:rPr>
            </w:pPr>
            <w:r>
              <w:rPr>
                <w:rFonts w:hint="eastAsia" w:ascii="Times New Roman" w:eastAsia="仿宋"/>
                <w:szCs w:val="21"/>
              </w:rPr>
              <w:t>5</w:t>
            </w:r>
            <w:r>
              <w:rPr>
                <w:rFonts w:ascii="Times New Roman" w:eastAsia="仿宋"/>
                <w:szCs w:val="21"/>
              </w:rPr>
              <w:t>0</w:t>
            </w:r>
          </w:p>
        </w:tc>
        <w:tc>
          <w:tcPr>
            <w:tcW w:w="402" w:type="pct"/>
            <w:vMerge w:val="restart"/>
            <w:vAlign w:val="center"/>
          </w:tcPr>
          <w:p w14:paraId="2C4F0E34">
            <w:pPr>
              <w:jc w:val="center"/>
              <w:rPr>
                <w:rFonts w:ascii="Times New Roman" w:eastAsia="仿宋"/>
                <w:szCs w:val="21"/>
              </w:rPr>
            </w:pPr>
            <w:r>
              <w:rPr>
                <w:rFonts w:hint="eastAsia" w:ascii="Times New Roman" w:eastAsia="仿宋"/>
                <w:szCs w:val="21"/>
              </w:rPr>
              <w:t>1</w:t>
            </w:r>
            <w:r>
              <w:rPr>
                <w:rFonts w:ascii="Times New Roman" w:eastAsia="仿宋"/>
                <w:szCs w:val="21"/>
              </w:rPr>
              <w:t>1.61</w:t>
            </w:r>
          </w:p>
        </w:tc>
        <w:tc>
          <w:tcPr>
            <w:tcW w:w="616" w:type="pct"/>
            <w:vAlign w:val="center"/>
          </w:tcPr>
          <w:p w14:paraId="27965237">
            <w:pPr>
              <w:jc w:val="center"/>
              <w:rPr>
                <w:rFonts w:ascii="Times New Roman" w:eastAsia="仿宋"/>
                <w:szCs w:val="21"/>
              </w:rPr>
            </w:pPr>
            <w:r>
              <w:rPr>
                <w:rFonts w:hint="eastAsia" w:ascii="Times New Roman" w:eastAsia="仿宋"/>
                <w:szCs w:val="21"/>
              </w:rPr>
              <w:t>非甲烷总烃</w:t>
            </w:r>
          </w:p>
        </w:tc>
        <w:tc>
          <w:tcPr>
            <w:tcW w:w="424" w:type="pct"/>
            <w:vAlign w:val="center"/>
          </w:tcPr>
          <w:p w14:paraId="46C747C4">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474" w:type="pct"/>
            <w:vMerge w:val="continue"/>
            <w:vAlign w:val="center"/>
          </w:tcPr>
          <w:p w14:paraId="316DEF44">
            <w:pPr>
              <w:jc w:val="center"/>
              <w:rPr>
                <w:rFonts w:ascii="Times New Roman" w:eastAsia="仿宋"/>
                <w:szCs w:val="21"/>
              </w:rPr>
            </w:pPr>
          </w:p>
        </w:tc>
      </w:tr>
      <w:tr w14:paraId="63E71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74FC0E3F">
            <w:pPr>
              <w:jc w:val="center"/>
              <w:rPr>
                <w:rFonts w:ascii="Times New Roman" w:eastAsia="仿宋"/>
                <w:szCs w:val="21"/>
              </w:rPr>
            </w:pPr>
          </w:p>
        </w:tc>
        <w:tc>
          <w:tcPr>
            <w:tcW w:w="698" w:type="pct"/>
            <w:vMerge w:val="continue"/>
            <w:vAlign w:val="center"/>
          </w:tcPr>
          <w:p w14:paraId="6AB9680B">
            <w:pPr>
              <w:jc w:val="center"/>
              <w:rPr>
                <w:rFonts w:ascii="Times New Roman" w:eastAsia="仿宋"/>
                <w:szCs w:val="21"/>
              </w:rPr>
            </w:pPr>
          </w:p>
        </w:tc>
        <w:tc>
          <w:tcPr>
            <w:tcW w:w="659" w:type="pct"/>
            <w:vMerge w:val="continue"/>
            <w:vAlign w:val="center"/>
          </w:tcPr>
          <w:p w14:paraId="13EB3296">
            <w:pPr>
              <w:jc w:val="center"/>
              <w:rPr>
                <w:rFonts w:ascii="Times New Roman" w:eastAsia="仿宋"/>
                <w:szCs w:val="21"/>
              </w:rPr>
            </w:pPr>
          </w:p>
        </w:tc>
        <w:tc>
          <w:tcPr>
            <w:tcW w:w="396" w:type="pct"/>
            <w:vMerge w:val="continue"/>
            <w:vAlign w:val="center"/>
          </w:tcPr>
          <w:p w14:paraId="4D89F41D">
            <w:pPr>
              <w:jc w:val="center"/>
              <w:rPr>
                <w:rFonts w:ascii="Times New Roman" w:eastAsia="仿宋"/>
                <w:szCs w:val="21"/>
              </w:rPr>
            </w:pPr>
          </w:p>
        </w:tc>
        <w:tc>
          <w:tcPr>
            <w:tcW w:w="288" w:type="pct"/>
            <w:vMerge w:val="continue"/>
            <w:vAlign w:val="center"/>
          </w:tcPr>
          <w:p w14:paraId="0881889B">
            <w:pPr>
              <w:jc w:val="center"/>
              <w:rPr>
                <w:rFonts w:ascii="Times New Roman" w:eastAsia="仿宋"/>
                <w:szCs w:val="21"/>
              </w:rPr>
            </w:pPr>
          </w:p>
        </w:tc>
        <w:tc>
          <w:tcPr>
            <w:tcW w:w="288" w:type="pct"/>
            <w:vMerge w:val="continue"/>
            <w:vAlign w:val="center"/>
          </w:tcPr>
          <w:p w14:paraId="2604D55B">
            <w:pPr>
              <w:jc w:val="center"/>
              <w:rPr>
                <w:rFonts w:ascii="Times New Roman" w:eastAsia="仿宋"/>
                <w:szCs w:val="21"/>
              </w:rPr>
            </w:pPr>
          </w:p>
        </w:tc>
        <w:tc>
          <w:tcPr>
            <w:tcW w:w="370" w:type="pct"/>
            <w:vMerge w:val="continue"/>
            <w:vAlign w:val="center"/>
          </w:tcPr>
          <w:p w14:paraId="751F9740">
            <w:pPr>
              <w:jc w:val="center"/>
              <w:rPr>
                <w:rFonts w:ascii="Times New Roman" w:eastAsia="仿宋"/>
                <w:szCs w:val="21"/>
              </w:rPr>
            </w:pPr>
          </w:p>
        </w:tc>
        <w:tc>
          <w:tcPr>
            <w:tcW w:w="402" w:type="pct"/>
            <w:vMerge w:val="continue"/>
            <w:vAlign w:val="center"/>
          </w:tcPr>
          <w:p w14:paraId="112CA1CA">
            <w:pPr>
              <w:jc w:val="center"/>
              <w:rPr>
                <w:rFonts w:ascii="Times New Roman" w:eastAsia="仿宋"/>
                <w:szCs w:val="21"/>
              </w:rPr>
            </w:pPr>
          </w:p>
        </w:tc>
        <w:tc>
          <w:tcPr>
            <w:tcW w:w="616" w:type="pct"/>
            <w:vAlign w:val="center"/>
          </w:tcPr>
          <w:p w14:paraId="5A3184B5">
            <w:pPr>
              <w:jc w:val="center"/>
              <w:rPr>
                <w:rFonts w:ascii="Times New Roman" w:eastAsia="仿宋"/>
                <w:szCs w:val="21"/>
              </w:rPr>
            </w:pPr>
            <w:r>
              <w:rPr>
                <w:rFonts w:hint="eastAsia" w:ascii="Times New Roman" w:eastAsia="仿宋"/>
                <w:szCs w:val="21"/>
              </w:rPr>
              <w:t>TVOC</w:t>
            </w:r>
          </w:p>
        </w:tc>
        <w:tc>
          <w:tcPr>
            <w:tcW w:w="424" w:type="pct"/>
            <w:vAlign w:val="center"/>
          </w:tcPr>
          <w:p w14:paraId="74FC919F">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474" w:type="pct"/>
            <w:vMerge w:val="continue"/>
            <w:vAlign w:val="center"/>
          </w:tcPr>
          <w:p w14:paraId="196C4BCC">
            <w:pPr>
              <w:jc w:val="center"/>
              <w:rPr>
                <w:rFonts w:ascii="Times New Roman" w:eastAsia="仿宋"/>
                <w:szCs w:val="21"/>
              </w:rPr>
            </w:pPr>
          </w:p>
        </w:tc>
      </w:tr>
      <w:tr w14:paraId="4D18E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7773396C">
            <w:pPr>
              <w:jc w:val="center"/>
              <w:rPr>
                <w:rFonts w:ascii="Times New Roman" w:eastAsia="仿宋"/>
                <w:szCs w:val="21"/>
              </w:rPr>
            </w:pPr>
          </w:p>
        </w:tc>
        <w:tc>
          <w:tcPr>
            <w:tcW w:w="698" w:type="pct"/>
            <w:vMerge w:val="continue"/>
            <w:vAlign w:val="center"/>
          </w:tcPr>
          <w:p w14:paraId="4A83F61D">
            <w:pPr>
              <w:jc w:val="center"/>
              <w:rPr>
                <w:rFonts w:ascii="Times New Roman" w:eastAsia="仿宋"/>
                <w:szCs w:val="21"/>
              </w:rPr>
            </w:pPr>
          </w:p>
        </w:tc>
        <w:tc>
          <w:tcPr>
            <w:tcW w:w="659" w:type="pct"/>
            <w:vMerge w:val="continue"/>
            <w:vAlign w:val="center"/>
          </w:tcPr>
          <w:p w14:paraId="7E182C6D">
            <w:pPr>
              <w:jc w:val="center"/>
              <w:rPr>
                <w:rFonts w:ascii="Times New Roman" w:eastAsia="仿宋"/>
                <w:szCs w:val="21"/>
              </w:rPr>
            </w:pPr>
          </w:p>
        </w:tc>
        <w:tc>
          <w:tcPr>
            <w:tcW w:w="396" w:type="pct"/>
            <w:vMerge w:val="continue"/>
            <w:vAlign w:val="center"/>
          </w:tcPr>
          <w:p w14:paraId="2D0AE58C">
            <w:pPr>
              <w:jc w:val="center"/>
              <w:rPr>
                <w:rFonts w:ascii="Times New Roman" w:eastAsia="仿宋"/>
                <w:szCs w:val="21"/>
              </w:rPr>
            </w:pPr>
          </w:p>
        </w:tc>
        <w:tc>
          <w:tcPr>
            <w:tcW w:w="288" w:type="pct"/>
            <w:vMerge w:val="continue"/>
            <w:vAlign w:val="center"/>
          </w:tcPr>
          <w:p w14:paraId="229C7534">
            <w:pPr>
              <w:jc w:val="center"/>
              <w:rPr>
                <w:rFonts w:ascii="Times New Roman" w:eastAsia="仿宋"/>
                <w:szCs w:val="21"/>
              </w:rPr>
            </w:pPr>
          </w:p>
        </w:tc>
        <w:tc>
          <w:tcPr>
            <w:tcW w:w="288" w:type="pct"/>
            <w:vMerge w:val="continue"/>
            <w:vAlign w:val="center"/>
          </w:tcPr>
          <w:p w14:paraId="1FF344DC">
            <w:pPr>
              <w:jc w:val="center"/>
              <w:rPr>
                <w:rFonts w:ascii="Times New Roman" w:eastAsia="仿宋"/>
                <w:szCs w:val="21"/>
              </w:rPr>
            </w:pPr>
          </w:p>
        </w:tc>
        <w:tc>
          <w:tcPr>
            <w:tcW w:w="370" w:type="pct"/>
            <w:vMerge w:val="continue"/>
            <w:vAlign w:val="center"/>
          </w:tcPr>
          <w:p w14:paraId="398CC1D0">
            <w:pPr>
              <w:jc w:val="center"/>
              <w:rPr>
                <w:rFonts w:ascii="Times New Roman" w:eastAsia="仿宋"/>
                <w:szCs w:val="21"/>
              </w:rPr>
            </w:pPr>
          </w:p>
        </w:tc>
        <w:tc>
          <w:tcPr>
            <w:tcW w:w="402" w:type="pct"/>
            <w:vMerge w:val="continue"/>
            <w:vAlign w:val="center"/>
          </w:tcPr>
          <w:p w14:paraId="6FAF358E">
            <w:pPr>
              <w:jc w:val="center"/>
              <w:rPr>
                <w:rFonts w:ascii="Times New Roman" w:eastAsia="仿宋"/>
                <w:szCs w:val="21"/>
              </w:rPr>
            </w:pPr>
          </w:p>
        </w:tc>
        <w:tc>
          <w:tcPr>
            <w:tcW w:w="616" w:type="pct"/>
            <w:vAlign w:val="center"/>
          </w:tcPr>
          <w:p w14:paraId="293B293A">
            <w:pPr>
              <w:jc w:val="center"/>
              <w:rPr>
                <w:rFonts w:ascii="Times New Roman" w:eastAsia="仿宋"/>
                <w:szCs w:val="21"/>
              </w:rPr>
            </w:pPr>
            <w:r>
              <w:rPr>
                <w:rFonts w:hint="eastAsia" w:ascii="Times New Roman" w:eastAsia="仿宋"/>
                <w:szCs w:val="21"/>
              </w:rPr>
              <w:t>二甲苯</w:t>
            </w:r>
          </w:p>
        </w:tc>
        <w:tc>
          <w:tcPr>
            <w:tcW w:w="424" w:type="pct"/>
            <w:vAlign w:val="center"/>
          </w:tcPr>
          <w:p w14:paraId="45EBD676">
            <w:pPr>
              <w:widowControl/>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474" w:type="pct"/>
            <w:vMerge w:val="continue"/>
            <w:vAlign w:val="center"/>
          </w:tcPr>
          <w:p w14:paraId="0F7F10F6">
            <w:pPr>
              <w:jc w:val="center"/>
              <w:rPr>
                <w:rFonts w:ascii="Times New Roman" w:eastAsia="仿宋"/>
                <w:szCs w:val="21"/>
              </w:rPr>
            </w:pPr>
          </w:p>
        </w:tc>
      </w:tr>
      <w:tr w14:paraId="45F06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5D9E920F">
            <w:pPr>
              <w:jc w:val="center"/>
              <w:rPr>
                <w:rFonts w:ascii="Times New Roman" w:eastAsia="仿宋"/>
                <w:szCs w:val="21"/>
              </w:rPr>
            </w:pPr>
          </w:p>
        </w:tc>
        <w:tc>
          <w:tcPr>
            <w:tcW w:w="698" w:type="pct"/>
            <w:vMerge w:val="continue"/>
            <w:vAlign w:val="center"/>
          </w:tcPr>
          <w:p w14:paraId="73573999">
            <w:pPr>
              <w:jc w:val="center"/>
              <w:rPr>
                <w:rFonts w:ascii="Times New Roman" w:eastAsia="仿宋"/>
                <w:szCs w:val="21"/>
              </w:rPr>
            </w:pPr>
          </w:p>
        </w:tc>
        <w:tc>
          <w:tcPr>
            <w:tcW w:w="659" w:type="pct"/>
            <w:vMerge w:val="continue"/>
            <w:vAlign w:val="center"/>
          </w:tcPr>
          <w:p w14:paraId="0F78804A">
            <w:pPr>
              <w:jc w:val="center"/>
              <w:rPr>
                <w:rFonts w:ascii="Times New Roman" w:eastAsia="仿宋"/>
                <w:szCs w:val="21"/>
              </w:rPr>
            </w:pPr>
          </w:p>
        </w:tc>
        <w:tc>
          <w:tcPr>
            <w:tcW w:w="396" w:type="pct"/>
            <w:vMerge w:val="continue"/>
            <w:vAlign w:val="center"/>
          </w:tcPr>
          <w:p w14:paraId="19731D17">
            <w:pPr>
              <w:jc w:val="center"/>
              <w:rPr>
                <w:rFonts w:ascii="Times New Roman" w:eastAsia="仿宋"/>
                <w:szCs w:val="21"/>
              </w:rPr>
            </w:pPr>
          </w:p>
        </w:tc>
        <w:tc>
          <w:tcPr>
            <w:tcW w:w="288" w:type="pct"/>
            <w:vMerge w:val="continue"/>
            <w:vAlign w:val="center"/>
          </w:tcPr>
          <w:p w14:paraId="6CAC7291">
            <w:pPr>
              <w:jc w:val="center"/>
              <w:rPr>
                <w:rFonts w:ascii="Times New Roman" w:eastAsia="仿宋"/>
                <w:szCs w:val="21"/>
              </w:rPr>
            </w:pPr>
          </w:p>
        </w:tc>
        <w:tc>
          <w:tcPr>
            <w:tcW w:w="288" w:type="pct"/>
            <w:vMerge w:val="continue"/>
            <w:vAlign w:val="center"/>
          </w:tcPr>
          <w:p w14:paraId="4E591857">
            <w:pPr>
              <w:jc w:val="center"/>
              <w:rPr>
                <w:rFonts w:ascii="Times New Roman" w:eastAsia="仿宋"/>
                <w:szCs w:val="21"/>
              </w:rPr>
            </w:pPr>
          </w:p>
        </w:tc>
        <w:tc>
          <w:tcPr>
            <w:tcW w:w="370" w:type="pct"/>
            <w:vMerge w:val="continue"/>
            <w:vAlign w:val="center"/>
          </w:tcPr>
          <w:p w14:paraId="23C977A7">
            <w:pPr>
              <w:jc w:val="center"/>
              <w:rPr>
                <w:rFonts w:ascii="Times New Roman" w:eastAsia="仿宋"/>
                <w:szCs w:val="21"/>
              </w:rPr>
            </w:pPr>
          </w:p>
        </w:tc>
        <w:tc>
          <w:tcPr>
            <w:tcW w:w="402" w:type="pct"/>
            <w:vMerge w:val="continue"/>
            <w:vAlign w:val="center"/>
          </w:tcPr>
          <w:p w14:paraId="0CD4B476">
            <w:pPr>
              <w:jc w:val="center"/>
              <w:rPr>
                <w:rFonts w:ascii="Times New Roman" w:eastAsia="仿宋"/>
                <w:szCs w:val="21"/>
              </w:rPr>
            </w:pPr>
          </w:p>
        </w:tc>
        <w:tc>
          <w:tcPr>
            <w:tcW w:w="616" w:type="pct"/>
            <w:vAlign w:val="center"/>
          </w:tcPr>
          <w:p w14:paraId="4AE26082">
            <w:pPr>
              <w:jc w:val="center"/>
              <w:rPr>
                <w:rFonts w:ascii="Times New Roman" w:eastAsia="仿宋"/>
                <w:szCs w:val="21"/>
              </w:rPr>
            </w:pPr>
            <w:r>
              <w:rPr>
                <w:rFonts w:hint="eastAsia" w:ascii="Times New Roman" w:eastAsia="仿宋"/>
                <w:szCs w:val="21"/>
              </w:rPr>
              <w:t>二氧化硫</w:t>
            </w:r>
          </w:p>
        </w:tc>
        <w:tc>
          <w:tcPr>
            <w:tcW w:w="424" w:type="pct"/>
            <w:vAlign w:val="center"/>
          </w:tcPr>
          <w:p w14:paraId="2966F884">
            <w:pPr>
              <w:widowControl/>
              <w:jc w:val="center"/>
              <w:rPr>
                <w:rFonts w:ascii="Times New Roman" w:eastAsia="仿宋"/>
                <w:szCs w:val="24"/>
              </w:rPr>
            </w:pPr>
            <w:r>
              <w:rPr>
                <w:rFonts w:hint="eastAsia" w:ascii="Times New Roman" w:eastAsia="仿宋"/>
                <w:szCs w:val="24"/>
              </w:rPr>
              <w:t>0</w:t>
            </w:r>
            <w:r>
              <w:rPr>
                <w:rFonts w:ascii="Times New Roman" w:eastAsia="仿宋"/>
                <w:szCs w:val="24"/>
              </w:rPr>
              <w:t>.004</w:t>
            </w:r>
          </w:p>
        </w:tc>
        <w:tc>
          <w:tcPr>
            <w:tcW w:w="474" w:type="pct"/>
            <w:vMerge w:val="continue"/>
            <w:vAlign w:val="center"/>
          </w:tcPr>
          <w:p w14:paraId="1EE6023B">
            <w:pPr>
              <w:jc w:val="center"/>
              <w:rPr>
                <w:rFonts w:ascii="Times New Roman" w:eastAsia="仿宋"/>
                <w:szCs w:val="21"/>
              </w:rPr>
            </w:pPr>
          </w:p>
        </w:tc>
      </w:tr>
      <w:tr w14:paraId="54662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2BCD34A4">
            <w:pPr>
              <w:jc w:val="center"/>
              <w:rPr>
                <w:rFonts w:ascii="Times New Roman" w:eastAsia="仿宋"/>
                <w:szCs w:val="21"/>
              </w:rPr>
            </w:pPr>
          </w:p>
        </w:tc>
        <w:tc>
          <w:tcPr>
            <w:tcW w:w="698" w:type="pct"/>
            <w:vMerge w:val="continue"/>
            <w:vAlign w:val="center"/>
          </w:tcPr>
          <w:p w14:paraId="7388DE35">
            <w:pPr>
              <w:jc w:val="center"/>
              <w:rPr>
                <w:rFonts w:ascii="Times New Roman" w:eastAsia="仿宋"/>
                <w:szCs w:val="21"/>
              </w:rPr>
            </w:pPr>
          </w:p>
        </w:tc>
        <w:tc>
          <w:tcPr>
            <w:tcW w:w="659" w:type="pct"/>
            <w:vMerge w:val="continue"/>
            <w:vAlign w:val="center"/>
          </w:tcPr>
          <w:p w14:paraId="70D2D679">
            <w:pPr>
              <w:jc w:val="center"/>
              <w:rPr>
                <w:rFonts w:ascii="Times New Roman" w:eastAsia="仿宋"/>
                <w:szCs w:val="21"/>
              </w:rPr>
            </w:pPr>
          </w:p>
        </w:tc>
        <w:tc>
          <w:tcPr>
            <w:tcW w:w="396" w:type="pct"/>
            <w:vMerge w:val="continue"/>
            <w:vAlign w:val="center"/>
          </w:tcPr>
          <w:p w14:paraId="4CC3B424">
            <w:pPr>
              <w:jc w:val="center"/>
              <w:rPr>
                <w:rFonts w:ascii="Times New Roman" w:eastAsia="仿宋"/>
                <w:szCs w:val="21"/>
              </w:rPr>
            </w:pPr>
          </w:p>
        </w:tc>
        <w:tc>
          <w:tcPr>
            <w:tcW w:w="288" w:type="pct"/>
            <w:vMerge w:val="continue"/>
            <w:vAlign w:val="center"/>
          </w:tcPr>
          <w:p w14:paraId="174E73F2">
            <w:pPr>
              <w:jc w:val="center"/>
              <w:rPr>
                <w:rFonts w:ascii="Times New Roman" w:eastAsia="仿宋"/>
                <w:szCs w:val="21"/>
              </w:rPr>
            </w:pPr>
          </w:p>
        </w:tc>
        <w:tc>
          <w:tcPr>
            <w:tcW w:w="288" w:type="pct"/>
            <w:vMerge w:val="continue"/>
            <w:vAlign w:val="center"/>
          </w:tcPr>
          <w:p w14:paraId="0B05F0E2">
            <w:pPr>
              <w:jc w:val="center"/>
              <w:rPr>
                <w:rFonts w:ascii="Times New Roman" w:eastAsia="仿宋"/>
                <w:szCs w:val="21"/>
              </w:rPr>
            </w:pPr>
          </w:p>
        </w:tc>
        <w:tc>
          <w:tcPr>
            <w:tcW w:w="370" w:type="pct"/>
            <w:vMerge w:val="continue"/>
            <w:vAlign w:val="center"/>
          </w:tcPr>
          <w:p w14:paraId="623BEC6B">
            <w:pPr>
              <w:jc w:val="center"/>
              <w:rPr>
                <w:rFonts w:ascii="Times New Roman" w:eastAsia="仿宋"/>
                <w:szCs w:val="21"/>
              </w:rPr>
            </w:pPr>
          </w:p>
        </w:tc>
        <w:tc>
          <w:tcPr>
            <w:tcW w:w="402" w:type="pct"/>
            <w:vMerge w:val="continue"/>
            <w:vAlign w:val="center"/>
          </w:tcPr>
          <w:p w14:paraId="4348246D">
            <w:pPr>
              <w:jc w:val="center"/>
              <w:rPr>
                <w:rFonts w:ascii="Times New Roman" w:eastAsia="仿宋"/>
                <w:szCs w:val="21"/>
              </w:rPr>
            </w:pPr>
          </w:p>
        </w:tc>
        <w:tc>
          <w:tcPr>
            <w:tcW w:w="616" w:type="pct"/>
            <w:vAlign w:val="center"/>
          </w:tcPr>
          <w:p w14:paraId="6CB2A555">
            <w:pPr>
              <w:jc w:val="center"/>
              <w:rPr>
                <w:rFonts w:ascii="Times New Roman" w:eastAsia="仿宋"/>
                <w:szCs w:val="21"/>
              </w:rPr>
            </w:pPr>
            <w:r>
              <w:rPr>
                <w:rFonts w:hint="eastAsia" w:ascii="Times New Roman" w:eastAsia="仿宋"/>
                <w:szCs w:val="21"/>
              </w:rPr>
              <w:t>氮氧化物</w:t>
            </w:r>
          </w:p>
        </w:tc>
        <w:tc>
          <w:tcPr>
            <w:tcW w:w="424" w:type="pct"/>
            <w:vAlign w:val="center"/>
          </w:tcPr>
          <w:p w14:paraId="0FBEFD7D">
            <w:pPr>
              <w:widowControl/>
              <w:jc w:val="center"/>
              <w:rPr>
                <w:rFonts w:ascii="Times New Roman" w:eastAsia="仿宋"/>
                <w:szCs w:val="24"/>
              </w:rPr>
            </w:pPr>
            <w:r>
              <w:rPr>
                <w:rFonts w:hint="eastAsia" w:ascii="Times New Roman" w:eastAsia="仿宋"/>
                <w:szCs w:val="24"/>
              </w:rPr>
              <w:t>0</w:t>
            </w:r>
            <w:r>
              <w:rPr>
                <w:rFonts w:ascii="Times New Roman" w:eastAsia="仿宋"/>
                <w:szCs w:val="24"/>
              </w:rPr>
              <w:t>.2</w:t>
            </w:r>
          </w:p>
        </w:tc>
        <w:tc>
          <w:tcPr>
            <w:tcW w:w="474" w:type="pct"/>
            <w:vMerge w:val="continue"/>
            <w:vAlign w:val="center"/>
          </w:tcPr>
          <w:p w14:paraId="776C8C94">
            <w:pPr>
              <w:jc w:val="center"/>
              <w:rPr>
                <w:rFonts w:ascii="Times New Roman" w:eastAsia="仿宋"/>
                <w:szCs w:val="21"/>
              </w:rPr>
            </w:pPr>
          </w:p>
        </w:tc>
      </w:tr>
      <w:tr w14:paraId="40E3F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Merge w:val="continue"/>
            <w:vAlign w:val="center"/>
          </w:tcPr>
          <w:p w14:paraId="5BFEF008">
            <w:pPr>
              <w:jc w:val="center"/>
              <w:rPr>
                <w:rFonts w:ascii="Times New Roman" w:eastAsia="仿宋"/>
                <w:szCs w:val="21"/>
              </w:rPr>
            </w:pPr>
          </w:p>
        </w:tc>
        <w:tc>
          <w:tcPr>
            <w:tcW w:w="698" w:type="pct"/>
            <w:vMerge w:val="continue"/>
            <w:vAlign w:val="center"/>
          </w:tcPr>
          <w:p w14:paraId="403F019D">
            <w:pPr>
              <w:jc w:val="center"/>
              <w:rPr>
                <w:rFonts w:ascii="Times New Roman" w:eastAsia="仿宋"/>
                <w:szCs w:val="21"/>
              </w:rPr>
            </w:pPr>
          </w:p>
        </w:tc>
        <w:tc>
          <w:tcPr>
            <w:tcW w:w="659" w:type="pct"/>
            <w:vMerge w:val="continue"/>
            <w:vAlign w:val="center"/>
          </w:tcPr>
          <w:p w14:paraId="336B8916">
            <w:pPr>
              <w:jc w:val="center"/>
              <w:rPr>
                <w:rFonts w:ascii="Times New Roman" w:eastAsia="仿宋"/>
                <w:szCs w:val="21"/>
              </w:rPr>
            </w:pPr>
          </w:p>
        </w:tc>
        <w:tc>
          <w:tcPr>
            <w:tcW w:w="396" w:type="pct"/>
            <w:vMerge w:val="continue"/>
            <w:vAlign w:val="center"/>
          </w:tcPr>
          <w:p w14:paraId="78E850F3">
            <w:pPr>
              <w:jc w:val="center"/>
              <w:rPr>
                <w:rFonts w:ascii="Times New Roman" w:eastAsia="仿宋"/>
                <w:szCs w:val="21"/>
              </w:rPr>
            </w:pPr>
          </w:p>
        </w:tc>
        <w:tc>
          <w:tcPr>
            <w:tcW w:w="288" w:type="pct"/>
            <w:vMerge w:val="continue"/>
            <w:vAlign w:val="center"/>
          </w:tcPr>
          <w:p w14:paraId="631F5404">
            <w:pPr>
              <w:jc w:val="center"/>
              <w:rPr>
                <w:rFonts w:ascii="Times New Roman" w:eastAsia="仿宋"/>
                <w:szCs w:val="21"/>
              </w:rPr>
            </w:pPr>
          </w:p>
        </w:tc>
        <w:tc>
          <w:tcPr>
            <w:tcW w:w="288" w:type="pct"/>
            <w:vMerge w:val="continue"/>
            <w:vAlign w:val="center"/>
          </w:tcPr>
          <w:p w14:paraId="42669526">
            <w:pPr>
              <w:jc w:val="center"/>
              <w:rPr>
                <w:rFonts w:ascii="Times New Roman" w:eastAsia="仿宋"/>
                <w:szCs w:val="21"/>
              </w:rPr>
            </w:pPr>
          </w:p>
        </w:tc>
        <w:tc>
          <w:tcPr>
            <w:tcW w:w="370" w:type="pct"/>
            <w:vMerge w:val="continue"/>
            <w:vAlign w:val="center"/>
          </w:tcPr>
          <w:p w14:paraId="402EDD8D">
            <w:pPr>
              <w:jc w:val="center"/>
              <w:rPr>
                <w:rFonts w:ascii="Times New Roman" w:eastAsia="仿宋"/>
                <w:szCs w:val="21"/>
              </w:rPr>
            </w:pPr>
          </w:p>
        </w:tc>
        <w:tc>
          <w:tcPr>
            <w:tcW w:w="402" w:type="pct"/>
            <w:vMerge w:val="continue"/>
            <w:vAlign w:val="center"/>
          </w:tcPr>
          <w:p w14:paraId="69DBF3BF">
            <w:pPr>
              <w:jc w:val="center"/>
              <w:rPr>
                <w:rFonts w:ascii="Times New Roman" w:eastAsia="仿宋"/>
                <w:szCs w:val="21"/>
              </w:rPr>
            </w:pPr>
          </w:p>
        </w:tc>
        <w:tc>
          <w:tcPr>
            <w:tcW w:w="616" w:type="pct"/>
            <w:vAlign w:val="center"/>
          </w:tcPr>
          <w:p w14:paraId="499DF52B">
            <w:pPr>
              <w:jc w:val="center"/>
              <w:rPr>
                <w:rFonts w:ascii="Times New Roman" w:eastAsia="仿宋"/>
                <w:szCs w:val="21"/>
              </w:rPr>
            </w:pPr>
            <w:r>
              <w:rPr>
                <w:rFonts w:hint="eastAsia" w:ascii="Times New Roman" w:eastAsia="仿宋"/>
                <w:szCs w:val="21"/>
              </w:rPr>
              <w:t>颗粒物</w:t>
            </w:r>
          </w:p>
        </w:tc>
        <w:tc>
          <w:tcPr>
            <w:tcW w:w="424" w:type="pct"/>
            <w:vAlign w:val="center"/>
          </w:tcPr>
          <w:p w14:paraId="25116D2F">
            <w:pPr>
              <w:widowControl/>
              <w:jc w:val="center"/>
              <w:rPr>
                <w:rFonts w:ascii="Times New Roman" w:eastAsia="仿宋"/>
                <w:szCs w:val="24"/>
              </w:rPr>
            </w:pPr>
            <w:r>
              <w:rPr>
                <w:rFonts w:hint="eastAsia" w:ascii="Times New Roman" w:eastAsia="仿宋"/>
                <w:szCs w:val="24"/>
              </w:rPr>
              <w:t>0</w:t>
            </w:r>
            <w:r>
              <w:rPr>
                <w:rFonts w:ascii="Times New Roman" w:eastAsia="仿宋"/>
                <w:szCs w:val="24"/>
              </w:rPr>
              <w:t>.028</w:t>
            </w:r>
          </w:p>
        </w:tc>
        <w:tc>
          <w:tcPr>
            <w:tcW w:w="474" w:type="pct"/>
            <w:vMerge w:val="continue"/>
            <w:vAlign w:val="center"/>
          </w:tcPr>
          <w:p w14:paraId="0C78F40E">
            <w:pPr>
              <w:jc w:val="center"/>
              <w:rPr>
                <w:rFonts w:ascii="Times New Roman" w:eastAsia="仿宋"/>
                <w:szCs w:val="21"/>
              </w:rPr>
            </w:pPr>
          </w:p>
        </w:tc>
      </w:tr>
      <w:tr w14:paraId="2F73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jc w:val="center"/>
        </w:trPr>
        <w:tc>
          <w:tcPr>
            <w:tcW w:w="385" w:type="pct"/>
            <w:vAlign w:val="center"/>
          </w:tcPr>
          <w:p w14:paraId="5C631897">
            <w:pPr>
              <w:jc w:val="center"/>
              <w:rPr>
                <w:rFonts w:ascii="Times New Roman" w:eastAsia="仿宋"/>
                <w:szCs w:val="21"/>
              </w:rPr>
            </w:pPr>
            <w:r>
              <w:rPr>
                <w:rFonts w:hint="eastAsia" w:ascii="Times New Roman" w:eastAsia="仿宋"/>
                <w:szCs w:val="21"/>
              </w:rPr>
              <w:t>5</w:t>
            </w:r>
          </w:p>
        </w:tc>
        <w:tc>
          <w:tcPr>
            <w:tcW w:w="698" w:type="pct"/>
            <w:vAlign w:val="center"/>
          </w:tcPr>
          <w:p w14:paraId="3C7E3ABB">
            <w:pPr>
              <w:jc w:val="center"/>
              <w:rPr>
                <w:rFonts w:ascii="Times New Roman" w:eastAsia="仿宋"/>
                <w:szCs w:val="21"/>
              </w:rPr>
            </w:pPr>
            <w:r>
              <w:rPr>
                <w:rFonts w:ascii="Times New Roman" w:eastAsia="仿宋"/>
                <w:szCs w:val="21"/>
              </w:rPr>
              <w:t>119.435818</w:t>
            </w:r>
          </w:p>
        </w:tc>
        <w:tc>
          <w:tcPr>
            <w:tcW w:w="659" w:type="pct"/>
            <w:vAlign w:val="center"/>
          </w:tcPr>
          <w:p w14:paraId="7653C518">
            <w:pPr>
              <w:jc w:val="center"/>
              <w:rPr>
                <w:rFonts w:ascii="Times New Roman" w:eastAsia="仿宋"/>
                <w:szCs w:val="21"/>
              </w:rPr>
            </w:pPr>
            <w:r>
              <w:rPr>
                <w:rFonts w:ascii="Times New Roman" w:eastAsia="仿宋"/>
                <w:szCs w:val="21"/>
              </w:rPr>
              <w:t>31.72767</w:t>
            </w:r>
          </w:p>
        </w:tc>
        <w:tc>
          <w:tcPr>
            <w:tcW w:w="396" w:type="pct"/>
            <w:vAlign w:val="center"/>
          </w:tcPr>
          <w:p w14:paraId="05A9932F">
            <w:pPr>
              <w:jc w:val="center"/>
              <w:rPr>
                <w:rFonts w:ascii="Times New Roman" w:eastAsia="仿宋"/>
                <w:szCs w:val="21"/>
              </w:rPr>
            </w:pPr>
            <w:r>
              <w:rPr>
                <w:rFonts w:hint="eastAsia" w:ascii="Times New Roman" w:eastAsia="仿宋"/>
                <w:szCs w:val="21"/>
              </w:rPr>
              <w:t>7</w:t>
            </w:r>
          </w:p>
        </w:tc>
        <w:tc>
          <w:tcPr>
            <w:tcW w:w="288" w:type="pct"/>
            <w:vAlign w:val="center"/>
          </w:tcPr>
          <w:p w14:paraId="742C413B">
            <w:pPr>
              <w:jc w:val="center"/>
              <w:rPr>
                <w:rFonts w:ascii="Times New Roman" w:eastAsia="仿宋"/>
                <w:szCs w:val="21"/>
              </w:rPr>
            </w:pPr>
            <w:r>
              <w:rPr>
                <w:rFonts w:hint="eastAsia" w:ascii="Times New Roman" w:eastAsia="仿宋"/>
                <w:szCs w:val="21"/>
              </w:rPr>
              <w:t>15</w:t>
            </w:r>
          </w:p>
        </w:tc>
        <w:tc>
          <w:tcPr>
            <w:tcW w:w="288" w:type="pct"/>
            <w:vAlign w:val="center"/>
          </w:tcPr>
          <w:p w14:paraId="16241B30">
            <w:pPr>
              <w:jc w:val="center"/>
              <w:rPr>
                <w:rFonts w:ascii="Times New Roman" w:eastAsia="仿宋"/>
                <w:szCs w:val="21"/>
              </w:rPr>
            </w:pPr>
            <w:r>
              <w:rPr>
                <w:rFonts w:hint="eastAsia" w:ascii="Times New Roman" w:eastAsia="仿宋"/>
                <w:szCs w:val="21"/>
              </w:rPr>
              <w:t>0.</w:t>
            </w:r>
            <w:r>
              <w:rPr>
                <w:rFonts w:ascii="Times New Roman" w:eastAsia="仿宋"/>
                <w:szCs w:val="21"/>
              </w:rPr>
              <w:t>5</w:t>
            </w:r>
          </w:p>
        </w:tc>
        <w:tc>
          <w:tcPr>
            <w:tcW w:w="370" w:type="pct"/>
            <w:vAlign w:val="center"/>
          </w:tcPr>
          <w:p w14:paraId="1089AFE9">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402" w:type="pct"/>
            <w:vAlign w:val="center"/>
          </w:tcPr>
          <w:p w14:paraId="10A439CC">
            <w:pPr>
              <w:jc w:val="center"/>
              <w:rPr>
                <w:rFonts w:ascii="Times New Roman" w:eastAsia="仿宋"/>
                <w:szCs w:val="21"/>
              </w:rPr>
            </w:pPr>
            <w:r>
              <w:rPr>
                <w:rFonts w:hint="eastAsia" w:ascii="Times New Roman" w:eastAsia="仿宋"/>
                <w:szCs w:val="21"/>
              </w:rPr>
              <w:t>11</w:t>
            </w:r>
            <w:r>
              <w:rPr>
                <w:rFonts w:ascii="Times New Roman" w:eastAsia="仿宋"/>
                <w:szCs w:val="21"/>
              </w:rPr>
              <w:t>.32</w:t>
            </w:r>
          </w:p>
        </w:tc>
        <w:tc>
          <w:tcPr>
            <w:tcW w:w="616" w:type="pct"/>
            <w:vAlign w:val="center"/>
          </w:tcPr>
          <w:p w14:paraId="09E57425">
            <w:pPr>
              <w:jc w:val="center"/>
              <w:rPr>
                <w:rFonts w:ascii="Times New Roman" w:eastAsia="仿宋"/>
                <w:szCs w:val="21"/>
              </w:rPr>
            </w:pPr>
            <w:r>
              <w:rPr>
                <w:rFonts w:hint="eastAsia" w:ascii="Times New Roman" w:eastAsia="仿宋"/>
                <w:szCs w:val="21"/>
              </w:rPr>
              <w:t>颗粒物</w:t>
            </w:r>
          </w:p>
        </w:tc>
        <w:tc>
          <w:tcPr>
            <w:tcW w:w="424" w:type="pct"/>
            <w:vAlign w:val="center"/>
          </w:tcPr>
          <w:p w14:paraId="226D66D6">
            <w:pPr>
              <w:jc w:val="center"/>
              <w:rPr>
                <w:rFonts w:ascii="Times New Roman" w:eastAsia="仿宋"/>
                <w:szCs w:val="21"/>
              </w:rPr>
            </w:pPr>
            <w:r>
              <w:rPr>
                <w:rFonts w:hint="eastAsia" w:ascii="Times New Roman" w:eastAsia="仿宋"/>
                <w:szCs w:val="21"/>
              </w:rPr>
              <w:t>0.14</w:t>
            </w:r>
          </w:p>
        </w:tc>
        <w:tc>
          <w:tcPr>
            <w:tcW w:w="474" w:type="pct"/>
            <w:vMerge w:val="continue"/>
            <w:vAlign w:val="center"/>
          </w:tcPr>
          <w:p w14:paraId="46C0FBBB">
            <w:pPr>
              <w:jc w:val="center"/>
              <w:rPr>
                <w:rFonts w:ascii="Times New Roman" w:eastAsia="仿宋"/>
                <w:szCs w:val="21"/>
              </w:rPr>
            </w:pPr>
          </w:p>
        </w:tc>
      </w:tr>
    </w:tbl>
    <w:p w14:paraId="03F22B49">
      <w:pPr>
        <w:pStyle w:val="182"/>
        <w:spacing w:line="500" w:lineRule="exact"/>
        <w:ind w:firstLine="482"/>
        <w:jc w:val="center"/>
        <w:rPr>
          <w:rFonts w:eastAsia="仿宋"/>
          <w:b/>
        </w:rPr>
      </w:pPr>
    </w:p>
    <w:p w14:paraId="1A41C5FB">
      <w:pPr>
        <w:pStyle w:val="182"/>
        <w:spacing w:line="500" w:lineRule="exact"/>
        <w:ind w:firstLine="482"/>
        <w:jc w:val="center"/>
        <w:rPr>
          <w:rFonts w:eastAsia="仿宋"/>
          <w:b/>
        </w:rPr>
      </w:pPr>
    </w:p>
    <w:p w14:paraId="16B0D51A">
      <w:pPr>
        <w:pStyle w:val="182"/>
        <w:spacing w:line="500" w:lineRule="exact"/>
        <w:ind w:firstLine="482"/>
        <w:jc w:val="center"/>
        <w:rPr>
          <w:rFonts w:eastAsia="仿宋"/>
          <w:b/>
        </w:rPr>
      </w:pPr>
    </w:p>
    <w:p w14:paraId="1D0801D9">
      <w:pPr>
        <w:pStyle w:val="182"/>
        <w:spacing w:line="500" w:lineRule="exact"/>
        <w:ind w:firstLine="482"/>
        <w:jc w:val="center"/>
        <w:rPr>
          <w:rFonts w:eastAsia="仿宋"/>
          <w:b/>
        </w:rPr>
      </w:pPr>
    </w:p>
    <w:p w14:paraId="1742D32E">
      <w:pPr>
        <w:pStyle w:val="182"/>
        <w:spacing w:line="500" w:lineRule="exact"/>
        <w:ind w:firstLine="482"/>
        <w:jc w:val="center"/>
        <w:rPr>
          <w:rFonts w:eastAsia="仿宋"/>
          <w:b/>
        </w:rPr>
      </w:pPr>
      <w:r>
        <w:rPr>
          <w:rFonts w:eastAsia="仿宋"/>
          <w:b/>
        </w:rPr>
        <w:t>表5.2-7  主要废气污染源参数一览表(</w:t>
      </w:r>
      <w:r>
        <w:rPr>
          <w:rFonts w:hint="eastAsia" w:eastAsia="仿宋"/>
          <w:b/>
        </w:rPr>
        <w:t>面</w:t>
      </w:r>
      <w:r>
        <w:rPr>
          <w:rFonts w:eastAsia="仿宋"/>
          <w:b/>
        </w:rPr>
        <w:t>源)</w:t>
      </w:r>
    </w:p>
    <w:tbl>
      <w:tblPr>
        <w:tblStyle w:val="87"/>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9"/>
        <w:gridCol w:w="1295"/>
        <w:gridCol w:w="1169"/>
        <w:gridCol w:w="742"/>
        <w:gridCol w:w="1124"/>
        <w:gridCol w:w="814"/>
        <w:gridCol w:w="931"/>
        <w:gridCol w:w="778"/>
        <w:gridCol w:w="643"/>
      </w:tblGrid>
      <w:tr w14:paraId="7847D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Merge w:val="restart"/>
            <w:vAlign w:val="center"/>
          </w:tcPr>
          <w:p w14:paraId="099332AF">
            <w:pPr>
              <w:adjustRightInd w:val="0"/>
              <w:snapToGrid w:val="0"/>
              <w:jc w:val="center"/>
              <w:rPr>
                <w:rFonts w:ascii="Times New Roman" w:eastAsia="仿宋"/>
                <w:szCs w:val="24"/>
              </w:rPr>
            </w:pPr>
            <w:r>
              <w:rPr>
                <w:rFonts w:ascii="Times New Roman" w:eastAsia="仿宋"/>
                <w:szCs w:val="24"/>
              </w:rPr>
              <w:t>污染源名称</w:t>
            </w:r>
          </w:p>
        </w:tc>
        <w:tc>
          <w:tcPr>
            <w:tcW w:w="1446" w:type="pct"/>
            <w:gridSpan w:val="2"/>
            <w:vAlign w:val="center"/>
          </w:tcPr>
          <w:p w14:paraId="517BE56C">
            <w:pPr>
              <w:adjustRightInd w:val="0"/>
              <w:snapToGrid w:val="0"/>
              <w:jc w:val="center"/>
              <w:rPr>
                <w:rFonts w:ascii="Times New Roman" w:eastAsia="仿宋"/>
                <w:szCs w:val="24"/>
              </w:rPr>
            </w:pPr>
            <w:r>
              <w:rPr>
                <w:rFonts w:ascii="Times New Roman" w:eastAsia="仿宋"/>
                <w:szCs w:val="24"/>
              </w:rPr>
              <w:t>面源中心点坐标(o)</w:t>
            </w:r>
          </w:p>
        </w:tc>
        <w:tc>
          <w:tcPr>
            <w:tcW w:w="435" w:type="pct"/>
            <w:vMerge w:val="restart"/>
            <w:vAlign w:val="center"/>
          </w:tcPr>
          <w:p w14:paraId="21D783EB">
            <w:pPr>
              <w:adjustRightInd w:val="0"/>
              <w:snapToGrid w:val="0"/>
              <w:jc w:val="center"/>
              <w:rPr>
                <w:rFonts w:ascii="Times New Roman" w:eastAsia="仿宋"/>
                <w:szCs w:val="24"/>
              </w:rPr>
            </w:pPr>
            <w:r>
              <w:rPr>
                <w:rFonts w:ascii="Times New Roman" w:eastAsia="仿宋"/>
                <w:szCs w:val="24"/>
              </w:rPr>
              <w:t>海拔高度/m</w:t>
            </w:r>
          </w:p>
        </w:tc>
        <w:tc>
          <w:tcPr>
            <w:tcW w:w="1136" w:type="pct"/>
            <w:gridSpan w:val="2"/>
            <w:vAlign w:val="center"/>
          </w:tcPr>
          <w:p w14:paraId="7F839578">
            <w:pPr>
              <w:adjustRightInd w:val="0"/>
              <w:snapToGrid w:val="0"/>
              <w:jc w:val="center"/>
              <w:rPr>
                <w:rFonts w:ascii="Times New Roman" w:eastAsia="仿宋"/>
                <w:szCs w:val="24"/>
              </w:rPr>
            </w:pPr>
            <w:r>
              <w:rPr>
                <w:rFonts w:ascii="Times New Roman" w:eastAsia="仿宋"/>
                <w:szCs w:val="24"/>
              </w:rPr>
              <w:t>矩形面源</w:t>
            </w:r>
          </w:p>
        </w:tc>
        <w:tc>
          <w:tcPr>
            <w:tcW w:w="546" w:type="pct"/>
            <w:vMerge w:val="restart"/>
            <w:vAlign w:val="center"/>
          </w:tcPr>
          <w:p w14:paraId="15325916">
            <w:pPr>
              <w:adjustRightInd w:val="0"/>
              <w:snapToGrid w:val="0"/>
              <w:jc w:val="center"/>
              <w:rPr>
                <w:rFonts w:ascii="Times New Roman" w:eastAsia="仿宋"/>
                <w:szCs w:val="24"/>
              </w:rPr>
            </w:pPr>
            <w:r>
              <w:rPr>
                <w:rFonts w:ascii="Times New Roman" w:eastAsia="仿宋"/>
                <w:szCs w:val="24"/>
              </w:rPr>
              <w:t>污染物</w:t>
            </w:r>
          </w:p>
        </w:tc>
        <w:tc>
          <w:tcPr>
            <w:tcW w:w="456" w:type="pct"/>
            <w:vMerge w:val="restart"/>
            <w:vAlign w:val="center"/>
          </w:tcPr>
          <w:p w14:paraId="0D51DC96">
            <w:pPr>
              <w:adjustRightInd w:val="0"/>
              <w:snapToGrid w:val="0"/>
              <w:jc w:val="center"/>
              <w:rPr>
                <w:rFonts w:ascii="Times New Roman" w:eastAsia="仿宋"/>
                <w:szCs w:val="24"/>
              </w:rPr>
            </w:pPr>
            <w:r>
              <w:rPr>
                <w:rFonts w:ascii="Times New Roman" w:eastAsia="仿宋"/>
                <w:szCs w:val="24"/>
              </w:rPr>
              <w:t>排放速率</w:t>
            </w:r>
          </w:p>
        </w:tc>
        <w:tc>
          <w:tcPr>
            <w:tcW w:w="377" w:type="pct"/>
            <w:vMerge w:val="restart"/>
            <w:vAlign w:val="center"/>
          </w:tcPr>
          <w:p w14:paraId="6D390C34">
            <w:pPr>
              <w:adjustRightInd w:val="0"/>
              <w:snapToGrid w:val="0"/>
              <w:jc w:val="center"/>
              <w:rPr>
                <w:rFonts w:ascii="Times New Roman" w:eastAsia="仿宋"/>
                <w:szCs w:val="24"/>
              </w:rPr>
            </w:pPr>
            <w:r>
              <w:rPr>
                <w:rFonts w:ascii="Times New Roman" w:eastAsia="仿宋"/>
                <w:szCs w:val="24"/>
              </w:rPr>
              <w:t>单位</w:t>
            </w:r>
          </w:p>
        </w:tc>
      </w:tr>
      <w:tr w14:paraId="6511D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Merge w:val="continue"/>
            <w:vAlign w:val="center"/>
          </w:tcPr>
          <w:p w14:paraId="0491944E">
            <w:pPr>
              <w:adjustRightInd w:val="0"/>
              <w:snapToGrid w:val="0"/>
              <w:jc w:val="center"/>
              <w:rPr>
                <w:rFonts w:ascii="Times New Roman" w:eastAsia="仿宋"/>
                <w:szCs w:val="24"/>
              </w:rPr>
            </w:pPr>
          </w:p>
        </w:tc>
        <w:tc>
          <w:tcPr>
            <w:tcW w:w="760" w:type="pct"/>
            <w:vAlign w:val="center"/>
          </w:tcPr>
          <w:p w14:paraId="1FDF785E">
            <w:pPr>
              <w:adjustRightInd w:val="0"/>
              <w:snapToGrid w:val="0"/>
              <w:jc w:val="center"/>
              <w:rPr>
                <w:rFonts w:ascii="Times New Roman" w:eastAsia="仿宋"/>
                <w:szCs w:val="24"/>
              </w:rPr>
            </w:pPr>
            <w:r>
              <w:rPr>
                <w:rFonts w:ascii="Times New Roman" w:eastAsia="仿宋"/>
                <w:szCs w:val="24"/>
              </w:rPr>
              <w:t>X</w:t>
            </w:r>
          </w:p>
        </w:tc>
        <w:tc>
          <w:tcPr>
            <w:tcW w:w="686" w:type="pct"/>
            <w:vAlign w:val="center"/>
          </w:tcPr>
          <w:p w14:paraId="1AF0646B">
            <w:pPr>
              <w:adjustRightInd w:val="0"/>
              <w:snapToGrid w:val="0"/>
              <w:jc w:val="center"/>
              <w:rPr>
                <w:rFonts w:ascii="Times New Roman" w:eastAsia="仿宋"/>
                <w:szCs w:val="24"/>
              </w:rPr>
            </w:pPr>
            <w:r>
              <w:rPr>
                <w:rFonts w:ascii="Times New Roman" w:eastAsia="仿宋"/>
                <w:szCs w:val="24"/>
              </w:rPr>
              <w:t>Y</w:t>
            </w:r>
          </w:p>
        </w:tc>
        <w:tc>
          <w:tcPr>
            <w:tcW w:w="435" w:type="pct"/>
            <w:vMerge w:val="continue"/>
            <w:vAlign w:val="center"/>
          </w:tcPr>
          <w:p w14:paraId="587A9EC1">
            <w:pPr>
              <w:adjustRightInd w:val="0"/>
              <w:snapToGrid w:val="0"/>
              <w:jc w:val="center"/>
              <w:rPr>
                <w:rFonts w:ascii="Times New Roman" w:eastAsia="仿宋"/>
                <w:szCs w:val="24"/>
              </w:rPr>
            </w:pPr>
          </w:p>
        </w:tc>
        <w:tc>
          <w:tcPr>
            <w:tcW w:w="659" w:type="pct"/>
            <w:vAlign w:val="center"/>
          </w:tcPr>
          <w:p w14:paraId="6EAB4249">
            <w:pPr>
              <w:adjustRightInd w:val="0"/>
              <w:snapToGrid w:val="0"/>
              <w:jc w:val="center"/>
              <w:rPr>
                <w:rFonts w:ascii="Times New Roman" w:eastAsia="仿宋"/>
                <w:szCs w:val="24"/>
              </w:rPr>
            </w:pPr>
            <w:r>
              <w:rPr>
                <w:rFonts w:hint="eastAsia" w:ascii="Times New Roman" w:eastAsia="仿宋"/>
                <w:szCs w:val="24"/>
              </w:rPr>
              <w:t>面积</w:t>
            </w:r>
          </w:p>
        </w:tc>
        <w:tc>
          <w:tcPr>
            <w:tcW w:w="477" w:type="pct"/>
            <w:vAlign w:val="center"/>
          </w:tcPr>
          <w:p w14:paraId="4F79BEE7">
            <w:pPr>
              <w:adjustRightInd w:val="0"/>
              <w:snapToGrid w:val="0"/>
              <w:jc w:val="center"/>
              <w:rPr>
                <w:rFonts w:ascii="Times New Roman" w:eastAsia="仿宋"/>
                <w:szCs w:val="24"/>
              </w:rPr>
            </w:pPr>
            <w:r>
              <w:rPr>
                <w:rFonts w:ascii="Times New Roman" w:eastAsia="仿宋"/>
                <w:szCs w:val="24"/>
              </w:rPr>
              <w:t>有效高度</w:t>
            </w:r>
          </w:p>
        </w:tc>
        <w:tc>
          <w:tcPr>
            <w:tcW w:w="546" w:type="pct"/>
            <w:vMerge w:val="continue"/>
            <w:vAlign w:val="center"/>
          </w:tcPr>
          <w:p w14:paraId="51F26A72">
            <w:pPr>
              <w:adjustRightInd w:val="0"/>
              <w:snapToGrid w:val="0"/>
              <w:jc w:val="center"/>
              <w:rPr>
                <w:rFonts w:ascii="Times New Roman" w:eastAsia="仿宋"/>
                <w:szCs w:val="24"/>
              </w:rPr>
            </w:pPr>
          </w:p>
        </w:tc>
        <w:tc>
          <w:tcPr>
            <w:tcW w:w="456" w:type="pct"/>
            <w:vMerge w:val="continue"/>
            <w:vAlign w:val="center"/>
          </w:tcPr>
          <w:p w14:paraId="24A8996D">
            <w:pPr>
              <w:adjustRightInd w:val="0"/>
              <w:snapToGrid w:val="0"/>
              <w:jc w:val="center"/>
              <w:rPr>
                <w:rFonts w:ascii="Times New Roman" w:eastAsia="仿宋"/>
                <w:szCs w:val="24"/>
              </w:rPr>
            </w:pPr>
          </w:p>
        </w:tc>
        <w:tc>
          <w:tcPr>
            <w:tcW w:w="377" w:type="pct"/>
            <w:vMerge w:val="continue"/>
            <w:vAlign w:val="center"/>
          </w:tcPr>
          <w:p w14:paraId="565494FB">
            <w:pPr>
              <w:adjustRightInd w:val="0"/>
              <w:snapToGrid w:val="0"/>
              <w:jc w:val="center"/>
              <w:rPr>
                <w:rFonts w:ascii="Times New Roman" w:eastAsia="仿宋"/>
                <w:szCs w:val="24"/>
              </w:rPr>
            </w:pPr>
          </w:p>
        </w:tc>
      </w:tr>
      <w:tr w14:paraId="2CEE3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Merge w:val="restart"/>
            <w:vAlign w:val="center"/>
          </w:tcPr>
          <w:p w14:paraId="14062DCD">
            <w:pPr>
              <w:adjustRightInd w:val="0"/>
              <w:snapToGrid w:val="0"/>
              <w:jc w:val="center"/>
              <w:rPr>
                <w:rFonts w:ascii="Times New Roman" w:eastAsia="仿宋"/>
                <w:szCs w:val="24"/>
              </w:rPr>
            </w:pPr>
            <w:r>
              <w:rPr>
                <w:rFonts w:ascii="Times New Roman" w:eastAsia="仿宋"/>
                <w:szCs w:val="24"/>
              </w:rPr>
              <w:t>3</w:t>
            </w:r>
            <w:r>
              <w:rPr>
                <w:rFonts w:hint="eastAsia" w:ascii="Times New Roman" w:eastAsia="仿宋"/>
                <w:szCs w:val="24"/>
              </w:rPr>
              <w:t>号喷涂生产车间</w:t>
            </w:r>
          </w:p>
        </w:tc>
        <w:tc>
          <w:tcPr>
            <w:tcW w:w="760" w:type="pct"/>
            <w:vMerge w:val="restart"/>
            <w:vAlign w:val="center"/>
          </w:tcPr>
          <w:p w14:paraId="05E7F5BA">
            <w:pPr>
              <w:adjustRightInd w:val="0"/>
              <w:snapToGrid w:val="0"/>
              <w:jc w:val="center"/>
              <w:rPr>
                <w:rFonts w:ascii="Times New Roman" w:eastAsia="仿宋"/>
                <w:szCs w:val="24"/>
              </w:rPr>
            </w:pPr>
            <w:r>
              <w:rPr>
                <w:rFonts w:hint="eastAsia" w:ascii="Times New Roman" w:eastAsia="仿宋"/>
                <w:szCs w:val="24"/>
              </w:rPr>
              <w:t>11</w:t>
            </w:r>
            <w:r>
              <w:rPr>
                <w:rFonts w:ascii="Times New Roman" w:eastAsia="仿宋"/>
                <w:szCs w:val="24"/>
              </w:rPr>
              <w:t>9</w:t>
            </w:r>
            <w:r>
              <w:rPr>
                <w:rFonts w:hint="eastAsia" w:ascii="Times New Roman" w:eastAsia="仿宋"/>
                <w:szCs w:val="24"/>
              </w:rPr>
              <w:t>.</w:t>
            </w:r>
            <w:r>
              <w:rPr>
                <w:rFonts w:ascii="Times New Roman" w:eastAsia="仿宋"/>
                <w:szCs w:val="24"/>
              </w:rPr>
              <w:t>43493</w:t>
            </w:r>
          </w:p>
        </w:tc>
        <w:tc>
          <w:tcPr>
            <w:tcW w:w="686" w:type="pct"/>
            <w:vMerge w:val="restart"/>
            <w:vAlign w:val="center"/>
          </w:tcPr>
          <w:p w14:paraId="6E76937B">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1.72715</w:t>
            </w:r>
          </w:p>
        </w:tc>
        <w:tc>
          <w:tcPr>
            <w:tcW w:w="435" w:type="pct"/>
            <w:vMerge w:val="restart"/>
            <w:vAlign w:val="center"/>
          </w:tcPr>
          <w:p w14:paraId="7A1CB8E5">
            <w:pPr>
              <w:adjustRightInd w:val="0"/>
              <w:snapToGrid w:val="0"/>
              <w:jc w:val="center"/>
              <w:rPr>
                <w:rFonts w:ascii="Times New Roman" w:eastAsia="仿宋"/>
                <w:szCs w:val="24"/>
              </w:rPr>
            </w:pPr>
            <w:r>
              <w:rPr>
                <w:rFonts w:hint="eastAsia" w:ascii="Times New Roman" w:eastAsia="仿宋"/>
                <w:szCs w:val="24"/>
              </w:rPr>
              <w:t>7</w:t>
            </w:r>
          </w:p>
        </w:tc>
        <w:tc>
          <w:tcPr>
            <w:tcW w:w="659" w:type="pct"/>
            <w:vMerge w:val="restart"/>
            <w:vAlign w:val="center"/>
          </w:tcPr>
          <w:p w14:paraId="42090709">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257</w:t>
            </w:r>
            <w:r>
              <w:rPr>
                <w:rFonts w:hint="eastAsia" w:ascii="Times New Roman" w:eastAsia="仿宋"/>
                <w:szCs w:val="24"/>
              </w:rPr>
              <w:t>.83</w:t>
            </w:r>
          </w:p>
        </w:tc>
        <w:tc>
          <w:tcPr>
            <w:tcW w:w="477" w:type="pct"/>
            <w:vMerge w:val="restart"/>
            <w:vAlign w:val="center"/>
          </w:tcPr>
          <w:p w14:paraId="5FAE5362">
            <w:pPr>
              <w:adjustRightInd w:val="0"/>
              <w:snapToGrid w:val="0"/>
              <w:jc w:val="center"/>
              <w:rPr>
                <w:rFonts w:ascii="Times New Roman" w:eastAsia="仿宋"/>
                <w:szCs w:val="24"/>
              </w:rPr>
            </w:pPr>
            <w:r>
              <w:rPr>
                <w:rFonts w:ascii="Times New Roman" w:eastAsia="仿宋"/>
                <w:szCs w:val="24"/>
              </w:rPr>
              <w:t>10</w:t>
            </w:r>
          </w:p>
        </w:tc>
        <w:tc>
          <w:tcPr>
            <w:tcW w:w="546" w:type="pct"/>
            <w:vAlign w:val="center"/>
          </w:tcPr>
          <w:p w14:paraId="57E2BA88">
            <w:pPr>
              <w:adjustRightInd w:val="0"/>
              <w:snapToGrid w:val="0"/>
              <w:jc w:val="center"/>
              <w:rPr>
                <w:rFonts w:ascii="Times New Roman" w:eastAsia="仿宋"/>
                <w:szCs w:val="24"/>
              </w:rPr>
            </w:pPr>
            <w:r>
              <w:rPr>
                <w:rFonts w:hint="eastAsia" w:ascii="Times New Roman" w:eastAsia="仿宋"/>
                <w:szCs w:val="24"/>
              </w:rPr>
              <w:t>颗粒物</w:t>
            </w:r>
          </w:p>
        </w:tc>
        <w:tc>
          <w:tcPr>
            <w:tcW w:w="456" w:type="pct"/>
            <w:vAlign w:val="center"/>
          </w:tcPr>
          <w:p w14:paraId="6D36EF28">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.0</w:t>
            </w:r>
            <w:r>
              <w:rPr>
                <w:rFonts w:hint="eastAsia" w:ascii="Times New Roman" w:eastAsia="仿宋"/>
                <w:szCs w:val="24"/>
              </w:rPr>
              <w:t>37</w:t>
            </w:r>
          </w:p>
        </w:tc>
        <w:tc>
          <w:tcPr>
            <w:tcW w:w="377" w:type="pct"/>
            <w:vMerge w:val="restart"/>
            <w:vAlign w:val="center"/>
          </w:tcPr>
          <w:p w14:paraId="757B8002">
            <w:pPr>
              <w:adjustRightInd w:val="0"/>
              <w:snapToGrid w:val="0"/>
              <w:jc w:val="center"/>
              <w:rPr>
                <w:rFonts w:ascii="Times New Roman" w:eastAsia="仿宋"/>
                <w:szCs w:val="24"/>
              </w:rPr>
            </w:pPr>
            <w:r>
              <w:rPr>
                <w:rFonts w:ascii="Times New Roman" w:eastAsia="仿宋"/>
                <w:szCs w:val="24"/>
              </w:rPr>
              <w:t>kg/h</w:t>
            </w:r>
          </w:p>
        </w:tc>
      </w:tr>
      <w:tr w14:paraId="226FE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Merge w:val="continue"/>
            <w:vAlign w:val="center"/>
          </w:tcPr>
          <w:p w14:paraId="3233B77C">
            <w:pPr>
              <w:adjustRightInd w:val="0"/>
              <w:snapToGrid w:val="0"/>
              <w:jc w:val="center"/>
              <w:rPr>
                <w:rFonts w:ascii="Times New Roman" w:eastAsia="仿宋"/>
                <w:szCs w:val="24"/>
              </w:rPr>
            </w:pPr>
          </w:p>
        </w:tc>
        <w:tc>
          <w:tcPr>
            <w:tcW w:w="760" w:type="pct"/>
            <w:vMerge w:val="continue"/>
            <w:vAlign w:val="center"/>
          </w:tcPr>
          <w:p w14:paraId="5F47EF1E">
            <w:pPr>
              <w:adjustRightInd w:val="0"/>
              <w:snapToGrid w:val="0"/>
              <w:jc w:val="center"/>
              <w:rPr>
                <w:rFonts w:ascii="Times New Roman" w:eastAsia="仿宋"/>
                <w:szCs w:val="24"/>
              </w:rPr>
            </w:pPr>
          </w:p>
        </w:tc>
        <w:tc>
          <w:tcPr>
            <w:tcW w:w="686" w:type="pct"/>
            <w:vMerge w:val="continue"/>
            <w:vAlign w:val="center"/>
          </w:tcPr>
          <w:p w14:paraId="3912E8CD">
            <w:pPr>
              <w:adjustRightInd w:val="0"/>
              <w:snapToGrid w:val="0"/>
              <w:jc w:val="center"/>
              <w:rPr>
                <w:rFonts w:ascii="Times New Roman" w:eastAsia="仿宋"/>
                <w:szCs w:val="24"/>
              </w:rPr>
            </w:pPr>
          </w:p>
        </w:tc>
        <w:tc>
          <w:tcPr>
            <w:tcW w:w="435" w:type="pct"/>
            <w:vMerge w:val="continue"/>
            <w:vAlign w:val="center"/>
          </w:tcPr>
          <w:p w14:paraId="1D7959D2">
            <w:pPr>
              <w:adjustRightInd w:val="0"/>
              <w:snapToGrid w:val="0"/>
              <w:jc w:val="center"/>
              <w:rPr>
                <w:rFonts w:ascii="Times New Roman" w:eastAsia="仿宋"/>
                <w:szCs w:val="24"/>
              </w:rPr>
            </w:pPr>
          </w:p>
        </w:tc>
        <w:tc>
          <w:tcPr>
            <w:tcW w:w="659" w:type="pct"/>
            <w:vMerge w:val="continue"/>
            <w:vAlign w:val="center"/>
          </w:tcPr>
          <w:p w14:paraId="29A28F70">
            <w:pPr>
              <w:adjustRightInd w:val="0"/>
              <w:snapToGrid w:val="0"/>
              <w:jc w:val="center"/>
              <w:rPr>
                <w:rFonts w:ascii="Times New Roman" w:eastAsia="仿宋"/>
                <w:szCs w:val="24"/>
              </w:rPr>
            </w:pPr>
          </w:p>
        </w:tc>
        <w:tc>
          <w:tcPr>
            <w:tcW w:w="477" w:type="pct"/>
            <w:vMerge w:val="continue"/>
            <w:vAlign w:val="center"/>
          </w:tcPr>
          <w:p w14:paraId="660D1FDE">
            <w:pPr>
              <w:adjustRightInd w:val="0"/>
              <w:snapToGrid w:val="0"/>
              <w:jc w:val="center"/>
              <w:rPr>
                <w:rFonts w:ascii="Times New Roman" w:eastAsia="仿宋"/>
                <w:szCs w:val="24"/>
              </w:rPr>
            </w:pPr>
          </w:p>
        </w:tc>
        <w:tc>
          <w:tcPr>
            <w:tcW w:w="546" w:type="pct"/>
            <w:vAlign w:val="center"/>
          </w:tcPr>
          <w:p w14:paraId="684960DB">
            <w:pPr>
              <w:adjustRightInd w:val="0"/>
              <w:snapToGrid w:val="0"/>
              <w:jc w:val="center"/>
              <w:rPr>
                <w:rFonts w:ascii="Times New Roman" w:eastAsia="仿宋"/>
                <w:szCs w:val="24"/>
              </w:rPr>
            </w:pPr>
            <w:r>
              <w:rPr>
                <w:rFonts w:hint="eastAsia" w:ascii="Times New Roman" w:eastAsia="仿宋"/>
                <w:szCs w:val="24"/>
              </w:rPr>
              <w:t>非甲烷总烃</w:t>
            </w:r>
          </w:p>
        </w:tc>
        <w:tc>
          <w:tcPr>
            <w:tcW w:w="456" w:type="pct"/>
            <w:vAlign w:val="center"/>
          </w:tcPr>
          <w:p w14:paraId="2826EF74">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25</w:t>
            </w:r>
          </w:p>
        </w:tc>
        <w:tc>
          <w:tcPr>
            <w:tcW w:w="377" w:type="pct"/>
            <w:vMerge w:val="continue"/>
            <w:vAlign w:val="center"/>
          </w:tcPr>
          <w:p w14:paraId="67137033">
            <w:pPr>
              <w:ind w:firstLine="560"/>
              <w:jc w:val="center"/>
              <w:rPr>
                <w:rFonts w:ascii="Times New Roman" w:eastAsia="仿宋"/>
                <w:szCs w:val="21"/>
              </w:rPr>
            </w:pPr>
          </w:p>
        </w:tc>
      </w:tr>
      <w:tr w14:paraId="327D4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Merge w:val="continue"/>
            <w:vAlign w:val="center"/>
          </w:tcPr>
          <w:p w14:paraId="2AC5058D">
            <w:pPr>
              <w:adjustRightInd w:val="0"/>
              <w:snapToGrid w:val="0"/>
              <w:jc w:val="center"/>
              <w:rPr>
                <w:rFonts w:ascii="Times New Roman" w:eastAsia="仿宋"/>
                <w:szCs w:val="24"/>
              </w:rPr>
            </w:pPr>
          </w:p>
        </w:tc>
        <w:tc>
          <w:tcPr>
            <w:tcW w:w="760" w:type="pct"/>
            <w:vMerge w:val="continue"/>
            <w:vAlign w:val="center"/>
          </w:tcPr>
          <w:p w14:paraId="2C56FA23">
            <w:pPr>
              <w:adjustRightInd w:val="0"/>
              <w:snapToGrid w:val="0"/>
              <w:jc w:val="center"/>
              <w:rPr>
                <w:rFonts w:ascii="Times New Roman" w:eastAsia="仿宋"/>
                <w:szCs w:val="24"/>
              </w:rPr>
            </w:pPr>
          </w:p>
        </w:tc>
        <w:tc>
          <w:tcPr>
            <w:tcW w:w="686" w:type="pct"/>
            <w:vMerge w:val="continue"/>
            <w:vAlign w:val="center"/>
          </w:tcPr>
          <w:p w14:paraId="64912D20">
            <w:pPr>
              <w:adjustRightInd w:val="0"/>
              <w:snapToGrid w:val="0"/>
              <w:jc w:val="center"/>
              <w:rPr>
                <w:rFonts w:ascii="Times New Roman" w:eastAsia="仿宋"/>
                <w:szCs w:val="24"/>
              </w:rPr>
            </w:pPr>
          </w:p>
        </w:tc>
        <w:tc>
          <w:tcPr>
            <w:tcW w:w="435" w:type="pct"/>
            <w:vMerge w:val="continue"/>
            <w:vAlign w:val="center"/>
          </w:tcPr>
          <w:p w14:paraId="36309304">
            <w:pPr>
              <w:adjustRightInd w:val="0"/>
              <w:snapToGrid w:val="0"/>
              <w:jc w:val="center"/>
              <w:rPr>
                <w:rFonts w:ascii="Times New Roman" w:eastAsia="仿宋"/>
                <w:szCs w:val="24"/>
              </w:rPr>
            </w:pPr>
          </w:p>
        </w:tc>
        <w:tc>
          <w:tcPr>
            <w:tcW w:w="659" w:type="pct"/>
            <w:vMerge w:val="continue"/>
            <w:vAlign w:val="center"/>
          </w:tcPr>
          <w:p w14:paraId="37DD99D2">
            <w:pPr>
              <w:adjustRightInd w:val="0"/>
              <w:snapToGrid w:val="0"/>
              <w:jc w:val="center"/>
              <w:rPr>
                <w:rFonts w:ascii="Times New Roman" w:eastAsia="仿宋"/>
                <w:szCs w:val="24"/>
              </w:rPr>
            </w:pPr>
          </w:p>
        </w:tc>
        <w:tc>
          <w:tcPr>
            <w:tcW w:w="477" w:type="pct"/>
            <w:vMerge w:val="continue"/>
            <w:vAlign w:val="center"/>
          </w:tcPr>
          <w:p w14:paraId="779939FE">
            <w:pPr>
              <w:adjustRightInd w:val="0"/>
              <w:snapToGrid w:val="0"/>
              <w:jc w:val="center"/>
              <w:rPr>
                <w:rFonts w:ascii="Times New Roman" w:eastAsia="仿宋"/>
                <w:szCs w:val="24"/>
              </w:rPr>
            </w:pPr>
          </w:p>
        </w:tc>
        <w:tc>
          <w:tcPr>
            <w:tcW w:w="546" w:type="pct"/>
            <w:vAlign w:val="center"/>
          </w:tcPr>
          <w:p w14:paraId="1C05BBD6">
            <w:pPr>
              <w:adjustRightInd w:val="0"/>
              <w:snapToGrid w:val="0"/>
              <w:jc w:val="center"/>
              <w:rPr>
                <w:rFonts w:ascii="Times New Roman" w:eastAsia="仿宋"/>
                <w:szCs w:val="24"/>
              </w:rPr>
            </w:pPr>
            <w:r>
              <w:rPr>
                <w:rFonts w:hint="eastAsia" w:ascii="Times New Roman" w:eastAsia="仿宋"/>
                <w:szCs w:val="24"/>
              </w:rPr>
              <w:t>二甲苯</w:t>
            </w:r>
          </w:p>
        </w:tc>
        <w:tc>
          <w:tcPr>
            <w:tcW w:w="456" w:type="pct"/>
            <w:vAlign w:val="center"/>
          </w:tcPr>
          <w:p w14:paraId="700B2E40">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.0</w:t>
            </w:r>
            <w:r>
              <w:rPr>
                <w:rFonts w:hint="eastAsia" w:ascii="Times New Roman" w:eastAsia="仿宋"/>
                <w:szCs w:val="24"/>
              </w:rPr>
              <w:t>18</w:t>
            </w:r>
          </w:p>
        </w:tc>
        <w:tc>
          <w:tcPr>
            <w:tcW w:w="377" w:type="pct"/>
            <w:vMerge w:val="continue"/>
            <w:vAlign w:val="center"/>
          </w:tcPr>
          <w:p w14:paraId="048FC28B">
            <w:pPr>
              <w:ind w:firstLine="560"/>
              <w:jc w:val="center"/>
              <w:rPr>
                <w:rFonts w:ascii="Times New Roman" w:eastAsia="仿宋"/>
                <w:szCs w:val="21"/>
              </w:rPr>
            </w:pPr>
          </w:p>
        </w:tc>
      </w:tr>
      <w:tr w14:paraId="27C0E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Align w:val="center"/>
          </w:tcPr>
          <w:p w14:paraId="16A02EA9">
            <w:pPr>
              <w:adjustRightInd w:val="0"/>
              <w:snapToGrid w:val="0"/>
              <w:jc w:val="center"/>
              <w:rPr>
                <w:rFonts w:ascii="Times New Roman" w:eastAsia="仿宋"/>
                <w:szCs w:val="24"/>
              </w:rPr>
            </w:pPr>
            <w:r>
              <w:rPr>
                <w:rFonts w:hint="eastAsia" w:ascii="Times New Roman" w:eastAsia="仿宋"/>
                <w:szCs w:val="24"/>
              </w:rPr>
              <w:t>1号钣金车间</w:t>
            </w:r>
          </w:p>
        </w:tc>
        <w:tc>
          <w:tcPr>
            <w:tcW w:w="760" w:type="pct"/>
            <w:vAlign w:val="center"/>
          </w:tcPr>
          <w:p w14:paraId="01659648">
            <w:pPr>
              <w:adjustRightInd w:val="0"/>
              <w:snapToGrid w:val="0"/>
              <w:jc w:val="center"/>
              <w:rPr>
                <w:rFonts w:ascii="Times New Roman" w:eastAsia="仿宋"/>
                <w:szCs w:val="24"/>
              </w:rPr>
            </w:pPr>
            <w:r>
              <w:rPr>
                <w:rFonts w:hint="eastAsia" w:ascii="Times New Roman" w:eastAsia="仿宋"/>
                <w:szCs w:val="24"/>
              </w:rPr>
              <w:t>119</w:t>
            </w:r>
            <w:r>
              <w:rPr>
                <w:rFonts w:ascii="Times New Roman" w:eastAsia="仿宋"/>
                <w:szCs w:val="24"/>
              </w:rPr>
              <w:t>.43604</w:t>
            </w:r>
          </w:p>
        </w:tc>
        <w:tc>
          <w:tcPr>
            <w:tcW w:w="686" w:type="pct"/>
            <w:vAlign w:val="center"/>
          </w:tcPr>
          <w:p w14:paraId="356BA87A">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1.72722</w:t>
            </w:r>
          </w:p>
        </w:tc>
        <w:tc>
          <w:tcPr>
            <w:tcW w:w="435" w:type="pct"/>
            <w:vAlign w:val="center"/>
          </w:tcPr>
          <w:p w14:paraId="347F94BB">
            <w:pPr>
              <w:adjustRightInd w:val="0"/>
              <w:snapToGrid w:val="0"/>
              <w:jc w:val="center"/>
              <w:rPr>
                <w:rFonts w:ascii="Times New Roman" w:eastAsia="仿宋"/>
                <w:szCs w:val="24"/>
              </w:rPr>
            </w:pPr>
            <w:r>
              <w:rPr>
                <w:rFonts w:hint="eastAsia" w:ascii="Times New Roman" w:eastAsia="仿宋"/>
                <w:szCs w:val="24"/>
              </w:rPr>
              <w:t>7</w:t>
            </w:r>
          </w:p>
        </w:tc>
        <w:tc>
          <w:tcPr>
            <w:tcW w:w="659" w:type="pct"/>
            <w:vAlign w:val="center"/>
          </w:tcPr>
          <w:p w14:paraId="161CE94D">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257</w:t>
            </w:r>
            <w:r>
              <w:rPr>
                <w:rFonts w:hint="eastAsia" w:ascii="Times New Roman" w:eastAsia="仿宋"/>
                <w:szCs w:val="24"/>
              </w:rPr>
              <w:t>.83</w:t>
            </w:r>
          </w:p>
        </w:tc>
        <w:tc>
          <w:tcPr>
            <w:tcW w:w="477" w:type="pct"/>
            <w:vAlign w:val="center"/>
          </w:tcPr>
          <w:p w14:paraId="5D9CC376">
            <w:pPr>
              <w:adjustRightInd w:val="0"/>
              <w:snapToGrid w:val="0"/>
              <w:jc w:val="center"/>
              <w:rPr>
                <w:rFonts w:ascii="Times New Roman" w:eastAsia="仿宋"/>
                <w:szCs w:val="24"/>
              </w:rPr>
            </w:pPr>
            <w:r>
              <w:rPr>
                <w:rFonts w:hint="eastAsia" w:ascii="Times New Roman" w:eastAsia="仿宋"/>
                <w:szCs w:val="24"/>
              </w:rPr>
              <w:t>1</w:t>
            </w:r>
            <w:r>
              <w:rPr>
                <w:rFonts w:ascii="Times New Roman" w:eastAsia="仿宋"/>
                <w:szCs w:val="24"/>
              </w:rPr>
              <w:t>0</w:t>
            </w:r>
          </w:p>
        </w:tc>
        <w:tc>
          <w:tcPr>
            <w:tcW w:w="546" w:type="pct"/>
            <w:vAlign w:val="center"/>
          </w:tcPr>
          <w:p w14:paraId="4722AD6B">
            <w:pPr>
              <w:adjustRightInd w:val="0"/>
              <w:snapToGrid w:val="0"/>
              <w:jc w:val="center"/>
              <w:rPr>
                <w:rFonts w:ascii="Times New Roman" w:eastAsia="仿宋"/>
                <w:szCs w:val="24"/>
              </w:rPr>
            </w:pPr>
            <w:r>
              <w:rPr>
                <w:rFonts w:hint="eastAsia" w:ascii="Times New Roman" w:eastAsia="仿宋"/>
                <w:szCs w:val="24"/>
              </w:rPr>
              <w:t>颗粒物</w:t>
            </w:r>
          </w:p>
        </w:tc>
        <w:tc>
          <w:tcPr>
            <w:tcW w:w="456" w:type="pct"/>
            <w:vAlign w:val="center"/>
          </w:tcPr>
          <w:p w14:paraId="1CD54F29">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002</w:t>
            </w:r>
          </w:p>
        </w:tc>
        <w:tc>
          <w:tcPr>
            <w:tcW w:w="377" w:type="pct"/>
            <w:vMerge w:val="continue"/>
            <w:vAlign w:val="center"/>
          </w:tcPr>
          <w:p w14:paraId="0DA812C7">
            <w:pPr>
              <w:ind w:firstLine="560"/>
              <w:jc w:val="center"/>
              <w:rPr>
                <w:rFonts w:ascii="Times New Roman" w:eastAsia="仿宋"/>
                <w:szCs w:val="21"/>
              </w:rPr>
            </w:pPr>
          </w:p>
        </w:tc>
      </w:tr>
      <w:tr w14:paraId="62746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Align w:val="center"/>
          </w:tcPr>
          <w:p w14:paraId="4AC58F77">
            <w:pPr>
              <w:adjustRightInd w:val="0"/>
              <w:snapToGrid w:val="0"/>
              <w:jc w:val="center"/>
              <w:rPr>
                <w:rFonts w:ascii="Times New Roman" w:eastAsia="仿宋"/>
                <w:szCs w:val="24"/>
              </w:rPr>
            </w:pPr>
            <w:r>
              <w:rPr>
                <w:rFonts w:hint="eastAsia" w:ascii="Times New Roman" w:eastAsia="仿宋"/>
                <w:szCs w:val="24"/>
              </w:rPr>
              <w:t>2号钣金车间</w:t>
            </w:r>
          </w:p>
        </w:tc>
        <w:tc>
          <w:tcPr>
            <w:tcW w:w="760" w:type="pct"/>
            <w:vAlign w:val="center"/>
          </w:tcPr>
          <w:p w14:paraId="538D0843">
            <w:pPr>
              <w:adjustRightInd w:val="0"/>
              <w:snapToGrid w:val="0"/>
              <w:jc w:val="center"/>
              <w:rPr>
                <w:rFonts w:ascii="Times New Roman" w:eastAsia="仿宋"/>
                <w:szCs w:val="24"/>
              </w:rPr>
            </w:pPr>
            <w:r>
              <w:rPr>
                <w:rFonts w:hint="eastAsia" w:ascii="Times New Roman" w:eastAsia="仿宋"/>
                <w:szCs w:val="24"/>
              </w:rPr>
              <w:t>11</w:t>
            </w:r>
            <w:r>
              <w:rPr>
                <w:rFonts w:ascii="Times New Roman" w:eastAsia="仿宋"/>
                <w:szCs w:val="24"/>
              </w:rPr>
              <w:t>9.43548</w:t>
            </w:r>
          </w:p>
        </w:tc>
        <w:tc>
          <w:tcPr>
            <w:tcW w:w="686" w:type="pct"/>
            <w:vAlign w:val="center"/>
          </w:tcPr>
          <w:p w14:paraId="33BB5C68">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1.72713</w:t>
            </w:r>
          </w:p>
        </w:tc>
        <w:tc>
          <w:tcPr>
            <w:tcW w:w="435" w:type="pct"/>
            <w:vAlign w:val="center"/>
          </w:tcPr>
          <w:p w14:paraId="0801BA85">
            <w:pPr>
              <w:adjustRightInd w:val="0"/>
              <w:snapToGrid w:val="0"/>
              <w:jc w:val="center"/>
              <w:rPr>
                <w:rFonts w:ascii="Times New Roman" w:eastAsia="仿宋"/>
                <w:szCs w:val="24"/>
              </w:rPr>
            </w:pPr>
            <w:r>
              <w:rPr>
                <w:rFonts w:hint="eastAsia" w:ascii="Times New Roman" w:eastAsia="仿宋"/>
                <w:szCs w:val="24"/>
              </w:rPr>
              <w:t>7</w:t>
            </w:r>
          </w:p>
        </w:tc>
        <w:tc>
          <w:tcPr>
            <w:tcW w:w="659" w:type="pct"/>
            <w:vAlign w:val="center"/>
          </w:tcPr>
          <w:p w14:paraId="02248229">
            <w:pPr>
              <w:adjustRightInd w:val="0"/>
              <w:snapToGrid w:val="0"/>
              <w:jc w:val="center"/>
              <w:rPr>
                <w:rFonts w:ascii="Times New Roman" w:eastAsia="仿宋"/>
                <w:szCs w:val="24"/>
              </w:rPr>
            </w:pPr>
            <w:r>
              <w:rPr>
                <w:rFonts w:hint="eastAsia" w:ascii="Times New Roman" w:eastAsia="仿宋"/>
                <w:szCs w:val="24"/>
              </w:rPr>
              <w:t>3257.83</w:t>
            </w:r>
          </w:p>
        </w:tc>
        <w:tc>
          <w:tcPr>
            <w:tcW w:w="477" w:type="pct"/>
            <w:vAlign w:val="center"/>
          </w:tcPr>
          <w:p w14:paraId="57B370EF">
            <w:pPr>
              <w:adjustRightInd w:val="0"/>
              <w:snapToGrid w:val="0"/>
              <w:jc w:val="center"/>
              <w:rPr>
                <w:rFonts w:ascii="Times New Roman" w:eastAsia="仿宋"/>
                <w:szCs w:val="24"/>
              </w:rPr>
            </w:pPr>
            <w:r>
              <w:rPr>
                <w:rFonts w:hint="eastAsia" w:ascii="Times New Roman" w:eastAsia="仿宋"/>
                <w:szCs w:val="24"/>
              </w:rPr>
              <w:t>10</w:t>
            </w:r>
          </w:p>
        </w:tc>
        <w:tc>
          <w:tcPr>
            <w:tcW w:w="546" w:type="pct"/>
            <w:vAlign w:val="center"/>
          </w:tcPr>
          <w:p w14:paraId="2C2CCD03">
            <w:pPr>
              <w:adjustRightInd w:val="0"/>
              <w:snapToGrid w:val="0"/>
              <w:jc w:val="center"/>
              <w:rPr>
                <w:rFonts w:ascii="Times New Roman" w:eastAsia="仿宋"/>
                <w:szCs w:val="24"/>
              </w:rPr>
            </w:pPr>
            <w:r>
              <w:rPr>
                <w:rFonts w:hint="eastAsia" w:ascii="Times New Roman" w:eastAsia="仿宋"/>
                <w:szCs w:val="24"/>
              </w:rPr>
              <w:t>颗粒物</w:t>
            </w:r>
          </w:p>
        </w:tc>
        <w:tc>
          <w:tcPr>
            <w:tcW w:w="456" w:type="pct"/>
            <w:vAlign w:val="center"/>
          </w:tcPr>
          <w:p w14:paraId="03B413F2">
            <w:pPr>
              <w:adjustRightInd w:val="0"/>
              <w:snapToGrid w:val="0"/>
              <w:jc w:val="center"/>
              <w:rPr>
                <w:rFonts w:ascii="Times New Roman" w:eastAsia="仿宋"/>
                <w:szCs w:val="24"/>
              </w:rPr>
            </w:pPr>
            <w:r>
              <w:rPr>
                <w:rFonts w:hint="eastAsia" w:ascii="Times New Roman" w:eastAsia="仿宋"/>
                <w:szCs w:val="24"/>
              </w:rPr>
              <w:t>0.0</w:t>
            </w:r>
            <w:r>
              <w:rPr>
                <w:rFonts w:ascii="Times New Roman" w:eastAsia="仿宋"/>
                <w:szCs w:val="24"/>
              </w:rPr>
              <w:t>03</w:t>
            </w:r>
          </w:p>
        </w:tc>
        <w:tc>
          <w:tcPr>
            <w:tcW w:w="377" w:type="pct"/>
            <w:vMerge w:val="continue"/>
            <w:vAlign w:val="center"/>
          </w:tcPr>
          <w:p w14:paraId="31D396EF">
            <w:pPr>
              <w:ind w:firstLine="560"/>
              <w:jc w:val="center"/>
              <w:rPr>
                <w:rFonts w:ascii="Times New Roman" w:eastAsia="仿宋"/>
                <w:szCs w:val="21"/>
              </w:rPr>
            </w:pPr>
          </w:p>
        </w:tc>
      </w:tr>
      <w:tr w14:paraId="53909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4" w:type="pct"/>
            <w:vAlign w:val="center"/>
          </w:tcPr>
          <w:p w14:paraId="6B6F013D">
            <w:pPr>
              <w:adjustRightInd w:val="0"/>
              <w:snapToGrid w:val="0"/>
              <w:jc w:val="center"/>
              <w:rPr>
                <w:rFonts w:ascii="Times New Roman" w:eastAsia="仿宋"/>
                <w:szCs w:val="24"/>
              </w:rPr>
            </w:pPr>
            <w:r>
              <w:rPr>
                <w:rFonts w:ascii="Times New Roman" w:eastAsia="仿宋"/>
                <w:szCs w:val="24"/>
              </w:rPr>
              <w:t>4</w:t>
            </w:r>
            <w:r>
              <w:rPr>
                <w:rFonts w:hint="eastAsia" w:ascii="Times New Roman" w:eastAsia="仿宋"/>
                <w:szCs w:val="24"/>
              </w:rPr>
              <w:t>号钣金车间</w:t>
            </w:r>
          </w:p>
        </w:tc>
        <w:tc>
          <w:tcPr>
            <w:tcW w:w="760" w:type="pct"/>
            <w:vAlign w:val="center"/>
          </w:tcPr>
          <w:p w14:paraId="1D8522E7">
            <w:pPr>
              <w:adjustRightInd w:val="0"/>
              <w:snapToGrid w:val="0"/>
              <w:jc w:val="center"/>
              <w:rPr>
                <w:rFonts w:ascii="Times New Roman" w:eastAsia="仿宋"/>
                <w:szCs w:val="24"/>
              </w:rPr>
            </w:pPr>
            <w:r>
              <w:rPr>
                <w:rFonts w:hint="eastAsia" w:ascii="Times New Roman" w:eastAsia="仿宋"/>
                <w:szCs w:val="24"/>
              </w:rPr>
              <w:t>119</w:t>
            </w:r>
            <w:r>
              <w:rPr>
                <w:rFonts w:ascii="Times New Roman" w:eastAsia="仿宋"/>
                <w:szCs w:val="24"/>
              </w:rPr>
              <w:t>.43531</w:t>
            </w:r>
          </w:p>
        </w:tc>
        <w:tc>
          <w:tcPr>
            <w:tcW w:w="686" w:type="pct"/>
            <w:vAlign w:val="center"/>
          </w:tcPr>
          <w:p w14:paraId="12145F4A">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1.72782</w:t>
            </w:r>
          </w:p>
        </w:tc>
        <w:tc>
          <w:tcPr>
            <w:tcW w:w="435" w:type="pct"/>
            <w:vAlign w:val="center"/>
          </w:tcPr>
          <w:p w14:paraId="5E2F73D7">
            <w:pPr>
              <w:adjustRightInd w:val="0"/>
              <w:snapToGrid w:val="0"/>
              <w:jc w:val="center"/>
              <w:rPr>
                <w:rFonts w:ascii="Times New Roman" w:eastAsia="仿宋"/>
                <w:szCs w:val="24"/>
              </w:rPr>
            </w:pPr>
            <w:r>
              <w:rPr>
                <w:rFonts w:hint="eastAsia" w:ascii="Times New Roman" w:eastAsia="仿宋"/>
                <w:szCs w:val="24"/>
              </w:rPr>
              <w:t>7</w:t>
            </w:r>
          </w:p>
        </w:tc>
        <w:tc>
          <w:tcPr>
            <w:tcW w:w="659" w:type="pct"/>
            <w:vAlign w:val="center"/>
          </w:tcPr>
          <w:p w14:paraId="352CBEFC">
            <w:pPr>
              <w:adjustRightInd w:val="0"/>
              <w:snapToGrid w:val="0"/>
              <w:jc w:val="center"/>
              <w:rPr>
                <w:rFonts w:ascii="Times New Roman" w:eastAsia="仿宋"/>
                <w:szCs w:val="24"/>
              </w:rPr>
            </w:pPr>
            <w:r>
              <w:rPr>
                <w:rFonts w:hint="eastAsia" w:ascii="Times New Roman" w:eastAsia="仿宋"/>
                <w:szCs w:val="24"/>
              </w:rPr>
              <w:t>4826.84</w:t>
            </w:r>
          </w:p>
        </w:tc>
        <w:tc>
          <w:tcPr>
            <w:tcW w:w="477" w:type="pct"/>
            <w:vAlign w:val="center"/>
          </w:tcPr>
          <w:p w14:paraId="0ACC8A2E">
            <w:pPr>
              <w:adjustRightInd w:val="0"/>
              <w:snapToGrid w:val="0"/>
              <w:jc w:val="center"/>
              <w:rPr>
                <w:rFonts w:ascii="Times New Roman" w:eastAsia="仿宋"/>
                <w:szCs w:val="24"/>
              </w:rPr>
            </w:pPr>
            <w:r>
              <w:rPr>
                <w:rFonts w:ascii="Times New Roman" w:eastAsia="仿宋"/>
                <w:szCs w:val="24"/>
              </w:rPr>
              <w:t>10</w:t>
            </w:r>
          </w:p>
        </w:tc>
        <w:tc>
          <w:tcPr>
            <w:tcW w:w="546" w:type="pct"/>
            <w:vAlign w:val="center"/>
          </w:tcPr>
          <w:p w14:paraId="5841795B">
            <w:pPr>
              <w:adjustRightInd w:val="0"/>
              <w:snapToGrid w:val="0"/>
              <w:jc w:val="center"/>
              <w:rPr>
                <w:rFonts w:ascii="Times New Roman" w:eastAsia="仿宋"/>
                <w:szCs w:val="24"/>
              </w:rPr>
            </w:pPr>
            <w:r>
              <w:rPr>
                <w:rFonts w:hint="eastAsia" w:ascii="Times New Roman" w:eastAsia="仿宋"/>
                <w:szCs w:val="24"/>
              </w:rPr>
              <w:t>颗粒物</w:t>
            </w:r>
          </w:p>
        </w:tc>
        <w:tc>
          <w:tcPr>
            <w:tcW w:w="456" w:type="pct"/>
            <w:vAlign w:val="center"/>
          </w:tcPr>
          <w:p w14:paraId="614DE830">
            <w:pPr>
              <w:adjustRightInd w:val="0"/>
              <w:snapToGrid w:val="0"/>
              <w:jc w:val="center"/>
              <w:rPr>
                <w:rFonts w:ascii="Times New Roman" w:eastAsia="仿宋"/>
                <w:szCs w:val="24"/>
              </w:rPr>
            </w:pPr>
            <w:r>
              <w:rPr>
                <w:rFonts w:hint="eastAsia" w:ascii="Times New Roman" w:eastAsia="仿宋"/>
                <w:szCs w:val="24"/>
              </w:rPr>
              <w:t>0</w:t>
            </w:r>
            <w:r>
              <w:rPr>
                <w:rFonts w:ascii="Times New Roman" w:eastAsia="仿宋"/>
                <w:szCs w:val="24"/>
              </w:rPr>
              <w:t>.0</w:t>
            </w:r>
            <w:r>
              <w:rPr>
                <w:rFonts w:hint="eastAsia" w:ascii="Times New Roman" w:eastAsia="仿宋"/>
                <w:szCs w:val="24"/>
              </w:rPr>
              <w:t>02</w:t>
            </w:r>
          </w:p>
        </w:tc>
        <w:tc>
          <w:tcPr>
            <w:tcW w:w="377" w:type="pct"/>
            <w:vMerge w:val="continue"/>
            <w:vAlign w:val="center"/>
          </w:tcPr>
          <w:p w14:paraId="1EFDF742">
            <w:pPr>
              <w:ind w:firstLine="560"/>
              <w:jc w:val="center"/>
              <w:rPr>
                <w:rFonts w:ascii="Times New Roman" w:eastAsia="仿宋"/>
                <w:szCs w:val="21"/>
              </w:rPr>
            </w:pPr>
          </w:p>
        </w:tc>
      </w:tr>
    </w:tbl>
    <w:p w14:paraId="3099FA02">
      <w:pPr>
        <w:spacing w:line="500" w:lineRule="exact"/>
        <w:ind w:firstLine="560" w:firstLineChars="200"/>
        <w:rPr>
          <w:rFonts w:ascii="Times New Roman" w:eastAsia="仿宋"/>
          <w:sz w:val="28"/>
          <w:szCs w:val="28"/>
        </w:rPr>
      </w:pPr>
      <w:r>
        <w:rPr>
          <w:rFonts w:hint="eastAsia" w:ascii="Times New Roman" w:eastAsia="仿宋"/>
          <w:sz w:val="28"/>
          <w:szCs w:val="28"/>
        </w:rPr>
        <w:t>②</w:t>
      </w:r>
      <w:r>
        <w:rPr>
          <w:rFonts w:ascii="Times New Roman" w:eastAsia="仿宋"/>
          <w:sz w:val="28"/>
          <w:szCs w:val="28"/>
        </w:rPr>
        <w:t>项目参数</w:t>
      </w:r>
    </w:p>
    <w:p w14:paraId="1323CD87">
      <w:pPr>
        <w:spacing w:line="500" w:lineRule="exact"/>
        <w:ind w:firstLine="560" w:firstLineChars="200"/>
        <w:rPr>
          <w:rFonts w:ascii="Times New Roman" w:eastAsia="仿宋"/>
          <w:sz w:val="28"/>
          <w:szCs w:val="28"/>
        </w:rPr>
      </w:pPr>
      <w:r>
        <w:rPr>
          <w:rFonts w:ascii="Times New Roman" w:eastAsia="仿宋"/>
          <w:sz w:val="28"/>
          <w:szCs w:val="28"/>
        </w:rPr>
        <w:t>估算模式所用参数见表。</w:t>
      </w:r>
    </w:p>
    <w:p w14:paraId="6FA29099">
      <w:pPr>
        <w:pStyle w:val="182"/>
        <w:spacing w:line="500" w:lineRule="exact"/>
        <w:ind w:firstLine="482"/>
        <w:jc w:val="center"/>
        <w:rPr>
          <w:rFonts w:eastAsia="仿宋"/>
          <w:b/>
        </w:rPr>
      </w:pPr>
      <w:r>
        <w:rPr>
          <w:rFonts w:eastAsia="仿宋"/>
          <w:b/>
        </w:rPr>
        <w:t>表5.2-8  估算模型参数表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2652"/>
        <w:gridCol w:w="3569"/>
      </w:tblGrid>
      <w:tr w14:paraId="6E78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6" w:type="pct"/>
            <w:gridSpan w:val="2"/>
            <w:shd w:val="clear" w:color="auto" w:fill="auto"/>
            <w:vAlign w:val="center"/>
          </w:tcPr>
          <w:p w14:paraId="42F3EA83">
            <w:pPr>
              <w:adjustRightInd w:val="0"/>
              <w:snapToGrid w:val="0"/>
              <w:jc w:val="center"/>
              <w:rPr>
                <w:rFonts w:ascii="Times New Roman" w:eastAsia="仿宋"/>
                <w:szCs w:val="24"/>
              </w:rPr>
            </w:pPr>
            <w:r>
              <w:rPr>
                <w:rFonts w:ascii="Times New Roman" w:eastAsia="仿宋"/>
                <w:szCs w:val="24"/>
              </w:rPr>
              <w:t>参数</w:t>
            </w:r>
          </w:p>
        </w:tc>
        <w:tc>
          <w:tcPr>
            <w:tcW w:w="2094" w:type="pct"/>
            <w:shd w:val="clear" w:color="auto" w:fill="auto"/>
            <w:vAlign w:val="center"/>
          </w:tcPr>
          <w:p w14:paraId="05E8EE6E">
            <w:pPr>
              <w:adjustRightInd w:val="0"/>
              <w:snapToGrid w:val="0"/>
              <w:jc w:val="center"/>
              <w:rPr>
                <w:rFonts w:ascii="Times New Roman" w:eastAsia="仿宋"/>
                <w:szCs w:val="24"/>
              </w:rPr>
            </w:pPr>
            <w:r>
              <w:rPr>
                <w:rFonts w:ascii="Times New Roman" w:eastAsia="仿宋"/>
                <w:szCs w:val="24"/>
              </w:rPr>
              <w:t>取值</w:t>
            </w:r>
          </w:p>
        </w:tc>
      </w:tr>
      <w:tr w14:paraId="293E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restart"/>
            <w:shd w:val="clear" w:color="auto" w:fill="auto"/>
            <w:vAlign w:val="center"/>
          </w:tcPr>
          <w:p w14:paraId="54943AE8">
            <w:pPr>
              <w:adjustRightInd w:val="0"/>
              <w:snapToGrid w:val="0"/>
              <w:jc w:val="center"/>
              <w:rPr>
                <w:rFonts w:ascii="Times New Roman" w:eastAsia="仿宋"/>
                <w:szCs w:val="24"/>
              </w:rPr>
            </w:pPr>
            <w:r>
              <w:rPr>
                <w:rFonts w:ascii="Times New Roman" w:eastAsia="仿宋"/>
                <w:szCs w:val="24"/>
              </w:rPr>
              <w:t>城市农村/选项</w:t>
            </w:r>
          </w:p>
        </w:tc>
        <w:tc>
          <w:tcPr>
            <w:tcW w:w="1556" w:type="pct"/>
            <w:shd w:val="clear" w:color="auto" w:fill="auto"/>
            <w:vAlign w:val="center"/>
          </w:tcPr>
          <w:p w14:paraId="6AEC4A09">
            <w:pPr>
              <w:adjustRightInd w:val="0"/>
              <w:snapToGrid w:val="0"/>
              <w:jc w:val="center"/>
              <w:rPr>
                <w:rFonts w:ascii="Times New Roman" w:eastAsia="仿宋"/>
                <w:szCs w:val="24"/>
              </w:rPr>
            </w:pPr>
            <w:r>
              <w:rPr>
                <w:rFonts w:ascii="Times New Roman" w:eastAsia="仿宋"/>
                <w:szCs w:val="24"/>
              </w:rPr>
              <w:t>城市/农村</w:t>
            </w:r>
          </w:p>
        </w:tc>
        <w:tc>
          <w:tcPr>
            <w:tcW w:w="2094" w:type="pct"/>
            <w:shd w:val="clear" w:color="auto" w:fill="auto"/>
            <w:vAlign w:val="center"/>
          </w:tcPr>
          <w:p w14:paraId="06C397D6">
            <w:pPr>
              <w:adjustRightInd w:val="0"/>
              <w:snapToGrid w:val="0"/>
              <w:jc w:val="center"/>
              <w:rPr>
                <w:rFonts w:ascii="Times New Roman" w:eastAsia="仿宋"/>
                <w:szCs w:val="24"/>
              </w:rPr>
            </w:pPr>
            <w:r>
              <w:rPr>
                <w:rFonts w:ascii="Times New Roman" w:eastAsia="仿宋"/>
                <w:szCs w:val="24"/>
              </w:rPr>
              <w:t>城市</w:t>
            </w:r>
          </w:p>
        </w:tc>
      </w:tr>
      <w:tr w14:paraId="2FB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continue"/>
            <w:shd w:val="clear" w:color="auto" w:fill="auto"/>
            <w:vAlign w:val="center"/>
          </w:tcPr>
          <w:p w14:paraId="1EB1A5CE">
            <w:pPr>
              <w:adjustRightInd w:val="0"/>
              <w:snapToGrid w:val="0"/>
              <w:jc w:val="center"/>
              <w:rPr>
                <w:rFonts w:ascii="Times New Roman" w:eastAsia="仿宋"/>
                <w:szCs w:val="24"/>
              </w:rPr>
            </w:pPr>
          </w:p>
        </w:tc>
        <w:tc>
          <w:tcPr>
            <w:tcW w:w="1556" w:type="pct"/>
            <w:shd w:val="clear" w:color="auto" w:fill="auto"/>
            <w:vAlign w:val="center"/>
          </w:tcPr>
          <w:p w14:paraId="2B34CF79">
            <w:pPr>
              <w:adjustRightInd w:val="0"/>
              <w:snapToGrid w:val="0"/>
              <w:jc w:val="center"/>
              <w:rPr>
                <w:rFonts w:ascii="Times New Roman" w:eastAsia="仿宋"/>
                <w:szCs w:val="24"/>
              </w:rPr>
            </w:pPr>
            <w:r>
              <w:rPr>
                <w:rFonts w:ascii="Times New Roman" w:eastAsia="仿宋"/>
                <w:szCs w:val="24"/>
              </w:rPr>
              <w:t>人口数（城市选项时）</w:t>
            </w:r>
          </w:p>
        </w:tc>
        <w:tc>
          <w:tcPr>
            <w:tcW w:w="2094" w:type="pct"/>
            <w:shd w:val="clear" w:color="auto" w:fill="auto"/>
            <w:vAlign w:val="center"/>
          </w:tcPr>
          <w:p w14:paraId="3C62E1C3">
            <w:pPr>
              <w:adjustRightInd w:val="0"/>
              <w:snapToGrid w:val="0"/>
              <w:jc w:val="center"/>
              <w:rPr>
                <w:rFonts w:ascii="Times New Roman" w:eastAsia="仿宋"/>
                <w:szCs w:val="24"/>
              </w:rPr>
            </w:pPr>
            <w:r>
              <w:rPr>
                <w:rFonts w:ascii="Times New Roman" w:eastAsia="仿宋"/>
                <w:szCs w:val="24"/>
              </w:rPr>
              <w:t>140万</w:t>
            </w:r>
          </w:p>
        </w:tc>
      </w:tr>
      <w:tr w14:paraId="40CF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6" w:type="pct"/>
            <w:gridSpan w:val="2"/>
            <w:shd w:val="clear" w:color="auto" w:fill="auto"/>
            <w:vAlign w:val="center"/>
          </w:tcPr>
          <w:p w14:paraId="29A26B52">
            <w:pPr>
              <w:adjustRightInd w:val="0"/>
              <w:snapToGrid w:val="0"/>
              <w:jc w:val="center"/>
              <w:rPr>
                <w:rFonts w:ascii="Times New Roman" w:eastAsia="仿宋"/>
                <w:szCs w:val="24"/>
              </w:rPr>
            </w:pPr>
            <w:r>
              <w:rPr>
                <w:rFonts w:ascii="Times New Roman" w:eastAsia="仿宋"/>
                <w:szCs w:val="24"/>
              </w:rPr>
              <w:t>最高环境温度/℃</w:t>
            </w:r>
          </w:p>
        </w:tc>
        <w:tc>
          <w:tcPr>
            <w:tcW w:w="2094" w:type="pct"/>
            <w:shd w:val="clear" w:color="auto" w:fill="auto"/>
            <w:vAlign w:val="center"/>
          </w:tcPr>
          <w:p w14:paraId="2EC25CF9">
            <w:pPr>
              <w:adjustRightInd w:val="0"/>
              <w:snapToGrid w:val="0"/>
              <w:jc w:val="center"/>
              <w:rPr>
                <w:rFonts w:ascii="Times New Roman" w:eastAsia="仿宋"/>
                <w:szCs w:val="24"/>
              </w:rPr>
            </w:pPr>
            <w:r>
              <w:rPr>
                <w:rFonts w:ascii="Times New Roman" w:eastAsia="仿宋"/>
                <w:szCs w:val="24"/>
              </w:rPr>
              <w:t>38</w:t>
            </w:r>
          </w:p>
        </w:tc>
      </w:tr>
      <w:tr w14:paraId="2D1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6" w:type="pct"/>
            <w:gridSpan w:val="2"/>
            <w:shd w:val="clear" w:color="auto" w:fill="auto"/>
            <w:vAlign w:val="center"/>
          </w:tcPr>
          <w:p w14:paraId="2B943404">
            <w:pPr>
              <w:adjustRightInd w:val="0"/>
              <w:snapToGrid w:val="0"/>
              <w:jc w:val="center"/>
              <w:rPr>
                <w:rFonts w:ascii="Times New Roman" w:eastAsia="仿宋"/>
                <w:szCs w:val="24"/>
              </w:rPr>
            </w:pPr>
            <w:r>
              <w:rPr>
                <w:rFonts w:ascii="Times New Roman" w:eastAsia="仿宋"/>
                <w:szCs w:val="24"/>
              </w:rPr>
              <w:t>最低环境温度/℃</w:t>
            </w:r>
          </w:p>
        </w:tc>
        <w:tc>
          <w:tcPr>
            <w:tcW w:w="2094" w:type="pct"/>
            <w:shd w:val="clear" w:color="auto" w:fill="auto"/>
            <w:vAlign w:val="center"/>
          </w:tcPr>
          <w:p w14:paraId="36AB8DA7">
            <w:pPr>
              <w:adjustRightInd w:val="0"/>
              <w:snapToGrid w:val="0"/>
              <w:jc w:val="center"/>
              <w:rPr>
                <w:rFonts w:ascii="Times New Roman" w:eastAsia="仿宋"/>
                <w:szCs w:val="24"/>
              </w:rPr>
            </w:pPr>
            <w:r>
              <w:rPr>
                <w:rFonts w:ascii="Times New Roman" w:eastAsia="仿宋"/>
                <w:szCs w:val="24"/>
              </w:rPr>
              <w:t>-5.8</w:t>
            </w:r>
          </w:p>
        </w:tc>
      </w:tr>
      <w:tr w14:paraId="7E76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6" w:type="pct"/>
            <w:gridSpan w:val="2"/>
            <w:shd w:val="clear" w:color="auto" w:fill="auto"/>
            <w:vAlign w:val="center"/>
          </w:tcPr>
          <w:p w14:paraId="09CE6490">
            <w:pPr>
              <w:adjustRightInd w:val="0"/>
              <w:snapToGrid w:val="0"/>
              <w:jc w:val="center"/>
              <w:rPr>
                <w:rFonts w:ascii="Times New Roman" w:eastAsia="仿宋"/>
                <w:szCs w:val="24"/>
              </w:rPr>
            </w:pPr>
            <w:r>
              <w:rPr>
                <w:rFonts w:ascii="Times New Roman" w:eastAsia="仿宋"/>
                <w:szCs w:val="24"/>
              </w:rPr>
              <w:t>土地利用类型</w:t>
            </w:r>
          </w:p>
        </w:tc>
        <w:tc>
          <w:tcPr>
            <w:tcW w:w="2094" w:type="pct"/>
            <w:shd w:val="clear" w:color="auto" w:fill="auto"/>
            <w:vAlign w:val="center"/>
          </w:tcPr>
          <w:p w14:paraId="038D2E03">
            <w:pPr>
              <w:adjustRightInd w:val="0"/>
              <w:snapToGrid w:val="0"/>
              <w:jc w:val="center"/>
              <w:rPr>
                <w:rFonts w:ascii="Times New Roman" w:eastAsia="仿宋"/>
                <w:szCs w:val="24"/>
              </w:rPr>
            </w:pPr>
            <w:r>
              <w:rPr>
                <w:rFonts w:ascii="Times New Roman" w:eastAsia="仿宋"/>
                <w:szCs w:val="24"/>
              </w:rPr>
              <w:t>城市</w:t>
            </w:r>
          </w:p>
        </w:tc>
      </w:tr>
      <w:tr w14:paraId="77AB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6" w:type="pct"/>
            <w:gridSpan w:val="2"/>
            <w:shd w:val="clear" w:color="auto" w:fill="auto"/>
            <w:vAlign w:val="center"/>
          </w:tcPr>
          <w:p w14:paraId="0B04A33F">
            <w:pPr>
              <w:adjustRightInd w:val="0"/>
              <w:snapToGrid w:val="0"/>
              <w:jc w:val="center"/>
              <w:rPr>
                <w:rFonts w:ascii="Times New Roman" w:eastAsia="仿宋"/>
                <w:szCs w:val="24"/>
              </w:rPr>
            </w:pPr>
            <w:r>
              <w:rPr>
                <w:rFonts w:ascii="Times New Roman" w:eastAsia="仿宋"/>
                <w:szCs w:val="24"/>
              </w:rPr>
              <w:t>区域湿度条件</w:t>
            </w:r>
          </w:p>
        </w:tc>
        <w:tc>
          <w:tcPr>
            <w:tcW w:w="2094" w:type="pct"/>
            <w:shd w:val="clear" w:color="auto" w:fill="auto"/>
            <w:vAlign w:val="center"/>
          </w:tcPr>
          <w:p w14:paraId="3144DC6C">
            <w:pPr>
              <w:adjustRightInd w:val="0"/>
              <w:snapToGrid w:val="0"/>
              <w:jc w:val="center"/>
              <w:rPr>
                <w:rFonts w:ascii="Times New Roman" w:eastAsia="仿宋"/>
                <w:szCs w:val="24"/>
              </w:rPr>
            </w:pPr>
            <w:r>
              <w:rPr>
                <w:rFonts w:ascii="Times New Roman" w:eastAsia="仿宋"/>
                <w:szCs w:val="24"/>
              </w:rPr>
              <w:t>潮湿气候</w:t>
            </w:r>
          </w:p>
        </w:tc>
      </w:tr>
      <w:tr w14:paraId="202A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restart"/>
            <w:shd w:val="clear" w:color="auto" w:fill="auto"/>
            <w:vAlign w:val="center"/>
          </w:tcPr>
          <w:p w14:paraId="73C53A2F">
            <w:pPr>
              <w:adjustRightInd w:val="0"/>
              <w:snapToGrid w:val="0"/>
              <w:jc w:val="center"/>
              <w:rPr>
                <w:rFonts w:ascii="Times New Roman" w:eastAsia="仿宋"/>
                <w:szCs w:val="24"/>
              </w:rPr>
            </w:pPr>
            <w:r>
              <w:rPr>
                <w:rFonts w:ascii="Times New Roman" w:eastAsia="仿宋"/>
                <w:szCs w:val="24"/>
              </w:rPr>
              <w:t>是否考虑地形</w:t>
            </w:r>
          </w:p>
        </w:tc>
        <w:tc>
          <w:tcPr>
            <w:tcW w:w="1556" w:type="pct"/>
            <w:shd w:val="clear" w:color="auto" w:fill="auto"/>
            <w:vAlign w:val="center"/>
          </w:tcPr>
          <w:p w14:paraId="430C44B9">
            <w:pPr>
              <w:adjustRightInd w:val="0"/>
              <w:snapToGrid w:val="0"/>
              <w:jc w:val="center"/>
              <w:rPr>
                <w:rFonts w:ascii="Times New Roman" w:eastAsia="仿宋"/>
                <w:szCs w:val="24"/>
              </w:rPr>
            </w:pPr>
            <w:r>
              <w:rPr>
                <w:rFonts w:ascii="Times New Roman" w:eastAsia="仿宋"/>
                <w:szCs w:val="24"/>
              </w:rPr>
              <w:t>考虑地形</w:t>
            </w:r>
          </w:p>
        </w:tc>
        <w:tc>
          <w:tcPr>
            <w:tcW w:w="2094" w:type="pct"/>
            <w:shd w:val="clear" w:color="auto" w:fill="auto"/>
            <w:vAlign w:val="center"/>
          </w:tcPr>
          <w:p w14:paraId="125FE096">
            <w:pPr>
              <w:adjustRightInd w:val="0"/>
              <w:snapToGrid w:val="0"/>
              <w:jc w:val="center"/>
              <w:rPr>
                <w:rFonts w:ascii="Times New Roman" w:eastAsia="仿宋"/>
                <w:szCs w:val="24"/>
              </w:rPr>
            </w:pPr>
            <w:r>
              <w:rPr>
                <w:rFonts w:ascii="Times New Roman" w:eastAsia="仿宋"/>
                <w:szCs w:val="24"/>
              </w:rPr>
              <w:t>是</w:t>
            </w:r>
          </w:p>
        </w:tc>
      </w:tr>
      <w:tr w14:paraId="47B9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continue"/>
            <w:shd w:val="clear" w:color="auto" w:fill="auto"/>
            <w:vAlign w:val="center"/>
          </w:tcPr>
          <w:p w14:paraId="2D832489">
            <w:pPr>
              <w:jc w:val="center"/>
              <w:rPr>
                <w:sz w:val="21"/>
                <w:szCs w:val="21"/>
              </w:rPr>
            </w:pPr>
          </w:p>
        </w:tc>
        <w:tc>
          <w:tcPr>
            <w:tcW w:w="1556" w:type="pct"/>
            <w:shd w:val="clear" w:color="auto" w:fill="auto"/>
            <w:vAlign w:val="center"/>
          </w:tcPr>
          <w:p w14:paraId="41D2A0DC">
            <w:pPr>
              <w:adjustRightInd w:val="0"/>
              <w:snapToGrid w:val="0"/>
              <w:jc w:val="center"/>
              <w:rPr>
                <w:rFonts w:ascii="Times New Roman" w:eastAsia="仿宋"/>
                <w:szCs w:val="24"/>
              </w:rPr>
            </w:pPr>
            <w:r>
              <w:rPr>
                <w:rFonts w:ascii="Times New Roman" w:eastAsia="仿宋"/>
                <w:szCs w:val="24"/>
              </w:rPr>
              <w:t>地形数据分辨率(m)</w:t>
            </w:r>
          </w:p>
        </w:tc>
        <w:tc>
          <w:tcPr>
            <w:tcW w:w="2094" w:type="pct"/>
            <w:shd w:val="clear" w:color="auto" w:fill="auto"/>
            <w:vAlign w:val="center"/>
          </w:tcPr>
          <w:p w14:paraId="00DDE551">
            <w:pPr>
              <w:adjustRightInd w:val="0"/>
              <w:snapToGrid w:val="0"/>
              <w:jc w:val="center"/>
              <w:rPr>
                <w:rFonts w:ascii="Times New Roman" w:eastAsia="仿宋"/>
                <w:szCs w:val="24"/>
              </w:rPr>
            </w:pPr>
            <w:r>
              <w:rPr>
                <w:rFonts w:ascii="Times New Roman" w:eastAsia="仿宋"/>
                <w:szCs w:val="24"/>
              </w:rPr>
              <w:t>90</w:t>
            </w:r>
          </w:p>
        </w:tc>
      </w:tr>
      <w:tr w14:paraId="4BBB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restart"/>
            <w:shd w:val="clear" w:color="auto" w:fill="auto"/>
            <w:vAlign w:val="center"/>
          </w:tcPr>
          <w:p w14:paraId="2BAEE970">
            <w:pPr>
              <w:adjustRightInd w:val="0"/>
              <w:snapToGrid w:val="0"/>
              <w:jc w:val="center"/>
              <w:rPr>
                <w:sz w:val="21"/>
                <w:szCs w:val="21"/>
              </w:rPr>
            </w:pPr>
            <w:r>
              <w:rPr>
                <w:rFonts w:ascii="Times New Roman" w:eastAsia="仿宋"/>
                <w:szCs w:val="24"/>
              </w:rPr>
              <w:t>是否考虑海岸线熏烟</w:t>
            </w:r>
          </w:p>
        </w:tc>
        <w:tc>
          <w:tcPr>
            <w:tcW w:w="1556" w:type="pct"/>
            <w:shd w:val="clear" w:color="auto" w:fill="auto"/>
            <w:vAlign w:val="center"/>
          </w:tcPr>
          <w:p w14:paraId="02AA01F2">
            <w:pPr>
              <w:adjustRightInd w:val="0"/>
              <w:snapToGrid w:val="0"/>
              <w:jc w:val="center"/>
              <w:rPr>
                <w:rFonts w:ascii="Times New Roman" w:eastAsia="仿宋"/>
                <w:szCs w:val="24"/>
              </w:rPr>
            </w:pPr>
            <w:r>
              <w:rPr>
                <w:rFonts w:ascii="Times New Roman" w:eastAsia="仿宋"/>
                <w:szCs w:val="24"/>
              </w:rPr>
              <w:t>考虑海岸线熏烟</w:t>
            </w:r>
          </w:p>
        </w:tc>
        <w:tc>
          <w:tcPr>
            <w:tcW w:w="2094" w:type="pct"/>
            <w:shd w:val="clear" w:color="auto" w:fill="auto"/>
            <w:vAlign w:val="center"/>
          </w:tcPr>
          <w:p w14:paraId="57C7A93B">
            <w:pPr>
              <w:adjustRightInd w:val="0"/>
              <w:snapToGrid w:val="0"/>
              <w:jc w:val="center"/>
              <w:rPr>
                <w:rFonts w:ascii="Times New Roman" w:eastAsia="仿宋"/>
                <w:szCs w:val="24"/>
              </w:rPr>
            </w:pPr>
            <w:r>
              <w:rPr>
                <w:rFonts w:ascii="Times New Roman" w:eastAsia="仿宋"/>
                <w:szCs w:val="24"/>
              </w:rPr>
              <w:t>否</w:t>
            </w:r>
          </w:p>
        </w:tc>
      </w:tr>
      <w:tr w14:paraId="5073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continue"/>
            <w:shd w:val="clear" w:color="auto" w:fill="auto"/>
            <w:vAlign w:val="center"/>
          </w:tcPr>
          <w:p w14:paraId="7B1DA7B6">
            <w:pPr>
              <w:jc w:val="center"/>
              <w:rPr>
                <w:sz w:val="21"/>
                <w:szCs w:val="21"/>
              </w:rPr>
            </w:pPr>
          </w:p>
        </w:tc>
        <w:tc>
          <w:tcPr>
            <w:tcW w:w="1556" w:type="pct"/>
            <w:shd w:val="clear" w:color="auto" w:fill="auto"/>
            <w:vAlign w:val="center"/>
          </w:tcPr>
          <w:p w14:paraId="6D755046">
            <w:pPr>
              <w:adjustRightInd w:val="0"/>
              <w:snapToGrid w:val="0"/>
              <w:jc w:val="center"/>
              <w:rPr>
                <w:rFonts w:ascii="Times New Roman" w:eastAsia="仿宋"/>
                <w:szCs w:val="24"/>
              </w:rPr>
            </w:pPr>
            <w:r>
              <w:rPr>
                <w:rFonts w:ascii="Times New Roman" w:eastAsia="仿宋"/>
                <w:szCs w:val="24"/>
              </w:rPr>
              <w:t>海岸线距离/km</w:t>
            </w:r>
          </w:p>
        </w:tc>
        <w:tc>
          <w:tcPr>
            <w:tcW w:w="2094" w:type="pct"/>
            <w:shd w:val="clear" w:color="auto" w:fill="auto"/>
            <w:vAlign w:val="center"/>
          </w:tcPr>
          <w:p w14:paraId="2DF64DF2">
            <w:pPr>
              <w:adjustRightInd w:val="0"/>
              <w:snapToGrid w:val="0"/>
              <w:jc w:val="center"/>
              <w:rPr>
                <w:rFonts w:ascii="Times New Roman" w:eastAsia="仿宋"/>
                <w:szCs w:val="24"/>
              </w:rPr>
            </w:pPr>
            <w:r>
              <w:rPr>
                <w:rFonts w:ascii="Times New Roman" w:eastAsia="仿宋"/>
                <w:szCs w:val="24"/>
              </w:rPr>
              <w:t>/</w:t>
            </w:r>
          </w:p>
        </w:tc>
      </w:tr>
      <w:tr w14:paraId="25E4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pct"/>
            <w:vMerge w:val="continue"/>
            <w:shd w:val="clear" w:color="auto" w:fill="auto"/>
            <w:vAlign w:val="center"/>
          </w:tcPr>
          <w:p w14:paraId="7454AE70">
            <w:pPr>
              <w:jc w:val="center"/>
              <w:rPr>
                <w:sz w:val="21"/>
                <w:szCs w:val="21"/>
              </w:rPr>
            </w:pPr>
          </w:p>
        </w:tc>
        <w:tc>
          <w:tcPr>
            <w:tcW w:w="1556" w:type="pct"/>
            <w:shd w:val="clear" w:color="auto" w:fill="auto"/>
            <w:vAlign w:val="center"/>
          </w:tcPr>
          <w:p w14:paraId="5380089C">
            <w:pPr>
              <w:adjustRightInd w:val="0"/>
              <w:snapToGrid w:val="0"/>
              <w:jc w:val="center"/>
              <w:rPr>
                <w:rFonts w:ascii="Times New Roman" w:eastAsia="仿宋"/>
                <w:szCs w:val="24"/>
              </w:rPr>
            </w:pPr>
            <w:r>
              <w:rPr>
                <w:rFonts w:ascii="Times New Roman" w:eastAsia="仿宋"/>
                <w:szCs w:val="24"/>
              </w:rPr>
              <w:t>海岸线方向/o</w:t>
            </w:r>
          </w:p>
        </w:tc>
        <w:tc>
          <w:tcPr>
            <w:tcW w:w="2094" w:type="pct"/>
            <w:shd w:val="clear" w:color="auto" w:fill="auto"/>
            <w:vAlign w:val="center"/>
          </w:tcPr>
          <w:p w14:paraId="37422CEE">
            <w:pPr>
              <w:adjustRightInd w:val="0"/>
              <w:snapToGrid w:val="0"/>
              <w:jc w:val="center"/>
              <w:rPr>
                <w:rFonts w:ascii="Times New Roman" w:eastAsia="仿宋"/>
                <w:szCs w:val="24"/>
              </w:rPr>
            </w:pPr>
            <w:r>
              <w:rPr>
                <w:rFonts w:ascii="Times New Roman" w:eastAsia="仿宋"/>
                <w:szCs w:val="24"/>
              </w:rPr>
              <w:t>/</w:t>
            </w:r>
          </w:p>
        </w:tc>
      </w:tr>
    </w:tbl>
    <w:p w14:paraId="27D769A3">
      <w:pPr>
        <w:spacing w:line="500" w:lineRule="exact"/>
        <w:ind w:firstLine="560" w:firstLineChars="200"/>
        <w:rPr>
          <w:rFonts w:ascii="Times New Roman" w:eastAsia="仿宋"/>
          <w:sz w:val="28"/>
          <w:szCs w:val="28"/>
        </w:rPr>
      </w:pPr>
      <w:r>
        <w:rPr>
          <w:rFonts w:ascii="Times New Roman" w:eastAsia="仿宋"/>
          <w:sz w:val="28"/>
          <w:szCs w:val="28"/>
        </w:rPr>
        <w:t>地形数据采用SRTM（Shuttle Radar Topography Mission）90m分辨率地形数据。数据来源为：http://srtm.csi.cgiar.org。地形数据范围为srtm60-06。</w:t>
      </w:r>
    </w:p>
    <w:p w14:paraId="39814271">
      <w:pPr>
        <w:spacing w:line="500" w:lineRule="exact"/>
        <w:ind w:firstLine="560" w:firstLineChars="200"/>
        <w:rPr>
          <w:rFonts w:ascii="Times New Roman" w:eastAsia="仿宋"/>
          <w:sz w:val="28"/>
          <w:szCs w:val="28"/>
        </w:rPr>
      </w:pPr>
      <w:r>
        <w:rPr>
          <w:rFonts w:hint="eastAsia" w:ascii="Times New Roman" w:eastAsia="仿宋"/>
          <w:sz w:val="28"/>
          <w:szCs w:val="28"/>
        </w:rPr>
        <w:t>③</w:t>
      </w:r>
      <w:r>
        <w:rPr>
          <w:rFonts w:ascii="Times New Roman" w:eastAsia="仿宋"/>
          <w:sz w:val="28"/>
          <w:szCs w:val="28"/>
        </w:rPr>
        <w:t>污染物评价标准</w:t>
      </w:r>
    </w:p>
    <w:p w14:paraId="05696AA5">
      <w:pPr>
        <w:spacing w:line="500" w:lineRule="exact"/>
        <w:ind w:firstLine="560" w:firstLineChars="200"/>
        <w:rPr>
          <w:rFonts w:ascii="Times New Roman" w:eastAsia="仿宋"/>
          <w:sz w:val="28"/>
          <w:szCs w:val="28"/>
        </w:rPr>
      </w:pPr>
      <w:r>
        <w:rPr>
          <w:rFonts w:ascii="Times New Roman" w:eastAsia="仿宋"/>
          <w:sz w:val="28"/>
          <w:szCs w:val="28"/>
        </w:rPr>
        <w:t>污染物评价标准和来源见下表。</w:t>
      </w:r>
    </w:p>
    <w:p w14:paraId="3207452B">
      <w:pPr>
        <w:pStyle w:val="182"/>
        <w:spacing w:line="500" w:lineRule="exact"/>
        <w:ind w:firstLine="482"/>
        <w:jc w:val="center"/>
        <w:rPr>
          <w:rFonts w:eastAsia="仿宋"/>
          <w:b/>
        </w:rPr>
      </w:pPr>
      <w:r>
        <w:rPr>
          <w:rFonts w:eastAsia="仿宋"/>
          <w:b/>
        </w:rPr>
        <w:t>表5.2-9  评价因子和评价标准表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603"/>
        <w:gridCol w:w="1892"/>
        <w:gridCol w:w="3723"/>
      </w:tblGrid>
      <w:tr w14:paraId="7578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6D7F113C">
            <w:pPr>
              <w:jc w:val="center"/>
              <w:rPr>
                <w:rFonts w:ascii="Times New Roman" w:eastAsia="仿宋"/>
                <w:szCs w:val="21"/>
              </w:rPr>
            </w:pPr>
            <w:r>
              <w:rPr>
                <w:rFonts w:ascii="Times New Roman" w:eastAsia="仿宋"/>
                <w:szCs w:val="21"/>
              </w:rPr>
              <w:t>评价因子</w:t>
            </w:r>
          </w:p>
        </w:tc>
        <w:tc>
          <w:tcPr>
            <w:tcW w:w="940" w:type="pct"/>
            <w:tcBorders>
              <w:top w:val="single" w:color="auto" w:sz="4" w:space="0"/>
              <w:left w:val="single" w:color="auto" w:sz="4" w:space="0"/>
              <w:bottom w:val="single" w:color="auto" w:sz="4" w:space="0"/>
              <w:right w:val="single" w:color="auto" w:sz="4" w:space="0"/>
            </w:tcBorders>
            <w:vAlign w:val="center"/>
          </w:tcPr>
          <w:p w14:paraId="2A44F70C">
            <w:pPr>
              <w:jc w:val="center"/>
              <w:rPr>
                <w:rFonts w:ascii="Times New Roman" w:eastAsia="仿宋"/>
                <w:szCs w:val="21"/>
              </w:rPr>
            </w:pPr>
            <w:r>
              <w:rPr>
                <w:rFonts w:ascii="Times New Roman" w:eastAsia="仿宋"/>
                <w:szCs w:val="21"/>
              </w:rPr>
              <w:t>平均时段</w:t>
            </w:r>
          </w:p>
        </w:tc>
        <w:tc>
          <w:tcPr>
            <w:tcW w:w="1110" w:type="pct"/>
            <w:tcBorders>
              <w:top w:val="single" w:color="auto" w:sz="4" w:space="0"/>
              <w:left w:val="single" w:color="auto" w:sz="4" w:space="0"/>
              <w:bottom w:val="single" w:color="auto" w:sz="4" w:space="0"/>
              <w:right w:val="single" w:color="auto" w:sz="4" w:space="0"/>
            </w:tcBorders>
            <w:vAlign w:val="center"/>
          </w:tcPr>
          <w:p w14:paraId="21C2088B">
            <w:pPr>
              <w:jc w:val="center"/>
              <w:rPr>
                <w:rFonts w:ascii="Times New Roman" w:eastAsia="仿宋"/>
                <w:szCs w:val="21"/>
              </w:rPr>
            </w:pPr>
            <w:r>
              <w:rPr>
                <w:rFonts w:ascii="Times New Roman" w:eastAsia="仿宋"/>
                <w:szCs w:val="21"/>
              </w:rPr>
              <w:t>标准值（μg/m</w:t>
            </w:r>
            <w:r>
              <w:rPr>
                <w:rFonts w:ascii="Times New Roman" w:eastAsia="仿宋"/>
                <w:szCs w:val="21"/>
                <w:vertAlign w:val="superscript"/>
              </w:rPr>
              <w:t>3</w:t>
            </w:r>
            <w:r>
              <w:rPr>
                <w:rFonts w:ascii="Times New Roman" w:eastAsia="仿宋"/>
                <w:szCs w:val="21"/>
              </w:rPr>
              <w:t>）</w:t>
            </w:r>
          </w:p>
        </w:tc>
        <w:tc>
          <w:tcPr>
            <w:tcW w:w="2184" w:type="pct"/>
            <w:tcBorders>
              <w:top w:val="single" w:color="auto" w:sz="4" w:space="0"/>
              <w:left w:val="single" w:color="auto" w:sz="4" w:space="0"/>
              <w:bottom w:val="single" w:color="auto" w:sz="4" w:space="0"/>
              <w:right w:val="single" w:color="auto" w:sz="4" w:space="0"/>
            </w:tcBorders>
            <w:vAlign w:val="center"/>
          </w:tcPr>
          <w:p w14:paraId="07880A21">
            <w:pPr>
              <w:jc w:val="center"/>
              <w:rPr>
                <w:rFonts w:ascii="Times New Roman" w:eastAsia="仿宋"/>
                <w:szCs w:val="21"/>
              </w:rPr>
            </w:pPr>
            <w:r>
              <w:rPr>
                <w:rFonts w:ascii="Times New Roman" w:eastAsia="仿宋"/>
                <w:szCs w:val="21"/>
              </w:rPr>
              <w:t>标准来源</w:t>
            </w:r>
          </w:p>
        </w:tc>
      </w:tr>
      <w:tr w14:paraId="6D9A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2BD91385">
            <w:pPr>
              <w:jc w:val="center"/>
              <w:rPr>
                <w:rFonts w:ascii="Times New Roman" w:eastAsia="仿宋"/>
                <w:szCs w:val="21"/>
              </w:rPr>
            </w:pPr>
            <w:r>
              <w:rPr>
                <w:rFonts w:ascii="Times New Roman" w:eastAsia="仿宋"/>
                <w:szCs w:val="21"/>
              </w:rPr>
              <w:t>非甲烷总烃</w:t>
            </w:r>
          </w:p>
        </w:tc>
        <w:tc>
          <w:tcPr>
            <w:tcW w:w="940" w:type="pct"/>
            <w:tcBorders>
              <w:top w:val="single" w:color="auto" w:sz="4" w:space="0"/>
              <w:left w:val="single" w:color="auto" w:sz="4" w:space="0"/>
              <w:bottom w:val="single" w:color="auto" w:sz="4" w:space="0"/>
              <w:right w:val="single" w:color="auto" w:sz="4" w:space="0"/>
            </w:tcBorders>
            <w:vAlign w:val="center"/>
          </w:tcPr>
          <w:p w14:paraId="03C7DA67">
            <w:pPr>
              <w:jc w:val="center"/>
              <w:rPr>
                <w:rFonts w:ascii="Times New Roman" w:eastAsia="仿宋"/>
                <w:szCs w:val="21"/>
              </w:rPr>
            </w:pPr>
            <w:r>
              <w:rPr>
                <w:rFonts w:ascii="Times New Roman" w:eastAsia="仿宋"/>
                <w:szCs w:val="21"/>
              </w:rPr>
              <w:t>一次值</w:t>
            </w:r>
          </w:p>
        </w:tc>
        <w:tc>
          <w:tcPr>
            <w:tcW w:w="1110" w:type="pct"/>
            <w:tcBorders>
              <w:top w:val="single" w:color="auto" w:sz="4" w:space="0"/>
              <w:left w:val="single" w:color="auto" w:sz="4" w:space="0"/>
              <w:bottom w:val="single" w:color="auto" w:sz="4" w:space="0"/>
              <w:right w:val="single" w:color="auto" w:sz="4" w:space="0"/>
            </w:tcBorders>
            <w:vAlign w:val="center"/>
          </w:tcPr>
          <w:p w14:paraId="0BB09B7B">
            <w:pPr>
              <w:jc w:val="center"/>
              <w:rPr>
                <w:rFonts w:ascii="Times New Roman" w:eastAsia="仿宋"/>
                <w:szCs w:val="21"/>
              </w:rPr>
            </w:pPr>
            <w:r>
              <w:rPr>
                <w:rFonts w:ascii="Times New Roman" w:eastAsia="仿宋"/>
                <w:szCs w:val="21"/>
              </w:rPr>
              <w:t>2000</w:t>
            </w:r>
          </w:p>
        </w:tc>
        <w:tc>
          <w:tcPr>
            <w:tcW w:w="2184" w:type="pct"/>
            <w:tcBorders>
              <w:top w:val="single" w:color="auto" w:sz="4" w:space="0"/>
              <w:left w:val="single" w:color="auto" w:sz="4" w:space="0"/>
              <w:bottom w:val="single" w:color="auto" w:sz="4" w:space="0"/>
              <w:right w:val="single" w:color="auto" w:sz="4" w:space="0"/>
            </w:tcBorders>
            <w:vAlign w:val="center"/>
          </w:tcPr>
          <w:p w14:paraId="429BC44F">
            <w:pPr>
              <w:jc w:val="center"/>
              <w:rPr>
                <w:rFonts w:ascii="Times New Roman" w:eastAsia="仿宋"/>
                <w:szCs w:val="21"/>
              </w:rPr>
            </w:pPr>
            <w:r>
              <w:rPr>
                <w:rFonts w:ascii="Times New Roman" w:eastAsia="仿宋"/>
                <w:szCs w:val="21"/>
              </w:rPr>
              <w:t>《大气污染物综合排放标准详解》国家环境保护局科技标准司中推荐值</w:t>
            </w:r>
          </w:p>
        </w:tc>
      </w:tr>
      <w:tr w14:paraId="749E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39126BF4">
            <w:pPr>
              <w:jc w:val="center"/>
              <w:rPr>
                <w:rFonts w:ascii="Times New Roman" w:eastAsia="仿宋"/>
                <w:szCs w:val="21"/>
              </w:rPr>
            </w:pPr>
            <w:r>
              <w:rPr>
                <w:rFonts w:ascii="Times New Roman" w:eastAsia="仿宋"/>
                <w:szCs w:val="21"/>
              </w:rPr>
              <w:t>颗粒物</w:t>
            </w:r>
          </w:p>
        </w:tc>
        <w:tc>
          <w:tcPr>
            <w:tcW w:w="940" w:type="pct"/>
            <w:tcBorders>
              <w:top w:val="single" w:color="auto" w:sz="4" w:space="0"/>
              <w:left w:val="single" w:color="auto" w:sz="4" w:space="0"/>
              <w:bottom w:val="single" w:color="auto" w:sz="4" w:space="0"/>
              <w:right w:val="single" w:color="auto" w:sz="4" w:space="0"/>
            </w:tcBorders>
            <w:vAlign w:val="center"/>
          </w:tcPr>
          <w:p w14:paraId="0C6F9D9B">
            <w:pPr>
              <w:jc w:val="center"/>
              <w:rPr>
                <w:rFonts w:ascii="Times New Roman" w:eastAsia="仿宋"/>
                <w:szCs w:val="21"/>
              </w:rPr>
            </w:pPr>
            <w:r>
              <w:rPr>
                <w:rFonts w:ascii="Times New Roman" w:eastAsia="仿宋"/>
                <w:szCs w:val="21"/>
              </w:rPr>
              <w:t>1小时平均</w:t>
            </w:r>
          </w:p>
        </w:tc>
        <w:tc>
          <w:tcPr>
            <w:tcW w:w="1110" w:type="pct"/>
            <w:tcBorders>
              <w:top w:val="single" w:color="auto" w:sz="4" w:space="0"/>
              <w:left w:val="single" w:color="auto" w:sz="4" w:space="0"/>
              <w:bottom w:val="single" w:color="auto" w:sz="4" w:space="0"/>
              <w:right w:val="single" w:color="auto" w:sz="4" w:space="0"/>
            </w:tcBorders>
            <w:vAlign w:val="center"/>
          </w:tcPr>
          <w:p w14:paraId="76FE3DE9">
            <w:pPr>
              <w:jc w:val="center"/>
              <w:rPr>
                <w:rFonts w:ascii="Times New Roman" w:eastAsia="仿宋"/>
                <w:szCs w:val="21"/>
              </w:rPr>
            </w:pPr>
            <w:r>
              <w:rPr>
                <w:rFonts w:ascii="Times New Roman" w:eastAsia="仿宋"/>
                <w:szCs w:val="21"/>
              </w:rPr>
              <w:t>450</w:t>
            </w:r>
          </w:p>
        </w:tc>
        <w:tc>
          <w:tcPr>
            <w:tcW w:w="0" w:type="auto"/>
            <w:vMerge w:val="restart"/>
            <w:tcBorders>
              <w:top w:val="single" w:color="auto" w:sz="4" w:space="0"/>
              <w:left w:val="single" w:color="auto" w:sz="4" w:space="0"/>
              <w:right w:val="single" w:color="auto" w:sz="4" w:space="0"/>
            </w:tcBorders>
            <w:vAlign w:val="center"/>
          </w:tcPr>
          <w:p w14:paraId="1F1424B4">
            <w:pPr>
              <w:widowControl/>
              <w:jc w:val="center"/>
              <w:rPr>
                <w:rFonts w:ascii="Times New Roman" w:eastAsia="仿宋"/>
                <w:szCs w:val="21"/>
              </w:rPr>
            </w:pPr>
            <w:r>
              <w:rPr>
                <w:rFonts w:ascii="Times New Roman" w:eastAsia="仿宋"/>
                <w:szCs w:val="21"/>
              </w:rPr>
              <w:t>《环境空气质量标准》（GB3095-2012）二级标准</w:t>
            </w:r>
          </w:p>
        </w:tc>
      </w:tr>
      <w:tr w14:paraId="55A8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3F196930">
            <w:pPr>
              <w:jc w:val="center"/>
              <w:rPr>
                <w:rFonts w:ascii="Times New Roman" w:eastAsia="仿宋"/>
                <w:szCs w:val="21"/>
              </w:rPr>
            </w:pPr>
            <w:r>
              <w:rPr>
                <w:rFonts w:hint="eastAsia" w:ascii="Times New Roman" w:eastAsia="仿宋"/>
                <w:szCs w:val="21"/>
              </w:rPr>
              <w:t>S</w:t>
            </w:r>
            <w:r>
              <w:rPr>
                <w:rFonts w:ascii="Times New Roman" w:eastAsia="仿宋"/>
                <w:szCs w:val="21"/>
              </w:rPr>
              <w:t>O</w:t>
            </w:r>
            <w:r>
              <w:rPr>
                <w:rFonts w:ascii="Times New Roman" w:eastAsia="仿宋"/>
                <w:szCs w:val="21"/>
                <w:vertAlign w:val="subscript"/>
              </w:rPr>
              <w:t>2</w:t>
            </w:r>
          </w:p>
        </w:tc>
        <w:tc>
          <w:tcPr>
            <w:tcW w:w="940" w:type="pct"/>
            <w:tcBorders>
              <w:top w:val="single" w:color="auto" w:sz="4" w:space="0"/>
              <w:left w:val="single" w:color="auto" w:sz="4" w:space="0"/>
              <w:bottom w:val="single" w:color="auto" w:sz="4" w:space="0"/>
              <w:right w:val="single" w:color="auto" w:sz="4" w:space="0"/>
            </w:tcBorders>
            <w:vAlign w:val="center"/>
          </w:tcPr>
          <w:p w14:paraId="21EB0B97">
            <w:pPr>
              <w:jc w:val="center"/>
              <w:rPr>
                <w:rFonts w:ascii="Times New Roman" w:eastAsia="仿宋"/>
                <w:szCs w:val="21"/>
              </w:rPr>
            </w:pPr>
            <w:r>
              <w:rPr>
                <w:rFonts w:ascii="Times New Roman" w:eastAsia="仿宋"/>
                <w:szCs w:val="21"/>
              </w:rPr>
              <w:t>1小时平均</w:t>
            </w:r>
          </w:p>
        </w:tc>
        <w:tc>
          <w:tcPr>
            <w:tcW w:w="1110" w:type="pct"/>
            <w:tcBorders>
              <w:top w:val="single" w:color="auto" w:sz="4" w:space="0"/>
              <w:left w:val="single" w:color="auto" w:sz="4" w:space="0"/>
              <w:bottom w:val="single" w:color="auto" w:sz="4" w:space="0"/>
              <w:right w:val="single" w:color="auto" w:sz="4" w:space="0"/>
            </w:tcBorders>
            <w:vAlign w:val="center"/>
          </w:tcPr>
          <w:p w14:paraId="63E7C13C">
            <w:pPr>
              <w:jc w:val="center"/>
              <w:rPr>
                <w:rFonts w:ascii="Times New Roman" w:eastAsia="仿宋"/>
                <w:szCs w:val="21"/>
              </w:rPr>
            </w:pPr>
            <w:r>
              <w:rPr>
                <w:rFonts w:hint="eastAsia" w:ascii="Times New Roman" w:eastAsia="仿宋"/>
                <w:szCs w:val="21"/>
              </w:rPr>
              <w:t>5</w:t>
            </w:r>
            <w:r>
              <w:rPr>
                <w:rFonts w:ascii="Times New Roman" w:eastAsia="仿宋"/>
                <w:szCs w:val="21"/>
              </w:rPr>
              <w:t>00</w:t>
            </w:r>
          </w:p>
        </w:tc>
        <w:tc>
          <w:tcPr>
            <w:tcW w:w="0" w:type="auto"/>
            <w:vMerge w:val="continue"/>
            <w:tcBorders>
              <w:left w:val="single" w:color="auto" w:sz="4" w:space="0"/>
              <w:right w:val="single" w:color="auto" w:sz="4" w:space="0"/>
            </w:tcBorders>
            <w:vAlign w:val="center"/>
          </w:tcPr>
          <w:p w14:paraId="19C1E3E9">
            <w:pPr>
              <w:widowControl/>
              <w:jc w:val="center"/>
              <w:rPr>
                <w:rFonts w:ascii="Times New Roman" w:eastAsia="仿宋"/>
                <w:szCs w:val="21"/>
              </w:rPr>
            </w:pPr>
          </w:p>
        </w:tc>
      </w:tr>
      <w:tr w14:paraId="188B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6132CCE7">
            <w:pPr>
              <w:jc w:val="center"/>
              <w:rPr>
                <w:rFonts w:ascii="Times New Roman" w:eastAsia="仿宋"/>
                <w:szCs w:val="21"/>
              </w:rPr>
            </w:pPr>
            <w:r>
              <w:rPr>
                <w:rFonts w:hint="eastAsia" w:ascii="Times New Roman" w:eastAsia="仿宋"/>
                <w:szCs w:val="21"/>
              </w:rPr>
              <w:t>N</w:t>
            </w:r>
            <w:r>
              <w:rPr>
                <w:rFonts w:ascii="Times New Roman" w:eastAsia="仿宋"/>
                <w:szCs w:val="21"/>
              </w:rPr>
              <w:t>O</w:t>
            </w:r>
            <w:r>
              <w:rPr>
                <w:rFonts w:ascii="Times New Roman" w:eastAsia="仿宋"/>
                <w:szCs w:val="21"/>
                <w:vertAlign w:val="subscript"/>
              </w:rPr>
              <w:t>X</w:t>
            </w:r>
          </w:p>
        </w:tc>
        <w:tc>
          <w:tcPr>
            <w:tcW w:w="940" w:type="pct"/>
            <w:tcBorders>
              <w:top w:val="single" w:color="auto" w:sz="4" w:space="0"/>
              <w:left w:val="single" w:color="auto" w:sz="4" w:space="0"/>
              <w:bottom w:val="single" w:color="auto" w:sz="4" w:space="0"/>
              <w:right w:val="single" w:color="auto" w:sz="4" w:space="0"/>
            </w:tcBorders>
            <w:vAlign w:val="center"/>
          </w:tcPr>
          <w:p w14:paraId="56063E1E">
            <w:pPr>
              <w:jc w:val="center"/>
              <w:rPr>
                <w:rFonts w:ascii="Times New Roman" w:eastAsia="仿宋"/>
                <w:szCs w:val="21"/>
              </w:rPr>
            </w:pPr>
            <w:r>
              <w:rPr>
                <w:rFonts w:ascii="Times New Roman" w:eastAsia="仿宋"/>
                <w:szCs w:val="21"/>
              </w:rPr>
              <w:t>1小时平均</w:t>
            </w:r>
          </w:p>
        </w:tc>
        <w:tc>
          <w:tcPr>
            <w:tcW w:w="1110" w:type="pct"/>
            <w:tcBorders>
              <w:top w:val="single" w:color="auto" w:sz="4" w:space="0"/>
              <w:left w:val="single" w:color="auto" w:sz="4" w:space="0"/>
              <w:bottom w:val="single" w:color="auto" w:sz="4" w:space="0"/>
              <w:right w:val="single" w:color="auto" w:sz="4" w:space="0"/>
            </w:tcBorders>
            <w:vAlign w:val="center"/>
          </w:tcPr>
          <w:p w14:paraId="6E77D975">
            <w:pPr>
              <w:jc w:val="center"/>
              <w:rPr>
                <w:rFonts w:ascii="Times New Roman" w:eastAsia="仿宋"/>
                <w:szCs w:val="21"/>
              </w:rPr>
            </w:pPr>
            <w:r>
              <w:rPr>
                <w:rFonts w:hint="eastAsia" w:ascii="Times New Roman" w:eastAsia="仿宋"/>
                <w:szCs w:val="21"/>
              </w:rPr>
              <w:t>2</w:t>
            </w:r>
            <w:r>
              <w:rPr>
                <w:rFonts w:ascii="Times New Roman" w:eastAsia="仿宋"/>
                <w:szCs w:val="21"/>
              </w:rPr>
              <w:t>50</w:t>
            </w:r>
          </w:p>
        </w:tc>
        <w:tc>
          <w:tcPr>
            <w:tcW w:w="0" w:type="auto"/>
            <w:vMerge w:val="continue"/>
            <w:tcBorders>
              <w:left w:val="single" w:color="auto" w:sz="4" w:space="0"/>
              <w:bottom w:val="single" w:color="auto" w:sz="4" w:space="0"/>
              <w:right w:val="single" w:color="auto" w:sz="4" w:space="0"/>
            </w:tcBorders>
            <w:vAlign w:val="center"/>
          </w:tcPr>
          <w:p w14:paraId="626BDE09">
            <w:pPr>
              <w:widowControl/>
              <w:jc w:val="center"/>
              <w:rPr>
                <w:rFonts w:ascii="Times New Roman" w:eastAsia="仿宋"/>
                <w:szCs w:val="21"/>
              </w:rPr>
            </w:pPr>
          </w:p>
        </w:tc>
      </w:tr>
      <w:tr w14:paraId="7B2F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4AB6D815">
            <w:pPr>
              <w:jc w:val="center"/>
              <w:rPr>
                <w:rFonts w:ascii="Times New Roman" w:eastAsia="仿宋"/>
                <w:szCs w:val="21"/>
              </w:rPr>
            </w:pPr>
            <w:r>
              <w:rPr>
                <w:rFonts w:hint="eastAsia" w:ascii="Times New Roman" w:eastAsia="仿宋"/>
                <w:szCs w:val="21"/>
              </w:rPr>
              <w:t>TVOC</w:t>
            </w:r>
          </w:p>
        </w:tc>
        <w:tc>
          <w:tcPr>
            <w:tcW w:w="940" w:type="pct"/>
            <w:tcBorders>
              <w:top w:val="single" w:color="auto" w:sz="4" w:space="0"/>
              <w:left w:val="single" w:color="auto" w:sz="4" w:space="0"/>
              <w:bottom w:val="single" w:color="auto" w:sz="4" w:space="0"/>
              <w:right w:val="single" w:color="auto" w:sz="4" w:space="0"/>
            </w:tcBorders>
            <w:vAlign w:val="center"/>
          </w:tcPr>
          <w:p w14:paraId="67B7BE6C">
            <w:pPr>
              <w:jc w:val="center"/>
              <w:rPr>
                <w:rFonts w:ascii="Times New Roman" w:eastAsia="仿宋"/>
                <w:szCs w:val="21"/>
              </w:rPr>
            </w:pPr>
            <w:r>
              <w:rPr>
                <w:rFonts w:hint="eastAsia" w:ascii="Times New Roman" w:eastAsia="仿宋"/>
                <w:szCs w:val="21"/>
              </w:rPr>
              <w:t>8小时平均</w:t>
            </w:r>
          </w:p>
        </w:tc>
        <w:tc>
          <w:tcPr>
            <w:tcW w:w="1110" w:type="pct"/>
            <w:tcBorders>
              <w:top w:val="single" w:color="auto" w:sz="4" w:space="0"/>
              <w:left w:val="single" w:color="auto" w:sz="4" w:space="0"/>
              <w:bottom w:val="single" w:color="auto" w:sz="4" w:space="0"/>
              <w:right w:val="single" w:color="auto" w:sz="4" w:space="0"/>
            </w:tcBorders>
            <w:vAlign w:val="center"/>
          </w:tcPr>
          <w:p w14:paraId="360115E1">
            <w:pPr>
              <w:jc w:val="center"/>
              <w:rPr>
                <w:rFonts w:ascii="Times New Roman" w:eastAsia="仿宋"/>
                <w:szCs w:val="21"/>
              </w:rPr>
            </w:pPr>
            <w:r>
              <w:rPr>
                <w:rFonts w:hint="eastAsia" w:ascii="Times New Roman" w:eastAsia="仿宋"/>
                <w:szCs w:val="21"/>
              </w:rPr>
              <w:t>600</w:t>
            </w:r>
          </w:p>
        </w:tc>
        <w:tc>
          <w:tcPr>
            <w:tcW w:w="0" w:type="auto"/>
            <w:vMerge w:val="restart"/>
            <w:tcBorders>
              <w:top w:val="single" w:color="auto" w:sz="4" w:space="0"/>
              <w:left w:val="single" w:color="auto" w:sz="4" w:space="0"/>
              <w:right w:val="single" w:color="auto" w:sz="4" w:space="0"/>
            </w:tcBorders>
            <w:vAlign w:val="center"/>
          </w:tcPr>
          <w:p w14:paraId="725FB9A9">
            <w:pPr>
              <w:jc w:val="center"/>
              <w:rPr>
                <w:rFonts w:ascii="Times New Roman" w:eastAsia="仿宋"/>
                <w:szCs w:val="21"/>
              </w:rPr>
            </w:pPr>
            <w:r>
              <w:rPr>
                <w:rFonts w:hint="eastAsia" w:ascii="Times New Roman" w:eastAsia="仿宋"/>
                <w:szCs w:val="21"/>
              </w:rPr>
              <w:t>《环境影响评价技术导则 大气环境》（HJ2.2-2018）附录D</w:t>
            </w:r>
          </w:p>
        </w:tc>
      </w:tr>
      <w:tr w14:paraId="3D3E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5" w:type="pct"/>
            <w:tcBorders>
              <w:top w:val="single" w:color="auto" w:sz="4" w:space="0"/>
              <w:left w:val="single" w:color="auto" w:sz="4" w:space="0"/>
              <w:bottom w:val="single" w:color="auto" w:sz="4" w:space="0"/>
              <w:right w:val="single" w:color="auto" w:sz="4" w:space="0"/>
            </w:tcBorders>
            <w:vAlign w:val="center"/>
          </w:tcPr>
          <w:p w14:paraId="0A9F82A5">
            <w:pPr>
              <w:jc w:val="center"/>
              <w:rPr>
                <w:rFonts w:ascii="Times New Roman" w:eastAsia="仿宋"/>
                <w:szCs w:val="21"/>
              </w:rPr>
            </w:pPr>
            <w:r>
              <w:rPr>
                <w:rFonts w:hint="eastAsia" w:ascii="Times New Roman" w:eastAsia="仿宋"/>
                <w:szCs w:val="21"/>
              </w:rPr>
              <w:t>二甲苯</w:t>
            </w:r>
          </w:p>
        </w:tc>
        <w:tc>
          <w:tcPr>
            <w:tcW w:w="940" w:type="pct"/>
            <w:tcBorders>
              <w:top w:val="single" w:color="auto" w:sz="4" w:space="0"/>
              <w:left w:val="single" w:color="auto" w:sz="4" w:space="0"/>
              <w:bottom w:val="single" w:color="auto" w:sz="4" w:space="0"/>
              <w:right w:val="single" w:color="auto" w:sz="4" w:space="0"/>
            </w:tcBorders>
            <w:vAlign w:val="center"/>
          </w:tcPr>
          <w:p w14:paraId="56AEB39F">
            <w:pPr>
              <w:spacing w:line="280" w:lineRule="exact"/>
              <w:jc w:val="center"/>
              <w:rPr>
                <w:rFonts w:ascii="Times New Roman" w:eastAsia="仿宋"/>
              </w:rPr>
            </w:pPr>
            <w:r>
              <w:rPr>
                <w:rFonts w:hint="eastAsia" w:ascii="Times New Roman" w:eastAsia="仿宋"/>
              </w:rPr>
              <w:t>1小时平均</w:t>
            </w:r>
          </w:p>
        </w:tc>
        <w:tc>
          <w:tcPr>
            <w:tcW w:w="1110" w:type="pct"/>
            <w:tcBorders>
              <w:top w:val="single" w:color="auto" w:sz="4" w:space="0"/>
              <w:left w:val="single" w:color="auto" w:sz="4" w:space="0"/>
              <w:bottom w:val="single" w:color="auto" w:sz="4" w:space="0"/>
              <w:right w:val="single" w:color="auto" w:sz="4" w:space="0"/>
            </w:tcBorders>
            <w:vAlign w:val="center"/>
          </w:tcPr>
          <w:p w14:paraId="67E5AF9E">
            <w:pPr>
              <w:spacing w:line="280" w:lineRule="exact"/>
              <w:jc w:val="center"/>
              <w:rPr>
                <w:rFonts w:ascii="Times New Roman" w:eastAsia="仿宋"/>
              </w:rPr>
            </w:pPr>
            <w:r>
              <w:rPr>
                <w:rFonts w:hint="eastAsia" w:ascii="Times New Roman" w:eastAsia="仿宋"/>
              </w:rPr>
              <w:t>200</w:t>
            </w:r>
          </w:p>
        </w:tc>
        <w:tc>
          <w:tcPr>
            <w:tcW w:w="0" w:type="auto"/>
            <w:vMerge w:val="continue"/>
            <w:tcBorders>
              <w:left w:val="single" w:color="auto" w:sz="4" w:space="0"/>
              <w:bottom w:val="single" w:color="auto" w:sz="4" w:space="0"/>
              <w:right w:val="single" w:color="auto" w:sz="4" w:space="0"/>
            </w:tcBorders>
            <w:vAlign w:val="center"/>
          </w:tcPr>
          <w:p w14:paraId="51E8CDFF">
            <w:pPr>
              <w:jc w:val="center"/>
              <w:rPr>
                <w:rFonts w:ascii="Times New Roman" w:eastAsia="仿宋"/>
                <w:szCs w:val="21"/>
              </w:rPr>
            </w:pPr>
          </w:p>
        </w:tc>
      </w:tr>
    </w:tbl>
    <w:p w14:paraId="738CB821">
      <w:pPr>
        <w:ind w:firstLine="482" w:firstLineChars="200"/>
        <w:rPr>
          <w:rFonts w:ascii="Times New Roman" w:eastAsia="仿宋"/>
          <w:b/>
        </w:rPr>
      </w:pPr>
      <w:r>
        <w:rPr>
          <w:rFonts w:ascii="Times New Roman" w:eastAsia="仿宋"/>
          <w:b/>
        </w:rPr>
        <w:t>注：有组织排放烟颗粒物以PM</w:t>
      </w:r>
      <w:r>
        <w:rPr>
          <w:rFonts w:ascii="Times New Roman" w:eastAsia="仿宋"/>
          <w:b/>
          <w:vertAlign w:val="subscript"/>
        </w:rPr>
        <w:t>10</w:t>
      </w:r>
      <w:r>
        <w:rPr>
          <w:rFonts w:ascii="Times New Roman" w:eastAsia="仿宋"/>
          <w:b/>
        </w:rPr>
        <w:t>为评价因子，其中PM10的二级标准的日均值为150ug/m</w:t>
      </w:r>
      <w:r>
        <w:rPr>
          <w:rFonts w:ascii="Times New Roman" w:eastAsia="仿宋"/>
          <w:b/>
          <w:vertAlign w:val="superscript"/>
        </w:rPr>
        <w:t>3</w:t>
      </w:r>
      <w:r>
        <w:rPr>
          <w:rFonts w:ascii="Times New Roman" w:eastAsia="仿宋"/>
          <w:b/>
        </w:rPr>
        <w:t>，小时浓度取日均值的三倍，即为450ug/m</w:t>
      </w:r>
      <w:r>
        <w:rPr>
          <w:rFonts w:ascii="Times New Roman" w:eastAsia="仿宋"/>
          <w:b/>
          <w:vertAlign w:val="superscript"/>
        </w:rPr>
        <w:t>3</w:t>
      </w:r>
      <w:r>
        <w:rPr>
          <w:rFonts w:ascii="Times New Roman" w:eastAsia="仿宋"/>
          <w:b/>
        </w:rPr>
        <w:t>。</w:t>
      </w:r>
      <w:r>
        <w:rPr>
          <w:rFonts w:hint="eastAsia" w:ascii="Times New Roman" w:eastAsia="仿宋"/>
          <w:b/>
        </w:rPr>
        <w:t>有组织排放T</w:t>
      </w:r>
      <w:r>
        <w:rPr>
          <w:rFonts w:ascii="Times New Roman" w:eastAsia="仿宋"/>
          <w:b/>
        </w:rPr>
        <w:t>VOC</w:t>
      </w:r>
      <w:r>
        <w:rPr>
          <w:rFonts w:hint="eastAsia" w:ascii="Times New Roman" w:eastAsia="仿宋"/>
          <w:b/>
        </w:rPr>
        <w:t>的8小时平均浓度值为6</w:t>
      </w:r>
      <w:r>
        <w:rPr>
          <w:rFonts w:ascii="Times New Roman" w:eastAsia="仿宋"/>
          <w:b/>
        </w:rPr>
        <w:t>00ug/m</w:t>
      </w:r>
      <w:r>
        <w:rPr>
          <w:rFonts w:ascii="Times New Roman" w:eastAsia="仿宋"/>
          <w:b/>
          <w:vertAlign w:val="superscript"/>
        </w:rPr>
        <w:t>3</w:t>
      </w:r>
      <w:r>
        <w:rPr>
          <w:rFonts w:ascii="Times New Roman" w:eastAsia="仿宋"/>
          <w:b/>
        </w:rPr>
        <w:t>，小时浓度取</w:t>
      </w:r>
      <w:r>
        <w:rPr>
          <w:rFonts w:hint="eastAsia" w:ascii="Times New Roman" w:eastAsia="仿宋"/>
          <w:b/>
        </w:rPr>
        <w:t>平</w:t>
      </w:r>
      <w:r>
        <w:rPr>
          <w:rFonts w:ascii="Times New Roman" w:eastAsia="仿宋"/>
          <w:b/>
        </w:rPr>
        <w:t>均值的</w:t>
      </w:r>
      <w:r>
        <w:rPr>
          <w:rFonts w:hint="eastAsia" w:ascii="Times New Roman" w:eastAsia="仿宋"/>
          <w:b/>
        </w:rPr>
        <w:t>两</w:t>
      </w:r>
      <w:r>
        <w:rPr>
          <w:rFonts w:ascii="Times New Roman" w:eastAsia="仿宋"/>
          <w:b/>
        </w:rPr>
        <w:t>倍，即为1200ug/m</w:t>
      </w:r>
      <w:r>
        <w:rPr>
          <w:rFonts w:ascii="Times New Roman" w:eastAsia="仿宋"/>
          <w:b/>
          <w:vertAlign w:val="superscript"/>
        </w:rPr>
        <w:t>3</w:t>
      </w:r>
      <w:r>
        <w:rPr>
          <w:rFonts w:hint="eastAsia" w:ascii="Times New Roman" w:eastAsia="仿宋"/>
          <w:b/>
        </w:rPr>
        <w:t>。</w:t>
      </w:r>
    </w:p>
    <w:p w14:paraId="605E2D13">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.2.1.5</w:t>
      </w:r>
      <w:r>
        <w:rPr>
          <w:rFonts w:hint="eastAsia" w:ascii="Times New Roman" w:hAnsi="Times New Roman" w:eastAsia="仿宋"/>
          <w:b/>
        </w:rPr>
        <w:t>预测结果</w:t>
      </w:r>
    </w:p>
    <w:p w14:paraId="22FC88FE">
      <w:pPr>
        <w:spacing w:line="500" w:lineRule="exact"/>
        <w:ind w:firstLine="560" w:firstLineChars="200"/>
        <w:rPr>
          <w:rFonts w:ascii="Times New Roman" w:eastAsia="仿宋"/>
          <w:sz w:val="28"/>
          <w:szCs w:val="28"/>
        </w:rPr>
      </w:pPr>
      <w:bookmarkStart w:id="342" w:name="_Ref422952358"/>
      <w:r>
        <w:rPr>
          <w:rFonts w:hint="eastAsia" w:ascii="Times New Roman" w:eastAsia="仿宋"/>
          <w:sz w:val="28"/>
          <w:szCs w:val="28"/>
        </w:rPr>
        <w:t>采用导则中估算模型预测，距污染源中心下风向预测浓度及浓度占标率见下表。</w:t>
      </w:r>
    </w:p>
    <w:bookmarkEnd w:id="342"/>
    <w:p w14:paraId="0DFAC3BC">
      <w:pPr>
        <w:spacing w:line="500" w:lineRule="exact"/>
        <w:jc w:val="center"/>
        <w:rPr>
          <w:rFonts w:ascii="Times New Roman" w:eastAsia="仿宋"/>
          <w:b/>
        </w:rPr>
      </w:pPr>
      <w:r>
        <w:rPr>
          <w:rFonts w:hint="eastAsia" w:ascii="Times New Roman" w:eastAsia="仿宋"/>
          <w:b/>
        </w:rPr>
        <w:t>表</w:t>
      </w:r>
      <w:r>
        <w:rPr>
          <w:rFonts w:ascii="Times New Roman" w:eastAsia="仿宋"/>
          <w:b/>
        </w:rPr>
        <w:t xml:space="preserve">5.2-10  </w:t>
      </w:r>
      <w:r>
        <w:rPr>
          <w:rFonts w:hint="eastAsia" w:ascii="Times New Roman" w:eastAsia="仿宋"/>
          <w:b/>
        </w:rPr>
        <w:t>1</w:t>
      </w:r>
      <w:r>
        <w:rPr>
          <w:rFonts w:ascii="Times New Roman" w:eastAsia="仿宋"/>
          <w:b/>
        </w:rPr>
        <w:t>#</w:t>
      </w:r>
      <w:r>
        <w:rPr>
          <w:rFonts w:hint="eastAsia" w:ascii="Times New Roman" w:eastAsia="仿宋"/>
          <w:b/>
        </w:rPr>
        <w:t>排气筒估算模型计算结果表</w:t>
      </w:r>
    </w:p>
    <w:tbl>
      <w:tblPr>
        <w:tblStyle w:val="87"/>
        <w:tblW w:w="548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4290"/>
        <w:gridCol w:w="2235"/>
        <w:gridCol w:w="2588"/>
      </w:tblGrid>
      <w:tr w14:paraId="7B0F5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6" w:hRule="atLeast"/>
          <w:jc w:val="center"/>
        </w:trPr>
        <w:tc>
          <w:tcPr>
            <w:tcW w:w="2354" w:type="pct"/>
            <w:vMerge w:val="restart"/>
            <w:vAlign w:val="center"/>
          </w:tcPr>
          <w:p w14:paraId="6410C720">
            <w:pPr>
              <w:jc w:val="center"/>
              <w:rPr>
                <w:rFonts w:ascii="Times New Roman" w:eastAsia="仿宋"/>
                <w:szCs w:val="21"/>
              </w:rPr>
            </w:pPr>
            <w:r>
              <w:rPr>
                <w:rFonts w:ascii="Times New Roman" w:eastAsia="仿宋"/>
                <w:szCs w:val="21"/>
              </w:rPr>
              <w:t>距离(m)</w:t>
            </w:r>
          </w:p>
        </w:tc>
        <w:tc>
          <w:tcPr>
            <w:tcW w:w="2646" w:type="pct"/>
            <w:gridSpan w:val="2"/>
            <w:vAlign w:val="center"/>
          </w:tcPr>
          <w:p w14:paraId="4DE42F19">
            <w:pPr>
              <w:jc w:val="center"/>
              <w:rPr>
                <w:rFonts w:ascii="Times New Roman" w:eastAsia="仿宋"/>
                <w:szCs w:val="21"/>
              </w:rPr>
            </w:pPr>
            <w:r>
              <w:rPr>
                <w:rFonts w:hint="eastAsia" w:ascii="Times New Roman" w:eastAsia="仿宋"/>
                <w:szCs w:val="21"/>
              </w:rPr>
              <w:t>1#</w:t>
            </w:r>
            <w:r>
              <w:rPr>
                <w:rFonts w:ascii="Times New Roman" w:eastAsia="仿宋"/>
                <w:szCs w:val="21"/>
              </w:rPr>
              <w:t>排气筒</w:t>
            </w:r>
          </w:p>
        </w:tc>
      </w:tr>
      <w:tr w14:paraId="08D13D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Merge w:val="continue"/>
            <w:vAlign w:val="center"/>
          </w:tcPr>
          <w:p w14:paraId="0713F388">
            <w:pPr>
              <w:jc w:val="center"/>
              <w:rPr>
                <w:rFonts w:ascii="Times New Roman" w:eastAsia="仿宋"/>
                <w:szCs w:val="21"/>
              </w:rPr>
            </w:pPr>
          </w:p>
        </w:tc>
        <w:tc>
          <w:tcPr>
            <w:tcW w:w="2646" w:type="pct"/>
            <w:gridSpan w:val="2"/>
            <w:vAlign w:val="center"/>
          </w:tcPr>
          <w:p w14:paraId="204B4028">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r>
      <w:tr w14:paraId="45937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09" w:hRule="atLeast"/>
          <w:jc w:val="center"/>
        </w:trPr>
        <w:tc>
          <w:tcPr>
            <w:tcW w:w="2354" w:type="pct"/>
            <w:vMerge w:val="continue"/>
            <w:vAlign w:val="center"/>
          </w:tcPr>
          <w:p w14:paraId="213A3090">
            <w:pPr>
              <w:jc w:val="center"/>
              <w:rPr>
                <w:rFonts w:ascii="Times New Roman" w:eastAsia="仿宋"/>
                <w:szCs w:val="21"/>
              </w:rPr>
            </w:pPr>
          </w:p>
        </w:tc>
        <w:tc>
          <w:tcPr>
            <w:tcW w:w="1226" w:type="pct"/>
            <w:vAlign w:val="center"/>
          </w:tcPr>
          <w:p w14:paraId="55735C64">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1420" w:type="pct"/>
            <w:vAlign w:val="center"/>
          </w:tcPr>
          <w:p w14:paraId="79523F08">
            <w:pPr>
              <w:jc w:val="center"/>
              <w:rPr>
                <w:rFonts w:ascii="Times New Roman" w:eastAsia="仿宋"/>
                <w:szCs w:val="21"/>
              </w:rPr>
            </w:pPr>
            <w:r>
              <w:rPr>
                <w:rFonts w:ascii="Times New Roman" w:eastAsia="仿宋"/>
                <w:szCs w:val="21"/>
              </w:rPr>
              <w:t>占标率(%)</w:t>
            </w:r>
          </w:p>
        </w:tc>
      </w:tr>
      <w:tr w14:paraId="0A6723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6BE2E3E2">
            <w:pPr>
              <w:jc w:val="center"/>
              <w:rPr>
                <w:rFonts w:ascii="Times New Roman" w:eastAsia="仿宋"/>
                <w:szCs w:val="21"/>
              </w:rPr>
            </w:pPr>
            <w:r>
              <w:rPr>
                <w:rFonts w:ascii="Times New Roman" w:eastAsia="仿宋"/>
                <w:szCs w:val="21"/>
              </w:rPr>
              <w:t>50</w:t>
            </w:r>
          </w:p>
        </w:tc>
        <w:tc>
          <w:tcPr>
            <w:tcW w:w="1226" w:type="pct"/>
            <w:vAlign w:val="bottom"/>
          </w:tcPr>
          <w:p w14:paraId="34BEAE2F">
            <w:pPr>
              <w:jc w:val="center"/>
              <w:rPr>
                <w:rFonts w:ascii="Times New Roman" w:eastAsia="仿宋"/>
                <w:szCs w:val="21"/>
              </w:rPr>
            </w:pPr>
            <w:r>
              <w:rPr>
                <w:rFonts w:hint="eastAsia" w:ascii="Times New Roman" w:eastAsia="仿宋"/>
                <w:szCs w:val="21"/>
              </w:rPr>
              <w:t>0.37</w:t>
            </w:r>
          </w:p>
        </w:tc>
        <w:tc>
          <w:tcPr>
            <w:tcW w:w="1420" w:type="pct"/>
            <w:vAlign w:val="bottom"/>
          </w:tcPr>
          <w:p w14:paraId="32647F80">
            <w:pPr>
              <w:jc w:val="center"/>
              <w:rPr>
                <w:rFonts w:ascii="Times New Roman" w:eastAsia="仿宋"/>
                <w:szCs w:val="21"/>
              </w:rPr>
            </w:pPr>
            <w:r>
              <w:rPr>
                <w:rFonts w:hint="eastAsia" w:ascii="Times New Roman" w:eastAsia="仿宋"/>
                <w:szCs w:val="21"/>
              </w:rPr>
              <w:t>0.082</w:t>
            </w:r>
          </w:p>
        </w:tc>
      </w:tr>
      <w:tr w14:paraId="4B3A4D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2C9DEED2">
            <w:pPr>
              <w:jc w:val="center"/>
              <w:rPr>
                <w:rFonts w:ascii="Times New Roman" w:eastAsia="仿宋"/>
                <w:szCs w:val="21"/>
              </w:rPr>
            </w:pPr>
            <w:r>
              <w:rPr>
                <w:rFonts w:ascii="Times New Roman" w:eastAsia="仿宋"/>
                <w:szCs w:val="21"/>
              </w:rPr>
              <w:t>100</w:t>
            </w:r>
          </w:p>
        </w:tc>
        <w:tc>
          <w:tcPr>
            <w:tcW w:w="1226" w:type="pct"/>
            <w:vAlign w:val="bottom"/>
          </w:tcPr>
          <w:p w14:paraId="2DC15295">
            <w:pPr>
              <w:jc w:val="center"/>
              <w:rPr>
                <w:rFonts w:ascii="Times New Roman" w:eastAsia="仿宋"/>
                <w:szCs w:val="21"/>
              </w:rPr>
            </w:pPr>
            <w:r>
              <w:rPr>
                <w:rFonts w:hint="eastAsia" w:ascii="Times New Roman" w:eastAsia="仿宋"/>
                <w:szCs w:val="21"/>
              </w:rPr>
              <w:t>1.17</w:t>
            </w:r>
          </w:p>
        </w:tc>
        <w:tc>
          <w:tcPr>
            <w:tcW w:w="1420" w:type="pct"/>
            <w:vAlign w:val="bottom"/>
          </w:tcPr>
          <w:p w14:paraId="791787F2">
            <w:pPr>
              <w:jc w:val="center"/>
              <w:rPr>
                <w:rFonts w:ascii="Times New Roman" w:eastAsia="仿宋"/>
                <w:szCs w:val="21"/>
              </w:rPr>
            </w:pPr>
            <w:r>
              <w:rPr>
                <w:rFonts w:hint="eastAsia" w:ascii="Times New Roman" w:eastAsia="仿宋"/>
                <w:szCs w:val="21"/>
              </w:rPr>
              <w:t>0.26</w:t>
            </w:r>
          </w:p>
        </w:tc>
      </w:tr>
      <w:tr w14:paraId="4F5435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1AFE27EB">
            <w:pPr>
              <w:jc w:val="center"/>
              <w:rPr>
                <w:rFonts w:ascii="Times New Roman" w:eastAsia="仿宋"/>
                <w:szCs w:val="21"/>
              </w:rPr>
            </w:pPr>
            <w:r>
              <w:rPr>
                <w:rFonts w:hint="eastAsia" w:ascii="Times New Roman" w:eastAsia="仿宋"/>
                <w:szCs w:val="21"/>
              </w:rPr>
              <w:t>1</w:t>
            </w:r>
            <w:r>
              <w:rPr>
                <w:rFonts w:ascii="Times New Roman" w:eastAsia="仿宋"/>
                <w:szCs w:val="21"/>
              </w:rPr>
              <w:t>67</w:t>
            </w:r>
          </w:p>
        </w:tc>
        <w:tc>
          <w:tcPr>
            <w:tcW w:w="1226" w:type="pct"/>
            <w:vAlign w:val="bottom"/>
          </w:tcPr>
          <w:p w14:paraId="2735353A">
            <w:pPr>
              <w:jc w:val="center"/>
              <w:rPr>
                <w:rFonts w:ascii="Times New Roman" w:eastAsia="仿宋"/>
                <w:szCs w:val="21"/>
              </w:rPr>
            </w:pPr>
            <w:r>
              <w:rPr>
                <w:rFonts w:hint="eastAsia" w:ascii="Times New Roman" w:eastAsia="仿宋"/>
                <w:szCs w:val="21"/>
              </w:rPr>
              <w:t>1.7</w:t>
            </w:r>
            <w:r>
              <w:rPr>
                <w:rFonts w:ascii="Times New Roman" w:eastAsia="仿宋"/>
                <w:szCs w:val="21"/>
              </w:rPr>
              <w:t>1</w:t>
            </w:r>
          </w:p>
        </w:tc>
        <w:tc>
          <w:tcPr>
            <w:tcW w:w="1420" w:type="pct"/>
            <w:vAlign w:val="bottom"/>
          </w:tcPr>
          <w:p w14:paraId="73ECF595">
            <w:pPr>
              <w:jc w:val="center"/>
              <w:rPr>
                <w:rFonts w:ascii="Times New Roman" w:eastAsia="仿宋"/>
                <w:szCs w:val="21"/>
              </w:rPr>
            </w:pPr>
            <w:r>
              <w:rPr>
                <w:rFonts w:hint="eastAsia" w:ascii="Times New Roman" w:eastAsia="仿宋"/>
                <w:szCs w:val="21"/>
              </w:rPr>
              <w:t>0.38</w:t>
            </w:r>
          </w:p>
        </w:tc>
      </w:tr>
      <w:tr w14:paraId="18354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5830302D">
            <w:pPr>
              <w:jc w:val="center"/>
              <w:rPr>
                <w:rFonts w:ascii="Times New Roman" w:eastAsia="仿宋"/>
                <w:szCs w:val="21"/>
              </w:rPr>
            </w:pPr>
            <w:r>
              <w:rPr>
                <w:rFonts w:ascii="Times New Roman" w:eastAsia="仿宋"/>
                <w:szCs w:val="21"/>
              </w:rPr>
              <w:t>200</w:t>
            </w:r>
          </w:p>
        </w:tc>
        <w:tc>
          <w:tcPr>
            <w:tcW w:w="1226" w:type="pct"/>
            <w:vAlign w:val="bottom"/>
          </w:tcPr>
          <w:p w14:paraId="3BFA1B6A">
            <w:pPr>
              <w:jc w:val="center"/>
              <w:rPr>
                <w:rFonts w:ascii="Times New Roman" w:eastAsia="仿宋"/>
                <w:szCs w:val="21"/>
              </w:rPr>
            </w:pPr>
            <w:r>
              <w:rPr>
                <w:rFonts w:hint="eastAsia" w:ascii="Times New Roman" w:eastAsia="仿宋"/>
                <w:szCs w:val="21"/>
              </w:rPr>
              <w:t>1.65</w:t>
            </w:r>
          </w:p>
        </w:tc>
        <w:tc>
          <w:tcPr>
            <w:tcW w:w="1420" w:type="pct"/>
            <w:vAlign w:val="bottom"/>
          </w:tcPr>
          <w:p w14:paraId="07E9F4AC">
            <w:pPr>
              <w:jc w:val="center"/>
              <w:rPr>
                <w:rFonts w:ascii="Times New Roman" w:eastAsia="仿宋"/>
                <w:szCs w:val="21"/>
              </w:rPr>
            </w:pPr>
            <w:r>
              <w:rPr>
                <w:rFonts w:hint="eastAsia" w:ascii="Times New Roman" w:eastAsia="仿宋"/>
                <w:szCs w:val="21"/>
              </w:rPr>
              <w:t>0.36</w:t>
            </w:r>
          </w:p>
        </w:tc>
      </w:tr>
      <w:tr w14:paraId="53D75C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1F919AFD">
            <w:pPr>
              <w:jc w:val="center"/>
              <w:rPr>
                <w:rFonts w:ascii="Times New Roman" w:eastAsia="仿宋"/>
                <w:szCs w:val="21"/>
              </w:rPr>
            </w:pPr>
            <w:r>
              <w:rPr>
                <w:rFonts w:ascii="Times New Roman" w:eastAsia="仿宋"/>
                <w:szCs w:val="21"/>
              </w:rPr>
              <w:t>300</w:t>
            </w:r>
          </w:p>
        </w:tc>
        <w:tc>
          <w:tcPr>
            <w:tcW w:w="1226" w:type="pct"/>
            <w:vAlign w:val="bottom"/>
          </w:tcPr>
          <w:p w14:paraId="61E86112">
            <w:pPr>
              <w:jc w:val="center"/>
              <w:rPr>
                <w:rFonts w:ascii="Times New Roman" w:eastAsia="仿宋"/>
                <w:szCs w:val="21"/>
              </w:rPr>
            </w:pPr>
            <w:r>
              <w:rPr>
                <w:rFonts w:hint="eastAsia" w:ascii="Times New Roman" w:eastAsia="仿宋"/>
                <w:szCs w:val="21"/>
              </w:rPr>
              <w:t>1.30</w:t>
            </w:r>
          </w:p>
        </w:tc>
        <w:tc>
          <w:tcPr>
            <w:tcW w:w="1420" w:type="pct"/>
            <w:vAlign w:val="bottom"/>
          </w:tcPr>
          <w:p w14:paraId="389060C4">
            <w:pPr>
              <w:jc w:val="center"/>
              <w:rPr>
                <w:rFonts w:ascii="Times New Roman" w:eastAsia="仿宋"/>
                <w:szCs w:val="21"/>
              </w:rPr>
            </w:pPr>
            <w:r>
              <w:rPr>
                <w:rFonts w:hint="eastAsia" w:ascii="Times New Roman" w:eastAsia="仿宋"/>
                <w:szCs w:val="21"/>
              </w:rPr>
              <w:t>0.29</w:t>
            </w:r>
          </w:p>
        </w:tc>
      </w:tr>
      <w:tr w14:paraId="1E4036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0BC16DFE">
            <w:pPr>
              <w:jc w:val="center"/>
              <w:rPr>
                <w:rFonts w:ascii="Times New Roman" w:eastAsia="仿宋"/>
                <w:szCs w:val="21"/>
              </w:rPr>
            </w:pPr>
            <w:r>
              <w:rPr>
                <w:rFonts w:ascii="Times New Roman" w:eastAsia="仿宋"/>
                <w:szCs w:val="21"/>
              </w:rPr>
              <w:t>400</w:t>
            </w:r>
          </w:p>
        </w:tc>
        <w:tc>
          <w:tcPr>
            <w:tcW w:w="1226" w:type="pct"/>
            <w:vAlign w:val="bottom"/>
          </w:tcPr>
          <w:p w14:paraId="5A292489">
            <w:pPr>
              <w:jc w:val="center"/>
              <w:rPr>
                <w:rFonts w:ascii="Times New Roman" w:eastAsia="仿宋"/>
                <w:szCs w:val="21"/>
              </w:rPr>
            </w:pPr>
            <w:r>
              <w:rPr>
                <w:rFonts w:hint="eastAsia" w:ascii="Times New Roman" w:eastAsia="仿宋"/>
                <w:szCs w:val="21"/>
              </w:rPr>
              <w:t>1.13</w:t>
            </w:r>
          </w:p>
        </w:tc>
        <w:tc>
          <w:tcPr>
            <w:tcW w:w="1420" w:type="pct"/>
            <w:vAlign w:val="bottom"/>
          </w:tcPr>
          <w:p w14:paraId="5729B4B5">
            <w:pPr>
              <w:jc w:val="center"/>
              <w:rPr>
                <w:rFonts w:ascii="Times New Roman" w:eastAsia="仿宋"/>
                <w:szCs w:val="21"/>
              </w:rPr>
            </w:pPr>
            <w:r>
              <w:rPr>
                <w:rFonts w:hint="eastAsia" w:ascii="Times New Roman" w:eastAsia="仿宋"/>
                <w:szCs w:val="21"/>
              </w:rPr>
              <w:t>0.25</w:t>
            </w:r>
          </w:p>
        </w:tc>
      </w:tr>
      <w:tr w14:paraId="663BE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4949322F">
            <w:pPr>
              <w:jc w:val="center"/>
              <w:rPr>
                <w:rFonts w:ascii="Times New Roman" w:eastAsia="仿宋"/>
                <w:szCs w:val="21"/>
              </w:rPr>
            </w:pPr>
            <w:r>
              <w:rPr>
                <w:rFonts w:ascii="Times New Roman" w:eastAsia="仿宋"/>
                <w:szCs w:val="21"/>
              </w:rPr>
              <w:t>500</w:t>
            </w:r>
          </w:p>
        </w:tc>
        <w:tc>
          <w:tcPr>
            <w:tcW w:w="1226" w:type="pct"/>
            <w:vAlign w:val="bottom"/>
          </w:tcPr>
          <w:p w14:paraId="2F727F5E">
            <w:pPr>
              <w:jc w:val="center"/>
              <w:rPr>
                <w:rFonts w:ascii="Times New Roman" w:eastAsia="仿宋"/>
                <w:szCs w:val="21"/>
              </w:rPr>
            </w:pPr>
            <w:r>
              <w:rPr>
                <w:rFonts w:hint="eastAsia" w:ascii="Times New Roman" w:eastAsia="仿宋"/>
                <w:szCs w:val="21"/>
              </w:rPr>
              <w:t>0.98</w:t>
            </w:r>
          </w:p>
        </w:tc>
        <w:tc>
          <w:tcPr>
            <w:tcW w:w="1420" w:type="pct"/>
            <w:vAlign w:val="bottom"/>
          </w:tcPr>
          <w:p w14:paraId="5977A050">
            <w:pPr>
              <w:jc w:val="center"/>
              <w:rPr>
                <w:rFonts w:ascii="Times New Roman" w:eastAsia="仿宋"/>
                <w:szCs w:val="21"/>
              </w:rPr>
            </w:pPr>
            <w:r>
              <w:rPr>
                <w:rFonts w:hint="eastAsia" w:ascii="Times New Roman" w:eastAsia="仿宋"/>
                <w:szCs w:val="21"/>
              </w:rPr>
              <w:t>0.21</w:t>
            </w:r>
          </w:p>
        </w:tc>
      </w:tr>
      <w:tr w14:paraId="1DC454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632F9A7D">
            <w:pPr>
              <w:jc w:val="center"/>
              <w:rPr>
                <w:rFonts w:ascii="Times New Roman" w:eastAsia="仿宋"/>
                <w:szCs w:val="21"/>
              </w:rPr>
            </w:pPr>
            <w:r>
              <w:rPr>
                <w:rFonts w:ascii="Times New Roman" w:eastAsia="仿宋"/>
                <w:szCs w:val="21"/>
              </w:rPr>
              <w:t>600</w:t>
            </w:r>
          </w:p>
        </w:tc>
        <w:tc>
          <w:tcPr>
            <w:tcW w:w="1226" w:type="pct"/>
            <w:vAlign w:val="bottom"/>
          </w:tcPr>
          <w:p w14:paraId="7DAF663E">
            <w:pPr>
              <w:jc w:val="center"/>
              <w:rPr>
                <w:rFonts w:ascii="Times New Roman" w:eastAsia="仿宋"/>
                <w:szCs w:val="21"/>
              </w:rPr>
            </w:pPr>
            <w:r>
              <w:rPr>
                <w:rFonts w:hint="eastAsia" w:ascii="Times New Roman" w:eastAsia="仿宋"/>
                <w:szCs w:val="21"/>
              </w:rPr>
              <w:t>0.85</w:t>
            </w:r>
          </w:p>
        </w:tc>
        <w:tc>
          <w:tcPr>
            <w:tcW w:w="1420" w:type="pct"/>
            <w:vAlign w:val="bottom"/>
          </w:tcPr>
          <w:p w14:paraId="00D5B623">
            <w:pPr>
              <w:jc w:val="center"/>
              <w:rPr>
                <w:rFonts w:ascii="Times New Roman" w:eastAsia="仿宋"/>
                <w:szCs w:val="21"/>
              </w:rPr>
            </w:pPr>
            <w:r>
              <w:rPr>
                <w:rFonts w:hint="eastAsia" w:ascii="Times New Roman" w:eastAsia="仿宋"/>
                <w:szCs w:val="21"/>
              </w:rPr>
              <w:t>0.18</w:t>
            </w:r>
          </w:p>
        </w:tc>
      </w:tr>
      <w:tr w14:paraId="56CEB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6CED3F2B">
            <w:pPr>
              <w:jc w:val="center"/>
              <w:rPr>
                <w:rFonts w:ascii="Times New Roman" w:eastAsia="仿宋"/>
                <w:szCs w:val="21"/>
              </w:rPr>
            </w:pPr>
            <w:r>
              <w:rPr>
                <w:rFonts w:ascii="Times New Roman" w:eastAsia="仿宋"/>
                <w:szCs w:val="21"/>
              </w:rPr>
              <w:t>700</w:t>
            </w:r>
          </w:p>
        </w:tc>
        <w:tc>
          <w:tcPr>
            <w:tcW w:w="1226" w:type="pct"/>
            <w:vAlign w:val="bottom"/>
          </w:tcPr>
          <w:p w14:paraId="787A764C">
            <w:pPr>
              <w:jc w:val="center"/>
              <w:rPr>
                <w:rFonts w:ascii="Times New Roman" w:eastAsia="仿宋"/>
                <w:szCs w:val="21"/>
              </w:rPr>
            </w:pPr>
            <w:r>
              <w:rPr>
                <w:rFonts w:hint="eastAsia" w:ascii="Times New Roman" w:eastAsia="仿宋"/>
                <w:szCs w:val="21"/>
              </w:rPr>
              <w:t>0.74</w:t>
            </w:r>
          </w:p>
        </w:tc>
        <w:tc>
          <w:tcPr>
            <w:tcW w:w="1420" w:type="pct"/>
            <w:vAlign w:val="bottom"/>
          </w:tcPr>
          <w:p w14:paraId="0A8F06E9">
            <w:pPr>
              <w:jc w:val="center"/>
              <w:rPr>
                <w:rFonts w:ascii="Times New Roman" w:eastAsia="仿宋"/>
                <w:szCs w:val="21"/>
              </w:rPr>
            </w:pPr>
            <w:r>
              <w:rPr>
                <w:rFonts w:hint="eastAsia" w:ascii="Times New Roman" w:eastAsia="仿宋"/>
                <w:szCs w:val="21"/>
              </w:rPr>
              <w:t>0.16</w:t>
            </w:r>
          </w:p>
        </w:tc>
      </w:tr>
      <w:tr w14:paraId="23E4B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0CBB4398">
            <w:pPr>
              <w:jc w:val="center"/>
              <w:rPr>
                <w:rFonts w:ascii="Times New Roman" w:eastAsia="仿宋"/>
                <w:szCs w:val="21"/>
              </w:rPr>
            </w:pPr>
            <w:r>
              <w:rPr>
                <w:rFonts w:ascii="Times New Roman" w:eastAsia="仿宋"/>
                <w:szCs w:val="21"/>
              </w:rPr>
              <w:t>800</w:t>
            </w:r>
          </w:p>
        </w:tc>
        <w:tc>
          <w:tcPr>
            <w:tcW w:w="1226" w:type="pct"/>
            <w:vAlign w:val="bottom"/>
          </w:tcPr>
          <w:p w14:paraId="20B04663">
            <w:pPr>
              <w:jc w:val="center"/>
              <w:rPr>
                <w:rFonts w:ascii="Times New Roman" w:eastAsia="仿宋"/>
                <w:szCs w:val="21"/>
              </w:rPr>
            </w:pPr>
            <w:r>
              <w:rPr>
                <w:rFonts w:hint="eastAsia" w:ascii="Times New Roman" w:eastAsia="仿宋"/>
                <w:szCs w:val="21"/>
              </w:rPr>
              <w:t>0.65</w:t>
            </w:r>
          </w:p>
        </w:tc>
        <w:tc>
          <w:tcPr>
            <w:tcW w:w="1420" w:type="pct"/>
            <w:vAlign w:val="bottom"/>
          </w:tcPr>
          <w:p w14:paraId="715549C8">
            <w:pPr>
              <w:jc w:val="center"/>
              <w:rPr>
                <w:rFonts w:ascii="Times New Roman" w:eastAsia="仿宋"/>
                <w:szCs w:val="21"/>
              </w:rPr>
            </w:pPr>
            <w:r>
              <w:rPr>
                <w:rFonts w:hint="eastAsia" w:ascii="Times New Roman" w:eastAsia="仿宋"/>
                <w:szCs w:val="21"/>
              </w:rPr>
              <w:t>0.14</w:t>
            </w:r>
          </w:p>
        </w:tc>
      </w:tr>
      <w:tr w14:paraId="4C74C3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47E98416">
            <w:pPr>
              <w:jc w:val="center"/>
              <w:rPr>
                <w:rFonts w:ascii="Times New Roman" w:eastAsia="仿宋"/>
                <w:szCs w:val="21"/>
              </w:rPr>
            </w:pPr>
            <w:r>
              <w:rPr>
                <w:rFonts w:ascii="Times New Roman" w:eastAsia="仿宋"/>
                <w:szCs w:val="21"/>
              </w:rPr>
              <w:t>900</w:t>
            </w:r>
          </w:p>
        </w:tc>
        <w:tc>
          <w:tcPr>
            <w:tcW w:w="1226" w:type="pct"/>
            <w:vAlign w:val="bottom"/>
          </w:tcPr>
          <w:p w14:paraId="7F1F2421">
            <w:pPr>
              <w:jc w:val="center"/>
              <w:rPr>
                <w:rFonts w:ascii="Times New Roman" w:eastAsia="仿宋"/>
                <w:szCs w:val="21"/>
              </w:rPr>
            </w:pPr>
            <w:r>
              <w:rPr>
                <w:rFonts w:hint="eastAsia" w:ascii="Times New Roman" w:eastAsia="仿宋"/>
                <w:szCs w:val="21"/>
              </w:rPr>
              <w:t>0.60</w:t>
            </w:r>
          </w:p>
        </w:tc>
        <w:tc>
          <w:tcPr>
            <w:tcW w:w="1420" w:type="pct"/>
            <w:vAlign w:val="bottom"/>
          </w:tcPr>
          <w:p w14:paraId="5B0AC143">
            <w:pPr>
              <w:jc w:val="center"/>
              <w:rPr>
                <w:rFonts w:ascii="Times New Roman" w:eastAsia="仿宋"/>
                <w:szCs w:val="21"/>
              </w:rPr>
            </w:pPr>
            <w:r>
              <w:rPr>
                <w:rFonts w:hint="eastAsia" w:ascii="Times New Roman" w:eastAsia="仿宋"/>
                <w:szCs w:val="21"/>
              </w:rPr>
              <w:t>0.13</w:t>
            </w:r>
          </w:p>
        </w:tc>
      </w:tr>
      <w:tr w14:paraId="5045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47A139EE">
            <w:pPr>
              <w:jc w:val="center"/>
              <w:rPr>
                <w:rFonts w:ascii="Times New Roman" w:eastAsia="仿宋"/>
                <w:szCs w:val="21"/>
              </w:rPr>
            </w:pPr>
            <w:r>
              <w:rPr>
                <w:rFonts w:ascii="Times New Roman" w:eastAsia="仿宋"/>
                <w:szCs w:val="21"/>
              </w:rPr>
              <w:t>1000</w:t>
            </w:r>
          </w:p>
        </w:tc>
        <w:tc>
          <w:tcPr>
            <w:tcW w:w="1226" w:type="pct"/>
            <w:vAlign w:val="bottom"/>
          </w:tcPr>
          <w:p w14:paraId="31A96341">
            <w:pPr>
              <w:jc w:val="center"/>
              <w:rPr>
                <w:rFonts w:ascii="Times New Roman" w:eastAsia="仿宋"/>
                <w:szCs w:val="21"/>
              </w:rPr>
            </w:pPr>
            <w:r>
              <w:rPr>
                <w:rFonts w:hint="eastAsia" w:ascii="Times New Roman" w:eastAsia="仿宋"/>
                <w:szCs w:val="21"/>
              </w:rPr>
              <w:t>0.54</w:t>
            </w:r>
          </w:p>
        </w:tc>
        <w:tc>
          <w:tcPr>
            <w:tcW w:w="1420" w:type="pct"/>
            <w:vAlign w:val="bottom"/>
          </w:tcPr>
          <w:p w14:paraId="10EE6E42">
            <w:pPr>
              <w:jc w:val="center"/>
              <w:rPr>
                <w:rFonts w:ascii="Times New Roman" w:eastAsia="仿宋"/>
                <w:szCs w:val="21"/>
              </w:rPr>
            </w:pPr>
            <w:r>
              <w:rPr>
                <w:rFonts w:hint="eastAsia" w:ascii="Times New Roman" w:eastAsia="仿宋"/>
                <w:szCs w:val="21"/>
              </w:rPr>
              <w:t>0.12</w:t>
            </w:r>
          </w:p>
        </w:tc>
      </w:tr>
      <w:tr w14:paraId="2B27B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5BD28BB3">
            <w:pPr>
              <w:jc w:val="center"/>
              <w:rPr>
                <w:rFonts w:ascii="Times New Roman" w:eastAsia="仿宋"/>
                <w:szCs w:val="21"/>
              </w:rPr>
            </w:pPr>
            <w:r>
              <w:rPr>
                <w:rFonts w:ascii="Times New Roman" w:eastAsia="仿宋"/>
                <w:szCs w:val="21"/>
              </w:rPr>
              <w:t>1200</w:t>
            </w:r>
          </w:p>
        </w:tc>
        <w:tc>
          <w:tcPr>
            <w:tcW w:w="1226" w:type="pct"/>
            <w:vAlign w:val="bottom"/>
          </w:tcPr>
          <w:p w14:paraId="15071F70">
            <w:pPr>
              <w:jc w:val="center"/>
              <w:rPr>
                <w:rFonts w:ascii="Times New Roman" w:eastAsia="仿宋"/>
                <w:szCs w:val="21"/>
              </w:rPr>
            </w:pPr>
            <w:r>
              <w:rPr>
                <w:rFonts w:hint="eastAsia" w:ascii="Times New Roman" w:eastAsia="仿宋"/>
                <w:szCs w:val="21"/>
              </w:rPr>
              <w:t>0.46</w:t>
            </w:r>
          </w:p>
        </w:tc>
        <w:tc>
          <w:tcPr>
            <w:tcW w:w="1420" w:type="pct"/>
            <w:vAlign w:val="bottom"/>
          </w:tcPr>
          <w:p w14:paraId="2F6ACB22">
            <w:pPr>
              <w:jc w:val="center"/>
              <w:rPr>
                <w:rFonts w:ascii="Times New Roman" w:eastAsia="仿宋"/>
                <w:szCs w:val="21"/>
              </w:rPr>
            </w:pPr>
            <w:r>
              <w:rPr>
                <w:rFonts w:hint="eastAsia" w:ascii="Times New Roman" w:eastAsia="仿宋"/>
                <w:szCs w:val="21"/>
              </w:rPr>
              <w:t>0.10</w:t>
            </w:r>
          </w:p>
        </w:tc>
      </w:tr>
      <w:tr w14:paraId="2695AC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33800996">
            <w:pPr>
              <w:jc w:val="center"/>
              <w:rPr>
                <w:rFonts w:ascii="Times New Roman" w:eastAsia="仿宋"/>
                <w:szCs w:val="21"/>
              </w:rPr>
            </w:pPr>
            <w:r>
              <w:rPr>
                <w:rFonts w:ascii="Times New Roman" w:eastAsia="仿宋"/>
                <w:szCs w:val="21"/>
              </w:rPr>
              <w:t>1400</w:t>
            </w:r>
          </w:p>
        </w:tc>
        <w:tc>
          <w:tcPr>
            <w:tcW w:w="1226" w:type="pct"/>
            <w:vAlign w:val="bottom"/>
          </w:tcPr>
          <w:p w14:paraId="3C5E7EAA">
            <w:pPr>
              <w:jc w:val="center"/>
              <w:rPr>
                <w:rFonts w:ascii="Times New Roman" w:eastAsia="仿宋"/>
                <w:szCs w:val="21"/>
              </w:rPr>
            </w:pPr>
            <w:r>
              <w:rPr>
                <w:rFonts w:hint="eastAsia" w:ascii="Times New Roman" w:eastAsia="仿宋"/>
                <w:szCs w:val="21"/>
              </w:rPr>
              <w:t>0.41</w:t>
            </w:r>
          </w:p>
        </w:tc>
        <w:tc>
          <w:tcPr>
            <w:tcW w:w="1420" w:type="pct"/>
            <w:vAlign w:val="bottom"/>
          </w:tcPr>
          <w:p w14:paraId="1B030A7F">
            <w:pPr>
              <w:jc w:val="center"/>
              <w:rPr>
                <w:rFonts w:ascii="Times New Roman" w:eastAsia="仿宋"/>
                <w:szCs w:val="21"/>
              </w:rPr>
            </w:pPr>
            <w:r>
              <w:rPr>
                <w:rFonts w:hint="eastAsia" w:ascii="Times New Roman" w:eastAsia="仿宋"/>
                <w:szCs w:val="21"/>
              </w:rPr>
              <w:t>0.092</w:t>
            </w:r>
          </w:p>
        </w:tc>
      </w:tr>
      <w:tr w14:paraId="097D8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1D26145D">
            <w:pPr>
              <w:jc w:val="center"/>
              <w:rPr>
                <w:rFonts w:ascii="Times New Roman" w:eastAsia="仿宋"/>
                <w:szCs w:val="21"/>
              </w:rPr>
            </w:pPr>
            <w:r>
              <w:rPr>
                <w:rFonts w:ascii="Times New Roman" w:eastAsia="仿宋"/>
                <w:szCs w:val="21"/>
              </w:rPr>
              <w:t>1600</w:t>
            </w:r>
          </w:p>
        </w:tc>
        <w:tc>
          <w:tcPr>
            <w:tcW w:w="1226" w:type="pct"/>
            <w:vAlign w:val="bottom"/>
          </w:tcPr>
          <w:p w14:paraId="2CDCCDD0">
            <w:pPr>
              <w:jc w:val="center"/>
              <w:rPr>
                <w:rFonts w:ascii="Times New Roman" w:eastAsia="仿宋"/>
                <w:szCs w:val="21"/>
              </w:rPr>
            </w:pPr>
            <w:r>
              <w:rPr>
                <w:rFonts w:hint="eastAsia" w:ascii="Times New Roman" w:eastAsia="仿宋"/>
                <w:szCs w:val="21"/>
              </w:rPr>
              <w:t>0.37</w:t>
            </w:r>
          </w:p>
        </w:tc>
        <w:tc>
          <w:tcPr>
            <w:tcW w:w="1420" w:type="pct"/>
            <w:vAlign w:val="bottom"/>
          </w:tcPr>
          <w:p w14:paraId="32E1E7F2">
            <w:pPr>
              <w:jc w:val="center"/>
              <w:rPr>
                <w:rFonts w:ascii="Times New Roman" w:eastAsia="仿宋"/>
                <w:szCs w:val="21"/>
              </w:rPr>
            </w:pPr>
            <w:r>
              <w:rPr>
                <w:rFonts w:hint="eastAsia" w:ascii="Times New Roman" w:eastAsia="仿宋"/>
                <w:szCs w:val="21"/>
              </w:rPr>
              <w:t>0.084</w:t>
            </w:r>
          </w:p>
        </w:tc>
      </w:tr>
      <w:tr w14:paraId="4514F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09ADEB50">
            <w:pPr>
              <w:jc w:val="center"/>
              <w:rPr>
                <w:rFonts w:ascii="Times New Roman" w:eastAsia="仿宋"/>
                <w:szCs w:val="21"/>
              </w:rPr>
            </w:pPr>
            <w:r>
              <w:rPr>
                <w:rFonts w:ascii="Times New Roman" w:eastAsia="仿宋"/>
                <w:szCs w:val="21"/>
              </w:rPr>
              <w:t>1800</w:t>
            </w:r>
          </w:p>
        </w:tc>
        <w:tc>
          <w:tcPr>
            <w:tcW w:w="1226" w:type="pct"/>
            <w:vAlign w:val="bottom"/>
          </w:tcPr>
          <w:p w14:paraId="1DECC400">
            <w:pPr>
              <w:jc w:val="center"/>
              <w:rPr>
                <w:rFonts w:ascii="Times New Roman" w:eastAsia="仿宋"/>
                <w:szCs w:val="21"/>
              </w:rPr>
            </w:pPr>
            <w:r>
              <w:rPr>
                <w:rFonts w:hint="eastAsia" w:ascii="Times New Roman" w:eastAsia="仿宋"/>
                <w:szCs w:val="21"/>
              </w:rPr>
              <w:t>0.34</w:t>
            </w:r>
          </w:p>
        </w:tc>
        <w:tc>
          <w:tcPr>
            <w:tcW w:w="1420" w:type="pct"/>
            <w:vAlign w:val="bottom"/>
          </w:tcPr>
          <w:p w14:paraId="44B1B169">
            <w:pPr>
              <w:jc w:val="center"/>
              <w:rPr>
                <w:rFonts w:ascii="Times New Roman" w:eastAsia="仿宋"/>
                <w:szCs w:val="21"/>
              </w:rPr>
            </w:pPr>
            <w:r>
              <w:rPr>
                <w:rFonts w:hint="eastAsia" w:ascii="Times New Roman" w:eastAsia="仿宋"/>
                <w:szCs w:val="21"/>
              </w:rPr>
              <w:t>0.076</w:t>
            </w:r>
          </w:p>
        </w:tc>
      </w:tr>
      <w:tr w14:paraId="564A80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4CDE75D6">
            <w:pPr>
              <w:jc w:val="center"/>
              <w:rPr>
                <w:rFonts w:ascii="Times New Roman" w:eastAsia="仿宋"/>
                <w:szCs w:val="21"/>
              </w:rPr>
            </w:pPr>
            <w:r>
              <w:rPr>
                <w:rFonts w:ascii="Times New Roman" w:eastAsia="仿宋"/>
                <w:szCs w:val="21"/>
              </w:rPr>
              <w:t>2000</w:t>
            </w:r>
          </w:p>
        </w:tc>
        <w:tc>
          <w:tcPr>
            <w:tcW w:w="1226" w:type="pct"/>
            <w:vAlign w:val="bottom"/>
          </w:tcPr>
          <w:p w14:paraId="5472E018">
            <w:pPr>
              <w:jc w:val="center"/>
              <w:rPr>
                <w:rFonts w:ascii="Times New Roman" w:eastAsia="仿宋"/>
                <w:szCs w:val="21"/>
              </w:rPr>
            </w:pPr>
            <w:r>
              <w:rPr>
                <w:rFonts w:hint="eastAsia" w:ascii="Times New Roman" w:eastAsia="仿宋"/>
                <w:szCs w:val="21"/>
              </w:rPr>
              <w:t>0.32</w:t>
            </w:r>
          </w:p>
        </w:tc>
        <w:tc>
          <w:tcPr>
            <w:tcW w:w="1420" w:type="pct"/>
            <w:vAlign w:val="bottom"/>
          </w:tcPr>
          <w:p w14:paraId="1B86BA38">
            <w:pPr>
              <w:jc w:val="center"/>
              <w:rPr>
                <w:rFonts w:ascii="Times New Roman" w:eastAsia="仿宋"/>
                <w:szCs w:val="21"/>
              </w:rPr>
            </w:pPr>
            <w:r>
              <w:rPr>
                <w:rFonts w:hint="eastAsia" w:ascii="Times New Roman" w:eastAsia="仿宋"/>
                <w:szCs w:val="21"/>
              </w:rPr>
              <w:t>0.071</w:t>
            </w:r>
          </w:p>
        </w:tc>
      </w:tr>
      <w:tr w14:paraId="1E88C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2354" w:type="pct"/>
            <w:vAlign w:val="center"/>
          </w:tcPr>
          <w:p w14:paraId="09B55274">
            <w:pPr>
              <w:jc w:val="center"/>
              <w:rPr>
                <w:rFonts w:ascii="Times New Roman" w:eastAsia="仿宋"/>
                <w:szCs w:val="21"/>
              </w:rPr>
            </w:pPr>
            <w:r>
              <w:rPr>
                <w:rFonts w:ascii="Times New Roman" w:eastAsia="仿宋"/>
                <w:szCs w:val="21"/>
              </w:rPr>
              <w:t>2500</w:t>
            </w:r>
          </w:p>
        </w:tc>
        <w:tc>
          <w:tcPr>
            <w:tcW w:w="1226" w:type="pct"/>
            <w:vAlign w:val="bottom"/>
          </w:tcPr>
          <w:p w14:paraId="43F56DAA">
            <w:pPr>
              <w:jc w:val="center"/>
              <w:rPr>
                <w:rFonts w:ascii="Times New Roman" w:eastAsia="仿宋"/>
                <w:szCs w:val="21"/>
              </w:rPr>
            </w:pPr>
            <w:r>
              <w:rPr>
                <w:rFonts w:hint="eastAsia" w:ascii="Times New Roman" w:eastAsia="仿宋"/>
                <w:szCs w:val="21"/>
              </w:rPr>
              <w:t>0.27</w:t>
            </w:r>
          </w:p>
        </w:tc>
        <w:tc>
          <w:tcPr>
            <w:tcW w:w="1420" w:type="pct"/>
            <w:vAlign w:val="bottom"/>
          </w:tcPr>
          <w:p w14:paraId="76CDEA1F">
            <w:pPr>
              <w:jc w:val="center"/>
              <w:rPr>
                <w:rFonts w:ascii="Times New Roman" w:eastAsia="仿宋"/>
                <w:szCs w:val="21"/>
              </w:rPr>
            </w:pPr>
            <w:r>
              <w:rPr>
                <w:rFonts w:hint="eastAsia" w:ascii="Times New Roman" w:eastAsia="仿宋"/>
                <w:szCs w:val="21"/>
              </w:rPr>
              <w:t>0.06</w:t>
            </w:r>
          </w:p>
        </w:tc>
      </w:tr>
      <w:tr w14:paraId="4B4CB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4" w:hRule="atLeast"/>
          <w:jc w:val="center"/>
        </w:trPr>
        <w:tc>
          <w:tcPr>
            <w:tcW w:w="2354" w:type="pct"/>
            <w:vAlign w:val="center"/>
          </w:tcPr>
          <w:p w14:paraId="50E0FB6A">
            <w:pPr>
              <w:jc w:val="center"/>
              <w:rPr>
                <w:rFonts w:ascii="Times New Roman" w:eastAsia="仿宋"/>
                <w:szCs w:val="21"/>
              </w:rPr>
            </w:pPr>
            <w:r>
              <w:rPr>
                <w:rFonts w:ascii="Times New Roman" w:eastAsia="仿宋"/>
                <w:szCs w:val="21"/>
              </w:rPr>
              <w:t>下风向最大浓度</w:t>
            </w:r>
          </w:p>
        </w:tc>
        <w:tc>
          <w:tcPr>
            <w:tcW w:w="2646" w:type="pct"/>
            <w:gridSpan w:val="2"/>
            <w:vAlign w:val="center"/>
          </w:tcPr>
          <w:p w14:paraId="19E6EEE6">
            <w:pPr>
              <w:jc w:val="center"/>
              <w:rPr>
                <w:rFonts w:ascii="Times New Roman" w:eastAsia="仿宋"/>
                <w:szCs w:val="21"/>
              </w:rPr>
            </w:pPr>
            <w:r>
              <w:rPr>
                <w:rFonts w:ascii="Times New Roman" w:eastAsia="仿宋"/>
                <w:szCs w:val="21"/>
              </w:rPr>
              <w:t>1.71</w:t>
            </w:r>
          </w:p>
        </w:tc>
      </w:tr>
      <w:tr w14:paraId="67274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4" w:hRule="atLeast"/>
          <w:jc w:val="center"/>
        </w:trPr>
        <w:tc>
          <w:tcPr>
            <w:tcW w:w="2354" w:type="pct"/>
            <w:vAlign w:val="center"/>
          </w:tcPr>
          <w:p w14:paraId="09EF6A6A">
            <w:pPr>
              <w:jc w:val="center"/>
              <w:rPr>
                <w:rFonts w:ascii="Times New Roman" w:eastAsia="仿宋"/>
                <w:szCs w:val="21"/>
              </w:rPr>
            </w:pPr>
            <w:r>
              <w:rPr>
                <w:rFonts w:ascii="Times New Roman" w:eastAsia="仿宋"/>
                <w:szCs w:val="21"/>
              </w:rPr>
              <w:t>下风向最大浓度出现距离/m</w:t>
            </w:r>
          </w:p>
        </w:tc>
        <w:tc>
          <w:tcPr>
            <w:tcW w:w="2646" w:type="pct"/>
            <w:gridSpan w:val="2"/>
            <w:vAlign w:val="center"/>
          </w:tcPr>
          <w:p w14:paraId="0A28C167">
            <w:pPr>
              <w:jc w:val="center"/>
              <w:rPr>
                <w:rFonts w:ascii="Times New Roman" w:eastAsia="仿宋"/>
                <w:szCs w:val="21"/>
              </w:rPr>
            </w:pPr>
            <w:r>
              <w:rPr>
                <w:rFonts w:hint="eastAsia" w:ascii="Times New Roman" w:eastAsia="仿宋"/>
                <w:szCs w:val="21"/>
              </w:rPr>
              <w:t>167</w:t>
            </w:r>
          </w:p>
        </w:tc>
      </w:tr>
      <w:tr w14:paraId="62AA5D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54" w:hRule="atLeast"/>
          <w:jc w:val="center"/>
        </w:trPr>
        <w:tc>
          <w:tcPr>
            <w:tcW w:w="2354" w:type="pct"/>
            <w:vAlign w:val="center"/>
          </w:tcPr>
          <w:p w14:paraId="76E42F0C">
            <w:pPr>
              <w:jc w:val="center"/>
              <w:rPr>
                <w:rFonts w:ascii="Times New Roman" w:eastAsia="仿宋"/>
                <w:szCs w:val="21"/>
              </w:rPr>
            </w:pPr>
            <w:r>
              <w:rPr>
                <w:rFonts w:ascii="Times New Roman" w:eastAsia="仿宋"/>
                <w:szCs w:val="21"/>
              </w:rPr>
              <w:t>D10%最远距离/m</w:t>
            </w:r>
          </w:p>
        </w:tc>
        <w:tc>
          <w:tcPr>
            <w:tcW w:w="2646" w:type="pct"/>
            <w:gridSpan w:val="2"/>
            <w:vAlign w:val="center"/>
          </w:tcPr>
          <w:p w14:paraId="7F6808DC">
            <w:pPr>
              <w:jc w:val="center"/>
              <w:rPr>
                <w:rFonts w:ascii="Times New Roman" w:eastAsia="仿宋"/>
                <w:szCs w:val="21"/>
              </w:rPr>
            </w:pPr>
            <w:r>
              <w:rPr>
                <w:rFonts w:hint="eastAsia" w:ascii="Times New Roman" w:eastAsia="仿宋"/>
                <w:szCs w:val="21"/>
              </w:rPr>
              <w:t>/</w:t>
            </w:r>
          </w:p>
        </w:tc>
      </w:tr>
    </w:tbl>
    <w:p w14:paraId="3F0F93F5">
      <w:pPr>
        <w:spacing w:line="500" w:lineRule="exact"/>
        <w:jc w:val="center"/>
        <w:rPr>
          <w:rFonts w:ascii="Times New Roman" w:eastAsia="仿宋"/>
          <w:b/>
        </w:rPr>
      </w:pPr>
      <w:r>
        <w:rPr>
          <w:rFonts w:hint="eastAsia" w:ascii="Times New Roman" w:eastAsia="仿宋"/>
          <w:b/>
        </w:rPr>
        <w:t>表</w:t>
      </w:r>
      <w:r>
        <w:rPr>
          <w:rFonts w:ascii="Times New Roman" w:eastAsia="仿宋"/>
          <w:b/>
        </w:rPr>
        <w:t xml:space="preserve">5.2- </w:t>
      </w:r>
      <w:r>
        <w:rPr>
          <w:rFonts w:hint="eastAsia" w:ascii="Times New Roman" w:eastAsia="仿宋"/>
          <w:b/>
        </w:rPr>
        <w:t>1</w:t>
      </w:r>
      <w:r>
        <w:rPr>
          <w:rFonts w:ascii="Times New Roman" w:eastAsia="仿宋"/>
          <w:b/>
        </w:rPr>
        <w:t xml:space="preserve">1  </w:t>
      </w:r>
      <w:r>
        <w:rPr>
          <w:rFonts w:hint="eastAsia" w:ascii="Times New Roman" w:eastAsia="仿宋"/>
          <w:b/>
        </w:rPr>
        <w:t>2</w:t>
      </w:r>
      <w:r>
        <w:rPr>
          <w:rFonts w:ascii="Times New Roman" w:eastAsia="仿宋"/>
          <w:b/>
        </w:rPr>
        <w:t>#</w:t>
      </w:r>
      <w:r>
        <w:rPr>
          <w:rFonts w:hint="eastAsia" w:ascii="Times New Roman" w:eastAsia="仿宋"/>
          <w:b/>
        </w:rPr>
        <w:t>排气筒估算模型计算结果表</w:t>
      </w:r>
    </w:p>
    <w:tbl>
      <w:tblPr>
        <w:tblStyle w:val="87"/>
        <w:tblW w:w="65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990"/>
        <w:gridCol w:w="851"/>
        <w:gridCol w:w="711"/>
        <w:gridCol w:w="851"/>
        <w:gridCol w:w="779"/>
        <w:gridCol w:w="978"/>
        <w:gridCol w:w="774"/>
        <w:gridCol w:w="978"/>
        <w:gridCol w:w="783"/>
        <w:gridCol w:w="951"/>
        <w:gridCol w:w="718"/>
        <w:gridCol w:w="862"/>
        <w:gridCol w:w="711"/>
      </w:tblGrid>
      <w:tr w14:paraId="6EB22F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Merge w:val="restart"/>
            <w:vAlign w:val="center"/>
          </w:tcPr>
          <w:p w14:paraId="17253DF5">
            <w:pPr>
              <w:jc w:val="center"/>
              <w:rPr>
                <w:rFonts w:ascii="Times New Roman" w:eastAsia="仿宋"/>
                <w:szCs w:val="21"/>
              </w:rPr>
            </w:pPr>
            <w:r>
              <w:rPr>
                <w:rFonts w:ascii="Times New Roman" w:eastAsia="仿宋"/>
                <w:szCs w:val="21"/>
              </w:rPr>
              <w:t>距离(m)</w:t>
            </w:r>
          </w:p>
        </w:tc>
        <w:tc>
          <w:tcPr>
            <w:tcW w:w="4547" w:type="pct"/>
            <w:gridSpan w:val="12"/>
          </w:tcPr>
          <w:p w14:paraId="02BF3D70">
            <w:pPr>
              <w:jc w:val="center"/>
              <w:rPr>
                <w:rFonts w:ascii="Times New Roman" w:eastAsia="仿宋"/>
                <w:szCs w:val="21"/>
              </w:rPr>
            </w:pPr>
            <w:r>
              <w:rPr>
                <w:rFonts w:hint="eastAsia" w:ascii="Times New Roman" w:eastAsia="仿宋"/>
                <w:szCs w:val="21"/>
              </w:rPr>
              <w:t>2#</w:t>
            </w:r>
            <w:r>
              <w:rPr>
                <w:rFonts w:ascii="Times New Roman" w:eastAsia="仿宋"/>
                <w:szCs w:val="21"/>
              </w:rPr>
              <w:t>排气筒</w:t>
            </w:r>
          </w:p>
        </w:tc>
      </w:tr>
      <w:tr w14:paraId="4EE8C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453" w:type="pct"/>
            <w:vMerge w:val="continue"/>
            <w:vAlign w:val="center"/>
          </w:tcPr>
          <w:p w14:paraId="7787750D">
            <w:pPr>
              <w:jc w:val="center"/>
              <w:rPr>
                <w:rFonts w:ascii="Times New Roman" w:eastAsia="仿宋"/>
                <w:szCs w:val="21"/>
              </w:rPr>
            </w:pPr>
          </w:p>
        </w:tc>
        <w:tc>
          <w:tcPr>
            <w:tcW w:w="714" w:type="pct"/>
            <w:gridSpan w:val="2"/>
            <w:vAlign w:val="center"/>
          </w:tcPr>
          <w:p w14:paraId="304945BA">
            <w:pPr>
              <w:jc w:val="center"/>
              <w:rPr>
                <w:rFonts w:ascii="Times New Roman" w:eastAsia="仿宋"/>
                <w:szCs w:val="21"/>
              </w:rPr>
            </w:pPr>
            <w:r>
              <w:rPr>
                <w:rFonts w:hint="eastAsia" w:ascii="Times New Roman" w:eastAsia="仿宋"/>
                <w:szCs w:val="21"/>
              </w:rPr>
              <w:t>非甲烷总烃</w:t>
            </w:r>
          </w:p>
        </w:tc>
        <w:tc>
          <w:tcPr>
            <w:tcW w:w="745" w:type="pct"/>
            <w:gridSpan w:val="2"/>
          </w:tcPr>
          <w:p w14:paraId="06298188">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801" w:type="pct"/>
            <w:gridSpan w:val="2"/>
            <w:vAlign w:val="center"/>
          </w:tcPr>
          <w:p w14:paraId="5D7B0D2D">
            <w:pPr>
              <w:jc w:val="center"/>
              <w:rPr>
                <w:rFonts w:ascii="Times New Roman" w:eastAsia="仿宋"/>
                <w:szCs w:val="21"/>
              </w:rPr>
            </w:pPr>
            <w:r>
              <w:rPr>
                <w:rFonts w:hint="eastAsia" w:ascii="Times New Roman" w:eastAsia="仿宋"/>
                <w:szCs w:val="21"/>
              </w:rPr>
              <w:t>P</w:t>
            </w:r>
            <w:r>
              <w:rPr>
                <w:rFonts w:ascii="Times New Roman" w:eastAsia="仿宋"/>
                <w:szCs w:val="21"/>
              </w:rPr>
              <w:t>M</w:t>
            </w:r>
            <w:r>
              <w:rPr>
                <w:rFonts w:ascii="Times New Roman" w:eastAsia="仿宋"/>
                <w:szCs w:val="21"/>
                <w:vertAlign w:val="subscript"/>
              </w:rPr>
              <w:t>10</w:t>
            </w:r>
          </w:p>
        </w:tc>
        <w:tc>
          <w:tcPr>
            <w:tcW w:w="805" w:type="pct"/>
            <w:gridSpan w:val="2"/>
            <w:vAlign w:val="center"/>
          </w:tcPr>
          <w:p w14:paraId="31D4535C">
            <w:pPr>
              <w:jc w:val="center"/>
              <w:rPr>
                <w:rFonts w:ascii="Times New Roman" w:eastAsia="仿宋"/>
                <w:szCs w:val="21"/>
              </w:rPr>
            </w:pPr>
            <w:r>
              <w:rPr>
                <w:rFonts w:hint="eastAsia" w:ascii="Times New Roman" w:eastAsia="仿宋"/>
                <w:szCs w:val="21"/>
              </w:rPr>
              <w:t>二甲苯</w:t>
            </w:r>
          </w:p>
        </w:tc>
        <w:tc>
          <w:tcPr>
            <w:tcW w:w="763" w:type="pct"/>
            <w:gridSpan w:val="2"/>
            <w:vAlign w:val="center"/>
          </w:tcPr>
          <w:p w14:paraId="30806B22">
            <w:pPr>
              <w:jc w:val="center"/>
              <w:rPr>
                <w:rFonts w:ascii="Times New Roman" w:eastAsia="仿宋"/>
                <w:szCs w:val="21"/>
              </w:rPr>
            </w:pPr>
            <w:r>
              <w:rPr>
                <w:rFonts w:hint="eastAsia" w:ascii="Times New Roman" w:eastAsia="仿宋"/>
                <w:szCs w:val="21"/>
              </w:rPr>
              <w:t>二氧化硫</w:t>
            </w:r>
          </w:p>
        </w:tc>
        <w:tc>
          <w:tcPr>
            <w:tcW w:w="719" w:type="pct"/>
            <w:gridSpan w:val="2"/>
            <w:vAlign w:val="center"/>
          </w:tcPr>
          <w:p w14:paraId="580DDC7F">
            <w:pPr>
              <w:jc w:val="center"/>
              <w:rPr>
                <w:rFonts w:ascii="Times New Roman" w:eastAsia="仿宋"/>
                <w:szCs w:val="21"/>
              </w:rPr>
            </w:pPr>
            <w:r>
              <w:rPr>
                <w:rFonts w:hint="eastAsia" w:ascii="Times New Roman" w:eastAsia="仿宋"/>
                <w:szCs w:val="21"/>
              </w:rPr>
              <w:t>氮氧化物</w:t>
            </w:r>
          </w:p>
        </w:tc>
      </w:tr>
      <w:tr w14:paraId="4D0B6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453" w:type="pct"/>
            <w:vMerge w:val="continue"/>
            <w:vAlign w:val="center"/>
          </w:tcPr>
          <w:p w14:paraId="1E75F6FA">
            <w:pPr>
              <w:jc w:val="center"/>
              <w:rPr>
                <w:rFonts w:ascii="Times New Roman" w:eastAsia="仿宋"/>
                <w:szCs w:val="21"/>
              </w:rPr>
            </w:pPr>
          </w:p>
        </w:tc>
        <w:tc>
          <w:tcPr>
            <w:tcW w:w="389" w:type="pct"/>
            <w:vAlign w:val="center"/>
          </w:tcPr>
          <w:p w14:paraId="1D6DC6F9">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25" w:type="pct"/>
            <w:vAlign w:val="center"/>
          </w:tcPr>
          <w:p w14:paraId="03CBD27B">
            <w:pPr>
              <w:jc w:val="center"/>
              <w:rPr>
                <w:rFonts w:ascii="Times New Roman" w:eastAsia="仿宋"/>
                <w:szCs w:val="21"/>
              </w:rPr>
            </w:pPr>
            <w:r>
              <w:rPr>
                <w:rFonts w:ascii="Times New Roman" w:eastAsia="仿宋"/>
                <w:szCs w:val="21"/>
              </w:rPr>
              <w:t>占标率(%)</w:t>
            </w:r>
          </w:p>
        </w:tc>
        <w:tc>
          <w:tcPr>
            <w:tcW w:w="389" w:type="pct"/>
            <w:vAlign w:val="center"/>
          </w:tcPr>
          <w:p w14:paraId="6135CC17">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56" w:type="pct"/>
            <w:vAlign w:val="center"/>
          </w:tcPr>
          <w:p w14:paraId="5B543A98">
            <w:pPr>
              <w:jc w:val="center"/>
              <w:rPr>
                <w:rFonts w:ascii="Times New Roman" w:eastAsia="仿宋"/>
                <w:szCs w:val="21"/>
              </w:rPr>
            </w:pPr>
            <w:r>
              <w:rPr>
                <w:rFonts w:ascii="Times New Roman" w:eastAsia="仿宋"/>
                <w:szCs w:val="21"/>
              </w:rPr>
              <w:t>占标率(%)</w:t>
            </w:r>
          </w:p>
        </w:tc>
        <w:tc>
          <w:tcPr>
            <w:tcW w:w="447" w:type="pct"/>
            <w:vAlign w:val="center"/>
          </w:tcPr>
          <w:p w14:paraId="69BFF696">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54" w:type="pct"/>
            <w:vAlign w:val="center"/>
          </w:tcPr>
          <w:p w14:paraId="7F820C63">
            <w:pPr>
              <w:jc w:val="center"/>
              <w:rPr>
                <w:rFonts w:ascii="Times New Roman" w:eastAsia="仿宋"/>
                <w:szCs w:val="21"/>
              </w:rPr>
            </w:pPr>
            <w:r>
              <w:rPr>
                <w:rFonts w:ascii="Times New Roman" w:eastAsia="仿宋"/>
                <w:szCs w:val="21"/>
              </w:rPr>
              <w:t>占标率(%)</w:t>
            </w:r>
          </w:p>
        </w:tc>
        <w:tc>
          <w:tcPr>
            <w:tcW w:w="447" w:type="pct"/>
            <w:vAlign w:val="center"/>
          </w:tcPr>
          <w:p w14:paraId="7D5D0A9F">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58" w:type="pct"/>
            <w:vAlign w:val="center"/>
          </w:tcPr>
          <w:p w14:paraId="4781AFB2">
            <w:pPr>
              <w:jc w:val="center"/>
              <w:rPr>
                <w:rFonts w:ascii="Times New Roman" w:eastAsia="仿宋"/>
                <w:szCs w:val="21"/>
              </w:rPr>
            </w:pPr>
            <w:r>
              <w:rPr>
                <w:rFonts w:ascii="Times New Roman" w:eastAsia="仿宋"/>
                <w:szCs w:val="21"/>
              </w:rPr>
              <w:t>占标率(%)</w:t>
            </w:r>
          </w:p>
        </w:tc>
        <w:tc>
          <w:tcPr>
            <w:tcW w:w="435" w:type="pct"/>
            <w:vAlign w:val="center"/>
          </w:tcPr>
          <w:p w14:paraId="5FB2FC67">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28" w:type="pct"/>
            <w:vAlign w:val="center"/>
          </w:tcPr>
          <w:p w14:paraId="5FD55761">
            <w:pPr>
              <w:jc w:val="center"/>
              <w:rPr>
                <w:rFonts w:ascii="Times New Roman" w:eastAsia="仿宋"/>
                <w:szCs w:val="21"/>
              </w:rPr>
            </w:pPr>
            <w:r>
              <w:rPr>
                <w:rFonts w:ascii="Times New Roman" w:eastAsia="仿宋"/>
                <w:szCs w:val="21"/>
              </w:rPr>
              <w:t>占标率(%)</w:t>
            </w:r>
          </w:p>
        </w:tc>
        <w:tc>
          <w:tcPr>
            <w:tcW w:w="394" w:type="pct"/>
            <w:vAlign w:val="center"/>
          </w:tcPr>
          <w:p w14:paraId="6120E1F6">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25" w:type="pct"/>
            <w:vAlign w:val="center"/>
          </w:tcPr>
          <w:p w14:paraId="6A0AA4E8">
            <w:pPr>
              <w:jc w:val="center"/>
              <w:rPr>
                <w:rFonts w:ascii="Times New Roman" w:eastAsia="仿宋"/>
                <w:szCs w:val="21"/>
              </w:rPr>
            </w:pPr>
            <w:r>
              <w:rPr>
                <w:rFonts w:ascii="Times New Roman" w:eastAsia="仿宋"/>
                <w:szCs w:val="21"/>
              </w:rPr>
              <w:t>占标率(%)</w:t>
            </w:r>
          </w:p>
        </w:tc>
      </w:tr>
      <w:tr w14:paraId="45B4E8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10479AE6">
            <w:pPr>
              <w:jc w:val="center"/>
              <w:rPr>
                <w:rFonts w:ascii="Times New Roman" w:eastAsia="仿宋"/>
                <w:szCs w:val="21"/>
              </w:rPr>
            </w:pPr>
            <w:r>
              <w:rPr>
                <w:rFonts w:ascii="Times New Roman" w:eastAsia="仿宋"/>
                <w:szCs w:val="21"/>
              </w:rPr>
              <w:t>50</w:t>
            </w:r>
          </w:p>
        </w:tc>
        <w:tc>
          <w:tcPr>
            <w:tcW w:w="389" w:type="pct"/>
            <w:vAlign w:val="center"/>
          </w:tcPr>
          <w:p w14:paraId="41644171">
            <w:pPr>
              <w:jc w:val="center"/>
              <w:rPr>
                <w:rFonts w:ascii="Times New Roman" w:eastAsia="仿宋"/>
                <w:szCs w:val="21"/>
              </w:rPr>
            </w:pPr>
            <w:r>
              <w:rPr>
                <w:rFonts w:ascii="Times New Roman" w:eastAsia="仿宋"/>
                <w:szCs w:val="21"/>
              </w:rPr>
              <w:t>2.42</w:t>
            </w:r>
          </w:p>
        </w:tc>
        <w:tc>
          <w:tcPr>
            <w:tcW w:w="325" w:type="pct"/>
            <w:vAlign w:val="center"/>
          </w:tcPr>
          <w:p w14:paraId="21D92277">
            <w:pPr>
              <w:jc w:val="center"/>
              <w:rPr>
                <w:rFonts w:ascii="Times New Roman" w:eastAsia="仿宋"/>
                <w:szCs w:val="21"/>
              </w:rPr>
            </w:pPr>
            <w:r>
              <w:rPr>
                <w:rFonts w:ascii="Times New Roman" w:eastAsia="仿宋"/>
                <w:szCs w:val="21"/>
              </w:rPr>
              <w:t>0.12</w:t>
            </w:r>
          </w:p>
        </w:tc>
        <w:tc>
          <w:tcPr>
            <w:tcW w:w="389" w:type="pct"/>
            <w:vAlign w:val="center"/>
          </w:tcPr>
          <w:p w14:paraId="3F2501B9">
            <w:pPr>
              <w:jc w:val="center"/>
              <w:rPr>
                <w:rFonts w:ascii="Times New Roman" w:eastAsia="仿宋"/>
                <w:szCs w:val="21"/>
              </w:rPr>
            </w:pPr>
            <w:r>
              <w:rPr>
                <w:rFonts w:ascii="Times New Roman" w:eastAsia="仿宋"/>
                <w:szCs w:val="21"/>
              </w:rPr>
              <w:t>2.42</w:t>
            </w:r>
          </w:p>
        </w:tc>
        <w:tc>
          <w:tcPr>
            <w:tcW w:w="356" w:type="pct"/>
            <w:vAlign w:val="center"/>
          </w:tcPr>
          <w:p w14:paraId="224D4175">
            <w:pPr>
              <w:widowControl/>
              <w:jc w:val="center"/>
              <w:rPr>
                <w:rFonts w:ascii="Times New Roman" w:eastAsia="仿宋"/>
                <w:szCs w:val="21"/>
              </w:rPr>
            </w:pPr>
            <w:r>
              <w:rPr>
                <w:rFonts w:hint="eastAsia" w:ascii="Times New Roman" w:eastAsia="仿宋"/>
                <w:szCs w:val="21"/>
              </w:rPr>
              <w:t>0.20</w:t>
            </w:r>
          </w:p>
        </w:tc>
        <w:tc>
          <w:tcPr>
            <w:tcW w:w="447" w:type="pct"/>
            <w:vAlign w:val="center"/>
          </w:tcPr>
          <w:p w14:paraId="1266A0CE">
            <w:pPr>
              <w:jc w:val="center"/>
              <w:rPr>
                <w:rFonts w:ascii="Times New Roman" w:eastAsia="仿宋"/>
                <w:szCs w:val="21"/>
              </w:rPr>
            </w:pPr>
            <w:r>
              <w:rPr>
                <w:rFonts w:ascii="Times New Roman" w:eastAsia="仿宋"/>
                <w:szCs w:val="21"/>
              </w:rPr>
              <w:t>0.512</w:t>
            </w:r>
          </w:p>
        </w:tc>
        <w:tc>
          <w:tcPr>
            <w:tcW w:w="354" w:type="pct"/>
            <w:vAlign w:val="center"/>
          </w:tcPr>
          <w:p w14:paraId="379B17DF">
            <w:pPr>
              <w:jc w:val="center"/>
              <w:rPr>
                <w:rFonts w:ascii="Times New Roman" w:eastAsia="仿宋"/>
                <w:szCs w:val="21"/>
              </w:rPr>
            </w:pPr>
            <w:r>
              <w:rPr>
                <w:rFonts w:ascii="Times New Roman" w:eastAsia="仿宋"/>
                <w:szCs w:val="21"/>
              </w:rPr>
              <w:t>0.11</w:t>
            </w:r>
          </w:p>
        </w:tc>
        <w:tc>
          <w:tcPr>
            <w:tcW w:w="447" w:type="pct"/>
            <w:vAlign w:val="center"/>
          </w:tcPr>
          <w:p w14:paraId="52F893D5">
            <w:pPr>
              <w:jc w:val="center"/>
              <w:rPr>
                <w:rFonts w:ascii="Times New Roman" w:eastAsia="仿宋"/>
                <w:szCs w:val="21"/>
              </w:rPr>
            </w:pPr>
            <w:r>
              <w:rPr>
                <w:rFonts w:ascii="Times New Roman" w:eastAsia="仿宋"/>
                <w:szCs w:val="21"/>
              </w:rPr>
              <w:t>1.75</w:t>
            </w:r>
          </w:p>
        </w:tc>
        <w:tc>
          <w:tcPr>
            <w:tcW w:w="358" w:type="pct"/>
            <w:vAlign w:val="center"/>
          </w:tcPr>
          <w:p w14:paraId="29542C6B">
            <w:pPr>
              <w:jc w:val="center"/>
              <w:rPr>
                <w:rFonts w:ascii="Times New Roman" w:eastAsia="仿宋"/>
                <w:szCs w:val="21"/>
              </w:rPr>
            </w:pPr>
            <w:r>
              <w:rPr>
                <w:rFonts w:ascii="Times New Roman" w:eastAsia="仿宋"/>
                <w:szCs w:val="21"/>
              </w:rPr>
              <w:t>0.88</w:t>
            </w:r>
          </w:p>
        </w:tc>
        <w:tc>
          <w:tcPr>
            <w:tcW w:w="435" w:type="pct"/>
          </w:tcPr>
          <w:p w14:paraId="2CFAC226">
            <w:pPr>
              <w:jc w:val="center"/>
              <w:rPr>
                <w:rFonts w:ascii="Times New Roman" w:eastAsia="仿宋"/>
                <w:szCs w:val="21"/>
              </w:rPr>
            </w:pPr>
            <w:r>
              <w:rPr>
                <w:rFonts w:ascii="Times New Roman" w:eastAsia="仿宋"/>
                <w:szCs w:val="21"/>
              </w:rPr>
              <w:t>0.0135</w:t>
            </w:r>
          </w:p>
        </w:tc>
        <w:tc>
          <w:tcPr>
            <w:tcW w:w="328" w:type="pct"/>
          </w:tcPr>
          <w:p w14:paraId="77C4B73C">
            <w:pPr>
              <w:jc w:val="center"/>
              <w:rPr>
                <w:rFonts w:ascii="Times New Roman" w:eastAsia="仿宋"/>
                <w:szCs w:val="21"/>
              </w:rPr>
            </w:pPr>
            <w:r>
              <w:rPr>
                <w:rFonts w:hint="eastAsia" w:ascii="Times New Roman" w:eastAsia="仿宋"/>
                <w:szCs w:val="21"/>
              </w:rPr>
              <w:t>0.0</w:t>
            </w:r>
            <w:r>
              <w:rPr>
                <w:rFonts w:ascii="Times New Roman" w:eastAsia="仿宋"/>
                <w:szCs w:val="21"/>
              </w:rPr>
              <w:t>0</w:t>
            </w:r>
          </w:p>
        </w:tc>
        <w:tc>
          <w:tcPr>
            <w:tcW w:w="394" w:type="pct"/>
            <w:vAlign w:val="bottom"/>
          </w:tcPr>
          <w:p w14:paraId="66050184">
            <w:pPr>
              <w:jc w:val="center"/>
              <w:rPr>
                <w:rFonts w:ascii="Times New Roman" w:eastAsia="仿宋"/>
                <w:szCs w:val="21"/>
              </w:rPr>
            </w:pPr>
            <w:r>
              <w:rPr>
                <w:rFonts w:hint="eastAsia" w:ascii="Times New Roman" w:eastAsia="仿宋"/>
                <w:szCs w:val="21"/>
              </w:rPr>
              <w:t>0.62</w:t>
            </w:r>
          </w:p>
        </w:tc>
        <w:tc>
          <w:tcPr>
            <w:tcW w:w="325" w:type="pct"/>
            <w:vAlign w:val="bottom"/>
          </w:tcPr>
          <w:p w14:paraId="4AED2D91">
            <w:pPr>
              <w:jc w:val="center"/>
              <w:rPr>
                <w:rFonts w:ascii="Times New Roman" w:eastAsia="仿宋"/>
                <w:szCs w:val="21"/>
              </w:rPr>
            </w:pPr>
            <w:r>
              <w:rPr>
                <w:rFonts w:hint="eastAsia" w:ascii="Times New Roman" w:eastAsia="仿宋"/>
                <w:szCs w:val="21"/>
              </w:rPr>
              <w:t>0.31</w:t>
            </w:r>
          </w:p>
        </w:tc>
      </w:tr>
      <w:tr w14:paraId="021C9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11F252F9">
            <w:pPr>
              <w:jc w:val="center"/>
              <w:rPr>
                <w:rFonts w:ascii="Times New Roman" w:eastAsia="仿宋"/>
                <w:szCs w:val="21"/>
              </w:rPr>
            </w:pPr>
            <w:r>
              <w:rPr>
                <w:rFonts w:ascii="Times New Roman" w:eastAsia="仿宋"/>
                <w:szCs w:val="21"/>
              </w:rPr>
              <w:t>100</w:t>
            </w:r>
          </w:p>
        </w:tc>
        <w:tc>
          <w:tcPr>
            <w:tcW w:w="389" w:type="pct"/>
            <w:vAlign w:val="center"/>
          </w:tcPr>
          <w:p w14:paraId="7095DCEE">
            <w:pPr>
              <w:jc w:val="center"/>
              <w:rPr>
                <w:rFonts w:ascii="Times New Roman" w:eastAsia="仿宋"/>
                <w:szCs w:val="21"/>
              </w:rPr>
            </w:pPr>
            <w:r>
              <w:rPr>
                <w:rFonts w:ascii="Times New Roman" w:eastAsia="仿宋"/>
                <w:szCs w:val="21"/>
              </w:rPr>
              <w:t>3.15</w:t>
            </w:r>
          </w:p>
        </w:tc>
        <w:tc>
          <w:tcPr>
            <w:tcW w:w="325" w:type="pct"/>
            <w:vAlign w:val="center"/>
          </w:tcPr>
          <w:p w14:paraId="66FE3744">
            <w:pPr>
              <w:jc w:val="center"/>
              <w:rPr>
                <w:rFonts w:ascii="Times New Roman" w:eastAsia="仿宋"/>
                <w:szCs w:val="21"/>
              </w:rPr>
            </w:pPr>
            <w:r>
              <w:rPr>
                <w:rFonts w:ascii="Times New Roman" w:eastAsia="仿宋"/>
                <w:szCs w:val="21"/>
              </w:rPr>
              <w:t>0.16</w:t>
            </w:r>
          </w:p>
        </w:tc>
        <w:tc>
          <w:tcPr>
            <w:tcW w:w="389" w:type="pct"/>
            <w:vAlign w:val="center"/>
          </w:tcPr>
          <w:p w14:paraId="64E8C3C2">
            <w:pPr>
              <w:jc w:val="center"/>
              <w:rPr>
                <w:rFonts w:ascii="Times New Roman" w:eastAsia="仿宋"/>
                <w:szCs w:val="21"/>
              </w:rPr>
            </w:pPr>
            <w:r>
              <w:rPr>
                <w:rFonts w:ascii="Times New Roman" w:eastAsia="仿宋"/>
                <w:szCs w:val="21"/>
              </w:rPr>
              <w:t>3.15</w:t>
            </w:r>
          </w:p>
        </w:tc>
        <w:tc>
          <w:tcPr>
            <w:tcW w:w="356" w:type="pct"/>
            <w:vAlign w:val="center"/>
          </w:tcPr>
          <w:p w14:paraId="330835F6">
            <w:pPr>
              <w:jc w:val="center"/>
              <w:rPr>
                <w:rFonts w:ascii="Times New Roman" w:eastAsia="仿宋"/>
                <w:szCs w:val="21"/>
              </w:rPr>
            </w:pPr>
            <w:r>
              <w:rPr>
                <w:rFonts w:hint="eastAsia" w:ascii="Times New Roman" w:eastAsia="仿宋"/>
                <w:szCs w:val="21"/>
              </w:rPr>
              <w:t>0.26</w:t>
            </w:r>
          </w:p>
        </w:tc>
        <w:tc>
          <w:tcPr>
            <w:tcW w:w="447" w:type="pct"/>
            <w:vAlign w:val="center"/>
          </w:tcPr>
          <w:p w14:paraId="6B8EB76F">
            <w:pPr>
              <w:jc w:val="center"/>
              <w:rPr>
                <w:rFonts w:ascii="Times New Roman" w:eastAsia="仿宋"/>
                <w:szCs w:val="21"/>
              </w:rPr>
            </w:pPr>
            <w:r>
              <w:rPr>
                <w:rFonts w:ascii="Times New Roman" w:eastAsia="仿宋"/>
                <w:szCs w:val="21"/>
              </w:rPr>
              <w:t>0.665</w:t>
            </w:r>
          </w:p>
        </w:tc>
        <w:tc>
          <w:tcPr>
            <w:tcW w:w="354" w:type="pct"/>
            <w:vAlign w:val="center"/>
          </w:tcPr>
          <w:p w14:paraId="37BFFCC1">
            <w:pPr>
              <w:jc w:val="center"/>
              <w:rPr>
                <w:rFonts w:ascii="Times New Roman" w:eastAsia="仿宋"/>
                <w:szCs w:val="21"/>
              </w:rPr>
            </w:pPr>
            <w:r>
              <w:rPr>
                <w:rFonts w:ascii="Times New Roman" w:eastAsia="仿宋"/>
                <w:szCs w:val="21"/>
              </w:rPr>
              <w:t>0.15</w:t>
            </w:r>
          </w:p>
        </w:tc>
        <w:tc>
          <w:tcPr>
            <w:tcW w:w="447" w:type="pct"/>
            <w:vAlign w:val="center"/>
          </w:tcPr>
          <w:p w14:paraId="4233907A">
            <w:pPr>
              <w:jc w:val="center"/>
              <w:rPr>
                <w:rFonts w:ascii="Times New Roman" w:eastAsia="仿宋"/>
                <w:szCs w:val="21"/>
              </w:rPr>
            </w:pPr>
            <w:r>
              <w:rPr>
                <w:rFonts w:ascii="Times New Roman" w:eastAsia="仿宋"/>
                <w:szCs w:val="21"/>
              </w:rPr>
              <w:t>2.27</w:t>
            </w:r>
          </w:p>
        </w:tc>
        <w:tc>
          <w:tcPr>
            <w:tcW w:w="358" w:type="pct"/>
            <w:vAlign w:val="center"/>
          </w:tcPr>
          <w:p w14:paraId="33EF9370">
            <w:pPr>
              <w:jc w:val="center"/>
              <w:rPr>
                <w:rFonts w:ascii="Times New Roman" w:eastAsia="仿宋"/>
                <w:szCs w:val="21"/>
              </w:rPr>
            </w:pPr>
            <w:r>
              <w:rPr>
                <w:rFonts w:ascii="Times New Roman" w:eastAsia="仿宋"/>
                <w:szCs w:val="21"/>
              </w:rPr>
              <w:t>1.14</w:t>
            </w:r>
          </w:p>
        </w:tc>
        <w:tc>
          <w:tcPr>
            <w:tcW w:w="435" w:type="pct"/>
          </w:tcPr>
          <w:p w14:paraId="7A7F5BA3">
            <w:pPr>
              <w:jc w:val="center"/>
              <w:rPr>
                <w:rFonts w:ascii="Times New Roman" w:eastAsia="仿宋"/>
                <w:szCs w:val="21"/>
              </w:rPr>
            </w:pPr>
            <w:r>
              <w:rPr>
                <w:rFonts w:ascii="Times New Roman" w:eastAsia="仿宋"/>
                <w:szCs w:val="21"/>
              </w:rPr>
              <w:t>0.0175</w:t>
            </w:r>
          </w:p>
        </w:tc>
        <w:tc>
          <w:tcPr>
            <w:tcW w:w="328" w:type="pct"/>
          </w:tcPr>
          <w:p w14:paraId="2885553E">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2DBE4E52">
            <w:pPr>
              <w:jc w:val="center"/>
              <w:rPr>
                <w:rFonts w:ascii="Times New Roman" w:eastAsia="仿宋"/>
                <w:szCs w:val="21"/>
              </w:rPr>
            </w:pPr>
            <w:r>
              <w:rPr>
                <w:rFonts w:hint="eastAsia" w:ascii="Times New Roman" w:eastAsia="仿宋"/>
                <w:szCs w:val="21"/>
              </w:rPr>
              <w:t>0.80</w:t>
            </w:r>
          </w:p>
        </w:tc>
        <w:tc>
          <w:tcPr>
            <w:tcW w:w="325" w:type="pct"/>
            <w:vAlign w:val="bottom"/>
          </w:tcPr>
          <w:p w14:paraId="147BC5E1">
            <w:pPr>
              <w:jc w:val="center"/>
              <w:rPr>
                <w:rFonts w:ascii="Times New Roman" w:eastAsia="仿宋"/>
                <w:szCs w:val="21"/>
              </w:rPr>
            </w:pPr>
            <w:r>
              <w:rPr>
                <w:rFonts w:hint="eastAsia" w:ascii="Times New Roman" w:eastAsia="仿宋"/>
                <w:szCs w:val="21"/>
              </w:rPr>
              <w:t>0.40</w:t>
            </w:r>
          </w:p>
        </w:tc>
      </w:tr>
      <w:tr w14:paraId="2E696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08D99369">
            <w:pPr>
              <w:jc w:val="center"/>
              <w:rPr>
                <w:rFonts w:ascii="Times New Roman" w:eastAsia="仿宋"/>
                <w:szCs w:val="21"/>
              </w:rPr>
            </w:pPr>
            <w:r>
              <w:rPr>
                <w:rFonts w:hint="eastAsia" w:ascii="Times New Roman" w:eastAsia="仿宋"/>
                <w:szCs w:val="21"/>
              </w:rPr>
              <w:t>1</w:t>
            </w:r>
            <w:r>
              <w:rPr>
                <w:rFonts w:ascii="Times New Roman" w:eastAsia="仿宋"/>
                <w:szCs w:val="21"/>
              </w:rPr>
              <w:t>04</w:t>
            </w:r>
          </w:p>
        </w:tc>
        <w:tc>
          <w:tcPr>
            <w:tcW w:w="389" w:type="pct"/>
            <w:vAlign w:val="center"/>
          </w:tcPr>
          <w:p w14:paraId="66437702">
            <w:pPr>
              <w:jc w:val="center"/>
              <w:rPr>
                <w:rFonts w:ascii="Times New Roman" w:eastAsia="仿宋"/>
                <w:szCs w:val="21"/>
              </w:rPr>
            </w:pPr>
            <w:r>
              <w:rPr>
                <w:rFonts w:ascii="Times New Roman" w:eastAsia="仿宋"/>
                <w:szCs w:val="21"/>
              </w:rPr>
              <w:t>3.16</w:t>
            </w:r>
          </w:p>
        </w:tc>
        <w:tc>
          <w:tcPr>
            <w:tcW w:w="325" w:type="pct"/>
            <w:vAlign w:val="center"/>
          </w:tcPr>
          <w:p w14:paraId="651BA285">
            <w:pPr>
              <w:jc w:val="center"/>
              <w:rPr>
                <w:rFonts w:ascii="Times New Roman" w:eastAsia="仿宋"/>
                <w:szCs w:val="21"/>
              </w:rPr>
            </w:pPr>
            <w:r>
              <w:rPr>
                <w:rFonts w:ascii="Times New Roman" w:eastAsia="仿宋"/>
                <w:szCs w:val="21"/>
              </w:rPr>
              <w:t>0.16</w:t>
            </w:r>
          </w:p>
        </w:tc>
        <w:tc>
          <w:tcPr>
            <w:tcW w:w="389" w:type="pct"/>
            <w:vAlign w:val="center"/>
          </w:tcPr>
          <w:p w14:paraId="605910FE">
            <w:pPr>
              <w:jc w:val="center"/>
              <w:rPr>
                <w:rFonts w:ascii="Times New Roman" w:eastAsia="仿宋"/>
                <w:szCs w:val="21"/>
              </w:rPr>
            </w:pPr>
            <w:r>
              <w:rPr>
                <w:rFonts w:ascii="Times New Roman" w:eastAsia="仿宋"/>
                <w:szCs w:val="21"/>
              </w:rPr>
              <w:t>3.16</w:t>
            </w:r>
          </w:p>
        </w:tc>
        <w:tc>
          <w:tcPr>
            <w:tcW w:w="356" w:type="pct"/>
            <w:vAlign w:val="center"/>
          </w:tcPr>
          <w:p w14:paraId="33F10707">
            <w:pPr>
              <w:jc w:val="center"/>
              <w:rPr>
                <w:rFonts w:ascii="Times New Roman" w:eastAsia="仿宋"/>
                <w:szCs w:val="21"/>
              </w:rPr>
            </w:pPr>
            <w:r>
              <w:rPr>
                <w:rFonts w:hint="eastAsia" w:ascii="Times New Roman" w:eastAsia="仿宋"/>
                <w:szCs w:val="21"/>
              </w:rPr>
              <w:t>0.26</w:t>
            </w:r>
          </w:p>
        </w:tc>
        <w:tc>
          <w:tcPr>
            <w:tcW w:w="447" w:type="pct"/>
            <w:vAlign w:val="center"/>
          </w:tcPr>
          <w:p w14:paraId="0228912E">
            <w:pPr>
              <w:jc w:val="center"/>
              <w:rPr>
                <w:rFonts w:ascii="Times New Roman" w:eastAsia="仿宋"/>
                <w:szCs w:val="21"/>
              </w:rPr>
            </w:pPr>
            <w:r>
              <w:rPr>
                <w:rFonts w:ascii="Times New Roman" w:eastAsia="仿宋"/>
                <w:szCs w:val="21"/>
              </w:rPr>
              <w:t>0.667</w:t>
            </w:r>
          </w:p>
        </w:tc>
        <w:tc>
          <w:tcPr>
            <w:tcW w:w="354" w:type="pct"/>
            <w:vAlign w:val="center"/>
          </w:tcPr>
          <w:p w14:paraId="0505B24C">
            <w:pPr>
              <w:jc w:val="center"/>
              <w:rPr>
                <w:rFonts w:ascii="Times New Roman" w:eastAsia="仿宋"/>
                <w:szCs w:val="21"/>
              </w:rPr>
            </w:pPr>
            <w:r>
              <w:rPr>
                <w:rFonts w:ascii="Times New Roman" w:eastAsia="仿宋"/>
                <w:szCs w:val="21"/>
              </w:rPr>
              <w:t>0.15</w:t>
            </w:r>
          </w:p>
        </w:tc>
        <w:tc>
          <w:tcPr>
            <w:tcW w:w="447" w:type="pct"/>
            <w:vAlign w:val="center"/>
          </w:tcPr>
          <w:p w14:paraId="0266BC51">
            <w:pPr>
              <w:jc w:val="center"/>
              <w:rPr>
                <w:rFonts w:ascii="Times New Roman" w:eastAsia="仿宋"/>
                <w:szCs w:val="21"/>
              </w:rPr>
            </w:pPr>
            <w:r>
              <w:rPr>
                <w:rFonts w:ascii="Times New Roman" w:eastAsia="仿宋"/>
                <w:szCs w:val="21"/>
              </w:rPr>
              <w:t>2.28</w:t>
            </w:r>
          </w:p>
        </w:tc>
        <w:tc>
          <w:tcPr>
            <w:tcW w:w="358" w:type="pct"/>
            <w:vAlign w:val="center"/>
          </w:tcPr>
          <w:p w14:paraId="0E872351">
            <w:pPr>
              <w:jc w:val="center"/>
              <w:rPr>
                <w:rFonts w:ascii="Times New Roman" w:eastAsia="仿宋"/>
                <w:szCs w:val="21"/>
              </w:rPr>
            </w:pPr>
            <w:r>
              <w:rPr>
                <w:rFonts w:ascii="Times New Roman" w:eastAsia="仿宋"/>
                <w:szCs w:val="21"/>
              </w:rPr>
              <w:t>1.14</w:t>
            </w:r>
          </w:p>
        </w:tc>
        <w:tc>
          <w:tcPr>
            <w:tcW w:w="435" w:type="pct"/>
          </w:tcPr>
          <w:p w14:paraId="622E8654">
            <w:pPr>
              <w:jc w:val="center"/>
              <w:rPr>
                <w:rFonts w:ascii="Times New Roman" w:eastAsia="仿宋"/>
                <w:szCs w:val="21"/>
              </w:rPr>
            </w:pPr>
            <w:r>
              <w:rPr>
                <w:rFonts w:ascii="Times New Roman" w:eastAsia="仿宋"/>
                <w:szCs w:val="21"/>
              </w:rPr>
              <w:t>0.0175</w:t>
            </w:r>
          </w:p>
        </w:tc>
        <w:tc>
          <w:tcPr>
            <w:tcW w:w="328" w:type="pct"/>
          </w:tcPr>
          <w:p w14:paraId="2F0E20F0">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1AD6507">
            <w:pPr>
              <w:jc w:val="center"/>
              <w:rPr>
                <w:rFonts w:ascii="Times New Roman" w:eastAsia="仿宋"/>
                <w:szCs w:val="21"/>
              </w:rPr>
            </w:pPr>
            <w:r>
              <w:rPr>
                <w:rFonts w:hint="eastAsia" w:ascii="Times New Roman" w:eastAsia="仿宋"/>
                <w:szCs w:val="21"/>
              </w:rPr>
              <w:t>0.80</w:t>
            </w:r>
          </w:p>
        </w:tc>
        <w:tc>
          <w:tcPr>
            <w:tcW w:w="325" w:type="pct"/>
            <w:vAlign w:val="bottom"/>
          </w:tcPr>
          <w:p w14:paraId="17AC32E1">
            <w:pPr>
              <w:jc w:val="center"/>
              <w:rPr>
                <w:rFonts w:ascii="Times New Roman" w:eastAsia="仿宋"/>
                <w:szCs w:val="21"/>
              </w:rPr>
            </w:pPr>
            <w:r>
              <w:rPr>
                <w:rFonts w:hint="eastAsia" w:ascii="Times New Roman" w:eastAsia="仿宋"/>
                <w:szCs w:val="21"/>
              </w:rPr>
              <w:t>0.40</w:t>
            </w:r>
          </w:p>
        </w:tc>
      </w:tr>
      <w:tr w14:paraId="5E025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28AD4F25">
            <w:pPr>
              <w:jc w:val="center"/>
              <w:rPr>
                <w:rFonts w:ascii="Times New Roman" w:eastAsia="仿宋"/>
                <w:szCs w:val="21"/>
              </w:rPr>
            </w:pPr>
            <w:r>
              <w:rPr>
                <w:rFonts w:ascii="Times New Roman" w:eastAsia="仿宋"/>
                <w:szCs w:val="21"/>
              </w:rPr>
              <w:t>200</w:t>
            </w:r>
          </w:p>
        </w:tc>
        <w:tc>
          <w:tcPr>
            <w:tcW w:w="389" w:type="pct"/>
            <w:vAlign w:val="center"/>
          </w:tcPr>
          <w:p w14:paraId="2B570369">
            <w:pPr>
              <w:jc w:val="center"/>
              <w:rPr>
                <w:rFonts w:ascii="Times New Roman" w:eastAsia="仿宋"/>
                <w:szCs w:val="21"/>
              </w:rPr>
            </w:pPr>
            <w:r>
              <w:rPr>
                <w:rFonts w:ascii="Times New Roman" w:eastAsia="仿宋"/>
                <w:szCs w:val="21"/>
              </w:rPr>
              <w:t>3.13</w:t>
            </w:r>
          </w:p>
        </w:tc>
        <w:tc>
          <w:tcPr>
            <w:tcW w:w="325" w:type="pct"/>
            <w:vAlign w:val="center"/>
          </w:tcPr>
          <w:p w14:paraId="0A634DCB">
            <w:pPr>
              <w:jc w:val="center"/>
              <w:rPr>
                <w:rFonts w:ascii="Times New Roman" w:eastAsia="仿宋"/>
                <w:szCs w:val="21"/>
              </w:rPr>
            </w:pPr>
            <w:r>
              <w:rPr>
                <w:rFonts w:ascii="Times New Roman" w:eastAsia="仿宋"/>
                <w:szCs w:val="21"/>
              </w:rPr>
              <w:t>0.16</w:t>
            </w:r>
          </w:p>
        </w:tc>
        <w:tc>
          <w:tcPr>
            <w:tcW w:w="389" w:type="pct"/>
            <w:vAlign w:val="center"/>
          </w:tcPr>
          <w:p w14:paraId="647DFABA">
            <w:pPr>
              <w:jc w:val="center"/>
              <w:rPr>
                <w:rFonts w:ascii="Times New Roman" w:eastAsia="仿宋"/>
                <w:szCs w:val="21"/>
              </w:rPr>
            </w:pPr>
            <w:r>
              <w:rPr>
                <w:rFonts w:ascii="Times New Roman" w:eastAsia="仿宋"/>
                <w:szCs w:val="21"/>
              </w:rPr>
              <w:t>3.13</w:t>
            </w:r>
          </w:p>
        </w:tc>
        <w:tc>
          <w:tcPr>
            <w:tcW w:w="356" w:type="pct"/>
            <w:vAlign w:val="center"/>
          </w:tcPr>
          <w:p w14:paraId="734BDF73">
            <w:pPr>
              <w:jc w:val="center"/>
              <w:rPr>
                <w:rFonts w:ascii="Times New Roman" w:eastAsia="仿宋"/>
                <w:szCs w:val="21"/>
              </w:rPr>
            </w:pPr>
            <w:r>
              <w:rPr>
                <w:rFonts w:hint="eastAsia" w:ascii="Times New Roman" w:eastAsia="仿宋"/>
                <w:szCs w:val="21"/>
              </w:rPr>
              <w:t>0.26</w:t>
            </w:r>
          </w:p>
        </w:tc>
        <w:tc>
          <w:tcPr>
            <w:tcW w:w="447" w:type="pct"/>
            <w:vAlign w:val="center"/>
          </w:tcPr>
          <w:p w14:paraId="29982717">
            <w:pPr>
              <w:jc w:val="center"/>
              <w:rPr>
                <w:rFonts w:ascii="Times New Roman" w:eastAsia="仿宋"/>
                <w:szCs w:val="21"/>
              </w:rPr>
            </w:pPr>
            <w:r>
              <w:rPr>
                <w:rFonts w:ascii="Times New Roman" w:eastAsia="仿宋"/>
                <w:szCs w:val="21"/>
              </w:rPr>
              <w:t>0.661</w:t>
            </w:r>
          </w:p>
        </w:tc>
        <w:tc>
          <w:tcPr>
            <w:tcW w:w="354" w:type="pct"/>
            <w:vAlign w:val="center"/>
          </w:tcPr>
          <w:p w14:paraId="516EBE0F">
            <w:pPr>
              <w:jc w:val="center"/>
              <w:rPr>
                <w:rFonts w:ascii="Times New Roman" w:eastAsia="仿宋"/>
                <w:szCs w:val="21"/>
              </w:rPr>
            </w:pPr>
            <w:r>
              <w:rPr>
                <w:rFonts w:ascii="Times New Roman" w:eastAsia="仿宋"/>
                <w:szCs w:val="21"/>
              </w:rPr>
              <w:t>0.15</w:t>
            </w:r>
          </w:p>
        </w:tc>
        <w:tc>
          <w:tcPr>
            <w:tcW w:w="447" w:type="pct"/>
            <w:vAlign w:val="center"/>
          </w:tcPr>
          <w:p w14:paraId="00E4D46B">
            <w:pPr>
              <w:jc w:val="center"/>
              <w:rPr>
                <w:rFonts w:ascii="Times New Roman" w:eastAsia="仿宋"/>
                <w:szCs w:val="21"/>
              </w:rPr>
            </w:pPr>
            <w:r>
              <w:rPr>
                <w:rFonts w:ascii="Times New Roman" w:eastAsia="仿宋"/>
                <w:szCs w:val="21"/>
              </w:rPr>
              <w:t>2.26</w:t>
            </w:r>
          </w:p>
        </w:tc>
        <w:tc>
          <w:tcPr>
            <w:tcW w:w="358" w:type="pct"/>
            <w:vAlign w:val="center"/>
          </w:tcPr>
          <w:p w14:paraId="75C83CB3">
            <w:pPr>
              <w:jc w:val="center"/>
              <w:rPr>
                <w:rFonts w:ascii="Times New Roman" w:eastAsia="仿宋"/>
                <w:szCs w:val="21"/>
              </w:rPr>
            </w:pPr>
            <w:r>
              <w:rPr>
                <w:rFonts w:ascii="Times New Roman" w:eastAsia="仿宋"/>
                <w:szCs w:val="21"/>
              </w:rPr>
              <w:t>1.13</w:t>
            </w:r>
          </w:p>
        </w:tc>
        <w:tc>
          <w:tcPr>
            <w:tcW w:w="435" w:type="pct"/>
          </w:tcPr>
          <w:p w14:paraId="21969EBB">
            <w:pPr>
              <w:jc w:val="center"/>
              <w:rPr>
                <w:rFonts w:ascii="Times New Roman" w:eastAsia="仿宋"/>
                <w:szCs w:val="21"/>
              </w:rPr>
            </w:pPr>
            <w:r>
              <w:rPr>
                <w:rFonts w:ascii="Times New Roman" w:eastAsia="仿宋"/>
                <w:szCs w:val="21"/>
              </w:rPr>
              <w:t>0.0174</w:t>
            </w:r>
          </w:p>
        </w:tc>
        <w:tc>
          <w:tcPr>
            <w:tcW w:w="328" w:type="pct"/>
          </w:tcPr>
          <w:p w14:paraId="2ED45B20">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7FBF50A9">
            <w:pPr>
              <w:jc w:val="center"/>
              <w:rPr>
                <w:rFonts w:ascii="Times New Roman" w:eastAsia="仿宋"/>
                <w:szCs w:val="21"/>
              </w:rPr>
            </w:pPr>
            <w:r>
              <w:rPr>
                <w:rFonts w:hint="eastAsia" w:ascii="Times New Roman" w:eastAsia="仿宋"/>
                <w:szCs w:val="21"/>
              </w:rPr>
              <w:t>0.8</w:t>
            </w:r>
          </w:p>
        </w:tc>
        <w:tc>
          <w:tcPr>
            <w:tcW w:w="325" w:type="pct"/>
            <w:vAlign w:val="bottom"/>
          </w:tcPr>
          <w:p w14:paraId="35EE0B89">
            <w:pPr>
              <w:jc w:val="center"/>
              <w:rPr>
                <w:rFonts w:ascii="Times New Roman" w:eastAsia="仿宋"/>
                <w:szCs w:val="21"/>
              </w:rPr>
            </w:pPr>
            <w:r>
              <w:rPr>
                <w:rFonts w:hint="eastAsia" w:ascii="Times New Roman" w:eastAsia="仿宋"/>
                <w:szCs w:val="21"/>
              </w:rPr>
              <w:t>0.4</w:t>
            </w:r>
          </w:p>
        </w:tc>
      </w:tr>
      <w:tr w14:paraId="49D08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7FEA16DD">
            <w:pPr>
              <w:jc w:val="center"/>
              <w:rPr>
                <w:rFonts w:ascii="Times New Roman" w:eastAsia="仿宋"/>
                <w:szCs w:val="21"/>
              </w:rPr>
            </w:pPr>
            <w:r>
              <w:rPr>
                <w:rFonts w:ascii="Times New Roman" w:eastAsia="仿宋"/>
                <w:szCs w:val="21"/>
              </w:rPr>
              <w:t>300</w:t>
            </w:r>
          </w:p>
        </w:tc>
        <w:tc>
          <w:tcPr>
            <w:tcW w:w="389" w:type="pct"/>
            <w:vAlign w:val="center"/>
          </w:tcPr>
          <w:p w14:paraId="7478C980">
            <w:pPr>
              <w:jc w:val="center"/>
              <w:rPr>
                <w:rFonts w:ascii="Times New Roman" w:eastAsia="仿宋"/>
                <w:szCs w:val="21"/>
              </w:rPr>
            </w:pPr>
            <w:r>
              <w:rPr>
                <w:rFonts w:ascii="Times New Roman" w:eastAsia="仿宋"/>
                <w:szCs w:val="21"/>
              </w:rPr>
              <w:t>2.92</w:t>
            </w:r>
          </w:p>
        </w:tc>
        <w:tc>
          <w:tcPr>
            <w:tcW w:w="325" w:type="pct"/>
            <w:vAlign w:val="center"/>
          </w:tcPr>
          <w:p w14:paraId="0E5679CF">
            <w:pPr>
              <w:jc w:val="center"/>
              <w:rPr>
                <w:rFonts w:ascii="Times New Roman" w:eastAsia="仿宋"/>
                <w:szCs w:val="21"/>
              </w:rPr>
            </w:pPr>
            <w:r>
              <w:rPr>
                <w:rFonts w:ascii="Times New Roman" w:eastAsia="仿宋"/>
                <w:szCs w:val="21"/>
              </w:rPr>
              <w:t>0.15</w:t>
            </w:r>
          </w:p>
        </w:tc>
        <w:tc>
          <w:tcPr>
            <w:tcW w:w="389" w:type="pct"/>
            <w:vAlign w:val="center"/>
          </w:tcPr>
          <w:p w14:paraId="6DD64A4A">
            <w:pPr>
              <w:jc w:val="center"/>
              <w:rPr>
                <w:rFonts w:ascii="Times New Roman" w:eastAsia="仿宋"/>
                <w:szCs w:val="21"/>
              </w:rPr>
            </w:pPr>
            <w:r>
              <w:rPr>
                <w:rFonts w:ascii="Times New Roman" w:eastAsia="仿宋"/>
                <w:szCs w:val="21"/>
              </w:rPr>
              <w:t>2.92</w:t>
            </w:r>
          </w:p>
        </w:tc>
        <w:tc>
          <w:tcPr>
            <w:tcW w:w="356" w:type="pct"/>
            <w:vAlign w:val="center"/>
          </w:tcPr>
          <w:p w14:paraId="3A1B6B4B">
            <w:pPr>
              <w:jc w:val="center"/>
              <w:rPr>
                <w:rFonts w:ascii="Times New Roman" w:eastAsia="仿宋"/>
                <w:szCs w:val="21"/>
              </w:rPr>
            </w:pPr>
            <w:r>
              <w:rPr>
                <w:rFonts w:hint="eastAsia" w:ascii="Times New Roman" w:eastAsia="仿宋"/>
                <w:szCs w:val="21"/>
              </w:rPr>
              <w:t>0.24</w:t>
            </w:r>
          </w:p>
        </w:tc>
        <w:tc>
          <w:tcPr>
            <w:tcW w:w="447" w:type="pct"/>
            <w:vAlign w:val="center"/>
          </w:tcPr>
          <w:p w14:paraId="1D64E489">
            <w:pPr>
              <w:jc w:val="center"/>
              <w:rPr>
                <w:rFonts w:ascii="Times New Roman" w:eastAsia="仿宋"/>
                <w:szCs w:val="21"/>
              </w:rPr>
            </w:pPr>
            <w:r>
              <w:rPr>
                <w:rFonts w:ascii="Times New Roman" w:eastAsia="仿宋"/>
                <w:szCs w:val="21"/>
              </w:rPr>
              <w:t>0.616</w:t>
            </w:r>
          </w:p>
        </w:tc>
        <w:tc>
          <w:tcPr>
            <w:tcW w:w="354" w:type="pct"/>
            <w:vAlign w:val="center"/>
          </w:tcPr>
          <w:p w14:paraId="5A504A18">
            <w:pPr>
              <w:jc w:val="center"/>
              <w:rPr>
                <w:rFonts w:ascii="Times New Roman" w:eastAsia="仿宋"/>
                <w:szCs w:val="21"/>
              </w:rPr>
            </w:pPr>
            <w:r>
              <w:rPr>
                <w:rFonts w:ascii="Times New Roman" w:eastAsia="仿宋"/>
                <w:szCs w:val="21"/>
              </w:rPr>
              <w:t>0.14</w:t>
            </w:r>
          </w:p>
        </w:tc>
        <w:tc>
          <w:tcPr>
            <w:tcW w:w="447" w:type="pct"/>
            <w:vAlign w:val="center"/>
          </w:tcPr>
          <w:p w14:paraId="3A1B35C3">
            <w:pPr>
              <w:jc w:val="center"/>
              <w:rPr>
                <w:rFonts w:ascii="Times New Roman" w:eastAsia="仿宋"/>
                <w:szCs w:val="21"/>
              </w:rPr>
            </w:pPr>
            <w:r>
              <w:rPr>
                <w:rFonts w:ascii="Times New Roman" w:eastAsia="仿宋"/>
                <w:szCs w:val="21"/>
              </w:rPr>
              <w:t>2.11</w:t>
            </w:r>
          </w:p>
        </w:tc>
        <w:tc>
          <w:tcPr>
            <w:tcW w:w="358" w:type="pct"/>
            <w:vAlign w:val="center"/>
          </w:tcPr>
          <w:p w14:paraId="50600FEE">
            <w:pPr>
              <w:jc w:val="center"/>
              <w:rPr>
                <w:rFonts w:ascii="Times New Roman" w:eastAsia="仿宋"/>
                <w:szCs w:val="21"/>
              </w:rPr>
            </w:pPr>
            <w:r>
              <w:rPr>
                <w:rFonts w:ascii="Times New Roman" w:eastAsia="仿宋"/>
                <w:szCs w:val="21"/>
              </w:rPr>
              <w:t>1.05</w:t>
            </w:r>
          </w:p>
        </w:tc>
        <w:tc>
          <w:tcPr>
            <w:tcW w:w="435" w:type="pct"/>
          </w:tcPr>
          <w:p w14:paraId="4EF5333B">
            <w:pPr>
              <w:jc w:val="center"/>
              <w:rPr>
                <w:rFonts w:ascii="Times New Roman" w:eastAsia="仿宋"/>
                <w:szCs w:val="21"/>
              </w:rPr>
            </w:pPr>
            <w:r>
              <w:rPr>
                <w:rFonts w:ascii="Times New Roman" w:eastAsia="仿宋"/>
                <w:szCs w:val="21"/>
              </w:rPr>
              <w:t>0.0162</w:t>
            </w:r>
          </w:p>
        </w:tc>
        <w:tc>
          <w:tcPr>
            <w:tcW w:w="328" w:type="pct"/>
          </w:tcPr>
          <w:p w14:paraId="6758D840">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4B36D0F3">
            <w:pPr>
              <w:jc w:val="center"/>
              <w:rPr>
                <w:rFonts w:ascii="Times New Roman" w:eastAsia="仿宋"/>
                <w:szCs w:val="21"/>
              </w:rPr>
            </w:pPr>
            <w:r>
              <w:rPr>
                <w:rFonts w:hint="eastAsia" w:ascii="Times New Roman" w:eastAsia="仿宋"/>
                <w:szCs w:val="21"/>
              </w:rPr>
              <w:t>0.74</w:t>
            </w:r>
          </w:p>
        </w:tc>
        <w:tc>
          <w:tcPr>
            <w:tcW w:w="325" w:type="pct"/>
            <w:vAlign w:val="bottom"/>
          </w:tcPr>
          <w:p w14:paraId="198B54BB">
            <w:pPr>
              <w:jc w:val="center"/>
              <w:rPr>
                <w:rFonts w:ascii="Times New Roman" w:eastAsia="仿宋"/>
                <w:szCs w:val="21"/>
              </w:rPr>
            </w:pPr>
            <w:r>
              <w:rPr>
                <w:rFonts w:hint="eastAsia" w:ascii="Times New Roman" w:eastAsia="仿宋"/>
                <w:szCs w:val="21"/>
              </w:rPr>
              <w:t>0.37</w:t>
            </w:r>
          </w:p>
        </w:tc>
      </w:tr>
      <w:tr w14:paraId="782B69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2E93FC2A">
            <w:pPr>
              <w:jc w:val="center"/>
              <w:rPr>
                <w:rFonts w:ascii="Times New Roman" w:eastAsia="仿宋"/>
                <w:szCs w:val="21"/>
              </w:rPr>
            </w:pPr>
            <w:r>
              <w:rPr>
                <w:rFonts w:ascii="Times New Roman" w:eastAsia="仿宋"/>
                <w:szCs w:val="21"/>
              </w:rPr>
              <w:t>400</w:t>
            </w:r>
          </w:p>
        </w:tc>
        <w:tc>
          <w:tcPr>
            <w:tcW w:w="389" w:type="pct"/>
            <w:vAlign w:val="center"/>
          </w:tcPr>
          <w:p w14:paraId="41B2A841">
            <w:pPr>
              <w:jc w:val="center"/>
              <w:rPr>
                <w:rFonts w:ascii="Times New Roman" w:eastAsia="仿宋"/>
                <w:szCs w:val="21"/>
              </w:rPr>
            </w:pPr>
            <w:r>
              <w:rPr>
                <w:rFonts w:ascii="Times New Roman" w:eastAsia="仿宋"/>
                <w:szCs w:val="21"/>
              </w:rPr>
              <w:t>3.01</w:t>
            </w:r>
          </w:p>
        </w:tc>
        <w:tc>
          <w:tcPr>
            <w:tcW w:w="325" w:type="pct"/>
            <w:vAlign w:val="center"/>
          </w:tcPr>
          <w:p w14:paraId="0D826EE9">
            <w:pPr>
              <w:jc w:val="center"/>
              <w:rPr>
                <w:rFonts w:ascii="Times New Roman" w:eastAsia="仿宋"/>
                <w:szCs w:val="21"/>
              </w:rPr>
            </w:pPr>
            <w:r>
              <w:rPr>
                <w:rFonts w:ascii="Times New Roman" w:eastAsia="仿宋"/>
                <w:szCs w:val="21"/>
              </w:rPr>
              <w:t>0.15</w:t>
            </w:r>
          </w:p>
        </w:tc>
        <w:tc>
          <w:tcPr>
            <w:tcW w:w="389" w:type="pct"/>
            <w:vAlign w:val="center"/>
          </w:tcPr>
          <w:p w14:paraId="77CCF0C6">
            <w:pPr>
              <w:jc w:val="center"/>
              <w:rPr>
                <w:rFonts w:ascii="Times New Roman" w:eastAsia="仿宋"/>
                <w:szCs w:val="21"/>
              </w:rPr>
            </w:pPr>
            <w:r>
              <w:rPr>
                <w:rFonts w:ascii="Times New Roman" w:eastAsia="仿宋"/>
                <w:szCs w:val="21"/>
              </w:rPr>
              <w:t>3.01</w:t>
            </w:r>
          </w:p>
        </w:tc>
        <w:tc>
          <w:tcPr>
            <w:tcW w:w="356" w:type="pct"/>
            <w:vAlign w:val="center"/>
          </w:tcPr>
          <w:p w14:paraId="3FF10BB4">
            <w:pPr>
              <w:jc w:val="center"/>
              <w:rPr>
                <w:rFonts w:ascii="Times New Roman" w:eastAsia="仿宋"/>
                <w:szCs w:val="21"/>
              </w:rPr>
            </w:pPr>
            <w:r>
              <w:rPr>
                <w:rFonts w:hint="eastAsia" w:ascii="Times New Roman" w:eastAsia="仿宋"/>
                <w:szCs w:val="21"/>
              </w:rPr>
              <w:t>0.25</w:t>
            </w:r>
          </w:p>
        </w:tc>
        <w:tc>
          <w:tcPr>
            <w:tcW w:w="447" w:type="pct"/>
            <w:vAlign w:val="center"/>
          </w:tcPr>
          <w:p w14:paraId="63506B50">
            <w:pPr>
              <w:jc w:val="center"/>
              <w:rPr>
                <w:rFonts w:ascii="Times New Roman" w:eastAsia="仿宋"/>
                <w:szCs w:val="21"/>
              </w:rPr>
            </w:pPr>
            <w:r>
              <w:rPr>
                <w:rFonts w:ascii="Times New Roman" w:eastAsia="仿宋"/>
                <w:szCs w:val="21"/>
              </w:rPr>
              <w:t>0.636</w:t>
            </w:r>
          </w:p>
        </w:tc>
        <w:tc>
          <w:tcPr>
            <w:tcW w:w="354" w:type="pct"/>
            <w:vAlign w:val="center"/>
          </w:tcPr>
          <w:p w14:paraId="13B9AD3B">
            <w:pPr>
              <w:jc w:val="center"/>
              <w:rPr>
                <w:rFonts w:ascii="Times New Roman" w:eastAsia="仿宋"/>
                <w:szCs w:val="21"/>
              </w:rPr>
            </w:pPr>
            <w:r>
              <w:rPr>
                <w:rFonts w:ascii="Times New Roman" w:eastAsia="仿宋"/>
                <w:szCs w:val="21"/>
              </w:rPr>
              <w:t>0.14</w:t>
            </w:r>
          </w:p>
        </w:tc>
        <w:tc>
          <w:tcPr>
            <w:tcW w:w="447" w:type="pct"/>
            <w:vAlign w:val="center"/>
          </w:tcPr>
          <w:p w14:paraId="5E371A82">
            <w:pPr>
              <w:jc w:val="center"/>
              <w:rPr>
                <w:rFonts w:ascii="Times New Roman" w:eastAsia="仿宋"/>
                <w:szCs w:val="21"/>
              </w:rPr>
            </w:pPr>
            <w:r>
              <w:rPr>
                <w:rFonts w:ascii="Times New Roman" w:eastAsia="仿宋"/>
                <w:szCs w:val="21"/>
              </w:rPr>
              <w:t>2.17</w:t>
            </w:r>
          </w:p>
        </w:tc>
        <w:tc>
          <w:tcPr>
            <w:tcW w:w="358" w:type="pct"/>
            <w:vAlign w:val="center"/>
          </w:tcPr>
          <w:p w14:paraId="169D1FD1">
            <w:pPr>
              <w:jc w:val="center"/>
              <w:rPr>
                <w:rFonts w:ascii="Times New Roman" w:eastAsia="仿宋"/>
                <w:szCs w:val="21"/>
              </w:rPr>
            </w:pPr>
            <w:r>
              <w:rPr>
                <w:rFonts w:ascii="Times New Roman" w:eastAsia="仿宋"/>
                <w:szCs w:val="21"/>
              </w:rPr>
              <w:t>1.09</w:t>
            </w:r>
          </w:p>
        </w:tc>
        <w:tc>
          <w:tcPr>
            <w:tcW w:w="435" w:type="pct"/>
          </w:tcPr>
          <w:p w14:paraId="76FCA34B">
            <w:pPr>
              <w:jc w:val="center"/>
              <w:rPr>
                <w:rFonts w:ascii="Times New Roman" w:eastAsia="仿宋"/>
                <w:szCs w:val="21"/>
              </w:rPr>
            </w:pPr>
            <w:r>
              <w:rPr>
                <w:rFonts w:ascii="Times New Roman" w:eastAsia="仿宋"/>
                <w:szCs w:val="21"/>
              </w:rPr>
              <w:t>0.0167</w:t>
            </w:r>
          </w:p>
        </w:tc>
        <w:tc>
          <w:tcPr>
            <w:tcW w:w="328" w:type="pct"/>
          </w:tcPr>
          <w:p w14:paraId="078A5E7B">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72DCA366">
            <w:pPr>
              <w:jc w:val="center"/>
              <w:rPr>
                <w:rFonts w:ascii="Times New Roman" w:eastAsia="仿宋"/>
                <w:szCs w:val="21"/>
              </w:rPr>
            </w:pPr>
            <w:r>
              <w:rPr>
                <w:rFonts w:hint="eastAsia" w:ascii="Times New Roman" w:eastAsia="仿宋"/>
                <w:szCs w:val="21"/>
              </w:rPr>
              <w:t>0.77</w:t>
            </w:r>
          </w:p>
        </w:tc>
        <w:tc>
          <w:tcPr>
            <w:tcW w:w="325" w:type="pct"/>
            <w:vAlign w:val="bottom"/>
          </w:tcPr>
          <w:p w14:paraId="49104D50">
            <w:pPr>
              <w:jc w:val="center"/>
              <w:rPr>
                <w:rFonts w:ascii="Times New Roman" w:eastAsia="仿宋"/>
                <w:szCs w:val="21"/>
              </w:rPr>
            </w:pPr>
            <w:r>
              <w:rPr>
                <w:rFonts w:hint="eastAsia" w:ascii="Times New Roman" w:eastAsia="仿宋"/>
                <w:szCs w:val="21"/>
              </w:rPr>
              <w:t>0.38</w:t>
            </w:r>
          </w:p>
        </w:tc>
      </w:tr>
      <w:tr w14:paraId="692912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22B9C83D">
            <w:pPr>
              <w:jc w:val="center"/>
              <w:rPr>
                <w:rFonts w:ascii="Times New Roman" w:eastAsia="仿宋"/>
                <w:szCs w:val="21"/>
              </w:rPr>
            </w:pPr>
            <w:r>
              <w:rPr>
                <w:rFonts w:ascii="Times New Roman" w:eastAsia="仿宋"/>
                <w:szCs w:val="21"/>
              </w:rPr>
              <w:t>500</w:t>
            </w:r>
          </w:p>
        </w:tc>
        <w:tc>
          <w:tcPr>
            <w:tcW w:w="389" w:type="pct"/>
            <w:vAlign w:val="center"/>
          </w:tcPr>
          <w:p w14:paraId="0EE8B32A">
            <w:pPr>
              <w:jc w:val="center"/>
              <w:rPr>
                <w:rFonts w:ascii="Times New Roman" w:eastAsia="仿宋"/>
                <w:szCs w:val="21"/>
              </w:rPr>
            </w:pPr>
            <w:r>
              <w:rPr>
                <w:rFonts w:ascii="Times New Roman" w:eastAsia="仿宋"/>
                <w:szCs w:val="21"/>
              </w:rPr>
              <w:t>2.91</w:t>
            </w:r>
          </w:p>
        </w:tc>
        <w:tc>
          <w:tcPr>
            <w:tcW w:w="325" w:type="pct"/>
            <w:vAlign w:val="center"/>
          </w:tcPr>
          <w:p w14:paraId="4EDAC8BE">
            <w:pPr>
              <w:jc w:val="center"/>
              <w:rPr>
                <w:rFonts w:ascii="Times New Roman" w:eastAsia="仿宋"/>
                <w:szCs w:val="21"/>
              </w:rPr>
            </w:pPr>
            <w:r>
              <w:rPr>
                <w:rFonts w:ascii="Times New Roman" w:eastAsia="仿宋"/>
                <w:szCs w:val="21"/>
              </w:rPr>
              <w:t>0.15</w:t>
            </w:r>
          </w:p>
        </w:tc>
        <w:tc>
          <w:tcPr>
            <w:tcW w:w="389" w:type="pct"/>
            <w:vAlign w:val="center"/>
          </w:tcPr>
          <w:p w14:paraId="7A9DAD1A">
            <w:pPr>
              <w:jc w:val="center"/>
              <w:rPr>
                <w:rFonts w:ascii="Times New Roman" w:eastAsia="仿宋"/>
                <w:szCs w:val="21"/>
              </w:rPr>
            </w:pPr>
            <w:r>
              <w:rPr>
                <w:rFonts w:ascii="Times New Roman" w:eastAsia="仿宋"/>
                <w:szCs w:val="21"/>
              </w:rPr>
              <w:t>2.91</w:t>
            </w:r>
          </w:p>
        </w:tc>
        <w:tc>
          <w:tcPr>
            <w:tcW w:w="356" w:type="pct"/>
            <w:vAlign w:val="center"/>
          </w:tcPr>
          <w:p w14:paraId="733F8083">
            <w:pPr>
              <w:jc w:val="center"/>
              <w:rPr>
                <w:rFonts w:ascii="Times New Roman" w:eastAsia="仿宋"/>
                <w:szCs w:val="21"/>
              </w:rPr>
            </w:pPr>
            <w:r>
              <w:rPr>
                <w:rFonts w:hint="eastAsia" w:ascii="Times New Roman" w:eastAsia="仿宋"/>
                <w:szCs w:val="21"/>
              </w:rPr>
              <w:t>0.24</w:t>
            </w:r>
          </w:p>
        </w:tc>
        <w:tc>
          <w:tcPr>
            <w:tcW w:w="447" w:type="pct"/>
            <w:vAlign w:val="center"/>
          </w:tcPr>
          <w:p w14:paraId="31A717D8">
            <w:pPr>
              <w:jc w:val="center"/>
              <w:rPr>
                <w:rFonts w:ascii="Times New Roman" w:eastAsia="仿宋"/>
                <w:szCs w:val="21"/>
              </w:rPr>
            </w:pPr>
            <w:r>
              <w:rPr>
                <w:rFonts w:ascii="Times New Roman" w:eastAsia="仿宋"/>
                <w:szCs w:val="21"/>
              </w:rPr>
              <w:t>0.614</w:t>
            </w:r>
          </w:p>
        </w:tc>
        <w:tc>
          <w:tcPr>
            <w:tcW w:w="354" w:type="pct"/>
            <w:vAlign w:val="center"/>
          </w:tcPr>
          <w:p w14:paraId="5848A8E1">
            <w:pPr>
              <w:jc w:val="center"/>
              <w:rPr>
                <w:rFonts w:ascii="Times New Roman" w:eastAsia="仿宋"/>
                <w:szCs w:val="21"/>
              </w:rPr>
            </w:pPr>
            <w:r>
              <w:rPr>
                <w:rFonts w:ascii="Times New Roman" w:eastAsia="仿宋"/>
                <w:szCs w:val="21"/>
              </w:rPr>
              <w:t>0.14</w:t>
            </w:r>
          </w:p>
        </w:tc>
        <w:tc>
          <w:tcPr>
            <w:tcW w:w="447" w:type="pct"/>
            <w:vAlign w:val="center"/>
          </w:tcPr>
          <w:p w14:paraId="10549A03">
            <w:pPr>
              <w:jc w:val="center"/>
              <w:rPr>
                <w:rFonts w:ascii="Times New Roman" w:eastAsia="仿宋"/>
                <w:szCs w:val="21"/>
              </w:rPr>
            </w:pPr>
            <w:r>
              <w:rPr>
                <w:rFonts w:ascii="Times New Roman" w:eastAsia="仿宋"/>
                <w:szCs w:val="21"/>
              </w:rPr>
              <w:t>2.10</w:t>
            </w:r>
          </w:p>
        </w:tc>
        <w:tc>
          <w:tcPr>
            <w:tcW w:w="358" w:type="pct"/>
            <w:vAlign w:val="center"/>
          </w:tcPr>
          <w:p w14:paraId="171F4529">
            <w:pPr>
              <w:jc w:val="center"/>
              <w:rPr>
                <w:rFonts w:ascii="Times New Roman" w:eastAsia="仿宋"/>
                <w:szCs w:val="21"/>
              </w:rPr>
            </w:pPr>
            <w:r>
              <w:rPr>
                <w:rFonts w:ascii="Times New Roman" w:eastAsia="仿宋"/>
                <w:szCs w:val="21"/>
              </w:rPr>
              <w:t>1.05</w:t>
            </w:r>
          </w:p>
        </w:tc>
        <w:tc>
          <w:tcPr>
            <w:tcW w:w="435" w:type="pct"/>
          </w:tcPr>
          <w:p w14:paraId="6EE46FAB">
            <w:pPr>
              <w:jc w:val="center"/>
              <w:rPr>
                <w:rFonts w:ascii="Times New Roman" w:eastAsia="仿宋"/>
                <w:szCs w:val="21"/>
              </w:rPr>
            </w:pPr>
            <w:r>
              <w:rPr>
                <w:rFonts w:ascii="Times New Roman" w:eastAsia="仿宋"/>
                <w:szCs w:val="21"/>
              </w:rPr>
              <w:t>0.0162</w:t>
            </w:r>
          </w:p>
        </w:tc>
        <w:tc>
          <w:tcPr>
            <w:tcW w:w="328" w:type="pct"/>
          </w:tcPr>
          <w:p w14:paraId="3D6A1191">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E4A8F4D">
            <w:pPr>
              <w:jc w:val="center"/>
              <w:rPr>
                <w:rFonts w:ascii="Times New Roman" w:eastAsia="仿宋"/>
                <w:szCs w:val="21"/>
              </w:rPr>
            </w:pPr>
            <w:r>
              <w:rPr>
                <w:rFonts w:hint="eastAsia" w:ascii="Times New Roman" w:eastAsia="仿宋"/>
                <w:szCs w:val="21"/>
              </w:rPr>
              <w:t>0.74</w:t>
            </w:r>
          </w:p>
        </w:tc>
        <w:tc>
          <w:tcPr>
            <w:tcW w:w="325" w:type="pct"/>
            <w:vAlign w:val="bottom"/>
          </w:tcPr>
          <w:p w14:paraId="3A6705EF">
            <w:pPr>
              <w:jc w:val="center"/>
              <w:rPr>
                <w:rFonts w:ascii="Times New Roman" w:eastAsia="仿宋"/>
                <w:szCs w:val="21"/>
              </w:rPr>
            </w:pPr>
            <w:r>
              <w:rPr>
                <w:rFonts w:hint="eastAsia" w:ascii="Times New Roman" w:eastAsia="仿宋"/>
                <w:szCs w:val="21"/>
              </w:rPr>
              <w:t>0.37</w:t>
            </w:r>
          </w:p>
        </w:tc>
      </w:tr>
      <w:tr w14:paraId="6105B3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4E5CE3F8">
            <w:pPr>
              <w:jc w:val="center"/>
              <w:rPr>
                <w:rFonts w:ascii="Times New Roman" w:eastAsia="仿宋"/>
                <w:szCs w:val="21"/>
              </w:rPr>
            </w:pPr>
            <w:r>
              <w:rPr>
                <w:rFonts w:ascii="Times New Roman" w:eastAsia="仿宋"/>
                <w:szCs w:val="21"/>
              </w:rPr>
              <w:t>600</w:t>
            </w:r>
          </w:p>
        </w:tc>
        <w:tc>
          <w:tcPr>
            <w:tcW w:w="389" w:type="pct"/>
            <w:vAlign w:val="center"/>
          </w:tcPr>
          <w:p w14:paraId="273119A3">
            <w:pPr>
              <w:jc w:val="center"/>
              <w:rPr>
                <w:rFonts w:ascii="Times New Roman" w:eastAsia="仿宋"/>
                <w:szCs w:val="21"/>
              </w:rPr>
            </w:pPr>
            <w:r>
              <w:rPr>
                <w:rFonts w:ascii="Times New Roman" w:eastAsia="仿宋"/>
                <w:szCs w:val="21"/>
              </w:rPr>
              <w:t>2.74</w:t>
            </w:r>
          </w:p>
        </w:tc>
        <w:tc>
          <w:tcPr>
            <w:tcW w:w="325" w:type="pct"/>
            <w:vAlign w:val="center"/>
          </w:tcPr>
          <w:p w14:paraId="46A202B8">
            <w:pPr>
              <w:jc w:val="center"/>
              <w:rPr>
                <w:rFonts w:ascii="Times New Roman" w:eastAsia="仿宋"/>
                <w:szCs w:val="21"/>
              </w:rPr>
            </w:pPr>
            <w:r>
              <w:rPr>
                <w:rFonts w:ascii="Times New Roman" w:eastAsia="仿宋"/>
                <w:szCs w:val="21"/>
              </w:rPr>
              <w:t>0.14</w:t>
            </w:r>
          </w:p>
        </w:tc>
        <w:tc>
          <w:tcPr>
            <w:tcW w:w="389" w:type="pct"/>
            <w:vAlign w:val="center"/>
          </w:tcPr>
          <w:p w14:paraId="363F46A6">
            <w:pPr>
              <w:jc w:val="center"/>
              <w:rPr>
                <w:rFonts w:ascii="Times New Roman" w:eastAsia="仿宋"/>
                <w:szCs w:val="21"/>
              </w:rPr>
            </w:pPr>
            <w:r>
              <w:rPr>
                <w:rFonts w:ascii="Times New Roman" w:eastAsia="仿宋"/>
                <w:szCs w:val="21"/>
              </w:rPr>
              <w:t>2.74</w:t>
            </w:r>
          </w:p>
        </w:tc>
        <w:tc>
          <w:tcPr>
            <w:tcW w:w="356" w:type="pct"/>
            <w:vAlign w:val="center"/>
          </w:tcPr>
          <w:p w14:paraId="38F653C1">
            <w:pPr>
              <w:jc w:val="center"/>
              <w:rPr>
                <w:rFonts w:ascii="Times New Roman" w:eastAsia="仿宋"/>
                <w:szCs w:val="21"/>
              </w:rPr>
            </w:pPr>
            <w:r>
              <w:rPr>
                <w:rFonts w:hint="eastAsia" w:ascii="Times New Roman" w:eastAsia="仿宋"/>
                <w:szCs w:val="21"/>
              </w:rPr>
              <w:t>0.22</w:t>
            </w:r>
          </w:p>
        </w:tc>
        <w:tc>
          <w:tcPr>
            <w:tcW w:w="447" w:type="pct"/>
            <w:vAlign w:val="center"/>
          </w:tcPr>
          <w:p w14:paraId="5BA69B0E">
            <w:pPr>
              <w:jc w:val="center"/>
              <w:rPr>
                <w:rFonts w:ascii="Times New Roman" w:eastAsia="仿宋"/>
                <w:szCs w:val="21"/>
              </w:rPr>
            </w:pPr>
            <w:r>
              <w:rPr>
                <w:rFonts w:ascii="Times New Roman" w:eastAsia="仿宋"/>
                <w:szCs w:val="21"/>
              </w:rPr>
              <w:t>0.579</w:t>
            </w:r>
          </w:p>
        </w:tc>
        <w:tc>
          <w:tcPr>
            <w:tcW w:w="354" w:type="pct"/>
            <w:vAlign w:val="center"/>
          </w:tcPr>
          <w:p w14:paraId="5F322F95">
            <w:pPr>
              <w:jc w:val="center"/>
              <w:rPr>
                <w:rFonts w:ascii="Times New Roman" w:eastAsia="仿宋"/>
                <w:szCs w:val="21"/>
              </w:rPr>
            </w:pPr>
            <w:r>
              <w:rPr>
                <w:rFonts w:ascii="Times New Roman" w:eastAsia="仿宋"/>
                <w:szCs w:val="21"/>
              </w:rPr>
              <w:t>0.13</w:t>
            </w:r>
          </w:p>
        </w:tc>
        <w:tc>
          <w:tcPr>
            <w:tcW w:w="447" w:type="pct"/>
            <w:vAlign w:val="center"/>
          </w:tcPr>
          <w:p w14:paraId="61D2210C">
            <w:pPr>
              <w:jc w:val="center"/>
              <w:rPr>
                <w:rFonts w:ascii="Times New Roman" w:eastAsia="仿宋"/>
                <w:szCs w:val="21"/>
              </w:rPr>
            </w:pPr>
            <w:r>
              <w:rPr>
                <w:rFonts w:ascii="Times New Roman" w:eastAsia="仿宋"/>
                <w:szCs w:val="21"/>
              </w:rPr>
              <w:t>1.98</w:t>
            </w:r>
          </w:p>
        </w:tc>
        <w:tc>
          <w:tcPr>
            <w:tcW w:w="358" w:type="pct"/>
            <w:vAlign w:val="center"/>
          </w:tcPr>
          <w:p w14:paraId="33AE52AD">
            <w:pPr>
              <w:jc w:val="center"/>
              <w:rPr>
                <w:rFonts w:ascii="Times New Roman" w:eastAsia="仿宋"/>
                <w:szCs w:val="21"/>
              </w:rPr>
            </w:pPr>
            <w:r>
              <w:rPr>
                <w:rFonts w:ascii="Times New Roman" w:eastAsia="仿宋"/>
                <w:szCs w:val="21"/>
              </w:rPr>
              <w:t>0.99</w:t>
            </w:r>
          </w:p>
        </w:tc>
        <w:tc>
          <w:tcPr>
            <w:tcW w:w="435" w:type="pct"/>
          </w:tcPr>
          <w:p w14:paraId="6F07243F">
            <w:pPr>
              <w:jc w:val="center"/>
              <w:rPr>
                <w:rFonts w:ascii="Times New Roman" w:eastAsia="仿宋"/>
                <w:szCs w:val="21"/>
              </w:rPr>
            </w:pPr>
            <w:r>
              <w:rPr>
                <w:rFonts w:ascii="Times New Roman" w:eastAsia="仿宋"/>
                <w:szCs w:val="21"/>
              </w:rPr>
              <w:t>0.0152</w:t>
            </w:r>
          </w:p>
        </w:tc>
        <w:tc>
          <w:tcPr>
            <w:tcW w:w="328" w:type="pct"/>
          </w:tcPr>
          <w:p w14:paraId="4220FBA8">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9084FBB">
            <w:pPr>
              <w:jc w:val="center"/>
              <w:rPr>
                <w:rFonts w:ascii="Times New Roman" w:eastAsia="仿宋"/>
                <w:szCs w:val="21"/>
              </w:rPr>
            </w:pPr>
            <w:r>
              <w:rPr>
                <w:rFonts w:hint="eastAsia" w:ascii="Times New Roman" w:eastAsia="仿宋"/>
                <w:szCs w:val="21"/>
              </w:rPr>
              <w:t>0.7</w:t>
            </w:r>
          </w:p>
        </w:tc>
        <w:tc>
          <w:tcPr>
            <w:tcW w:w="325" w:type="pct"/>
            <w:vAlign w:val="bottom"/>
          </w:tcPr>
          <w:p w14:paraId="6FF37F30">
            <w:pPr>
              <w:jc w:val="center"/>
              <w:rPr>
                <w:rFonts w:ascii="Times New Roman" w:eastAsia="仿宋"/>
                <w:szCs w:val="21"/>
              </w:rPr>
            </w:pPr>
            <w:r>
              <w:rPr>
                <w:rFonts w:hint="eastAsia" w:ascii="Times New Roman" w:eastAsia="仿宋"/>
                <w:szCs w:val="21"/>
              </w:rPr>
              <w:t>0.35</w:t>
            </w:r>
          </w:p>
        </w:tc>
      </w:tr>
      <w:tr w14:paraId="09C42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1DF5CCB3">
            <w:pPr>
              <w:jc w:val="center"/>
              <w:rPr>
                <w:rFonts w:ascii="Times New Roman" w:eastAsia="仿宋"/>
                <w:szCs w:val="21"/>
              </w:rPr>
            </w:pPr>
            <w:r>
              <w:rPr>
                <w:rFonts w:ascii="Times New Roman" w:eastAsia="仿宋"/>
                <w:szCs w:val="21"/>
              </w:rPr>
              <w:t>700</w:t>
            </w:r>
          </w:p>
        </w:tc>
        <w:tc>
          <w:tcPr>
            <w:tcW w:w="389" w:type="pct"/>
            <w:vAlign w:val="center"/>
          </w:tcPr>
          <w:p w14:paraId="69DED7BA">
            <w:pPr>
              <w:jc w:val="center"/>
              <w:rPr>
                <w:rFonts w:ascii="Times New Roman" w:eastAsia="仿宋"/>
                <w:szCs w:val="21"/>
              </w:rPr>
            </w:pPr>
            <w:r>
              <w:rPr>
                <w:rFonts w:ascii="Times New Roman" w:eastAsia="仿宋"/>
                <w:szCs w:val="21"/>
              </w:rPr>
              <w:t>2.57</w:t>
            </w:r>
          </w:p>
        </w:tc>
        <w:tc>
          <w:tcPr>
            <w:tcW w:w="325" w:type="pct"/>
            <w:vAlign w:val="center"/>
          </w:tcPr>
          <w:p w14:paraId="67D357BB">
            <w:pPr>
              <w:jc w:val="center"/>
              <w:rPr>
                <w:rFonts w:ascii="Times New Roman" w:eastAsia="仿宋"/>
                <w:szCs w:val="21"/>
              </w:rPr>
            </w:pPr>
            <w:r>
              <w:rPr>
                <w:rFonts w:ascii="Times New Roman" w:eastAsia="仿宋"/>
                <w:szCs w:val="21"/>
              </w:rPr>
              <w:t>0.13</w:t>
            </w:r>
          </w:p>
        </w:tc>
        <w:tc>
          <w:tcPr>
            <w:tcW w:w="389" w:type="pct"/>
            <w:vAlign w:val="center"/>
          </w:tcPr>
          <w:p w14:paraId="6B73ED57">
            <w:pPr>
              <w:jc w:val="center"/>
              <w:rPr>
                <w:rFonts w:ascii="Times New Roman" w:eastAsia="仿宋"/>
                <w:szCs w:val="21"/>
              </w:rPr>
            </w:pPr>
            <w:r>
              <w:rPr>
                <w:rFonts w:ascii="Times New Roman" w:eastAsia="仿宋"/>
                <w:szCs w:val="21"/>
              </w:rPr>
              <w:t>2.57</w:t>
            </w:r>
          </w:p>
        </w:tc>
        <w:tc>
          <w:tcPr>
            <w:tcW w:w="356" w:type="pct"/>
            <w:vAlign w:val="center"/>
          </w:tcPr>
          <w:p w14:paraId="550F8D79">
            <w:pPr>
              <w:jc w:val="center"/>
              <w:rPr>
                <w:rFonts w:ascii="Times New Roman" w:eastAsia="仿宋"/>
                <w:szCs w:val="21"/>
              </w:rPr>
            </w:pPr>
            <w:r>
              <w:rPr>
                <w:rFonts w:hint="eastAsia" w:ascii="Times New Roman" w:eastAsia="仿宋"/>
                <w:szCs w:val="21"/>
              </w:rPr>
              <w:t>0.21</w:t>
            </w:r>
          </w:p>
        </w:tc>
        <w:tc>
          <w:tcPr>
            <w:tcW w:w="447" w:type="pct"/>
            <w:vAlign w:val="center"/>
          </w:tcPr>
          <w:p w14:paraId="4D6290CF">
            <w:pPr>
              <w:jc w:val="center"/>
              <w:rPr>
                <w:rFonts w:ascii="Times New Roman" w:eastAsia="仿宋"/>
                <w:szCs w:val="21"/>
              </w:rPr>
            </w:pPr>
            <w:r>
              <w:rPr>
                <w:rFonts w:ascii="Times New Roman" w:eastAsia="仿宋"/>
                <w:szCs w:val="21"/>
              </w:rPr>
              <w:t>0.542</w:t>
            </w:r>
          </w:p>
        </w:tc>
        <w:tc>
          <w:tcPr>
            <w:tcW w:w="354" w:type="pct"/>
            <w:vAlign w:val="center"/>
          </w:tcPr>
          <w:p w14:paraId="3798D752">
            <w:pPr>
              <w:jc w:val="center"/>
              <w:rPr>
                <w:rFonts w:ascii="Times New Roman" w:eastAsia="仿宋"/>
                <w:szCs w:val="21"/>
              </w:rPr>
            </w:pPr>
            <w:r>
              <w:rPr>
                <w:rFonts w:ascii="Times New Roman" w:eastAsia="仿宋"/>
                <w:szCs w:val="21"/>
              </w:rPr>
              <w:t>0.12</w:t>
            </w:r>
          </w:p>
        </w:tc>
        <w:tc>
          <w:tcPr>
            <w:tcW w:w="447" w:type="pct"/>
            <w:vAlign w:val="center"/>
          </w:tcPr>
          <w:p w14:paraId="1C583A4A">
            <w:pPr>
              <w:jc w:val="center"/>
              <w:rPr>
                <w:rFonts w:ascii="Times New Roman" w:eastAsia="仿宋"/>
                <w:szCs w:val="21"/>
              </w:rPr>
            </w:pPr>
            <w:r>
              <w:rPr>
                <w:rFonts w:ascii="Times New Roman" w:eastAsia="仿宋"/>
                <w:szCs w:val="21"/>
              </w:rPr>
              <w:t>1.85</w:t>
            </w:r>
          </w:p>
        </w:tc>
        <w:tc>
          <w:tcPr>
            <w:tcW w:w="358" w:type="pct"/>
            <w:vAlign w:val="center"/>
          </w:tcPr>
          <w:p w14:paraId="43E830C1">
            <w:pPr>
              <w:jc w:val="center"/>
              <w:rPr>
                <w:rFonts w:ascii="Times New Roman" w:eastAsia="仿宋"/>
                <w:szCs w:val="21"/>
              </w:rPr>
            </w:pPr>
            <w:r>
              <w:rPr>
                <w:rFonts w:ascii="Times New Roman" w:eastAsia="仿宋"/>
                <w:szCs w:val="21"/>
              </w:rPr>
              <w:t>0.93</w:t>
            </w:r>
          </w:p>
        </w:tc>
        <w:tc>
          <w:tcPr>
            <w:tcW w:w="435" w:type="pct"/>
          </w:tcPr>
          <w:p w14:paraId="62ACF8A7">
            <w:pPr>
              <w:jc w:val="center"/>
              <w:rPr>
                <w:rFonts w:ascii="Times New Roman" w:eastAsia="仿宋"/>
                <w:szCs w:val="21"/>
              </w:rPr>
            </w:pPr>
            <w:r>
              <w:rPr>
                <w:rFonts w:ascii="Times New Roman" w:eastAsia="仿宋"/>
                <w:szCs w:val="21"/>
              </w:rPr>
              <w:t>0.0143</w:t>
            </w:r>
          </w:p>
        </w:tc>
        <w:tc>
          <w:tcPr>
            <w:tcW w:w="328" w:type="pct"/>
          </w:tcPr>
          <w:p w14:paraId="24FAB57A">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79625F63">
            <w:pPr>
              <w:jc w:val="center"/>
              <w:rPr>
                <w:rFonts w:ascii="Times New Roman" w:eastAsia="仿宋"/>
                <w:szCs w:val="21"/>
              </w:rPr>
            </w:pPr>
            <w:r>
              <w:rPr>
                <w:rFonts w:hint="eastAsia" w:ascii="Times New Roman" w:eastAsia="仿宋"/>
                <w:szCs w:val="21"/>
              </w:rPr>
              <w:t>0.65</w:t>
            </w:r>
          </w:p>
        </w:tc>
        <w:tc>
          <w:tcPr>
            <w:tcW w:w="325" w:type="pct"/>
            <w:vAlign w:val="bottom"/>
          </w:tcPr>
          <w:p w14:paraId="32B7ED4D">
            <w:pPr>
              <w:jc w:val="center"/>
              <w:rPr>
                <w:rFonts w:ascii="Times New Roman" w:eastAsia="仿宋"/>
                <w:szCs w:val="21"/>
              </w:rPr>
            </w:pPr>
            <w:r>
              <w:rPr>
                <w:rFonts w:hint="eastAsia" w:ascii="Times New Roman" w:eastAsia="仿宋"/>
                <w:szCs w:val="21"/>
              </w:rPr>
              <w:t>0.32</w:t>
            </w:r>
          </w:p>
        </w:tc>
      </w:tr>
      <w:tr w14:paraId="67A00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5BC67D52">
            <w:pPr>
              <w:jc w:val="center"/>
              <w:rPr>
                <w:rFonts w:ascii="Times New Roman" w:eastAsia="仿宋"/>
                <w:szCs w:val="21"/>
              </w:rPr>
            </w:pPr>
            <w:r>
              <w:rPr>
                <w:rFonts w:ascii="Times New Roman" w:eastAsia="仿宋"/>
                <w:szCs w:val="21"/>
              </w:rPr>
              <w:t>800</w:t>
            </w:r>
          </w:p>
        </w:tc>
        <w:tc>
          <w:tcPr>
            <w:tcW w:w="389" w:type="pct"/>
            <w:vAlign w:val="center"/>
          </w:tcPr>
          <w:p w14:paraId="336A221E">
            <w:pPr>
              <w:jc w:val="center"/>
              <w:rPr>
                <w:rFonts w:ascii="Times New Roman" w:eastAsia="仿宋"/>
                <w:szCs w:val="21"/>
              </w:rPr>
            </w:pPr>
            <w:r>
              <w:rPr>
                <w:rFonts w:ascii="Times New Roman" w:eastAsia="仿宋"/>
                <w:szCs w:val="21"/>
              </w:rPr>
              <w:t>2.40</w:t>
            </w:r>
          </w:p>
        </w:tc>
        <w:tc>
          <w:tcPr>
            <w:tcW w:w="325" w:type="pct"/>
            <w:vAlign w:val="center"/>
          </w:tcPr>
          <w:p w14:paraId="075A0B5E">
            <w:pPr>
              <w:jc w:val="center"/>
              <w:rPr>
                <w:rFonts w:ascii="Times New Roman" w:eastAsia="仿宋"/>
                <w:szCs w:val="21"/>
              </w:rPr>
            </w:pPr>
            <w:r>
              <w:rPr>
                <w:rFonts w:ascii="Times New Roman" w:eastAsia="仿宋"/>
                <w:szCs w:val="21"/>
              </w:rPr>
              <w:t>0.12</w:t>
            </w:r>
          </w:p>
        </w:tc>
        <w:tc>
          <w:tcPr>
            <w:tcW w:w="389" w:type="pct"/>
            <w:vAlign w:val="center"/>
          </w:tcPr>
          <w:p w14:paraId="111FBCEA">
            <w:pPr>
              <w:jc w:val="center"/>
              <w:rPr>
                <w:rFonts w:ascii="Times New Roman" w:eastAsia="仿宋"/>
                <w:szCs w:val="21"/>
              </w:rPr>
            </w:pPr>
            <w:r>
              <w:rPr>
                <w:rFonts w:ascii="Times New Roman" w:eastAsia="仿宋"/>
                <w:szCs w:val="21"/>
              </w:rPr>
              <w:t>2.40</w:t>
            </w:r>
          </w:p>
        </w:tc>
        <w:tc>
          <w:tcPr>
            <w:tcW w:w="356" w:type="pct"/>
            <w:vAlign w:val="center"/>
          </w:tcPr>
          <w:p w14:paraId="54C869F7">
            <w:pPr>
              <w:jc w:val="center"/>
              <w:rPr>
                <w:rFonts w:ascii="Times New Roman" w:eastAsia="仿宋"/>
                <w:szCs w:val="21"/>
              </w:rPr>
            </w:pPr>
            <w:r>
              <w:rPr>
                <w:rFonts w:hint="eastAsia" w:ascii="Times New Roman" w:eastAsia="仿宋"/>
                <w:szCs w:val="21"/>
              </w:rPr>
              <w:t>0.2</w:t>
            </w:r>
          </w:p>
        </w:tc>
        <w:tc>
          <w:tcPr>
            <w:tcW w:w="447" w:type="pct"/>
            <w:vAlign w:val="center"/>
          </w:tcPr>
          <w:p w14:paraId="15FC3629">
            <w:pPr>
              <w:jc w:val="center"/>
              <w:rPr>
                <w:rFonts w:ascii="Times New Roman" w:eastAsia="仿宋"/>
                <w:szCs w:val="21"/>
              </w:rPr>
            </w:pPr>
            <w:r>
              <w:rPr>
                <w:rFonts w:ascii="Times New Roman" w:eastAsia="仿宋"/>
                <w:szCs w:val="21"/>
              </w:rPr>
              <w:t>0.507</w:t>
            </w:r>
          </w:p>
        </w:tc>
        <w:tc>
          <w:tcPr>
            <w:tcW w:w="354" w:type="pct"/>
            <w:vAlign w:val="center"/>
          </w:tcPr>
          <w:p w14:paraId="5BE93180">
            <w:pPr>
              <w:jc w:val="center"/>
              <w:rPr>
                <w:rFonts w:ascii="Times New Roman" w:eastAsia="仿宋"/>
                <w:szCs w:val="21"/>
              </w:rPr>
            </w:pPr>
            <w:r>
              <w:rPr>
                <w:rFonts w:ascii="Times New Roman" w:eastAsia="仿宋"/>
                <w:szCs w:val="21"/>
              </w:rPr>
              <w:t>0.11</w:t>
            </w:r>
          </w:p>
        </w:tc>
        <w:tc>
          <w:tcPr>
            <w:tcW w:w="447" w:type="pct"/>
            <w:vAlign w:val="center"/>
          </w:tcPr>
          <w:p w14:paraId="3CCECD69">
            <w:pPr>
              <w:jc w:val="center"/>
              <w:rPr>
                <w:rFonts w:ascii="Times New Roman" w:eastAsia="仿宋"/>
                <w:szCs w:val="21"/>
              </w:rPr>
            </w:pPr>
            <w:r>
              <w:rPr>
                <w:rFonts w:ascii="Times New Roman" w:eastAsia="仿宋"/>
                <w:szCs w:val="21"/>
              </w:rPr>
              <w:t>1.73</w:t>
            </w:r>
          </w:p>
        </w:tc>
        <w:tc>
          <w:tcPr>
            <w:tcW w:w="358" w:type="pct"/>
            <w:vAlign w:val="center"/>
          </w:tcPr>
          <w:p w14:paraId="06C03AB7">
            <w:pPr>
              <w:jc w:val="center"/>
              <w:rPr>
                <w:rFonts w:ascii="Times New Roman" w:eastAsia="仿宋"/>
                <w:szCs w:val="21"/>
              </w:rPr>
            </w:pPr>
            <w:r>
              <w:rPr>
                <w:rFonts w:ascii="Times New Roman" w:eastAsia="仿宋"/>
                <w:szCs w:val="21"/>
              </w:rPr>
              <w:t>0.87</w:t>
            </w:r>
          </w:p>
        </w:tc>
        <w:tc>
          <w:tcPr>
            <w:tcW w:w="435" w:type="pct"/>
          </w:tcPr>
          <w:p w14:paraId="324D10B5">
            <w:pPr>
              <w:jc w:val="center"/>
              <w:rPr>
                <w:rFonts w:ascii="Times New Roman" w:eastAsia="仿宋"/>
                <w:szCs w:val="21"/>
              </w:rPr>
            </w:pPr>
            <w:r>
              <w:rPr>
                <w:rFonts w:ascii="Times New Roman" w:eastAsia="仿宋"/>
                <w:szCs w:val="21"/>
              </w:rPr>
              <w:t>0.0133</w:t>
            </w:r>
          </w:p>
        </w:tc>
        <w:tc>
          <w:tcPr>
            <w:tcW w:w="328" w:type="pct"/>
          </w:tcPr>
          <w:p w14:paraId="31ECBCA8">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05559123">
            <w:pPr>
              <w:jc w:val="center"/>
              <w:rPr>
                <w:rFonts w:ascii="Times New Roman" w:eastAsia="仿宋"/>
                <w:szCs w:val="21"/>
              </w:rPr>
            </w:pPr>
            <w:r>
              <w:rPr>
                <w:rFonts w:hint="eastAsia" w:ascii="Times New Roman" w:eastAsia="仿宋"/>
                <w:szCs w:val="21"/>
              </w:rPr>
              <w:t>0.61</w:t>
            </w:r>
          </w:p>
        </w:tc>
        <w:tc>
          <w:tcPr>
            <w:tcW w:w="325" w:type="pct"/>
            <w:vAlign w:val="bottom"/>
          </w:tcPr>
          <w:p w14:paraId="6E8E825F">
            <w:pPr>
              <w:jc w:val="center"/>
              <w:rPr>
                <w:rFonts w:ascii="Times New Roman" w:eastAsia="仿宋"/>
                <w:szCs w:val="21"/>
              </w:rPr>
            </w:pPr>
            <w:r>
              <w:rPr>
                <w:rFonts w:hint="eastAsia" w:ascii="Times New Roman" w:eastAsia="仿宋"/>
                <w:szCs w:val="21"/>
              </w:rPr>
              <w:t>0.30</w:t>
            </w:r>
          </w:p>
        </w:tc>
      </w:tr>
      <w:tr w14:paraId="109248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65686EE6">
            <w:pPr>
              <w:jc w:val="center"/>
              <w:rPr>
                <w:rFonts w:ascii="Times New Roman" w:eastAsia="仿宋"/>
                <w:szCs w:val="21"/>
              </w:rPr>
            </w:pPr>
            <w:r>
              <w:rPr>
                <w:rFonts w:ascii="Times New Roman" w:eastAsia="仿宋"/>
                <w:szCs w:val="21"/>
              </w:rPr>
              <w:t>900</w:t>
            </w:r>
          </w:p>
        </w:tc>
        <w:tc>
          <w:tcPr>
            <w:tcW w:w="389" w:type="pct"/>
            <w:vAlign w:val="center"/>
          </w:tcPr>
          <w:p w14:paraId="1A5FB47C">
            <w:pPr>
              <w:jc w:val="center"/>
              <w:rPr>
                <w:rFonts w:ascii="Times New Roman" w:eastAsia="仿宋"/>
                <w:szCs w:val="21"/>
              </w:rPr>
            </w:pPr>
            <w:r>
              <w:rPr>
                <w:rFonts w:ascii="Times New Roman" w:eastAsia="仿宋"/>
                <w:szCs w:val="21"/>
              </w:rPr>
              <w:t>2.25</w:t>
            </w:r>
          </w:p>
        </w:tc>
        <w:tc>
          <w:tcPr>
            <w:tcW w:w="325" w:type="pct"/>
            <w:vAlign w:val="center"/>
          </w:tcPr>
          <w:p w14:paraId="6B6462AF">
            <w:pPr>
              <w:jc w:val="center"/>
              <w:rPr>
                <w:rFonts w:ascii="Times New Roman" w:eastAsia="仿宋"/>
                <w:szCs w:val="21"/>
              </w:rPr>
            </w:pPr>
            <w:r>
              <w:rPr>
                <w:rFonts w:ascii="Times New Roman" w:eastAsia="仿宋"/>
                <w:szCs w:val="21"/>
              </w:rPr>
              <w:t>0.11</w:t>
            </w:r>
          </w:p>
        </w:tc>
        <w:tc>
          <w:tcPr>
            <w:tcW w:w="389" w:type="pct"/>
            <w:vAlign w:val="center"/>
          </w:tcPr>
          <w:p w14:paraId="7C51A3E2">
            <w:pPr>
              <w:jc w:val="center"/>
              <w:rPr>
                <w:rFonts w:ascii="Times New Roman" w:eastAsia="仿宋"/>
                <w:szCs w:val="21"/>
              </w:rPr>
            </w:pPr>
            <w:r>
              <w:rPr>
                <w:rFonts w:ascii="Times New Roman" w:eastAsia="仿宋"/>
                <w:szCs w:val="21"/>
              </w:rPr>
              <w:t>2.25</w:t>
            </w:r>
          </w:p>
        </w:tc>
        <w:tc>
          <w:tcPr>
            <w:tcW w:w="356" w:type="pct"/>
            <w:vAlign w:val="center"/>
          </w:tcPr>
          <w:p w14:paraId="5EBF7820">
            <w:pPr>
              <w:jc w:val="center"/>
              <w:rPr>
                <w:rFonts w:ascii="Times New Roman" w:eastAsia="仿宋"/>
                <w:szCs w:val="21"/>
              </w:rPr>
            </w:pPr>
            <w:r>
              <w:rPr>
                <w:rFonts w:hint="eastAsia" w:ascii="Times New Roman" w:eastAsia="仿宋"/>
                <w:szCs w:val="21"/>
              </w:rPr>
              <w:t>0.18</w:t>
            </w:r>
          </w:p>
        </w:tc>
        <w:tc>
          <w:tcPr>
            <w:tcW w:w="447" w:type="pct"/>
            <w:vAlign w:val="center"/>
          </w:tcPr>
          <w:p w14:paraId="41599E9B">
            <w:pPr>
              <w:jc w:val="center"/>
              <w:rPr>
                <w:rFonts w:ascii="Times New Roman" w:eastAsia="仿宋"/>
                <w:szCs w:val="21"/>
              </w:rPr>
            </w:pPr>
            <w:r>
              <w:rPr>
                <w:rFonts w:ascii="Times New Roman" w:eastAsia="仿宋"/>
                <w:szCs w:val="21"/>
              </w:rPr>
              <w:t>0.475</w:t>
            </w:r>
          </w:p>
        </w:tc>
        <w:tc>
          <w:tcPr>
            <w:tcW w:w="354" w:type="pct"/>
            <w:vAlign w:val="center"/>
          </w:tcPr>
          <w:p w14:paraId="6CCA588A">
            <w:pPr>
              <w:jc w:val="center"/>
              <w:rPr>
                <w:rFonts w:ascii="Times New Roman" w:eastAsia="仿宋"/>
                <w:szCs w:val="21"/>
              </w:rPr>
            </w:pPr>
            <w:r>
              <w:rPr>
                <w:rFonts w:ascii="Times New Roman" w:eastAsia="仿宋"/>
                <w:szCs w:val="21"/>
              </w:rPr>
              <w:t>0.11</w:t>
            </w:r>
          </w:p>
        </w:tc>
        <w:tc>
          <w:tcPr>
            <w:tcW w:w="447" w:type="pct"/>
            <w:vAlign w:val="center"/>
          </w:tcPr>
          <w:p w14:paraId="7F8F2BBC">
            <w:pPr>
              <w:jc w:val="center"/>
              <w:rPr>
                <w:rFonts w:ascii="Times New Roman" w:eastAsia="仿宋"/>
                <w:szCs w:val="21"/>
              </w:rPr>
            </w:pPr>
            <w:r>
              <w:rPr>
                <w:rFonts w:ascii="Times New Roman" w:eastAsia="仿宋"/>
                <w:szCs w:val="21"/>
              </w:rPr>
              <w:t>1.62</w:t>
            </w:r>
          </w:p>
        </w:tc>
        <w:tc>
          <w:tcPr>
            <w:tcW w:w="358" w:type="pct"/>
            <w:vAlign w:val="center"/>
          </w:tcPr>
          <w:p w14:paraId="7DEA6601">
            <w:pPr>
              <w:jc w:val="center"/>
              <w:rPr>
                <w:rFonts w:ascii="Times New Roman" w:eastAsia="仿宋"/>
                <w:szCs w:val="21"/>
              </w:rPr>
            </w:pPr>
            <w:r>
              <w:rPr>
                <w:rFonts w:ascii="Times New Roman" w:eastAsia="仿宋"/>
                <w:szCs w:val="21"/>
              </w:rPr>
              <w:t>0.81</w:t>
            </w:r>
          </w:p>
        </w:tc>
        <w:tc>
          <w:tcPr>
            <w:tcW w:w="435" w:type="pct"/>
          </w:tcPr>
          <w:p w14:paraId="57B3FDC9">
            <w:pPr>
              <w:jc w:val="center"/>
              <w:rPr>
                <w:rFonts w:ascii="Times New Roman" w:eastAsia="仿宋"/>
                <w:szCs w:val="21"/>
              </w:rPr>
            </w:pPr>
            <w:r>
              <w:rPr>
                <w:rFonts w:ascii="Times New Roman" w:eastAsia="仿宋"/>
                <w:szCs w:val="21"/>
              </w:rPr>
              <w:t>0.0125</w:t>
            </w:r>
          </w:p>
        </w:tc>
        <w:tc>
          <w:tcPr>
            <w:tcW w:w="328" w:type="pct"/>
          </w:tcPr>
          <w:p w14:paraId="4A02DF4E">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0FEBB18">
            <w:pPr>
              <w:jc w:val="center"/>
              <w:rPr>
                <w:rFonts w:ascii="Times New Roman" w:eastAsia="仿宋"/>
                <w:szCs w:val="21"/>
              </w:rPr>
            </w:pPr>
            <w:r>
              <w:rPr>
                <w:rFonts w:hint="eastAsia" w:ascii="Times New Roman" w:eastAsia="仿宋"/>
                <w:szCs w:val="21"/>
              </w:rPr>
              <w:t>0.57</w:t>
            </w:r>
          </w:p>
        </w:tc>
        <w:tc>
          <w:tcPr>
            <w:tcW w:w="325" w:type="pct"/>
            <w:vAlign w:val="bottom"/>
          </w:tcPr>
          <w:p w14:paraId="12C9B91F">
            <w:pPr>
              <w:jc w:val="center"/>
              <w:rPr>
                <w:rFonts w:ascii="Times New Roman" w:eastAsia="仿宋"/>
                <w:szCs w:val="21"/>
              </w:rPr>
            </w:pPr>
            <w:r>
              <w:rPr>
                <w:rFonts w:hint="eastAsia" w:ascii="Times New Roman" w:eastAsia="仿宋"/>
                <w:szCs w:val="21"/>
              </w:rPr>
              <w:t>0.28</w:t>
            </w:r>
          </w:p>
        </w:tc>
      </w:tr>
      <w:tr w14:paraId="4039CD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53274008">
            <w:pPr>
              <w:jc w:val="center"/>
              <w:rPr>
                <w:rFonts w:ascii="Times New Roman" w:eastAsia="仿宋"/>
                <w:szCs w:val="21"/>
              </w:rPr>
            </w:pPr>
            <w:r>
              <w:rPr>
                <w:rFonts w:ascii="Times New Roman" w:eastAsia="仿宋"/>
                <w:szCs w:val="21"/>
              </w:rPr>
              <w:t>1000</w:t>
            </w:r>
          </w:p>
        </w:tc>
        <w:tc>
          <w:tcPr>
            <w:tcW w:w="389" w:type="pct"/>
            <w:vAlign w:val="center"/>
          </w:tcPr>
          <w:p w14:paraId="60E25B4F">
            <w:pPr>
              <w:jc w:val="center"/>
              <w:rPr>
                <w:rFonts w:ascii="Times New Roman" w:eastAsia="仿宋"/>
                <w:szCs w:val="21"/>
              </w:rPr>
            </w:pPr>
            <w:r>
              <w:rPr>
                <w:rFonts w:ascii="Times New Roman" w:eastAsia="仿宋"/>
                <w:szCs w:val="21"/>
              </w:rPr>
              <w:t>2.11</w:t>
            </w:r>
          </w:p>
        </w:tc>
        <w:tc>
          <w:tcPr>
            <w:tcW w:w="325" w:type="pct"/>
            <w:vAlign w:val="center"/>
          </w:tcPr>
          <w:p w14:paraId="000C160A">
            <w:pPr>
              <w:jc w:val="center"/>
              <w:rPr>
                <w:rFonts w:ascii="Times New Roman" w:eastAsia="仿宋"/>
                <w:szCs w:val="21"/>
              </w:rPr>
            </w:pPr>
            <w:r>
              <w:rPr>
                <w:rFonts w:ascii="Times New Roman" w:eastAsia="仿宋"/>
                <w:szCs w:val="21"/>
              </w:rPr>
              <w:t>0.11</w:t>
            </w:r>
          </w:p>
        </w:tc>
        <w:tc>
          <w:tcPr>
            <w:tcW w:w="389" w:type="pct"/>
            <w:vAlign w:val="center"/>
          </w:tcPr>
          <w:p w14:paraId="3915BC34">
            <w:pPr>
              <w:jc w:val="center"/>
              <w:rPr>
                <w:rFonts w:ascii="Times New Roman" w:eastAsia="仿宋"/>
                <w:szCs w:val="21"/>
              </w:rPr>
            </w:pPr>
            <w:r>
              <w:rPr>
                <w:rFonts w:ascii="Times New Roman" w:eastAsia="仿宋"/>
                <w:szCs w:val="21"/>
              </w:rPr>
              <w:t>2.11</w:t>
            </w:r>
          </w:p>
        </w:tc>
        <w:tc>
          <w:tcPr>
            <w:tcW w:w="356" w:type="pct"/>
            <w:vAlign w:val="bottom"/>
          </w:tcPr>
          <w:p w14:paraId="05B7F9C8">
            <w:pPr>
              <w:jc w:val="center"/>
              <w:rPr>
                <w:rFonts w:ascii="Times New Roman" w:eastAsia="仿宋"/>
                <w:szCs w:val="21"/>
              </w:rPr>
            </w:pPr>
            <w:r>
              <w:rPr>
                <w:rFonts w:hint="eastAsia" w:ascii="Times New Roman" w:eastAsia="仿宋"/>
                <w:szCs w:val="21"/>
              </w:rPr>
              <w:t>0.17</w:t>
            </w:r>
          </w:p>
        </w:tc>
        <w:tc>
          <w:tcPr>
            <w:tcW w:w="447" w:type="pct"/>
            <w:vAlign w:val="center"/>
          </w:tcPr>
          <w:p w14:paraId="5645B6AD">
            <w:pPr>
              <w:jc w:val="center"/>
              <w:rPr>
                <w:rFonts w:ascii="Times New Roman" w:eastAsia="仿宋"/>
                <w:szCs w:val="21"/>
              </w:rPr>
            </w:pPr>
            <w:r>
              <w:rPr>
                <w:rFonts w:ascii="Times New Roman" w:eastAsia="仿宋"/>
                <w:szCs w:val="21"/>
              </w:rPr>
              <w:t>0.446</w:t>
            </w:r>
          </w:p>
        </w:tc>
        <w:tc>
          <w:tcPr>
            <w:tcW w:w="354" w:type="pct"/>
            <w:vAlign w:val="center"/>
          </w:tcPr>
          <w:p w14:paraId="0074F52E">
            <w:pPr>
              <w:jc w:val="center"/>
              <w:rPr>
                <w:rFonts w:ascii="Times New Roman" w:eastAsia="仿宋"/>
                <w:szCs w:val="21"/>
              </w:rPr>
            </w:pPr>
            <w:r>
              <w:rPr>
                <w:rFonts w:ascii="Times New Roman" w:eastAsia="仿宋"/>
                <w:szCs w:val="21"/>
              </w:rPr>
              <w:t>0.10</w:t>
            </w:r>
          </w:p>
        </w:tc>
        <w:tc>
          <w:tcPr>
            <w:tcW w:w="447" w:type="pct"/>
            <w:vAlign w:val="center"/>
          </w:tcPr>
          <w:p w14:paraId="1B00E9D6">
            <w:pPr>
              <w:jc w:val="center"/>
              <w:rPr>
                <w:rFonts w:ascii="Times New Roman" w:eastAsia="仿宋"/>
                <w:szCs w:val="21"/>
              </w:rPr>
            </w:pPr>
            <w:r>
              <w:rPr>
                <w:rFonts w:ascii="Times New Roman" w:eastAsia="仿宋"/>
                <w:szCs w:val="21"/>
              </w:rPr>
              <w:t>1.53</w:t>
            </w:r>
          </w:p>
        </w:tc>
        <w:tc>
          <w:tcPr>
            <w:tcW w:w="358" w:type="pct"/>
            <w:vAlign w:val="center"/>
          </w:tcPr>
          <w:p w14:paraId="14C8BA1E">
            <w:pPr>
              <w:jc w:val="center"/>
              <w:rPr>
                <w:rFonts w:ascii="Times New Roman" w:eastAsia="仿宋"/>
                <w:szCs w:val="21"/>
              </w:rPr>
            </w:pPr>
            <w:r>
              <w:rPr>
                <w:rFonts w:ascii="Times New Roman" w:eastAsia="仿宋"/>
                <w:szCs w:val="21"/>
              </w:rPr>
              <w:t>0.76</w:t>
            </w:r>
          </w:p>
        </w:tc>
        <w:tc>
          <w:tcPr>
            <w:tcW w:w="435" w:type="pct"/>
          </w:tcPr>
          <w:p w14:paraId="045287AE">
            <w:pPr>
              <w:jc w:val="center"/>
              <w:rPr>
                <w:rFonts w:ascii="Times New Roman" w:eastAsia="仿宋"/>
                <w:szCs w:val="21"/>
              </w:rPr>
            </w:pPr>
            <w:r>
              <w:rPr>
                <w:rFonts w:ascii="Times New Roman" w:eastAsia="仿宋"/>
                <w:szCs w:val="21"/>
              </w:rPr>
              <w:t>0.0117</w:t>
            </w:r>
          </w:p>
        </w:tc>
        <w:tc>
          <w:tcPr>
            <w:tcW w:w="328" w:type="pct"/>
          </w:tcPr>
          <w:p w14:paraId="49F7301F">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53332FB3">
            <w:pPr>
              <w:jc w:val="center"/>
              <w:rPr>
                <w:rFonts w:ascii="Times New Roman" w:eastAsia="仿宋"/>
                <w:szCs w:val="21"/>
              </w:rPr>
            </w:pPr>
            <w:r>
              <w:rPr>
                <w:rFonts w:hint="eastAsia" w:ascii="Times New Roman" w:eastAsia="仿宋"/>
                <w:szCs w:val="21"/>
              </w:rPr>
              <w:t>0.54</w:t>
            </w:r>
          </w:p>
        </w:tc>
        <w:tc>
          <w:tcPr>
            <w:tcW w:w="325" w:type="pct"/>
            <w:vAlign w:val="bottom"/>
          </w:tcPr>
          <w:p w14:paraId="691C3432">
            <w:pPr>
              <w:jc w:val="center"/>
              <w:rPr>
                <w:rFonts w:ascii="Times New Roman" w:eastAsia="仿宋"/>
                <w:szCs w:val="21"/>
              </w:rPr>
            </w:pPr>
            <w:r>
              <w:rPr>
                <w:rFonts w:hint="eastAsia" w:ascii="Times New Roman" w:eastAsia="仿宋"/>
                <w:szCs w:val="21"/>
              </w:rPr>
              <w:t>0.27</w:t>
            </w:r>
          </w:p>
        </w:tc>
      </w:tr>
      <w:tr w14:paraId="407E9E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6384DDC2">
            <w:pPr>
              <w:jc w:val="center"/>
              <w:rPr>
                <w:rFonts w:ascii="Times New Roman" w:eastAsia="仿宋"/>
                <w:szCs w:val="21"/>
              </w:rPr>
            </w:pPr>
            <w:r>
              <w:rPr>
                <w:rFonts w:ascii="Times New Roman" w:eastAsia="仿宋"/>
                <w:szCs w:val="21"/>
              </w:rPr>
              <w:t>1200</w:t>
            </w:r>
          </w:p>
        </w:tc>
        <w:tc>
          <w:tcPr>
            <w:tcW w:w="389" w:type="pct"/>
            <w:vAlign w:val="center"/>
          </w:tcPr>
          <w:p w14:paraId="6CA86415">
            <w:pPr>
              <w:jc w:val="center"/>
              <w:rPr>
                <w:rFonts w:ascii="Times New Roman" w:eastAsia="仿宋"/>
                <w:szCs w:val="21"/>
              </w:rPr>
            </w:pPr>
            <w:r>
              <w:rPr>
                <w:rFonts w:ascii="Times New Roman" w:eastAsia="仿宋"/>
                <w:szCs w:val="21"/>
              </w:rPr>
              <w:t>1.89</w:t>
            </w:r>
          </w:p>
        </w:tc>
        <w:tc>
          <w:tcPr>
            <w:tcW w:w="325" w:type="pct"/>
            <w:vAlign w:val="center"/>
          </w:tcPr>
          <w:p w14:paraId="4DE9F4E0">
            <w:pPr>
              <w:jc w:val="center"/>
              <w:rPr>
                <w:rFonts w:ascii="Times New Roman" w:eastAsia="仿宋"/>
                <w:szCs w:val="21"/>
              </w:rPr>
            </w:pPr>
            <w:r>
              <w:rPr>
                <w:rFonts w:ascii="Times New Roman" w:eastAsia="仿宋"/>
                <w:szCs w:val="21"/>
              </w:rPr>
              <w:t>0.09</w:t>
            </w:r>
          </w:p>
        </w:tc>
        <w:tc>
          <w:tcPr>
            <w:tcW w:w="389" w:type="pct"/>
            <w:vAlign w:val="center"/>
          </w:tcPr>
          <w:p w14:paraId="1D15442C">
            <w:pPr>
              <w:jc w:val="center"/>
              <w:rPr>
                <w:rFonts w:ascii="Times New Roman" w:eastAsia="仿宋"/>
                <w:szCs w:val="21"/>
              </w:rPr>
            </w:pPr>
            <w:r>
              <w:rPr>
                <w:rFonts w:ascii="Times New Roman" w:eastAsia="仿宋"/>
                <w:szCs w:val="21"/>
              </w:rPr>
              <w:t>1.89</w:t>
            </w:r>
          </w:p>
        </w:tc>
        <w:tc>
          <w:tcPr>
            <w:tcW w:w="356" w:type="pct"/>
            <w:vAlign w:val="bottom"/>
          </w:tcPr>
          <w:p w14:paraId="6A5B4A3B">
            <w:pPr>
              <w:jc w:val="center"/>
              <w:rPr>
                <w:rFonts w:ascii="Times New Roman" w:eastAsia="仿宋"/>
                <w:szCs w:val="21"/>
              </w:rPr>
            </w:pPr>
            <w:r>
              <w:rPr>
                <w:rFonts w:hint="eastAsia" w:ascii="Times New Roman" w:eastAsia="仿宋"/>
                <w:szCs w:val="21"/>
              </w:rPr>
              <w:t>0.15</w:t>
            </w:r>
          </w:p>
        </w:tc>
        <w:tc>
          <w:tcPr>
            <w:tcW w:w="447" w:type="pct"/>
            <w:vAlign w:val="center"/>
          </w:tcPr>
          <w:p w14:paraId="7CBAE3A1">
            <w:pPr>
              <w:jc w:val="center"/>
              <w:rPr>
                <w:rFonts w:ascii="Times New Roman" w:eastAsia="仿宋"/>
                <w:szCs w:val="21"/>
              </w:rPr>
            </w:pPr>
            <w:r>
              <w:rPr>
                <w:rFonts w:ascii="Times New Roman" w:eastAsia="仿宋"/>
                <w:szCs w:val="21"/>
              </w:rPr>
              <w:t>0.398</w:t>
            </w:r>
          </w:p>
        </w:tc>
        <w:tc>
          <w:tcPr>
            <w:tcW w:w="354" w:type="pct"/>
            <w:vAlign w:val="center"/>
          </w:tcPr>
          <w:p w14:paraId="11F54598">
            <w:pPr>
              <w:jc w:val="center"/>
              <w:rPr>
                <w:rFonts w:ascii="Times New Roman" w:eastAsia="仿宋"/>
                <w:szCs w:val="21"/>
              </w:rPr>
            </w:pPr>
            <w:r>
              <w:rPr>
                <w:rFonts w:ascii="Times New Roman" w:eastAsia="仿宋"/>
                <w:szCs w:val="21"/>
              </w:rPr>
              <w:t>0.09</w:t>
            </w:r>
          </w:p>
        </w:tc>
        <w:tc>
          <w:tcPr>
            <w:tcW w:w="447" w:type="pct"/>
            <w:vAlign w:val="center"/>
          </w:tcPr>
          <w:p w14:paraId="77CF8234">
            <w:pPr>
              <w:jc w:val="center"/>
              <w:rPr>
                <w:rFonts w:ascii="Times New Roman" w:eastAsia="仿宋"/>
                <w:szCs w:val="21"/>
              </w:rPr>
            </w:pPr>
            <w:r>
              <w:rPr>
                <w:rFonts w:ascii="Times New Roman" w:eastAsia="仿宋"/>
                <w:szCs w:val="21"/>
              </w:rPr>
              <w:t>1.36</w:t>
            </w:r>
          </w:p>
        </w:tc>
        <w:tc>
          <w:tcPr>
            <w:tcW w:w="358" w:type="pct"/>
            <w:vAlign w:val="center"/>
          </w:tcPr>
          <w:p w14:paraId="3F1FA6EA">
            <w:pPr>
              <w:jc w:val="center"/>
              <w:rPr>
                <w:rFonts w:ascii="Times New Roman" w:eastAsia="仿宋"/>
                <w:szCs w:val="21"/>
              </w:rPr>
            </w:pPr>
            <w:r>
              <w:rPr>
                <w:rFonts w:ascii="Times New Roman" w:eastAsia="仿宋"/>
                <w:szCs w:val="21"/>
              </w:rPr>
              <w:t>0.68</w:t>
            </w:r>
          </w:p>
        </w:tc>
        <w:tc>
          <w:tcPr>
            <w:tcW w:w="435" w:type="pct"/>
          </w:tcPr>
          <w:p w14:paraId="50EAA615">
            <w:pPr>
              <w:jc w:val="center"/>
              <w:rPr>
                <w:rFonts w:ascii="Times New Roman" w:eastAsia="仿宋"/>
                <w:szCs w:val="21"/>
              </w:rPr>
            </w:pPr>
            <w:r>
              <w:rPr>
                <w:rFonts w:ascii="Times New Roman" w:eastAsia="仿宋"/>
                <w:szCs w:val="21"/>
              </w:rPr>
              <w:t>0.0105</w:t>
            </w:r>
          </w:p>
        </w:tc>
        <w:tc>
          <w:tcPr>
            <w:tcW w:w="328" w:type="pct"/>
          </w:tcPr>
          <w:p w14:paraId="6A0B438F">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81BD0F6">
            <w:pPr>
              <w:jc w:val="center"/>
              <w:rPr>
                <w:rFonts w:ascii="Times New Roman" w:eastAsia="仿宋"/>
                <w:szCs w:val="21"/>
              </w:rPr>
            </w:pPr>
            <w:r>
              <w:rPr>
                <w:rFonts w:hint="eastAsia" w:ascii="Times New Roman" w:eastAsia="仿宋"/>
                <w:szCs w:val="21"/>
              </w:rPr>
              <w:t>0.48</w:t>
            </w:r>
          </w:p>
        </w:tc>
        <w:tc>
          <w:tcPr>
            <w:tcW w:w="325" w:type="pct"/>
            <w:vAlign w:val="bottom"/>
          </w:tcPr>
          <w:p w14:paraId="58FB9146">
            <w:pPr>
              <w:jc w:val="center"/>
              <w:rPr>
                <w:rFonts w:ascii="Times New Roman" w:eastAsia="仿宋"/>
                <w:szCs w:val="21"/>
              </w:rPr>
            </w:pPr>
            <w:r>
              <w:rPr>
                <w:rFonts w:hint="eastAsia" w:ascii="Times New Roman" w:eastAsia="仿宋"/>
                <w:szCs w:val="21"/>
              </w:rPr>
              <w:t>0.24</w:t>
            </w:r>
          </w:p>
        </w:tc>
      </w:tr>
      <w:tr w14:paraId="7EF105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570CDB6C">
            <w:pPr>
              <w:jc w:val="center"/>
              <w:rPr>
                <w:rFonts w:ascii="Times New Roman" w:eastAsia="仿宋"/>
                <w:szCs w:val="21"/>
              </w:rPr>
            </w:pPr>
            <w:r>
              <w:rPr>
                <w:rFonts w:ascii="Times New Roman" w:eastAsia="仿宋"/>
                <w:szCs w:val="21"/>
              </w:rPr>
              <w:t>1400</w:t>
            </w:r>
          </w:p>
        </w:tc>
        <w:tc>
          <w:tcPr>
            <w:tcW w:w="389" w:type="pct"/>
            <w:vAlign w:val="center"/>
          </w:tcPr>
          <w:p w14:paraId="71191D24">
            <w:pPr>
              <w:jc w:val="center"/>
              <w:rPr>
                <w:rFonts w:ascii="Times New Roman" w:eastAsia="仿宋"/>
                <w:szCs w:val="21"/>
              </w:rPr>
            </w:pPr>
            <w:r>
              <w:rPr>
                <w:rFonts w:ascii="Times New Roman" w:eastAsia="仿宋"/>
                <w:szCs w:val="21"/>
              </w:rPr>
              <w:t>1.70</w:t>
            </w:r>
          </w:p>
        </w:tc>
        <w:tc>
          <w:tcPr>
            <w:tcW w:w="325" w:type="pct"/>
            <w:vAlign w:val="center"/>
          </w:tcPr>
          <w:p w14:paraId="77BA0C07">
            <w:pPr>
              <w:jc w:val="center"/>
              <w:rPr>
                <w:rFonts w:ascii="Times New Roman" w:eastAsia="仿宋"/>
                <w:szCs w:val="21"/>
              </w:rPr>
            </w:pPr>
            <w:r>
              <w:rPr>
                <w:rFonts w:ascii="Times New Roman" w:eastAsia="仿宋"/>
                <w:szCs w:val="21"/>
              </w:rPr>
              <w:t>0.09</w:t>
            </w:r>
          </w:p>
        </w:tc>
        <w:tc>
          <w:tcPr>
            <w:tcW w:w="389" w:type="pct"/>
            <w:vAlign w:val="center"/>
          </w:tcPr>
          <w:p w14:paraId="51B9C010">
            <w:pPr>
              <w:jc w:val="center"/>
              <w:rPr>
                <w:rFonts w:ascii="Times New Roman" w:eastAsia="仿宋"/>
                <w:szCs w:val="21"/>
              </w:rPr>
            </w:pPr>
            <w:r>
              <w:rPr>
                <w:rFonts w:ascii="Times New Roman" w:eastAsia="仿宋"/>
                <w:szCs w:val="21"/>
              </w:rPr>
              <w:t>1.70</w:t>
            </w:r>
          </w:p>
        </w:tc>
        <w:tc>
          <w:tcPr>
            <w:tcW w:w="356" w:type="pct"/>
            <w:vAlign w:val="bottom"/>
          </w:tcPr>
          <w:p w14:paraId="791239F8">
            <w:pPr>
              <w:jc w:val="center"/>
              <w:rPr>
                <w:rFonts w:ascii="Times New Roman" w:eastAsia="仿宋"/>
                <w:szCs w:val="21"/>
              </w:rPr>
            </w:pPr>
            <w:r>
              <w:rPr>
                <w:rFonts w:hint="eastAsia" w:ascii="Times New Roman" w:eastAsia="仿宋"/>
                <w:szCs w:val="21"/>
              </w:rPr>
              <w:t>0.14</w:t>
            </w:r>
          </w:p>
        </w:tc>
        <w:tc>
          <w:tcPr>
            <w:tcW w:w="447" w:type="pct"/>
            <w:vAlign w:val="center"/>
          </w:tcPr>
          <w:p w14:paraId="5B3C0646">
            <w:pPr>
              <w:jc w:val="center"/>
              <w:rPr>
                <w:rFonts w:ascii="Times New Roman" w:eastAsia="仿宋"/>
                <w:szCs w:val="21"/>
              </w:rPr>
            </w:pPr>
            <w:r>
              <w:rPr>
                <w:rFonts w:ascii="Times New Roman" w:eastAsia="仿宋"/>
                <w:szCs w:val="21"/>
              </w:rPr>
              <w:t>0.36</w:t>
            </w:r>
          </w:p>
        </w:tc>
        <w:tc>
          <w:tcPr>
            <w:tcW w:w="354" w:type="pct"/>
            <w:vAlign w:val="center"/>
          </w:tcPr>
          <w:p w14:paraId="08A48A65">
            <w:pPr>
              <w:jc w:val="center"/>
              <w:rPr>
                <w:rFonts w:ascii="Times New Roman" w:eastAsia="仿宋"/>
                <w:szCs w:val="21"/>
              </w:rPr>
            </w:pPr>
            <w:r>
              <w:rPr>
                <w:rFonts w:ascii="Times New Roman" w:eastAsia="仿宋"/>
                <w:szCs w:val="21"/>
              </w:rPr>
              <w:t>0.08</w:t>
            </w:r>
          </w:p>
        </w:tc>
        <w:tc>
          <w:tcPr>
            <w:tcW w:w="447" w:type="pct"/>
            <w:vAlign w:val="center"/>
          </w:tcPr>
          <w:p w14:paraId="2455F0B8">
            <w:pPr>
              <w:jc w:val="center"/>
              <w:rPr>
                <w:rFonts w:ascii="Times New Roman" w:eastAsia="仿宋"/>
                <w:szCs w:val="21"/>
              </w:rPr>
            </w:pPr>
            <w:r>
              <w:rPr>
                <w:rFonts w:ascii="Times New Roman" w:eastAsia="仿宋"/>
                <w:szCs w:val="21"/>
              </w:rPr>
              <w:t>1.23</w:t>
            </w:r>
          </w:p>
        </w:tc>
        <w:tc>
          <w:tcPr>
            <w:tcW w:w="358" w:type="pct"/>
            <w:vAlign w:val="center"/>
          </w:tcPr>
          <w:p w14:paraId="033BA892">
            <w:pPr>
              <w:jc w:val="center"/>
              <w:rPr>
                <w:rFonts w:ascii="Times New Roman" w:eastAsia="仿宋"/>
                <w:szCs w:val="21"/>
              </w:rPr>
            </w:pPr>
            <w:r>
              <w:rPr>
                <w:rFonts w:ascii="Times New Roman" w:eastAsia="仿宋"/>
                <w:szCs w:val="21"/>
              </w:rPr>
              <w:t>0.62</w:t>
            </w:r>
          </w:p>
        </w:tc>
        <w:tc>
          <w:tcPr>
            <w:tcW w:w="435" w:type="pct"/>
          </w:tcPr>
          <w:p w14:paraId="5B7922E8">
            <w:pPr>
              <w:jc w:val="center"/>
              <w:rPr>
                <w:rFonts w:ascii="Times New Roman" w:eastAsia="仿宋"/>
                <w:szCs w:val="21"/>
              </w:rPr>
            </w:pPr>
            <w:r>
              <w:rPr>
                <w:rFonts w:ascii="Times New Roman" w:eastAsia="仿宋"/>
                <w:szCs w:val="21"/>
              </w:rPr>
              <w:t>0.00947</w:t>
            </w:r>
          </w:p>
        </w:tc>
        <w:tc>
          <w:tcPr>
            <w:tcW w:w="328" w:type="pct"/>
          </w:tcPr>
          <w:p w14:paraId="24E9FC04">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26D14826">
            <w:pPr>
              <w:jc w:val="center"/>
              <w:rPr>
                <w:rFonts w:ascii="Times New Roman" w:eastAsia="仿宋"/>
                <w:szCs w:val="21"/>
              </w:rPr>
            </w:pPr>
            <w:r>
              <w:rPr>
                <w:rFonts w:hint="eastAsia" w:ascii="Times New Roman" w:eastAsia="仿宋"/>
                <w:szCs w:val="21"/>
              </w:rPr>
              <w:t>0.43</w:t>
            </w:r>
          </w:p>
        </w:tc>
        <w:tc>
          <w:tcPr>
            <w:tcW w:w="325" w:type="pct"/>
            <w:vAlign w:val="bottom"/>
          </w:tcPr>
          <w:p w14:paraId="7A7A9505">
            <w:pPr>
              <w:jc w:val="center"/>
              <w:rPr>
                <w:rFonts w:ascii="Times New Roman" w:eastAsia="仿宋"/>
                <w:szCs w:val="21"/>
              </w:rPr>
            </w:pPr>
            <w:r>
              <w:rPr>
                <w:rFonts w:hint="eastAsia" w:ascii="Times New Roman" w:eastAsia="仿宋"/>
                <w:szCs w:val="21"/>
              </w:rPr>
              <w:t>0.21</w:t>
            </w:r>
          </w:p>
        </w:tc>
      </w:tr>
      <w:tr w14:paraId="18E398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2487DAEF">
            <w:pPr>
              <w:jc w:val="center"/>
              <w:rPr>
                <w:rFonts w:ascii="Times New Roman" w:eastAsia="仿宋"/>
                <w:szCs w:val="21"/>
              </w:rPr>
            </w:pPr>
            <w:r>
              <w:rPr>
                <w:rFonts w:ascii="Times New Roman" w:eastAsia="仿宋"/>
                <w:szCs w:val="21"/>
              </w:rPr>
              <w:t>1600</w:t>
            </w:r>
          </w:p>
        </w:tc>
        <w:tc>
          <w:tcPr>
            <w:tcW w:w="389" w:type="pct"/>
            <w:vAlign w:val="center"/>
          </w:tcPr>
          <w:p w14:paraId="51D81135">
            <w:pPr>
              <w:jc w:val="center"/>
              <w:rPr>
                <w:rFonts w:ascii="Times New Roman" w:eastAsia="仿宋"/>
                <w:szCs w:val="21"/>
              </w:rPr>
            </w:pPr>
            <w:r>
              <w:rPr>
                <w:rFonts w:ascii="Times New Roman" w:eastAsia="仿宋"/>
                <w:szCs w:val="21"/>
              </w:rPr>
              <w:t>1.56</w:t>
            </w:r>
          </w:p>
        </w:tc>
        <w:tc>
          <w:tcPr>
            <w:tcW w:w="325" w:type="pct"/>
            <w:vAlign w:val="center"/>
          </w:tcPr>
          <w:p w14:paraId="254CDC1E">
            <w:pPr>
              <w:jc w:val="center"/>
              <w:rPr>
                <w:rFonts w:ascii="Times New Roman" w:eastAsia="仿宋"/>
                <w:szCs w:val="21"/>
              </w:rPr>
            </w:pPr>
            <w:r>
              <w:rPr>
                <w:rFonts w:ascii="Times New Roman" w:eastAsia="仿宋"/>
                <w:szCs w:val="21"/>
              </w:rPr>
              <w:t>0.08</w:t>
            </w:r>
          </w:p>
        </w:tc>
        <w:tc>
          <w:tcPr>
            <w:tcW w:w="389" w:type="pct"/>
            <w:vAlign w:val="center"/>
          </w:tcPr>
          <w:p w14:paraId="078927D1">
            <w:pPr>
              <w:jc w:val="center"/>
              <w:rPr>
                <w:rFonts w:ascii="Times New Roman" w:eastAsia="仿宋"/>
                <w:szCs w:val="21"/>
              </w:rPr>
            </w:pPr>
            <w:r>
              <w:rPr>
                <w:rFonts w:ascii="Times New Roman" w:eastAsia="仿宋"/>
                <w:szCs w:val="21"/>
              </w:rPr>
              <w:t>1.56</w:t>
            </w:r>
          </w:p>
        </w:tc>
        <w:tc>
          <w:tcPr>
            <w:tcW w:w="356" w:type="pct"/>
            <w:vAlign w:val="bottom"/>
          </w:tcPr>
          <w:p w14:paraId="0B0B511C">
            <w:pPr>
              <w:jc w:val="center"/>
              <w:rPr>
                <w:rFonts w:ascii="Times New Roman" w:eastAsia="仿宋"/>
                <w:szCs w:val="21"/>
              </w:rPr>
            </w:pPr>
            <w:r>
              <w:rPr>
                <w:rFonts w:hint="eastAsia" w:ascii="Times New Roman" w:eastAsia="仿宋"/>
                <w:szCs w:val="21"/>
              </w:rPr>
              <w:t>0.13</w:t>
            </w:r>
          </w:p>
        </w:tc>
        <w:tc>
          <w:tcPr>
            <w:tcW w:w="447" w:type="pct"/>
            <w:vAlign w:val="center"/>
          </w:tcPr>
          <w:p w14:paraId="57C8CE1D">
            <w:pPr>
              <w:jc w:val="center"/>
              <w:rPr>
                <w:rFonts w:ascii="Times New Roman" w:eastAsia="仿宋"/>
                <w:szCs w:val="21"/>
              </w:rPr>
            </w:pPr>
            <w:r>
              <w:rPr>
                <w:rFonts w:ascii="Times New Roman" w:eastAsia="仿宋"/>
                <w:szCs w:val="21"/>
              </w:rPr>
              <w:t>0.328</w:t>
            </w:r>
          </w:p>
        </w:tc>
        <w:tc>
          <w:tcPr>
            <w:tcW w:w="354" w:type="pct"/>
            <w:vAlign w:val="center"/>
          </w:tcPr>
          <w:p w14:paraId="5D3742A8">
            <w:pPr>
              <w:jc w:val="center"/>
              <w:rPr>
                <w:rFonts w:ascii="Times New Roman" w:eastAsia="仿宋"/>
                <w:szCs w:val="21"/>
              </w:rPr>
            </w:pPr>
            <w:r>
              <w:rPr>
                <w:rFonts w:ascii="Times New Roman" w:eastAsia="仿宋"/>
                <w:szCs w:val="21"/>
              </w:rPr>
              <w:t>0.07</w:t>
            </w:r>
          </w:p>
        </w:tc>
        <w:tc>
          <w:tcPr>
            <w:tcW w:w="447" w:type="pct"/>
            <w:vAlign w:val="center"/>
          </w:tcPr>
          <w:p w14:paraId="51A8653F">
            <w:pPr>
              <w:jc w:val="center"/>
              <w:rPr>
                <w:rFonts w:ascii="Times New Roman" w:eastAsia="仿宋"/>
                <w:szCs w:val="21"/>
              </w:rPr>
            </w:pPr>
            <w:r>
              <w:rPr>
                <w:rFonts w:ascii="Times New Roman" w:eastAsia="仿宋"/>
                <w:szCs w:val="21"/>
              </w:rPr>
              <w:t>1.12</w:t>
            </w:r>
          </w:p>
        </w:tc>
        <w:tc>
          <w:tcPr>
            <w:tcW w:w="358" w:type="pct"/>
            <w:vAlign w:val="center"/>
          </w:tcPr>
          <w:p w14:paraId="690EE336">
            <w:pPr>
              <w:jc w:val="center"/>
              <w:rPr>
                <w:rFonts w:ascii="Times New Roman" w:eastAsia="仿宋"/>
                <w:szCs w:val="21"/>
              </w:rPr>
            </w:pPr>
            <w:r>
              <w:rPr>
                <w:rFonts w:ascii="Times New Roman" w:eastAsia="仿宋"/>
                <w:szCs w:val="21"/>
              </w:rPr>
              <w:t>0.56</w:t>
            </w:r>
          </w:p>
        </w:tc>
        <w:tc>
          <w:tcPr>
            <w:tcW w:w="435" w:type="pct"/>
          </w:tcPr>
          <w:p w14:paraId="1A0F62AF">
            <w:pPr>
              <w:jc w:val="center"/>
              <w:rPr>
                <w:rFonts w:ascii="Times New Roman" w:eastAsia="仿宋"/>
                <w:szCs w:val="21"/>
              </w:rPr>
            </w:pPr>
            <w:r>
              <w:rPr>
                <w:rFonts w:ascii="Times New Roman" w:eastAsia="仿宋"/>
                <w:szCs w:val="21"/>
              </w:rPr>
              <w:t>0.00864</w:t>
            </w:r>
          </w:p>
        </w:tc>
        <w:tc>
          <w:tcPr>
            <w:tcW w:w="328" w:type="pct"/>
          </w:tcPr>
          <w:p w14:paraId="3CD3CD52">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7D868ABA">
            <w:pPr>
              <w:jc w:val="center"/>
              <w:rPr>
                <w:rFonts w:ascii="Times New Roman" w:eastAsia="仿宋"/>
                <w:szCs w:val="21"/>
              </w:rPr>
            </w:pPr>
            <w:r>
              <w:rPr>
                <w:rFonts w:hint="eastAsia" w:ascii="Times New Roman" w:eastAsia="仿宋"/>
                <w:szCs w:val="21"/>
              </w:rPr>
              <w:t>0.39</w:t>
            </w:r>
          </w:p>
        </w:tc>
        <w:tc>
          <w:tcPr>
            <w:tcW w:w="325" w:type="pct"/>
            <w:vAlign w:val="bottom"/>
          </w:tcPr>
          <w:p w14:paraId="74F527C5">
            <w:pPr>
              <w:jc w:val="center"/>
              <w:rPr>
                <w:rFonts w:ascii="Times New Roman" w:eastAsia="仿宋"/>
                <w:szCs w:val="21"/>
              </w:rPr>
            </w:pPr>
            <w:r>
              <w:rPr>
                <w:rFonts w:hint="eastAsia" w:ascii="Times New Roman" w:eastAsia="仿宋"/>
                <w:szCs w:val="21"/>
              </w:rPr>
              <w:t>0.19</w:t>
            </w:r>
          </w:p>
        </w:tc>
      </w:tr>
      <w:tr w14:paraId="7B1B10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0D663512">
            <w:pPr>
              <w:jc w:val="center"/>
              <w:rPr>
                <w:rFonts w:ascii="Times New Roman" w:eastAsia="仿宋"/>
                <w:szCs w:val="21"/>
              </w:rPr>
            </w:pPr>
            <w:r>
              <w:rPr>
                <w:rFonts w:ascii="Times New Roman" w:eastAsia="仿宋"/>
                <w:szCs w:val="21"/>
              </w:rPr>
              <w:t>1800</w:t>
            </w:r>
          </w:p>
        </w:tc>
        <w:tc>
          <w:tcPr>
            <w:tcW w:w="389" w:type="pct"/>
            <w:vAlign w:val="center"/>
          </w:tcPr>
          <w:p w14:paraId="53E50524">
            <w:pPr>
              <w:jc w:val="center"/>
              <w:rPr>
                <w:rFonts w:ascii="Times New Roman" w:eastAsia="仿宋"/>
                <w:szCs w:val="21"/>
              </w:rPr>
            </w:pPr>
            <w:r>
              <w:rPr>
                <w:rFonts w:ascii="Times New Roman" w:eastAsia="仿宋"/>
                <w:szCs w:val="21"/>
              </w:rPr>
              <w:t>1.46</w:t>
            </w:r>
          </w:p>
        </w:tc>
        <w:tc>
          <w:tcPr>
            <w:tcW w:w="325" w:type="pct"/>
            <w:vAlign w:val="center"/>
          </w:tcPr>
          <w:p w14:paraId="11079E2C">
            <w:pPr>
              <w:jc w:val="center"/>
              <w:rPr>
                <w:rFonts w:ascii="Times New Roman" w:eastAsia="仿宋"/>
                <w:szCs w:val="21"/>
              </w:rPr>
            </w:pPr>
            <w:r>
              <w:rPr>
                <w:rFonts w:ascii="Times New Roman" w:eastAsia="仿宋"/>
                <w:szCs w:val="21"/>
              </w:rPr>
              <w:t>0.07</w:t>
            </w:r>
          </w:p>
        </w:tc>
        <w:tc>
          <w:tcPr>
            <w:tcW w:w="389" w:type="pct"/>
            <w:vAlign w:val="center"/>
          </w:tcPr>
          <w:p w14:paraId="5B3E722A">
            <w:pPr>
              <w:jc w:val="center"/>
              <w:rPr>
                <w:rFonts w:ascii="Times New Roman" w:eastAsia="仿宋"/>
                <w:szCs w:val="21"/>
              </w:rPr>
            </w:pPr>
            <w:r>
              <w:rPr>
                <w:rFonts w:ascii="Times New Roman" w:eastAsia="仿宋"/>
                <w:szCs w:val="21"/>
              </w:rPr>
              <w:t>1.46</w:t>
            </w:r>
          </w:p>
        </w:tc>
        <w:tc>
          <w:tcPr>
            <w:tcW w:w="356" w:type="pct"/>
            <w:vAlign w:val="bottom"/>
          </w:tcPr>
          <w:p w14:paraId="21278725">
            <w:pPr>
              <w:jc w:val="center"/>
              <w:rPr>
                <w:rFonts w:ascii="Times New Roman" w:eastAsia="仿宋"/>
                <w:szCs w:val="21"/>
              </w:rPr>
            </w:pPr>
            <w:r>
              <w:rPr>
                <w:rFonts w:hint="eastAsia" w:ascii="Times New Roman" w:eastAsia="仿宋"/>
                <w:szCs w:val="21"/>
              </w:rPr>
              <w:t>0.12</w:t>
            </w:r>
          </w:p>
        </w:tc>
        <w:tc>
          <w:tcPr>
            <w:tcW w:w="447" w:type="pct"/>
            <w:vAlign w:val="center"/>
          </w:tcPr>
          <w:p w14:paraId="368F9D36">
            <w:pPr>
              <w:jc w:val="center"/>
              <w:rPr>
                <w:rFonts w:ascii="Times New Roman" w:eastAsia="仿宋"/>
                <w:szCs w:val="21"/>
              </w:rPr>
            </w:pPr>
            <w:r>
              <w:rPr>
                <w:rFonts w:ascii="Times New Roman" w:eastAsia="仿宋"/>
                <w:szCs w:val="21"/>
              </w:rPr>
              <w:t>0.308</w:t>
            </w:r>
          </w:p>
        </w:tc>
        <w:tc>
          <w:tcPr>
            <w:tcW w:w="354" w:type="pct"/>
            <w:vAlign w:val="center"/>
          </w:tcPr>
          <w:p w14:paraId="22FA721C">
            <w:pPr>
              <w:jc w:val="center"/>
              <w:rPr>
                <w:rFonts w:ascii="Times New Roman" w:eastAsia="仿宋"/>
                <w:szCs w:val="21"/>
              </w:rPr>
            </w:pPr>
            <w:r>
              <w:rPr>
                <w:rFonts w:ascii="Times New Roman" w:eastAsia="仿宋"/>
                <w:szCs w:val="21"/>
              </w:rPr>
              <w:t>0.07</w:t>
            </w:r>
          </w:p>
        </w:tc>
        <w:tc>
          <w:tcPr>
            <w:tcW w:w="447" w:type="pct"/>
            <w:vAlign w:val="center"/>
          </w:tcPr>
          <w:p w14:paraId="3F887926">
            <w:pPr>
              <w:jc w:val="center"/>
              <w:rPr>
                <w:rFonts w:ascii="Times New Roman" w:eastAsia="仿宋"/>
                <w:szCs w:val="21"/>
              </w:rPr>
            </w:pPr>
            <w:r>
              <w:rPr>
                <w:rFonts w:ascii="Times New Roman" w:eastAsia="仿宋"/>
                <w:szCs w:val="21"/>
              </w:rPr>
              <w:t>1.05</w:t>
            </w:r>
          </w:p>
        </w:tc>
        <w:tc>
          <w:tcPr>
            <w:tcW w:w="358" w:type="pct"/>
            <w:vAlign w:val="center"/>
          </w:tcPr>
          <w:p w14:paraId="1816BFB3">
            <w:pPr>
              <w:jc w:val="center"/>
              <w:rPr>
                <w:rFonts w:ascii="Times New Roman" w:eastAsia="仿宋"/>
                <w:szCs w:val="21"/>
              </w:rPr>
            </w:pPr>
            <w:r>
              <w:rPr>
                <w:rFonts w:ascii="Times New Roman" w:eastAsia="仿宋"/>
                <w:szCs w:val="21"/>
              </w:rPr>
              <w:t>0.53</w:t>
            </w:r>
          </w:p>
        </w:tc>
        <w:tc>
          <w:tcPr>
            <w:tcW w:w="435" w:type="pct"/>
          </w:tcPr>
          <w:p w14:paraId="6AB9E02E">
            <w:pPr>
              <w:jc w:val="center"/>
              <w:rPr>
                <w:rFonts w:ascii="Times New Roman" w:eastAsia="仿宋"/>
                <w:szCs w:val="21"/>
              </w:rPr>
            </w:pPr>
            <w:r>
              <w:rPr>
                <w:rFonts w:ascii="Times New Roman" w:eastAsia="仿宋"/>
                <w:szCs w:val="21"/>
              </w:rPr>
              <w:t>0.00809</w:t>
            </w:r>
          </w:p>
        </w:tc>
        <w:tc>
          <w:tcPr>
            <w:tcW w:w="328" w:type="pct"/>
          </w:tcPr>
          <w:p w14:paraId="42277D6A">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3179EB06">
            <w:pPr>
              <w:jc w:val="center"/>
              <w:rPr>
                <w:rFonts w:ascii="Times New Roman" w:eastAsia="仿宋"/>
                <w:szCs w:val="21"/>
              </w:rPr>
            </w:pPr>
            <w:r>
              <w:rPr>
                <w:rFonts w:hint="eastAsia" w:ascii="Times New Roman" w:eastAsia="仿宋"/>
                <w:szCs w:val="21"/>
              </w:rPr>
              <w:t>0.37</w:t>
            </w:r>
          </w:p>
        </w:tc>
        <w:tc>
          <w:tcPr>
            <w:tcW w:w="325" w:type="pct"/>
            <w:vAlign w:val="bottom"/>
          </w:tcPr>
          <w:p w14:paraId="4A8E243B">
            <w:pPr>
              <w:jc w:val="center"/>
              <w:rPr>
                <w:rFonts w:ascii="Times New Roman" w:eastAsia="仿宋"/>
                <w:szCs w:val="21"/>
              </w:rPr>
            </w:pPr>
            <w:r>
              <w:rPr>
                <w:rFonts w:hint="eastAsia" w:ascii="Times New Roman" w:eastAsia="仿宋"/>
                <w:szCs w:val="21"/>
              </w:rPr>
              <w:t>0.18</w:t>
            </w:r>
          </w:p>
        </w:tc>
      </w:tr>
      <w:tr w14:paraId="2A0BD1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798DDB3C">
            <w:pPr>
              <w:jc w:val="center"/>
              <w:rPr>
                <w:rFonts w:ascii="Times New Roman" w:eastAsia="仿宋"/>
                <w:szCs w:val="21"/>
              </w:rPr>
            </w:pPr>
            <w:r>
              <w:rPr>
                <w:rFonts w:ascii="Times New Roman" w:eastAsia="仿宋"/>
                <w:szCs w:val="21"/>
              </w:rPr>
              <w:t>2000</w:t>
            </w:r>
          </w:p>
        </w:tc>
        <w:tc>
          <w:tcPr>
            <w:tcW w:w="389" w:type="pct"/>
            <w:vAlign w:val="center"/>
          </w:tcPr>
          <w:p w14:paraId="4C056906">
            <w:pPr>
              <w:jc w:val="center"/>
              <w:rPr>
                <w:rFonts w:ascii="Times New Roman" w:eastAsia="仿宋"/>
                <w:szCs w:val="21"/>
              </w:rPr>
            </w:pPr>
            <w:r>
              <w:rPr>
                <w:rFonts w:ascii="Times New Roman" w:eastAsia="仿宋"/>
                <w:szCs w:val="21"/>
              </w:rPr>
              <w:t>1.39</w:t>
            </w:r>
          </w:p>
        </w:tc>
        <w:tc>
          <w:tcPr>
            <w:tcW w:w="325" w:type="pct"/>
            <w:vAlign w:val="center"/>
          </w:tcPr>
          <w:p w14:paraId="1CD40885">
            <w:pPr>
              <w:jc w:val="center"/>
              <w:rPr>
                <w:rFonts w:ascii="Times New Roman" w:eastAsia="仿宋"/>
                <w:szCs w:val="21"/>
              </w:rPr>
            </w:pPr>
            <w:r>
              <w:rPr>
                <w:rFonts w:ascii="Times New Roman" w:eastAsia="仿宋"/>
                <w:szCs w:val="21"/>
              </w:rPr>
              <w:t>0.07</w:t>
            </w:r>
          </w:p>
        </w:tc>
        <w:tc>
          <w:tcPr>
            <w:tcW w:w="389" w:type="pct"/>
            <w:vAlign w:val="center"/>
          </w:tcPr>
          <w:p w14:paraId="25C459E4">
            <w:pPr>
              <w:jc w:val="center"/>
              <w:rPr>
                <w:rFonts w:ascii="Times New Roman" w:eastAsia="仿宋"/>
                <w:szCs w:val="21"/>
              </w:rPr>
            </w:pPr>
            <w:r>
              <w:rPr>
                <w:rFonts w:ascii="Times New Roman" w:eastAsia="仿宋"/>
                <w:szCs w:val="21"/>
              </w:rPr>
              <w:t>1.39</w:t>
            </w:r>
          </w:p>
        </w:tc>
        <w:tc>
          <w:tcPr>
            <w:tcW w:w="356" w:type="pct"/>
            <w:vAlign w:val="bottom"/>
          </w:tcPr>
          <w:p w14:paraId="1AD67075">
            <w:pPr>
              <w:jc w:val="center"/>
              <w:rPr>
                <w:rFonts w:ascii="Times New Roman" w:eastAsia="仿宋"/>
                <w:szCs w:val="21"/>
              </w:rPr>
            </w:pPr>
            <w:r>
              <w:rPr>
                <w:rFonts w:hint="eastAsia" w:ascii="Times New Roman" w:eastAsia="仿宋"/>
                <w:szCs w:val="21"/>
              </w:rPr>
              <w:t>0.11</w:t>
            </w:r>
          </w:p>
        </w:tc>
        <w:tc>
          <w:tcPr>
            <w:tcW w:w="447" w:type="pct"/>
            <w:vAlign w:val="center"/>
          </w:tcPr>
          <w:p w14:paraId="1E621360">
            <w:pPr>
              <w:jc w:val="center"/>
              <w:rPr>
                <w:rFonts w:ascii="Times New Roman" w:eastAsia="仿宋"/>
                <w:szCs w:val="21"/>
              </w:rPr>
            </w:pPr>
            <w:r>
              <w:rPr>
                <w:rFonts w:ascii="Times New Roman" w:eastAsia="仿宋"/>
                <w:szCs w:val="21"/>
              </w:rPr>
              <w:t>0.293</w:t>
            </w:r>
          </w:p>
        </w:tc>
        <w:tc>
          <w:tcPr>
            <w:tcW w:w="354" w:type="pct"/>
            <w:vAlign w:val="center"/>
          </w:tcPr>
          <w:p w14:paraId="6F62128C">
            <w:pPr>
              <w:jc w:val="center"/>
              <w:rPr>
                <w:rFonts w:ascii="Times New Roman" w:eastAsia="仿宋"/>
                <w:szCs w:val="21"/>
              </w:rPr>
            </w:pPr>
            <w:r>
              <w:rPr>
                <w:rFonts w:ascii="Times New Roman" w:eastAsia="仿宋"/>
                <w:szCs w:val="21"/>
              </w:rPr>
              <w:t>0.07</w:t>
            </w:r>
          </w:p>
        </w:tc>
        <w:tc>
          <w:tcPr>
            <w:tcW w:w="447" w:type="pct"/>
            <w:vAlign w:val="center"/>
          </w:tcPr>
          <w:p w14:paraId="38350884">
            <w:pPr>
              <w:jc w:val="center"/>
              <w:rPr>
                <w:rFonts w:ascii="Times New Roman" w:eastAsia="仿宋"/>
                <w:szCs w:val="21"/>
              </w:rPr>
            </w:pPr>
            <w:r>
              <w:rPr>
                <w:rFonts w:ascii="Times New Roman" w:eastAsia="仿宋"/>
                <w:szCs w:val="21"/>
              </w:rPr>
              <w:t>1.00</w:t>
            </w:r>
          </w:p>
        </w:tc>
        <w:tc>
          <w:tcPr>
            <w:tcW w:w="358" w:type="pct"/>
            <w:vAlign w:val="center"/>
          </w:tcPr>
          <w:p w14:paraId="353A1268">
            <w:pPr>
              <w:jc w:val="center"/>
              <w:rPr>
                <w:rFonts w:ascii="Times New Roman" w:eastAsia="仿宋"/>
                <w:szCs w:val="21"/>
              </w:rPr>
            </w:pPr>
            <w:r>
              <w:rPr>
                <w:rFonts w:ascii="Times New Roman" w:eastAsia="仿宋"/>
                <w:szCs w:val="21"/>
              </w:rPr>
              <w:t>0.50</w:t>
            </w:r>
          </w:p>
        </w:tc>
        <w:tc>
          <w:tcPr>
            <w:tcW w:w="435" w:type="pct"/>
          </w:tcPr>
          <w:p w14:paraId="44278A10">
            <w:pPr>
              <w:jc w:val="center"/>
              <w:rPr>
                <w:rFonts w:ascii="Times New Roman" w:eastAsia="仿宋"/>
                <w:szCs w:val="21"/>
              </w:rPr>
            </w:pPr>
            <w:r>
              <w:rPr>
                <w:rFonts w:ascii="Times New Roman" w:eastAsia="仿宋"/>
                <w:szCs w:val="21"/>
              </w:rPr>
              <w:t>0.00772</w:t>
            </w:r>
          </w:p>
        </w:tc>
        <w:tc>
          <w:tcPr>
            <w:tcW w:w="328" w:type="pct"/>
          </w:tcPr>
          <w:p w14:paraId="16B4469D">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53B61239">
            <w:pPr>
              <w:jc w:val="center"/>
              <w:rPr>
                <w:rFonts w:ascii="Times New Roman" w:eastAsia="仿宋"/>
                <w:szCs w:val="21"/>
              </w:rPr>
            </w:pPr>
            <w:r>
              <w:rPr>
                <w:rFonts w:hint="eastAsia" w:ascii="Times New Roman" w:eastAsia="仿宋"/>
                <w:szCs w:val="21"/>
              </w:rPr>
              <w:t>0.35</w:t>
            </w:r>
          </w:p>
        </w:tc>
        <w:tc>
          <w:tcPr>
            <w:tcW w:w="325" w:type="pct"/>
            <w:vAlign w:val="bottom"/>
          </w:tcPr>
          <w:p w14:paraId="731FBF3F">
            <w:pPr>
              <w:jc w:val="center"/>
              <w:rPr>
                <w:rFonts w:ascii="Times New Roman" w:eastAsia="仿宋"/>
                <w:szCs w:val="21"/>
              </w:rPr>
            </w:pPr>
            <w:r>
              <w:rPr>
                <w:rFonts w:hint="eastAsia" w:ascii="Times New Roman" w:eastAsia="仿宋"/>
                <w:szCs w:val="21"/>
              </w:rPr>
              <w:t>0.17</w:t>
            </w:r>
          </w:p>
        </w:tc>
      </w:tr>
      <w:tr w14:paraId="46ED75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31D43699">
            <w:pPr>
              <w:jc w:val="center"/>
              <w:rPr>
                <w:rFonts w:ascii="Times New Roman" w:eastAsia="仿宋"/>
                <w:szCs w:val="21"/>
              </w:rPr>
            </w:pPr>
            <w:r>
              <w:rPr>
                <w:rFonts w:ascii="Times New Roman" w:eastAsia="仿宋"/>
                <w:szCs w:val="21"/>
              </w:rPr>
              <w:t>2500</w:t>
            </w:r>
          </w:p>
        </w:tc>
        <w:tc>
          <w:tcPr>
            <w:tcW w:w="389" w:type="pct"/>
            <w:vAlign w:val="center"/>
          </w:tcPr>
          <w:p w14:paraId="4BDE1821">
            <w:pPr>
              <w:jc w:val="center"/>
              <w:rPr>
                <w:rFonts w:ascii="Times New Roman" w:eastAsia="仿宋"/>
                <w:szCs w:val="21"/>
              </w:rPr>
            </w:pPr>
            <w:r>
              <w:rPr>
                <w:rFonts w:ascii="Times New Roman" w:eastAsia="仿宋"/>
                <w:szCs w:val="21"/>
              </w:rPr>
              <w:t>1.23</w:t>
            </w:r>
          </w:p>
        </w:tc>
        <w:tc>
          <w:tcPr>
            <w:tcW w:w="325" w:type="pct"/>
            <w:vAlign w:val="center"/>
          </w:tcPr>
          <w:p w14:paraId="449F8359">
            <w:pPr>
              <w:jc w:val="center"/>
              <w:rPr>
                <w:rFonts w:ascii="Times New Roman" w:eastAsia="仿宋"/>
                <w:szCs w:val="21"/>
              </w:rPr>
            </w:pPr>
            <w:r>
              <w:rPr>
                <w:rFonts w:ascii="Times New Roman" w:eastAsia="仿宋"/>
                <w:szCs w:val="21"/>
              </w:rPr>
              <w:t>0.06</w:t>
            </w:r>
          </w:p>
        </w:tc>
        <w:tc>
          <w:tcPr>
            <w:tcW w:w="389" w:type="pct"/>
            <w:vAlign w:val="center"/>
          </w:tcPr>
          <w:p w14:paraId="121CCD1D">
            <w:pPr>
              <w:jc w:val="center"/>
              <w:rPr>
                <w:rFonts w:ascii="Times New Roman" w:eastAsia="仿宋"/>
                <w:szCs w:val="21"/>
              </w:rPr>
            </w:pPr>
            <w:r>
              <w:rPr>
                <w:rFonts w:ascii="Times New Roman" w:eastAsia="仿宋"/>
                <w:szCs w:val="21"/>
              </w:rPr>
              <w:t>1.23</w:t>
            </w:r>
          </w:p>
        </w:tc>
        <w:tc>
          <w:tcPr>
            <w:tcW w:w="356" w:type="pct"/>
            <w:vAlign w:val="bottom"/>
          </w:tcPr>
          <w:p w14:paraId="55D0FB71">
            <w:pPr>
              <w:jc w:val="center"/>
              <w:rPr>
                <w:rFonts w:ascii="Times New Roman" w:eastAsia="仿宋"/>
                <w:szCs w:val="21"/>
              </w:rPr>
            </w:pPr>
            <w:r>
              <w:rPr>
                <w:rFonts w:hint="eastAsia" w:ascii="Times New Roman" w:eastAsia="仿宋"/>
                <w:szCs w:val="21"/>
              </w:rPr>
              <w:t>0.1</w:t>
            </w:r>
            <w:r>
              <w:rPr>
                <w:rFonts w:ascii="Times New Roman" w:eastAsia="仿宋"/>
                <w:szCs w:val="21"/>
              </w:rPr>
              <w:t>0</w:t>
            </w:r>
          </w:p>
        </w:tc>
        <w:tc>
          <w:tcPr>
            <w:tcW w:w="447" w:type="pct"/>
            <w:vAlign w:val="center"/>
          </w:tcPr>
          <w:p w14:paraId="64104299">
            <w:pPr>
              <w:jc w:val="center"/>
              <w:rPr>
                <w:rFonts w:ascii="Times New Roman" w:eastAsia="仿宋"/>
                <w:szCs w:val="21"/>
              </w:rPr>
            </w:pPr>
            <w:r>
              <w:rPr>
                <w:rFonts w:ascii="Times New Roman" w:eastAsia="仿宋"/>
                <w:szCs w:val="21"/>
              </w:rPr>
              <w:t>0.259</w:t>
            </w:r>
          </w:p>
        </w:tc>
        <w:tc>
          <w:tcPr>
            <w:tcW w:w="354" w:type="pct"/>
            <w:vAlign w:val="center"/>
          </w:tcPr>
          <w:p w14:paraId="44C7B19F">
            <w:pPr>
              <w:jc w:val="center"/>
              <w:rPr>
                <w:rFonts w:ascii="Times New Roman" w:eastAsia="仿宋"/>
                <w:szCs w:val="21"/>
              </w:rPr>
            </w:pPr>
            <w:r>
              <w:rPr>
                <w:rFonts w:ascii="Times New Roman" w:eastAsia="仿宋"/>
                <w:szCs w:val="21"/>
              </w:rPr>
              <w:t>0.06</w:t>
            </w:r>
          </w:p>
        </w:tc>
        <w:tc>
          <w:tcPr>
            <w:tcW w:w="447" w:type="pct"/>
            <w:vAlign w:val="center"/>
          </w:tcPr>
          <w:p w14:paraId="551E2B36">
            <w:pPr>
              <w:jc w:val="center"/>
              <w:rPr>
                <w:rFonts w:ascii="Times New Roman" w:eastAsia="仿宋"/>
                <w:szCs w:val="21"/>
              </w:rPr>
            </w:pPr>
            <w:r>
              <w:rPr>
                <w:rFonts w:ascii="Times New Roman" w:eastAsia="仿宋"/>
                <w:szCs w:val="21"/>
              </w:rPr>
              <w:t>0.885</w:t>
            </w:r>
          </w:p>
        </w:tc>
        <w:tc>
          <w:tcPr>
            <w:tcW w:w="358" w:type="pct"/>
            <w:vAlign w:val="center"/>
          </w:tcPr>
          <w:p w14:paraId="34E742A2">
            <w:pPr>
              <w:jc w:val="center"/>
              <w:rPr>
                <w:rFonts w:ascii="Times New Roman" w:eastAsia="仿宋"/>
                <w:szCs w:val="21"/>
              </w:rPr>
            </w:pPr>
            <w:r>
              <w:rPr>
                <w:rFonts w:ascii="Times New Roman" w:eastAsia="仿宋"/>
                <w:szCs w:val="21"/>
              </w:rPr>
              <w:t>0.44</w:t>
            </w:r>
          </w:p>
        </w:tc>
        <w:tc>
          <w:tcPr>
            <w:tcW w:w="435" w:type="pct"/>
          </w:tcPr>
          <w:p w14:paraId="7B9FFBF2">
            <w:pPr>
              <w:jc w:val="center"/>
              <w:rPr>
                <w:rFonts w:ascii="Times New Roman" w:eastAsia="仿宋"/>
                <w:szCs w:val="21"/>
              </w:rPr>
            </w:pPr>
            <w:r>
              <w:rPr>
                <w:rFonts w:ascii="Times New Roman" w:eastAsia="仿宋"/>
                <w:szCs w:val="21"/>
              </w:rPr>
              <w:t>0.00681</w:t>
            </w:r>
          </w:p>
        </w:tc>
        <w:tc>
          <w:tcPr>
            <w:tcW w:w="328" w:type="pct"/>
          </w:tcPr>
          <w:p w14:paraId="5EAB2766">
            <w:pPr>
              <w:jc w:val="center"/>
              <w:rPr>
                <w:rFonts w:ascii="Times New Roman" w:eastAsia="仿宋"/>
                <w:szCs w:val="21"/>
              </w:rPr>
            </w:pPr>
            <w:r>
              <w:rPr>
                <w:rFonts w:hint="eastAsia" w:ascii="Times New Roman" w:eastAsia="仿宋"/>
                <w:szCs w:val="21"/>
              </w:rPr>
              <w:t>0</w:t>
            </w:r>
            <w:r>
              <w:rPr>
                <w:rFonts w:ascii="Times New Roman" w:eastAsia="仿宋"/>
                <w:szCs w:val="21"/>
              </w:rPr>
              <w:t>.00</w:t>
            </w:r>
          </w:p>
        </w:tc>
        <w:tc>
          <w:tcPr>
            <w:tcW w:w="394" w:type="pct"/>
            <w:vAlign w:val="bottom"/>
          </w:tcPr>
          <w:p w14:paraId="7D35918C">
            <w:pPr>
              <w:jc w:val="center"/>
              <w:rPr>
                <w:rFonts w:ascii="Times New Roman" w:eastAsia="仿宋"/>
                <w:szCs w:val="21"/>
              </w:rPr>
            </w:pPr>
            <w:r>
              <w:rPr>
                <w:rFonts w:hint="eastAsia" w:ascii="Times New Roman" w:eastAsia="仿宋"/>
                <w:szCs w:val="21"/>
              </w:rPr>
              <w:t>0.31</w:t>
            </w:r>
          </w:p>
        </w:tc>
        <w:tc>
          <w:tcPr>
            <w:tcW w:w="325" w:type="pct"/>
            <w:vAlign w:val="bottom"/>
          </w:tcPr>
          <w:p w14:paraId="642835DB">
            <w:pPr>
              <w:jc w:val="center"/>
              <w:rPr>
                <w:rFonts w:ascii="Times New Roman" w:eastAsia="仿宋"/>
                <w:szCs w:val="21"/>
              </w:rPr>
            </w:pPr>
            <w:r>
              <w:rPr>
                <w:rFonts w:hint="eastAsia" w:ascii="Times New Roman" w:eastAsia="仿宋"/>
                <w:szCs w:val="21"/>
              </w:rPr>
              <w:t>0.15</w:t>
            </w:r>
          </w:p>
        </w:tc>
      </w:tr>
      <w:tr w14:paraId="2C51CE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05E2C93F">
            <w:pPr>
              <w:jc w:val="center"/>
              <w:rPr>
                <w:rFonts w:ascii="Times New Roman" w:eastAsia="仿宋"/>
                <w:szCs w:val="21"/>
              </w:rPr>
            </w:pPr>
            <w:r>
              <w:rPr>
                <w:rFonts w:ascii="Times New Roman" w:eastAsia="仿宋"/>
                <w:szCs w:val="21"/>
              </w:rPr>
              <w:t>下风向最大浓度</w:t>
            </w:r>
          </w:p>
        </w:tc>
        <w:tc>
          <w:tcPr>
            <w:tcW w:w="714" w:type="pct"/>
            <w:gridSpan w:val="2"/>
            <w:vAlign w:val="center"/>
          </w:tcPr>
          <w:p w14:paraId="5897684A">
            <w:pPr>
              <w:jc w:val="center"/>
              <w:rPr>
                <w:rFonts w:ascii="Times New Roman" w:eastAsia="仿宋"/>
                <w:szCs w:val="21"/>
              </w:rPr>
            </w:pPr>
            <w:r>
              <w:rPr>
                <w:rFonts w:ascii="Times New Roman" w:eastAsia="仿宋"/>
                <w:szCs w:val="21"/>
              </w:rPr>
              <w:t>3.16</w:t>
            </w:r>
          </w:p>
        </w:tc>
        <w:tc>
          <w:tcPr>
            <w:tcW w:w="745" w:type="pct"/>
            <w:gridSpan w:val="2"/>
            <w:vAlign w:val="center"/>
          </w:tcPr>
          <w:p w14:paraId="624A9A54">
            <w:pPr>
              <w:jc w:val="center"/>
              <w:rPr>
                <w:rFonts w:ascii="Times New Roman" w:eastAsia="仿宋"/>
                <w:szCs w:val="21"/>
              </w:rPr>
            </w:pPr>
            <w:r>
              <w:rPr>
                <w:rFonts w:ascii="Times New Roman" w:eastAsia="仿宋"/>
                <w:szCs w:val="21"/>
              </w:rPr>
              <w:t>3.16</w:t>
            </w:r>
          </w:p>
        </w:tc>
        <w:tc>
          <w:tcPr>
            <w:tcW w:w="801" w:type="pct"/>
            <w:gridSpan w:val="2"/>
            <w:vAlign w:val="center"/>
          </w:tcPr>
          <w:p w14:paraId="5811F58A">
            <w:pPr>
              <w:jc w:val="center"/>
              <w:rPr>
                <w:rFonts w:ascii="Times New Roman" w:eastAsia="仿宋"/>
                <w:szCs w:val="21"/>
              </w:rPr>
            </w:pPr>
            <w:r>
              <w:rPr>
                <w:rFonts w:ascii="Times New Roman" w:eastAsia="仿宋"/>
                <w:szCs w:val="21"/>
              </w:rPr>
              <w:t>0.667</w:t>
            </w:r>
          </w:p>
        </w:tc>
        <w:tc>
          <w:tcPr>
            <w:tcW w:w="805" w:type="pct"/>
            <w:gridSpan w:val="2"/>
            <w:vAlign w:val="center"/>
          </w:tcPr>
          <w:p w14:paraId="2A2BA0E2">
            <w:pPr>
              <w:jc w:val="center"/>
              <w:rPr>
                <w:rFonts w:ascii="Times New Roman" w:eastAsia="仿宋"/>
                <w:szCs w:val="21"/>
              </w:rPr>
            </w:pPr>
            <w:r>
              <w:rPr>
                <w:rFonts w:ascii="Times New Roman" w:eastAsia="仿宋"/>
                <w:szCs w:val="21"/>
              </w:rPr>
              <w:t>2.28</w:t>
            </w:r>
          </w:p>
        </w:tc>
        <w:tc>
          <w:tcPr>
            <w:tcW w:w="763" w:type="pct"/>
            <w:gridSpan w:val="2"/>
            <w:vAlign w:val="center"/>
          </w:tcPr>
          <w:p w14:paraId="06979E66">
            <w:pPr>
              <w:jc w:val="center"/>
              <w:rPr>
                <w:rFonts w:ascii="Times New Roman" w:eastAsia="仿宋"/>
                <w:szCs w:val="21"/>
              </w:rPr>
            </w:pPr>
            <w:r>
              <w:rPr>
                <w:rFonts w:ascii="Times New Roman" w:eastAsia="仿宋"/>
                <w:szCs w:val="21"/>
              </w:rPr>
              <w:t>0.0175</w:t>
            </w:r>
          </w:p>
        </w:tc>
        <w:tc>
          <w:tcPr>
            <w:tcW w:w="719" w:type="pct"/>
            <w:gridSpan w:val="2"/>
            <w:vAlign w:val="center"/>
          </w:tcPr>
          <w:p w14:paraId="5C67EC8F">
            <w:pPr>
              <w:jc w:val="center"/>
              <w:rPr>
                <w:rFonts w:ascii="Times New Roman" w:eastAsia="仿宋"/>
                <w:szCs w:val="21"/>
              </w:rPr>
            </w:pPr>
            <w:r>
              <w:rPr>
                <w:rFonts w:ascii="Times New Roman" w:eastAsia="仿宋"/>
                <w:szCs w:val="21"/>
              </w:rPr>
              <w:t>0.80</w:t>
            </w:r>
          </w:p>
        </w:tc>
      </w:tr>
      <w:tr w14:paraId="4F86A5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075C1029">
            <w:pPr>
              <w:jc w:val="center"/>
              <w:rPr>
                <w:rFonts w:ascii="Times New Roman" w:eastAsia="仿宋"/>
                <w:szCs w:val="21"/>
              </w:rPr>
            </w:pPr>
            <w:r>
              <w:rPr>
                <w:rFonts w:ascii="Times New Roman" w:eastAsia="仿宋"/>
                <w:szCs w:val="21"/>
              </w:rPr>
              <w:t>下风向最大浓度出现距离/m</w:t>
            </w:r>
          </w:p>
        </w:tc>
        <w:tc>
          <w:tcPr>
            <w:tcW w:w="714" w:type="pct"/>
            <w:gridSpan w:val="2"/>
            <w:vAlign w:val="center"/>
          </w:tcPr>
          <w:p w14:paraId="2641C0AC">
            <w:pPr>
              <w:jc w:val="center"/>
              <w:rPr>
                <w:rFonts w:ascii="Times New Roman" w:eastAsia="仿宋"/>
                <w:szCs w:val="21"/>
              </w:rPr>
            </w:pPr>
            <w:r>
              <w:rPr>
                <w:rFonts w:hint="eastAsia" w:ascii="Times New Roman" w:eastAsia="仿宋"/>
                <w:szCs w:val="21"/>
              </w:rPr>
              <w:t>104</w:t>
            </w:r>
          </w:p>
        </w:tc>
        <w:tc>
          <w:tcPr>
            <w:tcW w:w="745" w:type="pct"/>
            <w:gridSpan w:val="2"/>
            <w:vAlign w:val="center"/>
          </w:tcPr>
          <w:p w14:paraId="629029C0">
            <w:pPr>
              <w:jc w:val="center"/>
              <w:rPr>
                <w:rFonts w:ascii="Times New Roman" w:eastAsia="仿宋"/>
                <w:szCs w:val="21"/>
              </w:rPr>
            </w:pPr>
            <w:r>
              <w:rPr>
                <w:rFonts w:hint="eastAsia" w:ascii="Times New Roman" w:eastAsia="仿宋"/>
                <w:szCs w:val="21"/>
              </w:rPr>
              <w:t>1</w:t>
            </w:r>
            <w:r>
              <w:rPr>
                <w:rFonts w:ascii="Times New Roman" w:eastAsia="仿宋"/>
                <w:szCs w:val="21"/>
              </w:rPr>
              <w:t>04</w:t>
            </w:r>
          </w:p>
        </w:tc>
        <w:tc>
          <w:tcPr>
            <w:tcW w:w="801" w:type="pct"/>
            <w:gridSpan w:val="2"/>
            <w:vAlign w:val="center"/>
          </w:tcPr>
          <w:p w14:paraId="715CEAB6">
            <w:pPr>
              <w:jc w:val="center"/>
              <w:rPr>
                <w:rFonts w:ascii="Times New Roman" w:eastAsia="仿宋"/>
                <w:szCs w:val="21"/>
              </w:rPr>
            </w:pPr>
            <w:r>
              <w:rPr>
                <w:rFonts w:hint="eastAsia" w:ascii="Times New Roman" w:eastAsia="仿宋"/>
                <w:szCs w:val="21"/>
              </w:rPr>
              <w:t>104</w:t>
            </w:r>
          </w:p>
        </w:tc>
        <w:tc>
          <w:tcPr>
            <w:tcW w:w="805" w:type="pct"/>
            <w:gridSpan w:val="2"/>
            <w:vAlign w:val="center"/>
          </w:tcPr>
          <w:p w14:paraId="437A0B69">
            <w:pPr>
              <w:jc w:val="center"/>
              <w:rPr>
                <w:rFonts w:ascii="Times New Roman" w:eastAsia="仿宋"/>
                <w:szCs w:val="21"/>
              </w:rPr>
            </w:pPr>
            <w:r>
              <w:rPr>
                <w:rFonts w:hint="eastAsia" w:ascii="Times New Roman" w:eastAsia="仿宋"/>
                <w:szCs w:val="21"/>
              </w:rPr>
              <w:t>104</w:t>
            </w:r>
          </w:p>
        </w:tc>
        <w:tc>
          <w:tcPr>
            <w:tcW w:w="763" w:type="pct"/>
            <w:gridSpan w:val="2"/>
            <w:vAlign w:val="center"/>
          </w:tcPr>
          <w:p w14:paraId="426D5E29">
            <w:pPr>
              <w:jc w:val="center"/>
              <w:rPr>
                <w:rFonts w:ascii="Times New Roman" w:eastAsia="仿宋"/>
                <w:szCs w:val="21"/>
              </w:rPr>
            </w:pPr>
            <w:r>
              <w:rPr>
                <w:rFonts w:hint="eastAsia" w:ascii="Times New Roman" w:eastAsia="仿宋"/>
                <w:szCs w:val="21"/>
              </w:rPr>
              <w:t>104</w:t>
            </w:r>
          </w:p>
        </w:tc>
        <w:tc>
          <w:tcPr>
            <w:tcW w:w="719" w:type="pct"/>
            <w:gridSpan w:val="2"/>
            <w:vAlign w:val="center"/>
          </w:tcPr>
          <w:p w14:paraId="2D3654FF">
            <w:pPr>
              <w:jc w:val="center"/>
              <w:rPr>
                <w:rFonts w:ascii="Times New Roman" w:eastAsia="仿宋"/>
                <w:szCs w:val="21"/>
              </w:rPr>
            </w:pPr>
            <w:r>
              <w:rPr>
                <w:rFonts w:hint="eastAsia" w:ascii="Times New Roman" w:eastAsia="仿宋"/>
                <w:szCs w:val="21"/>
              </w:rPr>
              <w:t>104</w:t>
            </w:r>
          </w:p>
        </w:tc>
      </w:tr>
      <w:tr w14:paraId="4C0F5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453" w:type="pct"/>
            <w:vAlign w:val="center"/>
          </w:tcPr>
          <w:p w14:paraId="211E795D">
            <w:pPr>
              <w:jc w:val="center"/>
              <w:rPr>
                <w:rFonts w:ascii="Times New Roman" w:eastAsia="仿宋"/>
                <w:szCs w:val="21"/>
              </w:rPr>
            </w:pPr>
            <w:r>
              <w:rPr>
                <w:rFonts w:ascii="Times New Roman" w:eastAsia="仿宋"/>
                <w:szCs w:val="21"/>
              </w:rPr>
              <w:t>D10%最远距离/m</w:t>
            </w:r>
          </w:p>
        </w:tc>
        <w:tc>
          <w:tcPr>
            <w:tcW w:w="714" w:type="pct"/>
            <w:gridSpan w:val="2"/>
            <w:vAlign w:val="center"/>
          </w:tcPr>
          <w:p w14:paraId="0D1AE24E">
            <w:pPr>
              <w:jc w:val="center"/>
              <w:rPr>
                <w:rFonts w:ascii="Times New Roman" w:eastAsia="仿宋"/>
                <w:szCs w:val="21"/>
              </w:rPr>
            </w:pPr>
            <w:r>
              <w:rPr>
                <w:rFonts w:hint="eastAsia" w:ascii="Times New Roman" w:eastAsia="仿宋"/>
                <w:szCs w:val="21"/>
              </w:rPr>
              <w:t>/</w:t>
            </w:r>
          </w:p>
        </w:tc>
        <w:tc>
          <w:tcPr>
            <w:tcW w:w="745" w:type="pct"/>
            <w:gridSpan w:val="2"/>
          </w:tcPr>
          <w:p w14:paraId="656821C8">
            <w:pPr>
              <w:jc w:val="center"/>
              <w:rPr>
                <w:rFonts w:ascii="Times New Roman" w:eastAsia="仿宋"/>
                <w:szCs w:val="21"/>
              </w:rPr>
            </w:pPr>
          </w:p>
        </w:tc>
        <w:tc>
          <w:tcPr>
            <w:tcW w:w="801" w:type="pct"/>
            <w:gridSpan w:val="2"/>
            <w:vAlign w:val="center"/>
          </w:tcPr>
          <w:p w14:paraId="0BDED2CC">
            <w:pPr>
              <w:jc w:val="center"/>
              <w:rPr>
                <w:rFonts w:ascii="Times New Roman" w:eastAsia="仿宋"/>
                <w:szCs w:val="21"/>
              </w:rPr>
            </w:pPr>
            <w:r>
              <w:rPr>
                <w:rFonts w:hint="eastAsia" w:ascii="Times New Roman" w:eastAsia="仿宋"/>
                <w:szCs w:val="21"/>
              </w:rPr>
              <w:t>/</w:t>
            </w:r>
          </w:p>
        </w:tc>
        <w:tc>
          <w:tcPr>
            <w:tcW w:w="805" w:type="pct"/>
            <w:gridSpan w:val="2"/>
            <w:vAlign w:val="center"/>
          </w:tcPr>
          <w:p w14:paraId="2D0D8B66">
            <w:pPr>
              <w:jc w:val="center"/>
              <w:rPr>
                <w:rFonts w:ascii="Times New Roman" w:eastAsia="仿宋"/>
                <w:szCs w:val="21"/>
              </w:rPr>
            </w:pPr>
            <w:r>
              <w:rPr>
                <w:rFonts w:hint="eastAsia" w:ascii="Times New Roman" w:eastAsia="仿宋"/>
                <w:szCs w:val="21"/>
              </w:rPr>
              <w:t>/</w:t>
            </w:r>
          </w:p>
        </w:tc>
        <w:tc>
          <w:tcPr>
            <w:tcW w:w="763" w:type="pct"/>
            <w:gridSpan w:val="2"/>
            <w:vAlign w:val="center"/>
          </w:tcPr>
          <w:p w14:paraId="7F15FC16">
            <w:pPr>
              <w:jc w:val="center"/>
              <w:rPr>
                <w:rFonts w:ascii="Times New Roman" w:eastAsia="仿宋"/>
                <w:szCs w:val="21"/>
              </w:rPr>
            </w:pPr>
            <w:r>
              <w:rPr>
                <w:rFonts w:hint="eastAsia" w:ascii="Times New Roman" w:eastAsia="仿宋"/>
                <w:szCs w:val="21"/>
              </w:rPr>
              <w:t>/</w:t>
            </w:r>
          </w:p>
        </w:tc>
        <w:tc>
          <w:tcPr>
            <w:tcW w:w="719" w:type="pct"/>
            <w:gridSpan w:val="2"/>
            <w:vAlign w:val="center"/>
          </w:tcPr>
          <w:p w14:paraId="0DD9279F">
            <w:pPr>
              <w:jc w:val="center"/>
              <w:rPr>
                <w:rFonts w:ascii="Times New Roman" w:eastAsia="仿宋"/>
                <w:szCs w:val="21"/>
              </w:rPr>
            </w:pPr>
            <w:r>
              <w:rPr>
                <w:rFonts w:hint="eastAsia" w:ascii="Times New Roman" w:eastAsia="仿宋"/>
                <w:szCs w:val="21"/>
              </w:rPr>
              <w:t>/</w:t>
            </w:r>
          </w:p>
        </w:tc>
      </w:tr>
    </w:tbl>
    <w:p w14:paraId="5731DC00">
      <w:pPr>
        <w:spacing w:line="500" w:lineRule="exact"/>
        <w:jc w:val="center"/>
        <w:rPr>
          <w:rFonts w:ascii="Times New Roman" w:eastAsia="仿宋"/>
          <w:b/>
        </w:rPr>
      </w:pPr>
    </w:p>
    <w:p w14:paraId="7C825DAD">
      <w:pPr>
        <w:spacing w:line="500" w:lineRule="exact"/>
        <w:jc w:val="center"/>
        <w:rPr>
          <w:rFonts w:ascii="Times New Roman" w:eastAsia="仿宋"/>
          <w:b/>
        </w:rPr>
      </w:pPr>
    </w:p>
    <w:p w14:paraId="5B82627D">
      <w:pPr>
        <w:pStyle w:val="2"/>
      </w:pPr>
    </w:p>
    <w:p w14:paraId="24E9B7CC">
      <w:pPr>
        <w:spacing w:line="500" w:lineRule="exact"/>
        <w:jc w:val="center"/>
        <w:rPr>
          <w:rFonts w:ascii="Times New Roman" w:eastAsia="仿宋"/>
          <w:b/>
        </w:rPr>
      </w:pPr>
      <w:r>
        <w:rPr>
          <w:rFonts w:hint="eastAsia" w:ascii="Times New Roman" w:eastAsia="仿宋"/>
          <w:b/>
        </w:rPr>
        <w:t>表</w:t>
      </w:r>
      <w:r>
        <w:rPr>
          <w:rFonts w:ascii="Times New Roman" w:eastAsia="仿宋"/>
          <w:b/>
        </w:rPr>
        <w:t xml:space="preserve">5.2- </w:t>
      </w:r>
      <w:r>
        <w:rPr>
          <w:rFonts w:hint="eastAsia" w:ascii="Times New Roman" w:eastAsia="仿宋"/>
          <w:b/>
        </w:rPr>
        <w:t>1</w:t>
      </w:r>
      <w:r>
        <w:rPr>
          <w:rFonts w:ascii="Times New Roman" w:eastAsia="仿宋"/>
          <w:b/>
        </w:rPr>
        <w:t xml:space="preserve">2  </w:t>
      </w:r>
      <w:r>
        <w:rPr>
          <w:rFonts w:hint="eastAsia" w:ascii="Times New Roman" w:eastAsia="仿宋"/>
          <w:b/>
        </w:rPr>
        <w:t>3</w:t>
      </w:r>
      <w:r>
        <w:rPr>
          <w:rFonts w:ascii="Times New Roman" w:eastAsia="仿宋"/>
          <w:b/>
        </w:rPr>
        <w:t>#</w:t>
      </w:r>
      <w:r>
        <w:rPr>
          <w:rFonts w:hint="eastAsia" w:ascii="Times New Roman" w:eastAsia="仿宋"/>
          <w:b/>
        </w:rPr>
        <w:t>排气筒估算模型计算结果表</w:t>
      </w:r>
    </w:p>
    <w:tbl>
      <w:tblPr>
        <w:tblStyle w:val="87"/>
        <w:tblW w:w="658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915"/>
        <w:gridCol w:w="1208"/>
        <w:gridCol w:w="1272"/>
        <w:gridCol w:w="1256"/>
        <w:gridCol w:w="1256"/>
        <w:gridCol w:w="1243"/>
        <w:gridCol w:w="1270"/>
        <w:gridCol w:w="1248"/>
        <w:gridCol w:w="1277"/>
      </w:tblGrid>
      <w:tr w14:paraId="108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2" w:hRule="atLeast"/>
          <w:jc w:val="center"/>
        </w:trPr>
        <w:tc>
          <w:tcPr>
            <w:tcW w:w="418" w:type="pct"/>
            <w:vMerge w:val="restart"/>
            <w:vAlign w:val="center"/>
          </w:tcPr>
          <w:p w14:paraId="7A4B4174">
            <w:pPr>
              <w:jc w:val="center"/>
              <w:rPr>
                <w:rFonts w:ascii="Times New Roman" w:eastAsia="仿宋"/>
                <w:szCs w:val="21"/>
              </w:rPr>
            </w:pPr>
            <w:r>
              <w:rPr>
                <w:rFonts w:ascii="Times New Roman" w:eastAsia="仿宋"/>
                <w:szCs w:val="21"/>
              </w:rPr>
              <w:t>距离(m)</w:t>
            </w:r>
          </w:p>
        </w:tc>
        <w:tc>
          <w:tcPr>
            <w:tcW w:w="4582" w:type="pct"/>
            <w:gridSpan w:val="8"/>
          </w:tcPr>
          <w:p w14:paraId="3320FB09">
            <w:pPr>
              <w:jc w:val="center"/>
              <w:rPr>
                <w:rFonts w:ascii="Times New Roman" w:eastAsia="仿宋"/>
                <w:szCs w:val="21"/>
              </w:rPr>
            </w:pPr>
            <w:r>
              <w:rPr>
                <w:rFonts w:hint="eastAsia" w:ascii="Times New Roman" w:eastAsia="仿宋"/>
                <w:szCs w:val="21"/>
              </w:rPr>
              <w:t>3</w:t>
            </w:r>
            <w:r>
              <w:rPr>
                <w:rFonts w:ascii="Times New Roman" w:eastAsia="仿宋"/>
                <w:szCs w:val="21"/>
              </w:rPr>
              <w:t>#排气筒</w:t>
            </w:r>
          </w:p>
        </w:tc>
      </w:tr>
      <w:tr w14:paraId="3260AF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2" w:hRule="atLeast"/>
          <w:jc w:val="center"/>
        </w:trPr>
        <w:tc>
          <w:tcPr>
            <w:tcW w:w="418" w:type="pct"/>
            <w:vMerge w:val="continue"/>
            <w:vAlign w:val="center"/>
          </w:tcPr>
          <w:p w14:paraId="3C8B8C81">
            <w:pPr>
              <w:jc w:val="center"/>
              <w:rPr>
                <w:rFonts w:ascii="Times New Roman" w:eastAsia="仿宋"/>
                <w:szCs w:val="21"/>
              </w:rPr>
            </w:pPr>
          </w:p>
        </w:tc>
        <w:tc>
          <w:tcPr>
            <w:tcW w:w="1133" w:type="pct"/>
            <w:gridSpan w:val="2"/>
            <w:vAlign w:val="center"/>
          </w:tcPr>
          <w:p w14:paraId="57EBCF09">
            <w:pPr>
              <w:jc w:val="center"/>
              <w:rPr>
                <w:rFonts w:ascii="Times New Roman" w:eastAsia="仿宋"/>
                <w:szCs w:val="21"/>
              </w:rPr>
            </w:pPr>
            <w:r>
              <w:rPr>
                <w:rFonts w:hint="eastAsia" w:ascii="Times New Roman" w:eastAsia="仿宋"/>
                <w:szCs w:val="21"/>
              </w:rPr>
              <w:t>非甲烷总烃</w:t>
            </w:r>
          </w:p>
        </w:tc>
        <w:tc>
          <w:tcPr>
            <w:tcW w:w="1148" w:type="pct"/>
            <w:gridSpan w:val="2"/>
          </w:tcPr>
          <w:p w14:paraId="77A9EE92">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48" w:type="pct"/>
            <w:gridSpan w:val="2"/>
            <w:vAlign w:val="center"/>
          </w:tcPr>
          <w:p w14:paraId="5A040230">
            <w:pPr>
              <w:jc w:val="center"/>
              <w:rPr>
                <w:rFonts w:ascii="Times New Roman" w:eastAsia="仿宋"/>
                <w:szCs w:val="21"/>
              </w:rPr>
            </w:pPr>
            <w:r>
              <w:rPr>
                <w:rFonts w:hint="eastAsia" w:ascii="Times New Roman" w:eastAsia="仿宋"/>
                <w:szCs w:val="21"/>
              </w:rPr>
              <w:t>P</w:t>
            </w:r>
            <w:r>
              <w:rPr>
                <w:rFonts w:ascii="Times New Roman" w:eastAsia="仿宋"/>
                <w:szCs w:val="21"/>
              </w:rPr>
              <w:t>M</w:t>
            </w:r>
            <w:r>
              <w:rPr>
                <w:rFonts w:ascii="Times New Roman" w:eastAsia="仿宋"/>
                <w:szCs w:val="21"/>
                <w:vertAlign w:val="subscript"/>
              </w:rPr>
              <w:t>10</w:t>
            </w:r>
          </w:p>
        </w:tc>
        <w:tc>
          <w:tcPr>
            <w:tcW w:w="1153" w:type="pct"/>
            <w:gridSpan w:val="2"/>
            <w:vAlign w:val="center"/>
          </w:tcPr>
          <w:p w14:paraId="1C2A1150">
            <w:pPr>
              <w:jc w:val="center"/>
              <w:rPr>
                <w:rFonts w:ascii="Times New Roman" w:eastAsia="仿宋"/>
                <w:szCs w:val="21"/>
              </w:rPr>
            </w:pPr>
            <w:r>
              <w:rPr>
                <w:rFonts w:hint="eastAsia" w:ascii="Times New Roman" w:eastAsia="仿宋"/>
                <w:szCs w:val="21"/>
              </w:rPr>
              <w:t>二甲苯</w:t>
            </w:r>
          </w:p>
        </w:tc>
      </w:tr>
      <w:tr w14:paraId="361BAD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01" w:hRule="atLeast"/>
          <w:jc w:val="center"/>
        </w:trPr>
        <w:tc>
          <w:tcPr>
            <w:tcW w:w="418" w:type="pct"/>
            <w:vMerge w:val="continue"/>
            <w:vAlign w:val="center"/>
          </w:tcPr>
          <w:p w14:paraId="59077ACD">
            <w:pPr>
              <w:jc w:val="center"/>
              <w:rPr>
                <w:rFonts w:ascii="Times New Roman" w:eastAsia="仿宋"/>
                <w:szCs w:val="21"/>
              </w:rPr>
            </w:pPr>
          </w:p>
        </w:tc>
        <w:tc>
          <w:tcPr>
            <w:tcW w:w="552" w:type="pct"/>
            <w:vAlign w:val="center"/>
          </w:tcPr>
          <w:p w14:paraId="5A897259">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581" w:type="pct"/>
            <w:vAlign w:val="center"/>
          </w:tcPr>
          <w:p w14:paraId="6CAB93CF">
            <w:pPr>
              <w:jc w:val="center"/>
              <w:rPr>
                <w:rFonts w:ascii="Times New Roman" w:eastAsia="仿宋"/>
                <w:szCs w:val="21"/>
              </w:rPr>
            </w:pPr>
            <w:r>
              <w:rPr>
                <w:rFonts w:ascii="Times New Roman" w:eastAsia="仿宋"/>
                <w:szCs w:val="21"/>
              </w:rPr>
              <w:t>占标率(%)</w:t>
            </w:r>
          </w:p>
        </w:tc>
        <w:tc>
          <w:tcPr>
            <w:tcW w:w="574" w:type="pct"/>
            <w:vAlign w:val="center"/>
          </w:tcPr>
          <w:p w14:paraId="35DE32F6">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574" w:type="pct"/>
            <w:vAlign w:val="center"/>
          </w:tcPr>
          <w:p w14:paraId="14765FE1">
            <w:pPr>
              <w:jc w:val="center"/>
              <w:rPr>
                <w:rFonts w:ascii="Times New Roman" w:eastAsia="仿宋"/>
                <w:szCs w:val="21"/>
              </w:rPr>
            </w:pPr>
            <w:r>
              <w:rPr>
                <w:rFonts w:ascii="Times New Roman" w:eastAsia="仿宋"/>
                <w:szCs w:val="21"/>
              </w:rPr>
              <w:t>占标率(%)</w:t>
            </w:r>
          </w:p>
        </w:tc>
        <w:tc>
          <w:tcPr>
            <w:tcW w:w="568" w:type="pct"/>
            <w:vAlign w:val="center"/>
          </w:tcPr>
          <w:p w14:paraId="7DC06747">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580" w:type="pct"/>
            <w:vAlign w:val="center"/>
          </w:tcPr>
          <w:p w14:paraId="2E1B8ADB">
            <w:pPr>
              <w:jc w:val="center"/>
              <w:rPr>
                <w:rFonts w:ascii="Times New Roman" w:eastAsia="仿宋"/>
                <w:szCs w:val="21"/>
              </w:rPr>
            </w:pPr>
            <w:r>
              <w:rPr>
                <w:rFonts w:ascii="Times New Roman" w:eastAsia="仿宋"/>
                <w:szCs w:val="21"/>
              </w:rPr>
              <w:t>占标率(%)</w:t>
            </w:r>
          </w:p>
        </w:tc>
        <w:tc>
          <w:tcPr>
            <w:tcW w:w="570" w:type="pct"/>
            <w:vAlign w:val="center"/>
          </w:tcPr>
          <w:p w14:paraId="77538E77">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583" w:type="pct"/>
            <w:vAlign w:val="center"/>
          </w:tcPr>
          <w:p w14:paraId="02D02396">
            <w:pPr>
              <w:jc w:val="center"/>
              <w:rPr>
                <w:rFonts w:ascii="Times New Roman" w:eastAsia="仿宋"/>
                <w:szCs w:val="21"/>
              </w:rPr>
            </w:pPr>
            <w:r>
              <w:rPr>
                <w:rFonts w:ascii="Times New Roman" w:eastAsia="仿宋"/>
                <w:szCs w:val="21"/>
              </w:rPr>
              <w:t>占标率(%)</w:t>
            </w:r>
          </w:p>
        </w:tc>
      </w:tr>
      <w:tr w14:paraId="03E2BA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36D45137">
            <w:pPr>
              <w:jc w:val="center"/>
              <w:rPr>
                <w:rFonts w:ascii="Times New Roman" w:eastAsia="仿宋"/>
                <w:szCs w:val="21"/>
              </w:rPr>
            </w:pPr>
            <w:r>
              <w:rPr>
                <w:rFonts w:ascii="Times New Roman" w:eastAsia="仿宋"/>
                <w:szCs w:val="21"/>
              </w:rPr>
              <w:t>50</w:t>
            </w:r>
          </w:p>
        </w:tc>
        <w:tc>
          <w:tcPr>
            <w:tcW w:w="552" w:type="pct"/>
          </w:tcPr>
          <w:p w14:paraId="6CB79145">
            <w:pPr>
              <w:jc w:val="center"/>
              <w:rPr>
                <w:rFonts w:ascii="Times New Roman" w:eastAsia="仿宋"/>
                <w:szCs w:val="21"/>
              </w:rPr>
            </w:pPr>
            <w:r>
              <w:rPr>
                <w:rFonts w:ascii="Times New Roman" w:eastAsia="仿宋"/>
                <w:szCs w:val="21"/>
              </w:rPr>
              <w:t>12</w:t>
            </w:r>
            <w:r>
              <w:rPr>
                <w:rFonts w:hint="eastAsia" w:ascii="Times New Roman" w:eastAsia="仿宋"/>
                <w:szCs w:val="21"/>
              </w:rPr>
              <w:t>.</w:t>
            </w:r>
            <w:r>
              <w:rPr>
                <w:rFonts w:ascii="Times New Roman" w:eastAsia="仿宋"/>
                <w:szCs w:val="21"/>
              </w:rPr>
              <w:t>3</w:t>
            </w:r>
          </w:p>
        </w:tc>
        <w:tc>
          <w:tcPr>
            <w:tcW w:w="581" w:type="pct"/>
            <w:vAlign w:val="center"/>
          </w:tcPr>
          <w:p w14:paraId="3D67A633">
            <w:pPr>
              <w:jc w:val="center"/>
              <w:rPr>
                <w:rFonts w:ascii="Times New Roman" w:eastAsia="仿宋"/>
                <w:szCs w:val="21"/>
              </w:rPr>
            </w:pPr>
            <w:r>
              <w:rPr>
                <w:rFonts w:hint="eastAsia" w:ascii="Times New Roman" w:eastAsia="仿宋"/>
                <w:szCs w:val="21"/>
              </w:rPr>
              <w:t>0.60</w:t>
            </w:r>
          </w:p>
        </w:tc>
        <w:tc>
          <w:tcPr>
            <w:tcW w:w="574" w:type="pct"/>
          </w:tcPr>
          <w:p w14:paraId="4749E810">
            <w:pPr>
              <w:jc w:val="center"/>
              <w:rPr>
                <w:rFonts w:ascii="Times New Roman" w:eastAsia="仿宋"/>
                <w:szCs w:val="21"/>
              </w:rPr>
            </w:pPr>
            <w:r>
              <w:rPr>
                <w:rFonts w:ascii="Times New Roman" w:eastAsia="仿宋"/>
                <w:szCs w:val="21"/>
              </w:rPr>
              <w:t>12</w:t>
            </w:r>
            <w:r>
              <w:rPr>
                <w:rFonts w:hint="eastAsia" w:ascii="Times New Roman" w:eastAsia="仿宋"/>
                <w:szCs w:val="21"/>
              </w:rPr>
              <w:t>.</w:t>
            </w:r>
            <w:r>
              <w:rPr>
                <w:rFonts w:ascii="Times New Roman" w:eastAsia="仿宋"/>
                <w:szCs w:val="21"/>
              </w:rPr>
              <w:t>3</w:t>
            </w:r>
          </w:p>
        </w:tc>
        <w:tc>
          <w:tcPr>
            <w:tcW w:w="574" w:type="pct"/>
            <w:vAlign w:val="bottom"/>
          </w:tcPr>
          <w:p w14:paraId="335EF2A0">
            <w:pPr>
              <w:jc w:val="center"/>
              <w:rPr>
                <w:rFonts w:ascii="Times New Roman" w:eastAsia="仿宋"/>
                <w:szCs w:val="21"/>
              </w:rPr>
            </w:pPr>
            <w:r>
              <w:rPr>
                <w:rFonts w:hint="eastAsia" w:ascii="Times New Roman" w:eastAsia="仿宋"/>
                <w:szCs w:val="21"/>
              </w:rPr>
              <w:t>1.0</w:t>
            </w:r>
          </w:p>
        </w:tc>
        <w:tc>
          <w:tcPr>
            <w:tcW w:w="568" w:type="pct"/>
            <w:shd w:val="clear" w:color="auto" w:fill="auto"/>
          </w:tcPr>
          <w:p w14:paraId="1C8A89A2">
            <w:pPr>
              <w:jc w:val="center"/>
              <w:rPr>
                <w:rFonts w:ascii="Times New Roman" w:eastAsia="仿宋"/>
                <w:szCs w:val="21"/>
              </w:rPr>
            </w:pPr>
            <w:r>
              <w:rPr>
                <w:rFonts w:ascii="Times New Roman" w:eastAsia="仿宋"/>
                <w:szCs w:val="21"/>
              </w:rPr>
              <w:t>3.25</w:t>
            </w:r>
          </w:p>
        </w:tc>
        <w:tc>
          <w:tcPr>
            <w:tcW w:w="580" w:type="pct"/>
            <w:shd w:val="clear" w:color="auto" w:fill="auto"/>
            <w:vAlign w:val="center"/>
          </w:tcPr>
          <w:p w14:paraId="61C42BBA">
            <w:pPr>
              <w:jc w:val="center"/>
              <w:rPr>
                <w:rFonts w:ascii="Times New Roman" w:eastAsia="仿宋"/>
                <w:szCs w:val="21"/>
              </w:rPr>
            </w:pPr>
            <w:r>
              <w:rPr>
                <w:rFonts w:hint="eastAsia" w:ascii="Times New Roman" w:eastAsia="仿宋"/>
                <w:szCs w:val="21"/>
              </w:rPr>
              <w:t>0.72</w:t>
            </w:r>
          </w:p>
        </w:tc>
        <w:tc>
          <w:tcPr>
            <w:tcW w:w="570" w:type="pct"/>
            <w:shd w:val="clear" w:color="auto" w:fill="auto"/>
          </w:tcPr>
          <w:p w14:paraId="34B20FD8">
            <w:pPr>
              <w:jc w:val="center"/>
              <w:rPr>
                <w:rFonts w:ascii="Times New Roman" w:eastAsia="仿宋"/>
                <w:szCs w:val="21"/>
              </w:rPr>
            </w:pPr>
            <w:r>
              <w:rPr>
                <w:rFonts w:ascii="Times New Roman" w:eastAsia="仿宋"/>
                <w:szCs w:val="21"/>
              </w:rPr>
              <w:t>2.60</w:t>
            </w:r>
          </w:p>
        </w:tc>
        <w:tc>
          <w:tcPr>
            <w:tcW w:w="583" w:type="pct"/>
            <w:vAlign w:val="center"/>
          </w:tcPr>
          <w:p w14:paraId="3D213A24">
            <w:pPr>
              <w:jc w:val="center"/>
              <w:rPr>
                <w:rFonts w:ascii="Times New Roman" w:eastAsia="仿宋"/>
                <w:szCs w:val="21"/>
              </w:rPr>
            </w:pPr>
            <w:r>
              <w:rPr>
                <w:rFonts w:hint="eastAsia" w:ascii="Times New Roman" w:eastAsia="仿宋"/>
                <w:szCs w:val="21"/>
              </w:rPr>
              <w:t>1.3</w:t>
            </w:r>
          </w:p>
        </w:tc>
      </w:tr>
      <w:tr w14:paraId="4CB228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00762D69">
            <w:pPr>
              <w:jc w:val="center"/>
              <w:rPr>
                <w:rFonts w:ascii="Times New Roman" w:eastAsia="仿宋"/>
                <w:szCs w:val="21"/>
              </w:rPr>
            </w:pPr>
            <w:r>
              <w:rPr>
                <w:rFonts w:ascii="Times New Roman" w:eastAsia="仿宋"/>
                <w:szCs w:val="21"/>
              </w:rPr>
              <w:t>100</w:t>
            </w:r>
          </w:p>
        </w:tc>
        <w:tc>
          <w:tcPr>
            <w:tcW w:w="552" w:type="pct"/>
          </w:tcPr>
          <w:p w14:paraId="6D9983FF">
            <w:pPr>
              <w:jc w:val="center"/>
              <w:rPr>
                <w:rFonts w:ascii="Times New Roman" w:eastAsia="仿宋"/>
                <w:szCs w:val="21"/>
              </w:rPr>
            </w:pPr>
            <w:r>
              <w:rPr>
                <w:rFonts w:ascii="Times New Roman" w:eastAsia="仿宋"/>
                <w:szCs w:val="21"/>
              </w:rPr>
              <w:t>44</w:t>
            </w:r>
            <w:r>
              <w:rPr>
                <w:rFonts w:hint="eastAsia" w:ascii="Times New Roman" w:eastAsia="仿宋"/>
                <w:szCs w:val="21"/>
              </w:rPr>
              <w:t>.</w:t>
            </w:r>
            <w:r>
              <w:rPr>
                <w:rFonts w:ascii="Times New Roman" w:eastAsia="仿宋"/>
                <w:szCs w:val="21"/>
              </w:rPr>
              <w:t>7</w:t>
            </w:r>
          </w:p>
        </w:tc>
        <w:tc>
          <w:tcPr>
            <w:tcW w:w="581" w:type="pct"/>
            <w:vAlign w:val="center"/>
          </w:tcPr>
          <w:p w14:paraId="5E8C78FB">
            <w:pPr>
              <w:jc w:val="center"/>
              <w:rPr>
                <w:rFonts w:ascii="Times New Roman" w:eastAsia="仿宋"/>
                <w:szCs w:val="21"/>
              </w:rPr>
            </w:pPr>
            <w:r>
              <w:rPr>
                <w:rFonts w:hint="eastAsia" w:ascii="Times New Roman" w:eastAsia="仿宋"/>
                <w:szCs w:val="21"/>
              </w:rPr>
              <w:t>2.23</w:t>
            </w:r>
          </w:p>
        </w:tc>
        <w:tc>
          <w:tcPr>
            <w:tcW w:w="574" w:type="pct"/>
          </w:tcPr>
          <w:p w14:paraId="1A820020">
            <w:pPr>
              <w:jc w:val="center"/>
              <w:rPr>
                <w:rFonts w:ascii="Times New Roman" w:eastAsia="仿宋"/>
                <w:szCs w:val="21"/>
              </w:rPr>
            </w:pPr>
            <w:r>
              <w:rPr>
                <w:rFonts w:ascii="Times New Roman" w:eastAsia="仿宋"/>
                <w:szCs w:val="21"/>
              </w:rPr>
              <w:t>44</w:t>
            </w:r>
            <w:r>
              <w:rPr>
                <w:rFonts w:hint="eastAsia" w:ascii="Times New Roman" w:eastAsia="仿宋"/>
                <w:szCs w:val="21"/>
              </w:rPr>
              <w:t>.</w:t>
            </w:r>
            <w:r>
              <w:rPr>
                <w:rFonts w:ascii="Times New Roman" w:eastAsia="仿宋"/>
                <w:szCs w:val="21"/>
              </w:rPr>
              <w:t>7</w:t>
            </w:r>
          </w:p>
        </w:tc>
        <w:tc>
          <w:tcPr>
            <w:tcW w:w="574" w:type="pct"/>
            <w:vAlign w:val="bottom"/>
          </w:tcPr>
          <w:p w14:paraId="5F790311">
            <w:pPr>
              <w:jc w:val="center"/>
              <w:rPr>
                <w:rFonts w:ascii="Times New Roman" w:eastAsia="仿宋"/>
                <w:szCs w:val="21"/>
              </w:rPr>
            </w:pPr>
            <w:r>
              <w:rPr>
                <w:rFonts w:hint="eastAsia" w:ascii="Times New Roman" w:eastAsia="仿宋"/>
                <w:szCs w:val="21"/>
              </w:rPr>
              <w:t>3.7</w:t>
            </w:r>
          </w:p>
        </w:tc>
        <w:tc>
          <w:tcPr>
            <w:tcW w:w="568" w:type="pct"/>
            <w:shd w:val="clear" w:color="auto" w:fill="auto"/>
          </w:tcPr>
          <w:p w14:paraId="2579C30C">
            <w:pPr>
              <w:jc w:val="center"/>
              <w:rPr>
                <w:rFonts w:ascii="Times New Roman" w:eastAsia="仿宋"/>
                <w:szCs w:val="21"/>
              </w:rPr>
            </w:pPr>
            <w:r>
              <w:rPr>
                <w:rFonts w:ascii="Times New Roman" w:eastAsia="仿宋"/>
                <w:szCs w:val="21"/>
              </w:rPr>
              <w:t>11</w:t>
            </w:r>
            <w:r>
              <w:rPr>
                <w:rFonts w:hint="eastAsia" w:ascii="Times New Roman" w:eastAsia="仿宋"/>
                <w:szCs w:val="21"/>
              </w:rPr>
              <w:t>.</w:t>
            </w:r>
            <w:r>
              <w:rPr>
                <w:rFonts w:ascii="Times New Roman" w:eastAsia="仿宋"/>
                <w:szCs w:val="21"/>
              </w:rPr>
              <w:t>81</w:t>
            </w:r>
          </w:p>
        </w:tc>
        <w:tc>
          <w:tcPr>
            <w:tcW w:w="580" w:type="pct"/>
            <w:shd w:val="clear" w:color="auto" w:fill="auto"/>
            <w:vAlign w:val="center"/>
          </w:tcPr>
          <w:p w14:paraId="2B218D4D">
            <w:pPr>
              <w:jc w:val="center"/>
              <w:rPr>
                <w:rFonts w:ascii="Times New Roman" w:eastAsia="仿宋"/>
                <w:szCs w:val="21"/>
              </w:rPr>
            </w:pPr>
            <w:r>
              <w:rPr>
                <w:rFonts w:hint="eastAsia" w:ascii="Times New Roman" w:eastAsia="仿宋"/>
                <w:szCs w:val="21"/>
              </w:rPr>
              <w:t>2.62</w:t>
            </w:r>
          </w:p>
        </w:tc>
        <w:tc>
          <w:tcPr>
            <w:tcW w:w="570" w:type="pct"/>
            <w:shd w:val="clear" w:color="auto" w:fill="auto"/>
          </w:tcPr>
          <w:p w14:paraId="495F1594">
            <w:pPr>
              <w:jc w:val="center"/>
              <w:rPr>
                <w:rFonts w:ascii="Times New Roman" w:eastAsia="仿宋"/>
                <w:szCs w:val="21"/>
              </w:rPr>
            </w:pPr>
            <w:r>
              <w:rPr>
                <w:rFonts w:ascii="Times New Roman" w:eastAsia="仿宋"/>
                <w:szCs w:val="21"/>
              </w:rPr>
              <w:t>9.42</w:t>
            </w:r>
          </w:p>
        </w:tc>
        <w:tc>
          <w:tcPr>
            <w:tcW w:w="583" w:type="pct"/>
            <w:vAlign w:val="center"/>
          </w:tcPr>
          <w:p w14:paraId="5CF419EF">
            <w:pPr>
              <w:jc w:val="center"/>
              <w:rPr>
                <w:rFonts w:ascii="Times New Roman" w:eastAsia="仿宋"/>
                <w:szCs w:val="21"/>
              </w:rPr>
            </w:pPr>
            <w:r>
              <w:rPr>
                <w:rFonts w:hint="eastAsia" w:ascii="Times New Roman" w:eastAsia="仿宋"/>
                <w:szCs w:val="21"/>
              </w:rPr>
              <w:t>4.71</w:t>
            </w:r>
          </w:p>
        </w:tc>
      </w:tr>
      <w:tr w14:paraId="75859F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5DFA5E4A">
            <w:pPr>
              <w:jc w:val="center"/>
              <w:rPr>
                <w:rFonts w:ascii="Times New Roman" w:eastAsia="仿宋"/>
                <w:szCs w:val="21"/>
              </w:rPr>
            </w:pPr>
            <w:r>
              <w:rPr>
                <w:rFonts w:hint="eastAsia" w:ascii="Times New Roman" w:eastAsia="仿宋"/>
                <w:szCs w:val="21"/>
              </w:rPr>
              <w:t>1</w:t>
            </w:r>
            <w:r>
              <w:rPr>
                <w:rFonts w:ascii="Times New Roman" w:eastAsia="仿宋"/>
                <w:szCs w:val="21"/>
              </w:rPr>
              <w:t>07</w:t>
            </w:r>
          </w:p>
        </w:tc>
        <w:tc>
          <w:tcPr>
            <w:tcW w:w="552" w:type="pct"/>
          </w:tcPr>
          <w:p w14:paraId="3516ADE5">
            <w:pPr>
              <w:jc w:val="center"/>
              <w:rPr>
                <w:rFonts w:ascii="Times New Roman" w:eastAsia="仿宋"/>
                <w:szCs w:val="21"/>
              </w:rPr>
            </w:pPr>
            <w:r>
              <w:rPr>
                <w:rFonts w:ascii="Times New Roman" w:eastAsia="仿宋"/>
                <w:szCs w:val="21"/>
              </w:rPr>
              <w:t>45</w:t>
            </w:r>
            <w:r>
              <w:rPr>
                <w:rFonts w:hint="eastAsia" w:ascii="Times New Roman" w:eastAsia="仿宋"/>
                <w:szCs w:val="21"/>
              </w:rPr>
              <w:t>.</w:t>
            </w:r>
            <w:r>
              <w:rPr>
                <w:rFonts w:ascii="Times New Roman" w:eastAsia="仿宋"/>
                <w:szCs w:val="21"/>
              </w:rPr>
              <w:t>11</w:t>
            </w:r>
          </w:p>
        </w:tc>
        <w:tc>
          <w:tcPr>
            <w:tcW w:w="581" w:type="pct"/>
            <w:vAlign w:val="center"/>
          </w:tcPr>
          <w:p w14:paraId="57C86E99">
            <w:pPr>
              <w:jc w:val="center"/>
              <w:rPr>
                <w:rFonts w:ascii="Times New Roman" w:eastAsia="仿宋"/>
                <w:szCs w:val="21"/>
              </w:rPr>
            </w:pPr>
            <w:r>
              <w:rPr>
                <w:rFonts w:hint="eastAsia" w:ascii="Times New Roman" w:eastAsia="仿宋"/>
                <w:szCs w:val="21"/>
              </w:rPr>
              <w:t>2.25</w:t>
            </w:r>
          </w:p>
        </w:tc>
        <w:tc>
          <w:tcPr>
            <w:tcW w:w="574" w:type="pct"/>
          </w:tcPr>
          <w:p w14:paraId="23DF8D9C">
            <w:pPr>
              <w:jc w:val="center"/>
              <w:rPr>
                <w:rFonts w:ascii="Times New Roman" w:eastAsia="仿宋"/>
                <w:szCs w:val="21"/>
              </w:rPr>
            </w:pPr>
            <w:r>
              <w:rPr>
                <w:rFonts w:ascii="Times New Roman" w:eastAsia="仿宋"/>
                <w:szCs w:val="21"/>
              </w:rPr>
              <w:t>45</w:t>
            </w:r>
            <w:r>
              <w:rPr>
                <w:rFonts w:hint="eastAsia" w:ascii="Times New Roman" w:eastAsia="仿宋"/>
                <w:szCs w:val="21"/>
              </w:rPr>
              <w:t>.</w:t>
            </w:r>
            <w:r>
              <w:rPr>
                <w:rFonts w:ascii="Times New Roman" w:eastAsia="仿宋"/>
                <w:szCs w:val="21"/>
              </w:rPr>
              <w:t>11</w:t>
            </w:r>
          </w:p>
        </w:tc>
        <w:tc>
          <w:tcPr>
            <w:tcW w:w="574" w:type="pct"/>
            <w:vAlign w:val="bottom"/>
          </w:tcPr>
          <w:p w14:paraId="19525888">
            <w:pPr>
              <w:jc w:val="center"/>
              <w:rPr>
                <w:rFonts w:ascii="Times New Roman" w:eastAsia="仿宋"/>
                <w:szCs w:val="21"/>
              </w:rPr>
            </w:pPr>
            <w:r>
              <w:rPr>
                <w:rFonts w:hint="eastAsia" w:ascii="Times New Roman" w:eastAsia="仿宋"/>
                <w:szCs w:val="21"/>
              </w:rPr>
              <w:t>3.75</w:t>
            </w:r>
          </w:p>
        </w:tc>
        <w:tc>
          <w:tcPr>
            <w:tcW w:w="568" w:type="pct"/>
            <w:shd w:val="clear" w:color="auto" w:fill="auto"/>
          </w:tcPr>
          <w:p w14:paraId="56D05912">
            <w:pPr>
              <w:jc w:val="center"/>
              <w:rPr>
                <w:rFonts w:ascii="Times New Roman" w:eastAsia="仿宋"/>
                <w:szCs w:val="21"/>
              </w:rPr>
            </w:pPr>
            <w:r>
              <w:rPr>
                <w:rFonts w:ascii="Times New Roman" w:eastAsia="仿宋"/>
                <w:szCs w:val="21"/>
              </w:rPr>
              <w:t>11</w:t>
            </w:r>
            <w:r>
              <w:rPr>
                <w:rFonts w:hint="eastAsia" w:ascii="Times New Roman" w:eastAsia="仿宋"/>
                <w:szCs w:val="21"/>
              </w:rPr>
              <w:t>.</w:t>
            </w:r>
            <w:r>
              <w:rPr>
                <w:rFonts w:ascii="Times New Roman" w:eastAsia="仿宋"/>
                <w:szCs w:val="21"/>
              </w:rPr>
              <w:t>91</w:t>
            </w:r>
          </w:p>
        </w:tc>
        <w:tc>
          <w:tcPr>
            <w:tcW w:w="580" w:type="pct"/>
            <w:shd w:val="clear" w:color="auto" w:fill="auto"/>
            <w:vAlign w:val="center"/>
          </w:tcPr>
          <w:p w14:paraId="7DB683B6">
            <w:pPr>
              <w:jc w:val="center"/>
              <w:rPr>
                <w:rFonts w:ascii="Times New Roman" w:eastAsia="仿宋"/>
                <w:szCs w:val="21"/>
              </w:rPr>
            </w:pPr>
            <w:r>
              <w:rPr>
                <w:rFonts w:hint="eastAsia" w:ascii="Times New Roman" w:eastAsia="仿宋"/>
                <w:szCs w:val="21"/>
              </w:rPr>
              <w:t>2.65</w:t>
            </w:r>
          </w:p>
        </w:tc>
        <w:tc>
          <w:tcPr>
            <w:tcW w:w="570" w:type="pct"/>
            <w:shd w:val="clear" w:color="auto" w:fill="auto"/>
          </w:tcPr>
          <w:p w14:paraId="5AAB08A5">
            <w:pPr>
              <w:jc w:val="center"/>
              <w:rPr>
                <w:rFonts w:ascii="Times New Roman" w:eastAsia="仿宋"/>
                <w:szCs w:val="21"/>
              </w:rPr>
            </w:pPr>
            <w:r>
              <w:rPr>
                <w:rFonts w:ascii="Times New Roman" w:eastAsia="仿宋"/>
                <w:szCs w:val="21"/>
              </w:rPr>
              <w:t>9.49</w:t>
            </w:r>
          </w:p>
        </w:tc>
        <w:tc>
          <w:tcPr>
            <w:tcW w:w="583" w:type="pct"/>
            <w:vAlign w:val="center"/>
          </w:tcPr>
          <w:p w14:paraId="60F6DAE9">
            <w:pPr>
              <w:jc w:val="center"/>
              <w:rPr>
                <w:rFonts w:ascii="Times New Roman" w:eastAsia="仿宋"/>
                <w:szCs w:val="21"/>
              </w:rPr>
            </w:pPr>
            <w:r>
              <w:rPr>
                <w:rFonts w:hint="eastAsia" w:ascii="Times New Roman" w:eastAsia="仿宋"/>
                <w:szCs w:val="21"/>
              </w:rPr>
              <w:t>4.74</w:t>
            </w:r>
          </w:p>
        </w:tc>
      </w:tr>
      <w:tr w14:paraId="3F0D04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6B4BB559">
            <w:pPr>
              <w:jc w:val="center"/>
              <w:rPr>
                <w:rFonts w:ascii="Times New Roman" w:eastAsia="仿宋"/>
                <w:szCs w:val="21"/>
              </w:rPr>
            </w:pPr>
            <w:r>
              <w:rPr>
                <w:rFonts w:ascii="Times New Roman" w:eastAsia="仿宋"/>
                <w:szCs w:val="21"/>
              </w:rPr>
              <w:t>200</w:t>
            </w:r>
          </w:p>
        </w:tc>
        <w:tc>
          <w:tcPr>
            <w:tcW w:w="552" w:type="pct"/>
          </w:tcPr>
          <w:p w14:paraId="2AF75B7F">
            <w:pPr>
              <w:jc w:val="center"/>
              <w:rPr>
                <w:rFonts w:ascii="Times New Roman" w:eastAsia="仿宋"/>
                <w:szCs w:val="21"/>
              </w:rPr>
            </w:pPr>
            <w:r>
              <w:rPr>
                <w:rFonts w:ascii="Times New Roman" w:eastAsia="仿宋"/>
                <w:szCs w:val="21"/>
              </w:rPr>
              <w:t>29</w:t>
            </w:r>
            <w:r>
              <w:rPr>
                <w:rFonts w:hint="eastAsia" w:ascii="Times New Roman" w:eastAsia="仿宋"/>
                <w:szCs w:val="21"/>
              </w:rPr>
              <w:t>.</w:t>
            </w:r>
            <w:r>
              <w:rPr>
                <w:rFonts w:ascii="Times New Roman" w:eastAsia="仿宋"/>
                <w:szCs w:val="21"/>
              </w:rPr>
              <w:t>1</w:t>
            </w:r>
          </w:p>
        </w:tc>
        <w:tc>
          <w:tcPr>
            <w:tcW w:w="581" w:type="pct"/>
            <w:vAlign w:val="center"/>
          </w:tcPr>
          <w:p w14:paraId="5ECC15A3">
            <w:pPr>
              <w:jc w:val="center"/>
              <w:rPr>
                <w:rFonts w:ascii="Times New Roman" w:eastAsia="仿宋"/>
                <w:szCs w:val="21"/>
              </w:rPr>
            </w:pPr>
            <w:r>
              <w:rPr>
                <w:rFonts w:hint="eastAsia" w:ascii="Times New Roman" w:eastAsia="仿宋"/>
                <w:szCs w:val="21"/>
              </w:rPr>
              <w:t>1.45</w:t>
            </w:r>
          </w:p>
        </w:tc>
        <w:tc>
          <w:tcPr>
            <w:tcW w:w="574" w:type="pct"/>
          </w:tcPr>
          <w:p w14:paraId="0254AD7E">
            <w:pPr>
              <w:jc w:val="center"/>
              <w:rPr>
                <w:rFonts w:ascii="Times New Roman" w:eastAsia="仿宋"/>
                <w:szCs w:val="21"/>
              </w:rPr>
            </w:pPr>
            <w:r>
              <w:rPr>
                <w:rFonts w:ascii="Times New Roman" w:eastAsia="仿宋"/>
                <w:szCs w:val="21"/>
              </w:rPr>
              <w:t>29</w:t>
            </w:r>
            <w:r>
              <w:rPr>
                <w:rFonts w:hint="eastAsia" w:ascii="Times New Roman" w:eastAsia="仿宋"/>
                <w:szCs w:val="21"/>
              </w:rPr>
              <w:t>.</w:t>
            </w:r>
            <w:r>
              <w:rPr>
                <w:rFonts w:ascii="Times New Roman" w:eastAsia="仿宋"/>
                <w:szCs w:val="21"/>
              </w:rPr>
              <w:t>1</w:t>
            </w:r>
          </w:p>
        </w:tc>
        <w:tc>
          <w:tcPr>
            <w:tcW w:w="574" w:type="pct"/>
            <w:vAlign w:val="bottom"/>
          </w:tcPr>
          <w:p w14:paraId="2C41877A">
            <w:pPr>
              <w:jc w:val="center"/>
              <w:rPr>
                <w:rFonts w:ascii="Times New Roman" w:eastAsia="仿宋"/>
                <w:szCs w:val="21"/>
              </w:rPr>
            </w:pPr>
            <w:r>
              <w:rPr>
                <w:rFonts w:hint="eastAsia" w:ascii="Times New Roman" w:eastAsia="仿宋"/>
                <w:szCs w:val="21"/>
              </w:rPr>
              <w:t>2.42</w:t>
            </w:r>
          </w:p>
        </w:tc>
        <w:tc>
          <w:tcPr>
            <w:tcW w:w="568" w:type="pct"/>
            <w:shd w:val="clear" w:color="auto" w:fill="auto"/>
          </w:tcPr>
          <w:p w14:paraId="15C8738F">
            <w:pPr>
              <w:jc w:val="center"/>
              <w:rPr>
                <w:rFonts w:ascii="Times New Roman" w:eastAsia="仿宋"/>
                <w:szCs w:val="21"/>
              </w:rPr>
            </w:pPr>
            <w:r>
              <w:rPr>
                <w:rFonts w:ascii="Times New Roman" w:eastAsia="仿宋"/>
                <w:szCs w:val="21"/>
              </w:rPr>
              <w:t>7.67</w:t>
            </w:r>
          </w:p>
        </w:tc>
        <w:tc>
          <w:tcPr>
            <w:tcW w:w="580" w:type="pct"/>
            <w:shd w:val="clear" w:color="auto" w:fill="auto"/>
            <w:vAlign w:val="center"/>
          </w:tcPr>
          <w:p w14:paraId="33AF120A">
            <w:pPr>
              <w:jc w:val="center"/>
              <w:rPr>
                <w:rFonts w:ascii="Times New Roman" w:eastAsia="仿宋"/>
                <w:szCs w:val="21"/>
              </w:rPr>
            </w:pPr>
            <w:r>
              <w:rPr>
                <w:rFonts w:hint="eastAsia" w:ascii="Times New Roman" w:eastAsia="仿宋"/>
                <w:szCs w:val="21"/>
              </w:rPr>
              <w:t>1.71</w:t>
            </w:r>
          </w:p>
        </w:tc>
        <w:tc>
          <w:tcPr>
            <w:tcW w:w="570" w:type="pct"/>
            <w:shd w:val="clear" w:color="auto" w:fill="auto"/>
          </w:tcPr>
          <w:p w14:paraId="77C311AB">
            <w:pPr>
              <w:jc w:val="center"/>
              <w:rPr>
                <w:rFonts w:ascii="Times New Roman" w:eastAsia="仿宋"/>
                <w:szCs w:val="21"/>
              </w:rPr>
            </w:pPr>
            <w:r>
              <w:rPr>
                <w:rFonts w:ascii="Times New Roman" w:eastAsia="仿宋"/>
                <w:szCs w:val="21"/>
              </w:rPr>
              <w:t>6.13</w:t>
            </w:r>
          </w:p>
        </w:tc>
        <w:tc>
          <w:tcPr>
            <w:tcW w:w="583" w:type="pct"/>
            <w:vAlign w:val="center"/>
          </w:tcPr>
          <w:p w14:paraId="054542E0">
            <w:pPr>
              <w:jc w:val="center"/>
              <w:rPr>
                <w:rFonts w:ascii="Times New Roman" w:eastAsia="仿宋"/>
                <w:szCs w:val="21"/>
              </w:rPr>
            </w:pPr>
            <w:r>
              <w:rPr>
                <w:rFonts w:hint="eastAsia" w:ascii="Times New Roman" w:eastAsia="仿宋"/>
                <w:szCs w:val="21"/>
              </w:rPr>
              <w:t>3.06</w:t>
            </w:r>
          </w:p>
        </w:tc>
      </w:tr>
      <w:tr w14:paraId="6790E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1AEDBA98">
            <w:pPr>
              <w:jc w:val="center"/>
              <w:rPr>
                <w:rFonts w:ascii="Times New Roman" w:eastAsia="仿宋"/>
                <w:szCs w:val="21"/>
              </w:rPr>
            </w:pPr>
            <w:r>
              <w:rPr>
                <w:rFonts w:ascii="Times New Roman" w:eastAsia="仿宋"/>
                <w:szCs w:val="21"/>
              </w:rPr>
              <w:t>300</w:t>
            </w:r>
          </w:p>
        </w:tc>
        <w:tc>
          <w:tcPr>
            <w:tcW w:w="552" w:type="pct"/>
          </w:tcPr>
          <w:p w14:paraId="1F6421E5">
            <w:pPr>
              <w:jc w:val="center"/>
              <w:rPr>
                <w:rFonts w:ascii="Times New Roman" w:eastAsia="仿宋"/>
                <w:szCs w:val="21"/>
              </w:rPr>
            </w:pPr>
            <w:r>
              <w:rPr>
                <w:rFonts w:ascii="Times New Roman" w:eastAsia="仿宋"/>
                <w:szCs w:val="21"/>
              </w:rPr>
              <w:t>20</w:t>
            </w:r>
            <w:r>
              <w:rPr>
                <w:rFonts w:hint="eastAsia" w:ascii="Times New Roman" w:eastAsia="仿宋"/>
                <w:szCs w:val="21"/>
              </w:rPr>
              <w:t>.</w:t>
            </w:r>
            <w:r>
              <w:rPr>
                <w:rFonts w:ascii="Times New Roman" w:eastAsia="仿宋"/>
                <w:szCs w:val="21"/>
              </w:rPr>
              <w:t>0</w:t>
            </w:r>
          </w:p>
        </w:tc>
        <w:tc>
          <w:tcPr>
            <w:tcW w:w="581" w:type="pct"/>
            <w:vAlign w:val="center"/>
          </w:tcPr>
          <w:p w14:paraId="05555F5A">
            <w:pPr>
              <w:jc w:val="center"/>
              <w:rPr>
                <w:rFonts w:ascii="Times New Roman" w:eastAsia="仿宋"/>
                <w:szCs w:val="21"/>
              </w:rPr>
            </w:pPr>
            <w:r>
              <w:rPr>
                <w:rFonts w:hint="eastAsia" w:ascii="Times New Roman" w:eastAsia="仿宋"/>
                <w:szCs w:val="21"/>
              </w:rPr>
              <w:t>1.00</w:t>
            </w:r>
          </w:p>
        </w:tc>
        <w:tc>
          <w:tcPr>
            <w:tcW w:w="574" w:type="pct"/>
          </w:tcPr>
          <w:p w14:paraId="3C8D3FCA">
            <w:pPr>
              <w:jc w:val="center"/>
              <w:rPr>
                <w:rFonts w:ascii="Times New Roman" w:eastAsia="仿宋"/>
                <w:szCs w:val="21"/>
              </w:rPr>
            </w:pPr>
            <w:r>
              <w:rPr>
                <w:rFonts w:ascii="Times New Roman" w:eastAsia="仿宋"/>
                <w:szCs w:val="21"/>
              </w:rPr>
              <w:t>20</w:t>
            </w:r>
            <w:r>
              <w:rPr>
                <w:rFonts w:hint="eastAsia" w:ascii="Times New Roman" w:eastAsia="仿宋"/>
                <w:szCs w:val="21"/>
              </w:rPr>
              <w:t>.</w:t>
            </w:r>
            <w:r>
              <w:rPr>
                <w:rFonts w:ascii="Times New Roman" w:eastAsia="仿宋"/>
                <w:szCs w:val="21"/>
              </w:rPr>
              <w:t>0</w:t>
            </w:r>
          </w:p>
        </w:tc>
        <w:tc>
          <w:tcPr>
            <w:tcW w:w="574" w:type="pct"/>
            <w:vAlign w:val="bottom"/>
          </w:tcPr>
          <w:p w14:paraId="40DCB7AB">
            <w:pPr>
              <w:jc w:val="center"/>
              <w:rPr>
                <w:rFonts w:ascii="Times New Roman" w:eastAsia="仿宋"/>
                <w:szCs w:val="21"/>
              </w:rPr>
            </w:pPr>
            <w:r>
              <w:rPr>
                <w:rFonts w:hint="eastAsia" w:ascii="Times New Roman" w:eastAsia="仿宋"/>
                <w:szCs w:val="21"/>
              </w:rPr>
              <w:t>1.66</w:t>
            </w:r>
          </w:p>
        </w:tc>
        <w:tc>
          <w:tcPr>
            <w:tcW w:w="568" w:type="pct"/>
            <w:shd w:val="clear" w:color="auto" w:fill="auto"/>
          </w:tcPr>
          <w:p w14:paraId="073F0363">
            <w:pPr>
              <w:jc w:val="center"/>
              <w:rPr>
                <w:rFonts w:ascii="Times New Roman" w:eastAsia="仿宋"/>
                <w:szCs w:val="21"/>
              </w:rPr>
            </w:pPr>
            <w:r>
              <w:rPr>
                <w:rFonts w:ascii="Times New Roman" w:eastAsia="仿宋"/>
                <w:szCs w:val="21"/>
              </w:rPr>
              <w:t>5.27</w:t>
            </w:r>
          </w:p>
        </w:tc>
        <w:tc>
          <w:tcPr>
            <w:tcW w:w="580" w:type="pct"/>
            <w:shd w:val="clear" w:color="auto" w:fill="auto"/>
            <w:vAlign w:val="center"/>
          </w:tcPr>
          <w:p w14:paraId="0146B157">
            <w:pPr>
              <w:jc w:val="center"/>
              <w:rPr>
                <w:rFonts w:ascii="Times New Roman" w:eastAsia="仿宋"/>
                <w:szCs w:val="21"/>
              </w:rPr>
            </w:pPr>
            <w:r>
              <w:rPr>
                <w:rFonts w:hint="eastAsia" w:ascii="Times New Roman" w:eastAsia="仿宋"/>
                <w:szCs w:val="21"/>
              </w:rPr>
              <w:t>1.17</w:t>
            </w:r>
          </w:p>
        </w:tc>
        <w:tc>
          <w:tcPr>
            <w:tcW w:w="570" w:type="pct"/>
            <w:shd w:val="clear" w:color="auto" w:fill="auto"/>
          </w:tcPr>
          <w:p w14:paraId="37740D26">
            <w:pPr>
              <w:jc w:val="center"/>
              <w:rPr>
                <w:rFonts w:ascii="Times New Roman" w:eastAsia="仿宋"/>
                <w:szCs w:val="21"/>
              </w:rPr>
            </w:pPr>
            <w:r>
              <w:rPr>
                <w:rFonts w:ascii="Times New Roman" w:eastAsia="仿宋"/>
                <w:szCs w:val="21"/>
              </w:rPr>
              <w:t>4.21</w:t>
            </w:r>
          </w:p>
        </w:tc>
        <w:tc>
          <w:tcPr>
            <w:tcW w:w="583" w:type="pct"/>
            <w:vAlign w:val="center"/>
          </w:tcPr>
          <w:p w14:paraId="3A8E8992">
            <w:pPr>
              <w:jc w:val="center"/>
              <w:rPr>
                <w:rFonts w:ascii="Times New Roman" w:eastAsia="仿宋"/>
                <w:szCs w:val="21"/>
              </w:rPr>
            </w:pPr>
            <w:r>
              <w:rPr>
                <w:rFonts w:hint="eastAsia" w:ascii="Times New Roman" w:eastAsia="仿宋"/>
                <w:szCs w:val="21"/>
              </w:rPr>
              <w:t>2.11</w:t>
            </w:r>
          </w:p>
        </w:tc>
      </w:tr>
      <w:tr w14:paraId="19E8C0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0C72800A">
            <w:pPr>
              <w:jc w:val="center"/>
              <w:rPr>
                <w:rFonts w:ascii="Times New Roman" w:eastAsia="仿宋"/>
                <w:szCs w:val="21"/>
              </w:rPr>
            </w:pPr>
            <w:r>
              <w:rPr>
                <w:rFonts w:ascii="Times New Roman" w:eastAsia="仿宋"/>
                <w:szCs w:val="21"/>
              </w:rPr>
              <w:t>400</w:t>
            </w:r>
          </w:p>
        </w:tc>
        <w:tc>
          <w:tcPr>
            <w:tcW w:w="552" w:type="pct"/>
          </w:tcPr>
          <w:p w14:paraId="2E362473">
            <w:pPr>
              <w:jc w:val="center"/>
              <w:rPr>
                <w:rFonts w:ascii="Times New Roman" w:eastAsia="仿宋"/>
                <w:szCs w:val="21"/>
              </w:rPr>
            </w:pPr>
            <w:r>
              <w:rPr>
                <w:rFonts w:ascii="Times New Roman" w:eastAsia="仿宋"/>
                <w:szCs w:val="21"/>
              </w:rPr>
              <w:t>17</w:t>
            </w:r>
            <w:r>
              <w:rPr>
                <w:rFonts w:hint="eastAsia" w:ascii="Times New Roman" w:eastAsia="仿宋"/>
                <w:szCs w:val="21"/>
              </w:rPr>
              <w:t>.</w:t>
            </w:r>
            <w:r>
              <w:rPr>
                <w:rFonts w:ascii="Times New Roman" w:eastAsia="仿宋"/>
                <w:szCs w:val="21"/>
              </w:rPr>
              <w:t>4</w:t>
            </w:r>
          </w:p>
        </w:tc>
        <w:tc>
          <w:tcPr>
            <w:tcW w:w="581" w:type="pct"/>
            <w:vAlign w:val="center"/>
          </w:tcPr>
          <w:p w14:paraId="40FBCD16">
            <w:pPr>
              <w:jc w:val="center"/>
              <w:rPr>
                <w:rFonts w:ascii="Times New Roman" w:eastAsia="仿宋"/>
                <w:szCs w:val="21"/>
              </w:rPr>
            </w:pPr>
            <w:r>
              <w:rPr>
                <w:rFonts w:hint="eastAsia" w:ascii="Times New Roman" w:eastAsia="仿宋"/>
                <w:szCs w:val="21"/>
              </w:rPr>
              <w:t>0.87</w:t>
            </w:r>
          </w:p>
        </w:tc>
        <w:tc>
          <w:tcPr>
            <w:tcW w:w="574" w:type="pct"/>
          </w:tcPr>
          <w:p w14:paraId="62887236">
            <w:pPr>
              <w:jc w:val="center"/>
              <w:rPr>
                <w:rFonts w:ascii="Times New Roman" w:eastAsia="仿宋"/>
                <w:szCs w:val="21"/>
              </w:rPr>
            </w:pPr>
            <w:r>
              <w:rPr>
                <w:rFonts w:ascii="Times New Roman" w:eastAsia="仿宋"/>
                <w:szCs w:val="21"/>
              </w:rPr>
              <w:t>17</w:t>
            </w:r>
            <w:r>
              <w:rPr>
                <w:rFonts w:hint="eastAsia" w:ascii="Times New Roman" w:eastAsia="仿宋"/>
                <w:szCs w:val="21"/>
              </w:rPr>
              <w:t>.</w:t>
            </w:r>
            <w:r>
              <w:rPr>
                <w:rFonts w:ascii="Times New Roman" w:eastAsia="仿宋"/>
                <w:szCs w:val="21"/>
              </w:rPr>
              <w:t>4</w:t>
            </w:r>
          </w:p>
        </w:tc>
        <w:tc>
          <w:tcPr>
            <w:tcW w:w="574" w:type="pct"/>
            <w:vAlign w:val="bottom"/>
          </w:tcPr>
          <w:p w14:paraId="43882454">
            <w:pPr>
              <w:jc w:val="center"/>
              <w:rPr>
                <w:rFonts w:ascii="Times New Roman" w:eastAsia="仿宋"/>
                <w:szCs w:val="21"/>
              </w:rPr>
            </w:pPr>
            <w:r>
              <w:rPr>
                <w:rFonts w:hint="eastAsia" w:ascii="Times New Roman" w:eastAsia="仿宋"/>
                <w:szCs w:val="21"/>
              </w:rPr>
              <w:t>1.45</w:t>
            </w:r>
          </w:p>
        </w:tc>
        <w:tc>
          <w:tcPr>
            <w:tcW w:w="568" w:type="pct"/>
            <w:shd w:val="clear" w:color="auto" w:fill="auto"/>
          </w:tcPr>
          <w:p w14:paraId="52F7CD25">
            <w:pPr>
              <w:jc w:val="center"/>
              <w:rPr>
                <w:rFonts w:ascii="Times New Roman" w:eastAsia="仿宋"/>
                <w:szCs w:val="21"/>
              </w:rPr>
            </w:pPr>
            <w:r>
              <w:rPr>
                <w:rFonts w:ascii="Times New Roman" w:eastAsia="仿宋"/>
                <w:szCs w:val="21"/>
              </w:rPr>
              <w:t>4.57</w:t>
            </w:r>
          </w:p>
        </w:tc>
        <w:tc>
          <w:tcPr>
            <w:tcW w:w="580" w:type="pct"/>
            <w:shd w:val="clear" w:color="auto" w:fill="auto"/>
            <w:vAlign w:val="center"/>
          </w:tcPr>
          <w:p w14:paraId="16E8B7D5">
            <w:pPr>
              <w:jc w:val="center"/>
              <w:rPr>
                <w:rFonts w:ascii="Times New Roman" w:eastAsia="仿宋"/>
                <w:szCs w:val="21"/>
              </w:rPr>
            </w:pPr>
            <w:r>
              <w:rPr>
                <w:rFonts w:hint="eastAsia" w:ascii="Times New Roman" w:eastAsia="仿宋"/>
                <w:szCs w:val="21"/>
              </w:rPr>
              <w:t>1.01</w:t>
            </w:r>
          </w:p>
        </w:tc>
        <w:tc>
          <w:tcPr>
            <w:tcW w:w="570" w:type="pct"/>
            <w:shd w:val="clear" w:color="auto" w:fill="auto"/>
          </w:tcPr>
          <w:p w14:paraId="62F0DDB1">
            <w:pPr>
              <w:jc w:val="center"/>
              <w:rPr>
                <w:rFonts w:ascii="Times New Roman" w:eastAsia="仿宋"/>
                <w:szCs w:val="21"/>
              </w:rPr>
            </w:pPr>
            <w:r>
              <w:rPr>
                <w:rFonts w:ascii="Times New Roman" w:eastAsia="仿宋"/>
                <w:szCs w:val="21"/>
              </w:rPr>
              <w:t>3.65</w:t>
            </w:r>
          </w:p>
        </w:tc>
        <w:tc>
          <w:tcPr>
            <w:tcW w:w="583" w:type="pct"/>
            <w:vAlign w:val="center"/>
          </w:tcPr>
          <w:p w14:paraId="56FEE356">
            <w:pPr>
              <w:jc w:val="center"/>
              <w:rPr>
                <w:rFonts w:ascii="Times New Roman" w:eastAsia="仿宋"/>
                <w:szCs w:val="21"/>
              </w:rPr>
            </w:pPr>
            <w:r>
              <w:rPr>
                <w:rFonts w:hint="eastAsia" w:ascii="Times New Roman" w:eastAsia="仿宋"/>
                <w:szCs w:val="21"/>
              </w:rPr>
              <w:t>1.83</w:t>
            </w:r>
          </w:p>
        </w:tc>
      </w:tr>
      <w:tr w14:paraId="1DFF43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52A5F208">
            <w:pPr>
              <w:jc w:val="center"/>
              <w:rPr>
                <w:rFonts w:ascii="Times New Roman" w:eastAsia="仿宋"/>
                <w:szCs w:val="21"/>
              </w:rPr>
            </w:pPr>
            <w:r>
              <w:rPr>
                <w:rFonts w:ascii="Times New Roman" w:eastAsia="仿宋"/>
                <w:szCs w:val="21"/>
              </w:rPr>
              <w:t>500</w:t>
            </w:r>
          </w:p>
        </w:tc>
        <w:tc>
          <w:tcPr>
            <w:tcW w:w="552" w:type="pct"/>
          </w:tcPr>
          <w:p w14:paraId="15D5B59D">
            <w:pPr>
              <w:jc w:val="center"/>
              <w:rPr>
                <w:rFonts w:ascii="Times New Roman" w:eastAsia="仿宋"/>
                <w:szCs w:val="21"/>
              </w:rPr>
            </w:pPr>
            <w:r>
              <w:rPr>
                <w:rFonts w:ascii="Times New Roman" w:eastAsia="仿宋"/>
                <w:szCs w:val="21"/>
              </w:rPr>
              <w:t>15</w:t>
            </w:r>
            <w:r>
              <w:rPr>
                <w:rFonts w:hint="eastAsia" w:ascii="Times New Roman" w:eastAsia="仿宋"/>
                <w:szCs w:val="21"/>
              </w:rPr>
              <w:t>.</w:t>
            </w:r>
            <w:r>
              <w:rPr>
                <w:rFonts w:ascii="Times New Roman" w:eastAsia="仿宋"/>
                <w:szCs w:val="21"/>
              </w:rPr>
              <w:t>1</w:t>
            </w:r>
          </w:p>
        </w:tc>
        <w:tc>
          <w:tcPr>
            <w:tcW w:w="581" w:type="pct"/>
            <w:vAlign w:val="center"/>
          </w:tcPr>
          <w:p w14:paraId="74D28102">
            <w:pPr>
              <w:jc w:val="center"/>
              <w:rPr>
                <w:rFonts w:ascii="Times New Roman" w:eastAsia="仿宋"/>
                <w:szCs w:val="21"/>
              </w:rPr>
            </w:pPr>
            <w:r>
              <w:rPr>
                <w:rFonts w:hint="eastAsia" w:ascii="Times New Roman" w:eastAsia="仿宋"/>
                <w:szCs w:val="21"/>
              </w:rPr>
              <w:t>0.75</w:t>
            </w:r>
          </w:p>
        </w:tc>
        <w:tc>
          <w:tcPr>
            <w:tcW w:w="574" w:type="pct"/>
          </w:tcPr>
          <w:p w14:paraId="3B2A993F">
            <w:pPr>
              <w:jc w:val="center"/>
              <w:rPr>
                <w:rFonts w:ascii="Times New Roman" w:eastAsia="仿宋"/>
                <w:szCs w:val="21"/>
              </w:rPr>
            </w:pPr>
            <w:r>
              <w:rPr>
                <w:rFonts w:ascii="Times New Roman" w:eastAsia="仿宋"/>
                <w:szCs w:val="21"/>
              </w:rPr>
              <w:t>15</w:t>
            </w:r>
            <w:r>
              <w:rPr>
                <w:rFonts w:hint="eastAsia" w:ascii="Times New Roman" w:eastAsia="仿宋"/>
                <w:szCs w:val="21"/>
              </w:rPr>
              <w:t>.</w:t>
            </w:r>
            <w:r>
              <w:rPr>
                <w:rFonts w:ascii="Times New Roman" w:eastAsia="仿宋"/>
                <w:szCs w:val="21"/>
              </w:rPr>
              <w:t>1</w:t>
            </w:r>
          </w:p>
        </w:tc>
        <w:tc>
          <w:tcPr>
            <w:tcW w:w="574" w:type="pct"/>
            <w:vAlign w:val="bottom"/>
          </w:tcPr>
          <w:p w14:paraId="18150C93">
            <w:pPr>
              <w:jc w:val="center"/>
              <w:rPr>
                <w:rFonts w:ascii="Times New Roman" w:eastAsia="仿宋"/>
                <w:szCs w:val="21"/>
              </w:rPr>
            </w:pPr>
            <w:r>
              <w:rPr>
                <w:rFonts w:hint="eastAsia" w:ascii="Times New Roman" w:eastAsia="仿宋"/>
                <w:szCs w:val="21"/>
              </w:rPr>
              <w:t>1.25</w:t>
            </w:r>
          </w:p>
        </w:tc>
        <w:tc>
          <w:tcPr>
            <w:tcW w:w="568" w:type="pct"/>
            <w:shd w:val="clear" w:color="auto" w:fill="auto"/>
          </w:tcPr>
          <w:p w14:paraId="05A5E81D">
            <w:pPr>
              <w:jc w:val="center"/>
              <w:rPr>
                <w:rFonts w:ascii="Times New Roman" w:eastAsia="仿宋"/>
                <w:szCs w:val="21"/>
              </w:rPr>
            </w:pPr>
            <w:r>
              <w:rPr>
                <w:rFonts w:ascii="Times New Roman" w:eastAsia="仿宋"/>
                <w:szCs w:val="21"/>
              </w:rPr>
              <w:t>3.96</w:t>
            </w:r>
          </w:p>
        </w:tc>
        <w:tc>
          <w:tcPr>
            <w:tcW w:w="580" w:type="pct"/>
            <w:shd w:val="clear" w:color="auto" w:fill="auto"/>
            <w:vAlign w:val="center"/>
          </w:tcPr>
          <w:p w14:paraId="6FD55DBA">
            <w:pPr>
              <w:jc w:val="center"/>
              <w:rPr>
                <w:rFonts w:ascii="Times New Roman" w:eastAsia="仿宋"/>
                <w:szCs w:val="21"/>
              </w:rPr>
            </w:pPr>
            <w:r>
              <w:rPr>
                <w:rFonts w:hint="eastAsia" w:ascii="Times New Roman" w:eastAsia="仿宋"/>
                <w:szCs w:val="21"/>
              </w:rPr>
              <w:t>0.88</w:t>
            </w:r>
          </w:p>
        </w:tc>
        <w:tc>
          <w:tcPr>
            <w:tcW w:w="570" w:type="pct"/>
            <w:shd w:val="clear" w:color="auto" w:fill="auto"/>
          </w:tcPr>
          <w:p w14:paraId="59A65689">
            <w:pPr>
              <w:jc w:val="center"/>
              <w:rPr>
                <w:rFonts w:ascii="Times New Roman" w:eastAsia="仿宋"/>
                <w:szCs w:val="21"/>
              </w:rPr>
            </w:pPr>
            <w:r>
              <w:rPr>
                <w:rFonts w:ascii="Times New Roman" w:eastAsia="仿宋"/>
                <w:szCs w:val="21"/>
              </w:rPr>
              <w:t>3.17</w:t>
            </w:r>
          </w:p>
        </w:tc>
        <w:tc>
          <w:tcPr>
            <w:tcW w:w="583" w:type="pct"/>
            <w:vAlign w:val="center"/>
          </w:tcPr>
          <w:p w14:paraId="5F22FAC7">
            <w:pPr>
              <w:jc w:val="center"/>
              <w:rPr>
                <w:rFonts w:ascii="Times New Roman" w:eastAsia="仿宋"/>
                <w:szCs w:val="21"/>
              </w:rPr>
            </w:pPr>
            <w:r>
              <w:rPr>
                <w:rFonts w:hint="eastAsia" w:ascii="Times New Roman" w:eastAsia="仿宋"/>
                <w:szCs w:val="21"/>
              </w:rPr>
              <w:t>1.59</w:t>
            </w:r>
          </w:p>
        </w:tc>
      </w:tr>
      <w:tr w14:paraId="5EB64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27EC2B8C">
            <w:pPr>
              <w:jc w:val="center"/>
              <w:rPr>
                <w:rFonts w:ascii="Times New Roman" w:eastAsia="仿宋"/>
                <w:szCs w:val="21"/>
              </w:rPr>
            </w:pPr>
            <w:r>
              <w:rPr>
                <w:rFonts w:ascii="Times New Roman" w:eastAsia="仿宋"/>
                <w:szCs w:val="21"/>
              </w:rPr>
              <w:t>600</w:t>
            </w:r>
          </w:p>
        </w:tc>
        <w:tc>
          <w:tcPr>
            <w:tcW w:w="552" w:type="pct"/>
          </w:tcPr>
          <w:p w14:paraId="7E654ACF">
            <w:pPr>
              <w:jc w:val="center"/>
              <w:rPr>
                <w:rFonts w:ascii="Times New Roman" w:eastAsia="仿宋"/>
                <w:szCs w:val="21"/>
              </w:rPr>
            </w:pPr>
            <w:r>
              <w:rPr>
                <w:rFonts w:ascii="Times New Roman" w:eastAsia="仿宋"/>
                <w:szCs w:val="21"/>
              </w:rPr>
              <w:t>13</w:t>
            </w:r>
            <w:r>
              <w:rPr>
                <w:rFonts w:hint="eastAsia" w:ascii="Times New Roman" w:eastAsia="仿宋"/>
                <w:szCs w:val="21"/>
              </w:rPr>
              <w:t>.</w:t>
            </w:r>
            <w:r>
              <w:rPr>
                <w:rFonts w:ascii="Times New Roman" w:eastAsia="仿宋"/>
                <w:szCs w:val="21"/>
              </w:rPr>
              <w:t>0</w:t>
            </w:r>
          </w:p>
        </w:tc>
        <w:tc>
          <w:tcPr>
            <w:tcW w:w="581" w:type="pct"/>
            <w:vAlign w:val="center"/>
          </w:tcPr>
          <w:p w14:paraId="187E41AA">
            <w:pPr>
              <w:jc w:val="center"/>
              <w:rPr>
                <w:rFonts w:ascii="Times New Roman" w:eastAsia="仿宋"/>
                <w:szCs w:val="21"/>
              </w:rPr>
            </w:pPr>
            <w:r>
              <w:rPr>
                <w:rFonts w:hint="eastAsia" w:ascii="Times New Roman" w:eastAsia="仿宋"/>
                <w:szCs w:val="21"/>
              </w:rPr>
              <w:t>0.65</w:t>
            </w:r>
          </w:p>
        </w:tc>
        <w:tc>
          <w:tcPr>
            <w:tcW w:w="574" w:type="pct"/>
          </w:tcPr>
          <w:p w14:paraId="7D4BE11D">
            <w:pPr>
              <w:jc w:val="center"/>
              <w:rPr>
                <w:rFonts w:ascii="Times New Roman" w:eastAsia="仿宋"/>
                <w:szCs w:val="21"/>
              </w:rPr>
            </w:pPr>
            <w:r>
              <w:rPr>
                <w:rFonts w:ascii="Times New Roman" w:eastAsia="仿宋"/>
                <w:szCs w:val="21"/>
              </w:rPr>
              <w:t>13</w:t>
            </w:r>
            <w:r>
              <w:rPr>
                <w:rFonts w:hint="eastAsia" w:ascii="Times New Roman" w:eastAsia="仿宋"/>
                <w:szCs w:val="21"/>
              </w:rPr>
              <w:t>.</w:t>
            </w:r>
            <w:r>
              <w:rPr>
                <w:rFonts w:ascii="Times New Roman" w:eastAsia="仿宋"/>
                <w:szCs w:val="21"/>
              </w:rPr>
              <w:t>0</w:t>
            </w:r>
          </w:p>
        </w:tc>
        <w:tc>
          <w:tcPr>
            <w:tcW w:w="574" w:type="pct"/>
            <w:vAlign w:val="bottom"/>
          </w:tcPr>
          <w:p w14:paraId="1913563C">
            <w:pPr>
              <w:jc w:val="center"/>
              <w:rPr>
                <w:rFonts w:ascii="Times New Roman" w:eastAsia="仿宋"/>
                <w:szCs w:val="21"/>
              </w:rPr>
            </w:pPr>
            <w:r>
              <w:rPr>
                <w:rFonts w:hint="eastAsia" w:ascii="Times New Roman" w:eastAsia="仿宋"/>
                <w:szCs w:val="21"/>
              </w:rPr>
              <w:t>1.08</w:t>
            </w:r>
          </w:p>
        </w:tc>
        <w:tc>
          <w:tcPr>
            <w:tcW w:w="568" w:type="pct"/>
            <w:shd w:val="clear" w:color="auto" w:fill="auto"/>
          </w:tcPr>
          <w:p w14:paraId="1787AEA1">
            <w:pPr>
              <w:jc w:val="center"/>
              <w:rPr>
                <w:rFonts w:ascii="Times New Roman" w:eastAsia="仿宋"/>
                <w:szCs w:val="21"/>
              </w:rPr>
            </w:pPr>
            <w:r>
              <w:rPr>
                <w:rFonts w:ascii="Times New Roman" w:eastAsia="仿宋"/>
                <w:szCs w:val="21"/>
              </w:rPr>
              <w:t>3.43</w:t>
            </w:r>
          </w:p>
        </w:tc>
        <w:tc>
          <w:tcPr>
            <w:tcW w:w="580" w:type="pct"/>
            <w:shd w:val="clear" w:color="auto" w:fill="auto"/>
            <w:vAlign w:val="center"/>
          </w:tcPr>
          <w:p w14:paraId="13A733BE">
            <w:pPr>
              <w:jc w:val="center"/>
              <w:rPr>
                <w:rFonts w:ascii="Times New Roman" w:eastAsia="仿宋"/>
                <w:szCs w:val="21"/>
              </w:rPr>
            </w:pPr>
            <w:r>
              <w:rPr>
                <w:rFonts w:hint="eastAsia" w:ascii="Times New Roman" w:eastAsia="仿宋"/>
                <w:szCs w:val="21"/>
              </w:rPr>
              <w:t>0.76</w:t>
            </w:r>
          </w:p>
        </w:tc>
        <w:tc>
          <w:tcPr>
            <w:tcW w:w="570" w:type="pct"/>
            <w:shd w:val="clear" w:color="auto" w:fill="auto"/>
          </w:tcPr>
          <w:p w14:paraId="249DC800">
            <w:pPr>
              <w:jc w:val="center"/>
              <w:rPr>
                <w:rFonts w:ascii="Times New Roman" w:eastAsia="仿宋"/>
                <w:szCs w:val="21"/>
              </w:rPr>
            </w:pPr>
            <w:r>
              <w:rPr>
                <w:rFonts w:ascii="Times New Roman" w:eastAsia="仿宋"/>
                <w:szCs w:val="21"/>
              </w:rPr>
              <w:t>2.74</w:t>
            </w:r>
          </w:p>
        </w:tc>
        <w:tc>
          <w:tcPr>
            <w:tcW w:w="583" w:type="pct"/>
            <w:vAlign w:val="center"/>
          </w:tcPr>
          <w:p w14:paraId="5B0FC4C5">
            <w:pPr>
              <w:jc w:val="center"/>
              <w:rPr>
                <w:rFonts w:ascii="Times New Roman" w:eastAsia="仿宋"/>
                <w:szCs w:val="21"/>
              </w:rPr>
            </w:pPr>
            <w:r>
              <w:rPr>
                <w:rFonts w:hint="eastAsia" w:ascii="Times New Roman" w:eastAsia="仿宋"/>
                <w:szCs w:val="21"/>
              </w:rPr>
              <w:t>1.37</w:t>
            </w:r>
          </w:p>
        </w:tc>
      </w:tr>
      <w:tr w14:paraId="278549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1D9185B0">
            <w:pPr>
              <w:jc w:val="center"/>
              <w:rPr>
                <w:rFonts w:ascii="Times New Roman" w:eastAsia="仿宋"/>
                <w:szCs w:val="21"/>
              </w:rPr>
            </w:pPr>
            <w:r>
              <w:rPr>
                <w:rFonts w:ascii="Times New Roman" w:eastAsia="仿宋"/>
                <w:szCs w:val="21"/>
              </w:rPr>
              <w:t>700</w:t>
            </w:r>
          </w:p>
        </w:tc>
        <w:tc>
          <w:tcPr>
            <w:tcW w:w="552" w:type="pct"/>
          </w:tcPr>
          <w:p w14:paraId="48474BA6">
            <w:pPr>
              <w:jc w:val="center"/>
              <w:rPr>
                <w:rFonts w:ascii="Times New Roman" w:eastAsia="仿宋"/>
                <w:szCs w:val="21"/>
              </w:rPr>
            </w:pPr>
            <w:r>
              <w:rPr>
                <w:rFonts w:ascii="Times New Roman" w:eastAsia="仿宋"/>
                <w:szCs w:val="21"/>
              </w:rPr>
              <w:t>11</w:t>
            </w:r>
            <w:r>
              <w:rPr>
                <w:rFonts w:hint="eastAsia" w:ascii="Times New Roman" w:eastAsia="仿宋"/>
                <w:szCs w:val="21"/>
              </w:rPr>
              <w:t>.</w:t>
            </w:r>
            <w:r>
              <w:rPr>
                <w:rFonts w:ascii="Times New Roman" w:eastAsia="仿宋"/>
                <w:szCs w:val="21"/>
              </w:rPr>
              <w:t>3</w:t>
            </w:r>
          </w:p>
        </w:tc>
        <w:tc>
          <w:tcPr>
            <w:tcW w:w="581" w:type="pct"/>
            <w:vAlign w:val="center"/>
          </w:tcPr>
          <w:p w14:paraId="19E070BB">
            <w:pPr>
              <w:jc w:val="center"/>
              <w:rPr>
                <w:rFonts w:ascii="Times New Roman" w:eastAsia="仿宋"/>
                <w:szCs w:val="21"/>
              </w:rPr>
            </w:pPr>
            <w:r>
              <w:rPr>
                <w:rFonts w:hint="eastAsia" w:ascii="Times New Roman" w:eastAsia="仿宋"/>
                <w:szCs w:val="21"/>
              </w:rPr>
              <w:t>0.565</w:t>
            </w:r>
          </w:p>
        </w:tc>
        <w:tc>
          <w:tcPr>
            <w:tcW w:w="574" w:type="pct"/>
          </w:tcPr>
          <w:p w14:paraId="590E1637">
            <w:pPr>
              <w:jc w:val="center"/>
              <w:rPr>
                <w:rFonts w:ascii="Times New Roman" w:eastAsia="仿宋"/>
                <w:szCs w:val="21"/>
              </w:rPr>
            </w:pPr>
            <w:r>
              <w:rPr>
                <w:rFonts w:ascii="Times New Roman" w:eastAsia="仿宋"/>
                <w:szCs w:val="21"/>
              </w:rPr>
              <w:t>11</w:t>
            </w:r>
            <w:r>
              <w:rPr>
                <w:rFonts w:hint="eastAsia" w:ascii="Times New Roman" w:eastAsia="仿宋"/>
                <w:szCs w:val="21"/>
              </w:rPr>
              <w:t>.</w:t>
            </w:r>
            <w:r>
              <w:rPr>
                <w:rFonts w:ascii="Times New Roman" w:eastAsia="仿宋"/>
                <w:szCs w:val="21"/>
              </w:rPr>
              <w:t>3</w:t>
            </w:r>
          </w:p>
        </w:tc>
        <w:tc>
          <w:tcPr>
            <w:tcW w:w="574" w:type="pct"/>
            <w:vAlign w:val="bottom"/>
          </w:tcPr>
          <w:p w14:paraId="203BBF0E">
            <w:pPr>
              <w:jc w:val="center"/>
              <w:rPr>
                <w:rFonts w:ascii="Times New Roman" w:eastAsia="仿宋"/>
                <w:szCs w:val="21"/>
              </w:rPr>
            </w:pPr>
            <w:r>
              <w:rPr>
                <w:rFonts w:hint="eastAsia" w:ascii="Times New Roman" w:eastAsia="仿宋"/>
                <w:szCs w:val="21"/>
              </w:rPr>
              <w:t>0.94</w:t>
            </w:r>
          </w:p>
        </w:tc>
        <w:tc>
          <w:tcPr>
            <w:tcW w:w="568" w:type="pct"/>
            <w:shd w:val="clear" w:color="auto" w:fill="auto"/>
          </w:tcPr>
          <w:p w14:paraId="478807C1">
            <w:pPr>
              <w:jc w:val="center"/>
              <w:rPr>
                <w:rFonts w:ascii="Times New Roman" w:eastAsia="仿宋"/>
                <w:szCs w:val="21"/>
              </w:rPr>
            </w:pPr>
            <w:r>
              <w:rPr>
                <w:rFonts w:ascii="Times New Roman" w:eastAsia="仿宋"/>
                <w:szCs w:val="21"/>
              </w:rPr>
              <w:t>2.99</w:t>
            </w:r>
          </w:p>
        </w:tc>
        <w:tc>
          <w:tcPr>
            <w:tcW w:w="580" w:type="pct"/>
            <w:shd w:val="clear" w:color="auto" w:fill="auto"/>
            <w:vAlign w:val="center"/>
          </w:tcPr>
          <w:p w14:paraId="67400164">
            <w:pPr>
              <w:jc w:val="center"/>
              <w:rPr>
                <w:rFonts w:ascii="Times New Roman" w:eastAsia="仿宋"/>
                <w:szCs w:val="21"/>
              </w:rPr>
            </w:pPr>
            <w:r>
              <w:rPr>
                <w:rFonts w:hint="eastAsia" w:ascii="Times New Roman" w:eastAsia="仿宋"/>
                <w:szCs w:val="21"/>
              </w:rPr>
              <w:t>0.66</w:t>
            </w:r>
          </w:p>
        </w:tc>
        <w:tc>
          <w:tcPr>
            <w:tcW w:w="570" w:type="pct"/>
            <w:shd w:val="clear" w:color="auto" w:fill="auto"/>
          </w:tcPr>
          <w:p w14:paraId="0650BE50">
            <w:pPr>
              <w:jc w:val="center"/>
              <w:rPr>
                <w:rFonts w:ascii="Times New Roman" w:eastAsia="仿宋"/>
                <w:szCs w:val="21"/>
              </w:rPr>
            </w:pPr>
            <w:r>
              <w:rPr>
                <w:rFonts w:ascii="Times New Roman" w:eastAsia="仿宋"/>
                <w:szCs w:val="21"/>
              </w:rPr>
              <w:t>2.39</w:t>
            </w:r>
          </w:p>
        </w:tc>
        <w:tc>
          <w:tcPr>
            <w:tcW w:w="583" w:type="pct"/>
            <w:vAlign w:val="center"/>
          </w:tcPr>
          <w:p w14:paraId="7050A40A">
            <w:pPr>
              <w:jc w:val="center"/>
              <w:rPr>
                <w:rFonts w:ascii="Times New Roman" w:eastAsia="仿宋"/>
                <w:szCs w:val="21"/>
              </w:rPr>
            </w:pPr>
            <w:r>
              <w:rPr>
                <w:rFonts w:hint="eastAsia" w:ascii="Times New Roman" w:eastAsia="仿宋"/>
                <w:szCs w:val="21"/>
              </w:rPr>
              <w:t>1.19</w:t>
            </w:r>
          </w:p>
        </w:tc>
      </w:tr>
      <w:tr w14:paraId="77BCC3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1A717309">
            <w:pPr>
              <w:jc w:val="center"/>
              <w:rPr>
                <w:rFonts w:ascii="Times New Roman" w:eastAsia="仿宋"/>
                <w:szCs w:val="21"/>
              </w:rPr>
            </w:pPr>
            <w:r>
              <w:rPr>
                <w:rFonts w:ascii="Times New Roman" w:eastAsia="仿宋"/>
                <w:szCs w:val="21"/>
              </w:rPr>
              <w:t>800</w:t>
            </w:r>
          </w:p>
        </w:tc>
        <w:tc>
          <w:tcPr>
            <w:tcW w:w="552" w:type="pct"/>
          </w:tcPr>
          <w:p w14:paraId="5ACD99F7">
            <w:pPr>
              <w:jc w:val="center"/>
              <w:rPr>
                <w:rFonts w:ascii="Times New Roman" w:eastAsia="仿宋"/>
                <w:szCs w:val="21"/>
              </w:rPr>
            </w:pPr>
            <w:r>
              <w:rPr>
                <w:rFonts w:ascii="Times New Roman" w:eastAsia="仿宋"/>
                <w:szCs w:val="21"/>
              </w:rPr>
              <w:t>9.98</w:t>
            </w:r>
          </w:p>
        </w:tc>
        <w:tc>
          <w:tcPr>
            <w:tcW w:w="581" w:type="pct"/>
            <w:vAlign w:val="center"/>
          </w:tcPr>
          <w:p w14:paraId="18ABC8B1">
            <w:pPr>
              <w:jc w:val="center"/>
              <w:rPr>
                <w:rFonts w:ascii="Times New Roman" w:eastAsia="仿宋"/>
                <w:szCs w:val="21"/>
              </w:rPr>
            </w:pPr>
            <w:r>
              <w:rPr>
                <w:rFonts w:hint="eastAsia" w:ascii="Times New Roman" w:eastAsia="仿宋"/>
                <w:szCs w:val="21"/>
              </w:rPr>
              <w:t>0.49</w:t>
            </w:r>
          </w:p>
        </w:tc>
        <w:tc>
          <w:tcPr>
            <w:tcW w:w="574" w:type="pct"/>
          </w:tcPr>
          <w:p w14:paraId="29A53DAD">
            <w:pPr>
              <w:jc w:val="center"/>
              <w:rPr>
                <w:rFonts w:ascii="Times New Roman" w:eastAsia="仿宋"/>
                <w:szCs w:val="21"/>
              </w:rPr>
            </w:pPr>
            <w:r>
              <w:rPr>
                <w:rFonts w:ascii="Times New Roman" w:eastAsia="仿宋"/>
                <w:szCs w:val="21"/>
              </w:rPr>
              <w:t>9.98</w:t>
            </w:r>
          </w:p>
        </w:tc>
        <w:tc>
          <w:tcPr>
            <w:tcW w:w="574" w:type="pct"/>
            <w:vAlign w:val="bottom"/>
          </w:tcPr>
          <w:p w14:paraId="7B5F43C0">
            <w:pPr>
              <w:jc w:val="center"/>
              <w:rPr>
                <w:rFonts w:ascii="Times New Roman" w:eastAsia="仿宋"/>
                <w:szCs w:val="21"/>
              </w:rPr>
            </w:pPr>
            <w:r>
              <w:rPr>
                <w:rFonts w:hint="eastAsia" w:ascii="Times New Roman" w:eastAsia="仿宋"/>
                <w:szCs w:val="21"/>
              </w:rPr>
              <w:t>0.83</w:t>
            </w:r>
          </w:p>
        </w:tc>
        <w:tc>
          <w:tcPr>
            <w:tcW w:w="568" w:type="pct"/>
            <w:shd w:val="clear" w:color="auto" w:fill="auto"/>
          </w:tcPr>
          <w:p w14:paraId="1A83F21D">
            <w:pPr>
              <w:jc w:val="center"/>
              <w:rPr>
                <w:rFonts w:ascii="Times New Roman" w:eastAsia="仿宋"/>
                <w:szCs w:val="21"/>
              </w:rPr>
            </w:pPr>
            <w:r>
              <w:rPr>
                <w:rFonts w:ascii="Times New Roman" w:eastAsia="仿宋"/>
                <w:szCs w:val="21"/>
              </w:rPr>
              <w:t>2.63</w:t>
            </w:r>
          </w:p>
        </w:tc>
        <w:tc>
          <w:tcPr>
            <w:tcW w:w="580" w:type="pct"/>
            <w:shd w:val="clear" w:color="auto" w:fill="auto"/>
            <w:vAlign w:val="center"/>
          </w:tcPr>
          <w:p w14:paraId="452C492C">
            <w:pPr>
              <w:jc w:val="center"/>
              <w:rPr>
                <w:rFonts w:ascii="Times New Roman" w:eastAsia="仿宋"/>
                <w:szCs w:val="21"/>
              </w:rPr>
            </w:pPr>
            <w:r>
              <w:rPr>
                <w:rFonts w:hint="eastAsia" w:ascii="Times New Roman" w:eastAsia="仿宋"/>
                <w:szCs w:val="21"/>
              </w:rPr>
              <w:t>0.58</w:t>
            </w:r>
          </w:p>
        </w:tc>
        <w:tc>
          <w:tcPr>
            <w:tcW w:w="570" w:type="pct"/>
            <w:shd w:val="clear" w:color="auto" w:fill="auto"/>
          </w:tcPr>
          <w:p w14:paraId="5148DD76">
            <w:pPr>
              <w:jc w:val="center"/>
              <w:rPr>
                <w:rFonts w:ascii="Times New Roman" w:eastAsia="仿宋"/>
                <w:szCs w:val="21"/>
              </w:rPr>
            </w:pPr>
            <w:r>
              <w:rPr>
                <w:rFonts w:ascii="Times New Roman" w:eastAsia="仿宋"/>
                <w:szCs w:val="21"/>
              </w:rPr>
              <w:t>2.10</w:t>
            </w:r>
          </w:p>
        </w:tc>
        <w:tc>
          <w:tcPr>
            <w:tcW w:w="583" w:type="pct"/>
            <w:vAlign w:val="center"/>
          </w:tcPr>
          <w:p w14:paraId="3D85E5EE">
            <w:pPr>
              <w:jc w:val="center"/>
              <w:rPr>
                <w:rFonts w:ascii="Times New Roman" w:eastAsia="仿宋"/>
                <w:szCs w:val="21"/>
              </w:rPr>
            </w:pPr>
            <w:r>
              <w:rPr>
                <w:rFonts w:hint="eastAsia" w:ascii="Times New Roman" w:eastAsia="仿宋"/>
                <w:szCs w:val="21"/>
              </w:rPr>
              <w:t>1.05</w:t>
            </w:r>
          </w:p>
        </w:tc>
      </w:tr>
      <w:tr w14:paraId="4327BF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0B5D0CEC">
            <w:pPr>
              <w:jc w:val="center"/>
              <w:rPr>
                <w:rFonts w:ascii="Times New Roman" w:eastAsia="仿宋"/>
                <w:szCs w:val="21"/>
              </w:rPr>
            </w:pPr>
            <w:r>
              <w:rPr>
                <w:rFonts w:ascii="Times New Roman" w:eastAsia="仿宋"/>
                <w:szCs w:val="21"/>
              </w:rPr>
              <w:t>900</w:t>
            </w:r>
          </w:p>
        </w:tc>
        <w:tc>
          <w:tcPr>
            <w:tcW w:w="552" w:type="pct"/>
          </w:tcPr>
          <w:p w14:paraId="24684001">
            <w:pPr>
              <w:jc w:val="center"/>
              <w:rPr>
                <w:rFonts w:ascii="Times New Roman" w:eastAsia="仿宋"/>
                <w:szCs w:val="21"/>
              </w:rPr>
            </w:pPr>
            <w:r>
              <w:rPr>
                <w:rFonts w:ascii="Times New Roman" w:eastAsia="仿宋"/>
                <w:szCs w:val="21"/>
              </w:rPr>
              <w:t>8.99</w:t>
            </w:r>
          </w:p>
        </w:tc>
        <w:tc>
          <w:tcPr>
            <w:tcW w:w="581" w:type="pct"/>
            <w:vAlign w:val="center"/>
          </w:tcPr>
          <w:p w14:paraId="1826AE66">
            <w:pPr>
              <w:jc w:val="center"/>
              <w:rPr>
                <w:rFonts w:ascii="Times New Roman" w:eastAsia="仿宋"/>
                <w:szCs w:val="21"/>
              </w:rPr>
            </w:pPr>
            <w:r>
              <w:rPr>
                <w:rFonts w:hint="eastAsia" w:ascii="Times New Roman" w:eastAsia="仿宋"/>
                <w:szCs w:val="21"/>
              </w:rPr>
              <w:t>0.44</w:t>
            </w:r>
          </w:p>
        </w:tc>
        <w:tc>
          <w:tcPr>
            <w:tcW w:w="574" w:type="pct"/>
          </w:tcPr>
          <w:p w14:paraId="41F6BB0F">
            <w:pPr>
              <w:jc w:val="center"/>
              <w:rPr>
                <w:rFonts w:ascii="Times New Roman" w:eastAsia="仿宋"/>
                <w:szCs w:val="21"/>
              </w:rPr>
            </w:pPr>
            <w:r>
              <w:rPr>
                <w:rFonts w:ascii="Times New Roman" w:eastAsia="仿宋"/>
                <w:szCs w:val="21"/>
              </w:rPr>
              <w:t>8.99</w:t>
            </w:r>
          </w:p>
        </w:tc>
        <w:tc>
          <w:tcPr>
            <w:tcW w:w="574" w:type="pct"/>
            <w:vAlign w:val="bottom"/>
          </w:tcPr>
          <w:p w14:paraId="460C2F85">
            <w:pPr>
              <w:jc w:val="center"/>
              <w:rPr>
                <w:rFonts w:ascii="Times New Roman" w:eastAsia="仿宋"/>
                <w:szCs w:val="21"/>
              </w:rPr>
            </w:pPr>
            <w:r>
              <w:rPr>
                <w:rFonts w:hint="eastAsia" w:ascii="Times New Roman" w:eastAsia="仿宋"/>
                <w:szCs w:val="21"/>
              </w:rPr>
              <w:t>0.74</w:t>
            </w:r>
          </w:p>
        </w:tc>
        <w:tc>
          <w:tcPr>
            <w:tcW w:w="568" w:type="pct"/>
            <w:shd w:val="clear" w:color="auto" w:fill="auto"/>
          </w:tcPr>
          <w:p w14:paraId="1D2DC15C">
            <w:pPr>
              <w:jc w:val="center"/>
              <w:rPr>
                <w:rFonts w:ascii="Times New Roman" w:eastAsia="仿宋"/>
                <w:szCs w:val="21"/>
              </w:rPr>
            </w:pPr>
            <w:r>
              <w:rPr>
                <w:rFonts w:ascii="Times New Roman" w:eastAsia="仿宋"/>
                <w:szCs w:val="21"/>
              </w:rPr>
              <w:t>2.37</w:t>
            </w:r>
          </w:p>
        </w:tc>
        <w:tc>
          <w:tcPr>
            <w:tcW w:w="580" w:type="pct"/>
            <w:shd w:val="clear" w:color="auto" w:fill="auto"/>
            <w:vAlign w:val="center"/>
          </w:tcPr>
          <w:p w14:paraId="15677F75">
            <w:pPr>
              <w:jc w:val="center"/>
              <w:rPr>
                <w:rFonts w:ascii="Times New Roman" w:eastAsia="仿宋"/>
                <w:szCs w:val="21"/>
              </w:rPr>
            </w:pPr>
            <w:r>
              <w:rPr>
                <w:rFonts w:hint="eastAsia" w:ascii="Times New Roman" w:eastAsia="仿宋"/>
                <w:szCs w:val="21"/>
              </w:rPr>
              <w:t>0.52</w:t>
            </w:r>
          </w:p>
        </w:tc>
        <w:tc>
          <w:tcPr>
            <w:tcW w:w="570" w:type="pct"/>
            <w:shd w:val="clear" w:color="auto" w:fill="auto"/>
          </w:tcPr>
          <w:p w14:paraId="6530F22C">
            <w:pPr>
              <w:jc w:val="center"/>
              <w:rPr>
                <w:rFonts w:ascii="Times New Roman" w:eastAsia="仿宋"/>
                <w:szCs w:val="21"/>
              </w:rPr>
            </w:pPr>
            <w:r>
              <w:rPr>
                <w:rFonts w:ascii="Times New Roman" w:eastAsia="仿宋"/>
                <w:szCs w:val="21"/>
              </w:rPr>
              <w:t>1.89</w:t>
            </w:r>
          </w:p>
        </w:tc>
        <w:tc>
          <w:tcPr>
            <w:tcW w:w="583" w:type="pct"/>
            <w:vAlign w:val="center"/>
          </w:tcPr>
          <w:p w14:paraId="4F1F2781">
            <w:pPr>
              <w:jc w:val="center"/>
              <w:rPr>
                <w:rFonts w:ascii="Times New Roman" w:eastAsia="仿宋"/>
                <w:szCs w:val="21"/>
              </w:rPr>
            </w:pPr>
            <w:r>
              <w:rPr>
                <w:rFonts w:hint="eastAsia" w:ascii="Times New Roman" w:eastAsia="仿宋"/>
                <w:szCs w:val="21"/>
              </w:rPr>
              <w:t>0.94</w:t>
            </w:r>
          </w:p>
        </w:tc>
      </w:tr>
      <w:tr w14:paraId="52BD85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733E5925">
            <w:pPr>
              <w:jc w:val="center"/>
              <w:rPr>
                <w:rFonts w:ascii="Times New Roman" w:eastAsia="仿宋"/>
                <w:szCs w:val="21"/>
              </w:rPr>
            </w:pPr>
            <w:r>
              <w:rPr>
                <w:rFonts w:ascii="Times New Roman" w:eastAsia="仿宋"/>
                <w:szCs w:val="21"/>
              </w:rPr>
              <w:t>1000</w:t>
            </w:r>
          </w:p>
        </w:tc>
        <w:tc>
          <w:tcPr>
            <w:tcW w:w="552" w:type="pct"/>
          </w:tcPr>
          <w:p w14:paraId="29BE5435">
            <w:pPr>
              <w:jc w:val="center"/>
              <w:rPr>
                <w:rFonts w:ascii="Times New Roman" w:eastAsia="仿宋"/>
                <w:szCs w:val="21"/>
              </w:rPr>
            </w:pPr>
            <w:r>
              <w:rPr>
                <w:rFonts w:ascii="Times New Roman" w:eastAsia="仿宋"/>
                <w:szCs w:val="21"/>
              </w:rPr>
              <w:t>8.31</w:t>
            </w:r>
          </w:p>
        </w:tc>
        <w:tc>
          <w:tcPr>
            <w:tcW w:w="581" w:type="pct"/>
            <w:vAlign w:val="center"/>
          </w:tcPr>
          <w:p w14:paraId="4D1F8E98">
            <w:pPr>
              <w:jc w:val="center"/>
              <w:rPr>
                <w:rFonts w:ascii="Times New Roman" w:eastAsia="仿宋"/>
                <w:szCs w:val="21"/>
              </w:rPr>
            </w:pPr>
            <w:r>
              <w:rPr>
                <w:rFonts w:hint="eastAsia" w:ascii="Times New Roman" w:eastAsia="仿宋"/>
                <w:szCs w:val="21"/>
              </w:rPr>
              <w:t>0.41</w:t>
            </w:r>
          </w:p>
        </w:tc>
        <w:tc>
          <w:tcPr>
            <w:tcW w:w="574" w:type="pct"/>
          </w:tcPr>
          <w:p w14:paraId="0A48A54C">
            <w:pPr>
              <w:jc w:val="center"/>
              <w:rPr>
                <w:rFonts w:ascii="Times New Roman" w:eastAsia="仿宋"/>
                <w:szCs w:val="21"/>
              </w:rPr>
            </w:pPr>
            <w:r>
              <w:rPr>
                <w:rFonts w:ascii="Times New Roman" w:eastAsia="仿宋"/>
                <w:szCs w:val="21"/>
              </w:rPr>
              <w:t>8.31</w:t>
            </w:r>
          </w:p>
        </w:tc>
        <w:tc>
          <w:tcPr>
            <w:tcW w:w="574" w:type="pct"/>
            <w:vAlign w:val="bottom"/>
          </w:tcPr>
          <w:p w14:paraId="26944832">
            <w:pPr>
              <w:jc w:val="center"/>
              <w:rPr>
                <w:rFonts w:ascii="Times New Roman" w:eastAsia="仿宋"/>
                <w:szCs w:val="21"/>
              </w:rPr>
            </w:pPr>
            <w:r>
              <w:rPr>
                <w:rFonts w:hint="eastAsia" w:ascii="Times New Roman" w:eastAsia="仿宋"/>
                <w:szCs w:val="21"/>
              </w:rPr>
              <w:t>0.69</w:t>
            </w:r>
          </w:p>
        </w:tc>
        <w:tc>
          <w:tcPr>
            <w:tcW w:w="568" w:type="pct"/>
            <w:shd w:val="clear" w:color="auto" w:fill="auto"/>
          </w:tcPr>
          <w:p w14:paraId="779A34C4">
            <w:pPr>
              <w:jc w:val="center"/>
              <w:rPr>
                <w:rFonts w:ascii="Times New Roman" w:eastAsia="仿宋"/>
                <w:szCs w:val="21"/>
              </w:rPr>
            </w:pPr>
            <w:r>
              <w:rPr>
                <w:rFonts w:ascii="Times New Roman" w:eastAsia="仿宋"/>
                <w:szCs w:val="21"/>
              </w:rPr>
              <w:t>2.19</w:t>
            </w:r>
          </w:p>
        </w:tc>
        <w:tc>
          <w:tcPr>
            <w:tcW w:w="580" w:type="pct"/>
            <w:shd w:val="clear" w:color="auto" w:fill="auto"/>
            <w:vAlign w:val="center"/>
          </w:tcPr>
          <w:p w14:paraId="7DC77D27">
            <w:pPr>
              <w:jc w:val="center"/>
              <w:rPr>
                <w:rFonts w:ascii="Times New Roman" w:eastAsia="仿宋"/>
                <w:szCs w:val="21"/>
              </w:rPr>
            </w:pPr>
            <w:r>
              <w:rPr>
                <w:rFonts w:hint="eastAsia" w:ascii="Times New Roman" w:eastAsia="仿宋"/>
                <w:szCs w:val="21"/>
              </w:rPr>
              <w:t>0.48</w:t>
            </w:r>
          </w:p>
        </w:tc>
        <w:tc>
          <w:tcPr>
            <w:tcW w:w="570" w:type="pct"/>
            <w:shd w:val="clear" w:color="auto" w:fill="auto"/>
          </w:tcPr>
          <w:p w14:paraId="68E1CB89">
            <w:pPr>
              <w:jc w:val="center"/>
              <w:rPr>
                <w:rFonts w:ascii="Times New Roman" w:eastAsia="仿宋"/>
                <w:szCs w:val="21"/>
              </w:rPr>
            </w:pPr>
            <w:r>
              <w:rPr>
                <w:rFonts w:ascii="Times New Roman" w:eastAsia="仿宋"/>
                <w:szCs w:val="21"/>
              </w:rPr>
              <w:t>1.75</w:t>
            </w:r>
          </w:p>
        </w:tc>
        <w:tc>
          <w:tcPr>
            <w:tcW w:w="583" w:type="pct"/>
            <w:vAlign w:val="center"/>
          </w:tcPr>
          <w:p w14:paraId="64AFD7AE">
            <w:pPr>
              <w:jc w:val="center"/>
              <w:rPr>
                <w:rFonts w:ascii="Times New Roman" w:eastAsia="仿宋"/>
                <w:szCs w:val="21"/>
              </w:rPr>
            </w:pPr>
            <w:r>
              <w:rPr>
                <w:rFonts w:hint="eastAsia" w:ascii="Times New Roman" w:eastAsia="仿宋"/>
                <w:szCs w:val="21"/>
              </w:rPr>
              <w:t>0.87</w:t>
            </w:r>
          </w:p>
        </w:tc>
      </w:tr>
      <w:tr w14:paraId="376EA2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59009B0F">
            <w:pPr>
              <w:jc w:val="center"/>
              <w:rPr>
                <w:rFonts w:ascii="Times New Roman" w:eastAsia="仿宋"/>
                <w:szCs w:val="21"/>
              </w:rPr>
            </w:pPr>
            <w:r>
              <w:rPr>
                <w:rFonts w:ascii="Times New Roman" w:eastAsia="仿宋"/>
                <w:szCs w:val="21"/>
              </w:rPr>
              <w:t>1200</w:t>
            </w:r>
          </w:p>
        </w:tc>
        <w:tc>
          <w:tcPr>
            <w:tcW w:w="552" w:type="pct"/>
          </w:tcPr>
          <w:p w14:paraId="33A676DF">
            <w:pPr>
              <w:jc w:val="center"/>
              <w:rPr>
                <w:rFonts w:ascii="Times New Roman" w:eastAsia="仿宋"/>
                <w:szCs w:val="21"/>
              </w:rPr>
            </w:pPr>
            <w:r>
              <w:rPr>
                <w:rFonts w:ascii="Times New Roman" w:eastAsia="仿宋"/>
                <w:szCs w:val="21"/>
              </w:rPr>
              <w:t>7.16</w:t>
            </w:r>
          </w:p>
        </w:tc>
        <w:tc>
          <w:tcPr>
            <w:tcW w:w="581" w:type="pct"/>
            <w:vAlign w:val="center"/>
          </w:tcPr>
          <w:p w14:paraId="0F57B26E">
            <w:pPr>
              <w:jc w:val="center"/>
              <w:rPr>
                <w:rFonts w:ascii="Times New Roman" w:eastAsia="仿宋"/>
                <w:szCs w:val="21"/>
              </w:rPr>
            </w:pPr>
            <w:r>
              <w:rPr>
                <w:rFonts w:hint="eastAsia" w:ascii="Times New Roman" w:eastAsia="仿宋"/>
                <w:szCs w:val="21"/>
              </w:rPr>
              <w:t>0.35</w:t>
            </w:r>
          </w:p>
        </w:tc>
        <w:tc>
          <w:tcPr>
            <w:tcW w:w="574" w:type="pct"/>
          </w:tcPr>
          <w:p w14:paraId="05ED5E4A">
            <w:pPr>
              <w:jc w:val="center"/>
              <w:rPr>
                <w:rFonts w:ascii="Times New Roman" w:eastAsia="仿宋"/>
                <w:szCs w:val="21"/>
              </w:rPr>
            </w:pPr>
            <w:r>
              <w:rPr>
                <w:rFonts w:ascii="Times New Roman" w:eastAsia="仿宋"/>
                <w:szCs w:val="21"/>
              </w:rPr>
              <w:t>7.16</w:t>
            </w:r>
          </w:p>
        </w:tc>
        <w:tc>
          <w:tcPr>
            <w:tcW w:w="574" w:type="pct"/>
            <w:vAlign w:val="bottom"/>
          </w:tcPr>
          <w:p w14:paraId="4AA2995E">
            <w:pPr>
              <w:jc w:val="center"/>
              <w:rPr>
                <w:rFonts w:ascii="Times New Roman" w:eastAsia="仿宋"/>
                <w:szCs w:val="21"/>
              </w:rPr>
            </w:pPr>
            <w:r>
              <w:rPr>
                <w:rFonts w:hint="eastAsia" w:ascii="Times New Roman" w:eastAsia="仿宋"/>
                <w:szCs w:val="21"/>
              </w:rPr>
              <w:t>0.59</w:t>
            </w:r>
          </w:p>
        </w:tc>
        <w:tc>
          <w:tcPr>
            <w:tcW w:w="568" w:type="pct"/>
            <w:shd w:val="clear" w:color="auto" w:fill="auto"/>
          </w:tcPr>
          <w:p w14:paraId="162A1EB3">
            <w:pPr>
              <w:jc w:val="center"/>
              <w:rPr>
                <w:rFonts w:ascii="Times New Roman" w:eastAsia="仿宋"/>
                <w:szCs w:val="21"/>
              </w:rPr>
            </w:pPr>
            <w:r>
              <w:rPr>
                <w:rFonts w:hint="eastAsia" w:ascii="Times New Roman" w:eastAsia="仿宋"/>
                <w:szCs w:val="21"/>
              </w:rPr>
              <w:t>1.88</w:t>
            </w:r>
          </w:p>
        </w:tc>
        <w:tc>
          <w:tcPr>
            <w:tcW w:w="580" w:type="pct"/>
            <w:shd w:val="clear" w:color="auto" w:fill="auto"/>
            <w:vAlign w:val="center"/>
          </w:tcPr>
          <w:p w14:paraId="0105D729">
            <w:pPr>
              <w:jc w:val="center"/>
              <w:rPr>
                <w:rFonts w:ascii="Times New Roman" w:eastAsia="仿宋"/>
                <w:szCs w:val="21"/>
              </w:rPr>
            </w:pPr>
            <w:r>
              <w:rPr>
                <w:rFonts w:hint="eastAsia" w:ascii="Times New Roman" w:eastAsia="仿宋"/>
                <w:szCs w:val="21"/>
              </w:rPr>
              <w:t>0.42</w:t>
            </w:r>
          </w:p>
        </w:tc>
        <w:tc>
          <w:tcPr>
            <w:tcW w:w="570" w:type="pct"/>
            <w:shd w:val="clear" w:color="auto" w:fill="auto"/>
          </w:tcPr>
          <w:p w14:paraId="63F5195D">
            <w:pPr>
              <w:jc w:val="center"/>
              <w:rPr>
                <w:rFonts w:ascii="Times New Roman" w:eastAsia="仿宋"/>
                <w:szCs w:val="21"/>
              </w:rPr>
            </w:pPr>
            <w:r>
              <w:rPr>
                <w:rFonts w:hint="eastAsia" w:ascii="Times New Roman" w:eastAsia="仿宋"/>
                <w:szCs w:val="21"/>
              </w:rPr>
              <w:t>1.51</w:t>
            </w:r>
          </w:p>
        </w:tc>
        <w:tc>
          <w:tcPr>
            <w:tcW w:w="583" w:type="pct"/>
            <w:vAlign w:val="center"/>
          </w:tcPr>
          <w:p w14:paraId="10B10033">
            <w:pPr>
              <w:jc w:val="center"/>
              <w:rPr>
                <w:rFonts w:ascii="Times New Roman" w:eastAsia="仿宋"/>
                <w:szCs w:val="21"/>
              </w:rPr>
            </w:pPr>
            <w:r>
              <w:rPr>
                <w:rFonts w:hint="eastAsia" w:ascii="Times New Roman" w:eastAsia="仿宋"/>
                <w:szCs w:val="21"/>
              </w:rPr>
              <w:t>0.75</w:t>
            </w:r>
          </w:p>
        </w:tc>
      </w:tr>
      <w:tr w14:paraId="0B8A0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3E37FF97">
            <w:pPr>
              <w:jc w:val="center"/>
              <w:rPr>
                <w:rFonts w:ascii="Times New Roman" w:eastAsia="仿宋"/>
                <w:szCs w:val="21"/>
              </w:rPr>
            </w:pPr>
            <w:r>
              <w:rPr>
                <w:rFonts w:ascii="Times New Roman" w:eastAsia="仿宋"/>
                <w:szCs w:val="21"/>
              </w:rPr>
              <w:t>1400</w:t>
            </w:r>
          </w:p>
        </w:tc>
        <w:tc>
          <w:tcPr>
            <w:tcW w:w="552" w:type="pct"/>
          </w:tcPr>
          <w:p w14:paraId="34916331">
            <w:pPr>
              <w:jc w:val="center"/>
              <w:rPr>
                <w:rFonts w:ascii="Times New Roman" w:eastAsia="仿宋"/>
                <w:szCs w:val="21"/>
              </w:rPr>
            </w:pPr>
            <w:r>
              <w:rPr>
                <w:rFonts w:ascii="Times New Roman" w:eastAsia="仿宋"/>
                <w:szCs w:val="21"/>
              </w:rPr>
              <w:t>6.32</w:t>
            </w:r>
          </w:p>
        </w:tc>
        <w:tc>
          <w:tcPr>
            <w:tcW w:w="581" w:type="pct"/>
            <w:vAlign w:val="center"/>
          </w:tcPr>
          <w:p w14:paraId="778B13CC">
            <w:pPr>
              <w:jc w:val="center"/>
              <w:rPr>
                <w:rFonts w:ascii="Times New Roman" w:eastAsia="仿宋"/>
                <w:szCs w:val="21"/>
              </w:rPr>
            </w:pPr>
            <w:r>
              <w:rPr>
                <w:rFonts w:hint="eastAsia" w:ascii="Times New Roman" w:eastAsia="仿宋"/>
                <w:szCs w:val="21"/>
              </w:rPr>
              <w:t>0.31</w:t>
            </w:r>
          </w:p>
        </w:tc>
        <w:tc>
          <w:tcPr>
            <w:tcW w:w="574" w:type="pct"/>
          </w:tcPr>
          <w:p w14:paraId="3111C8E1">
            <w:pPr>
              <w:jc w:val="center"/>
              <w:rPr>
                <w:rFonts w:ascii="Times New Roman" w:eastAsia="仿宋"/>
                <w:szCs w:val="21"/>
              </w:rPr>
            </w:pPr>
            <w:r>
              <w:rPr>
                <w:rFonts w:ascii="Times New Roman" w:eastAsia="仿宋"/>
                <w:szCs w:val="21"/>
              </w:rPr>
              <w:t>6.32</w:t>
            </w:r>
          </w:p>
        </w:tc>
        <w:tc>
          <w:tcPr>
            <w:tcW w:w="574" w:type="pct"/>
            <w:vAlign w:val="bottom"/>
          </w:tcPr>
          <w:p w14:paraId="157B68F6">
            <w:pPr>
              <w:jc w:val="center"/>
              <w:rPr>
                <w:rFonts w:ascii="Times New Roman" w:eastAsia="仿宋"/>
                <w:szCs w:val="21"/>
              </w:rPr>
            </w:pPr>
            <w:r>
              <w:rPr>
                <w:rFonts w:hint="eastAsia" w:ascii="Times New Roman" w:eastAsia="仿宋"/>
                <w:szCs w:val="21"/>
              </w:rPr>
              <w:t>0.52</w:t>
            </w:r>
          </w:p>
        </w:tc>
        <w:tc>
          <w:tcPr>
            <w:tcW w:w="568" w:type="pct"/>
            <w:shd w:val="clear" w:color="auto" w:fill="auto"/>
          </w:tcPr>
          <w:p w14:paraId="12063D0B">
            <w:pPr>
              <w:jc w:val="center"/>
              <w:rPr>
                <w:rFonts w:ascii="Times New Roman" w:eastAsia="仿宋"/>
                <w:szCs w:val="21"/>
              </w:rPr>
            </w:pPr>
            <w:r>
              <w:rPr>
                <w:rFonts w:hint="eastAsia" w:ascii="Times New Roman" w:eastAsia="仿宋"/>
                <w:szCs w:val="21"/>
              </w:rPr>
              <w:t>1.66</w:t>
            </w:r>
          </w:p>
        </w:tc>
        <w:tc>
          <w:tcPr>
            <w:tcW w:w="580" w:type="pct"/>
            <w:shd w:val="clear" w:color="auto" w:fill="auto"/>
            <w:vAlign w:val="center"/>
          </w:tcPr>
          <w:p w14:paraId="67652A71">
            <w:pPr>
              <w:jc w:val="center"/>
              <w:rPr>
                <w:rFonts w:ascii="Times New Roman" w:eastAsia="仿宋"/>
                <w:szCs w:val="21"/>
              </w:rPr>
            </w:pPr>
            <w:r>
              <w:rPr>
                <w:rFonts w:hint="eastAsia" w:ascii="Times New Roman" w:eastAsia="仿宋"/>
                <w:szCs w:val="21"/>
              </w:rPr>
              <w:t>0.36</w:t>
            </w:r>
          </w:p>
        </w:tc>
        <w:tc>
          <w:tcPr>
            <w:tcW w:w="570" w:type="pct"/>
            <w:shd w:val="clear" w:color="auto" w:fill="auto"/>
          </w:tcPr>
          <w:p w14:paraId="03AB71D5">
            <w:pPr>
              <w:jc w:val="center"/>
              <w:rPr>
                <w:rFonts w:ascii="Times New Roman" w:eastAsia="仿宋"/>
                <w:szCs w:val="21"/>
              </w:rPr>
            </w:pPr>
            <w:r>
              <w:rPr>
                <w:rFonts w:hint="eastAsia" w:ascii="Times New Roman" w:eastAsia="仿宋"/>
                <w:szCs w:val="21"/>
              </w:rPr>
              <w:t>1.33</w:t>
            </w:r>
          </w:p>
        </w:tc>
        <w:tc>
          <w:tcPr>
            <w:tcW w:w="583" w:type="pct"/>
            <w:vAlign w:val="center"/>
          </w:tcPr>
          <w:p w14:paraId="5B9ED6A5">
            <w:pPr>
              <w:jc w:val="center"/>
              <w:rPr>
                <w:rFonts w:ascii="Times New Roman" w:eastAsia="仿宋"/>
                <w:szCs w:val="21"/>
              </w:rPr>
            </w:pPr>
            <w:r>
              <w:rPr>
                <w:rFonts w:hint="eastAsia" w:ascii="Times New Roman" w:eastAsia="仿宋"/>
                <w:szCs w:val="21"/>
              </w:rPr>
              <w:t>0.66</w:t>
            </w:r>
          </w:p>
        </w:tc>
      </w:tr>
      <w:tr w14:paraId="677FE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7BDBC5A0">
            <w:pPr>
              <w:jc w:val="center"/>
              <w:rPr>
                <w:rFonts w:ascii="Times New Roman" w:eastAsia="仿宋"/>
                <w:szCs w:val="21"/>
              </w:rPr>
            </w:pPr>
            <w:r>
              <w:rPr>
                <w:rFonts w:ascii="Times New Roman" w:eastAsia="仿宋"/>
                <w:szCs w:val="21"/>
              </w:rPr>
              <w:t>1600</w:t>
            </w:r>
          </w:p>
        </w:tc>
        <w:tc>
          <w:tcPr>
            <w:tcW w:w="552" w:type="pct"/>
          </w:tcPr>
          <w:p w14:paraId="7C20B202">
            <w:pPr>
              <w:jc w:val="center"/>
              <w:rPr>
                <w:rFonts w:ascii="Times New Roman" w:eastAsia="仿宋"/>
                <w:szCs w:val="21"/>
              </w:rPr>
            </w:pPr>
            <w:r>
              <w:rPr>
                <w:rFonts w:ascii="Times New Roman" w:eastAsia="仿宋"/>
                <w:szCs w:val="21"/>
              </w:rPr>
              <w:t>5.74</w:t>
            </w:r>
          </w:p>
        </w:tc>
        <w:tc>
          <w:tcPr>
            <w:tcW w:w="581" w:type="pct"/>
            <w:vAlign w:val="center"/>
          </w:tcPr>
          <w:p w14:paraId="1E78A453">
            <w:pPr>
              <w:jc w:val="center"/>
              <w:rPr>
                <w:rFonts w:ascii="Times New Roman" w:eastAsia="仿宋"/>
                <w:szCs w:val="21"/>
              </w:rPr>
            </w:pPr>
            <w:r>
              <w:rPr>
                <w:rFonts w:hint="eastAsia" w:ascii="Times New Roman" w:eastAsia="仿宋"/>
                <w:szCs w:val="21"/>
              </w:rPr>
              <w:t>0.28</w:t>
            </w:r>
          </w:p>
        </w:tc>
        <w:tc>
          <w:tcPr>
            <w:tcW w:w="574" w:type="pct"/>
          </w:tcPr>
          <w:p w14:paraId="765151F2">
            <w:pPr>
              <w:jc w:val="center"/>
              <w:rPr>
                <w:rFonts w:ascii="Times New Roman" w:eastAsia="仿宋"/>
                <w:szCs w:val="21"/>
              </w:rPr>
            </w:pPr>
            <w:r>
              <w:rPr>
                <w:rFonts w:ascii="Times New Roman" w:eastAsia="仿宋"/>
                <w:szCs w:val="21"/>
              </w:rPr>
              <w:t>5.74</w:t>
            </w:r>
          </w:p>
        </w:tc>
        <w:tc>
          <w:tcPr>
            <w:tcW w:w="574" w:type="pct"/>
            <w:vAlign w:val="bottom"/>
          </w:tcPr>
          <w:p w14:paraId="7A71A8EA">
            <w:pPr>
              <w:jc w:val="center"/>
              <w:rPr>
                <w:rFonts w:ascii="Times New Roman" w:eastAsia="仿宋"/>
                <w:szCs w:val="21"/>
              </w:rPr>
            </w:pPr>
            <w:r>
              <w:rPr>
                <w:rFonts w:hint="eastAsia" w:ascii="Times New Roman" w:eastAsia="仿宋"/>
                <w:szCs w:val="21"/>
              </w:rPr>
              <w:t>0.47</w:t>
            </w:r>
          </w:p>
        </w:tc>
        <w:tc>
          <w:tcPr>
            <w:tcW w:w="568" w:type="pct"/>
            <w:shd w:val="clear" w:color="auto" w:fill="auto"/>
          </w:tcPr>
          <w:p w14:paraId="651A54B5">
            <w:pPr>
              <w:jc w:val="center"/>
              <w:rPr>
                <w:rFonts w:ascii="Times New Roman" w:eastAsia="仿宋"/>
                <w:szCs w:val="21"/>
              </w:rPr>
            </w:pPr>
            <w:r>
              <w:rPr>
                <w:rFonts w:hint="eastAsia" w:ascii="Times New Roman" w:eastAsia="仿宋"/>
                <w:szCs w:val="21"/>
              </w:rPr>
              <w:t>1.51</w:t>
            </w:r>
          </w:p>
        </w:tc>
        <w:tc>
          <w:tcPr>
            <w:tcW w:w="580" w:type="pct"/>
            <w:shd w:val="clear" w:color="auto" w:fill="auto"/>
            <w:vAlign w:val="center"/>
          </w:tcPr>
          <w:p w14:paraId="3CBA8D43">
            <w:pPr>
              <w:jc w:val="center"/>
              <w:rPr>
                <w:rFonts w:ascii="Times New Roman" w:eastAsia="仿宋"/>
                <w:szCs w:val="21"/>
              </w:rPr>
            </w:pPr>
            <w:r>
              <w:rPr>
                <w:rFonts w:hint="eastAsia" w:ascii="Times New Roman" w:eastAsia="仿宋"/>
                <w:szCs w:val="21"/>
              </w:rPr>
              <w:t>0.33</w:t>
            </w:r>
          </w:p>
        </w:tc>
        <w:tc>
          <w:tcPr>
            <w:tcW w:w="570" w:type="pct"/>
            <w:shd w:val="clear" w:color="auto" w:fill="auto"/>
          </w:tcPr>
          <w:p w14:paraId="246D150F">
            <w:pPr>
              <w:jc w:val="center"/>
              <w:rPr>
                <w:rFonts w:ascii="Times New Roman" w:eastAsia="仿宋"/>
                <w:szCs w:val="21"/>
              </w:rPr>
            </w:pPr>
            <w:r>
              <w:rPr>
                <w:rFonts w:hint="eastAsia" w:ascii="Times New Roman" w:eastAsia="仿宋"/>
                <w:szCs w:val="21"/>
              </w:rPr>
              <w:t>1.21</w:t>
            </w:r>
          </w:p>
        </w:tc>
        <w:tc>
          <w:tcPr>
            <w:tcW w:w="583" w:type="pct"/>
            <w:vAlign w:val="center"/>
          </w:tcPr>
          <w:p w14:paraId="18D358CD">
            <w:pPr>
              <w:jc w:val="center"/>
              <w:rPr>
                <w:rFonts w:ascii="Times New Roman" w:eastAsia="仿宋"/>
                <w:szCs w:val="21"/>
              </w:rPr>
            </w:pPr>
            <w:r>
              <w:rPr>
                <w:rFonts w:hint="eastAsia" w:ascii="Times New Roman" w:eastAsia="仿宋"/>
                <w:szCs w:val="21"/>
              </w:rPr>
              <w:t>0.61</w:t>
            </w:r>
          </w:p>
        </w:tc>
      </w:tr>
      <w:tr w14:paraId="4B2C5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2ADB9B52">
            <w:pPr>
              <w:jc w:val="center"/>
              <w:rPr>
                <w:rFonts w:ascii="Times New Roman" w:eastAsia="仿宋"/>
                <w:szCs w:val="21"/>
              </w:rPr>
            </w:pPr>
            <w:r>
              <w:rPr>
                <w:rFonts w:ascii="Times New Roman" w:eastAsia="仿宋"/>
                <w:szCs w:val="21"/>
              </w:rPr>
              <w:t>1800</w:t>
            </w:r>
          </w:p>
        </w:tc>
        <w:tc>
          <w:tcPr>
            <w:tcW w:w="0" w:type="auto"/>
          </w:tcPr>
          <w:p w14:paraId="1B24B6BF">
            <w:pPr>
              <w:jc w:val="center"/>
              <w:rPr>
                <w:rFonts w:ascii="Times New Roman" w:eastAsia="仿宋"/>
                <w:szCs w:val="21"/>
              </w:rPr>
            </w:pPr>
            <w:r>
              <w:rPr>
                <w:rFonts w:ascii="Times New Roman" w:eastAsia="仿宋"/>
                <w:szCs w:val="21"/>
              </w:rPr>
              <w:t>5.28</w:t>
            </w:r>
          </w:p>
        </w:tc>
        <w:tc>
          <w:tcPr>
            <w:tcW w:w="581" w:type="pct"/>
            <w:vAlign w:val="center"/>
          </w:tcPr>
          <w:p w14:paraId="18912793">
            <w:pPr>
              <w:jc w:val="center"/>
              <w:rPr>
                <w:rFonts w:ascii="Times New Roman" w:eastAsia="仿宋"/>
                <w:szCs w:val="21"/>
              </w:rPr>
            </w:pPr>
            <w:r>
              <w:rPr>
                <w:rFonts w:hint="eastAsia" w:ascii="Times New Roman" w:eastAsia="仿宋"/>
                <w:szCs w:val="21"/>
              </w:rPr>
              <w:t>0.26</w:t>
            </w:r>
          </w:p>
        </w:tc>
        <w:tc>
          <w:tcPr>
            <w:tcW w:w="0" w:type="auto"/>
          </w:tcPr>
          <w:p w14:paraId="4F5A9080">
            <w:pPr>
              <w:jc w:val="center"/>
              <w:rPr>
                <w:rFonts w:ascii="Times New Roman" w:eastAsia="仿宋"/>
                <w:szCs w:val="21"/>
              </w:rPr>
            </w:pPr>
            <w:r>
              <w:rPr>
                <w:rFonts w:ascii="Times New Roman" w:eastAsia="仿宋"/>
                <w:szCs w:val="21"/>
              </w:rPr>
              <w:t>5.28</w:t>
            </w:r>
          </w:p>
        </w:tc>
        <w:tc>
          <w:tcPr>
            <w:tcW w:w="0" w:type="auto"/>
            <w:vAlign w:val="bottom"/>
          </w:tcPr>
          <w:p w14:paraId="677CCD93">
            <w:pPr>
              <w:jc w:val="center"/>
              <w:rPr>
                <w:rFonts w:ascii="Times New Roman" w:eastAsia="仿宋"/>
                <w:szCs w:val="21"/>
              </w:rPr>
            </w:pPr>
            <w:r>
              <w:rPr>
                <w:rFonts w:hint="eastAsia" w:ascii="Times New Roman" w:eastAsia="仿宋"/>
                <w:szCs w:val="21"/>
              </w:rPr>
              <w:t>0.44</w:t>
            </w:r>
          </w:p>
        </w:tc>
        <w:tc>
          <w:tcPr>
            <w:tcW w:w="0" w:type="auto"/>
            <w:shd w:val="clear" w:color="auto" w:fill="auto"/>
          </w:tcPr>
          <w:p w14:paraId="10910336">
            <w:pPr>
              <w:jc w:val="center"/>
              <w:rPr>
                <w:rFonts w:ascii="Times New Roman" w:eastAsia="仿宋"/>
                <w:szCs w:val="21"/>
              </w:rPr>
            </w:pPr>
            <w:r>
              <w:rPr>
                <w:rFonts w:hint="eastAsia" w:ascii="Times New Roman" w:eastAsia="仿宋"/>
                <w:szCs w:val="21"/>
              </w:rPr>
              <w:t>1.39</w:t>
            </w:r>
          </w:p>
        </w:tc>
        <w:tc>
          <w:tcPr>
            <w:tcW w:w="580" w:type="pct"/>
            <w:shd w:val="clear" w:color="auto" w:fill="auto"/>
            <w:vAlign w:val="center"/>
          </w:tcPr>
          <w:p w14:paraId="1AE8C2D1">
            <w:pPr>
              <w:jc w:val="center"/>
              <w:rPr>
                <w:rFonts w:ascii="Times New Roman" w:eastAsia="仿宋"/>
                <w:szCs w:val="21"/>
              </w:rPr>
            </w:pPr>
            <w:r>
              <w:rPr>
                <w:rFonts w:hint="eastAsia" w:ascii="Times New Roman" w:eastAsia="仿宋"/>
                <w:szCs w:val="21"/>
              </w:rPr>
              <w:t>0.31</w:t>
            </w:r>
          </w:p>
        </w:tc>
        <w:tc>
          <w:tcPr>
            <w:tcW w:w="0" w:type="auto"/>
            <w:shd w:val="clear" w:color="auto" w:fill="auto"/>
          </w:tcPr>
          <w:p w14:paraId="7B72E639">
            <w:pPr>
              <w:jc w:val="center"/>
              <w:rPr>
                <w:rFonts w:ascii="Times New Roman" w:eastAsia="仿宋"/>
                <w:szCs w:val="21"/>
              </w:rPr>
            </w:pPr>
            <w:r>
              <w:rPr>
                <w:rFonts w:hint="eastAsia" w:ascii="Times New Roman" w:eastAsia="仿宋"/>
                <w:szCs w:val="21"/>
              </w:rPr>
              <w:t>1.11</w:t>
            </w:r>
          </w:p>
        </w:tc>
        <w:tc>
          <w:tcPr>
            <w:tcW w:w="583" w:type="pct"/>
            <w:vAlign w:val="center"/>
          </w:tcPr>
          <w:p w14:paraId="70EED6B6">
            <w:pPr>
              <w:jc w:val="center"/>
              <w:rPr>
                <w:rFonts w:ascii="Times New Roman" w:eastAsia="仿宋"/>
                <w:szCs w:val="21"/>
              </w:rPr>
            </w:pPr>
            <w:r>
              <w:rPr>
                <w:rFonts w:hint="eastAsia" w:ascii="Times New Roman" w:eastAsia="仿宋"/>
                <w:szCs w:val="21"/>
              </w:rPr>
              <w:t>0.55</w:t>
            </w:r>
          </w:p>
        </w:tc>
      </w:tr>
      <w:tr w14:paraId="37EDA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16250580">
            <w:pPr>
              <w:jc w:val="center"/>
              <w:rPr>
                <w:rFonts w:ascii="Times New Roman" w:eastAsia="仿宋"/>
                <w:szCs w:val="21"/>
              </w:rPr>
            </w:pPr>
            <w:r>
              <w:rPr>
                <w:rFonts w:ascii="Times New Roman" w:eastAsia="仿宋"/>
                <w:szCs w:val="21"/>
              </w:rPr>
              <w:t>2000</w:t>
            </w:r>
          </w:p>
        </w:tc>
        <w:tc>
          <w:tcPr>
            <w:tcW w:w="0" w:type="auto"/>
          </w:tcPr>
          <w:p w14:paraId="02019C34">
            <w:pPr>
              <w:jc w:val="center"/>
              <w:rPr>
                <w:rFonts w:ascii="Times New Roman" w:eastAsia="仿宋"/>
                <w:szCs w:val="21"/>
              </w:rPr>
            </w:pPr>
            <w:r>
              <w:rPr>
                <w:rFonts w:ascii="Times New Roman" w:eastAsia="仿宋"/>
                <w:szCs w:val="21"/>
              </w:rPr>
              <w:t>4.89</w:t>
            </w:r>
          </w:p>
        </w:tc>
        <w:tc>
          <w:tcPr>
            <w:tcW w:w="581" w:type="pct"/>
            <w:vAlign w:val="center"/>
          </w:tcPr>
          <w:p w14:paraId="57813B2F">
            <w:pPr>
              <w:jc w:val="center"/>
              <w:rPr>
                <w:rFonts w:ascii="Times New Roman" w:eastAsia="仿宋"/>
                <w:szCs w:val="21"/>
              </w:rPr>
            </w:pPr>
            <w:r>
              <w:rPr>
                <w:rFonts w:hint="eastAsia" w:ascii="Times New Roman" w:eastAsia="仿宋"/>
                <w:szCs w:val="21"/>
              </w:rPr>
              <w:t>0.24</w:t>
            </w:r>
          </w:p>
        </w:tc>
        <w:tc>
          <w:tcPr>
            <w:tcW w:w="0" w:type="auto"/>
          </w:tcPr>
          <w:p w14:paraId="4F119B90">
            <w:pPr>
              <w:jc w:val="center"/>
              <w:rPr>
                <w:rFonts w:ascii="Times New Roman" w:eastAsia="仿宋"/>
                <w:szCs w:val="21"/>
              </w:rPr>
            </w:pPr>
            <w:r>
              <w:rPr>
                <w:rFonts w:ascii="Times New Roman" w:eastAsia="仿宋"/>
                <w:szCs w:val="21"/>
              </w:rPr>
              <w:t>4.89</w:t>
            </w:r>
          </w:p>
        </w:tc>
        <w:tc>
          <w:tcPr>
            <w:tcW w:w="0" w:type="auto"/>
            <w:vAlign w:val="bottom"/>
          </w:tcPr>
          <w:p w14:paraId="17C86726">
            <w:pPr>
              <w:jc w:val="center"/>
              <w:rPr>
                <w:rFonts w:ascii="Times New Roman" w:eastAsia="仿宋"/>
                <w:szCs w:val="21"/>
              </w:rPr>
            </w:pPr>
            <w:r>
              <w:rPr>
                <w:rFonts w:hint="eastAsia" w:ascii="Times New Roman" w:eastAsia="仿宋"/>
                <w:szCs w:val="21"/>
              </w:rPr>
              <w:t>0.40</w:t>
            </w:r>
          </w:p>
        </w:tc>
        <w:tc>
          <w:tcPr>
            <w:tcW w:w="0" w:type="auto"/>
            <w:shd w:val="clear" w:color="auto" w:fill="auto"/>
          </w:tcPr>
          <w:p w14:paraId="42AAC823">
            <w:pPr>
              <w:jc w:val="center"/>
              <w:rPr>
                <w:rFonts w:ascii="Times New Roman" w:eastAsia="仿宋"/>
                <w:szCs w:val="21"/>
              </w:rPr>
            </w:pPr>
            <w:r>
              <w:rPr>
                <w:rFonts w:hint="eastAsia" w:ascii="Times New Roman" w:eastAsia="仿宋"/>
                <w:szCs w:val="21"/>
              </w:rPr>
              <w:t>1.29</w:t>
            </w:r>
          </w:p>
        </w:tc>
        <w:tc>
          <w:tcPr>
            <w:tcW w:w="580" w:type="pct"/>
            <w:shd w:val="clear" w:color="auto" w:fill="auto"/>
            <w:vAlign w:val="center"/>
          </w:tcPr>
          <w:p w14:paraId="59747C7E">
            <w:pPr>
              <w:jc w:val="center"/>
              <w:rPr>
                <w:rFonts w:ascii="Times New Roman" w:eastAsia="仿宋"/>
                <w:szCs w:val="21"/>
              </w:rPr>
            </w:pPr>
            <w:r>
              <w:rPr>
                <w:rFonts w:hint="eastAsia" w:ascii="Times New Roman" w:eastAsia="仿宋"/>
                <w:szCs w:val="21"/>
              </w:rPr>
              <w:t>0.28</w:t>
            </w:r>
          </w:p>
        </w:tc>
        <w:tc>
          <w:tcPr>
            <w:tcW w:w="0" w:type="auto"/>
            <w:shd w:val="clear" w:color="auto" w:fill="auto"/>
          </w:tcPr>
          <w:p w14:paraId="0696C518">
            <w:pPr>
              <w:jc w:val="center"/>
              <w:rPr>
                <w:rFonts w:ascii="Times New Roman" w:eastAsia="仿宋"/>
                <w:szCs w:val="21"/>
              </w:rPr>
            </w:pPr>
            <w:r>
              <w:rPr>
                <w:rFonts w:hint="eastAsia" w:ascii="Times New Roman" w:eastAsia="仿宋"/>
                <w:szCs w:val="21"/>
              </w:rPr>
              <w:t>1.03</w:t>
            </w:r>
          </w:p>
        </w:tc>
        <w:tc>
          <w:tcPr>
            <w:tcW w:w="583" w:type="pct"/>
            <w:vAlign w:val="center"/>
          </w:tcPr>
          <w:p w14:paraId="6E766E3B">
            <w:pPr>
              <w:jc w:val="center"/>
              <w:rPr>
                <w:rFonts w:ascii="Times New Roman" w:eastAsia="仿宋"/>
                <w:szCs w:val="21"/>
              </w:rPr>
            </w:pPr>
            <w:r>
              <w:rPr>
                <w:rFonts w:hint="eastAsia" w:ascii="Times New Roman" w:eastAsia="仿宋"/>
                <w:szCs w:val="21"/>
              </w:rPr>
              <w:t>0.51</w:t>
            </w:r>
          </w:p>
        </w:tc>
      </w:tr>
      <w:tr w14:paraId="36B3B4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7" w:hRule="atLeast"/>
          <w:jc w:val="center"/>
        </w:trPr>
        <w:tc>
          <w:tcPr>
            <w:tcW w:w="418" w:type="pct"/>
            <w:vAlign w:val="center"/>
          </w:tcPr>
          <w:p w14:paraId="631FFAEE">
            <w:pPr>
              <w:jc w:val="center"/>
              <w:rPr>
                <w:rFonts w:ascii="Times New Roman" w:eastAsia="仿宋"/>
                <w:szCs w:val="21"/>
              </w:rPr>
            </w:pPr>
            <w:r>
              <w:rPr>
                <w:rFonts w:ascii="Times New Roman" w:eastAsia="仿宋"/>
                <w:szCs w:val="21"/>
              </w:rPr>
              <w:t>2500</w:t>
            </w:r>
          </w:p>
        </w:tc>
        <w:tc>
          <w:tcPr>
            <w:tcW w:w="0" w:type="auto"/>
          </w:tcPr>
          <w:p w14:paraId="7FF0AB31">
            <w:pPr>
              <w:jc w:val="center"/>
              <w:rPr>
                <w:rFonts w:ascii="Times New Roman" w:eastAsia="仿宋"/>
                <w:szCs w:val="21"/>
              </w:rPr>
            </w:pPr>
            <w:r>
              <w:rPr>
                <w:rFonts w:ascii="Times New Roman" w:eastAsia="仿宋"/>
                <w:szCs w:val="21"/>
              </w:rPr>
              <w:t>4.16</w:t>
            </w:r>
          </w:p>
        </w:tc>
        <w:tc>
          <w:tcPr>
            <w:tcW w:w="581" w:type="pct"/>
            <w:vAlign w:val="center"/>
          </w:tcPr>
          <w:p w14:paraId="5FE11BEA">
            <w:pPr>
              <w:jc w:val="center"/>
              <w:rPr>
                <w:rFonts w:ascii="Times New Roman" w:eastAsia="仿宋"/>
                <w:szCs w:val="21"/>
              </w:rPr>
            </w:pPr>
            <w:r>
              <w:rPr>
                <w:rFonts w:hint="eastAsia" w:ascii="Times New Roman" w:eastAsia="仿宋"/>
                <w:szCs w:val="21"/>
              </w:rPr>
              <w:t>0.21</w:t>
            </w:r>
          </w:p>
        </w:tc>
        <w:tc>
          <w:tcPr>
            <w:tcW w:w="0" w:type="auto"/>
          </w:tcPr>
          <w:p w14:paraId="1B238ED9">
            <w:pPr>
              <w:jc w:val="center"/>
              <w:rPr>
                <w:rFonts w:ascii="Times New Roman" w:eastAsia="仿宋"/>
                <w:szCs w:val="21"/>
              </w:rPr>
            </w:pPr>
            <w:r>
              <w:rPr>
                <w:rFonts w:ascii="Times New Roman" w:eastAsia="仿宋"/>
                <w:szCs w:val="21"/>
              </w:rPr>
              <w:t>4.16</w:t>
            </w:r>
          </w:p>
        </w:tc>
        <w:tc>
          <w:tcPr>
            <w:tcW w:w="0" w:type="auto"/>
            <w:vAlign w:val="bottom"/>
          </w:tcPr>
          <w:p w14:paraId="243D9FF3">
            <w:pPr>
              <w:jc w:val="center"/>
              <w:rPr>
                <w:rFonts w:ascii="Times New Roman" w:eastAsia="仿宋"/>
                <w:szCs w:val="21"/>
              </w:rPr>
            </w:pPr>
            <w:r>
              <w:rPr>
                <w:rFonts w:hint="eastAsia" w:ascii="Times New Roman" w:eastAsia="仿宋"/>
                <w:szCs w:val="21"/>
              </w:rPr>
              <w:t>0.34</w:t>
            </w:r>
          </w:p>
        </w:tc>
        <w:tc>
          <w:tcPr>
            <w:tcW w:w="0" w:type="auto"/>
            <w:shd w:val="clear" w:color="auto" w:fill="auto"/>
          </w:tcPr>
          <w:p w14:paraId="5547F014">
            <w:pPr>
              <w:jc w:val="center"/>
              <w:rPr>
                <w:rFonts w:ascii="Times New Roman" w:eastAsia="仿宋"/>
                <w:szCs w:val="21"/>
              </w:rPr>
            </w:pPr>
            <w:r>
              <w:rPr>
                <w:rFonts w:hint="eastAsia" w:ascii="Times New Roman" w:eastAsia="仿宋"/>
                <w:szCs w:val="21"/>
              </w:rPr>
              <w:t>1.09</w:t>
            </w:r>
          </w:p>
        </w:tc>
        <w:tc>
          <w:tcPr>
            <w:tcW w:w="580" w:type="pct"/>
            <w:shd w:val="clear" w:color="auto" w:fill="auto"/>
            <w:vAlign w:val="center"/>
          </w:tcPr>
          <w:p w14:paraId="6BC9BF9E">
            <w:pPr>
              <w:jc w:val="center"/>
              <w:rPr>
                <w:rFonts w:ascii="Times New Roman" w:eastAsia="仿宋"/>
                <w:szCs w:val="21"/>
              </w:rPr>
            </w:pPr>
            <w:r>
              <w:rPr>
                <w:rFonts w:hint="eastAsia" w:ascii="Times New Roman" w:eastAsia="仿宋"/>
                <w:szCs w:val="21"/>
              </w:rPr>
              <w:t>0.24</w:t>
            </w:r>
          </w:p>
        </w:tc>
        <w:tc>
          <w:tcPr>
            <w:tcW w:w="0" w:type="auto"/>
            <w:shd w:val="clear" w:color="auto" w:fill="auto"/>
          </w:tcPr>
          <w:p w14:paraId="2746FDFB">
            <w:pPr>
              <w:jc w:val="center"/>
              <w:rPr>
                <w:rFonts w:ascii="Times New Roman" w:eastAsia="仿宋"/>
                <w:szCs w:val="21"/>
              </w:rPr>
            </w:pPr>
            <w:r>
              <w:rPr>
                <w:rFonts w:hint="eastAsia" w:ascii="Times New Roman" w:eastAsia="仿宋"/>
                <w:szCs w:val="21"/>
              </w:rPr>
              <w:t>0.88</w:t>
            </w:r>
          </w:p>
        </w:tc>
        <w:tc>
          <w:tcPr>
            <w:tcW w:w="583" w:type="pct"/>
            <w:vAlign w:val="center"/>
          </w:tcPr>
          <w:p w14:paraId="76BC1407">
            <w:pPr>
              <w:jc w:val="center"/>
              <w:rPr>
                <w:rFonts w:ascii="Times New Roman" w:eastAsia="仿宋"/>
                <w:szCs w:val="21"/>
              </w:rPr>
            </w:pPr>
            <w:r>
              <w:rPr>
                <w:rFonts w:hint="eastAsia" w:ascii="Times New Roman" w:eastAsia="仿宋"/>
                <w:szCs w:val="21"/>
              </w:rPr>
              <w:t>0.43</w:t>
            </w:r>
          </w:p>
        </w:tc>
      </w:tr>
      <w:tr w14:paraId="768CF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418" w:type="pct"/>
            <w:vAlign w:val="center"/>
          </w:tcPr>
          <w:p w14:paraId="555775F1">
            <w:pPr>
              <w:jc w:val="center"/>
              <w:rPr>
                <w:rFonts w:ascii="Times New Roman" w:eastAsia="仿宋"/>
                <w:szCs w:val="21"/>
              </w:rPr>
            </w:pPr>
            <w:r>
              <w:rPr>
                <w:rFonts w:ascii="Times New Roman" w:eastAsia="仿宋"/>
                <w:szCs w:val="21"/>
              </w:rPr>
              <w:t>下风向最大浓度</w:t>
            </w:r>
          </w:p>
        </w:tc>
        <w:tc>
          <w:tcPr>
            <w:tcW w:w="1133" w:type="pct"/>
            <w:gridSpan w:val="2"/>
            <w:vAlign w:val="center"/>
          </w:tcPr>
          <w:p w14:paraId="3B2D202C">
            <w:pPr>
              <w:jc w:val="center"/>
              <w:rPr>
                <w:rFonts w:ascii="Times New Roman" w:eastAsia="仿宋"/>
                <w:szCs w:val="21"/>
              </w:rPr>
            </w:pPr>
            <w:r>
              <w:rPr>
                <w:rFonts w:ascii="Times New Roman" w:eastAsia="仿宋"/>
                <w:szCs w:val="21"/>
              </w:rPr>
              <w:t>45</w:t>
            </w:r>
            <w:r>
              <w:rPr>
                <w:rFonts w:hint="eastAsia" w:ascii="Times New Roman" w:eastAsia="仿宋"/>
                <w:szCs w:val="21"/>
              </w:rPr>
              <w:t>.</w:t>
            </w:r>
            <w:r>
              <w:rPr>
                <w:rFonts w:ascii="Times New Roman" w:eastAsia="仿宋"/>
                <w:szCs w:val="21"/>
              </w:rPr>
              <w:t>11</w:t>
            </w:r>
          </w:p>
        </w:tc>
        <w:tc>
          <w:tcPr>
            <w:tcW w:w="1148" w:type="pct"/>
            <w:gridSpan w:val="2"/>
            <w:vAlign w:val="center"/>
          </w:tcPr>
          <w:p w14:paraId="55639F37">
            <w:pPr>
              <w:jc w:val="center"/>
              <w:rPr>
                <w:rFonts w:ascii="Times New Roman" w:eastAsia="仿宋"/>
                <w:szCs w:val="21"/>
              </w:rPr>
            </w:pPr>
            <w:r>
              <w:rPr>
                <w:rFonts w:ascii="Times New Roman" w:eastAsia="仿宋"/>
                <w:szCs w:val="21"/>
              </w:rPr>
              <w:t>45.11</w:t>
            </w:r>
          </w:p>
        </w:tc>
        <w:tc>
          <w:tcPr>
            <w:tcW w:w="1148" w:type="pct"/>
            <w:gridSpan w:val="2"/>
            <w:vAlign w:val="center"/>
          </w:tcPr>
          <w:p w14:paraId="707D2682">
            <w:pPr>
              <w:jc w:val="center"/>
              <w:rPr>
                <w:rFonts w:ascii="Times New Roman" w:eastAsia="仿宋"/>
                <w:szCs w:val="21"/>
              </w:rPr>
            </w:pPr>
            <w:r>
              <w:rPr>
                <w:rFonts w:ascii="Times New Roman" w:eastAsia="仿宋"/>
                <w:szCs w:val="21"/>
              </w:rPr>
              <w:t>11</w:t>
            </w:r>
            <w:r>
              <w:rPr>
                <w:rFonts w:hint="eastAsia" w:ascii="Times New Roman" w:eastAsia="仿宋"/>
                <w:szCs w:val="21"/>
              </w:rPr>
              <w:t>.</w:t>
            </w:r>
            <w:r>
              <w:rPr>
                <w:rFonts w:ascii="Times New Roman" w:eastAsia="仿宋"/>
                <w:szCs w:val="21"/>
              </w:rPr>
              <w:t>91</w:t>
            </w:r>
          </w:p>
        </w:tc>
        <w:tc>
          <w:tcPr>
            <w:tcW w:w="1153" w:type="pct"/>
            <w:gridSpan w:val="2"/>
            <w:vAlign w:val="center"/>
          </w:tcPr>
          <w:p w14:paraId="2145A36F">
            <w:pPr>
              <w:jc w:val="center"/>
              <w:rPr>
                <w:rFonts w:ascii="Times New Roman" w:eastAsia="仿宋"/>
                <w:szCs w:val="21"/>
              </w:rPr>
            </w:pPr>
            <w:r>
              <w:rPr>
                <w:rFonts w:ascii="Times New Roman" w:eastAsia="仿宋"/>
                <w:szCs w:val="21"/>
              </w:rPr>
              <w:t>9.49</w:t>
            </w:r>
          </w:p>
        </w:tc>
      </w:tr>
      <w:tr w14:paraId="4E253C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03" w:hRule="atLeast"/>
          <w:jc w:val="center"/>
        </w:trPr>
        <w:tc>
          <w:tcPr>
            <w:tcW w:w="418" w:type="pct"/>
            <w:vAlign w:val="center"/>
          </w:tcPr>
          <w:p w14:paraId="356E97F1">
            <w:pPr>
              <w:jc w:val="center"/>
              <w:rPr>
                <w:rFonts w:ascii="Times New Roman" w:eastAsia="仿宋"/>
                <w:szCs w:val="21"/>
              </w:rPr>
            </w:pPr>
            <w:r>
              <w:rPr>
                <w:rFonts w:ascii="Times New Roman" w:eastAsia="仿宋"/>
                <w:szCs w:val="21"/>
              </w:rPr>
              <w:t>下风向最大浓度出现距离/m</w:t>
            </w:r>
          </w:p>
        </w:tc>
        <w:tc>
          <w:tcPr>
            <w:tcW w:w="1133" w:type="pct"/>
            <w:gridSpan w:val="2"/>
            <w:vAlign w:val="center"/>
          </w:tcPr>
          <w:p w14:paraId="60FA6515">
            <w:pPr>
              <w:jc w:val="center"/>
              <w:rPr>
                <w:rFonts w:ascii="Times New Roman" w:eastAsia="仿宋"/>
                <w:szCs w:val="21"/>
              </w:rPr>
            </w:pPr>
            <w:r>
              <w:rPr>
                <w:rFonts w:hint="eastAsia" w:ascii="Times New Roman" w:eastAsia="仿宋"/>
                <w:szCs w:val="21"/>
              </w:rPr>
              <w:t>107</w:t>
            </w:r>
          </w:p>
        </w:tc>
        <w:tc>
          <w:tcPr>
            <w:tcW w:w="1148" w:type="pct"/>
            <w:gridSpan w:val="2"/>
            <w:vAlign w:val="center"/>
          </w:tcPr>
          <w:p w14:paraId="442FA9A0">
            <w:pPr>
              <w:jc w:val="center"/>
              <w:rPr>
                <w:rFonts w:ascii="Times New Roman" w:eastAsia="仿宋"/>
                <w:szCs w:val="21"/>
              </w:rPr>
            </w:pPr>
            <w:r>
              <w:rPr>
                <w:rFonts w:hint="eastAsia" w:ascii="Times New Roman" w:eastAsia="仿宋"/>
                <w:szCs w:val="21"/>
              </w:rPr>
              <w:t>1</w:t>
            </w:r>
            <w:r>
              <w:rPr>
                <w:rFonts w:ascii="Times New Roman" w:eastAsia="仿宋"/>
                <w:szCs w:val="21"/>
              </w:rPr>
              <w:t>07</w:t>
            </w:r>
          </w:p>
        </w:tc>
        <w:tc>
          <w:tcPr>
            <w:tcW w:w="1148" w:type="pct"/>
            <w:gridSpan w:val="2"/>
            <w:vAlign w:val="center"/>
          </w:tcPr>
          <w:p w14:paraId="4EA85523">
            <w:pPr>
              <w:jc w:val="center"/>
              <w:rPr>
                <w:rFonts w:ascii="Times New Roman" w:eastAsia="仿宋"/>
                <w:szCs w:val="21"/>
              </w:rPr>
            </w:pPr>
            <w:r>
              <w:rPr>
                <w:rFonts w:hint="eastAsia" w:ascii="Times New Roman" w:eastAsia="仿宋"/>
                <w:szCs w:val="21"/>
              </w:rPr>
              <w:t>107</w:t>
            </w:r>
          </w:p>
        </w:tc>
        <w:tc>
          <w:tcPr>
            <w:tcW w:w="1153" w:type="pct"/>
            <w:gridSpan w:val="2"/>
            <w:vAlign w:val="center"/>
          </w:tcPr>
          <w:p w14:paraId="6DA8BA61">
            <w:pPr>
              <w:jc w:val="center"/>
              <w:rPr>
                <w:rFonts w:ascii="Times New Roman" w:eastAsia="仿宋"/>
                <w:szCs w:val="21"/>
              </w:rPr>
            </w:pPr>
            <w:r>
              <w:rPr>
                <w:rFonts w:hint="eastAsia" w:ascii="Times New Roman" w:eastAsia="仿宋"/>
                <w:szCs w:val="21"/>
              </w:rPr>
              <w:t>107</w:t>
            </w:r>
          </w:p>
        </w:tc>
      </w:tr>
      <w:tr w14:paraId="038B33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6" w:hRule="atLeast"/>
          <w:jc w:val="center"/>
        </w:trPr>
        <w:tc>
          <w:tcPr>
            <w:tcW w:w="418" w:type="pct"/>
            <w:vAlign w:val="center"/>
          </w:tcPr>
          <w:p w14:paraId="73757D0B">
            <w:pPr>
              <w:jc w:val="center"/>
              <w:rPr>
                <w:rFonts w:ascii="Times New Roman" w:eastAsia="仿宋"/>
                <w:szCs w:val="21"/>
              </w:rPr>
            </w:pPr>
            <w:r>
              <w:rPr>
                <w:rFonts w:ascii="Times New Roman" w:eastAsia="仿宋"/>
                <w:szCs w:val="21"/>
              </w:rPr>
              <w:t>D10%最远距离/m</w:t>
            </w:r>
          </w:p>
        </w:tc>
        <w:tc>
          <w:tcPr>
            <w:tcW w:w="1133" w:type="pct"/>
            <w:gridSpan w:val="2"/>
            <w:vAlign w:val="center"/>
          </w:tcPr>
          <w:p w14:paraId="500FD961">
            <w:pPr>
              <w:jc w:val="center"/>
              <w:rPr>
                <w:rFonts w:ascii="Times New Roman" w:eastAsia="仿宋"/>
                <w:szCs w:val="21"/>
              </w:rPr>
            </w:pPr>
            <w:r>
              <w:rPr>
                <w:rFonts w:ascii="Times New Roman" w:eastAsia="仿宋"/>
                <w:szCs w:val="21"/>
              </w:rPr>
              <w:t>/</w:t>
            </w:r>
          </w:p>
        </w:tc>
        <w:tc>
          <w:tcPr>
            <w:tcW w:w="1148" w:type="pct"/>
            <w:gridSpan w:val="2"/>
            <w:vAlign w:val="center"/>
          </w:tcPr>
          <w:p w14:paraId="49FFD30D">
            <w:pPr>
              <w:jc w:val="center"/>
              <w:rPr>
                <w:rFonts w:ascii="Times New Roman" w:eastAsia="仿宋"/>
                <w:szCs w:val="21"/>
              </w:rPr>
            </w:pPr>
            <w:r>
              <w:rPr>
                <w:rFonts w:hint="eastAsia" w:ascii="Times New Roman" w:eastAsia="仿宋"/>
                <w:szCs w:val="21"/>
              </w:rPr>
              <w:t>/</w:t>
            </w:r>
          </w:p>
        </w:tc>
        <w:tc>
          <w:tcPr>
            <w:tcW w:w="1148" w:type="pct"/>
            <w:gridSpan w:val="2"/>
            <w:vAlign w:val="center"/>
          </w:tcPr>
          <w:p w14:paraId="0366BE34">
            <w:pPr>
              <w:jc w:val="center"/>
              <w:rPr>
                <w:rFonts w:ascii="Times New Roman" w:eastAsia="仿宋"/>
                <w:szCs w:val="21"/>
              </w:rPr>
            </w:pPr>
            <w:r>
              <w:rPr>
                <w:rFonts w:ascii="Times New Roman" w:eastAsia="仿宋"/>
                <w:szCs w:val="21"/>
              </w:rPr>
              <w:t>/</w:t>
            </w:r>
          </w:p>
        </w:tc>
        <w:tc>
          <w:tcPr>
            <w:tcW w:w="1153" w:type="pct"/>
            <w:gridSpan w:val="2"/>
            <w:vAlign w:val="center"/>
          </w:tcPr>
          <w:p w14:paraId="3E3EEE13">
            <w:pPr>
              <w:jc w:val="center"/>
              <w:rPr>
                <w:rFonts w:ascii="Times New Roman" w:eastAsia="仿宋"/>
                <w:szCs w:val="21"/>
              </w:rPr>
            </w:pPr>
            <w:r>
              <w:rPr>
                <w:rFonts w:ascii="Times New Roman" w:eastAsia="仿宋"/>
                <w:szCs w:val="21"/>
              </w:rPr>
              <w:t>/</w:t>
            </w:r>
          </w:p>
        </w:tc>
      </w:tr>
    </w:tbl>
    <w:p w14:paraId="74EA789B">
      <w:pPr>
        <w:spacing w:line="500" w:lineRule="exact"/>
        <w:jc w:val="center"/>
        <w:rPr>
          <w:rFonts w:ascii="Times New Roman" w:eastAsia="仿宋"/>
          <w:b/>
        </w:rPr>
      </w:pPr>
      <w:r>
        <w:rPr>
          <w:rFonts w:hint="eastAsia" w:ascii="Times New Roman" w:eastAsia="仿宋"/>
          <w:b/>
        </w:rPr>
        <w:t>表</w:t>
      </w:r>
      <w:r>
        <w:rPr>
          <w:rFonts w:ascii="Times New Roman" w:eastAsia="仿宋"/>
          <w:b/>
        </w:rPr>
        <w:t xml:space="preserve">5.2- </w:t>
      </w:r>
      <w:r>
        <w:rPr>
          <w:rFonts w:hint="eastAsia" w:ascii="Times New Roman" w:eastAsia="仿宋"/>
          <w:b/>
        </w:rPr>
        <w:t>1</w:t>
      </w:r>
      <w:r>
        <w:rPr>
          <w:rFonts w:ascii="Times New Roman" w:eastAsia="仿宋"/>
          <w:b/>
        </w:rPr>
        <w:t xml:space="preserve">3  </w:t>
      </w:r>
      <w:r>
        <w:rPr>
          <w:rFonts w:hint="eastAsia" w:ascii="Times New Roman" w:eastAsia="仿宋"/>
          <w:b/>
        </w:rPr>
        <w:t>4</w:t>
      </w:r>
      <w:r>
        <w:rPr>
          <w:rFonts w:ascii="Times New Roman" w:eastAsia="仿宋"/>
          <w:b/>
        </w:rPr>
        <w:t>#</w:t>
      </w:r>
      <w:r>
        <w:rPr>
          <w:rFonts w:hint="eastAsia" w:ascii="Times New Roman" w:eastAsia="仿宋"/>
          <w:b/>
        </w:rPr>
        <w:t>排气筒估算模型计算结果表</w:t>
      </w:r>
    </w:p>
    <w:tbl>
      <w:tblPr>
        <w:tblStyle w:val="87"/>
        <w:tblW w:w="660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44"/>
        <w:gridCol w:w="764"/>
        <w:gridCol w:w="819"/>
        <w:gridCol w:w="876"/>
        <w:gridCol w:w="876"/>
        <w:gridCol w:w="977"/>
        <w:gridCol w:w="775"/>
        <w:gridCol w:w="977"/>
        <w:gridCol w:w="781"/>
        <w:gridCol w:w="952"/>
        <w:gridCol w:w="718"/>
        <w:gridCol w:w="860"/>
        <w:gridCol w:w="755"/>
      </w:tblGrid>
      <w:tr w14:paraId="5385B9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Merge w:val="restart"/>
            <w:vAlign w:val="center"/>
          </w:tcPr>
          <w:p w14:paraId="4BD427A4">
            <w:pPr>
              <w:jc w:val="center"/>
              <w:rPr>
                <w:rFonts w:ascii="Times New Roman" w:eastAsia="仿宋"/>
                <w:szCs w:val="21"/>
              </w:rPr>
            </w:pPr>
            <w:r>
              <w:rPr>
                <w:rFonts w:ascii="Times New Roman" w:eastAsia="仿宋"/>
                <w:szCs w:val="21"/>
              </w:rPr>
              <w:t>距离(m)</w:t>
            </w:r>
          </w:p>
        </w:tc>
        <w:tc>
          <w:tcPr>
            <w:tcW w:w="4615" w:type="pct"/>
            <w:gridSpan w:val="12"/>
          </w:tcPr>
          <w:p w14:paraId="351E9C67">
            <w:pPr>
              <w:jc w:val="center"/>
              <w:rPr>
                <w:rFonts w:ascii="Times New Roman" w:eastAsia="仿宋"/>
                <w:szCs w:val="21"/>
              </w:rPr>
            </w:pPr>
            <w:r>
              <w:rPr>
                <w:rFonts w:ascii="Times New Roman" w:eastAsia="仿宋"/>
                <w:szCs w:val="21"/>
              </w:rPr>
              <w:t>4#排气筒</w:t>
            </w:r>
          </w:p>
        </w:tc>
      </w:tr>
      <w:tr w14:paraId="2838AB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385" w:type="pct"/>
            <w:vMerge w:val="continue"/>
            <w:vAlign w:val="center"/>
          </w:tcPr>
          <w:p w14:paraId="512CD8E5">
            <w:pPr>
              <w:jc w:val="center"/>
              <w:rPr>
                <w:rFonts w:ascii="Times New Roman" w:eastAsia="仿宋"/>
                <w:szCs w:val="21"/>
              </w:rPr>
            </w:pPr>
          </w:p>
        </w:tc>
        <w:tc>
          <w:tcPr>
            <w:tcW w:w="721" w:type="pct"/>
            <w:gridSpan w:val="2"/>
            <w:vAlign w:val="center"/>
          </w:tcPr>
          <w:p w14:paraId="79CEFBA4">
            <w:pPr>
              <w:jc w:val="center"/>
              <w:rPr>
                <w:rFonts w:ascii="Times New Roman" w:eastAsia="仿宋"/>
                <w:szCs w:val="21"/>
              </w:rPr>
            </w:pPr>
            <w:r>
              <w:rPr>
                <w:rFonts w:hint="eastAsia" w:ascii="Times New Roman" w:eastAsia="仿宋"/>
                <w:szCs w:val="21"/>
              </w:rPr>
              <w:t>非甲烷总烃</w:t>
            </w:r>
          </w:p>
        </w:tc>
        <w:tc>
          <w:tcPr>
            <w:tcW w:w="798" w:type="pct"/>
            <w:gridSpan w:val="2"/>
          </w:tcPr>
          <w:p w14:paraId="6D67F8C1">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798" w:type="pct"/>
            <w:gridSpan w:val="2"/>
            <w:vAlign w:val="center"/>
          </w:tcPr>
          <w:p w14:paraId="741DDB49">
            <w:pPr>
              <w:jc w:val="center"/>
              <w:rPr>
                <w:rFonts w:ascii="Times New Roman" w:eastAsia="仿宋"/>
                <w:szCs w:val="21"/>
              </w:rPr>
            </w:pPr>
            <w:r>
              <w:rPr>
                <w:rFonts w:hint="eastAsia" w:ascii="Times New Roman" w:eastAsia="仿宋"/>
                <w:szCs w:val="21"/>
              </w:rPr>
              <w:t>P</w:t>
            </w:r>
            <w:r>
              <w:rPr>
                <w:rFonts w:ascii="Times New Roman" w:eastAsia="仿宋"/>
                <w:szCs w:val="21"/>
              </w:rPr>
              <w:t>M</w:t>
            </w:r>
            <w:r>
              <w:rPr>
                <w:rFonts w:ascii="Times New Roman" w:eastAsia="仿宋"/>
                <w:szCs w:val="21"/>
                <w:vertAlign w:val="subscript"/>
              </w:rPr>
              <w:t>10</w:t>
            </w:r>
          </w:p>
        </w:tc>
        <w:tc>
          <w:tcPr>
            <w:tcW w:w="801" w:type="pct"/>
            <w:gridSpan w:val="2"/>
            <w:vAlign w:val="center"/>
          </w:tcPr>
          <w:p w14:paraId="663E3D3C">
            <w:pPr>
              <w:jc w:val="center"/>
              <w:rPr>
                <w:rFonts w:ascii="Times New Roman" w:eastAsia="仿宋"/>
                <w:szCs w:val="21"/>
              </w:rPr>
            </w:pPr>
            <w:r>
              <w:rPr>
                <w:rFonts w:hint="eastAsia" w:ascii="Times New Roman" w:eastAsia="仿宋"/>
                <w:szCs w:val="21"/>
              </w:rPr>
              <w:t>二甲苯</w:t>
            </w:r>
          </w:p>
        </w:tc>
        <w:tc>
          <w:tcPr>
            <w:tcW w:w="761" w:type="pct"/>
            <w:gridSpan w:val="2"/>
            <w:vAlign w:val="center"/>
          </w:tcPr>
          <w:p w14:paraId="11C022C7">
            <w:pPr>
              <w:jc w:val="center"/>
              <w:rPr>
                <w:rFonts w:ascii="Times New Roman" w:eastAsia="仿宋"/>
                <w:szCs w:val="21"/>
              </w:rPr>
            </w:pPr>
            <w:r>
              <w:rPr>
                <w:rFonts w:hint="eastAsia" w:ascii="Times New Roman" w:eastAsia="仿宋"/>
                <w:szCs w:val="21"/>
              </w:rPr>
              <w:t>二氧化硫</w:t>
            </w:r>
          </w:p>
        </w:tc>
        <w:tc>
          <w:tcPr>
            <w:tcW w:w="736" w:type="pct"/>
            <w:gridSpan w:val="2"/>
            <w:vAlign w:val="center"/>
          </w:tcPr>
          <w:p w14:paraId="7BDC5182">
            <w:pPr>
              <w:jc w:val="center"/>
              <w:rPr>
                <w:rFonts w:ascii="Times New Roman" w:eastAsia="仿宋"/>
                <w:szCs w:val="21"/>
              </w:rPr>
            </w:pPr>
            <w:r>
              <w:rPr>
                <w:rFonts w:hint="eastAsia" w:ascii="Times New Roman" w:eastAsia="仿宋"/>
                <w:szCs w:val="21"/>
              </w:rPr>
              <w:t>氮氧化物</w:t>
            </w:r>
          </w:p>
        </w:tc>
      </w:tr>
      <w:tr w14:paraId="62DB6A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385" w:type="pct"/>
            <w:vMerge w:val="continue"/>
            <w:vAlign w:val="center"/>
          </w:tcPr>
          <w:p w14:paraId="21018CA8">
            <w:pPr>
              <w:jc w:val="center"/>
              <w:rPr>
                <w:rFonts w:ascii="Times New Roman" w:eastAsia="仿宋"/>
                <w:szCs w:val="21"/>
              </w:rPr>
            </w:pPr>
          </w:p>
        </w:tc>
        <w:tc>
          <w:tcPr>
            <w:tcW w:w="348" w:type="pct"/>
            <w:vAlign w:val="center"/>
          </w:tcPr>
          <w:p w14:paraId="5A542724">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73" w:type="pct"/>
            <w:vAlign w:val="center"/>
          </w:tcPr>
          <w:p w14:paraId="023ABEBC">
            <w:pPr>
              <w:jc w:val="center"/>
              <w:rPr>
                <w:rFonts w:ascii="Times New Roman" w:eastAsia="仿宋"/>
                <w:szCs w:val="21"/>
              </w:rPr>
            </w:pPr>
            <w:r>
              <w:rPr>
                <w:rFonts w:ascii="Times New Roman" w:eastAsia="仿宋"/>
                <w:szCs w:val="21"/>
              </w:rPr>
              <w:t>占标率(%)</w:t>
            </w:r>
          </w:p>
        </w:tc>
        <w:tc>
          <w:tcPr>
            <w:tcW w:w="399" w:type="pct"/>
            <w:vAlign w:val="center"/>
          </w:tcPr>
          <w:p w14:paraId="3870CDDA">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99" w:type="pct"/>
            <w:vAlign w:val="center"/>
          </w:tcPr>
          <w:p w14:paraId="6363C3F8">
            <w:pPr>
              <w:jc w:val="center"/>
              <w:rPr>
                <w:rFonts w:ascii="Times New Roman" w:eastAsia="仿宋"/>
                <w:szCs w:val="21"/>
              </w:rPr>
            </w:pPr>
            <w:r>
              <w:rPr>
                <w:rFonts w:ascii="Times New Roman" w:eastAsia="仿宋"/>
                <w:szCs w:val="21"/>
              </w:rPr>
              <w:t>占标率(%)</w:t>
            </w:r>
          </w:p>
        </w:tc>
        <w:tc>
          <w:tcPr>
            <w:tcW w:w="445" w:type="pct"/>
            <w:vAlign w:val="center"/>
          </w:tcPr>
          <w:p w14:paraId="2DE04E63">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53" w:type="pct"/>
            <w:vAlign w:val="center"/>
          </w:tcPr>
          <w:p w14:paraId="5AFD633C">
            <w:pPr>
              <w:jc w:val="center"/>
              <w:rPr>
                <w:rFonts w:ascii="Times New Roman" w:eastAsia="仿宋"/>
                <w:szCs w:val="21"/>
              </w:rPr>
            </w:pPr>
            <w:r>
              <w:rPr>
                <w:rFonts w:ascii="Times New Roman" w:eastAsia="仿宋"/>
                <w:szCs w:val="21"/>
              </w:rPr>
              <w:t>占标率(%)</w:t>
            </w:r>
          </w:p>
        </w:tc>
        <w:tc>
          <w:tcPr>
            <w:tcW w:w="445" w:type="pct"/>
            <w:vAlign w:val="center"/>
          </w:tcPr>
          <w:p w14:paraId="230428E3">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56" w:type="pct"/>
            <w:vAlign w:val="center"/>
          </w:tcPr>
          <w:p w14:paraId="6E8C312A">
            <w:pPr>
              <w:jc w:val="center"/>
              <w:rPr>
                <w:rFonts w:ascii="Times New Roman" w:eastAsia="仿宋"/>
                <w:szCs w:val="21"/>
              </w:rPr>
            </w:pPr>
            <w:r>
              <w:rPr>
                <w:rFonts w:ascii="Times New Roman" w:eastAsia="仿宋"/>
                <w:szCs w:val="21"/>
              </w:rPr>
              <w:t>占标率(%)</w:t>
            </w:r>
          </w:p>
        </w:tc>
        <w:tc>
          <w:tcPr>
            <w:tcW w:w="434" w:type="pct"/>
            <w:vAlign w:val="center"/>
          </w:tcPr>
          <w:p w14:paraId="3729715D">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27" w:type="pct"/>
            <w:vAlign w:val="center"/>
          </w:tcPr>
          <w:p w14:paraId="5FA2A4D4">
            <w:pPr>
              <w:jc w:val="center"/>
              <w:rPr>
                <w:rFonts w:ascii="Times New Roman" w:eastAsia="仿宋"/>
                <w:szCs w:val="21"/>
              </w:rPr>
            </w:pPr>
            <w:r>
              <w:rPr>
                <w:rFonts w:ascii="Times New Roman" w:eastAsia="仿宋"/>
                <w:szCs w:val="21"/>
              </w:rPr>
              <w:t>占标率(%)</w:t>
            </w:r>
          </w:p>
        </w:tc>
        <w:tc>
          <w:tcPr>
            <w:tcW w:w="392" w:type="pct"/>
            <w:vAlign w:val="center"/>
          </w:tcPr>
          <w:p w14:paraId="5DE593F8">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344" w:type="pct"/>
            <w:vAlign w:val="center"/>
          </w:tcPr>
          <w:p w14:paraId="24FDB965">
            <w:pPr>
              <w:jc w:val="center"/>
              <w:rPr>
                <w:rFonts w:ascii="Times New Roman" w:eastAsia="仿宋"/>
                <w:szCs w:val="21"/>
              </w:rPr>
            </w:pPr>
            <w:r>
              <w:rPr>
                <w:rFonts w:ascii="Times New Roman" w:eastAsia="仿宋"/>
                <w:szCs w:val="21"/>
              </w:rPr>
              <w:t>占标率(%)</w:t>
            </w:r>
          </w:p>
        </w:tc>
      </w:tr>
      <w:tr w14:paraId="480CC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0E3EA305">
            <w:pPr>
              <w:jc w:val="center"/>
              <w:rPr>
                <w:rFonts w:ascii="Times New Roman" w:eastAsia="仿宋"/>
                <w:szCs w:val="21"/>
              </w:rPr>
            </w:pPr>
            <w:r>
              <w:rPr>
                <w:rFonts w:ascii="Times New Roman" w:eastAsia="仿宋"/>
                <w:szCs w:val="21"/>
              </w:rPr>
              <w:t>50</w:t>
            </w:r>
          </w:p>
        </w:tc>
        <w:tc>
          <w:tcPr>
            <w:tcW w:w="348" w:type="pct"/>
          </w:tcPr>
          <w:p w14:paraId="58390797">
            <w:pPr>
              <w:jc w:val="center"/>
              <w:rPr>
                <w:rFonts w:ascii="Times New Roman" w:eastAsia="仿宋"/>
                <w:szCs w:val="21"/>
              </w:rPr>
            </w:pPr>
            <w:r>
              <w:rPr>
                <w:rFonts w:ascii="Times New Roman" w:eastAsia="仿宋"/>
                <w:szCs w:val="21"/>
              </w:rPr>
              <w:t>5.87</w:t>
            </w:r>
          </w:p>
        </w:tc>
        <w:tc>
          <w:tcPr>
            <w:tcW w:w="373" w:type="pct"/>
          </w:tcPr>
          <w:p w14:paraId="4B99E9FC">
            <w:pPr>
              <w:jc w:val="center"/>
              <w:rPr>
                <w:rFonts w:ascii="Times New Roman" w:eastAsia="仿宋"/>
                <w:szCs w:val="21"/>
              </w:rPr>
            </w:pPr>
            <w:r>
              <w:rPr>
                <w:rFonts w:ascii="Times New Roman" w:eastAsia="仿宋"/>
                <w:szCs w:val="21"/>
              </w:rPr>
              <w:t>0.29</w:t>
            </w:r>
          </w:p>
        </w:tc>
        <w:tc>
          <w:tcPr>
            <w:tcW w:w="399" w:type="pct"/>
            <w:vAlign w:val="center"/>
          </w:tcPr>
          <w:p w14:paraId="4ABE69FC">
            <w:pPr>
              <w:jc w:val="center"/>
              <w:rPr>
                <w:rFonts w:ascii="Times New Roman" w:eastAsia="仿宋"/>
                <w:szCs w:val="21"/>
              </w:rPr>
            </w:pPr>
            <w:r>
              <w:rPr>
                <w:rFonts w:ascii="Times New Roman" w:eastAsia="仿宋"/>
                <w:szCs w:val="21"/>
              </w:rPr>
              <w:t>5.87</w:t>
            </w:r>
          </w:p>
        </w:tc>
        <w:tc>
          <w:tcPr>
            <w:tcW w:w="399" w:type="pct"/>
            <w:vAlign w:val="center"/>
          </w:tcPr>
          <w:p w14:paraId="44DA34B2">
            <w:pPr>
              <w:widowControl/>
              <w:jc w:val="center"/>
              <w:rPr>
                <w:rFonts w:ascii="Times New Roman" w:eastAsia="仿宋"/>
                <w:szCs w:val="21"/>
              </w:rPr>
            </w:pPr>
            <w:r>
              <w:rPr>
                <w:rFonts w:hint="eastAsia" w:ascii="Times New Roman" w:eastAsia="仿宋"/>
                <w:szCs w:val="21"/>
              </w:rPr>
              <w:t>0.48</w:t>
            </w:r>
          </w:p>
        </w:tc>
        <w:tc>
          <w:tcPr>
            <w:tcW w:w="445" w:type="pct"/>
          </w:tcPr>
          <w:p w14:paraId="30B3ADD0">
            <w:pPr>
              <w:jc w:val="center"/>
              <w:rPr>
                <w:rFonts w:ascii="Times New Roman" w:eastAsia="仿宋"/>
                <w:szCs w:val="21"/>
              </w:rPr>
            </w:pPr>
            <w:r>
              <w:rPr>
                <w:rFonts w:ascii="Times New Roman" w:eastAsia="仿宋"/>
                <w:szCs w:val="21"/>
              </w:rPr>
              <w:t>0.411</w:t>
            </w:r>
          </w:p>
        </w:tc>
        <w:tc>
          <w:tcPr>
            <w:tcW w:w="353" w:type="pct"/>
          </w:tcPr>
          <w:p w14:paraId="3506AFCD">
            <w:pPr>
              <w:jc w:val="center"/>
              <w:rPr>
                <w:rFonts w:ascii="Times New Roman" w:eastAsia="仿宋"/>
                <w:szCs w:val="21"/>
              </w:rPr>
            </w:pPr>
            <w:r>
              <w:rPr>
                <w:rFonts w:ascii="Times New Roman" w:eastAsia="仿宋"/>
                <w:szCs w:val="21"/>
              </w:rPr>
              <w:t>0.09</w:t>
            </w:r>
          </w:p>
        </w:tc>
        <w:tc>
          <w:tcPr>
            <w:tcW w:w="445" w:type="pct"/>
          </w:tcPr>
          <w:p w14:paraId="7A9E7A3A">
            <w:pPr>
              <w:jc w:val="center"/>
              <w:rPr>
                <w:rFonts w:ascii="Times New Roman" w:eastAsia="仿宋"/>
                <w:szCs w:val="21"/>
              </w:rPr>
            </w:pPr>
            <w:r>
              <w:rPr>
                <w:rFonts w:ascii="Times New Roman" w:eastAsia="仿宋"/>
                <w:szCs w:val="21"/>
              </w:rPr>
              <w:t>1.47</w:t>
            </w:r>
          </w:p>
        </w:tc>
        <w:tc>
          <w:tcPr>
            <w:tcW w:w="356" w:type="pct"/>
          </w:tcPr>
          <w:p w14:paraId="5080F5D0">
            <w:pPr>
              <w:jc w:val="center"/>
              <w:rPr>
                <w:rFonts w:ascii="Times New Roman" w:eastAsia="仿宋"/>
                <w:szCs w:val="21"/>
              </w:rPr>
            </w:pPr>
            <w:r>
              <w:rPr>
                <w:rFonts w:ascii="Times New Roman" w:eastAsia="仿宋"/>
                <w:szCs w:val="21"/>
              </w:rPr>
              <w:t>0.73</w:t>
            </w:r>
          </w:p>
        </w:tc>
        <w:tc>
          <w:tcPr>
            <w:tcW w:w="434" w:type="pct"/>
          </w:tcPr>
          <w:p w14:paraId="72AA0721">
            <w:pPr>
              <w:jc w:val="center"/>
              <w:rPr>
                <w:rFonts w:ascii="Times New Roman" w:eastAsia="仿宋"/>
                <w:szCs w:val="21"/>
              </w:rPr>
            </w:pPr>
            <w:r>
              <w:rPr>
                <w:rFonts w:ascii="Times New Roman" w:eastAsia="仿宋"/>
                <w:szCs w:val="21"/>
              </w:rPr>
              <w:t>0.0587</w:t>
            </w:r>
          </w:p>
        </w:tc>
        <w:tc>
          <w:tcPr>
            <w:tcW w:w="327" w:type="pct"/>
          </w:tcPr>
          <w:p w14:paraId="103B7BA5">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0AEB400D">
            <w:pPr>
              <w:jc w:val="center"/>
              <w:rPr>
                <w:rFonts w:ascii="Times New Roman" w:eastAsia="仿宋"/>
                <w:szCs w:val="21"/>
              </w:rPr>
            </w:pPr>
            <w:r>
              <w:rPr>
                <w:rFonts w:hint="eastAsia" w:ascii="Times New Roman" w:eastAsia="仿宋"/>
                <w:szCs w:val="21"/>
              </w:rPr>
              <w:t>2.94</w:t>
            </w:r>
          </w:p>
        </w:tc>
        <w:tc>
          <w:tcPr>
            <w:tcW w:w="344" w:type="pct"/>
            <w:vAlign w:val="bottom"/>
          </w:tcPr>
          <w:p w14:paraId="19E38C99">
            <w:pPr>
              <w:jc w:val="center"/>
              <w:rPr>
                <w:rFonts w:ascii="Times New Roman" w:eastAsia="仿宋"/>
                <w:szCs w:val="21"/>
              </w:rPr>
            </w:pPr>
            <w:r>
              <w:rPr>
                <w:rFonts w:hint="eastAsia" w:ascii="Times New Roman" w:eastAsia="仿宋"/>
                <w:szCs w:val="21"/>
              </w:rPr>
              <w:t>1.47</w:t>
            </w:r>
          </w:p>
        </w:tc>
      </w:tr>
      <w:tr w14:paraId="7E3E40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7095A37D">
            <w:pPr>
              <w:jc w:val="center"/>
              <w:rPr>
                <w:rFonts w:ascii="Times New Roman" w:eastAsia="仿宋"/>
                <w:szCs w:val="21"/>
              </w:rPr>
            </w:pPr>
            <w:r>
              <w:rPr>
                <w:rFonts w:ascii="Times New Roman" w:eastAsia="仿宋"/>
                <w:szCs w:val="21"/>
              </w:rPr>
              <w:t>100</w:t>
            </w:r>
          </w:p>
        </w:tc>
        <w:tc>
          <w:tcPr>
            <w:tcW w:w="348" w:type="pct"/>
          </w:tcPr>
          <w:p w14:paraId="0D98E20F">
            <w:pPr>
              <w:jc w:val="center"/>
              <w:rPr>
                <w:rFonts w:ascii="Times New Roman" w:eastAsia="仿宋"/>
                <w:szCs w:val="21"/>
              </w:rPr>
            </w:pPr>
            <w:r>
              <w:rPr>
                <w:rFonts w:ascii="Times New Roman" w:eastAsia="仿宋"/>
                <w:szCs w:val="21"/>
              </w:rPr>
              <w:t>7.92</w:t>
            </w:r>
          </w:p>
        </w:tc>
        <w:tc>
          <w:tcPr>
            <w:tcW w:w="373" w:type="pct"/>
          </w:tcPr>
          <w:p w14:paraId="576A4481">
            <w:pPr>
              <w:jc w:val="center"/>
              <w:rPr>
                <w:rFonts w:ascii="Times New Roman" w:eastAsia="仿宋"/>
                <w:szCs w:val="21"/>
              </w:rPr>
            </w:pPr>
            <w:r>
              <w:rPr>
                <w:rFonts w:ascii="Times New Roman" w:eastAsia="仿宋"/>
                <w:szCs w:val="21"/>
              </w:rPr>
              <w:t>0.40</w:t>
            </w:r>
          </w:p>
        </w:tc>
        <w:tc>
          <w:tcPr>
            <w:tcW w:w="399" w:type="pct"/>
            <w:vAlign w:val="center"/>
          </w:tcPr>
          <w:p w14:paraId="36D50451">
            <w:pPr>
              <w:jc w:val="center"/>
              <w:rPr>
                <w:rFonts w:ascii="Times New Roman" w:eastAsia="仿宋"/>
                <w:szCs w:val="21"/>
              </w:rPr>
            </w:pPr>
            <w:r>
              <w:rPr>
                <w:rFonts w:ascii="Times New Roman" w:eastAsia="仿宋"/>
                <w:szCs w:val="21"/>
              </w:rPr>
              <w:t>7.92</w:t>
            </w:r>
          </w:p>
        </w:tc>
        <w:tc>
          <w:tcPr>
            <w:tcW w:w="399" w:type="pct"/>
            <w:vAlign w:val="center"/>
          </w:tcPr>
          <w:p w14:paraId="7C2E49E0">
            <w:pPr>
              <w:jc w:val="center"/>
              <w:rPr>
                <w:rFonts w:ascii="Times New Roman" w:eastAsia="仿宋"/>
                <w:szCs w:val="21"/>
              </w:rPr>
            </w:pPr>
            <w:r>
              <w:rPr>
                <w:rFonts w:hint="eastAsia" w:ascii="Times New Roman" w:eastAsia="仿宋"/>
                <w:szCs w:val="21"/>
              </w:rPr>
              <w:t>0.66</w:t>
            </w:r>
          </w:p>
        </w:tc>
        <w:tc>
          <w:tcPr>
            <w:tcW w:w="445" w:type="pct"/>
          </w:tcPr>
          <w:p w14:paraId="689063F5">
            <w:pPr>
              <w:jc w:val="center"/>
              <w:rPr>
                <w:rFonts w:ascii="Times New Roman" w:eastAsia="仿宋"/>
                <w:szCs w:val="21"/>
              </w:rPr>
            </w:pPr>
            <w:r>
              <w:rPr>
                <w:rFonts w:ascii="Times New Roman" w:eastAsia="仿宋"/>
                <w:szCs w:val="21"/>
              </w:rPr>
              <w:t>0.554</w:t>
            </w:r>
          </w:p>
        </w:tc>
        <w:tc>
          <w:tcPr>
            <w:tcW w:w="353" w:type="pct"/>
          </w:tcPr>
          <w:p w14:paraId="3AEC2A94">
            <w:pPr>
              <w:jc w:val="center"/>
              <w:rPr>
                <w:rFonts w:ascii="Times New Roman" w:eastAsia="仿宋"/>
                <w:szCs w:val="21"/>
              </w:rPr>
            </w:pPr>
            <w:r>
              <w:rPr>
                <w:rFonts w:ascii="Times New Roman" w:eastAsia="仿宋"/>
                <w:szCs w:val="21"/>
              </w:rPr>
              <w:t>0.12</w:t>
            </w:r>
          </w:p>
        </w:tc>
        <w:tc>
          <w:tcPr>
            <w:tcW w:w="445" w:type="pct"/>
          </w:tcPr>
          <w:p w14:paraId="575E41A5">
            <w:pPr>
              <w:jc w:val="center"/>
              <w:rPr>
                <w:rFonts w:ascii="Times New Roman" w:eastAsia="仿宋"/>
                <w:szCs w:val="21"/>
              </w:rPr>
            </w:pPr>
            <w:r>
              <w:rPr>
                <w:rFonts w:ascii="Times New Roman" w:eastAsia="仿宋"/>
                <w:szCs w:val="21"/>
              </w:rPr>
              <w:t>1.98</w:t>
            </w:r>
          </w:p>
        </w:tc>
        <w:tc>
          <w:tcPr>
            <w:tcW w:w="356" w:type="pct"/>
          </w:tcPr>
          <w:p w14:paraId="12DC5A2F">
            <w:pPr>
              <w:jc w:val="center"/>
              <w:rPr>
                <w:rFonts w:ascii="Times New Roman" w:eastAsia="仿宋"/>
                <w:szCs w:val="21"/>
              </w:rPr>
            </w:pPr>
            <w:r>
              <w:rPr>
                <w:rFonts w:ascii="Times New Roman" w:eastAsia="仿宋"/>
                <w:szCs w:val="21"/>
              </w:rPr>
              <w:t>0.99</w:t>
            </w:r>
          </w:p>
        </w:tc>
        <w:tc>
          <w:tcPr>
            <w:tcW w:w="434" w:type="pct"/>
          </w:tcPr>
          <w:p w14:paraId="62BAA706">
            <w:pPr>
              <w:jc w:val="center"/>
              <w:rPr>
                <w:rFonts w:ascii="Times New Roman" w:eastAsia="仿宋"/>
                <w:szCs w:val="21"/>
              </w:rPr>
            </w:pPr>
            <w:r>
              <w:rPr>
                <w:rFonts w:ascii="Times New Roman" w:eastAsia="仿宋"/>
                <w:szCs w:val="21"/>
              </w:rPr>
              <w:t>0.0792</w:t>
            </w:r>
          </w:p>
        </w:tc>
        <w:tc>
          <w:tcPr>
            <w:tcW w:w="327" w:type="pct"/>
          </w:tcPr>
          <w:p w14:paraId="1BDCF32D">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c>
          <w:tcPr>
            <w:tcW w:w="392" w:type="pct"/>
            <w:vAlign w:val="bottom"/>
          </w:tcPr>
          <w:p w14:paraId="0BE7ED94">
            <w:pPr>
              <w:jc w:val="center"/>
              <w:rPr>
                <w:rFonts w:ascii="Times New Roman" w:eastAsia="仿宋"/>
                <w:szCs w:val="21"/>
              </w:rPr>
            </w:pPr>
            <w:r>
              <w:rPr>
                <w:rFonts w:hint="eastAsia" w:ascii="Times New Roman" w:eastAsia="仿宋"/>
                <w:szCs w:val="21"/>
              </w:rPr>
              <w:t>3.96</w:t>
            </w:r>
          </w:p>
        </w:tc>
        <w:tc>
          <w:tcPr>
            <w:tcW w:w="344" w:type="pct"/>
            <w:vAlign w:val="bottom"/>
          </w:tcPr>
          <w:p w14:paraId="551C49FA">
            <w:pPr>
              <w:jc w:val="center"/>
              <w:rPr>
                <w:rFonts w:ascii="Times New Roman" w:eastAsia="仿宋"/>
                <w:szCs w:val="21"/>
              </w:rPr>
            </w:pPr>
            <w:r>
              <w:rPr>
                <w:rFonts w:hint="eastAsia" w:ascii="Times New Roman" w:eastAsia="仿宋"/>
                <w:szCs w:val="21"/>
              </w:rPr>
              <w:t>1.98</w:t>
            </w:r>
          </w:p>
        </w:tc>
      </w:tr>
      <w:tr w14:paraId="031C9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31DA2803">
            <w:pPr>
              <w:jc w:val="center"/>
              <w:rPr>
                <w:rFonts w:ascii="Times New Roman" w:eastAsia="仿宋"/>
                <w:szCs w:val="21"/>
              </w:rPr>
            </w:pPr>
            <w:r>
              <w:rPr>
                <w:rFonts w:ascii="Times New Roman" w:eastAsia="仿宋"/>
                <w:szCs w:val="21"/>
              </w:rPr>
              <w:t>200</w:t>
            </w:r>
          </w:p>
        </w:tc>
        <w:tc>
          <w:tcPr>
            <w:tcW w:w="348" w:type="pct"/>
          </w:tcPr>
          <w:p w14:paraId="73479524">
            <w:pPr>
              <w:jc w:val="center"/>
              <w:rPr>
                <w:rFonts w:ascii="Times New Roman" w:eastAsia="仿宋"/>
                <w:szCs w:val="21"/>
              </w:rPr>
            </w:pPr>
            <w:r>
              <w:rPr>
                <w:rFonts w:ascii="Times New Roman" w:eastAsia="仿宋"/>
                <w:szCs w:val="21"/>
              </w:rPr>
              <w:t>7.43</w:t>
            </w:r>
          </w:p>
        </w:tc>
        <w:tc>
          <w:tcPr>
            <w:tcW w:w="373" w:type="pct"/>
          </w:tcPr>
          <w:p w14:paraId="0A5CE9F3">
            <w:pPr>
              <w:jc w:val="center"/>
              <w:rPr>
                <w:rFonts w:ascii="Times New Roman" w:eastAsia="仿宋"/>
                <w:szCs w:val="21"/>
              </w:rPr>
            </w:pPr>
            <w:r>
              <w:rPr>
                <w:rFonts w:ascii="Times New Roman" w:eastAsia="仿宋"/>
                <w:szCs w:val="21"/>
              </w:rPr>
              <w:t>0.37</w:t>
            </w:r>
          </w:p>
        </w:tc>
        <w:tc>
          <w:tcPr>
            <w:tcW w:w="399" w:type="pct"/>
            <w:vAlign w:val="center"/>
          </w:tcPr>
          <w:p w14:paraId="1D7C2705">
            <w:pPr>
              <w:jc w:val="center"/>
              <w:rPr>
                <w:rFonts w:ascii="Times New Roman" w:eastAsia="仿宋"/>
                <w:szCs w:val="21"/>
              </w:rPr>
            </w:pPr>
            <w:r>
              <w:rPr>
                <w:rFonts w:ascii="Times New Roman" w:eastAsia="仿宋"/>
                <w:szCs w:val="21"/>
              </w:rPr>
              <w:t>7.43</w:t>
            </w:r>
          </w:p>
        </w:tc>
        <w:tc>
          <w:tcPr>
            <w:tcW w:w="399" w:type="pct"/>
            <w:vAlign w:val="center"/>
          </w:tcPr>
          <w:p w14:paraId="478292AF">
            <w:pPr>
              <w:jc w:val="center"/>
              <w:rPr>
                <w:rFonts w:ascii="Times New Roman" w:eastAsia="仿宋"/>
                <w:szCs w:val="21"/>
              </w:rPr>
            </w:pPr>
            <w:r>
              <w:rPr>
                <w:rFonts w:hint="eastAsia" w:ascii="Times New Roman" w:eastAsia="仿宋"/>
                <w:szCs w:val="21"/>
              </w:rPr>
              <w:t>0.61</w:t>
            </w:r>
          </w:p>
        </w:tc>
        <w:tc>
          <w:tcPr>
            <w:tcW w:w="445" w:type="pct"/>
          </w:tcPr>
          <w:p w14:paraId="1AB351BC">
            <w:pPr>
              <w:jc w:val="center"/>
              <w:rPr>
                <w:rFonts w:ascii="Times New Roman" w:eastAsia="仿宋"/>
                <w:szCs w:val="21"/>
              </w:rPr>
            </w:pPr>
            <w:r>
              <w:rPr>
                <w:rFonts w:ascii="Times New Roman" w:eastAsia="仿宋"/>
                <w:szCs w:val="21"/>
              </w:rPr>
              <w:t>0.52</w:t>
            </w:r>
          </w:p>
        </w:tc>
        <w:tc>
          <w:tcPr>
            <w:tcW w:w="353" w:type="pct"/>
          </w:tcPr>
          <w:p w14:paraId="7BB77AAD">
            <w:pPr>
              <w:jc w:val="center"/>
              <w:rPr>
                <w:rFonts w:ascii="Times New Roman" w:eastAsia="仿宋"/>
                <w:szCs w:val="21"/>
              </w:rPr>
            </w:pPr>
            <w:r>
              <w:rPr>
                <w:rFonts w:ascii="Times New Roman" w:eastAsia="仿宋"/>
                <w:szCs w:val="21"/>
              </w:rPr>
              <w:t>0.12</w:t>
            </w:r>
          </w:p>
        </w:tc>
        <w:tc>
          <w:tcPr>
            <w:tcW w:w="445" w:type="pct"/>
          </w:tcPr>
          <w:p w14:paraId="503AB633">
            <w:pPr>
              <w:jc w:val="center"/>
              <w:rPr>
                <w:rFonts w:ascii="Times New Roman" w:eastAsia="仿宋"/>
                <w:szCs w:val="21"/>
              </w:rPr>
            </w:pPr>
            <w:r>
              <w:rPr>
                <w:rFonts w:ascii="Times New Roman" w:eastAsia="仿宋"/>
                <w:szCs w:val="21"/>
              </w:rPr>
              <w:t>1.86</w:t>
            </w:r>
          </w:p>
        </w:tc>
        <w:tc>
          <w:tcPr>
            <w:tcW w:w="356" w:type="pct"/>
          </w:tcPr>
          <w:p w14:paraId="341B81B3">
            <w:pPr>
              <w:jc w:val="center"/>
              <w:rPr>
                <w:rFonts w:ascii="Times New Roman" w:eastAsia="仿宋"/>
                <w:szCs w:val="21"/>
              </w:rPr>
            </w:pPr>
            <w:r>
              <w:rPr>
                <w:rFonts w:ascii="Times New Roman" w:eastAsia="仿宋"/>
                <w:szCs w:val="21"/>
              </w:rPr>
              <w:t>0.93</w:t>
            </w:r>
          </w:p>
        </w:tc>
        <w:tc>
          <w:tcPr>
            <w:tcW w:w="434" w:type="pct"/>
          </w:tcPr>
          <w:p w14:paraId="3AFD2229">
            <w:pPr>
              <w:jc w:val="center"/>
              <w:rPr>
                <w:rFonts w:ascii="Times New Roman" w:eastAsia="仿宋"/>
                <w:szCs w:val="21"/>
              </w:rPr>
            </w:pPr>
            <w:r>
              <w:rPr>
                <w:rFonts w:ascii="Times New Roman" w:eastAsia="仿宋"/>
                <w:szCs w:val="21"/>
              </w:rPr>
              <w:t>0.0743</w:t>
            </w:r>
          </w:p>
        </w:tc>
        <w:tc>
          <w:tcPr>
            <w:tcW w:w="327" w:type="pct"/>
          </w:tcPr>
          <w:p w14:paraId="53D996A0">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4B7224C4">
            <w:pPr>
              <w:jc w:val="center"/>
              <w:rPr>
                <w:rFonts w:ascii="Times New Roman" w:eastAsia="仿宋"/>
                <w:szCs w:val="21"/>
              </w:rPr>
            </w:pPr>
            <w:r>
              <w:rPr>
                <w:rFonts w:hint="eastAsia" w:ascii="Times New Roman" w:eastAsia="仿宋"/>
                <w:szCs w:val="21"/>
              </w:rPr>
              <w:t>3.72</w:t>
            </w:r>
          </w:p>
        </w:tc>
        <w:tc>
          <w:tcPr>
            <w:tcW w:w="344" w:type="pct"/>
            <w:vAlign w:val="bottom"/>
          </w:tcPr>
          <w:p w14:paraId="1A92DB24">
            <w:pPr>
              <w:jc w:val="center"/>
              <w:rPr>
                <w:rFonts w:ascii="Times New Roman" w:eastAsia="仿宋"/>
                <w:szCs w:val="21"/>
              </w:rPr>
            </w:pPr>
            <w:r>
              <w:rPr>
                <w:rFonts w:hint="eastAsia" w:ascii="Times New Roman" w:eastAsia="仿宋"/>
                <w:szCs w:val="21"/>
              </w:rPr>
              <w:t>1.86</w:t>
            </w:r>
          </w:p>
        </w:tc>
      </w:tr>
      <w:tr w14:paraId="555F1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0F74B386">
            <w:pPr>
              <w:jc w:val="center"/>
              <w:rPr>
                <w:rFonts w:ascii="Times New Roman" w:eastAsia="仿宋"/>
                <w:szCs w:val="21"/>
              </w:rPr>
            </w:pPr>
            <w:r>
              <w:rPr>
                <w:rFonts w:ascii="Times New Roman" w:eastAsia="仿宋"/>
                <w:szCs w:val="21"/>
              </w:rPr>
              <w:t>300</w:t>
            </w:r>
          </w:p>
        </w:tc>
        <w:tc>
          <w:tcPr>
            <w:tcW w:w="348" w:type="pct"/>
          </w:tcPr>
          <w:p w14:paraId="59E3840B">
            <w:pPr>
              <w:jc w:val="center"/>
              <w:rPr>
                <w:rFonts w:ascii="Times New Roman" w:eastAsia="仿宋"/>
                <w:szCs w:val="21"/>
              </w:rPr>
            </w:pPr>
            <w:r>
              <w:rPr>
                <w:rFonts w:ascii="Times New Roman" w:eastAsia="仿宋"/>
                <w:szCs w:val="21"/>
              </w:rPr>
              <w:t>7.22</w:t>
            </w:r>
          </w:p>
        </w:tc>
        <w:tc>
          <w:tcPr>
            <w:tcW w:w="373" w:type="pct"/>
          </w:tcPr>
          <w:p w14:paraId="3C9D8486">
            <w:pPr>
              <w:jc w:val="center"/>
              <w:rPr>
                <w:rFonts w:ascii="Times New Roman" w:eastAsia="仿宋"/>
                <w:szCs w:val="21"/>
              </w:rPr>
            </w:pPr>
            <w:r>
              <w:rPr>
                <w:rFonts w:ascii="Times New Roman" w:eastAsia="仿宋"/>
                <w:szCs w:val="21"/>
              </w:rPr>
              <w:t>0.36</w:t>
            </w:r>
          </w:p>
        </w:tc>
        <w:tc>
          <w:tcPr>
            <w:tcW w:w="399" w:type="pct"/>
            <w:vAlign w:val="center"/>
          </w:tcPr>
          <w:p w14:paraId="1DFEF46C">
            <w:pPr>
              <w:jc w:val="center"/>
              <w:rPr>
                <w:rFonts w:ascii="Times New Roman" w:eastAsia="仿宋"/>
                <w:szCs w:val="21"/>
              </w:rPr>
            </w:pPr>
            <w:r>
              <w:rPr>
                <w:rFonts w:ascii="Times New Roman" w:eastAsia="仿宋"/>
                <w:szCs w:val="21"/>
              </w:rPr>
              <w:t>7.22</w:t>
            </w:r>
          </w:p>
        </w:tc>
        <w:tc>
          <w:tcPr>
            <w:tcW w:w="399" w:type="pct"/>
            <w:vAlign w:val="center"/>
          </w:tcPr>
          <w:p w14:paraId="677DB424">
            <w:pPr>
              <w:jc w:val="center"/>
              <w:rPr>
                <w:rFonts w:ascii="Times New Roman" w:eastAsia="仿宋"/>
                <w:szCs w:val="21"/>
              </w:rPr>
            </w:pPr>
            <w:r>
              <w:rPr>
                <w:rFonts w:hint="eastAsia" w:ascii="Times New Roman" w:eastAsia="仿宋"/>
                <w:szCs w:val="21"/>
              </w:rPr>
              <w:t>0.60</w:t>
            </w:r>
          </w:p>
        </w:tc>
        <w:tc>
          <w:tcPr>
            <w:tcW w:w="445" w:type="pct"/>
          </w:tcPr>
          <w:p w14:paraId="00308C25">
            <w:pPr>
              <w:jc w:val="center"/>
              <w:rPr>
                <w:rFonts w:ascii="Times New Roman" w:eastAsia="仿宋"/>
                <w:szCs w:val="21"/>
              </w:rPr>
            </w:pPr>
            <w:r>
              <w:rPr>
                <w:rFonts w:ascii="Times New Roman" w:eastAsia="仿宋"/>
                <w:szCs w:val="21"/>
              </w:rPr>
              <w:t>0.505</w:t>
            </w:r>
          </w:p>
        </w:tc>
        <w:tc>
          <w:tcPr>
            <w:tcW w:w="353" w:type="pct"/>
          </w:tcPr>
          <w:p w14:paraId="67E8F98A">
            <w:pPr>
              <w:jc w:val="center"/>
              <w:rPr>
                <w:rFonts w:ascii="Times New Roman" w:eastAsia="仿宋"/>
                <w:szCs w:val="21"/>
              </w:rPr>
            </w:pPr>
            <w:r>
              <w:rPr>
                <w:rFonts w:ascii="Times New Roman" w:eastAsia="仿宋"/>
                <w:szCs w:val="21"/>
              </w:rPr>
              <w:t>0.11</w:t>
            </w:r>
          </w:p>
        </w:tc>
        <w:tc>
          <w:tcPr>
            <w:tcW w:w="445" w:type="pct"/>
          </w:tcPr>
          <w:p w14:paraId="6C953F2A">
            <w:pPr>
              <w:jc w:val="center"/>
              <w:rPr>
                <w:rFonts w:ascii="Times New Roman" w:eastAsia="仿宋"/>
                <w:szCs w:val="21"/>
              </w:rPr>
            </w:pPr>
            <w:r>
              <w:rPr>
                <w:rFonts w:ascii="Times New Roman" w:eastAsia="仿宋"/>
                <w:szCs w:val="21"/>
              </w:rPr>
              <w:t>1.80</w:t>
            </w:r>
          </w:p>
        </w:tc>
        <w:tc>
          <w:tcPr>
            <w:tcW w:w="356" w:type="pct"/>
          </w:tcPr>
          <w:p w14:paraId="48770C1B">
            <w:pPr>
              <w:jc w:val="center"/>
              <w:rPr>
                <w:rFonts w:ascii="Times New Roman" w:eastAsia="仿宋"/>
                <w:szCs w:val="21"/>
              </w:rPr>
            </w:pPr>
            <w:r>
              <w:rPr>
                <w:rFonts w:ascii="Times New Roman" w:eastAsia="仿宋"/>
                <w:szCs w:val="21"/>
              </w:rPr>
              <w:t>0.90</w:t>
            </w:r>
          </w:p>
        </w:tc>
        <w:tc>
          <w:tcPr>
            <w:tcW w:w="434" w:type="pct"/>
          </w:tcPr>
          <w:p w14:paraId="653F2F8D">
            <w:pPr>
              <w:jc w:val="center"/>
              <w:rPr>
                <w:rFonts w:ascii="Times New Roman" w:eastAsia="仿宋"/>
                <w:szCs w:val="21"/>
              </w:rPr>
            </w:pPr>
            <w:r>
              <w:rPr>
                <w:rFonts w:ascii="Times New Roman" w:eastAsia="仿宋"/>
                <w:szCs w:val="21"/>
              </w:rPr>
              <w:t>0.0722</w:t>
            </w:r>
          </w:p>
        </w:tc>
        <w:tc>
          <w:tcPr>
            <w:tcW w:w="327" w:type="pct"/>
          </w:tcPr>
          <w:p w14:paraId="32BAFEEA">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6E71DC57">
            <w:pPr>
              <w:jc w:val="center"/>
              <w:rPr>
                <w:rFonts w:ascii="Times New Roman" w:eastAsia="仿宋"/>
                <w:szCs w:val="21"/>
              </w:rPr>
            </w:pPr>
            <w:r>
              <w:rPr>
                <w:rFonts w:hint="eastAsia" w:ascii="Times New Roman" w:eastAsia="仿宋"/>
                <w:szCs w:val="21"/>
              </w:rPr>
              <w:t>3.6</w:t>
            </w:r>
          </w:p>
        </w:tc>
        <w:tc>
          <w:tcPr>
            <w:tcW w:w="344" w:type="pct"/>
            <w:vAlign w:val="bottom"/>
          </w:tcPr>
          <w:p w14:paraId="1E8698BA">
            <w:pPr>
              <w:jc w:val="center"/>
              <w:rPr>
                <w:rFonts w:ascii="Times New Roman" w:eastAsia="仿宋"/>
                <w:szCs w:val="21"/>
              </w:rPr>
            </w:pPr>
            <w:r>
              <w:rPr>
                <w:rFonts w:hint="eastAsia" w:ascii="Times New Roman" w:eastAsia="仿宋"/>
                <w:szCs w:val="21"/>
              </w:rPr>
              <w:t>1.8</w:t>
            </w:r>
          </w:p>
        </w:tc>
      </w:tr>
      <w:tr w14:paraId="1EE29B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6CE06776">
            <w:pPr>
              <w:jc w:val="center"/>
              <w:rPr>
                <w:rFonts w:ascii="Times New Roman" w:eastAsia="仿宋"/>
                <w:szCs w:val="21"/>
              </w:rPr>
            </w:pPr>
            <w:r>
              <w:rPr>
                <w:rFonts w:ascii="Times New Roman" w:eastAsia="仿宋"/>
                <w:szCs w:val="21"/>
              </w:rPr>
              <w:t>400</w:t>
            </w:r>
          </w:p>
        </w:tc>
        <w:tc>
          <w:tcPr>
            <w:tcW w:w="348" w:type="pct"/>
          </w:tcPr>
          <w:p w14:paraId="1B39FE1E">
            <w:pPr>
              <w:jc w:val="center"/>
              <w:rPr>
                <w:rFonts w:ascii="Times New Roman" w:eastAsia="仿宋"/>
                <w:szCs w:val="21"/>
              </w:rPr>
            </w:pPr>
            <w:r>
              <w:rPr>
                <w:rFonts w:ascii="Times New Roman" w:eastAsia="仿宋"/>
                <w:szCs w:val="21"/>
              </w:rPr>
              <w:t>7.25</w:t>
            </w:r>
          </w:p>
        </w:tc>
        <w:tc>
          <w:tcPr>
            <w:tcW w:w="373" w:type="pct"/>
          </w:tcPr>
          <w:p w14:paraId="18A0E9D0">
            <w:pPr>
              <w:jc w:val="center"/>
              <w:rPr>
                <w:rFonts w:ascii="Times New Roman" w:eastAsia="仿宋"/>
                <w:szCs w:val="21"/>
              </w:rPr>
            </w:pPr>
            <w:r>
              <w:rPr>
                <w:rFonts w:ascii="Times New Roman" w:eastAsia="仿宋"/>
                <w:szCs w:val="21"/>
              </w:rPr>
              <w:t>0.36</w:t>
            </w:r>
          </w:p>
        </w:tc>
        <w:tc>
          <w:tcPr>
            <w:tcW w:w="399" w:type="pct"/>
            <w:vAlign w:val="center"/>
          </w:tcPr>
          <w:p w14:paraId="2CFCAB7E">
            <w:pPr>
              <w:jc w:val="center"/>
              <w:rPr>
                <w:rFonts w:ascii="Times New Roman" w:eastAsia="仿宋"/>
                <w:szCs w:val="21"/>
              </w:rPr>
            </w:pPr>
            <w:r>
              <w:rPr>
                <w:rFonts w:ascii="Times New Roman" w:eastAsia="仿宋"/>
                <w:szCs w:val="21"/>
              </w:rPr>
              <w:t>7.25</w:t>
            </w:r>
          </w:p>
        </w:tc>
        <w:tc>
          <w:tcPr>
            <w:tcW w:w="399" w:type="pct"/>
            <w:vAlign w:val="center"/>
          </w:tcPr>
          <w:p w14:paraId="3D4121F2">
            <w:pPr>
              <w:jc w:val="center"/>
              <w:rPr>
                <w:rFonts w:ascii="Times New Roman" w:eastAsia="仿宋"/>
                <w:szCs w:val="21"/>
              </w:rPr>
            </w:pPr>
            <w:r>
              <w:rPr>
                <w:rFonts w:hint="eastAsia" w:ascii="Times New Roman" w:eastAsia="仿宋"/>
                <w:szCs w:val="21"/>
              </w:rPr>
              <w:t>0.60</w:t>
            </w:r>
          </w:p>
        </w:tc>
        <w:tc>
          <w:tcPr>
            <w:tcW w:w="445" w:type="pct"/>
          </w:tcPr>
          <w:p w14:paraId="3D689EAE">
            <w:pPr>
              <w:jc w:val="center"/>
              <w:rPr>
                <w:rFonts w:ascii="Times New Roman" w:eastAsia="仿宋"/>
                <w:szCs w:val="21"/>
              </w:rPr>
            </w:pPr>
            <w:r>
              <w:rPr>
                <w:rFonts w:ascii="Times New Roman" w:eastAsia="仿宋"/>
                <w:szCs w:val="21"/>
              </w:rPr>
              <w:t>0.508</w:t>
            </w:r>
          </w:p>
        </w:tc>
        <w:tc>
          <w:tcPr>
            <w:tcW w:w="353" w:type="pct"/>
          </w:tcPr>
          <w:p w14:paraId="0A8F2919">
            <w:pPr>
              <w:jc w:val="center"/>
              <w:rPr>
                <w:rFonts w:ascii="Times New Roman" w:eastAsia="仿宋"/>
                <w:szCs w:val="21"/>
              </w:rPr>
            </w:pPr>
            <w:r>
              <w:rPr>
                <w:rFonts w:ascii="Times New Roman" w:eastAsia="仿宋"/>
                <w:szCs w:val="21"/>
              </w:rPr>
              <w:t>0.11</w:t>
            </w:r>
          </w:p>
        </w:tc>
        <w:tc>
          <w:tcPr>
            <w:tcW w:w="445" w:type="pct"/>
          </w:tcPr>
          <w:p w14:paraId="4887808D">
            <w:pPr>
              <w:jc w:val="center"/>
              <w:rPr>
                <w:rFonts w:ascii="Times New Roman" w:eastAsia="仿宋"/>
                <w:szCs w:val="21"/>
              </w:rPr>
            </w:pPr>
            <w:r>
              <w:rPr>
                <w:rFonts w:ascii="Times New Roman" w:eastAsia="仿宋"/>
                <w:szCs w:val="21"/>
              </w:rPr>
              <w:t>1.81</w:t>
            </w:r>
          </w:p>
        </w:tc>
        <w:tc>
          <w:tcPr>
            <w:tcW w:w="356" w:type="pct"/>
          </w:tcPr>
          <w:p w14:paraId="76A1D7B4">
            <w:pPr>
              <w:jc w:val="center"/>
              <w:rPr>
                <w:rFonts w:ascii="Times New Roman" w:eastAsia="仿宋"/>
                <w:szCs w:val="21"/>
              </w:rPr>
            </w:pPr>
            <w:r>
              <w:rPr>
                <w:rFonts w:ascii="Times New Roman" w:eastAsia="仿宋"/>
                <w:szCs w:val="21"/>
              </w:rPr>
              <w:t>0.91</w:t>
            </w:r>
          </w:p>
        </w:tc>
        <w:tc>
          <w:tcPr>
            <w:tcW w:w="434" w:type="pct"/>
          </w:tcPr>
          <w:p w14:paraId="46AF3924">
            <w:pPr>
              <w:jc w:val="center"/>
              <w:rPr>
                <w:rFonts w:ascii="Times New Roman" w:eastAsia="仿宋"/>
                <w:szCs w:val="21"/>
              </w:rPr>
            </w:pPr>
            <w:r>
              <w:rPr>
                <w:rFonts w:ascii="Times New Roman" w:eastAsia="仿宋"/>
                <w:szCs w:val="21"/>
              </w:rPr>
              <w:t>0.0725</w:t>
            </w:r>
          </w:p>
        </w:tc>
        <w:tc>
          <w:tcPr>
            <w:tcW w:w="327" w:type="pct"/>
          </w:tcPr>
          <w:p w14:paraId="02B22D3C">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58544858">
            <w:pPr>
              <w:jc w:val="center"/>
              <w:rPr>
                <w:rFonts w:ascii="Times New Roman" w:eastAsia="仿宋"/>
                <w:szCs w:val="21"/>
              </w:rPr>
            </w:pPr>
            <w:r>
              <w:rPr>
                <w:rFonts w:hint="eastAsia" w:ascii="Times New Roman" w:eastAsia="仿宋"/>
                <w:szCs w:val="21"/>
              </w:rPr>
              <w:t>3.62</w:t>
            </w:r>
          </w:p>
        </w:tc>
        <w:tc>
          <w:tcPr>
            <w:tcW w:w="344" w:type="pct"/>
            <w:vAlign w:val="bottom"/>
          </w:tcPr>
          <w:p w14:paraId="324783C2">
            <w:pPr>
              <w:jc w:val="center"/>
              <w:rPr>
                <w:rFonts w:ascii="Times New Roman" w:eastAsia="仿宋"/>
                <w:szCs w:val="21"/>
              </w:rPr>
            </w:pPr>
            <w:r>
              <w:rPr>
                <w:rFonts w:hint="eastAsia" w:ascii="Times New Roman" w:eastAsia="仿宋"/>
                <w:szCs w:val="21"/>
              </w:rPr>
              <w:t>1.81</w:t>
            </w:r>
          </w:p>
        </w:tc>
      </w:tr>
      <w:tr w14:paraId="43263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33CE4BB9">
            <w:pPr>
              <w:jc w:val="center"/>
              <w:rPr>
                <w:rFonts w:ascii="Times New Roman" w:eastAsia="仿宋"/>
                <w:szCs w:val="21"/>
              </w:rPr>
            </w:pPr>
            <w:r>
              <w:rPr>
                <w:rFonts w:ascii="Times New Roman" w:eastAsia="仿宋"/>
                <w:szCs w:val="21"/>
              </w:rPr>
              <w:t>500</w:t>
            </w:r>
          </w:p>
        </w:tc>
        <w:tc>
          <w:tcPr>
            <w:tcW w:w="348" w:type="pct"/>
          </w:tcPr>
          <w:p w14:paraId="40E49B33">
            <w:pPr>
              <w:jc w:val="center"/>
              <w:rPr>
                <w:rFonts w:ascii="Times New Roman" w:eastAsia="仿宋"/>
                <w:szCs w:val="21"/>
              </w:rPr>
            </w:pPr>
            <w:r>
              <w:rPr>
                <w:rFonts w:ascii="Times New Roman" w:eastAsia="仿宋"/>
                <w:szCs w:val="21"/>
              </w:rPr>
              <w:t>6.91</w:t>
            </w:r>
          </w:p>
        </w:tc>
        <w:tc>
          <w:tcPr>
            <w:tcW w:w="373" w:type="pct"/>
          </w:tcPr>
          <w:p w14:paraId="3257C175">
            <w:pPr>
              <w:jc w:val="center"/>
              <w:rPr>
                <w:rFonts w:ascii="Times New Roman" w:eastAsia="仿宋"/>
                <w:szCs w:val="21"/>
              </w:rPr>
            </w:pPr>
            <w:r>
              <w:rPr>
                <w:rFonts w:ascii="Times New Roman" w:eastAsia="仿宋"/>
                <w:szCs w:val="21"/>
              </w:rPr>
              <w:t>0.35</w:t>
            </w:r>
          </w:p>
        </w:tc>
        <w:tc>
          <w:tcPr>
            <w:tcW w:w="399" w:type="pct"/>
            <w:vAlign w:val="center"/>
          </w:tcPr>
          <w:p w14:paraId="5B9093C6">
            <w:pPr>
              <w:jc w:val="center"/>
              <w:rPr>
                <w:rFonts w:ascii="Times New Roman" w:eastAsia="仿宋"/>
                <w:szCs w:val="21"/>
              </w:rPr>
            </w:pPr>
            <w:r>
              <w:rPr>
                <w:rFonts w:ascii="Times New Roman" w:eastAsia="仿宋"/>
                <w:szCs w:val="21"/>
              </w:rPr>
              <w:t>6.91</w:t>
            </w:r>
          </w:p>
        </w:tc>
        <w:tc>
          <w:tcPr>
            <w:tcW w:w="399" w:type="pct"/>
            <w:vAlign w:val="center"/>
          </w:tcPr>
          <w:p w14:paraId="0B7E87E8">
            <w:pPr>
              <w:jc w:val="center"/>
              <w:rPr>
                <w:rFonts w:ascii="Times New Roman" w:eastAsia="仿宋"/>
                <w:szCs w:val="21"/>
              </w:rPr>
            </w:pPr>
            <w:r>
              <w:rPr>
                <w:rFonts w:hint="eastAsia" w:ascii="Times New Roman" w:eastAsia="仿宋"/>
                <w:szCs w:val="21"/>
              </w:rPr>
              <w:t>0.57</w:t>
            </w:r>
          </w:p>
        </w:tc>
        <w:tc>
          <w:tcPr>
            <w:tcW w:w="445" w:type="pct"/>
          </w:tcPr>
          <w:p w14:paraId="0C8F4B09">
            <w:pPr>
              <w:jc w:val="center"/>
              <w:rPr>
                <w:rFonts w:ascii="Times New Roman" w:eastAsia="仿宋"/>
                <w:szCs w:val="21"/>
              </w:rPr>
            </w:pPr>
            <w:r>
              <w:rPr>
                <w:rFonts w:ascii="Times New Roman" w:eastAsia="仿宋"/>
                <w:szCs w:val="21"/>
              </w:rPr>
              <w:t>0.484</w:t>
            </w:r>
          </w:p>
        </w:tc>
        <w:tc>
          <w:tcPr>
            <w:tcW w:w="353" w:type="pct"/>
          </w:tcPr>
          <w:p w14:paraId="39A259E0">
            <w:pPr>
              <w:jc w:val="center"/>
              <w:rPr>
                <w:rFonts w:ascii="Times New Roman" w:eastAsia="仿宋"/>
                <w:szCs w:val="21"/>
              </w:rPr>
            </w:pPr>
            <w:r>
              <w:rPr>
                <w:rFonts w:ascii="Times New Roman" w:eastAsia="仿宋"/>
                <w:szCs w:val="21"/>
              </w:rPr>
              <w:t>0.11</w:t>
            </w:r>
          </w:p>
        </w:tc>
        <w:tc>
          <w:tcPr>
            <w:tcW w:w="445" w:type="pct"/>
          </w:tcPr>
          <w:p w14:paraId="26BB285B">
            <w:pPr>
              <w:jc w:val="center"/>
              <w:rPr>
                <w:rFonts w:ascii="Times New Roman" w:eastAsia="仿宋"/>
                <w:szCs w:val="21"/>
              </w:rPr>
            </w:pPr>
            <w:r>
              <w:rPr>
                <w:rFonts w:ascii="Times New Roman" w:eastAsia="仿宋"/>
                <w:szCs w:val="21"/>
              </w:rPr>
              <w:t>1.73</w:t>
            </w:r>
          </w:p>
        </w:tc>
        <w:tc>
          <w:tcPr>
            <w:tcW w:w="356" w:type="pct"/>
          </w:tcPr>
          <w:p w14:paraId="6598ED44">
            <w:pPr>
              <w:jc w:val="center"/>
              <w:rPr>
                <w:rFonts w:ascii="Times New Roman" w:eastAsia="仿宋"/>
                <w:szCs w:val="21"/>
              </w:rPr>
            </w:pPr>
            <w:r>
              <w:rPr>
                <w:rFonts w:ascii="Times New Roman" w:eastAsia="仿宋"/>
                <w:szCs w:val="21"/>
              </w:rPr>
              <w:t>0.86</w:t>
            </w:r>
          </w:p>
        </w:tc>
        <w:tc>
          <w:tcPr>
            <w:tcW w:w="434" w:type="pct"/>
          </w:tcPr>
          <w:p w14:paraId="0B7EB334">
            <w:pPr>
              <w:jc w:val="center"/>
              <w:rPr>
                <w:rFonts w:ascii="Times New Roman" w:eastAsia="仿宋"/>
                <w:szCs w:val="21"/>
              </w:rPr>
            </w:pPr>
            <w:r>
              <w:rPr>
                <w:rFonts w:ascii="Times New Roman" w:eastAsia="仿宋"/>
                <w:szCs w:val="21"/>
              </w:rPr>
              <w:t>0.0691</w:t>
            </w:r>
          </w:p>
        </w:tc>
        <w:tc>
          <w:tcPr>
            <w:tcW w:w="327" w:type="pct"/>
          </w:tcPr>
          <w:p w14:paraId="18565DEE">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4FDBBC38">
            <w:pPr>
              <w:jc w:val="center"/>
              <w:rPr>
                <w:rFonts w:ascii="Times New Roman" w:eastAsia="仿宋"/>
                <w:szCs w:val="21"/>
              </w:rPr>
            </w:pPr>
            <w:r>
              <w:rPr>
                <w:rFonts w:hint="eastAsia" w:ascii="Times New Roman" w:eastAsia="仿宋"/>
                <w:szCs w:val="21"/>
              </w:rPr>
              <w:t>3.46</w:t>
            </w:r>
          </w:p>
        </w:tc>
        <w:tc>
          <w:tcPr>
            <w:tcW w:w="344" w:type="pct"/>
            <w:vAlign w:val="bottom"/>
          </w:tcPr>
          <w:p w14:paraId="21A4158C">
            <w:pPr>
              <w:jc w:val="center"/>
              <w:rPr>
                <w:rFonts w:ascii="Times New Roman" w:eastAsia="仿宋"/>
                <w:szCs w:val="21"/>
              </w:rPr>
            </w:pPr>
            <w:r>
              <w:rPr>
                <w:rFonts w:hint="eastAsia" w:ascii="Times New Roman" w:eastAsia="仿宋"/>
                <w:szCs w:val="21"/>
              </w:rPr>
              <w:t>1.73</w:t>
            </w:r>
          </w:p>
        </w:tc>
      </w:tr>
      <w:tr w14:paraId="703384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1CF61DD4">
            <w:pPr>
              <w:jc w:val="center"/>
              <w:rPr>
                <w:rFonts w:ascii="Times New Roman" w:eastAsia="仿宋"/>
                <w:szCs w:val="21"/>
              </w:rPr>
            </w:pPr>
            <w:r>
              <w:rPr>
                <w:rFonts w:ascii="Times New Roman" w:eastAsia="仿宋"/>
                <w:szCs w:val="21"/>
              </w:rPr>
              <w:t>600</w:t>
            </w:r>
          </w:p>
        </w:tc>
        <w:tc>
          <w:tcPr>
            <w:tcW w:w="348" w:type="pct"/>
          </w:tcPr>
          <w:p w14:paraId="6B6BA696">
            <w:pPr>
              <w:jc w:val="center"/>
              <w:rPr>
                <w:rFonts w:ascii="Times New Roman" w:eastAsia="仿宋"/>
                <w:szCs w:val="21"/>
              </w:rPr>
            </w:pPr>
            <w:r>
              <w:rPr>
                <w:rFonts w:ascii="Times New Roman" w:eastAsia="仿宋"/>
                <w:szCs w:val="21"/>
              </w:rPr>
              <w:t>6.47</w:t>
            </w:r>
          </w:p>
        </w:tc>
        <w:tc>
          <w:tcPr>
            <w:tcW w:w="373" w:type="pct"/>
          </w:tcPr>
          <w:p w14:paraId="48A633C7">
            <w:pPr>
              <w:jc w:val="center"/>
              <w:rPr>
                <w:rFonts w:ascii="Times New Roman" w:eastAsia="仿宋"/>
                <w:szCs w:val="21"/>
              </w:rPr>
            </w:pPr>
            <w:r>
              <w:rPr>
                <w:rFonts w:ascii="Times New Roman" w:eastAsia="仿宋"/>
                <w:szCs w:val="21"/>
              </w:rPr>
              <w:t>0.32</w:t>
            </w:r>
          </w:p>
        </w:tc>
        <w:tc>
          <w:tcPr>
            <w:tcW w:w="399" w:type="pct"/>
            <w:vAlign w:val="center"/>
          </w:tcPr>
          <w:p w14:paraId="1BA4805E">
            <w:pPr>
              <w:jc w:val="center"/>
              <w:rPr>
                <w:rFonts w:ascii="Times New Roman" w:eastAsia="仿宋"/>
                <w:szCs w:val="21"/>
              </w:rPr>
            </w:pPr>
            <w:r>
              <w:rPr>
                <w:rFonts w:ascii="Times New Roman" w:eastAsia="仿宋"/>
                <w:szCs w:val="21"/>
              </w:rPr>
              <w:t>6.47</w:t>
            </w:r>
          </w:p>
        </w:tc>
        <w:tc>
          <w:tcPr>
            <w:tcW w:w="399" w:type="pct"/>
            <w:vAlign w:val="center"/>
          </w:tcPr>
          <w:p w14:paraId="467923E6">
            <w:pPr>
              <w:jc w:val="center"/>
              <w:rPr>
                <w:rFonts w:ascii="Times New Roman" w:eastAsia="仿宋"/>
                <w:szCs w:val="21"/>
              </w:rPr>
            </w:pPr>
            <w:r>
              <w:rPr>
                <w:rFonts w:hint="eastAsia" w:ascii="Times New Roman" w:eastAsia="仿宋"/>
                <w:szCs w:val="21"/>
              </w:rPr>
              <w:t>0.53</w:t>
            </w:r>
          </w:p>
        </w:tc>
        <w:tc>
          <w:tcPr>
            <w:tcW w:w="445" w:type="pct"/>
          </w:tcPr>
          <w:p w14:paraId="645CE501">
            <w:pPr>
              <w:jc w:val="center"/>
              <w:rPr>
                <w:rFonts w:ascii="Times New Roman" w:eastAsia="仿宋"/>
                <w:szCs w:val="21"/>
              </w:rPr>
            </w:pPr>
            <w:r>
              <w:rPr>
                <w:rFonts w:ascii="Times New Roman" w:eastAsia="仿宋"/>
                <w:szCs w:val="21"/>
              </w:rPr>
              <w:t>0.453</w:t>
            </w:r>
          </w:p>
        </w:tc>
        <w:tc>
          <w:tcPr>
            <w:tcW w:w="353" w:type="pct"/>
          </w:tcPr>
          <w:p w14:paraId="4B3E1C56">
            <w:pPr>
              <w:jc w:val="center"/>
              <w:rPr>
                <w:rFonts w:ascii="Times New Roman" w:eastAsia="仿宋"/>
                <w:szCs w:val="21"/>
              </w:rPr>
            </w:pPr>
            <w:r>
              <w:rPr>
                <w:rFonts w:ascii="Times New Roman" w:eastAsia="仿宋"/>
                <w:szCs w:val="21"/>
              </w:rPr>
              <w:t>0.10</w:t>
            </w:r>
          </w:p>
        </w:tc>
        <w:tc>
          <w:tcPr>
            <w:tcW w:w="445" w:type="pct"/>
          </w:tcPr>
          <w:p w14:paraId="310F490B">
            <w:pPr>
              <w:jc w:val="center"/>
              <w:rPr>
                <w:rFonts w:ascii="Times New Roman" w:eastAsia="仿宋"/>
                <w:szCs w:val="21"/>
              </w:rPr>
            </w:pPr>
            <w:r>
              <w:rPr>
                <w:rFonts w:ascii="Times New Roman" w:eastAsia="仿宋"/>
                <w:szCs w:val="21"/>
              </w:rPr>
              <w:t>1.62</w:t>
            </w:r>
          </w:p>
        </w:tc>
        <w:tc>
          <w:tcPr>
            <w:tcW w:w="356" w:type="pct"/>
          </w:tcPr>
          <w:p w14:paraId="4DDE8540">
            <w:pPr>
              <w:jc w:val="center"/>
              <w:rPr>
                <w:rFonts w:ascii="Times New Roman" w:eastAsia="仿宋"/>
                <w:szCs w:val="21"/>
              </w:rPr>
            </w:pPr>
            <w:r>
              <w:rPr>
                <w:rFonts w:ascii="Times New Roman" w:eastAsia="仿宋"/>
                <w:szCs w:val="21"/>
              </w:rPr>
              <w:t>0.81</w:t>
            </w:r>
          </w:p>
        </w:tc>
        <w:tc>
          <w:tcPr>
            <w:tcW w:w="434" w:type="pct"/>
          </w:tcPr>
          <w:p w14:paraId="06FB35F4">
            <w:pPr>
              <w:jc w:val="center"/>
              <w:rPr>
                <w:rFonts w:ascii="Times New Roman" w:eastAsia="仿宋"/>
                <w:szCs w:val="21"/>
              </w:rPr>
            </w:pPr>
            <w:r>
              <w:rPr>
                <w:rFonts w:ascii="Times New Roman" w:eastAsia="仿宋"/>
                <w:szCs w:val="21"/>
              </w:rPr>
              <w:t>0.0647</w:t>
            </w:r>
          </w:p>
        </w:tc>
        <w:tc>
          <w:tcPr>
            <w:tcW w:w="327" w:type="pct"/>
          </w:tcPr>
          <w:p w14:paraId="5C239C4A">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31D0D9CA">
            <w:pPr>
              <w:jc w:val="center"/>
              <w:rPr>
                <w:rFonts w:ascii="Times New Roman" w:eastAsia="仿宋"/>
                <w:szCs w:val="21"/>
              </w:rPr>
            </w:pPr>
            <w:r>
              <w:rPr>
                <w:rFonts w:hint="eastAsia" w:ascii="Times New Roman" w:eastAsia="仿宋"/>
                <w:szCs w:val="21"/>
              </w:rPr>
              <w:t>3.24</w:t>
            </w:r>
          </w:p>
        </w:tc>
        <w:tc>
          <w:tcPr>
            <w:tcW w:w="344" w:type="pct"/>
            <w:vAlign w:val="bottom"/>
          </w:tcPr>
          <w:p w14:paraId="0BF06554">
            <w:pPr>
              <w:jc w:val="center"/>
              <w:rPr>
                <w:rFonts w:ascii="Times New Roman" w:eastAsia="仿宋"/>
                <w:szCs w:val="21"/>
              </w:rPr>
            </w:pPr>
            <w:r>
              <w:rPr>
                <w:rFonts w:hint="eastAsia" w:ascii="Times New Roman" w:eastAsia="仿宋"/>
                <w:szCs w:val="21"/>
              </w:rPr>
              <w:t>1.62</w:t>
            </w:r>
          </w:p>
        </w:tc>
      </w:tr>
      <w:tr w14:paraId="3206F0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7FE141B3">
            <w:pPr>
              <w:jc w:val="center"/>
              <w:rPr>
                <w:rFonts w:ascii="Times New Roman" w:eastAsia="仿宋"/>
                <w:szCs w:val="21"/>
              </w:rPr>
            </w:pPr>
            <w:r>
              <w:rPr>
                <w:rFonts w:ascii="Times New Roman" w:eastAsia="仿宋"/>
                <w:szCs w:val="21"/>
              </w:rPr>
              <w:t>700</w:t>
            </w:r>
          </w:p>
        </w:tc>
        <w:tc>
          <w:tcPr>
            <w:tcW w:w="348" w:type="pct"/>
          </w:tcPr>
          <w:p w14:paraId="41855FC9">
            <w:pPr>
              <w:jc w:val="center"/>
              <w:rPr>
                <w:rFonts w:ascii="Times New Roman" w:eastAsia="仿宋"/>
                <w:szCs w:val="21"/>
              </w:rPr>
            </w:pPr>
            <w:r>
              <w:rPr>
                <w:rFonts w:ascii="Times New Roman" w:eastAsia="仿宋"/>
                <w:szCs w:val="21"/>
              </w:rPr>
              <w:t>6.03</w:t>
            </w:r>
          </w:p>
        </w:tc>
        <w:tc>
          <w:tcPr>
            <w:tcW w:w="373" w:type="pct"/>
          </w:tcPr>
          <w:p w14:paraId="786322F6">
            <w:pPr>
              <w:jc w:val="center"/>
              <w:rPr>
                <w:rFonts w:ascii="Times New Roman" w:eastAsia="仿宋"/>
                <w:szCs w:val="21"/>
              </w:rPr>
            </w:pPr>
            <w:r>
              <w:rPr>
                <w:rFonts w:ascii="Times New Roman" w:eastAsia="仿宋"/>
                <w:szCs w:val="21"/>
              </w:rPr>
              <w:t>0.30</w:t>
            </w:r>
          </w:p>
        </w:tc>
        <w:tc>
          <w:tcPr>
            <w:tcW w:w="399" w:type="pct"/>
            <w:vAlign w:val="center"/>
          </w:tcPr>
          <w:p w14:paraId="19E2BEBD">
            <w:pPr>
              <w:jc w:val="center"/>
              <w:rPr>
                <w:rFonts w:ascii="Times New Roman" w:eastAsia="仿宋"/>
                <w:szCs w:val="21"/>
              </w:rPr>
            </w:pPr>
            <w:r>
              <w:rPr>
                <w:rFonts w:ascii="Times New Roman" w:eastAsia="仿宋"/>
                <w:szCs w:val="21"/>
              </w:rPr>
              <w:t>6.03</w:t>
            </w:r>
          </w:p>
        </w:tc>
        <w:tc>
          <w:tcPr>
            <w:tcW w:w="399" w:type="pct"/>
            <w:vAlign w:val="center"/>
          </w:tcPr>
          <w:p w14:paraId="5F209770">
            <w:pPr>
              <w:jc w:val="center"/>
              <w:rPr>
                <w:rFonts w:ascii="Times New Roman" w:eastAsia="仿宋"/>
                <w:szCs w:val="21"/>
              </w:rPr>
            </w:pPr>
            <w:r>
              <w:rPr>
                <w:rFonts w:hint="eastAsia" w:ascii="Times New Roman" w:eastAsia="仿宋"/>
                <w:szCs w:val="21"/>
              </w:rPr>
              <w:t>0.50</w:t>
            </w:r>
          </w:p>
        </w:tc>
        <w:tc>
          <w:tcPr>
            <w:tcW w:w="445" w:type="pct"/>
          </w:tcPr>
          <w:p w14:paraId="67A8D54E">
            <w:pPr>
              <w:jc w:val="center"/>
              <w:rPr>
                <w:rFonts w:ascii="Times New Roman" w:eastAsia="仿宋"/>
                <w:szCs w:val="21"/>
              </w:rPr>
            </w:pPr>
            <w:r>
              <w:rPr>
                <w:rFonts w:ascii="Times New Roman" w:eastAsia="仿宋"/>
                <w:szCs w:val="21"/>
              </w:rPr>
              <w:t>0.422</w:t>
            </w:r>
          </w:p>
        </w:tc>
        <w:tc>
          <w:tcPr>
            <w:tcW w:w="353" w:type="pct"/>
          </w:tcPr>
          <w:p w14:paraId="531EA060">
            <w:pPr>
              <w:jc w:val="center"/>
              <w:rPr>
                <w:rFonts w:ascii="Times New Roman" w:eastAsia="仿宋"/>
                <w:szCs w:val="21"/>
              </w:rPr>
            </w:pPr>
            <w:r>
              <w:rPr>
                <w:rFonts w:ascii="Times New Roman" w:eastAsia="仿宋"/>
                <w:szCs w:val="21"/>
              </w:rPr>
              <w:t>0.09</w:t>
            </w:r>
          </w:p>
        </w:tc>
        <w:tc>
          <w:tcPr>
            <w:tcW w:w="445" w:type="pct"/>
          </w:tcPr>
          <w:p w14:paraId="5DFBDB97">
            <w:pPr>
              <w:jc w:val="center"/>
              <w:rPr>
                <w:rFonts w:ascii="Times New Roman" w:eastAsia="仿宋"/>
                <w:szCs w:val="21"/>
              </w:rPr>
            </w:pPr>
            <w:r>
              <w:rPr>
                <w:rFonts w:ascii="Times New Roman" w:eastAsia="仿宋"/>
                <w:szCs w:val="21"/>
              </w:rPr>
              <w:t>1.51</w:t>
            </w:r>
          </w:p>
        </w:tc>
        <w:tc>
          <w:tcPr>
            <w:tcW w:w="356" w:type="pct"/>
          </w:tcPr>
          <w:p w14:paraId="064E7EA1">
            <w:pPr>
              <w:jc w:val="center"/>
              <w:rPr>
                <w:rFonts w:ascii="Times New Roman" w:eastAsia="仿宋"/>
                <w:szCs w:val="21"/>
              </w:rPr>
            </w:pPr>
            <w:r>
              <w:rPr>
                <w:rFonts w:ascii="Times New Roman" w:eastAsia="仿宋"/>
                <w:szCs w:val="21"/>
              </w:rPr>
              <w:t>0.75</w:t>
            </w:r>
          </w:p>
        </w:tc>
        <w:tc>
          <w:tcPr>
            <w:tcW w:w="434" w:type="pct"/>
          </w:tcPr>
          <w:p w14:paraId="6A4077EC">
            <w:pPr>
              <w:jc w:val="center"/>
              <w:rPr>
                <w:rFonts w:ascii="Times New Roman" w:eastAsia="仿宋"/>
                <w:szCs w:val="21"/>
              </w:rPr>
            </w:pPr>
            <w:r>
              <w:rPr>
                <w:rFonts w:ascii="Times New Roman" w:eastAsia="仿宋"/>
                <w:szCs w:val="21"/>
              </w:rPr>
              <w:t>0.0603</w:t>
            </w:r>
          </w:p>
        </w:tc>
        <w:tc>
          <w:tcPr>
            <w:tcW w:w="327" w:type="pct"/>
          </w:tcPr>
          <w:p w14:paraId="5972F878">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0E99EE16">
            <w:pPr>
              <w:jc w:val="center"/>
              <w:rPr>
                <w:rFonts w:ascii="Times New Roman" w:eastAsia="仿宋"/>
                <w:szCs w:val="21"/>
              </w:rPr>
            </w:pPr>
            <w:r>
              <w:rPr>
                <w:rFonts w:hint="eastAsia" w:ascii="Times New Roman" w:eastAsia="仿宋"/>
                <w:szCs w:val="21"/>
              </w:rPr>
              <w:t>3.02</w:t>
            </w:r>
          </w:p>
        </w:tc>
        <w:tc>
          <w:tcPr>
            <w:tcW w:w="344" w:type="pct"/>
            <w:vAlign w:val="bottom"/>
          </w:tcPr>
          <w:p w14:paraId="244C2F8A">
            <w:pPr>
              <w:jc w:val="center"/>
              <w:rPr>
                <w:rFonts w:ascii="Times New Roman" w:eastAsia="仿宋"/>
                <w:szCs w:val="21"/>
              </w:rPr>
            </w:pPr>
            <w:r>
              <w:rPr>
                <w:rFonts w:hint="eastAsia" w:ascii="Times New Roman" w:eastAsia="仿宋"/>
                <w:szCs w:val="21"/>
              </w:rPr>
              <w:t>1.51</w:t>
            </w:r>
          </w:p>
        </w:tc>
      </w:tr>
      <w:tr w14:paraId="4B14E5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150E0D40">
            <w:pPr>
              <w:jc w:val="center"/>
              <w:rPr>
                <w:rFonts w:ascii="Times New Roman" w:eastAsia="仿宋"/>
                <w:szCs w:val="21"/>
              </w:rPr>
            </w:pPr>
            <w:r>
              <w:rPr>
                <w:rFonts w:ascii="Times New Roman" w:eastAsia="仿宋"/>
                <w:szCs w:val="21"/>
              </w:rPr>
              <w:t>800</w:t>
            </w:r>
          </w:p>
        </w:tc>
        <w:tc>
          <w:tcPr>
            <w:tcW w:w="348" w:type="pct"/>
          </w:tcPr>
          <w:p w14:paraId="69A77FCC">
            <w:pPr>
              <w:jc w:val="center"/>
              <w:rPr>
                <w:rFonts w:ascii="Times New Roman" w:eastAsia="仿宋"/>
                <w:szCs w:val="21"/>
              </w:rPr>
            </w:pPr>
            <w:r>
              <w:rPr>
                <w:rFonts w:ascii="Times New Roman" w:eastAsia="仿宋"/>
                <w:szCs w:val="21"/>
              </w:rPr>
              <w:t>5.62</w:t>
            </w:r>
          </w:p>
        </w:tc>
        <w:tc>
          <w:tcPr>
            <w:tcW w:w="373" w:type="pct"/>
          </w:tcPr>
          <w:p w14:paraId="3AAAD76D">
            <w:pPr>
              <w:jc w:val="center"/>
              <w:rPr>
                <w:rFonts w:ascii="Times New Roman" w:eastAsia="仿宋"/>
                <w:szCs w:val="21"/>
              </w:rPr>
            </w:pPr>
            <w:r>
              <w:rPr>
                <w:rFonts w:ascii="Times New Roman" w:eastAsia="仿宋"/>
                <w:szCs w:val="21"/>
              </w:rPr>
              <w:t>0.28</w:t>
            </w:r>
          </w:p>
        </w:tc>
        <w:tc>
          <w:tcPr>
            <w:tcW w:w="399" w:type="pct"/>
          </w:tcPr>
          <w:p w14:paraId="65E1B32A">
            <w:pPr>
              <w:jc w:val="center"/>
              <w:rPr>
                <w:rFonts w:ascii="Times New Roman" w:eastAsia="仿宋"/>
                <w:szCs w:val="21"/>
              </w:rPr>
            </w:pPr>
            <w:r>
              <w:rPr>
                <w:rFonts w:ascii="Times New Roman" w:eastAsia="仿宋"/>
                <w:szCs w:val="21"/>
              </w:rPr>
              <w:t>5.62</w:t>
            </w:r>
          </w:p>
        </w:tc>
        <w:tc>
          <w:tcPr>
            <w:tcW w:w="399" w:type="pct"/>
            <w:vAlign w:val="bottom"/>
          </w:tcPr>
          <w:p w14:paraId="067B1EC7">
            <w:pPr>
              <w:jc w:val="center"/>
              <w:rPr>
                <w:rFonts w:ascii="Times New Roman" w:eastAsia="仿宋"/>
                <w:szCs w:val="21"/>
              </w:rPr>
            </w:pPr>
            <w:r>
              <w:rPr>
                <w:rFonts w:hint="eastAsia" w:ascii="Times New Roman" w:eastAsia="仿宋"/>
                <w:szCs w:val="21"/>
              </w:rPr>
              <w:t>0.46</w:t>
            </w:r>
          </w:p>
        </w:tc>
        <w:tc>
          <w:tcPr>
            <w:tcW w:w="445" w:type="pct"/>
          </w:tcPr>
          <w:p w14:paraId="5CEF5520">
            <w:pPr>
              <w:jc w:val="center"/>
              <w:rPr>
                <w:rFonts w:ascii="Times New Roman" w:eastAsia="仿宋"/>
                <w:szCs w:val="21"/>
              </w:rPr>
            </w:pPr>
            <w:r>
              <w:rPr>
                <w:rFonts w:ascii="Times New Roman" w:eastAsia="仿宋"/>
                <w:szCs w:val="21"/>
              </w:rPr>
              <w:t>0.394</w:t>
            </w:r>
          </w:p>
        </w:tc>
        <w:tc>
          <w:tcPr>
            <w:tcW w:w="353" w:type="pct"/>
          </w:tcPr>
          <w:p w14:paraId="68275D8F">
            <w:pPr>
              <w:jc w:val="center"/>
              <w:rPr>
                <w:rFonts w:ascii="Times New Roman" w:eastAsia="仿宋"/>
                <w:szCs w:val="21"/>
              </w:rPr>
            </w:pPr>
            <w:r>
              <w:rPr>
                <w:rFonts w:ascii="Times New Roman" w:eastAsia="仿宋"/>
                <w:szCs w:val="21"/>
              </w:rPr>
              <w:t>0.09</w:t>
            </w:r>
          </w:p>
        </w:tc>
        <w:tc>
          <w:tcPr>
            <w:tcW w:w="445" w:type="pct"/>
          </w:tcPr>
          <w:p w14:paraId="76D2202C">
            <w:pPr>
              <w:jc w:val="center"/>
              <w:rPr>
                <w:rFonts w:ascii="Times New Roman" w:eastAsia="仿宋"/>
                <w:szCs w:val="21"/>
              </w:rPr>
            </w:pPr>
            <w:r>
              <w:rPr>
                <w:rFonts w:ascii="Times New Roman" w:eastAsia="仿宋"/>
                <w:szCs w:val="21"/>
              </w:rPr>
              <w:t>1.41</w:t>
            </w:r>
          </w:p>
        </w:tc>
        <w:tc>
          <w:tcPr>
            <w:tcW w:w="356" w:type="pct"/>
          </w:tcPr>
          <w:p w14:paraId="788B4F68">
            <w:pPr>
              <w:jc w:val="center"/>
              <w:rPr>
                <w:rFonts w:ascii="Times New Roman" w:eastAsia="仿宋"/>
                <w:szCs w:val="21"/>
              </w:rPr>
            </w:pPr>
            <w:r>
              <w:rPr>
                <w:rFonts w:ascii="Times New Roman" w:eastAsia="仿宋"/>
                <w:szCs w:val="21"/>
              </w:rPr>
              <w:t>0.70</w:t>
            </w:r>
          </w:p>
        </w:tc>
        <w:tc>
          <w:tcPr>
            <w:tcW w:w="434" w:type="pct"/>
          </w:tcPr>
          <w:p w14:paraId="35F41F37">
            <w:pPr>
              <w:jc w:val="center"/>
              <w:rPr>
                <w:rFonts w:ascii="Times New Roman" w:eastAsia="仿宋"/>
                <w:szCs w:val="21"/>
              </w:rPr>
            </w:pPr>
            <w:r>
              <w:rPr>
                <w:rFonts w:ascii="Times New Roman" w:eastAsia="仿宋"/>
                <w:szCs w:val="21"/>
              </w:rPr>
              <w:t>0.0562</w:t>
            </w:r>
          </w:p>
        </w:tc>
        <w:tc>
          <w:tcPr>
            <w:tcW w:w="327" w:type="pct"/>
          </w:tcPr>
          <w:p w14:paraId="167000E3">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5213AE92">
            <w:pPr>
              <w:jc w:val="center"/>
              <w:rPr>
                <w:rFonts w:ascii="Times New Roman" w:eastAsia="仿宋"/>
                <w:szCs w:val="21"/>
              </w:rPr>
            </w:pPr>
            <w:r>
              <w:rPr>
                <w:rFonts w:hint="eastAsia" w:ascii="Times New Roman" w:eastAsia="仿宋"/>
                <w:szCs w:val="21"/>
              </w:rPr>
              <w:t>2.82</w:t>
            </w:r>
          </w:p>
        </w:tc>
        <w:tc>
          <w:tcPr>
            <w:tcW w:w="344" w:type="pct"/>
            <w:vAlign w:val="bottom"/>
          </w:tcPr>
          <w:p w14:paraId="1F246BF4">
            <w:pPr>
              <w:jc w:val="center"/>
              <w:rPr>
                <w:rFonts w:ascii="Times New Roman" w:eastAsia="仿宋"/>
                <w:szCs w:val="21"/>
              </w:rPr>
            </w:pPr>
            <w:r>
              <w:rPr>
                <w:rFonts w:hint="eastAsia" w:ascii="Times New Roman" w:eastAsia="仿宋"/>
                <w:szCs w:val="21"/>
              </w:rPr>
              <w:t>1.41</w:t>
            </w:r>
          </w:p>
        </w:tc>
      </w:tr>
      <w:tr w14:paraId="6968F2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0E25598F">
            <w:pPr>
              <w:jc w:val="center"/>
              <w:rPr>
                <w:rFonts w:ascii="Times New Roman" w:eastAsia="仿宋"/>
                <w:szCs w:val="21"/>
              </w:rPr>
            </w:pPr>
            <w:r>
              <w:rPr>
                <w:rFonts w:ascii="Times New Roman" w:eastAsia="仿宋"/>
                <w:szCs w:val="21"/>
              </w:rPr>
              <w:t>900</w:t>
            </w:r>
          </w:p>
        </w:tc>
        <w:tc>
          <w:tcPr>
            <w:tcW w:w="348" w:type="pct"/>
          </w:tcPr>
          <w:p w14:paraId="0367FA6B">
            <w:pPr>
              <w:jc w:val="center"/>
              <w:rPr>
                <w:rFonts w:ascii="Times New Roman" w:eastAsia="仿宋"/>
                <w:szCs w:val="21"/>
              </w:rPr>
            </w:pPr>
            <w:r>
              <w:rPr>
                <w:rFonts w:ascii="Times New Roman" w:eastAsia="仿宋"/>
                <w:szCs w:val="21"/>
              </w:rPr>
              <w:t>5.26</w:t>
            </w:r>
          </w:p>
        </w:tc>
        <w:tc>
          <w:tcPr>
            <w:tcW w:w="373" w:type="pct"/>
          </w:tcPr>
          <w:p w14:paraId="7F0C8E42">
            <w:pPr>
              <w:jc w:val="center"/>
              <w:rPr>
                <w:rFonts w:ascii="Times New Roman" w:eastAsia="仿宋"/>
                <w:szCs w:val="21"/>
              </w:rPr>
            </w:pPr>
            <w:r>
              <w:rPr>
                <w:rFonts w:ascii="Times New Roman" w:eastAsia="仿宋"/>
                <w:szCs w:val="21"/>
              </w:rPr>
              <w:t>0.26</w:t>
            </w:r>
          </w:p>
        </w:tc>
        <w:tc>
          <w:tcPr>
            <w:tcW w:w="399" w:type="pct"/>
          </w:tcPr>
          <w:p w14:paraId="19F5688C">
            <w:pPr>
              <w:jc w:val="center"/>
              <w:rPr>
                <w:rFonts w:ascii="Times New Roman" w:eastAsia="仿宋"/>
                <w:szCs w:val="21"/>
              </w:rPr>
            </w:pPr>
            <w:r>
              <w:rPr>
                <w:rFonts w:ascii="Times New Roman" w:eastAsia="仿宋"/>
                <w:szCs w:val="21"/>
              </w:rPr>
              <w:t>5.26</w:t>
            </w:r>
          </w:p>
        </w:tc>
        <w:tc>
          <w:tcPr>
            <w:tcW w:w="399" w:type="pct"/>
            <w:vAlign w:val="bottom"/>
          </w:tcPr>
          <w:p w14:paraId="5BD7A6E6">
            <w:pPr>
              <w:jc w:val="center"/>
              <w:rPr>
                <w:rFonts w:ascii="Times New Roman" w:eastAsia="仿宋"/>
                <w:szCs w:val="21"/>
              </w:rPr>
            </w:pPr>
            <w:r>
              <w:rPr>
                <w:rFonts w:hint="eastAsia" w:ascii="Times New Roman" w:eastAsia="仿宋"/>
                <w:szCs w:val="21"/>
              </w:rPr>
              <w:t>0.43</w:t>
            </w:r>
          </w:p>
        </w:tc>
        <w:tc>
          <w:tcPr>
            <w:tcW w:w="445" w:type="pct"/>
          </w:tcPr>
          <w:p w14:paraId="41117C4B">
            <w:pPr>
              <w:jc w:val="center"/>
              <w:rPr>
                <w:rFonts w:ascii="Times New Roman" w:eastAsia="仿宋"/>
                <w:szCs w:val="21"/>
              </w:rPr>
            </w:pPr>
            <w:r>
              <w:rPr>
                <w:rFonts w:ascii="Times New Roman" w:eastAsia="仿宋"/>
                <w:szCs w:val="21"/>
              </w:rPr>
              <w:t>0.368</w:t>
            </w:r>
          </w:p>
        </w:tc>
        <w:tc>
          <w:tcPr>
            <w:tcW w:w="353" w:type="pct"/>
          </w:tcPr>
          <w:p w14:paraId="32F1A85F">
            <w:pPr>
              <w:jc w:val="center"/>
              <w:rPr>
                <w:rFonts w:ascii="Times New Roman" w:eastAsia="仿宋"/>
                <w:szCs w:val="21"/>
              </w:rPr>
            </w:pPr>
            <w:r>
              <w:rPr>
                <w:rFonts w:ascii="Times New Roman" w:eastAsia="仿宋"/>
                <w:szCs w:val="21"/>
              </w:rPr>
              <w:t>0.08</w:t>
            </w:r>
          </w:p>
        </w:tc>
        <w:tc>
          <w:tcPr>
            <w:tcW w:w="445" w:type="pct"/>
          </w:tcPr>
          <w:p w14:paraId="34A0591A">
            <w:pPr>
              <w:jc w:val="center"/>
              <w:rPr>
                <w:rFonts w:ascii="Times New Roman" w:eastAsia="仿宋"/>
                <w:szCs w:val="21"/>
              </w:rPr>
            </w:pPr>
            <w:r>
              <w:rPr>
                <w:rFonts w:ascii="Times New Roman" w:eastAsia="仿宋"/>
                <w:szCs w:val="21"/>
              </w:rPr>
              <w:t>1.32</w:t>
            </w:r>
          </w:p>
        </w:tc>
        <w:tc>
          <w:tcPr>
            <w:tcW w:w="356" w:type="pct"/>
          </w:tcPr>
          <w:p w14:paraId="1595656D">
            <w:pPr>
              <w:jc w:val="center"/>
              <w:rPr>
                <w:rFonts w:ascii="Times New Roman" w:eastAsia="仿宋"/>
                <w:szCs w:val="21"/>
              </w:rPr>
            </w:pPr>
            <w:r>
              <w:rPr>
                <w:rFonts w:ascii="Times New Roman" w:eastAsia="仿宋"/>
                <w:szCs w:val="21"/>
              </w:rPr>
              <w:t>0.66</w:t>
            </w:r>
          </w:p>
        </w:tc>
        <w:tc>
          <w:tcPr>
            <w:tcW w:w="434" w:type="pct"/>
          </w:tcPr>
          <w:p w14:paraId="3A4B6A55">
            <w:pPr>
              <w:jc w:val="center"/>
              <w:rPr>
                <w:rFonts w:ascii="Times New Roman" w:eastAsia="仿宋"/>
                <w:szCs w:val="21"/>
              </w:rPr>
            </w:pPr>
            <w:r>
              <w:rPr>
                <w:rFonts w:ascii="Times New Roman" w:eastAsia="仿宋"/>
                <w:szCs w:val="21"/>
              </w:rPr>
              <w:t>0.0526</w:t>
            </w:r>
          </w:p>
        </w:tc>
        <w:tc>
          <w:tcPr>
            <w:tcW w:w="327" w:type="pct"/>
          </w:tcPr>
          <w:p w14:paraId="37407BF8">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3A9D7ABC">
            <w:pPr>
              <w:jc w:val="center"/>
              <w:rPr>
                <w:rFonts w:ascii="Times New Roman" w:eastAsia="仿宋"/>
                <w:szCs w:val="21"/>
              </w:rPr>
            </w:pPr>
            <w:r>
              <w:rPr>
                <w:rFonts w:hint="eastAsia" w:ascii="Times New Roman" w:eastAsia="仿宋"/>
                <w:szCs w:val="21"/>
              </w:rPr>
              <w:t>2.64</w:t>
            </w:r>
          </w:p>
        </w:tc>
        <w:tc>
          <w:tcPr>
            <w:tcW w:w="344" w:type="pct"/>
            <w:vAlign w:val="bottom"/>
          </w:tcPr>
          <w:p w14:paraId="6B2E4986">
            <w:pPr>
              <w:jc w:val="center"/>
              <w:rPr>
                <w:rFonts w:ascii="Times New Roman" w:eastAsia="仿宋"/>
                <w:szCs w:val="21"/>
              </w:rPr>
            </w:pPr>
            <w:r>
              <w:rPr>
                <w:rFonts w:hint="eastAsia" w:ascii="Times New Roman" w:eastAsia="仿宋"/>
                <w:szCs w:val="21"/>
              </w:rPr>
              <w:t>1.32</w:t>
            </w:r>
          </w:p>
        </w:tc>
      </w:tr>
      <w:tr w14:paraId="66B06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383476A4">
            <w:pPr>
              <w:jc w:val="center"/>
              <w:rPr>
                <w:rFonts w:ascii="Times New Roman" w:eastAsia="仿宋"/>
                <w:szCs w:val="21"/>
              </w:rPr>
            </w:pPr>
            <w:r>
              <w:rPr>
                <w:rFonts w:ascii="Times New Roman" w:eastAsia="仿宋"/>
                <w:szCs w:val="21"/>
              </w:rPr>
              <w:t>1000</w:t>
            </w:r>
          </w:p>
        </w:tc>
        <w:tc>
          <w:tcPr>
            <w:tcW w:w="348" w:type="pct"/>
          </w:tcPr>
          <w:p w14:paraId="19A667DD">
            <w:pPr>
              <w:jc w:val="center"/>
              <w:rPr>
                <w:rFonts w:ascii="Times New Roman" w:eastAsia="仿宋"/>
                <w:szCs w:val="21"/>
              </w:rPr>
            </w:pPr>
            <w:r>
              <w:rPr>
                <w:rFonts w:ascii="Times New Roman" w:eastAsia="仿宋"/>
                <w:szCs w:val="21"/>
              </w:rPr>
              <w:t>4.94</w:t>
            </w:r>
          </w:p>
        </w:tc>
        <w:tc>
          <w:tcPr>
            <w:tcW w:w="373" w:type="pct"/>
          </w:tcPr>
          <w:p w14:paraId="4EE4E382">
            <w:pPr>
              <w:jc w:val="center"/>
              <w:rPr>
                <w:rFonts w:ascii="Times New Roman" w:eastAsia="仿宋"/>
                <w:szCs w:val="21"/>
              </w:rPr>
            </w:pPr>
            <w:r>
              <w:rPr>
                <w:rFonts w:ascii="Times New Roman" w:eastAsia="仿宋"/>
                <w:szCs w:val="21"/>
              </w:rPr>
              <w:t>0.25</w:t>
            </w:r>
          </w:p>
        </w:tc>
        <w:tc>
          <w:tcPr>
            <w:tcW w:w="399" w:type="pct"/>
          </w:tcPr>
          <w:p w14:paraId="52BD8A9B">
            <w:pPr>
              <w:jc w:val="center"/>
              <w:rPr>
                <w:rFonts w:ascii="Times New Roman" w:eastAsia="仿宋"/>
                <w:szCs w:val="21"/>
              </w:rPr>
            </w:pPr>
            <w:r>
              <w:rPr>
                <w:rFonts w:ascii="Times New Roman" w:eastAsia="仿宋"/>
                <w:szCs w:val="21"/>
              </w:rPr>
              <w:t>4.94</w:t>
            </w:r>
          </w:p>
        </w:tc>
        <w:tc>
          <w:tcPr>
            <w:tcW w:w="399" w:type="pct"/>
            <w:vAlign w:val="bottom"/>
          </w:tcPr>
          <w:p w14:paraId="5543E0FF">
            <w:pPr>
              <w:jc w:val="center"/>
              <w:rPr>
                <w:rFonts w:ascii="Times New Roman" w:eastAsia="仿宋"/>
                <w:szCs w:val="21"/>
              </w:rPr>
            </w:pPr>
            <w:r>
              <w:rPr>
                <w:rFonts w:hint="eastAsia" w:ascii="Times New Roman" w:eastAsia="仿宋"/>
                <w:szCs w:val="21"/>
              </w:rPr>
              <w:t>0.41</w:t>
            </w:r>
          </w:p>
        </w:tc>
        <w:tc>
          <w:tcPr>
            <w:tcW w:w="445" w:type="pct"/>
          </w:tcPr>
          <w:p w14:paraId="7D1233AA">
            <w:pPr>
              <w:jc w:val="center"/>
              <w:rPr>
                <w:rFonts w:ascii="Times New Roman" w:eastAsia="仿宋"/>
                <w:szCs w:val="21"/>
              </w:rPr>
            </w:pPr>
            <w:r>
              <w:rPr>
                <w:rFonts w:ascii="Times New Roman" w:eastAsia="仿宋"/>
                <w:szCs w:val="21"/>
              </w:rPr>
              <w:t>0.346</w:t>
            </w:r>
          </w:p>
        </w:tc>
        <w:tc>
          <w:tcPr>
            <w:tcW w:w="353" w:type="pct"/>
          </w:tcPr>
          <w:p w14:paraId="4BE8E1D0">
            <w:pPr>
              <w:jc w:val="center"/>
              <w:rPr>
                <w:rFonts w:ascii="Times New Roman" w:eastAsia="仿宋"/>
                <w:szCs w:val="21"/>
              </w:rPr>
            </w:pPr>
            <w:r>
              <w:rPr>
                <w:rFonts w:ascii="Times New Roman" w:eastAsia="仿宋"/>
                <w:szCs w:val="21"/>
              </w:rPr>
              <w:t>0.08</w:t>
            </w:r>
          </w:p>
        </w:tc>
        <w:tc>
          <w:tcPr>
            <w:tcW w:w="445" w:type="pct"/>
          </w:tcPr>
          <w:p w14:paraId="7136FC5B">
            <w:pPr>
              <w:jc w:val="center"/>
              <w:rPr>
                <w:rFonts w:ascii="Times New Roman" w:eastAsia="仿宋"/>
                <w:szCs w:val="21"/>
              </w:rPr>
            </w:pPr>
            <w:r>
              <w:rPr>
                <w:rFonts w:ascii="Times New Roman" w:eastAsia="仿宋"/>
                <w:szCs w:val="21"/>
              </w:rPr>
              <w:t>1.24</w:t>
            </w:r>
          </w:p>
        </w:tc>
        <w:tc>
          <w:tcPr>
            <w:tcW w:w="356" w:type="pct"/>
          </w:tcPr>
          <w:p w14:paraId="3D580184">
            <w:pPr>
              <w:jc w:val="center"/>
              <w:rPr>
                <w:rFonts w:ascii="Times New Roman" w:eastAsia="仿宋"/>
                <w:szCs w:val="21"/>
              </w:rPr>
            </w:pPr>
            <w:r>
              <w:rPr>
                <w:rFonts w:ascii="Times New Roman" w:eastAsia="仿宋"/>
                <w:szCs w:val="21"/>
              </w:rPr>
              <w:t>0.62</w:t>
            </w:r>
          </w:p>
        </w:tc>
        <w:tc>
          <w:tcPr>
            <w:tcW w:w="434" w:type="pct"/>
          </w:tcPr>
          <w:p w14:paraId="536B9CB5">
            <w:pPr>
              <w:jc w:val="center"/>
              <w:rPr>
                <w:rFonts w:ascii="Times New Roman" w:eastAsia="仿宋"/>
                <w:szCs w:val="21"/>
              </w:rPr>
            </w:pPr>
            <w:r>
              <w:rPr>
                <w:rFonts w:ascii="Times New Roman" w:eastAsia="仿宋"/>
                <w:szCs w:val="21"/>
              </w:rPr>
              <w:t>0.0494</w:t>
            </w:r>
          </w:p>
        </w:tc>
        <w:tc>
          <w:tcPr>
            <w:tcW w:w="327" w:type="pct"/>
          </w:tcPr>
          <w:p w14:paraId="7ABCF21F">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4A041020">
            <w:pPr>
              <w:jc w:val="center"/>
              <w:rPr>
                <w:rFonts w:ascii="Times New Roman" w:eastAsia="仿宋"/>
                <w:szCs w:val="21"/>
              </w:rPr>
            </w:pPr>
            <w:r>
              <w:rPr>
                <w:rFonts w:hint="eastAsia" w:ascii="Times New Roman" w:eastAsia="仿宋"/>
                <w:szCs w:val="21"/>
              </w:rPr>
              <w:t>2.48</w:t>
            </w:r>
          </w:p>
        </w:tc>
        <w:tc>
          <w:tcPr>
            <w:tcW w:w="344" w:type="pct"/>
            <w:vAlign w:val="bottom"/>
          </w:tcPr>
          <w:p w14:paraId="47E3D3E3">
            <w:pPr>
              <w:jc w:val="center"/>
              <w:rPr>
                <w:rFonts w:ascii="Times New Roman" w:eastAsia="仿宋"/>
                <w:szCs w:val="21"/>
              </w:rPr>
            </w:pPr>
            <w:r>
              <w:rPr>
                <w:rFonts w:hint="eastAsia" w:ascii="Times New Roman" w:eastAsia="仿宋"/>
                <w:szCs w:val="21"/>
              </w:rPr>
              <w:t>1.24</w:t>
            </w:r>
          </w:p>
        </w:tc>
      </w:tr>
      <w:tr w14:paraId="0393F2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3E65F48C">
            <w:pPr>
              <w:jc w:val="center"/>
              <w:rPr>
                <w:rFonts w:ascii="Times New Roman" w:eastAsia="仿宋"/>
                <w:szCs w:val="21"/>
              </w:rPr>
            </w:pPr>
            <w:r>
              <w:rPr>
                <w:rFonts w:ascii="Times New Roman" w:eastAsia="仿宋"/>
                <w:szCs w:val="21"/>
              </w:rPr>
              <w:t>1200</w:t>
            </w:r>
          </w:p>
        </w:tc>
        <w:tc>
          <w:tcPr>
            <w:tcW w:w="348" w:type="pct"/>
          </w:tcPr>
          <w:p w14:paraId="3C6518FA">
            <w:pPr>
              <w:jc w:val="center"/>
              <w:rPr>
                <w:rFonts w:ascii="Times New Roman" w:eastAsia="仿宋"/>
                <w:szCs w:val="21"/>
              </w:rPr>
            </w:pPr>
            <w:r>
              <w:rPr>
                <w:rFonts w:ascii="Times New Roman" w:eastAsia="仿宋"/>
                <w:szCs w:val="21"/>
              </w:rPr>
              <w:t>4.41</w:t>
            </w:r>
          </w:p>
        </w:tc>
        <w:tc>
          <w:tcPr>
            <w:tcW w:w="373" w:type="pct"/>
          </w:tcPr>
          <w:p w14:paraId="5BA167CF">
            <w:pPr>
              <w:jc w:val="center"/>
              <w:rPr>
                <w:rFonts w:ascii="Times New Roman" w:eastAsia="仿宋"/>
                <w:szCs w:val="21"/>
              </w:rPr>
            </w:pPr>
            <w:r>
              <w:rPr>
                <w:rFonts w:ascii="Times New Roman" w:eastAsia="仿宋"/>
                <w:szCs w:val="21"/>
              </w:rPr>
              <w:t>0.22</w:t>
            </w:r>
          </w:p>
        </w:tc>
        <w:tc>
          <w:tcPr>
            <w:tcW w:w="399" w:type="pct"/>
          </w:tcPr>
          <w:p w14:paraId="08B78F89">
            <w:pPr>
              <w:jc w:val="center"/>
              <w:rPr>
                <w:rFonts w:ascii="Times New Roman" w:eastAsia="仿宋"/>
                <w:szCs w:val="21"/>
              </w:rPr>
            </w:pPr>
            <w:r>
              <w:rPr>
                <w:rFonts w:ascii="Times New Roman" w:eastAsia="仿宋"/>
                <w:szCs w:val="21"/>
              </w:rPr>
              <w:t>4.41</w:t>
            </w:r>
          </w:p>
        </w:tc>
        <w:tc>
          <w:tcPr>
            <w:tcW w:w="399" w:type="pct"/>
            <w:vAlign w:val="bottom"/>
          </w:tcPr>
          <w:p w14:paraId="24AD757B">
            <w:pPr>
              <w:jc w:val="center"/>
              <w:rPr>
                <w:rFonts w:ascii="Times New Roman" w:eastAsia="仿宋"/>
                <w:szCs w:val="21"/>
              </w:rPr>
            </w:pPr>
            <w:r>
              <w:rPr>
                <w:rFonts w:hint="eastAsia" w:ascii="Times New Roman" w:eastAsia="仿宋"/>
                <w:szCs w:val="21"/>
              </w:rPr>
              <w:t>0.36</w:t>
            </w:r>
          </w:p>
        </w:tc>
        <w:tc>
          <w:tcPr>
            <w:tcW w:w="445" w:type="pct"/>
          </w:tcPr>
          <w:p w14:paraId="6174F980">
            <w:pPr>
              <w:jc w:val="center"/>
              <w:rPr>
                <w:rFonts w:ascii="Times New Roman" w:eastAsia="仿宋"/>
                <w:szCs w:val="21"/>
              </w:rPr>
            </w:pPr>
            <w:r>
              <w:rPr>
                <w:rFonts w:ascii="Times New Roman" w:eastAsia="仿宋"/>
                <w:szCs w:val="21"/>
              </w:rPr>
              <w:t>0.308</w:t>
            </w:r>
          </w:p>
        </w:tc>
        <w:tc>
          <w:tcPr>
            <w:tcW w:w="353" w:type="pct"/>
          </w:tcPr>
          <w:p w14:paraId="66E3F441">
            <w:pPr>
              <w:jc w:val="center"/>
              <w:rPr>
                <w:rFonts w:ascii="Times New Roman" w:eastAsia="仿宋"/>
                <w:szCs w:val="21"/>
              </w:rPr>
            </w:pPr>
            <w:r>
              <w:rPr>
                <w:rFonts w:ascii="Times New Roman" w:eastAsia="仿宋"/>
                <w:szCs w:val="21"/>
              </w:rPr>
              <w:t>0.07</w:t>
            </w:r>
          </w:p>
        </w:tc>
        <w:tc>
          <w:tcPr>
            <w:tcW w:w="445" w:type="pct"/>
          </w:tcPr>
          <w:p w14:paraId="49B6F0CF">
            <w:pPr>
              <w:jc w:val="center"/>
              <w:rPr>
                <w:rFonts w:ascii="Times New Roman" w:eastAsia="仿宋"/>
                <w:szCs w:val="21"/>
              </w:rPr>
            </w:pPr>
            <w:r>
              <w:rPr>
                <w:rFonts w:ascii="Times New Roman" w:eastAsia="仿宋"/>
                <w:szCs w:val="21"/>
              </w:rPr>
              <w:t>1.10</w:t>
            </w:r>
          </w:p>
        </w:tc>
        <w:tc>
          <w:tcPr>
            <w:tcW w:w="356" w:type="pct"/>
          </w:tcPr>
          <w:p w14:paraId="085CDAAE">
            <w:pPr>
              <w:jc w:val="center"/>
              <w:rPr>
                <w:rFonts w:ascii="Times New Roman" w:eastAsia="仿宋"/>
                <w:szCs w:val="21"/>
              </w:rPr>
            </w:pPr>
            <w:r>
              <w:rPr>
                <w:rFonts w:ascii="Times New Roman" w:eastAsia="仿宋"/>
                <w:szCs w:val="21"/>
              </w:rPr>
              <w:t>0.55</w:t>
            </w:r>
          </w:p>
        </w:tc>
        <w:tc>
          <w:tcPr>
            <w:tcW w:w="434" w:type="pct"/>
          </w:tcPr>
          <w:p w14:paraId="451F6BC7">
            <w:pPr>
              <w:jc w:val="center"/>
              <w:rPr>
                <w:rFonts w:ascii="Times New Roman" w:eastAsia="仿宋"/>
                <w:szCs w:val="21"/>
              </w:rPr>
            </w:pPr>
            <w:r>
              <w:rPr>
                <w:rFonts w:ascii="Times New Roman" w:eastAsia="仿宋"/>
                <w:szCs w:val="21"/>
              </w:rPr>
              <w:t>0.0441</w:t>
            </w:r>
          </w:p>
        </w:tc>
        <w:tc>
          <w:tcPr>
            <w:tcW w:w="327" w:type="pct"/>
          </w:tcPr>
          <w:p w14:paraId="40C90998">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55060A47">
            <w:pPr>
              <w:jc w:val="center"/>
              <w:rPr>
                <w:rFonts w:ascii="Times New Roman" w:eastAsia="仿宋"/>
                <w:szCs w:val="21"/>
              </w:rPr>
            </w:pPr>
            <w:r>
              <w:rPr>
                <w:rFonts w:hint="eastAsia" w:ascii="Times New Roman" w:eastAsia="仿宋"/>
                <w:szCs w:val="21"/>
              </w:rPr>
              <w:t>2.2</w:t>
            </w:r>
          </w:p>
        </w:tc>
        <w:tc>
          <w:tcPr>
            <w:tcW w:w="344" w:type="pct"/>
            <w:vAlign w:val="bottom"/>
          </w:tcPr>
          <w:p w14:paraId="0781086A">
            <w:pPr>
              <w:jc w:val="center"/>
              <w:rPr>
                <w:rFonts w:ascii="Times New Roman" w:eastAsia="仿宋"/>
                <w:szCs w:val="21"/>
              </w:rPr>
            </w:pPr>
            <w:r>
              <w:rPr>
                <w:rFonts w:hint="eastAsia" w:ascii="Times New Roman" w:eastAsia="仿宋"/>
                <w:szCs w:val="21"/>
              </w:rPr>
              <w:t>1.1</w:t>
            </w:r>
          </w:p>
        </w:tc>
      </w:tr>
      <w:tr w14:paraId="1B379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287E04D7">
            <w:pPr>
              <w:jc w:val="center"/>
              <w:rPr>
                <w:rFonts w:ascii="Times New Roman" w:eastAsia="仿宋"/>
                <w:szCs w:val="21"/>
              </w:rPr>
            </w:pPr>
            <w:r>
              <w:rPr>
                <w:rFonts w:ascii="Times New Roman" w:eastAsia="仿宋"/>
                <w:szCs w:val="21"/>
              </w:rPr>
              <w:t>1400</w:t>
            </w:r>
          </w:p>
        </w:tc>
        <w:tc>
          <w:tcPr>
            <w:tcW w:w="348" w:type="pct"/>
          </w:tcPr>
          <w:p w14:paraId="18AF0972">
            <w:pPr>
              <w:jc w:val="center"/>
              <w:rPr>
                <w:rFonts w:ascii="Times New Roman" w:eastAsia="仿宋"/>
                <w:szCs w:val="21"/>
              </w:rPr>
            </w:pPr>
            <w:r>
              <w:rPr>
                <w:rFonts w:ascii="Times New Roman" w:eastAsia="仿宋"/>
                <w:szCs w:val="21"/>
              </w:rPr>
              <w:t>3.98</w:t>
            </w:r>
          </w:p>
        </w:tc>
        <w:tc>
          <w:tcPr>
            <w:tcW w:w="373" w:type="pct"/>
          </w:tcPr>
          <w:p w14:paraId="6959E4B1">
            <w:pPr>
              <w:jc w:val="center"/>
              <w:rPr>
                <w:rFonts w:ascii="Times New Roman" w:eastAsia="仿宋"/>
                <w:szCs w:val="21"/>
              </w:rPr>
            </w:pPr>
            <w:r>
              <w:rPr>
                <w:rFonts w:ascii="Times New Roman" w:eastAsia="仿宋"/>
                <w:szCs w:val="21"/>
              </w:rPr>
              <w:t>0.20</w:t>
            </w:r>
          </w:p>
        </w:tc>
        <w:tc>
          <w:tcPr>
            <w:tcW w:w="399" w:type="pct"/>
          </w:tcPr>
          <w:p w14:paraId="5D5EB390">
            <w:pPr>
              <w:jc w:val="center"/>
              <w:rPr>
                <w:rFonts w:ascii="Times New Roman" w:eastAsia="仿宋"/>
                <w:szCs w:val="21"/>
              </w:rPr>
            </w:pPr>
            <w:r>
              <w:rPr>
                <w:rFonts w:ascii="Times New Roman" w:eastAsia="仿宋"/>
                <w:szCs w:val="21"/>
              </w:rPr>
              <w:t>3.98</w:t>
            </w:r>
          </w:p>
        </w:tc>
        <w:tc>
          <w:tcPr>
            <w:tcW w:w="399" w:type="pct"/>
            <w:vAlign w:val="bottom"/>
          </w:tcPr>
          <w:p w14:paraId="638C9410">
            <w:pPr>
              <w:jc w:val="center"/>
              <w:rPr>
                <w:rFonts w:ascii="Times New Roman" w:eastAsia="仿宋"/>
                <w:szCs w:val="21"/>
              </w:rPr>
            </w:pPr>
            <w:r>
              <w:rPr>
                <w:rFonts w:hint="eastAsia" w:ascii="Times New Roman" w:eastAsia="仿宋"/>
                <w:szCs w:val="21"/>
              </w:rPr>
              <w:t>0.33</w:t>
            </w:r>
          </w:p>
        </w:tc>
        <w:tc>
          <w:tcPr>
            <w:tcW w:w="445" w:type="pct"/>
          </w:tcPr>
          <w:p w14:paraId="182F8975">
            <w:pPr>
              <w:jc w:val="center"/>
              <w:rPr>
                <w:rFonts w:ascii="Times New Roman" w:eastAsia="仿宋"/>
                <w:szCs w:val="21"/>
              </w:rPr>
            </w:pPr>
            <w:r>
              <w:rPr>
                <w:rFonts w:ascii="Times New Roman" w:eastAsia="仿宋"/>
                <w:szCs w:val="21"/>
              </w:rPr>
              <w:t>0.279</w:t>
            </w:r>
          </w:p>
        </w:tc>
        <w:tc>
          <w:tcPr>
            <w:tcW w:w="353" w:type="pct"/>
          </w:tcPr>
          <w:p w14:paraId="7E018730">
            <w:pPr>
              <w:jc w:val="center"/>
              <w:rPr>
                <w:rFonts w:ascii="Times New Roman" w:eastAsia="仿宋"/>
                <w:szCs w:val="21"/>
              </w:rPr>
            </w:pPr>
            <w:r>
              <w:rPr>
                <w:rFonts w:ascii="Times New Roman" w:eastAsia="仿宋"/>
                <w:szCs w:val="21"/>
              </w:rPr>
              <w:t>0.06</w:t>
            </w:r>
          </w:p>
        </w:tc>
        <w:tc>
          <w:tcPr>
            <w:tcW w:w="445" w:type="pct"/>
          </w:tcPr>
          <w:p w14:paraId="6B33B752">
            <w:pPr>
              <w:jc w:val="center"/>
              <w:rPr>
                <w:rFonts w:ascii="Times New Roman" w:eastAsia="仿宋"/>
                <w:szCs w:val="21"/>
              </w:rPr>
            </w:pPr>
            <w:r>
              <w:rPr>
                <w:rFonts w:hint="eastAsia" w:ascii="Times New Roman" w:eastAsia="仿宋"/>
                <w:szCs w:val="21"/>
              </w:rPr>
              <w:t>0</w:t>
            </w:r>
            <w:r>
              <w:rPr>
                <w:rFonts w:ascii="Times New Roman" w:eastAsia="仿宋"/>
                <w:szCs w:val="21"/>
              </w:rPr>
              <w:t>.995</w:t>
            </w:r>
          </w:p>
        </w:tc>
        <w:tc>
          <w:tcPr>
            <w:tcW w:w="356" w:type="pct"/>
          </w:tcPr>
          <w:p w14:paraId="17E61B41">
            <w:pPr>
              <w:jc w:val="center"/>
              <w:rPr>
                <w:rFonts w:ascii="Times New Roman" w:eastAsia="仿宋"/>
                <w:szCs w:val="21"/>
              </w:rPr>
            </w:pPr>
            <w:r>
              <w:rPr>
                <w:rFonts w:ascii="Times New Roman" w:eastAsia="仿宋"/>
                <w:szCs w:val="21"/>
              </w:rPr>
              <w:t>0.50</w:t>
            </w:r>
          </w:p>
        </w:tc>
        <w:tc>
          <w:tcPr>
            <w:tcW w:w="434" w:type="pct"/>
          </w:tcPr>
          <w:p w14:paraId="07F4E82A">
            <w:pPr>
              <w:jc w:val="center"/>
              <w:rPr>
                <w:rFonts w:ascii="Times New Roman" w:eastAsia="仿宋"/>
                <w:szCs w:val="21"/>
              </w:rPr>
            </w:pPr>
            <w:r>
              <w:rPr>
                <w:rFonts w:ascii="Times New Roman" w:eastAsia="仿宋"/>
                <w:szCs w:val="21"/>
              </w:rPr>
              <w:t>0.0398</w:t>
            </w:r>
          </w:p>
        </w:tc>
        <w:tc>
          <w:tcPr>
            <w:tcW w:w="327" w:type="pct"/>
          </w:tcPr>
          <w:p w14:paraId="166D9D8B">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1DF6A007">
            <w:pPr>
              <w:jc w:val="center"/>
              <w:rPr>
                <w:rFonts w:ascii="Times New Roman" w:eastAsia="仿宋"/>
                <w:szCs w:val="21"/>
              </w:rPr>
            </w:pPr>
            <w:r>
              <w:rPr>
                <w:rFonts w:hint="eastAsia" w:ascii="Times New Roman" w:eastAsia="仿宋"/>
                <w:szCs w:val="21"/>
              </w:rPr>
              <w:t>1.99</w:t>
            </w:r>
          </w:p>
        </w:tc>
        <w:tc>
          <w:tcPr>
            <w:tcW w:w="344" w:type="pct"/>
            <w:vAlign w:val="bottom"/>
          </w:tcPr>
          <w:p w14:paraId="0C107E07">
            <w:pPr>
              <w:jc w:val="center"/>
              <w:rPr>
                <w:rFonts w:ascii="Times New Roman" w:eastAsia="仿宋"/>
                <w:szCs w:val="21"/>
              </w:rPr>
            </w:pPr>
            <w:r>
              <w:rPr>
                <w:rFonts w:hint="eastAsia" w:ascii="Times New Roman" w:eastAsia="仿宋"/>
                <w:szCs w:val="21"/>
              </w:rPr>
              <w:t>0.99</w:t>
            </w:r>
          </w:p>
        </w:tc>
      </w:tr>
      <w:tr w14:paraId="7F109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58148927">
            <w:pPr>
              <w:jc w:val="center"/>
              <w:rPr>
                <w:rFonts w:ascii="Times New Roman" w:eastAsia="仿宋"/>
                <w:szCs w:val="21"/>
              </w:rPr>
            </w:pPr>
            <w:r>
              <w:rPr>
                <w:rFonts w:ascii="Times New Roman" w:eastAsia="仿宋"/>
                <w:szCs w:val="21"/>
              </w:rPr>
              <w:t>1600</w:t>
            </w:r>
          </w:p>
        </w:tc>
        <w:tc>
          <w:tcPr>
            <w:tcW w:w="348" w:type="pct"/>
          </w:tcPr>
          <w:p w14:paraId="076E9913">
            <w:pPr>
              <w:jc w:val="center"/>
              <w:rPr>
                <w:rFonts w:ascii="Times New Roman" w:eastAsia="仿宋"/>
                <w:szCs w:val="21"/>
              </w:rPr>
            </w:pPr>
            <w:r>
              <w:rPr>
                <w:rFonts w:ascii="Times New Roman" w:eastAsia="仿宋"/>
                <w:szCs w:val="21"/>
              </w:rPr>
              <w:t>3.70</w:t>
            </w:r>
          </w:p>
        </w:tc>
        <w:tc>
          <w:tcPr>
            <w:tcW w:w="373" w:type="pct"/>
          </w:tcPr>
          <w:p w14:paraId="233427DC">
            <w:pPr>
              <w:jc w:val="center"/>
              <w:rPr>
                <w:rFonts w:ascii="Times New Roman" w:eastAsia="仿宋"/>
                <w:szCs w:val="21"/>
              </w:rPr>
            </w:pPr>
            <w:r>
              <w:rPr>
                <w:rFonts w:ascii="Times New Roman" w:eastAsia="仿宋"/>
                <w:szCs w:val="21"/>
              </w:rPr>
              <w:t>0.19</w:t>
            </w:r>
          </w:p>
        </w:tc>
        <w:tc>
          <w:tcPr>
            <w:tcW w:w="399" w:type="pct"/>
          </w:tcPr>
          <w:p w14:paraId="6E9F055C">
            <w:pPr>
              <w:jc w:val="center"/>
              <w:rPr>
                <w:rFonts w:ascii="Times New Roman" w:eastAsia="仿宋"/>
                <w:szCs w:val="21"/>
              </w:rPr>
            </w:pPr>
            <w:r>
              <w:rPr>
                <w:rFonts w:ascii="Times New Roman" w:eastAsia="仿宋"/>
                <w:szCs w:val="21"/>
              </w:rPr>
              <w:t>3.70</w:t>
            </w:r>
          </w:p>
        </w:tc>
        <w:tc>
          <w:tcPr>
            <w:tcW w:w="399" w:type="pct"/>
            <w:vAlign w:val="bottom"/>
          </w:tcPr>
          <w:p w14:paraId="5F21E0E0">
            <w:pPr>
              <w:jc w:val="center"/>
              <w:rPr>
                <w:rFonts w:ascii="Times New Roman" w:eastAsia="仿宋"/>
                <w:szCs w:val="21"/>
              </w:rPr>
            </w:pPr>
            <w:r>
              <w:rPr>
                <w:rFonts w:hint="eastAsia" w:ascii="Times New Roman" w:eastAsia="仿宋"/>
                <w:szCs w:val="21"/>
              </w:rPr>
              <w:t>0.30</w:t>
            </w:r>
          </w:p>
        </w:tc>
        <w:tc>
          <w:tcPr>
            <w:tcW w:w="445" w:type="pct"/>
          </w:tcPr>
          <w:p w14:paraId="57EAAB6B">
            <w:pPr>
              <w:jc w:val="center"/>
              <w:rPr>
                <w:rFonts w:ascii="Times New Roman" w:eastAsia="仿宋"/>
                <w:szCs w:val="21"/>
              </w:rPr>
            </w:pPr>
            <w:r>
              <w:rPr>
                <w:rFonts w:ascii="Times New Roman" w:eastAsia="仿宋"/>
                <w:szCs w:val="21"/>
              </w:rPr>
              <w:t>0.259</w:t>
            </w:r>
          </w:p>
        </w:tc>
        <w:tc>
          <w:tcPr>
            <w:tcW w:w="353" w:type="pct"/>
          </w:tcPr>
          <w:p w14:paraId="30D880CF">
            <w:pPr>
              <w:jc w:val="center"/>
              <w:rPr>
                <w:rFonts w:ascii="Times New Roman" w:eastAsia="仿宋"/>
                <w:szCs w:val="21"/>
              </w:rPr>
            </w:pPr>
            <w:r>
              <w:rPr>
                <w:rFonts w:ascii="Times New Roman" w:eastAsia="仿宋"/>
                <w:szCs w:val="21"/>
              </w:rPr>
              <w:t>0.06</w:t>
            </w:r>
          </w:p>
        </w:tc>
        <w:tc>
          <w:tcPr>
            <w:tcW w:w="445" w:type="pct"/>
          </w:tcPr>
          <w:p w14:paraId="0A104FB9">
            <w:pPr>
              <w:jc w:val="center"/>
              <w:rPr>
                <w:rFonts w:ascii="Times New Roman" w:eastAsia="仿宋"/>
                <w:szCs w:val="21"/>
              </w:rPr>
            </w:pPr>
            <w:r>
              <w:rPr>
                <w:rFonts w:ascii="Times New Roman" w:eastAsia="仿宋"/>
                <w:szCs w:val="21"/>
              </w:rPr>
              <w:t>0.925</w:t>
            </w:r>
          </w:p>
        </w:tc>
        <w:tc>
          <w:tcPr>
            <w:tcW w:w="356" w:type="pct"/>
          </w:tcPr>
          <w:p w14:paraId="43D10687">
            <w:pPr>
              <w:jc w:val="center"/>
              <w:rPr>
                <w:rFonts w:ascii="Times New Roman" w:eastAsia="仿宋"/>
                <w:szCs w:val="21"/>
              </w:rPr>
            </w:pPr>
            <w:r>
              <w:rPr>
                <w:rFonts w:ascii="Times New Roman" w:eastAsia="仿宋"/>
                <w:szCs w:val="21"/>
              </w:rPr>
              <w:t>0.46</w:t>
            </w:r>
          </w:p>
        </w:tc>
        <w:tc>
          <w:tcPr>
            <w:tcW w:w="434" w:type="pct"/>
          </w:tcPr>
          <w:p w14:paraId="5B73C1DC">
            <w:pPr>
              <w:jc w:val="center"/>
              <w:rPr>
                <w:rFonts w:ascii="Times New Roman" w:eastAsia="仿宋"/>
                <w:szCs w:val="21"/>
              </w:rPr>
            </w:pPr>
            <w:r>
              <w:rPr>
                <w:rFonts w:ascii="Times New Roman" w:eastAsia="仿宋"/>
                <w:szCs w:val="21"/>
              </w:rPr>
              <w:t>0.037</w:t>
            </w:r>
          </w:p>
        </w:tc>
        <w:tc>
          <w:tcPr>
            <w:tcW w:w="327" w:type="pct"/>
          </w:tcPr>
          <w:p w14:paraId="5387AFC3">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1715F142">
            <w:pPr>
              <w:jc w:val="center"/>
              <w:rPr>
                <w:rFonts w:ascii="Times New Roman" w:eastAsia="仿宋"/>
                <w:szCs w:val="21"/>
              </w:rPr>
            </w:pPr>
            <w:r>
              <w:rPr>
                <w:rFonts w:hint="eastAsia" w:ascii="Times New Roman" w:eastAsia="仿宋"/>
                <w:szCs w:val="21"/>
              </w:rPr>
              <w:t>1.85</w:t>
            </w:r>
          </w:p>
        </w:tc>
        <w:tc>
          <w:tcPr>
            <w:tcW w:w="344" w:type="pct"/>
            <w:vAlign w:val="bottom"/>
          </w:tcPr>
          <w:p w14:paraId="2520F4D9">
            <w:pPr>
              <w:jc w:val="center"/>
              <w:rPr>
                <w:rFonts w:ascii="Times New Roman" w:eastAsia="仿宋"/>
                <w:szCs w:val="21"/>
              </w:rPr>
            </w:pPr>
            <w:r>
              <w:rPr>
                <w:rFonts w:hint="eastAsia" w:ascii="Times New Roman" w:eastAsia="仿宋"/>
                <w:szCs w:val="21"/>
              </w:rPr>
              <w:t>0.92</w:t>
            </w:r>
          </w:p>
        </w:tc>
      </w:tr>
      <w:tr w14:paraId="54E16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1E1DC7C8">
            <w:pPr>
              <w:jc w:val="center"/>
              <w:rPr>
                <w:rFonts w:ascii="Times New Roman" w:eastAsia="仿宋"/>
                <w:szCs w:val="21"/>
              </w:rPr>
            </w:pPr>
            <w:r>
              <w:rPr>
                <w:rFonts w:ascii="Times New Roman" w:eastAsia="仿宋"/>
                <w:szCs w:val="21"/>
              </w:rPr>
              <w:t>1800</w:t>
            </w:r>
          </w:p>
        </w:tc>
        <w:tc>
          <w:tcPr>
            <w:tcW w:w="348" w:type="pct"/>
          </w:tcPr>
          <w:p w14:paraId="7FDE8FC4">
            <w:pPr>
              <w:jc w:val="center"/>
              <w:rPr>
                <w:rFonts w:ascii="Times New Roman" w:eastAsia="仿宋"/>
                <w:szCs w:val="21"/>
              </w:rPr>
            </w:pPr>
            <w:r>
              <w:rPr>
                <w:rFonts w:ascii="Times New Roman" w:eastAsia="仿宋"/>
                <w:szCs w:val="21"/>
              </w:rPr>
              <w:t>3.52</w:t>
            </w:r>
          </w:p>
        </w:tc>
        <w:tc>
          <w:tcPr>
            <w:tcW w:w="373" w:type="pct"/>
          </w:tcPr>
          <w:p w14:paraId="79023370">
            <w:pPr>
              <w:jc w:val="center"/>
              <w:rPr>
                <w:rFonts w:ascii="Times New Roman" w:eastAsia="仿宋"/>
                <w:szCs w:val="21"/>
              </w:rPr>
            </w:pPr>
            <w:r>
              <w:rPr>
                <w:rFonts w:ascii="Times New Roman" w:eastAsia="仿宋"/>
                <w:szCs w:val="21"/>
              </w:rPr>
              <w:t>0.18</w:t>
            </w:r>
          </w:p>
        </w:tc>
        <w:tc>
          <w:tcPr>
            <w:tcW w:w="399" w:type="pct"/>
          </w:tcPr>
          <w:p w14:paraId="29478F06">
            <w:pPr>
              <w:jc w:val="center"/>
              <w:rPr>
                <w:rFonts w:ascii="Times New Roman" w:eastAsia="仿宋"/>
                <w:szCs w:val="21"/>
              </w:rPr>
            </w:pPr>
            <w:r>
              <w:rPr>
                <w:rFonts w:ascii="Times New Roman" w:eastAsia="仿宋"/>
                <w:szCs w:val="21"/>
              </w:rPr>
              <w:t>3.52</w:t>
            </w:r>
          </w:p>
        </w:tc>
        <w:tc>
          <w:tcPr>
            <w:tcW w:w="399" w:type="pct"/>
            <w:vAlign w:val="bottom"/>
          </w:tcPr>
          <w:p w14:paraId="6F5F6F71">
            <w:pPr>
              <w:jc w:val="center"/>
              <w:rPr>
                <w:rFonts w:ascii="Times New Roman" w:eastAsia="仿宋"/>
                <w:szCs w:val="21"/>
              </w:rPr>
            </w:pPr>
            <w:r>
              <w:rPr>
                <w:rFonts w:hint="eastAsia" w:ascii="Times New Roman" w:eastAsia="仿宋"/>
                <w:szCs w:val="21"/>
              </w:rPr>
              <w:t>0.29</w:t>
            </w:r>
          </w:p>
        </w:tc>
        <w:tc>
          <w:tcPr>
            <w:tcW w:w="445" w:type="pct"/>
          </w:tcPr>
          <w:p w14:paraId="3E392073">
            <w:pPr>
              <w:jc w:val="center"/>
              <w:rPr>
                <w:rFonts w:ascii="Times New Roman" w:eastAsia="仿宋"/>
                <w:szCs w:val="21"/>
              </w:rPr>
            </w:pPr>
            <w:r>
              <w:rPr>
                <w:rFonts w:ascii="Times New Roman" w:eastAsia="仿宋"/>
                <w:szCs w:val="21"/>
              </w:rPr>
              <w:t>0.247</w:t>
            </w:r>
          </w:p>
        </w:tc>
        <w:tc>
          <w:tcPr>
            <w:tcW w:w="353" w:type="pct"/>
          </w:tcPr>
          <w:p w14:paraId="2D391D1C">
            <w:pPr>
              <w:jc w:val="center"/>
              <w:rPr>
                <w:rFonts w:ascii="Times New Roman" w:eastAsia="仿宋"/>
                <w:szCs w:val="21"/>
              </w:rPr>
            </w:pPr>
            <w:r>
              <w:rPr>
                <w:rFonts w:ascii="Times New Roman" w:eastAsia="仿宋"/>
                <w:szCs w:val="21"/>
              </w:rPr>
              <w:t>0.05</w:t>
            </w:r>
          </w:p>
        </w:tc>
        <w:tc>
          <w:tcPr>
            <w:tcW w:w="445" w:type="pct"/>
          </w:tcPr>
          <w:p w14:paraId="50C9A978">
            <w:pPr>
              <w:jc w:val="center"/>
              <w:rPr>
                <w:rFonts w:ascii="Times New Roman" w:eastAsia="仿宋"/>
                <w:szCs w:val="21"/>
              </w:rPr>
            </w:pPr>
            <w:r>
              <w:rPr>
                <w:rFonts w:ascii="Times New Roman" w:eastAsia="仿宋"/>
                <w:szCs w:val="21"/>
              </w:rPr>
              <w:t>0.881</w:t>
            </w:r>
          </w:p>
        </w:tc>
        <w:tc>
          <w:tcPr>
            <w:tcW w:w="356" w:type="pct"/>
          </w:tcPr>
          <w:p w14:paraId="32B0FBC9">
            <w:pPr>
              <w:jc w:val="center"/>
              <w:rPr>
                <w:rFonts w:ascii="Times New Roman" w:eastAsia="仿宋"/>
                <w:szCs w:val="21"/>
              </w:rPr>
            </w:pPr>
            <w:r>
              <w:rPr>
                <w:rFonts w:ascii="Times New Roman" w:eastAsia="仿宋"/>
                <w:szCs w:val="21"/>
              </w:rPr>
              <w:t>0.44</w:t>
            </w:r>
          </w:p>
        </w:tc>
        <w:tc>
          <w:tcPr>
            <w:tcW w:w="434" w:type="pct"/>
          </w:tcPr>
          <w:p w14:paraId="27D9CF7A">
            <w:pPr>
              <w:jc w:val="center"/>
              <w:rPr>
                <w:rFonts w:ascii="Times New Roman" w:eastAsia="仿宋"/>
                <w:szCs w:val="21"/>
              </w:rPr>
            </w:pPr>
            <w:r>
              <w:rPr>
                <w:rFonts w:ascii="Times New Roman" w:eastAsia="仿宋"/>
                <w:szCs w:val="21"/>
              </w:rPr>
              <w:t>0.0352</w:t>
            </w:r>
          </w:p>
        </w:tc>
        <w:tc>
          <w:tcPr>
            <w:tcW w:w="327" w:type="pct"/>
          </w:tcPr>
          <w:p w14:paraId="524FC465">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2482AD99">
            <w:pPr>
              <w:jc w:val="center"/>
              <w:rPr>
                <w:rFonts w:ascii="Times New Roman" w:eastAsia="仿宋"/>
                <w:szCs w:val="21"/>
              </w:rPr>
            </w:pPr>
            <w:r>
              <w:rPr>
                <w:rFonts w:hint="eastAsia" w:ascii="Times New Roman" w:eastAsia="仿宋"/>
                <w:szCs w:val="21"/>
              </w:rPr>
              <w:t>1.76</w:t>
            </w:r>
          </w:p>
        </w:tc>
        <w:tc>
          <w:tcPr>
            <w:tcW w:w="344" w:type="pct"/>
            <w:vAlign w:val="bottom"/>
          </w:tcPr>
          <w:p w14:paraId="1921679C">
            <w:pPr>
              <w:jc w:val="center"/>
              <w:rPr>
                <w:rFonts w:ascii="Times New Roman" w:eastAsia="仿宋"/>
                <w:szCs w:val="21"/>
              </w:rPr>
            </w:pPr>
            <w:r>
              <w:rPr>
                <w:rFonts w:hint="eastAsia" w:ascii="Times New Roman" w:eastAsia="仿宋"/>
                <w:szCs w:val="21"/>
              </w:rPr>
              <w:t>0.88</w:t>
            </w:r>
          </w:p>
        </w:tc>
      </w:tr>
      <w:tr w14:paraId="3E04C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6097AD31">
            <w:pPr>
              <w:jc w:val="center"/>
              <w:rPr>
                <w:rFonts w:ascii="Times New Roman" w:eastAsia="仿宋"/>
                <w:szCs w:val="21"/>
              </w:rPr>
            </w:pPr>
            <w:r>
              <w:rPr>
                <w:rFonts w:ascii="Times New Roman" w:eastAsia="仿宋"/>
                <w:szCs w:val="21"/>
              </w:rPr>
              <w:t>2000</w:t>
            </w:r>
          </w:p>
        </w:tc>
        <w:tc>
          <w:tcPr>
            <w:tcW w:w="348" w:type="pct"/>
          </w:tcPr>
          <w:p w14:paraId="4AEB115A">
            <w:pPr>
              <w:jc w:val="center"/>
              <w:rPr>
                <w:rFonts w:ascii="Times New Roman" w:eastAsia="仿宋"/>
                <w:szCs w:val="21"/>
              </w:rPr>
            </w:pPr>
            <w:r>
              <w:rPr>
                <w:rFonts w:ascii="Times New Roman" w:eastAsia="仿宋"/>
                <w:szCs w:val="21"/>
              </w:rPr>
              <w:t>3.34</w:t>
            </w:r>
          </w:p>
        </w:tc>
        <w:tc>
          <w:tcPr>
            <w:tcW w:w="373" w:type="pct"/>
          </w:tcPr>
          <w:p w14:paraId="76029EBD">
            <w:pPr>
              <w:jc w:val="center"/>
              <w:rPr>
                <w:rFonts w:ascii="Times New Roman" w:eastAsia="仿宋"/>
                <w:szCs w:val="21"/>
              </w:rPr>
            </w:pPr>
            <w:r>
              <w:rPr>
                <w:rFonts w:ascii="Times New Roman" w:eastAsia="仿宋"/>
                <w:szCs w:val="21"/>
              </w:rPr>
              <w:t>0.17</w:t>
            </w:r>
          </w:p>
        </w:tc>
        <w:tc>
          <w:tcPr>
            <w:tcW w:w="399" w:type="pct"/>
          </w:tcPr>
          <w:p w14:paraId="7BF463BD">
            <w:pPr>
              <w:jc w:val="center"/>
              <w:rPr>
                <w:rFonts w:ascii="Times New Roman" w:eastAsia="仿宋"/>
                <w:szCs w:val="21"/>
              </w:rPr>
            </w:pPr>
            <w:r>
              <w:rPr>
                <w:rFonts w:ascii="Times New Roman" w:eastAsia="仿宋"/>
                <w:szCs w:val="21"/>
              </w:rPr>
              <w:t>3.34</w:t>
            </w:r>
          </w:p>
        </w:tc>
        <w:tc>
          <w:tcPr>
            <w:tcW w:w="399" w:type="pct"/>
            <w:vAlign w:val="bottom"/>
          </w:tcPr>
          <w:p w14:paraId="37F36906">
            <w:pPr>
              <w:jc w:val="center"/>
              <w:rPr>
                <w:rFonts w:ascii="Times New Roman" w:eastAsia="仿宋"/>
                <w:szCs w:val="21"/>
              </w:rPr>
            </w:pPr>
            <w:r>
              <w:rPr>
                <w:rFonts w:hint="eastAsia" w:ascii="Times New Roman" w:eastAsia="仿宋"/>
                <w:szCs w:val="21"/>
              </w:rPr>
              <w:t>0.27</w:t>
            </w:r>
          </w:p>
        </w:tc>
        <w:tc>
          <w:tcPr>
            <w:tcW w:w="445" w:type="pct"/>
          </w:tcPr>
          <w:p w14:paraId="088422EC">
            <w:pPr>
              <w:jc w:val="center"/>
              <w:rPr>
                <w:rFonts w:ascii="Times New Roman" w:eastAsia="仿宋"/>
                <w:szCs w:val="21"/>
              </w:rPr>
            </w:pPr>
            <w:r>
              <w:rPr>
                <w:rFonts w:ascii="Times New Roman" w:eastAsia="仿宋"/>
                <w:szCs w:val="21"/>
              </w:rPr>
              <w:t>0.234</w:t>
            </w:r>
          </w:p>
        </w:tc>
        <w:tc>
          <w:tcPr>
            <w:tcW w:w="353" w:type="pct"/>
          </w:tcPr>
          <w:p w14:paraId="012E7DD3">
            <w:pPr>
              <w:jc w:val="center"/>
              <w:rPr>
                <w:rFonts w:ascii="Times New Roman" w:eastAsia="仿宋"/>
                <w:szCs w:val="21"/>
              </w:rPr>
            </w:pPr>
            <w:r>
              <w:rPr>
                <w:rFonts w:ascii="Times New Roman" w:eastAsia="仿宋"/>
                <w:szCs w:val="21"/>
              </w:rPr>
              <w:t>0.05</w:t>
            </w:r>
          </w:p>
        </w:tc>
        <w:tc>
          <w:tcPr>
            <w:tcW w:w="445" w:type="pct"/>
          </w:tcPr>
          <w:p w14:paraId="1AA6AF13">
            <w:pPr>
              <w:jc w:val="center"/>
              <w:rPr>
                <w:rFonts w:ascii="Times New Roman" w:eastAsia="仿宋"/>
                <w:szCs w:val="21"/>
              </w:rPr>
            </w:pPr>
            <w:r>
              <w:rPr>
                <w:rFonts w:ascii="Times New Roman" w:eastAsia="仿宋"/>
                <w:szCs w:val="21"/>
              </w:rPr>
              <w:t>0.836</w:t>
            </w:r>
          </w:p>
        </w:tc>
        <w:tc>
          <w:tcPr>
            <w:tcW w:w="356" w:type="pct"/>
          </w:tcPr>
          <w:p w14:paraId="2DC88741">
            <w:pPr>
              <w:jc w:val="center"/>
              <w:rPr>
                <w:rFonts w:ascii="Times New Roman" w:eastAsia="仿宋"/>
                <w:szCs w:val="21"/>
              </w:rPr>
            </w:pPr>
            <w:r>
              <w:rPr>
                <w:rFonts w:ascii="Times New Roman" w:eastAsia="仿宋"/>
                <w:szCs w:val="21"/>
              </w:rPr>
              <w:t>0.42</w:t>
            </w:r>
          </w:p>
        </w:tc>
        <w:tc>
          <w:tcPr>
            <w:tcW w:w="434" w:type="pct"/>
          </w:tcPr>
          <w:p w14:paraId="03CE75A8">
            <w:pPr>
              <w:jc w:val="center"/>
              <w:rPr>
                <w:rFonts w:ascii="Times New Roman" w:eastAsia="仿宋"/>
                <w:szCs w:val="21"/>
              </w:rPr>
            </w:pPr>
            <w:r>
              <w:rPr>
                <w:rFonts w:ascii="Times New Roman" w:eastAsia="仿宋"/>
                <w:szCs w:val="21"/>
              </w:rPr>
              <w:t>0.0334</w:t>
            </w:r>
          </w:p>
        </w:tc>
        <w:tc>
          <w:tcPr>
            <w:tcW w:w="327" w:type="pct"/>
          </w:tcPr>
          <w:p w14:paraId="296A6290">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235D7288">
            <w:pPr>
              <w:jc w:val="center"/>
              <w:rPr>
                <w:rFonts w:ascii="Times New Roman" w:eastAsia="仿宋"/>
                <w:szCs w:val="21"/>
              </w:rPr>
            </w:pPr>
            <w:r>
              <w:rPr>
                <w:rFonts w:hint="eastAsia" w:ascii="Times New Roman" w:eastAsia="仿宋"/>
                <w:szCs w:val="21"/>
              </w:rPr>
              <w:t>1.67</w:t>
            </w:r>
          </w:p>
        </w:tc>
        <w:tc>
          <w:tcPr>
            <w:tcW w:w="344" w:type="pct"/>
            <w:vAlign w:val="bottom"/>
          </w:tcPr>
          <w:p w14:paraId="3076B06F">
            <w:pPr>
              <w:jc w:val="center"/>
              <w:rPr>
                <w:rFonts w:ascii="Times New Roman" w:eastAsia="仿宋"/>
                <w:szCs w:val="21"/>
              </w:rPr>
            </w:pPr>
            <w:r>
              <w:rPr>
                <w:rFonts w:hint="eastAsia" w:ascii="Times New Roman" w:eastAsia="仿宋"/>
                <w:szCs w:val="21"/>
              </w:rPr>
              <w:t>0.83</w:t>
            </w:r>
          </w:p>
        </w:tc>
      </w:tr>
      <w:tr w14:paraId="36DB7F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27FE0120">
            <w:pPr>
              <w:jc w:val="center"/>
              <w:rPr>
                <w:rFonts w:ascii="Times New Roman" w:eastAsia="仿宋"/>
                <w:szCs w:val="21"/>
              </w:rPr>
            </w:pPr>
            <w:r>
              <w:rPr>
                <w:rFonts w:ascii="Times New Roman" w:eastAsia="仿宋"/>
                <w:szCs w:val="21"/>
              </w:rPr>
              <w:t>2500</w:t>
            </w:r>
          </w:p>
        </w:tc>
        <w:tc>
          <w:tcPr>
            <w:tcW w:w="348" w:type="pct"/>
          </w:tcPr>
          <w:p w14:paraId="3475438D">
            <w:pPr>
              <w:jc w:val="center"/>
              <w:rPr>
                <w:rFonts w:ascii="Times New Roman" w:eastAsia="仿宋"/>
                <w:szCs w:val="21"/>
              </w:rPr>
            </w:pPr>
            <w:r>
              <w:rPr>
                <w:rFonts w:ascii="Times New Roman" w:eastAsia="仿宋"/>
                <w:szCs w:val="21"/>
              </w:rPr>
              <w:t>2.92</w:t>
            </w:r>
          </w:p>
        </w:tc>
        <w:tc>
          <w:tcPr>
            <w:tcW w:w="373" w:type="pct"/>
          </w:tcPr>
          <w:p w14:paraId="680A34CD">
            <w:pPr>
              <w:jc w:val="center"/>
              <w:rPr>
                <w:rFonts w:ascii="Times New Roman" w:eastAsia="仿宋"/>
                <w:szCs w:val="21"/>
              </w:rPr>
            </w:pPr>
            <w:r>
              <w:rPr>
                <w:rFonts w:ascii="Times New Roman" w:eastAsia="仿宋"/>
                <w:szCs w:val="21"/>
              </w:rPr>
              <w:t>0.15</w:t>
            </w:r>
          </w:p>
        </w:tc>
        <w:tc>
          <w:tcPr>
            <w:tcW w:w="399" w:type="pct"/>
          </w:tcPr>
          <w:p w14:paraId="68E475F7">
            <w:pPr>
              <w:jc w:val="center"/>
              <w:rPr>
                <w:rFonts w:ascii="Times New Roman" w:eastAsia="仿宋"/>
                <w:szCs w:val="21"/>
              </w:rPr>
            </w:pPr>
            <w:r>
              <w:rPr>
                <w:rFonts w:ascii="Times New Roman" w:eastAsia="仿宋"/>
                <w:szCs w:val="21"/>
              </w:rPr>
              <w:t>2.92</w:t>
            </w:r>
          </w:p>
        </w:tc>
        <w:tc>
          <w:tcPr>
            <w:tcW w:w="399" w:type="pct"/>
            <w:vAlign w:val="bottom"/>
          </w:tcPr>
          <w:p w14:paraId="62368CD2">
            <w:pPr>
              <w:jc w:val="center"/>
              <w:rPr>
                <w:rFonts w:ascii="Times New Roman" w:eastAsia="仿宋"/>
                <w:szCs w:val="21"/>
              </w:rPr>
            </w:pPr>
            <w:r>
              <w:rPr>
                <w:rFonts w:hint="eastAsia" w:ascii="Times New Roman" w:eastAsia="仿宋"/>
                <w:szCs w:val="21"/>
              </w:rPr>
              <w:t>0.24</w:t>
            </w:r>
          </w:p>
        </w:tc>
        <w:tc>
          <w:tcPr>
            <w:tcW w:w="445" w:type="pct"/>
          </w:tcPr>
          <w:p w14:paraId="50D7EC35">
            <w:pPr>
              <w:jc w:val="center"/>
              <w:rPr>
                <w:rFonts w:ascii="Times New Roman" w:eastAsia="仿宋"/>
                <w:szCs w:val="21"/>
              </w:rPr>
            </w:pPr>
            <w:r>
              <w:rPr>
                <w:rFonts w:ascii="Times New Roman" w:eastAsia="仿宋"/>
                <w:szCs w:val="21"/>
              </w:rPr>
              <w:t>0.204</w:t>
            </w:r>
          </w:p>
        </w:tc>
        <w:tc>
          <w:tcPr>
            <w:tcW w:w="353" w:type="pct"/>
          </w:tcPr>
          <w:p w14:paraId="2D2BABA4">
            <w:pPr>
              <w:jc w:val="center"/>
              <w:rPr>
                <w:rFonts w:ascii="Times New Roman" w:eastAsia="仿宋"/>
                <w:szCs w:val="21"/>
              </w:rPr>
            </w:pPr>
            <w:r>
              <w:rPr>
                <w:rFonts w:ascii="Times New Roman" w:eastAsia="仿宋"/>
                <w:szCs w:val="21"/>
              </w:rPr>
              <w:t>0.05</w:t>
            </w:r>
          </w:p>
        </w:tc>
        <w:tc>
          <w:tcPr>
            <w:tcW w:w="445" w:type="pct"/>
          </w:tcPr>
          <w:p w14:paraId="0424DCD9">
            <w:pPr>
              <w:jc w:val="center"/>
              <w:rPr>
                <w:rFonts w:ascii="Times New Roman" w:eastAsia="仿宋"/>
                <w:szCs w:val="21"/>
              </w:rPr>
            </w:pPr>
            <w:r>
              <w:rPr>
                <w:rFonts w:ascii="Times New Roman" w:eastAsia="仿宋"/>
                <w:szCs w:val="21"/>
              </w:rPr>
              <w:t>0.73</w:t>
            </w:r>
          </w:p>
        </w:tc>
        <w:tc>
          <w:tcPr>
            <w:tcW w:w="356" w:type="pct"/>
          </w:tcPr>
          <w:p w14:paraId="490BAF62">
            <w:pPr>
              <w:jc w:val="center"/>
              <w:rPr>
                <w:rFonts w:ascii="Times New Roman" w:eastAsia="仿宋"/>
                <w:szCs w:val="21"/>
              </w:rPr>
            </w:pPr>
            <w:r>
              <w:rPr>
                <w:rFonts w:ascii="Times New Roman" w:eastAsia="仿宋"/>
                <w:szCs w:val="21"/>
              </w:rPr>
              <w:t>0.37</w:t>
            </w:r>
          </w:p>
        </w:tc>
        <w:tc>
          <w:tcPr>
            <w:tcW w:w="434" w:type="pct"/>
          </w:tcPr>
          <w:p w14:paraId="358355BC">
            <w:pPr>
              <w:jc w:val="center"/>
              <w:rPr>
                <w:rFonts w:ascii="Times New Roman" w:eastAsia="仿宋"/>
                <w:szCs w:val="21"/>
              </w:rPr>
            </w:pPr>
            <w:r>
              <w:rPr>
                <w:rFonts w:ascii="Times New Roman" w:eastAsia="仿宋"/>
                <w:szCs w:val="21"/>
              </w:rPr>
              <w:t>0.0292</w:t>
            </w:r>
          </w:p>
        </w:tc>
        <w:tc>
          <w:tcPr>
            <w:tcW w:w="327" w:type="pct"/>
          </w:tcPr>
          <w:p w14:paraId="090F692F">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392" w:type="pct"/>
            <w:vAlign w:val="bottom"/>
          </w:tcPr>
          <w:p w14:paraId="63A8BC99">
            <w:pPr>
              <w:jc w:val="center"/>
              <w:rPr>
                <w:rFonts w:ascii="Times New Roman" w:eastAsia="仿宋"/>
                <w:szCs w:val="21"/>
              </w:rPr>
            </w:pPr>
            <w:r>
              <w:rPr>
                <w:rFonts w:hint="eastAsia" w:ascii="Times New Roman" w:eastAsia="仿宋"/>
                <w:szCs w:val="21"/>
              </w:rPr>
              <w:t>1.46</w:t>
            </w:r>
          </w:p>
        </w:tc>
        <w:tc>
          <w:tcPr>
            <w:tcW w:w="344" w:type="pct"/>
            <w:vAlign w:val="bottom"/>
          </w:tcPr>
          <w:p w14:paraId="12B35186">
            <w:pPr>
              <w:jc w:val="center"/>
              <w:rPr>
                <w:rFonts w:ascii="Times New Roman" w:eastAsia="仿宋"/>
                <w:szCs w:val="21"/>
              </w:rPr>
            </w:pPr>
            <w:r>
              <w:rPr>
                <w:rFonts w:hint="eastAsia" w:ascii="Times New Roman" w:eastAsia="仿宋"/>
                <w:szCs w:val="21"/>
              </w:rPr>
              <w:t>0.73</w:t>
            </w:r>
          </w:p>
        </w:tc>
      </w:tr>
      <w:tr w14:paraId="2C777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5D047B81">
            <w:pPr>
              <w:jc w:val="center"/>
              <w:rPr>
                <w:rFonts w:ascii="Times New Roman" w:eastAsia="仿宋"/>
                <w:szCs w:val="21"/>
              </w:rPr>
            </w:pPr>
            <w:r>
              <w:rPr>
                <w:rFonts w:ascii="Times New Roman" w:eastAsia="仿宋"/>
                <w:szCs w:val="21"/>
              </w:rPr>
              <w:t>下风向最大浓度</w:t>
            </w:r>
          </w:p>
        </w:tc>
        <w:tc>
          <w:tcPr>
            <w:tcW w:w="721" w:type="pct"/>
            <w:gridSpan w:val="2"/>
            <w:vAlign w:val="center"/>
          </w:tcPr>
          <w:p w14:paraId="20231F17">
            <w:pPr>
              <w:jc w:val="center"/>
              <w:rPr>
                <w:rFonts w:ascii="Times New Roman" w:eastAsia="仿宋"/>
                <w:szCs w:val="21"/>
              </w:rPr>
            </w:pPr>
            <w:r>
              <w:rPr>
                <w:rFonts w:hint="eastAsia" w:ascii="Times New Roman" w:eastAsia="仿宋"/>
                <w:szCs w:val="21"/>
              </w:rPr>
              <w:t>7</w:t>
            </w:r>
            <w:r>
              <w:rPr>
                <w:rFonts w:ascii="Times New Roman" w:eastAsia="仿宋"/>
                <w:szCs w:val="21"/>
              </w:rPr>
              <w:t>.92</w:t>
            </w:r>
          </w:p>
        </w:tc>
        <w:tc>
          <w:tcPr>
            <w:tcW w:w="798" w:type="pct"/>
            <w:gridSpan w:val="2"/>
            <w:vAlign w:val="center"/>
          </w:tcPr>
          <w:p w14:paraId="146F6FD0">
            <w:pPr>
              <w:jc w:val="center"/>
              <w:rPr>
                <w:rFonts w:ascii="Times New Roman" w:eastAsia="仿宋"/>
                <w:szCs w:val="21"/>
              </w:rPr>
            </w:pPr>
            <w:r>
              <w:rPr>
                <w:rFonts w:hint="eastAsia" w:ascii="Times New Roman" w:eastAsia="仿宋"/>
                <w:szCs w:val="21"/>
              </w:rPr>
              <w:t>7</w:t>
            </w:r>
            <w:r>
              <w:rPr>
                <w:rFonts w:ascii="Times New Roman" w:eastAsia="仿宋"/>
                <w:szCs w:val="21"/>
              </w:rPr>
              <w:t>.92</w:t>
            </w:r>
          </w:p>
        </w:tc>
        <w:tc>
          <w:tcPr>
            <w:tcW w:w="798" w:type="pct"/>
            <w:gridSpan w:val="2"/>
            <w:vAlign w:val="center"/>
          </w:tcPr>
          <w:p w14:paraId="3B3AD6BD">
            <w:pPr>
              <w:jc w:val="center"/>
              <w:rPr>
                <w:rFonts w:ascii="Times New Roman" w:eastAsia="仿宋"/>
                <w:szCs w:val="21"/>
              </w:rPr>
            </w:pPr>
            <w:r>
              <w:rPr>
                <w:rFonts w:hint="eastAsia" w:ascii="Times New Roman" w:eastAsia="仿宋"/>
                <w:szCs w:val="21"/>
              </w:rPr>
              <w:t>0</w:t>
            </w:r>
            <w:r>
              <w:rPr>
                <w:rFonts w:ascii="Times New Roman" w:eastAsia="仿宋"/>
                <w:szCs w:val="21"/>
              </w:rPr>
              <w:t>.554</w:t>
            </w:r>
          </w:p>
        </w:tc>
        <w:tc>
          <w:tcPr>
            <w:tcW w:w="801" w:type="pct"/>
            <w:gridSpan w:val="2"/>
            <w:vAlign w:val="center"/>
          </w:tcPr>
          <w:p w14:paraId="67163187">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c>
          <w:tcPr>
            <w:tcW w:w="761" w:type="pct"/>
            <w:gridSpan w:val="2"/>
            <w:vAlign w:val="center"/>
          </w:tcPr>
          <w:p w14:paraId="0D3B8877">
            <w:pPr>
              <w:jc w:val="center"/>
              <w:rPr>
                <w:rFonts w:ascii="Times New Roman" w:eastAsia="仿宋"/>
                <w:szCs w:val="21"/>
              </w:rPr>
            </w:pPr>
            <w:r>
              <w:rPr>
                <w:rFonts w:hint="eastAsia" w:ascii="Times New Roman" w:eastAsia="仿宋"/>
                <w:szCs w:val="21"/>
              </w:rPr>
              <w:t>0</w:t>
            </w:r>
            <w:r>
              <w:rPr>
                <w:rFonts w:ascii="Times New Roman" w:eastAsia="仿宋"/>
                <w:szCs w:val="21"/>
              </w:rPr>
              <w:t>.0792</w:t>
            </w:r>
          </w:p>
        </w:tc>
        <w:tc>
          <w:tcPr>
            <w:tcW w:w="736" w:type="pct"/>
            <w:gridSpan w:val="2"/>
            <w:vAlign w:val="center"/>
          </w:tcPr>
          <w:p w14:paraId="29A868BA">
            <w:pPr>
              <w:jc w:val="center"/>
              <w:rPr>
                <w:rFonts w:ascii="Times New Roman" w:eastAsia="仿宋"/>
                <w:szCs w:val="21"/>
              </w:rPr>
            </w:pPr>
            <w:r>
              <w:rPr>
                <w:rFonts w:ascii="Times New Roman" w:eastAsia="仿宋"/>
                <w:szCs w:val="21"/>
              </w:rPr>
              <w:t>3.96</w:t>
            </w:r>
          </w:p>
        </w:tc>
      </w:tr>
      <w:tr w14:paraId="0D7100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357816F7">
            <w:pPr>
              <w:jc w:val="center"/>
              <w:rPr>
                <w:rFonts w:ascii="Times New Roman" w:eastAsia="仿宋"/>
                <w:szCs w:val="21"/>
              </w:rPr>
            </w:pPr>
            <w:r>
              <w:rPr>
                <w:rFonts w:ascii="Times New Roman" w:eastAsia="仿宋"/>
                <w:szCs w:val="21"/>
              </w:rPr>
              <w:t>下风向最大浓度出现距离/m</w:t>
            </w:r>
          </w:p>
        </w:tc>
        <w:tc>
          <w:tcPr>
            <w:tcW w:w="721" w:type="pct"/>
            <w:gridSpan w:val="2"/>
            <w:vAlign w:val="center"/>
          </w:tcPr>
          <w:p w14:paraId="1E16855A">
            <w:pPr>
              <w:jc w:val="center"/>
              <w:rPr>
                <w:rFonts w:ascii="Times New Roman" w:eastAsia="仿宋"/>
                <w:szCs w:val="21"/>
              </w:rPr>
            </w:pPr>
            <w:r>
              <w:rPr>
                <w:rFonts w:hint="eastAsia" w:ascii="Times New Roman" w:eastAsia="仿宋"/>
                <w:szCs w:val="21"/>
              </w:rPr>
              <w:t>100</w:t>
            </w:r>
          </w:p>
        </w:tc>
        <w:tc>
          <w:tcPr>
            <w:tcW w:w="798" w:type="pct"/>
            <w:gridSpan w:val="2"/>
            <w:vAlign w:val="center"/>
          </w:tcPr>
          <w:p w14:paraId="6FE7BE85">
            <w:pPr>
              <w:jc w:val="center"/>
              <w:rPr>
                <w:rFonts w:ascii="Times New Roman" w:eastAsia="仿宋"/>
                <w:szCs w:val="21"/>
              </w:rPr>
            </w:pPr>
            <w:r>
              <w:rPr>
                <w:rFonts w:hint="eastAsia" w:ascii="Times New Roman" w:eastAsia="仿宋"/>
                <w:szCs w:val="21"/>
              </w:rPr>
              <w:t>1</w:t>
            </w:r>
            <w:r>
              <w:rPr>
                <w:rFonts w:ascii="Times New Roman" w:eastAsia="仿宋"/>
                <w:szCs w:val="21"/>
              </w:rPr>
              <w:t>00</w:t>
            </w:r>
          </w:p>
        </w:tc>
        <w:tc>
          <w:tcPr>
            <w:tcW w:w="798" w:type="pct"/>
            <w:gridSpan w:val="2"/>
            <w:vAlign w:val="center"/>
          </w:tcPr>
          <w:p w14:paraId="4BFD7239">
            <w:pPr>
              <w:jc w:val="center"/>
              <w:rPr>
                <w:rFonts w:ascii="Times New Roman" w:eastAsia="仿宋"/>
                <w:szCs w:val="21"/>
              </w:rPr>
            </w:pPr>
            <w:r>
              <w:rPr>
                <w:rFonts w:hint="eastAsia" w:ascii="Times New Roman" w:eastAsia="仿宋"/>
                <w:szCs w:val="21"/>
              </w:rPr>
              <w:t>100</w:t>
            </w:r>
          </w:p>
        </w:tc>
        <w:tc>
          <w:tcPr>
            <w:tcW w:w="801" w:type="pct"/>
            <w:gridSpan w:val="2"/>
            <w:vAlign w:val="center"/>
          </w:tcPr>
          <w:p w14:paraId="158A8482">
            <w:pPr>
              <w:jc w:val="center"/>
              <w:rPr>
                <w:rFonts w:ascii="Times New Roman" w:eastAsia="仿宋"/>
                <w:szCs w:val="21"/>
              </w:rPr>
            </w:pPr>
            <w:r>
              <w:rPr>
                <w:rFonts w:hint="eastAsia" w:ascii="Times New Roman" w:eastAsia="仿宋"/>
                <w:szCs w:val="21"/>
              </w:rPr>
              <w:t>100</w:t>
            </w:r>
          </w:p>
        </w:tc>
        <w:tc>
          <w:tcPr>
            <w:tcW w:w="761" w:type="pct"/>
            <w:gridSpan w:val="2"/>
            <w:vAlign w:val="center"/>
          </w:tcPr>
          <w:p w14:paraId="02E7A33C">
            <w:pPr>
              <w:jc w:val="center"/>
              <w:rPr>
                <w:rFonts w:ascii="Times New Roman" w:eastAsia="仿宋"/>
                <w:szCs w:val="21"/>
              </w:rPr>
            </w:pPr>
            <w:r>
              <w:rPr>
                <w:rFonts w:hint="eastAsia" w:ascii="Times New Roman" w:eastAsia="仿宋"/>
                <w:szCs w:val="21"/>
              </w:rPr>
              <w:t>100</w:t>
            </w:r>
          </w:p>
        </w:tc>
        <w:tc>
          <w:tcPr>
            <w:tcW w:w="736" w:type="pct"/>
            <w:gridSpan w:val="2"/>
            <w:vAlign w:val="center"/>
          </w:tcPr>
          <w:p w14:paraId="1033F935">
            <w:pPr>
              <w:jc w:val="center"/>
              <w:rPr>
                <w:rFonts w:ascii="Times New Roman" w:eastAsia="仿宋"/>
                <w:szCs w:val="21"/>
              </w:rPr>
            </w:pPr>
            <w:r>
              <w:rPr>
                <w:rFonts w:hint="eastAsia" w:ascii="Times New Roman" w:eastAsia="仿宋"/>
                <w:szCs w:val="21"/>
              </w:rPr>
              <w:t>100</w:t>
            </w:r>
          </w:p>
        </w:tc>
      </w:tr>
      <w:tr w14:paraId="34E1D8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385" w:type="pct"/>
            <w:vAlign w:val="center"/>
          </w:tcPr>
          <w:p w14:paraId="75B2998F">
            <w:pPr>
              <w:jc w:val="center"/>
              <w:rPr>
                <w:rFonts w:ascii="Times New Roman" w:eastAsia="仿宋"/>
                <w:szCs w:val="21"/>
              </w:rPr>
            </w:pPr>
            <w:r>
              <w:rPr>
                <w:rFonts w:ascii="Times New Roman" w:eastAsia="仿宋"/>
                <w:szCs w:val="21"/>
              </w:rPr>
              <w:t>D10%最远距离/m</w:t>
            </w:r>
          </w:p>
        </w:tc>
        <w:tc>
          <w:tcPr>
            <w:tcW w:w="721" w:type="pct"/>
            <w:gridSpan w:val="2"/>
            <w:vAlign w:val="center"/>
          </w:tcPr>
          <w:p w14:paraId="3BF5BE16">
            <w:pPr>
              <w:jc w:val="center"/>
              <w:rPr>
                <w:rFonts w:ascii="Times New Roman" w:eastAsia="仿宋"/>
                <w:szCs w:val="21"/>
              </w:rPr>
            </w:pPr>
            <w:r>
              <w:rPr>
                <w:rFonts w:hint="eastAsia" w:ascii="Times New Roman" w:eastAsia="仿宋"/>
                <w:szCs w:val="21"/>
              </w:rPr>
              <w:t>/</w:t>
            </w:r>
          </w:p>
        </w:tc>
        <w:tc>
          <w:tcPr>
            <w:tcW w:w="798" w:type="pct"/>
            <w:gridSpan w:val="2"/>
          </w:tcPr>
          <w:p w14:paraId="087B457F">
            <w:pPr>
              <w:jc w:val="center"/>
              <w:rPr>
                <w:rFonts w:ascii="Times New Roman" w:eastAsia="仿宋"/>
                <w:szCs w:val="21"/>
              </w:rPr>
            </w:pPr>
          </w:p>
        </w:tc>
        <w:tc>
          <w:tcPr>
            <w:tcW w:w="798" w:type="pct"/>
            <w:gridSpan w:val="2"/>
            <w:vAlign w:val="center"/>
          </w:tcPr>
          <w:p w14:paraId="48F36A2E">
            <w:pPr>
              <w:jc w:val="center"/>
              <w:rPr>
                <w:rFonts w:ascii="Times New Roman" w:eastAsia="仿宋"/>
                <w:szCs w:val="21"/>
              </w:rPr>
            </w:pPr>
            <w:r>
              <w:rPr>
                <w:rFonts w:hint="eastAsia" w:ascii="Times New Roman" w:eastAsia="仿宋"/>
                <w:szCs w:val="21"/>
              </w:rPr>
              <w:t>/</w:t>
            </w:r>
          </w:p>
        </w:tc>
        <w:tc>
          <w:tcPr>
            <w:tcW w:w="801" w:type="pct"/>
            <w:gridSpan w:val="2"/>
            <w:vAlign w:val="center"/>
          </w:tcPr>
          <w:p w14:paraId="6EE7502D">
            <w:pPr>
              <w:jc w:val="center"/>
              <w:rPr>
                <w:rFonts w:ascii="Times New Roman" w:eastAsia="仿宋"/>
                <w:szCs w:val="21"/>
              </w:rPr>
            </w:pPr>
            <w:r>
              <w:rPr>
                <w:rFonts w:hint="eastAsia" w:ascii="Times New Roman" w:eastAsia="仿宋"/>
                <w:szCs w:val="21"/>
              </w:rPr>
              <w:t>/</w:t>
            </w:r>
          </w:p>
        </w:tc>
        <w:tc>
          <w:tcPr>
            <w:tcW w:w="761" w:type="pct"/>
            <w:gridSpan w:val="2"/>
            <w:vAlign w:val="center"/>
          </w:tcPr>
          <w:p w14:paraId="409D128F">
            <w:pPr>
              <w:jc w:val="center"/>
              <w:rPr>
                <w:rFonts w:ascii="Times New Roman" w:eastAsia="仿宋"/>
                <w:szCs w:val="21"/>
              </w:rPr>
            </w:pPr>
            <w:r>
              <w:rPr>
                <w:rFonts w:hint="eastAsia" w:ascii="Times New Roman" w:eastAsia="仿宋"/>
                <w:szCs w:val="21"/>
              </w:rPr>
              <w:t>/</w:t>
            </w:r>
          </w:p>
        </w:tc>
        <w:tc>
          <w:tcPr>
            <w:tcW w:w="736" w:type="pct"/>
            <w:gridSpan w:val="2"/>
            <w:vAlign w:val="center"/>
          </w:tcPr>
          <w:p w14:paraId="2BED1782">
            <w:pPr>
              <w:jc w:val="center"/>
              <w:rPr>
                <w:rFonts w:ascii="Times New Roman" w:eastAsia="仿宋"/>
                <w:szCs w:val="21"/>
              </w:rPr>
            </w:pPr>
            <w:r>
              <w:rPr>
                <w:rFonts w:hint="eastAsia" w:ascii="Times New Roman" w:eastAsia="仿宋"/>
                <w:szCs w:val="21"/>
              </w:rPr>
              <w:t>/</w:t>
            </w:r>
          </w:p>
        </w:tc>
      </w:tr>
    </w:tbl>
    <w:p w14:paraId="7BA7198B">
      <w:pPr>
        <w:spacing w:line="500" w:lineRule="exact"/>
        <w:jc w:val="center"/>
        <w:rPr>
          <w:rFonts w:ascii="Times New Roman" w:eastAsia="仿宋"/>
          <w:b/>
        </w:rPr>
      </w:pPr>
      <w:r>
        <w:rPr>
          <w:rFonts w:hint="eastAsia" w:ascii="Times New Roman" w:eastAsia="仿宋"/>
          <w:b/>
        </w:rPr>
        <w:t>表</w:t>
      </w:r>
      <w:r>
        <w:rPr>
          <w:rFonts w:ascii="Times New Roman" w:eastAsia="仿宋"/>
          <w:b/>
        </w:rPr>
        <w:t xml:space="preserve">5.2- </w:t>
      </w:r>
      <w:r>
        <w:rPr>
          <w:rFonts w:hint="eastAsia" w:ascii="Times New Roman" w:eastAsia="仿宋"/>
          <w:b/>
        </w:rPr>
        <w:t>1</w:t>
      </w:r>
      <w:r>
        <w:rPr>
          <w:rFonts w:ascii="Times New Roman" w:eastAsia="仿宋"/>
          <w:b/>
        </w:rPr>
        <w:t xml:space="preserve">4  </w:t>
      </w:r>
      <w:r>
        <w:rPr>
          <w:rFonts w:hint="eastAsia" w:ascii="Times New Roman" w:eastAsia="仿宋"/>
          <w:b/>
        </w:rPr>
        <w:t>5</w:t>
      </w:r>
      <w:r>
        <w:rPr>
          <w:rFonts w:ascii="Times New Roman" w:eastAsia="仿宋"/>
          <w:b/>
        </w:rPr>
        <w:t>#</w:t>
      </w:r>
      <w:r>
        <w:rPr>
          <w:rFonts w:hint="eastAsia" w:ascii="Times New Roman" w:eastAsia="仿宋"/>
          <w:b/>
        </w:rPr>
        <w:t>排气筒估算模型计算结果表</w:t>
      </w:r>
    </w:p>
    <w:tbl>
      <w:tblPr>
        <w:tblStyle w:val="87"/>
        <w:tblW w:w="545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499"/>
        <w:gridCol w:w="3179"/>
        <w:gridCol w:w="3389"/>
      </w:tblGrid>
      <w:tr w14:paraId="21A2F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Merge w:val="restart"/>
            <w:vAlign w:val="center"/>
          </w:tcPr>
          <w:p w14:paraId="6EF0CB31">
            <w:pPr>
              <w:jc w:val="center"/>
              <w:rPr>
                <w:rFonts w:ascii="Times New Roman" w:eastAsia="仿宋"/>
                <w:szCs w:val="21"/>
              </w:rPr>
            </w:pPr>
            <w:r>
              <w:rPr>
                <w:rFonts w:ascii="Times New Roman" w:eastAsia="仿宋"/>
                <w:szCs w:val="21"/>
              </w:rPr>
              <w:t>距离(m)</w:t>
            </w:r>
          </w:p>
        </w:tc>
        <w:tc>
          <w:tcPr>
            <w:tcW w:w="3622" w:type="pct"/>
            <w:gridSpan w:val="2"/>
            <w:vAlign w:val="center"/>
          </w:tcPr>
          <w:p w14:paraId="18AC785A">
            <w:pPr>
              <w:jc w:val="center"/>
              <w:rPr>
                <w:rFonts w:ascii="Times New Roman" w:eastAsia="仿宋"/>
                <w:szCs w:val="21"/>
              </w:rPr>
            </w:pPr>
            <w:r>
              <w:rPr>
                <w:rFonts w:ascii="Times New Roman" w:eastAsia="仿宋"/>
                <w:szCs w:val="21"/>
              </w:rPr>
              <w:t>5#排气筒</w:t>
            </w:r>
          </w:p>
        </w:tc>
      </w:tr>
      <w:tr w14:paraId="58E8A9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78" w:type="pct"/>
            <w:vMerge w:val="continue"/>
            <w:vAlign w:val="center"/>
          </w:tcPr>
          <w:p w14:paraId="13B38C9C">
            <w:pPr>
              <w:jc w:val="center"/>
              <w:rPr>
                <w:rFonts w:ascii="Times New Roman" w:eastAsia="仿宋"/>
                <w:szCs w:val="21"/>
              </w:rPr>
            </w:pPr>
          </w:p>
        </w:tc>
        <w:tc>
          <w:tcPr>
            <w:tcW w:w="3622" w:type="pct"/>
            <w:gridSpan w:val="2"/>
            <w:vAlign w:val="center"/>
          </w:tcPr>
          <w:p w14:paraId="5ACB695D">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r>
      <w:tr w14:paraId="6522E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78" w:type="pct"/>
            <w:vMerge w:val="continue"/>
            <w:vAlign w:val="center"/>
          </w:tcPr>
          <w:p w14:paraId="59308B7D">
            <w:pPr>
              <w:jc w:val="center"/>
              <w:rPr>
                <w:rFonts w:ascii="Times New Roman" w:eastAsia="仿宋"/>
                <w:szCs w:val="21"/>
              </w:rPr>
            </w:pPr>
          </w:p>
        </w:tc>
        <w:tc>
          <w:tcPr>
            <w:tcW w:w="1753" w:type="pct"/>
            <w:vAlign w:val="center"/>
          </w:tcPr>
          <w:p w14:paraId="6369FC2E">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1868" w:type="pct"/>
            <w:vAlign w:val="center"/>
          </w:tcPr>
          <w:p w14:paraId="42BDB49D">
            <w:pPr>
              <w:jc w:val="center"/>
              <w:rPr>
                <w:rFonts w:ascii="Times New Roman" w:eastAsia="仿宋"/>
                <w:szCs w:val="21"/>
              </w:rPr>
            </w:pPr>
            <w:r>
              <w:rPr>
                <w:rFonts w:ascii="Times New Roman" w:eastAsia="仿宋"/>
                <w:szCs w:val="21"/>
              </w:rPr>
              <w:t>占标率(%)</w:t>
            </w:r>
          </w:p>
        </w:tc>
      </w:tr>
      <w:tr w14:paraId="526A0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D323170">
            <w:pPr>
              <w:jc w:val="center"/>
              <w:rPr>
                <w:rFonts w:ascii="Times New Roman" w:eastAsia="仿宋"/>
                <w:szCs w:val="21"/>
              </w:rPr>
            </w:pPr>
            <w:r>
              <w:rPr>
                <w:rFonts w:ascii="Times New Roman" w:eastAsia="仿宋"/>
                <w:szCs w:val="21"/>
              </w:rPr>
              <w:t>50</w:t>
            </w:r>
          </w:p>
        </w:tc>
        <w:tc>
          <w:tcPr>
            <w:tcW w:w="1753" w:type="pct"/>
            <w:vAlign w:val="center"/>
          </w:tcPr>
          <w:p w14:paraId="44AB3FD2">
            <w:pPr>
              <w:jc w:val="center"/>
              <w:rPr>
                <w:rFonts w:ascii="Times New Roman" w:eastAsia="仿宋"/>
                <w:szCs w:val="21"/>
              </w:rPr>
            </w:pPr>
            <w:r>
              <w:rPr>
                <w:rFonts w:hint="eastAsia" w:ascii="Times New Roman" w:eastAsia="仿宋"/>
                <w:szCs w:val="21"/>
              </w:rPr>
              <w:t>1</w:t>
            </w:r>
            <w:r>
              <w:rPr>
                <w:rFonts w:ascii="Times New Roman" w:eastAsia="仿宋"/>
                <w:szCs w:val="21"/>
              </w:rPr>
              <w:t>3.4</w:t>
            </w:r>
          </w:p>
        </w:tc>
        <w:tc>
          <w:tcPr>
            <w:tcW w:w="1868" w:type="pct"/>
            <w:vAlign w:val="center"/>
          </w:tcPr>
          <w:p w14:paraId="12F9D7CA">
            <w:pPr>
              <w:jc w:val="center"/>
              <w:rPr>
                <w:rFonts w:ascii="Times New Roman" w:eastAsia="仿宋"/>
                <w:szCs w:val="21"/>
              </w:rPr>
            </w:pPr>
            <w:r>
              <w:rPr>
                <w:rFonts w:hint="eastAsia" w:ascii="Times New Roman" w:eastAsia="仿宋"/>
                <w:szCs w:val="21"/>
              </w:rPr>
              <w:t>2</w:t>
            </w:r>
            <w:r>
              <w:rPr>
                <w:rFonts w:ascii="Times New Roman" w:eastAsia="仿宋"/>
                <w:szCs w:val="21"/>
              </w:rPr>
              <w:t>.98</w:t>
            </w:r>
          </w:p>
        </w:tc>
      </w:tr>
      <w:tr w14:paraId="0EACD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10A04A4">
            <w:pPr>
              <w:jc w:val="center"/>
              <w:rPr>
                <w:rFonts w:ascii="Times New Roman" w:eastAsia="仿宋"/>
                <w:szCs w:val="21"/>
              </w:rPr>
            </w:pPr>
            <w:r>
              <w:rPr>
                <w:rFonts w:ascii="Times New Roman" w:eastAsia="仿宋"/>
                <w:szCs w:val="21"/>
              </w:rPr>
              <w:t>100</w:t>
            </w:r>
          </w:p>
        </w:tc>
        <w:tc>
          <w:tcPr>
            <w:tcW w:w="1753" w:type="pct"/>
            <w:vAlign w:val="center"/>
          </w:tcPr>
          <w:p w14:paraId="36686C03">
            <w:pPr>
              <w:jc w:val="center"/>
              <w:rPr>
                <w:rFonts w:ascii="Times New Roman" w:eastAsia="仿宋"/>
                <w:szCs w:val="21"/>
              </w:rPr>
            </w:pPr>
            <w:r>
              <w:rPr>
                <w:rFonts w:hint="eastAsia" w:ascii="Times New Roman" w:eastAsia="仿宋"/>
                <w:szCs w:val="21"/>
              </w:rPr>
              <w:t>1</w:t>
            </w:r>
            <w:r>
              <w:rPr>
                <w:rFonts w:ascii="Times New Roman" w:eastAsia="仿宋"/>
                <w:szCs w:val="21"/>
              </w:rPr>
              <w:t>3.2</w:t>
            </w:r>
          </w:p>
        </w:tc>
        <w:tc>
          <w:tcPr>
            <w:tcW w:w="1868" w:type="pct"/>
            <w:vAlign w:val="center"/>
          </w:tcPr>
          <w:p w14:paraId="220C6D68">
            <w:pPr>
              <w:jc w:val="center"/>
              <w:rPr>
                <w:rFonts w:ascii="Times New Roman" w:eastAsia="仿宋"/>
                <w:szCs w:val="21"/>
              </w:rPr>
            </w:pPr>
            <w:r>
              <w:rPr>
                <w:rFonts w:hint="eastAsia" w:ascii="Times New Roman" w:eastAsia="仿宋"/>
                <w:szCs w:val="21"/>
              </w:rPr>
              <w:t>2</w:t>
            </w:r>
            <w:r>
              <w:rPr>
                <w:rFonts w:ascii="Times New Roman" w:eastAsia="仿宋"/>
                <w:szCs w:val="21"/>
              </w:rPr>
              <w:t>.93</w:t>
            </w:r>
          </w:p>
        </w:tc>
      </w:tr>
      <w:tr w14:paraId="11C343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10DD7B1">
            <w:pPr>
              <w:jc w:val="center"/>
              <w:rPr>
                <w:rFonts w:ascii="Times New Roman" w:eastAsia="仿宋"/>
                <w:szCs w:val="21"/>
              </w:rPr>
            </w:pPr>
            <w:r>
              <w:rPr>
                <w:rFonts w:hint="eastAsia" w:ascii="Times New Roman" w:eastAsia="仿宋"/>
                <w:szCs w:val="21"/>
              </w:rPr>
              <w:t>1</w:t>
            </w:r>
            <w:r>
              <w:rPr>
                <w:rFonts w:ascii="Times New Roman" w:eastAsia="仿宋"/>
                <w:szCs w:val="21"/>
              </w:rPr>
              <w:t>67</w:t>
            </w:r>
          </w:p>
        </w:tc>
        <w:tc>
          <w:tcPr>
            <w:tcW w:w="1753" w:type="pct"/>
            <w:vAlign w:val="center"/>
          </w:tcPr>
          <w:p w14:paraId="47EC7DE2">
            <w:pPr>
              <w:jc w:val="center"/>
              <w:rPr>
                <w:rFonts w:ascii="Times New Roman" w:eastAsia="仿宋"/>
                <w:szCs w:val="21"/>
              </w:rPr>
            </w:pPr>
            <w:r>
              <w:rPr>
                <w:rFonts w:hint="eastAsia" w:ascii="Times New Roman" w:eastAsia="仿宋"/>
                <w:szCs w:val="21"/>
              </w:rPr>
              <w:t>1</w:t>
            </w:r>
            <w:r>
              <w:rPr>
                <w:rFonts w:ascii="Times New Roman" w:eastAsia="仿宋"/>
                <w:szCs w:val="21"/>
              </w:rPr>
              <w:t>9.3</w:t>
            </w:r>
          </w:p>
        </w:tc>
        <w:tc>
          <w:tcPr>
            <w:tcW w:w="1868" w:type="pct"/>
            <w:vAlign w:val="center"/>
          </w:tcPr>
          <w:p w14:paraId="5FDA00B7">
            <w:pPr>
              <w:jc w:val="center"/>
              <w:rPr>
                <w:rFonts w:ascii="Times New Roman" w:eastAsia="仿宋"/>
                <w:szCs w:val="21"/>
              </w:rPr>
            </w:pPr>
            <w:r>
              <w:rPr>
                <w:rFonts w:hint="eastAsia" w:ascii="Times New Roman" w:eastAsia="仿宋"/>
                <w:szCs w:val="21"/>
              </w:rPr>
              <w:t>4</w:t>
            </w:r>
            <w:r>
              <w:rPr>
                <w:rFonts w:ascii="Times New Roman" w:eastAsia="仿宋"/>
                <w:szCs w:val="21"/>
              </w:rPr>
              <w:t>.28</w:t>
            </w:r>
          </w:p>
        </w:tc>
      </w:tr>
      <w:tr w14:paraId="66EE57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AEA4443">
            <w:pPr>
              <w:jc w:val="center"/>
              <w:rPr>
                <w:rFonts w:ascii="Times New Roman" w:eastAsia="仿宋"/>
                <w:szCs w:val="21"/>
              </w:rPr>
            </w:pPr>
            <w:r>
              <w:rPr>
                <w:rFonts w:ascii="Times New Roman" w:eastAsia="仿宋"/>
                <w:szCs w:val="21"/>
              </w:rPr>
              <w:t>200</w:t>
            </w:r>
          </w:p>
        </w:tc>
        <w:tc>
          <w:tcPr>
            <w:tcW w:w="1753" w:type="pct"/>
            <w:vAlign w:val="center"/>
          </w:tcPr>
          <w:p w14:paraId="7EA5084F">
            <w:pPr>
              <w:jc w:val="center"/>
              <w:rPr>
                <w:rFonts w:ascii="Times New Roman" w:eastAsia="仿宋"/>
                <w:szCs w:val="21"/>
              </w:rPr>
            </w:pPr>
            <w:r>
              <w:rPr>
                <w:rFonts w:hint="eastAsia" w:ascii="Times New Roman" w:eastAsia="仿宋"/>
                <w:szCs w:val="21"/>
              </w:rPr>
              <w:t>1</w:t>
            </w:r>
            <w:r>
              <w:rPr>
                <w:rFonts w:ascii="Times New Roman" w:eastAsia="仿宋"/>
                <w:szCs w:val="21"/>
              </w:rPr>
              <w:t>8.6</w:t>
            </w:r>
          </w:p>
        </w:tc>
        <w:tc>
          <w:tcPr>
            <w:tcW w:w="1868" w:type="pct"/>
            <w:vAlign w:val="center"/>
          </w:tcPr>
          <w:p w14:paraId="6585E2B8">
            <w:pPr>
              <w:jc w:val="center"/>
              <w:rPr>
                <w:rFonts w:ascii="Times New Roman" w:eastAsia="仿宋"/>
                <w:szCs w:val="21"/>
              </w:rPr>
            </w:pPr>
            <w:r>
              <w:rPr>
                <w:rFonts w:hint="eastAsia" w:ascii="Times New Roman" w:eastAsia="仿宋"/>
                <w:szCs w:val="21"/>
              </w:rPr>
              <w:t>4</w:t>
            </w:r>
            <w:r>
              <w:rPr>
                <w:rFonts w:ascii="Times New Roman" w:eastAsia="仿宋"/>
                <w:szCs w:val="21"/>
              </w:rPr>
              <w:t>.14</w:t>
            </w:r>
          </w:p>
        </w:tc>
      </w:tr>
      <w:tr w14:paraId="26D80A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437EFEB">
            <w:pPr>
              <w:jc w:val="center"/>
              <w:rPr>
                <w:rFonts w:ascii="Times New Roman" w:eastAsia="仿宋"/>
                <w:szCs w:val="21"/>
              </w:rPr>
            </w:pPr>
            <w:r>
              <w:rPr>
                <w:rFonts w:ascii="Times New Roman" w:eastAsia="仿宋"/>
                <w:szCs w:val="21"/>
              </w:rPr>
              <w:t>300</w:t>
            </w:r>
          </w:p>
        </w:tc>
        <w:tc>
          <w:tcPr>
            <w:tcW w:w="1753" w:type="pct"/>
            <w:vAlign w:val="center"/>
          </w:tcPr>
          <w:p w14:paraId="2EF05E44">
            <w:pPr>
              <w:jc w:val="center"/>
              <w:rPr>
                <w:rFonts w:ascii="Times New Roman" w:eastAsia="仿宋"/>
                <w:szCs w:val="21"/>
              </w:rPr>
            </w:pPr>
            <w:r>
              <w:rPr>
                <w:rFonts w:hint="eastAsia" w:ascii="Times New Roman" w:eastAsia="仿宋"/>
                <w:szCs w:val="21"/>
              </w:rPr>
              <w:t>1</w:t>
            </w:r>
            <w:r>
              <w:rPr>
                <w:rFonts w:ascii="Times New Roman" w:eastAsia="仿宋"/>
                <w:szCs w:val="21"/>
              </w:rPr>
              <w:t>4.7</w:t>
            </w:r>
          </w:p>
        </w:tc>
        <w:tc>
          <w:tcPr>
            <w:tcW w:w="1868" w:type="pct"/>
            <w:vAlign w:val="center"/>
          </w:tcPr>
          <w:p w14:paraId="5769C7FD">
            <w:pPr>
              <w:jc w:val="center"/>
              <w:rPr>
                <w:rFonts w:ascii="Times New Roman" w:eastAsia="仿宋"/>
                <w:szCs w:val="21"/>
              </w:rPr>
            </w:pPr>
            <w:r>
              <w:rPr>
                <w:rFonts w:hint="eastAsia" w:ascii="Times New Roman" w:eastAsia="仿宋"/>
                <w:szCs w:val="21"/>
              </w:rPr>
              <w:t>3</w:t>
            </w:r>
            <w:r>
              <w:rPr>
                <w:rFonts w:ascii="Times New Roman" w:eastAsia="仿宋"/>
                <w:szCs w:val="21"/>
              </w:rPr>
              <w:t>.28</w:t>
            </w:r>
          </w:p>
        </w:tc>
      </w:tr>
      <w:tr w14:paraId="21FC0E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AE4007C">
            <w:pPr>
              <w:jc w:val="center"/>
              <w:rPr>
                <w:rFonts w:ascii="Times New Roman" w:eastAsia="仿宋"/>
                <w:szCs w:val="21"/>
              </w:rPr>
            </w:pPr>
            <w:r>
              <w:rPr>
                <w:rFonts w:ascii="Times New Roman" w:eastAsia="仿宋"/>
                <w:szCs w:val="21"/>
              </w:rPr>
              <w:t>400</w:t>
            </w:r>
          </w:p>
        </w:tc>
        <w:tc>
          <w:tcPr>
            <w:tcW w:w="1753" w:type="pct"/>
            <w:vAlign w:val="center"/>
          </w:tcPr>
          <w:p w14:paraId="02248B80">
            <w:pPr>
              <w:jc w:val="center"/>
              <w:rPr>
                <w:rFonts w:ascii="Times New Roman" w:eastAsia="仿宋"/>
                <w:szCs w:val="21"/>
              </w:rPr>
            </w:pPr>
            <w:r>
              <w:rPr>
                <w:rFonts w:hint="eastAsia" w:ascii="Times New Roman" w:eastAsia="仿宋"/>
                <w:szCs w:val="21"/>
              </w:rPr>
              <w:t>1</w:t>
            </w:r>
            <w:r>
              <w:rPr>
                <w:rFonts w:ascii="Times New Roman" w:eastAsia="仿宋"/>
                <w:szCs w:val="21"/>
              </w:rPr>
              <w:t>2.8</w:t>
            </w:r>
          </w:p>
        </w:tc>
        <w:tc>
          <w:tcPr>
            <w:tcW w:w="1868" w:type="pct"/>
            <w:vAlign w:val="center"/>
          </w:tcPr>
          <w:p w14:paraId="771E4B19">
            <w:pPr>
              <w:jc w:val="center"/>
              <w:rPr>
                <w:rFonts w:ascii="Times New Roman" w:eastAsia="仿宋"/>
                <w:szCs w:val="21"/>
              </w:rPr>
            </w:pPr>
            <w:r>
              <w:rPr>
                <w:rFonts w:hint="eastAsia" w:ascii="Times New Roman" w:eastAsia="仿宋"/>
                <w:szCs w:val="21"/>
              </w:rPr>
              <w:t>2</w:t>
            </w:r>
            <w:r>
              <w:rPr>
                <w:rFonts w:ascii="Times New Roman" w:eastAsia="仿宋"/>
                <w:szCs w:val="21"/>
              </w:rPr>
              <w:t>.84</w:t>
            </w:r>
          </w:p>
        </w:tc>
      </w:tr>
      <w:tr w14:paraId="0AC84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1FF6183D">
            <w:pPr>
              <w:jc w:val="center"/>
              <w:rPr>
                <w:rFonts w:ascii="Times New Roman" w:eastAsia="仿宋"/>
                <w:szCs w:val="21"/>
              </w:rPr>
            </w:pPr>
            <w:r>
              <w:rPr>
                <w:rFonts w:ascii="Times New Roman" w:eastAsia="仿宋"/>
                <w:szCs w:val="21"/>
              </w:rPr>
              <w:t>500</w:t>
            </w:r>
          </w:p>
        </w:tc>
        <w:tc>
          <w:tcPr>
            <w:tcW w:w="1753" w:type="pct"/>
            <w:vAlign w:val="center"/>
          </w:tcPr>
          <w:p w14:paraId="6EF65B04">
            <w:pPr>
              <w:jc w:val="center"/>
              <w:rPr>
                <w:rFonts w:ascii="Times New Roman" w:eastAsia="仿宋"/>
                <w:szCs w:val="21"/>
              </w:rPr>
            </w:pPr>
            <w:r>
              <w:rPr>
                <w:rFonts w:hint="eastAsia" w:ascii="Times New Roman" w:eastAsia="仿宋"/>
                <w:szCs w:val="21"/>
              </w:rPr>
              <w:t>1</w:t>
            </w:r>
            <w:r>
              <w:rPr>
                <w:rFonts w:ascii="Times New Roman" w:eastAsia="仿宋"/>
                <w:szCs w:val="21"/>
              </w:rPr>
              <w:t>1.1</w:t>
            </w:r>
          </w:p>
        </w:tc>
        <w:tc>
          <w:tcPr>
            <w:tcW w:w="1868" w:type="pct"/>
            <w:vAlign w:val="center"/>
          </w:tcPr>
          <w:p w14:paraId="67EAED37">
            <w:pPr>
              <w:jc w:val="center"/>
              <w:rPr>
                <w:rFonts w:ascii="Times New Roman" w:eastAsia="仿宋"/>
                <w:szCs w:val="21"/>
              </w:rPr>
            </w:pPr>
            <w:r>
              <w:rPr>
                <w:rFonts w:hint="eastAsia" w:ascii="Times New Roman" w:eastAsia="仿宋"/>
                <w:szCs w:val="21"/>
              </w:rPr>
              <w:t>2</w:t>
            </w:r>
            <w:r>
              <w:rPr>
                <w:rFonts w:ascii="Times New Roman" w:eastAsia="仿宋"/>
                <w:szCs w:val="21"/>
              </w:rPr>
              <w:t>.47</w:t>
            </w:r>
          </w:p>
        </w:tc>
      </w:tr>
      <w:tr w14:paraId="43FF97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B00B635">
            <w:pPr>
              <w:jc w:val="center"/>
              <w:rPr>
                <w:rFonts w:ascii="Times New Roman" w:eastAsia="仿宋"/>
                <w:szCs w:val="21"/>
              </w:rPr>
            </w:pPr>
            <w:r>
              <w:rPr>
                <w:rFonts w:ascii="Times New Roman" w:eastAsia="仿宋"/>
                <w:szCs w:val="21"/>
              </w:rPr>
              <w:t>600</w:t>
            </w:r>
          </w:p>
        </w:tc>
        <w:tc>
          <w:tcPr>
            <w:tcW w:w="1753" w:type="pct"/>
            <w:vAlign w:val="center"/>
          </w:tcPr>
          <w:p w14:paraId="77336131">
            <w:pPr>
              <w:jc w:val="center"/>
              <w:rPr>
                <w:rFonts w:ascii="Times New Roman" w:eastAsia="仿宋"/>
                <w:szCs w:val="21"/>
              </w:rPr>
            </w:pPr>
            <w:r>
              <w:rPr>
                <w:rFonts w:hint="eastAsia" w:ascii="Times New Roman" w:eastAsia="仿宋"/>
                <w:szCs w:val="21"/>
              </w:rPr>
              <w:t>9</w:t>
            </w:r>
            <w:r>
              <w:rPr>
                <w:rFonts w:ascii="Times New Roman" w:eastAsia="仿宋"/>
                <w:szCs w:val="21"/>
              </w:rPr>
              <w:t>.6</w:t>
            </w:r>
          </w:p>
        </w:tc>
        <w:tc>
          <w:tcPr>
            <w:tcW w:w="1868" w:type="pct"/>
            <w:vAlign w:val="center"/>
          </w:tcPr>
          <w:p w14:paraId="03142265">
            <w:pPr>
              <w:jc w:val="center"/>
              <w:rPr>
                <w:rFonts w:ascii="Times New Roman" w:eastAsia="仿宋"/>
                <w:szCs w:val="21"/>
              </w:rPr>
            </w:pPr>
            <w:r>
              <w:rPr>
                <w:rFonts w:hint="eastAsia" w:ascii="Times New Roman" w:eastAsia="仿宋"/>
                <w:szCs w:val="21"/>
              </w:rPr>
              <w:t>2</w:t>
            </w:r>
            <w:r>
              <w:rPr>
                <w:rFonts w:ascii="Times New Roman" w:eastAsia="仿宋"/>
                <w:szCs w:val="21"/>
              </w:rPr>
              <w:t>.13</w:t>
            </w:r>
          </w:p>
        </w:tc>
      </w:tr>
      <w:tr w14:paraId="702150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42686EF7">
            <w:pPr>
              <w:jc w:val="center"/>
              <w:rPr>
                <w:rFonts w:ascii="Times New Roman" w:eastAsia="仿宋"/>
                <w:szCs w:val="21"/>
              </w:rPr>
            </w:pPr>
            <w:r>
              <w:rPr>
                <w:rFonts w:ascii="Times New Roman" w:eastAsia="仿宋"/>
                <w:szCs w:val="21"/>
              </w:rPr>
              <w:t>700</w:t>
            </w:r>
          </w:p>
        </w:tc>
        <w:tc>
          <w:tcPr>
            <w:tcW w:w="1753" w:type="pct"/>
            <w:vAlign w:val="center"/>
          </w:tcPr>
          <w:p w14:paraId="171FF414">
            <w:pPr>
              <w:jc w:val="center"/>
              <w:rPr>
                <w:rFonts w:ascii="Times New Roman" w:eastAsia="仿宋"/>
                <w:szCs w:val="21"/>
              </w:rPr>
            </w:pPr>
            <w:r>
              <w:rPr>
                <w:rFonts w:hint="eastAsia" w:ascii="Times New Roman" w:eastAsia="仿宋"/>
                <w:szCs w:val="21"/>
              </w:rPr>
              <w:t>8</w:t>
            </w:r>
            <w:r>
              <w:rPr>
                <w:rFonts w:ascii="Times New Roman" w:eastAsia="仿宋"/>
                <w:szCs w:val="21"/>
              </w:rPr>
              <w:t>.36</w:t>
            </w:r>
          </w:p>
        </w:tc>
        <w:tc>
          <w:tcPr>
            <w:tcW w:w="1868" w:type="pct"/>
            <w:vAlign w:val="center"/>
          </w:tcPr>
          <w:p w14:paraId="599C33F8">
            <w:pPr>
              <w:jc w:val="center"/>
              <w:rPr>
                <w:rFonts w:ascii="Times New Roman" w:eastAsia="仿宋"/>
                <w:szCs w:val="21"/>
              </w:rPr>
            </w:pPr>
            <w:r>
              <w:rPr>
                <w:rFonts w:hint="eastAsia" w:ascii="Times New Roman" w:eastAsia="仿宋"/>
                <w:szCs w:val="21"/>
              </w:rPr>
              <w:t>1</w:t>
            </w:r>
            <w:r>
              <w:rPr>
                <w:rFonts w:ascii="Times New Roman" w:eastAsia="仿宋"/>
                <w:szCs w:val="21"/>
              </w:rPr>
              <w:t>.86</w:t>
            </w:r>
          </w:p>
        </w:tc>
      </w:tr>
      <w:tr w14:paraId="36B4B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0BFEDCD0">
            <w:pPr>
              <w:jc w:val="center"/>
              <w:rPr>
                <w:rFonts w:ascii="Times New Roman" w:eastAsia="仿宋"/>
                <w:szCs w:val="21"/>
              </w:rPr>
            </w:pPr>
            <w:r>
              <w:rPr>
                <w:rFonts w:ascii="Times New Roman" w:eastAsia="仿宋"/>
                <w:szCs w:val="21"/>
              </w:rPr>
              <w:t>800</w:t>
            </w:r>
          </w:p>
        </w:tc>
        <w:tc>
          <w:tcPr>
            <w:tcW w:w="1753" w:type="pct"/>
            <w:vAlign w:val="center"/>
          </w:tcPr>
          <w:p w14:paraId="13016AA5">
            <w:pPr>
              <w:jc w:val="center"/>
              <w:rPr>
                <w:rFonts w:ascii="Times New Roman" w:eastAsia="仿宋"/>
                <w:szCs w:val="21"/>
              </w:rPr>
            </w:pPr>
            <w:r>
              <w:rPr>
                <w:rFonts w:hint="eastAsia" w:ascii="Times New Roman" w:eastAsia="仿宋"/>
                <w:szCs w:val="21"/>
              </w:rPr>
              <w:t>7</w:t>
            </w:r>
            <w:r>
              <w:rPr>
                <w:rFonts w:ascii="Times New Roman" w:eastAsia="仿宋"/>
                <w:szCs w:val="21"/>
              </w:rPr>
              <w:t>.35</w:t>
            </w:r>
          </w:p>
        </w:tc>
        <w:tc>
          <w:tcPr>
            <w:tcW w:w="1868" w:type="pct"/>
            <w:vAlign w:val="center"/>
          </w:tcPr>
          <w:p w14:paraId="42A3BF50">
            <w:pPr>
              <w:jc w:val="center"/>
              <w:rPr>
                <w:rFonts w:ascii="Times New Roman" w:eastAsia="仿宋"/>
                <w:szCs w:val="21"/>
              </w:rPr>
            </w:pPr>
            <w:r>
              <w:rPr>
                <w:rFonts w:hint="eastAsia" w:ascii="Times New Roman" w:eastAsia="仿宋"/>
                <w:szCs w:val="21"/>
              </w:rPr>
              <w:t>1</w:t>
            </w:r>
            <w:r>
              <w:rPr>
                <w:rFonts w:ascii="Times New Roman" w:eastAsia="仿宋"/>
                <w:szCs w:val="21"/>
              </w:rPr>
              <w:t>.63</w:t>
            </w:r>
          </w:p>
        </w:tc>
      </w:tr>
      <w:tr w14:paraId="21027A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0946DC9">
            <w:pPr>
              <w:jc w:val="center"/>
              <w:rPr>
                <w:rFonts w:ascii="Times New Roman" w:eastAsia="仿宋"/>
                <w:szCs w:val="21"/>
              </w:rPr>
            </w:pPr>
            <w:r>
              <w:rPr>
                <w:rFonts w:ascii="Times New Roman" w:eastAsia="仿宋"/>
                <w:szCs w:val="21"/>
              </w:rPr>
              <w:t>900</w:t>
            </w:r>
          </w:p>
        </w:tc>
        <w:tc>
          <w:tcPr>
            <w:tcW w:w="1753" w:type="pct"/>
            <w:vAlign w:val="center"/>
          </w:tcPr>
          <w:p w14:paraId="32793C68">
            <w:pPr>
              <w:jc w:val="center"/>
              <w:rPr>
                <w:rFonts w:ascii="Times New Roman" w:eastAsia="仿宋"/>
                <w:szCs w:val="21"/>
              </w:rPr>
            </w:pPr>
            <w:r>
              <w:rPr>
                <w:rFonts w:hint="eastAsia" w:ascii="Times New Roman" w:eastAsia="仿宋"/>
                <w:szCs w:val="21"/>
              </w:rPr>
              <w:t>6</w:t>
            </w:r>
            <w:r>
              <w:rPr>
                <w:rFonts w:ascii="Times New Roman" w:eastAsia="仿宋"/>
                <w:szCs w:val="21"/>
              </w:rPr>
              <w:t>.63</w:t>
            </w:r>
          </w:p>
        </w:tc>
        <w:tc>
          <w:tcPr>
            <w:tcW w:w="1868" w:type="pct"/>
            <w:vAlign w:val="center"/>
          </w:tcPr>
          <w:p w14:paraId="4B501F06">
            <w:pPr>
              <w:jc w:val="center"/>
              <w:rPr>
                <w:rFonts w:ascii="Times New Roman" w:eastAsia="仿宋"/>
                <w:szCs w:val="21"/>
              </w:rPr>
            </w:pPr>
            <w:r>
              <w:rPr>
                <w:rFonts w:hint="eastAsia" w:ascii="Times New Roman" w:eastAsia="仿宋"/>
                <w:szCs w:val="21"/>
              </w:rPr>
              <w:t>1</w:t>
            </w:r>
            <w:r>
              <w:rPr>
                <w:rFonts w:ascii="Times New Roman" w:eastAsia="仿宋"/>
                <w:szCs w:val="21"/>
              </w:rPr>
              <w:t>.47</w:t>
            </w:r>
          </w:p>
        </w:tc>
      </w:tr>
      <w:tr w14:paraId="0E5FA5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0A403535">
            <w:pPr>
              <w:jc w:val="center"/>
              <w:rPr>
                <w:rFonts w:ascii="Times New Roman" w:eastAsia="仿宋"/>
                <w:szCs w:val="21"/>
              </w:rPr>
            </w:pPr>
            <w:r>
              <w:rPr>
                <w:rFonts w:ascii="Times New Roman" w:eastAsia="仿宋"/>
                <w:szCs w:val="21"/>
              </w:rPr>
              <w:t>1000</w:t>
            </w:r>
          </w:p>
        </w:tc>
        <w:tc>
          <w:tcPr>
            <w:tcW w:w="1753" w:type="pct"/>
            <w:vAlign w:val="center"/>
          </w:tcPr>
          <w:p w14:paraId="41B2BF17">
            <w:pPr>
              <w:jc w:val="center"/>
              <w:rPr>
                <w:rFonts w:ascii="Times New Roman" w:eastAsia="仿宋"/>
                <w:szCs w:val="21"/>
              </w:rPr>
            </w:pPr>
            <w:r>
              <w:rPr>
                <w:rFonts w:hint="eastAsia" w:ascii="Times New Roman" w:eastAsia="仿宋"/>
                <w:szCs w:val="21"/>
              </w:rPr>
              <w:t>6</w:t>
            </w:r>
            <w:r>
              <w:rPr>
                <w:rFonts w:ascii="Times New Roman" w:eastAsia="仿宋"/>
                <w:szCs w:val="21"/>
              </w:rPr>
              <w:t>.12</w:t>
            </w:r>
          </w:p>
        </w:tc>
        <w:tc>
          <w:tcPr>
            <w:tcW w:w="1868" w:type="pct"/>
            <w:vAlign w:val="center"/>
          </w:tcPr>
          <w:p w14:paraId="0D9E0761">
            <w:pPr>
              <w:jc w:val="center"/>
              <w:rPr>
                <w:rFonts w:ascii="Times New Roman" w:eastAsia="仿宋"/>
                <w:szCs w:val="21"/>
              </w:rPr>
            </w:pPr>
            <w:r>
              <w:rPr>
                <w:rFonts w:hint="eastAsia" w:ascii="Times New Roman" w:eastAsia="仿宋"/>
                <w:szCs w:val="21"/>
              </w:rPr>
              <w:t>1</w:t>
            </w:r>
            <w:r>
              <w:rPr>
                <w:rFonts w:ascii="Times New Roman" w:eastAsia="仿宋"/>
                <w:szCs w:val="21"/>
              </w:rPr>
              <w:t>.36</w:t>
            </w:r>
          </w:p>
        </w:tc>
      </w:tr>
      <w:tr w14:paraId="13C7BC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CA9C414">
            <w:pPr>
              <w:jc w:val="center"/>
              <w:rPr>
                <w:rFonts w:ascii="Times New Roman" w:eastAsia="仿宋"/>
                <w:szCs w:val="21"/>
              </w:rPr>
            </w:pPr>
            <w:r>
              <w:rPr>
                <w:rFonts w:ascii="Times New Roman" w:eastAsia="仿宋"/>
                <w:szCs w:val="21"/>
              </w:rPr>
              <w:t>1200</w:t>
            </w:r>
          </w:p>
        </w:tc>
        <w:tc>
          <w:tcPr>
            <w:tcW w:w="1753" w:type="pct"/>
            <w:vAlign w:val="center"/>
          </w:tcPr>
          <w:p w14:paraId="1DD67AA6">
            <w:pPr>
              <w:jc w:val="center"/>
              <w:rPr>
                <w:rFonts w:ascii="Times New Roman" w:eastAsia="仿宋"/>
                <w:szCs w:val="21"/>
              </w:rPr>
            </w:pPr>
            <w:r>
              <w:rPr>
                <w:rFonts w:hint="eastAsia" w:ascii="Times New Roman" w:eastAsia="仿宋"/>
                <w:szCs w:val="21"/>
              </w:rPr>
              <w:t>5</w:t>
            </w:r>
            <w:r>
              <w:rPr>
                <w:rFonts w:ascii="Times New Roman" w:eastAsia="仿宋"/>
                <w:szCs w:val="21"/>
              </w:rPr>
              <w:t>.28</w:t>
            </w:r>
          </w:p>
        </w:tc>
        <w:tc>
          <w:tcPr>
            <w:tcW w:w="1868" w:type="pct"/>
            <w:vAlign w:val="center"/>
          </w:tcPr>
          <w:p w14:paraId="78F067CD">
            <w:pPr>
              <w:jc w:val="center"/>
              <w:rPr>
                <w:rFonts w:ascii="Times New Roman" w:eastAsia="仿宋"/>
                <w:szCs w:val="21"/>
              </w:rPr>
            </w:pPr>
            <w:r>
              <w:rPr>
                <w:rFonts w:hint="eastAsia" w:ascii="Times New Roman" w:eastAsia="仿宋"/>
                <w:szCs w:val="21"/>
              </w:rPr>
              <w:t>1</w:t>
            </w:r>
            <w:r>
              <w:rPr>
                <w:rFonts w:ascii="Times New Roman" w:eastAsia="仿宋"/>
                <w:szCs w:val="21"/>
              </w:rPr>
              <w:t>.17</w:t>
            </w:r>
          </w:p>
        </w:tc>
      </w:tr>
      <w:tr w14:paraId="459E3C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EE3D96B">
            <w:pPr>
              <w:jc w:val="center"/>
              <w:rPr>
                <w:rFonts w:ascii="Times New Roman" w:eastAsia="仿宋"/>
                <w:szCs w:val="21"/>
              </w:rPr>
            </w:pPr>
            <w:r>
              <w:rPr>
                <w:rFonts w:ascii="Times New Roman" w:eastAsia="仿宋"/>
                <w:szCs w:val="21"/>
              </w:rPr>
              <w:t>1400</w:t>
            </w:r>
          </w:p>
        </w:tc>
        <w:tc>
          <w:tcPr>
            <w:tcW w:w="1753" w:type="pct"/>
            <w:vAlign w:val="center"/>
          </w:tcPr>
          <w:p w14:paraId="3755D706">
            <w:pPr>
              <w:jc w:val="center"/>
              <w:rPr>
                <w:rFonts w:ascii="Times New Roman" w:eastAsia="仿宋"/>
                <w:szCs w:val="21"/>
              </w:rPr>
            </w:pPr>
            <w:r>
              <w:rPr>
                <w:rFonts w:hint="eastAsia" w:ascii="Times New Roman" w:eastAsia="仿宋"/>
                <w:szCs w:val="21"/>
              </w:rPr>
              <w:t>4</w:t>
            </w:r>
            <w:r>
              <w:rPr>
                <w:rFonts w:ascii="Times New Roman" w:eastAsia="仿宋"/>
                <w:szCs w:val="21"/>
              </w:rPr>
              <w:t>.72</w:t>
            </w:r>
          </w:p>
        </w:tc>
        <w:tc>
          <w:tcPr>
            <w:tcW w:w="1868" w:type="pct"/>
            <w:vAlign w:val="center"/>
          </w:tcPr>
          <w:p w14:paraId="05010940">
            <w:pPr>
              <w:jc w:val="center"/>
              <w:rPr>
                <w:rFonts w:ascii="Times New Roman" w:eastAsia="仿宋"/>
                <w:szCs w:val="21"/>
              </w:rPr>
            </w:pPr>
            <w:r>
              <w:rPr>
                <w:rFonts w:hint="eastAsia" w:ascii="Times New Roman" w:eastAsia="仿宋"/>
                <w:szCs w:val="21"/>
              </w:rPr>
              <w:t>1</w:t>
            </w:r>
            <w:r>
              <w:rPr>
                <w:rFonts w:ascii="Times New Roman" w:eastAsia="仿宋"/>
                <w:szCs w:val="21"/>
              </w:rPr>
              <w:t>.05</w:t>
            </w:r>
          </w:p>
        </w:tc>
      </w:tr>
      <w:tr w14:paraId="2C660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69846E2">
            <w:pPr>
              <w:jc w:val="center"/>
              <w:rPr>
                <w:rFonts w:ascii="Times New Roman" w:eastAsia="仿宋"/>
                <w:szCs w:val="21"/>
              </w:rPr>
            </w:pPr>
            <w:r>
              <w:rPr>
                <w:rFonts w:ascii="Times New Roman" w:eastAsia="仿宋"/>
                <w:szCs w:val="21"/>
              </w:rPr>
              <w:t>1600</w:t>
            </w:r>
          </w:p>
        </w:tc>
        <w:tc>
          <w:tcPr>
            <w:tcW w:w="1753" w:type="pct"/>
            <w:vAlign w:val="center"/>
          </w:tcPr>
          <w:p w14:paraId="1A22BC11">
            <w:pPr>
              <w:jc w:val="center"/>
              <w:rPr>
                <w:rFonts w:ascii="Times New Roman" w:eastAsia="仿宋"/>
                <w:szCs w:val="21"/>
              </w:rPr>
            </w:pPr>
            <w:r>
              <w:rPr>
                <w:rFonts w:hint="eastAsia" w:ascii="Times New Roman" w:eastAsia="仿宋"/>
                <w:szCs w:val="21"/>
              </w:rPr>
              <w:t>4</w:t>
            </w:r>
            <w:r>
              <w:rPr>
                <w:rFonts w:ascii="Times New Roman" w:eastAsia="仿宋"/>
                <w:szCs w:val="21"/>
              </w:rPr>
              <w:t>.28</w:t>
            </w:r>
          </w:p>
        </w:tc>
        <w:tc>
          <w:tcPr>
            <w:tcW w:w="1868" w:type="pct"/>
            <w:vAlign w:val="center"/>
          </w:tcPr>
          <w:p w14:paraId="45B6B21B">
            <w:pPr>
              <w:jc w:val="center"/>
              <w:rPr>
                <w:rFonts w:ascii="Times New Roman" w:eastAsia="仿宋"/>
                <w:szCs w:val="21"/>
              </w:rPr>
            </w:pPr>
            <w:r>
              <w:rPr>
                <w:rFonts w:hint="eastAsia" w:ascii="Times New Roman" w:eastAsia="仿宋"/>
                <w:szCs w:val="21"/>
              </w:rPr>
              <w:t>0</w:t>
            </w:r>
            <w:r>
              <w:rPr>
                <w:rFonts w:ascii="Times New Roman" w:eastAsia="仿宋"/>
                <w:szCs w:val="21"/>
              </w:rPr>
              <w:t>.95</w:t>
            </w:r>
          </w:p>
        </w:tc>
      </w:tr>
      <w:tr w14:paraId="4D0747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AAF5225">
            <w:pPr>
              <w:jc w:val="center"/>
              <w:rPr>
                <w:rFonts w:ascii="Times New Roman" w:eastAsia="仿宋"/>
                <w:szCs w:val="21"/>
              </w:rPr>
            </w:pPr>
            <w:r>
              <w:rPr>
                <w:rFonts w:ascii="Times New Roman" w:eastAsia="仿宋"/>
                <w:szCs w:val="21"/>
              </w:rPr>
              <w:t>1800</w:t>
            </w:r>
          </w:p>
        </w:tc>
        <w:tc>
          <w:tcPr>
            <w:tcW w:w="1753" w:type="pct"/>
            <w:vAlign w:val="center"/>
          </w:tcPr>
          <w:p w14:paraId="7734B6E4">
            <w:pPr>
              <w:jc w:val="center"/>
              <w:rPr>
                <w:rFonts w:ascii="Times New Roman" w:eastAsia="仿宋"/>
                <w:szCs w:val="21"/>
              </w:rPr>
            </w:pPr>
            <w:r>
              <w:rPr>
                <w:rFonts w:hint="eastAsia" w:ascii="Times New Roman" w:eastAsia="仿宋"/>
                <w:szCs w:val="21"/>
              </w:rPr>
              <w:t>3</w:t>
            </w:r>
            <w:r>
              <w:rPr>
                <w:rFonts w:ascii="Times New Roman" w:eastAsia="仿宋"/>
                <w:szCs w:val="21"/>
              </w:rPr>
              <w:t>.93</w:t>
            </w:r>
          </w:p>
        </w:tc>
        <w:tc>
          <w:tcPr>
            <w:tcW w:w="1868" w:type="pct"/>
            <w:vAlign w:val="center"/>
          </w:tcPr>
          <w:p w14:paraId="7854548B">
            <w:pPr>
              <w:jc w:val="center"/>
              <w:rPr>
                <w:rFonts w:ascii="Times New Roman" w:eastAsia="仿宋"/>
                <w:szCs w:val="21"/>
              </w:rPr>
            </w:pPr>
            <w:r>
              <w:rPr>
                <w:rFonts w:hint="eastAsia" w:ascii="Times New Roman" w:eastAsia="仿宋"/>
                <w:szCs w:val="21"/>
              </w:rPr>
              <w:t>0</w:t>
            </w:r>
            <w:r>
              <w:rPr>
                <w:rFonts w:ascii="Times New Roman" w:eastAsia="仿宋"/>
                <w:szCs w:val="21"/>
              </w:rPr>
              <w:t>.87</w:t>
            </w:r>
          </w:p>
        </w:tc>
      </w:tr>
      <w:tr w14:paraId="2D8BAE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1F9AA575">
            <w:pPr>
              <w:jc w:val="center"/>
              <w:rPr>
                <w:rFonts w:ascii="Times New Roman" w:eastAsia="仿宋"/>
                <w:szCs w:val="21"/>
              </w:rPr>
            </w:pPr>
            <w:r>
              <w:rPr>
                <w:rFonts w:ascii="Times New Roman" w:eastAsia="仿宋"/>
                <w:szCs w:val="21"/>
              </w:rPr>
              <w:t>2000</w:t>
            </w:r>
          </w:p>
        </w:tc>
        <w:tc>
          <w:tcPr>
            <w:tcW w:w="1753" w:type="pct"/>
            <w:vAlign w:val="center"/>
          </w:tcPr>
          <w:p w14:paraId="619A5AD2">
            <w:pPr>
              <w:jc w:val="center"/>
              <w:rPr>
                <w:rFonts w:ascii="Times New Roman" w:eastAsia="仿宋"/>
                <w:szCs w:val="21"/>
              </w:rPr>
            </w:pPr>
            <w:r>
              <w:rPr>
                <w:rFonts w:hint="eastAsia" w:ascii="Times New Roman" w:eastAsia="仿宋"/>
                <w:szCs w:val="21"/>
              </w:rPr>
              <w:t>3</w:t>
            </w:r>
            <w:r>
              <w:rPr>
                <w:rFonts w:ascii="Times New Roman" w:eastAsia="仿宋"/>
                <w:szCs w:val="21"/>
              </w:rPr>
              <w:t>.64</w:t>
            </w:r>
          </w:p>
        </w:tc>
        <w:tc>
          <w:tcPr>
            <w:tcW w:w="1868" w:type="pct"/>
            <w:vAlign w:val="center"/>
          </w:tcPr>
          <w:p w14:paraId="3B50BF69">
            <w:pPr>
              <w:jc w:val="center"/>
              <w:rPr>
                <w:rFonts w:ascii="Times New Roman" w:eastAsia="仿宋"/>
                <w:szCs w:val="21"/>
              </w:rPr>
            </w:pPr>
            <w:r>
              <w:rPr>
                <w:rFonts w:hint="eastAsia" w:ascii="Times New Roman" w:eastAsia="仿宋"/>
                <w:szCs w:val="21"/>
              </w:rPr>
              <w:t>0</w:t>
            </w:r>
            <w:r>
              <w:rPr>
                <w:rFonts w:ascii="Times New Roman" w:eastAsia="仿宋"/>
                <w:szCs w:val="21"/>
              </w:rPr>
              <w:t>.81</w:t>
            </w:r>
          </w:p>
        </w:tc>
      </w:tr>
      <w:tr w14:paraId="035DD9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0C1D1EDE">
            <w:pPr>
              <w:jc w:val="center"/>
              <w:rPr>
                <w:rFonts w:ascii="Times New Roman" w:eastAsia="仿宋"/>
                <w:szCs w:val="21"/>
              </w:rPr>
            </w:pPr>
            <w:r>
              <w:rPr>
                <w:rFonts w:ascii="Times New Roman" w:eastAsia="仿宋"/>
                <w:szCs w:val="21"/>
              </w:rPr>
              <w:t>2500</w:t>
            </w:r>
          </w:p>
        </w:tc>
        <w:tc>
          <w:tcPr>
            <w:tcW w:w="1753" w:type="pct"/>
            <w:vAlign w:val="center"/>
          </w:tcPr>
          <w:p w14:paraId="24376404">
            <w:pPr>
              <w:jc w:val="center"/>
              <w:rPr>
                <w:rFonts w:ascii="Times New Roman" w:eastAsia="仿宋"/>
                <w:szCs w:val="21"/>
              </w:rPr>
            </w:pPr>
            <w:r>
              <w:rPr>
                <w:rFonts w:hint="eastAsia" w:ascii="Times New Roman" w:eastAsia="仿宋"/>
                <w:szCs w:val="21"/>
              </w:rPr>
              <w:t>3</w:t>
            </w:r>
            <w:r>
              <w:rPr>
                <w:rFonts w:ascii="Times New Roman" w:eastAsia="仿宋"/>
                <w:szCs w:val="21"/>
              </w:rPr>
              <w:t>.09</w:t>
            </w:r>
          </w:p>
        </w:tc>
        <w:tc>
          <w:tcPr>
            <w:tcW w:w="1868" w:type="pct"/>
            <w:vAlign w:val="center"/>
          </w:tcPr>
          <w:p w14:paraId="2A0C865B">
            <w:pPr>
              <w:jc w:val="center"/>
              <w:rPr>
                <w:rFonts w:ascii="Times New Roman" w:eastAsia="仿宋"/>
                <w:szCs w:val="21"/>
              </w:rPr>
            </w:pPr>
            <w:r>
              <w:rPr>
                <w:rFonts w:hint="eastAsia" w:ascii="Times New Roman" w:eastAsia="仿宋"/>
                <w:szCs w:val="21"/>
              </w:rPr>
              <w:t>0</w:t>
            </w:r>
            <w:r>
              <w:rPr>
                <w:rFonts w:ascii="Times New Roman" w:eastAsia="仿宋"/>
                <w:szCs w:val="21"/>
              </w:rPr>
              <w:t>.69</w:t>
            </w:r>
          </w:p>
        </w:tc>
      </w:tr>
      <w:tr w14:paraId="045E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D5193D5">
            <w:pPr>
              <w:jc w:val="center"/>
              <w:rPr>
                <w:rFonts w:ascii="Times New Roman" w:eastAsia="仿宋"/>
                <w:szCs w:val="21"/>
              </w:rPr>
            </w:pPr>
            <w:r>
              <w:rPr>
                <w:rFonts w:ascii="Times New Roman" w:eastAsia="仿宋"/>
                <w:szCs w:val="21"/>
              </w:rPr>
              <w:t>下风向最大浓度</w:t>
            </w:r>
          </w:p>
        </w:tc>
        <w:tc>
          <w:tcPr>
            <w:tcW w:w="3622" w:type="pct"/>
            <w:gridSpan w:val="2"/>
            <w:vAlign w:val="center"/>
          </w:tcPr>
          <w:p w14:paraId="4C065D2A">
            <w:pPr>
              <w:jc w:val="center"/>
              <w:rPr>
                <w:rFonts w:ascii="Times New Roman" w:eastAsia="仿宋"/>
                <w:szCs w:val="21"/>
              </w:rPr>
            </w:pPr>
            <w:r>
              <w:rPr>
                <w:rFonts w:hint="eastAsia" w:ascii="Times New Roman" w:eastAsia="仿宋"/>
                <w:szCs w:val="21"/>
              </w:rPr>
              <w:t>1</w:t>
            </w:r>
            <w:r>
              <w:rPr>
                <w:rFonts w:ascii="Times New Roman" w:eastAsia="仿宋"/>
                <w:szCs w:val="21"/>
              </w:rPr>
              <w:t>9.3</w:t>
            </w:r>
          </w:p>
        </w:tc>
      </w:tr>
      <w:tr w14:paraId="0891C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F449EB2">
            <w:pPr>
              <w:jc w:val="center"/>
              <w:rPr>
                <w:rFonts w:ascii="Times New Roman" w:eastAsia="仿宋"/>
                <w:szCs w:val="21"/>
              </w:rPr>
            </w:pPr>
            <w:r>
              <w:rPr>
                <w:rFonts w:ascii="Times New Roman" w:eastAsia="仿宋"/>
                <w:szCs w:val="21"/>
              </w:rPr>
              <w:t>下风向最大浓度出现距离/m</w:t>
            </w:r>
          </w:p>
        </w:tc>
        <w:tc>
          <w:tcPr>
            <w:tcW w:w="3622" w:type="pct"/>
            <w:gridSpan w:val="2"/>
            <w:vAlign w:val="center"/>
          </w:tcPr>
          <w:p w14:paraId="3B524955">
            <w:pPr>
              <w:jc w:val="center"/>
              <w:rPr>
                <w:rFonts w:ascii="Times New Roman" w:eastAsia="仿宋"/>
                <w:szCs w:val="21"/>
              </w:rPr>
            </w:pPr>
            <w:r>
              <w:rPr>
                <w:rFonts w:hint="eastAsia" w:ascii="Times New Roman" w:eastAsia="仿宋"/>
                <w:szCs w:val="21"/>
              </w:rPr>
              <w:t>167</w:t>
            </w:r>
          </w:p>
        </w:tc>
      </w:tr>
      <w:tr w14:paraId="719EE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6034117">
            <w:pPr>
              <w:jc w:val="center"/>
              <w:rPr>
                <w:rFonts w:ascii="Times New Roman" w:eastAsia="仿宋"/>
                <w:szCs w:val="21"/>
              </w:rPr>
            </w:pPr>
            <w:r>
              <w:rPr>
                <w:rFonts w:ascii="Times New Roman" w:eastAsia="仿宋"/>
                <w:szCs w:val="21"/>
              </w:rPr>
              <w:t>D10%最远距离/m</w:t>
            </w:r>
          </w:p>
        </w:tc>
        <w:tc>
          <w:tcPr>
            <w:tcW w:w="3622" w:type="pct"/>
            <w:gridSpan w:val="2"/>
            <w:vAlign w:val="center"/>
          </w:tcPr>
          <w:p w14:paraId="2E4D8DF9">
            <w:pPr>
              <w:jc w:val="center"/>
              <w:rPr>
                <w:rFonts w:ascii="Times New Roman" w:eastAsia="仿宋"/>
                <w:szCs w:val="21"/>
              </w:rPr>
            </w:pPr>
            <w:r>
              <w:rPr>
                <w:rFonts w:ascii="Times New Roman" w:eastAsia="仿宋"/>
                <w:szCs w:val="21"/>
              </w:rPr>
              <w:t>/</w:t>
            </w:r>
          </w:p>
        </w:tc>
      </w:tr>
    </w:tbl>
    <w:p w14:paraId="0E638A96">
      <w:pPr>
        <w:spacing w:line="500" w:lineRule="exact"/>
        <w:jc w:val="center"/>
        <w:rPr>
          <w:rFonts w:ascii="Times New Roman" w:eastAsia="仿宋"/>
          <w:b/>
        </w:rPr>
      </w:pPr>
      <w:r>
        <w:rPr>
          <w:rFonts w:hint="eastAsia" w:ascii="Times New Roman" w:eastAsia="仿宋"/>
          <w:b/>
        </w:rPr>
        <w:t>表</w:t>
      </w:r>
      <w:r>
        <w:rPr>
          <w:rFonts w:ascii="Times New Roman" w:eastAsia="仿宋"/>
          <w:b/>
        </w:rPr>
        <w:t>5.2-</w:t>
      </w:r>
      <w:r>
        <w:rPr>
          <w:rFonts w:hint="eastAsia" w:ascii="Times New Roman" w:eastAsia="仿宋"/>
          <w:b/>
        </w:rPr>
        <w:t>1</w:t>
      </w:r>
      <w:r>
        <w:rPr>
          <w:rFonts w:ascii="Times New Roman" w:eastAsia="仿宋"/>
          <w:b/>
        </w:rPr>
        <w:t xml:space="preserve">5  </w:t>
      </w:r>
      <w:r>
        <w:rPr>
          <w:rFonts w:hint="eastAsia" w:ascii="Times New Roman" w:eastAsia="仿宋"/>
          <w:b/>
        </w:rPr>
        <w:t>1号钣金车间估算模型计算结果表</w:t>
      </w:r>
    </w:p>
    <w:tbl>
      <w:tblPr>
        <w:tblStyle w:val="87"/>
        <w:tblW w:w="545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501"/>
        <w:gridCol w:w="3182"/>
        <w:gridCol w:w="3390"/>
      </w:tblGrid>
      <w:tr w14:paraId="5B3169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Merge w:val="restart"/>
            <w:vAlign w:val="center"/>
          </w:tcPr>
          <w:p w14:paraId="7EE81939">
            <w:pPr>
              <w:jc w:val="center"/>
              <w:rPr>
                <w:rFonts w:ascii="Times New Roman" w:eastAsia="仿宋"/>
                <w:szCs w:val="21"/>
              </w:rPr>
            </w:pPr>
            <w:r>
              <w:rPr>
                <w:rFonts w:ascii="Times New Roman" w:eastAsia="仿宋"/>
                <w:szCs w:val="21"/>
              </w:rPr>
              <w:t>距离(m)</w:t>
            </w:r>
          </w:p>
        </w:tc>
        <w:tc>
          <w:tcPr>
            <w:tcW w:w="3621" w:type="pct"/>
            <w:gridSpan w:val="2"/>
            <w:vAlign w:val="center"/>
          </w:tcPr>
          <w:p w14:paraId="0239ADD6">
            <w:pPr>
              <w:jc w:val="center"/>
              <w:rPr>
                <w:rFonts w:ascii="Times New Roman" w:eastAsia="仿宋"/>
                <w:szCs w:val="21"/>
              </w:rPr>
            </w:pPr>
            <w:r>
              <w:rPr>
                <w:rFonts w:hint="eastAsia" w:ascii="Times New Roman" w:eastAsia="仿宋"/>
                <w:szCs w:val="21"/>
              </w:rPr>
              <w:t>1号钣金车间</w:t>
            </w:r>
          </w:p>
        </w:tc>
      </w:tr>
      <w:tr w14:paraId="1BCB3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78" w:type="pct"/>
            <w:vMerge w:val="continue"/>
            <w:vAlign w:val="center"/>
          </w:tcPr>
          <w:p w14:paraId="4FABC8C6">
            <w:pPr>
              <w:jc w:val="center"/>
              <w:rPr>
                <w:rFonts w:ascii="Times New Roman" w:eastAsia="仿宋"/>
                <w:szCs w:val="21"/>
              </w:rPr>
            </w:pPr>
          </w:p>
        </w:tc>
        <w:tc>
          <w:tcPr>
            <w:tcW w:w="3621" w:type="pct"/>
            <w:gridSpan w:val="2"/>
            <w:vAlign w:val="center"/>
          </w:tcPr>
          <w:p w14:paraId="33952620">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r>
      <w:tr w14:paraId="6F835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78" w:type="pct"/>
            <w:vMerge w:val="continue"/>
            <w:vAlign w:val="center"/>
          </w:tcPr>
          <w:p w14:paraId="3B486FEC">
            <w:pPr>
              <w:jc w:val="center"/>
              <w:rPr>
                <w:rFonts w:ascii="Times New Roman" w:eastAsia="仿宋"/>
                <w:szCs w:val="21"/>
              </w:rPr>
            </w:pPr>
          </w:p>
        </w:tc>
        <w:tc>
          <w:tcPr>
            <w:tcW w:w="1753" w:type="pct"/>
            <w:vAlign w:val="center"/>
          </w:tcPr>
          <w:p w14:paraId="3A92329B">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1868" w:type="pct"/>
            <w:vAlign w:val="center"/>
          </w:tcPr>
          <w:p w14:paraId="7DF54403">
            <w:pPr>
              <w:jc w:val="center"/>
              <w:rPr>
                <w:rFonts w:ascii="Times New Roman" w:eastAsia="仿宋"/>
                <w:szCs w:val="21"/>
              </w:rPr>
            </w:pPr>
            <w:r>
              <w:rPr>
                <w:rFonts w:ascii="Times New Roman" w:eastAsia="仿宋"/>
                <w:szCs w:val="21"/>
              </w:rPr>
              <w:t>占标率(%)</w:t>
            </w:r>
          </w:p>
        </w:tc>
      </w:tr>
      <w:tr w14:paraId="350337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06D8CA5">
            <w:pPr>
              <w:jc w:val="center"/>
              <w:rPr>
                <w:rFonts w:ascii="Times New Roman" w:eastAsia="仿宋"/>
                <w:szCs w:val="21"/>
              </w:rPr>
            </w:pPr>
            <w:r>
              <w:rPr>
                <w:rFonts w:ascii="Times New Roman" w:eastAsia="仿宋"/>
                <w:szCs w:val="21"/>
              </w:rPr>
              <w:t>50</w:t>
            </w:r>
          </w:p>
        </w:tc>
        <w:tc>
          <w:tcPr>
            <w:tcW w:w="3182" w:type="dxa"/>
            <w:vAlign w:val="center"/>
          </w:tcPr>
          <w:p w14:paraId="51CF6D6A">
            <w:pPr>
              <w:jc w:val="center"/>
              <w:rPr>
                <w:rFonts w:ascii="Times New Roman" w:eastAsia="仿宋"/>
                <w:szCs w:val="21"/>
              </w:rPr>
            </w:pPr>
            <w:r>
              <w:rPr>
                <w:rFonts w:hint="eastAsia" w:ascii="Times New Roman" w:eastAsia="仿宋"/>
                <w:szCs w:val="21"/>
              </w:rPr>
              <w:t>0.11</w:t>
            </w:r>
          </w:p>
        </w:tc>
        <w:tc>
          <w:tcPr>
            <w:tcW w:w="3390" w:type="dxa"/>
            <w:vAlign w:val="center"/>
          </w:tcPr>
          <w:p w14:paraId="0C45E6E9">
            <w:pPr>
              <w:jc w:val="center"/>
              <w:rPr>
                <w:rFonts w:ascii="Times New Roman" w:eastAsia="仿宋"/>
                <w:szCs w:val="21"/>
              </w:rPr>
            </w:pPr>
            <w:r>
              <w:rPr>
                <w:rFonts w:hint="eastAsia" w:ascii="Times New Roman" w:eastAsia="仿宋"/>
                <w:szCs w:val="21"/>
              </w:rPr>
              <w:t>0.025</w:t>
            </w:r>
          </w:p>
        </w:tc>
      </w:tr>
      <w:tr w14:paraId="2FFD18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5B220E8">
            <w:pPr>
              <w:jc w:val="center"/>
              <w:rPr>
                <w:rFonts w:ascii="Times New Roman" w:eastAsia="仿宋"/>
                <w:szCs w:val="21"/>
              </w:rPr>
            </w:pPr>
            <w:r>
              <w:rPr>
                <w:rFonts w:ascii="Times New Roman" w:eastAsia="仿宋"/>
                <w:szCs w:val="21"/>
              </w:rPr>
              <w:t>100</w:t>
            </w:r>
          </w:p>
        </w:tc>
        <w:tc>
          <w:tcPr>
            <w:tcW w:w="3182" w:type="dxa"/>
            <w:vAlign w:val="center"/>
          </w:tcPr>
          <w:p w14:paraId="7021A3D6">
            <w:pPr>
              <w:jc w:val="center"/>
              <w:rPr>
                <w:rFonts w:ascii="Times New Roman" w:eastAsia="仿宋"/>
                <w:szCs w:val="21"/>
              </w:rPr>
            </w:pPr>
            <w:r>
              <w:rPr>
                <w:rFonts w:hint="eastAsia" w:ascii="Times New Roman" w:eastAsia="仿宋"/>
                <w:szCs w:val="21"/>
              </w:rPr>
              <w:t>0.36</w:t>
            </w:r>
          </w:p>
        </w:tc>
        <w:tc>
          <w:tcPr>
            <w:tcW w:w="3390" w:type="dxa"/>
            <w:vAlign w:val="center"/>
          </w:tcPr>
          <w:p w14:paraId="6DF6C2C3">
            <w:pPr>
              <w:jc w:val="center"/>
              <w:rPr>
                <w:rFonts w:ascii="Times New Roman" w:eastAsia="仿宋"/>
                <w:szCs w:val="21"/>
              </w:rPr>
            </w:pPr>
            <w:r>
              <w:rPr>
                <w:rFonts w:hint="eastAsia" w:ascii="Times New Roman" w:eastAsia="仿宋"/>
                <w:szCs w:val="21"/>
              </w:rPr>
              <w:t>0.081</w:t>
            </w:r>
          </w:p>
        </w:tc>
      </w:tr>
      <w:tr w14:paraId="3E489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6C2C736F">
            <w:pPr>
              <w:jc w:val="center"/>
              <w:rPr>
                <w:rFonts w:ascii="Times New Roman" w:eastAsia="仿宋"/>
                <w:szCs w:val="21"/>
              </w:rPr>
            </w:pPr>
            <w:r>
              <w:rPr>
                <w:rFonts w:hint="eastAsia" w:ascii="Times New Roman" w:eastAsia="仿宋"/>
                <w:szCs w:val="21"/>
              </w:rPr>
              <w:t>1</w:t>
            </w:r>
            <w:r>
              <w:rPr>
                <w:rFonts w:ascii="Times New Roman" w:eastAsia="仿宋"/>
                <w:szCs w:val="21"/>
              </w:rPr>
              <w:t>6</w:t>
            </w:r>
            <w:r>
              <w:rPr>
                <w:rFonts w:hint="eastAsia" w:ascii="Times New Roman" w:eastAsia="仿宋"/>
                <w:szCs w:val="21"/>
              </w:rPr>
              <w:t>0</w:t>
            </w:r>
          </w:p>
        </w:tc>
        <w:tc>
          <w:tcPr>
            <w:tcW w:w="3182" w:type="dxa"/>
            <w:vAlign w:val="center"/>
          </w:tcPr>
          <w:p w14:paraId="230F9549">
            <w:pPr>
              <w:jc w:val="center"/>
              <w:rPr>
                <w:rFonts w:ascii="Times New Roman" w:eastAsia="仿宋"/>
                <w:szCs w:val="21"/>
              </w:rPr>
            </w:pPr>
            <w:r>
              <w:rPr>
                <w:rFonts w:hint="eastAsia" w:ascii="Times New Roman" w:eastAsia="仿宋"/>
                <w:szCs w:val="21"/>
              </w:rPr>
              <w:t>0.53</w:t>
            </w:r>
          </w:p>
        </w:tc>
        <w:tc>
          <w:tcPr>
            <w:tcW w:w="3390" w:type="dxa"/>
            <w:vAlign w:val="center"/>
          </w:tcPr>
          <w:p w14:paraId="1CDFBE6C">
            <w:pPr>
              <w:jc w:val="center"/>
              <w:rPr>
                <w:rFonts w:ascii="Times New Roman" w:eastAsia="仿宋"/>
                <w:szCs w:val="21"/>
              </w:rPr>
            </w:pPr>
            <w:r>
              <w:rPr>
                <w:rFonts w:hint="eastAsia" w:ascii="Times New Roman" w:eastAsia="仿宋"/>
                <w:szCs w:val="21"/>
              </w:rPr>
              <w:t>0.118</w:t>
            </w:r>
          </w:p>
        </w:tc>
      </w:tr>
      <w:tr w14:paraId="0CB0D5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443B2E84">
            <w:pPr>
              <w:jc w:val="center"/>
              <w:rPr>
                <w:rFonts w:ascii="Times New Roman" w:eastAsia="仿宋"/>
                <w:szCs w:val="21"/>
              </w:rPr>
            </w:pPr>
            <w:r>
              <w:rPr>
                <w:rFonts w:ascii="Times New Roman" w:eastAsia="仿宋"/>
                <w:szCs w:val="21"/>
              </w:rPr>
              <w:t>200</w:t>
            </w:r>
          </w:p>
        </w:tc>
        <w:tc>
          <w:tcPr>
            <w:tcW w:w="3182" w:type="dxa"/>
            <w:vAlign w:val="center"/>
          </w:tcPr>
          <w:p w14:paraId="6045D4FA">
            <w:pPr>
              <w:jc w:val="center"/>
              <w:rPr>
                <w:rFonts w:ascii="Times New Roman" w:eastAsia="仿宋"/>
                <w:szCs w:val="21"/>
              </w:rPr>
            </w:pPr>
            <w:r>
              <w:rPr>
                <w:rFonts w:hint="eastAsia" w:ascii="Times New Roman" w:eastAsia="仿宋"/>
                <w:szCs w:val="21"/>
              </w:rPr>
              <w:t>0.51</w:t>
            </w:r>
          </w:p>
        </w:tc>
        <w:tc>
          <w:tcPr>
            <w:tcW w:w="3390" w:type="dxa"/>
            <w:vAlign w:val="center"/>
          </w:tcPr>
          <w:p w14:paraId="40420AFF">
            <w:pPr>
              <w:jc w:val="center"/>
              <w:rPr>
                <w:rFonts w:ascii="Times New Roman" w:eastAsia="仿宋"/>
                <w:szCs w:val="21"/>
              </w:rPr>
            </w:pPr>
            <w:r>
              <w:rPr>
                <w:rFonts w:hint="eastAsia" w:ascii="Times New Roman" w:eastAsia="仿宋"/>
                <w:szCs w:val="21"/>
              </w:rPr>
              <w:t>0.114</w:t>
            </w:r>
          </w:p>
        </w:tc>
      </w:tr>
      <w:tr w14:paraId="0E0AB5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6DC078DD">
            <w:pPr>
              <w:jc w:val="center"/>
              <w:rPr>
                <w:rFonts w:ascii="Times New Roman" w:eastAsia="仿宋"/>
                <w:szCs w:val="21"/>
              </w:rPr>
            </w:pPr>
            <w:r>
              <w:rPr>
                <w:rFonts w:ascii="Times New Roman" w:eastAsia="仿宋"/>
                <w:szCs w:val="21"/>
              </w:rPr>
              <w:t>300</w:t>
            </w:r>
          </w:p>
        </w:tc>
        <w:tc>
          <w:tcPr>
            <w:tcW w:w="3182" w:type="dxa"/>
            <w:vAlign w:val="center"/>
          </w:tcPr>
          <w:p w14:paraId="3E5DB971">
            <w:pPr>
              <w:jc w:val="center"/>
              <w:rPr>
                <w:rFonts w:ascii="Times New Roman" w:eastAsia="仿宋"/>
                <w:szCs w:val="21"/>
              </w:rPr>
            </w:pPr>
            <w:r>
              <w:rPr>
                <w:rFonts w:hint="eastAsia" w:ascii="Times New Roman" w:eastAsia="仿宋"/>
                <w:szCs w:val="21"/>
              </w:rPr>
              <w:t>0.41</w:t>
            </w:r>
          </w:p>
        </w:tc>
        <w:tc>
          <w:tcPr>
            <w:tcW w:w="3390" w:type="dxa"/>
            <w:vAlign w:val="center"/>
          </w:tcPr>
          <w:p w14:paraId="02A18012">
            <w:pPr>
              <w:jc w:val="center"/>
              <w:rPr>
                <w:rFonts w:ascii="Times New Roman" w:eastAsia="仿宋"/>
                <w:szCs w:val="21"/>
              </w:rPr>
            </w:pPr>
            <w:r>
              <w:rPr>
                <w:rFonts w:hint="eastAsia" w:ascii="Times New Roman" w:eastAsia="仿宋"/>
                <w:szCs w:val="21"/>
              </w:rPr>
              <w:t>0.09</w:t>
            </w:r>
          </w:p>
        </w:tc>
      </w:tr>
      <w:tr w14:paraId="101983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2ABEECC">
            <w:pPr>
              <w:jc w:val="center"/>
              <w:rPr>
                <w:rFonts w:ascii="Times New Roman" w:eastAsia="仿宋"/>
                <w:szCs w:val="21"/>
              </w:rPr>
            </w:pPr>
            <w:r>
              <w:rPr>
                <w:rFonts w:ascii="Times New Roman" w:eastAsia="仿宋"/>
                <w:szCs w:val="21"/>
              </w:rPr>
              <w:t>400</w:t>
            </w:r>
          </w:p>
        </w:tc>
        <w:tc>
          <w:tcPr>
            <w:tcW w:w="3182" w:type="dxa"/>
            <w:vAlign w:val="center"/>
          </w:tcPr>
          <w:p w14:paraId="54B9AFAB">
            <w:pPr>
              <w:jc w:val="center"/>
              <w:rPr>
                <w:rFonts w:ascii="Times New Roman" w:eastAsia="仿宋"/>
                <w:szCs w:val="21"/>
              </w:rPr>
            </w:pPr>
            <w:r>
              <w:rPr>
                <w:rFonts w:hint="eastAsia" w:ascii="Times New Roman" w:eastAsia="仿宋"/>
                <w:szCs w:val="21"/>
              </w:rPr>
              <w:t>0.35</w:t>
            </w:r>
          </w:p>
        </w:tc>
        <w:tc>
          <w:tcPr>
            <w:tcW w:w="3390" w:type="dxa"/>
            <w:vAlign w:val="center"/>
          </w:tcPr>
          <w:p w14:paraId="3E72659F">
            <w:pPr>
              <w:jc w:val="center"/>
              <w:rPr>
                <w:rFonts w:ascii="Times New Roman" w:eastAsia="仿宋"/>
                <w:szCs w:val="21"/>
              </w:rPr>
            </w:pPr>
            <w:r>
              <w:rPr>
                <w:rFonts w:hint="eastAsia" w:ascii="Times New Roman" w:eastAsia="仿宋"/>
                <w:szCs w:val="21"/>
              </w:rPr>
              <w:t>0.078</w:t>
            </w:r>
          </w:p>
        </w:tc>
      </w:tr>
      <w:tr w14:paraId="26F9DC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5687C50">
            <w:pPr>
              <w:jc w:val="center"/>
              <w:rPr>
                <w:rFonts w:ascii="Times New Roman" w:eastAsia="仿宋"/>
                <w:szCs w:val="21"/>
              </w:rPr>
            </w:pPr>
            <w:r>
              <w:rPr>
                <w:rFonts w:ascii="Times New Roman" w:eastAsia="仿宋"/>
                <w:szCs w:val="21"/>
              </w:rPr>
              <w:t>500</w:t>
            </w:r>
          </w:p>
        </w:tc>
        <w:tc>
          <w:tcPr>
            <w:tcW w:w="3182" w:type="dxa"/>
            <w:vAlign w:val="center"/>
          </w:tcPr>
          <w:p w14:paraId="5752D6CA">
            <w:pPr>
              <w:jc w:val="center"/>
              <w:rPr>
                <w:rFonts w:ascii="Times New Roman" w:eastAsia="仿宋"/>
                <w:szCs w:val="21"/>
              </w:rPr>
            </w:pPr>
            <w:r>
              <w:rPr>
                <w:rFonts w:hint="eastAsia" w:ascii="Times New Roman" w:eastAsia="仿宋"/>
                <w:szCs w:val="21"/>
              </w:rPr>
              <w:t>0.31</w:t>
            </w:r>
          </w:p>
        </w:tc>
        <w:tc>
          <w:tcPr>
            <w:tcW w:w="3390" w:type="dxa"/>
            <w:vAlign w:val="center"/>
          </w:tcPr>
          <w:p w14:paraId="5C7FEF16">
            <w:pPr>
              <w:jc w:val="center"/>
              <w:rPr>
                <w:rFonts w:ascii="Times New Roman" w:eastAsia="仿宋"/>
                <w:szCs w:val="21"/>
              </w:rPr>
            </w:pPr>
            <w:r>
              <w:rPr>
                <w:rFonts w:hint="eastAsia" w:ascii="Times New Roman" w:eastAsia="仿宋"/>
                <w:szCs w:val="21"/>
              </w:rPr>
              <w:t>0.068</w:t>
            </w:r>
          </w:p>
        </w:tc>
      </w:tr>
      <w:tr w14:paraId="768D4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CF50DEC">
            <w:pPr>
              <w:jc w:val="center"/>
              <w:rPr>
                <w:rFonts w:ascii="Times New Roman" w:eastAsia="仿宋"/>
                <w:szCs w:val="21"/>
              </w:rPr>
            </w:pPr>
            <w:r>
              <w:rPr>
                <w:rFonts w:ascii="Times New Roman" w:eastAsia="仿宋"/>
                <w:szCs w:val="21"/>
              </w:rPr>
              <w:t>600</w:t>
            </w:r>
          </w:p>
        </w:tc>
        <w:tc>
          <w:tcPr>
            <w:tcW w:w="3182" w:type="dxa"/>
            <w:vAlign w:val="center"/>
          </w:tcPr>
          <w:p w14:paraId="307A5F26">
            <w:pPr>
              <w:jc w:val="center"/>
              <w:rPr>
                <w:rFonts w:ascii="Times New Roman" w:eastAsia="仿宋"/>
                <w:szCs w:val="21"/>
              </w:rPr>
            </w:pPr>
            <w:r>
              <w:rPr>
                <w:rFonts w:hint="eastAsia" w:ascii="Times New Roman" w:eastAsia="仿宋"/>
                <w:szCs w:val="21"/>
              </w:rPr>
              <w:t>0.27</w:t>
            </w:r>
          </w:p>
        </w:tc>
        <w:tc>
          <w:tcPr>
            <w:tcW w:w="3390" w:type="dxa"/>
            <w:vAlign w:val="center"/>
          </w:tcPr>
          <w:p w14:paraId="2C480A56">
            <w:pPr>
              <w:jc w:val="center"/>
              <w:rPr>
                <w:rFonts w:ascii="Times New Roman" w:eastAsia="仿宋"/>
                <w:szCs w:val="21"/>
              </w:rPr>
            </w:pPr>
            <w:r>
              <w:rPr>
                <w:rFonts w:hint="eastAsia" w:ascii="Times New Roman" w:eastAsia="仿宋"/>
                <w:szCs w:val="21"/>
              </w:rPr>
              <w:t>0.058</w:t>
            </w:r>
          </w:p>
        </w:tc>
      </w:tr>
      <w:tr w14:paraId="30C53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7437CEE2">
            <w:pPr>
              <w:jc w:val="center"/>
              <w:rPr>
                <w:rFonts w:ascii="Times New Roman" w:eastAsia="仿宋"/>
                <w:szCs w:val="21"/>
              </w:rPr>
            </w:pPr>
            <w:r>
              <w:rPr>
                <w:rFonts w:ascii="Times New Roman" w:eastAsia="仿宋"/>
                <w:szCs w:val="21"/>
              </w:rPr>
              <w:t>700</w:t>
            </w:r>
          </w:p>
        </w:tc>
        <w:tc>
          <w:tcPr>
            <w:tcW w:w="3182" w:type="dxa"/>
            <w:vAlign w:val="center"/>
          </w:tcPr>
          <w:p w14:paraId="55C42C04">
            <w:pPr>
              <w:jc w:val="center"/>
              <w:rPr>
                <w:rFonts w:ascii="Times New Roman" w:eastAsia="仿宋"/>
                <w:szCs w:val="21"/>
              </w:rPr>
            </w:pPr>
            <w:r>
              <w:rPr>
                <w:rFonts w:hint="eastAsia" w:ascii="Times New Roman" w:eastAsia="仿宋"/>
                <w:szCs w:val="21"/>
              </w:rPr>
              <w:t>0.23</w:t>
            </w:r>
          </w:p>
        </w:tc>
        <w:tc>
          <w:tcPr>
            <w:tcW w:w="3390" w:type="dxa"/>
            <w:vAlign w:val="center"/>
          </w:tcPr>
          <w:p w14:paraId="3AE4D2CF">
            <w:pPr>
              <w:jc w:val="center"/>
              <w:rPr>
                <w:rFonts w:ascii="Times New Roman" w:eastAsia="仿宋"/>
                <w:szCs w:val="21"/>
              </w:rPr>
            </w:pPr>
            <w:r>
              <w:rPr>
                <w:rFonts w:hint="eastAsia" w:ascii="Times New Roman" w:eastAsia="仿宋"/>
                <w:szCs w:val="21"/>
              </w:rPr>
              <w:t>0.051</w:t>
            </w:r>
          </w:p>
        </w:tc>
      </w:tr>
      <w:tr w14:paraId="2FC92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4C3748E">
            <w:pPr>
              <w:jc w:val="center"/>
              <w:rPr>
                <w:rFonts w:ascii="Times New Roman" w:eastAsia="仿宋"/>
                <w:szCs w:val="21"/>
              </w:rPr>
            </w:pPr>
            <w:r>
              <w:rPr>
                <w:rFonts w:ascii="Times New Roman" w:eastAsia="仿宋"/>
                <w:szCs w:val="21"/>
              </w:rPr>
              <w:t>800</w:t>
            </w:r>
          </w:p>
        </w:tc>
        <w:tc>
          <w:tcPr>
            <w:tcW w:w="3182" w:type="dxa"/>
            <w:vAlign w:val="center"/>
          </w:tcPr>
          <w:p w14:paraId="386506B0">
            <w:pPr>
              <w:jc w:val="center"/>
              <w:rPr>
                <w:rFonts w:ascii="Times New Roman" w:eastAsia="仿宋"/>
                <w:szCs w:val="21"/>
              </w:rPr>
            </w:pPr>
            <w:r>
              <w:rPr>
                <w:rFonts w:hint="eastAsia" w:ascii="Times New Roman" w:eastAsia="仿宋"/>
                <w:szCs w:val="21"/>
              </w:rPr>
              <w:t>0.20</w:t>
            </w:r>
          </w:p>
        </w:tc>
        <w:tc>
          <w:tcPr>
            <w:tcW w:w="3390" w:type="dxa"/>
            <w:vAlign w:val="center"/>
          </w:tcPr>
          <w:p w14:paraId="28BDB5DC">
            <w:pPr>
              <w:jc w:val="center"/>
              <w:rPr>
                <w:rFonts w:ascii="Times New Roman" w:eastAsia="仿宋"/>
                <w:szCs w:val="21"/>
              </w:rPr>
            </w:pPr>
            <w:r>
              <w:rPr>
                <w:rFonts w:hint="eastAsia" w:ascii="Times New Roman" w:eastAsia="仿宋"/>
                <w:szCs w:val="21"/>
              </w:rPr>
              <w:t>0.045</w:t>
            </w:r>
          </w:p>
        </w:tc>
      </w:tr>
      <w:tr w14:paraId="27418C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25EE0DC">
            <w:pPr>
              <w:jc w:val="center"/>
              <w:rPr>
                <w:rFonts w:ascii="Times New Roman" w:eastAsia="仿宋"/>
                <w:szCs w:val="21"/>
              </w:rPr>
            </w:pPr>
            <w:r>
              <w:rPr>
                <w:rFonts w:ascii="Times New Roman" w:eastAsia="仿宋"/>
                <w:szCs w:val="21"/>
              </w:rPr>
              <w:t>900</w:t>
            </w:r>
          </w:p>
        </w:tc>
        <w:tc>
          <w:tcPr>
            <w:tcW w:w="3182" w:type="dxa"/>
            <w:vAlign w:val="center"/>
          </w:tcPr>
          <w:p w14:paraId="0191DC57">
            <w:pPr>
              <w:jc w:val="center"/>
              <w:rPr>
                <w:rFonts w:ascii="Times New Roman" w:eastAsia="仿宋"/>
                <w:szCs w:val="21"/>
              </w:rPr>
            </w:pPr>
            <w:r>
              <w:rPr>
                <w:rFonts w:hint="eastAsia" w:ascii="Times New Roman" w:eastAsia="仿宋"/>
                <w:szCs w:val="21"/>
              </w:rPr>
              <w:t>0.18</w:t>
            </w:r>
          </w:p>
        </w:tc>
        <w:tc>
          <w:tcPr>
            <w:tcW w:w="3390" w:type="dxa"/>
            <w:vAlign w:val="center"/>
          </w:tcPr>
          <w:p w14:paraId="76CE1BE5">
            <w:pPr>
              <w:jc w:val="center"/>
              <w:rPr>
                <w:rFonts w:ascii="Times New Roman" w:eastAsia="仿宋"/>
                <w:szCs w:val="21"/>
              </w:rPr>
            </w:pPr>
            <w:r>
              <w:rPr>
                <w:rFonts w:hint="eastAsia" w:ascii="Times New Roman" w:eastAsia="仿宋"/>
                <w:szCs w:val="21"/>
              </w:rPr>
              <w:t>0.041</w:t>
            </w:r>
          </w:p>
        </w:tc>
      </w:tr>
      <w:tr w14:paraId="50087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8CB65AF">
            <w:pPr>
              <w:jc w:val="center"/>
              <w:rPr>
                <w:rFonts w:ascii="Times New Roman" w:eastAsia="仿宋"/>
                <w:szCs w:val="21"/>
              </w:rPr>
            </w:pPr>
            <w:r>
              <w:rPr>
                <w:rFonts w:ascii="Times New Roman" w:eastAsia="仿宋"/>
                <w:szCs w:val="21"/>
              </w:rPr>
              <w:t>1000</w:t>
            </w:r>
          </w:p>
        </w:tc>
        <w:tc>
          <w:tcPr>
            <w:tcW w:w="3182" w:type="dxa"/>
            <w:vAlign w:val="center"/>
          </w:tcPr>
          <w:p w14:paraId="247D8B94">
            <w:pPr>
              <w:jc w:val="center"/>
              <w:rPr>
                <w:rFonts w:ascii="Times New Roman" w:eastAsia="仿宋"/>
                <w:szCs w:val="21"/>
              </w:rPr>
            </w:pPr>
            <w:r>
              <w:rPr>
                <w:rFonts w:hint="eastAsia" w:ascii="Times New Roman" w:eastAsia="仿宋"/>
                <w:szCs w:val="21"/>
              </w:rPr>
              <w:t>0.17</w:t>
            </w:r>
          </w:p>
        </w:tc>
        <w:tc>
          <w:tcPr>
            <w:tcW w:w="3390" w:type="dxa"/>
            <w:vAlign w:val="center"/>
          </w:tcPr>
          <w:p w14:paraId="58380117">
            <w:pPr>
              <w:jc w:val="center"/>
              <w:rPr>
                <w:rFonts w:ascii="Times New Roman" w:eastAsia="仿宋"/>
                <w:szCs w:val="21"/>
              </w:rPr>
            </w:pPr>
            <w:r>
              <w:rPr>
                <w:rFonts w:hint="eastAsia" w:ascii="Times New Roman" w:eastAsia="仿宋"/>
                <w:szCs w:val="21"/>
              </w:rPr>
              <w:t>0.037</w:t>
            </w:r>
          </w:p>
        </w:tc>
      </w:tr>
      <w:tr w14:paraId="73F8F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29918D4D">
            <w:pPr>
              <w:jc w:val="center"/>
              <w:rPr>
                <w:rFonts w:ascii="Times New Roman" w:eastAsia="仿宋"/>
                <w:szCs w:val="21"/>
              </w:rPr>
            </w:pPr>
            <w:r>
              <w:rPr>
                <w:rFonts w:ascii="Times New Roman" w:eastAsia="仿宋"/>
                <w:szCs w:val="21"/>
              </w:rPr>
              <w:t>1200</w:t>
            </w:r>
          </w:p>
        </w:tc>
        <w:tc>
          <w:tcPr>
            <w:tcW w:w="3182" w:type="dxa"/>
            <w:vAlign w:val="center"/>
          </w:tcPr>
          <w:p w14:paraId="74203192">
            <w:pPr>
              <w:jc w:val="center"/>
              <w:rPr>
                <w:rFonts w:ascii="Times New Roman" w:eastAsia="仿宋"/>
                <w:szCs w:val="21"/>
              </w:rPr>
            </w:pPr>
            <w:r>
              <w:rPr>
                <w:rFonts w:hint="eastAsia" w:ascii="Times New Roman" w:eastAsia="仿宋"/>
                <w:szCs w:val="21"/>
              </w:rPr>
              <w:t>0.15</w:t>
            </w:r>
          </w:p>
        </w:tc>
        <w:tc>
          <w:tcPr>
            <w:tcW w:w="3390" w:type="dxa"/>
            <w:vAlign w:val="center"/>
          </w:tcPr>
          <w:p w14:paraId="6B213E8C">
            <w:pPr>
              <w:jc w:val="center"/>
              <w:rPr>
                <w:rFonts w:ascii="Times New Roman" w:eastAsia="仿宋"/>
                <w:szCs w:val="21"/>
              </w:rPr>
            </w:pPr>
            <w:r>
              <w:rPr>
                <w:rFonts w:hint="eastAsia" w:ascii="Times New Roman" w:eastAsia="仿宋"/>
                <w:szCs w:val="21"/>
              </w:rPr>
              <w:t>0.032</w:t>
            </w:r>
          </w:p>
        </w:tc>
      </w:tr>
      <w:tr w14:paraId="2E2E12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CA0134E">
            <w:pPr>
              <w:jc w:val="center"/>
              <w:rPr>
                <w:rFonts w:ascii="Times New Roman" w:eastAsia="仿宋"/>
                <w:szCs w:val="21"/>
              </w:rPr>
            </w:pPr>
            <w:r>
              <w:rPr>
                <w:rFonts w:ascii="Times New Roman" w:eastAsia="仿宋"/>
                <w:szCs w:val="21"/>
              </w:rPr>
              <w:t>1400</w:t>
            </w:r>
          </w:p>
        </w:tc>
        <w:tc>
          <w:tcPr>
            <w:tcW w:w="3182" w:type="dxa"/>
            <w:vAlign w:val="center"/>
          </w:tcPr>
          <w:p w14:paraId="1EDA7B46">
            <w:pPr>
              <w:jc w:val="center"/>
              <w:rPr>
                <w:rFonts w:ascii="Times New Roman" w:eastAsia="仿宋"/>
                <w:szCs w:val="21"/>
              </w:rPr>
            </w:pPr>
            <w:r>
              <w:rPr>
                <w:rFonts w:hint="eastAsia" w:ascii="Times New Roman" w:eastAsia="仿宋"/>
                <w:szCs w:val="21"/>
              </w:rPr>
              <w:t>0.13</w:t>
            </w:r>
          </w:p>
        </w:tc>
        <w:tc>
          <w:tcPr>
            <w:tcW w:w="3390" w:type="dxa"/>
            <w:vAlign w:val="center"/>
          </w:tcPr>
          <w:p w14:paraId="38953E3E">
            <w:pPr>
              <w:jc w:val="center"/>
              <w:rPr>
                <w:rFonts w:ascii="Times New Roman" w:eastAsia="仿宋"/>
                <w:szCs w:val="21"/>
              </w:rPr>
            </w:pPr>
            <w:r>
              <w:rPr>
                <w:rFonts w:hint="eastAsia" w:ascii="Times New Roman" w:eastAsia="仿宋"/>
                <w:szCs w:val="21"/>
              </w:rPr>
              <w:t>0.028</w:t>
            </w:r>
          </w:p>
        </w:tc>
      </w:tr>
      <w:tr w14:paraId="425628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18F9E95">
            <w:pPr>
              <w:jc w:val="center"/>
              <w:rPr>
                <w:rFonts w:ascii="Times New Roman" w:eastAsia="仿宋"/>
                <w:szCs w:val="21"/>
              </w:rPr>
            </w:pPr>
            <w:r>
              <w:rPr>
                <w:rFonts w:ascii="Times New Roman" w:eastAsia="仿宋"/>
                <w:szCs w:val="21"/>
              </w:rPr>
              <w:t>1600</w:t>
            </w:r>
          </w:p>
        </w:tc>
        <w:tc>
          <w:tcPr>
            <w:tcW w:w="3182" w:type="dxa"/>
            <w:vAlign w:val="center"/>
          </w:tcPr>
          <w:p w14:paraId="23D8C944">
            <w:pPr>
              <w:jc w:val="center"/>
              <w:rPr>
                <w:rFonts w:ascii="Times New Roman" w:eastAsia="仿宋"/>
                <w:szCs w:val="21"/>
              </w:rPr>
            </w:pPr>
            <w:r>
              <w:rPr>
                <w:rFonts w:hint="eastAsia" w:ascii="Times New Roman" w:eastAsia="仿宋"/>
                <w:szCs w:val="21"/>
              </w:rPr>
              <w:t>0.12</w:t>
            </w:r>
          </w:p>
        </w:tc>
        <w:tc>
          <w:tcPr>
            <w:tcW w:w="3390" w:type="dxa"/>
            <w:vAlign w:val="center"/>
          </w:tcPr>
          <w:p w14:paraId="68FEEA79">
            <w:pPr>
              <w:jc w:val="center"/>
              <w:rPr>
                <w:rFonts w:ascii="Times New Roman" w:eastAsia="仿宋"/>
                <w:szCs w:val="21"/>
              </w:rPr>
            </w:pPr>
            <w:r>
              <w:rPr>
                <w:rFonts w:hint="eastAsia" w:ascii="Times New Roman" w:eastAsia="仿宋"/>
                <w:szCs w:val="21"/>
              </w:rPr>
              <w:t>0.026</w:t>
            </w:r>
          </w:p>
        </w:tc>
      </w:tr>
      <w:tr w14:paraId="26360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1D23F67">
            <w:pPr>
              <w:jc w:val="center"/>
              <w:rPr>
                <w:rFonts w:ascii="Times New Roman" w:eastAsia="仿宋"/>
                <w:szCs w:val="21"/>
              </w:rPr>
            </w:pPr>
            <w:r>
              <w:rPr>
                <w:rFonts w:ascii="Times New Roman" w:eastAsia="仿宋"/>
                <w:szCs w:val="21"/>
              </w:rPr>
              <w:t>1800</w:t>
            </w:r>
          </w:p>
        </w:tc>
        <w:tc>
          <w:tcPr>
            <w:tcW w:w="3182" w:type="dxa"/>
            <w:vAlign w:val="center"/>
          </w:tcPr>
          <w:p w14:paraId="5A35FA59">
            <w:pPr>
              <w:jc w:val="center"/>
              <w:rPr>
                <w:rFonts w:ascii="Times New Roman" w:eastAsia="仿宋"/>
                <w:szCs w:val="21"/>
              </w:rPr>
            </w:pPr>
            <w:r>
              <w:rPr>
                <w:rFonts w:hint="eastAsia" w:ascii="Times New Roman" w:eastAsia="仿宋"/>
                <w:szCs w:val="21"/>
              </w:rPr>
              <w:t>0.11</w:t>
            </w:r>
          </w:p>
        </w:tc>
        <w:tc>
          <w:tcPr>
            <w:tcW w:w="3390" w:type="dxa"/>
            <w:vAlign w:val="center"/>
          </w:tcPr>
          <w:p w14:paraId="22B49566">
            <w:pPr>
              <w:jc w:val="center"/>
              <w:rPr>
                <w:rFonts w:ascii="Times New Roman" w:eastAsia="仿宋"/>
                <w:szCs w:val="21"/>
              </w:rPr>
            </w:pPr>
            <w:r>
              <w:rPr>
                <w:rFonts w:hint="eastAsia" w:ascii="Times New Roman" w:eastAsia="仿宋"/>
                <w:szCs w:val="21"/>
              </w:rPr>
              <w:t>0.023</w:t>
            </w:r>
          </w:p>
        </w:tc>
      </w:tr>
      <w:tr w14:paraId="478049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53FF704B">
            <w:pPr>
              <w:jc w:val="center"/>
              <w:rPr>
                <w:rFonts w:ascii="Times New Roman" w:eastAsia="仿宋"/>
                <w:szCs w:val="21"/>
              </w:rPr>
            </w:pPr>
            <w:r>
              <w:rPr>
                <w:rFonts w:ascii="Times New Roman" w:eastAsia="仿宋"/>
                <w:szCs w:val="21"/>
              </w:rPr>
              <w:t>2000</w:t>
            </w:r>
          </w:p>
        </w:tc>
        <w:tc>
          <w:tcPr>
            <w:tcW w:w="3182" w:type="dxa"/>
            <w:vAlign w:val="center"/>
          </w:tcPr>
          <w:p w14:paraId="654368D7">
            <w:pPr>
              <w:jc w:val="center"/>
              <w:rPr>
                <w:rFonts w:ascii="Times New Roman" w:eastAsia="仿宋"/>
                <w:szCs w:val="21"/>
              </w:rPr>
            </w:pPr>
            <w:r>
              <w:rPr>
                <w:rFonts w:hint="eastAsia" w:ascii="Times New Roman" w:eastAsia="仿宋"/>
                <w:szCs w:val="21"/>
              </w:rPr>
              <w:t>0.10</w:t>
            </w:r>
          </w:p>
        </w:tc>
        <w:tc>
          <w:tcPr>
            <w:tcW w:w="3390" w:type="dxa"/>
            <w:vAlign w:val="center"/>
          </w:tcPr>
          <w:p w14:paraId="54AC3288">
            <w:pPr>
              <w:jc w:val="center"/>
              <w:rPr>
                <w:rFonts w:ascii="Times New Roman" w:eastAsia="仿宋"/>
                <w:szCs w:val="21"/>
              </w:rPr>
            </w:pPr>
            <w:r>
              <w:rPr>
                <w:rFonts w:hint="eastAsia" w:ascii="Times New Roman" w:eastAsia="仿宋"/>
                <w:szCs w:val="21"/>
              </w:rPr>
              <w:t>0.022</w:t>
            </w:r>
          </w:p>
        </w:tc>
      </w:tr>
      <w:tr w14:paraId="4E177B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3B691DDC">
            <w:pPr>
              <w:jc w:val="center"/>
              <w:rPr>
                <w:rFonts w:ascii="Times New Roman" w:eastAsia="仿宋"/>
                <w:szCs w:val="21"/>
              </w:rPr>
            </w:pPr>
            <w:r>
              <w:rPr>
                <w:rFonts w:ascii="Times New Roman" w:eastAsia="仿宋"/>
                <w:szCs w:val="21"/>
              </w:rPr>
              <w:t>2500</w:t>
            </w:r>
          </w:p>
        </w:tc>
        <w:tc>
          <w:tcPr>
            <w:tcW w:w="3182" w:type="dxa"/>
            <w:vAlign w:val="center"/>
          </w:tcPr>
          <w:p w14:paraId="79E3337E">
            <w:pPr>
              <w:jc w:val="center"/>
              <w:rPr>
                <w:rFonts w:ascii="Times New Roman" w:eastAsia="仿宋"/>
                <w:szCs w:val="21"/>
              </w:rPr>
            </w:pPr>
            <w:r>
              <w:rPr>
                <w:rFonts w:hint="eastAsia" w:ascii="Times New Roman" w:eastAsia="仿宋"/>
                <w:szCs w:val="21"/>
              </w:rPr>
              <w:t>0.08</w:t>
            </w:r>
          </w:p>
        </w:tc>
        <w:tc>
          <w:tcPr>
            <w:tcW w:w="3390" w:type="dxa"/>
            <w:vAlign w:val="center"/>
          </w:tcPr>
          <w:p w14:paraId="3E87541E">
            <w:pPr>
              <w:jc w:val="center"/>
              <w:rPr>
                <w:rFonts w:ascii="Times New Roman" w:eastAsia="仿宋"/>
                <w:szCs w:val="21"/>
              </w:rPr>
            </w:pPr>
            <w:r>
              <w:rPr>
                <w:rFonts w:hint="eastAsia" w:ascii="Times New Roman" w:eastAsia="仿宋"/>
                <w:szCs w:val="21"/>
              </w:rPr>
              <w:t>0.018</w:t>
            </w:r>
          </w:p>
        </w:tc>
      </w:tr>
      <w:tr w14:paraId="07FA64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0A8008DE">
            <w:pPr>
              <w:jc w:val="center"/>
              <w:rPr>
                <w:rFonts w:ascii="Times New Roman" w:eastAsia="仿宋"/>
                <w:szCs w:val="21"/>
              </w:rPr>
            </w:pPr>
            <w:r>
              <w:rPr>
                <w:rFonts w:ascii="Times New Roman" w:eastAsia="仿宋"/>
                <w:szCs w:val="21"/>
              </w:rPr>
              <w:t>下风向最大浓度</w:t>
            </w:r>
          </w:p>
        </w:tc>
        <w:tc>
          <w:tcPr>
            <w:tcW w:w="3621" w:type="pct"/>
            <w:gridSpan w:val="2"/>
            <w:vAlign w:val="center"/>
          </w:tcPr>
          <w:p w14:paraId="11F9560E">
            <w:pPr>
              <w:jc w:val="center"/>
              <w:rPr>
                <w:rFonts w:ascii="Times New Roman" w:eastAsia="仿宋"/>
                <w:szCs w:val="21"/>
              </w:rPr>
            </w:pPr>
            <w:r>
              <w:rPr>
                <w:rFonts w:hint="eastAsia" w:ascii="Times New Roman" w:eastAsia="仿宋"/>
                <w:szCs w:val="21"/>
              </w:rPr>
              <w:t>0.53</w:t>
            </w:r>
          </w:p>
        </w:tc>
      </w:tr>
      <w:tr w14:paraId="233CD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43D80387">
            <w:pPr>
              <w:jc w:val="center"/>
              <w:rPr>
                <w:rFonts w:ascii="Times New Roman" w:eastAsia="仿宋"/>
                <w:szCs w:val="21"/>
              </w:rPr>
            </w:pPr>
            <w:r>
              <w:rPr>
                <w:rFonts w:ascii="Times New Roman" w:eastAsia="仿宋"/>
                <w:szCs w:val="21"/>
              </w:rPr>
              <w:t>下风向最大浓度出现距离/m</w:t>
            </w:r>
          </w:p>
        </w:tc>
        <w:tc>
          <w:tcPr>
            <w:tcW w:w="3621" w:type="pct"/>
            <w:gridSpan w:val="2"/>
            <w:vAlign w:val="center"/>
          </w:tcPr>
          <w:p w14:paraId="696E468C">
            <w:pPr>
              <w:jc w:val="center"/>
              <w:rPr>
                <w:rFonts w:ascii="Times New Roman" w:eastAsia="仿宋"/>
                <w:szCs w:val="21"/>
              </w:rPr>
            </w:pPr>
            <w:r>
              <w:rPr>
                <w:rFonts w:hint="eastAsia" w:ascii="Times New Roman" w:eastAsia="仿宋"/>
                <w:szCs w:val="21"/>
              </w:rPr>
              <w:t>160</w:t>
            </w:r>
          </w:p>
        </w:tc>
      </w:tr>
      <w:tr w14:paraId="0C88A5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78" w:type="pct"/>
            <w:vAlign w:val="center"/>
          </w:tcPr>
          <w:p w14:paraId="61C2136D">
            <w:pPr>
              <w:jc w:val="center"/>
              <w:rPr>
                <w:rFonts w:ascii="Times New Roman" w:eastAsia="仿宋"/>
                <w:szCs w:val="21"/>
              </w:rPr>
            </w:pPr>
            <w:r>
              <w:rPr>
                <w:rFonts w:ascii="Times New Roman" w:eastAsia="仿宋"/>
                <w:szCs w:val="21"/>
              </w:rPr>
              <w:t>D10%最远距离/m</w:t>
            </w:r>
          </w:p>
        </w:tc>
        <w:tc>
          <w:tcPr>
            <w:tcW w:w="3621" w:type="pct"/>
            <w:gridSpan w:val="2"/>
            <w:vAlign w:val="center"/>
          </w:tcPr>
          <w:p w14:paraId="5CC99EEF">
            <w:pPr>
              <w:jc w:val="center"/>
              <w:rPr>
                <w:rFonts w:ascii="Times New Roman" w:eastAsia="仿宋"/>
                <w:szCs w:val="21"/>
              </w:rPr>
            </w:pPr>
            <w:r>
              <w:rPr>
                <w:rFonts w:ascii="Times New Roman" w:eastAsia="仿宋"/>
                <w:szCs w:val="21"/>
              </w:rPr>
              <w:t>/</w:t>
            </w:r>
          </w:p>
        </w:tc>
      </w:tr>
    </w:tbl>
    <w:p w14:paraId="177AF8DF">
      <w:pPr>
        <w:spacing w:line="500" w:lineRule="exact"/>
        <w:jc w:val="center"/>
        <w:rPr>
          <w:rFonts w:ascii="Times New Roman" w:eastAsia="仿宋"/>
          <w:b/>
        </w:rPr>
      </w:pPr>
      <w:r>
        <w:rPr>
          <w:rFonts w:hint="eastAsia" w:ascii="Times New Roman" w:eastAsia="仿宋"/>
          <w:b/>
        </w:rPr>
        <w:t>表</w:t>
      </w:r>
      <w:r>
        <w:rPr>
          <w:rFonts w:ascii="Times New Roman" w:eastAsia="仿宋"/>
          <w:b/>
        </w:rPr>
        <w:t>5.2-</w:t>
      </w:r>
      <w:r>
        <w:rPr>
          <w:rFonts w:hint="eastAsia" w:ascii="Times New Roman" w:eastAsia="仿宋"/>
          <w:b/>
        </w:rPr>
        <w:t>1</w:t>
      </w:r>
      <w:r>
        <w:rPr>
          <w:rFonts w:ascii="Times New Roman" w:eastAsia="仿宋"/>
          <w:b/>
        </w:rPr>
        <w:t xml:space="preserve">6  </w:t>
      </w:r>
      <w:r>
        <w:rPr>
          <w:rFonts w:hint="eastAsia" w:ascii="Times New Roman" w:eastAsia="仿宋"/>
          <w:b/>
        </w:rPr>
        <w:t>2号钣金车间估算模型计算结果表</w:t>
      </w:r>
    </w:p>
    <w:tbl>
      <w:tblPr>
        <w:tblStyle w:val="87"/>
        <w:tblW w:w="54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501"/>
        <w:gridCol w:w="3181"/>
        <w:gridCol w:w="3453"/>
      </w:tblGrid>
      <w:tr w14:paraId="7D372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Merge w:val="restart"/>
            <w:vAlign w:val="center"/>
          </w:tcPr>
          <w:p w14:paraId="69730082">
            <w:pPr>
              <w:jc w:val="center"/>
              <w:rPr>
                <w:rFonts w:ascii="Times New Roman" w:eastAsia="仿宋"/>
                <w:szCs w:val="21"/>
              </w:rPr>
            </w:pPr>
            <w:r>
              <w:rPr>
                <w:rFonts w:ascii="Times New Roman" w:eastAsia="仿宋"/>
                <w:szCs w:val="21"/>
              </w:rPr>
              <w:t>距离(m)</w:t>
            </w:r>
          </w:p>
        </w:tc>
        <w:tc>
          <w:tcPr>
            <w:tcW w:w="3631" w:type="pct"/>
            <w:gridSpan w:val="2"/>
            <w:vAlign w:val="center"/>
          </w:tcPr>
          <w:p w14:paraId="44446C49">
            <w:pPr>
              <w:jc w:val="center"/>
              <w:rPr>
                <w:rFonts w:ascii="Times New Roman" w:eastAsia="仿宋"/>
                <w:szCs w:val="21"/>
              </w:rPr>
            </w:pPr>
            <w:r>
              <w:rPr>
                <w:rFonts w:hint="eastAsia" w:ascii="Times New Roman" w:eastAsia="仿宋"/>
                <w:szCs w:val="21"/>
              </w:rPr>
              <w:t>2号钣金车间</w:t>
            </w:r>
          </w:p>
        </w:tc>
      </w:tr>
      <w:tr w14:paraId="72FD6E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69" w:type="pct"/>
            <w:vMerge w:val="continue"/>
            <w:vAlign w:val="center"/>
          </w:tcPr>
          <w:p w14:paraId="5A9B84D6">
            <w:pPr>
              <w:jc w:val="center"/>
              <w:rPr>
                <w:rFonts w:ascii="Times New Roman" w:eastAsia="仿宋"/>
                <w:szCs w:val="21"/>
              </w:rPr>
            </w:pPr>
          </w:p>
        </w:tc>
        <w:tc>
          <w:tcPr>
            <w:tcW w:w="3631" w:type="pct"/>
            <w:gridSpan w:val="2"/>
            <w:vAlign w:val="center"/>
          </w:tcPr>
          <w:p w14:paraId="4076C614">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r>
      <w:tr w14:paraId="373FA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69" w:type="pct"/>
            <w:vMerge w:val="continue"/>
            <w:vAlign w:val="center"/>
          </w:tcPr>
          <w:p w14:paraId="3A9A78DD">
            <w:pPr>
              <w:jc w:val="center"/>
              <w:rPr>
                <w:rFonts w:ascii="Times New Roman" w:eastAsia="仿宋"/>
                <w:szCs w:val="21"/>
              </w:rPr>
            </w:pPr>
          </w:p>
        </w:tc>
        <w:tc>
          <w:tcPr>
            <w:tcW w:w="1741" w:type="pct"/>
            <w:vAlign w:val="center"/>
          </w:tcPr>
          <w:p w14:paraId="285E32DA">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1890" w:type="pct"/>
            <w:vAlign w:val="center"/>
          </w:tcPr>
          <w:p w14:paraId="6820222F">
            <w:pPr>
              <w:jc w:val="center"/>
              <w:rPr>
                <w:rFonts w:ascii="Times New Roman" w:eastAsia="仿宋"/>
                <w:szCs w:val="21"/>
              </w:rPr>
            </w:pPr>
            <w:r>
              <w:rPr>
                <w:rFonts w:ascii="Times New Roman" w:eastAsia="仿宋"/>
                <w:szCs w:val="21"/>
              </w:rPr>
              <w:t>占标率(%)</w:t>
            </w:r>
          </w:p>
        </w:tc>
      </w:tr>
      <w:tr w14:paraId="065EC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4C773BC0">
            <w:pPr>
              <w:jc w:val="center"/>
              <w:rPr>
                <w:rFonts w:ascii="Times New Roman" w:eastAsia="仿宋"/>
                <w:szCs w:val="21"/>
              </w:rPr>
            </w:pPr>
            <w:r>
              <w:rPr>
                <w:rFonts w:ascii="Times New Roman" w:eastAsia="仿宋"/>
                <w:szCs w:val="21"/>
              </w:rPr>
              <w:t>50</w:t>
            </w:r>
          </w:p>
        </w:tc>
        <w:tc>
          <w:tcPr>
            <w:tcW w:w="1741" w:type="pct"/>
            <w:vAlign w:val="bottom"/>
          </w:tcPr>
          <w:p w14:paraId="010C3FC8">
            <w:pPr>
              <w:jc w:val="center"/>
              <w:rPr>
                <w:rFonts w:ascii="Times New Roman" w:eastAsia="仿宋"/>
                <w:szCs w:val="21"/>
              </w:rPr>
            </w:pPr>
            <w:r>
              <w:rPr>
                <w:rFonts w:hint="eastAsia" w:ascii="Times New Roman" w:eastAsia="仿宋"/>
                <w:szCs w:val="21"/>
              </w:rPr>
              <w:t>0.16</w:t>
            </w:r>
          </w:p>
        </w:tc>
        <w:tc>
          <w:tcPr>
            <w:tcW w:w="1890" w:type="pct"/>
            <w:vAlign w:val="bottom"/>
          </w:tcPr>
          <w:p w14:paraId="413D7287">
            <w:pPr>
              <w:jc w:val="center"/>
              <w:rPr>
                <w:rFonts w:ascii="Times New Roman" w:eastAsia="仿宋"/>
                <w:szCs w:val="21"/>
              </w:rPr>
            </w:pPr>
            <w:r>
              <w:rPr>
                <w:rFonts w:hint="eastAsia" w:ascii="Times New Roman" w:eastAsia="仿宋"/>
                <w:szCs w:val="21"/>
              </w:rPr>
              <w:t>0.036</w:t>
            </w:r>
          </w:p>
        </w:tc>
      </w:tr>
      <w:tr w14:paraId="5B584E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C2B534A">
            <w:pPr>
              <w:jc w:val="center"/>
              <w:rPr>
                <w:rFonts w:ascii="Times New Roman" w:eastAsia="仿宋"/>
                <w:szCs w:val="21"/>
              </w:rPr>
            </w:pPr>
            <w:r>
              <w:rPr>
                <w:rFonts w:ascii="Times New Roman" w:eastAsia="仿宋"/>
                <w:szCs w:val="21"/>
              </w:rPr>
              <w:t>100</w:t>
            </w:r>
          </w:p>
        </w:tc>
        <w:tc>
          <w:tcPr>
            <w:tcW w:w="1741" w:type="pct"/>
            <w:vAlign w:val="bottom"/>
          </w:tcPr>
          <w:p w14:paraId="0EF0ACE1">
            <w:pPr>
              <w:jc w:val="center"/>
              <w:rPr>
                <w:rFonts w:ascii="Times New Roman" w:eastAsia="仿宋"/>
                <w:szCs w:val="21"/>
              </w:rPr>
            </w:pPr>
            <w:r>
              <w:rPr>
                <w:rFonts w:hint="eastAsia" w:ascii="Times New Roman" w:eastAsia="仿宋"/>
                <w:szCs w:val="21"/>
              </w:rPr>
              <w:t>0.54</w:t>
            </w:r>
          </w:p>
        </w:tc>
        <w:tc>
          <w:tcPr>
            <w:tcW w:w="1890" w:type="pct"/>
            <w:vAlign w:val="bottom"/>
          </w:tcPr>
          <w:p w14:paraId="0A79C438">
            <w:pPr>
              <w:jc w:val="center"/>
              <w:rPr>
                <w:rFonts w:ascii="Times New Roman" w:eastAsia="仿宋"/>
                <w:szCs w:val="21"/>
              </w:rPr>
            </w:pPr>
            <w:r>
              <w:rPr>
                <w:rFonts w:hint="eastAsia" w:ascii="Times New Roman" w:eastAsia="仿宋"/>
                <w:szCs w:val="21"/>
              </w:rPr>
              <w:t>0.12</w:t>
            </w:r>
          </w:p>
        </w:tc>
      </w:tr>
      <w:tr w14:paraId="3AC994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E787430">
            <w:pPr>
              <w:jc w:val="center"/>
              <w:rPr>
                <w:rFonts w:ascii="Times New Roman" w:eastAsia="仿宋"/>
                <w:szCs w:val="21"/>
              </w:rPr>
            </w:pPr>
            <w:r>
              <w:rPr>
                <w:rFonts w:hint="eastAsia" w:ascii="Times New Roman" w:eastAsia="仿宋"/>
                <w:szCs w:val="21"/>
              </w:rPr>
              <w:t>1</w:t>
            </w:r>
            <w:r>
              <w:rPr>
                <w:rFonts w:ascii="Times New Roman" w:eastAsia="仿宋"/>
                <w:szCs w:val="21"/>
              </w:rPr>
              <w:t>6</w:t>
            </w:r>
            <w:r>
              <w:rPr>
                <w:rFonts w:hint="eastAsia" w:ascii="Times New Roman" w:eastAsia="仿宋"/>
                <w:szCs w:val="21"/>
              </w:rPr>
              <w:t>0</w:t>
            </w:r>
          </w:p>
        </w:tc>
        <w:tc>
          <w:tcPr>
            <w:tcW w:w="1741" w:type="pct"/>
            <w:vAlign w:val="bottom"/>
          </w:tcPr>
          <w:p w14:paraId="3B5BDDD5">
            <w:pPr>
              <w:jc w:val="center"/>
              <w:rPr>
                <w:rFonts w:ascii="Times New Roman" w:eastAsia="仿宋"/>
                <w:szCs w:val="21"/>
              </w:rPr>
            </w:pPr>
            <w:r>
              <w:rPr>
                <w:rFonts w:hint="eastAsia" w:ascii="Times New Roman" w:eastAsia="仿宋"/>
                <w:szCs w:val="21"/>
              </w:rPr>
              <w:t>0.79</w:t>
            </w:r>
          </w:p>
        </w:tc>
        <w:tc>
          <w:tcPr>
            <w:tcW w:w="1890" w:type="pct"/>
            <w:vAlign w:val="bottom"/>
          </w:tcPr>
          <w:p w14:paraId="66E43FE8">
            <w:pPr>
              <w:jc w:val="center"/>
              <w:rPr>
                <w:rFonts w:ascii="Times New Roman" w:eastAsia="仿宋"/>
                <w:szCs w:val="21"/>
              </w:rPr>
            </w:pPr>
            <w:r>
              <w:rPr>
                <w:rFonts w:hint="eastAsia" w:ascii="Times New Roman" w:eastAsia="仿宋"/>
                <w:szCs w:val="21"/>
              </w:rPr>
              <w:t>0.1</w:t>
            </w:r>
            <w:r>
              <w:rPr>
                <w:rFonts w:ascii="Times New Roman" w:eastAsia="仿宋"/>
                <w:szCs w:val="21"/>
              </w:rPr>
              <w:t>8</w:t>
            </w:r>
          </w:p>
        </w:tc>
      </w:tr>
      <w:tr w14:paraId="3EE1E5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1EBBE66">
            <w:pPr>
              <w:jc w:val="center"/>
              <w:rPr>
                <w:rFonts w:ascii="Times New Roman" w:eastAsia="仿宋"/>
                <w:szCs w:val="21"/>
              </w:rPr>
            </w:pPr>
            <w:r>
              <w:rPr>
                <w:rFonts w:ascii="Times New Roman" w:eastAsia="仿宋"/>
                <w:szCs w:val="21"/>
              </w:rPr>
              <w:t>200</w:t>
            </w:r>
          </w:p>
        </w:tc>
        <w:tc>
          <w:tcPr>
            <w:tcW w:w="1741" w:type="pct"/>
            <w:vAlign w:val="bottom"/>
          </w:tcPr>
          <w:p w14:paraId="0D2E73FD">
            <w:pPr>
              <w:jc w:val="center"/>
              <w:rPr>
                <w:rFonts w:ascii="Times New Roman" w:eastAsia="仿宋"/>
                <w:szCs w:val="21"/>
              </w:rPr>
            </w:pPr>
            <w:r>
              <w:rPr>
                <w:rFonts w:hint="eastAsia" w:ascii="Times New Roman" w:eastAsia="仿宋"/>
                <w:szCs w:val="21"/>
              </w:rPr>
              <w:t>0.76</w:t>
            </w:r>
          </w:p>
        </w:tc>
        <w:tc>
          <w:tcPr>
            <w:tcW w:w="1890" w:type="pct"/>
            <w:vAlign w:val="bottom"/>
          </w:tcPr>
          <w:p w14:paraId="1192D430">
            <w:pPr>
              <w:jc w:val="center"/>
              <w:rPr>
                <w:rFonts w:ascii="Times New Roman" w:eastAsia="仿宋"/>
                <w:szCs w:val="21"/>
              </w:rPr>
            </w:pPr>
            <w:r>
              <w:rPr>
                <w:rFonts w:hint="eastAsia" w:ascii="Times New Roman" w:eastAsia="仿宋"/>
                <w:szCs w:val="21"/>
              </w:rPr>
              <w:t>0.17</w:t>
            </w:r>
          </w:p>
        </w:tc>
      </w:tr>
      <w:tr w14:paraId="7500C4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436CA4AB">
            <w:pPr>
              <w:jc w:val="center"/>
              <w:rPr>
                <w:rFonts w:ascii="Times New Roman" w:eastAsia="仿宋"/>
                <w:szCs w:val="21"/>
              </w:rPr>
            </w:pPr>
            <w:r>
              <w:rPr>
                <w:rFonts w:ascii="Times New Roman" w:eastAsia="仿宋"/>
                <w:szCs w:val="21"/>
              </w:rPr>
              <w:t>300</w:t>
            </w:r>
          </w:p>
        </w:tc>
        <w:tc>
          <w:tcPr>
            <w:tcW w:w="1741" w:type="pct"/>
            <w:vAlign w:val="bottom"/>
          </w:tcPr>
          <w:p w14:paraId="386816CA">
            <w:pPr>
              <w:jc w:val="center"/>
              <w:rPr>
                <w:rFonts w:ascii="Times New Roman" w:eastAsia="仿宋"/>
                <w:szCs w:val="21"/>
              </w:rPr>
            </w:pPr>
            <w:r>
              <w:rPr>
                <w:rFonts w:hint="eastAsia" w:ascii="Times New Roman" w:eastAsia="仿宋"/>
                <w:szCs w:val="21"/>
              </w:rPr>
              <w:t>0.61</w:t>
            </w:r>
          </w:p>
        </w:tc>
        <w:tc>
          <w:tcPr>
            <w:tcW w:w="1890" w:type="pct"/>
            <w:vAlign w:val="bottom"/>
          </w:tcPr>
          <w:p w14:paraId="302A9306">
            <w:pPr>
              <w:jc w:val="center"/>
              <w:rPr>
                <w:rFonts w:ascii="Times New Roman" w:eastAsia="仿宋"/>
                <w:szCs w:val="21"/>
              </w:rPr>
            </w:pPr>
            <w:r>
              <w:rPr>
                <w:rFonts w:hint="eastAsia" w:ascii="Times New Roman" w:eastAsia="仿宋"/>
                <w:szCs w:val="21"/>
              </w:rPr>
              <w:t>0.13</w:t>
            </w:r>
          </w:p>
        </w:tc>
      </w:tr>
      <w:tr w14:paraId="1DD1E9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55D15B7A">
            <w:pPr>
              <w:jc w:val="center"/>
              <w:rPr>
                <w:rFonts w:ascii="Times New Roman" w:eastAsia="仿宋"/>
                <w:szCs w:val="21"/>
              </w:rPr>
            </w:pPr>
            <w:r>
              <w:rPr>
                <w:rFonts w:ascii="Times New Roman" w:eastAsia="仿宋"/>
                <w:szCs w:val="21"/>
              </w:rPr>
              <w:t>400</w:t>
            </w:r>
          </w:p>
        </w:tc>
        <w:tc>
          <w:tcPr>
            <w:tcW w:w="1741" w:type="pct"/>
            <w:vAlign w:val="bottom"/>
          </w:tcPr>
          <w:p w14:paraId="689E8FD0">
            <w:pPr>
              <w:jc w:val="center"/>
              <w:rPr>
                <w:rFonts w:ascii="Times New Roman" w:eastAsia="仿宋"/>
                <w:szCs w:val="21"/>
              </w:rPr>
            </w:pPr>
            <w:r>
              <w:rPr>
                <w:rFonts w:hint="eastAsia" w:ascii="Times New Roman" w:eastAsia="仿宋"/>
                <w:szCs w:val="21"/>
              </w:rPr>
              <w:t>0.52</w:t>
            </w:r>
          </w:p>
        </w:tc>
        <w:tc>
          <w:tcPr>
            <w:tcW w:w="1890" w:type="pct"/>
            <w:vAlign w:val="bottom"/>
          </w:tcPr>
          <w:p w14:paraId="25C8E885">
            <w:pPr>
              <w:jc w:val="center"/>
              <w:rPr>
                <w:rFonts w:ascii="Times New Roman" w:eastAsia="仿宋"/>
                <w:szCs w:val="21"/>
              </w:rPr>
            </w:pPr>
            <w:r>
              <w:rPr>
                <w:rFonts w:hint="eastAsia" w:ascii="Times New Roman" w:eastAsia="仿宋"/>
                <w:szCs w:val="21"/>
              </w:rPr>
              <w:t>0.11</w:t>
            </w:r>
          </w:p>
        </w:tc>
      </w:tr>
      <w:tr w14:paraId="023F0B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6AD86C89">
            <w:pPr>
              <w:jc w:val="center"/>
              <w:rPr>
                <w:rFonts w:ascii="Times New Roman" w:eastAsia="仿宋"/>
                <w:szCs w:val="21"/>
              </w:rPr>
            </w:pPr>
            <w:r>
              <w:rPr>
                <w:rFonts w:ascii="Times New Roman" w:eastAsia="仿宋"/>
                <w:szCs w:val="21"/>
              </w:rPr>
              <w:t>500</w:t>
            </w:r>
          </w:p>
        </w:tc>
        <w:tc>
          <w:tcPr>
            <w:tcW w:w="1741" w:type="pct"/>
            <w:vAlign w:val="bottom"/>
          </w:tcPr>
          <w:p w14:paraId="102CBAE0">
            <w:pPr>
              <w:jc w:val="center"/>
              <w:rPr>
                <w:rFonts w:ascii="Times New Roman" w:eastAsia="仿宋"/>
                <w:szCs w:val="21"/>
              </w:rPr>
            </w:pPr>
            <w:r>
              <w:rPr>
                <w:rFonts w:hint="eastAsia" w:ascii="Times New Roman" w:eastAsia="仿宋"/>
                <w:szCs w:val="21"/>
              </w:rPr>
              <w:t>0.46</w:t>
            </w:r>
          </w:p>
        </w:tc>
        <w:tc>
          <w:tcPr>
            <w:tcW w:w="1890" w:type="pct"/>
            <w:vAlign w:val="bottom"/>
          </w:tcPr>
          <w:p w14:paraId="0F1D131D">
            <w:pPr>
              <w:jc w:val="center"/>
              <w:rPr>
                <w:rFonts w:ascii="Times New Roman" w:eastAsia="仿宋"/>
                <w:szCs w:val="21"/>
              </w:rPr>
            </w:pPr>
            <w:r>
              <w:rPr>
                <w:rFonts w:hint="eastAsia" w:ascii="Times New Roman" w:eastAsia="仿宋"/>
                <w:szCs w:val="21"/>
              </w:rPr>
              <w:t>0.10</w:t>
            </w:r>
          </w:p>
        </w:tc>
      </w:tr>
      <w:tr w14:paraId="144E1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8B12FFB">
            <w:pPr>
              <w:jc w:val="center"/>
              <w:rPr>
                <w:rFonts w:ascii="Times New Roman" w:eastAsia="仿宋"/>
                <w:szCs w:val="21"/>
              </w:rPr>
            </w:pPr>
            <w:r>
              <w:rPr>
                <w:rFonts w:ascii="Times New Roman" w:eastAsia="仿宋"/>
                <w:szCs w:val="21"/>
              </w:rPr>
              <w:t>600</w:t>
            </w:r>
          </w:p>
        </w:tc>
        <w:tc>
          <w:tcPr>
            <w:tcW w:w="1741" w:type="pct"/>
            <w:vAlign w:val="bottom"/>
          </w:tcPr>
          <w:p w14:paraId="01D72878">
            <w:pPr>
              <w:jc w:val="center"/>
              <w:rPr>
                <w:rFonts w:ascii="Times New Roman" w:eastAsia="仿宋"/>
                <w:szCs w:val="21"/>
              </w:rPr>
            </w:pPr>
            <w:r>
              <w:rPr>
                <w:rFonts w:hint="eastAsia" w:ascii="Times New Roman" w:eastAsia="仿宋"/>
                <w:szCs w:val="21"/>
              </w:rPr>
              <w:t>0.40</w:t>
            </w:r>
          </w:p>
        </w:tc>
        <w:tc>
          <w:tcPr>
            <w:tcW w:w="1890" w:type="pct"/>
            <w:vAlign w:val="bottom"/>
          </w:tcPr>
          <w:p w14:paraId="07E1685F">
            <w:pPr>
              <w:jc w:val="center"/>
              <w:rPr>
                <w:rFonts w:ascii="Times New Roman" w:eastAsia="仿宋"/>
                <w:szCs w:val="21"/>
              </w:rPr>
            </w:pPr>
            <w:r>
              <w:rPr>
                <w:rFonts w:hint="eastAsia" w:ascii="Times New Roman" w:eastAsia="仿宋"/>
                <w:szCs w:val="21"/>
              </w:rPr>
              <w:t>0.09</w:t>
            </w:r>
          </w:p>
        </w:tc>
      </w:tr>
      <w:tr w14:paraId="361235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664A3C21">
            <w:pPr>
              <w:jc w:val="center"/>
              <w:rPr>
                <w:rFonts w:ascii="Times New Roman" w:eastAsia="仿宋"/>
                <w:szCs w:val="21"/>
              </w:rPr>
            </w:pPr>
            <w:r>
              <w:rPr>
                <w:rFonts w:ascii="Times New Roman" w:eastAsia="仿宋"/>
                <w:szCs w:val="21"/>
              </w:rPr>
              <w:t>700</w:t>
            </w:r>
          </w:p>
        </w:tc>
        <w:tc>
          <w:tcPr>
            <w:tcW w:w="1741" w:type="pct"/>
            <w:vAlign w:val="bottom"/>
          </w:tcPr>
          <w:p w14:paraId="57D9DDC7">
            <w:pPr>
              <w:jc w:val="center"/>
              <w:rPr>
                <w:rFonts w:ascii="Times New Roman" w:eastAsia="仿宋"/>
                <w:szCs w:val="21"/>
              </w:rPr>
            </w:pPr>
            <w:r>
              <w:rPr>
                <w:rFonts w:hint="eastAsia" w:ascii="Times New Roman" w:eastAsia="仿宋"/>
                <w:szCs w:val="21"/>
              </w:rPr>
              <w:t>0.34</w:t>
            </w:r>
          </w:p>
        </w:tc>
        <w:tc>
          <w:tcPr>
            <w:tcW w:w="1890" w:type="pct"/>
            <w:vAlign w:val="bottom"/>
          </w:tcPr>
          <w:p w14:paraId="71B391A0">
            <w:pPr>
              <w:jc w:val="center"/>
              <w:rPr>
                <w:rFonts w:ascii="Times New Roman" w:eastAsia="仿宋"/>
                <w:szCs w:val="21"/>
              </w:rPr>
            </w:pPr>
            <w:r>
              <w:rPr>
                <w:rFonts w:hint="eastAsia" w:ascii="Times New Roman" w:eastAsia="仿宋"/>
                <w:szCs w:val="21"/>
              </w:rPr>
              <w:t>0.076</w:t>
            </w:r>
          </w:p>
        </w:tc>
      </w:tr>
      <w:tr w14:paraId="792FE4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4B5BB6EE">
            <w:pPr>
              <w:jc w:val="center"/>
              <w:rPr>
                <w:rFonts w:ascii="Times New Roman" w:eastAsia="仿宋"/>
                <w:szCs w:val="21"/>
              </w:rPr>
            </w:pPr>
            <w:r>
              <w:rPr>
                <w:rFonts w:ascii="Times New Roman" w:eastAsia="仿宋"/>
                <w:szCs w:val="21"/>
              </w:rPr>
              <w:t>800</w:t>
            </w:r>
          </w:p>
        </w:tc>
        <w:tc>
          <w:tcPr>
            <w:tcW w:w="1741" w:type="pct"/>
            <w:vAlign w:val="bottom"/>
          </w:tcPr>
          <w:p w14:paraId="13F47C0C">
            <w:pPr>
              <w:jc w:val="center"/>
              <w:rPr>
                <w:rFonts w:ascii="Times New Roman" w:eastAsia="仿宋"/>
                <w:szCs w:val="21"/>
              </w:rPr>
            </w:pPr>
            <w:r>
              <w:rPr>
                <w:rFonts w:hint="eastAsia" w:ascii="Times New Roman" w:eastAsia="仿宋"/>
                <w:szCs w:val="21"/>
              </w:rPr>
              <w:t>0.3</w:t>
            </w:r>
          </w:p>
        </w:tc>
        <w:tc>
          <w:tcPr>
            <w:tcW w:w="1890" w:type="pct"/>
            <w:vAlign w:val="bottom"/>
          </w:tcPr>
          <w:p w14:paraId="570F089F">
            <w:pPr>
              <w:jc w:val="center"/>
              <w:rPr>
                <w:rFonts w:ascii="Times New Roman" w:eastAsia="仿宋"/>
                <w:szCs w:val="21"/>
              </w:rPr>
            </w:pPr>
            <w:r>
              <w:rPr>
                <w:rFonts w:hint="eastAsia" w:ascii="Times New Roman" w:eastAsia="仿宋"/>
                <w:szCs w:val="21"/>
              </w:rPr>
              <w:t>0.066</w:t>
            </w:r>
          </w:p>
        </w:tc>
      </w:tr>
      <w:tr w14:paraId="3719C0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63F998DE">
            <w:pPr>
              <w:jc w:val="center"/>
              <w:rPr>
                <w:rFonts w:ascii="Times New Roman" w:eastAsia="仿宋"/>
                <w:szCs w:val="21"/>
              </w:rPr>
            </w:pPr>
            <w:r>
              <w:rPr>
                <w:rFonts w:ascii="Times New Roman" w:eastAsia="仿宋"/>
                <w:szCs w:val="21"/>
              </w:rPr>
              <w:t>900</w:t>
            </w:r>
          </w:p>
        </w:tc>
        <w:tc>
          <w:tcPr>
            <w:tcW w:w="1741" w:type="pct"/>
            <w:vAlign w:val="bottom"/>
          </w:tcPr>
          <w:p w14:paraId="7B7C7A9C">
            <w:pPr>
              <w:jc w:val="center"/>
              <w:rPr>
                <w:rFonts w:ascii="Times New Roman" w:eastAsia="仿宋"/>
                <w:szCs w:val="21"/>
              </w:rPr>
            </w:pPr>
            <w:r>
              <w:rPr>
                <w:rFonts w:hint="eastAsia" w:ascii="Times New Roman" w:eastAsia="仿宋"/>
                <w:szCs w:val="21"/>
              </w:rPr>
              <w:t>0.27</w:t>
            </w:r>
          </w:p>
        </w:tc>
        <w:tc>
          <w:tcPr>
            <w:tcW w:w="1890" w:type="pct"/>
            <w:vAlign w:val="bottom"/>
          </w:tcPr>
          <w:p w14:paraId="0EB94DFC">
            <w:pPr>
              <w:jc w:val="center"/>
              <w:rPr>
                <w:rFonts w:ascii="Times New Roman" w:eastAsia="仿宋"/>
                <w:szCs w:val="21"/>
              </w:rPr>
            </w:pPr>
            <w:r>
              <w:rPr>
                <w:rFonts w:hint="eastAsia" w:ascii="Times New Roman" w:eastAsia="仿宋"/>
                <w:szCs w:val="21"/>
              </w:rPr>
              <w:t>0.06</w:t>
            </w:r>
          </w:p>
        </w:tc>
      </w:tr>
      <w:tr w14:paraId="5553C9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6AB671A7">
            <w:pPr>
              <w:jc w:val="center"/>
              <w:rPr>
                <w:rFonts w:ascii="Times New Roman" w:eastAsia="仿宋"/>
                <w:szCs w:val="21"/>
              </w:rPr>
            </w:pPr>
            <w:r>
              <w:rPr>
                <w:rFonts w:ascii="Times New Roman" w:eastAsia="仿宋"/>
                <w:szCs w:val="21"/>
              </w:rPr>
              <w:t>1000</w:t>
            </w:r>
          </w:p>
        </w:tc>
        <w:tc>
          <w:tcPr>
            <w:tcW w:w="1741" w:type="pct"/>
            <w:vAlign w:val="bottom"/>
          </w:tcPr>
          <w:p w14:paraId="30078AF0">
            <w:pPr>
              <w:jc w:val="center"/>
              <w:rPr>
                <w:rFonts w:ascii="Times New Roman" w:eastAsia="仿宋"/>
                <w:szCs w:val="21"/>
              </w:rPr>
            </w:pPr>
            <w:r>
              <w:rPr>
                <w:rFonts w:hint="eastAsia" w:ascii="Times New Roman" w:eastAsia="仿宋"/>
                <w:szCs w:val="21"/>
              </w:rPr>
              <w:t>0.25</w:t>
            </w:r>
          </w:p>
        </w:tc>
        <w:tc>
          <w:tcPr>
            <w:tcW w:w="1890" w:type="pct"/>
            <w:vAlign w:val="bottom"/>
          </w:tcPr>
          <w:p w14:paraId="75713E32">
            <w:pPr>
              <w:jc w:val="center"/>
              <w:rPr>
                <w:rFonts w:ascii="Times New Roman" w:eastAsia="仿宋"/>
                <w:szCs w:val="21"/>
              </w:rPr>
            </w:pPr>
            <w:r>
              <w:rPr>
                <w:rFonts w:hint="eastAsia" w:ascii="Times New Roman" w:eastAsia="仿宋"/>
                <w:szCs w:val="21"/>
              </w:rPr>
              <w:t>0.056</w:t>
            </w:r>
          </w:p>
        </w:tc>
      </w:tr>
      <w:tr w14:paraId="5C92C1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2880AAF5">
            <w:pPr>
              <w:jc w:val="center"/>
              <w:rPr>
                <w:rFonts w:ascii="Times New Roman" w:eastAsia="仿宋"/>
                <w:szCs w:val="21"/>
              </w:rPr>
            </w:pPr>
            <w:r>
              <w:rPr>
                <w:rFonts w:ascii="Times New Roman" w:eastAsia="仿宋"/>
                <w:szCs w:val="21"/>
              </w:rPr>
              <w:t>1200</w:t>
            </w:r>
          </w:p>
        </w:tc>
        <w:tc>
          <w:tcPr>
            <w:tcW w:w="1741" w:type="pct"/>
            <w:vAlign w:val="bottom"/>
          </w:tcPr>
          <w:p w14:paraId="4FC4F045">
            <w:pPr>
              <w:jc w:val="center"/>
              <w:rPr>
                <w:rFonts w:ascii="Times New Roman" w:eastAsia="仿宋"/>
                <w:szCs w:val="21"/>
              </w:rPr>
            </w:pPr>
            <w:r>
              <w:rPr>
                <w:rFonts w:hint="eastAsia" w:ascii="Times New Roman" w:eastAsia="仿宋"/>
                <w:szCs w:val="21"/>
              </w:rPr>
              <w:t>0.22</w:t>
            </w:r>
          </w:p>
        </w:tc>
        <w:tc>
          <w:tcPr>
            <w:tcW w:w="1890" w:type="pct"/>
            <w:vAlign w:val="bottom"/>
          </w:tcPr>
          <w:p w14:paraId="1B0203E7">
            <w:pPr>
              <w:jc w:val="center"/>
              <w:rPr>
                <w:rFonts w:ascii="Times New Roman" w:eastAsia="仿宋"/>
                <w:szCs w:val="21"/>
              </w:rPr>
            </w:pPr>
            <w:r>
              <w:rPr>
                <w:rFonts w:hint="eastAsia" w:ascii="Times New Roman" w:eastAsia="仿宋"/>
                <w:szCs w:val="21"/>
              </w:rPr>
              <w:t>0.05</w:t>
            </w:r>
          </w:p>
        </w:tc>
      </w:tr>
      <w:tr w14:paraId="23192A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0A254E96">
            <w:pPr>
              <w:jc w:val="center"/>
              <w:rPr>
                <w:rFonts w:ascii="Times New Roman" w:eastAsia="仿宋"/>
                <w:szCs w:val="21"/>
              </w:rPr>
            </w:pPr>
            <w:r>
              <w:rPr>
                <w:rFonts w:ascii="Times New Roman" w:eastAsia="仿宋"/>
                <w:szCs w:val="21"/>
              </w:rPr>
              <w:t>1400</w:t>
            </w:r>
          </w:p>
        </w:tc>
        <w:tc>
          <w:tcPr>
            <w:tcW w:w="1741" w:type="pct"/>
            <w:vAlign w:val="bottom"/>
          </w:tcPr>
          <w:p w14:paraId="48AB2A8F">
            <w:pPr>
              <w:jc w:val="center"/>
              <w:rPr>
                <w:rFonts w:ascii="Times New Roman" w:eastAsia="仿宋"/>
                <w:szCs w:val="21"/>
              </w:rPr>
            </w:pPr>
            <w:r>
              <w:rPr>
                <w:rFonts w:hint="eastAsia" w:ascii="Times New Roman" w:eastAsia="仿宋"/>
                <w:szCs w:val="21"/>
              </w:rPr>
              <w:t>0.19</w:t>
            </w:r>
          </w:p>
        </w:tc>
        <w:tc>
          <w:tcPr>
            <w:tcW w:w="1890" w:type="pct"/>
            <w:vAlign w:val="bottom"/>
          </w:tcPr>
          <w:p w14:paraId="614D88E1">
            <w:pPr>
              <w:jc w:val="center"/>
              <w:rPr>
                <w:rFonts w:ascii="Times New Roman" w:eastAsia="仿宋"/>
                <w:szCs w:val="21"/>
              </w:rPr>
            </w:pPr>
            <w:r>
              <w:rPr>
                <w:rFonts w:hint="eastAsia" w:ascii="Times New Roman" w:eastAsia="仿宋"/>
                <w:szCs w:val="21"/>
              </w:rPr>
              <w:t>0.043</w:t>
            </w:r>
          </w:p>
        </w:tc>
      </w:tr>
      <w:tr w14:paraId="0575F2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35B1E8F7">
            <w:pPr>
              <w:jc w:val="center"/>
              <w:rPr>
                <w:rFonts w:ascii="Times New Roman" w:eastAsia="仿宋"/>
                <w:szCs w:val="21"/>
              </w:rPr>
            </w:pPr>
            <w:r>
              <w:rPr>
                <w:rFonts w:ascii="Times New Roman" w:eastAsia="仿宋"/>
                <w:szCs w:val="21"/>
              </w:rPr>
              <w:t>1600</w:t>
            </w:r>
          </w:p>
        </w:tc>
        <w:tc>
          <w:tcPr>
            <w:tcW w:w="1741" w:type="pct"/>
            <w:vAlign w:val="bottom"/>
          </w:tcPr>
          <w:p w14:paraId="04FAFBDB">
            <w:pPr>
              <w:jc w:val="center"/>
              <w:rPr>
                <w:rFonts w:ascii="Times New Roman" w:eastAsia="仿宋"/>
                <w:szCs w:val="21"/>
              </w:rPr>
            </w:pPr>
            <w:r>
              <w:rPr>
                <w:rFonts w:hint="eastAsia" w:ascii="Times New Roman" w:eastAsia="仿宋"/>
                <w:szCs w:val="21"/>
              </w:rPr>
              <w:t>0.18</w:t>
            </w:r>
          </w:p>
        </w:tc>
        <w:tc>
          <w:tcPr>
            <w:tcW w:w="1890" w:type="pct"/>
            <w:vAlign w:val="bottom"/>
          </w:tcPr>
          <w:p w14:paraId="5B3009E8">
            <w:pPr>
              <w:jc w:val="center"/>
              <w:rPr>
                <w:rFonts w:ascii="Times New Roman" w:eastAsia="仿宋"/>
                <w:szCs w:val="21"/>
              </w:rPr>
            </w:pPr>
            <w:r>
              <w:rPr>
                <w:rFonts w:hint="eastAsia" w:ascii="Times New Roman" w:eastAsia="仿宋"/>
                <w:szCs w:val="21"/>
              </w:rPr>
              <w:t>0.04</w:t>
            </w:r>
          </w:p>
        </w:tc>
      </w:tr>
      <w:tr w14:paraId="498A5E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5EB643E">
            <w:pPr>
              <w:jc w:val="center"/>
              <w:rPr>
                <w:rFonts w:ascii="Times New Roman" w:eastAsia="仿宋"/>
                <w:szCs w:val="21"/>
              </w:rPr>
            </w:pPr>
            <w:r>
              <w:rPr>
                <w:rFonts w:ascii="Times New Roman" w:eastAsia="仿宋"/>
                <w:szCs w:val="21"/>
              </w:rPr>
              <w:t>1800</w:t>
            </w:r>
          </w:p>
        </w:tc>
        <w:tc>
          <w:tcPr>
            <w:tcW w:w="1741" w:type="pct"/>
            <w:vAlign w:val="bottom"/>
          </w:tcPr>
          <w:p w14:paraId="53708751">
            <w:pPr>
              <w:jc w:val="center"/>
              <w:rPr>
                <w:rFonts w:ascii="Times New Roman" w:eastAsia="仿宋"/>
                <w:szCs w:val="21"/>
              </w:rPr>
            </w:pPr>
            <w:r>
              <w:rPr>
                <w:rFonts w:hint="eastAsia" w:ascii="Times New Roman" w:eastAsia="仿宋"/>
                <w:szCs w:val="21"/>
              </w:rPr>
              <w:t>0.16</w:t>
            </w:r>
          </w:p>
        </w:tc>
        <w:tc>
          <w:tcPr>
            <w:tcW w:w="1890" w:type="pct"/>
            <w:vAlign w:val="bottom"/>
          </w:tcPr>
          <w:p w14:paraId="218D9033">
            <w:pPr>
              <w:jc w:val="center"/>
              <w:rPr>
                <w:rFonts w:ascii="Times New Roman" w:eastAsia="仿宋"/>
                <w:szCs w:val="21"/>
              </w:rPr>
            </w:pPr>
            <w:r>
              <w:rPr>
                <w:rFonts w:hint="eastAsia" w:ascii="Times New Roman" w:eastAsia="仿宋"/>
                <w:szCs w:val="21"/>
              </w:rPr>
              <w:t>0.036</w:t>
            </w:r>
          </w:p>
        </w:tc>
      </w:tr>
      <w:tr w14:paraId="0D670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472AF303">
            <w:pPr>
              <w:jc w:val="center"/>
              <w:rPr>
                <w:rFonts w:ascii="Times New Roman" w:eastAsia="仿宋"/>
                <w:szCs w:val="21"/>
              </w:rPr>
            </w:pPr>
            <w:r>
              <w:rPr>
                <w:rFonts w:ascii="Times New Roman" w:eastAsia="仿宋"/>
                <w:szCs w:val="21"/>
              </w:rPr>
              <w:t>2000</w:t>
            </w:r>
          </w:p>
        </w:tc>
        <w:tc>
          <w:tcPr>
            <w:tcW w:w="1741" w:type="pct"/>
            <w:vAlign w:val="bottom"/>
          </w:tcPr>
          <w:p w14:paraId="0B458E9E">
            <w:pPr>
              <w:jc w:val="center"/>
              <w:rPr>
                <w:rFonts w:ascii="Times New Roman" w:eastAsia="仿宋"/>
                <w:szCs w:val="21"/>
              </w:rPr>
            </w:pPr>
            <w:r>
              <w:rPr>
                <w:rFonts w:hint="eastAsia" w:ascii="Times New Roman" w:eastAsia="仿宋"/>
                <w:szCs w:val="21"/>
              </w:rPr>
              <w:t>0.15</w:t>
            </w:r>
          </w:p>
        </w:tc>
        <w:tc>
          <w:tcPr>
            <w:tcW w:w="1890" w:type="pct"/>
            <w:vAlign w:val="bottom"/>
          </w:tcPr>
          <w:p w14:paraId="244F347B">
            <w:pPr>
              <w:jc w:val="center"/>
              <w:rPr>
                <w:rFonts w:ascii="Times New Roman" w:eastAsia="仿宋"/>
                <w:szCs w:val="21"/>
              </w:rPr>
            </w:pPr>
            <w:r>
              <w:rPr>
                <w:rFonts w:hint="eastAsia" w:ascii="Times New Roman" w:eastAsia="仿宋"/>
                <w:szCs w:val="21"/>
              </w:rPr>
              <w:t>0.033</w:t>
            </w:r>
          </w:p>
        </w:tc>
      </w:tr>
      <w:tr w14:paraId="6A95DE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B193C16">
            <w:pPr>
              <w:jc w:val="center"/>
              <w:rPr>
                <w:rFonts w:ascii="Times New Roman" w:eastAsia="仿宋"/>
                <w:szCs w:val="21"/>
              </w:rPr>
            </w:pPr>
            <w:r>
              <w:rPr>
                <w:rFonts w:ascii="Times New Roman" w:eastAsia="仿宋"/>
                <w:szCs w:val="21"/>
              </w:rPr>
              <w:t>2500</w:t>
            </w:r>
          </w:p>
        </w:tc>
        <w:tc>
          <w:tcPr>
            <w:tcW w:w="1741" w:type="pct"/>
            <w:vAlign w:val="bottom"/>
          </w:tcPr>
          <w:p w14:paraId="292F2FA1">
            <w:pPr>
              <w:jc w:val="center"/>
              <w:rPr>
                <w:rFonts w:ascii="Times New Roman" w:eastAsia="仿宋"/>
                <w:szCs w:val="21"/>
              </w:rPr>
            </w:pPr>
            <w:r>
              <w:rPr>
                <w:rFonts w:hint="eastAsia" w:ascii="Times New Roman" w:eastAsia="仿宋"/>
                <w:szCs w:val="21"/>
              </w:rPr>
              <w:t>0.12</w:t>
            </w:r>
          </w:p>
        </w:tc>
        <w:tc>
          <w:tcPr>
            <w:tcW w:w="1890" w:type="pct"/>
            <w:vAlign w:val="bottom"/>
          </w:tcPr>
          <w:p w14:paraId="597224DB">
            <w:pPr>
              <w:jc w:val="center"/>
              <w:rPr>
                <w:rFonts w:ascii="Times New Roman" w:eastAsia="仿宋"/>
                <w:szCs w:val="21"/>
              </w:rPr>
            </w:pPr>
            <w:r>
              <w:rPr>
                <w:rFonts w:hint="eastAsia" w:ascii="Times New Roman" w:eastAsia="仿宋"/>
                <w:szCs w:val="21"/>
              </w:rPr>
              <w:t>0.026</w:t>
            </w:r>
          </w:p>
        </w:tc>
      </w:tr>
      <w:tr w14:paraId="6CBAC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0C087806">
            <w:pPr>
              <w:jc w:val="center"/>
              <w:rPr>
                <w:rFonts w:ascii="Times New Roman" w:eastAsia="仿宋"/>
                <w:szCs w:val="21"/>
              </w:rPr>
            </w:pPr>
            <w:r>
              <w:rPr>
                <w:rFonts w:ascii="Times New Roman" w:eastAsia="仿宋"/>
                <w:szCs w:val="21"/>
              </w:rPr>
              <w:t>下风向最大浓度</w:t>
            </w:r>
          </w:p>
        </w:tc>
        <w:tc>
          <w:tcPr>
            <w:tcW w:w="3631" w:type="pct"/>
            <w:gridSpan w:val="2"/>
            <w:vAlign w:val="center"/>
          </w:tcPr>
          <w:p w14:paraId="4E5E9321">
            <w:pPr>
              <w:jc w:val="center"/>
              <w:rPr>
                <w:rFonts w:ascii="Times New Roman" w:eastAsia="仿宋"/>
                <w:szCs w:val="21"/>
              </w:rPr>
            </w:pPr>
            <w:r>
              <w:rPr>
                <w:rFonts w:ascii="Times New Roman" w:eastAsia="仿宋"/>
                <w:szCs w:val="21"/>
              </w:rPr>
              <w:t>0</w:t>
            </w:r>
            <w:r>
              <w:rPr>
                <w:rFonts w:hint="eastAsia" w:ascii="Times New Roman" w:eastAsia="仿宋"/>
                <w:szCs w:val="21"/>
              </w:rPr>
              <w:t>.</w:t>
            </w:r>
            <w:r>
              <w:rPr>
                <w:rFonts w:ascii="Times New Roman" w:eastAsia="仿宋"/>
                <w:szCs w:val="21"/>
              </w:rPr>
              <w:t>79</w:t>
            </w:r>
          </w:p>
        </w:tc>
      </w:tr>
      <w:tr w14:paraId="187A8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77E675FC">
            <w:pPr>
              <w:jc w:val="center"/>
              <w:rPr>
                <w:rFonts w:ascii="Times New Roman" w:eastAsia="仿宋"/>
                <w:szCs w:val="21"/>
              </w:rPr>
            </w:pPr>
            <w:r>
              <w:rPr>
                <w:rFonts w:ascii="Times New Roman" w:eastAsia="仿宋"/>
                <w:szCs w:val="21"/>
              </w:rPr>
              <w:t>下风向最大浓度出现距离/m</w:t>
            </w:r>
          </w:p>
        </w:tc>
        <w:tc>
          <w:tcPr>
            <w:tcW w:w="3631" w:type="pct"/>
            <w:gridSpan w:val="2"/>
            <w:vAlign w:val="center"/>
          </w:tcPr>
          <w:p w14:paraId="2EABE89E">
            <w:pPr>
              <w:jc w:val="center"/>
              <w:rPr>
                <w:rFonts w:ascii="Times New Roman" w:eastAsia="仿宋"/>
                <w:szCs w:val="21"/>
              </w:rPr>
            </w:pPr>
            <w:r>
              <w:rPr>
                <w:rFonts w:hint="eastAsia" w:ascii="Times New Roman" w:eastAsia="仿宋"/>
                <w:szCs w:val="21"/>
              </w:rPr>
              <w:t>160</w:t>
            </w:r>
          </w:p>
        </w:tc>
      </w:tr>
      <w:tr w14:paraId="009FC5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9" w:type="pct"/>
            <w:vAlign w:val="center"/>
          </w:tcPr>
          <w:p w14:paraId="6B03CEE7">
            <w:pPr>
              <w:jc w:val="center"/>
              <w:rPr>
                <w:rFonts w:ascii="Times New Roman" w:eastAsia="仿宋"/>
                <w:szCs w:val="21"/>
              </w:rPr>
            </w:pPr>
            <w:r>
              <w:rPr>
                <w:rFonts w:ascii="Times New Roman" w:eastAsia="仿宋"/>
                <w:szCs w:val="21"/>
              </w:rPr>
              <w:t>D10%最远距离/m</w:t>
            </w:r>
          </w:p>
        </w:tc>
        <w:tc>
          <w:tcPr>
            <w:tcW w:w="3631" w:type="pct"/>
            <w:gridSpan w:val="2"/>
            <w:vAlign w:val="center"/>
          </w:tcPr>
          <w:p w14:paraId="33810476">
            <w:pPr>
              <w:jc w:val="center"/>
              <w:rPr>
                <w:rFonts w:ascii="Times New Roman" w:eastAsia="仿宋"/>
                <w:szCs w:val="21"/>
              </w:rPr>
            </w:pPr>
            <w:r>
              <w:rPr>
                <w:rFonts w:ascii="Times New Roman" w:eastAsia="仿宋"/>
                <w:szCs w:val="21"/>
              </w:rPr>
              <w:t>/</w:t>
            </w:r>
          </w:p>
        </w:tc>
      </w:tr>
    </w:tbl>
    <w:p w14:paraId="35BFCB3E">
      <w:pPr>
        <w:spacing w:line="500" w:lineRule="exact"/>
        <w:jc w:val="center"/>
        <w:rPr>
          <w:rFonts w:ascii="Times New Roman" w:eastAsia="仿宋"/>
          <w:b/>
        </w:rPr>
      </w:pPr>
      <w:r>
        <w:rPr>
          <w:rFonts w:hint="eastAsia" w:ascii="Times New Roman" w:eastAsia="仿宋"/>
          <w:b/>
        </w:rPr>
        <w:t>表</w:t>
      </w:r>
      <w:r>
        <w:rPr>
          <w:rFonts w:ascii="Times New Roman" w:eastAsia="仿宋"/>
          <w:b/>
        </w:rPr>
        <w:t>5.2-</w:t>
      </w:r>
      <w:r>
        <w:rPr>
          <w:rFonts w:hint="eastAsia" w:ascii="Times New Roman" w:eastAsia="仿宋"/>
          <w:b/>
        </w:rPr>
        <w:t>1</w:t>
      </w:r>
      <w:r>
        <w:rPr>
          <w:rFonts w:ascii="Times New Roman" w:eastAsia="仿宋"/>
          <w:b/>
        </w:rPr>
        <w:t>7  3</w:t>
      </w:r>
      <w:r>
        <w:rPr>
          <w:rFonts w:hint="eastAsia" w:ascii="Times New Roman" w:eastAsia="仿宋"/>
          <w:b/>
        </w:rPr>
        <w:t>号喷涂车间估算模型计算结果表</w:t>
      </w:r>
    </w:p>
    <w:tbl>
      <w:tblPr>
        <w:tblStyle w:val="87"/>
        <w:tblW w:w="55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954"/>
        <w:gridCol w:w="1000"/>
        <w:gridCol w:w="1173"/>
        <w:gridCol w:w="1153"/>
        <w:gridCol w:w="1171"/>
        <w:gridCol w:w="1153"/>
        <w:gridCol w:w="1602"/>
      </w:tblGrid>
      <w:tr w14:paraId="740BC6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Merge w:val="restart"/>
            <w:vAlign w:val="center"/>
          </w:tcPr>
          <w:p w14:paraId="69D69F12">
            <w:pPr>
              <w:jc w:val="center"/>
              <w:rPr>
                <w:rFonts w:ascii="Times New Roman" w:eastAsia="仿宋"/>
                <w:szCs w:val="21"/>
              </w:rPr>
            </w:pPr>
            <w:r>
              <w:rPr>
                <w:rFonts w:ascii="Times New Roman" w:eastAsia="仿宋"/>
                <w:szCs w:val="21"/>
              </w:rPr>
              <w:t>距离(m)</w:t>
            </w:r>
          </w:p>
        </w:tc>
        <w:tc>
          <w:tcPr>
            <w:tcW w:w="3938" w:type="pct"/>
            <w:gridSpan w:val="6"/>
            <w:vAlign w:val="center"/>
          </w:tcPr>
          <w:p w14:paraId="5557180C">
            <w:pPr>
              <w:jc w:val="center"/>
              <w:rPr>
                <w:rFonts w:ascii="Times New Roman" w:eastAsia="仿宋"/>
                <w:szCs w:val="21"/>
              </w:rPr>
            </w:pPr>
            <w:r>
              <w:rPr>
                <w:rFonts w:ascii="Times New Roman" w:eastAsia="仿宋"/>
                <w:szCs w:val="21"/>
              </w:rPr>
              <w:t>3</w:t>
            </w:r>
            <w:r>
              <w:rPr>
                <w:rFonts w:hint="eastAsia" w:ascii="Times New Roman" w:eastAsia="仿宋"/>
                <w:szCs w:val="21"/>
              </w:rPr>
              <w:t>号喷涂车间</w:t>
            </w:r>
          </w:p>
        </w:tc>
      </w:tr>
      <w:tr w14:paraId="462762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062" w:type="pct"/>
            <w:vMerge w:val="continue"/>
            <w:vAlign w:val="center"/>
          </w:tcPr>
          <w:p w14:paraId="2B1A7410">
            <w:pPr>
              <w:jc w:val="center"/>
              <w:rPr>
                <w:rFonts w:ascii="Times New Roman" w:eastAsia="仿宋"/>
                <w:szCs w:val="21"/>
              </w:rPr>
            </w:pPr>
          </w:p>
        </w:tc>
        <w:tc>
          <w:tcPr>
            <w:tcW w:w="1180" w:type="pct"/>
            <w:gridSpan w:val="2"/>
            <w:vAlign w:val="center"/>
          </w:tcPr>
          <w:p w14:paraId="0A63060A">
            <w:pPr>
              <w:jc w:val="center"/>
              <w:rPr>
                <w:rFonts w:ascii="Times New Roman" w:eastAsia="仿宋"/>
                <w:szCs w:val="21"/>
              </w:rPr>
            </w:pPr>
            <w:r>
              <w:rPr>
                <w:rFonts w:hint="eastAsia" w:ascii="Times New Roman" w:eastAsia="仿宋"/>
                <w:szCs w:val="21"/>
              </w:rPr>
              <w:t>非甲烷总烃</w:t>
            </w:r>
          </w:p>
        </w:tc>
        <w:tc>
          <w:tcPr>
            <w:tcW w:w="1262" w:type="pct"/>
            <w:gridSpan w:val="2"/>
            <w:vAlign w:val="center"/>
          </w:tcPr>
          <w:p w14:paraId="198DFFF7">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c>
          <w:tcPr>
            <w:tcW w:w="1496" w:type="pct"/>
            <w:gridSpan w:val="2"/>
            <w:vAlign w:val="center"/>
          </w:tcPr>
          <w:p w14:paraId="5E7567F3">
            <w:pPr>
              <w:jc w:val="center"/>
              <w:rPr>
                <w:rFonts w:ascii="Times New Roman" w:eastAsia="仿宋"/>
                <w:szCs w:val="21"/>
              </w:rPr>
            </w:pPr>
            <w:r>
              <w:rPr>
                <w:rFonts w:hint="eastAsia" w:ascii="Times New Roman" w:eastAsia="仿宋"/>
                <w:szCs w:val="21"/>
              </w:rPr>
              <w:t>二甲苯</w:t>
            </w:r>
          </w:p>
        </w:tc>
      </w:tr>
      <w:tr w14:paraId="21F0AF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062" w:type="pct"/>
            <w:vMerge w:val="continue"/>
            <w:vAlign w:val="center"/>
          </w:tcPr>
          <w:p w14:paraId="1AD91C5E">
            <w:pPr>
              <w:jc w:val="center"/>
              <w:rPr>
                <w:rFonts w:ascii="Times New Roman" w:eastAsia="仿宋"/>
                <w:szCs w:val="21"/>
              </w:rPr>
            </w:pPr>
          </w:p>
        </w:tc>
        <w:tc>
          <w:tcPr>
            <w:tcW w:w="543" w:type="pct"/>
            <w:vAlign w:val="center"/>
          </w:tcPr>
          <w:p w14:paraId="4D7C527B">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637" w:type="pct"/>
            <w:vAlign w:val="center"/>
          </w:tcPr>
          <w:p w14:paraId="3EA353B6">
            <w:pPr>
              <w:jc w:val="center"/>
              <w:rPr>
                <w:rFonts w:ascii="Times New Roman" w:eastAsia="仿宋"/>
                <w:szCs w:val="21"/>
              </w:rPr>
            </w:pPr>
            <w:r>
              <w:rPr>
                <w:rFonts w:ascii="Times New Roman" w:eastAsia="仿宋"/>
                <w:szCs w:val="21"/>
              </w:rPr>
              <w:t>占标率(%)</w:t>
            </w:r>
          </w:p>
        </w:tc>
        <w:tc>
          <w:tcPr>
            <w:tcW w:w="626" w:type="pct"/>
            <w:vAlign w:val="center"/>
          </w:tcPr>
          <w:p w14:paraId="2594FBC1">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636" w:type="pct"/>
            <w:vAlign w:val="center"/>
          </w:tcPr>
          <w:p w14:paraId="3F4C4935">
            <w:pPr>
              <w:jc w:val="center"/>
              <w:rPr>
                <w:rFonts w:ascii="Times New Roman" w:eastAsia="仿宋"/>
                <w:szCs w:val="21"/>
              </w:rPr>
            </w:pPr>
            <w:r>
              <w:rPr>
                <w:rFonts w:ascii="Times New Roman" w:eastAsia="仿宋"/>
                <w:szCs w:val="21"/>
              </w:rPr>
              <w:t>占标率(%)</w:t>
            </w:r>
          </w:p>
        </w:tc>
        <w:tc>
          <w:tcPr>
            <w:tcW w:w="626" w:type="pct"/>
            <w:vAlign w:val="center"/>
          </w:tcPr>
          <w:p w14:paraId="2E6A4AD5">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870" w:type="pct"/>
            <w:vAlign w:val="center"/>
          </w:tcPr>
          <w:p w14:paraId="7BAECCF4">
            <w:pPr>
              <w:jc w:val="center"/>
              <w:rPr>
                <w:rFonts w:ascii="Times New Roman" w:eastAsia="仿宋"/>
                <w:szCs w:val="21"/>
              </w:rPr>
            </w:pPr>
            <w:r>
              <w:rPr>
                <w:rFonts w:ascii="Times New Roman" w:eastAsia="仿宋"/>
                <w:szCs w:val="21"/>
              </w:rPr>
              <w:t>占标率(%)</w:t>
            </w:r>
          </w:p>
        </w:tc>
      </w:tr>
      <w:tr w14:paraId="6E7F90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7D934E80">
            <w:pPr>
              <w:jc w:val="center"/>
              <w:rPr>
                <w:rFonts w:ascii="Times New Roman" w:eastAsia="仿宋"/>
                <w:szCs w:val="21"/>
              </w:rPr>
            </w:pPr>
            <w:r>
              <w:rPr>
                <w:rFonts w:ascii="Times New Roman" w:eastAsia="仿宋"/>
                <w:szCs w:val="21"/>
              </w:rPr>
              <w:t>50</w:t>
            </w:r>
          </w:p>
        </w:tc>
        <w:tc>
          <w:tcPr>
            <w:tcW w:w="543" w:type="pct"/>
          </w:tcPr>
          <w:p w14:paraId="73AA9271">
            <w:pPr>
              <w:jc w:val="center"/>
              <w:rPr>
                <w:rFonts w:ascii="Times New Roman" w:eastAsia="仿宋"/>
                <w:szCs w:val="21"/>
              </w:rPr>
            </w:pPr>
            <w:r>
              <w:rPr>
                <w:rFonts w:ascii="Times New Roman" w:eastAsia="仿宋"/>
                <w:szCs w:val="21"/>
              </w:rPr>
              <w:t>140</w:t>
            </w:r>
          </w:p>
        </w:tc>
        <w:tc>
          <w:tcPr>
            <w:tcW w:w="637" w:type="pct"/>
            <w:vAlign w:val="bottom"/>
          </w:tcPr>
          <w:p w14:paraId="7E146B6A">
            <w:pPr>
              <w:jc w:val="center"/>
              <w:rPr>
                <w:rFonts w:ascii="Times New Roman" w:eastAsia="仿宋"/>
                <w:szCs w:val="21"/>
              </w:rPr>
            </w:pPr>
            <w:r>
              <w:rPr>
                <w:rFonts w:hint="eastAsia" w:ascii="Times New Roman" w:eastAsia="仿宋"/>
                <w:szCs w:val="21"/>
              </w:rPr>
              <w:t>7</w:t>
            </w:r>
          </w:p>
        </w:tc>
        <w:tc>
          <w:tcPr>
            <w:tcW w:w="626" w:type="pct"/>
          </w:tcPr>
          <w:p w14:paraId="1E8ED90E">
            <w:pPr>
              <w:jc w:val="center"/>
              <w:rPr>
                <w:rFonts w:ascii="Times New Roman" w:eastAsia="仿宋"/>
                <w:szCs w:val="21"/>
              </w:rPr>
            </w:pPr>
            <w:r>
              <w:rPr>
                <w:rFonts w:ascii="Times New Roman" w:eastAsia="仿宋"/>
                <w:szCs w:val="21"/>
              </w:rPr>
              <w:t>20.2</w:t>
            </w:r>
          </w:p>
        </w:tc>
        <w:tc>
          <w:tcPr>
            <w:tcW w:w="636" w:type="pct"/>
            <w:vAlign w:val="bottom"/>
          </w:tcPr>
          <w:p w14:paraId="2BF418CF">
            <w:pPr>
              <w:jc w:val="center"/>
              <w:rPr>
                <w:rFonts w:ascii="Times New Roman" w:eastAsia="仿宋"/>
                <w:szCs w:val="21"/>
              </w:rPr>
            </w:pPr>
            <w:r>
              <w:rPr>
                <w:rFonts w:hint="eastAsia" w:ascii="Times New Roman" w:eastAsia="仿宋"/>
                <w:szCs w:val="21"/>
              </w:rPr>
              <w:t>4.4</w:t>
            </w:r>
            <w:r>
              <w:rPr>
                <w:rFonts w:ascii="Times New Roman" w:eastAsia="仿宋"/>
                <w:szCs w:val="21"/>
              </w:rPr>
              <w:t>9</w:t>
            </w:r>
          </w:p>
        </w:tc>
        <w:tc>
          <w:tcPr>
            <w:tcW w:w="626" w:type="pct"/>
          </w:tcPr>
          <w:p w14:paraId="5DA5AD2E">
            <w:pPr>
              <w:jc w:val="center"/>
              <w:rPr>
                <w:rFonts w:ascii="Times New Roman" w:eastAsia="仿宋"/>
                <w:szCs w:val="21"/>
              </w:rPr>
            </w:pPr>
            <w:r>
              <w:rPr>
                <w:rFonts w:ascii="Times New Roman" w:eastAsia="仿宋"/>
                <w:szCs w:val="21"/>
              </w:rPr>
              <w:t>14.9</w:t>
            </w:r>
          </w:p>
        </w:tc>
        <w:tc>
          <w:tcPr>
            <w:tcW w:w="870" w:type="pct"/>
            <w:vAlign w:val="bottom"/>
          </w:tcPr>
          <w:p w14:paraId="6FBFD680">
            <w:pPr>
              <w:jc w:val="center"/>
              <w:rPr>
                <w:rFonts w:ascii="Times New Roman" w:eastAsia="仿宋"/>
                <w:szCs w:val="21"/>
              </w:rPr>
            </w:pPr>
            <w:r>
              <w:rPr>
                <w:rFonts w:hint="eastAsia" w:ascii="Times New Roman" w:eastAsia="仿宋"/>
                <w:szCs w:val="21"/>
              </w:rPr>
              <w:t>7.45</w:t>
            </w:r>
          </w:p>
        </w:tc>
      </w:tr>
      <w:tr w14:paraId="618595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61B62F29">
            <w:pPr>
              <w:jc w:val="center"/>
              <w:rPr>
                <w:rFonts w:ascii="Times New Roman" w:eastAsia="仿宋"/>
                <w:szCs w:val="21"/>
              </w:rPr>
            </w:pPr>
            <w:r>
              <w:rPr>
                <w:rFonts w:hint="eastAsia" w:ascii="Times New Roman" w:eastAsia="仿宋"/>
                <w:szCs w:val="21"/>
              </w:rPr>
              <w:t>8</w:t>
            </w:r>
            <w:r>
              <w:rPr>
                <w:rFonts w:ascii="Times New Roman" w:eastAsia="仿宋"/>
                <w:szCs w:val="21"/>
              </w:rPr>
              <w:t>9</w:t>
            </w:r>
          </w:p>
        </w:tc>
        <w:tc>
          <w:tcPr>
            <w:tcW w:w="543" w:type="pct"/>
          </w:tcPr>
          <w:p w14:paraId="6EF601F7">
            <w:pPr>
              <w:jc w:val="center"/>
              <w:rPr>
                <w:rFonts w:ascii="Times New Roman" w:eastAsia="仿宋"/>
                <w:szCs w:val="21"/>
              </w:rPr>
            </w:pPr>
            <w:r>
              <w:rPr>
                <w:rFonts w:ascii="Times New Roman" w:eastAsia="仿宋"/>
                <w:szCs w:val="21"/>
              </w:rPr>
              <w:t>160</w:t>
            </w:r>
          </w:p>
        </w:tc>
        <w:tc>
          <w:tcPr>
            <w:tcW w:w="637" w:type="pct"/>
            <w:vAlign w:val="bottom"/>
          </w:tcPr>
          <w:p w14:paraId="073F2E51">
            <w:pPr>
              <w:jc w:val="center"/>
              <w:rPr>
                <w:rFonts w:ascii="Times New Roman" w:eastAsia="仿宋"/>
                <w:szCs w:val="21"/>
              </w:rPr>
            </w:pPr>
            <w:r>
              <w:rPr>
                <w:rFonts w:hint="eastAsia" w:ascii="Times New Roman" w:eastAsia="仿宋"/>
                <w:szCs w:val="21"/>
              </w:rPr>
              <w:t>8</w:t>
            </w:r>
          </w:p>
        </w:tc>
        <w:tc>
          <w:tcPr>
            <w:tcW w:w="626" w:type="pct"/>
          </w:tcPr>
          <w:p w14:paraId="2F866AD2">
            <w:pPr>
              <w:jc w:val="center"/>
              <w:rPr>
                <w:rFonts w:ascii="Times New Roman" w:eastAsia="仿宋"/>
                <w:szCs w:val="21"/>
              </w:rPr>
            </w:pPr>
            <w:r>
              <w:rPr>
                <w:rFonts w:ascii="Times New Roman" w:eastAsia="仿宋"/>
                <w:szCs w:val="21"/>
              </w:rPr>
              <w:t>23</w:t>
            </w:r>
          </w:p>
        </w:tc>
        <w:tc>
          <w:tcPr>
            <w:tcW w:w="636" w:type="pct"/>
            <w:vAlign w:val="bottom"/>
          </w:tcPr>
          <w:p w14:paraId="2918F150">
            <w:pPr>
              <w:jc w:val="center"/>
              <w:rPr>
                <w:rFonts w:ascii="Times New Roman" w:eastAsia="仿宋"/>
                <w:szCs w:val="21"/>
              </w:rPr>
            </w:pPr>
            <w:r>
              <w:rPr>
                <w:rFonts w:hint="eastAsia" w:ascii="Times New Roman" w:eastAsia="仿宋"/>
                <w:szCs w:val="21"/>
              </w:rPr>
              <w:t>5.11</w:t>
            </w:r>
          </w:p>
        </w:tc>
        <w:tc>
          <w:tcPr>
            <w:tcW w:w="626" w:type="pct"/>
          </w:tcPr>
          <w:p w14:paraId="69984AB4">
            <w:pPr>
              <w:jc w:val="center"/>
              <w:rPr>
                <w:rFonts w:ascii="Times New Roman" w:eastAsia="仿宋"/>
                <w:szCs w:val="21"/>
              </w:rPr>
            </w:pPr>
            <w:r>
              <w:rPr>
                <w:rFonts w:ascii="Times New Roman" w:eastAsia="仿宋"/>
                <w:szCs w:val="21"/>
              </w:rPr>
              <w:t>17</w:t>
            </w:r>
          </w:p>
        </w:tc>
        <w:tc>
          <w:tcPr>
            <w:tcW w:w="870" w:type="pct"/>
            <w:vAlign w:val="bottom"/>
          </w:tcPr>
          <w:p w14:paraId="6C1DCDA7">
            <w:pPr>
              <w:jc w:val="center"/>
              <w:rPr>
                <w:rFonts w:ascii="Times New Roman" w:eastAsia="仿宋"/>
                <w:szCs w:val="21"/>
              </w:rPr>
            </w:pPr>
            <w:r>
              <w:rPr>
                <w:rFonts w:hint="eastAsia" w:ascii="Times New Roman" w:eastAsia="仿宋"/>
                <w:szCs w:val="21"/>
              </w:rPr>
              <w:t>8.5</w:t>
            </w:r>
          </w:p>
        </w:tc>
      </w:tr>
      <w:tr w14:paraId="1094F4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53467A42">
            <w:pPr>
              <w:jc w:val="center"/>
              <w:rPr>
                <w:rFonts w:ascii="Times New Roman" w:eastAsia="仿宋"/>
                <w:szCs w:val="21"/>
              </w:rPr>
            </w:pPr>
            <w:r>
              <w:rPr>
                <w:rFonts w:ascii="Times New Roman" w:eastAsia="仿宋"/>
                <w:szCs w:val="21"/>
              </w:rPr>
              <w:t>100</w:t>
            </w:r>
          </w:p>
        </w:tc>
        <w:tc>
          <w:tcPr>
            <w:tcW w:w="543" w:type="pct"/>
          </w:tcPr>
          <w:p w14:paraId="7AF9A9EC">
            <w:pPr>
              <w:jc w:val="center"/>
              <w:rPr>
                <w:rFonts w:ascii="Times New Roman" w:eastAsia="仿宋"/>
                <w:szCs w:val="21"/>
              </w:rPr>
            </w:pPr>
            <w:r>
              <w:rPr>
                <w:rFonts w:ascii="Times New Roman" w:eastAsia="仿宋"/>
                <w:szCs w:val="21"/>
              </w:rPr>
              <w:t>158</w:t>
            </w:r>
          </w:p>
        </w:tc>
        <w:tc>
          <w:tcPr>
            <w:tcW w:w="637" w:type="pct"/>
            <w:vAlign w:val="bottom"/>
          </w:tcPr>
          <w:p w14:paraId="244E2D92">
            <w:pPr>
              <w:jc w:val="center"/>
              <w:rPr>
                <w:rFonts w:ascii="Times New Roman" w:eastAsia="仿宋"/>
                <w:szCs w:val="21"/>
              </w:rPr>
            </w:pPr>
            <w:r>
              <w:rPr>
                <w:rFonts w:hint="eastAsia" w:ascii="Times New Roman" w:eastAsia="仿宋"/>
                <w:szCs w:val="21"/>
              </w:rPr>
              <w:t>7.9</w:t>
            </w:r>
          </w:p>
        </w:tc>
        <w:tc>
          <w:tcPr>
            <w:tcW w:w="626" w:type="pct"/>
          </w:tcPr>
          <w:p w14:paraId="2FD9F094">
            <w:pPr>
              <w:jc w:val="center"/>
              <w:rPr>
                <w:rFonts w:ascii="Times New Roman" w:eastAsia="仿宋"/>
                <w:szCs w:val="21"/>
              </w:rPr>
            </w:pPr>
            <w:r>
              <w:rPr>
                <w:rFonts w:ascii="Times New Roman" w:eastAsia="仿宋"/>
                <w:szCs w:val="21"/>
              </w:rPr>
              <w:t>22.7</w:t>
            </w:r>
          </w:p>
        </w:tc>
        <w:tc>
          <w:tcPr>
            <w:tcW w:w="636" w:type="pct"/>
            <w:vAlign w:val="bottom"/>
          </w:tcPr>
          <w:p w14:paraId="37BD0745">
            <w:pPr>
              <w:jc w:val="center"/>
              <w:rPr>
                <w:rFonts w:ascii="Times New Roman" w:eastAsia="仿宋"/>
                <w:szCs w:val="21"/>
              </w:rPr>
            </w:pPr>
            <w:r>
              <w:rPr>
                <w:rFonts w:hint="eastAsia" w:ascii="Times New Roman" w:eastAsia="仿宋"/>
                <w:szCs w:val="21"/>
              </w:rPr>
              <w:t>5.04</w:t>
            </w:r>
          </w:p>
        </w:tc>
        <w:tc>
          <w:tcPr>
            <w:tcW w:w="626" w:type="pct"/>
          </w:tcPr>
          <w:p w14:paraId="7A8D5DAD">
            <w:pPr>
              <w:jc w:val="center"/>
              <w:rPr>
                <w:rFonts w:ascii="Times New Roman" w:eastAsia="仿宋"/>
                <w:szCs w:val="21"/>
              </w:rPr>
            </w:pPr>
            <w:r>
              <w:rPr>
                <w:rFonts w:ascii="Times New Roman" w:eastAsia="仿宋"/>
                <w:szCs w:val="21"/>
              </w:rPr>
              <w:t>16.8</w:t>
            </w:r>
          </w:p>
        </w:tc>
        <w:tc>
          <w:tcPr>
            <w:tcW w:w="870" w:type="pct"/>
            <w:vAlign w:val="bottom"/>
          </w:tcPr>
          <w:p w14:paraId="3542D2AC">
            <w:pPr>
              <w:jc w:val="center"/>
              <w:rPr>
                <w:rFonts w:ascii="Times New Roman" w:eastAsia="仿宋"/>
                <w:szCs w:val="21"/>
              </w:rPr>
            </w:pPr>
            <w:r>
              <w:rPr>
                <w:rFonts w:hint="eastAsia" w:ascii="Times New Roman" w:eastAsia="仿宋"/>
                <w:szCs w:val="21"/>
              </w:rPr>
              <w:t>8.4</w:t>
            </w:r>
          </w:p>
        </w:tc>
      </w:tr>
      <w:tr w14:paraId="7FE4D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181EEFBF">
            <w:pPr>
              <w:jc w:val="center"/>
              <w:rPr>
                <w:rFonts w:ascii="Times New Roman" w:eastAsia="仿宋"/>
                <w:szCs w:val="21"/>
              </w:rPr>
            </w:pPr>
            <w:r>
              <w:rPr>
                <w:rFonts w:ascii="Times New Roman" w:eastAsia="仿宋"/>
                <w:szCs w:val="21"/>
              </w:rPr>
              <w:t>200</w:t>
            </w:r>
          </w:p>
        </w:tc>
        <w:tc>
          <w:tcPr>
            <w:tcW w:w="543" w:type="pct"/>
          </w:tcPr>
          <w:p w14:paraId="04072449">
            <w:pPr>
              <w:jc w:val="center"/>
              <w:rPr>
                <w:rFonts w:ascii="Times New Roman" w:eastAsia="仿宋"/>
                <w:szCs w:val="21"/>
              </w:rPr>
            </w:pPr>
            <w:r>
              <w:rPr>
                <w:rFonts w:ascii="Times New Roman" w:eastAsia="仿宋"/>
                <w:szCs w:val="21"/>
              </w:rPr>
              <w:t>104</w:t>
            </w:r>
          </w:p>
        </w:tc>
        <w:tc>
          <w:tcPr>
            <w:tcW w:w="637" w:type="pct"/>
            <w:vAlign w:val="bottom"/>
          </w:tcPr>
          <w:p w14:paraId="52F19899">
            <w:pPr>
              <w:jc w:val="center"/>
              <w:rPr>
                <w:rFonts w:ascii="Times New Roman" w:eastAsia="仿宋"/>
                <w:szCs w:val="21"/>
              </w:rPr>
            </w:pPr>
            <w:r>
              <w:rPr>
                <w:rFonts w:hint="eastAsia" w:ascii="Times New Roman" w:eastAsia="仿宋"/>
                <w:szCs w:val="21"/>
              </w:rPr>
              <w:t>5.2</w:t>
            </w:r>
          </w:p>
        </w:tc>
        <w:tc>
          <w:tcPr>
            <w:tcW w:w="626" w:type="pct"/>
          </w:tcPr>
          <w:p w14:paraId="240124D3">
            <w:pPr>
              <w:jc w:val="center"/>
              <w:rPr>
                <w:rFonts w:ascii="Times New Roman" w:eastAsia="仿宋"/>
                <w:szCs w:val="21"/>
              </w:rPr>
            </w:pPr>
            <w:r>
              <w:rPr>
                <w:rFonts w:ascii="Times New Roman" w:eastAsia="仿宋"/>
                <w:szCs w:val="21"/>
              </w:rPr>
              <w:t>14.9</w:t>
            </w:r>
          </w:p>
        </w:tc>
        <w:tc>
          <w:tcPr>
            <w:tcW w:w="636" w:type="pct"/>
            <w:vAlign w:val="bottom"/>
          </w:tcPr>
          <w:p w14:paraId="45E31D80">
            <w:pPr>
              <w:jc w:val="center"/>
              <w:rPr>
                <w:rFonts w:ascii="Times New Roman" w:eastAsia="仿宋"/>
                <w:szCs w:val="21"/>
              </w:rPr>
            </w:pPr>
            <w:r>
              <w:rPr>
                <w:rFonts w:hint="eastAsia" w:ascii="Times New Roman" w:eastAsia="仿宋"/>
                <w:szCs w:val="21"/>
              </w:rPr>
              <w:t>3.31</w:t>
            </w:r>
          </w:p>
        </w:tc>
        <w:tc>
          <w:tcPr>
            <w:tcW w:w="626" w:type="pct"/>
          </w:tcPr>
          <w:p w14:paraId="37737DF4">
            <w:pPr>
              <w:jc w:val="center"/>
              <w:rPr>
                <w:rFonts w:ascii="Times New Roman" w:eastAsia="仿宋"/>
                <w:szCs w:val="21"/>
              </w:rPr>
            </w:pPr>
            <w:r>
              <w:rPr>
                <w:rFonts w:ascii="Times New Roman" w:eastAsia="仿宋"/>
                <w:szCs w:val="21"/>
              </w:rPr>
              <w:t>11</w:t>
            </w:r>
          </w:p>
        </w:tc>
        <w:tc>
          <w:tcPr>
            <w:tcW w:w="870" w:type="pct"/>
            <w:vAlign w:val="bottom"/>
          </w:tcPr>
          <w:p w14:paraId="66A47804">
            <w:pPr>
              <w:jc w:val="center"/>
              <w:rPr>
                <w:rFonts w:ascii="Times New Roman" w:eastAsia="仿宋"/>
                <w:szCs w:val="21"/>
              </w:rPr>
            </w:pPr>
            <w:r>
              <w:rPr>
                <w:rFonts w:hint="eastAsia" w:ascii="Times New Roman" w:eastAsia="仿宋"/>
                <w:szCs w:val="21"/>
              </w:rPr>
              <w:t>5.5</w:t>
            </w:r>
          </w:p>
        </w:tc>
      </w:tr>
      <w:tr w14:paraId="18F422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10D03E1C">
            <w:pPr>
              <w:jc w:val="center"/>
              <w:rPr>
                <w:rFonts w:ascii="Times New Roman" w:eastAsia="仿宋"/>
                <w:szCs w:val="21"/>
              </w:rPr>
            </w:pPr>
            <w:r>
              <w:rPr>
                <w:rFonts w:ascii="Times New Roman" w:eastAsia="仿宋"/>
                <w:szCs w:val="21"/>
              </w:rPr>
              <w:t>300</w:t>
            </w:r>
          </w:p>
        </w:tc>
        <w:tc>
          <w:tcPr>
            <w:tcW w:w="543" w:type="pct"/>
          </w:tcPr>
          <w:p w14:paraId="2840125A">
            <w:pPr>
              <w:jc w:val="center"/>
              <w:rPr>
                <w:rFonts w:ascii="Times New Roman" w:eastAsia="仿宋"/>
                <w:szCs w:val="21"/>
              </w:rPr>
            </w:pPr>
            <w:r>
              <w:rPr>
                <w:rFonts w:ascii="Times New Roman" w:eastAsia="仿宋"/>
                <w:szCs w:val="21"/>
              </w:rPr>
              <w:t>78</w:t>
            </w:r>
            <w:r>
              <w:rPr>
                <w:rFonts w:hint="eastAsia" w:ascii="Times New Roman" w:eastAsia="仿宋"/>
                <w:szCs w:val="21"/>
              </w:rPr>
              <w:t>.</w:t>
            </w:r>
            <w:r>
              <w:rPr>
                <w:rFonts w:ascii="Times New Roman" w:eastAsia="仿宋"/>
                <w:szCs w:val="21"/>
              </w:rPr>
              <w:t>7</w:t>
            </w:r>
          </w:p>
        </w:tc>
        <w:tc>
          <w:tcPr>
            <w:tcW w:w="637" w:type="pct"/>
            <w:vAlign w:val="bottom"/>
          </w:tcPr>
          <w:p w14:paraId="5D5E4935">
            <w:pPr>
              <w:jc w:val="center"/>
              <w:rPr>
                <w:rFonts w:ascii="Times New Roman" w:eastAsia="仿宋"/>
                <w:szCs w:val="21"/>
              </w:rPr>
            </w:pPr>
            <w:r>
              <w:rPr>
                <w:rFonts w:hint="eastAsia" w:ascii="Times New Roman" w:eastAsia="仿宋"/>
                <w:szCs w:val="21"/>
              </w:rPr>
              <w:t>3.9</w:t>
            </w:r>
            <w:r>
              <w:rPr>
                <w:rFonts w:ascii="Times New Roman" w:eastAsia="仿宋"/>
                <w:szCs w:val="21"/>
              </w:rPr>
              <w:t>4</w:t>
            </w:r>
          </w:p>
        </w:tc>
        <w:tc>
          <w:tcPr>
            <w:tcW w:w="626" w:type="pct"/>
          </w:tcPr>
          <w:p w14:paraId="54E295DB">
            <w:pPr>
              <w:jc w:val="center"/>
              <w:rPr>
                <w:rFonts w:ascii="Times New Roman" w:eastAsia="仿宋"/>
                <w:szCs w:val="21"/>
              </w:rPr>
            </w:pPr>
            <w:r>
              <w:rPr>
                <w:rFonts w:ascii="Times New Roman" w:eastAsia="仿宋"/>
                <w:szCs w:val="21"/>
              </w:rPr>
              <w:t>11.3</w:t>
            </w:r>
          </w:p>
        </w:tc>
        <w:tc>
          <w:tcPr>
            <w:tcW w:w="636" w:type="pct"/>
            <w:vAlign w:val="bottom"/>
          </w:tcPr>
          <w:p w14:paraId="50BE6582">
            <w:pPr>
              <w:jc w:val="center"/>
              <w:rPr>
                <w:rFonts w:ascii="Times New Roman" w:eastAsia="仿宋"/>
                <w:szCs w:val="21"/>
              </w:rPr>
            </w:pPr>
            <w:r>
              <w:rPr>
                <w:rFonts w:hint="eastAsia" w:ascii="Times New Roman" w:eastAsia="仿宋"/>
                <w:szCs w:val="21"/>
              </w:rPr>
              <w:t>2.51</w:t>
            </w:r>
          </w:p>
        </w:tc>
        <w:tc>
          <w:tcPr>
            <w:tcW w:w="626" w:type="pct"/>
          </w:tcPr>
          <w:p w14:paraId="49128A20">
            <w:pPr>
              <w:jc w:val="center"/>
              <w:rPr>
                <w:rFonts w:ascii="Times New Roman" w:eastAsia="仿宋"/>
                <w:szCs w:val="21"/>
              </w:rPr>
            </w:pPr>
            <w:r>
              <w:rPr>
                <w:rFonts w:ascii="Times New Roman" w:eastAsia="仿宋"/>
                <w:szCs w:val="21"/>
              </w:rPr>
              <w:t>8.36</w:t>
            </w:r>
          </w:p>
        </w:tc>
        <w:tc>
          <w:tcPr>
            <w:tcW w:w="870" w:type="pct"/>
            <w:vAlign w:val="bottom"/>
          </w:tcPr>
          <w:p w14:paraId="7243B1B0">
            <w:pPr>
              <w:jc w:val="center"/>
              <w:rPr>
                <w:rFonts w:ascii="Times New Roman" w:eastAsia="仿宋"/>
                <w:szCs w:val="21"/>
              </w:rPr>
            </w:pPr>
            <w:r>
              <w:rPr>
                <w:rFonts w:hint="eastAsia" w:ascii="Times New Roman" w:eastAsia="仿宋"/>
                <w:szCs w:val="21"/>
              </w:rPr>
              <w:t>4.18</w:t>
            </w:r>
          </w:p>
        </w:tc>
      </w:tr>
      <w:tr w14:paraId="72BD5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37538107">
            <w:pPr>
              <w:jc w:val="center"/>
              <w:rPr>
                <w:rFonts w:ascii="Times New Roman" w:eastAsia="仿宋"/>
                <w:szCs w:val="21"/>
              </w:rPr>
            </w:pPr>
            <w:r>
              <w:rPr>
                <w:rFonts w:ascii="Times New Roman" w:eastAsia="仿宋"/>
                <w:szCs w:val="21"/>
              </w:rPr>
              <w:t>400</w:t>
            </w:r>
          </w:p>
        </w:tc>
        <w:tc>
          <w:tcPr>
            <w:tcW w:w="543" w:type="pct"/>
          </w:tcPr>
          <w:p w14:paraId="3BAD04CB">
            <w:pPr>
              <w:jc w:val="center"/>
              <w:rPr>
                <w:rFonts w:ascii="Times New Roman" w:eastAsia="仿宋"/>
                <w:szCs w:val="21"/>
              </w:rPr>
            </w:pPr>
            <w:r>
              <w:rPr>
                <w:rFonts w:ascii="Times New Roman" w:eastAsia="仿宋"/>
                <w:szCs w:val="21"/>
              </w:rPr>
              <w:t>64.1</w:t>
            </w:r>
          </w:p>
        </w:tc>
        <w:tc>
          <w:tcPr>
            <w:tcW w:w="637" w:type="pct"/>
            <w:vAlign w:val="bottom"/>
          </w:tcPr>
          <w:p w14:paraId="22834DD5">
            <w:pPr>
              <w:jc w:val="center"/>
              <w:rPr>
                <w:rFonts w:ascii="Times New Roman" w:eastAsia="仿宋"/>
                <w:szCs w:val="21"/>
              </w:rPr>
            </w:pPr>
            <w:r>
              <w:rPr>
                <w:rFonts w:hint="eastAsia" w:ascii="Times New Roman" w:eastAsia="仿宋"/>
                <w:szCs w:val="21"/>
              </w:rPr>
              <w:t>3.2</w:t>
            </w:r>
            <w:r>
              <w:rPr>
                <w:rFonts w:ascii="Times New Roman" w:eastAsia="仿宋"/>
                <w:szCs w:val="21"/>
              </w:rPr>
              <w:t>1</w:t>
            </w:r>
          </w:p>
        </w:tc>
        <w:tc>
          <w:tcPr>
            <w:tcW w:w="626" w:type="pct"/>
          </w:tcPr>
          <w:p w14:paraId="6702BCA1">
            <w:pPr>
              <w:jc w:val="center"/>
              <w:rPr>
                <w:rFonts w:ascii="Times New Roman" w:eastAsia="仿宋"/>
                <w:szCs w:val="21"/>
              </w:rPr>
            </w:pPr>
            <w:r>
              <w:rPr>
                <w:rFonts w:ascii="Times New Roman" w:eastAsia="仿宋"/>
                <w:szCs w:val="21"/>
              </w:rPr>
              <w:t>9.21</w:t>
            </w:r>
          </w:p>
        </w:tc>
        <w:tc>
          <w:tcPr>
            <w:tcW w:w="636" w:type="pct"/>
            <w:vAlign w:val="bottom"/>
          </w:tcPr>
          <w:p w14:paraId="75E25210">
            <w:pPr>
              <w:jc w:val="center"/>
              <w:rPr>
                <w:rFonts w:ascii="Times New Roman" w:eastAsia="仿宋"/>
                <w:szCs w:val="21"/>
              </w:rPr>
            </w:pPr>
            <w:r>
              <w:rPr>
                <w:rFonts w:hint="eastAsia" w:ascii="Times New Roman" w:eastAsia="仿宋"/>
                <w:szCs w:val="21"/>
              </w:rPr>
              <w:t>2.0</w:t>
            </w:r>
            <w:r>
              <w:rPr>
                <w:rFonts w:ascii="Times New Roman" w:eastAsia="仿宋"/>
                <w:szCs w:val="21"/>
              </w:rPr>
              <w:t>5</w:t>
            </w:r>
          </w:p>
        </w:tc>
        <w:tc>
          <w:tcPr>
            <w:tcW w:w="626" w:type="pct"/>
          </w:tcPr>
          <w:p w14:paraId="32302B48">
            <w:pPr>
              <w:jc w:val="center"/>
              <w:rPr>
                <w:rFonts w:ascii="Times New Roman" w:eastAsia="仿宋"/>
                <w:szCs w:val="21"/>
              </w:rPr>
            </w:pPr>
            <w:r>
              <w:rPr>
                <w:rFonts w:ascii="Times New Roman" w:eastAsia="仿宋"/>
                <w:szCs w:val="21"/>
              </w:rPr>
              <w:t>6.81</w:t>
            </w:r>
          </w:p>
        </w:tc>
        <w:tc>
          <w:tcPr>
            <w:tcW w:w="870" w:type="pct"/>
            <w:vAlign w:val="bottom"/>
          </w:tcPr>
          <w:p w14:paraId="1B0EA448">
            <w:pPr>
              <w:jc w:val="center"/>
              <w:rPr>
                <w:rFonts w:ascii="Times New Roman" w:eastAsia="仿宋"/>
                <w:szCs w:val="21"/>
              </w:rPr>
            </w:pPr>
            <w:r>
              <w:rPr>
                <w:rFonts w:hint="eastAsia" w:ascii="Times New Roman" w:eastAsia="仿宋"/>
                <w:szCs w:val="21"/>
              </w:rPr>
              <w:t>3.4</w:t>
            </w:r>
            <w:r>
              <w:rPr>
                <w:rFonts w:ascii="Times New Roman" w:eastAsia="仿宋"/>
                <w:szCs w:val="21"/>
              </w:rPr>
              <w:t>1</w:t>
            </w:r>
          </w:p>
        </w:tc>
      </w:tr>
      <w:tr w14:paraId="1E045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6E85E5ED">
            <w:pPr>
              <w:jc w:val="center"/>
              <w:rPr>
                <w:rFonts w:ascii="Times New Roman" w:eastAsia="仿宋"/>
                <w:szCs w:val="21"/>
              </w:rPr>
            </w:pPr>
            <w:r>
              <w:rPr>
                <w:rFonts w:ascii="Times New Roman" w:eastAsia="仿宋"/>
                <w:szCs w:val="21"/>
              </w:rPr>
              <w:t>500</w:t>
            </w:r>
          </w:p>
        </w:tc>
        <w:tc>
          <w:tcPr>
            <w:tcW w:w="543" w:type="pct"/>
          </w:tcPr>
          <w:p w14:paraId="04BC5CAD">
            <w:pPr>
              <w:jc w:val="center"/>
              <w:rPr>
                <w:rFonts w:ascii="Times New Roman" w:eastAsia="仿宋"/>
                <w:szCs w:val="21"/>
              </w:rPr>
            </w:pPr>
            <w:r>
              <w:rPr>
                <w:rFonts w:ascii="Times New Roman" w:eastAsia="仿宋"/>
                <w:szCs w:val="21"/>
              </w:rPr>
              <w:t>54.7</w:t>
            </w:r>
          </w:p>
        </w:tc>
        <w:tc>
          <w:tcPr>
            <w:tcW w:w="637" w:type="pct"/>
            <w:vAlign w:val="bottom"/>
          </w:tcPr>
          <w:p w14:paraId="142BFF8A">
            <w:pPr>
              <w:jc w:val="center"/>
              <w:rPr>
                <w:rFonts w:ascii="Times New Roman" w:eastAsia="仿宋"/>
                <w:szCs w:val="21"/>
              </w:rPr>
            </w:pPr>
            <w:r>
              <w:rPr>
                <w:rFonts w:hint="eastAsia" w:ascii="Times New Roman" w:eastAsia="仿宋"/>
                <w:szCs w:val="21"/>
              </w:rPr>
              <w:t>2.7</w:t>
            </w:r>
            <w:r>
              <w:rPr>
                <w:rFonts w:ascii="Times New Roman" w:eastAsia="仿宋"/>
                <w:szCs w:val="21"/>
              </w:rPr>
              <w:t>4</w:t>
            </w:r>
          </w:p>
        </w:tc>
        <w:tc>
          <w:tcPr>
            <w:tcW w:w="626" w:type="pct"/>
          </w:tcPr>
          <w:p w14:paraId="021D743B">
            <w:pPr>
              <w:jc w:val="center"/>
              <w:rPr>
                <w:rFonts w:ascii="Times New Roman" w:eastAsia="仿宋"/>
                <w:szCs w:val="21"/>
              </w:rPr>
            </w:pPr>
            <w:r>
              <w:rPr>
                <w:rFonts w:ascii="Times New Roman" w:eastAsia="仿宋"/>
                <w:szCs w:val="21"/>
              </w:rPr>
              <w:t>7.86</w:t>
            </w:r>
          </w:p>
        </w:tc>
        <w:tc>
          <w:tcPr>
            <w:tcW w:w="636" w:type="pct"/>
            <w:vAlign w:val="bottom"/>
          </w:tcPr>
          <w:p w14:paraId="49DEC04D">
            <w:pPr>
              <w:jc w:val="center"/>
              <w:rPr>
                <w:rFonts w:ascii="Times New Roman" w:eastAsia="仿宋"/>
                <w:szCs w:val="21"/>
              </w:rPr>
            </w:pPr>
            <w:r>
              <w:rPr>
                <w:rFonts w:hint="eastAsia" w:ascii="Times New Roman" w:eastAsia="仿宋"/>
                <w:szCs w:val="21"/>
              </w:rPr>
              <w:t>1.7</w:t>
            </w:r>
            <w:r>
              <w:rPr>
                <w:rFonts w:ascii="Times New Roman" w:eastAsia="仿宋"/>
                <w:szCs w:val="21"/>
              </w:rPr>
              <w:t>5</w:t>
            </w:r>
          </w:p>
        </w:tc>
        <w:tc>
          <w:tcPr>
            <w:tcW w:w="626" w:type="pct"/>
          </w:tcPr>
          <w:p w14:paraId="6686700C">
            <w:pPr>
              <w:jc w:val="center"/>
              <w:rPr>
                <w:rFonts w:ascii="Times New Roman" w:eastAsia="仿宋"/>
                <w:szCs w:val="21"/>
              </w:rPr>
            </w:pPr>
            <w:r>
              <w:rPr>
                <w:rFonts w:ascii="Times New Roman" w:eastAsia="仿宋"/>
                <w:szCs w:val="21"/>
              </w:rPr>
              <w:t>5.81</w:t>
            </w:r>
          </w:p>
        </w:tc>
        <w:tc>
          <w:tcPr>
            <w:tcW w:w="870" w:type="pct"/>
            <w:vAlign w:val="bottom"/>
          </w:tcPr>
          <w:p w14:paraId="693B8978">
            <w:pPr>
              <w:jc w:val="center"/>
              <w:rPr>
                <w:rFonts w:ascii="Times New Roman" w:eastAsia="仿宋"/>
                <w:szCs w:val="21"/>
              </w:rPr>
            </w:pPr>
            <w:r>
              <w:rPr>
                <w:rFonts w:hint="eastAsia" w:ascii="Times New Roman" w:eastAsia="仿宋"/>
                <w:szCs w:val="21"/>
              </w:rPr>
              <w:t>2.91</w:t>
            </w:r>
          </w:p>
        </w:tc>
      </w:tr>
      <w:tr w14:paraId="7D64CC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13146ABB">
            <w:pPr>
              <w:jc w:val="center"/>
              <w:rPr>
                <w:rFonts w:ascii="Times New Roman" w:eastAsia="仿宋"/>
                <w:szCs w:val="21"/>
              </w:rPr>
            </w:pPr>
            <w:r>
              <w:rPr>
                <w:rFonts w:ascii="Times New Roman" w:eastAsia="仿宋"/>
                <w:szCs w:val="21"/>
              </w:rPr>
              <w:t>600</w:t>
            </w:r>
          </w:p>
        </w:tc>
        <w:tc>
          <w:tcPr>
            <w:tcW w:w="543" w:type="pct"/>
          </w:tcPr>
          <w:p w14:paraId="0D75578F">
            <w:pPr>
              <w:jc w:val="center"/>
              <w:rPr>
                <w:rFonts w:ascii="Times New Roman" w:eastAsia="仿宋"/>
                <w:szCs w:val="21"/>
              </w:rPr>
            </w:pPr>
            <w:r>
              <w:rPr>
                <w:rFonts w:ascii="Times New Roman" w:eastAsia="仿宋"/>
                <w:szCs w:val="21"/>
              </w:rPr>
              <w:t>48</w:t>
            </w:r>
          </w:p>
        </w:tc>
        <w:tc>
          <w:tcPr>
            <w:tcW w:w="637" w:type="pct"/>
            <w:vAlign w:val="bottom"/>
          </w:tcPr>
          <w:p w14:paraId="6078247F">
            <w:pPr>
              <w:jc w:val="center"/>
              <w:rPr>
                <w:rFonts w:ascii="Times New Roman" w:eastAsia="仿宋"/>
                <w:szCs w:val="21"/>
              </w:rPr>
            </w:pPr>
            <w:r>
              <w:rPr>
                <w:rFonts w:hint="eastAsia" w:ascii="Times New Roman" w:eastAsia="仿宋"/>
                <w:szCs w:val="21"/>
              </w:rPr>
              <w:t>2.4</w:t>
            </w:r>
          </w:p>
        </w:tc>
        <w:tc>
          <w:tcPr>
            <w:tcW w:w="626" w:type="pct"/>
          </w:tcPr>
          <w:p w14:paraId="3E7E2CB8">
            <w:pPr>
              <w:jc w:val="center"/>
              <w:rPr>
                <w:rFonts w:ascii="Times New Roman" w:eastAsia="仿宋"/>
                <w:szCs w:val="21"/>
              </w:rPr>
            </w:pPr>
            <w:r>
              <w:rPr>
                <w:rFonts w:ascii="Times New Roman" w:eastAsia="仿宋"/>
                <w:szCs w:val="21"/>
              </w:rPr>
              <w:t>6.91</w:t>
            </w:r>
          </w:p>
        </w:tc>
        <w:tc>
          <w:tcPr>
            <w:tcW w:w="636" w:type="pct"/>
            <w:vAlign w:val="bottom"/>
          </w:tcPr>
          <w:p w14:paraId="2E7A3500">
            <w:pPr>
              <w:jc w:val="center"/>
              <w:rPr>
                <w:rFonts w:ascii="Times New Roman" w:eastAsia="仿宋"/>
                <w:szCs w:val="21"/>
              </w:rPr>
            </w:pPr>
            <w:r>
              <w:rPr>
                <w:rFonts w:hint="eastAsia" w:ascii="Times New Roman" w:eastAsia="仿宋"/>
                <w:szCs w:val="21"/>
              </w:rPr>
              <w:t>1.5</w:t>
            </w:r>
            <w:r>
              <w:rPr>
                <w:rFonts w:ascii="Times New Roman" w:eastAsia="仿宋"/>
                <w:szCs w:val="21"/>
              </w:rPr>
              <w:t>4</w:t>
            </w:r>
          </w:p>
        </w:tc>
        <w:tc>
          <w:tcPr>
            <w:tcW w:w="626" w:type="pct"/>
          </w:tcPr>
          <w:p w14:paraId="7A60D4F6">
            <w:pPr>
              <w:jc w:val="center"/>
              <w:rPr>
                <w:rFonts w:ascii="Times New Roman" w:eastAsia="仿宋"/>
                <w:szCs w:val="21"/>
              </w:rPr>
            </w:pPr>
            <w:r>
              <w:rPr>
                <w:rFonts w:ascii="Times New Roman" w:eastAsia="仿宋"/>
                <w:szCs w:val="21"/>
              </w:rPr>
              <w:t>5.10</w:t>
            </w:r>
          </w:p>
        </w:tc>
        <w:tc>
          <w:tcPr>
            <w:tcW w:w="870" w:type="pct"/>
            <w:vAlign w:val="bottom"/>
          </w:tcPr>
          <w:p w14:paraId="11567BAB">
            <w:pPr>
              <w:jc w:val="center"/>
              <w:rPr>
                <w:rFonts w:ascii="Times New Roman" w:eastAsia="仿宋"/>
                <w:szCs w:val="21"/>
              </w:rPr>
            </w:pPr>
            <w:r>
              <w:rPr>
                <w:rFonts w:hint="eastAsia" w:ascii="Times New Roman" w:eastAsia="仿宋"/>
                <w:szCs w:val="21"/>
              </w:rPr>
              <w:t>2.55</w:t>
            </w:r>
          </w:p>
        </w:tc>
      </w:tr>
      <w:tr w14:paraId="0F68EA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633386D1">
            <w:pPr>
              <w:jc w:val="center"/>
              <w:rPr>
                <w:rFonts w:ascii="Times New Roman" w:eastAsia="仿宋"/>
                <w:szCs w:val="21"/>
              </w:rPr>
            </w:pPr>
            <w:r>
              <w:rPr>
                <w:rFonts w:ascii="Times New Roman" w:eastAsia="仿宋"/>
                <w:szCs w:val="21"/>
              </w:rPr>
              <w:t>700</w:t>
            </w:r>
          </w:p>
        </w:tc>
        <w:tc>
          <w:tcPr>
            <w:tcW w:w="543" w:type="pct"/>
          </w:tcPr>
          <w:p w14:paraId="783E2C02">
            <w:pPr>
              <w:jc w:val="center"/>
              <w:rPr>
                <w:rFonts w:ascii="Times New Roman" w:eastAsia="仿宋"/>
                <w:szCs w:val="21"/>
              </w:rPr>
            </w:pPr>
            <w:r>
              <w:rPr>
                <w:rFonts w:ascii="Times New Roman" w:eastAsia="仿宋"/>
                <w:szCs w:val="21"/>
              </w:rPr>
              <w:t>43.1</w:t>
            </w:r>
          </w:p>
        </w:tc>
        <w:tc>
          <w:tcPr>
            <w:tcW w:w="637" w:type="pct"/>
            <w:vAlign w:val="bottom"/>
          </w:tcPr>
          <w:p w14:paraId="7B7E2FD7">
            <w:pPr>
              <w:jc w:val="center"/>
              <w:rPr>
                <w:rFonts w:ascii="Times New Roman" w:eastAsia="仿宋"/>
                <w:szCs w:val="21"/>
              </w:rPr>
            </w:pPr>
            <w:r>
              <w:rPr>
                <w:rFonts w:hint="eastAsia" w:ascii="Times New Roman" w:eastAsia="仿宋"/>
                <w:szCs w:val="21"/>
              </w:rPr>
              <w:t>2.1</w:t>
            </w:r>
            <w:r>
              <w:rPr>
                <w:rFonts w:ascii="Times New Roman" w:eastAsia="仿宋"/>
                <w:szCs w:val="21"/>
              </w:rPr>
              <w:t>6</w:t>
            </w:r>
          </w:p>
        </w:tc>
        <w:tc>
          <w:tcPr>
            <w:tcW w:w="626" w:type="pct"/>
          </w:tcPr>
          <w:p w14:paraId="7C3BA420">
            <w:pPr>
              <w:jc w:val="center"/>
              <w:rPr>
                <w:rFonts w:ascii="Times New Roman" w:eastAsia="仿宋"/>
                <w:szCs w:val="21"/>
              </w:rPr>
            </w:pPr>
            <w:r>
              <w:rPr>
                <w:rFonts w:ascii="Times New Roman" w:eastAsia="仿宋"/>
                <w:szCs w:val="21"/>
              </w:rPr>
              <w:t>6.19</w:t>
            </w:r>
          </w:p>
        </w:tc>
        <w:tc>
          <w:tcPr>
            <w:tcW w:w="636" w:type="pct"/>
            <w:vAlign w:val="bottom"/>
          </w:tcPr>
          <w:p w14:paraId="0AC0EF91">
            <w:pPr>
              <w:jc w:val="center"/>
              <w:rPr>
                <w:rFonts w:ascii="Times New Roman" w:eastAsia="仿宋"/>
                <w:szCs w:val="21"/>
              </w:rPr>
            </w:pPr>
            <w:r>
              <w:rPr>
                <w:rFonts w:hint="eastAsia" w:ascii="Times New Roman" w:eastAsia="仿宋"/>
                <w:szCs w:val="21"/>
              </w:rPr>
              <w:t>1.3</w:t>
            </w:r>
            <w:r>
              <w:rPr>
                <w:rFonts w:ascii="Times New Roman" w:eastAsia="仿宋"/>
                <w:szCs w:val="21"/>
              </w:rPr>
              <w:t>8</w:t>
            </w:r>
          </w:p>
        </w:tc>
        <w:tc>
          <w:tcPr>
            <w:tcW w:w="626" w:type="pct"/>
          </w:tcPr>
          <w:p w14:paraId="15EBA6FB">
            <w:pPr>
              <w:jc w:val="center"/>
              <w:rPr>
                <w:rFonts w:ascii="Times New Roman" w:eastAsia="仿宋"/>
                <w:szCs w:val="21"/>
              </w:rPr>
            </w:pPr>
            <w:r>
              <w:rPr>
                <w:rFonts w:ascii="Times New Roman" w:eastAsia="仿宋"/>
                <w:szCs w:val="21"/>
              </w:rPr>
              <w:t>4.58</w:t>
            </w:r>
          </w:p>
        </w:tc>
        <w:tc>
          <w:tcPr>
            <w:tcW w:w="870" w:type="pct"/>
            <w:vAlign w:val="bottom"/>
          </w:tcPr>
          <w:p w14:paraId="4E9A10EC">
            <w:pPr>
              <w:jc w:val="center"/>
              <w:rPr>
                <w:rFonts w:ascii="Times New Roman" w:eastAsia="仿宋"/>
                <w:szCs w:val="21"/>
              </w:rPr>
            </w:pPr>
            <w:r>
              <w:rPr>
                <w:rFonts w:hint="eastAsia" w:ascii="Times New Roman" w:eastAsia="仿宋"/>
                <w:szCs w:val="21"/>
              </w:rPr>
              <w:t>2.29</w:t>
            </w:r>
          </w:p>
        </w:tc>
      </w:tr>
      <w:tr w14:paraId="4C9BEA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5F8AC0BF">
            <w:pPr>
              <w:jc w:val="center"/>
              <w:rPr>
                <w:rFonts w:ascii="Times New Roman" w:eastAsia="仿宋"/>
                <w:szCs w:val="21"/>
              </w:rPr>
            </w:pPr>
            <w:r>
              <w:rPr>
                <w:rFonts w:ascii="Times New Roman" w:eastAsia="仿宋"/>
                <w:szCs w:val="21"/>
              </w:rPr>
              <w:t>800</w:t>
            </w:r>
          </w:p>
        </w:tc>
        <w:tc>
          <w:tcPr>
            <w:tcW w:w="543" w:type="pct"/>
          </w:tcPr>
          <w:p w14:paraId="75F54AAD">
            <w:pPr>
              <w:jc w:val="center"/>
              <w:rPr>
                <w:rFonts w:ascii="Times New Roman" w:eastAsia="仿宋"/>
                <w:szCs w:val="21"/>
              </w:rPr>
            </w:pPr>
            <w:r>
              <w:rPr>
                <w:rFonts w:ascii="Times New Roman" w:eastAsia="仿宋"/>
                <w:szCs w:val="21"/>
              </w:rPr>
              <w:t>39.2</w:t>
            </w:r>
          </w:p>
        </w:tc>
        <w:tc>
          <w:tcPr>
            <w:tcW w:w="637" w:type="pct"/>
            <w:vAlign w:val="bottom"/>
          </w:tcPr>
          <w:p w14:paraId="6DC51EFE">
            <w:pPr>
              <w:jc w:val="center"/>
              <w:rPr>
                <w:rFonts w:ascii="Times New Roman" w:eastAsia="仿宋"/>
                <w:szCs w:val="21"/>
              </w:rPr>
            </w:pPr>
            <w:r>
              <w:rPr>
                <w:rFonts w:hint="eastAsia" w:ascii="Times New Roman" w:eastAsia="仿宋"/>
                <w:szCs w:val="21"/>
              </w:rPr>
              <w:t>1.96</w:t>
            </w:r>
          </w:p>
        </w:tc>
        <w:tc>
          <w:tcPr>
            <w:tcW w:w="626" w:type="pct"/>
          </w:tcPr>
          <w:p w14:paraId="11EB6980">
            <w:pPr>
              <w:jc w:val="center"/>
              <w:rPr>
                <w:rFonts w:ascii="Times New Roman" w:eastAsia="仿宋"/>
                <w:szCs w:val="21"/>
              </w:rPr>
            </w:pPr>
            <w:r>
              <w:rPr>
                <w:rFonts w:ascii="Times New Roman" w:eastAsia="仿宋"/>
                <w:szCs w:val="21"/>
              </w:rPr>
              <w:t>5.63</w:t>
            </w:r>
          </w:p>
        </w:tc>
        <w:tc>
          <w:tcPr>
            <w:tcW w:w="636" w:type="pct"/>
            <w:vAlign w:val="bottom"/>
          </w:tcPr>
          <w:p w14:paraId="11A32064">
            <w:pPr>
              <w:jc w:val="center"/>
              <w:rPr>
                <w:rFonts w:ascii="Times New Roman" w:eastAsia="仿宋"/>
                <w:szCs w:val="21"/>
              </w:rPr>
            </w:pPr>
            <w:r>
              <w:rPr>
                <w:rFonts w:hint="eastAsia" w:ascii="Times New Roman" w:eastAsia="仿宋"/>
                <w:szCs w:val="21"/>
              </w:rPr>
              <w:t>1.2</w:t>
            </w:r>
            <w:r>
              <w:rPr>
                <w:rFonts w:ascii="Times New Roman" w:eastAsia="仿宋"/>
                <w:szCs w:val="21"/>
              </w:rPr>
              <w:t>5</w:t>
            </w:r>
          </w:p>
        </w:tc>
        <w:tc>
          <w:tcPr>
            <w:tcW w:w="626" w:type="pct"/>
          </w:tcPr>
          <w:p w14:paraId="2B8589B5">
            <w:pPr>
              <w:jc w:val="center"/>
              <w:rPr>
                <w:rFonts w:ascii="Times New Roman" w:eastAsia="仿宋"/>
                <w:szCs w:val="21"/>
              </w:rPr>
            </w:pPr>
            <w:r>
              <w:rPr>
                <w:rFonts w:ascii="Times New Roman" w:eastAsia="仿宋"/>
                <w:szCs w:val="21"/>
              </w:rPr>
              <w:t>4.16</w:t>
            </w:r>
          </w:p>
        </w:tc>
        <w:tc>
          <w:tcPr>
            <w:tcW w:w="870" w:type="pct"/>
            <w:vAlign w:val="bottom"/>
          </w:tcPr>
          <w:p w14:paraId="793FF72C">
            <w:pPr>
              <w:jc w:val="center"/>
              <w:rPr>
                <w:rFonts w:ascii="Times New Roman" w:eastAsia="仿宋"/>
                <w:szCs w:val="21"/>
              </w:rPr>
            </w:pPr>
            <w:r>
              <w:rPr>
                <w:rFonts w:hint="eastAsia" w:ascii="Times New Roman" w:eastAsia="仿宋"/>
                <w:szCs w:val="21"/>
              </w:rPr>
              <w:t>2.08</w:t>
            </w:r>
          </w:p>
        </w:tc>
      </w:tr>
      <w:tr w14:paraId="722314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2926BD22">
            <w:pPr>
              <w:jc w:val="center"/>
              <w:rPr>
                <w:rFonts w:ascii="Times New Roman" w:eastAsia="仿宋"/>
                <w:szCs w:val="21"/>
              </w:rPr>
            </w:pPr>
            <w:r>
              <w:rPr>
                <w:rFonts w:ascii="Times New Roman" w:eastAsia="仿宋"/>
                <w:szCs w:val="21"/>
              </w:rPr>
              <w:t>900</w:t>
            </w:r>
          </w:p>
        </w:tc>
        <w:tc>
          <w:tcPr>
            <w:tcW w:w="543" w:type="pct"/>
          </w:tcPr>
          <w:p w14:paraId="63A0CC0E">
            <w:pPr>
              <w:jc w:val="center"/>
              <w:rPr>
                <w:rFonts w:ascii="Times New Roman" w:eastAsia="仿宋"/>
                <w:szCs w:val="21"/>
              </w:rPr>
            </w:pPr>
            <w:r>
              <w:rPr>
                <w:rFonts w:ascii="Times New Roman" w:eastAsia="仿宋"/>
                <w:szCs w:val="21"/>
              </w:rPr>
              <w:t>36.1</w:t>
            </w:r>
          </w:p>
        </w:tc>
        <w:tc>
          <w:tcPr>
            <w:tcW w:w="637" w:type="pct"/>
            <w:vAlign w:val="bottom"/>
          </w:tcPr>
          <w:p w14:paraId="7F47B9DF">
            <w:pPr>
              <w:jc w:val="center"/>
              <w:rPr>
                <w:rFonts w:ascii="Times New Roman" w:eastAsia="仿宋"/>
                <w:szCs w:val="21"/>
              </w:rPr>
            </w:pPr>
            <w:r>
              <w:rPr>
                <w:rFonts w:hint="eastAsia" w:ascii="Times New Roman" w:eastAsia="仿宋"/>
                <w:szCs w:val="21"/>
              </w:rPr>
              <w:t>1.81</w:t>
            </w:r>
          </w:p>
        </w:tc>
        <w:tc>
          <w:tcPr>
            <w:tcW w:w="626" w:type="pct"/>
          </w:tcPr>
          <w:p w14:paraId="6281B378">
            <w:pPr>
              <w:jc w:val="center"/>
              <w:rPr>
                <w:rFonts w:ascii="Times New Roman" w:eastAsia="仿宋"/>
                <w:szCs w:val="21"/>
              </w:rPr>
            </w:pPr>
            <w:r>
              <w:rPr>
                <w:rFonts w:ascii="Times New Roman" w:eastAsia="仿宋"/>
                <w:szCs w:val="21"/>
              </w:rPr>
              <w:t>5.19</w:t>
            </w:r>
          </w:p>
        </w:tc>
        <w:tc>
          <w:tcPr>
            <w:tcW w:w="636" w:type="pct"/>
            <w:vAlign w:val="bottom"/>
          </w:tcPr>
          <w:p w14:paraId="3CE41D71">
            <w:pPr>
              <w:jc w:val="center"/>
              <w:rPr>
                <w:rFonts w:ascii="Times New Roman" w:eastAsia="仿宋"/>
                <w:szCs w:val="21"/>
              </w:rPr>
            </w:pPr>
            <w:r>
              <w:rPr>
                <w:rFonts w:hint="eastAsia" w:ascii="Times New Roman" w:eastAsia="仿宋"/>
                <w:szCs w:val="21"/>
              </w:rPr>
              <w:t>1.15</w:t>
            </w:r>
          </w:p>
        </w:tc>
        <w:tc>
          <w:tcPr>
            <w:tcW w:w="626" w:type="pct"/>
          </w:tcPr>
          <w:p w14:paraId="1F1DAB32">
            <w:pPr>
              <w:jc w:val="center"/>
              <w:rPr>
                <w:rFonts w:ascii="Times New Roman" w:eastAsia="仿宋"/>
                <w:szCs w:val="21"/>
              </w:rPr>
            </w:pPr>
            <w:r>
              <w:rPr>
                <w:rFonts w:ascii="Times New Roman" w:eastAsia="仿宋"/>
                <w:szCs w:val="21"/>
              </w:rPr>
              <w:t>3.83</w:t>
            </w:r>
          </w:p>
        </w:tc>
        <w:tc>
          <w:tcPr>
            <w:tcW w:w="870" w:type="pct"/>
            <w:vAlign w:val="bottom"/>
          </w:tcPr>
          <w:p w14:paraId="779C5A35">
            <w:pPr>
              <w:jc w:val="center"/>
              <w:rPr>
                <w:rFonts w:ascii="Times New Roman" w:eastAsia="仿宋"/>
                <w:szCs w:val="21"/>
              </w:rPr>
            </w:pPr>
            <w:r>
              <w:rPr>
                <w:rFonts w:hint="eastAsia" w:ascii="Times New Roman" w:eastAsia="仿宋"/>
                <w:szCs w:val="21"/>
              </w:rPr>
              <w:t>1.9</w:t>
            </w:r>
            <w:r>
              <w:rPr>
                <w:rFonts w:ascii="Times New Roman" w:eastAsia="仿宋"/>
                <w:szCs w:val="21"/>
              </w:rPr>
              <w:t>2</w:t>
            </w:r>
          </w:p>
        </w:tc>
      </w:tr>
      <w:tr w14:paraId="53D902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3B4652E0">
            <w:pPr>
              <w:jc w:val="center"/>
              <w:rPr>
                <w:rFonts w:ascii="Times New Roman" w:eastAsia="仿宋"/>
                <w:szCs w:val="21"/>
              </w:rPr>
            </w:pPr>
            <w:r>
              <w:rPr>
                <w:rFonts w:ascii="Times New Roman" w:eastAsia="仿宋"/>
                <w:szCs w:val="21"/>
              </w:rPr>
              <w:t>1000</w:t>
            </w:r>
          </w:p>
        </w:tc>
        <w:tc>
          <w:tcPr>
            <w:tcW w:w="543" w:type="pct"/>
          </w:tcPr>
          <w:p w14:paraId="58BD61CE">
            <w:pPr>
              <w:jc w:val="center"/>
              <w:rPr>
                <w:rFonts w:ascii="Times New Roman" w:eastAsia="仿宋"/>
                <w:szCs w:val="21"/>
              </w:rPr>
            </w:pPr>
            <w:r>
              <w:rPr>
                <w:rFonts w:ascii="Times New Roman" w:eastAsia="仿宋"/>
                <w:szCs w:val="21"/>
              </w:rPr>
              <w:t>33.5</w:t>
            </w:r>
          </w:p>
        </w:tc>
        <w:tc>
          <w:tcPr>
            <w:tcW w:w="637" w:type="pct"/>
            <w:vAlign w:val="bottom"/>
          </w:tcPr>
          <w:p w14:paraId="452C4CBF">
            <w:pPr>
              <w:jc w:val="center"/>
              <w:rPr>
                <w:rFonts w:ascii="Times New Roman" w:eastAsia="仿宋"/>
                <w:szCs w:val="21"/>
              </w:rPr>
            </w:pPr>
            <w:r>
              <w:rPr>
                <w:rFonts w:hint="eastAsia" w:ascii="Times New Roman" w:eastAsia="仿宋"/>
                <w:szCs w:val="21"/>
              </w:rPr>
              <w:t>1.6</w:t>
            </w:r>
            <w:r>
              <w:rPr>
                <w:rFonts w:ascii="Times New Roman" w:eastAsia="仿宋"/>
                <w:szCs w:val="21"/>
              </w:rPr>
              <w:t>6</w:t>
            </w:r>
          </w:p>
        </w:tc>
        <w:tc>
          <w:tcPr>
            <w:tcW w:w="626" w:type="pct"/>
          </w:tcPr>
          <w:p w14:paraId="7145E327">
            <w:pPr>
              <w:jc w:val="center"/>
              <w:rPr>
                <w:rFonts w:ascii="Times New Roman" w:eastAsia="仿宋"/>
                <w:szCs w:val="21"/>
              </w:rPr>
            </w:pPr>
            <w:r>
              <w:rPr>
                <w:rFonts w:ascii="Times New Roman" w:eastAsia="仿宋"/>
                <w:szCs w:val="21"/>
              </w:rPr>
              <w:t>4.81</w:t>
            </w:r>
          </w:p>
        </w:tc>
        <w:tc>
          <w:tcPr>
            <w:tcW w:w="636" w:type="pct"/>
            <w:vAlign w:val="bottom"/>
          </w:tcPr>
          <w:p w14:paraId="1DF82F0A">
            <w:pPr>
              <w:jc w:val="center"/>
              <w:rPr>
                <w:rFonts w:ascii="Times New Roman" w:eastAsia="仿宋"/>
                <w:szCs w:val="21"/>
              </w:rPr>
            </w:pPr>
            <w:r>
              <w:rPr>
                <w:rFonts w:hint="eastAsia" w:ascii="Times New Roman" w:eastAsia="仿宋"/>
                <w:szCs w:val="21"/>
              </w:rPr>
              <w:t>1.0</w:t>
            </w:r>
            <w:r>
              <w:rPr>
                <w:rFonts w:ascii="Times New Roman" w:eastAsia="仿宋"/>
                <w:szCs w:val="21"/>
              </w:rPr>
              <w:t>7</w:t>
            </w:r>
          </w:p>
        </w:tc>
        <w:tc>
          <w:tcPr>
            <w:tcW w:w="626" w:type="pct"/>
          </w:tcPr>
          <w:p w14:paraId="26E96B69">
            <w:pPr>
              <w:jc w:val="center"/>
              <w:rPr>
                <w:rFonts w:ascii="Times New Roman" w:eastAsia="仿宋"/>
                <w:szCs w:val="21"/>
              </w:rPr>
            </w:pPr>
            <w:r>
              <w:rPr>
                <w:rFonts w:ascii="Times New Roman" w:eastAsia="仿宋"/>
                <w:szCs w:val="21"/>
              </w:rPr>
              <w:t>3.56</w:t>
            </w:r>
          </w:p>
        </w:tc>
        <w:tc>
          <w:tcPr>
            <w:tcW w:w="870" w:type="pct"/>
            <w:vAlign w:val="bottom"/>
          </w:tcPr>
          <w:p w14:paraId="2CC7620F">
            <w:pPr>
              <w:jc w:val="center"/>
              <w:rPr>
                <w:rFonts w:ascii="Times New Roman" w:eastAsia="仿宋"/>
                <w:szCs w:val="21"/>
              </w:rPr>
            </w:pPr>
            <w:r>
              <w:rPr>
                <w:rFonts w:hint="eastAsia" w:ascii="Times New Roman" w:eastAsia="仿宋"/>
                <w:szCs w:val="21"/>
              </w:rPr>
              <w:t>1.78</w:t>
            </w:r>
          </w:p>
        </w:tc>
      </w:tr>
      <w:tr w14:paraId="2BEE6B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312E9E8B">
            <w:pPr>
              <w:jc w:val="center"/>
              <w:rPr>
                <w:rFonts w:ascii="Times New Roman" w:eastAsia="仿宋"/>
                <w:szCs w:val="21"/>
              </w:rPr>
            </w:pPr>
            <w:r>
              <w:rPr>
                <w:rFonts w:ascii="Times New Roman" w:eastAsia="仿宋"/>
                <w:szCs w:val="21"/>
              </w:rPr>
              <w:t>1200</w:t>
            </w:r>
          </w:p>
        </w:tc>
        <w:tc>
          <w:tcPr>
            <w:tcW w:w="543" w:type="pct"/>
          </w:tcPr>
          <w:p w14:paraId="2727550A">
            <w:pPr>
              <w:jc w:val="center"/>
              <w:rPr>
                <w:rFonts w:ascii="Times New Roman" w:eastAsia="仿宋"/>
                <w:szCs w:val="21"/>
              </w:rPr>
            </w:pPr>
            <w:r>
              <w:rPr>
                <w:rFonts w:ascii="Times New Roman" w:eastAsia="仿宋"/>
                <w:szCs w:val="21"/>
              </w:rPr>
              <w:t>29.4</w:t>
            </w:r>
          </w:p>
        </w:tc>
        <w:tc>
          <w:tcPr>
            <w:tcW w:w="637" w:type="pct"/>
            <w:vAlign w:val="bottom"/>
          </w:tcPr>
          <w:p w14:paraId="2B220F3F">
            <w:pPr>
              <w:jc w:val="center"/>
              <w:rPr>
                <w:rFonts w:ascii="Times New Roman" w:eastAsia="仿宋"/>
                <w:szCs w:val="21"/>
              </w:rPr>
            </w:pPr>
            <w:r>
              <w:rPr>
                <w:rFonts w:hint="eastAsia" w:ascii="Times New Roman" w:eastAsia="仿宋"/>
                <w:szCs w:val="21"/>
              </w:rPr>
              <w:t>1.47</w:t>
            </w:r>
          </w:p>
        </w:tc>
        <w:tc>
          <w:tcPr>
            <w:tcW w:w="626" w:type="pct"/>
          </w:tcPr>
          <w:p w14:paraId="2BF09BC9">
            <w:pPr>
              <w:jc w:val="center"/>
              <w:rPr>
                <w:rFonts w:ascii="Times New Roman" w:eastAsia="仿宋"/>
                <w:szCs w:val="21"/>
              </w:rPr>
            </w:pPr>
            <w:r>
              <w:rPr>
                <w:rFonts w:ascii="Times New Roman" w:eastAsia="仿宋"/>
                <w:szCs w:val="21"/>
              </w:rPr>
              <w:t>4.23</w:t>
            </w:r>
          </w:p>
        </w:tc>
        <w:tc>
          <w:tcPr>
            <w:tcW w:w="636" w:type="pct"/>
            <w:vAlign w:val="bottom"/>
          </w:tcPr>
          <w:p w14:paraId="6176B2E9">
            <w:pPr>
              <w:jc w:val="center"/>
              <w:rPr>
                <w:rFonts w:ascii="Times New Roman" w:eastAsia="仿宋"/>
                <w:szCs w:val="21"/>
              </w:rPr>
            </w:pPr>
            <w:r>
              <w:rPr>
                <w:rFonts w:hint="eastAsia" w:ascii="Times New Roman" w:eastAsia="仿宋"/>
                <w:szCs w:val="21"/>
              </w:rPr>
              <w:t>0.94</w:t>
            </w:r>
          </w:p>
        </w:tc>
        <w:tc>
          <w:tcPr>
            <w:tcW w:w="626" w:type="pct"/>
          </w:tcPr>
          <w:p w14:paraId="57C18A49">
            <w:pPr>
              <w:jc w:val="center"/>
              <w:rPr>
                <w:rFonts w:ascii="Times New Roman" w:eastAsia="仿宋"/>
                <w:szCs w:val="21"/>
              </w:rPr>
            </w:pPr>
            <w:r>
              <w:rPr>
                <w:rFonts w:ascii="Times New Roman" w:eastAsia="仿宋"/>
                <w:szCs w:val="21"/>
              </w:rPr>
              <w:t>3.13</w:t>
            </w:r>
          </w:p>
        </w:tc>
        <w:tc>
          <w:tcPr>
            <w:tcW w:w="870" w:type="pct"/>
            <w:vAlign w:val="bottom"/>
          </w:tcPr>
          <w:p w14:paraId="70DF80AB">
            <w:pPr>
              <w:jc w:val="center"/>
              <w:rPr>
                <w:rFonts w:ascii="Times New Roman" w:eastAsia="仿宋"/>
                <w:szCs w:val="21"/>
              </w:rPr>
            </w:pPr>
            <w:r>
              <w:rPr>
                <w:rFonts w:hint="eastAsia" w:ascii="Times New Roman" w:eastAsia="仿宋"/>
                <w:szCs w:val="21"/>
              </w:rPr>
              <w:t>1.5</w:t>
            </w:r>
            <w:r>
              <w:rPr>
                <w:rFonts w:ascii="Times New Roman" w:eastAsia="仿宋"/>
                <w:szCs w:val="21"/>
              </w:rPr>
              <w:t>7</w:t>
            </w:r>
          </w:p>
        </w:tc>
      </w:tr>
      <w:tr w14:paraId="0ECA5C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5A760254">
            <w:pPr>
              <w:jc w:val="center"/>
              <w:rPr>
                <w:rFonts w:ascii="Times New Roman" w:eastAsia="仿宋"/>
                <w:szCs w:val="21"/>
              </w:rPr>
            </w:pPr>
            <w:r>
              <w:rPr>
                <w:rFonts w:ascii="Times New Roman" w:eastAsia="仿宋"/>
                <w:szCs w:val="21"/>
              </w:rPr>
              <w:t>1400</w:t>
            </w:r>
          </w:p>
        </w:tc>
        <w:tc>
          <w:tcPr>
            <w:tcW w:w="543" w:type="pct"/>
          </w:tcPr>
          <w:p w14:paraId="1982A901">
            <w:pPr>
              <w:jc w:val="center"/>
              <w:rPr>
                <w:rFonts w:ascii="Times New Roman" w:eastAsia="仿宋"/>
                <w:szCs w:val="21"/>
              </w:rPr>
            </w:pPr>
            <w:r>
              <w:rPr>
                <w:rFonts w:ascii="Times New Roman" w:eastAsia="仿宋"/>
                <w:szCs w:val="21"/>
              </w:rPr>
              <w:t>26.4</w:t>
            </w:r>
          </w:p>
        </w:tc>
        <w:tc>
          <w:tcPr>
            <w:tcW w:w="637" w:type="pct"/>
            <w:vAlign w:val="bottom"/>
          </w:tcPr>
          <w:p w14:paraId="4304546D">
            <w:pPr>
              <w:jc w:val="center"/>
              <w:rPr>
                <w:rFonts w:ascii="Times New Roman" w:eastAsia="仿宋"/>
                <w:szCs w:val="21"/>
              </w:rPr>
            </w:pPr>
            <w:r>
              <w:rPr>
                <w:rFonts w:hint="eastAsia" w:ascii="Times New Roman" w:eastAsia="仿宋"/>
                <w:szCs w:val="21"/>
              </w:rPr>
              <w:t>1.32</w:t>
            </w:r>
          </w:p>
        </w:tc>
        <w:tc>
          <w:tcPr>
            <w:tcW w:w="626" w:type="pct"/>
          </w:tcPr>
          <w:p w14:paraId="71FAE95A">
            <w:pPr>
              <w:jc w:val="center"/>
              <w:rPr>
                <w:rFonts w:ascii="Times New Roman" w:eastAsia="仿宋"/>
                <w:szCs w:val="21"/>
              </w:rPr>
            </w:pPr>
            <w:r>
              <w:rPr>
                <w:rFonts w:ascii="Times New Roman" w:eastAsia="仿宋"/>
                <w:szCs w:val="21"/>
              </w:rPr>
              <w:t>3.80</w:t>
            </w:r>
          </w:p>
        </w:tc>
        <w:tc>
          <w:tcPr>
            <w:tcW w:w="636" w:type="pct"/>
            <w:vAlign w:val="bottom"/>
          </w:tcPr>
          <w:p w14:paraId="1C05911C">
            <w:pPr>
              <w:jc w:val="center"/>
              <w:rPr>
                <w:rFonts w:ascii="Times New Roman" w:eastAsia="仿宋"/>
                <w:szCs w:val="21"/>
              </w:rPr>
            </w:pPr>
            <w:r>
              <w:rPr>
                <w:rFonts w:hint="eastAsia" w:ascii="Times New Roman" w:eastAsia="仿宋"/>
                <w:szCs w:val="21"/>
              </w:rPr>
              <w:t>0.84</w:t>
            </w:r>
          </w:p>
        </w:tc>
        <w:tc>
          <w:tcPr>
            <w:tcW w:w="626" w:type="pct"/>
          </w:tcPr>
          <w:p w14:paraId="67167450">
            <w:pPr>
              <w:jc w:val="center"/>
              <w:rPr>
                <w:rFonts w:ascii="Times New Roman" w:eastAsia="仿宋"/>
                <w:szCs w:val="21"/>
              </w:rPr>
            </w:pPr>
            <w:r>
              <w:rPr>
                <w:rFonts w:ascii="Times New Roman" w:eastAsia="仿宋"/>
                <w:szCs w:val="21"/>
              </w:rPr>
              <w:t>2.81</w:t>
            </w:r>
          </w:p>
        </w:tc>
        <w:tc>
          <w:tcPr>
            <w:tcW w:w="870" w:type="pct"/>
            <w:vAlign w:val="bottom"/>
          </w:tcPr>
          <w:p w14:paraId="696E0531">
            <w:pPr>
              <w:jc w:val="center"/>
              <w:rPr>
                <w:rFonts w:ascii="Times New Roman" w:eastAsia="仿宋"/>
                <w:szCs w:val="21"/>
              </w:rPr>
            </w:pPr>
            <w:r>
              <w:rPr>
                <w:rFonts w:hint="eastAsia" w:ascii="Times New Roman" w:eastAsia="仿宋"/>
                <w:szCs w:val="21"/>
              </w:rPr>
              <w:t>1.4</w:t>
            </w:r>
            <w:r>
              <w:rPr>
                <w:rFonts w:ascii="Times New Roman" w:eastAsia="仿宋"/>
                <w:szCs w:val="21"/>
              </w:rPr>
              <w:t>1</w:t>
            </w:r>
          </w:p>
        </w:tc>
      </w:tr>
      <w:tr w14:paraId="388D0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68AC4D81">
            <w:pPr>
              <w:jc w:val="center"/>
              <w:rPr>
                <w:rFonts w:ascii="Times New Roman" w:eastAsia="仿宋"/>
                <w:szCs w:val="21"/>
              </w:rPr>
            </w:pPr>
            <w:r>
              <w:rPr>
                <w:rFonts w:ascii="Times New Roman" w:eastAsia="仿宋"/>
                <w:szCs w:val="21"/>
              </w:rPr>
              <w:t>1600</w:t>
            </w:r>
          </w:p>
        </w:tc>
        <w:tc>
          <w:tcPr>
            <w:tcW w:w="543" w:type="pct"/>
          </w:tcPr>
          <w:p w14:paraId="284F1FBF">
            <w:pPr>
              <w:jc w:val="center"/>
              <w:rPr>
                <w:rFonts w:ascii="Times New Roman" w:eastAsia="仿宋"/>
                <w:szCs w:val="21"/>
              </w:rPr>
            </w:pPr>
            <w:r>
              <w:rPr>
                <w:rFonts w:ascii="Times New Roman" w:eastAsia="仿宋"/>
                <w:szCs w:val="21"/>
              </w:rPr>
              <w:t>24.1</w:t>
            </w:r>
          </w:p>
        </w:tc>
        <w:tc>
          <w:tcPr>
            <w:tcW w:w="637" w:type="pct"/>
            <w:vAlign w:val="bottom"/>
          </w:tcPr>
          <w:p w14:paraId="46D653D3">
            <w:pPr>
              <w:jc w:val="center"/>
              <w:rPr>
                <w:rFonts w:ascii="Times New Roman" w:eastAsia="仿宋"/>
                <w:szCs w:val="21"/>
              </w:rPr>
            </w:pPr>
            <w:r>
              <w:rPr>
                <w:rFonts w:hint="eastAsia" w:ascii="Times New Roman" w:eastAsia="仿宋"/>
                <w:szCs w:val="21"/>
              </w:rPr>
              <w:t>1.21</w:t>
            </w:r>
          </w:p>
        </w:tc>
        <w:tc>
          <w:tcPr>
            <w:tcW w:w="626" w:type="pct"/>
          </w:tcPr>
          <w:p w14:paraId="5DA54D9E">
            <w:pPr>
              <w:jc w:val="center"/>
              <w:rPr>
                <w:rFonts w:ascii="Times New Roman" w:eastAsia="仿宋"/>
                <w:szCs w:val="21"/>
              </w:rPr>
            </w:pPr>
            <w:r>
              <w:rPr>
                <w:rFonts w:ascii="Times New Roman" w:eastAsia="仿宋"/>
                <w:szCs w:val="21"/>
              </w:rPr>
              <w:t>3.46</w:t>
            </w:r>
          </w:p>
        </w:tc>
        <w:tc>
          <w:tcPr>
            <w:tcW w:w="636" w:type="pct"/>
            <w:vAlign w:val="bottom"/>
          </w:tcPr>
          <w:p w14:paraId="098F5794">
            <w:pPr>
              <w:jc w:val="center"/>
              <w:rPr>
                <w:rFonts w:ascii="Times New Roman" w:eastAsia="仿宋"/>
                <w:szCs w:val="21"/>
              </w:rPr>
            </w:pPr>
            <w:r>
              <w:rPr>
                <w:rFonts w:hint="eastAsia" w:ascii="Times New Roman" w:eastAsia="仿宋"/>
                <w:szCs w:val="21"/>
              </w:rPr>
              <w:t>0.</w:t>
            </w:r>
            <w:r>
              <w:rPr>
                <w:rFonts w:ascii="Times New Roman" w:eastAsia="仿宋"/>
                <w:szCs w:val="21"/>
              </w:rPr>
              <w:t>77</w:t>
            </w:r>
          </w:p>
        </w:tc>
        <w:tc>
          <w:tcPr>
            <w:tcW w:w="626" w:type="pct"/>
          </w:tcPr>
          <w:p w14:paraId="13124281">
            <w:pPr>
              <w:jc w:val="center"/>
              <w:rPr>
                <w:rFonts w:ascii="Times New Roman" w:eastAsia="仿宋"/>
                <w:szCs w:val="21"/>
              </w:rPr>
            </w:pPr>
            <w:r>
              <w:rPr>
                <w:rFonts w:ascii="Times New Roman" w:eastAsia="仿宋"/>
                <w:szCs w:val="21"/>
              </w:rPr>
              <w:t>2.56</w:t>
            </w:r>
          </w:p>
        </w:tc>
        <w:tc>
          <w:tcPr>
            <w:tcW w:w="870" w:type="pct"/>
            <w:vAlign w:val="bottom"/>
          </w:tcPr>
          <w:p w14:paraId="1FEA4969">
            <w:pPr>
              <w:jc w:val="center"/>
              <w:rPr>
                <w:rFonts w:ascii="Times New Roman" w:eastAsia="仿宋"/>
                <w:szCs w:val="21"/>
              </w:rPr>
            </w:pPr>
            <w:r>
              <w:rPr>
                <w:rFonts w:hint="eastAsia" w:ascii="Times New Roman" w:eastAsia="仿宋"/>
                <w:szCs w:val="21"/>
              </w:rPr>
              <w:t>1.28</w:t>
            </w:r>
          </w:p>
        </w:tc>
      </w:tr>
      <w:tr w14:paraId="7FF687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36AA5ED5">
            <w:pPr>
              <w:jc w:val="center"/>
              <w:rPr>
                <w:rFonts w:ascii="Times New Roman" w:eastAsia="仿宋"/>
                <w:szCs w:val="21"/>
              </w:rPr>
            </w:pPr>
            <w:r>
              <w:rPr>
                <w:rFonts w:ascii="Times New Roman" w:eastAsia="仿宋"/>
                <w:szCs w:val="21"/>
              </w:rPr>
              <w:t>1800</w:t>
            </w:r>
          </w:p>
        </w:tc>
        <w:tc>
          <w:tcPr>
            <w:tcW w:w="543" w:type="pct"/>
          </w:tcPr>
          <w:p w14:paraId="7A3B22E4">
            <w:pPr>
              <w:jc w:val="center"/>
              <w:rPr>
                <w:rFonts w:ascii="Times New Roman" w:eastAsia="仿宋"/>
                <w:szCs w:val="21"/>
              </w:rPr>
            </w:pPr>
            <w:r>
              <w:rPr>
                <w:rFonts w:ascii="Times New Roman" w:eastAsia="仿宋"/>
                <w:szCs w:val="21"/>
              </w:rPr>
              <w:t>22.1</w:t>
            </w:r>
          </w:p>
        </w:tc>
        <w:tc>
          <w:tcPr>
            <w:tcW w:w="637" w:type="pct"/>
            <w:vAlign w:val="bottom"/>
          </w:tcPr>
          <w:p w14:paraId="4B63A33E">
            <w:pPr>
              <w:jc w:val="center"/>
              <w:rPr>
                <w:rFonts w:ascii="Times New Roman" w:eastAsia="仿宋"/>
                <w:szCs w:val="21"/>
              </w:rPr>
            </w:pPr>
            <w:r>
              <w:rPr>
                <w:rFonts w:hint="eastAsia" w:ascii="Times New Roman" w:eastAsia="仿宋"/>
                <w:szCs w:val="21"/>
              </w:rPr>
              <w:t>1.1</w:t>
            </w:r>
            <w:r>
              <w:rPr>
                <w:rFonts w:ascii="Times New Roman" w:eastAsia="仿宋"/>
                <w:szCs w:val="21"/>
              </w:rPr>
              <w:t>1</w:t>
            </w:r>
          </w:p>
        </w:tc>
        <w:tc>
          <w:tcPr>
            <w:tcW w:w="626" w:type="pct"/>
          </w:tcPr>
          <w:p w14:paraId="6C94534F">
            <w:pPr>
              <w:jc w:val="center"/>
              <w:rPr>
                <w:rFonts w:ascii="Times New Roman" w:eastAsia="仿宋"/>
                <w:szCs w:val="21"/>
              </w:rPr>
            </w:pPr>
            <w:r>
              <w:rPr>
                <w:rFonts w:ascii="Times New Roman" w:eastAsia="仿宋"/>
                <w:szCs w:val="21"/>
              </w:rPr>
              <w:t>3.18</w:t>
            </w:r>
          </w:p>
        </w:tc>
        <w:tc>
          <w:tcPr>
            <w:tcW w:w="636" w:type="pct"/>
            <w:vAlign w:val="bottom"/>
          </w:tcPr>
          <w:p w14:paraId="495DA636">
            <w:pPr>
              <w:jc w:val="center"/>
              <w:rPr>
                <w:rFonts w:ascii="Times New Roman" w:eastAsia="仿宋"/>
                <w:szCs w:val="21"/>
              </w:rPr>
            </w:pPr>
            <w:r>
              <w:rPr>
                <w:rFonts w:hint="eastAsia" w:ascii="Times New Roman" w:eastAsia="仿宋"/>
                <w:szCs w:val="21"/>
              </w:rPr>
              <w:t>0.7</w:t>
            </w:r>
            <w:r>
              <w:rPr>
                <w:rFonts w:ascii="Times New Roman" w:eastAsia="仿宋"/>
                <w:szCs w:val="21"/>
              </w:rPr>
              <w:t>1</w:t>
            </w:r>
          </w:p>
        </w:tc>
        <w:tc>
          <w:tcPr>
            <w:tcW w:w="626" w:type="pct"/>
          </w:tcPr>
          <w:p w14:paraId="738C9A50">
            <w:pPr>
              <w:jc w:val="center"/>
              <w:rPr>
                <w:rFonts w:ascii="Times New Roman" w:eastAsia="仿宋"/>
                <w:szCs w:val="21"/>
              </w:rPr>
            </w:pPr>
            <w:r>
              <w:rPr>
                <w:rFonts w:ascii="Times New Roman" w:eastAsia="仿宋"/>
                <w:szCs w:val="21"/>
              </w:rPr>
              <w:t>2.35</w:t>
            </w:r>
          </w:p>
        </w:tc>
        <w:tc>
          <w:tcPr>
            <w:tcW w:w="870" w:type="pct"/>
            <w:vAlign w:val="bottom"/>
          </w:tcPr>
          <w:p w14:paraId="7661019E">
            <w:pPr>
              <w:jc w:val="center"/>
              <w:rPr>
                <w:rFonts w:ascii="Times New Roman" w:eastAsia="仿宋"/>
                <w:szCs w:val="21"/>
              </w:rPr>
            </w:pPr>
            <w:r>
              <w:rPr>
                <w:rFonts w:hint="eastAsia" w:ascii="Times New Roman" w:eastAsia="仿宋"/>
                <w:szCs w:val="21"/>
              </w:rPr>
              <w:t>1.1</w:t>
            </w:r>
            <w:r>
              <w:rPr>
                <w:rFonts w:ascii="Times New Roman" w:eastAsia="仿宋"/>
                <w:szCs w:val="21"/>
              </w:rPr>
              <w:t>8</w:t>
            </w:r>
          </w:p>
        </w:tc>
      </w:tr>
      <w:tr w14:paraId="7EB5DB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5EFC09CD">
            <w:pPr>
              <w:jc w:val="center"/>
              <w:rPr>
                <w:rFonts w:ascii="Times New Roman" w:eastAsia="仿宋"/>
                <w:szCs w:val="21"/>
              </w:rPr>
            </w:pPr>
            <w:r>
              <w:rPr>
                <w:rFonts w:ascii="Times New Roman" w:eastAsia="仿宋"/>
                <w:szCs w:val="21"/>
              </w:rPr>
              <w:t>2000</w:t>
            </w:r>
          </w:p>
        </w:tc>
        <w:tc>
          <w:tcPr>
            <w:tcW w:w="543" w:type="pct"/>
          </w:tcPr>
          <w:p w14:paraId="0A90506D">
            <w:pPr>
              <w:jc w:val="center"/>
              <w:rPr>
                <w:rFonts w:ascii="Times New Roman" w:eastAsia="仿宋"/>
                <w:szCs w:val="21"/>
              </w:rPr>
            </w:pPr>
            <w:r>
              <w:rPr>
                <w:rFonts w:ascii="Times New Roman" w:eastAsia="仿宋"/>
                <w:szCs w:val="21"/>
              </w:rPr>
              <w:t>20.6</w:t>
            </w:r>
          </w:p>
        </w:tc>
        <w:tc>
          <w:tcPr>
            <w:tcW w:w="637" w:type="pct"/>
            <w:vAlign w:val="bottom"/>
          </w:tcPr>
          <w:p w14:paraId="5E99FDAF">
            <w:pPr>
              <w:jc w:val="center"/>
              <w:rPr>
                <w:rFonts w:ascii="Times New Roman" w:eastAsia="仿宋"/>
                <w:szCs w:val="21"/>
              </w:rPr>
            </w:pPr>
            <w:r>
              <w:rPr>
                <w:rFonts w:hint="eastAsia" w:ascii="Times New Roman" w:eastAsia="仿宋"/>
                <w:szCs w:val="21"/>
              </w:rPr>
              <w:t>1.03</w:t>
            </w:r>
          </w:p>
        </w:tc>
        <w:tc>
          <w:tcPr>
            <w:tcW w:w="626" w:type="pct"/>
          </w:tcPr>
          <w:p w14:paraId="10A5A515">
            <w:pPr>
              <w:jc w:val="center"/>
              <w:rPr>
                <w:rFonts w:ascii="Times New Roman" w:eastAsia="仿宋"/>
                <w:szCs w:val="21"/>
              </w:rPr>
            </w:pPr>
            <w:r>
              <w:rPr>
                <w:rFonts w:ascii="Times New Roman" w:eastAsia="仿宋"/>
                <w:szCs w:val="21"/>
              </w:rPr>
              <w:t>2.96</w:t>
            </w:r>
          </w:p>
        </w:tc>
        <w:tc>
          <w:tcPr>
            <w:tcW w:w="636" w:type="pct"/>
            <w:vAlign w:val="bottom"/>
          </w:tcPr>
          <w:p w14:paraId="50C630A7">
            <w:pPr>
              <w:jc w:val="center"/>
              <w:rPr>
                <w:rFonts w:ascii="Times New Roman" w:eastAsia="仿宋"/>
                <w:szCs w:val="21"/>
              </w:rPr>
            </w:pPr>
            <w:r>
              <w:rPr>
                <w:rFonts w:hint="eastAsia" w:ascii="Times New Roman" w:eastAsia="仿宋"/>
                <w:szCs w:val="21"/>
              </w:rPr>
              <w:t>0.6</w:t>
            </w:r>
            <w:r>
              <w:rPr>
                <w:rFonts w:ascii="Times New Roman" w:eastAsia="仿宋"/>
                <w:szCs w:val="21"/>
              </w:rPr>
              <w:t>6</w:t>
            </w:r>
          </w:p>
        </w:tc>
        <w:tc>
          <w:tcPr>
            <w:tcW w:w="626" w:type="pct"/>
          </w:tcPr>
          <w:p w14:paraId="74D1A6FF">
            <w:pPr>
              <w:jc w:val="center"/>
              <w:rPr>
                <w:rFonts w:ascii="Times New Roman" w:eastAsia="仿宋"/>
                <w:szCs w:val="21"/>
              </w:rPr>
            </w:pPr>
            <w:r>
              <w:rPr>
                <w:rFonts w:ascii="Times New Roman" w:eastAsia="仿宋"/>
                <w:szCs w:val="21"/>
              </w:rPr>
              <w:t>2.18</w:t>
            </w:r>
          </w:p>
        </w:tc>
        <w:tc>
          <w:tcPr>
            <w:tcW w:w="870" w:type="pct"/>
            <w:vAlign w:val="bottom"/>
          </w:tcPr>
          <w:p w14:paraId="4F3E40C8">
            <w:pPr>
              <w:jc w:val="center"/>
              <w:rPr>
                <w:rFonts w:ascii="Times New Roman" w:eastAsia="仿宋"/>
                <w:szCs w:val="21"/>
              </w:rPr>
            </w:pPr>
            <w:r>
              <w:rPr>
                <w:rFonts w:hint="eastAsia" w:ascii="Times New Roman" w:eastAsia="仿宋"/>
                <w:szCs w:val="21"/>
              </w:rPr>
              <w:t>1.09</w:t>
            </w:r>
          </w:p>
        </w:tc>
      </w:tr>
      <w:tr w14:paraId="7760AE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4D386672">
            <w:pPr>
              <w:jc w:val="center"/>
              <w:rPr>
                <w:rFonts w:ascii="Times New Roman" w:eastAsia="仿宋"/>
                <w:szCs w:val="21"/>
              </w:rPr>
            </w:pPr>
            <w:r>
              <w:rPr>
                <w:rFonts w:ascii="Times New Roman" w:eastAsia="仿宋"/>
                <w:szCs w:val="21"/>
              </w:rPr>
              <w:t>2500</w:t>
            </w:r>
          </w:p>
        </w:tc>
        <w:tc>
          <w:tcPr>
            <w:tcW w:w="543" w:type="pct"/>
          </w:tcPr>
          <w:p w14:paraId="4F5486E0">
            <w:pPr>
              <w:jc w:val="center"/>
              <w:rPr>
                <w:rFonts w:ascii="Times New Roman" w:eastAsia="仿宋"/>
                <w:szCs w:val="21"/>
              </w:rPr>
            </w:pPr>
            <w:r>
              <w:rPr>
                <w:rFonts w:ascii="Times New Roman" w:eastAsia="仿宋"/>
                <w:szCs w:val="21"/>
              </w:rPr>
              <w:t>19.4</w:t>
            </w:r>
          </w:p>
        </w:tc>
        <w:tc>
          <w:tcPr>
            <w:tcW w:w="637" w:type="pct"/>
            <w:vAlign w:val="bottom"/>
          </w:tcPr>
          <w:p w14:paraId="6672BD85">
            <w:pPr>
              <w:jc w:val="center"/>
              <w:rPr>
                <w:rFonts w:ascii="Times New Roman" w:eastAsia="仿宋"/>
                <w:szCs w:val="21"/>
              </w:rPr>
            </w:pPr>
            <w:r>
              <w:rPr>
                <w:rFonts w:hint="eastAsia" w:ascii="Times New Roman" w:eastAsia="仿宋"/>
                <w:szCs w:val="21"/>
              </w:rPr>
              <w:t>0.97</w:t>
            </w:r>
          </w:p>
        </w:tc>
        <w:tc>
          <w:tcPr>
            <w:tcW w:w="626" w:type="pct"/>
          </w:tcPr>
          <w:p w14:paraId="63DA2D25">
            <w:pPr>
              <w:jc w:val="center"/>
              <w:rPr>
                <w:rFonts w:ascii="Times New Roman" w:eastAsia="仿宋"/>
                <w:szCs w:val="21"/>
              </w:rPr>
            </w:pPr>
            <w:r>
              <w:rPr>
                <w:rFonts w:ascii="Times New Roman" w:eastAsia="仿宋"/>
                <w:szCs w:val="21"/>
              </w:rPr>
              <w:t>2.79</w:t>
            </w:r>
          </w:p>
        </w:tc>
        <w:tc>
          <w:tcPr>
            <w:tcW w:w="636" w:type="pct"/>
            <w:vAlign w:val="bottom"/>
          </w:tcPr>
          <w:p w14:paraId="4C76BA27">
            <w:pPr>
              <w:jc w:val="center"/>
              <w:rPr>
                <w:rFonts w:ascii="Times New Roman" w:eastAsia="仿宋"/>
                <w:szCs w:val="21"/>
              </w:rPr>
            </w:pPr>
            <w:r>
              <w:rPr>
                <w:rFonts w:hint="eastAsia" w:ascii="Times New Roman" w:eastAsia="仿宋"/>
                <w:szCs w:val="21"/>
              </w:rPr>
              <w:t>0.62</w:t>
            </w:r>
          </w:p>
        </w:tc>
        <w:tc>
          <w:tcPr>
            <w:tcW w:w="626" w:type="pct"/>
          </w:tcPr>
          <w:p w14:paraId="5228894E">
            <w:pPr>
              <w:jc w:val="center"/>
              <w:rPr>
                <w:rFonts w:ascii="Times New Roman" w:eastAsia="仿宋"/>
                <w:szCs w:val="21"/>
              </w:rPr>
            </w:pPr>
            <w:r>
              <w:rPr>
                <w:rFonts w:ascii="Times New Roman" w:eastAsia="仿宋"/>
                <w:szCs w:val="21"/>
              </w:rPr>
              <w:t>2.06</w:t>
            </w:r>
          </w:p>
        </w:tc>
        <w:tc>
          <w:tcPr>
            <w:tcW w:w="870" w:type="pct"/>
            <w:vAlign w:val="bottom"/>
          </w:tcPr>
          <w:p w14:paraId="238713D3">
            <w:pPr>
              <w:jc w:val="center"/>
              <w:rPr>
                <w:rFonts w:ascii="Times New Roman" w:eastAsia="仿宋"/>
                <w:szCs w:val="21"/>
              </w:rPr>
            </w:pPr>
            <w:r>
              <w:rPr>
                <w:rFonts w:hint="eastAsia" w:ascii="Times New Roman" w:eastAsia="仿宋"/>
                <w:szCs w:val="21"/>
              </w:rPr>
              <w:t>1.03</w:t>
            </w:r>
          </w:p>
        </w:tc>
      </w:tr>
      <w:tr w14:paraId="348549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5AF06E41">
            <w:pPr>
              <w:jc w:val="center"/>
              <w:rPr>
                <w:rFonts w:ascii="Times New Roman" w:eastAsia="仿宋"/>
                <w:szCs w:val="21"/>
              </w:rPr>
            </w:pPr>
            <w:r>
              <w:rPr>
                <w:rFonts w:ascii="Times New Roman" w:eastAsia="仿宋"/>
                <w:szCs w:val="21"/>
              </w:rPr>
              <w:t>下风向最大浓度</w:t>
            </w:r>
          </w:p>
        </w:tc>
        <w:tc>
          <w:tcPr>
            <w:tcW w:w="1180" w:type="pct"/>
            <w:gridSpan w:val="2"/>
            <w:vAlign w:val="center"/>
          </w:tcPr>
          <w:p w14:paraId="3C5F33AD">
            <w:pPr>
              <w:jc w:val="center"/>
              <w:rPr>
                <w:rFonts w:ascii="Times New Roman" w:eastAsia="仿宋"/>
                <w:szCs w:val="21"/>
              </w:rPr>
            </w:pPr>
            <w:r>
              <w:rPr>
                <w:rFonts w:hint="eastAsia" w:ascii="Times New Roman" w:eastAsia="仿宋"/>
                <w:szCs w:val="21"/>
              </w:rPr>
              <w:t>1</w:t>
            </w:r>
            <w:r>
              <w:rPr>
                <w:rFonts w:ascii="Times New Roman" w:eastAsia="仿宋"/>
                <w:szCs w:val="21"/>
              </w:rPr>
              <w:t>60</w:t>
            </w:r>
          </w:p>
        </w:tc>
        <w:tc>
          <w:tcPr>
            <w:tcW w:w="1262" w:type="pct"/>
            <w:gridSpan w:val="2"/>
            <w:vAlign w:val="center"/>
          </w:tcPr>
          <w:p w14:paraId="5F682F3E">
            <w:pPr>
              <w:jc w:val="center"/>
              <w:rPr>
                <w:rFonts w:ascii="Times New Roman" w:eastAsia="仿宋"/>
                <w:szCs w:val="21"/>
              </w:rPr>
            </w:pPr>
            <w:r>
              <w:rPr>
                <w:rFonts w:hint="eastAsia" w:ascii="Times New Roman" w:eastAsia="仿宋"/>
                <w:szCs w:val="21"/>
              </w:rPr>
              <w:t>2</w:t>
            </w:r>
            <w:r>
              <w:rPr>
                <w:rFonts w:ascii="Times New Roman" w:eastAsia="仿宋"/>
                <w:szCs w:val="21"/>
              </w:rPr>
              <w:t>3</w:t>
            </w:r>
          </w:p>
        </w:tc>
        <w:tc>
          <w:tcPr>
            <w:tcW w:w="1496" w:type="pct"/>
            <w:gridSpan w:val="2"/>
            <w:vAlign w:val="center"/>
          </w:tcPr>
          <w:p w14:paraId="1F227EC9">
            <w:pPr>
              <w:jc w:val="center"/>
              <w:rPr>
                <w:rFonts w:ascii="Times New Roman" w:eastAsia="仿宋"/>
                <w:szCs w:val="21"/>
              </w:rPr>
            </w:pPr>
            <w:r>
              <w:rPr>
                <w:rFonts w:hint="eastAsia" w:ascii="Times New Roman" w:eastAsia="仿宋"/>
                <w:szCs w:val="21"/>
              </w:rPr>
              <w:t>1</w:t>
            </w:r>
            <w:r>
              <w:rPr>
                <w:rFonts w:ascii="Times New Roman" w:eastAsia="仿宋"/>
                <w:szCs w:val="21"/>
              </w:rPr>
              <w:t>7</w:t>
            </w:r>
          </w:p>
        </w:tc>
      </w:tr>
      <w:tr w14:paraId="2F3BEC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27A06694">
            <w:pPr>
              <w:jc w:val="center"/>
              <w:rPr>
                <w:rFonts w:ascii="Times New Roman" w:eastAsia="仿宋"/>
                <w:szCs w:val="21"/>
              </w:rPr>
            </w:pPr>
            <w:r>
              <w:rPr>
                <w:rFonts w:ascii="Times New Roman" w:eastAsia="仿宋"/>
                <w:szCs w:val="21"/>
              </w:rPr>
              <w:t>下风向最大浓度出现距离/m</w:t>
            </w:r>
          </w:p>
        </w:tc>
        <w:tc>
          <w:tcPr>
            <w:tcW w:w="1180" w:type="pct"/>
            <w:gridSpan w:val="2"/>
            <w:vAlign w:val="center"/>
          </w:tcPr>
          <w:p w14:paraId="7E0D6184">
            <w:pPr>
              <w:jc w:val="center"/>
              <w:rPr>
                <w:rFonts w:ascii="Times New Roman" w:eastAsia="仿宋"/>
                <w:szCs w:val="21"/>
              </w:rPr>
            </w:pPr>
            <w:r>
              <w:rPr>
                <w:rFonts w:hint="eastAsia" w:ascii="Times New Roman" w:eastAsia="仿宋"/>
                <w:szCs w:val="21"/>
              </w:rPr>
              <w:t>89</w:t>
            </w:r>
          </w:p>
        </w:tc>
        <w:tc>
          <w:tcPr>
            <w:tcW w:w="1262" w:type="pct"/>
            <w:gridSpan w:val="2"/>
            <w:vAlign w:val="center"/>
          </w:tcPr>
          <w:p w14:paraId="5B193C05">
            <w:pPr>
              <w:jc w:val="center"/>
              <w:rPr>
                <w:rFonts w:ascii="Times New Roman" w:eastAsia="仿宋"/>
                <w:szCs w:val="21"/>
              </w:rPr>
            </w:pPr>
            <w:r>
              <w:rPr>
                <w:rFonts w:hint="eastAsia" w:ascii="Times New Roman" w:eastAsia="仿宋"/>
                <w:szCs w:val="21"/>
              </w:rPr>
              <w:t>89</w:t>
            </w:r>
          </w:p>
        </w:tc>
        <w:tc>
          <w:tcPr>
            <w:tcW w:w="1496" w:type="pct"/>
            <w:gridSpan w:val="2"/>
            <w:vAlign w:val="center"/>
          </w:tcPr>
          <w:p w14:paraId="269A483B">
            <w:pPr>
              <w:jc w:val="center"/>
              <w:rPr>
                <w:rFonts w:ascii="Times New Roman" w:eastAsia="仿宋"/>
                <w:szCs w:val="21"/>
              </w:rPr>
            </w:pPr>
            <w:r>
              <w:rPr>
                <w:rFonts w:hint="eastAsia" w:ascii="Times New Roman" w:eastAsia="仿宋"/>
                <w:szCs w:val="21"/>
              </w:rPr>
              <w:t>89</w:t>
            </w:r>
          </w:p>
        </w:tc>
      </w:tr>
      <w:tr w14:paraId="2579D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062" w:type="pct"/>
            <w:vAlign w:val="center"/>
          </w:tcPr>
          <w:p w14:paraId="06788EC5">
            <w:pPr>
              <w:jc w:val="center"/>
              <w:rPr>
                <w:rFonts w:ascii="Times New Roman" w:eastAsia="仿宋"/>
                <w:szCs w:val="21"/>
              </w:rPr>
            </w:pPr>
            <w:r>
              <w:rPr>
                <w:rFonts w:ascii="Times New Roman" w:eastAsia="仿宋"/>
                <w:szCs w:val="21"/>
              </w:rPr>
              <w:t>D10%最远距离/m</w:t>
            </w:r>
          </w:p>
        </w:tc>
        <w:tc>
          <w:tcPr>
            <w:tcW w:w="543" w:type="pct"/>
          </w:tcPr>
          <w:p w14:paraId="4A6FE475">
            <w:pPr>
              <w:jc w:val="center"/>
              <w:rPr>
                <w:rFonts w:ascii="Times New Roman" w:eastAsia="仿宋"/>
                <w:szCs w:val="21"/>
              </w:rPr>
            </w:pPr>
            <w:r>
              <w:rPr>
                <w:rFonts w:hint="eastAsia" w:ascii="Times New Roman" w:eastAsia="仿宋"/>
                <w:szCs w:val="21"/>
              </w:rPr>
              <w:t>/</w:t>
            </w:r>
          </w:p>
        </w:tc>
        <w:tc>
          <w:tcPr>
            <w:tcW w:w="637" w:type="pct"/>
          </w:tcPr>
          <w:p w14:paraId="06AE8482">
            <w:pPr>
              <w:jc w:val="center"/>
              <w:rPr>
                <w:rFonts w:ascii="Times New Roman" w:eastAsia="仿宋"/>
                <w:szCs w:val="21"/>
              </w:rPr>
            </w:pPr>
            <w:r>
              <w:rPr>
                <w:rFonts w:hint="eastAsia" w:ascii="Times New Roman" w:eastAsia="仿宋"/>
                <w:szCs w:val="21"/>
              </w:rPr>
              <w:t>/</w:t>
            </w:r>
          </w:p>
        </w:tc>
        <w:tc>
          <w:tcPr>
            <w:tcW w:w="626" w:type="pct"/>
          </w:tcPr>
          <w:p w14:paraId="523C6412">
            <w:pPr>
              <w:jc w:val="center"/>
              <w:rPr>
                <w:rFonts w:ascii="Times New Roman" w:eastAsia="仿宋"/>
                <w:szCs w:val="21"/>
              </w:rPr>
            </w:pPr>
            <w:r>
              <w:rPr>
                <w:rFonts w:hint="eastAsia" w:ascii="Times New Roman" w:eastAsia="仿宋"/>
                <w:szCs w:val="21"/>
              </w:rPr>
              <w:t>/</w:t>
            </w:r>
          </w:p>
        </w:tc>
        <w:tc>
          <w:tcPr>
            <w:tcW w:w="636" w:type="pct"/>
          </w:tcPr>
          <w:p w14:paraId="59A8F29F">
            <w:pPr>
              <w:jc w:val="center"/>
              <w:rPr>
                <w:rFonts w:ascii="Times New Roman" w:eastAsia="仿宋"/>
                <w:szCs w:val="21"/>
              </w:rPr>
            </w:pPr>
            <w:r>
              <w:rPr>
                <w:rFonts w:hint="eastAsia" w:ascii="Times New Roman" w:eastAsia="仿宋"/>
                <w:szCs w:val="21"/>
              </w:rPr>
              <w:t>/</w:t>
            </w:r>
          </w:p>
        </w:tc>
        <w:tc>
          <w:tcPr>
            <w:tcW w:w="626" w:type="pct"/>
          </w:tcPr>
          <w:p w14:paraId="104923B9">
            <w:pPr>
              <w:jc w:val="center"/>
              <w:rPr>
                <w:rFonts w:ascii="Times New Roman" w:eastAsia="仿宋"/>
                <w:szCs w:val="21"/>
              </w:rPr>
            </w:pPr>
            <w:r>
              <w:rPr>
                <w:rFonts w:hint="eastAsia" w:ascii="Times New Roman" w:eastAsia="仿宋"/>
                <w:szCs w:val="21"/>
              </w:rPr>
              <w:t>/</w:t>
            </w:r>
          </w:p>
        </w:tc>
        <w:tc>
          <w:tcPr>
            <w:tcW w:w="870" w:type="pct"/>
          </w:tcPr>
          <w:p w14:paraId="21543323">
            <w:pPr>
              <w:jc w:val="center"/>
              <w:rPr>
                <w:rFonts w:ascii="Times New Roman" w:eastAsia="仿宋"/>
                <w:szCs w:val="21"/>
              </w:rPr>
            </w:pPr>
            <w:r>
              <w:rPr>
                <w:rFonts w:hint="eastAsia" w:ascii="Times New Roman" w:eastAsia="仿宋"/>
                <w:szCs w:val="21"/>
              </w:rPr>
              <w:t>/</w:t>
            </w:r>
          </w:p>
        </w:tc>
      </w:tr>
    </w:tbl>
    <w:p w14:paraId="4802DAED">
      <w:pPr>
        <w:spacing w:line="500" w:lineRule="exact"/>
        <w:jc w:val="center"/>
        <w:rPr>
          <w:rFonts w:ascii="Times New Roman" w:eastAsia="仿宋"/>
          <w:b/>
        </w:rPr>
      </w:pPr>
      <w:r>
        <w:rPr>
          <w:rFonts w:hint="eastAsia" w:ascii="Times New Roman" w:eastAsia="仿宋"/>
          <w:b/>
        </w:rPr>
        <w:t>表</w:t>
      </w:r>
      <w:r>
        <w:rPr>
          <w:rFonts w:ascii="Times New Roman" w:eastAsia="仿宋"/>
          <w:b/>
        </w:rPr>
        <w:t>5.2-</w:t>
      </w:r>
      <w:r>
        <w:rPr>
          <w:rFonts w:hint="eastAsia" w:ascii="Times New Roman" w:eastAsia="仿宋"/>
          <w:b/>
        </w:rPr>
        <w:t>1</w:t>
      </w:r>
      <w:r>
        <w:rPr>
          <w:rFonts w:ascii="Times New Roman" w:eastAsia="仿宋"/>
          <w:b/>
        </w:rPr>
        <w:t xml:space="preserve">8  </w:t>
      </w:r>
      <w:r>
        <w:rPr>
          <w:rFonts w:hint="eastAsia" w:ascii="Times New Roman" w:eastAsia="仿宋"/>
          <w:b/>
        </w:rPr>
        <w:t>4号钣金车间估算模型计算结果表</w:t>
      </w:r>
    </w:p>
    <w:tbl>
      <w:tblPr>
        <w:tblStyle w:val="87"/>
        <w:tblW w:w="551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500"/>
        <w:gridCol w:w="3181"/>
        <w:gridCol w:w="3480"/>
      </w:tblGrid>
      <w:tr w14:paraId="099A9E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Merge w:val="restart"/>
            <w:vAlign w:val="center"/>
          </w:tcPr>
          <w:p w14:paraId="0FA1DB3C">
            <w:pPr>
              <w:jc w:val="center"/>
              <w:rPr>
                <w:rFonts w:ascii="Times New Roman" w:eastAsia="仿宋"/>
                <w:szCs w:val="21"/>
              </w:rPr>
            </w:pPr>
            <w:r>
              <w:rPr>
                <w:rFonts w:ascii="Times New Roman" w:eastAsia="仿宋"/>
                <w:szCs w:val="21"/>
              </w:rPr>
              <w:t>距离(m)</w:t>
            </w:r>
          </w:p>
        </w:tc>
        <w:tc>
          <w:tcPr>
            <w:tcW w:w="3635" w:type="pct"/>
            <w:gridSpan w:val="2"/>
            <w:vAlign w:val="center"/>
          </w:tcPr>
          <w:p w14:paraId="13B5D07B">
            <w:pPr>
              <w:jc w:val="center"/>
              <w:rPr>
                <w:rFonts w:ascii="Times New Roman" w:eastAsia="仿宋"/>
                <w:szCs w:val="21"/>
              </w:rPr>
            </w:pPr>
            <w:r>
              <w:rPr>
                <w:rFonts w:hint="eastAsia" w:ascii="Times New Roman" w:eastAsia="仿宋"/>
                <w:szCs w:val="21"/>
              </w:rPr>
              <w:t>4号钣金车间</w:t>
            </w:r>
          </w:p>
        </w:tc>
      </w:tr>
      <w:tr w14:paraId="3A502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64" w:type="pct"/>
            <w:vMerge w:val="continue"/>
            <w:vAlign w:val="center"/>
          </w:tcPr>
          <w:p w14:paraId="0DDEAB1C">
            <w:pPr>
              <w:jc w:val="center"/>
              <w:rPr>
                <w:rFonts w:ascii="Times New Roman" w:eastAsia="仿宋"/>
                <w:szCs w:val="21"/>
              </w:rPr>
            </w:pPr>
          </w:p>
        </w:tc>
        <w:tc>
          <w:tcPr>
            <w:tcW w:w="3635" w:type="pct"/>
            <w:gridSpan w:val="2"/>
            <w:vAlign w:val="center"/>
          </w:tcPr>
          <w:p w14:paraId="4E5BB2D1">
            <w:pPr>
              <w:jc w:val="center"/>
              <w:rPr>
                <w:rFonts w:ascii="Times New Roman" w:eastAsia="仿宋"/>
                <w:szCs w:val="21"/>
              </w:rPr>
            </w:pPr>
            <w:r>
              <w:rPr>
                <w:rFonts w:hint="eastAsia" w:ascii="Times New Roman" w:eastAsia="仿宋"/>
                <w:szCs w:val="21"/>
              </w:rPr>
              <w:t>PM</w:t>
            </w:r>
            <w:r>
              <w:rPr>
                <w:rFonts w:hint="eastAsia" w:ascii="Times New Roman" w:eastAsia="仿宋"/>
                <w:szCs w:val="21"/>
                <w:vertAlign w:val="subscript"/>
              </w:rPr>
              <w:t>10</w:t>
            </w:r>
          </w:p>
        </w:tc>
      </w:tr>
      <w:tr w14:paraId="5D57A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1364" w:type="pct"/>
            <w:vMerge w:val="continue"/>
            <w:vAlign w:val="center"/>
          </w:tcPr>
          <w:p w14:paraId="3CEF8B68">
            <w:pPr>
              <w:jc w:val="center"/>
              <w:rPr>
                <w:rFonts w:ascii="Times New Roman" w:eastAsia="仿宋"/>
                <w:szCs w:val="21"/>
              </w:rPr>
            </w:pPr>
          </w:p>
        </w:tc>
        <w:tc>
          <w:tcPr>
            <w:tcW w:w="1736" w:type="pct"/>
            <w:vAlign w:val="center"/>
          </w:tcPr>
          <w:p w14:paraId="3C9BBEDE">
            <w:pPr>
              <w:jc w:val="center"/>
              <w:rPr>
                <w:rFonts w:ascii="Times New Roman" w:eastAsia="仿宋"/>
                <w:szCs w:val="21"/>
              </w:rPr>
            </w:pPr>
            <w:r>
              <w:rPr>
                <w:rFonts w:ascii="Times New Roman" w:eastAsia="仿宋"/>
                <w:szCs w:val="21"/>
              </w:rPr>
              <w:t>浓度(μg/m</w:t>
            </w:r>
            <w:r>
              <w:rPr>
                <w:rFonts w:ascii="Times New Roman" w:eastAsia="仿宋"/>
                <w:szCs w:val="21"/>
                <w:vertAlign w:val="superscript"/>
              </w:rPr>
              <w:t>3</w:t>
            </w:r>
            <w:r>
              <w:rPr>
                <w:rFonts w:ascii="Times New Roman" w:eastAsia="仿宋"/>
                <w:szCs w:val="21"/>
              </w:rPr>
              <w:t>)</w:t>
            </w:r>
          </w:p>
        </w:tc>
        <w:tc>
          <w:tcPr>
            <w:tcW w:w="1899" w:type="pct"/>
            <w:vAlign w:val="center"/>
          </w:tcPr>
          <w:p w14:paraId="082C31CB">
            <w:pPr>
              <w:jc w:val="center"/>
              <w:rPr>
                <w:rFonts w:ascii="Times New Roman" w:eastAsia="仿宋"/>
                <w:szCs w:val="21"/>
              </w:rPr>
            </w:pPr>
            <w:r>
              <w:rPr>
                <w:rFonts w:ascii="Times New Roman" w:eastAsia="仿宋"/>
                <w:szCs w:val="21"/>
              </w:rPr>
              <w:t>占标率(%)</w:t>
            </w:r>
          </w:p>
        </w:tc>
      </w:tr>
      <w:tr w14:paraId="647FE5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2A0BB1C7">
            <w:pPr>
              <w:jc w:val="center"/>
              <w:rPr>
                <w:rFonts w:ascii="Times New Roman" w:eastAsia="仿宋"/>
                <w:szCs w:val="21"/>
              </w:rPr>
            </w:pPr>
            <w:r>
              <w:rPr>
                <w:rFonts w:ascii="Times New Roman" w:eastAsia="仿宋"/>
                <w:szCs w:val="21"/>
              </w:rPr>
              <w:t>50</w:t>
            </w:r>
          </w:p>
        </w:tc>
        <w:tc>
          <w:tcPr>
            <w:tcW w:w="3181" w:type="dxa"/>
            <w:vAlign w:val="center"/>
          </w:tcPr>
          <w:p w14:paraId="67802682">
            <w:pPr>
              <w:jc w:val="center"/>
              <w:rPr>
                <w:rFonts w:ascii="Times New Roman" w:eastAsia="仿宋"/>
                <w:szCs w:val="21"/>
              </w:rPr>
            </w:pPr>
            <w:r>
              <w:rPr>
                <w:rFonts w:hint="eastAsia" w:ascii="Times New Roman" w:eastAsia="仿宋"/>
                <w:szCs w:val="21"/>
              </w:rPr>
              <w:t>0.17</w:t>
            </w:r>
          </w:p>
        </w:tc>
        <w:tc>
          <w:tcPr>
            <w:tcW w:w="3480" w:type="dxa"/>
            <w:vAlign w:val="center"/>
          </w:tcPr>
          <w:p w14:paraId="22C76C25">
            <w:pPr>
              <w:jc w:val="center"/>
              <w:rPr>
                <w:rFonts w:ascii="Times New Roman" w:eastAsia="仿宋"/>
                <w:szCs w:val="21"/>
              </w:rPr>
            </w:pPr>
            <w:r>
              <w:rPr>
                <w:rFonts w:hint="eastAsia" w:ascii="Times New Roman" w:eastAsia="仿宋"/>
                <w:szCs w:val="21"/>
              </w:rPr>
              <w:t>0.038</w:t>
            </w:r>
          </w:p>
        </w:tc>
      </w:tr>
      <w:tr w14:paraId="7BE9E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5F15924B">
            <w:pPr>
              <w:jc w:val="center"/>
              <w:rPr>
                <w:rFonts w:ascii="Times New Roman" w:eastAsia="仿宋"/>
                <w:szCs w:val="21"/>
              </w:rPr>
            </w:pPr>
            <w:r>
              <w:rPr>
                <w:rFonts w:ascii="Times New Roman" w:eastAsia="仿宋"/>
                <w:szCs w:val="21"/>
              </w:rPr>
              <w:t>100</w:t>
            </w:r>
          </w:p>
        </w:tc>
        <w:tc>
          <w:tcPr>
            <w:tcW w:w="3181" w:type="dxa"/>
            <w:vAlign w:val="center"/>
          </w:tcPr>
          <w:p w14:paraId="53C30262">
            <w:pPr>
              <w:jc w:val="center"/>
              <w:rPr>
                <w:rFonts w:ascii="Times New Roman" w:eastAsia="仿宋"/>
                <w:szCs w:val="21"/>
              </w:rPr>
            </w:pPr>
            <w:r>
              <w:rPr>
                <w:rFonts w:hint="eastAsia" w:ascii="Times New Roman" w:eastAsia="仿宋"/>
                <w:szCs w:val="21"/>
              </w:rPr>
              <w:t>0.54</w:t>
            </w:r>
          </w:p>
        </w:tc>
        <w:tc>
          <w:tcPr>
            <w:tcW w:w="3480" w:type="dxa"/>
            <w:vAlign w:val="center"/>
          </w:tcPr>
          <w:p w14:paraId="0A30397C">
            <w:pPr>
              <w:jc w:val="center"/>
              <w:rPr>
                <w:rFonts w:ascii="Times New Roman" w:eastAsia="仿宋"/>
                <w:szCs w:val="21"/>
              </w:rPr>
            </w:pPr>
            <w:r>
              <w:rPr>
                <w:rFonts w:hint="eastAsia" w:ascii="Times New Roman" w:eastAsia="仿宋"/>
                <w:szCs w:val="21"/>
              </w:rPr>
              <w:t>0.12</w:t>
            </w:r>
          </w:p>
        </w:tc>
      </w:tr>
      <w:tr w14:paraId="49DC96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765AD648">
            <w:pPr>
              <w:jc w:val="center"/>
              <w:rPr>
                <w:rFonts w:ascii="Times New Roman" w:eastAsia="仿宋"/>
                <w:szCs w:val="21"/>
              </w:rPr>
            </w:pPr>
            <w:r>
              <w:rPr>
                <w:rFonts w:hint="eastAsia" w:ascii="Times New Roman" w:eastAsia="仿宋"/>
                <w:szCs w:val="21"/>
              </w:rPr>
              <w:t>154</w:t>
            </w:r>
          </w:p>
        </w:tc>
        <w:tc>
          <w:tcPr>
            <w:tcW w:w="3181" w:type="dxa"/>
            <w:vAlign w:val="center"/>
          </w:tcPr>
          <w:p w14:paraId="32513075">
            <w:pPr>
              <w:jc w:val="center"/>
              <w:rPr>
                <w:rFonts w:ascii="Times New Roman" w:eastAsia="仿宋"/>
                <w:szCs w:val="21"/>
              </w:rPr>
            </w:pPr>
            <w:r>
              <w:rPr>
                <w:rFonts w:hint="eastAsia" w:ascii="Times New Roman" w:eastAsia="仿宋"/>
                <w:szCs w:val="21"/>
              </w:rPr>
              <w:t>0.79</w:t>
            </w:r>
          </w:p>
        </w:tc>
        <w:tc>
          <w:tcPr>
            <w:tcW w:w="3480" w:type="dxa"/>
            <w:vAlign w:val="center"/>
          </w:tcPr>
          <w:p w14:paraId="48A0430A">
            <w:pPr>
              <w:jc w:val="center"/>
              <w:rPr>
                <w:rFonts w:ascii="Times New Roman" w:eastAsia="仿宋"/>
                <w:szCs w:val="21"/>
              </w:rPr>
            </w:pPr>
            <w:r>
              <w:rPr>
                <w:rFonts w:hint="eastAsia" w:ascii="Times New Roman" w:eastAsia="仿宋"/>
                <w:szCs w:val="21"/>
              </w:rPr>
              <w:t>0.17</w:t>
            </w:r>
          </w:p>
        </w:tc>
      </w:tr>
      <w:tr w14:paraId="7D89F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3774EB12">
            <w:pPr>
              <w:jc w:val="center"/>
              <w:rPr>
                <w:rFonts w:ascii="Times New Roman" w:eastAsia="仿宋"/>
                <w:szCs w:val="21"/>
              </w:rPr>
            </w:pPr>
            <w:r>
              <w:rPr>
                <w:rFonts w:ascii="Times New Roman" w:eastAsia="仿宋"/>
                <w:szCs w:val="21"/>
              </w:rPr>
              <w:t>200</w:t>
            </w:r>
          </w:p>
        </w:tc>
        <w:tc>
          <w:tcPr>
            <w:tcW w:w="3181" w:type="dxa"/>
            <w:vAlign w:val="center"/>
          </w:tcPr>
          <w:p w14:paraId="0E6FF6EF">
            <w:pPr>
              <w:jc w:val="center"/>
              <w:rPr>
                <w:rFonts w:ascii="Times New Roman" w:eastAsia="仿宋"/>
                <w:szCs w:val="21"/>
              </w:rPr>
            </w:pPr>
            <w:r>
              <w:rPr>
                <w:rFonts w:hint="eastAsia" w:ascii="Times New Roman" w:eastAsia="仿宋"/>
                <w:szCs w:val="21"/>
              </w:rPr>
              <w:t>0.76</w:t>
            </w:r>
          </w:p>
        </w:tc>
        <w:tc>
          <w:tcPr>
            <w:tcW w:w="3480" w:type="dxa"/>
            <w:vAlign w:val="center"/>
          </w:tcPr>
          <w:p w14:paraId="73934FAD">
            <w:pPr>
              <w:jc w:val="center"/>
              <w:rPr>
                <w:rFonts w:ascii="Times New Roman" w:eastAsia="仿宋"/>
                <w:szCs w:val="21"/>
              </w:rPr>
            </w:pPr>
            <w:r>
              <w:rPr>
                <w:rFonts w:hint="eastAsia" w:ascii="Times New Roman" w:eastAsia="仿宋"/>
                <w:szCs w:val="21"/>
              </w:rPr>
              <w:t>0.16</w:t>
            </w:r>
          </w:p>
        </w:tc>
      </w:tr>
      <w:tr w14:paraId="6569D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03FD69AA">
            <w:pPr>
              <w:jc w:val="center"/>
              <w:rPr>
                <w:rFonts w:ascii="Times New Roman" w:eastAsia="仿宋"/>
                <w:szCs w:val="21"/>
              </w:rPr>
            </w:pPr>
            <w:r>
              <w:rPr>
                <w:rFonts w:ascii="Times New Roman" w:eastAsia="仿宋"/>
                <w:szCs w:val="21"/>
              </w:rPr>
              <w:t>300</w:t>
            </w:r>
          </w:p>
        </w:tc>
        <w:tc>
          <w:tcPr>
            <w:tcW w:w="3181" w:type="dxa"/>
            <w:vAlign w:val="center"/>
          </w:tcPr>
          <w:p w14:paraId="7EEE9B81">
            <w:pPr>
              <w:jc w:val="center"/>
              <w:rPr>
                <w:rFonts w:ascii="Times New Roman" w:eastAsia="仿宋"/>
                <w:szCs w:val="21"/>
              </w:rPr>
            </w:pPr>
            <w:r>
              <w:rPr>
                <w:rFonts w:hint="eastAsia" w:ascii="Times New Roman" w:eastAsia="仿宋"/>
                <w:szCs w:val="21"/>
              </w:rPr>
              <w:t>0.60</w:t>
            </w:r>
          </w:p>
        </w:tc>
        <w:tc>
          <w:tcPr>
            <w:tcW w:w="3480" w:type="dxa"/>
            <w:vAlign w:val="center"/>
          </w:tcPr>
          <w:p w14:paraId="4F4837AA">
            <w:pPr>
              <w:jc w:val="center"/>
              <w:rPr>
                <w:rFonts w:ascii="Times New Roman" w:eastAsia="仿宋"/>
                <w:szCs w:val="21"/>
              </w:rPr>
            </w:pPr>
            <w:r>
              <w:rPr>
                <w:rFonts w:hint="eastAsia" w:ascii="Times New Roman" w:eastAsia="仿宋"/>
                <w:szCs w:val="21"/>
              </w:rPr>
              <w:t>0.13</w:t>
            </w:r>
          </w:p>
        </w:tc>
      </w:tr>
      <w:tr w14:paraId="15AC3A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169A5B89">
            <w:pPr>
              <w:jc w:val="center"/>
              <w:rPr>
                <w:rFonts w:ascii="Times New Roman" w:eastAsia="仿宋"/>
                <w:szCs w:val="21"/>
              </w:rPr>
            </w:pPr>
            <w:r>
              <w:rPr>
                <w:rFonts w:ascii="Times New Roman" w:eastAsia="仿宋"/>
                <w:szCs w:val="21"/>
              </w:rPr>
              <w:t>400</w:t>
            </w:r>
          </w:p>
        </w:tc>
        <w:tc>
          <w:tcPr>
            <w:tcW w:w="3181" w:type="dxa"/>
            <w:vAlign w:val="center"/>
          </w:tcPr>
          <w:p w14:paraId="0B4B9B9A">
            <w:pPr>
              <w:jc w:val="center"/>
              <w:rPr>
                <w:rFonts w:ascii="Times New Roman" w:eastAsia="仿宋"/>
                <w:szCs w:val="21"/>
              </w:rPr>
            </w:pPr>
            <w:r>
              <w:rPr>
                <w:rFonts w:hint="eastAsia" w:ascii="Times New Roman" w:eastAsia="仿宋"/>
                <w:szCs w:val="21"/>
              </w:rPr>
              <w:t>0.52</w:t>
            </w:r>
          </w:p>
        </w:tc>
        <w:tc>
          <w:tcPr>
            <w:tcW w:w="3480" w:type="dxa"/>
            <w:vAlign w:val="center"/>
          </w:tcPr>
          <w:p w14:paraId="1EB5A5CA">
            <w:pPr>
              <w:jc w:val="center"/>
              <w:rPr>
                <w:rFonts w:ascii="Times New Roman" w:eastAsia="仿宋"/>
                <w:szCs w:val="21"/>
              </w:rPr>
            </w:pPr>
            <w:r>
              <w:rPr>
                <w:rFonts w:hint="eastAsia" w:ascii="Times New Roman" w:eastAsia="仿宋"/>
                <w:szCs w:val="21"/>
              </w:rPr>
              <w:t>0.11</w:t>
            </w:r>
          </w:p>
        </w:tc>
      </w:tr>
      <w:tr w14:paraId="6EC1C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13D806D0">
            <w:pPr>
              <w:jc w:val="center"/>
              <w:rPr>
                <w:rFonts w:ascii="Times New Roman" w:eastAsia="仿宋"/>
                <w:szCs w:val="21"/>
              </w:rPr>
            </w:pPr>
            <w:r>
              <w:rPr>
                <w:rFonts w:ascii="Times New Roman" w:eastAsia="仿宋"/>
                <w:szCs w:val="21"/>
              </w:rPr>
              <w:t>500</w:t>
            </w:r>
          </w:p>
        </w:tc>
        <w:tc>
          <w:tcPr>
            <w:tcW w:w="3181" w:type="dxa"/>
            <w:vAlign w:val="center"/>
          </w:tcPr>
          <w:p w14:paraId="24343AC8">
            <w:pPr>
              <w:jc w:val="center"/>
              <w:rPr>
                <w:rFonts w:ascii="Times New Roman" w:eastAsia="仿宋"/>
                <w:szCs w:val="21"/>
              </w:rPr>
            </w:pPr>
            <w:r>
              <w:rPr>
                <w:rFonts w:hint="eastAsia" w:ascii="Times New Roman" w:eastAsia="仿宋"/>
                <w:szCs w:val="21"/>
              </w:rPr>
              <w:t>0.458</w:t>
            </w:r>
          </w:p>
        </w:tc>
        <w:tc>
          <w:tcPr>
            <w:tcW w:w="3480" w:type="dxa"/>
            <w:vAlign w:val="center"/>
          </w:tcPr>
          <w:p w14:paraId="3AC618FE">
            <w:pPr>
              <w:jc w:val="center"/>
              <w:rPr>
                <w:rFonts w:ascii="Times New Roman" w:eastAsia="仿宋"/>
                <w:szCs w:val="21"/>
              </w:rPr>
            </w:pPr>
            <w:r>
              <w:rPr>
                <w:rFonts w:hint="eastAsia" w:ascii="Times New Roman" w:eastAsia="仿宋"/>
                <w:szCs w:val="21"/>
              </w:rPr>
              <w:t>0.10</w:t>
            </w:r>
          </w:p>
        </w:tc>
      </w:tr>
      <w:tr w14:paraId="77BD1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0FAD2943">
            <w:pPr>
              <w:jc w:val="center"/>
              <w:rPr>
                <w:rFonts w:ascii="Times New Roman" w:eastAsia="仿宋"/>
                <w:szCs w:val="21"/>
              </w:rPr>
            </w:pPr>
            <w:r>
              <w:rPr>
                <w:rFonts w:ascii="Times New Roman" w:eastAsia="仿宋"/>
                <w:szCs w:val="21"/>
              </w:rPr>
              <w:t>600</w:t>
            </w:r>
          </w:p>
        </w:tc>
        <w:tc>
          <w:tcPr>
            <w:tcW w:w="3181" w:type="dxa"/>
            <w:vAlign w:val="center"/>
          </w:tcPr>
          <w:p w14:paraId="6F325710">
            <w:pPr>
              <w:jc w:val="center"/>
              <w:rPr>
                <w:rFonts w:ascii="Times New Roman" w:eastAsia="仿宋"/>
                <w:szCs w:val="21"/>
              </w:rPr>
            </w:pPr>
            <w:r>
              <w:rPr>
                <w:rFonts w:hint="eastAsia" w:ascii="Times New Roman" w:eastAsia="仿宋"/>
                <w:szCs w:val="21"/>
              </w:rPr>
              <w:t>0.39</w:t>
            </w:r>
          </w:p>
        </w:tc>
        <w:tc>
          <w:tcPr>
            <w:tcW w:w="3480" w:type="dxa"/>
            <w:vAlign w:val="center"/>
          </w:tcPr>
          <w:p w14:paraId="7F1D4900">
            <w:pPr>
              <w:jc w:val="center"/>
              <w:rPr>
                <w:rFonts w:ascii="Times New Roman" w:eastAsia="仿宋"/>
                <w:szCs w:val="21"/>
              </w:rPr>
            </w:pPr>
            <w:r>
              <w:rPr>
                <w:rFonts w:hint="eastAsia" w:ascii="Times New Roman" w:eastAsia="仿宋"/>
                <w:szCs w:val="21"/>
              </w:rPr>
              <w:t>0.08</w:t>
            </w:r>
          </w:p>
        </w:tc>
      </w:tr>
      <w:tr w14:paraId="7EC618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27CF034F">
            <w:pPr>
              <w:jc w:val="center"/>
              <w:rPr>
                <w:rFonts w:ascii="Times New Roman" w:eastAsia="仿宋"/>
                <w:szCs w:val="21"/>
              </w:rPr>
            </w:pPr>
            <w:r>
              <w:rPr>
                <w:rFonts w:ascii="Times New Roman" w:eastAsia="仿宋"/>
                <w:szCs w:val="21"/>
              </w:rPr>
              <w:t>700</w:t>
            </w:r>
          </w:p>
        </w:tc>
        <w:tc>
          <w:tcPr>
            <w:tcW w:w="3181" w:type="dxa"/>
            <w:vAlign w:val="center"/>
          </w:tcPr>
          <w:p w14:paraId="54C414D1">
            <w:pPr>
              <w:jc w:val="center"/>
              <w:rPr>
                <w:rFonts w:ascii="Times New Roman" w:eastAsia="仿宋"/>
                <w:szCs w:val="21"/>
              </w:rPr>
            </w:pPr>
            <w:r>
              <w:rPr>
                <w:rFonts w:hint="eastAsia" w:ascii="Times New Roman" w:eastAsia="仿宋"/>
                <w:szCs w:val="21"/>
              </w:rPr>
              <w:t>0.34</w:t>
            </w:r>
          </w:p>
        </w:tc>
        <w:tc>
          <w:tcPr>
            <w:tcW w:w="3480" w:type="dxa"/>
            <w:vAlign w:val="center"/>
          </w:tcPr>
          <w:p w14:paraId="59960A44">
            <w:pPr>
              <w:jc w:val="center"/>
              <w:rPr>
                <w:rFonts w:ascii="Times New Roman" w:eastAsia="仿宋"/>
                <w:szCs w:val="21"/>
              </w:rPr>
            </w:pPr>
            <w:r>
              <w:rPr>
                <w:rFonts w:hint="eastAsia" w:ascii="Times New Roman" w:eastAsia="仿宋"/>
                <w:szCs w:val="21"/>
              </w:rPr>
              <w:t>0.07</w:t>
            </w:r>
          </w:p>
        </w:tc>
      </w:tr>
      <w:tr w14:paraId="2CEE1B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57E82312">
            <w:pPr>
              <w:jc w:val="center"/>
              <w:rPr>
                <w:rFonts w:ascii="Times New Roman" w:eastAsia="仿宋"/>
                <w:szCs w:val="21"/>
              </w:rPr>
            </w:pPr>
            <w:r>
              <w:rPr>
                <w:rFonts w:ascii="Times New Roman" w:eastAsia="仿宋"/>
                <w:szCs w:val="21"/>
              </w:rPr>
              <w:t>800</w:t>
            </w:r>
          </w:p>
        </w:tc>
        <w:tc>
          <w:tcPr>
            <w:tcW w:w="3181" w:type="dxa"/>
            <w:vAlign w:val="center"/>
          </w:tcPr>
          <w:p w14:paraId="1D6C89BC">
            <w:pPr>
              <w:jc w:val="center"/>
              <w:rPr>
                <w:rFonts w:ascii="Times New Roman" w:eastAsia="仿宋"/>
                <w:szCs w:val="21"/>
              </w:rPr>
            </w:pPr>
            <w:r>
              <w:rPr>
                <w:rFonts w:hint="eastAsia" w:ascii="Times New Roman" w:eastAsia="仿宋"/>
                <w:szCs w:val="21"/>
              </w:rPr>
              <w:t>0.30</w:t>
            </w:r>
          </w:p>
        </w:tc>
        <w:tc>
          <w:tcPr>
            <w:tcW w:w="3480" w:type="dxa"/>
            <w:vAlign w:val="center"/>
          </w:tcPr>
          <w:p w14:paraId="32666921">
            <w:pPr>
              <w:jc w:val="center"/>
              <w:rPr>
                <w:rFonts w:ascii="Times New Roman" w:eastAsia="仿宋"/>
                <w:szCs w:val="21"/>
              </w:rPr>
            </w:pPr>
            <w:r>
              <w:rPr>
                <w:rFonts w:hint="eastAsia" w:ascii="Times New Roman" w:eastAsia="仿宋"/>
                <w:szCs w:val="21"/>
              </w:rPr>
              <w:t>0.066</w:t>
            </w:r>
          </w:p>
        </w:tc>
      </w:tr>
      <w:tr w14:paraId="3C318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7EE252AC">
            <w:pPr>
              <w:jc w:val="center"/>
              <w:rPr>
                <w:rFonts w:ascii="Times New Roman" w:eastAsia="仿宋"/>
                <w:szCs w:val="21"/>
              </w:rPr>
            </w:pPr>
            <w:r>
              <w:rPr>
                <w:rFonts w:ascii="Times New Roman" w:eastAsia="仿宋"/>
                <w:szCs w:val="21"/>
              </w:rPr>
              <w:t>900</w:t>
            </w:r>
          </w:p>
        </w:tc>
        <w:tc>
          <w:tcPr>
            <w:tcW w:w="3181" w:type="dxa"/>
            <w:vAlign w:val="center"/>
          </w:tcPr>
          <w:p w14:paraId="0F23424C">
            <w:pPr>
              <w:jc w:val="center"/>
              <w:rPr>
                <w:rFonts w:ascii="Times New Roman" w:eastAsia="仿宋"/>
                <w:szCs w:val="21"/>
              </w:rPr>
            </w:pPr>
            <w:r>
              <w:rPr>
                <w:rFonts w:hint="eastAsia" w:ascii="Times New Roman" w:eastAsia="仿宋"/>
                <w:szCs w:val="21"/>
              </w:rPr>
              <w:t>0.28</w:t>
            </w:r>
          </w:p>
        </w:tc>
        <w:tc>
          <w:tcPr>
            <w:tcW w:w="3480" w:type="dxa"/>
            <w:vAlign w:val="center"/>
          </w:tcPr>
          <w:p w14:paraId="278C4B7A">
            <w:pPr>
              <w:jc w:val="center"/>
              <w:rPr>
                <w:rFonts w:ascii="Times New Roman" w:eastAsia="仿宋"/>
                <w:szCs w:val="21"/>
              </w:rPr>
            </w:pPr>
            <w:r>
              <w:rPr>
                <w:rFonts w:hint="eastAsia" w:ascii="Times New Roman" w:eastAsia="仿宋"/>
                <w:szCs w:val="21"/>
              </w:rPr>
              <w:t>0.061</w:t>
            </w:r>
          </w:p>
        </w:tc>
      </w:tr>
      <w:tr w14:paraId="7FAB08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62CF9415">
            <w:pPr>
              <w:jc w:val="center"/>
              <w:rPr>
                <w:rFonts w:ascii="Times New Roman" w:eastAsia="仿宋"/>
                <w:szCs w:val="21"/>
              </w:rPr>
            </w:pPr>
            <w:r>
              <w:rPr>
                <w:rFonts w:ascii="Times New Roman" w:eastAsia="仿宋"/>
                <w:szCs w:val="21"/>
              </w:rPr>
              <w:t>1000</w:t>
            </w:r>
          </w:p>
        </w:tc>
        <w:tc>
          <w:tcPr>
            <w:tcW w:w="3181" w:type="dxa"/>
            <w:vAlign w:val="center"/>
          </w:tcPr>
          <w:p w14:paraId="57645BFF">
            <w:pPr>
              <w:jc w:val="center"/>
              <w:rPr>
                <w:rFonts w:ascii="Times New Roman" w:eastAsia="仿宋"/>
                <w:szCs w:val="21"/>
              </w:rPr>
            </w:pPr>
            <w:r>
              <w:rPr>
                <w:rFonts w:hint="eastAsia" w:ascii="Times New Roman" w:eastAsia="仿宋"/>
                <w:szCs w:val="21"/>
              </w:rPr>
              <w:t>0.25</w:t>
            </w:r>
          </w:p>
        </w:tc>
        <w:tc>
          <w:tcPr>
            <w:tcW w:w="3480" w:type="dxa"/>
            <w:vAlign w:val="center"/>
          </w:tcPr>
          <w:p w14:paraId="7590383F">
            <w:pPr>
              <w:jc w:val="center"/>
              <w:rPr>
                <w:rFonts w:ascii="Times New Roman" w:eastAsia="仿宋"/>
                <w:szCs w:val="21"/>
              </w:rPr>
            </w:pPr>
            <w:r>
              <w:rPr>
                <w:rFonts w:hint="eastAsia" w:ascii="Times New Roman" w:eastAsia="仿宋"/>
                <w:szCs w:val="21"/>
              </w:rPr>
              <w:t>0.05</w:t>
            </w:r>
          </w:p>
        </w:tc>
      </w:tr>
      <w:tr w14:paraId="28F4B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299EBB6C">
            <w:pPr>
              <w:jc w:val="center"/>
              <w:rPr>
                <w:rFonts w:ascii="Times New Roman" w:eastAsia="仿宋"/>
                <w:szCs w:val="21"/>
              </w:rPr>
            </w:pPr>
            <w:r>
              <w:rPr>
                <w:rFonts w:ascii="Times New Roman" w:eastAsia="仿宋"/>
                <w:szCs w:val="21"/>
              </w:rPr>
              <w:t>1200</w:t>
            </w:r>
          </w:p>
        </w:tc>
        <w:tc>
          <w:tcPr>
            <w:tcW w:w="3181" w:type="dxa"/>
            <w:vAlign w:val="center"/>
          </w:tcPr>
          <w:p w14:paraId="0CBBD521">
            <w:pPr>
              <w:jc w:val="center"/>
              <w:rPr>
                <w:rFonts w:ascii="Times New Roman" w:eastAsia="仿宋"/>
                <w:szCs w:val="21"/>
              </w:rPr>
            </w:pPr>
            <w:r>
              <w:rPr>
                <w:rFonts w:hint="eastAsia" w:ascii="Times New Roman" w:eastAsia="仿宋"/>
                <w:szCs w:val="21"/>
              </w:rPr>
              <w:t>0.21</w:t>
            </w:r>
          </w:p>
        </w:tc>
        <w:tc>
          <w:tcPr>
            <w:tcW w:w="3480" w:type="dxa"/>
            <w:vAlign w:val="center"/>
          </w:tcPr>
          <w:p w14:paraId="053E02BC">
            <w:pPr>
              <w:jc w:val="center"/>
              <w:rPr>
                <w:rFonts w:ascii="Times New Roman" w:eastAsia="仿宋"/>
                <w:szCs w:val="21"/>
              </w:rPr>
            </w:pPr>
            <w:r>
              <w:rPr>
                <w:rFonts w:hint="eastAsia" w:ascii="Times New Roman" w:eastAsia="仿宋"/>
                <w:szCs w:val="21"/>
              </w:rPr>
              <w:t>0.048</w:t>
            </w:r>
          </w:p>
        </w:tc>
      </w:tr>
      <w:tr w14:paraId="5C62C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2600B43C">
            <w:pPr>
              <w:jc w:val="center"/>
              <w:rPr>
                <w:rFonts w:ascii="Times New Roman" w:eastAsia="仿宋"/>
                <w:szCs w:val="21"/>
              </w:rPr>
            </w:pPr>
            <w:r>
              <w:rPr>
                <w:rFonts w:ascii="Times New Roman" w:eastAsia="仿宋"/>
                <w:szCs w:val="21"/>
              </w:rPr>
              <w:t>1400</w:t>
            </w:r>
          </w:p>
        </w:tc>
        <w:tc>
          <w:tcPr>
            <w:tcW w:w="3181" w:type="dxa"/>
            <w:vAlign w:val="center"/>
          </w:tcPr>
          <w:p w14:paraId="6BD2C7E7">
            <w:pPr>
              <w:jc w:val="center"/>
              <w:rPr>
                <w:rFonts w:ascii="Times New Roman" w:eastAsia="仿宋"/>
                <w:szCs w:val="21"/>
              </w:rPr>
            </w:pPr>
            <w:r>
              <w:rPr>
                <w:rFonts w:hint="eastAsia" w:ascii="Times New Roman" w:eastAsia="仿宋"/>
                <w:szCs w:val="21"/>
              </w:rPr>
              <w:t>0.19</w:t>
            </w:r>
          </w:p>
        </w:tc>
        <w:tc>
          <w:tcPr>
            <w:tcW w:w="3480" w:type="dxa"/>
            <w:vAlign w:val="center"/>
          </w:tcPr>
          <w:p w14:paraId="37983A8C">
            <w:pPr>
              <w:jc w:val="center"/>
              <w:rPr>
                <w:rFonts w:ascii="Times New Roman" w:eastAsia="仿宋"/>
                <w:szCs w:val="21"/>
              </w:rPr>
            </w:pPr>
            <w:r>
              <w:rPr>
                <w:rFonts w:hint="eastAsia" w:ascii="Times New Roman" w:eastAsia="仿宋"/>
                <w:szCs w:val="21"/>
              </w:rPr>
              <w:t>0.042</w:t>
            </w:r>
          </w:p>
        </w:tc>
      </w:tr>
      <w:tr w14:paraId="093D9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731507F1">
            <w:pPr>
              <w:jc w:val="center"/>
              <w:rPr>
                <w:rFonts w:ascii="Times New Roman" w:eastAsia="仿宋"/>
                <w:szCs w:val="21"/>
              </w:rPr>
            </w:pPr>
            <w:r>
              <w:rPr>
                <w:rFonts w:ascii="Times New Roman" w:eastAsia="仿宋"/>
                <w:szCs w:val="21"/>
              </w:rPr>
              <w:t>1600</w:t>
            </w:r>
          </w:p>
        </w:tc>
        <w:tc>
          <w:tcPr>
            <w:tcW w:w="3181" w:type="dxa"/>
            <w:vAlign w:val="center"/>
          </w:tcPr>
          <w:p w14:paraId="6C645B2F">
            <w:pPr>
              <w:jc w:val="center"/>
              <w:rPr>
                <w:rFonts w:ascii="Times New Roman" w:eastAsia="仿宋"/>
                <w:szCs w:val="21"/>
              </w:rPr>
            </w:pPr>
            <w:r>
              <w:rPr>
                <w:rFonts w:hint="eastAsia" w:ascii="Times New Roman" w:eastAsia="仿宋"/>
                <w:szCs w:val="21"/>
              </w:rPr>
              <w:t>0.17</w:t>
            </w:r>
          </w:p>
        </w:tc>
        <w:tc>
          <w:tcPr>
            <w:tcW w:w="3480" w:type="dxa"/>
            <w:vAlign w:val="center"/>
          </w:tcPr>
          <w:p w14:paraId="5745D225">
            <w:pPr>
              <w:jc w:val="center"/>
              <w:rPr>
                <w:rFonts w:ascii="Times New Roman" w:eastAsia="仿宋"/>
                <w:szCs w:val="21"/>
              </w:rPr>
            </w:pPr>
            <w:r>
              <w:rPr>
                <w:rFonts w:hint="eastAsia" w:ascii="Times New Roman" w:eastAsia="仿宋"/>
                <w:szCs w:val="21"/>
              </w:rPr>
              <w:t>0.038</w:t>
            </w:r>
          </w:p>
        </w:tc>
      </w:tr>
      <w:tr w14:paraId="638D37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6E56E947">
            <w:pPr>
              <w:jc w:val="center"/>
              <w:rPr>
                <w:rFonts w:ascii="Times New Roman" w:eastAsia="仿宋"/>
                <w:szCs w:val="21"/>
              </w:rPr>
            </w:pPr>
            <w:r>
              <w:rPr>
                <w:rFonts w:ascii="Times New Roman" w:eastAsia="仿宋"/>
                <w:szCs w:val="21"/>
              </w:rPr>
              <w:t>1800</w:t>
            </w:r>
          </w:p>
        </w:tc>
        <w:tc>
          <w:tcPr>
            <w:tcW w:w="3181" w:type="dxa"/>
            <w:vAlign w:val="center"/>
          </w:tcPr>
          <w:p w14:paraId="26F3F071">
            <w:pPr>
              <w:jc w:val="center"/>
              <w:rPr>
                <w:rFonts w:ascii="Times New Roman" w:eastAsia="仿宋"/>
                <w:szCs w:val="21"/>
              </w:rPr>
            </w:pPr>
            <w:r>
              <w:rPr>
                <w:rFonts w:hint="eastAsia" w:ascii="Times New Roman" w:eastAsia="仿宋"/>
                <w:szCs w:val="21"/>
              </w:rPr>
              <w:t>0.15</w:t>
            </w:r>
          </w:p>
        </w:tc>
        <w:tc>
          <w:tcPr>
            <w:tcW w:w="3480" w:type="dxa"/>
            <w:vAlign w:val="center"/>
          </w:tcPr>
          <w:p w14:paraId="62CAB4BF">
            <w:pPr>
              <w:jc w:val="center"/>
              <w:rPr>
                <w:rFonts w:ascii="Times New Roman" w:eastAsia="仿宋"/>
                <w:szCs w:val="21"/>
              </w:rPr>
            </w:pPr>
            <w:r>
              <w:rPr>
                <w:rFonts w:hint="eastAsia" w:ascii="Times New Roman" w:eastAsia="仿宋"/>
                <w:szCs w:val="21"/>
              </w:rPr>
              <w:t>0.035</w:t>
            </w:r>
          </w:p>
        </w:tc>
      </w:tr>
      <w:tr w14:paraId="7830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0859FFF2">
            <w:pPr>
              <w:jc w:val="center"/>
              <w:rPr>
                <w:rFonts w:ascii="Times New Roman" w:eastAsia="仿宋"/>
                <w:szCs w:val="21"/>
              </w:rPr>
            </w:pPr>
            <w:r>
              <w:rPr>
                <w:rFonts w:ascii="Times New Roman" w:eastAsia="仿宋"/>
                <w:szCs w:val="21"/>
              </w:rPr>
              <w:t>2000</w:t>
            </w:r>
          </w:p>
        </w:tc>
        <w:tc>
          <w:tcPr>
            <w:tcW w:w="3181" w:type="dxa"/>
            <w:vAlign w:val="center"/>
          </w:tcPr>
          <w:p w14:paraId="7A7BCE32">
            <w:pPr>
              <w:jc w:val="center"/>
              <w:rPr>
                <w:rFonts w:ascii="Times New Roman" w:eastAsia="仿宋"/>
                <w:szCs w:val="21"/>
              </w:rPr>
            </w:pPr>
            <w:r>
              <w:rPr>
                <w:rFonts w:hint="eastAsia" w:ascii="Times New Roman" w:eastAsia="仿宋"/>
                <w:szCs w:val="21"/>
              </w:rPr>
              <w:t>0.14</w:t>
            </w:r>
          </w:p>
        </w:tc>
        <w:tc>
          <w:tcPr>
            <w:tcW w:w="3480" w:type="dxa"/>
            <w:vAlign w:val="center"/>
          </w:tcPr>
          <w:p w14:paraId="2FA39874">
            <w:pPr>
              <w:jc w:val="center"/>
              <w:rPr>
                <w:rFonts w:ascii="Times New Roman" w:eastAsia="仿宋"/>
                <w:szCs w:val="21"/>
              </w:rPr>
            </w:pPr>
            <w:r>
              <w:rPr>
                <w:rFonts w:hint="eastAsia" w:ascii="Times New Roman" w:eastAsia="仿宋"/>
                <w:szCs w:val="21"/>
              </w:rPr>
              <w:t>0.032</w:t>
            </w:r>
          </w:p>
        </w:tc>
      </w:tr>
      <w:tr w14:paraId="0CE9F0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3BE8866B">
            <w:pPr>
              <w:jc w:val="center"/>
              <w:rPr>
                <w:rFonts w:ascii="Times New Roman" w:eastAsia="仿宋"/>
                <w:szCs w:val="21"/>
              </w:rPr>
            </w:pPr>
            <w:r>
              <w:rPr>
                <w:rFonts w:ascii="Times New Roman" w:eastAsia="仿宋"/>
                <w:szCs w:val="21"/>
              </w:rPr>
              <w:t>2500</w:t>
            </w:r>
          </w:p>
        </w:tc>
        <w:tc>
          <w:tcPr>
            <w:tcW w:w="3181" w:type="dxa"/>
            <w:vAlign w:val="center"/>
          </w:tcPr>
          <w:p w14:paraId="4CEC4D78">
            <w:pPr>
              <w:jc w:val="center"/>
              <w:rPr>
                <w:rFonts w:ascii="Times New Roman" w:eastAsia="仿宋"/>
                <w:szCs w:val="21"/>
              </w:rPr>
            </w:pPr>
            <w:r>
              <w:rPr>
                <w:rFonts w:hint="eastAsia" w:ascii="Times New Roman" w:eastAsia="仿宋"/>
                <w:szCs w:val="21"/>
              </w:rPr>
              <w:t>0.12</w:t>
            </w:r>
          </w:p>
        </w:tc>
        <w:tc>
          <w:tcPr>
            <w:tcW w:w="3480" w:type="dxa"/>
            <w:vAlign w:val="center"/>
          </w:tcPr>
          <w:p w14:paraId="69719C81">
            <w:pPr>
              <w:jc w:val="center"/>
              <w:rPr>
                <w:rFonts w:ascii="Times New Roman" w:eastAsia="仿宋"/>
                <w:szCs w:val="21"/>
              </w:rPr>
            </w:pPr>
            <w:r>
              <w:rPr>
                <w:rFonts w:hint="eastAsia" w:ascii="Times New Roman" w:eastAsia="仿宋"/>
                <w:szCs w:val="21"/>
              </w:rPr>
              <w:t>0.028</w:t>
            </w:r>
          </w:p>
        </w:tc>
      </w:tr>
      <w:tr w14:paraId="59971D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7D18BBE3">
            <w:pPr>
              <w:jc w:val="center"/>
              <w:rPr>
                <w:rFonts w:ascii="Times New Roman" w:eastAsia="仿宋"/>
                <w:szCs w:val="21"/>
              </w:rPr>
            </w:pPr>
            <w:r>
              <w:rPr>
                <w:rFonts w:ascii="Times New Roman" w:eastAsia="仿宋"/>
                <w:szCs w:val="21"/>
              </w:rPr>
              <w:t>下风向最大浓度</w:t>
            </w:r>
          </w:p>
        </w:tc>
        <w:tc>
          <w:tcPr>
            <w:tcW w:w="3635" w:type="pct"/>
            <w:gridSpan w:val="2"/>
            <w:vAlign w:val="center"/>
          </w:tcPr>
          <w:p w14:paraId="09D05641">
            <w:pPr>
              <w:jc w:val="center"/>
              <w:rPr>
                <w:rFonts w:ascii="Times New Roman" w:eastAsia="仿宋"/>
                <w:szCs w:val="21"/>
              </w:rPr>
            </w:pPr>
            <w:r>
              <w:rPr>
                <w:rFonts w:hint="eastAsia" w:ascii="Times New Roman" w:eastAsia="仿宋"/>
                <w:szCs w:val="21"/>
              </w:rPr>
              <w:t>0.79</w:t>
            </w:r>
          </w:p>
        </w:tc>
      </w:tr>
      <w:tr w14:paraId="1FCC0E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74EC40BE">
            <w:pPr>
              <w:jc w:val="center"/>
              <w:rPr>
                <w:rFonts w:ascii="Times New Roman" w:eastAsia="仿宋"/>
                <w:szCs w:val="21"/>
              </w:rPr>
            </w:pPr>
            <w:r>
              <w:rPr>
                <w:rFonts w:ascii="Times New Roman" w:eastAsia="仿宋"/>
                <w:szCs w:val="21"/>
              </w:rPr>
              <w:t>下风向最大浓度出现距离/m</w:t>
            </w:r>
          </w:p>
        </w:tc>
        <w:tc>
          <w:tcPr>
            <w:tcW w:w="3635" w:type="pct"/>
            <w:gridSpan w:val="2"/>
            <w:vAlign w:val="center"/>
          </w:tcPr>
          <w:p w14:paraId="1C6B25BD">
            <w:pPr>
              <w:jc w:val="center"/>
              <w:rPr>
                <w:rFonts w:ascii="Times New Roman" w:eastAsia="仿宋"/>
                <w:szCs w:val="21"/>
              </w:rPr>
            </w:pPr>
            <w:r>
              <w:rPr>
                <w:rFonts w:hint="eastAsia" w:ascii="Times New Roman" w:eastAsia="仿宋"/>
                <w:szCs w:val="21"/>
              </w:rPr>
              <w:t>154</w:t>
            </w:r>
          </w:p>
        </w:tc>
      </w:tr>
      <w:tr w14:paraId="08AD9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1364" w:type="pct"/>
            <w:vAlign w:val="center"/>
          </w:tcPr>
          <w:p w14:paraId="1A421BDD">
            <w:pPr>
              <w:jc w:val="center"/>
              <w:rPr>
                <w:rFonts w:ascii="Times New Roman" w:eastAsia="仿宋"/>
                <w:szCs w:val="21"/>
              </w:rPr>
            </w:pPr>
            <w:r>
              <w:rPr>
                <w:rFonts w:ascii="Times New Roman" w:eastAsia="仿宋"/>
                <w:szCs w:val="21"/>
              </w:rPr>
              <w:t>D10%最远距离/m</w:t>
            </w:r>
          </w:p>
        </w:tc>
        <w:tc>
          <w:tcPr>
            <w:tcW w:w="3635" w:type="pct"/>
            <w:gridSpan w:val="2"/>
            <w:vAlign w:val="center"/>
          </w:tcPr>
          <w:p w14:paraId="6AFA4D5F">
            <w:pPr>
              <w:jc w:val="center"/>
              <w:rPr>
                <w:rFonts w:ascii="Times New Roman" w:eastAsia="仿宋"/>
                <w:szCs w:val="21"/>
              </w:rPr>
            </w:pPr>
            <w:r>
              <w:rPr>
                <w:rFonts w:ascii="Times New Roman" w:eastAsia="仿宋"/>
                <w:szCs w:val="21"/>
              </w:rPr>
              <w:t>/</w:t>
            </w:r>
          </w:p>
        </w:tc>
      </w:tr>
    </w:tbl>
    <w:p w14:paraId="64901751">
      <w:pPr>
        <w:spacing w:line="500" w:lineRule="exact"/>
        <w:jc w:val="center"/>
        <w:rPr>
          <w:rFonts w:ascii="Times New Roman" w:eastAsia="仿宋"/>
          <w:b/>
        </w:rPr>
      </w:pPr>
      <w:r>
        <w:rPr>
          <w:rFonts w:hint="eastAsia" w:ascii="Times New Roman" w:eastAsia="仿宋"/>
          <w:b/>
        </w:rPr>
        <w:t>表5.2-1</w:t>
      </w:r>
      <w:r>
        <w:rPr>
          <w:rFonts w:ascii="Times New Roman" w:eastAsia="仿宋"/>
          <w:b/>
        </w:rPr>
        <w:t>9</w:t>
      </w:r>
      <w:r>
        <w:rPr>
          <w:rFonts w:hint="eastAsia" w:ascii="Times New Roman" w:eastAsia="仿宋"/>
          <w:b/>
        </w:rPr>
        <w:t xml:space="preserve">  正常排放时废气主要污染物的占标率评价表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82"/>
        <w:gridCol w:w="1658"/>
        <w:gridCol w:w="1582"/>
        <w:gridCol w:w="1410"/>
        <w:gridCol w:w="1965"/>
      </w:tblGrid>
      <w:tr w14:paraId="5B61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43" w:type="pct"/>
            <w:tcBorders>
              <w:top w:val="single" w:color="auto" w:sz="4" w:space="0"/>
              <w:left w:val="single" w:color="auto" w:sz="4" w:space="0"/>
              <w:bottom w:val="single" w:color="auto" w:sz="4" w:space="0"/>
              <w:right w:val="single" w:color="auto" w:sz="4" w:space="0"/>
            </w:tcBorders>
            <w:vAlign w:val="center"/>
          </w:tcPr>
          <w:p w14:paraId="77ADC48A">
            <w:pPr>
              <w:jc w:val="center"/>
              <w:rPr>
                <w:rFonts w:ascii="Times New Roman" w:eastAsia="仿宋"/>
                <w:szCs w:val="21"/>
              </w:rPr>
            </w:pPr>
            <w:r>
              <w:rPr>
                <w:rFonts w:hint="eastAsia" w:ascii="Times New Roman" w:eastAsia="仿宋"/>
                <w:szCs w:val="21"/>
              </w:rPr>
              <w:t>废气</w:t>
            </w:r>
          </w:p>
        </w:tc>
        <w:tc>
          <w:tcPr>
            <w:tcW w:w="576" w:type="pct"/>
            <w:tcBorders>
              <w:top w:val="single" w:color="auto" w:sz="4" w:space="0"/>
              <w:left w:val="single" w:color="auto" w:sz="4" w:space="0"/>
              <w:bottom w:val="single" w:color="auto" w:sz="4" w:space="0"/>
              <w:right w:val="single" w:color="auto" w:sz="4" w:space="0"/>
            </w:tcBorders>
            <w:vAlign w:val="center"/>
          </w:tcPr>
          <w:p w14:paraId="1452B9F2">
            <w:pPr>
              <w:jc w:val="center"/>
              <w:rPr>
                <w:rFonts w:ascii="Times New Roman" w:eastAsia="仿宋"/>
                <w:szCs w:val="21"/>
              </w:rPr>
            </w:pPr>
            <w:r>
              <w:rPr>
                <w:rFonts w:hint="eastAsia" w:ascii="Times New Roman" w:eastAsia="仿宋"/>
                <w:szCs w:val="21"/>
              </w:rPr>
              <w:t>排气筒</w:t>
            </w:r>
          </w:p>
        </w:tc>
        <w:tc>
          <w:tcPr>
            <w:tcW w:w="973" w:type="pct"/>
            <w:tcBorders>
              <w:top w:val="single" w:color="auto" w:sz="4" w:space="0"/>
              <w:left w:val="single" w:color="auto" w:sz="4" w:space="0"/>
              <w:bottom w:val="single" w:color="auto" w:sz="4" w:space="0"/>
              <w:right w:val="single" w:color="auto" w:sz="4" w:space="0"/>
            </w:tcBorders>
            <w:vAlign w:val="center"/>
          </w:tcPr>
          <w:p w14:paraId="7DCAC785">
            <w:pPr>
              <w:jc w:val="center"/>
              <w:rPr>
                <w:rFonts w:ascii="Times New Roman" w:eastAsia="仿宋"/>
                <w:szCs w:val="21"/>
              </w:rPr>
            </w:pPr>
            <w:r>
              <w:rPr>
                <w:rFonts w:hint="eastAsia" w:ascii="Times New Roman" w:eastAsia="仿宋"/>
                <w:szCs w:val="21"/>
              </w:rPr>
              <w:t>污染物名称</w:t>
            </w:r>
          </w:p>
        </w:tc>
        <w:tc>
          <w:tcPr>
            <w:tcW w:w="928" w:type="pct"/>
            <w:tcBorders>
              <w:top w:val="single" w:color="auto" w:sz="4" w:space="0"/>
              <w:left w:val="single" w:color="auto" w:sz="4" w:space="0"/>
              <w:bottom w:val="single" w:color="auto" w:sz="4" w:space="0"/>
              <w:right w:val="single" w:color="auto" w:sz="4" w:space="0"/>
            </w:tcBorders>
            <w:vAlign w:val="center"/>
          </w:tcPr>
          <w:p w14:paraId="485B61E8">
            <w:pPr>
              <w:jc w:val="center"/>
              <w:rPr>
                <w:rFonts w:ascii="Times New Roman" w:eastAsia="仿宋"/>
                <w:szCs w:val="21"/>
              </w:rPr>
            </w:pPr>
            <w:r>
              <w:rPr>
                <w:rFonts w:hint="eastAsia" w:ascii="Times New Roman" w:eastAsia="仿宋"/>
                <w:szCs w:val="21"/>
              </w:rPr>
              <w:t>评价标准</w:t>
            </w:r>
            <w:r>
              <w:rPr>
                <w:rFonts w:ascii="Times New Roman" w:eastAsia="仿宋"/>
                <w:szCs w:val="21"/>
              </w:rPr>
              <w:t>(μg/m</w:t>
            </w:r>
            <w:r>
              <w:rPr>
                <w:rFonts w:ascii="Times New Roman" w:eastAsia="仿宋"/>
                <w:szCs w:val="21"/>
                <w:vertAlign w:val="superscript"/>
              </w:rPr>
              <w:t>3</w:t>
            </w:r>
            <w:r>
              <w:rPr>
                <w:rFonts w:ascii="Times New Roman" w:eastAsia="仿宋"/>
                <w:szCs w:val="21"/>
              </w:rPr>
              <w:t>)</w:t>
            </w:r>
          </w:p>
        </w:tc>
        <w:tc>
          <w:tcPr>
            <w:tcW w:w="827" w:type="pct"/>
            <w:tcBorders>
              <w:top w:val="single" w:color="auto" w:sz="4" w:space="0"/>
              <w:left w:val="single" w:color="auto" w:sz="4" w:space="0"/>
              <w:bottom w:val="single" w:color="auto" w:sz="4" w:space="0"/>
              <w:right w:val="single" w:color="auto" w:sz="4" w:space="0"/>
            </w:tcBorders>
            <w:vAlign w:val="center"/>
          </w:tcPr>
          <w:p w14:paraId="0C0E4A6A">
            <w:pPr>
              <w:jc w:val="center"/>
              <w:rPr>
                <w:rFonts w:ascii="Times New Roman" w:eastAsia="仿宋"/>
                <w:szCs w:val="21"/>
              </w:rPr>
            </w:pPr>
            <w:r>
              <w:rPr>
                <w:rFonts w:ascii="Times New Roman" w:eastAsia="仿宋"/>
                <w:szCs w:val="21"/>
              </w:rPr>
              <w:t>Cmax(μg /m</w:t>
            </w:r>
            <w:r>
              <w:rPr>
                <w:rFonts w:ascii="Times New Roman" w:eastAsia="仿宋"/>
                <w:szCs w:val="21"/>
                <w:vertAlign w:val="superscript"/>
              </w:rPr>
              <w:t>3</w:t>
            </w:r>
            <w:r>
              <w:rPr>
                <w:rFonts w:ascii="Times New Roman" w:eastAsia="仿宋"/>
                <w:szCs w:val="21"/>
              </w:rPr>
              <w:t>)</w:t>
            </w:r>
          </w:p>
        </w:tc>
        <w:tc>
          <w:tcPr>
            <w:tcW w:w="1153" w:type="pct"/>
            <w:tcBorders>
              <w:top w:val="single" w:color="auto" w:sz="4" w:space="0"/>
              <w:left w:val="single" w:color="auto" w:sz="4" w:space="0"/>
              <w:bottom w:val="single" w:color="auto" w:sz="4" w:space="0"/>
              <w:right w:val="single" w:color="auto" w:sz="4" w:space="0"/>
            </w:tcBorders>
            <w:vAlign w:val="center"/>
          </w:tcPr>
          <w:p w14:paraId="6A5FAD1D">
            <w:pPr>
              <w:jc w:val="center"/>
              <w:rPr>
                <w:rFonts w:ascii="Times New Roman" w:eastAsia="仿宋"/>
                <w:szCs w:val="21"/>
              </w:rPr>
            </w:pPr>
            <w:r>
              <w:rPr>
                <w:rFonts w:ascii="Times New Roman" w:eastAsia="仿宋"/>
                <w:szCs w:val="21"/>
              </w:rPr>
              <w:t>Pmax</w:t>
            </w:r>
            <w:r>
              <w:rPr>
                <w:rFonts w:hint="eastAsia" w:ascii="Times New Roman" w:eastAsia="仿宋"/>
                <w:szCs w:val="21"/>
              </w:rPr>
              <w:t>（</w:t>
            </w:r>
            <w:r>
              <w:rPr>
                <w:rFonts w:ascii="Times New Roman" w:eastAsia="仿宋"/>
                <w:szCs w:val="21"/>
              </w:rPr>
              <w:t>%</w:t>
            </w:r>
            <w:r>
              <w:rPr>
                <w:rFonts w:hint="eastAsia" w:ascii="Times New Roman" w:eastAsia="仿宋"/>
                <w:szCs w:val="21"/>
              </w:rPr>
              <w:t>）</w:t>
            </w:r>
          </w:p>
        </w:tc>
      </w:tr>
      <w:tr w14:paraId="5925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43" w:type="pct"/>
            <w:vMerge w:val="restart"/>
            <w:tcBorders>
              <w:top w:val="single" w:color="auto" w:sz="4" w:space="0"/>
              <w:left w:val="single" w:color="auto" w:sz="4" w:space="0"/>
              <w:right w:val="single" w:color="auto" w:sz="4" w:space="0"/>
            </w:tcBorders>
            <w:vAlign w:val="center"/>
          </w:tcPr>
          <w:p w14:paraId="604FC695">
            <w:pPr>
              <w:jc w:val="center"/>
              <w:rPr>
                <w:rFonts w:ascii="Times New Roman" w:eastAsia="仿宋"/>
                <w:szCs w:val="21"/>
              </w:rPr>
            </w:pPr>
            <w:r>
              <w:rPr>
                <w:rFonts w:hint="eastAsia" w:ascii="Times New Roman" w:eastAsia="仿宋"/>
                <w:szCs w:val="21"/>
              </w:rPr>
              <w:t>有组织废气</w:t>
            </w:r>
          </w:p>
        </w:tc>
        <w:tc>
          <w:tcPr>
            <w:tcW w:w="576" w:type="pct"/>
            <w:tcBorders>
              <w:top w:val="single" w:color="auto" w:sz="4" w:space="0"/>
              <w:left w:val="single" w:color="auto" w:sz="4" w:space="0"/>
              <w:right w:val="single" w:color="auto" w:sz="4" w:space="0"/>
            </w:tcBorders>
            <w:vAlign w:val="center"/>
          </w:tcPr>
          <w:p w14:paraId="112407B7">
            <w:pPr>
              <w:jc w:val="center"/>
              <w:rPr>
                <w:rFonts w:ascii="Times New Roman" w:eastAsia="仿宋"/>
                <w:szCs w:val="21"/>
              </w:rPr>
            </w:pPr>
            <w:r>
              <w:rPr>
                <w:rFonts w:hint="eastAsia" w:ascii="Times New Roman" w:eastAsia="仿宋"/>
                <w:szCs w:val="21"/>
              </w:rPr>
              <w:t>1#</w:t>
            </w:r>
          </w:p>
        </w:tc>
        <w:tc>
          <w:tcPr>
            <w:tcW w:w="973" w:type="pct"/>
            <w:tcBorders>
              <w:top w:val="single" w:color="auto" w:sz="4" w:space="0"/>
              <w:left w:val="single" w:color="auto" w:sz="4" w:space="0"/>
              <w:right w:val="single" w:color="auto" w:sz="4" w:space="0"/>
            </w:tcBorders>
            <w:vAlign w:val="center"/>
          </w:tcPr>
          <w:p w14:paraId="5B22093B">
            <w:pPr>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right w:val="single" w:color="auto" w:sz="4" w:space="0"/>
            </w:tcBorders>
            <w:vAlign w:val="center"/>
          </w:tcPr>
          <w:p w14:paraId="077619C1">
            <w:pPr>
              <w:spacing w:line="320" w:lineRule="exact"/>
              <w:jc w:val="center"/>
              <w:rPr>
                <w:rFonts w:ascii="Times New Roman" w:eastAsia="仿宋_GB2312"/>
                <w:szCs w:val="24"/>
                <w:lang w:bidi="ar"/>
              </w:rPr>
            </w:pPr>
            <w:r>
              <w:rPr>
                <w:rFonts w:hint="eastAsia" w:ascii="Times New Roman" w:eastAsia="仿宋_GB2312"/>
                <w:szCs w:val="24"/>
                <w:lang w:bidi="ar"/>
              </w:rPr>
              <w:t>450</w:t>
            </w:r>
          </w:p>
        </w:tc>
        <w:tc>
          <w:tcPr>
            <w:tcW w:w="827" w:type="pct"/>
            <w:tcBorders>
              <w:top w:val="single" w:color="auto" w:sz="4" w:space="0"/>
              <w:left w:val="single" w:color="auto" w:sz="4" w:space="0"/>
              <w:right w:val="single" w:color="auto" w:sz="4" w:space="0"/>
            </w:tcBorders>
            <w:vAlign w:val="center"/>
          </w:tcPr>
          <w:p w14:paraId="3AFF1B3E">
            <w:pPr>
              <w:spacing w:line="320" w:lineRule="exact"/>
              <w:jc w:val="center"/>
              <w:rPr>
                <w:rFonts w:ascii="Times New Roman" w:eastAsia="仿宋_GB2312"/>
                <w:szCs w:val="24"/>
                <w:lang w:bidi="ar"/>
              </w:rPr>
            </w:pPr>
            <w:r>
              <w:rPr>
                <w:rFonts w:ascii="Times New Roman" w:eastAsia="仿宋_GB2312"/>
                <w:szCs w:val="24"/>
                <w:lang w:bidi="ar"/>
              </w:rPr>
              <w:t>1.71</w:t>
            </w:r>
          </w:p>
        </w:tc>
        <w:tc>
          <w:tcPr>
            <w:tcW w:w="1153" w:type="pct"/>
            <w:tcBorders>
              <w:top w:val="single" w:color="auto" w:sz="4" w:space="0"/>
              <w:left w:val="single" w:color="auto" w:sz="4" w:space="0"/>
              <w:bottom w:val="single" w:color="auto" w:sz="4" w:space="0"/>
              <w:right w:val="single" w:color="auto" w:sz="4" w:space="0"/>
            </w:tcBorders>
            <w:vAlign w:val="center"/>
          </w:tcPr>
          <w:p w14:paraId="45A5AC61">
            <w:pPr>
              <w:spacing w:line="320" w:lineRule="exact"/>
              <w:jc w:val="center"/>
              <w:rPr>
                <w:rFonts w:ascii="Times New Roman" w:eastAsia="仿宋_GB2312"/>
                <w:szCs w:val="24"/>
                <w:lang w:bidi="ar"/>
              </w:rPr>
            </w:pPr>
            <w:r>
              <w:rPr>
                <w:rFonts w:ascii="Times New Roman" w:eastAsia="仿宋_GB2312"/>
                <w:szCs w:val="24"/>
                <w:lang w:bidi="ar"/>
              </w:rPr>
              <w:t>0.38</w:t>
            </w:r>
          </w:p>
        </w:tc>
      </w:tr>
      <w:tr w14:paraId="4C72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3" w:type="pct"/>
            <w:vMerge w:val="continue"/>
            <w:tcBorders>
              <w:left w:val="single" w:color="auto" w:sz="4" w:space="0"/>
              <w:right w:val="single" w:color="auto" w:sz="4" w:space="0"/>
            </w:tcBorders>
            <w:vAlign w:val="center"/>
          </w:tcPr>
          <w:p w14:paraId="03879752">
            <w:pPr>
              <w:jc w:val="center"/>
              <w:rPr>
                <w:rFonts w:ascii="Calibri"/>
                <w:szCs w:val="24"/>
              </w:rPr>
            </w:pPr>
          </w:p>
        </w:tc>
        <w:tc>
          <w:tcPr>
            <w:tcW w:w="576" w:type="pct"/>
            <w:vMerge w:val="restart"/>
            <w:tcBorders>
              <w:top w:val="single" w:color="auto" w:sz="4" w:space="0"/>
              <w:left w:val="single" w:color="auto" w:sz="4" w:space="0"/>
              <w:right w:val="single" w:color="auto" w:sz="4" w:space="0"/>
            </w:tcBorders>
            <w:vAlign w:val="center"/>
          </w:tcPr>
          <w:p w14:paraId="37CC1F93">
            <w:pPr>
              <w:jc w:val="center"/>
              <w:rPr>
                <w:rFonts w:ascii="Times New Roman" w:eastAsia="仿宋"/>
                <w:szCs w:val="21"/>
              </w:rPr>
            </w:pPr>
            <w:r>
              <w:rPr>
                <w:rFonts w:hint="eastAsia" w:ascii="Times New Roman" w:eastAsia="仿宋"/>
                <w:szCs w:val="21"/>
              </w:rPr>
              <w:t>2#</w:t>
            </w:r>
          </w:p>
        </w:tc>
        <w:tc>
          <w:tcPr>
            <w:tcW w:w="973" w:type="pct"/>
            <w:tcBorders>
              <w:top w:val="single" w:color="auto" w:sz="4" w:space="0"/>
              <w:left w:val="single" w:color="auto" w:sz="4" w:space="0"/>
              <w:bottom w:val="single" w:color="auto" w:sz="4" w:space="0"/>
              <w:right w:val="single" w:color="auto" w:sz="4" w:space="0"/>
            </w:tcBorders>
            <w:vAlign w:val="center"/>
          </w:tcPr>
          <w:p w14:paraId="40C8F04C">
            <w:pPr>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76FEC417">
            <w:pPr>
              <w:spacing w:line="320" w:lineRule="exact"/>
              <w:jc w:val="center"/>
              <w:rPr>
                <w:rFonts w:ascii="Times New Roman" w:eastAsia="仿宋_GB2312"/>
                <w:szCs w:val="24"/>
                <w:lang w:bidi="ar"/>
              </w:rPr>
            </w:pPr>
            <w:r>
              <w:rPr>
                <w:rFonts w:hint="eastAsia" w:ascii="Times New Roman" w:eastAsia="仿宋_GB2312"/>
                <w:szCs w:val="24"/>
                <w:lang w:bidi="ar"/>
              </w:rPr>
              <w:t>450</w:t>
            </w:r>
          </w:p>
        </w:tc>
        <w:tc>
          <w:tcPr>
            <w:tcW w:w="827" w:type="pct"/>
            <w:tcBorders>
              <w:top w:val="single" w:color="auto" w:sz="4" w:space="0"/>
              <w:left w:val="single" w:color="auto" w:sz="4" w:space="0"/>
              <w:bottom w:val="single" w:color="auto" w:sz="4" w:space="0"/>
              <w:right w:val="single" w:color="auto" w:sz="4" w:space="0"/>
            </w:tcBorders>
            <w:vAlign w:val="center"/>
          </w:tcPr>
          <w:p w14:paraId="2B79BF35">
            <w:pPr>
              <w:spacing w:line="320" w:lineRule="exact"/>
              <w:jc w:val="center"/>
              <w:rPr>
                <w:rFonts w:ascii="Times New Roman" w:eastAsia="仿宋_GB2312"/>
                <w:szCs w:val="24"/>
                <w:lang w:bidi="ar"/>
              </w:rPr>
            </w:pPr>
            <w:r>
              <w:rPr>
                <w:rFonts w:ascii="Times New Roman" w:eastAsia="仿宋_GB2312"/>
                <w:szCs w:val="24"/>
                <w:lang w:bidi="ar"/>
              </w:rPr>
              <w:t>0.667</w:t>
            </w:r>
          </w:p>
        </w:tc>
        <w:tc>
          <w:tcPr>
            <w:tcW w:w="1153" w:type="pct"/>
            <w:tcBorders>
              <w:top w:val="single" w:color="auto" w:sz="4" w:space="0"/>
              <w:left w:val="single" w:color="auto" w:sz="4" w:space="0"/>
              <w:bottom w:val="single" w:color="auto" w:sz="4" w:space="0"/>
              <w:right w:val="single" w:color="auto" w:sz="4" w:space="0"/>
            </w:tcBorders>
            <w:vAlign w:val="center"/>
          </w:tcPr>
          <w:p w14:paraId="48478EB9">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.15</w:t>
            </w:r>
          </w:p>
        </w:tc>
      </w:tr>
      <w:tr w14:paraId="14D2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3" w:type="pct"/>
            <w:vMerge w:val="continue"/>
            <w:tcBorders>
              <w:left w:val="single" w:color="auto" w:sz="4" w:space="0"/>
              <w:right w:val="single" w:color="auto" w:sz="4" w:space="0"/>
            </w:tcBorders>
            <w:vAlign w:val="center"/>
          </w:tcPr>
          <w:p w14:paraId="6815E6D4">
            <w:pPr>
              <w:jc w:val="center"/>
              <w:rPr>
                <w:rFonts w:ascii="Calibri"/>
                <w:szCs w:val="24"/>
              </w:rPr>
            </w:pPr>
          </w:p>
        </w:tc>
        <w:tc>
          <w:tcPr>
            <w:tcW w:w="576" w:type="pct"/>
            <w:vMerge w:val="continue"/>
            <w:tcBorders>
              <w:left w:val="single" w:color="auto" w:sz="4" w:space="0"/>
              <w:right w:val="single" w:color="auto" w:sz="4" w:space="0"/>
            </w:tcBorders>
            <w:vAlign w:val="center"/>
          </w:tcPr>
          <w:p w14:paraId="0B44F409">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21F95FA1">
            <w:pPr>
              <w:jc w:val="center"/>
              <w:rPr>
                <w:rFonts w:ascii="Times New Roman" w:eastAsia="仿宋"/>
                <w:szCs w:val="21"/>
              </w:rPr>
            </w:pPr>
            <w:r>
              <w:rPr>
                <w:rFonts w:hint="eastAsia" w:ascii="Times New Roman" w:eastAsia="仿宋"/>
                <w:szCs w:val="21"/>
              </w:rPr>
              <w:t>非甲烷总烃</w:t>
            </w:r>
          </w:p>
        </w:tc>
        <w:tc>
          <w:tcPr>
            <w:tcW w:w="928" w:type="pct"/>
            <w:tcBorders>
              <w:top w:val="single" w:color="auto" w:sz="4" w:space="0"/>
              <w:left w:val="single" w:color="auto" w:sz="4" w:space="0"/>
              <w:bottom w:val="single" w:color="auto" w:sz="4" w:space="0"/>
              <w:right w:val="single" w:color="auto" w:sz="4" w:space="0"/>
            </w:tcBorders>
            <w:vAlign w:val="center"/>
          </w:tcPr>
          <w:p w14:paraId="72018065">
            <w:pPr>
              <w:spacing w:line="320" w:lineRule="exact"/>
              <w:jc w:val="center"/>
              <w:rPr>
                <w:rFonts w:ascii="Times New Roman" w:eastAsia="仿宋_GB2312"/>
                <w:szCs w:val="24"/>
                <w:lang w:bidi="ar"/>
              </w:rPr>
            </w:pPr>
            <w:r>
              <w:rPr>
                <w:rFonts w:hint="eastAsia" w:ascii="Times New Roman" w:eastAsia="仿宋_GB2312"/>
                <w:szCs w:val="24"/>
                <w:lang w:bidi="ar"/>
              </w:rPr>
              <w:t>2000</w:t>
            </w:r>
          </w:p>
        </w:tc>
        <w:tc>
          <w:tcPr>
            <w:tcW w:w="827" w:type="pct"/>
            <w:tcBorders>
              <w:top w:val="single" w:color="auto" w:sz="4" w:space="0"/>
              <w:left w:val="single" w:color="auto" w:sz="4" w:space="0"/>
              <w:bottom w:val="single" w:color="auto" w:sz="4" w:space="0"/>
              <w:right w:val="single" w:color="auto" w:sz="4" w:space="0"/>
            </w:tcBorders>
            <w:vAlign w:val="center"/>
          </w:tcPr>
          <w:p w14:paraId="1DA60776">
            <w:pPr>
              <w:spacing w:line="320" w:lineRule="exact"/>
              <w:jc w:val="center"/>
              <w:rPr>
                <w:rFonts w:ascii="Times New Roman" w:eastAsia="仿宋_GB2312"/>
                <w:szCs w:val="24"/>
                <w:lang w:bidi="ar"/>
              </w:rPr>
            </w:pPr>
            <w:r>
              <w:rPr>
                <w:rFonts w:hint="eastAsia" w:ascii="Times New Roman" w:eastAsia="仿宋_GB2312"/>
                <w:szCs w:val="24"/>
                <w:lang w:bidi="ar"/>
              </w:rPr>
              <w:t>3</w:t>
            </w:r>
            <w:r>
              <w:rPr>
                <w:rFonts w:ascii="Times New Roman" w:eastAsia="仿宋_GB2312"/>
                <w:szCs w:val="24"/>
                <w:lang w:bidi="ar"/>
              </w:rPr>
              <w:t>.16</w:t>
            </w:r>
          </w:p>
        </w:tc>
        <w:tc>
          <w:tcPr>
            <w:tcW w:w="1153" w:type="pct"/>
            <w:tcBorders>
              <w:top w:val="single" w:color="auto" w:sz="4" w:space="0"/>
              <w:left w:val="single" w:color="auto" w:sz="4" w:space="0"/>
              <w:bottom w:val="single" w:color="auto" w:sz="4" w:space="0"/>
              <w:right w:val="single" w:color="auto" w:sz="4" w:space="0"/>
            </w:tcBorders>
            <w:vAlign w:val="center"/>
          </w:tcPr>
          <w:p w14:paraId="76266D06">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.16</w:t>
            </w:r>
          </w:p>
        </w:tc>
      </w:tr>
      <w:tr w14:paraId="34D7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3" w:type="pct"/>
            <w:vMerge w:val="continue"/>
            <w:tcBorders>
              <w:left w:val="single" w:color="auto" w:sz="4" w:space="0"/>
              <w:right w:val="single" w:color="auto" w:sz="4" w:space="0"/>
            </w:tcBorders>
            <w:vAlign w:val="center"/>
          </w:tcPr>
          <w:p w14:paraId="04527008">
            <w:pPr>
              <w:jc w:val="center"/>
              <w:rPr>
                <w:rFonts w:ascii="Calibri"/>
                <w:szCs w:val="24"/>
              </w:rPr>
            </w:pPr>
          </w:p>
        </w:tc>
        <w:tc>
          <w:tcPr>
            <w:tcW w:w="576" w:type="pct"/>
            <w:vMerge w:val="continue"/>
            <w:tcBorders>
              <w:left w:val="single" w:color="auto" w:sz="4" w:space="0"/>
              <w:right w:val="single" w:color="auto" w:sz="4" w:space="0"/>
            </w:tcBorders>
            <w:vAlign w:val="center"/>
          </w:tcPr>
          <w:p w14:paraId="5FFEE186">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6A1A9544">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28" w:type="pct"/>
            <w:tcBorders>
              <w:top w:val="single" w:color="auto" w:sz="4" w:space="0"/>
              <w:left w:val="single" w:color="auto" w:sz="4" w:space="0"/>
              <w:bottom w:val="single" w:color="auto" w:sz="4" w:space="0"/>
              <w:right w:val="single" w:color="auto" w:sz="4" w:space="0"/>
            </w:tcBorders>
            <w:vAlign w:val="center"/>
          </w:tcPr>
          <w:p w14:paraId="41BB816C">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827" w:type="pct"/>
            <w:tcBorders>
              <w:top w:val="single" w:color="auto" w:sz="4" w:space="0"/>
              <w:left w:val="single" w:color="auto" w:sz="4" w:space="0"/>
              <w:bottom w:val="single" w:color="auto" w:sz="4" w:space="0"/>
              <w:right w:val="single" w:color="auto" w:sz="4" w:space="0"/>
            </w:tcBorders>
            <w:vAlign w:val="center"/>
          </w:tcPr>
          <w:p w14:paraId="5E7D3EA7">
            <w:pPr>
              <w:spacing w:line="320" w:lineRule="exact"/>
              <w:jc w:val="center"/>
              <w:rPr>
                <w:rFonts w:ascii="Times New Roman" w:eastAsia="仿宋_GB2312"/>
                <w:szCs w:val="24"/>
                <w:lang w:bidi="ar"/>
              </w:rPr>
            </w:pPr>
            <w:r>
              <w:rPr>
                <w:rFonts w:ascii="Times New Roman" w:eastAsia="仿宋_GB2312"/>
                <w:szCs w:val="24"/>
                <w:lang w:bidi="ar"/>
              </w:rPr>
              <w:t>3.16</w:t>
            </w:r>
          </w:p>
        </w:tc>
        <w:tc>
          <w:tcPr>
            <w:tcW w:w="1153" w:type="pct"/>
            <w:tcBorders>
              <w:top w:val="single" w:color="auto" w:sz="4" w:space="0"/>
              <w:left w:val="single" w:color="auto" w:sz="4" w:space="0"/>
              <w:bottom w:val="single" w:color="auto" w:sz="4" w:space="0"/>
              <w:right w:val="single" w:color="auto" w:sz="4" w:space="0"/>
            </w:tcBorders>
            <w:vAlign w:val="center"/>
          </w:tcPr>
          <w:p w14:paraId="69A0E598">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.26</w:t>
            </w:r>
          </w:p>
        </w:tc>
      </w:tr>
      <w:tr w14:paraId="1C00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3" w:type="pct"/>
            <w:vMerge w:val="continue"/>
            <w:tcBorders>
              <w:left w:val="single" w:color="auto" w:sz="4" w:space="0"/>
              <w:right w:val="single" w:color="auto" w:sz="4" w:space="0"/>
            </w:tcBorders>
            <w:vAlign w:val="center"/>
          </w:tcPr>
          <w:p w14:paraId="161CAB1E">
            <w:pPr>
              <w:jc w:val="center"/>
              <w:rPr>
                <w:rFonts w:ascii="Calibri"/>
                <w:szCs w:val="24"/>
              </w:rPr>
            </w:pPr>
          </w:p>
        </w:tc>
        <w:tc>
          <w:tcPr>
            <w:tcW w:w="576" w:type="pct"/>
            <w:vMerge w:val="continue"/>
            <w:tcBorders>
              <w:left w:val="single" w:color="auto" w:sz="4" w:space="0"/>
              <w:right w:val="single" w:color="auto" w:sz="4" w:space="0"/>
            </w:tcBorders>
            <w:vAlign w:val="center"/>
          </w:tcPr>
          <w:p w14:paraId="644A51AA">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2F385F1B">
            <w:pPr>
              <w:jc w:val="center"/>
              <w:rPr>
                <w:rFonts w:ascii="Times New Roman" w:eastAsia="仿宋"/>
                <w:szCs w:val="21"/>
              </w:rPr>
            </w:pPr>
            <w:r>
              <w:rPr>
                <w:rFonts w:hint="eastAsia" w:ascii="Times New Roman" w:eastAsia="仿宋"/>
                <w:szCs w:val="21"/>
              </w:rPr>
              <w:t>二甲苯</w:t>
            </w:r>
          </w:p>
        </w:tc>
        <w:tc>
          <w:tcPr>
            <w:tcW w:w="928" w:type="pct"/>
            <w:tcBorders>
              <w:top w:val="single" w:color="auto" w:sz="4" w:space="0"/>
              <w:left w:val="single" w:color="auto" w:sz="4" w:space="0"/>
              <w:bottom w:val="single" w:color="auto" w:sz="4" w:space="0"/>
              <w:right w:val="single" w:color="auto" w:sz="4" w:space="0"/>
            </w:tcBorders>
            <w:vAlign w:val="center"/>
          </w:tcPr>
          <w:p w14:paraId="5D47DCDA">
            <w:pPr>
              <w:spacing w:line="320" w:lineRule="exact"/>
              <w:jc w:val="center"/>
              <w:rPr>
                <w:rFonts w:ascii="Times New Roman" w:eastAsia="仿宋_GB2312"/>
                <w:szCs w:val="24"/>
                <w:lang w:bidi="ar"/>
              </w:rPr>
            </w:pPr>
            <w:r>
              <w:rPr>
                <w:rFonts w:hint="eastAsia" w:ascii="Times New Roman" w:eastAsia="仿宋_GB2312"/>
                <w:szCs w:val="24"/>
                <w:lang w:bidi="ar"/>
              </w:rPr>
              <w:t>200</w:t>
            </w:r>
          </w:p>
        </w:tc>
        <w:tc>
          <w:tcPr>
            <w:tcW w:w="827" w:type="pct"/>
            <w:tcBorders>
              <w:top w:val="single" w:color="auto" w:sz="4" w:space="0"/>
              <w:left w:val="single" w:color="auto" w:sz="4" w:space="0"/>
              <w:bottom w:val="single" w:color="auto" w:sz="4" w:space="0"/>
              <w:right w:val="single" w:color="auto" w:sz="4" w:space="0"/>
            </w:tcBorders>
            <w:vAlign w:val="center"/>
          </w:tcPr>
          <w:p w14:paraId="68E3DBA7">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.28</w:t>
            </w:r>
          </w:p>
        </w:tc>
        <w:tc>
          <w:tcPr>
            <w:tcW w:w="1153" w:type="pct"/>
            <w:tcBorders>
              <w:top w:val="single" w:color="auto" w:sz="4" w:space="0"/>
              <w:left w:val="single" w:color="auto" w:sz="4" w:space="0"/>
              <w:bottom w:val="single" w:color="auto" w:sz="4" w:space="0"/>
              <w:right w:val="single" w:color="auto" w:sz="4" w:space="0"/>
            </w:tcBorders>
            <w:vAlign w:val="center"/>
          </w:tcPr>
          <w:p w14:paraId="18AF484E">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14</w:t>
            </w:r>
          </w:p>
        </w:tc>
      </w:tr>
      <w:tr w14:paraId="6703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3" w:type="pct"/>
            <w:vMerge w:val="continue"/>
            <w:tcBorders>
              <w:left w:val="single" w:color="auto" w:sz="4" w:space="0"/>
              <w:right w:val="single" w:color="auto" w:sz="4" w:space="0"/>
            </w:tcBorders>
            <w:vAlign w:val="center"/>
          </w:tcPr>
          <w:p w14:paraId="317AA001">
            <w:pPr>
              <w:jc w:val="center"/>
              <w:rPr>
                <w:rFonts w:ascii="Calibri"/>
                <w:szCs w:val="24"/>
              </w:rPr>
            </w:pPr>
          </w:p>
        </w:tc>
        <w:tc>
          <w:tcPr>
            <w:tcW w:w="576" w:type="pct"/>
            <w:vMerge w:val="continue"/>
            <w:tcBorders>
              <w:left w:val="single" w:color="auto" w:sz="4" w:space="0"/>
              <w:right w:val="single" w:color="auto" w:sz="4" w:space="0"/>
            </w:tcBorders>
            <w:vAlign w:val="center"/>
          </w:tcPr>
          <w:p w14:paraId="619DD4A8">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5E6A0241">
            <w:pPr>
              <w:jc w:val="center"/>
              <w:rPr>
                <w:rFonts w:ascii="Times New Roman" w:eastAsia="仿宋"/>
                <w:szCs w:val="21"/>
              </w:rPr>
            </w:pPr>
            <w:r>
              <w:rPr>
                <w:rFonts w:hint="eastAsia" w:ascii="Times New Roman" w:eastAsia="仿宋"/>
                <w:szCs w:val="21"/>
              </w:rPr>
              <w:t>二氧化硫</w:t>
            </w:r>
          </w:p>
        </w:tc>
        <w:tc>
          <w:tcPr>
            <w:tcW w:w="928" w:type="pct"/>
            <w:tcBorders>
              <w:top w:val="single" w:color="auto" w:sz="4" w:space="0"/>
              <w:left w:val="single" w:color="auto" w:sz="4" w:space="0"/>
              <w:bottom w:val="single" w:color="auto" w:sz="4" w:space="0"/>
              <w:right w:val="single" w:color="auto" w:sz="4" w:space="0"/>
            </w:tcBorders>
            <w:vAlign w:val="center"/>
          </w:tcPr>
          <w:p w14:paraId="5BEF9CE1">
            <w:pPr>
              <w:spacing w:line="320" w:lineRule="exact"/>
              <w:jc w:val="center"/>
              <w:rPr>
                <w:rFonts w:ascii="Times New Roman" w:eastAsia="仿宋_GB2312"/>
                <w:szCs w:val="24"/>
                <w:lang w:bidi="ar"/>
              </w:rPr>
            </w:pPr>
            <w:r>
              <w:rPr>
                <w:rFonts w:hint="eastAsia" w:ascii="Times New Roman" w:eastAsia="仿宋_GB2312"/>
                <w:szCs w:val="24"/>
                <w:lang w:bidi="ar"/>
              </w:rPr>
              <w:t>500</w:t>
            </w:r>
          </w:p>
        </w:tc>
        <w:tc>
          <w:tcPr>
            <w:tcW w:w="827" w:type="pct"/>
            <w:tcBorders>
              <w:top w:val="single" w:color="auto" w:sz="4" w:space="0"/>
              <w:left w:val="single" w:color="auto" w:sz="4" w:space="0"/>
              <w:bottom w:val="single" w:color="auto" w:sz="4" w:space="0"/>
              <w:right w:val="single" w:color="auto" w:sz="4" w:space="0"/>
            </w:tcBorders>
            <w:vAlign w:val="center"/>
          </w:tcPr>
          <w:p w14:paraId="03D90590">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.0175</w:t>
            </w:r>
          </w:p>
        </w:tc>
        <w:tc>
          <w:tcPr>
            <w:tcW w:w="1153" w:type="pct"/>
            <w:tcBorders>
              <w:top w:val="single" w:color="auto" w:sz="4" w:space="0"/>
              <w:left w:val="single" w:color="auto" w:sz="4" w:space="0"/>
              <w:bottom w:val="single" w:color="auto" w:sz="4" w:space="0"/>
              <w:right w:val="single" w:color="auto" w:sz="4" w:space="0"/>
            </w:tcBorders>
            <w:vAlign w:val="center"/>
          </w:tcPr>
          <w:p w14:paraId="0A3B31A9">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.00</w:t>
            </w:r>
          </w:p>
        </w:tc>
      </w:tr>
      <w:tr w14:paraId="4341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3" w:type="pct"/>
            <w:vMerge w:val="continue"/>
            <w:tcBorders>
              <w:left w:val="single" w:color="auto" w:sz="4" w:space="0"/>
              <w:right w:val="single" w:color="auto" w:sz="4" w:space="0"/>
            </w:tcBorders>
            <w:vAlign w:val="center"/>
          </w:tcPr>
          <w:p w14:paraId="52130107">
            <w:pPr>
              <w:jc w:val="center"/>
              <w:rPr>
                <w:rFonts w:ascii="Calibri"/>
                <w:szCs w:val="24"/>
              </w:rPr>
            </w:pPr>
          </w:p>
        </w:tc>
        <w:tc>
          <w:tcPr>
            <w:tcW w:w="576" w:type="pct"/>
            <w:vMerge w:val="continue"/>
            <w:tcBorders>
              <w:left w:val="single" w:color="auto" w:sz="4" w:space="0"/>
              <w:bottom w:val="single" w:color="auto" w:sz="4" w:space="0"/>
              <w:right w:val="single" w:color="auto" w:sz="4" w:space="0"/>
            </w:tcBorders>
            <w:vAlign w:val="center"/>
          </w:tcPr>
          <w:p w14:paraId="13B2981D">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69986F22">
            <w:pPr>
              <w:jc w:val="center"/>
              <w:rPr>
                <w:rFonts w:ascii="Times New Roman" w:eastAsia="仿宋"/>
                <w:szCs w:val="21"/>
              </w:rPr>
            </w:pPr>
            <w:r>
              <w:rPr>
                <w:rFonts w:hint="eastAsia" w:ascii="Times New Roman" w:eastAsia="仿宋"/>
                <w:szCs w:val="21"/>
              </w:rPr>
              <w:t>氮氧化物</w:t>
            </w:r>
          </w:p>
        </w:tc>
        <w:tc>
          <w:tcPr>
            <w:tcW w:w="928" w:type="pct"/>
            <w:tcBorders>
              <w:top w:val="single" w:color="auto" w:sz="4" w:space="0"/>
              <w:left w:val="single" w:color="auto" w:sz="4" w:space="0"/>
              <w:bottom w:val="single" w:color="auto" w:sz="4" w:space="0"/>
              <w:right w:val="single" w:color="auto" w:sz="4" w:space="0"/>
            </w:tcBorders>
            <w:vAlign w:val="center"/>
          </w:tcPr>
          <w:p w14:paraId="3BD6C56A">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w:t>
            </w:r>
            <w:r>
              <w:rPr>
                <w:rFonts w:hint="eastAsia" w:ascii="Times New Roman" w:eastAsia="仿宋_GB2312"/>
                <w:szCs w:val="24"/>
                <w:lang w:bidi="ar"/>
              </w:rPr>
              <w:t>0</w:t>
            </w:r>
          </w:p>
        </w:tc>
        <w:tc>
          <w:tcPr>
            <w:tcW w:w="827" w:type="pct"/>
            <w:tcBorders>
              <w:top w:val="single" w:color="auto" w:sz="4" w:space="0"/>
              <w:left w:val="single" w:color="auto" w:sz="4" w:space="0"/>
              <w:bottom w:val="single" w:color="auto" w:sz="4" w:space="0"/>
              <w:right w:val="single" w:color="auto" w:sz="4" w:space="0"/>
            </w:tcBorders>
            <w:vAlign w:val="center"/>
          </w:tcPr>
          <w:p w14:paraId="2846742B">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.8</w:t>
            </w:r>
          </w:p>
        </w:tc>
        <w:tc>
          <w:tcPr>
            <w:tcW w:w="1153" w:type="pct"/>
            <w:tcBorders>
              <w:top w:val="single" w:color="auto" w:sz="4" w:space="0"/>
              <w:left w:val="single" w:color="auto" w:sz="4" w:space="0"/>
              <w:bottom w:val="single" w:color="auto" w:sz="4" w:space="0"/>
              <w:right w:val="single" w:color="auto" w:sz="4" w:space="0"/>
            </w:tcBorders>
            <w:vAlign w:val="center"/>
          </w:tcPr>
          <w:p w14:paraId="6CF76841">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.4</w:t>
            </w:r>
          </w:p>
        </w:tc>
      </w:tr>
      <w:tr w14:paraId="4158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3" w:type="pct"/>
            <w:vMerge w:val="continue"/>
            <w:tcBorders>
              <w:left w:val="single" w:color="auto" w:sz="4" w:space="0"/>
              <w:right w:val="single" w:color="auto" w:sz="4" w:space="0"/>
            </w:tcBorders>
            <w:vAlign w:val="center"/>
          </w:tcPr>
          <w:p w14:paraId="37E5225F">
            <w:pPr>
              <w:jc w:val="center"/>
              <w:rPr>
                <w:rFonts w:ascii="Calibri"/>
                <w:szCs w:val="24"/>
              </w:rPr>
            </w:pPr>
          </w:p>
        </w:tc>
        <w:tc>
          <w:tcPr>
            <w:tcW w:w="576" w:type="pct"/>
            <w:vMerge w:val="restart"/>
            <w:tcBorders>
              <w:top w:val="single" w:color="auto" w:sz="4" w:space="0"/>
              <w:left w:val="single" w:color="auto" w:sz="4" w:space="0"/>
              <w:right w:val="single" w:color="auto" w:sz="4" w:space="0"/>
            </w:tcBorders>
            <w:vAlign w:val="center"/>
          </w:tcPr>
          <w:p w14:paraId="0F2D0771">
            <w:pPr>
              <w:jc w:val="center"/>
              <w:rPr>
                <w:rFonts w:ascii="Times New Roman" w:eastAsia="仿宋"/>
                <w:szCs w:val="21"/>
              </w:rPr>
            </w:pPr>
            <w:r>
              <w:rPr>
                <w:rFonts w:hint="eastAsia" w:ascii="Times New Roman" w:eastAsia="仿宋"/>
                <w:szCs w:val="21"/>
              </w:rPr>
              <w:t>3#</w:t>
            </w:r>
          </w:p>
        </w:tc>
        <w:tc>
          <w:tcPr>
            <w:tcW w:w="973" w:type="pct"/>
            <w:tcBorders>
              <w:top w:val="single" w:color="auto" w:sz="4" w:space="0"/>
              <w:left w:val="single" w:color="auto" w:sz="4" w:space="0"/>
              <w:bottom w:val="single" w:color="auto" w:sz="4" w:space="0"/>
              <w:right w:val="single" w:color="auto" w:sz="4" w:space="0"/>
            </w:tcBorders>
            <w:vAlign w:val="center"/>
          </w:tcPr>
          <w:p w14:paraId="4AC226F2">
            <w:pPr>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7BEBDAA3">
            <w:pPr>
              <w:spacing w:line="320" w:lineRule="exact"/>
              <w:jc w:val="center"/>
              <w:rPr>
                <w:rFonts w:ascii="Times New Roman" w:eastAsia="仿宋_GB2312"/>
                <w:szCs w:val="24"/>
                <w:lang w:bidi="ar"/>
              </w:rPr>
            </w:pPr>
            <w:r>
              <w:rPr>
                <w:rFonts w:hint="eastAsia" w:ascii="Times New Roman" w:eastAsia="仿宋_GB2312"/>
                <w:szCs w:val="24"/>
                <w:lang w:bidi="ar"/>
              </w:rPr>
              <w:t>45</w:t>
            </w:r>
            <w:r>
              <w:rPr>
                <w:rFonts w:ascii="Times New Roman" w:eastAsia="仿宋_GB2312"/>
                <w:szCs w:val="24"/>
                <w:lang w:bidi="ar"/>
              </w:rPr>
              <w:t>0</w:t>
            </w:r>
          </w:p>
        </w:tc>
        <w:tc>
          <w:tcPr>
            <w:tcW w:w="827" w:type="pct"/>
            <w:tcBorders>
              <w:top w:val="single" w:color="auto" w:sz="4" w:space="0"/>
              <w:left w:val="single" w:color="auto" w:sz="4" w:space="0"/>
              <w:bottom w:val="single" w:color="auto" w:sz="4" w:space="0"/>
              <w:right w:val="single" w:color="auto" w:sz="4" w:space="0"/>
            </w:tcBorders>
            <w:vAlign w:val="center"/>
          </w:tcPr>
          <w:p w14:paraId="0052464F">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1.91</w:t>
            </w:r>
          </w:p>
        </w:tc>
        <w:tc>
          <w:tcPr>
            <w:tcW w:w="1153" w:type="pct"/>
            <w:tcBorders>
              <w:top w:val="single" w:color="auto" w:sz="4" w:space="0"/>
              <w:left w:val="single" w:color="auto" w:sz="4" w:space="0"/>
              <w:bottom w:val="single" w:color="auto" w:sz="4" w:space="0"/>
              <w:right w:val="single" w:color="auto" w:sz="4" w:space="0"/>
            </w:tcBorders>
            <w:vAlign w:val="center"/>
          </w:tcPr>
          <w:p w14:paraId="14B2C797">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.65</w:t>
            </w:r>
          </w:p>
        </w:tc>
      </w:tr>
      <w:tr w14:paraId="6DCC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3" w:type="pct"/>
            <w:vMerge w:val="continue"/>
            <w:tcBorders>
              <w:left w:val="single" w:color="auto" w:sz="4" w:space="0"/>
              <w:right w:val="single" w:color="auto" w:sz="4" w:space="0"/>
            </w:tcBorders>
            <w:vAlign w:val="center"/>
          </w:tcPr>
          <w:p w14:paraId="0D77E5F3">
            <w:pPr>
              <w:jc w:val="center"/>
              <w:rPr>
                <w:rFonts w:ascii="Calibri"/>
                <w:szCs w:val="24"/>
              </w:rPr>
            </w:pPr>
          </w:p>
        </w:tc>
        <w:tc>
          <w:tcPr>
            <w:tcW w:w="576" w:type="pct"/>
            <w:vMerge w:val="continue"/>
            <w:tcBorders>
              <w:left w:val="single" w:color="auto" w:sz="4" w:space="0"/>
              <w:right w:val="single" w:color="auto" w:sz="4" w:space="0"/>
            </w:tcBorders>
            <w:vAlign w:val="center"/>
          </w:tcPr>
          <w:p w14:paraId="118F0883">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6012E4CB">
            <w:pPr>
              <w:jc w:val="center"/>
              <w:rPr>
                <w:rFonts w:ascii="Times New Roman" w:eastAsia="仿宋"/>
                <w:szCs w:val="21"/>
              </w:rPr>
            </w:pPr>
            <w:r>
              <w:rPr>
                <w:rFonts w:hint="eastAsia" w:ascii="Times New Roman" w:eastAsia="仿宋"/>
                <w:szCs w:val="21"/>
              </w:rPr>
              <w:t>非甲烷总烃</w:t>
            </w:r>
          </w:p>
        </w:tc>
        <w:tc>
          <w:tcPr>
            <w:tcW w:w="928" w:type="pct"/>
            <w:tcBorders>
              <w:top w:val="single" w:color="auto" w:sz="4" w:space="0"/>
              <w:left w:val="single" w:color="auto" w:sz="4" w:space="0"/>
              <w:bottom w:val="single" w:color="auto" w:sz="4" w:space="0"/>
              <w:right w:val="single" w:color="auto" w:sz="4" w:space="0"/>
            </w:tcBorders>
            <w:vAlign w:val="center"/>
          </w:tcPr>
          <w:p w14:paraId="1D484BA5">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000</w:t>
            </w:r>
          </w:p>
        </w:tc>
        <w:tc>
          <w:tcPr>
            <w:tcW w:w="827" w:type="pct"/>
            <w:tcBorders>
              <w:top w:val="single" w:color="auto" w:sz="4" w:space="0"/>
              <w:left w:val="single" w:color="auto" w:sz="4" w:space="0"/>
              <w:bottom w:val="single" w:color="auto" w:sz="4" w:space="0"/>
              <w:right w:val="single" w:color="auto" w:sz="4" w:space="0"/>
            </w:tcBorders>
            <w:vAlign w:val="center"/>
          </w:tcPr>
          <w:p w14:paraId="61D18017">
            <w:pPr>
              <w:spacing w:line="320" w:lineRule="exact"/>
              <w:jc w:val="center"/>
              <w:rPr>
                <w:rFonts w:ascii="Times New Roman" w:eastAsia="仿宋_GB2312"/>
                <w:szCs w:val="24"/>
                <w:lang w:bidi="ar"/>
              </w:rPr>
            </w:pPr>
            <w:r>
              <w:rPr>
                <w:rFonts w:hint="eastAsia" w:ascii="Times New Roman" w:eastAsia="仿宋_GB2312"/>
                <w:szCs w:val="24"/>
                <w:lang w:bidi="ar"/>
              </w:rPr>
              <w:t>4</w:t>
            </w:r>
            <w:r>
              <w:rPr>
                <w:rFonts w:ascii="Times New Roman" w:eastAsia="仿宋_GB2312"/>
                <w:szCs w:val="24"/>
                <w:lang w:bidi="ar"/>
              </w:rPr>
              <w:t>5.11</w:t>
            </w:r>
          </w:p>
        </w:tc>
        <w:tc>
          <w:tcPr>
            <w:tcW w:w="1153" w:type="pct"/>
            <w:tcBorders>
              <w:top w:val="single" w:color="auto" w:sz="4" w:space="0"/>
              <w:left w:val="single" w:color="auto" w:sz="4" w:space="0"/>
              <w:bottom w:val="single" w:color="auto" w:sz="4" w:space="0"/>
              <w:right w:val="single" w:color="auto" w:sz="4" w:space="0"/>
            </w:tcBorders>
            <w:vAlign w:val="center"/>
          </w:tcPr>
          <w:p w14:paraId="6BD9F237">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.25</w:t>
            </w:r>
          </w:p>
        </w:tc>
      </w:tr>
      <w:tr w14:paraId="785A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43" w:type="pct"/>
            <w:vMerge w:val="continue"/>
            <w:tcBorders>
              <w:left w:val="single" w:color="auto" w:sz="4" w:space="0"/>
              <w:right w:val="single" w:color="auto" w:sz="4" w:space="0"/>
            </w:tcBorders>
            <w:vAlign w:val="center"/>
          </w:tcPr>
          <w:p w14:paraId="4C025F03">
            <w:pPr>
              <w:jc w:val="center"/>
              <w:rPr>
                <w:rFonts w:ascii="Calibri"/>
                <w:szCs w:val="24"/>
              </w:rPr>
            </w:pPr>
          </w:p>
        </w:tc>
        <w:tc>
          <w:tcPr>
            <w:tcW w:w="576" w:type="pct"/>
            <w:vMerge w:val="continue"/>
            <w:tcBorders>
              <w:left w:val="single" w:color="auto" w:sz="4" w:space="0"/>
              <w:right w:val="single" w:color="auto" w:sz="4" w:space="0"/>
            </w:tcBorders>
            <w:vAlign w:val="center"/>
          </w:tcPr>
          <w:p w14:paraId="0BF335CC">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12C83AA5">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28" w:type="pct"/>
            <w:tcBorders>
              <w:top w:val="single" w:color="auto" w:sz="4" w:space="0"/>
              <w:left w:val="single" w:color="auto" w:sz="4" w:space="0"/>
              <w:bottom w:val="single" w:color="auto" w:sz="4" w:space="0"/>
              <w:right w:val="single" w:color="auto" w:sz="4" w:space="0"/>
            </w:tcBorders>
            <w:vAlign w:val="center"/>
          </w:tcPr>
          <w:p w14:paraId="7389D50D">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827" w:type="pct"/>
            <w:tcBorders>
              <w:top w:val="single" w:color="auto" w:sz="4" w:space="0"/>
              <w:left w:val="single" w:color="auto" w:sz="4" w:space="0"/>
              <w:bottom w:val="single" w:color="auto" w:sz="4" w:space="0"/>
              <w:right w:val="single" w:color="auto" w:sz="4" w:space="0"/>
            </w:tcBorders>
            <w:vAlign w:val="center"/>
          </w:tcPr>
          <w:p w14:paraId="4C0BCE4E">
            <w:pPr>
              <w:spacing w:line="320" w:lineRule="exact"/>
              <w:jc w:val="center"/>
              <w:rPr>
                <w:rFonts w:ascii="Times New Roman" w:eastAsia="仿宋_GB2312"/>
                <w:szCs w:val="24"/>
                <w:lang w:bidi="ar"/>
              </w:rPr>
            </w:pPr>
            <w:r>
              <w:rPr>
                <w:rFonts w:ascii="Times New Roman" w:eastAsia="仿宋_GB2312"/>
                <w:szCs w:val="24"/>
                <w:lang w:bidi="ar"/>
              </w:rPr>
              <w:t>45.11</w:t>
            </w:r>
          </w:p>
        </w:tc>
        <w:tc>
          <w:tcPr>
            <w:tcW w:w="1153" w:type="pct"/>
            <w:tcBorders>
              <w:top w:val="single" w:color="auto" w:sz="4" w:space="0"/>
              <w:left w:val="single" w:color="auto" w:sz="4" w:space="0"/>
              <w:bottom w:val="single" w:color="auto" w:sz="4" w:space="0"/>
              <w:right w:val="single" w:color="auto" w:sz="4" w:space="0"/>
            </w:tcBorders>
            <w:vAlign w:val="center"/>
          </w:tcPr>
          <w:p w14:paraId="560CAD0F">
            <w:pPr>
              <w:spacing w:line="320" w:lineRule="exact"/>
              <w:jc w:val="center"/>
              <w:rPr>
                <w:rFonts w:ascii="Times New Roman" w:eastAsia="仿宋_GB2312"/>
                <w:szCs w:val="24"/>
                <w:lang w:bidi="ar"/>
              </w:rPr>
            </w:pPr>
            <w:r>
              <w:rPr>
                <w:rFonts w:hint="eastAsia" w:ascii="Times New Roman" w:eastAsia="仿宋_GB2312"/>
                <w:szCs w:val="24"/>
                <w:lang w:bidi="ar"/>
              </w:rPr>
              <w:t>3</w:t>
            </w:r>
            <w:r>
              <w:rPr>
                <w:rFonts w:ascii="Times New Roman" w:eastAsia="仿宋_GB2312"/>
                <w:szCs w:val="24"/>
                <w:lang w:bidi="ar"/>
              </w:rPr>
              <w:t>.75</w:t>
            </w:r>
          </w:p>
        </w:tc>
      </w:tr>
      <w:tr w14:paraId="1320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43" w:type="pct"/>
            <w:vMerge w:val="continue"/>
            <w:tcBorders>
              <w:left w:val="single" w:color="auto" w:sz="4" w:space="0"/>
              <w:right w:val="single" w:color="auto" w:sz="4" w:space="0"/>
            </w:tcBorders>
            <w:vAlign w:val="center"/>
          </w:tcPr>
          <w:p w14:paraId="343656C2">
            <w:pPr>
              <w:jc w:val="center"/>
              <w:rPr>
                <w:rFonts w:ascii="Calibri"/>
                <w:szCs w:val="24"/>
              </w:rPr>
            </w:pPr>
          </w:p>
        </w:tc>
        <w:tc>
          <w:tcPr>
            <w:tcW w:w="576" w:type="pct"/>
            <w:vMerge w:val="continue"/>
            <w:tcBorders>
              <w:left w:val="single" w:color="auto" w:sz="4" w:space="0"/>
              <w:right w:val="single" w:color="auto" w:sz="4" w:space="0"/>
            </w:tcBorders>
            <w:vAlign w:val="center"/>
          </w:tcPr>
          <w:p w14:paraId="6A71BEC7">
            <w:pPr>
              <w:jc w:val="center"/>
              <w:rPr>
                <w:rFonts w:ascii="Times New Roman" w:eastAsia="仿宋"/>
                <w:szCs w:val="21"/>
              </w:rPr>
            </w:pPr>
          </w:p>
        </w:tc>
        <w:tc>
          <w:tcPr>
            <w:tcW w:w="973" w:type="pct"/>
            <w:tcBorders>
              <w:top w:val="single" w:color="auto" w:sz="4" w:space="0"/>
              <w:left w:val="single" w:color="auto" w:sz="4" w:space="0"/>
              <w:right w:val="single" w:color="auto" w:sz="4" w:space="0"/>
            </w:tcBorders>
            <w:vAlign w:val="center"/>
          </w:tcPr>
          <w:p w14:paraId="679F3B1D">
            <w:pPr>
              <w:jc w:val="center"/>
              <w:rPr>
                <w:rFonts w:ascii="Times New Roman" w:eastAsia="仿宋"/>
                <w:szCs w:val="21"/>
              </w:rPr>
            </w:pPr>
            <w:r>
              <w:rPr>
                <w:rFonts w:hint="eastAsia" w:ascii="Times New Roman" w:eastAsia="仿宋"/>
                <w:szCs w:val="21"/>
              </w:rPr>
              <w:t>二甲苯</w:t>
            </w:r>
          </w:p>
        </w:tc>
        <w:tc>
          <w:tcPr>
            <w:tcW w:w="928" w:type="pct"/>
            <w:tcBorders>
              <w:top w:val="single" w:color="auto" w:sz="4" w:space="0"/>
              <w:left w:val="single" w:color="auto" w:sz="4" w:space="0"/>
              <w:right w:val="single" w:color="auto" w:sz="4" w:space="0"/>
            </w:tcBorders>
            <w:vAlign w:val="center"/>
          </w:tcPr>
          <w:p w14:paraId="5AE50328">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w:t>
            </w:r>
          </w:p>
        </w:tc>
        <w:tc>
          <w:tcPr>
            <w:tcW w:w="827" w:type="pct"/>
            <w:tcBorders>
              <w:top w:val="single" w:color="auto" w:sz="4" w:space="0"/>
              <w:left w:val="single" w:color="auto" w:sz="4" w:space="0"/>
              <w:right w:val="single" w:color="auto" w:sz="4" w:space="0"/>
            </w:tcBorders>
            <w:vAlign w:val="center"/>
          </w:tcPr>
          <w:p w14:paraId="3E1B0012">
            <w:pPr>
              <w:spacing w:line="320" w:lineRule="exact"/>
              <w:jc w:val="center"/>
              <w:rPr>
                <w:rFonts w:ascii="Times New Roman" w:eastAsia="仿宋_GB2312"/>
                <w:szCs w:val="24"/>
                <w:lang w:bidi="ar"/>
              </w:rPr>
            </w:pPr>
            <w:r>
              <w:rPr>
                <w:rFonts w:hint="eastAsia" w:ascii="Times New Roman" w:eastAsia="仿宋_GB2312"/>
                <w:szCs w:val="24"/>
                <w:lang w:bidi="ar"/>
              </w:rPr>
              <w:t>9.</w:t>
            </w:r>
            <w:r>
              <w:rPr>
                <w:rFonts w:ascii="Times New Roman" w:eastAsia="仿宋_GB2312"/>
                <w:szCs w:val="24"/>
                <w:lang w:bidi="ar"/>
              </w:rPr>
              <w:t>49</w:t>
            </w:r>
          </w:p>
        </w:tc>
        <w:tc>
          <w:tcPr>
            <w:tcW w:w="1153" w:type="pct"/>
            <w:tcBorders>
              <w:top w:val="single" w:color="auto" w:sz="4" w:space="0"/>
              <w:left w:val="single" w:color="auto" w:sz="4" w:space="0"/>
              <w:bottom w:val="single" w:color="auto" w:sz="4" w:space="0"/>
              <w:right w:val="single" w:color="auto" w:sz="4" w:space="0"/>
            </w:tcBorders>
            <w:vAlign w:val="center"/>
          </w:tcPr>
          <w:p w14:paraId="29B423A7">
            <w:pPr>
              <w:spacing w:line="320" w:lineRule="exact"/>
              <w:jc w:val="center"/>
              <w:rPr>
                <w:rFonts w:ascii="Times New Roman" w:eastAsia="仿宋_GB2312"/>
                <w:szCs w:val="24"/>
                <w:lang w:bidi="ar"/>
              </w:rPr>
            </w:pPr>
            <w:r>
              <w:rPr>
                <w:rFonts w:hint="eastAsia" w:ascii="Times New Roman" w:eastAsia="仿宋_GB2312"/>
                <w:szCs w:val="24"/>
                <w:lang w:bidi="ar"/>
              </w:rPr>
              <w:t>4.</w:t>
            </w:r>
            <w:r>
              <w:rPr>
                <w:rFonts w:ascii="Times New Roman" w:eastAsia="仿宋_GB2312"/>
                <w:szCs w:val="24"/>
                <w:lang w:bidi="ar"/>
              </w:rPr>
              <w:t>74</w:t>
            </w:r>
          </w:p>
        </w:tc>
      </w:tr>
      <w:tr w14:paraId="6D24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78C6F3B1">
            <w:pPr>
              <w:jc w:val="center"/>
              <w:rPr>
                <w:rFonts w:ascii="Calibri"/>
                <w:szCs w:val="24"/>
              </w:rPr>
            </w:pPr>
          </w:p>
        </w:tc>
        <w:tc>
          <w:tcPr>
            <w:tcW w:w="576" w:type="pct"/>
            <w:vMerge w:val="restart"/>
            <w:tcBorders>
              <w:top w:val="single" w:color="auto" w:sz="4" w:space="0"/>
              <w:left w:val="single" w:color="auto" w:sz="4" w:space="0"/>
              <w:right w:val="single" w:color="auto" w:sz="4" w:space="0"/>
            </w:tcBorders>
            <w:vAlign w:val="center"/>
          </w:tcPr>
          <w:p w14:paraId="60E8C094">
            <w:pPr>
              <w:jc w:val="center"/>
              <w:rPr>
                <w:rFonts w:ascii="Times New Roman" w:eastAsia="仿宋"/>
                <w:szCs w:val="21"/>
              </w:rPr>
            </w:pPr>
            <w:r>
              <w:rPr>
                <w:rFonts w:hint="eastAsia" w:ascii="Times New Roman" w:eastAsia="仿宋"/>
                <w:szCs w:val="21"/>
              </w:rPr>
              <w:t>4#</w:t>
            </w:r>
          </w:p>
        </w:tc>
        <w:tc>
          <w:tcPr>
            <w:tcW w:w="973" w:type="pct"/>
            <w:tcBorders>
              <w:top w:val="single" w:color="auto" w:sz="4" w:space="0"/>
              <w:left w:val="single" w:color="auto" w:sz="4" w:space="0"/>
              <w:bottom w:val="single" w:color="auto" w:sz="4" w:space="0"/>
              <w:right w:val="single" w:color="auto" w:sz="4" w:space="0"/>
            </w:tcBorders>
            <w:vAlign w:val="center"/>
          </w:tcPr>
          <w:p w14:paraId="64E94330">
            <w:pPr>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53968C26">
            <w:pPr>
              <w:spacing w:line="320" w:lineRule="exact"/>
              <w:jc w:val="center"/>
              <w:rPr>
                <w:rFonts w:ascii="Times New Roman" w:eastAsia="仿宋_GB2312"/>
                <w:szCs w:val="24"/>
                <w:lang w:bidi="ar"/>
              </w:rPr>
            </w:pPr>
            <w:r>
              <w:rPr>
                <w:rFonts w:ascii="Times New Roman" w:eastAsia="仿宋_GB2312"/>
                <w:szCs w:val="24"/>
                <w:lang w:bidi="ar"/>
              </w:rPr>
              <w:t>450</w:t>
            </w:r>
          </w:p>
        </w:tc>
        <w:tc>
          <w:tcPr>
            <w:tcW w:w="827" w:type="pct"/>
            <w:tcBorders>
              <w:top w:val="single" w:color="auto" w:sz="4" w:space="0"/>
              <w:left w:val="single" w:color="auto" w:sz="4" w:space="0"/>
              <w:bottom w:val="single" w:color="auto" w:sz="4" w:space="0"/>
              <w:right w:val="single" w:color="auto" w:sz="4" w:space="0"/>
            </w:tcBorders>
            <w:vAlign w:val="center"/>
          </w:tcPr>
          <w:p w14:paraId="75117B7C">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.554</w:t>
            </w:r>
          </w:p>
        </w:tc>
        <w:tc>
          <w:tcPr>
            <w:tcW w:w="1153" w:type="pct"/>
            <w:tcBorders>
              <w:top w:val="single" w:color="auto" w:sz="4" w:space="0"/>
              <w:left w:val="single" w:color="auto" w:sz="4" w:space="0"/>
              <w:bottom w:val="single" w:color="auto" w:sz="4" w:space="0"/>
              <w:right w:val="single" w:color="auto" w:sz="4" w:space="0"/>
            </w:tcBorders>
            <w:vAlign w:val="center"/>
          </w:tcPr>
          <w:p w14:paraId="70C16090">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.12</w:t>
            </w:r>
          </w:p>
        </w:tc>
      </w:tr>
      <w:tr w14:paraId="1828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7EB006CB">
            <w:pPr>
              <w:jc w:val="center"/>
              <w:rPr>
                <w:rFonts w:ascii="Calibri"/>
                <w:szCs w:val="24"/>
              </w:rPr>
            </w:pPr>
          </w:p>
        </w:tc>
        <w:tc>
          <w:tcPr>
            <w:tcW w:w="576" w:type="pct"/>
            <w:vMerge w:val="continue"/>
            <w:tcBorders>
              <w:left w:val="single" w:color="auto" w:sz="4" w:space="0"/>
              <w:right w:val="single" w:color="auto" w:sz="4" w:space="0"/>
            </w:tcBorders>
            <w:vAlign w:val="center"/>
          </w:tcPr>
          <w:p w14:paraId="63D8550A">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1BF95AB5">
            <w:pPr>
              <w:jc w:val="center"/>
              <w:rPr>
                <w:rFonts w:ascii="Times New Roman" w:eastAsia="仿宋"/>
                <w:szCs w:val="21"/>
              </w:rPr>
            </w:pPr>
            <w:r>
              <w:rPr>
                <w:rFonts w:hint="eastAsia" w:ascii="Times New Roman" w:eastAsia="仿宋"/>
                <w:szCs w:val="21"/>
              </w:rPr>
              <w:t>非甲烷总烃</w:t>
            </w:r>
          </w:p>
        </w:tc>
        <w:tc>
          <w:tcPr>
            <w:tcW w:w="928" w:type="pct"/>
            <w:tcBorders>
              <w:top w:val="single" w:color="auto" w:sz="4" w:space="0"/>
              <w:left w:val="single" w:color="auto" w:sz="4" w:space="0"/>
              <w:bottom w:val="single" w:color="auto" w:sz="4" w:space="0"/>
              <w:right w:val="single" w:color="auto" w:sz="4" w:space="0"/>
            </w:tcBorders>
            <w:vAlign w:val="center"/>
          </w:tcPr>
          <w:p w14:paraId="5B9A9C14">
            <w:pPr>
              <w:spacing w:line="320" w:lineRule="exact"/>
              <w:jc w:val="center"/>
              <w:rPr>
                <w:rFonts w:ascii="Times New Roman" w:eastAsia="仿宋_GB2312"/>
                <w:szCs w:val="24"/>
                <w:lang w:bidi="ar"/>
              </w:rPr>
            </w:pPr>
            <w:r>
              <w:rPr>
                <w:rFonts w:hint="eastAsia" w:ascii="Times New Roman" w:eastAsia="仿宋_GB2312"/>
                <w:szCs w:val="24"/>
                <w:lang w:bidi="ar"/>
              </w:rPr>
              <w:t>2</w:t>
            </w:r>
            <w:r>
              <w:rPr>
                <w:rFonts w:ascii="Times New Roman" w:eastAsia="仿宋_GB2312"/>
                <w:szCs w:val="24"/>
                <w:lang w:bidi="ar"/>
              </w:rPr>
              <w:t>000</w:t>
            </w:r>
          </w:p>
        </w:tc>
        <w:tc>
          <w:tcPr>
            <w:tcW w:w="827" w:type="pct"/>
            <w:tcBorders>
              <w:top w:val="single" w:color="auto" w:sz="4" w:space="0"/>
              <w:left w:val="single" w:color="auto" w:sz="4" w:space="0"/>
              <w:bottom w:val="single" w:color="auto" w:sz="4" w:space="0"/>
              <w:right w:val="single" w:color="auto" w:sz="4" w:space="0"/>
            </w:tcBorders>
            <w:vAlign w:val="center"/>
          </w:tcPr>
          <w:p w14:paraId="0F0A682B">
            <w:pPr>
              <w:spacing w:line="320" w:lineRule="exact"/>
              <w:jc w:val="center"/>
              <w:rPr>
                <w:rFonts w:ascii="Times New Roman" w:eastAsia="仿宋_GB2312"/>
                <w:szCs w:val="24"/>
                <w:lang w:bidi="ar"/>
              </w:rPr>
            </w:pPr>
            <w:r>
              <w:rPr>
                <w:rFonts w:hint="eastAsia" w:ascii="Times New Roman" w:eastAsia="仿宋_GB2312"/>
                <w:szCs w:val="24"/>
                <w:lang w:bidi="ar"/>
              </w:rPr>
              <w:t>7</w:t>
            </w:r>
            <w:r>
              <w:rPr>
                <w:rFonts w:ascii="Times New Roman" w:eastAsia="仿宋_GB2312"/>
                <w:szCs w:val="24"/>
                <w:lang w:bidi="ar"/>
              </w:rPr>
              <w:t>.92</w:t>
            </w:r>
          </w:p>
        </w:tc>
        <w:tc>
          <w:tcPr>
            <w:tcW w:w="1153" w:type="pct"/>
            <w:tcBorders>
              <w:top w:val="single" w:color="auto" w:sz="4" w:space="0"/>
              <w:left w:val="single" w:color="auto" w:sz="4" w:space="0"/>
              <w:bottom w:val="single" w:color="auto" w:sz="4" w:space="0"/>
              <w:right w:val="single" w:color="auto" w:sz="4" w:space="0"/>
            </w:tcBorders>
            <w:vAlign w:val="center"/>
          </w:tcPr>
          <w:p w14:paraId="114BAE55">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.40</w:t>
            </w:r>
          </w:p>
        </w:tc>
      </w:tr>
      <w:tr w14:paraId="23A8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7FC7A54D">
            <w:pPr>
              <w:jc w:val="center"/>
              <w:rPr>
                <w:rFonts w:ascii="Calibri"/>
                <w:szCs w:val="24"/>
              </w:rPr>
            </w:pPr>
          </w:p>
        </w:tc>
        <w:tc>
          <w:tcPr>
            <w:tcW w:w="576" w:type="pct"/>
            <w:vMerge w:val="continue"/>
            <w:tcBorders>
              <w:left w:val="single" w:color="auto" w:sz="4" w:space="0"/>
              <w:right w:val="single" w:color="auto" w:sz="4" w:space="0"/>
            </w:tcBorders>
            <w:vAlign w:val="center"/>
          </w:tcPr>
          <w:p w14:paraId="427F971F">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00CAB671">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928" w:type="pct"/>
            <w:tcBorders>
              <w:top w:val="single" w:color="auto" w:sz="4" w:space="0"/>
              <w:left w:val="single" w:color="auto" w:sz="4" w:space="0"/>
              <w:bottom w:val="single" w:color="auto" w:sz="4" w:space="0"/>
              <w:right w:val="single" w:color="auto" w:sz="4" w:space="0"/>
            </w:tcBorders>
            <w:vAlign w:val="center"/>
          </w:tcPr>
          <w:p w14:paraId="4877D529">
            <w:pPr>
              <w:spacing w:line="320" w:lineRule="exact"/>
              <w:jc w:val="center"/>
              <w:rPr>
                <w:rFonts w:ascii="Times New Roman" w:eastAsia="仿宋_GB2312"/>
                <w:szCs w:val="24"/>
                <w:lang w:bidi="ar"/>
              </w:rPr>
            </w:pPr>
            <w:r>
              <w:rPr>
                <w:rFonts w:hint="eastAsia" w:ascii="Times New Roman" w:eastAsia="仿宋_GB2312"/>
                <w:szCs w:val="24"/>
                <w:lang w:bidi="ar"/>
              </w:rPr>
              <w:t>1</w:t>
            </w:r>
            <w:r>
              <w:rPr>
                <w:rFonts w:ascii="Times New Roman" w:eastAsia="仿宋_GB2312"/>
                <w:szCs w:val="24"/>
                <w:lang w:bidi="ar"/>
              </w:rPr>
              <w:t>200</w:t>
            </w:r>
          </w:p>
        </w:tc>
        <w:tc>
          <w:tcPr>
            <w:tcW w:w="827" w:type="pct"/>
            <w:tcBorders>
              <w:top w:val="single" w:color="auto" w:sz="4" w:space="0"/>
              <w:left w:val="single" w:color="auto" w:sz="4" w:space="0"/>
              <w:bottom w:val="single" w:color="auto" w:sz="4" w:space="0"/>
              <w:right w:val="single" w:color="auto" w:sz="4" w:space="0"/>
            </w:tcBorders>
            <w:vAlign w:val="center"/>
          </w:tcPr>
          <w:p w14:paraId="2CB14C5C">
            <w:pPr>
              <w:spacing w:line="320" w:lineRule="exact"/>
              <w:jc w:val="center"/>
              <w:rPr>
                <w:rFonts w:ascii="Times New Roman" w:eastAsia="仿宋_GB2312"/>
                <w:szCs w:val="24"/>
                <w:lang w:bidi="ar"/>
              </w:rPr>
            </w:pPr>
            <w:r>
              <w:rPr>
                <w:rFonts w:hint="eastAsia" w:ascii="Times New Roman" w:eastAsia="仿宋_GB2312"/>
                <w:szCs w:val="24"/>
                <w:lang w:bidi="ar"/>
              </w:rPr>
              <w:t>7</w:t>
            </w:r>
            <w:r>
              <w:rPr>
                <w:rFonts w:ascii="Times New Roman" w:eastAsia="仿宋_GB2312"/>
                <w:szCs w:val="24"/>
                <w:lang w:bidi="ar"/>
              </w:rPr>
              <w:t>.92</w:t>
            </w:r>
          </w:p>
        </w:tc>
        <w:tc>
          <w:tcPr>
            <w:tcW w:w="1153" w:type="pct"/>
            <w:tcBorders>
              <w:top w:val="single" w:color="auto" w:sz="4" w:space="0"/>
              <w:left w:val="single" w:color="auto" w:sz="4" w:space="0"/>
              <w:bottom w:val="single" w:color="auto" w:sz="4" w:space="0"/>
              <w:right w:val="single" w:color="auto" w:sz="4" w:space="0"/>
            </w:tcBorders>
            <w:vAlign w:val="center"/>
          </w:tcPr>
          <w:p w14:paraId="0270AE1B">
            <w:pPr>
              <w:spacing w:line="320" w:lineRule="exact"/>
              <w:jc w:val="center"/>
              <w:rPr>
                <w:rFonts w:ascii="Times New Roman" w:eastAsia="仿宋_GB2312"/>
                <w:szCs w:val="24"/>
                <w:lang w:bidi="ar"/>
              </w:rPr>
            </w:pPr>
            <w:r>
              <w:rPr>
                <w:rFonts w:hint="eastAsia" w:ascii="Times New Roman" w:eastAsia="仿宋_GB2312"/>
                <w:szCs w:val="24"/>
                <w:lang w:bidi="ar"/>
              </w:rPr>
              <w:t>0</w:t>
            </w:r>
            <w:r>
              <w:rPr>
                <w:rFonts w:ascii="Times New Roman" w:eastAsia="仿宋_GB2312"/>
                <w:szCs w:val="24"/>
                <w:lang w:bidi="ar"/>
              </w:rPr>
              <w:t>.66</w:t>
            </w:r>
          </w:p>
        </w:tc>
      </w:tr>
      <w:tr w14:paraId="101A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6AC97823">
            <w:pPr>
              <w:jc w:val="center"/>
              <w:rPr>
                <w:rFonts w:ascii="Calibri"/>
                <w:szCs w:val="24"/>
              </w:rPr>
            </w:pPr>
          </w:p>
        </w:tc>
        <w:tc>
          <w:tcPr>
            <w:tcW w:w="576" w:type="pct"/>
            <w:vMerge w:val="continue"/>
            <w:tcBorders>
              <w:left w:val="single" w:color="auto" w:sz="4" w:space="0"/>
              <w:right w:val="single" w:color="auto" w:sz="4" w:space="0"/>
            </w:tcBorders>
            <w:vAlign w:val="center"/>
          </w:tcPr>
          <w:p w14:paraId="1136B750">
            <w:pPr>
              <w:spacing w:line="320" w:lineRule="exact"/>
              <w:jc w:val="center"/>
              <w:rPr>
                <w:rFonts w:ascii="Times New Roman" w:eastAsia="仿宋_GB2312"/>
                <w:szCs w:val="24"/>
                <w:lang w:bidi="ar"/>
              </w:rPr>
            </w:pPr>
          </w:p>
        </w:tc>
        <w:tc>
          <w:tcPr>
            <w:tcW w:w="973" w:type="pct"/>
            <w:tcBorders>
              <w:top w:val="single" w:color="auto" w:sz="4" w:space="0"/>
              <w:left w:val="single" w:color="auto" w:sz="4" w:space="0"/>
              <w:bottom w:val="single" w:color="auto" w:sz="4" w:space="0"/>
              <w:right w:val="single" w:color="auto" w:sz="4" w:space="0"/>
            </w:tcBorders>
            <w:vAlign w:val="center"/>
          </w:tcPr>
          <w:p w14:paraId="34926F5F">
            <w:pPr>
              <w:jc w:val="center"/>
              <w:rPr>
                <w:rFonts w:ascii="Times New Roman" w:eastAsia="仿宋"/>
                <w:szCs w:val="21"/>
              </w:rPr>
            </w:pPr>
            <w:r>
              <w:rPr>
                <w:rFonts w:hint="eastAsia" w:ascii="Times New Roman" w:eastAsia="仿宋"/>
                <w:szCs w:val="21"/>
              </w:rPr>
              <w:t>二甲苯</w:t>
            </w:r>
          </w:p>
        </w:tc>
        <w:tc>
          <w:tcPr>
            <w:tcW w:w="928" w:type="pct"/>
            <w:tcBorders>
              <w:top w:val="single" w:color="auto" w:sz="4" w:space="0"/>
              <w:left w:val="single" w:color="auto" w:sz="4" w:space="0"/>
              <w:bottom w:val="single" w:color="auto" w:sz="4" w:space="0"/>
              <w:right w:val="single" w:color="auto" w:sz="4" w:space="0"/>
            </w:tcBorders>
            <w:vAlign w:val="center"/>
          </w:tcPr>
          <w:p w14:paraId="2A85AC72">
            <w:pPr>
              <w:jc w:val="center"/>
              <w:rPr>
                <w:rFonts w:ascii="Times New Roman" w:eastAsia="仿宋"/>
                <w:szCs w:val="21"/>
              </w:rPr>
            </w:pPr>
            <w:r>
              <w:rPr>
                <w:rFonts w:ascii="Times New Roman" w:eastAsia="仿宋"/>
                <w:szCs w:val="21"/>
              </w:rPr>
              <w:t>200</w:t>
            </w:r>
          </w:p>
        </w:tc>
        <w:tc>
          <w:tcPr>
            <w:tcW w:w="827" w:type="pct"/>
            <w:tcBorders>
              <w:top w:val="single" w:color="auto" w:sz="4" w:space="0"/>
              <w:left w:val="single" w:color="auto" w:sz="4" w:space="0"/>
              <w:bottom w:val="single" w:color="auto" w:sz="4" w:space="0"/>
              <w:right w:val="single" w:color="auto" w:sz="4" w:space="0"/>
            </w:tcBorders>
            <w:vAlign w:val="center"/>
          </w:tcPr>
          <w:p w14:paraId="22F76C3A">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c>
          <w:tcPr>
            <w:tcW w:w="1153" w:type="pct"/>
            <w:tcBorders>
              <w:top w:val="single" w:color="auto" w:sz="4" w:space="0"/>
              <w:left w:val="single" w:color="auto" w:sz="4" w:space="0"/>
              <w:bottom w:val="single" w:color="auto" w:sz="4" w:space="0"/>
              <w:right w:val="single" w:color="auto" w:sz="4" w:space="0"/>
            </w:tcBorders>
            <w:vAlign w:val="center"/>
          </w:tcPr>
          <w:p w14:paraId="0D59628C">
            <w:pPr>
              <w:jc w:val="center"/>
              <w:rPr>
                <w:rFonts w:ascii="Times New Roman" w:eastAsia="仿宋"/>
                <w:szCs w:val="21"/>
              </w:rPr>
            </w:pPr>
            <w:r>
              <w:rPr>
                <w:rFonts w:hint="eastAsia" w:ascii="Times New Roman" w:eastAsia="仿宋"/>
                <w:szCs w:val="21"/>
              </w:rPr>
              <w:t>0</w:t>
            </w:r>
            <w:r>
              <w:rPr>
                <w:rFonts w:ascii="Times New Roman" w:eastAsia="仿宋"/>
                <w:szCs w:val="21"/>
              </w:rPr>
              <w:t>.99</w:t>
            </w:r>
          </w:p>
        </w:tc>
      </w:tr>
      <w:tr w14:paraId="08E0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41087B7C">
            <w:pPr>
              <w:jc w:val="center"/>
              <w:rPr>
                <w:rFonts w:ascii="Calibri"/>
                <w:szCs w:val="24"/>
              </w:rPr>
            </w:pPr>
          </w:p>
        </w:tc>
        <w:tc>
          <w:tcPr>
            <w:tcW w:w="576" w:type="pct"/>
            <w:vMerge w:val="continue"/>
            <w:tcBorders>
              <w:left w:val="single" w:color="auto" w:sz="4" w:space="0"/>
              <w:right w:val="single" w:color="auto" w:sz="4" w:space="0"/>
            </w:tcBorders>
            <w:vAlign w:val="center"/>
          </w:tcPr>
          <w:p w14:paraId="54EA81E8">
            <w:pPr>
              <w:spacing w:line="320" w:lineRule="exact"/>
              <w:jc w:val="center"/>
              <w:rPr>
                <w:rFonts w:ascii="Times New Roman" w:eastAsia="仿宋_GB2312"/>
                <w:szCs w:val="24"/>
                <w:lang w:bidi="ar"/>
              </w:rPr>
            </w:pPr>
          </w:p>
        </w:tc>
        <w:tc>
          <w:tcPr>
            <w:tcW w:w="973" w:type="pct"/>
            <w:tcBorders>
              <w:top w:val="single" w:color="auto" w:sz="4" w:space="0"/>
              <w:left w:val="single" w:color="auto" w:sz="4" w:space="0"/>
              <w:bottom w:val="single" w:color="auto" w:sz="4" w:space="0"/>
              <w:right w:val="single" w:color="auto" w:sz="4" w:space="0"/>
            </w:tcBorders>
            <w:vAlign w:val="center"/>
          </w:tcPr>
          <w:p w14:paraId="1E4AEF60">
            <w:pPr>
              <w:jc w:val="center"/>
              <w:rPr>
                <w:rFonts w:ascii="Times New Roman" w:eastAsia="仿宋"/>
                <w:szCs w:val="21"/>
              </w:rPr>
            </w:pPr>
            <w:r>
              <w:rPr>
                <w:rFonts w:hint="eastAsia" w:ascii="Times New Roman" w:eastAsia="仿宋"/>
                <w:szCs w:val="21"/>
              </w:rPr>
              <w:t>二氧化硫</w:t>
            </w:r>
          </w:p>
        </w:tc>
        <w:tc>
          <w:tcPr>
            <w:tcW w:w="928" w:type="pct"/>
            <w:tcBorders>
              <w:top w:val="single" w:color="auto" w:sz="4" w:space="0"/>
              <w:left w:val="single" w:color="auto" w:sz="4" w:space="0"/>
              <w:bottom w:val="single" w:color="auto" w:sz="4" w:space="0"/>
              <w:right w:val="single" w:color="auto" w:sz="4" w:space="0"/>
            </w:tcBorders>
            <w:vAlign w:val="center"/>
          </w:tcPr>
          <w:p w14:paraId="5AC4FA2B">
            <w:pPr>
              <w:jc w:val="center"/>
              <w:rPr>
                <w:rFonts w:ascii="Times New Roman" w:eastAsia="仿宋"/>
                <w:szCs w:val="21"/>
              </w:rPr>
            </w:pPr>
            <w:r>
              <w:rPr>
                <w:rFonts w:hint="eastAsia" w:ascii="Times New Roman" w:eastAsia="仿宋"/>
                <w:szCs w:val="21"/>
              </w:rPr>
              <w:t>5</w:t>
            </w:r>
            <w:r>
              <w:rPr>
                <w:rFonts w:ascii="Times New Roman" w:eastAsia="仿宋"/>
                <w:szCs w:val="21"/>
              </w:rPr>
              <w:t>00</w:t>
            </w:r>
          </w:p>
        </w:tc>
        <w:tc>
          <w:tcPr>
            <w:tcW w:w="827" w:type="pct"/>
            <w:tcBorders>
              <w:top w:val="single" w:color="auto" w:sz="4" w:space="0"/>
              <w:left w:val="single" w:color="auto" w:sz="4" w:space="0"/>
              <w:bottom w:val="single" w:color="auto" w:sz="4" w:space="0"/>
              <w:right w:val="single" w:color="auto" w:sz="4" w:space="0"/>
            </w:tcBorders>
            <w:vAlign w:val="center"/>
          </w:tcPr>
          <w:p w14:paraId="55439266">
            <w:pPr>
              <w:jc w:val="center"/>
              <w:rPr>
                <w:rFonts w:ascii="Times New Roman" w:eastAsia="仿宋"/>
                <w:szCs w:val="21"/>
              </w:rPr>
            </w:pPr>
            <w:r>
              <w:rPr>
                <w:rFonts w:hint="eastAsia" w:ascii="Times New Roman" w:eastAsia="仿宋"/>
                <w:szCs w:val="21"/>
              </w:rPr>
              <w:t>0</w:t>
            </w:r>
            <w:r>
              <w:rPr>
                <w:rFonts w:ascii="Times New Roman" w:eastAsia="仿宋"/>
                <w:szCs w:val="21"/>
              </w:rPr>
              <w:t>.0792</w:t>
            </w:r>
          </w:p>
        </w:tc>
        <w:tc>
          <w:tcPr>
            <w:tcW w:w="1153" w:type="pct"/>
            <w:tcBorders>
              <w:top w:val="single" w:color="auto" w:sz="4" w:space="0"/>
              <w:left w:val="single" w:color="auto" w:sz="4" w:space="0"/>
              <w:bottom w:val="single" w:color="auto" w:sz="4" w:space="0"/>
              <w:right w:val="single" w:color="auto" w:sz="4" w:space="0"/>
            </w:tcBorders>
            <w:vAlign w:val="center"/>
          </w:tcPr>
          <w:p w14:paraId="0642C4F4">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r>
      <w:tr w14:paraId="141E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271B32E3">
            <w:pPr>
              <w:jc w:val="center"/>
              <w:rPr>
                <w:rFonts w:ascii="Calibri"/>
                <w:szCs w:val="24"/>
              </w:rPr>
            </w:pPr>
          </w:p>
        </w:tc>
        <w:tc>
          <w:tcPr>
            <w:tcW w:w="576" w:type="pct"/>
            <w:vMerge w:val="continue"/>
            <w:tcBorders>
              <w:left w:val="single" w:color="auto" w:sz="4" w:space="0"/>
              <w:bottom w:val="single" w:color="auto" w:sz="4" w:space="0"/>
              <w:right w:val="single" w:color="auto" w:sz="4" w:space="0"/>
            </w:tcBorders>
            <w:vAlign w:val="center"/>
          </w:tcPr>
          <w:p w14:paraId="5B4AD3FF">
            <w:pPr>
              <w:spacing w:line="320" w:lineRule="exact"/>
              <w:jc w:val="center"/>
              <w:rPr>
                <w:rFonts w:ascii="Times New Roman" w:eastAsia="仿宋_GB2312"/>
                <w:szCs w:val="24"/>
                <w:lang w:bidi="ar"/>
              </w:rPr>
            </w:pPr>
          </w:p>
        </w:tc>
        <w:tc>
          <w:tcPr>
            <w:tcW w:w="973" w:type="pct"/>
            <w:tcBorders>
              <w:top w:val="single" w:color="auto" w:sz="4" w:space="0"/>
              <w:left w:val="single" w:color="auto" w:sz="4" w:space="0"/>
              <w:bottom w:val="single" w:color="auto" w:sz="4" w:space="0"/>
              <w:right w:val="single" w:color="auto" w:sz="4" w:space="0"/>
            </w:tcBorders>
            <w:vAlign w:val="center"/>
          </w:tcPr>
          <w:p w14:paraId="74B269E9">
            <w:pPr>
              <w:jc w:val="center"/>
              <w:rPr>
                <w:rFonts w:ascii="Times New Roman" w:eastAsia="仿宋"/>
                <w:szCs w:val="21"/>
              </w:rPr>
            </w:pPr>
            <w:r>
              <w:rPr>
                <w:rFonts w:hint="eastAsia" w:ascii="Times New Roman" w:eastAsia="仿宋"/>
                <w:szCs w:val="21"/>
              </w:rPr>
              <w:t>氮氧化物</w:t>
            </w:r>
          </w:p>
        </w:tc>
        <w:tc>
          <w:tcPr>
            <w:tcW w:w="928" w:type="pct"/>
            <w:tcBorders>
              <w:top w:val="single" w:color="auto" w:sz="4" w:space="0"/>
              <w:left w:val="single" w:color="auto" w:sz="4" w:space="0"/>
              <w:bottom w:val="single" w:color="auto" w:sz="4" w:space="0"/>
              <w:right w:val="single" w:color="auto" w:sz="4" w:space="0"/>
            </w:tcBorders>
            <w:vAlign w:val="center"/>
          </w:tcPr>
          <w:p w14:paraId="190B2087">
            <w:pPr>
              <w:jc w:val="center"/>
              <w:rPr>
                <w:rFonts w:ascii="Times New Roman" w:eastAsia="仿宋"/>
                <w:szCs w:val="21"/>
              </w:rPr>
            </w:pPr>
            <w:r>
              <w:rPr>
                <w:rFonts w:hint="eastAsia" w:ascii="Times New Roman" w:eastAsia="仿宋"/>
                <w:szCs w:val="21"/>
              </w:rPr>
              <w:t>2</w:t>
            </w:r>
            <w:r>
              <w:rPr>
                <w:rFonts w:ascii="Times New Roman" w:eastAsia="仿宋"/>
                <w:szCs w:val="21"/>
              </w:rPr>
              <w:t>00</w:t>
            </w:r>
          </w:p>
        </w:tc>
        <w:tc>
          <w:tcPr>
            <w:tcW w:w="827" w:type="pct"/>
            <w:tcBorders>
              <w:top w:val="single" w:color="auto" w:sz="4" w:space="0"/>
              <w:left w:val="single" w:color="auto" w:sz="4" w:space="0"/>
              <w:bottom w:val="single" w:color="auto" w:sz="4" w:space="0"/>
              <w:right w:val="single" w:color="auto" w:sz="4" w:space="0"/>
            </w:tcBorders>
            <w:vAlign w:val="center"/>
          </w:tcPr>
          <w:p w14:paraId="0C6CBC6E">
            <w:pPr>
              <w:jc w:val="center"/>
              <w:rPr>
                <w:rFonts w:ascii="Times New Roman" w:eastAsia="仿宋"/>
                <w:szCs w:val="21"/>
              </w:rPr>
            </w:pPr>
            <w:r>
              <w:rPr>
                <w:rFonts w:ascii="Times New Roman" w:eastAsia="仿宋"/>
                <w:szCs w:val="21"/>
              </w:rPr>
              <w:t>3.96</w:t>
            </w:r>
          </w:p>
        </w:tc>
        <w:tc>
          <w:tcPr>
            <w:tcW w:w="1153" w:type="pct"/>
            <w:tcBorders>
              <w:top w:val="single" w:color="auto" w:sz="4" w:space="0"/>
              <w:left w:val="single" w:color="auto" w:sz="4" w:space="0"/>
              <w:bottom w:val="single" w:color="auto" w:sz="4" w:space="0"/>
              <w:right w:val="single" w:color="auto" w:sz="4" w:space="0"/>
            </w:tcBorders>
            <w:vAlign w:val="center"/>
          </w:tcPr>
          <w:p w14:paraId="416ECA61">
            <w:pPr>
              <w:jc w:val="center"/>
              <w:rPr>
                <w:rFonts w:ascii="Times New Roman" w:eastAsia="仿宋"/>
                <w:szCs w:val="21"/>
              </w:rPr>
            </w:pPr>
            <w:r>
              <w:rPr>
                <w:rFonts w:hint="eastAsia" w:ascii="Times New Roman" w:eastAsia="仿宋"/>
                <w:szCs w:val="21"/>
              </w:rPr>
              <w:t>1</w:t>
            </w:r>
            <w:r>
              <w:rPr>
                <w:rFonts w:ascii="Times New Roman" w:eastAsia="仿宋"/>
                <w:szCs w:val="21"/>
              </w:rPr>
              <w:t>.98</w:t>
            </w:r>
          </w:p>
        </w:tc>
      </w:tr>
      <w:tr w14:paraId="1C5F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43" w:type="pct"/>
            <w:vMerge w:val="continue"/>
            <w:tcBorders>
              <w:left w:val="single" w:color="auto" w:sz="4" w:space="0"/>
              <w:right w:val="single" w:color="auto" w:sz="4" w:space="0"/>
            </w:tcBorders>
            <w:vAlign w:val="center"/>
          </w:tcPr>
          <w:p w14:paraId="4BDF69D2">
            <w:pPr>
              <w:jc w:val="center"/>
              <w:rPr>
                <w:rFonts w:ascii="Calibri"/>
                <w:szCs w:val="24"/>
              </w:rPr>
            </w:pPr>
          </w:p>
        </w:tc>
        <w:tc>
          <w:tcPr>
            <w:tcW w:w="576" w:type="pct"/>
            <w:tcBorders>
              <w:top w:val="single" w:color="auto" w:sz="4" w:space="0"/>
              <w:left w:val="single" w:color="auto" w:sz="4" w:space="0"/>
              <w:bottom w:val="single" w:color="auto" w:sz="4" w:space="0"/>
              <w:right w:val="single" w:color="auto" w:sz="4" w:space="0"/>
            </w:tcBorders>
            <w:vAlign w:val="center"/>
          </w:tcPr>
          <w:p w14:paraId="085A6FEF">
            <w:pPr>
              <w:spacing w:line="320" w:lineRule="exact"/>
              <w:jc w:val="center"/>
              <w:rPr>
                <w:rFonts w:ascii="Times New Roman" w:eastAsia="仿宋_GB2312"/>
                <w:szCs w:val="24"/>
                <w:lang w:bidi="ar"/>
              </w:rPr>
            </w:pPr>
            <w:r>
              <w:rPr>
                <w:rFonts w:hint="eastAsia" w:ascii="Times New Roman" w:eastAsia="仿宋_GB2312"/>
                <w:szCs w:val="24"/>
                <w:lang w:bidi="ar"/>
              </w:rPr>
              <w:t>5#</w:t>
            </w:r>
          </w:p>
        </w:tc>
        <w:tc>
          <w:tcPr>
            <w:tcW w:w="973" w:type="pct"/>
            <w:tcBorders>
              <w:top w:val="single" w:color="auto" w:sz="4" w:space="0"/>
              <w:left w:val="single" w:color="auto" w:sz="4" w:space="0"/>
              <w:bottom w:val="single" w:color="auto" w:sz="4" w:space="0"/>
              <w:right w:val="single" w:color="auto" w:sz="4" w:space="0"/>
            </w:tcBorders>
            <w:vAlign w:val="center"/>
          </w:tcPr>
          <w:p w14:paraId="38801062">
            <w:pPr>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74C8EF01">
            <w:pPr>
              <w:jc w:val="center"/>
              <w:rPr>
                <w:rFonts w:ascii="Times New Roman" w:eastAsia="仿宋"/>
                <w:szCs w:val="21"/>
              </w:rPr>
            </w:pPr>
            <w:r>
              <w:rPr>
                <w:rFonts w:hint="eastAsia" w:ascii="Times New Roman" w:eastAsia="仿宋"/>
                <w:szCs w:val="21"/>
              </w:rPr>
              <w:t>45</w:t>
            </w:r>
            <w:r>
              <w:rPr>
                <w:rFonts w:ascii="Times New Roman" w:eastAsia="仿宋"/>
                <w:szCs w:val="21"/>
              </w:rPr>
              <w:t>0</w:t>
            </w:r>
          </w:p>
        </w:tc>
        <w:tc>
          <w:tcPr>
            <w:tcW w:w="827" w:type="pct"/>
            <w:tcBorders>
              <w:top w:val="single" w:color="auto" w:sz="4" w:space="0"/>
              <w:left w:val="single" w:color="auto" w:sz="4" w:space="0"/>
              <w:bottom w:val="single" w:color="auto" w:sz="4" w:space="0"/>
              <w:right w:val="single" w:color="auto" w:sz="4" w:space="0"/>
            </w:tcBorders>
            <w:vAlign w:val="center"/>
          </w:tcPr>
          <w:p w14:paraId="0B29240B">
            <w:pPr>
              <w:jc w:val="center"/>
              <w:rPr>
                <w:rFonts w:ascii="Times New Roman" w:eastAsia="仿宋"/>
                <w:szCs w:val="21"/>
              </w:rPr>
            </w:pPr>
            <w:r>
              <w:rPr>
                <w:rFonts w:hint="eastAsia" w:ascii="Times New Roman" w:eastAsia="仿宋"/>
                <w:szCs w:val="21"/>
              </w:rPr>
              <w:t>1</w:t>
            </w:r>
            <w:r>
              <w:rPr>
                <w:rFonts w:ascii="Times New Roman" w:eastAsia="仿宋"/>
                <w:szCs w:val="21"/>
              </w:rPr>
              <w:t>9.3</w:t>
            </w:r>
          </w:p>
        </w:tc>
        <w:tc>
          <w:tcPr>
            <w:tcW w:w="1153" w:type="pct"/>
            <w:tcBorders>
              <w:top w:val="single" w:color="auto" w:sz="4" w:space="0"/>
              <w:left w:val="single" w:color="auto" w:sz="4" w:space="0"/>
              <w:bottom w:val="single" w:color="auto" w:sz="4" w:space="0"/>
              <w:right w:val="single" w:color="auto" w:sz="4" w:space="0"/>
            </w:tcBorders>
            <w:vAlign w:val="center"/>
          </w:tcPr>
          <w:p w14:paraId="0BE40252">
            <w:pPr>
              <w:jc w:val="center"/>
              <w:rPr>
                <w:rFonts w:ascii="Times New Roman" w:eastAsia="仿宋"/>
                <w:szCs w:val="21"/>
              </w:rPr>
            </w:pPr>
            <w:r>
              <w:rPr>
                <w:rFonts w:hint="eastAsia" w:ascii="Times New Roman" w:eastAsia="仿宋"/>
                <w:szCs w:val="21"/>
              </w:rPr>
              <w:t>4</w:t>
            </w:r>
            <w:r>
              <w:rPr>
                <w:rFonts w:ascii="Times New Roman" w:eastAsia="仿宋"/>
                <w:szCs w:val="21"/>
              </w:rPr>
              <w:t>.28</w:t>
            </w:r>
          </w:p>
        </w:tc>
      </w:tr>
      <w:tr w14:paraId="1EF5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restart"/>
            <w:tcBorders>
              <w:top w:val="single" w:color="auto" w:sz="4" w:space="0"/>
              <w:left w:val="single" w:color="auto" w:sz="4" w:space="0"/>
              <w:right w:val="single" w:color="auto" w:sz="4" w:space="0"/>
            </w:tcBorders>
            <w:vAlign w:val="center"/>
          </w:tcPr>
          <w:p w14:paraId="4A3F85FD">
            <w:pPr>
              <w:jc w:val="center"/>
              <w:rPr>
                <w:rFonts w:ascii="Times New Roman" w:eastAsia="仿宋_GB2312"/>
                <w:szCs w:val="24"/>
              </w:rPr>
            </w:pPr>
            <w:r>
              <w:rPr>
                <w:rFonts w:hint="eastAsia" w:ascii="Times New Roman" w:eastAsia="仿宋"/>
                <w:szCs w:val="21"/>
              </w:rPr>
              <w:t>无组织废气</w:t>
            </w:r>
          </w:p>
        </w:tc>
        <w:tc>
          <w:tcPr>
            <w:tcW w:w="576" w:type="pct"/>
            <w:tcBorders>
              <w:top w:val="single" w:color="auto" w:sz="4" w:space="0"/>
              <w:left w:val="single" w:color="auto" w:sz="4" w:space="0"/>
              <w:bottom w:val="single" w:color="auto" w:sz="4" w:space="0"/>
              <w:right w:val="single" w:color="auto" w:sz="4" w:space="0"/>
            </w:tcBorders>
            <w:vAlign w:val="center"/>
          </w:tcPr>
          <w:p w14:paraId="5587F547">
            <w:pPr>
              <w:jc w:val="center"/>
              <w:rPr>
                <w:rFonts w:ascii="Times New Roman" w:eastAsia="仿宋"/>
                <w:szCs w:val="21"/>
              </w:rPr>
            </w:pPr>
            <w:r>
              <w:rPr>
                <w:rFonts w:hint="eastAsia" w:ascii="Times New Roman" w:eastAsia="仿宋"/>
                <w:szCs w:val="21"/>
              </w:rPr>
              <w:t>1号钣金车间</w:t>
            </w:r>
          </w:p>
        </w:tc>
        <w:tc>
          <w:tcPr>
            <w:tcW w:w="973" w:type="pct"/>
            <w:tcBorders>
              <w:top w:val="single" w:color="auto" w:sz="4" w:space="0"/>
              <w:left w:val="single" w:color="auto" w:sz="4" w:space="0"/>
              <w:bottom w:val="single" w:color="auto" w:sz="4" w:space="0"/>
              <w:right w:val="single" w:color="auto" w:sz="4" w:space="0"/>
            </w:tcBorders>
            <w:vAlign w:val="center"/>
          </w:tcPr>
          <w:p w14:paraId="5B4BFD97">
            <w:pPr>
              <w:spacing w:line="320" w:lineRule="exact"/>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47A10F88">
            <w:pPr>
              <w:spacing w:line="320" w:lineRule="exact"/>
              <w:jc w:val="center"/>
              <w:rPr>
                <w:rFonts w:ascii="Times New Roman" w:eastAsia="仿宋"/>
                <w:szCs w:val="21"/>
              </w:rPr>
            </w:pPr>
            <w:r>
              <w:rPr>
                <w:rFonts w:hint="eastAsia" w:ascii="Times New Roman" w:eastAsia="仿宋"/>
                <w:szCs w:val="21"/>
              </w:rPr>
              <w:t>450</w:t>
            </w:r>
          </w:p>
        </w:tc>
        <w:tc>
          <w:tcPr>
            <w:tcW w:w="827" w:type="pct"/>
            <w:tcBorders>
              <w:top w:val="single" w:color="auto" w:sz="4" w:space="0"/>
              <w:left w:val="single" w:color="auto" w:sz="4" w:space="0"/>
              <w:bottom w:val="single" w:color="auto" w:sz="4" w:space="0"/>
              <w:right w:val="single" w:color="auto" w:sz="4" w:space="0"/>
            </w:tcBorders>
            <w:vAlign w:val="center"/>
          </w:tcPr>
          <w:p w14:paraId="47E5215C">
            <w:pPr>
              <w:spacing w:line="320" w:lineRule="exact"/>
              <w:jc w:val="center"/>
              <w:rPr>
                <w:rFonts w:ascii="Times New Roman" w:eastAsia="仿宋"/>
                <w:szCs w:val="21"/>
              </w:rPr>
            </w:pPr>
            <w:r>
              <w:rPr>
                <w:rFonts w:hint="eastAsia" w:ascii="Times New Roman" w:eastAsia="仿宋"/>
                <w:szCs w:val="21"/>
              </w:rPr>
              <w:t>0.53</w:t>
            </w:r>
          </w:p>
        </w:tc>
        <w:tc>
          <w:tcPr>
            <w:tcW w:w="1153" w:type="pct"/>
            <w:tcBorders>
              <w:top w:val="single" w:color="auto" w:sz="4" w:space="0"/>
              <w:left w:val="single" w:color="auto" w:sz="4" w:space="0"/>
              <w:bottom w:val="single" w:color="auto" w:sz="4" w:space="0"/>
              <w:right w:val="single" w:color="auto" w:sz="4" w:space="0"/>
            </w:tcBorders>
            <w:vAlign w:val="center"/>
          </w:tcPr>
          <w:p w14:paraId="55FA811B">
            <w:pPr>
              <w:spacing w:line="320" w:lineRule="exact"/>
              <w:jc w:val="center"/>
              <w:rPr>
                <w:rFonts w:ascii="Times New Roman" w:eastAsia="仿宋"/>
                <w:szCs w:val="21"/>
              </w:rPr>
            </w:pPr>
            <w:r>
              <w:rPr>
                <w:rFonts w:hint="eastAsia" w:ascii="Times New Roman" w:eastAsia="仿宋"/>
                <w:szCs w:val="21"/>
              </w:rPr>
              <w:t>0.118</w:t>
            </w:r>
          </w:p>
        </w:tc>
      </w:tr>
      <w:tr w14:paraId="77E5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continue"/>
            <w:tcBorders>
              <w:left w:val="single" w:color="auto" w:sz="4" w:space="0"/>
              <w:right w:val="single" w:color="auto" w:sz="4" w:space="0"/>
            </w:tcBorders>
            <w:vAlign w:val="center"/>
          </w:tcPr>
          <w:p w14:paraId="53492759">
            <w:pPr>
              <w:jc w:val="center"/>
              <w:rPr>
                <w:rFonts w:ascii="Calibri"/>
                <w:szCs w:val="24"/>
              </w:rPr>
            </w:pPr>
          </w:p>
        </w:tc>
        <w:tc>
          <w:tcPr>
            <w:tcW w:w="576" w:type="pct"/>
            <w:tcBorders>
              <w:top w:val="single" w:color="auto" w:sz="4" w:space="0"/>
              <w:left w:val="single" w:color="auto" w:sz="4" w:space="0"/>
              <w:right w:val="single" w:color="auto" w:sz="4" w:space="0"/>
            </w:tcBorders>
            <w:vAlign w:val="center"/>
          </w:tcPr>
          <w:p w14:paraId="125E3C0A">
            <w:pPr>
              <w:jc w:val="center"/>
              <w:rPr>
                <w:rFonts w:ascii="Times New Roman" w:eastAsia="仿宋"/>
                <w:szCs w:val="21"/>
              </w:rPr>
            </w:pPr>
            <w:r>
              <w:rPr>
                <w:rFonts w:hint="eastAsia" w:ascii="Times New Roman" w:eastAsia="仿宋"/>
                <w:szCs w:val="21"/>
              </w:rPr>
              <w:t>2号钣金车间</w:t>
            </w:r>
          </w:p>
        </w:tc>
        <w:tc>
          <w:tcPr>
            <w:tcW w:w="973" w:type="pct"/>
            <w:tcBorders>
              <w:top w:val="single" w:color="auto" w:sz="4" w:space="0"/>
              <w:left w:val="single" w:color="auto" w:sz="4" w:space="0"/>
              <w:bottom w:val="single" w:color="auto" w:sz="4" w:space="0"/>
              <w:right w:val="single" w:color="auto" w:sz="4" w:space="0"/>
            </w:tcBorders>
            <w:vAlign w:val="center"/>
          </w:tcPr>
          <w:p w14:paraId="501FF579">
            <w:pPr>
              <w:spacing w:line="320" w:lineRule="exact"/>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4880E73A">
            <w:pPr>
              <w:spacing w:line="320" w:lineRule="exact"/>
              <w:jc w:val="center"/>
              <w:rPr>
                <w:rFonts w:ascii="Times New Roman" w:eastAsia="仿宋"/>
                <w:szCs w:val="21"/>
              </w:rPr>
            </w:pPr>
            <w:r>
              <w:rPr>
                <w:rFonts w:hint="eastAsia" w:ascii="Times New Roman" w:eastAsia="仿宋"/>
                <w:szCs w:val="21"/>
              </w:rPr>
              <w:t>450</w:t>
            </w:r>
          </w:p>
        </w:tc>
        <w:tc>
          <w:tcPr>
            <w:tcW w:w="827" w:type="pct"/>
            <w:tcBorders>
              <w:top w:val="single" w:color="auto" w:sz="4" w:space="0"/>
              <w:left w:val="single" w:color="auto" w:sz="4" w:space="0"/>
              <w:bottom w:val="single" w:color="auto" w:sz="4" w:space="0"/>
              <w:right w:val="single" w:color="auto" w:sz="4" w:space="0"/>
            </w:tcBorders>
            <w:vAlign w:val="center"/>
          </w:tcPr>
          <w:p w14:paraId="1FA13FCF">
            <w:pPr>
              <w:spacing w:line="320" w:lineRule="exact"/>
              <w:jc w:val="center"/>
              <w:rPr>
                <w:rFonts w:ascii="Times New Roman" w:eastAsia="仿宋"/>
                <w:szCs w:val="21"/>
              </w:rPr>
            </w:pPr>
            <w:r>
              <w:rPr>
                <w:rFonts w:ascii="Times New Roman" w:eastAsia="仿宋"/>
                <w:szCs w:val="21"/>
              </w:rPr>
              <w:t>0.79</w:t>
            </w:r>
          </w:p>
        </w:tc>
        <w:tc>
          <w:tcPr>
            <w:tcW w:w="1153" w:type="pct"/>
            <w:tcBorders>
              <w:top w:val="single" w:color="auto" w:sz="4" w:space="0"/>
              <w:left w:val="single" w:color="auto" w:sz="4" w:space="0"/>
              <w:bottom w:val="single" w:color="auto" w:sz="4" w:space="0"/>
              <w:right w:val="single" w:color="auto" w:sz="4" w:space="0"/>
            </w:tcBorders>
            <w:vAlign w:val="center"/>
          </w:tcPr>
          <w:p w14:paraId="44651489">
            <w:pPr>
              <w:spacing w:line="320" w:lineRule="exact"/>
              <w:jc w:val="center"/>
              <w:rPr>
                <w:rFonts w:ascii="Times New Roman" w:eastAsia="仿宋"/>
                <w:szCs w:val="21"/>
              </w:rPr>
            </w:pPr>
            <w:r>
              <w:rPr>
                <w:rFonts w:ascii="Times New Roman" w:eastAsia="仿宋"/>
                <w:szCs w:val="21"/>
              </w:rPr>
              <w:t>0.18</w:t>
            </w:r>
          </w:p>
        </w:tc>
      </w:tr>
      <w:tr w14:paraId="75F4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continue"/>
            <w:tcBorders>
              <w:left w:val="single" w:color="auto" w:sz="4" w:space="0"/>
              <w:right w:val="single" w:color="auto" w:sz="4" w:space="0"/>
            </w:tcBorders>
            <w:vAlign w:val="center"/>
          </w:tcPr>
          <w:p w14:paraId="05D5E1B4">
            <w:pPr>
              <w:jc w:val="center"/>
              <w:rPr>
                <w:rFonts w:ascii="Calibri"/>
                <w:szCs w:val="24"/>
              </w:rPr>
            </w:pPr>
          </w:p>
        </w:tc>
        <w:tc>
          <w:tcPr>
            <w:tcW w:w="576" w:type="pct"/>
            <w:vMerge w:val="restart"/>
            <w:tcBorders>
              <w:left w:val="single" w:color="auto" w:sz="4" w:space="0"/>
              <w:right w:val="single" w:color="auto" w:sz="4" w:space="0"/>
            </w:tcBorders>
            <w:vAlign w:val="center"/>
          </w:tcPr>
          <w:p w14:paraId="4247C7C0">
            <w:pPr>
              <w:jc w:val="center"/>
              <w:rPr>
                <w:rFonts w:ascii="Times New Roman" w:eastAsia="仿宋"/>
                <w:szCs w:val="21"/>
              </w:rPr>
            </w:pPr>
            <w:r>
              <w:rPr>
                <w:rFonts w:hint="eastAsia" w:ascii="Times New Roman" w:eastAsia="仿宋"/>
                <w:szCs w:val="21"/>
              </w:rPr>
              <w:t>3号喷涂车间</w:t>
            </w:r>
          </w:p>
        </w:tc>
        <w:tc>
          <w:tcPr>
            <w:tcW w:w="973" w:type="pct"/>
            <w:tcBorders>
              <w:top w:val="single" w:color="auto" w:sz="4" w:space="0"/>
              <w:left w:val="single" w:color="auto" w:sz="4" w:space="0"/>
              <w:bottom w:val="single" w:color="auto" w:sz="4" w:space="0"/>
              <w:right w:val="single" w:color="auto" w:sz="4" w:space="0"/>
            </w:tcBorders>
            <w:vAlign w:val="center"/>
          </w:tcPr>
          <w:p w14:paraId="6E2308D3">
            <w:pPr>
              <w:spacing w:line="320" w:lineRule="exact"/>
              <w:jc w:val="center"/>
              <w:rPr>
                <w:rFonts w:ascii="Times New Roman" w:eastAsia="仿宋"/>
                <w:szCs w:val="21"/>
              </w:rPr>
            </w:pPr>
            <w:r>
              <w:rPr>
                <w:rFonts w:hint="eastAsia" w:ascii="Times New Roman" w:eastAsia="仿宋"/>
                <w:szCs w:val="21"/>
              </w:rPr>
              <w:t>非甲烷总烃</w:t>
            </w:r>
          </w:p>
        </w:tc>
        <w:tc>
          <w:tcPr>
            <w:tcW w:w="928" w:type="pct"/>
            <w:tcBorders>
              <w:top w:val="single" w:color="auto" w:sz="4" w:space="0"/>
              <w:left w:val="single" w:color="auto" w:sz="4" w:space="0"/>
              <w:bottom w:val="single" w:color="auto" w:sz="4" w:space="0"/>
              <w:right w:val="single" w:color="auto" w:sz="4" w:space="0"/>
            </w:tcBorders>
            <w:vAlign w:val="center"/>
          </w:tcPr>
          <w:p w14:paraId="41E61D64">
            <w:pPr>
              <w:spacing w:line="320" w:lineRule="exact"/>
              <w:jc w:val="center"/>
              <w:rPr>
                <w:rFonts w:ascii="Times New Roman" w:eastAsia="仿宋"/>
                <w:szCs w:val="21"/>
              </w:rPr>
            </w:pPr>
            <w:r>
              <w:rPr>
                <w:rFonts w:hint="eastAsia" w:ascii="Times New Roman" w:eastAsia="仿宋"/>
                <w:szCs w:val="21"/>
              </w:rPr>
              <w:t>2</w:t>
            </w:r>
            <w:r>
              <w:rPr>
                <w:rFonts w:ascii="Times New Roman" w:eastAsia="仿宋"/>
                <w:szCs w:val="21"/>
              </w:rPr>
              <w:t>000</w:t>
            </w:r>
          </w:p>
        </w:tc>
        <w:tc>
          <w:tcPr>
            <w:tcW w:w="827" w:type="pct"/>
            <w:tcBorders>
              <w:top w:val="single" w:color="auto" w:sz="4" w:space="0"/>
              <w:left w:val="single" w:color="auto" w:sz="4" w:space="0"/>
              <w:bottom w:val="single" w:color="auto" w:sz="4" w:space="0"/>
              <w:right w:val="single" w:color="auto" w:sz="4" w:space="0"/>
            </w:tcBorders>
            <w:vAlign w:val="center"/>
          </w:tcPr>
          <w:p w14:paraId="527F1BD3">
            <w:pPr>
              <w:spacing w:line="320" w:lineRule="exact"/>
              <w:jc w:val="center"/>
              <w:rPr>
                <w:rFonts w:ascii="Times New Roman" w:eastAsia="仿宋"/>
                <w:szCs w:val="21"/>
              </w:rPr>
            </w:pPr>
            <w:r>
              <w:rPr>
                <w:rFonts w:hint="eastAsia" w:ascii="Times New Roman" w:eastAsia="仿宋"/>
                <w:szCs w:val="21"/>
              </w:rPr>
              <w:t>160</w:t>
            </w:r>
          </w:p>
        </w:tc>
        <w:tc>
          <w:tcPr>
            <w:tcW w:w="1153" w:type="pct"/>
            <w:tcBorders>
              <w:top w:val="single" w:color="auto" w:sz="4" w:space="0"/>
              <w:left w:val="single" w:color="auto" w:sz="4" w:space="0"/>
              <w:bottom w:val="single" w:color="auto" w:sz="4" w:space="0"/>
              <w:right w:val="single" w:color="auto" w:sz="4" w:space="0"/>
            </w:tcBorders>
            <w:vAlign w:val="center"/>
          </w:tcPr>
          <w:p w14:paraId="5C165301">
            <w:pPr>
              <w:spacing w:line="320" w:lineRule="exact"/>
              <w:jc w:val="center"/>
              <w:rPr>
                <w:rFonts w:ascii="Times New Roman" w:eastAsia="仿宋"/>
                <w:szCs w:val="21"/>
              </w:rPr>
            </w:pPr>
            <w:r>
              <w:rPr>
                <w:rFonts w:hint="eastAsia" w:ascii="Times New Roman" w:eastAsia="仿宋"/>
                <w:szCs w:val="21"/>
              </w:rPr>
              <w:t>8</w:t>
            </w:r>
          </w:p>
        </w:tc>
      </w:tr>
      <w:tr w14:paraId="7CA1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continue"/>
            <w:tcBorders>
              <w:left w:val="single" w:color="auto" w:sz="4" w:space="0"/>
              <w:right w:val="single" w:color="auto" w:sz="4" w:space="0"/>
            </w:tcBorders>
            <w:vAlign w:val="center"/>
          </w:tcPr>
          <w:p w14:paraId="356702F5">
            <w:pPr>
              <w:jc w:val="center"/>
              <w:rPr>
                <w:rFonts w:ascii="Calibri"/>
                <w:szCs w:val="24"/>
              </w:rPr>
            </w:pPr>
          </w:p>
        </w:tc>
        <w:tc>
          <w:tcPr>
            <w:tcW w:w="576" w:type="pct"/>
            <w:vMerge w:val="continue"/>
            <w:tcBorders>
              <w:left w:val="single" w:color="auto" w:sz="4" w:space="0"/>
              <w:right w:val="single" w:color="auto" w:sz="4" w:space="0"/>
            </w:tcBorders>
            <w:vAlign w:val="center"/>
          </w:tcPr>
          <w:p w14:paraId="71AF4DE5">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50A1041F">
            <w:pPr>
              <w:spacing w:line="320" w:lineRule="exact"/>
              <w:jc w:val="center"/>
              <w:rPr>
                <w:rFonts w:ascii="Times New Roman" w:eastAsia="仿宋"/>
                <w:szCs w:val="21"/>
              </w:rPr>
            </w:pPr>
            <w:r>
              <w:rPr>
                <w:rFonts w:hint="eastAsia" w:ascii="Times New Roman" w:eastAsia="仿宋"/>
                <w:szCs w:val="21"/>
              </w:rPr>
              <w:t>颗粒物</w:t>
            </w:r>
          </w:p>
        </w:tc>
        <w:tc>
          <w:tcPr>
            <w:tcW w:w="928" w:type="pct"/>
            <w:tcBorders>
              <w:top w:val="single" w:color="auto" w:sz="4" w:space="0"/>
              <w:left w:val="single" w:color="auto" w:sz="4" w:space="0"/>
              <w:bottom w:val="single" w:color="auto" w:sz="4" w:space="0"/>
              <w:right w:val="single" w:color="auto" w:sz="4" w:space="0"/>
            </w:tcBorders>
            <w:vAlign w:val="center"/>
          </w:tcPr>
          <w:p w14:paraId="6A28065D">
            <w:pPr>
              <w:spacing w:line="320" w:lineRule="exact"/>
              <w:jc w:val="center"/>
              <w:rPr>
                <w:rFonts w:ascii="Times New Roman" w:eastAsia="仿宋"/>
                <w:szCs w:val="21"/>
              </w:rPr>
            </w:pPr>
            <w:r>
              <w:rPr>
                <w:rFonts w:hint="eastAsia" w:ascii="Times New Roman" w:eastAsia="仿宋"/>
                <w:szCs w:val="21"/>
              </w:rPr>
              <w:t>450</w:t>
            </w:r>
          </w:p>
        </w:tc>
        <w:tc>
          <w:tcPr>
            <w:tcW w:w="827" w:type="pct"/>
            <w:tcBorders>
              <w:top w:val="single" w:color="auto" w:sz="4" w:space="0"/>
              <w:left w:val="single" w:color="auto" w:sz="4" w:space="0"/>
              <w:bottom w:val="single" w:color="auto" w:sz="4" w:space="0"/>
              <w:right w:val="single" w:color="auto" w:sz="4" w:space="0"/>
            </w:tcBorders>
            <w:vAlign w:val="center"/>
          </w:tcPr>
          <w:p w14:paraId="7074AB62">
            <w:pPr>
              <w:spacing w:line="320" w:lineRule="exact"/>
              <w:jc w:val="center"/>
              <w:rPr>
                <w:rFonts w:ascii="Times New Roman" w:eastAsia="仿宋"/>
                <w:szCs w:val="21"/>
              </w:rPr>
            </w:pPr>
            <w:r>
              <w:rPr>
                <w:rFonts w:hint="eastAsia" w:ascii="Times New Roman" w:eastAsia="仿宋"/>
                <w:szCs w:val="21"/>
              </w:rPr>
              <w:t>23</w:t>
            </w:r>
          </w:p>
        </w:tc>
        <w:tc>
          <w:tcPr>
            <w:tcW w:w="1153" w:type="pct"/>
            <w:tcBorders>
              <w:top w:val="single" w:color="auto" w:sz="4" w:space="0"/>
              <w:left w:val="single" w:color="auto" w:sz="4" w:space="0"/>
              <w:bottom w:val="single" w:color="auto" w:sz="4" w:space="0"/>
              <w:right w:val="single" w:color="auto" w:sz="4" w:space="0"/>
            </w:tcBorders>
            <w:vAlign w:val="center"/>
          </w:tcPr>
          <w:p w14:paraId="7E3F993A">
            <w:pPr>
              <w:spacing w:line="320" w:lineRule="exact"/>
              <w:jc w:val="center"/>
              <w:rPr>
                <w:rFonts w:ascii="Times New Roman" w:eastAsia="仿宋"/>
                <w:szCs w:val="21"/>
              </w:rPr>
            </w:pPr>
            <w:r>
              <w:rPr>
                <w:rFonts w:hint="eastAsia" w:ascii="Times New Roman" w:eastAsia="仿宋"/>
                <w:szCs w:val="21"/>
              </w:rPr>
              <w:t>5.11</w:t>
            </w:r>
          </w:p>
        </w:tc>
      </w:tr>
      <w:tr w14:paraId="40BD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continue"/>
            <w:tcBorders>
              <w:left w:val="single" w:color="auto" w:sz="4" w:space="0"/>
              <w:right w:val="single" w:color="auto" w:sz="4" w:space="0"/>
            </w:tcBorders>
            <w:vAlign w:val="center"/>
          </w:tcPr>
          <w:p w14:paraId="2026F3BA">
            <w:pPr>
              <w:jc w:val="center"/>
              <w:rPr>
                <w:rFonts w:ascii="Calibri"/>
                <w:szCs w:val="24"/>
              </w:rPr>
            </w:pPr>
          </w:p>
        </w:tc>
        <w:tc>
          <w:tcPr>
            <w:tcW w:w="576" w:type="pct"/>
            <w:vMerge w:val="continue"/>
            <w:tcBorders>
              <w:left w:val="single" w:color="auto" w:sz="4" w:space="0"/>
              <w:bottom w:val="single" w:color="auto" w:sz="4" w:space="0"/>
              <w:right w:val="single" w:color="auto" w:sz="4" w:space="0"/>
            </w:tcBorders>
            <w:vAlign w:val="center"/>
          </w:tcPr>
          <w:p w14:paraId="0762DB95">
            <w:pPr>
              <w:jc w:val="center"/>
              <w:rPr>
                <w:rFonts w:ascii="Times New Roman" w:eastAsia="仿宋"/>
                <w:szCs w:val="21"/>
              </w:rPr>
            </w:pPr>
          </w:p>
        </w:tc>
        <w:tc>
          <w:tcPr>
            <w:tcW w:w="973" w:type="pct"/>
            <w:tcBorders>
              <w:top w:val="single" w:color="auto" w:sz="4" w:space="0"/>
              <w:left w:val="single" w:color="auto" w:sz="4" w:space="0"/>
              <w:bottom w:val="single" w:color="auto" w:sz="4" w:space="0"/>
              <w:right w:val="single" w:color="auto" w:sz="4" w:space="0"/>
            </w:tcBorders>
            <w:vAlign w:val="center"/>
          </w:tcPr>
          <w:p w14:paraId="536F9A94">
            <w:pPr>
              <w:spacing w:line="320" w:lineRule="exact"/>
              <w:jc w:val="center"/>
              <w:rPr>
                <w:rFonts w:ascii="Times New Roman" w:eastAsia="仿宋"/>
                <w:szCs w:val="21"/>
              </w:rPr>
            </w:pPr>
            <w:r>
              <w:rPr>
                <w:rFonts w:hint="eastAsia" w:ascii="Times New Roman" w:eastAsia="仿宋"/>
                <w:szCs w:val="21"/>
              </w:rPr>
              <w:t>二甲苯</w:t>
            </w:r>
          </w:p>
        </w:tc>
        <w:tc>
          <w:tcPr>
            <w:tcW w:w="928" w:type="pct"/>
            <w:tcBorders>
              <w:top w:val="single" w:color="auto" w:sz="4" w:space="0"/>
              <w:left w:val="single" w:color="auto" w:sz="4" w:space="0"/>
              <w:bottom w:val="single" w:color="auto" w:sz="4" w:space="0"/>
              <w:right w:val="single" w:color="auto" w:sz="4" w:space="0"/>
            </w:tcBorders>
            <w:vAlign w:val="center"/>
          </w:tcPr>
          <w:p w14:paraId="05520DFA">
            <w:pPr>
              <w:spacing w:line="320" w:lineRule="exact"/>
              <w:jc w:val="center"/>
              <w:rPr>
                <w:rFonts w:ascii="Times New Roman" w:eastAsia="仿宋"/>
                <w:szCs w:val="21"/>
              </w:rPr>
            </w:pPr>
            <w:r>
              <w:rPr>
                <w:rFonts w:hint="eastAsia" w:ascii="Times New Roman" w:eastAsia="仿宋"/>
                <w:szCs w:val="21"/>
              </w:rPr>
              <w:t>200</w:t>
            </w:r>
          </w:p>
        </w:tc>
        <w:tc>
          <w:tcPr>
            <w:tcW w:w="827" w:type="pct"/>
            <w:tcBorders>
              <w:top w:val="single" w:color="auto" w:sz="4" w:space="0"/>
              <w:left w:val="single" w:color="auto" w:sz="4" w:space="0"/>
              <w:bottom w:val="single" w:color="auto" w:sz="4" w:space="0"/>
              <w:right w:val="single" w:color="auto" w:sz="4" w:space="0"/>
            </w:tcBorders>
            <w:vAlign w:val="center"/>
          </w:tcPr>
          <w:p w14:paraId="27ABC7FC">
            <w:pPr>
              <w:spacing w:line="320" w:lineRule="exact"/>
              <w:jc w:val="center"/>
              <w:rPr>
                <w:rFonts w:ascii="Times New Roman" w:eastAsia="仿宋"/>
                <w:szCs w:val="21"/>
              </w:rPr>
            </w:pPr>
            <w:r>
              <w:rPr>
                <w:rFonts w:hint="eastAsia" w:ascii="Times New Roman" w:eastAsia="仿宋"/>
                <w:szCs w:val="21"/>
              </w:rPr>
              <w:t>17</w:t>
            </w:r>
          </w:p>
        </w:tc>
        <w:tc>
          <w:tcPr>
            <w:tcW w:w="1153" w:type="pct"/>
            <w:tcBorders>
              <w:top w:val="single" w:color="auto" w:sz="4" w:space="0"/>
              <w:left w:val="single" w:color="auto" w:sz="4" w:space="0"/>
              <w:bottom w:val="single" w:color="auto" w:sz="4" w:space="0"/>
              <w:right w:val="single" w:color="auto" w:sz="4" w:space="0"/>
            </w:tcBorders>
            <w:vAlign w:val="center"/>
          </w:tcPr>
          <w:p w14:paraId="796D5A13">
            <w:pPr>
              <w:spacing w:line="320" w:lineRule="exact"/>
              <w:jc w:val="center"/>
              <w:rPr>
                <w:rFonts w:ascii="Times New Roman" w:eastAsia="仿宋"/>
                <w:szCs w:val="21"/>
              </w:rPr>
            </w:pPr>
            <w:r>
              <w:rPr>
                <w:rFonts w:hint="eastAsia" w:ascii="Times New Roman" w:eastAsia="仿宋"/>
                <w:szCs w:val="21"/>
              </w:rPr>
              <w:t>8.5</w:t>
            </w:r>
          </w:p>
        </w:tc>
      </w:tr>
      <w:tr w14:paraId="46B6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43" w:type="pct"/>
            <w:vMerge w:val="continue"/>
            <w:tcBorders>
              <w:left w:val="single" w:color="auto" w:sz="4" w:space="0"/>
              <w:right w:val="single" w:color="auto" w:sz="4" w:space="0"/>
            </w:tcBorders>
            <w:vAlign w:val="center"/>
          </w:tcPr>
          <w:p w14:paraId="0D7B339F">
            <w:pPr>
              <w:jc w:val="center"/>
              <w:rPr>
                <w:rFonts w:ascii="Calibri"/>
                <w:szCs w:val="24"/>
              </w:rPr>
            </w:pPr>
          </w:p>
        </w:tc>
        <w:tc>
          <w:tcPr>
            <w:tcW w:w="0" w:type="auto"/>
            <w:vAlign w:val="center"/>
          </w:tcPr>
          <w:p w14:paraId="2E5F43FB">
            <w:pPr>
              <w:jc w:val="center"/>
              <w:rPr>
                <w:rFonts w:ascii="Times New Roman" w:eastAsia="仿宋"/>
                <w:szCs w:val="21"/>
              </w:rPr>
            </w:pPr>
            <w:r>
              <w:rPr>
                <w:rFonts w:hint="eastAsia" w:ascii="Times New Roman" w:eastAsia="仿宋"/>
                <w:szCs w:val="21"/>
              </w:rPr>
              <w:t>4号钣金车间</w:t>
            </w:r>
          </w:p>
        </w:tc>
        <w:tc>
          <w:tcPr>
            <w:tcW w:w="0" w:type="auto"/>
            <w:vAlign w:val="center"/>
          </w:tcPr>
          <w:p w14:paraId="57ED9048">
            <w:pPr>
              <w:spacing w:line="320" w:lineRule="exact"/>
              <w:jc w:val="center"/>
              <w:rPr>
                <w:rFonts w:ascii="Times New Roman" w:eastAsia="仿宋"/>
                <w:szCs w:val="21"/>
              </w:rPr>
            </w:pPr>
            <w:r>
              <w:rPr>
                <w:rFonts w:hint="eastAsia" w:ascii="Times New Roman" w:eastAsia="仿宋"/>
                <w:szCs w:val="21"/>
              </w:rPr>
              <w:t>颗粒物</w:t>
            </w:r>
          </w:p>
        </w:tc>
        <w:tc>
          <w:tcPr>
            <w:tcW w:w="0" w:type="auto"/>
            <w:vAlign w:val="center"/>
          </w:tcPr>
          <w:p w14:paraId="2136C0DC">
            <w:pPr>
              <w:spacing w:line="320" w:lineRule="exact"/>
              <w:jc w:val="center"/>
              <w:rPr>
                <w:rFonts w:ascii="Times New Roman" w:eastAsia="仿宋"/>
                <w:szCs w:val="21"/>
              </w:rPr>
            </w:pPr>
            <w:r>
              <w:rPr>
                <w:rFonts w:hint="eastAsia" w:ascii="Times New Roman" w:eastAsia="仿宋"/>
                <w:szCs w:val="21"/>
              </w:rPr>
              <w:t>450</w:t>
            </w:r>
          </w:p>
        </w:tc>
        <w:tc>
          <w:tcPr>
            <w:tcW w:w="0" w:type="auto"/>
            <w:vAlign w:val="center"/>
          </w:tcPr>
          <w:p w14:paraId="2C73D36F">
            <w:pPr>
              <w:spacing w:line="320" w:lineRule="exact"/>
              <w:jc w:val="center"/>
              <w:rPr>
                <w:rFonts w:ascii="Times New Roman" w:eastAsia="仿宋"/>
                <w:szCs w:val="21"/>
              </w:rPr>
            </w:pPr>
            <w:r>
              <w:rPr>
                <w:rFonts w:hint="eastAsia" w:ascii="Times New Roman" w:eastAsia="仿宋"/>
                <w:szCs w:val="21"/>
              </w:rPr>
              <w:t>0.79</w:t>
            </w:r>
          </w:p>
        </w:tc>
        <w:tc>
          <w:tcPr>
            <w:tcW w:w="1153" w:type="pct"/>
            <w:vAlign w:val="center"/>
          </w:tcPr>
          <w:p w14:paraId="0B79A3B9">
            <w:pPr>
              <w:spacing w:line="320" w:lineRule="exact"/>
              <w:jc w:val="center"/>
              <w:rPr>
                <w:rFonts w:ascii="Times New Roman" w:eastAsia="仿宋"/>
                <w:szCs w:val="21"/>
              </w:rPr>
            </w:pPr>
            <w:r>
              <w:rPr>
                <w:rFonts w:hint="eastAsia" w:ascii="Times New Roman" w:eastAsia="仿宋"/>
                <w:szCs w:val="21"/>
              </w:rPr>
              <w:t>0.17</w:t>
            </w:r>
          </w:p>
        </w:tc>
      </w:tr>
    </w:tbl>
    <w:p w14:paraId="3EBDFEB4">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.2.1.6污染物排放量核算</w:t>
      </w:r>
    </w:p>
    <w:p w14:paraId="73747B34">
      <w:pPr>
        <w:spacing w:line="500" w:lineRule="exact"/>
        <w:ind w:firstLine="560" w:firstLineChars="200"/>
        <w:rPr>
          <w:rFonts w:ascii="Times New Roman" w:eastAsia="仿宋"/>
          <w:sz w:val="28"/>
          <w:szCs w:val="28"/>
        </w:rPr>
      </w:pPr>
      <w:r>
        <w:rPr>
          <w:rFonts w:ascii="Times New Roman" w:eastAsia="仿宋"/>
          <w:sz w:val="28"/>
          <w:szCs w:val="28"/>
        </w:rPr>
        <w:t>（1）有组织排放量核算</w:t>
      </w:r>
    </w:p>
    <w:p w14:paraId="069F23AE">
      <w:pPr>
        <w:pStyle w:val="182"/>
        <w:spacing w:line="500" w:lineRule="exact"/>
        <w:ind w:firstLine="482"/>
        <w:jc w:val="center"/>
        <w:rPr>
          <w:rFonts w:eastAsia="仿宋"/>
          <w:b/>
        </w:rPr>
      </w:pPr>
      <w:r>
        <w:rPr>
          <w:rFonts w:eastAsia="仿宋"/>
          <w:b/>
        </w:rPr>
        <w:t>表5.2-20  大气污染物有组织排放量核算表</w:t>
      </w:r>
    </w:p>
    <w:tbl>
      <w:tblPr>
        <w:tblStyle w:val="8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276"/>
        <w:gridCol w:w="1701"/>
        <w:gridCol w:w="1701"/>
        <w:gridCol w:w="1712"/>
        <w:gridCol w:w="1150"/>
      </w:tblGrid>
      <w:tr w14:paraId="41A7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tcBorders>
              <w:bottom w:val="single" w:color="auto" w:sz="4" w:space="0"/>
            </w:tcBorders>
            <w:vAlign w:val="center"/>
          </w:tcPr>
          <w:p w14:paraId="182B9BBE">
            <w:pPr>
              <w:jc w:val="center"/>
              <w:rPr>
                <w:rFonts w:ascii="Times New Roman" w:eastAsia="仿宋"/>
                <w:szCs w:val="21"/>
              </w:rPr>
            </w:pPr>
            <w:r>
              <w:rPr>
                <w:rFonts w:ascii="Times New Roman" w:eastAsia="仿宋"/>
                <w:szCs w:val="21"/>
              </w:rPr>
              <w:t>序号</w:t>
            </w:r>
          </w:p>
        </w:tc>
        <w:tc>
          <w:tcPr>
            <w:tcW w:w="1276" w:type="dxa"/>
            <w:tcBorders>
              <w:bottom w:val="single" w:color="auto" w:sz="4" w:space="0"/>
            </w:tcBorders>
            <w:vAlign w:val="center"/>
          </w:tcPr>
          <w:p w14:paraId="34A842D6">
            <w:pPr>
              <w:jc w:val="center"/>
              <w:rPr>
                <w:rFonts w:ascii="Times New Roman" w:eastAsia="仿宋"/>
                <w:szCs w:val="21"/>
              </w:rPr>
            </w:pPr>
            <w:r>
              <w:rPr>
                <w:rFonts w:ascii="Times New Roman" w:eastAsia="仿宋"/>
                <w:szCs w:val="21"/>
              </w:rPr>
              <w:t>排放口编号</w:t>
            </w:r>
          </w:p>
        </w:tc>
        <w:tc>
          <w:tcPr>
            <w:tcW w:w="1701" w:type="dxa"/>
            <w:tcBorders>
              <w:bottom w:val="single" w:color="auto" w:sz="4" w:space="0"/>
            </w:tcBorders>
            <w:vAlign w:val="center"/>
          </w:tcPr>
          <w:p w14:paraId="163E821B">
            <w:pPr>
              <w:jc w:val="center"/>
              <w:rPr>
                <w:rFonts w:ascii="Times New Roman" w:eastAsia="仿宋"/>
                <w:szCs w:val="21"/>
              </w:rPr>
            </w:pPr>
            <w:r>
              <w:rPr>
                <w:rFonts w:ascii="Times New Roman" w:eastAsia="仿宋"/>
                <w:szCs w:val="21"/>
              </w:rPr>
              <w:t>污染物</w:t>
            </w:r>
          </w:p>
        </w:tc>
        <w:tc>
          <w:tcPr>
            <w:tcW w:w="1701" w:type="dxa"/>
            <w:tcBorders>
              <w:bottom w:val="single" w:color="auto" w:sz="4" w:space="0"/>
            </w:tcBorders>
            <w:vAlign w:val="center"/>
          </w:tcPr>
          <w:p w14:paraId="11E3EB0E">
            <w:pPr>
              <w:jc w:val="center"/>
              <w:rPr>
                <w:rFonts w:ascii="Times New Roman" w:eastAsia="仿宋"/>
                <w:szCs w:val="21"/>
              </w:rPr>
            </w:pPr>
            <w:r>
              <w:rPr>
                <w:rFonts w:ascii="Times New Roman" w:eastAsia="仿宋"/>
                <w:szCs w:val="21"/>
              </w:rPr>
              <w:t>核算排放浓度</w:t>
            </w:r>
          </w:p>
          <w:p w14:paraId="325DB344">
            <w:pPr>
              <w:jc w:val="center"/>
              <w:rPr>
                <w:rFonts w:ascii="Times New Roman" w:eastAsia="仿宋"/>
                <w:szCs w:val="21"/>
              </w:rPr>
            </w:pPr>
            <w:r>
              <w:rPr>
                <w:rFonts w:ascii="Times New Roman" w:eastAsia="仿宋"/>
                <w:szCs w:val="21"/>
              </w:rPr>
              <w:t>mg/m</w:t>
            </w:r>
            <w:r>
              <w:rPr>
                <w:rFonts w:ascii="Times New Roman" w:eastAsia="仿宋"/>
                <w:szCs w:val="21"/>
                <w:vertAlign w:val="superscript"/>
              </w:rPr>
              <w:t>3</w:t>
            </w:r>
          </w:p>
        </w:tc>
        <w:tc>
          <w:tcPr>
            <w:tcW w:w="1712" w:type="dxa"/>
            <w:tcBorders>
              <w:bottom w:val="single" w:color="auto" w:sz="4" w:space="0"/>
            </w:tcBorders>
            <w:vAlign w:val="center"/>
          </w:tcPr>
          <w:p w14:paraId="3DFD1228">
            <w:pPr>
              <w:jc w:val="center"/>
              <w:rPr>
                <w:rFonts w:ascii="Times New Roman" w:eastAsia="仿宋"/>
                <w:szCs w:val="21"/>
              </w:rPr>
            </w:pPr>
            <w:r>
              <w:rPr>
                <w:rFonts w:ascii="Times New Roman" w:eastAsia="仿宋"/>
                <w:szCs w:val="21"/>
              </w:rPr>
              <w:t>核算排放速率</w:t>
            </w:r>
          </w:p>
          <w:p w14:paraId="4E752814">
            <w:pPr>
              <w:jc w:val="center"/>
              <w:rPr>
                <w:rFonts w:ascii="Times New Roman" w:eastAsia="仿宋"/>
                <w:szCs w:val="21"/>
              </w:rPr>
            </w:pPr>
            <w:r>
              <w:rPr>
                <w:rFonts w:ascii="Times New Roman" w:eastAsia="仿宋"/>
                <w:szCs w:val="21"/>
              </w:rPr>
              <w:t>kg/h</w:t>
            </w:r>
          </w:p>
        </w:tc>
        <w:tc>
          <w:tcPr>
            <w:tcW w:w="1150" w:type="dxa"/>
            <w:tcBorders>
              <w:bottom w:val="single" w:color="auto" w:sz="4" w:space="0"/>
            </w:tcBorders>
            <w:vAlign w:val="center"/>
          </w:tcPr>
          <w:p w14:paraId="631AB01D">
            <w:pPr>
              <w:jc w:val="center"/>
              <w:rPr>
                <w:rFonts w:ascii="Times New Roman" w:eastAsia="仿宋"/>
                <w:szCs w:val="21"/>
              </w:rPr>
            </w:pPr>
            <w:r>
              <w:rPr>
                <w:rFonts w:ascii="Times New Roman" w:eastAsia="仿宋"/>
                <w:szCs w:val="21"/>
              </w:rPr>
              <w:t>核算年排放量t/a</w:t>
            </w:r>
          </w:p>
        </w:tc>
      </w:tr>
      <w:tr w14:paraId="1D9D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5" w:type="dxa"/>
            <w:gridSpan w:val="6"/>
            <w:tcBorders>
              <w:bottom w:val="single" w:color="auto" w:sz="4" w:space="0"/>
            </w:tcBorders>
            <w:vAlign w:val="center"/>
          </w:tcPr>
          <w:p w14:paraId="2D3EC861">
            <w:pPr>
              <w:jc w:val="center"/>
              <w:rPr>
                <w:rFonts w:ascii="Times New Roman" w:eastAsia="仿宋"/>
                <w:szCs w:val="21"/>
              </w:rPr>
            </w:pPr>
            <w:r>
              <w:rPr>
                <w:rFonts w:ascii="Times New Roman" w:eastAsia="仿宋"/>
                <w:szCs w:val="21"/>
              </w:rPr>
              <w:t>主要排放口</w:t>
            </w:r>
          </w:p>
        </w:tc>
      </w:tr>
      <w:tr w14:paraId="5C66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14312A11">
            <w:pPr>
              <w:jc w:val="center"/>
              <w:rPr>
                <w:rFonts w:ascii="Times New Roman" w:eastAsia="仿宋"/>
                <w:szCs w:val="21"/>
              </w:rPr>
            </w:pPr>
            <w:r>
              <w:rPr>
                <w:rFonts w:hint="eastAsia" w:ascii="Times New Roman" w:eastAsia="仿宋"/>
                <w:szCs w:val="21"/>
              </w:rPr>
              <w:t>1</w:t>
            </w:r>
          </w:p>
        </w:tc>
        <w:tc>
          <w:tcPr>
            <w:tcW w:w="1276" w:type="dxa"/>
            <w:vAlign w:val="center"/>
          </w:tcPr>
          <w:p w14:paraId="6923EDB2">
            <w:pPr>
              <w:jc w:val="center"/>
              <w:rPr>
                <w:rFonts w:ascii="Times New Roman" w:eastAsia="仿宋"/>
                <w:szCs w:val="21"/>
              </w:rPr>
            </w:pPr>
            <w:r>
              <w:rPr>
                <w:rFonts w:hint="eastAsia" w:ascii="Times New Roman" w:eastAsia="仿宋"/>
                <w:szCs w:val="21"/>
              </w:rPr>
              <w:t>1#</w:t>
            </w:r>
          </w:p>
        </w:tc>
        <w:tc>
          <w:tcPr>
            <w:tcW w:w="1701" w:type="dxa"/>
            <w:vAlign w:val="center"/>
          </w:tcPr>
          <w:p w14:paraId="5E72459D">
            <w:pPr>
              <w:jc w:val="center"/>
              <w:rPr>
                <w:rFonts w:ascii="Times New Roman" w:eastAsia="仿宋"/>
                <w:szCs w:val="21"/>
              </w:rPr>
            </w:pPr>
            <w:r>
              <w:rPr>
                <w:rFonts w:hint="eastAsia" w:ascii="Times New Roman" w:eastAsia="仿宋"/>
                <w:szCs w:val="21"/>
              </w:rPr>
              <w:t>颗粒物</w:t>
            </w:r>
          </w:p>
        </w:tc>
        <w:tc>
          <w:tcPr>
            <w:tcW w:w="1701" w:type="dxa"/>
            <w:vAlign w:val="center"/>
          </w:tcPr>
          <w:p w14:paraId="36EBF53F">
            <w:pPr>
              <w:widowControl/>
              <w:jc w:val="center"/>
              <w:rPr>
                <w:rFonts w:ascii="Times New Roman" w:eastAsia="仿宋"/>
                <w:szCs w:val="24"/>
              </w:rPr>
            </w:pPr>
            <w:r>
              <w:rPr>
                <w:rFonts w:hint="eastAsia" w:ascii="Times New Roman" w:eastAsia="仿宋"/>
                <w:szCs w:val="24"/>
              </w:rPr>
              <w:t>1</w:t>
            </w:r>
          </w:p>
        </w:tc>
        <w:tc>
          <w:tcPr>
            <w:tcW w:w="1712" w:type="dxa"/>
            <w:vAlign w:val="center"/>
          </w:tcPr>
          <w:p w14:paraId="121E4E19">
            <w:pPr>
              <w:widowControl/>
              <w:jc w:val="center"/>
              <w:rPr>
                <w:rFonts w:ascii="Times New Roman" w:eastAsia="仿宋"/>
                <w:szCs w:val="24"/>
              </w:rPr>
            </w:pPr>
            <w:r>
              <w:rPr>
                <w:rFonts w:hint="eastAsia" w:ascii="Times New Roman" w:eastAsia="仿宋"/>
                <w:szCs w:val="24"/>
              </w:rPr>
              <w:t>0.02</w:t>
            </w:r>
          </w:p>
        </w:tc>
        <w:tc>
          <w:tcPr>
            <w:tcW w:w="1150" w:type="dxa"/>
            <w:vAlign w:val="center"/>
          </w:tcPr>
          <w:p w14:paraId="442EACAA">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1</w:t>
            </w:r>
          </w:p>
        </w:tc>
      </w:tr>
      <w:tr w14:paraId="1DC1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14:paraId="010C9DA1">
            <w:pPr>
              <w:jc w:val="center"/>
              <w:rPr>
                <w:rFonts w:ascii="Times New Roman" w:eastAsia="仿宋"/>
                <w:szCs w:val="21"/>
              </w:rPr>
            </w:pPr>
            <w:r>
              <w:rPr>
                <w:rFonts w:ascii="Times New Roman" w:eastAsia="仿宋"/>
                <w:szCs w:val="21"/>
              </w:rPr>
              <w:t>2</w:t>
            </w:r>
          </w:p>
        </w:tc>
        <w:tc>
          <w:tcPr>
            <w:tcW w:w="1276" w:type="dxa"/>
            <w:vMerge w:val="restart"/>
            <w:vAlign w:val="center"/>
          </w:tcPr>
          <w:p w14:paraId="3322988B">
            <w:pPr>
              <w:jc w:val="center"/>
              <w:rPr>
                <w:rFonts w:ascii="Times New Roman" w:eastAsia="仿宋"/>
                <w:szCs w:val="21"/>
              </w:rPr>
            </w:pPr>
            <w:r>
              <w:rPr>
                <w:rFonts w:hint="eastAsia" w:ascii="Times New Roman" w:eastAsia="仿宋"/>
                <w:szCs w:val="21"/>
              </w:rPr>
              <w:t>2</w:t>
            </w:r>
            <w:r>
              <w:rPr>
                <w:rFonts w:ascii="Times New Roman" w:eastAsia="仿宋"/>
                <w:szCs w:val="21"/>
              </w:rPr>
              <w:t>#</w:t>
            </w:r>
          </w:p>
        </w:tc>
        <w:tc>
          <w:tcPr>
            <w:tcW w:w="1701" w:type="dxa"/>
            <w:vAlign w:val="center"/>
          </w:tcPr>
          <w:p w14:paraId="252A991F">
            <w:pPr>
              <w:spacing w:line="320" w:lineRule="exact"/>
              <w:jc w:val="center"/>
              <w:rPr>
                <w:rFonts w:ascii="Times New Roman" w:eastAsia="仿宋"/>
                <w:szCs w:val="21"/>
              </w:rPr>
            </w:pPr>
            <w:r>
              <w:rPr>
                <w:rFonts w:hint="eastAsia" w:ascii="Times New Roman" w:eastAsia="仿宋"/>
                <w:szCs w:val="21"/>
              </w:rPr>
              <w:t>非甲烷总烃</w:t>
            </w:r>
          </w:p>
        </w:tc>
        <w:tc>
          <w:tcPr>
            <w:tcW w:w="1701" w:type="dxa"/>
            <w:vAlign w:val="center"/>
          </w:tcPr>
          <w:p w14:paraId="3342E5D3">
            <w:pPr>
              <w:widowControl/>
              <w:jc w:val="center"/>
              <w:rPr>
                <w:rFonts w:ascii="Times New Roman" w:eastAsia="仿宋"/>
                <w:szCs w:val="24"/>
              </w:rPr>
            </w:pPr>
            <w:r>
              <w:rPr>
                <w:rFonts w:hint="eastAsia" w:ascii="Times New Roman" w:eastAsia="仿宋"/>
                <w:szCs w:val="24"/>
              </w:rPr>
              <w:t>6</w:t>
            </w:r>
            <w:r>
              <w:rPr>
                <w:rFonts w:ascii="Times New Roman" w:eastAsia="仿宋"/>
                <w:szCs w:val="24"/>
              </w:rPr>
              <w:t>.92</w:t>
            </w:r>
          </w:p>
        </w:tc>
        <w:tc>
          <w:tcPr>
            <w:tcW w:w="1712" w:type="dxa"/>
            <w:vAlign w:val="center"/>
          </w:tcPr>
          <w:p w14:paraId="3D162CEB">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1150" w:type="dxa"/>
            <w:vAlign w:val="center"/>
          </w:tcPr>
          <w:p w14:paraId="485E58C6">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8</w:t>
            </w:r>
            <w:r>
              <w:rPr>
                <w:rFonts w:ascii="Times New Roman" w:eastAsia="仿宋"/>
                <w:szCs w:val="24"/>
              </w:rPr>
              <w:t>5</w:t>
            </w:r>
          </w:p>
        </w:tc>
      </w:tr>
      <w:tr w14:paraId="2F0D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73FD3B9D">
            <w:pPr>
              <w:jc w:val="center"/>
              <w:rPr>
                <w:rFonts w:ascii="Times New Roman" w:eastAsia="仿宋"/>
                <w:szCs w:val="21"/>
              </w:rPr>
            </w:pPr>
          </w:p>
        </w:tc>
        <w:tc>
          <w:tcPr>
            <w:tcW w:w="1276" w:type="dxa"/>
            <w:vMerge w:val="continue"/>
            <w:vAlign w:val="center"/>
          </w:tcPr>
          <w:p w14:paraId="3C02FD4E">
            <w:pPr>
              <w:jc w:val="center"/>
              <w:rPr>
                <w:rFonts w:ascii="Times New Roman" w:eastAsia="仿宋"/>
                <w:szCs w:val="21"/>
              </w:rPr>
            </w:pPr>
          </w:p>
        </w:tc>
        <w:tc>
          <w:tcPr>
            <w:tcW w:w="1701" w:type="dxa"/>
            <w:vAlign w:val="center"/>
          </w:tcPr>
          <w:p w14:paraId="732ABEF5">
            <w:pPr>
              <w:spacing w:line="320" w:lineRule="exact"/>
              <w:jc w:val="center"/>
              <w:rPr>
                <w:rFonts w:ascii="Times New Roman" w:eastAsia="仿宋"/>
                <w:szCs w:val="21"/>
              </w:rPr>
            </w:pPr>
            <w:r>
              <w:rPr>
                <w:rFonts w:hint="eastAsia" w:ascii="Times New Roman" w:eastAsia="仿宋"/>
                <w:szCs w:val="21"/>
              </w:rPr>
              <w:t>TVOC</w:t>
            </w:r>
          </w:p>
        </w:tc>
        <w:tc>
          <w:tcPr>
            <w:tcW w:w="1701" w:type="dxa"/>
            <w:vAlign w:val="center"/>
          </w:tcPr>
          <w:p w14:paraId="0FE47C54">
            <w:pPr>
              <w:widowControl/>
              <w:jc w:val="center"/>
              <w:rPr>
                <w:rFonts w:ascii="Times New Roman" w:eastAsia="仿宋"/>
                <w:szCs w:val="24"/>
              </w:rPr>
            </w:pPr>
            <w:r>
              <w:rPr>
                <w:rFonts w:hint="eastAsia" w:ascii="Times New Roman" w:eastAsia="仿宋"/>
                <w:szCs w:val="24"/>
              </w:rPr>
              <w:t>6</w:t>
            </w:r>
            <w:r>
              <w:rPr>
                <w:rFonts w:ascii="Times New Roman" w:eastAsia="仿宋"/>
                <w:szCs w:val="24"/>
              </w:rPr>
              <w:t>.92</w:t>
            </w:r>
          </w:p>
        </w:tc>
        <w:tc>
          <w:tcPr>
            <w:tcW w:w="1712" w:type="dxa"/>
            <w:vAlign w:val="center"/>
          </w:tcPr>
          <w:p w14:paraId="4A978A8D">
            <w:pPr>
              <w:widowControl/>
              <w:jc w:val="center"/>
              <w:rPr>
                <w:rFonts w:ascii="Times New Roman" w:eastAsia="仿宋"/>
                <w:szCs w:val="24"/>
              </w:rPr>
            </w:pPr>
            <w:r>
              <w:rPr>
                <w:rFonts w:hint="eastAsia" w:ascii="Times New Roman" w:eastAsia="仿宋"/>
                <w:szCs w:val="24"/>
              </w:rPr>
              <w:t>0</w:t>
            </w:r>
            <w:r>
              <w:rPr>
                <w:rFonts w:ascii="Times New Roman" w:eastAsia="仿宋"/>
                <w:szCs w:val="24"/>
              </w:rPr>
              <w:t>.18</w:t>
            </w:r>
          </w:p>
        </w:tc>
        <w:tc>
          <w:tcPr>
            <w:tcW w:w="1150" w:type="dxa"/>
            <w:vAlign w:val="center"/>
          </w:tcPr>
          <w:p w14:paraId="045DB4A6">
            <w:pPr>
              <w:widowControl/>
              <w:jc w:val="center"/>
              <w:rPr>
                <w:rFonts w:ascii="Times New Roman" w:eastAsia="仿宋"/>
                <w:szCs w:val="24"/>
              </w:rPr>
            </w:pPr>
            <w:r>
              <w:rPr>
                <w:rFonts w:hint="eastAsia" w:ascii="Times New Roman" w:eastAsia="仿宋"/>
                <w:szCs w:val="24"/>
              </w:rPr>
              <w:t>0</w:t>
            </w:r>
            <w:r>
              <w:rPr>
                <w:rFonts w:ascii="Times New Roman" w:eastAsia="仿宋"/>
                <w:szCs w:val="24"/>
              </w:rPr>
              <w:t>.</w:t>
            </w:r>
            <w:r>
              <w:rPr>
                <w:rFonts w:hint="eastAsia" w:ascii="Times New Roman" w:eastAsia="仿宋"/>
                <w:szCs w:val="24"/>
              </w:rPr>
              <w:t>8</w:t>
            </w:r>
            <w:r>
              <w:rPr>
                <w:rFonts w:ascii="Times New Roman" w:eastAsia="仿宋"/>
                <w:szCs w:val="24"/>
              </w:rPr>
              <w:t>5</w:t>
            </w:r>
          </w:p>
        </w:tc>
      </w:tr>
      <w:tr w14:paraId="42BA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01C33F9D">
            <w:pPr>
              <w:jc w:val="center"/>
              <w:rPr>
                <w:rFonts w:ascii="Times New Roman" w:eastAsia="仿宋"/>
                <w:szCs w:val="21"/>
              </w:rPr>
            </w:pPr>
          </w:p>
        </w:tc>
        <w:tc>
          <w:tcPr>
            <w:tcW w:w="1276" w:type="dxa"/>
            <w:vMerge w:val="continue"/>
            <w:vAlign w:val="center"/>
          </w:tcPr>
          <w:p w14:paraId="6694C4AC">
            <w:pPr>
              <w:jc w:val="center"/>
              <w:rPr>
                <w:rFonts w:ascii="Times New Roman" w:eastAsia="仿宋"/>
                <w:szCs w:val="21"/>
              </w:rPr>
            </w:pPr>
          </w:p>
        </w:tc>
        <w:tc>
          <w:tcPr>
            <w:tcW w:w="1701" w:type="dxa"/>
            <w:vAlign w:val="center"/>
          </w:tcPr>
          <w:p w14:paraId="0F22C41A">
            <w:pPr>
              <w:spacing w:line="320" w:lineRule="exact"/>
              <w:jc w:val="center"/>
              <w:rPr>
                <w:rFonts w:ascii="Times New Roman" w:eastAsia="仿宋"/>
                <w:szCs w:val="21"/>
              </w:rPr>
            </w:pPr>
            <w:r>
              <w:rPr>
                <w:rFonts w:hint="eastAsia" w:ascii="Times New Roman" w:eastAsia="仿宋"/>
                <w:szCs w:val="21"/>
              </w:rPr>
              <w:t>二甲苯</w:t>
            </w:r>
          </w:p>
        </w:tc>
        <w:tc>
          <w:tcPr>
            <w:tcW w:w="1701" w:type="dxa"/>
            <w:vAlign w:val="center"/>
          </w:tcPr>
          <w:p w14:paraId="1009A2F9">
            <w:pPr>
              <w:widowControl/>
              <w:jc w:val="center"/>
              <w:rPr>
                <w:rFonts w:ascii="Times New Roman" w:eastAsia="仿宋"/>
                <w:szCs w:val="24"/>
              </w:rPr>
            </w:pPr>
            <w:r>
              <w:rPr>
                <w:rFonts w:hint="eastAsia" w:ascii="Times New Roman" w:eastAsia="仿宋"/>
                <w:szCs w:val="24"/>
              </w:rPr>
              <w:t>1</w:t>
            </w:r>
            <w:r>
              <w:rPr>
                <w:rFonts w:ascii="Times New Roman" w:eastAsia="仿宋"/>
                <w:szCs w:val="24"/>
              </w:rPr>
              <w:t>.</w:t>
            </w:r>
            <w:r>
              <w:rPr>
                <w:rFonts w:hint="eastAsia" w:ascii="Times New Roman" w:eastAsia="仿宋"/>
                <w:szCs w:val="24"/>
              </w:rPr>
              <w:t>1</w:t>
            </w:r>
            <w:r>
              <w:rPr>
                <w:rFonts w:ascii="Times New Roman" w:eastAsia="仿宋"/>
                <w:szCs w:val="24"/>
              </w:rPr>
              <w:t>5</w:t>
            </w:r>
          </w:p>
        </w:tc>
        <w:tc>
          <w:tcPr>
            <w:tcW w:w="1712" w:type="dxa"/>
            <w:vAlign w:val="center"/>
          </w:tcPr>
          <w:p w14:paraId="70B1FE5A">
            <w:pPr>
              <w:widowControl/>
              <w:jc w:val="center"/>
              <w:rPr>
                <w:rFonts w:ascii="Times New Roman" w:eastAsia="仿宋"/>
                <w:szCs w:val="24"/>
              </w:rPr>
            </w:pPr>
            <w:r>
              <w:rPr>
                <w:rFonts w:hint="eastAsia" w:ascii="Times New Roman" w:eastAsia="仿宋"/>
                <w:szCs w:val="24"/>
              </w:rPr>
              <w:t>0</w:t>
            </w:r>
            <w:r>
              <w:rPr>
                <w:rFonts w:ascii="Times New Roman" w:eastAsia="仿宋"/>
                <w:szCs w:val="24"/>
              </w:rPr>
              <w:t>.03</w:t>
            </w:r>
          </w:p>
        </w:tc>
        <w:tc>
          <w:tcPr>
            <w:tcW w:w="1150" w:type="dxa"/>
            <w:vAlign w:val="center"/>
          </w:tcPr>
          <w:p w14:paraId="737F6EDD">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w:t>
            </w:r>
          </w:p>
        </w:tc>
      </w:tr>
      <w:tr w14:paraId="1A39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5C53BD64">
            <w:pPr>
              <w:jc w:val="center"/>
              <w:rPr>
                <w:rFonts w:ascii="Times New Roman" w:eastAsia="仿宋"/>
                <w:szCs w:val="21"/>
              </w:rPr>
            </w:pPr>
          </w:p>
        </w:tc>
        <w:tc>
          <w:tcPr>
            <w:tcW w:w="1276" w:type="dxa"/>
            <w:vMerge w:val="continue"/>
            <w:vAlign w:val="center"/>
          </w:tcPr>
          <w:p w14:paraId="71B66A1C">
            <w:pPr>
              <w:jc w:val="center"/>
              <w:rPr>
                <w:rFonts w:ascii="Times New Roman" w:eastAsia="仿宋"/>
                <w:szCs w:val="21"/>
              </w:rPr>
            </w:pPr>
          </w:p>
        </w:tc>
        <w:tc>
          <w:tcPr>
            <w:tcW w:w="1701" w:type="dxa"/>
            <w:vAlign w:val="center"/>
          </w:tcPr>
          <w:p w14:paraId="7C0A5BFC">
            <w:pPr>
              <w:spacing w:line="320" w:lineRule="exact"/>
              <w:jc w:val="center"/>
              <w:rPr>
                <w:rFonts w:ascii="Times New Roman" w:eastAsia="仿宋"/>
                <w:szCs w:val="21"/>
              </w:rPr>
            </w:pPr>
            <w:r>
              <w:rPr>
                <w:rFonts w:hint="eastAsia" w:ascii="Times New Roman" w:eastAsia="仿宋"/>
                <w:szCs w:val="21"/>
              </w:rPr>
              <w:t>苯系物</w:t>
            </w:r>
          </w:p>
        </w:tc>
        <w:tc>
          <w:tcPr>
            <w:tcW w:w="1701" w:type="dxa"/>
            <w:vAlign w:val="center"/>
          </w:tcPr>
          <w:p w14:paraId="298092FD">
            <w:pPr>
              <w:widowControl/>
              <w:jc w:val="center"/>
              <w:rPr>
                <w:rFonts w:ascii="Times New Roman" w:eastAsia="仿宋"/>
                <w:szCs w:val="24"/>
              </w:rPr>
            </w:pPr>
            <w:r>
              <w:rPr>
                <w:rFonts w:hint="eastAsia" w:ascii="Times New Roman" w:eastAsia="仿宋"/>
                <w:szCs w:val="24"/>
              </w:rPr>
              <w:t>1</w:t>
            </w:r>
            <w:r>
              <w:rPr>
                <w:rFonts w:ascii="Times New Roman" w:eastAsia="仿宋"/>
                <w:szCs w:val="24"/>
              </w:rPr>
              <w:t>.</w:t>
            </w:r>
            <w:r>
              <w:rPr>
                <w:rFonts w:hint="eastAsia" w:ascii="Times New Roman" w:eastAsia="仿宋"/>
                <w:szCs w:val="24"/>
              </w:rPr>
              <w:t>1</w:t>
            </w:r>
            <w:r>
              <w:rPr>
                <w:rFonts w:ascii="Times New Roman" w:eastAsia="仿宋"/>
                <w:szCs w:val="24"/>
              </w:rPr>
              <w:t>5</w:t>
            </w:r>
          </w:p>
        </w:tc>
        <w:tc>
          <w:tcPr>
            <w:tcW w:w="1712" w:type="dxa"/>
            <w:vAlign w:val="center"/>
          </w:tcPr>
          <w:p w14:paraId="5F40050A">
            <w:pPr>
              <w:widowControl/>
              <w:jc w:val="center"/>
              <w:rPr>
                <w:rFonts w:ascii="Times New Roman" w:eastAsia="仿宋"/>
                <w:szCs w:val="24"/>
              </w:rPr>
            </w:pPr>
            <w:r>
              <w:rPr>
                <w:rFonts w:hint="eastAsia" w:ascii="Times New Roman" w:eastAsia="仿宋"/>
                <w:szCs w:val="24"/>
              </w:rPr>
              <w:t>0</w:t>
            </w:r>
            <w:r>
              <w:rPr>
                <w:rFonts w:ascii="Times New Roman" w:eastAsia="仿宋"/>
                <w:szCs w:val="24"/>
              </w:rPr>
              <w:t>.03</w:t>
            </w:r>
          </w:p>
        </w:tc>
        <w:tc>
          <w:tcPr>
            <w:tcW w:w="1150" w:type="dxa"/>
            <w:vAlign w:val="center"/>
          </w:tcPr>
          <w:p w14:paraId="712FB65C">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w:t>
            </w:r>
          </w:p>
        </w:tc>
      </w:tr>
      <w:tr w14:paraId="1F3F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73083D70">
            <w:pPr>
              <w:tabs>
                <w:tab w:val="left" w:pos="247"/>
                <w:tab w:val="center" w:pos="434"/>
              </w:tabs>
              <w:jc w:val="left"/>
              <w:rPr>
                <w:rFonts w:ascii="Times New Roman" w:eastAsia="仿宋"/>
                <w:szCs w:val="21"/>
              </w:rPr>
            </w:pPr>
          </w:p>
        </w:tc>
        <w:tc>
          <w:tcPr>
            <w:tcW w:w="1276" w:type="dxa"/>
            <w:vMerge w:val="continue"/>
            <w:vAlign w:val="center"/>
          </w:tcPr>
          <w:p w14:paraId="1ACCF5F2">
            <w:pPr>
              <w:jc w:val="center"/>
              <w:rPr>
                <w:rFonts w:ascii="Times New Roman" w:eastAsia="仿宋"/>
                <w:szCs w:val="21"/>
              </w:rPr>
            </w:pPr>
          </w:p>
        </w:tc>
        <w:tc>
          <w:tcPr>
            <w:tcW w:w="1701" w:type="dxa"/>
            <w:vAlign w:val="center"/>
          </w:tcPr>
          <w:p w14:paraId="1C5F2915">
            <w:pPr>
              <w:spacing w:line="320" w:lineRule="exact"/>
              <w:jc w:val="center"/>
              <w:rPr>
                <w:rFonts w:ascii="Times New Roman" w:eastAsia="仿宋"/>
                <w:szCs w:val="21"/>
              </w:rPr>
            </w:pPr>
            <w:r>
              <w:rPr>
                <w:rFonts w:hint="eastAsia" w:ascii="Times New Roman" w:eastAsia="仿宋"/>
                <w:szCs w:val="21"/>
              </w:rPr>
              <w:t>颗粒物</w:t>
            </w:r>
          </w:p>
        </w:tc>
        <w:tc>
          <w:tcPr>
            <w:tcW w:w="1701" w:type="dxa"/>
            <w:vAlign w:val="center"/>
          </w:tcPr>
          <w:p w14:paraId="4130322B">
            <w:pPr>
              <w:widowControl/>
              <w:jc w:val="center"/>
              <w:rPr>
                <w:rFonts w:ascii="Times New Roman" w:eastAsia="仿宋"/>
                <w:szCs w:val="24"/>
              </w:rPr>
            </w:pPr>
            <w:r>
              <w:rPr>
                <w:rFonts w:hint="eastAsia" w:ascii="Times New Roman" w:eastAsia="仿宋"/>
                <w:szCs w:val="24"/>
              </w:rPr>
              <w:t>1</w:t>
            </w:r>
            <w:r>
              <w:rPr>
                <w:rFonts w:ascii="Times New Roman" w:eastAsia="仿宋"/>
                <w:szCs w:val="24"/>
              </w:rPr>
              <w:t>.54</w:t>
            </w:r>
          </w:p>
        </w:tc>
        <w:tc>
          <w:tcPr>
            <w:tcW w:w="1712" w:type="dxa"/>
            <w:vAlign w:val="center"/>
          </w:tcPr>
          <w:p w14:paraId="39BDD386">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1150" w:type="dxa"/>
            <w:vAlign w:val="center"/>
          </w:tcPr>
          <w:p w14:paraId="157A1F61">
            <w:pPr>
              <w:widowControl/>
              <w:jc w:val="center"/>
              <w:rPr>
                <w:rFonts w:ascii="Times New Roman" w:eastAsia="仿宋"/>
                <w:szCs w:val="24"/>
              </w:rPr>
            </w:pPr>
            <w:r>
              <w:rPr>
                <w:rFonts w:hint="eastAsia" w:ascii="Times New Roman" w:eastAsia="仿宋"/>
                <w:szCs w:val="24"/>
              </w:rPr>
              <w:t>0</w:t>
            </w:r>
            <w:r>
              <w:rPr>
                <w:rFonts w:ascii="Times New Roman" w:eastAsia="仿宋"/>
                <w:szCs w:val="24"/>
              </w:rPr>
              <w:t>.213</w:t>
            </w:r>
          </w:p>
        </w:tc>
      </w:tr>
      <w:tr w14:paraId="695C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001FB3B6">
            <w:pPr>
              <w:tabs>
                <w:tab w:val="left" w:pos="247"/>
                <w:tab w:val="center" w:pos="434"/>
              </w:tabs>
              <w:jc w:val="left"/>
              <w:rPr>
                <w:rFonts w:ascii="Times New Roman" w:eastAsia="仿宋"/>
                <w:szCs w:val="21"/>
              </w:rPr>
            </w:pPr>
          </w:p>
        </w:tc>
        <w:tc>
          <w:tcPr>
            <w:tcW w:w="1276" w:type="dxa"/>
            <w:vMerge w:val="continue"/>
            <w:vAlign w:val="center"/>
          </w:tcPr>
          <w:p w14:paraId="07DD2DFC">
            <w:pPr>
              <w:jc w:val="center"/>
              <w:rPr>
                <w:rFonts w:ascii="Times New Roman" w:eastAsia="仿宋"/>
                <w:szCs w:val="21"/>
              </w:rPr>
            </w:pPr>
          </w:p>
        </w:tc>
        <w:tc>
          <w:tcPr>
            <w:tcW w:w="1701" w:type="dxa"/>
            <w:vAlign w:val="center"/>
          </w:tcPr>
          <w:p w14:paraId="5C5E7FC8">
            <w:pPr>
              <w:spacing w:line="320" w:lineRule="exact"/>
              <w:jc w:val="center"/>
              <w:rPr>
                <w:rFonts w:ascii="Times New Roman" w:eastAsia="仿宋"/>
                <w:szCs w:val="21"/>
              </w:rPr>
            </w:pPr>
            <w:r>
              <w:rPr>
                <w:rFonts w:hint="eastAsia" w:ascii="Times New Roman" w:eastAsia="仿宋"/>
                <w:szCs w:val="21"/>
              </w:rPr>
              <w:t>二氧化硫</w:t>
            </w:r>
          </w:p>
        </w:tc>
        <w:tc>
          <w:tcPr>
            <w:tcW w:w="1701" w:type="dxa"/>
            <w:vAlign w:val="center"/>
          </w:tcPr>
          <w:p w14:paraId="3CD31E64">
            <w:pPr>
              <w:widowControl/>
              <w:jc w:val="center"/>
              <w:textAlignment w:val="center"/>
              <w:rPr>
                <w:rFonts w:ascii="Times New Roman" w:eastAsia="仿宋"/>
                <w:szCs w:val="24"/>
              </w:rPr>
            </w:pPr>
            <w:r>
              <w:rPr>
                <w:rFonts w:hint="eastAsia" w:ascii="Times New Roman" w:eastAsia="仿宋"/>
                <w:szCs w:val="24"/>
              </w:rPr>
              <w:t>0.04</w:t>
            </w:r>
          </w:p>
        </w:tc>
        <w:tc>
          <w:tcPr>
            <w:tcW w:w="1712" w:type="dxa"/>
            <w:vAlign w:val="center"/>
          </w:tcPr>
          <w:p w14:paraId="7BC4791E">
            <w:pPr>
              <w:widowControl/>
              <w:jc w:val="center"/>
              <w:textAlignment w:val="center"/>
              <w:rPr>
                <w:rFonts w:ascii="Times New Roman" w:eastAsia="仿宋"/>
                <w:szCs w:val="24"/>
              </w:rPr>
            </w:pPr>
            <w:r>
              <w:rPr>
                <w:rFonts w:hint="eastAsia" w:ascii="Times New Roman" w:eastAsia="仿宋"/>
                <w:szCs w:val="24"/>
              </w:rPr>
              <w:t>0.001</w:t>
            </w:r>
          </w:p>
        </w:tc>
        <w:tc>
          <w:tcPr>
            <w:tcW w:w="1150" w:type="dxa"/>
            <w:vAlign w:val="center"/>
          </w:tcPr>
          <w:p w14:paraId="1C2B6332">
            <w:pPr>
              <w:widowControl/>
              <w:jc w:val="center"/>
              <w:textAlignment w:val="center"/>
              <w:rPr>
                <w:rFonts w:ascii="Times New Roman" w:eastAsia="仿宋"/>
                <w:szCs w:val="24"/>
              </w:rPr>
            </w:pPr>
            <w:r>
              <w:rPr>
                <w:rFonts w:hint="eastAsia" w:ascii="Times New Roman" w:eastAsia="仿宋"/>
                <w:szCs w:val="24"/>
              </w:rPr>
              <w:t>0.005</w:t>
            </w:r>
          </w:p>
        </w:tc>
      </w:tr>
      <w:tr w14:paraId="2199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71559973">
            <w:pPr>
              <w:jc w:val="center"/>
              <w:rPr>
                <w:rFonts w:ascii="Times New Roman" w:eastAsia="仿宋"/>
                <w:szCs w:val="21"/>
              </w:rPr>
            </w:pPr>
          </w:p>
        </w:tc>
        <w:tc>
          <w:tcPr>
            <w:tcW w:w="1276" w:type="dxa"/>
            <w:vMerge w:val="continue"/>
            <w:vAlign w:val="center"/>
          </w:tcPr>
          <w:p w14:paraId="0F5CA147">
            <w:pPr>
              <w:jc w:val="center"/>
              <w:rPr>
                <w:rFonts w:ascii="Times New Roman" w:eastAsia="仿宋"/>
                <w:szCs w:val="21"/>
              </w:rPr>
            </w:pPr>
          </w:p>
        </w:tc>
        <w:tc>
          <w:tcPr>
            <w:tcW w:w="1701" w:type="dxa"/>
            <w:vAlign w:val="center"/>
          </w:tcPr>
          <w:p w14:paraId="62D2386A">
            <w:pPr>
              <w:spacing w:line="320" w:lineRule="exact"/>
              <w:jc w:val="center"/>
              <w:rPr>
                <w:rFonts w:ascii="Times New Roman" w:eastAsia="仿宋"/>
                <w:szCs w:val="21"/>
              </w:rPr>
            </w:pPr>
            <w:r>
              <w:rPr>
                <w:rFonts w:hint="eastAsia" w:ascii="Times New Roman" w:eastAsia="仿宋"/>
                <w:szCs w:val="21"/>
              </w:rPr>
              <w:t>氮氧化物</w:t>
            </w:r>
          </w:p>
        </w:tc>
        <w:tc>
          <w:tcPr>
            <w:tcW w:w="1701" w:type="dxa"/>
            <w:vAlign w:val="center"/>
          </w:tcPr>
          <w:p w14:paraId="4FAFD820">
            <w:pPr>
              <w:widowControl/>
              <w:jc w:val="center"/>
              <w:textAlignment w:val="center"/>
              <w:rPr>
                <w:rFonts w:ascii="Times New Roman" w:eastAsia="仿宋"/>
                <w:szCs w:val="24"/>
              </w:rPr>
            </w:pPr>
            <w:r>
              <w:rPr>
                <w:rFonts w:ascii="Times New Roman" w:eastAsia="仿宋"/>
                <w:szCs w:val="24"/>
              </w:rPr>
              <w:t>1.76</w:t>
            </w:r>
          </w:p>
        </w:tc>
        <w:tc>
          <w:tcPr>
            <w:tcW w:w="1712" w:type="dxa"/>
            <w:vAlign w:val="center"/>
          </w:tcPr>
          <w:p w14:paraId="128CAEF8">
            <w:pPr>
              <w:widowControl/>
              <w:jc w:val="center"/>
              <w:textAlignment w:val="center"/>
              <w:rPr>
                <w:rFonts w:ascii="Times New Roman" w:eastAsia="仿宋"/>
                <w:szCs w:val="24"/>
              </w:rPr>
            </w:pPr>
            <w:r>
              <w:rPr>
                <w:rFonts w:hint="eastAsia" w:ascii="Times New Roman" w:eastAsia="仿宋"/>
                <w:szCs w:val="24"/>
              </w:rPr>
              <w:t>0.0</w:t>
            </w:r>
            <w:r>
              <w:rPr>
                <w:rFonts w:ascii="Times New Roman" w:eastAsia="仿宋"/>
                <w:szCs w:val="24"/>
              </w:rPr>
              <w:t>46</w:t>
            </w:r>
          </w:p>
        </w:tc>
        <w:tc>
          <w:tcPr>
            <w:tcW w:w="1150" w:type="dxa"/>
            <w:vAlign w:val="center"/>
          </w:tcPr>
          <w:p w14:paraId="116A7C33">
            <w:pPr>
              <w:widowControl/>
              <w:jc w:val="center"/>
              <w:textAlignment w:val="center"/>
              <w:rPr>
                <w:rFonts w:ascii="Times New Roman" w:eastAsia="仿宋"/>
                <w:szCs w:val="24"/>
              </w:rPr>
            </w:pPr>
            <w:r>
              <w:rPr>
                <w:rFonts w:hint="eastAsia" w:ascii="Times New Roman" w:eastAsia="仿宋"/>
                <w:szCs w:val="24"/>
              </w:rPr>
              <w:t>0.</w:t>
            </w:r>
            <w:r>
              <w:rPr>
                <w:rFonts w:ascii="Times New Roman" w:eastAsia="仿宋"/>
                <w:szCs w:val="24"/>
              </w:rPr>
              <w:t>224</w:t>
            </w:r>
          </w:p>
        </w:tc>
      </w:tr>
      <w:tr w14:paraId="762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14:paraId="6C13F1C4">
            <w:pPr>
              <w:jc w:val="center"/>
              <w:rPr>
                <w:rFonts w:ascii="Times New Roman" w:eastAsia="仿宋"/>
                <w:szCs w:val="21"/>
              </w:rPr>
            </w:pPr>
            <w:r>
              <w:rPr>
                <w:rFonts w:hint="eastAsia" w:ascii="Times New Roman" w:eastAsia="仿宋"/>
                <w:szCs w:val="21"/>
              </w:rPr>
              <w:t>3</w:t>
            </w:r>
          </w:p>
        </w:tc>
        <w:tc>
          <w:tcPr>
            <w:tcW w:w="1276" w:type="dxa"/>
            <w:vMerge w:val="restart"/>
            <w:vAlign w:val="center"/>
          </w:tcPr>
          <w:p w14:paraId="19527DE3">
            <w:pPr>
              <w:jc w:val="center"/>
              <w:rPr>
                <w:rFonts w:ascii="Times New Roman" w:eastAsia="仿宋"/>
                <w:szCs w:val="21"/>
              </w:rPr>
            </w:pPr>
            <w:r>
              <w:rPr>
                <w:rFonts w:hint="eastAsia" w:ascii="Times New Roman" w:eastAsia="仿宋"/>
                <w:szCs w:val="21"/>
              </w:rPr>
              <w:t>3</w:t>
            </w:r>
            <w:r>
              <w:rPr>
                <w:rFonts w:ascii="Times New Roman" w:eastAsia="仿宋"/>
                <w:szCs w:val="21"/>
              </w:rPr>
              <w:t>#</w:t>
            </w:r>
          </w:p>
        </w:tc>
        <w:tc>
          <w:tcPr>
            <w:tcW w:w="1701" w:type="dxa"/>
            <w:vAlign w:val="center"/>
          </w:tcPr>
          <w:p w14:paraId="4494AE06">
            <w:pPr>
              <w:jc w:val="center"/>
              <w:rPr>
                <w:rFonts w:ascii="Times New Roman" w:eastAsia="仿宋"/>
                <w:szCs w:val="21"/>
              </w:rPr>
            </w:pPr>
            <w:r>
              <w:rPr>
                <w:rFonts w:hint="eastAsia" w:ascii="Times New Roman" w:eastAsia="仿宋"/>
                <w:szCs w:val="21"/>
              </w:rPr>
              <w:t>非甲烷总烃</w:t>
            </w:r>
          </w:p>
        </w:tc>
        <w:tc>
          <w:tcPr>
            <w:tcW w:w="1701" w:type="dxa"/>
            <w:vAlign w:val="center"/>
          </w:tcPr>
          <w:p w14:paraId="135352BE">
            <w:pPr>
              <w:widowControl/>
              <w:jc w:val="center"/>
              <w:rPr>
                <w:rFonts w:ascii="Times New Roman" w:eastAsia="仿宋"/>
                <w:szCs w:val="24"/>
              </w:rPr>
            </w:pPr>
            <w:r>
              <w:rPr>
                <w:rFonts w:hint="eastAsia" w:ascii="Times New Roman" w:eastAsia="仿宋"/>
                <w:szCs w:val="24"/>
              </w:rPr>
              <w:t>6</w:t>
            </w:r>
            <w:r>
              <w:rPr>
                <w:rFonts w:ascii="Times New Roman" w:eastAsia="仿宋"/>
                <w:szCs w:val="24"/>
              </w:rPr>
              <w:t>.43</w:t>
            </w:r>
          </w:p>
        </w:tc>
        <w:tc>
          <w:tcPr>
            <w:tcW w:w="1712" w:type="dxa"/>
            <w:vAlign w:val="center"/>
          </w:tcPr>
          <w:p w14:paraId="03967B8C">
            <w:pPr>
              <w:widowControl/>
              <w:jc w:val="center"/>
              <w:rPr>
                <w:rFonts w:ascii="Times New Roman" w:eastAsia="仿宋"/>
                <w:szCs w:val="24"/>
              </w:rPr>
            </w:pPr>
            <w:r>
              <w:rPr>
                <w:rFonts w:ascii="Times New Roman" w:eastAsia="仿宋"/>
                <w:szCs w:val="24"/>
              </w:rPr>
              <w:t>0.18</w:t>
            </w:r>
          </w:p>
        </w:tc>
        <w:tc>
          <w:tcPr>
            <w:tcW w:w="1150" w:type="dxa"/>
            <w:vAlign w:val="center"/>
          </w:tcPr>
          <w:p w14:paraId="08D46DB5">
            <w:pPr>
              <w:widowControl/>
              <w:jc w:val="center"/>
              <w:rPr>
                <w:rFonts w:ascii="Times New Roman" w:eastAsia="仿宋"/>
                <w:szCs w:val="24"/>
              </w:rPr>
            </w:pPr>
            <w:r>
              <w:rPr>
                <w:rFonts w:hint="eastAsia" w:ascii="Times New Roman" w:eastAsia="仿宋"/>
                <w:szCs w:val="24"/>
              </w:rPr>
              <w:t>0</w:t>
            </w:r>
            <w:r>
              <w:rPr>
                <w:rFonts w:ascii="Times New Roman" w:eastAsia="仿宋"/>
                <w:szCs w:val="24"/>
              </w:rPr>
              <w:t>.84</w:t>
            </w:r>
          </w:p>
        </w:tc>
      </w:tr>
      <w:tr w14:paraId="537F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3CB6BD64">
            <w:pPr>
              <w:jc w:val="center"/>
              <w:rPr>
                <w:rFonts w:ascii="Times New Roman" w:eastAsia="仿宋"/>
                <w:szCs w:val="21"/>
              </w:rPr>
            </w:pPr>
          </w:p>
        </w:tc>
        <w:tc>
          <w:tcPr>
            <w:tcW w:w="1276" w:type="dxa"/>
            <w:vMerge w:val="continue"/>
            <w:vAlign w:val="center"/>
          </w:tcPr>
          <w:p w14:paraId="1DA32B66">
            <w:pPr>
              <w:jc w:val="center"/>
              <w:rPr>
                <w:rFonts w:ascii="Times New Roman" w:eastAsia="仿宋"/>
                <w:szCs w:val="21"/>
              </w:rPr>
            </w:pPr>
          </w:p>
        </w:tc>
        <w:tc>
          <w:tcPr>
            <w:tcW w:w="1701" w:type="dxa"/>
            <w:vAlign w:val="center"/>
          </w:tcPr>
          <w:p w14:paraId="62E64CA1">
            <w:pPr>
              <w:jc w:val="center"/>
              <w:rPr>
                <w:rFonts w:ascii="Times New Roman" w:eastAsia="仿宋"/>
                <w:szCs w:val="21"/>
              </w:rPr>
            </w:pPr>
            <w:r>
              <w:rPr>
                <w:rFonts w:hint="eastAsia" w:ascii="Times New Roman" w:eastAsia="仿宋"/>
                <w:szCs w:val="21"/>
              </w:rPr>
              <w:t>TVOC</w:t>
            </w:r>
          </w:p>
        </w:tc>
        <w:tc>
          <w:tcPr>
            <w:tcW w:w="1701" w:type="dxa"/>
            <w:vAlign w:val="center"/>
          </w:tcPr>
          <w:p w14:paraId="2C3FD8A6">
            <w:pPr>
              <w:widowControl/>
              <w:jc w:val="center"/>
              <w:rPr>
                <w:rFonts w:ascii="Times New Roman" w:eastAsia="仿宋"/>
                <w:szCs w:val="24"/>
              </w:rPr>
            </w:pPr>
            <w:r>
              <w:rPr>
                <w:rFonts w:hint="eastAsia" w:ascii="Times New Roman" w:eastAsia="仿宋"/>
                <w:szCs w:val="24"/>
              </w:rPr>
              <w:t>6</w:t>
            </w:r>
            <w:r>
              <w:rPr>
                <w:rFonts w:ascii="Times New Roman" w:eastAsia="仿宋"/>
                <w:szCs w:val="24"/>
              </w:rPr>
              <w:t>.43</w:t>
            </w:r>
          </w:p>
        </w:tc>
        <w:tc>
          <w:tcPr>
            <w:tcW w:w="1712" w:type="dxa"/>
            <w:vAlign w:val="center"/>
          </w:tcPr>
          <w:p w14:paraId="7F68A5CC">
            <w:pPr>
              <w:widowControl/>
              <w:jc w:val="center"/>
              <w:rPr>
                <w:rFonts w:ascii="Times New Roman" w:eastAsia="仿宋"/>
                <w:szCs w:val="24"/>
              </w:rPr>
            </w:pPr>
            <w:r>
              <w:rPr>
                <w:rFonts w:ascii="Times New Roman" w:eastAsia="仿宋"/>
                <w:szCs w:val="24"/>
              </w:rPr>
              <w:t>0.18</w:t>
            </w:r>
          </w:p>
        </w:tc>
        <w:tc>
          <w:tcPr>
            <w:tcW w:w="1150" w:type="dxa"/>
            <w:vAlign w:val="center"/>
          </w:tcPr>
          <w:p w14:paraId="2D199EC8">
            <w:pPr>
              <w:widowControl/>
              <w:jc w:val="center"/>
              <w:rPr>
                <w:rFonts w:ascii="Times New Roman" w:eastAsia="仿宋"/>
                <w:szCs w:val="24"/>
              </w:rPr>
            </w:pPr>
            <w:r>
              <w:rPr>
                <w:rFonts w:hint="eastAsia" w:ascii="Times New Roman" w:eastAsia="仿宋"/>
                <w:szCs w:val="24"/>
              </w:rPr>
              <w:t>0</w:t>
            </w:r>
            <w:r>
              <w:rPr>
                <w:rFonts w:ascii="Times New Roman" w:eastAsia="仿宋"/>
                <w:szCs w:val="24"/>
              </w:rPr>
              <w:t>.84</w:t>
            </w:r>
          </w:p>
        </w:tc>
      </w:tr>
      <w:tr w14:paraId="084C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0FA38642">
            <w:pPr>
              <w:jc w:val="center"/>
              <w:rPr>
                <w:rFonts w:ascii="Times New Roman" w:eastAsia="仿宋"/>
                <w:szCs w:val="21"/>
              </w:rPr>
            </w:pPr>
          </w:p>
        </w:tc>
        <w:tc>
          <w:tcPr>
            <w:tcW w:w="1276" w:type="dxa"/>
            <w:vMerge w:val="continue"/>
            <w:vAlign w:val="center"/>
          </w:tcPr>
          <w:p w14:paraId="0E7CB8A3">
            <w:pPr>
              <w:jc w:val="center"/>
              <w:rPr>
                <w:rFonts w:ascii="Times New Roman" w:eastAsia="仿宋"/>
                <w:szCs w:val="21"/>
              </w:rPr>
            </w:pPr>
          </w:p>
        </w:tc>
        <w:tc>
          <w:tcPr>
            <w:tcW w:w="1701" w:type="dxa"/>
            <w:vAlign w:val="center"/>
          </w:tcPr>
          <w:p w14:paraId="2126061C">
            <w:pPr>
              <w:jc w:val="center"/>
              <w:rPr>
                <w:rFonts w:ascii="Times New Roman" w:eastAsia="仿宋"/>
                <w:szCs w:val="21"/>
              </w:rPr>
            </w:pPr>
            <w:r>
              <w:rPr>
                <w:rFonts w:hint="eastAsia" w:ascii="Times New Roman" w:eastAsia="仿宋"/>
                <w:szCs w:val="21"/>
              </w:rPr>
              <w:t>二甲苯</w:t>
            </w:r>
          </w:p>
        </w:tc>
        <w:tc>
          <w:tcPr>
            <w:tcW w:w="1701" w:type="dxa"/>
            <w:vAlign w:val="center"/>
          </w:tcPr>
          <w:p w14:paraId="15D8F8BA">
            <w:pPr>
              <w:widowControl/>
              <w:jc w:val="center"/>
              <w:rPr>
                <w:rFonts w:ascii="Times New Roman" w:eastAsia="仿宋"/>
                <w:szCs w:val="24"/>
              </w:rPr>
            </w:pPr>
            <w:r>
              <w:rPr>
                <w:rFonts w:hint="eastAsia" w:ascii="Times New Roman" w:eastAsia="仿宋"/>
                <w:szCs w:val="24"/>
              </w:rPr>
              <w:t>1</w:t>
            </w:r>
            <w:r>
              <w:rPr>
                <w:rFonts w:ascii="Times New Roman" w:eastAsia="仿宋"/>
                <w:szCs w:val="24"/>
              </w:rPr>
              <w:t>.43</w:t>
            </w:r>
          </w:p>
        </w:tc>
        <w:tc>
          <w:tcPr>
            <w:tcW w:w="1712" w:type="dxa"/>
            <w:vAlign w:val="center"/>
          </w:tcPr>
          <w:p w14:paraId="4568E55E">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1150" w:type="dxa"/>
            <w:vAlign w:val="center"/>
          </w:tcPr>
          <w:p w14:paraId="68142C12">
            <w:pPr>
              <w:widowControl/>
              <w:jc w:val="center"/>
              <w:rPr>
                <w:rFonts w:ascii="Times New Roman" w:eastAsia="仿宋"/>
                <w:szCs w:val="24"/>
              </w:rPr>
            </w:pPr>
            <w:r>
              <w:rPr>
                <w:rFonts w:hint="eastAsia" w:ascii="Times New Roman" w:eastAsia="仿宋"/>
                <w:szCs w:val="24"/>
              </w:rPr>
              <w:t>0</w:t>
            </w:r>
            <w:r>
              <w:rPr>
                <w:rFonts w:ascii="Times New Roman" w:eastAsia="仿宋"/>
                <w:szCs w:val="24"/>
              </w:rPr>
              <w:t>.19</w:t>
            </w:r>
          </w:p>
        </w:tc>
      </w:tr>
      <w:tr w14:paraId="4189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4FE87743">
            <w:pPr>
              <w:jc w:val="center"/>
              <w:rPr>
                <w:rFonts w:ascii="Times New Roman" w:eastAsia="仿宋"/>
                <w:szCs w:val="21"/>
              </w:rPr>
            </w:pPr>
          </w:p>
        </w:tc>
        <w:tc>
          <w:tcPr>
            <w:tcW w:w="1276" w:type="dxa"/>
            <w:vMerge w:val="continue"/>
            <w:vAlign w:val="center"/>
          </w:tcPr>
          <w:p w14:paraId="16C9D616">
            <w:pPr>
              <w:jc w:val="center"/>
              <w:rPr>
                <w:rFonts w:ascii="Times New Roman" w:eastAsia="仿宋"/>
                <w:szCs w:val="21"/>
              </w:rPr>
            </w:pPr>
          </w:p>
        </w:tc>
        <w:tc>
          <w:tcPr>
            <w:tcW w:w="1701" w:type="dxa"/>
            <w:vAlign w:val="center"/>
          </w:tcPr>
          <w:p w14:paraId="293EC6E9">
            <w:pPr>
              <w:jc w:val="center"/>
              <w:rPr>
                <w:rFonts w:ascii="Times New Roman" w:eastAsia="仿宋"/>
                <w:szCs w:val="21"/>
              </w:rPr>
            </w:pPr>
            <w:r>
              <w:rPr>
                <w:rFonts w:hint="eastAsia" w:ascii="Times New Roman" w:eastAsia="仿宋"/>
                <w:szCs w:val="21"/>
              </w:rPr>
              <w:t>苯系物</w:t>
            </w:r>
          </w:p>
        </w:tc>
        <w:tc>
          <w:tcPr>
            <w:tcW w:w="1701" w:type="dxa"/>
            <w:vAlign w:val="center"/>
          </w:tcPr>
          <w:p w14:paraId="54235220">
            <w:pPr>
              <w:widowControl/>
              <w:jc w:val="center"/>
              <w:rPr>
                <w:rFonts w:ascii="Times New Roman" w:eastAsia="仿宋"/>
                <w:szCs w:val="24"/>
              </w:rPr>
            </w:pPr>
            <w:r>
              <w:rPr>
                <w:rFonts w:hint="eastAsia" w:ascii="Times New Roman" w:eastAsia="仿宋"/>
                <w:szCs w:val="24"/>
              </w:rPr>
              <w:t>1</w:t>
            </w:r>
            <w:r>
              <w:rPr>
                <w:rFonts w:ascii="Times New Roman" w:eastAsia="仿宋"/>
                <w:szCs w:val="24"/>
              </w:rPr>
              <w:t>.43</w:t>
            </w:r>
          </w:p>
        </w:tc>
        <w:tc>
          <w:tcPr>
            <w:tcW w:w="1712" w:type="dxa"/>
            <w:vAlign w:val="center"/>
          </w:tcPr>
          <w:p w14:paraId="582FC46C">
            <w:pPr>
              <w:widowControl/>
              <w:jc w:val="center"/>
              <w:rPr>
                <w:rFonts w:ascii="Times New Roman" w:eastAsia="仿宋"/>
                <w:szCs w:val="24"/>
              </w:rPr>
            </w:pPr>
            <w:r>
              <w:rPr>
                <w:rFonts w:hint="eastAsia" w:ascii="Times New Roman" w:eastAsia="仿宋"/>
                <w:szCs w:val="24"/>
              </w:rPr>
              <w:t>0</w:t>
            </w:r>
            <w:r>
              <w:rPr>
                <w:rFonts w:ascii="Times New Roman" w:eastAsia="仿宋"/>
                <w:szCs w:val="24"/>
              </w:rPr>
              <w:t>.04</w:t>
            </w:r>
          </w:p>
        </w:tc>
        <w:tc>
          <w:tcPr>
            <w:tcW w:w="1150" w:type="dxa"/>
            <w:vAlign w:val="center"/>
          </w:tcPr>
          <w:p w14:paraId="3F5FEBF9">
            <w:pPr>
              <w:widowControl/>
              <w:jc w:val="center"/>
              <w:rPr>
                <w:rFonts w:ascii="Times New Roman" w:eastAsia="仿宋"/>
                <w:szCs w:val="24"/>
              </w:rPr>
            </w:pPr>
            <w:r>
              <w:rPr>
                <w:rFonts w:hint="eastAsia" w:ascii="Times New Roman" w:eastAsia="仿宋"/>
                <w:szCs w:val="24"/>
              </w:rPr>
              <w:t>0</w:t>
            </w:r>
            <w:r>
              <w:rPr>
                <w:rFonts w:ascii="Times New Roman" w:eastAsia="仿宋"/>
                <w:szCs w:val="24"/>
              </w:rPr>
              <w:t>.19</w:t>
            </w:r>
          </w:p>
        </w:tc>
      </w:tr>
      <w:tr w14:paraId="7BDF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652635F4">
            <w:pPr>
              <w:jc w:val="center"/>
              <w:rPr>
                <w:rFonts w:ascii="Times New Roman" w:eastAsia="仿宋"/>
                <w:szCs w:val="21"/>
              </w:rPr>
            </w:pPr>
          </w:p>
        </w:tc>
        <w:tc>
          <w:tcPr>
            <w:tcW w:w="1276" w:type="dxa"/>
            <w:vMerge w:val="continue"/>
            <w:vAlign w:val="center"/>
          </w:tcPr>
          <w:p w14:paraId="4B68B641">
            <w:pPr>
              <w:jc w:val="center"/>
              <w:rPr>
                <w:rFonts w:ascii="Times New Roman" w:eastAsia="仿宋"/>
                <w:szCs w:val="21"/>
              </w:rPr>
            </w:pPr>
          </w:p>
        </w:tc>
        <w:tc>
          <w:tcPr>
            <w:tcW w:w="1701" w:type="dxa"/>
            <w:vAlign w:val="center"/>
          </w:tcPr>
          <w:p w14:paraId="30BCC3E0">
            <w:pPr>
              <w:jc w:val="center"/>
              <w:rPr>
                <w:rFonts w:ascii="Times New Roman" w:eastAsia="仿宋"/>
                <w:szCs w:val="21"/>
              </w:rPr>
            </w:pPr>
            <w:r>
              <w:rPr>
                <w:rFonts w:hint="eastAsia" w:ascii="Times New Roman" w:eastAsia="仿宋"/>
                <w:szCs w:val="21"/>
              </w:rPr>
              <w:t>颗粒物</w:t>
            </w:r>
          </w:p>
        </w:tc>
        <w:tc>
          <w:tcPr>
            <w:tcW w:w="1701" w:type="dxa"/>
            <w:vAlign w:val="center"/>
          </w:tcPr>
          <w:p w14:paraId="0920ADCE">
            <w:pPr>
              <w:widowControl/>
              <w:jc w:val="center"/>
              <w:rPr>
                <w:rFonts w:ascii="Times New Roman" w:eastAsia="仿宋"/>
                <w:szCs w:val="24"/>
              </w:rPr>
            </w:pPr>
            <w:r>
              <w:rPr>
                <w:rFonts w:hint="eastAsia" w:ascii="Times New Roman" w:eastAsia="仿宋"/>
                <w:szCs w:val="24"/>
              </w:rPr>
              <w:t>1</w:t>
            </w:r>
            <w:r>
              <w:rPr>
                <w:rFonts w:ascii="Times New Roman" w:eastAsia="仿宋"/>
                <w:szCs w:val="24"/>
              </w:rPr>
              <w:t>.79</w:t>
            </w:r>
          </w:p>
        </w:tc>
        <w:tc>
          <w:tcPr>
            <w:tcW w:w="1712" w:type="dxa"/>
            <w:vAlign w:val="center"/>
          </w:tcPr>
          <w:p w14:paraId="73BA7EF0">
            <w:pPr>
              <w:widowControl/>
              <w:jc w:val="center"/>
              <w:rPr>
                <w:rFonts w:ascii="Times New Roman" w:eastAsia="仿宋"/>
                <w:szCs w:val="24"/>
              </w:rPr>
            </w:pPr>
            <w:r>
              <w:rPr>
                <w:rFonts w:hint="eastAsia" w:ascii="Times New Roman" w:eastAsia="仿宋"/>
                <w:szCs w:val="24"/>
              </w:rPr>
              <w:t>0</w:t>
            </w:r>
            <w:r>
              <w:rPr>
                <w:rFonts w:ascii="Times New Roman" w:eastAsia="仿宋"/>
                <w:szCs w:val="24"/>
              </w:rPr>
              <w:t>.05</w:t>
            </w:r>
          </w:p>
        </w:tc>
        <w:tc>
          <w:tcPr>
            <w:tcW w:w="1150" w:type="dxa"/>
            <w:vAlign w:val="center"/>
          </w:tcPr>
          <w:p w14:paraId="7751B978">
            <w:pPr>
              <w:widowControl/>
              <w:jc w:val="center"/>
              <w:rPr>
                <w:rFonts w:ascii="Times New Roman" w:eastAsia="仿宋"/>
                <w:szCs w:val="24"/>
              </w:rPr>
            </w:pPr>
            <w:r>
              <w:rPr>
                <w:rFonts w:hint="eastAsia" w:ascii="Times New Roman" w:eastAsia="仿宋"/>
                <w:szCs w:val="24"/>
              </w:rPr>
              <w:t>0</w:t>
            </w:r>
            <w:r>
              <w:rPr>
                <w:rFonts w:ascii="Times New Roman" w:eastAsia="仿宋"/>
                <w:szCs w:val="24"/>
              </w:rPr>
              <w:t>.25</w:t>
            </w:r>
          </w:p>
        </w:tc>
      </w:tr>
      <w:tr w14:paraId="7151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restart"/>
            <w:vAlign w:val="center"/>
          </w:tcPr>
          <w:p w14:paraId="6220F839">
            <w:pPr>
              <w:jc w:val="center"/>
              <w:rPr>
                <w:rFonts w:ascii="Times New Roman" w:eastAsia="仿宋"/>
                <w:szCs w:val="21"/>
              </w:rPr>
            </w:pPr>
            <w:r>
              <w:rPr>
                <w:rFonts w:hint="eastAsia" w:ascii="Times New Roman" w:eastAsia="仿宋"/>
                <w:szCs w:val="21"/>
              </w:rPr>
              <w:t>4</w:t>
            </w:r>
          </w:p>
        </w:tc>
        <w:tc>
          <w:tcPr>
            <w:tcW w:w="1276" w:type="dxa"/>
            <w:vMerge w:val="restart"/>
            <w:vAlign w:val="center"/>
          </w:tcPr>
          <w:p w14:paraId="63A577FB">
            <w:pPr>
              <w:jc w:val="center"/>
              <w:rPr>
                <w:rFonts w:ascii="Times New Roman" w:eastAsia="仿宋"/>
                <w:szCs w:val="21"/>
              </w:rPr>
            </w:pPr>
            <w:r>
              <w:rPr>
                <w:rFonts w:hint="eastAsia" w:ascii="Times New Roman" w:eastAsia="仿宋"/>
                <w:szCs w:val="21"/>
              </w:rPr>
              <w:t>4</w:t>
            </w:r>
            <w:r>
              <w:rPr>
                <w:rFonts w:ascii="Times New Roman" w:eastAsia="仿宋"/>
                <w:szCs w:val="21"/>
              </w:rPr>
              <w:t>#</w:t>
            </w:r>
          </w:p>
        </w:tc>
        <w:tc>
          <w:tcPr>
            <w:tcW w:w="1701" w:type="dxa"/>
            <w:vAlign w:val="center"/>
          </w:tcPr>
          <w:p w14:paraId="596E59D1">
            <w:pPr>
              <w:jc w:val="center"/>
              <w:rPr>
                <w:rFonts w:ascii="Times New Roman" w:eastAsia="仿宋"/>
                <w:szCs w:val="21"/>
              </w:rPr>
            </w:pPr>
            <w:r>
              <w:rPr>
                <w:rFonts w:hint="eastAsia" w:ascii="Times New Roman" w:eastAsia="仿宋"/>
                <w:szCs w:val="21"/>
              </w:rPr>
              <w:t>非甲烷总烃</w:t>
            </w:r>
          </w:p>
        </w:tc>
        <w:tc>
          <w:tcPr>
            <w:tcW w:w="1701" w:type="dxa"/>
            <w:vAlign w:val="center"/>
          </w:tcPr>
          <w:p w14:paraId="6E64372D">
            <w:pPr>
              <w:widowControl/>
              <w:jc w:val="center"/>
              <w:rPr>
                <w:rFonts w:ascii="Times New Roman" w:eastAsia="仿宋"/>
                <w:szCs w:val="24"/>
              </w:rPr>
            </w:pPr>
            <w:r>
              <w:rPr>
                <w:rFonts w:hint="eastAsia" w:ascii="Times New Roman" w:eastAsia="仿宋"/>
                <w:szCs w:val="24"/>
              </w:rPr>
              <w:t>1</w:t>
            </w:r>
            <w:r>
              <w:rPr>
                <w:rFonts w:ascii="Times New Roman" w:eastAsia="仿宋"/>
                <w:szCs w:val="24"/>
              </w:rPr>
              <w:t>9.05</w:t>
            </w:r>
          </w:p>
        </w:tc>
        <w:tc>
          <w:tcPr>
            <w:tcW w:w="1712" w:type="dxa"/>
            <w:vAlign w:val="center"/>
          </w:tcPr>
          <w:p w14:paraId="6FE763AC">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1150" w:type="dxa"/>
            <w:vAlign w:val="center"/>
          </w:tcPr>
          <w:p w14:paraId="7C9DDFD6">
            <w:pPr>
              <w:widowControl/>
              <w:jc w:val="center"/>
              <w:rPr>
                <w:rFonts w:ascii="Times New Roman" w:eastAsia="仿宋"/>
                <w:szCs w:val="24"/>
              </w:rPr>
            </w:pPr>
            <w:r>
              <w:rPr>
                <w:rFonts w:hint="eastAsia" w:ascii="Times New Roman" w:eastAsia="仿宋"/>
                <w:szCs w:val="24"/>
              </w:rPr>
              <w:t>1</w:t>
            </w:r>
            <w:r>
              <w:rPr>
                <w:rFonts w:ascii="Times New Roman" w:eastAsia="仿宋"/>
                <w:szCs w:val="24"/>
              </w:rPr>
              <w:t>.92</w:t>
            </w:r>
          </w:p>
        </w:tc>
      </w:tr>
      <w:tr w14:paraId="72D8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56AE7B90">
            <w:pPr>
              <w:jc w:val="center"/>
              <w:rPr>
                <w:rFonts w:ascii="Times New Roman" w:eastAsia="仿宋"/>
                <w:szCs w:val="21"/>
              </w:rPr>
            </w:pPr>
          </w:p>
        </w:tc>
        <w:tc>
          <w:tcPr>
            <w:tcW w:w="1276" w:type="dxa"/>
            <w:vMerge w:val="continue"/>
            <w:vAlign w:val="center"/>
          </w:tcPr>
          <w:p w14:paraId="3F250C17">
            <w:pPr>
              <w:jc w:val="center"/>
              <w:rPr>
                <w:rFonts w:ascii="Times New Roman" w:eastAsia="仿宋"/>
                <w:szCs w:val="21"/>
              </w:rPr>
            </w:pPr>
          </w:p>
        </w:tc>
        <w:tc>
          <w:tcPr>
            <w:tcW w:w="1701" w:type="dxa"/>
            <w:vAlign w:val="center"/>
          </w:tcPr>
          <w:p w14:paraId="68216ABD">
            <w:pPr>
              <w:jc w:val="center"/>
              <w:rPr>
                <w:rFonts w:ascii="Times New Roman" w:eastAsia="仿宋"/>
                <w:szCs w:val="21"/>
              </w:rPr>
            </w:pPr>
            <w:r>
              <w:rPr>
                <w:rFonts w:hint="eastAsia" w:ascii="Times New Roman" w:eastAsia="仿宋"/>
                <w:szCs w:val="21"/>
              </w:rPr>
              <w:t>TVOC</w:t>
            </w:r>
          </w:p>
        </w:tc>
        <w:tc>
          <w:tcPr>
            <w:tcW w:w="1701" w:type="dxa"/>
            <w:vAlign w:val="center"/>
          </w:tcPr>
          <w:p w14:paraId="1C8CA782">
            <w:pPr>
              <w:widowControl/>
              <w:jc w:val="center"/>
              <w:rPr>
                <w:rFonts w:ascii="Times New Roman" w:eastAsia="仿宋"/>
                <w:szCs w:val="24"/>
              </w:rPr>
            </w:pPr>
            <w:r>
              <w:rPr>
                <w:rFonts w:hint="eastAsia" w:ascii="Times New Roman" w:eastAsia="仿宋"/>
                <w:szCs w:val="24"/>
              </w:rPr>
              <w:t>1</w:t>
            </w:r>
            <w:r>
              <w:rPr>
                <w:rFonts w:ascii="Times New Roman" w:eastAsia="仿宋"/>
                <w:szCs w:val="24"/>
              </w:rPr>
              <w:t>9.05</w:t>
            </w:r>
          </w:p>
        </w:tc>
        <w:tc>
          <w:tcPr>
            <w:tcW w:w="1712" w:type="dxa"/>
            <w:vAlign w:val="center"/>
          </w:tcPr>
          <w:p w14:paraId="1EBEE58A">
            <w:pPr>
              <w:widowControl/>
              <w:jc w:val="center"/>
              <w:rPr>
                <w:rFonts w:ascii="Times New Roman" w:eastAsia="仿宋"/>
                <w:szCs w:val="24"/>
              </w:rPr>
            </w:pPr>
            <w:r>
              <w:rPr>
                <w:rFonts w:hint="eastAsia" w:ascii="Times New Roman" w:eastAsia="仿宋"/>
                <w:szCs w:val="24"/>
              </w:rPr>
              <w:t>0</w:t>
            </w:r>
            <w:r>
              <w:rPr>
                <w:rFonts w:ascii="Times New Roman" w:eastAsia="仿宋"/>
                <w:szCs w:val="24"/>
              </w:rPr>
              <w:t>.4</w:t>
            </w:r>
          </w:p>
        </w:tc>
        <w:tc>
          <w:tcPr>
            <w:tcW w:w="1150" w:type="dxa"/>
            <w:vAlign w:val="center"/>
          </w:tcPr>
          <w:p w14:paraId="24627BDE">
            <w:pPr>
              <w:widowControl/>
              <w:jc w:val="center"/>
              <w:rPr>
                <w:rFonts w:ascii="Times New Roman" w:eastAsia="仿宋"/>
                <w:szCs w:val="24"/>
              </w:rPr>
            </w:pPr>
            <w:r>
              <w:rPr>
                <w:rFonts w:hint="eastAsia" w:ascii="Times New Roman" w:eastAsia="仿宋"/>
                <w:szCs w:val="24"/>
              </w:rPr>
              <w:t>1</w:t>
            </w:r>
            <w:r>
              <w:rPr>
                <w:rFonts w:ascii="Times New Roman" w:eastAsia="仿宋"/>
                <w:szCs w:val="24"/>
              </w:rPr>
              <w:t>.92</w:t>
            </w:r>
          </w:p>
        </w:tc>
      </w:tr>
      <w:tr w14:paraId="458D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7548414A">
            <w:pPr>
              <w:jc w:val="center"/>
              <w:rPr>
                <w:rFonts w:ascii="Times New Roman" w:eastAsia="仿宋"/>
                <w:szCs w:val="21"/>
              </w:rPr>
            </w:pPr>
          </w:p>
        </w:tc>
        <w:tc>
          <w:tcPr>
            <w:tcW w:w="1276" w:type="dxa"/>
            <w:vMerge w:val="continue"/>
            <w:vAlign w:val="center"/>
          </w:tcPr>
          <w:p w14:paraId="7F7360B2">
            <w:pPr>
              <w:jc w:val="center"/>
              <w:rPr>
                <w:rFonts w:ascii="Times New Roman" w:eastAsia="仿宋"/>
                <w:szCs w:val="21"/>
              </w:rPr>
            </w:pPr>
          </w:p>
        </w:tc>
        <w:tc>
          <w:tcPr>
            <w:tcW w:w="1701" w:type="dxa"/>
            <w:vAlign w:val="center"/>
          </w:tcPr>
          <w:p w14:paraId="76139E34">
            <w:pPr>
              <w:jc w:val="center"/>
              <w:rPr>
                <w:rFonts w:ascii="Times New Roman" w:eastAsia="仿宋"/>
                <w:szCs w:val="21"/>
              </w:rPr>
            </w:pPr>
            <w:r>
              <w:rPr>
                <w:rFonts w:hint="eastAsia" w:ascii="Times New Roman" w:eastAsia="仿宋"/>
                <w:szCs w:val="21"/>
              </w:rPr>
              <w:t>二甲苯</w:t>
            </w:r>
          </w:p>
        </w:tc>
        <w:tc>
          <w:tcPr>
            <w:tcW w:w="1701" w:type="dxa"/>
            <w:vAlign w:val="center"/>
          </w:tcPr>
          <w:p w14:paraId="3B59D3A0">
            <w:pPr>
              <w:widowControl/>
              <w:jc w:val="center"/>
              <w:rPr>
                <w:rFonts w:ascii="Times New Roman" w:eastAsia="仿宋"/>
                <w:szCs w:val="24"/>
              </w:rPr>
            </w:pPr>
            <w:r>
              <w:rPr>
                <w:rFonts w:hint="eastAsia" w:ascii="Times New Roman" w:eastAsia="仿宋"/>
                <w:szCs w:val="24"/>
              </w:rPr>
              <w:t>4</w:t>
            </w:r>
            <w:r>
              <w:rPr>
                <w:rFonts w:ascii="Times New Roman" w:eastAsia="仿宋"/>
                <w:szCs w:val="24"/>
              </w:rPr>
              <w:t>.76</w:t>
            </w:r>
          </w:p>
        </w:tc>
        <w:tc>
          <w:tcPr>
            <w:tcW w:w="1712" w:type="dxa"/>
            <w:vAlign w:val="center"/>
          </w:tcPr>
          <w:p w14:paraId="4FC43E9B">
            <w:pPr>
              <w:widowControl/>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150" w:type="dxa"/>
            <w:vAlign w:val="center"/>
          </w:tcPr>
          <w:p w14:paraId="690E50DA">
            <w:pPr>
              <w:widowControl/>
              <w:jc w:val="center"/>
              <w:rPr>
                <w:rFonts w:ascii="Times New Roman" w:eastAsia="仿宋"/>
                <w:szCs w:val="24"/>
              </w:rPr>
            </w:pPr>
            <w:r>
              <w:rPr>
                <w:rFonts w:hint="eastAsia" w:ascii="Times New Roman" w:eastAsia="仿宋"/>
                <w:szCs w:val="24"/>
              </w:rPr>
              <w:t>0</w:t>
            </w:r>
            <w:r>
              <w:rPr>
                <w:rFonts w:ascii="Times New Roman" w:eastAsia="仿宋"/>
                <w:szCs w:val="24"/>
              </w:rPr>
              <w:t>.49</w:t>
            </w:r>
          </w:p>
        </w:tc>
      </w:tr>
      <w:tr w14:paraId="510D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5560D760">
            <w:pPr>
              <w:jc w:val="center"/>
              <w:rPr>
                <w:rFonts w:ascii="Times New Roman" w:eastAsia="仿宋"/>
                <w:szCs w:val="21"/>
              </w:rPr>
            </w:pPr>
          </w:p>
        </w:tc>
        <w:tc>
          <w:tcPr>
            <w:tcW w:w="1276" w:type="dxa"/>
            <w:vMerge w:val="continue"/>
            <w:vAlign w:val="center"/>
          </w:tcPr>
          <w:p w14:paraId="2E4AF67B">
            <w:pPr>
              <w:jc w:val="center"/>
              <w:rPr>
                <w:rFonts w:ascii="Times New Roman" w:eastAsia="仿宋"/>
                <w:szCs w:val="21"/>
              </w:rPr>
            </w:pPr>
          </w:p>
        </w:tc>
        <w:tc>
          <w:tcPr>
            <w:tcW w:w="1701" w:type="dxa"/>
            <w:vAlign w:val="center"/>
          </w:tcPr>
          <w:p w14:paraId="415AC91C">
            <w:pPr>
              <w:jc w:val="center"/>
              <w:rPr>
                <w:rFonts w:ascii="Times New Roman" w:eastAsia="仿宋"/>
                <w:szCs w:val="21"/>
              </w:rPr>
            </w:pPr>
            <w:r>
              <w:rPr>
                <w:rFonts w:hint="eastAsia" w:ascii="Times New Roman" w:eastAsia="仿宋"/>
                <w:szCs w:val="21"/>
              </w:rPr>
              <w:t>苯系物</w:t>
            </w:r>
          </w:p>
        </w:tc>
        <w:tc>
          <w:tcPr>
            <w:tcW w:w="1701" w:type="dxa"/>
            <w:vAlign w:val="center"/>
          </w:tcPr>
          <w:p w14:paraId="63827CF1">
            <w:pPr>
              <w:widowControl/>
              <w:jc w:val="center"/>
              <w:rPr>
                <w:rFonts w:ascii="Times New Roman" w:eastAsia="仿宋"/>
                <w:szCs w:val="24"/>
              </w:rPr>
            </w:pPr>
            <w:r>
              <w:rPr>
                <w:rFonts w:hint="eastAsia" w:ascii="Times New Roman" w:eastAsia="仿宋"/>
                <w:szCs w:val="24"/>
              </w:rPr>
              <w:t>4</w:t>
            </w:r>
            <w:r>
              <w:rPr>
                <w:rFonts w:ascii="Times New Roman" w:eastAsia="仿宋"/>
                <w:szCs w:val="24"/>
              </w:rPr>
              <w:t>.76</w:t>
            </w:r>
          </w:p>
        </w:tc>
        <w:tc>
          <w:tcPr>
            <w:tcW w:w="1712" w:type="dxa"/>
            <w:vAlign w:val="center"/>
          </w:tcPr>
          <w:p w14:paraId="7990869A">
            <w:pPr>
              <w:widowControl/>
              <w:jc w:val="center"/>
              <w:rPr>
                <w:rFonts w:ascii="Times New Roman" w:eastAsia="仿宋"/>
                <w:szCs w:val="24"/>
              </w:rPr>
            </w:pPr>
            <w:r>
              <w:rPr>
                <w:rFonts w:hint="eastAsia" w:ascii="Times New Roman" w:eastAsia="仿宋"/>
                <w:szCs w:val="24"/>
              </w:rPr>
              <w:t>0</w:t>
            </w:r>
            <w:r>
              <w:rPr>
                <w:rFonts w:ascii="Times New Roman" w:eastAsia="仿宋"/>
                <w:szCs w:val="24"/>
              </w:rPr>
              <w:t>.1</w:t>
            </w:r>
          </w:p>
        </w:tc>
        <w:tc>
          <w:tcPr>
            <w:tcW w:w="1150" w:type="dxa"/>
            <w:vAlign w:val="center"/>
          </w:tcPr>
          <w:p w14:paraId="4562588C">
            <w:pPr>
              <w:widowControl/>
              <w:jc w:val="center"/>
              <w:rPr>
                <w:rFonts w:ascii="Times New Roman" w:eastAsia="仿宋"/>
                <w:szCs w:val="24"/>
              </w:rPr>
            </w:pPr>
            <w:r>
              <w:rPr>
                <w:rFonts w:hint="eastAsia" w:ascii="Times New Roman" w:eastAsia="仿宋"/>
                <w:szCs w:val="24"/>
              </w:rPr>
              <w:t>0</w:t>
            </w:r>
            <w:r>
              <w:rPr>
                <w:rFonts w:ascii="Times New Roman" w:eastAsia="仿宋"/>
                <w:szCs w:val="24"/>
              </w:rPr>
              <w:t>.49</w:t>
            </w:r>
          </w:p>
        </w:tc>
      </w:tr>
      <w:tr w14:paraId="35CB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6617A4A9">
            <w:pPr>
              <w:jc w:val="center"/>
              <w:rPr>
                <w:rFonts w:ascii="Times New Roman" w:eastAsia="仿宋"/>
                <w:szCs w:val="21"/>
              </w:rPr>
            </w:pPr>
          </w:p>
        </w:tc>
        <w:tc>
          <w:tcPr>
            <w:tcW w:w="1276" w:type="dxa"/>
            <w:vMerge w:val="continue"/>
            <w:vAlign w:val="center"/>
          </w:tcPr>
          <w:p w14:paraId="0D84D5D7">
            <w:pPr>
              <w:jc w:val="center"/>
              <w:rPr>
                <w:rFonts w:ascii="Times New Roman" w:eastAsia="仿宋"/>
                <w:szCs w:val="21"/>
              </w:rPr>
            </w:pPr>
          </w:p>
        </w:tc>
        <w:tc>
          <w:tcPr>
            <w:tcW w:w="1701" w:type="dxa"/>
            <w:vAlign w:val="center"/>
          </w:tcPr>
          <w:p w14:paraId="10B88DE3">
            <w:pPr>
              <w:jc w:val="center"/>
              <w:rPr>
                <w:rFonts w:ascii="Times New Roman" w:eastAsia="仿宋"/>
                <w:szCs w:val="21"/>
              </w:rPr>
            </w:pPr>
            <w:r>
              <w:rPr>
                <w:rFonts w:hint="eastAsia" w:ascii="Times New Roman" w:eastAsia="仿宋"/>
                <w:szCs w:val="21"/>
              </w:rPr>
              <w:t>二氧化硫</w:t>
            </w:r>
          </w:p>
        </w:tc>
        <w:tc>
          <w:tcPr>
            <w:tcW w:w="1701" w:type="dxa"/>
            <w:vAlign w:val="center"/>
          </w:tcPr>
          <w:p w14:paraId="3E96349A">
            <w:pPr>
              <w:widowControl/>
              <w:jc w:val="center"/>
              <w:rPr>
                <w:rFonts w:ascii="Times New Roman" w:eastAsia="仿宋"/>
                <w:szCs w:val="24"/>
              </w:rPr>
            </w:pPr>
            <w:r>
              <w:rPr>
                <w:rFonts w:hint="eastAsia" w:ascii="Times New Roman" w:eastAsia="仿宋"/>
                <w:szCs w:val="24"/>
              </w:rPr>
              <w:t>0</w:t>
            </w:r>
            <w:r>
              <w:rPr>
                <w:rFonts w:ascii="Times New Roman" w:eastAsia="仿宋"/>
                <w:szCs w:val="24"/>
              </w:rPr>
              <w:t>.2</w:t>
            </w:r>
          </w:p>
        </w:tc>
        <w:tc>
          <w:tcPr>
            <w:tcW w:w="1712" w:type="dxa"/>
            <w:vAlign w:val="center"/>
          </w:tcPr>
          <w:p w14:paraId="33173B84">
            <w:pPr>
              <w:widowControl/>
              <w:jc w:val="center"/>
              <w:rPr>
                <w:rFonts w:ascii="Times New Roman" w:eastAsia="仿宋"/>
                <w:szCs w:val="24"/>
              </w:rPr>
            </w:pPr>
            <w:r>
              <w:rPr>
                <w:rFonts w:hint="eastAsia" w:ascii="Times New Roman" w:eastAsia="仿宋"/>
                <w:szCs w:val="24"/>
              </w:rPr>
              <w:t>0</w:t>
            </w:r>
            <w:r>
              <w:rPr>
                <w:rFonts w:ascii="Times New Roman" w:eastAsia="仿宋"/>
                <w:szCs w:val="24"/>
              </w:rPr>
              <w:t>.004</w:t>
            </w:r>
          </w:p>
        </w:tc>
        <w:tc>
          <w:tcPr>
            <w:tcW w:w="1150" w:type="dxa"/>
            <w:vAlign w:val="center"/>
          </w:tcPr>
          <w:p w14:paraId="3B872577">
            <w:pPr>
              <w:widowControl/>
              <w:jc w:val="center"/>
              <w:rPr>
                <w:rFonts w:ascii="Times New Roman" w:eastAsia="仿宋"/>
                <w:szCs w:val="24"/>
              </w:rPr>
            </w:pPr>
            <w:r>
              <w:rPr>
                <w:rFonts w:hint="eastAsia" w:ascii="Times New Roman" w:eastAsia="仿宋"/>
                <w:szCs w:val="24"/>
              </w:rPr>
              <w:t>0</w:t>
            </w:r>
            <w:r>
              <w:rPr>
                <w:rFonts w:ascii="Times New Roman" w:eastAsia="仿宋"/>
                <w:szCs w:val="24"/>
              </w:rPr>
              <w:t>.02</w:t>
            </w:r>
          </w:p>
        </w:tc>
      </w:tr>
      <w:tr w14:paraId="5F20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5DCE5AC5">
            <w:pPr>
              <w:jc w:val="center"/>
              <w:rPr>
                <w:rFonts w:ascii="Times New Roman" w:eastAsia="仿宋"/>
                <w:szCs w:val="21"/>
              </w:rPr>
            </w:pPr>
          </w:p>
        </w:tc>
        <w:tc>
          <w:tcPr>
            <w:tcW w:w="1276" w:type="dxa"/>
            <w:vMerge w:val="continue"/>
            <w:vAlign w:val="center"/>
          </w:tcPr>
          <w:p w14:paraId="5AF5DBBA">
            <w:pPr>
              <w:jc w:val="center"/>
              <w:rPr>
                <w:rFonts w:ascii="Times New Roman" w:eastAsia="仿宋"/>
                <w:szCs w:val="21"/>
              </w:rPr>
            </w:pPr>
          </w:p>
        </w:tc>
        <w:tc>
          <w:tcPr>
            <w:tcW w:w="1701" w:type="dxa"/>
            <w:vAlign w:val="center"/>
          </w:tcPr>
          <w:p w14:paraId="076B39D2">
            <w:pPr>
              <w:jc w:val="center"/>
              <w:rPr>
                <w:rFonts w:ascii="Times New Roman" w:eastAsia="仿宋"/>
                <w:szCs w:val="21"/>
              </w:rPr>
            </w:pPr>
            <w:r>
              <w:rPr>
                <w:rFonts w:hint="eastAsia" w:ascii="Times New Roman" w:eastAsia="仿宋"/>
                <w:szCs w:val="21"/>
              </w:rPr>
              <w:t>氮氧化物</w:t>
            </w:r>
          </w:p>
        </w:tc>
        <w:tc>
          <w:tcPr>
            <w:tcW w:w="1701" w:type="dxa"/>
            <w:vAlign w:val="center"/>
          </w:tcPr>
          <w:p w14:paraId="12BDB8F7">
            <w:pPr>
              <w:widowControl/>
              <w:jc w:val="center"/>
              <w:rPr>
                <w:rFonts w:ascii="Times New Roman" w:eastAsia="仿宋"/>
                <w:szCs w:val="24"/>
              </w:rPr>
            </w:pPr>
            <w:r>
              <w:rPr>
                <w:rFonts w:ascii="Times New Roman" w:eastAsia="仿宋"/>
                <w:szCs w:val="24"/>
              </w:rPr>
              <w:t>9.5</w:t>
            </w:r>
          </w:p>
        </w:tc>
        <w:tc>
          <w:tcPr>
            <w:tcW w:w="1712" w:type="dxa"/>
            <w:vAlign w:val="center"/>
          </w:tcPr>
          <w:p w14:paraId="14BA3D14">
            <w:pPr>
              <w:widowControl/>
              <w:jc w:val="center"/>
              <w:rPr>
                <w:rFonts w:ascii="Times New Roman" w:eastAsia="仿宋"/>
                <w:szCs w:val="24"/>
              </w:rPr>
            </w:pPr>
            <w:r>
              <w:rPr>
                <w:rFonts w:hint="eastAsia" w:ascii="Times New Roman" w:eastAsia="仿宋"/>
                <w:szCs w:val="24"/>
              </w:rPr>
              <w:t>0</w:t>
            </w:r>
            <w:r>
              <w:rPr>
                <w:rFonts w:ascii="Times New Roman" w:eastAsia="仿宋"/>
                <w:szCs w:val="24"/>
              </w:rPr>
              <w:t>.2</w:t>
            </w:r>
          </w:p>
        </w:tc>
        <w:tc>
          <w:tcPr>
            <w:tcW w:w="1150" w:type="dxa"/>
            <w:vAlign w:val="center"/>
          </w:tcPr>
          <w:p w14:paraId="7E15E963">
            <w:pPr>
              <w:widowControl/>
              <w:jc w:val="center"/>
              <w:rPr>
                <w:rFonts w:ascii="Times New Roman" w:eastAsia="仿宋"/>
                <w:szCs w:val="24"/>
              </w:rPr>
            </w:pPr>
            <w:r>
              <w:rPr>
                <w:rFonts w:hint="eastAsia" w:ascii="Times New Roman" w:eastAsia="仿宋"/>
                <w:szCs w:val="24"/>
              </w:rPr>
              <w:t>0</w:t>
            </w:r>
            <w:r>
              <w:rPr>
                <w:rFonts w:ascii="Times New Roman" w:eastAsia="仿宋"/>
                <w:szCs w:val="24"/>
              </w:rPr>
              <w:t>.896</w:t>
            </w:r>
          </w:p>
        </w:tc>
      </w:tr>
      <w:tr w14:paraId="0B10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Merge w:val="continue"/>
            <w:vAlign w:val="center"/>
          </w:tcPr>
          <w:p w14:paraId="290858FF">
            <w:pPr>
              <w:jc w:val="center"/>
              <w:rPr>
                <w:rFonts w:ascii="Times New Roman" w:eastAsia="仿宋"/>
                <w:szCs w:val="21"/>
              </w:rPr>
            </w:pPr>
          </w:p>
        </w:tc>
        <w:tc>
          <w:tcPr>
            <w:tcW w:w="1276" w:type="dxa"/>
            <w:vMerge w:val="continue"/>
            <w:vAlign w:val="center"/>
          </w:tcPr>
          <w:p w14:paraId="43FF955F">
            <w:pPr>
              <w:jc w:val="center"/>
              <w:rPr>
                <w:rFonts w:ascii="Times New Roman" w:eastAsia="仿宋"/>
                <w:szCs w:val="21"/>
              </w:rPr>
            </w:pPr>
          </w:p>
        </w:tc>
        <w:tc>
          <w:tcPr>
            <w:tcW w:w="1701" w:type="dxa"/>
            <w:vAlign w:val="center"/>
          </w:tcPr>
          <w:p w14:paraId="604A67F9">
            <w:pPr>
              <w:jc w:val="center"/>
              <w:rPr>
                <w:rFonts w:ascii="Times New Roman" w:eastAsia="仿宋"/>
                <w:szCs w:val="21"/>
              </w:rPr>
            </w:pPr>
            <w:r>
              <w:rPr>
                <w:rFonts w:hint="eastAsia" w:ascii="Times New Roman" w:eastAsia="仿宋"/>
                <w:szCs w:val="21"/>
              </w:rPr>
              <w:t>颗粒物</w:t>
            </w:r>
          </w:p>
        </w:tc>
        <w:tc>
          <w:tcPr>
            <w:tcW w:w="1701" w:type="dxa"/>
            <w:vAlign w:val="center"/>
          </w:tcPr>
          <w:p w14:paraId="0B7CA5AE">
            <w:pPr>
              <w:widowControl/>
              <w:jc w:val="center"/>
              <w:rPr>
                <w:rFonts w:ascii="Times New Roman" w:eastAsia="仿宋"/>
                <w:szCs w:val="24"/>
              </w:rPr>
            </w:pPr>
            <w:r>
              <w:rPr>
                <w:rFonts w:hint="eastAsia" w:ascii="Times New Roman" w:eastAsia="仿宋"/>
                <w:szCs w:val="24"/>
              </w:rPr>
              <w:t>1</w:t>
            </w:r>
            <w:r>
              <w:rPr>
                <w:rFonts w:ascii="Times New Roman" w:eastAsia="仿宋"/>
                <w:szCs w:val="24"/>
              </w:rPr>
              <w:t>.34</w:t>
            </w:r>
          </w:p>
        </w:tc>
        <w:tc>
          <w:tcPr>
            <w:tcW w:w="1712" w:type="dxa"/>
            <w:vAlign w:val="center"/>
          </w:tcPr>
          <w:p w14:paraId="3E34A5B8">
            <w:pPr>
              <w:widowControl/>
              <w:jc w:val="center"/>
              <w:rPr>
                <w:rFonts w:ascii="Times New Roman" w:eastAsia="仿宋"/>
                <w:szCs w:val="24"/>
              </w:rPr>
            </w:pPr>
            <w:r>
              <w:rPr>
                <w:rFonts w:hint="eastAsia" w:ascii="Times New Roman" w:eastAsia="仿宋"/>
                <w:szCs w:val="24"/>
              </w:rPr>
              <w:t>0</w:t>
            </w:r>
            <w:r>
              <w:rPr>
                <w:rFonts w:ascii="Times New Roman" w:eastAsia="仿宋"/>
                <w:szCs w:val="24"/>
              </w:rPr>
              <w:t>.028</w:t>
            </w:r>
          </w:p>
        </w:tc>
        <w:tc>
          <w:tcPr>
            <w:tcW w:w="1150" w:type="dxa"/>
            <w:vAlign w:val="center"/>
          </w:tcPr>
          <w:p w14:paraId="5BF6B749">
            <w:pPr>
              <w:widowControl/>
              <w:jc w:val="center"/>
              <w:rPr>
                <w:rFonts w:ascii="Times New Roman" w:eastAsia="仿宋"/>
                <w:szCs w:val="24"/>
              </w:rPr>
            </w:pPr>
            <w:r>
              <w:rPr>
                <w:rFonts w:hint="eastAsia" w:ascii="Times New Roman" w:eastAsia="仿宋"/>
                <w:szCs w:val="24"/>
              </w:rPr>
              <w:t>0</w:t>
            </w:r>
            <w:r>
              <w:rPr>
                <w:rFonts w:ascii="Times New Roman" w:eastAsia="仿宋"/>
                <w:szCs w:val="24"/>
              </w:rPr>
              <w:t>.136</w:t>
            </w:r>
          </w:p>
        </w:tc>
      </w:tr>
      <w:tr w14:paraId="5439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dxa"/>
            <w:vAlign w:val="center"/>
          </w:tcPr>
          <w:p w14:paraId="441DCF6B">
            <w:pPr>
              <w:jc w:val="center"/>
              <w:rPr>
                <w:rFonts w:ascii="Times New Roman" w:eastAsia="仿宋"/>
                <w:szCs w:val="21"/>
              </w:rPr>
            </w:pPr>
            <w:r>
              <w:rPr>
                <w:rFonts w:hint="eastAsia" w:ascii="Times New Roman" w:eastAsia="仿宋"/>
                <w:szCs w:val="21"/>
              </w:rPr>
              <w:t>5</w:t>
            </w:r>
          </w:p>
        </w:tc>
        <w:tc>
          <w:tcPr>
            <w:tcW w:w="1276" w:type="dxa"/>
            <w:vAlign w:val="center"/>
          </w:tcPr>
          <w:p w14:paraId="3CCCFD71">
            <w:pPr>
              <w:jc w:val="center"/>
              <w:rPr>
                <w:rFonts w:ascii="Times New Roman" w:eastAsia="仿宋"/>
                <w:szCs w:val="21"/>
              </w:rPr>
            </w:pPr>
            <w:r>
              <w:rPr>
                <w:rFonts w:hint="eastAsia" w:ascii="Times New Roman" w:eastAsia="仿宋"/>
                <w:szCs w:val="21"/>
              </w:rPr>
              <w:t>5</w:t>
            </w:r>
            <w:r>
              <w:rPr>
                <w:rFonts w:ascii="Times New Roman" w:eastAsia="仿宋"/>
                <w:szCs w:val="21"/>
              </w:rPr>
              <w:t>#</w:t>
            </w:r>
          </w:p>
        </w:tc>
        <w:tc>
          <w:tcPr>
            <w:tcW w:w="1701" w:type="dxa"/>
            <w:vAlign w:val="center"/>
          </w:tcPr>
          <w:p w14:paraId="1F5325B6">
            <w:pPr>
              <w:jc w:val="center"/>
              <w:rPr>
                <w:rFonts w:ascii="Times New Roman" w:eastAsia="仿宋"/>
                <w:szCs w:val="21"/>
              </w:rPr>
            </w:pPr>
            <w:r>
              <w:rPr>
                <w:rFonts w:hint="eastAsia" w:ascii="Times New Roman" w:eastAsia="仿宋"/>
                <w:szCs w:val="21"/>
              </w:rPr>
              <w:t>颗粒物</w:t>
            </w:r>
          </w:p>
        </w:tc>
        <w:tc>
          <w:tcPr>
            <w:tcW w:w="1701" w:type="dxa"/>
            <w:vAlign w:val="center"/>
          </w:tcPr>
          <w:p w14:paraId="3D1E7C06">
            <w:pPr>
              <w:widowControl/>
              <w:jc w:val="center"/>
              <w:rPr>
                <w:rFonts w:ascii="Times New Roman" w:eastAsia="仿宋"/>
                <w:szCs w:val="24"/>
              </w:rPr>
            </w:pPr>
            <w:r>
              <w:rPr>
                <w:rFonts w:ascii="Times New Roman" w:eastAsia="仿宋"/>
                <w:szCs w:val="24"/>
              </w:rPr>
              <w:t>7</w:t>
            </w:r>
          </w:p>
        </w:tc>
        <w:tc>
          <w:tcPr>
            <w:tcW w:w="1712" w:type="dxa"/>
            <w:vAlign w:val="center"/>
          </w:tcPr>
          <w:p w14:paraId="6DED5E1F">
            <w:pPr>
              <w:widowControl/>
              <w:jc w:val="center"/>
              <w:rPr>
                <w:rFonts w:ascii="Times New Roman" w:eastAsia="仿宋"/>
                <w:szCs w:val="24"/>
              </w:rPr>
            </w:pPr>
            <w:r>
              <w:rPr>
                <w:rFonts w:hint="eastAsia" w:ascii="Times New Roman" w:eastAsia="仿宋"/>
                <w:szCs w:val="24"/>
              </w:rPr>
              <w:t>0.14</w:t>
            </w:r>
          </w:p>
        </w:tc>
        <w:tc>
          <w:tcPr>
            <w:tcW w:w="1150" w:type="dxa"/>
            <w:vAlign w:val="center"/>
          </w:tcPr>
          <w:p w14:paraId="4AA0F678">
            <w:pPr>
              <w:widowControl/>
              <w:jc w:val="center"/>
              <w:rPr>
                <w:rFonts w:ascii="Times New Roman" w:eastAsia="仿宋"/>
                <w:szCs w:val="24"/>
              </w:rPr>
            </w:pPr>
            <w:r>
              <w:rPr>
                <w:rFonts w:hint="eastAsia" w:ascii="Times New Roman" w:eastAsia="仿宋"/>
                <w:szCs w:val="24"/>
              </w:rPr>
              <w:t>0.67</w:t>
            </w:r>
          </w:p>
        </w:tc>
      </w:tr>
      <w:tr w14:paraId="45C1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restart"/>
            <w:vAlign w:val="center"/>
          </w:tcPr>
          <w:p w14:paraId="64805C00">
            <w:pPr>
              <w:jc w:val="center"/>
              <w:rPr>
                <w:rFonts w:ascii="Times New Roman" w:eastAsia="仿宋"/>
                <w:szCs w:val="21"/>
              </w:rPr>
            </w:pPr>
            <w:r>
              <w:rPr>
                <w:rFonts w:ascii="Times New Roman" w:eastAsia="仿宋"/>
                <w:szCs w:val="21"/>
              </w:rPr>
              <w:t>主要排放口合计</w:t>
            </w:r>
          </w:p>
        </w:tc>
        <w:tc>
          <w:tcPr>
            <w:tcW w:w="5114" w:type="dxa"/>
            <w:gridSpan w:val="3"/>
            <w:vAlign w:val="center"/>
          </w:tcPr>
          <w:p w14:paraId="69659018">
            <w:pPr>
              <w:jc w:val="center"/>
              <w:rPr>
                <w:rFonts w:ascii="Times New Roman" w:eastAsia="仿宋"/>
                <w:szCs w:val="21"/>
              </w:rPr>
            </w:pPr>
            <w:r>
              <w:rPr>
                <w:rFonts w:hint="eastAsia" w:ascii="Times New Roman" w:eastAsia="仿宋"/>
                <w:szCs w:val="21"/>
              </w:rPr>
              <w:t>二甲苯</w:t>
            </w:r>
          </w:p>
        </w:tc>
        <w:tc>
          <w:tcPr>
            <w:tcW w:w="1150" w:type="dxa"/>
            <w:vAlign w:val="bottom"/>
          </w:tcPr>
          <w:p w14:paraId="42778397">
            <w:pPr>
              <w:jc w:val="center"/>
              <w:rPr>
                <w:rFonts w:ascii="Times New Roman" w:eastAsia="仿宋"/>
                <w:szCs w:val="21"/>
              </w:rPr>
            </w:pPr>
            <w:r>
              <w:rPr>
                <w:rFonts w:hint="eastAsia" w:ascii="Times New Roman" w:eastAsia="仿宋"/>
                <w:szCs w:val="21"/>
              </w:rPr>
              <w:t>0.81</w:t>
            </w:r>
          </w:p>
        </w:tc>
      </w:tr>
      <w:tr w14:paraId="572B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272F3CB5">
            <w:pPr>
              <w:jc w:val="center"/>
              <w:rPr>
                <w:rFonts w:ascii="Times New Roman" w:eastAsia="仿宋"/>
                <w:szCs w:val="21"/>
              </w:rPr>
            </w:pPr>
          </w:p>
        </w:tc>
        <w:tc>
          <w:tcPr>
            <w:tcW w:w="5114" w:type="dxa"/>
            <w:gridSpan w:val="3"/>
            <w:vAlign w:val="center"/>
          </w:tcPr>
          <w:p w14:paraId="3593D351">
            <w:pPr>
              <w:jc w:val="center"/>
              <w:rPr>
                <w:rFonts w:ascii="Times New Roman" w:eastAsia="仿宋"/>
                <w:szCs w:val="21"/>
              </w:rPr>
            </w:pPr>
            <w:r>
              <w:rPr>
                <w:rFonts w:hint="eastAsia" w:ascii="Times New Roman" w:eastAsia="仿宋"/>
                <w:szCs w:val="21"/>
              </w:rPr>
              <w:t>苯系物</w:t>
            </w:r>
          </w:p>
        </w:tc>
        <w:tc>
          <w:tcPr>
            <w:tcW w:w="1150" w:type="dxa"/>
            <w:vAlign w:val="bottom"/>
          </w:tcPr>
          <w:p w14:paraId="0D146AA4">
            <w:pPr>
              <w:jc w:val="center"/>
              <w:rPr>
                <w:rFonts w:ascii="Times New Roman" w:eastAsia="仿宋"/>
                <w:szCs w:val="21"/>
              </w:rPr>
            </w:pPr>
            <w:r>
              <w:rPr>
                <w:rFonts w:hint="eastAsia" w:ascii="Times New Roman" w:eastAsia="仿宋"/>
                <w:szCs w:val="21"/>
              </w:rPr>
              <w:t>0</w:t>
            </w:r>
            <w:r>
              <w:rPr>
                <w:rFonts w:ascii="Times New Roman" w:eastAsia="仿宋"/>
                <w:szCs w:val="21"/>
              </w:rPr>
              <w:t>.81</w:t>
            </w:r>
          </w:p>
        </w:tc>
      </w:tr>
      <w:tr w14:paraId="39A3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5AFE52FA">
            <w:pPr>
              <w:jc w:val="center"/>
              <w:rPr>
                <w:rFonts w:ascii="Times New Roman" w:eastAsia="仿宋"/>
                <w:szCs w:val="21"/>
              </w:rPr>
            </w:pPr>
          </w:p>
        </w:tc>
        <w:tc>
          <w:tcPr>
            <w:tcW w:w="5114" w:type="dxa"/>
            <w:gridSpan w:val="3"/>
            <w:vAlign w:val="center"/>
          </w:tcPr>
          <w:p w14:paraId="5D6B2D01">
            <w:pPr>
              <w:jc w:val="center"/>
              <w:rPr>
                <w:rFonts w:ascii="Times New Roman" w:eastAsia="仿宋"/>
                <w:szCs w:val="21"/>
              </w:rPr>
            </w:pPr>
            <w:r>
              <w:rPr>
                <w:rFonts w:ascii="Times New Roman" w:eastAsia="仿宋"/>
                <w:szCs w:val="21"/>
              </w:rPr>
              <w:t>非甲烷总烃</w:t>
            </w:r>
          </w:p>
        </w:tc>
        <w:tc>
          <w:tcPr>
            <w:tcW w:w="1150" w:type="dxa"/>
            <w:vAlign w:val="bottom"/>
          </w:tcPr>
          <w:p w14:paraId="60AC56ED">
            <w:pPr>
              <w:jc w:val="center"/>
              <w:rPr>
                <w:rFonts w:ascii="Times New Roman" w:eastAsia="仿宋"/>
                <w:szCs w:val="21"/>
              </w:rPr>
            </w:pPr>
            <w:r>
              <w:rPr>
                <w:rFonts w:hint="eastAsia" w:ascii="Times New Roman" w:eastAsia="仿宋"/>
                <w:szCs w:val="21"/>
              </w:rPr>
              <w:t>3.61</w:t>
            </w:r>
          </w:p>
        </w:tc>
      </w:tr>
      <w:tr w14:paraId="6DE6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11DE756B">
            <w:pPr>
              <w:jc w:val="center"/>
              <w:rPr>
                <w:rFonts w:ascii="Times New Roman" w:eastAsia="仿宋"/>
                <w:szCs w:val="21"/>
              </w:rPr>
            </w:pPr>
          </w:p>
        </w:tc>
        <w:tc>
          <w:tcPr>
            <w:tcW w:w="5114" w:type="dxa"/>
            <w:gridSpan w:val="3"/>
            <w:vAlign w:val="center"/>
          </w:tcPr>
          <w:p w14:paraId="6BB8B1DD">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50" w:type="dxa"/>
            <w:vAlign w:val="bottom"/>
          </w:tcPr>
          <w:p w14:paraId="56114E54">
            <w:pPr>
              <w:jc w:val="center"/>
              <w:rPr>
                <w:rFonts w:ascii="Times New Roman" w:eastAsia="仿宋"/>
                <w:szCs w:val="21"/>
              </w:rPr>
            </w:pPr>
            <w:r>
              <w:rPr>
                <w:rFonts w:hint="eastAsia" w:ascii="Times New Roman" w:eastAsia="仿宋"/>
                <w:szCs w:val="21"/>
              </w:rPr>
              <w:t>3.</w:t>
            </w:r>
            <w:r>
              <w:rPr>
                <w:rFonts w:ascii="Times New Roman" w:eastAsia="仿宋"/>
                <w:szCs w:val="21"/>
              </w:rPr>
              <w:t>61</w:t>
            </w:r>
          </w:p>
        </w:tc>
      </w:tr>
      <w:tr w14:paraId="6E88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4188F7FC">
            <w:pPr>
              <w:ind w:firstLine="420"/>
              <w:jc w:val="center"/>
              <w:rPr>
                <w:rFonts w:ascii="Times New Roman" w:eastAsia="仿宋"/>
                <w:szCs w:val="21"/>
              </w:rPr>
            </w:pPr>
          </w:p>
        </w:tc>
        <w:tc>
          <w:tcPr>
            <w:tcW w:w="5114" w:type="dxa"/>
            <w:gridSpan w:val="3"/>
            <w:vAlign w:val="center"/>
          </w:tcPr>
          <w:p w14:paraId="60C1760C">
            <w:pPr>
              <w:jc w:val="center"/>
              <w:rPr>
                <w:rFonts w:ascii="Times New Roman" w:eastAsia="仿宋"/>
                <w:szCs w:val="21"/>
              </w:rPr>
            </w:pPr>
            <w:r>
              <w:rPr>
                <w:rFonts w:hint="eastAsia" w:ascii="Times New Roman" w:eastAsia="仿宋"/>
                <w:szCs w:val="21"/>
              </w:rPr>
              <w:t>颗粒物</w:t>
            </w:r>
          </w:p>
        </w:tc>
        <w:tc>
          <w:tcPr>
            <w:tcW w:w="1150" w:type="dxa"/>
            <w:vAlign w:val="bottom"/>
          </w:tcPr>
          <w:p w14:paraId="1B6BA5E0">
            <w:pPr>
              <w:jc w:val="center"/>
              <w:rPr>
                <w:rFonts w:ascii="Times New Roman" w:eastAsia="仿宋"/>
                <w:szCs w:val="21"/>
              </w:rPr>
            </w:pPr>
            <w:r>
              <w:rPr>
                <w:rFonts w:hint="eastAsia" w:ascii="Times New Roman" w:eastAsia="仿宋"/>
                <w:szCs w:val="21"/>
              </w:rPr>
              <w:t>1.369</w:t>
            </w:r>
          </w:p>
        </w:tc>
      </w:tr>
      <w:tr w14:paraId="3B8F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66BBD1F5">
            <w:pPr>
              <w:ind w:firstLine="420"/>
              <w:jc w:val="center"/>
              <w:rPr>
                <w:rFonts w:ascii="Times New Roman" w:eastAsia="仿宋"/>
                <w:szCs w:val="21"/>
              </w:rPr>
            </w:pPr>
          </w:p>
        </w:tc>
        <w:tc>
          <w:tcPr>
            <w:tcW w:w="5114" w:type="dxa"/>
            <w:gridSpan w:val="3"/>
            <w:vAlign w:val="center"/>
          </w:tcPr>
          <w:p w14:paraId="06FB965B">
            <w:pPr>
              <w:jc w:val="center"/>
              <w:rPr>
                <w:rFonts w:ascii="Times New Roman" w:eastAsia="仿宋"/>
                <w:szCs w:val="21"/>
              </w:rPr>
            </w:pPr>
            <w:r>
              <w:rPr>
                <w:rFonts w:hint="eastAsia" w:ascii="Times New Roman" w:eastAsia="仿宋"/>
                <w:szCs w:val="21"/>
              </w:rPr>
              <w:t>二氧化硫</w:t>
            </w:r>
          </w:p>
        </w:tc>
        <w:tc>
          <w:tcPr>
            <w:tcW w:w="1150" w:type="dxa"/>
            <w:vAlign w:val="bottom"/>
          </w:tcPr>
          <w:p w14:paraId="63F3A8AF">
            <w:pPr>
              <w:jc w:val="center"/>
              <w:rPr>
                <w:rFonts w:ascii="Times New Roman" w:eastAsia="仿宋"/>
                <w:szCs w:val="21"/>
              </w:rPr>
            </w:pPr>
            <w:r>
              <w:rPr>
                <w:rFonts w:hint="eastAsia" w:ascii="Times New Roman" w:eastAsia="仿宋"/>
                <w:szCs w:val="21"/>
              </w:rPr>
              <w:t>0.025</w:t>
            </w:r>
          </w:p>
        </w:tc>
      </w:tr>
      <w:tr w14:paraId="025B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0908D06F">
            <w:pPr>
              <w:ind w:firstLine="420"/>
              <w:jc w:val="center"/>
              <w:rPr>
                <w:rFonts w:ascii="Times New Roman" w:eastAsia="仿宋"/>
                <w:szCs w:val="21"/>
              </w:rPr>
            </w:pPr>
          </w:p>
        </w:tc>
        <w:tc>
          <w:tcPr>
            <w:tcW w:w="5114" w:type="dxa"/>
            <w:gridSpan w:val="3"/>
            <w:vAlign w:val="center"/>
          </w:tcPr>
          <w:p w14:paraId="1E9E1B38">
            <w:pPr>
              <w:jc w:val="center"/>
              <w:rPr>
                <w:rFonts w:ascii="Times New Roman" w:eastAsia="仿宋"/>
                <w:szCs w:val="21"/>
              </w:rPr>
            </w:pPr>
            <w:r>
              <w:rPr>
                <w:rFonts w:hint="eastAsia" w:ascii="Times New Roman" w:eastAsia="仿宋"/>
                <w:szCs w:val="21"/>
              </w:rPr>
              <w:t>氮氧化物</w:t>
            </w:r>
          </w:p>
        </w:tc>
        <w:tc>
          <w:tcPr>
            <w:tcW w:w="1150" w:type="dxa"/>
            <w:vAlign w:val="bottom"/>
          </w:tcPr>
          <w:p w14:paraId="78C1BC26">
            <w:pPr>
              <w:jc w:val="center"/>
              <w:rPr>
                <w:rFonts w:ascii="Times New Roman" w:eastAsia="仿宋"/>
                <w:szCs w:val="21"/>
              </w:rPr>
            </w:pPr>
            <w:r>
              <w:rPr>
                <w:rFonts w:ascii="Times New Roman" w:eastAsia="仿宋"/>
                <w:szCs w:val="21"/>
              </w:rPr>
              <w:t>1.12</w:t>
            </w:r>
          </w:p>
        </w:tc>
      </w:tr>
      <w:tr w14:paraId="5AC3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5" w:type="dxa"/>
            <w:gridSpan w:val="6"/>
            <w:vAlign w:val="center"/>
          </w:tcPr>
          <w:p w14:paraId="1C8267A8">
            <w:pPr>
              <w:jc w:val="center"/>
              <w:rPr>
                <w:rFonts w:ascii="Times New Roman" w:eastAsia="仿宋"/>
                <w:szCs w:val="21"/>
              </w:rPr>
            </w:pPr>
            <w:r>
              <w:rPr>
                <w:rFonts w:ascii="Times New Roman" w:eastAsia="仿宋"/>
                <w:szCs w:val="21"/>
              </w:rPr>
              <w:t>有组织排放总计</w:t>
            </w:r>
          </w:p>
        </w:tc>
      </w:tr>
      <w:tr w14:paraId="529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restart"/>
            <w:vAlign w:val="center"/>
          </w:tcPr>
          <w:p w14:paraId="5ADC064F">
            <w:pPr>
              <w:jc w:val="center"/>
              <w:rPr>
                <w:rFonts w:ascii="Times New Roman" w:eastAsia="仿宋"/>
                <w:szCs w:val="21"/>
              </w:rPr>
            </w:pPr>
            <w:r>
              <w:rPr>
                <w:rFonts w:ascii="Times New Roman" w:eastAsia="仿宋"/>
                <w:szCs w:val="21"/>
              </w:rPr>
              <w:t>有组织排放总计</w:t>
            </w:r>
          </w:p>
        </w:tc>
        <w:tc>
          <w:tcPr>
            <w:tcW w:w="5114" w:type="dxa"/>
            <w:gridSpan w:val="3"/>
            <w:vAlign w:val="center"/>
          </w:tcPr>
          <w:p w14:paraId="218FFA6B">
            <w:pPr>
              <w:jc w:val="center"/>
              <w:rPr>
                <w:rFonts w:ascii="Times New Roman" w:eastAsia="仿宋"/>
                <w:szCs w:val="21"/>
              </w:rPr>
            </w:pPr>
            <w:r>
              <w:rPr>
                <w:rFonts w:hint="eastAsia" w:ascii="Times New Roman" w:eastAsia="仿宋"/>
                <w:szCs w:val="21"/>
              </w:rPr>
              <w:t>二甲苯</w:t>
            </w:r>
          </w:p>
        </w:tc>
        <w:tc>
          <w:tcPr>
            <w:tcW w:w="1150" w:type="dxa"/>
            <w:vAlign w:val="bottom"/>
          </w:tcPr>
          <w:p w14:paraId="6484B716">
            <w:pPr>
              <w:jc w:val="center"/>
              <w:rPr>
                <w:rFonts w:ascii="Times New Roman" w:eastAsia="仿宋"/>
                <w:szCs w:val="21"/>
              </w:rPr>
            </w:pPr>
            <w:r>
              <w:rPr>
                <w:rFonts w:hint="eastAsia" w:ascii="Times New Roman" w:eastAsia="仿宋"/>
                <w:szCs w:val="21"/>
              </w:rPr>
              <w:t>0.81</w:t>
            </w:r>
          </w:p>
        </w:tc>
      </w:tr>
      <w:tr w14:paraId="043C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79DDB477">
            <w:pPr>
              <w:jc w:val="center"/>
              <w:rPr>
                <w:rFonts w:ascii="Times New Roman" w:eastAsia="仿宋"/>
                <w:szCs w:val="21"/>
              </w:rPr>
            </w:pPr>
          </w:p>
        </w:tc>
        <w:tc>
          <w:tcPr>
            <w:tcW w:w="5114" w:type="dxa"/>
            <w:gridSpan w:val="3"/>
            <w:vAlign w:val="center"/>
          </w:tcPr>
          <w:p w14:paraId="3610A443">
            <w:pPr>
              <w:jc w:val="center"/>
              <w:rPr>
                <w:rFonts w:ascii="Times New Roman" w:eastAsia="仿宋"/>
                <w:szCs w:val="21"/>
              </w:rPr>
            </w:pPr>
            <w:r>
              <w:rPr>
                <w:rFonts w:hint="eastAsia" w:ascii="Times New Roman" w:eastAsia="仿宋"/>
                <w:szCs w:val="21"/>
              </w:rPr>
              <w:t>苯系物</w:t>
            </w:r>
          </w:p>
        </w:tc>
        <w:tc>
          <w:tcPr>
            <w:tcW w:w="1150" w:type="dxa"/>
            <w:vAlign w:val="bottom"/>
          </w:tcPr>
          <w:p w14:paraId="5D4526D1">
            <w:pPr>
              <w:jc w:val="center"/>
              <w:rPr>
                <w:rFonts w:ascii="Times New Roman" w:eastAsia="仿宋"/>
                <w:szCs w:val="21"/>
              </w:rPr>
            </w:pPr>
            <w:r>
              <w:rPr>
                <w:rFonts w:hint="eastAsia" w:ascii="Times New Roman" w:eastAsia="仿宋"/>
                <w:szCs w:val="21"/>
              </w:rPr>
              <w:t>0</w:t>
            </w:r>
            <w:r>
              <w:rPr>
                <w:rFonts w:ascii="Times New Roman" w:eastAsia="仿宋"/>
                <w:szCs w:val="21"/>
              </w:rPr>
              <w:t>.81</w:t>
            </w:r>
          </w:p>
        </w:tc>
      </w:tr>
      <w:tr w14:paraId="1902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5471B5D2">
            <w:pPr>
              <w:jc w:val="center"/>
              <w:rPr>
                <w:rFonts w:ascii="Times New Roman" w:eastAsia="仿宋"/>
                <w:szCs w:val="21"/>
              </w:rPr>
            </w:pPr>
          </w:p>
        </w:tc>
        <w:tc>
          <w:tcPr>
            <w:tcW w:w="5114" w:type="dxa"/>
            <w:gridSpan w:val="3"/>
            <w:vAlign w:val="center"/>
          </w:tcPr>
          <w:p w14:paraId="642A2B4F">
            <w:pPr>
              <w:jc w:val="center"/>
              <w:rPr>
                <w:rFonts w:ascii="Times New Roman" w:eastAsia="仿宋"/>
                <w:szCs w:val="21"/>
              </w:rPr>
            </w:pPr>
            <w:r>
              <w:rPr>
                <w:rFonts w:ascii="Times New Roman" w:eastAsia="仿宋"/>
                <w:szCs w:val="21"/>
              </w:rPr>
              <w:t>非甲烷总烃</w:t>
            </w:r>
          </w:p>
        </w:tc>
        <w:tc>
          <w:tcPr>
            <w:tcW w:w="1150" w:type="dxa"/>
            <w:vAlign w:val="bottom"/>
          </w:tcPr>
          <w:p w14:paraId="3869D4B7">
            <w:pPr>
              <w:jc w:val="center"/>
              <w:rPr>
                <w:rFonts w:ascii="Times New Roman" w:eastAsia="仿宋"/>
                <w:szCs w:val="21"/>
              </w:rPr>
            </w:pPr>
            <w:r>
              <w:rPr>
                <w:rFonts w:hint="eastAsia" w:ascii="Times New Roman" w:eastAsia="仿宋"/>
                <w:szCs w:val="21"/>
              </w:rPr>
              <w:t>3.61</w:t>
            </w:r>
          </w:p>
        </w:tc>
      </w:tr>
      <w:tr w14:paraId="377F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6D288C0B">
            <w:pPr>
              <w:ind w:firstLine="420"/>
              <w:jc w:val="center"/>
              <w:rPr>
                <w:rFonts w:ascii="Times New Roman" w:eastAsia="仿宋"/>
                <w:szCs w:val="21"/>
              </w:rPr>
            </w:pPr>
          </w:p>
        </w:tc>
        <w:tc>
          <w:tcPr>
            <w:tcW w:w="5114" w:type="dxa"/>
            <w:gridSpan w:val="3"/>
            <w:vAlign w:val="center"/>
          </w:tcPr>
          <w:p w14:paraId="65BD5B65">
            <w:pPr>
              <w:jc w:val="center"/>
              <w:rPr>
                <w:rFonts w:ascii="Times New Roman" w:eastAsia="仿宋"/>
                <w:szCs w:val="21"/>
              </w:rPr>
            </w:pPr>
            <w:r>
              <w:rPr>
                <w:rFonts w:hint="eastAsia" w:ascii="Times New Roman" w:eastAsia="仿宋"/>
                <w:szCs w:val="21"/>
              </w:rPr>
              <w:t>T</w:t>
            </w:r>
            <w:r>
              <w:rPr>
                <w:rFonts w:ascii="Times New Roman" w:eastAsia="仿宋"/>
                <w:szCs w:val="21"/>
              </w:rPr>
              <w:t>VOC</w:t>
            </w:r>
          </w:p>
        </w:tc>
        <w:tc>
          <w:tcPr>
            <w:tcW w:w="1150" w:type="dxa"/>
            <w:vAlign w:val="bottom"/>
          </w:tcPr>
          <w:p w14:paraId="0AD344F0">
            <w:pPr>
              <w:jc w:val="center"/>
              <w:rPr>
                <w:rFonts w:ascii="Times New Roman" w:eastAsia="仿宋"/>
                <w:szCs w:val="21"/>
              </w:rPr>
            </w:pPr>
            <w:r>
              <w:rPr>
                <w:rFonts w:hint="eastAsia" w:ascii="Times New Roman" w:eastAsia="仿宋"/>
                <w:szCs w:val="21"/>
              </w:rPr>
              <w:t>3.</w:t>
            </w:r>
            <w:r>
              <w:rPr>
                <w:rFonts w:ascii="Times New Roman" w:eastAsia="仿宋"/>
                <w:szCs w:val="21"/>
              </w:rPr>
              <w:t>61</w:t>
            </w:r>
          </w:p>
        </w:tc>
      </w:tr>
      <w:tr w14:paraId="1CD9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12C078E3">
            <w:pPr>
              <w:ind w:firstLine="420"/>
              <w:jc w:val="center"/>
              <w:rPr>
                <w:rFonts w:ascii="Times New Roman" w:eastAsia="仿宋"/>
                <w:szCs w:val="21"/>
              </w:rPr>
            </w:pPr>
          </w:p>
        </w:tc>
        <w:tc>
          <w:tcPr>
            <w:tcW w:w="5114" w:type="dxa"/>
            <w:gridSpan w:val="3"/>
            <w:vAlign w:val="center"/>
          </w:tcPr>
          <w:p w14:paraId="5D4EBE51">
            <w:pPr>
              <w:jc w:val="center"/>
              <w:rPr>
                <w:rFonts w:ascii="Times New Roman" w:eastAsia="仿宋"/>
                <w:szCs w:val="21"/>
              </w:rPr>
            </w:pPr>
            <w:r>
              <w:rPr>
                <w:rFonts w:hint="eastAsia" w:ascii="Times New Roman" w:eastAsia="仿宋"/>
                <w:szCs w:val="21"/>
              </w:rPr>
              <w:t>颗粒物</w:t>
            </w:r>
          </w:p>
        </w:tc>
        <w:tc>
          <w:tcPr>
            <w:tcW w:w="1150" w:type="dxa"/>
            <w:vAlign w:val="bottom"/>
          </w:tcPr>
          <w:p w14:paraId="2CFD8685">
            <w:pPr>
              <w:jc w:val="center"/>
              <w:rPr>
                <w:rFonts w:ascii="Times New Roman" w:eastAsia="仿宋"/>
                <w:szCs w:val="21"/>
              </w:rPr>
            </w:pPr>
            <w:r>
              <w:rPr>
                <w:rFonts w:hint="eastAsia" w:ascii="Times New Roman" w:eastAsia="仿宋"/>
                <w:szCs w:val="21"/>
              </w:rPr>
              <w:t>1.369</w:t>
            </w:r>
          </w:p>
        </w:tc>
      </w:tr>
      <w:tr w14:paraId="5BE0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vAlign w:val="center"/>
          </w:tcPr>
          <w:p w14:paraId="092ED55B">
            <w:pPr>
              <w:ind w:firstLine="420"/>
              <w:jc w:val="center"/>
              <w:rPr>
                <w:rFonts w:ascii="Times New Roman" w:eastAsia="仿宋"/>
                <w:szCs w:val="21"/>
              </w:rPr>
            </w:pPr>
          </w:p>
        </w:tc>
        <w:tc>
          <w:tcPr>
            <w:tcW w:w="5114" w:type="dxa"/>
            <w:gridSpan w:val="3"/>
            <w:vAlign w:val="center"/>
          </w:tcPr>
          <w:p w14:paraId="6DF3F325">
            <w:pPr>
              <w:jc w:val="center"/>
              <w:rPr>
                <w:rFonts w:ascii="Times New Roman" w:eastAsia="仿宋"/>
                <w:szCs w:val="21"/>
              </w:rPr>
            </w:pPr>
            <w:r>
              <w:rPr>
                <w:rFonts w:hint="eastAsia" w:ascii="Times New Roman" w:eastAsia="仿宋"/>
                <w:szCs w:val="21"/>
              </w:rPr>
              <w:t>二氧化硫</w:t>
            </w:r>
          </w:p>
        </w:tc>
        <w:tc>
          <w:tcPr>
            <w:tcW w:w="1150" w:type="dxa"/>
            <w:vAlign w:val="bottom"/>
          </w:tcPr>
          <w:p w14:paraId="0A5BE22A">
            <w:pPr>
              <w:jc w:val="center"/>
              <w:rPr>
                <w:rFonts w:ascii="Times New Roman" w:eastAsia="仿宋"/>
                <w:szCs w:val="21"/>
              </w:rPr>
            </w:pPr>
            <w:r>
              <w:rPr>
                <w:rFonts w:hint="eastAsia" w:ascii="Times New Roman" w:eastAsia="仿宋"/>
                <w:szCs w:val="21"/>
              </w:rPr>
              <w:t>0.025</w:t>
            </w:r>
          </w:p>
        </w:tc>
      </w:tr>
      <w:tr w14:paraId="02E8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gridSpan w:val="2"/>
            <w:vMerge w:val="continue"/>
          </w:tcPr>
          <w:p w14:paraId="52C602E0">
            <w:pPr>
              <w:ind w:firstLine="420"/>
              <w:jc w:val="center"/>
              <w:rPr>
                <w:rFonts w:ascii="Times New Roman" w:eastAsia="仿宋"/>
                <w:szCs w:val="21"/>
              </w:rPr>
            </w:pPr>
          </w:p>
        </w:tc>
        <w:tc>
          <w:tcPr>
            <w:tcW w:w="5114" w:type="dxa"/>
            <w:gridSpan w:val="3"/>
            <w:vAlign w:val="center"/>
          </w:tcPr>
          <w:p w14:paraId="50A52A30">
            <w:pPr>
              <w:jc w:val="center"/>
              <w:rPr>
                <w:rFonts w:ascii="Times New Roman" w:eastAsia="仿宋"/>
                <w:szCs w:val="21"/>
              </w:rPr>
            </w:pPr>
            <w:r>
              <w:rPr>
                <w:rFonts w:hint="eastAsia" w:ascii="Times New Roman" w:eastAsia="仿宋"/>
                <w:szCs w:val="21"/>
              </w:rPr>
              <w:t>氮氧化物</w:t>
            </w:r>
          </w:p>
        </w:tc>
        <w:tc>
          <w:tcPr>
            <w:tcW w:w="1150" w:type="dxa"/>
            <w:vAlign w:val="bottom"/>
          </w:tcPr>
          <w:p w14:paraId="01DB4135">
            <w:pPr>
              <w:jc w:val="center"/>
              <w:rPr>
                <w:rFonts w:ascii="Times New Roman" w:eastAsia="仿宋"/>
                <w:szCs w:val="21"/>
              </w:rPr>
            </w:pPr>
            <w:r>
              <w:rPr>
                <w:rFonts w:ascii="Times New Roman" w:eastAsia="仿宋"/>
                <w:szCs w:val="21"/>
              </w:rPr>
              <w:t>1.12</w:t>
            </w:r>
          </w:p>
        </w:tc>
      </w:tr>
    </w:tbl>
    <w:p w14:paraId="6BAB1581">
      <w:pPr>
        <w:spacing w:line="500" w:lineRule="exact"/>
        <w:ind w:firstLine="560" w:firstLineChars="200"/>
        <w:rPr>
          <w:rFonts w:ascii="Times New Roman" w:eastAsia="仿宋"/>
          <w:sz w:val="28"/>
          <w:szCs w:val="28"/>
        </w:rPr>
      </w:pPr>
      <w:r>
        <w:rPr>
          <w:rFonts w:ascii="Times New Roman" w:eastAsia="仿宋"/>
          <w:sz w:val="28"/>
          <w:szCs w:val="28"/>
        </w:rPr>
        <w:t>（2）无组织排放量核算</w:t>
      </w:r>
    </w:p>
    <w:p w14:paraId="3EA8192C">
      <w:pPr>
        <w:pStyle w:val="182"/>
        <w:spacing w:before="0" w:line="500" w:lineRule="exact"/>
        <w:ind w:firstLine="0" w:firstLineChars="0"/>
        <w:jc w:val="center"/>
        <w:rPr>
          <w:rFonts w:eastAsia="仿宋"/>
          <w:b/>
        </w:rPr>
      </w:pPr>
      <w:r>
        <w:rPr>
          <w:rFonts w:eastAsia="仿宋"/>
          <w:b/>
        </w:rPr>
        <w:t>表5.2-21  大气污染物无组织排放量核算表</w:t>
      </w:r>
    </w:p>
    <w:tbl>
      <w:tblPr>
        <w:tblStyle w:val="87"/>
        <w:tblW w:w="86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1042"/>
        <w:gridCol w:w="1388"/>
        <w:gridCol w:w="1256"/>
        <w:gridCol w:w="1843"/>
        <w:gridCol w:w="1134"/>
        <w:gridCol w:w="1065"/>
      </w:tblGrid>
      <w:tr w14:paraId="04E45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Merge w:val="restart"/>
            <w:vAlign w:val="center"/>
          </w:tcPr>
          <w:p w14:paraId="4D9F4D9D">
            <w:pPr>
              <w:jc w:val="center"/>
              <w:rPr>
                <w:rFonts w:ascii="Times New Roman" w:eastAsia="仿宋"/>
                <w:szCs w:val="21"/>
              </w:rPr>
            </w:pPr>
            <w:r>
              <w:rPr>
                <w:rFonts w:ascii="Times New Roman" w:eastAsia="仿宋"/>
                <w:szCs w:val="21"/>
              </w:rPr>
              <w:t>序号</w:t>
            </w:r>
          </w:p>
        </w:tc>
        <w:tc>
          <w:tcPr>
            <w:tcW w:w="1042" w:type="dxa"/>
            <w:vMerge w:val="restart"/>
            <w:vAlign w:val="center"/>
          </w:tcPr>
          <w:p w14:paraId="4FC8B6E2">
            <w:pPr>
              <w:jc w:val="center"/>
              <w:rPr>
                <w:rFonts w:ascii="Times New Roman" w:eastAsia="仿宋"/>
                <w:szCs w:val="21"/>
              </w:rPr>
            </w:pPr>
            <w:r>
              <w:rPr>
                <w:rFonts w:hint="eastAsia" w:ascii="Times New Roman" w:eastAsia="仿宋"/>
                <w:szCs w:val="21"/>
              </w:rPr>
              <w:t>面源名称</w:t>
            </w:r>
          </w:p>
        </w:tc>
        <w:tc>
          <w:tcPr>
            <w:tcW w:w="1388" w:type="dxa"/>
            <w:vMerge w:val="restart"/>
            <w:vAlign w:val="center"/>
          </w:tcPr>
          <w:p w14:paraId="06AB898B">
            <w:pPr>
              <w:jc w:val="center"/>
              <w:rPr>
                <w:rFonts w:ascii="Times New Roman" w:eastAsia="仿宋"/>
                <w:szCs w:val="21"/>
              </w:rPr>
            </w:pPr>
            <w:r>
              <w:rPr>
                <w:rFonts w:ascii="Times New Roman" w:eastAsia="仿宋"/>
                <w:szCs w:val="21"/>
              </w:rPr>
              <w:t>污染物</w:t>
            </w:r>
          </w:p>
        </w:tc>
        <w:tc>
          <w:tcPr>
            <w:tcW w:w="1256" w:type="dxa"/>
            <w:vMerge w:val="restart"/>
            <w:vAlign w:val="center"/>
          </w:tcPr>
          <w:p w14:paraId="1425CE34">
            <w:pPr>
              <w:jc w:val="center"/>
              <w:rPr>
                <w:rFonts w:ascii="Times New Roman" w:eastAsia="仿宋"/>
                <w:szCs w:val="21"/>
              </w:rPr>
            </w:pPr>
            <w:r>
              <w:rPr>
                <w:rFonts w:ascii="Times New Roman" w:eastAsia="仿宋"/>
                <w:szCs w:val="21"/>
              </w:rPr>
              <w:t>主要污染防治措施</w:t>
            </w:r>
          </w:p>
        </w:tc>
        <w:tc>
          <w:tcPr>
            <w:tcW w:w="2977" w:type="dxa"/>
            <w:gridSpan w:val="2"/>
            <w:vAlign w:val="center"/>
          </w:tcPr>
          <w:p w14:paraId="7D970601">
            <w:pPr>
              <w:jc w:val="center"/>
              <w:rPr>
                <w:rFonts w:ascii="Times New Roman" w:eastAsia="仿宋"/>
                <w:szCs w:val="21"/>
              </w:rPr>
            </w:pPr>
            <w:r>
              <w:rPr>
                <w:rFonts w:ascii="Times New Roman" w:eastAsia="仿宋"/>
                <w:szCs w:val="21"/>
              </w:rPr>
              <w:t>国家或地方污染物排放标准</w:t>
            </w:r>
          </w:p>
        </w:tc>
        <w:tc>
          <w:tcPr>
            <w:tcW w:w="1065" w:type="dxa"/>
            <w:vMerge w:val="restart"/>
            <w:vAlign w:val="center"/>
          </w:tcPr>
          <w:p w14:paraId="255E5EEF">
            <w:pPr>
              <w:jc w:val="center"/>
              <w:rPr>
                <w:rFonts w:ascii="Times New Roman" w:eastAsia="仿宋"/>
                <w:szCs w:val="21"/>
              </w:rPr>
            </w:pPr>
            <w:r>
              <w:rPr>
                <w:rFonts w:ascii="Times New Roman" w:eastAsia="仿宋"/>
                <w:szCs w:val="21"/>
              </w:rPr>
              <w:t>年排放量</w:t>
            </w:r>
          </w:p>
          <w:p w14:paraId="162F2425">
            <w:pPr>
              <w:jc w:val="center"/>
              <w:rPr>
                <w:rFonts w:ascii="Times New Roman" w:eastAsia="仿宋"/>
                <w:szCs w:val="21"/>
              </w:rPr>
            </w:pPr>
            <w:r>
              <w:rPr>
                <w:rFonts w:ascii="Times New Roman" w:eastAsia="仿宋"/>
                <w:szCs w:val="21"/>
              </w:rPr>
              <w:t>t/a</w:t>
            </w:r>
          </w:p>
        </w:tc>
      </w:tr>
      <w:tr w14:paraId="4158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Merge w:val="continue"/>
            <w:vAlign w:val="center"/>
          </w:tcPr>
          <w:p w14:paraId="17F79667">
            <w:pPr>
              <w:jc w:val="center"/>
              <w:rPr>
                <w:rFonts w:ascii="Times New Roman" w:eastAsia="仿宋"/>
                <w:szCs w:val="21"/>
              </w:rPr>
            </w:pPr>
          </w:p>
        </w:tc>
        <w:tc>
          <w:tcPr>
            <w:tcW w:w="1042" w:type="dxa"/>
            <w:vMerge w:val="continue"/>
            <w:vAlign w:val="center"/>
          </w:tcPr>
          <w:p w14:paraId="661B1A79">
            <w:pPr>
              <w:jc w:val="center"/>
              <w:rPr>
                <w:rFonts w:ascii="Times New Roman" w:eastAsia="仿宋"/>
                <w:szCs w:val="21"/>
              </w:rPr>
            </w:pPr>
          </w:p>
        </w:tc>
        <w:tc>
          <w:tcPr>
            <w:tcW w:w="1388" w:type="dxa"/>
            <w:vMerge w:val="continue"/>
            <w:vAlign w:val="center"/>
          </w:tcPr>
          <w:p w14:paraId="3F08EEBF">
            <w:pPr>
              <w:jc w:val="center"/>
              <w:rPr>
                <w:rFonts w:ascii="Times New Roman" w:eastAsia="仿宋"/>
                <w:szCs w:val="21"/>
              </w:rPr>
            </w:pPr>
          </w:p>
        </w:tc>
        <w:tc>
          <w:tcPr>
            <w:tcW w:w="1256" w:type="dxa"/>
            <w:vMerge w:val="continue"/>
            <w:vAlign w:val="center"/>
          </w:tcPr>
          <w:p w14:paraId="7FE1C27F">
            <w:pPr>
              <w:jc w:val="center"/>
              <w:rPr>
                <w:rFonts w:ascii="Times New Roman" w:eastAsia="仿宋"/>
                <w:szCs w:val="21"/>
              </w:rPr>
            </w:pPr>
          </w:p>
        </w:tc>
        <w:tc>
          <w:tcPr>
            <w:tcW w:w="1843" w:type="dxa"/>
            <w:vAlign w:val="center"/>
          </w:tcPr>
          <w:p w14:paraId="23CFE057">
            <w:pPr>
              <w:jc w:val="center"/>
              <w:rPr>
                <w:rFonts w:ascii="Times New Roman" w:eastAsia="仿宋"/>
                <w:szCs w:val="21"/>
              </w:rPr>
            </w:pPr>
            <w:r>
              <w:rPr>
                <w:rFonts w:ascii="Times New Roman" w:eastAsia="仿宋"/>
                <w:szCs w:val="21"/>
              </w:rPr>
              <w:t>标准名称</w:t>
            </w:r>
          </w:p>
        </w:tc>
        <w:tc>
          <w:tcPr>
            <w:tcW w:w="1134" w:type="dxa"/>
            <w:vAlign w:val="center"/>
          </w:tcPr>
          <w:p w14:paraId="399D9A17">
            <w:pPr>
              <w:jc w:val="center"/>
              <w:rPr>
                <w:rFonts w:ascii="Times New Roman" w:eastAsia="仿宋"/>
                <w:szCs w:val="21"/>
              </w:rPr>
            </w:pPr>
            <w:r>
              <w:rPr>
                <w:rFonts w:ascii="Times New Roman" w:eastAsia="仿宋"/>
                <w:szCs w:val="21"/>
              </w:rPr>
              <w:t>浓度名称</w:t>
            </w:r>
          </w:p>
          <w:p w14:paraId="461A11A5">
            <w:pPr>
              <w:jc w:val="center"/>
              <w:rPr>
                <w:rFonts w:ascii="Times New Roman" w:eastAsia="仿宋"/>
                <w:szCs w:val="21"/>
              </w:rPr>
            </w:pPr>
            <w:r>
              <w:rPr>
                <w:rFonts w:ascii="Times New Roman" w:eastAsia="仿宋"/>
                <w:szCs w:val="21"/>
              </w:rPr>
              <w:t>mg/m</w:t>
            </w:r>
            <w:r>
              <w:rPr>
                <w:rFonts w:ascii="Times New Roman" w:eastAsia="仿宋"/>
                <w:szCs w:val="21"/>
                <w:vertAlign w:val="superscript"/>
              </w:rPr>
              <w:t>3</w:t>
            </w:r>
          </w:p>
        </w:tc>
        <w:tc>
          <w:tcPr>
            <w:tcW w:w="1065" w:type="dxa"/>
            <w:vMerge w:val="continue"/>
            <w:vAlign w:val="center"/>
          </w:tcPr>
          <w:p w14:paraId="0AB32BAC">
            <w:pPr>
              <w:jc w:val="center"/>
              <w:rPr>
                <w:rFonts w:ascii="Times New Roman" w:eastAsia="仿宋"/>
                <w:szCs w:val="21"/>
              </w:rPr>
            </w:pPr>
          </w:p>
        </w:tc>
      </w:tr>
      <w:tr w14:paraId="472C7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Align w:val="center"/>
          </w:tcPr>
          <w:p w14:paraId="0DC3D946">
            <w:pPr>
              <w:jc w:val="center"/>
              <w:rPr>
                <w:rFonts w:ascii="Times New Roman" w:eastAsia="仿宋"/>
                <w:szCs w:val="21"/>
              </w:rPr>
            </w:pPr>
            <w:r>
              <w:rPr>
                <w:rFonts w:ascii="Times New Roman" w:eastAsia="仿宋"/>
                <w:szCs w:val="21"/>
              </w:rPr>
              <w:t>1</w:t>
            </w:r>
          </w:p>
        </w:tc>
        <w:tc>
          <w:tcPr>
            <w:tcW w:w="1042" w:type="dxa"/>
            <w:vAlign w:val="center"/>
          </w:tcPr>
          <w:p w14:paraId="7ACC48D7">
            <w:pPr>
              <w:jc w:val="center"/>
              <w:rPr>
                <w:rFonts w:ascii="Times New Roman" w:eastAsia="仿宋"/>
                <w:szCs w:val="21"/>
              </w:rPr>
            </w:pPr>
            <w:r>
              <w:rPr>
                <w:rFonts w:hint="eastAsia" w:ascii="Times New Roman" w:eastAsia="仿宋"/>
                <w:szCs w:val="21"/>
              </w:rPr>
              <w:t>1号钣金车间</w:t>
            </w:r>
          </w:p>
        </w:tc>
        <w:tc>
          <w:tcPr>
            <w:tcW w:w="1388" w:type="dxa"/>
            <w:vAlign w:val="center"/>
          </w:tcPr>
          <w:p w14:paraId="6999B38A">
            <w:pPr>
              <w:jc w:val="center"/>
              <w:rPr>
                <w:rFonts w:ascii="Times New Roman" w:eastAsia="仿宋"/>
                <w:szCs w:val="21"/>
              </w:rPr>
            </w:pPr>
            <w:r>
              <w:rPr>
                <w:rFonts w:hint="eastAsia" w:ascii="Times New Roman" w:eastAsia="仿宋"/>
                <w:szCs w:val="21"/>
              </w:rPr>
              <w:t>颗粒物</w:t>
            </w:r>
          </w:p>
        </w:tc>
        <w:tc>
          <w:tcPr>
            <w:tcW w:w="1256" w:type="dxa"/>
            <w:vAlign w:val="center"/>
          </w:tcPr>
          <w:p w14:paraId="7B40F86B">
            <w:pPr>
              <w:jc w:val="center"/>
              <w:rPr>
                <w:rFonts w:ascii="Times New Roman" w:eastAsia="仿宋"/>
                <w:szCs w:val="21"/>
              </w:rPr>
            </w:pPr>
            <w:r>
              <w:rPr>
                <w:rFonts w:hint="eastAsia" w:ascii="Times New Roman" w:eastAsia="仿宋"/>
                <w:szCs w:val="21"/>
              </w:rPr>
              <w:t>移动式焊烟净化器</w:t>
            </w:r>
          </w:p>
        </w:tc>
        <w:tc>
          <w:tcPr>
            <w:tcW w:w="1843" w:type="dxa"/>
            <w:vMerge w:val="restart"/>
            <w:vAlign w:val="center"/>
          </w:tcPr>
          <w:p w14:paraId="11A1C92F">
            <w:pPr>
              <w:jc w:val="center"/>
              <w:rPr>
                <w:rFonts w:ascii="Times New Roman" w:eastAsia="仿宋"/>
                <w:szCs w:val="21"/>
              </w:rPr>
            </w:pPr>
            <w:r>
              <w:rPr>
                <w:rFonts w:ascii="Times New Roman" w:eastAsia="仿宋"/>
                <w:szCs w:val="21"/>
              </w:rPr>
              <w:t>《大气污染物综合排放标准》(DB32/4041-2021)表3</w:t>
            </w:r>
          </w:p>
          <w:p w14:paraId="352C974C">
            <w:pPr>
              <w:jc w:val="center"/>
              <w:rPr>
                <w:rFonts w:ascii="Times New Roman" w:eastAsia="仿宋"/>
                <w:szCs w:val="21"/>
              </w:rPr>
            </w:pPr>
            <w:r>
              <w:rPr>
                <w:rFonts w:ascii="Times New Roman" w:eastAsia="仿宋"/>
                <w:szCs w:val="21"/>
              </w:rPr>
              <w:t>《大气污染物综合排放标准》(DB32/4041-2021)表3</w:t>
            </w:r>
          </w:p>
          <w:p w14:paraId="660DC653">
            <w:pPr>
              <w:jc w:val="center"/>
              <w:rPr>
                <w:rFonts w:ascii="Times New Roman" w:eastAsia="仿宋"/>
                <w:szCs w:val="21"/>
              </w:rPr>
            </w:pPr>
            <w:r>
              <w:rPr>
                <w:rFonts w:ascii="Times New Roman" w:eastAsia="仿宋"/>
                <w:szCs w:val="21"/>
              </w:rPr>
              <w:t>《大气污染物综合排放标准》(DB32/4041-2021)表3</w:t>
            </w:r>
          </w:p>
        </w:tc>
        <w:tc>
          <w:tcPr>
            <w:tcW w:w="1134" w:type="dxa"/>
            <w:vAlign w:val="center"/>
          </w:tcPr>
          <w:p w14:paraId="5E0011B7">
            <w:pPr>
              <w:jc w:val="center"/>
              <w:rPr>
                <w:rFonts w:ascii="Times New Roman" w:eastAsia="仿宋"/>
                <w:szCs w:val="21"/>
              </w:rPr>
            </w:pPr>
            <w:r>
              <w:rPr>
                <w:rFonts w:hint="eastAsia" w:ascii="Times New Roman" w:eastAsia="仿宋"/>
                <w:szCs w:val="21"/>
              </w:rPr>
              <w:t>0.5</w:t>
            </w:r>
          </w:p>
        </w:tc>
        <w:tc>
          <w:tcPr>
            <w:tcW w:w="1065" w:type="dxa"/>
            <w:vAlign w:val="center"/>
          </w:tcPr>
          <w:p w14:paraId="296032B0">
            <w:pPr>
              <w:jc w:val="center"/>
              <w:rPr>
                <w:rFonts w:ascii="Times New Roman" w:eastAsia="仿宋"/>
                <w:szCs w:val="21"/>
              </w:rPr>
            </w:pPr>
            <w:r>
              <w:rPr>
                <w:rFonts w:hint="eastAsia" w:ascii="Times New Roman" w:eastAsia="仿宋"/>
                <w:szCs w:val="21"/>
              </w:rPr>
              <w:t>0.01</w:t>
            </w:r>
          </w:p>
        </w:tc>
      </w:tr>
      <w:tr w14:paraId="42BB2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Align w:val="center"/>
          </w:tcPr>
          <w:p w14:paraId="3B95D019">
            <w:pPr>
              <w:jc w:val="center"/>
              <w:rPr>
                <w:rFonts w:ascii="Times New Roman" w:eastAsia="仿宋"/>
                <w:szCs w:val="21"/>
              </w:rPr>
            </w:pPr>
            <w:r>
              <w:rPr>
                <w:rFonts w:hint="eastAsia" w:ascii="Times New Roman" w:eastAsia="仿宋"/>
                <w:szCs w:val="21"/>
              </w:rPr>
              <w:t>2</w:t>
            </w:r>
          </w:p>
        </w:tc>
        <w:tc>
          <w:tcPr>
            <w:tcW w:w="1042" w:type="dxa"/>
            <w:vAlign w:val="center"/>
          </w:tcPr>
          <w:p w14:paraId="5953094F">
            <w:pPr>
              <w:jc w:val="center"/>
              <w:rPr>
                <w:rFonts w:ascii="Times New Roman" w:eastAsia="仿宋"/>
                <w:szCs w:val="21"/>
              </w:rPr>
            </w:pPr>
            <w:r>
              <w:rPr>
                <w:rFonts w:hint="eastAsia" w:ascii="Times New Roman" w:eastAsia="仿宋"/>
                <w:szCs w:val="21"/>
              </w:rPr>
              <w:t>2号钣金车间</w:t>
            </w:r>
          </w:p>
        </w:tc>
        <w:tc>
          <w:tcPr>
            <w:tcW w:w="1388" w:type="dxa"/>
            <w:vAlign w:val="center"/>
          </w:tcPr>
          <w:p w14:paraId="2D789D2E">
            <w:pPr>
              <w:jc w:val="center"/>
              <w:rPr>
                <w:rFonts w:ascii="Times New Roman" w:eastAsia="仿宋"/>
                <w:szCs w:val="21"/>
              </w:rPr>
            </w:pPr>
            <w:r>
              <w:rPr>
                <w:rFonts w:hint="eastAsia" w:ascii="Times New Roman" w:eastAsia="仿宋"/>
                <w:szCs w:val="21"/>
              </w:rPr>
              <w:t>颗粒物</w:t>
            </w:r>
          </w:p>
        </w:tc>
        <w:tc>
          <w:tcPr>
            <w:tcW w:w="1256" w:type="dxa"/>
            <w:vAlign w:val="center"/>
          </w:tcPr>
          <w:p w14:paraId="06FA2191">
            <w:pPr>
              <w:jc w:val="center"/>
              <w:rPr>
                <w:rFonts w:ascii="Times New Roman" w:eastAsia="仿宋"/>
                <w:szCs w:val="21"/>
              </w:rPr>
            </w:pPr>
            <w:r>
              <w:rPr>
                <w:rFonts w:hint="eastAsia" w:ascii="Times New Roman" w:eastAsia="仿宋"/>
                <w:szCs w:val="21"/>
              </w:rPr>
              <w:t>移动式焊烟净化器</w:t>
            </w:r>
          </w:p>
        </w:tc>
        <w:tc>
          <w:tcPr>
            <w:tcW w:w="1843" w:type="dxa"/>
            <w:vMerge w:val="continue"/>
            <w:vAlign w:val="center"/>
          </w:tcPr>
          <w:p w14:paraId="79D2DC22">
            <w:pPr>
              <w:jc w:val="center"/>
              <w:rPr>
                <w:rFonts w:ascii="Times New Roman" w:eastAsia="仿宋"/>
                <w:szCs w:val="21"/>
              </w:rPr>
            </w:pPr>
          </w:p>
        </w:tc>
        <w:tc>
          <w:tcPr>
            <w:tcW w:w="1134" w:type="dxa"/>
            <w:vAlign w:val="center"/>
          </w:tcPr>
          <w:p w14:paraId="3498BDE0">
            <w:pPr>
              <w:jc w:val="center"/>
              <w:rPr>
                <w:rFonts w:ascii="Times New Roman" w:eastAsia="仿宋"/>
                <w:szCs w:val="21"/>
              </w:rPr>
            </w:pPr>
            <w:r>
              <w:rPr>
                <w:rFonts w:hint="eastAsia" w:ascii="Times New Roman" w:eastAsia="仿宋"/>
                <w:szCs w:val="21"/>
              </w:rPr>
              <w:t>0.5</w:t>
            </w:r>
          </w:p>
        </w:tc>
        <w:tc>
          <w:tcPr>
            <w:tcW w:w="1065" w:type="dxa"/>
            <w:vAlign w:val="center"/>
          </w:tcPr>
          <w:p w14:paraId="2C1F0CF2">
            <w:pPr>
              <w:jc w:val="center"/>
              <w:rPr>
                <w:rFonts w:ascii="Times New Roman" w:eastAsia="仿宋"/>
                <w:szCs w:val="21"/>
              </w:rPr>
            </w:pPr>
            <w:r>
              <w:rPr>
                <w:rFonts w:hint="eastAsia" w:ascii="Times New Roman" w:eastAsia="仿宋"/>
                <w:szCs w:val="21"/>
              </w:rPr>
              <w:t>0.016</w:t>
            </w:r>
          </w:p>
        </w:tc>
      </w:tr>
      <w:tr w14:paraId="69FC8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Merge w:val="restart"/>
            <w:vAlign w:val="center"/>
          </w:tcPr>
          <w:p w14:paraId="2432FFB3">
            <w:pPr>
              <w:jc w:val="center"/>
              <w:rPr>
                <w:rFonts w:ascii="Times New Roman" w:eastAsia="仿宋"/>
                <w:szCs w:val="21"/>
              </w:rPr>
            </w:pPr>
            <w:r>
              <w:rPr>
                <w:rFonts w:hint="eastAsia" w:ascii="Times New Roman" w:eastAsia="仿宋"/>
                <w:szCs w:val="21"/>
              </w:rPr>
              <w:t>3</w:t>
            </w:r>
          </w:p>
        </w:tc>
        <w:tc>
          <w:tcPr>
            <w:tcW w:w="1042" w:type="dxa"/>
            <w:vMerge w:val="restart"/>
            <w:vAlign w:val="center"/>
          </w:tcPr>
          <w:p w14:paraId="5C750CEE">
            <w:pPr>
              <w:jc w:val="center"/>
              <w:rPr>
                <w:rFonts w:ascii="Times New Roman" w:eastAsia="仿宋"/>
                <w:szCs w:val="21"/>
              </w:rPr>
            </w:pPr>
            <w:r>
              <w:rPr>
                <w:rFonts w:hint="eastAsia" w:ascii="Times New Roman" w:eastAsia="仿宋"/>
                <w:szCs w:val="21"/>
              </w:rPr>
              <w:t>3号喷涂车间</w:t>
            </w:r>
          </w:p>
        </w:tc>
        <w:tc>
          <w:tcPr>
            <w:tcW w:w="1388" w:type="dxa"/>
            <w:vAlign w:val="center"/>
          </w:tcPr>
          <w:p w14:paraId="4E2818D5">
            <w:pPr>
              <w:jc w:val="center"/>
              <w:rPr>
                <w:rFonts w:ascii="Times New Roman" w:eastAsia="仿宋"/>
                <w:szCs w:val="21"/>
              </w:rPr>
            </w:pPr>
            <w:r>
              <w:rPr>
                <w:rFonts w:hint="eastAsia" w:ascii="Times New Roman" w:eastAsia="仿宋"/>
                <w:szCs w:val="21"/>
              </w:rPr>
              <w:t>非甲烷总烃</w:t>
            </w:r>
          </w:p>
        </w:tc>
        <w:tc>
          <w:tcPr>
            <w:tcW w:w="1256" w:type="dxa"/>
            <w:vMerge w:val="restart"/>
            <w:vAlign w:val="center"/>
          </w:tcPr>
          <w:p w14:paraId="024EA8D9">
            <w:pPr>
              <w:jc w:val="center"/>
              <w:rPr>
                <w:rFonts w:ascii="Times New Roman" w:eastAsia="仿宋"/>
                <w:szCs w:val="21"/>
              </w:rPr>
            </w:pPr>
            <w:r>
              <w:rPr>
                <w:rFonts w:hint="eastAsia" w:ascii="Times New Roman" w:eastAsia="仿宋"/>
                <w:szCs w:val="21"/>
              </w:rPr>
              <w:t>/</w:t>
            </w:r>
          </w:p>
        </w:tc>
        <w:tc>
          <w:tcPr>
            <w:tcW w:w="1843" w:type="dxa"/>
            <w:vMerge w:val="continue"/>
            <w:vAlign w:val="center"/>
          </w:tcPr>
          <w:p w14:paraId="5C19C751">
            <w:pPr>
              <w:jc w:val="center"/>
              <w:rPr>
                <w:rFonts w:ascii="Times New Roman" w:eastAsia="仿宋"/>
                <w:szCs w:val="21"/>
              </w:rPr>
            </w:pPr>
          </w:p>
        </w:tc>
        <w:tc>
          <w:tcPr>
            <w:tcW w:w="1134" w:type="dxa"/>
            <w:vAlign w:val="center"/>
          </w:tcPr>
          <w:p w14:paraId="134E2602">
            <w:pPr>
              <w:jc w:val="center"/>
              <w:rPr>
                <w:rFonts w:ascii="Times New Roman" w:eastAsia="仿宋"/>
                <w:szCs w:val="21"/>
              </w:rPr>
            </w:pPr>
            <w:r>
              <w:rPr>
                <w:rFonts w:hint="eastAsia" w:ascii="Times New Roman" w:eastAsia="仿宋"/>
                <w:szCs w:val="21"/>
              </w:rPr>
              <w:t>4.0</w:t>
            </w:r>
          </w:p>
        </w:tc>
        <w:tc>
          <w:tcPr>
            <w:tcW w:w="1065" w:type="dxa"/>
            <w:vAlign w:val="center"/>
          </w:tcPr>
          <w:p w14:paraId="6D5E1AEE">
            <w:pPr>
              <w:widowControl/>
              <w:jc w:val="center"/>
              <w:textAlignment w:val="center"/>
              <w:rPr>
                <w:rFonts w:ascii="Times New Roman" w:eastAsia="仿宋"/>
                <w:szCs w:val="21"/>
              </w:rPr>
            </w:pPr>
            <w:r>
              <w:rPr>
                <w:rFonts w:ascii="Times New Roman"/>
                <w:szCs w:val="24"/>
                <w:lang w:bidi="ar"/>
              </w:rPr>
              <w:t>1.199</w:t>
            </w:r>
          </w:p>
        </w:tc>
      </w:tr>
      <w:tr w14:paraId="26059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Merge w:val="continue"/>
            <w:vAlign w:val="center"/>
          </w:tcPr>
          <w:p w14:paraId="44D27516">
            <w:pPr>
              <w:jc w:val="center"/>
              <w:rPr>
                <w:rFonts w:ascii="Times New Roman" w:eastAsia="仿宋"/>
                <w:szCs w:val="21"/>
              </w:rPr>
            </w:pPr>
          </w:p>
        </w:tc>
        <w:tc>
          <w:tcPr>
            <w:tcW w:w="1042" w:type="dxa"/>
            <w:vMerge w:val="continue"/>
            <w:vAlign w:val="center"/>
          </w:tcPr>
          <w:p w14:paraId="085F8224">
            <w:pPr>
              <w:jc w:val="center"/>
              <w:rPr>
                <w:rFonts w:ascii="Times New Roman" w:eastAsia="仿宋"/>
                <w:szCs w:val="21"/>
              </w:rPr>
            </w:pPr>
          </w:p>
        </w:tc>
        <w:tc>
          <w:tcPr>
            <w:tcW w:w="1388" w:type="dxa"/>
            <w:vAlign w:val="center"/>
          </w:tcPr>
          <w:p w14:paraId="4776C7CD">
            <w:pPr>
              <w:jc w:val="center"/>
              <w:rPr>
                <w:rFonts w:ascii="Times New Roman" w:eastAsia="仿宋"/>
                <w:szCs w:val="21"/>
              </w:rPr>
            </w:pPr>
            <w:r>
              <w:rPr>
                <w:rFonts w:hint="eastAsia" w:ascii="Times New Roman" w:eastAsia="仿宋"/>
                <w:szCs w:val="21"/>
              </w:rPr>
              <w:t>二甲苯</w:t>
            </w:r>
          </w:p>
        </w:tc>
        <w:tc>
          <w:tcPr>
            <w:tcW w:w="1256" w:type="dxa"/>
            <w:vMerge w:val="continue"/>
            <w:vAlign w:val="center"/>
          </w:tcPr>
          <w:p w14:paraId="70C96B85">
            <w:pPr>
              <w:jc w:val="center"/>
              <w:rPr>
                <w:rFonts w:ascii="Times New Roman" w:eastAsia="仿宋"/>
                <w:szCs w:val="21"/>
              </w:rPr>
            </w:pPr>
          </w:p>
        </w:tc>
        <w:tc>
          <w:tcPr>
            <w:tcW w:w="1843" w:type="dxa"/>
            <w:vMerge w:val="continue"/>
            <w:vAlign w:val="center"/>
          </w:tcPr>
          <w:p w14:paraId="2BA0AC99">
            <w:pPr>
              <w:jc w:val="center"/>
              <w:rPr>
                <w:rFonts w:ascii="Times New Roman" w:eastAsia="仿宋"/>
                <w:szCs w:val="21"/>
              </w:rPr>
            </w:pPr>
          </w:p>
        </w:tc>
        <w:tc>
          <w:tcPr>
            <w:tcW w:w="1134" w:type="dxa"/>
            <w:vAlign w:val="center"/>
          </w:tcPr>
          <w:p w14:paraId="077C70C0">
            <w:pPr>
              <w:jc w:val="center"/>
              <w:rPr>
                <w:rFonts w:ascii="Times New Roman" w:eastAsia="仿宋"/>
                <w:szCs w:val="21"/>
              </w:rPr>
            </w:pPr>
            <w:r>
              <w:rPr>
                <w:rFonts w:hint="eastAsia" w:ascii="Times New Roman" w:eastAsia="仿宋"/>
                <w:szCs w:val="21"/>
              </w:rPr>
              <w:t>0.2</w:t>
            </w:r>
          </w:p>
        </w:tc>
        <w:tc>
          <w:tcPr>
            <w:tcW w:w="1065" w:type="dxa"/>
            <w:vAlign w:val="center"/>
          </w:tcPr>
          <w:p w14:paraId="1DAFB1B6">
            <w:pPr>
              <w:widowControl/>
              <w:jc w:val="center"/>
              <w:textAlignment w:val="center"/>
              <w:rPr>
                <w:rFonts w:ascii="Times New Roman" w:eastAsia="仿宋"/>
                <w:szCs w:val="21"/>
              </w:rPr>
            </w:pPr>
            <w:r>
              <w:rPr>
                <w:rFonts w:ascii="Times New Roman"/>
                <w:szCs w:val="24"/>
                <w:lang w:bidi="ar"/>
              </w:rPr>
              <w:t>0.088</w:t>
            </w:r>
          </w:p>
        </w:tc>
      </w:tr>
      <w:tr w14:paraId="1CBF3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Merge w:val="continue"/>
            <w:vAlign w:val="center"/>
          </w:tcPr>
          <w:p w14:paraId="16EFE00E">
            <w:pPr>
              <w:jc w:val="center"/>
              <w:rPr>
                <w:rFonts w:ascii="Times New Roman" w:eastAsia="仿宋"/>
                <w:szCs w:val="21"/>
              </w:rPr>
            </w:pPr>
          </w:p>
        </w:tc>
        <w:tc>
          <w:tcPr>
            <w:tcW w:w="1042" w:type="dxa"/>
            <w:vMerge w:val="continue"/>
            <w:vAlign w:val="center"/>
          </w:tcPr>
          <w:p w14:paraId="6F6135CD">
            <w:pPr>
              <w:jc w:val="center"/>
              <w:rPr>
                <w:rFonts w:ascii="Times New Roman" w:eastAsia="仿宋"/>
                <w:szCs w:val="21"/>
              </w:rPr>
            </w:pPr>
          </w:p>
        </w:tc>
        <w:tc>
          <w:tcPr>
            <w:tcW w:w="1388" w:type="dxa"/>
            <w:vAlign w:val="center"/>
          </w:tcPr>
          <w:p w14:paraId="6FB67D8B">
            <w:pPr>
              <w:jc w:val="center"/>
              <w:rPr>
                <w:rFonts w:ascii="Times New Roman" w:eastAsia="仿宋"/>
                <w:szCs w:val="21"/>
              </w:rPr>
            </w:pPr>
            <w:r>
              <w:rPr>
                <w:rFonts w:hint="eastAsia" w:ascii="Times New Roman" w:eastAsia="仿宋"/>
                <w:szCs w:val="21"/>
              </w:rPr>
              <w:t>苯系物</w:t>
            </w:r>
          </w:p>
        </w:tc>
        <w:tc>
          <w:tcPr>
            <w:tcW w:w="1256" w:type="dxa"/>
            <w:vMerge w:val="continue"/>
            <w:vAlign w:val="center"/>
          </w:tcPr>
          <w:p w14:paraId="1974DCAD">
            <w:pPr>
              <w:jc w:val="center"/>
              <w:rPr>
                <w:rFonts w:ascii="Times New Roman" w:eastAsia="仿宋"/>
                <w:szCs w:val="21"/>
              </w:rPr>
            </w:pPr>
          </w:p>
        </w:tc>
        <w:tc>
          <w:tcPr>
            <w:tcW w:w="1843" w:type="dxa"/>
            <w:vMerge w:val="continue"/>
            <w:vAlign w:val="center"/>
          </w:tcPr>
          <w:p w14:paraId="0627C744">
            <w:pPr>
              <w:jc w:val="center"/>
              <w:rPr>
                <w:rFonts w:ascii="Times New Roman" w:eastAsia="仿宋"/>
                <w:szCs w:val="21"/>
              </w:rPr>
            </w:pPr>
          </w:p>
        </w:tc>
        <w:tc>
          <w:tcPr>
            <w:tcW w:w="1134" w:type="dxa"/>
            <w:vAlign w:val="center"/>
          </w:tcPr>
          <w:p w14:paraId="1D294295">
            <w:pPr>
              <w:jc w:val="center"/>
              <w:rPr>
                <w:rFonts w:ascii="Times New Roman" w:eastAsia="仿宋"/>
                <w:szCs w:val="21"/>
              </w:rPr>
            </w:pPr>
            <w:r>
              <w:rPr>
                <w:rFonts w:hint="eastAsia" w:ascii="Times New Roman" w:eastAsia="仿宋"/>
                <w:szCs w:val="21"/>
              </w:rPr>
              <w:t>0</w:t>
            </w:r>
            <w:r>
              <w:rPr>
                <w:rFonts w:ascii="Times New Roman" w:eastAsia="仿宋"/>
                <w:szCs w:val="21"/>
              </w:rPr>
              <w:t>.4</w:t>
            </w:r>
          </w:p>
        </w:tc>
        <w:tc>
          <w:tcPr>
            <w:tcW w:w="1065" w:type="dxa"/>
            <w:vAlign w:val="center"/>
          </w:tcPr>
          <w:p w14:paraId="2EDB10C9">
            <w:pPr>
              <w:widowControl/>
              <w:jc w:val="center"/>
              <w:textAlignment w:val="center"/>
              <w:rPr>
                <w:rFonts w:ascii="Times New Roman" w:eastAsia="仿宋"/>
                <w:szCs w:val="21"/>
              </w:rPr>
            </w:pPr>
            <w:r>
              <w:rPr>
                <w:rFonts w:ascii="Times New Roman"/>
                <w:szCs w:val="24"/>
                <w:lang w:bidi="ar"/>
              </w:rPr>
              <w:t>0.088</w:t>
            </w:r>
          </w:p>
        </w:tc>
      </w:tr>
      <w:tr w14:paraId="1A30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Merge w:val="continue"/>
            <w:vAlign w:val="center"/>
          </w:tcPr>
          <w:p w14:paraId="646194FA">
            <w:pPr>
              <w:jc w:val="center"/>
              <w:rPr>
                <w:rFonts w:ascii="Times New Roman" w:eastAsia="仿宋"/>
                <w:szCs w:val="21"/>
              </w:rPr>
            </w:pPr>
          </w:p>
        </w:tc>
        <w:tc>
          <w:tcPr>
            <w:tcW w:w="1042" w:type="dxa"/>
            <w:vMerge w:val="continue"/>
            <w:vAlign w:val="center"/>
          </w:tcPr>
          <w:p w14:paraId="107A1CCE">
            <w:pPr>
              <w:jc w:val="center"/>
              <w:rPr>
                <w:rFonts w:ascii="Times New Roman" w:eastAsia="仿宋"/>
                <w:szCs w:val="21"/>
              </w:rPr>
            </w:pPr>
          </w:p>
        </w:tc>
        <w:tc>
          <w:tcPr>
            <w:tcW w:w="1388" w:type="dxa"/>
            <w:vAlign w:val="center"/>
          </w:tcPr>
          <w:p w14:paraId="08639F06">
            <w:pPr>
              <w:jc w:val="center"/>
              <w:rPr>
                <w:rFonts w:ascii="Times New Roman" w:eastAsia="仿宋"/>
                <w:szCs w:val="21"/>
              </w:rPr>
            </w:pPr>
            <w:r>
              <w:rPr>
                <w:rFonts w:hint="eastAsia" w:ascii="Times New Roman" w:eastAsia="仿宋"/>
                <w:szCs w:val="21"/>
              </w:rPr>
              <w:t>颗粒物</w:t>
            </w:r>
          </w:p>
        </w:tc>
        <w:tc>
          <w:tcPr>
            <w:tcW w:w="1256" w:type="dxa"/>
            <w:vMerge w:val="continue"/>
            <w:vAlign w:val="center"/>
          </w:tcPr>
          <w:p w14:paraId="52183105">
            <w:pPr>
              <w:jc w:val="center"/>
              <w:rPr>
                <w:rFonts w:ascii="Times New Roman" w:eastAsia="仿宋"/>
                <w:szCs w:val="21"/>
              </w:rPr>
            </w:pPr>
          </w:p>
        </w:tc>
        <w:tc>
          <w:tcPr>
            <w:tcW w:w="1843" w:type="dxa"/>
            <w:vMerge w:val="continue"/>
            <w:vAlign w:val="center"/>
          </w:tcPr>
          <w:p w14:paraId="27D9B3B9">
            <w:pPr>
              <w:jc w:val="center"/>
              <w:rPr>
                <w:rFonts w:ascii="Times New Roman" w:eastAsia="仿宋"/>
                <w:szCs w:val="21"/>
              </w:rPr>
            </w:pPr>
          </w:p>
        </w:tc>
        <w:tc>
          <w:tcPr>
            <w:tcW w:w="1134" w:type="dxa"/>
            <w:vAlign w:val="center"/>
          </w:tcPr>
          <w:p w14:paraId="781D34DA">
            <w:pPr>
              <w:jc w:val="center"/>
              <w:rPr>
                <w:rFonts w:ascii="Times New Roman" w:eastAsia="仿宋"/>
                <w:szCs w:val="21"/>
              </w:rPr>
            </w:pPr>
            <w:r>
              <w:rPr>
                <w:rFonts w:hint="eastAsia" w:ascii="Times New Roman" w:eastAsia="仿宋"/>
                <w:szCs w:val="21"/>
              </w:rPr>
              <w:t>0.5</w:t>
            </w:r>
          </w:p>
        </w:tc>
        <w:tc>
          <w:tcPr>
            <w:tcW w:w="1065" w:type="dxa"/>
            <w:vAlign w:val="center"/>
          </w:tcPr>
          <w:p w14:paraId="5C514871">
            <w:pPr>
              <w:widowControl/>
              <w:jc w:val="center"/>
              <w:textAlignment w:val="center"/>
              <w:rPr>
                <w:rFonts w:ascii="Times New Roman" w:eastAsia="仿宋"/>
                <w:szCs w:val="21"/>
              </w:rPr>
            </w:pPr>
            <w:r>
              <w:rPr>
                <w:rFonts w:ascii="Times New Roman"/>
                <w:szCs w:val="24"/>
                <w:lang w:bidi="ar"/>
              </w:rPr>
              <w:t>0.18</w:t>
            </w:r>
          </w:p>
        </w:tc>
      </w:tr>
      <w:tr w14:paraId="72E76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935" w:type="dxa"/>
            <w:vAlign w:val="center"/>
          </w:tcPr>
          <w:p w14:paraId="715EED37">
            <w:pPr>
              <w:jc w:val="center"/>
              <w:rPr>
                <w:rFonts w:ascii="Times New Roman" w:eastAsia="仿宋"/>
                <w:szCs w:val="21"/>
              </w:rPr>
            </w:pPr>
            <w:r>
              <w:rPr>
                <w:rFonts w:hint="eastAsia" w:ascii="Times New Roman" w:eastAsia="仿宋"/>
                <w:szCs w:val="21"/>
              </w:rPr>
              <w:t>4</w:t>
            </w:r>
          </w:p>
        </w:tc>
        <w:tc>
          <w:tcPr>
            <w:tcW w:w="1042" w:type="dxa"/>
            <w:vAlign w:val="center"/>
          </w:tcPr>
          <w:p w14:paraId="57DF7DDE">
            <w:pPr>
              <w:jc w:val="center"/>
              <w:rPr>
                <w:rFonts w:ascii="Times New Roman" w:eastAsia="仿宋"/>
                <w:szCs w:val="21"/>
              </w:rPr>
            </w:pPr>
            <w:r>
              <w:rPr>
                <w:rFonts w:hint="eastAsia" w:ascii="Times New Roman" w:eastAsia="仿宋"/>
                <w:szCs w:val="21"/>
              </w:rPr>
              <w:t>4号钣金车间</w:t>
            </w:r>
          </w:p>
        </w:tc>
        <w:tc>
          <w:tcPr>
            <w:tcW w:w="1388" w:type="dxa"/>
            <w:vAlign w:val="center"/>
          </w:tcPr>
          <w:p w14:paraId="5D414EC3">
            <w:pPr>
              <w:jc w:val="center"/>
              <w:rPr>
                <w:rFonts w:ascii="Times New Roman" w:eastAsia="仿宋"/>
                <w:szCs w:val="21"/>
              </w:rPr>
            </w:pPr>
            <w:r>
              <w:rPr>
                <w:rFonts w:hint="eastAsia" w:ascii="Times New Roman" w:eastAsia="仿宋"/>
                <w:szCs w:val="21"/>
              </w:rPr>
              <w:t>颗粒物</w:t>
            </w:r>
          </w:p>
        </w:tc>
        <w:tc>
          <w:tcPr>
            <w:tcW w:w="1256" w:type="dxa"/>
            <w:vAlign w:val="center"/>
          </w:tcPr>
          <w:p w14:paraId="2CC30075">
            <w:pPr>
              <w:jc w:val="center"/>
              <w:rPr>
                <w:rFonts w:ascii="Times New Roman" w:eastAsia="仿宋"/>
                <w:szCs w:val="21"/>
              </w:rPr>
            </w:pPr>
            <w:r>
              <w:rPr>
                <w:rFonts w:hint="eastAsia" w:ascii="Times New Roman" w:eastAsia="仿宋"/>
                <w:szCs w:val="21"/>
              </w:rPr>
              <w:t>移动式焊烟净化器</w:t>
            </w:r>
          </w:p>
        </w:tc>
        <w:tc>
          <w:tcPr>
            <w:tcW w:w="1843" w:type="dxa"/>
            <w:vMerge w:val="continue"/>
            <w:vAlign w:val="center"/>
          </w:tcPr>
          <w:p w14:paraId="473CAFB5">
            <w:pPr>
              <w:jc w:val="center"/>
              <w:rPr>
                <w:rFonts w:ascii="Times New Roman" w:eastAsia="仿宋"/>
                <w:szCs w:val="21"/>
              </w:rPr>
            </w:pPr>
          </w:p>
        </w:tc>
        <w:tc>
          <w:tcPr>
            <w:tcW w:w="1134" w:type="dxa"/>
            <w:vAlign w:val="center"/>
          </w:tcPr>
          <w:p w14:paraId="03395E27">
            <w:pPr>
              <w:jc w:val="center"/>
              <w:rPr>
                <w:rFonts w:ascii="Times New Roman" w:eastAsia="仿宋"/>
                <w:szCs w:val="21"/>
              </w:rPr>
            </w:pPr>
            <w:r>
              <w:rPr>
                <w:rFonts w:hint="eastAsia" w:ascii="Times New Roman" w:eastAsia="仿宋"/>
                <w:szCs w:val="21"/>
              </w:rPr>
              <w:t>0.5</w:t>
            </w:r>
          </w:p>
        </w:tc>
        <w:tc>
          <w:tcPr>
            <w:tcW w:w="1065" w:type="dxa"/>
            <w:vAlign w:val="center"/>
          </w:tcPr>
          <w:p w14:paraId="07290E3F">
            <w:pPr>
              <w:jc w:val="center"/>
              <w:rPr>
                <w:rFonts w:ascii="Times New Roman" w:eastAsia="仿宋"/>
                <w:szCs w:val="21"/>
              </w:rPr>
            </w:pPr>
            <w:r>
              <w:rPr>
                <w:rFonts w:hint="eastAsia" w:ascii="Times New Roman" w:eastAsia="仿宋"/>
                <w:szCs w:val="21"/>
              </w:rPr>
              <w:t>0.01</w:t>
            </w:r>
          </w:p>
        </w:tc>
      </w:tr>
      <w:tr w14:paraId="15FF4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63" w:type="dxa"/>
            <w:gridSpan w:val="7"/>
            <w:vAlign w:val="center"/>
          </w:tcPr>
          <w:p w14:paraId="0D2BC1B7">
            <w:pPr>
              <w:adjustRightInd w:val="0"/>
              <w:snapToGrid w:val="0"/>
              <w:jc w:val="center"/>
              <w:rPr>
                <w:rFonts w:ascii="Times New Roman" w:eastAsia="仿宋"/>
                <w:szCs w:val="21"/>
              </w:rPr>
            </w:pPr>
            <w:r>
              <w:rPr>
                <w:rFonts w:ascii="Times New Roman" w:eastAsia="仿宋"/>
                <w:szCs w:val="21"/>
              </w:rPr>
              <w:t>无组织排放总计</w:t>
            </w:r>
          </w:p>
        </w:tc>
      </w:tr>
      <w:tr w14:paraId="4703E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5" w:type="dxa"/>
            <w:gridSpan w:val="3"/>
            <w:vMerge w:val="restart"/>
            <w:vAlign w:val="center"/>
          </w:tcPr>
          <w:p w14:paraId="001DE329">
            <w:pPr>
              <w:jc w:val="center"/>
              <w:rPr>
                <w:rFonts w:ascii="Times New Roman" w:eastAsia="仿宋"/>
                <w:szCs w:val="21"/>
              </w:rPr>
            </w:pPr>
            <w:r>
              <w:rPr>
                <w:rFonts w:ascii="Times New Roman" w:eastAsia="仿宋"/>
                <w:szCs w:val="21"/>
              </w:rPr>
              <w:t>无组织排放总计</w:t>
            </w:r>
          </w:p>
        </w:tc>
        <w:tc>
          <w:tcPr>
            <w:tcW w:w="4233" w:type="dxa"/>
            <w:gridSpan w:val="3"/>
            <w:vAlign w:val="center"/>
          </w:tcPr>
          <w:p w14:paraId="380D5E21">
            <w:pPr>
              <w:jc w:val="center"/>
              <w:rPr>
                <w:rFonts w:ascii="Times New Roman" w:eastAsia="仿宋"/>
                <w:szCs w:val="21"/>
              </w:rPr>
            </w:pPr>
            <w:r>
              <w:rPr>
                <w:rFonts w:hint="eastAsia" w:ascii="Times New Roman" w:eastAsia="仿宋"/>
                <w:szCs w:val="21"/>
              </w:rPr>
              <w:t>二甲苯</w:t>
            </w:r>
          </w:p>
        </w:tc>
        <w:tc>
          <w:tcPr>
            <w:tcW w:w="1065" w:type="dxa"/>
            <w:vAlign w:val="center"/>
          </w:tcPr>
          <w:p w14:paraId="0FD34B5D">
            <w:pPr>
              <w:jc w:val="center"/>
              <w:rPr>
                <w:rFonts w:ascii="Times New Roman" w:eastAsia="仿宋"/>
                <w:szCs w:val="21"/>
              </w:rPr>
            </w:pPr>
            <w:r>
              <w:rPr>
                <w:rFonts w:hint="eastAsia" w:ascii="Times New Roman" w:eastAsia="仿宋"/>
                <w:szCs w:val="21"/>
              </w:rPr>
              <w:t>0.163</w:t>
            </w:r>
          </w:p>
        </w:tc>
      </w:tr>
      <w:tr w14:paraId="249F3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5" w:type="dxa"/>
            <w:gridSpan w:val="3"/>
            <w:vMerge w:val="continue"/>
            <w:vAlign w:val="center"/>
          </w:tcPr>
          <w:p w14:paraId="006C81BA">
            <w:pPr>
              <w:jc w:val="center"/>
              <w:rPr>
                <w:rFonts w:ascii="Times New Roman" w:eastAsia="仿宋"/>
                <w:szCs w:val="21"/>
              </w:rPr>
            </w:pPr>
          </w:p>
        </w:tc>
        <w:tc>
          <w:tcPr>
            <w:tcW w:w="4233" w:type="dxa"/>
            <w:gridSpan w:val="3"/>
            <w:vAlign w:val="center"/>
          </w:tcPr>
          <w:p w14:paraId="60AAB916">
            <w:pPr>
              <w:jc w:val="center"/>
              <w:rPr>
                <w:rFonts w:ascii="Times New Roman" w:eastAsia="仿宋"/>
                <w:szCs w:val="21"/>
              </w:rPr>
            </w:pPr>
            <w:r>
              <w:rPr>
                <w:rFonts w:hint="eastAsia" w:ascii="Times New Roman" w:eastAsia="仿宋"/>
                <w:szCs w:val="21"/>
              </w:rPr>
              <w:t>苯系物</w:t>
            </w:r>
          </w:p>
        </w:tc>
        <w:tc>
          <w:tcPr>
            <w:tcW w:w="1065" w:type="dxa"/>
            <w:vAlign w:val="center"/>
          </w:tcPr>
          <w:p w14:paraId="4A9D7BD9">
            <w:pPr>
              <w:jc w:val="center"/>
              <w:rPr>
                <w:rFonts w:ascii="Times New Roman" w:eastAsia="仿宋"/>
                <w:szCs w:val="21"/>
              </w:rPr>
            </w:pPr>
            <w:r>
              <w:rPr>
                <w:rFonts w:hint="eastAsia" w:ascii="Times New Roman" w:eastAsia="仿宋"/>
                <w:szCs w:val="21"/>
              </w:rPr>
              <w:t>0</w:t>
            </w:r>
            <w:r>
              <w:rPr>
                <w:rFonts w:ascii="Times New Roman" w:eastAsia="仿宋"/>
                <w:szCs w:val="21"/>
              </w:rPr>
              <w:t>.163</w:t>
            </w:r>
          </w:p>
        </w:tc>
      </w:tr>
      <w:tr w14:paraId="496AA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5" w:type="dxa"/>
            <w:gridSpan w:val="3"/>
            <w:vMerge w:val="continue"/>
            <w:vAlign w:val="center"/>
          </w:tcPr>
          <w:p w14:paraId="03D82FD5">
            <w:pPr>
              <w:jc w:val="center"/>
              <w:rPr>
                <w:rFonts w:ascii="Times New Roman" w:eastAsia="仿宋"/>
                <w:szCs w:val="21"/>
              </w:rPr>
            </w:pPr>
          </w:p>
        </w:tc>
        <w:tc>
          <w:tcPr>
            <w:tcW w:w="4233" w:type="dxa"/>
            <w:gridSpan w:val="3"/>
            <w:vAlign w:val="center"/>
          </w:tcPr>
          <w:p w14:paraId="27240EAB">
            <w:pPr>
              <w:jc w:val="center"/>
              <w:rPr>
                <w:rFonts w:ascii="Times New Roman" w:eastAsia="仿宋"/>
                <w:szCs w:val="21"/>
              </w:rPr>
            </w:pPr>
            <w:r>
              <w:rPr>
                <w:rFonts w:ascii="Times New Roman" w:eastAsia="仿宋"/>
                <w:szCs w:val="21"/>
              </w:rPr>
              <w:t>颗粒物</w:t>
            </w:r>
          </w:p>
        </w:tc>
        <w:tc>
          <w:tcPr>
            <w:tcW w:w="1065" w:type="dxa"/>
            <w:vAlign w:val="center"/>
          </w:tcPr>
          <w:p w14:paraId="29D6A030">
            <w:pPr>
              <w:jc w:val="center"/>
              <w:rPr>
                <w:rFonts w:ascii="Times New Roman" w:eastAsia="仿宋"/>
                <w:szCs w:val="21"/>
              </w:rPr>
            </w:pPr>
            <w:r>
              <w:rPr>
                <w:rFonts w:hint="eastAsia" w:ascii="Times New Roman" w:eastAsia="仿宋"/>
                <w:szCs w:val="21"/>
              </w:rPr>
              <w:t>0.</w:t>
            </w:r>
            <w:r>
              <w:rPr>
                <w:rFonts w:ascii="Times New Roman" w:eastAsia="仿宋"/>
                <w:szCs w:val="21"/>
              </w:rPr>
              <w:t>2</w:t>
            </w:r>
            <w:r>
              <w:rPr>
                <w:rFonts w:hint="eastAsia" w:ascii="Times New Roman" w:eastAsia="仿宋"/>
                <w:szCs w:val="21"/>
              </w:rPr>
              <w:t>16</w:t>
            </w:r>
          </w:p>
        </w:tc>
      </w:tr>
      <w:tr w14:paraId="2B961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5" w:type="dxa"/>
            <w:gridSpan w:val="3"/>
            <w:vMerge w:val="continue"/>
            <w:vAlign w:val="center"/>
          </w:tcPr>
          <w:p w14:paraId="3456D3E1">
            <w:pPr>
              <w:jc w:val="center"/>
              <w:rPr>
                <w:rFonts w:ascii="Times New Roman" w:eastAsia="仿宋"/>
                <w:szCs w:val="21"/>
              </w:rPr>
            </w:pPr>
          </w:p>
        </w:tc>
        <w:tc>
          <w:tcPr>
            <w:tcW w:w="4233" w:type="dxa"/>
            <w:gridSpan w:val="3"/>
            <w:vAlign w:val="center"/>
          </w:tcPr>
          <w:p w14:paraId="02F037A0">
            <w:pPr>
              <w:jc w:val="center"/>
              <w:rPr>
                <w:rFonts w:ascii="Times New Roman" w:eastAsia="仿宋"/>
                <w:szCs w:val="21"/>
              </w:rPr>
            </w:pPr>
            <w:r>
              <w:rPr>
                <w:rFonts w:ascii="Times New Roman" w:eastAsia="仿宋"/>
                <w:szCs w:val="21"/>
              </w:rPr>
              <w:t>非甲烷总烃</w:t>
            </w:r>
          </w:p>
        </w:tc>
        <w:tc>
          <w:tcPr>
            <w:tcW w:w="1065" w:type="dxa"/>
            <w:vAlign w:val="center"/>
          </w:tcPr>
          <w:p w14:paraId="27837898">
            <w:pPr>
              <w:jc w:val="center"/>
              <w:rPr>
                <w:rFonts w:ascii="Times New Roman" w:eastAsia="仿宋"/>
                <w:szCs w:val="21"/>
              </w:rPr>
            </w:pPr>
            <w:r>
              <w:rPr>
                <w:rFonts w:hint="eastAsia" w:ascii="Times New Roman" w:eastAsia="仿宋"/>
                <w:szCs w:val="21"/>
              </w:rPr>
              <w:t>1.199</w:t>
            </w:r>
          </w:p>
        </w:tc>
      </w:tr>
    </w:tbl>
    <w:p w14:paraId="364E2251">
      <w:pPr>
        <w:spacing w:line="500" w:lineRule="exact"/>
        <w:ind w:firstLine="560" w:firstLineChars="200"/>
        <w:rPr>
          <w:rFonts w:ascii="Times New Roman" w:eastAsia="仿宋"/>
          <w:sz w:val="28"/>
          <w:szCs w:val="28"/>
        </w:rPr>
      </w:pPr>
      <w:r>
        <w:rPr>
          <w:rFonts w:ascii="Times New Roman" w:eastAsia="仿宋"/>
          <w:sz w:val="28"/>
          <w:szCs w:val="28"/>
        </w:rPr>
        <w:t>（3）项目大气污染物年排放量核算</w:t>
      </w:r>
    </w:p>
    <w:p w14:paraId="14EF37A0">
      <w:pPr>
        <w:pStyle w:val="182"/>
        <w:spacing w:before="0" w:line="500" w:lineRule="exact"/>
        <w:ind w:firstLine="560"/>
        <w:rPr>
          <w:rFonts w:eastAsia="仿宋"/>
          <w:sz w:val="28"/>
          <w:szCs w:val="28"/>
        </w:rPr>
      </w:pPr>
      <w:r>
        <w:rPr>
          <w:rFonts w:hint="eastAsia" w:eastAsia="仿宋"/>
          <w:sz w:val="28"/>
          <w:szCs w:val="28"/>
        </w:rPr>
        <w:t>本项目大气污染物有组织+无组织年排放量如下表所示。</w:t>
      </w:r>
    </w:p>
    <w:p w14:paraId="6D93E0D2">
      <w:pPr>
        <w:pStyle w:val="182"/>
        <w:spacing w:before="0" w:line="500" w:lineRule="exact"/>
        <w:ind w:firstLine="0" w:firstLineChars="0"/>
        <w:jc w:val="center"/>
        <w:rPr>
          <w:rFonts w:eastAsia="仿宋"/>
          <w:b/>
        </w:rPr>
      </w:pPr>
      <w:r>
        <w:rPr>
          <w:rFonts w:eastAsia="仿宋"/>
          <w:b/>
        </w:rPr>
        <w:t>表5.2-22  大气污染物年排放量核算表</w:t>
      </w:r>
    </w:p>
    <w:tbl>
      <w:tblPr>
        <w:tblStyle w:val="87"/>
        <w:tblW w:w="85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1"/>
        <w:gridCol w:w="2776"/>
        <w:gridCol w:w="3658"/>
      </w:tblGrid>
      <w:tr w14:paraId="634A3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618A1E95">
            <w:pPr>
              <w:spacing w:line="500" w:lineRule="exact"/>
              <w:jc w:val="center"/>
              <w:rPr>
                <w:rFonts w:ascii="Times New Roman" w:eastAsia="仿宋"/>
                <w:szCs w:val="21"/>
              </w:rPr>
            </w:pPr>
            <w:r>
              <w:rPr>
                <w:rFonts w:ascii="Times New Roman" w:eastAsia="仿宋"/>
                <w:szCs w:val="21"/>
              </w:rPr>
              <w:t>序号</w:t>
            </w:r>
          </w:p>
        </w:tc>
        <w:tc>
          <w:tcPr>
            <w:tcW w:w="2776" w:type="dxa"/>
            <w:vAlign w:val="center"/>
          </w:tcPr>
          <w:p w14:paraId="23C3DD8B">
            <w:pPr>
              <w:spacing w:line="500" w:lineRule="exact"/>
              <w:jc w:val="center"/>
              <w:rPr>
                <w:rFonts w:ascii="Times New Roman" w:eastAsia="仿宋"/>
                <w:szCs w:val="21"/>
              </w:rPr>
            </w:pPr>
            <w:r>
              <w:rPr>
                <w:rFonts w:ascii="Times New Roman" w:eastAsia="仿宋"/>
                <w:szCs w:val="21"/>
              </w:rPr>
              <w:t>污染物</w:t>
            </w:r>
          </w:p>
        </w:tc>
        <w:tc>
          <w:tcPr>
            <w:tcW w:w="3658" w:type="dxa"/>
            <w:vAlign w:val="center"/>
          </w:tcPr>
          <w:p w14:paraId="0711B7C6">
            <w:pPr>
              <w:jc w:val="center"/>
              <w:rPr>
                <w:rFonts w:ascii="Times New Roman" w:eastAsia="仿宋"/>
                <w:szCs w:val="21"/>
              </w:rPr>
            </w:pPr>
            <w:r>
              <w:rPr>
                <w:rFonts w:ascii="Times New Roman" w:eastAsia="仿宋"/>
                <w:szCs w:val="21"/>
              </w:rPr>
              <w:t>年排放量（t/a）</w:t>
            </w:r>
          </w:p>
        </w:tc>
      </w:tr>
      <w:tr w14:paraId="3F5D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067A6D29">
            <w:pPr>
              <w:spacing w:line="500" w:lineRule="exact"/>
              <w:jc w:val="center"/>
              <w:rPr>
                <w:rFonts w:ascii="Times New Roman" w:eastAsia="仿宋"/>
                <w:szCs w:val="21"/>
              </w:rPr>
            </w:pPr>
            <w:r>
              <w:rPr>
                <w:rFonts w:ascii="Times New Roman" w:eastAsia="仿宋"/>
                <w:szCs w:val="21"/>
              </w:rPr>
              <w:t>1</w:t>
            </w:r>
          </w:p>
        </w:tc>
        <w:tc>
          <w:tcPr>
            <w:tcW w:w="2776" w:type="dxa"/>
            <w:vAlign w:val="center"/>
          </w:tcPr>
          <w:p w14:paraId="365AAA9E">
            <w:pPr>
              <w:jc w:val="center"/>
              <w:rPr>
                <w:rFonts w:ascii="Times New Roman" w:eastAsia="仿宋"/>
                <w:szCs w:val="21"/>
              </w:rPr>
            </w:pPr>
            <w:r>
              <w:rPr>
                <w:rFonts w:ascii="Times New Roman" w:eastAsia="仿宋"/>
                <w:szCs w:val="21"/>
              </w:rPr>
              <w:t>颗粒物</w:t>
            </w:r>
          </w:p>
        </w:tc>
        <w:tc>
          <w:tcPr>
            <w:tcW w:w="3658" w:type="dxa"/>
            <w:vAlign w:val="center"/>
          </w:tcPr>
          <w:p w14:paraId="206D66C3">
            <w:pPr>
              <w:widowControl/>
              <w:jc w:val="center"/>
              <w:rPr>
                <w:rFonts w:ascii="Times New Roman" w:eastAsia="仿宋"/>
                <w:szCs w:val="21"/>
              </w:rPr>
            </w:pPr>
            <w:r>
              <w:rPr>
                <w:rFonts w:hint="eastAsia" w:ascii="Times New Roman" w:eastAsia="仿宋"/>
                <w:szCs w:val="21"/>
              </w:rPr>
              <w:t>1.585</w:t>
            </w:r>
          </w:p>
        </w:tc>
      </w:tr>
      <w:tr w14:paraId="0AB4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5AAFEABE">
            <w:pPr>
              <w:spacing w:line="500" w:lineRule="exact"/>
              <w:jc w:val="center"/>
              <w:rPr>
                <w:rFonts w:ascii="Times New Roman" w:eastAsia="仿宋"/>
                <w:szCs w:val="21"/>
              </w:rPr>
            </w:pPr>
            <w:r>
              <w:rPr>
                <w:rFonts w:ascii="Times New Roman" w:eastAsia="仿宋"/>
                <w:szCs w:val="21"/>
              </w:rPr>
              <w:t>2</w:t>
            </w:r>
          </w:p>
        </w:tc>
        <w:tc>
          <w:tcPr>
            <w:tcW w:w="2776" w:type="dxa"/>
            <w:vAlign w:val="center"/>
          </w:tcPr>
          <w:p w14:paraId="23C5F4BC">
            <w:pPr>
              <w:jc w:val="center"/>
              <w:rPr>
                <w:rFonts w:ascii="Times New Roman" w:eastAsia="仿宋"/>
                <w:szCs w:val="21"/>
              </w:rPr>
            </w:pPr>
            <w:r>
              <w:rPr>
                <w:rFonts w:ascii="Times New Roman" w:eastAsia="仿宋"/>
                <w:szCs w:val="21"/>
              </w:rPr>
              <w:t>非甲烷总烃</w:t>
            </w:r>
          </w:p>
        </w:tc>
        <w:tc>
          <w:tcPr>
            <w:tcW w:w="3658" w:type="dxa"/>
            <w:vAlign w:val="center"/>
          </w:tcPr>
          <w:p w14:paraId="5C1B1CD1">
            <w:pPr>
              <w:widowControl/>
              <w:jc w:val="center"/>
              <w:rPr>
                <w:rFonts w:ascii="Times New Roman" w:eastAsia="仿宋"/>
                <w:szCs w:val="21"/>
              </w:rPr>
            </w:pPr>
            <w:r>
              <w:rPr>
                <w:rFonts w:hint="eastAsia" w:ascii="Times New Roman" w:eastAsia="仿宋"/>
                <w:szCs w:val="21"/>
              </w:rPr>
              <w:t>4.809</w:t>
            </w:r>
          </w:p>
        </w:tc>
      </w:tr>
      <w:tr w14:paraId="70AA5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59C1743C">
            <w:pPr>
              <w:spacing w:line="500" w:lineRule="exact"/>
              <w:jc w:val="center"/>
              <w:rPr>
                <w:rFonts w:ascii="Times New Roman" w:eastAsia="仿宋"/>
                <w:szCs w:val="21"/>
              </w:rPr>
            </w:pPr>
            <w:r>
              <w:rPr>
                <w:rFonts w:hint="eastAsia" w:ascii="Times New Roman" w:eastAsia="仿宋"/>
                <w:szCs w:val="21"/>
              </w:rPr>
              <w:t>3</w:t>
            </w:r>
          </w:p>
        </w:tc>
        <w:tc>
          <w:tcPr>
            <w:tcW w:w="2776" w:type="dxa"/>
            <w:vAlign w:val="center"/>
          </w:tcPr>
          <w:p w14:paraId="27531507">
            <w:pPr>
              <w:jc w:val="center"/>
              <w:rPr>
                <w:rFonts w:ascii="Times New Roman" w:eastAsia="仿宋"/>
                <w:szCs w:val="21"/>
              </w:rPr>
            </w:pPr>
            <w:r>
              <w:rPr>
                <w:rFonts w:hint="eastAsia" w:ascii="Times New Roman" w:eastAsia="仿宋"/>
                <w:szCs w:val="21"/>
              </w:rPr>
              <w:t>二甲苯</w:t>
            </w:r>
          </w:p>
        </w:tc>
        <w:tc>
          <w:tcPr>
            <w:tcW w:w="3658" w:type="dxa"/>
            <w:vAlign w:val="center"/>
          </w:tcPr>
          <w:p w14:paraId="6290495F">
            <w:pPr>
              <w:widowControl/>
              <w:jc w:val="center"/>
              <w:rPr>
                <w:rFonts w:ascii="Times New Roman" w:eastAsia="仿宋"/>
                <w:szCs w:val="21"/>
              </w:rPr>
            </w:pPr>
            <w:r>
              <w:rPr>
                <w:rFonts w:ascii="Times New Roman" w:eastAsia="仿宋"/>
                <w:szCs w:val="21"/>
              </w:rPr>
              <w:t>0.</w:t>
            </w:r>
            <w:r>
              <w:rPr>
                <w:rFonts w:hint="eastAsia" w:ascii="Times New Roman" w:eastAsia="仿宋"/>
                <w:szCs w:val="21"/>
              </w:rPr>
              <w:t>088</w:t>
            </w:r>
          </w:p>
        </w:tc>
      </w:tr>
      <w:tr w14:paraId="00118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3F6B214E">
            <w:pPr>
              <w:spacing w:line="500" w:lineRule="exact"/>
              <w:jc w:val="center"/>
              <w:rPr>
                <w:rFonts w:ascii="Times New Roman" w:eastAsia="仿宋"/>
                <w:szCs w:val="21"/>
              </w:rPr>
            </w:pPr>
            <w:r>
              <w:rPr>
                <w:rFonts w:hint="eastAsia" w:ascii="Times New Roman" w:eastAsia="仿宋"/>
                <w:szCs w:val="21"/>
              </w:rPr>
              <w:t>4</w:t>
            </w:r>
          </w:p>
        </w:tc>
        <w:tc>
          <w:tcPr>
            <w:tcW w:w="2776" w:type="dxa"/>
            <w:vAlign w:val="center"/>
          </w:tcPr>
          <w:p w14:paraId="4260D47E">
            <w:pPr>
              <w:jc w:val="center"/>
              <w:rPr>
                <w:rFonts w:ascii="Times New Roman" w:eastAsia="仿宋"/>
                <w:szCs w:val="21"/>
              </w:rPr>
            </w:pPr>
            <w:r>
              <w:rPr>
                <w:rFonts w:hint="eastAsia" w:ascii="Times New Roman" w:eastAsia="仿宋"/>
                <w:szCs w:val="21"/>
              </w:rPr>
              <w:t>二氧化硫</w:t>
            </w:r>
          </w:p>
        </w:tc>
        <w:tc>
          <w:tcPr>
            <w:tcW w:w="3658" w:type="dxa"/>
            <w:vAlign w:val="center"/>
          </w:tcPr>
          <w:p w14:paraId="58A81CA9">
            <w:pPr>
              <w:jc w:val="center"/>
              <w:rPr>
                <w:rFonts w:ascii="Times New Roman" w:eastAsia="仿宋"/>
                <w:szCs w:val="21"/>
              </w:rPr>
            </w:pPr>
            <w:r>
              <w:rPr>
                <w:rFonts w:hint="eastAsia" w:ascii="Times New Roman" w:eastAsia="仿宋"/>
                <w:szCs w:val="21"/>
              </w:rPr>
              <w:t>0.025</w:t>
            </w:r>
          </w:p>
        </w:tc>
      </w:tr>
      <w:tr w14:paraId="4BD8A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vAlign w:val="center"/>
          </w:tcPr>
          <w:p w14:paraId="4BAE3B1F">
            <w:pPr>
              <w:spacing w:line="500" w:lineRule="exact"/>
              <w:jc w:val="center"/>
              <w:rPr>
                <w:rFonts w:ascii="Times New Roman" w:eastAsia="仿宋"/>
                <w:szCs w:val="21"/>
              </w:rPr>
            </w:pPr>
            <w:r>
              <w:rPr>
                <w:rFonts w:hint="eastAsia" w:ascii="Times New Roman" w:eastAsia="仿宋"/>
                <w:szCs w:val="21"/>
              </w:rPr>
              <w:t>5</w:t>
            </w:r>
          </w:p>
        </w:tc>
        <w:tc>
          <w:tcPr>
            <w:tcW w:w="2776" w:type="dxa"/>
            <w:vAlign w:val="center"/>
          </w:tcPr>
          <w:p w14:paraId="786F205A">
            <w:pPr>
              <w:jc w:val="center"/>
              <w:rPr>
                <w:rFonts w:ascii="Times New Roman" w:eastAsia="仿宋"/>
                <w:szCs w:val="21"/>
              </w:rPr>
            </w:pPr>
            <w:r>
              <w:rPr>
                <w:rFonts w:hint="eastAsia" w:ascii="Times New Roman" w:eastAsia="仿宋"/>
                <w:szCs w:val="21"/>
              </w:rPr>
              <w:t>氮氧化物</w:t>
            </w:r>
          </w:p>
        </w:tc>
        <w:tc>
          <w:tcPr>
            <w:tcW w:w="3658" w:type="dxa"/>
            <w:vAlign w:val="center"/>
          </w:tcPr>
          <w:p w14:paraId="7130D970">
            <w:pPr>
              <w:jc w:val="center"/>
              <w:rPr>
                <w:rFonts w:ascii="Times New Roman" w:eastAsia="仿宋"/>
                <w:szCs w:val="21"/>
              </w:rPr>
            </w:pPr>
            <w:r>
              <w:rPr>
                <w:rFonts w:ascii="Times New Roman" w:eastAsia="仿宋"/>
                <w:szCs w:val="21"/>
              </w:rPr>
              <w:t>1.12</w:t>
            </w:r>
          </w:p>
        </w:tc>
      </w:tr>
    </w:tbl>
    <w:p w14:paraId="3A22A267">
      <w:pPr>
        <w:pStyle w:val="182"/>
        <w:spacing w:before="0" w:line="500" w:lineRule="exact"/>
        <w:ind w:firstLine="0" w:firstLineChars="0"/>
        <w:jc w:val="center"/>
        <w:rPr>
          <w:rFonts w:eastAsia="仿宋"/>
          <w:b/>
        </w:rPr>
        <w:sectPr>
          <w:headerReference r:id="rId22" w:type="default"/>
          <w:pgSz w:w="11906" w:h="16838"/>
          <w:pgMar w:top="1440" w:right="1800" w:bottom="1440" w:left="1800" w:header="851" w:footer="992" w:gutter="0"/>
          <w:cols w:space="720" w:num="1"/>
          <w:docGrid w:linePitch="312" w:charSpace="0"/>
        </w:sectPr>
      </w:pPr>
    </w:p>
    <w:p w14:paraId="2EFAE032">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.2.1.7异味影响分析</w:t>
      </w:r>
    </w:p>
    <w:p w14:paraId="430C06AC">
      <w:pPr>
        <w:spacing w:line="500" w:lineRule="exact"/>
        <w:ind w:firstLine="560" w:firstLineChars="200"/>
        <w:rPr>
          <w:rFonts w:ascii="Times New Roman" w:eastAsia="仿宋"/>
          <w:sz w:val="28"/>
          <w:szCs w:val="28"/>
        </w:rPr>
      </w:pPr>
      <w:r>
        <w:rPr>
          <w:rFonts w:hint="eastAsia" w:ascii="Times New Roman" w:eastAsia="仿宋"/>
          <w:sz w:val="28"/>
          <w:szCs w:val="28"/>
        </w:rPr>
        <w:t>1、产生环节及主要异味物质</w:t>
      </w:r>
    </w:p>
    <w:p w14:paraId="769206C4">
      <w:pPr>
        <w:spacing w:line="500" w:lineRule="exact"/>
        <w:ind w:firstLine="560" w:firstLineChars="200"/>
        <w:rPr>
          <w:rFonts w:ascii="Times New Roman" w:eastAsia="仿宋"/>
          <w:sz w:val="28"/>
          <w:szCs w:val="28"/>
        </w:rPr>
      </w:pPr>
      <w:r>
        <w:rPr>
          <w:rFonts w:ascii="Times New Roman" w:eastAsia="仿宋"/>
          <w:sz w:val="28"/>
          <w:szCs w:val="28"/>
        </w:rPr>
        <w:t>本项目排放的废气中</w:t>
      </w:r>
      <w:r>
        <w:rPr>
          <w:rFonts w:hint="eastAsia" w:ascii="Times New Roman" w:eastAsia="仿宋"/>
          <w:sz w:val="28"/>
          <w:szCs w:val="28"/>
        </w:rPr>
        <w:t>二甲苯</w:t>
      </w:r>
      <w:r>
        <w:rPr>
          <w:rFonts w:ascii="Times New Roman" w:eastAsia="仿宋"/>
          <w:sz w:val="28"/>
          <w:szCs w:val="28"/>
        </w:rPr>
        <w:t>含异味污染物（恶臭污染物），同时污水处理站</w:t>
      </w:r>
      <w:r>
        <w:rPr>
          <w:rFonts w:hint="eastAsia" w:ascii="Times New Roman" w:eastAsia="仿宋"/>
          <w:sz w:val="28"/>
          <w:szCs w:val="28"/>
        </w:rPr>
        <w:t>生化单元</w:t>
      </w:r>
      <w:r>
        <w:rPr>
          <w:rFonts w:ascii="Times New Roman" w:eastAsia="仿宋"/>
          <w:sz w:val="28"/>
          <w:szCs w:val="28"/>
        </w:rPr>
        <w:t>也可能散发异味</w:t>
      </w:r>
      <w:r>
        <w:rPr>
          <w:rFonts w:hint="eastAsia" w:ascii="Times New Roman" w:eastAsia="仿宋"/>
          <w:sz w:val="28"/>
          <w:szCs w:val="28"/>
        </w:rPr>
        <w:t>。</w:t>
      </w:r>
    </w:p>
    <w:p w14:paraId="5B584A31">
      <w:pPr>
        <w:spacing w:line="500" w:lineRule="exact"/>
        <w:ind w:firstLine="560" w:firstLineChars="200"/>
        <w:rPr>
          <w:rFonts w:ascii="Times New Roman" w:eastAsia="仿宋"/>
          <w:sz w:val="28"/>
          <w:szCs w:val="28"/>
        </w:rPr>
      </w:pPr>
      <w:r>
        <w:rPr>
          <w:rFonts w:hint="eastAsia" w:ascii="Times New Roman" w:eastAsia="仿宋"/>
          <w:sz w:val="28"/>
          <w:szCs w:val="28"/>
        </w:rPr>
        <w:t>2、异味危害</w:t>
      </w:r>
    </w:p>
    <w:p w14:paraId="3C42E799">
      <w:pPr>
        <w:spacing w:line="500" w:lineRule="exact"/>
        <w:ind w:firstLine="560" w:firstLineChars="200"/>
        <w:rPr>
          <w:rFonts w:ascii="Times New Roman" w:eastAsia="仿宋"/>
          <w:sz w:val="28"/>
          <w:szCs w:val="28"/>
        </w:rPr>
      </w:pPr>
      <w:r>
        <w:rPr>
          <w:rFonts w:ascii="Times New Roman" w:eastAsia="仿宋"/>
          <w:sz w:val="28"/>
          <w:szCs w:val="28"/>
        </w:rPr>
        <w:t>（1）危害呼吸系统。人们突然闻到异味，就会产生反射性的抑制吸气，使呼吸次数减少，深度变浅，甚至会暂时停止吸气，妨碍正常呼吸功能。</w:t>
      </w:r>
    </w:p>
    <w:p w14:paraId="546BECE8">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2</w:t>
      </w:r>
      <w:r>
        <w:rPr>
          <w:rFonts w:ascii="Times New Roman" w:eastAsia="仿宋"/>
          <w:sz w:val="28"/>
          <w:szCs w:val="28"/>
        </w:rPr>
        <w:t>）危害循环系统。随着呼吸的变化，会出现脉搏和血压的变化。如乙酸丁酯刺激性异味气体会使血压出现先下降后上升，脉搏先减慢后加快的现象。</w:t>
      </w:r>
    </w:p>
    <w:p w14:paraId="7E672CDC">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3</w:t>
      </w:r>
      <w:r>
        <w:rPr>
          <w:rFonts w:ascii="Times New Roman" w:eastAsia="仿宋"/>
          <w:sz w:val="28"/>
          <w:szCs w:val="28"/>
        </w:rPr>
        <w:t>）危害消化系统。经常接触异味，会使人厌食、恶心，甚至呕吐，进而发展为消化功能减退。</w:t>
      </w:r>
    </w:p>
    <w:p w14:paraId="37DF1972">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4</w:t>
      </w:r>
      <w:r>
        <w:rPr>
          <w:rFonts w:ascii="Times New Roman" w:eastAsia="仿宋"/>
          <w:sz w:val="28"/>
          <w:szCs w:val="28"/>
        </w:rPr>
        <w:t>）危害内分泌系统。经常受异味刺激，会使内分泌系统的分泌功能紊乱，影响机体的代谢活动。</w:t>
      </w:r>
    </w:p>
    <w:p w14:paraId="10ECFB2F">
      <w:pPr>
        <w:spacing w:line="500" w:lineRule="exact"/>
        <w:ind w:firstLine="560" w:firstLineChars="200"/>
        <w:rPr>
          <w:rFonts w:ascii="Times New Roman" w:eastAsia="仿宋"/>
          <w:sz w:val="28"/>
          <w:szCs w:val="28"/>
        </w:rPr>
      </w:pPr>
      <w:r>
        <w:rPr>
          <w:rFonts w:hint="eastAsia" w:ascii="Times New Roman" w:eastAsia="仿宋"/>
          <w:sz w:val="28"/>
          <w:szCs w:val="28"/>
        </w:rPr>
        <w:t>（5）</w:t>
      </w:r>
      <w:r>
        <w:rPr>
          <w:rFonts w:ascii="Times New Roman" w:eastAsia="仿宋"/>
          <w:sz w:val="28"/>
          <w:szCs w:val="28"/>
        </w:rPr>
        <w:t>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14:paraId="1BD1920B">
      <w:pPr>
        <w:spacing w:line="500" w:lineRule="exact"/>
        <w:ind w:firstLine="560" w:firstLineChars="200"/>
        <w:rPr>
          <w:rFonts w:ascii="Times New Roman" w:eastAsia="仿宋"/>
          <w:sz w:val="28"/>
          <w:szCs w:val="28"/>
        </w:rPr>
      </w:pPr>
      <w:r>
        <w:rPr>
          <w:rFonts w:hint="eastAsia" w:ascii="Times New Roman" w:eastAsia="仿宋"/>
          <w:sz w:val="28"/>
          <w:szCs w:val="28"/>
        </w:rPr>
        <w:t>（6）对精神的影响。异味使人精神烦躁不安，思想不集中，工作效率减低，判断力和记忆力下降，影响大脑的思考活动。</w:t>
      </w:r>
    </w:p>
    <w:p w14:paraId="2323FF05">
      <w:pPr>
        <w:spacing w:line="500" w:lineRule="exact"/>
        <w:ind w:firstLine="560" w:firstLineChars="200"/>
        <w:rPr>
          <w:rFonts w:ascii="Times New Roman" w:eastAsia="仿宋"/>
          <w:sz w:val="28"/>
          <w:szCs w:val="28"/>
        </w:rPr>
      </w:pPr>
      <w:r>
        <w:rPr>
          <w:rFonts w:hint="eastAsia" w:ascii="Times New Roman" w:eastAsia="仿宋"/>
          <w:sz w:val="28"/>
          <w:szCs w:val="28"/>
        </w:rPr>
        <w:t>3、异味控制措施及影响分析</w:t>
      </w:r>
    </w:p>
    <w:p w14:paraId="51F4545B">
      <w:pPr>
        <w:spacing w:line="500" w:lineRule="exact"/>
        <w:ind w:firstLine="560" w:firstLineChars="200"/>
        <w:rPr>
          <w:rFonts w:ascii="Times New Roman" w:eastAsia="仿宋"/>
          <w:sz w:val="28"/>
          <w:szCs w:val="28"/>
        </w:rPr>
      </w:pPr>
      <w:r>
        <w:rPr>
          <w:rFonts w:hint="eastAsia" w:ascii="Times New Roman" w:eastAsia="仿宋"/>
          <w:sz w:val="28"/>
          <w:szCs w:val="28"/>
        </w:rPr>
        <w:t>本项目异味控制主要采取的防治措施有：设置密闭喷漆室、固化室等，采取负压吸风的方式对废气进行捕集，通过活性炭吸附脱附+CO装置处理后有组织排放。同时，厂区污水处理站沉淀池、污泥压滤单元等均加盖密闭，并加强车间管理，原料堆放等日常管理。</w:t>
      </w:r>
    </w:p>
    <w:p w14:paraId="32DE319D">
      <w:pPr>
        <w:spacing w:line="500" w:lineRule="exact"/>
        <w:ind w:firstLine="560" w:firstLineChars="200"/>
        <w:rPr>
          <w:rFonts w:ascii="Times New Roman" w:eastAsia="仿宋"/>
          <w:sz w:val="28"/>
          <w:szCs w:val="28"/>
        </w:rPr>
      </w:pPr>
      <w:r>
        <w:rPr>
          <w:rFonts w:ascii="Times New Roman" w:eastAsia="仿宋"/>
          <w:sz w:val="28"/>
          <w:szCs w:val="28"/>
        </w:rPr>
        <w:t>经项目设置的</w:t>
      </w:r>
      <w:r>
        <w:rPr>
          <w:rFonts w:hint="eastAsia" w:ascii="Times New Roman" w:eastAsia="仿宋"/>
          <w:sz w:val="28"/>
          <w:szCs w:val="28"/>
        </w:rPr>
        <w:t>异味控制措施处理后</w:t>
      </w:r>
      <w:r>
        <w:rPr>
          <w:rFonts w:ascii="Times New Roman" w:eastAsia="仿宋"/>
          <w:sz w:val="28"/>
          <w:szCs w:val="28"/>
        </w:rPr>
        <w:t xml:space="preserve">，项目恶臭污染物排放量较小，类比同类企业情况，项目厂界臭气浓度可小于20，满足《恶臭污染物排放标准》（GB14554-93）中二级标准中厂界标准限值要求。 </w:t>
      </w:r>
    </w:p>
    <w:p w14:paraId="4B058C4C">
      <w:pPr>
        <w:spacing w:line="500" w:lineRule="exact"/>
        <w:ind w:firstLine="560" w:firstLineChars="200"/>
        <w:rPr>
          <w:rFonts w:ascii="Times New Roman" w:eastAsia="仿宋"/>
          <w:sz w:val="28"/>
          <w:szCs w:val="28"/>
        </w:rPr>
      </w:pPr>
      <w:r>
        <w:rPr>
          <w:rFonts w:hint="eastAsia" w:ascii="Times New Roman" w:eastAsia="仿宋"/>
          <w:sz w:val="28"/>
          <w:szCs w:val="28"/>
        </w:rPr>
        <w:t>根据恶臭污染物现场嗅辨技术规范（DB32/T 4869-2024），通过</w:t>
      </w:r>
      <w:r>
        <w:rPr>
          <w:rFonts w:ascii="Times New Roman" w:eastAsia="仿宋"/>
          <w:sz w:val="28"/>
          <w:szCs w:val="28"/>
        </w:rPr>
        <w:t>人的嗅觉将臭气的污染程度分为无污染、轻度污染、中等污染、重度污染和严重污染共5个级别，详见标准见下表：</w:t>
      </w:r>
    </w:p>
    <w:p w14:paraId="3BB2B268">
      <w:pPr>
        <w:pStyle w:val="182"/>
        <w:spacing w:before="0" w:line="500" w:lineRule="exact"/>
        <w:ind w:firstLine="0" w:firstLineChars="0"/>
        <w:jc w:val="center"/>
        <w:rPr>
          <w:rFonts w:eastAsia="仿宋"/>
          <w:b/>
        </w:rPr>
      </w:pPr>
      <w:r>
        <w:rPr>
          <w:rFonts w:eastAsia="仿宋"/>
          <w:b/>
        </w:rPr>
        <w:t>表5.2-22  恶臭强度分级法</w:t>
      </w:r>
    </w:p>
    <w:tbl>
      <w:tblPr>
        <w:tblStyle w:val="8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77"/>
        <w:gridCol w:w="6782"/>
      </w:tblGrid>
      <w:tr w14:paraId="1E3E07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1CF9B434">
            <w:pPr>
              <w:adjustRightInd w:val="0"/>
              <w:snapToGrid w:val="0"/>
              <w:spacing w:line="320" w:lineRule="exact"/>
              <w:jc w:val="center"/>
              <w:rPr>
                <w:rFonts w:ascii="Times New Roman" w:eastAsia="仿宋"/>
                <w:szCs w:val="21"/>
              </w:rPr>
            </w:pPr>
            <w:r>
              <w:rPr>
                <w:rFonts w:ascii="Times New Roman" w:eastAsia="仿宋"/>
                <w:szCs w:val="21"/>
              </w:rPr>
              <w:t>强度</w:t>
            </w:r>
          </w:p>
        </w:tc>
        <w:tc>
          <w:tcPr>
            <w:tcW w:w="6782" w:type="dxa"/>
            <w:vAlign w:val="center"/>
          </w:tcPr>
          <w:p w14:paraId="5263BCA2">
            <w:pPr>
              <w:adjustRightInd w:val="0"/>
              <w:snapToGrid w:val="0"/>
              <w:spacing w:line="320" w:lineRule="exact"/>
              <w:jc w:val="center"/>
              <w:rPr>
                <w:rFonts w:ascii="Times New Roman" w:eastAsia="仿宋"/>
                <w:szCs w:val="21"/>
              </w:rPr>
            </w:pPr>
            <w:r>
              <w:rPr>
                <w:rFonts w:hint="eastAsia" w:ascii="Times New Roman" w:eastAsia="仿宋"/>
                <w:szCs w:val="21"/>
              </w:rPr>
              <w:t>描述</w:t>
            </w:r>
          </w:p>
        </w:tc>
      </w:tr>
      <w:tr w14:paraId="5A6E9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05431E11">
            <w:pPr>
              <w:adjustRightInd w:val="0"/>
              <w:snapToGrid w:val="0"/>
              <w:spacing w:line="320" w:lineRule="exact"/>
              <w:jc w:val="center"/>
              <w:rPr>
                <w:rFonts w:ascii="Times New Roman" w:eastAsia="仿宋"/>
                <w:szCs w:val="21"/>
              </w:rPr>
            </w:pPr>
            <w:r>
              <w:rPr>
                <w:rFonts w:ascii="Times New Roman" w:eastAsia="仿宋"/>
                <w:szCs w:val="21"/>
              </w:rPr>
              <w:t>0</w:t>
            </w:r>
          </w:p>
        </w:tc>
        <w:tc>
          <w:tcPr>
            <w:tcW w:w="6782" w:type="dxa"/>
            <w:vAlign w:val="center"/>
          </w:tcPr>
          <w:p w14:paraId="0E9CB935">
            <w:pPr>
              <w:adjustRightInd w:val="0"/>
              <w:snapToGrid w:val="0"/>
              <w:spacing w:line="320" w:lineRule="exact"/>
              <w:jc w:val="center"/>
              <w:rPr>
                <w:rFonts w:ascii="Times New Roman" w:eastAsia="仿宋"/>
                <w:szCs w:val="21"/>
              </w:rPr>
            </w:pPr>
            <w:r>
              <w:rPr>
                <w:rFonts w:ascii="Times New Roman" w:eastAsia="仿宋"/>
                <w:szCs w:val="21"/>
              </w:rPr>
              <w:t>无</w:t>
            </w:r>
            <w:r>
              <w:rPr>
                <w:rFonts w:hint="eastAsia" w:ascii="Times New Roman" w:eastAsia="仿宋"/>
                <w:szCs w:val="21"/>
              </w:rPr>
              <w:t>臭</w:t>
            </w:r>
          </w:p>
        </w:tc>
      </w:tr>
      <w:tr w14:paraId="7777B1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4B2A3C44">
            <w:pPr>
              <w:adjustRightInd w:val="0"/>
              <w:snapToGrid w:val="0"/>
              <w:spacing w:line="320" w:lineRule="exact"/>
              <w:jc w:val="center"/>
              <w:rPr>
                <w:rFonts w:ascii="Times New Roman" w:eastAsia="仿宋"/>
                <w:szCs w:val="21"/>
              </w:rPr>
            </w:pPr>
            <w:r>
              <w:rPr>
                <w:rFonts w:ascii="Times New Roman" w:eastAsia="仿宋"/>
                <w:szCs w:val="21"/>
              </w:rPr>
              <w:t>1</w:t>
            </w:r>
          </w:p>
        </w:tc>
        <w:tc>
          <w:tcPr>
            <w:tcW w:w="6782" w:type="dxa"/>
            <w:vAlign w:val="center"/>
          </w:tcPr>
          <w:p w14:paraId="10E14842">
            <w:pPr>
              <w:adjustRightInd w:val="0"/>
              <w:snapToGrid w:val="0"/>
              <w:spacing w:line="320" w:lineRule="exact"/>
              <w:jc w:val="center"/>
              <w:rPr>
                <w:rFonts w:ascii="Times New Roman" w:eastAsia="仿宋"/>
                <w:szCs w:val="21"/>
              </w:rPr>
            </w:pPr>
            <w:r>
              <w:rPr>
                <w:rFonts w:hint="eastAsia" w:ascii="Times New Roman" w:eastAsia="仿宋"/>
                <w:szCs w:val="21"/>
              </w:rPr>
              <w:t>气味似有似无</w:t>
            </w:r>
          </w:p>
        </w:tc>
      </w:tr>
      <w:tr w14:paraId="19E1E1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54358371">
            <w:pPr>
              <w:adjustRightInd w:val="0"/>
              <w:snapToGrid w:val="0"/>
              <w:spacing w:line="320" w:lineRule="exact"/>
              <w:jc w:val="center"/>
              <w:rPr>
                <w:rFonts w:ascii="Times New Roman" w:eastAsia="仿宋"/>
                <w:szCs w:val="21"/>
              </w:rPr>
            </w:pPr>
            <w:r>
              <w:rPr>
                <w:rFonts w:ascii="Times New Roman" w:eastAsia="仿宋"/>
                <w:szCs w:val="21"/>
              </w:rPr>
              <w:t>2</w:t>
            </w:r>
          </w:p>
        </w:tc>
        <w:tc>
          <w:tcPr>
            <w:tcW w:w="6782" w:type="dxa"/>
            <w:vAlign w:val="center"/>
          </w:tcPr>
          <w:p w14:paraId="534DC522">
            <w:pPr>
              <w:adjustRightInd w:val="0"/>
              <w:snapToGrid w:val="0"/>
              <w:spacing w:line="320" w:lineRule="exact"/>
              <w:jc w:val="center"/>
              <w:rPr>
                <w:rFonts w:ascii="Times New Roman" w:eastAsia="仿宋"/>
                <w:szCs w:val="21"/>
              </w:rPr>
            </w:pPr>
            <w:r>
              <w:rPr>
                <w:rFonts w:hint="eastAsia" w:ascii="Times New Roman" w:eastAsia="仿宋"/>
                <w:szCs w:val="21"/>
              </w:rPr>
              <w:t>微弱的气味,但能确定什么样的气味</w:t>
            </w:r>
          </w:p>
        </w:tc>
      </w:tr>
      <w:tr w14:paraId="5E8340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77B0A2C3">
            <w:pPr>
              <w:adjustRightInd w:val="0"/>
              <w:snapToGrid w:val="0"/>
              <w:spacing w:line="320" w:lineRule="exact"/>
              <w:jc w:val="center"/>
              <w:rPr>
                <w:rFonts w:ascii="Times New Roman" w:eastAsia="仿宋"/>
                <w:szCs w:val="21"/>
              </w:rPr>
            </w:pPr>
            <w:r>
              <w:rPr>
                <w:rFonts w:ascii="Times New Roman" w:eastAsia="仿宋"/>
                <w:szCs w:val="21"/>
              </w:rPr>
              <w:t>3</w:t>
            </w:r>
          </w:p>
        </w:tc>
        <w:tc>
          <w:tcPr>
            <w:tcW w:w="6782" w:type="dxa"/>
            <w:vAlign w:val="center"/>
          </w:tcPr>
          <w:p w14:paraId="2638D90D">
            <w:pPr>
              <w:adjustRightInd w:val="0"/>
              <w:snapToGrid w:val="0"/>
              <w:spacing w:line="320" w:lineRule="exact"/>
              <w:jc w:val="center"/>
              <w:rPr>
                <w:rFonts w:ascii="Times New Roman" w:eastAsia="仿宋"/>
                <w:szCs w:val="21"/>
              </w:rPr>
            </w:pPr>
            <w:r>
              <w:rPr>
                <w:rFonts w:hint="eastAsia" w:ascii="Times New Roman" w:eastAsia="仿宋"/>
                <w:szCs w:val="21"/>
              </w:rPr>
              <w:t>能够明显的感觉到气味</w:t>
            </w:r>
          </w:p>
        </w:tc>
      </w:tr>
      <w:tr w14:paraId="25DCE5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1377" w:type="dxa"/>
            <w:vAlign w:val="center"/>
          </w:tcPr>
          <w:p w14:paraId="51A506C0">
            <w:pPr>
              <w:adjustRightInd w:val="0"/>
              <w:snapToGrid w:val="0"/>
              <w:spacing w:line="320" w:lineRule="exact"/>
              <w:jc w:val="center"/>
              <w:rPr>
                <w:rFonts w:ascii="Times New Roman" w:eastAsia="仿宋"/>
                <w:szCs w:val="21"/>
              </w:rPr>
            </w:pPr>
            <w:r>
              <w:rPr>
                <w:rFonts w:ascii="Times New Roman" w:eastAsia="仿宋"/>
                <w:szCs w:val="21"/>
              </w:rPr>
              <w:t>4</w:t>
            </w:r>
          </w:p>
        </w:tc>
        <w:tc>
          <w:tcPr>
            <w:tcW w:w="6782" w:type="dxa"/>
            <w:vAlign w:val="center"/>
          </w:tcPr>
          <w:p w14:paraId="5DF7C08A">
            <w:pPr>
              <w:adjustRightInd w:val="0"/>
              <w:snapToGrid w:val="0"/>
              <w:spacing w:line="320" w:lineRule="exact"/>
              <w:jc w:val="center"/>
              <w:rPr>
                <w:rFonts w:ascii="Times New Roman" w:eastAsia="仿宋"/>
                <w:szCs w:val="21"/>
              </w:rPr>
            </w:pPr>
            <w:r>
              <w:rPr>
                <w:rFonts w:hint="eastAsia" w:ascii="Times New Roman" w:eastAsia="仿宋"/>
                <w:szCs w:val="21"/>
              </w:rPr>
              <w:t>感觉到比较强烈气味</w:t>
            </w:r>
          </w:p>
        </w:tc>
      </w:tr>
      <w:tr w14:paraId="621E7C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atLeast"/>
          <w:jc w:val="center"/>
        </w:trPr>
        <w:tc>
          <w:tcPr>
            <w:tcW w:w="1377" w:type="dxa"/>
            <w:vAlign w:val="center"/>
          </w:tcPr>
          <w:p w14:paraId="5717B386">
            <w:pPr>
              <w:adjustRightInd w:val="0"/>
              <w:snapToGrid w:val="0"/>
              <w:spacing w:line="320" w:lineRule="exact"/>
              <w:jc w:val="center"/>
              <w:rPr>
                <w:rFonts w:ascii="Times New Roman" w:eastAsia="仿宋"/>
                <w:szCs w:val="21"/>
              </w:rPr>
            </w:pPr>
            <w:r>
              <w:rPr>
                <w:rFonts w:hint="eastAsia" w:ascii="Times New Roman" w:eastAsia="仿宋"/>
                <w:szCs w:val="21"/>
              </w:rPr>
              <w:t>5</w:t>
            </w:r>
          </w:p>
        </w:tc>
        <w:tc>
          <w:tcPr>
            <w:tcW w:w="6782" w:type="dxa"/>
            <w:vAlign w:val="center"/>
          </w:tcPr>
          <w:p w14:paraId="37C4F7E4">
            <w:pPr>
              <w:adjustRightInd w:val="0"/>
              <w:snapToGrid w:val="0"/>
              <w:spacing w:line="320" w:lineRule="exact"/>
              <w:jc w:val="center"/>
              <w:rPr>
                <w:rFonts w:ascii="Times New Roman" w:eastAsia="仿宋"/>
                <w:szCs w:val="21"/>
              </w:rPr>
            </w:pPr>
            <w:r>
              <w:rPr>
                <w:rFonts w:hint="eastAsia" w:ascii="Times New Roman" w:eastAsia="仿宋"/>
                <w:szCs w:val="21"/>
              </w:rPr>
              <w:t>非常强烈难以忍受的气味</w:t>
            </w:r>
          </w:p>
        </w:tc>
      </w:tr>
    </w:tbl>
    <w:p w14:paraId="119E077D">
      <w:pPr>
        <w:spacing w:line="500" w:lineRule="exact"/>
        <w:ind w:firstLine="560" w:firstLineChars="200"/>
        <w:rPr>
          <w:rFonts w:ascii="Times New Roman" w:eastAsia="仿宋"/>
          <w:sz w:val="28"/>
          <w:szCs w:val="28"/>
        </w:rPr>
      </w:pPr>
      <w:r>
        <w:rPr>
          <w:rFonts w:ascii="Times New Roman" w:eastAsia="仿宋"/>
          <w:sz w:val="28"/>
          <w:szCs w:val="28"/>
        </w:rPr>
        <w:t>类比同类型企业，本项目最大臭气强度等级为2级，污染程度为中等污染，污染范围的半径＜200m，其中达到2级的半径＜50m。因此，本项目产生的恶臭污染物对周边环境影响在能接受范围之内。为使恶臭对周围环境影响减至最低，建设单位在项目运行中应进一步做好恶臭污染防治措施：</w:t>
      </w:r>
    </w:p>
    <w:p w14:paraId="51B3E1A7">
      <w:pPr>
        <w:spacing w:line="500" w:lineRule="exact"/>
        <w:ind w:firstLine="560" w:firstLineChars="200"/>
        <w:rPr>
          <w:rFonts w:ascii="Times New Roman" w:eastAsia="仿宋"/>
          <w:sz w:val="28"/>
          <w:szCs w:val="28"/>
        </w:rPr>
      </w:pPr>
      <w:r>
        <w:rPr>
          <w:rFonts w:ascii="Times New Roman" w:eastAsia="仿宋"/>
          <w:sz w:val="28"/>
          <w:szCs w:val="28"/>
        </w:rPr>
        <w:t>控制好生产过程的工艺参数，减少恶臭污染物的产生量；做好废气的收集，尽可能提高收集效率；加强废气处理设施的运行管理，确保稳定运行，达标排放。厂区内应充分利用设施、建筑物间空地，在道路两旁和车间四周多中值阔叶常绿树种，以减轻异味影响，改善厂区环境空气质量。</w:t>
      </w:r>
    </w:p>
    <w:p w14:paraId="30E29A7B">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.2.1.8</w:t>
      </w:r>
      <w:r>
        <w:rPr>
          <w:rFonts w:hint="eastAsia" w:ascii="Times New Roman" w:hAnsi="Times New Roman" w:eastAsia="仿宋"/>
          <w:b/>
        </w:rPr>
        <w:t>大气防护距离</w:t>
      </w:r>
    </w:p>
    <w:p w14:paraId="248AF6C8">
      <w:pPr>
        <w:spacing w:line="500" w:lineRule="exact"/>
        <w:ind w:firstLine="560" w:firstLineChars="200"/>
      </w:pPr>
      <w:r>
        <w:rPr>
          <w:rFonts w:ascii="Times New Roman" w:eastAsia="仿宋"/>
          <w:sz w:val="28"/>
          <w:szCs w:val="28"/>
        </w:rPr>
        <w:t>采用推荐模式中大气环境防护距离模式计算，大气环境防护距离为无超标点，因此本项目无需设大气环境防护距离。因此，本项目无组织废气对周边大气环境影响较小。</w:t>
      </w:r>
    </w:p>
    <w:p w14:paraId="26AF9CAF">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.2.1.9卫生防护距离计算</w:t>
      </w:r>
    </w:p>
    <w:p w14:paraId="2EC1C108">
      <w:pPr>
        <w:spacing w:line="500" w:lineRule="exact"/>
        <w:ind w:firstLine="560" w:firstLineChars="200"/>
        <w:rPr>
          <w:rFonts w:ascii="Times New Roman" w:eastAsia="仿宋"/>
          <w:sz w:val="28"/>
          <w:szCs w:val="28"/>
        </w:rPr>
      </w:pPr>
      <w:r>
        <w:rPr>
          <w:rFonts w:ascii="Times New Roman" w:eastAsia="仿宋"/>
          <w:sz w:val="28"/>
          <w:szCs w:val="28"/>
        </w:rPr>
        <w:t>（1）正常工况</w:t>
      </w:r>
    </w:p>
    <w:p w14:paraId="4E85BB70">
      <w:pPr>
        <w:spacing w:line="500" w:lineRule="exact"/>
        <w:ind w:firstLine="561"/>
        <w:rPr>
          <w:rFonts w:eastAsia="仿宋_GB2312"/>
          <w:sz w:val="28"/>
          <w:szCs w:val="21"/>
        </w:rPr>
      </w:pPr>
      <w:r>
        <w:rPr>
          <w:rFonts w:eastAsia="仿宋_GB2312"/>
          <w:sz w:val="28"/>
          <w:szCs w:val="21"/>
        </w:rPr>
        <w:t>主要预测整个厂区内无组织废气对环境的影响，并提出卫生防护距离，生产车间与居住区之间的卫生防护距离L按下式计算：</w:t>
      </w:r>
    </w:p>
    <w:p w14:paraId="5E85C7B7">
      <w:pPr>
        <w:pStyle w:val="170"/>
        <w:rPr>
          <w:rFonts w:ascii="Times New Roman"/>
          <w:bCs/>
          <w:sz w:val="28"/>
        </w:rPr>
      </w:pPr>
      <w:r>
        <w:rPr>
          <w:rFonts w:ascii="Times New Roman"/>
          <w:position w:val="-30"/>
        </w:rPr>
        <w:object>
          <v:shape id="_x0000_i1026" o:spt="75" type="#_x0000_t75" style="height:43.8pt;width:221.75pt;" o:ole="t" filled="f" o:preferrelative="t" stroked="f" coordsize="21600,21600">
            <v:path/>
            <v:fill on="f" focussize="0,0"/>
            <v:stroke on="f" joinstyle="miter"/>
            <v:imagedata r:id="rId72" o:title=""/>
            <o:lock v:ext="edit" aspectratio="t"/>
            <w10:wrap type="none"/>
            <w10:anchorlock/>
          </v:shape>
          <o:OLEObject Type="Embed" ProgID="Equation.3" ShapeID="_x0000_i1026" DrawAspect="Content" ObjectID="_1468075726" r:id="rId71">
            <o:LockedField>false</o:LockedField>
          </o:OLEObject>
        </w:object>
      </w:r>
    </w:p>
    <w:p w14:paraId="5C9542E2">
      <w:pPr>
        <w:spacing w:line="500" w:lineRule="exact"/>
        <w:ind w:firstLine="561"/>
        <w:rPr>
          <w:rFonts w:eastAsia="仿宋_GB2312"/>
          <w:sz w:val="28"/>
          <w:szCs w:val="21"/>
        </w:rPr>
      </w:pPr>
      <w:r>
        <w:rPr>
          <w:rFonts w:eastAsia="仿宋_GB2312"/>
          <w:sz w:val="28"/>
          <w:szCs w:val="21"/>
        </w:rPr>
        <w:t>式中：</w:t>
      </w:r>
    </w:p>
    <w:p w14:paraId="71EE895D">
      <w:pPr>
        <w:spacing w:line="500" w:lineRule="exact"/>
        <w:ind w:firstLine="561"/>
        <w:rPr>
          <w:rFonts w:eastAsia="仿宋_GB2312"/>
          <w:sz w:val="28"/>
          <w:szCs w:val="21"/>
        </w:rPr>
      </w:pPr>
      <w:r>
        <w:rPr>
          <w:rFonts w:eastAsia="仿宋_GB2312"/>
          <w:sz w:val="28"/>
          <w:szCs w:val="21"/>
        </w:rPr>
        <w:t>C</w:t>
      </w:r>
      <w:r>
        <w:rPr>
          <w:rFonts w:eastAsia="仿宋_GB2312"/>
          <w:sz w:val="28"/>
          <w:szCs w:val="21"/>
          <w:vertAlign w:val="subscript"/>
        </w:rPr>
        <w:t>m</w:t>
      </w:r>
      <w:r>
        <w:rPr>
          <w:rFonts w:eastAsia="仿宋_GB2312"/>
          <w:sz w:val="28"/>
          <w:szCs w:val="21"/>
        </w:rPr>
        <w:t>——标准浓度限值(mg/m</w:t>
      </w:r>
      <w:r>
        <w:rPr>
          <w:rFonts w:eastAsia="仿宋_GB2312"/>
          <w:sz w:val="28"/>
          <w:szCs w:val="21"/>
          <w:vertAlign w:val="superscript"/>
        </w:rPr>
        <w:t>3</w:t>
      </w:r>
      <w:r>
        <w:rPr>
          <w:rFonts w:eastAsia="仿宋_GB2312"/>
          <w:sz w:val="28"/>
          <w:szCs w:val="21"/>
        </w:rPr>
        <w:t>)；</w:t>
      </w:r>
    </w:p>
    <w:p w14:paraId="2AF43BAE">
      <w:pPr>
        <w:spacing w:line="500" w:lineRule="exact"/>
        <w:ind w:firstLine="561"/>
        <w:rPr>
          <w:rFonts w:eastAsia="仿宋_GB2312"/>
          <w:sz w:val="28"/>
          <w:szCs w:val="21"/>
        </w:rPr>
      </w:pPr>
      <w:r>
        <w:rPr>
          <w:rFonts w:eastAsia="仿宋_GB2312"/>
          <w:sz w:val="28"/>
          <w:szCs w:val="21"/>
        </w:rPr>
        <w:t>Q</w:t>
      </w:r>
      <w:r>
        <w:rPr>
          <w:rFonts w:eastAsia="仿宋_GB2312"/>
          <w:sz w:val="28"/>
          <w:szCs w:val="21"/>
          <w:vertAlign w:val="subscript"/>
        </w:rPr>
        <w:t>c</w:t>
      </w:r>
      <w:r>
        <w:rPr>
          <w:rFonts w:eastAsia="仿宋_GB2312"/>
          <w:sz w:val="28"/>
          <w:szCs w:val="21"/>
        </w:rPr>
        <w:t>——工业企业有害气体无组织排放量可以达到的控制水平(kg/h)；</w:t>
      </w:r>
    </w:p>
    <w:p w14:paraId="7A3E1FC6">
      <w:pPr>
        <w:spacing w:line="500" w:lineRule="exact"/>
        <w:ind w:firstLine="561"/>
        <w:rPr>
          <w:rFonts w:eastAsia="仿宋_GB2312"/>
          <w:sz w:val="28"/>
          <w:szCs w:val="21"/>
        </w:rPr>
      </w:pPr>
      <w:r>
        <w:rPr>
          <w:rFonts w:eastAsia="仿宋_GB2312"/>
          <w:sz w:val="28"/>
          <w:szCs w:val="21"/>
        </w:rPr>
        <w:t>r——有害气体无组织排放源所在生产单元的等效半径(m)；</w:t>
      </w:r>
    </w:p>
    <w:p w14:paraId="59899C24">
      <w:pPr>
        <w:spacing w:line="500" w:lineRule="exact"/>
        <w:ind w:firstLine="561"/>
        <w:rPr>
          <w:rFonts w:eastAsia="仿宋_GB2312"/>
          <w:sz w:val="28"/>
          <w:szCs w:val="21"/>
        </w:rPr>
      </w:pPr>
      <w:r>
        <w:rPr>
          <w:rFonts w:eastAsia="仿宋_GB2312"/>
          <w:sz w:val="28"/>
          <w:szCs w:val="21"/>
        </w:rPr>
        <w:t>L——工业企业所需的卫生防护距离(m)；</w:t>
      </w:r>
    </w:p>
    <w:p w14:paraId="6389890A">
      <w:pPr>
        <w:spacing w:line="500" w:lineRule="exact"/>
        <w:ind w:firstLine="561"/>
        <w:rPr>
          <w:rFonts w:eastAsia="仿宋_GB2312"/>
          <w:sz w:val="28"/>
          <w:szCs w:val="21"/>
        </w:rPr>
      </w:pPr>
      <w:r>
        <w:rPr>
          <w:rFonts w:eastAsia="仿宋_GB2312"/>
          <w:sz w:val="28"/>
          <w:szCs w:val="21"/>
        </w:rPr>
        <w:t>A</w:t>
      </w:r>
      <w:r>
        <w:rPr>
          <w:rFonts w:hint="eastAsia" w:eastAsia="仿宋_GB2312"/>
          <w:sz w:val="28"/>
          <w:szCs w:val="21"/>
        </w:rPr>
        <w:t>、</w:t>
      </w:r>
      <w:r>
        <w:rPr>
          <w:rFonts w:eastAsia="仿宋_GB2312"/>
          <w:sz w:val="28"/>
          <w:szCs w:val="21"/>
        </w:rPr>
        <w:t>B、C、D——卫生防护距离计算系数，见下表。</w:t>
      </w:r>
    </w:p>
    <w:p w14:paraId="44A1FBF9">
      <w:pPr>
        <w:tabs>
          <w:tab w:val="left" w:pos="5355"/>
        </w:tabs>
        <w:spacing w:line="500" w:lineRule="exact"/>
        <w:jc w:val="center"/>
        <w:rPr>
          <w:rFonts w:ascii="Times New Roman" w:eastAsia="仿宋_GB2312"/>
          <w:b/>
        </w:rPr>
      </w:pPr>
      <w:r>
        <w:rPr>
          <w:rFonts w:ascii="Times New Roman" w:eastAsia="仿宋_GB2312"/>
          <w:b/>
        </w:rPr>
        <w:t>表5.2-23 卫生防护距离计算系数表</w:t>
      </w:r>
    </w:p>
    <w:tbl>
      <w:tblPr>
        <w:tblStyle w:val="87"/>
        <w:tblW w:w="500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61"/>
        <w:gridCol w:w="1022"/>
        <w:gridCol w:w="857"/>
        <w:gridCol w:w="874"/>
        <w:gridCol w:w="831"/>
        <w:gridCol w:w="26"/>
        <w:gridCol w:w="684"/>
        <w:gridCol w:w="855"/>
        <w:gridCol w:w="787"/>
        <w:gridCol w:w="787"/>
        <w:gridCol w:w="789"/>
        <w:gridCol w:w="924"/>
      </w:tblGrid>
      <w:tr w14:paraId="156DB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restart"/>
            <w:vAlign w:val="center"/>
          </w:tcPr>
          <w:p w14:paraId="331F8BD2">
            <w:pPr>
              <w:widowControl/>
              <w:jc w:val="center"/>
              <w:rPr>
                <w:rFonts w:ascii="Times New Roman" w:eastAsia="仿宋"/>
                <w:szCs w:val="24"/>
              </w:rPr>
            </w:pPr>
            <w:r>
              <w:rPr>
                <w:rFonts w:ascii="Times New Roman" w:eastAsia="仿宋"/>
                <w:szCs w:val="24"/>
              </w:rPr>
              <w:t>计算系数</w:t>
            </w:r>
          </w:p>
        </w:tc>
        <w:tc>
          <w:tcPr>
            <w:tcW w:w="550" w:type="pct"/>
            <w:vMerge w:val="restart"/>
            <w:vAlign w:val="center"/>
          </w:tcPr>
          <w:p w14:paraId="10EEDC37">
            <w:pPr>
              <w:widowControl/>
              <w:jc w:val="center"/>
              <w:rPr>
                <w:rFonts w:ascii="Times New Roman" w:eastAsia="仿宋"/>
                <w:szCs w:val="24"/>
              </w:rPr>
            </w:pPr>
            <w:r>
              <w:rPr>
                <w:rFonts w:ascii="Times New Roman" w:eastAsia="仿宋"/>
                <w:szCs w:val="24"/>
              </w:rPr>
              <w:t>5年平均风速(m/s)</w:t>
            </w:r>
          </w:p>
        </w:tc>
        <w:tc>
          <w:tcPr>
            <w:tcW w:w="3987" w:type="pct"/>
            <w:gridSpan w:val="10"/>
            <w:vAlign w:val="center"/>
          </w:tcPr>
          <w:p w14:paraId="7191FC8B">
            <w:pPr>
              <w:widowControl/>
              <w:jc w:val="center"/>
              <w:rPr>
                <w:rFonts w:ascii="Times New Roman" w:eastAsia="仿宋"/>
                <w:szCs w:val="24"/>
              </w:rPr>
            </w:pPr>
            <w:r>
              <w:rPr>
                <w:rFonts w:ascii="Times New Roman" w:eastAsia="仿宋"/>
                <w:szCs w:val="24"/>
              </w:rPr>
              <w:t>卫生防护距离L(m)</w:t>
            </w:r>
          </w:p>
        </w:tc>
      </w:tr>
      <w:tr w14:paraId="01196A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174759BB">
            <w:pPr>
              <w:pStyle w:val="170"/>
              <w:rPr>
                <w:rFonts w:ascii="Times New Roman"/>
                <w:b/>
                <w:sz w:val="24"/>
                <w:szCs w:val="21"/>
              </w:rPr>
            </w:pPr>
          </w:p>
        </w:tc>
        <w:tc>
          <w:tcPr>
            <w:tcW w:w="550" w:type="pct"/>
            <w:vMerge w:val="continue"/>
            <w:vAlign w:val="center"/>
          </w:tcPr>
          <w:p w14:paraId="008FDBF2">
            <w:pPr>
              <w:pStyle w:val="170"/>
              <w:rPr>
                <w:rFonts w:ascii="Times New Roman"/>
                <w:b/>
                <w:sz w:val="24"/>
                <w:szCs w:val="21"/>
              </w:rPr>
            </w:pPr>
          </w:p>
        </w:tc>
        <w:tc>
          <w:tcPr>
            <w:tcW w:w="1378" w:type="pct"/>
            <w:gridSpan w:val="3"/>
            <w:vAlign w:val="center"/>
          </w:tcPr>
          <w:p w14:paraId="70D08113">
            <w:pPr>
              <w:widowControl/>
              <w:jc w:val="center"/>
              <w:rPr>
                <w:rFonts w:ascii="Times New Roman" w:eastAsia="仿宋"/>
                <w:szCs w:val="24"/>
              </w:rPr>
            </w:pPr>
            <w:r>
              <w:rPr>
                <w:rFonts w:ascii="Times New Roman" w:eastAsia="仿宋"/>
                <w:szCs w:val="24"/>
              </w:rPr>
              <w:t>L≤1000</w:t>
            </w:r>
          </w:p>
        </w:tc>
        <w:tc>
          <w:tcPr>
            <w:tcW w:w="1265" w:type="pct"/>
            <w:gridSpan w:val="4"/>
            <w:vAlign w:val="center"/>
          </w:tcPr>
          <w:p w14:paraId="7BAD01F0">
            <w:pPr>
              <w:widowControl/>
              <w:jc w:val="center"/>
              <w:rPr>
                <w:rFonts w:ascii="Times New Roman" w:eastAsia="仿宋"/>
                <w:szCs w:val="24"/>
              </w:rPr>
            </w:pPr>
            <w:r>
              <w:rPr>
                <w:rFonts w:ascii="Times New Roman" w:eastAsia="仿宋"/>
                <w:szCs w:val="24"/>
              </w:rPr>
              <w:t>1000＜L≤2000</w:t>
            </w:r>
          </w:p>
        </w:tc>
        <w:tc>
          <w:tcPr>
            <w:tcW w:w="1344" w:type="pct"/>
            <w:gridSpan w:val="3"/>
            <w:vAlign w:val="center"/>
          </w:tcPr>
          <w:p w14:paraId="4D32CA63">
            <w:pPr>
              <w:widowControl/>
              <w:jc w:val="center"/>
              <w:rPr>
                <w:rFonts w:ascii="Times New Roman" w:eastAsia="仿宋"/>
                <w:szCs w:val="24"/>
              </w:rPr>
            </w:pPr>
            <w:r>
              <w:rPr>
                <w:rFonts w:ascii="Times New Roman" w:eastAsia="仿宋"/>
                <w:szCs w:val="24"/>
              </w:rPr>
              <w:t>L＞2000</w:t>
            </w:r>
          </w:p>
        </w:tc>
      </w:tr>
      <w:tr w14:paraId="43E9FA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2CFBC1D1">
            <w:pPr>
              <w:pStyle w:val="170"/>
              <w:rPr>
                <w:rFonts w:ascii="Times New Roman"/>
                <w:b/>
                <w:sz w:val="24"/>
                <w:szCs w:val="21"/>
              </w:rPr>
            </w:pPr>
          </w:p>
        </w:tc>
        <w:tc>
          <w:tcPr>
            <w:tcW w:w="550" w:type="pct"/>
            <w:vMerge w:val="continue"/>
            <w:vAlign w:val="center"/>
          </w:tcPr>
          <w:p w14:paraId="3343ABE6">
            <w:pPr>
              <w:pStyle w:val="170"/>
              <w:rPr>
                <w:rFonts w:ascii="Times New Roman"/>
                <w:b/>
                <w:sz w:val="24"/>
                <w:szCs w:val="21"/>
              </w:rPr>
            </w:pPr>
          </w:p>
        </w:tc>
        <w:tc>
          <w:tcPr>
            <w:tcW w:w="3987" w:type="pct"/>
            <w:gridSpan w:val="10"/>
            <w:vAlign w:val="center"/>
          </w:tcPr>
          <w:p w14:paraId="2280CEDC">
            <w:pPr>
              <w:widowControl/>
              <w:jc w:val="center"/>
              <w:rPr>
                <w:rFonts w:ascii="Times New Roman" w:eastAsia="仿宋"/>
                <w:szCs w:val="24"/>
              </w:rPr>
            </w:pPr>
            <w:r>
              <w:rPr>
                <w:rFonts w:ascii="Times New Roman" w:eastAsia="仿宋"/>
                <w:szCs w:val="24"/>
              </w:rPr>
              <w:t>工业大气污染源构成类别</w:t>
            </w:r>
          </w:p>
        </w:tc>
      </w:tr>
      <w:tr w14:paraId="3E8F2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3120535D">
            <w:pPr>
              <w:pStyle w:val="170"/>
              <w:rPr>
                <w:rFonts w:ascii="Times New Roman"/>
                <w:b/>
                <w:sz w:val="24"/>
                <w:szCs w:val="21"/>
              </w:rPr>
            </w:pPr>
          </w:p>
        </w:tc>
        <w:tc>
          <w:tcPr>
            <w:tcW w:w="550" w:type="pct"/>
            <w:vMerge w:val="continue"/>
            <w:vAlign w:val="center"/>
          </w:tcPr>
          <w:p w14:paraId="78965304">
            <w:pPr>
              <w:pStyle w:val="170"/>
              <w:rPr>
                <w:rFonts w:ascii="Times New Roman"/>
                <w:b/>
                <w:sz w:val="24"/>
                <w:szCs w:val="21"/>
              </w:rPr>
            </w:pPr>
          </w:p>
        </w:tc>
        <w:tc>
          <w:tcPr>
            <w:tcW w:w="461" w:type="pct"/>
            <w:vAlign w:val="center"/>
          </w:tcPr>
          <w:p w14:paraId="49862FAE">
            <w:pPr>
              <w:widowControl/>
              <w:jc w:val="center"/>
              <w:rPr>
                <w:rFonts w:ascii="Times New Roman" w:eastAsia="仿宋"/>
                <w:szCs w:val="24"/>
              </w:rPr>
            </w:pPr>
            <w:r>
              <w:rPr>
                <w:rFonts w:hint="eastAsia" w:ascii="Times New Roman" w:eastAsia="仿宋"/>
                <w:szCs w:val="24"/>
              </w:rPr>
              <w:t>Ⅰ</w:t>
            </w:r>
          </w:p>
        </w:tc>
        <w:tc>
          <w:tcPr>
            <w:tcW w:w="470" w:type="pct"/>
            <w:vAlign w:val="center"/>
          </w:tcPr>
          <w:p w14:paraId="77C1052D">
            <w:pPr>
              <w:widowControl/>
              <w:jc w:val="center"/>
              <w:rPr>
                <w:rFonts w:ascii="Times New Roman" w:eastAsia="仿宋"/>
                <w:szCs w:val="24"/>
              </w:rPr>
            </w:pPr>
            <w:r>
              <w:rPr>
                <w:rFonts w:hint="eastAsia" w:ascii="Times New Roman" w:eastAsia="仿宋"/>
                <w:szCs w:val="24"/>
              </w:rPr>
              <w:t>Ⅱ</w:t>
            </w:r>
          </w:p>
        </w:tc>
        <w:tc>
          <w:tcPr>
            <w:tcW w:w="461" w:type="pct"/>
            <w:gridSpan w:val="2"/>
            <w:vAlign w:val="center"/>
          </w:tcPr>
          <w:p w14:paraId="0211304D">
            <w:pPr>
              <w:widowControl/>
              <w:jc w:val="center"/>
              <w:rPr>
                <w:rFonts w:ascii="Times New Roman" w:eastAsia="仿宋"/>
                <w:szCs w:val="24"/>
              </w:rPr>
            </w:pPr>
            <w:r>
              <w:rPr>
                <w:rFonts w:hint="eastAsia" w:ascii="Times New Roman" w:eastAsia="仿宋"/>
                <w:szCs w:val="24"/>
              </w:rPr>
              <w:t>Ⅲ</w:t>
            </w:r>
          </w:p>
        </w:tc>
        <w:tc>
          <w:tcPr>
            <w:tcW w:w="368" w:type="pct"/>
            <w:vAlign w:val="center"/>
          </w:tcPr>
          <w:p w14:paraId="771E9E04">
            <w:pPr>
              <w:widowControl/>
              <w:jc w:val="center"/>
              <w:rPr>
                <w:rFonts w:ascii="Times New Roman" w:eastAsia="仿宋"/>
                <w:szCs w:val="24"/>
              </w:rPr>
            </w:pPr>
            <w:r>
              <w:rPr>
                <w:rFonts w:hint="eastAsia" w:ascii="Times New Roman" w:eastAsia="仿宋"/>
                <w:szCs w:val="24"/>
              </w:rPr>
              <w:t>Ⅰ</w:t>
            </w:r>
          </w:p>
        </w:tc>
        <w:tc>
          <w:tcPr>
            <w:tcW w:w="460" w:type="pct"/>
            <w:vAlign w:val="center"/>
          </w:tcPr>
          <w:p w14:paraId="75457768">
            <w:pPr>
              <w:widowControl/>
              <w:jc w:val="center"/>
              <w:rPr>
                <w:rFonts w:ascii="Times New Roman" w:eastAsia="仿宋"/>
                <w:szCs w:val="24"/>
              </w:rPr>
            </w:pPr>
            <w:r>
              <w:rPr>
                <w:rFonts w:hint="eastAsia" w:ascii="Times New Roman" w:eastAsia="仿宋"/>
                <w:szCs w:val="24"/>
              </w:rPr>
              <w:t>Ⅱ</w:t>
            </w:r>
          </w:p>
        </w:tc>
        <w:tc>
          <w:tcPr>
            <w:tcW w:w="423" w:type="pct"/>
            <w:vAlign w:val="center"/>
          </w:tcPr>
          <w:p w14:paraId="341ECF9F">
            <w:pPr>
              <w:widowControl/>
              <w:jc w:val="center"/>
              <w:rPr>
                <w:rFonts w:ascii="Times New Roman" w:eastAsia="仿宋"/>
                <w:szCs w:val="24"/>
              </w:rPr>
            </w:pPr>
            <w:r>
              <w:rPr>
                <w:rFonts w:hint="eastAsia" w:ascii="Times New Roman" w:eastAsia="仿宋"/>
                <w:szCs w:val="24"/>
              </w:rPr>
              <w:t>Ⅲ</w:t>
            </w:r>
          </w:p>
        </w:tc>
        <w:tc>
          <w:tcPr>
            <w:tcW w:w="423" w:type="pct"/>
            <w:vAlign w:val="center"/>
          </w:tcPr>
          <w:p w14:paraId="3AD1BCB0">
            <w:pPr>
              <w:widowControl/>
              <w:jc w:val="center"/>
              <w:rPr>
                <w:rFonts w:ascii="Times New Roman" w:eastAsia="仿宋"/>
                <w:szCs w:val="24"/>
              </w:rPr>
            </w:pPr>
            <w:r>
              <w:rPr>
                <w:rFonts w:hint="eastAsia" w:ascii="Times New Roman" w:eastAsia="仿宋"/>
                <w:szCs w:val="24"/>
              </w:rPr>
              <w:t>Ⅰ</w:t>
            </w:r>
          </w:p>
        </w:tc>
        <w:tc>
          <w:tcPr>
            <w:tcW w:w="424" w:type="pct"/>
            <w:vAlign w:val="center"/>
          </w:tcPr>
          <w:p w14:paraId="44B4383C">
            <w:pPr>
              <w:widowControl/>
              <w:jc w:val="center"/>
              <w:rPr>
                <w:rFonts w:ascii="Times New Roman" w:eastAsia="仿宋"/>
                <w:szCs w:val="24"/>
              </w:rPr>
            </w:pPr>
            <w:r>
              <w:rPr>
                <w:rFonts w:hint="eastAsia" w:ascii="Times New Roman" w:eastAsia="仿宋"/>
                <w:szCs w:val="24"/>
              </w:rPr>
              <w:t>Ⅱ</w:t>
            </w:r>
          </w:p>
        </w:tc>
        <w:tc>
          <w:tcPr>
            <w:tcW w:w="497" w:type="pct"/>
            <w:vAlign w:val="center"/>
          </w:tcPr>
          <w:p w14:paraId="4EC926A2">
            <w:pPr>
              <w:widowControl/>
              <w:jc w:val="center"/>
              <w:rPr>
                <w:rFonts w:ascii="Times New Roman" w:eastAsia="仿宋"/>
                <w:szCs w:val="24"/>
              </w:rPr>
            </w:pPr>
            <w:r>
              <w:rPr>
                <w:rFonts w:hint="eastAsia" w:ascii="Times New Roman" w:eastAsia="仿宋"/>
                <w:szCs w:val="24"/>
              </w:rPr>
              <w:t>Ⅲ</w:t>
            </w:r>
          </w:p>
        </w:tc>
      </w:tr>
      <w:tr w14:paraId="0F16F4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restart"/>
            <w:vAlign w:val="center"/>
          </w:tcPr>
          <w:p w14:paraId="7725AD21">
            <w:pPr>
              <w:pStyle w:val="170"/>
              <w:rPr>
                <w:rFonts w:ascii="Times New Roman"/>
                <w:sz w:val="24"/>
                <w:szCs w:val="21"/>
              </w:rPr>
            </w:pPr>
            <w:r>
              <w:rPr>
                <w:rFonts w:ascii="Times New Roman"/>
                <w:sz w:val="24"/>
                <w:szCs w:val="21"/>
              </w:rPr>
              <w:t>A</w:t>
            </w:r>
          </w:p>
        </w:tc>
        <w:tc>
          <w:tcPr>
            <w:tcW w:w="550" w:type="pct"/>
            <w:vAlign w:val="center"/>
          </w:tcPr>
          <w:p w14:paraId="426C1497">
            <w:pPr>
              <w:pStyle w:val="170"/>
              <w:rPr>
                <w:rFonts w:ascii="Times New Roman"/>
                <w:sz w:val="24"/>
                <w:szCs w:val="21"/>
              </w:rPr>
            </w:pPr>
            <w:r>
              <w:rPr>
                <w:rFonts w:ascii="Times New Roman"/>
                <w:sz w:val="24"/>
                <w:szCs w:val="21"/>
                <w:lang w:val="en-GB"/>
              </w:rPr>
              <w:t>＜</w:t>
            </w:r>
            <w:r>
              <w:rPr>
                <w:rFonts w:ascii="Times New Roman"/>
                <w:sz w:val="24"/>
                <w:szCs w:val="21"/>
              </w:rPr>
              <w:t>2</w:t>
            </w:r>
          </w:p>
        </w:tc>
        <w:tc>
          <w:tcPr>
            <w:tcW w:w="461" w:type="pct"/>
            <w:vAlign w:val="center"/>
          </w:tcPr>
          <w:p w14:paraId="2EA3471C">
            <w:pPr>
              <w:pStyle w:val="170"/>
              <w:rPr>
                <w:rFonts w:ascii="Times New Roman"/>
                <w:sz w:val="24"/>
                <w:szCs w:val="21"/>
              </w:rPr>
            </w:pPr>
            <w:r>
              <w:rPr>
                <w:rFonts w:ascii="Times New Roman"/>
                <w:sz w:val="24"/>
                <w:szCs w:val="21"/>
              </w:rPr>
              <w:t>400</w:t>
            </w:r>
          </w:p>
        </w:tc>
        <w:tc>
          <w:tcPr>
            <w:tcW w:w="470" w:type="pct"/>
            <w:vAlign w:val="center"/>
          </w:tcPr>
          <w:p w14:paraId="36D2DF52">
            <w:pPr>
              <w:pStyle w:val="170"/>
              <w:rPr>
                <w:rFonts w:ascii="Times New Roman"/>
                <w:sz w:val="24"/>
                <w:szCs w:val="21"/>
              </w:rPr>
            </w:pPr>
            <w:r>
              <w:rPr>
                <w:rFonts w:ascii="Times New Roman"/>
                <w:sz w:val="24"/>
                <w:szCs w:val="21"/>
              </w:rPr>
              <w:t>400</w:t>
            </w:r>
          </w:p>
        </w:tc>
        <w:tc>
          <w:tcPr>
            <w:tcW w:w="461" w:type="pct"/>
            <w:gridSpan w:val="2"/>
            <w:vAlign w:val="center"/>
          </w:tcPr>
          <w:p w14:paraId="5E29DBA7">
            <w:pPr>
              <w:pStyle w:val="170"/>
              <w:rPr>
                <w:rFonts w:ascii="Times New Roman"/>
                <w:sz w:val="24"/>
                <w:szCs w:val="21"/>
              </w:rPr>
            </w:pPr>
            <w:r>
              <w:rPr>
                <w:rFonts w:ascii="Times New Roman"/>
                <w:sz w:val="24"/>
                <w:szCs w:val="21"/>
              </w:rPr>
              <w:t>400</w:t>
            </w:r>
          </w:p>
        </w:tc>
        <w:tc>
          <w:tcPr>
            <w:tcW w:w="368" w:type="pct"/>
            <w:vAlign w:val="center"/>
          </w:tcPr>
          <w:p w14:paraId="2CB24A50">
            <w:pPr>
              <w:pStyle w:val="170"/>
              <w:rPr>
                <w:rFonts w:ascii="Times New Roman"/>
                <w:sz w:val="24"/>
                <w:szCs w:val="21"/>
              </w:rPr>
            </w:pPr>
            <w:r>
              <w:rPr>
                <w:rFonts w:ascii="Times New Roman"/>
                <w:sz w:val="24"/>
                <w:szCs w:val="21"/>
              </w:rPr>
              <w:t>400</w:t>
            </w:r>
          </w:p>
        </w:tc>
        <w:tc>
          <w:tcPr>
            <w:tcW w:w="460" w:type="pct"/>
            <w:vAlign w:val="center"/>
          </w:tcPr>
          <w:p w14:paraId="092071D6">
            <w:pPr>
              <w:pStyle w:val="170"/>
              <w:rPr>
                <w:rFonts w:ascii="Times New Roman"/>
                <w:sz w:val="24"/>
                <w:szCs w:val="21"/>
              </w:rPr>
            </w:pPr>
            <w:r>
              <w:rPr>
                <w:rFonts w:ascii="Times New Roman"/>
                <w:sz w:val="24"/>
                <w:szCs w:val="21"/>
              </w:rPr>
              <w:t>400</w:t>
            </w:r>
          </w:p>
        </w:tc>
        <w:tc>
          <w:tcPr>
            <w:tcW w:w="423" w:type="pct"/>
            <w:vAlign w:val="center"/>
          </w:tcPr>
          <w:p w14:paraId="66CAD7A6">
            <w:pPr>
              <w:pStyle w:val="170"/>
              <w:rPr>
                <w:rFonts w:ascii="Times New Roman"/>
                <w:sz w:val="24"/>
                <w:szCs w:val="21"/>
              </w:rPr>
            </w:pPr>
            <w:r>
              <w:rPr>
                <w:rFonts w:ascii="Times New Roman"/>
                <w:sz w:val="24"/>
                <w:szCs w:val="21"/>
              </w:rPr>
              <w:t>400</w:t>
            </w:r>
          </w:p>
        </w:tc>
        <w:tc>
          <w:tcPr>
            <w:tcW w:w="423" w:type="pct"/>
            <w:vAlign w:val="center"/>
          </w:tcPr>
          <w:p w14:paraId="486DA80B">
            <w:pPr>
              <w:pStyle w:val="170"/>
              <w:rPr>
                <w:rFonts w:ascii="Times New Roman"/>
                <w:sz w:val="24"/>
                <w:szCs w:val="21"/>
              </w:rPr>
            </w:pPr>
            <w:r>
              <w:rPr>
                <w:rFonts w:ascii="Times New Roman"/>
                <w:sz w:val="24"/>
                <w:szCs w:val="21"/>
              </w:rPr>
              <w:t>80</w:t>
            </w:r>
          </w:p>
        </w:tc>
        <w:tc>
          <w:tcPr>
            <w:tcW w:w="424" w:type="pct"/>
            <w:vAlign w:val="center"/>
          </w:tcPr>
          <w:p w14:paraId="4BECBF87">
            <w:pPr>
              <w:pStyle w:val="170"/>
              <w:rPr>
                <w:rFonts w:ascii="Times New Roman"/>
                <w:sz w:val="24"/>
                <w:szCs w:val="21"/>
              </w:rPr>
            </w:pPr>
            <w:r>
              <w:rPr>
                <w:rFonts w:ascii="Times New Roman"/>
                <w:sz w:val="24"/>
                <w:szCs w:val="21"/>
              </w:rPr>
              <w:t>80</w:t>
            </w:r>
          </w:p>
        </w:tc>
        <w:tc>
          <w:tcPr>
            <w:tcW w:w="497" w:type="pct"/>
            <w:vAlign w:val="center"/>
          </w:tcPr>
          <w:p w14:paraId="3F4BAB93">
            <w:pPr>
              <w:pStyle w:val="170"/>
              <w:rPr>
                <w:rFonts w:ascii="Times New Roman"/>
                <w:sz w:val="24"/>
                <w:szCs w:val="21"/>
              </w:rPr>
            </w:pPr>
            <w:r>
              <w:rPr>
                <w:rFonts w:ascii="Times New Roman"/>
                <w:sz w:val="24"/>
                <w:szCs w:val="21"/>
              </w:rPr>
              <w:t>80</w:t>
            </w:r>
          </w:p>
        </w:tc>
      </w:tr>
      <w:tr w14:paraId="0A4253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46CD35C0">
            <w:pPr>
              <w:pStyle w:val="170"/>
              <w:rPr>
                <w:rFonts w:ascii="Times New Roman"/>
                <w:sz w:val="24"/>
                <w:szCs w:val="21"/>
              </w:rPr>
            </w:pPr>
          </w:p>
        </w:tc>
        <w:tc>
          <w:tcPr>
            <w:tcW w:w="550" w:type="pct"/>
            <w:vAlign w:val="center"/>
          </w:tcPr>
          <w:p w14:paraId="0C2528C4">
            <w:pPr>
              <w:pStyle w:val="170"/>
              <w:rPr>
                <w:rFonts w:ascii="Times New Roman"/>
                <w:sz w:val="24"/>
                <w:szCs w:val="21"/>
              </w:rPr>
            </w:pPr>
            <w:r>
              <w:rPr>
                <w:rFonts w:ascii="Times New Roman"/>
                <w:sz w:val="24"/>
                <w:szCs w:val="21"/>
              </w:rPr>
              <w:t>2～4</w:t>
            </w:r>
          </w:p>
        </w:tc>
        <w:tc>
          <w:tcPr>
            <w:tcW w:w="461" w:type="pct"/>
            <w:vAlign w:val="center"/>
          </w:tcPr>
          <w:p w14:paraId="62DEB803">
            <w:pPr>
              <w:pStyle w:val="170"/>
              <w:rPr>
                <w:rFonts w:ascii="Times New Roman"/>
                <w:sz w:val="24"/>
                <w:szCs w:val="21"/>
              </w:rPr>
            </w:pPr>
            <w:r>
              <w:rPr>
                <w:rFonts w:ascii="Times New Roman"/>
                <w:sz w:val="24"/>
                <w:szCs w:val="21"/>
              </w:rPr>
              <w:t>700</w:t>
            </w:r>
          </w:p>
        </w:tc>
        <w:tc>
          <w:tcPr>
            <w:tcW w:w="470" w:type="pct"/>
            <w:vAlign w:val="center"/>
          </w:tcPr>
          <w:p w14:paraId="424FA4BE">
            <w:pPr>
              <w:pStyle w:val="170"/>
              <w:rPr>
                <w:rFonts w:ascii="Times New Roman"/>
                <w:sz w:val="24"/>
                <w:szCs w:val="21"/>
              </w:rPr>
            </w:pPr>
            <w:r>
              <w:rPr>
                <w:rFonts w:ascii="Times New Roman"/>
                <w:sz w:val="24"/>
                <w:szCs w:val="21"/>
              </w:rPr>
              <w:t>470</w:t>
            </w:r>
          </w:p>
        </w:tc>
        <w:tc>
          <w:tcPr>
            <w:tcW w:w="461" w:type="pct"/>
            <w:gridSpan w:val="2"/>
            <w:vAlign w:val="center"/>
          </w:tcPr>
          <w:p w14:paraId="6BD7206B">
            <w:pPr>
              <w:pStyle w:val="170"/>
              <w:rPr>
                <w:rFonts w:ascii="Times New Roman"/>
                <w:sz w:val="24"/>
                <w:szCs w:val="21"/>
              </w:rPr>
            </w:pPr>
            <w:r>
              <w:rPr>
                <w:rFonts w:ascii="Times New Roman"/>
                <w:sz w:val="24"/>
                <w:szCs w:val="21"/>
              </w:rPr>
              <w:t>350</w:t>
            </w:r>
          </w:p>
        </w:tc>
        <w:tc>
          <w:tcPr>
            <w:tcW w:w="368" w:type="pct"/>
            <w:vAlign w:val="center"/>
          </w:tcPr>
          <w:p w14:paraId="36274A93">
            <w:pPr>
              <w:pStyle w:val="170"/>
              <w:rPr>
                <w:rFonts w:ascii="Times New Roman"/>
                <w:sz w:val="24"/>
                <w:szCs w:val="21"/>
              </w:rPr>
            </w:pPr>
            <w:r>
              <w:rPr>
                <w:rFonts w:ascii="Times New Roman"/>
                <w:sz w:val="24"/>
                <w:szCs w:val="21"/>
              </w:rPr>
              <w:t>700</w:t>
            </w:r>
          </w:p>
        </w:tc>
        <w:tc>
          <w:tcPr>
            <w:tcW w:w="460" w:type="pct"/>
            <w:vAlign w:val="center"/>
          </w:tcPr>
          <w:p w14:paraId="698371E6">
            <w:pPr>
              <w:pStyle w:val="170"/>
              <w:rPr>
                <w:rFonts w:ascii="Times New Roman"/>
                <w:sz w:val="24"/>
                <w:szCs w:val="21"/>
              </w:rPr>
            </w:pPr>
            <w:r>
              <w:rPr>
                <w:rFonts w:ascii="Times New Roman"/>
                <w:sz w:val="24"/>
                <w:szCs w:val="21"/>
              </w:rPr>
              <w:t>470</w:t>
            </w:r>
          </w:p>
        </w:tc>
        <w:tc>
          <w:tcPr>
            <w:tcW w:w="423" w:type="pct"/>
            <w:vAlign w:val="center"/>
          </w:tcPr>
          <w:p w14:paraId="5FDE6055">
            <w:pPr>
              <w:pStyle w:val="170"/>
              <w:rPr>
                <w:rFonts w:ascii="Times New Roman"/>
                <w:sz w:val="24"/>
                <w:szCs w:val="21"/>
              </w:rPr>
            </w:pPr>
            <w:r>
              <w:rPr>
                <w:rFonts w:ascii="Times New Roman"/>
                <w:sz w:val="24"/>
                <w:szCs w:val="21"/>
              </w:rPr>
              <w:t>350</w:t>
            </w:r>
          </w:p>
        </w:tc>
        <w:tc>
          <w:tcPr>
            <w:tcW w:w="423" w:type="pct"/>
            <w:vAlign w:val="center"/>
          </w:tcPr>
          <w:p w14:paraId="0F8CFA6A">
            <w:pPr>
              <w:pStyle w:val="170"/>
              <w:rPr>
                <w:rFonts w:ascii="Times New Roman"/>
                <w:sz w:val="24"/>
                <w:szCs w:val="21"/>
              </w:rPr>
            </w:pPr>
            <w:r>
              <w:rPr>
                <w:rFonts w:ascii="Times New Roman"/>
                <w:sz w:val="24"/>
                <w:szCs w:val="21"/>
              </w:rPr>
              <w:t>380</w:t>
            </w:r>
          </w:p>
        </w:tc>
        <w:tc>
          <w:tcPr>
            <w:tcW w:w="424" w:type="pct"/>
            <w:vAlign w:val="center"/>
          </w:tcPr>
          <w:p w14:paraId="4AC0E54F">
            <w:pPr>
              <w:pStyle w:val="170"/>
              <w:rPr>
                <w:rFonts w:ascii="Times New Roman"/>
                <w:sz w:val="24"/>
                <w:szCs w:val="21"/>
              </w:rPr>
            </w:pPr>
            <w:r>
              <w:rPr>
                <w:rFonts w:ascii="Times New Roman"/>
                <w:sz w:val="24"/>
                <w:szCs w:val="21"/>
              </w:rPr>
              <w:t>250</w:t>
            </w:r>
          </w:p>
        </w:tc>
        <w:tc>
          <w:tcPr>
            <w:tcW w:w="497" w:type="pct"/>
            <w:vAlign w:val="center"/>
          </w:tcPr>
          <w:p w14:paraId="38142861">
            <w:pPr>
              <w:pStyle w:val="170"/>
              <w:rPr>
                <w:rFonts w:ascii="Times New Roman"/>
                <w:sz w:val="24"/>
                <w:szCs w:val="21"/>
              </w:rPr>
            </w:pPr>
            <w:r>
              <w:rPr>
                <w:rFonts w:ascii="Times New Roman"/>
                <w:sz w:val="24"/>
                <w:szCs w:val="21"/>
              </w:rPr>
              <w:t>190</w:t>
            </w:r>
          </w:p>
        </w:tc>
      </w:tr>
      <w:tr w14:paraId="6D695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46A875B2">
            <w:pPr>
              <w:pStyle w:val="170"/>
              <w:rPr>
                <w:rFonts w:ascii="Times New Roman"/>
                <w:sz w:val="24"/>
                <w:szCs w:val="21"/>
              </w:rPr>
            </w:pPr>
          </w:p>
        </w:tc>
        <w:tc>
          <w:tcPr>
            <w:tcW w:w="550" w:type="pct"/>
            <w:vAlign w:val="center"/>
          </w:tcPr>
          <w:p w14:paraId="1F2E3E30">
            <w:pPr>
              <w:pStyle w:val="170"/>
              <w:rPr>
                <w:rFonts w:ascii="Times New Roman"/>
                <w:sz w:val="24"/>
                <w:szCs w:val="21"/>
              </w:rPr>
            </w:pPr>
            <w:r>
              <w:rPr>
                <w:rFonts w:ascii="Times New Roman"/>
                <w:sz w:val="24"/>
                <w:szCs w:val="21"/>
                <w:lang w:val="en-GB"/>
              </w:rPr>
              <w:t>＞</w:t>
            </w:r>
            <w:r>
              <w:rPr>
                <w:rFonts w:ascii="Times New Roman"/>
                <w:sz w:val="24"/>
                <w:szCs w:val="21"/>
              </w:rPr>
              <w:t>4</w:t>
            </w:r>
          </w:p>
        </w:tc>
        <w:tc>
          <w:tcPr>
            <w:tcW w:w="461" w:type="pct"/>
            <w:vAlign w:val="center"/>
          </w:tcPr>
          <w:p w14:paraId="28F99E98">
            <w:pPr>
              <w:pStyle w:val="170"/>
              <w:rPr>
                <w:rFonts w:ascii="Times New Roman"/>
                <w:sz w:val="24"/>
                <w:szCs w:val="21"/>
              </w:rPr>
            </w:pPr>
            <w:r>
              <w:rPr>
                <w:rFonts w:ascii="Times New Roman"/>
                <w:sz w:val="24"/>
                <w:szCs w:val="21"/>
              </w:rPr>
              <w:t>530</w:t>
            </w:r>
          </w:p>
        </w:tc>
        <w:tc>
          <w:tcPr>
            <w:tcW w:w="470" w:type="pct"/>
            <w:vAlign w:val="center"/>
          </w:tcPr>
          <w:p w14:paraId="79744DBA">
            <w:pPr>
              <w:pStyle w:val="170"/>
              <w:rPr>
                <w:rFonts w:ascii="Times New Roman"/>
                <w:sz w:val="24"/>
                <w:szCs w:val="21"/>
              </w:rPr>
            </w:pPr>
            <w:r>
              <w:rPr>
                <w:rFonts w:ascii="Times New Roman"/>
                <w:sz w:val="24"/>
                <w:szCs w:val="21"/>
              </w:rPr>
              <w:t>350</w:t>
            </w:r>
          </w:p>
        </w:tc>
        <w:tc>
          <w:tcPr>
            <w:tcW w:w="461" w:type="pct"/>
            <w:gridSpan w:val="2"/>
            <w:vAlign w:val="center"/>
          </w:tcPr>
          <w:p w14:paraId="18DBE4B4">
            <w:pPr>
              <w:pStyle w:val="170"/>
              <w:rPr>
                <w:rFonts w:ascii="Times New Roman"/>
                <w:sz w:val="24"/>
                <w:szCs w:val="21"/>
              </w:rPr>
            </w:pPr>
            <w:r>
              <w:rPr>
                <w:rFonts w:ascii="Times New Roman"/>
                <w:sz w:val="24"/>
                <w:szCs w:val="21"/>
              </w:rPr>
              <w:t>260</w:t>
            </w:r>
          </w:p>
        </w:tc>
        <w:tc>
          <w:tcPr>
            <w:tcW w:w="368" w:type="pct"/>
            <w:vAlign w:val="center"/>
          </w:tcPr>
          <w:p w14:paraId="19BEAC08">
            <w:pPr>
              <w:pStyle w:val="170"/>
              <w:rPr>
                <w:rFonts w:ascii="Times New Roman"/>
                <w:sz w:val="24"/>
                <w:szCs w:val="21"/>
              </w:rPr>
            </w:pPr>
            <w:r>
              <w:rPr>
                <w:rFonts w:ascii="Times New Roman"/>
                <w:sz w:val="24"/>
                <w:szCs w:val="21"/>
              </w:rPr>
              <w:t>530</w:t>
            </w:r>
          </w:p>
        </w:tc>
        <w:tc>
          <w:tcPr>
            <w:tcW w:w="460" w:type="pct"/>
            <w:vAlign w:val="center"/>
          </w:tcPr>
          <w:p w14:paraId="6795FAD3">
            <w:pPr>
              <w:pStyle w:val="170"/>
              <w:rPr>
                <w:rFonts w:ascii="Times New Roman"/>
                <w:sz w:val="24"/>
                <w:szCs w:val="21"/>
              </w:rPr>
            </w:pPr>
            <w:r>
              <w:rPr>
                <w:rFonts w:ascii="Times New Roman"/>
                <w:sz w:val="24"/>
                <w:szCs w:val="21"/>
              </w:rPr>
              <w:t>350</w:t>
            </w:r>
          </w:p>
        </w:tc>
        <w:tc>
          <w:tcPr>
            <w:tcW w:w="423" w:type="pct"/>
            <w:vAlign w:val="center"/>
          </w:tcPr>
          <w:p w14:paraId="2C49EE63">
            <w:pPr>
              <w:pStyle w:val="170"/>
              <w:rPr>
                <w:rFonts w:ascii="Times New Roman"/>
                <w:sz w:val="24"/>
                <w:szCs w:val="21"/>
              </w:rPr>
            </w:pPr>
            <w:r>
              <w:rPr>
                <w:rFonts w:ascii="Times New Roman"/>
                <w:sz w:val="24"/>
                <w:szCs w:val="21"/>
              </w:rPr>
              <w:t>260</w:t>
            </w:r>
          </w:p>
        </w:tc>
        <w:tc>
          <w:tcPr>
            <w:tcW w:w="423" w:type="pct"/>
            <w:vAlign w:val="center"/>
          </w:tcPr>
          <w:p w14:paraId="5C436ED7">
            <w:pPr>
              <w:pStyle w:val="170"/>
              <w:rPr>
                <w:rFonts w:ascii="Times New Roman"/>
                <w:sz w:val="24"/>
                <w:szCs w:val="21"/>
              </w:rPr>
            </w:pPr>
            <w:r>
              <w:rPr>
                <w:rFonts w:ascii="Times New Roman"/>
                <w:sz w:val="24"/>
                <w:szCs w:val="21"/>
              </w:rPr>
              <w:t>290</w:t>
            </w:r>
          </w:p>
        </w:tc>
        <w:tc>
          <w:tcPr>
            <w:tcW w:w="424" w:type="pct"/>
            <w:vAlign w:val="center"/>
          </w:tcPr>
          <w:p w14:paraId="6A1BA625">
            <w:pPr>
              <w:pStyle w:val="170"/>
              <w:rPr>
                <w:rFonts w:ascii="Times New Roman"/>
                <w:sz w:val="24"/>
                <w:szCs w:val="21"/>
              </w:rPr>
            </w:pPr>
            <w:r>
              <w:rPr>
                <w:rFonts w:ascii="Times New Roman"/>
                <w:sz w:val="24"/>
                <w:szCs w:val="21"/>
              </w:rPr>
              <w:t>190</w:t>
            </w:r>
          </w:p>
        </w:tc>
        <w:tc>
          <w:tcPr>
            <w:tcW w:w="497" w:type="pct"/>
            <w:vAlign w:val="center"/>
          </w:tcPr>
          <w:p w14:paraId="6E496615">
            <w:pPr>
              <w:pStyle w:val="170"/>
              <w:rPr>
                <w:rFonts w:ascii="Times New Roman"/>
                <w:sz w:val="24"/>
                <w:szCs w:val="21"/>
              </w:rPr>
            </w:pPr>
            <w:r>
              <w:rPr>
                <w:rFonts w:ascii="Times New Roman"/>
                <w:sz w:val="24"/>
                <w:szCs w:val="21"/>
              </w:rPr>
              <w:t>140</w:t>
            </w:r>
          </w:p>
        </w:tc>
      </w:tr>
      <w:tr w14:paraId="46E027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restart"/>
            <w:vAlign w:val="center"/>
          </w:tcPr>
          <w:p w14:paraId="35A2A593">
            <w:pPr>
              <w:pStyle w:val="170"/>
              <w:rPr>
                <w:rFonts w:ascii="Times New Roman"/>
                <w:sz w:val="24"/>
                <w:szCs w:val="21"/>
              </w:rPr>
            </w:pPr>
            <w:r>
              <w:rPr>
                <w:rFonts w:ascii="Times New Roman"/>
                <w:sz w:val="24"/>
                <w:szCs w:val="21"/>
              </w:rPr>
              <w:t>B</w:t>
            </w:r>
          </w:p>
        </w:tc>
        <w:tc>
          <w:tcPr>
            <w:tcW w:w="550" w:type="pct"/>
            <w:vAlign w:val="center"/>
          </w:tcPr>
          <w:p w14:paraId="19BA4527">
            <w:pPr>
              <w:pStyle w:val="170"/>
              <w:rPr>
                <w:rFonts w:ascii="Times New Roman"/>
                <w:sz w:val="24"/>
                <w:szCs w:val="21"/>
              </w:rPr>
            </w:pPr>
            <w:r>
              <w:rPr>
                <w:rFonts w:ascii="Times New Roman"/>
                <w:sz w:val="24"/>
                <w:szCs w:val="21"/>
                <w:lang w:val="en-GB"/>
              </w:rPr>
              <w:t>＜</w:t>
            </w:r>
            <w:r>
              <w:rPr>
                <w:rFonts w:ascii="Times New Roman"/>
                <w:sz w:val="24"/>
                <w:szCs w:val="21"/>
              </w:rPr>
              <w:t>2</w:t>
            </w:r>
          </w:p>
        </w:tc>
        <w:tc>
          <w:tcPr>
            <w:tcW w:w="1392" w:type="pct"/>
            <w:gridSpan w:val="4"/>
            <w:vAlign w:val="center"/>
          </w:tcPr>
          <w:p w14:paraId="6413FC6F">
            <w:pPr>
              <w:pStyle w:val="170"/>
              <w:rPr>
                <w:rFonts w:ascii="Times New Roman"/>
                <w:sz w:val="24"/>
                <w:szCs w:val="21"/>
              </w:rPr>
            </w:pPr>
            <w:r>
              <w:rPr>
                <w:rFonts w:ascii="Times New Roman"/>
                <w:sz w:val="24"/>
                <w:szCs w:val="21"/>
              </w:rPr>
              <w:t>0.01</w:t>
            </w:r>
          </w:p>
        </w:tc>
        <w:tc>
          <w:tcPr>
            <w:tcW w:w="1251" w:type="pct"/>
            <w:gridSpan w:val="3"/>
            <w:vAlign w:val="center"/>
          </w:tcPr>
          <w:p w14:paraId="6CDB1A0C">
            <w:pPr>
              <w:pStyle w:val="170"/>
              <w:rPr>
                <w:rFonts w:ascii="Times New Roman"/>
                <w:sz w:val="24"/>
                <w:szCs w:val="21"/>
              </w:rPr>
            </w:pPr>
            <w:r>
              <w:rPr>
                <w:rFonts w:ascii="Times New Roman"/>
                <w:sz w:val="24"/>
                <w:szCs w:val="21"/>
              </w:rPr>
              <w:t>0.015</w:t>
            </w:r>
          </w:p>
        </w:tc>
        <w:tc>
          <w:tcPr>
            <w:tcW w:w="1344" w:type="pct"/>
            <w:gridSpan w:val="3"/>
            <w:vAlign w:val="center"/>
          </w:tcPr>
          <w:p w14:paraId="5266C08B">
            <w:pPr>
              <w:pStyle w:val="170"/>
              <w:rPr>
                <w:rFonts w:ascii="Times New Roman"/>
                <w:sz w:val="24"/>
                <w:szCs w:val="21"/>
              </w:rPr>
            </w:pPr>
            <w:r>
              <w:rPr>
                <w:rFonts w:ascii="Times New Roman"/>
                <w:sz w:val="24"/>
                <w:szCs w:val="21"/>
              </w:rPr>
              <w:t>0.015</w:t>
            </w:r>
          </w:p>
        </w:tc>
      </w:tr>
      <w:tr w14:paraId="037903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2C60DA3A">
            <w:pPr>
              <w:pStyle w:val="170"/>
              <w:rPr>
                <w:rFonts w:ascii="Times New Roman"/>
                <w:sz w:val="24"/>
                <w:szCs w:val="21"/>
              </w:rPr>
            </w:pPr>
          </w:p>
        </w:tc>
        <w:tc>
          <w:tcPr>
            <w:tcW w:w="550" w:type="pct"/>
            <w:vAlign w:val="center"/>
          </w:tcPr>
          <w:p w14:paraId="7311C0D4">
            <w:pPr>
              <w:pStyle w:val="170"/>
              <w:rPr>
                <w:rFonts w:ascii="Times New Roman"/>
                <w:sz w:val="24"/>
                <w:szCs w:val="21"/>
              </w:rPr>
            </w:pPr>
            <w:r>
              <w:rPr>
                <w:rFonts w:ascii="Times New Roman"/>
                <w:sz w:val="24"/>
                <w:szCs w:val="21"/>
              </w:rPr>
              <w:t>＞2</w:t>
            </w:r>
          </w:p>
        </w:tc>
        <w:tc>
          <w:tcPr>
            <w:tcW w:w="1392" w:type="pct"/>
            <w:gridSpan w:val="4"/>
            <w:vAlign w:val="center"/>
          </w:tcPr>
          <w:p w14:paraId="76E85000">
            <w:pPr>
              <w:pStyle w:val="170"/>
              <w:rPr>
                <w:rFonts w:ascii="Times New Roman"/>
                <w:sz w:val="24"/>
                <w:szCs w:val="21"/>
              </w:rPr>
            </w:pPr>
            <w:r>
              <w:rPr>
                <w:rFonts w:ascii="Times New Roman"/>
                <w:sz w:val="24"/>
                <w:szCs w:val="21"/>
              </w:rPr>
              <w:t>0.021</w:t>
            </w:r>
          </w:p>
        </w:tc>
        <w:tc>
          <w:tcPr>
            <w:tcW w:w="1251" w:type="pct"/>
            <w:gridSpan w:val="3"/>
            <w:vAlign w:val="center"/>
          </w:tcPr>
          <w:p w14:paraId="23FD3EEE">
            <w:pPr>
              <w:pStyle w:val="170"/>
              <w:rPr>
                <w:rFonts w:ascii="Times New Roman"/>
                <w:sz w:val="24"/>
                <w:szCs w:val="21"/>
              </w:rPr>
            </w:pPr>
            <w:r>
              <w:rPr>
                <w:rFonts w:ascii="Times New Roman"/>
                <w:sz w:val="24"/>
                <w:szCs w:val="21"/>
              </w:rPr>
              <w:t>0.036</w:t>
            </w:r>
          </w:p>
        </w:tc>
        <w:tc>
          <w:tcPr>
            <w:tcW w:w="1344" w:type="pct"/>
            <w:gridSpan w:val="3"/>
            <w:vAlign w:val="center"/>
          </w:tcPr>
          <w:p w14:paraId="7B4758FD">
            <w:pPr>
              <w:pStyle w:val="170"/>
              <w:rPr>
                <w:rFonts w:ascii="Times New Roman"/>
                <w:sz w:val="24"/>
                <w:szCs w:val="21"/>
              </w:rPr>
            </w:pPr>
            <w:r>
              <w:rPr>
                <w:rFonts w:ascii="Times New Roman"/>
                <w:sz w:val="24"/>
                <w:szCs w:val="21"/>
              </w:rPr>
              <w:t>0.036</w:t>
            </w:r>
          </w:p>
        </w:tc>
      </w:tr>
      <w:tr w14:paraId="1BF18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restart"/>
            <w:vAlign w:val="center"/>
          </w:tcPr>
          <w:p w14:paraId="0D98116D">
            <w:pPr>
              <w:pStyle w:val="170"/>
              <w:rPr>
                <w:rFonts w:ascii="Times New Roman"/>
                <w:sz w:val="24"/>
                <w:szCs w:val="21"/>
              </w:rPr>
            </w:pPr>
            <w:r>
              <w:rPr>
                <w:rFonts w:ascii="Times New Roman"/>
                <w:sz w:val="24"/>
                <w:szCs w:val="21"/>
              </w:rPr>
              <w:t>C</w:t>
            </w:r>
          </w:p>
        </w:tc>
        <w:tc>
          <w:tcPr>
            <w:tcW w:w="550" w:type="pct"/>
            <w:vAlign w:val="center"/>
          </w:tcPr>
          <w:p w14:paraId="413A578C">
            <w:pPr>
              <w:pStyle w:val="170"/>
              <w:rPr>
                <w:rFonts w:ascii="Times New Roman"/>
                <w:sz w:val="24"/>
                <w:szCs w:val="21"/>
              </w:rPr>
            </w:pPr>
            <w:r>
              <w:rPr>
                <w:rFonts w:ascii="Times New Roman"/>
                <w:sz w:val="24"/>
                <w:szCs w:val="21"/>
              </w:rPr>
              <w:t>＜2</w:t>
            </w:r>
          </w:p>
        </w:tc>
        <w:tc>
          <w:tcPr>
            <w:tcW w:w="1392" w:type="pct"/>
            <w:gridSpan w:val="4"/>
            <w:vAlign w:val="center"/>
          </w:tcPr>
          <w:p w14:paraId="2FB2DBAC">
            <w:pPr>
              <w:pStyle w:val="170"/>
              <w:rPr>
                <w:rFonts w:ascii="Times New Roman"/>
                <w:sz w:val="24"/>
                <w:szCs w:val="21"/>
              </w:rPr>
            </w:pPr>
            <w:r>
              <w:rPr>
                <w:rFonts w:ascii="Times New Roman"/>
                <w:sz w:val="24"/>
                <w:szCs w:val="21"/>
              </w:rPr>
              <w:t>1.85</w:t>
            </w:r>
          </w:p>
        </w:tc>
        <w:tc>
          <w:tcPr>
            <w:tcW w:w="1251" w:type="pct"/>
            <w:gridSpan w:val="3"/>
            <w:vAlign w:val="center"/>
          </w:tcPr>
          <w:p w14:paraId="5AFAC561">
            <w:pPr>
              <w:pStyle w:val="170"/>
              <w:rPr>
                <w:rFonts w:ascii="Times New Roman"/>
                <w:sz w:val="24"/>
                <w:szCs w:val="21"/>
              </w:rPr>
            </w:pPr>
            <w:r>
              <w:rPr>
                <w:rFonts w:ascii="Times New Roman"/>
                <w:sz w:val="24"/>
                <w:szCs w:val="21"/>
              </w:rPr>
              <w:t>1.79</w:t>
            </w:r>
          </w:p>
        </w:tc>
        <w:tc>
          <w:tcPr>
            <w:tcW w:w="1344" w:type="pct"/>
            <w:gridSpan w:val="3"/>
            <w:vAlign w:val="center"/>
          </w:tcPr>
          <w:p w14:paraId="1A2C3B1B">
            <w:pPr>
              <w:pStyle w:val="170"/>
              <w:rPr>
                <w:rFonts w:ascii="Times New Roman"/>
                <w:sz w:val="24"/>
                <w:szCs w:val="21"/>
              </w:rPr>
            </w:pPr>
            <w:r>
              <w:rPr>
                <w:rFonts w:ascii="Times New Roman"/>
                <w:sz w:val="24"/>
                <w:szCs w:val="21"/>
              </w:rPr>
              <w:t>1.79</w:t>
            </w:r>
          </w:p>
        </w:tc>
      </w:tr>
      <w:tr w14:paraId="4571B8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111B2CF7">
            <w:pPr>
              <w:pStyle w:val="170"/>
              <w:rPr>
                <w:rFonts w:ascii="Times New Roman"/>
                <w:sz w:val="24"/>
                <w:szCs w:val="21"/>
              </w:rPr>
            </w:pPr>
          </w:p>
        </w:tc>
        <w:tc>
          <w:tcPr>
            <w:tcW w:w="550" w:type="pct"/>
            <w:vAlign w:val="center"/>
          </w:tcPr>
          <w:p w14:paraId="7FEF2140">
            <w:pPr>
              <w:pStyle w:val="170"/>
              <w:rPr>
                <w:rFonts w:ascii="Times New Roman"/>
                <w:sz w:val="24"/>
                <w:szCs w:val="21"/>
              </w:rPr>
            </w:pPr>
            <w:r>
              <w:rPr>
                <w:rFonts w:ascii="Times New Roman"/>
                <w:sz w:val="24"/>
                <w:szCs w:val="21"/>
              </w:rPr>
              <w:t>＞2</w:t>
            </w:r>
          </w:p>
        </w:tc>
        <w:tc>
          <w:tcPr>
            <w:tcW w:w="1392" w:type="pct"/>
            <w:gridSpan w:val="4"/>
            <w:vAlign w:val="center"/>
          </w:tcPr>
          <w:p w14:paraId="325BB7F6">
            <w:pPr>
              <w:pStyle w:val="170"/>
              <w:rPr>
                <w:rFonts w:ascii="Times New Roman"/>
                <w:sz w:val="24"/>
                <w:szCs w:val="21"/>
              </w:rPr>
            </w:pPr>
            <w:r>
              <w:rPr>
                <w:rFonts w:ascii="Times New Roman"/>
                <w:sz w:val="24"/>
                <w:szCs w:val="21"/>
              </w:rPr>
              <w:t>1.85</w:t>
            </w:r>
          </w:p>
        </w:tc>
        <w:tc>
          <w:tcPr>
            <w:tcW w:w="1251" w:type="pct"/>
            <w:gridSpan w:val="3"/>
            <w:vAlign w:val="center"/>
          </w:tcPr>
          <w:p w14:paraId="4EBA48D9">
            <w:pPr>
              <w:pStyle w:val="170"/>
              <w:rPr>
                <w:rFonts w:ascii="Times New Roman"/>
                <w:sz w:val="24"/>
                <w:szCs w:val="21"/>
              </w:rPr>
            </w:pPr>
            <w:r>
              <w:rPr>
                <w:rFonts w:ascii="Times New Roman"/>
                <w:sz w:val="24"/>
                <w:szCs w:val="21"/>
              </w:rPr>
              <w:t>1.77</w:t>
            </w:r>
          </w:p>
        </w:tc>
        <w:tc>
          <w:tcPr>
            <w:tcW w:w="1344" w:type="pct"/>
            <w:gridSpan w:val="3"/>
            <w:vAlign w:val="center"/>
          </w:tcPr>
          <w:p w14:paraId="38CE51A4">
            <w:pPr>
              <w:pStyle w:val="170"/>
              <w:rPr>
                <w:rFonts w:ascii="Times New Roman"/>
                <w:sz w:val="24"/>
                <w:szCs w:val="21"/>
              </w:rPr>
            </w:pPr>
            <w:r>
              <w:rPr>
                <w:rFonts w:ascii="Times New Roman"/>
                <w:sz w:val="24"/>
                <w:szCs w:val="21"/>
              </w:rPr>
              <w:t>1.77</w:t>
            </w:r>
          </w:p>
        </w:tc>
      </w:tr>
      <w:tr w14:paraId="5919B2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restart"/>
            <w:vAlign w:val="center"/>
          </w:tcPr>
          <w:p w14:paraId="5BF40C15">
            <w:pPr>
              <w:pStyle w:val="170"/>
              <w:rPr>
                <w:rFonts w:ascii="Times New Roman"/>
                <w:sz w:val="24"/>
                <w:szCs w:val="21"/>
              </w:rPr>
            </w:pPr>
            <w:r>
              <w:rPr>
                <w:rFonts w:ascii="Times New Roman"/>
                <w:sz w:val="24"/>
                <w:szCs w:val="21"/>
              </w:rPr>
              <w:t>D</w:t>
            </w:r>
          </w:p>
        </w:tc>
        <w:tc>
          <w:tcPr>
            <w:tcW w:w="550" w:type="pct"/>
            <w:vAlign w:val="center"/>
          </w:tcPr>
          <w:p w14:paraId="6699E9B0">
            <w:pPr>
              <w:pStyle w:val="170"/>
              <w:rPr>
                <w:rFonts w:ascii="Times New Roman"/>
                <w:sz w:val="24"/>
                <w:szCs w:val="21"/>
              </w:rPr>
            </w:pPr>
            <w:r>
              <w:rPr>
                <w:rFonts w:ascii="Times New Roman"/>
                <w:sz w:val="24"/>
                <w:szCs w:val="21"/>
              </w:rPr>
              <w:t>＜2</w:t>
            </w:r>
          </w:p>
        </w:tc>
        <w:tc>
          <w:tcPr>
            <w:tcW w:w="1392" w:type="pct"/>
            <w:gridSpan w:val="4"/>
            <w:vAlign w:val="center"/>
          </w:tcPr>
          <w:p w14:paraId="352EC6BC">
            <w:pPr>
              <w:pStyle w:val="170"/>
              <w:rPr>
                <w:rFonts w:ascii="Times New Roman"/>
                <w:sz w:val="24"/>
                <w:szCs w:val="21"/>
              </w:rPr>
            </w:pPr>
            <w:r>
              <w:rPr>
                <w:rFonts w:ascii="Times New Roman"/>
                <w:sz w:val="24"/>
                <w:szCs w:val="21"/>
              </w:rPr>
              <w:t>0.78</w:t>
            </w:r>
          </w:p>
        </w:tc>
        <w:tc>
          <w:tcPr>
            <w:tcW w:w="1251" w:type="pct"/>
            <w:gridSpan w:val="3"/>
            <w:vAlign w:val="center"/>
          </w:tcPr>
          <w:p w14:paraId="2F35B713">
            <w:pPr>
              <w:pStyle w:val="170"/>
              <w:rPr>
                <w:rFonts w:ascii="Times New Roman"/>
                <w:sz w:val="24"/>
                <w:szCs w:val="21"/>
              </w:rPr>
            </w:pPr>
            <w:r>
              <w:rPr>
                <w:rFonts w:ascii="Times New Roman"/>
                <w:sz w:val="24"/>
                <w:szCs w:val="21"/>
              </w:rPr>
              <w:t>0.78</w:t>
            </w:r>
          </w:p>
        </w:tc>
        <w:tc>
          <w:tcPr>
            <w:tcW w:w="1344" w:type="pct"/>
            <w:gridSpan w:val="3"/>
            <w:vAlign w:val="center"/>
          </w:tcPr>
          <w:p w14:paraId="4A96E3F4">
            <w:pPr>
              <w:pStyle w:val="170"/>
              <w:rPr>
                <w:rFonts w:ascii="Times New Roman"/>
                <w:sz w:val="24"/>
                <w:szCs w:val="21"/>
              </w:rPr>
            </w:pPr>
            <w:r>
              <w:rPr>
                <w:rFonts w:ascii="Times New Roman"/>
                <w:sz w:val="24"/>
                <w:szCs w:val="21"/>
              </w:rPr>
              <w:t>0.57</w:t>
            </w:r>
          </w:p>
        </w:tc>
      </w:tr>
      <w:tr w14:paraId="3FA27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63" w:type="pct"/>
            <w:vMerge w:val="continue"/>
            <w:vAlign w:val="center"/>
          </w:tcPr>
          <w:p w14:paraId="54D3AEF1">
            <w:pPr>
              <w:pStyle w:val="170"/>
              <w:rPr>
                <w:rFonts w:ascii="Times New Roman"/>
                <w:sz w:val="24"/>
                <w:szCs w:val="21"/>
              </w:rPr>
            </w:pPr>
          </w:p>
        </w:tc>
        <w:tc>
          <w:tcPr>
            <w:tcW w:w="550" w:type="pct"/>
            <w:vAlign w:val="center"/>
          </w:tcPr>
          <w:p w14:paraId="18E17C51">
            <w:pPr>
              <w:pStyle w:val="170"/>
              <w:rPr>
                <w:rFonts w:ascii="Times New Roman"/>
                <w:sz w:val="24"/>
                <w:szCs w:val="21"/>
              </w:rPr>
            </w:pPr>
            <w:r>
              <w:rPr>
                <w:rFonts w:ascii="Times New Roman"/>
                <w:sz w:val="24"/>
                <w:szCs w:val="21"/>
              </w:rPr>
              <w:t>＞2</w:t>
            </w:r>
          </w:p>
        </w:tc>
        <w:tc>
          <w:tcPr>
            <w:tcW w:w="1392" w:type="pct"/>
            <w:gridSpan w:val="4"/>
            <w:vAlign w:val="center"/>
          </w:tcPr>
          <w:p w14:paraId="3C2653A4">
            <w:pPr>
              <w:pStyle w:val="170"/>
              <w:rPr>
                <w:rFonts w:ascii="Times New Roman"/>
                <w:sz w:val="24"/>
                <w:szCs w:val="21"/>
              </w:rPr>
            </w:pPr>
            <w:r>
              <w:rPr>
                <w:rFonts w:ascii="Times New Roman"/>
                <w:sz w:val="24"/>
                <w:szCs w:val="21"/>
              </w:rPr>
              <w:t>0.84</w:t>
            </w:r>
          </w:p>
        </w:tc>
        <w:tc>
          <w:tcPr>
            <w:tcW w:w="1251" w:type="pct"/>
            <w:gridSpan w:val="3"/>
            <w:vAlign w:val="center"/>
          </w:tcPr>
          <w:p w14:paraId="23E939FD">
            <w:pPr>
              <w:pStyle w:val="170"/>
              <w:rPr>
                <w:rFonts w:ascii="Times New Roman"/>
                <w:sz w:val="24"/>
                <w:szCs w:val="21"/>
              </w:rPr>
            </w:pPr>
            <w:r>
              <w:rPr>
                <w:rFonts w:ascii="Times New Roman"/>
                <w:sz w:val="24"/>
                <w:szCs w:val="21"/>
              </w:rPr>
              <w:t>0.84</w:t>
            </w:r>
          </w:p>
        </w:tc>
        <w:tc>
          <w:tcPr>
            <w:tcW w:w="1344" w:type="pct"/>
            <w:gridSpan w:val="3"/>
            <w:vAlign w:val="center"/>
          </w:tcPr>
          <w:p w14:paraId="2FF282E6">
            <w:pPr>
              <w:pStyle w:val="170"/>
              <w:rPr>
                <w:rFonts w:ascii="Times New Roman"/>
                <w:sz w:val="24"/>
                <w:szCs w:val="21"/>
              </w:rPr>
            </w:pPr>
            <w:r>
              <w:rPr>
                <w:rFonts w:ascii="Times New Roman"/>
                <w:sz w:val="24"/>
                <w:szCs w:val="21"/>
              </w:rPr>
              <w:t>0.76</w:t>
            </w:r>
          </w:p>
        </w:tc>
      </w:tr>
    </w:tbl>
    <w:p w14:paraId="3EC9D635">
      <w:pPr>
        <w:pStyle w:val="168"/>
        <w:ind w:firstLine="560"/>
        <w:jc w:val="both"/>
        <w:rPr>
          <w:rFonts w:ascii="Times New Roman" w:eastAsia="仿宋"/>
          <w:b w:val="0"/>
          <w:bCs w:val="0"/>
          <w:sz w:val="28"/>
          <w:szCs w:val="28"/>
        </w:rPr>
      </w:pPr>
      <w:r>
        <w:rPr>
          <w:rFonts w:hint="eastAsia" w:ascii="Times New Roman" w:eastAsia="仿宋"/>
          <w:b w:val="0"/>
          <w:bCs w:val="0"/>
          <w:sz w:val="28"/>
          <w:szCs w:val="28"/>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一级别的，以卫生防护距离终值较大者为准。</w:t>
      </w:r>
    </w:p>
    <w:p w14:paraId="146A87F8">
      <w:pPr>
        <w:pStyle w:val="168"/>
        <w:ind w:firstLine="560"/>
        <w:jc w:val="both"/>
        <w:rPr>
          <w:rFonts w:ascii="Times New Roman" w:eastAsia="仿宋"/>
          <w:b w:val="0"/>
          <w:bCs w:val="0"/>
          <w:sz w:val="28"/>
          <w:szCs w:val="28"/>
        </w:rPr>
      </w:pPr>
      <w:r>
        <w:rPr>
          <w:rFonts w:hint="eastAsia" w:ascii="Times New Roman" w:eastAsia="仿宋"/>
          <w:b w:val="0"/>
          <w:bCs w:val="0"/>
          <w:sz w:val="28"/>
          <w:szCs w:val="28"/>
        </w:rPr>
        <w:t>本项目卫生防护距离预测汇总见下表。</w:t>
      </w:r>
    </w:p>
    <w:p w14:paraId="67B2BEFD">
      <w:pPr>
        <w:spacing w:line="500" w:lineRule="exact"/>
        <w:jc w:val="center"/>
        <w:rPr>
          <w:rFonts w:ascii="Times New Roman" w:eastAsia="仿宋_GB2312"/>
          <w:b/>
          <w:bCs/>
        </w:rPr>
      </w:pPr>
    </w:p>
    <w:p w14:paraId="111B1746">
      <w:pPr>
        <w:spacing w:line="500" w:lineRule="exact"/>
        <w:jc w:val="center"/>
        <w:rPr>
          <w:rFonts w:eastAsia="仿宋_GB2312"/>
          <w:b/>
          <w:bCs/>
        </w:rPr>
      </w:pPr>
      <w:r>
        <w:rPr>
          <w:rFonts w:ascii="Times New Roman" w:eastAsia="仿宋_GB2312"/>
          <w:b/>
          <w:bCs/>
        </w:rPr>
        <w:t>表5.2-24 卫生防护距离</w:t>
      </w:r>
      <w:r>
        <w:rPr>
          <w:rFonts w:eastAsia="仿宋_GB2312"/>
          <w:b/>
          <w:bCs/>
        </w:rPr>
        <w:t>计算</w:t>
      </w:r>
    </w:p>
    <w:tbl>
      <w:tblPr>
        <w:tblStyle w:val="8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04"/>
        <w:gridCol w:w="1237"/>
        <w:gridCol w:w="1136"/>
        <w:gridCol w:w="866"/>
        <w:gridCol w:w="928"/>
        <w:gridCol w:w="745"/>
        <w:gridCol w:w="1579"/>
        <w:gridCol w:w="1592"/>
      </w:tblGrid>
      <w:tr w14:paraId="0003BA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Merge w:val="restart"/>
            <w:vAlign w:val="center"/>
          </w:tcPr>
          <w:p w14:paraId="769D7490">
            <w:pPr>
              <w:jc w:val="center"/>
              <w:rPr>
                <w:rFonts w:ascii="Times New Roman" w:eastAsia="仿宋"/>
                <w:szCs w:val="21"/>
              </w:rPr>
            </w:pPr>
            <w:r>
              <w:rPr>
                <w:rFonts w:ascii="Times New Roman" w:eastAsia="仿宋"/>
                <w:szCs w:val="21"/>
              </w:rPr>
              <w:t>废气来源</w:t>
            </w:r>
          </w:p>
        </w:tc>
        <w:tc>
          <w:tcPr>
            <w:tcW w:w="666" w:type="pct"/>
            <w:vMerge w:val="restart"/>
            <w:vAlign w:val="center"/>
          </w:tcPr>
          <w:p w14:paraId="2457E3C9">
            <w:pPr>
              <w:jc w:val="center"/>
              <w:rPr>
                <w:rFonts w:ascii="Times New Roman" w:eastAsia="仿宋"/>
                <w:szCs w:val="21"/>
              </w:rPr>
            </w:pPr>
            <w:r>
              <w:rPr>
                <w:rFonts w:ascii="Times New Roman" w:eastAsia="仿宋"/>
                <w:szCs w:val="21"/>
              </w:rPr>
              <w:t>污染物名称</w:t>
            </w:r>
          </w:p>
        </w:tc>
        <w:tc>
          <w:tcPr>
            <w:tcW w:w="612" w:type="pct"/>
            <w:vMerge w:val="restart"/>
            <w:vAlign w:val="center"/>
          </w:tcPr>
          <w:p w14:paraId="55D8B73C">
            <w:pPr>
              <w:jc w:val="center"/>
              <w:rPr>
                <w:rFonts w:ascii="Times New Roman" w:eastAsia="仿宋"/>
                <w:szCs w:val="21"/>
              </w:rPr>
            </w:pPr>
            <w:r>
              <w:rPr>
                <w:rFonts w:ascii="Times New Roman" w:eastAsia="仿宋"/>
                <w:szCs w:val="21"/>
              </w:rPr>
              <w:t>排放速率(kg/h)</w:t>
            </w:r>
          </w:p>
        </w:tc>
        <w:tc>
          <w:tcPr>
            <w:tcW w:w="1366" w:type="pct"/>
            <w:gridSpan w:val="3"/>
            <w:vAlign w:val="center"/>
          </w:tcPr>
          <w:p w14:paraId="6BE49CC4">
            <w:pPr>
              <w:jc w:val="center"/>
              <w:rPr>
                <w:rFonts w:ascii="Times New Roman" w:eastAsia="仿宋"/>
                <w:szCs w:val="21"/>
              </w:rPr>
            </w:pPr>
            <w:r>
              <w:rPr>
                <w:rFonts w:ascii="Times New Roman" w:eastAsia="仿宋"/>
                <w:szCs w:val="21"/>
              </w:rPr>
              <w:t>面源排放源参数（m）</w:t>
            </w:r>
          </w:p>
        </w:tc>
        <w:tc>
          <w:tcPr>
            <w:tcW w:w="850" w:type="pct"/>
            <w:vMerge w:val="restart"/>
            <w:vAlign w:val="center"/>
          </w:tcPr>
          <w:p w14:paraId="65B68056">
            <w:pPr>
              <w:jc w:val="center"/>
              <w:rPr>
                <w:rFonts w:ascii="Times New Roman" w:eastAsia="仿宋"/>
                <w:szCs w:val="21"/>
              </w:rPr>
            </w:pPr>
            <w:r>
              <w:rPr>
                <w:rFonts w:ascii="Times New Roman" w:eastAsia="仿宋"/>
                <w:szCs w:val="21"/>
              </w:rPr>
              <w:t>卫生防护距离(计)</w:t>
            </w:r>
          </w:p>
        </w:tc>
        <w:tc>
          <w:tcPr>
            <w:tcW w:w="857" w:type="pct"/>
            <w:vMerge w:val="restart"/>
            <w:vAlign w:val="center"/>
          </w:tcPr>
          <w:p w14:paraId="14AB4932">
            <w:pPr>
              <w:jc w:val="center"/>
              <w:rPr>
                <w:rFonts w:ascii="Times New Roman" w:eastAsia="仿宋"/>
                <w:szCs w:val="21"/>
              </w:rPr>
            </w:pPr>
            <w:r>
              <w:rPr>
                <w:rFonts w:ascii="Times New Roman" w:eastAsia="仿宋"/>
                <w:szCs w:val="21"/>
              </w:rPr>
              <w:t>卫生防护距离(定)</w:t>
            </w:r>
          </w:p>
        </w:tc>
      </w:tr>
      <w:tr w14:paraId="115713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Merge w:val="continue"/>
            <w:vAlign w:val="center"/>
          </w:tcPr>
          <w:p w14:paraId="19A2DBE4">
            <w:pPr>
              <w:jc w:val="center"/>
              <w:rPr>
                <w:rFonts w:ascii="Times New Roman" w:eastAsia="仿宋"/>
                <w:szCs w:val="21"/>
              </w:rPr>
            </w:pPr>
          </w:p>
        </w:tc>
        <w:tc>
          <w:tcPr>
            <w:tcW w:w="666" w:type="pct"/>
            <w:vMerge w:val="continue"/>
            <w:vAlign w:val="center"/>
          </w:tcPr>
          <w:p w14:paraId="6A23DC6B">
            <w:pPr>
              <w:jc w:val="center"/>
              <w:rPr>
                <w:rFonts w:ascii="Times New Roman" w:eastAsia="仿宋"/>
                <w:szCs w:val="21"/>
              </w:rPr>
            </w:pPr>
          </w:p>
        </w:tc>
        <w:tc>
          <w:tcPr>
            <w:tcW w:w="612" w:type="pct"/>
            <w:vMerge w:val="continue"/>
            <w:vAlign w:val="center"/>
          </w:tcPr>
          <w:p w14:paraId="1DFFF8B0">
            <w:pPr>
              <w:jc w:val="center"/>
              <w:rPr>
                <w:rFonts w:ascii="Times New Roman" w:eastAsia="仿宋"/>
                <w:szCs w:val="21"/>
              </w:rPr>
            </w:pPr>
          </w:p>
        </w:tc>
        <w:tc>
          <w:tcPr>
            <w:tcW w:w="466" w:type="pct"/>
            <w:vAlign w:val="center"/>
          </w:tcPr>
          <w:p w14:paraId="6BB621EE">
            <w:pPr>
              <w:jc w:val="center"/>
              <w:rPr>
                <w:rFonts w:ascii="Times New Roman" w:eastAsia="仿宋"/>
                <w:szCs w:val="21"/>
              </w:rPr>
            </w:pPr>
            <w:r>
              <w:rPr>
                <w:rFonts w:ascii="Times New Roman" w:eastAsia="仿宋"/>
                <w:szCs w:val="21"/>
              </w:rPr>
              <w:t>长</w:t>
            </w:r>
          </w:p>
        </w:tc>
        <w:tc>
          <w:tcPr>
            <w:tcW w:w="500" w:type="pct"/>
            <w:vAlign w:val="center"/>
          </w:tcPr>
          <w:p w14:paraId="144D7CBB">
            <w:pPr>
              <w:jc w:val="center"/>
              <w:rPr>
                <w:rFonts w:ascii="Times New Roman" w:eastAsia="仿宋"/>
                <w:szCs w:val="21"/>
              </w:rPr>
            </w:pPr>
            <w:r>
              <w:rPr>
                <w:rFonts w:ascii="Times New Roman" w:eastAsia="仿宋"/>
                <w:szCs w:val="21"/>
              </w:rPr>
              <w:t>宽</w:t>
            </w:r>
          </w:p>
        </w:tc>
        <w:tc>
          <w:tcPr>
            <w:tcW w:w="401" w:type="pct"/>
            <w:vAlign w:val="center"/>
          </w:tcPr>
          <w:p w14:paraId="31CF8B12">
            <w:pPr>
              <w:jc w:val="center"/>
              <w:rPr>
                <w:rFonts w:ascii="Times New Roman" w:eastAsia="仿宋"/>
                <w:szCs w:val="21"/>
              </w:rPr>
            </w:pPr>
            <w:r>
              <w:rPr>
                <w:rFonts w:ascii="Times New Roman" w:eastAsia="仿宋"/>
                <w:szCs w:val="21"/>
              </w:rPr>
              <w:t>高</w:t>
            </w:r>
          </w:p>
        </w:tc>
        <w:tc>
          <w:tcPr>
            <w:tcW w:w="850" w:type="pct"/>
            <w:vMerge w:val="continue"/>
            <w:vAlign w:val="center"/>
          </w:tcPr>
          <w:p w14:paraId="52A96BD2">
            <w:pPr>
              <w:widowControl/>
              <w:spacing w:line="320" w:lineRule="exact"/>
              <w:jc w:val="center"/>
              <w:rPr>
                <w:rFonts w:eastAsia="仿宋_GB2312"/>
                <w:b/>
                <w:bCs/>
                <w:szCs w:val="21"/>
              </w:rPr>
            </w:pPr>
          </w:p>
        </w:tc>
        <w:tc>
          <w:tcPr>
            <w:tcW w:w="857" w:type="pct"/>
            <w:vMerge w:val="continue"/>
            <w:vAlign w:val="center"/>
          </w:tcPr>
          <w:p w14:paraId="6B28DFCF">
            <w:pPr>
              <w:widowControl/>
              <w:spacing w:line="320" w:lineRule="exact"/>
              <w:jc w:val="center"/>
              <w:rPr>
                <w:rFonts w:eastAsia="仿宋_GB2312"/>
                <w:b/>
                <w:bCs/>
                <w:szCs w:val="21"/>
              </w:rPr>
            </w:pPr>
          </w:p>
        </w:tc>
      </w:tr>
      <w:tr w14:paraId="585E0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Align w:val="center"/>
          </w:tcPr>
          <w:p w14:paraId="4409F1D9">
            <w:pPr>
              <w:jc w:val="center"/>
              <w:rPr>
                <w:rFonts w:ascii="Times New Roman" w:eastAsia="仿宋"/>
                <w:szCs w:val="21"/>
              </w:rPr>
            </w:pPr>
            <w:r>
              <w:rPr>
                <w:rFonts w:hint="eastAsia" w:ascii="Times New Roman" w:eastAsia="仿宋"/>
                <w:szCs w:val="21"/>
              </w:rPr>
              <w:t>1号钣金车间</w:t>
            </w:r>
          </w:p>
        </w:tc>
        <w:tc>
          <w:tcPr>
            <w:tcW w:w="666" w:type="pct"/>
            <w:vAlign w:val="center"/>
          </w:tcPr>
          <w:p w14:paraId="6B21E99E">
            <w:pPr>
              <w:jc w:val="center"/>
              <w:rPr>
                <w:rFonts w:ascii="Times New Roman" w:eastAsia="仿宋"/>
                <w:szCs w:val="21"/>
              </w:rPr>
            </w:pPr>
            <w:r>
              <w:rPr>
                <w:rFonts w:hint="eastAsia" w:ascii="Times New Roman" w:eastAsia="仿宋"/>
                <w:szCs w:val="21"/>
              </w:rPr>
              <w:t>颗粒物</w:t>
            </w:r>
          </w:p>
        </w:tc>
        <w:tc>
          <w:tcPr>
            <w:tcW w:w="612" w:type="pct"/>
            <w:vAlign w:val="center"/>
          </w:tcPr>
          <w:p w14:paraId="10FEB38D">
            <w:pPr>
              <w:jc w:val="center"/>
              <w:rPr>
                <w:rFonts w:ascii="Times New Roman" w:eastAsia="仿宋"/>
                <w:szCs w:val="21"/>
              </w:rPr>
            </w:pPr>
            <w:r>
              <w:rPr>
                <w:rFonts w:hint="eastAsia" w:ascii="Times New Roman" w:eastAsia="仿宋"/>
                <w:szCs w:val="21"/>
              </w:rPr>
              <w:t>0.002</w:t>
            </w:r>
          </w:p>
        </w:tc>
        <w:tc>
          <w:tcPr>
            <w:tcW w:w="466" w:type="pct"/>
            <w:vAlign w:val="center"/>
          </w:tcPr>
          <w:p w14:paraId="6DF46B41">
            <w:pPr>
              <w:jc w:val="center"/>
              <w:rPr>
                <w:rFonts w:ascii="Times New Roman" w:eastAsia="仿宋"/>
                <w:szCs w:val="21"/>
              </w:rPr>
            </w:pPr>
            <w:r>
              <w:rPr>
                <w:rFonts w:hint="eastAsia" w:ascii="Times New Roman" w:eastAsia="仿宋"/>
                <w:szCs w:val="21"/>
              </w:rPr>
              <w:t>80</w:t>
            </w:r>
          </w:p>
        </w:tc>
        <w:tc>
          <w:tcPr>
            <w:tcW w:w="500" w:type="pct"/>
            <w:vAlign w:val="center"/>
          </w:tcPr>
          <w:p w14:paraId="0E5B785C">
            <w:pPr>
              <w:jc w:val="center"/>
              <w:rPr>
                <w:rFonts w:ascii="Times New Roman" w:eastAsia="仿宋"/>
                <w:szCs w:val="21"/>
              </w:rPr>
            </w:pPr>
            <w:r>
              <w:rPr>
                <w:rFonts w:hint="eastAsia" w:ascii="Times New Roman" w:eastAsia="仿宋"/>
                <w:szCs w:val="21"/>
              </w:rPr>
              <w:t>40.72</w:t>
            </w:r>
          </w:p>
        </w:tc>
        <w:tc>
          <w:tcPr>
            <w:tcW w:w="401" w:type="pct"/>
            <w:vAlign w:val="center"/>
          </w:tcPr>
          <w:p w14:paraId="4CE71FD7">
            <w:pPr>
              <w:jc w:val="center"/>
              <w:rPr>
                <w:rFonts w:ascii="Times New Roman" w:eastAsia="仿宋"/>
                <w:szCs w:val="21"/>
              </w:rPr>
            </w:pPr>
            <w:r>
              <w:rPr>
                <w:rFonts w:hint="eastAsia" w:ascii="Times New Roman" w:eastAsia="仿宋"/>
                <w:szCs w:val="21"/>
              </w:rPr>
              <w:t>10</w:t>
            </w:r>
          </w:p>
        </w:tc>
        <w:tc>
          <w:tcPr>
            <w:tcW w:w="850" w:type="pct"/>
            <w:vAlign w:val="center"/>
          </w:tcPr>
          <w:p w14:paraId="7BD47147">
            <w:pPr>
              <w:jc w:val="center"/>
              <w:rPr>
                <w:rFonts w:ascii="Times New Roman" w:eastAsia="仿宋"/>
                <w:szCs w:val="21"/>
              </w:rPr>
            </w:pPr>
            <w:r>
              <w:rPr>
                <w:rFonts w:hint="eastAsia" w:ascii="Times New Roman" w:eastAsia="仿宋"/>
                <w:szCs w:val="21"/>
              </w:rPr>
              <w:t>1</w:t>
            </w:r>
            <w:r>
              <w:rPr>
                <w:rFonts w:ascii="Times New Roman" w:eastAsia="仿宋"/>
                <w:szCs w:val="21"/>
              </w:rPr>
              <w:t>.19</w:t>
            </w:r>
          </w:p>
        </w:tc>
        <w:tc>
          <w:tcPr>
            <w:tcW w:w="857" w:type="pct"/>
            <w:vAlign w:val="center"/>
          </w:tcPr>
          <w:p w14:paraId="012250EC">
            <w:pPr>
              <w:jc w:val="center"/>
              <w:rPr>
                <w:rFonts w:ascii="Times New Roman" w:eastAsia="仿宋"/>
                <w:szCs w:val="21"/>
              </w:rPr>
            </w:pPr>
            <w:r>
              <w:rPr>
                <w:rFonts w:hint="eastAsia" w:ascii="Times New Roman" w:eastAsia="仿宋"/>
                <w:szCs w:val="21"/>
              </w:rPr>
              <w:t>50</w:t>
            </w:r>
          </w:p>
        </w:tc>
      </w:tr>
      <w:tr w14:paraId="1CCDD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Align w:val="center"/>
          </w:tcPr>
          <w:p w14:paraId="14616BBF">
            <w:pPr>
              <w:jc w:val="center"/>
              <w:rPr>
                <w:rFonts w:ascii="Times New Roman" w:eastAsia="仿宋"/>
                <w:szCs w:val="21"/>
              </w:rPr>
            </w:pPr>
            <w:r>
              <w:rPr>
                <w:rFonts w:hint="eastAsia" w:ascii="Times New Roman" w:eastAsia="仿宋"/>
                <w:szCs w:val="21"/>
              </w:rPr>
              <w:t>2号钣金车间</w:t>
            </w:r>
          </w:p>
        </w:tc>
        <w:tc>
          <w:tcPr>
            <w:tcW w:w="666" w:type="pct"/>
            <w:vAlign w:val="center"/>
          </w:tcPr>
          <w:p w14:paraId="1621210B">
            <w:pPr>
              <w:jc w:val="center"/>
              <w:rPr>
                <w:rFonts w:ascii="Times New Roman" w:eastAsia="仿宋"/>
                <w:szCs w:val="21"/>
              </w:rPr>
            </w:pPr>
            <w:r>
              <w:rPr>
                <w:rFonts w:hint="eastAsia" w:ascii="Times New Roman" w:eastAsia="仿宋"/>
                <w:szCs w:val="21"/>
              </w:rPr>
              <w:t>颗粒物</w:t>
            </w:r>
          </w:p>
        </w:tc>
        <w:tc>
          <w:tcPr>
            <w:tcW w:w="612" w:type="pct"/>
            <w:vAlign w:val="center"/>
          </w:tcPr>
          <w:p w14:paraId="5D7AA058">
            <w:pPr>
              <w:jc w:val="center"/>
              <w:rPr>
                <w:rFonts w:ascii="Times New Roman" w:eastAsia="仿宋"/>
                <w:szCs w:val="21"/>
              </w:rPr>
            </w:pPr>
            <w:r>
              <w:rPr>
                <w:rFonts w:hint="eastAsia" w:ascii="Times New Roman" w:eastAsia="仿宋"/>
                <w:szCs w:val="21"/>
              </w:rPr>
              <w:t>0.02</w:t>
            </w:r>
          </w:p>
        </w:tc>
        <w:tc>
          <w:tcPr>
            <w:tcW w:w="466" w:type="pct"/>
            <w:vAlign w:val="center"/>
          </w:tcPr>
          <w:p w14:paraId="205E0775">
            <w:pPr>
              <w:jc w:val="center"/>
              <w:rPr>
                <w:rFonts w:ascii="Times New Roman" w:eastAsia="仿宋"/>
                <w:szCs w:val="21"/>
              </w:rPr>
            </w:pPr>
            <w:r>
              <w:rPr>
                <w:rFonts w:hint="eastAsia" w:ascii="Times New Roman" w:eastAsia="仿宋"/>
                <w:szCs w:val="21"/>
              </w:rPr>
              <w:t>80</w:t>
            </w:r>
          </w:p>
        </w:tc>
        <w:tc>
          <w:tcPr>
            <w:tcW w:w="500" w:type="pct"/>
            <w:vAlign w:val="center"/>
          </w:tcPr>
          <w:p w14:paraId="51BBDF7C">
            <w:pPr>
              <w:jc w:val="center"/>
              <w:rPr>
                <w:rFonts w:ascii="Times New Roman" w:eastAsia="仿宋"/>
                <w:szCs w:val="21"/>
              </w:rPr>
            </w:pPr>
            <w:r>
              <w:rPr>
                <w:rFonts w:hint="eastAsia" w:ascii="Times New Roman" w:eastAsia="仿宋"/>
                <w:szCs w:val="21"/>
              </w:rPr>
              <w:t>40.72</w:t>
            </w:r>
          </w:p>
        </w:tc>
        <w:tc>
          <w:tcPr>
            <w:tcW w:w="401" w:type="pct"/>
            <w:vAlign w:val="center"/>
          </w:tcPr>
          <w:p w14:paraId="31C0AA41">
            <w:pPr>
              <w:jc w:val="center"/>
              <w:rPr>
                <w:rFonts w:ascii="Times New Roman" w:eastAsia="仿宋"/>
                <w:szCs w:val="21"/>
              </w:rPr>
            </w:pPr>
            <w:r>
              <w:rPr>
                <w:rFonts w:hint="eastAsia" w:ascii="Times New Roman" w:eastAsia="仿宋"/>
                <w:szCs w:val="21"/>
              </w:rPr>
              <w:t>10</w:t>
            </w:r>
          </w:p>
        </w:tc>
        <w:tc>
          <w:tcPr>
            <w:tcW w:w="850" w:type="pct"/>
            <w:vAlign w:val="center"/>
          </w:tcPr>
          <w:p w14:paraId="76B6CD4E">
            <w:pPr>
              <w:jc w:val="center"/>
              <w:rPr>
                <w:rFonts w:ascii="Times New Roman" w:eastAsia="仿宋"/>
                <w:szCs w:val="21"/>
              </w:rPr>
            </w:pPr>
            <w:r>
              <w:rPr>
                <w:rFonts w:hint="eastAsia" w:ascii="Times New Roman" w:eastAsia="仿宋"/>
                <w:szCs w:val="21"/>
              </w:rPr>
              <w:t>1</w:t>
            </w:r>
            <w:r>
              <w:rPr>
                <w:rFonts w:ascii="Times New Roman" w:eastAsia="仿宋"/>
                <w:szCs w:val="21"/>
              </w:rPr>
              <w:t>1.9</w:t>
            </w:r>
          </w:p>
        </w:tc>
        <w:tc>
          <w:tcPr>
            <w:tcW w:w="857" w:type="pct"/>
            <w:vAlign w:val="center"/>
          </w:tcPr>
          <w:p w14:paraId="3E7F28B2">
            <w:pPr>
              <w:jc w:val="center"/>
              <w:rPr>
                <w:rFonts w:ascii="Times New Roman" w:eastAsia="仿宋"/>
                <w:szCs w:val="21"/>
              </w:rPr>
            </w:pPr>
            <w:r>
              <w:rPr>
                <w:rFonts w:hint="eastAsia" w:ascii="Times New Roman" w:eastAsia="仿宋"/>
                <w:szCs w:val="21"/>
              </w:rPr>
              <w:t>50</w:t>
            </w:r>
          </w:p>
        </w:tc>
      </w:tr>
      <w:tr w14:paraId="0E258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Merge w:val="restart"/>
            <w:noWrap/>
            <w:vAlign w:val="center"/>
          </w:tcPr>
          <w:p w14:paraId="78D85E5F">
            <w:pPr>
              <w:jc w:val="center"/>
              <w:rPr>
                <w:rFonts w:ascii="Times New Roman" w:eastAsia="仿宋"/>
                <w:szCs w:val="21"/>
              </w:rPr>
            </w:pPr>
            <w:r>
              <w:rPr>
                <w:rFonts w:hint="eastAsia" w:ascii="Times New Roman" w:eastAsia="仿宋"/>
                <w:szCs w:val="21"/>
              </w:rPr>
              <w:t>3号喷涂车间</w:t>
            </w:r>
          </w:p>
        </w:tc>
        <w:tc>
          <w:tcPr>
            <w:tcW w:w="666" w:type="pct"/>
            <w:vAlign w:val="center"/>
          </w:tcPr>
          <w:p w14:paraId="11F0E03B">
            <w:pPr>
              <w:jc w:val="center"/>
              <w:rPr>
                <w:rFonts w:ascii="Times New Roman" w:eastAsia="仿宋"/>
                <w:szCs w:val="21"/>
              </w:rPr>
            </w:pPr>
            <w:r>
              <w:rPr>
                <w:rFonts w:hint="eastAsia" w:ascii="Times New Roman" w:eastAsia="仿宋"/>
                <w:szCs w:val="21"/>
              </w:rPr>
              <w:t>颗粒物</w:t>
            </w:r>
          </w:p>
        </w:tc>
        <w:tc>
          <w:tcPr>
            <w:tcW w:w="1109" w:type="dxa"/>
            <w:noWrap/>
            <w:vAlign w:val="center"/>
          </w:tcPr>
          <w:p w14:paraId="2B4A2E54">
            <w:pPr>
              <w:adjustRightInd w:val="0"/>
              <w:snapToGrid w:val="0"/>
              <w:jc w:val="center"/>
              <w:rPr>
                <w:rFonts w:ascii="Times New Roman" w:eastAsia="仿宋"/>
                <w:szCs w:val="21"/>
              </w:rPr>
            </w:pPr>
            <w:r>
              <w:rPr>
                <w:rFonts w:hint="eastAsia" w:ascii="Times New Roman" w:eastAsia="仿宋"/>
                <w:szCs w:val="24"/>
              </w:rPr>
              <w:t>0</w:t>
            </w:r>
            <w:r>
              <w:rPr>
                <w:rFonts w:ascii="Times New Roman" w:eastAsia="仿宋"/>
                <w:szCs w:val="24"/>
              </w:rPr>
              <w:t>.0</w:t>
            </w:r>
            <w:r>
              <w:rPr>
                <w:rFonts w:hint="eastAsia" w:ascii="Times New Roman" w:eastAsia="仿宋"/>
                <w:szCs w:val="24"/>
              </w:rPr>
              <w:t>37</w:t>
            </w:r>
          </w:p>
        </w:tc>
        <w:tc>
          <w:tcPr>
            <w:tcW w:w="466" w:type="pct"/>
            <w:vMerge w:val="restart"/>
            <w:vAlign w:val="center"/>
          </w:tcPr>
          <w:p w14:paraId="02D9E0E4">
            <w:pPr>
              <w:jc w:val="center"/>
              <w:rPr>
                <w:rFonts w:ascii="Times New Roman" w:eastAsia="仿宋"/>
                <w:szCs w:val="21"/>
              </w:rPr>
            </w:pPr>
            <w:r>
              <w:rPr>
                <w:rFonts w:hint="eastAsia" w:ascii="Times New Roman" w:eastAsia="仿宋"/>
                <w:szCs w:val="21"/>
              </w:rPr>
              <w:t>80</w:t>
            </w:r>
          </w:p>
        </w:tc>
        <w:tc>
          <w:tcPr>
            <w:tcW w:w="500" w:type="pct"/>
            <w:vMerge w:val="restart"/>
            <w:vAlign w:val="center"/>
          </w:tcPr>
          <w:p w14:paraId="2A35AECD">
            <w:pPr>
              <w:jc w:val="center"/>
              <w:rPr>
                <w:rFonts w:ascii="Times New Roman" w:eastAsia="仿宋"/>
                <w:szCs w:val="21"/>
              </w:rPr>
            </w:pPr>
            <w:r>
              <w:rPr>
                <w:rFonts w:hint="eastAsia" w:ascii="Times New Roman" w:eastAsia="仿宋"/>
                <w:szCs w:val="21"/>
              </w:rPr>
              <w:t>40.72</w:t>
            </w:r>
          </w:p>
        </w:tc>
        <w:tc>
          <w:tcPr>
            <w:tcW w:w="401" w:type="pct"/>
            <w:vMerge w:val="restart"/>
            <w:vAlign w:val="center"/>
          </w:tcPr>
          <w:p w14:paraId="5E54CF98">
            <w:pPr>
              <w:jc w:val="center"/>
              <w:rPr>
                <w:rFonts w:ascii="Times New Roman" w:eastAsia="仿宋"/>
                <w:szCs w:val="21"/>
              </w:rPr>
            </w:pPr>
            <w:r>
              <w:rPr>
                <w:rFonts w:hint="eastAsia" w:ascii="Times New Roman" w:eastAsia="仿宋"/>
                <w:szCs w:val="21"/>
              </w:rPr>
              <w:t>10</w:t>
            </w:r>
          </w:p>
        </w:tc>
        <w:tc>
          <w:tcPr>
            <w:tcW w:w="850" w:type="pct"/>
            <w:vAlign w:val="center"/>
          </w:tcPr>
          <w:p w14:paraId="2038CFB5">
            <w:pPr>
              <w:jc w:val="center"/>
              <w:rPr>
                <w:rFonts w:ascii="Times New Roman" w:eastAsia="仿宋"/>
                <w:szCs w:val="21"/>
              </w:rPr>
            </w:pPr>
            <w:r>
              <w:rPr>
                <w:rFonts w:hint="eastAsia" w:ascii="Times New Roman" w:eastAsia="仿宋"/>
                <w:szCs w:val="21"/>
              </w:rPr>
              <w:t>0</w:t>
            </w:r>
            <w:r>
              <w:rPr>
                <w:rFonts w:ascii="Times New Roman" w:eastAsia="仿宋"/>
                <w:szCs w:val="21"/>
              </w:rPr>
              <w:t>.87</w:t>
            </w:r>
          </w:p>
        </w:tc>
        <w:tc>
          <w:tcPr>
            <w:tcW w:w="857" w:type="pct"/>
            <w:vMerge w:val="restart"/>
            <w:vAlign w:val="center"/>
          </w:tcPr>
          <w:p w14:paraId="1458E8B1">
            <w:pPr>
              <w:widowControl/>
              <w:jc w:val="center"/>
              <w:rPr>
                <w:rFonts w:ascii="Times New Roman" w:eastAsia="仿宋"/>
                <w:szCs w:val="21"/>
              </w:rPr>
            </w:pPr>
            <w:r>
              <w:rPr>
                <w:rFonts w:hint="eastAsia" w:ascii="Times New Roman" w:eastAsia="仿宋"/>
                <w:szCs w:val="21"/>
              </w:rPr>
              <w:t>100</w:t>
            </w:r>
          </w:p>
        </w:tc>
      </w:tr>
      <w:tr w14:paraId="531CCA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Merge w:val="continue"/>
            <w:vAlign w:val="center"/>
          </w:tcPr>
          <w:p w14:paraId="549D54E5">
            <w:pPr>
              <w:widowControl/>
              <w:spacing w:line="320" w:lineRule="exact"/>
              <w:jc w:val="center"/>
              <w:rPr>
                <w:rFonts w:eastAsia="仿宋_GB2312"/>
                <w:szCs w:val="21"/>
              </w:rPr>
            </w:pPr>
          </w:p>
        </w:tc>
        <w:tc>
          <w:tcPr>
            <w:tcW w:w="666" w:type="pct"/>
            <w:vAlign w:val="center"/>
          </w:tcPr>
          <w:p w14:paraId="5E65F132">
            <w:pPr>
              <w:jc w:val="center"/>
              <w:rPr>
                <w:rFonts w:ascii="Times New Roman" w:eastAsia="仿宋"/>
                <w:szCs w:val="21"/>
              </w:rPr>
            </w:pPr>
            <w:r>
              <w:rPr>
                <w:rFonts w:ascii="Times New Roman" w:eastAsia="仿宋"/>
                <w:szCs w:val="21"/>
              </w:rPr>
              <w:t>非甲烷总烃</w:t>
            </w:r>
          </w:p>
        </w:tc>
        <w:tc>
          <w:tcPr>
            <w:tcW w:w="1109" w:type="dxa"/>
            <w:noWrap/>
            <w:vAlign w:val="center"/>
          </w:tcPr>
          <w:p w14:paraId="03BB019E">
            <w:pPr>
              <w:adjustRightInd w:val="0"/>
              <w:snapToGrid w:val="0"/>
              <w:jc w:val="center"/>
              <w:rPr>
                <w:rFonts w:ascii="Times New Roman" w:eastAsia="仿宋"/>
                <w:szCs w:val="21"/>
              </w:rPr>
            </w:pPr>
            <w:r>
              <w:rPr>
                <w:rFonts w:hint="eastAsia" w:ascii="Times New Roman" w:eastAsia="仿宋"/>
                <w:szCs w:val="24"/>
              </w:rPr>
              <w:t>0</w:t>
            </w:r>
            <w:r>
              <w:rPr>
                <w:rFonts w:ascii="Times New Roman" w:eastAsia="仿宋"/>
                <w:szCs w:val="24"/>
              </w:rPr>
              <w:t>.</w:t>
            </w:r>
            <w:r>
              <w:rPr>
                <w:rFonts w:hint="eastAsia" w:ascii="Times New Roman" w:eastAsia="仿宋"/>
                <w:szCs w:val="24"/>
              </w:rPr>
              <w:t>25</w:t>
            </w:r>
          </w:p>
        </w:tc>
        <w:tc>
          <w:tcPr>
            <w:tcW w:w="466" w:type="pct"/>
            <w:vMerge w:val="continue"/>
            <w:vAlign w:val="center"/>
          </w:tcPr>
          <w:p w14:paraId="67B01D1D">
            <w:pPr>
              <w:widowControl/>
              <w:spacing w:line="320" w:lineRule="exact"/>
              <w:jc w:val="center"/>
              <w:rPr>
                <w:rFonts w:eastAsia="仿宋_GB2312"/>
                <w:szCs w:val="21"/>
              </w:rPr>
            </w:pPr>
          </w:p>
        </w:tc>
        <w:tc>
          <w:tcPr>
            <w:tcW w:w="500" w:type="pct"/>
            <w:vMerge w:val="continue"/>
            <w:vAlign w:val="center"/>
          </w:tcPr>
          <w:p w14:paraId="595B0A8B">
            <w:pPr>
              <w:widowControl/>
              <w:spacing w:line="320" w:lineRule="exact"/>
              <w:jc w:val="center"/>
              <w:rPr>
                <w:rFonts w:eastAsia="仿宋_GB2312"/>
                <w:szCs w:val="21"/>
              </w:rPr>
            </w:pPr>
          </w:p>
        </w:tc>
        <w:tc>
          <w:tcPr>
            <w:tcW w:w="401" w:type="pct"/>
            <w:vMerge w:val="continue"/>
            <w:vAlign w:val="center"/>
          </w:tcPr>
          <w:p w14:paraId="13C184BD">
            <w:pPr>
              <w:widowControl/>
              <w:spacing w:line="320" w:lineRule="exact"/>
              <w:jc w:val="center"/>
              <w:rPr>
                <w:rFonts w:eastAsia="仿宋_GB2312"/>
                <w:szCs w:val="21"/>
              </w:rPr>
            </w:pPr>
          </w:p>
        </w:tc>
        <w:tc>
          <w:tcPr>
            <w:tcW w:w="850" w:type="pct"/>
            <w:vAlign w:val="center"/>
          </w:tcPr>
          <w:p w14:paraId="70F5821E">
            <w:pPr>
              <w:jc w:val="center"/>
              <w:rPr>
                <w:rFonts w:ascii="Times New Roman" w:eastAsia="仿宋"/>
                <w:szCs w:val="21"/>
              </w:rPr>
            </w:pPr>
            <w:r>
              <w:rPr>
                <w:rFonts w:hint="eastAsia" w:ascii="Times New Roman" w:eastAsia="仿宋"/>
                <w:szCs w:val="21"/>
              </w:rPr>
              <w:t>0</w:t>
            </w:r>
            <w:r>
              <w:rPr>
                <w:rFonts w:ascii="Times New Roman" w:eastAsia="仿宋"/>
                <w:szCs w:val="21"/>
              </w:rPr>
              <w:t>.33</w:t>
            </w:r>
          </w:p>
        </w:tc>
        <w:tc>
          <w:tcPr>
            <w:tcW w:w="857" w:type="pct"/>
            <w:vMerge w:val="continue"/>
            <w:vAlign w:val="center"/>
          </w:tcPr>
          <w:p w14:paraId="3844E28E">
            <w:pPr>
              <w:widowControl/>
              <w:jc w:val="center"/>
              <w:rPr>
                <w:rFonts w:ascii="Times New Roman" w:eastAsia="仿宋"/>
                <w:szCs w:val="21"/>
              </w:rPr>
            </w:pPr>
          </w:p>
        </w:tc>
      </w:tr>
      <w:tr w14:paraId="6455A8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Merge w:val="continue"/>
            <w:vAlign w:val="center"/>
          </w:tcPr>
          <w:p w14:paraId="15F6C853">
            <w:pPr>
              <w:widowControl/>
              <w:spacing w:line="320" w:lineRule="exact"/>
              <w:jc w:val="center"/>
              <w:rPr>
                <w:rFonts w:eastAsia="仿宋_GB2312"/>
                <w:szCs w:val="21"/>
              </w:rPr>
            </w:pPr>
          </w:p>
        </w:tc>
        <w:tc>
          <w:tcPr>
            <w:tcW w:w="666" w:type="pct"/>
            <w:vAlign w:val="center"/>
          </w:tcPr>
          <w:p w14:paraId="06A637C2">
            <w:pPr>
              <w:jc w:val="center"/>
              <w:rPr>
                <w:rFonts w:ascii="Times New Roman" w:eastAsia="仿宋"/>
                <w:szCs w:val="21"/>
              </w:rPr>
            </w:pPr>
            <w:r>
              <w:rPr>
                <w:rFonts w:hint="eastAsia" w:ascii="Times New Roman" w:eastAsia="仿宋"/>
                <w:szCs w:val="21"/>
              </w:rPr>
              <w:t>二甲苯</w:t>
            </w:r>
          </w:p>
        </w:tc>
        <w:tc>
          <w:tcPr>
            <w:tcW w:w="1109" w:type="dxa"/>
            <w:noWrap/>
            <w:vAlign w:val="center"/>
          </w:tcPr>
          <w:p w14:paraId="20B82F8C">
            <w:pPr>
              <w:adjustRightInd w:val="0"/>
              <w:snapToGrid w:val="0"/>
              <w:jc w:val="center"/>
              <w:rPr>
                <w:rFonts w:ascii="Times New Roman" w:eastAsia="仿宋"/>
                <w:szCs w:val="21"/>
              </w:rPr>
            </w:pPr>
            <w:r>
              <w:rPr>
                <w:rFonts w:hint="eastAsia" w:ascii="Times New Roman" w:eastAsia="仿宋"/>
                <w:szCs w:val="24"/>
              </w:rPr>
              <w:t>0</w:t>
            </w:r>
            <w:r>
              <w:rPr>
                <w:rFonts w:ascii="Times New Roman" w:eastAsia="仿宋"/>
                <w:szCs w:val="24"/>
              </w:rPr>
              <w:t>.0</w:t>
            </w:r>
            <w:r>
              <w:rPr>
                <w:rFonts w:hint="eastAsia" w:ascii="Times New Roman" w:eastAsia="仿宋"/>
                <w:szCs w:val="24"/>
              </w:rPr>
              <w:t>18</w:t>
            </w:r>
          </w:p>
        </w:tc>
        <w:tc>
          <w:tcPr>
            <w:tcW w:w="466" w:type="pct"/>
            <w:vMerge w:val="continue"/>
            <w:vAlign w:val="center"/>
          </w:tcPr>
          <w:p w14:paraId="52C82B74">
            <w:pPr>
              <w:widowControl/>
              <w:spacing w:line="320" w:lineRule="exact"/>
              <w:jc w:val="center"/>
              <w:rPr>
                <w:rFonts w:eastAsia="仿宋_GB2312"/>
                <w:szCs w:val="21"/>
              </w:rPr>
            </w:pPr>
          </w:p>
        </w:tc>
        <w:tc>
          <w:tcPr>
            <w:tcW w:w="500" w:type="pct"/>
            <w:vMerge w:val="continue"/>
            <w:vAlign w:val="center"/>
          </w:tcPr>
          <w:p w14:paraId="169C1F0C">
            <w:pPr>
              <w:widowControl/>
              <w:spacing w:line="320" w:lineRule="exact"/>
              <w:jc w:val="center"/>
              <w:rPr>
                <w:rFonts w:eastAsia="仿宋_GB2312"/>
                <w:szCs w:val="21"/>
              </w:rPr>
            </w:pPr>
          </w:p>
        </w:tc>
        <w:tc>
          <w:tcPr>
            <w:tcW w:w="401" w:type="pct"/>
            <w:vMerge w:val="continue"/>
            <w:vAlign w:val="center"/>
          </w:tcPr>
          <w:p w14:paraId="78F67EC1">
            <w:pPr>
              <w:widowControl/>
              <w:spacing w:line="320" w:lineRule="exact"/>
              <w:jc w:val="center"/>
              <w:rPr>
                <w:rFonts w:eastAsia="仿宋_GB2312"/>
                <w:szCs w:val="21"/>
              </w:rPr>
            </w:pPr>
          </w:p>
        </w:tc>
        <w:tc>
          <w:tcPr>
            <w:tcW w:w="850" w:type="pct"/>
            <w:vAlign w:val="center"/>
          </w:tcPr>
          <w:p w14:paraId="58D5F6F9">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c>
          <w:tcPr>
            <w:tcW w:w="857" w:type="pct"/>
            <w:vMerge w:val="continue"/>
            <w:vAlign w:val="center"/>
          </w:tcPr>
          <w:p w14:paraId="57CA53FD">
            <w:pPr>
              <w:widowControl/>
              <w:jc w:val="center"/>
              <w:rPr>
                <w:rFonts w:ascii="Times New Roman" w:eastAsia="仿宋"/>
                <w:szCs w:val="21"/>
              </w:rPr>
            </w:pPr>
          </w:p>
        </w:tc>
      </w:tr>
      <w:tr w14:paraId="1C767F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648" w:type="pct"/>
            <w:vAlign w:val="center"/>
          </w:tcPr>
          <w:p w14:paraId="041226E4">
            <w:pPr>
              <w:jc w:val="center"/>
              <w:rPr>
                <w:rFonts w:ascii="Times New Roman" w:eastAsia="仿宋"/>
                <w:szCs w:val="21"/>
              </w:rPr>
            </w:pPr>
            <w:r>
              <w:rPr>
                <w:rFonts w:hint="eastAsia" w:ascii="Times New Roman" w:eastAsia="仿宋"/>
                <w:szCs w:val="21"/>
              </w:rPr>
              <w:t>4号钣金车间</w:t>
            </w:r>
          </w:p>
        </w:tc>
        <w:tc>
          <w:tcPr>
            <w:tcW w:w="666" w:type="pct"/>
            <w:vAlign w:val="center"/>
          </w:tcPr>
          <w:p w14:paraId="6A95EAAE">
            <w:pPr>
              <w:jc w:val="center"/>
              <w:rPr>
                <w:rFonts w:ascii="Times New Roman" w:eastAsia="仿宋"/>
                <w:szCs w:val="21"/>
              </w:rPr>
            </w:pPr>
            <w:r>
              <w:rPr>
                <w:rFonts w:hint="eastAsia" w:ascii="Times New Roman" w:eastAsia="仿宋"/>
                <w:szCs w:val="21"/>
              </w:rPr>
              <w:t>颗粒物</w:t>
            </w:r>
          </w:p>
        </w:tc>
        <w:tc>
          <w:tcPr>
            <w:tcW w:w="612" w:type="pct"/>
            <w:noWrap/>
            <w:vAlign w:val="center"/>
          </w:tcPr>
          <w:p w14:paraId="6CEBE648">
            <w:pPr>
              <w:jc w:val="center"/>
              <w:rPr>
                <w:rFonts w:ascii="Times New Roman" w:eastAsia="仿宋"/>
                <w:szCs w:val="21"/>
              </w:rPr>
            </w:pPr>
            <w:r>
              <w:rPr>
                <w:rFonts w:hint="eastAsia" w:ascii="Times New Roman" w:eastAsia="仿宋"/>
                <w:szCs w:val="21"/>
              </w:rPr>
              <w:t>0.002</w:t>
            </w:r>
          </w:p>
        </w:tc>
        <w:tc>
          <w:tcPr>
            <w:tcW w:w="466" w:type="pct"/>
            <w:vAlign w:val="center"/>
          </w:tcPr>
          <w:p w14:paraId="318F9D7E">
            <w:pPr>
              <w:jc w:val="center"/>
              <w:rPr>
                <w:rFonts w:ascii="Times New Roman" w:eastAsia="仿宋"/>
                <w:szCs w:val="21"/>
              </w:rPr>
            </w:pPr>
            <w:r>
              <w:rPr>
                <w:rFonts w:hint="eastAsia" w:ascii="Times New Roman" w:eastAsia="仿宋"/>
                <w:szCs w:val="21"/>
              </w:rPr>
              <w:t>120</w:t>
            </w:r>
          </w:p>
        </w:tc>
        <w:tc>
          <w:tcPr>
            <w:tcW w:w="500" w:type="pct"/>
            <w:vAlign w:val="center"/>
          </w:tcPr>
          <w:p w14:paraId="7033E532">
            <w:pPr>
              <w:jc w:val="center"/>
              <w:rPr>
                <w:rFonts w:ascii="Times New Roman" w:eastAsia="仿宋"/>
                <w:szCs w:val="21"/>
              </w:rPr>
            </w:pPr>
            <w:r>
              <w:rPr>
                <w:rFonts w:hint="eastAsia" w:ascii="Times New Roman" w:eastAsia="仿宋"/>
                <w:szCs w:val="21"/>
              </w:rPr>
              <w:t>40.22</w:t>
            </w:r>
          </w:p>
        </w:tc>
        <w:tc>
          <w:tcPr>
            <w:tcW w:w="401" w:type="pct"/>
            <w:vAlign w:val="center"/>
          </w:tcPr>
          <w:p w14:paraId="7AAE385E">
            <w:pPr>
              <w:jc w:val="center"/>
              <w:rPr>
                <w:rFonts w:ascii="Times New Roman" w:eastAsia="仿宋"/>
                <w:szCs w:val="21"/>
              </w:rPr>
            </w:pPr>
            <w:r>
              <w:rPr>
                <w:rFonts w:hint="eastAsia" w:ascii="Times New Roman" w:eastAsia="仿宋"/>
                <w:szCs w:val="21"/>
              </w:rPr>
              <w:t>10</w:t>
            </w:r>
          </w:p>
        </w:tc>
        <w:tc>
          <w:tcPr>
            <w:tcW w:w="850" w:type="pct"/>
            <w:vAlign w:val="center"/>
          </w:tcPr>
          <w:p w14:paraId="3F42B0E9">
            <w:pPr>
              <w:jc w:val="center"/>
              <w:rPr>
                <w:rFonts w:ascii="Times New Roman" w:eastAsia="仿宋"/>
                <w:szCs w:val="21"/>
              </w:rPr>
            </w:pPr>
            <w:r>
              <w:rPr>
                <w:rFonts w:hint="eastAsia" w:ascii="Times New Roman" w:eastAsia="仿宋"/>
                <w:szCs w:val="21"/>
              </w:rPr>
              <w:t>1</w:t>
            </w:r>
            <w:r>
              <w:rPr>
                <w:rFonts w:ascii="Times New Roman" w:eastAsia="仿宋"/>
                <w:szCs w:val="21"/>
              </w:rPr>
              <w:t>.02</w:t>
            </w:r>
          </w:p>
        </w:tc>
        <w:tc>
          <w:tcPr>
            <w:tcW w:w="857" w:type="pct"/>
            <w:vAlign w:val="center"/>
          </w:tcPr>
          <w:p w14:paraId="7DEE2A86">
            <w:pPr>
              <w:widowControl/>
              <w:jc w:val="center"/>
              <w:rPr>
                <w:rFonts w:ascii="Times New Roman" w:eastAsia="仿宋"/>
                <w:szCs w:val="21"/>
              </w:rPr>
            </w:pPr>
            <w:r>
              <w:rPr>
                <w:rFonts w:hint="eastAsia" w:ascii="Times New Roman" w:eastAsia="仿宋"/>
                <w:szCs w:val="21"/>
              </w:rPr>
              <w:t>50</w:t>
            </w:r>
          </w:p>
        </w:tc>
      </w:tr>
    </w:tbl>
    <w:p w14:paraId="2DF8F79C">
      <w:pPr>
        <w:pStyle w:val="168"/>
        <w:ind w:firstLine="560"/>
        <w:jc w:val="both"/>
        <w:rPr>
          <w:rFonts w:ascii="Times New Roman" w:eastAsia="仿宋"/>
          <w:b w:val="0"/>
          <w:bCs w:val="0"/>
          <w:sz w:val="28"/>
          <w:szCs w:val="28"/>
        </w:rPr>
      </w:pPr>
      <w:r>
        <w:rPr>
          <w:rFonts w:hint="eastAsia" w:ascii="Times New Roman" w:eastAsia="仿宋"/>
          <w:b w:val="0"/>
          <w:bCs w:val="0"/>
          <w:sz w:val="28"/>
          <w:szCs w:val="28"/>
        </w:rPr>
        <w:t>本项目</w:t>
      </w:r>
      <w:r>
        <w:rPr>
          <w:rFonts w:ascii="Times New Roman" w:eastAsia="仿宋"/>
          <w:b w:val="0"/>
          <w:bCs w:val="0"/>
          <w:sz w:val="28"/>
          <w:szCs w:val="28"/>
        </w:rPr>
        <w:t>的卫生防护距离为</w:t>
      </w:r>
      <w:r>
        <w:rPr>
          <w:rFonts w:hint="eastAsia" w:ascii="Times New Roman" w:eastAsia="仿宋"/>
          <w:b w:val="0"/>
          <w:bCs w:val="0"/>
          <w:sz w:val="28"/>
          <w:szCs w:val="28"/>
        </w:rPr>
        <w:t>1号、2号、4号钣金车间边界外扩50米范围、3号喷涂车间外扩100米范围形成的最大包络线</w:t>
      </w:r>
      <w:r>
        <w:rPr>
          <w:rFonts w:ascii="Times New Roman" w:eastAsia="仿宋"/>
          <w:b w:val="0"/>
          <w:bCs w:val="0"/>
          <w:sz w:val="28"/>
          <w:szCs w:val="28"/>
        </w:rPr>
        <w:t>区域。在此范围内无居民点等环境敏感目标。今后在此范围内也不得建设居民点、学校、医院等环境敏感项目。</w:t>
      </w:r>
    </w:p>
    <w:p w14:paraId="426BCE0D">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.2.1</w:t>
      </w:r>
      <w:r>
        <w:rPr>
          <w:rFonts w:hint="eastAsia" w:ascii="Times New Roman" w:hAnsi="Times New Roman" w:eastAsia="仿宋"/>
          <w:b/>
        </w:rPr>
        <w:t>.</w:t>
      </w:r>
      <w:r>
        <w:rPr>
          <w:rFonts w:ascii="Times New Roman" w:hAnsi="Times New Roman" w:eastAsia="仿宋"/>
          <w:b/>
        </w:rPr>
        <w:t>10大气环境影响评价结论</w:t>
      </w:r>
    </w:p>
    <w:p w14:paraId="57D0CBBC">
      <w:pPr>
        <w:autoSpaceDE w:val="0"/>
        <w:autoSpaceDN w:val="0"/>
        <w:adjustRightInd w:val="0"/>
        <w:snapToGrid w:val="0"/>
        <w:spacing w:line="500" w:lineRule="exact"/>
        <w:ind w:firstLine="560" w:firstLineChars="200"/>
        <w:jc w:val="left"/>
        <w:rPr>
          <w:rFonts w:eastAsia="仿宋_GB2312"/>
          <w:sz w:val="28"/>
          <w:szCs w:val="28"/>
        </w:rPr>
      </w:pPr>
      <w:r>
        <w:rPr>
          <w:rFonts w:eastAsia="仿宋_GB2312"/>
          <w:sz w:val="28"/>
          <w:szCs w:val="28"/>
        </w:rPr>
        <w:t>1、项目选址及总图布置从大气环境影响角度具有合理性和可行性范围内均未出现超标情况。不会对周边环境造成较大影响，不会改变当地的环境现状。</w:t>
      </w:r>
    </w:p>
    <w:p w14:paraId="540DA7CA">
      <w:pPr>
        <w:adjustRightInd w:val="0"/>
        <w:snapToGrid w:val="0"/>
        <w:spacing w:line="500" w:lineRule="exact"/>
        <w:ind w:firstLine="560" w:firstLineChars="200"/>
        <w:jc w:val="left"/>
        <w:rPr>
          <w:rFonts w:eastAsia="仿宋_GB2312"/>
          <w:sz w:val="28"/>
          <w:szCs w:val="28"/>
        </w:rPr>
      </w:pPr>
      <w:r>
        <w:rPr>
          <w:rFonts w:eastAsia="仿宋_GB2312"/>
          <w:sz w:val="28"/>
          <w:szCs w:val="28"/>
        </w:rPr>
        <w:t>2、</w:t>
      </w:r>
      <w:r>
        <w:rPr>
          <w:rFonts w:ascii="Times New Roman" w:eastAsia="仿宋"/>
          <w:sz w:val="28"/>
          <w:szCs w:val="28"/>
        </w:rPr>
        <w:t>本项目所在区域环境空气质量目前暂不达标，应尽快落实整治规划。本项目正常排放下的非甲烷总烃、颗粒物</w:t>
      </w:r>
      <w:r>
        <w:rPr>
          <w:rFonts w:hint="eastAsia" w:ascii="Times New Roman" w:eastAsia="仿宋"/>
          <w:sz w:val="28"/>
          <w:szCs w:val="28"/>
        </w:rPr>
        <w:t>、二甲苯、二氧化硫、氮氧化物</w:t>
      </w:r>
      <w:r>
        <w:rPr>
          <w:rFonts w:ascii="Times New Roman" w:eastAsia="仿宋"/>
          <w:sz w:val="28"/>
          <w:szCs w:val="28"/>
        </w:rPr>
        <w:t>最大地面浓度占标率</w:t>
      </w:r>
      <w:r>
        <w:rPr>
          <w:rFonts w:hint="eastAsia" w:ascii="Times New Roman" w:eastAsia="仿宋"/>
          <w:sz w:val="28"/>
          <w:szCs w:val="28"/>
        </w:rPr>
        <w:t>均</w:t>
      </w:r>
      <w:r>
        <w:rPr>
          <w:rFonts w:ascii="Times New Roman" w:eastAsia="仿宋"/>
          <w:sz w:val="28"/>
          <w:szCs w:val="28"/>
        </w:rPr>
        <w:t>＜10%，对周围大气环境影响较小</w:t>
      </w:r>
      <w:r>
        <w:rPr>
          <w:rFonts w:hint="eastAsia" w:ascii="Times New Roman" w:eastAsia="仿宋"/>
          <w:sz w:val="28"/>
          <w:szCs w:val="28"/>
        </w:rPr>
        <w:t>。</w:t>
      </w:r>
      <w:r>
        <w:rPr>
          <w:rFonts w:eastAsia="仿宋_GB2312"/>
          <w:sz w:val="28"/>
          <w:szCs w:val="28"/>
        </w:rPr>
        <w:t>因此，应经常对项目废气设施进行维修和检查，确保设备运行过程中能够正常运行，严防事故发生。</w:t>
      </w:r>
    </w:p>
    <w:p w14:paraId="7547D5F4">
      <w:pPr>
        <w:adjustRightInd w:val="0"/>
        <w:snapToGrid w:val="0"/>
        <w:spacing w:line="500" w:lineRule="exact"/>
        <w:ind w:firstLine="560" w:firstLineChars="200"/>
        <w:jc w:val="left"/>
        <w:rPr>
          <w:rFonts w:eastAsia="仿宋_GB2312"/>
          <w:sz w:val="28"/>
          <w:szCs w:val="28"/>
        </w:rPr>
      </w:pPr>
      <w:r>
        <w:rPr>
          <w:rFonts w:eastAsia="仿宋_GB2312"/>
          <w:sz w:val="28"/>
          <w:szCs w:val="28"/>
        </w:rPr>
        <w:t>3、大气环境影响评价结论</w:t>
      </w:r>
    </w:p>
    <w:p w14:paraId="2DA629BC">
      <w:pPr>
        <w:adjustRightInd w:val="0"/>
        <w:snapToGrid w:val="0"/>
        <w:spacing w:line="500" w:lineRule="exact"/>
        <w:ind w:firstLine="560" w:firstLineChars="200"/>
        <w:rPr>
          <w:rFonts w:eastAsia="仿宋"/>
          <w:sz w:val="28"/>
          <w:szCs w:val="28"/>
        </w:rPr>
      </w:pPr>
      <w:r>
        <w:rPr>
          <w:rFonts w:ascii="Times New Roman" w:eastAsia="仿宋"/>
          <w:sz w:val="28"/>
          <w:szCs w:val="28"/>
        </w:rPr>
        <w:t>本项目正常排放下的非甲烷总烃、颗粒物</w:t>
      </w:r>
      <w:r>
        <w:rPr>
          <w:rFonts w:hint="eastAsia" w:ascii="Times New Roman" w:eastAsia="仿宋"/>
          <w:sz w:val="28"/>
          <w:szCs w:val="28"/>
        </w:rPr>
        <w:t>、二甲苯、二氧化硫、氮氧化物</w:t>
      </w:r>
      <w:r>
        <w:rPr>
          <w:rFonts w:ascii="Times New Roman" w:eastAsia="仿宋"/>
          <w:sz w:val="28"/>
          <w:szCs w:val="28"/>
        </w:rPr>
        <w:t>最大地面浓度占标率</w:t>
      </w:r>
      <w:r>
        <w:rPr>
          <w:rFonts w:hint="eastAsia" w:ascii="Times New Roman" w:eastAsia="仿宋"/>
          <w:sz w:val="28"/>
          <w:szCs w:val="28"/>
        </w:rPr>
        <w:t>均</w:t>
      </w:r>
      <w:r>
        <w:rPr>
          <w:rFonts w:ascii="Times New Roman" w:eastAsia="仿宋"/>
          <w:sz w:val="28"/>
          <w:szCs w:val="28"/>
        </w:rPr>
        <w:t>＜10%，对周围大气环境影响较小</w:t>
      </w:r>
      <w:r>
        <w:rPr>
          <w:rFonts w:hint="eastAsia" w:ascii="Times New Roman" w:eastAsia="仿宋"/>
          <w:sz w:val="28"/>
          <w:szCs w:val="28"/>
        </w:rPr>
        <w:t>。根据计算，全厂需以1号、2号、4号钣金车间边界外扩50米范围、3号喷涂车间外扩100米范围形成的最大包络线</w:t>
      </w:r>
      <w:r>
        <w:rPr>
          <w:rFonts w:ascii="Times New Roman" w:eastAsia="仿宋"/>
          <w:sz w:val="28"/>
          <w:szCs w:val="28"/>
        </w:rPr>
        <w:t>区域</w:t>
      </w:r>
      <w:r>
        <w:rPr>
          <w:rFonts w:hint="eastAsia" w:ascii="Times New Roman" w:eastAsia="仿宋"/>
          <w:sz w:val="28"/>
          <w:szCs w:val="28"/>
        </w:rPr>
        <w:t>设置卫生防护距离。</w:t>
      </w:r>
    </w:p>
    <w:p w14:paraId="471A02E3">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综上所述，本项目大气环境影响可以接受，</w:t>
      </w:r>
      <w:r>
        <w:rPr>
          <w:rFonts w:eastAsia="仿宋_GB2312"/>
          <w:sz w:val="28"/>
          <w:szCs w:val="28"/>
        </w:rPr>
        <w:t>项目选址及总图布置从大气影响角度具有合理性和可行。</w:t>
      </w:r>
      <w:r>
        <w:rPr>
          <w:rFonts w:ascii="Times New Roman" w:eastAsia="仿宋"/>
          <w:sz w:val="28"/>
          <w:szCs w:val="28"/>
        </w:rPr>
        <w:t>项目完成后颗粒物、</w:t>
      </w:r>
      <w:r>
        <w:rPr>
          <w:rFonts w:hint="eastAsia" w:ascii="Times New Roman" w:eastAsia="仿宋"/>
          <w:sz w:val="28"/>
          <w:szCs w:val="28"/>
        </w:rPr>
        <w:t>非甲烷总烃</w:t>
      </w:r>
      <w:r>
        <w:rPr>
          <w:rFonts w:ascii="Times New Roman" w:eastAsia="仿宋"/>
          <w:sz w:val="28"/>
          <w:szCs w:val="28"/>
        </w:rPr>
        <w:t>新增有组织</w:t>
      </w:r>
      <w:r>
        <w:rPr>
          <w:rFonts w:hint="eastAsia" w:ascii="Times New Roman" w:eastAsia="仿宋"/>
          <w:sz w:val="28"/>
          <w:szCs w:val="28"/>
        </w:rPr>
        <w:t>+无组织</w:t>
      </w:r>
      <w:r>
        <w:rPr>
          <w:rFonts w:ascii="Times New Roman" w:eastAsia="仿宋"/>
          <w:sz w:val="28"/>
          <w:szCs w:val="28"/>
        </w:rPr>
        <w:t>排入外环境量分别为3.335t/a、5.143t/a，企业应当向当地环保部门申请核定总量，在区域内平衡，在落实区域减量替代方案后，污染物排放总量控制指标可以满足环境管理要求。</w:t>
      </w:r>
    </w:p>
    <w:p w14:paraId="135167E0">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大气环境影响评价自查表见表5.2-25。</w:t>
      </w:r>
    </w:p>
    <w:p w14:paraId="2A56B8E7">
      <w:pPr>
        <w:spacing w:line="480" w:lineRule="exact"/>
        <w:ind w:firstLine="482" w:firstLineChars="200"/>
        <w:jc w:val="center"/>
        <w:rPr>
          <w:rFonts w:ascii="Times New Roman" w:eastAsia="仿宋"/>
          <w:b/>
        </w:rPr>
      </w:pPr>
      <w:r>
        <w:rPr>
          <w:rFonts w:ascii="Times New Roman" w:eastAsia="仿宋"/>
          <w:b/>
        </w:rPr>
        <w:t>表5.2-25  大气环境影响评价自查表</w:t>
      </w:r>
    </w:p>
    <w:tbl>
      <w:tblPr>
        <w:tblStyle w:val="87"/>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8"/>
        <w:gridCol w:w="1134"/>
        <w:gridCol w:w="689"/>
        <w:gridCol w:w="134"/>
        <w:gridCol w:w="475"/>
        <w:gridCol w:w="544"/>
        <w:gridCol w:w="1330"/>
        <w:gridCol w:w="88"/>
        <w:gridCol w:w="1134"/>
        <w:gridCol w:w="757"/>
        <w:gridCol w:w="93"/>
        <w:gridCol w:w="368"/>
        <w:gridCol w:w="1050"/>
      </w:tblGrid>
      <w:tr w14:paraId="0CCA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gridSpan w:val="2"/>
            <w:vAlign w:val="center"/>
          </w:tcPr>
          <w:p w14:paraId="235A6D3E">
            <w:pPr>
              <w:spacing w:line="244" w:lineRule="exact"/>
              <w:jc w:val="center"/>
              <w:rPr>
                <w:rFonts w:ascii="Times New Roman" w:eastAsia="仿宋"/>
                <w:b/>
                <w:sz w:val="20"/>
              </w:rPr>
            </w:pPr>
            <w:r>
              <w:rPr>
                <w:rFonts w:ascii="Times New Roman" w:eastAsia="仿宋"/>
                <w:b/>
                <w:sz w:val="20"/>
              </w:rPr>
              <w:t>工作内容</w:t>
            </w:r>
          </w:p>
        </w:tc>
        <w:tc>
          <w:tcPr>
            <w:tcW w:w="7796" w:type="dxa"/>
            <w:gridSpan w:val="12"/>
            <w:vAlign w:val="center"/>
          </w:tcPr>
          <w:p w14:paraId="0C57B254">
            <w:pPr>
              <w:spacing w:line="244" w:lineRule="exact"/>
              <w:jc w:val="center"/>
              <w:rPr>
                <w:rFonts w:ascii="Times New Roman" w:eastAsia="仿宋"/>
                <w:b/>
                <w:sz w:val="20"/>
              </w:rPr>
            </w:pPr>
            <w:r>
              <w:rPr>
                <w:rFonts w:ascii="Times New Roman" w:eastAsia="仿宋"/>
                <w:b/>
                <w:sz w:val="20"/>
              </w:rPr>
              <w:t>自查项目</w:t>
            </w:r>
          </w:p>
        </w:tc>
      </w:tr>
      <w:tr w14:paraId="6958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51" w:type="dxa"/>
            <w:vMerge w:val="restart"/>
            <w:vAlign w:val="center"/>
          </w:tcPr>
          <w:p w14:paraId="39761B42">
            <w:pPr>
              <w:spacing w:line="244" w:lineRule="exact"/>
              <w:jc w:val="center"/>
              <w:rPr>
                <w:rFonts w:ascii="Times New Roman" w:eastAsia="仿宋"/>
                <w:sz w:val="20"/>
              </w:rPr>
            </w:pPr>
            <w:r>
              <w:rPr>
                <w:rFonts w:ascii="Times New Roman" w:eastAsia="仿宋"/>
                <w:sz w:val="20"/>
              </w:rPr>
              <w:t>评价等级与范围</w:t>
            </w:r>
          </w:p>
        </w:tc>
        <w:tc>
          <w:tcPr>
            <w:tcW w:w="1418" w:type="dxa"/>
            <w:vAlign w:val="center"/>
          </w:tcPr>
          <w:p w14:paraId="1EFF5D95">
            <w:pPr>
              <w:spacing w:line="244" w:lineRule="exact"/>
              <w:jc w:val="center"/>
              <w:rPr>
                <w:rFonts w:ascii="Times New Roman" w:eastAsia="仿宋"/>
                <w:sz w:val="20"/>
              </w:rPr>
            </w:pPr>
            <w:r>
              <w:rPr>
                <w:rFonts w:ascii="Times New Roman" w:eastAsia="仿宋"/>
                <w:sz w:val="20"/>
              </w:rPr>
              <w:t>评价等级</w:t>
            </w:r>
          </w:p>
        </w:tc>
        <w:tc>
          <w:tcPr>
            <w:tcW w:w="4394" w:type="dxa"/>
            <w:gridSpan w:val="7"/>
            <w:vAlign w:val="center"/>
          </w:tcPr>
          <w:p w14:paraId="1C63A134">
            <w:pPr>
              <w:spacing w:line="244" w:lineRule="exact"/>
              <w:jc w:val="center"/>
              <w:rPr>
                <w:rFonts w:ascii="Times New Roman" w:eastAsia="仿宋"/>
                <w:sz w:val="20"/>
              </w:rPr>
            </w:pPr>
            <w:r>
              <w:rPr>
                <w:rFonts w:ascii="Times New Roman" w:eastAsia="仿宋"/>
                <w:sz w:val="20"/>
              </w:rPr>
              <w:t>一级□</w:t>
            </w:r>
          </w:p>
        </w:tc>
        <w:tc>
          <w:tcPr>
            <w:tcW w:w="1984" w:type="dxa"/>
            <w:gridSpan w:val="3"/>
            <w:vAlign w:val="center"/>
          </w:tcPr>
          <w:p w14:paraId="00AE154D">
            <w:pPr>
              <w:spacing w:line="244" w:lineRule="exact"/>
              <w:jc w:val="center"/>
              <w:rPr>
                <w:rFonts w:ascii="Times New Roman" w:eastAsia="仿宋"/>
                <w:sz w:val="20"/>
              </w:rPr>
            </w:pPr>
            <w:r>
              <w:rPr>
                <w:rFonts w:ascii="Times New Roman" w:eastAsia="仿宋"/>
                <w:sz w:val="20"/>
              </w:rPr>
              <w:t>二级√</w:t>
            </w:r>
          </w:p>
        </w:tc>
        <w:tc>
          <w:tcPr>
            <w:tcW w:w="1418" w:type="dxa"/>
            <w:gridSpan w:val="2"/>
            <w:vAlign w:val="center"/>
          </w:tcPr>
          <w:p w14:paraId="3373778E">
            <w:pPr>
              <w:spacing w:line="244" w:lineRule="exact"/>
              <w:jc w:val="center"/>
              <w:rPr>
                <w:rFonts w:ascii="Times New Roman" w:eastAsia="仿宋"/>
                <w:sz w:val="20"/>
              </w:rPr>
            </w:pPr>
            <w:r>
              <w:rPr>
                <w:rFonts w:ascii="Times New Roman" w:eastAsia="仿宋"/>
                <w:sz w:val="20"/>
              </w:rPr>
              <w:t>三级□</w:t>
            </w:r>
          </w:p>
        </w:tc>
      </w:tr>
      <w:tr w14:paraId="1CD5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1" w:type="dxa"/>
            <w:vMerge w:val="continue"/>
            <w:vAlign w:val="center"/>
          </w:tcPr>
          <w:p w14:paraId="36E79D4B">
            <w:pPr>
              <w:spacing w:line="244" w:lineRule="exact"/>
              <w:jc w:val="center"/>
              <w:rPr>
                <w:rFonts w:ascii="Times New Roman" w:eastAsia="仿宋"/>
                <w:sz w:val="20"/>
              </w:rPr>
            </w:pPr>
          </w:p>
        </w:tc>
        <w:tc>
          <w:tcPr>
            <w:tcW w:w="1418" w:type="dxa"/>
            <w:vAlign w:val="center"/>
          </w:tcPr>
          <w:p w14:paraId="0D739C71">
            <w:pPr>
              <w:spacing w:line="244" w:lineRule="exact"/>
              <w:jc w:val="center"/>
              <w:rPr>
                <w:rFonts w:ascii="Times New Roman" w:eastAsia="仿宋"/>
                <w:sz w:val="20"/>
              </w:rPr>
            </w:pPr>
            <w:r>
              <w:rPr>
                <w:rFonts w:ascii="Times New Roman" w:eastAsia="仿宋"/>
                <w:sz w:val="20"/>
              </w:rPr>
              <w:t>评价范围</w:t>
            </w:r>
          </w:p>
        </w:tc>
        <w:tc>
          <w:tcPr>
            <w:tcW w:w="4394" w:type="dxa"/>
            <w:gridSpan w:val="7"/>
            <w:vAlign w:val="center"/>
          </w:tcPr>
          <w:p w14:paraId="368B3FD0">
            <w:pPr>
              <w:spacing w:line="244" w:lineRule="exact"/>
              <w:jc w:val="center"/>
              <w:rPr>
                <w:rFonts w:ascii="Times New Roman" w:eastAsia="仿宋"/>
                <w:sz w:val="20"/>
              </w:rPr>
            </w:pPr>
            <w:r>
              <w:rPr>
                <w:rFonts w:ascii="Times New Roman" w:eastAsia="仿宋"/>
                <w:sz w:val="20"/>
              </w:rPr>
              <w:t>边长=50km□</w:t>
            </w:r>
          </w:p>
        </w:tc>
        <w:tc>
          <w:tcPr>
            <w:tcW w:w="1984" w:type="dxa"/>
            <w:gridSpan w:val="3"/>
            <w:vAlign w:val="center"/>
          </w:tcPr>
          <w:p w14:paraId="57CFBC7D">
            <w:pPr>
              <w:spacing w:line="244" w:lineRule="exact"/>
              <w:jc w:val="center"/>
              <w:rPr>
                <w:rFonts w:ascii="Times New Roman" w:eastAsia="仿宋"/>
                <w:sz w:val="20"/>
              </w:rPr>
            </w:pPr>
            <w:r>
              <w:rPr>
                <w:rFonts w:ascii="Times New Roman" w:eastAsia="仿宋"/>
                <w:sz w:val="20"/>
              </w:rPr>
              <w:t>边长5~50km□</w:t>
            </w:r>
          </w:p>
        </w:tc>
        <w:tc>
          <w:tcPr>
            <w:tcW w:w="1418" w:type="dxa"/>
            <w:gridSpan w:val="2"/>
            <w:vAlign w:val="center"/>
          </w:tcPr>
          <w:p w14:paraId="747BA670">
            <w:pPr>
              <w:spacing w:line="244" w:lineRule="exact"/>
              <w:jc w:val="center"/>
              <w:rPr>
                <w:rFonts w:ascii="Times New Roman" w:eastAsia="仿宋"/>
                <w:sz w:val="20"/>
              </w:rPr>
            </w:pPr>
            <w:r>
              <w:rPr>
                <w:rFonts w:ascii="Times New Roman" w:eastAsia="仿宋"/>
                <w:sz w:val="20"/>
              </w:rPr>
              <w:t>边长=5km√</w:t>
            </w:r>
          </w:p>
        </w:tc>
      </w:tr>
      <w:tr w14:paraId="4A7F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63C82E89">
            <w:pPr>
              <w:spacing w:line="244" w:lineRule="exact"/>
              <w:jc w:val="center"/>
              <w:rPr>
                <w:rFonts w:ascii="Times New Roman" w:eastAsia="仿宋"/>
                <w:sz w:val="20"/>
              </w:rPr>
            </w:pPr>
            <w:r>
              <w:rPr>
                <w:rFonts w:ascii="Times New Roman" w:eastAsia="仿宋"/>
                <w:sz w:val="20"/>
              </w:rPr>
              <w:t>评价因子</w:t>
            </w:r>
          </w:p>
        </w:tc>
        <w:tc>
          <w:tcPr>
            <w:tcW w:w="1418" w:type="dxa"/>
            <w:vAlign w:val="center"/>
          </w:tcPr>
          <w:p w14:paraId="163C3D7D">
            <w:pPr>
              <w:spacing w:line="244" w:lineRule="exact"/>
              <w:jc w:val="center"/>
              <w:rPr>
                <w:rFonts w:ascii="Times New Roman" w:eastAsia="仿宋"/>
                <w:sz w:val="20"/>
              </w:rPr>
            </w:pPr>
            <w:r>
              <w:rPr>
                <w:rFonts w:ascii="Times New Roman" w:eastAsia="仿宋"/>
                <w:sz w:val="20"/>
              </w:rPr>
              <w:t>SO</w:t>
            </w:r>
            <w:r>
              <w:rPr>
                <w:rFonts w:ascii="Times New Roman" w:eastAsia="仿宋"/>
                <w:sz w:val="20"/>
                <w:vertAlign w:val="subscript"/>
              </w:rPr>
              <w:t>2</w:t>
            </w:r>
            <w:r>
              <w:rPr>
                <w:rFonts w:ascii="Times New Roman" w:eastAsia="仿宋"/>
                <w:sz w:val="20"/>
              </w:rPr>
              <w:t>+NO</w:t>
            </w:r>
            <w:r>
              <w:rPr>
                <w:rFonts w:ascii="Times New Roman" w:eastAsia="仿宋"/>
                <w:sz w:val="20"/>
                <w:vertAlign w:val="subscript"/>
              </w:rPr>
              <w:t>X</w:t>
            </w:r>
            <w:r>
              <w:rPr>
                <w:rFonts w:ascii="Times New Roman" w:eastAsia="仿宋"/>
                <w:sz w:val="20"/>
              </w:rPr>
              <w:t>排放量</w:t>
            </w:r>
          </w:p>
        </w:tc>
        <w:tc>
          <w:tcPr>
            <w:tcW w:w="4394" w:type="dxa"/>
            <w:gridSpan w:val="7"/>
            <w:vAlign w:val="center"/>
          </w:tcPr>
          <w:p w14:paraId="6632A673">
            <w:pPr>
              <w:spacing w:line="244" w:lineRule="exact"/>
              <w:jc w:val="center"/>
              <w:rPr>
                <w:rFonts w:ascii="Times New Roman" w:eastAsia="仿宋"/>
                <w:sz w:val="20"/>
              </w:rPr>
            </w:pPr>
            <w:r>
              <w:rPr>
                <w:rFonts w:ascii="Times New Roman" w:eastAsia="仿宋"/>
                <w:sz w:val="20"/>
              </w:rPr>
              <w:t xml:space="preserve">≥2000t/a□ </w:t>
            </w:r>
          </w:p>
        </w:tc>
        <w:tc>
          <w:tcPr>
            <w:tcW w:w="1984" w:type="dxa"/>
            <w:gridSpan w:val="3"/>
            <w:vAlign w:val="center"/>
          </w:tcPr>
          <w:p w14:paraId="16F4B39A">
            <w:pPr>
              <w:spacing w:line="244" w:lineRule="exact"/>
              <w:jc w:val="center"/>
              <w:rPr>
                <w:rFonts w:ascii="Times New Roman" w:eastAsia="仿宋"/>
                <w:sz w:val="20"/>
              </w:rPr>
            </w:pPr>
            <w:r>
              <w:rPr>
                <w:rFonts w:ascii="Times New Roman" w:eastAsia="仿宋"/>
                <w:sz w:val="20"/>
              </w:rPr>
              <w:t>500~2000t/a□</w:t>
            </w:r>
          </w:p>
        </w:tc>
        <w:tc>
          <w:tcPr>
            <w:tcW w:w="1418" w:type="dxa"/>
            <w:gridSpan w:val="2"/>
            <w:vAlign w:val="center"/>
          </w:tcPr>
          <w:p w14:paraId="148FCA87">
            <w:pPr>
              <w:spacing w:line="244" w:lineRule="exact"/>
              <w:jc w:val="center"/>
              <w:rPr>
                <w:rFonts w:ascii="Times New Roman" w:eastAsia="仿宋"/>
                <w:sz w:val="20"/>
              </w:rPr>
            </w:pPr>
            <w:r>
              <w:rPr>
                <w:rFonts w:ascii="Times New Roman" w:eastAsia="仿宋"/>
                <w:sz w:val="20"/>
              </w:rPr>
              <w:t>＜500t/a√</w:t>
            </w:r>
          </w:p>
        </w:tc>
      </w:tr>
      <w:tr w14:paraId="441C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8A4A7CF">
            <w:pPr>
              <w:spacing w:line="244" w:lineRule="exact"/>
              <w:jc w:val="center"/>
              <w:rPr>
                <w:rFonts w:ascii="Times New Roman" w:eastAsia="仿宋"/>
                <w:sz w:val="20"/>
              </w:rPr>
            </w:pPr>
          </w:p>
        </w:tc>
        <w:tc>
          <w:tcPr>
            <w:tcW w:w="1418" w:type="dxa"/>
            <w:vAlign w:val="center"/>
          </w:tcPr>
          <w:p w14:paraId="5BDF61C1">
            <w:pPr>
              <w:spacing w:line="244" w:lineRule="exact"/>
              <w:jc w:val="center"/>
              <w:rPr>
                <w:rFonts w:ascii="Times New Roman" w:eastAsia="仿宋"/>
                <w:sz w:val="20"/>
              </w:rPr>
            </w:pPr>
            <w:r>
              <w:rPr>
                <w:rFonts w:ascii="Times New Roman" w:eastAsia="仿宋"/>
                <w:sz w:val="20"/>
              </w:rPr>
              <w:t>评价因子</w:t>
            </w:r>
          </w:p>
        </w:tc>
        <w:tc>
          <w:tcPr>
            <w:tcW w:w="4394" w:type="dxa"/>
            <w:gridSpan w:val="7"/>
            <w:vAlign w:val="center"/>
          </w:tcPr>
          <w:p w14:paraId="4878B4A7">
            <w:pPr>
              <w:spacing w:line="244" w:lineRule="exact"/>
              <w:jc w:val="center"/>
              <w:rPr>
                <w:rFonts w:ascii="Times New Roman" w:eastAsia="仿宋"/>
                <w:sz w:val="20"/>
              </w:rPr>
            </w:pPr>
            <w:r>
              <w:rPr>
                <w:rFonts w:ascii="Times New Roman" w:eastAsia="仿宋"/>
                <w:sz w:val="20"/>
              </w:rPr>
              <w:t>基本污染物（SO</w:t>
            </w:r>
            <w:r>
              <w:rPr>
                <w:rFonts w:ascii="Times New Roman" w:eastAsia="仿宋"/>
                <w:sz w:val="20"/>
                <w:vertAlign w:val="subscript"/>
              </w:rPr>
              <w:t>2</w:t>
            </w:r>
            <w:r>
              <w:rPr>
                <w:rFonts w:ascii="Times New Roman" w:eastAsia="仿宋"/>
                <w:sz w:val="20"/>
              </w:rPr>
              <w:t>、NO</w:t>
            </w:r>
            <w:r>
              <w:rPr>
                <w:rFonts w:ascii="Times New Roman" w:eastAsia="仿宋"/>
                <w:sz w:val="20"/>
                <w:vertAlign w:val="subscript"/>
              </w:rPr>
              <w:t>2</w:t>
            </w:r>
            <w:r>
              <w:rPr>
                <w:rFonts w:ascii="Times New Roman" w:eastAsia="仿宋"/>
                <w:sz w:val="20"/>
              </w:rPr>
              <w:t>、PM</w:t>
            </w:r>
            <w:r>
              <w:rPr>
                <w:rFonts w:ascii="Times New Roman" w:eastAsia="仿宋"/>
                <w:sz w:val="20"/>
                <w:vertAlign w:val="subscript"/>
              </w:rPr>
              <w:t>10</w:t>
            </w:r>
            <w:r>
              <w:rPr>
                <w:rFonts w:ascii="Times New Roman" w:eastAsia="仿宋"/>
                <w:sz w:val="20"/>
              </w:rPr>
              <w:t>、PM</w:t>
            </w:r>
            <w:r>
              <w:rPr>
                <w:rFonts w:ascii="Times New Roman" w:eastAsia="仿宋"/>
                <w:sz w:val="20"/>
                <w:vertAlign w:val="subscript"/>
              </w:rPr>
              <w:t>2.5</w:t>
            </w:r>
            <w:r>
              <w:rPr>
                <w:rFonts w:ascii="Times New Roman" w:eastAsia="仿宋"/>
                <w:sz w:val="20"/>
              </w:rPr>
              <w:t>、CO、</w:t>
            </w:r>
            <w:r>
              <w:rPr>
                <w:rFonts w:ascii="Times New Roman" w:eastAsia="仿宋"/>
                <w:bCs/>
                <w:sz w:val="20"/>
              </w:rPr>
              <w:t>O</w:t>
            </w:r>
            <w:r>
              <w:rPr>
                <w:rFonts w:ascii="Times New Roman" w:eastAsia="仿宋"/>
                <w:bCs/>
                <w:sz w:val="20"/>
                <w:vertAlign w:val="subscript"/>
              </w:rPr>
              <w:t>3</w:t>
            </w:r>
            <w:r>
              <w:rPr>
                <w:rFonts w:ascii="Times New Roman" w:eastAsia="仿宋"/>
                <w:sz w:val="20"/>
              </w:rPr>
              <w:t>）</w:t>
            </w:r>
          </w:p>
          <w:p w14:paraId="7E3BA81A">
            <w:pPr>
              <w:spacing w:line="244" w:lineRule="exact"/>
              <w:jc w:val="center"/>
              <w:rPr>
                <w:rFonts w:ascii="Times New Roman" w:eastAsia="仿宋"/>
                <w:sz w:val="20"/>
              </w:rPr>
            </w:pPr>
            <w:r>
              <w:rPr>
                <w:rFonts w:ascii="Times New Roman" w:eastAsia="仿宋"/>
                <w:sz w:val="20"/>
              </w:rPr>
              <w:t>其他污染物（</w:t>
            </w:r>
            <w:r>
              <w:rPr>
                <w:rFonts w:hint="eastAsia" w:ascii="Times New Roman" w:eastAsia="仿宋"/>
                <w:sz w:val="20"/>
              </w:rPr>
              <w:t>非甲烷总烃、二甲苯</w:t>
            </w:r>
            <w:r>
              <w:rPr>
                <w:rFonts w:ascii="Times New Roman" w:eastAsia="仿宋"/>
                <w:sz w:val="20"/>
              </w:rPr>
              <w:t>）</w:t>
            </w:r>
          </w:p>
        </w:tc>
        <w:tc>
          <w:tcPr>
            <w:tcW w:w="3402" w:type="dxa"/>
            <w:gridSpan w:val="5"/>
            <w:vAlign w:val="center"/>
          </w:tcPr>
          <w:p w14:paraId="120E26F2">
            <w:pPr>
              <w:spacing w:line="244" w:lineRule="exact"/>
              <w:jc w:val="center"/>
              <w:rPr>
                <w:rFonts w:ascii="Times New Roman" w:eastAsia="仿宋"/>
                <w:sz w:val="20"/>
              </w:rPr>
            </w:pPr>
            <w:r>
              <w:rPr>
                <w:rFonts w:ascii="Times New Roman" w:eastAsia="仿宋"/>
                <w:sz w:val="20"/>
              </w:rPr>
              <w:t>包括二次PM</w:t>
            </w:r>
            <w:r>
              <w:rPr>
                <w:rFonts w:ascii="Times New Roman" w:eastAsia="仿宋"/>
                <w:sz w:val="20"/>
                <w:vertAlign w:val="subscript"/>
              </w:rPr>
              <w:t>2.5</w:t>
            </w:r>
            <w:r>
              <w:rPr>
                <w:rFonts w:ascii="Times New Roman" w:eastAsia="仿宋"/>
                <w:sz w:val="20"/>
              </w:rPr>
              <w:t>□</w:t>
            </w:r>
          </w:p>
          <w:p w14:paraId="407011E6">
            <w:pPr>
              <w:spacing w:line="244" w:lineRule="exact"/>
              <w:jc w:val="center"/>
              <w:rPr>
                <w:rFonts w:ascii="Times New Roman" w:eastAsia="仿宋"/>
                <w:sz w:val="20"/>
              </w:rPr>
            </w:pPr>
            <w:r>
              <w:rPr>
                <w:rFonts w:ascii="Times New Roman" w:eastAsia="仿宋"/>
                <w:sz w:val="20"/>
              </w:rPr>
              <w:t>不包括二次PM</w:t>
            </w:r>
            <w:r>
              <w:rPr>
                <w:rFonts w:ascii="Times New Roman" w:eastAsia="仿宋"/>
                <w:sz w:val="20"/>
                <w:vertAlign w:val="subscript"/>
              </w:rPr>
              <w:t>2.5</w:t>
            </w:r>
            <w:r>
              <w:rPr>
                <w:rFonts w:ascii="Times New Roman" w:eastAsia="仿宋"/>
                <w:sz w:val="20"/>
              </w:rPr>
              <w:t>√</w:t>
            </w:r>
          </w:p>
        </w:tc>
      </w:tr>
      <w:tr w14:paraId="17F5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38776D2">
            <w:pPr>
              <w:spacing w:line="244" w:lineRule="exact"/>
              <w:jc w:val="center"/>
              <w:rPr>
                <w:rFonts w:ascii="Times New Roman" w:eastAsia="仿宋"/>
                <w:sz w:val="20"/>
              </w:rPr>
            </w:pPr>
            <w:r>
              <w:rPr>
                <w:rFonts w:ascii="Times New Roman" w:eastAsia="仿宋"/>
                <w:sz w:val="20"/>
              </w:rPr>
              <w:t>评价标准</w:t>
            </w:r>
          </w:p>
        </w:tc>
        <w:tc>
          <w:tcPr>
            <w:tcW w:w="1418" w:type="dxa"/>
            <w:vAlign w:val="center"/>
          </w:tcPr>
          <w:p w14:paraId="3932101F">
            <w:pPr>
              <w:spacing w:line="244" w:lineRule="exact"/>
              <w:jc w:val="center"/>
              <w:rPr>
                <w:rFonts w:ascii="Times New Roman" w:eastAsia="仿宋"/>
                <w:sz w:val="20"/>
              </w:rPr>
            </w:pPr>
            <w:r>
              <w:rPr>
                <w:rFonts w:ascii="Times New Roman" w:eastAsia="仿宋"/>
                <w:sz w:val="20"/>
              </w:rPr>
              <w:t>评价标准</w:t>
            </w:r>
          </w:p>
        </w:tc>
        <w:tc>
          <w:tcPr>
            <w:tcW w:w="1823" w:type="dxa"/>
            <w:gridSpan w:val="2"/>
            <w:vAlign w:val="center"/>
          </w:tcPr>
          <w:p w14:paraId="237754BB">
            <w:pPr>
              <w:spacing w:line="244" w:lineRule="exact"/>
              <w:jc w:val="center"/>
              <w:rPr>
                <w:rFonts w:ascii="Times New Roman" w:eastAsia="仿宋"/>
                <w:sz w:val="20"/>
              </w:rPr>
            </w:pPr>
            <w:r>
              <w:rPr>
                <w:rFonts w:ascii="Times New Roman" w:eastAsia="仿宋"/>
                <w:sz w:val="20"/>
              </w:rPr>
              <w:t>国家标准√</w:t>
            </w:r>
          </w:p>
        </w:tc>
        <w:tc>
          <w:tcPr>
            <w:tcW w:w="2571" w:type="dxa"/>
            <w:gridSpan w:val="5"/>
            <w:vAlign w:val="center"/>
          </w:tcPr>
          <w:p w14:paraId="7E440589">
            <w:pPr>
              <w:spacing w:line="244" w:lineRule="exact"/>
              <w:jc w:val="center"/>
              <w:rPr>
                <w:rFonts w:ascii="Times New Roman" w:eastAsia="仿宋"/>
                <w:sz w:val="20"/>
              </w:rPr>
            </w:pPr>
            <w:r>
              <w:rPr>
                <w:rFonts w:ascii="Times New Roman" w:eastAsia="仿宋"/>
                <w:sz w:val="20"/>
              </w:rPr>
              <w:t>地方标准□</w:t>
            </w:r>
          </w:p>
        </w:tc>
        <w:tc>
          <w:tcPr>
            <w:tcW w:w="1984" w:type="dxa"/>
            <w:gridSpan w:val="3"/>
            <w:vAlign w:val="center"/>
          </w:tcPr>
          <w:p w14:paraId="17D60426">
            <w:pPr>
              <w:spacing w:line="244" w:lineRule="exact"/>
              <w:jc w:val="center"/>
              <w:rPr>
                <w:rFonts w:ascii="Times New Roman" w:eastAsia="仿宋"/>
                <w:sz w:val="20"/>
              </w:rPr>
            </w:pPr>
            <w:r>
              <w:rPr>
                <w:rFonts w:ascii="Times New Roman" w:eastAsia="仿宋"/>
                <w:sz w:val="20"/>
              </w:rPr>
              <w:t>附录D√</w:t>
            </w:r>
          </w:p>
        </w:tc>
        <w:tc>
          <w:tcPr>
            <w:tcW w:w="1418" w:type="dxa"/>
            <w:gridSpan w:val="2"/>
            <w:vAlign w:val="center"/>
          </w:tcPr>
          <w:p w14:paraId="1708F226">
            <w:pPr>
              <w:spacing w:line="244" w:lineRule="exact"/>
              <w:jc w:val="center"/>
              <w:rPr>
                <w:rFonts w:ascii="Times New Roman" w:eastAsia="仿宋"/>
                <w:sz w:val="20"/>
              </w:rPr>
            </w:pPr>
            <w:r>
              <w:rPr>
                <w:rFonts w:ascii="Times New Roman" w:eastAsia="仿宋"/>
                <w:sz w:val="20"/>
              </w:rPr>
              <w:t>其他标准□</w:t>
            </w:r>
          </w:p>
        </w:tc>
      </w:tr>
      <w:tr w14:paraId="4CE6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0CC433F1">
            <w:pPr>
              <w:spacing w:line="244" w:lineRule="exact"/>
              <w:jc w:val="center"/>
              <w:rPr>
                <w:rFonts w:ascii="Times New Roman" w:eastAsia="仿宋"/>
                <w:sz w:val="20"/>
              </w:rPr>
            </w:pPr>
            <w:r>
              <w:rPr>
                <w:rFonts w:ascii="Times New Roman" w:eastAsia="仿宋"/>
                <w:sz w:val="20"/>
              </w:rPr>
              <w:t>现状评价</w:t>
            </w:r>
          </w:p>
        </w:tc>
        <w:tc>
          <w:tcPr>
            <w:tcW w:w="1418" w:type="dxa"/>
            <w:vAlign w:val="center"/>
          </w:tcPr>
          <w:p w14:paraId="2C3EBCC8">
            <w:pPr>
              <w:spacing w:line="244" w:lineRule="exact"/>
              <w:jc w:val="center"/>
              <w:rPr>
                <w:rFonts w:ascii="Times New Roman" w:eastAsia="仿宋"/>
                <w:sz w:val="20"/>
              </w:rPr>
            </w:pPr>
            <w:r>
              <w:rPr>
                <w:rFonts w:ascii="Times New Roman" w:eastAsia="仿宋"/>
                <w:sz w:val="20"/>
              </w:rPr>
              <w:t>评价功能区</w:t>
            </w:r>
          </w:p>
        </w:tc>
        <w:tc>
          <w:tcPr>
            <w:tcW w:w="4394" w:type="dxa"/>
            <w:gridSpan w:val="7"/>
            <w:vAlign w:val="center"/>
          </w:tcPr>
          <w:p w14:paraId="4B824011">
            <w:pPr>
              <w:spacing w:line="244" w:lineRule="exact"/>
              <w:jc w:val="center"/>
              <w:rPr>
                <w:rFonts w:ascii="Times New Roman" w:eastAsia="仿宋"/>
                <w:sz w:val="20"/>
              </w:rPr>
            </w:pPr>
            <w:r>
              <w:rPr>
                <w:rFonts w:ascii="Times New Roman" w:eastAsia="仿宋"/>
                <w:sz w:val="20"/>
              </w:rPr>
              <w:t>一类区□</w:t>
            </w:r>
          </w:p>
        </w:tc>
        <w:tc>
          <w:tcPr>
            <w:tcW w:w="1984" w:type="dxa"/>
            <w:gridSpan w:val="3"/>
            <w:vAlign w:val="center"/>
          </w:tcPr>
          <w:p w14:paraId="640172F3">
            <w:pPr>
              <w:spacing w:line="244" w:lineRule="exact"/>
              <w:jc w:val="center"/>
              <w:rPr>
                <w:rFonts w:ascii="Times New Roman" w:eastAsia="仿宋"/>
                <w:sz w:val="20"/>
              </w:rPr>
            </w:pPr>
            <w:r>
              <w:rPr>
                <w:rFonts w:ascii="Times New Roman" w:eastAsia="仿宋"/>
                <w:sz w:val="20"/>
              </w:rPr>
              <w:t>二类区√</w:t>
            </w:r>
          </w:p>
        </w:tc>
        <w:tc>
          <w:tcPr>
            <w:tcW w:w="1418" w:type="dxa"/>
            <w:gridSpan w:val="2"/>
            <w:vAlign w:val="center"/>
          </w:tcPr>
          <w:p w14:paraId="43F1B3D8">
            <w:pPr>
              <w:spacing w:line="244" w:lineRule="exact"/>
              <w:jc w:val="center"/>
              <w:rPr>
                <w:rFonts w:ascii="Times New Roman" w:eastAsia="仿宋"/>
                <w:sz w:val="20"/>
              </w:rPr>
            </w:pPr>
            <w:r>
              <w:rPr>
                <w:rFonts w:ascii="Times New Roman" w:eastAsia="仿宋"/>
                <w:sz w:val="20"/>
              </w:rPr>
              <w:t>一类区和二类区□</w:t>
            </w:r>
          </w:p>
        </w:tc>
      </w:tr>
      <w:tr w14:paraId="6AAA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F6C0E19">
            <w:pPr>
              <w:spacing w:line="244" w:lineRule="exact"/>
              <w:jc w:val="center"/>
              <w:rPr>
                <w:rFonts w:ascii="Times New Roman" w:eastAsia="仿宋"/>
                <w:sz w:val="20"/>
              </w:rPr>
            </w:pPr>
          </w:p>
        </w:tc>
        <w:tc>
          <w:tcPr>
            <w:tcW w:w="1418" w:type="dxa"/>
            <w:vAlign w:val="center"/>
          </w:tcPr>
          <w:p w14:paraId="2DBB361F">
            <w:pPr>
              <w:spacing w:line="244" w:lineRule="exact"/>
              <w:jc w:val="center"/>
              <w:rPr>
                <w:rFonts w:ascii="Times New Roman" w:eastAsia="仿宋"/>
                <w:sz w:val="20"/>
              </w:rPr>
            </w:pPr>
            <w:r>
              <w:rPr>
                <w:rFonts w:ascii="Times New Roman" w:eastAsia="仿宋"/>
                <w:sz w:val="20"/>
              </w:rPr>
              <w:t>评价基准年</w:t>
            </w:r>
          </w:p>
        </w:tc>
        <w:tc>
          <w:tcPr>
            <w:tcW w:w="7796" w:type="dxa"/>
            <w:gridSpan w:val="12"/>
            <w:vAlign w:val="center"/>
          </w:tcPr>
          <w:p w14:paraId="409F96E8">
            <w:pPr>
              <w:spacing w:line="244" w:lineRule="exact"/>
              <w:jc w:val="center"/>
              <w:rPr>
                <w:rFonts w:ascii="Times New Roman" w:eastAsia="仿宋"/>
                <w:sz w:val="20"/>
              </w:rPr>
            </w:pPr>
            <w:r>
              <w:rPr>
                <w:rFonts w:ascii="Times New Roman" w:eastAsia="仿宋"/>
                <w:sz w:val="20"/>
              </w:rPr>
              <w:t>（202</w:t>
            </w:r>
            <w:r>
              <w:rPr>
                <w:rFonts w:hint="eastAsia" w:ascii="Times New Roman" w:eastAsia="仿宋"/>
                <w:sz w:val="20"/>
              </w:rPr>
              <w:t>2</w:t>
            </w:r>
            <w:r>
              <w:rPr>
                <w:rFonts w:ascii="Times New Roman" w:eastAsia="仿宋"/>
                <w:sz w:val="20"/>
              </w:rPr>
              <w:t>）年</w:t>
            </w:r>
          </w:p>
        </w:tc>
      </w:tr>
      <w:tr w14:paraId="7DC8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1BD670C">
            <w:pPr>
              <w:spacing w:line="244" w:lineRule="exact"/>
              <w:jc w:val="center"/>
              <w:rPr>
                <w:rFonts w:ascii="Times New Roman" w:eastAsia="仿宋"/>
                <w:sz w:val="20"/>
              </w:rPr>
            </w:pPr>
          </w:p>
        </w:tc>
        <w:tc>
          <w:tcPr>
            <w:tcW w:w="1418" w:type="dxa"/>
            <w:vAlign w:val="center"/>
          </w:tcPr>
          <w:p w14:paraId="5CCF9759">
            <w:pPr>
              <w:spacing w:line="244" w:lineRule="exact"/>
              <w:jc w:val="center"/>
              <w:rPr>
                <w:rFonts w:ascii="Times New Roman" w:eastAsia="仿宋"/>
                <w:sz w:val="20"/>
              </w:rPr>
            </w:pPr>
            <w:r>
              <w:rPr>
                <w:rFonts w:ascii="Times New Roman" w:eastAsia="仿宋"/>
                <w:sz w:val="20"/>
              </w:rPr>
              <w:t>环境空气质量现状调查数据来源</w:t>
            </w:r>
          </w:p>
        </w:tc>
        <w:tc>
          <w:tcPr>
            <w:tcW w:w="4394" w:type="dxa"/>
            <w:gridSpan w:val="7"/>
            <w:vAlign w:val="center"/>
          </w:tcPr>
          <w:p w14:paraId="2EEB1324">
            <w:pPr>
              <w:spacing w:line="244" w:lineRule="exact"/>
              <w:jc w:val="center"/>
              <w:rPr>
                <w:rFonts w:ascii="Times New Roman" w:eastAsia="仿宋"/>
                <w:sz w:val="20"/>
              </w:rPr>
            </w:pPr>
            <w:r>
              <w:rPr>
                <w:rFonts w:ascii="Times New Roman" w:eastAsia="仿宋"/>
                <w:sz w:val="20"/>
              </w:rPr>
              <w:t>长期例行监测数据□</w:t>
            </w:r>
          </w:p>
        </w:tc>
        <w:tc>
          <w:tcPr>
            <w:tcW w:w="1984" w:type="dxa"/>
            <w:gridSpan w:val="3"/>
            <w:vAlign w:val="center"/>
          </w:tcPr>
          <w:p w14:paraId="1E49F958">
            <w:pPr>
              <w:spacing w:line="244" w:lineRule="exact"/>
              <w:jc w:val="center"/>
              <w:rPr>
                <w:rFonts w:ascii="Times New Roman" w:eastAsia="仿宋"/>
                <w:sz w:val="20"/>
              </w:rPr>
            </w:pPr>
            <w:r>
              <w:rPr>
                <w:rFonts w:ascii="Times New Roman" w:eastAsia="仿宋"/>
                <w:sz w:val="20"/>
              </w:rPr>
              <w:t>主管部门发布的数据√</w:t>
            </w:r>
          </w:p>
        </w:tc>
        <w:tc>
          <w:tcPr>
            <w:tcW w:w="1418" w:type="dxa"/>
            <w:gridSpan w:val="2"/>
            <w:vAlign w:val="center"/>
          </w:tcPr>
          <w:p w14:paraId="269AF0CA">
            <w:pPr>
              <w:spacing w:line="244" w:lineRule="exact"/>
              <w:jc w:val="center"/>
              <w:rPr>
                <w:rFonts w:ascii="Times New Roman" w:eastAsia="仿宋"/>
                <w:sz w:val="20"/>
              </w:rPr>
            </w:pPr>
            <w:r>
              <w:rPr>
                <w:rFonts w:ascii="Times New Roman" w:eastAsia="仿宋"/>
                <w:sz w:val="20"/>
              </w:rPr>
              <w:t>现状补充监测√</w:t>
            </w:r>
          </w:p>
        </w:tc>
      </w:tr>
      <w:tr w14:paraId="63BD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A2548A1">
            <w:pPr>
              <w:spacing w:line="244" w:lineRule="exact"/>
              <w:jc w:val="center"/>
              <w:rPr>
                <w:rFonts w:ascii="Times New Roman" w:eastAsia="仿宋"/>
                <w:sz w:val="20"/>
              </w:rPr>
            </w:pPr>
          </w:p>
        </w:tc>
        <w:tc>
          <w:tcPr>
            <w:tcW w:w="1418" w:type="dxa"/>
            <w:vAlign w:val="center"/>
          </w:tcPr>
          <w:p w14:paraId="0EE1D18E">
            <w:pPr>
              <w:spacing w:line="244" w:lineRule="exact"/>
              <w:jc w:val="center"/>
              <w:rPr>
                <w:rFonts w:ascii="Times New Roman" w:eastAsia="仿宋"/>
                <w:sz w:val="20"/>
              </w:rPr>
            </w:pPr>
            <w:r>
              <w:rPr>
                <w:rFonts w:ascii="Times New Roman" w:eastAsia="仿宋"/>
                <w:sz w:val="20"/>
              </w:rPr>
              <w:t>现状评价</w:t>
            </w:r>
          </w:p>
        </w:tc>
        <w:tc>
          <w:tcPr>
            <w:tcW w:w="4394" w:type="dxa"/>
            <w:gridSpan w:val="7"/>
            <w:vAlign w:val="center"/>
          </w:tcPr>
          <w:p w14:paraId="3910636C">
            <w:pPr>
              <w:spacing w:line="244" w:lineRule="exact"/>
              <w:jc w:val="center"/>
              <w:rPr>
                <w:rFonts w:ascii="Times New Roman" w:eastAsia="仿宋"/>
                <w:sz w:val="20"/>
              </w:rPr>
            </w:pPr>
            <w:r>
              <w:rPr>
                <w:rFonts w:ascii="Times New Roman" w:eastAsia="仿宋"/>
                <w:sz w:val="20"/>
              </w:rPr>
              <w:t>达标区□</w:t>
            </w:r>
          </w:p>
        </w:tc>
        <w:tc>
          <w:tcPr>
            <w:tcW w:w="3402" w:type="dxa"/>
            <w:gridSpan w:val="5"/>
            <w:vAlign w:val="center"/>
          </w:tcPr>
          <w:p w14:paraId="22F75528">
            <w:pPr>
              <w:spacing w:line="244" w:lineRule="exact"/>
              <w:jc w:val="center"/>
              <w:rPr>
                <w:rFonts w:ascii="Times New Roman" w:eastAsia="仿宋"/>
                <w:sz w:val="20"/>
              </w:rPr>
            </w:pPr>
            <w:r>
              <w:rPr>
                <w:rFonts w:ascii="Times New Roman" w:eastAsia="仿宋"/>
                <w:sz w:val="20"/>
              </w:rPr>
              <w:t>不达标区√</w:t>
            </w:r>
          </w:p>
        </w:tc>
      </w:tr>
      <w:tr w14:paraId="0D14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7FF3EDE">
            <w:pPr>
              <w:spacing w:line="244" w:lineRule="exact"/>
              <w:jc w:val="center"/>
              <w:rPr>
                <w:rFonts w:ascii="Times New Roman" w:eastAsia="仿宋"/>
                <w:sz w:val="20"/>
              </w:rPr>
            </w:pPr>
            <w:r>
              <w:rPr>
                <w:rFonts w:ascii="Times New Roman" w:eastAsia="仿宋"/>
                <w:sz w:val="20"/>
              </w:rPr>
              <w:t>污染源调查</w:t>
            </w:r>
          </w:p>
        </w:tc>
        <w:tc>
          <w:tcPr>
            <w:tcW w:w="1418" w:type="dxa"/>
            <w:vAlign w:val="center"/>
          </w:tcPr>
          <w:p w14:paraId="44F52702">
            <w:pPr>
              <w:spacing w:line="244" w:lineRule="exact"/>
              <w:jc w:val="center"/>
              <w:rPr>
                <w:rFonts w:ascii="Times New Roman" w:eastAsia="仿宋"/>
                <w:sz w:val="20"/>
              </w:rPr>
            </w:pPr>
            <w:r>
              <w:rPr>
                <w:rFonts w:ascii="Times New Roman" w:eastAsia="仿宋"/>
                <w:sz w:val="20"/>
              </w:rPr>
              <w:t>调查内容</w:t>
            </w:r>
          </w:p>
        </w:tc>
        <w:tc>
          <w:tcPr>
            <w:tcW w:w="2976" w:type="dxa"/>
            <w:gridSpan w:val="5"/>
            <w:vAlign w:val="center"/>
          </w:tcPr>
          <w:p w14:paraId="426B960D">
            <w:pPr>
              <w:spacing w:line="244" w:lineRule="exact"/>
              <w:jc w:val="center"/>
              <w:rPr>
                <w:rFonts w:ascii="Times New Roman" w:eastAsia="仿宋"/>
                <w:sz w:val="20"/>
              </w:rPr>
            </w:pPr>
            <w:r>
              <w:rPr>
                <w:rFonts w:ascii="Times New Roman" w:eastAsia="仿宋"/>
                <w:sz w:val="20"/>
              </w:rPr>
              <w:t>本项目正常排放源√</w:t>
            </w:r>
          </w:p>
          <w:p w14:paraId="77D0645A">
            <w:pPr>
              <w:spacing w:line="244" w:lineRule="exact"/>
              <w:jc w:val="center"/>
              <w:rPr>
                <w:rFonts w:ascii="Times New Roman" w:eastAsia="仿宋"/>
                <w:sz w:val="20"/>
              </w:rPr>
            </w:pPr>
            <w:r>
              <w:rPr>
                <w:rFonts w:ascii="Times New Roman" w:eastAsia="仿宋"/>
                <w:sz w:val="20"/>
              </w:rPr>
              <w:t>本项目非正常排放源√</w:t>
            </w:r>
          </w:p>
          <w:p w14:paraId="64EE308A">
            <w:pPr>
              <w:spacing w:line="244" w:lineRule="exact"/>
              <w:jc w:val="center"/>
              <w:rPr>
                <w:rFonts w:ascii="Times New Roman" w:eastAsia="仿宋"/>
                <w:sz w:val="20"/>
              </w:rPr>
            </w:pPr>
            <w:r>
              <w:rPr>
                <w:rFonts w:ascii="Times New Roman" w:eastAsia="仿宋"/>
                <w:sz w:val="20"/>
              </w:rPr>
              <w:t>现有污染源□</w:t>
            </w:r>
          </w:p>
        </w:tc>
        <w:tc>
          <w:tcPr>
            <w:tcW w:w="1418" w:type="dxa"/>
            <w:gridSpan w:val="2"/>
            <w:vAlign w:val="center"/>
          </w:tcPr>
          <w:p w14:paraId="68F6B0ED">
            <w:pPr>
              <w:spacing w:line="244" w:lineRule="exact"/>
              <w:jc w:val="center"/>
              <w:rPr>
                <w:rFonts w:ascii="Times New Roman" w:eastAsia="仿宋"/>
                <w:sz w:val="20"/>
              </w:rPr>
            </w:pPr>
            <w:r>
              <w:rPr>
                <w:rFonts w:ascii="Times New Roman" w:eastAsia="仿宋"/>
                <w:sz w:val="20"/>
              </w:rPr>
              <w:t>拟替代的污染源√</w:t>
            </w:r>
          </w:p>
        </w:tc>
        <w:tc>
          <w:tcPr>
            <w:tcW w:w="1984" w:type="dxa"/>
            <w:gridSpan w:val="3"/>
            <w:vAlign w:val="center"/>
          </w:tcPr>
          <w:p w14:paraId="15B2908F">
            <w:pPr>
              <w:spacing w:line="244" w:lineRule="exact"/>
              <w:jc w:val="center"/>
              <w:rPr>
                <w:rFonts w:ascii="Times New Roman" w:eastAsia="仿宋"/>
                <w:sz w:val="20"/>
              </w:rPr>
            </w:pPr>
            <w:r>
              <w:rPr>
                <w:rFonts w:ascii="Times New Roman" w:eastAsia="仿宋"/>
                <w:sz w:val="20"/>
              </w:rPr>
              <w:t>其他在建、拟建项目污染源□</w:t>
            </w:r>
          </w:p>
        </w:tc>
        <w:tc>
          <w:tcPr>
            <w:tcW w:w="1418" w:type="dxa"/>
            <w:gridSpan w:val="2"/>
            <w:vAlign w:val="center"/>
          </w:tcPr>
          <w:p w14:paraId="5A2C3771">
            <w:pPr>
              <w:spacing w:line="244" w:lineRule="exact"/>
              <w:jc w:val="center"/>
              <w:rPr>
                <w:rFonts w:ascii="Times New Roman" w:eastAsia="仿宋"/>
                <w:sz w:val="20"/>
              </w:rPr>
            </w:pPr>
            <w:r>
              <w:rPr>
                <w:rFonts w:ascii="Times New Roman" w:eastAsia="仿宋"/>
                <w:sz w:val="20"/>
              </w:rPr>
              <w:t>区域污染源□</w:t>
            </w:r>
          </w:p>
        </w:tc>
      </w:tr>
      <w:tr w14:paraId="6059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484E6E2C">
            <w:pPr>
              <w:spacing w:line="244" w:lineRule="exact"/>
              <w:jc w:val="center"/>
              <w:rPr>
                <w:rFonts w:ascii="Times New Roman" w:eastAsia="仿宋"/>
                <w:sz w:val="20"/>
              </w:rPr>
            </w:pPr>
            <w:r>
              <w:rPr>
                <w:rFonts w:ascii="Times New Roman" w:eastAsia="仿宋"/>
                <w:sz w:val="20"/>
              </w:rPr>
              <w:t>大气环境预测与评价</w:t>
            </w:r>
          </w:p>
        </w:tc>
        <w:tc>
          <w:tcPr>
            <w:tcW w:w="1418" w:type="dxa"/>
            <w:vAlign w:val="center"/>
          </w:tcPr>
          <w:p w14:paraId="3F712905">
            <w:pPr>
              <w:spacing w:line="244" w:lineRule="exact"/>
              <w:jc w:val="center"/>
              <w:rPr>
                <w:rFonts w:ascii="Times New Roman" w:eastAsia="仿宋"/>
                <w:sz w:val="20"/>
              </w:rPr>
            </w:pPr>
            <w:r>
              <w:rPr>
                <w:rFonts w:ascii="Times New Roman" w:eastAsia="仿宋"/>
                <w:sz w:val="20"/>
              </w:rPr>
              <w:t>预测模型</w:t>
            </w:r>
          </w:p>
        </w:tc>
        <w:tc>
          <w:tcPr>
            <w:tcW w:w="1134" w:type="dxa"/>
            <w:vAlign w:val="center"/>
          </w:tcPr>
          <w:p w14:paraId="6ED96AA1">
            <w:pPr>
              <w:spacing w:line="244" w:lineRule="exact"/>
              <w:jc w:val="center"/>
              <w:rPr>
                <w:rFonts w:ascii="Times New Roman" w:eastAsia="仿宋"/>
                <w:sz w:val="20"/>
              </w:rPr>
            </w:pPr>
            <w:r>
              <w:rPr>
                <w:rFonts w:ascii="Times New Roman" w:eastAsia="仿宋"/>
                <w:sz w:val="20"/>
              </w:rPr>
              <w:t>AERMOD□</w:t>
            </w:r>
          </w:p>
        </w:tc>
        <w:tc>
          <w:tcPr>
            <w:tcW w:w="823" w:type="dxa"/>
            <w:gridSpan w:val="2"/>
            <w:vAlign w:val="center"/>
          </w:tcPr>
          <w:p w14:paraId="3A8E08C0">
            <w:pPr>
              <w:spacing w:line="244" w:lineRule="exact"/>
              <w:jc w:val="center"/>
              <w:rPr>
                <w:rFonts w:ascii="Times New Roman" w:eastAsia="仿宋"/>
                <w:sz w:val="20"/>
              </w:rPr>
            </w:pPr>
            <w:r>
              <w:rPr>
                <w:rFonts w:ascii="Times New Roman" w:eastAsia="仿宋"/>
                <w:sz w:val="20"/>
              </w:rPr>
              <w:t>ADMS□</w:t>
            </w:r>
          </w:p>
        </w:tc>
        <w:tc>
          <w:tcPr>
            <w:tcW w:w="1019" w:type="dxa"/>
            <w:gridSpan w:val="2"/>
            <w:vAlign w:val="center"/>
          </w:tcPr>
          <w:p w14:paraId="08B7F435">
            <w:pPr>
              <w:spacing w:line="244" w:lineRule="exact"/>
              <w:jc w:val="center"/>
              <w:rPr>
                <w:rFonts w:ascii="Times New Roman" w:eastAsia="仿宋"/>
                <w:sz w:val="20"/>
              </w:rPr>
            </w:pPr>
            <w:r>
              <w:rPr>
                <w:rFonts w:ascii="Times New Roman" w:eastAsia="仿宋"/>
                <w:sz w:val="20"/>
              </w:rPr>
              <w:t>AUSTAL2000□</w:t>
            </w:r>
          </w:p>
        </w:tc>
        <w:tc>
          <w:tcPr>
            <w:tcW w:w="1418" w:type="dxa"/>
            <w:gridSpan w:val="2"/>
            <w:vAlign w:val="center"/>
          </w:tcPr>
          <w:p w14:paraId="04562242">
            <w:pPr>
              <w:spacing w:line="244" w:lineRule="exact"/>
              <w:jc w:val="center"/>
              <w:rPr>
                <w:rFonts w:ascii="Times New Roman" w:eastAsia="仿宋"/>
                <w:sz w:val="20"/>
              </w:rPr>
            </w:pPr>
            <w:r>
              <w:rPr>
                <w:rFonts w:ascii="Times New Roman" w:eastAsia="仿宋"/>
                <w:sz w:val="20"/>
              </w:rPr>
              <w:t>EDMD/AEDT□</w:t>
            </w:r>
          </w:p>
        </w:tc>
        <w:tc>
          <w:tcPr>
            <w:tcW w:w="1134" w:type="dxa"/>
            <w:vAlign w:val="center"/>
          </w:tcPr>
          <w:p w14:paraId="78BB05C5">
            <w:pPr>
              <w:spacing w:line="244" w:lineRule="exact"/>
              <w:jc w:val="center"/>
              <w:rPr>
                <w:rFonts w:ascii="Times New Roman" w:eastAsia="仿宋"/>
                <w:sz w:val="20"/>
              </w:rPr>
            </w:pPr>
            <w:r>
              <w:rPr>
                <w:rFonts w:ascii="Times New Roman" w:eastAsia="仿宋"/>
                <w:sz w:val="20"/>
              </w:rPr>
              <w:t>CALPUFF□</w:t>
            </w:r>
          </w:p>
        </w:tc>
        <w:tc>
          <w:tcPr>
            <w:tcW w:w="850" w:type="dxa"/>
            <w:gridSpan w:val="2"/>
            <w:vAlign w:val="center"/>
          </w:tcPr>
          <w:p w14:paraId="60E3F1FC">
            <w:pPr>
              <w:spacing w:line="244" w:lineRule="exact"/>
              <w:jc w:val="center"/>
              <w:rPr>
                <w:rFonts w:ascii="Times New Roman" w:eastAsia="仿宋"/>
                <w:sz w:val="20"/>
              </w:rPr>
            </w:pPr>
            <w:r>
              <w:rPr>
                <w:rFonts w:ascii="Times New Roman" w:eastAsia="仿宋"/>
                <w:sz w:val="20"/>
              </w:rPr>
              <w:t>网络模型□</w:t>
            </w:r>
          </w:p>
        </w:tc>
        <w:tc>
          <w:tcPr>
            <w:tcW w:w="1418" w:type="dxa"/>
            <w:gridSpan w:val="2"/>
            <w:vAlign w:val="center"/>
          </w:tcPr>
          <w:p w14:paraId="4A5EF41D">
            <w:pPr>
              <w:spacing w:line="244" w:lineRule="exact"/>
              <w:jc w:val="center"/>
              <w:rPr>
                <w:rFonts w:ascii="Times New Roman" w:eastAsia="仿宋"/>
                <w:sz w:val="20"/>
              </w:rPr>
            </w:pPr>
            <w:r>
              <w:rPr>
                <w:rFonts w:ascii="Times New Roman" w:eastAsia="仿宋"/>
                <w:sz w:val="20"/>
              </w:rPr>
              <w:t>其他□</w:t>
            </w:r>
          </w:p>
        </w:tc>
      </w:tr>
      <w:tr w14:paraId="68B5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A5A72CF">
            <w:pPr>
              <w:spacing w:line="244" w:lineRule="exact"/>
              <w:jc w:val="center"/>
              <w:rPr>
                <w:rFonts w:ascii="Times New Roman" w:eastAsia="仿宋"/>
                <w:sz w:val="20"/>
              </w:rPr>
            </w:pPr>
          </w:p>
        </w:tc>
        <w:tc>
          <w:tcPr>
            <w:tcW w:w="1418" w:type="dxa"/>
            <w:vAlign w:val="center"/>
          </w:tcPr>
          <w:p w14:paraId="33128726">
            <w:pPr>
              <w:spacing w:line="244" w:lineRule="exact"/>
              <w:jc w:val="center"/>
              <w:rPr>
                <w:rFonts w:ascii="Times New Roman" w:eastAsia="仿宋"/>
                <w:sz w:val="20"/>
              </w:rPr>
            </w:pPr>
            <w:r>
              <w:rPr>
                <w:rFonts w:ascii="Times New Roman" w:eastAsia="仿宋"/>
                <w:sz w:val="20"/>
              </w:rPr>
              <w:t>预测范围</w:t>
            </w:r>
          </w:p>
        </w:tc>
        <w:tc>
          <w:tcPr>
            <w:tcW w:w="4394" w:type="dxa"/>
            <w:gridSpan w:val="7"/>
            <w:vAlign w:val="center"/>
          </w:tcPr>
          <w:p w14:paraId="48A63AE1">
            <w:pPr>
              <w:spacing w:line="244" w:lineRule="exact"/>
              <w:jc w:val="center"/>
              <w:rPr>
                <w:rFonts w:ascii="Times New Roman" w:eastAsia="仿宋"/>
                <w:sz w:val="20"/>
              </w:rPr>
            </w:pPr>
            <w:r>
              <w:rPr>
                <w:rFonts w:ascii="Times New Roman" w:eastAsia="仿宋"/>
                <w:sz w:val="20"/>
              </w:rPr>
              <w:t>边长=50km□</w:t>
            </w:r>
          </w:p>
        </w:tc>
        <w:tc>
          <w:tcPr>
            <w:tcW w:w="1984" w:type="dxa"/>
            <w:gridSpan w:val="3"/>
            <w:vAlign w:val="center"/>
          </w:tcPr>
          <w:p w14:paraId="68E643DD">
            <w:pPr>
              <w:spacing w:line="244" w:lineRule="exact"/>
              <w:jc w:val="center"/>
              <w:rPr>
                <w:rFonts w:ascii="Times New Roman" w:eastAsia="仿宋"/>
                <w:sz w:val="20"/>
              </w:rPr>
            </w:pPr>
            <w:r>
              <w:rPr>
                <w:rFonts w:ascii="Times New Roman" w:eastAsia="仿宋"/>
                <w:sz w:val="20"/>
              </w:rPr>
              <w:t>边长5~50km□</w:t>
            </w:r>
          </w:p>
        </w:tc>
        <w:tc>
          <w:tcPr>
            <w:tcW w:w="1418" w:type="dxa"/>
            <w:gridSpan w:val="2"/>
            <w:vAlign w:val="center"/>
          </w:tcPr>
          <w:p w14:paraId="420F1856">
            <w:pPr>
              <w:spacing w:line="244" w:lineRule="exact"/>
              <w:jc w:val="center"/>
              <w:rPr>
                <w:rFonts w:ascii="Times New Roman" w:eastAsia="仿宋"/>
                <w:sz w:val="20"/>
              </w:rPr>
            </w:pPr>
            <w:r>
              <w:rPr>
                <w:rFonts w:ascii="Times New Roman" w:eastAsia="仿宋"/>
                <w:sz w:val="20"/>
              </w:rPr>
              <w:t>边长=5km</w:t>
            </w:r>
            <w:r>
              <w:rPr>
                <w:rFonts w:hint="eastAsia" w:ascii="Times New Roman" w:eastAsia="仿宋"/>
                <w:sz w:val="20"/>
              </w:rPr>
              <w:t>☑</w:t>
            </w:r>
          </w:p>
        </w:tc>
      </w:tr>
      <w:tr w14:paraId="6EF7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C356501">
            <w:pPr>
              <w:spacing w:line="244" w:lineRule="exact"/>
              <w:jc w:val="center"/>
              <w:rPr>
                <w:rFonts w:ascii="Times New Roman" w:eastAsia="仿宋"/>
                <w:sz w:val="20"/>
              </w:rPr>
            </w:pPr>
          </w:p>
        </w:tc>
        <w:tc>
          <w:tcPr>
            <w:tcW w:w="1418" w:type="dxa"/>
            <w:vAlign w:val="center"/>
          </w:tcPr>
          <w:p w14:paraId="6325538B">
            <w:pPr>
              <w:spacing w:line="244" w:lineRule="exact"/>
              <w:jc w:val="center"/>
              <w:rPr>
                <w:rFonts w:ascii="Times New Roman" w:eastAsia="仿宋"/>
                <w:sz w:val="20"/>
              </w:rPr>
            </w:pPr>
            <w:r>
              <w:rPr>
                <w:rFonts w:ascii="Times New Roman" w:eastAsia="仿宋"/>
                <w:sz w:val="20"/>
              </w:rPr>
              <w:t>预测因子</w:t>
            </w:r>
          </w:p>
        </w:tc>
        <w:tc>
          <w:tcPr>
            <w:tcW w:w="4394" w:type="dxa"/>
            <w:gridSpan w:val="7"/>
            <w:vAlign w:val="center"/>
          </w:tcPr>
          <w:p w14:paraId="17DD25FA">
            <w:pPr>
              <w:spacing w:line="244" w:lineRule="exact"/>
              <w:jc w:val="center"/>
              <w:rPr>
                <w:rFonts w:ascii="Times New Roman" w:eastAsia="仿宋"/>
                <w:sz w:val="20"/>
              </w:rPr>
            </w:pPr>
            <w:r>
              <w:rPr>
                <w:rFonts w:ascii="Times New Roman" w:eastAsia="仿宋"/>
                <w:sz w:val="20"/>
              </w:rPr>
              <w:t>预测因子</w:t>
            </w:r>
          </w:p>
        </w:tc>
        <w:tc>
          <w:tcPr>
            <w:tcW w:w="3402" w:type="dxa"/>
            <w:gridSpan w:val="5"/>
            <w:vAlign w:val="center"/>
          </w:tcPr>
          <w:p w14:paraId="0A642198">
            <w:pPr>
              <w:spacing w:line="244" w:lineRule="exact"/>
              <w:jc w:val="center"/>
              <w:rPr>
                <w:rFonts w:ascii="Times New Roman" w:eastAsia="仿宋"/>
                <w:sz w:val="20"/>
              </w:rPr>
            </w:pPr>
            <w:r>
              <w:rPr>
                <w:rFonts w:ascii="Times New Roman" w:eastAsia="仿宋"/>
                <w:sz w:val="20"/>
              </w:rPr>
              <w:t>包括二次PM</w:t>
            </w:r>
            <w:r>
              <w:rPr>
                <w:rFonts w:ascii="Times New Roman" w:eastAsia="仿宋"/>
                <w:sz w:val="20"/>
                <w:vertAlign w:val="subscript"/>
              </w:rPr>
              <w:t>2.5</w:t>
            </w:r>
            <w:r>
              <w:rPr>
                <w:rFonts w:ascii="Times New Roman" w:eastAsia="仿宋"/>
                <w:sz w:val="20"/>
              </w:rPr>
              <w:t>□</w:t>
            </w:r>
          </w:p>
          <w:p w14:paraId="4353381B">
            <w:pPr>
              <w:spacing w:line="244" w:lineRule="exact"/>
              <w:jc w:val="center"/>
              <w:rPr>
                <w:rFonts w:ascii="Times New Roman" w:eastAsia="仿宋"/>
                <w:sz w:val="20"/>
              </w:rPr>
            </w:pPr>
            <w:r>
              <w:rPr>
                <w:rFonts w:ascii="Times New Roman" w:eastAsia="仿宋"/>
                <w:sz w:val="20"/>
              </w:rPr>
              <w:t>不包括二次PM</w:t>
            </w:r>
            <w:r>
              <w:rPr>
                <w:rFonts w:ascii="Times New Roman" w:eastAsia="仿宋"/>
                <w:sz w:val="20"/>
                <w:vertAlign w:val="subscript"/>
              </w:rPr>
              <w:t>2.5</w:t>
            </w:r>
            <w:r>
              <w:rPr>
                <w:rFonts w:ascii="Times New Roman" w:eastAsia="仿宋"/>
                <w:sz w:val="20"/>
              </w:rPr>
              <w:t>□</w:t>
            </w:r>
          </w:p>
        </w:tc>
      </w:tr>
      <w:tr w14:paraId="1F2F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F5FAF6F">
            <w:pPr>
              <w:spacing w:line="244" w:lineRule="exact"/>
              <w:jc w:val="center"/>
              <w:rPr>
                <w:rFonts w:ascii="Times New Roman" w:eastAsia="仿宋"/>
                <w:sz w:val="20"/>
              </w:rPr>
            </w:pPr>
          </w:p>
        </w:tc>
        <w:tc>
          <w:tcPr>
            <w:tcW w:w="1418" w:type="dxa"/>
            <w:vAlign w:val="center"/>
          </w:tcPr>
          <w:p w14:paraId="5471E529">
            <w:pPr>
              <w:spacing w:line="244" w:lineRule="exact"/>
              <w:jc w:val="center"/>
              <w:rPr>
                <w:rFonts w:ascii="Times New Roman" w:eastAsia="仿宋"/>
                <w:sz w:val="20"/>
              </w:rPr>
            </w:pPr>
            <w:r>
              <w:rPr>
                <w:rFonts w:ascii="Times New Roman" w:eastAsia="仿宋"/>
                <w:sz w:val="20"/>
              </w:rPr>
              <w:t>正常排放短期浓度贡献值</w:t>
            </w:r>
          </w:p>
        </w:tc>
        <w:tc>
          <w:tcPr>
            <w:tcW w:w="4394" w:type="dxa"/>
            <w:gridSpan w:val="7"/>
            <w:vAlign w:val="center"/>
          </w:tcPr>
          <w:p w14:paraId="238AA051">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最大占标率≤100%□</w:t>
            </w:r>
          </w:p>
        </w:tc>
        <w:tc>
          <w:tcPr>
            <w:tcW w:w="3402" w:type="dxa"/>
            <w:gridSpan w:val="5"/>
            <w:vAlign w:val="center"/>
          </w:tcPr>
          <w:p w14:paraId="36AB7571">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最大占标率＞100%□</w:t>
            </w:r>
          </w:p>
        </w:tc>
      </w:tr>
      <w:tr w14:paraId="34D0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1" w:type="dxa"/>
            <w:vMerge w:val="continue"/>
            <w:vAlign w:val="center"/>
          </w:tcPr>
          <w:p w14:paraId="023A84D5">
            <w:pPr>
              <w:spacing w:line="244" w:lineRule="exact"/>
              <w:jc w:val="center"/>
              <w:rPr>
                <w:rFonts w:ascii="Times New Roman" w:eastAsia="仿宋"/>
                <w:sz w:val="20"/>
              </w:rPr>
            </w:pPr>
          </w:p>
        </w:tc>
        <w:tc>
          <w:tcPr>
            <w:tcW w:w="1418" w:type="dxa"/>
            <w:vMerge w:val="restart"/>
            <w:vAlign w:val="center"/>
          </w:tcPr>
          <w:p w14:paraId="5755FFF4">
            <w:pPr>
              <w:spacing w:line="244" w:lineRule="exact"/>
              <w:jc w:val="center"/>
              <w:rPr>
                <w:rFonts w:ascii="Times New Roman" w:eastAsia="仿宋"/>
                <w:sz w:val="20"/>
              </w:rPr>
            </w:pPr>
            <w:r>
              <w:rPr>
                <w:rFonts w:ascii="Times New Roman" w:eastAsia="仿宋"/>
                <w:sz w:val="20"/>
              </w:rPr>
              <w:t>正常排放年均浓度贡献值</w:t>
            </w:r>
          </w:p>
        </w:tc>
        <w:tc>
          <w:tcPr>
            <w:tcW w:w="1823" w:type="dxa"/>
            <w:gridSpan w:val="2"/>
            <w:vAlign w:val="center"/>
          </w:tcPr>
          <w:p w14:paraId="28D1B0D1">
            <w:pPr>
              <w:spacing w:line="244" w:lineRule="exact"/>
              <w:jc w:val="center"/>
              <w:rPr>
                <w:rFonts w:ascii="Times New Roman" w:eastAsia="仿宋"/>
                <w:sz w:val="20"/>
              </w:rPr>
            </w:pPr>
            <w:r>
              <w:rPr>
                <w:rFonts w:ascii="Times New Roman" w:eastAsia="仿宋"/>
                <w:sz w:val="20"/>
              </w:rPr>
              <w:t>一类区</w:t>
            </w:r>
          </w:p>
        </w:tc>
        <w:tc>
          <w:tcPr>
            <w:tcW w:w="2571" w:type="dxa"/>
            <w:gridSpan w:val="5"/>
            <w:vAlign w:val="center"/>
          </w:tcPr>
          <w:p w14:paraId="61917831">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最大占标率≤10%□</w:t>
            </w:r>
          </w:p>
        </w:tc>
        <w:tc>
          <w:tcPr>
            <w:tcW w:w="3402" w:type="dxa"/>
            <w:gridSpan w:val="5"/>
            <w:vAlign w:val="center"/>
          </w:tcPr>
          <w:p w14:paraId="76757793">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最大占标率＞10%□</w:t>
            </w:r>
          </w:p>
        </w:tc>
      </w:tr>
      <w:tr w14:paraId="2E80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51" w:type="dxa"/>
            <w:vMerge w:val="continue"/>
            <w:vAlign w:val="center"/>
          </w:tcPr>
          <w:p w14:paraId="257936E0">
            <w:pPr>
              <w:spacing w:line="244" w:lineRule="exact"/>
              <w:jc w:val="center"/>
              <w:rPr>
                <w:rFonts w:ascii="Times New Roman" w:eastAsia="仿宋"/>
                <w:sz w:val="20"/>
              </w:rPr>
            </w:pPr>
          </w:p>
        </w:tc>
        <w:tc>
          <w:tcPr>
            <w:tcW w:w="1418" w:type="dxa"/>
            <w:vMerge w:val="continue"/>
            <w:vAlign w:val="center"/>
          </w:tcPr>
          <w:p w14:paraId="7B57A5C0">
            <w:pPr>
              <w:spacing w:line="244" w:lineRule="exact"/>
              <w:jc w:val="center"/>
              <w:rPr>
                <w:rFonts w:ascii="Times New Roman" w:eastAsia="仿宋"/>
                <w:sz w:val="20"/>
              </w:rPr>
            </w:pPr>
          </w:p>
        </w:tc>
        <w:tc>
          <w:tcPr>
            <w:tcW w:w="1823" w:type="dxa"/>
            <w:gridSpan w:val="2"/>
            <w:vAlign w:val="center"/>
          </w:tcPr>
          <w:p w14:paraId="6226BA10">
            <w:pPr>
              <w:spacing w:line="244" w:lineRule="exact"/>
              <w:jc w:val="center"/>
              <w:rPr>
                <w:rFonts w:ascii="Times New Roman" w:eastAsia="仿宋"/>
                <w:sz w:val="20"/>
              </w:rPr>
            </w:pPr>
            <w:r>
              <w:rPr>
                <w:rFonts w:ascii="Times New Roman" w:eastAsia="仿宋"/>
                <w:sz w:val="20"/>
              </w:rPr>
              <w:t>二类区</w:t>
            </w:r>
          </w:p>
        </w:tc>
        <w:tc>
          <w:tcPr>
            <w:tcW w:w="2571" w:type="dxa"/>
            <w:gridSpan w:val="5"/>
            <w:vAlign w:val="center"/>
          </w:tcPr>
          <w:p w14:paraId="448D5D49">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最大占标率≤30%□</w:t>
            </w:r>
          </w:p>
        </w:tc>
        <w:tc>
          <w:tcPr>
            <w:tcW w:w="3402" w:type="dxa"/>
            <w:gridSpan w:val="5"/>
            <w:vAlign w:val="center"/>
          </w:tcPr>
          <w:p w14:paraId="69EE5242">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本项目</w:t>
            </w:r>
            <w:r>
              <w:rPr>
                <w:rFonts w:ascii="Times New Roman" w:eastAsia="仿宋"/>
                <w:sz w:val="20"/>
              </w:rPr>
              <w:t>最大占标率＞30%□</w:t>
            </w:r>
          </w:p>
        </w:tc>
      </w:tr>
      <w:tr w14:paraId="6A06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BEED27C">
            <w:pPr>
              <w:spacing w:line="244" w:lineRule="exact"/>
              <w:jc w:val="center"/>
              <w:rPr>
                <w:rFonts w:ascii="Times New Roman" w:eastAsia="仿宋"/>
                <w:sz w:val="20"/>
              </w:rPr>
            </w:pPr>
          </w:p>
        </w:tc>
        <w:tc>
          <w:tcPr>
            <w:tcW w:w="1418" w:type="dxa"/>
            <w:vAlign w:val="center"/>
          </w:tcPr>
          <w:p w14:paraId="2A0557D4">
            <w:pPr>
              <w:spacing w:line="244" w:lineRule="exact"/>
              <w:jc w:val="center"/>
              <w:rPr>
                <w:rFonts w:ascii="Times New Roman" w:eastAsia="仿宋"/>
                <w:sz w:val="20"/>
              </w:rPr>
            </w:pPr>
            <w:r>
              <w:rPr>
                <w:rFonts w:ascii="Times New Roman" w:eastAsia="仿宋"/>
                <w:sz w:val="20"/>
              </w:rPr>
              <w:t>非正常排放1h浓度贡献值</w:t>
            </w:r>
          </w:p>
        </w:tc>
        <w:tc>
          <w:tcPr>
            <w:tcW w:w="2432" w:type="dxa"/>
            <w:gridSpan w:val="4"/>
            <w:vAlign w:val="center"/>
          </w:tcPr>
          <w:p w14:paraId="09B664D3">
            <w:pPr>
              <w:spacing w:line="244" w:lineRule="exact"/>
              <w:jc w:val="center"/>
              <w:rPr>
                <w:rFonts w:ascii="Times New Roman" w:eastAsia="仿宋"/>
                <w:sz w:val="20"/>
              </w:rPr>
            </w:pPr>
            <w:r>
              <w:rPr>
                <w:rFonts w:ascii="Times New Roman" w:eastAsia="仿宋"/>
                <w:sz w:val="20"/>
              </w:rPr>
              <w:t>非正常持续时长（≤1）h</w:t>
            </w:r>
          </w:p>
        </w:tc>
        <w:tc>
          <w:tcPr>
            <w:tcW w:w="1962" w:type="dxa"/>
            <w:gridSpan w:val="3"/>
            <w:vAlign w:val="center"/>
          </w:tcPr>
          <w:p w14:paraId="6606CC29">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非正常</w:t>
            </w:r>
            <w:r>
              <w:rPr>
                <w:rFonts w:ascii="Times New Roman" w:eastAsia="仿宋"/>
                <w:sz w:val="20"/>
              </w:rPr>
              <w:t>占标率≤100%□</w:t>
            </w:r>
          </w:p>
        </w:tc>
        <w:tc>
          <w:tcPr>
            <w:tcW w:w="3402" w:type="dxa"/>
            <w:gridSpan w:val="5"/>
            <w:vAlign w:val="center"/>
          </w:tcPr>
          <w:p w14:paraId="7926A8E6">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非正常</w:t>
            </w:r>
            <w:r>
              <w:rPr>
                <w:rFonts w:ascii="Times New Roman" w:eastAsia="仿宋"/>
                <w:sz w:val="20"/>
              </w:rPr>
              <w:t>占标率＞100%□</w:t>
            </w:r>
          </w:p>
        </w:tc>
      </w:tr>
      <w:tr w14:paraId="4242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5E427E7">
            <w:pPr>
              <w:spacing w:line="244" w:lineRule="exact"/>
              <w:jc w:val="center"/>
              <w:rPr>
                <w:rFonts w:ascii="Times New Roman" w:eastAsia="仿宋"/>
                <w:sz w:val="20"/>
              </w:rPr>
            </w:pPr>
          </w:p>
        </w:tc>
        <w:tc>
          <w:tcPr>
            <w:tcW w:w="1418" w:type="dxa"/>
            <w:vAlign w:val="center"/>
          </w:tcPr>
          <w:p w14:paraId="23501A12">
            <w:pPr>
              <w:spacing w:line="244" w:lineRule="exact"/>
              <w:jc w:val="center"/>
              <w:rPr>
                <w:rFonts w:ascii="Times New Roman" w:eastAsia="仿宋"/>
                <w:sz w:val="20"/>
              </w:rPr>
            </w:pPr>
            <w:r>
              <w:rPr>
                <w:rFonts w:ascii="Times New Roman" w:eastAsia="仿宋"/>
                <w:sz w:val="20"/>
              </w:rPr>
              <w:t>保证率日平均浓度和年平均浓度叠加值</w:t>
            </w:r>
          </w:p>
        </w:tc>
        <w:tc>
          <w:tcPr>
            <w:tcW w:w="4394" w:type="dxa"/>
            <w:gridSpan w:val="7"/>
            <w:vAlign w:val="center"/>
          </w:tcPr>
          <w:p w14:paraId="510431ED">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叠加</w:t>
            </w:r>
            <w:r>
              <w:rPr>
                <w:rFonts w:ascii="Times New Roman" w:eastAsia="仿宋"/>
                <w:sz w:val="20"/>
              </w:rPr>
              <w:t>达标□</w:t>
            </w:r>
          </w:p>
        </w:tc>
        <w:tc>
          <w:tcPr>
            <w:tcW w:w="3402" w:type="dxa"/>
            <w:gridSpan w:val="5"/>
            <w:vAlign w:val="center"/>
          </w:tcPr>
          <w:p w14:paraId="512BD3C5">
            <w:pPr>
              <w:spacing w:line="244" w:lineRule="exact"/>
              <w:jc w:val="center"/>
              <w:rPr>
                <w:rFonts w:ascii="Times New Roman" w:eastAsia="仿宋"/>
                <w:sz w:val="20"/>
              </w:rPr>
            </w:pPr>
            <w:r>
              <w:rPr>
                <w:rFonts w:ascii="Times New Roman" w:eastAsia="仿宋"/>
                <w:sz w:val="20"/>
              </w:rPr>
              <w:t>C</w:t>
            </w:r>
            <w:r>
              <w:rPr>
                <w:rFonts w:ascii="Times New Roman" w:eastAsia="仿宋"/>
                <w:sz w:val="20"/>
                <w:vertAlign w:val="subscript"/>
              </w:rPr>
              <w:t>叠加</w:t>
            </w:r>
            <w:r>
              <w:rPr>
                <w:rFonts w:ascii="Times New Roman" w:eastAsia="仿宋"/>
                <w:sz w:val="20"/>
              </w:rPr>
              <w:t>不达标□</w:t>
            </w:r>
          </w:p>
        </w:tc>
      </w:tr>
      <w:tr w14:paraId="2759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1918ABF">
            <w:pPr>
              <w:spacing w:line="244" w:lineRule="exact"/>
              <w:jc w:val="center"/>
              <w:rPr>
                <w:rFonts w:ascii="Times New Roman" w:eastAsia="仿宋"/>
                <w:sz w:val="20"/>
              </w:rPr>
            </w:pPr>
          </w:p>
        </w:tc>
        <w:tc>
          <w:tcPr>
            <w:tcW w:w="1418" w:type="dxa"/>
            <w:vAlign w:val="center"/>
          </w:tcPr>
          <w:p w14:paraId="06CE1A5F">
            <w:pPr>
              <w:spacing w:line="244" w:lineRule="exact"/>
              <w:jc w:val="center"/>
              <w:rPr>
                <w:rFonts w:ascii="Times New Roman" w:eastAsia="仿宋"/>
                <w:sz w:val="20"/>
              </w:rPr>
            </w:pPr>
            <w:r>
              <w:rPr>
                <w:rFonts w:ascii="Times New Roman" w:eastAsia="仿宋"/>
                <w:sz w:val="20"/>
              </w:rPr>
              <w:t>区域环境质量的整体变化情况</w:t>
            </w:r>
          </w:p>
        </w:tc>
        <w:tc>
          <w:tcPr>
            <w:tcW w:w="4394" w:type="dxa"/>
            <w:gridSpan w:val="7"/>
            <w:vAlign w:val="center"/>
          </w:tcPr>
          <w:p w14:paraId="2FA14810">
            <w:pPr>
              <w:spacing w:line="244" w:lineRule="exact"/>
              <w:jc w:val="center"/>
              <w:rPr>
                <w:rFonts w:ascii="Times New Roman" w:eastAsia="仿宋"/>
                <w:sz w:val="20"/>
              </w:rPr>
            </w:pPr>
            <w:r>
              <w:rPr>
                <w:rFonts w:ascii="Times New Roman" w:eastAsia="仿宋"/>
                <w:sz w:val="20"/>
              </w:rPr>
              <w:t>k≤-20%□</w:t>
            </w:r>
          </w:p>
        </w:tc>
        <w:tc>
          <w:tcPr>
            <w:tcW w:w="3402" w:type="dxa"/>
            <w:gridSpan w:val="5"/>
            <w:vAlign w:val="center"/>
          </w:tcPr>
          <w:p w14:paraId="1604EAA4">
            <w:pPr>
              <w:spacing w:line="244" w:lineRule="exact"/>
              <w:jc w:val="center"/>
              <w:rPr>
                <w:rFonts w:ascii="Times New Roman" w:eastAsia="仿宋"/>
                <w:sz w:val="20"/>
              </w:rPr>
            </w:pPr>
            <w:r>
              <w:rPr>
                <w:rFonts w:ascii="Times New Roman" w:eastAsia="仿宋"/>
                <w:sz w:val="20"/>
              </w:rPr>
              <w:t>K＞-20%□</w:t>
            </w:r>
          </w:p>
        </w:tc>
      </w:tr>
      <w:tr w14:paraId="1BAF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0E54CC5C">
            <w:pPr>
              <w:spacing w:line="244" w:lineRule="exact"/>
              <w:jc w:val="center"/>
              <w:rPr>
                <w:rFonts w:ascii="Times New Roman" w:eastAsia="仿宋"/>
                <w:sz w:val="20"/>
              </w:rPr>
            </w:pPr>
            <w:r>
              <w:rPr>
                <w:rFonts w:ascii="Times New Roman" w:eastAsia="仿宋"/>
                <w:sz w:val="20"/>
              </w:rPr>
              <w:t>环境监测计划</w:t>
            </w:r>
          </w:p>
        </w:tc>
        <w:tc>
          <w:tcPr>
            <w:tcW w:w="1418" w:type="dxa"/>
            <w:vAlign w:val="center"/>
          </w:tcPr>
          <w:p w14:paraId="12DE1E74">
            <w:pPr>
              <w:spacing w:line="244" w:lineRule="exact"/>
              <w:jc w:val="center"/>
              <w:rPr>
                <w:rFonts w:ascii="Times New Roman" w:eastAsia="仿宋"/>
                <w:sz w:val="20"/>
              </w:rPr>
            </w:pPr>
            <w:r>
              <w:rPr>
                <w:rFonts w:ascii="Times New Roman" w:eastAsia="仿宋"/>
                <w:sz w:val="20"/>
              </w:rPr>
              <w:t>污染源监测</w:t>
            </w:r>
          </w:p>
        </w:tc>
        <w:tc>
          <w:tcPr>
            <w:tcW w:w="4394" w:type="dxa"/>
            <w:gridSpan w:val="7"/>
            <w:vAlign w:val="center"/>
          </w:tcPr>
          <w:p w14:paraId="40BC699B">
            <w:pPr>
              <w:spacing w:line="244" w:lineRule="exact"/>
              <w:jc w:val="center"/>
              <w:rPr>
                <w:rFonts w:ascii="Times New Roman" w:eastAsia="仿宋"/>
                <w:sz w:val="20"/>
              </w:rPr>
            </w:pPr>
            <w:r>
              <w:rPr>
                <w:rFonts w:ascii="Times New Roman" w:eastAsia="仿宋"/>
                <w:sz w:val="20"/>
              </w:rPr>
              <w:t>监测因子：（PM</w:t>
            </w:r>
            <w:r>
              <w:rPr>
                <w:rFonts w:ascii="Times New Roman" w:eastAsia="仿宋"/>
                <w:sz w:val="20"/>
                <w:vertAlign w:val="subscript"/>
              </w:rPr>
              <w:t>10</w:t>
            </w:r>
            <w:r>
              <w:rPr>
                <w:rFonts w:ascii="Times New Roman" w:eastAsia="仿宋"/>
                <w:sz w:val="20"/>
              </w:rPr>
              <w:t>、非甲烷总烃</w:t>
            </w:r>
            <w:r>
              <w:rPr>
                <w:rFonts w:hint="eastAsia" w:ascii="Times New Roman" w:eastAsia="仿宋"/>
                <w:sz w:val="20"/>
              </w:rPr>
              <w:t>、二甲苯、二氧化硫、氮氧化物</w:t>
            </w:r>
            <w:r>
              <w:rPr>
                <w:rFonts w:ascii="Times New Roman" w:eastAsia="仿宋"/>
                <w:sz w:val="20"/>
              </w:rPr>
              <w:t>）</w:t>
            </w:r>
          </w:p>
        </w:tc>
        <w:tc>
          <w:tcPr>
            <w:tcW w:w="2352" w:type="dxa"/>
            <w:gridSpan w:val="4"/>
            <w:vAlign w:val="center"/>
          </w:tcPr>
          <w:p w14:paraId="64225E8C">
            <w:pPr>
              <w:spacing w:line="244" w:lineRule="exact"/>
              <w:jc w:val="center"/>
              <w:rPr>
                <w:rFonts w:ascii="Times New Roman" w:eastAsia="仿宋"/>
                <w:sz w:val="20"/>
              </w:rPr>
            </w:pPr>
            <w:r>
              <w:rPr>
                <w:rFonts w:ascii="Times New Roman" w:eastAsia="仿宋"/>
                <w:sz w:val="20"/>
              </w:rPr>
              <w:t>有组织废气监测√</w:t>
            </w:r>
          </w:p>
          <w:p w14:paraId="52067DD0">
            <w:pPr>
              <w:spacing w:line="244" w:lineRule="exact"/>
              <w:jc w:val="center"/>
              <w:rPr>
                <w:rFonts w:ascii="Times New Roman" w:eastAsia="仿宋"/>
                <w:sz w:val="20"/>
              </w:rPr>
            </w:pPr>
            <w:r>
              <w:rPr>
                <w:rFonts w:ascii="Times New Roman" w:eastAsia="仿宋"/>
                <w:sz w:val="20"/>
              </w:rPr>
              <w:t>无组织废气监测√</w:t>
            </w:r>
          </w:p>
        </w:tc>
        <w:tc>
          <w:tcPr>
            <w:tcW w:w="1050" w:type="dxa"/>
            <w:vAlign w:val="center"/>
          </w:tcPr>
          <w:p w14:paraId="3F3F682D">
            <w:pPr>
              <w:spacing w:line="244" w:lineRule="exact"/>
              <w:jc w:val="center"/>
              <w:rPr>
                <w:rFonts w:ascii="Times New Roman" w:eastAsia="仿宋"/>
                <w:sz w:val="20"/>
              </w:rPr>
            </w:pPr>
            <w:r>
              <w:rPr>
                <w:rFonts w:ascii="Times New Roman" w:eastAsia="仿宋"/>
                <w:sz w:val="20"/>
              </w:rPr>
              <w:t>无监测□</w:t>
            </w:r>
          </w:p>
        </w:tc>
      </w:tr>
      <w:tr w14:paraId="1D25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1D2343F">
            <w:pPr>
              <w:spacing w:line="244" w:lineRule="exact"/>
              <w:jc w:val="center"/>
              <w:rPr>
                <w:rFonts w:ascii="Times New Roman" w:eastAsia="仿宋"/>
                <w:sz w:val="20"/>
              </w:rPr>
            </w:pPr>
          </w:p>
        </w:tc>
        <w:tc>
          <w:tcPr>
            <w:tcW w:w="1418" w:type="dxa"/>
            <w:vAlign w:val="center"/>
          </w:tcPr>
          <w:p w14:paraId="698E46CE">
            <w:pPr>
              <w:spacing w:line="244" w:lineRule="exact"/>
              <w:jc w:val="center"/>
              <w:rPr>
                <w:rFonts w:ascii="Times New Roman" w:eastAsia="仿宋"/>
                <w:sz w:val="20"/>
              </w:rPr>
            </w:pPr>
            <w:r>
              <w:rPr>
                <w:rFonts w:ascii="Times New Roman" w:eastAsia="仿宋"/>
                <w:sz w:val="20"/>
              </w:rPr>
              <w:t>环境质量监测</w:t>
            </w:r>
          </w:p>
        </w:tc>
        <w:tc>
          <w:tcPr>
            <w:tcW w:w="4394" w:type="dxa"/>
            <w:gridSpan w:val="7"/>
            <w:vAlign w:val="center"/>
          </w:tcPr>
          <w:p w14:paraId="09ACF5AD">
            <w:pPr>
              <w:spacing w:line="244" w:lineRule="exact"/>
              <w:rPr>
                <w:rFonts w:ascii="Times New Roman" w:eastAsia="仿宋"/>
                <w:sz w:val="20"/>
              </w:rPr>
            </w:pPr>
            <w:r>
              <w:rPr>
                <w:rFonts w:ascii="Times New Roman" w:eastAsia="仿宋"/>
                <w:sz w:val="20"/>
              </w:rPr>
              <w:t>监测因子：（非甲烷总烃、</w:t>
            </w:r>
            <w:r>
              <w:rPr>
                <w:rFonts w:hint="eastAsia" w:ascii="Times New Roman" w:eastAsia="仿宋"/>
                <w:sz w:val="20"/>
              </w:rPr>
              <w:t>二甲苯、</w:t>
            </w:r>
            <w:r>
              <w:rPr>
                <w:rFonts w:ascii="Times New Roman" w:eastAsia="仿宋"/>
                <w:sz w:val="20"/>
              </w:rPr>
              <w:t>PM</w:t>
            </w:r>
            <w:r>
              <w:rPr>
                <w:rFonts w:ascii="Times New Roman" w:eastAsia="仿宋"/>
                <w:sz w:val="20"/>
                <w:vertAlign w:val="subscript"/>
              </w:rPr>
              <w:t>10</w:t>
            </w:r>
            <w:r>
              <w:rPr>
                <w:rFonts w:ascii="Times New Roman" w:eastAsia="仿宋"/>
                <w:sz w:val="20"/>
              </w:rPr>
              <w:t>）</w:t>
            </w:r>
          </w:p>
        </w:tc>
        <w:tc>
          <w:tcPr>
            <w:tcW w:w="2352" w:type="dxa"/>
            <w:gridSpan w:val="4"/>
            <w:vAlign w:val="center"/>
          </w:tcPr>
          <w:p w14:paraId="099CBED1">
            <w:pPr>
              <w:spacing w:line="244" w:lineRule="exact"/>
              <w:jc w:val="center"/>
              <w:rPr>
                <w:rFonts w:ascii="Times New Roman" w:eastAsia="仿宋"/>
                <w:sz w:val="20"/>
              </w:rPr>
            </w:pPr>
            <w:r>
              <w:rPr>
                <w:rFonts w:ascii="Times New Roman" w:eastAsia="仿宋"/>
                <w:sz w:val="20"/>
              </w:rPr>
              <w:t>监测点位数（1）</w:t>
            </w:r>
          </w:p>
        </w:tc>
        <w:tc>
          <w:tcPr>
            <w:tcW w:w="1050" w:type="dxa"/>
            <w:vAlign w:val="center"/>
          </w:tcPr>
          <w:p w14:paraId="0E5FB327">
            <w:pPr>
              <w:spacing w:line="244" w:lineRule="exact"/>
              <w:jc w:val="center"/>
              <w:rPr>
                <w:rFonts w:ascii="Times New Roman" w:eastAsia="仿宋"/>
                <w:sz w:val="20"/>
              </w:rPr>
            </w:pPr>
            <w:r>
              <w:rPr>
                <w:rFonts w:ascii="Times New Roman" w:eastAsia="仿宋"/>
                <w:sz w:val="20"/>
              </w:rPr>
              <w:t>无监测□</w:t>
            </w:r>
          </w:p>
        </w:tc>
      </w:tr>
      <w:tr w14:paraId="443A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057F787">
            <w:pPr>
              <w:spacing w:line="244" w:lineRule="exact"/>
              <w:jc w:val="center"/>
              <w:rPr>
                <w:rFonts w:ascii="Times New Roman" w:eastAsia="仿宋"/>
                <w:sz w:val="20"/>
              </w:rPr>
            </w:pPr>
            <w:r>
              <w:rPr>
                <w:rFonts w:ascii="Times New Roman" w:eastAsia="仿宋"/>
                <w:sz w:val="20"/>
              </w:rPr>
              <w:t>评价结论</w:t>
            </w:r>
          </w:p>
        </w:tc>
        <w:tc>
          <w:tcPr>
            <w:tcW w:w="1418" w:type="dxa"/>
            <w:vAlign w:val="center"/>
          </w:tcPr>
          <w:p w14:paraId="513BDEF1">
            <w:pPr>
              <w:spacing w:line="244" w:lineRule="exact"/>
              <w:jc w:val="center"/>
              <w:rPr>
                <w:rFonts w:ascii="Times New Roman" w:eastAsia="仿宋"/>
                <w:sz w:val="20"/>
              </w:rPr>
            </w:pPr>
            <w:r>
              <w:rPr>
                <w:rFonts w:ascii="Times New Roman" w:eastAsia="仿宋"/>
                <w:sz w:val="20"/>
              </w:rPr>
              <w:t>环境影响</w:t>
            </w:r>
          </w:p>
        </w:tc>
        <w:tc>
          <w:tcPr>
            <w:tcW w:w="7796" w:type="dxa"/>
            <w:gridSpan w:val="12"/>
            <w:vAlign w:val="center"/>
          </w:tcPr>
          <w:p w14:paraId="46B3DECC">
            <w:pPr>
              <w:spacing w:line="244" w:lineRule="exact"/>
              <w:jc w:val="center"/>
              <w:rPr>
                <w:rFonts w:ascii="Times New Roman" w:eastAsia="仿宋"/>
                <w:sz w:val="20"/>
              </w:rPr>
            </w:pPr>
            <w:r>
              <w:rPr>
                <w:rFonts w:ascii="Times New Roman" w:eastAsia="仿宋"/>
                <w:sz w:val="20"/>
              </w:rPr>
              <w:t>可以接受√   不可以接受□</w:t>
            </w:r>
          </w:p>
        </w:tc>
      </w:tr>
      <w:tr w14:paraId="047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4DCFF5E">
            <w:pPr>
              <w:spacing w:line="244" w:lineRule="exact"/>
              <w:jc w:val="center"/>
              <w:rPr>
                <w:rFonts w:ascii="Times New Roman" w:eastAsia="仿宋"/>
                <w:sz w:val="20"/>
              </w:rPr>
            </w:pPr>
          </w:p>
        </w:tc>
        <w:tc>
          <w:tcPr>
            <w:tcW w:w="1418" w:type="dxa"/>
            <w:vAlign w:val="center"/>
          </w:tcPr>
          <w:p w14:paraId="457C28AA">
            <w:pPr>
              <w:spacing w:line="244" w:lineRule="exact"/>
              <w:jc w:val="center"/>
              <w:rPr>
                <w:rFonts w:ascii="Times New Roman" w:eastAsia="仿宋"/>
                <w:sz w:val="20"/>
              </w:rPr>
            </w:pPr>
            <w:r>
              <w:rPr>
                <w:rFonts w:ascii="Times New Roman" w:eastAsia="仿宋"/>
                <w:sz w:val="20"/>
              </w:rPr>
              <w:t>大气环境防护距离</w:t>
            </w:r>
          </w:p>
        </w:tc>
        <w:tc>
          <w:tcPr>
            <w:tcW w:w="7796" w:type="dxa"/>
            <w:gridSpan w:val="12"/>
            <w:vAlign w:val="center"/>
          </w:tcPr>
          <w:p w14:paraId="0820C316">
            <w:pPr>
              <w:spacing w:line="244" w:lineRule="exact"/>
              <w:jc w:val="center"/>
              <w:rPr>
                <w:rFonts w:ascii="Times New Roman" w:eastAsia="仿宋"/>
                <w:sz w:val="20"/>
              </w:rPr>
            </w:pPr>
            <w:r>
              <w:rPr>
                <w:rFonts w:ascii="Times New Roman" w:eastAsia="仿宋"/>
                <w:sz w:val="20"/>
              </w:rPr>
              <w:t>距（）厂界最远（）m</w:t>
            </w:r>
          </w:p>
        </w:tc>
      </w:tr>
      <w:tr w14:paraId="6760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1E796DB">
            <w:pPr>
              <w:spacing w:line="244" w:lineRule="exact"/>
              <w:jc w:val="center"/>
              <w:rPr>
                <w:rFonts w:ascii="Times New Roman" w:eastAsia="仿宋"/>
                <w:sz w:val="20"/>
              </w:rPr>
            </w:pPr>
          </w:p>
        </w:tc>
        <w:tc>
          <w:tcPr>
            <w:tcW w:w="1418" w:type="dxa"/>
            <w:vAlign w:val="center"/>
          </w:tcPr>
          <w:p w14:paraId="609028D8">
            <w:pPr>
              <w:spacing w:line="244" w:lineRule="exact"/>
              <w:jc w:val="center"/>
              <w:rPr>
                <w:rFonts w:ascii="Times New Roman" w:eastAsia="仿宋"/>
                <w:sz w:val="20"/>
              </w:rPr>
            </w:pPr>
            <w:r>
              <w:rPr>
                <w:rFonts w:ascii="Times New Roman" w:eastAsia="仿宋"/>
                <w:sz w:val="20"/>
              </w:rPr>
              <w:t>污染源年排放量</w:t>
            </w:r>
          </w:p>
        </w:tc>
        <w:tc>
          <w:tcPr>
            <w:tcW w:w="1957" w:type="dxa"/>
            <w:gridSpan w:val="3"/>
            <w:vAlign w:val="center"/>
          </w:tcPr>
          <w:p w14:paraId="28B68F9E">
            <w:pPr>
              <w:spacing w:line="244" w:lineRule="exact"/>
              <w:jc w:val="center"/>
              <w:rPr>
                <w:rFonts w:ascii="Times New Roman" w:eastAsia="仿宋"/>
                <w:sz w:val="20"/>
              </w:rPr>
            </w:pPr>
            <w:r>
              <w:rPr>
                <w:rFonts w:ascii="Times New Roman" w:eastAsia="仿宋"/>
                <w:sz w:val="20"/>
              </w:rPr>
              <w:t>SO</w:t>
            </w:r>
            <w:r>
              <w:rPr>
                <w:rFonts w:ascii="Times New Roman" w:eastAsia="仿宋"/>
                <w:sz w:val="20"/>
                <w:vertAlign w:val="subscript"/>
              </w:rPr>
              <w:t>2</w:t>
            </w:r>
            <w:r>
              <w:rPr>
                <w:rFonts w:ascii="Times New Roman" w:eastAsia="仿宋"/>
                <w:sz w:val="20"/>
              </w:rPr>
              <w:t>：（</w:t>
            </w:r>
            <w:r>
              <w:rPr>
                <w:rFonts w:hint="eastAsia" w:ascii="Times New Roman" w:eastAsia="仿宋"/>
                <w:sz w:val="20"/>
              </w:rPr>
              <w:t>0.02</w:t>
            </w:r>
            <w:r>
              <w:rPr>
                <w:rFonts w:ascii="Times New Roman" w:eastAsia="仿宋"/>
                <w:sz w:val="20"/>
              </w:rPr>
              <w:t>5）t/a</w:t>
            </w:r>
          </w:p>
        </w:tc>
        <w:tc>
          <w:tcPr>
            <w:tcW w:w="2349" w:type="dxa"/>
            <w:gridSpan w:val="3"/>
            <w:vAlign w:val="center"/>
          </w:tcPr>
          <w:p w14:paraId="15A12240">
            <w:pPr>
              <w:spacing w:line="244" w:lineRule="exact"/>
              <w:jc w:val="center"/>
              <w:rPr>
                <w:rFonts w:ascii="Times New Roman" w:eastAsia="仿宋"/>
                <w:sz w:val="20"/>
              </w:rPr>
            </w:pPr>
            <w:r>
              <w:rPr>
                <w:rFonts w:ascii="Times New Roman" w:eastAsia="仿宋"/>
                <w:sz w:val="20"/>
              </w:rPr>
              <w:t>NO</w:t>
            </w:r>
            <w:r>
              <w:rPr>
                <w:rFonts w:ascii="Times New Roman" w:eastAsia="仿宋"/>
                <w:sz w:val="20"/>
                <w:vertAlign w:val="subscript"/>
              </w:rPr>
              <w:t>X</w:t>
            </w:r>
            <w:r>
              <w:rPr>
                <w:rFonts w:ascii="Times New Roman" w:eastAsia="仿宋"/>
                <w:sz w:val="20"/>
              </w:rPr>
              <w:t>：（</w:t>
            </w:r>
            <w:r>
              <w:rPr>
                <w:rFonts w:hint="eastAsia" w:ascii="Times New Roman" w:eastAsia="仿宋"/>
                <w:sz w:val="20"/>
              </w:rPr>
              <w:t>1.12</w:t>
            </w:r>
            <w:r>
              <w:rPr>
                <w:rFonts w:ascii="Times New Roman" w:eastAsia="仿宋"/>
                <w:sz w:val="20"/>
              </w:rPr>
              <w:t>）t/a</w:t>
            </w:r>
          </w:p>
        </w:tc>
        <w:tc>
          <w:tcPr>
            <w:tcW w:w="1979" w:type="dxa"/>
            <w:gridSpan w:val="3"/>
            <w:vAlign w:val="center"/>
          </w:tcPr>
          <w:p w14:paraId="77D43B0B">
            <w:pPr>
              <w:spacing w:line="244" w:lineRule="exact"/>
              <w:jc w:val="center"/>
              <w:rPr>
                <w:rFonts w:ascii="Times New Roman" w:eastAsia="仿宋"/>
                <w:sz w:val="20"/>
              </w:rPr>
            </w:pPr>
            <w:r>
              <w:rPr>
                <w:rFonts w:ascii="Times New Roman" w:eastAsia="仿宋"/>
                <w:sz w:val="20"/>
              </w:rPr>
              <w:t>颗粒物：（</w:t>
            </w:r>
            <w:r>
              <w:rPr>
                <w:rFonts w:hint="eastAsia" w:ascii="Times New Roman" w:eastAsia="仿宋"/>
                <w:sz w:val="20"/>
              </w:rPr>
              <w:t>1.585</w:t>
            </w:r>
            <w:r>
              <w:rPr>
                <w:rFonts w:ascii="Times New Roman" w:eastAsia="仿宋"/>
                <w:sz w:val="20"/>
              </w:rPr>
              <w:t>）t/a</w:t>
            </w:r>
          </w:p>
        </w:tc>
        <w:tc>
          <w:tcPr>
            <w:tcW w:w="1511" w:type="dxa"/>
            <w:gridSpan w:val="3"/>
            <w:vAlign w:val="center"/>
          </w:tcPr>
          <w:p w14:paraId="31220F6A">
            <w:pPr>
              <w:spacing w:line="244" w:lineRule="exact"/>
              <w:jc w:val="center"/>
              <w:rPr>
                <w:rFonts w:ascii="Times New Roman" w:eastAsia="仿宋"/>
                <w:sz w:val="20"/>
              </w:rPr>
            </w:pPr>
            <w:r>
              <w:rPr>
                <w:rFonts w:ascii="Times New Roman" w:eastAsia="仿宋"/>
                <w:sz w:val="20"/>
              </w:rPr>
              <w:t>VOCs：（</w:t>
            </w:r>
            <w:r>
              <w:rPr>
                <w:rFonts w:hint="eastAsia" w:ascii="Times New Roman" w:eastAsia="仿宋"/>
                <w:sz w:val="20"/>
              </w:rPr>
              <w:t>4.809</w:t>
            </w:r>
            <w:r>
              <w:rPr>
                <w:rFonts w:ascii="Times New Roman" w:eastAsia="仿宋"/>
                <w:sz w:val="20"/>
              </w:rPr>
              <w:t>）t/a</w:t>
            </w:r>
          </w:p>
        </w:tc>
      </w:tr>
      <w:tr w14:paraId="639A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14"/>
            <w:vAlign w:val="center"/>
          </w:tcPr>
          <w:p w14:paraId="238D53D3">
            <w:pPr>
              <w:spacing w:line="244" w:lineRule="exact"/>
              <w:jc w:val="center"/>
              <w:rPr>
                <w:rFonts w:ascii="Times New Roman" w:eastAsia="仿宋"/>
                <w:sz w:val="20"/>
              </w:rPr>
            </w:pPr>
            <w:r>
              <w:rPr>
                <w:rFonts w:ascii="Times New Roman" w:eastAsia="仿宋"/>
                <w:sz w:val="20"/>
              </w:rPr>
              <w:t>注：“□”为打勾项，填“√”；“（）”为内容填写项</w:t>
            </w:r>
          </w:p>
        </w:tc>
      </w:tr>
      <w:bookmarkEnd w:id="319"/>
      <w:bookmarkEnd w:id="320"/>
      <w:bookmarkEnd w:id="321"/>
    </w:tbl>
    <w:p w14:paraId="63B1E6F3">
      <w:pPr>
        <w:pStyle w:val="6"/>
        <w:keepLines w:val="0"/>
        <w:tabs>
          <w:tab w:val="left" w:pos="709"/>
        </w:tabs>
        <w:spacing w:before="0" w:after="120" w:afterLines="50" w:line="500" w:lineRule="exact"/>
        <w:rPr>
          <w:rFonts w:ascii="Times New Roman" w:eastAsia="仿宋"/>
          <w:bCs w:val="0"/>
          <w:sz w:val="28"/>
          <w:szCs w:val="28"/>
        </w:rPr>
      </w:pPr>
      <w:bookmarkStart w:id="343" w:name="_Toc240859402"/>
      <w:r>
        <w:rPr>
          <w:rFonts w:hint="eastAsia" w:ascii="Times New Roman" w:eastAsia="仿宋"/>
          <w:bCs w:val="0"/>
          <w:sz w:val="28"/>
          <w:szCs w:val="28"/>
        </w:rPr>
        <w:t>5.2.</w:t>
      </w:r>
      <w:r>
        <w:rPr>
          <w:rFonts w:ascii="Times New Roman" w:eastAsia="仿宋"/>
          <w:bCs w:val="0"/>
          <w:sz w:val="28"/>
          <w:szCs w:val="28"/>
        </w:rPr>
        <w:t>2地表水环境影响分析</w:t>
      </w:r>
    </w:p>
    <w:p w14:paraId="6888F2BE">
      <w:pPr>
        <w:spacing w:line="500" w:lineRule="exact"/>
        <w:ind w:firstLine="560" w:firstLineChars="200"/>
        <w:rPr>
          <w:rFonts w:ascii="Times New Roman" w:eastAsia="仿宋"/>
          <w:bCs/>
          <w:sz w:val="28"/>
          <w:szCs w:val="28"/>
        </w:rPr>
      </w:pPr>
      <w:r>
        <w:rPr>
          <w:rFonts w:ascii="Times New Roman" w:eastAsia="仿宋"/>
          <w:bCs/>
          <w:sz w:val="28"/>
          <w:szCs w:val="28"/>
        </w:rPr>
        <w:t>厂区实行雨污分流原则；本项目实施雨污分流制，雨水依托</w:t>
      </w:r>
      <w:r>
        <w:rPr>
          <w:rFonts w:hint="eastAsia" w:ascii="Times New Roman" w:eastAsia="仿宋"/>
          <w:bCs/>
          <w:sz w:val="28"/>
          <w:szCs w:val="28"/>
        </w:rPr>
        <w:t>厂区北侧五联路上的</w:t>
      </w:r>
      <w:r>
        <w:rPr>
          <w:rFonts w:ascii="Times New Roman" w:eastAsia="仿宋"/>
          <w:bCs/>
          <w:sz w:val="28"/>
          <w:szCs w:val="28"/>
        </w:rPr>
        <w:t>雨水排口，接入市政雨水管网。</w:t>
      </w:r>
      <w:r>
        <w:rPr>
          <w:rFonts w:hint="eastAsia" w:ascii="Times New Roman" w:eastAsia="仿宋"/>
          <w:bCs/>
          <w:sz w:val="28"/>
          <w:szCs w:val="28"/>
        </w:rPr>
        <w:t>本项目</w:t>
      </w:r>
      <w:r>
        <w:rPr>
          <w:rFonts w:hint="eastAsia" w:ascii="Times New Roman" w:eastAsia="仿宋"/>
          <w:sz w:val="28"/>
          <w:szCs w:val="28"/>
        </w:rPr>
        <w:t>生产废水进入厂区污水处理站处理后与生活污水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w:t>
      </w:r>
      <w:r>
        <w:rPr>
          <w:rFonts w:ascii="Times New Roman" w:eastAsia="仿宋"/>
          <w:bCs/>
          <w:sz w:val="28"/>
          <w:szCs w:val="28"/>
        </w:rPr>
        <w:t>故本项目所排放污水对项目附近地表水水体无直接影响。</w:t>
      </w:r>
    </w:p>
    <w:p w14:paraId="40351447">
      <w:pPr>
        <w:spacing w:line="500" w:lineRule="exact"/>
        <w:ind w:firstLine="560" w:firstLineChars="200"/>
        <w:rPr>
          <w:rFonts w:ascii="Times New Roman" w:eastAsia="仿宋"/>
          <w:bCs/>
          <w:sz w:val="28"/>
          <w:szCs w:val="28"/>
        </w:rPr>
      </w:pPr>
      <w:r>
        <w:rPr>
          <w:rFonts w:ascii="Times New Roman" w:eastAsia="仿宋"/>
          <w:sz w:val="28"/>
          <w:szCs w:val="28"/>
        </w:rPr>
        <w:t>根据《</w:t>
      </w:r>
      <w:r>
        <w:rPr>
          <w:rFonts w:hint="eastAsia" w:ascii="Times New Roman" w:eastAsia="仿宋"/>
          <w:sz w:val="28"/>
          <w:szCs w:val="28"/>
        </w:rPr>
        <w:t xml:space="preserve">环境影响评价技术导则 </w:t>
      </w:r>
      <w:r>
        <w:rPr>
          <w:rFonts w:ascii="Times New Roman" w:eastAsia="仿宋"/>
          <w:sz w:val="28"/>
          <w:szCs w:val="28"/>
        </w:rPr>
        <w:t>地表水环境》（HJ2.3-2018）“10.2 需明确给出污染源排放量核算结果，填写建设项目污染物排放信息表。”具体信息见下表</w:t>
      </w:r>
      <w:r>
        <w:rPr>
          <w:rFonts w:hint="eastAsia" w:ascii="Times New Roman" w:eastAsia="仿宋"/>
          <w:sz w:val="28"/>
          <w:szCs w:val="28"/>
        </w:rPr>
        <w:t>：</w:t>
      </w:r>
    </w:p>
    <w:p w14:paraId="0FE6BE86">
      <w:pPr>
        <w:spacing w:line="500" w:lineRule="exact"/>
        <w:ind w:firstLine="560" w:firstLineChars="200"/>
        <w:rPr>
          <w:rFonts w:ascii="Times New Roman" w:eastAsia="仿宋"/>
          <w:sz w:val="28"/>
          <w:szCs w:val="28"/>
        </w:rPr>
      </w:pPr>
    </w:p>
    <w:p w14:paraId="3E7E7659">
      <w:pPr>
        <w:spacing w:line="500" w:lineRule="exact"/>
        <w:ind w:firstLine="560" w:firstLineChars="200"/>
        <w:rPr>
          <w:rFonts w:ascii="Times New Roman" w:eastAsia="仿宋"/>
          <w:sz w:val="28"/>
          <w:szCs w:val="28"/>
        </w:rPr>
        <w:sectPr>
          <w:footerReference r:id="rId23" w:type="default"/>
          <w:footerReference r:id="rId24" w:type="even"/>
          <w:pgSz w:w="11906" w:h="16838"/>
          <w:pgMar w:top="1134" w:right="1418" w:bottom="1134" w:left="1418" w:header="851" w:footer="992" w:gutter="0"/>
          <w:cols w:space="720" w:num="1"/>
          <w:docGrid w:linePitch="312" w:charSpace="0"/>
        </w:sectPr>
      </w:pPr>
    </w:p>
    <w:p w14:paraId="00C544AB">
      <w:pPr>
        <w:spacing w:line="500" w:lineRule="exact"/>
        <w:ind w:firstLine="482" w:firstLineChars="200"/>
        <w:jc w:val="center"/>
        <w:rPr>
          <w:rFonts w:ascii="Times New Roman" w:eastAsia="仿宋"/>
          <w:b/>
        </w:rPr>
      </w:pPr>
      <w:r>
        <w:rPr>
          <w:rFonts w:ascii="Times New Roman" w:eastAsia="仿宋"/>
          <w:b/>
        </w:rPr>
        <w:t>表5.2-26 本项目废水类别、污染物及污染治理设施信息表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181"/>
        <w:gridCol w:w="1371"/>
        <w:gridCol w:w="1134"/>
        <w:gridCol w:w="1559"/>
        <w:gridCol w:w="1219"/>
        <w:gridCol w:w="1219"/>
        <w:gridCol w:w="1219"/>
        <w:gridCol w:w="895"/>
        <w:gridCol w:w="1559"/>
        <w:gridCol w:w="1985"/>
      </w:tblGrid>
      <w:tr w14:paraId="2C4E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04" w:type="dxa"/>
            <w:vMerge w:val="restart"/>
            <w:vAlign w:val="center"/>
          </w:tcPr>
          <w:p w14:paraId="6F6C2035">
            <w:pPr>
              <w:pStyle w:val="22"/>
              <w:adjustRightInd w:val="0"/>
              <w:snapToGrid w:val="0"/>
              <w:ind w:firstLine="0" w:firstLineChars="0"/>
              <w:jc w:val="center"/>
              <w:rPr>
                <w:rFonts w:eastAsia="仿宋"/>
                <w:sz w:val="24"/>
                <w:szCs w:val="21"/>
              </w:rPr>
            </w:pPr>
            <w:r>
              <w:rPr>
                <w:rFonts w:eastAsia="仿宋"/>
                <w:sz w:val="24"/>
                <w:szCs w:val="21"/>
              </w:rPr>
              <w:t>序号</w:t>
            </w:r>
          </w:p>
        </w:tc>
        <w:tc>
          <w:tcPr>
            <w:tcW w:w="1181" w:type="dxa"/>
            <w:vMerge w:val="restart"/>
            <w:vAlign w:val="center"/>
          </w:tcPr>
          <w:p w14:paraId="0E7A91D2">
            <w:pPr>
              <w:pStyle w:val="22"/>
              <w:adjustRightInd w:val="0"/>
              <w:snapToGrid w:val="0"/>
              <w:ind w:firstLine="0" w:firstLineChars="0"/>
              <w:jc w:val="center"/>
              <w:rPr>
                <w:rFonts w:eastAsia="仿宋"/>
                <w:sz w:val="24"/>
                <w:szCs w:val="21"/>
              </w:rPr>
            </w:pPr>
            <w:r>
              <w:rPr>
                <w:rFonts w:eastAsia="仿宋"/>
                <w:sz w:val="24"/>
                <w:szCs w:val="21"/>
              </w:rPr>
              <w:t>废水类型</w:t>
            </w:r>
          </w:p>
        </w:tc>
        <w:tc>
          <w:tcPr>
            <w:tcW w:w="1371" w:type="dxa"/>
            <w:vMerge w:val="restart"/>
            <w:vAlign w:val="center"/>
          </w:tcPr>
          <w:p w14:paraId="06AE5AE3">
            <w:pPr>
              <w:pStyle w:val="22"/>
              <w:adjustRightInd w:val="0"/>
              <w:snapToGrid w:val="0"/>
              <w:ind w:firstLine="0" w:firstLineChars="0"/>
              <w:jc w:val="center"/>
              <w:rPr>
                <w:rFonts w:eastAsia="仿宋"/>
                <w:sz w:val="24"/>
                <w:szCs w:val="21"/>
              </w:rPr>
            </w:pPr>
            <w:r>
              <w:rPr>
                <w:rFonts w:eastAsia="仿宋"/>
                <w:sz w:val="24"/>
                <w:szCs w:val="21"/>
              </w:rPr>
              <w:t>污染物种类</w:t>
            </w:r>
          </w:p>
        </w:tc>
        <w:tc>
          <w:tcPr>
            <w:tcW w:w="1134" w:type="dxa"/>
            <w:vMerge w:val="restart"/>
            <w:vAlign w:val="center"/>
          </w:tcPr>
          <w:p w14:paraId="702E253E">
            <w:pPr>
              <w:pStyle w:val="22"/>
              <w:adjustRightInd w:val="0"/>
              <w:snapToGrid w:val="0"/>
              <w:ind w:firstLine="0" w:firstLineChars="0"/>
              <w:jc w:val="center"/>
              <w:rPr>
                <w:rFonts w:eastAsia="仿宋"/>
                <w:sz w:val="24"/>
                <w:szCs w:val="21"/>
              </w:rPr>
            </w:pPr>
            <w:r>
              <w:rPr>
                <w:rFonts w:eastAsia="仿宋"/>
                <w:sz w:val="24"/>
                <w:szCs w:val="21"/>
              </w:rPr>
              <w:t>排放去向</w:t>
            </w:r>
          </w:p>
        </w:tc>
        <w:tc>
          <w:tcPr>
            <w:tcW w:w="1559" w:type="dxa"/>
            <w:vMerge w:val="restart"/>
            <w:vAlign w:val="center"/>
          </w:tcPr>
          <w:p w14:paraId="0DB87EC2">
            <w:pPr>
              <w:pStyle w:val="22"/>
              <w:adjustRightInd w:val="0"/>
              <w:snapToGrid w:val="0"/>
              <w:ind w:firstLine="0" w:firstLineChars="0"/>
              <w:jc w:val="center"/>
              <w:rPr>
                <w:rFonts w:eastAsia="仿宋"/>
                <w:sz w:val="24"/>
                <w:szCs w:val="21"/>
              </w:rPr>
            </w:pPr>
            <w:r>
              <w:rPr>
                <w:rFonts w:eastAsia="仿宋"/>
                <w:sz w:val="24"/>
                <w:szCs w:val="21"/>
              </w:rPr>
              <w:t>排放规律</w:t>
            </w:r>
          </w:p>
        </w:tc>
        <w:tc>
          <w:tcPr>
            <w:tcW w:w="3657" w:type="dxa"/>
            <w:gridSpan w:val="3"/>
            <w:vAlign w:val="center"/>
          </w:tcPr>
          <w:p w14:paraId="3C28E9E8">
            <w:pPr>
              <w:pStyle w:val="22"/>
              <w:adjustRightInd w:val="0"/>
              <w:snapToGrid w:val="0"/>
              <w:ind w:firstLine="0" w:firstLineChars="0"/>
              <w:jc w:val="center"/>
              <w:rPr>
                <w:rFonts w:eastAsia="仿宋"/>
                <w:sz w:val="24"/>
                <w:szCs w:val="21"/>
              </w:rPr>
            </w:pPr>
            <w:r>
              <w:rPr>
                <w:rFonts w:eastAsia="仿宋"/>
                <w:sz w:val="24"/>
                <w:szCs w:val="21"/>
              </w:rPr>
              <w:t>污染治理设施</w:t>
            </w:r>
          </w:p>
        </w:tc>
        <w:tc>
          <w:tcPr>
            <w:tcW w:w="895" w:type="dxa"/>
            <w:vMerge w:val="restart"/>
            <w:vAlign w:val="center"/>
          </w:tcPr>
          <w:p w14:paraId="73E05A60">
            <w:pPr>
              <w:pStyle w:val="22"/>
              <w:adjustRightInd w:val="0"/>
              <w:snapToGrid w:val="0"/>
              <w:ind w:firstLine="0" w:firstLineChars="0"/>
              <w:jc w:val="center"/>
              <w:rPr>
                <w:rFonts w:eastAsia="仿宋"/>
                <w:sz w:val="24"/>
                <w:szCs w:val="21"/>
              </w:rPr>
            </w:pPr>
            <w:r>
              <w:rPr>
                <w:rFonts w:eastAsia="仿宋"/>
                <w:sz w:val="24"/>
                <w:szCs w:val="21"/>
              </w:rPr>
              <w:t>排放口编号</w:t>
            </w:r>
          </w:p>
        </w:tc>
        <w:tc>
          <w:tcPr>
            <w:tcW w:w="1559" w:type="dxa"/>
            <w:vMerge w:val="restart"/>
            <w:vAlign w:val="center"/>
          </w:tcPr>
          <w:p w14:paraId="021D67EE">
            <w:pPr>
              <w:pStyle w:val="22"/>
              <w:adjustRightInd w:val="0"/>
              <w:snapToGrid w:val="0"/>
              <w:ind w:firstLine="0" w:firstLineChars="0"/>
              <w:jc w:val="center"/>
              <w:rPr>
                <w:rFonts w:eastAsia="仿宋"/>
                <w:sz w:val="24"/>
                <w:szCs w:val="21"/>
              </w:rPr>
            </w:pPr>
            <w:r>
              <w:rPr>
                <w:rFonts w:eastAsia="仿宋"/>
                <w:sz w:val="24"/>
                <w:szCs w:val="21"/>
              </w:rPr>
              <w:t>排放口设置是否符合要求</w:t>
            </w:r>
          </w:p>
        </w:tc>
        <w:tc>
          <w:tcPr>
            <w:tcW w:w="1985" w:type="dxa"/>
            <w:vMerge w:val="restart"/>
            <w:vAlign w:val="center"/>
          </w:tcPr>
          <w:p w14:paraId="33D1484D">
            <w:pPr>
              <w:pStyle w:val="22"/>
              <w:adjustRightInd w:val="0"/>
              <w:snapToGrid w:val="0"/>
              <w:ind w:firstLine="0" w:firstLineChars="0"/>
              <w:jc w:val="center"/>
              <w:rPr>
                <w:rFonts w:eastAsia="仿宋"/>
                <w:sz w:val="24"/>
                <w:szCs w:val="21"/>
              </w:rPr>
            </w:pPr>
            <w:r>
              <w:rPr>
                <w:rFonts w:eastAsia="仿宋"/>
                <w:sz w:val="24"/>
                <w:szCs w:val="21"/>
              </w:rPr>
              <w:t>排放口类型</w:t>
            </w:r>
          </w:p>
        </w:tc>
      </w:tr>
      <w:tr w14:paraId="5A87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4" w:type="dxa"/>
            <w:vMerge w:val="continue"/>
            <w:vAlign w:val="center"/>
          </w:tcPr>
          <w:p w14:paraId="4093F370">
            <w:pPr>
              <w:pStyle w:val="22"/>
              <w:adjustRightInd w:val="0"/>
              <w:snapToGrid w:val="0"/>
              <w:ind w:firstLine="0" w:firstLineChars="0"/>
              <w:jc w:val="center"/>
              <w:rPr>
                <w:rFonts w:eastAsia="仿宋"/>
                <w:sz w:val="24"/>
                <w:szCs w:val="21"/>
              </w:rPr>
            </w:pPr>
          </w:p>
        </w:tc>
        <w:tc>
          <w:tcPr>
            <w:tcW w:w="1181" w:type="dxa"/>
            <w:vMerge w:val="continue"/>
            <w:vAlign w:val="center"/>
          </w:tcPr>
          <w:p w14:paraId="225B975F">
            <w:pPr>
              <w:pStyle w:val="22"/>
              <w:adjustRightInd w:val="0"/>
              <w:snapToGrid w:val="0"/>
              <w:ind w:firstLine="0" w:firstLineChars="0"/>
              <w:jc w:val="center"/>
              <w:rPr>
                <w:rFonts w:eastAsia="仿宋"/>
                <w:sz w:val="24"/>
                <w:szCs w:val="21"/>
              </w:rPr>
            </w:pPr>
          </w:p>
        </w:tc>
        <w:tc>
          <w:tcPr>
            <w:tcW w:w="1371" w:type="dxa"/>
            <w:vMerge w:val="continue"/>
            <w:vAlign w:val="center"/>
          </w:tcPr>
          <w:p w14:paraId="5C94CFA7">
            <w:pPr>
              <w:pStyle w:val="22"/>
              <w:adjustRightInd w:val="0"/>
              <w:snapToGrid w:val="0"/>
              <w:ind w:firstLine="0" w:firstLineChars="0"/>
              <w:jc w:val="center"/>
              <w:rPr>
                <w:rFonts w:eastAsia="仿宋"/>
                <w:sz w:val="24"/>
                <w:szCs w:val="21"/>
              </w:rPr>
            </w:pPr>
          </w:p>
        </w:tc>
        <w:tc>
          <w:tcPr>
            <w:tcW w:w="1134" w:type="dxa"/>
            <w:vMerge w:val="continue"/>
            <w:vAlign w:val="center"/>
          </w:tcPr>
          <w:p w14:paraId="4498AA64">
            <w:pPr>
              <w:pStyle w:val="22"/>
              <w:adjustRightInd w:val="0"/>
              <w:snapToGrid w:val="0"/>
              <w:ind w:firstLine="0" w:firstLineChars="0"/>
              <w:jc w:val="center"/>
              <w:rPr>
                <w:rFonts w:eastAsia="仿宋"/>
                <w:sz w:val="24"/>
                <w:szCs w:val="21"/>
              </w:rPr>
            </w:pPr>
          </w:p>
        </w:tc>
        <w:tc>
          <w:tcPr>
            <w:tcW w:w="1559" w:type="dxa"/>
            <w:vMerge w:val="continue"/>
            <w:vAlign w:val="center"/>
          </w:tcPr>
          <w:p w14:paraId="05E085F3">
            <w:pPr>
              <w:pStyle w:val="22"/>
              <w:adjustRightInd w:val="0"/>
              <w:snapToGrid w:val="0"/>
              <w:ind w:firstLine="0" w:firstLineChars="0"/>
              <w:jc w:val="center"/>
              <w:rPr>
                <w:rFonts w:eastAsia="仿宋"/>
                <w:sz w:val="24"/>
                <w:szCs w:val="21"/>
              </w:rPr>
            </w:pPr>
          </w:p>
        </w:tc>
        <w:tc>
          <w:tcPr>
            <w:tcW w:w="1219" w:type="dxa"/>
            <w:vAlign w:val="center"/>
          </w:tcPr>
          <w:p w14:paraId="6330D198">
            <w:pPr>
              <w:pStyle w:val="22"/>
              <w:adjustRightInd w:val="0"/>
              <w:snapToGrid w:val="0"/>
              <w:ind w:firstLine="0" w:firstLineChars="0"/>
              <w:jc w:val="center"/>
              <w:rPr>
                <w:rFonts w:eastAsia="仿宋"/>
                <w:sz w:val="24"/>
                <w:szCs w:val="21"/>
              </w:rPr>
            </w:pPr>
            <w:r>
              <w:rPr>
                <w:rFonts w:eastAsia="仿宋"/>
                <w:sz w:val="24"/>
                <w:szCs w:val="21"/>
              </w:rPr>
              <w:t>污染治理设施编号</w:t>
            </w:r>
          </w:p>
        </w:tc>
        <w:tc>
          <w:tcPr>
            <w:tcW w:w="1219" w:type="dxa"/>
            <w:vAlign w:val="center"/>
          </w:tcPr>
          <w:p w14:paraId="2387CC80">
            <w:pPr>
              <w:pStyle w:val="22"/>
              <w:adjustRightInd w:val="0"/>
              <w:snapToGrid w:val="0"/>
              <w:ind w:firstLine="0" w:firstLineChars="0"/>
              <w:jc w:val="center"/>
              <w:rPr>
                <w:rFonts w:eastAsia="仿宋"/>
                <w:sz w:val="24"/>
                <w:szCs w:val="21"/>
              </w:rPr>
            </w:pPr>
            <w:r>
              <w:rPr>
                <w:rFonts w:eastAsia="仿宋"/>
                <w:sz w:val="24"/>
                <w:szCs w:val="21"/>
              </w:rPr>
              <w:t>污染治理设施名称</w:t>
            </w:r>
          </w:p>
        </w:tc>
        <w:tc>
          <w:tcPr>
            <w:tcW w:w="1219" w:type="dxa"/>
            <w:vAlign w:val="center"/>
          </w:tcPr>
          <w:p w14:paraId="55F1E01F">
            <w:pPr>
              <w:pStyle w:val="22"/>
              <w:adjustRightInd w:val="0"/>
              <w:snapToGrid w:val="0"/>
              <w:ind w:firstLine="0" w:firstLineChars="0"/>
              <w:jc w:val="center"/>
              <w:rPr>
                <w:rFonts w:eastAsia="仿宋"/>
                <w:sz w:val="24"/>
                <w:szCs w:val="21"/>
              </w:rPr>
            </w:pPr>
            <w:r>
              <w:rPr>
                <w:rFonts w:eastAsia="仿宋"/>
                <w:sz w:val="24"/>
                <w:szCs w:val="21"/>
              </w:rPr>
              <w:t>污染治理设施工艺</w:t>
            </w:r>
          </w:p>
        </w:tc>
        <w:tc>
          <w:tcPr>
            <w:tcW w:w="895" w:type="dxa"/>
            <w:vMerge w:val="continue"/>
            <w:vAlign w:val="center"/>
          </w:tcPr>
          <w:p w14:paraId="1A0A1124">
            <w:pPr>
              <w:pStyle w:val="22"/>
              <w:adjustRightInd w:val="0"/>
              <w:snapToGrid w:val="0"/>
              <w:ind w:firstLine="0" w:firstLineChars="0"/>
              <w:jc w:val="center"/>
              <w:rPr>
                <w:rFonts w:eastAsia="仿宋"/>
                <w:sz w:val="24"/>
                <w:szCs w:val="21"/>
              </w:rPr>
            </w:pPr>
          </w:p>
        </w:tc>
        <w:tc>
          <w:tcPr>
            <w:tcW w:w="1559" w:type="dxa"/>
            <w:vMerge w:val="continue"/>
            <w:vAlign w:val="center"/>
          </w:tcPr>
          <w:p w14:paraId="2809B716">
            <w:pPr>
              <w:pStyle w:val="22"/>
              <w:adjustRightInd w:val="0"/>
              <w:snapToGrid w:val="0"/>
              <w:ind w:firstLine="0" w:firstLineChars="0"/>
              <w:jc w:val="center"/>
              <w:rPr>
                <w:rFonts w:eastAsia="仿宋"/>
                <w:sz w:val="24"/>
                <w:szCs w:val="21"/>
              </w:rPr>
            </w:pPr>
          </w:p>
        </w:tc>
        <w:tc>
          <w:tcPr>
            <w:tcW w:w="1985" w:type="dxa"/>
            <w:vMerge w:val="continue"/>
            <w:vAlign w:val="center"/>
          </w:tcPr>
          <w:p w14:paraId="12C62101">
            <w:pPr>
              <w:pStyle w:val="22"/>
              <w:adjustRightInd w:val="0"/>
              <w:snapToGrid w:val="0"/>
              <w:ind w:firstLine="0" w:firstLineChars="0"/>
              <w:jc w:val="center"/>
              <w:rPr>
                <w:rFonts w:eastAsia="仿宋"/>
                <w:sz w:val="24"/>
                <w:szCs w:val="21"/>
              </w:rPr>
            </w:pPr>
          </w:p>
        </w:tc>
      </w:tr>
      <w:tr w14:paraId="4CC6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04" w:type="dxa"/>
            <w:vAlign w:val="center"/>
          </w:tcPr>
          <w:p w14:paraId="4339BE43">
            <w:pPr>
              <w:pStyle w:val="22"/>
              <w:adjustRightInd w:val="0"/>
              <w:snapToGrid w:val="0"/>
              <w:ind w:firstLine="0" w:firstLineChars="0"/>
              <w:jc w:val="center"/>
              <w:rPr>
                <w:rFonts w:eastAsia="仿宋"/>
                <w:sz w:val="24"/>
                <w:szCs w:val="21"/>
              </w:rPr>
            </w:pPr>
            <w:r>
              <w:rPr>
                <w:rFonts w:hint="eastAsia" w:eastAsia="仿宋"/>
                <w:sz w:val="24"/>
                <w:szCs w:val="21"/>
              </w:rPr>
              <w:t>1</w:t>
            </w:r>
          </w:p>
        </w:tc>
        <w:tc>
          <w:tcPr>
            <w:tcW w:w="1181" w:type="dxa"/>
            <w:vAlign w:val="center"/>
          </w:tcPr>
          <w:p w14:paraId="1F498D07">
            <w:pPr>
              <w:pStyle w:val="22"/>
              <w:adjustRightInd w:val="0"/>
              <w:snapToGrid w:val="0"/>
              <w:ind w:firstLine="0" w:firstLineChars="0"/>
              <w:jc w:val="center"/>
              <w:rPr>
                <w:rFonts w:eastAsia="仿宋"/>
                <w:sz w:val="24"/>
                <w:szCs w:val="21"/>
              </w:rPr>
            </w:pPr>
            <w:r>
              <w:rPr>
                <w:rFonts w:hint="eastAsia" w:eastAsia="仿宋"/>
                <w:sz w:val="24"/>
                <w:szCs w:val="21"/>
              </w:rPr>
              <w:t>生产废水</w:t>
            </w:r>
          </w:p>
        </w:tc>
        <w:tc>
          <w:tcPr>
            <w:tcW w:w="1371" w:type="dxa"/>
            <w:vAlign w:val="center"/>
          </w:tcPr>
          <w:p w14:paraId="281FF4B9">
            <w:pPr>
              <w:pStyle w:val="22"/>
              <w:adjustRightInd w:val="0"/>
              <w:snapToGrid w:val="0"/>
              <w:ind w:firstLine="0" w:firstLineChars="0"/>
              <w:jc w:val="center"/>
              <w:rPr>
                <w:rFonts w:eastAsia="仿宋"/>
                <w:sz w:val="24"/>
                <w:szCs w:val="21"/>
              </w:rPr>
            </w:pPr>
            <w:r>
              <w:rPr>
                <w:rFonts w:eastAsia="仿宋"/>
                <w:sz w:val="24"/>
                <w:szCs w:val="21"/>
              </w:rPr>
              <w:t>COD、SS、</w:t>
            </w:r>
            <w:r>
              <w:rPr>
                <w:rFonts w:hint="eastAsia" w:eastAsia="仿宋"/>
                <w:sz w:val="24"/>
                <w:szCs w:val="21"/>
              </w:rPr>
              <w:t>石油类</w:t>
            </w:r>
          </w:p>
        </w:tc>
        <w:tc>
          <w:tcPr>
            <w:tcW w:w="1134" w:type="dxa"/>
            <w:vAlign w:val="center"/>
          </w:tcPr>
          <w:p w14:paraId="7A81A94F">
            <w:pPr>
              <w:pStyle w:val="22"/>
              <w:adjustRightInd w:val="0"/>
              <w:snapToGrid w:val="0"/>
              <w:ind w:firstLine="0" w:firstLineChars="0"/>
              <w:jc w:val="center"/>
              <w:rPr>
                <w:rFonts w:eastAsia="仿宋"/>
                <w:sz w:val="24"/>
                <w:szCs w:val="21"/>
              </w:rPr>
            </w:pPr>
            <w:r>
              <w:rPr>
                <w:rFonts w:hint="eastAsia" w:eastAsia="仿宋"/>
                <w:sz w:val="24"/>
                <w:szCs w:val="21"/>
              </w:rPr>
              <w:t>污水处理站</w:t>
            </w:r>
          </w:p>
        </w:tc>
        <w:tc>
          <w:tcPr>
            <w:tcW w:w="1559" w:type="dxa"/>
            <w:vAlign w:val="center"/>
          </w:tcPr>
          <w:p w14:paraId="59CF4760">
            <w:pPr>
              <w:pStyle w:val="22"/>
              <w:adjustRightInd w:val="0"/>
              <w:snapToGrid w:val="0"/>
              <w:ind w:firstLine="0" w:firstLineChars="0"/>
              <w:jc w:val="center"/>
              <w:rPr>
                <w:rFonts w:eastAsia="仿宋"/>
                <w:sz w:val="24"/>
                <w:szCs w:val="21"/>
              </w:rPr>
            </w:pPr>
            <w:r>
              <w:rPr>
                <w:rFonts w:eastAsia="仿宋"/>
                <w:szCs w:val="22"/>
              </w:rPr>
              <w:t>间断排放，排放期间流量不稳定且无规律，但不属于冲击型排放</w:t>
            </w:r>
          </w:p>
        </w:tc>
        <w:tc>
          <w:tcPr>
            <w:tcW w:w="1219" w:type="dxa"/>
            <w:vAlign w:val="center"/>
          </w:tcPr>
          <w:p w14:paraId="4463B64B">
            <w:pPr>
              <w:pStyle w:val="22"/>
              <w:adjustRightInd w:val="0"/>
              <w:snapToGrid w:val="0"/>
              <w:ind w:firstLine="0" w:firstLineChars="0"/>
              <w:jc w:val="center"/>
              <w:rPr>
                <w:rFonts w:eastAsia="仿宋"/>
                <w:sz w:val="24"/>
                <w:szCs w:val="21"/>
              </w:rPr>
            </w:pPr>
            <w:r>
              <w:rPr>
                <w:rFonts w:hint="eastAsia" w:eastAsia="仿宋"/>
                <w:sz w:val="24"/>
                <w:szCs w:val="21"/>
              </w:rPr>
              <w:t>/</w:t>
            </w:r>
          </w:p>
        </w:tc>
        <w:tc>
          <w:tcPr>
            <w:tcW w:w="1219" w:type="dxa"/>
            <w:vAlign w:val="center"/>
          </w:tcPr>
          <w:p w14:paraId="12F8FEEB">
            <w:pPr>
              <w:pStyle w:val="22"/>
              <w:adjustRightInd w:val="0"/>
              <w:snapToGrid w:val="0"/>
              <w:ind w:firstLine="0" w:firstLineChars="0"/>
              <w:jc w:val="center"/>
              <w:rPr>
                <w:rFonts w:eastAsia="仿宋"/>
                <w:sz w:val="24"/>
                <w:szCs w:val="21"/>
              </w:rPr>
            </w:pPr>
            <w:r>
              <w:rPr>
                <w:rFonts w:hint="eastAsia" w:eastAsia="仿宋"/>
                <w:sz w:val="24"/>
                <w:szCs w:val="21"/>
              </w:rPr>
              <w:t>污水处理站</w:t>
            </w:r>
          </w:p>
        </w:tc>
        <w:tc>
          <w:tcPr>
            <w:tcW w:w="1219" w:type="dxa"/>
            <w:vAlign w:val="center"/>
          </w:tcPr>
          <w:p w14:paraId="3D631F5D">
            <w:pPr>
              <w:pStyle w:val="22"/>
              <w:adjustRightInd w:val="0"/>
              <w:snapToGrid w:val="0"/>
              <w:ind w:firstLine="0" w:firstLineChars="0"/>
              <w:jc w:val="center"/>
              <w:rPr>
                <w:rFonts w:eastAsia="仿宋"/>
                <w:sz w:val="24"/>
                <w:szCs w:val="21"/>
              </w:rPr>
            </w:pPr>
            <w:r>
              <w:rPr>
                <w:rFonts w:hint="eastAsia" w:eastAsia="仿宋"/>
                <w:sz w:val="24"/>
                <w:szCs w:val="21"/>
              </w:rPr>
              <w:t>p</w:t>
            </w:r>
            <w:r>
              <w:rPr>
                <w:rFonts w:eastAsia="仿宋"/>
                <w:sz w:val="24"/>
                <w:szCs w:val="21"/>
              </w:rPr>
              <w:t>H</w:t>
            </w:r>
            <w:r>
              <w:rPr>
                <w:rFonts w:hint="eastAsia" w:eastAsia="仿宋"/>
                <w:sz w:val="24"/>
                <w:szCs w:val="21"/>
              </w:rPr>
              <w:t>调节+絮凝沉淀+过滤</w:t>
            </w:r>
          </w:p>
        </w:tc>
        <w:tc>
          <w:tcPr>
            <w:tcW w:w="895" w:type="dxa"/>
            <w:vAlign w:val="center"/>
          </w:tcPr>
          <w:p w14:paraId="55A26635">
            <w:pPr>
              <w:pStyle w:val="22"/>
              <w:adjustRightInd w:val="0"/>
              <w:snapToGrid w:val="0"/>
              <w:ind w:firstLine="0" w:firstLineChars="0"/>
              <w:jc w:val="center"/>
              <w:rPr>
                <w:rFonts w:eastAsia="仿宋"/>
                <w:sz w:val="24"/>
                <w:szCs w:val="21"/>
              </w:rPr>
            </w:pPr>
            <w:r>
              <w:rPr>
                <w:rFonts w:eastAsia="仿宋"/>
                <w:sz w:val="24"/>
                <w:szCs w:val="21"/>
              </w:rPr>
              <w:t>DW0</w:t>
            </w:r>
            <w:r>
              <w:rPr>
                <w:rFonts w:hint="eastAsia" w:eastAsia="仿宋"/>
                <w:sz w:val="24"/>
                <w:szCs w:val="21"/>
              </w:rPr>
              <w:t>1</w:t>
            </w:r>
          </w:p>
        </w:tc>
        <w:tc>
          <w:tcPr>
            <w:tcW w:w="1559" w:type="dxa"/>
            <w:vAlign w:val="center"/>
          </w:tcPr>
          <w:p w14:paraId="015042BC">
            <w:pPr>
              <w:pStyle w:val="22"/>
              <w:adjustRightInd w:val="0"/>
              <w:snapToGrid w:val="0"/>
              <w:ind w:firstLine="0" w:firstLineChars="0"/>
              <w:jc w:val="center"/>
              <w:rPr>
                <w:rFonts w:eastAsia="仿宋"/>
                <w:sz w:val="24"/>
                <w:szCs w:val="21"/>
              </w:rPr>
            </w:pPr>
            <w:r>
              <w:rPr>
                <w:rFonts w:eastAsia="仿宋"/>
                <w:sz w:val="24"/>
                <w:szCs w:val="21"/>
              </w:rPr>
              <w:t>√是</w:t>
            </w:r>
          </w:p>
          <w:p w14:paraId="27D990A4">
            <w:pPr>
              <w:pStyle w:val="22"/>
              <w:adjustRightInd w:val="0"/>
              <w:snapToGrid w:val="0"/>
              <w:ind w:firstLine="0" w:firstLineChars="0"/>
              <w:jc w:val="center"/>
              <w:rPr>
                <w:rFonts w:eastAsia="仿宋"/>
                <w:sz w:val="24"/>
                <w:szCs w:val="21"/>
              </w:rPr>
            </w:pPr>
            <w:r>
              <w:rPr>
                <w:rFonts w:eastAsia="仿宋"/>
                <w:sz w:val="24"/>
                <w:szCs w:val="21"/>
              </w:rPr>
              <w:t>否</w:t>
            </w:r>
          </w:p>
        </w:tc>
        <w:tc>
          <w:tcPr>
            <w:tcW w:w="1985" w:type="dxa"/>
            <w:vAlign w:val="center"/>
          </w:tcPr>
          <w:p w14:paraId="0C0758A9">
            <w:pPr>
              <w:pStyle w:val="22"/>
              <w:adjustRightInd w:val="0"/>
              <w:snapToGrid w:val="0"/>
              <w:ind w:firstLine="0" w:firstLineChars="0"/>
              <w:jc w:val="center"/>
              <w:rPr>
                <w:rFonts w:eastAsia="仿宋"/>
                <w:sz w:val="24"/>
                <w:szCs w:val="21"/>
              </w:rPr>
            </w:pPr>
            <w:r>
              <w:rPr>
                <w:rFonts w:eastAsia="仿宋"/>
                <w:sz w:val="24"/>
                <w:szCs w:val="21"/>
              </w:rPr>
              <w:t>√企业总排口</w:t>
            </w:r>
          </w:p>
          <w:p w14:paraId="5FFFA6F4">
            <w:pPr>
              <w:pStyle w:val="22"/>
              <w:adjustRightInd w:val="0"/>
              <w:snapToGrid w:val="0"/>
              <w:ind w:firstLine="0" w:firstLineChars="0"/>
              <w:jc w:val="center"/>
              <w:rPr>
                <w:rFonts w:eastAsia="仿宋"/>
                <w:sz w:val="24"/>
                <w:szCs w:val="21"/>
              </w:rPr>
            </w:pPr>
            <w:r>
              <w:rPr>
                <w:rFonts w:eastAsia="仿宋"/>
                <w:sz w:val="24"/>
                <w:szCs w:val="21"/>
              </w:rPr>
              <w:t>□雨水排放口</w:t>
            </w:r>
          </w:p>
          <w:p w14:paraId="26AF7E1E">
            <w:pPr>
              <w:pStyle w:val="22"/>
              <w:adjustRightInd w:val="0"/>
              <w:snapToGrid w:val="0"/>
              <w:ind w:firstLine="0" w:firstLineChars="0"/>
              <w:jc w:val="center"/>
              <w:rPr>
                <w:rFonts w:eastAsia="仿宋"/>
                <w:sz w:val="24"/>
                <w:szCs w:val="21"/>
              </w:rPr>
            </w:pPr>
            <w:r>
              <w:rPr>
                <w:rFonts w:eastAsia="仿宋"/>
                <w:sz w:val="24"/>
                <w:szCs w:val="21"/>
              </w:rPr>
              <w:t>□清净下水排放口</w:t>
            </w:r>
          </w:p>
          <w:p w14:paraId="3197F14E">
            <w:pPr>
              <w:pStyle w:val="22"/>
              <w:adjustRightInd w:val="0"/>
              <w:snapToGrid w:val="0"/>
              <w:ind w:firstLine="0" w:firstLineChars="0"/>
              <w:jc w:val="center"/>
              <w:rPr>
                <w:rFonts w:eastAsia="仿宋"/>
                <w:sz w:val="24"/>
                <w:szCs w:val="21"/>
              </w:rPr>
            </w:pPr>
            <w:r>
              <w:rPr>
                <w:rFonts w:eastAsia="仿宋"/>
                <w:sz w:val="24"/>
                <w:szCs w:val="21"/>
              </w:rPr>
              <w:t>□温排水排放口</w:t>
            </w:r>
          </w:p>
          <w:p w14:paraId="2A371B94">
            <w:pPr>
              <w:pStyle w:val="22"/>
              <w:adjustRightInd w:val="0"/>
              <w:snapToGrid w:val="0"/>
              <w:ind w:firstLine="0" w:firstLineChars="0"/>
              <w:jc w:val="center"/>
              <w:rPr>
                <w:rFonts w:eastAsia="仿宋"/>
                <w:sz w:val="24"/>
                <w:szCs w:val="21"/>
              </w:rPr>
            </w:pPr>
            <w:r>
              <w:rPr>
                <w:rFonts w:eastAsia="仿宋"/>
                <w:sz w:val="24"/>
                <w:szCs w:val="21"/>
              </w:rPr>
              <w:t>√车间或车间处理设施排放口</w:t>
            </w:r>
          </w:p>
        </w:tc>
      </w:tr>
      <w:tr w14:paraId="3947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vAlign w:val="center"/>
          </w:tcPr>
          <w:p w14:paraId="10A5A3EF">
            <w:pPr>
              <w:pStyle w:val="22"/>
              <w:adjustRightInd w:val="0"/>
              <w:snapToGrid w:val="0"/>
              <w:ind w:firstLine="0" w:firstLineChars="0"/>
              <w:jc w:val="center"/>
              <w:rPr>
                <w:rFonts w:eastAsia="仿宋"/>
                <w:sz w:val="24"/>
                <w:szCs w:val="21"/>
              </w:rPr>
            </w:pPr>
            <w:r>
              <w:rPr>
                <w:rFonts w:hint="eastAsia" w:eastAsia="仿宋"/>
                <w:sz w:val="24"/>
                <w:szCs w:val="21"/>
              </w:rPr>
              <w:t>2</w:t>
            </w:r>
          </w:p>
        </w:tc>
        <w:tc>
          <w:tcPr>
            <w:tcW w:w="1181" w:type="dxa"/>
            <w:vAlign w:val="center"/>
          </w:tcPr>
          <w:p w14:paraId="7F67743C">
            <w:pPr>
              <w:pStyle w:val="22"/>
              <w:adjustRightInd w:val="0"/>
              <w:snapToGrid w:val="0"/>
              <w:ind w:firstLine="0" w:firstLineChars="0"/>
              <w:jc w:val="center"/>
              <w:rPr>
                <w:rFonts w:eastAsia="仿宋"/>
                <w:sz w:val="24"/>
                <w:szCs w:val="21"/>
              </w:rPr>
            </w:pPr>
            <w:r>
              <w:rPr>
                <w:rFonts w:hint="eastAsia" w:eastAsia="仿宋"/>
                <w:sz w:val="24"/>
                <w:szCs w:val="21"/>
              </w:rPr>
              <w:t>混合污水</w:t>
            </w:r>
          </w:p>
        </w:tc>
        <w:tc>
          <w:tcPr>
            <w:tcW w:w="1371" w:type="dxa"/>
            <w:vAlign w:val="center"/>
          </w:tcPr>
          <w:p w14:paraId="53C3731C">
            <w:pPr>
              <w:pStyle w:val="22"/>
              <w:adjustRightInd w:val="0"/>
              <w:snapToGrid w:val="0"/>
              <w:ind w:firstLine="0" w:firstLineChars="0"/>
              <w:jc w:val="center"/>
              <w:rPr>
                <w:rFonts w:eastAsia="仿宋"/>
                <w:sz w:val="24"/>
                <w:szCs w:val="21"/>
              </w:rPr>
            </w:pPr>
            <w:r>
              <w:rPr>
                <w:rFonts w:eastAsia="仿宋"/>
                <w:sz w:val="24"/>
                <w:szCs w:val="21"/>
              </w:rPr>
              <w:t>COD、SS、TN、NH</w:t>
            </w:r>
            <w:r>
              <w:rPr>
                <w:rFonts w:eastAsia="仿宋"/>
                <w:sz w:val="24"/>
                <w:szCs w:val="21"/>
                <w:vertAlign w:val="subscript"/>
              </w:rPr>
              <w:t>3</w:t>
            </w:r>
            <w:r>
              <w:rPr>
                <w:rFonts w:eastAsia="仿宋"/>
                <w:sz w:val="24"/>
                <w:szCs w:val="21"/>
              </w:rPr>
              <w:t>-N、TP、动植物油</w:t>
            </w:r>
            <w:r>
              <w:rPr>
                <w:rFonts w:hint="eastAsia" w:eastAsia="仿宋"/>
                <w:sz w:val="24"/>
                <w:szCs w:val="21"/>
              </w:rPr>
              <w:t>、石油类</w:t>
            </w:r>
          </w:p>
        </w:tc>
        <w:tc>
          <w:tcPr>
            <w:tcW w:w="1134" w:type="dxa"/>
            <w:vAlign w:val="center"/>
          </w:tcPr>
          <w:p w14:paraId="203F4263">
            <w:pPr>
              <w:pStyle w:val="22"/>
              <w:adjustRightInd w:val="0"/>
              <w:snapToGrid w:val="0"/>
              <w:ind w:firstLine="0" w:firstLineChars="0"/>
              <w:jc w:val="center"/>
              <w:rPr>
                <w:rFonts w:eastAsia="仿宋"/>
                <w:sz w:val="24"/>
                <w:szCs w:val="21"/>
              </w:rPr>
            </w:pPr>
            <w:r>
              <w:rPr>
                <w:rFonts w:eastAsia="仿宋"/>
                <w:sz w:val="24"/>
                <w:szCs w:val="21"/>
              </w:rPr>
              <w:t>城市污水处理厂</w:t>
            </w:r>
          </w:p>
        </w:tc>
        <w:tc>
          <w:tcPr>
            <w:tcW w:w="1559" w:type="dxa"/>
            <w:vAlign w:val="center"/>
          </w:tcPr>
          <w:p w14:paraId="3C05A535">
            <w:pPr>
              <w:pStyle w:val="22"/>
              <w:adjustRightInd w:val="0"/>
              <w:snapToGrid w:val="0"/>
              <w:ind w:firstLine="0" w:firstLineChars="0"/>
              <w:jc w:val="center"/>
              <w:rPr>
                <w:rFonts w:eastAsia="仿宋"/>
                <w:sz w:val="24"/>
                <w:szCs w:val="21"/>
              </w:rPr>
            </w:pPr>
            <w:r>
              <w:rPr>
                <w:rFonts w:eastAsia="仿宋"/>
                <w:sz w:val="24"/>
                <w:szCs w:val="21"/>
              </w:rPr>
              <w:t>间断排放，排放期间流量不稳定且无规律，但不属于冲击型排放</w:t>
            </w:r>
          </w:p>
        </w:tc>
        <w:tc>
          <w:tcPr>
            <w:tcW w:w="1219" w:type="dxa"/>
            <w:vAlign w:val="center"/>
          </w:tcPr>
          <w:p w14:paraId="7983AFAC">
            <w:pPr>
              <w:pStyle w:val="22"/>
              <w:adjustRightInd w:val="0"/>
              <w:snapToGrid w:val="0"/>
              <w:ind w:firstLine="0" w:firstLineChars="0"/>
              <w:jc w:val="center"/>
              <w:rPr>
                <w:rFonts w:eastAsia="仿宋"/>
                <w:sz w:val="24"/>
                <w:szCs w:val="21"/>
              </w:rPr>
            </w:pPr>
            <w:r>
              <w:rPr>
                <w:rFonts w:eastAsia="仿宋"/>
                <w:sz w:val="24"/>
                <w:szCs w:val="21"/>
              </w:rPr>
              <w:t>/</w:t>
            </w:r>
          </w:p>
        </w:tc>
        <w:tc>
          <w:tcPr>
            <w:tcW w:w="1219" w:type="dxa"/>
            <w:vAlign w:val="center"/>
          </w:tcPr>
          <w:p w14:paraId="308D324D">
            <w:pPr>
              <w:pStyle w:val="22"/>
              <w:adjustRightInd w:val="0"/>
              <w:snapToGrid w:val="0"/>
              <w:ind w:firstLine="0" w:firstLineChars="0"/>
              <w:jc w:val="center"/>
              <w:rPr>
                <w:rFonts w:eastAsia="仿宋"/>
                <w:sz w:val="24"/>
                <w:szCs w:val="21"/>
              </w:rPr>
            </w:pPr>
            <w:r>
              <w:rPr>
                <w:rFonts w:hint="eastAsia" w:eastAsia="仿宋"/>
                <w:sz w:val="24"/>
                <w:szCs w:val="21"/>
              </w:rPr>
              <w:t>/</w:t>
            </w:r>
          </w:p>
        </w:tc>
        <w:tc>
          <w:tcPr>
            <w:tcW w:w="1219" w:type="dxa"/>
            <w:vAlign w:val="center"/>
          </w:tcPr>
          <w:p w14:paraId="780E996F">
            <w:pPr>
              <w:pStyle w:val="22"/>
              <w:adjustRightInd w:val="0"/>
              <w:snapToGrid w:val="0"/>
              <w:ind w:firstLine="0" w:firstLineChars="0"/>
              <w:jc w:val="center"/>
              <w:rPr>
                <w:rFonts w:eastAsia="仿宋"/>
                <w:sz w:val="24"/>
                <w:szCs w:val="21"/>
              </w:rPr>
            </w:pPr>
            <w:r>
              <w:rPr>
                <w:rFonts w:hint="eastAsia" w:eastAsia="仿宋"/>
                <w:sz w:val="24"/>
                <w:szCs w:val="21"/>
              </w:rPr>
              <w:t>/</w:t>
            </w:r>
          </w:p>
        </w:tc>
        <w:tc>
          <w:tcPr>
            <w:tcW w:w="895" w:type="dxa"/>
            <w:vAlign w:val="center"/>
          </w:tcPr>
          <w:p w14:paraId="7A09BF22">
            <w:pPr>
              <w:pStyle w:val="22"/>
              <w:adjustRightInd w:val="0"/>
              <w:snapToGrid w:val="0"/>
              <w:ind w:firstLine="0" w:firstLineChars="0"/>
              <w:jc w:val="center"/>
              <w:rPr>
                <w:rFonts w:eastAsia="仿宋"/>
                <w:sz w:val="24"/>
                <w:szCs w:val="21"/>
              </w:rPr>
            </w:pPr>
            <w:r>
              <w:rPr>
                <w:rFonts w:eastAsia="仿宋"/>
                <w:sz w:val="24"/>
                <w:szCs w:val="21"/>
              </w:rPr>
              <w:t>DW0</w:t>
            </w:r>
            <w:r>
              <w:rPr>
                <w:rFonts w:hint="eastAsia" w:eastAsia="仿宋"/>
                <w:sz w:val="24"/>
                <w:szCs w:val="21"/>
              </w:rPr>
              <w:t>2</w:t>
            </w:r>
          </w:p>
        </w:tc>
        <w:tc>
          <w:tcPr>
            <w:tcW w:w="1559" w:type="dxa"/>
            <w:vAlign w:val="center"/>
          </w:tcPr>
          <w:p w14:paraId="683B6B38">
            <w:pPr>
              <w:pStyle w:val="22"/>
              <w:adjustRightInd w:val="0"/>
              <w:snapToGrid w:val="0"/>
              <w:ind w:firstLine="0" w:firstLineChars="0"/>
              <w:jc w:val="center"/>
              <w:rPr>
                <w:rFonts w:eastAsia="仿宋"/>
                <w:sz w:val="24"/>
                <w:szCs w:val="21"/>
              </w:rPr>
            </w:pPr>
            <w:r>
              <w:rPr>
                <w:rFonts w:eastAsia="仿宋"/>
                <w:sz w:val="24"/>
                <w:szCs w:val="21"/>
              </w:rPr>
              <w:t>√是</w:t>
            </w:r>
          </w:p>
          <w:p w14:paraId="25AA4AC1">
            <w:pPr>
              <w:pStyle w:val="22"/>
              <w:adjustRightInd w:val="0"/>
              <w:snapToGrid w:val="0"/>
              <w:ind w:firstLine="0" w:firstLineChars="0"/>
              <w:jc w:val="center"/>
              <w:rPr>
                <w:rFonts w:eastAsia="仿宋"/>
                <w:sz w:val="24"/>
                <w:szCs w:val="21"/>
              </w:rPr>
            </w:pPr>
            <w:r>
              <w:rPr>
                <w:rFonts w:eastAsia="仿宋"/>
                <w:sz w:val="24"/>
                <w:szCs w:val="21"/>
              </w:rPr>
              <w:t>否</w:t>
            </w:r>
          </w:p>
        </w:tc>
        <w:tc>
          <w:tcPr>
            <w:tcW w:w="1985" w:type="dxa"/>
            <w:vAlign w:val="center"/>
          </w:tcPr>
          <w:p w14:paraId="7182BE5E">
            <w:pPr>
              <w:pStyle w:val="22"/>
              <w:adjustRightInd w:val="0"/>
              <w:snapToGrid w:val="0"/>
              <w:ind w:firstLine="0" w:firstLineChars="0"/>
              <w:jc w:val="center"/>
              <w:rPr>
                <w:rFonts w:eastAsia="仿宋"/>
                <w:sz w:val="24"/>
                <w:szCs w:val="21"/>
              </w:rPr>
            </w:pPr>
            <w:r>
              <w:rPr>
                <w:rFonts w:eastAsia="仿宋"/>
                <w:sz w:val="24"/>
                <w:szCs w:val="21"/>
              </w:rPr>
              <w:t>√企业总排口</w:t>
            </w:r>
          </w:p>
          <w:p w14:paraId="3349310A">
            <w:pPr>
              <w:pStyle w:val="22"/>
              <w:adjustRightInd w:val="0"/>
              <w:snapToGrid w:val="0"/>
              <w:ind w:firstLine="0" w:firstLineChars="0"/>
              <w:jc w:val="center"/>
              <w:rPr>
                <w:rFonts w:eastAsia="仿宋"/>
                <w:sz w:val="24"/>
                <w:szCs w:val="21"/>
              </w:rPr>
            </w:pPr>
            <w:r>
              <w:rPr>
                <w:rFonts w:eastAsia="仿宋"/>
                <w:sz w:val="24"/>
                <w:szCs w:val="21"/>
              </w:rPr>
              <w:t>□雨水排放口</w:t>
            </w:r>
          </w:p>
          <w:p w14:paraId="5D6C4535">
            <w:pPr>
              <w:pStyle w:val="22"/>
              <w:adjustRightInd w:val="0"/>
              <w:snapToGrid w:val="0"/>
              <w:ind w:firstLine="0" w:firstLineChars="0"/>
              <w:jc w:val="center"/>
              <w:rPr>
                <w:rFonts w:eastAsia="仿宋"/>
                <w:sz w:val="24"/>
                <w:szCs w:val="21"/>
              </w:rPr>
            </w:pPr>
            <w:r>
              <w:rPr>
                <w:rFonts w:eastAsia="仿宋"/>
                <w:sz w:val="24"/>
                <w:szCs w:val="21"/>
              </w:rPr>
              <w:t>□清净下水排放口</w:t>
            </w:r>
          </w:p>
          <w:p w14:paraId="152EB736">
            <w:pPr>
              <w:pStyle w:val="22"/>
              <w:adjustRightInd w:val="0"/>
              <w:snapToGrid w:val="0"/>
              <w:ind w:firstLine="0" w:firstLineChars="0"/>
              <w:jc w:val="center"/>
              <w:rPr>
                <w:rFonts w:eastAsia="仿宋"/>
                <w:sz w:val="24"/>
                <w:szCs w:val="21"/>
              </w:rPr>
            </w:pPr>
            <w:r>
              <w:rPr>
                <w:rFonts w:eastAsia="仿宋"/>
                <w:sz w:val="24"/>
                <w:szCs w:val="21"/>
              </w:rPr>
              <w:t>□温排水排放口</w:t>
            </w:r>
          </w:p>
          <w:p w14:paraId="5C45BCAB">
            <w:pPr>
              <w:pStyle w:val="22"/>
              <w:adjustRightInd w:val="0"/>
              <w:snapToGrid w:val="0"/>
              <w:ind w:firstLine="0" w:firstLineChars="0"/>
              <w:jc w:val="center"/>
              <w:rPr>
                <w:rFonts w:eastAsia="仿宋"/>
                <w:sz w:val="24"/>
                <w:szCs w:val="21"/>
              </w:rPr>
            </w:pPr>
            <w:r>
              <w:rPr>
                <w:rFonts w:eastAsia="仿宋"/>
                <w:sz w:val="24"/>
                <w:szCs w:val="21"/>
              </w:rPr>
              <w:t>□车间或车间处理设施排放口</w:t>
            </w:r>
          </w:p>
        </w:tc>
      </w:tr>
    </w:tbl>
    <w:p w14:paraId="73FE302B">
      <w:pPr>
        <w:spacing w:line="500" w:lineRule="exact"/>
        <w:ind w:firstLine="482" w:firstLineChars="200"/>
        <w:jc w:val="center"/>
        <w:rPr>
          <w:rFonts w:ascii="Times New Roman" w:eastAsia="仿宋"/>
          <w:sz w:val="28"/>
          <w:szCs w:val="28"/>
        </w:rPr>
      </w:pPr>
      <w:r>
        <w:rPr>
          <w:rFonts w:ascii="Times New Roman" w:eastAsia="仿宋"/>
          <w:b/>
        </w:rPr>
        <w:t xml:space="preserve">表5.2-27 本项目废水间接排放口基本情况表 </w:t>
      </w:r>
    </w:p>
    <w:tbl>
      <w:tblPr>
        <w:tblStyle w:val="87"/>
        <w:tblW w:w="13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979"/>
        <w:gridCol w:w="1279"/>
        <w:gridCol w:w="1279"/>
        <w:gridCol w:w="1287"/>
        <w:gridCol w:w="1134"/>
        <w:gridCol w:w="1502"/>
        <w:gridCol w:w="908"/>
        <w:gridCol w:w="992"/>
        <w:gridCol w:w="1404"/>
        <w:gridCol w:w="1276"/>
        <w:gridCol w:w="1276"/>
      </w:tblGrid>
      <w:tr w14:paraId="0CF2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Merge w:val="restart"/>
            <w:vAlign w:val="center"/>
          </w:tcPr>
          <w:p w14:paraId="13930E39">
            <w:pPr>
              <w:pStyle w:val="22"/>
              <w:adjustRightInd w:val="0"/>
              <w:snapToGrid w:val="0"/>
              <w:ind w:firstLine="0" w:firstLineChars="0"/>
              <w:jc w:val="center"/>
              <w:rPr>
                <w:rFonts w:eastAsia="仿宋"/>
                <w:sz w:val="24"/>
                <w:szCs w:val="21"/>
              </w:rPr>
            </w:pPr>
            <w:r>
              <w:rPr>
                <w:rFonts w:eastAsia="仿宋"/>
                <w:sz w:val="24"/>
                <w:szCs w:val="21"/>
              </w:rPr>
              <w:t>序号</w:t>
            </w:r>
          </w:p>
        </w:tc>
        <w:tc>
          <w:tcPr>
            <w:tcW w:w="979" w:type="dxa"/>
            <w:vMerge w:val="restart"/>
            <w:vAlign w:val="center"/>
          </w:tcPr>
          <w:p w14:paraId="05F6E2A9">
            <w:pPr>
              <w:pStyle w:val="22"/>
              <w:adjustRightInd w:val="0"/>
              <w:snapToGrid w:val="0"/>
              <w:ind w:firstLine="0" w:firstLineChars="0"/>
              <w:jc w:val="center"/>
              <w:rPr>
                <w:rFonts w:eastAsia="仿宋"/>
                <w:sz w:val="24"/>
                <w:szCs w:val="21"/>
              </w:rPr>
            </w:pPr>
            <w:r>
              <w:rPr>
                <w:rFonts w:eastAsia="仿宋"/>
                <w:sz w:val="24"/>
                <w:szCs w:val="21"/>
              </w:rPr>
              <w:t>排放口编号</w:t>
            </w:r>
          </w:p>
        </w:tc>
        <w:tc>
          <w:tcPr>
            <w:tcW w:w="2558" w:type="dxa"/>
            <w:gridSpan w:val="2"/>
            <w:vAlign w:val="center"/>
          </w:tcPr>
          <w:p w14:paraId="1C6E1646">
            <w:pPr>
              <w:pStyle w:val="22"/>
              <w:adjustRightInd w:val="0"/>
              <w:snapToGrid w:val="0"/>
              <w:ind w:firstLine="0" w:firstLineChars="0"/>
              <w:jc w:val="center"/>
              <w:rPr>
                <w:rFonts w:eastAsia="仿宋"/>
                <w:sz w:val="24"/>
                <w:szCs w:val="21"/>
              </w:rPr>
            </w:pPr>
            <w:r>
              <w:rPr>
                <w:rFonts w:eastAsia="仿宋"/>
                <w:sz w:val="24"/>
                <w:szCs w:val="21"/>
              </w:rPr>
              <w:t>排放口地理坐标</w:t>
            </w:r>
          </w:p>
        </w:tc>
        <w:tc>
          <w:tcPr>
            <w:tcW w:w="1287" w:type="dxa"/>
            <w:vMerge w:val="restart"/>
            <w:vAlign w:val="center"/>
          </w:tcPr>
          <w:p w14:paraId="64A665B6">
            <w:pPr>
              <w:pStyle w:val="22"/>
              <w:adjustRightInd w:val="0"/>
              <w:snapToGrid w:val="0"/>
              <w:ind w:firstLine="0" w:firstLineChars="0"/>
              <w:jc w:val="center"/>
              <w:rPr>
                <w:rFonts w:eastAsia="仿宋"/>
                <w:sz w:val="24"/>
                <w:szCs w:val="21"/>
              </w:rPr>
            </w:pPr>
            <w:r>
              <w:rPr>
                <w:rFonts w:eastAsia="仿宋"/>
                <w:sz w:val="24"/>
                <w:szCs w:val="21"/>
              </w:rPr>
              <w:t>废水排放量（万t/a）</w:t>
            </w:r>
          </w:p>
        </w:tc>
        <w:tc>
          <w:tcPr>
            <w:tcW w:w="1134" w:type="dxa"/>
            <w:vMerge w:val="restart"/>
            <w:vAlign w:val="center"/>
          </w:tcPr>
          <w:p w14:paraId="3B0D84F8">
            <w:pPr>
              <w:pStyle w:val="22"/>
              <w:adjustRightInd w:val="0"/>
              <w:snapToGrid w:val="0"/>
              <w:ind w:firstLine="0" w:firstLineChars="0"/>
              <w:jc w:val="center"/>
              <w:rPr>
                <w:rFonts w:eastAsia="仿宋"/>
                <w:sz w:val="24"/>
                <w:szCs w:val="21"/>
              </w:rPr>
            </w:pPr>
            <w:r>
              <w:rPr>
                <w:rFonts w:eastAsia="仿宋"/>
                <w:sz w:val="24"/>
                <w:szCs w:val="21"/>
              </w:rPr>
              <w:t>排放去向</w:t>
            </w:r>
          </w:p>
        </w:tc>
        <w:tc>
          <w:tcPr>
            <w:tcW w:w="1502" w:type="dxa"/>
            <w:vMerge w:val="restart"/>
            <w:vAlign w:val="center"/>
          </w:tcPr>
          <w:p w14:paraId="70E4842B">
            <w:pPr>
              <w:pStyle w:val="22"/>
              <w:adjustRightInd w:val="0"/>
              <w:snapToGrid w:val="0"/>
              <w:ind w:firstLine="0" w:firstLineChars="0"/>
              <w:jc w:val="center"/>
              <w:rPr>
                <w:rFonts w:eastAsia="仿宋"/>
                <w:sz w:val="24"/>
                <w:szCs w:val="21"/>
              </w:rPr>
            </w:pPr>
            <w:r>
              <w:rPr>
                <w:rFonts w:eastAsia="仿宋"/>
                <w:sz w:val="24"/>
                <w:szCs w:val="21"/>
              </w:rPr>
              <w:t>排放规律</w:t>
            </w:r>
          </w:p>
        </w:tc>
        <w:tc>
          <w:tcPr>
            <w:tcW w:w="908" w:type="dxa"/>
            <w:vMerge w:val="restart"/>
            <w:vAlign w:val="center"/>
          </w:tcPr>
          <w:p w14:paraId="3015BE31">
            <w:pPr>
              <w:pStyle w:val="22"/>
              <w:adjustRightInd w:val="0"/>
              <w:snapToGrid w:val="0"/>
              <w:ind w:firstLine="0" w:firstLineChars="0"/>
              <w:jc w:val="center"/>
              <w:rPr>
                <w:rFonts w:eastAsia="仿宋"/>
                <w:sz w:val="24"/>
                <w:szCs w:val="21"/>
              </w:rPr>
            </w:pPr>
            <w:r>
              <w:rPr>
                <w:rFonts w:eastAsia="仿宋"/>
                <w:sz w:val="24"/>
                <w:szCs w:val="21"/>
              </w:rPr>
              <w:t>间歇排放时段</w:t>
            </w:r>
          </w:p>
        </w:tc>
        <w:tc>
          <w:tcPr>
            <w:tcW w:w="4948" w:type="dxa"/>
            <w:gridSpan w:val="4"/>
            <w:vAlign w:val="center"/>
          </w:tcPr>
          <w:p w14:paraId="3431D45E">
            <w:pPr>
              <w:pStyle w:val="22"/>
              <w:adjustRightInd w:val="0"/>
              <w:snapToGrid w:val="0"/>
              <w:ind w:firstLine="0" w:firstLineChars="0"/>
              <w:jc w:val="center"/>
              <w:rPr>
                <w:rFonts w:eastAsia="仿宋"/>
                <w:sz w:val="24"/>
                <w:szCs w:val="21"/>
              </w:rPr>
            </w:pPr>
            <w:r>
              <w:rPr>
                <w:rFonts w:eastAsia="仿宋"/>
                <w:sz w:val="24"/>
                <w:szCs w:val="21"/>
              </w:rPr>
              <w:t>受纳污水厂信息</w:t>
            </w:r>
          </w:p>
        </w:tc>
      </w:tr>
      <w:tr w14:paraId="7EC3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Merge w:val="continue"/>
            <w:vAlign w:val="center"/>
          </w:tcPr>
          <w:p w14:paraId="06559596">
            <w:pPr>
              <w:pStyle w:val="22"/>
              <w:adjustRightInd w:val="0"/>
              <w:snapToGrid w:val="0"/>
              <w:ind w:firstLine="0" w:firstLineChars="0"/>
              <w:jc w:val="center"/>
              <w:rPr>
                <w:rFonts w:eastAsia="仿宋"/>
                <w:sz w:val="24"/>
                <w:szCs w:val="21"/>
              </w:rPr>
            </w:pPr>
          </w:p>
        </w:tc>
        <w:tc>
          <w:tcPr>
            <w:tcW w:w="979" w:type="dxa"/>
            <w:vMerge w:val="continue"/>
            <w:vAlign w:val="center"/>
          </w:tcPr>
          <w:p w14:paraId="442191F5">
            <w:pPr>
              <w:pStyle w:val="22"/>
              <w:adjustRightInd w:val="0"/>
              <w:snapToGrid w:val="0"/>
              <w:ind w:firstLine="0" w:firstLineChars="0"/>
              <w:jc w:val="center"/>
              <w:rPr>
                <w:rFonts w:eastAsia="仿宋"/>
                <w:sz w:val="24"/>
                <w:szCs w:val="21"/>
              </w:rPr>
            </w:pPr>
          </w:p>
        </w:tc>
        <w:tc>
          <w:tcPr>
            <w:tcW w:w="1279" w:type="dxa"/>
            <w:vAlign w:val="center"/>
          </w:tcPr>
          <w:p w14:paraId="400B6F9F">
            <w:pPr>
              <w:pStyle w:val="22"/>
              <w:adjustRightInd w:val="0"/>
              <w:snapToGrid w:val="0"/>
              <w:ind w:firstLine="0" w:firstLineChars="0"/>
              <w:jc w:val="center"/>
              <w:rPr>
                <w:rFonts w:eastAsia="仿宋"/>
                <w:sz w:val="24"/>
                <w:szCs w:val="21"/>
              </w:rPr>
            </w:pPr>
            <w:r>
              <w:rPr>
                <w:rFonts w:eastAsia="仿宋"/>
                <w:sz w:val="24"/>
                <w:szCs w:val="21"/>
              </w:rPr>
              <w:t>经度</w:t>
            </w:r>
          </w:p>
        </w:tc>
        <w:tc>
          <w:tcPr>
            <w:tcW w:w="1279" w:type="dxa"/>
            <w:vAlign w:val="center"/>
          </w:tcPr>
          <w:p w14:paraId="42A1B69A">
            <w:pPr>
              <w:pStyle w:val="22"/>
              <w:adjustRightInd w:val="0"/>
              <w:snapToGrid w:val="0"/>
              <w:ind w:firstLine="0" w:firstLineChars="0"/>
              <w:jc w:val="center"/>
              <w:rPr>
                <w:rFonts w:eastAsia="仿宋"/>
                <w:sz w:val="24"/>
                <w:szCs w:val="21"/>
              </w:rPr>
            </w:pPr>
            <w:r>
              <w:rPr>
                <w:rFonts w:eastAsia="仿宋"/>
                <w:sz w:val="24"/>
                <w:szCs w:val="21"/>
              </w:rPr>
              <w:t>纬度</w:t>
            </w:r>
          </w:p>
        </w:tc>
        <w:tc>
          <w:tcPr>
            <w:tcW w:w="1287" w:type="dxa"/>
            <w:vMerge w:val="continue"/>
            <w:vAlign w:val="center"/>
          </w:tcPr>
          <w:p w14:paraId="17A84470">
            <w:pPr>
              <w:pStyle w:val="22"/>
              <w:adjustRightInd w:val="0"/>
              <w:snapToGrid w:val="0"/>
              <w:ind w:firstLine="0" w:firstLineChars="0"/>
              <w:jc w:val="center"/>
              <w:rPr>
                <w:rFonts w:eastAsia="仿宋"/>
                <w:sz w:val="24"/>
                <w:szCs w:val="21"/>
              </w:rPr>
            </w:pPr>
          </w:p>
        </w:tc>
        <w:tc>
          <w:tcPr>
            <w:tcW w:w="1134" w:type="dxa"/>
            <w:vMerge w:val="continue"/>
            <w:vAlign w:val="center"/>
          </w:tcPr>
          <w:p w14:paraId="36555E92">
            <w:pPr>
              <w:pStyle w:val="22"/>
              <w:adjustRightInd w:val="0"/>
              <w:snapToGrid w:val="0"/>
              <w:ind w:firstLine="0" w:firstLineChars="0"/>
              <w:jc w:val="center"/>
              <w:rPr>
                <w:rFonts w:eastAsia="仿宋"/>
                <w:sz w:val="24"/>
                <w:szCs w:val="21"/>
              </w:rPr>
            </w:pPr>
          </w:p>
        </w:tc>
        <w:tc>
          <w:tcPr>
            <w:tcW w:w="1502" w:type="dxa"/>
            <w:vMerge w:val="continue"/>
            <w:vAlign w:val="center"/>
          </w:tcPr>
          <w:p w14:paraId="114D1F74">
            <w:pPr>
              <w:pStyle w:val="22"/>
              <w:adjustRightInd w:val="0"/>
              <w:snapToGrid w:val="0"/>
              <w:ind w:firstLine="0" w:firstLineChars="0"/>
              <w:jc w:val="center"/>
              <w:rPr>
                <w:rFonts w:eastAsia="仿宋"/>
                <w:sz w:val="24"/>
                <w:szCs w:val="21"/>
              </w:rPr>
            </w:pPr>
          </w:p>
        </w:tc>
        <w:tc>
          <w:tcPr>
            <w:tcW w:w="908" w:type="dxa"/>
            <w:vMerge w:val="continue"/>
            <w:vAlign w:val="center"/>
          </w:tcPr>
          <w:p w14:paraId="067653B2">
            <w:pPr>
              <w:pStyle w:val="22"/>
              <w:adjustRightInd w:val="0"/>
              <w:snapToGrid w:val="0"/>
              <w:ind w:firstLine="0" w:firstLineChars="0"/>
              <w:jc w:val="center"/>
              <w:rPr>
                <w:rFonts w:eastAsia="仿宋"/>
                <w:sz w:val="24"/>
                <w:szCs w:val="21"/>
              </w:rPr>
            </w:pPr>
          </w:p>
        </w:tc>
        <w:tc>
          <w:tcPr>
            <w:tcW w:w="992" w:type="dxa"/>
            <w:vAlign w:val="center"/>
          </w:tcPr>
          <w:p w14:paraId="3EBE6880">
            <w:pPr>
              <w:pStyle w:val="22"/>
              <w:adjustRightInd w:val="0"/>
              <w:snapToGrid w:val="0"/>
              <w:ind w:firstLine="0" w:firstLineChars="0"/>
              <w:jc w:val="center"/>
              <w:rPr>
                <w:rFonts w:eastAsia="仿宋"/>
                <w:sz w:val="24"/>
                <w:szCs w:val="21"/>
              </w:rPr>
            </w:pPr>
            <w:r>
              <w:rPr>
                <w:rFonts w:eastAsia="仿宋"/>
                <w:sz w:val="24"/>
                <w:szCs w:val="21"/>
              </w:rPr>
              <w:t>名称</w:t>
            </w:r>
          </w:p>
        </w:tc>
        <w:tc>
          <w:tcPr>
            <w:tcW w:w="1404" w:type="dxa"/>
            <w:vAlign w:val="center"/>
          </w:tcPr>
          <w:p w14:paraId="159116AC">
            <w:pPr>
              <w:pStyle w:val="22"/>
              <w:adjustRightInd w:val="0"/>
              <w:snapToGrid w:val="0"/>
              <w:ind w:firstLine="0" w:firstLineChars="0"/>
              <w:jc w:val="center"/>
              <w:rPr>
                <w:rFonts w:eastAsia="仿宋"/>
                <w:sz w:val="24"/>
                <w:szCs w:val="21"/>
              </w:rPr>
            </w:pPr>
            <w:r>
              <w:rPr>
                <w:rFonts w:eastAsia="仿宋"/>
                <w:sz w:val="24"/>
                <w:szCs w:val="21"/>
              </w:rPr>
              <w:t>污染物种类</w:t>
            </w:r>
          </w:p>
        </w:tc>
        <w:tc>
          <w:tcPr>
            <w:tcW w:w="2552" w:type="dxa"/>
            <w:gridSpan w:val="2"/>
            <w:vAlign w:val="center"/>
          </w:tcPr>
          <w:p w14:paraId="6D9CC37A">
            <w:pPr>
              <w:pStyle w:val="22"/>
              <w:adjustRightInd w:val="0"/>
              <w:snapToGrid w:val="0"/>
              <w:ind w:firstLine="0" w:firstLineChars="0"/>
              <w:jc w:val="center"/>
              <w:rPr>
                <w:rFonts w:eastAsia="仿宋"/>
                <w:sz w:val="24"/>
                <w:szCs w:val="21"/>
              </w:rPr>
            </w:pPr>
            <w:r>
              <w:rPr>
                <w:rFonts w:eastAsia="仿宋"/>
                <w:sz w:val="24"/>
                <w:szCs w:val="21"/>
              </w:rPr>
              <w:t>国家或地方污染物排放标准标准浓度限值（mg/L）</w:t>
            </w:r>
          </w:p>
        </w:tc>
      </w:tr>
      <w:tr w14:paraId="7210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71" w:type="dxa"/>
            <w:vAlign w:val="center"/>
          </w:tcPr>
          <w:p w14:paraId="6088F7C8">
            <w:pPr>
              <w:pStyle w:val="22"/>
              <w:adjustRightInd w:val="0"/>
              <w:snapToGrid w:val="0"/>
              <w:ind w:firstLine="0" w:firstLineChars="0"/>
              <w:jc w:val="center"/>
              <w:rPr>
                <w:rFonts w:eastAsia="仿宋"/>
                <w:sz w:val="24"/>
                <w:szCs w:val="21"/>
              </w:rPr>
            </w:pPr>
            <w:r>
              <w:rPr>
                <w:rFonts w:eastAsia="仿宋"/>
                <w:sz w:val="24"/>
                <w:szCs w:val="21"/>
              </w:rPr>
              <w:t>1</w:t>
            </w:r>
          </w:p>
        </w:tc>
        <w:tc>
          <w:tcPr>
            <w:tcW w:w="979" w:type="dxa"/>
            <w:vMerge w:val="restart"/>
            <w:vAlign w:val="center"/>
          </w:tcPr>
          <w:p w14:paraId="5824A44D">
            <w:pPr>
              <w:pStyle w:val="22"/>
              <w:adjustRightInd w:val="0"/>
              <w:snapToGrid w:val="0"/>
              <w:ind w:firstLine="0" w:firstLineChars="0"/>
              <w:jc w:val="center"/>
              <w:rPr>
                <w:rFonts w:eastAsia="仿宋"/>
                <w:sz w:val="24"/>
                <w:szCs w:val="21"/>
              </w:rPr>
            </w:pPr>
            <w:r>
              <w:rPr>
                <w:rFonts w:eastAsia="仿宋"/>
                <w:sz w:val="24"/>
                <w:szCs w:val="21"/>
              </w:rPr>
              <w:t>DW0</w:t>
            </w:r>
            <w:r>
              <w:rPr>
                <w:rFonts w:hint="eastAsia" w:eastAsia="仿宋"/>
                <w:sz w:val="24"/>
                <w:szCs w:val="21"/>
              </w:rPr>
              <w:t>2</w:t>
            </w:r>
          </w:p>
        </w:tc>
        <w:tc>
          <w:tcPr>
            <w:tcW w:w="1279" w:type="dxa"/>
            <w:vMerge w:val="restart"/>
            <w:vAlign w:val="center"/>
          </w:tcPr>
          <w:p w14:paraId="5F0C7424">
            <w:pPr>
              <w:pStyle w:val="22"/>
              <w:adjustRightInd w:val="0"/>
              <w:snapToGrid w:val="0"/>
              <w:ind w:firstLine="0" w:firstLineChars="0"/>
              <w:jc w:val="center"/>
              <w:rPr>
                <w:rFonts w:eastAsia="仿宋"/>
                <w:sz w:val="24"/>
                <w:szCs w:val="21"/>
              </w:rPr>
            </w:pPr>
            <w:r>
              <w:rPr>
                <w:rFonts w:eastAsia="仿宋"/>
                <w:sz w:val="24"/>
                <w:szCs w:val="21"/>
              </w:rPr>
              <w:t>119.38428</w:t>
            </w:r>
          </w:p>
        </w:tc>
        <w:tc>
          <w:tcPr>
            <w:tcW w:w="1279" w:type="dxa"/>
            <w:vMerge w:val="restart"/>
            <w:vAlign w:val="center"/>
          </w:tcPr>
          <w:p w14:paraId="2F83BD48">
            <w:pPr>
              <w:pStyle w:val="22"/>
              <w:adjustRightInd w:val="0"/>
              <w:snapToGrid w:val="0"/>
              <w:ind w:firstLine="0" w:firstLineChars="0"/>
              <w:jc w:val="center"/>
              <w:rPr>
                <w:rFonts w:eastAsia="仿宋"/>
                <w:sz w:val="24"/>
                <w:szCs w:val="21"/>
              </w:rPr>
            </w:pPr>
            <w:r>
              <w:rPr>
                <w:rFonts w:eastAsia="仿宋"/>
                <w:sz w:val="24"/>
                <w:szCs w:val="21"/>
              </w:rPr>
              <w:t>31.71179</w:t>
            </w:r>
          </w:p>
        </w:tc>
        <w:tc>
          <w:tcPr>
            <w:tcW w:w="1287" w:type="dxa"/>
            <w:vMerge w:val="restart"/>
            <w:vAlign w:val="center"/>
          </w:tcPr>
          <w:p w14:paraId="647D3BE6">
            <w:pPr>
              <w:pStyle w:val="22"/>
              <w:adjustRightInd w:val="0"/>
              <w:snapToGrid w:val="0"/>
              <w:ind w:firstLine="0" w:firstLineChars="0"/>
              <w:jc w:val="center"/>
              <w:rPr>
                <w:rFonts w:eastAsia="仿宋"/>
                <w:sz w:val="24"/>
                <w:szCs w:val="21"/>
              </w:rPr>
            </w:pPr>
            <w:r>
              <w:rPr>
                <w:rFonts w:hint="eastAsia" w:eastAsia="仿宋"/>
                <w:sz w:val="24"/>
                <w:szCs w:val="21"/>
              </w:rPr>
              <w:t>0</w:t>
            </w:r>
            <w:r>
              <w:rPr>
                <w:rFonts w:eastAsia="仿宋"/>
                <w:sz w:val="24"/>
                <w:szCs w:val="21"/>
              </w:rPr>
              <w:t>.206</w:t>
            </w:r>
          </w:p>
        </w:tc>
        <w:tc>
          <w:tcPr>
            <w:tcW w:w="1134" w:type="dxa"/>
            <w:vMerge w:val="restart"/>
            <w:vAlign w:val="center"/>
          </w:tcPr>
          <w:p w14:paraId="40F36B7E">
            <w:pPr>
              <w:pStyle w:val="22"/>
              <w:adjustRightInd w:val="0"/>
              <w:snapToGrid w:val="0"/>
              <w:ind w:firstLine="0" w:firstLineChars="0"/>
              <w:jc w:val="center"/>
              <w:rPr>
                <w:rFonts w:eastAsia="仿宋"/>
                <w:sz w:val="24"/>
                <w:szCs w:val="21"/>
              </w:rPr>
            </w:pPr>
            <w:r>
              <w:rPr>
                <w:rFonts w:hint="eastAsia" w:eastAsia="仿宋"/>
                <w:sz w:val="24"/>
                <w:szCs w:val="21"/>
              </w:rPr>
              <w:t>城镇</w:t>
            </w:r>
            <w:r>
              <w:rPr>
                <w:rFonts w:eastAsia="仿宋"/>
                <w:sz w:val="24"/>
                <w:szCs w:val="21"/>
              </w:rPr>
              <w:t>污水处理厂</w:t>
            </w:r>
          </w:p>
        </w:tc>
        <w:tc>
          <w:tcPr>
            <w:tcW w:w="1502" w:type="dxa"/>
            <w:vMerge w:val="restart"/>
            <w:vAlign w:val="center"/>
          </w:tcPr>
          <w:p w14:paraId="2473708B">
            <w:pPr>
              <w:pStyle w:val="22"/>
              <w:adjustRightInd w:val="0"/>
              <w:snapToGrid w:val="0"/>
              <w:ind w:firstLine="0" w:firstLineChars="0"/>
              <w:jc w:val="center"/>
              <w:rPr>
                <w:rFonts w:eastAsia="仿宋"/>
                <w:sz w:val="24"/>
                <w:szCs w:val="21"/>
              </w:rPr>
            </w:pPr>
            <w:r>
              <w:rPr>
                <w:rFonts w:eastAsia="仿宋"/>
                <w:sz w:val="24"/>
                <w:szCs w:val="21"/>
              </w:rPr>
              <w:t>一年300天，每天</w:t>
            </w:r>
            <w:r>
              <w:rPr>
                <w:rFonts w:hint="eastAsia" w:eastAsia="仿宋"/>
                <w:sz w:val="24"/>
                <w:szCs w:val="21"/>
              </w:rPr>
              <w:t>16</w:t>
            </w:r>
            <w:r>
              <w:rPr>
                <w:rFonts w:eastAsia="仿宋"/>
                <w:sz w:val="24"/>
                <w:szCs w:val="21"/>
              </w:rPr>
              <w:t>小时</w:t>
            </w:r>
          </w:p>
        </w:tc>
        <w:tc>
          <w:tcPr>
            <w:tcW w:w="908" w:type="dxa"/>
            <w:vMerge w:val="restart"/>
            <w:vAlign w:val="center"/>
          </w:tcPr>
          <w:p w14:paraId="651F113B">
            <w:pPr>
              <w:pStyle w:val="22"/>
              <w:adjustRightInd w:val="0"/>
              <w:snapToGrid w:val="0"/>
              <w:ind w:firstLine="0" w:firstLineChars="0"/>
              <w:jc w:val="center"/>
              <w:rPr>
                <w:rFonts w:eastAsia="仿宋"/>
                <w:sz w:val="24"/>
                <w:szCs w:val="21"/>
              </w:rPr>
            </w:pPr>
            <w:r>
              <w:rPr>
                <w:rFonts w:eastAsia="仿宋"/>
                <w:sz w:val="24"/>
                <w:szCs w:val="21"/>
              </w:rPr>
              <w:t>/</w:t>
            </w:r>
          </w:p>
        </w:tc>
        <w:tc>
          <w:tcPr>
            <w:tcW w:w="992" w:type="dxa"/>
            <w:vMerge w:val="restart"/>
            <w:vAlign w:val="center"/>
          </w:tcPr>
          <w:p w14:paraId="2253AA18">
            <w:pPr>
              <w:pStyle w:val="22"/>
              <w:adjustRightInd w:val="0"/>
              <w:snapToGrid w:val="0"/>
              <w:ind w:firstLine="0" w:firstLineChars="0"/>
              <w:jc w:val="center"/>
              <w:rPr>
                <w:rFonts w:eastAsia="仿宋"/>
                <w:sz w:val="24"/>
                <w:szCs w:val="21"/>
              </w:rPr>
            </w:pPr>
            <w:r>
              <w:rPr>
                <w:rFonts w:hint="eastAsia" w:eastAsia="仿宋"/>
                <w:sz w:val="24"/>
                <w:szCs w:val="21"/>
              </w:rPr>
              <w:t>金坛区直溪污水处理厂</w:t>
            </w:r>
          </w:p>
        </w:tc>
        <w:tc>
          <w:tcPr>
            <w:tcW w:w="1404" w:type="dxa"/>
            <w:vMerge w:val="restart"/>
            <w:vAlign w:val="center"/>
          </w:tcPr>
          <w:p w14:paraId="07C0F691">
            <w:pPr>
              <w:pStyle w:val="22"/>
              <w:adjustRightInd w:val="0"/>
              <w:snapToGrid w:val="0"/>
              <w:ind w:firstLine="0" w:firstLineChars="0"/>
              <w:jc w:val="center"/>
              <w:rPr>
                <w:rFonts w:eastAsia="仿宋"/>
                <w:sz w:val="24"/>
                <w:szCs w:val="21"/>
              </w:rPr>
            </w:pPr>
            <w:r>
              <w:rPr>
                <w:rFonts w:eastAsia="仿宋"/>
                <w:sz w:val="24"/>
                <w:szCs w:val="21"/>
              </w:rPr>
              <w:t>COD、SS、TN、NH</w:t>
            </w:r>
            <w:r>
              <w:rPr>
                <w:rFonts w:eastAsia="仿宋"/>
                <w:sz w:val="24"/>
                <w:szCs w:val="21"/>
                <w:vertAlign w:val="subscript"/>
              </w:rPr>
              <w:t>3</w:t>
            </w:r>
            <w:r>
              <w:rPr>
                <w:rFonts w:eastAsia="仿宋"/>
                <w:sz w:val="24"/>
                <w:szCs w:val="21"/>
              </w:rPr>
              <w:t>-N、TP、动植物油</w:t>
            </w:r>
            <w:r>
              <w:rPr>
                <w:rFonts w:hint="eastAsia" w:eastAsia="仿宋"/>
                <w:sz w:val="24"/>
                <w:szCs w:val="21"/>
              </w:rPr>
              <w:t>、石油类</w:t>
            </w:r>
          </w:p>
        </w:tc>
        <w:tc>
          <w:tcPr>
            <w:tcW w:w="1276" w:type="dxa"/>
            <w:vAlign w:val="center"/>
          </w:tcPr>
          <w:p w14:paraId="2796E734">
            <w:pPr>
              <w:pStyle w:val="22"/>
              <w:adjustRightInd w:val="0"/>
              <w:snapToGrid w:val="0"/>
              <w:ind w:firstLine="0" w:firstLineChars="0"/>
              <w:jc w:val="center"/>
              <w:rPr>
                <w:rFonts w:eastAsia="仿宋"/>
                <w:sz w:val="24"/>
                <w:szCs w:val="21"/>
              </w:rPr>
            </w:pPr>
            <w:r>
              <w:rPr>
                <w:rFonts w:eastAsia="仿宋"/>
                <w:sz w:val="24"/>
                <w:szCs w:val="21"/>
              </w:rPr>
              <w:t>COD</w:t>
            </w:r>
          </w:p>
        </w:tc>
        <w:tc>
          <w:tcPr>
            <w:tcW w:w="1276" w:type="dxa"/>
            <w:vAlign w:val="center"/>
          </w:tcPr>
          <w:p w14:paraId="5399C3E9">
            <w:pPr>
              <w:pStyle w:val="22"/>
              <w:adjustRightInd w:val="0"/>
              <w:snapToGrid w:val="0"/>
              <w:ind w:firstLine="0" w:firstLineChars="0"/>
              <w:jc w:val="center"/>
              <w:rPr>
                <w:rFonts w:eastAsia="仿宋"/>
                <w:sz w:val="24"/>
                <w:szCs w:val="21"/>
              </w:rPr>
            </w:pPr>
            <w:r>
              <w:rPr>
                <w:rFonts w:eastAsia="仿宋"/>
                <w:sz w:val="24"/>
                <w:szCs w:val="21"/>
              </w:rPr>
              <w:t>50</w:t>
            </w:r>
          </w:p>
        </w:tc>
      </w:tr>
      <w:tr w14:paraId="6F31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26899F06">
            <w:pPr>
              <w:pStyle w:val="22"/>
              <w:adjustRightInd w:val="0"/>
              <w:snapToGrid w:val="0"/>
              <w:ind w:firstLine="0" w:firstLineChars="0"/>
              <w:jc w:val="center"/>
              <w:rPr>
                <w:rFonts w:eastAsia="仿宋"/>
                <w:sz w:val="24"/>
                <w:szCs w:val="21"/>
              </w:rPr>
            </w:pPr>
            <w:r>
              <w:rPr>
                <w:rFonts w:eastAsia="仿宋"/>
                <w:sz w:val="24"/>
                <w:szCs w:val="21"/>
              </w:rPr>
              <w:t>2</w:t>
            </w:r>
          </w:p>
        </w:tc>
        <w:tc>
          <w:tcPr>
            <w:tcW w:w="979" w:type="dxa"/>
            <w:vMerge w:val="continue"/>
            <w:vAlign w:val="center"/>
          </w:tcPr>
          <w:p w14:paraId="67F89256">
            <w:pPr>
              <w:pStyle w:val="22"/>
              <w:adjustRightInd w:val="0"/>
              <w:snapToGrid w:val="0"/>
              <w:ind w:firstLine="0" w:firstLineChars="0"/>
              <w:jc w:val="center"/>
              <w:rPr>
                <w:rFonts w:eastAsia="仿宋"/>
                <w:sz w:val="24"/>
                <w:szCs w:val="21"/>
              </w:rPr>
            </w:pPr>
          </w:p>
        </w:tc>
        <w:tc>
          <w:tcPr>
            <w:tcW w:w="1279" w:type="dxa"/>
            <w:vMerge w:val="continue"/>
            <w:vAlign w:val="center"/>
          </w:tcPr>
          <w:p w14:paraId="7DF7F3C7">
            <w:pPr>
              <w:pStyle w:val="22"/>
              <w:adjustRightInd w:val="0"/>
              <w:snapToGrid w:val="0"/>
              <w:ind w:firstLine="0" w:firstLineChars="0"/>
              <w:jc w:val="center"/>
              <w:rPr>
                <w:rFonts w:eastAsia="仿宋"/>
                <w:sz w:val="24"/>
                <w:szCs w:val="21"/>
              </w:rPr>
            </w:pPr>
          </w:p>
        </w:tc>
        <w:tc>
          <w:tcPr>
            <w:tcW w:w="1279" w:type="dxa"/>
            <w:vMerge w:val="continue"/>
            <w:vAlign w:val="center"/>
          </w:tcPr>
          <w:p w14:paraId="7D624540">
            <w:pPr>
              <w:pStyle w:val="22"/>
              <w:adjustRightInd w:val="0"/>
              <w:snapToGrid w:val="0"/>
              <w:ind w:firstLine="0" w:firstLineChars="0"/>
              <w:jc w:val="center"/>
              <w:rPr>
                <w:rFonts w:eastAsia="仿宋"/>
                <w:sz w:val="24"/>
                <w:szCs w:val="21"/>
              </w:rPr>
            </w:pPr>
          </w:p>
        </w:tc>
        <w:tc>
          <w:tcPr>
            <w:tcW w:w="1287" w:type="dxa"/>
            <w:vMerge w:val="continue"/>
            <w:vAlign w:val="center"/>
          </w:tcPr>
          <w:p w14:paraId="0ED28C3D">
            <w:pPr>
              <w:pStyle w:val="22"/>
              <w:adjustRightInd w:val="0"/>
              <w:snapToGrid w:val="0"/>
              <w:ind w:firstLine="0" w:firstLineChars="0"/>
              <w:jc w:val="center"/>
              <w:rPr>
                <w:rFonts w:eastAsia="仿宋"/>
                <w:sz w:val="24"/>
                <w:szCs w:val="21"/>
              </w:rPr>
            </w:pPr>
          </w:p>
        </w:tc>
        <w:tc>
          <w:tcPr>
            <w:tcW w:w="1134" w:type="dxa"/>
            <w:vMerge w:val="continue"/>
            <w:vAlign w:val="center"/>
          </w:tcPr>
          <w:p w14:paraId="5F69506C">
            <w:pPr>
              <w:pStyle w:val="22"/>
              <w:adjustRightInd w:val="0"/>
              <w:snapToGrid w:val="0"/>
              <w:ind w:firstLine="0" w:firstLineChars="0"/>
              <w:jc w:val="center"/>
              <w:rPr>
                <w:rFonts w:eastAsia="仿宋"/>
                <w:sz w:val="24"/>
                <w:szCs w:val="21"/>
              </w:rPr>
            </w:pPr>
          </w:p>
        </w:tc>
        <w:tc>
          <w:tcPr>
            <w:tcW w:w="1502" w:type="dxa"/>
            <w:vMerge w:val="continue"/>
            <w:vAlign w:val="center"/>
          </w:tcPr>
          <w:p w14:paraId="24F0C5A8">
            <w:pPr>
              <w:pStyle w:val="22"/>
              <w:adjustRightInd w:val="0"/>
              <w:snapToGrid w:val="0"/>
              <w:ind w:firstLine="0" w:firstLineChars="0"/>
              <w:jc w:val="center"/>
              <w:rPr>
                <w:rFonts w:eastAsia="仿宋"/>
                <w:sz w:val="24"/>
                <w:szCs w:val="21"/>
              </w:rPr>
            </w:pPr>
          </w:p>
        </w:tc>
        <w:tc>
          <w:tcPr>
            <w:tcW w:w="908" w:type="dxa"/>
            <w:vMerge w:val="continue"/>
            <w:vAlign w:val="center"/>
          </w:tcPr>
          <w:p w14:paraId="46609C76">
            <w:pPr>
              <w:pStyle w:val="22"/>
              <w:adjustRightInd w:val="0"/>
              <w:snapToGrid w:val="0"/>
              <w:ind w:firstLine="0" w:firstLineChars="0"/>
              <w:jc w:val="center"/>
              <w:rPr>
                <w:rFonts w:eastAsia="仿宋"/>
                <w:sz w:val="24"/>
                <w:szCs w:val="21"/>
              </w:rPr>
            </w:pPr>
          </w:p>
        </w:tc>
        <w:tc>
          <w:tcPr>
            <w:tcW w:w="992" w:type="dxa"/>
            <w:vMerge w:val="continue"/>
            <w:vAlign w:val="center"/>
          </w:tcPr>
          <w:p w14:paraId="2B1A0AAE">
            <w:pPr>
              <w:pStyle w:val="22"/>
              <w:adjustRightInd w:val="0"/>
              <w:snapToGrid w:val="0"/>
              <w:ind w:firstLine="0" w:firstLineChars="0"/>
              <w:jc w:val="center"/>
              <w:rPr>
                <w:rFonts w:eastAsia="仿宋"/>
                <w:sz w:val="24"/>
                <w:szCs w:val="21"/>
              </w:rPr>
            </w:pPr>
          </w:p>
        </w:tc>
        <w:tc>
          <w:tcPr>
            <w:tcW w:w="1404" w:type="dxa"/>
            <w:vMerge w:val="continue"/>
            <w:vAlign w:val="center"/>
          </w:tcPr>
          <w:p w14:paraId="5F3B147D">
            <w:pPr>
              <w:pStyle w:val="22"/>
              <w:adjustRightInd w:val="0"/>
              <w:snapToGrid w:val="0"/>
              <w:ind w:firstLine="0" w:firstLineChars="0"/>
              <w:jc w:val="center"/>
              <w:rPr>
                <w:rFonts w:eastAsia="仿宋"/>
                <w:sz w:val="24"/>
                <w:szCs w:val="21"/>
              </w:rPr>
            </w:pPr>
          </w:p>
        </w:tc>
        <w:tc>
          <w:tcPr>
            <w:tcW w:w="1276" w:type="dxa"/>
            <w:vAlign w:val="center"/>
          </w:tcPr>
          <w:p w14:paraId="23D5DEB1">
            <w:pPr>
              <w:pStyle w:val="22"/>
              <w:adjustRightInd w:val="0"/>
              <w:snapToGrid w:val="0"/>
              <w:ind w:firstLine="0" w:firstLineChars="0"/>
              <w:jc w:val="center"/>
              <w:rPr>
                <w:rFonts w:eastAsia="仿宋"/>
                <w:sz w:val="24"/>
                <w:szCs w:val="21"/>
              </w:rPr>
            </w:pPr>
            <w:r>
              <w:rPr>
                <w:rFonts w:eastAsia="仿宋"/>
                <w:sz w:val="24"/>
                <w:szCs w:val="21"/>
              </w:rPr>
              <w:t>SS</w:t>
            </w:r>
          </w:p>
        </w:tc>
        <w:tc>
          <w:tcPr>
            <w:tcW w:w="1276" w:type="dxa"/>
            <w:vAlign w:val="center"/>
          </w:tcPr>
          <w:p w14:paraId="09CBA7EA">
            <w:pPr>
              <w:pStyle w:val="22"/>
              <w:adjustRightInd w:val="0"/>
              <w:snapToGrid w:val="0"/>
              <w:ind w:firstLine="0" w:firstLineChars="0"/>
              <w:jc w:val="center"/>
              <w:rPr>
                <w:rFonts w:eastAsia="仿宋"/>
                <w:sz w:val="24"/>
                <w:szCs w:val="21"/>
              </w:rPr>
            </w:pPr>
            <w:r>
              <w:rPr>
                <w:rFonts w:eastAsia="仿宋"/>
                <w:sz w:val="24"/>
                <w:szCs w:val="21"/>
              </w:rPr>
              <w:t>10</w:t>
            </w:r>
          </w:p>
        </w:tc>
      </w:tr>
      <w:tr w14:paraId="19B3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4316599C">
            <w:pPr>
              <w:pStyle w:val="22"/>
              <w:adjustRightInd w:val="0"/>
              <w:snapToGrid w:val="0"/>
              <w:ind w:firstLine="0" w:firstLineChars="0"/>
              <w:jc w:val="center"/>
              <w:rPr>
                <w:rFonts w:eastAsia="仿宋"/>
                <w:sz w:val="24"/>
                <w:szCs w:val="21"/>
              </w:rPr>
            </w:pPr>
            <w:r>
              <w:rPr>
                <w:rFonts w:hint="eastAsia" w:eastAsia="仿宋"/>
                <w:sz w:val="24"/>
                <w:szCs w:val="21"/>
              </w:rPr>
              <w:t>3</w:t>
            </w:r>
          </w:p>
        </w:tc>
        <w:tc>
          <w:tcPr>
            <w:tcW w:w="979" w:type="dxa"/>
            <w:vMerge w:val="continue"/>
            <w:vAlign w:val="center"/>
          </w:tcPr>
          <w:p w14:paraId="6E6281F6">
            <w:pPr>
              <w:pStyle w:val="22"/>
              <w:adjustRightInd w:val="0"/>
              <w:snapToGrid w:val="0"/>
              <w:ind w:firstLine="0" w:firstLineChars="0"/>
              <w:jc w:val="center"/>
              <w:rPr>
                <w:rFonts w:eastAsia="仿宋"/>
                <w:sz w:val="24"/>
                <w:szCs w:val="21"/>
              </w:rPr>
            </w:pPr>
          </w:p>
        </w:tc>
        <w:tc>
          <w:tcPr>
            <w:tcW w:w="1279" w:type="dxa"/>
            <w:vMerge w:val="continue"/>
            <w:vAlign w:val="center"/>
          </w:tcPr>
          <w:p w14:paraId="7E300582">
            <w:pPr>
              <w:pStyle w:val="22"/>
              <w:adjustRightInd w:val="0"/>
              <w:snapToGrid w:val="0"/>
              <w:ind w:firstLine="0" w:firstLineChars="0"/>
              <w:jc w:val="center"/>
              <w:rPr>
                <w:rFonts w:eastAsia="仿宋"/>
                <w:sz w:val="24"/>
                <w:szCs w:val="21"/>
              </w:rPr>
            </w:pPr>
          </w:p>
        </w:tc>
        <w:tc>
          <w:tcPr>
            <w:tcW w:w="1279" w:type="dxa"/>
            <w:vMerge w:val="continue"/>
            <w:vAlign w:val="center"/>
          </w:tcPr>
          <w:p w14:paraId="3C0C9F3D">
            <w:pPr>
              <w:pStyle w:val="22"/>
              <w:adjustRightInd w:val="0"/>
              <w:snapToGrid w:val="0"/>
              <w:ind w:firstLine="0" w:firstLineChars="0"/>
              <w:jc w:val="center"/>
              <w:rPr>
                <w:rFonts w:eastAsia="仿宋"/>
                <w:sz w:val="24"/>
                <w:szCs w:val="21"/>
              </w:rPr>
            </w:pPr>
          </w:p>
        </w:tc>
        <w:tc>
          <w:tcPr>
            <w:tcW w:w="1287" w:type="dxa"/>
            <w:vMerge w:val="continue"/>
            <w:vAlign w:val="center"/>
          </w:tcPr>
          <w:p w14:paraId="6715C9CF">
            <w:pPr>
              <w:pStyle w:val="22"/>
              <w:adjustRightInd w:val="0"/>
              <w:snapToGrid w:val="0"/>
              <w:ind w:firstLine="0" w:firstLineChars="0"/>
              <w:jc w:val="center"/>
              <w:rPr>
                <w:rFonts w:eastAsia="仿宋"/>
                <w:sz w:val="24"/>
                <w:szCs w:val="21"/>
              </w:rPr>
            </w:pPr>
          </w:p>
        </w:tc>
        <w:tc>
          <w:tcPr>
            <w:tcW w:w="1134" w:type="dxa"/>
            <w:vMerge w:val="continue"/>
            <w:vAlign w:val="center"/>
          </w:tcPr>
          <w:p w14:paraId="14AAE410">
            <w:pPr>
              <w:pStyle w:val="22"/>
              <w:adjustRightInd w:val="0"/>
              <w:snapToGrid w:val="0"/>
              <w:ind w:firstLine="0" w:firstLineChars="0"/>
              <w:jc w:val="center"/>
              <w:rPr>
                <w:rFonts w:eastAsia="仿宋"/>
                <w:sz w:val="24"/>
                <w:szCs w:val="21"/>
              </w:rPr>
            </w:pPr>
          </w:p>
        </w:tc>
        <w:tc>
          <w:tcPr>
            <w:tcW w:w="1502" w:type="dxa"/>
            <w:vMerge w:val="continue"/>
            <w:vAlign w:val="center"/>
          </w:tcPr>
          <w:p w14:paraId="5083FCFE">
            <w:pPr>
              <w:pStyle w:val="22"/>
              <w:adjustRightInd w:val="0"/>
              <w:snapToGrid w:val="0"/>
              <w:ind w:firstLine="0" w:firstLineChars="0"/>
              <w:jc w:val="center"/>
              <w:rPr>
                <w:rFonts w:eastAsia="仿宋"/>
                <w:sz w:val="24"/>
                <w:szCs w:val="21"/>
              </w:rPr>
            </w:pPr>
          </w:p>
        </w:tc>
        <w:tc>
          <w:tcPr>
            <w:tcW w:w="908" w:type="dxa"/>
            <w:vMerge w:val="continue"/>
            <w:vAlign w:val="center"/>
          </w:tcPr>
          <w:p w14:paraId="2BD84D5E">
            <w:pPr>
              <w:pStyle w:val="22"/>
              <w:adjustRightInd w:val="0"/>
              <w:snapToGrid w:val="0"/>
              <w:ind w:firstLine="0" w:firstLineChars="0"/>
              <w:jc w:val="center"/>
              <w:rPr>
                <w:rFonts w:eastAsia="仿宋"/>
                <w:sz w:val="24"/>
                <w:szCs w:val="21"/>
              </w:rPr>
            </w:pPr>
          </w:p>
        </w:tc>
        <w:tc>
          <w:tcPr>
            <w:tcW w:w="992" w:type="dxa"/>
            <w:vMerge w:val="continue"/>
            <w:vAlign w:val="center"/>
          </w:tcPr>
          <w:p w14:paraId="16BA7323">
            <w:pPr>
              <w:pStyle w:val="22"/>
              <w:adjustRightInd w:val="0"/>
              <w:snapToGrid w:val="0"/>
              <w:ind w:firstLine="0" w:firstLineChars="0"/>
              <w:jc w:val="center"/>
              <w:rPr>
                <w:rFonts w:eastAsia="仿宋"/>
                <w:sz w:val="24"/>
                <w:szCs w:val="21"/>
              </w:rPr>
            </w:pPr>
          </w:p>
        </w:tc>
        <w:tc>
          <w:tcPr>
            <w:tcW w:w="1404" w:type="dxa"/>
            <w:vMerge w:val="continue"/>
            <w:vAlign w:val="center"/>
          </w:tcPr>
          <w:p w14:paraId="016FC8D6">
            <w:pPr>
              <w:pStyle w:val="22"/>
              <w:adjustRightInd w:val="0"/>
              <w:snapToGrid w:val="0"/>
              <w:ind w:firstLine="0" w:firstLineChars="0"/>
              <w:jc w:val="center"/>
              <w:rPr>
                <w:rFonts w:eastAsia="仿宋"/>
                <w:sz w:val="24"/>
                <w:szCs w:val="21"/>
              </w:rPr>
            </w:pPr>
          </w:p>
        </w:tc>
        <w:tc>
          <w:tcPr>
            <w:tcW w:w="1276" w:type="dxa"/>
            <w:vAlign w:val="center"/>
          </w:tcPr>
          <w:p w14:paraId="6409CDF3">
            <w:pPr>
              <w:pStyle w:val="22"/>
              <w:adjustRightInd w:val="0"/>
              <w:snapToGrid w:val="0"/>
              <w:ind w:firstLine="0" w:firstLineChars="0"/>
              <w:jc w:val="center"/>
              <w:rPr>
                <w:rFonts w:eastAsia="仿宋"/>
                <w:sz w:val="24"/>
                <w:szCs w:val="21"/>
              </w:rPr>
            </w:pPr>
            <w:r>
              <w:rPr>
                <w:rFonts w:eastAsia="仿宋"/>
                <w:sz w:val="24"/>
                <w:szCs w:val="21"/>
              </w:rPr>
              <w:t>TN</w:t>
            </w:r>
          </w:p>
        </w:tc>
        <w:tc>
          <w:tcPr>
            <w:tcW w:w="1276" w:type="dxa"/>
            <w:vAlign w:val="center"/>
          </w:tcPr>
          <w:p w14:paraId="0C69C8DB">
            <w:pPr>
              <w:pStyle w:val="22"/>
              <w:adjustRightInd w:val="0"/>
              <w:snapToGrid w:val="0"/>
              <w:ind w:firstLine="0" w:firstLineChars="0"/>
              <w:jc w:val="center"/>
              <w:rPr>
                <w:rFonts w:eastAsia="仿宋"/>
                <w:sz w:val="24"/>
                <w:szCs w:val="21"/>
              </w:rPr>
            </w:pPr>
            <w:r>
              <w:rPr>
                <w:rFonts w:eastAsia="仿宋"/>
                <w:sz w:val="24"/>
                <w:szCs w:val="21"/>
              </w:rPr>
              <w:t>12</w:t>
            </w:r>
          </w:p>
        </w:tc>
      </w:tr>
      <w:tr w14:paraId="54A3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34CBA472">
            <w:pPr>
              <w:pStyle w:val="22"/>
              <w:adjustRightInd w:val="0"/>
              <w:snapToGrid w:val="0"/>
              <w:ind w:firstLine="0" w:firstLineChars="0"/>
              <w:jc w:val="center"/>
              <w:rPr>
                <w:rFonts w:eastAsia="仿宋"/>
                <w:sz w:val="24"/>
                <w:szCs w:val="21"/>
              </w:rPr>
            </w:pPr>
            <w:r>
              <w:rPr>
                <w:rFonts w:eastAsia="仿宋"/>
                <w:sz w:val="24"/>
                <w:szCs w:val="21"/>
              </w:rPr>
              <w:t>4</w:t>
            </w:r>
          </w:p>
        </w:tc>
        <w:tc>
          <w:tcPr>
            <w:tcW w:w="979" w:type="dxa"/>
            <w:vMerge w:val="continue"/>
            <w:vAlign w:val="center"/>
          </w:tcPr>
          <w:p w14:paraId="0E18CA5A">
            <w:pPr>
              <w:pStyle w:val="22"/>
              <w:adjustRightInd w:val="0"/>
              <w:snapToGrid w:val="0"/>
              <w:ind w:firstLine="0" w:firstLineChars="0"/>
              <w:jc w:val="center"/>
              <w:rPr>
                <w:rFonts w:eastAsia="仿宋"/>
                <w:sz w:val="24"/>
                <w:szCs w:val="21"/>
              </w:rPr>
            </w:pPr>
          </w:p>
        </w:tc>
        <w:tc>
          <w:tcPr>
            <w:tcW w:w="1279" w:type="dxa"/>
            <w:vMerge w:val="continue"/>
            <w:vAlign w:val="center"/>
          </w:tcPr>
          <w:p w14:paraId="5784D4F1">
            <w:pPr>
              <w:pStyle w:val="22"/>
              <w:adjustRightInd w:val="0"/>
              <w:snapToGrid w:val="0"/>
              <w:ind w:firstLine="0" w:firstLineChars="0"/>
              <w:jc w:val="center"/>
              <w:rPr>
                <w:rFonts w:eastAsia="仿宋"/>
                <w:sz w:val="24"/>
                <w:szCs w:val="21"/>
              </w:rPr>
            </w:pPr>
          </w:p>
        </w:tc>
        <w:tc>
          <w:tcPr>
            <w:tcW w:w="1279" w:type="dxa"/>
            <w:vMerge w:val="continue"/>
            <w:vAlign w:val="center"/>
          </w:tcPr>
          <w:p w14:paraId="6FAED4E3">
            <w:pPr>
              <w:pStyle w:val="22"/>
              <w:adjustRightInd w:val="0"/>
              <w:snapToGrid w:val="0"/>
              <w:ind w:firstLine="0" w:firstLineChars="0"/>
              <w:jc w:val="center"/>
              <w:rPr>
                <w:rFonts w:eastAsia="仿宋"/>
                <w:sz w:val="24"/>
                <w:szCs w:val="21"/>
              </w:rPr>
            </w:pPr>
          </w:p>
        </w:tc>
        <w:tc>
          <w:tcPr>
            <w:tcW w:w="1287" w:type="dxa"/>
            <w:vMerge w:val="continue"/>
            <w:vAlign w:val="center"/>
          </w:tcPr>
          <w:p w14:paraId="2E768905">
            <w:pPr>
              <w:pStyle w:val="22"/>
              <w:adjustRightInd w:val="0"/>
              <w:snapToGrid w:val="0"/>
              <w:ind w:firstLine="0" w:firstLineChars="0"/>
              <w:jc w:val="center"/>
              <w:rPr>
                <w:rFonts w:eastAsia="仿宋"/>
                <w:sz w:val="24"/>
                <w:szCs w:val="21"/>
              </w:rPr>
            </w:pPr>
          </w:p>
        </w:tc>
        <w:tc>
          <w:tcPr>
            <w:tcW w:w="1134" w:type="dxa"/>
            <w:vMerge w:val="continue"/>
            <w:vAlign w:val="center"/>
          </w:tcPr>
          <w:p w14:paraId="78B4C63B">
            <w:pPr>
              <w:pStyle w:val="22"/>
              <w:adjustRightInd w:val="0"/>
              <w:snapToGrid w:val="0"/>
              <w:ind w:firstLine="0" w:firstLineChars="0"/>
              <w:jc w:val="center"/>
              <w:rPr>
                <w:rFonts w:eastAsia="仿宋"/>
                <w:sz w:val="24"/>
                <w:szCs w:val="21"/>
              </w:rPr>
            </w:pPr>
          </w:p>
        </w:tc>
        <w:tc>
          <w:tcPr>
            <w:tcW w:w="1502" w:type="dxa"/>
            <w:vMerge w:val="continue"/>
            <w:vAlign w:val="center"/>
          </w:tcPr>
          <w:p w14:paraId="7983039B">
            <w:pPr>
              <w:pStyle w:val="22"/>
              <w:adjustRightInd w:val="0"/>
              <w:snapToGrid w:val="0"/>
              <w:ind w:firstLine="0" w:firstLineChars="0"/>
              <w:jc w:val="center"/>
              <w:rPr>
                <w:rFonts w:eastAsia="仿宋"/>
                <w:sz w:val="24"/>
                <w:szCs w:val="21"/>
              </w:rPr>
            </w:pPr>
          </w:p>
        </w:tc>
        <w:tc>
          <w:tcPr>
            <w:tcW w:w="908" w:type="dxa"/>
            <w:vMerge w:val="continue"/>
            <w:vAlign w:val="center"/>
          </w:tcPr>
          <w:p w14:paraId="35872752">
            <w:pPr>
              <w:pStyle w:val="22"/>
              <w:adjustRightInd w:val="0"/>
              <w:snapToGrid w:val="0"/>
              <w:ind w:firstLine="0" w:firstLineChars="0"/>
              <w:jc w:val="center"/>
              <w:rPr>
                <w:rFonts w:eastAsia="仿宋"/>
                <w:sz w:val="24"/>
                <w:szCs w:val="21"/>
              </w:rPr>
            </w:pPr>
          </w:p>
        </w:tc>
        <w:tc>
          <w:tcPr>
            <w:tcW w:w="992" w:type="dxa"/>
            <w:vMerge w:val="continue"/>
            <w:vAlign w:val="center"/>
          </w:tcPr>
          <w:p w14:paraId="1C9786F1">
            <w:pPr>
              <w:pStyle w:val="22"/>
              <w:adjustRightInd w:val="0"/>
              <w:snapToGrid w:val="0"/>
              <w:ind w:firstLine="0" w:firstLineChars="0"/>
              <w:jc w:val="center"/>
              <w:rPr>
                <w:rFonts w:eastAsia="仿宋"/>
                <w:sz w:val="24"/>
                <w:szCs w:val="21"/>
              </w:rPr>
            </w:pPr>
          </w:p>
        </w:tc>
        <w:tc>
          <w:tcPr>
            <w:tcW w:w="1404" w:type="dxa"/>
            <w:vMerge w:val="continue"/>
            <w:vAlign w:val="center"/>
          </w:tcPr>
          <w:p w14:paraId="3F2CFF74">
            <w:pPr>
              <w:pStyle w:val="22"/>
              <w:adjustRightInd w:val="0"/>
              <w:snapToGrid w:val="0"/>
              <w:ind w:firstLine="0" w:firstLineChars="0"/>
              <w:jc w:val="center"/>
              <w:rPr>
                <w:rFonts w:eastAsia="仿宋"/>
                <w:sz w:val="24"/>
                <w:szCs w:val="21"/>
              </w:rPr>
            </w:pPr>
          </w:p>
        </w:tc>
        <w:tc>
          <w:tcPr>
            <w:tcW w:w="1276" w:type="dxa"/>
            <w:vAlign w:val="center"/>
          </w:tcPr>
          <w:p w14:paraId="017D1555">
            <w:pPr>
              <w:pStyle w:val="22"/>
              <w:adjustRightInd w:val="0"/>
              <w:snapToGrid w:val="0"/>
              <w:ind w:firstLine="0" w:firstLineChars="0"/>
              <w:jc w:val="center"/>
              <w:rPr>
                <w:rFonts w:eastAsia="仿宋"/>
                <w:sz w:val="24"/>
                <w:szCs w:val="21"/>
              </w:rPr>
            </w:pPr>
            <w:r>
              <w:rPr>
                <w:rFonts w:eastAsia="仿宋"/>
                <w:sz w:val="24"/>
                <w:szCs w:val="21"/>
              </w:rPr>
              <w:t>NH</w:t>
            </w:r>
            <w:r>
              <w:rPr>
                <w:rFonts w:eastAsia="仿宋"/>
                <w:sz w:val="24"/>
                <w:szCs w:val="21"/>
                <w:vertAlign w:val="subscript"/>
              </w:rPr>
              <w:t>3</w:t>
            </w:r>
            <w:r>
              <w:rPr>
                <w:rFonts w:eastAsia="仿宋"/>
                <w:sz w:val="24"/>
                <w:szCs w:val="21"/>
              </w:rPr>
              <w:t>-N</w:t>
            </w:r>
          </w:p>
        </w:tc>
        <w:tc>
          <w:tcPr>
            <w:tcW w:w="1276" w:type="dxa"/>
            <w:vAlign w:val="center"/>
          </w:tcPr>
          <w:p w14:paraId="6D9F073F">
            <w:pPr>
              <w:pStyle w:val="22"/>
              <w:adjustRightInd w:val="0"/>
              <w:snapToGrid w:val="0"/>
              <w:ind w:firstLine="0" w:firstLineChars="0"/>
              <w:jc w:val="center"/>
              <w:rPr>
                <w:rFonts w:eastAsia="仿宋"/>
                <w:sz w:val="24"/>
                <w:szCs w:val="21"/>
              </w:rPr>
            </w:pPr>
            <w:r>
              <w:rPr>
                <w:rFonts w:eastAsia="仿宋"/>
                <w:sz w:val="24"/>
                <w:szCs w:val="21"/>
              </w:rPr>
              <w:t>4</w:t>
            </w:r>
          </w:p>
        </w:tc>
      </w:tr>
      <w:tr w14:paraId="19BD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5AA83092">
            <w:pPr>
              <w:pStyle w:val="22"/>
              <w:adjustRightInd w:val="0"/>
              <w:snapToGrid w:val="0"/>
              <w:ind w:firstLine="0" w:firstLineChars="0"/>
              <w:jc w:val="center"/>
              <w:rPr>
                <w:rFonts w:eastAsia="仿宋"/>
                <w:sz w:val="24"/>
                <w:szCs w:val="21"/>
              </w:rPr>
            </w:pPr>
            <w:r>
              <w:rPr>
                <w:rFonts w:eastAsia="仿宋"/>
                <w:sz w:val="24"/>
                <w:szCs w:val="21"/>
              </w:rPr>
              <w:t>5</w:t>
            </w:r>
          </w:p>
        </w:tc>
        <w:tc>
          <w:tcPr>
            <w:tcW w:w="979" w:type="dxa"/>
            <w:vMerge w:val="continue"/>
            <w:vAlign w:val="center"/>
          </w:tcPr>
          <w:p w14:paraId="06E16F73">
            <w:pPr>
              <w:pStyle w:val="22"/>
              <w:adjustRightInd w:val="0"/>
              <w:snapToGrid w:val="0"/>
              <w:ind w:firstLine="0" w:firstLineChars="0"/>
              <w:jc w:val="center"/>
              <w:rPr>
                <w:rFonts w:eastAsia="仿宋"/>
                <w:sz w:val="24"/>
                <w:szCs w:val="21"/>
              </w:rPr>
            </w:pPr>
          </w:p>
        </w:tc>
        <w:tc>
          <w:tcPr>
            <w:tcW w:w="1279" w:type="dxa"/>
            <w:vMerge w:val="continue"/>
            <w:vAlign w:val="center"/>
          </w:tcPr>
          <w:p w14:paraId="5DFC007F">
            <w:pPr>
              <w:pStyle w:val="22"/>
              <w:adjustRightInd w:val="0"/>
              <w:snapToGrid w:val="0"/>
              <w:ind w:firstLine="0" w:firstLineChars="0"/>
              <w:jc w:val="center"/>
              <w:rPr>
                <w:rFonts w:eastAsia="仿宋"/>
                <w:sz w:val="24"/>
                <w:szCs w:val="21"/>
              </w:rPr>
            </w:pPr>
          </w:p>
        </w:tc>
        <w:tc>
          <w:tcPr>
            <w:tcW w:w="1279" w:type="dxa"/>
            <w:vMerge w:val="continue"/>
            <w:vAlign w:val="center"/>
          </w:tcPr>
          <w:p w14:paraId="04D908FB">
            <w:pPr>
              <w:pStyle w:val="22"/>
              <w:adjustRightInd w:val="0"/>
              <w:snapToGrid w:val="0"/>
              <w:ind w:firstLine="0" w:firstLineChars="0"/>
              <w:jc w:val="center"/>
              <w:rPr>
                <w:rFonts w:eastAsia="仿宋"/>
                <w:sz w:val="24"/>
                <w:szCs w:val="21"/>
              </w:rPr>
            </w:pPr>
          </w:p>
        </w:tc>
        <w:tc>
          <w:tcPr>
            <w:tcW w:w="1287" w:type="dxa"/>
            <w:vMerge w:val="continue"/>
            <w:vAlign w:val="center"/>
          </w:tcPr>
          <w:p w14:paraId="0163016A">
            <w:pPr>
              <w:pStyle w:val="22"/>
              <w:adjustRightInd w:val="0"/>
              <w:snapToGrid w:val="0"/>
              <w:ind w:firstLine="0" w:firstLineChars="0"/>
              <w:jc w:val="center"/>
              <w:rPr>
                <w:rFonts w:eastAsia="仿宋"/>
                <w:sz w:val="24"/>
                <w:szCs w:val="21"/>
              </w:rPr>
            </w:pPr>
          </w:p>
        </w:tc>
        <w:tc>
          <w:tcPr>
            <w:tcW w:w="1134" w:type="dxa"/>
            <w:vMerge w:val="continue"/>
            <w:vAlign w:val="center"/>
          </w:tcPr>
          <w:p w14:paraId="3B249043">
            <w:pPr>
              <w:pStyle w:val="22"/>
              <w:adjustRightInd w:val="0"/>
              <w:snapToGrid w:val="0"/>
              <w:ind w:firstLine="0" w:firstLineChars="0"/>
              <w:jc w:val="center"/>
              <w:rPr>
                <w:rFonts w:eastAsia="仿宋"/>
                <w:sz w:val="24"/>
                <w:szCs w:val="21"/>
              </w:rPr>
            </w:pPr>
          </w:p>
        </w:tc>
        <w:tc>
          <w:tcPr>
            <w:tcW w:w="1502" w:type="dxa"/>
            <w:vMerge w:val="continue"/>
            <w:vAlign w:val="center"/>
          </w:tcPr>
          <w:p w14:paraId="7F1981CD">
            <w:pPr>
              <w:pStyle w:val="22"/>
              <w:adjustRightInd w:val="0"/>
              <w:snapToGrid w:val="0"/>
              <w:ind w:firstLine="0" w:firstLineChars="0"/>
              <w:jc w:val="center"/>
              <w:rPr>
                <w:rFonts w:eastAsia="仿宋"/>
                <w:sz w:val="24"/>
                <w:szCs w:val="21"/>
              </w:rPr>
            </w:pPr>
          </w:p>
        </w:tc>
        <w:tc>
          <w:tcPr>
            <w:tcW w:w="908" w:type="dxa"/>
            <w:vMerge w:val="continue"/>
            <w:vAlign w:val="center"/>
          </w:tcPr>
          <w:p w14:paraId="74ED99AE">
            <w:pPr>
              <w:pStyle w:val="22"/>
              <w:adjustRightInd w:val="0"/>
              <w:snapToGrid w:val="0"/>
              <w:ind w:firstLine="0" w:firstLineChars="0"/>
              <w:jc w:val="center"/>
              <w:rPr>
                <w:rFonts w:eastAsia="仿宋"/>
                <w:sz w:val="24"/>
                <w:szCs w:val="21"/>
              </w:rPr>
            </w:pPr>
          </w:p>
        </w:tc>
        <w:tc>
          <w:tcPr>
            <w:tcW w:w="992" w:type="dxa"/>
            <w:vMerge w:val="continue"/>
            <w:vAlign w:val="center"/>
          </w:tcPr>
          <w:p w14:paraId="319A77EB">
            <w:pPr>
              <w:pStyle w:val="22"/>
              <w:adjustRightInd w:val="0"/>
              <w:snapToGrid w:val="0"/>
              <w:ind w:firstLine="0" w:firstLineChars="0"/>
              <w:jc w:val="center"/>
              <w:rPr>
                <w:rFonts w:eastAsia="仿宋"/>
                <w:sz w:val="24"/>
                <w:szCs w:val="21"/>
              </w:rPr>
            </w:pPr>
          </w:p>
        </w:tc>
        <w:tc>
          <w:tcPr>
            <w:tcW w:w="1404" w:type="dxa"/>
            <w:vMerge w:val="continue"/>
            <w:vAlign w:val="center"/>
          </w:tcPr>
          <w:p w14:paraId="7A27292B">
            <w:pPr>
              <w:pStyle w:val="22"/>
              <w:adjustRightInd w:val="0"/>
              <w:snapToGrid w:val="0"/>
              <w:ind w:firstLine="0" w:firstLineChars="0"/>
              <w:jc w:val="center"/>
              <w:rPr>
                <w:rFonts w:eastAsia="仿宋"/>
                <w:sz w:val="24"/>
                <w:szCs w:val="21"/>
              </w:rPr>
            </w:pPr>
          </w:p>
        </w:tc>
        <w:tc>
          <w:tcPr>
            <w:tcW w:w="1276" w:type="dxa"/>
            <w:vAlign w:val="center"/>
          </w:tcPr>
          <w:p w14:paraId="048DCBC1">
            <w:pPr>
              <w:pStyle w:val="22"/>
              <w:adjustRightInd w:val="0"/>
              <w:snapToGrid w:val="0"/>
              <w:ind w:firstLine="0" w:firstLineChars="0"/>
              <w:jc w:val="center"/>
              <w:rPr>
                <w:rFonts w:eastAsia="仿宋"/>
                <w:sz w:val="24"/>
                <w:szCs w:val="21"/>
              </w:rPr>
            </w:pPr>
            <w:r>
              <w:rPr>
                <w:rFonts w:eastAsia="仿宋"/>
                <w:sz w:val="24"/>
                <w:szCs w:val="21"/>
              </w:rPr>
              <w:t>TP</w:t>
            </w:r>
          </w:p>
        </w:tc>
        <w:tc>
          <w:tcPr>
            <w:tcW w:w="1276" w:type="dxa"/>
            <w:vAlign w:val="center"/>
          </w:tcPr>
          <w:p w14:paraId="12C3AC90">
            <w:pPr>
              <w:pStyle w:val="22"/>
              <w:adjustRightInd w:val="0"/>
              <w:snapToGrid w:val="0"/>
              <w:ind w:firstLine="0" w:firstLineChars="0"/>
              <w:jc w:val="center"/>
              <w:rPr>
                <w:rFonts w:eastAsia="仿宋"/>
                <w:sz w:val="24"/>
                <w:szCs w:val="21"/>
              </w:rPr>
            </w:pPr>
            <w:r>
              <w:rPr>
                <w:rFonts w:eastAsia="仿宋"/>
                <w:sz w:val="24"/>
                <w:szCs w:val="21"/>
              </w:rPr>
              <w:t>0.5</w:t>
            </w:r>
          </w:p>
        </w:tc>
      </w:tr>
      <w:tr w14:paraId="66FF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1DE9C384">
            <w:pPr>
              <w:pStyle w:val="22"/>
              <w:adjustRightInd w:val="0"/>
              <w:snapToGrid w:val="0"/>
              <w:ind w:firstLine="0" w:firstLineChars="0"/>
              <w:jc w:val="center"/>
              <w:rPr>
                <w:rFonts w:eastAsia="仿宋"/>
                <w:sz w:val="24"/>
                <w:szCs w:val="21"/>
              </w:rPr>
            </w:pPr>
            <w:r>
              <w:rPr>
                <w:rFonts w:eastAsia="仿宋"/>
                <w:sz w:val="24"/>
                <w:szCs w:val="21"/>
              </w:rPr>
              <w:t>6</w:t>
            </w:r>
          </w:p>
        </w:tc>
        <w:tc>
          <w:tcPr>
            <w:tcW w:w="979" w:type="dxa"/>
            <w:vMerge w:val="continue"/>
            <w:vAlign w:val="center"/>
          </w:tcPr>
          <w:p w14:paraId="0B564B03">
            <w:pPr>
              <w:pStyle w:val="22"/>
              <w:adjustRightInd w:val="0"/>
              <w:snapToGrid w:val="0"/>
              <w:ind w:firstLine="0" w:firstLineChars="0"/>
              <w:jc w:val="center"/>
              <w:rPr>
                <w:rFonts w:eastAsia="仿宋"/>
                <w:sz w:val="24"/>
                <w:szCs w:val="21"/>
              </w:rPr>
            </w:pPr>
          </w:p>
        </w:tc>
        <w:tc>
          <w:tcPr>
            <w:tcW w:w="1279" w:type="dxa"/>
            <w:vMerge w:val="continue"/>
            <w:vAlign w:val="center"/>
          </w:tcPr>
          <w:p w14:paraId="73550D73">
            <w:pPr>
              <w:pStyle w:val="22"/>
              <w:adjustRightInd w:val="0"/>
              <w:snapToGrid w:val="0"/>
              <w:ind w:firstLine="0" w:firstLineChars="0"/>
              <w:jc w:val="center"/>
              <w:rPr>
                <w:rFonts w:eastAsia="仿宋"/>
                <w:sz w:val="24"/>
                <w:szCs w:val="21"/>
              </w:rPr>
            </w:pPr>
          </w:p>
        </w:tc>
        <w:tc>
          <w:tcPr>
            <w:tcW w:w="1279" w:type="dxa"/>
            <w:vMerge w:val="continue"/>
            <w:vAlign w:val="center"/>
          </w:tcPr>
          <w:p w14:paraId="36C20D3D">
            <w:pPr>
              <w:pStyle w:val="22"/>
              <w:adjustRightInd w:val="0"/>
              <w:snapToGrid w:val="0"/>
              <w:ind w:firstLine="0" w:firstLineChars="0"/>
              <w:jc w:val="center"/>
              <w:rPr>
                <w:rFonts w:eastAsia="仿宋"/>
                <w:sz w:val="24"/>
                <w:szCs w:val="21"/>
              </w:rPr>
            </w:pPr>
          </w:p>
        </w:tc>
        <w:tc>
          <w:tcPr>
            <w:tcW w:w="1287" w:type="dxa"/>
            <w:vMerge w:val="continue"/>
            <w:vAlign w:val="center"/>
          </w:tcPr>
          <w:p w14:paraId="36D0E116">
            <w:pPr>
              <w:pStyle w:val="22"/>
              <w:adjustRightInd w:val="0"/>
              <w:snapToGrid w:val="0"/>
              <w:ind w:firstLine="0" w:firstLineChars="0"/>
              <w:jc w:val="center"/>
              <w:rPr>
                <w:rFonts w:eastAsia="仿宋"/>
                <w:sz w:val="24"/>
                <w:szCs w:val="21"/>
              </w:rPr>
            </w:pPr>
          </w:p>
        </w:tc>
        <w:tc>
          <w:tcPr>
            <w:tcW w:w="1134" w:type="dxa"/>
            <w:vMerge w:val="continue"/>
            <w:vAlign w:val="center"/>
          </w:tcPr>
          <w:p w14:paraId="5888715E">
            <w:pPr>
              <w:pStyle w:val="22"/>
              <w:adjustRightInd w:val="0"/>
              <w:snapToGrid w:val="0"/>
              <w:ind w:firstLine="0" w:firstLineChars="0"/>
              <w:jc w:val="center"/>
              <w:rPr>
                <w:rFonts w:eastAsia="仿宋"/>
                <w:sz w:val="24"/>
                <w:szCs w:val="21"/>
              </w:rPr>
            </w:pPr>
          </w:p>
        </w:tc>
        <w:tc>
          <w:tcPr>
            <w:tcW w:w="1502" w:type="dxa"/>
            <w:vMerge w:val="continue"/>
            <w:vAlign w:val="center"/>
          </w:tcPr>
          <w:p w14:paraId="2D4F62D4">
            <w:pPr>
              <w:pStyle w:val="22"/>
              <w:adjustRightInd w:val="0"/>
              <w:snapToGrid w:val="0"/>
              <w:ind w:firstLine="0" w:firstLineChars="0"/>
              <w:jc w:val="center"/>
              <w:rPr>
                <w:rFonts w:eastAsia="仿宋"/>
                <w:sz w:val="24"/>
                <w:szCs w:val="21"/>
              </w:rPr>
            </w:pPr>
          </w:p>
        </w:tc>
        <w:tc>
          <w:tcPr>
            <w:tcW w:w="908" w:type="dxa"/>
            <w:vMerge w:val="continue"/>
            <w:vAlign w:val="center"/>
          </w:tcPr>
          <w:p w14:paraId="68EE7A3A">
            <w:pPr>
              <w:pStyle w:val="22"/>
              <w:adjustRightInd w:val="0"/>
              <w:snapToGrid w:val="0"/>
              <w:ind w:firstLine="0" w:firstLineChars="0"/>
              <w:jc w:val="center"/>
              <w:rPr>
                <w:rFonts w:eastAsia="仿宋"/>
                <w:sz w:val="24"/>
                <w:szCs w:val="21"/>
              </w:rPr>
            </w:pPr>
          </w:p>
        </w:tc>
        <w:tc>
          <w:tcPr>
            <w:tcW w:w="992" w:type="dxa"/>
            <w:vMerge w:val="continue"/>
            <w:vAlign w:val="center"/>
          </w:tcPr>
          <w:p w14:paraId="6BC47AF3">
            <w:pPr>
              <w:pStyle w:val="22"/>
              <w:adjustRightInd w:val="0"/>
              <w:snapToGrid w:val="0"/>
              <w:ind w:firstLine="0" w:firstLineChars="0"/>
              <w:jc w:val="center"/>
              <w:rPr>
                <w:rFonts w:eastAsia="仿宋"/>
                <w:sz w:val="24"/>
                <w:szCs w:val="21"/>
              </w:rPr>
            </w:pPr>
          </w:p>
        </w:tc>
        <w:tc>
          <w:tcPr>
            <w:tcW w:w="1404" w:type="dxa"/>
            <w:vMerge w:val="continue"/>
            <w:vAlign w:val="center"/>
          </w:tcPr>
          <w:p w14:paraId="2A4EEF28">
            <w:pPr>
              <w:pStyle w:val="22"/>
              <w:adjustRightInd w:val="0"/>
              <w:snapToGrid w:val="0"/>
              <w:ind w:firstLine="0" w:firstLineChars="0"/>
              <w:jc w:val="center"/>
              <w:rPr>
                <w:rFonts w:eastAsia="仿宋"/>
                <w:sz w:val="24"/>
                <w:szCs w:val="21"/>
              </w:rPr>
            </w:pPr>
          </w:p>
        </w:tc>
        <w:tc>
          <w:tcPr>
            <w:tcW w:w="1276" w:type="dxa"/>
            <w:vAlign w:val="center"/>
          </w:tcPr>
          <w:p w14:paraId="151666FD">
            <w:pPr>
              <w:pStyle w:val="22"/>
              <w:adjustRightInd w:val="0"/>
              <w:snapToGrid w:val="0"/>
              <w:ind w:firstLine="0" w:firstLineChars="0"/>
              <w:jc w:val="center"/>
              <w:rPr>
                <w:rFonts w:eastAsia="仿宋"/>
                <w:sz w:val="24"/>
                <w:szCs w:val="21"/>
              </w:rPr>
            </w:pPr>
            <w:r>
              <w:rPr>
                <w:rFonts w:hint="eastAsia" w:eastAsia="仿宋"/>
                <w:sz w:val="24"/>
                <w:szCs w:val="21"/>
              </w:rPr>
              <w:t>石油类</w:t>
            </w:r>
          </w:p>
        </w:tc>
        <w:tc>
          <w:tcPr>
            <w:tcW w:w="1276" w:type="dxa"/>
            <w:vAlign w:val="center"/>
          </w:tcPr>
          <w:p w14:paraId="3BE899F6">
            <w:pPr>
              <w:pStyle w:val="22"/>
              <w:adjustRightInd w:val="0"/>
              <w:snapToGrid w:val="0"/>
              <w:ind w:firstLine="0" w:firstLineChars="0"/>
              <w:jc w:val="center"/>
              <w:rPr>
                <w:rFonts w:eastAsia="仿宋"/>
                <w:sz w:val="24"/>
                <w:szCs w:val="21"/>
              </w:rPr>
            </w:pPr>
            <w:r>
              <w:rPr>
                <w:rFonts w:hint="eastAsia" w:eastAsia="仿宋"/>
                <w:sz w:val="24"/>
                <w:szCs w:val="21"/>
              </w:rPr>
              <w:t>1</w:t>
            </w:r>
          </w:p>
        </w:tc>
      </w:tr>
      <w:tr w14:paraId="1F9C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14:paraId="2517D86A">
            <w:pPr>
              <w:pStyle w:val="22"/>
              <w:adjustRightInd w:val="0"/>
              <w:snapToGrid w:val="0"/>
              <w:ind w:firstLine="0" w:firstLineChars="0"/>
              <w:jc w:val="center"/>
              <w:rPr>
                <w:rFonts w:eastAsia="仿宋"/>
                <w:sz w:val="24"/>
                <w:szCs w:val="21"/>
              </w:rPr>
            </w:pPr>
            <w:r>
              <w:rPr>
                <w:rFonts w:eastAsia="仿宋"/>
                <w:sz w:val="24"/>
                <w:szCs w:val="21"/>
              </w:rPr>
              <w:t>7</w:t>
            </w:r>
          </w:p>
        </w:tc>
        <w:tc>
          <w:tcPr>
            <w:tcW w:w="979" w:type="dxa"/>
            <w:vMerge w:val="continue"/>
            <w:vAlign w:val="center"/>
          </w:tcPr>
          <w:p w14:paraId="71ED019B">
            <w:pPr>
              <w:pStyle w:val="22"/>
              <w:adjustRightInd w:val="0"/>
              <w:snapToGrid w:val="0"/>
              <w:ind w:firstLine="0" w:firstLineChars="0"/>
              <w:jc w:val="center"/>
              <w:rPr>
                <w:rFonts w:eastAsia="仿宋"/>
                <w:sz w:val="24"/>
                <w:szCs w:val="21"/>
              </w:rPr>
            </w:pPr>
          </w:p>
        </w:tc>
        <w:tc>
          <w:tcPr>
            <w:tcW w:w="1279" w:type="dxa"/>
            <w:vMerge w:val="continue"/>
            <w:vAlign w:val="center"/>
          </w:tcPr>
          <w:p w14:paraId="4512804B">
            <w:pPr>
              <w:pStyle w:val="22"/>
              <w:adjustRightInd w:val="0"/>
              <w:snapToGrid w:val="0"/>
              <w:ind w:firstLine="0" w:firstLineChars="0"/>
              <w:jc w:val="center"/>
              <w:rPr>
                <w:rFonts w:eastAsia="仿宋"/>
                <w:sz w:val="24"/>
                <w:szCs w:val="21"/>
              </w:rPr>
            </w:pPr>
          </w:p>
        </w:tc>
        <w:tc>
          <w:tcPr>
            <w:tcW w:w="1279" w:type="dxa"/>
            <w:vMerge w:val="continue"/>
            <w:vAlign w:val="center"/>
          </w:tcPr>
          <w:p w14:paraId="737FBC5D">
            <w:pPr>
              <w:pStyle w:val="22"/>
              <w:adjustRightInd w:val="0"/>
              <w:snapToGrid w:val="0"/>
              <w:ind w:firstLine="0" w:firstLineChars="0"/>
              <w:jc w:val="center"/>
              <w:rPr>
                <w:rFonts w:eastAsia="仿宋"/>
                <w:sz w:val="24"/>
                <w:szCs w:val="21"/>
              </w:rPr>
            </w:pPr>
          </w:p>
        </w:tc>
        <w:tc>
          <w:tcPr>
            <w:tcW w:w="1287" w:type="dxa"/>
            <w:vMerge w:val="continue"/>
            <w:vAlign w:val="center"/>
          </w:tcPr>
          <w:p w14:paraId="7EC0EE75">
            <w:pPr>
              <w:pStyle w:val="22"/>
              <w:adjustRightInd w:val="0"/>
              <w:snapToGrid w:val="0"/>
              <w:ind w:firstLine="0" w:firstLineChars="0"/>
              <w:jc w:val="center"/>
              <w:rPr>
                <w:rFonts w:eastAsia="仿宋"/>
                <w:sz w:val="24"/>
                <w:szCs w:val="21"/>
              </w:rPr>
            </w:pPr>
          </w:p>
        </w:tc>
        <w:tc>
          <w:tcPr>
            <w:tcW w:w="1134" w:type="dxa"/>
            <w:vMerge w:val="continue"/>
            <w:vAlign w:val="center"/>
          </w:tcPr>
          <w:p w14:paraId="56396846">
            <w:pPr>
              <w:pStyle w:val="22"/>
              <w:adjustRightInd w:val="0"/>
              <w:snapToGrid w:val="0"/>
              <w:ind w:firstLine="0" w:firstLineChars="0"/>
              <w:jc w:val="center"/>
              <w:rPr>
                <w:rFonts w:eastAsia="仿宋"/>
                <w:sz w:val="24"/>
                <w:szCs w:val="21"/>
              </w:rPr>
            </w:pPr>
          </w:p>
        </w:tc>
        <w:tc>
          <w:tcPr>
            <w:tcW w:w="1502" w:type="dxa"/>
            <w:vMerge w:val="continue"/>
            <w:vAlign w:val="center"/>
          </w:tcPr>
          <w:p w14:paraId="2361D764">
            <w:pPr>
              <w:pStyle w:val="22"/>
              <w:adjustRightInd w:val="0"/>
              <w:snapToGrid w:val="0"/>
              <w:ind w:firstLine="0" w:firstLineChars="0"/>
              <w:jc w:val="center"/>
              <w:rPr>
                <w:rFonts w:eastAsia="仿宋"/>
                <w:sz w:val="24"/>
                <w:szCs w:val="21"/>
              </w:rPr>
            </w:pPr>
          </w:p>
        </w:tc>
        <w:tc>
          <w:tcPr>
            <w:tcW w:w="908" w:type="dxa"/>
            <w:vMerge w:val="continue"/>
            <w:vAlign w:val="center"/>
          </w:tcPr>
          <w:p w14:paraId="20146064">
            <w:pPr>
              <w:pStyle w:val="22"/>
              <w:adjustRightInd w:val="0"/>
              <w:snapToGrid w:val="0"/>
              <w:ind w:firstLine="0" w:firstLineChars="0"/>
              <w:jc w:val="center"/>
              <w:rPr>
                <w:rFonts w:eastAsia="仿宋"/>
                <w:sz w:val="24"/>
                <w:szCs w:val="21"/>
              </w:rPr>
            </w:pPr>
          </w:p>
        </w:tc>
        <w:tc>
          <w:tcPr>
            <w:tcW w:w="992" w:type="dxa"/>
            <w:vMerge w:val="continue"/>
            <w:vAlign w:val="center"/>
          </w:tcPr>
          <w:p w14:paraId="21936575">
            <w:pPr>
              <w:pStyle w:val="22"/>
              <w:adjustRightInd w:val="0"/>
              <w:snapToGrid w:val="0"/>
              <w:ind w:firstLine="0" w:firstLineChars="0"/>
              <w:jc w:val="center"/>
              <w:rPr>
                <w:rFonts w:eastAsia="仿宋"/>
                <w:sz w:val="24"/>
                <w:szCs w:val="21"/>
              </w:rPr>
            </w:pPr>
          </w:p>
        </w:tc>
        <w:tc>
          <w:tcPr>
            <w:tcW w:w="1404" w:type="dxa"/>
            <w:vMerge w:val="continue"/>
            <w:vAlign w:val="center"/>
          </w:tcPr>
          <w:p w14:paraId="6F2475B1">
            <w:pPr>
              <w:pStyle w:val="22"/>
              <w:adjustRightInd w:val="0"/>
              <w:snapToGrid w:val="0"/>
              <w:ind w:firstLine="0" w:firstLineChars="0"/>
              <w:jc w:val="center"/>
              <w:rPr>
                <w:rFonts w:eastAsia="仿宋"/>
                <w:sz w:val="24"/>
                <w:szCs w:val="21"/>
              </w:rPr>
            </w:pPr>
          </w:p>
        </w:tc>
        <w:tc>
          <w:tcPr>
            <w:tcW w:w="1276" w:type="dxa"/>
            <w:vAlign w:val="center"/>
          </w:tcPr>
          <w:p w14:paraId="051CCE0C">
            <w:pPr>
              <w:pStyle w:val="22"/>
              <w:adjustRightInd w:val="0"/>
              <w:snapToGrid w:val="0"/>
              <w:ind w:firstLine="0" w:firstLineChars="0"/>
              <w:jc w:val="center"/>
              <w:rPr>
                <w:rFonts w:eastAsia="仿宋"/>
                <w:sz w:val="24"/>
                <w:szCs w:val="21"/>
              </w:rPr>
            </w:pPr>
            <w:r>
              <w:rPr>
                <w:rFonts w:eastAsia="仿宋"/>
                <w:sz w:val="24"/>
                <w:szCs w:val="21"/>
              </w:rPr>
              <w:t>动植物油</w:t>
            </w:r>
          </w:p>
        </w:tc>
        <w:tc>
          <w:tcPr>
            <w:tcW w:w="1276" w:type="dxa"/>
            <w:vAlign w:val="center"/>
          </w:tcPr>
          <w:p w14:paraId="184BBAD4">
            <w:pPr>
              <w:pStyle w:val="22"/>
              <w:adjustRightInd w:val="0"/>
              <w:snapToGrid w:val="0"/>
              <w:ind w:firstLine="0" w:firstLineChars="0"/>
              <w:jc w:val="center"/>
              <w:rPr>
                <w:rFonts w:eastAsia="仿宋"/>
                <w:sz w:val="24"/>
                <w:szCs w:val="21"/>
              </w:rPr>
            </w:pPr>
            <w:r>
              <w:rPr>
                <w:rFonts w:eastAsia="仿宋"/>
                <w:sz w:val="24"/>
                <w:szCs w:val="21"/>
              </w:rPr>
              <w:t>1</w:t>
            </w:r>
          </w:p>
        </w:tc>
      </w:tr>
    </w:tbl>
    <w:p w14:paraId="673A4121">
      <w:pPr>
        <w:tabs>
          <w:tab w:val="left" w:pos="5175"/>
        </w:tabs>
        <w:spacing w:line="500" w:lineRule="exact"/>
        <w:ind w:firstLine="560" w:firstLineChars="200"/>
        <w:rPr>
          <w:rFonts w:ascii="Times New Roman" w:eastAsia="仿宋"/>
          <w:sz w:val="28"/>
          <w:szCs w:val="28"/>
        </w:rPr>
        <w:sectPr>
          <w:pgSz w:w="16838" w:h="11906" w:orient="landscape"/>
          <w:pgMar w:top="1797" w:right="1440" w:bottom="1797" w:left="1440" w:header="539" w:footer="992" w:gutter="0"/>
          <w:cols w:space="720" w:num="1"/>
          <w:docGrid w:linePitch="286" w:charSpace="0"/>
        </w:sectPr>
      </w:pPr>
      <w:r>
        <w:rPr>
          <w:rFonts w:ascii="Times New Roman" w:eastAsia="仿宋"/>
          <w:sz w:val="28"/>
          <w:szCs w:val="28"/>
        </w:rPr>
        <w:tab/>
      </w:r>
    </w:p>
    <w:p w14:paraId="4F2707A8">
      <w:pPr>
        <w:tabs>
          <w:tab w:val="left" w:pos="5175"/>
        </w:tabs>
        <w:spacing w:line="500" w:lineRule="exact"/>
        <w:ind w:firstLine="482" w:firstLineChars="200"/>
        <w:jc w:val="center"/>
        <w:rPr>
          <w:rFonts w:ascii="Times New Roman" w:eastAsia="仿宋"/>
          <w:b/>
        </w:rPr>
      </w:pPr>
      <w:r>
        <w:rPr>
          <w:rFonts w:ascii="Times New Roman" w:eastAsia="仿宋"/>
          <w:b/>
        </w:rPr>
        <w:t>表5.2-28 废水污染物排放执行标准表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801"/>
        <w:gridCol w:w="2372"/>
        <w:gridCol w:w="5574"/>
        <w:gridCol w:w="2108"/>
        <w:gridCol w:w="1580"/>
      </w:tblGrid>
      <w:tr w14:paraId="52F0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57" w:type="pct"/>
            <w:vMerge w:val="restart"/>
            <w:vAlign w:val="center"/>
          </w:tcPr>
          <w:p w14:paraId="331BAFCF">
            <w:pPr>
              <w:pStyle w:val="22"/>
              <w:adjustRightInd w:val="0"/>
              <w:snapToGrid w:val="0"/>
              <w:ind w:firstLine="0" w:firstLineChars="0"/>
              <w:jc w:val="center"/>
              <w:rPr>
                <w:rFonts w:eastAsia="仿宋"/>
                <w:sz w:val="24"/>
                <w:szCs w:val="21"/>
              </w:rPr>
            </w:pPr>
            <w:r>
              <w:rPr>
                <w:rFonts w:eastAsia="仿宋"/>
                <w:sz w:val="24"/>
                <w:szCs w:val="21"/>
              </w:rPr>
              <w:t>序号</w:t>
            </w:r>
          </w:p>
        </w:tc>
        <w:tc>
          <w:tcPr>
            <w:tcW w:w="609" w:type="pct"/>
            <w:vMerge w:val="restart"/>
            <w:vAlign w:val="center"/>
          </w:tcPr>
          <w:p w14:paraId="7DA899BD">
            <w:pPr>
              <w:pStyle w:val="22"/>
              <w:adjustRightInd w:val="0"/>
              <w:snapToGrid w:val="0"/>
              <w:ind w:firstLine="0" w:firstLineChars="0"/>
              <w:jc w:val="center"/>
              <w:rPr>
                <w:rFonts w:eastAsia="仿宋"/>
                <w:sz w:val="24"/>
                <w:szCs w:val="21"/>
              </w:rPr>
            </w:pPr>
            <w:r>
              <w:rPr>
                <w:rFonts w:eastAsia="仿宋"/>
                <w:sz w:val="24"/>
                <w:szCs w:val="21"/>
              </w:rPr>
              <w:t>排放口编号</w:t>
            </w:r>
          </w:p>
        </w:tc>
        <w:tc>
          <w:tcPr>
            <w:tcW w:w="802" w:type="pct"/>
            <w:vMerge w:val="restart"/>
            <w:vAlign w:val="center"/>
          </w:tcPr>
          <w:p w14:paraId="2AB8284E">
            <w:pPr>
              <w:pStyle w:val="22"/>
              <w:adjustRightInd w:val="0"/>
              <w:snapToGrid w:val="0"/>
              <w:ind w:firstLine="0" w:firstLineChars="0"/>
              <w:jc w:val="center"/>
              <w:rPr>
                <w:rFonts w:eastAsia="仿宋"/>
                <w:sz w:val="24"/>
                <w:szCs w:val="21"/>
              </w:rPr>
            </w:pPr>
            <w:r>
              <w:rPr>
                <w:rFonts w:eastAsia="仿宋"/>
                <w:sz w:val="24"/>
                <w:szCs w:val="21"/>
              </w:rPr>
              <w:t>污染物种类</w:t>
            </w:r>
          </w:p>
        </w:tc>
        <w:tc>
          <w:tcPr>
            <w:tcW w:w="3132" w:type="pct"/>
            <w:gridSpan w:val="3"/>
            <w:vAlign w:val="center"/>
          </w:tcPr>
          <w:p w14:paraId="4CD947FF">
            <w:pPr>
              <w:pStyle w:val="22"/>
              <w:adjustRightInd w:val="0"/>
              <w:snapToGrid w:val="0"/>
              <w:ind w:firstLine="0" w:firstLineChars="0"/>
              <w:jc w:val="center"/>
              <w:rPr>
                <w:rFonts w:eastAsia="仿宋"/>
                <w:sz w:val="24"/>
                <w:szCs w:val="21"/>
              </w:rPr>
            </w:pPr>
            <w:r>
              <w:rPr>
                <w:rFonts w:eastAsia="仿宋"/>
                <w:sz w:val="24"/>
                <w:szCs w:val="21"/>
              </w:rPr>
              <w:t>国家或地方排放标准及其他按规定商议的排放协议</w:t>
            </w:r>
          </w:p>
        </w:tc>
      </w:tr>
      <w:tr w14:paraId="0797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3696C9F7">
            <w:pPr>
              <w:pStyle w:val="22"/>
              <w:adjustRightInd w:val="0"/>
              <w:snapToGrid w:val="0"/>
              <w:ind w:firstLine="0" w:firstLineChars="0"/>
              <w:jc w:val="center"/>
              <w:rPr>
                <w:rFonts w:eastAsia="仿宋"/>
                <w:sz w:val="24"/>
                <w:szCs w:val="21"/>
              </w:rPr>
            </w:pPr>
          </w:p>
        </w:tc>
        <w:tc>
          <w:tcPr>
            <w:tcW w:w="609" w:type="pct"/>
            <w:vMerge w:val="continue"/>
            <w:vAlign w:val="center"/>
          </w:tcPr>
          <w:p w14:paraId="5A12EBD4">
            <w:pPr>
              <w:pStyle w:val="22"/>
              <w:adjustRightInd w:val="0"/>
              <w:snapToGrid w:val="0"/>
              <w:ind w:firstLine="0" w:firstLineChars="0"/>
              <w:jc w:val="center"/>
              <w:rPr>
                <w:rFonts w:eastAsia="仿宋"/>
                <w:sz w:val="24"/>
                <w:szCs w:val="21"/>
              </w:rPr>
            </w:pPr>
          </w:p>
        </w:tc>
        <w:tc>
          <w:tcPr>
            <w:tcW w:w="802" w:type="pct"/>
            <w:vMerge w:val="continue"/>
            <w:vAlign w:val="center"/>
          </w:tcPr>
          <w:p w14:paraId="0FAD7910">
            <w:pPr>
              <w:pStyle w:val="22"/>
              <w:adjustRightInd w:val="0"/>
              <w:snapToGrid w:val="0"/>
              <w:ind w:firstLine="0" w:firstLineChars="0"/>
              <w:jc w:val="center"/>
              <w:rPr>
                <w:rFonts w:eastAsia="仿宋"/>
                <w:sz w:val="24"/>
                <w:szCs w:val="21"/>
              </w:rPr>
            </w:pPr>
          </w:p>
        </w:tc>
        <w:tc>
          <w:tcPr>
            <w:tcW w:w="1885" w:type="pct"/>
            <w:vAlign w:val="center"/>
          </w:tcPr>
          <w:p w14:paraId="19B1F91F">
            <w:pPr>
              <w:pStyle w:val="22"/>
              <w:adjustRightInd w:val="0"/>
              <w:snapToGrid w:val="0"/>
              <w:ind w:firstLine="0" w:firstLineChars="0"/>
              <w:jc w:val="center"/>
              <w:rPr>
                <w:rFonts w:eastAsia="仿宋"/>
                <w:sz w:val="24"/>
                <w:szCs w:val="21"/>
              </w:rPr>
            </w:pPr>
            <w:r>
              <w:rPr>
                <w:rFonts w:eastAsia="仿宋"/>
                <w:sz w:val="24"/>
                <w:szCs w:val="21"/>
              </w:rPr>
              <w:t>名称</w:t>
            </w:r>
          </w:p>
        </w:tc>
        <w:tc>
          <w:tcPr>
            <w:tcW w:w="1247" w:type="pct"/>
            <w:gridSpan w:val="2"/>
            <w:vAlign w:val="center"/>
          </w:tcPr>
          <w:p w14:paraId="6B642011">
            <w:pPr>
              <w:pStyle w:val="22"/>
              <w:adjustRightInd w:val="0"/>
              <w:snapToGrid w:val="0"/>
              <w:ind w:firstLine="0" w:firstLineChars="0"/>
              <w:jc w:val="center"/>
              <w:rPr>
                <w:rFonts w:eastAsia="仿宋"/>
                <w:sz w:val="24"/>
                <w:szCs w:val="21"/>
              </w:rPr>
            </w:pPr>
            <w:r>
              <w:rPr>
                <w:rFonts w:eastAsia="仿宋"/>
                <w:sz w:val="24"/>
                <w:szCs w:val="21"/>
              </w:rPr>
              <w:t>浓度限值（mg/L）</w:t>
            </w:r>
          </w:p>
        </w:tc>
      </w:tr>
      <w:tr w14:paraId="58AE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restart"/>
            <w:vAlign w:val="center"/>
          </w:tcPr>
          <w:p w14:paraId="75AB84E9">
            <w:pPr>
              <w:pStyle w:val="22"/>
              <w:adjustRightInd w:val="0"/>
              <w:snapToGrid w:val="0"/>
              <w:ind w:firstLine="0" w:firstLineChars="0"/>
              <w:jc w:val="center"/>
              <w:rPr>
                <w:rFonts w:eastAsia="仿宋"/>
                <w:sz w:val="24"/>
                <w:szCs w:val="21"/>
              </w:rPr>
            </w:pPr>
            <w:r>
              <w:rPr>
                <w:rFonts w:eastAsia="仿宋"/>
                <w:sz w:val="24"/>
                <w:szCs w:val="21"/>
              </w:rPr>
              <w:t>1</w:t>
            </w:r>
          </w:p>
        </w:tc>
        <w:tc>
          <w:tcPr>
            <w:tcW w:w="609" w:type="pct"/>
            <w:vMerge w:val="restart"/>
            <w:vAlign w:val="center"/>
          </w:tcPr>
          <w:p w14:paraId="3A9A164E">
            <w:pPr>
              <w:pStyle w:val="22"/>
              <w:adjustRightInd w:val="0"/>
              <w:snapToGrid w:val="0"/>
              <w:ind w:firstLine="0" w:firstLineChars="0"/>
              <w:jc w:val="center"/>
              <w:rPr>
                <w:rFonts w:eastAsia="仿宋"/>
                <w:sz w:val="24"/>
                <w:szCs w:val="21"/>
              </w:rPr>
            </w:pPr>
            <w:r>
              <w:rPr>
                <w:rFonts w:eastAsia="仿宋"/>
                <w:sz w:val="24"/>
                <w:szCs w:val="21"/>
              </w:rPr>
              <w:t>DW0</w:t>
            </w:r>
            <w:r>
              <w:rPr>
                <w:rFonts w:hint="eastAsia" w:eastAsia="仿宋"/>
                <w:sz w:val="24"/>
                <w:szCs w:val="21"/>
              </w:rPr>
              <w:t>2</w:t>
            </w:r>
          </w:p>
        </w:tc>
        <w:tc>
          <w:tcPr>
            <w:tcW w:w="802" w:type="pct"/>
            <w:vMerge w:val="restart"/>
            <w:vAlign w:val="center"/>
          </w:tcPr>
          <w:p w14:paraId="78A198BD">
            <w:pPr>
              <w:pStyle w:val="22"/>
              <w:adjustRightInd w:val="0"/>
              <w:snapToGrid w:val="0"/>
              <w:ind w:firstLine="0" w:firstLineChars="0"/>
              <w:jc w:val="center"/>
              <w:rPr>
                <w:rFonts w:eastAsia="仿宋"/>
                <w:sz w:val="24"/>
                <w:szCs w:val="21"/>
              </w:rPr>
            </w:pPr>
            <w:r>
              <w:rPr>
                <w:rFonts w:eastAsia="仿宋"/>
                <w:sz w:val="24"/>
                <w:szCs w:val="21"/>
              </w:rPr>
              <w:t>COD、SS、TN、NH</w:t>
            </w:r>
            <w:r>
              <w:rPr>
                <w:rFonts w:eastAsia="仿宋"/>
                <w:sz w:val="24"/>
                <w:szCs w:val="21"/>
                <w:vertAlign w:val="subscript"/>
              </w:rPr>
              <w:t>3</w:t>
            </w:r>
            <w:r>
              <w:rPr>
                <w:rFonts w:eastAsia="仿宋"/>
                <w:sz w:val="24"/>
                <w:szCs w:val="21"/>
              </w:rPr>
              <w:t>-N、TP、动植物油</w:t>
            </w:r>
            <w:r>
              <w:rPr>
                <w:rFonts w:hint="eastAsia" w:eastAsia="仿宋"/>
                <w:sz w:val="24"/>
                <w:szCs w:val="21"/>
              </w:rPr>
              <w:t>、石油类</w:t>
            </w:r>
          </w:p>
        </w:tc>
        <w:tc>
          <w:tcPr>
            <w:tcW w:w="1885" w:type="pct"/>
            <w:vMerge w:val="restart"/>
            <w:vAlign w:val="center"/>
          </w:tcPr>
          <w:p w14:paraId="71676A90">
            <w:pPr>
              <w:pStyle w:val="22"/>
              <w:adjustRightInd w:val="0"/>
              <w:snapToGrid w:val="0"/>
              <w:ind w:firstLine="0" w:firstLineChars="0"/>
              <w:jc w:val="center"/>
              <w:rPr>
                <w:rFonts w:eastAsia="仿宋"/>
                <w:sz w:val="24"/>
                <w:szCs w:val="21"/>
              </w:rPr>
            </w:pPr>
            <w:r>
              <w:rPr>
                <w:rFonts w:eastAsia="仿宋"/>
                <w:sz w:val="24"/>
                <w:szCs w:val="21"/>
              </w:rPr>
              <w:t>《污水排入城镇下水道水质标准》（GB/T31962-2015）表1中B等级标准</w:t>
            </w:r>
          </w:p>
        </w:tc>
        <w:tc>
          <w:tcPr>
            <w:tcW w:w="713" w:type="pct"/>
            <w:vAlign w:val="center"/>
          </w:tcPr>
          <w:p w14:paraId="10B5C11F">
            <w:pPr>
              <w:pStyle w:val="22"/>
              <w:adjustRightInd w:val="0"/>
              <w:snapToGrid w:val="0"/>
              <w:ind w:firstLine="0" w:firstLineChars="0"/>
              <w:jc w:val="center"/>
              <w:rPr>
                <w:rFonts w:eastAsia="仿宋"/>
                <w:sz w:val="24"/>
                <w:szCs w:val="21"/>
              </w:rPr>
            </w:pPr>
            <w:r>
              <w:rPr>
                <w:rFonts w:eastAsia="仿宋"/>
                <w:sz w:val="24"/>
                <w:szCs w:val="21"/>
              </w:rPr>
              <w:t>COD</w:t>
            </w:r>
          </w:p>
        </w:tc>
        <w:tc>
          <w:tcPr>
            <w:tcW w:w="534" w:type="pct"/>
            <w:vAlign w:val="center"/>
          </w:tcPr>
          <w:p w14:paraId="71EE7758">
            <w:pPr>
              <w:pStyle w:val="22"/>
              <w:adjustRightInd w:val="0"/>
              <w:snapToGrid w:val="0"/>
              <w:ind w:firstLine="0" w:firstLineChars="0"/>
              <w:jc w:val="center"/>
              <w:rPr>
                <w:rFonts w:eastAsia="仿宋"/>
                <w:sz w:val="24"/>
                <w:szCs w:val="21"/>
              </w:rPr>
            </w:pPr>
            <w:r>
              <w:rPr>
                <w:rFonts w:eastAsia="仿宋"/>
                <w:sz w:val="24"/>
                <w:szCs w:val="21"/>
              </w:rPr>
              <w:t>500</w:t>
            </w:r>
          </w:p>
        </w:tc>
      </w:tr>
      <w:tr w14:paraId="202D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3586477D">
            <w:pPr>
              <w:pStyle w:val="22"/>
              <w:adjustRightInd w:val="0"/>
              <w:snapToGrid w:val="0"/>
              <w:ind w:firstLine="480"/>
              <w:jc w:val="center"/>
              <w:rPr>
                <w:rFonts w:eastAsia="仿宋"/>
                <w:sz w:val="24"/>
                <w:szCs w:val="21"/>
              </w:rPr>
            </w:pPr>
          </w:p>
        </w:tc>
        <w:tc>
          <w:tcPr>
            <w:tcW w:w="609" w:type="pct"/>
            <w:vMerge w:val="continue"/>
            <w:vAlign w:val="center"/>
          </w:tcPr>
          <w:p w14:paraId="631331BE">
            <w:pPr>
              <w:pStyle w:val="22"/>
              <w:adjustRightInd w:val="0"/>
              <w:snapToGrid w:val="0"/>
              <w:ind w:firstLine="480"/>
              <w:jc w:val="center"/>
              <w:rPr>
                <w:rFonts w:eastAsia="仿宋"/>
                <w:sz w:val="24"/>
                <w:szCs w:val="21"/>
              </w:rPr>
            </w:pPr>
          </w:p>
        </w:tc>
        <w:tc>
          <w:tcPr>
            <w:tcW w:w="802" w:type="pct"/>
            <w:vMerge w:val="continue"/>
            <w:vAlign w:val="center"/>
          </w:tcPr>
          <w:p w14:paraId="11082035">
            <w:pPr>
              <w:pStyle w:val="22"/>
              <w:adjustRightInd w:val="0"/>
              <w:snapToGrid w:val="0"/>
              <w:ind w:firstLine="480"/>
              <w:jc w:val="center"/>
              <w:rPr>
                <w:rFonts w:eastAsia="仿宋"/>
                <w:sz w:val="24"/>
                <w:szCs w:val="21"/>
              </w:rPr>
            </w:pPr>
          </w:p>
        </w:tc>
        <w:tc>
          <w:tcPr>
            <w:tcW w:w="1885" w:type="pct"/>
            <w:vMerge w:val="continue"/>
            <w:vAlign w:val="center"/>
          </w:tcPr>
          <w:p w14:paraId="3165D16A">
            <w:pPr>
              <w:pStyle w:val="22"/>
              <w:adjustRightInd w:val="0"/>
              <w:snapToGrid w:val="0"/>
              <w:ind w:firstLine="0" w:firstLineChars="0"/>
              <w:jc w:val="center"/>
              <w:rPr>
                <w:rFonts w:eastAsia="仿宋"/>
                <w:sz w:val="24"/>
                <w:szCs w:val="21"/>
              </w:rPr>
            </w:pPr>
          </w:p>
        </w:tc>
        <w:tc>
          <w:tcPr>
            <w:tcW w:w="713" w:type="pct"/>
            <w:vAlign w:val="center"/>
          </w:tcPr>
          <w:p w14:paraId="119153C5">
            <w:pPr>
              <w:pStyle w:val="22"/>
              <w:adjustRightInd w:val="0"/>
              <w:snapToGrid w:val="0"/>
              <w:ind w:firstLine="0" w:firstLineChars="0"/>
              <w:jc w:val="center"/>
              <w:rPr>
                <w:rFonts w:eastAsia="仿宋"/>
                <w:sz w:val="24"/>
                <w:szCs w:val="21"/>
              </w:rPr>
            </w:pPr>
            <w:r>
              <w:rPr>
                <w:rFonts w:eastAsia="仿宋"/>
                <w:sz w:val="24"/>
                <w:szCs w:val="21"/>
              </w:rPr>
              <w:t>SS</w:t>
            </w:r>
          </w:p>
        </w:tc>
        <w:tc>
          <w:tcPr>
            <w:tcW w:w="534" w:type="pct"/>
            <w:vAlign w:val="center"/>
          </w:tcPr>
          <w:p w14:paraId="7781C8D2">
            <w:pPr>
              <w:pStyle w:val="22"/>
              <w:adjustRightInd w:val="0"/>
              <w:snapToGrid w:val="0"/>
              <w:ind w:firstLine="0" w:firstLineChars="0"/>
              <w:jc w:val="center"/>
              <w:rPr>
                <w:rFonts w:eastAsia="仿宋"/>
                <w:sz w:val="24"/>
                <w:szCs w:val="21"/>
              </w:rPr>
            </w:pPr>
            <w:r>
              <w:rPr>
                <w:rFonts w:eastAsia="仿宋"/>
                <w:sz w:val="24"/>
                <w:szCs w:val="21"/>
              </w:rPr>
              <w:t>400</w:t>
            </w:r>
          </w:p>
        </w:tc>
      </w:tr>
      <w:tr w14:paraId="13E5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68E7BDAF">
            <w:pPr>
              <w:pStyle w:val="22"/>
              <w:adjustRightInd w:val="0"/>
              <w:snapToGrid w:val="0"/>
              <w:ind w:firstLine="480"/>
              <w:jc w:val="center"/>
              <w:rPr>
                <w:rFonts w:eastAsia="仿宋"/>
                <w:sz w:val="24"/>
                <w:szCs w:val="21"/>
              </w:rPr>
            </w:pPr>
          </w:p>
        </w:tc>
        <w:tc>
          <w:tcPr>
            <w:tcW w:w="609" w:type="pct"/>
            <w:vMerge w:val="continue"/>
            <w:vAlign w:val="center"/>
          </w:tcPr>
          <w:p w14:paraId="1779E8B9">
            <w:pPr>
              <w:pStyle w:val="22"/>
              <w:adjustRightInd w:val="0"/>
              <w:snapToGrid w:val="0"/>
              <w:ind w:firstLine="480"/>
              <w:jc w:val="center"/>
              <w:rPr>
                <w:rFonts w:eastAsia="仿宋"/>
                <w:sz w:val="24"/>
                <w:szCs w:val="21"/>
              </w:rPr>
            </w:pPr>
          </w:p>
        </w:tc>
        <w:tc>
          <w:tcPr>
            <w:tcW w:w="802" w:type="pct"/>
            <w:vMerge w:val="continue"/>
            <w:vAlign w:val="center"/>
          </w:tcPr>
          <w:p w14:paraId="421E667E">
            <w:pPr>
              <w:pStyle w:val="22"/>
              <w:adjustRightInd w:val="0"/>
              <w:snapToGrid w:val="0"/>
              <w:ind w:firstLine="480"/>
              <w:jc w:val="center"/>
              <w:rPr>
                <w:rFonts w:eastAsia="仿宋"/>
                <w:sz w:val="24"/>
                <w:szCs w:val="21"/>
              </w:rPr>
            </w:pPr>
          </w:p>
        </w:tc>
        <w:tc>
          <w:tcPr>
            <w:tcW w:w="1885" w:type="pct"/>
            <w:vMerge w:val="continue"/>
            <w:vAlign w:val="center"/>
          </w:tcPr>
          <w:p w14:paraId="62C93444">
            <w:pPr>
              <w:pStyle w:val="22"/>
              <w:adjustRightInd w:val="0"/>
              <w:snapToGrid w:val="0"/>
              <w:ind w:firstLine="0" w:firstLineChars="0"/>
              <w:jc w:val="center"/>
              <w:rPr>
                <w:rFonts w:eastAsia="仿宋"/>
                <w:sz w:val="24"/>
                <w:szCs w:val="21"/>
              </w:rPr>
            </w:pPr>
          </w:p>
        </w:tc>
        <w:tc>
          <w:tcPr>
            <w:tcW w:w="713" w:type="pct"/>
            <w:vAlign w:val="center"/>
          </w:tcPr>
          <w:p w14:paraId="3CA5F2EA">
            <w:pPr>
              <w:pStyle w:val="22"/>
              <w:adjustRightInd w:val="0"/>
              <w:snapToGrid w:val="0"/>
              <w:ind w:firstLine="0" w:firstLineChars="0"/>
              <w:jc w:val="center"/>
              <w:rPr>
                <w:rFonts w:eastAsia="仿宋"/>
                <w:sz w:val="24"/>
                <w:szCs w:val="21"/>
              </w:rPr>
            </w:pPr>
            <w:r>
              <w:rPr>
                <w:rFonts w:eastAsia="仿宋"/>
                <w:sz w:val="24"/>
                <w:szCs w:val="21"/>
              </w:rPr>
              <w:t>TN</w:t>
            </w:r>
          </w:p>
        </w:tc>
        <w:tc>
          <w:tcPr>
            <w:tcW w:w="534" w:type="pct"/>
            <w:vAlign w:val="center"/>
          </w:tcPr>
          <w:p w14:paraId="23DA4893">
            <w:pPr>
              <w:pStyle w:val="22"/>
              <w:adjustRightInd w:val="0"/>
              <w:snapToGrid w:val="0"/>
              <w:ind w:firstLine="0" w:firstLineChars="0"/>
              <w:jc w:val="center"/>
              <w:rPr>
                <w:rFonts w:eastAsia="仿宋"/>
                <w:sz w:val="24"/>
                <w:szCs w:val="21"/>
              </w:rPr>
            </w:pPr>
            <w:r>
              <w:rPr>
                <w:rFonts w:eastAsia="仿宋"/>
                <w:sz w:val="24"/>
                <w:szCs w:val="21"/>
              </w:rPr>
              <w:t>70</w:t>
            </w:r>
          </w:p>
        </w:tc>
      </w:tr>
      <w:tr w14:paraId="764C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58488954">
            <w:pPr>
              <w:pStyle w:val="22"/>
              <w:adjustRightInd w:val="0"/>
              <w:snapToGrid w:val="0"/>
              <w:ind w:firstLine="480"/>
              <w:jc w:val="center"/>
              <w:rPr>
                <w:rFonts w:eastAsia="仿宋"/>
                <w:sz w:val="24"/>
                <w:szCs w:val="21"/>
              </w:rPr>
            </w:pPr>
          </w:p>
        </w:tc>
        <w:tc>
          <w:tcPr>
            <w:tcW w:w="609" w:type="pct"/>
            <w:vMerge w:val="continue"/>
            <w:vAlign w:val="center"/>
          </w:tcPr>
          <w:p w14:paraId="4E1DB7CA">
            <w:pPr>
              <w:pStyle w:val="22"/>
              <w:adjustRightInd w:val="0"/>
              <w:snapToGrid w:val="0"/>
              <w:ind w:firstLine="480"/>
              <w:jc w:val="center"/>
              <w:rPr>
                <w:rFonts w:eastAsia="仿宋"/>
                <w:sz w:val="24"/>
                <w:szCs w:val="21"/>
              </w:rPr>
            </w:pPr>
          </w:p>
        </w:tc>
        <w:tc>
          <w:tcPr>
            <w:tcW w:w="802" w:type="pct"/>
            <w:vMerge w:val="continue"/>
            <w:vAlign w:val="center"/>
          </w:tcPr>
          <w:p w14:paraId="5761A065">
            <w:pPr>
              <w:pStyle w:val="22"/>
              <w:adjustRightInd w:val="0"/>
              <w:snapToGrid w:val="0"/>
              <w:ind w:firstLine="480"/>
              <w:jc w:val="center"/>
              <w:rPr>
                <w:rFonts w:eastAsia="仿宋"/>
                <w:sz w:val="24"/>
                <w:szCs w:val="21"/>
              </w:rPr>
            </w:pPr>
          </w:p>
        </w:tc>
        <w:tc>
          <w:tcPr>
            <w:tcW w:w="1885" w:type="pct"/>
            <w:vMerge w:val="continue"/>
            <w:vAlign w:val="center"/>
          </w:tcPr>
          <w:p w14:paraId="62E3A5E6">
            <w:pPr>
              <w:pStyle w:val="22"/>
              <w:adjustRightInd w:val="0"/>
              <w:snapToGrid w:val="0"/>
              <w:ind w:firstLine="0" w:firstLineChars="0"/>
              <w:jc w:val="center"/>
              <w:rPr>
                <w:rFonts w:eastAsia="仿宋"/>
                <w:sz w:val="24"/>
                <w:szCs w:val="21"/>
              </w:rPr>
            </w:pPr>
          </w:p>
        </w:tc>
        <w:tc>
          <w:tcPr>
            <w:tcW w:w="713" w:type="pct"/>
            <w:vAlign w:val="center"/>
          </w:tcPr>
          <w:p w14:paraId="34152BE5">
            <w:pPr>
              <w:pStyle w:val="22"/>
              <w:adjustRightInd w:val="0"/>
              <w:snapToGrid w:val="0"/>
              <w:ind w:firstLine="0" w:firstLineChars="0"/>
              <w:jc w:val="center"/>
              <w:rPr>
                <w:rFonts w:eastAsia="仿宋"/>
                <w:sz w:val="24"/>
                <w:szCs w:val="21"/>
              </w:rPr>
            </w:pPr>
            <w:r>
              <w:rPr>
                <w:rFonts w:eastAsia="仿宋"/>
                <w:sz w:val="24"/>
                <w:szCs w:val="21"/>
              </w:rPr>
              <w:t>NH</w:t>
            </w:r>
            <w:r>
              <w:rPr>
                <w:rFonts w:eastAsia="仿宋"/>
                <w:sz w:val="24"/>
                <w:szCs w:val="21"/>
                <w:vertAlign w:val="subscript"/>
              </w:rPr>
              <w:t>3</w:t>
            </w:r>
            <w:r>
              <w:rPr>
                <w:rFonts w:eastAsia="仿宋"/>
                <w:sz w:val="24"/>
                <w:szCs w:val="21"/>
              </w:rPr>
              <w:t>-N</w:t>
            </w:r>
          </w:p>
        </w:tc>
        <w:tc>
          <w:tcPr>
            <w:tcW w:w="534" w:type="pct"/>
            <w:vAlign w:val="center"/>
          </w:tcPr>
          <w:p w14:paraId="3BBB8844">
            <w:pPr>
              <w:pStyle w:val="22"/>
              <w:adjustRightInd w:val="0"/>
              <w:snapToGrid w:val="0"/>
              <w:ind w:firstLine="0" w:firstLineChars="0"/>
              <w:jc w:val="center"/>
              <w:rPr>
                <w:rFonts w:eastAsia="仿宋"/>
                <w:sz w:val="24"/>
                <w:szCs w:val="21"/>
              </w:rPr>
            </w:pPr>
            <w:r>
              <w:rPr>
                <w:rFonts w:eastAsia="仿宋"/>
                <w:sz w:val="24"/>
                <w:szCs w:val="21"/>
              </w:rPr>
              <w:t>45</w:t>
            </w:r>
          </w:p>
        </w:tc>
      </w:tr>
      <w:tr w14:paraId="1B87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751EC911">
            <w:pPr>
              <w:pStyle w:val="22"/>
              <w:adjustRightInd w:val="0"/>
              <w:snapToGrid w:val="0"/>
              <w:ind w:firstLine="480"/>
              <w:jc w:val="center"/>
              <w:rPr>
                <w:rFonts w:eastAsia="仿宋"/>
                <w:sz w:val="24"/>
                <w:szCs w:val="21"/>
              </w:rPr>
            </w:pPr>
          </w:p>
        </w:tc>
        <w:tc>
          <w:tcPr>
            <w:tcW w:w="609" w:type="pct"/>
            <w:vMerge w:val="continue"/>
            <w:vAlign w:val="center"/>
          </w:tcPr>
          <w:p w14:paraId="0459452A">
            <w:pPr>
              <w:pStyle w:val="22"/>
              <w:adjustRightInd w:val="0"/>
              <w:snapToGrid w:val="0"/>
              <w:ind w:firstLine="480"/>
              <w:jc w:val="center"/>
              <w:rPr>
                <w:rFonts w:eastAsia="仿宋"/>
                <w:sz w:val="24"/>
                <w:szCs w:val="21"/>
              </w:rPr>
            </w:pPr>
          </w:p>
        </w:tc>
        <w:tc>
          <w:tcPr>
            <w:tcW w:w="802" w:type="pct"/>
            <w:vMerge w:val="continue"/>
            <w:vAlign w:val="center"/>
          </w:tcPr>
          <w:p w14:paraId="7B9F1A87">
            <w:pPr>
              <w:pStyle w:val="22"/>
              <w:adjustRightInd w:val="0"/>
              <w:snapToGrid w:val="0"/>
              <w:ind w:firstLine="480"/>
              <w:jc w:val="center"/>
              <w:rPr>
                <w:rFonts w:eastAsia="仿宋"/>
                <w:sz w:val="24"/>
                <w:szCs w:val="21"/>
              </w:rPr>
            </w:pPr>
          </w:p>
        </w:tc>
        <w:tc>
          <w:tcPr>
            <w:tcW w:w="1885" w:type="pct"/>
            <w:vMerge w:val="continue"/>
            <w:vAlign w:val="center"/>
          </w:tcPr>
          <w:p w14:paraId="13F3C330">
            <w:pPr>
              <w:pStyle w:val="22"/>
              <w:adjustRightInd w:val="0"/>
              <w:snapToGrid w:val="0"/>
              <w:ind w:firstLine="0" w:firstLineChars="0"/>
              <w:jc w:val="center"/>
              <w:rPr>
                <w:rFonts w:eastAsia="仿宋"/>
                <w:sz w:val="24"/>
                <w:szCs w:val="21"/>
              </w:rPr>
            </w:pPr>
          </w:p>
        </w:tc>
        <w:tc>
          <w:tcPr>
            <w:tcW w:w="713" w:type="pct"/>
            <w:vAlign w:val="center"/>
          </w:tcPr>
          <w:p w14:paraId="0E4C0258">
            <w:pPr>
              <w:pStyle w:val="22"/>
              <w:adjustRightInd w:val="0"/>
              <w:snapToGrid w:val="0"/>
              <w:ind w:firstLine="0" w:firstLineChars="0"/>
              <w:jc w:val="center"/>
              <w:rPr>
                <w:rFonts w:eastAsia="仿宋"/>
                <w:sz w:val="24"/>
                <w:szCs w:val="21"/>
              </w:rPr>
            </w:pPr>
            <w:r>
              <w:rPr>
                <w:rFonts w:eastAsia="仿宋"/>
                <w:sz w:val="24"/>
                <w:szCs w:val="21"/>
              </w:rPr>
              <w:t>TP</w:t>
            </w:r>
          </w:p>
        </w:tc>
        <w:tc>
          <w:tcPr>
            <w:tcW w:w="534" w:type="pct"/>
            <w:vAlign w:val="center"/>
          </w:tcPr>
          <w:p w14:paraId="01A2C47B">
            <w:pPr>
              <w:pStyle w:val="22"/>
              <w:adjustRightInd w:val="0"/>
              <w:snapToGrid w:val="0"/>
              <w:ind w:firstLine="0" w:firstLineChars="0"/>
              <w:jc w:val="center"/>
              <w:rPr>
                <w:rFonts w:eastAsia="仿宋"/>
                <w:sz w:val="24"/>
                <w:szCs w:val="21"/>
              </w:rPr>
            </w:pPr>
            <w:r>
              <w:rPr>
                <w:rFonts w:eastAsia="仿宋"/>
                <w:sz w:val="24"/>
                <w:szCs w:val="21"/>
              </w:rPr>
              <w:t>8</w:t>
            </w:r>
          </w:p>
        </w:tc>
      </w:tr>
      <w:tr w14:paraId="786A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135D392B">
            <w:pPr>
              <w:pStyle w:val="22"/>
              <w:adjustRightInd w:val="0"/>
              <w:snapToGrid w:val="0"/>
              <w:ind w:firstLine="480"/>
              <w:jc w:val="center"/>
              <w:rPr>
                <w:rFonts w:eastAsia="仿宋"/>
                <w:sz w:val="24"/>
                <w:szCs w:val="21"/>
              </w:rPr>
            </w:pPr>
          </w:p>
        </w:tc>
        <w:tc>
          <w:tcPr>
            <w:tcW w:w="609" w:type="pct"/>
            <w:vMerge w:val="continue"/>
            <w:vAlign w:val="center"/>
          </w:tcPr>
          <w:p w14:paraId="51A00169">
            <w:pPr>
              <w:pStyle w:val="22"/>
              <w:adjustRightInd w:val="0"/>
              <w:snapToGrid w:val="0"/>
              <w:ind w:firstLine="480"/>
              <w:jc w:val="center"/>
              <w:rPr>
                <w:rFonts w:eastAsia="仿宋"/>
                <w:sz w:val="24"/>
                <w:szCs w:val="21"/>
              </w:rPr>
            </w:pPr>
          </w:p>
        </w:tc>
        <w:tc>
          <w:tcPr>
            <w:tcW w:w="802" w:type="pct"/>
            <w:vMerge w:val="continue"/>
            <w:vAlign w:val="center"/>
          </w:tcPr>
          <w:p w14:paraId="74BFEB08">
            <w:pPr>
              <w:pStyle w:val="22"/>
              <w:adjustRightInd w:val="0"/>
              <w:snapToGrid w:val="0"/>
              <w:ind w:firstLine="480"/>
              <w:jc w:val="center"/>
              <w:rPr>
                <w:rFonts w:eastAsia="仿宋"/>
                <w:sz w:val="24"/>
                <w:szCs w:val="21"/>
              </w:rPr>
            </w:pPr>
          </w:p>
        </w:tc>
        <w:tc>
          <w:tcPr>
            <w:tcW w:w="1885" w:type="pct"/>
            <w:vMerge w:val="continue"/>
            <w:vAlign w:val="center"/>
          </w:tcPr>
          <w:p w14:paraId="6A96E1FD">
            <w:pPr>
              <w:pStyle w:val="22"/>
              <w:adjustRightInd w:val="0"/>
              <w:snapToGrid w:val="0"/>
              <w:ind w:firstLine="0" w:firstLineChars="0"/>
              <w:jc w:val="center"/>
              <w:rPr>
                <w:rFonts w:eastAsia="仿宋"/>
                <w:sz w:val="24"/>
                <w:szCs w:val="21"/>
              </w:rPr>
            </w:pPr>
          </w:p>
        </w:tc>
        <w:tc>
          <w:tcPr>
            <w:tcW w:w="713" w:type="pct"/>
            <w:vAlign w:val="center"/>
          </w:tcPr>
          <w:p w14:paraId="26A63626">
            <w:pPr>
              <w:pStyle w:val="22"/>
              <w:adjustRightInd w:val="0"/>
              <w:snapToGrid w:val="0"/>
              <w:ind w:firstLine="0" w:firstLineChars="0"/>
              <w:jc w:val="center"/>
              <w:rPr>
                <w:rFonts w:eastAsia="仿宋"/>
                <w:sz w:val="24"/>
                <w:szCs w:val="21"/>
              </w:rPr>
            </w:pPr>
            <w:r>
              <w:rPr>
                <w:rFonts w:hint="eastAsia" w:eastAsia="仿宋"/>
                <w:sz w:val="24"/>
                <w:szCs w:val="21"/>
              </w:rPr>
              <w:t>石油类</w:t>
            </w:r>
          </w:p>
        </w:tc>
        <w:tc>
          <w:tcPr>
            <w:tcW w:w="534" w:type="pct"/>
            <w:vAlign w:val="center"/>
          </w:tcPr>
          <w:p w14:paraId="736AE1DC">
            <w:pPr>
              <w:pStyle w:val="22"/>
              <w:adjustRightInd w:val="0"/>
              <w:snapToGrid w:val="0"/>
              <w:ind w:firstLine="0" w:firstLineChars="0"/>
              <w:jc w:val="center"/>
              <w:rPr>
                <w:rFonts w:eastAsia="仿宋"/>
                <w:sz w:val="24"/>
                <w:szCs w:val="21"/>
              </w:rPr>
            </w:pPr>
            <w:r>
              <w:rPr>
                <w:rFonts w:hint="eastAsia" w:eastAsia="仿宋"/>
                <w:sz w:val="24"/>
                <w:szCs w:val="21"/>
              </w:rPr>
              <w:t>1</w:t>
            </w:r>
            <w:r>
              <w:rPr>
                <w:rFonts w:eastAsia="仿宋"/>
                <w:sz w:val="24"/>
                <w:szCs w:val="21"/>
              </w:rPr>
              <w:t>5</w:t>
            </w:r>
          </w:p>
        </w:tc>
      </w:tr>
      <w:tr w14:paraId="5FAD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57" w:type="pct"/>
            <w:vMerge w:val="continue"/>
            <w:vAlign w:val="center"/>
          </w:tcPr>
          <w:p w14:paraId="0F8B1004">
            <w:pPr>
              <w:pStyle w:val="22"/>
              <w:adjustRightInd w:val="0"/>
              <w:snapToGrid w:val="0"/>
              <w:ind w:firstLine="480"/>
              <w:jc w:val="center"/>
              <w:rPr>
                <w:rFonts w:eastAsia="仿宋"/>
                <w:sz w:val="24"/>
                <w:szCs w:val="21"/>
              </w:rPr>
            </w:pPr>
          </w:p>
        </w:tc>
        <w:tc>
          <w:tcPr>
            <w:tcW w:w="609" w:type="pct"/>
            <w:vMerge w:val="continue"/>
            <w:vAlign w:val="center"/>
          </w:tcPr>
          <w:p w14:paraId="02D91585">
            <w:pPr>
              <w:pStyle w:val="22"/>
              <w:adjustRightInd w:val="0"/>
              <w:snapToGrid w:val="0"/>
              <w:ind w:firstLine="480"/>
              <w:jc w:val="center"/>
              <w:rPr>
                <w:rFonts w:eastAsia="仿宋"/>
                <w:sz w:val="24"/>
                <w:szCs w:val="21"/>
              </w:rPr>
            </w:pPr>
          </w:p>
        </w:tc>
        <w:tc>
          <w:tcPr>
            <w:tcW w:w="802" w:type="pct"/>
            <w:vMerge w:val="continue"/>
            <w:vAlign w:val="center"/>
          </w:tcPr>
          <w:p w14:paraId="125BE703">
            <w:pPr>
              <w:pStyle w:val="22"/>
              <w:adjustRightInd w:val="0"/>
              <w:snapToGrid w:val="0"/>
              <w:ind w:firstLine="480"/>
              <w:jc w:val="center"/>
              <w:rPr>
                <w:rFonts w:eastAsia="仿宋"/>
                <w:sz w:val="24"/>
                <w:szCs w:val="21"/>
              </w:rPr>
            </w:pPr>
          </w:p>
        </w:tc>
        <w:tc>
          <w:tcPr>
            <w:tcW w:w="1885" w:type="pct"/>
            <w:vMerge w:val="continue"/>
            <w:vAlign w:val="center"/>
          </w:tcPr>
          <w:p w14:paraId="0A1E9BFF">
            <w:pPr>
              <w:pStyle w:val="22"/>
              <w:adjustRightInd w:val="0"/>
              <w:snapToGrid w:val="0"/>
              <w:ind w:firstLine="0" w:firstLineChars="0"/>
              <w:jc w:val="center"/>
              <w:rPr>
                <w:rFonts w:eastAsia="仿宋"/>
                <w:sz w:val="24"/>
                <w:szCs w:val="21"/>
              </w:rPr>
            </w:pPr>
          </w:p>
        </w:tc>
        <w:tc>
          <w:tcPr>
            <w:tcW w:w="713" w:type="pct"/>
            <w:vAlign w:val="center"/>
          </w:tcPr>
          <w:p w14:paraId="0A680145">
            <w:pPr>
              <w:pStyle w:val="22"/>
              <w:adjustRightInd w:val="0"/>
              <w:snapToGrid w:val="0"/>
              <w:ind w:firstLine="0" w:firstLineChars="0"/>
              <w:jc w:val="center"/>
              <w:rPr>
                <w:rFonts w:eastAsia="仿宋"/>
                <w:sz w:val="24"/>
                <w:szCs w:val="21"/>
              </w:rPr>
            </w:pPr>
            <w:r>
              <w:rPr>
                <w:rFonts w:eastAsia="仿宋"/>
                <w:sz w:val="24"/>
                <w:szCs w:val="21"/>
              </w:rPr>
              <w:t>动植物油</w:t>
            </w:r>
          </w:p>
        </w:tc>
        <w:tc>
          <w:tcPr>
            <w:tcW w:w="534" w:type="pct"/>
            <w:vAlign w:val="center"/>
          </w:tcPr>
          <w:p w14:paraId="4F426EC3">
            <w:pPr>
              <w:pStyle w:val="22"/>
              <w:adjustRightInd w:val="0"/>
              <w:snapToGrid w:val="0"/>
              <w:ind w:firstLine="0" w:firstLineChars="0"/>
              <w:jc w:val="center"/>
              <w:rPr>
                <w:rFonts w:eastAsia="仿宋"/>
                <w:sz w:val="24"/>
                <w:szCs w:val="21"/>
              </w:rPr>
            </w:pPr>
            <w:r>
              <w:rPr>
                <w:rFonts w:eastAsia="仿宋"/>
                <w:sz w:val="24"/>
                <w:szCs w:val="21"/>
              </w:rPr>
              <w:t>100</w:t>
            </w:r>
          </w:p>
        </w:tc>
      </w:tr>
    </w:tbl>
    <w:p w14:paraId="5CE2D3F7">
      <w:pPr>
        <w:tabs>
          <w:tab w:val="left" w:pos="2085"/>
        </w:tabs>
        <w:spacing w:line="500" w:lineRule="exact"/>
        <w:ind w:firstLine="482" w:firstLineChars="200"/>
        <w:jc w:val="center"/>
        <w:rPr>
          <w:rFonts w:ascii="Times New Roman" w:eastAsia="仿宋"/>
          <w:b/>
        </w:rPr>
      </w:pPr>
      <w:r>
        <w:rPr>
          <w:rFonts w:ascii="Times New Roman" w:eastAsia="仿宋"/>
          <w:b/>
        </w:rPr>
        <w:t>表5.2-29 废水污染物排放信息表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483"/>
        <w:gridCol w:w="2661"/>
        <w:gridCol w:w="2399"/>
        <w:gridCol w:w="2923"/>
        <w:gridCol w:w="3114"/>
      </w:tblGrid>
      <w:tr w14:paraId="5024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7581F530">
            <w:pPr>
              <w:pStyle w:val="22"/>
              <w:adjustRightInd w:val="0"/>
              <w:snapToGrid w:val="0"/>
              <w:ind w:firstLine="0" w:firstLineChars="0"/>
              <w:jc w:val="center"/>
              <w:rPr>
                <w:rFonts w:eastAsia="仿宋"/>
                <w:sz w:val="24"/>
                <w:szCs w:val="21"/>
              </w:rPr>
            </w:pPr>
            <w:r>
              <w:rPr>
                <w:rFonts w:eastAsia="仿宋"/>
                <w:sz w:val="24"/>
                <w:szCs w:val="21"/>
              </w:rPr>
              <w:t>序号</w:t>
            </w:r>
          </w:p>
        </w:tc>
        <w:tc>
          <w:tcPr>
            <w:tcW w:w="2445" w:type="dxa"/>
            <w:vAlign w:val="center"/>
          </w:tcPr>
          <w:p w14:paraId="01D71CF8">
            <w:pPr>
              <w:pStyle w:val="22"/>
              <w:adjustRightInd w:val="0"/>
              <w:snapToGrid w:val="0"/>
              <w:ind w:firstLine="0" w:firstLineChars="0"/>
              <w:jc w:val="center"/>
              <w:rPr>
                <w:rFonts w:eastAsia="仿宋"/>
                <w:sz w:val="24"/>
                <w:szCs w:val="21"/>
              </w:rPr>
            </w:pPr>
            <w:r>
              <w:rPr>
                <w:rFonts w:eastAsia="仿宋"/>
                <w:sz w:val="24"/>
                <w:szCs w:val="21"/>
              </w:rPr>
              <w:t>排放口编号</w:t>
            </w:r>
          </w:p>
        </w:tc>
        <w:tc>
          <w:tcPr>
            <w:tcW w:w="2620" w:type="dxa"/>
            <w:vAlign w:val="center"/>
          </w:tcPr>
          <w:p w14:paraId="774C90CA">
            <w:pPr>
              <w:pStyle w:val="22"/>
              <w:adjustRightInd w:val="0"/>
              <w:snapToGrid w:val="0"/>
              <w:ind w:firstLine="0" w:firstLineChars="0"/>
              <w:jc w:val="center"/>
              <w:rPr>
                <w:rFonts w:eastAsia="仿宋"/>
                <w:sz w:val="24"/>
                <w:szCs w:val="21"/>
              </w:rPr>
            </w:pPr>
            <w:r>
              <w:rPr>
                <w:rFonts w:eastAsia="仿宋"/>
                <w:sz w:val="24"/>
                <w:szCs w:val="21"/>
              </w:rPr>
              <w:t>污染物种类</w:t>
            </w:r>
          </w:p>
        </w:tc>
        <w:tc>
          <w:tcPr>
            <w:tcW w:w="2362" w:type="dxa"/>
            <w:vAlign w:val="center"/>
          </w:tcPr>
          <w:p w14:paraId="53FB0D68">
            <w:pPr>
              <w:pStyle w:val="22"/>
              <w:adjustRightInd w:val="0"/>
              <w:snapToGrid w:val="0"/>
              <w:ind w:firstLine="0" w:firstLineChars="0"/>
              <w:jc w:val="center"/>
              <w:rPr>
                <w:rFonts w:eastAsia="仿宋"/>
                <w:sz w:val="24"/>
                <w:szCs w:val="21"/>
              </w:rPr>
            </w:pPr>
            <w:r>
              <w:rPr>
                <w:rFonts w:eastAsia="仿宋"/>
                <w:sz w:val="24"/>
                <w:szCs w:val="21"/>
              </w:rPr>
              <w:t>排放浓度（mg/L）</w:t>
            </w:r>
          </w:p>
        </w:tc>
        <w:tc>
          <w:tcPr>
            <w:tcW w:w="2878" w:type="dxa"/>
            <w:vAlign w:val="center"/>
          </w:tcPr>
          <w:p w14:paraId="6B9C346F">
            <w:pPr>
              <w:pStyle w:val="22"/>
              <w:adjustRightInd w:val="0"/>
              <w:snapToGrid w:val="0"/>
              <w:ind w:firstLine="0" w:firstLineChars="0"/>
              <w:jc w:val="center"/>
              <w:rPr>
                <w:rFonts w:eastAsia="仿宋"/>
                <w:sz w:val="24"/>
                <w:szCs w:val="21"/>
              </w:rPr>
            </w:pPr>
            <w:r>
              <w:rPr>
                <w:rFonts w:eastAsia="仿宋"/>
                <w:sz w:val="24"/>
                <w:szCs w:val="21"/>
              </w:rPr>
              <w:t>全厂日排放量（kg/d）</w:t>
            </w:r>
          </w:p>
        </w:tc>
        <w:tc>
          <w:tcPr>
            <w:tcW w:w="3066" w:type="dxa"/>
            <w:vAlign w:val="center"/>
          </w:tcPr>
          <w:p w14:paraId="7650BD11">
            <w:pPr>
              <w:pStyle w:val="22"/>
              <w:adjustRightInd w:val="0"/>
              <w:snapToGrid w:val="0"/>
              <w:ind w:firstLine="0" w:firstLineChars="0"/>
              <w:jc w:val="center"/>
              <w:rPr>
                <w:rFonts w:eastAsia="仿宋"/>
                <w:sz w:val="24"/>
                <w:szCs w:val="21"/>
              </w:rPr>
            </w:pPr>
            <w:r>
              <w:rPr>
                <w:rFonts w:eastAsia="仿宋"/>
                <w:sz w:val="24"/>
                <w:szCs w:val="21"/>
              </w:rPr>
              <w:t>全厂年排放量（t/a）</w:t>
            </w:r>
          </w:p>
        </w:tc>
      </w:tr>
      <w:tr w14:paraId="3BD7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611074B7">
            <w:pPr>
              <w:pStyle w:val="22"/>
              <w:adjustRightInd w:val="0"/>
              <w:snapToGrid w:val="0"/>
              <w:ind w:firstLine="0" w:firstLineChars="0"/>
              <w:jc w:val="center"/>
              <w:rPr>
                <w:rFonts w:eastAsia="仿宋"/>
                <w:sz w:val="24"/>
                <w:szCs w:val="21"/>
              </w:rPr>
            </w:pPr>
            <w:r>
              <w:rPr>
                <w:rFonts w:eastAsia="仿宋"/>
                <w:sz w:val="24"/>
                <w:szCs w:val="21"/>
              </w:rPr>
              <w:t>1</w:t>
            </w:r>
          </w:p>
        </w:tc>
        <w:tc>
          <w:tcPr>
            <w:tcW w:w="2445" w:type="dxa"/>
            <w:vMerge w:val="restart"/>
            <w:vAlign w:val="center"/>
          </w:tcPr>
          <w:p w14:paraId="4A5D673C">
            <w:pPr>
              <w:pStyle w:val="22"/>
              <w:adjustRightInd w:val="0"/>
              <w:snapToGrid w:val="0"/>
              <w:ind w:firstLine="0" w:firstLineChars="0"/>
              <w:jc w:val="center"/>
              <w:rPr>
                <w:rFonts w:eastAsia="仿宋"/>
                <w:sz w:val="24"/>
                <w:szCs w:val="21"/>
              </w:rPr>
            </w:pPr>
            <w:r>
              <w:rPr>
                <w:rFonts w:eastAsia="仿宋"/>
                <w:sz w:val="24"/>
                <w:szCs w:val="21"/>
              </w:rPr>
              <w:t>DW0</w:t>
            </w:r>
            <w:r>
              <w:rPr>
                <w:rFonts w:hint="eastAsia" w:eastAsia="仿宋"/>
                <w:sz w:val="24"/>
                <w:szCs w:val="21"/>
              </w:rPr>
              <w:t>2</w:t>
            </w:r>
          </w:p>
        </w:tc>
        <w:tc>
          <w:tcPr>
            <w:tcW w:w="2620" w:type="dxa"/>
            <w:vAlign w:val="center"/>
          </w:tcPr>
          <w:p w14:paraId="6D67C46E">
            <w:pPr>
              <w:pStyle w:val="22"/>
              <w:adjustRightInd w:val="0"/>
              <w:snapToGrid w:val="0"/>
              <w:ind w:firstLine="0" w:firstLineChars="0"/>
              <w:jc w:val="center"/>
              <w:rPr>
                <w:rFonts w:eastAsia="仿宋"/>
                <w:sz w:val="24"/>
                <w:szCs w:val="21"/>
              </w:rPr>
            </w:pPr>
            <w:r>
              <w:rPr>
                <w:rFonts w:eastAsia="仿宋"/>
                <w:sz w:val="24"/>
                <w:szCs w:val="21"/>
              </w:rPr>
              <w:t>COD</w:t>
            </w:r>
          </w:p>
        </w:tc>
        <w:tc>
          <w:tcPr>
            <w:tcW w:w="2362" w:type="dxa"/>
            <w:vAlign w:val="bottom"/>
          </w:tcPr>
          <w:p w14:paraId="056DCD53">
            <w:pPr>
              <w:widowControl/>
              <w:jc w:val="center"/>
              <w:rPr>
                <w:rFonts w:ascii="Times New Roman" w:eastAsia="仿宋"/>
                <w:szCs w:val="21"/>
              </w:rPr>
            </w:pPr>
            <w:r>
              <w:rPr>
                <w:rFonts w:hint="eastAsia" w:ascii="Times New Roman" w:eastAsia="仿宋"/>
                <w:szCs w:val="21"/>
              </w:rPr>
              <w:t>319.24</w:t>
            </w:r>
          </w:p>
        </w:tc>
        <w:tc>
          <w:tcPr>
            <w:tcW w:w="2878" w:type="dxa"/>
            <w:vAlign w:val="center"/>
          </w:tcPr>
          <w:p w14:paraId="10E0FE80">
            <w:pPr>
              <w:widowControl/>
              <w:jc w:val="center"/>
              <w:rPr>
                <w:rFonts w:ascii="Times New Roman" w:eastAsia="仿宋"/>
                <w:szCs w:val="21"/>
              </w:rPr>
            </w:pPr>
            <w:r>
              <w:rPr>
                <w:rFonts w:hint="eastAsia" w:ascii="Times New Roman" w:eastAsia="仿宋"/>
                <w:szCs w:val="21"/>
              </w:rPr>
              <w:t>2</w:t>
            </w:r>
            <w:r>
              <w:rPr>
                <w:rFonts w:ascii="Times New Roman" w:eastAsia="仿宋"/>
                <w:szCs w:val="21"/>
              </w:rPr>
              <w:t>.2</w:t>
            </w:r>
          </w:p>
        </w:tc>
        <w:tc>
          <w:tcPr>
            <w:tcW w:w="3066" w:type="dxa"/>
            <w:vAlign w:val="center"/>
          </w:tcPr>
          <w:p w14:paraId="574C2579">
            <w:pPr>
              <w:jc w:val="center"/>
              <w:rPr>
                <w:rFonts w:ascii="Times New Roman" w:eastAsia="仿宋"/>
                <w:szCs w:val="21"/>
              </w:rPr>
            </w:pPr>
            <w:r>
              <w:rPr>
                <w:rFonts w:hint="eastAsia" w:ascii="Times New Roman" w:eastAsia="仿宋"/>
                <w:szCs w:val="21"/>
              </w:rPr>
              <w:t>0.66</w:t>
            </w:r>
          </w:p>
        </w:tc>
      </w:tr>
      <w:tr w14:paraId="20CF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2EA41688">
            <w:pPr>
              <w:pStyle w:val="22"/>
              <w:adjustRightInd w:val="0"/>
              <w:snapToGrid w:val="0"/>
              <w:ind w:firstLine="0" w:firstLineChars="0"/>
              <w:jc w:val="center"/>
              <w:rPr>
                <w:rFonts w:eastAsia="仿宋"/>
                <w:sz w:val="24"/>
                <w:szCs w:val="21"/>
              </w:rPr>
            </w:pPr>
            <w:r>
              <w:rPr>
                <w:rFonts w:eastAsia="仿宋"/>
                <w:sz w:val="24"/>
                <w:szCs w:val="21"/>
              </w:rPr>
              <w:t>2</w:t>
            </w:r>
          </w:p>
        </w:tc>
        <w:tc>
          <w:tcPr>
            <w:tcW w:w="2445" w:type="dxa"/>
            <w:vMerge w:val="continue"/>
            <w:vAlign w:val="center"/>
          </w:tcPr>
          <w:p w14:paraId="0F347704">
            <w:pPr>
              <w:pStyle w:val="22"/>
              <w:adjustRightInd w:val="0"/>
              <w:snapToGrid w:val="0"/>
              <w:ind w:firstLine="0" w:firstLineChars="0"/>
              <w:jc w:val="center"/>
              <w:rPr>
                <w:rFonts w:eastAsia="仿宋"/>
                <w:sz w:val="24"/>
                <w:szCs w:val="21"/>
              </w:rPr>
            </w:pPr>
          </w:p>
        </w:tc>
        <w:tc>
          <w:tcPr>
            <w:tcW w:w="2620" w:type="dxa"/>
            <w:vAlign w:val="center"/>
          </w:tcPr>
          <w:p w14:paraId="01A45C6F">
            <w:pPr>
              <w:pStyle w:val="22"/>
              <w:adjustRightInd w:val="0"/>
              <w:snapToGrid w:val="0"/>
              <w:ind w:firstLine="0" w:firstLineChars="0"/>
              <w:jc w:val="center"/>
              <w:rPr>
                <w:rFonts w:eastAsia="仿宋"/>
                <w:sz w:val="24"/>
                <w:szCs w:val="21"/>
              </w:rPr>
            </w:pPr>
            <w:r>
              <w:rPr>
                <w:rFonts w:eastAsia="仿宋"/>
                <w:sz w:val="24"/>
                <w:szCs w:val="21"/>
              </w:rPr>
              <w:t>SS</w:t>
            </w:r>
          </w:p>
        </w:tc>
        <w:tc>
          <w:tcPr>
            <w:tcW w:w="2362" w:type="dxa"/>
            <w:vAlign w:val="bottom"/>
          </w:tcPr>
          <w:p w14:paraId="690090E5">
            <w:pPr>
              <w:widowControl/>
              <w:jc w:val="center"/>
              <w:rPr>
                <w:rFonts w:ascii="Times New Roman" w:eastAsia="仿宋"/>
                <w:szCs w:val="21"/>
              </w:rPr>
            </w:pPr>
            <w:r>
              <w:rPr>
                <w:rFonts w:hint="eastAsia" w:ascii="Times New Roman" w:eastAsia="仿宋"/>
                <w:szCs w:val="21"/>
              </w:rPr>
              <w:t>137.37</w:t>
            </w:r>
          </w:p>
        </w:tc>
        <w:tc>
          <w:tcPr>
            <w:tcW w:w="2878" w:type="dxa"/>
            <w:vAlign w:val="center"/>
          </w:tcPr>
          <w:p w14:paraId="640E9CF3">
            <w:pPr>
              <w:widowControl/>
              <w:jc w:val="center"/>
              <w:rPr>
                <w:rFonts w:ascii="Times New Roman" w:eastAsia="仿宋"/>
                <w:szCs w:val="21"/>
              </w:rPr>
            </w:pPr>
            <w:r>
              <w:rPr>
                <w:rFonts w:hint="eastAsia" w:ascii="Times New Roman" w:eastAsia="仿宋"/>
                <w:szCs w:val="21"/>
              </w:rPr>
              <w:t>0</w:t>
            </w:r>
            <w:r>
              <w:rPr>
                <w:rFonts w:ascii="Times New Roman" w:eastAsia="仿宋"/>
                <w:szCs w:val="21"/>
              </w:rPr>
              <w:t>.95</w:t>
            </w:r>
          </w:p>
        </w:tc>
        <w:tc>
          <w:tcPr>
            <w:tcW w:w="3066" w:type="dxa"/>
            <w:vAlign w:val="center"/>
          </w:tcPr>
          <w:p w14:paraId="54DC8DF2">
            <w:pPr>
              <w:jc w:val="center"/>
              <w:rPr>
                <w:rFonts w:ascii="Times New Roman" w:eastAsia="仿宋"/>
                <w:szCs w:val="21"/>
              </w:rPr>
            </w:pPr>
            <w:r>
              <w:rPr>
                <w:rFonts w:hint="eastAsia" w:ascii="Times New Roman" w:eastAsia="仿宋"/>
                <w:szCs w:val="21"/>
              </w:rPr>
              <w:t>0</w:t>
            </w:r>
            <w:r>
              <w:rPr>
                <w:rFonts w:ascii="Times New Roman" w:eastAsia="仿宋"/>
                <w:szCs w:val="21"/>
              </w:rPr>
              <w:t>.284</w:t>
            </w:r>
          </w:p>
        </w:tc>
      </w:tr>
      <w:tr w14:paraId="012A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46436E2E">
            <w:pPr>
              <w:pStyle w:val="22"/>
              <w:adjustRightInd w:val="0"/>
              <w:snapToGrid w:val="0"/>
              <w:ind w:firstLine="0" w:firstLineChars="0"/>
              <w:jc w:val="center"/>
              <w:rPr>
                <w:rFonts w:eastAsia="仿宋"/>
                <w:sz w:val="24"/>
                <w:szCs w:val="21"/>
              </w:rPr>
            </w:pPr>
            <w:r>
              <w:rPr>
                <w:rFonts w:eastAsia="仿宋"/>
                <w:sz w:val="24"/>
                <w:szCs w:val="21"/>
              </w:rPr>
              <w:t>3</w:t>
            </w:r>
          </w:p>
        </w:tc>
        <w:tc>
          <w:tcPr>
            <w:tcW w:w="2445" w:type="dxa"/>
            <w:vMerge w:val="continue"/>
            <w:vAlign w:val="center"/>
          </w:tcPr>
          <w:p w14:paraId="2C1EFD70">
            <w:pPr>
              <w:pStyle w:val="22"/>
              <w:adjustRightInd w:val="0"/>
              <w:snapToGrid w:val="0"/>
              <w:ind w:firstLine="0" w:firstLineChars="0"/>
              <w:jc w:val="center"/>
              <w:rPr>
                <w:rFonts w:eastAsia="仿宋"/>
                <w:sz w:val="24"/>
                <w:szCs w:val="21"/>
              </w:rPr>
            </w:pPr>
          </w:p>
        </w:tc>
        <w:tc>
          <w:tcPr>
            <w:tcW w:w="2620" w:type="dxa"/>
            <w:vAlign w:val="center"/>
          </w:tcPr>
          <w:p w14:paraId="396CABC8">
            <w:pPr>
              <w:pStyle w:val="22"/>
              <w:adjustRightInd w:val="0"/>
              <w:snapToGrid w:val="0"/>
              <w:ind w:firstLine="0" w:firstLineChars="0"/>
              <w:jc w:val="center"/>
              <w:rPr>
                <w:rFonts w:eastAsia="仿宋"/>
                <w:sz w:val="24"/>
                <w:szCs w:val="21"/>
              </w:rPr>
            </w:pPr>
            <w:r>
              <w:rPr>
                <w:rFonts w:eastAsia="仿宋"/>
                <w:sz w:val="24"/>
                <w:szCs w:val="21"/>
              </w:rPr>
              <w:t>TN</w:t>
            </w:r>
          </w:p>
        </w:tc>
        <w:tc>
          <w:tcPr>
            <w:tcW w:w="2362" w:type="dxa"/>
            <w:vAlign w:val="bottom"/>
          </w:tcPr>
          <w:p w14:paraId="4A9427C4">
            <w:pPr>
              <w:widowControl/>
              <w:jc w:val="center"/>
              <w:rPr>
                <w:rFonts w:ascii="Times New Roman" w:eastAsia="仿宋"/>
                <w:szCs w:val="21"/>
              </w:rPr>
            </w:pPr>
            <w:r>
              <w:rPr>
                <w:rFonts w:hint="eastAsia" w:ascii="Times New Roman" w:eastAsia="仿宋"/>
                <w:szCs w:val="21"/>
              </w:rPr>
              <w:t>19.34</w:t>
            </w:r>
          </w:p>
        </w:tc>
        <w:tc>
          <w:tcPr>
            <w:tcW w:w="2878" w:type="dxa"/>
            <w:vAlign w:val="center"/>
          </w:tcPr>
          <w:p w14:paraId="205F9F74">
            <w:pPr>
              <w:widowControl/>
              <w:jc w:val="center"/>
              <w:rPr>
                <w:rFonts w:ascii="Times New Roman" w:eastAsia="仿宋"/>
                <w:szCs w:val="21"/>
              </w:rPr>
            </w:pPr>
            <w:r>
              <w:rPr>
                <w:rFonts w:hint="eastAsia" w:ascii="Times New Roman" w:eastAsia="仿宋"/>
                <w:szCs w:val="21"/>
              </w:rPr>
              <w:t>0</w:t>
            </w:r>
            <w:r>
              <w:rPr>
                <w:rFonts w:ascii="Times New Roman" w:eastAsia="仿宋"/>
                <w:szCs w:val="21"/>
              </w:rPr>
              <w:t>.13</w:t>
            </w:r>
          </w:p>
        </w:tc>
        <w:tc>
          <w:tcPr>
            <w:tcW w:w="3066" w:type="dxa"/>
            <w:vAlign w:val="center"/>
          </w:tcPr>
          <w:p w14:paraId="37D1BA71">
            <w:pPr>
              <w:jc w:val="center"/>
              <w:rPr>
                <w:rFonts w:ascii="Times New Roman" w:eastAsia="仿宋"/>
                <w:szCs w:val="21"/>
              </w:rPr>
            </w:pPr>
            <w:r>
              <w:rPr>
                <w:rFonts w:hint="eastAsia" w:ascii="Times New Roman" w:eastAsia="仿宋"/>
                <w:szCs w:val="21"/>
              </w:rPr>
              <w:t>0</w:t>
            </w:r>
            <w:r>
              <w:rPr>
                <w:rFonts w:ascii="Times New Roman" w:eastAsia="仿宋"/>
                <w:szCs w:val="21"/>
              </w:rPr>
              <w:t>.04</w:t>
            </w:r>
          </w:p>
        </w:tc>
      </w:tr>
      <w:tr w14:paraId="76EA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06D61775">
            <w:pPr>
              <w:pStyle w:val="22"/>
              <w:adjustRightInd w:val="0"/>
              <w:snapToGrid w:val="0"/>
              <w:ind w:firstLine="0" w:firstLineChars="0"/>
              <w:jc w:val="center"/>
              <w:rPr>
                <w:rFonts w:eastAsia="仿宋"/>
                <w:sz w:val="24"/>
                <w:szCs w:val="21"/>
              </w:rPr>
            </w:pPr>
            <w:r>
              <w:rPr>
                <w:rFonts w:eastAsia="仿宋"/>
                <w:sz w:val="24"/>
                <w:szCs w:val="21"/>
              </w:rPr>
              <w:t>4</w:t>
            </w:r>
          </w:p>
        </w:tc>
        <w:tc>
          <w:tcPr>
            <w:tcW w:w="2445" w:type="dxa"/>
            <w:vMerge w:val="continue"/>
            <w:vAlign w:val="center"/>
          </w:tcPr>
          <w:p w14:paraId="708D8E67">
            <w:pPr>
              <w:pStyle w:val="22"/>
              <w:adjustRightInd w:val="0"/>
              <w:snapToGrid w:val="0"/>
              <w:ind w:firstLine="0" w:firstLineChars="0"/>
              <w:jc w:val="center"/>
              <w:rPr>
                <w:rFonts w:eastAsia="仿宋"/>
                <w:sz w:val="24"/>
                <w:szCs w:val="21"/>
              </w:rPr>
            </w:pPr>
          </w:p>
        </w:tc>
        <w:tc>
          <w:tcPr>
            <w:tcW w:w="2620" w:type="dxa"/>
            <w:vAlign w:val="center"/>
          </w:tcPr>
          <w:p w14:paraId="0B7CE191">
            <w:pPr>
              <w:pStyle w:val="22"/>
              <w:adjustRightInd w:val="0"/>
              <w:snapToGrid w:val="0"/>
              <w:ind w:firstLine="0" w:firstLineChars="0"/>
              <w:jc w:val="center"/>
              <w:rPr>
                <w:rFonts w:eastAsia="仿宋"/>
                <w:sz w:val="24"/>
                <w:szCs w:val="21"/>
              </w:rPr>
            </w:pPr>
            <w:r>
              <w:rPr>
                <w:rFonts w:eastAsia="仿宋"/>
                <w:sz w:val="24"/>
                <w:szCs w:val="21"/>
              </w:rPr>
              <w:t>NH</w:t>
            </w:r>
            <w:r>
              <w:rPr>
                <w:rFonts w:eastAsia="仿宋"/>
                <w:sz w:val="24"/>
                <w:szCs w:val="21"/>
                <w:vertAlign w:val="subscript"/>
              </w:rPr>
              <w:t>3</w:t>
            </w:r>
            <w:r>
              <w:rPr>
                <w:rFonts w:eastAsia="仿宋"/>
                <w:sz w:val="24"/>
                <w:szCs w:val="21"/>
              </w:rPr>
              <w:t>-N</w:t>
            </w:r>
          </w:p>
        </w:tc>
        <w:tc>
          <w:tcPr>
            <w:tcW w:w="2362" w:type="dxa"/>
            <w:vAlign w:val="bottom"/>
          </w:tcPr>
          <w:p w14:paraId="292C07B8">
            <w:pPr>
              <w:widowControl/>
              <w:jc w:val="center"/>
              <w:rPr>
                <w:rFonts w:ascii="Times New Roman" w:eastAsia="仿宋"/>
                <w:szCs w:val="21"/>
              </w:rPr>
            </w:pPr>
            <w:r>
              <w:rPr>
                <w:rFonts w:hint="eastAsia" w:ascii="Times New Roman" w:eastAsia="仿宋"/>
                <w:szCs w:val="21"/>
              </w:rPr>
              <w:t>14.51</w:t>
            </w:r>
          </w:p>
        </w:tc>
        <w:tc>
          <w:tcPr>
            <w:tcW w:w="2878" w:type="dxa"/>
            <w:vAlign w:val="center"/>
          </w:tcPr>
          <w:p w14:paraId="1E03433F">
            <w:pPr>
              <w:widowControl/>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3066" w:type="dxa"/>
            <w:vAlign w:val="center"/>
          </w:tcPr>
          <w:p w14:paraId="6130A1BB">
            <w:pPr>
              <w:jc w:val="center"/>
              <w:rPr>
                <w:rFonts w:ascii="Times New Roman" w:eastAsia="仿宋"/>
                <w:szCs w:val="21"/>
              </w:rPr>
            </w:pPr>
            <w:r>
              <w:rPr>
                <w:rFonts w:hint="eastAsia" w:ascii="Times New Roman" w:eastAsia="仿宋"/>
                <w:szCs w:val="21"/>
              </w:rPr>
              <w:t>0</w:t>
            </w:r>
            <w:r>
              <w:rPr>
                <w:rFonts w:ascii="Times New Roman" w:eastAsia="仿宋"/>
                <w:szCs w:val="21"/>
              </w:rPr>
              <w:t>.03</w:t>
            </w:r>
          </w:p>
        </w:tc>
      </w:tr>
      <w:tr w14:paraId="4D03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0A9672B8">
            <w:pPr>
              <w:pStyle w:val="22"/>
              <w:adjustRightInd w:val="0"/>
              <w:snapToGrid w:val="0"/>
              <w:ind w:firstLine="0" w:firstLineChars="0"/>
              <w:jc w:val="center"/>
              <w:rPr>
                <w:rFonts w:eastAsia="仿宋"/>
                <w:sz w:val="24"/>
                <w:szCs w:val="21"/>
              </w:rPr>
            </w:pPr>
            <w:r>
              <w:rPr>
                <w:rFonts w:eastAsia="仿宋"/>
                <w:sz w:val="24"/>
                <w:szCs w:val="21"/>
              </w:rPr>
              <w:t>5</w:t>
            </w:r>
          </w:p>
        </w:tc>
        <w:tc>
          <w:tcPr>
            <w:tcW w:w="2445" w:type="dxa"/>
            <w:vMerge w:val="continue"/>
            <w:vAlign w:val="center"/>
          </w:tcPr>
          <w:p w14:paraId="20EA59C6">
            <w:pPr>
              <w:pStyle w:val="22"/>
              <w:adjustRightInd w:val="0"/>
              <w:snapToGrid w:val="0"/>
              <w:ind w:firstLine="0" w:firstLineChars="0"/>
              <w:jc w:val="center"/>
              <w:rPr>
                <w:rFonts w:eastAsia="仿宋"/>
                <w:sz w:val="24"/>
                <w:szCs w:val="21"/>
              </w:rPr>
            </w:pPr>
          </w:p>
        </w:tc>
        <w:tc>
          <w:tcPr>
            <w:tcW w:w="2620" w:type="dxa"/>
            <w:vAlign w:val="center"/>
          </w:tcPr>
          <w:p w14:paraId="1390A8F3">
            <w:pPr>
              <w:pStyle w:val="22"/>
              <w:adjustRightInd w:val="0"/>
              <w:snapToGrid w:val="0"/>
              <w:ind w:firstLine="0" w:firstLineChars="0"/>
              <w:jc w:val="center"/>
              <w:rPr>
                <w:rFonts w:eastAsia="仿宋"/>
                <w:sz w:val="24"/>
                <w:szCs w:val="21"/>
              </w:rPr>
            </w:pPr>
            <w:r>
              <w:rPr>
                <w:rFonts w:eastAsia="仿宋"/>
                <w:sz w:val="24"/>
                <w:szCs w:val="21"/>
              </w:rPr>
              <w:t>TP</w:t>
            </w:r>
          </w:p>
        </w:tc>
        <w:tc>
          <w:tcPr>
            <w:tcW w:w="2362" w:type="dxa"/>
            <w:vAlign w:val="bottom"/>
          </w:tcPr>
          <w:p w14:paraId="44299DF8">
            <w:pPr>
              <w:widowControl/>
              <w:jc w:val="center"/>
              <w:rPr>
                <w:rFonts w:ascii="Times New Roman" w:eastAsia="仿宋"/>
                <w:szCs w:val="21"/>
              </w:rPr>
            </w:pPr>
            <w:r>
              <w:rPr>
                <w:rFonts w:hint="eastAsia" w:ascii="Times New Roman" w:eastAsia="仿宋"/>
                <w:szCs w:val="21"/>
              </w:rPr>
              <w:t>1.93</w:t>
            </w:r>
          </w:p>
        </w:tc>
        <w:tc>
          <w:tcPr>
            <w:tcW w:w="2878" w:type="dxa"/>
            <w:vAlign w:val="center"/>
          </w:tcPr>
          <w:p w14:paraId="0EE39D5B">
            <w:pPr>
              <w:widowControl/>
              <w:jc w:val="center"/>
              <w:rPr>
                <w:rFonts w:ascii="Times New Roman" w:eastAsia="仿宋"/>
                <w:szCs w:val="21"/>
              </w:rPr>
            </w:pPr>
            <w:r>
              <w:rPr>
                <w:rFonts w:hint="eastAsia" w:ascii="Times New Roman" w:eastAsia="仿宋"/>
                <w:szCs w:val="21"/>
              </w:rPr>
              <w:t>0</w:t>
            </w:r>
            <w:r>
              <w:rPr>
                <w:rFonts w:ascii="Times New Roman" w:eastAsia="仿宋"/>
                <w:szCs w:val="21"/>
              </w:rPr>
              <w:t>.013</w:t>
            </w:r>
          </w:p>
        </w:tc>
        <w:tc>
          <w:tcPr>
            <w:tcW w:w="3066" w:type="dxa"/>
            <w:vAlign w:val="center"/>
          </w:tcPr>
          <w:p w14:paraId="0E31CB7B">
            <w:pPr>
              <w:jc w:val="center"/>
              <w:rPr>
                <w:rFonts w:ascii="Times New Roman" w:eastAsia="仿宋"/>
                <w:szCs w:val="21"/>
              </w:rPr>
            </w:pPr>
            <w:r>
              <w:rPr>
                <w:rFonts w:hint="eastAsia" w:ascii="Times New Roman" w:eastAsia="仿宋"/>
                <w:szCs w:val="21"/>
              </w:rPr>
              <w:t>0</w:t>
            </w:r>
            <w:r>
              <w:rPr>
                <w:rFonts w:ascii="Times New Roman" w:eastAsia="仿宋"/>
                <w:szCs w:val="21"/>
              </w:rPr>
              <w:t>.004</w:t>
            </w:r>
          </w:p>
        </w:tc>
      </w:tr>
      <w:tr w14:paraId="5D45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1F92B5D6">
            <w:pPr>
              <w:pStyle w:val="22"/>
              <w:adjustRightInd w:val="0"/>
              <w:snapToGrid w:val="0"/>
              <w:ind w:firstLine="0" w:firstLineChars="0"/>
              <w:jc w:val="center"/>
              <w:rPr>
                <w:rFonts w:eastAsia="仿宋"/>
                <w:sz w:val="24"/>
                <w:szCs w:val="21"/>
              </w:rPr>
            </w:pPr>
            <w:r>
              <w:rPr>
                <w:rFonts w:hint="eastAsia" w:eastAsia="仿宋"/>
                <w:sz w:val="24"/>
                <w:szCs w:val="21"/>
              </w:rPr>
              <w:t>6</w:t>
            </w:r>
          </w:p>
        </w:tc>
        <w:tc>
          <w:tcPr>
            <w:tcW w:w="2445" w:type="dxa"/>
            <w:vMerge w:val="continue"/>
            <w:vAlign w:val="center"/>
          </w:tcPr>
          <w:p w14:paraId="5652FF2D">
            <w:pPr>
              <w:pStyle w:val="22"/>
              <w:adjustRightInd w:val="0"/>
              <w:snapToGrid w:val="0"/>
              <w:ind w:firstLine="0" w:firstLineChars="0"/>
              <w:jc w:val="center"/>
              <w:rPr>
                <w:rFonts w:eastAsia="仿宋"/>
                <w:sz w:val="24"/>
                <w:szCs w:val="21"/>
              </w:rPr>
            </w:pPr>
          </w:p>
        </w:tc>
        <w:tc>
          <w:tcPr>
            <w:tcW w:w="2620" w:type="dxa"/>
            <w:vAlign w:val="center"/>
          </w:tcPr>
          <w:p w14:paraId="1E548483">
            <w:pPr>
              <w:pStyle w:val="22"/>
              <w:adjustRightInd w:val="0"/>
              <w:snapToGrid w:val="0"/>
              <w:ind w:firstLine="0" w:firstLineChars="0"/>
              <w:jc w:val="center"/>
              <w:rPr>
                <w:rFonts w:eastAsia="仿宋"/>
                <w:sz w:val="24"/>
                <w:szCs w:val="21"/>
              </w:rPr>
            </w:pPr>
            <w:r>
              <w:rPr>
                <w:rFonts w:hint="eastAsia" w:eastAsia="仿宋"/>
                <w:sz w:val="24"/>
                <w:szCs w:val="21"/>
              </w:rPr>
              <w:t>石油类</w:t>
            </w:r>
          </w:p>
        </w:tc>
        <w:tc>
          <w:tcPr>
            <w:tcW w:w="2362" w:type="dxa"/>
            <w:vAlign w:val="bottom"/>
          </w:tcPr>
          <w:p w14:paraId="5C7CC3EF">
            <w:pPr>
              <w:widowControl/>
              <w:jc w:val="center"/>
              <w:rPr>
                <w:rFonts w:ascii="Times New Roman" w:eastAsia="仿宋"/>
                <w:szCs w:val="21"/>
              </w:rPr>
            </w:pPr>
            <w:r>
              <w:rPr>
                <w:rFonts w:hint="eastAsia" w:ascii="Times New Roman" w:eastAsia="仿宋"/>
                <w:szCs w:val="21"/>
              </w:rPr>
              <w:t>0.96</w:t>
            </w:r>
          </w:p>
        </w:tc>
        <w:tc>
          <w:tcPr>
            <w:tcW w:w="2878" w:type="dxa"/>
            <w:vAlign w:val="center"/>
          </w:tcPr>
          <w:p w14:paraId="3E0C835B">
            <w:pPr>
              <w:widowControl/>
              <w:jc w:val="center"/>
              <w:rPr>
                <w:rFonts w:ascii="Times New Roman" w:eastAsia="仿宋"/>
                <w:szCs w:val="21"/>
              </w:rPr>
            </w:pPr>
            <w:r>
              <w:rPr>
                <w:rFonts w:hint="eastAsia" w:ascii="Times New Roman" w:eastAsia="仿宋"/>
                <w:szCs w:val="21"/>
              </w:rPr>
              <w:t>0</w:t>
            </w:r>
            <w:r>
              <w:rPr>
                <w:rFonts w:ascii="Times New Roman" w:eastAsia="仿宋"/>
                <w:szCs w:val="21"/>
              </w:rPr>
              <w:t>.006</w:t>
            </w:r>
          </w:p>
        </w:tc>
        <w:tc>
          <w:tcPr>
            <w:tcW w:w="3066" w:type="dxa"/>
            <w:vAlign w:val="center"/>
          </w:tcPr>
          <w:p w14:paraId="21EA35AC">
            <w:pPr>
              <w:jc w:val="center"/>
              <w:rPr>
                <w:rFonts w:ascii="Times New Roman" w:eastAsia="仿宋"/>
                <w:szCs w:val="21"/>
              </w:rPr>
            </w:pPr>
            <w:r>
              <w:rPr>
                <w:rFonts w:hint="eastAsia" w:ascii="Times New Roman" w:eastAsia="仿宋"/>
                <w:szCs w:val="21"/>
              </w:rPr>
              <w:t>0</w:t>
            </w:r>
            <w:r>
              <w:rPr>
                <w:rFonts w:ascii="Times New Roman" w:eastAsia="仿宋"/>
                <w:szCs w:val="21"/>
              </w:rPr>
              <w:t>.002</w:t>
            </w:r>
          </w:p>
        </w:tc>
      </w:tr>
      <w:tr w14:paraId="6539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64B2B0B2">
            <w:pPr>
              <w:pStyle w:val="22"/>
              <w:adjustRightInd w:val="0"/>
              <w:snapToGrid w:val="0"/>
              <w:ind w:firstLine="0" w:firstLineChars="0"/>
              <w:jc w:val="center"/>
              <w:rPr>
                <w:rFonts w:eastAsia="仿宋"/>
                <w:sz w:val="24"/>
                <w:szCs w:val="21"/>
              </w:rPr>
            </w:pPr>
            <w:r>
              <w:rPr>
                <w:rFonts w:eastAsia="仿宋"/>
                <w:sz w:val="24"/>
                <w:szCs w:val="21"/>
              </w:rPr>
              <w:t>7</w:t>
            </w:r>
          </w:p>
        </w:tc>
        <w:tc>
          <w:tcPr>
            <w:tcW w:w="2445" w:type="dxa"/>
            <w:vMerge w:val="continue"/>
            <w:vAlign w:val="center"/>
          </w:tcPr>
          <w:p w14:paraId="7F0187E7">
            <w:pPr>
              <w:pStyle w:val="22"/>
              <w:adjustRightInd w:val="0"/>
              <w:snapToGrid w:val="0"/>
              <w:ind w:firstLine="0" w:firstLineChars="0"/>
              <w:jc w:val="center"/>
              <w:rPr>
                <w:rFonts w:eastAsia="仿宋"/>
                <w:sz w:val="24"/>
                <w:szCs w:val="21"/>
              </w:rPr>
            </w:pPr>
          </w:p>
        </w:tc>
        <w:tc>
          <w:tcPr>
            <w:tcW w:w="2620" w:type="dxa"/>
            <w:vAlign w:val="center"/>
          </w:tcPr>
          <w:p w14:paraId="0CD2279E">
            <w:pPr>
              <w:pStyle w:val="22"/>
              <w:adjustRightInd w:val="0"/>
              <w:snapToGrid w:val="0"/>
              <w:ind w:firstLine="0" w:firstLineChars="0"/>
              <w:jc w:val="center"/>
              <w:rPr>
                <w:rFonts w:eastAsia="仿宋"/>
                <w:sz w:val="24"/>
                <w:szCs w:val="21"/>
              </w:rPr>
            </w:pPr>
            <w:r>
              <w:rPr>
                <w:rFonts w:eastAsia="仿宋"/>
                <w:sz w:val="24"/>
                <w:szCs w:val="21"/>
              </w:rPr>
              <w:t>动植物油</w:t>
            </w:r>
          </w:p>
        </w:tc>
        <w:tc>
          <w:tcPr>
            <w:tcW w:w="2362" w:type="dxa"/>
            <w:vAlign w:val="bottom"/>
          </w:tcPr>
          <w:p w14:paraId="68275AAA">
            <w:pPr>
              <w:widowControl/>
              <w:jc w:val="center"/>
              <w:rPr>
                <w:rFonts w:ascii="Times New Roman" w:eastAsia="仿宋"/>
                <w:szCs w:val="21"/>
              </w:rPr>
            </w:pPr>
            <w:r>
              <w:rPr>
                <w:rFonts w:hint="eastAsia" w:ascii="Times New Roman" w:eastAsia="仿宋"/>
                <w:szCs w:val="21"/>
              </w:rPr>
              <w:t>38.69</w:t>
            </w:r>
          </w:p>
        </w:tc>
        <w:tc>
          <w:tcPr>
            <w:tcW w:w="2878" w:type="dxa"/>
            <w:vAlign w:val="center"/>
          </w:tcPr>
          <w:p w14:paraId="18FDA05A">
            <w:pPr>
              <w:widowControl/>
              <w:jc w:val="center"/>
              <w:rPr>
                <w:rFonts w:ascii="Times New Roman" w:eastAsia="仿宋"/>
                <w:szCs w:val="21"/>
              </w:rPr>
            </w:pPr>
            <w:r>
              <w:rPr>
                <w:rFonts w:hint="eastAsia" w:ascii="Times New Roman" w:eastAsia="仿宋"/>
                <w:szCs w:val="21"/>
              </w:rPr>
              <w:t>0</w:t>
            </w:r>
            <w:r>
              <w:rPr>
                <w:rFonts w:ascii="Times New Roman" w:eastAsia="仿宋"/>
                <w:szCs w:val="21"/>
              </w:rPr>
              <w:t>.26</w:t>
            </w:r>
          </w:p>
        </w:tc>
        <w:tc>
          <w:tcPr>
            <w:tcW w:w="3066" w:type="dxa"/>
            <w:vAlign w:val="center"/>
          </w:tcPr>
          <w:p w14:paraId="4BCFD3ED">
            <w:pPr>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.08</w:t>
            </w:r>
          </w:p>
        </w:tc>
      </w:tr>
      <w:tr w14:paraId="0626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restart"/>
            <w:vAlign w:val="center"/>
          </w:tcPr>
          <w:p w14:paraId="4559BED6">
            <w:pPr>
              <w:pStyle w:val="22"/>
              <w:adjustRightInd w:val="0"/>
              <w:snapToGrid w:val="0"/>
              <w:ind w:firstLine="0" w:firstLineChars="0"/>
              <w:jc w:val="center"/>
              <w:rPr>
                <w:rFonts w:eastAsia="仿宋"/>
                <w:sz w:val="24"/>
                <w:szCs w:val="21"/>
              </w:rPr>
            </w:pPr>
            <w:r>
              <w:rPr>
                <w:rFonts w:eastAsia="仿宋"/>
                <w:sz w:val="24"/>
                <w:szCs w:val="21"/>
              </w:rPr>
              <w:t>全厂排放合计</w:t>
            </w:r>
          </w:p>
        </w:tc>
        <w:tc>
          <w:tcPr>
            <w:tcW w:w="7860" w:type="dxa"/>
            <w:gridSpan w:val="3"/>
            <w:vAlign w:val="center"/>
          </w:tcPr>
          <w:p w14:paraId="2E6A407A">
            <w:pPr>
              <w:pStyle w:val="22"/>
              <w:adjustRightInd w:val="0"/>
              <w:snapToGrid w:val="0"/>
              <w:ind w:firstLine="0" w:firstLineChars="0"/>
              <w:jc w:val="center"/>
              <w:rPr>
                <w:rFonts w:eastAsia="仿宋"/>
                <w:sz w:val="24"/>
                <w:szCs w:val="21"/>
              </w:rPr>
            </w:pPr>
            <w:r>
              <w:rPr>
                <w:rFonts w:eastAsia="仿宋"/>
                <w:sz w:val="24"/>
                <w:szCs w:val="21"/>
              </w:rPr>
              <w:t>COD</w:t>
            </w:r>
          </w:p>
        </w:tc>
        <w:tc>
          <w:tcPr>
            <w:tcW w:w="3066" w:type="dxa"/>
            <w:vAlign w:val="center"/>
          </w:tcPr>
          <w:p w14:paraId="61F762D4">
            <w:pPr>
              <w:jc w:val="center"/>
              <w:rPr>
                <w:rFonts w:ascii="Times New Roman" w:eastAsia="仿宋"/>
                <w:szCs w:val="21"/>
              </w:rPr>
            </w:pPr>
            <w:r>
              <w:rPr>
                <w:rFonts w:hint="eastAsia" w:ascii="Times New Roman" w:eastAsia="仿宋"/>
                <w:szCs w:val="21"/>
              </w:rPr>
              <w:t>0.66</w:t>
            </w:r>
          </w:p>
        </w:tc>
      </w:tr>
      <w:tr w14:paraId="59FE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2782EFE4">
            <w:pPr>
              <w:pStyle w:val="22"/>
              <w:adjustRightInd w:val="0"/>
              <w:snapToGrid w:val="0"/>
              <w:ind w:firstLine="0" w:firstLineChars="0"/>
              <w:jc w:val="center"/>
              <w:rPr>
                <w:rFonts w:eastAsia="仿宋"/>
                <w:sz w:val="24"/>
                <w:szCs w:val="21"/>
              </w:rPr>
            </w:pPr>
          </w:p>
        </w:tc>
        <w:tc>
          <w:tcPr>
            <w:tcW w:w="7860" w:type="dxa"/>
            <w:gridSpan w:val="3"/>
            <w:vAlign w:val="center"/>
          </w:tcPr>
          <w:p w14:paraId="77D70A58">
            <w:pPr>
              <w:pStyle w:val="22"/>
              <w:adjustRightInd w:val="0"/>
              <w:snapToGrid w:val="0"/>
              <w:ind w:firstLine="0" w:firstLineChars="0"/>
              <w:jc w:val="center"/>
              <w:rPr>
                <w:rFonts w:eastAsia="仿宋"/>
                <w:sz w:val="24"/>
                <w:szCs w:val="21"/>
              </w:rPr>
            </w:pPr>
            <w:r>
              <w:rPr>
                <w:rFonts w:eastAsia="仿宋"/>
                <w:sz w:val="24"/>
                <w:szCs w:val="21"/>
              </w:rPr>
              <w:t>SS</w:t>
            </w:r>
          </w:p>
        </w:tc>
        <w:tc>
          <w:tcPr>
            <w:tcW w:w="3066" w:type="dxa"/>
            <w:vAlign w:val="center"/>
          </w:tcPr>
          <w:p w14:paraId="0686A45F">
            <w:pPr>
              <w:jc w:val="center"/>
              <w:rPr>
                <w:rFonts w:ascii="Times New Roman" w:eastAsia="仿宋"/>
                <w:szCs w:val="21"/>
              </w:rPr>
            </w:pPr>
            <w:r>
              <w:rPr>
                <w:rFonts w:hint="eastAsia" w:ascii="Times New Roman" w:eastAsia="仿宋"/>
                <w:szCs w:val="21"/>
              </w:rPr>
              <w:t>0</w:t>
            </w:r>
            <w:r>
              <w:rPr>
                <w:rFonts w:ascii="Times New Roman" w:eastAsia="仿宋"/>
                <w:szCs w:val="21"/>
              </w:rPr>
              <w:t>.284</w:t>
            </w:r>
          </w:p>
        </w:tc>
      </w:tr>
      <w:tr w14:paraId="6444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3AA08D46">
            <w:pPr>
              <w:pStyle w:val="22"/>
              <w:adjustRightInd w:val="0"/>
              <w:snapToGrid w:val="0"/>
              <w:ind w:firstLine="0" w:firstLineChars="0"/>
              <w:jc w:val="center"/>
              <w:rPr>
                <w:rFonts w:eastAsia="仿宋"/>
                <w:sz w:val="24"/>
                <w:szCs w:val="21"/>
              </w:rPr>
            </w:pPr>
          </w:p>
        </w:tc>
        <w:tc>
          <w:tcPr>
            <w:tcW w:w="7860" w:type="dxa"/>
            <w:gridSpan w:val="3"/>
            <w:vAlign w:val="center"/>
          </w:tcPr>
          <w:p w14:paraId="1A2F804D">
            <w:pPr>
              <w:pStyle w:val="22"/>
              <w:adjustRightInd w:val="0"/>
              <w:snapToGrid w:val="0"/>
              <w:ind w:firstLine="0" w:firstLineChars="0"/>
              <w:jc w:val="center"/>
              <w:rPr>
                <w:rFonts w:eastAsia="仿宋"/>
                <w:sz w:val="24"/>
                <w:szCs w:val="21"/>
              </w:rPr>
            </w:pPr>
            <w:r>
              <w:rPr>
                <w:rFonts w:eastAsia="仿宋"/>
                <w:sz w:val="24"/>
                <w:szCs w:val="21"/>
              </w:rPr>
              <w:t>TN</w:t>
            </w:r>
          </w:p>
        </w:tc>
        <w:tc>
          <w:tcPr>
            <w:tcW w:w="3066" w:type="dxa"/>
            <w:vAlign w:val="center"/>
          </w:tcPr>
          <w:p w14:paraId="3BC2ED69">
            <w:pPr>
              <w:jc w:val="center"/>
              <w:rPr>
                <w:rFonts w:ascii="Times New Roman" w:eastAsia="仿宋"/>
                <w:szCs w:val="21"/>
              </w:rPr>
            </w:pPr>
            <w:r>
              <w:rPr>
                <w:rFonts w:hint="eastAsia" w:ascii="Times New Roman" w:eastAsia="仿宋"/>
                <w:szCs w:val="21"/>
              </w:rPr>
              <w:t>0</w:t>
            </w:r>
            <w:r>
              <w:rPr>
                <w:rFonts w:ascii="Times New Roman" w:eastAsia="仿宋"/>
                <w:szCs w:val="21"/>
              </w:rPr>
              <w:t>.04</w:t>
            </w:r>
          </w:p>
        </w:tc>
      </w:tr>
      <w:tr w14:paraId="0D24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2FE331F4">
            <w:pPr>
              <w:pStyle w:val="22"/>
              <w:adjustRightInd w:val="0"/>
              <w:snapToGrid w:val="0"/>
              <w:ind w:firstLine="0" w:firstLineChars="0"/>
              <w:jc w:val="center"/>
              <w:rPr>
                <w:rFonts w:eastAsia="仿宋"/>
                <w:sz w:val="24"/>
                <w:szCs w:val="21"/>
              </w:rPr>
            </w:pPr>
          </w:p>
        </w:tc>
        <w:tc>
          <w:tcPr>
            <w:tcW w:w="7860" w:type="dxa"/>
            <w:gridSpan w:val="3"/>
            <w:vAlign w:val="center"/>
          </w:tcPr>
          <w:p w14:paraId="6CF48C4C">
            <w:pPr>
              <w:pStyle w:val="22"/>
              <w:adjustRightInd w:val="0"/>
              <w:snapToGrid w:val="0"/>
              <w:ind w:firstLine="0" w:firstLineChars="0"/>
              <w:jc w:val="center"/>
              <w:rPr>
                <w:rFonts w:eastAsia="仿宋"/>
                <w:sz w:val="24"/>
                <w:szCs w:val="21"/>
              </w:rPr>
            </w:pPr>
            <w:r>
              <w:rPr>
                <w:rFonts w:eastAsia="仿宋"/>
                <w:sz w:val="24"/>
                <w:szCs w:val="21"/>
              </w:rPr>
              <w:t>NH</w:t>
            </w:r>
            <w:r>
              <w:rPr>
                <w:rFonts w:eastAsia="仿宋"/>
                <w:sz w:val="24"/>
                <w:szCs w:val="21"/>
                <w:vertAlign w:val="subscript"/>
              </w:rPr>
              <w:t>3</w:t>
            </w:r>
            <w:r>
              <w:rPr>
                <w:rFonts w:eastAsia="仿宋"/>
                <w:sz w:val="24"/>
                <w:szCs w:val="21"/>
              </w:rPr>
              <w:t>-N</w:t>
            </w:r>
          </w:p>
        </w:tc>
        <w:tc>
          <w:tcPr>
            <w:tcW w:w="3066" w:type="dxa"/>
            <w:vAlign w:val="center"/>
          </w:tcPr>
          <w:p w14:paraId="54CF882D">
            <w:pPr>
              <w:jc w:val="center"/>
              <w:rPr>
                <w:rFonts w:ascii="Times New Roman" w:eastAsia="仿宋"/>
                <w:szCs w:val="21"/>
              </w:rPr>
            </w:pPr>
            <w:r>
              <w:rPr>
                <w:rFonts w:hint="eastAsia" w:ascii="Times New Roman" w:eastAsia="仿宋"/>
                <w:szCs w:val="21"/>
              </w:rPr>
              <w:t>0</w:t>
            </w:r>
            <w:r>
              <w:rPr>
                <w:rFonts w:ascii="Times New Roman" w:eastAsia="仿宋"/>
                <w:szCs w:val="21"/>
              </w:rPr>
              <w:t>.03</w:t>
            </w:r>
          </w:p>
        </w:tc>
      </w:tr>
      <w:tr w14:paraId="796A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64EB9EC3">
            <w:pPr>
              <w:pStyle w:val="22"/>
              <w:adjustRightInd w:val="0"/>
              <w:snapToGrid w:val="0"/>
              <w:ind w:firstLine="0" w:firstLineChars="0"/>
              <w:jc w:val="center"/>
              <w:rPr>
                <w:rFonts w:eastAsia="仿宋"/>
                <w:sz w:val="24"/>
                <w:szCs w:val="21"/>
              </w:rPr>
            </w:pPr>
          </w:p>
        </w:tc>
        <w:tc>
          <w:tcPr>
            <w:tcW w:w="7860" w:type="dxa"/>
            <w:gridSpan w:val="3"/>
            <w:vAlign w:val="center"/>
          </w:tcPr>
          <w:p w14:paraId="64DAA169">
            <w:pPr>
              <w:pStyle w:val="22"/>
              <w:adjustRightInd w:val="0"/>
              <w:snapToGrid w:val="0"/>
              <w:ind w:firstLine="0" w:firstLineChars="0"/>
              <w:jc w:val="center"/>
              <w:rPr>
                <w:rFonts w:eastAsia="仿宋"/>
                <w:sz w:val="24"/>
                <w:szCs w:val="21"/>
              </w:rPr>
            </w:pPr>
            <w:r>
              <w:rPr>
                <w:rFonts w:eastAsia="仿宋"/>
                <w:sz w:val="24"/>
                <w:szCs w:val="21"/>
              </w:rPr>
              <w:t>TP</w:t>
            </w:r>
          </w:p>
        </w:tc>
        <w:tc>
          <w:tcPr>
            <w:tcW w:w="3066" w:type="dxa"/>
            <w:vAlign w:val="center"/>
          </w:tcPr>
          <w:p w14:paraId="79237FFD">
            <w:pPr>
              <w:jc w:val="center"/>
              <w:rPr>
                <w:rFonts w:ascii="Times New Roman" w:eastAsia="仿宋"/>
                <w:szCs w:val="21"/>
              </w:rPr>
            </w:pPr>
            <w:r>
              <w:rPr>
                <w:rFonts w:hint="eastAsia" w:ascii="Times New Roman" w:eastAsia="仿宋"/>
                <w:szCs w:val="21"/>
              </w:rPr>
              <w:t>0</w:t>
            </w:r>
            <w:r>
              <w:rPr>
                <w:rFonts w:ascii="Times New Roman" w:eastAsia="仿宋"/>
                <w:szCs w:val="21"/>
              </w:rPr>
              <w:t>.004</w:t>
            </w:r>
          </w:p>
        </w:tc>
      </w:tr>
      <w:tr w14:paraId="731E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44012344">
            <w:pPr>
              <w:pStyle w:val="22"/>
              <w:adjustRightInd w:val="0"/>
              <w:snapToGrid w:val="0"/>
              <w:ind w:firstLine="0" w:firstLineChars="0"/>
              <w:jc w:val="center"/>
              <w:rPr>
                <w:rFonts w:eastAsia="仿宋"/>
                <w:sz w:val="24"/>
                <w:szCs w:val="21"/>
              </w:rPr>
            </w:pPr>
          </w:p>
        </w:tc>
        <w:tc>
          <w:tcPr>
            <w:tcW w:w="7860" w:type="dxa"/>
            <w:gridSpan w:val="3"/>
            <w:vAlign w:val="center"/>
          </w:tcPr>
          <w:p w14:paraId="5F0A63C9">
            <w:pPr>
              <w:pStyle w:val="22"/>
              <w:adjustRightInd w:val="0"/>
              <w:snapToGrid w:val="0"/>
              <w:ind w:firstLine="0" w:firstLineChars="0"/>
              <w:jc w:val="center"/>
              <w:rPr>
                <w:rFonts w:eastAsia="仿宋"/>
                <w:sz w:val="24"/>
                <w:szCs w:val="21"/>
              </w:rPr>
            </w:pPr>
            <w:r>
              <w:rPr>
                <w:rFonts w:hint="eastAsia" w:eastAsia="仿宋"/>
                <w:sz w:val="24"/>
                <w:szCs w:val="21"/>
              </w:rPr>
              <w:t>石油类</w:t>
            </w:r>
          </w:p>
        </w:tc>
        <w:tc>
          <w:tcPr>
            <w:tcW w:w="3066" w:type="dxa"/>
            <w:vAlign w:val="center"/>
          </w:tcPr>
          <w:p w14:paraId="13CAEB5C">
            <w:pPr>
              <w:jc w:val="center"/>
              <w:rPr>
                <w:rFonts w:ascii="Times New Roman" w:eastAsia="仿宋"/>
                <w:szCs w:val="21"/>
              </w:rPr>
            </w:pPr>
            <w:r>
              <w:rPr>
                <w:rFonts w:hint="eastAsia" w:ascii="Times New Roman" w:eastAsia="仿宋"/>
                <w:szCs w:val="21"/>
              </w:rPr>
              <w:t>0</w:t>
            </w:r>
            <w:r>
              <w:rPr>
                <w:rFonts w:ascii="Times New Roman" w:eastAsia="仿宋"/>
                <w:szCs w:val="21"/>
              </w:rPr>
              <w:t>.002</w:t>
            </w:r>
          </w:p>
        </w:tc>
      </w:tr>
      <w:tr w14:paraId="6FA6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4" w:type="dxa"/>
            <w:gridSpan w:val="2"/>
            <w:vMerge w:val="continue"/>
            <w:vAlign w:val="center"/>
          </w:tcPr>
          <w:p w14:paraId="298F94E5">
            <w:pPr>
              <w:pStyle w:val="22"/>
              <w:adjustRightInd w:val="0"/>
              <w:snapToGrid w:val="0"/>
              <w:ind w:firstLine="0" w:firstLineChars="0"/>
              <w:jc w:val="center"/>
              <w:rPr>
                <w:rFonts w:eastAsia="仿宋"/>
                <w:sz w:val="24"/>
                <w:szCs w:val="21"/>
              </w:rPr>
            </w:pPr>
          </w:p>
        </w:tc>
        <w:tc>
          <w:tcPr>
            <w:tcW w:w="7860" w:type="dxa"/>
            <w:gridSpan w:val="3"/>
            <w:vAlign w:val="center"/>
          </w:tcPr>
          <w:p w14:paraId="79473894">
            <w:pPr>
              <w:pStyle w:val="22"/>
              <w:adjustRightInd w:val="0"/>
              <w:snapToGrid w:val="0"/>
              <w:ind w:firstLine="0" w:firstLineChars="0"/>
              <w:jc w:val="center"/>
              <w:rPr>
                <w:rFonts w:eastAsia="仿宋"/>
                <w:sz w:val="24"/>
                <w:szCs w:val="21"/>
              </w:rPr>
            </w:pPr>
            <w:r>
              <w:rPr>
                <w:rFonts w:eastAsia="仿宋"/>
                <w:sz w:val="24"/>
                <w:szCs w:val="21"/>
              </w:rPr>
              <w:t>动植物油</w:t>
            </w:r>
          </w:p>
        </w:tc>
        <w:tc>
          <w:tcPr>
            <w:tcW w:w="3066" w:type="dxa"/>
            <w:vAlign w:val="center"/>
          </w:tcPr>
          <w:p w14:paraId="761A4F45">
            <w:pPr>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.08</w:t>
            </w:r>
          </w:p>
        </w:tc>
      </w:tr>
    </w:tbl>
    <w:p w14:paraId="4A9A0CB9">
      <w:pPr>
        <w:tabs>
          <w:tab w:val="left" w:pos="5175"/>
        </w:tabs>
        <w:spacing w:line="500" w:lineRule="exact"/>
        <w:jc w:val="center"/>
        <w:rPr>
          <w:rFonts w:ascii="Times New Roman" w:eastAsia="仿宋"/>
          <w:b/>
        </w:rPr>
      </w:pPr>
    </w:p>
    <w:p w14:paraId="0A334DAA">
      <w:pPr>
        <w:tabs>
          <w:tab w:val="left" w:pos="5175"/>
        </w:tabs>
        <w:spacing w:line="500" w:lineRule="exact"/>
        <w:jc w:val="center"/>
        <w:rPr>
          <w:rFonts w:ascii="Times New Roman" w:eastAsia="仿宋"/>
          <w:b/>
        </w:rPr>
      </w:pPr>
      <w:r>
        <w:rPr>
          <w:rFonts w:ascii="Times New Roman" w:eastAsia="仿宋"/>
          <w:b/>
        </w:rPr>
        <w:t>表5.2-30 地表水环境影响评价自查表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2661"/>
        <w:gridCol w:w="2165"/>
        <w:gridCol w:w="1065"/>
        <w:gridCol w:w="381"/>
        <w:gridCol w:w="719"/>
        <w:gridCol w:w="1221"/>
        <w:gridCol w:w="946"/>
        <w:gridCol w:w="725"/>
        <w:gridCol w:w="763"/>
        <w:gridCol w:w="677"/>
        <w:gridCol w:w="449"/>
        <w:gridCol w:w="1719"/>
      </w:tblGrid>
      <w:tr w14:paraId="6FB7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38" w:type="pct"/>
            <w:gridSpan w:val="2"/>
            <w:vAlign w:val="center"/>
          </w:tcPr>
          <w:p w14:paraId="0EA61EA8">
            <w:pPr>
              <w:jc w:val="center"/>
              <w:rPr>
                <w:rFonts w:ascii="Times New Roman" w:eastAsia="仿宋"/>
                <w:szCs w:val="21"/>
              </w:rPr>
            </w:pPr>
            <w:r>
              <w:rPr>
                <w:rFonts w:ascii="Times New Roman" w:eastAsia="仿宋"/>
                <w:szCs w:val="21"/>
              </w:rPr>
              <w:t>工作内容</w:t>
            </w:r>
          </w:p>
        </w:tc>
        <w:tc>
          <w:tcPr>
            <w:tcW w:w="3662" w:type="pct"/>
            <w:gridSpan w:val="11"/>
            <w:vAlign w:val="center"/>
          </w:tcPr>
          <w:p w14:paraId="370B9D98">
            <w:pPr>
              <w:jc w:val="center"/>
              <w:rPr>
                <w:rFonts w:ascii="Times New Roman" w:eastAsia="仿宋"/>
                <w:szCs w:val="21"/>
              </w:rPr>
            </w:pPr>
            <w:r>
              <w:rPr>
                <w:rFonts w:ascii="Times New Roman" w:eastAsia="仿宋"/>
                <w:szCs w:val="21"/>
              </w:rPr>
              <w:t>自查项目</w:t>
            </w:r>
          </w:p>
        </w:tc>
      </w:tr>
      <w:tr w14:paraId="06F2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47CB080F">
            <w:pPr>
              <w:jc w:val="center"/>
              <w:rPr>
                <w:rFonts w:ascii="Times New Roman" w:eastAsia="仿宋"/>
              </w:rPr>
            </w:pPr>
            <w:r>
              <w:rPr>
                <w:rFonts w:ascii="Times New Roman" w:eastAsia="仿宋"/>
              </w:rPr>
              <w:t>影响识别</w:t>
            </w:r>
          </w:p>
        </w:tc>
        <w:tc>
          <w:tcPr>
            <w:tcW w:w="900" w:type="pct"/>
            <w:vAlign w:val="center"/>
          </w:tcPr>
          <w:p w14:paraId="01341F9D">
            <w:pPr>
              <w:jc w:val="center"/>
              <w:rPr>
                <w:rFonts w:ascii="Times New Roman" w:eastAsia="仿宋"/>
                <w:szCs w:val="21"/>
              </w:rPr>
            </w:pPr>
            <w:r>
              <w:rPr>
                <w:rFonts w:ascii="Times New Roman" w:eastAsia="仿宋"/>
                <w:szCs w:val="21"/>
              </w:rPr>
              <w:t>影响类型</w:t>
            </w:r>
          </w:p>
        </w:tc>
        <w:tc>
          <w:tcPr>
            <w:tcW w:w="3662" w:type="pct"/>
            <w:gridSpan w:val="11"/>
            <w:vAlign w:val="center"/>
          </w:tcPr>
          <w:p w14:paraId="691C22F6">
            <w:pPr>
              <w:rPr>
                <w:rFonts w:ascii="Times New Roman" w:eastAsia="仿宋"/>
                <w:szCs w:val="21"/>
              </w:rPr>
            </w:pPr>
            <w:r>
              <w:rPr>
                <w:rFonts w:ascii="Times New Roman" w:eastAsia="仿宋"/>
                <w:szCs w:val="21"/>
              </w:rPr>
              <w:t>水污染影响型</w:t>
            </w:r>
            <w:r>
              <w:rPr>
                <w:rStyle w:val="152"/>
                <w:rFonts w:ascii="Times New Roman" w:eastAsia="仿宋"/>
                <w:sz w:val="21"/>
                <w:szCs w:val="21"/>
              </w:rPr>
              <w:t>√</w:t>
            </w:r>
            <w:r>
              <w:rPr>
                <w:rFonts w:ascii="Times New Roman" w:eastAsia="仿宋"/>
                <w:szCs w:val="21"/>
              </w:rPr>
              <w:t>；水文要素影响型□</w:t>
            </w:r>
          </w:p>
        </w:tc>
      </w:tr>
      <w:tr w14:paraId="335A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7D7350A4">
            <w:pPr>
              <w:jc w:val="center"/>
              <w:rPr>
                <w:rFonts w:ascii="Times New Roman" w:eastAsia="仿宋"/>
              </w:rPr>
            </w:pPr>
          </w:p>
        </w:tc>
        <w:tc>
          <w:tcPr>
            <w:tcW w:w="900" w:type="pct"/>
            <w:vAlign w:val="center"/>
          </w:tcPr>
          <w:p w14:paraId="79DD01B4">
            <w:pPr>
              <w:jc w:val="center"/>
              <w:rPr>
                <w:rFonts w:ascii="Times New Roman" w:eastAsia="仿宋"/>
                <w:szCs w:val="21"/>
              </w:rPr>
            </w:pPr>
            <w:r>
              <w:rPr>
                <w:rFonts w:ascii="Times New Roman" w:eastAsia="仿宋"/>
                <w:szCs w:val="21"/>
              </w:rPr>
              <w:t>水环境保护目标</w:t>
            </w:r>
          </w:p>
        </w:tc>
        <w:tc>
          <w:tcPr>
            <w:tcW w:w="3662" w:type="pct"/>
            <w:gridSpan w:val="11"/>
            <w:vAlign w:val="center"/>
          </w:tcPr>
          <w:p w14:paraId="0093EEC1">
            <w:pPr>
              <w:jc w:val="center"/>
              <w:rPr>
                <w:rFonts w:ascii="Times New Roman" w:eastAsia="仿宋"/>
                <w:szCs w:val="21"/>
              </w:rPr>
            </w:pPr>
            <w:r>
              <w:rPr>
                <w:rFonts w:ascii="Times New Roman" w:eastAsia="仿宋"/>
                <w:szCs w:val="21"/>
              </w:rPr>
              <w:t>饮用水水源保护区□；饮用水取水口</w:t>
            </w:r>
            <w:r>
              <w:rPr>
                <w:rStyle w:val="152"/>
                <w:rFonts w:ascii="Times New Roman" w:eastAsia="仿宋"/>
                <w:sz w:val="21"/>
                <w:szCs w:val="21"/>
              </w:rPr>
              <w:t>√</w:t>
            </w:r>
            <w:r>
              <w:rPr>
                <w:rFonts w:ascii="Times New Roman" w:eastAsia="仿宋"/>
                <w:szCs w:val="21"/>
              </w:rPr>
              <w:t>；涉水的自然保护区□；重要湿地□；重点保护与珍稀水生生物的栖息地□；重要水生生物的自然产卵场及索饵场、越冬场和洄游通道、天然渔场等渔业水体□；涉水的风景名胜区□；其他□</w:t>
            </w:r>
          </w:p>
        </w:tc>
      </w:tr>
      <w:tr w14:paraId="00EC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74DBF5B2">
            <w:pPr>
              <w:jc w:val="center"/>
              <w:rPr>
                <w:rFonts w:ascii="Times New Roman" w:eastAsia="仿宋"/>
              </w:rPr>
            </w:pPr>
          </w:p>
        </w:tc>
        <w:tc>
          <w:tcPr>
            <w:tcW w:w="900" w:type="pct"/>
            <w:vMerge w:val="restart"/>
            <w:vAlign w:val="center"/>
          </w:tcPr>
          <w:p w14:paraId="3C6B2041">
            <w:pPr>
              <w:jc w:val="center"/>
              <w:rPr>
                <w:rFonts w:ascii="Times New Roman" w:eastAsia="仿宋"/>
                <w:szCs w:val="21"/>
              </w:rPr>
            </w:pPr>
            <w:r>
              <w:rPr>
                <w:rFonts w:ascii="Times New Roman" w:eastAsia="仿宋"/>
                <w:szCs w:val="21"/>
              </w:rPr>
              <w:t>影响途径</w:t>
            </w:r>
          </w:p>
        </w:tc>
        <w:tc>
          <w:tcPr>
            <w:tcW w:w="1877" w:type="pct"/>
            <w:gridSpan w:val="5"/>
            <w:vAlign w:val="center"/>
          </w:tcPr>
          <w:p w14:paraId="16B83259">
            <w:pPr>
              <w:jc w:val="center"/>
              <w:rPr>
                <w:rFonts w:ascii="Times New Roman" w:eastAsia="仿宋"/>
                <w:szCs w:val="21"/>
              </w:rPr>
            </w:pPr>
            <w:r>
              <w:rPr>
                <w:rFonts w:ascii="Times New Roman" w:eastAsia="仿宋"/>
                <w:szCs w:val="21"/>
              </w:rPr>
              <w:t>水污染影响型</w:t>
            </w:r>
          </w:p>
        </w:tc>
        <w:tc>
          <w:tcPr>
            <w:tcW w:w="1785" w:type="pct"/>
            <w:gridSpan w:val="6"/>
            <w:vAlign w:val="center"/>
          </w:tcPr>
          <w:p w14:paraId="73DA7FEC">
            <w:pPr>
              <w:jc w:val="center"/>
              <w:rPr>
                <w:rFonts w:ascii="Times New Roman" w:eastAsia="仿宋"/>
                <w:szCs w:val="21"/>
              </w:rPr>
            </w:pPr>
            <w:r>
              <w:rPr>
                <w:rFonts w:ascii="Times New Roman" w:eastAsia="仿宋"/>
                <w:szCs w:val="21"/>
              </w:rPr>
              <w:t>水文要素影响型</w:t>
            </w:r>
          </w:p>
        </w:tc>
      </w:tr>
      <w:tr w14:paraId="5632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79A007CA">
            <w:pPr>
              <w:jc w:val="center"/>
              <w:rPr>
                <w:rFonts w:ascii="Times New Roman" w:eastAsia="仿宋"/>
              </w:rPr>
            </w:pPr>
          </w:p>
        </w:tc>
        <w:tc>
          <w:tcPr>
            <w:tcW w:w="900" w:type="pct"/>
            <w:vMerge w:val="continue"/>
            <w:vAlign w:val="center"/>
          </w:tcPr>
          <w:p w14:paraId="08C65C15">
            <w:pPr>
              <w:jc w:val="center"/>
              <w:rPr>
                <w:rFonts w:ascii="Times New Roman" w:eastAsia="仿宋"/>
                <w:szCs w:val="21"/>
              </w:rPr>
            </w:pPr>
          </w:p>
        </w:tc>
        <w:tc>
          <w:tcPr>
            <w:tcW w:w="1877" w:type="pct"/>
            <w:gridSpan w:val="5"/>
            <w:vAlign w:val="center"/>
          </w:tcPr>
          <w:p w14:paraId="3DF4BA78">
            <w:pPr>
              <w:jc w:val="center"/>
              <w:rPr>
                <w:rFonts w:ascii="Times New Roman" w:eastAsia="仿宋"/>
                <w:szCs w:val="21"/>
              </w:rPr>
            </w:pPr>
            <w:r>
              <w:rPr>
                <w:rFonts w:ascii="Times New Roman" w:eastAsia="仿宋"/>
                <w:szCs w:val="21"/>
              </w:rPr>
              <w:t>直接排放□；间接排放</w:t>
            </w:r>
            <w:r>
              <w:rPr>
                <w:rStyle w:val="152"/>
                <w:rFonts w:ascii="Times New Roman" w:eastAsia="仿宋"/>
                <w:sz w:val="21"/>
                <w:szCs w:val="21"/>
              </w:rPr>
              <w:t>√</w:t>
            </w:r>
            <w:r>
              <w:rPr>
                <w:rFonts w:ascii="Times New Roman" w:eastAsia="仿宋"/>
                <w:szCs w:val="21"/>
              </w:rPr>
              <w:t>；其他□</w:t>
            </w:r>
          </w:p>
        </w:tc>
        <w:tc>
          <w:tcPr>
            <w:tcW w:w="1785" w:type="pct"/>
            <w:gridSpan w:val="6"/>
            <w:vAlign w:val="center"/>
          </w:tcPr>
          <w:p w14:paraId="719759EB">
            <w:pPr>
              <w:jc w:val="center"/>
              <w:rPr>
                <w:rFonts w:ascii="Times New Roman" w:eastAsia="仿宋"/>
                <w:szCs w:val="21"/>
              </w:rPr>
            </w:pPr>
            <w:r>
              <w:rPr>
                <w:rFonts w:ascii="Times New Roman" w:eastAsia="仿宋"/>
                <w:szCs w:val="21"/>
              </w:rPr>
              <w:t>水温□；径流□；水域面积□</w:t>
            </w:r>
          </w:p>
        </w:tc>
      </w:tr>
      <w:tr w14:paraId="2301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60D64184">
            <w:pPr>
              <w:jc w:val="center"/>
              <w:rPr>
                <w:rFonts w:ascii="Times New Roman" w:eastAsia="仿宋"/>
              </w:rPr>
            </w:pPr>
          </w:p>
        </w:tc>
        <w:tc>
          <w:tcPr>
            <w:tcW w:w="900" w:type="pct"/>
            <w:vAlign w:val="center"/>
          </w:tcPr>
          <w:p w14:paraId="174C5932">
            <w:pPr>
              <w:jc w:val="center"/>
              <w:rPr>
                <w:rFonts w:ascii="Times New Roman" w:eastAsia="仿宋"/>
                <w:szCs w:val="21"/>
              </w:rPr>
            </w:pPr>
            <w:r>
              <w:rPr>
                <w:rFonts w:ascii="Times New Roman" w:eastAsia="仿宋"/>
                <w:szCs w:val="21"/>
              </w:rPr>
              <w:t>影响因子</w:t>
            </w:r>
          </w:p>
        </w:tc>
        <w:tc>
          <w:tcPr>
            <w:tcW w:w="1877" w:type="pct"/>
            <w:gridSpan w:val="5"/>
            <w:vAlign w:val="center"/>
          </w:tcPr>
          <w:p w14:paraId="6FF84410">
            <w:pPr>
              <w:rPr>
                <w:rFonts w:ascii="Times New Roman" w:eastAsia="仿宋"/>
                <w:szCs w:val="21"/>
              </w:rPr>
            </w:pPr>
            <w:r>
              <w:rPr>
                <w:rFonts w:ascii="Times New Roman" w:eastAsia="仿宋"/>
                <w:szCs w:val="21"/>
              </w:rPr>
              <w:t>持久性污染物□；有毒有害污染物□；非持久性污染物</w:t>
            </w:r>
            <w:r>
              <w:rPr>
                <w:rStyle w:val="152"/>
                <w:rFonts w:ascii="Times New Roman" w:eastAsia="仿宋"/>
                <w:sz w:val="21"/>
                <w:szCs w:val="21"/>
              </w:rPr>
              <w:t>√</w:t>
            </w:r>
            <w:r>
              <w:rPr>
                <w:rFonts w:ascii="Times New Roman" w:eastAsia="仿宋"/>
                <w:szCs w:val="21"/>
              </w:rPr>
              <w:t>；pH值□；热污染□；富营养化□；其他□</w:t>
            </w:r>
          </w:p>
        </w:tc>
        <w:tc>
          <w:tcPr>
            <w:tcW w:w="1785" w:type="pct"/>
            <w:gridSpan w:val="6"/>
            <w:vAlign w:val="center"/>
          </w:tcPr>
          <w:p w14:paraId="73464FA9">
            <w:pPr>
              <w:jc w:val="center"/>
              <w:rPr>
                <w:rFonts w:ascii="Times New Roman" w:eastAsia="仿宋"/>
                <w:szCs w:val="21"/>
              </w:rPr>
            </w:pPr>
            <w:r>
              <w:rPr>
                <w:rFonts w:ascii="Times New Roman" w:eastAsia="仿宋"/>
                <w:szCs w:val="21"/>
              </w:rPr>
              <w:t>水温□；水位（水深）□；流速□；流量□；其他□</w:t>
            </w:r>
          </w:p>
        </w:tc>
      </w:tr>
      <w:tr w14:paraId="7978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vMerge w:val="restart"/>
            <w:vAlign w:val="center"/>
          </w:tcPr>
          <w:p w14:paraId="296180EC">
            <w:pPr>
              <w:jc w:val="center"/>
              <w:rPr>
                <w:rFonts w:ascii="Times New Roman" w:eastAsia="仿宋"/>
                <w:szCs w:val="21"/>
              </w:rPr>
            </w:pPr>
            <w:r>
              <w:rPr>
                <w:rFonts w:ascii="Times New Roman" w:eastAsia="仿宋"/>
                <w:szCs w:val="21"/>
              </w:rPr>
              <w:t>评价等级</w:t>
            </w:r>
          </w:p>
        </w:tc>
        <w:tc>
          <w:tcPr>
            <w:tcW w:w="1877" w:type="pct"/>
            <w:gridSpan w:val="5"/>
            <w:vAlign w:val="center"/>
          </w:tcPr>
          <w:p w14:paraId="5F756F57">
            <w:pPr>
              <w:jc w:val="center"/>
              <w:rPr>
                <w:rFonts w:ascii="Times New Roman" w:eastAsia="仿宋"/>
                <w:szCs w:val="21"/>
              </w:rPr>
            </w:pPr>
            <w:r>
              <w:rPr>
                <w:rFonts w:ascii="Times New Roman" w:eastAsia="仿宋"/>
                <w:szCs w:val="21"/>
              </w:rPr>
              <w:t>水污染影响型</w:t>
            </w:r>
          </w:p>
        </w:tc>
        <w:tc>
          <w:tcPr>
            <w:tcW w:w="1785" w:type="pct"/>
            <w:gridSpan w:val="6"/>
            <w:vAlign w:val="center"/>
          </w:tcPr>
          <w:p w14:paraId="7201C40F">
            <w:pPr>
              <w:jc w:val="center"/>
              <w:rPr>
                <w:rFonts w:ascii="Times New Roman" w:eastAsia="仿宋"/>
                <w:szCs w:val="21"/>
              </w:rPr>
            </w:pPr>
            <w:r>
              <w:rPr>
                <w:rFonts w:ascii="Times New Roman" w:eastAsia="仿宋"/>
                <w:szCs w:val="21"/>
              </w:rPr>
              <w:t>水文要素影响型</w:t>
            </w:r>
          </w:p>
        </w:tc>
      </w:tr>
      <w:tr w14:paraId="0C88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vMerge w:val="continue"/>
            <w:vAlign w:val="center"/>
          </w:tcPr>
          <w:p w14:paraId="5DB7EAF6">
            <w:pPr>
              <w:jc w:val="center"/>
              <w:rPr>
                <w:rFonts w:ascii="Times New Roman" w:eastAsia="仿宋"/>
                <w:szCs w:val="21"/>
              </w:rPr>
            </w:pPr>
          </w:p>
        </w:tc>
        <w:tc>
          <w:tcPr>
            <w:tcW w:w="1877" w:type="pct"/>
            <w:gridSpan w:val="5"/>
            <w:vAlign w:val="center"/>
          </w:tcPr>
          <w:p w14:paraId="2294A236">
            <w:pPr>
              <w:jc w:val="center"/>
              <w:rPr>
                <w:rFonts w:ascii="Times New Roman" w:eastAsia="仿宋"/>
                <w:szCs w:val="21"/>
              </w:rPr>
            </w:pPr>
            <w:r>
              <w:rPr>
                <w:rFonts w:ascii="Times New Roman" w:eastAsia="仿宋"/>
                <w:szCs w:val="21"/>
              </w:rPr>
              <w:t xml:space="preserve">一级□；二级□；三级A□；三级B </w:t>
            </w:r>
            <w:r>
              <w:rPr>
                <w:rStyle w:val="152"/>
                <w:rFonts w:ascii="Times New Roman" w:eastAsia="仿宋"/>
                <w:sz w:val="21"/>
                <w:szCs w:val="21"/>
              </w:rPr>
              <w:t>√</w:t>
            </w:r>
          </w:p>
        </w:tc>
        <w:tc>
          <w:tcPr>
            <w:tcW w:w="1785" w:type="pct"/>
            <w:gridSpan w:val="6"/>
            <w:vAlign w:val="center"/>
          </w:tcPr>
          <w:p w14:paraId="56ACFFD5">
            <w:pPr>
              <w:jc w:val="center"/>
              <w:rPr>
                <w:rFonts w:ascii="Times New Roman" w:eastAsia="仿宋"/>
                <w:szCs w:val="21"/>
              </w:rPr>
            </w:pPr>
            <w:r>
              <w:rPr>
                <w:rFonts w:ascii="Times New Roman" w:eastAsia="仿宋"/>
                <w:szCs w:val="21"/>
              </w:rPr>
              <w:t>一级□；二级□；三级□</w:t>
            </w:r>
          </w:p>
        </w:tc>
      </w:tr>
      <w:tr w14:paraId="4C82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6B2A3933">
            <w:pPr>
              <w:jc w:val="center"/>
              <w:rPr>
                <w:rFonts w:ascii="Times New Roman" w:eastAsia="仿宋"/>
              </w:rPr>
            </w:pPr>
            <w:r>
              <w:rPr>
                <w:rFonts w:ascii="Times New Roman" w:eastAsia="仿宋"/>
              </w:rPr>
              <w:t>现状调查</w:t>
            </w:r>
          </w:p>
        </w:tc>
        <w:tc>
          <w:tcPr>
            <w:tcW w:w="900" w:type="pct"/>
            <w:vMerge w:val="restart"/>
            <w:vAlign w:val="center"/>
          </w:tcPr>
          <w:p w14:paraId="6C59AED3">
            <w:pPr>
              <w:jc w:val="center"/>
              <w:rPr>
                <w:rFonts w:ascii="Times New Roman" w:eastAsia="仿宋"/>
                <w:szCs w:val="21"/>
              </w:rPr>
            </w:pPr>
            <w:r>
              <w:rPr>
                <w:rFonts w:ascii="Times New Roman" w:eastAsia="仿宋"/>
                <w:szCs w:val="21"/>
              </w:rPr>
              <w:t>区域污染源</w:t>
            </w:r>
          </w:p>
        </w:tc>
        <w:tc>
          <w:tcPr>
            <w:tcW w:w="1877" w:type="pct"/>
            <w:gridSpan w:val="5"/>
            <w:vAlign w:val="center"/>
          </w:tcPr>
          <w:p w14:paraId="1076D957">
            <w:pPr>
              <w:jc w:val="center"/>
              <w:rPr>
                <w:rFonts w:ascii="Times New Roman" w:eastAsia="仿宋"/>
                <w:szCs w:val="21"/>
              </w:rPr>
            </w:pPr>
            <w:r>
              <w:rPr>
                <w:rFonts w:ascii="Times New Roman" w:eastAsia="仿宋"/>
                <w:szCs w:val="21"/>
              </w:rPr>
              <w:t>调查项目</w:t>
            </w:r>
          </w:p>
        </w:tc>
        <w:tc>
          <w:tcPr>
            <w:tcW w:w="1785" w:type="pct"/>
            <w:gridSpan w:val="6"/>
            <w:vAlign w:val="center"/>
          </w:tcPr>
          <w:p w14:paraId="5699CBD0">
            <w:pPr>
              <w:jc w:val="center"/>
              <w:rPr>
                <w:rFonts w:ascii="Times New Roman" w:eastAsia="仿宋"/>
                <w:szCs w:val="21"/>
              </w:rPr>
            </w:pPr>
            <w:r>
              <w:rPr>
                <w:rFonts w:ascii="Times New Roman" w:eastAsia="仿宋"/>
                <w:szCs w:val="21"/>
              </w:rPr>
              <w:t>数据来源</w:t>
            </w:r>
          </w:p>
        </w:tc>
      </w:tr>
      <w:tr w14:paraId="7757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6FD49C78">
            <w:pPr>
              <w:jc w:val="center"/>
              <w:rPr>
                <w:rFonts w:ascii="Times New Roman" w:eastAsia="仿宋"/>
              </w:rPr>
            </w:pPr>
          </w:p>
        </w:tc>
        <w:tc>
          <w:tcPr>
            <w:tcW w:w="900" w:type="pct"/>
            <w:vMerge w:val="continue"/>
            <w:vAlign w:val="center"/>
          </w:tcPr>
          <w:p w14:paraId="76FB54E2">
            <w:pPr>
              <w:jc w:val="center"/>
              <w:rPr>
                <w:rFonts w:ascii="Times New Roman" w:eastAsia="仿宋"/>
                <w:szCs w:val="21"/>
              </w:rPr>
            </w:pPr>
          </w:p>
        </w:tc>
        <w:tc>
          <w:tcPr>
            <w:tcW w:w="1092" w:type="pct"/>
            <w:gridSpan w:val="2"/>
            <w:vAlign w:val="center"/>
          </w:tcPr>
          <w:p w14:paraId="7FB80D33">
            <w:pPr>
              <w:jc w:val="center"/>
              <w:rPr>
                <w:rFonts w:ascii="Times New Roman" w:eastAsia="仿宋"/>
                <w:szCs w:val="21"/>
              </w:rPr>
            </w:pPr>
            <w:r>
              <w:rPr>
                <w:rFonts w:ascii="Times New Roman" w:eastAsia="仿宋"/>
                <w:szCs w:val="21"/>
              </w:rPr>
              <w:t>已建</w:t>
            </w:r>
            <w:r>
              <w:rPr>
                <w:rStyle w:val="152"/>
                <w:rFonts w:ascii="Times New Roman" w:eastAsia="仿宋"/>
                <w:sz w:val="21"/>
                <w:szCs w:val="21"/>
              </w:rPr>
              <w:t>√</w:t>
            </w:r>
            <w:r>
              <w:rPr>
                <w:rFonts w:ascii="Times New Roman" w:eastAsia="仿宋"/>
                <w:szCs w:val="21"/>
              </w:rPr>
              <w:t>；在建□；拟建□；其他□</w:t>
            </w:r>
          </w:p>
        </w:tc>
        <w:tc>
          <w:tcPr>
            <w:tcW w:w="785" w:type="pct"/>
            <w:gridSpan w:val="3"/>
            <w:vAlign w:val="center"/>
          </w:tcPr>
          <w:p w14:paraId="4665BAE7">
            <w:pPr>
              <w:jc w:val="center"/>
              <w:rPr>
                <w:rFonts w:ascii="Times New Roman" w:eastAsia="仿宋"/>
                <w:szCs w:val="21"/>
              </w:rPr>
            </w:pPr>
            <w:r>
              <w:rPr>
                <w:rFonts w:ascii="Times New Roman" w:eastAsia="仿宋"/>
                <w:szCs w:val="21"/>
              </w:rPr>
              <w:t>拟替代的污染源□</w:t>
            </w:r>
          </w:p>
        </w:tc>
        <w:tc>
          <w:tcPr>
            <w:tcW w:w="1785" w:type="pct"/>
            <w:gridSpan w:val="6"/>
            <w:vAlign w:val="center"/>
          </w:tcPr>
          <w:p w14:paraId="2C995EDE">
            <w:pPr>
              <w:rPr>
                <w:rFonts w:ascii="Times New Roman" w:eastAsia="仿宋"/>
                <w:szCs w:val="21"/>
              </w:rPr>
            </w:pPr>
            <w:r>
              <w:rPr>
                <w:rFonts w:ascii="Times New Roman" w:eastAsia="仿宋"/>
                <w:szCs w:val="21"/>
              </w:rPr>
              <w:t>排污许可证□；环评□；环保验收□；既有实测</w:t>
            </w:r>
            <w:r>
              <w:rPr>
                <w:rStyle w:val="152"/>
                <w:rFonts w:ascii="Times New Roman" w:eastAsia="仿宋"/>
                <w:sz w:val="21"/>
                <w:szCs w:val="21"/>
              </w:rPr>
              <w:t>√</w:t>
            </w:r>
            <w:r>
              <w:rPr>
                <w:rFonts w:ascii="Times New Roman" w:eastAsia="仿宋"/>
                <w:szCs w:val="21"/>
              </w:rPr>
              <w:t>；现场监测□；入河排放口数据□；其他□</w:t>
            </w:r>
          </w:p>
        </w:tc>
      </w:tr>
      <w:tr w14:paraId="1035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2D324C6">
            <w:pPr>
              <w:jc w:val="center"/>
              <w:rPr>
                <w:rFonts w:ascii="Times New Roman" w:eastAsia="仿宋"/>
              </w:rPr>
            </w:pPr>
          </w:p>
        </w:tc>
        <w:tc>
          <w:tcPr>
            <w:tcW w:w="900" w:type="pct"/>
            <w:vMerge w:val="restart"/>
            <w:vAlign w:val="center"/>
          </w:tcPr>
          <w:p w14:paraId="7CC2B835">
            <w:pPr>
              <w:jc w:val="center"/>
              <w:rPr>
                <w:rFonts w:ascii="Times New Roman" w:eastAsia="仿宋"/>
                <w:szCs w:val="21"/>
              </w:rPr>
            </w:pPr>
            <w:r>
              <w:rPr>
                <w:rFonts w:ascii="Times New Roman" w:eastAsia="仿宋"/>
                <w:szCs w:val="21"/>
              </w:rPr>
              <w:t>受影响水体水环境质量</w:t>
            </w:r>
          </w:p>
        </w:tc>
        <w:tc>
          <w:tcPr>
            <w:tcW w:w="1877" w:type="pct"/>
            <w:gridSpan w:val="5"/>
            <w:vAlign w:val="center"/>
          </w:tcPr>
          <w:p w14:paraId="35B8B679">
            <w:pPr>
              <w:jc w:val="center"/>
              <w:rPr>
                <w:rFonts w:ascii="Times New Roman" w:eastAsia="仿宋"/>
                <w:szCs w:val="21"/>
              </w:rPr>
            </w:pPr>
            <w:r>
              <w:rPr>
                <w:rFonts w:ascii="Times New Roman" w:eastAsia="仿宋"/>
                <w:szCs w:val="21"/>
              </w:rPr>
              <w:t>调查时期</w:t>
            </w:r>
          </w:p>
        </w:tc>
        <w:tc>
          <w:tcPr>
            <w:tcW w:w="1785" w:type="pct"/>
            <w:gridSpan w:val="6"/>
            <w:vAlign w:val="center"/>
          </w:tcPr>
          <w:p w14:paraId="0DF374FA">
            <w:pPr>
              <w:jc w:val="center"/>
              <w:rPr>
                <w:rFonts w:ascii="Times New Roman" w:eastAsia="仿宋"/>
                <w:szCs w:val="21"/>
              </w:rPr>
            </w:pPr>
            <w:r>
              <w:rPr>
                <w:rFonts w:ascii="Times New Roman" w:eastAsia="仿宋"/>
                <w:szCs w:val="21"/>
              </w:rPr>
              <w:t>数据来源</w:t>
            </w:r>
          </w:p>
        </w:tc>
      </w:tr>
      <w:tr w14:paraId="6B41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2478483B">
            <w:pPr>
              <w:jc w:val="center"/>
              <w:rPr>
                <w:rFonts w:ascii="Times New Roman" w:eastAsia="仿宋"/>
              </w:rPr>
            </w:pPr>
          </w:p>
        </w:tc>
        <w:tc>
          <w:tcPr>
            <w:tcW w:w="900" w:type="pct"/>
            <w:vMerge w:val="continue"/>
            <w:vAlign w:val="center"/>
          </w:tcPr>
          <w:p w14:paraId="69E69939">
            <w:pPr>
              <w:jc w:val="center"/>
              <w:rPr>
                <w:rFonts w:ascii="Times New Roman" w:eastAsia="仿宋"/>
                <w:szCs w:val="21"/>
              </w:rPr>
            </w:pPr>
          </w:p>
        </w:tc>
        <w:tc>
          <w:tcPr>
            <w:tcW w:w="1877" w:type="pct"/>
            <w:gridSpan w:val="5"/>
            <w:vAlign w:val="center"/>
          </w:tcPr>
          <w:p w14:paraId="42D58C6A">
            <w:pPr>
              <w:rPr>
                <w:rFonts w:ascii="Times New Roman" w:eastAsia="仿宋"/>
                <w:szCs w:val="21"/>
              </w:rPr>
            </w:pPr>
            <w:r>
              <w:rPr>
                <w:rFonts w:ascii="Times New Roman" w:eastAsia="仿宋"/>
                <w:szCs w:val="21"/>
              </w:rPr>
              <w:t>丰水期</w:t>
            </w:r>
            <w:r>
              <w:rPr>
                <w:rStyle w:val="152"/>
                <w:rFonts w:ascii="Times New Roman" w:eastAsia="仿宋"/>
                <w:sz w:val="21"/>
                <w:szCs w:val="21"/>
              </w:rPr>
              <w:t>√</w:t>
            </w:r>
            <w:r>
              <w:rPr>
                <w:rFonts w:ascii="Times New Roman" w:eastAsia="仿宋"/>
                <w:szCs w:val="21"/>
              </w:rPr>
              <w:t>；平水期□；枯水期□；冰封期□</w:t>
            </w:r>
          </w:p>
          <w:p w14:paraId="10055B0B">
            <w:pPr>
              <w:rPr>
                <w:rFonts w:ascii="Times New Roman" w:eastAsia="仿宋"/>
                <w:szCs w:val="21"/>
              </w:rPr>
            </w:pPr>
            <w:r>
              <w:rPr>
                <w:rFonts w:ascii="Times New Roman" w:eastAsia="仿宋"/>
                <w:szCs w:val="21"/>
              </w:rPr>
              <w:t>春季□；夏季</w:t>
            </w:r>
            <w:r>
              <w:rPr>
                <w:rStyle w:val="152"/>
                <w:rFonts w:ascii="Times New Roman" w:eastAsia="仿宋"/>
                <w:sz w:val="21"/>
                <w:szCs w:val="21"/>
              </w:rPr>
              <w:t>√</w:t>
            </w:r>
            <w:r>
              <w:rPr>
                <w:rFonts w:ascii="Times New Roman" w:eastAsia="仿宋"/>
                <w:szCs w:val="21"/>
              </w:rPr>
              <w:t>；秋季□；冬季□</w:t>
            </w:r>
          </w:p>
        </w:tc>
        <w:tc>
          <w:tcPr>
            <w:tcW w:w="1785" w:type="pct"/>
            <w:gridSpan w:val="6"/>
            <w:vAlign w:val="center"/>
          </w:tcPr>
          <w:p w14:paraId="06EE96EF">
            <w:pPr>
              <w:jc w:val="center"/>
              <w:rPr>
                <w:rFonts w:ascii="Times New Roman" w:eastAsia="仿宋"/>
                <w:szCs w:val="21"/>
              </w:rPr>
            </w:pPr>
            <w:r>
              <w:rPr>
                <w:rFonts w:ascii="Times New Roman" w:eastAsia="仿宋"/>
                <w:szCs w:val="21"/>
              </w:rPr>
              <w:t>生态环境保护主管部门□；补充监测□；其他</w:t>
            </w:r>
            <w:r>
              <w:rPr>
                <w:rStyle w:val="152"/>
                <w:rFonts w:ascii="Times New Roman" w:eastAsia="仿宋"/>
                <w:sz w:val="21"/>
                <w:szCs w:val="21"/>
              </w:rPr>
              <w:t>√</w:t>
            </w:r>
          </w:p>
        </w:tc>
      </w:tr>
      <w:tr w14:paraId="40BB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02A630D2">
            <w:pPr>
              <w:jc w:val="center"/>
              <w:rPr>
                <w:rFonts w:ascii="Times New Roman" w:eastAsia="仿宋"/>
              </w:rPr>
            </w:pPr>
          </w:p>
        </w:tc>
        <w:tc>
          <w:tcPr>
            <w:tcW w:w="900" w:type="pct"/>
            <w:vAlign w:val="center"/>
          </w:tcPr>
          <w:p w14:paraId="0134F741">
            <w:pPr>
              <w:jc w:val="center"/>
              <w:rPr>
                <w:rFonts w:ascii="Times New Roman" w:eastAsia="仿宋"/>
                <w:szCs w:val="21"/>
              </w:rPr>
            </w:pPr>
            <w:r>
              <w:rPr>
                <w:rFonts w:ascii="Times New Roman" w:eastAsia="仿宋"/>
                <w:szCs w:val="21"/>
              </w:rPr>
              <w:t>区域水资源开发利用状况</w:t>
            </w:r>
          </w:p>
        </w:tc>
        <w:tc>
          <w:tcPr>
            <w:tcW w:w="3662" w:type="pct"/>
            <w:gridSpan w:val="11"/>
            <w:vAlign w:val="center"/>
          </w:tcPr>
          <w:p w14:paraId="09E2DE2C">
            <w:pPr>
              <w:rPr>
                <w:rFonts w:ascii="Times New Roman" w:eastAsia="仿宋"/>
                <w:szCs w:val="21"/>
              </w:rPr>
            </w:pPr>
            <w:r>
              <w:rPr>
                <w:rFonts w:ascii="Times New Roman" w:eastAsia="仿宋"/>
                <w:szCs w:val="21"/>
              </w:rPr>
              <w:t>未开发□；开发量40%以下□；开发量40%以上□</w:t>
            </w:r>
          </w:p>
        </w:tc>
      </w:tr>
      <w:tr w14:paraId="30C5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02F03EEE">
            <w:pPr>
              <w:jc w:val="center"/>
              <w:rPr>
                <w:rFonts w:ascii="Times New Roman" w:eastAsia="仿宋"/>
              </w:rPr>
            </w:pPr>
          </w:p>
        </w:tc>
        <w:tc>
          <w:tcPr>
            <w:tcW w:w="900" w:type="pct"/>
            <w:vMerge w:val="restart"/>
            <w:vAlign w:val="center"/>
          </w:tcPr>
          <w:p w14:paraId="4892703F">
            <w:pPr>
              <w:jc w:val="center"/>
              <w:rPr>
                <w:rFonts w:ascii="Times New Roman" w:eastAsia="仿宋"/>
                <w:szCs w:val="21"/>
              </w:rPr>
            </w:pPr>
            <w:r>
              <w:rPr>
                <w:rFonts w:ascii="Times New Roman" w:eastAsia="仿宋"/>
                <w:szCs w:val="21"/>
              </w:rPr>
              <w:t>水文情势调查</w:t>
            </w:r>
          </w:p>
        </w:tc>
        <w:tc>
          <w:tcPr>
            <w:tcW w:w="1877" w:type="pct"/>
            <w:gridSpan w:val="5"/>
            <w:vAlign w:val="center"/>
          </w:tcPr>
          <w:p w14:paraId="78E35F1E">
            <w:pPr>
              <w:jc w:val="center"/>
              <w:rPr>
                <w:rFonts w:ascii="Times New Roman" w:eastAsia="仿宋"/>
                <w:szCs w:val="21"/>
              </w:rPr>
            </w:pPr>
            <w:r>
              <w:rPr>
                <w:rFonts w:ascii="Times New Roman" w:eastAsia="仿宋"/>
                <w:szCs w:val="21"/>
              </w:rPr>
              <w:t>调查时期</w:t>
            </w:r>
          </w:p>
        </w:tc>
        <w:tc>
          <w:tcPr>
            <w:tcW w:w="1785" w:type="pct"/>
            <w:gridSpan w:val="6"/>
            <w:vAlign w:val="center"/>
          </w:tcPr>
          <w:p w14:paraId="49184E12">
            <w:pPr>
              <w:jc w:val="center"/>
              <w:rPr>
                <w:rFonts w:ascii="Times New Roman" w:eastAsia="仿宋"/>
                <w:szCs w:val="21"/>
              </w:rPr>
            </w:pPr>
            <w:r>
              <w:rPr>
                <w:rFonts w:ascii="Times New Roman" w:eastAsia="仿宋"/>
                <w:szCs w:val="21"/>
              </w:rPr>
              <w:t>数据来源</w:t>
            </w:r>
          </w:p>
        </w:tc>
      </w:tr>
      <w:tr w14:paraId="1712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7077BCEA">
            <w:pPr>
              <w:jc w:val="center"/>
              <w:rPr>
                <w:rFonts w:ascii="Times New Roman" w:eastAsia="仿宋"/>
              </w:rPr>
            </w:pPr>
          </w:p>
        </w:tc>
        <w:tc>
          <w:tcPr>
            <w:tcW w:w="900" w:type="pct"/>
            <w:vMerge w:val="continue"/>
            <w:vAlign w:val="center"/>
          </w:tcPr>
          <w:p w14:paraId="6B9B1BD4">
            <w:pPr>
              <w:jc w:val="center"/>
              <w:rPr>
                <w:rFonts w:ascii="Times New Roman" w:eastAsia="仿宋"/>
                <w:szCs w:val="21"/>
              </w:rPr>
            </w:pPr>
          </w:p>
        </w:tc>
        <w:tc>
          <w:tcPr>
            <w:tcW w:w="1877" w:type="pct"/>
            <w:gridSpan w:val="5"/>
            <w:vAlign w:val="center"/>
          </w:tcPr>
          <w:p w14:paraId="569DD6EC">
            <w:pPr>
              <w:rPr>
                <w:rFonts w:ascii="Times New Roman" w:eastAsia="仿宋"/>
                <w:szCs w:val="21"/>
              </w:rPr>
            </w:pPr>
            <w:r>
              <w:rPr>
                <w:rFonts w:ascii="Times New Roman" w:eastAsia="仿宋"/>
                <w:szCs w:val="21"/>
              </w:rPr>
              <w:t>丰水期□；平水期□；枯水期□；冰封期□</w:t>
            </w:r>
          </w:p>
          <w:p w14:paraId="53FAC500">
            <w:pPr>
              <w:rPr>
                <w:rFonts w:ascii="Times New Roman" w:eastAsia="仿宋"/>
                <w:szCs w:val="21"/>
              </w:rPr>
            </w:pPr>
            <w:r>
              <w:rPr>
                <w:rFonts w:ascii="Times New Roman" w:eastAsia="仿宋"/>
                <w:szCs w:val="21"/>
              </w:rPr>
              <w:t>春季□；夏季□；秋季□；冬季□</w:t>
            </w:r>
          </w:p>
        </w:tc>
        <w:tc>
          <w:tcPr>
            <w:tcW w:w="1785" w:type="pct"/>
            <w:gridSpan w:val="6"/>
            <w:vAlign w:val="center"/>
          </w:tcPr>
          <w:p w14:paraId="3DCCC357">
            <w:pPr>
              <w:jc w:val="center"/>
              <w:rPr>
                <w:rFonts w:ascii="Times New Roman" w:eastAsia="仿宋"/>
                <w:szCs w:val="21"/>
              </w:rPr>
            </w:pPr>
            <w:r>
              <w:rPr>
                <w:rFonts w:ascii="Times New Roman" w:eastAsia="仿宋"/>
                <w:szCs w:val="21"/>
              </w:rPr>
              <w:t>水行政主管部门□；补充监测□；其他</w:t>
            </w:r>
            <w:r>
              <w:rPr>
                <w:rStyle w:val="152"/>
                <w:rFonts w:ascii="Times New Roman" w:eastAsia="仿宋"/>
                <w:sz w:val="21"/>
                <w:szCs w:val="21"/>
              </w:rPr>
              <w:t>√</w:t>
            </w:r>
          </w:p>
        </w:tc>
      </w:tr>
      <w:tr w14:paraId="6DCC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1E08F663">
            <w:pPr>
              <w:jc w:val="center"/>
              <w:rPr>
                <w:rFonts w:ascii="Times New Roman" w:eastAsia="仿宋"/>
              </w:rPr>
            </w:pPr>
          </w:p>
        </w:tc>
        <w:tc>
          <w:tcPr>
            <w:tcW w:w="900" w:type="pct"/>
            <w:vMerge w:val="restart"/>
            <w:vAlign w:val="center"/>
          </w:tcPr>
          <w:p w14:paraId="2AE4CA3B">
            <w:pPr>
              <w:jc w:val="center"/>
              <w:rPr>
                <w:rFonts w:ascii="Times New Roman" w:eastAsia="仿宋"/>
                <w:szCs w:val="21"/>
              </w:rPr>
            </w:pPr>
            <w:r>
              <w:rPr>
                <w:rFonts w:ascii="Times New Roman" w:eastAsia="仿宋"/>
                <w:szCs w:val="21"/>
              </w:rPr>
              <w:t>补充监测</w:t>
            </w:r>
          </w:p>
        </w:tc>
        <w:tc>
          <w:tcPr>
            <w:tcW w:w="1877" w:type="pct"/>
            <w:gridSpan w:val="5"/>
            <w:vAlign w:val="center"/>
          </w:tcPr>
          <w:p w14:paraId="20DEB16A">
            <w:pPr>
              <w:jc w:val="center"/>
              <w:rPr>
                <w:rFonts w:ascii="Times New Roman" w:eastAsia="仿宋"/>
                <w:szCs w:val="21"/>
              </w:rPr>
            </w:pPr>
            <w:r>
              <w:rPr>
                <w:rFonts w:ascii="Times New Roman" w:eastAsia="仿宋"/>
                <w:szCs w:val="21"/>
              </w:rPr>
              <w:t>监测时期</w:t>
            </w:r>
          </w:p>
        </w:tc>
        <w:tc>
          <w:tcPr>
            <w:tcW w:w="823" w:type="pct"/>
            <w:gridSpan w:val="3"/>
            <w:vAlign w:val="center"/>
          </w:tcPr>
          <w:p w14:paraId="66BBE6D4">
            <w:pPr>
              <w:jc w:val="center"/>
              <w:rPr>
                <w:rFonts w:ascii="Times New Roman" w:eastAsia="仿宋"/>
                <w:szCs w:val="21"/>
              </w:rPr>
            </w:pPr>
            <w:r>
              <w:rPr>
                <w:rFonts w:ascii="Times New Roman" w:eastAsia="仿宋"/>
                <w:szCs w:val="21"/>
              </w:rPr>
              <w:t>监测因子</w:t>
            </w:r>
          </w:p>
        </w:tc>
        <w:tc>
          <w:tcPr>
            <w:tcW w:w="962" w:type="pct"/>
            <w:gridSpan w:val="3"/>
            <w:vAlign w:val="center"/>
          </w:tcPr>
          <w:p w14:paraId="31C6AC09">
            <w:pPr>
              <w:jc w:val="center"/>
              <w:rPr>
                <w:rFonts w:ascii="Times New Roman" w:eastAsia="仿宋"/>
                <w:szCs w:val="21"/>
              </w:rPr>
            </w:pPr>
            <w:r>
              <w:rPr>
                <w:rFonts w:ascii="Times New Roman" w:eastAsia="仿宋"/>
                <w:szCs w:val="21"/>
              </w:rPr>
              <w:t>监测断面或点位</w:t>
            </w:r>
          </w:p>
        </w:tc>
      </w:tr>
      <w:tr w14:paraId="4993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36D8B28C">
            <w:pPr>
              <w:jc w:val="center"/>
              <w:rPr>
                <w:rFonts w:ascii="Times New Roman" w:eastAsia="仿宋"/>
              </w:rPr>
            </w:pPr>
          </w:p>
        </w:tc>
        <w:tc>
          <w:tcPr>
            <w:tcW w:w="900" w:type="pct"/>
            <w:vMerge w:val="continue"/>
            <w:vAlign w:val="center"/>
          </w:tcPr>
          <w:p w14:paraId="4D6C9738">
            <w:pPr>
              <w:jc w:val="center"/>
              <w:rPr>
                <w:rFonts w:ascii="Times New Roman" w:eastAsia="仿宋"/>
                <w:szCs w:val="21"/>
              </w:rPr>
            </w:pPr>
          </w:p>
        </w:tc>
        <w:tc>
          <w:tcPr>
            <w:tcW w:w="1877" w:type="pct"/>
            <w:gridSpan w:val="5"/>
            <w:vAlign w:val="center"/>
          </w:tcPr>
          <w:p w14:paraId="5D544B91">
            <w:pPr>
              <w:rPr>
                <w:rFonts w:ascii="Times New Roman" w:eastAsia="仿宋"/>
                <w:szCs w:val="21"/>
              </w:rPr>
            </w:pPr>
            <w:r>
              <w:rPr>
                <w:rFonts w:ascii="Times New Roman" w:eastAsia="仿宋"/>
                <w:szCs w:val="21"/>
              </w:rPr>
              <w:t>丰水期□；平水期□；枯水期□；冰封期□</w:t>
            </w:r>
          </w:p>
          <w:p w14:paraId="3A5392B6">
            <w:pPr>
              <w:rPr>
                <w:rFonts w:ascii="Times New Roman" w:eastAsia="仿宋"/>
                <w:szCs w:val="21"/>
              </w:rPr>
            </w:pPr>
            <w:r>
              <w:rPr>
                <w:rFonts w:ascii="Times New Roman" w:eastAsia="仿宋"/>
                <w:szCs w:val="21"/>
              </w:rPr>
              <w:t>春季□；夏季□；秋季□；冬季□</w:t>
            </w:r>
          </w:p>
        </w:tc>
        <w:tc>
          <w:tcPr>
            <w:tcW w:w="823" w:type="pct"/>
            <w:gridSpan w:val="3"/>
            <w:vAlign w:val="center"/>
          </w:tcPr>
          <w:p w14:paraId="13AAE3AF">
            <w:pPr>
              <w:jc w:val="center"/>
              <w:rPr>
                <w:rFonts w:ascii="Times New Roman" w:eastAsia="仿宋"/>
                <w:szCs w:val="21"/>
              </w:rPr>
            </w:pPr>
            <w:r>
              <w:rPr>
                <w:rFonts w:ascii="Times New Roman" w:eastAsia="仿宋"/>
                <w:szCs w:val="21"/>
              </w:rPr>
              <w:t>pH、COD、NH</w:t>
            </w:r>
            <w:r>
              <w:rPr>
                <w:rFonts w:ascii="Times New Roman" w:eastAsia="仿宋"/>
                <w:szCs w:val="21"/>
                <w:vertAlign w:val="subscript"/>
              </w:rPr>
              <w:t>3</w:t>
            </w:r>
            <w:r>
              <w:rPr>
                <w:rFonts w:ascii="Times New Roman" w:eastAsia="仿宋"/>
                <w:szCs w:val="21"/>
              </w:rPr>
              <w:t>-N、TP</w:t>
            </w:r>
          </w:p>
        </w:tc>
        <w:tc>
          <w:tcPr>
            <w:tcW w:w="962" w:type="pct"/>
            <w:gridSpan w:val="3"/>
            <w:vAlign w:val="center"/>
          </w:tcPr>
          <w:p w14:paraId="19702576">
            <w:pPr>
              <w:jc w:val="center"/>
              <w:rPr>
                <w:rFonts w:ascii="Times New Roman" w:eastAsia="仿宋"/>
                <w:szCs w:val="21"/>
              </w:rPr>
            </w:pPr>
            <w:r>
              <w:rPr>
                <w:rFonts w:ascii="Times New Roman" w:eastAsia="仿宋"/>
                <w:szCs w:val="21"/>
              </w:rPr>
              <w:t>监测断面或点位个数（</w:t>
            </w:r>
            <w:r>
              <w:rPr>
                <w:rFonts w:hint="eastAsia" w:ascii="Times New Roman" w:eastAsia="仿宋"/>
                <w:szCs w:val="21"/>
              </w:rPr>
              <w:t>2</w:t>
            </w:r>
            <w:r>
              <w:rPr>
                <w:rFonts w:ascii="Times New Roman" w:eastAsia="仿宋"/>
                <w:szCs w:val="21"/>
              </w:rPr>
              <w:t>）个</w:t>
            </w:r>
          </w:p>
        </w:tc>
      </w:tr>
      <w:tr w14:paraId="41B1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7A24784F">
            <w:pPr>
              <w:jc w:val="center"/>
              <w:rPr>
                <w:rFonts w:ascii="Times New Roman" w:eastAsia="仿宋"/>
              </w:rPr>
            </w:pPr>
            <w:r>
              <w:rPr>
                <w:rFonts w:ascii="Times New Roman" w:eastAsia="仿宋"/>
              </w:rPr>
              <w:t>现状评价</w:t>
            </w:r>
          </w:p>
        </w:tc>
        <w:tc>
          <w:tcPr>
            <w:tcW w:w="900" w:type="pct"/>
            <w:vAlign w:val="center"/>
          </w:tcPr>
          <w:p w14:paraId="13FBFF39">
            <w:pPr>
              <w:jc w:val="center"/>
              <w:rPr>
                <w:rFonts w:ascii="Times New Roman" w:eastAsia="仿宋"/>
                <w:szCs w:val="21"/>
              </w:rPr>
            </w:pPr>
            <w:r>
              <w:rPr>
                <w:rFonts w:ascii="Times New Roman" w:eastAsia="仿宋"/>
                <w:szCs w:val="21"/>
              </w:rPr>
              <w:t>评价范围</w:t>
            </w:r>
          </w:p>
        </w:tc>
        <w:tc>
          <w:tcPr>
            <w:tcW w:w="3662" w:type="pct"/>
            <w:gridSpan w:val="11"/>
            <w:vAlign w:val="center"/>
          </w:tcPr>
          <w:p w14:paraId="778FC869">
            <w:pPr>
              <w:rPr>
                <w:rFonts w:ascii="Times New Roman" w:eastAsia="仿宋"/>
                <w:szCs w:val="21"/>
              </w:rPr>
            </w:pPr>
            <w:r>
              <w:rPr>
                <w:rFonts w:ascii="Times New Roman" w:eastAsia="仿宋"/>
                <w:szCs w:val="21"/>
              </w:rPr>
              <w:t>河流：长度（10）km；湖库、河口及近岸海域：面积（）km</w:t>
            </w:r>
            <w:r>
              <w:rPr>
                <w:rFonts w:ascii="Times New Roman" w:eastAsia="仿宋"/>
                <w:szCs w:val="21"/>
                <w:vertAlign w:val="superscript"/>
              </w:rPr>
              <w:t>2</w:t>
            </w:r>
          </w:p>
        </w:tc>
      </w:tr>
      <w:tr w14:paraId="57FC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0B25AF3B">
            <w:pPr>
              <w:jc w:val="center"/>
              <w:rPr>
                <w:rFonts w:ascii="Times New Roman" w:eastAsia="仿宋"/>
              </w:rPr>
            </w:pPr>
          </w:p>
        </w:tc>
        <w:tc>
          <w:tcPr>
            <w:tcW w:w="900" w:type="pct"/>
            <w:vAlign w:val="center"/>
          </w:tcPr>
          <w:p w14:paraId="026A157F">
            <w:pPr>
              <w:jc w:val="center"/>
              <w:rPr>
                <w:rFonts w:ascii="Times New Roman" w:eastAsia="仿宋"/>
                <w:szCs w:val="21"/>
              </w:rPr>
            </w:pPr>
            <w:r>
              <w:rPr>
                <w:rFonts w:ascii="Times New Roman" w:eastAsia="仿宋"/>
                <w:szCs w:val="21"/>
              </w:rPr>
              <w:t>评价因子</w:t>
            </w:r>
          </w:p>
        </w:tc>
        <w:tc>
          <w:tcPr>
            <w:tcW w:w="3662" w:type="pct"/>
            <w:gridSpan w:val="11"/>
            <w:vAlign w:val="center"/>
          </w:tcPr>
          <w:p w14:paraId="3D835F8C">
            <w:pPr>
              <w:rPr>
                <w:rFonts w:ascii="Times New Roman" w:eastAsia="仿宋"/>
                <w:szCs w:val="21"/>
              </w:rPr>
            </w:pPr>
            <w:r>
              <w:rPr>
                <w:rFonts w:ascii="Times New Roman" w:eastAsia="仿宋"/>
                <w:szCs w:val="21"/>
              </w:rPr>
              <w:t>（pH、高锰酸盐指数、化学需氧量、氨氮、总磷）</w:t>
            </w:r>
          </w:p>
        </w:tc>
      </w:tr>
      <w:tr w14:paraId="7F6B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1345A02">
            <w:pPr>
              <w:jc w:val="center"/>
              <w:rPr>
                <w:rFonts w:ascii="Times New Roman" w:eastAsia="仿宋"/>
              </w:rPr>
            </w:pPr>
          </w:p>
        </w:tc>
        <w:tc>
          <w:tcPr>
            <w:tcW w:w="900" w:type="pct"/>
            <w:vAlign w:val="center"/>
          </w:tcPr>
          <w:p w14:paraId="6E7294E0">
            <w:pPr>
              <w:jc w:val="center"/>
              <w:rPr>
                <w:rFonts w:ascii="Times New Roman" w:eastAsia="仿宋"/>
                <w:szCs w:val="21"/>
              </w:rPr>
            </w:pPr>
            <w:r>
              <w:rPr>
                <w:rFonts w:ascii="Times New Roman" w:eastAsia="仿宋"/>
                <w:szCs w:val="21"/>
              </w:rPr>
              <w:t>评价标准</w:t>
            </w:r>
          </w:p>
        </w:tc>
        <w:tc>
          <w:tcPr>
            <w:tcW w:w="3662" w:type="pct"/>
            <w:gridSpan w:val="11"/>
            <w:vAlign w:val="center"/>
          </w:tcPr>
          <w:p w14:paraId="0ED6C02F">
            <w:pPr>
              <w:rPr>
                <w:rFonts w:ascii="Times New Roman" w:eastAsia="仿宋"/>
                <w:szCs w:val="21"/>
              </w:rPr>
            </w:pPr>
            <w:r>
              <w:rPr>
                <w:rFonts w:ascii="Times New Roman" w:eastAsia="仿宋"/>
                <w:szCs w:val="21"/>
              </w:rPr>
              <w:t>河流、湖库、河口：Ⅰ类□；Ⅱ类</w:t>
            </w:r>
            <w:r>
              <w:rPr>
                <w:rStyle w:val="152"/>
                <w:rFonts w:ascii="Times New Roman" w:eastAsia="仿宋"/>
                <w:sz w:val="21"/>
                <w:szCs w:val="21"/>
              </w:rPr>
              <w:t>√</w:t>
            </w:r>
            <w:r>
              <w:rPr>
                <w:rFonts w:ascii="Times New Roman" w:eastAsia="仿宋"/>
                <w:szCs w:val="21"/>
              </w:rPr>
              <w:t>；Ⅲ类□；Ⅳ类□；Ⅴ类□</w:t>
            </w:r>
          </w:p>
          <w:p w14:paraId="4DD189D5">
            <w:pPr>
              <w:rPr>
                <w:rFonts w:ascii="Times New Roman" w:eastAsia="仿宋"/>
                <w:szCs w:val="21"/>
              </w:rPr>
            </w:pPr>
            <w:r>
              <w:rPr>
                <w:rFonts w:ascii="Times New Roman" w:eastAsia="仿宋"/>
                <w:szCs w:val="21"/>
              </w:rPr>
              <w:t>近岸海域：第一类□；第二类□；第三类□；第四类□</w:t>
            </w:r>
          </w:p>
          <w:p w14:paraId="5141760C">
            <w:pPr>
              <w:rPr>
                <w:rFonts w:ascii="Times New Roman" w:eastAsia="仿宋"/>
                <w:szCs w:val="21"/>
              </w:rPr>
            </w:pPr>
            <w:r>
              <w:rPr>
                <w:rFonts w:ascii="Times New Roman" w:eastAsia="仿宋"/>
                <w:szCs w:val="21"/>
              </w:rPr>
              <w:t>规划年评价标准：（《地表水环境质量标准》）</w:t>
            </w:r>
          </w:p>
        </w:tc>
      </w:tr>
      <w:tr w14:paraId="3B2B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4ED9E7D">
            <w:pPr>
              <w:jc w:val="center"/>
              <w:rPr>
                <w:rFonts w:ascii="Times New Roman" w:eastAsia="仿宋"/>
              </w:rPr>
            </w:pPr>
          </w:p>
        </w:tc>
        <w:tc>
          <w:tcPr>
            <w:tcW w:w="900" w:type="pct"/>
            <w:vAlign w:val="center"/>
          </w:tcPr>
          <w:p w14:paraId="5036F149">
            <w:pPr>
              <w:jc w:val="center"/>
              <w:rPr>
                <w:rFonts w:ascii="Times New Roman" w:eastAsia="仿宋"/>
                <w:szCs w:val="21"/>
              </w:rPr>
            </w:pPr>
            <w:r>
              <w:rPr>
                <w:rFonts w:ascii="Times New Roman" w:eastAsia="仿宋"/>
                <w:szCs w:val="21"/>
              </w:rPr>
              <w:t>评价时期</w:t>
            </w:r>
          </w:p>
        </w:tc>
        <w:tc>
          <w:tcPr>
            <w:tcW w:w="3662" w:type="pct"/>
            <w:gridSpan w:val="11"/>
            <w:vAlign w:val="center"/>
          </w:tcPr>
          <w:p w14:paraId="471D418D">
            <w:pPr>
              <w:rPr>
                <w:rFonts w:ascii="Times New Roman" w:eastAsia="仿宋"/>
                <w:szCs w:val="21"/>
              </w:rPr>
            </w:pPr>
            <w:r>
              <w:rPr>
                <w:rFonts w:ascii="Times New Roman" w:eastAsia="仿宋"/>
                <w:szCs w:val="21"/>
              </w:rPr>
              <w:t>丰水期</w:t>
            </w:r>
            <w:r>
              <w:rPr>
                <w:rStyle w:val="152"/>
                <w:rFonts w:ascii="Times New Roman" w:eastAsia="仿宋"/>
                <w:sz w:val="21"/>
                <w:szCs w:val="21"/>
              </w:rPr>
              <w:t>√</w:t>
            </w:r>
            <w:r>
              <w:rPr>
                <w:rFonts w:ascii="Times New Roman" w:eastAsia="仿宋"/>
                <w:szCs w:val="21"/>
              </w:rPr>
              <w:t>；平水期□；枯水期□；冰封期□</w:t>
            </w:r>
          </w:p>
          <w:p w14:paraId="7D6E16BD">
            <w:pPr>
              <w:rPr>
                <w:rFonts w:ascii="Times New Roman" w:eastAsia="仿宋"/>
                <w:szCs w:val="21"/>
              </w:rPr>
            </w:pPr>
            <w:r>
              <w:rPr>
                <w:rFonts w:ascii="Times New Roman" w:eastAsia="仿宋"/>
                <w:szCs w:val="21"/>
              </w:rPr>
              <w:t>春季□；夏季</w:t>
            </w:r>
            <w:r>
              <w:rPr>
                <w:rStyle w:val="152"/>
                <w:rFonts w:ascii="Times New Roman" w:eastAsia="仿宋"/>
                <w:sz w:val="21"/>
                <w:szCs w:val="21"/>
              </w:rPr>
              <w:t>√</w:t>
            </w:r>
            <w:r>
              <w:rPr>
                <w:rFonts w:ascii="Times New Roman" w:eastAsia="仿宋"/>
                <w:szCs w:val="21"/>
              </w:rPr>
              <w:t>；秋季□；冬季□</w:t>
            </w:r>
          </w:p>
        </w:tc>
      </w:tr>
      <w:tr w14:paraId="3A9D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5D901A06">
            <w:pPr>
              <w:jc w:val="center"/>
              <w:rPr>
                <w:rFonts w:ascii="Times New Roman" w:eastAsia="仿宋"/>
              </w:rPr>
            </w:pPr>
          </w:p>
        </w:tc>
        <w:tc>
          <w:tcPr>
            <w:tcW w:w="900" w:type="pct"/>
            <w:vAlign w:val="center"/>
          </w:tcPr>
          <w:p w14:paraId="16E8D714">
            <w:pPr>
              <w:jc w:val="center"/>
              <w:rPr>
                <w:rFonts w:ascii="Times New Roman" w:eastAsia="仿宋"/>
                <w:szCs w:val="21"/>
              </w:rPr>
            </w:pPr>
            <w:r>
              <w:rPr>
                <w:rFonts w:ascii="Times New Roman" w:eastAsia="仿宋"/>
                <w:szCs w:val="21"/>
              </w:rPr>
              <w:t>评价结论</w:t>
            </w:r>
          </w:p>
        </w:tc>
        <w:tc>
          <w:tcPr>
            <w:tcW w:w="3081" w:type="pct"/>
            <w:gridSpan w:val="10"/>
            <w:vAlign w:val="center"/>
          </w:tcPr>
          <w:p w14:paraId="389EC1A0">
            <w:pPr>
              <w:rPr>
                <w:rFonts w:ascii="Times New Roman" w:eastAsia="仿宋"/>
                <w:szCs w:val="21"/>
              </w:rPr>
            </w:pPr>
            <w:r>
              <w:rPr>
                <w:rFonts w:ascii="Times New Roman" w:eastAsia="仿宋"/>
                <w:szCs w:val="21"/>
              </w:rPr>
              <w:t>水环境功能区或水功能区、近岸海域环境功能区水质达标状况：达标□；不达标□</w:t>
            </w:r>
          </w:p>
          <w:p w14:paraId="0743DB4F">
            <w:pPr>
              <w:rPr>
                <w:rFonts w:ascii="Times New Roman" w:eastAsia="仿宋"/>
                <w:szCs w:val="21"/>
              </w:rPr>
            </w:pPr>
            <w:r>
              <w:rPr>
                <w:rFonts w:ascii="Times New Roman" w:eastAsia="仿宋"/>
                <w:szCs w:val="21"/>
              </w:rPr>
              <w:t>水环境控制单元或断面水质达标状况：达标□；不达标□</w:t>
            </w:r>
          </w:p>
          <w:p w14:paraId="62C391FE">
            <w:pPr>
              <w:rPr>
                <w:rFonts w:ascii="Times New Roman" w:eastAsia="仿宋"/>
                <w:szCs w:val="21"/>
              </w:rPr>
            </w:pPr>
            <w:r>
              <w:rPr>
                <w:rFonts w:ascii="Times New Roman" w:eastAsia="仿宋"/>
                <w:szCs w:val="21"/>
              </w:rPr>
              <w:t>水环境保护目标质量状况：达标</w:t>
            </w:r>
            <w:r>
              <w:rPr>
                <w:rStyle w:val="152"/>
                <w:rFonts w:ascii="Times New Roman" w:eastAsia="仿宋"/>
                <w:sz w:val="21"/>
                <w:szCs w:val="21"/>
              </w:rPr>
              <w:t>√</w:t>
            </w:r>
            <w:r>
              <w:rPr>
                <w:rFonts w:ascii="Times New Roman" w:eastAsia="仿宋"/>
                <w:szCs w:val="21"/>
              </w:rPr>
              <w:t>；不达标□</w:t>
            </w:r>
          </w:p>
          <w:p w14:paraId="70FCF677">
            <w:pPr>
              <w:rPr>
                <w:rFonts w:ascii="Times New Roman" w:eastAsia="仿宋"/>
                <w:szCs w:val="21"/>
              </w:rPr>
            </w:pPr>
            <w:r>
              <w:rPr>
                <w:rFonts w:ascii="Times New Roman" w:eastAsia="仿宋"/>
                <w:szCs w:val="21"/>
              </w:rPr>
              <w:t>对照断面、控制断面等代表性断面的水质状况：达标□；不达标□</w:t>
            </w:r>
          </w:p>
          <w:p w14:paraId="236FC492">
            <w:pPr>
              <w:rPr>
                <w:rFonts w:ascii="Times New Roman" w:eastAsia="仿宋"/>
                <w:szCs w:val="21"/>
              </w:rPr>
            </w:pPr>
            <w:r>
              <w:rPr>
                <w:rFonts w:ascii="Times New Roman" w:eastAsia="仿宋"/>
                <w:szCs w:val="21"/>
              </w:rPr>
              <w:t>底泥污染评价□</w:t>
            </w:r>
          </w:p>
          <w:p w14:paraId="56D40012">
            <w:pPr>
              <w:rPr>
                <w:rFonts w:ascii="Times New Roman" w:eastAsia="仿宋"/>
                <w:szCs w:val="21"/>
              </w:rPr>
            </w:pPr>
            <w:r>
              <w:rPr>
                <w:rFonts w:ascii="Times New Roman" w:eastAsia="仿宋"/>
                <w:szCs w:val="21"/>
              </w:rPr>
              <w:t>水资源与开发利用程度及其水文情势评价□</w:t>
            </w:r>
          </w:p>
          <w:p w14:paraId="6D6BE435">
            <w:pPr>
              <w:rPr>
                <w:rFonts w:ascii="Times New Roman" w:eastAsia="仿宋"/>
                <w:szCs w:val="21"/>
              </w:rPr>
            </w:pPr>
            <w:r>
              <w:rPr>
                <w:rFonts w:ascii="Times New Roman" w:eastAsia="仿宋"/>
                <w:szCs w:val="21"/>
              </w:rPr>
              <w:t>水环境质量回顾评价□</w:t>
            </w:r>
          </w:p>
          <w:p w14:paraId="3FD51848">
            <w:pPr>
              <w:rPr>
                <w:rFonts w:ascii="Times New Roman" w:eastAsia="仿宋"/>
                <w:szCs w:val="21"/>
              </w:rPr>
            </w:pPr>
            <w:r>
              <w:rPr>
                <w:rFonts w:ascii="Times New Roman" w:eastAsia="仿宋"/>
                <w:szCs w:val="21"/>
              </w:rPr>
              <w:t>流域（区域）水资源（包括水能资源）与开发利用总体状况、生态流量管理要求与现状满足程度、建设项目占用水域空间的水流状况与河流演变状况□</w:t>
            </w:r>
          </w:p>
        </w:tc>
        <w:tc>
          <w:tcPr>
            <w:tcW w:w="581" w:type="pct"/>
            <w:vAlign w:val="center"/>
          </w:tcPr>
          <w:p w14:paraId="732402C6">
            <w:pPr>
              <w:rPr>
                <w:rFonts w:ascii="Times New Roman" w:eastAsia="仿宋"/>
                <w:szCs w:val="21"/>
              </w:rPr>
            </w:pPr>
            <w:r>
              <w:rPr>
                <w:rFonts w:ascii="Times New Roman" w:eastAsia="仿宋"/>
                <w:szCs w:val="21"/>
              </w:rPr>
              <w:t>达标区</w:t>
            </w:r>
            <w:r>
              <w:rPr>
                <w:rStyle w:val="152"/>
                <w:rFonts w:ascii="Times New Roman" w:eastAsia="仿宋"/>
                <w:sz w:val="21"/>
                <w:szCs w:val="21"/>
              </w:rPr>
              <w:t>√</w:t>
            </w:r>
          </w:p>
          <w:p w14:paraId="42A112BB">
            <w:pPr>
              <w:rPr>
                <w:rFonts w:ascii="Times New Roman" w:eastAsia="仿宋"/>
                <w:szCs w:val="21"/>
              </w:rPr>
            </w:pPr>
            <w:r>
              <w:rPr>
                <w:rFonts w:ascii="Times New Roman" w:eastAsia="仿宋"/>
                <w:szCs w:val="21"/>
              </w:rPr>
              <w:t>不达标区□</w:t>
            </w:r>
          </w:p>
        </w:tc>
      </w:tr>
      <w:tr w14:paraId="31CB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1BEA4F0B">
            <w:pPr>
              <w:jc w:val="center"/>
              <w:rPr>
                <w:rFonts w:ascii="Times New Roman" w:eastAsia="仿宋"/>
              </w:rPr>
            </w:pPr>
            <w:r>
              <w:rPr>
                <w:rFonts w:ascii="Times New Roman" w:eastAsia="仿宋"/>
              </w:rPr>
              <w:t>影响预测</w:t>
            </w:r>
          </w:p>
        </w:tc>
        <w:tc>
          <w:tcPr>
            <w:tcW w:w="900" w:type="pct"/>
            <w:vAlign w:val="center"/>
          </w:tcPr>
          <w:p w14:paraId="69EABFFD">
            <w:pPr>
              <w:jc w:val="center"/>
              <w:rPr>
                <w:rFonts w:ascii="Times New Roman" w:eastAsia="仿宋"/>
                <w:szCs w:val="21"/>
              </w:rPr>
            </w:pPr>
            <w:r>
              <w:rPr>
                <w:rFonts w:ascii="Times New Roman" w:eastAsia="仿宋"/>
                <w:szCs w:val="21"/>
              </w:rPr>
              <w:t>预测范围</w:t>
            </w:r>
          </w:p>
        </w:tc>
        <w:tc>
          <w:tcPr>
            <w:tcW w:w="3662" w:type="pct"/>
            <w:gridSpan w:val="11"/>
            <w:vAlign w:val="center"/>
          </w:tcPr>
          <w:p w14:paraId="5CACBEEA">
            <w:pPr>
              <w:rPr>
                <w:rFonts w:ascii="Times New Roman" w:eastAsia="仿宋"/>
                <w:szCs w:val="21"/>
              </w:rPr>
            </w:pPr>
            <w:r>
              <w:rPr>
                <w:rFonts w:ascii="Times New Roman" w:eastAsia="仿宋"/>
                <w:szCs w:val="21"/>
              </w:rPr>
              <w:t>河流：长度（）km；湖库、河口及近岸海域：面积（）km</w:t>
            </w:r>
            <w:r>
              <w:rPr>
                <w:rFonts w:ascii="Times New Roman" w:eastAsia="仿宋"/>
                <w:szCs w:val="21"/>
                <w:vertAlign w:val="superscript"/>
              </w:rPr>
              <w:t>2</w:t>
            </w:r>
          </w:p>
        </w:tc>
      </w:tr>
      <w:tr w14:paraId="0D87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764BBB2B">
            <w:pPr>
              <w:jc w:val="center"/>
              <w:rPr>
                <w:rFonts w:ascii="Times New Roman" w:eastAsia="仿宋"/>
              </w:rPr>
            </w:pPr>
          </w:p>
        </w:tc>
        <w:tc>
          <w:tcPr>
            <w:tcW w:w="900" w:type="pct"/>
            <w:vAlign w:val="center"/>
          </w:tcPr>
          <w:p w14:paraId="684A5BCA">
            <w:pPr>
              <w:jc w:val="center"/>
              <w:rPr>
                <w:rFonts w:ascii="Times New Roman" w:eastAsia="仿宋"/>
                <w:szCs w:val="21"/>
              </w:rPr>
            </w:pPr>
            <w:r>
              <w:rPr>
                <w:rFonts w:ascii="Times New Roman" w:eastAsia="仿宋"/>
                <w:szCs w:val="21"/>
              </w:rPr>
              <w:t>预测因子</w:t>
            </w:r>
          </w:p>
        </w:tc>
        <w:tc>
          <w:tcPr>
            <w:tcW w:w="3662" w:type="pct"/>
            <w:gridSpan w:val="11"/>
            <w:vAlign w:val="center"/>
          </w:tcPr>
          <w:p w14:paraId="2D66B03B">
            <w:pPr>
              <w:rPr>
                <w:rFonts w:ascii="Times New Roman" w:eastAsia="仿宋"/>
                <w:szCs w:val="21"/>
              </w:rPr>
            </w:pPr>
            <w:r>
              <w:rPr>
                <w:rFonts w:ascii="Times New Roman" w:eastAsia="仿宋"/>
                <w:szCs w:val="21"/>
              </w:rPr>
              <w:t>（）</w:t>
            </w:r>
          </w:p>
        </w:tc>
      </w:tr>
      <w:tr w14:paraId="35B8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13064A70">
            <w:pPr>
              <w:jc w:val="center"/>
              <w:rPr>
                <w:rFonts w:ascii="Times New Roman" w:eastAsia="仿宋"/>
              </w:rPr>
            </w:pPr>
          </w:p>
        </w:tc>
        <w:tc>
          <w:tcPr>
            <w:tcW w:w="900" w:type="pct"/>
            <w:vAlign w:val="center"/>
          </w:tcPr>
          <w:p w14:paraId="49B67E2C">
            <w:pPr>
              <w:jc w:val="center"/>
              <w:rPr>
                <w:rFonts w:ascii="Times New Roman" w:eastAsia="仿宋"/>
                <w:szCs w:val="21"/>
              </w:rPr>
            </w:pPr>
            <w:r>
              <w:rPr>
                <w:rFonts w:ascii="Times New Roman" w:eastAsia="仿宋"/>
                <w:szCs w:val="21"/>
              </w:rPr>
              <w:t>预测时期</w:t>
            </w:r>
          </w:p>
        </w:tc>
        <w:tc>
          <w:tcPr>
            <w:tcW w:w="3662" w:type="pct"/>
            <w:gridSpan w:val="11"/>
            <w:vAlign w:val="center"/>
          </w:tcPr>
          <w:p w14:paraId="6FA25FC0">
            <w:pPr>
              <w:rPr>
                <w:rFonts w:ascii="Times New Roman" w:eastAsia="仿宋"/>
                <w:szCs w:val="21"/>
              </w:rPr>
            </w:pPr>
            <w:r>
              <w:rPr>
                <w:rFonts w:ascii="Times New Roman" w:eastAsia="仿宋"/>
                <w:szCs w:val="21"/>
              </w:rPr>
              <w:t>丰水期□；平水期□；枯水期□；冰封期□</w:t>
            </w:r>
          </w:p>
          <w:p w14:paraId="2520D62E">
            <w:pPr>
              <w:rPr>
                <w:rFonts w:ascii="Times New Roman" w:eastAsia="仿宋"/>
                <w:szCs w:val="21"/>
              </w:rPr>
            </w:pPr>
            <w:r>
              <w:rPr>
                <w:rFonts w:ascii="Times New Roman" w:eastAsia="仿宋"/>
                <w:szCs w:val="21"/>
              </w:rPr>
              <w:t>春季□；夏季□；秋季□；冬季□</w:t>
            </w:r>
          </w:p>
          <w:p w14:paraId="222BF365">
            <w:pPr>
              <w:rPr>
                <w:rFonts w:ascii="Times New Roman" w:eastAsia="仿宋"/>
                <w:szCs w:val="21"/>
              </w:rPr>
            </w:pPr>
            <w:r>
              <w:rPr>
                <w:rFonts w:ascii="Times New Roman" w:eastAsia="仿宋"/>
                <w:szCs w:val="21"/>
              </w:rPr>
              <w:t>涉及水文条件□</w:t>
            </w:r>
          </w:p>
        </w:tc>
      </w:tr>
      <w:tr w14:paraId="73E8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501357D0">
            <w:pPr>
              <w:jc w:val="center"/>
              <w:rPr>
                <w:rFonts w:ascii="Times New Roman" w:eastAsia="仿宋"/>
              </w:rPr>
            </w:pPr>
          </w:p>
        </w:tc>
        <w:tc>
          <w:tcPr>
            <w:tcW w:w="900" w:type="pct"/>
            <w:vAlign w:val="center"/>
          </w:tcPr>
          <w:p w14:paraId="0A427839">
            <w:pPr>
              <w:jc w:val="center"/>
              <w:rPr>
                <w:rFonts w:ascii="Times New Roman" w:eastAsia="仿宋"/>
                <w:szCs w:val="21"/>
              </w:rPr>
            </w:pPr>
            <w:r>
              <w:rPr>
                <w:rFonts w:ascii="Times New Roman" w:eastAsia="仿宋"/>
                <w:szCs w:val="21"/>
              </w:rPr>
              <w:t>预测情景</w:t>
            </w:r>
          </w:p>
        </w:tc>
        <w:tc>
          <w:tcPr>
            <w:tcW w:w="3662" w:type="pct"/>
            <w:gridSpan w:val="11"/>
            <w:vAlign w:val="center"/>
          </w:tcPr>
          <w:p w14:paraId="1D32DE8C">
            <w:pPr>
              <w:rPr>
                <w:rFonts w:ascii="Times New Roman" w:eastAsia="仿宋"/>
                <w:szCs w:val="21"/>
              </w:rPr>
            </w:pPr>
            <w:r>
              <w:rPr>
                <w:rFonts w:ascii="Times New Roman" w:eastAsia="仿宋"/>
                <w:szCs w:val="21"/>
              </w:rPr>
              <w:t>建设期□：生产运行期□；服务器满后□</w:t>
            </w:r>
          </w:p>
          <w:p w14:paraId="5DC9A3DF">
            <w:pPr>
              <w:rPr>
                <w:rFonts w:ascii="Times New Roman" w:eastAsia="仿宋"/>
                <w:szCs w:val="21"/>
              </w:rPr>
            </w:pPr>
            <w:r>
              <w:rPr>
                <w:rFonts w:ascii="Times New Roman" w:eastAsia="仿宋"/>
                <w:szCs w:val="21"/>
              </w:rPr>
              <w:t>正常工况□；非正常工况□</w:t>
            </w:r>
          </w:p>
          <w:p w14:paraId="7CBDAE35">
            <w:pPr>
              <w:rPr>
                <w:rFonts w:ascii="Times New Roman" w:eastAsia="仿宋"/>
                <w:szCs w:val="21"/>
              </w:rPr>
            </w:pPr>
            <w:r>
              <w:rPr>
                <w:rFonts w:ascii="Times New Roman" w:eastAsia="仿宋"/>
                <w:szCs w:val="21"/>
              </w:rPr>
              <w:t>污染控制和减缓措施方案□</w:t>
            </w:r>
          </w:p>
          <w:p w14:paraId="01D1C260">
            <w:pPr>
              <w:rPr>
                <w:rFonts w:ascii="Times New Roman" w:eastAsia="仿宋"/>
                <w:szCs w:val="21"/>
              </w:rPr>
            </w:pPr>
            <w:r>
              <w:rPr>
                <w:rFonts w:ascii="Times New Roman" w:eastAsia="仿宋"/>
                <w:szCs w:val="21"/>
              </w:rPr>
              <w:t>区（流）域环境质量改善目标要求情景□</w:t>
            </w:r>
          </w:p>
        </w:tc>
      </w:tr>
      <w:tr w14:paraId="3DBC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396850D7">
            <w:pPr>
              <w:jc w:val="center"/>
              <w:rPr>
                <w:rFonts w:ascii="Times New Roman" w:eastAsia="仿宋"/>
              </w:rPr>
            </w:pPr>
          </w:p>
        </w:tc>
        <w:tc>
          <w:tcPr>
            <w:tcW w:w="900" w:type="pct"/>
            <w:vAlign w:val="center"/>
          </w:tcPr>
          <w:p w14:paraId="047220E6">
            <w:pPr>
              <w:jc w:val="center"/>
              <w:rPr>
                <w:rFonts w:ascii="Times New Roman" w:eastAsia="仿宋"/>
                <w:szCs w:val="21"/>
              </w:rPr>
            </w:pPr>
            <w:r>
              <w:rPr>
                <w:rFonts w:ascii="Times New Roman" w:eastAsia="仿宋"/>
                <w:szCs w:val="21"/>
              </w:rPr>
              <w:t>预测方法</w:t>
            </w:r>
          </w:p>
        </w:tc>
        <w:tc>
          <w:tcPr>
            <w:tcW w:w="3662" w:type="pct"/>
            <w:gridSpan w:val="11"/>
            <w:vAlign w:val="center"/>
          </w:tcPr>
          <w:p w14:paraId="21B16F3F">
            <w:pPr>
              <w:rPr>
                <w:rFonts w:ascii="Times New Roman" w:eastAsia="仿宋"/>
                <w:szCs w:val="21"/>
              </w:rPr>
            </w:pPr>
            <w:r>
              <w:rPr>
                <w:rFonts w:ascii="Times New Roman" w:eastAsia="仿宋"/>
                <w:szCs w:val="21"/>
              </w:rPr>
              <w:t>数值解□：解析解□；其他□</w:t>
            </w:r>
          </w:p>
          <w:p w14:paraId="2BC0C9A6">
            <w:pPr>
              <w:rPr>
                <w:rFonts w:ascii="Times New Roman" w:eastAsia="仿宋"/>
                <w:szCs w:val="21"/>
              </w:rPr>
            </w:pPr>
            <w:r>
              <w:rPr>
                <w:rFonts w:ascii="Times New Roman" w:eastAsia="仿宋"/>
                <w:szCs w:val="21"/>
              </w:rPr>
              <w:t>导则推荐模式□；其他□</w:t>
            </w:r>
          </w:p>
        </w:tc>
      </w:tr>
      <w:tr w14:paraId="7659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104B6E74">
            <w:pPr>
              <w:jc w:val="center"/>
              <w:rPr>
                <w:rFonts w:ascii="Times New Roman" w:eastAsia="仿宋"/>
              </w:rPr>
            </w:pPr>
            <w:r>
              <w:rPr>
                <w:rFonts w:ascii="Times New Roman" w:eastAsia="仿宋"/>
              </w:rPr>
              <w:t>影响评价</w:t>
            </w:r>
          </w:p>
        </w:tc>
        <w:tc>
          <w:tcPr>
            <w:tcW w:w="900" w:type="pct"/>
            <w:vAlign w:val="center"/>
          </w:tcPr>
          <w:p w14:paraId="459113DC">
            <w:pPr>
              <w:jc w:val="center"/>
              <w:rPr>
                <w:rFonts w:ascii="Times New Roman" w:eastAsia="仿宋"/>
                <w:szCs w:val="21"/>
              </w:rPr>
            </w:pPr>
            <w:r>
              <w:rPr>
                <w:rFonts w:ascii="Times New Roman" w:eastAsia="仿宋"/>
                <w:szCs w:val="21"/>
              </w:rPr>
              <w:t>水污染控制和水环境影响减缓措施有效性评价</w:t>
            </w:r>
          </w:p>
        </w:tc>
        <w:tc>
          <w:tcPr>
            <w:tcW w:w="3662" w:type="pct"/>
            <w:gridSpan w:val="11"/>
            <w:vAlign w:val="center"/>
          </w:tcPr>
          <w:p w14:paraId="714B0205">
            <w:pPr>
              <w:rPr>
                <w:rFonts w:ascii="Times New Roman" w:eastAsia="仿宋"/>
                <w:szCs w:val="21"/>
              </w:rPr>
            </w:pPr>
            <w:r>
              <w:rPr>
                <w:rFonts w:ascii="Times New Roman" w:eastAsia="仿宋"/>
                <w:szCs w:val="21"/>
              </w:rPr>
              <w:t>区（流）域水环境质量改善目标□；替代削减源□</w:t>
            </w:r>
          </w:p>
        </w:tc>
      </w:tr>
      <w:tr w14:paraId="5C2C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55396E3C">
            <w:pPr>
              <w:jc w:val="center"/>
              <w:rPr>
                <w:rFonts w:ascii="Times New Roman" w:eastAsia="仿宋"/>
              </w:rPr>
            </w:pPr>
          </w:p>
        </w:tc>
        <w:tc>
          <w:tcPr>
            <w:tcW w:w="900" w:type="pct"/>
            <w:vAlign w:val="center"/>
          </w:tcPr>
          <w:p w14:paraId="7F3E1FE8">
            <w:pPr>
              <w:jc w:val="center"/>
              <w:rPr>
                <w:rFonts w:ascii="Times New Roman" w:eastAsia="仿宋"/>
                <w:szCs w:val="21"/>
              </w:rPr>
            </w:pPr>
            <w:r>
              <w:rPr>
                <w:rFonts w:ascii="Times New Roman" w:eastAsia="仿宋"/>
                <w:szCs w:val="21"/>
              </w:rPr>
              <w:t>水环境影响评价</w:t>
            </w:r>
          </w:p>
        </w:tc>
        <w:tc>
          <w:tcPr>
            <w:tcW w:w="3662" w:type="pct"/>
            <w:gridSpan w:val="11"/>
            <w:vAlign w:val="center"/>
          </w:tcPr>
          <w:p w14:paraId="489B9D74">
            <w:pPr>
              <w:rPr>
                <w:rFonts w:ascii="Times New Roman" w:eastAsia="仿宋"/>
                <w:szCs w:val="21"/>
              </w:rPr>
            </w:pPr>
            <w:r>
              <w:rPr>
                <w:rFonts w:ascii="Times New Roman" w:eastAsia="仿宋"/>
                <w:szCs w:val="21"/>
              </w:rPr>
              <w:t>排放口混合区外满足水环境管理要求□</w:t>
            </w:r>
          </w:p>
          <w:p w14:paraId="430E7EA9">
            <w:pPr>
              <w:rPr>
                <w:rFonts w:ascii="Times New Roman" w:eastAsia="仿宋"/>
                <w:szCs w:val="21"/>
              </w:rPr>
            </w:pPr>
            <w:r>
              <w:rPr>
                <w:rFonts w:ascii="Times New Roman" w:eastAsia="仿宋"/>
                <w:szCs w:val="21"/>
              </w:rPr>
              <w:t>水环境功能区或水功能区、近岸海域环境功能区水质达标□</w:t>
            </w:r>
          </w:p>
          <w:p w14:paraId="39A4675F">
            <w:pPr>
              <w:rPr>
                <w:rFonts w:ascii="Times New Roman" w:eastAsia="仿宋"/>
                <w:szCs w:val="21"/>
              </w:rPr>
            </w:pPr>
            <w:r>
              <w:rPr>
                <w:rFonts w:ascii="Times New Roman" w:eastAsia="仿宋"/>
                <w:szCs w:val="21"/>
              </w:rPr>
              <w:t>满足水环境保护目标水域水环境质量要求</w:t>
            </w:r>
            <w:r>
              <w:rPr>
                <w:rStyle w:val="152"/>
                <w:rFonts w:ascii="Times New Roman" w:eastAsia="仿宋"/>
                <w:sz w:val="21"/>
                <w:szCs w:val="21"/>
              </w:rPr>
              <w:t>√</w:t>
            </w:r>
          </w:p>
          <w:p w14:paraId="5A037949">
            <w:pPr>
              <w:rPr>
                <w:rFonts w:ascii="Times New Roman" w:eastAsia="仿宋"/>
                <w:szCs w:val="21"/>
              </w:rPr>
            </w:pPr>
            <w:r>
              <w:rPr>
                <w:rFonts w:ascii="Times New Roman" w:eastAsia="仿宋"/>
                <w:szCs w:val="21"/>
              </w:rPr>
              <w:t>水环境控制单元或断面水质达标□</w:t>
            </w:r>
          </w:p>
          <w:p w14:paraId="49590022">
            <w:pPr>
              <w:rPr>
                <w:rFonts w:ascii="Times New Roman" w:eastAsia="仿宋"/>
                <w:szCs w:val="21"/>
              </w:rPr>
            </w:pPr>
            <w:r>
              <w:rPr>
                <w:rFonts w:ascii="Times New Roman" w:eastAsia="仿宋"/>
                <w:szCs w:val="21"/>
              </w:rPr>
              <w:t>满足重点水污染物排放总量控制指标要求：重点行业建设项目，主要污染物排放满足等量或减量替代要求□</w:t>
            </w:r>
          </w:p>
          <w:p w14:paraId="1B789426">
            <w:pPr>
              <w:rPr>
                <w:rFonts w:ascii="Times New Roman" w:eastAsia="仿宋"/>
                <w:szCs w:val="21"/>
              </w:rPr>
            </w:pPr>
            <w:r>
              <w:rPr>
                <w:rFonts w:ascii="Times New Roman" w:eastAsia="仿宋"/>
                <w:szCs w:val="21"/>
              </w:rPr>
              <w:t>满足区（流）域水环境质量改善目标要求□</w:t>
            </w:r>
          </w:p>
          <w:p w14:paraId="29C15D5C">
            <w:pPr>
              <w:rPr>
                <w:rFonts w:ascii="Times New Roman" w:eastAsia="仿宋"/>
                <w:szCs w:val="21"/>
              </w:rPr>
            </w:pPr>
            <w:r>
              <w:rPr>
                <w:rFonts w:ascii="Times New Roman" w:eastAsia="仿宋"/>
                <w:szCs w:val="21"/>
              </w:rPr>
              <w:t>水文要素影响型建设项目同时应包括水文情势变化评价、主要水文特征值影响评价、生态流量符合性评价□</w:t>
            </w:r>
          </w:p>
          <w:p w14:paraId="39B16B7A">
            <w:pPr>
              <w:rPr>
                <w:rFonts w:ascii="Times New Roman" w:eastAsia="仿宋"/>
                <w:szCs w:val="21"/>
              </w:rPr>
            </w:pPr>
            <w:r>
              <w:rPr>
                <w:rFonts w:ascii="Times New Roman" w:eastAsia="仿宋"/>
                <w:szCs w:val="21"/>
              </w:rPr>
              <w:t>对于新设或调整入河（湖库、近岸海域）排放口的建设项目，应包括排放口设置的环境合理性评价□</w:t>
            </w:r>
          </w:p>
          <w:p w14:paraId="142B7DE2">
            <w:pPr>
              <w:rPr>
                <w:rFonts w:ascii="Times New Roman" w:eastAsia="仿宋"/>
                <w:szCs w:val="21"/>
              </w:rPr>
            </w:pPr>
            <w:r>
              <w:rPr>
                <w:rFonts w:ascii="Times New Roman" w:eastAsia="仿宋"/>
                <w:szCs w:val="21"/>
              </w:rPr>
              <w:t>满足生态保护红线、水环境质量底线、资源利用上线和环境准入清单管理要求</w:t>
            </w:r>
            <w:r>
              <w:rPr>
                <w:rStyle w:val="152"/>
                <w:rFonts w:ascii="Times New Roman" w:eastAsia="仿宋"/>
                <w:sz w:val="21"/>
                <w:szCs w:val="21"/>
              </w:rPr>
              <w:t>√</w:t>
            </w:r>
          </w:p>
        </w:tc>
      </w:tr>
      <w:tr w14:paraId="4452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95343D5">
            <w:pPr>
              <w:jc w:val="center"/>
              <w:rPr>
                <w:rFonts w:ascii="Times New Roman" w:eastAsia="仿宋"/>
              </w:rPr>
            </w:pPr>
          </w:p>
        </w:tc>
        <w:tc>
          <w:tcPr>
            <w:tcW w:w="900" w:type="pct"/>
            <w:vMerge w:val="restart"/>
            <w:vAlign w:val="center"/>
          </w:tcPr>
          <w:p w14:paraId="7E15F0F6">
            <w:pPr>
              <w:jc w:val="center"/>
              <w:rPr>
                <w:rFonts w:ascii="Times New Roman" w:eastAsia="仿宋"/>
                <w:szCs w:val="21"/>
              </w:rPr>
            </w:pPr>
            <w:r>
              <w:rPr>
                <w:rFonts w:ascii="Times New Roman" w:eastAsia="仿宋"/>
                <w:szCs w:val="21"/>
              </w:rPr>
              <w:t>污染源排放量核算</w:t>
            </w:r>
          </w:p>
        </w:tc>
        <w:tc>
          <w:tcPr>
            <w:tcW w:w="1221" w:type="pct"/>
            <w:gridSpan w:val="3"/>
            <w:vAlign w:val="center"/>
          </w:tcPr>
          <w:p w14:paraId="2AEE3E5D">
            <w:pPr>
              <w:jc w:val="center"/>
              <w:rPr>
                <w:rFonts w:ascii="Times New Roman" w:eastAsia="仿宋"/>
                <w:szCs w:val="21"/>
              </w:rPr>
            </w:pPr>
            <w:r>
              <w:rPr>
                <w:rFonts w:ascii="Times New Roman" w:eastAsia="仿宋"/>
                <w:szCs w:val="21"/>
              </w:rPr>
              <w:t>污染物名称</w:t>
            </w:r>
          </w:p>
        </w:tc>
        <w:tc>
          <w:tcPr>
            <w:tcW w:w="1221" w:type="pct"/>
            <w:gridSpan w:val="4"/>
            <w:vAlign w:val="center"/>
          </w:tcPr>
          <w:p w14:paraId="77EE13DF">
            <w:pPr>
              <w:jc w:val="center"/>
              <w:rPr>
                <w:rFonts w:ascii="Times New Roman" w:eastAsia="仿宋"/>
                <w:szCs w:val="21"/>
              </w:rPr>
            </w:pPr>
            <w:r>
              <w:rPr>
                <w:rFonts w:ascii="Times New Roman" w:eastAsia="仿宋"/>
                <w:szCs w:val="21"/>
              </w:rPr>
              <w:t>排放量/（t/a）</w:t>
            </w:r>
          </w:p>
        </w:tc>
        <w:tc>
          <w:tcPr>
            <w:tcW w:w="1220" w:type="pct"/>
            <w:gridSpan w:val="4"/>
            <w:vAlign w:val="center"/>
          </w:tcPr>
          <w:p w14:paraId="57FCD4AA">
            <w:pPr>
              <w:jc w:val="center"/>
              <w:rPr>
                <w:rFonts w:ascii="Times New Roman" w:eastAsia="仿宋"/>
                <w:szCs w:val="21"/>
              </w:rPr>
            </w:pPr>
            <w:r>
              <w:rPr>
                <w:rFonts w:ascii="Times New Roman" w:eastAsia="仿宋"/>
                <w:szCs w:val="21"/>
              </w:rPr>
              <w:t>排放浓度/（mg/L）</w:t>
            </w:r>
          </w:p>
        </w:tc>
      </w:tr>
      <w:tr w14:paraId="609B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1E5AF5E4">
            <w:pPr>
              <w:jc w:val="center"/>
              <w:rPr>
                <w:rFonts w:ascii="Times New Roman" w:eastAsia="仿宋"/>
              </w:rPr>
            </w:pPr>
          </w:p>
        </w:tc>
        <w:tc>
          <w:tcPr>
            <w:tcW w:w="900" w:type="pct"/>
            <w:vMerge w:val="continue"/>
            <w:vAlign w:val="center"/>
          </w:tcPr>
          <w:p w14:paraId="258E9629">
            <w:pPr>
              <w:jc w:val="center"/>
              <w:rPr>
                <w:rFonts w:ascii="Times New Roman" w:eastAsia="仿宋"/>
                <w:szCs w:val="21"/>
              </w:rPr>
            </w:pPr>
          </w:p>
        </w:tc>
        <w:tc>
          <w:tcPr>
            <w:tcW w:w="1221" w:type="pct"/>
            <w:gridSpan w:val="3"/>
            <w:vAlign w:val="center"/>
          </w:tcPr>
          <w:p w14:paraId="66323A86">
            <w:pPr>
              <w:jc w:val="center"/>
              <w:rPr>
                <w:rFonts w:ascii="Times New Roman" w:eastAsia="仿宋"/>
                <w:szCs w:val="21"/>
              </w:rPr>
            </w:pPr>
            <w:r>
              <w:rPr>
                <w:rFonts w:ascii="Times New Roman" w:eastAsia="仿宋"/>
                <w:szCs w:val="21"/>
              </w:rPr>
              <w:t>（COD、SS、TN、NH</w:t>
            </w:r>
            <w:r>
              <w:rPr>
                <w:rFonts w:ascii="Times New Roman" w:eastAsia="仿宋"/>
                <w:szCs w:val="21"/>
                <w:vertAlign w:val="subscript"/>
              </w:rPr>
              <w:t>3</w:t>
            </w:r>
            <w:r>
              <w:rPr>
                <w:rFonts w:ascii="Times New Roman" w:eastAsia="仿宋"/>
                <w:szCs w:val="21"/>
              </w:rPr>
              <w:t>-N、TP、动植物油</w:t>
            </w:r>
            <w:r>
              <w:rPr>
                <w:rFonts w:hint="eastAsia" w:ascii="Times New Roman" w:eastAsia="仿宋"/>
                <w:szCs w:val="21"/>
              </w:rPr>
              <w:t>、石油类</w:t>
            </w:r>
            <w:r>
              <w:rPr>
                <w:rFonts w:ascii="Times New Roman" w:eastAsia="仿宋"/>
                <w:szCs w:val="21"/>
              </w:rPr>
              <w:t>）</w:t>
            </w:r>
          </w:p>
        </w:tc>
        <w:tc>
          <w:tcPr>
            <w:tcW w:w="1221" w:type="pct"/>
            <w:gridSpan w:val="4"/>
            <w:vAlign w:val="center"/>
          </w:tcPr>
          <w:p w14:paraId="77B908F0">
            <w:pPr>
              <w:jc w:val="center"/>
              <w:rPr>
                <w:rFonts w:ascii="Times New Roman" w:eastAsia="仿宋"/>
                <w:szCs w:val="21"/>
              </w:rPr>
            </w:pPr>
            <w:r>
              <w:rPr>
                <w:rFonts w:ascii="Times New Roman" w:eastAsia="仿宋"/>
                <w:szCs w:val="21"/>
              </w:rPr>
              <w:t>（COD0.66t/a、SS0.284t/a、TN0.04t/a、NH</w:t>
            </w:r>
            <w:r>
              <w:rPr>
                <w:rFonts w:ascii="Times New Roman" w:eastAsia="仿宋"/>
                <w:szCs w:val="21"/>
                <w:vertAlign w:val="subscript"/>
              </w:rPr>
              <w:t>3</w:t>
            </w:r>
            <w:r>
              <w:rPr>
                <w:rFonts w:ascii="Times New Roman" w:eastAsia="仿宋"/>
                <w:szCs w:val="21"/>
              </w:rPr>
              <w:t>-N0.03t/a、TP 0.004、动植物油0.08t/a</w:t>
            </w:r>
            <w:r>
              <w:rPr>
                <w:rFonts w:hint="eastAsia" w:ascii="Times New Roman" w:eastAsia="仿宋"/>
                <w:szCs w:val="21"/>
              </w:rPr>
              <w:t>、石油类0.0</w:t>
            </w:r>
            <w:r>
              <w:rPr>
                <w:rFonts w:ascii="Times New Roman" w:eastAsia="仿宋"/>
                <w:szCs w:val="21"/>
              </w:rPr>
              <w:t>02t/a）</w:t>
            </w:r>
          </w:p>
        </w:tc>
        <w:tc>
          <w:tcPr>
            <w:tcW w:w="1220" w:type="pct"/>
            <w:gridSpan w:val="4"/>
            <w:vAlign w:val="center"/>
          </w:tcPr>
          <w:p w14:paraId="08319F89">
            <w:pPr>
              <w:jc w:val="center"/>
              <w:rPr>
                <w:rFonts w:ascii="Times New Roman" w:eastAsia="仿宋"/>
                <w:szCs w:val="21"/>
              </w:rPr>
            </w:pPr>
            <w:r>
              <w:rPr>
                <w:rFonts w:ascii="Times New Roman" w:eastAsia="仿宋"/>
                <w:szCs w:val="21"/>
              </w:rPr>
              <w:t>（COD 319.24mg/L、SS 137.37mg/L、TN19.34mg/L、NH</w:t>
            </w:r>
            <w:r>
              <w:rPr>
                <w:rFonts w:ascii="Times New Roman" w:eastAsia="仿宋"/>
                <w:szCs w:val="21"/>
                <w:vertAlign w:val="subscript"/>
              </w:rPr>
              <w:t>3</w:t>
            </w:r>
            <w:r>
              <w:rPr>
                <w:rFonts w:ascii="Times New Roman" w:eastAsia="仿宋"/>
                <w:szCs w:val="21"/>
              </w:rPr>
              <w:t>-N 14.51mg/L、TP 1.93mg/L、动植物油 38.69mg/L</w:t>
            </w:r>
            <w:r>
              <w:rPr>
                <w:rFonts w:hint="eastAsia" w:ascii="Times New Roman" w:eastAsia="仿宋"/>
                <w:szCs w:val="21"/>
              </w:rPr>
              <w:t>、石油类0.</w:t>
            </w:r>
            <w:r>
              <w:rPr>
                <w:rFonts w:ascii="Times New Roman" w:eastAsia="仿宋"/>
                <w:szCs w:val="21"/>
              </w:rPr>
              <w:t>96 mg/L）</w:t>
            </w:r>
          </w:p>
        </w:tc>
      </w:tr>
      <w:tr w14:paraId="5B38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ED02199">
            <w:pPr>
              <w:jc w:val="center"/>
              <w:rPr>
                <w:rFonts w:ascii="Times New Roman" w:eastAsia="仿宋"/>
              </w:rPr>
            </w:pPr>
          </w:p>
        </w:tc>
        <w:tc>
          <w:tcPr>
            <w:tcW w:w="900" w:type="pct"/>
            <w:vMerge w:val="restart"/>
            <w:vAlign w:val="center"/>
          </w:tcPr>
          <w:p w14:paraId="7169309B">
            <w:pPr>
              <w:jc w:val="center"/>
              <w:rPr>
                <w:rFonts w:ascii="Times New Roman" w:eastAsia="仿宋"/>
                <w:szCs w:val="21"/>
              </w:rPr>
            </w:pPr>
            <w:r>
              <w:rPr>
                <w:rFonts w:ascii="Times New Roman" w:eastAsia="仿宋"/>
                <w:szCs w:val="21"/>
              </w:rPr>
              <w:t>替代源排放情况</w:t>
            </w:r>
          </w:p>
        </w:tc>
        <w:tc>
          <w:tcPr>
            <w:tcW w:w="732" w:type="pct"/>
            <w:vAlign w:val="center"/>
          </w:tcPr>
          <w:p w14:paraId="6FCE4BA1">
            <w:pPr>
              <w:jc w:val="center"/>
              <w:rPr>
                <w:rFonts w:ascii="Times New Roman" w:eastAsia="仿宋"/>
                <w:szCs w:val="21"/>
              </w:rPr>
            </w:pPr>
            <w:r>
              <w:rPr>
                <w:rFonts w:ascii="Times New Roman" w:eastAsia="仿宋"/>
                <w:szCs w:val="21"/>
              </w:rPr>
              <w:t>污染源名称</w:t>
            </w:r>
          </w:p>
        </w:tc>
        <w:tc>
          <w:tcPr>
            <w:tcW w:w="732" w:type="pct"/>
            <w:gridSpan w:val="3"/>
            <w:vAlign w:val="center"/>
          </w:tcPr>
          <w:p w14:paraId="2AF132C2">
            <w:pPr>
              <w:jc w:val="center"/>
              <w:rPr>
                <w:rFonts w:ascii="Times New Roman" w:eastAsia="仿宋"/>
                <w:szCs w:val="21"/>
              </w:rPr>
            </w:pPr>
            <w:r>
              <w:rPr>
                <w:rFonts w:ascii="Times New Roman" w:eastAsia="仿宋"/>
                <w:szCs w:val="21"/>
              </w:rPr>
              <w:t>排污许可证</w:t>
            </w:r>
          </w:p>
        </w:tc>
        <w:tc>
          <w:tcPr>
            <w:tcW w:w="733" w:type="pct"/>
            <w:gridSpan w:val="2"/>
            <w:vAlign w:val="center"/>
          </w:tcPr>
          <w:p w14:paraId="393E8215">
            <w:pPr>
              <w:jc w:val="center"/>
              <w:rPr>
                <w:rFonts w:ascii="Times New Roman" w:eastAsia="仿宋"/>
                <w:szCs w:val="21"/>
              </w:rPr>
            </w:pPr>
            <w:r>
              <w:rPr>
                <w:rFonts w:ascii="Times New Roman" w:eastAsia="仿宋"/>
                <w:szCs w:val="21"/>
              </w:rPr>
              <w:t>污染物名称</w:t>
            </w:r>
          </w:p>
        </w:tc>
        <w:tc>
          <w:tcPr>
            <w:tcW w:w="732" w:type="pct"/>
            <w:gridSpan w:val="3"/>
            <w:vAlign w:val="center"/>
          </w:tcPr>
          <w:p w14:paraId="3C83F7EF">
            <w:pPr>
              <w:jc w:val="center"/>
              <w:rPr>
                <w:rFonts w:ascii="Times New Roman" w:eastAsia="仿宋"/>
                <w:szCs w:val="21"/>
              </w:rPr>
            </w:pPr>
            <w:r>
              <w:rPr>
                <w:rFonts w:ascii="Times New Roman" w:eastAsia="仿宋"/>
                <w:szCs w:val="21"/>
              </w:rPr>
              <w:t>排放量/（t/a）</w:t>
            </w:r>
          </w:p>
        </w:tc>
        <w:tc>
          <w:tcPr>
            <w:tcW w:w="733" w:type="pct"/>
            <w:gridSpan w:val="2"/>
            <w:vAlign w:val="center"/>
          </w:tcPr>
          <w:p w14:paraId="7D7440B2">
            <w:pPr>
              <w:jc w:val="center"/>
              <w:rPr>
                <w:rFonts w:ascii="Times New Roman" w:eastAsia="仿宋"/>
                <w:szCs w:val="21"/>
              </w:rPr>
            </w:pPr>
            <w:r>
              <w:rPr>
                <w:rFonts w:ascii="Times New Roman" w:eastAsia="仿宋"/>
                <w:szCs w:val="21"/>
              </w:rPr>
              <w:t>排放浓度/（mg/L）</w:t>
            </w:r>
          </w:p>
        </w:tc>
      </w:tr>
      <w:tr w14:paraId="023E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4D02336D">
            <w:pPr>
              <w:jc w:val="center"/>
              <w:rPr>
                <w:rFonts w:ascii="Times New Roman" w:eastAsia="仿宋"/>
              </w:rPr>
            </w:pPr>
          </w:p>
        </w:tc>
        <w:tc>
          <w:tcPr>
            <w:tcW w:w="900" w:type="pct"/>
            <w:vMerge w:val="continue"/>
            <w:vAlign w:val="center"/>
          </w:tcPr>
          <w:p w14:paraId="6EBA9309">
            <w:pPr>
              <w:jc w:val="center"/>
              <w:rPr>
                <w:rFonts w:ascii="Times New Roman" w:eastAsia="仿宋"/>
                <w:szCs w:val="21"/>
              </w:rPr>
            </w:pPr>
          </w:p>
        </w:tc>
        <w:tc>
          <w:tcPr>
            <w:tcW w:w="732" w:type="pct"/>
            <w:vAlign w:val="center"/>
          </w:tcPr>
          <w:p w14:paraId="58D647F0">
            <w:pPr>
              <w:jc w:val="center"/>
              <w:rPr>
                <w:rFonts w:ascii="Times New Roman" w:eastAsia="仿宋"/>
                <w:szCs w:val="21"/>
              </w:rPr>
            </w:pPr>
            <w:r>
              <w:rPr>
                <w:rFonts w:ascii="Times New Roman" w:eastAsia="仿宋"/>
                <w:szCs w:val="21"/>
              </w:rPr>
              <w:t>（）</w:t>
            </w:r>
          </w:p>
        </w:tc>
        <w:tc>
          <w:tcPr>
            <w:tcW w:w="732" w:type="pct"/>
            <w:gridSpan w:val="3"/>
            <w:vAlign w:val="center"/>
          </w:tcPr>
          <w:p w14:paraId="7924C1BC">
            <w:pPr>
              <w:jc w:val="center"/>
              <w:rPr>
                <w:rFonts w:ascii="Times New Roman" w:eastAsia="仿宋"/>
                <w:szCs w:val="21"/>
              </w:rPr>
            </w:pPr>
            <w:r>
              <w:rPr>
                <w:rFonts w:ascii="Times New Roman" w:eastAsia="仿宋"/>
                <w:szCs w:val="21"/>
              </w:rPr>
              <w:t>（）</w:t>
            </w:r>
          </w:p>
        </w:tc>
        <w:tc>
          <w:tcPr>
            <w:tcW w:w="733" w:type="pct"/>
            <w:gridSpan w:val="2"/>
            <w:vAlign w:val="center"/>
          </w:tcPr>
          <w:p w14:paraId="6B593373">
            <w:pPr>
              <w:jc w:val="center"/>
              <w:rPr>
                <w:rFonts w:ascii="Times New Roman" w:eastAsia="仿宋"/>
                <w:szCs w:val="21"/>
              </w:rPr>
            </w:pPr>
            <w:r>
              <w:rPr>
                <w:rFonts w:ascii="Times New Roman" w:eastAsia="仿宋"/>
                <w:szCs w:val="21"/>
              </w:rPr>
              <w:t>（）</w:t>
            </w:r>
          </w:p>
        </w:tc>
        <w:tc>
          <w:tcPr>
            <w:tcW w:w="732" w:type="pct"/>
            <w:gridSpan w:val="3"/>
            <w:vAlign w:val="center"/>
          </w:tcPr>
          <w:p w14:paraId="2DBF77A6">
            <w:pPr>
              <w:jc w:val="center"/>
              <w:rPr>
                <w:rFonts w:ascii="Times New Roman" w:eastAsia="仿宋"/>
                <w:szCs w:val="21"/>
              </w:rPr>
            </w:pPr>
            <w:r>
              <w:rPr>
                <w:rFonts w:ascii="Times New Roman" w:eastAsia="仿宋"/>
                <w:szCs w:val="21"/>
              </w:rPr>
              <w:t>（）</w:t>
            </w:r>
          </w:p>
        </w:tc>
        <w:tc>
          <w:tcPr>
            <w:tcW w:w="733" w:type="pct"/>
            <w:gridSpan w:val="2"/>
            <w:vAlign w:val="center"/>
          </w:tcPr>
          <w:p w14:paraId="31CE96E6">
            <w:pPr>
              <w:jc w:val="center"/>
              <w:rPr>
                <w:rFonts w:ascii="Times New Roman" w:eastAsia="仿宋"/>
                <w:szCs w:val="21"/>
              </w:rPr>
            </w:pPr>
            <w:r>
              <w:rPr>
                <w:rFonts w:ascii="Times New Roman" w:eastAsia="仿宋"/>
                <w:szCs w:val="21"/>
              </w:rPr>
              <w:t>（）</w:t>
            </w:r>
          </w:p>
        </w:tc>
      </w:tr>
      <w:tr w14:paraId="011B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65D59137">
            <w:pPr>
              <w:jc w:val="center"/>
              <w:rPr>
                <w:rFonts w:ascii="Times New Roman" w:eastAsia="仿宋"/>
              </w:rPr>
            </w:pPr>
          </w:p>
        </w:tc>
        <w:tc>
          <w:tcPr>
            <w:tcW w:w="900" w:type="pct"/>
            <w:vAlign w:val="center"/>
          </w:tcPr>
          <w:p w14:paraId="2E470BA6">
            <w:pPr>
              <w:jc w:val="center"/>
              <w:rPr>
                <w:rFonts w:ascii="Times New Roman" w:eastAsia="仿宋"/>
                <w:szCs w:val="21"/>
              </w:rPr>
            </w:pPr>
            <w:r>
              <w:rPr>
                <w:rFonts w:ascii="Times New Roman" w:eastAsia="仿宋"/>
                <w:szCs w:val="21"/>
              </w:rPr>
              <w:t>生态流量确定</w:t>
            </w:r>
          </w:p>
        </w:tc>
        <w:tc>
          <w:tcPr>
            <w:tcW w:w="3662" w:type="pct"/>
            <w:gridSpan w:val="11"/>
            <w:vAlign w:val="center"/>
          </w:tcPr>
          <w:p w14:paraId="2B42DA2A">
            <w:pPr>
              <w:rPr>
                <w:rFonts w:ascii="Times New Roman" w:eastAsia="仿宋"/>
                <w:szCs w:val="21"/>
              </w:rPr>
            </w:pPr>
            <w:r>
              <w:rPr>
                <w:rFonts w:ascii="Times New Roman" w:eastAsia="仿宋"/>
                <w:szCs w:val="21"/>
              </w:rPr>
              <w:t>生态流量：一般水期（）m</w:t>
            </w:r>
            <w:r>
              <w:rPr>
                <w:rFonts w:ascii="Times New Roman" w:eastAsia="仿宋"/>
                <w:szCs w:val="21"/>
                <w:vertAlign w:val="superscript"/>
              </w:rPr>
              <w:t>3</w:t>
            </w:r>
            <w:r>
              <w:rPr>
                <w:rFonts w:ascii="Times New Roman" w:eastAsia="仿宋"/>
                <w:szCs w:val="21"/>
              </w:rPr>
              <w:t>/s；鱼类繁殖期（）m</w:t>
            </w:r>
            <w:r>
              <w:rPr>
                <w:rFonts w:ascii="Times New Roman" w:eastAsia="仿宋"/>
                <w:szCs w:val="21"/>
                <w:vertAlign w:val="superscript"/>
              </w:rPr>
              <w:t>3</w:t>
            </w:r>
            <w:r>
              <w:rPr>
                <w:rFonts w:ascii="Times New Roman" w:eastAsia="仿宋"/>
                <w:szCs w:val="21"/>
              </w:rPr>
              <w:t>/s；其他（）m</w:t>
            </w:r>
            <w:r>
              <w:rPr>
                <w:rFonts w:ascii="Times New Roman" w:eastAsia="仿宋"/>
                <w:szCs w:val="21"/>
                <w:vertAlign w:val="superscript"/>
              </w:rPr>
              <w:t>3</w:t>
            </w:r>
            <w:r>
              <w:rPr>
                <w:rFonts w:ascii="Times New Roman" w:eastAsia="仿宋"/>
                <w:szCs w:val="21"/>
              </w:rPr>
              <w:t>/s</w:t>
            </w:r>
          </w:p>
          <w:p w14:paraId="6B6A18F1">
            <w:pPr>
              <w:rPr>
                <w:rFonts w:ascii="Times New Roman" w:eastAsia="仿宋"/>
                <w:szCs w:val="21"/>
              </w:rPr>
            </w:pPr>
            <w:r>
              <w:rPr>
                <w:rFonts w:ascii="Times New Roman" w:eastAsia="仿宋"/>
                <w:szCs w:val="21"/>
              </w:rPr>
              <w:t>生态水位：一般水期（）m；鱼类繁殖期（）m；其他（）m</w:t>
            </w:r>
          </w:p>
        </w:tc>
      </w:tr>
      <w:tr w14:paraId="1A90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14:paraId="620F39B8">
            <w:pPr>
              <w:jc w:val="center"/>
              <w:rPr>
                <w:rFonts w:ascii="Times New Roman" w:eastAsia="仿宋"/>
              </w:rPr>
            </w:pPr>
            <w:r>
              <w:rPr>
                <w:rFonts w:ascii="Times New Roman" w:eastAsia="仿宋"/>
              </w:rPr>
              <w:t>防治措施</w:t>
            </w:r>
          </w:p>
        </w:tc>
        <w:tc>
          <w:tcPr>
            <w:tcW w:w="900" w:type="pct"/>
            <w:vAlign w:val="center"/>
          </w:tcPr>
          <w:p w14:paraId="1D29DFA7">
            <w:pPr>
              <w:jc w:val="center"/>
              <w:rPr>
                <w:rFonts w:ascii="Times New Roman" w:eastAsia="仿宋"/>
                <w:szCs w:val="21"/>
              </w:rPr>
            </w:pPr>
            <w:r>
              <w:rPr>
                <w:rFonts w:ascii="Times New Roman" w:eastAsia="仿宋"/>
                <w:szCs w:val="21"/>
              </w:rPr>
              <w:t>环保措施</w:t>
            </w:r>
          </w:p>
        </w:tc>
        <w:tc>
          <w:tcPr>
            <w:tcW w:w="3662" w:type="pct"/>
            <w:gridSpan w:val="11"/>
            <w:vAlign w:val="center"/>
          </w:tcPr>
          <w:p w14:paraId="5B0DCC06">
            <w:pPr>
              <w:rPr>
                <w:rFonts w:ascii="Times New Roman" w:eastAsia="仿宋"/>
                <w:szCs w:val="21"/>
              </w:rPr>
            </w:pPr>
            <w:r>
              <w:rPr>
                <w:rFonts w:ascii="Times New Roman" w:eastAsia="仿宋"/>
                <w:szCs w:val="21"/>
              </w:rPr>
              <w:t>污水处理设施□；水文减缓设施□；生态流量保障设施□；</w:t>
            </w:r>
          </w:p>
          <w:p w14:paraId="3568AE43">
            <w:pPr>
              <w:rPr>
                <w:rFonts w:ascii="Times New Roman" w:eastAsia="仿宋"/>
                <w:szCs w:val="21"/>
              </w:rPr>
            </w:pPr>
            <w:r>
              <w:rPr>
                <w:rFonts w:ascii="Times New Roman" w:eastAsia="仿宋"/>
                <w:szCs w:val="21"/>
              </w:rPr>
              <w:t>区域削减□；依托其他工程措施</w:t>
            </w:r>
            <w:r>
              <w:rPr>
                <w:rStyle w:val="152"/>
                <w:rFonts w:ascii="Times New Roman" w:eastAsia="仿宋"/>
                <w:sz w:val="21"/>
                <w:szCs w:val="21"/>
              </w:rPr>
              <w:t>√</w:t>
            </w:r>
            <w:r>
              <w:rPr>
                <w:rFonts w:ascii="Times New Roman" w:eastAsia="仿宋"/>
                <w:szCs w:val="21"/>
              </w:rPr>
              <w:t>；其他□</w:t>
            </w:r>
          </w:p>
        </w:tc>
      </w:tr>
      <w:tr w14:paraId="4EEF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05DF5E1F">
            <w:pPr>
              <w:jc w:val="center"/>
              <w:rPr>
                <w:rFonts w:ascii="Times New Roman" w:eastAsia="仿宋"/>
              </w:rPr>
            </w:pPr>
          </w:p>
        </w:tc>
        <w:tc>
          <w:tcPr>
            <w:tcW w:w="900" w:type="pct"/>
            <w:vMerge w:val="restart"/>
            <w:vAlign w:val="center"/>
          </w:tcPr>
          <w:p w14:paraId="1EEDA882">
            <w:pPr>
              <w:jc w:val="center"/>
              <w:rPr>
                <w:rFonts w:ascii="Times New Roman" w:eastAsia="仿宋"/>
                <w:szCs w:val="21"/>
              </w:rPr>
            </w:pPr>
            <w:r>
              <w:rPr>
                <w:rFonts w:ascii="Times New Roman" w:eastAsia="仿宋"/>
                <w:szCs w:val="21"/>
              </w:rPr>
              <w:t>监测计划</w:t>
            </w:r>
          </w:p>
        </w:tc>
        <w:tc>
          <w:tcPr>
            <w:tcW w:w="1221" w:type="pct"/>
            <w:gridSpan w:val="3"/>
            <w:vAlign w:val="center"/>
          </w:tcPr>
          <w:p w14:paraId="3E5DD05B">
            <w:pPr>
              <w:jc w:val="center"/>
              <w:rPr>
                <w:rFonts w:ascii="Times New Roman" w:eastAsia="仿宋"/>
                <w:szCs w:val="21"/>
              </w:rPr>
            </w:pPr>
          </w:p>
        </w:tc>
        <w:tc>
          <w:tcPr>
            <w:tcW w:w="1221" w:type="pct"/>
            <w:gridSpan w:val="4"/>
            <w:vAlign w:val="center"/>
          </w:tcPr>
          <w:p w14:paraId="06BA290B">
            <w:pPr>
              <w:jc w:val="center"/>
              <w:rPr>
                <w:rFonts w:ascii="Times New Roman" w:eastAsia="仿宋"/>
                <w:szCs w:val="21"/>
              </w:rPr>
            </w:pPr>
            <w:r>
              <w:rPr>
                <w:rFonts w:ascii="Times New Roman" w:eastAsia="仿宋"/>
                <w:szCs w:val="21"/>
              </w:rPr>
              <w:t>环境质量</w:t>
            </w:r>
          </w:p>
        </w:tc>
        <w:tc>
          <w:tcPr>
            <w:tcW w:w="1220" w:type="pct"/>
            <w:gridSpan w:val="4"/>
            <w:vAlign w:val="center"/>
          </w:tcPr>
          <w:p w14:paraId="0B06F28F">
            <w:pPr>
              <w:jc w:val="center"/>
              <w:rPr>
                <w:rFonts w:ascii="Times New Roman" w:eastAsia="仿宋"/>
                <w:szCs w:val="21"/>
              </w:rPr>
            </w:pPr>
            <w:r>
              <w:rPr>
                <w:rFonts w:ascii="Times New Roman" w:eastAsia="仿宋"/>
                <w:szCs w:val="21"/>
              </w:rPr>
              <w:t>污染源</w:t>
            </w:r>
          </w:p>
        </w:tc>
      </w:tr>
      <w:tr w14:paraId="308D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310343D2">
            <w:pPr>
              <w:jc w:val="center"/>
              <w:rPr>
                <w:rFonts w:ascii="Times New Roman" w:eastAsia="仿宋"/>
              </w:rPr>
            </w:pPr>
          </w:p>
        </w:tc>
        <w:tc>
          <w:tcPr>
            <w:tcW w:w="900" w:type="pct"/>
            <w:vMerge w:val="continue"/>
            <w:vAlign w:val="center"/>
          </w:tcPr>
          <w:p w14:paraId="721DAE32">
            <w:pPr>
              <w:jc w:val="center"/>
              <w:rPr>
                <w:rFonts w:ascii="Times New Roman" w:eastAsia="仿宋"/>
                <w:szCs w:val="21"/>
              </w:rPr>
            </w:pPr>
          </w:p>
        </w:tc>
        <w:tc>
          <w:tcPr>
            <w:tcW w:w="1221" w:type="pct"/>
            <w:gridSpan w:val="3"/>
            <w:vAlign w:val="center"/>
          </w:tcPr>
          <w:p w14:paraId="2F8CB12B">
            <w:pPr>
              <w:jc w:val="center"/>
              <w:rPr>
                <w:rFonts w:ascii="Times New Roman" w:eastAsia="仿宋"/>
                <w:szCs w:val="21"/>
              </w:rPr>
            </w:pPr>
            <w:r>
              <w:rPr>
                <w:rFonts w:ascii="Times New Roman" w:eastAsia="仿宋"/>
                <w:szCs w:val="21"/>
              </w:rPr>
              <w:t>监测方式</w:t>
            </w:r>
          </w:p>
        </w:tc>
        <w:tc>
          <w:tcPr>
            <w:tcW w:w="1221" w:type="pct"/>
            <w:gridSpan w:val="4"/>
            <w:vAlign w:val="center"/>
          </w:tcPr>
          <w:p w14:paraId="3069BD56">
            <w:pPr>
              <w:jc w:val="center"/>
              <w:rPr>
                <w:rFonts w:ascii="Times New Roman" w:eastAsia="仿宋"/>
                <w:szCs w:val="21"/>
              </w:rPr>
            </w:pPr>
            <w:r>
              <w:rPr>
                <w:rFonts w:ascii="Times New Roman" w:eastAsia="仿宋"/>
                <w:szCs w:val="21"/>
              </w:rPr>
              <w:t>手动□；自动□；无监测</w:t>
            </w:r>
            <w:r>
              <w:rPr>
                <w:rStyle w:val="152"/>
                <w:rFonts w:ascii="Times New Roman" w:eastAsia="仿宋"/>
                <w:sz w:val="21"/>
                <w:szCs w:val="21"/>
              </w:rPr>
              <w:t>√</w:t>
            </w:r>
          </w:p>
        </w:tc>
        <w:tc>
          <w:tcPr>
            <w:tcW w:w="1220" w:type="pct"/>
            <w:gridSpan w:val="4"/>
            <w:vAlign w:val="center"/>
          </w:tcPr>
          <w:p w14:paraId="648FDE23">
            <w:pPr>
              <w:jc w:val="center"/>
              <w:rPr>
                <w:rFonts w:ascii="Times New Roman" w:eastAsia="仿宋"/>
                <w:szCs w:val="21"/>
              </w:rPr>
            </w:pPr>
            <w:r>
              <w:rPr>
                <w:rFonts w:ascii="Times New Roman" w:eastAsia="仿宋"/>
                <w:szCs w:val="21"/>
              </w:rPr>
              <w:t>手动</w:t>
            </w:r>
            <w:r>
              <w:rPr>
                <w:rStyle w:val="152"/>
                <w:rFonts w:ascii="Times New Roman" w:eastAsia="仿宋"/>
                <w:sz w:val="21"/>
                <w:szCs w:val="21"/>
              </w:rPr>
              <w:t>√</w:t>
            </w:r>
            <w:r>
              <w:rPr>
                <w:rFonts w:ascii="Times New Roman" w:eastAsia="仿宋"/>
                <w:szCs w:val="21"/>
              </w:rPr>
              <w:t>；自动□；无监测□</w:t>
            </w:r>
          </w:p>
        </w:tc>
      </w:tr>
      <w:tr w14:paraId="7E26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3439220B">
            <w:pPr>
              <w:jc w:val="center"/>
              <w:rPr>
                <w:rFonts w:ascii="Times New Roman" w:eastAsia="仿宋"/>
              </w:rPr>
            </w:pPr>
          </w:p>
        </w:tc>
        <w:tc>
          <w:tcPr>
            <w:tcW w:w="900" w:type="pct"/>
            <w:vMerge w:val="continue"/>
            <w:vAlign w:val="center"/>
          </w:tcPr>
          <w:p w14:paraId="636C3DC4">
            <w:pPr>
              <w:jc w:val="center"/>
              <w:rPr>
                <w:rFonts w:ascii="Times New Roman" w:eastAsia="仿宋"/>
                <w:szCs w:val="21"/>
              </w:rPr>
            </w:pPr>
          </w:p>
        </w:tc>
        <w:tc>
          <w:tcPr>
            <w:tcW w:w="1221" w:type="pct"/>
            <w:gridSpan w:val="3"/>
            <w:vAlign w:val="center"/>
          </w:tcPr>
          <w:p w14:paraId="5A8825E9">
            <w:pPr>
              <w:jc w:val="center"/>
              <w:rPr>
                <w:rFonts w:ascii="Times New Roman" w:eastAsia="仿宋"/>
                <w:szCs w:val="21"/>
              </w:rPr>
            </w:pPr>
            <w:r>
              <w:rPr>
                <w:rFonts w:ascii="Times New Roman" w:eastAsia="仿宋"/>
                <w:szCs w:val="21"/>
              </w:rPr>
              <w:t>监测点位</w:t>
            </w:r>
          </w:p>
        </w:tc>
        <w:tc>
          <w:tcPr>
            <w:tcW w:w="1221" w:type="pct"/>
            <w:gridSpan w:val="4"/>
            <w:vAlign w:val="center"/>
          </w:tcPr>
          <w:p w14:paraId="19C7F2F9">
            <w:pPr>
              <w:jc w:val="center"/>
              <w:rPr>
                <w:rFonts w:ascii="Times New Roman" w:eastAsia="仿宋"/>
                <w:szCs w:val="21"/>
              </w:rPr>
            </w:pPr>
            <w:r>
              <w:rPr>
                <w:rFonts w:ascii="Times New Roman" w:eastAsia="仿宋"/>
                <w:szCs w:val="21"/>
              </w:rPr>
              <w:t>（）</w:t>
            </w:r>
          </w:p>
        </w:tc>
        <w:tc>
          <w:tcPr>
            <w:tcW w:w="1220" w:type="pct"/>
            <w:gridSpan w:val="4"/>
            <w:vAlign w:val="center"/>
          </w:tcPr>
          <w:p w14:paraId="0D4E69C1">
            <w:pPr>
              <w:jc w:val="center"/>
              <w:rPr>
                <w:rFonts w:ascii="Times New Roman" w:eastAsia="仿宋"/>
                <w:szCs w:val="21"/>
              </w:rPr>
            </w:pPr>
            <w:r>
              <w:rPr>
                <w:rFonts w:ascii="Times New Roman" w:eastAsia="仿宋"/>
                <w:szCs w:val="21"/>
              </w:rPr>
              <w:t>（废水排放口）</w:t>
            </w:r>
          </w:p>
        </w:tc>
      </w:tr>
      <w:tr w14:paraId="4EF3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63B51AC4">
            <w:pPr>
              <w:jc w:val="center"/>
              <w:rPr>
                <w:rFonts w:ascii="Times New Roman" w:eastAsia="仿宋"/>
              </w:rPr>
            </w:pPr>
          </w:p>
        </w:tc>
        <w:tc>
          <w:tcPr>
            <w:tcW w:w="900" w:type="pct"/>
            <w:vMerge w:val="continue"/>
            <w:vAlign w:val="center"/>
          </w:tcPr>
          <w:p w14:paraId="08D65A49">
            <w:pPr>
              <w:jc w:val="center"/>
              <w:rPr>
                <w:rFonts w:ascii="Times New Roman" w:eastAsia="仿宋"/>
                <w:szCs w:val="21"/>
              </w:rPr>
            </w:pPr>
          </w:p>
        </w:tc>
        <w:tc>
          <w:tcPr>
            <w:tcW w:w="1221" w:type="pct"/>
            <w:gridSpan w:val="3"/>
            <w:vAlign w:val="center"/>
          </w:tcPr>
          <w:p w14:paraId="1B03C502">
            <w:pPr>
              <w:jc w:val="center"/>
              <w:rPr>
                <w:rFonts w:ascii="Times New Roman" w:eastAsia="仿宋"/>
                <w:szCs w:val="21"/>
              </w:rPr>
            </w:pPr>
            <w:r>
              <w:rPr>
                <w:rFonts w:ascii="Times New Roman" w:eastAsia="仿宋"/>
                <w:szCs w:val="21"/>
              </w:rPr>
              <w:t>监测因子</w:t>
            </w:r>
          </w:p>
        </w:tc>
        <w:tc>
          <w:tcPr>
            <w:tcW w:w="1221" w:type="pct"/>
            <w:gridSpan w:val="4"/>
            <w:vAlign w:val="center"/>
          </w:tcPr>
          <w:p w14:paraId="5FB1F620">
            <w:pPr>
              <w:jc w:val="center"/>
              <w:rPr>
                <w:rFonts w:ascii="Times New Roman" w:eastAsia="仿宋"/>
                <w:szCs w:val="21"/>
              </w:rPr>
            </w:pPr>
            <w:r>
              <w:rPr>
                <w:rFonts w:ascii="Times New Roman" w:eastAsia="仿宋"/>
                <w:szCs w:val="21"/>
              </w:rPr>
              <w:t>（）</w:t>
            </w:r>
          </w:p>
        </w:tc>
        <w:tc>
          <w:tcPr>
            <w:tcW w:w="1220" w:type="pct"/>
            <w:gridSpan w:val="4"/>
            <w:vAlign w:val="center"/>
          </w:tcPr>
          <w:p w14:paraId="78232EB3">
            <w:pPr>
              <w:jc w:val="center"/>
              <w:rPr>
                <w:rFonts w:ascii="Times New Roman" w:eastAsia="仿宋"/>
                <w:szCs w:val="21"/>
              </w:rPr>
            </w:pPr>
            <w:r>
              <w:rPr>
                <w:rFonts w:ascii="Times New Roman" w:eastAsia="仿宋"/>
                <w:szCs w:val="21"/>
              </w:rPr>
              <w:t>（COD、SS、TN、NH</w:t>
            </w:r>
            <w:r>
              <w:rPr>
                <w:rFonts w:ascii="Times New Roman" w:eastAsia="仿宋"/>
                <w:szCs w:val="21"/>
                <w:vertAlign w:val="subscript"/>
              </w:rPr>
              <w:t>3</w:t>
            </w:r>
            <w:r>
              <w:rPr>
                <w:rFonts w:ascii="Times New Roman" w:eastAsia="仿宋"/>
                <w:szCs w:val="21"/>
              </w:rPr>
              <w:t>-N、TP、动植物油）</w:t>
            </w:r>
          </w:p>
        </w:tc>
      </w:tr>
      <w:tr w14:paraId="2156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14:paraId="21143CB1">
            <w:pPr>
              <w:jc w:val="center"/>
              <w:rPr>
                <w:rFonts w:ascii="Times New Roman" w:eastAsia="仿宋"/>
              </w:rPr>
            </w:pPr>
          </w:p>
        </w:tc>
        <w:tc>
          <w:tcPr>
            <w:tcW w:w="900" w:type="pct"/>
            <w:vAlign w:val="center"/>
          </w:tcPr>
          <w:p w14:paraId="34327B7D">
            <w:pPr>
              <w:jc w:val="center"/>
              <w:rPr>
                <w:rFonts w:ascii="Times New Roman" w:eastAsia="仿宋"/>
                <w:szCs w:val="21"/>
              </w:rPr>
            </w:pPr>
            <w:r>
              <w:rPr>
                <w:rFonts w:ascii="Times New Roman" w:eastAsia="仿宋"/>
                <w:szCs w:val="21"/>
              </w:rPr>
              <w:t>污染物排放清单</w:t>
            </w:r>
          </w:p>
        </w:tc>
        <w:tc>
          <w:tcPr>
            <w:tcW w:w="3662" w:type="pct"/>
            <w:gridSpan w:val="11"/>
            <w:vAlign w:val="center"/>
          </w:tcPr>
          <w:p w14:paraId="3DE2FCDE">
            <w:pPr>
              <w:rPr>
                <w:rFonts w:ascii="Times New Roman" w:eastAsia="仿宋"/>
                <w:szCs w:val="21"/>
              </w:rPr>
            </w:pPr>
            <w:r>
              <w:rPr>
                <w:rFonts w:ascii="Times New Roman" w:eastAsia="仿宋"/>
                <w:b/>
                <w:bCs/>
              </w:rPr>
              <w:t>√</w:t>
            </w:r>
          </w:p>
        </w:tc>
      </w:tr>
      <w:tr w14:paraId="49E4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vAlign w:val="center"/>
          </w:tcPr>
          <w:p w14:paraId="0AF6ECDD">
            <w:pPr>
              <w:jc w:val="center"/>
              <w:rPr>
                <w:rFonts w:ascii="Times New Roman" w:eastAsia="仿宋"/>
                <w:szCs w:val="21"/>
              </w:rPr>
            </w:pPr>
            <w:r>
              <w:rPr>
                <w:rFonts w:ascii="Times New Roman" w:eastAsia="仿宋"/>
                <w:szCs w:val="21"/>
              </w:rPr>
              <w:t>评价结论</w:t>
            </w:r>
          </w:p>
        </w:tc>
        <w:tc>
          <w:tcPr>
            <w:tcW w:w="3662" w:type="pct"/>
            <w:gridSpan w:val="11"/>
            <w:vAlign w:val="center"/>
          </w:tcPr>
          <w:p w14:paraId="04E10395">
            <w:pPr>
              <w:rPr>
                <w:rFonts w:ascii="Times New Roman" w:eastAsia="仿宋"/>
                <w:szCs w:val="21"/>
              </w:rPr>
            </w:pPr>
            <w:r>
              <w:rPr>
                <w:rFonts w:ascii="Times New Roman" w:eastAsia="仿宋"/>
                <w:szCs w:val="21"/>
              </w:rPr>
              <w:t>可以接受</w:t>
            </w:r>
            <w:r>
              <w:rPr>
                <w:rFonts w:ascii="Times New Roman" w:eastAsia="仿宋"/>
                <w:b/>
                <w:bCs/>
              </w:rPr>
              <w:t>√</w:t>
            </w:r>
            <w:r>
              <w:rPr>
                <w:rFonts w:ascii="Times New Roman" w:eastAsia="仿宋"/>
                <w:szCs w:val="21"/>
              </w:rPr>
              <w:t>；不可以接受□</w:t>
            </w:r>
          </w:p>
        </w:tc>
      </w:tr>
      <w:tr w14:paraId="5E7E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vAlign w:val="center"/>
          </w:tcPr>
          <w:p w14:paraId="3A681D95">
            <w:pPr>
              <w:jc w:val="center"/>
              <w:rPr>
                <w:rFonts w:ascii="Times New Roman" w:eastAsia="仿宋"/>
                <w:szCs w:val="21"/>
              </w:rPr>
            </w:pPr>
            <w:r>
              <w:rPr>
                <w:rFonts w:ascii="Times New Roman" w:eastAsia="仿宋"/>
                <w:szCs w:val="21"/>
              </w:rPr>
              <w:t>注：“口”为勾选项，填“√”； “（）”为内容填写项。</w:t>
            </w:r>
          </w:p>
        </w:tc>
      </w:tr>
    </w:tbl>
    <w:p w14:paraId="552496C2">
      <w:pPr>
        <w:spacing w:line="500" w:lineRule="exact"/>
        <w:ind w:firstLine="560" w:firstLineChars="200"/>
        <w:rPr>
          <w:rFonts w:ascii="Times New Roman" w:eastAsia="仿宋"/>
          <w:sz w:val="28"/>
          <w:szCs w:val="28"/>
        </w:rPr>
      </w:pPr>
    </w:p>
    <w:p w14:paraId="0CD9A68A">
      <w:pPr>
        <w:pStyle w:val="6"/>
        <w:keepLines w:val="0"/>
        <w:numPr>
          <w:ilvl w:val="2"/>
          <w:numId w:val="1"/>
        </w:numPr>
        <w:tabs>
          <w:tab w:val="left" w:pos="709"/>
        </w:tabs>
        <w:spacing w:before="0" w:after="120" w:afterLines="50" w:line="500" w:lineRule="exact"/>
        <w:ind w:left="0" w:firstLine="0"/>
        <w:rPr>
          <w:rFonts w:ascii="Times New Roman" w:eastAsia="仿宋"/>
          <w:bCs w:val="0"/>
          <w:sz w:val="28"/>
          <w:szCs w:val="28"/>
        </w:rPr>
        <w:sectPr>
          <w:pgSz w:w="16838" w:h="11906" w:orient="landscape"/>
          <w:pgMar w:top="1418" w:right="1134" w:bottom="1418" w:left="1134" w:header="851" w:footer="992" w:gutter="0"/>
          <w:cols w:space="720" w:num="1"/>
          <w:docGrid w:linePitch="312" w:charSpace="0"/>
        </w:sectPr>
      </w:pPr>
    </w:p>
    <w:p w14:paraId="114EC085">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.2.3声环境影响预测与评价</w:t>
      </w:r>
      <w:bookmarkEnd w:id="343"/>
    </w:p>
    <w:p w14:paraId="04CC4DF2">
      <w:pPr>
        <w:keepNext/>
        <w:widowControl/>
        <w:adjustRightInd w:val="0"/>
        <w:snapToGrid w:val="0"/>
        <w:spacing w:after="120" w:afterLines="50" w:line="500" w:lineRule="exact"/>
        <w:jc w:val="left"/>
        <w:outlineLvl w:val="3"/>
        <w:rPr>
          <w:rFonts w:ascii="Times New Roman" w:eastAsia="仿宋"/>
          <w:b/>
          <w:bCs/>
          <w:sz w:val="28"/>
          <w:szCs w:val="28"/>
        </w:rPr>
      </w:pPr>
      <w:bookmarkStart w:id="344" w:name="_Hlt69035560"/>
      <w:bookmarkStart w:id="345" w:name="_Toc90788346"/>
      <w:bookmarkStart w:id="346" w:name="_Hlt138663576"/>
      <w:r>
        <w:rPr>
          <w:rFonts w:hint="eastAsia" w:ascii="Times New Roman" w:eastAsia="仿宋"/>
          <w:b/>
          <w:bCs/>
          <w:sz w:val="28"/>
          <w:szCs w:val="28"/>
        </w:rPr>
        <w:t>5</w:t>
      </w:r>
      <w:r>
        <w:rPr>
          <w:rFonts w:ascii="Times New Roman" w:eastAsia="仿宋"/>
          <w:b/>
          <w:bCs/>
          <w:sz w:val="28"/>
          <w:szCs w:val="28"/>
        </w:rPr>
        <w:t>.2.3</w:t>
      </w:r>
      <w:r>
        <w:rPr>
          <w:rFonts w:hint="eastAsia" w:ascii="Times New Roman" w:eastAsia="仿宋"/>
          <w:b/>
          <w:bCs/>
          <w:sz w:val="28"/>
          <w:szCs w:val="28"/>
        </w:rPr>
        <w:t>.</w:t>
      </w:r>
      <w:r>
        <w:rPr>
          <w:rFonts w:ascii="Times New Roman" w:eastAsia="仿宋"/>
          <w:b/>
          <w:bCs/>
          <w:sz w:val="28"/>
          <w:szCs w:val="28"/>
        </w:rPr>
        <w:t>1预测内容</w:t>
      </w:r>
    </w:p>
    <w:p w14:paraId="43ACB709">
      <w:pPr>
        <w:autoSpaceDE w:val="0"/>
        <w:autoSpaceDN w:val="0"/>
        <w:adjustRightInd w:val="0"/>
        <w:spacing w:line="500" w:lineRule="exact"/>
        <w:ind w:firstLine="560" w:firstLineChars="200"/>
        <w:rPr>
          <w:rFonts w:ascii="Times New Roman" w:eastAsia="仿宋"/>
          <w:sz w:val="28"/>
          <w:szCs w:val="28"/>
        </w:rPr>
      </w:pPr>
      <w:r>
        <w:rPr>
          <w:rFonts w:ascii="Times New Roman" w:eastAsia="仿宋"/>
          <w:sz w:val="28"/>
          <w:szCs w:val="28"/>
        </w:rPr>
        <w:t>预测范围为厂界，预测时段为正常生产运营期，最终的厂界噪声预测值是本项目的噪声设备的噪声影响值与环境噪声背景值的叠加结果。</w:t>
      </w:r>
    </w:p>
    <w:p w14:paraId="4F8B8BE5">
      <w:pPr>
        <w:keepNext/>
        <w:widowControl/>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5</w:t>
      </w:r>
      <w:r>
        <w:rPr>
          <w:rFonts w:ascii="Times New Roman" w:eastAsia="仿宋"/>
          <w:b/>
          <w:bCs/>
          <w:sz w:val="28"/>
          <w:szCs w:val="28"/>
        </w:rPr>
        <w:t>.2.3.2预测模式</w:t>
      </w:r>
    </w:p>
    <w:p w14:paraId="03B9E543">
      <w:pPr>
        <w:autoSpaceDE w:val="0"/>
        <w:autoSpaceDN w:val="0"/>
        <w:adjustRightInd w:val="0"/>
        <w:spacing w:line="500" w:lineRule="exact"/>
        <w:ind w:firstLine="560" w:firstLineChars="200"/>
        <w:rPr>
          <w:rFonts w:ascii="Times New Roman" w:eastAsia="仿宋"/>
          <w:sz w:val="28"/>
          <w:szCs w:val="28"/>
        </w:rPr>
      </w:pPr>
      <w:r>
        <w:rPr>
          <w:rFonts w:ascii="Times New Roman" w:eastAsia="仿宋"/>
          <w:sz w:val="28"/>
          <w:szCs w:val="28"/>
        </w:rPr>
        <w:t>根据声环境评价导则的规定，选用预测模式，应用过程中将根据情况作必要简化。</w:t>
      </w:r>
    </w:p>
    <w:p w14:paraId="5BCB2300">
      <w:pPr>
        <w:spacing w:line="500" w:lineRule="exact"/>
        <w:ind w:firstLine="560" w:firstLineChars="200"/>
        <w:rPr>
          <w:rFonts w:ascii="Times New Roman" w:eastAsia="仿宋"/>
          <w:sz w:val="28"/>
          <w:szCs w:val="28"/>
        </w:rPr>
      </w:pPr>
      <w:r>
        <w:rPr>
          <w:rFonts w:ascii="Times New Roman" w:eastAsia="仿宋"/>
          <w:sz w:val="28"/>
          <w:szCs w:val="28"/>
        </w:rPr>
        <w:t>预测模式采用《环境影响评价技术导则 声环境》（HJ2.4-2021）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14:paraId="4AC9EE07">
      <w:pPr>
        <w:numPr>
          <w:ilvl w:val="0"/>
          <w:numId w:val="8"/>
        </w:numPr>
        <w:spacing w:line="500" w:lineRule="exact"/>
        <w:rPr>
          <w:rFonts w:ascii="Times New Roman" w:eastAsia="仿宋"/>
          <w:sz w:val="28"/>
          <w:szCs w:val="28"/>
        </w:rPr>
      </w:pPr>
      <w:r>
        <w:rPr>
          <w:rFonts w:ascii="Times New Roman" w:eastAsia="仿宋"/>
          <w:sz w:val="28"/>
          <w:szCs w:val="28"/>
        </w:rPr>
        <w:t xml:space="preserve">室内声源在预测点的声压级计算   </w:t>
      </w:r>
    </w:p>
    <w:p w14:paraId="1E7E509F">
      <w:pPr>
        <w:spacing w:line="500" w:lineRule="exact"/>
        <w:ind w:left="560"/>
        <w:rPr>
          <w:rFonts w:ascii="Times New Roman" w:eastAsia="仿宋"/>
          <w:sz w:val="28"/>
          <w:szCs w:val="28"/>
        </w:rPr>
      </w:pPr>
      <w:r>
        <w:rPr>
          <w:rFonts w:ascii="Times New Roman" w:eastAsia="仿宋"/>
          <w:sz w:val="28"/>
          <w:szCs w:val="28"/>
        </w:rPr>
        <w:t>ⅰ、首先计算出室内靠近围护结构处的倍频带声压级：</w:t>
      </w:r>
    </w:p>
    <w:p w14:paraId="4C95188E">
      <w:pPr>
        <w:tabs>
          <w:tab w:val="left" w:pos="7380"/>
        </w:tabs>
        <w:overflowPunct w:val="0"/>
        <w:jc w:val="center"/>
        <w:rPr>
          <w:rFonts w:ascii="Times New Roman" w:eastAsia="仿宋"/>
          <w:b/>
        </w:rPr>
      </w:pPr>
      <w:r>
        <w:rPr>
          <w:rFonts w:ascii="Times New Roman" w:eastAsia="仿宋"/>
        </w:rPr>
        <w:drawing>
          <wp:inline distT="0" distB="0" distL="0" distR="0">
            <wp:extent cx="2504440" cy="620395"/>
            <wp:effectExtent l="0" t="0" r="0" b="0"/>
            <wp:docPr id="4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504440" cy="620395"/>
                    </a:xfrm>
                    <a:prstGeom prst="rect">
                      <a:avLst/>
                    </a:prstGeom>
                    <a:noFill/>
                    <a:ln>
                      <a:noFill/>
                    </a:ln>
                  </pic:spPr>
                </pic:pic>
              </a:graphicData>
            </a:graphic>
          </wp:inline>
        </w:drawing>
      </w:r>
    </w:p>
    <w:p w14:paraId="2A89E27D">
      <w:pPr>
        <w:spacing w:line="500" w:lineRule="exact"/>
        <w:ind w:firstLine="560" w:firstLineChars="200"/>
        <w:rPr>
          <w:rFonts w:ascii="Times New Roman" w:eastAsia="仿宋"/>
          <w:sz w:val="28"/>
          <w:szCs w:val="28"/>
        </w:rPr>
      </w:pPr>
      <w:r>
        <w:rPr>
          <w:rFonts w:ascii="Times New Roman" w:eastAsia="仿宋"/>
          <w:sz w:val="28"/>
          <w:szCs w:val="28"/>
        </w:rPr>
        <w:t>式中: L</w:t>
      </w:r>
      <w:r>
        <w:rPr>
          <w:rFonts w:ascii="Times New Roman" w:eastAsia="仿宋"/>
          <w:i/>
          <w:iCs/>
          <w:sz w:val="28"/>
          <w:szCs w:val="28"/>
          <w:vertAlign w:val="subscript"/>
        </w:rPr>
        <w:t>p1</w:t>
      </w:r>
      <w:r>
        <w:rPr>
          <w:rFonts w:ascii="Times New Roman" w:eastAsia="仿宋"/>
          <w:sz w:val="28"/>
          <w:szCs w:val="28"/>
        </w:rPr>
        <w:t>—靠近开口处(或窗户)室内某倍频带的声压级或A声级，dB；</w:t>
      </w:r>
    </w:p>
    <w:p w14:paraId="5266BA4D">
      <w:pPr>
        <w:spacing w:line="500" w:lineRule="exact"/>
        <w:ind w:firstLine="1260" w:firstLineChars="450"/>
        <w:rPr>
          <w:rFonts w:ascii="Times New Roman" w:eastAsia="仿宋"/>
          <w:sz w:val="28"/>
          <w:szCs w:val="28"/>
        </w:rPr>
      </w:pPr>
      <w:r>
        <w:rPr>
          <w:rFonts w:ascii="Times New Roman" w:eastAsia="仿宋"/>
          <w:sz w:val="28"/>
          <w:szCs w:val="28"/>
        </w:rPr>
        <w:t>L</w:t>
      </w:r>
      <w:r>
        <w:rPr>
          <w:rFonts w:ascii="Times New Roman" w:eastAsia="仿宋"/>
          <w:i/>
          <w:iCs/>
          <w:sz w:val="28"/>
          <w:szCs w:val="28"/>
          <w:vertAlign w:val="subscript"/>
        </w:rPr>
        <w:t>w</w:t>
      </w:r>
      <w:r>
        <w:rPr>
          <w:rFonts w:ascii="Times New Roman" w:eastAsia="仿宋"/>
          <w:sz w:val="28"/>
          <w:szCs w:val="28"/>
        </w:rPr>
        <w:t>—点声源声功率级(A计权或倍频带)，dB；</w:t>
      </w:r>
    </w:p>
    <w:p w14:paraId="212377EB">
      <w:pPr>
        <w:spacing w:line="500" w:lineRule="exact"/>
        <w:ind w:firstLine="1260" w:firstLineChars="450"/>
        <w:rPr>
          <w:rFonts w:ascii="Times New Roman" w:eastAsia="仿宋"/>
          <w:sz w:val="28"/>
          <w:szCs w:val="28"/>
        </w:rPr>
      </w:pPr>
      <w:r>
        <w:rPr>
          <w:rFonts w:ascii="Times New Roman" w:eastAsia="仿宋"/>
          <w:sz w:val="28"/>
          <w:szCs w:val="28"/>
        </w:rPr>
        <w:t>Q—指向性因数；通常对无指向性声源，当声源放在房间中心时，Q=1；当放在一面墙的中心时，Q=2；当放在两面墙夹角处时，Q=4；当放在三面墙夹角处时，Q=8；</w:t>
      </w:r>
    </w:p>
    <w:p w14:paraId="5A387754">
      <w:pPr>
        <w:spacing w:line="500" w:lineRule="exact"/>
        <w:ind w:firstLine="1260" w:firstLineChars="450"/>
        <w:rPr>
          <w:rFonts w:ascii="Times New Roman" w:eastAsia="仿宋"/>
          <w:sz w:val="28"/>
          <w:szCs w:val="28"/>
        </w:rPr>
      </w:pPr>
      <w:r>
        <w:rPr>
          <w:rFonts w:ascii="Times New Roman" w:eastAsia="仿宋"/>
          <w:sz w:val="28"/>
          <w:szCs w:val="28"/>
        </w:rPr>
        <w:t>R—房间常数；R=Sa/(1-a)，S为房间内表面面积，m</w:t>
      </w:r>
      <w:r>
        <w:rPr>
          <w:rFonts w:ascii="Times New Roman" w:eastAsia="仿宋"/>
          <w:sz w:val="28"/>
          <w:szCs w:val="28"/>
          <w:vertAlign w:val="superscript"/>
        </w:rPr>
        <w:t>2</w:t>
      </w:r>
      <w:r>
        <w:rPr>
          <w:rFonts w:ascii="Times New Roman" w:eastAsia="仿宋"/>
          <w:sz w:val="28"/>
          <w:szCs w:val="28"/>
        </w:rPr>
        <w:t>；a为平均吸声系数；</w:t>
      </w:r>
    </w:p>
    <w:p w14:paraId="564714C3">
      <w:pPr>
        <w:spacing w:line="500" w:lineRule="exact"/>
        <w:ind w:firstLine="1260" w:firstLineChars="450"/>
        <w:rPr>
          <w:rFonts w:ascii="Times New Roman" w:eastAsia="仿宋"/>
          <w:sz w:val="28"/>
          <w:szCs w:val="28"/>
        </w:rPr>
      </w:pPr>
      <w:r>
        <w:rPr>
          <w:rFonts w:ascii="Times New Roman" w:eastAsia="仿宋"/>
          <w:sz w:val="28"/>
          <w:szCs w:val="28"/>
        </w:rPr>
        <w:t>r—声源到靠近围护结构某点处的距离，m。</w:t>
      </w:r>
    </w:p>
    <w:p w14:paraId="7A4A329E">
      <w:pPr>
        <w:spacing w:line="500" w:lineRule="exact"/>
        <w:ind w:firstLine="560" w:firstLineChars="200"/>
        <w:rPr>
          <w:rFonts w:ascii="Times New Roman" w:eastAsia="仿宋"/>
          <w:sz w:val="28"/>
          <w:szCs w:val="28"/>
        </w:rPr>
      </w:pPr>
      <w:r>
        <w:rPr>
          <w:rFonts w:ascii="Times New Roman" w:eastAsia="仿宋"/>
          <w:sz w:val="28"/>
          <w:szCs w:val="28"/>
        </w:rPr>
        <w:t>ⅱ、计算出所有室内声源在围护结构处产生的i倍频带叠加声压级：</w:t>
      </w:r>
    </w:p>
    <w:p w14:paraId="74E6DF11">
      <w:pPr>
        <w:spacing w:after="120"/>
        <w:jc w:val="center"/>
        <w:rPr>
          <w:rFonts w:ascii="Times New Roman" w:eastAsia="仿宋"/>
        </w:rPr>
      </w:pPr>
      <w:r>
        <w:rPr>
          <w:rFonts w:ascii="Times New Roman" w:eastAsia="仿宋"/>
        </w:rPr>
        <w:drawing>
          <wp:inline distT="0" distB="0" distL="0" distR="0">
            <wp:extent cx="2035810" cy="572770"/>
            <wp:effectExtent l="0" t="0" r="0" b="0"/>
            <wp:docPr id="4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035810" cy="572770"/>
                    </a:xfrm>
                    <a:prstGeom prst="rect">
                      <a:avLst/>
                    </a:prstGeom>
                    <a:noFill/>
                    <a:ln>
                      <a:noFill/>
                    </a:ln>
                  </pic:spPr>
                </pic:pic>
              </a:graphicData>
            </a:graphic>
          </wp:inline>
        </w:drawing>
      </w:r>
    </w:p>
    <w:p w14:paraId="713480E6">
      <w:pPr>
        <w:spacing w:line="500" w:lineRule="exact"/>
        <w:ind w:firstLine="560" w:firstLineChars="200"/>
        <w:rPr>
          <w:rFonts w:ascii="Times New Roman" w:eastAsia="仿宋"/>
          <w:sz w:val="28"/>
          <w:szCs w:val="28"/>
        </w:rPr>
      </w:pPr>
      <w:r>
        <w:rPr>
          <w:rFonts w:ascii="Times New Roman" w:eastAsia="仿宋"/>
          <w:sz w:val="28"/>
          <w:szCs w:val="28"/>
        </w:rPr>
        <w:t>式中：</w:t>
      </w:r>
      <w:r>
        <w:rPr>
          <w:rFonts w:ascii="Times New Roman" w:eastAsia="仿宋"/>
          <w:i/>
          <w:iCs/>
          <w:sz w:val="28"/>
          <w:szCs w:val="28"/>
        </w:rPr>
        <w:t>L</w:t>
      </w:r>
      <w:r>
        <w:rPr>
          <w:rFonts w:ascii="Times New Roman" w:eastAsia="仿宋"/>
          <w:i/>
          <w:iCs/>
          <w:sz w:val="28"/>
          <w:szCs w:val="28"/>
          <w:vertAlign w:val="subscript"/>
        </w:rPr>
        <w:t>pli</w:t>
      </w:r>
      <w:r>
        <w:rPr>
          <w:rFonts w:ascii="Times New Roman" w:eastAsia="仿宋"/>
          <w:sz w:val="28"/>
          <w:szCs w:val="28"/>
          <w:vertAlign w:val="subscript"/>
        </w:rPr>
        <w:t xml:space="preserve"> </w:t>
      </w:r>
      <w:r>
        <w:rPr>
          <w:rFonts w:ascii="Times New Roman" w:eastAsia="仿宋"/>
          <w:sz w:val="28"/>
          <w:szCs w:val="28"/>
        </w:rPr>
        <w:t>(T)—靠近围护结构处室内N个声源</w:t>
      </w:r>
      <w:r>
        <w:rPr>
          <w:rFonts w:ascii="Times New Roman" w:eastAsia="仿宋"/>
          <w:i/>
          <w:iCs/>
          <w:sz w:val="28"/>
          <w:szCs w:val="28"/>
        </w:rPr>
        <w:t>i</w:t>
      </w:r>
      <w:r>
        <w:rPr>
          <w:rFonts w:ascii="Times New Roman" w:eastAsia="仿宋"/>
          <w:sz w:val="28"/>
          <w:szCs w:val="28"/>
        </w:rPr>
        <w:t>倍频带的叠加声压级，dB；</w:t>
      </w:r>
    </w:p>
    <w:p w14:paraId="5032B1D8">
      <w:pPr>
        <w:spacing w:line="500" w:lineRule="exact"/>
        <w:ind w:firstLine="560" w:firstLineChars="200"/>
        <w:rPr>
          <w:rFonts w:ascii="Times New Roman" w:eastAsia="仿宋"/>
          <w:sz w:val="28"/>
          <w:szCs w:val="28"/>
        </w:rPr>
      </w:pPr>
      <w:r>
        <w:rPr>
          <w:rFonts w:ascii="Times New Roman" w:eastAsia="仿宋"/>
          <w:i/>
          <w:iCs/>
          <w:sz w:val="28"/>
          <w:szCs w:val="28"/>
        </w:rPr>
        <w:t>L</w:t>
      </w:r>
      <w:r>
        <w:rPr>
          <w:rFonts w:ascii="Times New Roman" w:eastAsia="仿宋"/>
          <w:i/>
          <w:iCs/>
          <w:sz w:val="28"/>
          <w:szCs w:val="28"/>
          <w:vertAlign w:val="subscript"/>
        </w:rPr>
        <w:t>plij</w:t>
      </w:r>
      <w:r>
        <w:rPr>
          <w:rFonts w:ascii="Times New Roman" w:eastAsia="仿宋"/>
          <w:sz w:val="28"/>
          <w:szCs w:val="28"/>
        </w:rPr>
        <w:t>—室内</w:t>
      </w:r>
      <w:r>
        <w:rPr>
          <w:rFonts w:ascii="Times New Roman" w:eastAsia="仿宋"/>
          <w:i/>
          <w:iCs/>
          <w:sz w:val="28"/>
          <w:szCs w:val="28"/>
        </w:rPr>
        <w:t>j</w:t>
      </w:r>
      <w:r>
        <w:rPr>
          <w:rFonts w:ascii="Times New Roman" w:eastAsia="仿宋"/>
          <w:sz w:val="28"/>
          <w:szCs w:val="28"/>
        </w:rPr>
        <w:t>声源</w:t>
      </w:r>
      <w:r>
        <w:rPr>
          <w:rFonts w:ascii="Times New Roman" w:eastAsia="仿宋"/>
          <w:i/>
          <w:iCs/>
          <w:sz w:val="28"/>
          <w:szCs w:val="28"/>
        </w:rPr>
        <w:t>i</w:t>
      </w:r>
      <w:r>
        <w:rPr>
          <w:rFonts w:ascii="Times New Roman" w:eastAsia="仿宋"/>
          <w:sz w:val="28"/>
          <w:szCs w:val="28"/>
        </w:rPr>
        <w:t>倍频带的声压级，dB；</w:t>
      </w:r>
    </w:p>
    <w:p w14:paraId="796F9C50">
      <w:pPr>
        <w:spacing w:line="500" w:lineRule="exact"/>
        <w:ind w:firstLine="560" w:firstLineChars="200"/>
        <w:rPr>
          <w:rFonts w:ascii="Times New Roman" w:eastAsia="仿宋"/>
          <w:sz w:val="28"/>
          <w:szCs w:val="28"/>
        </w:rPr>
      </w:pPr>
      <w:r>
        <w:rPr>
          <w:rFonts w:ascii="Times New Roman" w:eastAsia="仿宋"/>
          <w:i/>
          <w:iCs/>
          <w:sz w:val="28"/>
          <w:szCs w:val="28"/>
        </w:rPr>
        <w:t>N</w:t>
      </w:r>
      <w:r>
        <w:rPr>
          <w:rFonts w:ascii="Times New Roman" w:eastAsia="仿宋"/>
          <w:sz w:val="28"/>
          <w:szCs w:val="28"/>
        </w:rPr>
        <w:t>—室内声源总数。</w:t>
      </w:r>
    </w:p>
    <w:p w14:paraId="07579635">
      <w:pPr>
        <w:spacing w:line="500" w:lineRule="exact"/>
        <w:ind w:firstLine="560" w:firstLineChars="200"/>
        <w:rPr>
          <w:rFonts w:ascii="Times New Roman" w:eastAsia="仿宋"/>
          <w:sz w:val="28"/>
          <w:szCs w:val="28"/>
        </w:rPr>
      </w:pPr>
      <w:r>
        <w:rPr>
          <w:rFonts w:ascii="Times New Roman" w:eastAsia="仿宋"/>
          <w:sz w:val="28"/>
          <w:szCs w:val="28"/>
        </w:rPr>
        <w:t>ⅲ、在室内近似为扩散声场时，按下式计算出靠近室外围护结构处的声压级：</w:t>
      </w:r>
    </w:p>
    <w:p w14:paraId="7B12F9DA">
      <w:pPr>
        <w:tabs>
          <w:tab w:val="left" w:pos="1260"/>
        </w:tabs>
        <w:ind w:left="1260" w:hanging="720"/>
        <w:jc w:val="center"/>
        <w:rPr>
          <w:rFonts w:ascii="Times New Roman" w:eastAsia="仿宋"/>
        </w:rPr>
      </w:pPr>
      <w:r>
        <w:rPr>
          <w:rFonts w:ascii="Times New Roman" w:eastAsia="仿宋"/>
        </w:rPr>
        <w:drawing>
          <wp:inline distT="0" distB="0" distL="0" distR="0">
            <wp:extent cx="2321560" cy="349885"/>
            <wp:effectExtent l="0" t="0" r="0" b="0"/>
            <wp:docPr id="4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321560" cy="349885"/>
                    </a:xfrm>
                    <a:prstGeom prst="rect">
                      <a:avLst/>
                    </a:prstGeom>
                    <a:noFill/>
                    <a:ln>
                      <a:noFill/>
                    </a:ln>
                  </pic:spPr>
                </pic:pic>
              </a:graphicData>
            </a:graphic>
          </wp:inline>
        </w:drawing>
      </w:r>
    </w:p>
    <w:p w14:paraId="7368561C">
      <w:pPr>
        <w:spacing w:line="500" w:lineRule="exact"/>
        <w:ind w:firstLine="560" w:firstLineChars="200"/>
        <w:rPr>
          <w:rFonts w:ascii="Times New Roman" w:eastAsia="仿宋"/>
          <w:sz w:val="28"/>
          <w:szCs w:val="28"/>
        </w:rPr>
      </w:pPr>
      <w:r>
        <w:rPr>
          <w:rFonts w:ascii="Times New Roman" w:eastAsia="仿宋"/>
          <w:sz w:val="28"/>
          <w:szCs w:val="28"/>
        </w:rPr>
        <w:t xml:space="preserve">式中： </w:t>
      </w:r>
      <w:r>
        <w:rPr>
          <w:rFonts w:ascii="Times New Roman" w:eastAsia="仿宋"/>
          <w:i/>
          <w:iCs/>
          <w:sz w:val="28"/>
          <w:szCs w:val="28"/>
        </w:rPr>
        <w:t>L</w:t>
      </w:r>
      <w:r>
        <w:rPr>
          <w:rFonts w:ascii="Times New Roman" w:eastAsia="仿宋"/>
          <w:i/>
          <w:iCs/>
          <w:sz w:val="28"/>
          <w:szCs w:val="28"/>
          <w:vertAlign w:val="subscript"/>
        </w:rPr>
        <w:t>p2i</w:t>
      </w:r>
      <w:r>
        <w:rPr>
          <w:rFonts w:ascii="Times New Roman" w:eastAsia="仿宋"/>
          <w:sz w:val="28"/>
          <w:szCs w:val="28"/>
        </w:rPr>
        <w:t>(T)—靠近围护结构处室外N个声源i倍频带的叠加声压级，dB；</w:t>
      </w:r>
    </w:p>
    <w:p w14:paraId="762EE652">
      <w:pPr>
        <w:spacing w:line="500" w:lineRule="exact"/>
        <w:ind w:firstLine="560" w:firstLineChars="200"/>
        <w:rPr>
          <w:rFonts w:ascii="Times New Roman" w:eastAsia="仿宋"/>
          <w:sz w:val="28"/>
          <w:szCs w:val="28"/>
        </w:rPr>
      </w:pPr>
      <w:r>
        <w:rPr>
          <w:rFonts w:ascii="Times New Roman" w:eastAsia="仿宋"/>
          <w:i/>
          <w:iCs/>
          <w:sz w:val="28"/>
          <w:szCs w:val="28"/>
        </w:rPr>
        <w:t>L</w:t>
      </w:r>
      <w:r>
        <w:rPr>
          <w:rFonts w:ascii="Times New Roman" w:eastAsia="仿宋"/>
          <w:i/>
          <w:iCs/>
          <w:sz w:val="28"/>
          <w:szCs w:val="28"/>
          <w:vertAlign w:val="subscript"/>
        </w:rPr>
        <w:t>pli</w:t>
      </w:r>
      <w:r>
        <w:rPr>
          <w:rFonts w:ascii="Times New Roman" w:eastAsia="仿宋"/>
          <w:sz w:val="28"/>
          <w:szCs w:val="28"/>
        </w:rPr>
        <w:t>(T)—靠近围护结构处室内N个声源i倍频带的叠加声压级，dB；</w:t>
      </w:r>
    </w:p>
    <w:p w14:paraId="3AFDAE86">
      <w:pPr>
        <w:spacing w:line="500" w:lineRule="exact"/>
        <w:ind w:firstLine="560" w:firstLineChars="200"/>
        <w:rPr>
          <w:rFonts w:ascii="Times New Roman" w:eastAsia="仿宋"/>
          <w:sz w:val="28"/>
          <w:szCs w:val="28"/>
        </w:rPr>
      </w:pPr>
      <w:r>
        <w:rPr>
          <w:rFonts w:ascii="Times New Roman" w:eastAsia="仿宋"/>
          <w:i/>
          <w:iCs/>
          <w:sz w:val="28"/>
          <w:szCs w:val="28"/>
        </w:rPr>
        <w:t>TL</w:t>
      </w:r>
      <w:r>
        <w:rPr>
          <w:rFonts w:ascii="Times New Roman" w:eastAsia="仿宋"/>
          <w:i/>
          <w:iCs/>
          <w:sz w:val="28"/>
          <w:szCs w:val="28"/>
          <w:vertAlign w:val="subscript"/>
        </w:rPr>
        <w:t>i</w:t>
      </w:r>
      <w:r>
        <w:rPr>
          <w:rFonts w:ascii="Times New Roman" w:eastAsia="仿宋"/>
          <w:sz w:val="28"/>
          <w:szCs w:val="28"/>
        </w:rPr>
        <w:t>—围护结构i倍频带的隔声量，dB。</w:t>
      </w:r>
    </w:p>
    <w:p w14:paraId="46F4E57F">
      <w:pPr>
        <w:spacing w:line="500" w:lineRule="exact"/>
        <w:ind w:firstLine="560" w:firstLineChars="200"/>
        <w:rPr>
          <w:rFonts w:ascii="Times New Roman" w:eastAsia="仿宋"/>
          <w:sz w:val="28"/>
          <w:szCs w:val="28"/>
        </w:rPr>
      </w:pPr>
      <w:r>
        <w:rPr>
          <w:rFonts w:ascii="Times New Roman" w:eastAsia="仿宋"/>
          <w:sz w:val="28"/>
          <w:szCs w:val="28"/>
        </w:rPr>
        <w:t>然后按式下式将室外声源的声压级和透过面积换算成等效的室外声源，计算出中心位置位于透声面积（S）处的等效声源的倍频带声功率级。</w:t>
      </w:r>
    </w:p>
    <w:p w14:paraId="254FEFCF">
      <w:pPr>
        <w:tabs>
          <w:tab w:val="left" w:pos="1260"/>
        </w:tabs>
        <w:ind w:left="1260" w:hanging="720"/>
        <w:jc w:val="center"/>
        <w:rPr>
          <w:rFonts w:ascii="Times New Roman" w:eastAsia="仿宋"/>
        </w:rPr>
      </w:pPr>
      <w:r>
        <w:rPr>
          <w:rFonts w:ascii="Times New Roman" w:eastAsia="仿宋"/>
        </w:rPr>
        <w:drawing>
          <wp:inline distT="0" distB="0" distL="0" distR="0">
            <wp:extent cx="2337435" cy="302260"/>
            <wp:effectExtent l="0" t="0" r="0" b="0"/>
            <wp:docPr id="4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37435" cy="302260"/>
                    </a:xfrm>
                    <a:prstGeom prst="rect">
                      <a:avLst/>
                    </a:prstGeom>
                    <a:noFill/>
                    <a:ln>
                      <a:noFill/>
                    </a:ln>
                  </pic:spPr>
                </pic:pic>
              </a:graphicData>
            </a:graphic>
          </wp:inline>
        </w:drawing>
      </w:r>
    </w:p>
    <w:p w14:paraId="77F44AB9">
      <w:pPr>
        <w:spacing w:line="500" w:lineRule="exact"/>
        <w:ind w:firstLine="560" w:firstLineChars="200"/>
        <w:rPr>
          <w:rFonts w:ascii="Times New Roman" w:eastAsia="仿宋"/>
          <w:sz w:val="28"/>
          <w:szCs w:val="28"/>
        </w:rPr>
      </w:pPr>
      <w:r>
        <w:rPr>
          <w:rFonts w:ascii="Times New Roman" w:eastAsia="仿宋"/>
          <w:sz w:val="28"/>
          <w:szCs w:val="28"/>
        </w:rPr>
        <w:t xml:space="preserve">式中: </w:t>
      </w:r>
      <w:r>
        <w:rPr>
          <w:rFonts w:ascii="Times New Roman" w:eastAsia="仿宋"/>
          <w:i/>
          <w:iCs/>
          <w:sz w:val="28"/>
          <w:szCs w:val="28"/>
        </w:rPr>
        <w:t>Lw</w:t>
      </w:r>
      <w:r>
        <w:rPr>
          <w:rFonts w:ascii="Times New Roman" w:eastAsia="仿宋"/>
          <w:sz w:val="28"/>
          <w:szCs w:val="28"/>
        </w:rPr>
        <w:t>—中心位置位于透声面积(S)处的等效声源的倍频带声功率级，dB；</w:t>
      </w:r>
    </w:p>
    <w:p w14:paraId="7CD19BFC">
      <w:pPr>
        <w:spacing w:line="500" w:lineRule="exact"/>
        <w:ind w:firstLine="1260" w:firstLineChars="450"/>
        <w:rPr>
          <w:rFonts w:ascii="Times New Roman" w:eastAsia="仿宋"/>
          <w:sz w:val="28"/>
          <w:szCs w:val="28"/>
        </w:rPr>
      </w:pPr>
      <w:r>
        <w:rPr>
          <w:rFonts w:ascii="Times New Roman" w:eastAsia="仿宋"/>
          <w:i/>
          <w:iCs/>
          <w:sz w:val="28"/>
          <w:szCs w:val="28"/>
        </w:rPr>
        <w:t>L</w:t>
      </w:r>
      <w:r>
        <w:rPr>
          <w:rFonts w:ascii="Times New Roman" w:eastAsia="仿宋"/>
          <w:i/>
          <w:iCs/>
          <w:sz w:val="28"/>
          <w:szCs w:val="28"/>
          <w:vertAlign w:val="subscript"/>
        </w:rPr>
        <w:t>p2</w:t>
      </w:r>
      <w:r>
        <w:rPr>
          <w:rFonts w:ascii="Times New Roman" w:eastAsia="仿宋"/>
          <w:sz w:val="28"/>
          <w:szCs w:val="28"/>
        </w:rPr>
        <w:t>(T)—靠近围护结构处室外声源的声压级，dB；</w:t>
      </w:r>
    </w:p>
    <w:p w14:paraId="5C2D58BE">
      <w:pPr>
        <w:spacing w:line="500" w:lineRule="exact"/>
        <w:ind w:firstLine="1260" w:firstLineChars="450"/>
        <w:rPr>
          <w:rFonts w:ascii="Times New Roman" w:eastAsia="仿宋"/>
          <w:sz w:val="28"/>
          <w:szCs w:val="28"/>
        </w:rPr>
      </w:pPr>
      <w:r>
        <w:rPr>
          <w:rFonts w:ascii="Times New Roman" w:eastAsia="仿宋"/>
          <w:sz w:val="28"/>
          <w:szCs w:val="28"/>
        </w:rPr>
        <w:t>S—透声面积，m</w:t>
      </w:r>
      <w:r>
        <w:rPr>
          <w:rFonts w:ascii="Times New Roman" w:eastAsia="仿宋"/>
          <w:sz w:val="28"/>
          <w:szCs w:val="28"/>
          <w:vertAlign w:val="superscript"/>
        </w:rPr>
        <w:t>2</w:t>
      </w:r>
      <w:r>
        <w:rPr>
          <w:rFonts w:ascii="Times New Roman" w:eastAsia="仿宋"/>
          <w:sz w:val="28"/>
          <w:szCs w:val="28"/>
        </w:rPr>
        <w:t>。</w:t>
      </w:r>
    </w:p>
    <w:p w14:paraId="410AF302">
      <w:pPr>
        <w:spacing w:line="500" w:lineRule="exact"/>
        <w:ind w:firstLine="478" w:firstLineChars="171"/>
        <w:rPr>
          <w:rFonts w:ascii="Times New Roman" w:eastAsia="仿宋"/>
          <w:sz w:val="28"/>
          <w:szCs w:val="28"/>
        </w:rPr>
      </w:pPr>
      <w:r>
        <w:rPr>
          <w:rFonts w:ascii="Times New Roman" w:eastAsia="仿宋"/>
          <w:sz w:val="28"/>
          <w:szCs w:val="28"/>
        </w:rPr>
        <w:t>根据《环境影响评价技术导则 声环境》(HJ2.4-2021)中建设项目声环境影响评价表格要求：工业企业噪声源强调查清单（室内声源）如下表所示：</w:t>
      </w:r>
    </w:p>
    <w:p w14:paraId="4D231945">
      <w:pPr>
        <w:spacing w:line="500" w:lineRule="exact"/>
        <w:ind w:firstLine="412" w:firstLineChars="171"/>
        <w:jc w:val="center"/>
        <w:rPr>
          <w:rFonts w:ascii="Times New Roman" w:eastAsia="仿宋"/>
          <w:b/>
        </w:rPr>
        <w:sectPr>
          <w:pgSz w:w="11906" w:h="16838"/>
          <w:pgMar w:top="1440" w:right="1797" w:bottom="1440" w:left="1797" w:header="539" w:footer="992" w:gutter="0"/>
          <w:cols w:space="720" w:num="1"/>
          <w:docGrid w:linePitch="286" w:charSpace="0"/>
        </w:sectPr>
      </w:pPr>
    </w:p>
    <w:p w14:paraId="3E7A6B76">
      <w:pPr>
        <w:spacing w:line="500" w:lineRule="exact"/>
        <w:ind w:firstLine="412" w:firstLineChars="171"/>
        <w:jc w:val="center"/>
        <w:rPr>
          <w:rFonts w:ascii="Times New Roman" w:eastAsia="仿宋"/>
          <w:b/>
          <w:bCs/>
        </w:rPr>
      </w:pPr>
      <w:r>
        <w:rPr>
          <w:rFonts w:ascii="Times New Roman" w:eastAsia="仿宋"/>
          <w:b/>
        </w:rPr>
        <w:t xml:space="preserve">表5.2-31   </w:t>
      </w:r>
      <w:r>
        <w:rPr>
          <w:rFonts w:ascii="Times New Roman" w:eastAsia="仿宋"/>
          <w:b/>
          <w:bCs/>
        </w:rPr>
        <w:t>工业企业噪声源强调查清单（室内声源）</w:t>
      </w:r>
    </w:p>
    <w:tbl>
      <w:tblPr>
        <w:tblStyle w:val="87"/>
        <w:tblW w:w="45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682"/>
        <w:gridCol w:w="1285"/>
        <w:gridCol w:w="921"/>
        <w:gridCol w:w="745"/>
        <w:gridCol w:w="890"/>
        <w:gridCol w:w="768"/>
        <w:gridCol w:w="610"/>
        <w:gridCol w:w="1251"/>
        <w:gridCol w:w="1279"/>
        <w:gridCol w:w="566"/>
        <w:gridCol w:w="1303"/>
        <w:gridCol w:w="1386"/>
        <w:gridCol w:w="825"/>
      </w:tblGrid>
      <w:tr w14:paraId="2884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Merge w:val="restart"/>
            <w:vAlign w:val="center"/>
          </w:tcPr>
          <w:p w14:paraId="74803867">
            <w:pPr>
              <w:autoSpaceDE w:val="0"/>
              <w:autoSpaceDN w:val="0"/>
              <w:jc w:val="center"/>
              <w:rPr>
                <w:rFonts w:ascii="Times New Roman" w:eastAsia="仿宋"/>
                <w:szCs w:val="21"/>
                <w:lang w:eastAsia="en-US"/>
              </w:rPr>
            </w:pPr>
            <w:r>
              <w:rPr>
                <w:rFonts w:ascii="Times New Roman" w:eastAsia="仿宋"/>
                <w:szCs w:val="21"/>
                <w:lang w:eastAsia="en-US"/>
              </w:rPr>
              <w:t>序号</w:t>
            </w:r>
          </w:p>
        </w:tc>
        <w:tc>
          <w:tcPr>
            <w:tcW w:w="263" w:type="pct"/>
            <w:vMerge w:val="restart"/>
            <w:vAlign w:val="center"/>
          </w:tcPr>
          <w:p w14:paraId="2FAC3BC5">
            <w:pPr>
              <w:autoSpaceDE w:val="0"/>
              <w:autoSpaceDN w:val="0"/>
              <w:jc w:val="center"/>
              <w:rPr>
                <w:rFonts w:ascii="Times New Roman" w:eastAsia="仿宋"/>
                <w:szCs w:val="21"/>
                <w:lang w:eastAsia="en-US"/>
              </w:rPr>
            </w:pPr>
            <w:r>
              <w:rPr>
                <w:rFonts w:ascii="Times New Roman" w:eastAsia="仿宋"/>
                <w:szCs w:val="21"/>
                <w:lang w:eastAsia="en-US"/>
              </w:rPr>
              <w:t>建筑物名称</w:t>
            </w:r>
          </w:p>
        </w:tc>
        <w:tc>
          <w:tcPr>
            <w:tcW w:w="495" w:type="pct"/>
            <w:vMerge w:val="restart"/>
            <w:vAlign w:val="center"/>
          </w:tcPr>
          <w:p w14:paraId="2323F2D5">
            <w:pPr>
              <w:autoSpaceDE w:val="0"/>
              <w:autoSpaceDN w:val="0"/>
              <w:jc w:val="center"/>
              <w:rPr>
                <w:rFonts w:ascii="Times New Roman" w:eastAsia="仿宋"/>
                <w:szCs w:val="21"/>
                <w:lang w:eastAsia="en-US"/>
              </w:rPr>
            </w:pPr>
            <w:r>
              <w:rPr>
                <w:rFonts w:ascii="Times New Roman" w:eastAsia="仿宋"/>
                <w:szCs w:val="21"/>
                <w:lang w:eastAsia="en-US"/>
              </w:rPr>
              <w:t>声源名称</w:t>
            </w:r>
          </w:p>
        </w:tc>
        <w:tc>
          <w:tcPr>
            <w:tcW w:w="355" w:type="pct"/>
            <w:vAlign w:val="center"/>
          </w:tcPr>
          <w:p w14:paraId="2DA89293">
            <w:pPr>
              <w:autoSpaceDE w:val="0"/>
              <w:autoSpaceDN w:val="0"/>
              <w:jc w:val="center"/>
              <w:rPr>
                <w:rFonts w:ascii="Times New Roman" w:eastAsia="仿宋"/>
                <w:szCs w:val="21"/>
              </w:rPr>
            </w:pPr>
            <w:r>
              <w:rPr>
                <w:rFonts w:ascii="Times New Roman" w:eastAsia="仿宋"/>
                <w:szCs w:val="21"/>
              </w:rPr>
              <w:t>声源源强</w:t>
            </w:r>
          </w:p>
        </w:tc>
        <w:tc>
          <w:tcPr>
            <w:tcW w:w="287" w:type="pct"/>
            <w:vMerge w:val="restart"/>
            <w:vAlign w:val="center"/>
          </w:tcPr>
          <w:p w14:paraId="2D93EB7D">
            <w:pPr>
              <w:autoSpaceDE w:val="0"/>
              <w:autoSpaceDN w:val="0"/>
              <w:jc w:val="center"/>
              <w:rPr>
                <w:rFonts w:ascii="Times New Roman" w:eastAsia="仿宋"/>
                <w:szCs w:val="21"/>
                <w:lang w:eastAsia="en-US"/>
              </w:rPr>
            </w:pPr>
            <w:r>
              <w:rPr>
                <w:rFonts w:ascii="Times New Roman" w:eastAsia="仿宋"/>
                <w:szCs w:val="21"/>
                <w:lang w:eastAsia="en-US"/>
              </w:rPr>
              <w:t>声源控制措施</w:t>
            </w:r>
          </w:p>
        </w:tc>
        <w:tc>
          <w:tcPr>
            <w:tcW w:w="874" w:type="pct"/>
            <w:gridSpan w:val="3"/>
            <w:vAlign w:val="center"/>
          </w:tcPr>
          <w:p w14:paraId="37B64C93">
            <w:pPr>
              <w:autoSpaceDE w:val="0"/>
              <w:autoSpaceDN w:val="0"/>
              <w:jc w:val="center"/>
              <w:rPr>
                <w:rFonts w:ascii="Times New Roman" w:eastAsia="仿宋"/>
                <w:szCs w:val="21"/>
                <w:lang w:eastAsia="en-US"/>
              </w:rPr>
            </w:pPr>
            <w:r>
              <w:rPr>
                <w:rFonts w:ascii="Times New Roman" w:eastAsia="仿宋"/>
                <w:szCs w:val="21"/>
                <w:lang w:eastAsia="en-US"/>
              </w:rPr>
              <w:t>空间相对位置/m</w:t>
            </w:r>
          </w:p>
        </w:tc>
        <w:tc>
          <w:tcPr>
            <w:tcW w:w="482" w:type="pct"/>
            <w:vMerge w:val="restart"/>
            <w:vAlign w:val="center"/>
          </w:tcPr>
          <w:p w14:paraId="025FC5C3">
            <w:pPr>
              <w:autoSpaceDE w:val="0"/>
              <w:autoSpaceDN w:val="0"/>
              <w:jc w:val="center"/>
              <w:rPr>
                <w:rFonts w:ascii="Times New Roman" w:eastAsia="仿宋"/>
                <w:szCs w:val="21"/>
                <w:lang w:eastAsia="en-US"/>
              </w:rPr>
            </w:pPr>
            <w:r>
              <w:rPr>
                <w:rFonts w:ascii="Times New Roman" w:eastAsia="仿宋"/>
                <w:szCs w:val="21"/>
                <w:lang w:eastAsia="en-US"/>
              </w:rPr>
              <w:t>距室内边界距离/m</w:t>
            </w:r>
          </w:p>
        </w:tc>
        <w:tc>
          <w:tcPr>
            <w:tcW w:w="493" w:type="pct"/>
            <w:vMerge w:val="restart"/>
            <w:vAlign w:val="center"/>
          </w:tcPr>
          <w:p w14:paraId="229367A1">
            <w:pPr>
              <w:autoSpaceDE w:val="0"/>
              <w:autoSpaceDN w:val="0"/>
              <w:jc w:val="center"/>
              <w:rPr>
                <w:rFonts w:ascii="Times New Roman" w:eastAsia="仿宋"/>
                <w:szCs w:val="21"/>
                <w:lang w:eastAsia="en-US"/>
              </w:rPr>
            </w:pPr>
            <w:r>
              <w:rPr>
                <w:rFonts w:ascii="Times New Roman" w:eastAsia="仿宋"/>
                <w:szCs w:val="21"/>
                <w:lang w:eastAsia="en-US"/>
              </w:rPr>
              <w:t>室内边界声级/dB(A)</w:t>
            </w:r>
          </w:p>
        </w:tc>
        <w:tc>
          <w:tcPr>
            <w:tcW w:w="218" w:type="pct"/>
            <w:vMerge w:val="restart"/>
            <w:vAlign w:val="center"/>
          </w:tcPr>
          <w:p w14:paraId="5F35D03D">
            <w:pPr>
              <w:autoSpaceDE w:val="0"/>
              <w:autoSpaceDN w:val="0"/>
              <w:jc w:val="center"/>
              <w:rPr>
                <w:rFonts w:ascii="Times New Roman" w:eastAsia="仿宋"/>
                <w:szCs w:val="21"/>
                <w:lang w:eastAsia="en-US"/>
              </w:rPr>
            </w:pPr>
            <w:r>
              <w:rPr>
                <w:rFonts w:ascii="Times New Roman" w:eastAsia="仿宋"/>
                <w:szCs w:val="21"/>
                <w:lang w:eastAsia="en-US"/>
              </w:rPr>
              <w:t>运行时段</w:t>
            </w:r>
          </w:p>
        </w:tc>
        <w:tc>
          <w:tcPr>
            <w:tcW w:w="502" w:type="pct"/>
            <w:vMerge w:val="restart"/>
            <w:vAlign w:val="center"/>
          </w:tcPr>
          <w:p w14:paraId="11E749A7">
            <w:pPr>
              <w:autoSpaceDE w:val="0"/>
              <w:autoSpaceDN w:val="0"/>
              <w:jc w:val="center"/>
              <w:rPr>
                <w:rFonts w:ascii="Times New Roman" w:eastAsia="仿宋"/>
                <w:szCs w:val="21"/>
                <w:lang w:eastAsia="en-US"/>
              </w:rPr>
            </w:pPr>
            <w:r>
              <w:rPr>
                <w:rFonts w:ascii="Times New Roman" w:eastAsia="仿宋"/>
                <w:szCs w:val="21"/>
                <w:lang w:eastAsia="en-US"/>
              </w:rPr>
              <w:t>建筑物插入损失/dB(A)</w:t>
            </w:r>
          </w:p>
        </w:tc>
        <w:tc>
          <w:tcPr>
            <w:tcW w:w="852" w:type="pct"/>
            <w:gridSpan w:val="2"/>
            <w:vAlign w:val="center"/>
          </w:tcPr>
          <w:p w14:paraId="09CC5AEB">
            <w:pPr>
              <w:autoSpaceDE w:val="0"/>
              <w:autoSpaceDN w:val="0"/>
              <w:jc w:val="center"/>
              <w:rPr>
                <w:rFonts w:ascii="Times New Roman" w:eastAsia="仿宋"/>
                <w:szCs w:val="21"/>
                <w:lang w:eastAsia="en-US"/>
              </w:rPr>
            </w:pPr>
            <w:r>
              <w:rPr>
                <w:rFonts w:ascii="Times New Roman" w:eastAsia="仿宋"/>
                <w:szCs w:val="21"/>
                <w:lang w:eastAsia="en-US"/>
              </w:rPr>
              <w:t>建筑物外噪声</w:t>
            </w:r>
          </w:p>
        </w:tc>
      </w:tr>
      <w:tr w14:paraId="6120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Merge w:val="continue"/>
            <w:vAlign w:val="center"/>
          </w:tcPr>
          <w:p w14:paraId="1BD3DC43">
            <w:pPr>
              <w:autoSpaceDE w:val="0"/>
              <w:autoSpaceDN w:val="0"/>
              <w:jc w:val="center"/>
              <w:rPr>
                <w:rFonts w:ascii="Times New Roman" w:eastAsia="仿宋"/>
                <w:szCs w:val="21"/>
                <w:lang w:eastAsia="en-US"/>
              </w:rPr>
            </w:pPr>
          </w:p>
        </w:tc>
        <w:tc>
          <w:tcPr>
            <w:tcW w:w="263" w:type="pct"/>
            <w:vMerge w:val="continue"/>
            <w:vAlign w:val="center"/>
          </w:tcPr>
          <w:p w14:paraId="64332513">
            <w:pPr>
              <w:autoSpaceDE w:val="0"/>
              <w:autoSpaceDN w:val="0"/>
              <w:jc w:val="center"/>
              <w:rPr>
                <w:rFonts w:ascii="Times New Roman" w:eastAsia="仿宋"/>
                <w:szCs w:val="21"/>
                <w:lang w:eastAsia="en-US"/>
              </w:rPr>
            </w:pPr>
          </w:p>
        </w:tc>
        <w:tc>
          <w:tcPr>
            <w:tcW w:w="495" w:type="pct"/>
            <w:vMerge w:val="continue"/>
            <w:vAlign w:val="center"/>
          </w:tcPr>
          <w:p w14:paraId="73D51A5B">
            <w:pPr>
              <w:autoSpaceDE w:val="0"/>
              <w:autoSpaceDN w:val="0"/>
              <w:jc w:val="center"/>
              <w:rPr>
                <w:rFonts w:ascii="Times New Roman" w:eastAsia="仿宋"/>
                <w:szCs w:val="21"/>
                <w:lang w:eastAsia="en-US"/>
              </w:rPr>
            </w:pPr>
          </w:p>
        </w:tc>
        <w:tc>
          <w:tcPr>
            <w:tcW w:w="355" w:type="pct"/>
            <w:vAlign w:val="center"/>
          </w:tcPr>
          <w:p w14:paraId="601338CC">
            <w:pPr>
              <w:autoSpaceDE w:val="0"/>
              <w:autoSpaceDN w:val="0"/>
              <w:jc w:val="center"/>
              <w:rPr>
                <w:rFonts w:ascii="Times New Roman" w:eastAsia="仿宋"/>
                <w:szCs w:val="21"/>
                <w:lang w:eastAsia="en-US"/>
              </w:rPr>
            </w:pPr>
            <w:r>
              <w:rPr>
                <w:rFonts w:ascii="Times New Roman" w:eastAsia="仿宋"/>
                <w:szCs w:val="21"/>
                <w:lang w:eastAsia="en-US"/>
              </w:rPr>
              <w:t>声功率级/dB(A)</w:t>
            </w:r>
          </w:p>
        </w:tc>
        <w:tc>
          <w:tcPr>
            <w:tcW w:w="287" w:type="pct"/>
            <w:vMerge w:val="continue"/>
            <w:vAlign w:val="center"/>
          </w:tcPr>
          <w:p w14:paraId="752ACA80">
            <w:pPr>
              <w:autoSpaceDE w:val="0"/>
              <w:autoSpaceDN w:val="0"/>
              <w:jc w:val="center"/>
              <w:rPr>
                <w:rFonts w:ascii="Times New Roman" w:eastAsia="仿宋"/>
                <w:szCs w:val="21"/>
                <w:lang w:eastAsia="en-US"/>
              </w:rPr>
            </w:pPr>
          </w:p>
        </w:tc>
        <w:tc>
          <w:tcPr>
            <w:tcW w:w="343" w:type="pct"/>
            <w:vAlign w:val="center"/>
          </w:tcPr>
          <w:p w14:paraId="24169BE3">
            <w:pPr>
              <w:autoSpaceDE w:val="0"/>
              <w:autoSpaceDN w:val="0"/>
              <w:jc w:val="center"/>
              <w:rPr>
                <w:rFonts w:ascii="Times New Roman" w:eastAsia="仿宋"/>
                <w:szCs w:val="21"/>
                <w:lang w:eastAsia="en-US"/>
              </w:rPr>
            </w:pPr>
            <w:r>
              <w:rPr>
                <w:rFonts w:ascii="Times New Roman" w:eastAsia="仿宋"/>
                <w:szCs w:val="21"/>
                <w:lang w:eastAsia="en-US"/>
              </w:rPr>
              <w:t>X</w:t>
            </w:r>
          </w:p>
        </w:tc>
        <w:tc>
          <w:tcPr>
            <w:tcW w:w="296" w:type="pct"/>
            <w:vAlign w:val="center"/>
          </w:tcPr>
          <w:p w14:paraId="3A867049">
            <w:pPr>
              <w:autoSpaceDE w:val="0"/>
              <w:autoSpaceDN w:val="0"/>
              <w:jc w:val="center"/>
              <w:rPr>
                <w:rFonts w:ascii="Times New Roman" w:eastAsia="仿宋"/>
                <w:szCs w:val="21"/>
                <w:lang w:eastAsia="en-US"/>
              </w:rPr>
            </w:pPr>
            <w:r>
              <w:rPr>
                <w:rFonts w:ascii="Times New Roman" w:eastAsia="仿宋"/>
                <w:szCs w:val="21"/>
                <w:lang w:eastAsia="en-US"/>
              </w:rPr>
              <w:t>Y</w:t>
            </w:r>
          </w:p>
        </w:tc>
        <w:tc>
          <w:tcPr>
            <w:tcW w:w="235" w:type="pct"/>
            <w:vAlign w:val="center"/>
          </w:tcPr>
          <w:p w14:paraId="7D13ABE8">
            <w:pPr>
              <w:autoSpaceDE w:val="0"/>
              <w:autoSpaceDN w:val="0"/>
              <w:jc w:val="center"/>
              <w:rPr>
                <w:rFonts w:ascii="Times New Roman" w:eastAsia="仿宋"/>
                <w:szCs w:val="21"/>
                <w:lang w:eastAsia="en-US"/>
              </w:rPr>
            </w:pPr>
            <w:r>
              <w:rPr>
                <w:rFonts w:ascii="Times New Roman" w:eastAsia="仿宋"/>
                <w:szCs w:val="21"/>
                <w:lang w:eastAsia="en-US"/>
              </w:rPr>
              <w:t>Z</w:t>
            </w:r>
          </w:p>
        </w:tc>
        <w:tc>
          <w:tcPr>
            <w:tcW w:w="482" w:type="pct"/>
            <w:vMerge w:val="continue"/>
            <w:vAlign w:val="center"/>
          </w:tcPr>
          <w:p w14:paraId="67385606">
            <w:pPr>
              <w:autoSpaceDE w:val="0"/>
              <w:autoSpaceDN w:val="0"/>
              <w:jc w:val="center"/>
              <w:rPr>
                <w:rFonts w:ascii="Times New Roman" w:eastAsia="仿宋"/>
                <w:szCs w:val="21"/>
                <w:lang w:eastAsia="en-US"/>
              </w:rPr>
            </w:pPr>
          </w:p>
        </w:tc>
        <w:tc>
          <w:tcPr>
            <w:tcW w:w="493" w:type="pct"/>
            <w:vMerge w:val="continue"/>
            <w:vAlign w:val="center"/>
          </w:tcPr>
          <w:p w14:paraId="2F645AA5">
            <w:pPr>
              <w:autoSpaceDE w:val="0"/>
              <w:autoSpaceDN w:val="0"/>
              <w:jc w:val="center"/>
              <w:rPr>
                <w:rFonts w:ascii="Times New Roman" w:eastAsia="仿宋"/>
                <w:szCs w:val="21"/>
                <w:lang w:eastAsia="en-US"/>
              </w:rPr>
            </w:pPr>
          </w:p>
        </w:tc>
        <w:tc>
          <w:tcPr>
            <w:tcW w:w="218" w:type="pct"/>
            <w:vMerge w:val="continue"/>
            <w:vAlign w:val="center"/>
          </w:tcPr>
          <w:p w14:paraId="2844D846">
            <w:pPr>
              <w:autoSpaceDE w:val="0"/>
              <w:autoSpaceDN w:val="0"/>
              <w:jc w:val="center"/>
              <w:rPr>
                <w:rFonts w:ascii="Times New Roman" w:eastAsia="仿宋"/>
                <w:szCs w:val="21"/>
                <w:lang w:eastAsia="en-US"/>
              </w:rPr>
            </w:pPr>
          </w:p>
        </w:tc>
        <w:tc>
          <w:tcPr>
            <w:tcW w:w="502" w:type="pct"/>
            <w:vMerge w:val="continue"/>
            <w:vAlign w:val="center"/>
          </w:tcPr>
          <w:p w14:paraId="3CDE457C">
            <w:pPr>
              <w:autoSpaceDE w:val="0"/>
              <w:autoSpaceDN w:val="0"/>
              <w:jc w:val="center"/>
              <w:rPr>
                <w:rFonts w:ascii="Times New Roman" w:eastAsia="仿宋"/>
                <w:szCs w:val="21"/>
                <w:lang w:eastAsia="en-US"/>
              </w:rPr>
            </w:pPr>
          </w:p>
        </w:tc>
        <w:tc>
          <w:tcPr>
            <w:tcW w:w="534" w:type="pct"/>
            <w:vAlign w:val="center"/>
          </w:tcPr>
          <w:p w14:paraId="57667C8C">
            <w:pPr>
              <w:autoSpaceDE w:val="0"/>
              <w:autoSpaceDN w:val="0"/>
              <w:jc w:val="center"/>
              <w:rPr>
                <w:rFonts w:ascii="Times New Roman" w:eastAsia="仿宋"/>
                <w:szCs w:val="21"/>
                <w:lang w:eastAsia="en-US"/>
              </w:rPr>
            </w:pPr>
            <w:r>
              <w:rPr>
                <w:rFonts w:ascii="Times New Roman" w:eastAsia="仿宋"/>
                <w:szCs w:val="21"/>
                <w:lang w:eastAsia="en-US"/>
              </w:rPr>
              <w:t>声压级/dB(A)</w:t>
            </w:r>
          </w:p>
        </w:tc>
        <w:tc>
          <w:tcPr>
            <w:tcW w:w="318" w:type="pct"/>
            <w:vAlign w:val="center"/>
          </w:tcPr>
          <w:p w14:paraId="258EDFE0">
            <w:pPr>
              <w:autoSpaceDE w:val="0"/>
              <w:autoSpaceDN w:val="0"/>
              <w:jc w:val="center"/>
              <w:rPr>
                <w:rFonts w:ascii="Times New Roman" w:eastAsia="仿宋"/>
                <w:szCs w:val="21"/>
                <w:lang w:eastAsia="en-US"/>
              </w:rPr>
            </w:pPr>
            <w:r>
              <w:rPr>
                <w:rFonts w:ascii="Times New Roman" w:eastAsia="仿宋"/>
                <w:szCs w:val="21"/>
                <w:lang w:eastAsia="en-US"/>
              </w:rPr>
              <w:t>建筑物外距离</w:t>
            </w:r>
          </w:p>
        </w:tc>
      </w:tr>
      <w:tr w14:paraId="5FAE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23A996B2">
            <w:pPr>
              <w:autoSpaceDE w:val="0"/>
              <w:autoSpaceDN w:val="0"/>
              <w:jc w:val="center"/>
              <w:rPr>
                <w:rFonts w:ascii="Times New Roman" w:eastAsia="仿宋"/>
                <w:szCs w:val="21"/>
                <w:lang w:eastAsia="en-US"/>
              </w:rPr>
            </w:pPr>
            <w:r>
              <w:rPr>
                <w:rFonts w:ascii="Times New Roman" w:eastAsia="仿宋"/>
                <w:szCs w:val="21"/>
                <w:lang w:eastAsia="en-US"/>
              </w:rPr>
              <w:t>1</w:t>
            </w:r>
          </w:p>
        </w:tc>
        <w:tc>
          <w:tcPr>
            <w:tcW w:w="263" w:type="pct"/>
            <w:vMerge w:val="restart"/>
            <w:vAlign w:val="center"/>
          </w:tcPr>
          <w:p w14:paraId="3207E2E8">
            <w:pPr>
              <w:autoSpaceDE w:val="0"/>
              <w:autoSpaceDN w:val="0"/>
              <w:jc w:val="center"/>
              <w:rPr>
                <w:rFonts w:ascii="Times New Roman" w:eastAsia="仿宋"/>
                <w:szCs w:val="21"/>
              </w:rPr>
            </w:pPr>
            <w:r>
              <w:rPr>
                <w:rFonts w:hint="eastAsia" w:ascii="Times New Roman" w:eastAsia="仿宋"/>
                <w:szCs w:val="21"/>
              </w:rPr>
              <w:t>1号钣金车间</w:t>
            </w:r>
          </w:p>
        </w:tc>
        <w:tc>
          <w:tcPr>
            <w:tcW w:w="495" w:type="pct"/>
            <w:vAlign w:val="center"/>
          </w:tcPr>
          <w:p w14:paraId="7744618F">
            <w:pPr>
              <w:widowControl/>
              <w:jc w:val="center"/>
              <w:rPr>
                <w:rFonts w:ascii="Times New Roman" w:eastAsia="仿宋"/>
                <w:szCs w:val="21"/>
              </w:rPr>
            </w:pPr>
            <w:r>
              <w:rPr>
                <w:rFonts w:ascii="Times New Roman" w:eastAsia="仿宋"/>
                <w:szCs w:val="21"/>
              </w:rPr>
              <w:t>雕刻机</w:t>
            </w:r>
          </w:p>
        </w:tc>
        <w:tc>
          <w:tcPr>
            <w:tcW w:w="355" w:type="pct"/>
            <w:vAlign w:val="center"/>
          </w:tcPr>
          <w:p w14:paraId="3E486B81">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287" w:type="pct"/>
            <w:vMerge w:val="restart"/>
            <w:vAlign w:val="center"/>
          </w:tcPr>
          <w:p w14:paraId="36180125">
            <w:pPr>
              <w:widowControl/>
              <w:autoSpaceDE w:val="0"/>
              <w:autoSpaceDN w:val="0"/>
              <w:jc w:val="center"/>
              <w:rPr>
                <w:rFonts w:ascii="Times New Roman" w:eastAsia="仿宋"/>
                <w:szCs w:val="21"/>
              </w:rPr>
            </w:pPr>
            <w:r>
              <w:rPr>
                <w:rFonts w:ascii="Times New Roman" w:eastAsia="仿宋"/>
                <w:szCs w:val="21"/>
              </w:rPr>
              <w:t>建筑物隔声，距离衰减</w:t>
            </w:r>
          </w:p>
        </w:tc>
        <w:tc>
          <w:tcPr>
            <w:tcW w:w="343" w:type="pct"/>
            <w:vAlign w:val="center"/>
          </w:tcPr>
          <w:p w14:paraId="75100ABF">
            <w:pPr>
              <w:widowControl/>
              <w:jc w:val="center"/>
              <w:rPr>
                <w:rFonts w:ascii="Times New Roman" w:eastAsia="仿宋"/>
                <w:szCs w:val="21"/>
              </w:rPr>
            </w:pPr>
            <w:r>
              <w:rPr>
                <w:rFonts w:hint="eastAsia" w:ascii="Times New Roman" w:eastAsia="仿宋"/>
                <w:szCs w:val="21"/>
              </w:rPr>
              <w:t>1</w:t>
            </w:r>
            <w:r>
              <w:rPr>
                <w:rFonts w:ascii="Times New Roman" w:eastAsia="仿宋"/>
                <w:szCs w:val="21"/>
              </w:rPr>
              <w:t>79.5</w:t>
            </w:r>
          </w:p>
        </w:tc>
        <w:tc>
          <w:tcPr>
            <w:tcW w:w="296" w:type="pct"/>
            <w:vAlign w:val="center"/>
          </w:tcPr>
          <w:p w14:paraId="19C29B8E">
            <w:pPr>
              <w:widowControl/>
              <w:jc w:val="center"/>
              <w:rPr>
                <w:rFonts w:ascii="Times New Roman" w:eastAsia="仿宋"/>
                <w:szCs w:val="21"/>
              </w:rPr>
            </w:pPr>
            <w:r>
              <w:rPr>
                <w:rFonts w:hint="eastAsia" w:ascii="Times New Roman" w:eastAsia="仿宋"/>
                <w:szCs w:val="21"/>
              </w:rPr>
              <w:t>42</w:t>
            </w:r>
            <w:r>
              <w:rPr>
                <w:rFonts w:ascii="Times New Roman" w:eastAsia="仿宋"/>
                <w:szCs w:val="21"/>
              </w:rPr>
              <w:t>.22</w:t>
            </w:r>
          </w:p>
        </w:tc>
        <w:tc>
          <w:tcPr>
            <w:tcW w:w="235" w:type="pct"/>
            <w:vAlign w:val="center"/>
          </w:tcPr>
          <w:p w14:paraId="1D6BE9E9">
            <w:pPr>
              <w:jc w:val="center"/>
              <w:rPr>
                <w:rFonts w:ascii="Times New Roman" w:eastAsia="仿宋"/>
                <w:szCs w:val="21"/>
              </w:rPr>
            </w:pPr>
            <w:r>
              <w:rPr>
                <w:rFonts w:hint="eastAsia" w:ascii="Times New Roman" w:eastAsia="仿宋"/>
                <w:szCs w:val="21"/>
              </w:rPr>
              <w:t>0</w:t>
            </w:r>
          </w:p>
        </w:tc>
        <w:tc>
          <w:tcPr>
            <w:tcW w:w="482" w:type="pct"/>
            <w:vAlign w:val="center"/>
          </w:tcPr>
          <w:p w14:paraId="5E4D5DF8">
            <w:pPr>
              <w:widowControl/>
              <w:autoSpaceDE w:val="0"/>
              <w:autoSpaceDN w:val="0"/>
              <w:rPr>
                <w:rFonts w:ascii="Times New Roman" w:eastAsia="仿宋"/>
                <w:szCs w:val="21"/>
              </w:rPr>
            </w:pPr>
            <w:r>
              <w:rPr>
                <w:rFonts w:hint="eastAsia" w:ascii="Times New Roman" w:eastAsia="仿宋"/>
                <w:szCs w:val="21"/>
              </w:rPr>
              <w:t>东：20.5</w:t>
            </w:r>
          </w:p>
          <w:p w14:paraId="35AB8E06">
            <w:pPr>
              <w:widowControl/>
              <w:autoSpaceDE w:val="0"/>
              <w:autoSpaceDN w:val="0"/>
              <w:rPr>
                <w:rFonts w:ascii="Times New Roman" w:eastAsia="仿宋"/>
                <w:szCs w:val="21"/>
              </w:rPr>
            </w:pPr>
            <w:r>
              <w:rPr>
                <w:rFonts w:hint="eastAsia" w:ascii="Times New Roman" w:eastAsia="仿宋"/>
                <w:szCs w:val="21"/>
              </w:rPr>
              <w:t>南：65.1</w:t>
            </w:r>
          </w:p>
          <w:p w14:paraId="6DBE9186">
            <w:pPr>
              <w:widowControl/>
              <w:autoSpaceDE w:val="0"/>
              <w:autoSpaceDN w:val="0"/>
              <w:rPr>
                <w:rFonts w:ascii="Times New Roman" w:eastAsia="仿宋"/>
                <w:szCs w:val="21"/>
              </w:rPr>
            </w:pPr>
            <w:r>
              <w:rPr>
                <w:rFonts w:hint="eastAsia" w:ascii="Times New Roman" w:eastAsia="仿宋"/>
                <w:szCs w:val="21"/>
              </w:rPr>
              <w:t>西：19.2</w:t>
            </w:r>
          </w:p>
          <w:p w14:paraId="1A172EC9">
            <w:pPr>
              <w:widowControl/>
              <w:autoSpaceDE w:val="0"/>
              <w:autoSpaceDN w:val="0"/>
              <w:rPr>
                <w:rFonts w:ascii="Times New Roman" w:eastAsia="仿宋"/>
                <w:szCs w:val="21"/>
              </w:rPr>
            </w:pPr>
            <w:r>
              <w:rPr>
                <w:rFonts w:hint="eastAsia" w:ascii="Times New Roman" w:eastAsia="仿宋"/>
                <w:szCs w:val="21"/>
              </w:rPr>
              <w:t>北：14.3</w:t>
            </w:r>
          </w:p>
        </w:tc>
        <w:tc>
          <w:tcPr>
            <w:tcW w:w="493" w:type="pct"/>
            <w:vAlign w:val="center"/>
          </w:tcPr>
          <w:p w14:paraId="4F4DF174">
            <w:pPr>
              <w:widowControl/>
              <w:autoSpaceDE w:val="0"/>
              <w:autoSpaceDN w:val="0"/>
              <w:rPr>
                <w:rFonts w:ascii="Times New Roman" w:eastAsia="仿宋"/>
                <w:szCs w:val="21"/>
              </w:rPr>
            </w:pPr>
            <w:r>
              <w:rPr>
                <w:rFonts w:hint="eastAsia" w:ascii="Times New Roman" w:eastAsia="仿宋"/>
                <w:szCs w:val="21"/>
              </w:rPr>
              <w:t>东：6</w:t>
            </w:r>
            <w:r>
              <w:rPr>
                <w:rFonts w:ascii="Times New Roman" w:eastAsia="仿宋"/>
                <w:szCs w:val="21"/>
              </w:rPr>
              <w:t>8</w:t>
            </w:r>
            <w:r>
              <w:rPr>
                <w:rFonts w:hint="eastAsia" w:ascii="Times New Roman" w:eastAsia="仿宋"/>
                <w:szCs w:val="21"/>
              </w:rPr>
              <w:t>.</w:t>
            </w:r>
            <w:r>
              <w:rPr>
                <w:rFonts w:ascii="Times New Roman" w:eastAsia="仿宋"/>
                <w:szCs w:val="21"/>
              </w:rPr>
              <w:t>3</w:t>
            </w:r>
          </w:p>
          <w:p w14:paraId="34C3A876">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68.3</w:t>
            </w:r>
          </w:p>
          <w:p w14:paraId="4EB320B3">
            <w:pPr>
              <w:widowControl/>
              <w:autoSpaceDE w:val="0"/>
              <w:autoSpaceDN w:val="0"/>
              <w:rPr>
                <w:rFonts w:ascii="Times New Roman" w:eastAsia="仿宋"/>
                <w:szCs w:val="21"/>
              </w:rPr>
            </w:pPr>
            <w:r>
              <w:rPr>
                <w:rFonts w:hint="eastAsia" w:ascii="Times New Roman" w:eastAsia="仿宋"/>
                <w:szCs w:val="21"/>
              </w:rPr>
              <w:t>西：</w:t>
            </w:r>
            <w:r>
              <w:rPr>
                <w:rFonts w:ascii="Times New Roman" w:eastAsia="仿宋"/>
                <w:szCs w:val="21"/>
              </w:rPr>
              <w:t>68.3</w:t>
            </w:r>
          </w:p>
          <w:p w14:paraId="6DA8BAFE">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68.3</w:t>
            </w:r>
          </w:p>
        </w:tc>
        <w:tc>
          <w:tcPr>
            <w:tcW w:w="218" w:type="pct"/>
            <w:vMerge w:val="restart"/>
            <w:vAlign w:val="center"/>
          </w:tcPr>
          <w:p w14:paraId="3BB1A98A">
            <w:pPr>
              <w:widowControl/>
              <w:autoSpaceDE w:val="0"/>
              <w:autoSpaceDN w:val="0"/>
              <w:jc w:val="center"/>
              <w:rPr>
                <w:rFonts w:ascii="Times New Roman" w:eastAsia="仿宋"/>
                <w:szCs w:val="21"/>
              </w:rPr>
            </w:pPr>
            <w:r>
              <w:rPr>
                <w:rFonts w:hint="eastAsia" w:ascii="Times New Roman" w:eastAsia="仿宋"/>
                <w:szCs w:val="21"/>
              </w:rPr>
              <w:t>间歇运行</w:t>
            </w:r>
          </w:p>
        </w:tc>
        <w:tc>
          <w:tcPr>
            <w:tcW w:w="502" w:type="pct"/>
            <w:vAlign w:val="center"/>
          </w:tcPr>
          <w:p w14:paraId="026C3D23">
            <w:pPr>
              <w:widowControl/>
              <w:autoSpaceDE w:val="0"/>
              <w:autoSpaceDN w:val="0"/>
              <w:rPr>
                <w:rFonts w:ascii="Times New Roman" w:eastAsia="仿宋"/>
                <w:szCs w:val="21"/>
              </w:rPr>
            </w:pPr>
            <w:r>
              <w:rPr>
                <w:rFonts w:hint="eastAsia" w:ascii="Times New Roman" w:eastAsia="仿宋"/>
                <w:szCs w:val="21"/>
              </w:rPr>
              <w:t>东：41.0</w:t>
            </w:r>
          </w:p>
          <w:p w14:paraId="6C0E65F1">
            <w:pPr>
              <w:widowControl/>
              <w:autoSpaceDE w:val="0"/>
              <w:autoSpaceDN w:val="0"/>
              <w:rPr>
                <w:rFonts w:ascii="Times New Roman" w:eastAsia="仿宋"/>
                <w:szCs w:val="21"/>
              </w:rPr>
            </w:pPr>
            <w:r>
              <w:rPr>
                <w:rFonts w:hint="eastAsia" w:ascii="Times New Roman" w:eastAsia="仿宋"/>
                <w:szCs w:val="21"/>
              </w:rPr>
              <w:t>南：41.0</w:t>
            </w:r>
          </w:p>
          <w:p w14:paraId="12896D49">
            <w:pPr>
              <w:widowControl/>
              <w:autoSpaceDE w:val="0"/>
              <w:autoSpaceDN w:val="0"/>
              <w:rPr>
                <w:rFonts w:ascii="Times New Roman" w:eastAsia="仿宋"/>
                <w:szCs w:val="21"/>
              </w:rPr>
            </w:pPr>
            <w:r>
              <w:rPr>
                <w:rFonts w:hint="eastAsia" w:ascii="Times New Roman" w:eastAsia="仿宋"/>
                <w:szCs w:val="21"/>
              </w:rPr>
              <w:t>西：41.0</w:t>
            </w:r>
          </w:p>
          <w:p w14:paraId="42C64450">
            <w:pPr>
              <w:widowControl/>
              <w:autoSpaceDE w:val="0"/>
              <w:autoSpaceDN w:val="0"/>
              <w:rPr>
                <w:rFonts w:ascii="Times New Roman" w:eastAsia="仿宋"/>
                <w:szCs w:val="21"/>
              </w:rPr>
            </w:pPr>
            <w:r>
              <w:rPr>
                <w:rFonts w:hint="eastAsia" w:ascii="Times New Roman" w:eastAsia="仿宋"/>
                <w:szCs w:val="21"/>
              </w:rPr>
              <w:t>北：41.0</w:t>
            </w:r>
          </w:p>
        </w:tc>
        <w:tc>
          <w:tcPr>
            <w:tcW w:w="534" w:type="pct"/>
            <w:vAlign w:val="center"/>
          </w:tcPr>
          <w:p w14:paraId="24251B4E">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BDE00C5">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2FA50E6A">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2F1FC3F4">
            <w:pPr>
              <w:widowControl/>
              <w:autoSpaceDE w:val="0"/>
              <w:autoSpaceDN w:val="0"/>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7F630645">
            <w:pPr>
              <w:widowControl/>
              <w:jc w:val="center"/>
              <w:rPr>
                <w:rFonts w:ascii="Times New Roman" w:eastAsia="仿宋"/>
                <w:szCs w:val="21"/>
              </w:rPr>
            </w:pPr>
            <w:r>
              <w:rPr>
                <w:rFonts w:hint="eastAsia" w:ascii="Times New Roman" w:eastAsia="仿宋"/>
                <w:szCs w:val="21"/>
              </w:rPr>
              <w:t>1</w:t>
            </w:r>
          </w:p>
        </w:tc>
      </w:tr>
      <w:tr w14:paraId="3A37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2752D543">
            <w:pPr>
              <w:autoSpaceDE w:val="0"/>
              <w:autoSpaceDN w:val="0"/>
              <w:jc w:val="center"/>
              <w:rPr>
                <w:rFonts w:ascii="Times New Roman" w:eastAsia="仿宋"/>
                <w:szCs w:val="21"/>
              </w:rPr>
            </w:pPr>
            <w:r>
              <w:rPr>
                <w:rFonts w:hint="eastAsia" w:ascii="Times New Roman" w:eastAsia="仿宋"/>
                <w:szCs w:val="21"/>
              </w:rPr>
              <w:t>2</w:t>
            </w:r>
          </w:p>
        </w:tc>
        <w:tc>
          <w:tcPr>
            <w:tcW w:w="263" w:type="pct"/>
            <w:vMerge w:val="continue"/>
            <w:vAlign w:val="center"/>
          </w:tcPr>
          <w:p w14:paraId="4A82B30C">
            <w:pPr>
              <w:autoSpaceDE w:val="0"/>
              <w:autoSpaceDN w:val="0"/>
              <w:jc w:val="center"/>
              <w:rPr>
                <w:rFonts w:ascii="Times New Roman" w:eastAsia="仿宋"/>
                <w:szCs w:val="21"/>
              </w:rPr>
            </w:pPr>
          </w:p>
        </w:tc>
        <w:tc>
          <w:tcPr>
            <w:tcW w:w="495" w:type="pct"/>
            <w:vAlign w:val="center"/>
          </w:tcPr>
          <w:p w14:paraId="59C66AEF">
            <w:pPr>
              <w:widowControl/>
              <w:jc w:val="center"/>
              <w:rPr>
                <w:rFonts w:ascii="Times New Roman" w:eastAsia="仿宋"/>
                <w:szCs w:val="21"/>
              </w:rPr>
            </w:pPr>
            <w:r>
              <w:rPr>
                <w:rFonts w:hint="eastAsia" w:ascii="Times New Roman" w:eastAsia="仿宋"/>
                <w:szCs w:val="21"/>
              </w:rPr>
              <w:t>剪板机</w:t>
            </w:r>
          </w:p>
        </w:tc>
        <w:tc>
          <w:tcPr>
            <w:tcW w:w="355" w:type="pct"/>
            <w:vAlign w:val="center"/>
          </w:tcPr>
          <w:p w14:paraId="4A4AC7DB">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1EA07554">
            <w:pPr>
              <w:widowControl/>
              <w:autoSpaceDE w:val="0"/>
              <w:autoSpaceDN w:val="0"/>
              <w:jc w:val="center"/>
              <w:rPr>
                <w:rFonts w:ascii="Times New Roman" w:eastAsia="仿宋"/>
                <w:szCs w:val="21"/>
              </w:rPr>
            </w:pPr>
          </w:p>
        </w:tc>
        <w:tc>
          <w:tcPr>
            <w:tcW w:w="343" w:type="pct"/>
            <w:vAlign w:val="center"/>
          </w:tcPr>
          <w:p w14:paraId="1A107723">
            <w:pPr>
              <w:widowControl/>
              <w:jc w:val="center"/>
              <w:rPr>
                <w:rFonts w:ascii="Times New Roman" w:eastAsia="仿宋"/>
                <w:szCs w:val="21"/>
              </w:rPr>
            </w:pPr>
            <w:r>
              <w:rPr>
                <w:rFonts w:hint="eastAsia" w:ascii="Times New Roman" w:eastAsia="仿宋"/>
                <w:szCs w:val="21"/>
              </w:rPr>
              <w:t>1</w:t>
            </w:r>
            <w:r>
              <w:rPr>
                <w:rFonts w:ascii="Times New Roman" w:eastAsia="仿宋"/>
                <w:szCs w:val="21"/>
              </w:rPr>
              <w:t>81.68</w:t>
            </w:r>
          </w:p>
        </w:tc>
        <w:tc>
          <w:tcPr>
            <w:tcW w:w="296" w:type="pct"/>
            <w:vAlign w:val="center"/>
          </w:tcPr>
          <w:p w14:paraId="4C2F489E">
            <w:pPr>
              <w:widowControl/>
              <w:jc w:val="center"/>
              <w:rPr>
                <w:rFonts w:ascii="Times New Roman" w:eastAsia="仿宋"/>
                <w:szCs w:val="21"/>
              </w:rPr>
            </w:pPr>
            <w:r>
              <w:rPr>
                <w:rFonts w:hint="eastAsia" w:ascii="Times New Roman" w:eastAsia="仿宋"/>
                <w:szCs w:val="21"/>
              </w:rPr>
              <w:t>29</w:t>
            </w:r>
            <w:r>
              <w:rPr>
                <w:rFonts w:ascii="Times New Roman" w:eastAsia="仿宋"/>
                <w:szCs w:val="21"/>
              </w:rPr>
              <w:t>.47</w:t>
            </w:r>
          </w:p>
        </w:tc>
        <w:tc>
          <w:tcPr>
            <w:tcW w:w="235" w:type="pct"/>
            <w:vAlign w:val="center"/>
          </w:tcPr>
          <w:p w14:paraId="6E0FFCB1">
            <w:pPr>
              <w:jc w:val="center"/>
              <w:rPr>
                <w:rFonts w:ascii="Times New Roman" w:eastAsia="仿宋"/>
                <w:szCs w:val="21"/>
              </w:rPr>
            </w:pPr>
            <w:r>
              <w:rPr>
                <w:rFonts w:hint="eastAsia" w:ascii="Times New Roman" w:eastAsia="仿宋"/>
                <w:szCs w:val="21"/>
              </w:rPr>
              <w:t>0</w:t>
            </w:r>
          </w:p>
        </w:tc>
        <w:tc>
          <w:tcPr>
            <w:tcW w:w="482" w:type="pct"/>
            <w:vAlign w:val="center"/>
          </w:tcPr>
          <w:p w14:paraId="0F84CEF4">
            <w:pPr>
              <w:widowControl/>
              <w:autoSpaceDE w:val="0"/>
              <w:autoSpaceDN w:val="0"/>
              <w:rPr>
                <w:rFonts w:ascii="Times New Roman" w:eastAsia="仿宋"/>
                <w:szCs w:val="21"/>
              </w:rPr>
            </w:pPr>
            <w:r>
              <w:rPr>
                <w:rFonts w:hint="eastAsia" w:ascii="Times New Roman" w:eastAsia="仿宋"/>
                <w:szCs w:val="21"/>
              </w:rPr>
              <w:t>东：18.1</w:t>
            </w:r>
          </w:p>
          <w:p w14:paraId="73E6BB6A">
            <w:pPr>
              <w:widowControl/>
              <w:autoSpaceDE w:val="0"/>
              <w:autoSpaceDN w:val="0"/>
              <w:rPr>
                <w:rFonts w:ascii="Times New Roman" w:eastAsia="仿宋"/>
                <w:szCs w:val="21"/>
              </w:rPr>
            </w:pPr>
            <w:r>
              <w:rPr>
                <w:rFonts w:hint="eastAsia" w:ascii="Times New Roman" w:eastAsia="仿宋"/>
                <w:szCs w:val="21"/>
              </w:rPr>
              <w:t>南：54.5</w:t>
            </w:r>
          </w:p>
          <w:p w14:paraId="61DFEEC0">
            <w:pPr>
              <w:widowControl/>
              <w:autoSpaceDE w:val="0"/>
              <w:autoSpaceDN w:val="0"/>
              <w:rPr>
                <w:rFonts w:ascii="Times New Roman" w:eastAsia="仿宋"/>
                <w:szCs w:val="21"/>
              </w:rPr>
            </w:pPr>
            <w:r>
              <w:rPr>
                <w:rFonts w:hint="eastAsia" w:ascii="Times New Roman" w:eastAsia="仿宋"/>
                <w:szCs w:val="21"/>
              </w:rPr>
              <w:t>西：22</w:t>
            </w:r>
            <w:r>
              <w:rPr>
                <w:rFonts w:ascii="Times New Roman" w:eastAsia="仿宋"/>
                <w:szCs w:val="21"/>
              </w:rPr>
              <w:t>.3</w:t>
            </w:r>
          </w:p>
          <w:p w14:paraId="35B1DB0E">
            <w:pPr>
              <w:widowControl/>
              <w:autoSpaceDE w:val="0"/>
              <w:autoSpaceDN w:val="0"/>
              <w:rPr>
                <w:rFonts w:ascii="Times New Roman" w:eastAsia="仿宋"/>
                <w:szCs w:val="21"/>
              </w:rPr>
            </w:pPr>
            <w:r>
              <w:rPr>
                <w:rFonts w:hint="eastAsia" w:ascii="Times New Roman" w:eastAsia="仿宋"/>
                <w:szCs w:val="21"/>
              </w:rPr>
              <w:t>北：26.5</w:t>
            </w:r>
          </w:p>
        </w:tc>
        <w:tc>
          <w:tcPr>
            <w:tcW w:w="493" w:type="pct"/>
            <w:vAlign w:val="center"/>
          </w:tcPr>
          <w:p w14:paraId="0E0A4474">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0141CE89">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07E6ACAD">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48F109E9">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76CD2D0E">
            <w:pPr>
              <w:widowControl/>
              <w:autoSpaceDE w:val="0"/>
              <w:autoSpaceDN w:val="0"/>
              <w:jc w:val="center"/>
              <w:rPr>
                <w:rFonts w:ascii="Times New Roman" w:eastAsia="仿宋"/>
                <w:szCs w:val="21"/>
              </w:rPr>
            </w:pPr>
          </w:p>
        </w:tc>
        <w:tc>
          <w:tcPr>
            <w:tcW w:w="502" w:type="pct"/>
            <w:vAlign w:val="center"/>
          </w:tcPr>
          <w:p w14:paraId="638F84AE">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5A5F68CC">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1745FCB">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596DCC7A">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77BCC849">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FA528A9">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50BE8FF1">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49717D33">
            <w:pPr>
              <w:widowControl/>
              <w:autoSpaceDE w:val="0"/>
              <w:autoSpaceDN w:val="0"/>
              <w:adjustRightInd w:val="0"/>
              <w:snapToGrid w:val="0"/>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A9435B6">
            <w:pPr>
              <w:widowControl/>
              <w:jc w:val="center"/>
              <w:rPr>
                <w:rFonts w:ascii="Times New Roman" w:eastAsia="仿宋"/>
                <w:szCs w:val="21"/>
              </w:rPr>
            </w:pPr>
            <w:r>
              <w:rPr>
                <w:rFonts w:hint="eastAsia" w:ascii="Times New Roman" w:eastAsia="仿宋"/>
                <w:szCs w:val="21"/>
              </w:rPr>
              <w:t>1</w:t>
            </w:r>
          </w:p>
        </w:tc>
      </w:tr>
      <w:tr w14:paraId="1A06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2A7CAA4F">
            <w:pPr>
              <w:autoSpaceDE w:val="0"/>
              <w:autoSpaceDN w:val="0"/>
              <w:jc w:val="center"/>
              <w:rPr>
                <w:rFonts w:ascii="Times New Roman" w:eastAsia="仿宋"/>
                <w:szCs w:val="21"/>
              </w:rPr>
            </w:pPr>
            <w:r>
              <w:rPr>
                <w:rFonts w:hint="eastAsia" w:ascii="Times New Roman" w:eastAsia="仿宋"/>
                <w:szCs w:val="21"/>
              </w:rPr>
              <w:t>3</w:t>
            </w:r>
          </w:p>
        </w:tc>
        <w:tc>
          <w:tcPr>
            <w:tcW w:w="263" w:type="pct"/>
            <w:vMerge w:val="continue"/>
            <w:vAlign w:val="center"/>
          </w:tcPr>
          <w:p w14:paraId="777D06F7">
            <w:pPr>
              <w:autoSpaceDE w:val="0"/>
              <w:autoSpaceDN w:val="0"/>
              <w:jc w:val="center"/>
              <w:rPr>
                <w:rFonts w:ascii="Times New Roman" w:eastAsia="仿宋"/>
                <w:szCs w:val="21"/>
              </w:rPr>
            </w:pPr>
          </w:p>
        </w:tc>
        <w:tc>
          <w:tcPr>
            <w:tcW w:w="495" w:type="pct"/>
            <w:vAlign w:val="center"/>
          </w:tcPr>
          <w:p w14:paraId="49024611">
            <w:pPr>
              <w:widowControl/>
              <w:jc w:val="center"/>
              <w:rPr>
                <w:rFonts w:ascii="Times New Roman" w:eastAsia="仿宋"/>
                <w:szCs w:val="21"/>
              </w:rPr>
            </w:pPr>
            <w:r>
              <w:rPr>
                <w:rFonts w:hint="eastAsia" w:ascii="Times New Roman" w:eastAsia="仿宋"/>
                <w:szCs w:val="21"/>
              </w:rPr>
              <w:t>折弯机</w:t>
            </w:r>
          </w:p>
        </w:tc>
        <w:tc>
          <w:tcPr>
            <w:tcW w:w="355" w:type="pct"/>
            <w:vAlign w:val="center"/>
          </w:tcPr>
          <w:p w14:paraId="4F11367B">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287" w:type="pct"/>
            <w:vMerge w:val="continue"/>
            <w:vAlign w:val="center"/>
          </w:tcPr>
          <w:p w14:paraId="134D3FAA">
            <w:pPr>
              <w:widowControl/>
              <w:autoSpaceDE w:val="0"/>
              <w:autoSpaceDN w:val="0"/>
              <w:jc w:val="center"/>
              <w:rPr>
                <w:rFonts w:ascii="Times New Roman" w:eastAsia="仿宋"/>
                <w:szCs w:val="21"/>
              </w:rPr>
            </w:pPr>
          </w:p>
        </w:tc>
        <w:tc>
          <w:tcPr>
            <w:tcW w:w="343" w:type="pct"/>
            <w:vAlign w:val="center"/>
          </w:tcPr>
          <w:p w14:paraId="58528C4F">
            <w:pPr>
              <w:widowControl/>
              <w:jc w:val="center"/>
              <w:rPr>
                <w:rFonts w:ascii="Times New Roman" w:eastAsia="仿宋"/>
                <w:szCs w:val="21"/>
              </w:rPr>
            </w:pPr>
            <w:r>
              <w:rPr>
                <w:rFonts w:hint="eastAsia" w:ascii="Times New Roman" w:eastAsia="仿宋"/>
                <w:szCs w:val="21"/>
              </w:rPr>
              <w:t>1</w:t>
            </w:r>
            <w:r>
              <w:rPr>
                <w:rFonts w:ascii="Times New Roman" w:eastAsia="仿宋"/>
                <w:szCs w:val="21"/>
              </w:rPr>
              <w:t>63.65</w:t>
            </w:r>
          </w:p>
        </w:tc>
        <w:tc>
          <w:tcPr>
            <w:tcW w:w="296" w:type="pct"/>
            <w:vAlign w:val="center"/>
          </w:tcPr>
          <w:p w14:paraId="06A777A3">
            <w:pPr>
              <w:widowControl/>
              <w:jc w:val="center"/>
              <w:rPr>
                <w:rFonts w:ascii="Times New Roman" w:eastAsia="仿宋"/>
                <w:szCs w:val="21"/>
              </w:rPr>
            </w:pPr>
            <w:r>
              <w:rPr>
                <w:rFonts w:hint="eastAsia" w:ascii="Times New Roman" w:eastAsia="仿宋"/>
                <w:szCs w:val="21"/>
              </w:rPr>
              <w:t>28</w:t>
            </w:r>
            <w:r>
              <w:rPr>
                <w:rFonts w:ascii="Times New Roman" w:eastAsia="仿宋"/>
                <w:szCs w:val="21"/>
              </w:rPr>
              <w:t>.23</w:t>
            </w:r>
          </w:p>
        </w:tc>
        <w:tc>
          <w:tcPr>
            <w:tcW w:w="235" w:type="pct"/>
            <w:vAlign w:val="center"/>
          </w:tcPr>
          <w:p w14:paraId="09479E84">
            <w:pPr>
              <w:jc w:val="center"/>
              <w:rPr>
                <w:rFonts w:ascii="Times New Roman" w:eastAsia="仿宋"/>
                <w:szCs w:val="21"/>
              </w:rPr>
            </w:pPr>
            <w:r>
              <w:rPr>
                <w:rFonts w:hint="eastAsia" w:ascii="Times New Roman" w:eastAsia="仿宋"/>
                <w:szCs w:val="21"/>
              </w:rPr>
              <w:t>0</w:t>
            </w:r>
          </w:p>
        </w:tc>
        <w:tc>
          <w:tcPr>
            <w:tcW w:w="482" w:type="pct"/>
            <w:vAlign w:val="center"/>
          </w:tcPr>
          <w:p w14:paraId="31856FBB">
            <w:pPr>
              <w:widowControl/>
              <w:autoSpaceDE w:val="0"/>
              <w:autoSpaceDN w:val="0"/>
              <w:rPr>
                <w:rFonts w:ascii="Times New Roman" w:eastAsia="仿宋"/>
                <w:szCs w:val="21"/>
              </w:rPr>
            </w:pPr>
            <w:r>
              <w:rPr>
                <w:rFonts w:hint="eastAsia" w:ascii="Times New Roman" w:eastAsia="仿宋"/>
                <w:szCs w:val="21"/>
              </w:rPr>
              <w:t>东：16</w:t>
            </w:r>
            <w:r>
              <w:rPr>
                <w:rFonts w:ascii="Times New Roman" w:eastAsia="仿宋"/>
                <w:szCs w:val="21"/>
              </w:rPr>
              <w:t>.4</w:t>
            </w:r>
          </w:p>
          <w:p w14:paraId="58E3E1E1">
            <w:pPr>
              <w:widowControl/>
              <w:autoSpaceDE w:val="0"/>
              <w:autoSpaceDN w:val="0"/>
              <w:rPr>
                <w:rFonts w:ascii="Times New Roman" w:eastAsia="仿宋"/>
                <w:szCs w:val="21"/>
              </w:rPr>
            </w:pPr>
            <w:r>
              <w:rPr>
                <w:rFonts w:hint="eastAsia" w:ascii="Times New Roman" w:eastAsia="仿宋"/>
                <w:szCs w:val="21"/>
              </w:rPr>
              <w:t>南：46</w:t>
            </w:r>
            <w:r>
              <w:rPr>
                <w:rFonts w:ascii="Times New Roman" w:eastAsia="仿宋"/>
                <w:szCs w:val="21"/>
              </w:rPr>
              <w:t>.8</w:t>
            </w:r>
          </w:p>
          <w:p w14:paraId="3D092541">
            <w:pPr>
              <w:widowControl/>
              <w:autoSpaceDE w:val="0"/>
              <w:autoSpaceDN w:val="0"/>
              <w:rPr>
                <w:rFonts w:ascii="Times New Roman" w:eastAsia="仿宋"/>
                <w:szCs w:val="21"/>
              </w:rPr>
            </w:pPr>
            <w:r>
              <w:rPr>
                <w:rFonts w:hint="eastAsia" w:ascii="Times New Roman" w:eastAsia="仿宋"/>
                <w:szCs w:val="21"/>
              </w:rPr>
              <w:t>西：27</w:t>
            </w:r>
            <w:r>
              <w:rPr>
                <w:rFonts w:ascii="Times New Roman" w:eastAsia="仿宋"/>
                <w:szCs w:val="21"/>
              </w:rPr>
              <w:t>.2</w:t>
            </w:r>
          </w:p>
          <w:p w14:paraId="1DA945E7">
            <w:pPr>
              <w:widowControl/>
              <w:autoSpaceDE w:val="0"/>
              <w:autoSpaceDN w:val="0"/>
              <w:rPr>
                <w:rFonts w:ascii="Times New Roman" w:eastAsia="仿宋"/>
                <w:szCs w:val="21"/>
              </w:rPr>
            </w:pPr>
            <w:r>
              <w:rPr>
                <w:rFonts w:hint="eastAsia" w:ascii="Times New Roman" w:eastAsia="仿宋"/>
                <w:szCs w:val="21"/>
              </w:rPr>
              <w:t>北：32</w:t>
            </w:r>
            <w:r>
              <w:rPr>
                <w:rFonts w:ascii="Times New Roman" w:eastAsia="仿宋"/>
                <w:szCs w:val="21"/>
              </w:rPr>
              <w:t>.3</w:t>
            </w:r>
          </w:p>
        </w:tc>
        <w:tc>
          <w:tcPr>
            <w:tcW w:w="493" w:type="pct"/>
            <w:vAlign w:val="center"/>
          </w:tcPr>
          <w:p w14:paraId="61DFE871">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059DF158">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177DC5FB">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42B3C441">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413759B4">
            <w:pPr>
              <w:widowControl/>
              <w:autoSpaceDE w:val="0"/>
              <w:autoSpaceDN w:val="0"/>
              <w:jc w:val="center"/>
              <w:rPr>
                <w:rFonts w:ascii="Times New Roman" w:eastAsia="仿宋"/>
                <w:szCs w:val="21"/>
              </w:rPr>
            </w:pPr>
          </w:p>
        </w:tc>
        <w:tc>
          <w:tcPr>
            <w:tcW w:w="502" w:type="pct"/>
            <w:vAlign w:val="center"/>
          </w:tcPr>
          <w:p w14:paraId="27453E39">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7289DB58">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0DA1CA7D">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13CE9FD">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0DE514E8">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1FF942B8">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58267F62">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2BC94491">
            <w:pPr>
              <w:widowControl/>
              <w:autoSpaceDE w:val="0"/>
              <w:autoSpaceDN w:val="0"/>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43157A00">
            <w:pPr>
              <w:widowControl/>
              <w:jc w:val="center"/>
              <w:rPr>
                <w:rFonts w:ascii="Times New Roman" w:eastAsia="仿宋"/>
                <w:szCs w:val="21"/>
              </w:rPr>
            </w:pPr>
            <w:r>
              <w:rPr>
                <w:rFonts w:hint="eastAsia" w:ascii="Times New Roman" w:eastAsia="仿宋"/>
                <w:szCs w:val="21"/>
              </w:rPr>
              <w:t>1</w:t>
            </w:r>
          </w:p>
        </w:tc>
      </w:tr>
      <w:tr w14:paraId="3063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62ED447">
            <w:pPr>
              <w:autoSpaceDE w:val="0"/>
              <w:autoSpaceDN w:val="0"/>
              <w:jc w:val="center"/>
              <w:rPr>
                <w:rFonts w:ascii="Times New Roman" w:eastAsia="仿宋"/>
                <w:szCs w:val="21"/>
              </w:rPr>
            </w:pPr>
            <w:r>
              <w:rPr>
                <w:rFonts w:hint="eastAsia" w:ascii="Times New Roman" w:eastAsia="仿宋"/>
                <w:szCs w:val="21"/>
              </w:rPr>
              <w:t>4</w:t>
            </w:r>
          </w:p>
        </w:tc>
        <w:tc>
          <w:tcPr>
            <w:tcW w:w="263" w:type="pct"/>
            <w:vMerge w:val="continue"/>
            <w:vAlign w:val="center"/>
          </w:tcPr>
          <w:p w14:paraId="05F6E77D">
            <w:pPr>
              <w:autoSpaceDE w:val="0"/>
              <w:autoSpaceDN w:val="0"/>
              <w:jc w:val="center"/>
              <w:rPr>
                <w:rFonts w:ascii="Times New Roman" w:eastAsia="仿宋"/>
                <w:szCs w:val="21"/>
              </w:rPr>
            </w:pPr>
          </w:p>
        </w:tc>
        <w:tc>
          <w:tcPr>
            <w:tcW w:w="495" w:type="pct"/>
            <w:vAlign w:val="center"/>
          </w:tcPr>
          <w:p w14:paraId="467B0AF3">
            <w:pPr>
              <w:widowControl/>
              <w:jc w:val="center"/>
              <w:rPr>
                <w:rFonts w:ascii="Times New Roman" w:eastAsia="仿宋"/>
                <w:szCs w:val="21"/>
              </w:rPr>
            </w:pPr>
            <w:r>
              <w:rPr>
                <w:rFonts w:hint="eastAsia" w:ascii="Times New Roman" w:eastAsia="仿宋"/>
                <w:szCs w:val="21"/>
              </w:rPr>
              <w:t>开槽机</w:t>
            </w:r>
          </w:p>
        </w:tc>
        <w:tc>
          <w:tcPr>
            <w:tcW w:w="355" w:type="pct"/>
            <w:vAlign w:val="center"/>
          </w:tcPr>
          <w:p w14:paraId="7E44D283">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0388ECCF">
            <w:pPr>
              <w:widowControl/>
              <w:autoSpaceDE w:val="0"/>
              <w:autoSpaceDN w:val="0"/>
              <w:jc w:val="center"/>
              <w:rPr>
                <w:rFonts w:ascii="Times New Roman" w:eastAsia="仿宋"/>
                <w:szCs w:val="21"/>
              </w:rPr>
            </w:pPr>
          </w:p>
        </w:tc>
        <w:tc>
          <w:tcPr>
            <w:tcW w:w="343" w:type="pct"/>
            <w:vAlign w:val="center"/>
          </w:tcPr>
          <w:p w14:paraId="2E3598E3">
            <w:pPr>
              <w:widowControl/>
              <w:jc w:val="center"/>
              <w:rPr>
                <w:rFonts w:ascii="Times New Roman" w:eastAsia="仿宋"/>
                <w:szCs w:val="21"/>
              </w:rPr>
            </w:pPr>
            <w:r>
              <w:rPr>
                <w:rFonts w:hint="eastAsia" w:ascii="Times New Roman" w:eastAsia="仿宋"/>
                <w:szCs w:val="21"/>
              </w:rPr>
              <w:t>1</w:t>
            </w:r>
            <w:r>
              <w:rPr>
                <w:rFonts w:ascii="Times New Roman" w:eastAsia="仿宋"/>
                <w:szCs w:val="21"/>
              </w:rPr>
              <w:t>62.72</w:t>
            </w:r>
          </w:p>
        </w:tc>
        <w:tc>
          <w:tcPr>
            <w:tcW w:w="296" w:type="pct"/>
            <w:vAlign w:val="center"/>
          </w:tcPr>
          <w:p w14:paraId="77B93FDD">
            <w:pPr>
              <w:widowControl/>
              <w:jc w:val="center"/>
              <w:rPr>
                <w:rFonts w:ascii="Times New Roman" w:eastAsia="仿宋"/>
                <w:szCs w:val="21"/>
              </w:rPr>
            </w:pPr>
            <w:r>
              <w:rPr>
                <w:rFonts w:hint="eastAsia" w:ascii="Times New Roman" w:eastAsia="仿宋"/>
                <w:szCs w:val="21"/>
              </w:rPr>
              <w:t>22</w:t>
            </w:r>
            <w:r>
              <w:rPr>
                <w:rFonts w:ascii="Times New Roman" w:eastAsia="仿宋"/>
                <w:szCs w:val="21"/>
              </w:rPr>
              <w:t>.32</w:t>
            </w:r>
          </w:p>
        </w:tc>
        <w:tc>
          <w:tcPr>
            <w:tcW w:w="235" w:type="pct"/>
            <w:vAlign w:val="center"/>
          </w:tcPr>
          <w:p w14:paraId="3FE594A1">
            <w:pPr>
              <w:widowControl/>
              <w:jc w:val="center"/>
              <w:rPr>
                <w:rFonts w:ascii="Times New Roman" w:eastAsia="仿宋"/>
                <w:szCs w:val="21"/>
              </w:rPr>
            </w:pPr>
            <w:r>
              <w:rPr>
                <w:rFonts w:hint="eastAsia" w:ascii="Times New Roman" w:eastAsia="仿宋"/>
                <w:szCs w:val="21"/>
              </w:rPr>
              <w:t>0</w:t>
            </w:r>
          </w:p>
        </w:tc>
        <w:tc>
          <w:tcPr>
            <w:tcW w:w="482" w:type="pct"/>
            <w:vAlign w:val="center"/>
          </w:tcPr>
          <w:p w14:paraId="7D0687F0">
            <w:pPr>
              <w:widowControl/>
              <w:autoSpaceDE w:val="0"/>
              <w:autoSpaceDN w:val="0"/>
              <w:rPr>
                <w:rFonts w:ascii="Times New Roman" w:eastAsia="仿宋"/>
                <w:szCs w:val="21"/>
              </w:rPr>
            </w:pPr>
            <w:r>
              <w:rPr>
                <w:rFonts w:hint="eastAsia" w:ascii="Times New Roman" w:eastAsia="仿宋"/>
                <w:szCs w:val="21"/>
              </w:rPr>
              <w:t>东：25</w:t>
            </w:r>
            <w:r>
              <w:rPr>
                <w:rFonts w:ascii="Times New Roman" w:eastAsia="仿宋"/>
                <w:szCs w:val="21"/>
              </w:rPr>
              <w:t>.2</w:t>
            </w:r>
          </w:p>
          <w:p w14:paraId="7AF71B24">
            <w:pPr>
              <w:widowControl/>
              <w:autoSpaceDE w:val="0"/>
              <w:autoSpaceDN w:val="0"/>
              <w:rPr>
                <w:rFonts w:ascii="Times New Roman" w:eastAsia="仿宋"/>
                <w:szCs w:val="21"/>
              </w:rPr>
            </w:pPr>
            <w:r>
              <w:rPr>
                <w:rFonts w:hint="eastAsia" w:ascii="Times New Roman" w:eastAsia="仿宋"/>
                <w:szCs w:val="21"/>
              </w:rPr>
              <w:t>南：46</w:t>
            </w:r>
            <w:r>
              <w:rPr>
                <w:rFonts w:ascii="Times New Roman" w:eastAsia="仿宋"/>
                <w:szCs w:val="21"/>
              </w:rPr>
              <w:t>.4</w:t>
            </w:r>
          </w:p>
          <w:p w14:paraId="0142A16D">
            <w:pPr>
              <w:widowControl/>
              <w:autoSpaceDE w:val="0"/>
              <w:autoSpaceDN w:val="0"/>
              <w:rPr>
                <w:rFonts w:ascii="Times New Roman" w:eastAsia="仿宋"/>
                <w:szCs w:val="21"/>
              </w:rPr>
            </w:pPr>
            <w:r>
              <w:rPr>
                <w:rFonts w:hint="eastAsia" w:ascii="Times New Roman" w:eastAsia="仿宋"/>
                <w:szCs w:val="21"/>
              </w:rPr>
              <w:t>西：16</w:t>
            </w:r>
            <w:r>
              <w:rPr>
                <w:rFonts w:ascii="Times New Roman" w:eastAsia="仿宋"/>
                <w:szCs w:val="21"/>
              </w:rPr>
              <w:t>.4</w:t>
            </w:r>
          </w:p>
          <w:p w14:paraId="4AA66B1C">
            <w:pPr>
              <w:widowControl/>
              <w:autoSpaceDE w:val="0"/>
              <w:autoSpaceDN w:val="0"/>
              <w:rPr>
                <w:rFonts w:ascii="Times New Roman" w:eastAsia="仿宋"/>
                <w:szCs w:val="21"/>
              </w:rPr>
            </w:pPr>
            <w:r>
              <w:rPr>
                <w:rFonts w:hint="eastAsia" w:ascii="Times New Roman" w:eastAsia="仿宋"/>
                <w:szCs w:val="21"/>
              </w:rPr>
              <w:t>北：20</w:t>
            </w:r>
            <w:r>
              <w:rPr>
                <w:rFonts w:ascii="Times New Roman" w:eastAsia="仿宋"/>
                <w:szCs w:val="21"/>
              </w:rPr>
              <w:t>.2</w:t>
            </w:r>
          </w:p>
        </w:tc>
        <w:tc>
          <w:tcPr>
            <w:tcW w:w="493" w:type="pct"/>
            <w:vAlign w:val="center"/>
          </w:tcPr>
          <w:p w14:paraId="2A022C27">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370C71E2">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4AD07082">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53C416FB">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71EE5235">
            <w:pPr>
              <w:widowControl/>
              <w:autoSpaceDE w:val="0"/>
              <w:autoSpaceDN w:val="0"/>
              <w:jc w:val="center"/>
              <w:rPr>
                <w:rFonts w:ascii="Times New Roman" w:eastAsia="仿宋"/>
                <w:szCs w:val="21"/>
              </w:rPr>
            </w:pPr>
          </w:p>
        </w:tc>
        <w:tc>
          <w:tcPr>
            <w:tcW w:w="502" w:type="pct"/>
            <w:vAlign w:val="center"/>
          </w:tcPr>
          <w:p w14:paraId="35731E0E">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2F9527F2">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7901BD7A">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319BAEF8">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4DB3D9D3">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040FECF8">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28C3A80A">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2885A8CF">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EAC7A3A">
            <w:pPr>
              <w:widowControl/>
              <w:jc w:val="center"/>
              <w:rPr>
                <w:rFonts w:ascii="Times New Roman" w:eastAsia="仿宋"/>
                <w:szCs w:val="21"/>
              </w:rPr>
            </w:pPr>
            <w:r>
              <w:rPr>
                <w:rFonts w:hint="eastAsia" w:ascii="Times New Roman" w:eastAsia="仿宋"/>
                <w:szCs w:val="21"/>
              </w:rPr>
              <w:t>1</w:t>
            </w:r>
          </w:p>
        </w:tc>
      </w:tr>
      <w:tr w14:paraId="2619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F7CF2E6">
            <w:pPr>
              <w:autoSpaceDE w:val="0"/>
              <w:autoSpaceDN w:val="0"/>
              <w:jc w:val="center"/>
              <w:rPr>
                <w:rFonts w:ascii="Times New Roman" w:eastAsia="仿宋"/>
                <w:szCs w:val="21"/>
              </w:rPr>
            </w:pPr>
            <w:r>
              <w:rPr>
                <w:rFonts w:hint="eastAsia" w:ascii="Times New Roman" w:eastAsia="仿宋"/>
                <w:szCs w:val="21"/>
              </w:rPr>
              <w:t>5</w:t>
            </w:r>
          </w:p>
        </w:tc>
        <w:tc>
          <w:tcPr>
            <w:tcW w:w="263" w:type="pct"/>
            <w:vMerge w:val="continue"/>
            <w:vAlign w:val="center"/>
          </w:tcPr>
          <w:p w14:paraId="7936653A">
            <w:pPr>
              <w:autoSpaceDE w:val="0"/>
              <w:autoSpaceDN w:val="0"/>
              <w:jc w:val="center"/>
              <w:rPr>
                <w:rFonts w:ascii="Times New Roman" w:eastAsia="仿宋"/>
                <w:szCs w:val="21"/>
              </w:rPr>
            </w:pPr>
          </w:p>
        </w:tc>
        <w:tc>
          <w:tcPr>
            <w:tcW w:w="495" w:type="pct"/>
            <w:vAlign w:val="center"/>
          </w:tcPr>
          <w:p w14:paraId="7C51FB29">
            <w:pPr>
              <w:widowControl/>
              <w:jc w:val="center"/>
              <w:rPr>
                <w:rFonts w:ascii="Times New Roman" w:eastAsia="仿宋"/>
                <w:szCs w:val="21"/>
              </w:rPr>
            </w:pPr>
            <w:r>
              <w:rPr>
                <w:rFonts w:hint="eastAsia" w:ascii="Times New Roman" w:eastAsia="仿宋"/>
                <w:szCs w:val="21"/>
              </w:rPr>
              <w:t>冲压机</w:t>
            </w:r>
          </w:p>
        </w:tc>
        <w:tc>
          <w:tcPr>
            <w:tcW w:w="355" w:type="pct"/>
            <w:vAlign w:val="center"/>
          </w:tcPr>
          <w:p w14:paraId="2C9FDAA3">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287" w:type="pct"/>
            <w:vMerge w:val="continue"/>
            <w:vAlign w:val="center"/>
          </w:tcPr>
          <w:p w14:paraId="47FB83C7">
            <w:pPr>
              <w:widowControl/>
              <w:autoSpaceDE w:val="0"/>
              <w:autoSpaceDN w:val="0"/>
              <w:jc w:val="center"/>
              <w:rPr>
                <w:rFonts w:ascii="Times New Roman" w:eastAsia="仿宋"/>
                <w:szCs w:val="21"/>
              </w:rPr>
            </w:pPr>
          </w:p>
        </w:tc>
        <w:tc>
          <w:tcPr>
            <w:tcW w:w="343" w:type="pct"/>
            <w:vAlign w:val="center"/>
          </w:tcPr>
          <w:p w14:paraId="265F0301">
            <w:pPr>
              <w:jc w:val="center"/>
              <w:rPr>
                <w:rFonts w:ascii="Times New Roman" w:eastAsia="仿宋"/>
                <w:szCs w:val="21"/>
              </w:rPr>
            </w:pPr>
            <w:r>
              <w:rPr>
                <w:rFonts w:hint="eastAsia" w:ascii="Times New Roman" w:eastAsia="仿宋"/>
                <w:szCs w:val="21"/>
              </w:rPr>
              <w:t>1</w:t>
            </w:r>
            <w:r>
              <w:rPr>
                <w:rFonts w:ascii="Times New Roman" w:eastAsia="仿宋"/>
                <w:szCs w:val="21"/>
              </w:rPr>
              <w:t>76.4</w:t>
            </w:r>
          </w:p>
        </w:tc>
        <w:tc>
          <w:tcPr>
            <w:tcW w:w="296" w:type="pct"/>
            <w:vAlign w:val="center"/>
          </w:tcPr>
          <w:p w14:paraId="385409F8">
            <w:pPr>
              <w:jc w:val="center"/>
              <w:rPr>
                <w:rFonts w:ascii="Times New Roman" w:eastAsia="仿宋"/>
                <w:szCs w:val="21"/>
              </w:rPr>
            </w:pPr>
            <w:r>
              <w:rPr>
                <w:rFonts w:hint="eastAsia" w:ascii="Times New Roman" w:eastAsia="仿宋"/>
                <w:szCs w:val="21"/>
              </w:rPr>
              <w:t>21</w:t>
            </w:r>
            <w:r>
              <w:rPr>
                <w:rFonts w:ascii="Times New Roman" w:eastAsia="仿宋"/>
                <w:szCs w:val="21"/>
              </w:rPr>
              <w:t>.08</w:t>
            </w:r>
          </w:p>
        </w:tc>
        <w:tc>
          <w:tcPr>
            <w:tcW w:w="235" w:type="pct"/>
            <w:vAlign w:val="center"/>
          </w:tcPr>
          <w:p w14:paraId="1D78AA63">
            <w:pPr>
              <w:jc w:val="center"/>
              <w:rPr>
                <w:rFonts w:ascii="Times New Roman" w:eastAsia="仿宋"/>
                <w:szCs w:val="21"/>
              </w:rPr>
            </w:pPr>
            <w:r>
              <w:rPr>
                <w:rFonts w:hint="eastAsia" w:ascii="Times New Roman" w:eastAsia="仿宋"/>
                <w:szCs w:val="21"/>
              </w:rPr>
              <w:t>0</w:t>
            </w:r>
          </w:p>
        </w:tc>
        <w:tc>
          <w:tcPr>
            <w:tcW w:w="482" w:type="pct"/>
            <w:vAlign w:val="center"/>
          </w:tcPr>
          <w:p w14:paraId="3FD83D2F">
            <w:pPr>
              <w:widowControl/>
              <w:autoSpaceDE w:val="0"/>
              <w:autoSpaceDN w:val="0"/>
              <w:rPr>
                <w:rFonts w:ascii="Times New Roman" w:eastAsia="仿宋"/>
                <w:szCs w:val="21"/>
              </w:rPr>
            </w:pPr>
            <w:r>
              <w:rPr>
                <w:rFonts w:hint="eastAsia" w:ascii="Times New Roman" w:eastAsia="仿宋"/>
                <w:szCs w:val="21"/>
              </w:rPr>
              <w:t>东：16</w:t>
            </w:r>
            <w:r>
              <w:rPr>
                <w:rFonts w:ascii="Times New Roman" w:eastAsia="仿宋"/>
                <w:szCs w:val="21"/>
              </w:rPr>
              <w:t>.4</w:t>
            </w:r>
          </w:p>
          <w:p w14:paraId="4ACBAADE">
            <w:pPr>
              <w:widowControl/>
              <w:autoSpaceDE w:val="0"/>
              <w:autoSpaceDN w:val="0"/>
              <w:rPr>
                <w:rFonts w:ascii="Times New Roman" w:eastAsia="仿宋"/>
                <w:szCs w:val="21"/>
              </w:rPr>
            </w:pPr>
            <w:r>
              <w:rPr>
                <w:rFonts w:hint="eastAsia" w:ascii="Times New Roman" w:eastAsia="仿宋"/>
                <w:szCs w:val="21"/>
              </w:rPr>
              <w:t>南：38</w:t>
            </w:r>
            <w:r>
              <w:rPr>
                <w:rFonts w:ascii="Times New Roman" w:eastAsia="仿宋"/>
                <w:szCs w:val="21"/>
              </w:rPr>
              <w:t>.4</w:t>
            </w:r>
          </w:p>
          <w:p w14:paraId="7B47F7A6">
            <w:pPr>
              <w:widowControl/>
              <w:autoSpaceDE w:val="0"/>
              <w:autoSpaceDN w:val="0"/>
              <w:rPr>
                <w:rFonts w:ascii="Times New Roman" w:eastAsia="仿宋"/>
                <w:szCs w:val="21"/>
              </w:rPr>
            </w:pPr>
            <w:r>
              <w:rPr>
                <w:rFonts w:hint="eastAsia" w:ascii="Times New Roman" w:eastAsia="仿宋"/>
                <w:szCs w:val="21"/>
              </w:rPr>
              <w:t>西：25</w:t>
            </w:r>
            <w:r>
              <w:rPr>
                <w:rFonts w:ascii="Times New Roman" w:eastAsia="仿宋"/>
                <w:szCs w:val="21"/>
              </w:rPr>
              <w:t>.1</w:t>
            </w:r>
          </w:p>
          <w:p w14:paraId="2DF73924">
            <w:pPr>
              <w:widowControl/>
              <w:autoSpaceDE w:val="0"/>
              <w:autoSpaceDN w:val="0"/>
              <w:rPr>
                <w:rFonts w:ascii="Times New Roman" w:eastAsia="仿宋"/>
                <w:szCs w:val="21"/>
              </w:rPr>
            </w:pPr>
            <w:r>
              <w:rPr>
                <w:rFonts w:hint="eastAsia" w:ascii="Times New Roman" w:eastAsia="仿宋"/>
                <w:szCs w:val="21"/>
              </w:rPr>
              <w:t>北：39</w:t>
            </w:r>
            <w:r>
              <w:rPr>
                <w:rFonts w:ascii="Times New Roman" w:eastAsia="仿宋"/>
                <w:szCs w:val="21"/>
              </w:rPr>
              <w:t>.1</w:t>
            </w:r>
          </w:p>
        </w:tc>
        <w:tc>
          <w:tcPr>
            <w:tcW w:w="493" w:type="pct"/>
            <w:vAlign w:val="center"/>
          </w:tcPr>
          <w:p w14:paraId="6ADFEA99">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71A6E41B">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20F10EDE">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32FC108E">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0975C1F0">
            <w:pPr>
              <w:widowControl/>
              <w:autoSpaceDE w:val="0"/>
              <w:autoSpaceDN w:val="0"/>
              <w:jc w:val="center"/>
              <w:rPr>
                <w:rFonts w:ascii="Times New Roman" w:eastAsia="仿宋"/>
                <w:szCs w:val="21"/>
              </w:rPr>
            </w:pPr>
          </w:p>
        </w:tc>
        <w:tc>
          <w:tcPr>
            <w:tcW w:w="502" w:type="pct"/>
            <w:vAlign w:val="center"/>
          </w:tcPr>
          <w:p w14:paraId="4CE9AC89">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04FA2143">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E6D080D">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1DF4A12F">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056156CC">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3E774331">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24983F42">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073A3B76">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7199FA6D">
            <w:pPr>
              <w:widowControl/>
              <w:jc w:val="center"/>
              <w:rPr>
                <w:rFonts w:ascii="Times New Roman" w:eastAsia="仿宋"/>
                <w:szCs w:val="21"/>
              </w:rPr>
            </w:pPr>
            <w:r>
              <w:rPr>
                <w:rFonts w:hint="eastAsia" w:ascii="Times New Roman" w:eastAsia="仿宋"/>
                <w:szCs w:val="21"/>
              </w:rPr>
              <w:t>1</w:t>
            </w:r>
          </w:p>
        </w:tc>
      </w:tr>
      <w:tr w14:paraId="4C19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06BDA54A">
            <w:pPr>
              <w:autoSpaceDE w:val="0"/>
              <w:autoSpaceDN w:val="0"/>
              <w:jc w:val="center"/>
              <w:rPr>
                <w:rFonts w:ascii="Times New Roman" w:eastAsia="仿宋"/>
                <w:szCs w:val="21"/>
              </w:rPr>
            </w:pPr>
            <w:r>
              <w:rPr>
                <w:rFonts w:hint="eastAsia" w:ascii="Times New Roman" w:eastAsia="仿宋"/>
                <w:szCs w:val="21"/>
              </w:rPr>
              <w:t>6</w:t>
            </w:r>
          </w:p>
        </w:tc>
        <w:tc>
          <w:tcPr>
            <w:tcW w:w="263" w:type="pct"/>
            <w:vMerge w:val="continue"/>
            <w:vAlign w:val="center"/>
          </w:tcPr>
          <w:p w14:paraId="0060A3E5">
            <w:pPr>
              <w:autoSpaceDE w:val="0"/>
              <w:autoSpaceDN w:val="0"/>
              <w:jc w:val="center"/>
              <w:rPr>
                <w:rFonts w:ascii="Times New Roman" w:eastAsia="仿宋"/>
                <w:szCs w:val="21"/>
              </w:rPr>
            </w:pPr>
          </w:p>
        </w:tc>
        <w:tc>
          <w:tcPr>
            <w:tcW w:w="495" w:type="pct"/>
            <w:vAlign w:val="center"/>
          </w:tcPr>
          <w:p w14:paraId="1CF6ADB5">
            <w:pPr>
              <w:widowControl/>
              <w:jc w:val="center"/>
              <w:rPr>
                <w:rFonts w:ascii="Times New Roman" w:eastAsia="仿宋"/>
                <w:szCs w:val="21"/>
              </w:rPr>
            </w:pPr>
            <w:r>
              <w:rPr>
                <w:rFonts w:hint="eastAsia" w:ascii="Times New Roman" w:eastAsia="仿宋"/>
                <w:szCs w:val="21"/>
              </w:rPr>
              <w:t>氩弧焊机</w:t>
            </w:r>
          </w:p>
        </w:tc>
        <w:tc>
          <w:tcPr>
            <w:tcW w:w="355" w:type="pct"/>
            <w:vAlign w:val="center"/>
          </w:tcPr>
          <w:p w14:paraId="4118F0B6">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287" w:type="pct"/>
            <w:vMerge w:val="continue"/>
            <w:vAlign w:val="center"/>
          </w:tcPr>
          <w:p w14:paraId="2E95808F">
            <w:pPr>
              <w:widowControl/>
              <w:autoSpaceDE w:val="0"/>
              <w:autoSpaceDN w:val="0"/>
              <w:jc w:val="center"/>
              <w:rPr>
                <w:rFonts w:ascii="Times New Roman" w:eastAsia="仿宋"/>
                <w:szCs w:val="21"/>
              </w:rPr>
            </w:pPr>
          </w:p>
        </w:tc>
        <w:tc>
          <w:tcPr>
            <w:tcW w:w="343" w:type="pct"/>
            <w:vAlign w:val="center"/>
          </w:tcPr>
          <w:p w14:paraId="5493C6BD">
            <w:pPr>
              <w:jc w:val="center"/>
              <w:rPr>
                <w:rFonts w:ascii="Times New Roman" w:eastAsia="仿宋"/>
                <w:szCs w:val="21"/>
              </w:rPr>
            </w:pPr>
            <w:r>
              <w:rPr>
                <w:rFonts w:hint="eastAsia" w:ascii="Times New Roman" w:eastAsia="仿宋"/>
                <w:szCs w:val="21"/>
              </w:rPr>
              <w:t>1</w:t>
            </w:r>
            <w:r>
              <w:rPr>
                <w:rFonts w:ascii="Times New Roman" w:eastAsia="仿宋"/>
                <w:szCs w:val="21"/>
              </w:rPr>
              <w:t>83.24</w:t>
            </w:r>
          </w:p>
        </w:tc>
        <w:tc>
          <w:tcPr>
            <w:tcW w:w="296" w:type="pct"/>
            <w:vAlign w:val="center"/>
          </w:tcPr>
          <w:p w14:paraId="35BB305C">
            <w:pPr>
              <w:jc w:val="center"/>
              <w:rPr>
                <w:rFonts w:ascii="Times New Roman" w:eastAsia="仿宋"/>
                <w:szCs w:val="21"/>
              </w:rPr>
            </w:pPr>
            <w:r>
              <w:rPr>
                <w:rFonts w:ascii="Times New Roman" w:eastAsia="仿宋"/>
                <w:szCs w:val="21"/>
              </w:rPr>
              <w:t>10.87</w:t>
            </w:r>
          </w:p>
        </w:tc>
        <w:tc>
          <w:tcPr>
            <w:tcW w:w="235" w:type="pct"/>
            <w:vAlign w:val="center"/>
          </w:tcPr>
          <w:p w14:paraId="0C76CDDD">
            <w:pPr>
              <w:jc w:val="center"/>
              <w:rPr>
                <w:rFonts w:ascii="Times New Roman" w:eastAsia="仿宋"/>
                <w:szCs w:val="21"/>
              </w:rPr>
            </w:pPr>
            <w:r>
              <w:rPr>
                <w:rFonts w:hint="eastAsia" w:ascii="Times New Roman" w:eastAsia="仿宋"/>
                <w:szCs w:val="21"/>
              </w:rPr>
              <w:t>0</w:t>
            </w:r>
          </w:p>
        </w:tc>
        <w:tc>
          <w:tcPr>
            <w:tcW w:w="482" w:type="pct"/>
            <w:vAlign w:val="center"/>
          </w:tcPr>
          <w:p w14:paraId="04FD1065">
            <w:pPr>
              <w:widowControl/>
              <w:autoSpaceDE w:val="0"/>
              <w:autoSpaceDN w:val="0"/>
              <w:rPr>
                <w:rFonts w:ascii="Times New Roman" w:eastAsia="仿宋"/>
                <w:szCs w:val="21"/>
              </w:rPr>
            </w:pPr>
            <w:r>
              <w:rPr>
                <w:rFonts w:hint="eastAsia" w:ascii="Times New Roman" w:eastAsia="仿宋"/>
                <w:szCs w:val="21"/>
              </w:rPr>
              <w:t>东：15</w:t>
            </w:r>
            <w:r>
              <w:rPr>
                <w:rFonts w:ascii="Times New Roman" w:eastAsia="仿宋"/>
                <w:szCs w:val="21"/>
              </w:rPr>
              <w:t>.1</w:t>
            </w:r>
          </w:p>
          <w:p w14:paraId="54657257">
            <w:pPr>
              <w:widowControl/>
              <w:autoSpaceDE w:val="0"/>
              <w:autoSpaceDN w:val="0"/>
              <w:rPr>
                <w:rFonts w:ascii="Times New Roman" w:eastAsia="仿宋"/>
                <w:szCs w:val="21"/>
              </w:rPr>
            </w:pPr>
            <w:r>
              <w:rPr>
                <w:rFonts w:hint="eastAsia" w:ascii="Times New Roman" w:eastAsia="仿宋"/>
                <w:szCs w:val="21"/>
              </w:rPr>
              <w:t>南：24</w:t>
            </w:r>
            <w:r>
              <w:rPr>
                <w:rFonts w:ascii="Times New Roman" w:eastAsia="仿宋"/>
                <w:szCs w:val="21"/>
              </w:rPr>
              <w:t>.4</w:t>
            </w:r>
          </w:p>
          <w:p w14:paraId="2C72F512">
            <w:pPr>
              <w:widowControl/>
              <w:autoSpaceDE w:val="0"/>
              <w:autoSpaceDN w:val="0"/>
              <w:rPr>
                <w:rFonts w:ascii="Times New Roman" w:eastAsia="仿宋"/>
                <w:szCs w:val="21"/>
              </w:rPr>
            </w:pPr>
            <w:r>
              <w:rPr>
                <w:rFonts w:hint="eastAsia" w:ascii="Times New Roman" w:eastAsia="仿宋"/>
                <w:szCs w:val="21"/>
              </w:rPr>
              <w:t>西：28</w:t>
            </w:r>
            <w:r>
              <w:rPr>
                <w:rFonts w:ascii="Times New Roman" w:eastAsia="仿宋"/>
                <w:szCs w:val="21"/>
              </w:rPr>
              <w:t>.2</w:t>
            </w:r>
          </w:p>
          <w:p w14:paraId="00228EA9">
            <w:pPr>
              <w:widowControl/>
              <w:autoSpaceDE w:val="0"/>
              <w:autoSpaceDN w:val="0"/>
              <w:rPr>
                <w:rFonts w:ascii="Times New Roman" w:eastAsia="仿宋"/>
                <w:szCs w:val="21"/>
              </w:rPr>
            </w:pPr>
            <w:r>
              <w:rPr>
                <w:rFonts w:hint="eastAsia" w:ascii="Times New Roman" w:eastAsia="仿宋"/>
                <w:szCs w:val="21"/>
              </w:rPr>
              <w:t>北：52</w:t>
            </w:r>
            <w:r>
              <w:rPr>
                <w:rFonts w:ascii="Times New Roman" w:eastAsia="仿宋"/>
                <w:szCs w:val="21"/>
              </w:rPr>
              <w:t>.3</w:t>
            </w:r>
          </w:p>
        </w:tc>
        <w:tc>
          <w:tcPr>
            <w:tcW w:w="493" w:type="pct"/>
            <w:vAlign w:val="center"/>
          </w:tcPr>
          <w:p w14:paraId="1493FFD0">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2F55B42F">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6B7EA97B">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2C6073F0">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1EFB6ABD">
            <w:pPr>
              <w:widowControl/>
              <w:autoSpaceDE w:val="0"/>
              <w:autoSpaceDN w:val="0"/>
              <w:jc w:val="center"/>
              <w:rPr>
                <w:rFonts w:ascii="Times New Roman" w:eastAsia="仿宋"/>
                <w:szCs w:val="21"/>
              </w:rPr>
            </w:pPr>
          </w:p>
        </w:tc>
        <w:tc>
          <w:tcPr>
            <w:tcW w:w="502" w:type="pct"/>
            <w:vAlign w:val="center"/>
          </w:tcPr>
          <w:p w14:paraId="78C9209A">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2B46479A">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71012513">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86C73DF">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0A7A807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E9078F7">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951E9FD">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00D4E039">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09D54108">
            <w:pPr>
              <w:widowControl/>
              <w:jc w:val="center"/>
              <w:rPr>
                <w:rFonts w:ascii="Times New Roman" w:eastAsia="仿宋"/>
                <w:szCs w:val="21"/>
              </w:rPr>
            </w:pPr>
            <w:r>
              <w:rPr>
                <w:rFonts w:hint="eastAsia" w:ascii="Times New Roman" w:eastAsia="仿宋"/>
                <w:szCs w:val="21"/>
              </w:rPr>
              <w:t>1</w:t>
            </w:r>
          </w:p>
        </w:tc>
      </w:tr>
      <w:tr w14:paraId="2930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51E00F14">
            <w:pPr>
              <w:autoSpaceDE w:val="0"/>
              <w:autoSpaceDN w:val="0"/>
              <w:jc w:val="center"/>
              <w:rPr>
                <w:rFonts w:ascii="Times New Roman" w:eastAsia="仿宋"/>
                <w:szCs w:val="21"/>
              </w:rPr>
            </w:pPr>
            <w:r>
              <w:rPr>
                <w:rFonts w:hint="eastAsia" w:ascii="Times New Roman" w:eastAsia="仿宋"/>
                <w:szCs w:val="21"/>
              </w:rPr>
              <w:t>7</w:t>
            </w:r>
          </w:p>
        </w:tc>
        <w:tc>
          <w:tcPr>
            <w:tcW w:w="263" w:type="pct"/>
            <w:vMerge w:val="continue"/>
            <w:vAlign w:val="center"/>
          </w:tcPr>
          <w:p w14:paraId="566B224B">
            <w:pPr>
              <w:autoSpaceDE w:val="0"/>
              <w:autoSpaceDN w:val="0"/>
              <w:jc w:val="center"/>
              <w:rPr>
                <w:rFonts w:ascii="Times New Roman" w:eastAsia="仿宋"/>
                <w:szCs w:val="21"/>
              </w:rPr>
            </w:pPr>
          </w:p>
        </w:tc>
        <w:tc>
          <w:tcPr>
            <w:tcW w:w="495" w:type="pct"/>
            <w:vAlign w:val="center"/>
          </w:tcPr>
          <w:p w14:paraId="72EC7548">
            <w:pPr>
              <w:widowControl/>
              <w:jc w:val="center"/>
              <w:rPr>
                <w:rFonts w:ascii="Times New Roman" w:eastAsia="仿宋"/>
                <w:szCs w:val="21"/>
              </w:rPr>
            </w:pPr>
            <w:r>
              <w:rPr>
                <w:rFonts w:hint="eastAsia" w:ascii="Times New Roman" w:eastAsia="仿宋"/>
                <w:szCs w:val="21"/>
              </w:rPr>
              <w:t>激光焊机</w:t>
            </w:r>
          </w:p>
        </w:tc>
        <w:tc>
          <w:tcPr>
            <w:tcW w:w="355" w:type="pct"/>
            <w:vAlign w:val="center"/>
          </w:tcPr>
          <w:p w14:paraId="3904E69E">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35858F16">
            <w:pPr>
              <w:widowControl/>
              <w:autoSpaceDE w:val="0"/>
              <w:autoSpaceDN w:val="0"/>
              <w:jc w:val="center"/>
              <w:rPr>
                <w:rFonts w:ascii="Times New Roman" w:eastAsia="仿宋"/>
                <w:szCs w:val="21"/>
              </w:rPr>
            </w:pPr>
          </w:p>
        </w:tc>
        <w:tc>
          <w:tcPr>
            <w:tcW w:w="343" w:type="pct"/>
            <w:vAlign w:val="center"/>
          </w:tcPr>
          <w:p w14:paraId="644B13BD">
            <w:pPr>
              <w:jc w:val="center"/>
              <w:rPr>
                <w:rFonts w:ascii="Times New Roman" w:eastAsia="仿宋"/>
                <w:szCs w:val="21"/>
              </w:rPr>
            </w:pPr>
            <w:r>
              <w:rPr>
                <w:rFonts w:hint="eastAsia" w:ascii="Times New Roman" w:eastAsia="仿宋"/>
                <w:szCs w:val="21"/>
              </w:rPr>
              <w:t>1</w:t>
            </w:r>
            <w:r>
              <w:rPr>
                <w:rFonts w:ascii="Times New Roman" w:eastAsia="仿宋"/>
                <w:szCs w:val="21"/>
              </w:rPr>
              <w:t>70.18</w:t>
            </w:r>
          </w:p>
        </w:tc>
        <w:tc>
          <w:tcPr>
            <w:tcW w:w="296" w:type="pct"/>
            <w:vAlign w:val="center"/>
          </w:tcPr>
          <w:p w14:paraId="662614D5">
            <w:pPr>
              <w:jc w:val="center"/>
              <w:rPr>
                <w:rFonts w:ascii="Times New Roman" w:eastAsia="仿宋"/>
                <w:szCs w:val="21"/>
              </w:rPr>
            </w:pPr>
            <w:r>
              <w:rPr>
                <w:rFonts w:hint="eastAsia" w:ascii="Times New Roman" w:eastAsia="仿宋"/>
                <w:szCs w:val="21"/>
              </w:rPr>
              <w:t>-8</w:t>
            </w:r>
            <w:r>
              <w:rPr>
                <w:rFonts w:ascii="Times New Roman" w:eastAsia="仿宋"/>
                <w:szCs w:val="21"/>
              </w:rPr>
              <w:t>.46</w:t>
            </w:r>
          </w:p>
        </w:tc>
        <w:tc>
          <w:tcPr>
            <w:tcW w:w="235" w:type="pct"/>
            <w:vAlign w:val="center"/>
          </w:tcPr>
          <w:p w14:paraId="61BD3437">
            <w:pPr>
              <w:jc w:val="center"/>
              <w:rPr>
                <w:rFonts w:ascii="Times New Roman" w:eastAsia="仿宋"/>
                <w:szCs w:val="21"/>
              </w:rPr>
            </w:pPr>
            <w:r>
              <w:rPr>
                <w:rFonts w:hint="eastAsia" w:ascii="Times New Roman" w:eastAsia="仿宋"/>
                <w:szCs w:val="21"/>
              </w:rPr>
              <w:t>0</w:t>
            </w:r>
          </w:p>
        </w:tc>
        <w:tc>
          <w:tcPr>
            <w:tcW w:w="482" w:type="pct"/>
            <w:vAlign w:val="center"/>
          </w:tcPr>
          <w:p w14:paraId="04527B52">
            <w:pPr>
              <w:widowControl/>
              <w:autoSpaceDE w:val="0"/>
              <w:autoSpaceDN w:val="0"/>
              <w:rPr>
                <w:rFonts w:ascii="Times New Roman" w:eastAsia="仿宋"/>
                <w:szCs w:val="21"/>
              </w:rPr>
            </w:pPr>
            <w:r>
              <w:rPr>
                <w:rFonts w:hint="eastAsia" w:ascii="Times New Roman" w:eastAsia="仿宋"/>
                <w:szCs w:val="21"/>
              </w:rPr>
              <w:t>东：22</w:t>
            </w:r>
            <w:r>
              <w:rPr>
                <w:rFonts w:ascii="Times New Roman" w:eastAsia="仿宋"/>
                <w:szCs w:val="21"/>
              </w:rPr>
              <w:t>.1</w:t>
            </w:r>
          </w:p>
          <w:p w14:paraId="14E52616">
            <w:pPr>
              <w:widowControl/>
              <w:autoSpaceDE w:val="0"/>
              <w:autoSpaceDN w:val="0"/>
              <w:rPr>
                <w:rFonts w:ascii="Times New Roman" w:eastAsia="仿宋"/>
                <w:szCs w:val="21"/>
              </w:rPr>
            </w:pPr>
            <w:r>
              <w:rPr>
                <w:rFonts w:hint="eastAsia" w:ascii="Times New Roman" w:eastAsia="仿宋"/>
                <w:szCs w:val="21"/>
              </w:rPr>
              <w:t>南：23</w:t>
            </w:r>
            <w:r>
              <w:rPr>
                <w:rFonts w:ascii="Times New Roman" w:eastAsia="仿宋"/>
                <w:szCs w:val="21"/>
              </w:rPr>
              <w:t>.8</w:t>
            </w:r>
          </w:p>
          <w:p w14:paraId="3E5586FB">
            <w:pPr>
              <w:widowControl/>
              <w:autoSpaceDE w:val="0"/>
              <w:autoSpaceDN w:val="0"/>
              <w:rPr>
                <w:rFonts w:ascii="Times New Roman" w:eastAsia="仿宋"/>
                <w:szCs w:val="21"/>
              </w:rPr>
            </w:pPr>
            <w:r>
              <w:rPr>
                <w:rFonts w:hint="eastAsia" w:ascii="Times New Roman" w:eastAsia="仿宋"/>
                <w:szCs w:val="21"/>
              </w:rPr>
              <w:t>西：18</w:t>
            </w:r>
            <w:r>
              <w:rPr>
                <w:rFonts w:ascii="Times New Roman" w:eastAsia="仿宋"/>
                <w:szCs w:val="21"/>
              </w:rPr>
              <w:t>.2</w:t>
            </w:r>
          </w:p>
          <w:p w14:paraId="03E4AA20">
            <w:pPr>
              <w:widowControl/>
              <w:autoSpaceDE w:val="0"/>
              <w:autoSpaceDN w:val="0"/>
              <w:rPr>
                <w:rFonts w:ascii="Times New Roman" w:eastAsia="仿宋"/>
                <w:szCs w:val="21"/>
              </w:rPr>
            </w:pPr>
            <w:r>
              <w:rPr>
                <w:rFonts w:hint="eastAsia" w:ascii="Times New Roman" w:eastAsia="仿宋"/>
                <w:szCs w:val="21"/>
              </w:rPr>
              <w:t>北：53</w:t>
            </w:r>
            <w:r>
              <w:rPr>
                <w:rFonts w:ascii="Times New Roman" w:eastAsia="仿宋"/>
                <w:szCs w:val="21"/>
              </w:rPr>
              <w:t>.1</w:t>
            </w:r>
          </w:p>
        </w:tc>
        <w:tc>
          <w:tcPr>
            <w:tcW w:w="493" w:type="pct"/>
            <w:vAlign w:val="center"/>
          </w:tcPr>
          <w:p w14:paraId="0179B51A">
            <w:pPr>
              <w:widowControl/>
              <w:autoSpaceDE w:val="0"/>
              <w:autoSpaceDN w:val="0"/>
              <w:rPr>
                <w:rFonts w:ascii="Times New Roman" w:eastAsia="仿宋"/>
                <w:szCs w:val="21"/>
              </w:rPr>
            </w:pPr>
            <w:r>
              <w:rPr>
                <w:rFonts w:hint="eastAsia" w:ascii="Times New Roman" w:eastAsia="仿宋"/>
                <w:szCs w:val="21"/>
              </w:rPr>
              <w:t>东：</w:t>
            </w:r>
            <w:r>
              <w:rPr>
                <w:rFonts w:ascii="Times New Roman" w:eastAsia="仿宋"/>
                <w:szCs w:val="21"/>
              </w:rPr>
              <w:t>49.3</w:t>
            </w:r>
          </w:p>
          <w:p w14:paraId="5FAA023F">
            <w:pPr>
              <w:widowControl/>
              <w:autoSpaceDE w:val="0"/>
              <w:autoSpaceDN w:val="0"/>
              <w:rPr>
                <w:rFonts w:ascii="Times New Roman" w:eastAsia="仿宋"/>
                <w:szCs w:val="21"/>
              </w:rPr>
            </w:pPr>
            <w:r>
              <w:rPr>
                <w:rFonts w:hint="eastAsia" w:ascii="Times New Roman" w:eastAsia="仿宋"/>
                <w:szCs w:val="21"/>
              </w:rPr>
              <w:t>南：</w:t>
            </w:r>
            <w:r>
              <w:rPr>
                <w:rFonts w:ascii="Times New Roman" w:eastAsia="仿宋"/>
                <w:szCs w:val="21"/>
              </w:rPr>
              <w:t>49.3</w:t>
            </w:r>
          </w:p>
          <w:p w14:paraId="72D4706D">
            <w:pPr>
              <w:widowControl/>
              <w:autoSpaceDE w:val="0"/>
              <w:autoSpaceDN w:val="0"/>
              <w:rPr>
                <w:rFonts w:ascii="Times New Roman" w:eastAsia="仿宋"/>
                <w:szCs w:val="21"/>
              </w:rPr>
            </w:pPr>
            <w:r>
              <w:rPr>
                <w:rFonts w:hint="eastAsia" w:ascii="Times New Roman" w:eastAsia="仿宋"/>
                <w:szCs w:val="21"/>
              </w:rPr>
              <w:t>西：4</w:t>
            </w:r>
            <w:r>
              <w:rPr>
                <w:rFonts w:ascii="Times New Roman" w:eastAsia="仿宋"/>
                <w:szCs w:val="21"/>
              </w:rPr>
              <w:t>9.3</w:t>
            </w:r>
          </w:p>
          <w:p w14:paraId="1D188F30">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49.3</w:t>
            </w:r>
          </w:p>
        </w:tc>
        <w:tc>
          <w:tcPr>
            <w:tcW w:w="218" w:type="pct"/>
            <w:vMerge w:val="continue"/>
            <w:vAlign w:val="center"/>
          </w:tcPr>
          <w:p w14:paraId="4D2B018B">
            <w:pPr>
              <w:widowControl/>
              <w:autoSpaceDE w:val="0"/>
              <w:autoSpaceDN w:val="0"/>
              <w:jc w:val="center"/>
              <w:rPr>
                <w:rFonts w:ascii="Times New Roman" w:eastAsia="仿宋"/>
                <w:szCs w:val="21"/>
              </w:rPr>
            </w:pPr>
          </w:p>
        </w:tc>
        <w:tc>
          <w:tcPr>
            <w:tcW w:w="502" w:type="pct"/>
            <w:vAlign w:val="center"/>
          </w:tcPr>
          <w:p w14:paraId="31177304">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3356A831">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535E4C4C">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EAB5464">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2E4DCC1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37D8B309">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627FE71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03D3F4F2">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7FE5E9BD">
            <w:pPr>
              <w:widowControl/>
              <w:jc w:val="center"/>
              <w:rPr>
                <w:rFonts w:ascii="Times New Roman" w:eastAsia="仿宋"/>
                <w:szCs w:val="21"/>
              </w:rPr>
            </w:pPr>
            <w:r>
              <w:rPr>
                <w:rFonts w:hint="eastAsia" w:ascii="Times New Roman" w:eastAsia="仿宋"/>
                <w:szCs w:val="21"/>
              </w:rPr>
              <w:t>1</w:t>
            </w:r>
          </w:p>
        </w:tc>
      </w:tr>
      <w:tr w14:paraId="2B0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4869E5E0">
            <w:pPr>
              <w:autoSpaceDE w:val="0"/>
              <w:autoSpaceDN w:val="0"/>
              <w:jc w:val="center"/>
              <w:rPr>
                <w:rFonts w:ascii="Times New Roman" w:eastAsia="仿宋"/>
                <w:szCs w:val="21"/>
              </w:rPr>
            </w:pPr>
            <w:r>
              <w:rPr>
                <w:rFonts w:hint="eastAsia" w:ascii="Times New Roman" w:eastAsia="仿宋"/>
                <w:szCs w:val="21"/>
              </w:rPr>
              <w:t>8</w:t>
            </w:r>
          </w:p>
        </w:tc>
        <w:tc>
          <w:tcPr>
            <w:tcW w:w="263" w:type="pct"/>
            <w:vMerge w:val="restart"/>
            <w:vAlign w:val="center"/>
          </w:tcPr>
          <w:p w14:paraId="6C9A3F81">
            <w:pPr>
              <w:autoSpaceDE w:val="0"/>
              <w:autoSpaceDN w:val="0"/>
              <w:jc w:val="center"/>
              <w:rPr>
                <w:rFonts w:ascii="Times New Roman" w:eastAsia="仿宋"/>
                <w:szCs w:val="21"/>
              </w:rPr>
            </w:pPr>
            <w:r>
              <w:rPr>
                <w:rFonts w:hint="eastAsia" w:ascii="Times New Roman" w:eastAsia="仿宋"/>
                <w:szCs w:val="21"/>
              </w:rPr>
              <w:t>2号钣金车间</w:t>
            </w:r>
          </w:p>
        </w:tc>
        <w:tc>
          <w:tcPr>
            <w:tcW w:w="495" w:type="pct"/>
            <w:vAlign w:val="center"/>
          </w:tcPr>
          <w:p w14:paraId="2033DC67">
            <w:pPr>
              <w:widowControl/>
              <w:jc w:val="center"/>
              <w:rPr>
                <w:rFonts w:ascii="Times New Roman" w:eastAsia="仿宋"/>
                <w:szCs w:val="21"/>
              </w:rPr>
            </w:pPr>
            <w:r>
              <w:rPr>
                <w:rFonts w:hint="eastAsia" w:ascii="Times New Roman" w:eastAsia="仿宋"/>
                <w:szCs w:val="21"/>
              </w:rPr>
              <w:t>雕刻机</w:t>
            </w:r>
          </w:p>
        </w:tc>
        <w:tc>
          <w:tcPr>
            <w:tcW w:w="355" w:type="pct"/>
            <w:vAlign w:val="center"/>
          </w:tcPr>
          <w:p w14:paraId="69A5870F">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287" w:type="pct"/>
            <w:vMerge w:val="continue"/>
            <w:vAlign w:val="center"/>
          </w:tcPr>
          <w:p w14:paraId="27818AE3">
            <w:pPr>
              <w:widowControl/>
              <w:autoSpaceDE w:val="0"/>
              <w:autoSpaceDN w:val="0"/>
              <w:jc w:val="center"/>
              <w:rPr>
                <w:rFonts w:ascii="Times New Roman" w:eastAsia="仿宋"/>
                <w:szCs w:val="21"/>
              </w:rPr>
            </w:pPr>
          </w:p>
        </w:tc>
        <w:tc>
          <w:tcPr>
            <w:tcW w:w="343" w:type="pct"/>
            <w:vAlign w:val="center"/>
          </w:tcPr>
          <w:p w14:paraId="60B86EE9">
            <w:pPr>
              <w:widowControl/>
              <w:jc w:val="center"/>
              <w:rPr>
                <w:rFonts w:ascii="Times New Roman" w:eastAsia="仿宋"/>
                <w:szCs w:val="21"/>
              </w:rPr>
            </w:pPr>
            <w:r>
              <w:rPr>
                <w:rFonts w:hint="eastAsia" w:ascii="Times New Roman" w:eastAsia="仿宋"/>
                <w:szCs w:val="21"/>
              </w:rPr>
              <w:t>13</w:t>
            </w:r>
            <w:r>
              <w:rPr>
                <w:rFonts w:ascii="Times New Roman" w:eastAsia="仿宋"/>
                <w:szCs w:val="21"/>
              </w:rPr>
              <w:t>0.07</w:t>
            </w:r>
          </w:p>
        </w:tc>
        <w:tc>
          <w:tcPr>
            <w:tcW w:w="296" w:type="pct"/>
            <w:vAlign w:val="center"/>
          </w:tcPr>
          <w:p w14:paraId="5F521500">
            <w:pPr>
              <w:widowControl/>
              <w:jc w:val="center"/>
              <w:rPr>
                <w:rFonts w:ascii="Times New Roman" w:eastAsia="仿宋"/>
                <w:szCs w:val="21"/>
              </w:rPr>
            </w:pPr>
            <w:r>
              <w:rPr>
                <w:rFonts w:hint="eastAsia" w:ascii="Times New Roman" w:eastAsia="仿宋"/>
                <w:szCs w:val="21"/>
              </w:rPr>
              <w:t>36</w:t>
            </w:r>
          </w:p>
        </w:tc>
        <w:tc>
          <w:tcPr>
            <w:tcW w:w="235" w:type="pct"/>
            <w:vAlign w:val="center"/>
          </w:tcPr>
          <w:p w14:paraId="4C7108FF">
            <w:pPr>
              <w:jc w:val="center"/>
              <w:rPr>
                <w:rFonts w:ascii="Times New Roman" w:eastAsia="仿宋"/>
                <w:szCs w:val="21"/>
              </w:rPr>
            </w:pPr>
            <w:r>
              <w:rPr>
                <w:rFonts w:ascii="Times New Roman" w:eastAsia="仿宋"/>
                <w:szCs w:val="21"/>
              </w:rPr>
              <w:t>0</w:t>
            </w:r>
          </w:p>
        </w:tc>
        <w:tc>
          <w:tcPr>
            <w:tcW w:w="482" w:type="pct"/>
            <w:vAlign w:val="center"/>
          </w:tcPr>
          <w:p w14:paraId="19390CB5">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23</w:t>
            </w:r>
            <w:r>
              <w:rPr>
                <w:rFonts w:hint="eastAsia" w:ascii="Times New Roman" w:eastAsia="仿宋"/>
                <w:szCs w:val="21"/>
                <w:lang w:val="zh-CN"/>
              </w:rPr>
              <w:t>.3</w:t>
            </w:r>
          </w:p>
          <w:p w14:paraId="74D9177F">
            <w:pPr>
              <w:widowControl/>
              <w:autoSpaceDE w:val="0"/>
              <w:autoSpaceDN w:val="0"/>
              <w:rPr>
                <w:rFonts w:ascii="Times New Roman" w:eastAsia="仿宋"/>
                <w:szCs w:val="21"/>
                <w:lang w:val="zh-CN"/>
              </w:rPr>
            </w:pPr>
            <w:r>
              <w:rPr>
                <w:rFonts w:hint="eastAsia" w:ascii="Times New Roman" w:eastAsia="仿宋"/>
                <w:szCs w:val="21"/>
                <w:lang w:val="zh-CN"/>
              </w:rPr>
              <w:t>南：5</w:t>
            </w:r>
            <w:r>
              <w:rPr>
                <w:rFonts w:hint="eastAsia" w:ascii="Times New Roman" w:eastAsia="仿宋"/>
                <w:szCs w:val="21"/>
              </w:rPr>
              <w:t>9</w:t>
            </w:r>
            <w:r>
              <w:rPr>
                <w:rFonts w:hint="eastAsia" w:ascii="Times New Roman" w:eastAsia="仿宋"/>
                <w:szCs w:val="21"/>
                <w:lang w:val="zh-CN"/>
              </w:rPr>
              <w:t>.3</w:t>
            </w:r>
          </w:p>
          <w:p w14:paraId="06252298">
            <w:pPr>
              <w:widowControl/>
              <w:autoSpaceDE w:val="0"/>
              <w:autoSpaceDN w:val="0"/>
              <w:rPr>
                <w:rFonts w:ascii="Times New Roman" w:eastAsia="仿宋"/>
                <w:szCs w:val="21"/>
                <w:lang w:val="zh-CN"/>
              </w:rPr>
            </w:pPr>
            <w:r>
              <w:rPr>
                <w:rFonts w:hint="eastAsia" w:ascii="Times New Roman" w:eastAsia="仿宋"/>
                <w:szCs w:val="21"/>
                <w:lang w:val="zh-CN"/>
              </w:rPr>
              <w:t>西：21.9</w:t>
            </w:r>
          </w:p>
          <w:p w14:paraId="26FC827F">
            <w:pPr>
              <w:widowControl/>
              <w:autoSpaceDE w:val="0"/>
              <w:autoSpaceDN w:val="0"/>
              <w:rPr>
                <w:rFonts w:ascii="Times New Roman" w:eastAsia="仿宋"/>
                <w:szCs w:val="21"/>
              </w:rPr>
            </w:pPr>
            <w:r>
              <w:rPr>
                <w:rFonts w:hint="eastAsia" w:ascii="Times New Roman" w:eastAsia="仿宋"/>
                <w:szCs w:val="21"/>
                <w:lang w:val="zh-CN"/>
              </w:rPr>
              <w:t>北：</w:t>
            </w:r>
            <w:r>
              <w:rPr>
                <w:rFonts w:hint="eastAsia" w:ascii="Times New Roman" w:eastAsia="仿宋"/>
                <w:szCs w:val="21"/>
              </w:rPr>
              <w:t>23.</w:t>
            </w:r>
            <w:r>
              <w:rPr>
                <w:rFonts w:hint="eastAsia" w:ascii="Times New Roman" w:eastAsia="仿宋"/>
                <w:szCs w:val="21"/>
                <w:lang w:val="zh-CN"/>
              </w:rPr>
              <w:t>1</w:t>
            </w:r>
          </w:p>
        </w:tc>
        <w:tc>
          <w:tcPr>
            <w:tcW w:w="493" w:type="pct"/>
            <w:vAlign w:val="center"/>
          </w:tcPr>
          <w:p w14:paraId="3B3E089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4675E132">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0AC1AF6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2E71FF30">
            <w:pPr>
              <w:widowControl/>
              <w:autoSpaceDE w:val="0"/>
              <w:autoSpaceDN w:val="0"/>
              <w:rPr>
                <w:rFonts w:ascii="Times New Roman" w:eastAsia="仿宋"/>
                <w:szCs w:val="21"/>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01D0BB96">
            <w:pPr>
              <w:widowControl/>
              <w:autoSpaceDE w:val="0"/>
              <w:autoSpaceDN w:val="0"/>
              <w:jc w:val="center"/>
              <w:rPr>
                <w:rFonts w:ascii="Times New Roman" w:eastAsia="仿宋"/>
                <w:szCs w:val="21"/>
              </w:rPr>
            </w:pPr>
          </w:p>
        </w:tc>
        <w:tc>
          <w:tcPr>
            <w:tcW w:w="502" w:type="pct"/>
            <w:vAlign w:val="center"/>
          </w:tcPr>
          <w:p w14:paraId="365CCED7">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1CAE1FD">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37219793">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661BD615">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5141AEF5">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656D387">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33793DF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1F3FAAC8">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4E2B7FC4">
            <w:pPr>
              <w:widowControl/>
              <w:jc w:val="center"/>
              <w:rPr>
                <w:rFonts w:ascii="Times New Roman" w:eastAsia="仿宋"/>
                <w:szCs w:val="21"/>
              </w:rPr>
            </w:pPr>
            <w:r>
              <w:rPr>
                <w:rFonts w:hint="eastAsia" w:ascii="Times New Roman" w:eastAsia="仿宋"/>
                <w:szCs w:val="21"/>
              </w:rPr>
              <w:t>1</w:t>
            </w:r>
          </w:p>
        </w:tc>
      </w:tr>
      <w:tr w14:paraId="27C8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5834CF98">
            <w:pPr>
              <w:autoSpaceDE w:val="0"/>
              <w:autoSpaceDN w:val="0"/>
              <w:jc w:val="center"/>
              <w:rPr>
                <w:rFonts w:ascii="Times New Roman" w:eastAsia="仿宋"/>
                <w:szCs w:val="21"/>
              </w:rPr>
            </w:pPr>
            <w:r>
              <w:rPr>
                <w:rFonts w:hint="eastAsia" w:ascii="Times New Roman" w:eastAsia="仿宋"/>
                <w:szCs w:val="21"/>
              </w:rPr>
              <w:t>9</w:t>
            </w:r>
          </w:p>
        </w:tc>
        <w:tc>
          <w:tcPr>
            <w:tcW w:w="263" w:type="pct"/>
            <w:vMerge w:val="continue"/>
            <w:vAlign w:val="center"/>
          </w:tcPr>
          <w:p w14:paraId="75C86080">
            <w:pPr>
              <w:autoSpaceDE w:val="0"/>
              <w:autoSpaceDN w:val="0"/>
              <w:jc w:val="center"/>
              <w:rPr>
                <w:rFonts w:ascii="Times New Roman" w:eastAsia="仿宋"/>
                <w:szCs w:val="21"/>
              </w:rPr>
            </w:pPr>
          </w:p>
        </w:tc>
        <w:tc>
          <w:tcPr>
            <w:tcW w:w="495" w:type="pct"/>
            <w:vAlign w:val="center"/>
          </w:tcPr>
          <w:p w14:paraId="03D9D530">
            <w:pPr>
              <w:widowControl/>
              <w:jc w:val="center"/>
              <w:rPr>
                <w:rFonts w:ascii="Times New Roman" w:eastAsia="仿宋"/>
                <w:szCs w:val="21"/>
              </w:rPr>
            </w:pPr>
            <w:r>
              <w:rPr>
                <w:rFonts w:hint="eastAsia" w:ascii="Times New Roman" w:eastAsia="仿宋"/>
                <w:szCs w:val="21"/>
              </w:rPr>
              <w:t>数控转塔冲</w:t>
            </w:r>
          </w:p>
        </w:tc>
        <w:tc>
          <w:tcPr>
            <w:tcW w:w="355" w:type="pct"/>
            <w:vAlign w:val="center"/>
          </w:tcPr>
          <w:p w14:paraId="6BF0E18F">
            <w:pPr>
              <w:widowControl/>
              <w:jc w:val="center"/>
              <w:rPr>
                <w:rFonts w:ascii="Times New Roman" w:eastAsia="仿宋"/>
                <w:szCs w:val="21"/>
              </w:rPr>
            </w:pPr>
            <w:r>
              <w:rPr>
                <w:rFonts w:hint="eastAsia" w:ascii="Times New Roman" w:eastAsia="仿宋"/>
                <w:szCs w:val="21"/>
              </w:rPr>
              <w:t>8</w:t>
            </w:r>
            <w:r>
              <w:rPr>
                <w:rFonts w:ascii="Times New Roman" w:eastAsia="仿宋"/>
                <w:szCs w:val="21"/>
              </w:rPr>
              <w:t>6</w:t>
            </w:r>
          </w:p>
        </w:tc>
        <w:tc>
          <w:tcPr>
            <w:tcW w:w="287" w:type="pct"/>
            <w:vMerge w:val="continue"/>
            <w:vAlign w:val="center"/>
          </w:tcPr>
          <w:p w14:paraId="7F6A6055">
            <w:pPr>
              <w:widowControl/>
              <w:autoSpaceDE w:val="0"/>
              <w:autoSpaceDN w:val="0"/>
              <w:jc w:val="center"/>
              <w:rPr>
                <w:rFonts w:ascii="Times New Roman" w:eastAsia="仿宋"/>
                <w:szCs w:val="21"/>
              </w:rPr>
            </w:pPr>
          </w:p>
        </w:tc>
        <w:tc>
          <w:tcPr>
            <w:tcW w:w="343" w:type="pct"/>
            <w:vAlign w:val="center"/>
          </w:tcPr>
          <w:p w14:paraId="017DFE3E">
            <w:pPr>
              <w:widowControl/>
              <w:jc w:val="center"/>
              <w:rPr>
                <w:rFonts w:ascii="Times New Roman" w:eastAsia="仿宋"/>
                <w:szCs w:val="21"/>
              </w:rPr>
            </w:pPr>
            <w:r>
              <w:rPr>
                <w:rFonts w:hint="eastAsia" w:ascii="Times New Roman" w:eastAsia="仿宋"/>
                <w:szCs w:val="21"/>
              </w:rPr>
              <w:t>1</w:t>
            </w:r>
            <w:r>
              <w:rPr>
                <w:rFonts w:ascii="Times New Roman" w:eastAsia="仿宋"/>
                <w:szCs w:val="21"/>
              </w:rPr>
              <w:t>14.21</w:t>
            </w:r>
          </w:p>
        </w:tc>
        <w:tc>
          <w:tcPr>
            <w:tcW w:w="296" w:type="pct"/>
            <w:vAlign w:val="center"/>
          </w:tcPr>
          <w:p w14:paraId="0A525E20">
            <w:pPr>
              <w:widowControl/>
              <w:jc w:val="center"/>
              <w:rPr>
                <w:rFonts w:ascii="Times New Roman" w:eastAsia="仿宋"/>
                <w:szCs w:val="21"/>
              </w:rPr>
            </w:pPr>
            <w:r>
              <w:rPr>
                <w:rFonts w:hint="eastAsia" w:ascii="Times New Roman" w:eastAsia="仿宋"/>
                <w:szCs w:val="21"/>
              </w:rPr>
              <w:t>3</w:t>
            </w:r>
            <w:r>
              <w:rPr>
                <w:rFonts w:ascii="Times New Roman" w:eastAsia="仿宋"/>
                <w:szCs w:val="21"/>
              </w:rPr>
              <w:t>0.41</w:t>
            </w:r>
          </w:p>
        </w:tc>
        <w:tc>
          <w:tcPr>
            <w:tcW w:w="235" w:type="pct"/>
            <w:vAlign w:val="center"/>
          </w:tcPr>
          <w:p w14:paraId="46C67827">
            <w:pPr>
              <w:jc w:val="center"/>
              <w:rPr>
                <w:rFonts w:ascii="Times New Roman" w:eastAsia="仿宋"/>
                <w:szCs w:val="21"/>
              </w:rPr>
            </w:pPr>
            <w:r>
              <w:rPr>
                <w:rFonts w:ascii="Times New Roman" w:eastAsia="仿宋"/>
                <w:szCs w:val="21"/>
              </w:rPr>
              <w:t>0</w:t>
            </w:r>
          </w:p>
        </w:tc>
        <w:tc>
          <w:tcPr>
            <w:tcW w:w="482" w:type="pct"/>
            <w:vAlign w:val="center"/>
          </w:tcPr>
          <w:p w14:paraId="63652C91">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17</w:t>
            </w:r>
            <w:r>
              <w:rPr>
                <w:rFonts w:hint="eastAsia" w:ascii="Times New Roman" w:eastAsia="仿宋"/>
                <w:szCs w:val="21"/>
                <w:lang w:val="zh-CN"/>
              </w:rPr>
              <w:t>.3</w:t>
            </w:r>
          </w:p>
          <w:p w14:paraId="40633D2D">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49</w:t>
            </w:r>
            <w:r>
              <w:rPr>
                <w:rFonts w:hint="eastAsia" w:ascii="Times New Roman" w:eastAsia="仿宋"/>
                <w:szCs w:val="21"/>
                <w:lang w:val="zh-CN"/>
              </w:rPr>
              <w:t>.3</w:t>
            </w:r>
          </w:p>
          <w:p w14:paraId="4D5EF41E">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2</w:t>
            </w:r>
            <w:r>
              <w:rPr>
                <w:rFonts w:hint="eastAsia" w:ascii="Times New Roman" w:eastAsia="仿宋"/>
                <w:szCs w:val="21"/>
                <w:lang w:val="zh-CN"/>
              </w:rPr>
              <w:t>.9</w:t>
            </w:r>
          </w:p>
          <w:p w14:paraId="602A8916">
            <w:pPr>
              <w:widowControl/>
              <w:autoSpaceDE w:val="0"/>
              <w:autoSpaceDN w:val="0"/>
              <w:rPr>
                <w:rFonts w:ascii="Times New Roman" w:eastAsia="仿宋"/>
                <w:szCs w:val="21"/>
              </w:rPr>
            </w:pPr>
            <w:r>
              <w:rPr>
                <w:rFonts w:hint="eastAsia" w:ascii="Times New Roman" w:eastAsia="仿宋"/>
                <w:szCs w:val="21"/>
                <w:lang w:val="zh-CN"/>
              </w:rPr>
              <w:t>北：</w:t>
            </w:r>
            <w:r>
              <w:rPr>
                <w:rFonts w:hint="eastAsia" w:ascii="Times New Roman" w:eastAsia="仿宋"/>
                <w:szCs w:val="21"/>
              </w:rPr>
              <w:t>27</w:t>
            </w:r>
            <w:r>
              <w:rPr>
                <w:rFonts w:hint="eastAsia" w:ascii="Times New Roman" w:eastAsia="仿宋"/>
                <w:szCs w:val="21"/>
                <w:lang w:val="zh-CN"/>
              </w:rPr>
              <w:t>.1</w:t>
            </w:r>
          </w:p>
        </w:tc>
        <w:tc>
          <w:tcPr>
            <w:tcW w:w="493" w:type="pct"/>
            <w:vAlign w:val="center"/>
          </w:tcPr>
          <w:p w14:paraId="525E55D7">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72767CCE">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199193F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2A17BB3C">
            <w:pPr>
              <w:widowControl/>
              <w:autoSpaceDE w:val="0"/>
              <w:autoSpaceDN w:val="0"/>
              <w:rPr>
                <w:rFonts w:ascii="Times New Roman" w:eastAsia="仿宋"/>
                <w:szCs w:val="21"/>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4BAC9EBA">
            <w:pPr>
              <w:widowControl/>
              <w:autoSpaceDE w:val="0"/>
              <w:autoSpaceDN w:val="0"/>
              <w:jc w:val="center"/>
              <w:rPr>
                <w:rFonts w:ascii="Times New Roman" w:eastAsia="仿宋"/>
                <w:szCs w:val="21"/>
              </w:rPr>
            </w:pPr>
          </w:p>
        </w:tc>
        <w:tc>
          <w:tcPr>
            <w:tcW w:w="502" w:type="pct"/>
            <w:vAlign w:val="center"/>
          </w:tcPr>
          <w:p w14:paraId="310DB3B4">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714C95C8">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7042AE21">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3DE52B86">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5B42444C">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58476B4">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3DB5A3E4">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5732F282">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A45A140">
            <w:pPr>
              <w:widowControl/>
              <w:jc w:val="center"/>
              <w:rPr>
                <w:rFonts w:ascii="Times New Roman" w:eastAsia="仿宋"/>
                <w:szCs w:val="21"/>
              </w:rPr>
            </w:pPr>
            <w:r>
              <w:rPr>
                <w:rFonts w:hint="eastAsia" w:ascii="Times New Roman" w:eastAsia="仿宋"/>
                <w:szCs w:val="21"/>
              </w:rPr>
              <w:t>1</w:t>
            </w:r>
          </w:p>
        </w:tc>
      </w:tr>
      <w:tr w14:paraId="5C8B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42D91E2B">
            <w:pPr>
              <w:autoSpaceDE w:val="0"/>
              <w:autoSpaceDN w:val="0"/>
              <w:jc w:val="center"/>
              <w:rPr>
                <w:rFonts w:ascii="Times New Roman" w:eastAsia="仿宋"/>
                <w:szCs w:val="21"/>
              </w:rPr>
            </w:pPr>
            <w:r>
              <w:rPr>
                <w:rFonts w:hint="eastAsia" w:ascii="Times New Roman" w:eastAsia="仿宋"/>
                <w:szCs w:val="21"/>
              </w:rPr>
              <w:t>10</w:t>
            </w:r>
          </w:p>
        </w:tc>
        <w:tc>
          <w:tcPr>
            <w:tcW w:w="263" w:type="pct"/>
            <w:vMerge w:val="continue"/>
            <w:vAlign w:val="center"/>
          </w:tcPr>
          <w:p w14:paraId="44796CF5">
            <w:pPr>
              <w:autoSpaceDE w:val="0"/>
              <w:autoSpaceDN w:val="0"/>
              <w:jc w:val="center"/>
              <w:rPr>
                <w:rFonts w:ascii="Times New Roman" w:eastAsia="仿宋"/>
                <w:szCs w:val="21"/>
              </w:rPr>
            </w:pPr>
          </w:p>
        </w:tc>
        <w:tc>
          <w:tcPr>
            <w:tcW w:w="495" w:type="pct"/>
            <w:vAlign w:val="center"/>
          </w:tcPr>
          <w:p w14:paraId="30472A52">
            <w:pPr>
              <w:widowControl/>
              <w:jc w:val="center"/>
              <w:rPr>
                <w:rFonts w:ascii="Times New Roman" w:eastAsia="仿宋"/>
                <w:szCs w:val="21"/>
              </w:rPr>
            </w:pPr>
            <w:r>
              <w:rPr>
                <w:rFonts w:hint="eastAsia" w:ascii="Times New Roman" w:eastAsia="仿宋"/>
                <w:szCs w:val="21"/>
              </w:rPr>
              <w:t>折弯机</w:t>
            </w:r>
          </w:p>
        </w:tc>
        <w:tc>
          <w:tcPr>
            <w:tcW w:w="355" w:type="pct"/>
            <w:vAlign w:val="center"/>
          </w:tcPr>
          <w:p w14:paraId="1514A3D0">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287" w:type="pct"/>
            <w:vMerge w:val="continue"/>
            <w:vAlign w:val="center"/>
          </w:tcPr>
          <w:p w14:paraId="475100C5">
            <w:pPr>
              <w:widowControl/>
              <w:autoSpaceDE w:val="0"/>
              <w:autoSpaceDN w:val="0"/>
              <w:jc w:val="center"/>
              <w:rPr>
                <w:rFonts w:ascii="Times New Roman" w:eastAsia="仿宋"/>
                <w:szCs w:val="21"/>
              </w:rPr>
            </w:pPr>
          </w:p>
        </w:tc>
        <w:tc>
          <w:tcPr>
            <w:tcW w:w="343" w:type="pct"/>
            <w:vAlign w:val="center"/>
          </w:tcPr>
          <w:p w14:paraId="3A4E8D58">
            <w:pPr>
              <w:widowControl/>
              <w:jc w:val="center"/>
              <w:rPr>
                <w:rFonts w:ascii="Times New Roman" w:eastAsia="仿宋"/>
                <w:szCs w:val="21"/>
              </w:rPr>
            </w:pPr>
            <w:r>
              <w:rPr>
                <w:rFonts w:hint="eastAsia" w:ascii="Times New Roman" w:eastAsia="仿宋"/>
                <w:szCs w:val="21"/>
              </w:rPr>
              <w:t>1</w:t>
            </w:r>
            <w:r>
              <w:rPr>
                <w:rFonts w:ascii="Times New Roman" w:eastAsia="仿宋"/>
                <w:szCs w:val="21"/>
              </w:rPr>
              <w:t>30.38</w:t>
            </w:r>
          </w:p>
        </w:tc>
        <w:tc>
          <w:tcPr>
            <w:tcW w:w="296" w:type="pct"/>
            <w:vAlign w:val="center"/>
          </w:tcPr>
          <w:p w14:paraId="6851B260">
            <w:pPr>
              <w:widowControl/>
              <w:jc w:val="center"/>
              <w:rPr>
                <w:rFonts w:ascii="Times New Roman" w:eastAsia="仿宋"/>
                <w:szCs w:val="21"/>
              </w:rPr>
            </w:pPr>
            <w:r>
              <w:rPr>
                <w:rFonts w:hint="eastAsia" w:ascii="Times New Roman" w:eastAsia="仿宋"/>
                <w:szCs w:val="21"/>
              </w:rPr>
              <w:t>19.</w:t>
            </w:r>
            <w:r>
              <w:rPr>
                <w:rFonts w:ascii="Times New Roman" w:eastAsia="仿宋"/>
                <w:szCs w:val="21"/>
              </w:rPr>
              <w:t>83</w:t>
            </w:r>
          </w:p>
        </w:tc>
        <w:tc>
          <w:tcPr>
            <w:tcW w:w="235" w:type="pct"/>
            <w:vAlign w:val="center"/>
          </w:tcPr>
          <w:p w14:paraId="02A3ED96">
            <w:pPr>
              <w:jc w:val="center"/>
              <w:rPr>
                <w:rFonts w:ascii="Times New Roman" w:eastAsia="仿宋"/>
                <w:szCs w:val="21"/>
              </w:rPr>
            </w:pPr>
            <w:r>
              <w:rPr>
                <w:rFonts w:ascii="Times New Roman" w:eastAsia="仿宋"/>
                <w:szCs w:val="21"/>
              </w:rPr>
              <w:t>0</w:t>
            </w:r>
          </w:p>
        </w:tc>
        <w:tc>
          <w:tcPr>
            <w:tcW w:w="482" w:type="pct"/>
            <w:vAlign w:val="center"/>
          </w:tcPr>
          <w:p w14:paraId="32F53EA2">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16</w:t>
            </w:r>
            <w:r>
              <w:rPr>
                <w:rFonts w:hint="eastAsia" w:ascii="Times New Roman" w:eastAsia="仿宋"/>
                <w:szCs w:val="21"/>
                <w:lang w:val="zh-CN"/>
              </w:rPr>
              <w:t>.3</w:t>
            </w:r>
          </w:p>
          <w:p w14:paraId="1E033244">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40</w:t>
            </w:r>
            <w:r>
              <w:rPr>
                <w:rFonts w:hint="eastAsia" w:ascii="Times New Roman" w:eastAsia="仿宋"/>
                <w:szCs w:val="21"/>
                <w:lang w:val="zh-CN"/>
              </w:rPr>
              <w:t>.3</w:t>
            </w:r>
          </w:p>
          <w:p w14:paraId="4451F6B7">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4</w:t>
            </w:r>
            <w:r>
              <w:rPr>
                <w:rFonts w:hint="eastAsia" w:ascii="Times New Roman" w:eastAsia="仿宋"/>
                <w:szCs w:val="21"/>
                <w:lang w:val="zh-CN"/>
              </w:rPr>
              <w:t>.9</w:t>
            </w:r>
          </w:p>
          <w:p w14:paraId="24D18927">
            <w:pPr>
              <w:widowControl/>
              <w:autoSpaceDE w:val="0"/>
              <w:autoSpaceDN w:val="0"/>
              <w:rPr>
                <w:rFonts w:ascii="Times New Roman" w:eastAsia="仿宋"/>
                <w:szCs w:val="21"/>
              </w:rPr>
            </w:pPr>
            <w:r>
              <w:rPr>
                <w:rFonts w:hint="eastAsia" w:ascii="Times New Roman" w:eastAsia="仿宋"/>
                <w:szCs w:val="21"/>
                <w:lang w:val="zh-CN"/>
              </w:rPr>
              <w:t>北：</w:t>
            </w:r>
            <w:r>
              <w:rPr>
                <w:rFonts w:hint="eastAsia" w:ascii="Times New Roman" w:eastAsia="仿宋"/>
                <w:szCs w:val="21"/>
              </w:rPr>
              <w:t>36</w:t>
            </w:r>
            <w:r>
              <w:rPr>
                <w:rFonts w:hint="eastAsia" w:ascii="Times New Roman" w:eastAsia="仿宋"/>
                <w:szCs w:val="21"/>
                <w:lang w:val="zh-CN"/>
              </w:rPr>
              <w:t>.1</w:t>
            </w:r>
          </w:p>
        </w:tc>
        <w:tc>
          <w:tcPr>
            <w:tcW w:w="493" w:type="pct"/>
            <w:vAlign w:val="center"/>
          </w:tcPr>
          <w:p w14:paraId="7B8EA7A4">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7A99212F">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0B98C281">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10832639">
            <w:pPr>
              <w:widowControl/>
              <w:autoSpaceDE w:val="0"/>
              <w:autoSpaceDN w:val="0"/>
              <w:rPr>
                <w:rFonts w:ascii="Times New Roman" w:eastAsia="仿宋"/>
                <w:szCs w:val="21"/>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72F4A8EB">
            <w:pPr>
              <w:widowControl/>
              <w:autoSpaceDE w:val="0"/>
              <w:autoSpaceDN w:val="0"/>
              <w:jc w:val="center"/>
              <w:rPr>
                <w:rFonts w:ascii="Times New Roman" w:eastAsia="仿宋"/>
                <w:szCs w:val="21"/>
              </w:rPr>
            </w:pPr>
          </w:p>
        </w:tc>
        <w:tc>
          <w:tcPr>
            <w:tcW w:w="502" w:type="pct"/>
            <w:vAlign w:val="center"/>
          </w:tcPr>
          <w:p w14:paraId="3080545E">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45470E37">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54E83C5E">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434C628A">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151BCEBB">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4EBF1C2">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0E1D1323">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099D7FE4">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186EC12">
            <w:pPr>
              <w:widowControl/>
              <w:jc w:val="center"/>
              <w:rPr>
                <w:rFonts w:ascii="Times New Roman" w:eastAsia="仿宋"/>
                <w:szCs w:val="21"/>
              </w:rPr>
            </w:pPr>
            <w:r>
              <w:rPr>
                <w:rFonts w:hint="eastAsia" w:ascii="Times New Roman" w:eastAsia="仿宋"/>
                <w:szCs w:val="21"/>
              </w:rPr>
              <w:t>1</w:t>
            </w:r>
          </w:p>
        </w:tc>
      </w:tr>
      <w:tr w14:paraId="225E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06C60D57">
            <w:pPr>
              <w:autoSpaceDE w:val="0"/>
              <w:autoSpaceDN w:val="0"/>
              <w:jc w:val="center"/>
              <w:rPr>
                <w:rFonts w:ascii="Times New Roman" w:eastAsia="仿宋"/>
                <w:szCs w:val="21"/>
              </w:rPr>
            </w:pPr>
            <w:r>
              <w:rPr>
                <w:rFonts w:hint="eastAsia" w:ascii="Times New Roman" w:eastAsia="仿宋"/>
                <w:szCs w:val="21"/>
              </w:rPr>
              <w:t>11</w:t>
            </w:r>
          </w:p>
        </w:tc>
        <w:tc>
          <w:tcPr>
            <w:tcW w:w="263" w:type="pct"/>
            <w:vMerge w:val="continue"/>
            <w:vAlign w:val="center"/>
          </w:tcPr>
          <w:p w14:paraId="5473B2E8">
            <w:pPr>
              <w:autoSpaceDE w:val="0"/>
              <w:autoSpaceDN w:val="0"/>
              <w:jc w:val="center"/>
              <w:rPr>
                <w:rFonts w:ascii="Times New Roman" w:eastAsia="仿宋"/>
                <w:szCs w:val="21"/>
              </w:rPr>
            </w:pPr>
          </w:p>
        </w:tc>
        <w:tc>
          <w:tcPr>
            <w:tcW w:w="495" w:type="pct"/>
            <w:vAlign w:val="center"/>
          </w:tcPr>
          <w:p w14:paraId="783D1305">
            <w:pPr>
              <w:widowControl/>
              <w:jc w:val="center"/>
              <w:rPr>
                <w:rFonts w:ascii="Times New Roman" w:eastAsia="仿宋"/>
                <w:szCs w:val="21"/>
              </w:rPr>
            </w:pPr>
            <w:r>
              <w:rPr>
                <w:rFonts w:hint="eastAsia" w:ascii="Times New Roman" w:eastAsia="仿宋"/>
                <w:szCs w:val="21"/>
              </w:rPr>
              <w:t>冲压机</w:t>
            </w:r>
          </w:p>
        </w:tc>
        <w:tc>
          <w:tcPr>
            <w:tcW w:w="355" w:type="pct"/>
            <w:vAlign w:val="center"/>
          </w:tcPr>
          <w:p w14:paraId="1435846A">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287" w:type="pct"/>
            <w:vMerge w:val="continue"/>
            <w:vAlign w:val="center"/>
          </w:tcPr>
          <w:p w14:paraId="6E2BA472">
            <w:pPr>
              <w:widowControl/>
              <w:autoSpaceDE w:val="0"/>
              <w:autoSpaceDN w:val="0"/>
              <w:jc w:val="center"/>
              <w:rPr>
                <w:rFonts w:ascii="Times New Roman" w:eastAsia="仿宋"/>
                <w:szCs w:val="21"/>
              </w:rPr>
            </w:pPr>
          </w:p>
        </w:tc>
        <w:tc>
          <w:tcPr>
            <w:tcW w:w="343" w:type="pct"/>
            <w:vAlign w:val="center"/>
          </w:tcPr>
          <w:p w14:paraId="5BA5E4A3">
            <w:pPr>
              <w:widowControl/>
              <w:jc w:val="center"/>
              <w:rPr>
                <w:rFonts w:ascii="Times New Roman" w:eastAsia="仿宋"/>
                <w:szCs w:val="21"/>
              </w:rPr>
            </w:pPr>
            <w:r>
              <w:rPr>
                <w:rFonts w:ascii="Times New Roman" w:eastAsia="仿宋"/>
                <w:szCs w:val="21"/>
              </w:rPr>
              <w:t>1</w:t>
            </w:r>
            <w:r>
              <w:rPr>
                <w:rFonts w:hint="eastAsia" w:ascii="Times New Roman" w:eastAsia="仿宋"/>
                <w:szCs w:val="21"/>
              </w:rPr>
              <w:t>28</w:t>
            </w:r>
            <w:r>
              <w:rPr>
                <w:rFonts w:ascii="Times New Roman" w:eastAsia="仿宋"/>
                <w:szCs w:val="21"/>
              </w:rPr>
              <w:t>.82</w:t>
            </w:r>
          </w:p>
        </w:tc>
        <w:tc>
          <w:tcPr>
            <w:tcW w:w="296" w:type="pct"/>
            <w:vAlign w:val="center"/>
          </w:tcPr>
          <w:p w14:paraId="75D6B733">
            <w:pPr>
              <w:widowControl/>
              <w:jc w:val="center"/>
              <w:rPr>
                <w:rFonts w:ascii="Times New Roman" w:eastAsia="仿宋"/>
                <w:szCs w:val="21"/>
              </w:rPr>
            </w:pPr>
            <w:r>
              <w:rPr>
                <w:rFonts w:hint="eastAsia" w:ascii="Times New Roman" w:eastAsia="仿宋"/>
                <w:szCs w:val="21"/>
              </w:rPr>
              <w:t>11</w:t>
            </w:r>
            <w:r>
              <w:rPr>
                <w:rFonts w:ascii="Times New Roman" w:eastAsia="仿宋"/>
                <w:szCs w:val="21"/>
              </w:rPr>
              <w:t>.13</w:t>
            </w:r>
          </w:p>
        </w:tc>
        <w:tc>
          <w:tcPr>
            <w:tcW w:w="235" w:type="pct"/>
            <w:vAlign w:val="center"/>
          </w:tcPr>
          <w:p w14:paraId="4D534BF7">
            <w:pPr>
              <w:jc w:val="center"/>
              <w:rPr>
                <w:rFonts w:ascii="Times New Roman" w:eastAsia="仿宋"/>
                <w:szCs w:val="21"/>
              </w:rPr>
            </w:pPr>
            <w:r>
              <w:rPr>
                <w:rFonts w:ascii="Times New Roman" w:eastAsia="仿宋"/>
                <w:szCs w:val="21"/>
              </w:rPr>
              <w:t>0</w:t>
            </w:r>
          </w:p>
        </w:tc>
        <w:tc>
          <w:tcPr>
            <w:tcW w:w="482" w:type="pct"/>
            <w:vAlign w:val="center"/>
          </w:tcPr>
          <w:p w14:paraId="4F2C4CFD">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18</w:t>
            </w:r>
            <w:r>
              <w:rPr>
                <w:rFonts w:hint="eastAsia" w:ascii="Times New Roman" w:eastAsia="仿宋"/>
                <w:szCs w:val="21"/>
                <w:lang w:val="zh-CN"/>
              </w:rPr>
              <w:t>.3</w:t>
            </w:r>
          </w:p>
          <w:p w14:paraId="45D8FF95">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39</w:t>
            </w:r>
            <w:r>
              <w:rPr>
                <w:rFonts w:hint="eastAsia" w:ascii="Times New Roman" w:eastAsia="仿宋"/>
                <w:szCs w:val="21"/>
                <w:lang w:val="zh-CN"/>
              </w:rPr>
              <w:t>.3</w:t>
            </w:r>
          </w:p>
          <w:p w14:paraId="0D114872">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5</w:t>
            </w:r>
            <w:r>
              <w:rPr>
                <w:rFonts w:hint="eastAsia" w:ascii="Times New Roman" w:eastAsia="仿宋"/>
                <w:szCs w:val="21"/>
                <w:lang w:val="zh-CN"/>
              </w:rPr>
              <w:t>.9</w:t>
            </w:r>
          </w:p>
          <w:p w14:paraId="601EC328">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41</w:t>
            </w:r>
            <w:r>
              <w:rPr>
                <w:rFonts w:hint="eastAsia" w:ascii="Times New Roman" w:eastAsia="仿宋"/>
                <w:szCs w:val="21"/>
                <w:lang w:val="zh-CN"/>
              </w:rPr>
              <w:t>.1</w:t>
            </w:r>
          </w:p>
        </w:tc>
        <w:tc>
          <w:tcPr>
            <w:tcW w:w="493" w:type="pct"/>
            <w:vAlign w:val="center"/>
          </w:tcPr>
          <w:p w14:paraId="1EA155C1">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5FC3E50A">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0017A5D0">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39931E6E">
            <w:pPr>
              <w:widowControl/>
              <w:autoSpaceDE w:val="0"/>
              <w:autoSpaceDN w:val="0"/>
              <w:rPr>
                <w:rFonts w:ascii="Times New Roman" w:eastAsia="仿宋"/>
                <w:szCs w:val="21"/>
                <w:lang w:val="zh-CN"/>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031B05FB">
            <w:pPr>
              <w:widowControl/>
              <w:autoSpaceDE w:val="0"/>
              <w:autoSpaceDN w:val="0"/>
              <w:jc w:val="center"/>
              <w:rPr>
                <w:rFonts w:ascii="Times New Roman" w:eastAsia="仿宋"/>
                <w:szCs w:val="21"/>
              </w:rPr>
            </w:pPr>
          </w:p>
        </w:tc>
        <w:tc>
          <w:tcPr>
            <w:tcW w:w="502" w:type="pct"/>
            <w:vAlign w:val="center"/>
          </w:tcPr>
          <w:p w14:paraId="53DE5C7C">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635FB4E">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137CDAB3">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0C9394F">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40C282FB">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1B1908EB">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022E8470">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22A737C0">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7CC29A33">
            <w:pPr>
              <w:widowControl/>
              <w:jc w:val="center"/>
              <w:rPr>
                <w:rFonts w:ascii="Times New Roman" w:eastAsia="仿宋"/>
                <w:szCs w:val="21"/>
              </w:rPr>
            </w:pPr>
            <w:r>
              <w:rPr>
                <w:rFonts w:hint="eastAsia" w:ascii="Times New Roman" w:eastAsia="仿宋"/>
                <w:szCs w:val="21"/>
              </w:rPr>
              <w:t>1</w:t>
            </w:r>
          </w:p>
        </w:tc>
      </w:tr>
      <w:tr w14:paraId="4208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63E75718">
            <w:pPr>
              <w:autoSpaceDE w:val="0"/>
              <w:autoSpaceDN w:val="0"/>
              <w:jc w:val="center"/>
              <w:rPr>
                <w:rFonts w:ascii="Times New Roman" w:eastAsia="仿宋"/>
                <w:szCs w:val="21"/>
              </w:rPr>
            </w:pPr>
            <w:r>
              <w:rPr>
                <w:rFonts w:hint="eastAsia" w:ascii="Times New Roman" w:eastAsia="仿宋"/>
                <w:szCs w:val="21"/>
              </w:rPr>
              <w:t>12</w:t>
            </w:r>
          </w:p>
        </w:tc>
        <w:tc>
          <w:tcPr>
            <w:tcW w:w="263" w:type="pct"/>
            <w:vMerge w:val="continue"/>
            <w:vAlign w:val="center"/>
          </w:tcPr>
          <w:p w14:paraId="62A3E389">
            <w:pPr>
              <w:autoSpaceDE w:val="0"/>
              <w:autoSpaceDN w:val="0"/>
              <w:jc w:val="center"/>
              <w:rPr>
                <w:rFonts w:ascii="Times New Roman" w:eastAsia="仿宋"/>
                <w:szCs w:val="21"/>
              </w:rPr>
            </w:pPr>
          </w:p>
        </w:tc>
        <w:tc>
          <w:tcPr>
            <w:tcW w:w="495" w:type="pct"/>
            <w:vAlign w:val="center"/>
          </w:tcPr>
          <w:p w14:paraId="5D528D9B">
            <w:pPr>
              <w:widowControl/>
              <w:jc w:val="center"/>
              <w:rPr>
                <w:rFonts w:ascii="Times New Roman" w:eastAsia="仿宋"/>
                <w:szCs w:val="21"/>
              </w:rPr>
            </w:pPr>
            <w:r>
              <w:rPr>
                <w:rFonts w:hint="eastAsia" w:ascii="Times New Roman" w:eastAsia="仿宋"/>
                <w:szCs w:val="21"/>
              </w:rPr>
              <w:t>氩弧焊机</w:t>
            </w:r>
          </w:p>
        </w:tc>
        <w:tc>
          <w:tcPr>
            <w:tcW w:w="355" w:type="pct"/>
            <w:vAlign w:val="center"/>
          </w:tcPr>
          <w:p w14:paraId="1BC91D8E">
            <w:pPr>
              <w:widowControl/>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287" w:type="pct"/>
            <w:vMerge w:val="continue"/>
            <w:vAlign w:val="center"/>
          </w:tcPr>
          <w:p w14:paraId="7B7F8D68">
            <w:pPr>
              <w:widowControl/>
              <w:autoSpaceDE w:val="0"/>
              <w:autoSpaceDN w:val="0"/>
              <w:jc w:val="center"/>
              <w:rPr>
                <w:rFonts w:ascii="Times New Roman" w:eastAsia="仿宋"/>
                <w:szCs w:val="21"/>
              </w:rPr>
            </w:pPr>
          </w:p>
        </w:tc>
        <w:tc>
          <w:tcPr>
            <w:tcW w:w="343" w:type="pct"/>
            <w:vAlign w:val="center"/>
          </w:tcPr>
          <w:p w14:paraId="612DE3E2">
            <w:pPr>
              <w:widowControl/>
              <w:jc w:val="center"/>
              <w:rPr>
                <w:rFonts w:ascii="Times New Roman" w:eastAsia="仿宋"/>
                <w:szCs w:val="21"/>
              </w:rPr>
            </w:pPr>
            <w:r>
              <w:rPr>
                <w:rFonts w:hint="eastAsia" w:ascii="Times New Roman" w:eastAsia="仿宋"/>
                <w:szCs w:val="21"/>
              </w:rPr>
              <w:t>11</w:t>
            </w:r>
            <w:r>
              <w:rPr>
                <w:rFonts w:ascii="Times New Roman" w:eastAsia="仿宋"/>
                <w:szCs w:val="21"/>
              </w:rPr>
              <w:t>6.39</w:t>
            </w:r>
          </w:p>
        </w:tc>
        <w:tc>
          <w:tcPr>
            <w:tcW w:w="296" w:type="pct"/>
            <w:vAlign w:val="center"/>
          </w:tcPr>
          <w:p w14:paraId="549CCCF1">
            <w:pPr>
              <w:widowControl/>
              <w:jc w:val="center"/>
              <w:rPr>
                <w:rFonts w:ascii="Times New Roman" w:eastAsia="仿宋"/>
                <w:szCs w:val="21"/>
              </w:rPr>
            </w:pPr>
            <w:r>
              <w:rPr>
                <w:rFonts w:hint="eastAsia" w:ascii="Times New Roman" w:eastAsia="仿宋"/>
                <w:szCs w:val="21"/>
              </w:rPr>
              <w:t>1</w:t>
            </w:r>
            <w:r>
              <w:rPr>
                <w:rFonts w:ascii="Times New Roman" w:eastAsia="仿宋"/>
                <w:szCs w:val="21"/>
              </w:rPr>
              <w:t>0.51</w:t>
            </w:r>
          </w:p>
        </w:tc>
        <w:tc>
          <w:tcPr>
            <w:tcW w:w="235" w:type="pct"/>
            <w:vAlign w:val="center"/>
          </w:tcPr>
          <w:p w14:paraId="40AF1C6E">
            <w:pPr>
              <w:jc w:val="center"/>
              <w:rPr>
                <w:rFonts w:ascii="Times New Roman" w:eastAsia="仿宋"/>
                <w:szCs w:val="21"/>
              </w:rPr>
            </w:pPr>
            <w:r>
              <w:rPr>
                <w:rFonts w:ascii="Times New Roman" w:eastAsia="仿宋"/>
                <w:szCs w:val="21"/>
              </w:rPr>
              <w:t>0</w:t>
            </w:r>
          </w:p>
        </w:tc>
        <w:tc>
          <w:tcPr>
            <w:tcW w:w="482" w:type="pct"/>
            <w:vAlign w:val="center"/>
          </w:tcPr>
          <w:p w14:paraId="275BB455">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18</w:t>
            </w:r>
            <w:r>
              <w:rPr>
                <w:rFonts w:hint="eastAsia" w:ascii="Times New Roman" w:eastAsia="仿宋"/>
                <w:szCs w:val="21"/>
                <w:lang w:val="zh-CN"/>
              </w:rPr>
              <w:t>.3</w:t>
            </w:r>
          </w:p>
          <w:p w14:paraId="54008F69">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29</w:t>
            </w:r>
            <w:r>
              <w:rPr>
                <w:rFonts w:hint="eastAsia" w:ascii="Times New Roman" w:eastAsia="仿宋"/>
                <w:szCs w:val="21"/>
                <w:lang w:val="zh-CN"/>
              </w:rPr>
              <w:t>.3</w:t>
            </w:r>
          </w:p>
          <w:p w14:paraId="31D45499">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3</w:t>
            </w:r>
            <w:r>
              <w:rPr>
                <w:rFonts w:hint="eastAsia" w:ascii="Times New Roman" w:eastAsia="仿宋"/>
                <w:szCs w:val="21"/>
                <w:lang w:val="zh-CN"/>
              </w:rPr>
              <w:t>.9</w:t>
            </w:r>
          </w:p>
          <w:p w14:paraId="123A1F7B">
            <w:pPr>
              <w:widowControl/>
              <w:autoSpaceDE w:val="0"/>
              <w:autoSpaceDN w:val="0"/>
              <w:rPr>
                <w:rFonts w:ascii="Times New Roman" w:eastAsia="仿宋"/>
                <w:szCs w:val="21"/>
                <w:lang w:val="zh-CN"/>
              </w:rPr>
            </w:pPr>
            <w:r>
              <w:rPr>
                <w:rFonts w:hint="eastAsia" w:ascii="Times New Roman" w:eastAsia="仿宋"/>
                <w:szCs w:val="21"/>
                <w:lang w:val="zh-CN"/>
              </w:rPr>
              <w:t>北：5</w:t>
            </w:r>
            <w:r>
              <w:rPr>
                <w:rFonts w:hint="eastAsia" w:ascii="Times New Roman" w:eastAsia="仿宋"/>
                <w:szCs w:val="21"/>
              </w:rPr>
              <w:t>0</w:t>
            </w:r>
            <w:r>
              <w:rPr>
                <w:rFonts w:hint="eastAsia" w:ascii="Times New Roman" w:eastAsia="仿宋"/>
                <w:szCs w:val="21"/>
                <w:lang w:val="zh-CN"/>
              </w:rPr>
              <w:t>.1</w:t>
            </w:r>
          </w:p>
        </w:tc>
        <w:tc>
          <w:tcPr>
            <w:tcW w:w="493" w:type="pct"/>
            <w:vAlign w:val="center"/>
          </w:tcPr>
          <w:p w14:paraId="4A1444B1">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6A4D1C9D">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4266B14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6926D79B">
            <w:pPr>
              <w:widowControl/>
              <w:autoSpaceDE w:val="0"/>
              <w:autoSpaceDN w:val="0"/>
              <w:rPr>
                <w:rFonts w:ascii="Times New Roman" w:eastAsia="仿宋"/>
                <w:szCs w:val="21"/>
                <w:lang w:val="zh-CN"/>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29D73737">
            <w:pPr>
              <w:widowControl/>
              <w:autoSpaceDE w:val="0"/>
              <w:autoSpaceDN w:val="0"/>
              <w:jc w:val="center"/>
              <w:rPr>
                <w:rFonts w:ascii="Times New Roman" w:eastAsia="仿宋"/>
                <w:szCs w:val="21"/>
              </w:rPr>
            </w:pPr>
          </w:p>
        </w:tc>
        <w:tc>
          <w:tcPr>
            <w:tcW w:w="502" w:type="pct"/>
            <w:vAlign w:val="center"/>
          </w:tcPr>
          <w:p w14:paraId="68FD445A">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35FF5F2C">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7855A8D4">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1F1C725E">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391F40C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18113A4">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6A1E8EC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4E66A92B">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391D4F27">
            <w:pPr>
              <w:widowControl/>
              <w:jc w:val="center"/>
              <w:rPr>
                <w:rFonts w:ascii="Times New Roman" w:eastAsia="仿宋"/>
                <w:szCs w:val="21"/>
              </w:rPr>
            </w:pPr>
            <w:r>
              <w:rPr>
                <w:rFonts w:hint="eastAsia" w:ascii="Times New Roman" w:eastAsia="仿宋"/>
                <w:szCs w:val="21"/>
              </w:rPr>
              <w:t>1</w:t>
            </w:r>
          </w:p>
        </w:tc>
      </w:tr>
      <w:tr w14:paraId="2854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4A1839C4">
            <w:pPr>
              <w:autoSpaceDE w:val="0"/>
              <w:autoSpaceDN w:val="0"/>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263" w:type="pct"/>
            <w:vMerge w:val="continue"/>
            <w:vAlign w:val="center"/>
          </w:tcPr>
          <w:p w14:paraId="7EE62034">
            <w:pPr>
              <w:autoSpaceDE w:val="0"/>
              <w:autoSpaceDN w:val="0"/>
              <w:jc w:val="center"/>
              <w:rPr>
                <w:rFonts w:ascii="Times New Roman" w:eastAsia="仿宋"/>
                <w:szCs w:val="21"/>
              </w:rPr>
            </w:pPr>
          </w:p>
        </w:tc>
        <w:tc>
          <w:tcPr>
            <w:tcW w:w="495" w:type="pct"/>
            <w:vAlign w:val="center"/>
          </w:tcPr>
          <w:p w14:paraId="3156DCFE">
            <w:pPr>
              <w:widowControl/>
              <w:jc w:val="center"/>
              <w:rPr>
                <w:rFonts w:ascii="Times New Roman" w:eastAsia="仿宋"/>
                <w:szCs w:val="21"/>
              </w:rPr>
            </w:pPr>
            <w:r>
              <w:rPr>
                <w:rFonts w:hint="eastAsia" w:ascii="Times New Roman" w:eastAsia="仿宋"/>
                <w:szCs w:val="21"/>
              </w:rPr>
              <w:t>手动磨光机</w:t>
            </w:r>
          </w:p>
        </w:tc>
        <w:tc>
          <w:tcPr>
            <w:tcW w:w="355" w:type="pct"/>
            <w:vAlign w:val="center"/>
          </w:tcPr>
          <w:p w14:paraId="1932ADF6">
            <w:pPr>
              <w:widowControl/>
              <w:jc w:val="center"/>
              <w:rPr>
                <w:rFonts w:ascii="Times New Roman" w:eastAsia="仿宋"/>
                <w:szCs w:val="21"/>
              </w:rPr>
            </w:pPr>
            <w:r>
              <w:rPr>
                <w:rFonts w:hint="eastAsia" w:ascii="Times New Roman" w:eastAsia="仿宋"/>
                <w:szCs w:val="21"/>
              </w:rPr>
              <w:t>7</w:t>
            </w:r>
            <w:r>
              <w:rPr>
                <w:rFonts w:ascii="Times New Roman" w:eastAsia="仿宋"/>
                <w:szCs w:val="21"/>
              </w:rPr>
              <w:t>2</w:t>
            </w:r>
          </w:p>
        </w:tc>
        <w:tc>
          <w:tcPr>
            <w:tcW w:w="287" w:type="pct"/>
            <w:vMerge w:val="continue"/>
            <w:vAlign w:val="center"/>
          </w:tcPr>
          <w:p w14:paraId="0F58FE30">
            <w:pPr>
              <w:widowControl/>
              <w:autoSpaceDE w:val="0"/>
              <w:autoSpaceDN w:val="0"/>
              <w:jc w:val="center"/>
              <w:rPr>
                <w:rFonts w:ascii="Times New Roman" w:eastAsia="仿宋"/>
                <w:szCs w:val="21"/>
              </w:rPr>
            </w:pPr>
          </w:p>
        </w:tc>
        <w:tc>
          <w:tcPr>
            <w:tcW w:w="343" w:type="pct"/>
            <w:vAlign w:val="center"/>
          </w:tcPr>
          <w:p w14:paraId="5ABE799C">
            <w:pPr>
              <w:widowControl/>
              <w:jc w:val="center"/>
              <w:rPr>
                <w:rFonts w:ascii="Times New Roman" w:eastAsia="仿宋"/>
                <w:szCs w:val="21"/>
              </w:rPr>
            </w:pPr>
            <w:r>
              <w:rPr>
                <w:rFonts w:hint="eastAsia" w:ascii="Times New Roman" w:eastAsia="仿宋"/>
                <w:szCs w:val="21"/>
              </w:rPr>
              <w:t>12</w:t>
            </w:r>
            <w:r>
              <w:rPr>
                <w:rFonts w:ascii="Times New Roman" w:eastAsia="仿宋"/>
                <w:szCs w:val="21"/>
              </w:rPr>
              <w:t>8.2</w:t>
            </w:r>
          </w:p>
        </w:tc>
        <w:tc>
          <w:tcPr>
            <w:tcW w:w="296" w:type="pct"/>
            <w:vAlign w:val="center"/>
          </w:tcPr>
          <w:p w14:paraId="08C83001">
            <w:pPr>
              <w:widowControl/>
              <w:jc w:val="center"/>
              <w:rPr>
                <w:rFonts w:ascii="Times New Roman" w:eastAsia="仿宋"/>
                <w:szCs w:val="21"/>
              </w:rPr>
            </w:pPr>
            <w:r>
              <w:rPr>
                <w:rFonts w:hint="eastAsia" w:ascii="Times New Roman" w:eastAsia="仿宋"/>
                <w:szCs w:val="21"/>
              </w:rPr>
              <w:t>-1</w:t>
            </w:r>
            <w:r>
              <w:rPr>
                <w:rFonts w:ascii="Times New Roman" w:eastAsia="仿宋"/>
                <w:szCs w:val="21"/>
              </w:rPr>
              <w:t>5.3</w:t>
            </w:r>
          </w:p>
        </w:tc>
        <w:tc>
          <w:tcPr>
            <w:tcW w:w="235" w:type="pct"/>
            <w:vAlign w:val="center"/>
          </w:tcPr>
          <w:p w14:paraId="5EBCF320">
            <w:pPr>
              <w:jc w:val="center"/>
              <w:rPr>
                <w:rFonts w:ascii="Times New Roman" w:eastAsia="仿宋"/>
                <w:szCs w:val="21"/>
              </w:rPr>
            </w:pPr>
            <w:r>
              <w:rPr>
                <w:rFonts w:ascii="Times New Roman" w:eastAsia="仿宋"/>
                <w:szCs w:val="21"/>
              </w:rPr>
              <w:t>0</w:t>
            </w:r>
          </w:p>
        </w:tc>
        <w:tc>
          <w:tcPr>
            <w:tcW w:w="482" w:type="pct"/>
            <w:vAlign w:val="center"/>
          </w:tcPr>
          <w:p w14:paraId="40FA6E92">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17</w:t>
            </w:r>
            <w:r>
              <w:rPr>
                <w:rFonts w:hint="eastAsia" w:ascii="Times New Roman" w:eastAsia="仿宋"/>
                <w:szCs w:val="21"/>
                <w:lang w:val="zh-CN"/>
              </w:rPr>
              <w:t>.3</w:t>
            </w:r>
          </w:p>
          <w:p w14:paraId="37E46046">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15</w:t>
            </w:r>
            <w:r>
              <w:rPr>
                <w:rFonts w:hint="eastAsia" w:ascii="Times New Roman" w:eastAsia="仿宋"/>
                <w:szCs w:val="21"/>
                <w:lang w:val="zh-CN"/>
              </w:rPr>
              <w:t>.3</w:t>
            </w:r>
          </w:p>
          <w:p w14:paraId="59793368">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2</w:t>
            </w:r>
            <w:r>
              <w:rPr>
                <w:rFonts w:hint="eastAsia" w:ascii="Times New Roman" w:eastAsia="仿宋"/>
                <w:szCs w:val="21"/>
                <w:lang w:val="zh-CN"/>
              </w:rPr>
              <w:t>.9</w:t>
            </w:r>
          </w:p>
          <w:p w14:paraId="076DECEC">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6</w:t>
            </w:r>
            <w:r>
              <w:rPr>
                <w:rFonts w:hint="eastAsia" w:ascii="Times New Roman" w:eastAsia="仿宋"/>
                <w:szCs w:val="21"/>
                <w:lang w:val="zh-CN"/>
              </w:rPr>
              <w:t>5.1</w:t>
            </w:r>
          </w:p>
        </w:tc>
        <w:tc>
          <w:tcPr>
            <w:tcW w:w="493" w:type="pct"/>
            <w:vAlign w:val="center"/>
          </w:tcPr>
          <w:p w14:paraId="5583A92B">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：55.7</w:t>
            </w:r>
          </w:p>
          <w:p w14:paraId="524389F5">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55.7</w:t>
            </w:r>
          </w:p>
          <w:p w14:paraId="63D0ACC5">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：55.7</w:t>
            </w:r>
          </w:p>
          <w:p w14:paraId="78BE2DEE">
            <w:pPr>
              <w:widowControl/>
              <w:autoSpaceDE w:val="0"/>
              <w:autoSpaceDN w:val="0"/>
              <w:rPr>
                <w:rFonts w:ascii="Times New Roman" w:eastAsia="仿宋"/>
                <w:szCs w:val="21"/>
                <w:lang w:val="zh-CN"/>
              </w:rPr>
            </w:pPr>
            <w:r>
              <w:rPr>
                <w:rFonts w:hint="eastAsia" w:ascii="Times New Roman" w:eastAsia="仿宋"/>
                <w:szCs w:val="21"/>
              </w:rPr>
              <w:t>北：</w:t>
            </w:r>
            <w:r>
              <w:rPr>
                <w:rFonts w:hint="eastAsia" w:ascii="Times New Roman" w:eastAsia="仿宋"/>
                <w:szCs w:val="21"/>
                <w:lang w:val="zh-CN"/>
              </w:rPr>
              <w:t>55.7</w:t>
            </w:r>
          </w:p>
        </w:tc>
        <w:tc>
          <w:tcPr>
            <w:tcW w:w="218" w:type="pct"/>
            <w:vMerge w:val="continue"/>
            <w:vAlign w:val="center"/>
          </w:tcPr>
          <w:p w14:paraId="685015E5">
            <w:pPr>
              <w:widowControl/>
              <w:autoSpaceDE w:val="0"/>
              <w:autoSpaceDN w:val="0"/>
              <w:jc w:val="center"/>
              <w:rPr>
                <w:rFonts w:ascii="Times New Roman" w:eastAsia="仿宋"/>
                <w:szCs w:val="21"/>
              </w:rPr>
            </w:pPr>
          </w:p>
        </w:tc>
        <w:tc>
          <w:tcPr>
            <w:tcW w:w="502" w:type="pct"/>
            <w:vAlign w:val="center"/>
          </w:tcPr>
          <w:p w14:paraId="0AEF6C3F">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74F3120">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2E9F8B1">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29E92128">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05865F25">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1E89CA70">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33A9F8C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54A106C0">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3D511F84">
            <w:pPr>
              <w:widowControl/>
              <w:jc w:val="center"/>
              <w:rPr>
                <w:rFonts w:ascii="Times New Roman" w:eastAsia="仿宋"/>
                <w:szCs w:val="21"/>
              </w:rPr>
            </w:pPr>
            <w:r>
              <w:rPr>
                <w:rFonts w:hint="eastAsia" w:ascii="Times New Roman" w:eastAsia="仿宋"/>
                <w:szCs w:val="21"/>
              </w:rPr>
              <w:t>1</w:t>
            </w:r>
          </w:p>
        </w:tc>
      </w:tr>
      <w:tr w14:paraId="6CF5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606718B7">
            <w:pPr>
              <w:autoSpaceDE w:val="0"/>
              <w:autoSpaceDN w:val="0"/>
              <w:jc w:val="center"/>
              <w:rPr>
                <w:rFonts w:ascii="Times New Roman" w:eastAsia="仿宋"/>
                <w:szCs w:val="21"/>
              </w:rPr>
            </w:pPr>
            <w:r>
              <w:rPr>
                <w:rFonts w:hint="eastAsia" w:ascii="Times New Roman" w:eastAsia="仿宋"/>
                <w:szCs w:val="21"/>
              </w:rPr>
              <w:t>14</w:t>
            </w:r>
          </w:p>
        </w:tc>
        <w:tc>
          <w:tcPr>
            <w:tcW w:w="263" w:type="pct"/>
            <w:vMerge w:val="restart"/>
            <w:vAlign w:val="center"/>
          </w:tcPr>
          <w:p w14:paraId="70A0D6BB">
            <w:pPr>
              <w:autoSpaceDE w:val="0"/>
              <w:autoSpaceDN w:val="0"/>
              <w:jc w:val="center"/>
              <w:rPr>
                <w:rFonts w:ascii="Times New Roman" w:eastAsia="仿宋"/>
                <w:szCs w:val="21"/>
              </w:rPr>
            </w:pPr>
            <w:r>
              <w:rPr>
                <w:rFonts w:hint="eastAsia" w:ascii="Times New Roman" w:eastAsia="仿宋"/>
                <w:szCs w:val="21"/>
              </w:rPr>
              <w:t>3号喷涂车间</w:t>
            </w:r>
          </w:p>
        </w:tc>
        <w:tc>
          <w:tcPr>
            <w:tcW w:w="495" w:type="pct"/>
            <w:vAlign w:val="center"/>
          </w:tcPr>
          <w:p w14:paraId="3227E8D2">
            <w:pPr>
              <w:widowControl/>
              <w:jc w:val="center"/>
              <w:rPr>
                <w:rFonts w:ascii="Times New Roman" w:eastAsia="仿宋"/>
                <w:szCs w:val="21"/>
              </w:rPr>
            </w:pPr>
            <w:r>
              <w:rPr>
                <w:rFonts w:hint="eastAsia" w:ascii="Times New Roman" w:eastAsia="仿宋"/>
                <w:szCs w:val="21"/>
              </w:rPr>
              <w:t>脱脂槽</w:t>
            </w:r>
          </w:p>
        </w:tc>
        <w:tc>
          <w:tcPr>
            <w:tcW w:w="355" w:type="pct"/>
            <w:vAlign w:val="center"/>
          </w:tcPr>
          <w:p w14:paraId="6574FF0C">
            <w:pPr>
              <w:widowControl/>
              <w:jc w:val="center"/>
              <w:rPr>
                <w:rFonts w:ascii="Times New Roman" w:eastAsia="仿宋"/>
                <w:szCs w:val="21"/>
              </w:rPr>
            </w:pPr>
            <w:r>
              <w:rPr>
                <w:rFonts w:hint="eastAsia" w:ascii="Times New Roman" w:eastAsia="仿宋"/>
                <w:szCs w:val="21"/>
              </w:rPr>
              <w:t>6</w:t>
            </w:r>
            <w:r>
              <w:rPr>
                <w:rFonts w:ascii="Times New Roman" w:eastAsia="仿宋"/>
                <w:szCs w:val="21"/>
              </w:rPr>
              <w:t>0</w:t>
            </w:r>
          </w:p>
        </w:tc>
        <w:tc>
          <w:tcPr>
            <w:tcW w:w="287" w:type="pct"/>
            <w:vMerge w:val="continue"/>
            <w:vAlign w:val="center"/>
          </w:tcPr>
          <w:p w14:paraId="030A7B11">
            <w:pPr>
              <w:widowControl/>
              <w:autoSpaceDE w:val="0"/>
              <w:autoSpaceDN w:val="0"/>
              <w:jc w:val="center"/>
              <w:rPr>
                <w:rFonts w:ascii="Times New Roman" w:eastAsia="仿宋"/>
                <w:szCs w:val="21"/>
              </w:rPr>
            </w:pPr>
          </w:p>
        </w:tc>
        <w:tc>
          <w:tcPr>
            <w:tcW w:w="343" w:type="pct"/>
            <w:vAlign w:val="center"/>
          </w:tcPr>
          <w:p w14:paraId="068EA665">
            <w:pPr>
              <w:widowControl/>
              <w:jc w:val="center"/>
              <w:rPr>
                <w:rFonts w:ascii="Times New Roman" w:eastAsia="仿宋"/>
                <w:szCs w:val="21"/>
              </w:rPr>
            </w:pPr>
            <w:r>
              <w:rPr>
                <w:rFonts w:hint="eastAsia" w:ascii="Times New Roman" w:eastAsia="仿宋"/>
                <w:szCs w:val="21"/>
              </w:rPr>
              <w:t>7</w:t>
            </w:r>
            <w:r>
              <w:rPr>
                <w:rFonts w:ascii="Times New Roman" w:eastAsia="仿宋"/>
                <w:szCs w:val="21"/>
              </w:rPr>
              <w:t>0.33</w:t>
            </w:r>
          </w:p>
        </w:tc>
        <w:tc>
          <w:tcPr>
            <w:tcW w:w="296" w:type="pct"/>
            <w:vAlign w:val="center"/>
          </w:tcPr>
          <w:p w14:paraId="31AB9AC2">
            <w:pPr>
              <w:widowControl/>
              <w:jc w:val="center"/>
              <w:rPr>
                <w:rFonts w:ascii="Times New Roman" w:eastAsia="仿宋"/>
                <w:szCs w:val="21"/>
              </w:rPr>
            </w:pPr>
            <w:r>
              <w:rPr>
                <w:rFonts w:hint="eastAsia" w:ascii="Times New Roman" w:eastAsia="仿宋"/>
                <w:szCs w:val="21"/>
              </w:rPr>
              <w:t>3</w:t>
            </w:r>
            <w:r>
              <w:rPr>
                <w:rFonts w:ascii="Times New Roman" w:eastAsia="仿宋"/>
                <w:szCs w:val="21"/>
              </w:rPr>
              <w:t>0.91</w:t>
            </w:r>
          </w:p>
        </w:tc>
        <w:tc>
          <w:tcPr>
            <w:tcW w:w="235" w:type="pct"/>
            <w:vAlign w:val="center"/>
          </w:tcPr>
          <w:p w14:paraId="612ACBC8">
            <w:pPr>
              <w:jc w:val="center"/>
              <w:rPr>
                <w:rFonts w:ascii="Times New Roman" w:eastAsia="仿宋"/>
                <w:szCs w:val="21"/>
              </w:rPr>
            </w:pPr>
            <w:r>
              <w:rPr>
                <w:rFonts w:ascii="Times New Roman" w:eastAsia="仿宋"/>
                <w:szCs w:val="21"/>
              </w:rPr>
              <w:t>0</w:t>
            </w:r>
          </w:p>
        </w:tc>
        <w:tc>
          <w:tcPr>
            <w:tcW w:w="482" w:type="pct"/>
            <w:vAlign w:val="center"/>
          </w:tcPr>
          <w:p w14:paraId="747E5847">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16</w:t>
            </w:r>
            <w:r>
              <w:rPr>
                <w:rFonts w:hint="eastAsia" w:ascii="Times New Roman" w:eastAsia="仿宋"/>
                <w:szCs w:val="21"/>
                <w:lang w:val="zh-CN"/>
              </w:rPr>
              <w:t>.3</w:t>
            </w:r>
          </w:p>
          <w:p w14:paraId="17C89BCE">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55</w:t>
            </w:r>
            <w:r>
              <w:rPr>
                <w:rFonts w:hint="eastAsia" w:ascii="Times New Roman" w:eastAsia="仿宋"/>
                <w:szCs w:val="21"/>
                <w:lang w:val="zh-CN"/>
              </w:rPr>
              <w:t>.3</w:t>
            </w:r>
          </w:p>
          <w:p w14:paraId="5642AB80">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6</w:t>
            </w:r>
            <w:r>
              <w:rPr>
                <w:rFonts w:hint="eastAsia" w:ascii="Times New Roman" w:eastAsia="仿宋"/>
                <w:szCs w:val="21"/>
                <w:lang w:val="zh-CN"/>
              </w:rPr>
              <w:t>.9</w:t>
            </w:r>
          </w:p>
          <w:p w14:paraId="0E0D89EE">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23</w:t>
            </w:r>
            <w:r>
              <w:rPr>
                <w:rFonts w:hint="eastAsia" w:ascii="Times New Roman" w:eastAsia="仿宋"/>
                <w:szCs w:val="21"/>
                <w:lang w:val="zh-CN"/>
              </w:rPr>
              <w:t>.1</w:t>
            </w:r>
          </w:p>
        </w:tc>
        <w:tc>
          <w:tcPr>
            <w:tcW w:w="493" w:type="pct"/>
            <w:vAlign w:val="center"/>
          </w:tcPr>
          <w:p w14:paraId="5C3AF2FB">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65EE9308">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5AE1213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2DECDF5B">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2046A5D9">
            <w:pPr>
              <w:widowControl/>
              <w:autoSpaceDE w:val="0"/>
              <w:autoSpaceDN w:val="0"/>
              <w:jc w:val="center"/>
              <w:rPr>
                <w:rFonts w:ascii="Times New Roman" w:eastAsia="仿宋"/>
                <w:szCs w:val="21"/>
              </w:rPr>
            </w:pPr>
          </w:p>
        </w:tc>
        <w:tc>
          <w:tcPr>
            <w:tcW w:w="502" w:type="pct"/>
            <w:vAlign w:val="center"/>
          </w:tcPr>
          <w:p w14:paraId="46A8609A">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9693CAF">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7AC29A18">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6192745">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32911165">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9E81F38">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4D1F943A">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148B6A24">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3C42B451">
            <w:pPr>
              <w:widowControl/>
              <w:jc w:val="center"/>
              <w:rPr>
                <w:rFonts w:ascii="Times New Roman" w:eastAsia="仿宋"/>
                <w:szCs w:val="21"/>
              </w:rPr>
            </w:pPr>
            <w:r>
              <w:rPr>
                <w:rFonts w:hint="eastAsia" w:ascii="Times New Roman" w:eastAsia="仿宋"/>
                <w:szCs w:val="21"/>
              </w:rPr>
              <w:t>1</w:t>
            </w:r>
          </w:p>
        </w:tc>
      </w:tr>
      <w:tr w14:paraId="07D6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0A32D4C3">
            <w:pPr>
              <w:autoSpaceDE w:val="0"/>
              <w:autoSpaceDN w:val="0"/>
              <w:jc w:val="center"/>
              <w:rPr>
                <w:rFonts w:ascii="Times New Roman" w:eastAsia="仿宋"/>
                <w:szCs w:val="21"/>
              </w:rPr>
            </w:pPr>
            <w:r>
              <w:rPr>
                <w:rFonts w:hint="eastAsia" w:ascii="Times New Roman" w:eastAsia="仿宋"/>
                <w:szCs w:val="21"/>
              </w:rPr>
              <w:t>15</w:t>
            </w:r>
          </w:p>
        </w:tc>
        <w:tc>
          <w:tcPr>
            <w:tcW w:w="263" w:type="pct"/>
            <w:vMerge w:val="continue"/>
            <w:vAlign w:val="center"/>
          </w:tcPr>
          <w:p w14:paraId="157B1D6B">
            <w:pPr>
              <w:autoSpaceDE w:val="0"/>
              <w:autoSpaceDN w:val="0"/>
              <w:jc w:val="center"/>
              <w:rPr>
                <w:rFonts w:ascii="Times New Roman" w:eastAsia="仿宋"/>
                <w:szCs w:val="21"/>
              </w:rPr>
            </w:pPr>
          </w:p>
        </w:tc>
        <w:tc>
          <w:tcPr>
            <w:tcW w:w="495" w:type="pct"/>
            <w:vAlign w:val="center"/>
          </w:tcPr>
          <w:p w14:paraId="671BE94B">
            <w:pPr>
              <w:widowControl/>
              <w:jc w:val="center"/>
              <w:rPr>
                <w:rFonts w:ascii="Times New Roman" w:eastAsia="仿宋"/>
                <w:szCs w:val="21"/>
              </w:rPr>
            </w:pPr>
            <w:r>
              <w:rPr>
                <w:rFonts w:hint="eastAsia" w:ascii="Times New Roman" w:eastAsia="仿宋"/>
                <w:szCs w:val="21"/>
              </w:rPr>
              <w:t>水洗槽</w:t>
            </w:r>
          </w:p>
        </w:tc>
        <w:tc>
          <w:tcPr>
            <w:tcW w:w="355" w:type="pct"/>
            <w:vAlign w:val="center"/>
          </w:tcPr>
          <w:p w14:paraId="05073327">
            <w:pPr>
              <w:widowControl/>
              <w:jc w:val="center"/>
              <w:rPr>
                <w:rFonts w:ascii="Times New Roman" w:eastAsia="仿宋"/>
                <w:szCs w:val="21"/>
              </w:rPr>
            </w:pPr>
            <w:r>
              <w:rPr>
                <w:rFonts w:hint="eastAsia" w:ascii="Times New Roman" w:eastAsia="仿宋"/>
                <w:szCs w:val="21"/>
              </w:rPr>
              <w:t>6</w:t>
            </w:r>
            <w:r>
              <w:rPr>
                <w:rFonts w:ascii="Times New Roman" w:eastAsia="仿宋"/>
                <w:szCs w:val="21"/>
              </w:rPr>
              <w:t>4</w:t>
            </w:r>
          </w:p>
        </w:tc>
        <w:tc>
          <w:tcPr>
            <w:tcW w:w="287" w:type="pct"/>
            <w:vMerge w:val="continue"/>
            <w:vAlign w:val="center"/>
          </w:tcPr>
          <w:p w14:paraId="030EFF9A">
            <w:pPr>
              <w:widowControl/>
              <w:autoSpaceDE w:val="0"/>
              <w:autoSpaceDN w:val="0"/>
              <w:jc w:val="center"/>
              <w:rPr>
                <w:rFonts w:ascii="Times New Roman" w:eastAsia="仿宋"/>
                <w:szCs w:val="21"/>
              </w:rPr>
            </w:pPr>
          </w:p>
        </w:tc>
        <w:tc>
          <w:tcPr>
            <w:tcW w:w="343" w:type="pct"/>
            <w:vAlign w:val="center"/>
          </w:tcPr>
          <w:p w14:paraId="5BCBFD65">
            <w:pPr>
              <w:widowControl/>
              <w:jc w:val="center"/>
              <w:rPr>
                <w:rFonts w:ascii="Times New Roman" w:eastAsia="仿宋"/>
                <w:szCs w:val="21"/>
              </w:rPr>
            </w:pPr>
            <w:r>
              <w:rPr>
                <w:rFonts w:hint="eastAsia" w:ascii="Times New Roman" w:eastAsia="仿宋"/>
                <w:szCs w:val="21"/>
              </w:rPr>
              <w:t>7</w:t>
            </w:r>
            <w:r>
              <w:rPr>
                <w:rFonts w:ascii="Times New Roman" w:eastAsia="仿宋"/>
                <w:szCs w:val="21"/>
              </w:rPr>
              <w:t>6.9</w:t>
            </w:r>
          </w:p>
        </w:tc>
        <w:tc>
          <w:tcPr>
            <w:tcW w:w="296" w:type="pct"/>
            <w:vAlign w:val="center"/>
          </w:tcPr>
          <w:p w14:paraId="3D2E006C">
            <w:pPr>
              <w:widowControl/>
              <w:jc w:val="center"/>
              <w:rPr>
                <w:rFonts w:ascii="Times New Roman" w:eastAsia="仿宋"/>
                <w:szCs w:val="21"/>
              </w:rPr>
            </w:pPr>
            <w:r>
              <w:rPr>
                <w:rFonts w:hint="eastAsia" w:ascii="Times New Roman" w:eastAsia="仿宋"/>
                <w:szCs w:val="21"/>
              </w:rPr>
              <w:t>1</w:t>
            </w:r>
            <w:r>
              <w:rPr>
                <w:rFonts w:ascii="Times New Roman" w:eastAsia="仿宋"/>
                <w:szCs w:val="21"/>
              </w:rPr>
              <w:t>4.33</w:t>
            </w:r>
          </w:p>
        </w:tc>
        <w:tc>
          <w:tcPr>
            <w:tcW w:w="235" w:type="pct"/>
            <w:vAlign w:val="center"/>
          </w:tcPr>
          <w:p w14:paraId="399FD23F">
            <w:pPr>
              <w:jc w:val="center"/>
              <w:rPr>
                <w:rFonts w:ascii="Times New Roman" w:eastAsia="仿宋"/>
                <w:szCs w:val="21"/>
              </w:rPr>
            </w:pPr>
            <w:r>
              <w:rPr>
                <w:rFonts w:ascii="Times New Roman" w:eastAsia="仿宋"/>
                <w:szCs w:val="21"/>
              </w:rPr>
              <w:t>0</w:t>
            </w:r>
          </w:p>
        </w:tc>
        <w:tc>
          <w:tcPr>
            <w:tcW w:w="482" w:type="pct"/>
            <w:vAlign w:val="center"/>
          </w:tcPr>
          <w:p w14:paraId="60C282A3">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17</w:t>
            </w:r>
            <w:r>
              <w:rPr>
                <w:rFonts w:hint="eastAsia" w:ascii="Times New Roman" w:eastAsia="仿宋"/>
                <w:szCs w:val="21"/>
                <w:lang w:val="zh-CN"/>
              </w:rPr>
              <w:t>.3</w:t>
            </w:r>
          </w:p>
          <w:p w14:paraId="1FC48CEF">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43</w:t>
            </w:r>
            <w:r>
              <w:rPr>
                <w:rFonts w:hint="eastAsia" w:ascii="Times New Roman" w:eastAsia="仿宋"/>
                <w:szCs w:val="21"/>
                <w:lang w:val="zh-CN"/>
              </w:rPr>
              <w:t>.3</w:t>
            </w:r>
          </w:p>
          <w:p w14:paraId="4426F183">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2</w:t>
            </w:r>
            <w:r>
              <w:rPr>
                <w:rFonts w:hint="eastAsia" w:ascii="Times New Roman" w:eastAsia="仿宋"/>
                <w:szCs w:val="21"/>
                <w:lang w:val="zh-CN"/>
              </w:rPr>
              <w:t>.9</w:t>
            </w:r>
          </w:p>
          <w:p w14:paraId="7185690F">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3</w:t>
            </w:r>
            <w:r>
              <w:rPr>
                <w:rFonts w:hint="eastAsia" w:ascii="Times New Roman" w:eastAsia="仿宋"/>
                <w:szCs w:val="21"/>
                <w:lang w:val="zh-CN"/>
              </w:rPr>
              <w:t>5.1</w:t>
            </w:r>
          </w:p>
        </w:tc>
        <w:tc>
          <w:tcPr>
            <w:tcW w:w="493" w:type="pct"/>
            <w:vAlign w:val="center"/>
          </w:tcPr>
          <w:p w14:paraId="72B44D6D">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3953D733">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6BB9BC4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2F3725BC">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4FCDF279">
            <w:pPr>
              <w:widowControl/>
              <w:autoSpaceDE w:val="0"/>
              <w:autoSpaceDN w:val="0"/>
              <w:jc w:val="center"/>
              <w:rPr>
                <w:rFonts w:ascii="Times New Roman" w:eastAsia="仿宋"/>
                <w:szCs w:val="21"/>
              </w:rPr>
            </w:pPr>
          </w:p>
        </w:tc>
        <w:tc>
          <w:tcPr>
            <w:tcW w:w="502" w:type="pct"/>
            <w:vAlign w:val="center"/>
          </w:tcPr>
          <w:p w14:paraId="607F1796">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5346D9C3">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3E07A173">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3E010CEA">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398956C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27D518AD">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18FE5473">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1570205F">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5F5025EC">
            <w:pPr>
              <w:widowControl/>
              <w:jc w:val="center"/>
              <w:rPr>
                <w:rFonts w:ascii="Times New Roman" w:eastAsia="仿宋"/>
                <w:szCs w:val="21"/>
              </w:rPr>
            </w:pPr>
            <w:r>
              <w:rPr>
                <w:rFonts w:hint="eastAsia" w:ascii="Times New Roman" w:eastAsia="仿宋"/>
                <w:szCs w:val="21"/>
              </w:rPr>
              <w:t>1</w:t>
            </w:r>
          </w:p>
        </w:tc>
      </w:tr>
      <w:tr w14:paraId="6EC3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48FF090C">
            <w:pPr>
              <w:autoSpaceDE w:val="0"/>
              <w:autoSpaceDN w:val="0"/>
              <w:jc w:val="center"/>
              <w:rPr>
                <w:rFonts w:ascii="Times New Roman" w:eastAsia="仿宋"/>
                <w:szCs w:val="21"/>
              </w:rPr>
            </w:pPr>
            <w:r>
              <w:rPr>
                <w:rFonts w:hint="eastAsia" w:ascii="Times New Roman" w:eastAsia="仿宋"/>
                <w:szCs w:val="21"/>
              </w:rPr>
              <w:t>1</w:t>
            </w:r>
            <w:r>
              <w:rPr>
                <w:rFonts w:ascii="Times New Roman" w:eastAsia="仿宋"/>
                <w:szCs w:val="21"/>
              </w:rPr>
              <w:t>6</w:t>
            </w:r>
          </w:p>
        </w:tc>
        <w:tc>
          <w:tcPr>
            <w:tcW w:w="263" w:type="pct"/>
            <w:vMerge w:val="continue"/>
            <w:vAlign w:val="center"/>
          </w:tcPr>
          <w:p w14:paraId="38F3DC67">
            <w:pPr>
              <w:autoSpaceDE w:val="0"/>
              <w:autoSpaceDN w:val="0"/>
              <w:jc w:val="center"/>
              <w:rPr>
                <w:rFonts w:ascii="Times New Roman" w:eastAsia="仿宋"/>
                <w:szCs w:val="21"/>
              </w:rPr>
            </w:pPr>
          </w:p>
        </w:tc>
        <w:tc>
          <w:tcPr>
            <w:tcW w:w="495" w:type="pct"/>
            <w:vAlign w:val="center"/>
          </w:tcPr>
          <w:p w14:paraId="5D0A17FD">
            <w:pPr>
              <w:widowControl/>
              <w:jc w:val="center"/>
              <w:rPr>
                <w:rFonts w:ascii="Times New Roman" w:eastAsia="仿宋"/>
                <w:szCs w:val="21"/>
              </w:rPr>
            </w:pPr>
            <w:r>
              <w:rPr>
                <w:rFonts w:hint="eastAsia" w:ascii="Times New Roman" w:eastAsia="仿宋"/>
                <w:szCs w:val="21"/>
              </w:rPr>
              <w:t>钝化槽</w:t>
            </w:r>
          </w:p>
        </w:tc>
        <w:tc>
          <w:tcPr>
            <w:tcW w:w="355" w:type="pct"/>
            <w:vAlign w:val="center"/>
          </w:tcPr>
          <w:p w14:paraId="230915EA">
            <w:pPr>
              <w:widowControl/>
              <w:jc w:val="center"/>
              <w:rPr>
                <w:rFonts w:ascii="Times New Roman" w:eastAsia="仿宋"/>
                <w:szCs w:val="21"/>
              </w:rPr>
            </w:pPr>
            <w:r>
              <w:rPr>
                <w:rFonts w:hint="eastAsia" w:ascii="Times New Roman" w:eastAsia="仿宋"/>
                <w:szCs w:val="21"/>
              </w:rPr>
              <w:t>60</w:t>
            </w:r>
          </w:p>
        </w:tc>
        <w:tc>
          <w:tcPr>
            <w:tcW w:w="287" w:type="pct"/>
            <w:vMerge w:val="continue"/>
            <w:vAlign w:val="center"/>
          </w:tcPr>
          <w:p w14:paraId="5606FFDF">
            <w:pPr>
              <w:widowControl/>
              <w:autoSpaceDE w:val="0"/>
              <w:autoSpaceDN w:val="0"/>
              <w:jc w:val="center"/>
              <w:rPr>
                <w:rFonts w:ascii="Times New Roman" w:eastAsia="仿宋"/>
                <w:szCs w:val="21"/>
              </w:rPr>
            </w:pPr>
          </w:p>
        </w:tc>
        <w:tc>
          <w:tcPr>
            <w:tcW w:w="343" w:type="pct"/>
            <w:vAlign w:val="center"/>
          </w:tcPr>
          <w:p w14:paraId="6CF49D33">
            <w:pPr>
              <w:widowControl/>
              <w:jc w:val="center"/>
              <w:rPr>
                <w:rFonts w:ascii="Times New Roman" w:eastAsia="仿宋"/>
                <w:szCs w:val="21"/>
              </w:rPr>
            </w:pPr>
            <w:r>
              <w:rPr>
                <w:rFonts w:hint="eastAsia" w:ascii="Times New Roman" w:eastAsia="仿宋"/>
                <w:szCs w:val="21"/>
              </w:rPr>
              <w:t>6</w:t>
            </w:r>
            <w:r>
              <w:rPr>
                <w:rFonts w:ascii="Times New Roman" w:eastAsia="仿宋"/>
                <w:szCs w:val="21"/>
              </w:rPr>
              <w:t>2.2</w:t>
            </w:r>
          </w:p>
        </w:tc>
        <w:tc>
          <w:tcPr>
            <w:tcW w:w="296" w:type="pct"/>
            <w:vAlign w:val="center"/>
          </w:tcPr>
          <w:p w14:paraId="6E617396">
            <w:pPr>
              <w:widowControl/>
              <w:jc w:val="center"/>
              <w:rPr>
                <w:rFonts w:ascii="Times New Roman" w:eastAsia="仿宋"/>
                <w:szCs w:val="21"/>
              </w:rPr>
            </w:pPr>
            <w:r>
              <w:rPr>
                <w:rFonts w:hint="eastAsia" w:ascii="Times New Roman" w:eastAsia="仿宋"/>
                <w:szCs w:val="21"/>
              </w:rPr>
              <w:t>20.</w:t>
            </w:r>
            <w:r>
              <w:rPr>
                <w:rFonts w:ascii="Times New Roman" w:eastAsia="仿宋"/>
                <w:szCs w:val="21"/>
              </w:rPr>
              <w:t>59</w:t>
            </w:r>
          </w:p>
        </w:tc>
        <w:tc>
          <w:tcPr>
            <w:tcW w:w="235" w:type="pct"/>
            <w:vAlign w:val="center"/>
          </w:tcPr>
          <w:p w14:paraId="12E28288">
            <w:pPr>
              <w:jc w:val="center"/>
              <w:rPr>
                <w:rFonts w:ascii="Times New Roman" w:eastAsia="仿宋"/>
                <w:szCs w:val="21"/>
              </w:rPr>
            </w:pPr>
            <w:r>
              <w:rPr>
                <w:rFonts w:ascii="Times New Roman" w:eastAsia="仿宋"/>
                <w:szCs w:val="21"/>
              </w:rPr>
              <w:t>0</w:t>
            </w:r>
          </w:p>
        </w:tc>
        <w:tc>
          <w:tcPr>
            <w:tcW w:w="482" w:type="pct"/>
            <w:vAlign w:val="center"/>
          </w:tcPr>
          <w:p w14:paraId="2CA10A93">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17</w:t>
            </w:r>
            <w:r>
              <w:rPr>
                <w:rFonts w:hint="eastAsia" w:ascii="Times New Roman" w:eastAsia="仿宋"/>
                <w:szCs w:val="21"/>
                <w:lang w:val="zh-CN"/>
              </w:rPr>
              <w:t>.3</w:t>
            </w:r>
          </w:p>
          <w:p w14:paraId="2F255EDF">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38</w:t>
            </w:r>
            <w:r>
              <w:rPr>
                <w:rFonts w:hint="eastAsia" w:ascii="Times New Roman" w:eastAsia="仿宋"/>
                <w:szCs w:val="21"/>
                <w:lang w:val="zh-CN"/>
              </w:rPr>
              <w:t>.3</w:t>
            </w:r>
          </w:p>
          <w:p w14:paraId="6AAFD121">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5</w:t>
            </w:r>
            <w:r>
              <w:rPr>
                <w:rFonts w:hint="eastAsia" w:ascii="Times New Roman" w:eastAsia="仿宋"/>
                <w:szCs w:val="21"/>
                <w:lang w:val="zh-CN"/>
              </w:rPr>
              <w:t>.9</w:t>
            </w:r>
          </w:p>
          <w:p w14:paraId="1F6A48EE">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41</w:t>
            </w:r>
            <w:r>
              <w:rPr>
                <w:rFonts w:hint="eastAsia" w:ascii="Times New Roman" w:eastAsia="仿宋"/>
                <w:szCs w:val="21"/>
                <w:lang w:val="zh-CN"/>
              </w:rPr>
              <w:t>.1</w:t>
            </w:r>
          </w:p>
        </w:tc>
        <w:tc>
          <w:tcPr>
            <w:tcW w:w="493" w:type="pct"/>
            <w:vAlign w:val="center"/>
          </w:tcPr>
          <w:p w14:paraId="4F6CDA0D">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1CB2004A">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44F2DEBE">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1EFC341C">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44C2BEDD">
            <w:pPr>
              <w:widowControl/>
              <w:autoSpaceDE w:val="0"/>
              <w:autoSpaceDN w:val="0"/>
              <w:jc w:val="center"/>
              <w:rPr>
                <w:rFonts w:ascii="Times New Roman" w:eastAsia="仿宋"/>
                <w:szCs w:val="21"/>
              </w:rPr>
            </w:pPr>
          </w:p>
        </w:tc>
        <w:tc>
          <w:tcPr>
            <w:tcW w:w="502" w:type="pct"/>
            <w:vAlign w:val="center"/>
          </w:tcPr>
          <w:p w14:paraId="7D372C00">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AD16C0C">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57E9CBB">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6C2C82CC">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61B99AC4">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354A3B87">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983AC34">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591DD2E9">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577EF25C">
            <w:pPr>
              <w:widowControl/>
              <w:jc w:val="center"/>
              <w:rPr>
                <w:rFonts w:ascii="Times New Roman" w:eastAsia="仿宋"/>
                <w:szCs w:val="21"/>
              </w:rPr>
            </w:pPr>
            <w:r>
              <w:rPr>
                <w:rFonts w:hint="eastAsia" w:ascii="Times New Roman" w:eastAsia="仿宋"/>
                <w:szCs w:val="21"/>
              </w:rPr>
              <w:t>1</w:t>
            </w:r>
          </w:p>
        </w:tc>
      </w:tr>
      <w:tr w14:paraId="44D7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E746D08">
            <w:pPr>
              <w:autoSpaceDE w:val="0"/>
              <w:autoSpaceDN w:val="0"/>
              <w:jc w:val="center"/>
              <w:rPr>
                <w:rFonts w:ascii="Times New Roman" w:eastAsia="仿宋"/>
                <w:szCs w:val="21"/>
              </w:rPr>
            </w:pPr>
            <w:r>
              <w:rPr>
                <w:rFonts w:hint="eastAsia" w:ascii="Times New Roman" w:eastAsia="仿宋"/>
                <w:szCs w:val="21"/>
              </w:rPr>
              <w:t>1</w:t>
            </w:r>
            <w:r>
              <w:rPr>
                <w:rFonts w:ascii="Times New Roman" w:eastAsia="仿宋"/>
                <w:szCs w:val="21"/>
              </w:rPr>
              <w:t>7</w:t>
            </w:r>
          </w:p>
        </w:tc>
        <w:tc>
          <w:tcPr>
            <w:tcW w:w="263" w:type="pct"/>
            <w:vMerge w:val="continue"/>
            <w:vAlign w:val="center"/>
          </w:tcPr>
          <w:p w14:paraId="79228DC1">
            <w:pPr>
              <w:autoSpaceDE w:val="0"/>
              <w:autoSpaceDN w:val="0"/>
              <w:jc w:val="center"/>
              <w:rPr>
                <w:rFonts w:ascii="Times New Roman" w:eastAsia="仿宋"/>
                <w:szCs w:val="21"/>
              </w:rPr>
            </w:pPr>
          </w:p>
        </w:tc>
        <w:tc>
          <w:tcPr>
            <w:tcW w:w="495" w:type="pct"/>
            <w:vAlign w:val="center"/>
          </w:tcPr>
          <w:p w14:paraId="5DD8AC12">
            <w:pPr>
              <w:widowControl/>
              <w:jc w:val="center"/>
              <w:rPr>
                <w:rFonts w:ascii="Times New Roman" w:eastAsia="仿宋"/>
                <w:szCs w:val="21"/>
              </w:rPr>
            </w:pPr>
            <w:r>
              <w:rPr>
                <w:rFonts w:hint="eastAsia" w:ascii="Times New Roman" w:eastAsia="仿宋"/>
                <w:szCs w:val="21"/>
              </w:rPr>
              <w:t>喷粉房</w:t>
            </w:r>
          </w:p>
        </w:tc>
        <w:tc>
          <w:tcPr>
            <w:tcW w:w="355" w:type="pct"/>
            <w:vAlign w:val="center"/>
          </w:tcPr>
          <w:p w14:paraId="5838E7D5">
            <w:pPr>
              <w:widowControl/>
              <w:jc w:val="center"/>
              <w:rPr>
                <w:rFonts w:ascii="Times New Roman" w:eastAsia="仿宋"/>
                <w:szCs w:val="21"/>
              </w:rPr>
            </w:pPr>
            <w:r>
              <w:rPr>
                <w:rFonts w:hint="eastAsia" w:ascii="Times New Roman" w:eastAsia="仿宋"/>
                <w:szCs w:val="21"/>
              </w:rPr>
              <w:t>6</w:t>
            </w:r>
            <w:r>
              <w:rPr>
                <w:rFonts w:ascii="Times New Roman" w:eastAsia="仿宋"/>
                <w:szCs w:val="21"/>
              </w:rPr>
              <w:t>5</w:t>
            </w:r>
          </w:p>
        </w:tc>
        <w:tc>
          <w:tcPr>
            <w:tcW w:w="287" w:type="pct"/>
            <w:vMerge w:val="continue"/>
            <w:vAlign w:val="center"/>
          </w:tcPr>
          <w:p w14:paraId="4C9D6D69">
            <w:pPr>
              <w:widowControl/>
              <w:autoSpaceDE w:val="0"/>
              <w:autoSpaceDN w:val="0"/>
              <w:jc w:val="center"/>
              <w:rPr>
                <w:rFonts w:ascii="Times New Roman" w:eastAsia="仿宋"/>
                <w:szCs w:val="21"/>
              </w:rPr>
            </w:pPr>
          </w:p>
        </w:tc>
        <w:tc>
          <w:tcPr>
            <w:tcW w:w="343" w:type="pct"/>
            <w:vAlign w:val="center"/>
          </w:tcPr>
          <w:p w14:paraId="50C6FBF1">
            <w:pPr>
              <w:widowControl/>
              <w:jc w:val="center"/>
              <w:rPr>
                <w:rFonts w:ascii="Times New Roman" w:eastAsia="仿宋"/>
                <w:szCs w:val="21"/>
              </w:rPr>
            </w:pPr>
            <w:r>
              <w:rPr>
                <w:rFonts w:hint="eastAsia" w:ascii="Times New Roman" w:eastAsia="仿宋"/>
                <w:szCs w:val="21"/>
              </w:rPr>
              <w:t>6</w:t>
            </w:r>
            <w:r>
              <w:rPr>
                <w:rFonts w:ascii="Times New Roman" w:eastAsia="仿宋"/>
                <w:szCs w:val="21"/>
              </w:rPr>
              <w:t>2.51</w:t>
            </w:r>
          </w:p>
        </w:tc>
        <w:tc>
          <w:tcPr>
            <w:tcW w:w="296" w:type="pct"/>
            <w:vAlign w:val="center"/>
          </w:tcPr>
          <w:p w14:paraId="4F937E18">
            <w:pPr>
              <w:widowControl/>
              <w:jc w:val="center"/>
              <w:rPr>
                <w:rFonts w:ascii="Times New Roman" w:eastAsia="仿宋"/>
                <w:szCs w:val="21"/>
              </w:rPr>
            </w:pPr>
            <w:r>
              <w:rPr>
                <w:rFonts w:hint="eastAsia" w:ascii="Times New Roman" w:eastAsia="仿宋"/>
                <w:szCs w:val="21"/>
              </w:rPr>
              <w:t>1</w:t>
            </w:r>
            <w:r>
              <w:rPr>
                <w:rFonts w:ascii="Times New Roman" w:eastAsia="仿宋"/>
                <w:szCs w:val="21"/>
              </w:rPr>
              <w:t>4.64</w:t>
            </w:r>
          </w:p>
        </w:tc>
        <w:tc>
          <w:tcPr>
            <w:tcW w:w="235" w:type="pct"/>
            <w:vAlign w:val="center"/>
          </w:tcPr>
          <w:p w14:paraId="1B48648C">
            <w:pPr>
              <w:jc w:val="center"/>
              <w:rPr>
                <w:rFonts w:ascii="Times New Roman" w:eastAsia="仿宋"/>
                <w:szCs w:val="21"/>
              </w:rPr>
            </w:pPr>
            <w:r>
              <w:rPr>
                <w:rFonts w:ascii="Times New Roman" w:eastAsia="仿宋"/>
                <w:szCs w:val="21"/>
              </w:rPr>
              <w:t>0</w:t>
            </w:r>
          </w:p>
        </w:tc>
        <w:tc>
          <w:tcPr>
            <w:tcW w:w="482" w:type="pct"/>
            <w:vAlign w:val="center"/>
          </w:tcPr>
          <w:p w14:paraId="7CFA5369">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20</w:t>
            </w:r>
            <w:r>
              <w:rPr>
                <w:rFonts w:hint="eastAsia" w:ascii="Times New Roman" w:eastAsia="仿宋"/>
                <w:szCs w:val="21"/>
                <w:lang w:val="zh-CN"/>
              </w:rPr>
              <w:t>.3</w:t>
            </w:r>
          </w:p>
          <w:p w14:paraId="322F9EF8">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30</w:t>
            </w:r>
            <w:r>
              <w:rPr>
                <w:rFonts w:hint="eastAsia" w:ascii="Times New Roman" w:eastAsia="仿宋"/>
                <w:szCs w:val="21"/>
                <w:lang w:val="zh-CN"/>
              </w:rPr>
              <w:t>.3</w:t>
            </w:r>
          </w:p>
          <w:p w14:paraId="4B6102B7">
            <w:pPr>
              <w:widowControl/>
              <w:autoSpaceDE w:val="0"/>
              <w:autoSpaceDN w:val="0"/>
              <w:rPr>
                <w:rFonts w:ascii="Times New Roman" w:eastAsia="仿宋"/>
                <w:szCs w:val="21"/>
                <w:lang w:val="zh-CN"/>
              </w:rPr>
            </w:pPr>
            <w:r>
              <w:rPr>
                <w:rFonts w:hint="eastAsia" w:ascii="Times New Roman" w:eastAsia="仿宋"/>
                <w:szCs w:val="21"/>
                <w:lang w:val="zh-CN"/>
              </w:rPr>
              <w:t>西：2</w:t>
            </w:r>
            <w:r>
              <w:rPr>
                <w:rFonts w:hint="eastAsia" w:ascii="Times New Roman" w:eastAsia="仿宋"/>
                <w:szCs w:val="21"/>
              </w:rPr>
              <w:t>2</w:t>
            </w:r>
            <w:r>
              <w:rPr>
                <w:rFonts w:hint="eastAsia" w:ascii="Times New Roman" w:eastAsia="仿宋"/>
                <w:szCs w:val="21"/>
                <w:lang w:val="zh-CN"/>
              </w:rPr>
              <w:t>.9</w:t>
            </w:r>
          </w:p>
          <w:p w14:paraId="16AB8093">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50</w:t>
            </w:r>
            <w:r>
              <w:rPr>
                <w:rFonts w:hint="eastAsia" w:ascii="Times New Roman" w:eastAsia="仿宋"/>
                <w:szCs w:val="21"/>
                <w:lang w:val="zh-CN"/>
              </w:rPr>
              <w:t>.1</w:t>
            </w:r>
          </w:p>
        </w:tc>
        <w:tc>
          <w:tcPr>
            <w:tcW w:w="493" w:type="pct"/>
            <w:vAlign w:val="center"/>
          </w:tcPr>
          <w:p w14:paraId="3672FADC">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603E319E">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1890C06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66B95546">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0E2EC1BA">
            <w:pPr>
              <w:widowControl/>
              <w:autoSpaceDE w:val="0"/>
              <w:autoSpaceDN w:val="0"/>
              <w:jc w:val="center"/>
              <w:rPr>
                <w:rFonts w:ascii="Times New Roman" w:eastAsia="仿宋"/>
                <w:szCs w:val="21"/>
              </w:rPr>
            </w:pPr>
          </w:p>
        </w:tc>
        <w:tc>
          <w:tcPr>
            <w:tcW w:w="502" w:type="pct"/>
            <w:vAlign w:val="center"/>
          </w:tcPr>
          <w:p w14:paraId="4516C15E">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73A5AB46">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3E1802F9">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49EF6885">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72F07388">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25AF77F">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4E732CCA">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54FF5A91">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28DE58AB">
            <w:pPr>
              <w:widowControl/>
              <w:jc w:val="center"/>
              <w:rPr>
                <w:rFonts w:ascii="Times New Roman" w:eastAsia="仿宋"/>
                <w:szCs w:val="21"/>
              </w:rPr>
            </w:pPr>
            <w:r>
              <w:rPr>
                <w:rFonts w:hint="eastAsia" w:ascii="Times New Roman" w:eastAsia="仿宋"/>
                <w:szCs w:val="21"/>
              </w:rPr>
              <w:t>1</w:t>
            </w:r>
          </w:p>
        </w:tc>
      </w:tr>
      <w:tr w14:paraId="61D2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DA1B6AA">
            <w:pPr>
              <w:autoSpaceDE w:val="0"/>
              <w:autoSpaceDN w:val="0"/>
              <w:jc w:val="center"/>
              <w:rPr>
                <w:rFonts w:ascii="Times New Roman" w:eastAsia="仿宋"/>
                <w:szCs w:val="21"/>
              </w:rPr>
            </w:pPr>
            <w:r>
              <w:rPr>
                <w:rFonts w:ascii="Times New Roman" w:eastAsia="仿宋"/>
                <w:szCs w:val="21"/>
              </w:rPr>
              <w:t>18</w:t>
            </w:r>
          </w:p>
        </w:tc>
        <w:tc>
          <w:tcPr>
            <w:tcW w:w="263" w:type="pct"/>
            <w:vMerge w:val="continue"/>
            <w:vAlign w:val="center"/>
          </w:tcPr>
          <w:p w14:paraId="0F88C551">
            <w:pPr>
              <w:autoSpaceDE w:val="0"/>
              <w:autoSpaceDN w:val="0"/>
              <w:jc w:val="center"/>
              <w:rPr>
                <w:rFonts w:ascii="Times New Roman" w:eastAsia="仿宋"/>
                <w:szCs w:val="21"/>
              </w:rPr>
            </w:pPr>
          </w:p>
        </w:tc>
        <w:tc>
          <w:tcPr>
            <w:tcW w:w="495" w:type="pct"/>
            <w:vAlign w:val="center"/>
          </w:tcPr>
          <w:p w14:paraId="341063E1">
            <w:pPr>
              <w:widowControl/>
              <w:jc w:val="center"/>
              <w:rPr>
                <w:rFonts w:ascii="Times New Roman" w:eastAsia="仿宋"/>
                <w:szCs w:val="21"/>
              </w:rPr>
            </w:pPr>
            <w:r>
              <w:rPr>
                <w:rFonts w:hint="eastAsia" w:ascii="Times New Roman" w:eastAsia="仿宋"/>
                <w:szCs w:val="21"/>
              </w:rPr>
              <w:t>底漆喷房</w:t>
            </w:r>
          </w:p>
        </w:tc>
        <w:tc>
          <w:tcPr>
            <w:tcW w:w="355" w:type="pct"/>
            <w:vAlign w:val="center"/>
          </w:tcPr>
          <w:p w14:paraId="7689CA00">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287" w:type="pct"/>
            <w:vMerge w:val="continue"/>
            <w:vAlign w:val="center"/>
          </w:tcPr>
          <w:p w14:paraId="3A318EB2">
            <w:pPr>
              <w:widowControl/>
              <w:autoSpaceDE w:val="0"/>
              <w:autoSpaceDN w:val="0"/>
              <w:jc w:val="center"/>
              <w:rPr>
                <w:rFonts w:ascii="Times New Roman" w:eastAsia="仿宋"/>
                <w:szCs w:val="21"/>
              </w:rPr>
            </w:pPr>
          </w:p>
        </w:tc>
        <w:tc>
          <w:tcPr>
            <w:tcW w:w="343" w:type="pct"/>
            <w:vAlign w:val="center"/>
          </w:tcPr>
          <w:p w14:paraId="6ECAE5DB">
            <w:pPr>
              <w:widowControl/>
              <w:jc w:val="center"/>
              <w:rPr>
                <w:rFonts w:ascii="Times New Roman" w:eastAsia="仿宋"/>
                <w:szCs w:val="21"/>
              </w:rPr>
            </w:pPr>
            <w:r>
              <w:rPr>
                <w:rFonts w:hint="eastAsia" w:ascii="Times New Roman" w:eastAsia="仿宋"/>
                <w:szCs w:val="21"/>
              </w:rPr>
              <w:t>6</w:t>
            </w:r>
            <w:r>
              <w:rPr>
                <w:rFonts w:ascii="Times New Roman" w:eastAsia="仿宋"/>
                <w:szCs w:val="21"/>
              </w:rPr>
              <w:t>3.14</w:t>
            </w:r>
          </w:p>
        </w:tc>
        <w:tc>
          <w:tcPr>
            <w:tcW w:w="296" w:type="pct"/>
            <w:vAlign w:val="center"/>
          </w:tcPr>
          <w:p w14:paraId="62FA9D1B">
            <w:pPr>
              <w:widowControl/>
              <w:jc w:val="center"/>
              <w:rPr>
                <w:rFonts w:ascii="Times New Roman" w:eastAsia="仿宋"/>
                <w:szCs w:val="21"/>
              </w:rPr>
            </w:pPr>
            <w:r>
              <w:rPr>
                <w:rFonts w:hint="eastAsia" w:ascii="Times New Roman" w:eastAsia="仿宋"/>
                <w:szCs w:val="21"/>
              </w:rPr>
              <w:t>1</w:t>
            </w:r>
            <w:r>
              <w:rPr>
                <w:rFonts w:ascii="Times New Roman" w:eastAsia="仿宋"/>
                <w:szCs w:val="21"/>
              </w:rPr>
              <w:t>9.02</w:t>
            </w:r>
          </w:p>
        </w:tc>
        <w:tc>
          <w:tcPr>
            <w:tcW w:w="235" w:type="pct"/>
            <w:vAlign w:val="center"/>
          </w:tcPr>
          <w:p w14:paraId="23CF00F2">
            <w:pPr>
              <w:jc w:val="center"/>
              <w:rPr>
                <w:rFonts w:ascii="Times New Roman" w:eastAsia="仿宋"/>
                <w:szCs w:val="21"/>
              </w:rPr>
            </w:pPr>
            <w:r>
              <w:rPr>
                <w:rFonts w:ascii="Times New Roman" w:eastAsia="仿宋"/>
                <w:szCs w:val="21"/>
              </w:rPr>
              <w:t>0</w:t>
            </w:r>
          </w:p>
        </w:tc>
        <w:tc>
          <w:tcPr>
            <w:tcW w:w="482" w:type="pct"/>
            <w:vAlign w:val="center"/>
          </w:tcPr>
          <w:p w14:paraId="79ECBF7D">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24</w:t>
            </w:r>
            <w:r>
              <w:rPr>
                <w:rFonts w:hint="eastAsia" w:ascii="Times New Roman" w:eastAsia="仿宋"/>
                <w:szCs w:val="21"/>
                <w:lang w:val="zh-CN"/>
              </w:rPr>
              <w:t>.3</w:t>
            </w:r>
          </w:p>
          <w:p w14:paraId="7A1FDAEA">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40</w:t>
            </w:r>
            <w:r>
              <w:rPr>
                <w:rFonts w:hint="eastAsia" w:ascii="Times New Roman" w:eastAsia="仿宋"/>
                <w:szCs w:val="21"/>
                <w:lang w:val="zh-CN"/>
              </w:rPr>
              <w:t>.3</w:t>
            </w:r>
          </w:p>
          <w:p w14:paraId="7004E8ED">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15</w:t>
            </w:r>
            <w:r>
              <w:rPr>
                <w:rFonts w:hint="eastAsia" w:ascii="Times New Roman" w:eastAsia="仿宋"/>
                <w:szCs w:val="21"/>
                <w:lang w:val="zh-CN"/>
              </w:rPr>
              <w:t>.9</w:t>
            </w:r>
          </w:p>
          <w:p w14:paraId="1B45EEE2">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37</w:t>
            </w:r>
            <w:r>
              <w:rPr>
                <w:rFonts w:hint="eastAsia" w:ascii="Times New Roman" w:eastAsia="仿宋"/>
                <w:szCs w:val="21"/>
                <w:lang w:val="zh-CN"/>
              </w:rPr>
              <w:t>.1</w:t>
            </w:r>
          </w:p>
        </w:tc>
        <w:tc>
          <w:tcPr>
            <w:tcW w:w="493" w:type="pct"/>
            <w:vAlign w:val="center"/>
          </w:tcPr>
          <w:p w14:paraId="7B50505D">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1806DA55">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11846F9E">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6132E710">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50CABC76">
            <w:pPr>
              <w:widowControl/>
              <w:autoSpaceDE w:val="0"/>
              <w:autoSpaceDN w:val="0"/>
              <w:jc w:val="center"/>
              <w:rPr>
                <w:rFonts w:ascii="Times New Roman" w:eastAsia="仿宋"/>
                <w:szCs w:val="21"/>
              </w:rPr>
            </w:pPr>
          </w:p>
        </w:tc>
        <w:tc>
          <w:tcPr>
            <w:tcW w:w="502" w:type="pct"/>
            <w:vAlign w:val="center"/>
          </w:tcPr>
          <w:p w14:paraId="0D3CB78E">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10D81E2C">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56981D4">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5ADCD052">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48CD022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3D84F0A3">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4592E45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7517AD86">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3E64A616">
            <w:pPr>
              <w:widowControl/>
              <w:jc w:val="center"/>
              <w:rPr>
                <w:rFonts w:ascii="Times New Roman" w:eastAsia="仿宋"/>
                <w:szCs w:val="21"/>
              </w:rPr>
            </w:pPr>
            <w:r>
              <w:rPr>
                <w:rFonts w:hint="eastAsia" w:ascii="Times New Roman" w:eastAsia="仿宋"/>
                <w:szCs w:val="21"/>
              </w:rPr>
              <w:t>1</w:t>
            </w:r>
          </w:p>
        </w:tc>
      </w:tr>
      <w:tr w14:paraId="45AC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25973021">
            <w:pPr>
              <w:autoSpaceDE w:val="0"/>
              <w:autoSpaceDN w:val="0"/>
              <w:jc w:val="center"/>
              <w:rPr>
                <w:rFonts w:ascii="Times New Roman" w:eastAsia="仿宋"/>
                <w:szCs w:val="21"/>
              </w:rPr>
            </w:pPr>
            <w:r>
              <w:rPr>
                <w:rFonts w:ascii="Times New Roman" w:eastAsia="仿宋"/>
                <w:szCs w:val="21"/>
              </w:rPr>
              <w:t>19</w:t>
            </w:r>
          </w:p>
        </w:tc>
        <w:tc>
          <w:tcPr>
            <w:tcW w:w="263" w:type="pct"/>
            <w:vMerge w:val="continue"/>
            <w:vAlign w:val="center"/>
          </w:tcPr>
          <w:p w14:paraId="7053E9FD">
            <w:pPr>
              <w:autoSpaceDE w:val="0"/>
              <w:autoSpaceDN w:val="0"/>
              <w:jc w:val="center"/>
              <w:rPr>
                <w:rFonts w:ascii="Times New Roman" w:eastAsia="仿宋"/>
                <w:szCs w:val="21"/>
              </w:rPr>
            </w:pPr>
          </w:p>
        </w:tc>
        <w:tc>
          <w:tcPr>
            <w:tcW w:w="495" w:type="pct"/>
            <w:vAlign w:val="center"/>
          </w:tcPr>
          <w:p w14:paraId="7AB93DAE">
            <w:pPr>
              <w:widowControl/>
              <w:jc w:val="center"/>
              <w:rPr>
                <w:rFonts w:ascii="Times New Roman" w:eastAsia="仿宋"/>
                <w:szCs w:val="21"/>
              </w:rPr>
            </w:pPr>
            <w:r>
              <w:rPr>
                <w:rFonts w:hint="eastAsia" w:ascii="Times New Roman" w:eastAsia="仿宋"/>
                <w:szCs w:val="21"/>
              </w:rPr>
              <w:t>面漆喷房</w:t>
            </w:r>
          </w:p>
        </w:tc>
        <w:tc>
          <w:tcPr>
            <w:tcW w:w="355" w:type="pct"/>
            <w:vAlign w:val="center"/>
          </w:tcPr>
          <w:p w14:paraId="0CF18294">
            <w:pPr>
              <w:widowControl/>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287" w:type="pct"/>
            <w:vMerge w:val="continue"/>
            <w:vAlign w:val="center"/>
          </w:tcPr>
          <w:p w14:paraId="60E0A91D">
            <w:pPr>
              <w:widowControl/>
              <w:autoSpaceDE w:val="0"/>
              <w:autoSpaceDN w:val="0"/>
              <w:jc w:val="center"/>
              <w:rPr>
                <w:rFonts w:ascii="Times New Roman" w:eastAsia="仿宋"/>
                <w:szCs w:val="21"/>
              </w:rPr>
            </w:pPr>
          </w:p>
        </w:tc>
        <w:tc>
          <w:tcPr>
            <w:tcW w:w="343" w:type="pct"/>
            <w:vAlign w:val="center"/>
          </w:tcPr>
          <w:p w14:paraId="66D8E3C5">
            <w:pPr>
              <w:widowControl/>
              <w:jc w:val="center"/>
              <w:rPr>
                <w:rFonts w:ascii="Times New Roman" w:eastAsia="仿宋"/>
                <w:szCs w:val="21"/>
              </w:rPr>
            </w:pPr>
            <w:r>
              <w:rPr>
                <w:rFonts w:hint="eastAsia" w:ascii="Times New Roman" w:eastAsia="仿宋"/>
                <w:szCs w:val="21"/>
              </w:rPr>
              <w:t>6</w:t>
            </w:r>
            <w:r>
              <w:rPr>
                <w:rFonts w:ascii="Times New Roman" w:eastAsia="仿宋"/>
                <w:szCs w:val="21"/>
              </w:rPr>
              <w:t>3.76</w:t>
            </w:r>
          </w:p>
        </w:tc>
        <w:tc>
          <w:tcPr>
            <w:tcW w:w="296" w:type="pct"/>
            <w:vAlign w:val="center"/>
          </w:tcPr>
          <w:p w14:paraId="19E9156C">
            <w:pPr>
              <w:widowControl/>
              <w:jc w:val="center"/>
              <w:rPr>
                <w:rFonts w:ascii="Times New Roman" w:eastAsia="仿宋"/>
                <w:szCs w:val="21"/>
              </w:rPr>
            </w:pPr>
            <w:r>
              <w:rPr>
                <w:rFonts w:hint="eastAsia" w:ascii="Times New Roman" w:eastAsia="仿宋"/>
                <w:szCs w:val="21"/>
              </w:rPr>
              <w:t>1</w:t>
            </w:r>
            <w:r>
              <w:rPr>
                <w:rFonts w:ascii="Times New Roman" w:eastAsia="仿宋"/>
                <w:szCs w:val="21"/>
              </w:rPr>
              <w:t>.51</w:t>
            </w:r>
          </w:p>
        </w:tc>
        <w:tc>
          <w:tcPr>
            <w:tcW w:w="235" w:type="pct"/>
            <w:vAlign w:val="center"/>
          </w:tcPr>
          <w:p w14:paraId="6D26296C">
            <w:pPr>
              <w:jc w:val="center"/>
              <w:rPr>
                <w:rFonts w:ascii="Times New Roman" w:eastAsia="仿宋"/>
                <w:szCs w:val="21"/>
              </w:rPr>
            </w:pPr>
            <w:r>
              <w:rPr>
                <w:rFonts w:ascii="Times New Roman" w:eastAsia="仿宋"/>
                <w:szCs w:val="21"/>
              </w:rPr>
              <w:t>0</w:t>
            </w:r>
          </w:p>
        </w:tc>
        <w:tc>
          <w:tcPr>
            <w:tcW w:w="482" w:type="pct"/>
            <w:vAlign w:val="center"/>
          </w:tcPr>
          <w:p w14:paraId="165D688F">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25</w:t>
            </w:r>
            <w:r>
              <w:rPr>
                <w:rFonts w:hint="eastAsia" w:ascii="Times New Roman" w:eastAsia="仿宋"/>
                <w:szCs w:val="21"/>
                <w:lang w:val="zh-CN"/>
              </w:rPr>
              <w:t>.3</w:t>
            </w:r>
          </w:p>
          <w:p w14:paraId="40230121">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55</w:t>
            </w:r>
            <w:r>
              <w:rPr>
                <w:rFonts w:hint="eastAsia" w:ascii="Times New Roman" w:eastAsia="仿宋"/>
                <w:szCs w:val="21"/>
                <w:lang w:val="zh-CN"/>
              </w:rPr>
              <w:t>.3</w:t>
            </w:r>
          </w:p>
          <w:p w14:paraId="2C6752BB">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15</w:t>
            </w:r>
            <w:r>
              <w:rPr>
                <w:rFonts w:hint="eastAsia" w:ascii="Times New Roman" w:eastAsia="仿宋"/>
                <w:szCs w:val="21"/>
                <w:lang w:val="zh-CN"/>
              </w:rPr>
              <w:t>.9</w:t>
            </w:r>
          </w:p>
          <w:p w14:paraId="0DAE3662">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24</w:t>
            </w:r>
            <w:r>
              <w:rPr>
                <w:rFonts w:hint="eastAsia" w:ascii="Times New Roman" w:eastAsia="仿宋"/>
                <w:szCs w:val="21"/>
                <w:lang w:val="zh-CN"/>
              </w:rPr>
              <w:t>.1</w:t>
            </w:r>
          </w:p>
        </w:tc>
        <w:tc>
          <w:tcPr>
            <w:tcW w:w="493" w:type="pct"/>
            <w:vAlign w:val="center"/>
          </w:tcPr>
          <w:p w14:paraId="3620FD7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4CB6292F">
            <w:pPr>
              <w:widowControl/>
              <w:autoSpaceDE w:val="0"/>
              <w:autoSpaceDN w:val="0"/>
              <w:rPr>
                <w:rFonts w:ascii="Times New Roman" w:eastAsia="仿宋"/>
                <w:szCs w:val="21"/>
                <w:lang w:val="zh-CN"/>
              </w:rPr>
            </w:pPr>
            <w:r>
              <w:rPr>
                <w:rFonts w:hint="eastAsia" w:ascii="Times New Roman" w:eastAsia="仿宋"/>
                <w:szCs w:val="21"/>
              </w:rPr>
              <w:t>南：68</w:t>
            </w:r>
            <w:r>
              <w:rPr>
                <w:rFonts w:hint="eastAsia" w:ascii="Times New Roman" w:eastAsia="仿宋"/>
                <w:szCs w:val="21"/>
                <w:lang w:val="zh-CN"/>
              </w:rPr>
              <w:t>.7</w:t>
            </w:r>
          </w:p>
          <w:p w14:paraId="4CD846A1">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68</w:t>
            </w:r>
            <w:r>
              <w:rPr>
                <w:rFonts w:hint="eastAsia" w:ascii="Times New Roman" w:eastAsia="仿宋"/>
                <w:szCs w:val="21"/>
                <w:lang w:val="zh-CN"/>
              </w:rPr>
              <w:t>.7</w:t>
            </w:r>
          </w:p>
          <w:p w14:paraId="72F62923">
            <w:pPr>
              <w:widowControl/>
              <w:autoSpaceDE w:val="0"/>
              <w:autoSpaceDN w:val="0"/>
              <w:rPr>
                <w:rFonts w:ascii="Times New Roman" w:eastAsia="仿宋"/>
                <w:szCs w:val="21"/>
              </w:rPr>
            </w:pPr>
            <w:r>
              <w:rPr>
                <w:rFonts w:hint="eastAsia" w:ascii="Times New Roman" w:eastAsia="仿宋"/>
                <w:szCs w:val="21"/>
              </w:rPr>
              <w:t>北：68</w:t>
            </w:r>
            <w:r>
              <w:rPr>
                <w:rFonts w:hint="eastAsia" w:ascii="Times New Roman" w:eastAsia="仿宋"/>
                <w:szCs w:val="21"/>
                <w:lang w:val="zh-CN"/>
              </w:rPr>
              <w:t>.7</w:t>
            </w:r>
          </w:p>
        </w:tc>
        <w:tc>
          <w:tcPr>
            <w:tcW w:w="218" w:type="pct"/>
            <w:vMerge w:val="continue"/>
            <w:vAlign w:val="center"/>
          </w:tcPr>
          <w:p w14:paraId="423A0F6B">
            <w:pPr>
              <w:widowControl/>
              <w:autoSpaceDE w:val="0"/>
              <w:autoSpaceDN w:val="0"/>
              <w:jc w:val="center"/>
              <w:rPr>
                <w:rFonts w:ascii="Times New Roman" w:eastAsia="仿宋"/>
                <w:szCs w:val="21"/>
              </w:rPr>
            </w:pPr>
          </w:p>
        </w:tc>
        <w:tc>
          <w:tcPr>
            <w:tcW w:w="502" w:type="pct"/>
            <w:vAlign w:val="center"/>
          </w:tcPr>
          <w:p w14:paraId="53A56262">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6ACED0C8">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1C088377">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055372F4">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58C81192">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74831F7D">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54CF0417">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606EA000">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0504151A">
            <w:pPr>
              <w:widowControl/>
              <w:jc w:val="center"/>
              <w:rPr>
                <w:rFonts w:ascii="Times New Roman" w:eastAsia="仿宋"/>
                <w:szCs w:val="21"/>
              </w:rPr>
            </w:pPr>
            <w:r>
              <w:rPr>
                <w:rFonts w:hint="eastAsia" w:ascii="Times New Roman" w:eastAsia="仿宋"/>
                <w:szCs w:val="21"/>
              </w:rPr>
              <w:t>1</w:t>
            </w:r>
          </w:p>
        </w:tc>
      </w:tr>
      <w:tr w14:paraId="29F9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067CCBB">
            <w:pPr>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263" w:type="pct"/>
            <w:vMerge w:val="restart"/>
            <w:vAlign w:val="center"/>
          </w:tcPr>
          <w:p w14:paraId="59A61AE1">
            <w:pPr>
              <w:autoSpaceDE w:val="0"/>
              <w:autoSpaceDN w:val="0"/>
              <w:jc w:val="center"/>
              <w:rPr>
                <w:rFonts w:ascii="Times New Roman" w:eastAsia="仿宋"/>
                <w:szCs w:val="21"/>
              </w:rPr>
            </w:pPr>
            <w:r>
              <w:rPr>
                <w:rFonts w:ascii="Times New Roman" w:eastAsia="仿宋"/>
                <w:szCs w:val="21"/>
              </w:rPr>
              <w:t>4</w:t>
            </w:r>
            <w:r>
              <w:rPr>
                <w:rFonts w:hint="eastAsia" w:ascii="Times New Roman" w:eastAsia="仿宋"/>
                <w:szCs w:val="21"/>
              </w:rPr>
              <w:t>号钣金车间</w:t>
            </w:r>
          </w:p>
        </w:tc>
        <w:tc>
          <w:tcPr>
            <w:tcW w:w="495" w:type="pct"/>
            <w:vAlign w:val="center"/>
          </w:tcPr>
          <w:p w14:paraId="373A1037">
            <w:pPr>
              <w:widowControl/>
              <w:jc w:val="center"/>
              <w:rPr>
                <w:rFonts w:ascii="Times New Roman" w:eastAsia="仿宋"/>
                <w:szCs w:val="21"/>
              </w:rPr>
            </w:pPr>
            <w:r>
              <w:rPr>
                <w:rFonts w:hint="eastAsia" w:ascii="Times New Roman" w:eastAsia="仿宋"/>
                <w:szCs w:val="21"/>
              </w:rPr>
              <w:t>雕刻机</w:t>
            </w:r>
          </w:p>
        </w:tc>
        <w:tc>
          <w:tcPr>
            <w:tcW w:w="355" w:type="pct"/>
            <w:vAlign w:val="center"/>
          </w:tcPr>
          <w:p w14:paraId="3774450A">
            <w:pPr>
              <w:widowControl/>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287" w:type="pct"/>
            <w:vMerge w:val="continue"/>
            <w:vAlign w:val="center"/>
          </w:tcPr>
          <w:p w14:paraId="1F2D7E67">
            <w:pPr>
              <w:widowControl/>
              <w:autoSpaceDE w:val="0"/>
              <w:autoSpaceDN w:val="0"/>
              <w:jc w:val="center"/>
              <w:rPr>
                <w:rFonts w:ascii="Times New Roman" w:eastAsia="仿宋"/>
                <w:szCs w:val="21"/>
              </w:rPr>
            </w:pPr>
          </w:p>
        </w:tc>
        <w:tc>
          <w:tcPr>
            <w:tcW w:w="343" w:type="pct"/>
            <w:vAlign w:val="center"/>
          </w:tcPr>
          <w:p w14:paraId="5E8A19FB">
            <w:pPr>
              <w:jc w:val="center"/>
              <w:rPr>
                <w:rFonts w:ascii="Times New Roman" w:eastAsia="仿宋"/>
                <w:szCs w:val="21"/>
              </w:rPr>
            </w:pPr>
            <w:r>
              <w:rPr>
                <w:rFonts w:ascii="Times New Roman" w:eastAsia="仿宋"/>
                <w:szCs w:val="21"/>
              </w:rPr>
              <w:t>93.47</w:t>
            </w:r>
          </w:p>
        </w:tc>
        <w:tc>
          <w:tcPr>
            <w:tcW w:w="296" w:type="pct"/>
            <w:vAlign w:val="center"/>
          </w:tcPr>
          <w:p w14:paraId="44DFC6C4">
            <w:pPr>
              <w:jc w:val="center"/>
              <w:rPr>
                <w:rFonts w:ascii="Times New Roman" w:eastAsia="仿宋"/>
                <w:szCs w:val="21"/>
              </w:rPr>
            </w:pPr>
            <w:r>
              <w:rPr>
                <w:rFonts w:ascii="Times New Roman" w:eastAsia="仿宋"/>
                <w:szCs w:val="21"/>
              </w:rPr>
              <w:t>80.74</w:t>
            </w:r>
          </w:p>
        </w:tc>
        <w:tc>
          <w:tcPr>
            <w:tcW w:w="235" w:type="pct"/>
            <w:vAlign w:val="center"/>
          </w:tcPr>
          <w:p w14:paraId="494F2ADA">
            <w:pPr>
              <w:jc w:val="center"/>
              <w:rPr>
                <w:rFonts w:ascii="Times New Roman" w:eastAsia="仿宋"/>
                <w:szCs w:val="21"/>
              </w:rPr>
            </w:pPr>
            <w:r>
              <w:rPr>
                <w:rFonts w:ascii="Times New Roman" w:eastAsia="仿宋"/>
                <w:szCs w:val="21"/>
              </w:rPr>
              <w:t>0</w:t>
            </w:r>
          </w:p>
        </w:tc>
        <w:tc>
          <w:tcPr>
            <w:tcW w:w="482" w:type="pct"/>
            <w:vAlign w:val="center"/>
          </w:tcPr>
          <w:p w14:paraId="013E3904">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84</w:t>
            </w:r>
            <w:r>
              <w:rPr>
                <w:rFonts w:hint="eastAsia" w:ascii="Times New Roman" w:eastAsia="仿宋"/>
                <w:szCs w:val="21"/>
                <w:lang w:val="zh-CN"/>
              </w:rPr>
              <w:t>.3</w:t>
            </w:r>
          </w:p>
          <w:p w14:paraId="7C68D2C8">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25</w:t>
            </w:r>
            <w:r>
              <w:rPr>
                <w:rFonts w:hint="eastAsia" w:ascii="Times New Roman" w:eastAsia="仿宋"/>
                <w:szCs w:val="21"/>
                <w:lang w:val="zh-CN"/>
              </w:rPr>
              <w:t>.3</w:t>
            </w:r>
          </w:p>
          <w:p w14:paraId="43DD835D">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35</w:t>
            </w:r>
            <w:r>
              <w:rPr>
                <w:rFonts w:hint="eastAsia" w:ascii="Times New Roman" w:eastAsia="仿宋"/>
                <w:szCs w:val="21"/>
                <w:lang w:val="zh-CN"/>
              </w:rPr>
              <w:t>.9</w:t>
            </w:r>
          </w:p>
          <w:p w14:paraId="3B729540">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15</w:t>
            </w:r>
            <w:r>
              <w:rPr>
                <w:rFonts w:hint="eastAsia" w:ascii="Times New Roman" w:eastAsia="仿宋"/>
                <w:szCs w:val="21"/>
                <w:lang w:val="zh-CN"/>
              </w:rPr>
              <w:t>.1</w:t>
            </w:r>
          </w:p>
        </w:tc>
        <w:tc>
          <w:tcPr>
            <w:tcW w:w="493" w:type="pct"/>
            <w:vAlign w:val="center"/>
          </w:tcPr>
          <w:p w14:paraId="18E432B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35E632DF">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4963DBAF">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798F32D1">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00B553B9">
            <w:pPr>
              <w:widowControl/>
              <w:autoSpaceDE w:val="0"/>
              <w:autoSpaceDN w:val="0"/>
              <w:jc w:val="center"/>
              <w:rPr>
                <w:rFonts w:ascii="Times New Roman" w:eastAsia="仿宋"/>
                <w:szCs w:val="21"/>
              </w:rPr>
            </w:pPr>
          </w:p>
        </w:tc>
        <w:tc>
          <w:tcPr>
            <w:tcW w:w="502" w:type="pct"/>
            <w:vAlign w:val="center"/>
          </w:tcPr>
          <w:p w14:paraId="5BFB8D65">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2D4F5414">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221817BB">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63F2E743">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6C5BAD3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2472319F">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0D68CF1A">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0615D7F9">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4DE68E7C">
            <w:pPr>
              <w:widowControl/>
              <w:jc w:val="center"/>
              <w:rPr>
                <w:rFonts w:ascii="Times New Roman" w:eastAsia="仿宋"/>
                <w:szCs w:val="21"/>
              </w:rPr>
            </w:pPr>
            <w:r>
              <w:rPr>
                <w:rFonts w:hint="eastAsia" w:ascii="Times New Roman" w:eastAsia="仿宋"/>
                <w:szCs w:val="21"/>
              </w:rPr>
              <w:t>1</w:t>
            </w:r>
          </w:p>
        </w:tc>
      </w:tr>
      <w:tr w14:paraId="0F90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55DF70B9">
            <w:pPr>
              <w:jc w:val="center"/>
              <w:rPr>
                <w:rFonts w:ascii="Times New Roman" w:eastAsia="仿宋"/>
                <w:szCs w:val="21"/>
              </w:rPr>
            </w:pPr>
            <w:r>
              <w:rPr>
                <w:rFonts w:hint="eastAsia" w:ascii="Times New Roman" w:eastAsia="仿宋"/>
                <w:szCs w:val="21"/>
              </w:rPr>
              <w:t>2</w:t>
            </w:r>
            <w:r>
              <w:rPr>
                <w:rFonts w:ascii="Times New Roman" w:eastAsia="仿宋"/>
                <w:szCs w:val="21"/>
              </w:rPr>
              <w:t>1</w:t>
            </w:r>
          </w:p>
        </w:tc>
        <w:tc>
          <w:tcPr>
            <w:tcW w:w="263" w:type="pct"/>
            <w:vMerge w:val="continue"/>
            <w:vAlign w:val="center"/>
          </w:tcPr>
          <w:p w14:paraId="11392C03">
            <w:pPr>
              <w:autoSpaceDE w:val="0"/>
              <w:autoSpaceDN w:val="0"/>
              <w:jc w:val="center"/>
              <w:rPr>
                <w:rFonts w:ascii="Times New Roman" w:eastAsia="仿宋"/>
                <w:szCs w:val="21"/>
              </w:rPr>
            </w:pPr>
          </w:p>
        </w:tc>
        <w:tc>
          <w:tcPr>
            <w:tcW w:w="495" w:type="pct"/>
            <w:vAlign w:val="center"/>
          </w:tcPr>
          <w:p w14:paraId="7E418855">
            <w:pPr>
              <w:widowControl/>
              <w:jc w:val="center"/>
              <w:rPr>
                <w:rFonts w:ascii="Times New Roman" w:eastAsia="仿宋"/>
                <w:szCs w:val="21"/>
              </w:rPr>
            </w:pPr>
            <w:r>
              <w:rPr>
                <w:rFonts w:hint="eastAsia" w:ascii="Times New Roman" w:eastAsia="仿宋"/>
                <w:szCs w:val="21"/>
              </w:rPr>
              <w:t>数控转塔冲</w:t>
            </w:r>
          </w:p>
        </w:tc>
        <w:tc>
          <w:tcPr>
            <w:tcW w:w="355" w:type="pct"/>
            <w:vAlign w:val="center"/>
          </w:tcPr>
          <w:p w14:paraId="628B568D">
            <w:pPr>
              <w:widowControl/>
              <w:jc w:val="center"/>
              <w:rPr>
                <w:rFonts w:ascii="Times New Roman" w:eastAsia="仿宋"/>
                <w:szCs w:val="21"/>
              </w:rPr>
            </w:pPr>
            <w:r>
              <w:rPr>
                <w:rFonts w:hint="eastAsia" w:ascii="Times New Roman" w:eastAsia="仿宋"/>
                <w:szCs w:val="21"/>
              </w:rPr>
              <w:t>8</w:t>
            </w:r>
            <w:r>
              <w:rPr>
                <w:rFonts w:ascii="Times New Roman" w:eastAsia="仿宋"/>
                <w:szCs w:val="21"/>
              </w:rPr>
              <w:t>3</w:t>
            </w:r>
          </w:p>
        </w:tc>
        <w:tc>
          <w:tcPr>
            <w:tcW w:w="287" w:type="pct"/>
            <w:vMerge w:val="continue"/>
            <w:vAlign w:val="center"/>
          </w:tcPr>
          <w:p w14:paraId="7CB86044">
            <w:pPr>
              <w:widowControl/>
              <w:autoSpaceDE w:val="0"/>
              <w:autoSpaceDN w:val="0"/>
              <w:jc w:val="center"/>
              <w:rPr>
                <w:rFonts w:ascii="Times New Roman" w:eastAsia="仿宋"/>
                <w:szCs w:val="21"/>
              </w:rPr>
            </w:pPr>
          </w:p>
        </w:tc>
        <w:tc>
          <w:tcPr>
            <w:tcW w:w="343" w:type="pct"/>
            <w:vAlign w:val="center"/>
          </w:tcPr>
          <w:p w14:paraId="0BE559A4">
            <w:pPr>
              <w:jc w:val="center"/>
              <w:rPr>
                <w:rFonts w:ascii="Times New Roman" w:eastAsia="仿宋"/>
                <w:szCs w:val="21"/>
              </w:rPr>
            </w:pPr>
            <w:r>
              <w:rPr>
                <w:rFonts w:ascii="Times New Roman" w:eastAsia="仿宋"/>
                <w:szCs w:val="21"/>
              </w:rPr>
              <w:t>81.33</w:t>
            </w:r>
          </w:p>
        </w:tc>
        <w:tc>
          <w:tcPr>
            <w:tcW w:w="296" w:type="pct"/>
            <w:vAlign w:val="center"/>
          </w:tcPr>
          <w:p w14:paraId="56E5FD31">
            <w:pPr>
              <w:jc w:val="center"/>
              <w:rPr>
                <w:rFonts w:ascii="Times New Roman" w:eastAsia="仿宋"/>
                <w:szCs w:val="21"/>
              </w:rPr>
            </w:pPr>
            <w:r>
              <w:rPr>
                <w:rFonts w:ascii="Times New Roman" w:eastAsia="仿宋"/>
                <w:szCs w:val="21"/>
              </w:rPr>
              <w:t>90.79</w:t>
            </w:r>
          </w:p>
        </w:tc>
        <w:tc>
          <w:tcPr>
            <w:tcW w:w="235" w:type="pct"/>
            <w:vAlign w:val="center"/>
          </w:tcPr>
          <w:p w14:paraId="0933A5E6">
            <w:pPr>
              <w:jc w:val="center"/>
              <w:rPr>
                <w:rFonts w:ascii="Times New Roman" w:eastAsia="仿宋"/>
                <w:szCs w:val="21"/>
              </w:rPr>
            </w:pPr>
            <w:r>
              <w:rPr>
                <w:rFonts w:ascii="Times New Roman" w:eastAsia="仿宋"/>
                <w:szCs w:val="21"/>
              </w:rPr>
              <w:t>0</w:t>
            </w:r>
          </w:p>
        </w:tc>
        <w:tc>
          <w:tcPr>
            <w:tcW w:w="482" w:type="pct"/>
            <w:vAlign w:val="center"/>
          </w:tcPr>
          <w:p w14:paraId="5489C856">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44</w:t>
            </w:r>
            <w:r>
              <w:rPr>
                <w:rFonts w:hint="eastAsia" w:ascii="Times New Roman" w:eastAsia="仿宋"/>
                <w:szCs w:val="21"/>
                <w:lang w:val="zh-CN"/>
              </w:rPr>
              <w:t>.3</w:t>
            </w:r>
          </w:p>
          <w:p w14:paraId="08B9EDF1">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28</w:t>
            </w:r>
            <w:r>
              <w:rPr>
                <w:rFonts w:hint="eastAsia" w:ascii="Times New Roman" w:eastAsia="仿宋"/>
                <w:szCs w:val="21"/>
                <w:lang w:val="zh-CN"/>
              </w:rPr>
              <w:t>.3</w:t>
            </w:r>
          </w:p>
          <w:p w14:paraId="3A1DD7D6">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73</w:t>
            </w:r>
            <w:r>
              <w:rPr>
                <w:rFonts w:hint="eastAsia" w:ascii="Times New Roman" w:eastAsia="仿宋"/>
                <w:szCs w:val="21"/>
                <w:lang w:val="zh-CN"/>
              </w:rPr>
              <w:t>.9</w:t>
            </w:r>
          </w:p>
          <w:p w14:paraId="5FD82758">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11</w:t>
            </w:r>
            <w:r>
              <w:rPr>
                <w:rFonts w:hint="eastAsia" w:ascii="Times New Roman" w:eastAsia="仿宋"/>
                <w:szCs w:val="21"/>
                <w:lang w:val="zh-CN"/>
              </w:rPr>
              <w:t>.1</w:t>
            </w:r>
          </w:p>
        </w:tc>
        <w:tc>
          <w:tcPr>
            <w:tcW w:w="493" w:type="pct"/>
            <w:vAlign w:val="center"/>
          </w:tcPr>
          <w:p w14:paraId="764249D4">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18680262">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64DECD91">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25A5DD97">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3D7995DE">
            <w:pPr>
              <w:widowControl/>
              <w:autoSpaceDE w:val="0"/>
              <w:autoSpaceDN w:val="0"/>
              <w:jc w:val="center"/>
              <w:rPr>
                <w:rFonts w:ascii="Times New Roman" w:eastAsia="仿宋"/>
                <w:szCs w:val="21"/>
              </w:rPr>
            </w:pPr>
          </w:p>
        </w:tc>
        <w:tc>
          <w:tcPr>
            <w:tcW w:w="502" w:type="pct"/>
            <w:vAlign w:val="center"/>
          </w:tcPr>
          <w:p w14:paraId="61D67626">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7432F1DB">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0AB7E52A">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2F8C81D">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15AF485F">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5D9AE0B">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CB7F14C">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64615D4D">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28B69FB2">
            <w:pPr>
              <w:widowControl/>
              <w:jc w:val="center"/>
              <w:rPr>
                <w:rFonts w:ascii="Times New Roman" w:eastAsia="仿宋"/>
                <w:szCs w:val="21"/>
              </w:rPr>
            </w:pPr>
            <w:r>
              <w:rPr>
                <w:rFonts w:hint="eastAsia" w:ascii="Times New Roman" w:eastAsia="仿宋"/>
                <w:szCs w:val="21"/>
              </w:rPr>
              <w:t>1</w:t>
            </w:r>
          </w:p>
        </w:tc>
      </w:tr>
      <w:tr w14:paraId="020F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5AAAD0A4">
            <w:pPr>
              <w:jc w:val="center"/>
              <w:rPr>
                <w:rFonts w:ascii="Times New Roman" w:eastAsia="仿宋"/>
                <w:szCs w:val="21"/>
              </w:rPr>
            </w:pPr>
            <w:r>
              <w:rPr>
                <w:rFonts w:hint="eastAsia" w:ascii="Times New Roman" w:eastAsia="仿宋"/>
                <w:szCs w:val="21"/>
              </w:rPr>
              <w:t>2</w:t>
            </w:r>
            <w:r>
              <w:rPr>
                <w:rFonts w:ascii="Times New Roman" w:eastAsia="仿宋"/>
                <w:szCs w:val="21"/>
              </w:rPr>
              <w:t>2</w:t>
            </w:r>
          </w:p>
        </w:tc>
        <w:tc>
          <w:tcPr>
            <w:tcW w:w="263" w:type="pct"/>
            <w:vMerge w:val="continue"/>
            <w:vAlign w:val="center"/>
          </w:tcPr>
          <w:p w14:paraId="6F312488">
            <w:pPr>
              <w:autoSpaceDE w:val="0"/>
              <w:autoSpaceDN w:val="0"/>
              <w:jc w:val="center"/>
              <w:rPr>
                <w:rFonts w:ascii="Times New Roman" w:eastAsia="仿宋"/>
                <w:szCs w:val="21"/>
              </w:rPr>
            </w:pPr>
          </w:p>
        </w:tc>
        <w:tc>
          <w:tcPr>
            <w:tcW w:w="495" w:type="pct"/>
            <w:vAlign w:val="center"/>
          </w:tcPr>
          <w:p w14:paraId="16167A1D">
            <w:pPr>
              <w:widowControl/>
              <w:jc w:val="center"/>
              <w:rPr>
                <w:rFonts w:ascii="Times New Roman" w:eastAsia="仿宋"/>
                <w:szCs w:val="21"/>
              </w:rPr>
            </w:pPr>
            <w:r>
              <w:rPr>
                <w:rFonts w:hint="eastAsia" w:ascii="Times New Roman" w:eastAsia="仿宋"/>
                <w:szCs w:val="21"/>
              </w:rPr>
              <w:t>剪板机</w:t>
            </w:r>
          </w:p>
        </w:tc>
        <w:tc>
          <w:tcPr>
            <w:tcW w:w="355" w:type="pct"/>
            <w:vAlign w:val="center"/>
          </w:tcPr>
          <w:p w14:paraId="75713B3B">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535B037C">
            <w:pPr>
              <w:widowControl/>
              <w:autoSpaceDE w:val="0"/>
              <w:autoSpaceDN w:val="0"/>
              <w:jc w:val="center"/>
              <w:rPr>
                <w:rFonts w:ascii="Times New Roman" w:eastAsia="仿宋"/>
                <w:szCs w:val="21"/>
              </w:rPr>
            </w:pPr>
          </w:p>
        </w:tc>
        <w:tc>
          <w:tcPr>
            <w:tcW w:w="343" w:type="pct"/>
            <w:vAlign w:val="center"/>
          </w:tcPr>
          <w:p w14:paraId="73B92E3F">
            <w:pPr>
              <w:jc w:val="center"/>
              <w:rPr>
                <w:rFonts w:ascii="Times New Roman" w:eastAsia="仿宋"/>
                <w:szCs w:val="21"/>
              </w:rPr>
            </w:pPr>
            <w:r>
              <w:rPr>
                <w:rFonts w:ascii="Times New Roman" w:eastAsia="仿宋"/>
                <w:szCs w:val="21"/>
              </w:rPr>
              <w:t>59.83</w:t>
            </w:r>
          </w:p>
        </w:tc>
        <w:tc>
          <w:tcPr>
            <w:tcW w:w="296" w:type="pct"/>
            <w:vAlign w:val="center"/>
          </w:tcPr>
          <w:p w14:paraId="7FE2504C">
            <w:pPr>
              <w:jc w:val="center"/>
              <w:rPr>
                <w:rFonts w:ascii="Times New Roman" w:eastAsia="仿宋"/>
                <w:szCs w:val="21"/>
              </w:rPr>
            </w:pPr>
            <w:r>
              <w:rPr>
                <w:rFonts w:ascii="Times New Roman" w:eastAsia="仿宋"/>
                <w:szCs w:val="21"/>
              </w:rPr>
              <w:t>79.7</w:t>
            </w:r>
          </w:p>
        </w:tc>
        <w:tc>
          <w:tcPr>
            <w:tcW w:w="235" w:type="pct"/>
            <w:vAlign w:val="center"/>
          </w:tcPr>
          <w:p w14:paraId="36FC6180">
            <w:pPr>
              <w:jc w:val="center"/>
              <w:rPr>
                <w:rFonts w:ascii="Times New Roman" w:eastAsia="仿宋"/>
                <w:szCs w:val="21"/>
              </w:rPr>
            </w:pPr>
            <w:r>
              <w:rPr>
                <w:rFonts w:ascii="Times New Roman" w:eastAsia="仿宋"/>
                <w:szCs w:val="21"/>
              </w:rPr>
              <w:t>0</w:t>
            </w:r>
          </w:p>
        </w:tc>
        <w:tc>
          <w:tcPr>
            <w:tcW w:w="482" w:type="pct"/>
            <w:vAlign w:val="center"/>
          </w:tcPr>
          <w:p w14:paraId="6EC519A9">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75</w:t>
            </w:r>
            <w:r>
              <w:rPr>
                <w:rFonts w:hint="eastAsia" w:ascii="Times New Roman" w:eastAsia="仿宋"/>
                <w:szCs w:val="21"/>
                <w:lang w:val="zh-CN"/>
              </w:rPr>
              <w:t>.3</w:t>
            </w:r>
          </w:p>
          <w:p w14:paraId="5458D05A">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16</w:t>
            </w:r>
            <w:r>
              <w:rPr>
                <w:rFonts w:hint="eastAsia" w:ascii="Times New Roman" w:eastAsia="仿宋"/>
                <w:szCs w:val="21"/>
                <w:lang w:val="zh-CN"/>
              </w:rPr>
              <w:t>.3</w:t>
            </w:r>
          </w:p>
          <w:p w14:paraId="3AAE72AB">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41</w:t>
            </w:r>
            <w:r>
              <w:rPr>
                <w:rFonts w:hint="eastAsia" w:ascii="Times New Roman" w:eastAsia="仿宋"/>
                <w:szCs w:val="21"/>
                <w:lang w:val="zh-CN"/>
              </w:rPr>
              <w:t>.9</w:t>
            </w:r>
          </w:p>
          <w:p w14:paraId="5E74E601">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24</w:t>
            </w:r>
            <w:r>
              <w:rPr>
                <w:rFonts w:hint="eastAsia" w:ascii="Times New Roman" w:eastAsia="仿宋"/>
                <w:szCs w:val="21"/>
                <w:lang w:val="zh-CN"/>
              </w:rPr>
              <w:t>.1</w:t>
            </w:r>
          </w:p>
        </w:tc>
        <w:tc>
          <w:tcPr>
            <w:tcW w:w="493" w:type="pct"/>
            <w:vAlign w:val="center"/>
          </w:tcPr>
          <w:p w14:paraId="7BDF3151">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7950ACFA">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2DA18760">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01B749D6">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4B2211C7">
            <w:pPr>
              <w:widowControl/>
              <w:autoSpaceDE w:val="0"/>
              <w:autoSpaceDN w:val="0"/>
              <w:jc w:val="center"/>
              <w:rPr>
                <w:rFonts w:ascii="Times New Roman" w:eastAsia="仿宋"/>
                <w:szCs w:val="21"/>
              </w:rPr>
            </w:pPr>
          </w:p>
        </w:tc>
        <w:tc>
          <w:tcPr>
            <w:tcW w:w="502" w:type="pct"/>
            <w:vAlign w:val="center"/>
          </w:tcPr>
          <w:p w14:paraId="0B154208">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5ACE18BD">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002365E">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1D1E0F3">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4757F17F">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196C9D5F">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35E75164">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7EC9D60D">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42AEA42D">
            <w:pPr>
              <w:widowControl/>
              <w:jc w:val="center"/>
              <w:rPr>
                <w:rFonts w:ascii="Times New Roman" w:eastAsia="仿宋"/>
                <w:szCs w:val="21"/>
              </w:rPr>
            </w:pPr>
            <w:r>
              <w:rPr>
                <w:rFonts w:hint="eastAsia" w:ascii="Times New Roman" w:eastAsia="仿宋"/>
                <w:szCs w:val="21"/>
              </w:rPr>
              <w:t>1</w:t>
            </w:r>
          </w:p>
        </w:tc>
      </w:tr>
      <w:tr w14:paraId="1308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13922574">
            <w:pPr>
              <w:jc w:val="center"/>
              <w:rPr>
                <w:rFonts w:ascii="Times New Roman" w:eastAsia="仿宋"/>
                <w:szCs w:val="21"/>
              </w:rPr>
            </w:pPr>
            <w:r>
              <w:rPr>
                <w:rFonts w:hint="eastAsia" w:ascii="Times New Roman" w:eastAsia="仿宋"/>
                <w:szCs w:val="21"/>
              </w:rPr>
              <w:t>2</w:t>
            </w:r>
            <w:r>
              <w:rPr>
                <w:rFonts w:ascii="Times New Roman" w:eastAsia="仿宋"/>
                <w:szCs w:val="21"/>
              </w:rPr>
              <w:t>3</w:t>
            </w:r>
          </w:p>
        </w:tc>
        <w:tc>
          <w:tcPr>
            <w:tcW w:w="263" w:type="pct"/>
            <w:vMerge w:val="continue"/>
            <w:vAlign w:val="center"/>
          </w:tcPr>
          <w:p w14:paraId="0FF7E987">
            <w:pPr>
              <w:autoSpaceDE w:val="0"/>
              <w:autoSpaceDN w:val="0"/>
              <w:jc w:val="center"/>
              <w:rPr>
                <w:rFonts w:ascii="Times New Roman" w:eastAsia="仿宋"/>
                <w:szCs w:val="21"/>
              </w:rPr>
            </w:pPr>
          </w:p>
        </w:tc>
        <w:tc>
          <w:tcPr>
            <w:tcW w:w="495" w:type="pct"/>
            <w:vAlign w:val="center"/>
          </w:tcPr>
          <w:p w14:paraId="2FD16C72">
            <w:pPr>
              <w:widowControl/>
              <w:jc w:val="center"/>
              <w:rPr>
                <w:rFonts w:ascii="Times New Roman" w:eastAsia="仿宋"/>
                <w:szCs w:val="21"/>
              </w:rPr>
            </w:pPr>
            <w:r>
              <w:rPr>
                <w:rFonts w:hint="eastAsia" w:ascii="Times New Roman" w:eastAsia="仿宋"/>
                <w:szCs w:val="21"/>
              </w:rPr>
              <w:t>折弯机</w:t>
            </w:r>
          </w:p>
        </w:tc>
        <w:tc>
          <w:tcPr>
            <w:tcW w:w="355" w:type="pct"/>
            <w:vAlign w:val="center"/>
          </w:tcPr>
          <w:p w14:paraId="27544B8E">
            <w:pPr>
              <w:widowControl/>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287" w:type="pct"/>
            <w:vMerge w:val="continue"/>
            <w:vAlign w:val="center"/>
          </w:tcPr>
          <w:p w14:paraId="25A45A95">
            <w:pPr>
              <w:widowControl/>
              <w:autoSpaceDE w:val="0"/>
              <w:autoSpaceDN w:val="0"/>
              <w:jc w:val="center"/>
              <w:rPr>
                <w:rFonts w:ascii="Times New Roman" w:eastAsia="仿宋"/>
                <w:szCs w:val="21"/>
              </w:rPr>
            </w:pPr>
          </w:p>
        </w:tc>
        <w:tc>
          <w:tcPr>
            <w:tcW w:w="343" w:type="pct"/>
            <w:vAlign w:val="center"/>
          </w:tcPr>
          <w:p w14:paraId="2C39A252">
            <w:pPr>
              <w:jc w:val="center"/>
              <w:rPr>
                <w:rFonts w:ascii="Times New Roman" w:eastAsia="仿宋"/>
                <w:szCs w:val="21"/>
              </w:rPr>
            </w:pPr>
            <w:r>
              <w:rPr>
                <w:rFonts w:ascii="Times New Roman" w:eastAsia="仿宋"/>
                <w:szCs w:val="21"/>
              </w:rPr>
              <w:t>81.33</w:t>
            </w:r>
          </w:p>
        </w:tc>
        <w:tc>
          <w:tcPr>
            <w:tcW w:w="296" w:type="pct"/>
            <w:vAlign w:val="center"/>
          </w:tcPr>
          <w:p w14:paraId="7FC41D5A">
            <w:pPr>
              <w:jc w:val="center"/>
              <w:rPr>
                <w:rFonts w:ascii="Times New Roman" w:eastAsia="仿宋"/>
                <w:szCs w:val="21"/>
              </w:rPr>
            </w:pPr>
            <w:r>
              <w:rPr>
                <w:rFonts w:ascii="Times New Roman" w:eastAsia="仿宋"/>
                <w:szCs w:val="21"/>
              </w:rPr>
              <w:t>81.43</w:t>
            </w:r>
          </w:p>
        </w:tc>
        <w:tc>
          <w:tcPr>
            <w:tcW w:w="235" w:type="pct"/>
            <w:vAlign w:val="center"/>
          </w:tcPr>
          <w:p w14:paraId="71FF61CE">
            <w:pPr>
              <w:jc w:val="center"/>
              <w:rPr>
                <w:rFonts w:ascii="Times New Roman" w:eastAsia="仿宋"/>
                <w:szCs w:val="21"/>
              </w:rPr>
            </w:pPr>
            <w:r>
              <w:rPr>
                <w:rFonts w:ascii="Times New Roman" w:eastAsia="仿宋"/>
                <w:szCs w:val="21"/>
              </w:rPr>
              <w:t>0</w:t>
            </w:r>
          </w:p>
        </w:tc>
        <w:tc>
          <w:tcPr>
            <w:tcW w:w="482" w:type="pct"/>
            <w:vAlign w:val="center"/>
          </w:tcPr>
          <w:p w14:paraId="704E638A">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64</w:t>
            </w:r>
            <w:r>
              <w:rPr>
                <w:rFonts w:hint="eastAsia" w:ascii="Times New Roman" w:eastAsia="仿宋"/>
                <w:szCs w:val="21"/>
                <w:lang w:val="zh-CN"/>
              </w:rPr>
              <w:t>.3</w:t>
            </w:r>
          </w:p>
          <w:p w14:paraId="04B5E828">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15</w:t>
            </w:r>
            <w:r>
              <w:rPr>
                <w:rFonts w:hint="eastAsia" w:ascii="Times New Roman" w:eastAsia="仿宋"/>
                <w:szCs w:val="21"/>
                <w:lang w:val="zh-CN"/>
              </w:rPr>
              <w:t>.3</w:t>
            </w:r>
          </w:p>
          <w:p w14:paraId="107D9159">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54</w:t>
            </w:r>
            <w:r>
              <w:rPr>
                <w:rFonts w:hint="eastAsia" w:ascii="Times New Roman" w:eastAsia="仿宋"/>
                <w:szCs w:val="21"/>
                <w:lang w:val="zh-CN"/>
              </w:rPr>
              <w:t>.9</w:t>
            </w:r>
          </w:p>
          <w:p w14:paraId="4297572E">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24</w:t>
            </w:r>
            <w:r>
              <w:rPr>
                <w:rFonts w:hint="eastAsia" w:ascii="Times New Roman" w:eastAsia="仿宋"/>
                <w:szCs w:val="21"/>
                <w:lang w:val="zh-CN"/>
              </w:rPr>
              <w:t>.1</w:t>
            </w:r>
          </w:p>
        </w:tc>
        <w:tc>
          <w:tcPr>
            <w:tcW w:w="493" w:type="pct"/>
            <w:vAlign w:val="center"/>
          </w:tcPr>
          <w:p w14:paraId="29AFBEEE">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3DD1B9F2">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45A94AB9">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14BA69DA">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20353CD2">
            <w:pPr>
              <w:widowControl/>
              <w:autoSpaceDE w:val="0"/>
              <w:autoSpaceDN w:val="0"/>
              <w:jc w:val="center"/>
              <w:rPr>
                <w:rFonts w:ascii="Times New Roman" w:eastAsia="仿宋"/>
                <w:szCs w:val="21"/>
              </w:rPr>
            </w:pPr>
          </w:p>
        </w:tc>
        <w:tc>
          <w:tcPr>
            <w:tcW w:w="502" w:type="pct"/>
            <w:vAlign w:val="center"/>
          </w:tcPr>
          <w:p w14:paraId="17A83139">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76C006CA">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524ECA38">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62784119">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33B5DD33">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6FD35E98">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83BB773">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10B64262">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1C621CCF">
            <w:pPr>
              <w:widowControl/>
              <w:jc w:val="center"/>
              <w:rPr>
                <w:rFonts w:ascii="Times New Roman" w:eastAsia="仿宋"/>
                <w:szCs w:val="21"/>
              </w:rPr>
            </w:pPr>
            <w:r>
              <w:rPr>
                <w:rFonts w:hint="eastAsia" w:ascii="Times New Roman" w:eastAsia="仿宋"/>
                <w:szCs w:val="21"/>
              </w:rPr>
              <w:t>1</w:t>
            </w:r>
          </w:p>
        </w:tc>
      </w:tr>
      <w:tr w14:paraId="1200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4EFAEBA0">
            <w:pPr>
              <w:jc w:val="center"/>
              <w:rPr>
                <w:rFonts w:ascii="Times New Roman" w:eastAsia="仿宋"/>
                <w:szCs w:val="21"/>
              </w:rPr>
            </w:pPr>
            <w:r>
              <w:rPr>
                <w:rFonts w:hint="eastAsia" w:ascii="Times New Roman" w:eastAsia="仿宋"/>
                <w:szCs w:val="21"/>
              </w:rPr>
              <w:t>2</w:t>
            </w:r>
            <w:r>
              <w:rPr>
                <w:rFonts w:ascii="Times New Roman" w:eastAsia="仿宋"/>
                <w:szCs w:val="21"/>
              </w:rPr>
              <w:t>4</w:t>
            </w:r>
          </w:p>
        </w:tc>
        <w:tc>
          <w:tcPr>
            <w:tcW w:w="263" w:type="pct"/>
            <w:vMerge w:val="continue"/>
            <w:vAlign w:val="center"/>
          </w:tcPr>
          <w:p w14:paraId="1AB3CB83">
            <w:pPr>
              <w:autoSpaceDE w:val="0"/>
              <w:autoSpaceDN w:val="0"/>
              <w:jc w:val="center"/>
              <w:rPr>
                <w:rFonts w:ascii="Times New Roman" w:eastAsia="仿宋"/>
                <w:szCs w:val="21"/>
              </w:rPr>
            </w:pPr>
          </w:p>
        </w:tc>
        <w:tc>
          <w:tcPr>
            <w:tcW w:w="495" w:type="pct"/>
            <w:vAlign w:val="center"/>
          </w:tcPr>
          <w:p w14:paraId="6C915B3D">
            <w:pPr>
              <w:widowControl/>
              <w:jc w:val="center"/>
              <w:rPr>
                <w:rFonts w:ascii="Times New Roman" w:eastAsia="仿宋"/>
                <w:szCs w:val="21"/>
              </w:rPr>
            </w:pPr>
            <w:r>
              <w:rPr>
                <w:rFonts w:hint="eastAsia" w:ascii="Times New Roman" w:eastAsia="仿宋"/>
                <w:szCs w:val="21"/>
              </w:rPr>
              <w:t>开槽机</w:t>
            </w:r>
          </w:p>
        </w:tc>
        <w:tc>
          <w:tcPr>
            <w:tcW w:w="355" w:type="pct"/>
            <w:vAlign w:val="center"/>
          </w:tcPr>
          <w:p w14:paraId="3C07B352">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416C810A">
            <w:pPr>
              <w:widowControl/>
              <w:autoSpaceDE w:val="0"/>
              <w:autoSpaceDN w:val="0"/>
              <w:jc w:val="center"/>
              <w:rPr>
                <w:rFonts w:ascii="Times New Roman" w:eastAsia="仿宋"/>
                <w:szCs w:val="21"/>
              </w:rPr>
            </w:pPr>
          </w:p>
        </w:tc>
        <w:tc>
          <w:tcPr>
            <w:tcW w:w="343" w:type="pct"/>
            <w:vAlign w:val="center"/>
          </w:tcPr>
          <w:p w14:paraId="392952E5">
            <w:pPr>
              <w:jc w:val="center"/>
              <w:rPr>
                <w:rFonts w:ascii="Times New Roman" w:eastAsia="仿宋"/>
                <w:szCs w:val="21"/>
              </w:rPr>
            </w:pPr>
            <w:r>
              <w:rPr>
                <w:rFonts w:ascii="Times New Roman" w:eastAsia="仿宋"/>
                <w:szCs w:val="21"/>
              </w:rPr>
              <w:t>93.47</w:t>
            </w:r>
          </w:p>
        </w:tc>
        <w:tc>
          <w:tcPr>
            <w:tcW w:w="296" w:type="pct"/>
            <w:vAlign w:val="center"/>
          </w:tcPr>
          <w:p w14:paraId="240F6B4E">
            <w:pPr>
              <w:jc w:val="center"/>
              <w:rPr>
                <w:rFonts w:ascii="Times New Roman" w:eastAsia="仿宋"/>
                <w:szCs w:val="21"/>
              </w:rPr>
            </w:pPr>
            <w:r>
              <w:rPr>
                <w:rFonts w:ascii="Times New Roman" w:eastAsia="仿宋"/>
                <w:szCs w:val="21"/>
              </w:rPr>
              <w:t>80.74</w:t>
            </w:r>
          </w:p>
        </w:tc>
        <w:tc>
          <w:tcPr>
            <w:tcW w:w="235" w:type="pct"/>
            <w:vAlign w:val="center"/>
          </w:tcPr>
          <w:p w14:paraId="59CBAC6E">
            <w:pPr>
              <w:jc w:val="center"/>
              <w:rPr>
                <w:rFonts w:ascii="Times New Roman" w:eastAsia="仿宋"/>
                <w:szCs w:val="21"/>
              </w:rPr>
            </w:pPr>
            <w:r>
              <w:rPr>
                <w:rFonts w:ascii="Times New Roman" w:eastAsia="仿宋"/>
                <w:szCs w:val="21"/>
              </w:rPr>
              <w:t>0</w:t>
            </w:r>
          </w:p>
        </w:tc>
        <w:tc>
          <w:tcPr>
            <w:tcW w:w="482" w:type="pct"/>
            <w:vAlign w:val="center"/>
          </w:tcPr>
          <w:p w14:paraId="5CDD4487">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44</w:t>
            </w:r>
            <w:r>
              <w:rPr>
                <w:rFonts w:hint="eastAsia" w:ascii="Times New Roman" w:eastAsia="仿宋"/>
                <w:szCs w:val="21"/>
                <w:lang w:val="zh-CN"/>
              </w:rPr>
              <w:t>.3</w:t>
            </w:r>
          </w:p>
          <w:p w14:paraId="1FFF5E6A">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17</w:t>
            </w:r>
            <w:r>
              <w:rPr>
                <w:rFonts w:hint="eastAsia" w:ascii="Times New Roman" w:eastAsia="仿宋"/>
                <w:szCs w:val="21"/>
                <w:lang w:val="zh-CN"/>
              </w:rPr>
              <w:t>.3</w:t>
            </w:r>
          </w:p>
          <w:p w14:paraId="6FD98497">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75</w:t>
            </w:r>
            <w:r>
              <w:rPr>
                <w:rFonts w:hint="eastAsia" w:ascii="Times New Roman" w:eastAsia="仿宋"/>
                <w:szCs w:val="21"/>
                <w:lang w:val="zh-CN"/>
              </w:rPr>
              <w:t>.9</w:t>
            </w:r>
          </w:p>
          <w:p w14:paraId="1EB61ED6">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22</w:t>
            </w:r>
            <w:r>
              <w:rPr>
                <w:rFonts w:hint="eastAsia" w:ascii="Times New Roman" w:eastAsia="仿宋"/>
                <w:szCs w:val="21"/>
                <w:lang w:val="zh-CN"/>
              </w:rPr>
              <w:t>.1</w:t>
            </w:r>
          </w:p>
        </w:tc>
        <w:tc>
          <w:tcPr>
            <w:tcW w:w="493" w:type="pct"/>
            <w:vAlign w:val="center"/>
          </w:tcPr>
          <w:p w14:paraId="16F698A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7AE7ED8A">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2A0509BB">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35940E74">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139AF0FE">
            <w:pPr>
              <w:widowControl/>
              <w:autoSpaceDE w:val="0"/>
              <w:autoSpaceDN w:val="0"/>
              <w:jc w:val="center"/>
              <w:rPr>
                <w:rFonts w:ascii="Times New Roman" w:eastAsia="仿宋"/>
                <w:szCs w:val="21"/>
              </w:rPr>
            </w:pPr>
          </w:p>
        </w:tc>
        <w:tc>
          <w:tcPr>
            <w:tcW w:w="502" w:type="pct"/>
            <w:vAlign w:val="center"/>
          </w:tcPr>
          <w:p w14:paraId="68087B70">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21E05892">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3F7F4ADE">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26C2F4FA">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71291026">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699D9303">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1EED4CEE">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5347E259">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19390566">
            <w:pPr>
              <w:widowControl/>
              <w:jc w:val="center"/>
              <w:rPr>
                <w:rFonts w:ascii="Times New Roman" w:eastAsia="仿宋"/>
                <w:szCs w:val="21"/>
              </w:rPr>
            </w:pPr>
            <w:r>
              <w:rPr>
                <w:rFonts w:hint="eastAsia" w:ascii="Times New Roman" w:eastAsia="仿宋"/>
                <w:szCs w:val="21"/>
              </w:rPr>
              <w:t>1</w:t>
            </w:r>
          </w:p>
        </w:tc>
      </w:tr>
      <w:tr w14:paraId="7800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2B0FC0BC">
            <w:pPr>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263" w:type="pct"/>
            <w:vMerge w:val="continue"/>
            <w:vAlign w:val="center"/>
          </w:tcPr>
          <w:p w14:paraId="333D7CDD">
            <w:pPr>
              <w:autoSpaceDE w:val="0"/>
              <w:autoSpaceDN w:val="0"/>
              <w:jc w:val="center"/>
              <w:rPr>
                <w:rFonts w:ascii="Times New Roman" w:eastAsia="仿宋"/>
                <w:szCs w:val="21"/>
              </w:rPr>
            </w:pPr>
          </w:p>
        </w:tc>
        <w:tc>
          <w:tcPr>
            <w:tcW w:w="495" w:type="pct"/>
            <w:vAlign w:val="center"/>
          </w:tcPr>
          <w:p w14:paraId="7F8DF00D">
            <w:pPr>
              <w:widowControl/>
              <w:jc w:val="center"/>
              <w:rPr>
                <w:rFonts w:ascii="Times New Roman" w:eastAsia="仿宋"/>
                <w:szCs w:val="21"/>
              </w:rPr>
            </w:pPr>
            <w:r>
              <w:rPr>
                <w:rFonts w:hint="eastAsia" w:ascii="Times New Roman" w:eastAsia="仿宋"/>
                <w:szCs w:val="21"/>
              </w:rPr>
              <w:t>冲压机</w:t>
            </w:r>
          </w:p>
        </w:tc>
        <w:tc>
          <w:tcPr>
            <w:tcW w:w="355" w:type="pct"/>
            <w:vAlign w:val="center"/>
          </w:tcPr>
          <w:p w14:paraId="116B2F82">
            <w:pPr>
              <w:widowControl/>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287" w:type="pct"/>
            <w:vMerge w:val="continue"/>
            <w:vAlign w:val="center"/>
          </w:tcPr>
          <w:p w14:paraId="1C6CE82A">
            <w:pPr>
              <w:widowControl/>
              <w:autoSpaceDE w:val="0"/>
              <w:autoSpaceDN w:val="0"/>
              <w:jc w:val="center"/>
              <w:rPr>
                <w:rFonts w:ascii="Times New Roman" w:eastAsia="仿宋"/>
                <w:szCs w:val="21"/>
              </w:rPr>
            </w:pPr>
          </w:p>
        </w:tc>
        <w:tc>
          <w:tcPr>
            <w:tcW w:w="343" w:type="pct"/>
            <w:vAlign w:val="center"/>
          </w:tcPr>
          <w:p w14:paraId="4E2B67A8">
            <w:pPr>
              <w:jc w:val="center"/>
              <w:rPr>
                <w:rFonts w:ascii="Times New Roman" w:eastAsia="仿宋"/>
                <w:szCs w:val="21"/>
              </w:rPr>
            </w:pPr>
            <w:r>
              <w:rPr>
                <w:rFonts w:ascii="Times New Roman" w:eastAsia="仿宋"/>
                <w:szCs w:val="21"/>
              </w:rPr>
              <w:t>120.86</w:t>
            </w:r>
          </w:p>
        </w:tc>
        <w:tc>
          <w:tcPr>
            <w:tcW w:w="296" w:type="pct"/>
            <w:vAlign w:val="center"/>
          </w:tcPr>
          <w:p w14:paraId="767F6CB5">
            <w:pPr>
              <w:jc w:val="center"/>
              <w:rPr>
                <w:rFonts w:ascii="Times New Roman" w:eastAsia="仿宋"/>
                <w:szCs w:val="21"/>
              </w:rPr>
            </w:pPr>
            <w:r>
              <w:rPr>
                <w:rFonts w:ascii="Times New Roman" w:eastAsia="仿宋"/>
                <w:szCs w:val="21"/>
              </w:rPr>
              <w:t>83.16</w:t>
            </w:r>
          </w:p>
        </w:tc>
        <w:tc>
          <w:tcPr>
            <w:tcW w:w="235" w:type="pct"/>
            <w:vAlign w:val="center"/>
          </w:tcPr>
          <w:p w14:paraId="14A201E8">
            <w:pPr>
              <w:jc w:val="center"/>
              <w:rPr>
                <w:rFonts w:ascii="Times New Roman" w:eastAsia="仿宋"/>
                <w:szCs w:val="21"/>
              </w:rPr>
            </w:pPr>
            <w:r>
              <w:rPr>
                <w:rFonts w:ascii="Times New Roman" w:eastAsia="仿宋"/>
                <w:szCs w:val="21"/>
              </w:rPr>
              <w:t>0</w:t>
            </w:r>
          </w:p>
        </w:tc>
        <w:tc>
          <w:tcPr>
            <w:tcW w:w="482" w:type="pct"/>
            <w:vAlign w:val="center"/>
          </w:tcPr>
          <w:p w14:paraId="28905AF0">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68</w:t>
            </w:r>
            <w:r>
              <w:rPr>
                <w:rFonts w:hint="eastAsia" w:ascii="Times New Roman" w:eastAsia="仿宋"/>
                <w:szCs w:val="21"/>
                <w:lang w:val="zh-CN"/>
              </w:rPr>
              <w:t>.3</w:t>
            </w:r>
          </w:p>
          <w:p w14:paraId="1A181CBE">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18</w:t>
            </w:r>
            <w:r>
              <w:rPr>
                <w:rFonts w:hint="eastAsia" w:ascii="Times New Roman" w:eastAsia="仿宋"/>
                <w:szCs w:val="21"/>
                <w:lang w:val="zh-CN"/>
              </w:rPr>
              <w:t>.3</w:t>
            </w:r>
          </w:p>
          <w:p w14:paraId="4C9C521E">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51</w:t>
            </w:r>
            <w:r>
              <w:rPr>
                <w:rFonts w:hint="eastAsia" w:ascii="Times New Roman" w:eastAsia="仿宋"/>
                <w:szCs w:val="21"/>
                <w:lang w:val="zh-CN"/>
              </w:rPr>
              <w:t>.9</w:t>
            </w:r>
          </w:p>
          <w:p w14:paraId="12CC0A56">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24</w:t>
            </w:r>
            <w:r>
              <w:rPr>
                <w:rFonts w:hint="eastAsia" w:ascii="Times New Roman" w:eastAsia="仿宋"/>
                <w:szCs w:val="21"/>
                <w:lang w:val="zh-CN"/>
              </w:rPr>
              <w:t>.1</w:t>
            </w:r>
          </w:p>
        </w:tc>
        <w:tc>
          <w:tcPr>
            <w:tcW w:w="493" w:type="pct"/>
            <w:vAlign w:val="center"/>
          </w:tcPr>
          <w:p w14:paraId="1A54ABBE">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0D9BA513">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15E83C78">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23EDAC43">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557B035F">
            <w:pPr>
              <w:widowControl/>
              <w:autoSpaceDE w:val="0"/>
              <w:autoSpaceDN w:val="0"/>
              <w:jc w:val="center"/>
              <w:rPr>
                <w:rFonts w:ascii="Times New Roman" w:eastAsia="仿宋"/>
                <w:szCs w:val="21"/>
              </w:rPr>
            </w:pPr>
          </w:p>
        </w:tc>
        <w:tc>
          <w:tcPr>
            <w:tcW w:w="502" w:type="pct"/>
            <w:vAlign w:val="center"/>
          </w:tcPr>
          <w:p w14:paraId="6A5A7A10">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4EBB729A">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6480588C">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78EE8D0B">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15C07825">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31330852">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D84F642">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27C3C4A7">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89A0829">
            <w:pPr>
              <w:widowControl/>
              <w:jc w:val="center"/>
              <w:rPr>
                <w:rFonts w:ascii="Times New Roman" w:eastAsia="仿宋"/>
                <w:szCs w:val="21"/>
              </w:rPr>
            </w:pPr>
            <w:r>
              <w:rPr>
                <w:rFonts w:hint="eastAsia" w:ascii="Times New Roman" w:eastAsia="仿宋"/>
                <w:szCs w:val="21"/>
              </w:rPr>
              <w:t>1</w:t>
            </w:r>
          </w:p>
        </w:tc>
      </w:tr>
      <w:tr w14:paraId="4F1F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68477EA0">
            <w:pPr>
              <w:jc w:val="center"/>
              <w:rPr>
                <w:rFonts w:ascii="Times New Roman" w:eastAsia="仿宋"/>
                <w:szCs w:val="21"/>
              </w:rPr>
            </w:pPr>
            <w:r>
              <w:rPr>
                <w:rFonts w:hint="eastAsia" w:ascii="Times New Roman" w:eastAsia="仿宋"/>
                <w:szCs w:val="21"/>
              </w:rPr>
              <w:t>2</w:t>
            </w:r>
            <w:r>
              <w:rPr>
                <w:rFonts w:ascii="Times New Roman" w:eastAsia="仿宋"/>
                <w:szCs w:val="21"/>
              </w:rPr>
              <w:t>6</w:t>
            </w:r>
          </w:p>
        </w:tc>
        <w:tc>
          <w:tcPr>
            <w:tcW w:w="263" w:type="pct"/>
            <w:vMerge w:val="continue"/>
            <w:vAlign w:val="center"/>
          </w:tcPr>
          <w:p w14:paraId="1DE67FB9">
            <w:pPr>
              <w:autoSpaceDE w:val="0"/>
              <w:autoSpaceDN w:val="0"/>
              <w:jc w:val="center"/>
              <w:rPr>
                <w:rFonts w:ascii="Times New Roman" w:eastAsia="仿宋"/>
                <w:szCs w:val="21"/>
              </w:rPr>
            </w:pPr>
          </w:p>
        </w:tc>
        <w:tc>
          <w:tcPr>
            <w:tcW w:w="495" w:type="pct"/>
            <w:vAlign w:val="center"/>
          </w:tcPr>
          <w:p w14:paraId="763AB54C">
            <w:pPr>
              <w:widowControl/>
              <w:jc w:val="center"/>
              <w:rPr>
                <w:rFonts w:ascii="Times New Roman" w:eastAsia="仿宋"/>
                <w:szCs w:val="21"/>
              </w:rPr>
            </w:pPr>
            <w:r>
              <w:rPr>
                <w:rFonts w:hint="eastAsia" w:ascii="Times New Roman" w:eastAsia="仿宋"/>
                <w:szCs w:val="21"/>
              </w:rPr>
              <w:t>氩弧焊机</w:t>
            </w:r>
          </w:p>
        </w:tc>
        <w:tc>
          <w:tcPr>
            <w:tcW w:w="355" w:type="pct"/>
            <w:vAlign w:val="center"/>
          </w:tcPr>
          <w:p w14:paraId="68285ACB">
            <w:pPr>
              <w:widowControl/>
              <w:jc w:val="center"/>
              <w:rPr>
                <w:rFonts w:ascii="Times New Roman" w:eastAsia="仿宋"/>
                <w:szCs w:val="21"/>
              </w:rPr>
            </w:pPr>
            <w:r>
              <w:rPr>
                <w:rFonts w:hint="eastAsia" w:ascii="Times New Roman" w:eastAsia="仿宋"/>
                <w:szCs w:val="21"/>
              </w:rPr>
              <w:t>77</w:t>
            </w:r>
          </w:p>
        </w:tc>
        <w:tc>
          <w:tcPr>
            <w:tcW w:w="287" w:type="pct"/>
            <w:vMerge w:val="continue"/>
            <w:vAlign w:val="center"/>
          </w:tcPr>
          <w:p w14:paraId="23F85A90">
            <w:pPr>
              <w:widowControl/>
              <w:autoSpaceDE w:val="0"/>
              <w:autoSpaceDN w:val="0"/>
              <w:jc w:val="center"/>
              <w:rPr>
                <w:rFonts w:ascii="Times New Roman" w:eastAsia="仿宋"/>
                <w:szCs w:val="21"/>
              </w:rPr>
            </w:pPr>
          </w:p>
        </w:tc>
        <w:tc>
          <w:tcPr>
            <w:tcW w:w="343" w:type="pct"/>
            <w:vAlign w:val="center"/>
          </w:tcPr>
          <w:p w14:paraId="4FCA4819">
            <w:pPr>
              <w:jc w:val="center"/>
              <w:rPr>
                <w:rFonts w:ascii="Times New Roman" w:eastAsia="仿宋"/>
                <w:szCs w:val="21"/>
              </w:rPr>
            </w:pPr>
            <w:r>
              <w:rPr>
                <w:rFonts w:ascii="Times New Roman" w:eastAsia="仿宋"/>
                <w:szCs w:val="21"/>
              </w:rPr>
              <w:t>141.32</w:t>
            </w:r>
          </w:p>
        </w:tc>
        <w:tc>
          <w:tcPr>
            <w:tcW w:w="296" w:type="pct"/>
            <w:vAlign w:val="center"/>
          </w:tcPr>
          <w:p w14:paraId="3E65E6D7">
            <w:pPr>
              <w:jc w:val="center"/>
              <w:rPr>
                <w:rFonts w:ascii="Times New Roman" w:eastAsia="仿宋"/>
                <w:szCs w:val="21"/>
              </w:rPr>
            </w:pPr>
            <w:r>
              <w:rPr>
                <w:rFonts w:ascii="Times New Roman" w:eastAsia="仿宋"/>
                <w:szCs w:val="21"/>
              </w:rPr>
              <w:t>83.16</w:t>
            </w:r>
          </w:p>
        </w:tc>
        <w:tc>
          <w:tcPr>
            <w:tcW w:w="235" w:type="pct"/>
            <w:vAlign w:val="center"/>
          </w:tcPr>
          <w:p w14:paraId="61138FF2">
            <w:pPr>
              <w:jc w:val="center"/>
              <w:rPr>
                <w:rFonts w:ascii="Times New Roman" w:eastAsia="仿宋"/>
                <w:szCs w:val="21"/>
              </w:rPr>
            </w:pPr>
            <w:r>
              <w:rPr>
                <w:rFonts w:ascii="Times New Roman" w:eastAsia="仿宋"/>
                <w:szCs w:val="21"/>
              </w:rPr>
              <w:t>0</w:t>
            </w:r>
          </w:p>
        </w:tc>
        <w:tc>
          <w:tcPr>
            <w:tcW w:w="482" w:type="pct"/>
            <w:vAlign w:val="center"/>
          </w:tcPr>
          <w:p w14:paraId="2A7AB86D">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56</w:t>
            </w:r>
            <w:r>
              <w:rPr>
                <w:rFonts w:hint="eastAsia" w:ascii="Times New Roman" w:eastAsia="仿宋"/>
                <w:szCs w:val="21"/>
                <w:lang w:val="zh-CN"/>
              </w:rPr>
              <w:t>.3</w:t>
            </w:r>
          </w:p>
          <w:p w14:paraId="2F6B0A02">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18</w:t>
            </w:r>
            <w:r>
              <w:rPr>
                <w:rFonts w:hint="eastAsia" w:ascii="Times New Roman" w:eastAsia="仿宋"/>
                <w:szCs w:val="21"/>
                <w:lang w:val="zh-CN"/>
              </w:rPr>
              <w:t>.3</w:t>
            </w:r>
          </w:p>
          <w:p w14:paraId="5572C5EF">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62</w:t>
            </w:r>
            <w:r>
              <w:rPr>
                <w:rFonts w:hint="eastAsia" w:ascii="Times New Roman" w:eastAsia="仿宋"/>
                <w:szCs w:val="21"/>
                <w:lang w:val="zh-CN"/>
              </w:rPr>
              <w:t>.9</w:t>
            </w:r>
          </w:p>
          <w:p w14:paraId="076AEBEF">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23</w:t>
            </w:r>
            <w:r>
              <w:rPr>
                <w:rFonts w:hint="eastAsia" w:ascii="Times New Roman" w:eastAsia="仿宋"/>
                <w:szCs w:val="21"/>
                <w:lang w:val="zh-CN"/>
              </w:rPr>
              <w:t>.1</w:t>
            </w:r>
          </w:p>
        </w:tc>
        <w:tc>
          <w:tcPr>
            <w:tcW w:w="493" w:type="pct"/>
            <w:vAlign w:val="center"/>
          </w:tcPr>
          <w:p w14:paraId="7888A345">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05587250">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49987013">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016C8DEF">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761EFC83">
            <w:pPr>
              <w:widowControl/>
              <w:autoSpaceDE w:val="0"/>
              <w:autoSpaceDN w:val="0"/>
              <w:jc w:val="center"/>
              <w:rPr>
                <w:rFonts w:ascii="Times New Roman" w:eastAsia="仿宋"/>
                <w:szCs w:val="21"/>
              </w:rPr>
            </w:pPr>
          </w:p>
        </w:tc>
        <w:tc>
          <w:tcPr>
            <w:tcW w:w="502" w:type="pct"/>
            <w:vAlign w:val="center"/>
          </w:tcPr>
          <w:p w14:paraId="25A5CF2D">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5E8E44C7">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2970CD4B">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235FCC57">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45DAE2DC">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5F31837D">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139B0AEE">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18D5A412">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61F8D77A">
            <w:pPr>
              <w:widowControl/>
              <w:jc w:val="center"/>
              <w:rPr>
                <w:rFonts w:ascii="Times New Roman" w:eastAsia="仿宋"/>
                <w:szCs w:val="21"/>
              </w:rPr>
            </w:pPr>
            <w:r>
              <w:rPr>
                <w:rFonts w:hint="eastAsia" w:ascii="Times New Roman" w:eastAsia="仿宋"/>
                <w:szCs w:val="21"/>
              </w:rPr>
              <w:t>1</w:t>
            </w:r>
          </w:p>
        </w:tc>
      </w:tr>
      <w:tr w14:paraId="0EED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vAlign w:val="center"/>
          </w:tcPr>
          <w:p w14:paraId="05A5A2F0">
            <w:pPr>
              <w:jc w:val="center"/>
              <w:rPr>
                <w:rFonts w:ascii="Times New Roman" w:eastAsia="仿宋"/>
                <w:szCs w:val="21"/>
              </w:rPr>
            </w:pPr>
            <w:r>
              <w:rPr>
                <w:rFonts w:hint="eastAsia" w:ascii="Times New Roman" w:eastAsia="仿宋"/>
                <w:szCs w:val="21"/>
              </w:rPr>
              <w:t>2</w:t>
            </w:r>
            <w:r>
              <w:rPr>
                <w:rFonts w:ascii="Times New Roman" w:eastAsia="仿宋"/>
                <w:szCs w:val="21"/>
              </w:rPr>
              <w:t>7</w:t>
            </w:r>
          </w:p>
        </w:tc>
        <w:tc>
          <w:tcPr>
            <w:tcW w:w="263" w:type="pct"/>
            <w:vMerge w:val="continue"/>
            <w:vAlign w:val="center"/>
          </w:tcPr>
          <w:p w14:paraId="766664D2">
            <w:pPr>
              <w:autoSpaceDE w:val="0"/>
              <w:autoSpaceDN w:val="0"/>
              <w:jc w:val="center"/>
              <w:rPr>
                <w:rFonts w:ascii="Times New Roman" w:eastAsia="仿宋"/>
                <w:szCs w:val="21"/>
              </w:rPr>
            </w:pPr>
          </w:p>
        </w:tc>
        <w:tc>
          <w:tcPr>
            <w:tcW w:w="495" w:type="pct"/>
            <w:vAlign w:val="center"/>
          </w:tcPr>
          <w:p w14:paraId="36AC829F">
            <w:pPr>
              <w:widowControl/>
              <w:jc w:val="center"/>
              <w:rPr>
                <w:rFonts w:ascii="Times New Roman" w:eastAsia="仿宋"/>
                <w:szCs w:val="21"/>
              </w:rPr>
            </w:pPr>
            <w:r>
              <w:rPr>
                <w:rFonts w:hint="eastAsia" w:ascii="Times New Roman" w:eastAsia="仿宋"/>
                <w:szCs w:val="21"/>
              </w:rPr>
              <w:t>激光焊机</w:t>
            </w:r>
          </w:p>
        </w:tc>
        <w:tc>
          <w:tcPr>
            <w:tcW w:w="355" w:type="pct"/>
            <w:vAlign w:val="center"/>
          </w:tcPr>
          <w:p w14:paraId="4918002C">
            <w:pPr>
              <w:widowControl/>
              <w:jc w:val="center"/>
              <w:rPr>
                <w:rFonts w:ascii="Times New Roman" w:eastAsia="仿宋"/>
                <w:szCs w:val="21"/>
              </w:rPr>
            </w:pPr>
            <w:r>
              <w:rPr>
                <w:rFonts w:hint="eastAsia" w:ascii="Times New Roman" w:eastAsia="仿宋"/>
                <w:szCs w:val="21"/>
              </w:rPr>
              <w:t>7</w:t>
            </w:r>
            <w:r>
              <w:rPr>
                <w:rFonts w:ascii="Times New Roman" w:eastAsia="仿宋"/>
                <w:szCs w:val="21"/>
              </w:rPr>
              <w:t>3</w:t>
            </w:r>
          </w:p>
        </w:tc>
        <w:tc>
          <w:tcPr>
            <w:tcW w:w="287" w:type="pct"/>
            <w:vMerge w:val="continue"/>
            <w:vAlign w:val="center"/>
          </w:tcPr>
          <w:p w14:paraId="28063745">
            <w:pPr>
              <w:widowControl/>
              <w:autoSpaceDE w:val="0"/>
              <w:autoSpaceDN w:val="0"/>
              <w:jc w:val="center"/>
              <w:rPr>
                <w:rFonts w:ascii="Times New Roman" w:eastAsia="仿宋"/>
                <w:szCs w:val="21"/>
              </w:rPr>
            </w:pPr>
          </w:p>
        </w:tc>
        <w:tc>
          <w:tcPr>
            <w:tcW w:w="343" w:type="pct"/>
            <w:vAlign w:val="center"/>
          </w:tcPr>
          <w:p w14:paraId="5025C324">
            <w:pPr>
              <w:jc w:val="center"/>
              <w:rPr>
                <w:rFonts w:ascii="Times New Roman" w:eastAsia="仿宋"/>
                <w:szCs w:val="21"/>
              </w:rPr>
            </w:pPr>
            <w:r>
              <w:rPr>
                <w:rFonts w:ascii="Times New Roman" w:eastAsia="仿宋"/>
                <w:szCs w:val="21"/>
              </w:rPr>
              <w:t>93.47</w:t>
            </w:r>
          </w:p>
        </w:tc>
        <w:tc>
          <w:tcPr>
            <w:tcW w:w="296" w:type="pct"/>
            <w:vAlign w:val="center"/>
          </w:tcPr>
          <w:p w14:paraId="56F3B006">
            <w:pPr>
              <w:jc w:val="center"/>
              <w:rPr>
                <w:rFonts w:ascii="Times New Roman" w:eastAsia="仿宋"/>
                <w:szCs w:val="21"/>
              </w:rPr>
            </w:pPr>
            <w:r>
              <w:rPr>
                <w:rFonts w:ascii="Times New Roman" w:eastAsia="仿宋"/>
                <w:szCs w:val="21"/>
              </w:rPr>
              <w:t>80.74</w:t>
            </w:r>
          </w:p>
        </w:tc>
        <w:tc>
          <w:tcPr>
            <w:tcW w:w="235" w:type="pct"/>
            <w:vAlign w:val="center"/>
          </w:tcPr>
          <w:p w14:paraId="65D97495">
            <w:pPr>
              <w:jc w:val="center"/>
              <w:rPr>
                <w:rFonts w:ascii="Times New Roman" w:eastAsia="仿宋"/>
                <w:szCs w:val="21"/>
              </w:rPr>
            </w:pPr>
            <w:r>
              <w:rPr>
                <w:rFonts w:ascii="Times New Roman" w:eastAsia="仿宋"/>
                <w:szCs w:val="21"/>
              </w:rPr>
              <w:t>0</w:t>
            </w:r>
          </w:p>
        </w:tc>
        <w:tc>
          <w:tcPr>
            <w:tcW w:w="482" w:type="pct"/>
            <w:vAlign w:val="center"/>
          </w:tcPr>
          <w:p w14:paraId="7C48C37E">
            <w:pPr>
              <w:widowControl/>
              <w:autoSpaceDE w:val="0"/>
              <w:autoSpaceDN w:val="0"/>
              <w:rPr>
                <w:rFonts w:ascii="Times New Roman" w:eastAsia="仿宋"/>
                <w:szCs w:val="21"/>
                <w:lang w:val="zh-CN"/>
              </w:rPr>
            </w:pPr>
            <w:r>
              <w:rPr>
                <w:rFonts w:hint="eastAsia" w:ascii="Times New Roman" w:eastAsia="仿宋"/>
                <w:szCs w:val="21"/>
                <w:lang w:val="zh-CN"/>
              </w:rPr>
              <w:t>东：</w:t>
            </w:r>
            <w:r>
              <w:rPr>
                <w:rFonts w:hint="eastAsia" w:ascii="Times New Roman" w:eastAsia="仿宋"/>
                <w:szCs w:val="21"/>
              </w:rPr>
              <w:t>25</w:t>
            </w:r>
            <w:r>
              <w:rPr>
                <w:rFonts w:hint="eastAsia" w:ascii="Times New Roman" w:eastAsia="仿宋"/>
                <w:szCs w:val="21"/>
                <w:lang w:val="zh-CN"/>
              </w:rPr>
              <w:t>.3</w:t>
            </w:r>
          </w:p>
          <w:p w14:paraId="373C8504">
            <w:pPr>
              <w:widowControl/>
              <w:autoSpaceDE w:val="0"/>
              <w:autoSpaceDN w:val="0"/>
              <w:rPr>
                <w:rFonts w:ascii="Times New Roman" w:eastAsia="仿宋"/>
                <w:szCs w:val="21"/>
                <w:lang w:val="zh-CN"/>
              </w:rPr>
            </w:pPr>
            <w:r>
              <w:rPr>
                <w:rFonts w:hint="eastAsia" w:ascii="Times New Roman" w:eastAsia="仿宋"/>
                <w:szCs w:val="21"/>
                <w:lang w:val="zh-CN"/>
              </w:rPr>
              <w:t>南：</w:t>
            </w:r>
            <w:r>
              <w:rPr>
                <w:rFonts w:hint="eastAsia" w:ascii="Times New Roman" w:eastAsia="仿宋"/>
                <w:szCs w:val="21"/>
              </w:rPr>
              <w:t>55</w:t>
            </w:r>
            <w:r>
              <w:rPr>
                <w:rFonts w:hint="eastAsia" w:ascii="Times New Roman" w:eastAsia="仿宋"/>
                <w:szCs w:val="21"/>
                <w:lang w:val="zh-CN"/>
              </w:rPr>
              <w:t>.3</w:t>
            </w:r>
          </w:p>
          <w:p w14:paraId="28E504DA">
            <w:pPr>
              <w:widowControl/>
              <w:autoSpaceDE w:val="0"/>
              <w:autoSpaceDN w:val="0"/>
              <w:rPr>
                <w:rFonts w:ascii="Times New Roman" w:eastAsia="仿宋"/>
                <w:szCs w:val="21"/>
                <w:lang w:val="zh-CN"/>
              </w:rPr>
            </w:pPr>
            <w:r>
              <w:rPr>
                <w:rFonts w:hint="eastAsia" w:ascii="Times New Roman" w:eastAsia="仿宋"/>
                <w:szCs w:val="21"/>
                <w:lang w:val="zh-CN"/>
              </w:rPr>
              <w:t>西：</w:t>
            </w:r>
            <w:r>
              <w:rPr>
                <w:rFonts w:hint="eastAsia" w:ascii="Times New Roman" w:eastAsia="仿宋"/>
                <w:szCs w:val="21"/>
              </w:rPr>
              <w:t>15</w:t>
            </w:r>
            <w:r>
              <w:rPr>
                <w:rFonts w:hint="eastAsia" w:ascii="Times New Roman" w:eastAsia="仿宋"/>
                <w:szCs w:val="21"/>
                <w:lang w:val="zh-CN"/>
              </w:rPr>
              <w:t>.9</w:t>
            </w:r>
          </w:p>
          <w:p w14:paraId="102FE175">
            <w:pPr>
              <w:widowControl/>
              <w:autoSpaceDE w:val="0"/>
              <w:autoSpaceDN w:val="0"/>
              <w:rPr>
                <w:rFonts w:ascii="Times New Roman" w:eastAsia="仿宋"/>
                <w:szCs w:val="21"/>
                <w:lang w:val="zh-CN"/>
              </w:rPr>
            </w:pPr>
            <w:r>
              <w:rPr>
                <w:rFonts w:hint="eastAsia" w:ascii="Times New Roman" w:eastAsia="仿宋"/>
                <w:szCs w:val="21"/>
                <w:lang w:val="zh-CN"/>
              </w:rPr>
              <w:t>北：</w:t>
            </w:r>
            <w:r>
              <w:rPr>
                <w:rFonts w:hint="eastAsia" w:ascii="Times New Roman" w:eastAsia="仿宋"/>
                <w:szCs w:val="21"/>
              </w:rPr>
              <w:t>24</w:t>
            </w:r>
            <w:r>
              <w:rPr>
                <w:rFonts w:hint="eastAsia" w:ascii="Times New Roman" w:eastAsia="仿宋"/>
                <w:szCs w:val="21"/>
                <w:lang w:val="zh-CN"/>
              </w:rPr>
              <w:t>.1</w:t>
            </w:r>
          </w:p>
        </w:tc>
        <w:tc>
          <w:tcPr>
            <w:tcW w:w="493" w:type="pct"/>
            <w:vAlign w:val="center"/>
          </w:tcPr>
          <w:p w14:paraId="79C2541D">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11A763A3">
            <w:pPr>
              <w:widowControl/>
              <w:autoSpaceDE w:val="0"/>
              <w:autoSpaceDN w:val="0"/>
              <w:rPr>
                <w:rFonts w:ascii="Times New Roman" w:eastAsia="仿宋"/>
                <w:szCs w:val="21"/>
                <w:lang w:val="zh-CN"/>
              </w:rPr>
            </w:pPr>
            <w:r>
              <w:rPr>
                <w:rFonts w:hint="eastAsia" w:ascii="Times New Roman" w:eastAsia="仿宋"/>
                <w:szCs w:val="21"/>
              </w:rPr>
              <w:t>南：66</w:t>
            </w:r>
            <w:r>
              <w:rPr>
                <w:rFonts w:hint="eastAsia" w:ascii="Times New Roman" w:eastAsia="仿宋"/>
                <w:szCs w:val="21"/>
                <w:lang w:val="zh-CN"/>
              </w:rPr>
              <w:t>.</w:t>
            </w:r>
            <w:r>
              <w:rPr>
                <w:rFonts w:hint="eastAsia" w:ascii="Times New Roman" w:eastAsia="仿宋"/>
                <w:szCs w:val="21"/>
              </w:rPr>
              <w:t>4</w:t>
            </w:r>
          </w:p>
          <w:p w14:paraId="267BE145">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w:t>
            </w:r>
            <w:r>
              <w:rPr>
                <w:rFonts w:hint="eastAsia" w:ascii="Times New Roman" w:eastAsia="仿宋"/>
                <w:szCs w:val="21"/>
              </w:rPr>
              <w:t>66</w:t>
            </w:r>
            <w:r>
              <w:rPr>
                <w:rFonts w:hint="eastAsia" w:ascii="Times New Roman" w:eastAsia="仿宋"/>
                <w:szCs w:val="21"/>
                <w:lang w:val="zh-CN"/>
              </w:rPr>
              <w:t>.</w:t>
            </w:r>
            <w:r>
              <w:rPr>
                <w:rFonts w:hint="eastAsia" w:ascii="Times New Roman" w:eastAsia="仿宋"/>
                <w:szCs w:val="21"/>
              </w:rPr>
              <w:t>4</w:t>
            </w:r>
          </w:p>
          <w:p w14:paraId="0BD318E8">
            <w:pPr>
              <w:widowControl/>
              <w:autoSpaceDE w:val="0"/>
              <w:autoSpaceDN w:val="0"/>
              <w:rPr>
                <w:rFonts w:ascii="Times New Roman" w:eastAsia="仿宋"/>
                <w:szCs w:val="21"/>
              </w:rPr>
            </w:pPr>
            <w:r>
              <w:rPr>
                <w:rFonts w:hint="eastAsia" w:ascii="Times New Roman" w:eastAsia="仿宋"/>
                <w:szCs w:val="21"/>
              </w:rPr>
              <w:t>北：66</w:t>
            </w:r>
            <w:r>
              <w:rPr>
                <w:rFonts w:hint="eastAsia" w:ascii="Times New Roman" w:eastAsia="仿宋"/>
                <w:szCs w:val="21"/>
                <w:lang w:val="zh-CN"/>
              </w:rPr>
              <w:t>.</w:t>
            </w:r>
            <w:r>
              <w:rPr>
                <w:rFonts w:hint="eastAsia" w:ascii="Times New Roman" w:eastAsia="仿宋"/>
                <w:szCs w:val="21"/>
              </w:rPr>
              <w:t>4</w:t>
            </w:r>
          </w:p>
        </w:tc>
        <w:tc>
          <w:tcPr>
            <w:tcW w:w="218" w:type="pct"/>
            <w:vMerge w:val="continue"/>
            <w:vAlign w:val="center"/>
          </w:tcPr>
          <w:p w14:paraId="165F3E46">
            <w:pPr>
              <w:widowControl/>
              <w:autoSpaceDE w:val="0"/>
              <w:autoSpaceDN w:val="0"/>
              <w:jc w:val="center"/>
              <w:rPr>
                <w:rFonts w:ascii="Times New Roman" w:eastAsia="仿宋"/>
                <w:szCs w:val="21"/>
              </w:rPr>
            </w:pPr>
          </w:p>
        </w:tc>
        <w:tc>
          <w:tcPr>
            <w:tcW w:w="502" w:type="pct"/>
            <w:vAlign w:val="center"/>
          </w:tcPr>
          <w:p w14:paraId="04E2F474">
            <w:pPr>
              <w:widowControl/>
              <w:autoSpaceDE w:val="0"/>
              <w:autoSpaceDN w:val="0"/>
              <w:jc w:val="left"/>
              <w:rPr>
                <w:rFonts w:ascii="Times New Roman" w:eastAsia="仿宋"/>
                <w:szCs w:val="21"/>
              </w:rPr>
            </w:pPr>
            <w:r>
              <w:rPr>
                <w:rFonts w:hint="eastAsia" w:ascii="Times New Roman" w:eastAsia="仿宋"/>
                <w:szCs w:val="21"/>
              </w:rPr>
              <w:t>东：</w:t>
            </w:r>
            <w:r>
              <w:rPr>
                <w:rFonts w:ascii="Times New Roman" w:eastAsia="仿宋"/>
                <w:szCs w:val="21"/>
              </w:rPr>
              <w:t>41.0</w:t>
            </w:r>
          </w:p>
          <w:p w14:paraId="108C4010">
            <w:pPr>
              <w:widowControl/>
              <w:autoSpaceDE w:val="0"/>
              <w:autoSpaceDN w:val="0"/>
              <w:jc w:val="left"/>
              <w:rPr>
                <w:rFonts w:ascii="Times New Roman" w:eastAsia="仿宋"/>
                <w:szCs w:val="21"/>
              </w:rPr>
            </w:pPr>
            <w:r>
              <w:rPr>
                <w:rFonts w:hint="eastAsia" w:ascii="Times New Roman" w:eastAsia="仿宋"/>
                <w:szCs w:val="21"/>
              </w:rPr>
              <w:t>南：</w:t>
            </w:r>
            <w:r>
              <w:rPr>
                <w:rFonts w:ascii="Times New Roman" w:eastAsia="仿宋"/>
                <w:szCs w:val="21"/>
              </w:rPr>
              <w:t>41.0</w:t>
            </w:r>
          </w:p>
          <w:p w14:paraId="006C4FBA">
            <w:pPr>
              <w:widowControl/>
              <w:autoSpaceDE w:val="0"/>
              <w:autoSpaceDN w:val="0"/>
              <w:jc w:val="left"/>
              <w:rPr>
                <w:rFonts w:ascii="Times New Roman" w:eastAsia="仿宋"/>
                <w:szCs w:val="21"/>
              </w:rPr>
            </w:pPr>
            <w:r>
              <w:rPr>
                <w:rFonts w:hint="eastAsia" w:ascii="Times New Roman" w:eastAsia="仿宋"/>
                <w:szCs w:val="21"/>
              </w:rPr>
              <w:t>西：</w:t>
            </w:r>
            <w:r>
              <w:rPr>
                <w:rFonts w:ascii="Times New Roman" w:eastAsia="仿宋"/>
                <w:szCs w:val="21"/>
              </w:rPr>
              <w:t>41.0</w:t>
            </w:r>
          </w:p>
          <w:p w14:paraId="2C836AA4">
            <w:pPr>
              <w:widowControl/>
              <w:autoSpaceDE w:val="0"/>
              <w:autoSpaceDN w:val="0"/>
              <w:rPr>
                <w:rFonts w:ascii="Times New Roman" w:eastAsia="仿宋"/>
                <w:szCs w:val="21"/>
              </w:rPr>
            </w:pPr>
            <w:r>
              <w:rPr>
                <w:rFonts w:hint="eastAsia" w:ascii="Times New Roman" w:eastAsia="仿宋"/>
                <w:szCs w:val="21"/>
              </w:rPr>
              <w:t>北：</w:t>
            </w:r>
            <w:r>
              <w:rPr>
                <w:rFonts w:ascii="Times New Roman" w:eastAsia="仿宋"/>
                <w:szCs w:val="21"/>
              </w:rPr>
              <w:t>41.0</w:t>
            </w:r>
          </w:p>
        </w:tc>
        <w:tc>
          <w:tcPr>
            <w:tcW w:w="534" w:type="pct"/>
            <w:vAlign w:val="center"/>
          </w:tcPr>
          <w:p w14:paraId="254AD07A">
            <w:pPr>
              <w:widowControl/>
              <w:autoSpaceDE w:val="0"/>
              <w:autoSpaceDN w:val="0"/>
              <w:rPr>
                <w:rFonts w:ascii="Times New Roman" w:eastAsia="仿宋"/>
                <w:szCs w:val="21"/>
                <w:lang w:val="zh-CN"/>
              </w:rPr>
            </w:pPr>
            <w:r>
              <w:rPr>
                <w:rFonts w:hint="eastAsia" w:ascii="Times New Roman" w:eastAsia="仿宋"/>
                <w:szCs w:val="21"/>
              </w:rPr>
              <w:t>东</w:t>
            </w:r>
            <w:r>
              <w:rPr>
                <w:rFonts w:hint="eastAsia" w:ascii="Times New Roman" w:eastAsia="仿宋"/>
                <w:szCs w:val="21"/>
                <w:lang w:val="zh-CN"/>
              </w:rPr>
              <w:t>：12.51</w:t>
            </w:r>
          </w:p>
          <w:p w14:paraId="28B2B708">
            <w:pPr>
              <w:widowControl/>
              <w:autoSpaceDE w:val="0"/>
              <w:autoSpaceDN w:val="0"/>
              <w:rPr>
                <w:rFonts w:ascii="Times New Roman" w:eastAsia="仿宋"/>
                <w:szCs w:val="21"/>
                <w:lang w:val="zh-CN"/>
              </w:rPr>
            </w:pPr>
            <w:r>
              <w:rPr>
                <w:rFonts w:hint="eastAsia" w:ascii="Times New Roman" w:eastAsia="仿宋"/>
                <w:szCs w:val="21"/>
              </w:rPr>
              <w:t>南</w:t>
            </w:r>
            <w:r>
              <w:rPr>
                <w:rFonts w:hint="eastAsia" w:ascii="Times New Roman" w:eastAsia="仿宋"/>
                <w:szCs w:val="21"/>
                <w:lang w:val="zh-CN"/>
              </w:rPr>
              <w:t>：12.50</w:t>
            </w:r>
          </w:p>
          <w:p w14:paraId="7F149FD0">
            <w:pPr>
              <w:widowControl/>
              <w:autoSpaceDE w:val="0"/>
              <w:autoSpaceDN w:val="0"/>
              <w:rPr>
                <w:rFonts w:ascii="Times New Roman" w:eastAsia="仿宋"/>
                <w:szCs w:val="21"/>
                <w:lang w:val="zh-CN"/>
              </w:rPr>
            </w:pPr>
            <w:r>
              <w:rPr>
                <w:rFonts w:hint="eastAsia" w:ascii="Times New Roman" w:eastAsia="仿宋"/>
                <w:szCs w:val="21"/>
              </w:rPr>
              <w:t>西</w:t>
            </w:r>
            <w:r>
              <w:rPr>
                <w:rFonts w:hint="eastAsia" w:ascii="Times New Roman" w:eastAsia="仿宋"/>
                <w:szCs w:val="21"/>
                <w:lang w:val="zh-CN"/>
              </w:rPr>
              <w:t>：12.46</w:t>
            </w:r>
          </w:p>
          <w:p w14:paraId="7EFFCE18">
            <w:pPr>
              <w:widowControl/>
              <w:jc w:val="left"/>
              <w:rPr>
                <w:rFonts w:ascii="Times New Roman" w:eastAsia="仿宋"/>
                <w:szCs w:val="21"/>
              </w:rPr>
            </w:pPr>
            <w:r>
              <w:rPr>
                <w:rFonts w:hint="eastAsia" w:ascii="Times New Roman" w:eastAsia="仿宋"/>
                <w:szCs w:val="21"/>
              </w:rPr>
              <w:t>北</w:t>
            </w:r>
            <w:r>
              <w:rPr>
                <w:rFonts w:hint="eastAsia" w:ascii="Times New Roman" w:eastAsia="仿宋"/>
                <w:szCs w:val="21"/>
                <w:lang w:val="zh-CN"/>
              </w:rPr>
              <w:t>：12.50</w:t>
            </w:r>
          </w:p>
        </w:tc>
        <w:tc>
          <w:tcPr>
            <w:tcW w:w="318" w:type="pct"/>
            <w:vAlign w:val="center"/>
          </w:tcPr>
          <w:p w14:paraId="1BBFD5BA">
            <w:pPr>
              <w:widowControl/>
              <w:jc w:val="center"/>
              <w:rPr>
                <w:rFonts w:ascii="Times New Roman" w:eastAsia="仿宋"/>
                <w:szCs w:val="21"/>
              </w:rPr>
            </w:pPr>
            <w:r>
              <w:rPr>
                <w:rFonts w:hint="eastAsia" w:ascii="Times New Roman" w:eastAsia="仿宋"/>
                <w:szCs w:val="21"/>
              </w:rPr>
              <w:t>1</w:t>
            </w:r>
          </w:p>
        </w:tc>
      </w:tr>
    </w:tbl>
    <w:p w14:paraId="7F890C44">
      <w:pPr>
        <w:tabs>
          <w:tab w:val="left" w:pos="2479"/>
          <w:tab w:val="center" w:pos="7038"/>
        </w:tabs>
        <w:spacing w:line="240" w:lineRule="atLeast"/>
        <w:ind w:firstLine="482" w:firstLineChars="200"/>
        <w:jc w:val="left"/>
        <w:rPr>
          <w:rFonts w:ascii="Times New Roman" w:eastAsia="仿宋"/>
          <w:bCs/>
          <w:szCs w:val="21"/>
        </w:rPr>
      </w:pPr>
      <w:r>
        <w:rPr>
          <w:rFonts w:hint="eastAsia" w:ascii="Times New Roman" w:eastAsia="仿宋"/>
          <w:b/>
          <w:szCs w:val="21"/>
        </w:rPr>
        <w:t>注：表中坐标以厂界中心（119.43546，31.72717）为坐标原点，正东向为X轴正方向，正北向为Y轴正方向</w:t>
      </w:r>
      <w:r>
        <w:rPr>
          <w:rFonts w:hint="eastAsia" w:ascii="Times New Roman" w:eastAsia="仿宋"/>
          <w:bCs/>
          <w:szCs w:val="21"/>
        </w:rPr>
        <w:t>。</w:t>
      </w:r>
    </w:p>
    <w:p w14:paraId="463BAA74">
      <w:pPr>
        <w:spacing w:after="120"/>
        <w:rPr>
          <w:rFonts w:ascii="Times New Roman" w:eastAsia="仿宋"/>
        </w:rPr>
      </w:pPr>
    </w:p>
    <w:p w14:paraId="1F2092C9">
      <w:pPr>
        <w:pStyle w:val="2"/>
        <w:rPr>
          <w:rFonts w:eastAsia="仿宋"/>
        </w:rPr>
      </w:pPr>
    </w:p>
    <w:p w14:paraId="7CFE82D4">
      <w:pPr>
        <w:pStyle w:val="2"/>
        <w:rPr>
          <w:rFonts w:eastAsia="仿宋"/>
        </w:rPr>
        <w:sectPr>
          <w:pgSz w:w="16838" w:h="11906" w:orient="landscape"/>
          <w:pgMar w:top="1797" w:right="1440" w:bottom="1797" w:left="1440" w:header="539" w:footer="992" w:gutter="0"/>
          <w:cols w:space="720" w:num="1"/>
          <w:docGrid w:linePitch="286" w:charSpace="0"/>
        </w:sectPr>
      </w:pPr>
    </w:p>
    <w:p w14:paraId="74480570">
      <w:pPr>
        <w:spacing w:line="500" w:lineRule="exact"/>
        <w:ind w:firstLine="560" w:firstLineChars="200"/>
        <w:rPr>
          <w:rFonts w:ascii="Times New Roman" w:eastAsia="仿宋"/>
          <w:sz w:val="28"/>
          <w:szCs w:val="28"/>
        </w:rPr>
      </w:pPr>
      <w:r>
        <w:rPr>
          <w:rFonts w:ascii="Times New Roman" w:eastAsia="仿宋"/>
          <w:sz w:val="28"/>
          <w:szCs w:val="28"/>
        </w:rPr>
        <w:t>②户外声传播衰减计算</w:t>
      </w:r>
    </w:p>
    <w:p w14:paraId="126FE77C">
      <w:pPr>
        <w:spacing w:line="500" w:lineRule="exact"/>
        <w:ind w:firstLine="560" w:firstLineChars="200"/>
        <w:rPr>
          <w:rFonts w:ascii="Times New Roman" w:eastAsia="仿宋"/>
          <w:sz w:val="28"/>
          <w:szCs w:val="28"/>
        </w:rPr>
      </w:pPr>
      <w:r>
        <w:rPr>
          <w:rFonts w:ascii="Times New Roman" w:eastAsia="仿宋"/>
          <w:sz w:val="28"/>
          <w:szCs w:val="28"/>
        </w:rPr>
        <w:t>根据声源功率级或靠近声源某一参考位置出的已知声级、户外声传播衰减，计算距离声源较远处的预测点的声级。在已知距离无指向性点声源参考点r</w:t>
      </w:r>
      <w:r>
        <w:rPr>
          <w:rFonts w:ascii="Times New Roman" w:eastAsia="仿宋"/>
          <w:sz w:val="28"/>
          <w:szCs w:val="28"/>
          <w:vertAlign w:val="subscript"/>
        </w:rPr>
        <w:t>0</w:t>
      </w:r>
      <w:r>
        <w:rPr>
          <w:rFonts w:ascii="Times New Roman" w:eastAsia="仿宋"/>
          <w:sz w:val="28"/>
          <w:szCs w:val="28"/>
        </w:rPr>
        <w:t>处的倍频带声压级和计算出参考点（r</w:t>
      </w:r>
      <w:r>
        <w:rPr>
          <w:rFonts w:ascii="Times New Roman" w:eastAsia="仿宋"/>
          <w:sz w:val="28"/>
          <w:szCs w:val="28"/>
          <w:vertAlign w:val="subscript"/>
        </w:rPr>
        <w:t>0</w:t>
      </w:r>
      <w:r>
        <w:rPr>
          <w:rFonts w:ascii="Times New Roman" w:eastAsia="仿宋"/>
          <w:sz w:val="28"/>
          <w:szCs w:val="28"/>
        </w:rPr>
        <w:t>）和预测点（r）处之间的户外声传播衰减后，预测点8个倍频带声压级公式：</w:t>
      </w:r>
    </w:p>
    <w:p w14:paraId="39B4733F">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Lp</w:t>
      </w:r>
      <w:r>
        <w:rPr>
          <w:rFonts w:ascii="Times New Roman" w:eastAsia="仿宋"/>
          <w:sz w:val="28"/>
          <w:szCs w:val="28"/>
        </w:rPr>
        <w:t>(</w:t>
      </w:r>
      <w:r>
        <w:rPr>
          <w:rFonts w:ascii="Times New Roman" w:eastAsia="仿宋"/>
          <w:i/>
          <w:iCs/>
          <w:sz w:val="28"/>
          <w:szCs w:val="28"/>
        </w:rPr>
        <w:t>r</w:t>
      </w:r>
      <w:r>
        <w:rPr>
          <w:rFonts w:ascii="Times New Roman" w:eastAsia="仿宋"/>
          <w:sz w:val="28"/>
          <w:szCs w:val="28"/>
        </w:rPr>
        <w:t>)＝</w:t>
      </w:r>
      <w:r>
        <w:rPr>
          <w:rFonts w:ascii="Times New Roman" w:eastAsia="仿宋"/>
          <w:i/>
          <w:iCs/>
          <w:sz w:val="28"/>
          <w:szCs w:val="28"/>
        </w:rPr>
        <w:t>Lp</w:t>
      </w:r>
      <w:r>
        <w:rPr>
          <w:rFonts w:ascii="Times New Roman" w:eastAsia="仿宋"/>
          <w:sz w:val="28"/>
          <w:szCs w:val="28"/>
        </w:rPr>
        <w:t>(</w:t>
      </w:r>
      <w:r>
        <w:rPr>
          <w:rFonts w:ascii="Times New Roman" w:eastAsia="仿宋"/>
          <w:i/>
          <w:iCs/>
          <w:sz w:val="28"/>
          <w:szCs w:val="28"/>
        </w:rPr>
        <w:t>r</w:t>
      </w:r>
      <w:r>
        <w:rPr>
          <w:rFonts w:ascii="Times New Roman" w:eastAsia="仿宋"/>
          <w:sz w:val="28"/>
          <w:szCs w:val="28"/>
        </w:rPr>
        <w:t>0)+</w:t>
      </w:r>
      <w:r>
        <w:rPr>
          <w:rFonts w:ascii="Times New Roman" w:eastAsia="仿宋"/>
          <w:i/>
          <w:iCs/>
          <w:sz w:val="28"/>
          <w:szCs w:val="28"/>
        </w:rPr>
        <w:t>D</w:t>
      </w:r>
      <w:r>
        <w:rPr>
          <w:rFonts w:ascii="Times New Roman" w:eastAsia="仿宋"/>
          <w:sz w:val="28"/>
          <w:szCs w:val="28"/>
        </w:rPr>
        <w:t>C－(</w:t>
      </w:r>
      <w:r>
        <w:rPr>
          <w:rFonts w:ascii="Times New Roman" w:eastAsia="仿宋"/>
          <w:i/>
          <w:iCs/>
          <w:sz w:val="28"/>
          <w:szCs w:val="28"/>
        </w:rPr>
        <w:t>A</w:t>
      </w:r>
      <w:r>
        <w:rPr>
          <w:rFonts w:ascii="Times New Roman" w:eastAsia="仿宋"/>
          <w:sz w:val="28"/>
          <w:szCs w:val="28"/>
          <w:vertAlign w:val="subscript"/>
        </w:rPr>
        <w:t>div</w:t>
      </w:r>
      <w:r>
        <w:rPr>
          <w:rFonts w:ascii="Times New Roman" w:eastAsia="仿宋"/>
          <w:sz w:val="28"/>
          <w:szCs w:val="28"/>
        </w:rPr>
        <w:t>＋</w:t>
      </w:r>
      <w:r>
        <w:rPr>
          <w:rFonts w:ascii="Times New Roman" w:eastAsia="仿宋"/>
          <w:i/>
          <w:iCs/>
          <w:sz w:val="28"/>
          <w:szCs w:val="28"/>
        </w:rPr>
        <w:t>A</w:t>
      </w:r>
      <w:r>
        <w:rPr>
          <w:rFonts w:ascii="Times New Roman" w:eastAsia="仿宋"/>
          <w:sz w:val="28"/>
          <w:szCs w:val="28"/>
          <w:vertAlign w:val="subscript"/>
        </w:rPr>
        <w:t>atm</w:t>
      </w:r>
      <w:r>
        <w:rPr>
          <w:rFonts w:ascii="Times New Roman" w:eastAsia="仿宋"/>
          <w:sz w:val="28"/>
          <w:szCs w:val="28"/>
        </w:rPr>
        <w:t>＋</w:t>
      </w:r>
      <w:r>
        <w:rPr>
          <w:rFonts w:ascii="Times New Roman" w:eastAsia="仿宋"/>
          <w:i/>
          <w:iCs/>
          <w:sz w:val="28"/>
          <w:szCs w:val="28"/>
        </w:rPr>
        <w:t>A</w:t>
      </w:r>
      <w:r>
        <w:rPr>
          <w:rFonts w:ascii="Times New Roman" w:eastAsia="仿宋"/>
          <w:sz w:val="28"/>
          <w:szCs w:val="28"/>
          <w:vertAlign w:val="subscript"/>
        </w:rPr>
        <w:t>gr</w:t>
      </w:r>
      <w:r>
        <w:rPr>
          <w:rFonts w:ascii="Times New Roman" w:eastAsia="仿宋"/>
          <w:sz w:val="28"/>
          <w:szCs w:val="28"/>
        </w:rPr>
        <w:t>＋</w:t>
      </w:r>
      <w:r>
        <w:rPr>
          <w:rFonts w:ascii="Times New Roman" w:eastAsia="仿宋"/>
          <w:i/>
          <w:iCs/>
          <w:sz w:val="28"/>
          <w:szCs w:val="28"/>
        </w:rPr>
        <w:t>A</w:t>
      </w:r>
      <w:r>
        <w:rPr>
          <w:rFonts w:ascii="Times New Roman" w:eastAsia="仿宋"/>
          <w:sz w:val="28"/>
          <w:szCs w:val="28"/>
          <w:vertAlign w:val="subscript"/>
        </w:rPr>
        <w:t>bar</w:t>
      </w:r>
      <w:r>
        <w:rPr>
          <w:rFonts w:ascii="Times New Roman" w:eastAsia="仿宋"/>
          <w:sz w:val="28"/>
          <w:szCs w:val="28"/>
        </w:rPr>
        <w:t>＋</w:t>
      </w:r>
      <w:r>
        <w:rPr>
          <w:rFonts w:ascii="Times New Roman" w:eastAsia="仿宋"/>
          <w:i/>
          <w:iCs/>
          <w:sz w:val="28"/>
          <w:szCs w:val="28"/>
        </w:rPr>
        <w:t>A</w:t>
      </w:r>
      <w:r>
        <w:rPr>
          <w:rFonts w:ascii="Times New Roman" w:eastAsia="仿宋"/>
          <w:sz w:val="28"/>
          <w:szCs w:val="28"/>
          <w:vertAlign w:val="subscript"/>
        </w:rPr>
        <w:t>misc</w:t>
      </w:r>
      <w:r>
        <w:rPr>
          <w:rFonts w:ascii="Times New Roman" w:eastAsia="仿宋"/>
          <w:sz w:val="28"/>
          <w:szCs w:val="28"/>
        </w:rPr>
        <w:t xml:space="preserve">) </w:t>
      </w:r>
    </w:p>
    <w:p w14:paraId="3FB9C26C">
      <w:pPr>
        <w:spacing w:line="500" w:lineRule="exact"/>
        <w:ind w:firstLine="560" w:firstLineChars="200"/>
        <w:rPr>
          <w:rFonts w:ascii="Times New Roman" w:eastAsia="仿宋"/>
          <w:sz w:val="28"/>
          <w:szCs w:val="28"/>
        </w:rPr>
      </w:pPr>
      <w:r>
        <w:rPr>
          <w:rFonts w:ascii="Times New Roman" w:eastAsia="仿宋"/>
          <w:sz w:val="28"/>
          <w:szCs w:val="28"/>
        </w:rPr>
        <w:t>式中：</w:t>
      </w:r>
      <w:r>
        <w:rPr>
          <w:rFonts w:ascii="Times New Roman" w:eastAsia="仿宋"/>
          <w:i/>
          <w:iCs/>
          <w:sz w:val="28"/>
          <w:szCs w:val="28"/>
        </w:rPr>
        <w:t>Lp</w:t>
      </w:r>
      <w:r>
        <w:rPr>
          <w:rFonts w:ascii="Times New Roman" w:eastAsia="仿宋"/>
          <w:sz w:val="28"/>
          <w:szCs w:val="28"/>
        </w:rPr>
        <w:t>(</w:t>
      </w:r>
      <w:r>
        <w:rPr>
          <w:rFonts w:ascii="Times New Roman" w:eastAsia="仿宋"/>
          <w:i/>
          <w:iCs/>
          <w:sz w:val="28"/>
          <w:szCs w:val="28"/>
        </w:rPr>
        <w:t>r</w:t>
      </w:r>
      <w:r>
        <w:rPr>
          <w:rFonts w:ascii="Times New Roman" w:eastAsia="仿宋"/>
          <w:sz w:val="28"/>
          <w:szCs w:val="28"/>
        </w:rPr>
        <w:t>) ——预测点处声压级，dB；</w:t>
      </w:r>
    </w:p>
    <w:p w14:paraId="029DADD4">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 xml:space="preserve">Lw </w:t>
      </w:r>
      <w:r>
        <w:rPr>
          <w:rFonts w:ascii="Times New Roman" w:eastAsia="仿宋"/>
          <w:sz w:val="28"/>
          <w:szCs w:val="28"/>
        </w:rPr>
        <w:t xml:space="preserve">——由点声源产生的声功率级（A计权或倍频带），dB； </w:t>
      </w:r>
    </w:p>
    <w:p w14:paraId="44CB7FDC">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D</w:t>
      </w:r>
      <w:r>
        <w:rPr>
          <w:rFonts w:ascii="Times New Roman" w:eastAsia="仿宋"/>
          <w:sz w:val="28"/>
          <w:szCs w:val="28"/>
          <w:vertAlign w:val="subscript"/>
        </w:rPr>
        <w:t>C</w:t>
      </w:r>
      <w:r>
        <w:rPr>
          <w:rFonts w:ascii="Times New Roman" w:eastAsia="仿宋"/>
          <w:sz w:val="28"/>
          <w:szCs w:val="28"/>
        </w:rPr>
        <w:t xml:space="preserve"> ——指向性校正，它描述点声源的等效连续声压级与产生声功率级</w:t>
      </w:r>
      <w:r>
        <w:rPr>
          <w:rFonts w:ascii="Times New Roman" w:eastAsia="仿宋"/>
          <w:i/>
          <w:iCs/>
          <w:sz w:val="28"/>
          <w:szCs w:val="28"/>
        </w:rPr>
        <w:t>Lw</w:t>
      </w:r>
      <w:r>
        <w:rPr>
          <w:rFonts w:ascii="Times New Roman" w:eastAsia="仿宋"/>
          <w:sz w:val="28"/>
          <w:szCs w:val="28"/>
        </w:rPr>
        <w:t xml:space="preserve">的全向点声源在规定方向的声级的偏差程度，dB； </w:t>
      </w:r>
    </w:p>
    <w:p w14:paraId="3FE0A85F">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A</w:t>
      </w:r>
      <w:r>
        <w:rPr>
          <w:rFonts w:ascii="Times New Roman" w:eastAsia="仿宋"/>
          <w:sz w:val="28"/>
          <w:szCs w:val="28"/>
          <w:vertAlign w:val="subscript"/>
        </w:rPr>
        <w:t>div</w:t>
      </w:r>
      <w:r>
        <w:rPr>
          <w:rFonts w:ascii="Times New Roman" w:eastAsia="仿宋"/>
          <w:sz w:val="28"/>
          <w:szCs w:val="28"/>
        </w:rPr>
        <w:t xml:space="preserve"> ——几何发散引起的衰减，dB； </w:t>
      </w:r>
    </w:p>
    <w:p w14:paraId="7E1B8F48">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A</w:t>
      </w:r>
      <w:r>
        <w:rPr>
          <w:rFonts w:ascii="Times New Roman" w:eastAsia="仿宋"/>
          <w:sz w:val="28"/>
          <w:szCs w:val="28"/>
          <w:vertAlign w:val="subscript"/>
        </w:rPr>
        <w:t>atm</w:t>
      </w:r>
      <w:r>
        <w:rPr>
          <w:rFonts w:ascii="Times New Roman" w:eastAsia="仿宋"/>
          <w:sz w:val="28"/>
          <w:szCs w:val="28"/>
        </w:rPr>
        <w:t>——大气吸收引起的衰减，dB；</w:t>
      </w:r>
    </w:p>
    <w:p w14:paraId="6A45B490">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A</w:t>
      </w:r>
      <w:r>
        <w:rPr>
          <w:rFonts w:ascii="Times New Roman" w:eastAsia="仿宋"/>
          <w:sz w:val="28"/>
          <w:szCs w:val="28"/>
          <w:vertAlign w:val="subscript"/>
        </w:rPr>
        <w:t>gr</w:t>
      </w:r>
      <w:r>
        <w:rPr>
          <w:rFonts w:ascii="Times New Roman" w:eastAsia="仿宋"/>
          <w:sz w:val="28"/>
          <w:szCs w:val="28"/>
        </w:rPr>
        <w:t>——地面效应引起的衰减，dB；</w:t>
      </w:r>
    </w:p>
    <w:p w14:paraId="76A3AC37">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A</w:t>
      </w:r>
      <w:r>
        <w:rPr>
          <w:rFonts w:ascii="Times New Roman" w:eastAsia="仿宋"/>
          <w:sz w:val="28"/>
          <w:szCs w:val="28"/>
          <w:vertAlign w:val="subscript"/>
        </w:rPr>
        <w:t xml:space="preserve">bar </w:t>
      </w:r>
      <w:r>
        <w:rPr>
          <w:rFonts w:ascii="Times New Roman" w:eastAsia="仿宋"/>
          <w:sz w:val="28"/>
          <w:szCs w:val="28"/>
        </w:rPr>
        <w:t>——障碍物屏蔽引起的衰减，dB；</w:t>
      </w:r>
    </w:p>
    <w:p w14:paraId="2D000EF0">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i/>
          <w:iCs/>
          <w:sz w:val="28"/>
          <w:szCs w:val="28"/>
        </w:rPr>
        <w:t>A</w:t>
      </w:r>
      <w:r>
        <w:rPr>
          <w:rFonts w:ascii="Times New Roman" w:eastAsia="仿宋"/>
          <w:sz w:val="28"/>
          <w:szCs w:val="28"/>
          <w:vertAlign w:val="subscript"/>
        </w:rPr>
        <w:t>misc</w:t>
      </w:r>
      <w:r>
        <w:rPr>
          <w:rFonts w:ascii="Times New Roman" w:eastAsia="仿宋"/>
          <w:sz w:val="28"/>
          <w:szCs w:val="28"/>
        </w:rPr>
        <w:t>——其他多方面效应引起的衰减，dB。</w:t>
      </w:r>
    </w:p>
    <w:p w14:paraId="00099292">
      <w:pPr>
        <w:spacing w:line="500" w:lineRule="exact"/>
        <w:ind w:firstLine="478" w:firstLineChars="171"/>
        <w:rPr>
          <w:rFonts w:ascii="Times New Roman" w:eastAsia="仿宋"/>
          <w:sz w:val="28"/>
          <w:szCs w:val="28"/>
        </w:rPr>
      </w:pPr>
      <w:r>
        <w:rPr>
          <w:rFonts w:ascii="Times New Roman" w:eastAsia="仿宋"/>
          <w:sz w:val="28"/>
          <w:szCs w:val="28"/>
        </w:rPr>
        <w:t>根据《环境影响评价技术导则 声环境》(HJ2.4-2021)中建设项目声环境影响评价表格要求：工业企业噪声源强调查清单（室外声源）如下表所示：</w:t>
      </w:r>
    </w:p>
    <w:p w14:paraId="0F4EECCF">
      <w:pPr>
        <w:spacing w:line="500" w:lineRule="exact"/>
        <w:ind w:firstLine="482" w:firstLineChars="200"/>
        <w:jc w:val="center"/>
        <w:rPr>
          <w:rFonts w:ascii="Times New Roman" w:eastAsia="仿宋"/>
          <w:b/>
          <w:bCs/>
        </w:rPr>
        <w:sectPr>
          <w:pgSz w:w="11906" w:h="16838"/>
          <w:pgMar w:top="1134" w:right="1418" w:bottom="1134" w:left="1418" w:header="851" w:footer="992" w:gutter="0"/>
          <w:cols w:space="720" w:num="1"/>
          <w:docGrid w:linePitch="312" w:charSpace="0"/>
        </w:sectPr>
      </w:pPr>
    </w:p>
    <w:p w14:paraId="30A2D095">
      <w:pPr>
        <w:spacing w:line="500" w:lineRule="exact"/>
        <w:ind w:firstLine="482" w:firstLineChars="200"/>
        <w:jc w:val="center"/>
        <w:rPr>
          <w:rFonts w:ascii="Times New Roman" w:eastAsia="仿宋"/>
          <w:b/>
          <w:bCs/>
        </w:rPr>
      </w:pPr>
      <w:r>
        <w:rPr>
          <w:rFonts w:ascii="Times New Roman" w:eastAsia="仿宋"/>
          <w:b/>
          <w:bCs/>
        </w:rPr>
        <w:t>表5.2-32   工业企业噪声源强调查清单（室外声源）</w:t>
      </w:r>
    </w:p>
    <w:tbl>
      <w:tblPr>
        <w:tblStyle w:val="87"/>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3698"/>
        <w:gridCol w:w="1366"/>
        <w:gridCol w:w="1536"/>
        <w:gridCol w:w="1292"/>
        <w:gridCol w:w="1402"/>
        <w:gridCol w:w="1393"/>
        <w:gridCol w:w="1847"/>
        <w:gridCol w:w="1521"/>
      </w:tblGrid>
      <w:tr w14:paraId="2AA9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67" w:type="pct"/>
            <w:vMerge w:val="restart"/>
            <w:vAlign w:val="center"/>
          </w:tcPr>
          <w:p w14:paraId="43636530">
            <w:pPr>
              <w:spacing w:line="240" w:lineRule="atLeast"/>
              <w:jc w:val="center"/>
              <w:rPr>
                <w:rFonts w:ascii="Times New Roman" w:eastAsia="仿宋"/>
                <w:bCs/>
                <w:szCs w:val="21"/>
              </w:rPr>
            </w:pPr>
            <w:r>
              <w:rPr>
                <w:rFonts w:ascii="Times New Roman" w:eastAsia="仿宋"/>
                <w:bCs/>
                <w:szCs w:val="21"/>
              </w:rPr>
              <w:t>序号</w:t>
            </w:r>
          </w:p>
        </w:tc>
        <w:tc>
          <w:tcPr>
            <w:tcW w:w="1245" w:type="pct"/>
            <w:vMerge w:val="restart"/>
            <w:vAlign w:val="center"/>
          </w:tcPr>
          <w:p w14:paraId="67C9FE1F">
            <w:pPr>
              <w:spacing w:line="240" w:lineRule="atLeast"/>
              <w:jc w:val="center"/>
              <w:rPr>
                <w:rFonts w:ascii="Times New Roman" w:eastAsia="仿宋"/>
                <w:bCs/>
                <w:szCs w:val="21"/>
              </w:rPr>
            </w:pPr>
            <w:r>
              <w:rPr>
                <w:rFonts w:ascii="Times New Roman" w:eastAsia="仿宋"/>
                <w:bCs/>
                <w:szCs w:val="21"/>
              </w:rPr>
              <w:t>声源名称</w:t>
            </w:r>
          </w:p>
        </w:tc>
        <w:tc>
          <w:tcPr>
            <w:tcW w:w="460" w:type="pct"/>
            <w:vMerge w:val="restart"/>
            <w:vAlign w:val="center"/>
          </w:tcPr>
          <w:p w14:paraId="63584AF8">
            <w:pPr>
              <w:spacing w:line="240" w:lineRule="atLeast"/>
              <w:jc w:val="center"/>
              <w:rPr>
                <w:rFonts w:ascii="Times New Roman" w:eastAsia="仿宋"/>
                <w:bCs/>
                <w:szCs w:val="21"/>
              </w:rPr>
            </w:pPr>
            <w:r>
              <w:rPr>
                <w:rFonts w:ascii="Times New Roman" w:eastAsia="仿宋"/>
                <w:bCs/>
                <w:szCs w:val="21"/>
              </w:rPr>
              <w:t>数量（台/套）</w:t>
            </w:r>
          </w:p>
        </w:tc>
        <w:tc>
          <w:tcPr>
            <w:tcW w:w="1424" w:type="pct"/>
            <w:gridSpan w:val="3"/>
            <w:vAlign w:val="center"/>
          </w:tcPr>
          <w:p w14:paraId="2E3850F2">
            <w:pPr>
              <w:spacing w:line="240" w:lineRule="atLeast"/>
              <w:jc w:val="center"/>
              <w:rPr>
                <w:rFonts w:ascii="Times New Roman" w:eastAsia="仿宋"/>
                <w:bCs/>
                <w:szCs w:val="21"/>
              </w:rPr>
            </w:pPr>
            <w:r>
              <w:rPr>
                <w:rFonts w:ascii="Times New Roman" w:eastAsia="仿宋"/>
                <w:bCs/>
                <w:szCs w:val="21"/>
              </w:rPr>
              <w:t>空间相对位置/m</w:t>
            </w:r>
          </w:p>
        </w:tc>
        <w:tc>
          <w:tcPr>
            <w:tcW w:w="469" w:type="pct"/>
            <w:vMerge w:val="restart"/>
            <w:vAlign w:val="center"/>
          </w:tcPr>
          <w:p w14:paraId="7F64D4E7">
            <w:pPr>
              <w:spacing w:line="240" w:lineRule="atLeast"/>
              <w:jc w:val="center"/>
              <w:rPr>
                <w:rFonts w:ascii="Times New Roman" w:eastAsia="仿宋"/>
                <w:bCs/>
                <w:szCs w:val="21"/>
              </w:rPr>
            </w:pPr>
            <w:r>
              <w:rPr>
                <w:rFonts w:ascii="Times New Roman" w:eastAsia="仿宋"/>
                <w:bCs/>
                <w:szCs w:val="21"/>
              </w:rPr>
              <w:t>声功率级/dB(A)</w:t>
            </w:r>
          </w:p>
        </w:tc>
        <w:tc>
          <w:tcPr>
            <w:tcW w:w="622" w:type="pct"/>
            <w:vMerge w:val="restart"/>
            <w:vAlign w:val="center"/>
          </w:tcPr>
          <w:p w14:paraId="4D4606CC">
            <w:pPr>
              <w:spacing w:line="240" w:lineRule="atLeast"/>
              <w:jc w:val="center"/>
              <w:rPr>
                <w:rFonts w:ascii="Times New Roman" w:eastAsia="仿宋"/>
                <w:bCs/>
                <w:szCs w:val="21"/>
              </w:rPr>
            </w:pPr>
            <w:r>
              <w:rPr>
                <w:rFonts w:ascii="Times New Roman" w:eastAsia="仿宋"/>
                <w:bCs/>
                <w:szCs w:val="21"/>
              </w:rPr>
              <w:t>声源控制措施</w:t>
            </w:r>
          </w:p>
        </w:tc>
        <w:tc>
          <w:tcPr>
            <w:tcW w:w="512" w:type="pct"/>
            <w:vMerge w:val="restart"/>
            <w:vAlign w:val="center"/>
          </w:tcPr>
          <w:p w14:paraId="1784E651">
            <w:pPr>
              <w:spacing w:line="240" w:lineRule="atLeast"/>
              <w:jc w:val="center"/>
              <w:rPr>
                <w:rFonts w:ascii="Times New Roman" w:eastAsia="仿宋"/>
                <w:bCs/>
                <w:szCs w:val="21"/>
              </w:rPr>
            </w:pPr>
            <w:r>
              <w:rPr>
                <w:rFonts w:ascii="Times New Roman" w:eastAsia="仿宋"/>
                <w:bCs/>
                <w:szCs w:val="21"/>
              </w:rPr>
              <w:t>运行时段</w:t>
            </w:r>
          </w:p>
        </w:tc>
      </w:tr>
      <w:tr w14:paraId="2306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67" w:type="pct"/>
            <w:vMerge w:val="continue"/>
            <w:vAlign w:val="center"/>
          </w:tcPr>
          <w:p w14:paraId="17BFC92F">
            <w:pPr>
              <w:spacing w:after="120"/>
              <w:jc w:val="center"/>
              <w:rPr>
                <w:rFonts w:ascii="Times New Roman" w:eastAsia="仿宋"/>
                <w:szCs w:val="21"/>
              </w:rPr>
            </w:pPr>
          </w:p>
        </w:tc>
        <w:tc>
          <w:tcPr>
            <w:tcW w:w="1245" w:type="pct"/>
            <w:vMerge w:val="continue"/>
            <w:vAlign w:val="center"/>
          </w:tcPr>
          <w:p w14:paraId="5FD43F52">
            <w:pPr>
              <w:spacing w:after="120"/>
              <w:jc w:val="center"/>
              <w:rPr>
                <w:rFonts w:ascii="Times New Roman" w:eastAsia="仿宋"/>
                <w:bCs/>
                <w:szCs w:val="21"/>
              </w:rPr>
            </w:pPr>
          </w:p>
        </w:tc>
        <w:tc>
          <w:tcPr>
            <w:tcW w:w="460" w:type="pct"/>
            <w:vMerge w:val="continue"/>
            <w:vAlign w:val="center"/>
          </w:tcPr>
          <w:p w14:paraId="23891DD8">
            <w:pPr>
              <w:spacing w:line="240" w:lineRule="atLeast"/>
              <w:jc w:val="center"/>
              <w:rPr>
                <w:rFonts w:ascii="Times New Roman" w:eastAsia="仿宋"/>
                <w:bCs/>
                <w:szCs w:val="21"/>
              </w:rPr>
            </w:pPr>
          </w:p>
        </w:tc>
        <w:tc>
          <w:tcPr>
            <w:tcW w:w="517" w:type="pct"/>
            <w:vAlign w:val="center"/>
          </w:tcPr>
          <w:p w14:paraId="4A30AA4B">
            <w:pPr>
              <w:spacing w:line="240" w:lineRule="atLeast"/>
              <w:jc w:val="center"/>
              <w:rPr>
                <w:rFonts w:ascii="Times New Roman" w:eastAsia="仿宋"/>
                <w:bCs/>
                <w:szCs w:val="21"/>
              </w:rPr>
            </w:pPr>
            <w:r>
              <w:rPr>
                <w:rFonts w:ascii="Times New Roman" w:eastAsia="仿宋"/>
                <w:bCs/>
                <w:szCs w:val="21"/>
              </w:rPr>
              <w:t>X</w:t>
            </w:r>
          </w:p>
        </w:tc>
        <w:tc>
          <w:tcPr>
            <w:tcW w:w="435" w:type="pct"/>
            <w:vAlign w:val="center"/>
          </w:tcPr>
          <w:p w14:paraId="253AC95B">
            <w:pPr>
              <w:spacing w:line="240" w:lineRule="atLeast"/>
              <w:jc w:val="center"/>
              <w:rPr>
                <w:rFonts w:ascii="Times New Roman" w:eastAsia="仿宋"/>
                <w:bCs/>
                <w:szCs w:val="21"/>
              </w:rPr>
            </w:pPr>
            <w:r>
              <w:rPr>
                <w:rFonts w:ascii="Times New Roman" w:eastAsia="仿宋"/>
                <w:bCs/>
                <w:szCs w:val="21"/>
              </w:rPr>
              <w:t>Y</w:t>
            </w:r>
          </w:p>
        </w:tc>
        <w:tc>
          <w:tcPr>
            <w:tcW w:w="472" w:type="pct"/>
            <w:vAlign w:val="center"/>
          </w:tcPr>
          <w:p w14:paraId="4280D451">
            <w:pPr>
              <w:spacing w:line="240" w:lineRule="atLeast"/>
              <w:jc w:val="center"/>
              <w:rPr>
                <w:rFonts w:ascii="Times New Roman" w:eastAsia="仿宋"/>
                <w:bCs/>
                <w:szCs w:val="21"/>
              </w:rPr>
            </w:pPr>
            <w:r>
              <w:rPr>
                <w:rFonts w:ascii="Times New Roman" w:eastAsia="仿宋"/>
                <w:bCs/>
                <w:szCs w:val="21"/>
              </w:rPr>
              <w:t>Z</w:t>
            </w:r>
          </w:p>
        </w:tc>
        <w:tc>
          <w:tcPr>
            <w:tcW w:w="469" w:type="pct"/>
            <w:vMerge w:val="continue"/>
            <w:vAlign w:val="center"/>
          </w:tcPr>
          <w:p w14:paraId="285059F4">
            <w:pPr>
              <w:spacing w:after="120"/>
              <w:jc w:val="center"/>
              <w:rPr>
                <w:rFonts w:ascii="Times New Roman" w:eastAsia="仿宋"/>
                <w:szCs w:val="21"/>
              </w:rPr>
            </w:pPr>
          </w:p>
        </w:tc>
        <w:tc>
          <w:tcPr>
            <w:tcW w:w="622" w:type="pct"/>
            <w:vMerge w:val="continue"/>
            <w:vAlign w:val="center"/>
          </w:tcPr>
          <w:p w14:paraId="3F039BF3">
            <w:pPr>
              <w:spacing w:after="120"/>
              <w:jc w:val="center"/>
              <w:rPr>
                <w:rFonts w:ascii="Times New Roman" w:eastAsia="仿宋"/>
                <w:szCs w:val="21"/>
              </w:rPr>
            </w:pPr>
          </w:p>
        </w:tc>
        <w:tc>
          <w:tcPr>
            <w:tcW w:w="512" w:type="pct"/>
            <w:vMerge w:val="continue"/>
            <w:vAlign w:val="center"/>
          </w:tcPr>
          <w:p w14:paraId="4C0CF5EE">
            <w:pPr>
              <w:spacing w:after="120"/>
              <w:jc w:val="center"/>
              <w:rPr>
                <w:rFonts w:ascii="Times New Roman" w:eastAsia="仿宋"/>
                <w:szCs w:val="21"/>
              </w:rPr>
            </w:pPr>
          </w:p>
        </w:tc>
      </w:tr>
      <w:tr w14:paraId="1F1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67" w:type="pct"/>
            <w:vAlign w:val="center"/>
          </w:tcPr>
          <w:p w14:paraId="1A388B46">
            <w:pPr>
              <w:widowControl/>
              <w:jc w:val="center"/>
              <w:rPr>
                <w:rFonts w:ascii="Times New Roman" w:eastAsia="仿宋"/>
                <w:bCs/>
                <w:szCs w:val="21"/>
              </w:rPr>
            </w:pPr>
            <w:r>
              <w:rPr>
                <w:rFonts w:ascii="Times New Roman" w:eastAsia="仿宋"/>
                <w:bCs/>
                <w:szCs w:val="21"/>
              </w:rPr>
              <w:t>1</w:t>
            </w:r>
          </w:p>
        </w:tc>
        <w:tc>
          <w:tcPr>
            <w:tcW w:w="1245" w:type="pct"/>
            <w:vAlign w:val="center"/>
          </w:tcPr>
          <w:p w14:paraId="13924B3D">
            <w:pPr>
              <w:widowControl/>
              <w:jc w:val="center"/>
              <w:rPr>
                <w:rFonts w:ascii="Times New Roman" w:eastAsia="仿宋"/>
                <w:bCs/>
                <w:szCs w:val="21"/>
              </w:rPr>
            </w:pPr>
            <w:r>
              <w:rPr>
                <w:rFonts w:ascii="Times New Roman" w:eastAsia="仿宋"/>
                <w:szCs w:val="21"/>
              </w:rPr>
              <w:t>空压机</w:t>
            </w:r>
          </w:p>
        </w:tc>
        <w:tc>
          <w:tcPr>
            <w:tcW w:w="460" w:type="pct"/>
            <w:vAlign w:val="center"/>
          </w:tcPr>
          <w:p w14:paraId="1D86CC88">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0FAF93E4">
            <w:pPr>
              <w:jc w:val="center"/>
              <w:rPr>
                <w:rFonts w:ascii="Times New Roman" w:eastAsia="仿宋"/>
                <w:szCs w:val="21"/>
              </w:rPr>
            </w:pPr>
            <w:r>
              <w:rPr>
                <w:rFonts w:hint="eastAsia" w:ascii="Times New Roman" w:eastAsia="仿宋"/>
                <w:szCs w:val="21"/>
              </w:rPr>
              <w:t>5</w:t>
            </w:r>
            <w:r>
              <w:rPr>
                <w:rFonts w:ascii="Times New Roman" w:eastAsia="仿宋"/>
                <w:szCs w:val="21"/>
              </w:rPr>
              <w:t>2.5</w:t>
            </w:r>
          </w:p>
        </w:tc>
        <w:tc>
          <w:tcPr>
            <w:tcW w:w="435" w:type="pct"/>
            <w:vAlign w:val="center"/>
          </w:tcPr>
          <w:p w14:paraId="1B20FD69">
            <w:pPr>
              <w:jc w:val="center"/>
              <w:rPr>
                <w:rFonts w:ascii="Times New Roman" w:eastAsia="仿宋"/>
                <w:szCs w:val="21"/>
              </w:rPr>
            </w:pPr>
            <w:r>
              <w:rPr>
                <w:rFonts w:hint="eastAsia" w:ascii="Times New Roman" w:eastAsia="仿宋"/>
                <w:szCs w:val="21"/>
              </w:rPr>
              <w:t>-21</w:t>
            </w:r>
            <w:r>
              <w:rPr>
                <w:rFonts w:ascii="Times New Roman" w:eastAsia="仿宋"/>
                <w:szCs w:val="21"/>
              </w:rPr>
              <w:t>.01</w:t>
            </w:r>
          </w:p>
        </w:tc>
        <w:tc>
          <w:tcPr>
            <w:tcW w:w="472" w:type="pct"/>
            <w:vAlign w:val="center"/>
          </w:tcPr>
          <w:p w14:paraId="00D9BF1B">
            <w:pPr>
              <w:jc w:val="center"/>
              <w:rPr>
                <w:rFonts w:ascii="Times New Roman" w:eastAsia="仿宋"/>
                <w:szCs w:val="21"/>
              </w:rPr>
            </w:pPr>
            <w:r>
              <w:rPr>
                <w:rFonts w:hint="eastAsia" w:ascii="Times New Roman" w:eastAsia="仿宋"/>
                <w:szCs w:val="21"/>
              </w:rPr>
              <w:t>0</w:t>
            </w:r>
          </w:p>
        </w:tc>
        <w:tc>
          <w:tcPr>
            <w:tcW w:w="469" w:type="pct"/>
            <w:vAlign w:val="center"/>
          </w:tcPr>
          <w:p w14:paraId="34432026">
            <w:pPr>
              <w:widowControl/>
              <w:jc w:val="center"/>
              <w:textAlignment w:val="center"/>
              <w:rPr>
                <w:rFonts w:ascii="Times New Roman" w:eastAsia="仿宋"/>
                <w:szCs w:val="21"/>
              </w:rPr>
            </w:pPr>
            <w:r>
              <w:rPr>
                <w:rFonts w:ascii="Times New Roman" w:eastAsia="仿宋"/>
                <w:szCs w:val="21"/>
              </w:rPr>
              <w:t>80</w:t>
            </w:r>
          </w:p>
        </w:tc>
        <w:tc>
          <w:tcPr>
            <w:tcW w:w="622" w:type="pct"/>
            <w:vMerge w:val="restart"/>
            <w:vAlign w:val="center"/>
          </w:tcPr>
          <w:p w14:paraId="40AED040">
            <w:pPr>
              <w:spacing w:line="240" w:lineRule="atLeast"/>
              <w:jc w:val="center"/>
              <w:rPr>
                <w:rFonts w:ascii="Times New Roman" w:eastAsia="仿宋"/>
                <w:bCs/>
                <w:szCs w:val="21"/>
              </w:rPr>
            </w:pPr>
            <w:r>
              <w:rPr>
                <w:rFonts w:ascii="Times New Roman" w:eastAsia="仿宋"/>
                <w:szCs w:val="21"/>
              </w:rPr>
              <w:t>设置消音器、安装减震垫</w:t>
            </w:r>
          </w:p>
        </w:tc>
        <w:tc>
          <w:tcPr>
            <w:tcW w:w="512" w:type="pct"/>
            <w:vAlign w:val="center"/>
          </w:tcPr>
          <w:p w14:paraId="4C8020A9">
            <w:pPr>
              <w:spacing w:line="240" w:lineRule="atLeast"/>
              <w:jc w:val="center"/>
              <w:rPr>
                <w:rFonts w:ascii="Times New Roman" w:eastAsia="仿宋"/>
                <w:bCs/>
                <w:szCs w:val="21"/>
              </w:rPr>
            </w:pPr>
            <w:r>
              <w:rPr>
                <w:rFonts w:ascii="Times New Roman" w:eastAsia="仿宋"/>
                <w:bCs/>
                <w:szCs w:val="21"/>
              </w:rPr>
              <w:t>间歇运行</w:t>
            </w:r>
          </w:p>
        </w:tc>
      </w:tr>
      <w:tr w14:paraId="3528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267" w:type="pct"/>
            <w:vAlign w:val="center"/>
          </w:tcPr>
          <w:p w14:paraId="45E58F6D">
            <w:pPr>
              <w:widowControl/>
              <w:jc w:val="center"/>
              <w:rPr>
                <w:rFonts w:ascii="Times New Roman" w:eastAsia="仿宋"/>
                <w:bCs/>
                <w:szCs w:val="21"/>
              </w:rPr>
            </w:pPr>
            <w:r>
              <w:rPr>
                <w:rFonts w:hint="eastAsia" w:ascii="Times New Roman" w:eastAsia="仿宋"/>
                <w:bCs/>
                <w:szCs w:val="21"/>
              </w:rPr>
              <w:t>2</w:t>
            </w:r>
          </w:p>
        </w:tc>
        <w:tc>
          <w:tcPr>
            <w:tcW w:w="1245" w:type="pct"/>
            <w:vAlign w:val="center"/>
          </w:tcPr>
          <w:p w14:paraId="553ADE36">
            <w:pPr>
              <w:widowControl/>
              <w:jc w:val="center"/>
              <w:rPr>
                <w:rFonts w:ascii="Times New Roman" w:eastAsia="仿宋"/>
                <w:szCs w:val="21"/>
              </w:rPr>
            </w:pPr>
            <w:r>
              <w:rPr>
                <w:rFonts w:hint="eastAsia" w:ascii="Times New Roman" w:eastAsia="仿宋"/>
                <w:szCs w:val="24"/>
              </w:rPr>
              <w:t>湿式除尘器风机</w:t>
            </w:r>
          </w:p>
        </w:tc>
        <w:tc>
          <w:tcPr>
            <w:tcW w:w="460" w:type="pct"/>
            <w:vAlign w:val="center"/>
          </w:tcPr>
          <w:p w14:paraId="57D10F60">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266AB9B8">
            <w:pPr>
              <w:jc w:val="center"/>
              <w:rPr>
                <w:rFonts w:ascii="Times New Roman" w:eastAsia="仿宋"/>
                <w:szCs w:val="21"/>
              </w:rPr>
            </w:pPr>
            <w:r>
              <w:rPr>
                <w:rFonts w:hint="eastAsia" w:ascii="Times New Roman" w:eastAsia="仿宋"/>
                <w:szCs w:val="21"/>
              </w:rPr>
              <w:t>1</w:t>
            </w:r>
            <w:r>
              <w:rPr>
                <w:rFonts w:ascii="Times New Roman" w:eastAsia="仿宋"/>
                <w:szCs w:val="21"/>
              </w:rPr>
              <w:t>30.7</w:t>
            </w:r>
          </w:p>
        </w:tc>
        <w:tc>
          <w:tcPr>
            <w:tcW w:w="435" w:type="pct"/>
            <w:vAlign w:val="center"/>
          </w:tcPr>
          <w:p w14:paraId="425E36BE">
            <w:pPr>
              <w:jc w:val="center"/>
              <w:rPr>
                <w:rFonts w:ascii="Times New Roman" w:eastAsia="仿宋"/>
                <w:szCs w:val="21"/>
              </w:rPr>
            </w:pPr>
            <w:r>
              <w:rPr>
                <w:rFonts w:hint="eastAsia" w:ascii="Times New Roman" w:eastAsia="仿宋"/>
                <w:szCs w:val="21"/>
              </w:rPr>
              <w:t>-</w:t>
            </w:r>
            <w:r>
              <w:rPr>
                <w:rFonts w:ascii="Times New Roman" w:eastAsia="仿宋"/>
                <w:szCs w:val="21"/>
              </w:rPr>
              <w:t>24.7</w:t>
            </w:r>
          </w:p>
        </w:tc>
        <w:tc>
          <w:tcPr>
            <w:tcW w:w="472" w:type="pct"/>
            <w:vAlign w:val="center"/>
          </w:tcPr>
          <w:p w14:paraId="4F22EAF7">
            <w:pPr>
              <w:jc w:val="center"/>
              <w:rPr>
                <w:rFonts w:ascii="Times New Roman" w:eastAsia="仿宋"/>
                <w:szCs w:val="21"/>
              </w:rPr>
            </w:pPr>
            <w:r>
              <w:rPr>
                <w:rFonts w:hint="eastAsia" w:ascii="Times New Roman" w:eastAsia="仿宋"/>
                <w:szCs w:val="21"/>
              </w:rPr>
              <w:t>0</w:t>
            </w:r>
          </w:p>
        </w:tc>
        <w:tc>
          <w:tcPr>
            <w:tcW w:w="469" w:type="pct"/>
            <w:vAlign w:val="center"/>
          </w:tcPr>
          <w:p w14:paraId="336209ED">
            <w:pPr>
              <w:jc w:val="center"/>
            </w:pPr>
            <w:r>
              <w:rPr>
                <w:rFonts w:ascii="Times New Roman" w:eastAsia="仿宋"/>
                <w:szCs w:val="21"/>
              </w:rPr>
              <w:t>80</w:t>
            </w:r>
          </w:p>
        </w:tc>
        <w:tc>
          <w:tcPr>
            <w:tcW w:w="622" w:type="pct"/>
            <w:vMerge w:val="continue"/>
            <w:vAlign w:val="center"/>
          </w:tcPr>
          <w:p w14:paraId="51731FCA">
            <w:pPr>
              <w:spacing w:line="240" w:lineRule="atLeast"/>
              <w:jc w:val="center"/>
              <w:rPr>
                <w:rFonts w:ascii="Times New Roman" w:eastAsia="仿宋"/>
                <w:szCs w:val="21"/>
              </w:rPr>
            </w:pPr>
          </w:p>
        </w:tc>
        <w:tc>
          <w:tcPr>
            <w:tcW w:w="512" w:type="pct"/>
            <w:vAlign w:val="center"/>
          </w:tcPr>
          <w:p w14:paraId="1987A7C1">
            <w:pPr>
              <w:spacing w:line="240" w:lineRule="atLeast"/>
              <w:jc w:val="center"/>
              <w:rPr>
                <w:rFonts w:ascii="Times New Roman" w:eastAsia="仿宋"/>
                <w:bCs/>
                <w:szCs w:val="21"/>
              </w:rPr>
            </w:pPr>
            <w:r>
              <w:rPr>
                <w:rFonts w:ascii="Times New Roman" w:eastAsia="仿宋"/>
                <w:bCs/>
                <w:szCs w:val="21"/>
              </w:rPr>
              <w:t>连续运行</w:t>
            </w:r>
          </w:p>
        </w:tc>
      </w:tr>
      <w:tr w14:paraId="28FA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7" w:type="pct"/>
            <w:vAlign w:val="center"/>
          </w:tcPr>
          <w:p w14:paraId="4BB9B946">
            <w:pPr>
              <w:widowControl/>
              <w:jc w:val="center"/>
              <w:rPr>
                <w:rFonts w:ascii="Times New Roman" w:eastAsia="仿宋"/>
                <w:bCs/>
                <w:szCs w:val="21"/>
              </w:rPr>
            </w:pPr>
            <w:r>
              <w:rPr>
                <w:rFonts w:hint="eastAsia" w:ascii="Times New Roman" w:eastAsia="仿宋"/>
                <w:bCs/>
                <w:szCs w:val="21"/>
              </w:rPr>
              <w:t>3</w:t>
            </w:r>
          </w:p>
        </w:tc>
        <w:tc>
          <w:tcPr>
            <w:tcW w:w="1245" w:type="pct"/>
            <w:vAlign w:val="center"/>
          </w:tcPr>
          <w:p w14:paraId="3CB97EAB">
            <w:pPr>
              <w:widowControl/>
              <w:jc w:val="center"/>
              <w:rPr>
                <w:rFonts w:ascii="Times New Roman" w:eastAsia="仿宋"/>
                <w:szCs w:val="21"/>
              </w:rPr>
            </w:pPr>
            <w:r>
              <w:rPr>
                <w:rFonts w:hint="eastAsia" w:ascii="Times New Roman" w:eastAsia="仿宋"/>
                <w:szCs w:val="21"/>
              </w:rPr>
              <w:t>1号水帘式循环过滤系统+水喷淋+干式过滤器+活性炭吸附脱附+催化燃烧风机</w:t>
            </w:r>
          </w:p>
        </w:tc>
        <w:tc>
          <w:tcPr>
            <w:tcW w:w="460" w:type="pct"/>
            <w:vAlign w:val="center"/>
          </w:tcPr>
          <w:p w14:paraId="542E47B8">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0F90F5D9">
            <w:pPr>
              <w:jc w:val="center"/>
              <w:rPr>
                <w:rFonts w:ascii="Times New Roman" w:eastAsia="仿宋"/>
                <w:szCs w:val="21"/>
              </w:rPr>
            </w:pPr>
            <w:r>
              <w:rPr>
                <w:rFonts w:ascii="Times New Roman" w:eastAsia="仿宋"/>
                <w:szCs w:val="21"/>
              </w:rPr>
              <w:t>47.81</w:t>
            </w:r>
          </w:p>
        </w:tc>
        <w:tc>
          <w:tcPr>
            <w:tcW w:w="435" w:type="pct"/>
            <w:vAlign w:val="center"/>
          </w:tcPr>
          <w:p w14:paraId="295BF4A4">
            <w:pPr>
              <w:jc w:val="center"/>
              <w:rPr>
                <w:rFonts w:ascii="Times New Roman" w:eastAsia="仿宋"/>
                <w:szCs w:val="21"/>
              </w:rPr>
            </w:pPr>
            <w:r>
              <w:rPr>
                <w:rFonts w:hint="eastAsia" w:ascii="Times New Roman" w:eastAsia="仿宋"/>
                <w:szCs w:val="21"/>
              </w:rPr>
              <w:t>3</w:t>
            </w:r>
            <w:r>
              <w:rPr>
                <w:rFonts w:ascii="Times New Roman" w:eastAsia="仿宋"/>
                <w:szCs w:val="21"/>
              </w:rPr>
              <w:t>2.85</w:t>
            </w:r>
          </w:p>
        </w:tc>
        <w:tc>
          <w:tcPr>
            <w:tcW w:w="472" w:type="pct"/>
            <w:vAlign w:val="center"/>
          </w:tcPr>
          <w:p w14:paraId="640EC291">
            <w:pPr>
              <w:jc w:val="center"/>
              <w:rPr>
                <w:rFonts w:ascii="Times New Roman" w:eastAsia="仿宋"/>
                <w:szCs w:val="21"/>
              </w:rPr>
            </w:pPr>
            <w:r>
              <w:rPr>
                <w:rFonts w:hint="eastAsia" w:ascii="Times New Roman" w:eastAsia="仿宋"/>
                <w:szCs w:val="21"/>
              </w:rPr>
              <w:t>0</w:t>
            </w:r>
          </w:p>
        </w:tc>
        <w:tc>
          <w:tcPr>
            <w:tcW w:w="469" w:type="pct"/>
            <w:vAlign w:val="center"/>
          </w:tcPr>
          <w:p w14:paraId="7C126F52">
            <w:pPr>
              <w:jc w:val="center"/>
            </w:pPr>
            <w:r>
              <w:rPr>
                <w:rFonts w:ascii="Times New Roman" w:eastAsia="仿宋"/>
                <w:szCs w:val="21"/>
              </w:rPr>
              <w:t>80</w:t>
            </w:r>
          </w:p>
        </w:tc>
        <w:tc>
          <w:tcPr>
            <w:tcW w:w="622" w:type="pct"/>
            <w:vMerge w:val="continue"/>
            <w:vAlign w:val="center"/>
          </w:tcPr>
          <w:p w14:paraId="189A529F">
            <w:pPr>
              <w:spacing w:line="240" w:lineRule="atLeast"/>
              <w:jc w:val="center"/>
              <w:rPr>
                <w:rFonts w:ascii="Times New Roman" w:eastAsia="仿宋"/>
                <w:szCs w:val="21"/>
              </w:rPr>
            </w:pPr>
          </w:p>
        </w:tc>
        <w:tc>
          <w:tcPr>
            <w:tcW w:w="512" w:type="pct"/>
            <w:vAlign w:val="center"/>
          </w:tcPr>
          <w:p w14:paraId="12775613">
            <w:pPr>
              <w:spacing w:line="240" w:lineRule="atLeast"/>
              <w:jc w:val="center"/>
              <w:rPr>
                <w:rFonts w:ascii="Times New Roman" w:eastAsia="仿宋"/>
                <w:bCs/>
                <w:szCs w:val="21"/>
              </w:rPr>
            </w:pPr>
            <w:r>
              <w:rPr>
                <w:rFonts w:ascii="Times New Roman" w:eastAsia="仿宋"/>
                <w:bCs/>
                <w:szCs w:val="21"/>
              </w:rPr>
              <w:t>连续运行</w:t>
            </w:r>
          </w:p>
        </w:tc>
      </w:tr>
      <w:tr w14:paraId="660F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7" w:type="pct"/>
            <w:vAlign w:val="center"/>
          </w:tcPr>
          <w:p w14:paraId="177263F3">
            <w:pPr>
              <w:widowControl/>
              <w:jc w:val="center"/>
              <w:rPr>
                <w:rFonts w:ascii="Times New Roman" w:eastAsia="仿宋"/>
                <w:bCs/>
                <w:szCs w:val="21"/>
              </w:rPr>
            </w:pPr>
            <w:r>
              <w:rPr>
                <w:rFonts w:hint="eastAsia" w:ascii="Times New Roman" w:eastAsia="仿宋"/>
                <w:bCs/>
                <w:szCs w:val="21"/>
              </w:rPr>
              <w:t>4</w:t>
            </w:r>
          </w:p>
        </w:tc>
        <w:tc>
          <w:tcPr>
            <w:tcW w:w="1245" w:type="pct"/>
            <w:vAlign w:val="center"/>
          </w:tcPr>
          <w:p w14:paraId="2836A32C">
            <w:pPr>
              <w:widowControl/>
              <w:jc w:val="center"/>
              <w:rPr>
                <w:rFonts w:ascii="Times New Roman" w:eastAsia="仿宋"/>
                <w:szCs w:val="21"/>
              </w:rPr>
            </w:pPr>
            <w:r>
              <w:rPr>
                <w:rFonts w:hint="eastAsia" w:ascii="Times New Roman" w:eastAsia="仿宋"/>
                <w:szCs w:val="21"/>
              </w:rPr>
              <w:t>2号水帘式循环过滤系统+水喷淋+干式过滤器+活性炭吸附脱附+催化燃烧风机</w:t>
            </w:r>
          </w:p>
        </w:tc>
        <w:tc>
          <w:tcPr>
            <w:tcW w:w="460" w:type="pct"/>
            <w:vAlign w:val="center"/>
          </w:tcPr>
          <w:p w14:paraId="4EE5043D">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4DC9F13F">
            <w:pPr>
              <w:jc w:val="center"/>
              <w:rPr>
                <w:rFonts w:ascii="Times New Roman" w:eastAsia="仿宋"/>
                <w:szCs w:val="21"/>
              </w:rPr>
            </w:pPr>
            <w:r>
              <w:rPr>
                <w:rFonts w:ascii="Times New Roman" w:eastAsia="仿宋"/>
                <w:szCs w:val="21"/>
              </w:rPr>
              <w:t>48.75</w:t>
            </w:r>
          </w:p>
        </w:tc>
        <w:tc>
          <w:tcPr>
            <w:tcW w:w="435" w:type="pct"/>
            <w:vAlign w:val="center"/>
          </w:tcPr>
          <w:p w14:paraId="3C84F83C">
            <w:pPr>
              <w:jc w:val="center"/>
              <w:rPr>
                <w:rFonts w:ascii="Times New Roman" w:eastAsia="仿宋"/>
                <w:szCs w:val="21"/>
              </w:rPr>
            </w:pPr>
            <w:r>
              <w:rPr>
                <w:rFonts w:hint="eastAsia" w:ascii="Times New Roman" w:eastAsia="仿宋"/>
                <w:szCs w:val="21"/>
              </w:rPr>
              <w:t>1</w:t>
            </w:r>
            <w:r>
              <w:rPr>
                <w:rFonts w:ascii="Times New Roman" w:eastAsia="仿宋"/>
                <w:szCs w:val="21"/>
              </w:rPr>
              <w:t>4.96</w:t>
            </w:r>
          </w:p>
        </w:tc>
        <w:tc>
          <w:tcPr>
            <w:tcW w:w="472" w:type="pct"/>
            <w:vAlign w:val="center"/>
          </w:tcPr>
          <w:p w14:paraId="097207D3">
            <w:pPr>
              <w:jc w:val="center"/>
              <w:rPr>
                <w:rFonts w:ascii="Times New Roman" w:eastAsia="仿宋"/>
                <w:szCs w:val="21"/>
              </w:rPr>
            </w:pPr>
            <w:r>
              <w:rPr>
                <w:rFonts w:hint="eastAsia" w:ascii="Times New Roman" w:eastAsia="仿宋"/>
                <w:szCs w:val="21"/>
              </w:rPr>
              <w:t>0</w:t>
            </w:r>
          </w:p>
        </w:tc>
        <w:tc>
          <w:tcPr>
            <w:tcW w:w="469" w:type="pct"/>
            <w:vAlign w:val="center"/>
          </w:tcPr>
          <w:p w14:paraId="5F8510AE">
            <w:pPr>
              <w:jc w:val="center"/>
            </w:pPr>
            <w:r>
              <w:rPr>
                <w:rFonts w:ascii="Times New Roman" w:eastAsia="仿宋"/>
                <w:szCs w:val="21"/>
              </w:rPr>
              <w:t>80</w:t>
            </w:r>
          </w:p>
        </w:tc>
        <w:tc>
          <w:tcPr>
            <w:tcW w:w="622" w:type="pct"/>
            <w:vMerge w:val="continue"/>
            <w:vAlign w:val="center"/>
          </w:tcPr>
          <w:p w14:paraId="7895C332">
            <w:pPr>
              <w:spacing w:line="240" w:lineRule="atLeast"/>
              <w:jc w:val="center"/>
              <w:rPr>
                <w:rFonts w:ascii="Times New Roman" w:eastAsia="仿宋"/>
                <w:szCs w:val="21"/>
              </w:rPr>
            </w:pPr>
          </w:p>
        </w:tc>
        <w:tc>
          <w:tcPr>
            <w:tcW w:w="512" w:type="pct"/>
            <w:vAlign w:val="center"/>
          </w:tcPr>
          <w:p w14:paraId="423C2EE4">
            <w:pPr>
              <w:spacing w:line="240" w:lineRule="atLeast"/>
              <w:jc w:val="center"/>
              <w:rPr>
                <w:rFonts w:ascii="Times New Roman" w:eastAsia="仿宋"/>
                <w:bCs/>
                <w:szCs w:val="21"/>
              </w:rPr>
            </w:pPr>
            <w:r>
              <w:rPr>
                <w:rFonts w:ascii="Times New Roman" w:eastAsia="仿宋"/>
                <w:bCs/>
                <w:szCs w:val="21"/>
              </w:rPr>
              <w:t>连续运行</w:t>
            </w:r>
          </w:p>
        </w:tc>
      </w:tr>
      <w:tr w14:paraId="2A96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67" w:type="pct"/>
            <w:vAlign w:val="center"/>
          </w:tcPr>
          <w:p w14:paraId="42E85EB5">
            <w:pPr>
              <w:widowControl/>
              <w:jc w:val="center"/>
              <w:rPr>
                <w:rFonts w:ascii="Times New Roman" w:eastAsia="仿宋"/>
                <w:bCs/>
                <w:szCs w:val="21"/>
              </w:rPr>
            </w:pPr>
            <w:r>
              <w:rPr>
                <w:rFonts w:hint="eastAsia" w:ascii="Times New Roman" w:eastAsia="仿宋"/>
                <w:bCs/>
                <w:szCs w:val="21"/>
              </w:rPr>
              <w:t>5</w:t>
            </w:r>
          </w:p>
        </w:tc>
        <w:tc>
          <w:tcPr>
            <w:tcW w:w="1245" w:type="pct"/>
            <w:vAlign w:val="center"/>
          </w:tcPr>
          <w:p w14:paraId="7E0E6090">
            <w:pPr>
              <w:widowControl/>
              <w:jc w:val="center"/>
              <w:rPr>
                <w:rFonts w:ascii="Times New Roman" w:eastAsia="仿宋"/>
                <w:szCs w:val="21"/>
              </w:rPr>
            </w:pPr>
            <w:r>
              <w:rPr>
                <w:rFonts w:hint="eastAsia" w:ascii="Times New Roman" w:eastAsia="仿宋"/>
                <w:szCs w:val="21"/>
              </w:rPr>
              <w:t>3号水帘式循环过滤系统+水喷淋+干式过滤器+活性炭吸附脱附+催化燃烧风机</w:t>
            </w:r>
          </w:p>
        </w:tc>
        <w:tc>
          <w:tcPr>
            <w:tcW w:w="460" w:type="pct"/>
            <w:vAlign w:val="center"/>
          </w:tcPr>
          <w:p w14:paraId="25F5B6C5">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4A26AE14">
            <w:pPr>
              <w:jc w:val="center"/>
              <w:rPr>
                <w:rFonts w:ascii="Times New Roman" w:eastAsia="仿宋"/>
                <w:szCs w:val="21"/>
              </w:rPr>
            </w:pPr>
            <w:r>
              <w:rPr>
                <w:rFonts w:ascii="Times New Roman" w:eastAsia="仿宋"/>
                <w:szCs w:val="21"/>
              </w:rPr>
              <w:t>50.31</w:t>
            </w:r>
          </w:p>
        </w:tc>
        <w:tc>
          <w:tcPr>
            <w:tcW w:w="435" w:type="pct"/>
            <w:vAlign w:val="center"/>
          </w:tcPr>
          <w:p w14:paraId="5F3505F9">
            <w:pPr>
              <w:jc w:val="center"/>
              <w:rPr>
                <w:rFonts w:ascii="Times New Roman" w:eastAsia="仿宋"/>
                <w:szCs w:val="21"/>
              </w:rPr>
            </w:pPr>
            <w:r>
              <w:rPr>
                <w:rFonts w:hint="eastAsia" w:ascii="Times New Roman" w:eastAsia="仿宋"/>
                <w:szCs w:val="21"/>
              </w:rPr>
              <w:t>-</w:t>
            </w:r>
            <w:r>
              <w:rPr>
                <w:rFonts w:ascii="Times New Roman" w:eastAsia="仿宋"/>
                <w:szCs w:val="21"/>
              </w:rPr>
              <w:t>9.75</w:t>
            </w:r>
          </w:p>
        </w:tc>
        <w:tc>
          <w:tcPr>
            <w:tcW w:w="472" w:type="pct"/>
            <w:vAlign w:val="center"/>
          </w:tcPr>
          <w:p w14:paraId="47E8EFA8">
            <w:pPr>
              <w:jc w:val="center"/>
              <w:rPr>
                <w:rFonts w:ascii="Times New Roman" w:eastAsia="仿宋"/>
                <w:szCs w:val="21"/>
              </w:rPr>
            </w:pPr>
            <w:r>
              <w:rPr>
                <w:rFonts w:hint="eastAsia" w:ascii="Times New Roman" w:eastAsia="仿宋"/>
                <w:szCs w:val="21"/>
              </w:rPr>
              <w:t>0</w:t>
            </w:r>
          </w:p>
        </w:tc>
        <w:tc>
          <w:tcPr>
            <w:tcW w:w="469" w:type="pct"/>
            <w:vAlign w:val="center"/>
          </w:tcPr>
          <w:p w14:paraId="53720FA7">
            <w:pPr>
              <w:jc w:val="center"/>
            </w:pPr>
            <w:r>
              <w:rPr>
                <w:rFonts w:ascii="Times New Roman" w:eastAsia="仿宋"/>
                <w:szCs w:val="21"/>
              </w:rPr>
              <w:t>80</w:t>
            </w:r>
          </w:p>
        </w:tc>
        <w:tc>
          <w:tcPr>
            <w:tcW w:w="622" w:type="pct"/>
            <w:vMerge w:val="continue"/>
            <w:vAlign w:val="center"/>
          </w:tcPr>
          <w:p w14:paraId="53485072">
            <w:pPr>
              <w:spacing w:line="240" w:lineRule="atLeast"/>
              <w:jc w:val="center"/>
              <w:rPr>
                <w:rFonts w:ascii="Times New Roman" w:eastAsia="仿宋"/>
                <w:szCs w:val="21"/>
              </w:rPr>
            </w:pPr>
          </w:p>
        </w:tc>
        <w:tc>
          <w:tcPr>
            <w:tcW w:w="512" w:type="pct"/>
            <w:vAlign w:val="center"/>
          </w:tcPr>
          <w:p w14:paraId="52878EBD">
            <w:pPr>
              <w:spacing w:line="240" w:lineRule="atLeast"/>
              <w:jc w:val="center"/>
              <w:rPr>
                <w:rFonts w:ascii="Times New Roman" w:eastAsia="仿宋"/>
                <w:bCs/>
                <w:szCs w:val="21"/>
              </w:rPr>
            </w:pPr>
            <w:r>
              <w:rPr>
                <w:rFonts w:ascii="Times New Roman" w:eastAsia="仿宋"/>
                <w:bCs/>
                <w:szCs w:val="21"/>
              </w:rPr>
              <w:t>连续运行</w:t>
            </w:r>
          </w:p>
        </w:tc>
      </w:tr>
      <w:tr w14:paraId="0EBC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67" w:type="pct"/>
            <w:vAlign w:val="center"/>
          </w:tcPr>
          <w:p w14:paraId="496D55C1">
            <w:pPr>
              <w:widowControl/>
              <w:jc w:val="center"/>
              <w:rPr>
                <w:rFonts w:ascii="Times New Roman" w:eastAsia="仿宋"/>
                <w:bCs/>
                <w:szCs w:val="21"/>
              </w:rPr>
            </w:pPr>
            <w:r>
              <w:rPr>
                <w:rFonts w:hint="eastAsia" w:ascii="Times New Roman" w:eastAsia="仿宋"/>
                <w:bCs/>
                <w:szCs w:val="21"/>
              </w:rPr>
              <w:t>6</w:t>
            </w:r>
          </w:p>
        </w:tc>
        <w:tc>
          <w:tcPr>
            <w:tcW w:w="1245" w:type="pct"/>
            <w:vAlign w:val="center"/>
          </w:tcPr>
          <w:p w14:paraId="41A24234">
            <w:pPr>
              <w:widowControl/>
              <w:jc w:val="center"/>
              <w:rPr>
                <w:rFonts w:ascii="Times New Roman" w:eastAsia="仿宋"/>
                <w:szCs w:val="21"/>
              </w:rPr>
            </w:pPr>
            <w:r>
              <w:rPr>
                <w:rFonts w:hint="eastAsia" w:ascii="Times New Roman" w:eastAsia="仿宋"/>
                <w:szCs w:val="24"/>
              </w:rPr>
              <w:t>滤筒除尘器风机</w:t>
            </w:r>
          </w:p>
        </w:tc>
        <w:tc>
          <w:tcPr>
            <w:tcW w:w="460" w:type="pct"/>
            <w:vAlign w:val="center"/>
          </w:tcPr>
          <w:p w14:paraId="21016278">
            <w:pPr>
              <w:widowControl/>
              <w:jc w:val="center"/>
              <w:rPr>
                <w:rFonts w:ascii="Times New Roman" w:eastAsia="仿宋"/>
                <w:bCs/>
                <w:szCs w:val="21"/>
              </w:rPr>
            </w:pPr>
            <w:r>
              <w:rPr>
                <w:rFonts w:hint="eastAsia" w:ascii="Times New Roman" w:eastAsia="仿宋"/>
                <w:bCs/>
                <w:szCs w:val="21"/>
              </w:rPr>
              <w:t>1</w:t>
            </w:r>
          </w:p>
        </w:tc>
        <w:tc>
          <w:tcPr>
            <w:tcW w:w="517" w:type="pct"/>
            <w:vAlign w:val="center"/>
          </w:tcPr>
          <w:p w14:paraId="5E213DD8">
            <w:pPr>
              <w:jc w:val="center"/>
              <w:rPr>
                <w:rFonts w:ascii="Times New Roman" w:eastAsia="仿宋"/>
                <w:szCs w:val="21"/>
              </w:rPr>
            </w:pPr>
            <w:r>
              <w:rPr>
                <w:rFonts w:hint="eastAsia" w:ascii="Times New Roman" w:eastAsia="仿宋"/>
                <w:szCs w:val="21"/>
              </w:rPr>
              <w:t>8</w:t>
            </w:r>
            <w:r>
              <w:rPr>
                <w:rFonts w:ascii="Times New Roman" w:eastAsia="仿宋"/>
                <w:szCs w:val="21"/>
              </w:rPr>
              <w:t>9.72</w:t>
            </w:r>
          </w:p>
        </w:tc>
        <w:tc>
          <w:tcPr>
            <w:tcW w:w="435" w:type="pct"/>
            <w:vAlign w:val="center"/>
          </w:tcPr>
          <w:p w14:paraId="1E67A361">
            <w:pPr>
              <w:jc w:val="center"/>
              <w:rPr>
                <w:rFonts w:ascii="Times New Roman" w:eastAsia="仿宋"/>
                <w:szCs w:val="21"/>
              </w:rPr>
            </w:pPr>
            <w:r>
              <w:rPr>
                <w:rFonts w:hint="eastAsia" w:ascii="Times New Roman" w:eastAsia="仿宋"/>
                <w:szCs w:val="21"/>
              </w:rPr>
              <w:t>-2</w:t>
            </w:r>
            <w:r>
              <w:rPr>
                <w:rFonts w:ascii="Times New Roman" w:eastAsia="仿宋"/>
                <w:szCs w:val="21"/>
              </w:rPr>
              <w:t>.56</w:t>
            </w:r>
          </w:p>
        </w:tc>
        <w:tc>
          <w:tcPr>
            <w:tcW w:w="472" w:type="pct"/>
            <w:vAlign w:val="center"/>
          </w:tcPr>
          <w:p w14:paraId="30E6D410">
            <w:pPr>
              <w:jc w:val="center"/>
              <w:rPr>
                <w:rFonts w:ascii="Times New Roman" w:eastAsia="仿宋"/>
                <w:szCs w:val="21"/>
              </w:rPr>
            </w:pPr>
            <w:r>
              <w:rPr>
                <w:rFonts w:hint="eastAsia" w:ascii="Times New Roman" w:eastAsia="仿宋"/>
                <w:szCs w:val="21"/>
              </w:rPr>
              <w:t>0</w:t>
            </w:r>
          </w:p>
        </w:tc>
        <w:tc>
          <w:tcPr>
            <w:tcW w:w="469" w:type="pct"/>
            <w:vAlign w:val="center"/>
          </w:tcPr>
          <w:p w14:paraId="2A325110">
            <w:pPr>
              <w:jc w:val="center"/>
            </w:pPr>
            <w:r>
              <w:rPr>
                <w:rFonts w:ascii="Times New Roman" w:eastAsia="仿宋"/>
                <w:szCs w:val="21"/>
              </w:rPr>
              <w:t>80</w:t>
            </w:r>
          </w:p>
        </w:tc>
        <w:tc>
          <w:tcPr>
            <w:tcW w:w="622" w:type="pct"/>
            <w:vMerge w:val="continue"/>
            <w:vAlign w:val="center"/>
          </w:tcPr>
          <w:p w14:paraId="5F277AD5">
            <w:pPr>
              <w:spacing w:line="240" w:lineRule="atLeast"/>
              <w:jc w:val="center"/>
              <w:rPr>
                <w:rFonts w:ascii="Times New Roman" w:eastAsia="仿宋"/>
                <w:szCs w:val="21"/>
              </w:rPr>
            </w:pPr>
          </w:p>
        </w:tc>
        <w:tc>
          <w:tcPr>
            <w:tcW w:w="512" w:type="pct"/>
            <w:vAlign w:val="center"/>
          </w:tcPr>
          <w:p w14:paraId="040B7D01">
            <w:pPr>
              <w:spacing w:line="240" w:lineRule="atLeast"/>
              <w:jc w:val="center"/>
              <w:rPr>
                <w:rFonts w:ascii="Times New Roman" w:eastAsia="仿宋"/>
                <w:bCs/>
                <w:szCs w:val="21"/>
              </w:rPr>
            </w:pPr>
            <w:r>
              <w:rPr>
                <w:rFonts w:ascii="Times New Roman" w:eastAsia="仿宋"/>
                <w:bCs/>
                <w:szCs w:val="21"/>
              </w:rPr>
              <w:t>连续运行</w:t>
            </w:r>
          </w:p>
        </w:tc>
      </w:tr>
    </w:tbl>
    <w:p w14:paraId="70E95567">
      <w:pPr>
        <w:pStyle w:val="2"/>
        <w:rPr>
          <w:rFonts w:eastAsia="仿宋"/>
          <w:b/>
          <w:bCs/>
        </w:rPr>
      </w:pPr>
    </w:p>
    <w:p w14:paraId="104C5066">
      <w:pPr>
        <w:pStyle w:val="2"/>
        <w:rPr>
          <w:rFonts w:eastAsia="仿宋"/>
          <w:b/>
          <w:bCs/>
        </w:rPr>
      </w:pPr>
    </w:p>
    <w:p w14:paraId="226D55F1">
      <w:pPr>
        <w:pStyle w:val="2"/>
        <w:rPr>
          <w:rFonts w:eastAsia="仿宋"/>
          <w:b/>
          <w:bCs/>
        </w:rPr>
      </w:pPr>
    </w:p>
    <w:p w14:paraId="171C3DA9">
      <w:pPr>
        <w:spacing w:line="500" w:lineRule="exact"/>
        <w:ind w:firstLine="482" w:firstLineChars="200"/>
        <w:jc w:val="center"/>
        <w:rPr>
          <w:rFonts w:ascii="Times New Roman" w:eastAsia="仿宋"/>
          <w:b/>
          <w:bCs/>
        </w:rPr>
      </w:pPr>
    </w:p>
    <w:p w14:paraId="12F773E0">
      <w:pPr>
        <w:spacing w:line="520" w:lineRule="exact"/>
        <w:ind w:left="560"/>
        <w:rPr>
          <w:rFonts w:ascii="Times New Roman" w:eastAsia="仿宋"/>
          <w:sz w:val="28"/>
          <w:szCs w:val="28"/>
        </w:rPr>
        <w:sectPr>
          <w:pgSz w:w="16838" w:h="11906" w:orient="landscape"/>
          <w:pgMar w:top="1418" w:right="1134" w:bottom="1418" w:left="1134" w:header="851" w:footer="992" w:gutter="0"/>
          <w:cols w:space="720" w:num="1"/>
          <w:docGrid w:linePitch="312" w:charSpace="0"/>
        </w:sectPr>
      </w:pPr>
    </w:p>
    <w:p w14:paraId="10A20322">
      <w:pPr>
        <w:spacing w:line="520" w:lineRule="exact"/>
        <w:ind w:left="560"/>
        <w:rPr>
          <w:rFonts w:ascii="Times New Roman" w:eastAsia="仿宋"/>
          <w:sz w:val="28"/>
          <w:szCs w:val="28"/>
        </w:rPr>
      </w:pPr>
      <w:r>
        <w:rPr>
          <w:rFonts w:ascii="Times New Roman" w:eastAsia="仿宋"/>
          <w:sz w:val="28"/>
          <w:szCs w:val="28"/>
        </w:rPr>
        <w:t>③总声压级的计算</w:t>
      </w:r>
    </w:p>
    <w:p w14:paraId="1F443BDA">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设第i个室外声源在预测点产生的A声级为L</w:t>
      </w:r>
      <w:r>
        <w:rPr>
          <w:rFonts w:ascii="Times New Roman" w:eastAsia="仿宋"/>
          <w:sz w:val="28"/>
          <w:szCs w:val="28"/>
          <w:vertAlign w:val="subscript"/>
        </w:rPr>
        <w:t>Ai</w:t>
      </w:r>
      <w:r>
        <w:rPr>
          <w:rFonts w:ascii="Times New Roman" w:eastAsia="仿宋"/>
          <w:sz w:val="28"/>
          <w:szCs w:val="28"/>
        </w:rPr>
        <w:t>，在T时间内该声源工作时间为t</w:t>
      </w:r>
      <w:r>
        <w:rPr>
          <w:rFonts w:ascii="Times New Roman" w:eastAsia="仿宋"/>
          <w:sz w:val="28"/>
          <w:szCs w:val="28"/>
          <w:vertAlign w:val="subscript"/>
        </w:rPr>
        <w:t>i</w:t>
      </w:r>
      <w:r>
        <w:rPr>
          <w:rFonts w:ascii="Times New Roman" w:eastAsia="仿宋"/>
          <w:sz w:val="28"/>
          <w:szCs w:val="28"/>
        </w:rPr>
        <w:t>；第j个等效室外声源在预测点产生的A声级为L</w:t>
      </w:r>
      <w:r>
        <w:rPr>
          <w:rFonts w:ascii="Times New Roman" w:eastAsia="仿宋"/>
          <w:sz w:val="28"/>
          <w:szCs w:val="28"/>
          <w:vertAlign w:val="subscript"/>
        </w:rPr>
        <w:t>Aj</w:t>
      </w:r>
      <w:r>
        <w:rPr>
          <w:rFonts w:ascii="Times New Roman" w:eastAsia="仿宋"/>
          <w:sz w:val="28"/>
          <w:szCs w:val="28"/>
        </w:rPr>
        <w:t>，在T时间内该声源工作时间为t</w:t>
      </w:r>
      <w:r>
        <w:rPr>
          <w:rFonts w:ascii="Times New Roman" w:eastAsia="仿宋"/>
          <w:sz w:val="28"/>
          <w:szCs w:val="28"/>
          <w:vertAlign w:val="subscript"/>
        </w:rPr>
        <w:t>j</w:t>
      </w:r>
      <w:r>
        <w:rPr>
          <w:rFonts w:ascii="Times New Roman" w:eastAsia="仿宋"/>
          <w:sz w:val="28"/>
          <w:szCs w:val="28"/>
        </w:rPr>
        <w:t>，则拟建工程声源对预测点产生的贡献值（L</w:t>
      </w:r>
      <w:r>
        <w:rPr>
          <w:rFonts w:ascii="Times New Roman" w:eastAsia="仿宋"/>
          <w:sz w:val="28"/>
          <w:szCs w:val="28"/>
          <w:vertAlign w:val="subscript"/>
        </w:rPr>
        <w:t>eqg</w:t>
      </w:r>
      <w:r>
        <w:rPr>
          <w:rFonts w:ascii="Times New Roman" w:eastAsia="仿宋"/>
          <w:sz w:val="28"/>
          <w:szCs w:val="28"/>
        </w:rPr>
        <w:t>）为：</w:t>
      </w:r>
    </w:p>
    <w:p w14:paraId="14418C3A">
      <w:pPr>
        <w:autoSpaceDE w:val="0"/>
        <w:autoSpaceDN w:val="0"/>
        <w:adjustRightInd w:val="0"/>
        <w:jc w:val="center"/>
        <w:rPr>
          <w:rFonts w:ascii="Times New Roman" w:eastAsia="仿宋"/>
          <w:szCs w:val="21"/>
        </w:rPr>
      </w:pPr>
      <w:r>
        <w:rPr>
          <w:rFonts w:ascii="Times New Roman" w:eastAsia="仿宋"/>
        </w:rPr>
        <w:drawing>
          <wp:inline distT="0" distB="0" distL="0" distR="0">
            <wp:extent cx="2774950" cy="548640"/>
            <wp:effectExtent l="0" t="0" r="0" b="0"/>
            <wp:docPr id="48"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774950" cy="548640"/>
                    </a:xfrm>
                    <a:prstGeom prst="rect">
                      <a:avLst/>
                    </a:prstGeom>
                    <a:noFill/>
                    <a:ln>
                      <a:noFill/>
                    </a:ln>
                  </pic:spPr>
                </pic:pic>
              </a:graphicData>
            </a:graphic>
          </wp:inline>
        </w:drawing>
      </w:r>
    </w:p>
    <w:p w14:paraId="69F8140A">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式中：</w:t>
      </w:r>
      <w:r>
        <w:rPr>
          <w:rFonts w:ascii="Times New Roman" w:eastAsia="仿宋"/>
          <w:i/>
          <w:iCs/>
          <w:sz w:val="28"/>
          <w:szCs w:val="28"/>
        </w:rPr>
        <w:t>L</w:t>
      </w:r>
      <w:r>
        <w:rPr>
          <w:rFonts w:ascii="Times New Roman" w:eastAsia="仿宋"/>
          <w:sz w:val="28"/>
          <w:szCs w:val="28"/>
          <w:vertAlign w:val="subscript"/>
        </w:rPr>
        <w:t>eqg</w:t>
      </w:r>
      <w:r>
        <w:rPr>
          <w:rFonts w:ascii="Times New Roman" w:eastAsia="仿宋"/>
          <w:sz w:val="28"/>
          <w:szCs w:val="28"/>
        </w:rPr>
        <w:t>——建设项目声源在预测点产生的噪声贡献值，dB；</w:t>
      </w:r>
    </w:p>
    <w:p w14:paraId="79865820">
      <w:pPr>
        <w:autoSpaceDE w:val="0"/>
        <w:autoSpaceDN w:val="0"/>
        <w:adjustRightInd w:val="0"/>
        <w:spacing w:line="500" w:lineRule="exact"/>
        <w:ind w:firstLine="1120" w:firstLineChars="400"/>
        <w:jc w:val="left"/>
        <w:rPr>
          <w:rFonts w:ascii="Times New Roman" w:eastAsia="仿宋"/>
          <w:sz w:val="28"/>
          <w:szCs w:val="28"/>
        </w:rPr>
      </w:pPr>
      <w:r>
        <w:rPr>
          <w:rFonts w:ascii="Times New Roman" w:eastAsia="仿宋"/>
          <w:i/>
          <w:iCs/>
          <w:sz w:val="28"/>
          <w:szCs w:val="28"/>
        </w:rPr>
        <w:t xml:space="preserve">T </w:t>
      </w:r>
      <w:r>
        <w:rPr>
          <w:rFonts w:ascii="Times New Roman" w:eastAsia="仿宋"/>
          <w:sz w:val="28"/>
          <w:szCs w:val="28"/>
        </w:rPr>
        <w:t>——用于计算等效声级的时间，s；</w:t>
      </w:r>
    </w:p>
    <w:p w14:paraId="094FDB15">
      <w:pPr>
        <w:autoSpaceDE w:val="0"/>
        <w:autoSpaceDN w:val="0"/>
        <w:adjustRightInd w:val="0"/>
        <w:spacing w:line="500" w:lineRule="exact"/>
        <w:ind w:firstLine="1120" w:firstLineChars="400"/>
        <w:jc w:val="left"/>
        <w:rPr>
          <w:rFonts w:ascii="Times New Roman" w:eastAsia="仿宋"/>
          <w:sz w:val="28"/>
          <w:szCs w:val="28"/>
        </w:rPr>
      </w:pPr>
      <w:r>
        <w:rPr>
          <w:rFonts w:ascii="Times New Roman" w:eastAsia="仿宋"/>
          <w:i/>
          <w:iCs/>
          <w:sz w:val="28"/>
          <w:szCs w:val="28"/>
        </w:rPr>
        <w:t xml:space="preserve">N </w:t>
      </w:r>
      <w:r>
        <w:rPr>
          <w:rFonts w:ascii="Times New Roman" w:eastAsia="仿宋"/>
          <w:sz w:val="28"/>
          <w:szCs w:val="28"/>
        </w:rPr>
        <w:t>——室外声源个数；</w:t>
      </w:r>
    </w:p>
    <w:p w14:paraId="1E653929">
      <w:pPr>
        <w:autoSpaceDE w:val="0"/>
        <w:autoSpaceDN w:val="0"/>
        <w:adjustRightInd w:val="0"/>
        <w:spacing w:line="500" w:lineRule="exact"/>
        <w:ind w:firstLine="1120" w:firstLineChars="400"/>
        <w:jc w:val="left"/>
        <w:rPr>
          <w:rFonts w:ascii="Times New Roman" w:eastAsia="仿宋"/>
          <w:sz w:val="28"/>
          <w:szCs w:val="28"/>
        </w:rPr>
      </w:pPr>
      <w:r>
        <w:rPr>
          <w:rFonts w:ascii="Times New Roman" w:eastAsia="仿宋"/>
          <w:i/>
          <w:iCs/>
          <w:sz w:val="28"/>
          <w:szCs w:val="28"/>
        </w:rPr>
        <w:t xml:space="preserve">t </w:t>
      </w:r>
      <w:r>
        <w:rPr>
          <w:rFonts w:ascii="Times New Roman" w:eastAsia="仿宋"/>
          <w:i/>
          <w:iCs/>
          <w:sz w:val="28"/>
          <w:szCs w:val="28"/>
          <w:vertAlign w:val="subscript"/>
        </w:rPr>
        <w:t>i</w:t>
      </w:r>
      <w:r>
        <w:rPr>
          <w:rFonts w:ascii="Times New Roman" w:eastAsia="仿宋"/>
          <w:sz w:val="28"/>
          <w:szCs w:val="28"/>
        </w:rPr>
        <w:t>——在</w:t>
      </w:r>
      <w:r>
        <w:rPr>
          <w:rFonts w:ascii="Times New Roman" w:eastAsia="仿宋"/>
          <w:i/>
          <w:iCs/>
          <w:sz w:val="28"/>
          <w:szCs w:val="28"/>
        </w:rPr>
        <w:t>T</w:t>
      </w:r>
      <w:r>
        <w:rPr>
          <w:rFonts w:ascii="Times New Roman" w:eastAsia="仿宋"/>
          <w:sz w:val="28"/>
          <w:szCs w:val="28"/>
        </w:rPr>
        <w:t>时间内</w:t>
      </w:r>
      <w:r>
        <w:rPr>
          <w:rFonts w:ascii="Times New Roman" w:eastAsia="仿宋"/>
          <w:i/>
          <w:iCs/>
          <w:sz w:val="28"/>
          <w:szCs w:val="28"/>
        </w:rPr>
        <w:t>i</w:t>
      </w:r>
      <w:r>
        <w:rPr>
          <w:rFonts w:ascii="Times New Roman" w:eastAsia="仿宋"/>
          <w:sz w:val="28"/>
          <w:szCs w:val="28"/>
        </w:rPr>
        <w:t>声源工作时间，s；</w:t>
      </w:r>
    </w:p>
    <w:p w14:paraId="5FC549F9">
      <w:pPr>
        <w:autoSpaceDE w:val="0"/>
        <w:autoSpaceDN w:val="0"/>
        <w:adjustRightInd w:val="0"/>
        <w:spacing w:line="500" w:lineRule="exact"/>
        <w:ind w:firstLine="1120" w:firstLineChars="400"/>
        <w:jc w:val="left"/>
        <w:rPr>
          <w:rFonts w:ascii="Times New Roman" w:eastAsia="仿宋"/>
          <w:sz w:val="28"/>
          <w:szCs w:val="28"/>
        </w:rPr>
      </w:pPr>
      <w:r>
        <w:rPr>
          <w:rFonts w:ascii="Times New Roman" w:eastAsia="仿宋"/>
          <w:i/>
          <w:iCs/>
          <w:sz w:val="28"/>
          <w:szCs w:val="28"/>
        </w:rPr>
        <w:t xml:space="preserve">M </w:t>
      </w:r>
      <w:r>
        <w:rPr>
          <w:rFonts w:ascii="Times New Roman" w:eastAsia="仿宋"/>
          <w:sz w:val="28"/>
          <w:szCs w:val="28"/>
        </w:rPr>
        <w:t>——等效室外声源个数；</w:t>
      </w:r>
    </w:p>
    <w:p w14:paraId="2D30A304">
      <w:pPr>
        <w:autoSpaceDE w:val="0"/>
        <w:autoSpaceDN w:val="0"/>
        <w:adjustRightInd w:val="0"/>
        <w:spacing w:line="500" w:lineRule="exact"/>
        <w:ind w:firstLine="1120" w:firstLineChars="400"/>
        <w:jc w:val="left"/>
        <w:rPr>
          <w:rFonts w:ascii="Times New Roman" w:eastAsia="仿宋"/>
          <w:sz w:val="28"/>
          <w:szCs w:val="28"/>
        </w:rPr>
      </w:pPr>
      <w:r>
        <w:rPr>
          <w:rFonts w:ascii="Times New Roman" w:eastAsia="仿宋"/>
          <w:i/>
          <w:iCs/>
          <w:sz w:val="28"/>
          <w:szCs w:val="28"/>
        </w:rPr>
        <w:t xml:space="preserve">t </w:t>
      </w:r>
      <w:r>
        <w:rPr>
          <w:rFonts w:ascii="Times New Roman" w:eastAsia="仿宋"/>
          <w:i/>
          <w:iCs/>
          <w:sz w:val="28"/>
          <w:szCs w:val="28"/>
          <w:vertAlign w:val="subscript"/>
        </w:rPr>
        <w:t>j</w:t>
      </w:r>
      <w:r>
        <w:rPr>
          <w:rFonts w:ascii="Times New Roman" w:eastAsia="仿宋"/>
          <w:sz w:val="28"/>
          <w:szCs w:val="28"/>
        </w:rPr>
        <w:t>——在</w:t>
      </w:r>
      <w:r>
        <w:rPr>
          <w:rFonts w:ascii="Times New Roman" w:eastAsia="仿宋"/>
          <w:i/>
          <w:iCs/>
          <w:sz w:val="28"/>
          <w:szCs w:val="28"/>
        </w:rPr>
        <w:t xml:space="preserve">T </w:t>
      </w:r>
      <w:r>
        <w:rPr>
          <w:rFonts w:ascii="Times New Roman" w:eastAsia="仿宋"/>
          <w:sz w:val="28"/>
          <w:szCs w:val="28"/>
        </w:rPr>
        <w:t>时间内</w:t>
      </w:r>
      <w:r>
        <w:rPr>
          <w:rFonts w:ascii="Times New Roman" w:eastAsia="仿宋"/>
          <w:i/>
          <w:iCs/>
          <w:sz w:val="28"/>
          <w:szCs w:val="28"/>
        </w:rPr>
        <w:t>j</w:t>
      </w:r>
      <w:r>
        <w:rPr>
          <w:rFonts w:ascii="Times New Roman" w:eastAsia="仿宋"/>
          <w:sz w:val="28"/>
          <w:szCs w:val="28"/>
        </w:rPr>
        <w:t>声源工作时间，s。</w:t>
      </w:r>
    </w:p>
    <w:p w14:paraId="171C227D">
      <w:pPr>
        <w:spacing w:line="520" w:lineRule="exact"/>
        <w:ind w:left="560"/>
        <w:rPr>
          <w:rFonts w:ascii="Times New Roman" w:eastAsia="仿宋"/>
          <w:sz w:val="28"/>
          <w:szCs w:val="28"/>
        </w:rPr>
      </w:pPr>
      <w:r>
        <w:rPr>
          <w:rFonts w:ascii="Times New Roman" w:eastAsia="仿宋"/>
          <w:sz w:val="28"/>
          <w:szCs w:val="28"/>
        </w:rPr>
        <w:t>④预测值计算</w:t>
      </w:r>
    </w:p>
    <w:p w14:paraId="2BE62F08">
      <w:pPr>
        <w:spacing w:line="500" w:lineRule="exact"/>
        <w:ind w:firstLine="560" w:firstLineChars="200"/>
        <w:rPr>
          <w:rFonts w:ascii="Times New Roman" w:eastAsia="仿宋"/>
          <w:szCs w:val="21"/>
        </w:rPr>
      </w:pPr>
      <w:r>
        <w:rPr>
          <w:rFonts w:ascii="Times New Roman" w:eastAsia="仿宋"/>
          <w:sz w:val="28"/>
          <w:szCs w:val="28"/>
        </w:rPr>
        <w:t>预测点的贡献值和背景值按能量叠加方法计算得到的声级。预测点的预测等效声级（L</w:t>
      </w:r>
      <w:r>
        <w:rPr>
          <w:rFonts w:ascii="Times New Roman" w:eastAsia="仿宋"/>
          <w:sz w:val="28"/>
          <w:szCs w:val="28"/>
          <w:vertAlign w:val="subscript"/>
        </w:rPr>
        <w:t>eqg</w:t>
      </w:r>
      <w:r>
        <w:rPr>
          <w:rFonts w:ascii="Times New Roman" w:eastAsia="仿宋"/>
          <w:sz w:val="28"/>
          <w:szCs w:val="28"/>
        </w:rPr>
        <w:t>）计算公式：</w:t>
      </w:r>
    </w:p>
    <w:p w14:paraId="5DAFA991">
      <w:pPr>
        <w:autoSpaceDE w:val="0"/>
        <w:autoSpaceDN w:val="0"/>
        <w:adjustRightInd w:val="0"/>
        <w:jc w:val="center"/>
        <w:rPr>
          <w:rFonts w:ascii="Times New Roman" w:eastAsia="仿宋"/>
          <w:szCs w:val="21"/>
        </w:rPr>
      </w:pPr>
      <w:r>
        <w:rPr>
          <w:rFonts w:ascii="Times New Roman" w:eastAsia="仿宋"/>
        </w:rPr>
        <w:drawing>
          <wp:inline distT="0" distB="0" distL="0" distR="0">
            <wp:extent cx="2655570" cy="405765"/>
            <wp:effectExtent l="0" t="0" r="0" b="0"/>
            <wp:docPr id="49"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55570" cy="405765"/>
                    </a:xfrm>
                    <a:prstGeom prst="rect">
                      <a:avLst/>
                    </a:prstGeom>
                    <a:noFill/>
                    <a:ln>
                      <a:noFill/>
                    </a:ln>
                  </pic:spPr>
                </pic:pic>
              </a:graphicData>
            </a:graphic>
          </wp:inline>
        </w:drawing>
      </w:r>
    </w:p>
    <w:p w14:paraId="005B9E21">
      <w:pPr>
        <w:autoSpaceDE w:val="0"/>
        <w:autoSpaceDN w:val="0"/>
        <w:adjustRightInd w:val="0"/>
        <w:spacing w:line="500" w:lineRule="exact"/>
        <w:ind w:firstLine="560" w:firstLineChars="200"/>
        <w:jc w:val="left"/>
        <w:rPr>
          <w:rFonts w:ascii="Times New Roman" w:eastAsia="仿宋"/>
          <w:sz w:val="28"/>
          <w:szCs w:val="28"/>
        </w:rPr>
      </w:pPr>
      <w:r>
        <w:rPr>
          <w:rFonts w:ascii="Times New Roman" w:eastAsia="仿宋"/>
          <w:sz w:val="28"/>
          <w:szCs w:val="28"/>
        </w:rPr>
        <w:t>式中：</w:t>
      </w:r>
      <w:r>
        <w:rPr>
          <w:rFonts w:ascii="Times New Roman" w:eastAsia="仿宋"/>
        </w:rPr>
        <w:t>L</w:t>
      </w:r>
      <w:r>
        <w:rPr>
          <w:rFonts w:ascii="Times New Roman" w:eastAsia="仿宋"/>
          <w:i/>
          <w:iCs/>
          <w:vertAlign w:val="subscript"/>
        </w:rPr>
        <w:t>eq</w:t>
      </w:r>
      <w:r>
        <w:rPr>
          <w:rFonts w:ascii="Times New Roman" w:eastAsia="仿宋"/>
          <w:sz w:val="28"/>
          <w:szCs w:val="28"/>
        </w:rPr>
        <w:t>——预测点的噪声预测值，dB；</w:t>
      </w:r>
    </w:p>
    <w:p w14:paraId="57957160">
      <w:pPr>
        <w:autoSpaceDE w:val="0"/>
        <w:autoSpaceDN w:val="0"/>
        <w:adjustRightInd w:val="0"/>
        <w:spacing w:line="500" w:lineRule="exact"/>
        <w:ind w:firstLine="1400" w:firstLineChars="500"/>
        <w:jc w:val="left"/>
        <w:rPr>
          <w:rFonts w:ascii="Times New Roman" w:eastAsia="仿宋"/>
          <w:sz w:val="28"/>
          <w:szCs w:val="28"/>
        </w:rPr>
      </w:pPr>
      <w:r>
        <w:rPr>
          <w:rFonts w:ascii="Times New Roman" w:eastAsia="仿宋"/>
          <w:i/>
          <w:iCs/>
          <w:sz w:val="28"/>
          <w:szCs w:val="28"/>
        </w:rPr>
        <w:t>L</w:t>
      </w:r>
      <w:r>
        <w:rPr>
          <w:rFonts w:ascii="Times New Roman" w:eastAsia="仿宋"/>
          <w:i/>
          <w:iCs/>
          <w:sz w:val="28"/>
          <w:szCs w:val="28"/>
          <w:vertAlign w:val="subscript"/>
        </w:rPr>
        <w:t>eqg</w:t>
      </w:r>
      <w:r>
        <w:rPr>
          <w:rFonts w:ascii="Times New Roman" w:eastAsia="仿宋"/>
          <w:i/>
          <w:iCs/>
          <w:sz w:val="28"/>
          <w:szCs w:val="28"/>
        </w:rPr>
        <w:t xml:space="preserve"> </w:t>
      </w:r>
      <w:r>
        <w:rPr>
          <w:rFonts w:ascii="Times New Roman" w:eastAsia="仿宋"/>
          <w:sz w:val="28"/>
          <w:szCs w:val="28"/>
        </w:rPr>
        <w:t>——建设项目声源在预测点产生的噪声贡献值，dB；</w:t>
      </w:r>
    </w:p>
    <w:p w14:paraId="6E60BB4A">
      <w:pPr>
        <w:autoSpaceDE w:val="0"/>
        <w:autoSpaceDN w:val="0"/>
        <w:adjustRightInd w:val="0"/>
        <w:spacing w:line="500" w:lineRule="exact"/>
        <w:ind w:firstLine="1400" w:firstLineChars="500"/>
        <w:jc w:val="left"/>
        <w:rPr>
          <w:rFonts w:ascii="Times New Roman" w:eastAsia="仿宋"/>
          <w:sz w:val="28"/>
          <w:szCs w:val="28"/>
        </w:rPr>
      </w:pPr>
      <w:r>
        <w:rPr>
          <w:rFonts w:ascii="Times New Roman" w:eastAsia="仿宋"/>
          <w:i/>
          <w:iCs/>
          <w:sz w:val="28"/>
          <w:szCs w:val="28"/>
        </w:rPr>
        <w:t>L</w:t>
      </w:r>
      <w:r>
        <w:rPr>
          <w:rFonts w:ascii="Times New Roman" w:eastAsia="仿宋"/>
          <w:i/>
          <w:iCs/>
          <w:sz w:val="28"/>
          <w:szCs w:val="28"/>
          <w:vertAlign w:val="subscript"/>
        </w:rPr>
        <w:t>eqb</w:t>
      </w:r>
      <w:r>
        <w:rPr>
          <w:rFonts w:ascii="Times New Roman" w:eastAsia="仿宋"/>
          <w:i/>
          <w:iCs/>
          <w:sz w:val="28"/>
          <w:szCs w:val="28"/>
        </w:rPr>
        <w:t xml:space="preserve"> </w:t>
      </w:r>
      <w:r>
        <w:rPr>
          <w:rFonts w:ascii="Times New Roman" w:eastAsia="仿宋"/>
          <w:sz w:val="28"/>
          <w:szCs w:val="28"/>
        </w:rPr>
        <w:t>——预测点的背景噪声值，dB。</w:t>
      </w:r>
    </w:p>
    <w:p w14:paraId="3E47A94D">
      <w:pPr>
        <w:keepNext/>
        <w:widowControl/>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5</w:t>
      </w:r>
      <w:r>
        <w:rPr>
          <w:rFonts w:ascii="Times New Roman" w:eastAsia="仿宋"/>
          <w:b/>
          <w:bCs/>
          <w:sz w:val="28"/>
          <w:szCs w:val="28"/>
        </w:rPr>
        <w:t>.2.3.3预测范围</w:t>
      </w:r>
    </w:p>
    <w:p w14:paraId="26F6D16D">
      <w:pPr>
        <w:spacing w:line="500" w:lineRule="exact"/>
        <w:ind w:firstLine="560" w:firstLineChars="200"/>
        <w:rPr>
          <w:rFonts w:ascii="Times New Roman" w:eastAsia="仿宋"/>
          <w:sz w:val="28"/>
          <w:szCs w:val="28"/>
        </w:rPr>
      </w:pPr>
      <w:r>
        <w:rPr>
          <w:rFonts w:ascii="Times New Roman" w:eastAsia="仿宋"/>
          <w:sz w:val="28"/>
          <w:szCs w:val="28"/>
        </w:rPr>
        <w:t>根据《环境影响评价技术导则 声环境》(HJ2.4-2021)要求：一级评价范围以建设项目边界向外200m为评价范围，二、三级评价范围可根据建设项目所在区域和相邻区域的声环境功能区类别及声环境保护目标等实际情况适当缩小，本项目声评价等级为三级评价，选取建设项目边界向外200m作为评价范围。根据现场踏勘及周边500m范围图可看出，200m范围内无噪声敏感点。</w:t>
      </w:r>
    </w:p>
    <w:p w14:paraId="63F92CBC">
      <w:pPr>
        <w:keepNext/>
        <w:widowControl/>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5</w:t>
      </w:r>
      <w:r>
        <w:rPr>
          <w:rFonts w:ascii="Times New Roman" w:eastAsia="仿宋"/>
          <w:b/>
          <w:bCs/>
          <w:sz w:val="28"/>
          <w:szCs w:val="28"/>
        </w:rPr>
        <w:t>.2.3.4预测结果及分析</w:t>
      </w:r>
    </w:p>
    <w:p w14:paraId="7C79FB73">
      <w:pPr>
        <w:spacing w:line="500" w:lineRule="exact"/>
        <w:ind w:firstLine="480"/>
        <w:rPr>
          <w:rFonts w:ascii="Times New Roman" w:eastAsia="仿宋"/>
          <w:sz w:val="28"/>
          <w:szCs w:val="28"/>
        </w:rPr>
      </w:pPr>
      <w:r>
        <w:rPr>
          <w:rFonts w:ascii="Times New Roman" w:eastAsia="仿宋"/>
          <w:sz w:val="28"/>
          <w:szCs w:val="28"/>
        </w:rPr>
        <w:t>根据以上预测模式计算出本项目噪声源对厂界噪声的贡献值，同时以项目实测噪声值作为本底值，从而计算各厂界的预测值。厂界环境噪声预测结果见下表：</w:t>
      </w:r>
    </w:p>
    <w:p w14:paraId="2AA23BC9">
      <w:pPr>
        <w:spacing w:line="500" w:lineRule="exact"/>
        <w:ind w:firstLine="480"/>
        <w:rPr>
          <w:rFonts w:ascii="Times New Roman" w:eastAsia="仿宋"/>
          <w:sz w:val="28"/>
          <w:szCs w:val="28"/>
        </w:rPr>
      </w:pPr>
    </w:p>
    <w:p w14:paraId="61738599">
      <w:pPr>
        <w:adjustRightInd w:val="0"/>
        <w:snapToGrid w:val="0"/>
        <w:spacing w:line="500" w:lineRule="exact"/>
        <w:jc w:val="center"/>
        <w:rPr>
          <w:rFonts w:ascii="Times New Roman" w:eastAsia="仿宋"/>
          <w:b/>
        </w:rPr>
        <w:sectPr>
          <w:pgSz w:w="11906" w:h="16838"/>
          <w:pgMar w:top="1134" w:right="1418" w:bottom="1134" w:left="1418" w:header="851" w:footer="992" w:gutter="0"/>
          <w:cols w:space="720" w:num="1"/>
          <w:docGrid w:linePitch="312" w:charSpace="0"/>
        </w:sectPr>
      </w:pPr>
    </w:p>
    <w:p w14:paraId="0C6B1927">
      <w:pPr>
        <w:adjustRightInd w:val="0"/>
        <w:snapToGrid w:val="0"/>
        <w:spacing w:line="500" w:lineRule="exact"/>
        <w:jc w:val="center"/>
        <w:rPr>
          <w:rFonts w:ascii="Times New Roman" w:eastAsia="仿宋"/>
          <w:b/>
        </w:rPr>
      </w:pPr>
      <w:r>
        <w:rPr>
          <w:rFonts w:ascii="Times New Roman" w:eastAsia="仿宋"/>
          <w:b/>
        </w:rPr>
        <w:t>表5.2-33  噪声影响预测结果  单位：dB（A）</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407"/>
        <w:gridCol w:w="914"/>
        <w:gridCol w:w="911"/>
        <w:gridCol w:w="911"/>
        <w:gridCol w:w="911"/>
        <w:gridCol w:w="819"/>
        <w:gridCol w:w="887"/>
        <w:gridCol w:w="1183"/>
        <w:gridCol w:w="994"/>
        <w:gridCol w:w="994"/>
        <w:gridCol w:w="994"/>
        <w:gridCol w:w="813"/>
        <w:gridCol w:w="813"/>
        <w:gridCol w:w="725"/>
        <w:gridCol w:w="727"/>
      </w:tblGrid>
      <w:tr w14:paraId="61CB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65" w:type="pct"/>
            <w:vMerge w:val="restart"/>
            <w:vAlign w:val="center"/>
          </w:tcPr>
          <w:p w14:paraId="4F12D2A2">
            <w:pPr>
              <w:widowControl/>
              <w:jc w:val="center"/>
              <w:rPr>
                <w:rFonts w:ascii="Times New Roman" w:eastAsia="仿宋"/>
                <w:szCs w:val="21"/>
              </w:rPr>
            </w:pPr>
            <w:r>
              <w:rPr>
                <w:rFonts w:ascii="Times New Roman" w:eastAsia="仿宋"/>
                <w:szCs w:val="21"/>
              </w:rPr>
              <w:t>序号</w:t>
            </w:r>
          </w:p>
        </w:tc>
        <w:tc>
          <w:tcPr>
            <w:tcW w:w="476" w:type="pct"/>
            <w:vMerge w:val="restart"/>
            <w:vAlign w:val="center"/>
          </w:tcPr>
          <w:p w14:paraId="453BC386">
            <w:pPr>
              <w:widowControl/>
              <w:jc w:val="center"/>
              <w:rPr>
                <w:rFonts w:ascii="Times New Roman" w:eastAsia="仿宋"/>
                <w:szCs w:val="21"/>
              </w:rPr>
            </w:pPr>
            <w:r>
              <w:rPr>
                <w:rFonts w:ascii="Times New Roman" w:eastAsia="仿宋"/>
                <w:szCs w:val="21"/>
              </w:rPr>
              <w:t>关心点</w:t>
            </w:r>
          </w:p>
        </w:tc>
        <w:tc>
          <w:tcPr>
            <w:tcW w:w="617" w:type="pct"/>
            <w:gridSpan w:val="2"/>
            <w:vAlign w:val="center"/>
          </w:tcPr>
          <w:p w14:paraId="50BBE507">
            <w:pPr>
              <w:widowControl/>
              <w:jc w:val="center"/>
              <w:rPr>
                <w:rFonts w:ascii="Times New Roman" w:eastAsia="仿宋"/>
                <w:szCs w:val="21"/>
              </w:rPr>
            </w:pPr>
            <w:r>
              <w:rPr>
                <w:rFonts w:ascii="Times New Roman" w:eastAsia="仿宋"/>
                <w:szCs w:val="21"/>
              </w:rPr>
              <w:t>噪声背景值</w:t>
            </w:r>
          </w:p>
        </w:tc>
        <w:tc>
          <w:tcPr>
            <w:tcW w:w="616" w:type="pct"/>
            <w:gridSpan w:val="2"/>
            <w:vAlign w:val="center"/>
          </w:tcPr>
          <w:p w14:paraId="21783360">
            <w:pPr>
              <w:widowControl/>
              <w:jc w:val="center"/>
              <w:rPr>
                <w:rFonts w:ascii="Times New Roman" w:eastAsia="仿宋"/>
                <w:szCs w:val="21"/>
              </w:rPr>
            </w:pPr>
            <w:r>
              <w:rPr>
                <w:rFonts w:ascii="Times New Roman" w:eastAsia="仿宋"/>
                <w:szCs w:val="21"/>
              </w:rPr>
              <w:t>噪声现状值</w:t>
            </w:r>
          </w:p>
        </w:tc>
        <w:tc>
          <w:tcPr>
            <w:tcW w:w="577" w:type="pct"/>
            <w:gridSpan w:val="2"/>
            <w:vAlign w:val="center"/>
          </w:tcPr>
          <w:p w14:paraId="0483DB5C">
            <w:pPr>
              <w:widowControl/>
              <w:jc w:val="center"/>
              <w:rPr>
                <w:rFonts w:ascii="Times New Roman" w:eastAsia="仿宋"/>
                <w:szCs w:val="21"/>
              </w:rPr>
            </w:pPr>
            <w:r>
              <w:rPr>
                <w:rFonts w:ascii="Times New Roman" w:eastAsia="仿宋"/>
                <w:szCs w:val="21"/>
              </w:rPr>
              <w:t>噪声标准</w:t>
            </w:r>
          </w:p>
        </w:tc>
        <w:tc>
          <w:tcPr>
            <w:tcW w:w="736" w:type="pct"/>
            <w:gridSpan w:val="2"/>
            <w:vAlign w:val="center"/>
          </w:tcPr>
          <w:p w14:paraId="1DA0B39F">
            <w:pPr>
              <w:widowControl/>
              <w:jc w:val="center"/>
              <w:rPr>
                <w:rFonts w:ascii="Times New Roman" w:eastAsia="仿宋"/>
                <w:szCs w:val="21"/>
              </w:rPr>
            </w:pPr>
            <w:r>
              <w:rPr>
                <w:rFonts w:ascii="Times New Roman" w:eastAsia="仿宋"/>
                <w:szCs w:val="21"/>
              </w:rPr>
              <w:t>噪声贡献值</w:t>
            </w:r>
          </w:p>
        </w:tc>
        <w:tc>
          <w:tcPr>
            <w:tcW w:w="672" w:type="pct"/>
            <w:gridSpan w:val="2"/>
            <w:vAlign w:val="center"/>
          </w:tcPr>
          <w:p w14:paraId="2C979EA7">
            <w:pPr>
              <w:widowControl/>
              <w:jc w:val="center"/>
              <w:rPr>
                <w:rFonts w:ascii="Times New Roman" w:eastAsia="仿宋"/>
                <w:szCs w:val="21"/>
              </w:rPr>
            </w:pPr>
            <w:r>
              <w:rPr>
                <w:rFonts w:ascii="Times New Roman" w:eastAsia="仿宋"/>
                <w:szCs w:val="21"/>
              </w:rPr>
              <w:t>噪声预测值</w:t>
            </w:r>
          </w:p>
        </w:tc>
        <w:tc>
          <w:tcPr>
            <w:tcW w:w="550" w:type="pct"/>
            <w:gridSpan w:val="2"/>
            <w:vAlign w:val="center"/>
          </w:tcPr>
          <w:p w14:paraId="05F0932D">
            <w:pPr>
              <w:widowControl/>
              <w:jc w:val="center"/>
              <w:rPr>
                <w:rFonts w:ascii="Times New Roman" w:eastAsia="仿宋"/>
                <w:szCs w:val="21"/>
              </w:rPr>
            </w:pPr>
            <w:r>
              <w:rPr>
                <w:rFonts w:ascii="Times New Roman" w:eastAsia="仿宋"/>
                <w:szCs w:val="21"/>
              </w:rPr>
              <w:t>较现状增量</w:t>
            </w:r>
          </w:p>
        </w:tc>
        <w:tc>
          <w:tcPr>
            <w:tcW w:w="491" w:type="pct"/>
            <w:gridSpan w:val="2"/>
            <w:vAlign w:val="center"/>
          </w:tcPr>
          <w:p w14:paraId="7A76AE6E">
            <w:pPr>
              <w:widowControl/>
              <w:jc w:val="center"/>
              <w:rPr>
                <w:rFonts w:ascii="Times New Roman" w:eastAsia="仿宋"/>
                <w:szCs w:val="21"/>
              </w:rPr>
            </w:pPr>
            <w:r>
              <w:rPr>
                <w:rFonts w:ascii="Times New Roman" w:eastAsia="仿宋"/>
                <w:szCs w:val="21"/>
              </w:rPr>
              <w:t>超标和达标情况</w:t>
            </w:r>
          </w:p>
        </w:tc>
      </w:tr>
      <w:tr w14:paraId="0B39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65" w:type="pct"/>
            <w:vMerge w:val="continue"/>
            <w:vAlign w:val="center"/>
          </w:tcPr>
          <w:p w14:paraId="15608ACB">
            <w:pPr>
              <w:widowControl/>
              <w:jc w:val="center"/>
              <w:rPr>
                <w:rFonts w:ascii="Times New Roman" w:eastAsia="仿宋"/>
                <w:szCs w:val="21"/>
              </w:rPr>
            </w:pPr>
          </w:p>
        </w:tc>
        <w:tc>
          <w:tcPr>
            <w:tcW w:w="476" w:type="pct"/>
            <w:vMerge w:val="continue"/>
            <w:vAlign w:val="center"/>
          </w:tcPr>
          <w:p w14:paraId="5A08E800">
            <w:pPr>
              <w:widowControl/>
              <w:jc w:val="center"/>
              <w:rPr>
                <w:rFonts w:ascii="Times New Roman" w:eastAsia="仿宋"/>
                <w:szCs w:val="21"/>
              </w:rPr>
            </w:pPr>
          </w:p>
        </w:tc>
        <w:tc>
          <w:tcPr>
            <w:tcW w:w="309" w:type="pct"/>
            <w:vAlign w:val="center"/>
          </w:tcPr>
          <w:p w14:paraId="25D688D7">
            <w:pPr>
              <w:widowControl/>
              <w:jc w:val="center"/>
              <w:rPr>
                <w:rFonts w:ascii="Times New Roman" w:eastAsia="仿宋"/>
                <w:szCs w:val="21"/>
              </w:rPr>
            </w:pPr>
            <w:r>
              <w:rPr>
                <w:rFonts w:ascii="Times New Roman" w:eastAsia="仿宋"/>
                <w:szCs w:val="21"/>
              </w:rPr>
              <w:t>昼间</w:t>
            </w:r>
          </w:p>
        </w:tc>
        <w:tc>
          <w:tcPr>
            <w:tcW w:w="308" w:type="pct"/>
            <w:vAlign w:val="center"/>
          </w:tcPr>
          <w:p w14:paraId="174FD6CA">
            <w:pPr>
              <w:widowControl/>
              <w:jc w:val="center"/>
              <w:rPr>
                <w:rFonts w:ascii="Times New Roman" w:eastAsia="仿宋"/>
                <w:szCs w:val="21"/>
              </w:rPr>
            </w:pPr>
            <w:r>
              <w:rPr>
                <w:rFonts w:ascii="Times New Roman" w:eastAsia="仿宋"/>
                <w:szCs w:val="21"/>
              </w:rPr>
              <w:t>夜间</w:t>
            </w:r>
          </w:p>
        </w:tc>
        <w:tc>
          <w:tcPr>
            <w:tcW w:w="308" w:type="pct"/>
            <w:vAlign w:val="center"/>
          </w:tcPr>
          <w:p w14:paraId="117F7EBE">
            <w:pPr>
              <w:widowControl/>
              <w:jc w:val="center"/>
              <w:rPr>
                <w:rFonts w:ascii="Times New Roman" w:eastAsia="仿宋"/>
                <w:szCs w:val="21"/>
              </w:rPr>
            </w:pPr>
            <w:r>
              <w:rPr>
                <w:rFonts w:ascii="Times New Roman" w:eastAsia="仿宋"/>
                <w:szCs w:val="21"/>
              </w:rPr>
              <w:t>昼间</w:t>
            </w:r>
          </w:p>
        </w:tc>
        <w:tc>
          <w:tcPr>
            <w:tcW w:w="308" w:type="pct"/>
            <w:vAlign w:val="center"/>
          </w:tcPr>
          <w:p w14:paraId="0A3140B6">
            <w:pPr>
              <w:widowControl/>
              <w:jc w:val="center"/>
              <w:rPr>
                <w:rFonts w:ascii="Times New Roman" w:eastAsia="仿宋"/>
                <w:szCs w:val="21"/>
              </w:rPr>
            </w:pPr>
            <w:r>
              <w:rPr>
                <w:rFonts w:ascii="Times New Roman" w:eastAsia="仿宋"/>
                <w:szCs w:val="21"/>
              </w:rPr>
              <w:t>夜间</w:t>
            </w:r>
          </w:p>
        </w:tc>
        <w:tc>
          <w:tcPr>
            <w:tcW w:w="277" w:type="pct"/>
            <w:vAlign w:val="center"/>
          </w:tcPr>
          <w:p w14:paraId="33344EF7">
            <w:pPr>
              <w:widowControl/>
              <w:jc w:val="center"/>
              <w:rPr>
                <w:rFonts w:ascii="Times New Roman" w:eastAsia="仿宋"/>
                <w:szCs w:val="21"/>
              </w:rPr>
            </w:pPr>
            <w:r>
              <w:rPr>
                <w:rFonts w:ascii="Times New Roman" w:eastAsia="仿宋"/>
                <w:szCs w:val="21"/>
              </w:rPr>
              <w:t>昼间</w:t>
            </w:r>
          </w:p>
        </w:tc>
        <w:tc>
          <w:tcPr>
            <w:tcW w:w="300" w:type="pct"/>
            <w:vAlign w:val="center"/>
          </w:tcPr>
          <w:p w14:paraId="28A87242">
            <w:pPr>
              <w:widowControl/>
              <w:jc w:val="center"/>
              <w:rPr>
                <w:rFonts w:ascii="Times New Roman" w:eastAsia="仿宋"/>
                <w:szCs w:val="21"/>
              </w:rPr>
            </w:pPr>
            <w:r>
              <w:rPr>
                <w:rFonts w:ascii="Times New Roman" w:eastAsia="仿宋"/>
                <w:szCs w:val="21"/>
              </w:rPr>
              <w:t>夜间</w:t>
            </w:r>
          </w:p>
        </w:tc>
        <w:tc>
          <w:tcPr>
            <w:tcW w:w="400" w:type="pct"/>
            <w:vAlign w:val="center"/>
          </w:tcPr>
          <w:p w14:paraId="4BC2716B">
            <w:pPr>
              <w:widowControl/>
              <w:jc w:val="center"/>
              <w:rPr>
                <w:rFonts w:ascii="Times New Roman" w:eastAsia="仿宋"/>
                <w:szCs w:val="21"/>
              </w:rPr>
            </w:pPr>
            <w:r>
              <w:rPr>
                <w:rFonts w:ascii="Times New Roman" w:eastAsia="仿宋"/>
                <w:szCs w:val="21"/>
              </w:rPr>
              <w:t>昼间</w:t>
            </w:r>
          </w:p>
        </w:tc>
        <w:tc>
          <w:tcPr>
            <w:tcW w:w="336" w:type="pct"/>
            <w:vAlign w:val="center"/>
          </w:tcPr>
          <w:p w14:paraId="055ED34D">
            <w:pPr>
              <w:widowControl/>
              <w:jc w:val="center"/>
              <w:rPr>
                <w:rFonts w:ascii="Times New Roman" w:eastAsia="仿宋"/>
                <w:szCs w:val="21"/>
              </w:rPr>
            </w:pPr>
            <w:r>
              <w:rPr>
                <w:rFonts w:ascii="Times New Roman" w:eastAsia="仿宋"/>
                <w:szCs w:val="21"/>
              </w:rPr>
              <w:t>夜间</w:t>
            </w:r>
          </w:p>
        </w:tc>
        <w:tc>
          <w:tcPr>
            <w:tcW w:w="336" w:type="pct"/>
            <w:vAlign w:val="center"/>
          </w:tcPr>
          <w:p w14:paraId="48BDE696">
            <w:pPr>
              <w:widowControl/>
              <w:jc w:val="center"/>
              <w:rPr>
                <w:rFonts w:ascii="Times New Roman" w:eastAsia="仿宋"/>
                <w:szCs w:val="21"/>
              </w:rPr>
            </w:pPr>
            <w:r>
              <w:rPr>
                <w:rFonts w:ascii="Times New Roman" w:eastAsia="仿宋"/>
                <w:szCs w:val="21"/>
              </w:rPr>
              <w:t>昼间</w:t>
            </w:r>
          </w:p>
        </w:tc>
        <w:tc>
          <w:tcPr>
            <w:tcW w:w="336" w:type="pct"/>
            <w:vAlign w:val="center"/>
          </w:tcPr>
          <w:p w14:paraId="0435FE20">
            <w:pPr>
              <w:widowControl/>
              <w:jc w:val="center"/>
              <w:rPr>
                <w:rFonts w:ascii="Times New Roman" w:eastAsia="仿宋"/>
                <w:szCs w:val="21"/>
              </w:rPr>
            </w:pPr>
            <w:r>
              <w:rPr>
                <w:rFonts w:ascii="Times New Roman" w:eastAsia="仿宋"/>
                <w:szCs w:val="21"/>
              </w:rPr>
              <w:t>夜间</w:t>
            </w:r>
          </w:p>
        </w:tc>
        <w:tc>
          <w:tcPr>
            <w:tcW w:w="275" w:type="pct"/>
            <w:vAlign w:val="center"/>
          </w:tcPr>
          <w:p w14:paraId="79660AA5">
            <w:pPr>
              <w:widowControl/>
              <w:jc w:val="center"/>
              <w:rPr>
                <w:rFonts w:ascii="Times New Roman" w:eastAsia="仿宋"/>
                <w:szCs w:val="21"/>
              </w:rPr>
            </w:pPr>
            <w:r>
              <w:rPr>
                <w:rFonts w:ascii="Times New Roman" w:eastAsia="仿宋"/>
                <w:szCs w:val="21"/>
              </w:rPr>
              <w:t>昼间</w:t>
            </w:r>
          </w:p>
        </w:tc>
        <w:tc>
          <w:tcPr>
            <w:tcW w:w="275" w:type="pct"/>
            <w:vAlign w:val="center"/>
          </w:tcPr>
          <w:p w14:paraId="4A40634C">
            <w:pPr>
              <w:widowControl/>
              <w:jc w:val="center"/>
              <w:rPr>
                <w:rFonts w:ascii="Times New Roman" w:eastAsia="仿宋"/>
                <w:szCs w:val="21"/>
              </w:rPr>
            </w:pPr>
            <w:r>
              <w:rPr>
                <w:rFonts w:ascii="Times New Roman" w:eastAsia="仿宋"/>
                <w:szCs w:val="21"/>
              </w:rPr>
              <w:t>夜间</w:t>
            </w:r>
          </w:p>
        </w:tc>
        <w:tc>
          <w:tcPr>
            <w:tcW w:w="245" w:type="pct"/>
            <w:vAlign w:val="center"/>
          </w:tcPr>
          <w:p w14:paraId="0567F00E">
            <w:pPr>
              <w:widowControl/>
              <w:jc w:val="center"/>
              <w:rPr>
                <w:rFonts w:ascii="Times New Roman" w:eastAsia="仿宋"/>
                <w:szCs w:val="21"/>
              </w:rPr>
            </w:pPr>
            <w:r>
              <w:rPr>
                <w:rFonts w:ascii="Times New Roman" w:eastAsia="仿宋"/>
                <w:szCs w:val="21"/>
              </w:rPr>
              <w:t>昼间</w:t>
            </w:r>
          </w:p>
        </w:tc>
        <w:tc>
          <w:tcPr>
            <w:tcW w:w="246" w:type="pct"/>
            <w:vAlign w:val="center"/>
          </w:tcPr>
          <w:p w14:paraId="4D84667C">
            <w:pPr>
              <w:widowControl/>
              <w:jc w:val="center"/>
              <w:rPr>
                <w:rFonts w:ascii="Times New Roman" w:eastAsia="仿宋"/>
                <w:szCs w:val="21"/>
              </w:rPr>
            </w:pPr>
            <w:r>
              <w:rPr>
                <w:rFonts w:ascii="Times New Roman" w:eastAsia="仿宋"/>
                <w:szCs w:val="21"/>
              </w:rPr>
              <w:t>夜间</w:t>
            </w:r>
          </w:p>
        </w:tc>
      </w:tr>
      <w:tr w14:paraId="618A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 w:type="pct"/>
            <w:vAlign w:val="center"/>
          </w:tcPr>
          <w:p w14:paraId="7F753445">
            <w:pPr>
              <w:widowControl/>
              <w:jc w:val="center"/>
              <w:rPr>
                <w:rFonts w:ascii="Times New Roman" w:eastAsia="仿宋"/>
                <w:szCs w:val="21"/>
              </w:rPr>
            </w:pPr>
            <w:r>
              <w:rPr>
                <w:rFonts w:ascii="Times New Roman" w:eastAsia="仿宋"/>
                <w:szCs w:val="21"/>
              </w:rPr>
              <w:t>1</w:t>
            </w:r>
          </w:p>
        </w:tc>
        <w:tc>
          <w:tcPr>
            <w:tcW w:w="476" w:type="pct"/>
            <w:vAlign w:val="center"/>
          </w:tcPr>
          <w:p w14:paraId="4CF8C2F3">
            <w:pPr>
              <w:widowControl/>
              <w:jc w:val="center"/>
              <w:rPr>
                <w:rFonts w:ascii="Times New Roman" w:eastAsia="仿宋"/>
                <w:szCs w:val="21"/>
              </w:rPr>
            </w:pPr>
            <w:r>
              <w:rPr>
                <w:rFonts w:ascii="Times New Roman" w:eastAsia="仿宋"/>
                <w:szCs w:val="21"/>
              </w:rPr>
              <w:t>东厂界</w:t>
            </w:r>
          </w:p>
        </w:tc>
        <w:tc>
          <w:tcPr>
            <w:tcW w:w="309" w:type="pct"/>
            <w:vAlign w:val="center"/>
          </w:tcPr>
          <w:p w14:paraId="548F0333">
            <w:pPr>
              <w:widowControl/>
              <w:jc w:val="center"/>
              <w:rPr>
                <w:rFonts w:ascii="Times New Roman" w:eastAsia="仿宋"/>
                <w:szCs w:val="21"/>
              </w:rPr>
            </w:pPr>
            <w:r>
              <w:rPr>
                <w:rFonts w:hint="eastAsia" w:ascii="Times New Roman" w:eastAsia="仿宋"/>
                <w:szCs w:val="21"/>
              </w:rPr>
              <w:t>55</w:t>
            </w:r>
          </w:p>
        </w:tc>
        <w:tc>
          <w:tcPr>
            <w:tcW w:w="308" w:type="pct"/>
            <w:vAlign w:val="center"/>
          </w:tcPr>
          <w:p w14:paraId="77BA78C8">
            <w:pPr>
              <w:widowControl/>
              <w:jc w:val="center"/>
              <w:rPr>
                <w:rFonts w:ascii="Times New Roman" w:eastAsia="仿宋"/>
                <w:szCs w:val="21"/>
              </w:rPr>
            </w:pPr>
            <w:r>
              <w:rPr>
                <w:rFonts w:hint="eastAsia" w:ascii="Times New Roman" w:eastAsia="仿宋"/>
                <w:szCs w:val="21"/>
              </w:rPr>
              <w:t>47</w:t>
            </w:r>
          </w:p>
        </w:tc>
        <w:tc>
          <w:tcPr>
            <w:tcW w:w="911" w:type="dxa"/>
            <w:vAlign w:val="center"/>
          </w:tcPr>
          <w:p w14:paraId="0B85AA73">
            <w:pPr>
              <w:widowControl/>
              <w:jc w:val="center"/>
              <w:rPr>
                <w:rFonts w:ascii="Times New Roman" w:eastAsia="仿宋"/>
                <w:szCs w:val="21"/>
              </w:rPr>
            </w:pPr>
            <w:r>
              <w:rPr>
                <w:rFonts w:hint="eastAsia" w:ascii="Times New Roman" w:eastAsia="仿宋"/>
                <w:szCs w:val="21"/>
              </w:rPr>
              <w:t>55</w:t>
            </w:r>
          </w:p>
        </w:tc>
        <w:tc>
          <w:tcPr>
            <w:tcW w:w="911" w:type="dxa"/>
            <w:vAlign w:val="center"/>
          </w:tcPr>
          <w:p w14:paraId="5F150AA8">
            <w:pPr>
              <w:widowControl/>
              <w:jc w:val="center"/>
              <w:rPr>
                <w:rFonts w:ascii="Times New Roman" w:eastAsia="仿宋"/>
                <w:szCs w:val="21"/>
              </w:rPr>
            </w:pPr>
            <w:r>
              <w:rPr>
                <w:rFonts w:hint="eastAsia" w:ascii="Times New Roman" w:eastAsia="仿宋"/>
                <w:szCs w:val="21"/>
              </w:rPr>
              <w:t>47</w:t>
            </w:r>
          </w:p>
        </w:tc>
        <w:tc>
          <w:tcPr>
            <w:tcW w:w="277" w:type="pct"/>
            <w:vAlign w:val="center"/>
          </w:tcPr>
          <w:p w14:paraId="4799DF8D">
            <w:pPr>
              <w:widowControl/>
              <w:jc w:val="center"/>
              <w:rPr>
                <w:rFonts w:ascii="Times New Roman" w:eastAsia="仿宋"/>
                <w:szCs w:val="21"/>
              </w:rPr>
            </w:pPr>
            <w:r>
              <w:rPr>
                <w:rFonts w:ascii="Times New Roman" w:eastAsia="仿宋"/>
                <w:szCs w:val="21"/>
              </w:rPr>
              <w:t>65</w:t>
            </w:r>
          </w:p>
        </w:tc>
        <w:tc>
          <w:tcPr>
            <w:tcW w:w="300" w:type="pct"/>
            <w:vAlign w:val="center"/>
          </w:tcPr>
          <w:p w14:paraId="2CD738E1">
            <w:pPr>
              <w:widowControl/>
              <w:jc w:val="center"/>
              <w:rPr>
                <w:rFonts w:ascii="Times New Roman" w:eastAsia="仿宋"/>
                <w:szCs w:val="21"/>
              </w:rPr>
            </w:pPr>
            <w:r>
              <w:rPr>
                <w:rFonts w:ascii="Times New Roman" w:eastAsia="仿宋"/>
                <w:szCs w:val="21"/>
              </w:rPr>
              <w:t>55</w:t>
            </w:r>
          </w:p>
        </w:tc>
        <w:tc>
          <w:tcPr>
            <w:tcW w:w="400" w:type="pct"/>
            <w:vAlign w:val="center"/>
          </w:tcPr>
          <w:p w14:paraId="4210A662">
            <w:pPr>
              <w:widowControl/>
              <w:jc w:val="center"/>
              <w:rPr>
                <w:rFonts w:ascii="Times New Roman" w:eastAsia="仿宋"/>
                <w:szCs w:val="21"/>
              </w:rPr>
            </w:pPr>
            <w:r>
              <w:rPr>
                <w:rFonts w:ascii="Times New Roman" w:eastAsia="仿宋"/>
                <w:szCs w:val="21"/>
              </w:rPr>
              <w:t>26.7</w:t>
            </w:r>
          </w:p>
        </w:tc>
        <w:tc>
          <w:tcPr>
            <w:tcW w:w="336" w:type="pct"/>
            <w:vAlign w:val="center"/>
          </w:tcPr>
          <w:p w14:paraId="008547F3">
            <w:pPr>
              <w:widowControl/>
              <w:jc w:val="center"/>
              <w:rPr>
                <w:rFonts w:ascii="Times New Roman" w:eastAsia="仿宋"/>
                <w:szCs w:val="21"/>
              </w:rPr>
            </w:pPr>
            <w:r>
              <w:rPr>
                <w:rFonts w:ascii="Times New Roman" w:eastAsia="仿宋"/>
                <w:szCs w:val="21"/>
              </w:rPr>
              <w:t>26.7</w:t>
            </w:r>
          </w:p>
        </w:tc>
        <w:tc>
          <w:tcPr>
            <w:tcW w:w="994" w:type="dxa"/>
            <w:vAlign w:val="center"/>
          </w:tcPr>
          <w:p w14:paraId="6F8E88E4">
            <w:pPr>
              <w:widowControl/>
              <w:jc w:val="center"/>
              <w:rPr>
                <w:rFonts w:ascii="Times New Roman" w:eastAsia="仿宋"/>
                <w:szCs w:val="21"/>
              </w:rPr>
            </w:pPr>
            <w:r>
              <w:rPr>
                <w:rFonts w:hint="eastAsia" w:ascii="Times New Roman" w:eastAsia="仿宋"/>
                <w:szCs w:val="21"/>
              </w:rPr>
              <w:t>55</w:t>
            </w:r>
          </w:p>
        </w:tc>
        <w:tc>
          <w:tcPr>
            <w:tcW w:w="994" w:type="dxa"/>
            <w:vAlign w:val="center"/>
          </w:tcPr>
          <w:p w14:paraId="60CFEF29">
            <w:pPr>
              <w:widowControl/>
              <w:jc w:val="center"/>
              <w:rPr>
                <w:rFonts w:ascii="Times New Roman" w:eastAsia="仿宋"/>
                <w:szCs w:val="21"/>
              </w:rPr>
            </w:pPr>
            <w:r>
              <w:rPr>
                <w:rFonts w:hint="eastAsia" w:ascii="Times New Roman" w:eastAsia="仿宋"/>
                <w:szCs w:val="21"/>
              </w:rPr>
              <w:t>47</w:t>
            </w:r>
          </w:p>
        </w:tc>
        <w:tc>
          <w:tcPr>
            <w:tcW w:w="275" w:type="pct"/>
            <w:vAlign w:val="center"/>
          </w:tcPr>
          <w:p w14:paraId="19F9A84C">
            <w:pPr>
              <w:widowControl/>
              <w:jc w:val="center"/>
              <w:rPr>
                <w:rFonts w:ascii="Times New Roman" w:eastAsia="仿宋"/>
                <w:szCs w:val="21"/>
              </w:rPr>
            </w:pPr>
            <w:r>
              <w:rPr>
                <w:rFonts w:hint="eastAsia" w:ascii="Times New Roman" w:eastAsia="仿宋"/>
                <w:szCs w:val="21"/>
              </w:rPr>
              <w:t>0</w:t>
            </w:r>
          </w:p>
        </w:tc>
        <w:tc>
          <w:tcPr>
            <w:tcW w:w="275" w:type="pct"/>
            <w:vAlign w:val="center"/>
          </w:tcPr>
          <w:p w14:paraId="024A8ADD">
            <w:pPr>
              <w:widowControl/>
              <w:jc w:val="center"/>
              <w:rPr>
                <w:rFonts w:ascii="Times New Roman" w:eastAsia="仿宋"/>
                <w:szCs w:val="21"/>
              </w:rPr>
            </w:pPr>
            <w:r>
              <w:rPr>
                <w:rFonts w:hint="eastAsia" w:ascii="Times New Roman" w:eastAsia="仿宋"/>
                <w:szCs w:val="21"/>
              </w:rPr>
              <w:t>0</w:t>
            </w:r>
          </w:p>
        </w:tc>
        <w:tc>
          <w:tcPr>
            <w:tcW w:w="245" w:type="pct"/>
            <w:vAlign w:val="center"/>
          </w:tcPr>
          <w:p w14:paraId="530FE9BA">
            <w:pPr>
              <w:widowControl/>
              <w:jc w:val="center"/>
              <w:rPr>
                <w:rFonts w:ascii="Times New Roman" w:eastAsia="仿宋"/>
                <w:szCs w:val="21"/>
              </w:rPr>
            </w:pPr>
            <w:r>
              <w:rPr>
                <w:rFonts w:ascii="Times New Roman" w:eastAsia="仿宋"/>
                <w:szCs w:val="21"/>
              </w:rPr>
              <w:t>达标</w:t>
            </w:r>
          </w:p>
        </w:tc>
        <w:tc>
          <w:tcPr>
            <w:tcW w:w="246" w:type="pct"/>
            <w:vAlign w:val="center"/>
          </w:tcPr>
          <w:p w14:paraId="6FAA7F63">
            <w:pPr>
              <w:widowControl/>
              <w:jc w:val="center"/>
              <w:rPr>
                <w:rFonts w:ascii="Times New Roman" w:eastAsia="仿宋"/>
                <w:szCs w:val="21"/>
              </w:rPr>
            </w:pPr>
            <w:r>
              <w:rPr>
                <w:rFonts w:ascii="Times New Roman" w:eastAsia="仿宋"/>
                <w:szCs w:val="21"/>
              </w:rPr>
              <w:t>达标</w:t>
            </w:r>
          </w:p>
        </w:tc>
      </w:tr>
      <w:tr w14:paraId="1710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 w:type="pct"/>
            <w:vAlign w:val="center"/>
          </w:tcPr>
          <w:p w14:paraId="638B150F">
            <w:pPr>
              <w:widowControl/>
              <w:jc w:val="center"/>
              <w:rPr>
                <w:rFonts w:ascii="Times New Roman" w:eastAsia="仿宋"/>
                <w:szCs w:val="21"/>
              </w:rPr>
            </w:pPr>
            <w:r>
              <w:rPr>
                <w:rFonts w:ascii="Times New Roman" w:eastAsia="仿宋"/>
                <w:szCs w:val="21"/>
              </w:rPr>
              <w:t>2</w:t>
            </w:r>
          </w:p>
        </w:tc>
        <w:tc>
          <w:tcPr>
            <w:tcW w:w="476" w:type="pct"/>
            <w:vAlign w:val="center"/>
          </w:tcPr>
          <w:p w14:paraId="42FBE45C">
            <w:pPr>
              <w:widowControl/>
              <w:jc w:val="center"/>
              <w:rPr>
                <w:rFonts w:ascii="Times New Roman" w:eastAsia="仿宋"/>
                <w:szCs w:val="21"/>
              </w:rPr>
            </w:pPr>
            <w:r>
              <w:rPr>
                <w:rFonts w:ascii="Times New Roman" w:eastAsia="仿宋"/>
                <w:szCs w:val="21"/>
              </w:rPr>
              <w:t>南厂界</w:t>
            </w:r>
          </w:p>
        </w:tc>
        <w:tc>
          <w:tcPr>
            <w:tcW w:w="309" w:type="pct"/>
            <w:vAlign w:val="center"/>
          </w:tcPr>
          <w:p w14:paraId="6374AD0F">
            <w:pPr>
              <w:widowControl/>
              <w:jc w:val="center"/>
              <w:rPr>
                <w:rFonts w:ascii="Times New Roman" w:eastAsia="仿宋"/>
                <w:szCs w:val="21"/>
              </w:rPr>
            </w:pPr>
            <w:r>
              <w:rPr>
                <w:rFonts w:ascii="Times New Roman" w:eastAsia="仿宋"/>
                <w:szCs w:val="21"/>
              </w:rPr>
              <w:t>5</w:t>
            </w:r>
            <w:r>
              <w:rPr>
                <w:rFonts w:hint="eastAsia" w:ascii="Times New Roman" w:eastAsia="仿宋"/>
                <w:szCs w:val="21"/>
              </w:rPr>
              <w:t>2</w:t>
            </w:r>
          </w:p>
        </w:tc>
        <w:tc>
          <w:tcPr>
            <w:tcW w:w="308" w:type="pct"/>
            <w:vAlign w:val="center"/>
          </w:tcPr>
          <w:p w14:paraId="7B6F4E30">
            <w:pPr>
              <w:widowControl/>
              <w:jc w:val="center"/>
              <w:rPr>
                <w:rFonts w:ascii="Times New Roman" w:eastAsia="仿宋"/>
                <w:szCs w:val="21"/>
              </w:rPr>
            </w:pPr>
            <w:r>
              <w:rPr>
                <w:rFonts w:hint="eastAsia" w:ascii="Times New Roman" w:eastAsia="仿宋"/>
                <w:szCs w:val="21"/>
              </w:rPr>
              <w:t>52</w:t>
            </w:r>
          </w:p>
        </w:tc>
        <w:tc>
          <w:tcPr>
            <w:tcW w:w="911" w:type="dxa"/>
            <w:vAlign w:val="center"/>
          </w:tcPr>
          <w:p w14:paraId="6C784F81">
            <w:pPr>
              <w:widowControl/>
              <w:jc w:val="center"/>
              <w:rPr>
                <w:rFonts w:ascii="Times New Roman" w:eastAsia="仿宋"/>
                <w:szCs w:val="21"/>
              </w:rPr>
            </w:pPr>
            <w:r>
              <w:rPr>
                <w:rFonts w:ascii="Times New Roman" w:eastAsia="仿宋"/>
                <w:szCs w:val="21"/>
              </w:rPr>
              <w:t>5</w:t>
            </w:r>
            <w:r>
              <w:rPr>
                <w:rFonts w:hint="eastAsia" w:ascii="Times New Roman" w:eastAsia="仿宋"/>
                <w:szCs w:val="21"/>
              </w:rPr>
              <w:t>2</w:t>
            </w:r>
          </w:p>
        </w:tc>
        <w:tc>
          <w:tcPr>
            <w:tcW w:w="911" w:type="dxa"/>
            <w:vAlign w:val="center"/>
          </w:tcPr>
          <w:p w14:paraId="3B563B6C">
            <w:pPr>
              <w:widowControl/>
              <w:jc w:val="center"/>
              <w:rPr>
                <w:rFonts w:ascii="Times New Roman" w:eastAsia="仿宋"/>
                <w:szCs w:val="21"/>
              </w:rPr>
            </w:pPr>
            <w:r>
              <w:rPr>
                <w:rFonts w:hint="eastAsia" w:ascii="Times New Roman" w:eastAsia="仿宋"/>
                <w:szCs w:val="21"/>
              </w:rPr>
              <w:t>52</w:t>
            </w:r>
          </w:p>
        </w:tc>
        <w:tc>
          <w:tcPr>
            <w:tcW w:w="277" w:type="pct"/>
            <w:vAlign w:val="center"/>
          </w:tcPr>
          <w:p w14:paraId="46D1250B">
            <w:pPr>
              <w:widowControl/>
              <w:jc w:val="center"/>
              <w:rPr>
                <w:rFonts w:ascii="Times New Roman" w:eastAsia="仿宋"/>
                <w:szCs w:val="21"/>
              </w:rPr>
            </w:pPr>
            <w:r>
              <w:rPr>
                <w:rFonts w:ascii="Times New Roman" w:eastAsia="仿宋"/>
                <w:szCs w:val="21"/>
              </w:rPr>
              <w:t>65</w:t>
            </w:r>
          </w:p>
        </w:tc>
        <w:tc>
          <w:tcPr>
            <w:tcW w:w="300" w:type="pct"/>
            <w:vAlign w:val="center"/>
          </w:tcPr>
          <w:p w14:paraId="2CCDFE8F">
            <w:pPr>
              <w:widowControl/>
              <w:jc w:val="center"/>
              <w:rPr>
                <w:rFonts w:ascii="Times New Roman" w:eastAsia="仿宋"/>
                <w:szCs w:val="21"/>
              </w:rPr>
            </w:pPr>
            <w:r>
              <w:rPr>
                <w:rFonts w:ascii="Times New Roman" w:eastAsia="仿宋"/>
                <w:szCs w:val="21"/>
              </w:rPr>
              <w:t>55</w:t>
            </w:r>
          </w:p>
        </w:tc>
        <w:tc>
          <w:tcPr>
            <w:tcW w:w="400" w:type="pct"/>
            <w:vAlign w:val="center"/>
          </w:tcPr>
          <w:p w14:paraId="6318D74D">
            <w:pPr>
              <w:widowControl/>
              <w:jc w:val="center"/>
              <w:rPr>
                <w:rFonts w:ascii="Times New Roman" w:eastAsia="仿宋"/>
                <w:szCs w:val="21"/>
              </w:rPr>
            </w:pPr>
            <w:r>
              <w:rPr>
                <w:rFonts w:ascii="Times New Roman" w:eastAsia="仿宋"/>
                <w:szCs w:val="21"/>
              </w:rPr>
              <w:t>29.2</w:t>
            </w:r>
          </w:p>
        </w:tc>
        <w:tc>
          <w:tcPr>
            <w:tcW w:w="336" w:type="pct"/>
            <w:vAlign w:val="center"/>
          </w:tcPr>
          <w:p w14:paraId="2A549E0B">
            <w:pPr>
              <w:widowControl/>
              <w:jc w:val="center"/>
              <w:rPr>
                <w:rFonts w:ascii="Times New Roman" w:eastAsia="仿宋"/>
                <w:szCs w:val="21"/>
              </w:rPr>
            </w:pPr>
            <w:r>
              <w:rPr>
                <w:rFonts w:ascii="Times New Roman" w:eastAsia="仿宋"/>
                <w:szCs w:val="21"/>
              </w:rPr>
              <w:t>29.2</w:t>
            </w:r>
          </w:p>
        </w:tc>
        <w:tc>
          <w:tcPr>
            <w:tcW w:w="994" w:type="dxa"/>
            <w:vAlign w:val="center"/>
          </w:tcPr>
          <w:p w14:paraId="7D4A7513">
            <w:pPr>
              <w:widowControl/>
              <w:jc w:val="center"/>
              <w:rPr>
                <w:rFonts w:ascii="Times New Roman" w:eastAsia="仿宋"/>
                <w:szCs w:val="21"/>
              </w:rPr>
            </w:pPr>
            <w:r>
              <w:rPr>
                <w:rFonts w:ascii="Times New Roman" w:eastAsia="仿宋"/>
                <w:szCs w:val="21"/>
              </w:rPr>
              <w:t>5</w:t>
            </w:r>
            <w:r>
              <w:rPr>
                <w:rFonts w:hint="eastAsia" w:ascii="Times New Roman" w:eastAsia="仿宋"/>
                <w:szCs w:val="21"/>
              </w:rPr>
              <w:t>2</w:t>
            </w:r>
            <w:r>
              <w:rPr>
                <w:rFonts w:ascii="Times New Roman" w:eastAsia="仿宋"/>
                <w:szCs w:val="21"/>
              </w:rPr>
              <w:t>.1</w:t>
            </w:r>
          </w:p>
        </w:tc>
        <w:tc>
          <w:tcPr>
            <w:tcW w:w="994" w:type="dxa"/>
            <w:vAlign w:val="center"/>
          </w:tcPr>
          <w:p w14:paraId="612CFF54">
            <w:pPr>
              <w:widowControl/>
              <w:jc w:val="center"/>
              <w:rPr>
                <w:rFonts w:ascii="Times New Roman" w:eastAsia="仿宋"/>
                <w:szCs w:val="21"/>
              </w:rPr>
            </w:pPr>
            <w:r>
              <w:rPr>
                <w:rFonts w:hint="eastAsia" w:ascii="Times New Roman" w:eastAsia="仿宋"/>
                <w:szCs w:val="21"/>
              </w:rPr>
              <w:t>52.</w:t>
            </w:r>
            <w:r>
              <w:rPr>
                <w:rFonts w:ascii="Times New Roman" w:eastAsia="仿宋"/>
                <w:szCs w:val="21"/>
              </w:rPr>
              <w:t>1</w:t>
            </w:r>
          </w:p>
        </w:tc>
        <w:tc>
          <w:tcPr>
            <w:tcW w:w="275" w:type="pct"/>
            <w:vAlign w:val="center"/>
          </w:tcPr>
          <w:p w14:paraId="39109D84">
            <w:pPr>
              <w:widowControl/>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275" w:type="pct"/>
            <w:vAlign w:val="center"/>
          </w:tcPr>
          <w:p w14:paraId="4D241B27">
            <w:pPr>
              <w:widowControl/>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245" w:type="pct"/>
            <w:vAlign w:val="center"/>
          </w:tcPr>
          <w:p w14:paraId="1DF3F1D3">
            <w:pPr>
              <w:widowControl/>
              <w:jc w:val="center"/>
              <w:rPr>
                <w:rFonts w:ascii="Times New Roman" w:eastAsia="仿宋"/>
                <w:szCs w:val="21"/>
              </w:rPr>
            </w:pPr>
            <w:r>
              <w:rPr>
                <w:rFonts w:ascii="Times New Roman" w:eastAsia="仿宋"/>
                <w:szCs w:val="21"/>
              </w:rPr>
              <w:t>达标</w:t>
            </w:r>
          </w:p>
        </w:tc>
        <w:tc>
          <w:tcPr>
            <w:tcW w:w="246" w:type="pct"/>
            <w:vAlign w:val="center"/>
          </w:tcPr>
          <w:p w14:paraId="40B12187">
            <w:pPr>
              <w:widowControl/>
              <w:jc w:val="center"/>
              <w:rPr>
                <w:rFonts w:ascii="Times New Roman" w:eastAsia="仿宋"/>
                <w:szCs w:val="21"/>
              </w:rPr>
            </w:pPr>
            <w:r>
              <w:rPr>
                <w:rFonts w:ascii="Times New Roman" w:eastAsia="仿宋"/>
                <w:szCs w:val="21"/>
              </w:rPr>
              <w:t>达标</w:t>
            </w:r>
          </w:p>
        </w:tc>
      </w:tr>
      <w:tr w14:paraId="2EA2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 w:type="pct"/>
            <w:vAlign w:val="center"/>
          </w:tcPr>
          <w:p w14:paraId="61F549B7">
            <w:pPr>
              <w:widowControl/>
              <w:jc w:val="center"/>
              <w:rPr>
                <w:rFonts w:ascii="Times New Roman" w:eastAsia="仿宋"/>
                <w:szCs w:val="21"/>
              </w:rPr>
            </w:pPr>
            <w:r>
              <w:rPr>
                <w:rFonts w:ascii="Times New Roman" w:eastAsia="仿宋"/>
                <w:szCs w:val="21"/>
              </w:rPr>
              <w:t>3</w:t>
            </w:r>
          </w:p>
        </w:tc>
        <w:tc>
          <w:tcPr>
            <w:tcW w:w="476" w:type="pct"/>
            <w:vAlign w:val="center"/>
          </w:tcPr>
          <w:p w14:paraId="19FF6C0C">
            <w:pPr>
              <w:widowControl/>
              <w:jc w:val="center"/>
              <w:rPr>
                <w:rFonts w:ascii="Times New Roman" w:eastAsia="仿宋"/>
                <w:szCs w:val="21"/>
              </w:rPr>
            </w:pPr>
            <w:r>
              <w:rPr>
                <w:rFonts w:ascii="Times New Roman" w:eastAsia="仿宋"/>
                <w:szCs w:val="21"/>
              </w:rPr>
              <w:t>西厂界</w:t>
            </w:r>
          </w:p>
        </w:tc>
        <w:tc>
          <w:tcPr>
            <w:tcW w:w="309" w:type="pct"/>
            <w:vAlign w:val="center"/>
          </w:tcPr>
          <w:p w14:paraId="6AAD4973">
            <w:pPr>
              <w:widowControl/>
              <w:jc w:val="center"/>
              <w:rPr>
                <w:rFonts w:ascii="Times New Roman" w:eastAsia="仿宋"/>
                <w:szCs w:val="21"/>
              </w:rPr>
            </w:pPr>
            <w:r>
              <w:rPr>
                <w:rFonts w:hint="eastAsia" w:ascii="Times New Roman" w:eastAsia="仿宋"/>
                <w:szCs w:val="21"/>
              </w:rPr>
              <w:t>53</w:t>
            </w:r>
          </w:p>
        </w:tc>
        <w:tc>
          <w:tcPr>
            <w:tcW w:w="308" w:type="pct"/>
            <w:vAlign w:val="center"/>
          </w:tcPr>
          <w:p w14:paraId="290E2802">
            <w:pPr>
              <w:widowControl/>
              <w:jc w:val="center"/>
              <w:rPr>
                <w:rFonts w:ascii="Times New Roman" w:eastAsia="仿宋"/>
                <w:szCs w:val="21"/>
              </w:rPr>
            </w:pPr>
            <w:r>
              <w:rPr>
                <w:rFonts w:hint="eastAsia" w:ascii="Times New Roman" w:eastAsia="仿宋"/>
                <w:szCs w:val="21"/>
              </w:rPr>
              <w:t>51</w:t>
            </w:r>
          </w:p>
        </w:tc>
        <w:tc>
          <w:tcPr>
            <w:tcW w:w="911" w:type="dxa"/>
            <w:vAlign w:val="center"/>
          </w:tcPr>
          <w:p w14:paraId="29A6EA12">
            <w:pPr>
              <w:widowControl/>
              <w:jc w:val="center"/>
              <w:rPr>
                <w:rFonts w:ascii="Times New Roman" w:eastAsia="仿宋"/>
                <w:szCs w:val="21"/>
              </w:rPr>
            </w:pPr>
            <w:r>
              <w:rPr>
                <w:rFonts w:hint="eastAsia" w:ascii="Times New Roman" w:eastAsia="仿宋"/>
                <w:szCs w:val="21"/>
              </w:rPr>
              <w:t>53</w:t>
            </w:r>
          </w:p>
        </w:tc>
        <w:tc>
          <w:tcPr>
            <w:tcW w:w="911" w:type="dxa"/>
            <w:vAlign w:val="center"/>
          </w:tcPr>
          <w:p w14:paraId="330C3DD2">
            <w:pPr>
              <w:widowControl/>
              <w:jc w:val="center"/>
              <w:rPr>
                <w:rFonts w:ascii="Times New Roman" w:eastAsia="仿宋"/>
                <w:szCs w:val="21"/>
              </w:rPr>
            </w:pPr>
            <w:r>
              <w:rPr>
                <w:rFonts w:hint="eastAsia" w:ascii="Times New Roman" w:eastAsia="仿宋"/>
                <w:szCs w:val="21"/>
              </w:rPr>
              <w:t>51</w:t>
            </w:r>
          </w:p>
        </w:tc>
        <w:tc>
          <w:tcPr>
            <w:tcW w:w="277" w:type="pct"/>
            <w:vAlign w:val="center"/>
          </w:tcPr>
          <w:p w14:paraId="784D6C28">
            <w:pPr>
              <w:widowControl/>
              <w:jc w:val="center"/>
              <w:rPr>
                <w:rFonts w:ascii="Times New Roman" w:eastAsia="仿宋"/>
                <w:szCs w:val="21"/>
              </w:rPr>
            </w:pPr>
            <w:r>
              <w:rPr>
                <w:rFonts w:ascii="Times New Roman" w:eastAsia="仿宋"/>
                <w:szCs w:val="21"/>
              </w:rPr>
              <w:t>65</w:t>
            </w:r>
          </w:p>
        </w:tc>
        <w:tc>
          <w:tcPr>
            <w:tcW w:w="300" w:type="pct"/>
            <w:vAlign w:val="center"/>
          </w:tcPr>
          <w:p w14:paraId="72A2D912">
            <w:pPr>
              <w:widowControl/>
              <w:jc w:val="center"/>
              <w:rPr>
                <w:rFonts w:ascii="Times New Roman" w:eastAsia="仿宋"/>
                <w:szCs w:val="21"/>
              </w:rPr>
            </w:pPr>
            <w:r>
              <w:rPr>
                <w:rFonts w:ascii="Times New Roman" w:eastAsia="仿宋"/>
                <w:szCs w:val="21"/>
              </w:rPr>
              <w:t>55</w:t>
            </w:r>
          </w:p>
        </w:tc>
        <w:tc>
          <w:tcPr>
            <w:tcW w:w="400" w:type="pct"/>
            <w:vAlign w:val="center"/>
          </w:tcPr>
          <w:p w14:paraId="3837A9BE">
            <w:pPr>
              <w:widowControl/>
              <w:jc w:val="center"/>
              <w:rPr>
                <w:rFonts w:ascii="Times New Roman" w:eastAsia="仿宋"/>
                <w:szCs w:val="21"/>
              </w:rPr>
            </w:pPr>
            <w:r>
              <w:rPr>
                <w:rFonts w:ascii="Times New Roman" w:eastAsia="仿宋"/>
                <w:szCs w:val="21"/>
              </w:rPr>
              <w:t>29.3</w:t>
            </w:r>
          </w:p>
        </w:tc>
        <w:tc>
          <w:tcPr>
            <w:tcW w:w="336" w:type="pct"/>
            <w:vAlign w:val="center"/>
          </w:tcPr>
          <w:p w14:paraId="3D901CE7">
            <w:pPr>
              <w:widowControl/>
              <w:jc w:val="center"/>
              <w:rPr>
                <w:rFonts w:ascii="Times New Roman" w:eastAsia="仿宋"/>
                <w:szCs w:val="21"/>
              </w:rPr>
            </w:pPr>
            <w:r>
              <w:rPr>
                <w:rFonts w:ascii="Times New Roman" w:eastAsia="仿宋"/>
                <w:szCs w:val="21"/>
              </w:rPr>
              <w:t>29.3</w:t>
            </w:r>
          </w:p>
        </w:tc>
        <w:tc>
          <w:tcPr>
            <w:tcW w:w="336" w:type="pct"/>
            <w:vAlign w:val="center"/>
          </w:tcPr>
          <w:p w14:paraId="53F0CA42">
            <w:pPr>
              <w:widowControl/>
              <w:jc w:val="center"/>
              <w:rPr>
                <w:rFonts w:ascii="Times New Roman" w:eastAsia="仿宋"/>
                <w:szCs w:val="21"/>
              </w:rPr>
            </w:pPr>
            <w:r>
              <w:rPr>
                <w:rFonts w:ascii="Times New Roman" w:eastAsia="仿宋"/>
                <w:szCs w:val="21"/>
              </w:rPr>
              <w:t>53.1</w:t>
            </w:r>
          </w:p>
        </w:tc>
        <w:tc>
          <w:tcPr>
            <w:tcW w:w="336" w:type="pct"/>
            <w:vAlign w:val="center"/>
          </w:tcPr>
          <w:p w14:paraId="2CD2107F">
            <w:pPr>
              <w:widowControl/>
              <w:jc w:val="center"/>
              <w:rPr>
                <w:rFonts w:ascii="Times New Roman" w:eastAsia="仿宋"/>
                <w:szCs w:val="21"/>
              </w:rPr>
            </w:pPr>
            <w:r>
              <w:rPr>
                <w:rFonts w:hint="eastAsia" w:ascii="Times New Roman" w:eastAsia="仿宋"/>
                <w:szCs w:val="21"/>
              </w:rPr>
              <w:t>51</w:t>
            </w:r>
            <w:r>
              <w:rPr>
                <w:rFonts w:ascii="Times New Roman" w:eastAsia="仿宋"/>
                <w:szCs w:val="21"/>
              </w:rPr>
              <w:t>.1</w:t>
            </w:r>
          </w:p>
        </w:tc>
        <w:tc>
          <w:tcPr>
            <w:tcW w:w="275" w:type="pct"/>
            <w:vAlign w:val="center"/>
          </w:tcPr>
          <w:p w14:paraId="78F2A1EC">
            <w:pPr>
              <w:widowControl/>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275" w:type="pct"/>
            <w:vAlign w:val="center"/>
          </w:tcPr>
          <w:p w14:paraId="578B9E0A">
            <w:pPr>
              <w:widowControl/>
              <w:jc w:val="center"/>
              <w:rPr>
                <w:rFonts w:ascii="Times New Roman" w:eastAsia="仿宋"/>
                <w:szCs w:val="21"/>
              </w:rPr>
            </w:pPr>
            <w:r>
              <w:rPr>
                <w:rFonts w:hint="eastAsia" w:ascii="Times New Roman" w:eastAsia="仿宋"/>
                <w:szCs w:val="21"/>
              </w:rPr>
              <w:t>0.1</w:t>
            </w:r>
          </w:p>
        </w:tc>
        <w:tc>
          <w:tcPr>
            <w:tcW w:w="245" w:type="pct"/>
            <w:vAlign w:val="center"/>
          </w:tcPr>
          <w:p w14:paraId="735FF5E9">
            <w:pPr>
              <w:widowControl/>
              <w:jc w:val="center"/>
              <w:rPr>
                <w:rFonts w:ascii="Times New Roman" w:eastAsia="仿宋"/>
                <w:szCs w:val="21"/>
              </w:rPr>
            </w:pPr>
            <w:r>
              <w:rPr>
                <w:rFonts w:ascii="Times New Roman" w:eastAsia="仿宋"/>
                <w:szCs w:val="21"/>
              </w:rPr>
              <w:t>达标</w:t>
            </w:r>
          </w:p>
        </w:tc>
        <w:tc>
          <w:tcPr>
            <w:tcW w:w="246" w:type="pct"/>
            <w:vAlign w:val="center"/>
          </w:tcPr>
          <w:p w14:paraId="5F983B7B">
            <w:pPr>
              <w:widowControl/>
              <w:jc w:val="center"/>
              <w:rPr>
                <w:rFonts w:ascii="Times New Roman" w:eastAsia="仿宋"/>
                <w:szCs w:val="21"/>
              </w:rPr>
            </w:pPr>
            <w:r>
              <w:rPr>
                <w:rFonts w:ascii="Times New Roman" w:eastAsia="仿宋"/>
                <w:szCs w:val="21"/>
              </w:rPr>
              <w:t>达标</w:t>
            </w:r>
          </w:p>
        </w:tc>
      </w:tr>
      <w:tr w14:paraId="638B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 w:type="pct"/>
            <w:vAlign w:val="center"/>
          </w:tcPr>
          <w:p w14:paraId="0BC605A3">
            <w:pPr>
              <w:widowControl/>
              <w:jc w:val="center"/>
              <w:rPr>
                <w:rFonts w:ascii="Times New Roman" w:eastAsia="仿宋"/>
                <w:szCs w:val="21"/>
              </w:rPr>
            </w:pPr>
            <w:r>
              <w:rPr>
                <w:rFonts w:ascii="Times New Roman" w:eastAsia="仿宋"/>
                <w:szCs w:val="21"/>
              </w:rPr>
              <w:t>4</w:t>
            </w:r>
          </w:p>
        </w:tc>
        <w:tc>
          <w:tcPr>
            <w:tcW w:w="476" w:type="pct"/>
            <w:vAlign w:val="center"/>
          </w:tcPr>
          <w:p w14:paraId="0DFB0E4E">
            <w:pPr>
              <w:widowControl/>
              <w:jc w:val="center"/>
              <w:rPr>
                <w:rFonts w:ascii="Times New Roman" w:eastAsia="仿宋"/>
                <w:szCs w:val="21"/>
              </w:rPr>
            </w:pPr>
            <w:r>
              <w:rPr>
                <w:rFonts w:ascii="Times New Roman" w:eastAsia="仿宋"/>
                <w:szCs w:val="21"/>
              </w:rPr>
              <w:t>北厂界</w:t>
            </w:r>
          </w:p>
        </w:tc>
        <w:tc>
          <w:tcPr>
            <w:tcW w:w="309" w:type="pct"/>
            <w:vAlign w:val="center"/>
          </w:tcPr>
          <w:p w14:paraId="3FBDA74D">
            <w:pPr>
              <w:widowControl/>
              <w:jc w:val="center"/>
              <w:rPr>
                <w:rFonts w:ascii="Times New Roman" w:eastAsia="仿宋"/>
                <w:szCs w:val="21"/>
              </w:rPr>
            </w:pPr>
            <w:r>
              <w:rPr>
                <w:rFonts w:hint="eastAsia" w:ascii="Times New Roman" w:eastAsia="仿宋"/>
                <w:szCs w:val="21"/>
              </w:rPr>
              <w:t>60</w:t>
            </w:r>
          </w:p>
        </w:tc>
        <w:tc>
          <w:tcPr>
            <w:tcW w:w="308" w:type="pct"/>
            <w:vAlign w:val="center"/>
          </w:tcPr>
          <w:p w14:paraId="28FCF104">
            <w:pPr>
              <w:widowControl/>
              <w:jc w:val="center"/>
              <w:rPr>
                <w:rFonts w:ascii="Times New Roman" w:eastAsia="仿宋"/>
                <w:szCs w:val="21"/>
              </w:rPr>
            </w:pPr>
            <w:r>
              <w:rPr>
                <w:rFonts w:hint="eastAsia" w:ascii="Times New Roman" w:eastAsia="仿宋"/>
                <w:szCs w:val="21"/>
              </w:rPr>
              <w:t>52</w:t>
            </w:r>
          </w:p>
        </w:tc>
        <w:tc>
          <w:tcPr>
            <w:tcW w:w="911" w:type="dxa"/>
            <w:vAlign w:val="center"/>
          </w:tcPr>
          <w:p w14:paraId="18CF92F1">
            <w:pPr>
              <w:widowControl/>
              <w:jc w:val="center"/>
              <w:rPr>
                <w:rFonts w:ascii="Times New Roman" w:eastAsia="仿宋"/>
                <w:szCs w:val="21"/>
              </w:rPr>
            </w:pPr>
            <w:r>
              <w:rPr>
                <w:rFonts w:hint="eastAsia" w:ascii="Times New Roman" w:eastAsia="仿宋"/>
                <w:szCs w:val="21"/>
              </w:rPr>
              <w:t>60</w:t>
            </w:r>
          </w:p>
        </w:tc>
        <w:tc>
          <w:tcPr>
            <w:tcW w:w="911" w:type="dxa"/>
            <w:vAlign w:val="center"/>
          </w:tcPr>
          <w:p w14:paraId="676CDAF0">
            <w:pPr>
              <w:widowControl/>
              <w:jc w:val="center"/>
              <w:rPr>
                <w:rFonts w:ascii="Times New Roman" w:eastAsia="仿宋"/>
                <w:szCs w:val="21"/>
              </w:rPr>
            </w:pPr>
            <w:r>
              <w:rPr>
                <w:rFonts w:hint="eastAsia" w:ascii="Times New Roman" w:eastAsia="仿宋"/>
                <w:szCs w:val="21"/>
              </w:rPr>
              <w:t>52</w:t>
            </w:r>
          </w:p>
        </w:tc>
        <w:tc>
          <w:tcPr>
            <w:tcW w:w="277" w:type="pct"/>
            <w:vAlign w:val="center"/>
          </w:tcPr>
          <w:p w14:paraId="2051BE1F">
            <w:pPr>
              <w:widowControl/>
              <w:jc w:val="center"/>
              <w:rPr>
                <w:rFonts w:ascii="Times New Roman" w:eastAsia="仿宋"/>
                <w:szCs w:val="21"/>
              </w:rPr>
            </w:pPr>
            <w:r>
              <w:rPr>
                <w:rFonts w:ascii="Times New Roman" w:eastAsia="仿宋"/>
                <w:szCs w:val="21"/>
              </w:rPr>
              <w:t>65</w:t>
            </w:r>
          </w:p>
        </w:tc>
        <w:tc>
          <w:tcPr>
            <w:tcW w:w="300" w:type="pct"/>
            <w:vAlign w:val="center"/>
          </w:tcPr>
          <w:p w14:paraId="42292169">
            <w:pPr>
              <w:widowControl/>
              <w:jc w:val="center"/>
              <w:rPr>
                <w:rFonts w:ascii="Times New Roman" w:eastAsia="仿宋"/>
                <w:szCs w:val="21"/>
              </w:rPr>
            </w:pPr>
            <w:r>
              <w:rPr>
                <w:rFonts w:ascii="Times New Roman" w:eastAsia="仿宋"/>
                <w:szCs w:val="21"/>
              </w:rPr>
              <w:t>55</w:t>
            </w:r>
          </w:p>
        </w:tc>
        <w:tc>
          <w:tcPr>
            <w:tcW w:w="400" w:type="pct"/>
            <w:vAlign w:val="center"/>
          </w:tcPr>
          <w:p w14:paraId="1F4306DD">
            <w:pPr>
              <w:widowControl/>
              <w:jc w:val="center"/>
              <w:rPr>
                <w:rFonts w:ascii="Times New Roman" w:eastAsia="仿宋"/>
                <w:szCs w:val="21"/>
              </w:rPr>
            </w:pPr>
            <w:r>
              <w:rPr>
                <w:rFonts w:ascii="Times New Roman" w:eastAsia="仿宋"/>
                <w:szCs w:val="21"/>
              </w:rPr>
              <w:t>27.4</w:t>
            </w:r>
          </w:p>
        </w:tc>
        <w:tc>
          <w:tcPr>
            <w:tcW w:w="336" w:type="pct"/>
            <w:vAlign w:val="center"/>
          </w:tcPr>
          <w:p w14:paraId="4A4D1B74">
            <w:pPr>
              <w:widowControl/>
              <w:jc w:val="center"/>
              <w:rPr>
                <w:rFonts w:ascii="Times New Roman" w:eastAsia="仿宋"/>
                <w:szCs w:val="21"/>
              </w:rPr>
            </w:pPr>
            <w:r>
              <w:rPr>
                <w:rFonts w:ascii="Times New Roman" w:eastAsia="仿宋"/>
                <w:szCs w:val="21"/>
              </w:rPr>
              <w:t>27.4</w:t>
            </w:r>
          </w:p>
        </w:tc>
        <w:tc>
          <w:tcPr>
            <w:tcW w:w="994" w:type="dxa"/>
            <w:vAlign w:val="center"/>
          </w:tcPr>
          <w:p w14:paraId="3E05D9A0">
            <w:pPr>
              <w:widowControl/>
              <w:jc w:val="center"/>
              <w:rPr>
                <w:rFonts w:ascii="Times New Roman" w:eastAsia="仿宋"/>
                <w:szCs w:val="21"/>
              </w:rPr>
            </w:pPr>
            <w:r>
              <w:rPr>
                <w:rFonts w:hint="eastAsia" w:ascii="Times New Roman" w:eastAsia="仿宋"/>
                <w:szCs w:val="21"/>
              </w:rPr>
              <w:t>60</w:t>
            </w:r>
          </w:p>
        </w:tc>
        <w:tc>
          <w:tcPr>
            <w:tcW w:w="994" w:type="dxa"/>
            <w:vAlign w:val="center"/>
          </w:tcPr>
          <w:p w14:paraId="116C3CC4">
            <w:pPr>
              <w:widowControl/>
              <w:jc w:val="center"/>
              <w:rPr>
                <w:rFonts w:ascii="Times New Roman" w:eastAsia="仿宋"/>
                <w:szCs w:val="21"/>
              </w:rPr>
            </w:pPr>
            <w:r>
              <w:rPr>
                <w:rFonts w:hint="eastAsia" w:ascii="Times New Roman" w:eastAsia="仿宋"/>
                <w:szCs w:val="21"/>
              </w:rPr>
              <w:t>52</w:t>
            </w:r>
          </w:p>
        </w:tc>
        <w:tc>
          <w:tcPr>
            <w:tcW w:w="275" w:type="pct"/>
            <w:vAlign w:val="center"/>
          </w:tcPr>
          <w:p w14:paraId="3D9BD1C9">
            <w:pPr>
              <w:widowControl/>
              <w:jc w:val="center"/>
              <w:rPr>
                <w:rFonts w:ascii="Times New Roman" w:eastAsia="仿宋"/>
                <w:szCs w:val="21"/>
              </w:rPr>
            </w:pPr>
            <w:r>
              <w:rPr>
                <w:rFonts w:hint="eastAsia" w:ascii="Times New Roman" w:eastAsia="仿宋"/>
                <w:szCs w:val="21"/>
              </w:rPr>
              <w:t>0</w:t>
            </w:r>
          </w:p>
        </w:tc>
        <w:tc>
          <w:tcPr>
            <w:tcW w:w="275" w:type="pct"/>
            <w:vAlign w:val="center"/>
          </w:tcPr>
          <w:p w14:paraId="16BBD805">
            <w:pPr>
              <w:widowControl/>
              <w:jc w:val="center"/>
              <w:rPr>
                <w:rFonts w:ascii="Times New Roman" w:eastAsia="仿宋"/>
                <w:szCs w:val="21"/>
              </w:rPr>
            </w:pPr>
            <w:r>
              <w:rPr>
                <w:rFonts w:hint="eastAsia" w:ascii="Times New Roman" w:eastAsia="仿宋"/>
                <w:szCs w:val="21"/>
              </w:rPr>
              <w:t>0</w:t>
            </w:r>
          </w:p>
        </w:tc>
        <w:tc>
          <w:tcPr>
            <w:tcW w:w="245" w:type="pct"/>
            <w:vAlign w:val="center"/>
          </w:tcPr>
          <w:p w14:paraId="1F3D44AF">
            <w:pPr>
              <w:widowControl/>
              <w:jc w:val="center"/>
              <w:rPr>
                <w:rFonts w:ascii="Times New Roman" w:eastAsia="仿宋"/>
                <w:szCs w:val="21"/>
              </w:rPr>
            </w:pPr>
            <w:r>
              <w:rPr>
                <w:rFonts w:ascii="Times New Roman" w:eastAsia="仿宋"/>
                <w:szCs w:val="21"/>
              </w:rPr>
              <w:t>达标</w:t>
            </w:r>
          </w:p>
        </w:tc>
        <w:tc>
          <w:tcPr>
            <w:tcW w:w="246" w:type="pct"/>
            <w:vAlign w:val="center"/>
          </w:tcPr>
          <w:p w14:paraId="1262B543">
            <w:pPr>
              <w:widowControl/>
              <w:jc w:val="center"/>
              <w:rPr>
                <w:rFonts w:ascii="Times New Roman" w:eastAsia="仿宋"/>
                <w:szCs w:val="21"/>
              </w:rPr>
            </w:pPr>
            <w:r>
              <w:rPr>
                <w:rFonts w:ascii="Times New Roman" w:eastAsia="仿宋"/>
                <w:szCs w:val="21"/>
              </w:rPr>
              <w:t>达标</w:t>
            </w:r>
          </w:p>
        </w:tc>
      </w:tr>
    </w:tbl>
    <w:p w14:paraId="7A65A0E4">
      <w:pPr>
        <w:spacing w:line="500" w:lineRule="exact"/>
        <w:ind w:firstLine="560" w:firstLineChars="200"/>
        <w:rPr>
          <w:rFonts w:ascii="Times New Roman" w:eastAsia="仿宋"/>
          <w:sz w:val="28"/>
        </w:rPr>
        <w:sectPr>
          <w:pgSz w:w="16838" w:h="11906" w:orient="landscape"/>
          <w:pgMar w:top="1418" w:right="1134" w:bottom="1418" w:left="1134" w:header="851" w:footer="992" w:gutter="0"/>
          <w:cols w:space="720" w:num="1"/>
          <w:docGrid w:linePitch="312" w:charSpace="0"/>
        </w:sectPr>
      </w:pPr>
    </w:p>
    <w:p w14:paraId="1E03EAA4">
      <w:pPr>
        <w:spacing w:line="500" w:lineRule="exact"/>
        <w:ind w:firstLine="560" w:firstLineChars="200"/>
        <w:rPr>
          <w:rFonts w:ascii="Times New Roman" w:eastAsia="仿宋"/>
          <w:sz w:val="28"/>
        </w:rPr>
      </w:pPr>
      <w:r>
        <w:rPr>
          <w:rFonts w:ascii="Times New Roman" w:eastAsia="仿宋"/>
          <w:sz w:val="28"/>
        </w:rPr>
        <w:t>由上表可知，本项目噪声源经隔声、减振等措施后，各噪声设备对厂界噪声的贡献值较小，与本底值叠加后，厂界噪声值增加量不大，基本维持现状，东、南、西</w:t>
      </w:r>
      <w:r>
        <w:rPr>
          <w:rFonts w:hint="eastAsia" w:ascii="Times New Roman" w:eastAsia="仿宋"/>
          <w:sz w:val="28"/>
        </w:rPr>
        <w:t>、北</w:t>
      </w:r>
      <w:r>
        <w:rPr>
          <w:rFonts w:ascii="Times New Roman" w:eastAsia="仿宋"/>
          <w:sz w:val="28"/>
        </w:rPr>
        <w:t>厂界昼、夜间噪声均符合《工业企业厂界环境噪声排放标准》（GB12348-2008）中3类标准。</w:t>
      </w:r>
    </w:p>
    <w:p w14:paraId="05156DE5">
      <w:pPr>
        <w:keepNext/>
        <w:widowControl/>
        <w:adjustRightInd w:val="0"/>
        <w:snapToGrid w:val="0"/>
        <w:spacing w:after="120" w:afterLines="50" w:line="500" w:lineRule="exact"/>
        <w:jc w:val="left"/>
        <w:outlineLvl w:val="3"/>
        <w:rPr>
          <w:rFonts w:ascii="Times New Roman" w:eastAsia="仿宋"/>
          <w:b/>
          <w:bCs/>
          <w:sz w:val="28"/>
          <w:szCs w:val="28"/>
        </w:rPr>
      </w:pPr>
      <w:r>
        <w:rPr>
          <w:rFonts w:hint="eastAsia" w:ascii="Times New Roman" w:eastAsia="仿宋"/>
          <w:b/>
          <w:bCs/>
          <w:sz w:val="28"/>
          <w:szCs w:val="28"/>
        </w:rPr>
        <w:t>5</w:t>
      </w:r>
      <w:r>
        <w:rPr>
          <w:rFonts w:ascii="Times New Roman" w:eastAsia="仿宋"/>
          <w:b/>
          <w:bCs/>
          <w:sz w:val="28"/>
          <w:szCs w:val="28"/>
        </w:rPr>
        <w:t>.2.3.5</w:t>
      </w:r>
      <w:r>
        <w:rPr>
          <w:rFonts w:hint="eastAsia" w:ascii="Times New Roman" w:eastAsia="仿宋"/>
          <w:b/>
          <w:bCs/>
          <w:sz w:val="28"/>
          <w:szCs w:val="28"/>
        </w:rPr>
        <w:t>噪声影响预测评价</w:t>
      </w:r>
    </w:p>
    <w:p w14:paraId="13BE64CE">
      <w:pPr>
        <w:spacing w:line="500" w:lineRule="exact"/>
        <w:ind w:firstLine="560" w:firstLineChars="200"/>
        <w:rPr>
          <w:rFonts w:ascii="Times New Roman" w:eastAsia="仿宋"/>
          <w:sz w:val="28"/>
        </w:rPr>
      </w:pPr>
      <w:r>
        <w:rPr>
          <w:rFonts w:hint="eastAsia" w:ascii="Times New Roman" w:eastAsia="仿宋"/>
          <w:sz w:val="28"/>
        </w:rPr>
        <w:t>从预测结果可看出，本项目昼、夜间各</w:t>
      </w:r>
      <w:r>
        <w:rPr>
          <w:rFonts w:eastAsia="仿宋_GB2312"/>
          <w:sz w:val="28"/>
          <w:szCs w:val="28"/>
        </w:rPr>
        <w:t>厂界噪声预测值</w:t>
      </w:r>
      <w:r>
        <w:rPr>
          <w:rFonts w:hint="eastAsia" w:eastAsia="仿宋_GB2312"/>
          <w:sz w:val="28"/>
          <w:szCs w:val="28"/>
        </w:rPr>
        <w:t>均满足</w:t>
      </w:r>
      <w:r>
        <w:rPr>
          <w:rFonts w:ascii="Times New Roman" w:eastAsia="仿宋"/>
          <w:sz w:val="28"/>
        </w:rPr>
        <w:t>《工业企业厂界环境噪声排放标准》（GB12348-2008）中3类标准</w:t>
      </w:r>
      <w:r>
        <w:rPr>
          <w:rFonts w:hint="eastAsia" w:ascii="Times New Roman" w:eastAsia="仿宋"/>
          <w:sz w:val="28"/>
        </w:rPr>
        <w:t>，项目建成后对周边声环境影响较小。</w:t>
      </w:r>
    </w:p>
    <w:p w14:paraId="12CB8251">
      <w:pPr>
        <w:autoSpaceDE w:val="0"/>
        <w:autoSpaceDN w:val="0"/>
        <w:adjustRightInd w:val="0"/>
        <w:snapToGrid w:val="0"/>
        <w:spacing w:line="500" w:lineRule="exact"/>
        <w:ind w:firstLine="560" w:firstLineChars="200"/>
        <w:jc w:val="left"/>
        <w:rPr>
          <w:rFonts w:eastAsia="仿宋_GB2312"/>
          <w:sz w:val="28"/>
          <w:szCs w:val="28"/>
        </w:rPr>
      </w:pPr>
      <w:r>
        <w:rPr>
          <w:rFonts w:eastAsia="仿宋_GB2312"/>
          <w:sz w:val="28"/>
          <w:szCs w:val="28"/>
        </w:rPr>
        <w:t>使厂界噪声能稳定达标，确保项目投产后减轻对周围环境的噪声污染，必须重视对噪声的治理，采取切实有效的降噪措施：</w:t>
      </w:r>
    </w:p>
    <w:p w14:paraId="13EDBCA3">
      <w:pPr>
        <w:pStyle w:val="70"/>
        <w:adjustRightInd w:val="0"/>
        <w:snapToGrid w:val="0"/>
        <w:spacing w:after="0" w:line="500" w:lineRule="exact"/>
        <w:ind w:left="0" w:leftChars="0" w:firstLine="561"/>
        <w:rPr>
          <w:rFonts w:eastAsia="仿宋"/>
          <w:sz w:val="28"/>
          <w:szCs w:val="28"/>
        </w:rPr>
      </w:pPr>
      <w:r>
        <w:rPr>
          <w:rFonts w:eastAsia="仿宋"/>
          <w:sz w:val="28"/>
          <w:szCs w:val="28"/>
        </w:rPr>
        <w:t>按照《工业企业噪声控制设计规范》对生产车间内主要噪声源合理布局</w:t>
      </w:r>
      <w:r>
        <w:rPr>
          <w:rFonts w:hint="eastAsia" w:eastAsia="仿宋"/>
          <w:sz w:val="28"/>
          <w:szCs w:val="28"/>
        </w:rPr>
        <w:t>。</w:t>
      </w:r>
    </w:p>
    <w:p w14:paraId="33A5BECE">
      <w:pPr>
        <w:pStyle w:val="70"/>
        <w:adjustRightInd w:val="0"/>
        <w:snapToGrid w:val="0"/>
        <w:spacing w:after="0" w:line="500" w:lineRule="exact"/>
        <w:ind w:left="0" w:leftChars="0" w:firstLine="561"/>
        <w:rPr>
          <w:rFonts w:eastAsia="仿宋"/>
          <w:sz w:val="28"/>
          <w:szCs w:val="28"/>
        </w:rPr>
      </w:pPr>
      <w:r>
        <w:rPr>
          <w:rFonts w:eastAsia="仿宋"/>
          <w:sz w:val="28"/>
          <w:szCs w:val="28"/>
        </w:rPr>
        <w:t>选用噪声较低、振动较小的设备；在对主要噪声源设备选择时，应收集和比较同类型设备的噪声指标；对于噪声较大的设备，应从设备选型开始要求供货商提供符合要求的低噪声设备。</w:t>
      </w:r>
    </w:p>
    <w:p w14:paraId="150AE2DA">
      <w:pPr>
        <w:pStyle w:val="70"/>
        <w:adjustRightInd w:val="0"/>
        <w:snapToGrid w:val="0"/>
        <w:spacing w:after="0" w:line="500" w:lineRule="exact"/>
        <w:ind w:left="0" w:leftChars="0" w:firstLine="561"/>
        <w:rPr>
          <w:rFonts w:eastAsia="仿宋"/>
          <w:sz w:val="28"/>
          <w:szCs w:val="28"/>
        </w:rPr>
      </w:pPr>
      <w:r>
        <w:rPr>
          <w:rFonts w:eastAsia="仿宋"/>
          <w:sz w:val="28"/>
          <w:szCs w:val="28"/>
        </w:rPr>
        <w:t>主要噪声源布置、安装时，应尽量远离厂房边界。</w:t>
      </w:r>
    </w:p>
    <w:p w14:paraId="5E7D0AAD">
      <w:pPr>
        <w:pStyle w:val="70"/>
        <w:adjustRightInd w:val="0"/>
        <w:snapToGrid w:val="0"/>
        <w:spacing w:after="0" w:line="500" w:lineRule="exact"/>
        <w:ind w:left="0" w:leftChars="0" w:firstLine="561"/>
        <w:rPr>
          <w:rFonts w:eastAsia="仿宋"/>
          <w:sz w:val="28"/>
          <w:szCs w:val="28"/>
        </w:rPr>
      </w:pPr>
      <w:r>
        <w:rPr>
          <w:rFonts w:eastAsia="仿宋"/>
          <w:sz w:val="28"/>
          <w:szCs w:val="28"/>
        </w:rPr>
        <w:t>加强生产管理，对主要噪声源采取相应的治理措施。</w:t>
      </w:r>
    </w:p>
    <w:p w14:paraId="03886EA5">
      <w:pPr>
        <w:pStyle w:val="70"/>
        <w:adjustRightInd w:val="0"/>
        <w:snapToGrid w:val="0"/>
        <w:spacing w:after="0" w:line="500" w:lineRule="exact"/>
        <w:ind w:left="0" w:leftChars="0" w:firstLine="561"/>
        <w:rPr>
          <w:rFonts w:eastAsia="仿宋"/>
          <w:sz w:val="28"/>
          <w:szCs w:val="28"/>
        </w:rPr>
      </w:pPr>
      <w:r>
        <w:rPr>
          <w:rFonts w:eastAsia="仿宋"/>
          <w:sz w:val="28"/>
          <w:szCs w:val="28"/>
        </w:rPr>
        <w:t>在运行管理人员集中的控制室，其门窗等应进行隔声处理，使员工工作环境达到允许噪声标准；值班人员或检修人员应加强个体防护，配戴防噪耳塞、耳罩等。</w:t>
      </w:r>
    </w:p>
    <w:p w14:paraId="7666A278">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对室外噪声源如空压机、风机、水泵等采取以下措施：</w:t>
      </w:r>
    </w:p>
    <w:p w14:paraId="71E0FE90">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（1）</w:t>
      </w:r>
      <w:r>
        <w:rPr>
          <w:rFonts w:eastAsia="仿宋"/>
          <w:sz w:val="28"/>
          <w:szCs w:val="28"/>
        </w:rPr>
        <w:t>空压机</w:t>
      </w:r>
      <w:r>
        <w:rPr>
          <w:rFonts w:hint="eastAsia" w:eastAsia="仿宋"/>
          <w:sz w:val="28"/>
          <w:szCs w:val="28"/>
        </w:rPr>
        <w:t>、风机</w:t>
      </w:r>
      <w:r>
        <w:rPr>
          <w:rFonts w:eastAsia="仿宋"/>
          <w:sz w:val="28"/>
          <w:szCs w:val="28"/>
        </w:rPr>
        <w:t>噪声采用安装消声器、设置隔声罩以及尽量选用螺杆式空压机以消除脉冲噪声。</w:t>
      </w:r>
    </w:p>
    <w:p w14:paraId="069CFEC7">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（2）</w:t>
      </w:r>
      <w:r>
        <w:rPr>
          <w:rFonts w:ascii="Times New Roman" w:eastAsia="仿宋"/>
          <w:kern w:val="2"/>
          <w:sz w:val="28"/>
          <w:szCs w:val="28"/>
        </w:rPr>
        <w:t>对于水泵进行减振，</w:t>
      </w:r>
      <w:r>
        <w:rPr>
          <w:rFonts w:hint="eastAsia" w:ascii="Times New Roman" w:eastAsia="仿宋"/>
          <w:kern w:val="2"/>
          <w:sz w:val="28"/>
          <w:szCs w:val="28"/>
        </w:rPr>
        <w:t>在水泵底座安装隔振器或弹性衬垫材料；</w:t>
      </w:r>
    </w:p>
    <w:p w14:paraId="11F3FDAF">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（3）</w:t>
      </w:r>
      <w:r>
        <w:rPr>
          <w:rFonts w:ascii="Times New Roman" w:eastAsia="仿宋"/>
          <w:kern w:val="2"/>
          <w:sz w:val="28"/>
          <w:szCs w:val="28"/>
        </w:rPr>
        <w:t>厂界周围种植高大树木，增加立体防噪效果，既美化环境又达到降尘和降噪的双重作用。</w:t>
      </w:r>
    </w:p>
    <w:p w14:paraId="5545ACC8">
      <w:pPr>
        <w:spacing w:line="500" w:lineRule="exact"/>
        <w:ind w:firstLine="560" w:firstLineChars="200"/>
        <w:rPr>
          <w:rFonts w:ascii="Times New Roman" w:eastAsia="仿宋"/>
          <w:kern w:val="2"/>
          <w:sz w:val="28"/>
          <w:szCs w:val="28"/>
        </w:rPr>
      </w:pPr>
      <w:r>
        <w:rPr>
          <w:rFonts w:ascii="Times New Roman" w:eastAsia="仿宋"/>
          <w:kern w:val="2"/>
          <w:sz w:val="28"/>
          <w:szCs w:val="28"/>
        </w:rPr>
        <w:t>此外，针对厂区运输车辆所产生的交通噪声，采取限制超载、定期保养车辆、厂区禁按喇叭等措施以降低交通噪声。</w:t>
      </w:r>
    </w:p>
    <w:bookmarkEnd w:id="344"/>
    <w:bookmarkEnd w:id="345"/>
    <w:bookmarkEnd w:id="346"/>
    <w:p w14:paraId="5F4A647D">
      <w:pPr>
        <w:pStyle w:val="6"/>
        <w:keepLines w:val="0"/>
        <w:tabs>
          <w:tab w:val="left" w:pos="709"/>
        </w:tabs>
        <w:spacing w:before="0" w:after="120" w:afterLines="50" w:line="500" w:lineRule="exact"/>
        <w:rPr>
          <w:rFonts w:ascii="Times New Roman" w:eastAsia="仿宋"/>
          <w:bCs w:val="0"/>
          <w:sz w:val="28"/>
          <w:szCs w:val="28"/>
        </w:rPr>
      </w:pPr>
      <w:bookmarkStart w:id="347" w:name="_Toc33434066"/>
      <w:bookmarkStart w:id="348" w:name="_Toc238363473"/>
      <w:bookmarkStart w:id="349" w:name="_Toc63824152"/>
      <w:bookmarkStart w:id="350" w:name="_Toc113810215"/>
      <w:bookmarkStart w:id="351" w:name="_Toc200707957"/>
      <w:bookmarkStart w:id="352" w:name="_Toc240859403"/>
      <w:bookmarkStart w:id="353" w:name="_Toc170530426"/>
      <w:bookmarkStart w:id="354" w:name="_Toc236536296"/>
      <w:bookmarkStart w:id="355" w:name="_Toc227951087"/>
      <w:bookmarkStart w:id="356" w:name="_Toc105743734"/>
      <w:bookmarkStart w:id="357" w:name="_Toc86754994"/>
      <w:bookmarkStart w:id="358" w:name="_Toc48125334"/>
      <w:bookmarkStart w:id="359" w:name="_Toc81130953"/>
      <w:r>
        <w:rPr>
          <w:rFonts w:hint="eastAsia" w:ascii="Times New Roman" w:eastAsia="仿宋"/>
          <w:bCs w:val="0"/>
          <w:sz w:val="28"/>
          <w:szCs w:val="28"/>
        </w:rPr>
        <w:t>5</w:t>
      </w:r>
      <w:r>
        <w:rPr>
          <w:rFonts w:ascii="Times New Roman" w:eastAsia="仿宋"/>
          <w:bCs w:val="0"/>
          <w:sz w:val="28"/>
          <w:szCs w:val="28"/>
        </w:rPr>
        <w:t>.2.4固体废物环境影响评</w:t>
      </w:r>
      <w:bookmarkEnd w:id="347"/>
      <w:r>
        <w:rPr>
          <w:rFonts w:ascii="Times New Roman" w:eastAsia="仿宋"/>
          <w:bCs w:val="0"/>
          <w:sz w:val="28"/>
          <w:szCs w:val="28"/>
        </w:rPr>
        <w:t>价</w:t>
      </w:r>
      <w:bookmarkEnd w:id="348"/>
      <w:bookmarkEnd w:id="349"/>
      <w:bookmarkEnd w:id="350"/>
      <w:bookmarkEnd w:id="351"/>
      <w:bookmarkEnd w:id="352"/>
      <w:bookmarkEnd w:id="353"/>
      <w:bookmarkEnd w:id="354"/>
      <w:bookmarkEnd w:id="355"/>
      <w:bookmarkEnd w:id="356"/>
      <w:bookmarkEnd w:id="357"/>
      <w:bookmarkEnd w:id="358"/>
      <w:bookmarkEnd w:id="359"/>
      <w:bookmarkStart w:id="360" w:name="_Hlt42397800"/>
      <w:bookmarkEnd w:id="360"/>
    </w:p>
    <w:p w14:paraId="1B966D3F">
      <w:pPr>
        <w:pStyle w:val="7"/>
        <w:keepLines w:val="0"/>
        <w:widowControl/>
        <w:adjustRightInd w:val="0"/>
        <w:snapToGrid w:val="0"/>
        <w:spacing w:after="120" w:afterLines="50"/>
        <w:jc w:val="left"/>
        <w:rPr>
          <w:rFonts w:ascii="Times New Roman" w:hAnsi="Times New Roman" w:eastAsia="仿宋"/>
          <w:b/>
        </w:rPr>
      </w:pPr>
      <w:bookmarkStart w:id="361" w:name="_Hlt81037790"/>
      <w:bookmarkEnd w:id="361"/>
      <w:r>
        <w:rPr>
          <w:rFonts w:hint="eastAsia" w:ascii="Times New Roman" w:hAnsi="Times New Roman" w:eastAsia="仿宋"/>
          <w:b/>
        </w:rPr>
        <w:t>5</w:t>
      </w:r>
      <w:r>
        <w:rPr>
          <w:rFonts w:ascii="Times New Roman" w:hAnsi="Times New Roman" w:eastAsia="仿宋"/>
          <w:b/>
        </w:rPr>
        <w:t>.2.4.1固废产生情况汇总</w:t>
      </w:r>
    </w:p>
    <w:p w14:paraId="4B79022B">
      <w:pPr>
        <w:spacing w:line="500" w:lineRule="exact"/>
        <w:ind w:firstLine="560" w:firstLineChars="200"/>
        <w:rPr>
          <w:rFonts w:ascii="Times New Roman" w:eastAsia="仿宋"/>
          <w:b/>
        </w:rPr>
      </w:pPr>
      <w:r>
        <w:rPr>
          <w:rFonts w:ascii="Times New Roman" w:eastAsia="仿宋"/>
          <w:sz w:val="28"/>
          <w:szCs w:val="28"/>
        </w:rPr>
        <w:t>本项目固体废物利用处置方式见</w:t>
      </w:r>
      <w:bookmarkStart w:id="362" w:name="_Ref372303275"/>
      <w:r>
        <w:rPr>
          <w:rFonts w:ascii="Times New Roman" w:eastAsia="仿宋"/>
          <w:sz w:val="28"/>
          <w:szCs w:val="28"/>
        </w:rPr>
        <w:t>下表。</w:t>
      </w:r>
    </w:p>
    <w:p w14:paraId="3B62DE59">
      <w:pPr>
        <w:adjustRightInd w:val="0"/>
        <w:snapToGrid w:val="0"/>
        <w:spacing w:line="500" w:lineRule="exact"/>
        <w:jc w:val="center"/>
        <w:rPr>
          <w:rFonts w:ascii="Times New Roman" w:eastAsia="仿宋"/>
          <w:b/>
        </w:rPr>
        <w:sectPr>
          <w:pgSz w:w="11906" w:h="16838"/>
          <w:pgMar w:top="1134" w:right="1418" w:bottom="1134" w:left="1418" w:header="851" w:footer="992" w:gutter="0"/>
          <w:cols w:space="720" w:num="1"/>
          <w:docGrid w:linePitch="312" w:charSpace="0"/>
        </w:sectPr>
      </w:pPr>
    </w:p>
    <w:p w14:paraId="130C434E">
      <w:pPr>
        <w:adjustRightInd w:val="0"/>
        <w:snapToGrid w:val="0"/>
        <w:spacing w:line="500" w:lineRule="exact"/>
        <w:jc w:val="center"/>
        <w:rPr>
          <w:rFonts w:ascii="Times New Roman" w:eastAsia="仿宋"/>
          <w:b/>
        </w:rPr>
      </w:pPr>
      <w:r>
        <w:rPr>
          <w:rFonts w:ascii="Times New Roman" w:eastAsia="仿宋"/>
          <w:b/>
        </w:rPr>
        <w:t>表</w:t>
      </w:r>
      <w:bookmarkEnd w:id="362"/>
      <w:r>
        <w:rPr>
          <w:rFonts w:ascii="Times New Roman" w:eastAsia="仿宋"/>
          <w:b/>
        </w:rPr>
        <w:t>5.2-34   本项目固体废物利用处置方式  单位：t/a</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10"/>
        <w:gridCol w:w="864"/>
        <w:gridCol w:w="1102"/>
        <w:gridCol w:w="1634"/>
        <w:gridCol w:w="849"/>
        <w:gridCol w:w="1350"/>
        <w:gridCol w:w="765"/>
        <w:gridCol w:w="1170"/>
        <w:gridCol w:w="987"/>
        <w:gridCol w:w="992"/>
        <w:gridCol w:w="851"/>
        <w:gridCol w:w="1086"/>
      </w:tblGrid>
      <w:tr w14:paraId="65A9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3F623AB0">
            <w:pPr>
              <w:topLinePunct/>
              <w:adjustRightInd w:val="0"/>
              <w:snapToGrid w:val="0"/>
              <w:jc w:val="center"/>
              <w:rPr>
                <w:rFonts w:ascii="Times New Roman" w:eastAsia="仿宋"/>
                <w:szCs w:val="21"/>
              </w:rPr>
            </w:pPr>
            <w:r>
              <w:rPr>
                <w:rFonts w:ascii="Times New Roman" w:eastAsia="仿宋"/>
                <w:szCs w:val="21"/>
              </w:rPr>
              <w:t>序号</w:t>
            </w:r>
          </w:p>
        </w:tc>
        <w:tc>
          <w:tcPr>
            <w:tcW w:w="1610" w:type="dxa"/>
            <w:vAlign w:val="center"/>
          </w:tcPr>
          <w:p w14:paraId="211E0519">
            <w:pPr>
              <w:topLinePunct/>
              <w:adjustRightInd w:val="0"/>
              <w:snapToGrid w:val="0"/>
              <w:jc w:val="center"/>
              <w:rPr>
                <w:rFonts w:ascii="Times New Roman" w:eastAsia="仿宋"/>
                <w:szCs w:val="21"/>
              </w:rPr>
            </w:pPr>
            <w:r>
              <w:rPr>
                <w:rFonts w:ascii="Times New Roman" w:eastAsia="仿宋"/>
                <w:szCs w:val="21"/>
              </w:rPr>
              <w:t>废物名称</w:t>
            </w:r>
          </w:p>
        </w:tc>
        <w:tc>
          <w:tcPr>
            <w:tcW w:w="864" w:type="dxa"/>
            <w:vAlign w:val="center"/>
          </w:tcPr>
          <w:p w14:paraId="70FC980B">
            <w:pPr>
              <w:topLinePunct/>
              <w:adjustRightInd w:val="0"/>
              <w:snapToGrid w:val="0"/>
              <w:jc w:val="center"/>
              <w:rPr>
                <w:rFonts w:ascii="Times New Roman" w:eastAsia="仿宋"/>
                <w:szCs w:val="21"/>
              </w:rPr>
            </w:pPr>
            <w:r>
              <w:rPr>
                <w:rFonts w:hint="eastAsia" w:ascii="Times New Roman" w:eastAsia="仿宋"/>
                <w:szCs w:val="21"/>
              </w:rPr>
              <w:t>性质</w:t>
            </w:r>
          </w:p>
        </w:tc>
        <w:tc>
          <w:tcPr>
            <w:tcW w:w="1102" w:type="dxa"/>
            <w:vAlign w:val="center"/>
          </w:tcPr>
          <w:p w14:paraId="7342C6D0">
            <w:pPr>
              <w:topLinePunct/>
              <w:adjustRightInd w:val="0"/>
              <w:snapToGrid w:val="0"/>
              <w:jc w:val="center"/>
              <w:rPr>
                <w:rFonts w:ascii="Times New Roman" w:eastAsia="仿宋"/>
                <w:szCs w:val="21"/>
              </w:rPr>
            </w:pPr>
            <w:r>
              <w:rPr>
                <w:rFonts w:ascii="Times New Roman" w:eastAsia="仿宋"/>
                <w:szCs w:val="21"/>
              </w:rPr>
              <w:t>废物类别</w:t>
            </w:r>
          </w:p>
        </w:tc>
        <w:tc>
          <w:tcPr>
            <w:tcW w:w="1634" w:type="dxa"/>
            <w:vAlign w:val="center"/>
          </w:tcPr>
          <w:p w14:paraId="7064DBF9">
            <w:pPr>
              <w:topLinePunct/>
              <w:adjustRightInd w:val="0"/>
              <w:snapToGrid w:val="0"/>
              <w:jc w:val="center"/>
              <w:rPr>
                <w:rFonts w:ascii="Times New Roman" w:eastAsia="仿宋"/>
                <w:szCs w:val="21"/>
              </w:rPr>
            </w:pPr>
            <w:r>
              <w:rPr>
                <w:rFonts w:ascii="Times New Roman" w:eastAsia="仿宋"/>
                <w:szCs w:val="21"/>
              </w:rPr>
              <w:t>废物代码</w:t>
            </w:r>
          </w:p>
        </w:tc>
        <w:tc>
          <w:tcPr>
            <w:tcW w:w="849" w:type="dxa"/>
            <w:vAlign w:val="center"/>
          </w:tcPr>
          <w:p w14:paraId="2BF5C843">
            <w:pPr>
              <w:topLinePunct/>
              <w:adjustRightInd w:val="0"/>
              <w:snapToGrid w:val="0"/>
              <w:jc w:val="center"/>
              <w:rPr>
                <w:rFonts w:ascii="Times New Roman" w:eastAsia="仿宋"/>
                <w:szCs w:val="21"/>
              </w:rPr>
            </w:pPr>
            <w:r>
              <w:rPr>
                <w:rFonts w:ascii="Times New Roman" w:eastAsia="仿宋"/>
                <w:szCs w:val="21"/>
              </w:rPr>
              <w:t>产生量（t/a）</w:t>
            </w:r>
          </w:p>
        </w:tc>
        <w:tc>
          <w:tcPr>
            <w:tcW w:w="1350" w:type="dxa"/>
            <w:vAlign w:val="center"/>
          </w:tcPr>
          <w:p w14:paraId="23267835">
            <w:pPr>
              <w:topLinePunct/>
              <w:adjustRightInd w:val="0"/>
              <w:snapToGrid w:val="0"/>
              <w:jc w:val="center"/>
              <w:rPr>
                <w:rFonts w:ascii="Times New Roman" w:eastAsia="仿宋"/>
                <w:szCs w:val="21"/>
              </w:rPr>
            </w:pPr>
            <w:r>
              <w:rPr>
                <w:rFonts w:ascii="Times New Roman" w:eastAsia="仿宋"/>
                <w:szCs w:val="21"/>
              </w:rPr>
              <w:t>产生工序及装置</w:t>
            </w:r>
          </w:p>
        </w:tc>
        <w:tc>
          <w:tcPr>
            <w:tcW w:w="765" w:type="dxa"/>
            <w:vAlign w:val="center"/>
          </w:tcPr>
          <w:p w14:paraId="4BF88E06">
            <w:pPr>
              <w:topLinePunct/>
              <w:adjustRightInd w:val="0"/>
              <w:snapToGrid w:val="0"/>
              <w:jc w:val="center"/>
              <w:rPr>
                <w:rFonts w:ascii="Times New Roman" w:eastAsia="仿宋"/>
                <w:szCs w:val="21"/>
              </w:rPr>
            </w:pPr>
            <w:r>
              <w:rPr>
                <w:rFonts w:ascii="Times New Roman" w:eastAsia="仿宋"/>
                <w:szCs w:val="21"/>
              </w:rPr>
              <w:t>形态</w:t>
            </w:r>
          </w:p>
        </w:tc>
        <w:tc>
          <w:tcPr>
            <w:tcW w:w="1170" w:type="dxa"/>
            <w:vAlign w:val="center"/>
          </w:tcPr>
          <w:p w14:paraId="7E7B77D5">
            <w:pPr>
              <w:topLinePunct/>
              <w:adjustRightInd w:val="0"/>
              <w:snapToGrid w:val="0"/>
              <w:jc w:val="center"/>
              <w:rPr>
                <w:rFonts w:ascii="Times New Roman" w:eastAsia="仿宋"/>
                <w:szCs w:val="21"/>
              </w:rPr>
            </w:pPr>
            <w:r>
              <w:rPr>
                <w:rFonts w:ascii="Times New Roman" w:eastAsia="仿宋"/>
                <w:szCs w:val="21"/>
              </w:rPr>
              <w:t>主要成分</w:t>
            </w:r>
          </w:p>
        </w:tc>
        <w:tc>
          <w:tcPr>
            <w:tcW w:w="987" w:type="dxa"/>
            <w:vAlign w:val="center"/>
          </w:tcPr>
          <w:p w14:paraId="3800F3E9">
            <w:pPr>
              <w:topLinePunct/>
              <w:adjustRightInd w:val="0"/>
              <w:snapToGrid w:val="0"/>
              <w:jc w:val="center"/>
              <w:rPr>
                <w:rFonts w:ascii="Times New Roman" w:eastAsia="仿宋"/>
                <w:szCs w:val="21"/>
              </w:rPr>
            </w:pPr>
            <w:r>
              <w:rPr>
                <w:rFonts w:ascii="Times New Roman" w:eastAsia="仿宋"/>
                <w:szCs w:val="21"/>
              </w:rPr>
              <w:t>有害成分</w:t>
            </w:r>
          </w:p>
        </w:tc>
        <w:tc>
          <w:tcPr>
            <w:tcW w:w="992" w:type="dxa"/>
            <w:vAlign w:val="center"/>
          </w:tcPr>
          <w:p w14:paraId="53A2763D">
            <w:pPr>
              <w:topLinePunct/>
              <w:adjustRightInd w:val="0"/>
              <w:snapToGrid w:val="0"/>
              <w:jc w:val="center"/>
              <w:rPr>
                <w:rFonts w:ascii="Times New Roman" w:eastAsia="仿宋"/>
                <w:szCs w:val="21"/>
              </w:rPr>
            </w:pPr>
            <w:r>
              <w:rPr>
                <w:rFonts w:ascii="Times New Roman" w:eastAsia="仿宋"/>
                <w:szCs w:val="21"/>
              </w:rPr>
              <w:t>产废周期</w:t>
            </w:r>
          </w:p>
        </w:tc>
        <w:tc>
          <w:tcPr>
            <w:tcW w:w="851" w:type="dxa"/>
            <w:vAlign w:val="center"/>
          </w:tcPr>
          <w:p w14:paraId="1943829B">
            <w:pPr>
              <w:topLinePunct/>
              <w:adjustRightInd w:val="0"/>
              <w:snapToGrid w:val="0"/>
              <w:jc w:val="center"/>
              <w:rPr>
                <w:rFonts w:ascii="Times New Roman" w:eastAsia="仿宋"/>
                <w:szCs w:val="21"/>
              </w:rPr>
            </w:pPr>
            <w:r>
              <w:rPr>
                <w:rFonts w:ascii="Times New Roman" w:eastAsia="仿宋"/>
                <w:szCs w:val="21"/>
              </w:rPr>
              <w:t>危险</w:t>
            </w:r>
          </w:p>
          <w:p w14:paraId="623051F7">
            <w:pPr>
              <w:topLinePunct/>
              <w:adjustRightInd w:val="0"/>
              <w:snapToGrid w:val="0"/>
              <w:jc w:val="center"/>
              <w:rPr>
                <w:rFonts w:ascii="Times New Roman" w:eastAsia="仿宋"/>
                <w:szCs w:val="21"/>
              </w:rPr>
            </w:pPr>
            <w:r>
              <w:rPr>
                <w:rFonts w:ascii="Times New Roman" w:eastAsia="仿宋"/>
                <w:szCs w:val="21"/>
              </w:rPr>
              <w:t>特性</w:t>
            </w:r>
          </w:p>
        </w:tc>
        <w:tc>
          <w:tcPr>
            <w:tcW w:w="1086" w:type="dxa"/>
            <w:vAlign w:val="center"/>
          </w:tcPr>
          <w:p w14:paraId="0463A588">
            <w:pPr>
              <w:topLinePunct/>
              <w:adjustRightInd w:val="0"/>
              <w:snapToGrid w:val="0"/>
              <w:jc w:val="center"/>
              <w:rPr>
                <w:rFonts w:ascii="Times New Roman" w:eastAsia="仿宋"/>
                <w:szCs w:val="21"/>
              </w:rPr>
            </w:pPr>
            <w:r>
              <w:rPr>
                <w:rFonts w:ascii="Times New Roman" w:eastAsia="仿宋"/>
                <w:szCs w:val="21"/>
              </w:rPr>
              <w:t>污染防治措施</w:t>
            </w:r>
          </w:p>
        </w:tc>
      </w:tr>
      <w:tr w14:paraId="0A6A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81" w:type="dxa"/>
            <w:vAlign w:val="center"/>
          </w:tcPr>
          <w:p w14:paraId="4B9A3845">
            <w:pPr>
              <w:topLinePunct/>
              <w:adjustRightInd w:val="0"/>
              <w:snapToGrid w:val="0"/>
              <w:jc w:val="center"/>
              <w:rPr>
                <w:rFonts w:ascii="Times New Roman" w:eastAsia="仿宋"/>
                <w:szCs w:val="21"/>
              </w:rPr>
            </w:pPr>
            <w:r>
              <w:rPr>
                <w:rFonts w:ascii="Times New Roman" w:eastAsia="仿宋"/>
                <w:szCs w:val="21"/>
              </w:rPr>
              <w:t>1</w:t>
            </w:r>
          </w:p>
        </w:tc>
        <w:tc>
          <w:tcPr>
            <w:tcW w:w="1610" w:type="dxa"/>
            <w:vAlign w:val="center"/>
          </w:tcPr>
          <w:p w14:paraId="54F1D3F5">
            <w:pPr>
              <w:topLinePunct/>
              <w:adjustRightInd w:val="0"/>
              <w:snapToGrid w:val="0"/>
              <w:jc w:val="center"/>
              <w:rPr>
                <w:rFonts w:ascii="Times New Roman" w:eastAsia="仿宋"/>
                <w:szCs w:val="21"/>
              </w:rPr>
            </w:pPr>
            <w:r>
              <w:rPr>
                <w:rFonts w:ascii="Times New Roman" w:eastAsia="仿宋"/>
                <w:szCs w:val="21"/>
              </w:rPr>
              <w:t>生活垃圾</w:t>
            </w:r>
          </w:p>
        </w:tc>
        <w:tc>
          <w:tcPr>
            <w:tcW w:w="864" w:type="dxa"/>
            <w:vMerge w:val="restart"/>
            <w:vAlign w:val="center"/>
          </w:tcPr>
          <w:p w14:paraId="46033B37">
            <w:pPr>
              <w:topLinePunct/>
              <w:adjustRightInd w:val="0"/>
              <w:snapToGrid w:val="0"/>
              <w:jc w:val="center"/>
              <w:rPr>
                <w:rFonts w:ascii="Times New Roman" w:eastAsia="仿宋"/>
                <w:szCs w:val="21"/>
              </w:rPr>
            </w:pPr>
            <w:r>
              <w:rPr>
                <w:rFonts w:hint="eastAsia" w:ascii="Times New Roman" w:eastAsia="仿宋"/>
                <w:szCs w:val="21"/>
              </w:rPr>
              <w:t>一般固废</w:t>
            </w:r>
          </w:p>
        </w:tc>
        <w:tc>
          <w:tcPr>
            <w:tcW w:w="1102" w:type="dxa"/>
            <w:vAlign w:val="center"/>
          </w:tcPr>
          <w:p w14:paraId="3F32C859">
            <w:pPr>
              <w:topLinePunct/>
              <w:adjustRightInd w:val="0"/>
              <w:snapToGrid w:val="0"/>
              <w:jc w:val="center"/>
              <w:rPr>
                <w:rFonts w:ascii="Times New Roman" w:eastAsia="仿宋"/>
                <w:szCs w:val="21"/>
              </w:rPr>
            </w:pPr>
            <w:r>
              <w:rPr>
                <w:rFonts w:hint="eastAsia" w:ascii="Times New Roman" w:eastAsia="仿宋"/>
                <w:szCs w:val="21"/>
              </w:rPr>
              <w:t>SW60</w:t>
            </w:r>
          </w:p>
        </w:tc>
        <w:tc>
          <w:tcPr>
            <w:tcW w:w="1634" w:type="dxa"/>
            <w:vAlign w:val="center"/>
          </w:tcPr>
          <w:p w14:paraId="5C92C43B">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S60</w:t>
            </w:r>
          </w:p>
        </w:tc>
        <w:tc>
          <w:tcPr>
            <w:tcW w:w="849" w:type="dxa"/>
            <w:vAlign w:val="center"/>
          </w:tcPr>
          <w:p w14:paraId="15CD4950">
            <w:pPr>
              <w:topLinePunct/>
              <w:adjustRightInd w:val="0"/>
              <w:snapToGrid w:val="0"/>
              <w:jc w:val="center"/>
              <w:rPr>
                <w:rFonts w:ascii="Times New Roman" w:eastAsia="仿宋"/>
                <w:szCs w:val="21"/>
              </w:rPr>
            </w:pPr>
            <w:r>
              <w:rPr>
                <w:rFonts w:hint="eastAsia" w:ascii="Times New Roman" w:eastAsia="仿宋"/>
                <w:szCs w:val="21"/>
              </w:rPr>
              <w:t>22.5</w:t>
            </w:r>
          </w:p>
        </w:tc>
        <w:tc>
          <w:tcPr>
            <w:tcW w:w="1350" w:type="dxa"/>
            <w:vAlign w:val="center"/>
          </w:tcPr>
          <w:p w14:paraId="00614B50">
            <w:pPr>
              <w:topLinePunct/>
              <w:adjustRightInd w:val="0"/>
              <w:snapToGrid w:val="0"/>
              <w:jc w:val="center"/>
              <w:rPr>
                <w:rFonts w:ascii="Times New Roman" w:eastAsia="仿宋"/>
                <w:szCs w:val="21"/>
              </w:rPr>
            </w:pPr>
            <w:r>
              <w:rPr>
                <w:rFonts w:ascii="Times New Roman" w:eastAsia="仿宋"/>
                <w:szCs w:val="21"/>
              </w:rPr>
              <w:t>/</w:t>
            </w:r>
          </w:p>
        </w:tc>
        <w:tc>
          <w:tcPr>
            <w:tcW w:w="765" w:type="dxa"/>
            <w:vAlign w:val="center"/>
          </w:tcPr>
          <w:p w14:paraId="5C56723A">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A137A68">
            <w:pPr>
              <w:topLinePunct/>
              <w:adjustRightInd w:val="0"/>
              <w:snapToGrid w:val="0"/>
              <w:jc w:val="center"/>
              <w:rPr>
                <w:rFonts w:ascii="Times New Roman" w:eastAsia="仿宋"/>
                <w:szCs w:val="21"/>
              </w:rPr>
            </w:pPr>
            <w:r>
              <w:rPr>
                <w:rFonts w:ascii="Times New Roman" w:eastAsia="仿宋"/>
                <w:szCs w:val="21"/>
              </w:rPr>
              <w:t>/</w:t>
            </w:r>
          </w:p>
        </w:tc>
        <w:tc>
          <w:tcPr>
            <w:tcW w:w="987" w:type="dxa"/>
            <w:vAlign w:val="center"/>
          </w:tcPr>
          <w:p w14:paraId="42B53C44">
            <w:pPr>
              <w:topLinePunct/>
              <w:adjustRightInd w:val="0"/>
              <w:snapToGrid w:val="0"/>
              <w:jc w:val="center"/>
              <w:rPr>
                <w:rFonts w:ascii="Times New Roman" w:eastAsia="仿宋"/>
                <w:szCs w:val="21"/>
              </w:rPr>
            </w:pPr>
            <w:r>
              <w:rPr>
                <w:rFonts w:ascii="Times New Roman" w:eastAsia="仿宋"/>
                <w:szCs w:val="21"/>
              </w:rPr>
              <w:t>/</w:t>
            </w:r>
          </w:p>
        </w:tc>
        <w:tc>
          <w:tcPr>
            <w:tcW w:w="992" w:type="dxa"/>
            <w:vAlign w:val="center"/>
          </w:tcPr>
          <w:p w14:paraId="6778C94C">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39625D85">
            <w:pPr>
              <w:topLinePunct/>
              <w:adjustRightInd w:val="0"/>
              <w:snapToGrid w:val="0"/>
              <w:jc w:val="center"/>
              <w:rPr>
                <w:rFonts w:ascii="Times New Roman" w:eastAsia="仿宋"/>
                <w:szCs w:val="21"/>
              </w:rPr>
            </w:pPr>
            <w:r>
              <w:rPr>
                <w:rFonts w:ascii="Times New Roman" w:eastAsia="仿宋"/>
                <w:szCs w:val="21"/>
              </w:rPr>
              <w:t>/</w:t>
            </w:r>
          </w:p>
        </w:tc>
        <w:tc>
          <w:tcPr>
            <w:tcW w:w="1086" w:type="dxa"/>
            <w:vAlign w:val="center"/>
          </w:tcPr>
          <w:p w14:paraId="4A7E2291">
            <w:pPr>
              <w:topLinePunct/>
              <w:adjustRightInd w:val="0"/>
              <w:snapToGrid w:val="0"/>
              <w:jc w:val="center"/>
              <w:rPr>
                <w:rFonts w:ascii="Times New Roman" w:eastAsia="仿宋"/>
                <w:szCs w:val="21"/>
              </w:rPr>
            </w:pPr>
            <w:r>
              <w:rPr>
                <w:rFonts w:ascii="Times New Roman" w:eastAsia="仿宋"/>
                <w:szCs w:val="21"/>
              </w:rPr>
              <w:t>由环卫部门清运</w:t>
            </w:r>
            <w:r>
              <w:rPr>
                <w:rFonts w:hint="eastAsia" w:ascii="Times New Roman" w:eastAsia="仿宋"/>
                <w:szCs w:val="21"/>
              </w:rPr>
              <w:t>处置</w:t>
            </w:r>
          </w:p>
        </w:tc>
      </w:tr>
      <w:tr w14:paraId="392D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328285A">
            <w:pPr>
              <w:topLinePunct/>
              <w:adjustRightInd w:val="0"/>
              <w:snapToGrid w:val="0"/>
              <w:jc w:val="center"/>
              <w:rPr>
                <w:rFonts w:ascii="Times New Roman" w:eastAsia="仿宋"/>
                <w:szCs w:val="21"/>
              </w:rPr>
            </w:pPr>
            <w:r>
              <w:rPr>
                <w:rFonts w:ascii="Times New Roman" w:eastAsia="仿宋"/>
                <w:szCs w:val="21"/>
              </w:rPr>
              <w:t>2</w:t>
            </w:r>
          </w:p>
        </w:tc>
        <w:tc>
          <w:tcPr>
            <w:tcW w:w="1610" w:type="dxa"/>
            <w:vAlign w:val="center"/>
          </w:tcPr>
          <w:p w14:paraId="28FF9CA8">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边角料</w:t>
            </w:r>
          </w:p>
        </w:tc>
        <w:tc>
          <w:tcPr>
            <w:tcW w:w="864" w:type="dxa"/>
            <w:vMerge w:val="continue"/>
            <w:vAlign w:val="center"/>
          </w:tcPr>
          <w:p w14:paraId="4A6BFBFE">
            <w:pPr>
              <w:topLinePunct/>
              <w:adjustRightInd w:val="0"/>
              <w:snapToGrid w:val="0"/>
              <w:jc w:val="center"/>
              <w:rPr>
                <w:rFonts w:ascii="Times New Roman" w:eastAsia="仿宋"/>
                <w:szCs w:val="21"/>
              </w:rPr>
            </w:pPr>
          </w:p>
        </w:tc>
        <w:tc>
          <w:tcPr>
            <w:tcW w:w="1102" w:type="dxa"/>
            <w:vAlign w:val="center"/>
          </w:tcPr>
          <w:p w14:paraId="431AAC47">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1C309AEA">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2D59F659">
            <w:pPr>
              <w:topLinePunct/>
              <w:adjustRightInd w:val="0"/>
              <w:snapToGrid w:val="0"/>
              <w:jc w:val="center"/>
              <w:rPr>
                <w:rFonts w:ascii="Times New Roman" w:eastAsia="仿宋"/>
                <w:szCs w:val="21"/>
              </w:rPr>
            </w:pPr>
            <w:r>
              <w:rPr>
                <w:rFonts w:hint="eastAsia" w:ascii="Times New Roman" w:eastAsia="仿宋"/>
                <w:szCs w:val="21"/>
              </w:rPr>
              <w:t>25</w:t>
            </w:r>
          </w:p>
        </w:tc>
        <w:tc>
          <w:tcPr>
            <w:tcW w:w="1350" w:type="dxa"/>
            <w:vAlign w:val="center"/>
          </w:tcPr>
          <w:p w14:paraId="28F416B8">
            <w:pPr>
              <w:topLinePunct/>
              <w:adjustRightInd w:val="0"/>
              <w:snapToGrid w:val="0"/>
              <w:jc w:val="center"/>
              <w:rPr>
                <w:rFonts w:ascii="Times New Roman" w:eastAsia="仿宋"/>
                <w:szCs w:val="21"/>
              </w:rPr>
            </w:pPr>
            <w:r>
              <w:rPr>
                <w:rFonts w:hint="eastAsia" w:ascii="Times New Roman" w:eastAsia="仿宋"/>
                <w:szCs w:val="21"/>
              </w:rPr>
              <w:t>切割、剪板、雕刻</w:t>
            </w:r>
          </w:p>
        </w:tc>
        <w:tc>
          <w:tcPr>
            <w:tcW w:w="765" w:type="dxa"/>
            <w:vAlign w:val="center"/>
          </w:tcPr>
          <w:p w14:paraId="1D193347">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B1FFE76">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70C53B3D">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5DF10247">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55AB505B">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restart"/>
            <w:vAlign w:val="center"/>
          </w:tcPr>
          <w:p w14:paraId="00348AF7">
            <w:pPr>
              <w:topLinePunct/>
              <w:adjustRightInd w:val="0"/>
              <w:snapToGrid w:val="0"/>
              <w:jc w:val="center"/>
              <w:rPr>
                <w:rFonts w:ascii="Times New Roman" w:eastAsia="仿宋"/>
                <w:szCs w:val="21"/>
              </w:rPr>
            </w:pPr>
            <w:r>
              <w:rPr>
                <w:rFonts w:hint="eastAsia" w:ascii="Times New Roman" w:eastAsia="仿宋"/>
                <w:szCs w:val="21"/>
              </w:rPr>
              <w:t>外售相关单位综合利用</w:t>
            </w:r>
          </w:p>
        </w:tc>
      </w:tr>
      <w:tr w14:paraId="1D72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0A47722">
            <w:pPr>
              <w:topLinePunct/>
              <w:adjustRightInd w:val="0"/>
              <w:snapToGrid w:val="0"/>
              <w:jc w:val="center"/>
              <w:rPr>
                <w:rFonts w:ascii="Times New Roman" w:eastAsia="仿宋"/>
                <w:szCs w:val="21"/>
              </w:rPr>
            </w:pPr>
            <w:r>
              <w:rPr>
                <w:rFonts w:ascii="Times New Roman" w:eastAsia="仿宋"/>
                <w:szCs w:val="21"/>
              </w:rPr>
              <w:t>3</w:t>
            </w:r>
          </w:p>
        </w:tc>
        <w:tc>
          <w:tcPr>
            <w:tcW w:w="1610" w:type="dxa"/>
            <w:shd w:val="clear" w:color="auto" w:fill="auto"/>
            <w:vAlign w:val="center"/>
          </w:tcPr>
          <w:p w14:paraId="60A05383">
            <w:pPr>
              <w:topLinePunct/>
              <w:adjustRightInd w:val="0"/>
              <w:snapToGrid w:val="0"/>
              <w:jc w:val="center"/>
              <w:rPr>
                <w:rFonts w:ascii="Times New Roman" w:eastAsia="仿宋"/>
                <w:szCs w:val="21"/>
              </w:rPr>
            </w:pPr>
            <w:r>
              <w:rPr>
                <w:rFonts w:hint="eastAsia" w:ascii="Times New Roman" w:eastAsia="仿宋"/>
                <w:szCs w:val="21"/>
              </w:rPr>
              <w:t>焊渣</w:t>
            </w:r>
          </w:p>
        </w:tc>
        <w:tc>
          <w:tcPr>
            <w:tcW w:w="864" w:type="dxa"/>
            <w:vMerge w:val="continue"/>
            <w:shd w:val="clear" w:color="auto" w:fill="auto"/>
            <w:vAlign w:val="center"/>
          </w:tcPr>
          <w:p w14:paraId="741EC698">
            <w:pPr>
              <w:topLinePunct/>
              <w:adjustRightInd w:val="0"/>
              <w:snapToGrid w:val="0"/>
              <w:jc w:val="center"/>
              <w:rPr>
                <w:rFonts w:ascii="Times New Roman" w:eastAsia="仿宋"/>
                <w:szCs w:val="21"/>
              </w:rPr>
            </w:pPr>
          </w:p>
        </w:tc>
        <w:tc>
          <w:tcPr>
            <w:tcW w:w="1102" w:type="dxa"/>
            <w:shd w:val="clear" w:color="auto" w:fill="auto"/>
            <w:vAlign w:val="center"/>
          </w:tcPr>
          <w:p w14:paraId="59B0FA98">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5931523A">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53AADA64">
            <w:pPr>
              <w:topLinePunct/>
              <w:adjustRightInd w:val="0"/>
              <w:snapToGrid w:val="0"/>
              <w:jc w:val="center"/>
              <w:rPr>
                <w:rFonts w:ascii="Times New Roman" w:eastAsia="仿宋"/>
                <w:szCs w:val="21"/>
              </w:rPr>
            </w:pPr>
            <w:r>
              <w:rPr>
                <w:rFonts w:hint="eastAsia" w:ascii="Times New Roman" w:eastAsia="仿宋"/>
                <w:szCs w:val="21"/>
              </w:rPr>
              <w:t>0.1</w:t>
            </w:r>
          </w:p>
        </w:tc>
        <w:tc>
          <w:tcPr>
            <w:tcW w:w="1350" w:type="dxa"/>
            <w:shd w:val="clear" w:color="auto" w:fill="auto"/>
            <w:vAlign w:val="center"/>
          </w:tcPr>
          <w:p w14:paraId="01E5FBEB">
            <w:pPr>
              <w:topLinePunct/>
              <w:adjustRightInd w:val="0"/>
              <w:snapToGrid w:val="0"/>
              <w:jc w:val="center"/>
              <w:rPr>
                <w:rFonts w:ascii="Times New Roman" w:eastAsia="仿宋"/>
                <w:szCs w:val="21"/>
              </w:rPr>
            </w:pPr>
            <w:r>
              <w:rPr>
                <w:rFonts w:hint="eastAsia" w:ascii="Times New Roman" w:eastAsia="仿宋"/>
                <w:szCs w:val="21"/>
              </w:rPr>
              <w:t>焊接</w:t>
            </w:r>
          </w:p>
        </w:tc>
        <w:tc>
          <w:tcPr>
            <w:tcW w:w="765" w:type="dxa"/>
            <w:shd w:val="clear" w:color="auto" w:fill="auto"/>
            <w:vAlign w:val="center"/>
          </w:tcPr>
          <w:p w14:paraId="445DA0AB">
            <w:pPr>
              <w:topLinePunct/>
              <w:adjustRightInd w:val="0"/>
              <w:snapToGrid w:val="0"/>
              <w:jc w:val="center"/>
              <w:rPr>
                <w:rFonts w:ascii="Times New Roman" w:eastAsia="仿宋"/>
                <w:szCs w:val="21"/>
              </w:rPr>
            </w:pPr>
            <w:r>
              <w:rPr>
                <w:rFonts w:ascii="Times New Roman" w:eastAsia="仿宋"/>
                <w:szCs w:val="21"/>
              </w:rPr>
              <w:t>固态</w:t>
            </w:r>
          </w:p>
        </w:tc>
        <w:tc>
          <w:tcPr>
            <w:tcW w:w="1170" w:type="dxa"/>
            <w:shd w:val="clear" w:color="auto" w:fill="auto"/>
            <w:vAlign w:val="center"/>
          </w:tcPr>
          <w:p w14:paraId="3A14C06C">
            <w:pPr>
              <w:topLinePunct/>
              <w:adjustRightInd w:val="0"/>
              <w:snapToGrid w:val="0"/>
              <w:jc w:val="center"/>
              <w:rPr>
                <w:rFonts w:ascii="Times New Roman" w:eastAsia="仿宋"/>
                <w:szCs w:val="21"/>
              </w:rPr>
            </w:pPr>
            <w:r>
              <w:rPr>
                <w:rFonts w:hint="eastAsia" w:ascii="Times New Roman" w:eastAsia="仿宋"/>
                <w:szCs w:val="21"/>
              </w:rPr>
              <w:t>焊渣</w:t>
            </w:r>
          </w:p>
        </w:tc>
        <w:tc>
          <w:tcPr>
            <w:tcW w:w="987" w:type="dxa"/>
            <w:shd w:val="clear" w:color="auto" w:fill="auto"/>
            <w:vAlign w:val="center"/>
          </w:tcPr>
          <w:p w14:paraId="49B2416F">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6D9B093A">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066220A6">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EAD4F9E">
            <w:pPr>
              <w:topLinePunct/>
              <w:adjustRightInd w:val="0"/>
              <w:snapToGrid w:val="0"/>
              <w:jc w:val="center"/>
              <w:rPr>
                <w:rFonts w:ascii="Times New Roman" w:eastAsia="仿宋"/>
                <w:szCs w:val="21"/>
              </w:rPr>
            </w:pPr>
          </w:p>
        </w:tc>
      </w:tr>
      <w:tr w14:paraId="2016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EC25F41">
            <w:pPr>
              <w:topLinePunct/>
              <w:adjustRightInd w:val="0"/>
              <w:snapToGrid w:val="0"/>
              <w:jc w:val="center"/>
              <w:rPr>
                <w:rFonts w:ascii="Times New Roman" w:eastAsia="仿宋"/>
                <w:szCs w:val="21"/>
              </w:rPr>
            </w:pPr>
            <w:r>
              <w:rPr>
                <w:rFonts w:ascii="Times New Roman" w:eastAsia="仿宋"/>
                <w:szCs w:val="21"/>
              </w:rPr>
              <w:t>4</w:t>
            </w:r>
          </w:p>
        </w:tc>
        <w:tc>
          <w:tcPr>
            <w:tcW w:w="1610" w:type="dxa"/>
            <w:vAlign w:val="center"/>
          </w:tcPr>
          <w:p w14:paraId="7CCE6870">
            <w:pPr>
              <w:topLinePunct/>
              <w:adjustRightInd w:val="0"/>
              <w:snapToGrid w:val="0"/>
              <w:jc w:val="center"/>
              <w:rPr>
                <w:rFonts w:ascii="Times New Roman" w:eastAsia="仿宋"/>
                <w:szCs w:val="21"/>
              </w:rPr>
            </w:pPr>
            <w:r>
              <w:rPr>
                <w:rFonts w:hint="eastAsia" w:ascii="Times New Roman" w:eastAsia="仿宋"/>
                <w:szCs w:val="21"/>
              </w:rPr>
              <w:t>不合格品</w:t>
            </w:r>
          </w:p>
        </w:tc>
        <w:tc>
          <w:tcPr>
            <w:tcW w:w="864" w:type="dxa"/>
            <w:vMerge w:val="continue"/>
            <w:vAlign w:val="center"/>
          </w:tcPr>
          <w:p w14:paraId="6A886956">
            <w:pPr>
              <w:topLinePunct/>
              <w:adjustRightInd w:val="0"/>
              <w:snapToGrid w:val="0"/>
              <w:jc w:val="center"/>
              <w:rPr>
                <w:rFonts w:ascii="Times New Roman" w:eastAsia="仿宋"/>
                <w:szCs w:val="21"/>
              </w:rPr>
            </w:pPr>
          </w:p>
        </w:tc>
        <w:tc>
          <w:tcPr>
            <w:tcW w:w="1102" w:type="dxa"/>
            <w:vAlign w:val="center"/>
          </w:tcPr>
          <w:p w14:paraId="401EFC67">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231A7C71">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529AA67D">
            <w:pPr>
              <w:topLinePunct/>
              <w:adjustRightInd w:val="0"/>
              <w:snapToGrid w:val="0"/>
              <w:jc w:val="center"/>
              <w:rPr>
                <w:rFonts w:ascii="Times New Roman" w:eastAsia="仿宋"/>
                <w:szCs w:val="21"/>
              </w:rPr>
            </w:pPr>
            <w:r>
              <w:rPr>
                <w:rFonts w:hint="eastAsia" w:ascii="Times New Roman" w:eastAsia="仿宋"/>
                <w:szCs w:val="21"/>
              </w:rPr>
              <w:t>5</w:t>
            </w:r>
          </w:p>
        </w:tc>
        <w:tc>
          <w:tcPr>
            <w:tcW w:w="1350" w:type="dxa"/>
            <w:vAlign w:val="center"/>
          </w:tcPr>
          <w:p w14:paraId="5183DF17">
            <w:pPr>
              <w:topLinePunct/>
              <w:adjustRightInd w:val="0"/>
              <w:snapToGrid w:val="0"/>
              <w:jc w:val="center"/>
              <w:rPr>
                <w:rFonts w:ascii="Times New Roman" w:eastAsia="仿宋"/>
                <w:szCs w:val="21"/>
              </w:rPr>
            </w:pPr>
            <w:r>
              <w:rPr>
                <w:rFonts w:hint="eastAsia" w:ascii="Times New Roman" w:eastAsia="仿宋"/>
                <w:szCs w:val="21"/>
              </w:rPr>
              <w:t>检验</w:t>
            </w:r>
          </w:p>
        </w:tc>
        <w:tc>
          <w:tcPr>
            <w:tcW w:w="765" w:type="dxa"/>
            <w:vAlign w:val="center"/>
          </w:tcPr>
          <w:p w14:paraId="25DB6224">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337ED765">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0CE1F1E8">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32BE2D9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4B08AB3B">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52BBB3A2">
            <w:pPr>
              <w:topLinePunct/>
              <w:adjustRightInd w:val="0"/>
              <w:snapToGrid w:val="0"/>
              <w:jc w:val="center"/>
              <w:rPr>
                <w:rFonts w:ascii="Times New Roman" w:eastAsia="仿宋"/>
                <w:szCs w:val="21"/>
              </w:rPr>
            </w:pPr>
          </w:p>
        </w:tc>
      </w:tr>
      <w:tr w14:paraId="0F08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06AE460">
            <w:pPr>
              <w:topLinePunct/>
              <w:adjustRightInd w:val="0"/>
              <w:snapToGrid w:val="0"/>
              <w:jc w:val="center"/>
              <w:rPr>
                <w:rFonts w:ascii="Times New Roman" w:eastAsia="仿宋"/>
                <w:szCs w:val="21"/>
              </w:rPr>
            </w:pPr>
            <w:r>
              <w:rPr>
                <w:rFonts w:hint="eastAsia" w:ascii="Times New Roman" w:eastAsia="仿宋"/>
                <w:szCs w:val="21"/>
              </w:rPr>
              <w:t>5</w:t>
            </w:r>
          </w:p>
        </w:tc>
        <w:tc>
          <w:tcPr>
            <w:tcW w:w="1610" w:type="dxa"/>
            <w:vAlign w:val="center"/>
          </w:tcPr>
          <w:p w14:paraId="71173B73">
            <w:pPr>
              <w:topLinePunct/>
              <w:adjustRightInd w:val="0"/>
              <w:snapToGrid w:val="0"/>
              <w:jc w:val="center"/>
              <w:rPr>
                <w:rFonts w:ascii="Times New Roman" w:eastAsia="仿宋"/>
                <w:szCs w:val="21"/>
              </w:rPr>
            </w:pPr>
            <w:r>
              <w:rPr>
                <w:rFonts w:hint="eastAsia" w:ascii="Times New Roman" w:eastAsia="仿宋"/>
                <w:szCs w:val="21"/>
              </w:rPr>
              <w:t>废塑粉</w:t>
            </w:r>
          </w:p>
        </w:tc>
        <w:tc>
          <w:tcPr>
            <w:tcW w:w="864" w:type="dxa"/>
            <w:vMerge w:val="continue"/>
            <w:vAlign w:val="center"/>
          </w:tcPr>
          <w:p w14:paraId="26AA67C7">
            <w:pPr>
              <w:topLinePunct/>
              <w:adjustRightInd w:val="0"/>
              <w:snapToGrid w:val="0"/>
              <w:jc w:val="center"/>
              <w:rPr>
                <w:rFonts w:ascii="Times New Roman" w:eastAsia="仿宋"/>
                <w:szCs w:val="21"/>
              </w:rPr>
            </w:pPr>
          </w:p>
        </w:tc>
        <w:tc>
          <w:tcPr>
            <w:tcW w:w="1102" w:type="dxa"/>
            <w:vAlign w:val="center"/>
          </w:tcPr>
          <w:p w14:paraId="567EB92F">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2BDD7683">
            <w:pPr>
              <w:topLinePunct/>
              <w:adjustRightInd w:val="0"/>
              <w:snapToGrid w:val="0"/>
              <w:jc w:val="center"/>
              <w:rPr>
                <w:rFonts w:ascii="Times New Roman" w:eastAsia="仿宋"/>
                <w:szCs w:val="21"/>
              </w:rPr>
            </w:pPr>
            <w:r>
              <w:rPr>
                <w:rFonts w:hint="eastAsia" w:ascii="Times New Roman" w:eastAsia="仿宋"/>
                <w:szCs w:val="21"/>
              </w:rPr>
              <w:t>900-003-S17</w:t>
            </w:r>
          </w:p>
        </w:tc>
        <w:tc>
          <w:tcPr>
            <w:tcW w:w="849" w:type="dxa"/>
            <w:vAlign w:val="center"/>
          </w:tcPr>
          <w:p w14:paraId="6447142A">
            <w:pPr>
              <w:topLinePunct/>
              <w:adjustRightInd w:val="0"/>
              <w:snapToGrid w:val="0"/>
              <w:jc w:val="center"/>
              <w:rPr>
                <w:rFonts w:ascii="Times New Roman" w:eastAsia="仿宋"/>
                <w:szCs w:val="21"/>
              </w:rPr>
            </w:pPr>
            <w:r>
              <w:rPr>
                <w:rFonts w:ascii="Times New Roman" w:eastAsia="仿宋"/>
                <w:szCs w:val="21"/>
              </w:rPr>
              <w:t>8</w:t>
            </w:r>
            <w:r>
              <w:rPr>
                <w:rFonts w:hint="eastAsia" w:ascii="Times New Roman" w:eastAsia="仿宋"/>
                <w:szCs w:val="21"/>
              </w:rPr>
              <w:t>.</w:t>
            </w:r>
            <w:r>
              <w:rPr>
                <w:rFonts w:ascii="Times New Roman" w:eastAsia="仿宋"/>
                <w:szCs w:val="21"/>
              </w:rPr>
              <w:t>2</w:t>
            </w:r>
          </w:p>
        </w:tc>
        <w:tc>
          <w:tcPr>
            <w:tcW w:w="1350" w:type="dxa"/>
            <w:vAlign w:val="center"/>
          </w:tcPr>
          <w:p w14:paraId="084BC9F5">
            <w:pPr>
              <w:topLinePunct/>
              <w:adjustRightInd w:val="0"/>
              <w:snapToGrid w:val="0"/>
              <w:jc w:val="center"/>
              <w:rPr>
                <w:rFonts w:ascii="Times New Roman" w:eastAsia="仿宋"/>
                <w:szCs w:val="21"/>
              </w:rPr>
            </w:pPr>
            <w:r>
              <w:rPr>
                <w:rFonts w:hint="eastAsia" w:ascii="Times New Roman" w:eastAsia="仿宋"/>
                <w:szCs w:val="21"/>
              </w:rPr>
              <w:t>喷塑</w:t>
            </w:r>
          </w:p>
        </w:tc>
        <w:tc>
          <w:tcPr>
            <w:tcW w:w="765" w:type="dxa"/>
            <w:vAlign w:val="center"/>
          </w:tcPr>
          <w:p w14:paraId="4CCD3911">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3600334A">
            <w:pPr>
              <w:topLinePunct/>
              <w:adjustRightInd w:val="0"/>
              <w:snapToGrid w:val="0"/>
              <w:jc w:val="center"/>
              <w:rPr>
                <w:rFonts w:ascii="Times New Roman" w:eastAsia="仿宋"/>
                <w:szCs w:val="21"/>
              </w:rPr>
            </w:pPr>
            <w:r>
              <w:rPr>
                <w:rFonts w:hint="eastAsia" w:ascii="Times New Roman" w:eastAsia="仿宋"/>
                <w:szCs w:val="21"/>
              </w:rPr>
              <w:t>塑粉</w:t>
            </w:r>
          </w:p>
        </w:tc>
        <w:tc>
          <w:tcPr>
            <w:tcW w:w="987" w:type="dxa"/>
            <w:vAlign w:val="center"/>
          </w:tcPr>
          <w:p w14:paraId="555D6A31">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3642A0F7">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19754339">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3D94BBA9">
            <w:pPr>
              <w:topLinePunct/>
              <w:adjustRightInd w:val="0"/>
              <w:snapToGrid w:val="0"/>
              <w:jc w:val="center"/>
              <w:rPr>
                <w:rFonts w:ascii="Times New Roman" w:eastAsia="仿宋"/>
                <w:szCs w:val="21"/>
              </w:rPr>
            </w:pPr>
          </w:p>
        </w:tc>
      </w:tr>
      <w:tr w14:paraId="49F4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CA95953">
            <w:pPr>
              <w:topLinePunct/>
              <w:adjustRightInd w:val="0"/>
              <w:snapToGrid w:val="0"/>
              <w:jc w:val="center"/>
              <w:rPr>
                <w:rFonts w:ascii="Times New Roman" w:eastAsia="仿宋"/>
                <w:szCs w:val="21"/>
              </w:rPr>
            </w:pPr>
            <w:r>
              <w:rPr>
                <w:rFonts w:ascii="Times New Roman" w:eastAsia="仿宋"/>
                <w:szCs w:val="21"/>
              </w:rPr>
              <w:t>6</w:t>
            </w:r>
          </w:p>
        </w:tc>
        <w:tc>
          <w:tcPr>
            <w:tcW w:w="1610" w:type="dxa"/>
            <w:vAlign w:val="center"/>
          </w:tcPr>
          <w:p w14:paraId="07834BE5">
            <w:pPr>
              <w:topLinePunct/>
              <w:adjustRightInd w:val="0"/>
              <w:snapToGrid w:val="0"/>
              <w:jc w:val="center"/>
              <w:rPr>
                <w:rFonts w:ascii="Times New Roman" w:eastAsia="仿宋"/>
                <w:szCs w:val="21"/>
              </w:rPr>
            </w:pPr>
            <w:r>
              <w:rPr>
                <w:rFonts w:hint="eastAsia" w:ascii="Times New Roman" w:eastAsia="仿宋"/>
                <w:szCs w:val="21"/>
              </w:rPr>
              <w:t>废一般包装</w:t>
            </w:r>
          </w:p>
        </w:tc>
        <w:tc>
          <w:tcPr>
            <w:tcW w:w="864" w:type="dxa"/>
            <w:vMerge w:val="continue"/>
            <w:vAlign w:val="center"/>
          </w:tcPr>
          <w:p w14:paraId="0BF51EA5">
            <w:pPr>
              <w:topLinePunct/>
              <w:adjustRightInd w:val="0"/>
              <w:snapToGrid w:val="0"/>
              <w:jc w:val="center"/>
              <w:rPr>
                <w:rFonts w:ascii="Times New Roman" w:eastAsia="仿宋"/>
                <w:szCs w:val="21"/>
              </w:rPr>
            </w:pPr>
          </w:p>
        </w:tc>
        <w:tc>
          <w:tcPr>
            <w:tcW w:w="1102" w:type="dxa"/>
            <w:vAlign w:val="center"/>
          </w:tcPr>
          <w:p w14:paraId="265A00CC">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2F35CB7B">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003</w:t>
            </w:r>
            <w:r>
              <w:rPr>
                <w:rFonts w:ascii="Times New Roman" w:eastAsia="仿宋"/>
                <w:szCs w:val="21"/>
              </w:rPr>
              <w:t>-</w:t>
            </w:r>
            <w:r>
              <w:rPr>
                <w:rFonts w:hint="eastAsia" w:ascii="Times New Roman" w:eastAsia="仿宋"/>
                <w:szCs w:val="21"/>
              </w:rPr>
              <w:t>S17</w:t>
            </w:r>
          </w:p>
        </w:tc>
        <w:tc>
          <w:tcPr>
            <w:tcW w:w="849" w:type="dxa"/>
            <w:vAlign w:val="center"/>
          </w:tcPr>
          <w:p w14:paraId="1802AF5A">
            <w:pPr>
              <w:topLinePunct/>
              <w:adjustRightInd w:val="0"/>
              <w:snapToGrid w:val="0"/>
              <w:jc w:val="center"/>
              <w:rPr>
                <w:rFonts w:ascii="Times New Roman" w:eastAsia="仿宋"/>
                <w:szCs w:val="21"/>
              </w:rPr>
            </w:pPr>
            <w:r>
              <w:rPr>
                <w:rFonts w:hint="eastAsia" w:ascii="Times New Roman" w:eastAsia="仿宋"/>
                <w:szCs w:val="21"/>
              </w:rPr>
              <w:t>0.5</w:t>
            </w:r>
          </w:p>
        </w:tc>
        <w:tc>
          <w:tcPr>
            <w:tcW w:w="1350" w:type="dxa"/>
            <w:vAlign w:val="center"/>
          </w:tcPr>
          <w:p w14:paraId="0E9BC4ED">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41856506">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2CCDA9D">
            <w:pPr>
              <w:topLinePunct/>
              <w:adjustRightInd w:val="0"/>
              <w:snapToGrid w:val="0"/>
              <w:jc w:val="center"/>
              <w:rPr>
                <w:rFonts w:ascii="Times New Roman" w:eastAsia="仿宋"/>
                <w:szCs w:val="21"/>
              </w:rPr>
            </w:pPr>
            <w:r>
              <w:rPr>
                <w:rFonts w:hint="eastAsia" w:ascii="Times New Roman" w:eastAsia="仿宋"/>
                <w:szCs w:val="21"/>
              </w:rPr>
              <w:t>塑料等</w:t>
            </w:r>
          </w:p>
        </w:tc>
        <w:tc>
          <w:tcPr>
            <w:tcW w:w="987" w:type="dxa"/>
            <w:vAlign w:val="center"/>
          </w:tcPr>
          <w:p w14:paraId="34526D23">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7A73968B">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C9277FF">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6A9B4CCD">
            <w:pPr>
              <w:topLinePunct/>
              <w:adjustRightInd w:val="0"/>
              <w:snapToGrid w:val="0"/>
              <w:jc w:val="center"/>
              <w:rPr>
                <w:rFonts w:ascii="Times New Roman" w:eastAsia="仿宋"/>
                <w:szCs w:val="21"/>
              </w:rPr>
            </w:pPr>
          </w:p>
        </w:tc>
      </w:tr>
      <w:tr w14:paraId="3D12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CC835E1">
            <w:pPr>
              <w:topLinePunct/>
              <w:adjustRightInd w:val="0"/>
              <w:snapToGrid w:val="0"/>
              <w:jc w:val="center"/>
              <w:rPr>
                <w:rFonts w:ascii="Times New Roman" w:eastAsia="仿宋"/>
                <w:szCs w:val="21"/>
              </w:rPr>
            </w:pPr>
            <w:r>
              <w:rPr>
                <w:rFonts w:ascii="Times New Roman" w:eastAsia="仿宋"/>
                <w:szCs w:val="21"/>
              </w:rPr>
              <w:t>7</w:t>
            </w:r>
          </w:p>
        </w:tc>
        <w:tc>
          <w:tcPr>
            <w:tcW w:w="1610" w:type="dxa"/>
            <w:vAlign w:val="center"/>
          </w:tcPr>
          <w:p w14:paraId="7BD1B334">
            <w:pPr>
              <w:topLinePunct/>
              <w:adjustRightInd w:val="0"/>
              <w:snapToGrid w:val="0"/>
              <w:jc w:val="center"/>
              <w:rPr>
                <w:rFonts w:ascii="Times New Roman" w:eastAsia="仿宋"/>
                <w:szCs w:val="21"/>
              </w:rPr>
            </w:pPr>
            <w:r>
              <w:rPr>
                <w:rFonts w:hint="eastAsia" w:ascii="Times New Roman" w:eastAsia="仿宋"/>
                <w:szCs w:val="21"/>
              </w:rPr>
              <w:t>废滤筒</w:t>
            </w:r>
          </w:p>
        </w:tc>
        <w:tc>
          <w:tcPr>
            <w:tcW w:w="864" w:type="dxa"/>
            <w:vMerge w:val="continue"/>
            <w:vAlign w:val="center"/>
          </w:tcPr>
          <w:p w14:paraId="5BE572E1">
            <w:pPr>
              <w:topLinePunct/>
              <w:adjustRightInd w:val="0"/>
              <w:snapToGrid w:val="0"/>
              <w:jc w:val="center"/>
              <w:rPr>
                <w:rFonts w:ascii="Times New Roman" w:eastAsia="仿宋"/>
                <w:szCs w:val="21"/>
              </w:rPr>
            </w:pPr>
          </w:p>
        </w:tc>
        <w:tc>
          <w:tcPr>
            <w:tcW w:w="1102" w:type="dxa"/>
            <w:vAlign w:val="center"/>
          </w:tcPr>
          <w:p w14:paraId="6D643D88">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5DAFE7EF">
            <w:pPr>
              <w:topLinePunct/>
              <w:adjustRightInd w:val="0"/>
              <w:snapToGrid w:val="0"/>
              <w:jc w:val="center"/>
              <w:rPr>
                <w:rFonts w:ascii="Times New Roman" w:eastAsia="仿宋"/>
                <w:szCs w:val="21"/>
              </w:rPr>
            </w:pPr>
            <w:r>
              <w:rPr>
                <w:rFonts w:hint="eastAsia" w:ascii="Times New Roman" w:eastAsia="仿宋"/>
                <w:szCs w:val="21"/>
              </w:rPr>
              <w:t>900-009-S59</w:t>
            </w:r>
          </w:p>
        </w:tc>
        <w:tc>
          <w:tcPr>
            <w:tcW w:w="849" w:type="dxa"/>
            <w:vAlign w:val="center"/>
          </w:tcPr>
          <w:p w14:paraId="67A226AA">
            <w:pPr>
              <w:topLinePunct/>
              <w:adjustRightInd w:val="0"/>
              <w:snapToGrid w:val="0"/>
              <w:jc w:val="center"/>
              <w:rPr>
                <w:rFonts w:ascii="Times New Roman" w:eastAsia="仿宋"/>
                <w:szCs w:val="21"/>
              </w:rPr>
            </w:pPr>
            <w:r>
              <w:rPr>
                <w:rFonts w:ascii="Times New Roman" w:eastAsia="仿宋"/>
                <w:szCs w:val="21"/>
              </w:rPr>
              <w:t>2</w:t>
            </w:r>
          </w:p>
        </w:tc>
        <w:tc>
          <w:tcPr>
            <w:tcW w:w="1350" w:type="dxa"/>
            <w:vAlign w:val="center"/>
          </w:tcPr>
          <w:p w14:paraId="204DF1FC">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2E1AF23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F4609B4">
            <w:pPr>
              <w:topLinePunct/>
              <w:adjustRightInd w:val="0"/>
              <w:snapToGrid w:val="0"/>
              <w:jc w:val="center"/>
              <w:rPr>
                <w:rFonts w:ascii="Times New Roman" w:eastAsia="仿宋"/>
                <w:szCs w:val="21"/>
              </w:rPr>
            </w:pPr>
            <w:r>
              <w:rPr>
                <w:rFonts w:hint="eastAsia" w:ascii="Times New Roman" w:eastAsia="仿宋"/>
                <w:szCs w:val="21"/>
              </w:rPr>
              <w:t>滤筒</w:t>
            </w:r>
          </w:p>
        </w:tc>
        <w:tc>
          <w:tcPr>
            <w:tcW w:w="987" w:type="dxa"/>
            <w:vAlign w:val="center"/>
          </w:tcPr>
          <w:p w14:paraId="24F9F1DD">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63306D9B">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6CD7B124">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1B5E7F45">
            <w:pPr>
              <w:topLinePunct/>
              <w:adjustRightInd w:val="0"/>
              <w:snapToGrid w:val="0"/>
              <w:jc w:val="center"/>
              <w:rPr>
                <w:rFonts w:ascii="Times New Roman" w:eastAsia="仿宋"/>
                <w:szCs w:val="21"/>
              </w:rPr>
            </w:pPr>
          </w:p>
        </w:tc>
      </w:tr>
      <w:tr w14:paraId="2DD4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89A8E4C">
            <w:pPr>
              <w:topLinePunct/>
              <w:adjustRightInd w:val="0"/>
              <w:snapToGrid w:val="0"/>
              <w:jc w:val="center"/>
              <w:rPr>
                <w:rFonts w:ascii="Times New Roman" w:eastAsia="仿宋"/>
                <w:szCs w:val="21"/>
              </w:rPr>
            </w:pPr>
            <w:r>
              <w:rPr>
                <w:rFonts w:hint="eastAsia" w:ascii="Times New Roman" w:eastAsia="仿宋"/>
                <w:szCs w:val="21"/>
              </w:rPr>
              <w:t>8</w:t>
            </w:r>
          </w:p>
        </w:tc>
        <w:tc>
          <w:tcPr>
            <w:tcW w:w="1610" w:type="dxa"/>
            <w:shd w:val="clear" w:color="auto" w:fill="auto"/>
            <w:vAlign w:val="center"/>
          </w:tcPr>
          <w:p w14:paraId="6D320330">
            <w:pPr>
              <w:topLinePunct/>
              <w:adjustRightInd w:val="0"/>
              <w:snapToGrid w:val="0"/>
              <w:jc w:val="center"/>
              <w:rPr>
                <w:rFonts w:ascii="Times New Roman" w:eastAsia="仿宋"/>
                <w:szCs w:val="21"/>
              </w:rPr>
            </w:pPr>
            <w:r>
              <w:rPr>
                <w:rFonts w:hint="eastAsia" w:ascii="Times New Roman" w:eastAsia="仿宋"/>
                <w:szCs w:val="21"/>
              </w:rPr>
              <w:t>收集尘</w:t>
            </w:r>
          </w:p>
        </w:tc>
        <w:tc>
          <w:tcPr>
            <w:tcW w:w="864" w:type="dxa"/>
            <w:vMerge w:val="continue"/>
            <w:shd w:val="clear" w:color="auto" w:fill="auto"/>
            <w:vAlign w:val="center"/>
          </w:tcPr>
          <w:p w14:paraId="74D894F5">
            <w:pPr>
              <w:topLinePunct/>
              <w:adjustRightInd w:val="0"/>
              <w:snapToGrid w:val="0"/>
              <w:jc w:val="center"/>
              <w:rPr>
                <w:rFonts w:ascii="Times New Roman" w:eastAsia="仿宋"/>
                <w:szCs w:val="21"/>
              </w:rPr>
            </w:pPr>
          </w:p>
        </w:tc>
        <w:tc>
          <w:tcPr>
            <w:tcW w:w="1102" w:type="dxa"/>
            <w:shd w:val="clear" w:color="auto" w:fill="auto"/>
            <w:vAlign w:val="center"/>
          </w:tcPr>
          <w:p w14:paraId="4CEA0806">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42036C9D">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03A023B4">
            <w:pPr>
              <w:topLinePunct/>
              <w:adjustRightInd w:val="0"/>
              <w:snapToGrid w:val="0"/>
              <w:jc w:val="center"/>
              <w:rPr>
                <w:rFonts w:ascii="Times New Roman" w:eastAsia="仿宋"/>
                <w:szCs w:val="21"/>
              </w:rPr>
            </w:pPr>
            <w:r>
              <w:rPr>
                <w:rFonts w:hint="eastAsia" w:ascii="Times New Roman" w:eastAsia="仿宋"/>
                <w:szCs w:val="21"/>
              </w:rPr>
              <w:t>0.024</w:t>
            </w:r>
          </w:p>
        </w:tc>
        <w:tc>
          <w:tcPr>
            <w:tcW w:w="1350" w:type="dxa"/>
            <w:shd w:val="clear" w:color="auto" w:fill="auto"/>
            <w:vAlign w:val="center"/>
          </w:tcPr>
          <w:p w14:paraId="1238ED09">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shd w:val="clear" w:color="auto" w:fill="auto"/>
            <w:vAlign w:val="center"/>
          </w:tcPr>
          <w:p w14:paraId="78263D2A">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422BE4EE">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shd w:val="clear" w:color="auto" w:fill="auto"/>
            <w:vAlign w:val="center"/>
          </w:tcPr>
          <w:p w14:paraId="361928CB">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7FC1A9FD">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shd w:val="clear" w:color="auto" w:fill="auto"/>
            <w:vAlign w:val="center"/>
          </w:tcPr>
          <w:p w14:paraId="421FCC0E">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6B789B05">
            <w:pPr>
              <w:topLinePunct/>
              <w:adjustRightInd w:val="0"/>
              <w:snapToGrid w:val="0"/>
              <w:jc w:val="center"/>
              <w:rPr>
                <w:rFonts w:ascii="Times New Roman" w:eastAsia="仿宋"/>
                <w:szCs w:val="21"/>
              </w:rPr>
            </w:pPr>
          </w:p>
        </w:tc>
      </w:tr>
      <w:tr w14:paraId="216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63388B1">
            <w:pPr>
              <w:topLinePunct/>
              <w:adjustRightInd w:val="0"/>
              <w:snapToGrid w:val="0"/>
              <w:jc w:val="center"/>
              <w:rPr>
                <w:rFonts w:ascii="Times New Roman" w:eastAsia="仿宋"/>
                <w:szCs w:val="21"/>
              </w:rPr>
            </w:pPr>
            <w:r>
              <w:rPr>
                <w:rFonts w:hint="eastAsia" w:ascii="Times New Roman" w:eastAsia="仿宋"/>
                <w:szCs w:val="21"/>
              </w:rPr>
              <w:t>9</w:t>
            </w:r>
          </w:p>
        </w:tc>
        <w:tc>
          <w:tcPr>
            <w:tcW w:w="1610" w:type="dxa"/>
            <w:vAlign w:val="center"/>
          </w:tcPr>
          <w:p w14:paraId="4731BBAB">
            <w:pPr>
              <w:topLinePunct/>
              <w:adjustRightInd w:val="0"/>
              <w:snapToGrid w:val="0"/>
              <w:jc w:val="center"/>
              <w:rPr>
                <w:rFonts w:ascii="Times New Roman" w:eastAsia="仿宋"/>
                <w:szCs w:val="21"/>
              </w:rPr>
            </w:pPr>
            <w:r>
              <w:rPr>
                <w:rFonts w:hint="eastAsia" w:ascii="Times New Roman" w:eastAsia="仿宋"/>
                <w:szCs w:val="21"/>
              </w:rPr>
              <w:t>湿渣</w:t>
            </w:r>
          </w:p>
        </w:tc>
        <w:tc>
          <w:tcPr>
            <w:tcW w:w="864" w:type="dxa"/>
            <w:vMerge w:val="continue"/>
            <w:vAlign w:val="center"/>
          </w:tcPr>
          <w:p w14:paraId="1012EF02">
            <w:pPr>
              <w:topLinePunct/>
              <w:adjustRightInd w:val="0"/>
              <w:snapToGrid w:val="0"/>
              <w:jc w:val="center"/>
              <w:rPr>
                <w:rFonts w:ascii="Times New Roman" w:eastAsia="仿宋"/>
                <w:szCs w:val="21"/>
              </w:rPr>
            </w:pPr>
          </w:p>
        </w:tc>
        <w:tc>
          <w:tcPr>
            <w:tcW w:w="1102" w:type="dxa"/>
            <w:vAlign w:val="center"/>
          </w:tcPr>
          <w:p w14:paraId="3FA4E71D">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4EA13F5A">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vAlign w:val="center"/>
          </w:tcPr>
          <w:p w14:paraId="3C0CEA83">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39</w:t>
            </w:r>
          </w:p>
        </w:tc>
        <w:tc>
          <w:tcPr>
            <w:tcW w:w="1350" w:type="dxa"/>
            <w:vAlign w:val="center"/>
          </w:tcPr>
          <w:p w14:paraId="38022784">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4F5A318E">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03541403">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14C3DFB0">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63CF9700">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vAlign w:val="center"/>
          </w:tcPr>
          <w:p w14:paraId="5F253168">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220DF57F">
            <w:pPr>
              <w:topLinePunct/>
              <w:adjustRightInd w:val="0"/>
              <w:snapToGrid w:val="0"/>
              <w:jc w:val="center"/>
              <w:rPr>
                <w:rFonts w:ascii="Times New Roman" w:eastAsia="仿宋"/>
                <w:szCs w:val="21"/>
              </w:rPr>
            </w:pPr>
          </w:p>
        </w:tc>
      </w:tr>
      <w:tr w14:paraId="7CB2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16A3B08">
            <w:pPr>
              <w:topLinePunct/>
              <w:adjustRightInd w:val="0"/>
              <w:snapToGrid w:val="0"/>
              <w:jc w:val="center"/>
              <w:rPr>
                <w:rFonts w:ascii="Times New Roman" w:eastAsia="仿宋"/>
                <w:szCs w:val="21"/>
              </w:rPr>
            </w:pPr>
            <w:r>
              <w:rPr>
                <w:rFonts w:hint="eastAsia" w:ascii="Times New Roman" w:eastAsia="仿宋"/>
                <w:szCs w:val="21"/>
              </w:rPr>
              <w:t>10</w:t>
            </w:r>
          </w:p>
        </w:tc>
        <w:tc>
          <w:tcPr>
            <w:tcW w:w="1610" w:type="dxa"/>
            <w:vAlign w:val="center"/>
          </w:tcPr>
          <w:p w14:paraId="63F1212D">
            <w:pPr>
              <w:topLinePunct/>
              <w:adjustRightInd w:val="0"/>
              <w:snapToGrid w:val="0"/>
              <w:jc w:val="center"/>
              <w:rPr>
                <w:rFonts w:ascii="Times New Roman" w:eastAsia="仿宋"/>
                <w:szCs w:val="21"/>
              </w:rPr>
            </w:pPr>
            <w:r>
              <w:rPr>
                <w:rFonts w:hint="eastAsia" w:ascii="Times New Roman" w:eastAsia="仿宋"/>
                <w:szCs w:val="21"/>
              </w:rPr>
              <w:t>水洗废水</w:t>
            </w:r>
          </w:p>
        </w:tc>
        <w:tc>
          <w:tcPr>
            <w:tcW w:w="864" w:type="dxa"/>
            <w:vMerge w:val="restart"/>
            <w:vAlign w:val="center"/>
          </w:tcPr>
          <w:p w14:paraId="27E844B0">
            <w:pPr>
              <w:topLinePunct/>
              <w:adjustRightInd w:val="0"/>
              <w:snapToGrid w:val="0"/>
              <w:jc w:val="center"/>
              <w:rPr>
                <w:rFonts w:ascii="Times New Roman" w:eastAsia="仿宋"/>
                <w:szCs w:val="21"/>
              </w:rPr>
            </w:pPr>
            <w:r>
              <w:rPr>
                <w:rFonts w:hint="eastAsia" w:ascii="Times New Roman" w:eastAsia="仿宋"/>
                <w:szCs w:val="21"/>
              </w:rPr>
              <w:t>危险废物</w:t>
            </w:r>
          </w:p>
        </w:tc>
        <w:tc>
          <w:tcPr>
            <w:tcW w:w="1102" w:type="dxa"/>
            <w:vAlign w:val="center"/>
          </w:tcPr>
          <w:p w14:paraId="2DE802F5">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vAlign w:val="center"/>
          </w:tcPr>
          <w:p w14:paraId="42A6DF00">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vAlign w:val="center"/>
          </w:tcPr>
          <w:p w14:paraId="6FFD0D29">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6.2</w:t>
            </w:r>
          </w:p>
        </w:tc>
        <w:tc>
          <w:tcPr>
            <w:tcW w:w="1350" w:type="dxa"/>
            <w:vAlign w:val="center"/>
          </w:tcPr>
          <w:p w14:paraId="1F829210">
            <w:pPr>
              <w:topLinePunct/>
              <w:adjustRightInd w:val="0"/>
              <w:snapToGrid w:val="0"/>
              <w:jc w:val="center"/>
              <w:rPr>
                <w:rFonts w:ascii="Times New Roman" w:eastAsia="仿宋"/>
                <w:szCs w:val="21"/>
              </w:rPr>
            </w:pPr>
            <w:r>
              <w:rPr>
                <w:rFonts w:hint="eastAsia" w:ascii="Times New Roman" w:eastAsia="仿宋"/>
                <w:szCs w:val="21"/>
              </w:rPr>
              <w:t>清洗</w:t>
            </w:r>
          </w:p>
        </w:tc>
        <w:tc>
          <w:tcPr>
            <w:tcW w:w="765" w:type="dxa"/>
            <w:vAlign w:val="center"/>
          </w:tcPr>
          <w:p w14:paraId="637C827B">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72AE080F">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47EAAF5C">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385FF438">
            <w:pPr>
              <w:topLinePunct/>
              <w:adjustRightInd w:val="0"/>
              <w:snapToGrid w:val="0"/>
              <w:jc w:val="center"/>
              <w:rPr>
                <w:rFonts w:ascii="Times New Roman" w:eastAsia="仿宋"/>
                <w:szCs w:val="21"/>
              </w:rPr>
            </w:pPr>
            <w:r>
              <w:rPr>
                <w:rFonts w:hint="eastAsia" w:ascii="Times New Roman" w:eastAsia="仿宋"/>
                <w:szCs w:val="21"/>
              </w:rPr>
              <w:t>2个月</w:t>
            </w:r>
          </w:p>
        </w:tc>
        <w:tc>
          <w:tcPr>
            <w:tcW w:w="851" w:type="dxa"/>
            <w:vAlign w:val="center"/>
          </w:tcPr>
          <w:p w14:paraId="1FAEADC3">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restart"/>
            <w:vAlign w:val="center"/>
          </w:tcPr>
          <w:p w14:paraId="4905C93B">
            <w:pPr>
              <w:topLinePunct/>
              <w:adjustRightInd w:val="0"/>
              <w:snapToGrid w:val="0"/>
              <w:jc w:val="center"/>
              <w:rPr>
                <w:rFonts w:ascii="Times New Roman" w:eastAsia="仿宋"/>
                <w:szCs w:val="21"/>
              </w:rPr>
            </w:pPr>
            <w:r>
              <w:rPr>
                <w:rFonts w:ascii="Times New Roman" w:eastAsia="仿宋"/>
                <w:szCs w:val="21"/>
              </w:rPr>
              <w:t>贮存于危废仓库，委托有资质单位处置</w:t>
            </w:r>
          </w:p>
        </w:tc>
      </w:tr>
      <w:tr w14:paraId="1A5C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BD93FA4">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1</w:t>
            </w:r>
          </w:p>
        </w:tc>
        <w:tc>
          <w:tcPr>
            <w:tcW w:w="1610" w:type="dxa"/>
            <w:vAlign w:val="center"/>
          </w:tcPr>
          <w:p w14:paraId="1E770632">
            <w:pPr>
              <w:topLinePunct/>
              <w:adjustRightInd w:val="0"/>
              <w:snapToGrid w:val="0"/>
              <w:jc w:val="center"/>
              <w:rPr>
                <w:rFonts w:ascii="Times New Roman" w:eastAsia="仿宋"/>
                <w:szCs w:val="21"/>
              </w:rPr>
            </w:pPr>
            <w:r>
              <w:rPr>
                <w:rFonts w:hint="eastAsia" w:ascii="Times New Roman" w:eastAsia="仿宋"/>
                <w:szCs w:val="21"/>
              </w:rPr>
              <w:t>水帘废水</w:t>
            </w:r>
          </w:p>
        </w:tc>
        <w:tc>
          <w:tcPr>
            <w:tcW w:w="864" w:type="dxa"/>
            <w:vMerge w:val="continue"/>
            <w:vAlign w:val="center"/>
          </w:tcPr>
          <w:p w14:paraId="3B4F2ED9">
            <w:pPr>
              <w:topLinePunct/>
              <w:adjustRightInd w:val="0"/>
              <w:snapToGrid w:val="0"/>
              <w:jc w:val="center"/>
              <w:rPr>
                <w:rFonts w:ascii="Times New Roman" w:eastAsia="仿宋"/>
                <w:szCs w:val="21"/>
              </w:rPr>
            </w:pPr>
          </w:p>
        </w:tc>
        <w:tc>
          <w:tcPr>
            <w:tcW w:w="1102" w:type="dxa"/>
            <w:vAlign w:val="center"/>
          </w:tcPr>
          <w:p w14:paraId="176EE48C">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vAlign w:val="center"/>
          </w:tcPr>
          <w:p w14:paraId="24F050BD">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vAlign w:val="center"/>
          </w:tcPr>
          <w:p w14:paraId="2D7CE79D">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350" w:type="dxa"/>
            <w:vAlign w:val="center"/>
          </w:tcPr>
          <w:p w14:paraId="4CD17887">
            <w:pPr>
              <w:topLinePunct/>
              <w:adjustRightInd w:val="0"/>
              <w:snapToGrid w:val="0"/>
              <w:jc w:val="center"/>
              <w:rPr>
                <w:rFonts w:ascii="Times New Roman" w:eastAsia="仿宋"/>
                <w:szCs w:val="21"/>
              </w:rPr>
            </w:pPr>
            <w:r>
              <w:rPr>
                <w:rFonts w:hint="eastAsia" w:ascii="Times New Roman" w:eastAsia="仿宋"/>
                <w:szCs w:val="21"/>
              </w:rPr>
              <w:t>废气处理</w:t>
            </w:r>
          </w:p>
        </w:tc>
        <w:tc>
          <w:tcPr>
            <w:tcW w:w="765" w:type="dxa"/>
            <w:vAlign w:val="center"/>
          </w:tcPr>
          <w:p w14:paraId="78D91985">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2D29795B">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064A63A4">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6BD510EE">
            <w:pPr>
              <w:topLinePunct/>
              <w:adjustRightInd w:val="0"/>
              <w:snapToGrid w:val="0"/>
              <w:jc w:val="center"/>
              <w:rPr>
                <w:rFonts w:ascii="Times New Roman" w:eastAsia="仿宋"/>
                <w:szCs w:val="21"/>
              </w:rPr>
            </w:pPr>
            <w:r>
              <w:rPr>
                <w:rFonts w:ascii="Times New Roman" w:eastAsia="仿宋"/>
                <w:szCs w:val="21"/>
              </w:rPr>
              <w:t>3</w:t>
            </w:r>
            <w:r>
              <w:rPr>
                <w:rFonts w:hint="eastAsia" w:ascii="Times New Roman" w:eastAsia="仿宋"/>
                <w:szCs w:val="21"/>
              </w:rPr>
              <w:t>个月</w:t>
            </w:r>
          </w:p>
        </w:tc>
        <w:tc>
          <w:tcPr>
            <w:tcW w:w="851" w:type="dxa"/>
            <w:vAlign w:val="center"/>
          </w:tcPr>
          <w:p w14:paraId="2AD5DB37">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11E28BE2">
            <w:pPr>
              <w:topLinePunct/>
              <w:adjustRightInd w:val="0"/>
              <w:snapToGrid w:val="0"/>
              <w:jc w:val="center"/>
              <w:rPr>
                <w:rFonts w:ascii="Times New Roman" w:eastAsia="仿宋"/>
                <w:szCs w:val="21"/>
              </w:rPr>
            </w:pPr>
          </w:p>
        </w:tc>
      </w:tr>
      <w:tr w14:paraId="765B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C5BCC69">
            <w:pPr>
              <w:topLinePunct/>
              <w:adjustRightInd w:val="0"/>
              <w:snapToGrid w:val="0"/>
              <w:jc w:val="center"/>
              <w:rPr>
                <w:rFonts w:ascii="Times New Roman" w:eastAsia="仿宋"/>
                <w:szCs w:val="21"/>
              </w:rPr>
            </w:pPr>
            <w:r>
              <w:rPr>
                <w:rFonts w:hint="eastAsia" w:ascii="Times New Roman" w:eastAsia="仿宋"/>
                <w:szCs w:val="21"/>
              </w:rPr>
              <w:t>12</w:t>
            </w:r>
          </w:p>
        </w:tc>
        <w:tc>
          <w:tcPr>
            <w:tcW w:w="1610" w:type="dxa"/>
            <w:vAlign w:val="center"/>
          </w:tcPr>
          <w:p w14:paraId="29B48A62">
            <w:pPr>
              <w:topLinePunct/>
              <w:adjustRightInd w:val="0"/>
              <w:snapToGrid w:val="0"/>
              <w:jc w:val="center"/>
              <w:rPr>
                <w:rFonts w:ascii="Times New Roman" w:eastAsia="仿宋"/>
                <w:szCs w:val="21"/>
              </w:rPr>
            </w:pPr>
            <w:r>
              <w:rPr>
                <w:rFonts w:ascii="Times New Roman" w:eastAsia="仿宋"/>
                <w:szCs w:val="21"/>
              </w:rPr>
              <w:t>漆渣</w:t>
            </w:r>
          </w:p>
        </w:tc>
        <w:tc>
          <w:tcPr>
            <w:tcW w:w="864" w:type="dxa"/>
            <w:vMerge w:val="continue"/>
            <w:vAlign w:val="center"/>
          </w:tcPr>
          <w:p w14:paraId="310DA158">
            <w:pPr>
              <w:topLinePunct/>
              <w:adjustRightInd w:val="0"/>
              <w:snapToGrid w:val="0"/>
              <w:jc w:val="center"/>
              <w:rPr>
                <w:rFonts w:ascii="Times New Roman" w:eastAsia="仿宋"/>
                <w:szCs w:val="21"/>
              </w:rPr>
            </w:pPr>
          </w:p>
        </w:tc>
        <w:tc>
          <w:tcPr>
            <w:tcW w:w="1102" w:type="dxa"/>
            <w:vAlign w:val="center"/>
          </w:tcPr>
          <w:p w14:paraId="7B8F2082">
            <w:pPr>
              <w:topLinePunct/>
              <w:adjustRightInd w:val="0"/>
              <w:snapToGrid w:val="0"/>
              <w:jc w:val="center"/>
              <w:rPr>
                <w:rFonts w:ascii="Times New Roman" w:eastAsia="仿宋"/>
                <w:szCs w:val="21"/>
              </w:rPr>
            </w:pPr>
            <w:r>
              <w:rPr>
                <w:rFonts w:ascii="Times New Roman" w:eastAsia="仿宋"/>
                <w:szCs w:val="21"/>
              </w:rPr>
              <w:t>HW12</w:t>
            </w:r>
          </w:p>
        </w:tc>
        <w:tc>
          <w:tcPr>
            <w:tcW w:w="1634" w:type="dxa"/>
            <w:vAlign w:val="center"/>
          </w:tcPr>
          <w:p w14:paraId="3325EBFE">
            <w:pPr>
              <w:topLinePunct/>
              <w:adjustRightInd w:val="0"/>
              <w:snapToGrid w:val="0"/>
              <w:jc w:val="center"/>
              <w:rPr>
                <w:rFonts w:ascii="Times New Roman" w:eastAsia="仿宋"/>
                <w:szCs w:val="21"/>
              </w:rPr>
            </w:pPr>
            <w:r>
              <w:rPr>
                <w:rFonts w:ascii="Times New Roman" w:eastAsia="仿宋"/>
                <w:szCs w:val="21"/>
              </w:rPr>
              <w:t>900-252-12</w:t>
            </w:r>
          </w:p>
        </w:tc>
        <w:tc>
          <w:tcPr>
            <w:tcW w:w="849" w:type="dxa"/>
            <w:vAlign w:val="center"/>
          </w:tcPr>
          <w:p w14:paraId="3D5CBF22">
            <w:pPr>
              <w:topLinePunct/>
              <w:adjustRightInd w:val="0"/>
              <w:snapToGrid w:val="0"/>
              <w:jc w:val="center"/>
              <w:rPr>
                <w:rFonts w:ascii="Times New Roman" w:eastAsia="仿宋"/>
                <w:szCs w:val="21"/>
              </w:rPr>
            </w:pPr>
            <w:r>
              <w:rPr>
                <w:rFonts w:hint="eastAsia" w:ascii="Times New Roman" w:eastAsia="仿宋"/>
                <w:szCs w:val="21"/>
              </w:rPr>
              <w:t>20.52</w:t>
            </w:r>
          </w:p>
        </w:tc>
        <w:tc>
          <w:tcPr>
            <w:tcW w:w="1350" w:type="dxa"/>
            <w:vAlign w:val="center"/>
          </w:tcPr>
          <w:p w14:paraId="41FA1360">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vAlign w:val="center"/>
          </w:tcPr>
          <w:p w14:paraId="270DC4F1">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44D799FA">
            <w:pPr>
              <w:topLinePunct/>
              <w:adjustRightInd w:val="0"/>
              <w:snapToGrid w:val="0"/>
              <w:jc w:val="center"/>
              <w:rPr>
                <w:rFonts w:ascii="Times New Roman" w:eastAsia="仿宋"/>
                <w:szCs w:val="21"/>
              </w:rPr>
            </w:pPr>
            <w:r>
              <w:rPr>
                <w:rFonts w:ascii="Times New Roman" w:eastAsia="仿宋"/>
                <w:szCs w:val="21"/>
              </w:rPr>
              <w:t>水、有机物</w:t>
            </w:r>
          </w:p>
        </w:tc>
        <w:tc>
          <w:tcPr>
            <w:tcW w:w="987" w:type="dxa"/>
            <w:vAlign w:val="center"/>
          </w:tcPr>
          <w:p w14:paraId="7A6F35B2">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1E2814EB">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82FE015">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4933C403">
            <w:pPr>
              <w:topLinePunct/>
              <w:adjustRightInd w:val="0"/>
              <w:snapToGrid w:val="0"/>
              <w:jc w:val="center"/>
              <w:rPr>
                <w:rFonts w:ascii="Times New Roman" w:eastAsia="仿宋"/>
                <w:szCs w:val="21"/>
              </w:rPr>
            </w:pPr>
          </w:p>
        </w:tc>
      </w:tr>
      <w:tr w14:paraId="0764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F805D97">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3</w:t>
            </w:r>
          </w:p>
        </w:tc>
        <w:tc>
          <w:tcPr>
            <w:tcW w:w="1610" w:type="dxa"/>
            <w:shd w:val="clear" w:color="auto" w:fill="auto"/>
            <w:vAlign w:val="center"/>
          </w:tcPr>
          <w:p w14:paraId="02A90EE0">
            <w:pPr>
              <w:topLinePunct/>
              <w:adjustRightInd w:val="0"/>
              <w:snapToGrid w:val="0"/>
              <w:jc w:val="center"/>
              <w:rPr>
                <w:rFonts w:ascii="Times New Roman" w:eastAsia="仿宋"/>
                <w:szCs w:val="21"/>
              </w:rPr>
            </w:pPr>
            <w:r>
              <w:rPr>
                <w:rFonts w:hint="eastAsia" w:ascii="Times New Roman" w:eastAsia="仿宋"/>
                <w:szCs w:val="21"/>
              </w:rPr>
              <w:t>挂具</w:t>
            </w:r>
            <w:r>
              <w:rPr>
                <w:rFonts w:ascii="Times New Roman" w:eastAsia="仿宋"/>
                <w:szCs w:val="21"/>
              </w:rPr>
              <w:t>漆渣</w:t>
            </w:r>
          </w:p>
        </w:tc>
        <w:tc>
          <w:tcPr>
            <w:tcW w:w="864" w:type="dxa"/>
            <w:vMerge w:val="continue"/>
            <w:shd w:val="clear" w:color="auto" w:fill="auto"/>
            <w:vAlign w:val="center"/>
          </w:tcPr>
          <w:p w14:paraId="608D79C8">
            <w:pPr>
              <w:topLinePunct/>
              <w:adjustRightInd w:val="0"/>
              <w:snapToGrid w:val="0"/>
              <w:jc w:val="center"/>
              <w:rPr>
                <w:rFonts w:ascii="Times New Roman" w:eastAsia="仿宋"/>
                <w:szCs w:val="21"/>
              </w:rPr>
            </w:pPr>
          </w:p>
        </w:tc>
        <w:tc>
          <w:tcPr>
            <w:tcW w:w="1102" w:type="dxa"/>
            <w:shd w:val="clear" w:color="auto" w:fill="auto"/>
            <w:vAlign w:val="center"/>
          </w:tcPr>
          <w:p w14:paraId="68CC34C5">
            <w:pPr>
              <w:topLinePunct/>
              <w:adjustRightInd w:val="0"/>
              <w:snapToGrid w:val="0"/>
              <w:jc w:val="center"/>
              <w:rPr>
                <w:rFonts w:ascii="Times New Roman" w:eastAsia="仿宋"/>
                <w:szCs w:val="21"/>
              </w:rPr>
            </w:pPr>
            <w:r>
              <w:rPr>
                <w:rFonts w:ascii="Times New Roman" w:eastAsia="仿宋"/>
                <w:szCs w:val="21"/>
              </w:rPr>
              <w:t>HW12</w:t>
            </w:r>
          </w:p>
        </w:tc>
        <w:tc>
          <w:tcPr>
            <w:tcW w:w="1634" w:type="dxa"/>
            <w:shd w:val="clear" w:color="auto" w:fill="auto"/>
            <w:vAlign w:val="center"/>
          </w:tcPr>
          <w:p w14:paraId="5D0857D5">
            <w:pPr>
              <w:topLinePunct/>
              <w:adjustRightInd w:val="0"/>
              <w:snapToGrid w:val="0"/>
              <w:jc w:val="center"/>
              <w:rPr>
                <w:rFonts w:ascii="Times New Roman" w:eastAsia="仿宋"/>
                <w:szCs w:val="21"/>
              </w:rPr>
            </w:pPr>
            <w:r>
              <w:rPr>
                <w:rFonts w:ascii="Times New Roman" w:eastAsia="仿宋"/>
                <w:szCs w:val="21"/>
              </w:rPr>
              <w:t>900-252-12</w:t>
            </w:r>
          </w:p>
        </w:tc>
        <w:tc>
          <w:tcPr>
            <w:tcW w:w="849" w:type="dxa"/>
            <w:shd w:val="clear" w:color="auto" w:fill="auto"/>
            <w:vAlign w:val="center"/>
          </w:tcPr>
          <w:p w14:paraId="40E0B8E9">
            <w:pPr>
              <w:topLinePunct/>
              <w:adjustRightInd w:val="0"/>
              <w:snapToGrid w:val="0"/>
              <w:jc w:val="center"/>
              <w:rPr>
                <w:rFonts w:ascii="Times New Roman" w:eastAsia="仿宋"/>
                <w:szCs w:val="21"/>
              </w:rPr>
            </w:pPr>
            <w:r>
              <w:rPr>
                <w:rFonts w:hint="eastAsia" w:ascii="Times New Roman" w:eastAsia="仿宋"/>
                <w:szCs w:val="21"/>
              </w:rPr>
              <w:t>1.015</w:t>
            </w:r>
          </w:p>
        </w:tc>
        <w:tc>
          <w:tcPr>
            <w:tcW w:w="1350" w:type="dxa"/>
            <w:shd w:val="clear" w:color="auto" w:fill="auto"/>
            <w:vAlign w:val="center"/>
          </w:tcPr>
          <w:p w14:paraId="216A2D6C">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shd w:val="clear" w:color="auto" w:fill="auto"/>
            <w:vAlign w:val="center"/>
          </w:tcPr>
          <w:p w14:paraId="55DB6B70">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061DDFF0">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87" w:type="dxa"/>
            <w:shd w:val="clear" w:color="auto" w:fill="auto"/>
            <w:vAlign w:val="center"/>
          </w:tcPr>
          <w:p w14:paraId="1557D456">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92" w:type="dxa"/>
            <w:shd w:val="clear" w:color="auto" w:fill="auto"/>
            <w:vAlign w:val="center"/>
          </w:tcPr>
          <w:p w14:paraId="040E3E35">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6A92561F">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3DD25C7C">
            <w:pPr>
              <w:topLinePunct/>
              <w:adjustRightInd w:val="0"/>
              <w:snapToGrid w:val="0"/>
              <w:jc w:val="center"/>
              <w:rPr>
                <w:rFonts w:ascii="Times New Roman" w:eastAsia="仿宋"/>
                <w:szCs w:val="21"/>
              </w:rPr>
            </w:pPr>
          </w:p>
        </w:tc>
      </w:tr>
      <w:tr w14:paraId="3353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0725244">
            <w:pPr>
              <w:topLinePunct/>
              <w:adjustRightInd w:val="0"/>
              <w:snapToGrid w:val="0"/>
              <w:jc w:val="center"/>
              <w:rPr>
                <w:rFonts w:ascii="Times New Roman" w:eastAsia="仿宋"/>
                <w:szCs w:val="21"/>
              </w:rPr>
            </w:pPr>
            <w:r>
              <w:rPr>
                <w:rFonts w:hint="eastAsia" w:ascii="Times New Roman" w:eastAsia="仿宋"/>
                <w:szCs w:val="21"/>
              </w:rPr>
              <w:t>14</w:t>
            </w:r>
          </w:p>
        </w:tc>
        <w:tc>
          <w:tcPr>
            <w:tcW w:w="1610" w:type="dxa"/>
            <w:vAlign w:val="center"/>
          </w:tcPr>
          <w:p w14:paraId="3E4BA2E3">
            <w:pPr>
              <w:topLinePunct/>
              <w:adjustRightInd w:val="0"/>
              <w:snapToGrid w:val="0"/>
              <w:jc w:val="center"/>
              <w:rPr>
                <w:rFonts w:ascii="Times New Roman" w:eastAsia="仿宋"/>
                <w:szCs w:val="21"/>
              </w:rPr>
            </w:pPr>
            <w:r>
              <w:rPr>
                <w:rFonts w:hint="eastAsia" w:ascii="Times New Roman" w:eastAsia="仿宋"/>
                <w:szCs w:val="21"/>
              </w:rPr>
              <w:t>废清洗液</w:t>
            </w:r>
          </w:p>
        </w:tc>
        <w:tc>
          <w:tcPr>
            <w:tcW w:w="864" w:type="dxa"/>
            <w:vMerge w:val="continue"/>
            <w:vAlign w:val="center"/>
          </w:tcPr>
          <w:p w14:paraId="006A10C0">
            <w:pPr>
              <w:topLinePunct/>
              <w:adjustRightInd w:val="0"/>
              <w:snapToGrid w:val="0"/>
              <w:jc w:val="center"/>
              <w:rPr>
                <w:rFonts w:ascii="Times New Roman" w:eastAsia="仿宋"/>
                <w:szCs w:val="21"/>
              </w:rPr>
            </w:pPr>
          </w:p>
        </w:tc>
        <w:tc>
          <w:tcPr>
            <w:tcW w:w="1102" w:type="dxa"/>
            <w:vAlign w:val="center"/>
          </w:tcPr>
          <w:p w14:paraId="668C196C">
            <w:pPr>
              <w:topLinePunct/>
              <w:adjustRightInd w:val="0"/>
              <w:snapToGrid w:val="0"/>
              <w:jc w:val="center"/>
              <w:rPr>
                <w:rFonts w:ascii="Times New Roman" w:eastAsia="仿宋"/>
                <w:szCs w:val="21"/>
              </w:rPr>
            </w:pPr>
            <w:r>
              <w:rPr>
                <w:rFonts w:hint="eastAsia" w:ascii="Times New Roman" w:eastAsia="仿宋"/>
                <w:szCs w:val="21"/>
              </w:rPr>
              <w:t>HW12</w:t>
            </w:r>
          </w:p>
        </w:tc>
        <w:tc>
          <w:tcPr>
            <w:tcW w:w="1634" w:type="dxa"/>
            <w:vAlign w:val="center"/>
          </w:tcPr>
          <w:p w14:paraId="17D46296">
            <w:pPr>
              <w:topLinePunct/>
              <w:adjustRightInd w:val="0"/>
              <w:snapToGrid w:val="0"/>
              <w:jc w:val="center"/>
              <w:rPr>
                <w:rFonts w:ascii="Times New Roman" w:eastAsia="仿宋"/>
                <w:szCs w:val="21"/>
              </w:rPr>
            </w:pPr>
            <w:r>
              <w:rPr>
                <w:rFonts w:hint="eastAsia" w:ascii="Times New Roman" w:eastAsia="仿宋"/>
                <w:szCs w:val="21"/>
              </w:rPr>
              <w:t>900-256-12</w:t>
            </w:r>
          </w:p>
        </w:tc>
        <w:tc>
          <w:tcPr>
            <w:tcW w:w="849" w:type="dxa"/>
            <w:vAlign w:val="center"/>
          </w:tcPr>
          <w:p w14:paraId="3433FD9E">
            <w:pPr>
              <w:topLinePunct/>
              <w:adjustRightInd w:val="0"/>
              <w:snapToGrid w:val="0"/>
              <w:jc w:val="center"/>
              <w:rPr>
                <w:rFonts w:ascii="Times New Roman" w:eastAsia="仿宋"/>
                <w:szCs w:val="21"/>
              </w:rPr>
            </w:pPr>
            <w:r>
              <w:rPr>
                <w:rFonts w:hint="eastAsia" w:ascii="Times New Roman" w:eastAsia="仿宋"/>
                <w:szCs w:val="21"/>
              </w:rPr>
              <w:t>4.5</w:t>
            </w:r>
          </w:p>
        </w:tc>
        <w:tc>
          <w:tcPr>
            <w:tcW w:w="1350" w:type="dxa"/>
            <w:vAlign w:val="center"/>
          </w:tcPr>
          <w:p w14:paraId="26F03113">
            <w:pPr>
              <w:topLinePunct/>
              <w:adjustRightInd w:val="0"/>
              <w:snapToGrid w:val="0"/>
              <w:jc w:val="center"/>
              <w:rPr>
                <w:rFonts w:ascii="Times New Roman" w:eastAsia="仿宋"/>
                <w:szCs w:val="21"/>
              </w:rPr>
            </w:pPr>
            <w:r>
              <w:rPr>
                <w:rFonts w:hint="eastAsia" w:ascii="Times New Roman" w:eastAsia="仿宋"/>
                <w:szCs w:val="21"/>
              </w:rPr>
              <w:t>喷枪清洗</w:t>
            </w:r>
          </w:p>
        </w:tc>
        <w:tc>
          <w:tcPr>
            <w:tcW w:w="765" w:type="dxa"/>
            <w:vAlign w:val="center"/>
          </w:tcPr>
          <w:p w14:paraId="7DE6B9D3">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64FD4C6F">
            <w:pPr>
              <w:topLinePunct/>
              <w:adjustRightInd w:val="0"/>
              <w:snapToGrid w:val="0"/>
              <w:jc w:val="center"/>
              <w:rPr>
                <w:rFonts w:ascii="Times New Roman" w:eastAsia="仿宋"/>
                <w:szCs w:val="21"/>
              </w:rPr>
            </w:pPr>
            <w:r>
              <w:rPr>
                <w:rFonts w:hint="eastAsia" w:ascii="Times New Roman" w:eastAsia="仿宋"/>
                <w:szCs w:val="21"/>
              </w:rPr>
              <w:t>稀释剂、杂质</w:t>
            </w:r>
          </w:p>
        </w:tc>
        <w:tc>
          <w:tcPr>
            <w:tcW w:w="987" w:type="dxa"/>
            <w:vAlign w:val="center"/>
          </w:tcPr>
          <w:p w14:paraId="0EC69BB0">
            <w:pPr>
              <w:topLinePunct/>
              <w:adjustRightInd w:val="0"/>
              <w:snapToGrid w:val="0"/>
              <w:jc w:val="center"/>
              <w:rPr>
                <w:rFonts w:ascii="Times New Roman" w:eastAsia="仿宋"/>
                <w:szCs w:val="21"/>
              </w:rPr>
            </w:pPr>
            <w:r>
              <w:rPr>
                <w:rFonts w:hint="eastAsia" w:ascii="Times New Roman" w:eastAsia="仿宋"/>
                <w:szCs w:val="21"/>
              </w:rPr>
              <w:t>稀释剂</w:t>
            </w:r>
          </w:p>
        </w:tc>
        <w:tc>
          <w:tcPr>
            <w:tcW w:w="992" w:type="dxa"/>
            <w:vAlign w:val="center"/>
          </w:tcPr>
          <w:p w14:paraId="7E865C05">
            <w:pPr>
              <w:topLinePunct/>
              <w:adjustRightInd w:val="0"/>
              <w:snapToGrid w:val="0"/>
              <w:jc w:val="center"/>
              <w:rPr>
                <w:rFonts w:ascii="Times New Roman" w:eastAsia="仿宋"/>
                <w:szCs w:val="21"/>
              </w:rPr>
            </w:pPr>
            <w:r>
              <w:rPr>
                <w:rFonts w:hint="eastAsia" w:ascii="Times New Roman" w:eastAsia="仿宋"/>
                <w:szCs w:val="21"/>
              </w:rPr>
              <w:t>1个月</w:t>
            </w:r>
          </w:p>
        </w:tc>
        <w:tc>
          <w:tcPr>
            <w:tcW w:w="851" w:type="dxa"/>
            <w:vAlign w:val="center"/>
          </w:tcPr>
          <w:p w14:paraId="2738E8A1">
            <w:pPr>
              <w:topLinePunct/>
              <w:adjustRightInd w:val="0"/>
              <w:snapToGrid w:val="0"/>
              <w:jc w:val="center"/>
              <w:rPr>
                <w:rFonts w:ascii="Times New Roman" w:eastAsia="仿宋"/>
                <w:szCs w:val="21"/>
              </w:rPr>
            </w:pPr>
            <w:r>
              <w:rPr>
                <w:rFonts w:hint="eastAsia" w:ascii="Times New Roman" w:eastAsia="仿宋"/>
                <w:szCs w:val="21"/>
              </w:rPr>
              <w:t>T,I,C</w:t>
            </w:r>
          </w:p>
        </w:tc>
        <w:tc>
          <w:tcPr>
            <w:tcW w:w="1086" w:type="dxa"/>
            <w:vMerge w:val="continue"/>
            <w:vAlign w:val="center"/>
          </w:tcPr>
          <w:p w14:paraId="26EB1F35">
            <w:pPr>
              <w:topLinePunct/>
              <w:adjustRightInd w:val="0"/>
              <w:snapToGrid w:val="0"/>
              <w:jc w:val="center"/>
              <w:rPr>
                <w:rFonts w:ascii="Times New Roman" w:eastAsia="仿宋"/>
                <w:szCs w:val="21"/>
              </w:rPr>
            </w:pPr>
          </w:p>
        </w:tc>
      </w:tr>
      <w:tr w14:paraId="0319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1D28D3C">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5</w:t>
            </w:r>
          </w:p>
        </w:tc>
        <w:tc>
          <w:tcPr>
            <w:tcW w:w="1610" w:type="dxa"/>
            <w:vAlign w:val="center"/>
          </w:tcPr>
          <w:p w14:paraId="10433926">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包装</w:t>
            </w:r>
            <w:r>
              <w:rPr>
                <w:rFonts w:ascii="Times New Roman" w:eastAsia="仿宋"/>
                <w:szCs w:val="21"/>
              </w:rPr>
              <w:t>桶</w:t>
            </w:r>
          </w:p>
        </w:tc>
        <w:tc>
          <w:tcPr>
            <w:tcW w:w="864" w:type="dxa"/>
            <w:vMerge w:val="continue"/>
            <w:vAlign w:val="center"/>
          </w:tcPr>
          <w:p w14:paraId="22A6B856">
            <w:pPr>
              <w:topLinePunct/>
              <w:adjustRightInd w:val="0"/>
              <w:snapToGrid w:val="0"/>
              <w:jc w:val="center"/>
              <w:rPr>
                <w:rFonts w:ascii="Times New Roman" w:eastAsia="仿宋"/>
                <w:szCs w:val="21"/>
              </w:rPr>
            </w:pPr>
          </w:p>
        </w:tc>
        <w:tc>
          <w:tcPr>
            <w:tcW w:w="1102" w:type="dxa"/>
            <w:vAlign w:val="center"/>
          </w:tcPr>
          <w:p w14:paraId="3B8754DF">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1E28F35">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5126536B">
            <w:pPr>
              <w:topLinePunct/>
              <w:adjustRightInd w:val="0"/>
              <w:snapToGrid w:val="0"/>
              <w:jc w:val="center"/>
              <w:rPr>
                <w:rFonts w:ascii="Times New Roman" w:eastAsia="仿宋"/>
                <w:szCs w:val="21"/>
              </w:rPr>
            </w:pPr>
            <w:r>
              <w:rPr>
                <w:rFonts w:hint="eastAsia" w:ascii="Times New Roman" w:eastAsia="仿宋"/>
                <w:szCs w:val="21"/>
              </w:rPr>
              <w:t>12.46</w:t>
            </w:r>
          </w:p>
        </w:tc>
        <w:tc>
          <w:tcPr>
            <w:tcW w:w="1350" w:type="dxa"/>
            <w:vAlign w:val="center"/>
          </w:tcPr>
          <w:p w14:paraId="5107D824">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168B4DAA">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B812BB6">
            <w:pPr>
              <w:topLinePunct/>
              <w:adjustRightInd w:val="0"/>
              <w:snapToGrid w:val="0"/>
              <w:jc w:val="center"/>
              <w:rPr>
                <w:rFonts w:ascii="Times New Roman" w:eastAsia="仿宋"/>
                <w:szCs w:val="21"/>
              </w:rPr>
            </w:pPr>
            <w:r>
              <w:rPr>
                <w:rFonts w:ascii="Times New Roman" w:eastAsia="仿宋"/>
                <w:szCs w:val="21"/>
              </w:rPr>
              <w:t>铁、有机物</w:t>
            </w:r>
          </w:p>
        </w:tc>
        <w:tc>
          <w:tcPr>
            <w:tcW w:w="987" w:type="dxa"/>
            <w:vAlign w:val="center"/>
          </w:tcPr>
          <w:p w14:paraId="51FD48DE">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7C226633">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78C580FC">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65EAD5C5">
            <w:pPr>
              <w:topLinePunct/>
              <w:adjustRightInd w:val="0"/>
              <w:snapToGrid w:val="0"/>
              <w:jc w:val="center"/>
              <w:rPr>
                <w:rFonts w:ascii="Times New Roman" w:eastAsia="仿宋"/>
                <w:szCs w:val="21"/>
              </w:rPr>
            </w:pPr>
          </w:p>
        </w:tc>
      </w:tr>
      <w:tr w14:paraId="00E3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BF0E623">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6</w:t>
            </w:r>
          </w:p>
        </w:tc>
        <w:tc>
          <w:tcPr>
            <w:tcW w:w="1610" w:type="dxa"/>
            <w:vAlign w:val="center"/>
          </w:tcPr>
          <w:p w14:paraId="19AC0599">
            <w:pPr>
              <w:topLinePunct/>
              <w:adjustRightInd w:val="0"/>
              <w:snapToGrid w:val="0"/>
              <w:jc w:val="center"/>
              <w:rPr>
                <w:rFonts w:ascii="Times New Roman" w:eastAsia="仿宋"/>
                <w:szCs w:val="21"/>
              </w:rPr>
            </w:pPr>
            <w:r>
              <w:rPr>
                <w:rFonts w:hint="eastAsia" w:ascii="Times New Roman" w:eastAsia="仿宋"/>
                <w:szCs w:val="21"/>
              </w:rPr>
              <w:t>废</w:t>
            </w:r>
            <w:r>
              <w:rPr>
                <w:rFonts w:ascii="Times New Roman" w:eastAsia="仿宋"/>
                <w:szCs w:val="21"/>
              </w:rPr>
              <w:t>手套</w:t>
            </w:r>
          </w:p>
        </w:tc>
        <w:tc>
          <w:tcPr>
            <w:tcW w:w="864" w:type="dxa"/>
            <w:vMerge w:val="continue"/>
            <w:vAlign w:val="center"/>
          </w:tcPr>
          <w:p w14:paraId="705C2A1F">
            <w:pPr>
              <w:topLinePunct/>
              <w:adjustRightInd w:val="0"/>
              <w:snapToGrid w:val="0"/>
              <w:jc w:val="center"/>
              <w:rPr>
                <w:rFonts w:ascii="Times New Roman" w:eastAsia="仿宋"/>
                <w:szCs w:val="21"/>
              </w:rPr>
            </w:pPr>
          </w:p>
        </w:tc>
        <w:tc>
          <w:tcPr>
            <w:tcW w:w="1102" w:type="dxa"/>
            <w:vAlign w:val="center"/>
          </w:tcPr>
          <w:p w14:paraId="5FD8C418">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767B3B7D">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3D9C6708">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5</w:t>
            </w:r>
          </w:p>
        </w:tc>
        <w:tc>
          <w:tcPr>
            <w:tcW w:w="1350" w:type="dxa"/>
            <w:vAlign w:val="center"/>
          </w:tcPr>
          <w:p w14:paraId="0012EDD9">
            <w:pPr>
              <w:topLinePunct/>
              <w:adjustRightInd w:val="0"/>
              <w:snapToGrid w:val="0"/>
              <w:jc w:val="center"/>
              <w:rPr>
                <w:rFonts w:ascii="Times New Roman" w:eastAsia="仿宋"/>
                <w:szCs w:val="21"/>
              </w:rPr>
            </w:pPr>
            <w:r>
              <w:rPr>
                <w:rFonts w:hint="eastAsia" w:ascii="Times New Roman" w:eastAsia="仿宋"/>
                <w:szCs w:val="21"/>
              </w:rPr>
              <w:t>机加工</w:t>
            </w:r>
          </w:p>
        </w:tc>
        <w:tc>
          <w:tcPr>
            <w:tcW w:w="765" w:type="dxa"/>
            <w:vAlign w:val="center"/>
          </w:tcPr>
          <w:p w14:paraId="58CDE5B4">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36D4C0BD">
            <w:pPr>
              <w:topLinePunct/>
              <w:adjustRightInd w:val="0"/>
              <w:snapToGrid w:val="0"/>
              <w:jc w:val="center"/>
              <w:rPr>
                <w:rFonts w:ascii="Times New Roman" w:eastAsia="仿宋"/>
                <w:szCs w:val="21"/>
              </w:rPr>
            </w:pPr>
            <w:r>
              <w:rPr>
                <w:rFonts w:ascii="Times New Roman" w:eastAsia="仿宋"/>
                <w:szCs w:val="21"/>
              </w:rPr>
              <w:t>棉、</w:t>
            </w:r>
            <w:r>
              <w:rPr>
                <w:rFonts w:hint="eastAsia" w:ascii="Times New Roman" w:eastAsia="仿宋"/>
                <w:szCs w:val="21"/>
              </w:rPr>
              <w:t>矿物油</w:t>
            </w:r>
          </w:p>
        </w:tc>
        <w:tc>
          <w:tcPr>
            <w:tcW w:w="987" w:type="dxa"/>
            <w:vAlign w:val="center"/>
          </w:tcPr>
          <w:p w14:paraId="6A3E8576">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408AE46F">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2CE2737C">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143A48D5">
            <w:pPr>
              <w:topLinePunct/>
              <w:adjustRightInd w:val="0"/>
              <w:snapToGrid w:val="0"/>
              <w:jc w:val="center"/>
              <w:rPr>
                <w:rFonts w:ascii="Times New Roman" w:eastAsia="仿宋"/>
                <w:szCs w:val="21"/>
              </w:rPr>
            </w:pPr>
          </w:p>
        </w:tc>
      </w:tr>
      <w:tr w14:paraId="3E4D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06F1450">
            <w:pPr>
              <w:topLinePunct/>
              <w:adjustRightInd w:val="0"/>
              <w:snapToGrid w:val="0"/>
              <w:jc w:val="center"/>
              <w:rPr>
                <w:rFonts w:ascii="Times New Roman" w:eastAsia="仿宋"/>
                <w:szCs w:val="21"/>
              </w:rPr>
            </w:pPr>
            <w:r>
              <w:rPr>
                <w:rFonts w:hint="eastAsia" w:ascii="Times New Roman" w:eastAsia="仿宋"/>
                <w:szCs w:val="21"/>
              </w:rPr>
              <w:t>17</w:t>
            </w:r>
          </w:p>
        </w:tc>
        <w:tc>
          <w:tcPr>
            <w:tcW w:w="1610" w:type="dxa"/>
            <w:vAlign w:val="center"/>
          </w:tcPr>
          <w:p w14:paraId="27D0B596">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机油</w:t>
            </w:r>
          </w:p>
        </w:tc>
        <w:tc>
          <w:tcPr>
            <w:tcW w:w="864" w:type="dxa"/>
            <w:vMerge w:val="continue"/>
            <w:vAlign w:val="center"/>
          </w:tcPr>
          <w:p w14:paraId="5845FB25">
            <w:pPr>
              <w:topLinePunct/>
              <w:adjustRightInd w:val="0"/>
              <w:snapToGrid w:val="0"/>
              <w:jc w:val="center"/>
              <w:rPr>
                <w:rFonts w:ascii="Times New Roman" w:eastAsia="仿宋"/>
                <w:szCs w:val="21"/>
              </w:rPr>
            </w:pPr>
          </w:p>
        </w:tc>
        <w:tc>
          <w:tcPr>
            <w:tcW w:w="1102" w:type="dxa"/>
            <w:vAlign w:val="center"/>
          </w:tcPr>
          <w:p w14:paraId="7D45374E">
            <w:pPr>
              <w:topLinePunct/>
              <w:adjustRightInd w:val="0"/>
              <w:snapToGrid w:val="0"/>
              <w:jc w:val="center"/>
              <w:rPr>
                <w:rFonts w:ascii="Times New Roman" w:eastAsia="仿宋"/>
                <w:szCs w:val="21"/>
              </w:rPr>
            </w:pPr>
            <w:r>
              <w:rPr>
                <w:rFonts w:ascii="Times New Roman" w:eastAsia="仿宋"/>
                <w:szCs w:val="21"/>
              </w:rPr>
              <w:t>HW08</w:t>
            </w:r>
          </w:p>
        </w:tc>
        <w:tc>
          <w:tcPr>
            <w:tcW w:w="1634" w:type="dxa"/>
            <w:vAlign w:val="center"/>
          </w:tcPr>
          <w:p w14:paraId="6DACCCA8">
            <w:pPr>
              <w:topLinePunct/>
              <w:adjustRightInd w:val="0"/>
              <w:snapToGrid w:val="0"/>
              <w:jc w:val="center"/>
              <w:rPr>
                <w:rFonts w:ascii="Times New Roman" w:eastAsia="仿宋"/>
                <w:szCs w:val="21"/>
              </w:rPr>
            </w:pPr>
            <w:r>
              <w:rPr>
                <w:rFonts w:ascii="Times New Roman" w:eastAsia="仿宋"/>
                <w:szCs w:val="21"/>
              </w:rPr>
              <w:t>900-249-08</w:t>
            </w:r>
          </w:p>
        </w:tc>
        <w:tc>
          <w:tcPr>
            <w:tcW w:w="849" w:type="dxa"/>
            <w:vAlign w:val="center"/>
          </w:tcPr>
          <w:p w14:paraId="7A548B1D">
            <w:pPr>
              <w:topLinePunct/>
              <w:adjustRightInd w:val="0"/>
              <w:snapToGrid w:val="0"/>
              <w:jc w:val="center"/>
              <w:rPr>
                <w:rFonts w:ascii="Times New Roman" w:eastAsia="仿宋"/>
                <w:szCs w:val="21"/>
              </w:rPr>
            </w:pPr>
            <w:r>
              <w:rPr>
                <w:rFonts w:hint="eastAsia" w:ascii="Times New Roman" w:eastAsia="仿宋"/>
                <w:szCs w:val="21"/>
              </w:rPr>
              <w:t>2</w:t>
            </w:r>
          </w:p>
        </w:tc>
        <w:tc>
          <w:tcPr>
            <w:tcW w:w="1350" w:type="dxa"/>
            <w:vAlign w:val="center"/>
          </w:tcPr>
          <w:p w14:paraId="7CEE2054">
            <w:pPr>
              <w:topLinePunct/>
              <w:adjustRightInd w:val="0"/>
              <w:snapToGrid w:val="0"/>
              <w:jc w:val="center"/>
              <w:rPr>
                <w:rFonts w:ascii="Times New Roman" w:eastAsia="仿宋"/>
                <w:szCs w:val="21"/>
              </w:rPr>
            </w:pPr>
            <w:r>
              <w:rPr>
                <w:rFonts w:hint="eastAsia" w:ascii="Times New Roman" w:eastAsia="仿宋"/>
                <w:szCs w:val="21"/>
              </w:rPr>
              <w:t>设备维修</w:t>
            </w:r>
          </w:p>
        </w:tc>
        <w:tc>
          <w:tcPr>
            <w:tcW w:w="765" w:type="dxa"/>
            <w:vAlign w:val="center"/>
          </w:tcPr>
          <w:p w14:paraId="3DC88D92">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AAB4956">
            <w:pPr>
              <w:topLinePunct/>
              <w:adjustRightInd w:val="0"/>
              <w:snapToGrid w:val="0"/>
              <w:jc w:val="center"/>
              <w:rPr>
                <w:rFonts w:ascii="Times New Roman" w:eastAsia="仿宋"/>
                <w:szCs w:val="21"/>
              </w:rPr>
            </w:pPr>
            <w:r>
              <w:rPr>
                <w:rFonts w:hint="eastAsia" w:ascii="Times New Roman" w:eastAsia="仿宋"/>
                <w:szCs w:val="21"/>
              </w:rPr>
              <w:t>矿物油</w:t>
            </w:r>
          </w:p>
        </w:tc>
        <w:tc>
          <w:tcPr>
            <w:tcW w:w="987" w:type="dxa"/>
            <w:vAlign w:val="center"/>
          </w:tcPr>
          <w:p w14:paraId="7AE0701F">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13C1FFB5">
            <w:pPr>
              <w:topLinePunct/>
              <w:adjustRightInd w:val="0"/>
              <w:snapToGrid w:val="0"/>
              <w:jc w:val="center"/>
              <w:rPr>
                <w:rFonts w:ascii="Times New Roman" w:eastAsia="仿宋"/>
                <w:szCs w:val="21"/>
              </w:rPr>
            </w:pPr>
            <w:r>
              <w:rPr>
                <w:rFonts w:hint="eastAsia" w:ascii="Times New Roman" w:eastAsia="仿宋"/>
                <w:szCs w:val="21"/>
              </w:rPr>
              <w:t>1年</w:t>
            </w:r>
          </w:p>
        </w:tc>
        <w:tc>
          <w:tcPr>
            <w:tcW w:w="851" w:type="dxa"/>
            <w:vAlign w:val="center"/>
          </w:tcPr>
          <w:p w14:paraId="77BF93B4">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1E28B804">
            <w:pPr>
              <w:topLinePunct/>
              <w:adjustRightInd w:val="0"/>
              <w:snapToGrid w:val="0"/>
              <w:jc w:val="center"/>
              <w:rPr>
                <w:rFonts w:ascii="Times New Roman" w:eastAsia="仿宋"/>
                <w:szCs w:val="21"/>
              </w:rPr>
            </w:pPr>
          </w:p>
        </w:tc>
      </w:tr>
      <w:tr w14:paraId="35FF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AFBDF11">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8</w:t>
            </w:r>
          </w:p>
        </w:tc>
        <w:tc>
          <w:tcPr>
            <w:tcW w:w="1610" w:type="dxa"/>
            <w:vAlign w:val="center"/>
          </w:tcPr>
          <w:p w14:paraId="0006A4AE">
            <w:pPr>
              <w:topLinePunct/>
              <w:adjustRightInd w:val="0"/>
              <w:snapToGrid w:val="0"/>
              <w:jc w:val="center"/>
              <w:rPr>
                <w:rFonts w:ascii="Times New Roman" w:eastAsia="仿宋"/>
                <w:szCs w:val="21"/>
              </w:rPr>
            </w:pPr>
            <w:r>
              <w:rPr>
                <w:rFonts w:hint="eastAsia" w:ascii="Times New Roman" w:eastAsia="仿宋"/>
                <w:szCs w:val="21"/>
              </w:rPr>
              <w:t>废催化剂</w:t>
            </w:r>
          </w:p>
        </w:tc>
        <w:tc>
          <w:tcPr>
            <w:tcW w:w="864" w:type="dxa"/>
            <w:vMerge w:val="continue"/>
            <w:vAlign w:val="center"/>
          </w:tcPr>
          <w:p w14:paraId="1A31FA7D">
            <w:pPr>
              <w:topLinePunct/>
              <w:adjustRightInd w:val="0"/>
              <w:snapToGrid w:val="0"/>
              <w:jc w:val="center"/>
              <w:rPr>
                <w:rFonts w:ascii="Times New Roman" w:eastAsia="仿宋"/>
                <w:szCs w:val="21"/>
              </w:rPr>
            </w:pPr>
          </w:p>
        </w:tc>
        <w:tc>
          <w:tcPr>
            <w:tcW w:w="1102" w:type="dxa"/>
            <w:vAlign w:val="center"/>
          </w:tcPr>
          <w:p w14:paraId="7A4F4E98">
            <w:pPr>
              <w:topLinePunct/>
              <w:adjustRightInd w:val="0"/>
              <w:snapToGrid w:val="0"/>
              <w:jc w:val="center"/>
              <w:rPr>
                <w:rFonts w:ascii="Times New Roman" w:eastAsia="仿宋"/>
                <w:szCs w:val="21"/>
              </w:rPr>
            </w:pPr>
            <w:r>
              <w:rPr>
                <w:rFonts w:hint="eastAsia" w:ascii="Times New Roman" w:eastAsia="仿宋"/>
                <w:szCs w:val="21"/>
              </w:rPr>
              <w:t>HW50</w:t>
            </w:r>
          </w:p>
        </w:tc>
        <w:tc>
          <w:tcPr>
            <w:tcW w:w="1634" w:type="dxa"/>
            <w:vAlign w:val="center"/>
          </w:tcPr>
          <w:p w14:paraId="0F4DDEA6">
            <w:pPr>
              <w:topLinePunct/>
              <w:adjustRightInd w:val="0"/>
              <w:snapToGrid w:val="0"/>
              <w:jc w:val="center"/>
              <w:rPr>
                <w:rFonts w:ascii="Times New Roman" w:eastAsia="仿宋"/>
                <w:szCs w:val="21"/>
              </w:rPr>
            </w:pPr>
            <w:r>
              <w:rPr>
                <w:rFonts w:hint="eastAsia" w:ascii="Times New Roman" w:eastAsia="仿宋"/>
                <w:szCs w:val="21"/>
              </w:rPr>
              <w:t>772-007-50</w:t>
            </w:r>
          </w:p>
        </w:tc>
        <w:tc>
          <w:tcPr>
            <w:tcW w:w="849" w:type="dxa"/>
            <w:vAlign w:val="center"/>
          </w:tcPr>
          <w:p w14:paraId="5D05AA38">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6</w:t>
            </w:r>
            <w:r>
              <w:rPr>
                <w:rFonts w:hint="eastAsia" w:ascii="Times New Roman" w:eastAsia="仿宋"/>
                <w:szCs w:val="21"/>
              </w:rPr>
              <w:t>t/3a</w:t>
            </w:r>
          </w:p>
        </w:tc>
        <w:tc>
          <w:tcPr>
            <w:tcW w:w="1350" w:type="dxa"/>
            <w:vAlign w:val="center"/>
          </w:tcPr>
          <w:p w14:paraId="2A99A4C2">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330638B0">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0AB38B95">
            <w:pPr>
              <w:topLinePunct/>
              <w:adjustRightInd w:val="0"/>
              <w:snapToGrid w:val="0"/>
              <w:jc w:val="center"/>
              <w:rPr>
                <w:rFonts w:ascii="Times New Roman" w:eastAsia="仿宋"/>
                <w:szCs w:val="21"/>
              </w:rPr>
            </w:pPr>
            <w:r>
              <w:rPr>
                <w:rFonts w:hint="eastAsia" w:ascii="Times New Roman" w:eastAsia="仿宋"/>
                <w:szCs w:val="21"/>
              </w:rPr>
              <w:t>催化剂、有机物</w:t>
            </w:r>
          </w:p>
        </w:tc>
        <w:tc>
          <w:tcPr>
            <w:tcW w:w="987" w:type="dxa"/>
            <w:vAlign w:val="center"/>
          </w:tcPr>
          <w:p w14:paraId="50CE9379">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32E3C900">
            <w:pPr>
              <w:topLinePunct/>
              <w:adjustRightInd w:val="0"/>
              <w:snapToGrid w:val="0"/>
              <w:jc w:val="center"/>
              <w:rPr>
                <w:rFonts w:ascii="Times New Roman" w:eastAsia="仿宋"/>
                <w:szCs w:val="21"/>
              </w:rPr>
            </w:pPr>
            <w:r>
              <w:rPr>
                <w:rFonts w:hint="eastAsia" w:ascii="Times New Roman" w:eastAsia="仿宋"/>
                <w:szCs w:val="21"/>
              </w:rPr>
              <w:t>2年</w:t>
            </w:r>
          </w:p>
        </w:tc>
        <w:tc>
          <w:tcPr>
            <w:tcW w:w="851" w:type="dxa"/>
            <w:vAlign w:val="center"/>
          </w:tcPr>
          <w:p w14:paraId="516A8AA6">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543BCABC">
            <w:pPr>
              <w:topLinePunct/>
              <w:adjustRightInd w:val="0"/>
              <w:snapToGrid w:val="0"/>
              <w:jc w:val="center"/>
              <w:rPr>
                <w:rFonts w:ascii="Times New Roman" w:eastAsia="仿宋"/>
                <w:szCs w:val="21"/>
              </w:rPr>
            </w:pPr>
          </w:p>
        </w:tc>
      </w:tr>
      <w:tr w14:paraId="5026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BDFC0BA">
            <w:pPr>
              <w:topLinePunct/>
              <w:adjustRightInd w:val="0"/>
              <w:snapToGrid w:val="0"/>
              <w:jc w:val="center"/>
              <w:rPr>
                <w:rFonts w:ascii="Times New Roman" w:eastAsia="仿宋"/>
                <w:szCs w:val="21"/>
              </w:rPr>
            </w:pPr>
            <w:r>
              <w:rPr>
                <w:rFonts w:hint="eastAsia" w:ascii="Times New Roman" w:eastAsia="仿宋"/>
                <w:szCs w:val="21"/>
              </w:rPr>
              <w:t>19</w:t>
            </w:r>
          </w:p>
        </w:tc>
        <w:tc>
          <w:tcPr>
            <w:tcW w:w="1610" w:type="dxa"/>
            <w:vAlign w:val="center"/>
          </w:tcPr>
          <w:p w14:paraId="5E953357">
            <w:pPr>
              <w:topLinePunct/>
              <w:adjustRightInd w:val="0"/>
              <w:snapToGrid w:val="0"/>
              <w:jc w:val="center"/>
              <w:rPr>
                <w:rFonts w:ascii="Times New Roman" w:eastAsia="仿宋"/>
                <w:szCs w:val="21"/>
              </w:rPr>
            </w:pPr>
            <w:r>
              <w:rPr>
                <w:rFonts w:hint="eastAsia" w:ascii="Times New Roman" w:eastAsia="仿宋"/>
                <w:szCs w:val="21"/>
              </w:rPr>
              <w:t>废活性炭</w:t>
            </w:r>
          </w:p>
        </w:tc>
        <w:tc>
          <w:tcPr>
            <w:tcW w:w="864" w:type="dxa"/>
            <w:vMerge w:val="continue"/>
            <w:vAlign w:val="center"/>
          </w:tcPr>
          <w:p w14:paraId="13752F56">
            <w:pPr>
              <w:topLinePunct/>
              <w:adjustRightInd w:val="0"/>
              <w:snapToGrid w:val="0"/>
              <w:jc w:val="center"/>
              <w:rPr>
                <w:rFonts w:ascii="Times New Roman" w:eastAsia="仿宋"/>
                <w:szCs w:val="21"/>
              </w:rPr>
            </w:pPr>
          </w:p>
        </w:tc>
        <w:tc>
          <w:tcPr>
            <w:tcW w:w="1102" w:type="dxa"/>
            <w:vAlign w:val="center"/>
          </w:tcPr>
          <w:p w14:paraId="2F2EEC7C">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41648B79">
            <w:pPr>
              <w:topLinePunct/>
              <w:adjustRightInd w:val="0"/>
              <w:snapToGrid w:val="0"/>
              <w:jc w:val="center"/>
              <w:rPr>
                <w:rFonts w:ascii="Times New Roman" w:eastAsia="仿宋"/>
                <w:szCs w:val="21"/>
              </w:rPr>
            </w:pPr>
            <w:r>
              <w:rPr>
                <w:rFonts w:ascii="Times New Roman" w:eastAsia="仿宋"/>
                <w:szCs w:val="21"/>
              </w:rPr>
              <w:t>900-039-49</w:t>
            </w:r>
          </w:p>
        </w:tc>
        <w:tc>
          <w:tcPr>
            <w:tcW w:w="849" w:type="dxa"/>
            <w:vAlign w:val="center"/>
          </w:tcPr>
          <w:p w14:paraId="5628B94B">
            <w:pPr>
              <w:topLinePunct/>
              <w:adjustRightInd w:val="0"/>
              <w:snapToGrid w:val="0"/>
              <w:jc w:val="center"/>
              <w:rPr>
                <w:rFonts w:ascii="Times New Roman" w:eastAsia="仿宋"/>
                <w:szCs w:val="21"/>
              </w:rPr>
            </w:pPr>
            <w:r>
              <w:rPr>
                <w:rFonts w:ascii="Times New Roman" w:eastAsia="仿宋"/>
                <w:szCs w:val="21"/>
              </w:rPr>
              <w:t>8.2</w:t>
            </w:r>
          </w:p>
        </w:tc>
        <w:tc>
          <w:tcPr>
            <w:tcW w:w="1350" w:type="dxa"/>
            <w:vAlign w:val="center"/>
          </w:tcPr>
          <w:p w14:paraId="40D44D59">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68BD639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7D979BC">
            <w:pPr>
              <w:topLinePunct/>
              <w:adjustRightInd w:val="0"/>
              <w:snapToGrid w:val="0"/>
              <w:jc w:val="center"/>
              <w:rPr>
                <w:rFonts w:ascii="Times New Roman" w:eastAsia="仿宋"/>
                <w:szCs w:val="21"/>
              </w:rPr>
            </w:pPr>
            <w:r>
              <w:rPr>
                <w:rFonts w:hint="eastAsia" w:ascii="Times New Roman" w:eastAsia="仿宋"/>
                <w:szCs w:val="21"/>
              </w:rPr>
              <w:t>活性炭、有机物</w:t>
            </w:r>
          </w:p>
        </w:tc>
        <w:tc>
          <w:tcPr>
            <w:tcW w:w="987" w:type="dxa"/>
            <w:vAlign w:val="center"/>
          </w:tcPr>
          <w:p w14:paraId="1B349895">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6DB52262">
            <w:pPr>
              <w:topLinePunct/>
              <w:adjustRightInd w:val="0"/>
              <w:snapToGrid w:val="0"/>
              <w:jc w:val="center"/>
              <w:rPr>
                <w:rFonts w:ascii="Times New Roman" w:eastAsia="仿宋"/>
                <w:szCs w:val="21"/>
              </w:rPr>
            </w:pPr>
            <w:r>
              <w:rPr>
                <w:rFonts w:ascii="Times New Roman" w:eastAsia="仿宋"/>
                <w:szCs w:val="21"/>
              </w:rPr>
              <w:t>2</w:t>
            </w:r>
            <w:r>
              <w:rPr>
                <w:rFonts w:hint="eastAsia" w:ascii="Times New Roman" w:eastAsia="仿宋"/>
                <w:szCs w:val="21"/>
              </w:rPr>
              <w:t>年</w:t>
            </w:r>
          </w:p>
        </w:tc>
        <w:tc>
          <w:tcPr>
            <w:tcW w:w="851" w:type="dxa"/>
            <w:vAlign w:val="center"/>
          </w:tcPr>
          <w:p w14:paraId="367E27D2">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1AA10F10">
            <w:pPr>
              <w:topLinePunct/>
              <w:adjustRightInd w:val="0"/>
              <w:snapToGrid w:val="0"/>
              <w:jc w:val="center"/>
              <w:rPr>
                <w:rFonts w:ascii="Times New Roman" w:eastAsia="仿宋"/>
                <w:szCs w:val="21"/>
              </w:rPr>
            </w:pPr>
          </w:p>
        </w:tc>
      </w:tr>
      <w:tr w14:paraId="4A8E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A37F6BB">
            <w:pPr>
              <w:topLinePunct/>
              <w:adjustRightInd w:val="0"/>
              <w:snapToGrid w:val="0"/>
              <w:jc w:val="center"/>
              <w:rPr>
                <w:rFonts w:ascii="Times New Roman" w:eastAsia="仿宋"/>
                <w:szCs w:val="21"/>
              </w:rPr>
            </w:pPr>
            <w:r>
              <w:rPr>
                <w:rFonts w:hint="eastAsia" w:ascii="Times New Roman" w:eastAsia="仿宋"/>
                <w:szCs w:val="21"/>
              </w:rPr>
              <w:t>20</w:t>
            </w:r>
          </w:p>
        </w:tc>
        <w:tc>
          <w:tcPr>
            <w:tcW w:w="1610" w:type="dxa"/>
            <w:vAlign w:val="center"/>
          </w:tcPr>
          <w:p w14:paraId="4D5C5041">
            <w:pPr>
              <w:topLinePunct/>
              <w:adjustRightInd w:val="0"/>
              <w:snapToGrid w:val="0"/>
              <w:jc w:val="center"/>
              <w:rPr>
                <w:rFonts w:ascii="Times New Roman" w:eastAsia="仿宋"/>
                <w:szCs w:val="21"/>
              </w:rPr>
            </w:pPr>
            <w:r>
              <w:rPr>
                <w:rFonts w:hint="eastAsia" w:ascii="Times New Roman" w:eastAsia="仿宋"/>
                <w:szCs w:val="21"/>
              </w:rPr>
              <w:t>污泥</w:t>
            </w:r>
          </w:p>
        </w:tc>
        <w:tc>
          <w:tcPr>
            <w:tcW w:w="864" w:type="dxa"/>
            <w:vMerge w:val="continue"/>
            <w:vAlign w:val="center"/>
          </w:tcPr>
          <w:p w14:paraId="230E5974">
            <w:pPr>
              <w:topLinePunct/>
              <w:adjustRightInd w:val="0"/>
              <w:snapToGrid w:val="0"/>
              <w:jc w:val="center"/>
              <w:rPr>
                <w:rFonts w:ascii="Times New Roman" w:eastAsia="仿宋"/>
                <w:szCs w:val="21"/>
              </w:rPr>
            </w:pPr>
          </w:p>
        </w:tc>
        <w:tc>
          <w:tcPr>
            <w:tcW w:w="1102" w:type="dxa"/>
            <w:vAlign w:val="center"/>
          </w:tcPr>
          <w:p w14:paraId="336EACC7">
            <w:pPr>
              <w:topLinePunct/>
              <w:adjustRightInd w:val="0"/>
              <w:snapToGrid w:val="0"/>
              <w:jc w:val="center"/>
              <w:rPr>
                <w:rFonts w:ascii="Times New Roman" w:eastAsia="仿宋"/>
                <w:szCs w:val="21"/>
              </w:rPr>
            </w:pPr>
            <w:r>
              <w:rPr>
                <w:rFonts w:hint="eastAsia" w:ascii="Times New Roman" w:eastAsia="仿宋"/>
                <w:szCs w:val="21"/>
              </w:rPr>
              <w:t>HW08</w:t>
            </w:r>
          </w:p>
        </w:tc>
        <w:tc>
          <w:tcPr>
            <w:tcW w:w="1634" w:type="dxa"/>
            <w:vAlign w:val="center"/>
          </w:tcPr>
          <w:p w14:paraId="55563B99">
            <w:pPr>
              <w:topLinePunct/>
              <w:adjustRightInd w:val="0"/>
              <w:snapToGrid w:val="0"/>
              <w:jc w:val="center"/>
              <w:rPr>
                <w:rFonts w:ascii="Times New Roman" w:eastAsia="仿宋"/>
                <w:szCs w:val="21"/>
              </w:rPr>
            </w:pPr>
            <w:r>
              <w:rPr>
                <w:rFonts w:hint="eastAsia" w:ascii="Times New Roman" w:eastAsia="仿宋"/>
                <w:szCs w:val="21"/>
              </w:rPr>
              <w:t>900-210-08</w:t>
            </w:r>
          </w:p>
        </w:tc>
        <w:tc>
          <w:tcPr>
            <w:tcW w:w="849" w:type="dxa"/>
            <w:vAlign w:val="center"/>
          </w:tcPr>
          <w:p w14:paraId="076E8615">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350" w:type="dxa"/>
            <w:vAlign w:val="center"/>
          </w:tcPr>
          <w:p w14:paraId="12A07EEE">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44D58932">
            <w:pPr>
              <w:topLinePunct/>
              <w:adjustRightInd w:val="0"/>
              <w:snapToGrid w:val="0"/>
              <w:jc w:val="center"/>
              <w:rPr>
                <w:rFonts w:ascii="Times New Roman" w:eastAsia="仿宋"/>
                <w:szCs w:val="21"/>
              </w:rPr>
            </w:pPr>
            <w:r>
              <w:rPr>
                <w:rFonts w:hint="eastAsia" w:ascii="Times New Roman" w:eastAsia="仿宋"/>
                <w:szCs w:val="21"/>
              </w:rPr>
              <w:t>半固态</w:t>
            </w:r>
          </w:p>
        </w:tc>
        <w:tc>
          <w:tcPr>
            <w:tcW w:w="1170" w:type="dxa"/>
            <w:vAlign w:val="center"/>
          </w:tcPr>
          <w:p w14:paraId="47854F95">
            <w:pPr>
              <w:topLinePunct/>
              <w:adjustRightInd w:val="0"/>
              <w:snapToGrid w:val="0"/>
              <w:jc w:val="center"/>
              <w:rPr>
                <w:rFonts w:ascii="Times New Roman" w:eastAsia="仿宋"/>
                <w:szCs w:val="21"/>
              </w:rPr>
            </w:pPr>
            <w:r>
              <w:rPr>
                <w:rFonts w:hint="eastAsia" w:ascii="Times New Roman" w:eastAsia="仿宋"/>
                <w:szCs w:val="21"/>
              </w:rPr>
              <w:t>矿物油、杂质</w:t>
            </w:r>
          </w:p>
        </w:tc>
        <w:tc>
          <w:tcPr>
            <w:tcW w:w="987" w:type="dxa"/>
            <w:vAlign w:val="center"/>
          </w:tcPr>
          <w:p w14:paraId="0C42E7ED">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6B0DCD80">
            <w:pPr>
              <w:topLinePunct/>
              <w:adjustRightInd w:val="0"/>
              <w:snapToGrid w:val="0"/>
              <w:jc w:val="center"/>
              <w:rPr>
                <w:rFonts w:ascii="Times New Roman" w:eastAsia="仿宋"/>
                <w:szCs w:val="21"/>
              </w:rPr>
            </w:pPr>
            <w:r>
              <w:rPr>
                <w:rFonts w:hint="eastAsia" w:ascii="Times New Roman" w:eastAsia="仿宋"/>
                <w:szCs w:val="21"/>
              </w:rPr>
              <w:t>1天</w:t>
            </w:r>
          </w:p>
        </w:tc>
        <w:tc>
          <w:tcPr>
            <w:tcW w:w="851" w:type="dxa"/>
            <w:vAlign w:val="center"/>
          </w:tcPr>
          <w:p w14:paraId="53D8FBC2">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4973672D">
            <w:pPr>
              <w:topLinePunct/>
              <w:adjustRightInd w:val="0"/>
              <w:snapToGrid w:val="0"/>
              <w:jc w:val="center"/>
              <w:rPr>
                <w:rFonts w:ascii="Times New Roman" w:eastAsia="仿宋"/>
                <w:szCs w:val="21"/>
              </w:rPr>
            </w:pPr>
          </w:p>
        </w:tc>
      </w:tr>
      <w:tr w14:paraId="7CC1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55E5F3F">
            <w:pPr>
              <w:topLinePunct/>
              <w:adjustRightInd w:val="0"/>
              <w:snapToGrid w:val="0"/>
              <w:jc w:val="center"/>
              <w:rPr>
                <w:rFonts w:ascii="Times New Roman" w:eastAsia="仿宋"/>
                <w:szCs w:val="21"/>
              </w:rPr>
            </w:pPr>
            <w:r>
              <w:rPr>
                <w:rFonts w:hint="eastAsia" w:ascii="Times New Roman" w:eastAsia="仿宋"/>
                <w:szCs w:val="21"/>
              </w:rPr>
              <w:t>21</w:t>
            </w:r>
          </w:p>
        </w:tc>
        <w:tc>
          <w:tcPr>
            <w:tcW w:w="1610" w:type="dxa"/>
            <w:vAlign w:val="center"/>
          </w:tcPr>
          <w:p w14:paraId="74F87D92">
            <w:pPr>
              <w:topLinePunct/>
              <w:adjustRightInd w:val="0"/>
              <w:snapToGrid w:val="0"/>
              <w:jc w:val="center"/>
              <w:rPr>
                <w:rFonts w:ascii="Times New Roman" w:eastAsia="仿宋"/>
                <w:szCs w:val="21"/>
              </w:rPr>
            </w:pPr>
            <w:r>
              <w:rPr>
                <w:rFonts w:hint="eastAsia" w:ascii="Times New Roman" w:eastAsia="仿宋"/>
                <w:szCs w:val="21"/>
              </w:rPr>
              <w:t>废过滤棉</w:t>
            </w:r>
          </w:p>
        </w:tc>
        <w:tc>
          <w:tcPr>
            <w:tcW w:w="864" w:type="dxa"/>
            <w:vMerge w:val="continue"/>
            <w:vAlign w:val="center"/>
          </w:tcPr>
          <w:p w14:paraId="00AC6805">
            <w:pPr>
              <w:topLinePunct/>
              <w:adjustRightInd w:val="0"/>
              <w:snapToGrid w:val="0"/>
              <w:jc w:val="center"/>
              <w:rPr>
                <w:rFonts w:ascii="Times New Roman" w:eastAsia="仿宋"/>
                <w:szCs w:val="21"/>
              </w:rPr>
            </w:pPr>
          </w:p>
        </w:tc>
        <w:tc>
          <w:tcPr>
            <w:tcW w:w="1102" w:type="dxa"/>
            <w:vAlign w:val="center"/>
          </w:tcPr>
          <w:p w14:paraId="1B32A66B">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4C2E5CA5">
            <w:pPr>
              <w:topLinePunct/>
              <w:adjustRightInd w:val="0"/>
              <w:snapToGrid w:val="0"/>
              <w:jc w:val="center"/>
              <w:rPr>
                <w:rFonts w:ascii="Times New Roman" w:eastAsia="仿宋"/>
                <w:szCs w:val="21"/>
              </w:rPr>
            </w:pPr>
            <w:r>
              <w:rPr>
                <w:rFonts w:ascii="Times New Roman" w:eastAsia="仿宋"/>
                <w:szCs w:val="21"/>
              </w:rPr>
              <w:t>900-0</w:t>
            </w:r>
            <w:r>
              <w:rPr>
                <w:rFonts w:hint="eastAsia" w:ascii="Times New Roman" w:eastAsia="仿宋"/>
                <w:szCs w:val="21"/>
              </w:rPr>
              <w:t>41</w:t>
            </w:r>
            <w:r>
              <w:rPr>
                <w:rFonts w:ascii="Times New Roman" w:eastAsia="仿宋"/>
                <w:szCs w:val="21"/>
              </w:rPr>
              <w:t>-49</w:t>
            </w:r>
          </w:p>
        </w:tc>
        <w:tc>
          <w:tcPr>
            <w:tcW w:w="849" w:type="dxa"/>
            <w:vAlign w:val="center"/>
          </w:tcPr>
          <w:p w14:paraId="04D10716">
            <w:pPr>
              <w:topLinePunct/>
              <w:adjustRightInd w:val="0"/>
              <w:snapToGrid w:val="0"/>
              <w:jc w:val="center"/>
              <w:rPr>
                <w:rFonts w:ascii="Times New Roman" w:eastAsia="仿宋"/>
                <w:szCs w:val="21"/>
              </w:rPr>
            </w:pPr>
            <w:r>
              <w:rPr>
                <w:rFonts w:hint="eastAsia" w:ascii="Times New Roman" w:eastAsia="仿宋"/>
                <w:szCs w:val="21"/>
              </w:rPr>
              <w:t>3</w:t>
            </w:r>
          </w:p>
        </w:tc>
        <w:tc>
          <w:tcPr>
            <w:tcW w:w="1350" w:type="dxa"/>
            <w:vAlign w:val="center"/>
          </w:tcPr>
          <w:p w14:paraId="35F57A61">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21DD5D09">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322142D9">
            <w:pPr>
              <w:topLinePunct/>
              <w:adjustRightInd w:val="0"/>
              <w:snapToGrid w:val="0"/>
              <w:jc w:val="center"/>
              <w:rPr>
                <w:rFonts w:ascii="Times New Roman" w:eastAsia="仿宋"/>
                <w:szCs w:val="21"/>
              </w:rPr>
            </w:pPr>
            <w:r>
              <w:rPr>
                <w:rFonts w:hint="eastAsia" w:ascii="Times New Roman" w:eastAsia="仿宋"/>
                <w:szCs w:val="21"/>
              </w:rPr>
              <w:t>棉花、有机物</w:t>
            </w:r>
          </w:p>
        </w:tc>
        <w:tc>
          <w:tcPr>
            <w:tcW w:w="987" w:type="dxa"/>
            <w:vAlign w:val="center"/>
          </w:tcPr>
          <w:p w14:paraId="5257E811">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3276D961">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079CE9DF">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1F4491D4">
            <w:pPr>
              <w:topLinePunct/>
              <w:adjustRightInd w:val="0"/>
              <w:snapToGrid w:val="0"/>
              <w:jc w:val="center"/>
              <w:rPr>
                <w:rFonts w:ascii="Times New Roman" w:eastAsia="仿宋"/>
                <w:szCs w:val="21"/>
              </w:rPr>
            </w:pPr>
          </w:p>
        </w:tc>
      </w:tr>
      <w:tr w14:paraId="2E32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4E4B6B3">
            <w:pPr>
              <w:topLinePunct/>
              <w:adjustRightInd w:val="0"/>
              <w:snapToGrid w:val="0"/>
              <w:jc w:val="center"/>
              <w:rPr>
                <w:rFonts w:ascii="Times New Roman" w:eastAsia="仿宋"/>
                <w:szCs w:val="21"/>
              </w:rPr>
            </w:pPr>
            <w:r>
              <w:rPr>
                <w:rFonts w:hint="eastAsia" w:ascii="Times New Roman" w:eastAsia="仿宋"/>
                <w:szCs w:val="21"/>
              </w:rPr>
              <w:t>22</w:t>
            </w:r>
          </w:p>
        </w:tc>
        <w:tc>
          <w:tcPr>
            <w:tcW w:w="1610" w:type="dxa"/>
            <w:vAlign w:val="center"/>
          </w:tcPr>
          <w:p w14:paraId="782466E0">
            <w:pPr>
              <w:topLinePunct/>
              <w:adjustRightInd w:val="0"/>
              <w:snapToGrid w:val="0"/>
              <w:jc w:val="center"/>
              <w:rPr>
                <w:rFonts w:ascii="Times New Roman" w:eastAsia="仿宋"/>
                <w:szCs w:val="21"/>
              </w:rPr>
            </w:pPr>
            <w:r>
              <w:rPr>
                <w:rFonts w:hint="eastAsia" w:ascii="Times New Roman" w:eastAsia="仿宋"/>
                <w:szCs w:val="21"/>
              </w:rPr>
              <w:t>废过滤介质</w:t>
            </w:r>
          </w:p>
        </w:tc>
        <w:tc>
          <w:tcPr>
            <w:tcW w:w="864" w:type="dxa"/>
            <w:vMerge w:val="continue"/>
            <w:vAlign w:val="center"/>
          </w:tcPr>
          <w:p w14:paraId="616029AB">
            <w:pPr>
              <w:topLinePunct/>
              <w:adjustRightInd w:val="0"/>
              <w:snapToGrid w:val="0"/>
              <w:jc w:val="center"/>
              <w:rPr>
                <w:rFonts w:ascii="Times New Roman" w:eastAsia="仿宋"/>
                <w:szCs w:val="21"/>
              </w:rPr>
            </w:pPr>
          </w:p>
        </w:tc>
        <w:tc>
          <w:tcPr>
            <w:tcW w:w="1102" w:type="dxa"/>
            <w:vAlign w:val="center"/>
          </w:tcPr>
          <w:p w14:paraId="232A40F9">
            <w:pPr>
              <w:topLinePunct/>
              <w:adjustRightInd w:val="0"/>
              <w:snapToGrid w:val="0"/>
              <w:jc w:val="center"/>
              <w:rPr>
                <w:rFonts w:ascii="Times New Roman" w:eastAsia="仿宋"/>
                <w:szCs w:val="21"/>
              </w:rPr>
            </w:pPr>
            <w:r>
              <w:rPr>
                <w:rFonts w:hint="eastAsia" w:ascii="Times New Roman" w:eastAsia="仿宋"/>
                <w:szCs w:val="21"/>
              </w:rPr>
              <w:t>HW13</w:t>
            </w:r>
          </w:p>
        </w:tc>
        <w:tc>
          <w:tcPr>
            <w:tcW w:w="1634" w:type="dxa"/>
            <w:vAlign w:val="center"/>
          </w:tcPr>
          <w:p w14:paraId="4D7D3DB9">
            <w:pPr>
              <w:topLinePunct/>
              <w:adjustRightInd w:val="0"/>
              <w:snapToGrid w:val="0"/>
              <w:jc w:val="center"/>
              <w:rPr>
                <w:rFonts w:ascii="Times New Roman" w:eastAsia="仿宋"/>
                <w:szCs w:val="21"/>
              </w:rPr>
            </w:pPr>
            <w:r>
              <w:rPr>
                <w:rFonts w:hint="eastAsia" w:ascii="Times New Roman" w:eastAsia="仿宋"/>
                <w:szCs w:val="21"/>
              </w:rPr>
              <w:t>900-015-13</w:t>
            </w:r>
          </w:p>
        </w:tc>
        <w:tc>
          <w:tcPr>
            <w:tcW w:w="849" w:type="dxa"/>
            <w:vAlign w:val="center"/>
          </w:tcPr>
          <w:p w14:paraId="3C85F4B0">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3</w:t>
            </w:r>
            <w:r>
              <w:rPr>
                <w:rFonts w:hint="eastAsia" w:ascii="Times New Roman" w:eastAsia="仿宋"/>
                <w:szCs w:val="21"/>
              </w:rPr>
              <w:t>t/3a</w:t>
            </w:r>
          </w:p>
        </w:tc>
        <w:tc>
          <w:tcPr>
            <w:tcW w:w="1350" w:type="dxa"/>
            <w:vAlign w:val="center"/>
          </w:tcPr>
          <w:p w14:paraId="6C142F91">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059F0C8D">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7F68F60">
            <w:pPr>
              <w:topLinePunct/>
              <w:adjustRightInd w:val="0"/>
              <w:snapToGrid w:val="0"/>
              <w:jc w:val="center"/>
              <w:rPr>
                <w:rFonts w:ascii="Times New Roman" w:eastAsia="仿宋"/>
                <w:szCs w:val="21"/>
              </w:rPr>
            </w:pPr>
            <w:r>
              <w:rPr>
                <w:rFonts w:hint="eastAsia" w:ascii="Times New Roman" w:eastAsia="仿宋"/>
                <w:szCs w:val="21"/>
              </w:rPr>
              <w:t>有机物等</w:t>
            </w:r>
          </w:p>
        </w:tc>
        <w:tc>
          <w:tcPr>
            <w:tcW w:w="987" w:type="dxa"/>
            <w:vAlign w:val="center"/>
          </w:tcPr>
          <w:p w14:paraId="0B198341">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1372EFA0">
            <w:pPr>
              <w:topLinePunct/>
              <w:adjustRightInd w:val="0"/>
              <w:snapToGrid w:val="0"/>
              <w:jc w:val="center"/>
              <w:rPr>
                <w:rFonts w:ascii="Times New Roman" w:eastAsia="仿宋"/>
                <w:szCs w:val="21"/>
              </w:rPr>
            </w:pPr>
            <w:r>
              <w:rPr>
                <w:rFonts w:hint="eastAsia" w:ascii="Times New Roman" w:eastAsia="仿宋"/>
                <w:szCs w:val="21"/>
              </w:rPr>
              <w:t>3年</w:t>
            </w:r>
          </w:p>
        </w:tc>
        <w:tc>
          <w:tcPr>
            <w:tcW w:w="851" w:type="dxa"/>
            <w:vAlign w:val="center"/>
          </w:tcPr>
          <w:p w14:paraId="59D15F6C">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7AAC99A6">
            <w:pPr>
              <w:topLinePunct/>
              <w:adjustRightInd w:val="0"/>
              <w:snapToGrid w:val="0"/>
              <w:jc w:val="center"/>
              <w:rPr>
                <w:rFonts w:ascii="Times New Roman" w:eastAsia="仿宋"/>
                <w:szCs w:val="21"/>
              </w:rPr>
            </w:pPr>
          </w:p>
        </w:tc>
      </w:tr>
    </w:tbl>
    <w:p w14:paraId="77D64FBD">
      <w:pPr>
        <w:pStyle w:val="2"/>
        <w:rPr>
          <w:rFonts w:eastAsia="仿宋"/>
          <w:b/>
        </w:rPr>
      </w:pPr>
    </w:p>
    <w:p w14:paraId="546CDFEC">
      <w:pPr>
        <w:pStyle w:val="2"/>
        <w:rPr>
          <w:rFonts w:eastAsia="仿宋"/>
          <w:b/>
        </w:rPr>
      </w:pPr>
    </w:p>
    <w:p w14:paraId="57631F57">
      <w:pPr>
        <w:pStyle w:val="2"/>
      </w:pPr>
    </w:p>
    <w:p w14:paraId="7477C46E">
      <w:pPr>
        <w:pStyle w:val="2"/>
      </w:pPr>
    </w:p>
    <w:p w14:paraId="371143BF">
      <w:pPr>
        <w:pStyle w:val="2"/>
      </w:pPr>
    </w:p>
    <w:p w14:paraId="2CB5170A">
      <w:pPr>
        <w:pStyle w:val="2"/>
      </w:pPr>
    </w:p>
    <w:p w14:paraId="6648C5AD">
      <w:pPr>
        <w:pStyle w:val="46"/>
        <w:ind w:left="0" w:firstLine="0"/>
      </w:pPr>
    </w:p>
    <w:p w14:paraId="6B388EDA">
      <w:pPr>
        <w:adjustRightInd w:val="0"/>
        <w:snapToGrid w:val="0"/>
        <w:spacing w:line="500" w:lineRule="exact"/>
        <w:jc w:val="center"/>
        <w:rPr>
          <w:rFonts w:ascii="Times New Roman" w:eastAsia="仿宋"/>
          <w:b/>
        </w:rPr>
      </w:pPr>
    </w:p>
    <w:p w14:paraId="6F93B2CC">
      <w:pPr>
        <w:pStyle w:val="7"/>
        <w:keepLines w:val="0"/>
        <w:widowControl/>
        <w:numPr>
          <w:ilvl w:val="3"/>
          <w:numId w:val="1"/>
        </w:numPr>
        <w:adjustRightInd w:val="0"/>
        <w:snapToGrid w:val="0"/>
        <w:spacing w:after="120" w:afterLines="50"/>
        <w:ind w:left="0" w:firstLine="0"/>
        <w:jc w:val="left"/>
        <w:rPr>
          <w:rFonts w:ascii="Times New Roman" w:hAnsi="Times New Roman" w:eastAsia="仿宋"/>
          <w:b/>
        </w:rPr>
        <w:sectPr>
          <w:pgSz w:w="16838" w:h="11906" w:orient="landscape"/>
          <w:pgMar w:top="1418" w:right="1134" w:bottom="1418" w:left="1134" w:header="851" w:footer="992" w:gutter="0"/>
          <w:cols w:space="720" w:num="1"/>
          <w:docGrid w:linePitch="312" w:charSpace="0"/>
        </w:sectPr>
      </w:pPr>
    </w:p>
    <w:p w14:paraId="5A979B21">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.2.4.2固废环境影响分析</w:t>
      </w:r>
    </w:p>
    <w:p w14:paraId="20437817">
      <w:pPr>
        <w:spacing w:line="500" w:lineRule="exact"/>
        <w:ind w:firstLine="562" w:firstLineChars="200"/>
        <w:rPr>
          <w:rFonts w:ascii="Times New Roman" w:eastAsia="仿宋"/>
          <w:kern w:val="44"/>
          <w:sz w:val="28"/>
          <w:szCs w:val="28"/>
        </w:rPr>
      </w:pPr>
      <w:r>
        <w:rPr>
          <w:rFonts w:hint="eastAsia" w:ascii="Times New Roman" w:eastAsia="仿宋"/>
          <w:b/>
          <w:bCs/>
          <w:kern w:val="44"/>
          <w:sz w:val="28"/>
          <w:szCs w:val="28"/>
        </w:rPr>
        <w:t>1、本项目固废环境影响分析</w:t>
      </w:r>
    </w:p>
    <w:p w14:paraId="2552683F">
      <w:pPr>
        <w:spacing w:line="500" w:lineRule="exact"/>
        <w:ind w:firstLine="560" w:firstLineChars="200"/>
        <w:rPr>
          <w:rFonts w:ascii="Times New Roman" w:eastAsia="仿宋"/>
          <w:kern w:val="44"/>
          <w:sz w:val="28"/>
          <w:szCs w:val="28"/>
        </w:rPr>
      </w:pPr>
      <w:r>
        <w:rPr>
          <w:rFonts w:ascii="Times New Roman" w:eastAsia="仿宋"/>
          <w:kern w:val="44"/>
          <w:sz w:val="28"/>
          <w:szCs w:val="28"/>
        </w:rPr>
        <w:t>本项目固体废物处置率100%，对周围环境无直接影响，固废管理过程可能造成的环境影响如下：</w:t>
      </w:r>
    </w:p>
    <w:p w14:paraId="0A9F0BDA">
      <w:pPr>
        <w:spacing w:line="500" w:lineRule="exact"/>
        <w:ind w:firstLine="560" w:firstLineChars="200"/>
        <w:rPr>
          <w:rFonts w:ascii="Times New Roman" w:eastAsia="仿宋"/>
          <w:sz w:val="28"/>
          <w:szCs w:val="28"/>
        </w:rPr>
      </w:pPr>
      <w:r>
        <w:rPr>
          <w:rFonts w:ascii="Times New Roman" w:eastAsia="仿宋"/>
          <w:sz w:val="28"/>
          <w:szCs w:val="28"/>
        </w:rPr>
        <w:t>①固体废物的分类收集、贮存，危险废物与一般工业固体废物、生活垃圾的混放对环境的影响</w:t>
      </w:r>
    </w:p>
    <w:p w14:paraId="6C275FB7">
      <w:pPr>
        <w:spacing w:line="500" w:lineRule="exact"/>
        <w:ind w:firstLine="560" w:firstLineChars="200"/>
        <w:rPr>
          <w:rFonts w:ascii="Times New Roman" w:eastAsia="仿宋"/>
          <w:sz w:val="28"/>
          <w:szCs w:val="28"/>
        </w:rPr>
      </w:pPr>
      <w:r>
        <w:rPr>
          <w:rFonts w:ascii="Times New Roman" w:eastAsia="仿宋"/>
          <w:sz w:val="28"/>
          <w:szCs w:val="28"/>
        </w:rPr>
        <w:t>本项目危险废物中含有有毒、易燃性物质，若与一般工业固体废物或生活垃圾混放，会对其造成污染，受污染的固体废物若按照原有的处置方式进行处理（回收、填埋、堆肥、焚烧），可能会对大气环境、水环境以及土壤造成污染；若误将危险废物当做一般工业固体废物或生活垃圾进行处理，会对大气环境、水环境以及土壤造成污染；此外，危险废物与一般工业固体废物、生活垃圾的混放会加大发生火灾事故的风险，从而造成对大气环境、水环境以及土壤的污染。</w:t>
      </w:r>
    </w:p>
    <w:p w14:paraId="72BF9564">
      <w:pPr>
        <w:spacing w:line="500" w:lineRule="exact"/>
        <w:ind w:firstLine="560" w:firstLineChars="200"/>
        <w:rPr>
          <w:rFonts w:ascii="Times New Roman" w:eastAsia="仿宋"/>
          <w:sz w:val="28"/>
          <w:szCs w:val="28"/>
        </w:rPr>
      </w:pPr>
      <w:r>
        <w:rPr>
          <w:rFonts w:ascii="Times New Roman" w:eastAsia="仿宋"/>
          <w:sz w:val="28"/>
          <w:szCs w:val="28"/>
        </w:rPr>
        <w:t>② 包装、运输过程中散落、泄漏的环境影响</w:t>
      </w:r>
    </w:p>
    <w:p w14:paraId="0AC88C4C">
      <w:pPr>
        <w:spacing w:line="500" w:lineRule="exact"/>
        <w:ind w:firstLine="560" w:firstLineChars="200"/>
        <w:rPr>
          <w:rFonts w:ascii="Times New Roman" w:eastAsia="仿宋"/>
          <w:sz w:val="28"/>
          <w:szCs w:val="28"/>
        </w:rPr>
      </w:pPr>
      <w:r>
        <w:rPr>
          <w:rFonts w:ascii="Times New Roman" w:eastAsia="仿宋"/>
          <w:sz w:val="28"/>
          <w:szCs w:val="28"/>
        </w:rPr>
        <w:t>本项目危险废物在包装、运输过程中发生散落、泄漏时，若接触土壤或进入水体，则会对泄漏处的水环境和土壤造成污染；本项目危险废物中含有有毒、易燃性物质，散落、泄漏事故发生后，若未及时处置或在种种外力作用下发生火灾，会造成次生、伴生的环境污染。</w:t>
      </w:r>
    </w:p>
    <w:p w14:paraId="4024CEB8">
      <w:pPr>
        <w:spacing w:line="500" w:lineRule="exact"/>
        <w:ind w:firstLine="560" w:firstLineChars="200"/>
        <w:rPr>
          <w:rFonts w:ascii="Times New Roman" w:eastAsia="仿宋"/>
          <w:sz w:val="28"/>
          <w:szCs w:val="28"/>
        </w:rPr>
      </w:pPr>
      <w:r>
        <w:rPr>
          <w:rFonts w:ascii="Times New Roman" w:eastAsia="仿宋"/>
          <w:sz w:val="28"/>
          <w:szCs w:val="28"/>
        </w:rPr>
        <w:t>③ 堆放、贮存场所的环境影响</w:t>
      </w:r>
    </w:p>
    <w:p w14:paraId="59DF044A">
      <w:pPr>
        <w:spacing w:line="500" w:lineRule="exact"/>
        <w:ind w:firstLine="560" w:firstLineChars="200"/>
        <w:rPr>
          <w:rFonts w:ascii="Times New Roman" w:eastAsia="仿宋"/>
          <w:sz w:val="28"/>
          <w:szCs w:val="28"/>
        </w:rPr>
      </w:pPr>
      <w:r>
        <w:rPr>
          <w:rFonts w:ascii="Times New Roman" w:eastAsia="仿宋"/>
          <w:sz w:val="28"/>
          <w:szCs w:val="28"/>
        </w:rPr>
        <w:t>本项目危险废物呈固态、半固态以及液态，其中含有有毒、易燃性物质。若是堆放、贮存场所未按照要求严格做到防火、防雨、防扬散、防渗漏或堆场内的危险废物未得到及时清运，可能会造成泄漏、火灾等环境事故，从而造成对大气环境、水环境以及土壤的污染。</w:t>
      </w:r>
    </w:p>
    <w:p w14:paraId="72A1A2E3">
      <w:pPr>
        <w:spacing w:line="500" w:lineRule="exact"/>
        <w:ind w:firstLine="560" w:firstLineChars="200"/>
        <w:rPr>
          <w:rFonts w:ascii="Times New Roman" w:eastAsia="仿宋"/>
          <w:sz w:val="28"/>
          <w:szCs w:val="28"/>
        </w:rPr>
      </w:pPr>
      <w:r>
        <w:rPr>
          <w:rFonts w:hint="eastAsia" w:ascii="仿宋" w:hAnsi="仿宋" w:eastAsia="仿宋"/>
          <w:sz w:val="28"/>
          <w:szCs w:val="28"/>
        </w:rPr>
        <w:t>④</w:t>
      </w:r>
      <w:r>
        <w:rPr>
          <w:rFonts w:ascii="Times New Roman" w:eastAsia="仿宋"/>
          <w:sz w:val="28"/>
          <w:szCs w:val="28"/>
        </w:rPr>
        <w:t>综合利用、处理、处置的环境影响</w:t>
      </w:r>
    </w:p>
    <w:p w14:paraId="61B5F3E9">
      <w:pPr>
        <w:spacing w:line="500" w:lineRule="exact"/>
        <w:ind w:firstLine="560" w:firstLineChars="200"/>
        <w:rPr>
          <w:rFonts w:ascii="Times New Roman" w:eastAsia="仿宋"/>
          <w:sz w:val="28"/>
          <w:szCs w:val="28"/>
        </w:rPr>
      </w:pPr>
      <w:r>
        <w:rPr>
          <w:rFonts w:ascii="Times New Roman" w:eastAsia="仿宋"/>
          <w:sz w:val="28"/>
          <w:szCs w:val="28"/>
        </w:rPr>
        <w:t>本项目危险废物均委托有资质单位处置，各种危险废物若未做好分类收集、有效处理，可能会对大气、土壤和水环境造成二次污染。</w:t>
      </w:r>
    </w:p>
    <w:p w14:paraId="7E31EBBB">
      <w:pPr>
        <w:pStyle w:val="35"/>
        <w:ind w:firstLine="562" w:firstLineChars="200"/>
        <w:rPr>
          <w:rFonts w:eastAsia="仿宋"/>
          <w:b/>
          <w:bCs/>
          <w:kern w:val="44"/>
          <w:sz w:val="28"/>
          <w:szCs w:val="28"/>
        </w:rPr>
      </w:pPr>
      <w:r>
        <w:rPr>
          <w:rFonts w:hint="eastAsia" w:eastAsia="仿宋"/>
          <w:b/>
          <w:bCs/>
          <w:kern w:val="44"/>
          <w:sz w:val="28"/>
          <w:szCs w:val="28"/>
        </w:rPr>
        <w:t>3、危废贮存场所可行性</w:t>
      </w:r>
    </w:p>
    <w:p w14:paraId="2444000F">
      <w:pPr>
        <w:spacing w:line="500" w:lineRule="exact"/>
        <w:ind w:firstLine="560" w:firstLineChars="200"/>
        <w:rPr>
          <w:rFonts w:ascii="Times New Roman" w:eastAsia="仿宋"/>
          <w:sz w:val="28"/>
          <w:szCs w:val="28"/>
        </w:rPr>
      </w:pPr>
      <w:r>
        <w:rPr>
          <w:rFonts w:hint="eastAsia" w:ascii="Times New Roman" w:eastAsia="仿宋"/>
          <w:sz w:val="28"/>
          <w:szCs w:val="28"/>
        </w:rPr>
        <w:t>（1）选址可行性</w:t>
      </w:r>
    </w:p>
    <w:p w14:paraId="1419A45D">
      <w:pPr>
        <w:spacing w:line="500" w:lineRule="exact"/>
        <w:ind w:firstLine="560" w:firstLineChars="200"/>
        <w:rPr>
          <w:rFonts w:ascii="Times New Roman" w:eastAsia="仿宋"/>
          <w:sz w:val="28"/>
          <w:szCs w:val="28"/>
        </w:rPr>
      </w:pPr>
      <w:r>
        <w:rPr>
          <w:rFonts w:hint="eastAsia" w:ascii="Times New Roman" w:eastAsia="仿宋"/>
          <w:sz w:val="28"/>
          <w:szCs w:val="28"/>
        </w:rPr>
        <w:t>本项目危废仓库位于</w:t>
      </w:r>
      <w:r>
        <w:rPr>
          <w:rFonts w:ascii="Times New Roman" w:eastAsia="仿宋"/>
          <w:sz w:val="28"/>
          <w:szCs w:val="28"/>
        </w:rPr>
        <w:t>3</w:t>
      </w:r>
      <w:r>
        <w:rPr>
          <w:rFonts w:hint="eastAsia" w:ascii="Times New Roman" w:eastAsia="仿宋"/>
          <w:sz w:val="28"/>
          <w:szCs w:val="28"/>
        </w:rPr>
        <w:t>号喷涂车间东侧，项目所在地已规划为工业用地，选址满足</w:t>
      </w:r>
      <w:r>
        <w:rPr>
          <w:rFonts w:ascii="Times New Roman" w:eastAsia="仿宋"/>
          <w:sz w:val="28"/>
          <w:szCs w:val="28"/>
        </w:rPr>
        <w:t>生态环境保护法律法规、规划和“三线一单”生态环境分区管控的要求</w:t>
      </w:r>
      <w:r>
        <w:rPr>
          <w:rFonts w:hint="eastAsia" w:ascii="Times New Roman" w:eastAsia="仿宋"/>
          <w:sz w:val="28"/>
          <w:szCs w:val="28"/>
        </w:rPr>
        <w:t>，不涉及永久基本农田及其他需特别保护的区域内，项目所在地不属于易遭受</w:t>
      </w:r>
      <w:r>
        <w:rPr>
          <w:rFonts w:ascii="Times New Roman" w:eastAsia="仿宋"/>
          <w:sz w:val="28"/>
          <w:szCs w:val="28"/>
        </w:rPr>
        <w:t>洪水、滑坡、泥石流、潮汐等严重自然灾害影响的地区</w:t>
      </w:r>
      <w:r>
        <w:rPr>
          <w:rFonts w:hint="eastAsia" w:ascii="Times New Roman" w:eastAsia="仿宋"/>
          <w:sz w:val="28"/>
          <w:szCs w:val="28"/>
        </w:rPr>
        <w:t>；危废仓库选址不在</w:t>
      </w:r>
      <w:r>
        <w:rPr>
          <w:rFonts w:ascii="Times New Roman" w:eastAsia="仿宋"/>
          <w:sz w:val="28"/>
          <w:szCs w:val="28"/>
        </w:rPr>
        <w:t>江河、湖泊、运河、渠道、水库及其最高水位线以下的滩地和岸坡，以及法律法规规定禁止贮存危险废物的其他地点。</w:t>
      </w:r>
    </w:p>
    <w:p w14:paraId="4D039477">
      <w:pPr>
        <w:pStyle w:val="46"/>
        <w:spacing w:line="500" w:lineRule="exact"/>
        <w:ind w:left="0" w:firstLine="560" w:firstLineChars="200"/>
        <w:rPr>
          <w:rFonts w:ascii="Times New Roman" w:eastAsia="仿宋"/>
          <w:sz w:val="28"/>
          <w:szCs w:val="28"/>
        </w:rPr>
      </w:pPr>
      <w:r>
        <w:rPr>
          <w:rFonts w:hint="eastAsia" w:ascii="Times New Roman" w:eastAsia="仿宋"/>
          <w:sz w:val="28"/>
          <w:szCs w:val="28"/>
        </w:rPr>
        <w:t>综上所述，本项目危废仓库选址可行。</w:t>
      </w:r>
    </w:p>
    <w:p w14:paraId="2634EA77">
      <w:pPr>
        <w:pStyle w:val="46"/>
        <w:spacing w:line="500" w:lineRule="exact"/>
        <w:ind w:left="0" w:firstLine="560" w:firstLineChars="200"/>
        <w:rPr>
          <w:rFonts w:ascii="Times New Roman" w:eastAsia="仿宋"/>
          <w:sz w:val="28"/>
          <w:szCs w:val="28"/>
        </w:rPr>
      </w:pPr>
      <w:r>
        <w:rPr>
          <w:rFonts w:hint="eastAsia" w:ascii="Times New Roman" w:eastAsia="仿宋"/>
          <w:sz w:val="28"/>
          <w:szCs w:val="28"/>
        </w:rPr>
        <w:t>（2）贮存面积可行性</w:t>
      </w:r>
    </w:p>
    <w:p w14:paraId="711CDAD7">
      <w:pPr>
        <w:spacing w:line="500" w:lineRule="exact"/>
        <w:ind w:firstLine="560" w:firstLineChars="200"/>
        <w:rPr>
          <w:rFonts w:ascii="Times New Roman" w:eastAsia="仿宋"/>
          <w:sz w:val="28"/>
          <w:szCs w:val="28"/>
        </w:rPr>
      </w:pPr>
      <w:r>
        <w:rPr>
          <w:rFonts w:ascii="Times New Roman" w:eastAsia="仿宋"/>
          <w:sz w:val="28"/>
          <w:szCs w:val="28"/>
        </w:rPr>
        <w:t>本项目共设1个危废仓库，</w:t>
      </w:r>
      <w:r>
        <w:rPr>
          <w:rFonts w:hint="eastAsia" w:ascii="Times New Roman" w:eastAsia="仿宋"/>
          <w:sz w:val="28"/>
          <w:szCs w:val="28"/>
        </w:rPr>
        <w:t>占地面积8</w:t>
      </w:r>
      <w:r>
        <w:rPr>
          <w:rFonts w:ascii="Times New Roman" w:eastAsia="仿宋"/>
          <w:sz w:val="28"/>
          <w:szCs w:val="28"/>
        </w:rPr>
        <w:t>0</w:t>
      </w:r>
      <w:r>
        <w:rPr>
          <w:rFonts w:hint="eastAsia" w:ascii="Times New Roman" w:eastAsia="仿宋"/>
          <w:sz w:val="28"/>
          <w:szCs w:val="28"/>
        </w:rPr>
        <w:t>m</w:t>
      </w:r>
      <w:r>
        <w:rPr>
          <w:rFonts w:ascii="Times New Roman" w:eastAsia="仿宋"/>
          <w:sz w:val="28"/>
          <w:szCs w:val="28"/>
          <w:vertAlign w:val="superscript"/>
        </w:rPr>
        <w:t>2</w:t>
      </w:r>
      <w:r>
        <w:rPr>
          <w:rFonts w:hint="eastAsia" w:ascii="Times New Roman" w:eastAsia="仿宋"/>
          <w:sz w:val="28"/>
          <w:szCs w:val="28"/>
        </w:rPr>
        <w:t>，</w:t>
      </w:r>
      <w:r>
        <w:rPr>
          <w:rFonts w:ascii="Times New Roman" w:eastAsia="仿宋"/>
          <w:sz w:val="28"/>
          <w:szCs w:val="28"/>
        </w:rPr>
        <w:t>考虑分类堆放的危废之间设置间距</w:t>
      </w:r>
      <w:r>
        <w:rPr>
          <w:rFonts w:hint="eastAsia" w:ascii="Times New Roman" w:eastAsia="仿宋"/>
          <w:sz w:val="28"/>
          <w:szCs w:val="28"/>
        </w:rPr>
        <w:t>以及过道面积</w:t>
      </w:r>
      <w:r>
        <w:rPr>
          <w:rFonts w:ascii="Times New Roman" w:eastAsia="仿宋"/>
          <w:sz w:val="28"/>
          <w:szCs w:val="28"/>
        </w:rPr>
        <w:t>，危废储存区有效面积占总面积的</w:t>
      </w:r>
      <w:r>
        <w:rPr>
          <w:rFonts w:hint="eastAsia" w:ascii="Times New Roman" w:eastAsia="仿宋"/>
          <w:sz w:val="28"/>
          <w:szCs w:val="28"/>
        </w:rPr>
        <w:t>80</w:t>
      </w:r>
      <w:r>
        <w:rPr>
          <w:rFonts w:ascii="Times New Roman" w:eastAsia="仿宋"/>
          <w:sz w:val="28"/>
          <w:szCs w:val="28"/>
        </w:rPr>
        <w:t>%</w:t>
      </w:r>
      <w:r>
        <w:rPr>
          <w:rFonts w:hint="eastAsia" w:ascii="Times New Roman" w:eastAsia="仿宋"/>
          <w:sz w:val="28"/>
          <w:szCs w:val="28"/>
        </w:rPr>
        <w:t>。</w:t>
      </w:r>
    </w:p>
    <w:p w14:paraId="3624BEC7">
      <w:pPr>
        <w:pStyle w:val="46"/>
        <w:spacing w:line="500" w:lineRule="exact"/>
        <w:ind w:left="0" w:firstLine="560" w:firstLineChars="200"/>
        <w:rPr>
          <w:rFonts w:ascii="Times New Roman" w:eastAsia="仿宋"/>
          <w:sz w:val="28"/>
          <w:szCs w:val="28"/>
        </w:rPr>
      </w:pPr>
      <w:r>
        <w:rPr>
          <w:rFonts w:ascii="Times New Roman" w:eastAsia="仿宋"/>
          <w:sz w:val="28"/>
          <w:szCs w:val="28"/>
        </w:rPr>
        <w:t>经核算</w:t>
      </w:r>
      <w:r>
        <w:rPr>
          <w:rFonts w:hint="eastAsia" w:ascii="Times New Roman" w:eastAsia="仿宋"/>
          <w:sz w:val="28"/>
          <w:szCs w:val="28"/>
        </w:rPr>
        <w:t>本项目</w:t>
      </w:r>
      <w:r>
        <w:rPr>
          <w:rFonts w:ascii="Times New Roman" w:eastAsia="仿宋"/>
          <w:sz w:val="28"/>
          <w:szCs w:val="28"/>
        </w:rPr>
        <w:t>危废储存区实际危废堆放有效面积</w:t>
      </w:r>
      <w:r>
        <w:rPr>
          <w:rFonts w:hint="eastAsia" w:ascii="Times New Roman" w:eastAsia="仿宋"/>
          <w:sz w:val="28"/>
          <w:szCs w:val="28"/>
        </w:rPr>
        <w:t>共</w:t>
      </w:r>
      <w:r>
        <w:rPr>
          <w:rFonts w:ascii="Times New Roman" w:eastAsia="仿宋"/>
          <w:sz w:val="28"/>
          <w:szCs w:val="28"/>
        </w:rPr>
        <w:t>64m</w:t>
      </w:r>
      <w:r>
        <w:rPr>
          <w:rFonts w:ascii="Times New Roman" w:eastAsia="仿宋"/>
          <w:sz w:val="28"/>
          <w:szCs w:val="28"/>
          <w:vertAlign w:val="superscript"/>
        </w:rPr>
        <w:t>2</w:t>
      </w:r>
      <w:r>
        <w:rPr>
          <w:rFonts w:ascii="Times New Roman" w:eastAsia="仿宋"/>
          <w:sz w:val="28"/>
          <w:szCs w:val="28"/>
        </w:rPr>
        <w:t>，每平方储存危废量约</w:t>
      </w:r>
      <w:r>
        <w:rPr>
          <w:rFonts w:hint="eastAsia" w:ascii="Times New Roman" w:eastAsia="仿宋"/>
          <w:sz w:val="28"/>
          <w:szCs w:val="28"/>
        </w:rPr>
        <w:t>1</w:t>
      </w:r>
      <w:r>
        <w:rPr>
          <w:rFonts w:ascii="Times New Roman" w:eastAsia="仿宋"/>
          <w:sz w:val="28"/>
          <w:szCs w:val="28"/>
        </w:rPr>
        <w:t>t，因此，危废堆场有效面积内一次性可以储存固废约64吨，</w:t>
      </w:r>
      <w:r>
        <w:rPr>
          <w:rFonts w:hint="eastAsia" w:ascii="Times New Roman" w:eastAsia="仿宋"/>
          <w:sz w:val="28"/>
          <w:szCs w:val="28"/>
        </w:rPr>
        <w:t>本项目建成后全厂危险废物产生量约1</w:t>
      </w:r>
      <w:r>
        <w:rPr>
          <w:rFonts w:ascii="Times New Roman" w:eastAsia="仿宋"/>
          <w:sz w:val="28"/>
          <w:szCs w:val="28"/>
        </w:rPr>
        <w:t>1</w:t>
      </w:r>
      <w:r>
        <w:rPr>
          <w:rFonts w:hint="eastAsia" w:ascii="Times New Roman" w:eastAsia="仿宋"/>
          <w:sz w:val="28"/>
          <w:szCs w:val="28"/>
        </w:rPr>
        <w:t>8</w:t>
      </w:r>
      <w:r>
        <w:rPr>
          <w:rFonts w:ascii="Times New Roman" w:eastAsia="仿宋"/>
          <w:sz w:val="28"/>
          <w:szCs w:val="28"/>
        </w:rPr>
        <w:t>.5</w:t>
      </w:r>
      <w:r>
        <w:rPr>
          <w:rFonts w:hint="eastAsia" w:ascii="Times New Roman" w:eastAsia="仿宋"/>
          <w:sz w:val="28"/>
          <w:szCs w:val="28"/>
        </w:rPr>
        <w:t>95t/a，危废最大贮存周期为90天，可以满足企业危废暂存需要。</w:t>
      </w:r>
    </w:p>
    <w:p w14:paraId="4AD3F7B6">
      <w:pPr>
        <w:pStyle w:val="46"/>
        <w:spacing w:line="500" w:lineRule="exact"/>
        <w:ind w:left="0" w:firstLine="560" w:firstLineChars="200"/>
        <w:rPr>
          <w:rFonts w:ascii="Times New Roman" w:eastAsia="仿宋"/>
          <w:sz w:val="28"/>
          <w:szCs w:val="28"/>
        </w:rPr>
      </w:pPr>
      <w:r>
        <w:rPr>
          <w:rFonts w:hint="eastAsia" w:ascii="Times New Roman" w:eastAsia="仿宋"/>
          <w:sz w:val="28"/>
          <w:szCs w:val="28"/>
        </w:rPr>
        <w:t>（2）委托处置可行性</w:t>
      </w:r>
    </w:p>
    <w:p w14:paraId="31E287F7">
      <w:pPr>
        <w:spacing w:line="500" w:lineRule="exact"/>
        <w:ind w:firstLine="621" w:firstLineChars="222"/>
        <w:rPr>
          <w:rFonts w:ascii="Times New Roman" w:eastAsia="仿宋_GB2312"/>
          <w:kern w:val="2"/>
          <w:sz w:val="28"/>
          <w:szCs w:val="28"/>
          <w:lang w:bidi="ar"/>
        </w:rPr>
      </w:pPr>
      <w:r>
        <w:rPr>
          <w:rFonts w:hint="eastAsia" w:ascii="Times New Roman" w:eastAsia="仿宋"/>
          <w:sz w:val="28"/>
          <w:szCs w:val="28"/>
        </w:rPr>
        <w:t>本项目各危废废物类别均在危废处置单位的处置资质范围和处置能力范围内，且均有余量处置，因此，</w:t>
      </w:r>
      <w:r>
        <w:rPr>
          <w:rFonts w:hint="eastAsia" w:ascii="Times New Roman" w:eastAsia="仿宋_GB2312"/>
          <w:kern w:val="2"/>
          <w:sz w:val="28"/>
          <w:szCs w:val="28"/>
          <w:lang w:bidi="ar"/>
        </w:rPr>
        <w:t>本项目各固废均得到相应的合理处理、处置或综合利用，处理、处置或综合利用率</w:t>
      </w:r>
      <w:r>
        <w:rPr>
          <w:rFonts w:ascii="Times New Roman" w:eastAsia="仿宋_GB2312"/>
          <w:kern w:val="2"/>
          <w:sz w:val="28"/>
          <w:szCs w:val="28"/>
          <w:lang w:bidi="ar"/>
        </w:rPr>
        <w:t>100%</w:t>
      </w:r>
      <w:r>
        <w:rPr>
          <w:rFonts w:hint="eastAsia" w:ascii="Times New Roman" w:eastAsia="仿宋_GB2312"/>
          <w:kern w:val="2"/>
          <w:sz w:val="28"/>
          <w:szCs w:val="28"/>
          <w:lang w:bidi="ar"/>
        </w:rPr>
        <w:t>，不直接排向外环境，因此对周围环境无直接影响。</w:t>
      </w:r>
    </w:p>
    <w:p w14:paraId="01713E31">
      <w:pPr>
        <w:pStyle w:val="6"/>
        <w:keepLines w:val="0"/>
        <w:tabs>
          <w:tab w:val="left" w:pos="709"/>
        </w:tabs>
        <w:spacing w:before="0" w:after="120" w:afterLines="50" w:line="500" w:lineRule="exact"/>
        <w:rPr>
          <w:rFonts w:ascii="Times New Roman" w:eastAsia="仿宋"/>
          <w:bCs w:val="0"/>
          <w:sz w:val="28"/>
          <w:szCs w:val="28"/>
        </w:rPr>
      </w:pPr>
      <w:bookmarkStart w:id="363" w:name="_Toc227951088"/>
      <w:bookmarkStart w:id="364" w:name="_Toc238363474"/>
      <w:bookmarkStart w:id="365" w:name="_Toc200707958"/>
      <w:bookmarkStart w:id="366" w:name="_Toc170530427"/>
      <w:bookmarkStart w:id="367" w:name="_Toc236536297"/>
      <w:bookmarkStart w:id="368" w:name="_Toc113442847"/>
      <w:bookmarkStart w:id="369" w:name="_Toc113810216"/>
      <w:bookmarkStart w:id="370" w:name="_Toc240859404"/>
      <w:bookmarkStart w:id="371" w:name="_Hlt115493395"/>
      <w:r>
        <w:rPr>
          <w:rFonts w:hint="eastAsia" w:ascii="Times New Roman" w:eastAsia="仿宋"/>
          <w:bCs w:val="0"/>
          <w:sz w:val="28"/>
          <w:szCs w:val="28"/>
        </w:rPr>
        <w:t>5</w:t>
      </w:r>
      <w:r>
        <w:rPr>
          <w:rFonts w:ascii="Times New Roman" w:eastAsia="仿宋"/>
          <w:bCs w:val="0"/>
          <w:sz w:val="28"/>
          <w:szCs w:val="28"/>
        </w:rPr>
        <w:t>.2.5地下水环境影响分析</w:t>
      </w:r>
      <w:bookmarkEnd w:id="363"/>
      <w:bookmarkEnd w:id="364"/>
      <w:bookmarkEnd w:id="365"/>
      <w:bookmarkEnd w:id="366"/>
      <w:bookmarkEnd w:id="367"/>
      <w:bookmarkEnd w:id="368"/>
      <w:bookmarkEnd w:id="369"/>
      <w:bookmarkEnd w:id="370"/>
    </w:p>
    <w:bookmarkEnd w:id="371"/>
    <w:p w14:paraId="3D1EF215">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.2.5.1区域水文地质条件</w:t>
      </w:r>
    </w:p>
    <w:p w14:paraId="76FE32ED">
      <w:pPr>
        <w:spacing w:line="500" w:lineRule="exact"/>
        <w:ind w:firstLine="560" w:firstLineChars="200"/>
        <w:rPr>
          <w:rFonts w:ascii="Times New Roman" w:eastAsia="仿宋"/>
          <w:sz w:val="28"/>
          <w:szCs w:val="28"/>
        </w:rPr>
      </w:pPr>
      <w:r>
        <w:rPr>
          <w:rFonts w:hint="eastAsia" w:ascii="Times New Roman" w:eastAsia="仿宋"/>
          <w:sz w:val="28"/>
          <w:szCs w:val="28"/>
        </w:rPr>
        <w:t>常州市位于扬子准地台下扬子台褶带东端。印支运动</w:t>
      </w:r>
      <w:r>
        <w:rPr>
          <w:rFonts w:ascii="Times New Roman" w:eastAsia="仿宋"/>
          <w:sz w:val="28"/>
          <w:szCs w:val="28"/>
        </w:rPr>
        <w:t>(</w:t>
      </w:r>
      <w:r>
        <w:rPr>
          <w:rFonts w:hint="eastAsia" w:ascii="Times New Roman" w:eastAsia="仿宋"/>
          <w:sz w:val="28"/>
          <w:szCs w:val="28"/>
        </w:rPr>
        <w:t>距今约</w:t>
      </w:r>
      <w:r>
        <w:rPr>
          <w:rFonts w:ascii="Times New Roman" w:eastAsia="仿宋"/>
          <w:sz w:val="28"/>
          <w:szCs w:val="28"/>
        </w:rPr>
        <w:t>2.3</w:t>
      </w:r>
      <w:r>
        <w:rPr>
          <w:rFonts w:hint="eastAsia" w:ascii="Times New Roman" w:eastAsia="仿宋"/>
          <w:sz w:val="28"/>
          <w:szCs w:val="28"/>
        </w:rPr>
        <w:t>亿年</w:t>
      </w:r>
      <w:r>
        <w:rPr>
          <w:rFonts w:ascii="Times New Roman" w:eastAsia="仿宋"/>
          <w:sz w:val="28"/>
          <w:szCs w:val="28"/>
        </w:rPr>
        <w:t>)</w:t>
      </w:r>
      <w:r>
        <w:rPr>
          <w:rFonts w:hint="eastAsia" w:ascii="Times New Roman" w:eastAsia="仿宋"/>
          <w:sz w:val="28"/>
          <w:szCs w:val="28"/>
        </w:rPr>
        <w:t>使该地区褶皱上升成陆。燕山运动发生，使地壳进一步褶皱断裂，并伴之强烈的岩浆侵入和火山喷发。白垩纪晚世，渐趋宁静，该地区构造架基本定型。进入新生代，平原区缓慢升降，并时有短暂海侵。</w:t>
      </w:r>
    </w:p>
    <w:p w14:paraId="6B778349">
      <w:pPr>
        <w:spacing w:line="500" w:lineRule="exact"/>
        <w:ind w:firstLine="560" w:firstLineChars="200"/>
        <w:rPr>
          <w:rFonts w:ascii="Times New Roman" w:eastAsia="仿宋"/>
          <w:sz w:val="28"/>
          <w:szCs w:val="28"/>
        </w:rPr>
      </w:pPr>
      <w:r>
        <w:rPr>
          <w:rFonts w:hint="eastAsia" w:ascii="Times New Roman" w:eastAsia="仿宋"/>
          <w:sz w:val="28"/>
          <w:szCs w:val="28"/>
        </w:rPr>
        <w:t>常州市地层隶属江南地层区。第四系厚度一般超过</w:t>
      </w:r>
      <w:r>
        <w:rPr>
          <w:rFonts w:ascii="Times New Roman" w:eastAsia="仿宋"/>
          <w:sz w:val="28"/>
          <w:szCs w:val="28"/>
        </w:rPr>
        <w:t>100</w:t>
      </w:r>
      <w:r>
        <w:rPr>
          <w:rFonts w:hint="eastAsia" w:ascii="Times New Roman" w:eastAsia="仿宋"/>
          <w:sz w:val="28"/>
          <w:szCs w:val="28"/>
        </w:rPr>
        <w:t>米。</w:t>
      </w:r>
    </w:p>
    <w:p w14:paraId="12A6EC4D">
      <w:pPr>
        <w:spacing w:line="500" w:lineRule="exact"/>
        <w:ind w:firstLine="560" w:firstLineChars="200"/>
        <w:rPr>
          <w:rFonts w:ascii="Times New Roman" w:eastAsia="仿宋"/>
          <w:sz w:val="28"/>
          <w:szCs w:val="28"/>
        </w:rPr>
      </w:pPr>
      <w:r>
        <w:rPr>
          <w:rFonts w:hint="eastAsia" w:ascii="Times New Roman" w:eastAsia="仿宋"/>
          <w:sz w:val="28"/>
          <w:szCs w:val="28"/>
        </w:rPr>
        <w:t>根据《建筑抗震设计规范》</w:t>
      </w:r>
      <w:r>
        <w:rPr>
          <w:rFonts w:ascii="Times New Roman" w:eastAsia="仿宋"/>
          <w:sz w:val="28"/>
          <w:szCs w:val="28"/>
        </w:rPr>
        <w:t>(GB50011-2010)</w:t>
      </w:r>
      <w:r>
        <w:rPr>
          <w:rFonts w:hint="eastAsia" w:ascii="Times New Roman" w:eastAsia="仿宋"/>
          <w:sz w:val="28"/>
          <w:szCs w:val="28"/>
        </w:rPr>
        <w:t>附录</w:t>
      </w:r>
      <w:r>
        <w:rPr>
          <w:rFonts w:ascii="Times New Roman" w:eastAsia="仿宋"/>
          <w:sz w:val="28"/>
          <w:szCs w:val="28"/>
        </w:rPr>
        <w:t>A</w:t>
      </w:r>
      <w:r>
        <w:rPr>
          <w:rFonts w:hint="eastAsia" w:ascii="Times New Roman" w:eastAsia="仿宋"/>
          <w:sz w:val="28"/>
          <w:szCs w:val="28"/>
        </w:rPr>
        <w:t>，常州市抗震设防烈度为</w:t>
      </w:r>
      <w:r>
        <w:rPr>
          <w:rFonts w:ascii="Times New Roman" w:eastAsia="仿宋"/>
          <w:sz w:val="28"/>
          <w:szCs w:val="28"/>
        </w:rPr>
        <w:t>7</w:t>
      </w:r>
      <w:r>
        <w:rPr>
          <w:rFonts w:hint="eastAsia" w:ascii="Times New Roman" w:eastAsia="仿宋"/>
          <w:sz w:val="28"/>
          <w:szCs w:val="28"/>
        </w:rPr>
        <w:t>度，设计基本地震加速度为</w:t>
      </w:r>
      <w:r>
        <w:rPr>
          <w:rFonts w:ascii="Times New Roman" w:eastAsia="仿宋"/>
          <w:sz w:val="28"/>
          <w:szCs w:val="28"/>
        </w:rPr>
        <w:t>0.10g</w:t>
      </w:r>
      <w:r>
        <w:rPr>
          <w:rFonts w:hint="eastAsia" w:ascii="Times New Roman" w:eastAsia="仿宋"/>
          <w:sz w:val="28"/>
          <w:szCs w:val="28"/>
        </w:rPr>
        <w:t>，设计地震分组为第一组。</w:t>
      </w:r>
    </w:p>
    <w:p w14:paraId="69DD1C92">
      <w:pPr>
        <w:spacing w:line="500" w:lineRule="exact"/>
        <w:ind w:firstLine="560" w:firstLineChars="200"/>
        <w:rPr>
          <w:rFonts w:ascii="Times New Roman" w:eastAsia="仿宋"/>
          <w:sz w:val="28"/>
          <w:szCs w:val="28"/>
        </w:rPr>
      </w:pPr>
      <w:r>
        <w:rPr>
          <w:rFonts w:hint="eastAsia" w:ascii="Times New Roman" w:eastAsia="仿宋"/>
          <w:sz w:val="28"/>
          <w:szCs w:val="28"/>
        </w:rPr>
        <w:t>据区域地质资料，本区所处大地构造位置位于扬子板块下扬子印支期前陆褶皱冲断带。区域地层属于下扬子地区江南地层小区，基岩上覆盖着</w:t>
      </w:r>
      <w:r>
        <w:rPr>
          <w:rFonts w:ascii="Times New Roman" w:eastAsia="仿宋"/>
          <w:sz w:val="28"/>
          <w:szCs w:val="28"/>
        </w:rPr>
        <w:t>160~220</w:t>
      </w:r>
      <w:r>
        <w:rPr>
          <w:rFonts w:hint="eastAsia" w:ascii="Times New Roman" w:eastAsia="仿宋"/>
          <w:sz w:val="28"/>
          <w:szCs w:val="28"/>
        </w:rPr>
        <w:t>米厚的第四系冲积层。</w:t>
      </w:r>
    </w:p>
    <w:p w14:paraId="0757C2B2">
      <w:pPr>
        <w:spacing w:line="500" w:lineRule="exact"/>
        <w:ind w:firstLine="560" w:firstLineChars="200"/>
        <w:rPr>
          <w:rFonts w:ascii="Times New Roman" w:eastAsia="仿宋"/>
          <w:sz w:val="28"/>
          <w:szCs w:val="28"/>
        </w:rPr>
      </w:pPr>
      <w:r>
        <w:rPr>
          <w:rFonts w:hint="eastAsia" w:ascii="Times New Roman" w:eastAsia="仿宋"/>
          <w:sz w:val="28"/>
          <w:szCs w:val="28"/>
        </w:rPr>
        <w:t>影响本区的断裂构造主要有距常州市区</w:t>
      </w:r>
      <w:r>
        <w:rPr>
          <w:rFonts w:ascii="Times New Roman" w:eastAsia="仿宋"/>
          <w:sz w:val="28"/>
          <w:szCs w:val="28"/>
        </w:rPr>
        <w:t>70km</w:t>
      </w:r>
      <w:r>
        <w:rPr>
          <w:rFonts w:hint="eastAsia" w:ascii="Times New Roman" w:eastAsia="仿宋"/>
          <w:sz w:val="28"/>
          <w:szCs w:val="28"/>
        </w:rPr>
        <w:t>的茅东断裂，该断裂位于茅山东侧，向西南延伸至安徽省宣城敬亭山东麓，向北延伸过镇江市东侧，断续北延，长度大于</w:t>
      </w:r>
      <w:r>
        <w:rPr>
          <w:rFonts w:ascii="Times New Roman" w:eastAsia="仿宋"/>
          <w:sz w:val="28"/>
          <w:szCs w:val="28"/>
        </w:rPr>
        <w:t>134km</w:t>
      </w:r>
      <w:r>
        <w:rPr>
          <w:rFonts w:hint="eastAsia" w:ascii="Times New Roman" w:eastAsia="仿宋"/>
          <w:sz w:val="28"/>
          <w:szCs w:val="28"/>
        </w:rPr>
        <w:t>，总体走向</w:t>
      </w:r>
      <w:r>
        <w:rPr>
          <w:rFonts w:ascii="Times New Roman" w:eastAsia="仿宋"/>
          <w:sz w:val="28"/>
          <w:szCs w:val="28"/>
        </w:rPr>
        <w:t>NNE</w:t>
      </w:r>
      <w:r>
        <w:rPr>
          <w:rFonts w:hint="eastAsia" w:ascii="Times New Roman" w:eastAsia="仿宋"/>
          <w:sz w:val="28"/>
          <w:szCs w:val="28"/>
        </w:rPr>
        <w:t>，倾向</w:t>
      </w:r>
      <w:r>
        <w:rPr>
          <w:rFonts w:ascii="Times New Roman" w:eastAsia="仿宋"/>
          <w:sz w:val="28"/>
          <w:szCs w:val="28"/>
        </w:rPr>
        <w:t>SE</w:t>
      </w:r>
      <w:r>
        <w:rPr>
          <w:rFonts w:hint="eastAsia" w:ascii="Times New Roman" w:eastAsia="仿宋"/>
          <w:sz w:val="28"/>
          <w:szCs w:val="28"/>
        </w:rPr>
        <w:t>，平面呈</w:t>
      </w:r>
      <w:r>
        <w:rPr>
          <w:rFonts w:ascii="Times New Roman" w:eastAsia="仿宋"/>
          <w:sz w:val="28"/>
          <w:szCs w:val="28"/>
        </w:rPr>
        <w:t>“S”</w:t>
      </w:r>
      <w:r>
        <w:rPr>
          <w:rFonts w:hint="eastAsia" w:ascii="Times New Roman" w:eastAsia="仿宋"/>
          <w:sz w:val="28"/>
          <w:szCs w:val="28"/>
        </w:rPr>
        <w:t>形展布，断裂具张开性特征，深达上地幔，为岩石圈断裂。该断裂在第四纪晚期有明显活动，上世纪七十年代溧阳上沛地区相继发生</w:t>
      </w:r>
      <w:r>
        <w:rPr>
          <w:rFonts w:ascii="Times New Roman" w:eastAsia="仿宋"/>
          <w:sz w:val="28"/>
          <w:szCs w:val="28"/>
        </w:rPr>
        <w:t>5.5</w:t>
      </w:r>
      <w:r>
        <w:rPr>
          <w:rFonts w:hint="eastAsia" w:ascii="Times New Roman" w:eastAsia="仿宋"/>
          <w:sz w:val="28"/>
          <w:szCs w:val="28"/>
        </w:rPr>
        <w:t>级和</w:t>
      </w:r>
      <w:r>
        <w:rPr>
          <w:rFonts w:ascii="Times New Roman" w:eastAsia="仿宋"/>
          <w:sz w:val="28"/>
          <w:szCs w:val="28"/>
        </w:rPr>
        <w:t>6.0</w:t>
      </w:r>
      <w:r>
        <w:rPr>
          <w:rFonts w:hint="eastAsia" w:ascii="Times New Roman" w:eastAsia="仿宋"/>
          <w:sz w:val="28"/>
          <w:szCs w:val="28"/>
        </w:rPr>
        <w:t>级地震，皆由该断裂活动引发，是我省近期破坏力最大的地震。</w:t>
      </w:r>
    </w:p>
    <w:p w14:paraId="1A0D174B">
      <w:pPr>
        <w:spacing w:line="500" w:lineRule="exact"/>
        <w:ind w:firstLine="560" w:firstLineChars="200"/>
        <w:rPr>
          <w:rFonts w:ascii="Times New Roman" w:eastAsia="仿宋"/>
          <w:sz w:val="28"/>
          <w:szCs w:val="28"/>
        </w:rPr>
      </w:pPr>
      <w:r>
        <w:rPr>
          <w:rFonts w:hint="eastAsia" w:ascii="Times New Roman" w:eastAsia="仿宋"/>
          <w:sz w:val="28"/>
          <w:szCs w:val="28"/>
        </w:rPr>
        <w:t>拟建场地位于常州市金坛区朱林镇内，本场地环境良好，交通便利，场地为山地丘陵。</w:t>
      </w:r>
    </w:p>
    <w:p w14:paraId="164A7FCA">
      <w:pPr>
        <w:spacing w:line="500" w:lineRule="exact"/>
        <w:ind w:firstLine="560" w:firstLineChars="200"/>
        <w:rPr>
          <w:rFonts w:ascii="Times New Roman" w:eastAsia="仿宋"/>
          <w:sz w:val="28"/>
          <w:szCs w:val="28"/>
        </w:rPr>
      </w:pPr>
      <w:r>
        <w:rPr>
          <w:rFonts w:hint="eastAsia" w:ascii="Times New Roman" w:eastAsia="仿宋"/>
          <w:sz w:val="28"/>
          <w:szCs w:val="28"/>
        </w:rPr>
        <w:t>地下水补给、径流与排泄</w:t>
      </w:r>
    </w:p>
    <w:p w14:paraId="43CEF8C6">
      <w:pPr>
        <w:spacing w:line="500" w:lineRule="exact"/>
        <w:ind w:firstLine="560" w:firstLineChars="200"/>
        <w:rPr>
          <w:rFonts w:ascii="Times New Roman" w:eastAsia="仿宋"/>
          <w:sz w:val="28"/>
          <w:szCs w:val="28"/>
        </w:rPr>
      </w:pPr>
      <w:r>
        <w:rPr>
          <w:rFonts w:hint="eastAsia" w:ascii="Times New Roman" w:eastAsia="仿宋"/>
          <w:sz w:val="28"/>
          <w:szCs w:val="28"/>
        </w:rPr>
        <w:t>⑴松散岩类孔隙水</w:t>
      </w:r>
    </w:p>
    <w:p w14:paraId="2ECB18EB">
      <w:pPr>
        <w:spacing w:line="500" w:lineRule="exact"/>
        <w:ind w:firstLine="560" w:firstLineChars="200"/>
        <w:rPr>
          <w:rFonts w:ascii="Times New Roman" w:eastAsia="仿宋"/>
          <w:sz w:val="28"/>
          <w:szCs w:val="28"/>
        </w:rPr>
      </w:pPr>
      <w:r>
        <w:rPr>
          <w:rFonts w:hint="eastAsia" w:ascii="Times New Roman" w:eastAsia="仿宋"/>
          <w:sz w:val="28"/>
          <w:szCs w:val="28"/>
        </w:rPr>
        <w:t>常州市属于北亚热带湿润气候区，雨量充沛，地形平坦，有利于大气降水入渗补给。此外，地面河网密布，地表水与地下水关系密切，两者呈互补关系。</w:t>
      </w:r>
    </w:p>
    <w:p w14:paraId="2DD85989">
      <w:pPr>
        <w:spacing w:line="500" w:lineRule="exact"/>
        <w:ind w:firstLine="560" w:firstLineChars="200"/>
        <w:rPr>
          <w:rFonts w:ascii="Times New Roman" w:eastAsia="仿宋"/>
          <w:sz w:val="28"/>
          <w:szCs w:val="28"/>
        </w:rPr>
      </w:pPr>
      <w:r>
        <w:rPr>
          <w:rFonts w:hint="eastAsia" w:ascii="Times New Roman" w:eastAsia="仿宋"/>
          <w:sz w:val="28"/>
          <w:szCs w:val="28"/>
        </w:rPr>
        <w:t>潜水主要接受大气降水和灌溉水的入渗补给。在天然状态下与地表水体之间存在互补关系。即枯水期浅层地下水补给地表水，而丰水期则是地表水补给浅层地下水。其迳流主要受地形地貌条件控制，总体而言水平迳流缓慢，主要通过蒸发和蒸腾、排向地表水体、民井开采、越流补给深层水等几种方式排泄。</w:t>
      </w:r>
    </w:p>
    <w:p w14:paraId="03C36981">
      <w:pPr>
        <w:spacing w:line="500" w:lineRule="exact"/>
        <w:ind w:firstLine="560" w:firstLineChars="200"/>
        <w:rPr>
          <w:rFonts w:ascii="Times New Roman" w:eastAsia="仿宋"/>
          <w:sz w:val="28"/>
          <w:szCs w:val="28"/>
        </w:rPr>
      </w:pPr>
      <w:r>
        <w:rPr>
          <w:rFonts w:hint="eastAsia" w:ascii="Times New Roman" w:eastAsia="仿宋"/>
          <w:sz w:val="28"/>
          <w:szCs w:val="28"/>
        </w:rPr>
        <w:t>孔隙承压水的补给来源主要有上部含水层的越流补给、长江水侧向补给以及含水层顶板粘性土的压密释水，在天然状态下，水力坡度小，该层地下水的迳流运动比较缓慢。在开采条件下，主要表现为由周边向水位降落漏斗中心迳流，人工开采是深层孔隙承压水的主要排泄途径，其次是区域水位落差造成压力水头差，以越流的方式补给相邻的含水层。</w:t>
      </w:r>
    </w:p>
    <w:p w14:paraId="5C6B83CA">
      <w:pPr>
        <w:spacing w:line="500" w:lineRule="exact"/>
        <w:ind w:firstLine="560" w:firstLineChars="200"/>
        <w:rPr>
          <w:rFonts w:ascii="Times New Roman" w:eastAsia="仿宋"/>
          <w:sz w:val="28"/>
          <w:szCs w:val="28"/>
        </w:rPr>
      </w:pPr>
      <w:r>
        <w:rPr>
          <w:rFonts w:hint="eastAsia" w:ascii="Times New Roman" w:eastAsia="仿宋"/>
          <w:sz w:val="28"/>
          <w:szCs w:val="28"/>
        </w:rPr>
        <w:t>⑵基岩裂隙水</w:t>
      </w:r>
    </w:p>
    <w:p w14:paraId="28FE482F">
      <w:pPr>
        <w:spacing w:line="500" w:lineRule="exact"/>
        <w:ind w:firstLine="560" w:firstLineChars="200"/>
        <w:rPr>
          <w:rFonts w:ascii="Times New Roman" w:eastAsia="仿宋"/>
          <w:sz w:val="28"/>
          <w:szCs w:val="28"/>
        </w:rPr>
      </w:pPr>
      <w:r>
        <w:rPr>
          <w:rFonts w:hint="eastAsia" w:ascii="Times New Roman" w:eastAsia="仿宋"/>
          <w:sz w:val="28"/>
          <w:szCs w:val="28"/>
        </w:rPr>
        <w:t>基岩的埋藏条件不同，其补迳排条件也不相同。裸露区基岩主要接受大气降水补给，以人工开采或泉的形式排泄。在横林隐伏型灰岩溶洞裂隙水区，除侧向迳流补给外，还接受第Ⅱ孔隙承压水的补给。</w:t>
      </w:r>
    </w:p>
    <w:p w14:paraId="7C087C44">
      <w:pPr>
        <w:pStyle w:val="7"/>
        <w:keepLines w:val="0"/>
        <w:widowControl/>
        <w:tabs>
          <w:tab w:val="left" w:pos="0"/>
        </w:tabs>
        <w:adjustRightInd w:val="0"/>
        <w:snapToGrid w:val="0"/>
        <w:spacing w:after="120" w:afterLines="50"/>
        <w:jc w:val="left"/>
        <w:rPr>
          <w:rFonts w:ascii="Times New Roman" w:hAnsi="Times New Roman" w:eastAsia="仿宋"/>
          <w:b/>
        </w:rPr>
      </w:pPr>
      <w:r>
        <w:rPr>
          <w:rFonts w:ascii="Times New Roman" w:hAnsi="Times New Roman" w:eastAsia="仿宋"/>
          <w:b/>
        </w:rPr>
        <w:t>5.2.5.2项目所在地水文地质条件</w:t>
      </w:r>
    </w:p>
    <w:p w14:paraId="748D0C43">
      <w:pPr>
        <w:adjustRightInd w:val="0"/>
        <w:snapToGrid w:val="0"/>
        <w:spacing w:line="500" w:lineRule="exact"/>
        <w:ind w:firstLine="561"/>
        <w:rPr>
          <w:rFonts w:ascii="Times New Roman" w:eastAsia="仿宋"/>
          <w:sz w:val="28"/>
          <w:szCs w:val="28"/>
        </w:rPr>
      </w:pPr>
      <w:r>
        <w:rPr>
          <w:rFonts w:ascii="Times New Roman" w:eastAsia="仿宋"/>
          <w:sz w:val="28"/>
          <w:szCs w:val="28"/>
        </w:rPr>
        <w:t>一、地层的展布规律及其特性</w:t>
      </w:r>
    </w:p>
    <w:p w14:paraId="688F84E9">
      <w:pPr>
        <w:spacing w:line="500" w:lineRule="exact"/>
        <w:ind w:firstLine="560"/>
        <w:rPr>
          <w:rFonts w:ascii="Times New Roman" w:eastAsia="仿宋_GB2312"/>
          <w:sz w:val="28"/>
          <w:szCs w:val="28"/>
        </w:rPr>
      </w:pPr>
      <w:r>
        <w:rPr>
          <w:rFonts w:hint="eastAsia" w:ascii="Times New Roman" w:eastAsia="仿宋_GB2312"/>
          <w:kern w:val="44"/>
          <w:sz w:val="28"/>
          <w:szCs w:val="28"/>
          <w:lang w:bidi="ar"/>
        </w:rPr>
        <w:t>项目所在地地层属第四系全新统</w:t>
      </w:r>
      <w:r>
        <w:rPr>
          <w:rFonts w:ascii="Times New Roman" w:eastAsia="仿宋_GB2312"/>
          <w:kern w:val="44"/>
          <w:sz w:val="28"/>
          <w:szCs w:val="28"/>
          <w:lang w:bidi="ar"/>
        </w:rPr>
        <w:t>(Q4)</w:t>
      </w:r>
      <w:r>
        <w:rPr>
          <w:rFonts w:hint="eastAsia" w:ascii="Times New Roman" w:eastAsia="仿宋_GB2312"/>
          <w:kern w:val="44"/>
          <w:sz w:val="28"/>
          <w:szCs w:val="28"/>
          <w:lang w:bidi="ar"/>
        </w:rPr>
        <w:t>及上更新统</w:t>
      </w:r>
      <w:r>
        <w:rPr>
          <w:rFonts w:ascii="Times New Roman" w:eastAsia="仿宋_GB2312"/>
          <w:kern w:val="44"/>
          <w:sz w:val="28"/>
          <w:szCs w:val="28"/>
          <w:lang w:bidi="ar"/>
        </w:rPr>
        <w:t>(Q3)</w:t>
      </w:r>
      <w:r>
        <w:rPr>
          <w:rFonts w:hint="eastAsia" w:ascii="Times New Roman" w:eastAsia="仿宋_GB2312"/>
          <w:kern w:val="44"/>
          <w:sz w:val="28"/>
          <w:szCs w:val="28"/>
          <w:lang w:bidi="ar"/>
        </w:rPr>
        <w:t>长江下游三角洲冲积层，自上而下可分为</w:t>
      </w:r>
      <w:r>
        <w:rPr>
          <w:rFonts w:ascii="Times New Roman" w:eastAsia="仿宋_GB2312"/>
          <w:kern w:val="44"/>
          <w:sz w:val="28"/>
          <w:szCs w:val="28"/>
          <w:lang w:bidi="ar"/>
        </w:rPr>
        <w:t>8</w:t>
      </w:r>
      <w:r>
        <w:rPr>
          <w:rFonts w:hint="eastAsia" w:ascii="Times New Roman" w:eastAsia="仿宋_GB2312"/>
          <w:kern w:val="44"/>
          <w:sz w:val="28"/>
          <w:szCs w:val="28"/>
          <w:lang w:bidi="ar"/>
        </w:rPr>
        <w:t>个工程地质单元层，</w:t>
      </w:r>
      <w:r>
        <w:rPr>
          <w:rFonts w:ascii="Times New Roman" w:eastAsia="仿宋_GB2312"/>
          <w:kern w:val="44"/>
          <w:sz w:val="28"/>
          <w:szCs w:val="28"/>
          <w:lang w:bidi="ar"/>
        </w:rPr>
        <w:t>15</w:t>
      </w:r>
      <w:r>
        <w:rPr>
          <w:rFonts w:hint="eastAsia" w:ascii="Times New Roman" w:eastAsia="仿宋_GB2312"/>
          <w:kern w:val="44"/>
          <w:sz w:val="28"/>
          <w:szCs w:val="28"/>
          <w:lang w:bidi="ar"/>
        </w:rPr>
        <w:t>个亚层，具体见表</w:t>
      </w:r>
      <w:r>
        <w:rPr>
          <w:rFonts w:ascii="Times New Roman" w:eastAsia="仿宋_GB2312"/>
          <w:kern w:val="44"/>
          <w:sz w:val="28"/>
          <w:szCs w:val="28"/>
          <w:lang w:bidi="ar"/>
        </w:rPr>
        <w:t>5.2-35</w:t>
      </w:r>
      <w:r>
        <w:rPr>
          <w:rFonts w:hint="eastAsia" w:ascii="Times New Roman" w:eastAsia="仿宋_GB2312"/>
          <w:kern w:val="44"/>
          <w:sz w:val="28"/>
          <w:szCs w:val="28"/>
          <w:lang w:bidi="ar"/>
        </w:rPr>
        <w:t>。</w:t>
      </w:r>
    </w:p>
    <w:p w14:paraId="7A6BAED8">
      <w:pPr>
        <w:adjustRightInd w:val="0"/>
        <w:snapToGrid w:val="0"/>
        <w:spacing w:line="500" w:lineRule="exact"/>
        <w:ind w:firstLine="561"/>
        <w:rPr>
          <w:rFonts w:ascii="Times New Roman" w:eastAsia="仿宋"/>
          <w:sz w:val="28"/>
          <w:szCs w:val="28"/>
        </w:rPr>
      </w:pPr>
    </w:p>
    <w:p w14:paraId="09C9BB24">
      <w:pPr>
        <w:widowControl/>
        <w:rPr>
          <w:rFonts w:ascii="Times New Roman" w:eastAsia="仿宋"/>
          <w:b/>
          <w:highlight w:val="green"/>
        </w:rPr>
        <w:sectPr>
          <w:footerReference r:id="rId25" w:type="default"/>
          <w:pgSz w:w="11906" w:h="16838"/>
          <w:pgMar w:top="1440" w:right="1797" w:bottom="1440" w:left="1797" w:header="539" w:footer="992" w:gutter="0"/>
          <w:cols w:space="720" w:num="1"/>
        </w:sectPr>
      </w:pPr>
    </w:p>
    <w:p w14:paraId="3F5D1CD1">
      <w:pPr>
        <w:pStyle w:val="23"/>
        <w:spacing w:before="0" w:after="0" w:afterLines="0"/>
        <w:jc w:val="center"/>
        <w:rPr>
          <w:rFonts w:ascii="Times New Roman" w:hAnsi="Times New Roman" w:eastAsia="仿宋" w:cs="Times New Roman"/>
          <w:b/>
          <w:sz w:val="24"/>
          <w:szCs w:val="24"/>
        </w:rPr>
      </w:pPr>
      <w:r>
        <w:rPr>
          <w:rFonts w:ascii="Times New Roman" w:hAnsi="Times New Roman" w:eastAsia="仿宋" w:cs="Times New Roman"/>
          <w:b/>
          <w:sz w:val="24"/>
          <w:szCs w:val="24"/>
        </w:rPr>
        <w:t>表5.2-35   土层特性简表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003"/>
        <w:gridCol w:w="926"/>
        <w:gridCol w:w="1702"/>
        <w:gridCol w:w="1696"/>
        <w:gridCol w:w="952"/>
        <w:gridCol w:w="909"/>
        <w:gridCol w:w="3749"/>
        <w:gridCol w:w="1071"/>
        <w:gridCol w:w="1233"/>
      </w:tblGrid>
      <w:tr w14:paraId="41C1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restart"/>
            <w:tcBorders>
              <w:top w:val="single" w:color="auto" w:sz="4" w:space="0"/>
              <w:left w:val="single" w:color="auto" w:sz="4" w:space="0"/>
              <w:bottom w:val="single" w:color="auto" w:sz="4" w:space="0"/>
              <w:right w:val="single" w:color="auto" w:sz="4" w:space="0"/>
            </w:tcBorders>
            <w:vAlign w:val="center"/>
          </w:tcPr>
          <w:p w14:paraId="6B626F89">
            <w:pPr>
              <w:topLinePunct/>
              <w:adjustRightInd w:val="0"/>
              <w:snapToGrid w:val="0"/>
              <w:jc w:val="center"/>
              <w:rPr>
                <w:rFonts w:ascii="Times New Roman" w:eastAsia="仿宋"/>
                <w:szCs w:val="21"/>
              </w:rPr>
            </w:pPr>
            <w:r>
              <w:rPr>
                <w:rFonts w:hint="eastAsia" w:ascii="Times New Roman" w:eastAsia="仿宋"/>
                <w:szCs w:val="21"/>
              </w:rPr>
              <w:t>时代</w:t>
            </w:r>
          </w:p>
          <w:p w14:paraId="51C06017">
            <w:pPr>
              <w:topLinePunct/>
              <w:adjustRightInd w:val="0"/>
              <w:snapToGrid w:val="0"/>
              <w:jc w:val="center"/>
              <w:rPr>
                <w:rFonts w:ascii="Times New Roman" w:eastAsia="仿宋"/>
                <w:szCs w:val="21"/>
              </w:rPr>
            </w:pPr>
            <w:r>
              <w:rPr>
                <w:rFonts w:hint="eastAsia" w:ascii="Times New Roman" w:eastAsia="仿宋"/>
                <w:szCs w:val="21"/>
              </w:rPr>
              <w:t>成因</w:t>
            </w:r>
          </w:p>
        </w:tc>
        <w:tc>
          <w:tcPr>
            <w:tcW w:w="1003" w:type="dxa"/>
            <w:vMerge w:val="restart"/>
            <w:tcBorders>
              <w:top w:val="single" w:color="auto" w:sz="4" w:space="0"/>
              <w:left w:val="single" w:color="auto" w:sz="4" w:space="0"/>
              <w:bottom w:val="single" w:color="auto" w:sz="4" w:space="0"/>
              <w:right w:val="single" w:color="auto" w:sz="4" w:space="0"/>
            </w:tcBorders>
            <w:vAlign w:val="center"/>
          </w:tcPr>
          <w:p w14:paraId="00AEAB12">
            <w:pPr>
              <w:topLinePunct/>
              <w:adjustRightInd w:val="0"/>
              <w:snapToGrid w:val="0"/>
              <w:jc w:val="center"/>
              <w:rPr>
                <w:rFonts w:ascii="Times New Roman" w:eastAsia="仿宋"/>
                <w:szCs w:val="21"/>
              </w:rPr>
            </w:pPr>
            <w:r>
              <w:rPr>
                <w:rFonts w:hint="eastAsia" w:ascii="Times New Roman" w:eastAsia="仿宋"/>
                <w:szCs w:val="21"/>
              </w:rPr>
              <w:t>土层</w:t>
            </w:r>
          </w:p>
          <w:p w14:paraId="4045F640">
            <w:pPr>
              <w:topLinePunct/>
              <w:adjustRightInd w:val="0"/>
              <w:snapToGrid w:val="0"/>
              <w:jc w:val="center"/>
              <w:rPr>
                <w:rFonts w:ascii="Times New Roman" w:eastAsia="仿宋"/>
                <w:szCs w:val="21"/>
              </w:rPr>
            </w:pPr>
            <w:r>
              <w:rPr>
                <w:rFonts w:hint="eastAsia" w:ascii="Times New Roman" w:eastAsia="仿宋"/>
                <w:szCs w:val="21"/>
              </w:rPr>
              <w:t>编号</w:t>
            </w:r>
          </w:p>
        </w:tc>
        <w:tc>
          <w:tcPr>
            <w:tcW w:w="926" w:type="dxa"/>
            <w:vMerge w:val="restart"/>
            <w:tcBorders>
              <w:top w:val="single" w:color="auto" w:sz="4" w:space="0"/>
              <w:left w:val="single" w:color="auto" w:sz="4" w:space="0"/>
              <w:bottom w:val="single" w:color="auto" w:sz="4" w:space="0"/>
              <w:right w:val="single" w:color="auto" w:sz="4" w:space="0"/>
            </w:tcBorders>
            <w:vAlign w:val="center"/>
          </w:tcPr>
          <w:p w14:paraId="0FEE8A95">
            <w:pPr>
              <w:topLinePunct/>
              <w:adjustRightInd w:val="0"/>
              <w:snapToGrid w:val="0"/>
              <w:jc w:val="center"/>
              <w:rPr>
                <w:rFonts w:ascii="Times New Roman" w:eastAsia="仿宋"/>
                <w:szCs w:val="21"/>
              </w:rPr>
            </w:pPr>
            <w:r>
              <w:rPr>
                <w:rFonts w:hint="eastAsia" w:ascii="Times New Roman" w:eastAsia="仿宋"/>
                <w:szCs w:val="21"/>
              </w:rPr>
              <w:t>土名</w:t>
            </w:r>
          </w:p>
        </w:tc>
        <w:tc>
          <w:tcPr>
            <w:tcW w:w="1702" w:type="dxa"/>
            <w:vMerge w:val="restart"/>
            <w:tcBorders>
              <w:top w:val="single" w:color="auto" w:sz="4" w:space="0"/>
              <w:left w:val="single" w:color="auto" w:sz="4" w:space="0"/>
              <w:bottom w:val="single" w:color="auto" w:sz="4" w:space="0"/>
              <w:right w:val="single" w:color="auto" w:sz="4" w:space="0"/>
            </w:tcBorders>
            <w:vAlign w:val="center"/>
          </w:tcPr>
          <w:p w14:paraId="379FAE3F">
            <w:pPr>
              <w:topLinePunct/>
              <w:adjustRightInd w:val="0"/>
              <w:snapToGrid w:val="0"/>
              <w:jc w:val="center"/>
              <w:rPr>
                <w:rFonts w:ascii="Times New Roman" w:eastAsia="仿宋"/>
                <w:szCs w:val="21"/>
              </w:rPr>
            </w:pPr>
            <w:r>
              <w:rPr>
                <w:rFonts w:hint="eastAsia" w:ascii="Times New Roman" w:eastAsia="仿宋"/>
                <w:szCs w:val="21"/>
              </w:rPr>
              <w:t>层底标高</w:t>
            </w:r>
            <w:r>
              <w:rPr>
                <w:rFonts w:ascii="Times New Roman" w:eastAsia="仿宋"/>
                <w:szCs w:val="21"/>
              </w:rPr>
              <w:t>(m)</w:t>
            </w:r>
          </w:p>
          <w:p w14:paraId="7D7044FB">
            <w:pPr>
              <w:topLinePunct/>
              <w:adjustRightInd w:val="0"/>
              <w:snapToGrid w:val="0"/>
              <w:jc w:val="center"/>
              <w:rPr>
                <w:rFonts w:ascii="Times New Roman" w:eastAsia="仿宋"/>
                <w:szCs w:val="21"/>
              </w:rPr>
            </w:pPr>
            <w:r>
              <w:rPr>
                <w:rFonts w:hint="eastAsia" w:ascii="Times New Roman" w:eastAsia="仿宋"/>
                <w:szCs w:val="21"/>
              </w:rPr>
              <w:t>范围值</w:t>
            </w:r>
            <w:r>
              <w:rPr>
                <w:rFonts w:ascii="Times New Roman" w:eastAsia="仿宋"/>
                <w:szCs w:val="21"/>
              </w:rPr>
              <w:t>(</w:t>
            </w:r>
            <w:r>
              <w:rPr>
                <w:rFonts w:hint="eastAsia" w:ascii="Times New Roman" w:eastAsia="仿宋"/>
                <w:szCs w:val="21"/>
              </w:rPr>
              <w:t>平均值</w:t>
            </w:r>
            <w:r>
              <w:rPr>
                <w:rFonts w:ascii="Times New Roman" w:eastAsia="仿宋"/>
                <w:szCs w:val="21"/>
              </w:rPr>
              <w:t>)</w:t>
            </w:r>
          </w:p>
        </w:tc>
        <w:tc>
          <w:tcPr>
            <w:tcW w:w="1696" w:type="dxa"/>
            <w:vMerge w:val="restart"/>
            <w:tcBorders>
              <w:top w:val="single" w:color="auto" w:sz="4" w:space="0"/>
              <w:left w:val="single" w:color="auto" w:sz="4" w:space="0"/>
              <w:bottom w:val="single" w:color="auto" w:sz="4" w:space="0"/>
              <w:right w:val="single" w:color="auto" w:sz="4" w:space="0"/>
            </w:tcBorders>
            <w:vAlign w:val="center"/>
          </w:tcPr>
          <w:p w14:paraId="22835CED">
            <w:pPr>
              <w:topLinePunct/>
              <w:adjustRightInd w:val="0"/>
              <w:snapToGrid w:val="0"/>
              <w:jc w:val="center"/>
              <w:rPr>
                <w:rFonts w:ascii="Times New Roman" w:eastAsia="仿宋"/>
                <w:szCs w:val="21"/>
              </w:rPr>
            </w:pPr>
            <w:r>
              <w:rPr>
                <w:rFonts w:hint="eastAsia" w:ascii="Times New Roman" w:eastAsia="仿宋"/>
                <w:szCs w:val="21"/>
              </w:rPr>
              <w:t>层厚</w:t>
            </w:r>
            <w:r>
              <w:rPr>
                <w:rFonts w:ascii="Times New Roman" w:eastAsia="仿宋"/>
                <w:szCs w:val="21"/>
              </w:rPr>
              <w:t>(m)</w:t>
            </w:r>
          </w:p>
          <w:p w14:paraId="4C7C9891">
            <w:pPr>
              <w:topLinePunct/>
              <w:adjustRightInd w:val="0"/>
              <w:snapToGrid w:val="0"/>
              <w:jc w:val="center"/>
              <w:rPr>
                <w:rFonts w:ascii="Times New Roman" w:eastAsia="仿宋"/>
                <w:szCs w:val="21"/>
              </w:rPr>
            </w:pPr>
            <w:r>
              <w:rPr>
                <w:rFonts w:hint="eastAsia" w:ascii="Times New Roman" w:eastAsia="仿宋"/>
                <w:szCs w:val="21"/>
              </w:rPr>
              <w:t>范围值</w:t>
            </w:r>
            <w:r>
              <w:rPr>
                <w:rFonts w:ascii="Times New Roman" w:eastAsia="仿宋"/>
                <w:szCs w:val="21"/>
              </w:rPr>
              <w:t>(</w:t>
            </w:r>
            <w:r>
              <w:rPr>
                <w:rFonts w:hint="eastAsia" w:ascii="Times New Roman" w:eastAsia="仿宋"/>
                <w:szCs w:val="21"/>
              </w:rPr>
              <w:t>平均值</w:t>
            </w:r>
            <w:r>
              <w:rPr>
                <w:rFonts w:ascii="Times New Roman" w:eastAsia="仿宋"/>
                <w:szCs w:val="21"/>
              </w:rPr>
              <w:t>)</w:t>
            </w:r>
          </w:p>
        </w:tc>
        <w:tc>
          <w:tcPr>
            <w:tcW w:w="952" w:type="dxa"/>
            <w:vMerge w:val="restart"/>
            <w:tcBorders>
              <w:top w:val="single" w:color="auto" w:sz="4" w:space="0"/>
              <w:left w:val="single" w:color="auto" w:sz="4" w:space="0"/>
              <w:bottom w:val="single" w:color="auto" w:sz="4" w:space="0"/>
              <w:right w:val="single" w:color="auto" w:sz="4" w:space="0"/>
            </w:tcBorders>
            <w:vAlign w:val="center"/>
          </w:tcPr>
          <w:p w14:paraId="445310FE">
            <w:pPr>
              <w:topLinePunct/>
              <w:adjustRightInd w:val="0"/>
              <w:snapToGrid w:val="0"/>
              <w:jc w:val="center"/>
              <w:rPr>
                <w:rFonts w:ascii="Times New Roman" w:eastAsia="仿宋"/>
                <w:szCs w:val="21"/>
              </w:rPr>
            </w:pPr>
            <w:r>
              <w:rPr>
                <w:rFonts w:hint="eastAsia" w:ascii="Times New Roman" w:eastAsia="仿宋"/>
                <w:szCs w:val="21"/>
              </w:rPr>
              <w:t>颜色</w:t>
            </w:r>
          </w:p>
        </w:tc>
        <w:tc>
          <w:tcPr>
            <w:tcW w:w="909" w:type="dxa"/>
            <w:vMerge w:val="restart"/>
            <w:tcBorders>
              <w:top w:val="single" w:color="auto" w:sz="4" w:space="0"/>
              <w:left w:val="single" w:color="auto" w:sz="4" w:space="0"/>
              <w:bottom w:val="single" w:color="auto" w:sz="4" w:space="0"/>
              <w:right w:val="single" w:color="auto" w:sz="4" w:space="0"/>
            </w:tcBorders>
            <w:vAlign w:val="center"/>
          </w:tcPr>
          <w:p w14:paraId="2A8DB791">
            <w:pPr>
              <w:topLinePunct/>
              <w:adjustRightInd w:val="0"/>
              <w:snapToGrid w:val="0"/>
              <w:jc w:val="center"/>
              <w:rPr>
                <w:rFonts w:ascii="Times New Roman" w:eastAsia="仿宋"/>
                <w:szCs w:val="21"/>
              </w:rPr>
            </w:pPr>
            <w:r>
              <w:rPr>
                <w:rFonts w:hint="eastAsia" w:ascii="Times New Roman" w:eastAsia="仿宋"/>
                <w:szCs w:val="21"/>
              </w:rPr>
              <w:t>状态或密实度</w:t>
            </w:r>
          </w:p>
        </w:tc>
        <w:tc>
          <w:tcPr>
            <w:tcW w:w="3749" w:type="dxa"/>
            <w:vMerge w:val="restart"/>
            <w:tcBorders>
              <w:top w:val="single" w:color="auto" w:sz="4" w:space="0"/>
              <w:left w:val="single" w:color="auto" w:sz="4" w:space="0"/>
              <w:bottom w:val="single" w:color="auto" w:sz="4" w:space="0"/>
              <w:right w:val="single" w:color="auto" w:sz="4" w:space="0"/>
            </w:tcBorders>
            <w:vAlign w:val="center"/>
          </w:tcPr>
          <w:p w14:paraId="2F234DB1">
            <w:pPr>
              <w:topLinePunct/>
              <w:adjustRightInd w:val="0"/>
              <w:snapToGrid w:val="0"/>
              <w:jc w:val="center"/>
              <w:rPr>
                <w:rFonts w:ascii="Times New Roman" w:eastAsia="仿宋"/>
                <w:szCs w:val="21"/>
              </w:rPr>
            </w:pPr>
            <w:r>
              <w:rPr>
                <w:rFonts w:hint="eastAsia" w:ascii="Times New Roman" w:eastAsia="仿宋"/>
                <w:szCs w:val="21"/>
              </w:rPr>
              <w:t>其他描述</w:t>
            </w:r>
          </w:p>
        </w:tc>
        <w:tc>
          <w:tcPr>
            <w:tcW w:w="2304" w:type="dxa"/>
            <w:gridSpan w:val="2"/>
            <w:tcBorders>
              <w:top w:val="single" w:color="auto" w:sz="4" w:space="0"/>
              <w:left w:val="single" w:color="auto" w:sz="4" w:space="0"/>
              <w:bottom w:val="single" w:color="auto" w:sz="4" w:space="0"/>
              <w:right w:val="single" w:color="auto" w:sz="4" w:space="0"/>
            </w:tcBorders>
            <w:vAlign w:val="center"/>
          </w:tcPr>
          <w:p w14:paraId="518DE584">
            <w:pPr>
              <w:topLinePunct/>
              <w:adjustRightInd w:val="0"/>
              <w:snapToGrid w:val="0"/>
              <w:jc w:val="center"/>
              <w:rPr>
                <w:rFonts w:ascii="Times New Roman" w:eastAsia="仿宋"/>
                <w:szCs w:val="21"/>
              </w:rPr>
            </w:pPr>
            <w:r>
              <w:rPr>
                <w:rFonts w:hint="eastAsia" w:ascii="Times New Roman" w:eastAsia="仿宋"/>
                <w:szCs w:val="21"/>
              </w:rPr>
              <w:t>静探指标平均值</w:t>
            </w:r>
          </w:p>
        </w:tc>
      </w:tr>
      <w:tr w14:paraId="41C0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7599288D">
            <w:pPr>
              <w:topLinePunct/>
              <w:adjustRightInd w:val="0"/>
              <w:snapToGrid w:val="0"/>
              <w:jc w:val="center"/>
              <w:rPr>
                <w:rFonts w:ascii="Times New Roman" w:eastAsia="仿宋"/>
                <w:szCs w:val="21"/>
              </w:rPr>
            </w:pPr>
          </w:p>
        </w:tc>
        <w:tc>
          <w:tcPr>
            <w:tcW w:w="1003" w:type="dxa"/>
            <w:vMerge w:val="continue"/>
            <w:tcBorders>
              <w:top w:val="single" w:color="auto" w:sz="4" w:space="0"/>
              <w:left w:val="single" w:color="auto" w:sz="4" w:space="0"/>
              <w:bottom w:val="single" w:color="auto" w:sz="4" w:space="0"/>
              <w:right w:val="single" w:color="auto" w:sz="4" w:space="0"/>
            </w:tcBorders>
            <w:vAlign w:val="center"/>
          </w:tcPr>
          <w:p w14:paraId="4D7A3DF6">
            <w:pPr>
              <w:topLinePunct/>
              <w:adjustRightInd w:val="0"/>
              <w:snapToGrid w:val="0"/>
              <w:jc w:val="center"/>
              <w:rPr>
                <w:rFonts w:ascii="Times New Roman" w:eastAsia="仿宋"/>
                <w:szCs w:val="21"/>
              </w:rPr>
            </w:pPr>
          </w:p>
        </w:tc>
        <w:tc>
          <w:tcPr>
            <w:tcW w:w="926" w:type="dxa"/>
            <w:vMerge w:val="continue"/>
            <w:tcBorders>
              <w:top w:val="single" w:color="auto" w:sz="4" w:space="0"/>
              <w:left w:val="single" w:color="auto" w:sz="4" w:space="0"/>
              <w:bottom w:val="single" w:color="auto" w:sz="4" w:space="0"/>
              <w:right w:val="single" w:color="auto" w:sz="4" w:space="0"/>
            </w:tcBorders>
            <w:vAlign w:val="center"/>
          </w:tcPr>
          <w:p w14:paraId="29EDA742">
            <w:pPr>
              <w:topLinePunct/>
              <w:adjustRightInd w:val="0"/>
              <w:snapToGrid w:val="0"/>
              <w:jc w:val="center"/>
              <w:rPr>
                <w:rFonts w:ascii="Times New Roman" w:eastAsia="仿宋"/>
                <w:szCs w:val="21"/>
              </w:rPr>
            </w:pPr>
          </w:p>
        </w:tc>
        <w:tc>
          <w:tcPr>
            <w:tcW w:w="1702" w:type="dxa"/>
            <w:vMerge w:val="continue"/>
            <w:tcBorders>
              <w:top w:val="single" w:color="auto" w:sz="4" w:space="0"/>
              <w:left w:val="single" w:color="auto" w:sz="4" w:space="0"/>
              <w:bottom w:val="single" w:color="auto" w:sz="4" w:space="0"/>
              <w:right w:val="single" w:color="auto" w:sz="4" w:space="0"/>
            </w:tcBorders>
            <w:vAlign w:val="center"/>
          </w:tcPr>
          <w:p w14:paraId="6FC54015">
            <w:pPr>
              <w:topLinePunct/>
              <w:adjustRightInd w:val="0"/>
              <w:snapToGrid w:val="0"/>
              <w:jc w:val="center"/>
              <w:rPr>
                <w:rFonts w:ascii="Times New Roman" w:eastAsia="仿宋"/>
                <w:szCs w:val="21"/>
              </w:rPr>
            </w:pPr>
          </w:p>
        </w:tc>
        <w:tc>
          <w:tcPr>
            <w:tcW w:w="1696" w:type="dxa"/>
            <w:vMerge w:val="continue"/>
            <w:tcBorders>
              <w:top w:val="single" w:color="auto" w:sz="4" w:space="0"/>
              <w:left w:val="single" w:color="auto" w:sz="4" w:space="0"/>
              <w:bottom w:val="single" w:color="auto" w:sz="4" w:space="0"/>
              <w:right w:val="single" w:color="auto" w:sz="4" w:space="0"/>
            </w:tcBorders>
            <w:vAlign w:val="center"/>
          </w:tcPr>
          <w:p w14:paraId="26CC0B26">
            <w:pPr>
              <w:topLinePunct/>
              <w:adjustRightInd w:val="0"/>
              <w:snapToGrid w:val="0"/>
              <w:jc w:val="center"/>
              <w:rPr>
                <w:rFonts w:ascii="Times New Roman" w:eastAsia="仿宋"/>
                <w:szCs w:val="21"/>
              </w:rPr>
            </w:pPr>
          </w:p>
        </w:tc>
        <w:tc>
          <w:tcPr>
            <w:tcW w:w="952" w:type="dxa"/>
            <w:vMerge w:val="continue"/>
            <w:tcBorders>
              <w:top w:val="single" w:color="auto" w:sz="4" w:space="0"/>
              <w:left w:val="single" w:color="auto" w:sz="4" w:space="0"/>
              <w:bottom w:val="single" w:color="auto" w:sz="4" w:space="0"/>
              <w:right w:val="single" w:color="auto" w:sz="4" w:space="0"/>
            </w:tcBorders>
            <w:vAlign w:val="center"/>
          </w:tcPr>
          <w:p w14:paraId="225E1FFD">
            <w:pPr>
              <w:topLinePunct/>
              <w:adjustRightInd w:val="0"/>
              <w:snapToGrid w:val="0"/>
              <w:jc w:val="center"/>
              <w:rPr>
                <w:rFonts w:ascii="Times New Roman" w:eastAsia="仿宋"/>
                <w:szCs w:val="21"/>
              </w:rPr>
            </w:pPr>
          </w:p>
        </w:tc>
        <w:tc>
          <w:tcPr>
            <w:tcW w:w="909" w:type="dxa"/>
            <w:vMerge w:val="continue"/>
            <w:tcBorders>
              <w:top w:val="single" w:color="auto" w:sz="4" w:space="0"/>
              <w:left w:val="single" w:color="auto" w:sz="4" w:space="0"/>
              <w:bottom w:val="single" w:color="auto" w:sz="4" w:space="0"/>
              <w:right w:val="single" w:color="auto" w:sz="4" w:space="0"/>
            </w:tcBorders>
            <w:vAlign w:val="center"/>
          </w:tcPr>
          <w:p w14:paraId="55B11861">
            <w:pPr>
              <w:topLinePunct/>
              <w:adjustRightInd w:val="0"/>
              <w:snapToGrid w:val="0"/>
              <w:jc w:val="center"/>
              <w:rPr>
                <w:rFonts w:ascii="Times New Roman" w:eastAsia="仿宋"/>
                <w:szCs w:val="21"/>
              </w:rPr>
            </w:pPr>
          </w:p>
        </w:tc>
        <w:tc>
          <w:tcPr>
            <w:tcW w:w="3749" w:type="dxa"/>
            <w:vMerge w:val="continue"/>
            <w:tcBorders>
              <w:top w:val="single" w:color="auto" w:sz="4" w:space="0"/>
              <w:left w:val="single" w:color="auto" w:sz="4" w:space="0"/>
              <w:bottom w:val="single" w:color="auto" w:sz="4" w:space="0"/>
              <w:right w:val="single" w:color="auto" w:sz="4" w:space="0"/>
            </w:tcBorders>
            <w:vAlign w:val="center"/>
          </w:tcPr>
          <w:p w14:paraId="3BAA2C15">
            <w:pPr>
              <w:topLinePunct/>
              <w:adjustRightInd w:val="0"/>
              <w:snapToGrid w:val="0"/>
              <w:jc w:val="center"/>
              <w:rPr>
                <w:rFonts w:ascii="Times New Roman" w:eastAsia="仿宋"/>
                <w:szCs w:val="21"/>
              </w:rPr>
            </w:pPr>
          </w:p>
        </w:tc>
        <w:tc>
          <w:tcPr>
            <w:tcW w:w="1071" w:type="dxa"/>
            <w:tcBorders>
              <w:top w:val="single" w:color="auto" w:sz="4" w:space="0"/>
              <w:left w:val="single" w:color="auto" w:sz="4" w:space="0"/>
              <w:bottom w:val="single" w:color="auto" w:sz="4" w:space="0"/>
              <w:right w:val="single" w:color="auto" w:sz="4" w:space="0"/>
            </w:tcBorders>
            <w:vAlign w:val="center"/>
          </w:tcPr>
          <w:p w14:paraId="01E04EA9">
            <w:pPr>
              <w:pStyle w:val="81"/>
              <w:topLinePunct/>
              <w:adjustRightInd w:val="0"/>
              <w:snapToGrid w:val="0"/>
              <w:spacing w:line="240" w:lineRule="atLeast"/>
              <w:jc w:val="center"/>
              <w:rPr>
                <w:rFonts w:eastAsia="仿宋"/>
                <w:kern w:val="0"/>
                <w:szCs w:val="21"/>
              </w:rPr>
            </w:pPr>
            <w:r>
              <w:rPr>
                <w:rFonts w:hint="eastAsia" w:eastAsia="仿宋"/>
                <w:kern w:val="0"/>
                <w:szCs w:val="21"/>
              </w:rPr>
              <w:t>锥尖阻力</w:t>
            </w:r>
            <w:r>
              <w:rPr>
                <w:rFonts w:eastAsia="仿宋"/>
                <w:kern w:val="0"/>
                <w:szCs w:val="21"/>
              </w:rPr>
              <w:t>qc(MPa)</w:t>
            </w:r>
          </w:p>
        </w:tc>
        <w:tc>
          <w:tcPr>
            <w:tcW w:w="1233" w:type="dxa"/>
            <w:tcBorders>
              <w:top w:val="single" w:color="auto" w:sz="4" w:space="0"/>
              <w:left w:val="single" w:color="auto" w:sz="4" w:space="0"/>
              <w:bottom w:val="single" w:color="auto" w:sz="4" w:space="0"/>
              <w:right w:val="single" w:color="auto" w:sz="4" w:space="0"/>
            </w:tcBorders>
            <w:vAlign w:val="center"/>
          </w:tcPr>
          <w:p w14:paraId="5FA64BE5">
            <w:pPr>
              <w:pStyle w:val="81"/>
              <w:topLinePunct/>
              <w:adjustRightInd w:val="0"/>
              <w:snapToGrid w:val="0"/>
              <w:spacing w:line="240" w:lineRule="atLeast"/>
              <w:jc w:val="center"/>
              <w:rPr>
                <w:rFonts w:eastAsia="仿宋"/>
                <w:kern w:val="0"/>
                <w:szCs w:val="21"/>
              </w:rPr>
            </w:pPr>
            <w:r>
              <w:rPr>
                <w:rFonts w:hint="eastAsia" w:eastAsia="仿宋"/>
                <w:kern w:val="0"/>
                <w:szCs w:val="21"/>
              </w:rPr>
              <w:t>侧壁摩阻力</w:t>
            </w:r>
            <w:r>
              <w:rPr>
                <w:rFonts w:eastAsia="仿宋"/>
                <w:kern w:val="0"/>
                <w:szCs w:val="21"/>
              </w:rPr>
              <w:t>fs(kPa)</w:t>
            </w:r>
          </w:p>
        </w:tc>
      </w:tr>
      <w:tr w14:paraId="48A3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tcBorders>
              <w:top w:val="single" w:color="auto" w:sz="4" w:space="0"/>
              <w:left w:val="single" w:color="auto" w:sz="4" w:space="0"/>
              <w:bottom w:val="single" w:color="auto" w:sz="4" w:space="0"/>
              <w:right w:val="single" w:color="auto" w:sz="4" w:space="0"/>
            </w:tcBorders>
            <w:vAlign w:val="center"/>
          </w:tcPr>
          <w:p w14:paraId="328A5519">
            <w:pPr>
              <w:topLinePunct/>
              <w:adjustRightInd w:val="0"/>
              <w:snapToGrid w:val="0"/>
              <w:jc w:val="center"/>
              <w:rPr>
                <w:rFonts w:ascii="Times New Roman" w:eastAsia="仿宋"/>
                <w:szCs w:val="21"/>
              </w:rPr>
            </w:pPr>
            <w:r>
              <w:rPr>
                <w:rFonts w:ascii="Times New Roman" w:eastAsia="仿宋"/>
                <w:szCs w:val="21"/>
              </w:rPr>
              <w:t>Q4ml</w:t>
            </w:r>
          </w:p>
        </w:tc>
        <w:tc>
          <w:tcPr>
            <w:tcW w:w="1003" w:type="dxa"/>
            <w:tcBorders>
              <w:top w:val="single" w:color="auto" w:sz="4" w:space="0"/>
              <w:left w:val="single" w:color="auto" w:sz="4" w:space="0"/>
              <w:bottom w:val="single" w:color="auto" w:sz="4" w:space="0"/>
              <w:right w:val="single" w:color="auto" w:sz="4" w:space="0"/>
            </w:tcBorders>
            <w:vAlign w:val="center"/>
          </w:tcPr>
          <w:p w14:paraId="6193A5F0">
            <w:pPr>
              <w:topLinePunct/>
              <w:adjustRightInd w:val="0"/>
              <w:snapToGrid w:val="0"/>
              <w:jc w:val="center"/>
              <w:rPr>
                <w:rFonts w:ascii="Times New Roman" w:eastAsia="仿宋"/>
                <w:szCs w:val="21"/>
              </w:rPr>
            </w:pPr>
          </w:p>
        </w:tc>
        <w:tc>
          <w:tcPr>
            <w:tcW w:w="926" w:type="dxa"/>
            <w:tcBorders>
              <w:top w:val="single" w:color="auto" w:sz="4" w:space="0"/>
              <w:left w:val="single" w:color="auto" w:sz="4" w:space="0"/>
              <w:bottom w:val="single" w:color="auto" w:sz="4" w:space="0"/>
              <w:right w:val="single" w:color="auto" w:sz="4" w:space="0"/>
            </w:tcBorders>
            <w:vAlign w:val="center"/>
          </w:tcPr>
          <w:p w14:paraId="14F26DFF">
            <w:pPr>
              <w:topLinePunct/>
              <w:adjustRightInd w:val="0"/>
              <w:snapToGrid w:val="0"/>
              <w:jc w:val="center"/>
              <w:rPr>
                <w:rFonts w:ascii="Times New Roman" w:eastAsia="仿宋"/>
                <w:szCs w:val="21"/>
              </w:rPr>
            </w:pPr>
            <w:r>
              <w:rPr>
                <w:rFonts w:hint="eastAsia" w:ascii="Times New Roman" w:eastAsia="仿宋"/>
                <w:szCs w:val="21"/>
              </w:rPr>
              <w:t>填土</w:t>
            </w:r>
          </w:p>
        </w:tc>
        <w:tc>
          <w:tcPr>
            <w:tcW w:w="1702" w:type="dxa"/>
            <w:tcBorders>
              <w:top w:val="single" w:color="auto" w:sz="4" w:space="0"/>
              <w:left w:val="single" w:color="auto" w:sz="4" w:space="0"/>
              <w:bottom w:val="single" w:color="auto" w:sz="4" w:space="0"/>
              <w:right w:val="single" w:color="auto" w:sz="4" w:space="0"/>
            </w:tcBorders>
            <w:vAlign w:val="center"/>
          </w:tcPr>
          <w:p w14:paraId="197F9939">
            <w:pPr>
              <w:topLinePunct/>
              <w:adjustRightInd w:val="0"/>
              <w:snapToGrid w:val="0"/>
              <w:jc w:val="center"/>
              <w:rPr>
                <w:rFonts w:ascii="Times New Roman" w:eastAsia="仿宋"/>
                <w:szCs w:val="21"/>
              </w:rPr>
            </w:pPr>
            <w:r>
              <w:rPr>
                <w:rFonts w:ascii="Times New Roman" w:eastAsia="仿宋"/>
                <w:szCs w:val="21"/>
              </w:rPr>
              <w:t>-0.16~5.12</w:t>
            </w:r>
          </w:p>
          <w:p w14:paraId="43EB78B8">
            <w:pPr>
              <w:topLinePunct/>
              <w:adjustRightInd w:val="0"/>
              <w:snapToGrid w:val="0"/>
              <w:jc w:val="center"/>
              <w:rPr>
                <w:rFonts w:ascii="Times New Roman" w:eastAsia="仿宋"/>
                <w:szCs w:val="21"/>
              </w:rPr>
            </w:pPr>
            <w:r>
              <w:rPr>
                <w:rFonts w:ascii="Times New Roman" w:eastAsia="仿宋"/>
                <w:szCs w:val="21"/>
              </w:rPr>
              <w:t>(3.74)</w:t>
            </w:r>
          </w:p>
        </w:tc>
        <w:tc>
          <w:tcPr>
            <w:tcW w:w="1696" w:type="dxa"/>
            <w:tcBorders>
              <w:top w:val="single" w:color="auto" w:sz="4" w:space="0"/>
              <w:left w:val="single" w:color="auto" w:sz="4" w:space="0"/>
              <w:bottom w:val="single" w:color="auto" w:sz="4" w:space="0"/>
              <w:right w:val="single" w:color="auto" w:sz="4" w:space="0"/>
            </w:tcBorders>
            <w:vAlign w:val="center"/>
          </w:tcPr>
          <w:p w14:paraId="3602361F">
            <w:pPr>
              <w:topLinePunct/>
              <w:adjustRightInd w:val="0"/>
              <w:snapToGrid w:val="0"/>
              <w:jc w:val="center"/>
              <w:rPr>
                <w:rFonts w:ascii="Times New Roman" w:eastAsia="仿宋"/>
                <w:szCs w:val="21"/>
              </w:rPr>
            </w:pPr>
            <w:r>
              <w:rPr>
                <w:rFonts w:ascii="Times New Roman" w:eastAsia="仿宋"/>
                <w:szCs w:val="21"/>
              </w:rPr>
              <w:t>0.2~5.2</w:t>
            </w:r>
          </w:p>
          <w:p w14:paraId="286167E2">
            <w:pPr>
              <w:topLinePunct/>
              <w:adjustRightInd w:val="0"/>
              <w:snapToGrid w:val="0"/>
              <w:jc w:val="center"/>
              <w:rPr>
                <w:rFonts w:ascii="Times New Roman" w:eastAsia="仿宋"/>
                <w:szCs w:val="21"/>
              </w:rPr>
            </w:pPr>
            <w:r>
              <w:rPr>
                <w:rFonts w:ascii="Times New Roman" w:eastAsia="仿宋"/>
                <w:szCs w:val="21"/>
              </w:rPr>
              <w:t>(1.34)</w:t>
            </w:r>
          </w:p>
        </w:tc>
        <w:tc>
          <w:tcPr>
            <w:tcW w:w="952" w:type="dxa"/>
            <w:tcBorders>
              <w:top w:val="single" w:color="auto" w:sz="4" w:space="0"/>
              <w:left w:val="single" w:color="auto" w:sz="4" w:space="0"/>
              <w:bottom w:val="single" w:color="auto" w:sz="4" w:space="0"/>
              <w:right w:val="single" w:color="auto" w:sz="4" w:space="0"/>
            </w:tcBorders>
            <w:vAlign w:val="center"/>
          </w:tcPr>
          <w:p w14:paraId="5180B5AF">
            <w:pPr>
              <w:topLinePunct/>
              <w:adjustRightInd w:val="0"/>
              <w:snapToGrid w:val="0"/>
              <w:jc w:val="center"/>
              <w:rPr>
                <w:rFonts w:ascii="Times New Roman" w:eastAsia="仿宋"/>
                <w:szCs w:val="21"/>
              </w:rPr>
            </w:pPr>
            <w:r>
              <w:rPr>
                <w:rFonts w:hint="eastAsia" w:ascii="Times New Roman" w:eastAsia="仿宋"/>
                <w:szCs w:val="21"/>
              </w:rPr>
              <w:t>杂色</w:t>
            </w:r>
          </w:p>
        </w:tc>
        <w:tc>
          <w:tcPr>
            <w:tcW w:w="909" w:type="dxa"/>
            <w:tcBorders>
              <w:top w:val="single" w:color="auto" w:sz="4" w:space="0"/>
              <w:left w:val="single" w:color="auto" w:sz="4" w:space="0"/>
              <w:bottom w:val="single" w:color="auto" w:sz="4" w:space="0"/>
              <w:right w:val="single" w:color="auto" w:sz="4" w:space="0"/>
            </w:tcBorders>
            <w:vAlign w:val="center"/>
          </w:tcPr>
          <w:p w14:paraId="7241E387">
            <w:pPr>
              <w:topLinePunct/>
              <w:adjustRightInd w:val="0"/>
              <w:snapToGrid w:val="0"/>
              <w:jc w:val="center"/>
              <w:rPr>
                <w:rFonts w:ascii="Times New Roman" w:eastAsia="仿宋"/>
                <w:szCs w:val="21"/>
              </w:rPr>
            </w:pPr>
            <w:r>
              <w:rPr>
                <w:rFonts w:hint="eastAsia" w:ascii="Times New Roman" w:eastAsia="仿宋"/>
                <w:szCs w:val="21"/>
              </w:rPr>
              <w:t>松散</w:t>
            </w:r>
          </w:p>
        </w:tc>
        <w:tc>
          <w:tcPr>
            <w:tcW w:w="3749" w:type="dxa"/>
            <w:tcBorders>
              <w:top w:val="single" w:color="auto" w:sz="4" w:space="0"/>
              <w:left w:val="single" w:color="auto" w:sz="4" w:space="0"/>
              <w:bottom w:val="single" w:color="auto" w:sz="4" w:space="0"/>
              <w:right w:val="single" w:color="auto" w:sz="4" w:space="0"/>
            </w:tcBorders>
            <w:vAlign w:val="center"/>
          </w:tcPr>
          <w:p w14:paraId="6F5C74E4">
            <w:pPr>
              <w:topLinePunct/>
              <w:adjustRightInd w:val="0"/>
              <w:snapToGrid w:val="0"/>
              <w:jc w:val="center"/>
              <w:rPr>
                <w:rFonts w:ascii="Times New Roman" w:eastAsia="仿宋"/>
                <w:szCs w:val="21"/>
              </w:rPr>
            </w:pPr>
            <w:r>
              <w:rPr>
                <w:rFonts w:hint="eastAsia" w:ascii="Times New Roman" w:eastAsia="仿宋"/>
                <w:szCs w:val="21"/>
              </w:rPr>
              <w:t>主要软塑状粘性土为主，含少量细砂、淤泥及碎石子等，其中顶部夹植物根茎</w:t>
            </w:r>
          </w:p>
        </w:tc>
        <w:tc>
          <w:tcPr>
            <w:tcW w:w="1071" w:type="dxa"/>
            <w:tcBorders>
              <w:top w:val="single" w:color="auto" w:sz="4" w:space="0"/>
              <w:left w:val="single" w:color="auto" w:sz="4" w:space="0"/>
              <w:bottom w:val="single" w:color="auto" w:sz="4" w:space="0"/>
              <w:right w:val="single" w:color="auto" w:sz="4" w:space="0"/>
            </w:tcBorders>
            <w:vAlign w:val="center"/>
          </w:tcPr>
          <w:p w14:paraId="5D8D4BCE">
            <w:pPr>
              <w:topLinePunct/>
              <w:adjustRightInd w:val="0"/>
              <w:snapToGrid w:val="0"/>
              <w:jc w:val="center"/>
              <w:rPr>
                <w:rFonts w:ascii="Times New Roman" w:eastAsia="仿宋"/>
                <w:szCs w:val="21"/>
              </w:rPr>
            </w:pPr>
            <w:r>
              <w:rPr>
                <w:rFonts w:ascii="Times New Roman" w:eastAsia="仿宋"/>
                <w:szCs w:val="21"/>
              </w:rPr>
              <w:t>1.03</w:t>
            </w:r>
          </w:p>
        </w:tc>
        <w:tc>
          <w:tcPr>
            <w:tcW w:w="1233" w:type="dxa"/>
            <w:tcBorders>
              <w:top w:val="single" w:color="auto" w:sz="4" w:space="0"/>
              <w:left w:val="single" w:color="auto" w:sz="4" w:space="0"/>
              <w:bottom w:val="single" w:color="auto" w:sz="4" w:space="0"/>
              <w:right w:val="single" w:color="auto" w:sz="4" w:space="0"/>
            </w:tcBorders>
            <w:vAlign w:val="center"/>
          </w:tcPr>
          <w:p w14:paraId="2A4C99FF">
            <w:pPr>
              <w:topLinePunct/>
              <w:adjustRightInd w:val="0"/>
              <w:snapToGrid w:val="0"/>
              <w:jc w:val="center"/>
              <w:rPr>
                <w:rFonts w:ascii="Times New Roman" w:eastAsia="仿宋"/>
                <w:szCs w:val="21"/>
              </w:rPr>
            </w:pPr>
            <w:r>
              <w:rPr>
                <w:rFonts w:ascii="Times New Roman" w:eastAsia="仿宋"/>
                <w:szCs w:val="21"/>
              </w:rPr>
              <w:t>33</w:t>
            </w:r>
          </w:p>
        </w:tc>
      </w:tr>
      <w:tr w14:paraId="488D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restart"/>
            <w:tcBorders>
              <w:top w:val="single" w:color="auto" w:sz="4" w:space="0"/>
              <w:left w:val="single" w:color="auto" w:sz="4" w:space="0"/>
              <w:bottom w:val="single" w:color="auto" w:sz="4" w:space="0"/>
              <w:right w:val="single" w:color="auto" w:sz="4" w:space="0"/>
            </w:tcBorders>
            <w:vAlign w:val="center"/>
          </w:tcPr>
          <w:p w14:paraId="190DEFCB">
            <w:pPr>
              <w:topLinePunct/>
              <w:adjustRightInd w:val="0"/>
              <w:snapToGrid w:val="0"/>
              <w:jc w:val="center"/>
              <w:rPr>
                <w:rFonts w:ascii="Times New Roman" w:eastAsia="仿宋"/>
                <w:szCs w:val="21"/>
              </w:rPr>
            </w:pPr>
            <w:r>
              <w:rPr>
                <w:rFonts w:ascii="Times New Roman" w:eastAsia="仿宋"/>
                <w:szCs w:val="21"/>
              </w:rPr>
              <w:t>Q4al</w:t>
            </w:r>
          </w:p>
        </w:tc>
        <w:tc>
          <w:tcPr>
            <w:tcW w:w="1003" w:type="dxa"/>
            <w:tcBorders>
              <w:top w:val="single" w:color="auto" w:sz="4" w:space="0"/>
              <w:left w:val="single" w:color="auto" w:sz="4" w:space="0"/>
              <w:bottom w:val="single" w:color="auto" w:sz="4" w:space="0"/>
              <w:right w:val="single" w:color="auto" w:sz="4" w:space="0"/>
            </w:tcBorders>
            <w:vAlign w:val="center"/>
          </w:tcPr>
          <w:p w14:paraId="3842CE32">
            <w:pPr>
              <w:topLinePunct/>
              <w:adjustRightInd w:val="0"/>
              <w:snapToGrid w:val="0"/>
              <w:jc w:val="center"/>
              <w:rPr>
                <w:rFonts w:ascii="Times New Roman" w:eastAsia="仿宋"/>
                <w:szCs w:val="21"/>
              </w:rPr>
            </w:pPr>
            <w:r>
              <w:rPr>
                <w:rFonts w:hint="eastAsia" w:ascii="Times New Roman" w:eastAsia="仿宋"/>
                <w:szCs w:val="21"/>
              </w:rPr>
              <w:t>②</w:t>
            </w:r>
            <w:r>
              <w:rPr>
                <w:rFonts w:ascii="Times New Roman" w:eastAsia="仿宋"/>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341FF86D">
            <w:pPr>
              <w:topLinePunct/>
              <w:adjustRightInd w:val="0"/>
              <w:snapToGrid w:val="0"/>
              <w:jc w:val="center"/>
              <w:rPr>
                <w:rFonts w:ascii="Times New Roman" w:eastAsia="仿宋"/>
                <w:szCs w:val="21"/>
              </w:rPr>
            </w:pPr>
            <w:r>
              <w:rPr>
                <w:rFonts w:hint="eastAsia" w:ascii="Times New Roman" w:eastAsia="仿宋"/>
                <w:szCs w:val="21"/>
              </w:rPr>
              <w:t>淤泥质粉质粘土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57DB5B27">
            <w:pPr>
              <w:topLinePunct/>
              <w:adjustRightInd w:val="0"/>
              <w:snapToGrid w:val="0"/>
              <w:jc w:val="center"/>
              <w:rPr>
                <w:rFonts w:ascii="Times New Roman" w:eastAsia="仿宋"/>
                <w:szCs w:val="21"/>
              </w:rPr>
            </w:pPr>
            <w:r>
              <w:rPr>
                <w:rFonts w:ascii="Times New Roman" w:eastAsia="仿宋"/>
                <w:szCs w:val="21"/>
              </w:rPr>
              <w:t>-4.90~3.71</w:t>
            </w:r>
          </w:p>
          <w:p w14:paraId="1F417011">
            <w:pPr>
              <w:topLinePunct/>
              <w:adjustRightInd w:val="0"/>
              <w:snapToGrid w:val="0"/>
              <w:jc w:val="center"/>
              <w:rPr>
                <w:rFonts w:ascii="Times New Roman" w:eastAsia="仿宋"/>
                <w:szCs w:val="21"/>
              </w:rPr>
            </w:pPr>
            <w:r>
              <w:rPr>
                <w:rFonts w:ascii="Times New Roman" w:eastAsia="仿宋"/>
                <w:szCs w:val="21"/>
              </w:rPr>
              <w:t>(1.15)</w:t>
            </w:r>
          </w:p>
        </w:tc>
        <w:tc>
          <w:tcPr>
            <w:tcW w:w="1696" w:type="dxa"/>
            <w:tcBorders>
              <w:top w:val="single" w:color="auto" w:sz="4" w:space="0"/>
              <w:left w:val="single" w:color="auto" w:sz="4" w:space="0"/>
              <w:bottom w:val="single" w:color="auto" w:sz="4" w:space="0"/>
              <w:right w:val="single" w:color="auto" w:sz="4" w:space="0"/>
            </w:tcBorders>
            <w:vAlign w:val="center"/>
          </w:tcPr>
          <w:p w14:paraId="7FC35B69">
            <w:pPr>
              <w:topLinePunct/>
              <w:adjustRightInd w:val="0"/>
              <w:snapToGrid w:val="0"/>
              <w:jc w:val="center"/>
              <w:rPr>
                <w:rFonts w:ascii="Times New Roman" w:eastAsia="仿宋"/>
                <w:szCs w:val="21"/>
              </w:rPr>
            </w:pPr>
            <w:r>
              <w:rPr>
                <w:rFonts w:ascii="Times New Roman" w:eastAsia="仿宋"/>
                <w:szCs w:val="21"/>
              </w:rPr>
              <w:t>0.6~7.2</w:t>
            </w:r>
          </w:p>
          <w:p w14:paraId="7DD70812">
            <w:pPr>
              <w:topLinePunct/>
              <w:adjustRightInd w:val="0"/>
              <w:snapToGrid w:val="0"/>
              <w:jc w:val="center"/>
              <w:rPr>
                <w:rFonts w:ascii="Times New Roman" w:eastAsia="仿宋"/>
                <w:szCs w:val="21"/>
              </w:rPr>
            </w:pPr>
            <w:r>
              <w:rPr>
                <w:rFonts w:ascii="Times New Roman" w:eastAsia="仿宋"/>
                <w:szCs w:val="21"/>
              </w:rPr>
              <w:t>(2.07)</w:t>
            </w:r>
          </w:p>
        </w:tc>
        <w:tc>
          <w:tcPr>
            <w:tcW w:w="952" w:type="dxa"/>
            <w:tcBorders>
              <w:top w:val="single" w:color="auto" w:sz="4" w:space="0"/>
              <w:left w:val="single" w:color="auto" w:sz="4" w:space="0"/>
              <w:bottom w:val="single" w:color="auto" w:sz="4" w:space="0"/>
              <w:right w:val="single" w:color="auto" w:sz="4" w:space="0"/>
            </w:tcBorders>
            <w:vAlign w:val="center"/>
          </w:tcPr>
          <w:p w14:paraId="59EFA00C">
            <w:pPr>
              <w:topLinePunct/>
              <w:adjustRightInd w:val="0"/>
              <w:snapToGrid w:val="0"/>
              <w:jc w:val="center"/>
              <w:rPr>
                <w:rFonts w:ascii="Times New Roman" w:eastAsia="仿宋"/>
                <w:szCs w:val="21"/>
              </w:rPr>
            </w:pPr>
            <w:r>
              <w:rPr>
                <w:rFonts w:hint="eastAsia" w:ascii="Times New Roman" w:eastAsia="仿宋"/>
                <w:szCs w:val="21"/>
              </w:rPr>
              <w:t>灰色</w:t>
            </w:r>
          </w:p>
        </w:tc>
        <w:tc>
          <w:tcPr>
            <w:tcW w:w="909" w:type="dxa"/>
            <w:tcBorders>
              <w:top w:val="single" w:color="auto" w:sz="4" w:space="0"/>
              <w:left w:val="single" w:color="auto" w:sz="4" w:space="0"/>
              <w:bottom w:val="single" w:color="auto" w:sz="4" w:space="0"/>
              <w:right w:val="single" w:color="auto" w:sz="4" w:space="0"/>
            </w:tcBorders>
            <w:vAlign w:val="center"/>
          </w:tcPr>
          <w:p w14:paraId="2363A491">
            <w:pPr>
              <w:topLinePunct/>
              <w:adjustRightInd w:val="0"/>
              <w:snapToGrid w:val="0"/>
              <w:jc w:val="center"/>
              <w:rPr>
                <w:rFonts w:ascii="Times New Roman" w:eastAsia="仿宋"/>
                <w:szCs w:val="21"/>
              </w:rPr>
            </w:pPr>
            <w:r>
              <w:rPr>
                <w:rFonts w:hint="eastAsia" w:ascii="Times New Roman" w:eastAsia="仿宋"/>
                <w:szCs w:val="21"/>
              </w:rPr>
              <w:t>流塑</w:t>
            </w:r>
          </w:p>
        </w:tc>
        <w:tc>
          <w:tcPr>
            <w:tcW w:w="3749" w:type="dxa"/>
            <w:tcBorders>
              <w:top w:val="single" w:color="auto" w:sz="4" w:space="0"/>
              <w:left w:val="single" w:color="auto" w:sz="4" w:space="0"/>
              <w:bottom w:val="single" w:color="auto" w:sz="4" w:space="0"/>
              <w:right w:val="single" w:color="auto" w:sz="4" w:space="0"/>
            </w:tcBorders>
            <w:vAlign w:val="center"/>
          </w:tcPr>
          <w:p w14:paraId="20569536">
            <w:pPr>
              <w:topLinePunct/>
              <w:adjustRightInd w:val="0"/>
              <w:snapToGrid w:val="0"/>
              <w:jc w:val="center"/>
              <w:rPr>
                <w:rFonts w:ascii="Times New Roman" w:eastAsia="仿宋"/>
                <w:szCs w:val="21"/>
              </w:rPr>
            </w:pPr>
            <w:r>
              <w:rPr>
                <w:rFonts w:hint="eastAsia" w:ascii="Times New Roman" w:eastAsia="仿宋"/>
                <w:szCs w:val="21"/>
              </w:rPr>
              <w:t>含少量腐殖质、云母碎屑，稍有光泽，韧性中等，干强度中等，无摇振反应，局部夹薄层粉土，呈互层状，属高压缩性土，场地大部缺失，仅中部局部存在</w:t>
            </w:r>
          </w:p>
        </w:tc>
        <w:tc>
          <w:tcPr>
            <w:tcW w:w="1071" w:type="dxa"/>
            <w:tcBorders>
              <w:top w:val="single" w:color="auto" w:sz="4" w:space="0"/>
              <w:left w:val="single" w:color="auto" w:sz="4" w:space="0"/>
              <w:bottom w:val="single" w:color="auto" w:sz="4" w:space="0"/>
              <w:right w:val="single" w:color="auto" w:sz="4" w:space="0"/>
            </w:tcBorders>
            <w:vAlign w:val="center"/>
          </w:tcPr>
          <w:p w14:paraId="56D99C86">
            <w:pPr>
              <w:topLinePunct/>
              <w:adjustRightInd w:val="0"/>
              <w:snapToGrid w:val="0"/>
              <w:jc w:val="center"/>
              <w:rPr>
                <w:rFonts w:ascii="Times New Roman" w:eastAsia="仿宋"/>
                <w:szCs w:val="21"/>
              </w:rPr>
            </w:pPr>
            <w:r>
              <w:rPr>
                <w:rFonts w:ascii="Times New Roman" w:eastAsia="仿宋"/>
                <w:szCs w:val="21"/>
              </w:rPr>
              <w:t>0.46</w:t>
            </w:r>
          </w:p>
        </w:tc>
        <w:tc>
          <w:tcPr>
            <w:tcW w:w="1233" w:type="dxa"/>
            <w:tcBorders>
              <w:top w:val="single" w:color="auto" w:sz="4" w:space="0"/>
              <w:left w:val="single" w:color="auto" w:sz="4" w:space="0"/>
              <w:bottom w:val="single" w:color="auto" w:sz="4" w:space="0"/>
              <w:right w:val="single" w:color="auto" w:sz="4" w:space="0"/>
            </w:tcBorders>
            <w:vAlign w:val="center"/>
          </w:tcPr>
          <w:p w14:paraId="2C4108DB">
            <w:pPr>
              <w:topLinePunct/>
              <w:adjustRightInd w:val="0"/>
              <w:snapToGrid w:val="0"/>
              <w:jc w:val="center"/>
              <w:rPr>
                <w:rFonts w:ascii="Times New Roman" w:eastAsia="仿宋"/>
                <w:szCs w:val="21"/>
              </w:rPr>
            </w:pPr>
            <w:r>
              <w:rPr>
                <w:rFonts w:ascii="Times New Roman" w:eastAsia="仿宋"/>
                <w:szCs w:val="21"/>
              </w:rPr>
              <w:t>13</w:t>
            </w:r>
          </w:p>
        </w:tc>
      </w:tr>
      <w:tr w14:paraId="194F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2D03BF7A">
            <w:pPr>
              <w:topLinePunct/>
              <w:adjustRightInd w:val="0"/>
              <w:snapToGrid w:val="0"/>
              <w:jc w:val="center"/>
              <w:rPr>
                <w:rFonts w:ascii="Times New Roman" w:eastAsia="仿宋"/>
                <w:szCs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5EA28D72">
            <w:pPr>
              <w:pStyle w:val="81"/>
              <w:topLinePunct/>
              <w:adjustRightInd w:val="0"/>
              <w:snapToGrid w:val="0"/>
              <w:spacing w:line="240" w:lineRule="atLeast"/>
              <w:jc w:val="center"/>
              <w:rPr>
                <w:rFonts w:eastAsia="仿宋"/>
                <w:kern w:val="0"/>
                <w:szCs w:val="21"/>
              </w:rPr>
            </w:pPr>
            <w:r>
              <w:rPr>
                <w:rFonts w:hint="eastAsia" w:eastAsia="仿宋"/>
                <w:kern w:val="0"/>
                <w:szCs w:val="21"/>
              </w:rPr>
              <w:t>②</w:t>
            </w:r>
            <w:r>
              <w:rPr>
                <w:rFonts w:eastAsia="仿宋"/>
                <w:kern w:val="0"/>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64989BEC">
            <w:pPr>
              <w:pStyle w:val="81"/>
              <w:topLinePunct/>
              <w:adjustRightInd w:val="0"/>
              <w:snapToGrid w:val="0"/>
              <w:spacing w:line="240" w:lineRule="atLeast"/>
              <w:jc w:val="center"/>
              <w:rPr>
                <w:rFonts w:eastAsia="仿宋"/>
                <w:kern w:val="0"/>
                <w:szCs w:val="21"/>
              </w:rPr>
            </w:pPr>
            <w:r>
              <w:rPr>
                <w:rFonts w:hint="eastAsia" w:eastAsia="仿宋"/>
                <w:kern w:val="0"/>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48064DA8">
            <w:pPr>
              <w:pStyle w:val="81"/>
              <w:topLinePunct/>
              <w:adjustRightInd w:val="0"/>
              <w:snapToGrid w:val="0"/>
              <w:spacing w:line="240" w:lineRule="atLeast"/>
              <w:jc w:val="center"/>
              <w:rPr>
                <w:rFonts w:eastAsia="仿宋"/>
                <w:kern w:val="0"/>
                <w:szCs w:val="21"/>
              </w:rPr>
            </w:pPr>
            <w:r>
              <w:rPr>
                <w:rFonts w:eastAsia="仿宋"/>
                <w:kern w:val="0"/>
                <w:szCs w:val="21"/>
              </w:rPr>
              <w:t>-10.10~3.06</w:t>
            </w:r>
          </w:p>
          <w:p w14:paraId="00777CC6">
            <w:pPr>
              <w:pStyle w:val="81"/>
              <w:topLinePunct/>
              <w:adjustRightInd w:val="0"/>
              <w:snapToGrid w:val="0"/>
              <w:spacing w:line="240" w:lineRule="atLeast"/>
              <w:jc w:val="center"/>
              <w:rPr>
                <w:rFonts w:eastAsia="仿宋"/>
                <w:kern w:val="0"/>
                <w:szCs w:val="21"/>
              </w:rPr>
            </w:pPr>
            <w:r>
              <w:rPr>
                <w:rFonts w:eastAsia="仿宋"/>
                <w:kern w:val="0"/>
                <w:szCs w:val="21"/>
              </w:rPr>
              <w:t>(-1.75)</w:t>
            </w:r>
          </w:p>
        </w:tc>
        <w:tc>
          <w:tcPr>
            <w:tcW w:w="1696" w:type="dxa"/>
            <w:tcBorders>
              <w:top w:val="single" w:color="auto" w:sz="4" w:space="0"/>
              <w:left w:val="single" w:color="auto" w:sz="4" w:space="0"/>
              <w:bottom w:val="single" w:color="auto" w:sz="4" w:space="0"/>
              <w:right w:val="single" w:color="auto" w:sz="4" w:space="0"/>
            </w:tcBorders>
            <w:vAlign w:val="center"/>
          </w:tcPr>
          <w:p w14:paraId="648BB95D">
            <w:pPr>
              <w:pStyle w:val="81"/>
              <w:topLinePunct/>
              <w:adjustRightInd w:val="0"/>
              <w:snapToGrid w:val="0"/>
              <w:spacing w:line="240" w:lineRule="atLeast"/>
              <w:jc w:val="center"/>
              <w:rPr>
                <w:rFonts w:eastAsia="仿宋"/>
                <w:kern w:val="0"/>
                <w:szCs w:val="21"/>
              </w:rPr>
            </w:pPr>
            <w:r>
              <w:rPr>
                <w:rFonts w:eastAsia="仿宋"/>
                <w:kern w:val="0"/>
                <w:szCs w:val="21"/>
              </w:rPr>
              <w:t>0.7~8.7</w:t>
            </w:r>
          </w:p>
          <w:p w14:paraId="4DAD3E87">
            <w:pPr>
              <w:pStyle w:val="81"/>
              <w:topLinePunct/>
              <w:adjustRightInd w:val="0"/>
              <w:snapToGrid w:val="0"/>
              <w:spacing w:line="240" w:lineRule="atLeast"/>
              <w:jc w:val="center"/>
              <w:rPr>
                <w:rFonts w:eastAsia="仿宋"/>
                <w:kern w:val="0"/>
                <w:szCs w:val="21"/>
              </w:rPr>
            </w:pPr>
            <w:r>
              <w:rPr>
                <w:rFonts w:eastAsia="仿宋"/>
                <w:kern w:val="0"/>
                <w:szCs w:val="21"/>
              </w:rPr>
              <w:t>(3.43)</w:t>
            </w:r>
          </w:p>
        </w:tc>
        <w:tc>
          <w:tcPr>
            <w:tcW w:w="952" w:type="dxa"/>
            <w:tcBorders>
              <w:top w:val="single" w:color="auto" w:sz="4" w:space="0"/>
              <w:left w:val="single" w:color="auto" w:sz="4" w:space="0"/>
              <w:bottom w:val="single" w:color="auto" w:sz="4" w:space="0"/>
              <w:right w:val="single" w:color="auto" w:sz="4" w:space="0"/>
            </w:tcBorders>
            <w:vAlign w:val="center"/>
          </w:tcPr>
          <w:p w14:paraId="68AE22F5">
            <w:pPr>
              <w:pStyle w:val="81"/>
              <w:topLinePunct/>
              <w:adjustRightInd w:val="0"/>
              <w:snapToGrid w:val="0"/>
              <w:spacing w:line="240" w:lineRule="atLeast"/>
              <w:jc w:val="center"/>
              <w:rPr>
                <w:rFonts w:eastAsia="仿宋"/>
                <w:kern w:val="0"/>
                <w:szCs w:val="21"/>
              </w:rPr>
            </w:pPr>
            <w:r>
              <w:rPr>
                <w:rFonts w:hint="eastAsia" w:eastAsia="仿宋"/>
                <w:kern w:val="0"/>
                <w:szCs w:val="21"/>
              </w:rPr>
              <w:t>灰</w:t>
            </w:r>
            <w:r>
              <w:rPr>
                <w:rFonts w:eastAsia="仿宋"/>
                <w:kern w:val="0"/>
                <w:szCs w:val="21"/>
              </w:rPr>
              <w:t>~</w:t>
            </w:r>
            <w:r>
              <w:rPr>
                <w:rFonts w:hint="eastAsia" w:eastAsia="仿宋"/>
                <w:kern w:val="0"/>
                <w:szCs w:val="21"/>
              </w:rPr>
              <w:t>黄灰色</w:t>
            </w:r>
          </w:p>
        </w:tc>
        <w:tc>
          <w:tcPr>
            <w:tcW w:w="909" w:type="dxa"/>
            <w:tcBorders>
              <w:top w:val="single" w:color="auto" w:sz="4" w:space="0"/>
              <w:left w:val="single" w:color="auto" w:sz="4" w:space="0"/>
              <w:bottom w:val="single" w:color="auto" w:sz="4" w:space="0"/>
              <w:right w:val="single" w:color="auto" w:sz="4" w:space="0"/>
            </w:tcBorders>
            <w:vAlign w:val="center"/>
          </w:tcPr>
          <w:p w14:paraId="52FBF333">
            <w:pPr>
              <w:pStyle w:val="81"/>
              <w:topLinePunct/>
              <w:adjustRightInd w:val="0"/>
              <w:snapToGrid w:val="0"/>
              <w:spacing w:line="240" w:lineRule="atLeast"/>
              <w:jc w:val="center"/>
              <w:rPr>
                <w:rFonts w:eastAsia="仿宋"/>
                <w:kern w:val="0"/>
                <w:szCs w:val="21"/>
              </w:rPr>
            </w:pPr>
            <w:r>
              <w:rPr>
                <w:rFonts w:hint="eastAsia" w:eastAsia="仿宋"/>
                <w:kern w:val="0"/>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7825C116">
            <w:pPr>
              <w:pStyle w:val="81"/>
              <w:topLinePunct/>
              <w:adjustRightInd w:val="0"/>
              <w:snapToGrid w:val="0"/>
              <w:spacing w:line="240" w:lineRule="atLeast"/>
              <w:jc w:val="center"/>
              <w:rPr>
                <w:rFonts w:eastAsia="仿宋"/>
                <w:kern w:val="0"/>
                <w:szCs w:val="21"/>
              </w:rPr>
            </w:pPr>
            <w:r>
              <w:rPr>
                <w:rFonts w:hint="eastAsia" w:eastAsia="仿宋"/>
                <w:kern w:val="0"/>
                <w:szCs w:val="21"/>
              </w:rPr>
              <w:t>含少量腐殖质，稍有光泽，韧性中等，干强度中等，无摇振反应，属中压缩性土，场地大部缺失，仅中部局部存在</w:t>
            </w:r>
          </w:p>
        </w:tc>
        <w:tc>
          <w:tcPr>
            <w:tcW w:w="1071" w:type="dxa"/>
            <w:tcBorders>
              <w:top w:val="single" w:color="auto" w:sz="4" w:space="0"/>
              <w:left w:val="single" w:color="auto" w:sz="4" w:space="0"/>
              <w:bottom w:val="single" w:color="auto" w:sz="4" w:space="0"/>
              <w:right w:val="single" w:color="auto" w:sz="4" w:space="0"/>
            </w:tcBorders>
            <w:vAlign w:val="center"/>
          </w:tcPr>
          <w:p w14:paraId="4B36B968">
            <w:pPr>
              <w:pStyle w:val="81"/>
              <w:topLinePunct/>
              <w:adjustRightInd w:val="0"/>
              <w:snapToGrid w:val="0"/>
              <w:spacing w:line="240" w:lineRule="atLeast"/>
              <w:jc w:val="center"/>
              <w:rPr>
                <w:rFonts w:eastAsia="仿宋"/>
                <w:kern w:val="0"/>
                <w:szCs w:val="21"/>
              </w:rPr>
            </w:pPr>
            <w:r>
              <w:rPr>
                <w:rFonts w:eastAsia="仿宋"/>
                <w:kern w:val="0"/>
                <w:szCs w:val="21"/>
              </w:rPr>
              <w:t>1.37</w:t>
            </w:r>
          </w:p>
        </w:tc>
        <w:tc>
          <w:tcPr>
            <w:tcW w:w="1233" w:type="dxa"/>
            <w:tcBorders>
              <w:top w:val="single" w:color="auto" w:sz="4" w:space="0"/>
              <w:left w:val="single" w:color="auto" w:sz="4" w:space="0"/>
              <w:bottom w:val="single" w:color="auto" w:sz="4" w:space="0"/>
              <w:right w:val="single" w:color="auto" w:sz="4" w:space="0"/>
            </w:tcBorders>
            <w:vAlign w:val="center"/>
          </w:tcPr>
          <w:p w14:paraId="5E8E0B6A">
            <w:pPr>
              <w:pStyle w:val="81"/>
              <w:topLinePunct/>
              <w:adjustRightInd w:val="0"/>
              <w:snapToGrid w:val="0"/>
              <w:spacing w:line="240" w:lineRule="atLeast"/>
              <w:jc w:val="center"/>
              <w:rPr>
                <w:rFonts w:eastAsia="仿宋"/>
                <w:kern w:val="0"/>
                <w:szCs w:val="21"/>
              </w:rPr>
            </w:pPr>
            <w:r>
              <w:rPr>
                <w:rFonts w:eastAsia="仿宋"/>
                <w:kern w:val="0"/>
                <w:szCs w:val="21"/>
              </w:rPr>
              <w:t>42</w:t>
            </w:r>
          </w:p>
        </w:tc>
      </w:tr>
      <w:tr w14:paraId="13F6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restart"/>
            <w:tcBorders>
              <w:top w:val="single" w:color="auto" w:sz="4" w:space="0"/>
              <w:left w:val="single" w:color="auto" w:sz="4" w:space="0"/>
              <w:bottom w:val="single" w:color="auto" w:sz="4" w:space="0"/>
              <w:right w:val="single" w:color="auto" w:sz="4" w:space="0"/>
            </w:tcBorders>
            <w:vAlign w:val="center"/>
          </w:tcPr>
          <w:p w14:paraId="6FFB3DAC">
            <w:pPr>
              <w:topLinePunct/>
              <w:adjustRightInd w:val="0"/>
              <w:snapToGrid w:val="0"/>
              <w:jc w:val="center"/>
              <w:rPr>
                <w:rFonts w:ascii="Times New Roman" w:eastAsia="仿宋"/>
                <w:szCs w:val="21"/>
              </w:rPr>
            </w:pPr>
            <w:r>
              <w:rPr>
                <w:rFonts w:ascii="Times New Roman" w:eastAsia="仿宋"/>
                <w:szCs w:val="21"/>
              </w:rPr>
              <w:t>Q3al</w:t>
            </w:r>
          </w:p>
        </w:tc>
        <w:tc>
          <w:tcPr>
            <w:tcW w:w="1003" w:type="dxa"/>
            <w:tcBorders>
              <w:top w:val="single" w:color="auto" w:sz="4" w:space="0"/>
              <w:left w:val="single" w:color="auto" w:sz="4" w:space="0"/>
              <w:bottom w:val="single" w:color="auto" w:sz="4" w:space="0"/>
              <w:right w:val="single" w:color="auto" w:sz="4" w:space="0"/>
            </w:tcBorders>
            <w:vAlign w:val="center"/>
          </w:tcPr>
          <w:p w14:paraId="68BD8E6C">
            <w:pPr>
              <w:topLinePunct/>
              <w:adjustRightInd w:val="0"/>
              <w:snapToGrid w:val="0"/>
              <w:jc w:val="center"/>
              <w:rPr>
                <w:rFonts w:ascii="Times New Roman" w:eastAsia="仿宋"/>
                <w:szCs w:val="21"/>
              </w:rPr>
            </w:pPr>
            <w:r>
              <w:rPr>
                <w:rFonts w:hint="eastAsia" w:ascii="Times New Roman" w:eastAsia="仿宋"/>
                <w:szCs w:val="21"/>
              </w:rPr>
              <w:t>③</w:t>
            </w:r>
            <w:r>
              <w:rPr>
                <w:rFonts w:ascii="Times New Roman" w:eastAsia="仿宋"/>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70D3A094">
            <w:pPr>
              <w:topLinePunct/>
              <w:adjustRightInd w:val="0"/>
              <w:snapToGrid w:val="0"/>
              <w:jc w:val="center"/>
              <w:rPr>
                <w:rFonts w:ascii="Times New Roman" w:eastAsia="仿宋"/>
                <w:szCs w:val="21"/>
              </w:rPr>
            </w:pPr>
            <w:r>
              <w:rPr>
                <w:rFonts w:hint="eastAsia" w:ascii="Times New Roman" w:eastAsia="仿宋"/>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6B4D9568">
            <w:pPr>
              <w:topLinePunct/>
              <w:adjustRightInd w:val="0"/>
              <w:snapToGrid w:val="0"/>
              <w:jc w:val="center"/>
              <w:rPr>
                <w:rFonts w:ascii="Times New Roman" w:eastAsia="仿宋"/>
                <w:szCs w:val="21"/>
              </w:rPr>
            </w:pPr>
            <w:r>
              <w:rPr>
                <w:rFonts w:ascii="Times New Roman" w:eastAsia="仿宋"/>
                <w:szCs w:val="21"/>
              </w:rPr>
              <w:t>-1.75~1.04</w:t>
            </w:r>
          </w:p>
          <w:p w14:paraId="78D2C88E">
            <w:pPr>
              <w:topLinePunct/>
              <w:adjustRightInd w:val="0"/>
              <w:snapToGrid w:val="0"/>
              <w:jc w:val="center"/>
              <w:rPr>
                <w:rFonts w:ascii="Times New Roman" w:eastAsia="仿宋"/>
                <w:szCs w:val="21"/>
              </w:rPr>
            </w:pPr>
            <w:r>
              <w:rPr>
                <w:rFonts w:ascii="Times New Roman" w:eastAsia="仿宋"/>
                <w:szCs w:val="21"/>
              </w:rPr>
              <w:t>(-0.34)</w:t>
            </w:r>
          </w:p>
        </w:tc>
        <w:tc>
          <w:tcPr>
            <w:tcW w:w="1696" w:type="dxa"/>
            <w:tcBorders>
              <w:top w:val="single" w:color="auto" w:sz="4" w:space="0"/>
              <w:left w:val="single" w:color="auto" w:sz="4" w:space="0"/>
              <w:bottom w:val="single" w:color="auto" w:sz="4" w:space="0"/>
              <w:right w:val="single" w:color="auto" w:sz="4" w:space="0"/>
            </w:tcBorders>
            <w:vAlign w:val="center"/>
          </w:tcPr>
          <w:p w14:paraId="0FE6188B">
            <w:pPr>
              <w:topLinePunct/>
              <w:adjustRightInd w:val="0"/>
              <w:snapToGrid w:val="0"/>
              <w:jc w:val="center"/>
              <w:rPr>
                <w:rFonts w:ascii="Times New Roman" w:eastAsia="仿宋"/>
                <w:szCs w:val="21"/>
              </w:rPr>
            </w:pPr>
            <w:r>
              <w:rPr>
                <w:rFonts w:ascii="Times New Roman" w:eastAsia="仿宋"/>
                <w:szCs w:val="21"/>
              </w:rPr>
              <w:t>0.8~5.4</w:t>
            </w:r>
          </w:p>
          <w:p w14:paraId="75F607E9">
            <w:pPr>
              <w:topLinePunct/>
              <w:adjustRightInd w:val="0"/>
              <w:snapToGrid w:val="0"/>
              <w:jc w:val="center"/>
              <w:rPr>
                <w:rFonts w:ascii="Times New Roman" w:eastAsia="仿宋"/>
                <w:szCs w:val="21"/>
              </w:rPr>
            </w:pPr>
            <w:r>
              <w:rPr>
                <w:rFonts w:ascii="Times New Roman" w:eastAsia="仿宋"/>
                <w:szCs w:val="21"/>
              </w:rPr>
              <w:t>(4.02)</w:t>
            </w:r>
          </w:p>
        </w:tc>
        <w:tc>
          <w:tcPr>
            <w:tcW w:w="952" w:type="dxa"/>
            <w:tcBorders>
              <w:top w:val="single" w:color="auto" w:sz="4" w:space="0"/>
              <w:left w:val="single" w:color="auto" w:sz="4" w:space="0"/>
              <w:bottom w:val="single" w:color="auto" w:sz="4" w:space="0"/>
              <w:right w:val="single" w:color="auto" w:sz="4" w:space="0"/>
            </w:tcBorders>
            <w:vAlign w:val="center"/>
          </w:tcPr>
          <w:p w14:paraId="4E3F2DDD">
            <w:pPr>
              <w:topLinePunct/>
              <w:adjustRightInd w:val="0"/>
              <w:snapToGrid w:val="0"/>
              <w:jc w:val="center"/>
              <w:rPr>
                <w:rFonts w:ascii="Times New Roman" w:eastAsia="仿宋"/>
                <w:szCs w:val="21"/>
              </w:rPr>
            </w:pPr>
            <w:r>
              <w:rPr>
                <w:rFonts w:hint="eastAsia" w:ascii="Times New Roman" w:eastAsia="仿宋"/>
                <w:szCs w:val="21"/>
              </w:rPr>
              <w:t>黄褐色</w:t>
            </w:r>
          </w:p>
        </w:tc>
        <w:tc>
          <w:tcPr>
            <w:tcW w:w="909" w:type="dxa"/>
            <w:tcBorders>
              <w:top w:val="single" w:color="auto" w:sz="4" w:space="0"/>
              <w:left w:val="single" w:color="auto" w:sz="4" w:space="0"/>
              <w:bottom w:val="single" w:color="auto" w:sz="4" w:space="0"/>
              <w:right w:val="single" w:color="auto" w:sz="4" w:space="0"/>
            </w:tcBorders>
            <w:vAlign w:val="center"/>
          </w:tcPr>
          <w:p w14:paraId="0BAEBD75">
            <w:pPr>
              <w:topLinePunct/>
              <w:adjustRightInd w:val="0"/>
              <w:snapToGrid w:val="0"/>
              <w:jc w:val="center"/>
              <w:rPr>
                <w:rFonts w:ascii="Times New Roman" w:eastAsia="仿宋"/>
                <w:szCs w:val="21"/>
              </w:rPr>
            </w:pPr>
            <w:r>
              <w:rPr>
                <w:rFonts w:hint="eastAsia" w:ascii="Times New Roman" w:eastAsia="仿宋"/>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4D4DAB95">
            <w:pPr>
              <w:topLinePunct/>
              <w:adjustRightInd w:val="0"/>
              <w:snapToGrid w:val="0"/>
              <w:jc w:val="center"/>
              <w:rPr>
                <w:rFonts w:ascii="Times New Roman" w:eastAsia="仿宋"/>
                <w:szCs w:val="21"/>
              </w:rPr>
            </w:pPr>
            <w:r>
              <w:rPr>
                <w:rFonts w:hint="eastAsia" w:ascii="Times New Roman" w:eastAsia="仿宋"/>
                <w:szCs w:val="21"/>
              </w:rPr>
              <w:t>含少量铁锰质氧化物斑点，夹灰色高岭土条纹，切面较光滑，干强度中等，韧性中等，无摇振反应，在暗塘区缺失，属中压缩性土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351E8E50">
            <w:pPr>
              <w:topLinePunct/>
              <w:adjustRightInd w:val="0"/>
              <w:snapToGrid w:val="0"/>
              <w:jc w:val="center"/>
              <w:rPr>
                <w:rFonts w:ascii="Times New Roman" w:eastAsia="仿宋"/>
                <w:szCs w:val="21"/>
              </w:rPr>
            </w:pPr>
            <w:r>
              <w:rPr>
                <w:rFonts w:ascii="Times New Roman" w:eastAsia="仿宋"/>
                <w:szCs w:val="21"/>
              </w:rPr>
              <w:t>0.71</w:t>
            </w:r>
          </w:p>
        </w:tc>
        <w:tc>
          <w:tcPr>
            <w:tcW w:w="1233" w:type="dxa"/>
            <w:tcBorders>
              <w:top w:val="single" w:color="auto" w:sz="4" w:space="0"/>
              <w:left w:val="single" w:color="auto" w:sz="4" w:space="0"/>
              <w:bottom w:val="single" w:color="auto" w:sz="4" w:space="0"/>
              <w:right w:val="single" w:color="auto" w:sz="4" w:space="0"/>
            </w:tcBorders>
            <w:vAlign w:val="center"/>
          </w:tcPr>
          <w:p w14:paraId="344F6D45">
            <w:pPr>
              <w:topLinePunct/>
              <w:adjustRightInd w:val="0"/>
              <w:snapToGrid w:val="0"/>
              <w:jc w:val="center"/>
              <w:rPr>
                <w:rFonts w:ascii="Times New Roman" w:eastAsia="仿宋"/>
                <w:szCs w:val="21"/>
              </w:rPr>
            </w:pPr>
            <w:r>
              <w:rPr>
                <w:rFonts w:ascii="Times New Roman" w:eastAsia="仿宋"/>
                <w:szCs w:val="21"/>
              </w:rPr>
              <w:t>71</w:t>
            </w:r>
          </w:p>
        </w:tc>
      </w:tr>
      <w:tr w14:paraId="72E4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1E1E295E">
            <w:pPr>
              <w:topLinePunct/>
              <w:adjustRightInd w:val="0"/>
              <w:snapToGrid w:val="0"/>
              <w:jc w:val="center"/>
              <w:rPr>
                <w:rFonts w:ascii="Times New Roman" w:eastAsia="仿宋"/>
                <w:szCs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6F07EEBB">
            <w:pPr>
              <w:pStyle w:val="81"/>
              <w:topLinePunct/>
              <w:adjustRightInd w:val="0"/>
              <w:snapToGrid w:val="0"/>
              <w:spacing w:line="240" w:lineRule="atLeast"/>
              <w:jc w:val="center"/>
              <w:rPr>
                <w:rFonts w:eastAsia="仿宋"/>
                <w:kern w:val="0"/>
                <w:szCs w:val="21"/>
              </w:rPr>
            </w:pPr>
            <w:r>
              <w:rPr>
                <w:rFonts w:hint="eastAsia" w:eastAsia="仿宋"/>
                <w:kern w:val="0"/>
                <w:szCs w:val="21"/>
              </w:rPr>
              <w:t>③</w:t>
            </w:r>
            <w:r>
              <w:rPr>
                <w:rFonts w:eastAsia="仿宋"/>
                <w:kern w:val="0"/>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5791B78E">
            <w:pPr>
              <w:pStyle w:val="81"/>
              <w:topLinePunct/>
              <w:adjustRightInd w:val="0"/>
              <w:snapToGrid w:val="0"/>
              <w:spacing w:line="240" w:lineRule="atLeast"/>
              <w:jc w:val="center"/>
              <w:rPr>
                <w:rFonts w:eastAsia="仿宋"/>
                <w:kern w:val="0"/>
                <w:szCs w:val="21"/>
              </w:rPr>
            </w:pPr>
            <w:r>
              <w:rPr>
                <w:rFonts w:hint="eastAsia" w:eastAsia="仿宋"/>
                <w:kern w:val="0"/>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2C964C89">
            <w:pPr>
              <w:pStyle w:val="81"/>
              <w:topLinePunct/>
              <w:adjustRightInd w:val="0"/>
              <w:snapToGrid w:val="0"/>
              <w:spacing w:line="240" w:lineRule="atLeast"/>
              <w:jc w:val="center"/>
              <w:rPr>
                <w:rFonts w:eastAsia="仿宋"/>
                <w:kern w:val="0"/>
                <w:szCs w:val="21"/>
              </w:rPr>
            </w:pPr>
            <w:r>
              <w:rPr>
                <w:rFonts w:eastAsia="仿宋"/>
                <w:kern w:val="0"/>
                <w:szCs w:val="21"/>
              </w:rPr>
              <w:t>-3.15~-1.26</w:t>
            </w:r>
          </w:p>
          <w:p w14:paraId="02B3ECBA">
            <w:pPr>
              <w:pStyle w:val="81"/>
              <w:topLinePunct/>
              <w:adjustRightInd w:val="0"/>
              <w:snapToGrid w:val="0"/>
              <w:spacing w:line="240" w:lineRule="atLeast"/>
              <w:jc w:val="center"/>
              <w:rPr>
                <w:rFonts w:eastAsia="仿宋"/>
                <w:kern w:val="0"/>
                <w:szCs w:val="21"/>
              </w:rPr>
            </w:pPr>
            <w:r>
              <w:rPr>
                <w:rFonts w:eastAsia="仿宋"/>
                <w:kern w:val="0"/>
                <w:szCs w:val="21"/>
              </w:rPr>
              <w:t>(-2.14)</w:t>
            </w:r>
          </w:p>
        </w:tc>
        <w:tc>
          <w:tcPr>
            <w:tcW w:w="1696" w:type="dxa"/>
            <w:tcBorders>
              <w:top w:val="single" w:color="auto" w:sz="4" w:space="0"/>
              <w:left w:val="single" w:color="auto" w:sz="4" w:space="0"/>
              <w:bottom w:val="single" w:color="auto" w:sz="4" w:space="0"/>
              <w:right w:val="single" w:color="auto" w:sz="4" w:space="0"/>
            </w:tcBorders>
            <w:vAlign w:val="center"/>
          </w:tcPr>
          <w:p w14:paraId="1C2AD7B3">
            <w:pPr>
              <w:pStyle w:val="81"/>
              <w:topLinePunct/>
              <w:adjustRightInd w:val="0"/>
              <w:snapToGrid w:val="0"/>
              <w:spacing w:line="240" w:lineRule="atLeast"/>
              <w:jc w:val="center"/>
              <w:rPr>
                <w:rFonts w:eastAsia="仿宋"/>
                <w:kern w:val="0"/>
                <w:szCs w:val="21"/>
              </w:rPr>
            </w:pPr>
            <w:r>
              <w:rPr>
                <w:rFonts w:eastAsia="仿宋"/>
                <w:kern w:val="0"/>
                <w:szCs w:val="21"/>
              </w:rPr>
              <w:t>0.8~3.0</w:t>
            </w:r>
          </w:p>
          <w:p w14:paraId="18C74545">
            <w:pPr>
              <w:pStyle w:val="81"/>
              <w:topLinePunct/>
              <w:adjustRightInd w:val="0"/>
              <w:snapToGrid w:val="0"/>
              <w:spacing w:line="240" w:lineRule="atLeast"/>
              <w:jc w:val="center"/>
              <w:rPr>
                <w:rFonts w:eastAsia="仿宋"/>
                <w:kern w:val="0"/>
                <w:szCs w:val="21"/>
              </w:rPr>
            </w:pPr>
            <w:r>
              <w:rPr>
                <w:rFonts w:eastAsia="仿宋"/>
                <w:kern w:val="0"/>
                <w:szCs w:val="21"/>
              </w:rPr>
              <w:t>(1.79)</w:t>
            </w:r>
          </w:p>
        </w:tc>
        <w:tc>
          <w:tcPr>
            <w:tcW w:w="952" w:type="dxa"/>
            <w:tcBorders>
              <w:top w:val="single" w:color="auto" w:sz="4" w:space="0"/>
              <w:left w:val="single" w:color="auto" w:sz="4" w:space="0"/>
              <w:bottom w:val="single" w:color="auto" w:sz="4" w:space="0"/>
              <w:right w:val="single" w:color="auto" w:sz="4" w:space="0"/>
            </w:tcBorders>
            <w:vAlign w:val="center"/>
          </w:tcPr>
          <w:p w14:paraId="4235AE5F">
            <w:pPr>
              <w:pStyle w:val="81"/>
              <w:topLinePunct/>
              <w:adjustRightInd w:val="0"/>
              <w:snapToGrid w:val="0"/>
              <w:spacing w:line="240" w:lineRule="atLeast"/>
              <w:jc w:val="center"/>
              <w:rPr>
                <w:rFonts w:eastAsia="仿宋"/>
                <w:kern w:val="0"/>
                <w:szCs w:val="21"/>
              </w:rPr>
            </w:pPr>
            <w:r>
              <w:rPr>
                <w:rFonts w:hint="eastAsia" w:eastAsia="仿宋"/>
                <w:kern w:val="0"/>
                <w:szCs w:val="21"/>
              </w:rPr>
              <w:t>褐黄色</w:t>
            </w:r>
          </w:p>
        </w:tc>
        <w:tc>
          <w:tcPr>
            <w:tcW w:w="909" w:type="dxa"/>
            <w:tcBorders>
              <w:top w:val="single" w:color="auto" w:sz="4" w:space="0"/>
              <w:left w:val="single" w:color="auto" w:sz="4" w:space="0"/>
              <w:bottom w:val="single" w:color="auto" w:sz="4" w:space="0"/>
              <w:right w:val="single" w:color="auto" w:sz="4" w:space="0"/>
            </w:tcBorders>
            <w:vAlign w:val="center"/>
          </w:tcPr>
          <w:p w14:paraId="3BADC462">
            <w:pPr>
              <w:pStyle w:val="81"/>
              <w:topLinePunct/>
              <w:adjustRightInd w:val="0"/>
              <w:snapToGrid w:val="0"/>
              <w:spacing w:line="240" w:lineRule="atLeast"/>
              <w:jc w:val="center"/>
              <w:rPr>
                <w:rFonts w:eastAsia="仿宋"/>
                <w:kern w:val="0"/>
                <w:szCs w:val="21"/>
              </w:rPr>
            </w:pPr>
            <w:r>
              <w:rPr>
                <w:rFonts w:hint="eastAsia" w:eastAsia="仿宋"/>
                <w:kern w:val="0"/>
                <w:szCs w:val="21"/>
              </w:rPr>
              <w:t>可</w:t>
            </w:r>
            <w:r>
              <w:rPr>
                <w:rFonts w:eastAsia="仿宋"/>
                <w:kern w:val="0"/>
                <w:szCs w:val="21"/>
              </w:rPr>
              <w:t>~</w:t>
            </w:r>
            <w:r>
              <w:rPr>
                <w:rFonts w:hint="eastAsia" w:eastAsia="仿宋"/>
                <w:kern w:val="0"/>
                <w:szCs w:val="21"/>
              </w:rPr>
              <w:t>硬塑</w:t>
            </w:r>
          </w:p>
        </w:tc>
        <w:tc>
          <w:tcPr>
            <w:tcW w:w="3749" w:type="dxa"/>
            <w:tcBorders>
              <w:top w:val="single" w:color="auto" w:sz="4" w:space="0"/>
              <w:left w:val="single" w:color="auto" w:sz="4" w:space="0"/>
              <w:bottom w:val="single" w:color="auto" w:sz="4" w:space="0"/>
              <w:right w:val="single" w:color="auto" w:sz="4" w:space="0"/>
            </w:tcBorders>
            <w:vAlign w:val="center"/>
          </w:tcPr>
          <w:p w14:paraId="24FA0546">
            <w:pPr>
              <w:pStyle w:val="81"/>
              <w:topLinePunct/>
              <w:adjustRightInd w:val="0"/>
              <w:snapToGrid w:val="0"/>
              <w:spacing w:line="240" w:lineRule="atLeast"/>
              <w:jc w:val="center"/>
              <w:rPr>
                <w:rFonts w:eastAsia="仿宋"/>
                <w:kern w:val="0"/>
                <w:szCs w:val="21"/>
              </w:rPr>
            </w:pPr>
            <w:r>
              <w:rPr>
                <w:rFonts w:hint="eastAsia" w:eastAsia="仿宋"/>
                <w:kern w:val="0"/>
                <w:szCs w:val="21"/>
              </w:rPr>
              <w:t>含少量铁锰质结核，直径</w:t>
            </w:r>
            <w:r>
              <w:rPr>
                <w:rFonts w:eastAsia="仿宋"/>
                <w:kern w:val="0"/>
                <w:szCs w:val="21"/>
              </w:rPr>
              <w:t>1~3mm</w:t>
            </w:r>
            <w:r>
              <w:rPr>
                <w:rFonts w:hint="eastAsia" w:eastAsia="仿宋"/>
                <w:kern w:val="0"/>
                <w:szCs w:val="21"/>
              </w:rPr>
              <w:t>，夹少量高岭土条纹，切面较光滑，干强度中等，韧性中等，无摇振反应，在暗塘区局部缺失，属中压缩性土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014E58E6">
            <w:pPr>
              <w:pStyle w:val="81"/>
              <w:topLinePunct/>
              <w:adjustRightInd w:val="0"/>
              <w:snapToGrid w:val="0"/>
              <w:spacing w:line="240" w:lineRule="atLeast"/>
              <w:jc w:val="center"/>
              <w:rPr>
                <w:rFonts w:eastAsia="仿宋"/>
                <w:kern w:val="0"/>
                <w:szCs w:val="21"/>
              </w:rPr>
            </w:pPr>
            <w:r>
              <w:rPr>
                <w:rFonts w:eastAsia="仿宋"/>
                <w:kern w:val="0"/>
                <w:szCs w:val="21"/>
              </w:rPr>
              <w:t>2.16</w:t>
            </w:r>
          </w:p>
        </w:tc>
        <w:tc>
          <w:tcPr>
            <w:tcW w:w="1233" w:type="dxa"/>
            <w:tcBorders>
              <w:top w:val="single" w:color="auto" w:sz="4" w:space="0"/>
              <w:left w:val="single" w:color="auto" w:sz="4" w:space="0"/>
              <w:bottom w:val="single" w:color="auto" w:sz="4" w:space="0"/>
              <w:right w:val="single" w:color="auto" w:sz="4" w:space="0"/>
            </w:tcBorders>
            <w:vAlign w:val="center"/>
          </w:tcPr>
          <w:p w14:paraId="449F9AA8">
            <w:pPr>
              <w:pStyle w:val="81"/>
              <w:topLinePunct/>
              <w:adjustRightInd w:val="0"/>
              <w:snapToGrid w:val="0"/>
              <w:spacing w:line="240" w:lineRule="atLeast"/>
              <w:jc w:val="center"/>
              <w:rPr>
                <w:rFonts w:eastAsia="仿宋"/>
                <w:kern w:val="0"/>
                <w:szCs w:val="21"/>
              </w:rPr>
            </w:pPr>
            <w:r>
              <w:rPr>
                <w:rFonts w:eastAsia="仿宋"/>
                <w:kern w:val="0"/>
                <w:szCs w:val="21"/>
              </w:rPr>
              <w:t>105</w:t>
            </w:r>
          </w:p>
        </w:tc>
      </w:tr>
      <w:tr w14:paraId="3CA2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25C06335">
            <w:pPr>
              <w:topLinePunct/>
              <w:adjustRightInd w:val="0"/>
              <w:snapToGrid w:val="0"/>
              <w:jc w:val="center"/>
              <w:rPr>
                <w:rFonts w:ascii="Times New Roman" w:eastAsia="仿宋"/>
                <w:szCs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418A6335">
            <w:pPr>
              <w:pStyle w:val="81"/>
              <w:topLinePunct/>
              <w:adjustRightInd w:val="0"/>
              <w:snapToGrid w:val="0"/>
              <w:spacing w:line="240" w:lineRule="atLeast"/>
              <w:jc w:val="center"/>
              <w:rPr>
                <w:rFonts w:eastAsia="仿宋"/>
                <w:kern w:val="0"/>
                <w:szCs w:val="21"/>
              </w:rPr>
            </w:pPr>
            <w:r>
              <w:rPr>
                <w:rFonts w:hint="eastAsia" w:eastAsia="仿宋"/>
                <w:kern w:val="0"/>
                <w:szCs w:val="21"/>
              </w:rPr>
              <w:t>④</w:t>
            </w:r>
          </w:p>
        </w:tc>
        <w:tc>
          <w:tcPr>
            <w:tcW w:w="926" w:type="dxa"/>
            <w:tcBorders>
              <w:top w:val="single" w:color="auto" w:sz="4" w:space="0"/>
              <w:left w:val="single" w:color="auto" w:sz="4" w:space="0"/>
              <w:bottom w:val="single" w:color="auto" w:sz="4" w:space="0"/>
              <w:right w:val="single" w:color="auto" w:sz="4" w:space="0"/>
            </w:tcBorders>
            <w:vAlign w:val="center"/>
          </w:tcPr>
          <w:p w14:paraId="5E706076">
            <w:pPr>
              <w:pStyle w:val="81"/>
              <w:topLinePunct/>
              <w:adjustRightInd w:val="0"/>
              <w:snapToGrid w:val="0"/>
              <w:spacing w:line="240" w:lineRule="atLeast"/>
              <w:jc w:val="center"/>
              <w:rPr>
                <w:rFonts w:eastAsia="仿宋"/>
                <w:kern w:val="0"/>
                <w:szCs w:val="21"/>
              </w:rPr>
            </w:pPr>
            <w:r>
              <w:rPr>
                <w:rFonts w:hint="eastAsia" w:eastAsia="仿宋"/>
                <w:kern w:val="0"/>
                <w:szCs w:val="21"/>
              </w:rPr>
              <w:t>粉质粘土夹粉土</w:t>
            </w:r>
          </w:p>
        </w:tc>
        <w:tc>
          <w:tcPr>
            <w:tcW w:w="1702" w:type="dxa"/>
            <w:tcBorders>
              <w:top w:val="single" w:color="auto" w:sz="4" w:space="0"/>
              <w:left w:val="single" w:color="auto" w:sz="4" w:space="0"/>
              <w:bottom w:val="single" w:color="auto" w:sz="4" w:space="0"/>
              <w:right w:val="single" w:color="auto" w:sz="4" w:space="0"/>
            </w:tcBorders>
            <w:vAlign w:val="center"/>
          </w:tcPr>
          <w:p w14:paraId="625BD315">
            <w:pPr>
              <w:pStyle w:val="81"/>
              <w:topLinePunct/>
              <w:adjustRightInd w:val="0"/>
              <w:snapToGrid w:val="0"/>
              <w:spacing w:line="240" w:lineRule="atLeast"/>
              <w:jc w:val="center"/>
              <w:rPr>
                <w:rFonts w:eastAsia="仿宋"/>
                <w:kern w:val="0"/>
                <w:szCs w:val="21"/>
              </w:rPr>
            </w:pPr>
            <w:r>
              <w:rPr>
                <w:rFonts w:eastAsia="仿宋"/>
                <w:kern w:val="0"/>
                <w:szCs w:val="21"/>
              </w:rPr>
              <w:t>-5.29~-2.34</w:t>
            </w:r>
          </w:p>
          <w:p w14:paraId="6FE22B15">
            <w:pPr>
              <w:pStyle w:val="81"/>
              <w:topLinePunct/>
              <w:adjustRightInd w:val="0"/>
              <w:snapToGrid w:val="0"/>
              <w:spacing w:line="240" w:lineRule="atLeast"/>
              <w:jc w:val="center"/>
              <w:rPr>
                <w:rFonts w:eastAsia="仿宋"/>
                <w:kern w:val="0"/>
                <w:szCs w:val="21"/>
              </w:rPr>
            </w:pPr>
            <w:r>
              <w:rPr>
                <w:rFonts w:eastAsia="仿宋"/>
                <w:kern w:val="0"/>
                <w:szCs w:val="21"/>
              </w:rPr>
              <w:t>(-3.59)</w:t>
            </w:r>
          </w:p>
        </w:tc>
        <w:tc>
          <w:tcPr>
            <w:tcW w:w="1696" w:type="dxa"/>
            <w:tcBorders>
              <w:top w:val="single" w:color="auto" w:sz="4" w:space="0"/>
              <w:left w:val="single" w:color="auto" w:sz="4" w:space="0"/>
              <w:bottom w:val="single" w:color="auto" w:sz="4" w:space="0"/>
              <w:right w:val="single" w:color="auto" w:sz="4" w:space="0"/>
            </w:tcBorders>
            <w:vAlign w:val="center"/>
          </w:tcPr>
          <w:p w14:paraId="72FFC0B6">
            <w:pPr>
              <w:pStyle w:val="81"/>
              <w:topLinePunct/>
              <w:adjustRightInd w:val="0"/>
              <w:snapToGrid w:val="0"/>
              <w:spacing w:line="240" w:lineRule="atLeast"/>
              <w:jc w:val="center"/>
              <w:rPr>
                <w:rFonts w:eastAsia="仿宋"/>
                <w:kern w:val="0"/>
                <w:szCs w:val="21"/>
              </w:rPr>
            </w:pPr>
            <w:r>
              <w:rPr>
                <w:rFonts w:eastAsia="仿宋"/>
                <w:kern w:val="0"/>
                <w:szCs w:val="21"/>
              </w:rPr>
              <w:t>0.6~2.8</w:t>
            </w:r>
          </w:p>
          <w:p w14:paraId="4B36EBDA">
            <w:pPr>
              <w:pStyle w:val="81"/>
              <w:topLinePunct/>
              <w:adjustRightInd w:val="0"/>
              <w:snapToGrid w:val="0"/>
              <w:spacing w:line="240" w:lineRule="atLeast"/>
              <w:jc w:val="center"/>
              <w:rPr>
                <w:rFonts w:eastAsia="仿宋"/>
                <w:kern w:val="0"/>
                <w:szCs w:val="21"/>
              </w:rPr>
            </w:pPr>
            <w:r>
              <w:rPr>
                <w:rFonts w:eastAsia="仿宋"/>
                <w:kern w:val="0"/>
                <w:szCs w:val="21"/>
              </w:rPr>
              <w:t>(1.44)</w:t>
            </w:r>
          </w:p>
        </w:tc>
        <w:tc>
          <w:tcPr>
            <w:tcW w:w="952" w:type="dxa"/>
            <w:tcBorders>
              <w:top w:val="single" w:color="auto" w:sz="4" w:space="0"/>
              <w:left w:val="single" w:color="auto" w:sz="4" w:space="0"/>
              <w:bottom w:val="single" w:color="auto" w:sz="4" w:space="0"/>
              <w:right w:val="single" w:color="auto" w:sz="4" w:space="0"/>
            </w:tcBorders>
            <w:vAlign w:val="center"/>
          </w:tcPr>
          <w:p w14:paraId="0A262BFD">
            <w:pPr>
              <w:pStyle w:val="81"/>
              <w:topLinePunct/>
              <w:adjustRightInd w:val="0"/>
              <w:snapToGrid w:val="0"/>
              <w:spacing w:line="240" w:lineRule="atLeast"/>
              <w:jc w:val="center"/>
              <w:rPr>
                <w:rFonts w:eastAsia="仿宋"/>
                <w:kern w:val="0"/>
                <w:szCs w:val="21"/>
              </w:rPr>
            </w:pPr>
            <w:r>
              <w:rPr>
                <w:rFonts w:hint="eastAsia" w:eastAsia="仿宋"/>
                <w:kern w:val="0"/>
                <w:szCs w:val="21"/>
              </w:rPr>
              <w:t>灰黄色</w:t>
            </w:r>
          </w:p>
        </w:tc>
        <w:tc>
          <w:tcPr>
            <w:tcW w:w="909" w:type="dxa"/>
            <w:tcBorders>
              <w:top w:val="single" w:color="auto" w:sz="4" w:space="0"/>
              <w:left w:val="single" w:color="auto" w:sz="4" w:space="0"/>
              <w:bottom w:val="single" w:color="auto" w:sz="4" w:space="0"/>
              <w:right w:val="single" w:color="auto" w:sz="4" w:space="0"/>
            </w:tcBorders>
            <w:vAlign w:val="center"/>
          </w:tcPr>
          <w:p w14:paraId="17799954">
            <w:pPr>
              <w:pStyle w:val="81"/>
              <w:topLinePunct/>
              <w:adjustRightInd w:val="0"/>
              <w:snapToGrid w:val="0"/>
              <w:spacing w:line="240" w:lineRule="atLeast"/>
              <w:jc w:val="center"/>
              <w:rPr>
                <w:rFonts w:eastAsia="仿宋"/>
                <w:kern w:val="0"/>
                <w:szCs w:val="21"/>
              </w:rPr>
            </w:pPr>
            <w:r>
              <w:rPr>
                <w:rFonts w:hint="eastAsia" w:eastAsia="仿宋"/>
                <w:kern w:val="0"/>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34B07EF7">
            <w:pPr>
              <w:pStyle w:val="81"/>
              <w:topLinePunct/>
              <w:adjustRightInd w:val="0"/>
              <w:snapToGrid w:val="0"/>
              <w:spacing w:line="240" w:lineRule="atLeast"/>
              <w:jc w:val="center"/>
              <w:rPr>
                <w:rFonts w:eastAsia="仿宋"/>
                <w:kern w:val="0"/>
                <w:szCs w:val="21"/>
              </w:rPr>
            </w:pPr>
            <w:r>
              <w:rPr>
                <w:rFonts w:hint="eastAsia" w:eastAsia="仿宋"/>
                <w:kern w:val="0"/>
                <w:szCs w:val="21"/>
              </w:rPr>
              <w:t>稍有光泽，韧性中等，干强度中等，此层上部以粉质粘土为主，夹少量粉土，底部局部以粉土为主，夹粉质粘土，属中压缩性土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1E34A45B">
            <w:pPr>
              <w:pStyle w:val="81"/>
              <w:topLinePunct/>
              <w:adjustRightInd w:val="0"/>
              <w:snapToGrid w:val="0"/>
              <w:spacing w:line="240" w:lineRule="atLeast"/>
              <w:jc w:val="center"/>
              <w:rPr>
                <w:rFonts w:eastAsia="仿宋"/>
                <w:kern w:val="0"/>
                <w:szCs w:val="21"/>
              </w:rPr>
            </w:pPr>
            <w:r>
              <w:rPr>
                <w:rFonts w:eastAsia="仿宋"/>
                <w:kern w:val="0"/>
                <w:szCs w:val="21"/>
              </w:rPr>
              <w:t>2.12</w:t>
            </w:r>
          </w:p>
        </w:tc>
        <w:tc>
          <w:tcPr>
            <w:tcW w:w="1233" w:type="dxa"/>
            <w:tcBorders>
              <w:top w:val="single" w:color="auto" w:sz="4" w:space="0"/>
              <w:left w:val="single" w:color="auto" w:sz="4" w:space="0"/>
              <w:bottom w:val="single" w:color="auto" w:sz="4" w:space="0"/>
              <w:right w:val="single" w:color="auto" w:sz="4" w:space="0"/>
            </w:tcBorders>
            <w:vAlign w:val="center"/>
          </w:tcPr>
          <w:p w14:paraId="73212B52">
            <w:pPr>
              <w:pStyle w:val="81"/>
              <w:topLinePunct/>
              <w:adjustRightInd w:val="0"/>
              <w:snapToGrid w:val="0"/>
              <w:spacing w:line="240" w:lineRule="atLeast"/>
              <w:jc w:val="center"/>
              <w:rPr>
                <w:rFonts w:eastAsia="仿宋"/>
                <w:kern w:val="0"/>
                <w:szCs w:val="21"/>
              </w:rPr>
            </w:pPr>
            <w:r>
              <w:rPr>
                <w:rFonts w:eastAsia="仿宋"/>
                <w:kern w:val="0"/>
                <w:szCs w:val="21"/>
              </w:rPr>
              <w:t>79</w:t>
            </w:r>
          </w:p>
        </w:tc>
      </w:tr>
      <w:tr w14:paraId="24DB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575FA7BA">
            <w:pPr>
              <w:topLinePunct/>
              <w:adjustRightInd w:val="0"/>
              <w:snapToGrid w:val="0"/>
              <w:jc w:val="center"/>
              <w:rPr>
                <w:rFonts w:ascii="Times New Roman" w:eastAsia="仿宋"/>
                <w:szCs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70447112">
            <w:pPr>
              <w:pStyle w:val="81"/>
              <w:topLinePunct/>
              <w:adjustRightInd w:val="0"/>
              <w:snapToGrid w:val="0"/>
              <w:spacing w:line="240" w:lineRule="atLeast"/>
              <w:jc w:val="center"/>
              <w:rPr>
                <w:rFonts w:eastAsia="仿宋"/>
                <w:kern w:val="0"/>
                <w:szCs w:val="21"/>
              </w:rPr>
            </w:pPr>
            <w:r>
              <w:rPr>
                <w:rFonts w:hint="eastAsia" w:eastAsia="仿宋"/>
                <w:kern w:val="0"/>
                <w:szCs w:val="21"/>
              </w:rPr>
              <w:t>⑤</w:t>
            </w:r>
            <w:r>
              <w:rPr>
                <w:rFonts w:eastAsia="仿宋"/>
                <w:kern w:val="0"/>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3BE465FA">
            <w:pPr>
              <w:pStyle w:val="81"/>
              <w:topLinePunct/>
              <w:adjustRightInd w:val="0"/>
              <w:snapToGrid w:val="0"/>
              <w:spacing w:line="240" w:lineRule="atLeast"/>
              <w:jc w:val="center"/>
              <w:rPr>
                <w:rFonts w:eastAsia="仿宋"/>
                <w:kern w:val="0"/>
                <w:szCs w:val="21"/>
              </w:rPr>
            </w:pPr>
            <w:r>
              <w:rPr>
                <w:rFonts w:hint="eastAsia" w:eastAsia="仿宋"/>
                <w:kern w:val="0"/>
                <w:szCs w:val="21"/>
              </w:rPr>
              <w:t>粉砂夹粉土</w:t>
            </w:r>
          </w:p>
        </w:tc>
        <w:tc>
          <w:tcPr>
            <w:tcW w:w="1702" w:type="dxa"/>
            <w:tcBorders>
              <w:top w:val="single" w:color="auto" w:sz="4" w:space="0"/>
              <w:left w:val="single" w:color="auto" w:sz="4" w:space="0"/>
              <w:bottom w:val="single" w:color="auto" w:sz="4" w:space="0"/>
              <w:right w:val="single" w:color="auto" w:sz="4" w:space="0"/>
            </w:tcBorders>
            <w:vAlign w:val="center"/>
          </w:tcPr>
          <w:p w14:paraId="2B404FE4">
            <w:pPr>
              <w:pStyle w:val="81"/>
              <w:topLinePunct/>
              <w:adjustRightInd w:val="0"/>
              <w:snapToGrid w:val="0"/>
              <w:spacing w:line="240" w:lineRule="atLeast"/>
              <w:jc w:val="center"/>
              <w:rPr>
                <w:rFonts w:eastAsia="仿宋"/>
                <w:kern w:val="0"/>
                <w:szCs w:val="21"/>
              </w:rPr>
            </w:pPr>
            <w:r>
              <w:rPr>
                <w:rFonts w:eastAsia="仿宋"/>
                <w:kern w:val="0"/>
                <w:szCs w:val="21"/>
              </w:rPr>
              <w:t>-23.73~-4.21</w:t>
            </w:r>
          </w:p>
          <w:p w14:paraId="631C65C6">
            <w:pPr>
              <w:pStyle w:val="81"/>
              <w:topLinePunct/>
              <w:adjustRightInd w:val="0"/>
              <w:snapToGrid w:val="0"/>
              <w:spacing w:line="240" w:lineRule="atLeast"/>
              <w:jc w:val="center"/>
              <w:rPr>
                <w:rFonts w:eastAsia="仿宋"/>
                <w:kern w:val="0"/>
                <w:szCs w:val="21"/>
              </w:rPr>
            </w:pPr>
            <w:r>
              <w:rPr>
                <w:rFonts w:eastAsia="仿宋"/>
                <w:kern w:val="0"/>
                <w:szCs w:val="21"/>
              </w:rPr>
              <w:t>(-7.36)</w:t>
            </w:r>
          </w:p>
        </w:tc>
        <w:tc>
          <w:tcPr>
            <w:tcW w:w="1696" w:type="dxa"/>
            <w:tcBorders>
              <w:top w:val="single" w:color="auto" w:sz="4" w:space="0"/>
              <w:left w:val="single" w:color="auto" w:sz="4" w:space="0"/>
              <w:bottom w:val="single" w:color="auto" w:sz="4" w:space="0"/>
              <w:right w:val="single" w:color="auto" w:sz="4" w:space="0"/>
            </w:tcBorders>
            <w:vAlign w:val="center"/>
          </w:tcPr>
          <w:p w14:paraId="5CFEDE5A">
            <w:pPr>
              <w:pStyle w:val="81"/>
              <w:topLinePunct/>
              <w:adjustRightInd w:val="0"/>
              <w:snapToGrid w:val="0"/>
              <w:spacing w:line="240" w:lineRule="atLeast"/>
              <w:jc w:val="center"/>
              <w:rPr>
                <w:rFonts w:eastAsia="仿宋"/>
                <w:kern w:val="0"/>
                <w:szCs w:val="21"/>
              </w:rPr>
            </w:pPr>
            <w:r>
              <w:rPr>
                <w:rFonts w:eastAsia="仿宋"/>
                <w:kern w:val="0"/>
                <w:szCs w:val="21"/>
              </w:rPr>
              <w:t>0.3~19.2</w:t>
            </w:r>
          </w:p>
          <w:p w14:paraId="3F2E916C">
            <w:pPr>
              <w:pStyle w:val="81"/>
              <w:topLinePunct/>
              <w:adjustRightInd w:val="0"/>
              <w:snapToGrid w:val="0"/>
              <w:spacing w:line="240" w:lineRule="atLeast"/>
              <w:jc w:val="center"/>
              <w:rPr>
                <w:rFonts w:eastAsia="仿宋"/>
                <w:kern w:val="0"/>
                <w:szCs w:val="21"/>
              </w:rPr>
            </w:pPr>
            <w:r>
              <w:rPr>
                <w:rFonts w:eastAsia="仿宋"/>
                <w:kern w:val="0"/>
                <w:szCs w:val="21"/>
              </w:rPr>
              <w:t>(3.68)</w:t>
            </w:r>
          </w:p>
        </w:tc>
        <w:tc>
          <w:tcPr>
            <w:tcW w:w="952" w:type="dxa"/>
            <w:tcBorders>
              <w:top w:val="single" w:color="auto" w:sz="4" w:space="0"/>
              <w:left w:val="single" w:color="auto" w:sz="4" w:space="0"/>
              <w:bottom w:val="single" w:color="auto" w:sz="4" w:space="0"/>
              <w:right w:val="single" w:color="auto" w:sz="4" w:space="0"/>
            </w:tcBorders>
            <w:vAlign w:val="center"/>
          </w:tcPr>
          <w:p w14:paraId="0ABB43CE">
            <w:pPr>
              <w:pStyle w:val="81"/>
              <w:topLinePunct/>
              <w:adjustRightInd w:val="0"/>
              <w:snapToGrid w:val="0"/>
              <w:spacing w:line="240" w:lineRule="atLeast"/>
              <w:jc w:val="center"/>
              <w:rPr>
                <w:rFonts w:eastAsia="仿宋"/>
                <w:kern w:val="0"/>
                <w:szCs w:val="21"/>
              </w:rPr>
            </w:pPr>
            <w:r>
              <w:rPr>
                <w:rFonts w:hint="eastAsia" w:eastAsia="仿宋"/>
                <w:kern w:val="0"/>
                <w:szCs w:val="21"/>
              </w:rPr>
              <w:t>灰黄色</w:t>
            </w:r>
          </w:p>
        </w:tc>
        <w:tc>
          <w:tcPr>
            <w:tcW w:w="909" w:type="dxa"/>
            <w:tcBorders>
              <w:top w:val="single" w:color="auto" w:sz="4" w:space="0"/>
              <w:left w:val="single" w:color="auto" w:sz="4" w:space="0"/>
              <w:bottom w:val="single" w:color="auto" w:sz="4" w:space="0"/>
              <w:right w:val="single" w:color="auto" w:sz="4" w:space="0"/>
            </w:tcBorders>
            <w:vAlign w:val="center"/>
          </w:tcPr>
          <w:p w14:paraId="406C2C42">
            <w:pPr>
              <w:pStyle w:val="81"/>
              <w:topLinePunct/>
              <w:adjustRightInd w:val="0"/>
              <w:snapToGrid w:val="0"/>
              <w:spacing w:line="240" w:lineRule="atLeast"/>
              <w:jc w:val="center"/>
              <w:rPr>
                <w:rFonts w:eastAsia="仿宋"/>
                <w:kern w:val="0"/>
                <w:szCs w:val="21"/>
              </w:rPr>
            </w:pPr>
            <w:r>
              <w:rPr>
                <w:rFonts w:hint="eastAsia" w:eastAsia="仿宋"/>
                <w:kern w:val="0"/>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4F69F6BD">
            <w:pPr>
              <w:pStyle w:val="81"/>
              <w:topLinePunct/>
              <w:adjustRightInd w:val="0"/>
              <w:snapToGrid w:val="0"/>
              <w:spacing w:line="240" w:lineRule="atLeast"/>
              <w:jc w:val="center"/>
              <w:rPr>
                <w:rFonts w:eastAsia="仿宋"/>
                <w:kern w:val="0"/>
                <w:szCs w:val="21"/>
              </w:rPr>
            </w:pPr>
            <w:r>
              <w:rPr>
                <w:rFonts w:hint="eastAsia" w:eastAsia="仿宋"/>
                <w:kern w:val="0"/>
                <w:szCs w:val="21"/>
              </w:rPr>
              <w:t>饱和，主要矿物成分为石英、长石，含云母碎屑，颗粒级配差，夹粉土，属中压缩性土。此层场地厚度变化较大，北部薄，向南部变厚，夹粉土较多</w:t>
            </w:r>
          </w:p>
        </w:tc>
        <w:tc>
          <w:tcPr>
            <w:tcW w:w="1071" w:type="dxa"/>
            <w:tcBorders>
              <w:top w:val="single" w:color="auto" w:sz="4" w:space="0"/>
              <w:left w:val="single" w:color="auto" w:sz="4" w:space="0"/>
              <w:bottom w:val="single" w:color="auto" w:sz="4" w:space="0"/>
              <w:right w:val="single" w:color="auto" w:sz="4" w:space="0"/>
            </w:tcBorders>
            <w:vAlign w:val="center"/>
          </w:tcPr>
          <w:p w14:paraId="67D8BB24">
            <w:pPr>
              <w:pStyle w:val="81"/>
              <w:topLinePunct/>
              <w:adjustRightInd w:val="0"/>
              <w:snapToGrid w:val="0"/>
              <w:spacing w:line="240" w:lineRule="atLeast"/>
              <w:jc w:val="center"/>
              <w:rPr>
                <w:rFonts w:eastAsia="仿宋"/>
                <w:kern w:val="0"/>
                <w:szCs w:val="21"/>
              </w:rPr>
            </w:pPr>
            <w:r>
              <w:rPr>
                <w:rFonts w:eastAsia="仿宋"/>
                <w:kern w:val="0"/>
                <w:szCs w:val="21"/>
              </w:rPr>
              <w:t>7.63</w:t>
            </w:r>
          </w:p>
        </w:tc>
        <w:tc>
          <w:tcPr>
            <w:tcW w:w="1233" w:type="dxa"/>
            <w:tcBorders>
              <w:top w:val="single" w:color="auto" w:sz="4" w:space="0"/>
              <w:left w:val="single" w:color="auto" w:sz="4" w:space="0"/>
              <w:bottom w:val="single" w:color="auto" w:sz="4" w:space="0"/>
              <w:right w:val="single" w:color="auto" w:sz="4" w:space="0"/>
            </w:tcBorders>
            <w:vAlign w:val="center"/>
          </w:tcPr>
          <w:p w14:paraId="190DC552">
            <w:pPr>
              <w:pStyle w:val="81"/>
              <w:topLinePunct/>
              <w:adjustRightInd w:val="0"/>
              <w:snapToGrid w:val="0"/>
              <w:spacing w:line="240" w:lineRule="atLeast"/>
              <w:jc w:val="center"/>
              <w:rPr>
                <w:rFonts w:eastAsia="仿宋"/>
                <w:kern w:val="0"/>
                <w:szCs w:val="21"/>
              </w:rPr>
            </w:pPr>
            <w:r>
              <w:rPr>
                <w:rFonts w:eastAsia="仿宋"/>
                <w:kern w:val="0"/>
                <w:szCs w:val="21"/>
              </w:rPr>
              <w:t>102</w:t>
            </w:r>
          </w:p>
        </w:tc>
      </w:tr>
      <w:tr w14:paraId="0045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6E84CAAE">
            <w:pPr>
              <w:topLinePunct/>
              <w:adjustRightInd w:val="0"/>
              <w:snapToGrid w:val="0"/>
              <w:jc w:val="center"/>
              <w:rPr>
                <w:rFonts w:ascii="Times New Roman" w:eastAsia="仿宋"/>
                <w:szCs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6C062685">
            <w:pPr>
              <w:pStyle w:val="81"/>
              <w:topLinePunct/>
              <w:adjustRightInd w:val="0"/>
              <w:snapToGrid w:val="0"/>
              <w:spacing w:line="240" w:lineRule="atLeast"/>
              <w:jc w:val="center"/>
              <w:rPr>
                <w:rFonts w:eastAsia="仿宋"/>
                <w:kern w:val="0"/>
                <w:szCs w:val="21"/>
              </w:rPr>
            </w:pPr>
            <w:r>
              <w:rPr>
                <w:rFonts w:hint="eastAsia" w:eastAsia="仿宋"/>
                <w:kern w:val="0"/>
                <w:szCs w:val="21"/>
              </w:rPr>
              <w:t>⑤</w:t>
            </w:r>
            <w:r>
              <w:rPr>
                <w:rFonts w:eastAsia="仿宋"/>
                <w:kern w:val="0"/>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709E0BCE">
            <w:pPr>
              <w:pStyle w:val="81"/>
              <w:topLinePunct/>
              <w:adjustRightInd w:val="0"/>
              <w:snapToGrid w:val="0"/>
              <w:spacing w:line="240" w:lineRule="atLeast"/>
              <w:jc w:val="center"/>
              <w:rPr>
                <w:rFonts w:eastAsia="仿宋"/>
                <w:kern w:val="0"/>
                <w:szCs w:val="21"/>
              </w:rPr>
            </w:pPr>
            <w:r>
              <w:rPr>
                <w:rFonts w:hint="eastAsia" w:eastAsia="仿宋"/>
                <w:kern w:val="0"/>
                <w:szCs w:val="21"/>
              </w:rPr>
              <w:t>粉砂</w:t>
            </w:r>
          </w:p>
        </w:tc>
        <w:tc>
          <w:tcPr>
            <w:tcW w:w="1702" w:type="dxa"/>
            <w:tcBorders>
              <w:top w:val="single" w:color="auto" w:sz="4" w:space="0"/>
              <w:left w:val="single" w:color="auto" w:sz="4" w:space="0"/>
              <w:bottom w:val="single" w:color="auto" w:sz="4" w:space="0"/>
              <w:right w:val="single" w:color="auto" w:sz="4" w:space="0"/>
            </w:tcBorders>
            <w:vAlign w:val="center"/>
          </w:tcPr>
          <w:p w14:paraId="5CA7ECA3">
            <w:pPr>
              <w:pStyle w:val="81"/>
              <w:topLinePunct/>
              <w:adjustRightInd w:val="0"/>
              <w:snapToGrid w:val="0"/>
              <w:spacing w:line="240" w:lineRule="atLeast"/>
              <w:jc w:val="center"/>
              <w:rPr>
                <w:rFonts w:eastAsia="仿宋"/>
                <w:kern w:val="0"/>
                <w:szCs w:val="21"/>
              </w:rPr>
            </w:pPr>
            <w:r>
              <w:rPr>
                <w:rFonts w:eastAsia="仿宋"/>
                <w:kern w:val="0"/>
                <w:szCs w:val="21"/>
              </w:rPr>
              <w:t>-23.82~-20.10</w:t>
            </w:r>
          </w:p>
          <w:p w14:paraId="03D54BB3">
            <w:pPr>
              <w:pStyle w:val="81"/>
              <w:topLinePunct/>
              <w:adjustRightInd w:val="0"/>
              <w:snapToGrid w:val="0"/>
              <w:spacing w:line="240" w:lineRule="atLeast"/>
              <w:jc w:val="center"/>
              <w:rPr>
                <w:rFonts w:eastAsia="仿宋"/>
                <w:kern w:val="0"/>
                <w:szCs w:val="21"/>
              </w:rPr>
            </w:pPr>
            <w:r>
              <w:rPr>
                <w:rFonts w:eastAsia="仿宋"/>
                <w:kern w:val="0"/>
                <w:szCs w:val="21"/>
              </w:rPr>
              <w:t>(-23.25)</w:t>
            </w:r>
          </w:p>
        </w:tc>
        <w:tc>
          <w:tcPr>
            <w:tcW w:w="1696" w:type="dxa"/>
            <w:tcBorders>
              <w:top w:val="single" w:color="auto" w:sz="4" w:space="0"/>
              <w:left w:val="single" w:color="auto" w:sz="4" w:space="0"/>
              <w:bottom w:val="single" w:color="auto" w:sz="4" w:space="0"/>
              <w:right w:val="single" w:color="auto" w:sz="4" w:space="0"/>
            </w:tcBorders>
            <w:vAlign w:val="center"/>
          </w:tcPr>
          <w:p w14:paraId="54299F46">
            <w:pPr>
              <w:pStyle w:val="81"/>
              <w:topLinePunct/>
              <w:adjustRightInd w:val="0"/>
              <w:snapToGrid w:val="0"/>
              <w:spacing w:line="240" w:lineRule="atLeast"/>
              <w:jc w:val="center"/>
              <w:rPr>
                <w:rFonts w:eastAsia="仿宋"/>
                <w:kern w:val="0"/>
                <w:szCs w:val="21"/>
              </w:rPr>
            </w:pPr>
            <w:r>
              <w:rPr>
                <w:rFonts w:eastAsia="仿宋"/>
                <w:kern w:val="0"/>
                <w:szCs w:val="21"/>
              </w:rPr>
              <w:t>1.0~13.6</w:t>
            </w:r>
          </w:p>
          <w:p w14:paraId="6934BDA4">
            <w:pPr>
              <w:pStyle w:val="81"/>
              <w:topLinePunct/>
              <w:adjustRightInd w:val="0"/>
              <w:snapToGrid w:val="0"/>
              <w:spacing w:line="240" w:lineRule="atLeast"/>
              <w:jc w:val="center"/>
              <w:rPr>
                <w:rFonts w:eastAsia="仿宋"/>
                <w:kern w:val="0"/>
                <w:szCs w:val="21"/>
              </w:rPr>
            </w:pPr>
            <w:r>
              <w:rPr>
                <w:rFonts w:eastAsia="仿宋"/>
                <w:kern w:val="0"/>
                <w:szCs w:val="21"/>
              </w:rPr>
              <w:t>(8.29)</w:t>
            </w:r>
          </w:p>
        </w:tc>
        <w:tc>
          <w:tcPr>
            <w:tcW w:w="952" w:type="dxa"/>
            <w:tcBorders>
              <w:top w:val="single" w:color="auto" w:sz="4" w:space="0"/>
              <w:left w:val="single" w:color="auto" w:sz="4" w:space="0"/>
              <w:bottom w:val="single" w:color="auto" w:sz="4" w:space="0"/>
              <w:right w:val="single" w:color="auto" w:sz="4" w:space="0"/>
            </w:tcBorders>
            <w:vAlign w:val="center"/>
          </w:tcPr>
          <w:p w14:paraId="1CDF1B1C">
            <w:pPr>
              <w:pStyle w:val="81"/>
              <w:topLinePunct/>
              <w:adjustRightInd w:val="0"/>
              <w:snapToGrid w:val="0"/>
              <w:spacing w:line="240" w:lineRule="atLeast"/>
              <w:jc w:val="center"/>
              <w:rPr>
                <w:rFonts w:eastAsia="仿宋"/>
                <w:kern w:val="0"/>
                <w:szCs w:val="21"/>
              </w:rPr>
            </w:pPr>
            <w:r>
              <w:rPr>
                <w:rFonts w:hint="eastAsia" w:eastAsia="仿宋"/>
                <w:kern w:val="0"/>
                <w:szCs w:val="21"/>
              </w:rPr>
              <w:t>灰黄色</w:t>
            </w:r>
          </w:p>
        </w:tc>
        <w:tc>
          <w:tcPr>
            <w:tcW w:w="909" w:type="dxa"/>
            <w:tcBorders>
              <w:top w:val="single" w:color="auto" w:sz="4" w:space="0"/>
              <w:left w:val="single" w:color="auto" w:sz="4" w:space="0"/>
              <w:bottom w:val="single" w:color="auto" w:sz="4" w:space="0"/>
              <w:right w:val="single" w:color="auto" w:sz="4" w:space="0"/>
            </w:tcBorders>
            <w:vAlign w:val="center"/>
          </w:tcPr>
          <w:p w14:paraId="6EC02984">
            <w:pPr>
              <w:pStyle w:val="81"/>
              <w:topLinePunct/>
              <w:adjustRightInd w:val="0"/>
              <w:snapToGrid w:val="0"/>
              <w:spacing w:line="240" w:lineRule="atLeast"/>
              <w:jc w:val="center"/>
              <w:rPr>
                <w:rFonts w:eastAsia="仿宋"/>
                <w:kern w:val="0"/>
                <w:szCs w:val="21"/>
              </w:rPr>
            </w:pPr>
            <w:r>
              <w:rPr>
                <w:rFonts w:hint="eastAsia" w:eastAsia="仿宋"/>
                <w:kern w:val="0"/>
                <w:szCs w:val="21"/>
              </w:rPr>
              <w:t>密实</w:t>
            </w:r>
          </w:p>
        </w:tc>
        <w:tc>
          <w:tcPr>
            <w:tcW w:w="3749" w:type="dxa"/>
            <w:tcBorders>
              <w:top w:val="single" w:color="auto" w:sz="4" w:space="0"/>
              <w:left w:val="single" w:color="auto" w:sz="4" w:space="0"/>
              <w:bottom w:val="single" w:color="auto" w:sz="4" w:space="0"/>
              <w:right w:val="single" w:color="auto" w:sz="4" w:space="0"/>
            </w:tcBorders>
            <w:vAlign w:val="center"/>
          </w:tcPr>
          <w:p w14:paraId="7DE1C079">
            <w:pPr>
              <w:pStyle w:val="81"/>
              <w:topLinePunct/>
              <w:adjustRightInd w:val="0"/>
              <w:snapToGrid w:val="0"/>
              <w:spacing w:line="240" w:lineRule="atLeast"/>
              <w:jc w:val="center"/>
              <w:rPr>
                <w:rFonts w:eastAsia="仿宋"/>
                <w:kern w:val="0"/>
                <w:szCs w:val="21"/>
              </w:rPr>
            </w:pPr>
            <w:r>
              <w:rPr>
                <w:rFonts w:hint="eastAsia" w:eastAsia="仿宋"/>
                <w:kern w:val="0"/>
                <w:szCs w:val="21"/>
              </w:rPr>
              <w:t>主要矿物成分为石英、长石，含云母碎片，偶见姜结石，此层在场地中南侧分布，北部缺失，属中缩性土</w:t>
            </w:r>
          </w:p>
        </w:tc>
        <w:tc>
          <w:tcPr>
            <w:tcW w:w="1071" w:type="dxa"/>
            <w:tcBorders>
              <w:top w:val="single" w:color="auto" w:sz="4" w:space="0"/>
              <w:left w:val="single" w:color="auto" w:sz="4" w:space="0"/>
              <w:bottom w:val="single" w:color="auto" w:sz="4" w:space="0"/>
              <w:right w:val="single" w:color="auto" w:sz="4" w:space="0"/>
            </w:tcBorders>
            <w:vAlign w:val="center"/>
          </w:tcPr>
          <w:p w14:paraId="311E2918">
            <w:pPr>
              <w:pStyle w:val="81"/>
              <w:topLinePunct/>
              <w:adjustRightInd w:val="0"/>
              <w:snapToGrid w:val="0"/>
              <w:spacing w:line="240" w:lineRule="atLeast"/>
              <w:jc w:val="center"/>
              <w:rPr>
                <w:rFonts w:eastAsia="仿宋"/>
                <w:kern w:val="0"/>
                <w:szCs w:val="21"/>
              </w:rPr>
            </w:pPr>
            <w:r>
              <w:rPr>
                <w:rFonts w:eastAsia="仿宋"/>
                <w:kern w:val="0"/>
                <w:szCs w:val="21"/>
              </w:rPr>
              <w:t>15.34</w:t>
            </w:r>
          </w:p>
        </w:tc>
        <w:tc>
          <w:tcPr>
            <w:tcW w:w="1233" w:type="dxa"/>
            <w:tcBorders>
              <w:top w:val="single" w:color="auto" w:sz="4" w:space="0"/>
              <w:left w:val="single" w:color="auto" w:sz="4" w:space="0"/>
              <w:bottom w:val="single" w:color="auto" w:sz="4" w:space="0"/>
              <w:right w:val="single" w:color="auto" w:sz="4" w:space="0"/>
            </w:tcBorders>
            <w:vAlign w:val="center"/>
          </w:tcPr>
          <w:p w14:paraId="1A357810">
            <w:pPr>
              <w:pStyle w:val="81"/>
              <w:topLinePunct/>
              <w:adjustRightInd w:val="0"/>
              <w:snapToGrid w:val="0"/>
              <w:spacing w:line="240" w:lineRule="atLeast"/>
              <w:jc w:val="center"/>
              <w:rPr>
                <w:rFonts w:eastAsia="仿宋"/>
                <w:kern w:val="0"/>
                <w:szCs w:val="21"/>
              </w:rPr>
            </w:pPr>
            <w:r>
              <w:rPr>
                <w:rFonts w:eastAsia="仿宋"/>
                <w:kern w:val="0"/>
                <w:szCs w:val="21"/>
              </w:rPr>
              <w:t>163</w:t>
            </w:r>
          </w:p>
        </w:tc>
      </w:tr>
      <w:tr w14:paraId="252E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restart"/>
            <w:tcBorders>
              <w:top w:val="single" w:color="auto" w:sz="4" w:space="0"/>
              <w:left w:val="single" w:color="auto" w:sz="4" w:space="0"/>
              <w:bottom w:val="single" w:color="auto" w:sz="4" w:space="0"/>
              <w:right w:val="single" w:color="auto" w:sz="4" w:space="0"/>
            </w:tcBorders>
            <w:vAlign w:val="center"/>
          </w:tcPr>
          <w:p w14:paraId="1ED26138">
            <w:pPr>
              <w:topLinePunct/>
              <w:adjustRightInd w:val="0"/>
              <w:snapToGrid w:val="0"/>
              <w:jc w:val="center"/>
              <w:rPr>
                <w:rFonts w:ascii="Times New Roman" w:eastAsia="仿宋"/>
                <w:szCs w:val="21"/>
              </w:rPr>
            </w:pPr>
            <w:r>
              <w:rPr>
                <w:rFonts w:ascii="Times New Roman" w:eastAsia="仿宋"/>
                <w:szCs w:val="21"/>
              </w:rPr>
              <w:t>Q3al</w:t>
            </w:r>
          </w:p>
        </w:tc>
        <w:tc>
          <w:tcPr>
            <w:tcW w:w="1003" w:type="dxa"/>
            <w:tcBorders>
              <w:top w:val="single" w:color="auto" w:sz="4" w:space="0"/>
              <w:left w:val="single" w:color="auto" w:sz="4" w:space="0"/>
              <w:bottom w:val="single" w:color="auto" w:sz="4" w:space="0"/>
              <w:right w:val="single" w:color="auto" w:sz="4" w:space="0"/>
            </w:tcBorders>
            <w:vAlign w:val="center"/>
          </w:tcPr>
          <w:p w14:paraId="2D1D6664">
            <w:pPr>
              <w:topLinePunct/>
              <w:adjustRightInd w:val="0"/>
              <w:snapToGrid w:val="0"/>
              <w:jc w:val="center"/>
              <w:rPr>
                <w:rFonts w:ascii="Times New Roman" w:eastAsia="仿宋"/>
                <w:szCs w:val="21"/>
              </w:rPr>
            </w:pPr>
            <w:r>
              <w:rPr>
                <w:rFonts w:hint="eastAsia" w:ascii="Times New Roman" w:eastAsia="仿宋"/>
                <w:szCs w:val="21"/>
              </w:rPr>
              <w:t>⑥</w:t>
            </w:r>
            <w:r>
              <w:rPr>
                <w:rFonts w:ascii="Times New Roman" w:eastAsia="仿宋"/>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3D4F1AD4">
            <w:pPr>
              <w:topLinePunct/>
              <w:adjustRightInd w:val="0"/>
              <w:snapToGrid w:val="0"/>
              <w:jc w:val="center"/>
              <w:rPr>
                <w:rFonts w:ascii="Times New Roman" w:eastAsia="仿宋"/>
                <w:szCs w:val="21"/>
              </w:rPr>
            </w:pPr>
            <w:r>
              <w:rPr>
                <w:rFonts w:hint="eastAsia" w:ascii="Times New Roman" w:eastAsia="仿宋"/>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468B98AB">
            <w:pPr>
              <w:topLinePunct/>
              <w:adjustRightInd w:val="0"/>
              <w:snapToGrid w:val="0"/>
              <w:jc w:val="center"/>
              <w:rPr>
                <w:rFonts w:ascii="Times New Roman" w:eastAsia="仿宋"/>
                <w:szCs w:val="21"/>
              </w:rPr>
            </w:pPr>
            <w:r>
              <w:rPr>
                <w:rFonts w:ascii="Times New Roman" w:eastAsia="仿宋"/>
                <w:szCs w:val="21"/>
              </w:rPr>
              <w:t>-13.35~-11.22</w:t>
            </w:r>
          </w:p>
          <w:p w14:paraId="659D482A">
            <w:pPr>
              <w:topLinePunct/>
              <w:adjustRightInd w:val="0"/>
              <w:snapToGrid w:val="0"/>
              <w:jc w:val="center"/>
              <w:rPr>
                <w:rFonts w:ascii="Times New Roman" w:eastAsia="仿宋"/>
                <w:szCs w:val="21"/>
              </w:rPr>
            </w:pPr>
            <w:r>
              <w:rPr>
                <w:rFonts w:ascii="Times New Roman" w:eastAsia="仿宋"/>
                <w:szCs w:val="21"/>
              </w:rPr>
              <w:t>(-12.16)</w:t>
            </w:r>
          </w:p>
        </w:tc>
        <w:tc>
          <w:tcPr>
            <w:tcW w:w="1696" w:type="dxa"/>
            <w:tcBorders>
              <w:top w:val="single" w:color="auto" w:sz="4" w:space="0"/>
              <w:left w:val="single" w:color="auto" w:sz="4" w:space="0"/>
              <w:bottom w:val="single" w:color="auto" w:sz="4" w:space="0"/>
              <w:right w:val="single" w:color="auto" w:sz="4" w:space="0"/>
            </w:tcBorders>
            <w:vAlign w:val="center"/>
          </w:tcPr>
          <w:p w14:paraId="1A695A23">
            <w:pPr>
              <w:topLinePunct/>
              <w:adjustRightInd w:val="0"/>
              <w:snapToGrid w:val="0"/>
              <w:jc w:val="center"/>
              <w:rPr>
                <w:rFonts w:ascii="Times New Roman" w:eastAsia="仿宋"/>
                <w:szCs w:val="21"/>
              </w:rPr>
            </w:pPr>
            <w:r>
              <w:rPr>
                <w:rFonts w:ascii="Times New Roman" w:eastAsia="仿宋"/>
                <w:szCs w:val="21"/>
              </w:rPr>
              <w:t>5.8~8.2</w:t>
            </w:r>
          </w:p>
          <w:p w14:paraId="3DCB83D7">
            <w:pPr>
              <w:topLinePunct/>
              <w:adjustRightInd w:val="0"/>
              <w:snapToGrid w:val="0"/>
              <w:jc w:val="center"/>
              <w:rPr>
                <w:rFonts w:ascii="Times New Roman" w:eastAsia="仿宋"/>
                <w:szCs w:val="21"/>
              </w:rPr>
            </w:pPr>
            <w:r>
              <w:rPr>
                <w:rFonts w:ascii="Times New Roman" w:eastAsia="仿宋"/>
                <w:szCs w:val="21"/>
              </w:rPr>
              <w:t>(7.12)</w:t>
            </w:r>
          </w:p>
        </w:tc>
        <w:tc>
          <w:tcPr>
            <w:tcW w:w="952" w:type="dxa"/>
            <w:tcBorders>
              <w:top w:val="single" w:color="auto" w:sz="4" w:space="0"/>
              <w:left w:val="single" w:color="auto" w:sz="4" w:space="0"/>
              <w:bottom w:val="single" w:color="auto" w:sz="4" w:space="0"/>
              <w:right w:val="single" w:color="auto" w:sz="4" w:space="0"/>
            </w:tcBorders>
            <w:vAlign w:val="center"/>
          </w:tcPr>
          <w:p w14:paraId="297104CB">
            <w:pPr>
              <w:topLinePunct/>
              <w:adjustRightInd w:val="0"/>
              <w:snapToGrid w:val="0"/>
              <w:jc w:val="center"/>
              <w:rPr>
                <w:rFonts w:ascii="Times New Roman" w:eastAsia="仿宋"/>
                <w:szCs w:val="21"/>
              </w:rPr>
            </w:pPr>
            <w:r>
              <w:rPr>
                <w:rFonts w:hint="eastAsia" w:ascii="Times New Roman" w:eastAsia="仿宋"/>
                <w:szCs w:val="21"/>
              </w:rPr>
              <w:t>灰</w:t>
            </w:r>
            <w:r>
              <w:rPr>
                <w:rFonts w:ascii="Times New Roman" w:eastAsia="仿宋"/>
                <w:szCs w:val="21"/>
              </w:rPr>
              <w:t>~</w:t>
            </w:r>
            <w:r>
              <w:rPr>
                <w:rFonts w:hint="eastAsia" w:ascii="Times New Roman" w:eastAsia="仿宋"/>
                <w:szCs w:val="21"/>
              </w:rPr>
              <w:t>绿灰色</w:t>
            </w:r>
          </w:p>
        </w:tc>
        <w:tc>
          <w:tcPr>
            <w:tcW w:w="909" w:type="dxa"/>
            <w:tcBorders>
              <w:top w:val="single" w:color="auto" w:sz="4" w:space="0"/>
              <w:left w:val="single" w:color="auto" w:sz="4" w:space="0"/>
              <w:bottom w:val="single" w:color="auto" w:sz="4" w:space="0"/>
              <w:right w:val="single" w:color="auto" w:sz="4" w:space="0"/>
            </w:tcBorders>
            <w:vAlign w:val="center"/>
          </w:tcPr>
          <w:p w14:paraId="6306B107">
            <w:pPr>
              <w:topLinePunct/>
              <w:adjustRightInd w:val="0"/>
              <w:snapToGrid w:val="0"/>
              <w:jc w:val="center"/>
              <w:rPr>
                <w:rFonts w:ascii="Times New Roman" w:eastAsia="仿宋"/>
                <w:szCs w:val="21"/>
              </w:rPr>
            </w:pPr>
            <w:r>
              <w:rPr>
                <w:rFonts w:hint="eastAsia" w:ascii="Times New Roman" w:eastAsia="仿宋"/>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5B2CBA54">
            <w:pPr>
              <w:topLinePunct/>
              <w:adjustRightInd w:val="0"/>
              <w:snapToGrid w:val="0"/>
              <w:jc w:val="center"/>
              <w:rPr>
                <w:rFonts w:ascii="Times New Roman" w:eastAsia="仿宋"/>
                <w:szCs w:val="21"/>
              </w:rPr>
            </w:pPr>
            <w:r>
              <w:rPr>
                <w:rFonts w:hint="eastAsia" w:ascii="Times New Roman" w:eastAsia="仿宋"/>
                <w:szCs w:val="21"/>
              </w:rPr>
              <w:t>稍有光泽，韧性中等，干强度中等，局部夹粉土，局部为软塑状粉质粘土，含少量有机物，属中压缩性土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4D0E9700">
            <w:pPr>
              <w:topLinePunct/>
              <w:adjustRightInd w:val="0"/>
              <w:snapToGrid w:val="0"/>
              <w:jc w:val="center"/>
              <w:rPr>
                <w:rFonts w:ascii="Times New Roman" w:eastAsia="仿宋"/>
                <w:szCs w:val="21"/>
              </w:rPr>
            </w:pPr>
            <w:r>
              <w:rPr>
                <w:rFonts w:ascii="Times New Roman" w:eastAsia="仿宋"/>
                <w:szCs w:val="21"/>
              </w:rPr>
              <w:t>1.59</w:t>
            </w:r>
          </w:p>
        </w:tc>
        <w:tc>
          <w:tcPr>
            <w:tcW w:w="1233" w:type="dxa"/>
            <w:tcBorders>
              <w:top w:val="single" w:color="auto" w:sz="4" w:space="0"/>
              <w:left w:val="single" w:color="auto" w:sz="4" w:space="0"/>
              <w:bottom w:val="single" w:color="auto" w:sz="4" w:space="0"/>
              <w:right w:val="single" w:color="auto" w:sz="4" w:space="0"/>
            </w:tcBorders>
            <w:vAlign w:val="center"/>
          </w:tcPr>
          <w:p w14:paraId="2C4FB31B">
            <w:pPr>
              <w:topLinePunct/>
              <w:adjustRightInd w:val="0"/>
              <w:snapToGrid w:val="0"/>
              <w:jc w:val="center"/>
              <w:rPr>
                <w:rFonts w:ascii="Times New Roman" w:eastAsia="仿宋"/>
                <w:szCs w:val="21"/>
              </w:rPr>
            </w:pPr>
            <w:r>
              <w:rPr>
                <w:rFonts w:ascii="Times New Roman" w:eastAsia="仿宋"/>
                <w:szCs w:val="21"/>
              </w:rPr>
              <w:t>42</w:t>
            </w:r>
          </w:p>
        </w:tc>
      </w:tr>
      <w:tr w14:paraId="63BF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1F08153F">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45715258">
            <w:pPr>
              <w:topLinePunct/>
              <w:adjustRightInd w:val="0"/>
              <w:snapToGrid w:val="0"/>
              <w:jc w:val="center"/>
              <w:rPr>
                <w:rFonts w:ascii="Times New Roman" w:eastAsia="仿宋"/>
                <w:szCs w:val="21"/>
              </w:rPr>
            </w:pPr>
            <w:r>
              <w:rPr>
                <w:rFonts w:hint="eastAsia" w:ascii="Times New Roman" w:eastAsia="仿宋"/>
                <w:szCs w:val="21"/>
              </w:rPr>
              <w:t>⑥</w:t>
            </w:r>
            <w:r>
              <w:rPr>
                <w:rFonts w:ascii="Times New Roman" w:eastAsia="仿宋"/>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25A8BDFF">
            <w:pPr>
              <w:topLinePunct/>
              <w:adjustRightInd w:val="0"/>
              <w:snapToGrid w:val="0"/>
              <w:jc w:val="center"/>
              <w:rPr>
                <w:rFonts w:ascii="Times New Roman" w:eastAsia="仿宋"/>
                <w:szCs w:val="21"/>
              </w:rPr>
            </w:pPr>
            <w:r>
              <w:rPr>
                <w:rFonts w:hint="eastAsia" w:ascii="Times New Roman" w:eastAsia="仿宋"/>
                <w:szCs w:val="21"/>
              </w:rPr>
              <w:t>粉土夹粉质粘土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165184C7">
            <w:pPr>
              <w:topLinePunct/>
              <w:adjustRightInd w:val="0"/>
              <w:snapToGrid w:val="0"/>
              <w:jc w:val="center"/>
              <w:rPr>
                <w:rFonts w:ascii="Times New Roman" w:eastAsia="仿宋"/>
                <w:szCs w:val="21"/>
              </w:rPr>
            </w:pPr>
            <w:r>
              <w:rPr>
                <w:rFonts w:ascii="Times New Roman" w:eastAsia="仿宋"/>
                <w:szCs w:val="21"/>
              </w:rPr>
              <w:t>-19.74~-16.77</w:t>
            </w:r>
          </w:p>
          <w:p w14:paraId="26549A1E">
            <w:pPr>
              <w:topLinePunct/>
              <w:adjustRightInd w:val="0"/>
              <w:snapToGrid w:val="0"/>
              <w:jc w:val="center"/>
              <w:rPr>
                <w:rFonts w:ascii="Times New Roman" w:eastAsia="仿宋"/>
                <w:szCs w:val="21"/>
              </w:rPr>
            </w:pPr>
            <w:r>
              <w:rPr>
                <w:rFonts w:ascii="Times New Roman" w:eastAsia="仿宋"/>
                <w:szCs w:val="21"/>
              </w:rPr>
              <w:t>(-18.27)</w:t>
            </w:r>
          </w:p>
        </w:tc>
        <w:tc>
          <w:tcPr>
            <w:tcW w:w="1696" w:type="dxa"/>
            <w:tcBorders>
              <w:top w:val="single" w:color="auto" w:sz="4" w:space="0"/>
              <w:left w:val="single" w:color="auto" w:sz="4" w:space="0"/>
              <w:bottom w:val="single" w:color="auto" w:sz="4" w:space="0"/>
              <w:right w:val="single" w:color="auto" w:sz="4" w:space="0"/>
            </w:tcBorders>
            <w:vAlign w:val="center"/>
          </w:tcPr>
          <w:p w14:paraId="5B5909C3">
            <w:pPr>
              <w:topLinePunct/>
              <w:adjustRightInd w:val="0"/>
              <w:snapToGrid w:val="0"/>
              <w:jc w:val="center"/>
              <w:rPr>
                <w:rFonts w:ascii="Times New Roman" w:eastAsia="仿宋"/>
                <w:szCs w:val="21"/>
              </w:rPr>
            </w:pPr>
            <w:r>
              <w:rPr>
                <w:rFonts w:ascii="Times New Roman" w:eastAsia="仿宋"/>
                <w:szCs w:val="21"/>
              </w:rPr>
              <w:t>4.6~7.4</w:t>
            </w:r>
          </w:p>
          <w:p w14:paraId="2D52AB94">
            <w:pPr>
              <w:topLinePunct/>
              <w:adjustRightInd w:val="0"/>
              <w:snapToGrid w:val="0"/>
              <w:jc w:val="center"/>
              <w:rPr>
                <w:rFonts w:ascii="Times New Roman" w:eastAsia="仿宋"/>
                <w:szCs w:val="21"/>
              </w:rPr>
            </w:pPr>
            <w:r>
              <w:rPr>
                <w:rFonts w:ascii="Times New Roman" w:eastAsia="仿宋"/>
                <w:szCs w:val="21"/>
              </w:rPr>
              <w:t>(6.1)</w:t>
            </w:r>
          </w:p>
        </w:tc>
        <w:tc>
          <w:tcPr>
            <w:tcW w:w="952" w:type="dxa"/>
            <w:tcBorders>
              <w:top w:val="single" w:color="auto" w:sz="4" w:space="0"/>
              <w:left w:val="single" w:color="auto" w:sz="4" w:space="0"/>
              <w:bottom w:val="single" w:color="auto" w:sz="4" w:space="0"/>
              <w:right w:val="single" w:color="auto" w:sz="4" w:space="0"/>
            </w:tcBorders>
            <w:vAlign w:val="center"/>
          </w:tcPr>
          <w:p w14:paraId="569D213F">
            <w:pPr>
              <w:topLinePunct/>
              <w:adjustRightInd w:val="0"/>
              <w:snapToGrid w:val="0"/>
              <w:jc w:val="center"/>
              <w:rPr>
                <w:rFonts w:ascii="Times New Roman" w:eastAsia="仿宋"/>
                <w:szCs w:val="21"/>
              </w:rPr>
            </w:pPr>
            <w:r>
              <w:rPr>
                <w:rFonts w:hint="eastAsia" w:ascii="Times New Roman" w:eastAsia="仿宋"/>
                <w:szCs w:val="21"/>
              </w:rPr>
              <w:t>灰</w:t>
            </w:r>
            <w:r>
              <w:rPr>
                <w:rFonts w:ascii="Times New Roman" w:eastAsia="仿宋"/>
                <w:szCs w:val="21"/>
              </w:rPr>
              <w:t>~</w:t>
            </w:r>
            <w:r>
              <w:rPr>
                <w:rFonts w:hint="eastAsia" w:ascii="Times New Roman" w:eastAsia="仿宋"/>
                <w:szCs w:val="21"/>
              </w:rPr>
              <w:t>黄灰色</w:t>
            </w:r>
          </w:p>
        </w:tc>
        <w:tc>
          <w:tcPr>
            <w:tcW w:w="909" w:type="dxa"/>
            <w:tcBorders>
              <w:top w:val="single" w:color="auto" w:sz="4" w:space="0"/>
              <w:left w:val="single" w:color="auto" w:sz="4" w:space="0"/>
              <w:bottom w:val="single" w:color="auto" w:sz="4" w:space="0"/>
              <w:right w:val="single" w:color="auto" w:sz="4" w:space="0"/>
            </w:tcBorders>
            <w:vAlign w:val="center"/>
          </w:tcPr>
          <w:p w14:paraId="1A5FF35A">
            <w:pPr>
              <w:topLinePunct/>
              <w:adjustRightInd w:val="0"/>
              <w:snapToGrid w:val="0"/>
              <w:jc w:val="center"/>
              <w:rPr>
                <w:rFonts w:ascii="Times New Roman" w:eastAsia="仿宋"/>
                <w:szCs w:val="21"/>
              </w:rPr>
            </w:pPr>
            <w:r>
              <w:rPr>
                <w:rFonts w:hint="eastAsia" w:ascii="Times New Roman" w:eastAsia="仿宋"/>
                <w:szCs w:val="21"/>
              </w:rPr>
              <w:t>稍密</w:t>
            </w:r>
          </w:p>
        </w:tc>
        <w:tc>
          <w:tcPr>
            <w:tcW w:w="3749" w:type="dxa"/>
            <w:tcBorders>
              <w:top w:val="single" w:color="auto" w:sz="4" w:space="0"/>
              <w:left w:val="single" w:color="auto" w:sz="4" w:space="0"/>
              <w:bottom w:val="single" w:color="auto" w:sz="4" w:space="0"/>
              <w:right w:val="single" w:color="auto" w:sz="4" w:space="0"/>
            </w:tcBorders>
            <w:vAlign w:val="center"/>
          </w:tcPr>
          <w:p w14:paraId="0C3BBCC4">
            <w:pPr>
              <w:topLinePunct/>
              <w:adjustRightInd w:val="0"/>
              <w:snapToGrid w:val="0"/>
              <w:jc w:val="center"/>
              <w:rPr>
                <w:rFonts w:ascii="Times New Roman" w:eastAsia="仿宋"/>
                <w:szCs w:val="21"/>
              </w:rPr>
            </w:pPr>
            <w:r>
              <w:rPr>
                <w:rFonts w:hint="eastAsia" w:ascii="Times New Roman" w:eastAsia="仿宋"/>
                <w:szCs w:val="21"/>
              </w:rPr>
              <w:t>粉土，很湿，韧性低，干强度低，粉质粘土，稍有光泽，韧性中等，干强度中等，具水平层理，粉土厚</w:t>
            </w:r>
            <w:r>
              <w:rPr>
                <w:rFonts w:ascii="Times New Roman" w:eastAsia="仿宋"/>
                <w:szCs w:val="21"/>
              </w:rPr>
              <w:t>15~35mm,</w:t>
            </w:r>
            <w:r>
              <w:rPr>
                <w:rFonts w:hint="eastAsia" w:ascii="Times New Roman" w:eastAsia="仿宋"/>
                <w:szCs w:val="21"/>
              </w:rPr>
              <w:t>粉质粘土厚</w:t>
            </w:r>
            <w:r>
              <w:rPr>
                <w:rFonts w:ascii="Times New Roman" w:eastAsia="仿宋"/>
                <w:szCs w:val="21"/>
              </w:rPr>
              <w:t>5~10mm,</w:t>
            </w:r>
            <w:r>
              <w:rPr>
                <w:rFonts w:hint="eastAsia" w:ascii="Times New Roman" w:eastAsia="仿宋"/>
                <w:szCs w:val="21"/>
              </w:rPr>
              <w:t>局部为粉砂夹粉质粘土，属中等压缩性土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53623376">
            <w:pPr>
              <w:topLinePunct/>
              <w:adjustRightInd w:val="0"/>
              <w:snapToGrid w:val="0"/>
              <w:jc w:val="center"/>
              <w:rPr>
                <w:rFonts w:ascii="Times New Roman" w:eastAsia="仿宋"/>
                <w:szCs w:val="21"/>
              </w:rPr>
            </w:pPr>
            <w:r>
              <w:rPr>
                <w:rFonts w:ascii="Times New Roman" w:eastAsia="仿宋"/>
                <w:szCs w:val="21"/>
              </w:rPr>
              <w:t>5.16</w:t>
            </w:r>
          </w:p>
        </w:tc>
        <w:tc>
          <w:tcPr>
            <w:tcW w:w="1233" w:type="dxa"/>
            <w:tcBorders>
              <w:top w:val="single" w:color="auto" w:sz="4" w:space="0"/>
              <w:left w:val="single" w:color="auto" w:sz="4" w:space="0"/>
              <w:bottom w:val="single" w:color="auto" w:sz="4" w:space="0"/>
              <w:right w:val="single" w:color="auto" w:sz="4" w:space="0"/>
            </w:tcBorders>
            <w:vAlign w:val="center"/>
          </w:tcPr>
          <w:p w14:paraId="48A04681">
            <w:pPr>
              <w:topLinePunct/>
              <w:adjustRightInd w:val="0"/>
              <w:snapToGrid w:val="0"/>
              <w:jc w:val="center"/>
              <w:rPr>
                <w:rFonts w:ascii="Times New Roman" w:eastAsia="仿宋"/>
                <w:szCs w:val="21"/>
              </w:rPr>
            </w:pPr>
            <w:r>
              <w:rPr>
                <w:rFonts w:ascii="Times New Roman" w:eastAsia="仿宋"/>
                <w:szCs w:val="21"/>
              </w:rPr>
              <w:t>109</w:t>
            </w:r>
          </w:p>
        </w:tc>
      </w:tr>
      <w:tr w14:paraId="47C6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1C6E30B5">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3CBC7675">
            <w:pPr>
              <w:topLinePunct/>
              <w:adjustRightInd w:val="0"/>
              <w:snapToGrid w:val="0"/>
              <w:jc w:val="center"/>
              <w:rPr>
                <w:rFonts w:ascii="Times New Roman" w:eastAsia="仿宋"/>
                <w:szCs w:val="21"/>
              </w:rPr>
            </w:pPr>
            <w:r>
              <w:rPr>
                <w:rFonts w:hint="eastAsia" w:ascii="Times New Roman" w:eastAsia="仿宋"/>
                <w:szCs w:val="21"/>
              </w:rPr>
              <w:t>⑥</w:t>
            </w:r>
            <w:r>
              <w:rPr>
                <w:rFonts w:ascii="Times New Roman" w:eastAsia="仿宋"/>
                <w:szCs w:val="21"/>
              </w:rPr>
              <w:t>3</w:t>
            </w:r>
          </w:p>
        </w:tc>
        <w:tc>
          <w:tcPr>
            <w:tcW w:w="926" w:type="dxa"/>
            <w:tcBorders>
              <w:top w:val="single" w:color="auto" w:sz="4" w:space="0"/>
              <w:left w:val="single" w:color="auto" w:sz="4" w:space="0"/>
              <w:bottom w:val="single" w:color="auto" w:sz="4" w:space="0"/>
              <w:right w:val="single" w:color="auto" w:sz="4" w:space="0"/>
            </w:tcBorders>
            <w:vAlign w:val="center"/>
          </w:tcPr>
          <w:p w14:paraId="4FF2597D">
            <w:pPr>
              <w:topLinePunct/>
              <w:adjustRightInd w:val="0"/>
              <w:snapToGrid w:val="0"/>
              <w:jc w:val="center"/>
              <w:rPr>
                <w:rFonts w:ascii="Times New Roman" w:eastAsia="仿宋"/>
                <w:szCs w:val="21"/>
              </w:rPr>
            </w:pPr>
            <w:r>
              <w:rPr>
                <w:rFonts w:hint="eastAsia" w:ascii="Times New Roman" w:eastAsia="仿宋"/>
                <w:szCs w:val="21"/>
              </w:rPr>
              <w:t>粉质粘土夹粉土</w:t>
            </w:r>
          </w:p>
        </w:tc>
        <w:tc>
          <w:tcPr>
            <w:tcW w:w="1702" w:type="dxa"/>
            <w:tcBorders>
              <w:top w:val="single" w:color="auto" w:sz="4" w:space="0"/>
              <w:left w:val="single" w:color="auto" w:sz="4" w:space="0"/>
              <w:bottom w:val="single" w:color="auto" w:sz="4" w:space="0"/>
              <w:right w:val="single" w:color="auto" w:sz="4" w:space="0"/>
            </w:tcBorders>
            <w:vAlign w:val="center"/>
          </w:tcPr>
          <w:p w14:paraId="2DA995E8">
            <w:pPr>
              <w:topLinePunct/>
              <w:adjustRightInd w:val="0"/>
              <w:snapToGrid w:val="0"/>
              <w:jc w:val="center"/>
              <w:rPr>
                <w:rFonts w:ascii="Times New Roman" w:eastAsia="仿宋"/>
                <w:szCs w:val="21"/>
              </w:rPr>
            </w:pPr>
            <w:r>
              <w:rPr>
                <w:rFonts w:ascii="Times New Roman" w:eastAsia="仿宋"/>
                <w:szCs w:val="21"/>
              </w:rPr>
              <w:t>-23.68~-21.88</w:t>
            </w:r>
          </w:p>
          <w:p w14:paraId="46B3E6B9">
            <w:pPr>
              <w:topLinePunct/>
              <w:adjustRightInd w:val="0"/>
              <w:snapToGrid w:val="0"/>
              <w:jc w:val="center"/>
              <w:rPr>
                <w:rFonts w:ascii="Times New Roman" w:eastAsia="仿宋"/>
                <w:szCs w:val="21"/>
              </w:rPr>
            </w:pPr>
            <w:r>
              <w:rPr>
                <w:rFonts w:ascii="Times New Roman" w:eastAsia="仿宋"/>
                <w:szCs w:val="21"/>
              </w:rPr>
              <w:t>(-22.66)</w:t>
            </w:r>
          </w:p>
        </w:tc>
        <w:tc>
          <w:tcPr>
            <w:tcW w:w="1696" w:type="dxa"/>
            <w:tcBorders>
              <w:top w:val="single" w:color="auto" w:sz="4" w:space="0"/>
              <w:left w:val="single" w:color="auto" w:sz="4" w:space="0"/>
              <w:bottom w:val="single" w:color="auto" w:sz="4" w:space="0"/>
              <w:right w:val="single" w:color="auto" w:sz="4" w:space="0"/>
            </w:tcBorders>
            <w:vAlign w:val="center"/>
          </w:tcPr>
          <w:p w14:paraId="20AC6080">
            <w:pPr>
              <w:topLinePunct/>
              <w:adjustRightInd w:val="0"/>
              <w:snapToGrid w:val="0"/>
              <w:jc w:val="center"/>
              <w:rPr>
                <w:rFonts w:ascii="Times New Roman" w:eastAsia="仿宋"/>
                <w:szCs w:val="21"/>
              </w:rPr>
            </w:pPr>
            <w:r>
              <w:rPr>
                <w:rFonts w:ascii="Times New Roman" w:eastAsia="仿宋"/>
                <w:szCs w:val="21"/>
              </w:rPr>
              <w:t>1.2~5.8</w:t>
            </w:r>
          </w:p>
          <w:p w14:paraId="1DBC935F">
            <w:pPr>
              <w:topLinePunct/>
              <w:adjustRightInd w:val="0"/>
              <w:snapToGrid w:val="0"/>
              <w:jc w:val="center"/>
              <w:rPr>
                <w:rFonts w:ascii="Times New Roman" w:eastAsia="仿宋"/>
                <w:szCs w:val="21"/>
              </w:rPr>
            </w:pPr>
            <w:r>
              <w:rPr>
                <w:rFonts w:ascii="Times New Roman" w:eastAsia="仿宋"/>
                <w:szCs w:val="21"/>
              </w:rPr>
              <w:t>(4.37)</w:t>
            </w:r>
          </w:p>
        </w:tc>
        <w:tc>
          <w:tcPr>
            <w:tcW w:w="952" w:type="dxa"/>
            <w:tcBorders>
              <w:top w:val="single" w:color="auto" w:sz="4" w:space="0"/>
              <w:left w:val="single" w:color="auto" w:sz="4" w:space="0"/>
              <w:bottom w:val="single" w:color="auto" w:sz="4" w:space="0"/>
              <w:right w:val="single" w:color="auto" w:sz="4" w:space="0"/>
            </w:tcBorders>
            <w:vAlign w:val="center"/>
          </w:tcPr>
          <w:p w14:paraId="041879B7">
            <w:pPr>
              <w:topLinePunct/>
              <w:adjustRightInd w:val="0"/>
              <w:snapToGrid w:val="0"/>
              <w:jc w:val="center"/>
              <w:rPr>
                <w:rFonts w:ascii="Times New Roman" w:eastAsia="仿宋"/>
                <w:szCs w:val="21"/>
              </w:rPr>
            </w:pPr>
            <w:r>
              <w:rPr>
                <w:rFonts w:hint="eastAsia" w:ascii="Times New Roman" w:eastAsia="仿宋"/>
                <w:szCs w:val="21"/>
              </w:rPr>
              <w:t>灰色</w:t>
            </w:r>
          </w:p>
        </w:tc>
        <w:tc>
          <w:tcPr>
            <w:tcW w:w="909" w:type="dxa"/>
            <w:tcBorders>
              <w:top w:val="single" w:color="auto" w:sz="4" w:space="0"/>
              <w:left w:val="single" w:color="auto" w:sz="4" w:space="0"/>
              <w:bottom w:val="single" w:color="auto" w:sz="4" w:space="0"/>
              <w:right w:val="single" w:color="auto" w:sz="4" w:space="0"/>
            </w:tcBorders>
            <w:vAlign w:val="center"/>
          </w:tcPr>
          <w:p w14:paraId="57614159">
            <w:pPr>
              <w:topLinePunct/>
              <w:adjustRightInd w:val="0"/>
              <w:snapToGrid w:val="0"/>
              <w:jc w:val="center"/>
              <w:rPr>
                <w:rFonts w:ascii="Times New Roman" w:eastAsia="仿宋"/>
                <w:szCs w:val="21"/>
              </w:rPr>
            </w:pPr>
            <w:r>
              <w:rPr>
                <w:rFonts w:hint="eastAsia" w:ascii="Times New Roman" w:eastAsia="仿宋"/>
                <w:szCs w:val="21"/>
              </w:rPr>
              <w:t>软</w:t>
            </w:r>
            <w:r>
              <w:rPr>
                <w:rFonts w:ascii="Times New Roman" w:eastAsia="仿宋"/>
                <w:szCs w:val="21"/>
              </w:rPr>
              <w:t>~</w:t>
            </w:r>
            <w:r>
              <w:rPr>
                <w:rFonts w:hint="eastAsia" w:ascii="Times New Roman" w:eastAsia="仿宋"/>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4B386622">
            <w:pPr>
              <w:topLinePunct/>
              <w:adjustRightInd w:val="0"/>
              <w:snapToGrid w:val="0"/>
              <w:jc w:val="center"/>
              <w:rPr>
                <w:rFonts w:ascii="Times New Roman" w:eastAsia="仿宋"/>
                <w:szCs w:val="21"/>
              </w:rPr>
            </w:pPr>
            <w:r>
              <w:rPr>
                <w:rFonts w:hint="eastAsia" w:ascii="Times New Roman" w:eastAsia="仿宋"/>
                <w:szCs w:val="21"/>
              </w:rPr>
              <w:t>粉质粘土，稍有光泽，韧性中等，干强度中等，具水平层理，粉质粘土厚</w:t>
            </w:r>
            <w:r>
              <w:rPr>
                <w:rFonts w:ascii="Times New Roman" w:eastAsia="仿宋"/>
                <w:szCs w:val="21"/>
              </w:rPr>
              <w:t>15~35mm,</w:t>
            </w:r>
            <w:r>
              <w:rPr>
                <w:rFonts w:hint="eastAsia" w:ascii="Times New Roman" w:eastAsia="仿宋"/>
                <w:szCs w:val="21"/>
              </w:rPr>
              <w:t>粉土厚</w:t>
            </w:r>
            <w:r>
              <w:rPr>
                <w:rFonts w:ascii="Times New Roman" w:eastAsia="仿宋"/>
                <w:szCs w:val="21"/>
              </w:rPr>
              <w:t>5~8mm,</w:t>
            </w:r>
            <w:r>
              <w:rPr>
                <w:rFonts w:hint="eastAsia" w:ascii="Times New Roman" w:eastAsia="仿宋"/>
                <w:szCs w:val="21"/>
              </w:rPr>
              <w:t>属中等压缩性土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09E83C10">
            <w:pPr>
              <w:topLinePunct/>
              <w:adjustRightInd w:val="0"/>
              <w:snapToGrid w:val="0"/>
              <w:jc w:val="center"/>
              <w:rPr>
                <w:rFonts w:ascii="Times New Roman" w:eastAsia="仿宋"/>
                <w:szCs w:val="21"/>
              </w:rPr>
            </w:pPr>
            <w:r>
              <w:rPr>
                <w:rFonts w:ascii="Times New Roman" w:eastAsia="仿宋"/>
                <w:szCs w:val="21"/>
              </w:rPr>
              <w:t>2.99</w:t>
            </w:r>
          </w:p>
        </w:tc>
        <w:tc>
          <w:tcPr>
            <w:tcW w:w="1233" w:type="dxa"/>
            <w:tcBorders>
              <w:top w:val="single" w:color="auto" w:sz="4" w:space="0"/>
              <w:left w:val="single" w:color="auto" w:sz="4" w:space="0"/>
              <w:bottom w:val="single" w:color="auto" w:sz="4" w:space="0"/>
              <w:right w:val="single" w:color="auto" w:sz="4" w:space="0"/>
            </w:tcBorders>
            <w:vAlign w:val="center"/>
          </w:tcPr>
          <w:p w14:paraId="42119E14">
            <w:pPr>
              <w:topLinePunct/>
              <w:adjustRightInd w:val="0"/>
              <w:snapToGrid w:val="0"/>
              <w:jc w:val="center"/>
              <w:rPr>
                <w:rFonts w:ascii="Times New Roman" w:eastAsia="仿宋"/>
                <w:szCs w:val="21"/>
              </w:rPr>
            </w:pPr>
            <w:r>
              <w:rPr>
                <w:rFonts w:ascii="Times New Roman" w:eastAsia="仿宋"/>
                <w:szCs w:val="21"/>
              </w:rPr>
              <w:t>77</w:t>
            </w:r>
          </w:p>
        </w:tc>
      </w:tr>
      <w:tr w14:paraId="039C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5127CD4A">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6E342859">
            <w:pPr>
              <w:topLinePunct/>
              <w:adjustRightInd w:val="0"/>
              <w:snapToGrid w:val="0"/>
              <w:jc w:val="center"/>
              <w:rPr>
                <w:rFonts w:ascii="Times New Roman" w:eastAsia="仿宋"/>
                <w:szCs w:val="21"/>
              </w:rPr>
            </w:pPr>
            <w:r>
              <w:rPr>
                <w:rFonts w:hint="eastAsia" w:ascii="Times New Roman" w:eastAsia="仿宋"/>
                <w:szCs w:val="21"/>
              </w:rPr>
              <w:t>⑦</w:t>
            </w:r>
            <w:r>
              <w:rPr>
                <w:rFonts w:ascii="Times New Roman" w:eastAsia="仿宋"/>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1CB78A3E">
            <w:pPr>
              <w:topLinePunct/>
              <w:adjustRightInd w:val="0"/>
              <w:snapToGrid w:val="0"/>
              <w:jc w:val="center"/>
              <w:rPr>
                <w:rFonts w:ascii="Times New Roman" w:eastAsia="仿宋"/>
                <w:szCs w:val="21"/>
              </w:rPr>
            </w:pPr>
            <w:r>
              <w:rPr>
                <w:rFonts w:hint="eastAsia" w:ascii="Times New Roman" w:eastAsia="仿宋"/>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59F9A728">
            <w:pPr>
              <w:topLinePunct/>
              <w:adjustRightInd w:val="0"/>
              <w:snapToGrid w:val="0"/>
              <w:jc w:val="center"/>
              <w:rPr>
                <w:rFonts w:ascii="Times New Roman" w:eastAsia="仿宋"/>
                <w:szCs w:val="21"/>
              </w:rPr>
            </w:pPr>
            <w:r>
              <w:rPr>
                <w:rFonts w:ascii="Times New Roman" w:eastAsia="仿宋"/>
                <w:szCs w:val="21"/>
              </w:rPr>
              <w:t>-32.85~-28.72</w:t>
            </w:r>
          </w:p>
          <w:p w14:paraId="588D4AAE">
            <w:pPr>
              <w:topLinePunct/>
              <w:adjustRightInd w:val="0"/>
              <w:snapToGrid w:val="0"/>
              <w:jc w:val="center"/>
              <w:rPr>
                <w:rFonts w:ascii="Times New Roman" w:eastAsia="仿宋"/>
                <w:szCs w:val="21"/>
              </w:rPr>
            </w:pPr>
            <w:r>
              <w:rPr>
                <w:rFonts w:ascii="Times New Roman" w:eastAsia="仿宋"/>
                <w:szCs w:val="21"/>
              </w:rPr>
              <w:t>(-29.74)</w:t>
            </w:r>
          </w:p>
        </w:tc>
        <w:tc>
          <w:tcPr>
            <w:tcW w:w="1696" w:type="dxa"/>
            <w:tcBorders>
              <w:top w:val="single" w:color="auto" w:sz="4" w:space="0"/>
              <w:left w:val="single" w:color="auto" w:sz="4" w:space="0"/>
              <w:bottom w:val="single" w:color="auto" w:sz="4" w:space="0"/>
              <w:right w:val="single" w:color="auto" w:sz="4" w:space="0"/>
            </w:tcBorders>
            <w:vAlign w:val="center"/>
          </w:tcPr>
          <w:p w14:paraId="5FC3BF71">
            <w:pPr>
              <w:topLinePunct/>
              <w:adjustRightInd w:val="0"/>
              <w:snapToGrid w:val="0"/>
              <w:jc w:val="center"/>
              <w:rPr>
                <w:rFonts w:ascii="Times New Roman" w:eastAsia="仿宋"/>
                <w:szCs w:val="21"/>
              </w:rPr>
            </w:pPr>
            <w:r>
              <w:rPr>
                <w:rFonts w:ascii="Times New Roman" w:eastAsia="仿宋"/>
                <w:szCs w:val="21"/>
              </w:rPr>
              <w:t>5.4~9.9</w:t>
            </w:r>
          </w:p>
          <w:p w14:paraId="44AD540F">
            <w:pPr>
              <w:topLinePunct/>
              <w:adjustRightInd w:val="0"/>
              <w:snapToGrid w:val="0"/>
              <w:jc w:val="center"/>
              <w:rPr>
                <w:rFonts w:ascii="Times New Roman" w:eastAsia="仿宋"/>
                <w:szCs w:val="21"/>
              </w:rPr>
            </w:pPr>
            <w:r>
              <w:rPr>
                <w:rFonts w:ascii="Times New Roman" w:eastAsia="仿宋"/>
                <w:szCs w:val="21"/>
              </w:rPr>
              <w:t>(7.09)</w:t>
            </w:r>
          </w:p>
        </w:tc>
        <w:tc>
          <w:tcPr>
            <w:tcW w:w="952" w:type="dxa"/>
            <w:tcBorders>
              <w:top w:val="single" w:color="auto" w:sz="4" w:space="0"/>
              <w:left w:val="single" w:color="auto" w:sz="4" w:space="0"/>
              <w:bottom w:val="single" w:color="auto" w:sz="4" w:space="0"/>
              <w:right w:val="single" w:color="auto" w:sz="4" w:space="0"/>
            </w:tcBorders>
            <w:vAlign w:val="center"/>
          </w:tcPr>
          <w:p w14:paraId="310BD52E">
            <w:pPr>
              <w:topLinePunct/>
              <w:adjustRightInd w:val="0"/>
              <w:snapToGrid w:val="0"/>
              <w:jc w:val="center"/>
              <w:rPr>
                <w:rFonts w:ascii="Times New Roman" w:eastAsia="仿宋"/>
                <w:szCs w:val="21"/>
              </w:rPr>
            </w:pPr>
            <w:r>
              <w:rPr>
                <w:rFonts w:hint="eastAsia" w:ascii="Times New Roman" w:eastAsia="仿宋"/>
                <w:szCs w:val="21"/>
              </w:rPr>
              <w:t>灰色</w:t>
            </w:r>
          </w:p>
        </w:tc>
        <w:tc>
          <w:tcPr>
            <w:tcW w:w="909" w:type="dxa"/>
            <w:tcBorders>
              <w:top w:val="single" w:color="auto" w:sz="4" w:space="0"/>
              <w:left w:val="single" w:color="auto" w:sz="4" w:space="0"/>
              <w:bottom w:val="single" w:color="auto" w:sz="4" w:space="0"/>
              <w:right w:val="single" w:color="auto" w:sz="4" w:space="0"/>
            </w:tcBorders>
            <w:vAlign w:val="center"/>
          </w:tcPr>
          <w:p w14:paraId="6261C4C6">
            <w:pPr>
              <w:topLinePunct/>
              <w:adjustRightInd w:val="0"/>
              <w:snapToGrid w:val="0"/>
              <w:jc w:val="center"/>
              <w:rPr>
                <w:rFonts w:ascii="Times New Roman" w:eastAsia="仿宋"/>
                <w:szCs w:val="21"/>
              </w:rPr>
            </w:pPr>
            <w:r>
              <w:rPr>
                <w:rFonts w:hint="eastAsia" w:ascii="Times New Roman" w:eastAsia="仿宋"/>
                <w:szCs w:val="21"/>
              </w:rPr>
              <w:t>可塑</w:t>
            </w:r>
          </w:p>
        </w:tc>
        <w:tc>
          <w:tcPr>
            <w:tcW w:w="3749" w:type="dxa"/>
            <w:tcBorders>
              <w:top w:val="single" w:color="auto" w:sz="4" w:space="0"/>
              <w:left w:val="single" w:color="auto" w:sz="4" w:space="0"/>
              <w:bottom w:val="single" w:color="auto" w:sz="4" w:space="0"/>
              <w:right w:val="single" w:color="auto" w:sz="4" w:space="0"/>
            </w:tcBorders>
            <w:vAlign w:val="center"/>
          </w:tcPr>
          <w:p w14:paraId="391F4493">
            <w:pPr>
              <w:topLinePunct/>
              <w:adjustRightInd w:val="0"/>
              <w:snapToGrid w:val="0"/>
              <w:jc w:val="center"/>
              <w:rPr>
                <w:rFonts w:ascii="Times New Roman" w:eastAsia="仿宋"/>
                <w:szCs w:val="21"/>
              </w:rPr>
            </w:pPr>
            <w:r>
              <w:rPr>
                <w:rFonts w:hint="eastAsia" w:ascii="Times New Roman" w:eastAsia="仿宋"/>
                <w:szCs w:val="21"/>
              </w:rPr>
              <w:t>稍有光泽，韧性中等，干强度中等，无摇振反应，夹粉土，底部夹粉土较多，属中压缩性土，此层在场地中南侧分布，北部缺失</w:t>
            </w:r>
          </w:p>
        </w:tc>
        <w:tc>
          <w:tcPr>
            <w:tcW w:w="1071" w:type="dxa"/>
            <w:tcBorders>
              <w:top w:val="single" w:color="auto" w:sz="4" w:space="0"/>
              <w:left w:val="single" w:color="auto" w:sz="4" w:space="0"/>
              <w:bottom w:val="single" w:color="auto" w:sz="4" w:space="0"/>
              <w:right w:val="single" w:color="auto" w:sz="4" w:space="0"/>
            </w:tcBorders>
            <w:vAlign w:val="center"/>
          </w:tcPr>
          <w:p w14:paraId="451177DA">
            <w:pPr>
              <w:topLinePunct/>
              <w:adjustRightInd w:val="0"/>
              <w:snapToGrid w:val="0"/>
              <w:jc w:val="center"/>
              <w:rPr>
                <w:rFonts w:ascii="Times New Roman" w:eastAsia="仿宋"/>
                <w:szCs w:val="21"/>
              </w:rPr>
            </w:pPr>
            <w:r>
              <w:rPr>
                <w:rFonts w:ascii="Times New Roman" w:eastAsia="仿宋"/>
                <w:szCs w:val="21"/>
              </w:rPr>
              <w:t>2.17</w:t>
            </w:r>
          </w:p>
        </w:tc>
        <w:tc>
          <w:tcPr>
            <w:tcW w:w="1233" w:type="dxa"/>
            <w:tcBorders>
              <w:top w:val="single" w:color="auto" w:sz="4" w:space="0"/>
              <w:left w:val="single" w:color="auto" w:sz="4" w:space="0"/>
              <w:bottom w:val="single" w:color="auto" w:sz="4" w:space="0"/>
              <w:right w:val="single" w:color="auto" w:sz="4" w:space="0"/>
            </w:tcBorders>
            <w:vAlign w:val="center"/>
          </w:tcPr>
          <w:p w14:paraId="6A76E882">
            <w:pPr>
              <w:topLinePunct/>
              <w:adjustRightInd w:val="0"/>
              <w:snapToGrid w:val="0"/>
              <w:jc w:val="center"/>
              <w:rPr>
                <w:rFonts w:ascii="Times New Roman" w:eastAsia="仿宋"/>
                <w:szCs w:val="21"/>
              </w:rPr>
            </w:pPr>
            <w:r>
              <w:rPr>
                <w:rFonts w:ascii="Times New Roman" w:eastAsia="仿宋"/>
                <w:szCs w:val="21"/>
              </w:rPr>
              <w:t>39</w:t>
            </w:r>
          </w:p>
        </w:tc>
      </w:tr>
      <w:tr w14:paraId="6EB2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799D0958">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66D95CD2">
            <w:pPr>
              <w:topLinePunct/>
              <w:adjustRightInd w:val="0"/>
              <w:snapToGrid w:val="0"/>
              <w:jc w:val="center"/>
              <w:rPr>
                <w:rFonts w:ascii="Times New Roman" w:eastAsia="仿宋"/>
                <w:szCs w:val="21"/>
              </w:rPr>
            </w:pPr>
            <w:r>
              <w:rPr>
                <w:rFonts w:hint="eastAsia" w:ascii="Times New Roman" w:eastAsia="仿宋"/>
                <w:szCs w:val="21"/>
              </w:rPr>
              <w:t>⑦</w:t>
            </w:r>
            <w:r>
              <w:rPr>
                <w:rFonts w:ascii="Times New Roman" w:eastAsia="仿宋"/>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3DBE7B77">
            <w:pPr>
              <w:topLinePunct/>
              <w:adjustRightInd w:val="0"/>
              <w:snapToGrid w:val="0"/>
              <w:jc w:val="center"/>
              <w:rPr>
                <w:rFonts w:ascii="Times New Roman" w:eastAsia="仿宋"/>
                <w:szCs w:val="21"/>
              </w:rPr>
            </w:pPr>
            <w:r>
              <w:rPr>
                <w:rFonts w:hint="eastAsia" w:ascii="Times New Roman" w:eastAsia="仿宋"/>
                <w:szCs w:val="21"/>
              </w:rPr>
              <w:t>粉质粘土</w:t>
            </w:r>
          </w:p>
        </w:tc>
        <w:tc>
          <w:tcPr>
            <w:tcW w:w="1702" w:type="dxa"/>
            <w:tcBorders>
              <w:top w:val="single" w:color="auto" w:sz="4" w:space="0"/>
              <w:left w:val="single" w:color="auto" w:sz="4" w:space="0"/>
              <w:bottom w:val="single" w:color="auto" w:sz="4" w:space="0"/>
              <w:right w:val="single" w:color="auto" w:sz="4" w:space="0"/>
            </w:tcBorders>
            <w:vAlign w:val="center"/>
          </w:tcPr>
          <w:p w14:paraId="608B7B73">
            <w:pPr>
              <w:topLinePunct/>
              <w:adjustRightInd w:val="0"/>
              <w:snapToGrid w:val="0"/>
              <w:jc w:val="center"/>
              <w:rPr>
                <w:rFonts w:ascii="Times New Roman" w:eastAsia="仿宋"/>
                <w:szCs w:val="21"/>
              </w:rPr>
            </w:pPr>
            <w:r>
              <w:rPr>
                <w:rFonts w:ascii="Times New Roman" w:eastAsia="仿宋"/>
                <w:szCs w:val="21"/>
              </w:rPr>
              <w:t>-33.47~-29.44</w:t>
            </w:r>
          </w:p>
          <w:p w14:paraId="514620BB">
            <w:pPr>
              <w:topLinePunct/>
              <w:adjustRightInd w:val="0"/>
              <w:snapToGrid w:val="0"/>
              <w:jc w:val="center"/>
              <w:rPr>
                <w:rFonts w:ascii="Times New Roman" w:eastAsia="仿宋"/>
                <w:szCs w:val="21"/>
              </w:rPr>
            </w:pPr>
            <w:r>
              <w:rPr>
                <w:rFonts w:ascii="Times New Roman" w:eastAsia="仿宋"/>
                <w:szCs w:val="21"/>
              </w:rPr>
              <w:t>(-30.88)</w:t>
            </w:r>
          </w:p>
        </w:tc>
        <w:tc>
          <w:tcPr>
            <w:tcW w:w="1696" w:type="dxa"/>
            <w:tcBorders>
              <w:top w:val="single" w:color="auto" w:sz="4" w:space="0"/>
              <w:left w:val="single" w:color="auto" w:sz="4" w:space="0"/>
              <w:bottom w:val="single" w:color="auto" w:sz="4" w:space="0"/>
              <w:right w:val="single" w:color="auto" w:sz="4" w:space="0"/>
            </w:tcBorders>
            <w:vAlign w:val="center"/>
          </w:tcPr>
          <w:p w14:paraId="17E0C8D2">
            <w:pPr>
              <w:topLinePunct/>
              <w:adjustRightInd w:val="0"/>
              <w:snapToGrid w:val="0"/>
              <w:jc w:val="center"/>
              <w:rPr>
                <w:rFonts w:ascii="Times New Roman" w:eastAsia="仿宋"/>
                <w:szCs w:val="21"/>
              </w:rPr>
            </w:pPr>
            <w:r>
              <w:rPr>
                <w:rFonts w:ascii="Times New Roman" w:eastAsia="仿宋"/>
                <w:szCs w:val="21"/>
              </w:rPr>
              <w:t>1.9~10.3</w:t>
            </w:r>
          </w:p>
          <w:p w14:paraId="0C5D53CC">
            <w:pPr>
              <w:topLinePunct/>
              <w:adjustRightInd w:val="0"/>
              <w:snapToGrid w:val="0"/>
              <w:jc w:val="center"/>
              <w:rPr>
                <w:rFonts w:ascii="Times New Roman" w:eastAsia="仿宋"/>
                <w:szCs w:val="21"/>
              </w:rPr>
            </w:pPr>
            <w:r>
              <w:rPr>
                <w:rFonts w:ascii="Times New Roman" w:eastAsia="仿宋"/>
                <w:szCs w:val="21"/>
              </w:rPr>
              <w:t>(7.18)</w:t>
            </w:r>
          </w:p>
        </w:tc>
        <w:tc>
          <w:tcPr>
            <w:tcW w:w="952" w:type="dxa"/>
            <w:tcBorders>
              <w:top w:val="single" w:color="auto" w:sz="4" w:space="0"/>
              <w:left w:val="single" w:color="auto" w:sz="4" w:space="0"/>
              <w:bottom w:val="single" w:color="auto" w:sz="4" w:space="0"/>
              <w:right w:val="single" w:color="auto" w:sz="4" w:space="0"/>
            </w:tcBorders>
            <w:vAlign w:val="center"/>
          </w:tcPr>
          <w:p w14:paraId="4AF93597">
            <w:pPr>
              <w:topLinePunct/>
              <w:adjustRightInd w:val="0"/>
              <w:snapToGrid w:val="0"/>
              <w:jc w:val="center"/>
              <w:rPr>
                <w:rFonts w:ascii="Times New Roman" w:eastAsia="仿宋"/>
                <w:szCs w:val="21"/>
              </w:rPr>
            </w:pPr>
            <w:r>
              <w:rPr>
                <w:rFonts w:hint="eastAsia" w:ascii="Times New Roman" w:eastAsia="仿宋"/>
                <w:szCs w:val="21"/>
              </w:rPr>
              <w:t>灰黄色</w:t>
            </w:r>
          </w:p>
        </w:tc>
        <w:tc>
          <w:tcPr>
            <w:tcW w:w="909" w:type="dxa"/>
            <w:tcBorders>
              <w:top w:val="single" w:color="auto" w:sz="4" w:space="0"/>
              <w:left w:val="single" w:color="auto" w:sz="4" w:space="0"/>
              <w:bottom w:val="single" w:color="auto" w:sz="4" w:space="0"/>
              <w:right w:val="single" w:color="auto" w:sz="4" w:space="0"/>
            </w:tcBorders>
            <w:vAlign w:val="center"/>
          </w:tcPr>
          <w:p w14:paraId="704CAAC0">
            <w:pPr>
              <w:topLinePunct/>
              <w:adjustRightInd w:val="0"/>
              <w:snapToGrid w:val="0"/>
              <w:jc w:val="center"/>
              <w:rPr>
                <w:rFonts w:ascii="Times New Roman" w:eastAsia="仿宋"/>
                <w:szCs w:val="21"/>
              </w:rPr>
            </w:pPr>
            <w:r>
              <w:rPr>
                <w:rFonts w:hint="eastAsia" w:ascii="Times New Roman" w:eastAsia="仿宋"/>
                <w:szCs w:val="21"/>
              </w:rPr>
              <w:t>可</w:t>
            </w:r>
            <w:r>
              <w:rPr>
                <w:rFonts w:ascii="Times New Roman" w:eastAsia="仿宋"/>
                <w:szCs w:val="21"/>
              </w:rPr>
              <w:t>~</w:t>
            </w:r>
            <w:r>
              <w:rPr>
                <w:rFonts w:hint="eastAsia" w:ascii="Times New Roman" w:eastAsia="仿宋"/>
                <w:szCs w:val="21"/>
              </w:rPr>
              <w:t>硬塑</w:t>
            </w:r>
          </w:p>
        </w:tc>
        <w:tc>
          <w:tcPr>
            <w:tcW w:w="3749" w:type="dxa"/>
            <w:tcBorders>
              <w:top w:val="single" w:color="auto" w:sz="4" w:space="0"/>
              <w:left w:val="single" w:color="auto" w:sz="4" w:space="0"/>
              <w:bottom w:val="single" w:color="auto" w:sz="4" w:space="0"/>
              <w:right w:val="single" w:color="auto" w:sz="4" w:space="0"/>
            </w:tcBorders>
            <w:vAlign w:val="center"/>
          </w:tcPr>
          <w:p w14:paraId="57340593">
            <w:pPr>
              <w:topLinePunct/>
              <w:adjustRightInd w:val="0"/>
              <w:snapToGrid w:val="0"/>
              <w:jc w:val="center"/>
              <w:rPr>
                <w:rFonts w:ascii="Times New Roman" w:eastAsia="仿宋"/>
                <w:szCs w:val="21"/>
              </w:rPr>
            </w:pPr>
            <w:r>
              <w:rPr>
                <w:rFonts w:hint="eastAsia" w:ascii="Times New Roman" w:eastAsia="仿宋"/>
                <w:szCs w:val="21"/>
              </w:rPr>
              <w:t>稍有光泽，韧性中等，干强度中等，无摇振反应，局部呈硬塑，属中压缩性土。此层在场地中北侧分布，南部缺失</w:t>
            </w:r>
          </w:p>
        </w:tc>
        <w:tc>
          <w:tcPr>
            <w:tcW w:w="1071" w:type="dxa"/>
            <w:tcBorders>
              <w:top w:val="single" w:color="auto" w:sz="4" w:space="0"/>
              <w:left w:val="single" w:color="auto" w:sz="4" w:space="0"/>
              <w:bottom w:val="single" w:color="auto" w:sz="4" w:space="0"/>
              <w:right w:val="single" w:color="auto" w:sz="4" w:space="0"/>
            </w:tcBorders>
            <w:vAlign w:val="center"/>
          </w:tcPr>
          <w:p w14:paraId="21FCFD74">
            <w:pPr>
              <w:topLinePunct/>
              <w:adjustRightInd w:val="0"/>
              <w:snapToGrid w:val="0"/>
              <w:jc w:val="center"/>
              <w:rPr>
                <w:rFonts w:ascii="Times New Roman" w:eastAsia="仿宋"/>
                <w:szCs w:val="21"/>
              </w:rPr>
            </w:pPr>
            <w:r>
              <w:rPr>
                <w:rFonts w:ascii="Times New Roman" w:eastAsia="仿宋"/>
                <w:szCs w:val="21"/>
              </w:rPr>
              <w:t>3.33</w:t>
            </w:r>
          </w:p>
        </w:tc>
        <w:tc>
          <w:tcPr>
            <w:tcW w:w="1233" w:type="dxa"/>
            <w:tcBorders>
              <w:top w:val="single" w:color="auto" w:sz="4" w:space="0"/>
              <w:left w:val="single" w:color="auto" w:sz="4" w:space="0"/>
              <w:bottom w:val="single" w:color="auto" w:sz="4" w:space="0"/>
              <w:right w:val="single" w:color="auto" w:sz="4" w:space="0"/>
            </w:tcBorders>
            <w:vAlign w:val="center"/>
          </w:tcPr>
          <w:p w14:paraId="6E772D88">
            <w:pPr>
              <w:topLinePunct/>
              <w:adjustRightInd w:val="0"/>
              <w:snapToGrid w:val="0"/>
              <w:jc w:val="center"/>
              <w:rPr>
                <w:rFonts w:ascii="Times New Roman" w:eastAsia="仿宋"/>
                <w:szCs w:val="21"/>
              </w:rPr>
            </w:pPr>
            <w:r>
              <w:rPr>
                <w:rFonts w:ascii="Times New Roman" w:eastAsia="仿宋"/>
                <w:szCs w:val="21"/>
              </w:rPr>
              <w:t>93</w:t>
            </w:r>
          </w:p>
        </w:tc>
      </w:tr>
      <w:tr w14:paraId="0979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7E691B88">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2DCB9EB1">
            <w:pPr>
              <w:topLinePunct/>
              <w:adjustRightInd w:val="0"/>
              <w:snapToGrid w:val="0"/>
              <w:jc w:val="center"/>
              <w:rPr>
                <w:rFonts w:ascii="Times New Roman" w:eastAsia="仿宋"/>
                <w:szCs w:val="21"/>
              </w:rPr>
            </w:pPr>
            <w:r>
              <w:rPr>
                <w:rFonts w:hint="eastAsia" w:ascii="Times New Roman" w:eastAsia="仿宋"/>
                <w:szCs w:val="21"/>
              </w:rPr>
              <w:t>⑧</w:t>
            </w:r>
            <w:r>
              <w:rPr>
                <w:rFonts w:ascii="Times New Roman" w:eastAsia="仿宋"/>
                <w:szCs w:val="21"/>
              </w:rPr>
              <w:t>1</w:t>
            </w:r>
          </w:p>
        </w:tc>
        <w:tc>
          <w:tcPr>
            <w:tcW w:w="926" w:type="dxa"/>
            <w:tcBorders>
              <w:top w:val="single" w:color="auto" w:sz="4" w:space="0"/>
              <w:left w:val="single" w:color="auto" w:sz="4" w:space="0"/>
              <w:bottom w:val="single" w:color="auto" w:sz="4" w:space="0"/>
              <w:right w:val="single" w:color="auto" w:sz="4" w:space="0"/>
            </w:tcBorders>
            <w:vAlign w:val="center"/>
          </w:tcPr>
          <w:p w14:paraId="4E2ED589">
            <w:pPr>
              <w:topLinePunct/>
              <w:adjustRightInd w:val="0"/>
              <w:snapToGrid w:val="0"/>
              <w:jc w:val="center"/>
              <w:rPr>
                <w:rFonts w:ascii="Times New Roman" w:eastAsia="仿宋"/>
                <w:szCs w:val="21"/>
              </w:rPr>
            </w:pPr>
            <w:r>
              <w:rPr>
                <w:rFonts w:hint="eastAsia" w:ascii="Times New Roman" w:eastAsia="仿宋"/>
                <w:szCs w:val="21"/>
              </w:rPr>
              <w:t>粉砂夹粉土</w:t>
            </w:r>
          </w:p>
        </w:tc>
        <w:tc>
          <w:tcPr>
            <w:tcW w:w="1702" w:type="dxa"/>
            <w:tcBorders>
              <w:top w:val="single" w:color="auto" w:sz="4" w:space="0"/>
              <w:left w:val="single" w:color="auto" w:sz="4" w:space="0"/>
              <w:bottom w:val="single" w:color="auto" w:sz="4" w:space="0"/>
              <w:right w:val="single" w:color="auto" w:sz="4" w:space="0"/>
            </w:tcBorders>
            <w:vAlign w:val="center"/>
          </w:tcPr>
          <w:p w14:paraId="7ACB7503">
            <w:pPr>
              <w:topLinePunct/>
              <w:adjustRightInd w:val="0"/>
              <w:snapToGrid w:val="0"/>
              <w:jc w:val="center"/>
              <w:rPr>
                <w:rFonts w:ascii="Times New Roman" w:eastAsia="仿宋"/>
                <w:szCs w:val="21"/>
              </w:rPr>
            </w:pPr>
            <w:r>
              <w:rPr>
                <w:rFonts w:ascii="Times New Roman" w:eastAsia="仿宋"/>
                <w:szCs w:val="21"/>
              </w:rPr>
              <w:t>-40.11~-37.17</w:t>
            </w:r>
          </w:p>
          <w:p w14:paraId="6AE01BFA">
            <w:pPr>
              <w:topLinePunct/>
              <w:adjustRightInd w:val="0"/>
              <w:snapToGrid w:val="0"/>
              <w:jc w:val="center"/>
              <w:rPr>
                <w:rFonts w:ascii="Times New Roman" w:eastAsia="仿宋"/>
                <w:szCs w:val="21"/>
              </w:rPr>
            </w:pPr>
            <w:r>
              <w:rPr>
                <w:rFonts w:ascii="Times New Roman" w:eastAsia="仿宋"/>
                <w:szCs w:val="21"/>
              </w:rPr>
              <w:t>(-38.10)</w:t>
            </w:r>
          </w:p>
        </w:tc>
        <w:tc>
          <w:tcPr>
            <w:tcW w:w="1696" w:type="dxa"/>
            <w:tcBorders>
              <w:top w:val="single" w:color="auto" w:sz="4" w:space="0"/>
              <w:left w:val="single" w:color="auto" w:sz="4" w:space="0"/>
              <w:bottom w:val="single" w:color="auto" w:sz="4" w:space="0"/>
              <w:right w:val="single" w:color="auto" w:sz="4" w:space="0"/>
            </w:tcBorders>
            <w:vAlign w:val="center"/>
          </w:tcPr>
          <w:p w14:paraId="3D8EAF4F">
            <w:pPr>
              <w:topLinePunct/>
              <w:adjustRightInd w:val="0"/>
              <w:snapToGrid w:val="0"/>
              <w:jc w:val="center"/>
              <w:rPr>
                <w:rFonts w:ascii="Times New Roman" w:eastAsia="仿宋"/>
                <w:szCs w:val="21"/>
              </w:rPr>
            </w:pPr>
            <w:r>
              <w:rPr>
                <w:rFonts w:ascii="Times New Roman" w:eastAsia="仿宋"/>
                <w:szCs w:val="21"/>
              </w:rPr>
              <w:t>6.2~9.5</w:t>
            </w:r>
          </w:p>
          <w:p w14:paraId="73824DE2">
            <w:pPr>
              <w:topLinePunct/>
              <w:adjustRightInd w:val="0"/>
              <w:snapToGrid w:val="0"/>
              <w:jc w:val="center"/>
              <w:rPr>
                <w:rFonts w:ascii="Times New Roman" w:eastAsia="仿宋"/>
                <w:szCs w:val="21"/>
              </w:rPr>
            </w:pPr>
            <w:r>
              <w:rPr>
                <w:rFonts w:ascii="Times New Roman" w:eastAsia="仿宋"/>
                <w:szCs w:val="21"/>
              </w:rPr>
              <w:t>(8.24)</w:t>
            </w:r>
          </w:p>
        </w:tc>
        <w:tc>
          <w:tcPr>
            <w:tcW w:w="952" w:type="dxa"/>
            <w:tcBorders>
              <w:top w:val="single" w:color="auto" w:sz="4" w:space="0"/>
              <w:left w:val="single" w:color="auto" w:sz="4" w:space="0"/>
              <w:bottom w:val="single" w:color="auto" w:sz="4" w:space="0"/>
              <w:right w:val="single" w:color="auto" w:sz="4" w:space="0"/>
            </w:tcBorders>
            <w:vAlign w:val="center"/>
          </w:tcPr>
          <w:p w14:paraId="3BFAFB0D">
            <w:pPr>
              <w:topLinePunct/>
              <w:adjustRightInd w:val="0"/>
              <w:snapToGrid w:val="0"/>
              <w:jc w:val="center"/>
              <w:rPr>
                <w:rFonts w:ascii="Times New Roman" w:eastAsia="仿宋"/>
                <w:szCs w:val="21"/>
              </w:rPr>
            </w:pPr>
            <w:r>
              <w:rPr>
                <w:rFonts w:hint="eastAsia" w:ascii="Times New Roman" w:eastAsia="仿宋"/>
                <w:szCs w:val="21"/>
              </w:rPr>
              <w:t>灰</w:t>
            </w:r>
            <w:r>
              <w:rPr>
                <w:rFonts w:ascii="Times New Roman" w:eastAsia="仿宋"/>
                <w:szCs w:val="21"/>
              </w:rPr>
              <w:t>~</w:t>
            </w:r>
            <w:r>
              <w:rPr>
                <w:rFonts w:hint="eastAsia" w:ascii="Times New Roman" w:eastAsia="仿宋"/>
                <w:szCs w:val="21"/>
              </w:rPr>
              <w:t>黄灰色</w:t>
            </w:r>
          </w:p>
        </w:tc>
        <w:tc>
          <w:tcPr>
            <w:tcW w:w="909" w:type="dxa"/>
            <w:tcBorders>
              <w:top w:val="single" w:color="auto" w:sz="4" w:space="0"/>
              <w:left w:val="single" w:color="auto" w:sz="4" w:space="0"/>
              <w:bottom w:val="single" w:color="auto" w:sz="4" w:space="0"/>
              <w:right w:val="single" w:color="auto" w:sz="4" w:space="0"/>
            </w:tcBorders>
            <w:vAlign w:val="center"/>
          </w:tcPr>
          <w:p w14:paraId="1EB9E0C4">
            <w:pPr>
              <w:topLinePunct/>
              <w:adjustRightInd w:val="0"/>
              <w:snapToGrid w:val="0"/>
              <w:jc w:val="center"/>
              <w:rPr>
                <w:rFonts w:ascii="Times New Roman" w:eastAsia="仿宋"/>
                <w:szCs w:val="21"/>
              </w:rPr>
            </w:pPr>
            <w:r>
              <w:rPr>
                <w:rFonts w:hint="eastAsia" w:ascii="Times New Roman" w:eastAsia="仿宋"/>
                <w:szCs w:val="21"/>
              </w:rPr>
              <w:t>密实</w:t>
            </w:r>
          </w:p>
        </w:tc>
        <w:tc>
          <w:tcPr>
            <w:tcW w:w="3749" w:type="dxa"/>
            <w:tcBorders>
              <w:top w:val="single" w:color="auto" w:sz="4" w:space="0"/>
              <w:left w:val="single" w:color="auto" w:sz="4" w:space="0"/>
              <w:bottom w:val="single" w:color="auto" w:sz="4" w:space="0"/>
              <w:right w:val="single" w:color="auto" w:sz="4" w:space="0"/>
            </w:tcBorders>
            <w:vAlign w:val="center"/>
          </w:tcPr>
          <w:p w14:paraId="0C8061AC">
            <w:pPr>
              <w:topLinePunct/>
              <w:adjustRightInd w:val="0"/>
              <w:snapToGrid w:val="0"/>
              <w:jc w:val="center"/>
              <w:rPr>
                <w:rFonts w:ascii="Times New Roman" w:eastAsia="仿宋"/>
                <w:szCs w:val="21"/>
              </w:rPr>
            </w:pPr>
            <w:r>
              <w:rPr>
                <w:rFonts w:hint="eastAsia" w:ascii="Times New Roman" w:eastAsia="仿宋"/>
                <w:szCs w:val="21"/>
              </w:rPr>
              <w:t>饱和，主要矿物成分为石英、长石，含云母碎屑，颗粒级配差，场地中部夹粉土较多，局部粉砂粉土互层状，偶夹粉质粘土，此层下部局部偶夹细砂，夹姜石，直径</w:t>
            </w:r>
            <w:r>
              <w:rPr>
                <w:rFonts w:ascii="Times New Roman" w:eastAsia="仿宋"/>
                <w:szCs w:val="21"/>
              </w:rPr>
              <w:t>1~6cm</w:t>
            </w:r>
            <w:r>
              <w:rPr>
                <w:rFonts w:hint="eastAsia" w:ascii="Times New Roman" w:eastAsia="仿宋"/>
                <w:szCs w:val="21"/>
              </w:rPr>
              <w:t>，属中压缩性土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327066C7">
            <w:pPr>
              <w:topLinePunct/>
              <w:adjustRightInd w:val="0"/>
              <w:snapToGrid w:val="0"/>
              <w:jc w:val="center"/>
              <w:rPr>
                <w:rFonts w:ascii="Times New Roman" w:eastAsia="仿宋"/>
                <w:szCs w:val="21"/>
              </w:rPr>
            </w:pPr>
            <w:r>
              <w:rPr>
                <w:rFonts w:ascii="Times New Roman" w:eastAsia="仿宋"/>
                <w:szCs w:val="21"/>
              </w:rPr>
              <w:t>14.06</w:t>
            </w:r>
          </w:p>
        </w:tc>
        <w:tc>
          <w:tcPr>
            <w:tcW w:w="1233" w:type="dxa"/>
            <w:tcBorders>
              <w:top w:val="single" w:color="auto" w:sz="4" w:space="0"/>
              <w:left w:val="single" w:color="auto" w:sz="4" w:space="0"/>
              <w:bottom w:val="single" w:color="auto" w:sz="4" w:space="0"/>
              <w:right w:val="single" w:color="auto" w:sz="4" w:space="0"/>
            </w:tcBorders>
            <w:vAlign w:val="center"/>
          </w:tcPr>
          <w:p w14:paraId="3D54ACCB">
            <w:pPr>
              <w:topLinePunct/>
              <w:adjustRightInd w:val="0"/>
              <w:snapToGrid w:val="0"/>
              <w:jc w:val="center"/>
              <w:rPr>
                <w:rFonts w:ascii="Times New Roman" w:eastAsia="仿宋"/>
                <w:szCs w:val="21"/>
              </w:rPr>
            </w:pPr>
            <w:r>
              <w:rPr>
                <w:rFonts w:ascii="Times New Roman" w:eastAsia="仿宋"/>
                <w:szCs w:val="21"/>
              </w:rPr>
              <w:t>177</w:t>
            </w:r>
          </w:p>
        </w:tc>
      </w:tr>
      <w:tr w14:paraId="4EB7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14:paraId="3E9CA49F">
            <w:pPr>
              <w:rPr>
                <w:rFonts w:ascii="Calibri"/>
                <w:sz w:val="21"/>
              </w:rPr>
            </w:pPr>
          </w:p>
        </w:tc>
        <w:tc>
          <w:tcPr>
            <w:tcW w:w="1003" w:type="dxa"/>
            <w:tcBorders>
              <w:top w:val="single" w:color="auto" w:sz="4" w:space="0"/>
              <w:left w:val="single" w:color="auto" w:sz="4" w:space="0"/>
              <w:bottom w:val="single" w:color="auto" w:sz="4" w:space="0"/>
              <w:right w:val="single" w:color="auto" w:sz="4" w:space="0"/>
            </w:tcBorders>
            <w:vAlign w:val="center"/>
          </w:tcPr>
          <w:p w14:paraId="3C460246">
            <w:pPr>
              <w:topLinePunct/>
              <w:adjustRightInd w:val="0"/>
              <w:snapToGrid w:val="0"/>
              <w:jc w:val="center"/>
              <w:rPr>
                <w:rFonts w:ascii="Times New Roman" w:eastAsia="仿宋"/>
                <w:szCs w:val="21"/>
              </w:rPr>
            </w:pPr>
            <w:r>
              <w:rPr>
                <w:rFonts w:hint="eastAsia" w:ascii="Times New Roman" w:eastAsia="仿宋"/>
                <w:szCs w:val="21"/>
              </w:rPr>
              <w:t>⑧</w:t>
            </w:r>
            <w:r>
              <w:rPr>
                <w:rFonts w:ascii="Times New Roman" w:eastAsia="仿宋"/>
                <w:szCs w:val="21"/>
              </w:rPr>
              <w:t>2</w:t>
            </w:r>
          </w:p>
        </w:tc>
        <w:tc>
          <w:tcPr>
            <w:tcW w:w="926" w:type="dxa"/>
            <w:tcBorders>
              <w:top w:val="single" w:color="auto" w:sz="4" w:space="0"/>
              <w:left w:val="single" w:color="auto" w:sz="4" w:space="0"/>
              <w:bottom w:val="single" w:color="auto" w:sz="4" w:space="0"/>
              <w:right w:val="single" w:color="auto" w:sz="4" w:space="0"/>
            </w:tcBorders>
            <w:vAlign w:val="center"/>
          </w:tcPr>
          <w:p w14:paraId="78EFB0AD">
            <w:pPr>
              <w:topLinePunct/>
              <w:adjustRightInd w:val="0"/>
              <w:snapToGrid w:val="0"/>
              <w:jc w:val="center"/>
              <w:rPr>
                <w:rFonts w:ascii="Times New Roman" w:eastAsia="仿宋"/>
                <w:szCs w:val="21"/>
              </w:rPr>
            </w:pPr>
            <w:r>
              <w:rPr>
                <w:rFonts w:hint="eastAsia" w:ascii="Times New Roman" w:eastAsia="仿宋"/>
                <w:szCs w:val="21"/>
              </w:rPr>
              <w:t>细砂</w:t>
            </w:r>
          </w:p>
        </w:tc>
        <w:tc>
          <w:tcPr>
            <w:tcW w:w="1702" w:type="dxa"/>
            <w:tcBorders>
              <w:top w:val="single" w:color="auto" w:sz="4" w:space="0"/>
              <w:left w:val="single" w:color="auto" w:sz="4" w:space="0"/>
              <w:bottom w:val="single" w:color="auto" w:sz="4" w:space="0"/>
              <w:right w:val="single" w:color="auto" w:sz="4" w:space="0"/>
            </w:tcBorders>
            <w:vAlign w:val="center"/>
          </w:tcPr>
          <w:p w14:paraId="2777AF82">
            <w:pPr>
              <w:topLinePunct/>
              <w:adjustRightInd w:val="0"/>
              <w:snapToGrid w:val="0"/>
              <w:jc w:val="center"/>
              <w:rPr>
                <w:rFonts w:ascii="Times New Roman" w:eastAsia="仿宋"/>
                <w:szCs w:val="21"/>
              </w:rPr>
            </w:pPr>
            <w:r>
              <w:rPr>
                <w:rFonts w:hint="eastAsia" w:ascii="Times New Roman" w:eastAsia="仿宋"/>
                <w:szCs w:val="21"/>
              </w:rPr>
              <w:t>未钻穿</w:t>
            </w:r>
          </w:p>
        </w:tc>
        <w:tc>
          <w:tcPr>
            <w:tcW w:w="1696" w:type="dxa"/>
            <w:tcBorders>
              <w:top w:val="single" w:color="auto" w:sz="4" w:space="0"/>
              <w:left w:val="single" w:color="auto" w:sz="4" w:space="0"/>
              <w:bottom w:val="single" w:color="auto" w:sz="4" w:space="0"/>
              <w:right w:val="single" w:color="auto" w:sz="4" w:space="0"/>
            </w:tcBorders>
            <w:vAlign w:val="center"/>
          </w:tcPr>
          <w:p w14:paraId="339F6930">
            <w:pPr>
              <w:topLinePunct/>
              <w:adjustRightInd w:val="0"/>
              <w:snapToGrid w:val="0"/>
              <w:jc w:val="center"/>
              <w:rPr>
                <w:rFonts w:ascii="Times New Roman" w:eastAsia="仿宋"/>
                <w:szCs w:val="21"/>
              </w:rPr>
            </w:pPr>
            <w:r>
              <w:rPr>
                <w:rFonts w:ascii="Times New Roman" w:eastAsia="仿宋"/>
                <w:szCs w:val="21"/>
              </w:rPr>
              <w:t>/</w:t>
            </w:r>
          </w:p>
        </w:tc>
        <w:tc>
          <w:tcPr>
            <w:tcW w:w="952" w:type="dxa"/>
            <w:tcBorders>
              <w:top w:val="single" w:color="auto" w:sz="4" w:space="0"/>
              <w:left w:val="single" w:color="auto" w:sz="4" w:space="0"/>
              <w:bottom w:val="single" w:color="auto" w:sz="4" w:space="0"/>
              <w:right w:val="single" w:color="auto" w:sz="4" w:space="0"/>
            </w:tcBorders>
            <w:vAlign w:val="center"/>
          </w:tcPr>
          <w:p w14:paraId="3C73094B">
            <w:pPr>
              <w:topLinePunct/>
              <w:adjustRightInd w:val="0"/>
              <w:snapToGrid w:val="0"/>
              <w:jc w:val="center"/>
              <w:rPr>
                <w:rFonts w:ascii="Times New Roman" w:eastAsia="仿宋"/>
                <w:szCs w:val="21"/>
              </w:rPr>
            </w:pPr>
            <w:r>
              <w:rPr>
                <w:rFonts w:hint="eastAsia" w:ascii="Times New Roman" w:eastAsia="仿宋"/>
                <w:szCs w:val="21"/>
              </w:rPr>
              <w:t>灰黄</w:t>
            </w:r>
            <w:r>
              <w:rPr>
                <w:rFonts w:ascii="Times New Roman" w:eastAsia="仿宋"/>
                <w:szCs w:val="21"/>
              </w:rPr>
              <w:t>~</w:t>
            </w:r>
            <w:r>
              <w:rPr>
                <w:rFonts w:hint="eastAsia" w:ascii="Times New Roman" w:eastAsia="仿宋"/>
                <w:szCs w:val="21"/>
              </w:rPr>
              <w:t>青灰色</w:t>
            </w:r>
          </w:p>
        </w:tc>
        <w:tc>
          <w:tcPr>
            <w:tcW w:w="909" w:type="dxa"/>
            <w:tcBorders>
              <w:top w:val="single" w:color="auto" w:sz="4" w:space="0"/>
              <w:left w:val="single" w:color="auto" w:sz="4" w:space="0"/>
              <w:bottom w:val="single" w:color="auto" w:sz="4" w:space="0"/>
              <w:right w:val="single" w:color="auto" w:sz="4" w:space="0"/>
            </w:tcBorders>
            <w:vAlign w:val="center"/>
          </w:tcPr>
          <w:p w14:paraId="3D41AAA6">
            <w:pPr>
              <w:topLinePunct/>
              <w:adjustRightInd w:val="0"/>
              <w:snapToGrid w:val="0"/>
              <w:jc w:val="center"/>
              <w:rPr>
                <w:rFonts w:ascii="Times New Roman" w:eastAsia="仿宋"/>
                <w:szCs w:val="21"/>
              </w:rPr>
            </w:pPr>
            <w:r>
              <w:rPr>
                <w:rFonts w:hint="eastAsia" w:ascii="Times New Roman" w:eastAsia="仿宋"/>
                <w:szCs w:val="21"/>
              </w:rPr>
              <w:t>密实</w:t>
            </w:r>
          </w:p>
        </w:tc>
        <w:tc>
          <w:tcPr>
            <w:tcW w:w="3749" w:type="dxa"/>
            <w:tcBorders>
              <w:top w:val="single" w:color="auto" w:sz="4" w:space="0"/>
              <w:left w:val="single" w:color="auto" w:sz="4" w:space="0"/>
              <w:bottom w:val="single" w:color="auto" w:sz="4" w:space="0"/>
              <w:right w:val="single" w:color="auto" w:sz="4" w:space="0"/>
            </w:tcBorders>
            <w:vAlign w:val="center"/>
          </w:tcPr>
          <w:p w14:paraId="46776309">
            <w:pPr>
              <w:topLinePunct/>
              <w:adjustRightInd w:val="0"/>
              <w:snapToGrid w:val="0"/>
              <w:jc w:val="center"/>
              <w:rPr>
                <w:rFonts w:ascii="Times New Roman" w:eastAsia="仿宋"/>
                <w:szCs w:val="21"/>
              </w:rPr>
            </w:pPr>
            <w:r>
              <w:rPr>
                <w:rFonts w:hint="eastAsia" w:ascii="Times New Roman" w:eastAsia="仿宋"/>
                <w:szCs w:val="21"/>
              </w:rPr>
              <w:t>饱和，主要矿物成分为石英、长石，含少量云母碎屑，颗粒级配差，夹姜石，直径</w:t>
            </w:r>
            <w:r>
              <w:rPr>
                <w:rFonts w:ascii="Times New Roman" w:eastAsia="仿宋"/>
                <w:szCs w:val="21"/>
              </w:rPr>
              <w:t>1~7cm</w:t>
            </w:r>
            <w:r>
              <w:rPr>
                <w:rFonts w:hint="eastAsia" w:ascii="Times New Roman" w:eastAsia="仿宋"/>
                <w:szCs w:val="21"/>
              </w:rPr>
              <w:t>，局部富集。属中偏低压缩性土</w:t>
            </w:r>
          </w:p>
        </w:tc>
        <w:tc>
          <w:tcPr>
            <w:tcW w:w="1071" w:type="dxa"/>
            <w:tcBorders>
              <w:top w:val="single" w:color="auto" w:sz="4" w:space="0"/>
              <w:left w:val="single" w:color="auto" w:sz="4" w:space="0"/>
              <w:bottom w:val="single" w:color="auto" w:sz="4" w:space="0"/>
              <w:right w:val="single" w:color="auto" w:sz="4" w:space="0"/>
            </w:tcBorders>
            <w:vAlign w:val="center"/>
          </w:tcPr>
          <w:p w14:paraId="5EEB71F9">
            <w:pPr>
              <w:topLinePunct/>
              <w:adjustRightInd w:val="0"/>
              <w:snapToGrid w:val="0"/>
              <w:jc w:val="center"/>
              <w:rPr>
                <w:rFonts w:ascii="Times New Roman" w:eastAsia="仿宋"/>
                <w:szCs w:val="21"/>
              </w:rPr>
            </w:pPr>
            <w:r>
              <w:rPr>
                <w:rFonts w:ascii="Times New Roman" w:eastAsia="仿宋"/>
                <w:szCs w:val="21"/>
              </w:rPr>
              <w:t>16.39</w:t>
            </w:r>
          </w:p>
        </w:tc>
        <w:tc>
          <w:tcPr>
            <w:tcW w:w="1233" w:type="dxa"/>
            <w:tcBorders>
              <w:top w:val="single" w:color="auto" w:sz="4" w:space="0"/>
              <w:left w:val="single" w:color="auto" w:sz="4" w:space="0"/>
              <w:bottom w:val="single" w:color="auto" w:sz="4" w:space="0"/>
              <w:right w:val="single" w:color="auto" w:sz="4" w:space="0"/>
            </w:tcBorders>
            <w:vAlign w:val="center"/>
          </w:tcPr>
          <w:p w14:paraId="1CC20787">
            <w:pPr>
              <w:topLinePunct/>
              <w:adjustRightInd w:val="0"/>
              <w:snapToGrid w:val="0"/>
              <w:jc w:val="center"/>
              <w:rPr>
                <w:rFonts w:ascii="Times New Roman" w:eastAsia="仿宋"/>
                <w:szCs w:val="21"/>
              </w:rPr>
            </w:pPr>
            <w:r>
              <w:rPr>
                <w:rFonts w:ascii="Times New Roman" w:eastAsia="仿宋"/>
                <w:szCs w:val="21"/>
              </w:rPr>
              <w:t>224</w:t>
            </w:r>
          </w:p>
        </w:tc>
      </w:tr>
    </w:tbl>
    <w:p w14:paraId="1BBB9FCC">
      <w:pPr>
        <w:spacing w:line="480" w:lineRule="exact"/>
        <w:ind w:firstLine="562"/>
        <w:rPr>
          <w:rFonts w:ascii="Times New Roman" w:eastAsia="仿宋"/>
          <w:b/>
          <w:sz w:val="28"/>
          <w:szCs w:val="21"/>
        </w:rPr>
      </w:pPr>
    </w:p>
    <w:p w14:paraId="522166E9">
      <w:pPr>
        <w:pStyle w:val="170"/>
        <w:rPr>
          <w:rFonts w:ascii="Times New Roman" w:eastAsia="仿宋"/>
        </w:rPr>
      </w:pPr>
    </w:p>
    <w:p w14:paraId="04374C51">
      <w:pPr>
        <w:pStyle w:val="170"/>
        <w:rPr>
          <w:rFonts w:ascii="Times New Roman" w:eastAsia="仿宋"/>
        </w:rPr>
      </w:pPr>
    </w:p>
    <w:p w14:paraId="204361FF">
      <w:pPr>
        <w:pStyle w:val="170"/>
        <w:rPr>
          <w:rFonts w:ascii="Times New Roman" w:eastAsia="仿宋"/>
        </w:rPr>
      </w:pPr>
    </w:p>
    <w:p w14:paraId="77A7BD38">
      <w:pPr>
        <w:widowControl/>
        <w:rPr>
          <w:rFonts w:ascii="Times New Roman" w:eastAsia="仿宋"/>
          <w:highlight w:val="green"/>
          <w:lang w:val="zh-CN"/>
        </w:rPr>
        <w:sectPr>
          <w:pgSz w:w="16838" w:h="11906" w:orient="landscape"/>
          <w:pgMar w:top="1440" w:right="1797" w:bottom="1440" w:left="1797" w:header="539" w:footer="992" w:gutter="0"/>
          <w:cols w:space="720" w:num="1"/>
        </w:sectPr>
      </w:pPr>
    </w:p>
    <w:p w14:paraId="437C1227">
      <w:pPr>
        <w:spacing w:line="500" w:lineRule="exact"/>
        <w:ind w:firstLine="480"/>
        <w:rPr>
          <w:rFonts w:ascii="Times New Roman" w:eastAsia="仿宋"/>
          <w:sz w:val="28"/>
          <w:szCs w:val="28"/>
        </w:rPr>
      </w:pPr>
      <w:r>
        <w:rPr>
          <w:rFonts w:ascii="Times New Roman" w:eastAsia="仿宋"/>
          <w:sz w:val="28"/>
          <w:szCs w:val="28"/>
        </w:rPr>
        <w:t>二、地下水类型及补径排关系</w:t>
      </w:r>
    </w:p>
    <w:p w14:paraId="5CD858AE">
      <w:pPr>
        <w:spacing w:line="500" w:lineRule="exact"/>
        <w:ind w:firstLine="480"/>
        <w:rPr>
          <w:rFonts w:ascii="Times New Roman" w:eastAsia="仿宋"/>
          <w:sz w:val="28"/>
          <w:szCs w:val="28"/>
        </w:rPr>
      </w:pPr>
      <w:r>
        <w:rPr>
          <w:rFonts w:hint="eastAsia" w:ascii="Times New Roman" w:eastAsia="仿宋"/>
          <w:sz w:val="28"/>
          <w:szCs w:val="28"/>
        </w:rPr>
        <w:t>拟建场地地下水按其埋藏条件可分为潜水和承压水。</w:t>
      </w:r>
    </w:p>
    <w:p w14:paraId="0E868F07">
      <w:pPr>
        <w:spacing w:line="500" w:lineRule="exact"/>
        <w:ind w:firstLine="480"/>
        <w:rPr>
          <w:rFonts w:ascii="Times New Roman" w:eastAsia="仿宋"/>
          <w:sz w:val="28"/>
          <w:szCs w:val="28"/>
        </w:rPr>
      </w:pPr>
      <w:r>
        <w:rPr>
          <w:rFonts w:hint="eastAsia" w:ascii="Times New Roman" w:eastAsia="仿宋"/>
          <w:sz w:val="28"/>
          <w:szCs w:val="28"/>
        </w:rPr>
        <w:t>潜水埋藏于①层填土、②</w:t>
      </w:r>
      <w:r>
        <w:rPr>
          <w:rFonts w:ascii="Times New Roman" w:eastAsia="仿宋"/>
          <w:sz w:val="28"/>
          <w:szCs w:val="28"/>
        </w:rPr>
        <w:t>1</w:t>
      </w:r>
      <w:r>
        <w:rPr>
          <w:rFonts w:hint="eastAsia" w:ascii="Times New Roman" w:eastAsia="仿宋"/>
          <w:sz w:val="28"/>
          <w:szCs w:val="28"/>
        </w:rPr>
        <w:t>层淤泥质粉质粘土中，其主要补给源为大气降水、人工用水、地表迳流，主要以蒸腾作用排泄，本次测得潜水水位埋深为</w:t>
      </w:r>
      <w:r>
        <w:rPr>
          <w:rFonts w:ascii="Times New Roman" w:eastAsia="仿宋"/>
          <w:sz w:val="28"/>
          <w:szCs w:val="28"/>
        </w:rPr>
        <w:t>0.40~1.20m</w:t>
      </w:r>
      <w:r>
        <w:rPr>
          <w:rFonts w:hint="eastAsia" w:ascii="Times New Roman" w:eastAsia="仿宋"/>
          <w:sz w:val="28"/>
          <w:szCs w:val="28"/>
        </w:rPr>
        <w:t>，黄海高程</w:t>
      </w:r>
      <w:r>
        <w:rPr>
          <w:rFonts w:ascii="Times New Roman" w:eastAsia="仿宋"/>
          <w:sz w:val="28"/>
          <w:szCs w:val="28"/>
        </w:rPr>
        <w:t>3.9~4.4m</w:t>
      </w:r>
      <w:r>
        <w:rPr>
          <w:rFonts w:hint="eastAsia" w:ascii="Times New Roman" w:eastAsia="仿宋"/>
          <w:sz w:val="28"/>
          <w:szCs w:val="28"/>
        </w:rPr>
        <w:t>平均标高为黄海标高</w:t>
      </w:r>
      <w:r>
        <w:rPr>
          <w:rFonts w:ascii="Times New Roman" w:eastAsia="仿宋"/>
          <w:sz w:val="28"/>
          <w:szCs w:val="28"/>
        </w:rPr>
        <w:t>4.2m</w:t>
      </w:r>
      <w:r>
        <w:rPr>
          <w:rFonts w:hint="eastAsia" w:ascii="Times New Roman" w:eastAsia="仿宋"/>
          <w:sz w:val="28"/>
          <w:szCs w:val="28"/>
        </w:rPr>
        <w:t>，潜水水位年变化幅度约为</w:t>
      </w:r>
      <w:r>
        <w:rPr>
          <w:rFonts w:ascii="Times New Roman" w:eastAsia="仿宋"/>
          <w:sz w:val="28"/>
          <w:szCs w:val="28"/>
        </w:rPr>
        <w:t>+0.8m</w:t>
      </w:r>
      <w:r>
        <w:rPr>
          <w:rFonts w:hint="eastAsia" w:ascii="Times New Roman" w:eastAsia="仿宋"/>
          <w:sz w:val="28"/>
          <w:szCs w:val="28"/>
        </w:rPr>
        <w:t>。</w:t>
      </w:r>
    </w:p>
    <w:p w14:paraId="2B78EC20">
      <w:pPr>
        <w:spacing w:line="500" w:lineRule="exact"/>
        <w:ind w:firstLine="480"/>
        <w:rPr>
          <w:rFonts w:ascii="Times New Roman" w:eastAsia="仿宋"/>
          <w:sz w:val="28"/>
          <w:szCs w:val="28"/>
        </w:rPr>
      </w:pPr>
      <w:r>
        <w:rPr>
          <w:rFonts w:hint="eastAsia" w:ascii="Times New Roman" w:eastAsia="仿宋"/>
          <w:sz w:val="28"/>
          <w:szCs w:val="28"/>
        </w:rPr>
        <w:t>承压水埋藏于</w:t>
      </w:r>
      <w:r>
        <w:rPr>
          <w:rFonts w:ascii="Times New Roman" w:eastAsia="仿宋"/>
          <w:sz w:val="28"/>
          <w:szCs w:val="28"/>
        </w:rPr>
        <w:fldChar w:fldCharType="begin"/>
      </w:r>
      <w:r>
        <w:rPr>
          <w:rFonts w:ascii="Times New Roman" w:eastAsia="仿宋"/>
          <w:sz w:val="28"/>
          <w:szCs w:val="28"/>
        </w:rPr>
        <w:instrText xml:space="preserve"> = 5 \* GB3 </w:instrText>
      </w:r>
      <w:r>
        <w:rPr>
          <w:rFonts w:ascii="Times New Roman" w:eastAsia="仿宋"/>
          <w:sz w:val="28"/>
          <w:szCs w:val="28"/>
        </w:rPr>
        <w:fldChar w:fldCharType="separate"/>
      </w:r>
      <w:r>
        <w:rPr>
          <w:rFonts w:hint="eastAsia" w:ascii="Times New Roman" w:eastAsia="仿宋"/>
          <w:sz w:val="28"/>
          <w:szCs w:val="28"/>
        </w:rPr>
        <w:t>⑤</w:t>
      </w:r>
      <w:r>
        <w:rPr>
          <w:rFonts w:ascii="Times New Roman" w:eastAsia="仿宋"/>
          <w:sz w:val="28"/>
          <w:szCs w:val="28"/>
        </w:rPr>
        <w:fldChar w:fldCharType="end"/>
      </w:r>
      <w:r>
        <w:rPr>
          <w:rFonts w:ascii="Times New Roman" w:eastAsia="仿宋"/>
          <w:sz w:val="28"/>
          <w:szCs w:val="28"/>
        </w:rPr>
        <w:t>1</w:t>
      </w:r>
      <w:r>
        <w:rPr>
          <w:rFonts w:hint="eastAsia" w:ascii="Times New Roman" w:eastAsia="仿宋"/>
          <w:sz w:val="28"/>
          <w:szCs w:val="28"/>
        </w:rPr>
        <w:t>层粉砂夹粉土、</w:t>
      </w:r>
      <w:r>
        <w:rPr>
          <w:rFonts w:ascii="Times New Roman" w:eastAsia="仿宋"/>
          <w:sz w:val="28"/>
          <w:szCs w:val="28"/>
        </w:rPr>
        <w:fldChar w:fldCharType="begin"/>
      </w:r>
      <w:r>
        <w:rPr>
          <w:rFonts w:ascii="Times New Roman" w:eastAsia="仿宋"/>
          <w:sz w:val="28"/>
          <w:szCs w:val="28"/>
        </w:rPr>
        <w:instrText xml:space="preserve"> = 5 \* GB3 </w:instrText>
      </w:r>
      <w:r>
        <w:rPr>
          <w:rFonts w:ascii="Times New Roman" w:eastAsia="仿宋"/>
          <w:sz w:val="28"/>
          <w:szCs w:val="28"/>
        </w:rPr>
        <w:fldChar w:fldCharType="separate"/>
      </w:r>
      <w:r>
        <w:rPr>
          <w:rFonts w:hint="eastAsia" w:ascii="Times New Roman" w:eastAsia="仿宋"/>
          <w:sz w:val="28"/>
          <w:szCs w:val="28"/>
        </w:rPr>
        <w:t>⑤</w:t>
      </w:r>
      <w:r>
        <w:rPr>
          <w:rFonts w:ascii="Times New Roman" w:eastAsia="仿宋"/>
          <w:sz w:val="28"/>
          <w:szCs w:val="28"/>
        </w:rPr>
        <w:fldChar w:fldCharType="end"/>
      </w:r>
      <w:r>
        <w:rPr>
          <w:rFonts w:ascii="Times New Roman" w:eastAsia="仿宋"/>
          <w:sz w:val="28"/>
          <w:szCs w:val="28"/>
        </w:rPr>
        <w:t>2</w:t>
      </w:r>
      <w:r>
        <w:rPr>
          <w:rFonts w:hint="eastAsia" w:ascii="Times New Roman" w:eastAsia="仿宋"/>
          <w:sz w:val="28"/>
          <w:szCs w:val="28"/>
        </w:rPr>
        <w:t>层粉砂、⑥</w:t>
      </w:r>
      <w:r>
        <w:rPr>
          <w:rFonts w:ascii="Times New Roman" w:eastAsia="仿宋"/>
          <w:sz w:val="28"/>
          <w:szCs w:val="28"/>
        </w:rPr>
        <w:t>2</w:t>
      </w:r>
      <w:r>
        <w:rPr>
          <w:rFonts w:hint="eastAsia" w:ascii="Times New Roman" w:eastAsia="仿宋"/>
          <w:sz w:val="28"/>
          <w:szCs w:val="28"/>
        </w:rPr>
        <w:t>层粉土夹粉质粘土、⑧</w:t>
      </w:r>
      <w:r>
        <w:rPr>
          <w:rFonts w:ascii="Times New Roman" w:eastAsia="仿宋"/>
          <w:sz w:val="28"/>
          <w:szCs w:val="28"/>
        </w:rPr>
        <w:t>1</w:t>
      </w:r>
      <w:r>
        <w:rPr>
          <w:rFonts w:hint="eastAsia" w:ascii="Times New Roman" w:eastAsia="仿宋"/>
          <w:sz w:val="28"/>
          <w:szCs w:val="28"/>
        </w:rPr>
        <w:t>层粉砂夹粉土和⑧</w:t>
      </w:r>
      <w:r>
        <w:rPr>
          <w:rFonts w:ascii="Times New Roman" w:eastAsia="仿宋"/>
          <w:sz w:val="28"/>
          <w:szCs w:val="28"/>
        </w:rPr>
        <w:t>2</w:t>
      </w:r>
      <w:r>
        <w:rPr>
          <w:rFonts w:hint="eastAsia" w:ascii="Times New Roman" w:eastAsia="仿宋"/>
          <w:sz w:val="28"/>
          <w:szCs w:val="28"/>
        </w:rPr>
        <w:t>层细砂中，其主要补给源为京杭大运河和长江水的侧向补给，排泄途径亦相同，水量较丰富。本次勘察期间测得其埋深为地面下</w:t>
      </w:r>
      <w:r>
        <w:rPr>
          <w:rFonts w:ascii="Times New Roman" w:eastAsia="仿宋"/>
          <w:sz w:val="28"/>
          <w:szCs w:val="28"/>
        </w:rPr>
        <w:t>7.7~8.4m,</w:t>
      </w:r>
      <w:r>
        <w:rPr>
          <w:rFonts w:hint="eastAsia" w:ascii="Times New Roman" w:eastAsia="仿宋"/>
          <w:sz w:val="28"/>
          <w:szCs w:val="28"/>
        </w:rPr>
        <w:t>稳定水头标高平均为黄海高程</w:t>
      </w:r>
      <w:r>
        <w:rPr>
          <w:rFonts w:ascii="Times New Roman" w:eastAsia="仿宋"/>
          <w:sz w:val="28"/>
          <w:szCs w:val="28"/>
        </w:rPr>
        <w:t>-2.2m</w:t>
      </w:r>
      <w:r>
        <w:rPr>
          <w:rFonts w:hint="eastAsia" w:ascii="Times New Roman" w:eastAsia="仿宋"/>
          <w:sz w:val="28"/>
          <w:szCs w:val="28"/>
        </w:rPr>
        <w:t>，承压水年变化幅度约</w:t>
      </w:r>
      <w:r>
        <w:rPr>
          <w:rFonts w:ascii="Times New Roman" w:eastAsia="仿宋"/>
          <w:sz w:val="28"/>
          <w:szCs w:val="28"/>
        </w:rPr>
        <w:t>+0.5m</w:t>
      </w:r>
      <w:r>
        <w:rPr>
          <w:rFonts w:hint="eastAsia" w:ascii="Times New Roman" w:eastAsia="仿宋"/>
          <w:sz w:val="28"/>
          <w:szCs w:val="28"/>
        </w:rPr>
        <w:t>。</w:t>
      </w:r>
    </w:p>
    <w:p w14:paraId="2875165F">
      <w:pPr>
        <w:spacing w:line="500" w:lineRule="exact"/>
        <w:ind w:firstLine="480"/>
        <w:rPr>
          <w:rFonts w:ascii="Times New Roman" w:eastAsia="仿宋"/>
          <w:sz w:val="28"/>
          <w:szCs w:val="28"/>
        </w:rPr>
      </w:pPr>
      <w:r>
        <w:rPr>
          <w:rFonts w:hint="eastAsia" w:ascii="Times New Roman" w:eastAsia="仿宋"/>
          <w:sz w:val="28"/>
          <w:szCs w:val="28"/>
        </w:rPr>
        <w:t>常州地区历史最高洪水位为</w:t>
      </w:r>
      <w:r>
        <w:rPr>
          <w:rFonts w:ascii="Times New Roman" w:eastAsia="仿宋"/>
          <w:sz w:val="28"/>
          <w:szCs w:val="28"/>
        </w:rPr>
        <w:t>1931</w:t>
      </w:r>
      <w:r>
        <w:rPr>
          <w:rFonts w:hint="eastAsia" w:ascii="Times New Roman" w:eastAsia="仿宋"/>
          <w:sz w:val="28"/>
          <w:szCs w:val="28"/>
        </w:rPr>
        <w:t>年黄海标高</w:t>
      </w:r>
      <w:r>
        <w:rPr>
          <w:rFonts w:ascii="Times New Roman" w:eastAsia="仿宋"/>
          <w:sz w:val="28"/>
          <w:szCs w:val="28"/>
        </w:rPr>
        <w:t>3.70m</w:t>
      </w:r>
      <w:r>
        <w:rPr>
          <w:rFonts w:hint="eastAsia" w:ascii="Times New Roman" w:eastAsia="仿宋"/>
          <w:sz w:val="28"/>
          <w:szCs w:val="28"/>
        </w:rPr>
        <w:t>，</w:t>
      </w:r>
      <w:r>
        <w:rPr>
          <w:rFonts w:ascii="Times New Roman" w:eastAsia="仿宋"/>
          <w:sz w:val="28"/>
          <w:szCs w:val="28"/>
        </w:rPr>
        <w:t>1991</w:t>
      </w:r>
      <w:r>
        <w:rPr>
          <w:rFonts w:hint="eastAsia" w:ascii="Times New Roman" w:eastAsia="仿宋"/>
          <w:sz w:val="28"/>
          <w:szCs w:val="28"/>
        </w:rPr>
        <w:t>年为</w:t>
      </w:r>
      <w:r>
        <w:rPr>
          <w:rFonts w:ascii="Times New Roman" w:eastAsia="仿宋"/>
          <w:sz w:val="28"/>
          <w:szCs w:val="28"/>
        </w:rPr>
        <w:t>3.63m</w:t>
      </w:r>
      <w:r>
        <w:rPr>
          <w:rFonts w:hint="eastAsia" w:ascii="Times New Roman" w:eastAsia="仿宋"/>
          <w:sz w:val="28"/>
          <w:szCs w:val="28"/>
        </w:rPr>
        <w:t>，本场地位于常州市防洪Ⅱ类区，抗洪水位取黄海高程</w:t>
      </w:r>
      <w:r>
        <w:rPr>
          <w:rFonts w:ascii="Times New Roman" w:eastAsia="仿宋"/>
          <w:sz w:val="28"/>
          <w:szCs w:val="28"/>
        </w:rPr>
        <w:t>3.90m</w:t>
      </w:r>
      <w:r>
        <w:rPr>
          <w:rFonts w:hint="eastAsia" w:ascii="Times New Roman" w:eastAsia="仿宋"/>
          <w:sz w:val="28"/>
          <w:szCs w:val="28"/>
        </w:rPr>
        <w:t>。</w:t>
      </w:r>
    </w:p>
    <w:p w14:paraId="43370C31">
      <w:pPr>
        <w:spacing w:line="500" w:lineRule="exact"/>
        <w:ind w:firstLine="480"/>
        <w:rPr>
          <w:rFonts w:ascii="Times New Roman" w:eastAsia="仿宋"/>
          <w:sz w:val="28"/>
          <w:szCs w:val="28"/>
        </w:rPr>
      </w:pPr>
      <w:r>
        <w:rPr>
          <w:rFonts w:hint="eastAsia" w:ascii="Times New Roman" w:eastAsia="仿宋"/>
          <w:sz w:val="28"/>
          <w:szCs w:val="28"/>
        </w:rPr>
        <w:t>但从整体来看，研究区含水层主要为孔隙潜水，研究区的污染物主要在包气带和潜水含水层中迁移。</w:t>
      </w:r>
    </w:p>
    <w:p w14:paraId="1407D122">
      <w:pPr>
        <w:spacing w:line="500" w:lineRule="exact"/>
        <w:ind w:firstLine="480"/>
        <w:rPr>
          <w:rFonts w:ascii="Times New Roman" w:eastAsia="仿宋"/>
          <w:sz w:val="28"/>
          <w:szCs w:val="28"/>
        </w:rPr>
      </w:pPr>
      <w:r>
        <w:rPr>
          <w:rFonts w:hint="eastAsia" w:ascii="Times New Roman" w:eastAsia="仿宋"/>
          <w:sz w:val="28"/>
          <w:szCs w:val="28"/>
        </w:rPr>
        <w:t>区域潜水含水层补给来源为大气降水和地表水侧向补给，排泄主要为蒸发和侧向补给河流，区域地下水和周边地表水</w:t>
      </w:r>
      <w:r>
        <w:rPr>
          <w:rFonts w:ascii="Times New Roman" w:eastAsia="仿宋"/>
          <w:sz w:val="28"/>
          <w:szCs w:val="28"/>
        </w:rPr>
        <w:t>(</w:t>
      </w:r>
      <w:r>
        <w:rPr>
          <w:rFonts w:hint="eastAsia" w:ascii="Times New Roman" w:eastAsia="仿宋"/>
          <w:sz w:val="28"/>
          <w:szCs w:val="28"/>
        </w:rPr>
        <w:t>长江</w:t>
      </w:r>
      <w:r>
        <w:rPr>
          <w:rFonts w:ascii="Times New Roman" w:eastAsia="仿宋"/>
          <w:sz w:val="28"/>
          <w:szCs w:val="28"/>
        </w:rPr>
        <w:t>)</w:t>
      </w:r>
      <w:r>
        <w:rPr>
          <w:rFonts w:hint="eastAsia" w:ascii="Times New Roman" w:eastAsia="仿宋"/>
          <w:sz w:val="28"/>
          <w:szCs w:val="28"/>
        </w:rPr>
        <w:t>联系较为紧密。</w:t>
      </w:r>
    </w:p>
    <w:p w14:paraId="57E5D917">
      <w:pPr>
        <w:spacing w:line="500" w:lineRule="exact"/>
        <w:ind w:firstLine="480"/>
        <w:rPr>
          <w:rFonts w:ascii="Times New Roman" w:eastAsia="仿宋"/>
          <w:sz w:val="28"/>
          <w:szCs w:val="28"/>
        </w:rPr>
      </w:pPr>
      <w:r>
        <w:rPr>
          <w:rFonts w:hint="eastAsia" w:ascii="Times New Roman" w:eastAsia="仿宋"/>
          <w:sz w:val="28"/>
          <w:szCs w:val="28"/>
        </w:rPr>
        <w:t>依据调查期间测得的地下水位标高，对本场地浅层承压层地下水流向进行了推断：本项目建于山上，地下水从山脊向两侧流，根据地下水标高，本项目所在地地下水流向主要是从西向东流动。</w:t>
      </w:r>
    </w:p>
    <w:p w14:paraId="437E7C03">
      <w:pPr>
        <w:spacing w:line="500" w:lineRule="exact"/>
        <w:ind w:firstLine="560" w:firstLineChars="200"/>
        <w:rPr>
          <w:rFonts w:ascii="Times New Roman" w:eastAsia="仿宋"/>
          <w:sz w:val="28"/>
          <w:szCs w:val="28"/>
        </w:rPr>
      </w:pPr>
    </w:p>
    <w:p w14:paraId="3007686D">
      <w:pPr>
        <w:pStyle w:val="170"/>
        <w:rPr>
          <w:rFonts w:ascii="Times New Roman" w:eastAsia="仿宋"/>
        </w:rPr>
      </w:pPr>
    </w:p>
    <w:p w14:paraId="05EEBA07">
      <w:pPr>
        <w:widowControl/>
        <w:rPr>
          <w:rFonts w:ascii="Times New Roman" w:eastAsia="仿宋"/>
          <w:highlight w:val="green"/>
        </w:rPr>
        <w:sectPr>
          <w:pgSz w:w="11906" w:h="16838"/>
          <w:pgMar w:top="1440" w:right="1797" w:bottom="1440" w:left="1797" w:header="539" w:footer="992" w:gutter="0"/>
          <w:cols w:space="720" w:num="1"/>
        </w:sectPr>
      </w:pPr>
    </w:p>
    <w:p w14:paraId="4AF3CC36">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.2.5.3地下水的开采现状</w:t>
      </w:r>
    </w:p>
    <w:p w14:paraId="7C98021B">
      <w:pPr>
        <w:spacing w:line="500" w:lineRule="exact"/>
        <w:ind w:firstLine="560" w:firstLineChars="200"/>
        <w:rPr>
          <w:rFonts w:ascii="Times New Roman" w:eastAsia="仿宋"/>
          <w:sz w:val="28"/>
          <w:szCs w:val="28"/>
        </w:rPr>
      </w:pPr>
      <w:r>
        <w:rPr>
          <w:rFonts w:hint="eastAsia" w:ascii="Times New Roman" w:eastAsia="仿宋_GB2312"/>
          <w:kern w:val="2"/>
          <w:sz w:val="28"/>
          <w:szCs w:val="21"/>
          <w:lang w:bidi="ar"/>
        </w:rPr>
        <w:t>评价区内无地下水生活用水供水水源地，没有分散式居民水井。居民生活用水取自自来水管网统一供给。地下水主要用于居民洗涤或生活辅助性用水。地下水开发利用程度较低</w:t>
      </w:r>
      <w:r>
        <w:rPr>
          <w:rFonts w:ascii="Times New Roman" w:eastAsia="仿宋"/>
          <w:sz w:val="28"/>
          <w:szCs w:val="28"/>
        </w:rPr>
        <w:t>。</w:t>
      </w:r>
    </w:p>
    <w:p w14:paraId="307B5DAC">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.2.5.4地下水保护目标</w:t>
      </w:r>
    </w:p>
    <w:p w14:paraId="7B79F4A1">
      <w:pPr>
        <w:spacing w:line="500" w:lineRule="exact"/>
        <w:ind w:firstLine="560" w:firstLineChars="200"/>
        <w:rPr>
          <w:rFonts w:ascii="Times New Roman" w:eastAsia="仿宋"/>
          <w:sz w:val="28"/>
          <w:szCs w:val="28"/>
        </w:rPr>
      </w:pPr>
      <w:r>
        <w:rPr>
          <w:rFonts w:hint="eastAsia" w:ascii="Times New Roman" w:eastAsia="仿宋_GB2312"/>
          <w:kern w:val="2"/>
          <w:sz w:val="28"/>
          <w:szCs w:val="21"/>
          <w:lang w:bidi="ar"/>
        </w:rPr>
        <w:t>项目所在地不在水源保护区水域内，评价区潜水不是具有供水意义的含水层，但浅层地下水和周边河流存在一定的补给和排泄关系，项目运营期产生的污染物存在迁移至场地周边河流的可能，因此本项目确定地下水潜水含水层和项目所在地周边河流（通济河）为地下水保护目标。</w:t>
      </w:r>
    </w:p>
    <w:p w14:paraId="0F7C578E">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.2.5.5地下水环境影响评价</w:t>
      </w:r>
    </w:p>
    <w:p w14:paraId="232767C3">
      <w:pPr>
        <w:spacing w:line="500" w:lineRule="exact"/>
        <w:ind w:firstLine="560" w:firstLineChars="200"/>
        <w:rPr>
          <w:rFonts w:ascii="Times New Roman" w:eastAsia="仿宋"/>
          <w:sz w:val="28"/>
          <w:szCs w:val="28"/>
        </w:rPr>
      </w:pPr>
      <w:r>
        <w:rPr>
          <w:rFonts w:ascii="Times New Roman" w:eastAsia="仿宋"/>
          <w:sz w:val="28"/>
          <w:szCs w:val="28"/>
        </w:rPr>
        <w:t>可能受本项目影响且具有饮用水开发利用价值的敏感含水层为孔隙潜水及承压含水层，因此作为本次影响预测的地下水保护目标。</w:t>
      </w:r>
    </w:p>
    <w:p w14:paraId="411589E1">
      <w:pPr>
        <w:spacing w:line="500" w:lineRule="exact"/>
        <w:ind w:firstLine="562" w:firstLineChars="200"/>
        <w:rPr>
          <w:rFonts w:ascii="Times New Roman" w:eastAsia="仿宋"/>
          <w:b/>
          <w:sz w:val="28"/>
          <w:szCs w:val="28"/>
        </w:rPr>
      </w:pPr>
      <w:r>
        <w:rPr>
          <w:rFonts w:ascii="Times New Roman" w:eastAsia="仿宋"/>
          <w:b/>
          <w:sz w:val="28"/>
          <w:szCs w:val="28"/>
        </w:rPr>
        <w:t>一、工况分析</w:t>
      </w:r>
    </w:p>
    <w:p w14:paraId="34BB30A5">
      <w:pPr>
        <w:spacing w:line="500" w:lineRule="exact"/>
        <w:ind w:firstLine="560" w:firstLineChars="200"/>
        <w:rPr>
          <w:rFonts w:ascii="Times New Roman" w:eastAsia="仿宋"/>
          <w:sz w:val="28"/>
          <w:szCs w:val="28"/>
        </w:rPr>
      </w:pPr>
      <w:r>
        <w:rPr>
          <w:rFonts w:ascii="Times New Roman" w:eastAsia="仿宋"/>
          <w:sz w:val="28"/>
          <w:szCs w:val="28"/>
        </w:rPr>
        <w:t>本项目可能对地下水产生影响的环节为生产过程中原辅料和废水(液)的跑、冒、滴、漏，主要在危废储存仓库、生产车间、事故应急池、固废堆场等，项目所在地工程设计阶段对厂区内的一般防渗区、重点防渗区均考虑采取地下水防渗处理措施。正常生产时车间的跑冒滴漏不会下渗到地下水中。室外管道和阀门的跑冒滴漏水量较小，时间一般不超过1小时。且本项目用地现状为工业用地，确保确保各项防渗措施得以落实、加强维护和厂区环境管理的前提下，正常工况下对地下水基本无渗漏，污染极小。</w:t>
      </w:r>
    </w:p>
    <w:p w14:paraId="7A0E737A">
      <w:pPr>
        <w:spacing w:line="500" w:lineRule="exact"/>
        <w:ind w:firstLine="560" w:firstLineChars="200"/>
        <w:rPr>
          <w:rFonts w:ascii="Times New Roman" w:eastAsia="仿宋"/>
          <w:sz w:val="28"/>
          <w:szCs w:val="28"/>
        </w:rPr>
      </w:pPr>
      <w:r>
        <w:rPr>
          <w:rFonts w:ascii="Times New Roman" w:eastAsia="仿宋"/>
          <w:sz w:val="28"/>
          <w:szCs w:val="28"/>
        </w:rPr>
        <w:t>非正常工况下，若出现设施故障、管道破裂、危废储存仓库及生产车间防渗层损坏开裂等现象，物料将对地下水造成点源污染，污染物可能下渗至孔隙潜水及承压层中，从而在含水层中运移。</w:t>
      </w:r>
    </w:p>
    <w:p w14:paraId="3AAE14C6">
      <w:pPr>
        <w:spacing w:line="500" w:lineRule="exact"/>
        <w:ind w:firstLine="562" w:firstLineChars="200"/>
        <w:rPr>
          <w:rFonts w:ascii="Times New Roman" w:eastAsia="仿宋"/>
          <w:b/>
          <w:sz w:val="28"/>
          <w:szCs w:val="28"/>
        </w:rPr>
      </w:pPr>
      <w:r>
        <w:rPr>
          <w:rFonts w:ascii="Times New Roman" w:eastAsia="仿宋"/>
          <w:b/>
          <w:sz w:val="28"/>
          <w:szCs w:val="28"/>
        </w:rPr>
        <w:t>二、预测因子</w:t>
      </w:r>
    </w:p>
    <w:p w14:paraId="74A4A610">
      <w:pPr>
        <w:spacing w:line="500" w:lineRule="exact"/>
        <w:ind w:firstLine="560" w:firstLineChars="200"/>
        <w:rPr>
          <w:rFonts w:ascii="Times New Roman" w:eastAsia="仿宋"/>
          <w:sz w:val="28"/>
          <w:szCs w:val="28"/>
        </w:rPr>
      </w:pPr>
      <w:r>
        <w:rPr>
          <w:rFonts w:ascii="Times New Roman" w:eastAsia="仿宋"/>
          <w:sz w:val="28"/>
          <w:szCs w:val="28"/>
        </w:rPr>
        <w:t>非正常状况以危废仓库地下水环境保护措施因系统老化、腐蚀等原因不能正常运行或保护效果达不到设计要求来预测对地下水的影响。本次选取预测因子COD</w:t>
      </w:r>
      <w:r>
        <w:rPr>
          <w:rFonts w:ascii="Times New Roman" w:eastAsia="仿宋"/>
          <w:sz w:val="28"/>
          <w:szCs w:val="28"/>
          <w:vertAlign w:val="subscript"/>
        </w:rPr>
        <w:t>Mn</w:t>
      </w:r>
      <w:r>
        <w:rPr>
          <w:rFonts w:ascii="Times New Roman" w:eastAsia="仿宋"/>
          <w:sz w:val="28"/>
          <w:szCs w:val="28"/>
        </w:rPr>
        <w:t>作为地下水预测因子。采用模拟预测时</w:t>
      </w:r>
      <w:r>
        <w:rPr>
          <w:rFonts w:hint="eastAsia" w:ascii="Times New Roman" w:eastAsia="仿宋"/>
          <w:sz w:val="28"/>
          <w:szCs w:val="28"/>
        </w:rPr>
        <w:t>喷淋塔</w:t>
      </w:r>
      <w:r>
        <w:rPr>
          <w:rFonts w:ascii="Times New Roman" w:eastAsia="仿宋"/>
          <w:sz w:val="28"/>
          <w:szCs w:val="28"/>
        </w:rPr>
        <w:t>废水COD</w:t>
      </w:r>
      <w:r>
        <w:rPr>
          <w:rFonts w:ascii="Times New Roman" w:eastAsia="仿宋"/>
          <w:sz w:val="28"/>
          <w:szCs w:val="28"/>
          <w:vertAlign w:val="subscript"/>
        </w:rPr>
        <w:t>Mn</w:t>
      </w:r>
      <w:r>
        <w:rPr>
          <w:rFonts w:ascii="Times New Roman" w:eastAsia="仿宋"/>
          <w:sz w:val="28"/>
          <w:szCs w:val="28"/>
        </w:rPr>
        <w:t>泄漏浓度为2000mg/L(多年数据积累表明高锰酸盐指数一般来说是COD的40%-50%)。</w:t>
      </w:r>
    </w:p>
    <w:p w14:paraId="5F0A96C5">
      <w:pPr>
        <w:spacing w:line="500" w:lineRule="exact"/>
        <w:ind w:firstLine="562" w:firstLineChars="200"/>
        <w:rPr>
          <w:rFonts w:ascii="Times New Roman" w:eastAsia="仿宋"/>
          <w:b/>
          <w:sz w:val="28"/>
          <w:szCs w:val="28"/>
        </w:rPr>
      </w:pPr>
      <w:r>
        <w:rPr>
          <w:rFonts w:ascii="Times New Roman" w:eastAsia="仿宋"/>
          <w:b/>
          <w:sz w:val="28"/>
          <w:szCs w:val="28"/>
        </w:rPr>
        <w:t>三、预测模型</w:t>
      </w:r>
    </w:p>
    <w:p w14:paraId="08A384EB">
      <w:pPr>
        <w:spacing w:line="500" w:lineRule="exact"/>
        <w:ind w:firstLine="560" w:firstLineChars="200"/>
        <w:rPr>
          <w:rFonts w:ascii="Times New Roman" w:eastAsia="仿宋"/>
          <w:sz w:val="28"/>
          <w:szCs w:val="28"/>
        </w:rPr>
      </w:pPr>
      <w:r>
        <w:rPr>
          <w:rFonts w:ascii="Times New Roman" w:eastAsia="仿宋"/>
          <w:sz w:val="28"/>
          <w:szCs w:val="28"/>
        </w:rPr>
        <w:t>根据勘查结果，所在场地内各土层在垂直、水平方向上厚度埋深变化不大，总体各土层均匀性较好。厂区周边的潜水区与承压水区的水文地质条件较简单，可通过解析法预测地下水环境影响。正常情况下，厂区基本不产生地下水污染。主要预测非正常工况下，排污设备出现故障或处理池发生开裂等非正常工况时，废水将会发生渗漏，最坏情况是废水保持进水浓度持续排出，从而污染地下水。因此将污染源视为连续稳定释放的点源，通过对污染物源强的分析，筛选出具有代表性的COD</w:t>
      </w:r>
      <w:r>
        <w:rPr>
          <w:rFonts w:ascii="Times New Roman" w:eastAsia="仿宋"/>
          <w:sz w:val="28"/>
          <w:szCs w:val="28"/>
          <w:vertAlign w:val="subscript"/>
        </w:rPr>
        <w:t>Mn</w:t>
      </w:r>
      <w:r>
        <w:rPr>
          <w:rFonts w:ascii="Times New Roman" w:eastAsia="仿宋"/>
          <w:sz w:val="28"/>
          <w:szCs w:val="28"/>
        </w:rPr>
        <w:t>进行正向推算。分别计算100天、1000天、10年后的污染物达标扩散距离（最大迁移距离）。</w:t>
      </w:r>
    </w:p>
    <w:p w14:paraId="6DE21EDB">
      <w:pPr>
        <w:spacing w:line="500" w:lineRule="exact"/>
        <w:ind w:firstLine="560" w:firstLineChars="200"/>
        <w:rPr>
          <w:rFonts w:ascii="Times New Roman" w:eastAsia="仿宋"/>
          <w:sz w:val="28"/>
          <w:szCs w:val="28"/>
        </w:rPr>
      </w:pPr>
      <w:r>
        <w:rPr>
          <w:rFonts w:ascii="Times New Roman" w:eastAsia="仿宋"/>
          <w:sz w:val="28"/>
          <w:szCs w:val="28"/>
        </w:rPr>
        <w:t>对污染物的厂区潜水环境影响预测采用《</w:t>
      </w:r>
      <w:r>
        <w:rPr>
          <w:rFonts w:hint="eastAsia" w:ascii="Times New Roman" w:eastAsia="仿宋"/>
          <w:sz w:val="28"/>
          <w:szCs w:val="28"/>
        </w:rPr>
        <w:t xml:space="preserve">环境影响评价技术导则 </w:t>
      </w:r>
      <w:r>
        <w:rPr>
          <w:rFonts w:ascii="Times New Roman" w:eastAsia="仿宋"/>
          <w:sz w:val="28"/>
          <w:szCs w:val="28"/>
        </w:rPr>
        <w:t>地下水环境》（HJ610-2016）附录D推荐的一维半无限长多孔介质柱体，一端为定浓度边界模式。其解析解为：</w:t>
      </w:r>
    </w:p>
    <w:p w14:paraId="620627BD">
      <w:pPr>
        <w:jc w:val="center"/>
        <w:rPr>
          <w:rFonts w:ascii="Times New Roman" w:eastAsia="仿宋"/>
          <w:sz w:val="28"/>
          <w:szCs w:val="28"/>
        </w:rPr>
      </w:pPr>
      <w:r>
        <w:rPr>
          <w:rFonts w:ascii="Times New Roman" w:eastAsia="仿宋"/>
          <w:sz w:val="28"/>
          <w:szCs w:val="28"/>
        </w:rPr>
        <w:drawing>
          <wp:inline distT="0" distB="0" distL="0" distR="0">
            <wp:extent cx="3411220" cy="64389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411220" cy="643890"/>
                    </a:xfrm>
                    <a:prstGeom prst="rect">
                      <a:avLst/>
                    </a:prstGeom>
                    <a:noFill/>
                    <a:ln>
                      <a:noFill/>
                    </a:ln>
                  </pic:spPr>
                </pic:pic>
              </a:graphicData>
            </a:graphic>
          </wp:inline>
        </w:drawing>
      </w:r>
    </w:p>
    <w:p w14:paraId="1E1969C3">
      <w:pPr>
        <w:spacing w:line="500" w:lineRule="exact"/>
        <w:ind w:firstLine="560" w:firstLineChars="200"/>
        <w:rPr>
          <w:rFonts w:ascii="Times New Roman" w:eastAsia="仿宋"/>
          <w:sz w:val="28"/>
          <w:szCs w:val="28"/>
        </w:rPr>
      </w:pPr>
      <w:r>
        <w:rPr>
          <w:rFonts w:ascii="Times New Roman" w:eastAsia="仿宋"/>
          <w:sz w:val="28"/>
          <w:szCs w:val="28"/>
        </w:rPr>
        <w:t>式中：</w:t>
      </w:r>
    </w:p>
    <w:p w14:paraId="39745D01">
      <w:pPr>
        <w:spacing w:line="500" w:lineRule="exact"/>
        <w:ind w:firstLine="560" w:firstLineChars="200"/>
        <w:rPr>
          <w:rFonts w:ascii="Times New Roman" w:eastAsia="仿宋"/>
          <w:sz w:val="28"/>
          <w:szCs w:val="28"/>
        </w:rPr>
      </w:pPr>
      <w:r>
        <w:rPr>
          <w:rFonts w:ascii="Times New Roman" w:eastAsia="仿宋"/>
          <w:sz w:val="28"/>
          <w:szCs w:val="28"/>
        </w:rPr>
        <w:t>x—距注入点的距离，m；</w:t>
      </w:r>
    </w:p>
    <w:p w14:paraId="7482624D">
      <w:pPr>
        <w:spacing w:line="500" w:lineRule="exact"/>
        <w:ind w:firstLine="560" w:firstLineChars="200"/>
        <w:rPr>
          <w:rFonts w:ascii="Times New Roman" w:eastAsia="仿宋"/>
          <w:sz w:val="28"/>
          <w:szCs w:val="28"/>
        </w:rPr>
      </w:pPr>
      <w:r>
        <w:rPr>
          <w:rFonts w:ascii="Times New Roman" w:eastAsia="仿宋"/>
          <w:sz w:val="28"/>
          <w:szCs w:val="28"/>
        </w:rPr>
        <w:t>t—时间，d；</w:t>
      </w:r>
    </w:p>
    <w:p w14:paraId="66DF8B42">
      <w:pPr>
        <w:spacing w:line="500" w:lineRule="exact"/>
        <w:ind w:firstLine="560" w:firstLineChars="200"/>
        <w:rPr>
          <w:rFonts w:ascii="Times New Roman" w:eastAsia="仿宋"/>
          <w:sz w:val="28"/>
          <w:szCs w:val="28"/>
        </w:rPr>
      </w:pPr>
      <w:r>
        <w:rPr>
          <w:rFonts w:ascii="Times New Roman" w:eastAsia="仿宋"/>
          <w:sz w:val="28"/>
          <w:szCs w:val="28"/>
        </w:rPr>
        <w:t>C(x，t)—t时刻x处的示踪剂浓度，g/L；</w:t>
      </w:r>
    </w:p>
    <w:p w14:paraId="16F2BFA7">
      <w:pPr>
        <w:spacing w:line="500" w:lineRule="exact"/>
        <w:ind w:firstLine="560" w:firstLineChars="200"/>
        <w:rPr>
          <w:rFonts w:ascii="Times New Roman" w:eastAsia="仿宋"/>
          <w:sz w:val="28"/>
          <w:szCs w:val="28"/>
        </w:rPr>
      </w:pPr>
      <w:r>
        <w:rPr>
          <w:rFonts w:ascii="Times New Roman" w:eastAsia="仿宋"/>
          <w:sz w:val="28"/>
          <w:szCs w:val="28"/>
        </w:rPr>
        <w:t>C</w:t>
      </w:r>
      <w:r>
        <w:rPr>
          <w:rFonts w:ascii="Times New Roman" w:eastAsia="仿宋"/>
          <w:sz w:val="28"/>
          <w:szCs w:val="28"/>
          <w:vertAlign w:val="subscript"/>
        </w:rPr>
        <w:t>0</w:t>
      </w:r>
      <w:r>
        <w:rPr>
          <w:rFonts w:ascii="Times New Roman" w:eastAsia="仿宋"/>
          <w:sz w:val="28"/>
          <w:szCs w:val="28"/>
        </w:rPr>
        <w:t>—注入的示踪剂浓度，g/L；</w:t>
      </w:r>
    </w:p>
    <w:p w14:paraId="6A42ED66">
      <w:pPr>
        <w:spacing w:line="500" w:lineRule="exact"/>
        <w:ind w:firstLine="560" w:firstLineChars="200"/>
        <w:rPr>
          <w:rFonts w:ascii="Times New Roman" w:eastAsia="仿宋"/>
          <w:sz w:val="28"/>
          <w:szCs w:val="28"/>
        </w:rPr>
      </w:pPr>
      <w:r>
        <w:rPr>
          <w:rFonts w:ascii="Times New Roman" w:eastAsia="仿宋"/>
          <w:sz w:val="28"/>
          <w:szCs w:val="28"/>
        </w:rPr>
        <w:t>u—水流速度，m/d；</w:t>
      </w:r>
    </w:p>
    <w:p w14:paraId="6B6E985A">
      <w:pPr>
        <w:spacing w:line="500" w:lineRule="exact"/>
        <w:ind w:firstLine="560" w:firstLineChars="200"/>
        <w:rPr>
          <w:rFonts w:ascii="Times New Roman" w:eastAsia="仿宋"/>
          <w:sz w:val="28"/>
          <w:szCs w:val="28"/>
        </w:rPr>
      </w:pPr>
      <w:r>
        <w:rPr>
          <w:rFonts w:ascii="Times New Roman" w:eastAsia="仿宋"/>
          <w:sz w:val="28"/>
          <w:szCs w:val="28"/>
        </w:rPr>
        <w:t>D</w:t>
      </w:r>
      <w:r>
        <w:rPr>
          <w:rFonts w:ascii="Times New Roman" w:eastAsia="仿宋"/>
          <w:sz w:val="28"/>
          <w:szCs w:val="28"/>
          <w:vertAlign w:val="subscript"/>
        </w:rPr>
        <w:t>L</w:t>
      </w:r>
      <w:r>
        <w:rPr>
          <w:rFonts w:ascii="Times New Roman" w:eastAsia="仿宋"/>
          <w:sz w:val="28"/>
          <w:szCs w:val="28"/>
        </w:rPr>
        <w:t>—纵向弥散系数，m</w:t>
      </w:r>
      <w:r>
        <w:rPr>
          <w:rFonts w:ascii="Times New Roman" w:eastAsia="仿宋"/>
          <w:sz w:val="28"/>
          <w:szCs w:val="28"/>
          <w:vertAlign w:val="superscript"/>
        </w:rPr>
        <w:t>2</w:t>
      </w:r>
      <w:r>
        <w:rPr>
          <w:rFonts w:ascii="Times New Roman" w:eastAsia="仿宋"/>
          <w:sz w:val="28"/>
          <w:szCs w:val="28"/>
        </w:rPr>
        <w:t>/d；</w:t>
      </w:r>
    </w:p>
    <w:p w14:paraId="2758B23C">
      <w:pPr>
        <w:spacing w:line="500" w:lineRule="exact"/>
        <w:ind w:firstLine="560" w:firstLineChars="200"/>
        <w:rPr>
          <w:rFonts w:ascii="Times New Roman" w:eastAsia="仿宋"/>
          <w:sz w:val="28"/>
          <w:szCs w:val="28"/>
        </w:rPr>
      </w:pPr>
      <w:r>
        <w:rPr>
          <w:rFonts w:ascii="Times New Roman" w:eastAsia="仿宋"/>
          <w:sz w:val="28"/>
          <w:szCs w:val="28"/>
        </w:rPr>
        <w:t>erfc()—余误差函数。</w:t>
      </w:r>
    </w:p>
    <w:p w14:paraId="7356503B">
      <w:pPr>
        <w:spacing w:line="500" w:lineRule="exact"/>
        <w:ind w:firstLine="560" w:firstLineChars="200"/>
        <w:rPr>
          <w:rFonts w:ascii="Times New Roman" w:eastAsia="仿宋"/>
          <w:sz w:val="28"/>
          <w:szCs w:val="28"/>
        </w:rPr>
      </w:pPr>
      <w:r>
        <w:rPr>
          <w:rFonts w:ascii="Times New Roman" w:eastAsia="仿宋"/>
          <w:sz w:val="28"/>
          <w:szCs w:val="28"/>
        </w:rPr>
        <w:t>地下水实际流速和弥散系数的确定方法：</w:t>
      </w:r>
    </w:p>
    <w:p w14:paraId="3A1EB487">
      <w:pPr>
        <w:spacing w:line="500" w:lineRule="exact"/>
        <w:ind w:firstLine="560" w:firstLineChars="200"/>
        <w:rPr>
          <w:rFonts w:ascii="Times New Roman" w:eastAsia="仿宋"/>
          <w:sz w:val="28"/>
          <w:szCs w:val="28"/>
        </w:rPr>
      </w:pPr>
      <w:r>
        <w:rPr>
          <w:rFonts w:ascii="Times New Roman" w:eastAsia="仿宋"/>
          <w:sz w:val="28"/>
          <w:szCs w:val="28"/>
        </w:rPr>
        <w:t>u=K×I/n；D</w:t>
      </w:r>
      <w:r>
        <w:rPr>
          <w:rFonts w:ascii="Times New Roman" w:eastAsia="仿宋"/>
          <w:sz w:val="28"/>
          <w:szCs w:val="28"/>
          <w:vertAlign w:val="subscript"/>
        </w:rPr>
        <w:t>L</w:t>
      </w:r>
      <w:r>
        <w:rPr>
          <w:rFonts w:ascii="Times New Roman" w:eastAsia="仿宋"/>
          <w:sz w:val="28"/>
          <w:szCs w:val="28"/>
        </w:rPr>
        <w:t>=a</w:t>
      </w:r>
      <w:r>
        <w:rPr>
          <w:rFonts w:ascii="Times New Roman" w:eastAsia="仿宋"/>
          <w:sz w:val="28"/>
          <w:szCs w:val="28"/>
          <w:vertAlign w:val="subscript"/>
        </w:rPr>
        <w:t>L</w:t>
      </w:r>
      <w:r>
        <w:rPr>
          <w:rFonts w:ascii="Times New Roman" w:eastAsia="仿宋"/>
          <w:sz w:val="28"/>
          <w:szCs w:val="28"/>
        </w:rPr>
        <w:t>×U</w:t>
      </w:r>
      <w:r>
        <w:rPr>
          <w:rFonts w:ascii="Times New Roman" w:eastAsia="仿宋"/>
          <w:sz w:val="28"/>
          <w:szCs w:val="28"/>
          <w:vertAlign w:val="superscript"/>
        </w:rPr>
        <w:t>m</w:t>
      </w:r>
      <w:r>
        <w:rPr>
          <w:rFonts w:ascii="Times New Roman" w:eastAsia="仿宋"/>
          <w:sz w:val="28"/>
          <w:szCs w:val="28"/>
        </w:rPr>
        <w:t>；D</w:t>
      </w:r>
      <w:r>
        <w:rPr>
          <w:rFonts w:ascii="Times New Roman" w:eastAsia="仿宋"/>
          <w:sz w:val="28"/>
          <w:szCs w:val="28"/>
          <w:vertAlign w:val="subscript"/>
        </w:rPr>
        <w:t>T</w:t>
      </w:r>
      <w:r>
        <w:rPr>
          <w:rFonts w:ascii="Times New Roman" w:eastAsia="仿宋"/>
          <w:sz w:val="28"/>
          <w:szCs w:val="28"/>
        </w:rPr>
        <w:t>=a</w:t>
      </w:r>
      <w:r>
        <w:rPr>
          <w:rFonts w:ascii="Times New Roman" w:eastAsia="仿宋"/>
          <w:sz w:val="28"/>
          <w:szCs w:val="28"/>
          <w:vertAlign w:val="subscript"/>
        </w:rPr>
        <w:t>T</w:t>
      </w:r>
      <w:r>
        <w:rPr>
          <w:rFonts w:ascii="Times New Roman" w:eastAsia="仿宋"/>
          <w:sz w:val="28"/>
          <w:szCs w:val="28"/>
        </w:rPr>
        <w:t>×U</w:t>
      </w:r>
      <w:r>
        <w:rPr>
          <w:rFonts w:ascii="Times New Roman" w:eastAsia="仿宋"/>
          <w:sz w:val="28"/>
          <w:szCs w:val="28"/>
          <w:vertAlign w:val="superscript"/>
        </w:rPr>
        <w:t>m</w:t>
      </w:r>
    </w:p>
    <w:p w14:paraId="0BE9AF98">
      <w:pPr>
        <w:spacing w:line="500" w:lineRule="exact"/>
        <w:ind w:firstLine="560" w:firstLineChars="200"/>
        <w:rPr>
          <w:rFonts w:ascii="Times New Roman" w:eastAsia="仿宋"/>
          <w:sz w:val="28"/>
          <w:szCs w:val="28"/>
        </w:rPr>
      </w:pPr>
      <w:r>
        <w:rPr>
          <w:rFonts w:ascii="Times New Roman" w:eastAsia="仿宋"/>
          <w:sz w:val="28"/>
          <w:szCs w:val="28"/>
        </w:rPr>
        <w:t>式中：</w:t>
      </w:r>
    </w:p>
    <w:p w14:paraId="302D6003">
      <w:pPr>
        <w:spacing w:line="500" w:lineRule="exact"/>
        <w:ind w:firstLine="560" w:firstLineChars="200"/>
        <w:rPr>
          <w:rFonts w:ascii="Times New Roman" w:eastAsia="仿宋"/>
          <w:sz w:val="28"/>
          <w:szCs w:val="28"/>
        </w:rPr>
      </w:pPr>
      <w:r>
        <w:rPr>
          <w:rFonts w:ascii="Times New Roman" w:eastAsia="仿宋"/>
          <w:sz w:val="28"/>
          <w:szCs w:val="28"/>
        </w:rPr>
        <w:t>u—地下水实际流速，m/d；</w:t>
      </w:r>
    </w:p>
    <w:p w14:paraId="432F5F7E">
      <w:pPr>
        <w:spacing w:line="500" w:lineRule="exact"/>
        <w:ind w:firstLine="560" w:firstLineChars="200"/>
        <w:rPr>
          <w:rFonts w:ascii="Times New Roman" w:eastAsia="仿宋"/>
          <w:sz w:val="28"/>
          <w:szCs w:val="28"/>
        </w:rPr>
      </w:pPr>
      <w:r>
        <w:rPr>
          <w:rFonts w:ascii="Times New Roman" w:eastAsia="仿宋"/>
          <w:sz w:val="28"/>
          <w:szCs w:val="28"/>
        </w:rPr>
        <w:t>K—渗透系数，m/d；</w:t>
      </w:r>
    </w:p>
    <w:p w14:paraId="362EA899">
      <w:pPr>
        <w:spacing w:line="500" w:lineRule="exact"/>
        <w:ind w:firstLine="560" w:firstLineChars="200"/>
        <w:rPr>
          <w:rFonts w:ascii="Times New Roman" w:eastAsia="仿宋"/>
          <w:sz w:val="28"/>
          <w:szCs w:val="28"/>
        </w:rPr>
      </w:pPr>
      <w:r>
        <w:rPr>
          <w:rFonts w:ascii="Times New Roman" w:eastAsia="仿宋"/>
          <w:sz w:val="28"/>
          <w:szCs w:val="28"/>
        </w:rPr>
        <w:t>I—水力坡度；</w:t>
      </w:r>
    </w:p>
    <w:p w14:paraId="5D8FF806">
      <w:pPr>
        <w:spacing w:line="500" w:lineRule="exact"/>
        <w:ind w:firstLine="560" w:firstLineChars="200"/>
        <w:rPr>
          <w:rFonts w:ascii="Times New Roman" w:eastAsia="仿宋"/>
          <w:sz w:val="28"/>
          <w:szCs w:val="28"/>
        </w:rPr>
      </w:pPr>
      <w:r>
        <w:rPr>
          <w:rFonts w:ascii="Times New Roman" w:eastAsia="仿宋"/>
          <w:sz w:val="28"/>
          <w:szCs w:val="28"/>
        </w:rPr>
        <w:t>n—孔隙度；</w:t>
      </w:r>
    </w:p>
    <w:p w14:paraId="28C9C30C">
      <w:pPr>
        <w:spacing w:line="500" w:lineRule="exact"/>
        <w:ind w:firstLine="560" w:firstLineChars="200"/>
        <w:rPr>
          <w:rFonts w:ascii="Times New Roman" w:eastAsia="仿宋"/>
          <w:sz w:val="28"/>
          <w:szCs w:val="28"/>
        </w:rPr>
      </w:pPr>
      <w:r>
        <w:rPr>
          <w:rFonts w:ascii="Times New Roman" w:eastAsia="仿宋"/>
          <w:sz w:val="28"/>
          <w:szCs w:val="28"/>
        </w:rPr>
        <w:t>m—指数；</w:t>
      </w:r>
    </w:p>
    <w:p w14:paraId="726F4FFB">
      <w:pPr>
        <w:spacing w:line="500" w:lineRule="exact"/>
        <w:ind w:firstLine="560" w:firstLineChars="200"/>
        <w:rPr>
          <w:rFonts w:ascii="Times New Roman" w:eastAsia="仿宋"/>
          <w:sz w:val="28"/>
          <w:szCs w:val="28"/>
        </w:rPr>
      </w:pPr>
      <w:r>
        <w:rPr>
          <w:rFonts w:ascii="Times New Roman" w:eastAsia="仿宋"/>
          <w:sz w:val="28"/>
          <w:szCs w:val="28"/>
        </w:rPr>
        <w:t>D</w:t>
      </w:r>
      <w:r>
        <w:rPr>
          <w:rFonts w:ascii="Times New Roman" w:eastAsia="仿宋"/>
          <w:sz w:val="28"/>
          <w:szCs w:val="28"/>
          <w:vertAlign w:val="subscript"/>
        </w:rPr>
        <w:t>L</w:t>
      </w:r>
      <w:r>
        <w:rPr>
          <w:rFonts w:ascii="Times New Roman" w:eastAsia="仿宋"/>
          <w:sz w:val="28"/>
          <w:szCs w:val="28"/>
        </w:rPr>
        <w:t>—纵向弥散系数，m</w:t>
      </w:r>
      <w:r>
        <w:rPr>
          <w:rFonts w:ascii="Times New Roman" w:eastAsia="仿宋"/>
          <w:sz w:val="28"/>
          <w:szCs w:val="28"/>
          <w:vertAlign w:val="superscript"/>
        </w:rPr>
        <w:t>2</w:t>
      </w:r>
      <w:r>
        <w:rPr>
          <w:rFonts w:ascii="Times New Roman" w:eastAsia="仿宋"/>
          <w:sz w:val="28"/>
          <w:szCs w:val="28"/>
        </w:rPr>
        <w:t>/d；</w:t>
      </w:r>
    </w:p>
    <w:p w14:paraId="5049DAE3">
      <w:pPr>
        <w:spacing w:line="500" w:lineRule="exact"/>
        <w:ind w:firstLine="560" w:firstLineChars="200"/>
        <w:rPr>
          <w:rFonts w:ascii="Times New Roman" w:eastAsia="仿宋"/>
          <w:sz w:val="28"/>
          <w:szCs w:val="28"/>
        </w:rPr>
      </w:pPr>
      <w:r>
        <w:rPr>
          <w:rFonts w:ascii="Times New Roman" w:eastAsia="仿宋"/>
          <w:sz w:val="28"/>
          <w:szCs w:val="28"/>
        </w:rPr>
        <w:t>D</w:t>
      </w:r>
      <w:r>
        <w:rPr>
          <w:rFonts w:ascii="Times New Roman" w:eastAsia="仿宋"/>
          <w:sz w:val="28"/>
          <w:szCs w:val="28"/>
          <w:vertAlign w:val="subscript"/>
        </w:rPr>
        <w:t>T</w:t>
      </w:r>
      <w:r>
        <w:rPr>
          <w:rFonts w:ascii="Times New Roman" w:eastAsia="仿宋"/>
          <w:sz w:val="28"/>
          <w:szCs w:val="28"/>
        </w:rPr>
        <w:t>—横向弥散系数，m</w:t>
      </w:r>
      <w:r>
        <w:rPr>
          <w:rFonts w:ascii="Times New Roman" w:eastAsia="仿宋"/>
          <w:sz w:val="28"/>
          <w:szCs w:val="28"/>
          <w:vertAlign w:val="superscript"/>
        </w:rPr>
        <w:t>2</w:t>
      </w:r>
      <w:r>
        <w:rPr>
          <w:rFonts w:ascii="Times New Roman" w:eastAsia="仿宋"/>
          <w:sz w:val="28"/>
          <w:szCs w:val="28"/>
        </w:rPr>
        <w:t>/d；</w:t>
      </w:r>
    </w:p>
    <w:p w14:paraId="7E8E0532">
      <w:pPr>
        <w:spacing w:line="500" w:lineRule="exact"/>
        <w:ind w:firstLine="560" w:firstLineChars="200"/>
        <w:rPr>
          <w:rFonts w:ascii="Times New Roman" w:eastAsia="仿宋"/>
          <w:sz w:val="28"/>
          <w:szCs w:val="28"/>
        </w:rPr>
      </w:pPr>
      <w:r>
        <w:rPr>
          <w:rFonts w:ascii="Times New Roman" w:eastAsia="仿宋"/>
          <w:sz w:val="28"/>
          <w:szCs w:val="28"/>
        </w:rPr>
        <w:t>a</w:t>
      </w:r>
      <w:r>
        <w:rPr>
          <w:rFonts w:ascii="Times New Roman" w:eastAsia="仿宋"/>
          <w:sz w:val="28"/>
          <w:szCs w:val="28"/>
          <w:vertAlign w:val="subscript"/>
        </w:rPr>
        <w:t>L</w:t>
      </w:r>
      <w:r>
        <w:rPr>
          <w:rFonts w:ascii="Times New Roman" w:eastAsia="仿宋"/>
          <w:sz w:val="28"/>
          <w:szCs w:val="28"/>
        </w:rPr>
        <w:t>—纵向弥散度；</w:t>
      </w:r>
    </w:p>
    <w:p w14:paraId="6AE351E1">
      <w:pPr>
        <w:spacing w:line="500" w:lineRule="exact"/>
        <w:ind w:firstLine="560" w:firstLineChars="200"/>
        <w:rPr>
          <w:rFonts w:ascii="Times New Roman" w:eastAsia="仿宋"/>
          <w:sz w:val="28"/>
          <w:szCs w:val="28"/>
        </w:rPr>
      </w:pPr>
      <w:r>
        <w:rPr>
          <w:rFonts w:ascii="Times New Roman" w:eastAsia="仿宋"/>
          <w:sz w:val="28"/>
          <w:szCs w:val="28"/>
        </w:rPr>
        <w:t>a</w:t>
      </w:r>
      <w:r>
        <w:rPr>
          <w:rFonts w:ascii="Times New Roman" w:eastAsia="仿宋"/>
          <w:sz w:val="28"/>
          <w:szCs w:val="28"/>
          <w:vertAlign w:val="subscript"/>
        </w:rPr>
        <w:t>T</w:t>
      </w:r>
      <w:r>
        <w:rPr>
          <w:rFonts w:ascii="Times New Roman" w:eastAsia="仿宋"/>
          <w:sz w:val="28"/>
          <w:szCs w:val="28"/>
        </w:rPr>
        <w:t>—横向弥散度。</w:t>
      </w:r>
    </w:p>
    <w:p w14:paraId="1DAD43BE">
      <w:pPr>
        <w:spacing w:line="500" w:lineRule="exact"/>
        <w:ind w:firstLine="560" w:firstLineChars="200"/>
        <w:rPr>
          <w:rFonts w:ascii="Times New Roman" w:eastAsia="仿宋"/>
          <w:sz w:val="28"/>
          <w:szCs w:val="28"/>
        </w:rPr>
      </w:pPr>
      <w:r>
        <w:rPr>
          <w:rFonts w:ascii="Times New Roman" w:eastAsia="仿宋"/>
          <w:sz w:val="28"/>
          <w:szCs w:val="28"/>
        </w:rPr>
        <w:t>根据《</w:t>
      </w:r>
      <w:r>
        <w:rPr>
          <w:rFonts w:hint="eastAsia" w:ascii="Times New Roman" w:eastAsia="仿宋"/>
          <w:sz w:val="28"/>
          <w:szCs w:val="28"/>
        </w:rPr>
        <w:t xml:space="preserve">环境影响评价技术导则 </w:t>
      </w:r>
      <w:r>
        <w:rPr>
          <w:rFonts w:ascii="Times New Roman" w:eastAsia="仿宋"/>
          <w:sz w:val="28"/>
          <w:szCs w:val="28"/>
        </w:rPr>
        <w:t>地下水环境》（HJ610-2016）附录B经验值表确定渗透系数，经类比同类地质勘查结果、查阅资料结合室内土工试验，可以确定孔隙度和弥散度，最终经计算得到实际水流速度u和纵向弥散系数D</w:t>
      </w:r>
      <w:r>
        <w:rPr>
          <w:rFonts w:ascii="Times New Roman" w:eastAsia="仿宋"/>
          <w:sz w:val="28"/>
          <w:szCs w:val="28"/>
          <w:vertAlign w:val="subscript"/>
        </w:rPr>
        <w:t>L</w:t>
      </w:r>
      <w:r>
        <w:rPr>
          <w:rFonts w:ascii="Times New Roman" w:eastAsia="仿宋"/>
          <w:sz w:val="28"/>
          <w:szCs w:val="28"/>
        </w:rPr>
        <w:t>。</w:t>
      </w:r>
    </w:p>
    <w:p w14:paraId="3E142925">
      <w:pPr>
        <w:spacing w:line="500" w:lineRule="exact"/>
        <w:ind w:firstLine="562" w:firstLineChars="200"/>
        <w:rPr>
          <w:rFonts w:ascii="Times New Roman" w:eastAsia="仿宋"/>
          <w:b/>
          <w:sz w:val="28"/>
          <w:szCs w:val="28"/>
        </w:rPr>
      </w:pPr>
      <w:r>
        <w:rPr>
          <w:rFonts w:ascii="Times New Roman" w:eastAsia="仿宋"/>
          <w:b/>
          <w:sz w:val="28"/>
          <w:szCs w:val="28"/>
        </w:rPr>
        <w:t>四、模型参数</w:t>
      </w:r>
    </w:p>
    <w:p w14:paraId="4A1F3477">
      <w:pPr>
        <w:spacing w:line="500" w:lineRule="exact"/>
        <w:ind w:firstLine="560" w:firstLineChars="200"/>
        <w:rPr>
          <w:rFonts w:ascii="Times New Roman" w:eastAsia="仿宋"/>
          <w:sz w:val="28"/>
          <w:szCs w:val="28"/>
        </w:rPr>
      </w:pPr>
      <w:r>
        <w:rPr>
          <w:rFonts w:ascii="Times New Roman" w:eastAsia="仿宋"/>
          <w:sz w:val="28"/>
          <w:szCs w:val="28"/>
        </w:rPr>
        <w:t>①渗透系数、水力坡度、给水度</w:t>
      </w:r>
    </w:p>
    <w:p w14:paraId="39252F46">
      <w:pPr>
        <w:spacing w:line="500" w:lineRule="exact"/>
        <w:ind w:firstLine="560" w:firstLineChars="200"/>
        <w:rPr>
          <w:rFonts w:ascii="Times New Roman" w:eastAsia="仿宋"/>
          <w:sz w:val="28"/>
          <w:szCs w:val="28"/>
        </w:rPr>
      </w:pPr>
      <w:r>
        <w:rPr>
          <w:rFonts w:ascii="Times New Roman" w:eastAsia="仿宋"/>
          <w:sz w:val="28"/>
          <w:szCs w:val="28"/>
        </w:rPr>
        <w:t>本项目建设区含水层渗透系数根据地勘调查报告潜水层土质分析，取0.5m/d；水力坡度取2.5‰；粘土给水度取0.02~0.035。</w:t>
      </w:r>
    </w:p>
    <w:p w14:paraId="4FFA3E49">
      <w:pPr>
        <w:spacing w:line="500" w:lineRule="exact"/>
        <w:ind w:firstLine="560" w:firstLineChars="200"/>
        <w:rPr>
          <w:rFonts w:ascii="Times New Roman" w:eastAsia="仿宋"/>
          <w:sz w:val="28"/>
          <w:szCs w:val="28"/>
        </w:rPr>
      </w:pPr>
      <w:r>
        <w:rPr>
          <w:rFonts w:ascii="Times New Roman" w:eastAsia="仿宋"/>
          <w:sz w:val="28"/>
          <w:szCs w:val="28"/>
        </w:rPr>
        <w:t>②弥散系数</w:t>
      </w:r>
    </w:p>
    <w:p w14:paraId="09C7963A">
      <w:pPr>
        <w:spacing w:line="500" w:lineRule="exact"/>
        <w:ind w:firstLine="560" w:firstLineChars="200"/>
        <w:rPr>
          <w:rFonts w:ascii="Times New Roman" w:eastAsia="仿宋"/>
          <w:sz w:val="28"/>
          <w:szCs w:val="28"/>
        </w:rPr>
      </w:pPr>
      <w:r>
        <w:rPr>
          <w:rFonts w:ascii="Times New Roman" w:eastAsia="仿宋"/>
          <w:sz w:val="28"/>
          <w:szCs w:val="28"/>
        </w:rPr>
        <w:t>根据相关文献及经验取值，考虑评价区含水层岩性，项目建设区含水层纵向弥散系数取值为0.05m</w:t>
      </w:r>
      <w:r>
        <w:rPr>
          <w:rFonts w:ascii="Times New Roman" w:eastAsia="仿宋"/>
          <w:sz w:val="28"/>
          <w:szCs w:val="28"/>
          <w:vertAlign w:val="superscript"/>
        </w:rPr>
        <w:t>2</w:t>
      </w:r>
      <w:r>
        <w:rPr>
          <w:rFonts w:ascii="Times New Roman" w:eastAsia="仿宋"/>
          <w:sz w:val="28"/>
          <w:szCs w:val="28"/>
        </w:rPr>
        <w:t>/d。横向y方向的弥散系数D</w:t>
      </w:r>
      <w:r>
        <w:rPr>
          <w:rFonts w:ascii="Times New Roman" w:eastAsia="仿宋"/>
          <w:sz w:val="28"/>
          <w:szCs w:val="28"/>
          <w:vertAlign w:val="subscript"/>
        </w:rPr>
        <w:t>T</w:t>
      </w:r>
      <w:r>
        <w:rPr>
          <w:rFonts w:ascii="Times New Roman" w:eastAsia="仿宋"/>
          <w:sz w:val="28"/>
          <w:szCs w:val="28"/>
        </w:rPr>
        <w:t>，根据经验一般D</w:t>
      </w:r>
      <w:r>
        <w:rPr>
          <w:rFonts w:ascii="Times New Roman" w:eastAsia="仿宋"/>
          <w:sz w:val="28"/>
          <w:szCs w:val="28"/>
          <w:vertAlign w:val="subscript"/>
        </w:rPr>
        <w:t>T</w:t>
      </w:r>
      <w:r>
        <w:rPr>
          <w:rFonts w:ascii="Times New Roman" w:eastAsia="仿宋"/>
          <w:sz w:val="28"/>
          <w:szCs w:val="28"/>
        </w:rPr>
        <w:t>/D</w:t>
      </w:r>
      <w:r>
        <w:rPr>
          <w:rFonts w:ascii="Times New Roman" w:eastAsia="仿宋"/>
          <w:sz w:val="28"/>
          <w:szCs w:val="28"/>
          <w:vertAlign w:val="subscript"/>
        </w:rPr>
        <w:t>L</w:t>
      </w:r>
      <w:r>
        <w:rPr>
          <w:rFonts w:ascii="Times New Roman" w:eastAsia="仿宋"/>
          <w:sz w:val="28"/>
          <w:szCs w:val="28"/>
        </w:rPr>
        <w:t>=0.1，因此D</w:t>
      </w:r>
      <w:r>
        <w:rPr>
          <w:rFonts w:ascii="Times New Roman" w:eastAsia="仿宋"/>
          <w:sz w:val="28"/>
          <w:szCs w:val="28"/>
          <w:vertAlign w:val="subscript"/>
        </w:rPr>
        <w:t>T</w:t>
      </w:r>
      <w:r>
        <w:rPr>
          <w:rFonts w:ascii="Times New Roman" w:eastAsia="仿宋"/>
          <w:sz w:val="28"/>
          <w:szCs w:val="28"/>
        </w:rPr>
        <w:t>取0.005m</w:t>
      </w:r>
      <w:r>
        <w:rPr>
          <w:rFonts w:ascii="Times New Roman" w:eastAsia="仿宋"/>
          <w:sz w:val="28"/>
          <w:szCs w:val="28"/>
          <w:vertAlign w:val="superscript"/>
        </w:rPr>
        <w:t>2</w:t>
      </w:r>
      <w:r>
        <w:rPr>
          <w:rFonts w:ascii="Times New Roman" w:eastAsia="仿宋"/>
          <w:sz w:val="28"/>
          <w:szCs w:val="28"/>
        </w:rPr>
        <w:t>/d。</w:t>
      </w:r>
    </w:p>
    <w:p w14:paraId="2B59F5BE">
      <w:pPr>
        <w:spacing w:line="500" w:lineRule="exact"/>
        <w:ind w:firstLine="560" w:firstLineChars="200"/>
        <w:rPr>
          <w:rFonts w:ascii="Times New Roman" w:eastAsia="仿宋"/>
          <w:sz w:val="28"/>
          <w:szCs w:val="28"/>
        </w:rPr>
      </w:pPr>
      <w:r>
        <w:rPr>
          <w:rFonts w:ascii="Times New Roman" w:eastAsia="仿宋"/>
          <w:sz w:val="28"/>
          <w:szCs w:val="28"/>
        </w:rPr>
        <w:t>③地下水实际流速</w:t>
      </w:r>
    </w:p>
    <w:p w14:paraId="7F7C025E">
      <w:pPr>
        <w:spacing w:line="500" w:lineRule="exact"/>
        <w:ind w:firstLine="560" w:firstLineChars="200"/>
        <w:rPr>
          <w:rFonts w:ascii="Times New Roman" w:eastAsia="仿宋"/>
          <w:sz w:val="28"/>
          <w:szCs w:val="28"/>
        </w:rPr>
      </w:pPr>
      <w:r>
        <w:rPr>
          <w:rFonts w:ascii="Times New Roman" w:eastAsia="仿宋"/>
          <w:sz w:val="28"/>
          <w:szCs w:val="28"/>
        </w:rPr>
        <w:t>根据地勘资料提供的孔隙比</w:t>
      </w:r>
      <w:r>
        <w:rPr>
          <w:rFonts w:ascii="Times New Roman" w:eastAsia="仿宋"/>
          <w:sz w:val="28"/>
          <w:szCs w:val="28"/>
        </w:rPr>
        <w:drawing>
          <wp:inline distT="0" distB="0" distL="0" distR="0">
            <wp:extent cx="103505" cy="142875"/>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03505" cy="142875"/>
                    </a:xfrm>
                    <a:prstGeom prst="rect">
                      <a:avLst/>
                    </a:prstGeom>
                    <a:noFill/>
                    <a:ln>
                      <a:noFill/>
                    </a:ln>
                  </pic:spPr>
                </pic:pic>
              </a:graphicData>
            </a:graphic>
          </wp:inline>
        </w:drawing>
      </w:r>
      <w:r>
        <w:rPr>
          <w:rFonts w:ascii="Times New Roman" w:eastAsia="仿宋"/>
          <w:sz w:val="28"/>
          <w:szCs w:val="28"/>
        </w:rPr>
        <w:t>数据，计算得出该区域的土壤孔隙度n取得平均值为0.505，有效孔隙度按0.27计。</w:t>
      </w:r>
    </w:p>
    <w:p w14:paraId="56A7B5BE">
      <w:pPr>
        <w:spacing w:line="500" w:lineRule="exact"/>
        <w:ind w:firstLine="560" w:firstLineChars="200"/>
        <w:rPr>
          <w:rFonts w:ascii="Times New Roman" w:eastAsia="仿宋"/>
          <w:sz w:val="28"/>
          <w:szCs w:val="28"/>
        </w:rPr>
      </w:pPr>
      <w:r>
        <w:rPr>
          <w:rFonts w:ascii="Times New Roman" w:eastAsia="仿宋"/>
          <w:sz w:val="28"/>
          <w:szCs w:val="28"/>
        </w:rPr>
        <w:t>地下水实际流速的确定按下列方法取得：</w:t>
      </w:r>
    </w:p>
    <w:p w14:paraId="24A0B401">
      <w:pPr>
        <w:spacing w:line="500" w:lineRule="exact"/>
        <w:ind w:firstLine="560" w:firstLineChars="200"/>
        <w:jc w:val="center"/>
        <w:rPr>
          <w:rFonts w:ascii="Times New Roman" w:eastAsia="仿宋"/>
          <w:sz w:val="28"/>
          <w:szCs w:val="28"/>
        </w:rPr>
      </w:pPr>
      <w:r>
        <w:rPr>
          <w:rFonts w:ascii="Times New Roman" w:eastAsia="仿宋"/>
          <w:sz w:val="28"/>
          <w:szCs w:val="28"/>
        </w:rPr>
        <w:t>U＝K×I/n</w:t>
      </w:r>
    </w:p>
    <w:p w14:paraId="13D1163F">
      <w:pPr>
        <w:spacing w:line="500" w:lineRule="exact"/>
        <w:ind w:firstLine="560" w:firstLineChars="200"/>
        <w:rPr>
          <w:rFonts w:ascii="Times New Roman" w:eastAsia="仿宋"/>
          <w:sz w:val="28"/>
          <w:szCs w:val="28"/>
        </w:rPr>
      </w:pPr>
      <w:r>
        <w:rPr>
          <w:rFonts w:ascii="Times New Roman" w:eastAsia="仿宋"/>
          <w:sz w:val="28"/>
          <w:szCs w:val="28"/>
        </w:rPr>
        <w:t>其中：U—地下水实际流速，m/d；</w:t>
      </w:r>
    </w:p>
    <w:p w14:paraId="75159BFF">
      <w:pPr>
        <w:spacing w:line="500" w:lineRule="exact"/>
        <w:ind w:firstLine="560" w:firstLineChars="200"/>
        <w:rPr>
          <w:rFonts w:ascii="Times New Roman" w:eastAsia="仿宋"/>
          <w:sz w:val="28"/>
          <w:szCs w:val="28"/>
        </w:rPr>
      </w:pPr>
      <w:r>
        <w:rPr>
          <w:rFonts w:ascii="Times New Roman" w:eastAsia="仿宋"/>
          <w:sz w:val="28"/>
          <w:szCs w:val="28"/>
        </w:rPr>
        <w:t xml:space="preserve">      K—渗透系数，m/d；</w:t>
      </w:r>
    </w:p>
    <w:p w14:paraId="2A12A110">
      <w:pPr>
        <w:spacing w:line="500" w:lineRule="exact"/>
        <w:ind w:firstLine="560" w:firstLineChars="200"/>
        <w:rPr>
          <w:rFonts w:ascii="Times New Roman" w:eastAsia="仿宋"/>
          <w:sz w:val="28"/>
          <w:szCs w:val="28"/>
        </w:rPr>
      </w:pPr>
      <w:r>
        <w:rPr>
          <w:rFonts w:ascii="Times New Roman" w:eastAsia="仿宋"/>
          <w:sz w:val="28"/>
          <w:szCs w:val="28"/>
        </w:rPr>
        <w:t xml:space="preserve">      I—水力坡度；</w:t>
      </w:r>
    </w:p>
    <w:p w14:paraId="67520FEE">
      <w:pPr>
        <w:spacing w:line="500" w:lineRule="exact"/>
        <w:ind w:firstLine="560" w:firstLineChars="200"/>
        <w:rPr>
          <w:rFonts w:ascii="Times New Roman" w:eastAsia="仿宋"/>
          <w:sz w:val="28"/>
          <w:szCs w:val="28"/>
        </w:rPr>
      </w:pPr>
      <w:r>
        <w:rPr>
          <w:rFonts w:ascii="Times New Roman" w:eastAsia="仿宋"/>
          <w:sz w:val="28"/>
          <w:szCs w:val="28"/>
        </w:rPr>
        <w:t xml:space="preserve">      n—孔隙度；</w:t>
      </w:r>
    </w:p>
    <w:p w14:paraId="395946AE">
      <w:pPr>
        <w:spacing w:line="500" w:lineRule="exact"/>
        <w:ind w:firstLine="560" w:firstLineChars="200"/>
        <w:rPr>
          <w:rFonts w:ascii="Times New Roman" w:eastAsia="仿宋"/>
          <w:sz w:val="28"/>
          <w:szCs w:val="28"/>
        </w:rPr>
      </w:pPr>
      <w:r>
        <w:rPr>
          <w:rFonts w:ascii="Times New Roman" w:eastAsia="仿宋"/>
          <w:sz w:val="28"/>
          <w:szCs w:val="28"/>
        </w:rPr>
        <w:t>计算得出项目建设区含水层地下水实际流速U=4.6×10</w:t>
      </w:r>
      <w:r>
        <w:rPr>
          <w:rFonts w:ascii="Times New Roman" w:eastAsia="仿宋"/>
          <w:sz w:val="28"/>
          <w:szCs w:val="28"/>
          <w:vertAlign w:val="superscript"/>
        </w:rPr>
        <w:t>-3</w:t>
      </w:r>
      <w:r>
        <w:rPr>
          <w:rFonts w:ascii="Times New Roman" w:eastAsia="仿宋"/>
          <w:sz w:val="28"/>
          <w:szCs w:val="28"/>
        </w:rPr>
        <w:t>m/d。</w:t>
      </w:r>
    </w:p>
    <w:p w14:paraId="08C6F40A">
      <w:pPr>
        <w:spacing w:line="500" w:lineRule="exact"/>
        <w:ind w:firstLine="562" w:firstLineChars="200"/>
        <w:rPr>
          <w:rFonts w:ascii="Times New Roman" w:eastAsia="仿宋"/>
          <w:b/>
          <w:sz w:val="28"/>
          <w:szCs w:val="28"/>
        </w:rPr>
      </w:pPr>
      <w:r>
        <w:rPr>
          <w:rFonts w:ascii="Times New Roman" w:eastAsia="仿宋"/>
          <w:b/>
          <w:sz w:val="28"/>
          <w:szCs w:val="28"/>
        </w:rPr>
        <w:t>五、</w:t>
      </w:r>
      <w:r>
        <w:rPr>
          <w:rFonts w:hint="eastAsia" w:ascii="Times New Roman" w:eastAsia="仿宋"/>
          <w:b/>
          <w:sz w:val="28"/>
          <w:szCs w:val="28"/>
        </w:rPr>
        <w:t>评价标准</w:t>
      </w:r>
    </w:p>
    <w:p w14:paraId="274067FD">
      <w:pPr>
        <w:spacing w:line="500" w:lineRule="exact"/>
        <w:ind w:firstLine="560" w:firstLineChars="200"/>
        <w:rPr>
          <w:rFonts w:ascii="Times New Roman" w:eastAsia="仿宋"/>
          <w:sz w:val="28"/>
          <w:szCs w:val="28"/>
        </w:rPr>
      </w:pPr>
      <w:r>
        <w:rPr>
          <w:rFonts w:ascii="Times New Roman" w:eastAsia="仿宋"/>
          <w:sz w:val="28"/>
          <w:szCs w:val="28"/>
        </w:rPr>
        <w:t>根据水文地质参数及污染源强，利用相应的地下水污染模型进行模拟，主要模拟在非正常状况下预测因子对地下水的影响状况，根据该地区地下水质量及现状，确定以各预测因子的地下水质量标准（GB/T14848-2017）中的I类标准为超标限值；以各预测因子的检测方法检出限作为影响限值；以预测因子的现状监测值作为背景值，在预测中进行叠加计算并预测影响。</w:t>
      </w:r>
    </w:p>
    <w:p w14:paraId="16C86DBA">
      <w:pPr>
        <w:spacing w:line="500" w:lineRule="exact"/>
        <w:jc w:val="center"/>
        <w:rPr>
          <w:rFonts w:ascii="Times New Roman" w:eastAsia="仿宋"/>
          <w:b/>
        </w:rPr>
      </w:pPr>
      <w:r>
        <w:rPr>
          <w:rFonts w:ascii="Times New Roman" w:eastAsia="仿宋"/>
          <w:b/>
        </w:rPr>
        <w:t>表</w:t>
      </w:r>
      <w:r>
        <w:rPr>
          <w:rFonts w:hint="eastAsia" w:ascii="Times New Roman" w:eastAsia="仿宋"/>
          <w:b/>
        </w:rPr>
        <w:t>5.2-</w:t>
      </w:r>
      <w:r>
        <w:rPr>
          <w:rFonts w:ascii="Times New Roman" w:eastAsia="仿宋"/>
          <w:b/>
        </w:rPr>
        <w:t>36  超标及影响范围限值  mg/L</w:t>
      </w:r>
    </w:p>
    <w:tbl>
      <w:tblPr>
        <w:tblStyle w:val="87"/>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818"/>
        <w:gridCol w:w="1841"/>
        <w:gridCol w:w="2224"/>
        <w:gridCol w:w="1820"/>
        <w:gridCol w:w="1819"/>
      </w:tblGrid>
      <w:tr w14:paraId="6C0F6EE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80" w:type="pct"/>
            <w:vAlign w:val="center"/>
          </w:tcPr>
          <w:p w14:paraId="42C0D36C">
            <w:pPr>
              <w:widowControl/>
              <w:jc w:val="center"/>
              <w:rPr>
                <w:rFonts w:ascii="Times New Roman" w:eastAsia="仿宋"/>
                <w:szCs w:val="21"/>
              </w:rPr>
            </w:pPr>
            <w:r>
              <w:rPr>
                <w:rFonts w:ascii="Times New Roman" w:eastAsia="仿宋"/>
                <w:szCs w:val="21"/>
              </w:rPr>
              <w:t>序号</w:t>
            </w:r>
          </w:p>
        </w:tc>
        <w:tc>
          <w:tcPr>
            <w:tcW w:w="1080" w:type="pct"/>
            <w:vAlign w:val="center"/>
          </w:tcPr>
          <w:p w14:paraId="7B955016">
            <w:pPr>
              <w:widowControl/>
              <w:jc w:val="center"/>
              <w:rPr>
                <w:rFonts w:ascii="Times New Roman" w:eastAsia="仿宋"/>
                <w:szCs w:val="21"/>
              </w:rPr>
            </w:pPr>
            <w:r>
              <w:rPr>
                <w:rFonts w:ascii="Times New Roman" w:eastAsia="仿宋"/>
                <w:szCs w:val="21"/>
              </w:rPr>
              <w:t>污染因子</w:t>
            </w:r>
          </w:p>
        </w:tc>
        <w:tc>
          <w:tcPr>
            <w:tcW w:w="1305" w:type="pct"/>
            <w:vAlign w:val="center"/>
          </w:tcPr>
          <w:p w14:paraId="473E2165">
            <w:pPr>
              <w:widowControl/>
              <w:jc w:val="center"/>
              <w:rPr>
                <w:rFonts w:ascii="Times New Roman" w:eastAsia="仿宋"/>
                <w:szCs w:val="21"/>
              </w:rPr>
            </w:pPr>
            <w:r>
              <w:rPr>
                <w:rFonts w:ascii="Times New Roman" w:eastAsia="仿宋"/>
                <w:szCs w:val="21"/>
              </w:rPr>
              <w:t>影响限值</w:t>
            </w:r>
          </w:p>
        </w:tc>
        <w:tc>
          <w:tcPr>
            <w:tcW w:w="1068" w:type="pct"/>
            <w:vAlign w:val="center"/>
          </w:tcPr>
          <w:p w14:paraId="40FC6E4A">
            <w:pPr>
              <w:widowControl/>
              <w:jc w:val="center"/>
              <w:rPr>
                <w:rFonts w:ascii="Times New Roman" w:eastAsia="仿宋"/>
                <w:szCs w:val="21"/>
              </w:rPr>
            </w:pPr>
            <w:r>
              <w:rPr>
                <w:rFonts w:ascii="Times New Roman" w:eastAsia="仿宋"/>
                <w:szCs w:val="21"/>
              </w:rPr>
              <w:t>超标限值</w:t>
            </w:r>
          </w:p>
        </w:tc>
        <w:tc>
          <w:tcPr>
            <w:tcW w:w="1067" w:type="pct"/>
            <w:vAlign w:val="center"/>
          </w:tcPr>
          <w:p w14:paraId="12796FF7">
            <w:pPr>
              <w:widowControl/>
              <w:jc w:val="center"/>
              <w:rPr>
                <w:rFonts w:ascii="Times New Roman" w:eastAsia="仿宋"/>
                <w:szCs w:val="21"/>
              </w:rPr>
            </w:pPr>
            <w:r>
              <w:rPr>
                <w:rFonts w:ascii="Times New Roman" w:eastAsia="仿宋"/>
                <w:szCs w:val="21"/>
              </w:rPr>
              <w:t>背景值</w:t>
            </w:r>
          </w:p>
        </w:tc>
      </w:tr>
      <w:tr w14:paraId="4A2698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80" w:type="pct"/>
            <w:vAlign w:val="center"/>
          </w:tcPr>
          <w:p w14:paraId="79E3B0E5">
            <w:pPr>
              <w:widowControl/>
              <w:jc w:val="center"/>
              <w:rPr>
                <w:rFonts w:ascii="Times New Roman" w:eastAsia="仿宋"/>
                <w:szCs w:val="21"/>
              </w:rPr>
            </w:pPr>
            <w:r>
              <w:rPr>
                <w:rFonts w:ascii="Times New Roman" w:eastAsia="仿宋"/>
                <w:szCs w:val="21"/>
              </w:rPr>
              <w:t>1</w:t>
            </w:r>
          </w:p>
        </w:tc>
        <w:tc>
          <w:tcPr>
            <w:tcW w:w="1080" w:type="pct"/>
            <w:vAlign w:val="center"/>
          </w:tcPr>
          <w:p w14:paraId="52B33490">
            <w:pPr>
              <w:widowControl/>
              <w:jc w:val="center"/>
              <w:rPr>
                <w:rFonts w:ascii="Times New Roman" w:eastAsia="仿宋"/>
                <w:szCs w:val="21"/>
              </w:rPr>
            </w:pPr>
            <w:r>
              <w:rPr>
                <w:rFonts w:ascii="Times New Roman" w:eastAsia="仿宋"/>
                <w:szCs w:val="21"/>
              </w:rPr>
              <w:t>高锰酸盐指数</w:t>
            </w:r>
          </w:p>
        </w:tc>
        <w:tc>
          <w:tcPr>
            <w:tcW w:w="1305" w:type="pct"/>
            <w:vAlign w:val="center"/>
          </w:tcPr>
          <w:p w14:paraId="24959F1E">
            <w:pPr>
              <w:widowControl/>
              <w:jc w:val="center"/>
              <w:rPr>
                <w:rFonts w:ascii="Times New Roman" w:eastAsia="仿宋"/>
                <w:szCs w:val="21"/>
              </w:rPr>
            </w:pPr>
            <w:r>
              <w:rPr>
                <w:rFonts w:ascii="Times New Roman" w:eastAsia="仿宋"/>
                <w:szCs w:val="21"/>
              </w:rPr>
              <w:t>0.5</w:t>
            </w:r>
          </w:p>
        </w:tc>
        <w:tc>
          <w:tcPr>
            <w:tcW w:w="1068" w:type="pct"/>
            <w:vAlign w:val="center"/>
          </w:tcPr>
          <w:p w14:paraId="1159D0AE">
            <w:pPr>
              <w:widowControl/>
              <w:jc w:val="center"/>
              <w:rPr>
                <w:rFonts w:ascii="Times New Roman" w:eastAsia="仿宋"/>
                <w:szCs w:val="21"/>
              </w:rPr>
            </w:pPr>
            <w:r>
              <w:rPr>
                <w:rFonts w:hint="eastAsia" w:ascii="Times New Roman" w:eastAsia="仿宋"/>
                <w:szCs w:val="21"/>
              </w:rPr>
              <w:t>3.0</w:t>
            </w:r>
          </w:p>
        </w:tc>
        <w:tc>
          <w:tcPr>
            <w:tcW w:w="1067" w:type="pct"/>
            <w:vAlign w:val="center"/>
          </w:tcPr>
          <w:p w14:paraId="3504E07A">
            <w:pPr>
              <w:widowControl/>
              <w:jc w:val="center"/>
              <w:rPr>
                <w:rFonts w:ascii="Times New Roman" w:eastAsia="仿宋"/>
                <w:szCs w:val="21"/>
              </w:rPr>
            </w:pPr>
            <w:r>
              <w:rPr>
                <w:rFonts w:hint="eastAsia" w:ascii="Times New Roman" w:eastAsia="仿宋"/>
                <w:szCs w:val="21"/>
              </w:rPr>
              <w:t>1.4</w:t>
            </w:r>
          </w:p>
        </w:tc>
      </w:tr>
    </w:tbl>
    <w:p w14:paraId="721776C1">
      <w:pPr>
        <w:spacing w:line="500" w:lineRule="exact"/>
        <w:ind w:firstLine="562" w:firstLineChars="200"/>
        <w:rPr>
          <w:rFonts w:ascii="Times New Roman" w:eastAsia="仿宋"/>
          <w:b/>
          <w:sz w:val="28"/>
          <w:szCs w:val="28"/>
        </w:rPr>
      </w:pPr>
      <w:r>
        <w:rPr>
          <w:rFonts w:hint="eastAsia" w:ascii="Times New Roman" w:eastAsia="仿宋"/>
          <w:b/>
          <w:sz w:val="28"/>
          <w:szCs w:val="28"/>
        </w:rPr>
        <w:t>六</w:t>
      </w:r>
      <w:r>
        <w:rPr>
          <w:rFonts w:ascii="Times New Roman" w:eastAsia="仿宋"/>
          <w:b/>
          <w:sz w:val="28"/>
          <w:szCs w:val="28"/>
        </w:rPr>
        <w:t>、预测结果</w:t>
      </w:r>
    </w:p>
    <w:p w14:paraId="4D5D5644">
      <w:pPr>
        <w:spacing w:line="500" w:lineRule="exact"/>
        <w:ind w:firstLine="560" w:firstLineChars="200"/>
        <w:rPr>
          <w:rFonts w:ascii="Times New Roman" w:eastAsia="仿宋"/>
          <w:sz w:val="28"/>
          <w:szCs w:val="28"/>
        </w:rPr>
      </w:pPr>
      <w:r>
        <w:rPr>
          <w:rFonts w:ascii="Times New Roman" w:eastAsia="仿宋"/>
          <w:sz w:val="28"/>
          <w:szCs w:val="28"/>
        </w:rPr>
        <w:t>排污设备出现故障或处理池发生开裂等非正常工况时，污染物的迁移主要考虑了COD</w:t>
      </w:r>
      <w:r>
        <w:rPr>
          <w:rFonts w:ascii="Times New Roman" w:eastAsia="仿宋"/>
          <w:sz w:val="28"/>
          <w:szCs w:val="28"/>
          <w:vertAlign w:val="subscript"/>
        </w:rPr>
        <w:t>Mn</w:t>
      </w:r>
      <w:r>
        <w:rPr>
          <w:rFonts w:ascii="Times New Roman" w:eastAsia="仿宋"/>
          <w:sz w:val="28"/>
          <w:szCs w:val="28"/>
        </w:rPr>
        <w:t>污染物作为预测因子。非正常情况下污染物位移范围计算见表5.2-37。</w:t>
      </w:r>
    </w:p>
    <w:p w14:paraId="4BC951AD">
      <w:pPr>
        <w:spacing w:line="500" w:lineRule="exact"/>
        <w:jc w:val="center"/>
        <w:rPr>
          <w:rFonts w:ascii="Times New Roman" w:eastAsia="仿宋"/>
          <w:b/>
        </w:rPr>
      </w:pPr>
      <w:r>
        <w:rPr>
          <w:rFonts w:ascii="Times New Roman" w:eastAsia="仿宋"/>
          <w:b/>
        </w:rPr>
        <w:t>表5.2-37  污染物运移范围预测结果表  (mg/L)</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8"/>
        <w:gridCol w:w="1888"/>
        <w:gridCol w:w="1888"/>
        <w:gridCol w:w="1888"/>
      </w:tblGrid>
      <w:tr w14:paraId="21DE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restart"/>
            <w:vAlign w:val="center"/>
          </w:tcPr>
          <w:p w14:paraId="50FE5B98">
            <w:pPr>
              <w:widowControl/>
              <w:jc w:val="center"/>
              <w:rPr>
                <w:rFonts w:ascii="Times New Roman" w:eastAsia="仿宋"/>
                <w:szCs w:val="21"/>
              </w:rPr>
            </w:pPr>
            <w:r>
              <w:rPr>
                <w:rFonts w:ascii="Times New Roman" w:eastAsia="仿宋"/>
                <w:szCs w:val="21"/>
              </w:rPr>
              <w:t>扩散距离(m)</w:t>
            </w:r>
          </w:p>
        </w:tc>
        <w:tc>
          <w:tcPr>
            <w:tcW w:w="3323" w:type="pct"/>
            <w:gridSpan w:val="3"/>
            <w:noWrap/>
            <w:vAlign w:val="center"/>
          </w:tcPr>
          <w:p w14:paraId="5C35E218">
            <w:pPr>
              <w:widowControl/>
              <w:jc w:val="center"/>
              <w:rPr>
                <w:rFonts w:ascii="Times New Roman" w:eastAsia="仿宋"/>
                <w:szCs w:val="21"/>
              </w:rPr>
            </w:pPr>
            <w:r>
              <w:rPr>
                <w:rFonts w:ascii="Times New Roman" w:eastAsia="仿宋"/>
                <w:szCs w:val="21"/>
              </w:rPr>
              <w:t>持续泄漏影响</w:t>
            </w:r>
          </w:p>
        </w:tc>
      </w:tr>
      <w:tr w14:paraId="0CB6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continue"/>
            <w:vAlign w:val="center"/>
          </w:tcPr>
          <w:p w14:paraId="5B1CD7E0">
            <w:pPr>
              <w:widowControl/>
              <w:jc w:val="center"/>
              <w:rPr>
                <w:rFonts w:ascii="Times New Roman" w:eastAsia="仿宋"/>
                <w:szCs w:val="21"/>
              </w:rPr>
            </w:pPr>
          </w:p>
        </w:tc>
        <w:tc>
          <w:tcPr>
            <w:tcW w:w="3323" w:type="pct"/>
            <w:gridSpan w:val="3"/>
            <w:noWrap/>
            <w:vAlign w:val="center"/>
          </w:tcPr>
          <w:p w14:paraId="7FAE3DDF">
            <w:pPr>
              <w:widowControl/>
              <w:jc w:val="center"/>
              <w:rPr>
                <w:rFonts w:ascii="Times New Roman" w:eastAsia="仿宋"/>
                <w:szCs w:val="21"/>
              </w:rPr>
            </w:pPr>
            <w:r>
              <w:rPr>
                <w:rFonts w:ascii="Times New Roman" w:eastAsia="仿宋"/>
                <w:szCs w:val="21"/>
              </w:rPr>
              <w:t>COD</w:t>
            </w:r>
            <w:r>
              <w:rPr>
                <w:rFonts w:ascii="Times New Roman" w:eastAsia="仿宋"/>
                <w:szCs w:val="21"/>
                <w:vertAlign w:val="subscript"/>
              </w:rPr>
              <w:t>Mn</w:t>
            </w:r>
          </w:p>
        </w:tc>
      </w:tr>
      <w:tr w14:paraId="1044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continue"/>
            <w:vAlign w:val="center"/>
          </w:tcPr>
          <w:p w14:paraId="66207A27">
            <w:pPr>
              <w:widowControl/>
              <w:jc w:val="center"/>
              <w:rPr>
                <w:rFonts w:ascii="Times New Roman" w:eastAsia="仿宋"/>
                <w:szCs w:val="21"/>
              </w:rPr>
            </w:pPr>
          </w:p>
        </w:tc>
        <w:tc>
          <w:tcPr>
            <w:tcW w:w="1108" w:type="pct"/>
            <w:noWrap/>
            <w:vAlign w:val="center"/>
          </w:tcPr>
          <w:p w14:paraId="374037BC">
            <w:pPr>
              <w:widowControl/>
              <w:jc w:val="center"/>
              <w:rPr>
                <w:rFonts w:ascii="Times New Roman" w:eastAsia="仿宋"/>
                <w:szCs w:val="21"/>
              </w:rPr>
            </w:pPr>
            <w:r>
              <w:rPr>
                <w:rFonts w:ascii="Times New Roman" w:eastAsia="仿宋"/>
                <w:szCs w:val="21"/>
              </w:rPr>
              <w:t>100天</w:t>
            </w:r>
          </w:p>
        </w:tc>
        <w:tc>
          <w:tcPr>
            <w:tcW w:w="1108" w:type="pct"/>
            <w:noWrap/>
            <w:vAlign w:val="center"/>
          </w:tcPr>
          <w:p w14:paraId="6CC0D7AB">
            <w:pPr>
              <w:widowControl/>
              <w:jc w:val="center"/>
              <w:rPr>
                <w:rFonts w:ascii="Times New Roman" w:eastAsia="仿宋"/>
                <w:szCs w:val="21"/>
              </w:rPr>
            </w:pPr>
            <w:r>
              <w:rPr>
                <w:rFonts w:ascii="Times New Roman" w:eastAsia="仿宋"/>
                <w:szCs w:val="21"/>
              </w:rPr>
              <w:t>1000天</w:t>
            </w:r>
          </w:p>
        </w:tc>
        <w:tc>
          <w:tcPr>
            <w:tcW w:w="1107" w:type="pct"/>
            <w:noWrap/>
            <w:vAlign w:val="center"/>
          </w:tcPr>
          <w:p w14:paraId="36DB6E53">
            <w:pPr>
              <w:widowControl/>
              <w:jc w:val="center"/>
              <w:rPr>
                <w:rFonts w:ascii="Times New Roman" w:eastAsia="仿宋"/>
                <w:szCs w:val="21"/>
              </w:rPr>
            </w:pPr>
            <w:r>
              <w:rPr>
                <w:rFonts w:ascii="Times New Roman" w:eastAsia="仿宋"/>
                <w:szCs w:val="21"/>
              </w:rPr>
              <w:t>10年</w:t>
            </w:r>
          </w:p>
        </w:tc>
      </w:tr>
      <w:tr w14:paraId="69CB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1671396">
            <w:pPr>
              <w:widowControl/>
              <w:jc w:val="center"/>
              <w:rPr>
                <w:rFonts w:ascii="Times New Roman" w:eastAsia="仿宋"/>
                <w:szCs w:val="21"/>
              </w:rPr>
            </w:pPr>
            <w:r>
              <w:rPr>
                <w:rFonts w:ascii="Times New Roman" w:eastAsia="仿宋"/>
                <w:szCs w:val="21"/>
              </w:rPr>
              <w:t>0</w:t>
            </w:r>
          </w:p>
        </w:tc>
        <w:tc>
          <w:tcPr>
            <w:tcW w:w="1108" w:type="pct"/>
            <w:noWrap/>
            <w:vAlign w:val="center"/>
          </w:tcPr>
          <w:p w14:paraId="182F6485">
            <w:pPr>
              <w:widowControl/>
              <w:jc w:val="center"/>
              <w:rPr>
                <w:rFonts w:ascii="Times New Roman" w:eastAsia="仿宋"/>
                <w:szCs w:val="21"/>
              </w:rPr>
            </w:pPr>
            <w:r>
              <w:rPr>
                <w:rFonts w:hint="eastAsia" w:ascii="Times New Roman" w:eastAsia="仿宋"/>
                <w:szCs w:val="21"/>
              </w:rPr>
              <w:t>2000</w:t>
            </w:r>
          </w:p>
        </w:tc>
        <w:tc>
          <w:tcPr>
            <w:tcW w:w="1108" w:type="pct"/>
            <w:noWrap/>
            <w:vAlign w:val="center"/>
          </w:tcPr>
          <w:p w14:paraId="78CBDAAB">
            <w:pPr>
              <w:jc w:val="center"/>
              <w:rPr>
                <w:rFonts w:ascii="Times New Roman" w:eastAsia="仿宋"/>
                <w:szCs w:val="21"/>
              </w:rPr>
            </w:pPr>
            <w:r>
              <w:rPr>
                <w:rFonts w:hint="eastAsia" w:ascii="Times New Roman" w:eastAsia="仿宋"/>
                <w:szCs w:val="21"/>
              </w:rPr>
              <w:t>2000</w:t>
            </w:r>
          </w:p>
        </w:tc>
        <w:tc>
          <w:tcPr>
            <w:tcW w:w="1107" w:type="pct"/>
            <w:noWrap/>
            <w:vAlign w:val="center"/>
          </w:tcPr>
          <w:p w14:paraId="7C03602D">
            <w:pPr>
              <w:jc w:val="center"/>
              <w:rPr>
                <w:rFonts w:ascii="Times New Roman" w:eastAsia="仿宋"/>
                <w:szCs w:val="21"/>
              </w:rPr>
            </w:pPr>
            <w:r>
              <w:rPr>
                <w:rFonts w:hint="eastAsia" w:ascii="Times New Roman" w:eastAsia="仿宋"/>
                <w:szCs w:val="21"/>
              </w:rPr>
              <w:t>2000</w:t>
            </w:r>
          </w:p>
        </w:tc>
      </w:tr>
      <w:tr w14:paraId="540F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4744673">
            <w:pPr>
              <w:widowControl/>
              <w:jc w:val="center"/>
              <w:rPr>
                <w:rFonts w:ascii="Times New Roman" w:eastAsia="仿宋"/>
                <w:szCs w:val="21"/>
              </w:rPr>
            </w:pPr>
            <w:r>
              <w:rPr>
                <w:rFonts w:ascii="Times New Roman" w:eastAsia="仿宋"/>
                <w:szCs w:val="21"/>
              </w:rPr>
              <w:t>1</w:t>
            </w:r>
          </w:p>
        </w:tc>
        <w:tc>
          <w:tcPr>
            <w:tcW w:w="1108" w:type="pct"/>
            <w:noWrap/>
            <w:vAlign w:val="center"/>
          </w:tcPr>
          <w:p w14:paraId="6F9164D9">
            <w:pPr>
              <w:widowControl/>
              <w:jc w:val="center"/>
              <w:rPr>
                <w:rFonts w:ascii="Times New Roman" w:eastAsia="仿宋"/>
                <w:szCs w:val="21"/>
              </w:rPr>
            </w:pPr>
            <w:r>
              <w:rPr>
                <w:rFonts w:hint="eastAsia" w:ascii="Times New Roman" w:eastAsia="仿宋"/>
                <w:szCs w:val="21"/>
              </w:rPr>
              <w:t>1510.557</w:t>
            </w:r>
          </w:p>
        </w:tc>
        <w:tc>
          <w:tcPr>
            <w:tcW w:w="1108" w:type="pct"/>
            <w:noWrap/>
            <w:vAlign w:val="center"/>
          </w:tcPr>
          <w:p w14:paraId="440836E7">
            <w:pPr>
              <w:widowControl/>
              <w:jc w:val="center"/>
              <w:rPr>
                <w:rFonts w:ascii="Times New Roman" w:eastAsia="仿宋"/>
                <w:szCs w:val="21"/>
              </w:rPr>
            </w:pPr>
            <w:r>
              <w:rPr>
                <w:rFonts w:hint="eastAsia" w:ascii="Times New Roman" w:eastAsia="仿宋"/>
                <w:szCs w:val="21"/>
              </w:rPr>
              <w:t>1849.026</w:t>
            </w:r>
          </w:p>
        </w:tc>
        <w:tc>
          <w:tcPr>
            <w:tcW w:w="1107" w:type="pct"/>
            <w:noWrap/>
            <w:vAlign w:val="center"/>
          </w:tcPr>
          <w:p w14:paraId="47ACA806">
            <w:pPr>
              <w:widowControl/>
              <w:jc w:val="center"/>
              <w:rPr>
                <w:rFonts w:ascii="Times New Roman" w:eastAsia="仿宋"/>
                <w:szCs w:val="21"/>
              </w:rPr>
            </w:pPr>
            <w:r>
              <w:rPr>
                <w:rFonts w:hint="eastAsia" w:ascii="Times New Roman" w:eastAsia="仿宋"/>
                <w:szCs w:val="21"/>
              </w:rPr>
              <w:t>1925.045</w:t>
            </w:r>
          </w:p>
        </w:tc>
      </w:tr>
      <w:tr w14:paraId="2E3F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7F31D9C">
            <w:pPr>
              <w:widowControl/>
              <w:jc w:val="center"/>
              <w:rPr>
                <w:rFonts w:ascii="Times New Roman" w:eastAsia="仿宋"/>
                <w:szCs w:val="21"/>
              </w:rPr>
            </w:pPr>
            <w:r>
              <w:rPr>
                <w:rFonts w:ascii="Times New Roman" w:eastAsia="仿宋"/>
                <w:szCs w:val="21"/>
              </w:rPr>
              <w:t>2</w:t>
            </w:r>
          </w:p>
        </w:tc>
        <w:tc>
          <w:tcPr>
            <w:tcW w:w="1108" w:type="pct"/>
            <w:noWrap/>
            <w:vAlign w:val="center"/>
          </w:tcPr>
          <w:p w14:paraId="37C564F5">
            <w:pPr>
              <w:widowControl/>
              <w:jc w:val="center"/>
              <w:rPr>
                <w:rFonts w:ascii="Times New Roman" w:eastAsia="仿宋"/>
                <w:szCs w:val="21"/>
              </w:rPr>
            </w:pPr>
            <w:r>
              <w:rPr>
                <w:rFonts w:hint="eastAsia" w:ascii="Times New Roman" w:eastAsia="仿宋"/>
                <w:szCs w:val="21"/>
              </w:rPr>
              <w:t>1063.879</w:t>
            </w:r>
          </w:p>
        </w:tc>
        <w:tc>
          <w:tcPr>
            <w:tcW w:w="1108" w:type="pct"/>
            <w:noWrap/>
            <w:vAlign w:val="center"/>
          </w:tcPr>
          <w:p w14:paraId="5AADB366">
            <w:pPr>
              <w:widowControl/>
              <w:jc w:val="center"/>
              <w:rPr>
                <w:rFonts w:ascii="Times New Roman" w:eastAsia="仿宋"/>
                <w:szCs w:val="21"/>
              </w:rPr>
            </w:pPr>
            <w:r>
              <w:rPr>
                <w:rFonts w:hint="eastAsia" w:ascii="Times New Roman" w:eastAsia="仿宋"/>
                <w:szCs w:val="21"/>
              </w:rPr>
              <w:t>1698.254</w:t>
            </w:r>
          </w:p>
        </w:tc>
        <w:tc>
          <w:tcPr>
            <w:tcW w:w="1107" w:type="pct"/>
            <w:noWrap/>
            <w:vAlign w:val="center"/>
          </w:tcPr>
          <w:p w14:paraId="786C334C">
            <w:pPr>
              <w:widowControl/>
              <w:jc w:val="center"/>
              <w:rPr>
                <w:rFonts w:ascii="Times New Roman" w:eastAsia="仿宋"/>
                <w:szCs w:val="21"/>
              </w:rPr>
            </w:pPr>
            <w:r>
              <w:rPr>
                <w:rFonts w:hint="eastAsia" w:ascii="Times New Roman" w:eastAsia="仿宋"/>
                <w:szCs w:val="21"/>
              </w:rPr>
              <w:t>1849.627</w:t>
            </w:r>
          </w:p>
        </w:tc>
      </w:tr>
      <w:tr w14:paraId="0282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F82C4DB">
            <w:pPr>
              <w:widowControl/>
              <w:jc w:val="center"/>
              <w:rPr>
                <w:rFonts w:ascii="Times New Roman" w:eastAsia="仿宋"/>
                <w:szCs w:val="21"/>
              </w:rPr>
            </w:pPr>
            <w:r>
              <w:rPr>
                <w:rFonts w:ascii="Times New Roman" w:eastAsia="仿宋"/>
                <w:szCs w:val="21"/>
              </w:rPr>
              <w:t>3</w:t>
            </w:r>
          </w:p>
        </w:tc>
        <w:tc>
          <w:tcPr>
            <w:tcW w:w="1108" w:type="pct"/>
            <w:noWrap/>
            <w:vAlign w:val="center"/>
          </w:tcPr>
          <w:p w14:paraId="2F0CEF7B">
            <w:pPr>
              <w:widowControl/>
              <w:jc w:val="center"/>
              <w:rPr>
                <w:rFonts w:ascii="Times New Roman" w:eastAsia="仿宋"/>
                <w:szCs w:val="21"/>
              </w:rPr>
            </w:pPr>
            <w:r>
              <w:rPr>
                <w:rFonts w:hint="eastAsia" w:ascii="Times New Roman" w:eastAsia="仿宋"/>
                <w:szCs w:val="21"/>
              </w:rPr>
              <w:t>695.0524</w:t>
            </w:r>
          </w:p>
        </w:tc>
        <w:tc>
          <w:tcPr>
            <w:tcW w:w="1108" w:type="pct"/>
            <w:noWrap/>
            <w:vAlign w:val="center"/>
          </w:tcPr>
          <w:p w14:paraId="5F5BAA02">
            <w:pPr>
              <w:widowControl/>
              <w:jc w:val="center"/>
              <w:rPr>
                <w:rFonts w:ascii="Times New Roman" w:eastAsia="仿宋"/>
                <w:szCs w:val="21"/>
              </w:rPr>
            </w:pPr>
            <w:r>
              <w:rPr>
                <w:rFonts w:hint="eastAsia" w:ascii="Times New Roman" w:eastAsia="仿宋"/>
                <w:szCs w:val="21"/>
              </w:rPr>
              <w:t>1549.248</w:t>
            </w:r>
          </w:p>
        </w:tc>
        <w:tc>
          <w:tcPr>
            <w:tcW w:w="1107" w:type="pct"/>
            <w:noWrap/>
            <w:vAlign w:val="center"/>
          </w:tcPr>
          <w:p w14:paraId="1FAB1E39">
            <w:pPr>
              <w:widowControl/>
              <w:jc w:val="center"/>
              <w:rPr>
                <w:rFonts w:ascii="Times New Roman" w:eastAsia="仿宋"/>
                <w:szCs w:val="21"/>
              </w:rPr>
            </w:pPr>
            <w:r>
              <w:rPr>
                <w:rFonts w:hint="eastAsia" w:ascii="Times New Roman" w:eastAsia="仿宋"/>
                <w:szCs w:val="21"/>
              </w:rPr>
              <w:t>1773.971</w:t>
            </w:r>
          </w:p>
        </w:tc>
      </w:tr>
      <w:tr w14:paraId="02F6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4AFE485">
            <w:pPr>
              <w:widowControl/>
              <w:jc w:val="center"/>
              <w:rPr>
                <w:rFonts w:ascii="Times New Roman" w:eastAsia="仿宋"/>
                <w:szCs w:val="21"/>
              </w:rPr>
            </w:pPr>
            <w:r>
              <w:rPr>
                <w:rFonts w:ascii="Times New Roman" w:eastAsia="仿宋"/>
                <w:szCs w:val="21"/>
              </w:rPr>
              <w:t>4</w:t>
            </w:r>
          </w:p>
        </w:tc>
        <w:tc>
          <w:tcPr>
            <w:tcW w:w="1108" w:type="pct"/>
            <w:noWrap/>
            <w:vAlign w:val="center"/>
          </w:tcPr>
          <w:p w14:paraId="3AD3F186">
            <w:pPr>
              <w:widowControl/>
              <w:jc w:val="center"/>
              <w:rPr>
                <w:rFonts w:ascii="Times New Roman" w:eastAsia="仿宋"/>
                <w:szCs w:val="21"/>
              </w:rPr>
            </w:pPr>
            <w:r>
              <w:rPr>
                <w:rFonts w:hint="eastAsia" w:ascii="Times New Roman" w:eastAsia="仿宋"/>
                <w:szCs w:val="21"/>
              </w:rPr>
              <w:t>419.4271</w:t>
            </w:r>
          </w:p>
        </w:tc>
        <w:tc>
          <w:tcPr>
            <w:tcW w:w="1108" w:type="pct"/>
            <w:noWrap/>
            <w:vAlign w:val="center"/>
          </w:tcPr>
          <w:p w14:paraId="493A2461">
            <w:pPr>
              <w:widowControl/>
              <w:jc w:val="center"/>
              <w:rPr>
                <w:rFonts w:ascii="Times New Roman" w:eastAsia="仿宋"/>
                <w:szCs w:val="21"/>
              </w:rPr>
            </w:pPr>
            <w:r>
              <w:rPr>
                <w:rFonts w:hint="eastAsia" w:ascii="Times New Roman" w:eastAsia="仿宋"/>
                <w:szCs w:val="21"/>
              </w:rPr>
              <w:t>1403.512</w:t>
            </w:r>
          </w:p>
        </w:tc>
        <w:tc>
          <w:tcPr>
            <w:tcW w:w="1107" w:type="pct"/>
            <w:noWrap/>
            <w:vAlign w:val="center"/>
          </w:tcPr>
          <w:p w14:paraId="306DAC8D">
            <w:pPr>
              <w:widowControl/>
              <w:jc w:val="center"/>
              <w:rPr>
                <w:rFonts w:ascii="Times New Roman" w:eastAsia="仿宋"/>
                <w:szCs w:val="21"/>
              </w:rPr>
            </w:pPr>
            <w:r>
              <w:rPr>
                <w:rFonts w:hint="eastAsia" w:ascii="Times New Roman" w:eastAsia="仿宋"/>
                <w:szCs w:val="21"/>
              </w:rPr>
              <w:t>1698.303</w:t>
            </w:r>
          </w:p>
        </w:tc>
      </w:tr>
      <w:tr w14:paraId="08AD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5028CC4">
            <w:pPr>
              <w:widowControl/>
              <w:jc w:val="center"/>
              <w:rPr>
                <w:rFonts w:ascii="Times New Roman" w:eastAsia="仿宋"/>
                <w:szCs w:val="21"/>
              </w:rPr>
            </w:pPr>
            <w:r>
              <w:rPr>
                <w:rFonts w:ascii="Times New Roman" w:eastAsia="仿宋"/>
                <w:szCs w:val="21"/>
              </w:rPr>
              <w:t>5</w:t>
            </w:r>
          </w:p>
        </w:tc>
        <w:tc>
          <w:tcPr>
            <w:tcW w:w="1108" w:type="pct"/>
            <w:noWrap/>
            <w:vAlign w:val="center"/>
          </w:tcPr>
          <w:p w14:paraId="79D1444E">
            <w:pPr>
              <w:widowControl/>
              <w:jc w:val="center"/>
              <w:rPr>
                <w:rFonts w:ascii="Times New Roman" w:eastAsia="仿宋"/>
                <w:szCs w:val="21"/>
              </w:rPr>
            </w:pPr>
            <w:r>
              <w:rPr>
                <w:rFonts w:hint="eastAsia" w:ascii="Times New Roman" w:eastAsia="仿宋"/>
                <w:szCs w:val="21"/>
              </w:rPr>
              <w:t>232.9736</w:t>
            </w:r>
          </w:p>
        </w:tc>
        <w:tc>
          <w:tcPr>
            <w:tcW w:w="1108" w:type="pct"/>
            <w:noWrap/>
            <w:vAlign w:val="center"/>
          </w:tcPr>
          <w:p w14:paraId="7449384B">
            <w:pPr>
              <w:widowControl/>
              <w:jc w:val="center"/>
              <w:rPr>
                <w:rFonts w:ascii="Times New Roman" w:eastAsia="仿宋"/>
                <w:szCs w:val="21"/>
              </w:rPr>
            </w:pPr>
            <w:r>
              <w:rPr>
                <w:rFonts w:hint="eastAsia" w:ascii="Times New Roman" w:eastAsia="仿宋"/>
                <w:szCs w:val="21"/>
              </w:rPr>
              <w:t>1262.436</w:t>
            </w:r>
          </w:p>
        </w:tc>
        <w:tc>
          <w:tcPr>
            <w:tcW w:w="1107" w:type="pct"/>
            <w:noWrap/>
            <w:vAlign w:val="center"/>
          </w:tcPr>
          <w:p w14:paraId="0BA5501A">
            <w:pPr>
              <w:widowControl/>
              <w:jc w:val="center"/>
              <w:rPr>
                <w:rFonts w:ascii="Times New Roman" w:eastAsia="仿宋"/>
                <w:szCs w:val="21"/>
              </w:rPr>
            </w:pPr>
            <w:r>
              <w:rPr>
                <w:rFonts w:hint="eastAsia" w:ascii="Times New Roman" w:eastAsia="仿宋"/>
                <w:szCs w:val="21"/>
              </w:rPr>
              <w:t>1622.849</w:t>
            </w:r>
          </w:p>
        </w:tc>
      </w:tr>
      <w:tr w14:paraId="5DC5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73F6862">
            <w:pPr>
              <w:widowControl/>
              <w:jc w:val="center"/>
              <w:rPr>
                <w:rFonts w:ascii="Times New Roman" w:eastAsia="仿宋"/>
                <w:szCs w:val="21"/>
              </w:rPr>
            </w:pPr>
            <w:r>
              <w:rPr>
                <w:rFonts w:ascii="Times New Roman" w:eastAsia="仿宋"/>
                <w:szCs w:val="21"/>
              </w:rPr>
              <w:t>6</w:t>
            </w:r>
          </w:p>
        </w:tc>
        <w:tc>
          <w:tcPr>
            <w:tcW w:w="1108" w:type="pct"/>
            <w:noWrap/>
            <w:vAlign w:val="center"/>
          </w:tcPr>
          <w:p w14:paraId="4AAC5215">
            <w:pPr>
              <w:widowControl/>
              <w:jc w:val="center"/>
              <w:rPr>
                <w:rFonts w:ascii="Times New Roman" w:eastAsia="仿宋"/>
                <w:szCs w:val="21"/>
              </w:rPr>
            </w:pPr>
            <w:r>
              <w:rPr>
                <w:rFonts w:hint="eastAsia" w:ascii="Times New Roman" w:eastAsia="仿宋"/>
                <w:szCs w:val="21"/>
              </w:rPr>
              <w:t>118.7838</w:t>
            </w:r>
          </w:p>
        </w:tc>
        <w:tc>
          <w:tcPr>
            <w:tcW w:w="1108" w:type="pct"/>
            <w:noWrap/>
            <w:vAlign w:val="center"/>
          </w:tcPr>
          <w:p w14:paraId="26E0B5DB">
            <w:pPr>
              <w:widowControl/>
              <w:jc w:val="center"/>
              <w:rPr>
                <w:rFonts w:ascii="Times New Roman" w:eastAsia="仿宋"/>
                <w:szCs w:val="21"/>
              </w:rPr>
            </w:pPr>
            <w:r>
              <w:rPr>
                <w:rFonts w:hint="eastAsia" w:ascii="Times New Roman" w:eastAsia="仿宋"/>
                <w:szCs w:val="21"/>
              </w:rPr>
              <w:t>1127.272</w:t>
            </w:r>
          </w:p>
        </w:tc>
        <w:tc>
          <w:tcPr>
            <w:tcW w:w="1107" w:type="pct"/>
            <w:noWrap/>
            <w:vAlign w:val="center"/>
          </w:tcPr>
          <w:p w14:paraId="60A82435">
            <w:pPr>
              <w:widowControl/>
              <w:jc w:val="center"/>
              <w:rPr>
                <w:rFonts w:ascii="Times New Roman" w:eastAsia="仿宋"/>
                <w:szCs w:val="21"/>
              </w:rPr>
            </w:pPr>
            <w:r>
              <w:rPr>
                <w:rFonts w:hint="eastAsia" w:ascii="Times New Roman" w:eastAsia="仿宋"/>
                <w:szCs w:val="21"/>
              </w:rPr>
              <w:t>1547.828</w:t>
            </w:r>
          </w:p>
        </w:tc>
      </w:tr>
      <w:tr w14:paraId="4F9B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3AFFA62">
            <w:pPr>
              <w:widowControl/>
              <w:jc w:val="center"/>
              <w:rPr>
                <w:rFonts w:ascii="Times New Roman" w:eastAsia="仿宋"/>
                <w:szCs w:val="21"/>
              </w:rPr>
            </w:pPr>
            <w:r>
              <w:rPr>
                <w:rFonts w:ascii="Times New Roman" w:eastAsia="仿宋"/>
                <w:szCs w:val="21"/>
              </w:rPr>
              <w:t>7</w:t>
            </w:r>
          </w:p>
        </w:tc>
        <w:tc>
          <w:tcPr>
            <w:tcW w:w="1108" w:type="pct"/>
            <w:noWrap/>
            <w:vAlign w:val="center"/>
          </w:tcPr>
          <w:p w14:paraId="6A0C270B">
            <w:pPr>
              <w:widowControl/>
              <w:jc w:val="center"/>
              <w:rPr>
                <w:rFonts w:ascii="Times New Roman" w:eastAsia="仿宋"/>
                <w:szCs w:val="21"/>
              </w:rPr>
            </w:pPr>
            <w:r>
              <w:rPr>
                <w:rFonts w:hint="eastAsia" w:ascii="Times New Roman" w:eastAsia="仿宋"/>
                <w:szCs w:val="21"/>
              </w:rPr>
              <w:t>55.46656</w:t>
            </w:r>
          </w:p>
        </w:tc>
        <w:tc>
          <w:tcPr>
            <w:tcW w:w="1108" w:type="pct"/>
            <w:noWrap/>
            <w:vAlign w:val="center"/>
          </w:tcPr>
          <w:p w14:paraId="74D7B9DF">
            <w:pPr>
              <w:widowControl/>
              <w:jc w:val="center"/>
              <w:rPr>
                <w:rFonts w:ascii="Times New Roman" w:eastAsia="仿宋"/>
                <w:szCs w:val="21"/>
              </w:rPr>
            </w:pPr>
            <w:r>
              <w:rPr>
                <w:rFonts w:hint="eastAsia" w:ascii="Times New Roman" w:eastAsia="仿宋"/>
                <w:szCs w:val="21"/>
              </w:rPr>
              <w:t>999.0897</w:t>
            </w:r>
          </w:p>
        </w:tc>
        <w:tc>
          <w:tcPr>
            <w:tcW w:w="1107" w:type="pct"/>
            <w:noWrap/>
            <w:vAlign w:val="center"/>
          </w:tcPr>
          <w:p w14:paraId="144332A6">
            <w:pPr>
              <w:widowControl/>
              <w:jc w:val="center"/>
              <w:rPr>
                <w:rFonts w:ascii="Times New Roman" w:eastAsia="仿宋"/>
                <w:szCs w:val="21"/>
              </w:rPr>
            </w:pPr>
            <w:r>
              <w:rPr>
                <w:rFonts w:hint="eastAsia" w:ascii="Times New Roman" w:eastAsia="仿宋"/>
                <w:szCs w:val="21"/>
              </w:rPr>
              <w:t>1473.458</w:t>
            </w:r>
          </w:p>
        </w:tc>
      </w:tr>
      <w:tr w14:paraId="1043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3DD0608">
            <w:pPr>
              <w:widowControl/>
              <w:jc w:val="center"/>
              <w:rPr>
                <w:rFonts w:ascii="Times New Roman" w:eastAsia="仿宋"/>
                <w:szCs w:val="21"/>
              </w:rPr>
            </w:pPr>
            <w:r>
              <w:rPr>
                <w:rFonts w:ascii="Times New Roman" w:eastAsia="仿宋"/>
                <w:szCs w:val="21"/>
              </w:rPr>
              <w:t>8</w:t>
            </w:r>
          </w:p>
        </w:tc>
        <w:tc>
          <w:tcPr>
            <w:tcW w:w="1108" w:type="pct"/>
            <w:noWrap/>
            <w:vAlign w:val="center"/>
          </w:tcPr>
          <w:p w14:paraId="5F7AA4D4">
            <w:pPr>
              <w:widowControl/>
              <w:jc w:val="center"/>
              <w:rPr>
                <w:rFonts w:ascii="Times New Roman" w:eastAsia="仿宋"/>
                <w:szCs w:val="21"/>
              </w:rPr>
            </w:pPr>
            <w:r>
              <w:rPr>
                <w:rFonts w:hint="eastAsia" w:ascii="Times New Roman" w:eastAsia="仿宋"/>
                <w:szCs w:val="21"/>
              </w:rPr>
              <w:t>23.67762</w:t>
            </w:r>
          </w:p>
        </w:tc>
        <w:tc>
          <w:tcPr>
            <w:tcW w:w="1108" w:type="pct"/>
            <w:noWrap/>
            <w:vAlign w:val="center"/>
          </w:tcPr>
          <w:p w14:paraId="3E6BA20C">
            <w:pPr>
              <w:widowControl/>
              <w:jc w:val="center"/>
              <w:rPr>
                <w:rFonts w:ascii="Times New Roman" w:eastAsia="仿宋"/>
                <w:szCs w:val="21"/>
              </w:rPr>
            </w:pPr>
            <w:r>
              <w:rPr>
                <w:rFonts w:hint="eastAsia" w:ascii="Times New Roman" w:eastAsia="仿宋"/>
                <w:szCs w:val="21"/>
              </w:rPr>
              <w:t>878.7655</w:t>
            </w:r>
          </w:p>
        </w:tc>
        <w:tc>
          <w:tcPr>
            <w:tcW w:w="1107" w:type="pct"/>
            <w:noWrap/>
            <w:vAlign w:val="center"/>
          </w:tcPr>
          <w:p w14:paraId="72C59EC7">
            <w:pPr>
              <w:widowControl/>
              <w:jc w:val="center"/>
              <w:rPr>
                <w:rFonts w:ascii="Times New Roman" w:eastAsia="仿宋"/>
                <w:szCs w:val="21"/>
              </w:rPr>
            </w:pPr>
            <w:r>
              <w:rPr>
                <w:rFonts w:hint="eastAsia" w:ascii="Times New Roman" w:eastAsia="仿宋"/>
                <w:szCs w:val="21"/>
              </w:rPr>
              <w:t>1399.947</w:t>
            </w:r>
          </w:p>
        </w:tc>
      </w:tr>
      <w:tr w14:paraId="28D2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E97A7F8">
            <w:pPr>
              <w:widowControl/>
              <w:jc w:val="center"/>
              <w:rPr>
                <w:rFonts w:ascii="Times New Roman" w:eastAsia="仿宋"/>
                <w:szCs w:val="21"/>
              </w:rPr>
            </w:pPr>
            <w:r>
              <w:rPr>
                <w:rFonts w:ascii="Times New Roman" w:eastAsia="仿宋"/>
                <w:szCs w:val="21"/>
              </w:rPr>
              <w:t>9</w:t>
            </w:r>
          </w:p>
        </w:tc>
        <w:tc>
          <w:tcPr>
            <w:tcW w:w="1108" w:type="pct"/>
            <w:noWrap/>
            <w:vAlign w:val="center"/>
          </w:tcPr>
          <w:p w14:paraId="06B4C9D6">
            <w:pPr>
              <w:widowControl/>
              <w:jc w:val="center"/>
              <w:rPr>
                <w:rFonts w:ascii="Times New Roman" w:eastAsia="仿宋"/>
                <w:szCs w:val="21"/>
              </w:rPr>
            </w:pPr>
            <w:r>
              <w:rPr>
                <w:rFonts w:hint="eastAsia" w:ascii="Times New Roman" w:eastAsia="仿宋"/>
                <w:szCs w:val="21"/>
              </w:rPr>
              <w:t>9.226443</w:t>
            </w:r>
          </w:p>
        </w:tc>
        <w:tc>
          <w:tcPr>
            <w:tcW w:w="1108" w:type="pct"/>
            <w:noWrap/>
            <w:vAlign w:val="center"/>
          </w:tcPr>
          <w:p w14:paraId="0EFEB927">
            <w:pPr>
              <w:widowControl/>
              <w:jc w:val="center"/>
              <w:rPr>
                <w:rFonts w:ascii="Times New Roman" w:eastAsia="仿宋"/>
                <w:szCs w:val="21"/>
              </w:rPr>
            </w:pPr>
            <w:r>
              <w:rPr>
                <w:rFonts w:hint="eastAsia" w:ascii="Times New Roman" w:eastAsia="仿宋"/>
                <w:szCs w:val="21"/>
              </w:rPr>
              <w:t>766.962</w:t>
            </w:r>
          </w:p>
        </w:tc>
        <w:tc>
          <w:tcPr>
            <w:tcW w:w="1107" w:type="pct"/>
            <w:noWrap/>
            <w:vAlign w:val="center"/>
          </w:tcPr>
          <w:p w14:paraId="70D5CB1B">
            <w:pPr>
              <w:widowControl/>
              <w:jc w:val="center"/>
              <w:rPr>
                <w:rFonts w:ascii="Times New Roman" w:eastAsia="仿宋"/>
                <w:szCs w:val="21"/>
              </w:rPr>
            </w:pPr>
            <w:r>
              <w:rPr>
                <w:rFonts w:hint="eastAsia" w:ascii="Times New Roman" w:eastAsia="仿宋"/>
                <w:szCs w:val="21"/>
              </w:rPr>
              <w:t>1327.497</w:t>
            </w:r>
          </w:p>
        </w:tc>
      </w:tr>
      <w:tr w14:paraId="6322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BAD1888">
            <w:pPr>
              <w:widowControl/>
              <w:jc w:val="center"/>
              <w:rPr>
                <w:rFonts w:ascii="Times New Roman" w:eastAsia="仿宋"/>
                <w:szCs w:val="21"/>
              </w:rPr>
            </w:pPr>
            <w:r>
              <w:rPr>
                <w:rFonts w:ascii="Times New Roman" w:eastAsia="仿宋"/>
                <w:szCs w:val="21"/>
              </w:rPr>
              <w:t>10</w:t>
            </w:r>
          </w:p>
        </w:tc>
        <w:tc>
          <w:tcPr>
            <w:tcW w:w="1108" w:type="pct"/>
            <w:noWrap/>
            <w:vAlign w:val="center"/>
          </w:tcPr>
          <w:p w14:paraId="6B12C6FB">
            <w:pPr>
              <w:widowControl/>
              <w:jc w:val="center"/>
              <w:rPr>
                <w:rFonts w:ascii="Times New Roman" w:eastAsia="仿宋"/>
                <w:szCs w:val="21"/>
              </w:rPr>
            </w:pPr>
            <w:r>
              <w:rPr>
                <w:rFonts w:hint="eastAsia" w:ascii="Times New Roman" w:eastAsia="仿宋"/>
                <w:szCs w:val="21"/>
              </w:rPr>
              <w:t>3.277887</w:t>
            </w:r>
          </w:p>
        </w:tc>
        <w:tc>
          <w:tcPr>
            <w:tcW w:w="1108" w:type="pct"/>
            <w:noWrap/>
            <w:vAlign w:val="center"/>
          </w:tcPr>
          <w:p w14:paraId="1F0F2269">
            <w:pPr>
              <w:widowControl/>
              <w:jc w:val="center"/>
              <w:rPr>
                <w:rFonts w:ascii="Times New Roman" w:eastAsia="仿宋"/>
                <w:szCs w:val="21"/>
              </w:rPr>
            </w:pPr>
            <w:r>
              <w:rPr>
                <w:rFonts w:hint="eastAsia" w:ascii="Times New Roman" w:eastAsia="仿宋"/>
                <w:szCs w:val="21"/>
              </w:rPr>
              <w:t>664.1264</w:t>
            </w:r>
          </w:p>
        </w:tc>
        <w:tc>
          <w:tcPr>
            <w:tcW w:w="1107" w:type="pct"/>
            <w:noWrap/>
            <w:vAlign w:val="center"/>
          </w:tcPr>
          <w:p w14:paraId="3DD81742">
            <w:pPr>
              <w:widowControl/>
              <w:jc w:val="center"/>
              <w:rPr>
                <w:rFonts w:ascii="Times New Roman" w:eastAsia="仿宋"/>
                <w:szCs w:val="21"/>
              </w:rPr>
            </w:pPr>
            <w:r>
              <w:rPr>
                <w:rFonts w:hint="eastAsia" w:ascii="Times New Roman" w:eastAsia="仿宋"/>
                <w:szCs w:val="21"/>
              </w:rPr>
              <w:t>1256.299</w:t>
            </w:r>
          </w:p>
        </w:tc>
      </w:tr>
      <w:tr w14:paraId="61EB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03B3D8D">
            <w:pPr>
              <w:widowControl/>
              <w:jc w:val="center"/>
              <w:rPr>
                <w:rFonts w:ascii="Times New Roman" w:eastAsia="仿宋"/>
                <w:szCs w:val="21"/>
              </w:rPr>
            </w:pPr>
            <w:r>
              <w:rPr>
                <w:rFonts w:ascii="Times New Roman" w:eastAsia="仿宋"/>
                <w:szCs w:val="21"/>
              </w:rPr>
              <w:t>11</w:t>
            </w:r>
          </w:p>
        </w:tc>
        <w:tc>
          <w:tcPr>
            <w:tcW w:w="1108" w:type="pct"/>
            <w:noWrap/>
            <w:vAlign w:val="center"/>
          </w:tcPr>
          <w:p w14:paraId="3C29D42F">
            <w:pPr>
              <w:widowControl/>
              <w:jc w:val="center"/>
              <w:rPr>
                <w:rFonts w:ascii="Times New Roman" w:eastAsia="仿宋"/>
                <w:szCs w:val="21"/>
              </w:rPr>
            </w:pPr>
            <w:r>
              <w:rPr>
                <w:rFonts w:hint="eastAsia" w:ascii="Times New Roman" w:eastAsia="仿宋"/>
                <w:szCs w:val="21"/>
              </w:rPr>
              <w:t>1.060678</w:t>
            </w:r>
          </w:p>
        </w:tc>
        <w:tc>
          <w:tcPr>
            <w:tcW w:w="1108" w:type="pct"/>
            <w:noWrap/>
            <w:vAlign w:val="center"/>
          </w:tcPr>
          <w:p w14:paraId="5B210B58">
            <w:pPr>
              <w:widowControl/>
              <w:jc w:val="center"/>
              <w:rPr>
                <w:rFonts w:ascii="Times New Roman" w:eastAsia="仿宋"/>
                <w:szCs w:val="21"/>
              </w:rPr>
            </w:pPr>
            <w:r>
              <w:rPr>
                <w:rFonts w:hint="eastAsia" w:ascii="Times New Roman" w:eastAsia="仿宋"/>
                <w:szCs w:val="21"/>
              </w:rPr>
              <w:t>570.4937</w:t>
            </w:r>
          </w:p>
        </w:tc>
        <w:tc>
          <w:tcPr>
            <w:tcW w:w="1107" w:type="pct"/>
            <w:noWrap/>
            <w:vAlign w:val="center"/>
          </w:tcPr>
          <w:p w14:paraId="1ED1B0D6">
            <w:pPr>
              <w:widowControl/>
              <w:jc w:val="center"/>
              <w:rPr>
                <w:rFonts w:ascii="Times New Roman" w:eastAsia="仿宋"/>
                <w:szCs w:val="21"/>
              </w:rPr>
            </w:pPr>
            <w:r>
              <w:rPr>
                <w:rFonts w:hint="eastAsia" w:ascii="Times New Roman" w:eastAsia="仿宋"/>
                <w:szCs w:val="21"/>
              </w:rPr>
              <w:t>1186.533</w:t>
            </w:r>
          </w:p>
        </w:tc>
      </w:tr>
      <w:tr w14:paraId="563D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EA2B1FF">
            <w:pPr>
              <w:widowControl/>
              <w:jc w:val="center"/>
              <w:rPr>
                <w:rFonts w:ascii="Times New Roman" w:eastAsia="仿宋"/>
                <w:szCs w:val="21"/>
              </w:rPr>
            </w:pPr>
            <w:r>
              <w:rPr>
                <w:rFonts w:ascii="Times New Roman" w:eastAsia="仿宋"/>
                <w:szCs w:val="21"/>
              </w:rPr>
              <w:t>12</w:t>
            </w:r>
          </w:p>
        </w:tc>
        <w:tc>
          <w:tcPr>
            <w:tcW w:w="1108" w:type="pct"/>
            <w:noWrap/>
            <w:vAlign w:val="center"/>
          </w:tcPr>
          <w:p w14:paraId="025128FE">
            <w:pPr>
              <w:widowControl/>
              <w:jc w:val="center"/>
              <w:rPr>
                <w:rFonts w:ascii="Times New Roman" w:eastAsia="仿宋"/>
                <w:szCs w:val="21"/>
              </w:rPr>
            </w:pPr>
            <w:r>
              <w:rPr>
                <w:rFonts w:hint="eastAsia" w:ascii="Times New Roman" w:eastAsia="仿宋"/>
                <w:szCs w:val="21"/>
              </w:rPr>
              <w:t>0.312351</w:t>
            </w:r>
          </w:p>
        </w:tc>
        <w:tc>
          <w:tcPr>
            <w:tcW w:w="1108" w:type="pct"/>
            <w:noWrap/>
            <w:vAlign w:val="center"/>
          </w:tcPr>
          <w:p w14:paraId="179ADBCA">
            <w:pPr>
              <w:widowControl/>
              <w:jc w:val="center"/>
              <w:rPr>
                <w:rFonts w:ascii="Times New Roman" w:eastAsia="仿宋"/>
                <w:szCs w:val="21"/>
              </w:rPr>
            </w:pPr>
            <w:r>
              <w:rPr>
                <w:rFonts w:hint="eastAsia" w:ascii="Times New Roman" w:eastAsia="仿宋"/>
                <w:szCs w:val="21"/>
              </w:rPr>
              <w:t>486.0994</w:t>
            </w:r>
          </w:p>
        </w:tc>
        <w:tc>
          <w:tcPr>
            <w:tcW w:w="1107" w:type="pct"/>
            <w:noWrap/>
            <w:vAlign w:val="center"/>
          </w:tcPr>
          <w:p w14:paraId="6FD024D8">
            <w:pPr>
              <w:widowControl/>
              <w:jc w:val="center"/>
              <w:rPr>
                <w:rFonts w:ascii="Times New Roman" w:eastAsia="仿宋"/>
                <w:szCs w:val="21"/>
              </w:rPr>
            </w:pPr>
            <w:r>
              <w:rPr>
                <w:rFonts w:hint="eastAsia" w:ascii="Times New Roman" w:eastAsia="仿宋"/>
                <w:szCs w:val="21"/>
              </w:rPr>
              <w:t>1118.365</w:t>
            </w:r>
          </w:p>
        </w:tc>
      </w:tr>
      <w:tr w14:paraId="1952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42CFFB5">
            <w:pPr>
              <w:widowControl/>
              <w:jc w:val="center"/>
              <w:rPr>
                <w:rFonts w:ascii="Times New Roman" w:eastAsia="仿宋"/>
                <w:szCs w:val="21"/>
              </w:rPr>
            </w:pPr>
            <w:r>
              <w:rPr>
                <w:rFonts w:ascii="Times New Roman" w:eastAsia="仿宋"/>
                <w:szCs w:val="21"/>
              </w:rPr>
              <w:t>13</w:t>
            </w:r>
          </w:p>
        </w:tc>
        <w:tc>
          <w:tcPr>
            <w:tcW w:w="1108" w:type="pct"/>
            <w:noWrap/>
            <w:vAlign w:val="center"/>
          </w:tcPr>
          <w:p w14:paraId="786D0E60">
            <w:pPr>
              <w:widowControl/>
              <w:jc w:val="center"/>
              <w:rPr>
                <w:rFonts w:ascii="Times New Roman" w:eastAsia="仿宋"/>
                <w:szCs w:val="21"/>
              </w:rPr>
            </w:pPr>
            <w:r>
              <w:rPr>
                <w:rFonts w:hint="eastAsia" w:ascii="Times New Roman" w:eastAsia="仿宋"/>
                <w:szCs w:val="21"/>
              </w:rPr>
              <w:t>0.083651</w:t>
            </w:r>
          </w:p>
        </w:tc>
        <w:tc>
          <w:tcPr>
            <w:tcW w:w="1108" w:type="pct"/>
            <w:noWrap/>
            <w:vAlign w:val="center"/>
          </w:tcPr>
          <w:p w14:paraId="3A394046">
            <w:pPr>
              <w:widowControl/>
              <w:jc w:val="center"/>
              <w:rPr>
                <w:rFonts w:ascii="Times New Roman" w:eastAsia="仿宋"/>
                <w:szCs w:val="21"/>
              </w:rPr>
            </w:pPr>
            <w:r>
              <w:rPr>
                <w:rFonts w:hint="eastAsia" w:ascii="Times New Roman" w:eastAsia="仿宋"/>
                <w:szCs w:val="21"/>
              </w:rPr>
              <w:t>410.7971</w:t>
            </w:r>
          </w:p>
        </w:tc>
        <w:tc>
          <w:tcPr>
            <w:tcW w:w="1107" w:type="pct"/>
            <w:noWrap/>
            <w:vAlign w:val="center"/>
          </w:tcPr>
          <w:p w14:paraId="28C80A34">
            <w:pPr>
              <w:widowControl/>
              <w:jc w:val="center"/>
              <w:rPr>
                <w:rFonts w:ascii="Times New Roman" w:eastAsia="仿宋"/>
                <w:szCs w:val="21"/>
              </w:rPr>
            </w:pPr>
            <w:r>
              <w:rPr>
                <w:rFonts w:hint="eastAsia" w:ascii="Times New Roman" w:eastAsia="仿宋"/>
                <w:szCs w:val="21"/>
              </w:rPr>
              <w:t>1051.95</w:t>
            </w:r>
          </w:p>
        </w:tc>
      </w:tr>
      <w:tr w14:paraId="3C97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429FD87">
            <w:pPr>
              <w:widowControl/>
              <w:jc w:val="center"/>
              <w:rPr>
                <w:rFonts w:ascii="Times New Roman" w:eastAsia="仿宋"/>
                <w:szCs w:val="21"/>
              </w:rPr>
            </w:pPr>
            <w:r>
              <w:rPr>
                <w:rFonts w:ascii="Times New Roman" w:eastAsia="仿宋"/>
                <w:szCs w:val="21"/>
              </w:rPr>
              <w:t>14</w:t>
            </w:r>
          </w:p>
        </w:tc>
        <w:tc>
          <w:tcPr>
            <w:tcW w:w="1108" w:type="pct"/>
            <w:noWrap/>
            <w:vAlign w:val="center"/>
          </w:tcPr>
          <w:p w14:paraId="62C04927">
            <w:pPr>
              <w:widowControl/>
              <w:jc w:val="center"/>
              <w:rPr>
                <w:rFonts w:ascii="Times New Roman" w:eastAsia="仿宋"/>
                <w:szCs w:val="21"/>
              </w:rPr>
            </w:pPr>
            <w:r>
              <w:rPr>
                <w:rFonts w:hint="eastAsia" w:ascii="Times New Roman" w:eastAsia="仿宋"/>
                <w:szCs w:val="21"/>
              </w:rPr>
              <w:t>0.020362</w:t>
            </w:r>
          </w:p>
        </w:tc>
        <w:tc>
          <w:tcPr>
            <w:tcW w:w="1108" w:type="pct"/>
            <w:noWrap/>
            <w:vAlign w:val="center"/>
          </w:tcPr>
          <w:p w14:paraId="2FD8F024">
            <w:pPr>
              <w:widowControl/>
              <w:jc w:val="center"/>
              <w:rPr>
                <w:rFonts w:ascii="Times New Roman" w:eastAsia="仿宋"/>
                <w:szCs w:val="21"/>
              </w:rPr>
            </w:pPr>
            <w:r>
              <w:rPr>
                <w:rFonts w:hint="eastAsia" w:ascii="Times New Roman" w:eastAsia="仿宋"/>
                <w:szCs w:val="21"/>
              </w:rPr>
              <w:t>344.2824</w:t>
            </w:r>
          </w:p>
        </w:tc>
        <w:tc>
          <w:tcPr>
            <w:tcW w:w="1107" w:type="pct"/>
            <w:noWrap/>
            <w:vAlign w:val="center"/>
          </w:tcPr>
          <w:p w14:paraId="5AC3787A">
            <w:pPr>
              <w:widowControl/>
              <w:jc w:val="center"/>
              <w:rPr>
                <w:rFonts w:ascii="Times New Roman" w:eastAsia="仿宋"/>
                <w:szCs w:val="21"/>
              </w:rPr>
            </w:pPr>
            <w:r>
              <w:rPr>
                <w:rFonts w:hint="eastAsia" w:ascii="Times New Roman" w:eastAsia="仿宋"/>
                <w:szCs w:val="21"/>
              </w:rPr>
              <w:t>987.4271</w:t>
            </w:r>
          </w:p>
        </w:tc>
      </w:tr>
      <w:tr w14:paraId="2C09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29D6473">
            <w:pPr>
              <w:widowControl/>
              <w:jc w:val="center"/>
              <w:rPr>
                <w:rFonts w:ascii="Times New Roman" w:eastAsia="仿宋"/>
                <w:szCs w:val="21"/>
              </w:rPr>
            </w:pPr>
            <w:r>
              <w:rPr>
                <w:rFonts w:ascii="Times New Roman" w:eastAsia="仿宋"/>
                <w:szCs w:val="21"/>
              </w:rPr>
              <w:t>15</w:t>
            </w:r>
          </w:p>
        </w:tc>
        <w:tc>
          <w:tcPr>
            <w:tcW w:w="1108" w:type="pct"/>
            <w:noWrap/>
            <w:vAlign w:val="center"/>
          </w:tcPr>
          <w:p w14:paraId="7B0C5A7D">
            <w:pPr>
              <w:widowControl/>
              <w:jc w:val="center"/>
              <w:rPr>
                <w:rFonts w:ascii="Times New Roman" w:eastAsia="仿宋"/>
                <w:szCs w:val="21"/>
              </w:rPr>
            </w:pPr>
            <w:r>
              <w:rPr>
                <w:rFonts w:hint="eastAsia" w:ascii="Times New Roman" w:eastAsia="仿宋"/>
                <w:szCs w:val="21"/>
              </w:rPr>
              <w:t>0.004503</w:t>
            </w:r>
          </w:p>
        </w:tc>
        <w:tc>
          <w:tcPr>
            <w:tcW w:w="1108" w:type="pct"/>
            <w:noWrap/>
            <w:vAlign w:val="center"/>
          </w:tcPr>
          <w:p w14:paraId="267F45DF">
            <w:pPr>
              <w:widowControl/>
              <w:jc w:val="center"/>
              <w:rPr>
                <w:rFonts w:ascii="Times New Roman" w:eastAsia="仿宋"/>
                <w:szCs w:val="21"/>
              </w:rPr>
            </w:pPr>
            <w:r>
              <w:rPr>
                <w:rFonts w:hint="eastAsia" w:ascii="Times New Roman" w:eastAsia="仿宋"/>
                <w:szCs w:val="21"/>
              </w:rPr>
              <w:t>286.1194</w:t>
            </w:r>
          </w:p>
        </w:tc>
        <w:tc>
          <w:tcPr>
            <w:tcW w:w="1107" w:type="pct"/>
            <w:noWrap/>
            <w:vAlign w:val="center"/>
          </w:tcPr>
          <w:p w14:paraId="6E90B39E">
            <w:pPr>
              <w:widowControl/>
              <w:jc w:val="center"/>
              <w:rPr>
                <w:rFonts w:ascii="Times New Roman" w:eastAsia="仿宋"/>
                <w:szCs w:val="21"/>
              </w:rPr>
            </w:pPr>
            <w:r>
              <w:rPr>
                <w:rFonts w:hint="eastAsia" w:ascii="Times New Roman" w:eastAsia="仿宋"/>
                <w:szCs w:val="21"/>
              </w:rPr>
              <w:t>924.9206</w:t>
            </w:r>
          </w:p>
        </w:tc>
      </w:tr>
      <w:tr w14:paraId="5439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DD9853B">
            <w:pPr>
              <w:widowControl/>
              <w:jc w:val="center"/>
              <w:rPr>
                <w:rFonts w:ascii="Times New Roman" w:eastAsia="仿宋"/>
                <w:szCs w:val="21"/>
              </w:rPr>
            </w:pPr>
            <w:r>
              <w:rPr>
                <w:rFonts w:ascii="Times New Roman" w:eastAsia="仿宋"/>
                <w:szCs w:val="21"/>
              </w:rPr>
              <w:t>16</w:t>
            </w:r>
          </w:p>
        </w:tc>
        <w:tc>
          <w:tcPr>
            <w:tcW w:w="1108" w:type="pct"/>
            <w:noWrap/>
            <w:vAlign w:val="center"/>
          </w:tcPr>
          <w:p w14:paraId="6F5F52D9">
            <w:pPr>
              <w:widowControl/>
              <w:jc w:val="center"/>
              <w:rPr>
                <w:rFonts w:ascii="Times New Roman" w:eastAsia="仿宋"/>
                <w:szCs w:val="21"/>
              </w:rPr>
            </w:pPr>
            <w:r>
              <w:rPr>
                <w:rFonts w:hint="eastAsia" w:ascii="Times New Roman" w:eastAsia="仿宋"/>
                <w:szCs w:val="21"/>
              </w:rPr>
              <w:t>0.000904</w:t>
            </w:r>
          </w:p>
        </w:tc>
        <w:tc>
          <w:tcPr>
            <w:tcW w:w="1108" w:type="pct"/>
            <w:noWrap/>
            <w:vAlign w:val="center"/>
          </w:tcPr>
          <w:p w14:paraId="36DB1C6C">
            <w:pPr>
              <w:widowControl/>
              <w:jc w:val="center"/>
              <w:rPr>
                <w:rFonts w:ascii="Times New Roman" w:eastAsia="仿宋"/>
                <w:szCs w:val="21"/>
              </w:rPr>
            </w:pPr>
            <w:r>
              <w:rPr>
                <w:rFonts w:hint="eastAsia" w:ascii="Times New Roman" w:eastAsia="仿宋"/>
                <w:szCs w:val="21"/>
              </w:rPr>
              <w:t>235.7693</w:t>
            </w:r>
          </w:p>
        </w:tc>
        <w:tc>
          <w:tcPr>
            <w:tcW w:w="1107" w:type="pct"/>
            <w:noWrap/>
            <w:vAlign w:val="center"/>
          </w:tcPr>
          <w:p w14:paraId="4143BA42">
            <w:pPr>
              <w:widowControl/>
              <w:jc w:val="center"/>
              <w:rPr>
                <w:rFonts w:ascii="Times New Roman" w:eastAsia="仿宋"/>
                <w:szCs w:val="21"/>
              </w:rPr>
            </w:pPr>
            <w:r>
              <w:rPr>
                <w:rFonts w:hint="eastAsia" w:ascii="Times New Roman" w:eastAsia="仿宋"/>
                <w:szCs w:val="21"/>
              </w:rPr>
              <w:t>864.5392</w:t>
            </w:r>
          </w:p>
        </w:tc>
      </w:tr>
      <w:tr w14:paraId="74B1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BD14E3A">
            <w:pPr>
              <w:widowControl/>
              <w:jc w:val="center"/>
              <w:rPr>
                <w:rFonts w:ascii="Times New Roman" w:eastAsia="仿宋"/>
                <w:szCs w:val="21"/>
              </w:rPr>
            </w:pPr>
            <w:r>
              <w:rPr>
                <w:rFonts w:ascii="Times New Roman" w:eastAsia="仿宋"/>
                <w:szCs w:val="21"/>
              </w:rPr>
              <w:t>17</w:t>
            </w:r>
          </w:p>
        </w:tc>
        <w:tc>
          <w:tcPr>
            <w:tcW w:w="1108" w:type="pct"/>
            <w:noWrap/>
            <w:vAlign w:val="center"/>
          </w:tcPr>
          <w:p w14:paraId="659B6E92">
            <w:pPr>
              <w:widowControl/>
              <w:jc w:val="center"/>
              <w:rPr>
                <w:rFonts w:ascii="Times New Roman" w:eastAsia="仿宋"/>
                <w:szCs w:val="21"/>
              </w:rPr>
            </w:pPr>
            <w:r>
              <w:rPr>
                <w:rFonts w:hint="eastAsia" w:ascii="Times New Roman" w:eastAsia="仿宋"/>
                <w:szCs w:val="21"/>
              </w:rPr>
              <w:t>0.000165</w:t>
            </w:r>
          </w:p>
        </w:tc>
        <w:tc>
          <w:tcPr>
            <w:tcW w:w="1108" w:type="pct"/>
            <w:noWrap/>
            <w:vAlign w:val="center"/>
          </w:tcPr>
          <w:p w14:paraId="2D7174EA">
            <w:pPr>
              <w:widowControl/>
              <w:jc w:val="center"/>
              <w:rPr>
                <w:rFonts w:ascii="Times New Roman" w:eastAsia="仿宋"/>
                <w:szCs w:val="21"/>
              </w:rPr>
            </w:pPr>
            <w:r>
              <w:rPr>
                <w:rFonts w:hint="eastAsia" w:ascii="Times New Roman" w:eastAsia="仿宋"/>
                <w:szCs w:val="21"/>
              </w:rPr>
              <w:t>192.6193</w:t>
            </w:r>
          </w:p>
        </w:tc>
        <w:tc>
          <w:tcPr>
            <w:tcW w:w="1107" w:type="pct"/>
            <w:noWrap/>
            <w:vAlign w:val="center"/>
          </w:tcPr>
          <w:p w14:paraId="652C256A">
            <w:pPr>
              <w:widowControl/>
              <w:jc w:val="center"/>
              <w:rPr>
                <w:rFonts w:ascii="Times New Roman" w:eastAsia="仿宋"/>
                <w:szCs w:val="21"/>
              </w:rPr>
            </w:pPr>
            <w:r>
              <w:rPr>
                <w:rFonts w:hint="eastAsia" w:ascii="Times New Roman" w:eastAsia="仿宋"/>
                <w:szCs w:val="21"/>
              </w:rPr>
              <w:t>806.3757</w:t>
            </w:r>
          </w:p>
        </w:tc>
      </w:tr>
      <w:tr w14:paraId="0ED9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6529305">
            <w:pPr>
              <w:widowControl/>
              <w:jc w:val="center"/>
              <w:rPr>
                <w:rFonts w:ascii="Times New Roman" w:eastAsia="仿宋"/>
                <w:szCs w:val="21"/>
              </w:rPr>
            </w:pPr>
            <w:r>
              <w:rPr>
                <w:rFonts w:ascii="Times New Roman" w:eastAsia="仿宋"/>
                <w:szCs w:val="21"/>
              </w:rPr>
              <w:t>18</w:t>
            </w:r>
          </w:p>
        </w:tc>
        <w:tc>
          <w:tcPr>
            <w:tcW w:w="1108" w:type="pct"/>
            <w:noWrap/>
            <w:vAlign w:val="center"/>
          </w:tcPr>
          <w:p w14:paraId="1D01BBD3">
            <w:pPr>
              <w:widowControl/>
              <w:jc w:val="center"/>
              <w:rPr>
                <w:rFonts w:ascii="Times New Roman" w:eastAsia="仿宋"/>
                <w:szCs w:val="21"/>
              </w:rPr>
            </w:pPr>
            <w:r>
              <w:rPr>
                <w:rFonts w:ascii="Times New Roman" w:eastAsia="仿宋"/>
                <w:szCs w:val="21"/>
              </w:rPr>
              <w:t>0</w:t>
            </w:r>
          </w:p>
        </w:tc>
        <w:tc>
          <w:tcPr>
            <w:tcW w:w="1108" w:type="pct"/>
            <w:noWrap/>
            <w:vAlign w:val="center"/>
          </w:tcPr>
          <w:p w14:paraId="529495A8">
            <w:pPr>
              <w:widowControl/>
              <w:jc w:val="center"/>
              <w:rPr>
                <w:rFonts w:ascii="Times New Roman" w:eastAsia="仿宋"/>
                <w:szCs w:val="21"/>
              </w:rPr>
            </w:pPr>
            <w:r>
              <w:rPr>
                <w:rFonts w:hint="eastAsia" w:ascii="Times New Roman" w:eastAsia="仿宋"/>
                <w:szCs w:val="21"/>
              </w:rPr>
              <w:t>156.0099</w:t>
            </w:r>
          </w:p>
        </w:tc>
        <w:tc>
          <w:tcPr>
            <w:tcW w:w="1107" w:type="pct"/>
            <w:noWrap/>
            <w:vAlign w:val="center"/>
          </w:tcPr>
          <w:p w14:paraId="181FCCEF">
            <w:pPr>
              <w:widowControl/>
              <w:jc w:val="center"/>
              <w:rPr>
                <w:rFonts w:ascii="Times New Roman" w:eastAsia="仿宋"/>
                <w:szCs w:val="21"/>
              </w:rPr>
            </w:pPr>
            <w:r>
              <w:rPr>
                <w:rFonts w:hint="eastAsia" w:ascii="Times New Roman" w:eastAsia="仿宋"/>
                <w:szCs w:val="21"/>
              </w:rPr>
              <w:t>750.5067</w:t>
            </w:r>
          </w:p>
        </w:tc>
      </w:tr>
      <w:tr w14:paraId="3F5C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020BC10">
            <w:pPr>
              <w:widowControl/>
              <w:jc w:val="center"/>
              <w:rPr>
                <w:rFonts w:ascii="Times New Roman" w:eastAsia="仿宋"/>
                <w:szCs w:val="21"/>
              </w:rPr>
            </w:pPr>
            <w:r>
              <w:rPr>
                <w:rFonts w:ascii="Times New Roman" w:eastAsia="仿宋"/>
                <w:szCs w:val="21"/>
              </w:rPr>
              <w:t>19</w:t>
            </w:r>
          </w:p>
        </w:tc>
        <w:tc>
          <w:tcPr>
            <w:tcW w:w="1108" w:type="pct"/>
            <w:noWrap/>
            <w:vAlign w:val="center"/>
          </w:tcPr>
          <w:p w14:paraId="22007F01">
            <w:pPr>
              <w:widowControl/>
              <w:jc w:val="center"/>
              <w:rPr>
                <w:rFonts w:ascii="Times New Roman" w:eastAsia="仿宋"/>
                <w:szCs w:val="21"/>
              </w:rPr>
            </w:pPr>
            <w:r>
              <w:rPr>
                <w:rFonts w:ascii="Times New Roman" w:eastAsia="仿宋"/>
                <w:szCs w:val="21"/>
              </w:rPr>
              <w:t>0</w:t>
            </w:r>
          </w:p>
        </w:tc>
        <w:tc>
          <w:tcPr>
            <w:tcW w:w="1108" w:type="pct"/>
            <w:noWrap/>
            <w:vAlign w:val="center"/>
          </w:tcPr>
          <w:p w14:paraId="03E9FA76">
            <w:pPr>
              <w:widowControl/>
              <w:jc w:val="center"/>
              <w:rPr>
                <w:rFonts w:ascii="Times New Roman" w:eastAsia="仿宋"/>
                <w:szCs w:val="21"/>
              </w:rPr>
            </w:pPr>
            <w:r>
              <w:rPr>
                <w:rFonts w:hint="eastAsia" w:ascii="Times New Roman" w:eastAsia="仿宋"/>
                <w:szCs w:val="21"/>
              </w:rPr>
              <w:t>125.2604</w:t>
            </w:r>
          </w:p>
        </w:tc>
        <w:tc>
          <w:tcPr>
            <w:tcW w:w="1107" w:type="pct"/>
            <w:noWrap/>
            <w:vAlign w:val="center"/>
          </w:tcPr>
          <w:p w14:paraId="44193C41">
            <w:pPr>
              <w:widowControl/>
              <w:jc w:val="center"/>
              <w:rPr>
                <w:rFonts w:ascii="Times New Roman" w:eastAsia="仿宋"/>
                <w:szCs w:val="21"/>
              </w:rPr>
            </w:pPr>
            <w:r>
              <w:rPr>
                <w:rFonts w:hint="eastAsia" w:ascii="Times New Roman" w:eastAsia="仿宋"/>
                <w:szCs w:val="21"/>
              </w:rPr>
              <w:t>696.9929</w:t>
            </w:r>
          </w:p>
        </w:tc>
      </w:tr>
      <w:tr w14:paraId="1C83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2AE19E8">
            <w:pPr>
              <w:widowControl/>
              <w:jc w:val="center"/>
              <w:rPr>
                <w:rFonts w:ascii="Times New Roman" w:eastAsia="仿宋"/>
                <w:szCs w:val="21"/>
              </w:rPr>
            </w:pPr>
            <w:r>
              <w:rPr>
                <w:rFonts w:ascii="Times New Roman" w:eastAsia="仿宋"/>
                <w:szCs w:val="21"/>
              </w:rPr>
              <w:t>20</w:t>
            </w:r>
          </w:p>
        </w:tc>
        <w:tc>
          <w:tcPr>
            <w:tcW w:w="1108" w:type="pct"/>
            <w:noWrap/>
          </w:tcPr>
          <w:p w14:paraId="6857A443">
            <w:pPr>
              <w:jc w:val="center"/>
            </w:pPr>
            <w:r>
              <w:rPr>
                <w:rFonts w:ascii="Times New Roman" w:eastAsia="仿宋"/>
                <w:szCs w:val="21"/>
              </w:rPr>
              <w:t>0</w:t>
            </w:r>
          </w:p>
        </w:tc>
        <w:tc>
          <w:tcPr>
            <w:tcW w:w="1108" w:type="pct"/>
            <w:noWrap/>
            <w:vAlign w:val="center"/>
          </w:tcPr>
          <w:p w14:paraId="40928BAA">
            <w:pPr>
              <w:widowControl/>
              <w:jc w:val="center"/>
              <w:rPr>
                <w:rFonts w:ascii="Times New Roman" w:eastAsia="仿宋"/>
                <w:szCs w:val="21"/>
              </w:rPr>
            </w:pPr>
            <w:r>
              <w:rPr>
                <w:rFonts w:hint="eastAsia" w:ascii="Times New Roman" w:eastAsia="仿宋"/>
                <w:szCs w:val="21"/>
              </w:rPr>
              <w:t>99.69102</w:t>
            </w:r>
          </w:p>
        </w:tc>
        <w:tc>
          <w:tcPr>
            <w:tcW w:w="1107" w:type="pct"/>
            <w:noWrap/>
            <w:vAlign w:val="center"/>
          </w:tcPr>
          <w:p w14:paraId="399C7221">
            <w:pPr>
              <w:widowControl/>
              <w:jc w:val="center"/>
              <w:rPr>
                <w:rFonts w:ascii="Times New Roman" w:eastAsia="仿宋"/>
                <w:szCs w:val="21"/>
              </w:rPr>
            </w:pPr>
            <w:r>
              <w:rPr>
                <w:rFonts w:hint="eastAsia" w:ascii="Times New Roman" w:eastAsia="仿宋"/>
                <w:szCs w:val="21"/>
              </w:rPr>
              <w:t>645.8792</w:t>
            </w:r>
          </w:p>
        </w:tc>
      </w:tr>
      <w:tr w14:paraId="33E0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D61B7B8">
            <w:pPr>
              <w:widowControl/>
              <w:jc w:val="center"/>
              <w:rPr>
                <w:rFonts w:ascii="Times New Roman" w:eastAsia="仿宋"/>
                <w:szCs w:val="21"/>
              </w:rPr>
            </w:pPr>
            <w:r>
              <w:rPr>
                <w:rFonts w:ascii="Times New Roman" w:eastAsia="仿宋"/>
                <w:szCs w:val="21"/>
              </w:rPr>
              <w:t>21</w:t>
            </w:r>
          </w:p>
        </w:tc>
        <w:tc>
          <w:tcPr>
            <w:tcW w:w="1108" w:type="pct"/>
            <w:noWrap/>
          </w:tcPr>
          <w:p w14:paraId="502D238A">
            <w:pPr>
              <w:jc w:val="center"/>
            </w:pPr>
            <w:r>
              <w:rPr>
                <w:rFonts w:ascii="Times New Roman" w:eastAsia="仿宋"/>
                <w:szCs w:val="21"/>
              </w:rPr>
              <w:t>0</w:t>
            </w:r>
          </w:p>
        </w:tc>
        <w:tc>
          <w:tcPr>
            <w:tcW w:w="1108" w:type="pct"/>
            <w:noWrap/>
            <w:vAlign w:val="center"/>
          </w:tcPr>
          <w:p w14:paraId="4C4E6DFB">
            <w:pPr>
              <w:widowControl/>
              <w:jc w:val="center"/>
              <w:rPr>
                <w:rFonts w:ascii="Times New Roman" w:eastAsia="仿宋"/>
                <w:szCs w:val="21"/>
              </w:rPr>
            </w:pPr>
            <w:r>
              <w:rPr>
                <w:rFonts w:hint="eastAsia" w:ascii="Times New Roman" w:eastAsia="仿宋"/>
                <w:szCs w:val="21"/>
              </w:rPr>
              <w:t>78.64161</w:t>
            </w:r>
          </w:p>
        </w:tc>
        <w:tc>
          <w:tcPr>
            <w:tcW w:w="1107" w:type="pct"/>
            <w:noWrap/>
            <w:vAlign w:val="center"/>
          </w:tcPr>
          <w:p w14:paraId="40C099E0">
            <w:pPr>
              <w:widowControl/>
              <w:jc w:val="center"/>
              <w:rPr>
                <w:rFonts w:ascii="Times New Roman" w:eastAsia="仿宋"/>
                <w:szCs w:val="21"/>
              </w:rPr>
            </w:pPr>
            <w:r>
              <w:rPr>
                <w:rFonts w:hint="eastAsia" w:ascii="Times New Roman" w:eastAsia="仿宋"/>
                <w:szCs w:val="21"/>
              </w:rPr>
              <w:t>597.195</w:t>
            </w:r>
          </w:p>
        </w:tc>
      </w:tr>
      <w:tr w14:paraId="19B2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946EBF9">
            <w:pPr>
              <w:widowControl/>
              <w:jc w:val="center"/>
              <w:rPr>
                <w:rFonts w:ascii="Times New Roman" w:eastAsia="仿宋"/>
                <w:szCs w:val="21"/>
              </w:rPr>
            </w:pPr>
            <w:r>
              <w:rPr>
                <w:rFonts w:ascii="Times New Roman" w:eastAsia="仿宋"/>
                <w:szCs w:val="21"/>
              </w:rPr>
              <w:t>22</w:t>
            </w:r>
          </w:p>
        </w:tc>
        <w:tc>
          <w:tcPr>
            <w:tcW w:w="1108" w:type="pct"/>
            <w:noWrap/>
          </w:tcPr>
          <w:p w14:paraId="3C9737BE">
            <w:pPr>
              <w:jc w:val="center"/>
            </w:pPr>
            <w:r>
              <w:rPr>
                <w:rFonts w:ascii="Times New Roman" w:eastAsia="仿宋"/>
                <w:szCs w:val="21"/>
              </w:rPr>
              <w:t>0</w:t>
            </w:r>
          </w:p>
        </w:tc>
        <w:tc>
          <w:tcPr>
            <w:tcW w:w="1108" w:type="pct"/>
            <w:noWrap/>
            <w:vAlign w:val="center"/>
          </w:tcPr>
          <w:p w14:paraId="5AE32EBC">
            <w:pPr>
              <w:widowControl/>
              <w:jc w:val="center"/>
              <w:rPr>
                <w:rFonts w:ascii="Times New Roman" w:eastAsia="仿宋"/>
                <w:szCs w:val="21"/>
              </w:rPr>
            </w:pPr>
            <w:r>
              <w:rPr>
                <w:rFonts w:hint="eastAsia" w:ascii="Times New Roman" w:eastAsia="仿宋"/>
                <w:szCs w:val="21"/>
              </w:rPr>
              <w:t>61.48622</w:t>
            </w:r>
          </w:p>
        </w:tc>
        <w:tc>
          <w:tcPr>
            <w:tcW w:w="1107" w:type="pct"/>
            <w:noWrap/>
            <w:vAlign w:val="center"/>
          </w:tcPr>
          <w:p w14:paraId="3A745825">
            <w:pPr>
              <w:widowControl/>
              <w:jc w:val="center"/>
              <w:rPr>
                <w:rFonts w:ascii="Times New Roman" w:eastAsia="仿宋"/>
                <w:szCs w:val="21"/>
              </w:rPr>
            </w:pPr>
            <w:r>
              <w:rPr>
                <w:rFonts w:hint="eastAsia" w:ascii="Times New Roman" w:eastAsia="仿宋"/>
                <w:szCs w:val="21"/>
              </w:rPr>
              <w:t>550.9546</w:t>
            </w:r>
          </w:p>
        </w:tc>
      </w:tr>
      <w:tr w14:paraId="320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6C2E1C6">
            <w:pPr>
              <w:widowControl/>
              <w:jc w:val="center"/>
              <w:rPr>
                <w:rFonts w:ascii="Times New Roman" w:eastAsia="仿宋"/>
                <w:szCs w:val="21"/>
              </w:rPr>
            </w:pPr>
            <w:r>
              <w:rPr>
                <w:rFonts w:ascii="Times New Roman" w:eastAsia="仿宋"/>
                <w:szCs w:val="21"/>
              </w:rPr>
              <w:t>23</w:t>
            </w:r>
          </w:p>
        </w:tc>
        <w:tc>
          <w:tcPr>
            <w:tcW w:w="1108" w:type="pct"/>
            <w:noWrap/>
          </w:tcPr>
          <w:p w14:paraId="5D4A3EDE">
            <w:pPr>
              <w:jc w:val="center"/>
            </w:pPr>
            <w:r>
              <w:rPr>
                <w:rFonts w:ascii="Times New Roman" w:eastAsia="仿宋"/>
                <w:szCs w:val="21"/>
              </w:rPr>
              <w:t>0</w:t>
            </w:r>
          </w:p>
        </w:tc>
        <w:tc>
          <w:tcPr>
            <w:tcW w:w="1108" w:type="pct"/>
            <w:noWrap/>
            <w:vAlign w:val="center"/>
          </w:tcPr>
          <w:p w14:paraId="27648C61">
            <w:pPr>
              <w:widowControl/>
              <w:jc w:val="center"/>
              <w:rPr>
                <w:rFonts w:ascii="Times New Roman" w:eastAsia="仿宋"/>
                <w:szCs w:val="21"/>
              </w:rPr>
            </w:pPr>
            <w:r>
              <w:rPr>
                <w:rFonts w:hint="eastAsia" w:ascii="Times New Roman" w:eastAsia="仿宋"/>
                <w:szCs w:val="21"/>
              </w:rPr>
              <w:t>47.64406</w:t>
            </w:r>
          </w:p>
        </w:tc>
        <w:tc>
          <w:tcPr>
            <w:tcW w:w="1107" w:type="pct"/>
            <w:noWrap/>
            <w:vAlign w:val="center"/>
          </w:tcPr>
          <w:p w14:paraId="5E8E79D7">
            <w:pPr>
              <w:widowControl/>
              <w:jc w:val="center"/>
              <w:rPr>
                <w:rFonts w:ascii="Times New Roman" w:eastAsia="仿宋"/>
                <w:szCs w:val="21"/>
              </w:rPr>
            </w:pPr>
            <w:r>
              <w:rPr>
                <w:rFonts w:hint="eastAsia" w:ascii="Times New Roman" w:eastAsia="仿宋"/>
                <w:szCs w:val="21"/>
              </w:rPr>
              <w:t>507.1585</w:t>
            </w:r>
          </w:p>
        </w:tc>
      </w:tr>
      <w:tr w14:paraId="7D0D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46B5CEC">
            <w:pPr>
              <w:widowControl/>
              <w:jc w:val="center"/>
              <w:rPr>
                <w:rFonts w:ascii="Times New Roman" w:eastAsia="仿宋"/>
                <w:szCs w:val="21"/>
              </w:rPr>
            </w:pPr>
            <w:r>
              <w:rPr>
                <w:rFonts w:ascii="Times New Roman" w:eastAsia="仿宋"/>
                <w:szCs w:val="21"/>
              </w:rPr>
              <w:t>24</w:t>
            </w:r>
          </w:p>
        </w:tc>
        <w:tc>
          <w:tcPr>
            <w:tcW w:w="1108" w:type="pct"/>
            <w:noWrap/>
          </w:tcPr>
          <w:p w14:paraId="1906413A">
            <w:pPr>
              <w:jc w:val="center"/>
            </w:pPr>
            <w:r>
              <w:rPr>
                <w:rFonts w:ascii="Times New Roman" w:eastAsia="仿宋"/>
                <w:szCs w:val="21"/>
              </w:rPr>
              <w:t>0</w:t>
            </w:r>
          </w:p>
        </w:tc>
        <w:tc>
          <w:tcPr>
            <w:tcW w:w="1108" w:type="pct"/>
            <w:noWrap/>
            <w:vAlign w:val="center"/>
          </w:tcPr>
          <w:p w14:paraId="07107D9E">
            <w:pPr>
              <w:widowControl/>
              <w:jc w:val="center"/>
              <w:rPr>
                <w:rFonts w:ascii="Times New Roman" w:eastAsia="仿宋"/>
                <w:szCs w:val="21"/>
              </w:rPr>
            </w:pPr>
            <w:r>
              <w:rPr>
                <w:rFonts w:hint="eastAsia" w:ascii="Times New Roman" w:eastAsia="仿宋"/>
                <w:szCs w:val="21"/>
              </w:rPr>
              <w:t>36.58672</w:t>
            </w:r>
          </w:p>
        </w:tc>
        <w:tc>
          <w:tcPr>
            <w:tcW w:w="1107" w:type="pct"/>
            <w:noWrap/>
            <w:vAlign w:val="center"/>
          </w:tcPr>
          <w:p w14:paraId="36D0F588">
            <w:pPr>
              <w:widowControl/>
              <w:jc w:val="center"/>
              <w:rPr>
                <w:rFonts w:ascii="Times New Roman" w:eastAsia="仿宋"/>
                <w:szCs w:val="21"/>
              </w:rPr>
            </w:pPr>
            <w:r>
              <w:rPr>
                <w:rFonts w:hint="eastAsia" w:ascii="Times New Roman" w:eastAsia="仿宋"/>
                <w:szCs w:val="21"/>
              </w:rPr>
              <w:t>465.7933</w:t>
            </w:r>
          </w:p>
        </w:tc>
      </w:tr>
      <w:tr w14:paraId="57C4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87EFF89">
            <w:pPr>
              <w:widowControl/>
              <w:jc w:val="center"/>
              <w:rPr>
                <w:rFonts w:ascii="Times New Roman" w:eastAsia="仿宋"/>
                <w:szCs w:val="21"/>
              </w:rPr>
            </w:pPr>
            <w:r>
              <w:rPr>
                <w:rFonts w:ascii="Times New Roman" w:eastAsia="仿宋"/>
                <w:szCs w:val="21"/>
              </w:rPr>
              <w:t>25</w:t>
            </w:r>
          </w:p>
        </w:tc>
        <w:tc>
          <w:tcPr>
            <w:tcW w:w="1108" w:type="pct"/>
            <w:noWrap/>
          </w:tcPr>
          <w:p w14:paraId="5623A25B">
            <w:pPr>
              <w:jc w:val="center"/>
            </w:pPr>
            <w:r>
              <w:rPr>
                <w:rFonts w:ascii="Times New Roman" w:eastAsia="仿宋"/>
                <w:szCs w:val="21"/>
              </w:rPr>
              <w:t>0</w:t>
            </w:r>
          </w:p>
        </w:tc>
        <w:tc>
          <w:tcPr>
            <w:tcW w:w="1108" w:type="pct"/>
            <w:noWrap/>
            <w:vAlign w:val="center"/>
          </w:tcPr>
          <w:p w14:paraId="48C2138C">
            <w:pPr>
              <w:widowControl/>
              <w:jc w:val="center"/>
              <w:rPr>
                <w:rFonts w:ascii="Times New Roman" w:eastAsia="仿宋"/>
                <w:szCs w:val="21"/>
              </w:rPr>
            </w:pPr>
            <w:r>
              <w:rPr>
                <w:rFonts w:hint="eastAsia" w:ascii="Times New Roman" w:eastAsia="仿宋"/>
                <w:szCs w:val="21"/>
              </w:rPr>
              <w:t>27.84206</w:t>
            </w:r>
          </w:p>
        </w:tc>
        <w:tc>
          <w:tcPr>
            <w:tcW w:w="1107" w:type="pct"/>
            <w:noWrap/>
            <w:vAlign w:val="center"/>
          </w:tcPr>
          <w:p w14:paraId="4D2278D0">
            <w:pPr>
              <w:widowControl/>
              <w:jc w:val="center"/>
              <w:rPr>
                <w:rFonts w:ascii="Times New Roman" w:eastAsia="仿宋"/>
                <w:szCs w:val="21"/>
              </w:rPr>
            </w:pPr>
            <w:r>
              <w:rPr>
                <w:rFonts w:hint="eastAsia" w:ascii="Times New Roman" w:eastAsia="仿宋"/>
                <w:szCs w:val="21"/>
              </w:rPr>
              <w:t>426.8331</w:t>
            </w:r>
          </w:p>
        </w:tc>
      </w:tr>
      <w:tr w14:paraId="364B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67EEA40">
            <w:pPr>
              <w:widowControl/>
              <w:jc w:val="center"/>
              <w:rPr>
                <w:rFonts w:ascii="Times New Roman" w:eastAsia="仿宋"/>
                <w:szCs w:val="21"/>
              </w:rPr>
            </w:pPr>
            <w:r>
              <w:rPr>
                <w:rFonts w:ascii="Times New Roman" w:eastAsia="仿宋"/>
                <w:szCs w:val="21"/>
              </w:rPr>
              <w:t>26</w:t>
            </w:r>
          </w:p>
        </w:tc>
        <w:tc>
          <w:tcPr>
            <w:tcW w:w="1108" w:type="pct"/>
            <w:noWrap/>
          </w:tcPr>
          <w:p w14:paraId="7CAD6C4D">
            <w:pPr>
              <w:jc w:val="center"/>
            </w:pPr>
            <w:r>
              <w:rPr>
                <w:rFonts w:ascii="Times New Roman" w:eastAsia="仿宋"/>
                <w:szCs w:val="21"/>
              </w:rPr>
              <w:t>0</w:t>
            </w:r>
          </w:p>
        </w:tc>
        <w:tc>
          <w:tcPr>
            <w:tcW w:w="1108" w:type="pct"/>
            <w:noWrap/>
            <w:vAlign w:val="center"/>
          </w:tcPr>
          <w:p w14:paraId="19211BD2">
            <w:pPr>
              <w:widowControl/>
              <w:jc w:val="center"/>
              <w:rPr>
                <w:rFonts w:ascii="Times New Roman" w:eastAsia="仿宋"/>
                <w:szCs w:val="21"/>
              </w:rPr>
            </w:pPr>
            <w:r>
              <w:rPr>
                <w:rFonts w:hint="eastAsia" w:ascii="Times New Roman" w:eastAsia="仿宋"/>
                <w:szCs w:val="21"/>
              </w:rPr>
              <w:t>20.99535</w:t>
            </w:r>
          </w:p>
        </w:tc>
        <w:tc>
          <w:tcPr>
            <w:tcW w:w="1107" w:type="pct"/>
            <w:noWrap/>
            <w:vAlign w:val="center"/>
          </w:tcPr>
          <w:p w14:paraId="7FF109C4">
            <w:pPr>
              <w:widowControl/>
              <w:jc w:val="center"/>
              <w:rPr>
                <w:rFonts w:ascii="Times New Roman" w:eastAsia="仿宋"/>
                <w:szCs w:val="21"/>
              </w:rPr>
            </w:pPr>
            <w:r>
              <w:rPr>
                <w:rFonts w:hint="eastAsia" w:ascii="Times New Roman" w:eastAsia="仿宋"/>
                <w:szCs w:val="21"/>
              </w:rPr>
              <w:t>390.2404</w:t>
            </w:r>
          </w:p>
        </w:tc>
      </w:tr>
      <w:tr w14:paraId="01E0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FF61961">
            <w:pPr>
              <w:widowControl/>
              <w:jc w:val="center"/>
              <w:rPr>
                <w:rFonts w:ascii="Times New Roman" w:eastAsia="仿宋"/>
                <w:szCs w:val="21"/>
              </w:rPr>
            </w:pPr>
            <w:r>
              <w:rPr>
                <w:rFonts w:ascii="Times New Roman" w:eastAsia="仿宋"/>
                <w:szCs w:val="21"/>
              </w:rPr>
              <w:t>27</w:t>
            </w:r>
          </w:p>
        </w:tc>
        <w:tc>
          <w:tcPr>
            <w:tcW w:w="1108" w:type="pct"/>
            <w:noWrap/>
          </w:tcPr>
          <w:p w14:paraId="508F8B53">
            <w:pPr>
              <w:jc w:val="center"/>
            </w:pPr>
            <w:r>
              <w:rPr>
                <w:rFonts w:ascii="Times New Roman" w:eastAsia="仿宋"/>
                <w:szCs w:val="21"/>
              </w:rPr>
              <w:t>0</w:t>
            </w:r>
          </w:p>
        </w:tc>
        <w:tc>
          <w:tcPr>
            <w:tcW w:w="1108" w:type="pct"/>
            <w:noWrap/>
            <w:vAlign w:val="center"/>
          </w:tcPr>
          <w:p w14:paraId="7861420A">
            <w:pPr>
              <w:widowControl/>
              <w:jc w:val="center"/>
              <w:rPr>
                <w:rFonts w:ascii="Times New Roman" w:eastAsia="仿宋"/>
                <w:szCs w:val="21"/>
              </w:rPr>
            </w:pPr>
            <w:r>
              <w:rPr>
                <w:rFonts w:hint="eastAsia" w:ascii="Times New Roman" w:eastAsia="仿宋"/>
                <w:szCs w:val="21"/>
              </w:rPr>
              <w:t>15.68811</w:t>
            </w:r>
          </w:p>
        </w:tc>
        <w:tc>
          <w:tcPr>
            <w:tcW w:w="1107" w:type="pct"/>
            <w:noWrap/>
            <w:vAlign w:val="center"/>
          </w:tcPr>
          <w:p w14:paraId="3ECB9583">
            <w:pPr>
              <w:widowControl/>
              <w:jc w:val="center"/>
              <w:rPr>
                <w:rFonts w:ascii="Times New Roman" w:eastAsia="仿宋"/>
                <w:szCs w:val="21"/>
              </w:rPr>
            </w:pPr>
            <w:r>
              <w:rPr>
                <w:rFonts w:hint="eastAsia" w:ascii="Times New Roman" w:eastAsia="仿宋"/>
                <w:szCs w:val="21"/>
              </w:rPr>
              <w:t>355.9671</w:t>
            </w:r>
          </w:p>
        </w:tc>
      </w:tr>
      <w:tr w14:paraId="6A6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122968F">
            <w:pPr>
              <w:widowControl/>
              <w:jc w:val="center"/>
              <w:rPr>
                <w:rFonts w:ascii="Times New Roman" w:eastAsia="仿宋"/>
                <w:szCs w:val="21"/>
              </w:rPr>
            </w:pPr>
            <w:r>
              <w:rPr>
                <w:rFonts w:ascii="Times New Roman" w:eastAsia="仿宋"/>
                <w:szCs w:val="21"/>
              </w:rPr>
              <w:t>28</w:t>
            </w:r>
          </w:p>
        </w:tc>
        <w:tc>
          <w:tcPr>
            <w:tcW w:w="1108" w:type="pct"/>
            <w:noWrap/>
          </w:tcPr>
          <w:p w14:paraId="62DDADDA">
            <w:pPr>
              <w:jc w:val="center"/>
            </w:pPr>
            <w:r>
              <w:rPr>
                <w:rFonts w:ascii="Times New Roman" w:eastAsia="仿宋"/>
                <w:szCs w:val="21"/>
              </w:rPr>
              <w:t>0</w:t>
            </w:r>
          </w:p>
        </w:tc>
        <w:tc>
          <w:tcPr>
            <w:tcW w:w="1108" w:type="pct"/>
            <w:noWrap/>
            <w:vAlign w:val="center"/>
          </w:tcPr>
          <w:p w14:paraId="0B365F34">
            <w:pPr>
              <w:widowControl/>
              <w:jc w:val="center"/>
              <w:rPr>
                <w:rFonts w:ascii="Times New Roman" w:eastAsia="仿宋"/>
                <w:szCs w:val="21"/>
              </w:rPr>
            </w:pPr>
            <w:r>
              <w:rPr>
                <w:rFonts w:hint="eastAsia" w:ascii="Times New Roman" w:eastAsia="仿宋"/>
                <w:szCs w:val="21"/>
              </w:rPr>
              <w:t>11.61521</w:t>
            </w:r>
          </w:p>
        </w:tc>
        <w:tc>
          <w:tcPr>
            <w:tcW w:w="1107" w:type="pct"/>
            <w:noWrap/>
            <w:vAlign w:val="center"/>
          </w:tcPr>
          <w:p w14:paraId="21B55F4C">
            <w:pPr>
              <w:widowControl/>
              <w:jc w:val="center"/>
              <w:rPr>
                <w:rFonts w:ascii="Times New Roman" w:eastAsia="仿宋"/>
                <w:szCs w:val="21"/>
              </w:rPr>
            </w:pPr>
            <w:r>
              <w:rPr>
                <w:rFonts w:hint="eastAsia" w:ascii="Times New Roman" w:eastAsia="仿宋"/>
                <w:szCs w:val="21"/>
              </w:rPr>
              <w:t>323.9555</w:t>
            </w:r>
          </w:p>
        </w:tc>
      </w:tr>
      <w:tr w14:paraId="6850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94BC640">
            <w:pPr>
              <w:widowControl/>
              <w:jc w:val="center"/>
              <w:rPr>
                <w:rFonts w:ascii="Times New Roman" w:eastAsia="仿宋"/>
                <w:szCs w:val="21"/>
              </w:rPr>
            </w:pPr>
            <w:r>
              <w:rPr>
                <w:rFonts w:ascii="Times New Roman" w:eastAsia="仿宋"/>
                <w:szCs w:val="21"/>
              </w:rPr>
              <w:t>29</w:t>
            </w:r>
          </w:p>
        </w:tc>
        <w:tc>
          <w:tcPr>
            <w:tcW w:w="1108" w:type="pct"/>
            <w:noWrap/>
          </w:tcPr>
          <w:p w14:paraId="6D1140E4">
            <w:pPr>
              <w:jc w:val="center"/>
            </w:pPr>
            <w:r>
              <w:rPr>
                <w:rFonts w:ascii="Times New Roman" w:eastAsia="仿宋"/>
                <w:szCs w:val="21"/>
              </w:rPr>
              <w:t>0</w:t>
            </w:r>
          </w:p>
        </w:tc>
        <w:tc>
          <w:tcPr>
            <w:tcW w:w="1108" w:type="pct"/>
            <w:noWrap/>
            <w:vAlign w:val="center"/>
          </w:tcPr>
          <w:p w14:paraId="243BB090">
            <w:pPr>
              <w:widowControl/>
              <w:jc w:val="center"/>
              <w:rPr>
                <w:rFonts w:ascii="Times New Roman" w:eastAsia="仿宋"/>
                <w:szCs w:val="21"/>
              </w:rPr>
            </w:pPr>
            <w:r>
              <w:rPr>
                <w:rFonts w:hint="eastAsia" w:ascii="Times New Roman" w:eastAsia="仿宋"/>
                <w:szCs w:val="21"/>
              </w:rPr>
              <w:t>8.520719</w:t>
            </w:r>
          </w:p>
        </w:tc>
        <w:tc>
          <w:tcPr>
            <w:tcW w:w="1107" w:type="pct"/>
            <w:noWrap/>
            <w:vAlign w:val="center"/>
          </w:tcPr>
          <w:p w14:paraId="52DABF3B">
            <w:pPr>
              <w:widowControl/>
              <w:jc w:val="center"/>
              <w:rPr>
                <w:rFonts w:ascii="Times New Roman" w:eastAsia="仿宋"/>
                <w:szCs w:val="21"/>
              </w:rPr>
            </w:pPr>
            <w:r>
              <w:rPr>
                <w:rFonts w:hint="eastAsia" w:ascii="Times New Roman" w:eastAsia="仿宋"/>
                <w:szCs w:val="21"/>
              </w:rPr>
              <w:t>294.1394</w:t>
            </w:r>
          </w:p>
        </w:tc>
      </w:tr>
      <w:tr w14:paraId="424E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3D8D063">
            <w:pPr>
              <w:widowControl/>
              <w:jc w:val="center"/>
              <w:rPr>
                <w:rFonts w:ascii="Times New Roman" w:eastAsia="仿宋"/>
                <w:szCs w:val="21"/>
              </w:rPr>
            </w:pPr>
            <w:r>
              <w:rPr>
                <w:rFonts w:ascii="Times New Roman" w:eastAsia="仿宋"/>
                <w:szCs w:val="21"/>
              </w:rPr>
              <w:t>30</w:t>
            </w:r>
          </w:p>
        </w:tc>
        <w:tc>
          <w:tcPr>
            <w:tcW w:w="1108" w:type="pct"/>
            <w:noWrap/>
          </w:tcPr>
          <w:p w14:paraId="5C904ACB">
            <w:pPr>
              <w:jc w:val="center"/>
            </w:pPr>
            <w:r>
              <w:rPr>
                <w:rFonts w:ascii="Times New Roman" w:eastAsia="仿宋"/>
                <w:szCs w:val="21"/>
              </w:rPr>
              <w:t>0</w:t>
            </w:r>
          </w:p>
        </w:tc>
        <w:tc>
          <w:tcPr>
            <w:tcW w:w="1108" w:type="pct"/>
            <w:noWrap/>
            <w:vAlign w:val="center"/>
          </w:tcPr>
          <w:p w14:paraId="7CA211BC">
            <w:pPr>
              <w:widowControl/>
              <w:jc w:val="center"/>
              <w:rPr>
                <w:rFonts w:ascii="Times New Roman" w:eastAsia="仿宋"/>
                <w:szCs w:val="21"/>
              </w:rPr>
            </w:pPr>
            <w:r>
              <w:rPr>
                <w:rFonts w:hint="eastAsia" w:ascii="Times New Roman" w:eastAsia="仿宋"/>
                <w:szCs w:val="21"/>
              </w:rPr>
              <w:t>6.193033</w:t>
            </w:r>
          </w:p>
        </w:tc>
        <w:tc>
          <w:tcPr>
            <w:tcW w:w="1107" w:type="pct"/>
            <w:noWrap/>
            <w:vAlign w:val="center"/>
          </w:tcPr>
          <w:p w14:paraId="45B785F6">
            <w:pPr>
              <w:widowControl/>
              <w:jc w:val="center"/>
              <w:rPr>
                <w:rFonts w:ascii="Times New Roman" w:eastAsia="仿宋"/>
                <w:szCs w:val="21"/>
              </w:rPr>
            </w:pPr>
            <w:r>
              <w:rPr>
                <w:rFonts w:hint="eastAsia" w:ascii="Times New Roman" w:eastAsia="仿宋"/>
                <w:szCs w:val="21"/>
              </w:rPr>
              <w:t>266.4453</w:t>
            </w:r>
          </w:p>
        </w:tc>
      </w:tr>
      <w:tr w14:paraId="5853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1F0E09D">
            <w:pPr>
              <w:widowControl/>
              <w:jc w:val="center"/>
              <w:rPr>
                <w:rFonts w:ascii="Times New Roman" w:eastAsia="仿宋"/>
                <w:szCs w:val="21"/>
              </w:rPr>
            </w:pPr>
            <w:r>
              <w:rPr>
                <w:rFonts w:ascii="Times New Roman" w:eastAsia="仿宋"/>
                <w:szCs w:val="21"/>
              </w:rPr>
              <w:t>31</w:t>
            </w:r>
          </w:p>
        </w:tc>
        <w:tc>
          <w:tcPr>
            <w:tcW w:w="1108" w:type="pct"/>
            <w:noWrap/>
          </w:tcPr>
          <w:p w14:paraId="17AE953B">
            <w:pPr>
              <w:jc w:val="center"/>
            </w:pPr>
            <w:r>
              <w:rPr>
                <w:rFonts w:ascii="Times New Roman" w:eastAsia="仿宋"/>
                <w:szCs w:val="21"/>
              </w:rPr>
              <w:t>0</w:t>
            </w:r>
          </w:p>
        </w:tc>
        <w:tc>
          <w:tcPr>
            <w:tcW w:w="1108" w:type="pct"/>
            <w:noWrap/>
            <w:vAlign w:val="center"/>
          </w:tcPr>
          <w:p w14:paraId="107CCE62">
            <w:pPr>
              <w:widowControl/>
              <w:jc w:val="center"/>
              <w:rPr>
                <w:rFonts w:ascii="Times New Roman" w:eastAsia="仿宋"/>
                <w:szCs w:val="21"/>
              </w:rPr>
            </w:pPr>
            <w:r>
              <w:rPr>
                <w:rFonts w:hint="eastAsia" w:ascii="Times New Roman" w:eastAsia="仿宋"/>
                <w:szCs w:val="21"/>
              </w:rPr>
              <w:t>4.459583</w:t>
            </w:r>
          </w:p>
        </w:tc>
        <w:tc>
          <w:tcPr>
            <w:tcW w:w="1107" w:type="pct"/>
            <w:noWrap/>
            <w:vAlign w:val="center"/>
          </w:tcPr>
          <w:p w14:paraId="70AEFD11">
            <w:pPr>
              <w:widowControl/>
              <w:jc w:val="center"/>
              <w:rPr>
                <w:rFonts w:ascii="Times New Roman" w:eastAsia="仿宋"/>
                <w:szCs w:val="21"/>
              </w:rPr>
            </w:pPr>
            <w:r>
              <w:rPr>
                <w:rFonts w:hint="eastAsia" w:ascii="Times New Roman" w:eastAsia="仿宋"/>
                <w:szCs w:val="21"/>
              </w:rPr>
              <w:t>240.7937</w:t>
            </w:r>
          </w:p>
        </w:tc>
      </w:tr>
      <w:tr w14:paraId="2A06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7448C0D">
            <w:pPr>
              <w:widowControl/>
              <w:jc w:val="center"/>
              <w:rPr>
                <w:rFonts w:ascii="Times New Roman" w:eastAsia="仿宋"/>
                <w:szCs w:val="21"/>
              </w:rPr>
            </w:pPr>
            <w:r>
              <w:rPr>
                <w:rFonts w:ascii="Times New Roman" w:eastAsia="仿宋"/>
                <w:szCs w:val="21"/>
              </w:rPr>
              <w:t>32</w:t>
            </w:r>
          </w:p>
        </w:tc>
        <w:tc>
          <w:tcPr>
            <w:tcW w:w="1108" w:type="pct"/>
            <w:noWrap/>
          </w:tcPr>
          <w:p w14:paraId="2F6EA1FF">
            <w:pPr>
              <w:jc w:val="center"/>
            </w:pPr>
            <w:r>
              <w:rPr>
                <w:rFonts w:ascii="Times New Roman" w:eastAsia="仿宋"/>
                <w:szCs w:val="21"/>
              </w:rPr>
              <w:t>0</w:t>
            </w:r>
          </w:p>
        </w:tc>
        <w:tc>
          <w:tcPr>
            <w:tcW w:w="1108" w:type="pct"/>
            <w:noWrap/>
            <w:vAlign w:val="center"/>
          </w:tcPr>
          <w:p w14:paraId="1745404C">
            <w:pPr>
              <w:widowControl/>
              <w:jc w:val="center"/>
              <w:rPr>
                <w:rFonts w:ascii="Times New Roman" w:eastAsia="仿宋"/>
                <w:szCs w:val="21"/>
              </w:rPr>
            </w:pPr>
            <w:r>
              <w:rPr>
                <w:rFonts w:hint="eastAsia" w:ascii="Times New Roman" w:eastAsia="仿宋"/>
                <w:szCs w:val="21"/>
              </w:rPr>
              <w:t>3.181527</w:t>
            </w:r>
          </w:p>
        </w:tc>
        <w:tc>
          <w:tcPr>
            <w:tcW w:w="1107" w:type="pct"/>
            <w:noWrap/>
            <w:vAlign w:val="center"/>
          </w:tcPr>
          <w:p w14:paraId="72A8B758">
            <w:pPr>
              <w:widowControl/>
              <w:jc w:val="center"/>
              <w:rPr>
                <w:rFonts w:ascii="Times New Roman" w:eastAsia="仿宋"/>
                <w:szCs w:val="21"/>
              </w:rPr>
            </w:pPr>
            <w:r>
              <w:rPr>
                <w:rFonts w:hint="eastAsia" w:ascii="Times New Roman" w:eastAsia="仿宋"/>
                <w:szCs w:val="21"/>
              </w:rPr>
              <w:t>217.0998</w:t>
            </w:r>
          </w:p>
        </w:tc>
      </w:tr>
      <w:tr w14:paraId="5665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EEEA672">
            <w:pPr>
              <w:widowControl/>
              <w:jc w:val="center"/>
              <w:rPr>
                <w:rFonts w:ascii="Times New Roman" w:eastAsia="仿宋"/>
                <w:szCs w:val="21"/>
              </w:rPr>
            </w:pPr>
            <w:r>
              <w:rPr>
                <w:rFonts w:ascii="Times New Roman" w:eastAsia="仿宋"/>
                <w:szCs w:val="21"/>
              </w:rPr>
              <w:t>33</w:t>
            </w:r>
          </w:p>
        </w:tc>
        <w:tc>
          <w:tcPr>
            <w:tcW w:w="1108" w:type="pct"/>
            <w:noWrap/>
          </w:tcPr>
          <w:p w14:paraId="478FF6B0">
            <w:pPr>
              <w:jc w:val="center"/>
            </w:pPr>
            <w:r>
              <w:rPr>
                <w:rFonts w:ascii="Times New Roman" w:eastAsia="仿宋"/>
                <w:szCs w:val="21"/>
              </w:rPr>
              <w:t>0</w:t>
            </w:r>
          </w:p>
        </w:tc>
        <w:tc>
          <w:tcPr>
            <w:tcW w:w="1108" w:type="pct"/>
            <w:noWrap/>
            <w:vAlign w:val="center"/>
          </w:tcPr>
          <w:p w14:paraId="1038B966">
            <w:pPr>
              <w:widowControl/>
              <w:jc w:val="center"/>
              <w:rPr>
                <w:rFonts w:ascii="Times New Roman" w:eastAsia="仿宋"/>
                <w:szCs w:val="21"/>
              </w:rPr>
            </w:pPr>
            <w:r>
              <w:rPr>
                <w:rFonts w:hint="eastAsia" w:ascii="Times New Roman" w:eastAsia="仿宋"/>
                <w:szCs w:val="21"/>
              </w:rPr>
              <w:t>2.248615</w:t>
            </w:r>
          </w:p>
        </w:tc>
        <w:tc>
          <w:tcPr>
            <w:tcW w:w="1107" w:type="pct"/>
            <w:noWrap/>
            <w:vAlign w:val="center"/>
          </w:tcPr>
          <w:p w14:paraId="7E3D52BB">
            <w:pPr>
              <w:widowControl/>
              <w:jc w:val="center"/>
              <w:rPr>
                <w:rFonts w:ascii="Times New Roman" w:eastAsia="仿宋"/>
                <w:szCs w:val="21"/>
              </w:rPr>
            </w:pPr>
            <w:r>
              <w:rPr>
                <w:rFonts w:hint="eastAsia" w:ascii="Times New Roman" w:eastAsia="仿宋"/>
                <w:szCs w:val="21"/>
              </w:rPr>
              <w:t>195.2747</w:t>
            </w:r>
          </w:p>
        </w:tc>
      </w:tr>
      <w:tr w14:paraId="5D6B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E1BB7C9">
            <w:pPr>
              <w:widowControl/>
              <w:jc w:val="center"/>
              <w:rPr>
                <w:rFonts w:ascii="Times New Roman" w:eastAsia="仿宋"/>
                <w:szCs w:val="21"/>
              </w:rPr>
            </w:pPr>
            <w:r>
              <w:rPr>
                <w:rFonts w:ascii="Times New Roman" w:eastAsia="仿宋"/>
                <w:szCs w:val="21"/>
              </w:rPr>
              <w:t>34</w:t>
            </w:r>
          </w:p>
        </w:tc>
        <w:tc>
          <w:tcPr>
            <w:tcW w:w="1108" w:type="pct"/>
            <w:noWrap/>
          </w:tcPr>
          <w:p w14:paraId="0E7D0377">
            <w:pPr>
              <w:jc w:val="center"/>
            </w:pPr>
            <w:r>
              <w:rPr>
                <w:rFonts w:ascii="Times New Roman" w:eastAsia="仿宋"/>
                <w:szCs w:val="21"/>
              </w:rPr>
              <w:t>0</w:t>
            </w:r>
          </w:p>
        </w:tc>
        <w:tc>
          <w:tcPr>
            <w:tcW w:w="1108" w:type="pct"/>
            <w:noWrap/>
            <w:vAlign w:val="center"/>
          </w:tcPr>
          <w:p w14:paraId="632FCADE">
            <w:pPr>
              <w:widowControl/>
              <w:jc w:val="center"/>
              <w:rPr>
                <w:rFonts w:ascii="Times New Roman" w:eastAsia="仿宋"/>
                <w:szCs w:val="21"/>
              </w:rPr>
            </w:pPr>
            <w:r>
              <w:rPr>
                <w:rFonts w:hint="eastAsia" w:ascii="Times New Roman" w:eastAsia="仿宋"/>
                <w:szCs w:val="21"/>
              </w:rPr>
              <w:t>1.57442</w:t>
            </w:r>
          </w:p>
        </w:tc>
        <w:tc>
          <w:tcPr>
            <w:tcW w:w="1107" w:type="pct"/>
            <w:noWrap/>
            <w:vAlign w:val="center"/>
          </w:tcPr>
          <w:p w14:paraId="3BDAE421">
            <w:pPr>
              <w:widowControl/>
              <w:jc w:val="center"/>
              <w:rPr>
                <w:rFonts w:ascii="Times New Roman" w:eastAsia="仿宋"/>
                <w:szCs w:val="21"/>
              </w:rPr>
            </w:pPr>
            <w:r>
              <w:rPr>
                <w:rFonts w:hint="eastAsia" w:ascii="Times New Roman" w:eastAsia="仿宋"/>
                <w:szCs w:val="21"/>
              </w:rPr>
              <w:t>175.2268</w:t>
            </w:r>
          </w:p>
        </w:tc>
      </w:tr>
      <w:tr w14:paraId="7F01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D95F089">
            <w:pPr>
              <w:widowControl/>
              <w:jc w:val="center"/>
              <w:rPr>
                <w:rFonts w:ascii="Times New Roman" w:eastAsia="仿宋"/>
                <w:szCs w:val="21"/>
              </w:rPr>
            </w:pPr>
            <w:r>
              <w:rPr>
                <w:rFonts w:ascii="Times New Roman" w:eastAsia="仿宋"/>
                <w:szCs w:val="21"/>
              </w:rPr>
              <w:t>35</w:t>
            </w:r>
          </w:p>
        </w:tc>
        <w:tc>
          <w:tcPr>
            <w:tcW w:w="1108" w:type="pct"/>
            <w:noWrap/>
          </w:tcPr>
          <w:p w14:paraId="3325B93F">
            <w:pPr>
              <w:jc w:val="center"/>
            </w:pPr>
            <w:r>
              <w:rPr>
                <w:rFonts w:ascii="Times New Roman" w:eastAsia="仿宋"/>
                <w:szCs w:val="21"/>
              </w:rPr>
              <w:t>0</w:t>
            </w:r>
          </w:p>
        </w:tc>
        <w:tc>
          <w:tcPr>
            <w:tcW w:w="1108" w:type="pct"/>
            <w:noWrap/>
            <w:vAlign w:val="center"/>
          </w:tcPr>
          <w:p w14:paraId="6043CE93">
            <w:pPr>
              <w:widowControl/>
              <w:jc w:val="center"/>
              <w:rPr>
                <w:rFonts w:ascii="Times New Roman" w:eastAsia="仿宋"/>
                <w:szCs w:val="21"/>
              </w:rPr>
            </w:pPr>
            <w:r>
              <w:rPr>
                <w:rFonts w:hint="eastAsia" w:ascii="Times New Roman" w:eastAsia="仿宋"/>
                <w:szCs w:val="21"/>
              </w:rPr>
              <w:t>1.092046</w:t>
            </w:r>
          </w:p>
        </w:tc>
        <w:tc>
          <w:tcPr>
            <w:tcW w:w="1107" w:type="pct"/>
            <w:noWrap/>
            <w:vAlign w:val="center"/>
          </w:tcPr>
          <w:p w14:paraId="489E1CFD">
            <w:pPr>
              <w:widowControl/>
              <w:jc w:val="center"/>
              <w:rPr>
                <w:rFonts w:ascii="Times New Roman" w:eastAsia="仿宋"/>
                <w:szCs w:val="21"/>
              </w:rPr>
            </w:pPr>
            <w:r>
              <w:rPr>
                <w:rFonts w:hint="eastAsia" w:ascii="Times New Roman" w:eastAsia="仿宋"/>
                <w:szCs w:val="21"/>
              </w:rPr>
              <w:t>156.8623</w:t>
            </w:r>
          </w:p>
        </w:tc>
      </w:tr>
      <w:tr w14:paraId="21EA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69F23D4">
            <w:pPr>
              <w:widowControl/>
              <w:jc w:val="center"/>
              <w:rPr>
                <w:rFonts w:ascii="Times New Roman" w:eastAsia="仿宋"/>
                <w:szCs w:val="21"/>
              </w:rPr>
            </w:pPr>
            <w:r>
              <w:rPr>
                <w:rFonts w:ascii="Times New Roman" w:eastAsia="仿宋"/>
                <w:szCs w:val="21"/>
              </w:rPr>
              <w:t>36</w:t>
            </w:r>
          </w:p>
        </w:tc>
        <w:tc>
          <w:tcPr>
            <w:tcW w:w="1108" w:type="pct"/>
            <w:noWrap/>
          </w:tcPr>
          <w:p w14:paraId="548C6AD6">
            <w:pPr>
              <w:jc w:val="center"/>
            </w:pPr>
            <w:r>
              <w:rPr>
                <w:rFonts w:ascii="Times New Roman" w:eastAsia="仿宋"/>
                <w:szCs w:val="21"/>
              </w:rPr>
              <w:t>0</w:t>
            </w:r>
          </w:p>
        </w:tc>
        <w:tc>
          <w:tcPr>
            <w:tcW w:w="1108" w:type="pct"/>
            <w:noWrap/>
            <w:vAlign w:val="center"/>
          </w:tcPr>
          <w:p w14:paraId="684B6742">
            <w:pPr>
              <w:widowControl/>
              <w:jc w:val="center"/>
              <w:rPr>
                <w:rFonts w:ascii="Times New Roman" w:eastAsia="仿宋"/>
                <w:szCs w:val="21"/>
              </w:rPr>
            </w:pPr>
            <w:r>
              <w:rPr>
                <w:rFonts w:hint="eastAsia" w:ascii="Times New Roman" w:eastAsia="仿宋"/>
                <w:szCs w:val="21"/>
              </w:rPr>
              <w:t>0.750354</w:t>
            </w:r>
          </w:p>
        </w:tc>
        <w:tc>
          <w:tcPr>
            <w:tcW w:w="1107" w:type="pct"/>
            <w:noWrap/>
            <w:vAlign w:val="center"/>
          </w:tcPr>
          <w:p w14:paraId="2A352F3C">
            <w:pPr>
              <w:widowControl/>
              <w:jc w:val="center"/>
              <w:rPr>
                <w:rFonts w:ascii="Times New Roman" w:eastAsia="仿宋"/>
                <w:szCs w:val="21"/>
              </w:rPr>
            </w:pPr>
            <w:r>
              <w:rPr>
                <w:rFonts w:hint="eastAsia" w:ascii="Times New Roman" w:eastAsia="仿宋"/>
                <w:szCs w:val="21"/>
              </w:rPr>
              <w:t>140.0864</w:t>
            </w:r>
          </w:p>
        </w:tc>
      </w:tr>
      <w:tr w14:paraId="2E22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4597892">
            <w:pPr>
              <w:widowControl/>
              <w:jc w:val="center"/>
              <w:rPr>
                <w:rFonts w:ascii="Times New Roman" w:eastAsia="仿宋"/>
                <w:szCs w:val="21"/>
              </w:rPr>
            </w:pPr>
            <w:r>
              <w:rPr>
                <w:rFonts w:ascii="Times New Roman" w:eastAsia="仿宋"/>
                <w:szCs w:val="21"/>
              </w:rPr>
              <w:t>37</w:t>
            </w:r>
          </w:p>
        </w:tc>
        <w:tc>
          <w:tcPr>
            <w:tcW w:w="1108" w:type="pct"/>
            <w:noWrap/>
          </w:tcPr>
          <w:p w14:paraId="41AF3487">
            <w:pPr>
              <w:jc w:val="center"/>
            </w:pPr>
            <w:r>
              <w:rPr>
                <w:rFonts w:ascii="Times New Roman" w:eastAsia="仿宋"/>
                <w:szCs w:val="21"/>
              </w:rPr>
              <w:t>0</w:t>
            </w:r>
          </w:p>
        </w:tc>
        <w:tc>
          <w:tcPr>
            <w:tcW w:w="1108" w:type="pct"/>
            <w:noWrap/>
            <w:vAlign w:val="center"/>
          </w:tcPr>
          <w:p w14:paraId="006B8315">
            <w:pPr>
              <w:widowControl/>
              <w:jc w:val="center"/>
              <w:rPr>
                <w:rFonts w:ascii="Times New Roman" w:eastAsia="仿宋"/>
                <w:szCs w:val="21"/>
              </w:rPr>
            </w:pPr>
            <w:r>
              <w:rPr>
                <w:rFonts w:hint="eastAsia" w:ascii="Times New Roman" w:eastAsia="仿宋"/>
                <w:szCs w:val="21"/>
              </w:rPr>
              <w:t>0.510723</w:t>
            </w:r>
          </w:p>
        </w:tc>
        <w:tc>
          <w:tcPr>
            <w:tcW w:w="1107" w:type="pct"/>
            <w:noWrap/>
            <w:vAlign w:val="center"/>
          </w:tcPr>
          <w:p w14:paraId="783F0CC4">
            <w:pPr>
              <w:widowControl/>
              <w:jc w:val="center"/>
              <w:rPr>
                <w:rFonts w:ascii="Times New Roman" w:eastAsia="仿宋"/>
                <w:szCs w:val="21"/>
              </w:rPr>
            </w:pPr>
            <w:r>
              <w:rPr>
                <w:rFonts w:hint="eastAsia" w:ascii="Times New Roman" w:eastAsia="仿宋"/>
                <w:szCs w:val="21"/>
              </w:rPr>
              <w:t>124.804</w:t>
            </w:r>
          </w:p>
        </w:tc>
      </w:tr>
      <w:tr w14:paraId="681F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75B2639">
            <w:pPr>
              <w:widowControl/>
              <w:jc w:val="center"/>
              <w:rPr>
                <w:rFonts w:ascii="Times New Roman" w:eastAsia="仿宋"/>
                <w:szCs w:val="21"/>
              </w:rPr>
            </w:pPr>
            <w:r>
              <w:rPr>
                <w:rFonts w:ascii="Times New Roman" w:eastAsia="仿宋"/>
                <w:szCs w:val="21"/>
              </w:rPr>
              <w:t>38</w:t>
            </w:r>
          </w:p>
        </w:tc>
        <w:tc>
          <w:tcPr>
            <w:tcW w:w="1108" w:type="pct"/>
            <w:noWrap/>
          </w:tcPr>
          <w:p w14:paraId="18D0B834">
            <w:pPr>
              <w:jc w:val="center"/>
            </w:pPr>
            <w:r>
              <w:rPr>
                <w:rFonts w:ascii="Times New Roman" w:eastAsia="仿宋"/>
                <w:szCs w:val="21"/>
              </w:rPr>
              <w:t>0</w:t>
            </w:r>
          </w:p>
        </w:tc>
        <w:tc>
          <w:tcPr>
            <w:tcW w:w="1108" w:type="pct"/>
            <w:noWrap/>
            <w:vAlign w:val="center"/>
          </w:tcPr>
          <w:p w14:paraId="5882B225">
            <w:pPr>
              <w:widowControl/>
              <w:jc w:val="center"/>
              <w:rPr>
                <w:rFonts w:ascii="Times New Roman" w:eastAsia="仿宋"/>
                <w:szCs w:val="21"/>
              </w:rPr>
            </w:pPr>
            <w:r>
              <w:rPr>
                <w:rFonts w:hint="eastAsia" w:ascii="Times New Roman" w:eastAsia="仿宋"/>
                <w:szCs w:val="21"/>
              </w:rPr>
              <w:t>0.344342</w:t>
            </w:r>
          </w:p>
        </w:tc>
        <w:tc>
          <w:tcPr>
            <w:tcW w:w="1107" w:type="pct"/>
            <w:noWrap/>
            <w:vAlign w:val="center"/>
          </w:tcPr>
          <w:p w14:paraId="000A02DF">
            <w:pPr>
              <w:widowControl/>
              <w:jc w:val="center"/>
              <w:rPr>
                <w:rFonts w:ascii="Times New Roman" w:eastAsia="仿宋"/>
                <w:szCs w:val="21"/>
              </w:rPr>
            </w:pPr>
            <w:r>
              <w:rPr>
                <w:rFonts w:hint="eastAsia" w:ascii="Times New Roman" w:eastAsia="仿宋"/>
                <w:szCs w:val="21"/>
              </w:rPr>
              <w:t>110.9207</w:t>
            </w:r>
          </w:p>
        </w:tc>
      </w:tr>
      <w:tr w14:paraId="7172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F5A726A">
            <w:pPr>
              <w:widowControl/>
              <w:jc w:val="center"/>
              <w:rPr>
                <w:rFonts w:ascii="Times New Roman" w:eastAsia="仿宋"/>
                <w:szCs w:val="21"/>
              </w:rPr>
            </w:pPr>
            <w:r>
              <w:rPr>
                <w:rFonts w:ascii="Times New Roman" w:eastAsia="仿宋"/>
                <w:szCs w:val="21"/>
              </w:rPr>
              <w:t>39</w:t>
            </w:r>
          </w:p>
        </w:tc>
        <w:tc>
          <w:tcPr>
            <w:tcW w:w="1108" w:type="pct"/>
            <w:noWrap/>
          </w:tcPr>
          <w:p w14:paraId="085A8D76">
            <w:pPr>
              <w:jc w:val="center"/>
            </w:pPr>
            <w:r>
              <w:rPr>
                <w:rFonts w:ascii="Times New Roman" w:eastAsia="仿宋"/>
                <w:szCs w:val="21"/>
              </w:rPr>
              <w:t>0</w:t>
            </w:r>
          </w:p>
        </w:tc>
        <w:tc>
          <w:tcPr>
            <w:tcW w:w="1108" w:type="pct"/>
            <w:noWrap/>
            <w:vAlign w:val="center"/>
          </w:tcPr>
          <w:p w14:paraId="0B0BD912">
            <w:pPr>
              <w:widowControl/>
              <w:jc w:val="center"/>
              <w:rPr>
                <w:rFonts w:ascii="Times New Roman" w:eastAsia="仿宋"/>
                <w:szCs w:val="21"/>
              </w:rPr>
            </w:pPr>
            <w:r>
              <w:rPr>
                <w:rFonts w:hint="eastAsia" w:ascii="Times New Roman" w:eastAsia="仿宋"/>
                <w:szCs w:val="21"/>
              </w:rPr>
              <w:t>0.22997</w:t>
            </w:r>
          </w:p>
        </w:tc>
        <w:tc>
          <w:tcPr>
            <w:tcW w:w="1107" w:type="pct"/>
            <w:noWrap/>
            <w:vAlign w:val="center"/>
          </w:tcPr>
          <w:p w14:paraId="7D521E20">
            <w:pPr>
              <w:widowControl/>
              <w:jc w:val="center"/>
              <w:rPr>
                <w:rFonts w:ascii="Times New Roman" w:eastAsia="仿宋"/>
                <w:szCs w:val="21"/>
              </w:rPr>
            </w:pPr>
            <w:r>
              <w:rPr>
                <w:rFonts w:hint="eastAsia" w:ascii="Times New Roman" w:eastAsia="仿宋"/>
                <w:szCs w:val="21"/>
              </w:rPr>
              <w:t>98.34306</w:t>
            </w:r>
          </w:p>
        </w:tc>
      </w:tr>
      <w:tr w14:paraId="41A7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D5E0866">
            <w:pPr>
              <w:widowControl/>
              <w:jc w:val="center"/>
              <w:rPr>
                <w:rFonts w:ascii="Times New Roman" w:eastAsia="仿宋"/>
                <w:szCs w:val="21"/>
              </w:rPr>
            </w:pPr>
            <w:r>
              <w:rPr>
                <w:rFonts w:ascii="Times New Roman" w:eastAsia="仿宋"/>
                <w:szCs w:val="21"/>
              </w:rPr>
              <w:t>40</w:t>
            </w:r>
          </w:p>
        </w:tc>
        <w:tc>
          <w:tcPr>
            <w:tcW w:w="1108" w:type="pct"/>
            <w:noWrap/>
          </w:tcPr>
          <w:p w14:paraId="30BE8219">
            <w:pPr>
              <w:jc w:val="center"/>
            </w:pPr>
            <w:r>
              <w:rPr>
                <w:rFonts w:ascii="Times New Roman" w:eastAsia="仿宋"/>
                <w:szCs w:val="21"/>
              </w:rPr>
              <w:t>0</w:t>
            </w:r>
          </w:p>
        </w:tc>
        <w:tc>
          <w:tcPr>
            <w:tcW w:w="1108" w:type="pct"/>
            <w:noWrap/>
            <w:vAlign w:val="center"/>
          </w:tcPr>
          <w:p w14:paraId="43EC5630">
            <w:pPr>
              <w:widowControl/>
              <w:jc w:val="center"/>
              <w:rPr>
                <w:rFonts w:ascii="Times New Roman" w:eastAsia="仿宋"/>
                <w:szCs w:val="21"/>
              </w:rPr>
            </w:pPr>
            <w:r>
              <w:rPr>
                <w:rFonts w:hint="eastAsia" w:ascii="Times New Roman" w:eastAsia="仿宋"/>
                <w:szCs w:val="21"/>
              </w:rPr>
              <w:t>0.152132</w:t>
            </w:r>
          </w:p>
        </w:tc>
        <w:tc>
          <w:tcPr>
            <w:tcW w:w="1107" w:type="pct"/>
            <w:noWrap/>
            <w:vAlign w:val="center"/>
          </w:tcPr>
          <w:p w14:paraId="7FC4C259">
            <w:pPr>
              <w:widowControl/>
              <w:jc w:val="center"/>
              <w:rPr>
                <w:rFonts w:ascii="Times New Roman" w:eastAsia="仿宋"/>
                <w:szCs w:val="21"/>
              </w:rPr>
            </w:pPr>
            <w:r>
              <w:rPr>
                <w:rFonts w:hint="eastAsia" w:ascii="Times New Roman" w:eastAsia="仿宋"/>
                <w:szCs w:val="21"/>
              </w:rPr>
              <w:t>86.97986</w:t>
            </w:r>
          </w:p>
        </w:tc>
      </w:tr>
      <w:tr w14:paraId="3D5A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DF5C899">
            <w:pPr>
              <w:widowControl/>
              <w:jc w:val="center"/>
              <w:rPr>
                <w:rFonts w:ascii="Times New Roman" w:eastAsia="仿宋"/>
                <w:szCs w:val="21"/>
              </w:rPr>
            </w:pPr>
            <w:r>
              <w:rPr>
                <w:rFonts w:ascii="Times New Roman" w:eastAsia="仿宋"/>
                <w:szCs w:val="21"/>
              </w:rPr>
              <w:t>41</w:t>
            </w:r>
          </w:p>
        </w:tc>
        <w:tc>
          <w:tcPr>
            <w:tcW w:w="1108" w:type="pct"/>
            <w:noWrap/>
          </w:tcPr>
          <w:p w14:paraId="21758B94">
            <w:pPr>
              <w:jc w:val="center"/>
            </w:pPr>
            <w:r>
              <w:rPr>
                <w:rFonts w:ascii="Times New Roman" w:eastAsia="仿宋"/>
                <w:szCs w:val="21"/>
              </w:rPr>
              <w:t>0</w:t>
            </w:r>
          </w:p>
        </w:tc>
        <w:tc>
          <w:tcPr>
            <w:tcW w:w="1108" w:type="pct"/>
            <w:noWrap/>
            <w:vAlign w:val="center"/>
          </w:tcPr>
          <w:p w14:paraId="705D6F1F">
            <w:pPr>
              <w:widowControl/>
              <w:jc w:val="center"/>
              <w:rPr>
                <w:rFonts w:ascii="Times New Roman" w:eastAsia="仿宋"/>
                <w:szCs w:val="21"/>
              </w:rPr>
            </w:pPr>
            <w:r>
              <w:rPr>
                <w:rFonts w:hint="eastAsia" w:ascii="Times New Roman" w:eastAsia="仿宋"/>
                <w:szCs w:val="21"/>
              </w:rPr>
              <w:t>0.099685</w:t>
            </w:r>
          </w:p>
        </w:tc>
        <w:tc>
          <w:tcPr>
            <w:tcW w:w="1107" w:type="pct"/>
            <w:noWrap/>
            <w:vAlign w:val="center"/>
          </w:tcPr>
          <w:p w14:paraId="18A72CC3">
            <w:pPr>
              <w:widowControl/>
              <w:jc w:val="center"/>
              <w:rPr>
                <w:rFonts w:ascii="Times New Roman" w:eastAsia="仿宋"/>
                <w:szCs w:val="21"/>
              </w:rPr>
            </w:pPr>
            <w:r>
              <w:rPr>
                <w:rFonts w:hint="eastAsia" w:ascii="Times New Roman" w:eastAsia="仿宋"/>
                <w:szCs w:val="21"/>
              </w:rPr>
              <w:t>76.74213</w:t>
            </w:r>
          </w:p>
        </w:tc>
      </w:tr>
      <w:tr w14:paraId="6726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AE2E03A">
            <w:pPr>
              <w:widowControl/>
              <w:jc w:val="center"/>
              <w:rPr>
                <w:rFonts w:ascii="Times New Roman" w:eastAsia="仿宋"/>
                <w:szCs w:val="21"/>
              </w:rPr>
            </w:pPr>
            <w:r>
              <w:rPr>
                <w:rFonts w:ascii="Times New Roman" w:eastAsia="仿宋"/>
                <w:szCs w:val="21"/>
              </w:rPr>
              <w:t>42</w:t>
            </w:r>
          </w:p>
        </w:tc>
        <w:tc>
          <w:tcPr>
            <w:tcW w:w="1108" w:type="pct"/>
            <w:noWrap/>
          </w:tcPr>
          <w:p w14:paraId="2D20417E">
            <w:pPr>
              <w:jc w:val="center"/>
            </w:pPr>
            <w:r>
              <w:rPr>
                <w:rFonts w:ascii="Times New Roman" w:eastAsia="仿宋"/>
                <w:szCs w:val="21"/>
              </w:rPr>
              <w:t>0</w:t>
            </w:r>
          </w:p>
        </w:tc>
        <w:tc>
          <w:tcPr>
            <w:tcW w:w="1108" w:type="pct"/>
            <w:noWrap/>
            <w:vAlign w:val="center"/>
          </w:tcPr>
          <w:p w14:paraId="0A4DD115">
            <w:pPr>
              <w:widowControl/>
              <w:jc w:val="center"/>
              <w:rPr>
                <w:rFonts w:ascii="Times New Roman" w:eastAsia="仿宋"/>
                <w:szCs w:val="21"/>
              </w:rPr>
            </w:pPr>
            <w:r>
              <w:rPr>
                <w:rFonts w:hint="eastAsia" w:ascii="Times New Roman" w:eastAsia="仿宋"/>
                <w:szCs w:val="21"/>
              </w:rPr>
              <w:t>0.064698</w:t>
            </w:r>
          </w:p>
        </w:tc>
        <w:tc>
          <w:tcPr>
            <w:tcW w:w="1107" w:type="pct"/>
            <w:noWrap/>
            <w:vAlign w:val="center"/>
          </w:tcPr>
          <w:p w14:paraId="486DE1CB">
            <w:pPr>
              <w:widowControl/>
              <w:jc w:val="center"/>
              <w:rPr>
                <w:rFonts w:ascii="Times New Roman" w:eastAsia="仿宋"/>
                <w:szCs w:val="21"/>
              </w:rPr>
            </w:pPr>
            <w:r>
              <w:rPr>
                <w:rFonts w:hint="eastAsia" w:ascii="Times New Roman" w:eastAsia="仿宋"/>
                <w:szCs w:val="21"/>
              </w:rPr>
              <w:t>67.54385</w:t>
            </w:r>
          </w:p>
        </w:tc>
      </w:tr>
      <w:tr w14:paraId="16C4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704D163">
            <w:pPr>
              <w:widowControl/>
              <w:jc w:val="center"/>
              <w:rPr>
                <w:rFonts w:ascii="Times New Roman" w:eastAsia="仿宋"/>
                <w:szCs w:val="21"/>
              </w:rPr>
            </w:pPr>
            <w:r>
              <w:rPr>
                <w:rFonts w:ascii="Times New Roman" w:eastAsia="仿宋"/>
                <w:szCs w:val="21"/>
              </w:rPr>
              <w:t>43</w:t>
            </w:r>
          </w:p>
        </w:tc>
        <w:tc>
          <w:tcPr>
            <w:tcW w:w="1108" w:type="pct"/>
            <w:noWrap/>
          </w:tcPr>
          <w:p w14:paraId="2BBB43AE">
            <w:pPr>
              <w:jc w:val="center"/>
            </w:pPr>
            <w:r>
              <w:rPr>
                <w:rFonts w:ascii="Times New Roman" w:eastAsia="仿宋"/>
                <w:szCs w:val="21"/>
              </w:rPr>
              <w:t>0</w:t>
            </w:r>
          </w:p>
        </w:tc>
        <w:tc>
          <w:tcPr>
            <w:tcW w:w="1108" w:type="pct"/>
            <w:noWrap/>
            <w:vAlign w:val="center"/>
          </w:tcPr>
          <w:p w14:paraId="416F0327">
            <w:pPr>
              <w:widowControl/>
              <w:jc w:val="center"/>
              <w:rPr>
                <w:rFonts w:ascii="Times New Roman" w:eastAsia="仿宋"/>
                <w:szCs w:val="21"/>
              </w:rPr>
            </w:pPr>
            <w:r>
              <w:rPr>
                <w:rFonts w:hint="eastAsia" w:ascii="Times New Roman" w:eastAsia="仿宋"/>
                <w:szCs w:val="21"/>
              </w:rPr>
              <w:t>0.041591</w:t>
            </w:r>
          </w:p>
        </w:tc>
        <w:tc>
          <w:tcPr>
            <w:tcW w:w="1107" w:type="pct"/>
            <w:noWrap/>
            <w:vAlign w:val="center"/>
          </w:tcPr>
          <w:p w14:paraId="773B06CF">
            <w:pPr>
              <w:widowControl/>
              <w:jc w:val="center"/>
              <w:rPr>
                <w:rFonts w:ascii="Times New Roman" w:eastAsia="仿宋"/>
                <w:szCs w:val="21"/>
              </w:rPr>
            </w:pPr>
            <w:r>
              <w:rPr>
                <w:rFonts w:hint="eastAsia" w:ascii="Times New Roman" w:eastAsia="仿宋"/>
                <w:szCs w:val="21"/>
              </w:rPr>
              <w:t>59.30225</w:t>
            </w:r>
          </w:p>
        </w:tc>
      </w:tr>
      <w:tr w14:paraId="67AD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2745F1D">
            <w:pPr>
              <w:widowControl/>
              <w:jc w:val="center"/>
              <w:rPr>
                <w:rFonts w:ascii="Times New Roman" w:eastAsia="仿宋"/>
                <w:szCs w:val="21"/>
              </w:rPr>
            </w:pPr>
            <w:r>
              <w:rPr>
                <w:rFonts w:ascii="Times New Roman" w:eastAsia="仿宋"/>
                <w:szCs w:val="21"/>
              </w:rPr>
              <w:t>44</w:t>
            </w:r>
          </w:p>
        </w:tc>
        <w:tc>
          <w:tcPr>
            <w:tcW w:w="1108" w:type="pct"/>
            <w:noWrap/>
          </w:tcPr>
          <w:p w14:paraId="7F4597FF">
            <w:pPr>
              <w:jc w:val="center"/>
            </w:pPr>
            <w:r>
              <w:rPr>
                <w:rFonts w:ascii="Times New Roman" w:eastAsia="仿宋"/>
                <w:szCs w:val="21"/>
              </w:rPr>
              <w:t>0</w:t>
            </w:r>
          </w:p>
        </w:tc>
        <w:tc>
          <w:tcPr>
            <w:tcW w:w="1108" w:type="pct"/>
            <w:noWrap/>
            <w:vAlign w:val="center"/>
          </w:tcPr>
          <w:p w14:paraId="7936B3BC">
            <w:pPr>
              <w:widowControl/>
              <w:jc w:val="center"/>
              <w:rPr>
                <w:rFonts w:ascii="Times New Roman" w:eastAsia="仿宋"/>
                <w:szCs w:val="21"/>
              </w:rPr>
            </w:pPr>
            <w:r>
              <w:rPr>
                <w:rFonts w:hint="eastAsia" w:ascii="Times New Roman" w:eastAsia="仿宋"/>
                <w:szCs w:val="21"/>
              </w:rPr>
              <w:t>0.026481</w:t>
            </w:r>
          </w:p>
        </w:tc>
        <w:tc>
          <w:tcPr>
            <w:tcW w:w="1107" w:type="pct"/>
            <w:noWrap/>
            <w:vAlign w:val="center"/>
          </w:tcPr>
          <w:p w14:paraId="611768FA">
            <w:pPr>
              <w:widowControl/>
              <w:jc w:val="center"/>
              <w:rPr>
                <w:rFonts w:ascii="Times New Roman" w:eastAsia="仿宋"/>
                <w:szCs w:val="21"/>
              </w:rPr>
            </w:pPr>
            <w:r>
              <w:rPr>
                <w:rFonts w:hint="eastAsia" w:ascii="Times New Roman" w:eastAsia="仿宋"/>
                <w:szCs w:val="21"/>
              </w:rPr>
              <w:t>51.93818</w:t>
            </w:r>
          </w:p>
        </w:tc>
      </w:tr>
      <w:tr w14:paraId="71EE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982D796">
            <w:pPr>
              <w:widowControl/>
              <w:jc w:val="center"/>
              <w:rPr>
                <w:rFonts w:ascii="Times New Roman" w:eastAsia="仿宋"/>
                <w:szCs w:val="21"/>
              </w:rPr>
            </w:pPr>
            <w:r>
              <w:rPr>
                <w:rFonts w:ascii="Times New Roman" w:eastAsia="仿宋"/>
                <w:szCs w:val="21"/>
              </w:rPr>
              <w:t>45</w:t>
            </w:r>
          </w:p>
        </w:tc>
        <w:tc>
          <w:tcPr>
            <w:tcW w:w="1108" w:type="pct"/>
            <w:noWrap/>
          </w:tcPr>
          <w:p w14:paraId="549D3CA6">
            <w:pPr>
              <w:jc w:val="center"/>
            </w:pPr>
            <w:r>
              <w:rPr>
                <w:rFonts w:ascii="Times New Roman" w:eastAsia="仿宋"/>
                <w:szCs w:val="21"/>
              </w:rPr>
              <w:t>0</w:t>
            </w:r>
          </w:p>
        </w:tc>
        <w:tc>
          <w:tcPr>
            <w:tcW w:w="1108" w:type="pct"/>
            <w:noWrap/>
            <w:vAlign w:val="center"/>
          </w:tcPr>
          <w:p w14:paraId="623FB876">
            <w:pPr>
              <w:widowControl/>
              <w:jc w:val="center"/>
              <w:rPr>
                <w:rFonts w:ascii="Times New Roman" w:eastAsia="仿宋"/>
                <w:szCs w:val="21"/>
              </w:rPr>
            </w:pPr>
            <w:r>
              <w:rPr>
                <w:rFonts w:hint="eastAsia" w:ascii="Times New Roman" w:eastAsia="仿宋"/>
                <w:szCs w:val="21"/>
              </w:rPr>
              <w:t>0.0167</w:t>
            </w:r>
          </w:p>
        </w:tc>
        <w:tc>
          <w:tcPr>
            <w:tcW w:w="1107" w:type="pct"/>
            <w:noWrap/>
            <w:vAlign w:val="center"/>
          </w:tcPr>
          <w:p w14:paraId="0F929F99">
            <w:pPr>
              <w:widowControl/>
              <w:jc w:val="center"/>
              <w:rPr>
                <w:rFonts w:ascii="Times New Roman" w:eastAsia="仿宋"/>
                <w:szCs w:val="21"/>
              </w:rPr>
            </w:pPr>
            <w:r>
              <w:rPr>
                <w:rFonts w:hint="eastAsia" w:ascii="Times New Roman" w:eastAsia="仿宋"/>
                <w:szCs w:val="21"/>
              </w:rPr>
              <w:t>45.37633</w:t>
            </w:r>
          </w:p>
        </w:tc>
      </w:tr>
      <w:tr w14:paraId="5229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B7042C1">
            <w:pPr>
              <w:widowControl/>
              <w:jc w:val="center"/>
              <w:rPr>
                <w:rFonts w:ascii="Times New Roman" w:eastAsia="仿宋"/>
                <w:szCs w:val="21"/>
              </w:rPr>
            </w:pPr>
            <w:r>
              <w:rPr>
                <w:rFonts w:ascii="Times New Roman" w:eastAsia="仿宋"/>
                <w:szCs w:val="21"/>
              </w:rPr>
              <w:t>46</w:t>
            </w:r>
          </w:p>
        </w:tc>
        <w:tc>
          <w:tcPr>
            <w:tcW w:w="1108" w:type="pct"/>
            <w:noWrap/>
          </w:tcPr>
          <w:p w14:paraId="6A46EBB7">
            <w:pPr>
              <w:jc w:val="center"/>
            </w:pPr>
            <w:r>
              <w:rPr>
                <w:rFonts w:ascii="Times New Roman" w:eastAsia="仿宋"/>
                <w:szCs w:val="21"/>
              </w:rPr>
              <w:t>0</w:t>
            </w:r>
          </w:p>
        </w:tc>
        <w:tc>
          <w:tcPr>
            <w:tcW w:w="1108" w:type="pct"/>
            <w:noWrap/>
            <w:vAlign w:val="center"/>
          </w:tcPr>
          <w:p w14:paraId="3DA78472">
            <w:pPr>
              <w:widowControl/>
              <w:jc w:val="center"/>
              <w:rPr>
                <w:rFonts w:ascii="Times New Roman" w:eastAsia="仿宋"/>
                <w:szCs w:val="21"/>
              </w:rPr>
            </w:pPr>
            <w:r>
              <w:rPr>
                <w:rFonts w:hint="eastAsia" w:ascii="Times New Roman" w:eastAsia="仿宋"/>
                <w:szCs w:val="21"/>
              </w:rPr>
              <w:t>0.010431</w:t>
            </w:r>
          </w:p>
        </w:tc>
        <w:tc>
          <w:tcPr>
            <w:tcW w:w="1107" w:type="pct"/>
            <w:noWrap/>
            <w:vAlign w:val="center"/>
          </w:tcPr>
          <w:p w14:paraId="17C9453C">
            <w:pPr>
              <w:widowControl/>
              <w:jc w:val="center"/>
              <w:rPr>
                <w:rFonts w:ascii="Times New Roman" w:eastAsia="仿宋"/>
                <w:szCs w:val="21"/>
              </w:rPr>
            </w:pPr>
            <w:r>
              <w:rPr>
                <w:rFonts w:hint="eastAsia" w:ascii="Times New Roman" w:eastAsia="仿宋"/>
                <w:szCs w:val="21"/>
              </w:rPr>
              <w:t>39.54542</w:t>
            </w:r>
          </w:p>
        </w:tc>
      </w:tr>
      <w:tr w14:paraId="7D05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EAA7DE5">
            <w:pPr>
              <w:widowControl/>
              <w:jc w:val="center"/>
              <w:rPr>
                <w:rFonts w:ascii="Times New Roman" w:eastAsia="仿宋"/>
                <w:szCs w:val="21"/>
              </w:rPr>
            </w:pPr>
            <w:r>
              <w:rPr>
                <w:rFonts w:ascii="Times New Roman" w:eastAsia="仿宋"/>
                <w:szCs w:val="21"/>
              </w:rPr>
              <w:t>47</w:t>
            </w:r>
          </w:p>
        </w:tc>
        <w:tc>
          <w:tcPr>
            <w:tcW w:w="1108" w:type="pct"/>
            <w:noWrap/>
          </w:tcPr>
          <w:p w14:paraId="4C01B649">
            <w:pPr>
              <w:jc w:val="center"/>
            </w:pPr>
            <w:r>
              <w:rPr>
                <w:rFonts w:ascii="Times New Roman" w:eastAsia="仿宋"/>
                <w:szCs w:val="21"/>
              </w:rPr>
              <w:t>0</w:t>
            </w:r>
          </w:p>
        </w:tc>
        <w:tc>
          <w:tcPr>
            <w:tcW w:w="1108" w:type="pct"/>
            <w:noWrap/>
            <w:vAlign w:val="center"/>
          </w:tcPr>
          <w:p w14:paraId="28FD2C5A">
            <w:pPr>
              <w:widowControl/>
              <w:jc w:val="center"/>
              <w:rPr>
                <w:rFonts w:ascii="Times New Roman" w:eastAsia="仿宋"/>
                <w:szCs w:val="21"/>
              </w:rPr>
            </w:pPr>
            <w:r>
              <w:rPr>
                <w:rFonts w:hint="eastAsia" w:ascii="Times New Roman" w:eastAsia="仿宋"/>
                <w:szCs w:val="21"/>
              </w:rPr>
              <w:t>0.006453</w:t>
            </w:r>
          </w:p>
        </w:tc>
        <w:tc>
          <w:tcPr>
            <w:tcW w:w="1107" w:type="pct"/>
            <w:noWrap/>
            <w:vAlign w:val="center"/>
          </w:tcPr>
          <w:p w14:paraId="541BC637">
            <w:pPr>
              <w:widowControl/>
              <w:jc w:val="center"/>
              <w:rPr>
                <w:rFonts w:ascii="Times New Roman" w:eastAsia="仿宋"/>
                <w:szCs w:val="21"/>
              </w:rPr>
            </w:pPr>
            <w:r>
              <w:rPr>
                <w:rFonts w:hint="eastAsia" w:ascii="Times New Roman" w:eastAsia="仿宋"/>
                <w:szCs w:val="21"/>
              </w:rPr>
              <w:t>34.37829</w:t>
            </w:r>
          </w:p>
        </w:tc>
      </w:tr>
      <w:tr w14:paraId="0048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E087E1C">
            <w:pPr>
              <w:widowControl/>
              <w:jc w:val="center"/>
              <w:rPr>
                <w:rFonts w:ascii="Times New Roman" w:eastAsia="仿宋"/>
                <w:szCs w:val="21"/>
              </w:rPr>
            </w:pPr>
            <w:r>
              <w:rPr>
                <w:rFonts w:ascii="Times New Roman" w:eastAsia="仿宋"/>
                <w:szCs w:val="21"/>
              </w:rPr>
              <w:t>48</w:t>
            </w:r>
          </w:p>
        </w:tc>
        <w:tc>
          <w:tcPr>
            <w:tcW w:w="1108" w:type="pct"/>
            <w:noWrap/>
          </w:tcPr>
          <w:p w14:paraId="06EA7B13">
            <w:pPr>
              <w:jc w:val="center"/>
            </w:pPr>
            <w:r>
              <w:rPr>
                <w:rFonts w:ascii="Times New Roman" w:eastAsia="仿宋"/>
                <w:szCs w:val="21"/>
              </w:rPr>
              <w:t>0</w:t>
            </w:r>
          </w:p>
        </w:tc>
        <w:tc>
          <w:tcPr>
            <w:tcW w:w="1108" w:type="pct"/>
            <w:noWrap/>
            <w:vAlign w:val="center"/>
          </w:tcPr>
          <w:p w14:paraId="246CFE2C">
            <w:pPr>
              <w:widowControl/>
              <w:jc w:val="center"/>
              <w:rPr>
                <w:rFonts w:ascii="Times New Roman" w:eastAsia="仿宋"/>
                <w:szCs w:val="21"/>
              </w:rPr>
            </w:pPr>
            <w:r>
              <w:rPr>
                <w:rFonts w:hint="eastAsia" w:ascii="Times New Roman" w:eastAsia="仿宋"/>
                <w:szCs w:val="21"/>
              </w:rPr>
              <w:t>0.003953</w:t>
            </w:r>
          </w:p>
        </w:tc>
        <w:tc>
          <w:tcPr>
            <w:tcW w:w="1107" w:type="pct"/>
            <w:noWrap/>
            <w:vAlign w:val="center"/>
          </w:tcPr>
          <w:p w14:paraId="6C21110D">
            <w:pPr>
              <w:widowControl/>
              <w:jc w:val="center"/>
              <w:rPr>
                <w:rFonts w:ascii="Times New Roman" w:eastAsia="仿宋"/>
                <w:szCs w:val="21"/>
              </w:rPr>
            </w:pPr>
            <w:r>
              <w:rPr>
                <w:rFonts w:hint="eastAsia" w:ascii="Times New Roman" w:eastAsia="仿宋"/>
                <w:szCs w:val="21"/>
              </w:rPr>
              <w:t>29.81197</w:t>
            </w:r>
          </w:p>
        </w:tc>
      </w:tr>
      <w:tr w14:paraId="77D9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B6C66D2">
            <w:pPr>
              <w:widowControl/>
              <w:jc w:val="center"/>
              <w:rPr>
                <w:rFonts w:ascii="Times New Roman" w:eastAsia="仿宋"/>
                <w:szCs w:val="21"/>
              </w:rPr>
            </w:pPr>
            <w:r>
              <w:rPr>
                <w:rFonts w:ascii="Times New Roman" w:eastAsia="仿宋"/>
                <w:szCs w:val="21"/>
              </w:rPr>
              <w:t>49</w:t>
            </w:r>
          </w:p>
        </w:tc>
        <w:tc>
          <w:tcPr>
            <w:tcW w:w="1108" w:type="pct"/>
            <w:noWrap/>
          </w:tcPr>
          <w:p w14:paraId="4A29B86F">
            <w:pPr>
              <w:jc w:val="center"/>
            </w:pPr>
            <w:r>
              <w:rPr>
                <w:rFonts w:ascii="Times New Roman" w:eastAsia="仿宋"/>
                <w:szCs w:val="21"/>
              </w:rPr>
              <w:t>0</w:t>
            </w:r>
          </w:p>
        </w:tc>
        <w:tc>
          <w:tcPr>
            <w:tcW w:w="1108" w:type="pct"/>
            <w:noWrap/>
            <w:vAlign w:val="center"/>
          </w:tcPr>
          <w:p w14:paraId="6DCA477A">
            <w:pPr>
              <w:widowControl/>
              <w:jc w:val="center"/>
              <w:rPr>
                <w:rFonts w:ascii="Times New Roman" w:eastAsia="仿宋"/>
                <w:szCs w:val="21"/>
              </w:rPr>
            </w:pPr>
            <w:r>
              <w:rPr>
                <w:rFonts w:hint="eastAsia" w:ascii="Times New Roman" w:eastAsia="仿宋"/>
                <w:szCs w:val="21"/>
              </w:rPr>
              <w:t>0.002399</w:t>
            </w:r>
          </w:p>
        </w:tc>
        <w:tc>
          <w:tcPr>
            <w:tcW w:w="1107" w:type="pct"/>
            <w:noWrap/>
            <w:vAlign w:val="center"/>
          </w:tcPr>
          <w:p w14:paraId="1A1D3806">
            <w:pPr>
              <w:widowControl/>
              <w:jc w:val="center"/>
              <w:rPr>
                <w:rFonts w:ascii="Times New Roman" w:eastAsia="仿宋"/>
                <w:szCs w:val="21"/>
              </w:rPr>
            </w:pPr>
            <w:r>
              <w:rPr>
                <w:rFonts w:hint="eastAsia" w:ascii="Times New Roman" w:eastAsia="仿宋"/>
                <w:szCs w:val="21"/>
              </w:rPr>
              <w:t>25.78772</w:t>
            </w:r>
          </w:p>
        </w:tc>
      </w:tr>
      <w:tr w14:paraId="39F6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F03B244">
            <w:pPr>
              <w:widowControl/>
              <w:jc w:val="center"/>
              <w:rPr>
                <w:rFonts w:ascii="Times New Roman" w:eastAsia="仿宋"/>
                <w:szCs w:val="21"/>
              </w:rPr>
            </w:pPr>
            <w:r>
              <w:rPr>
                <w:rFonts w:ascii="Times New Roman" w:eastAsia="仿宋"/>
                <w:szCs w:val="21"/>
              </w:rPr>
              <w:t>50</w:t>
            </w:r>
          </w:p>
        </w:tc>
        <w:tc>
          <w:tcPr>
            <w:tcW w:w="1108" w:type="pct"/>
            <w:noWrap/>
          </w:tcPr>
          <w:p w14:paraId="40D281C4">
            <w:pPr>
              <w:jc w:val="center"/>
            </w:pPr>
            <w:r>
              <w:rPr>
                <w:rFonts w:ascii="Times New Roman" w:eastAsia="仿宋"/>
                <w:szCs w:val="21"/>
              </w:rPr>
              <w:t>0</w:t>
            </w:r>
          </w:p>
        </w:tc>
        <w:tc>
          <w:tcPr>
            <w:tcW w:w="1108" w:type="pct"/>
            <w:noWrap/>
            <w:vAlign w:val="center"/>
          </w:tcPr>
          <w:p w14:paraId="2E207022">
            <w:pPr>
              <w:widowControl/>
              <w:jc w:val="center"/>
              <w:rPr>
                <w:rFonts w:ascii="Times New Roman" w:eastAsia="仿宋"/>
                <w:szCs w:val="21"/>
              </w:rPr>
            </w:pPr>
            <w:r>
              <w:rPr>
                <w:rFonts w:hint="eastAsia" w:ascii="Times New Roman" w:eastAsia="仿宋"/>
                <w:szCs w:val="21"/>
              </w:rPr>
              <w:t>0.001442</w:t>
            </w:r>
          </w:p>
        </w:tc>
        <w:tc>
          <w:tcPr>
            <w:tcW w:w="1107" w:type="pct"/>
            <w:noWrap/>
            <w:vAlign w:val="center"/>
          </w:tcPr>
          <w:p w14:paraId="6A3A8B81">
            <w:pPr>
              <w:widowControl/>
              <w:jc w:val="center"/>
              <w:rPr>
                <w:rFonts w:ascii="Times New Roman" w:eastAsia="仿宋"/>
                <w:szCs w:val="21"/>
              </w:rPr>
            </w:pPr>
            <w:r>
              <w:rPr>
                <w:rFonts w:hint="eastAsia" w:ascii="Times New Roman" w:eastAsia="仿宋"/>
                <w:szCs w:val="21"/>
              </w:rPr>
              <w:t>22.25093</w:t>
            </w:r>
          </w:p>
        </w:tc>
      </w:tr>
      <w:tr w14:paraId="5979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F1DF6C9">
            <w:pPr>
              <w:widowControl/>
              <w:jc w:val="center"/>
              <w:rPr>
                <w:rFonts w:ascii="Times New Roman" w:eastAsia="仿宋"/>
                <w:szCs w:val="21"/>
              </w:rPr>
            </w:pPr>
            <w:r>
              <w:rPr>
                <w:rFonts w:ascii="Times New Roman" w:eastAsia="仿宋"/>
                <w:szCs w:val="21"/>
              </w:rPr>
              <w:t>51</w:t>
            </w:r>
          </w:p>
        </w:tc>
        <w:tc>
          <w:tcPr>
            <w:tcW w:w="1108" w:type="pct"/>
            <w:noWrap/>
          </w:tcPr>
          <w:p w14:paraId="489EACAD">
            <w:pPr>
              <w:jc w:val="center"/>
            </w:pPr>
            <w:r>
              <w:rPr>
                <w:rFonts w:ascii="Times New Roman" w:eastAsia="仿宋"/>
                <w:szCs w:val="21"/>
              </w:rPr>
              <w:t>0</w:t>
            </w:r>
          </w:p>
        </w:tc>
        <w:tc>
          <w:tcPr>
            <w:tcW w:w="1108" w:type="pct"/>
            <w:noWrap/>
            <w:vAlign w:val="center"/>
          </w:tcPr>
          <w:p w14:paraId="0951FCBB">
            <w:pPr>
              <w:widowControl/>
              <w:jc w:val="center"/>
              <w:rPr>
                <w:rFonts w:ascii="Times New Roman" w:eastAsia="仿宋"/>
                <w:szCs w:val="21"/>
              </w:rPr>
            </w:pPr>
            <w:r>
              <w:rPr>
                <w:rFonts w:hint="eastAsia" w:ascii="Times New Roman" w:eastAsia="仿宋"/>
                <w:szCs w:val="21"/>
              </w:rPr>
              <w:t>0.000858</w:t>
            </w:r>
          </w:p>
        </w:tc>
        <w:tc>
          <w:tcPr>
            <w:tcW w:w="1107" w:type="pct"/>
            <w:noWrap/>
            <w:vAlign w:val="center"/>
          </w:tcPr>
          <w:p w14:paraId="474B8EF5">
            <w:pPr>
              <w:widowControl/>
              <w:jc w:val="center"/>
              <w:rPr>
                <w:rFonts w:ascii="Times New Roman" w:eastAsia="仿宋"/>
                <w:szCs w:val="21"/>
              </w:rPr>
            </w:pPr>
            <w:r>
              <w:rPr>
                <w:rFonts w:hint="eastAsia" w:ascii="Times New Roman" w:eastAsia="仿宋"/>
                <w:szCs w:val="21"/>
              </w:rPr>
              <w:t>19.15111</w:t>
            </w:r>
          </w:p>
        </w:tc>
      </w:tr>
      <w:tr w14:paraId="3DBE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BE212C2">
            <w:pPr>
              <w:widowControl/>
              <w:jc w:val="center"/>
              <w:rPr>
                <w:rFonts w:ascii="Times New Roman" w:eastAsia="仿宋"/>
                <w:szCs w:val="21"/>
              </w:rPr>
            </w:pPr>
            <w:r>
              <w:rPr>
                <w:rFonts w:ascii="Times New Roman" w:eastAsia="仿宋"/>
                <w:szCs w:val="21"/>
              </w:rPr>
              <w:t>52</w:t>
            </w:r>
          </w:p>
        </w:tc>
        <w:tc>
          <w:tcPr>
            <w:tcW w:w="1108" w:type="pct"/>
            <w:noWrap/>
          </w:tcPr>
          <w:p w14:paraId="64DF637F">
            <w:pPr>
              <w:jc w:val="center"/>
            </w:pPr>
            <w:r>
              <w:rPr>
                <w:rFonts w:ascii="Times New Roman" w:eastAsia="仿宋"/>
                <w:szCs w:val="21"/>
              </w:rPr>
              <w:t>0</w:t>
            </w:r>
          </w:p>
        </w:tc>
        <w:tc>
          <w:tcPr>
            <w:tcW w:w="1108" w:type="pct"/>
            <w:noWrap/>
            <w:vAlign w:val="center"/>
          </w:tcPr>
          <w:p w14:paraId="3CC43F93">
            <w:pPr>
              <w:widowControl/>
              <w:jc w:val="center"/>
              <w:rPr>
                <w:rFonts w:ascii="Times New Roman" w:eastAsia="仿宋"/>
                <w:szCs w:val="21"/>
              </w:rPr>
            </w:pPr>
            <w:r>
              <w:rPr>
                <w:rFonts w:hint="eastAsia" w:ascii="Times New Roman" w:eastAsia="仿宋"/>
                <w:szCs w:val="21"/>
              </w:rPr>
              <w:t>0.000506</w:t>
            </w:r>
          </w:p>
        </w:tc>
        <w:tc>
          <w:tcPr>
            <w:tcW w:w="1107" w:type="pct"/>
            <w:noWrap/>
            <w:vAlign w:val="center"/>
          </w:tcPr>
          <w:p w14:paraId="10C10AD2">
            <w:pPr>
              <w:widowControl/>
              <w:jc w:val="center"/>
              <w:rPr>
                <w:rFonts w:ascii="Times New Roman" w:eastAsia="仿宋"/>
                <w:szCs w:val="21"/>
              </w:rPr>
            </w:pPr>
            <w:r>
              <w:rPr>
                <w:rFonts w:hint="eastAsia" w:ascii="Times New Roman" w:eastAsia="仿宋"/>
                <w:szCs w:val="21"/>
              </w:rPr>
              <w:t>16.44175</w:t>
            </w:r>
          </w:p>
        </w:tc>
      </w:tr>
      <w:tr w14:paraId="65BA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0F135DB">
            <w:pPr>
              <w:widowControl/>
              <w:jc w:val="center"/>
              <w:rPr>
                <w:rFonts w:ascii="Times New Roman" w:eastAsia="仿宋"/>
                <w:szCs w:val="21"/>
              </w:rPr>
            </w:pPr>
            <w:r>
              <w:rPr>
                <w:rFonts w:ascii="Times New Roman" w:eastAsia="仿宋"/>
                <w:szCs w:val="21"/>
              </w:rPr>
              <w:t>53</w:t>
            </w:r>
          </w:p>
        </w:tc>
        <w:tc>
          <w:tcPr>
            <w:tcW w:w="1108" w:type="pct"/>
            <w:noWrap/>
          </w:tcPr>
          <w:p w14:paraId="396FFCF3">
            <w:pPr>
              <w:jc w:val="center"/>
            </w:pPr>
            <w:r>
              <w:rPr>
                <w:rFonts w:ascii="Times New Roman" w:eastAsia="仿宋"/>
                <w:szCs w:val="21"/>
              </w:rPr>
              <w:t>0</w:t>
            </w:r>
          </w:p>
        </w:tc>
        <w:tc>
          <w:tcPr>
            <w:tcW w:w="1108" w:type="pct"/>
            <w:noWrap/>
            <w:vAlign w:val="center"/>
          </w:tcPr>
          <w:p w14:paraId="438EC13C">
            <w:pPr>
              <w:widowControl/>
              <w:jc w:val="center"/>
              <w:rPr>
                <w:rFonts w:ascii="Times New Roman" w:eastAsia="仿宋"/>
                <w:szCs w:val="21"/>
              </w:rPr>
            </w:pPr>
            <w:r>
              <w:rPr>
                <w:rFonts w:hint="eastAsia" w:ascii="Times New Roman" w:eastAsia="仿宋"/>
                <w:szCs w:val="21"/>
              </w:rPr>
              <w:t>0.000295</w:t>
            </w:r>
          </w:p>
        </w:tc>
        <w:tc>
          <w:tcPr>
            <w:tcW w:w="1107" w:type="pct"/>
            <w:noWrap/>
            <w:vAlign w:val="center"/>
          </w:tcPr>
          <w:p w14:paraId="01BDFA74">
            <w:pPr>
              <w:widowControl/>
              <w:jc w:val="center"/>
              <w:rPr>
                <w:rFonts w:ascii="Times New Roman" w:eastAsia="仿宋"/>
                <w:szCs w:val="21"/>
              </w:rPr>
            </w:pPr>
            <w:r>
              <w:rPr>
                <w:rFonts w:hint="eastAsia" w:ascii="Times New Roman" w:eastAsia="仿宋"/>
                <w:szCs w:val="21"/>
              </w:rPr>
              <w:t>14.08016</w:t>
            </w:r>
          </w:p>
        </w:tc>
      </w:tr>
      <w:tr w14:paraId="3EA9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9091642">
            <w:pPr>
              <w:widowControl/>
              <w:jc w:val="center"/>
              <w:rPr>
                <w:rFonts w:ascii="Times New Roman" w:eastAsia="仿宋"/>
                <w:szCs w:val="21"/>
              </w:rPr>
            </w:pPr>
            <w:r>
              <w:rPr>
                <w:rFonts w:ascii="Times New Roman" w:eastAsia="仿宋"/>
                <w:szCs w:val="21"/>
              </w:rPr>
              <w:t>54</w:t>
            </w:r>
          </w:p>
        </w:tc>
        <w:tc>
          <w:tcPr>
            <w:tcW w:w="1108" w:type="pct"/>
            <w:noWrap/>
          </w:tcPr>
          <w:p w14:paraId="215BC355">
            <w:pPr>
              <w:jc w:val="center"/>
            </w:pPr>
            <w:r>
              <w:rPr>
                <w:rFonts w:ascii="Times New Roman" w:eastAsia="仿宋"/>
                <w:szCs w:val="21"/>
              </w:rPr>
              <w:t>0</w:t>
            </w:r>
          </w:p>
        </w:tc>
        <w:tc>
          <w:tcPr>
            <w:tcW w:w="1108" w:type="pct"/>
            <w:noWrap/>
            <w:vAlign w:val="center"/>
          </w:tcPr>
          <w:p w14:paraId="6A527E43">
            <w:pPr>
              <w:widowControl/>
              <w:jc w:val="center"/>
              <w:rPr>
                <w:rFonts w:ascii="Times New Roman" w:eastAsia="仿宋"/>
                <w:szCs w:val="21"/>
              </w:rPr>
            </w:pPr>
            <w:r>
              <w:rPr>
                <w:rFonts w:hint="eastAsia" w:ascii="Times New Roman" w:eastAsia="仿宋"/>
                <w:szCs w:val="21"/>
              </w:rPr>
              <w:t>0.000171</w:t>
            </w:r>
          </w:p>
        </w:tc>
        <w:tc>
          <w:tcPr>
            <w:tcW w:w="1107" w:type="pct"/>
            <w:noWrap/>
            <w:vAlign w:val="center"/>
          </w:tcPr>
          <w:p w14:paraId="10F7ED67">
            <w:pPr>
              <w:widowControl/>
              <w:jc w:val="center"/>
              <w:rPr>
                <w:rFonts w:ascii="Times New Roman" w:eastAsia="仿宋"/>
                <w:szCs w:val="21"/>
              </w:rPr>
            </w:pPr>
            <w:r>
              <w:rPr>
                <w:rFonts w:hint="eastAsia" w:ascii="Times New Roman" w:eastAsia="仿宋"/>
                <w:szCs w:val="21"/>
              </w:rPr>
              <w:t>12.02737</w:t>
            </w:r>
          </w:p>
        </w:tc>
      </w:tr>
      <w:tr w14:paraId="6D44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DB82B90">
            <w:pPr>
              <w:widowControl/>
              <w:jc w:val="center"/>
              <w:rPr>
                <w:rFonts w:ascii="Times New Roman" w:eastAsia="仿宋"/>
                <w:szCs w:val="21"/>
              </w:rPr>
            </w:pPr>
            <w:r>
              <w:rPr>
                <w:rFonts w:ascii="Times New Roman" w:eastAsia="仿宋"/>
                <w:szCs w:val="21"/>
              </w:rPr>
              <w:t>55</w:t>
            </w:r>
          </w:p>
        </w:tc>
        <w:tc>
          <w:tcPr>
            <w:tcW w:w="1108" w:type="pct"/>
            <w:noWrap/>
          </w:tcPr>
          <w:p w14:paraId="7F9D1FF5">
            <w:pPr>
              <w:jc w:val="center"/>
            </w:pPr>
            <w:r>
              <w:rPr>
                <w:rFonts w:ascii="Times New Roman" w:eastAsia="仿宋"/>
                <w:szCs w:val="21"/>
              </w:rPr>
              <w:t>0</w:t>
            </w:r>
          </w:p>
        </w:tc>
        <w:tc>
          <w:tcPr>
            <w:tcW w:w="1108" w:type="pct"/>
            <w:noWrap/>
            <w:vAlign w:val="center"/>
          </w:tcPr>
          <w:p w14:paraId="53B8D646">
            <w:pPr>
              <w:widowControl/>
              <w:jc w:val="center"/>
              <w:rPr>
                <w:rFonts w:ascii="Times New Roman" w:eastAsia="仿宋"/>
                <w:szCs w:val="21"/>
              </w:rPr>
            </w:pPr>
            <w:r>
              <w:rPr>
                <w:rFonts w:ascii="Times New Roman" w:eastAsia="仿宋"/>
                <w:szCs w:val="21"/>
              </w:rPr>
              <w:t>0</w:t>
            </w:r>
          </w:p>
        </w:tc>
        <w:tc>
          <w:tcPr>
            <w:tcW w:w="1107" w:type="pct"/>
            <w:noWrap/>
            <w:vAlign w:val="center"/>
          </w:tcPr>
          <w:p w14:paraId="46649BE6">
            <w:pPr>
              <w:widowControl/>
              <w:jc w:val="center"/>
              <w:rPr>
                <w:rFonts w:ascii="Times New Roman" w:eastAsia="仿宋"/>
                <w:szCs w:val="21"/>
              </w:rPr>
            </w:pPr>
            <w:r>
              <w:rPr>
                <w:rFonts w:hint="eastAsia" w:ascii="Times New Roman" w:eastAsia="仿宋"/>
                <w:szCs w:val="21"/>
              </w:rPr>
              <w:t>10.2479</w:t>
            </w:r>
          </w:p>
        </w:tc>
      </w:tr>
      <w:tr w14:paraId="6060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766D762">
            <w:pPr>
              <w:widowControl/>
              <w:jc w:val="center"/>
              <w:rPr>
                <w:rFonts w:ascii="Times New Roman" w:eastAsia="仿宋"/>
                <w:szCs w:val="21"/>
              </w:rPr>
            </w:pPr>
            <w:r>
              <w:rPr>
                <w:rFonts w:ascii="Times New Roman" w:eastAsia="仿宋"/>
                <w:szCs w:val="21"/>
              </w:rPr>
              <w:t>56</w:t>
            </w:r>
          </w:p>
        </w:tc>
        <w:tc>
          <w:tcPr>
            <w:tcW w:w="1108" w:type="pct"/>
            <w:noWrap/>
          </w:tcPr>
          <w:p w14:paraId="05E5D4BE">
            <w:pPr>
              <w:jc w:val="center"/>
            </w:pPr>
            <w:r>
              <w:rPr>
                <w:rFonts w:ascii="Times New Roman" w:eastAsia="仿宋"/>
                <w:szCs w:val="21"/>
              </w:rPr>
              <w:t>0</w:t>
            </w:r>
          </w:p>
        </w:tc>
        <w:tc>
          <w:tcPr>
            <w:tcW w:w="1108" w:type="pct"/>
            <w:noWrap/>
          </w:tcPr>
          <w:p w14:paraId="399E2E5C">
            <w:pPr>
              <w:jc w:val="center"/>
            </w:pPr>
            <w:r>
              <w:rPr>
                <w:rFonts w:ascii="Times New Roman" w:eastAsia="仿宋"/>
                <w:szCs w:val="21"/>
              </w:rPr>
              <w:t>0</w:t>
            </w:r>
          </w:p>
        </w:tc>
        <w:tc>
          <w:tcPr>
            <w:tcW w:w="1107" w:type="pct"/>
            <w:noWrap/>
            <w:vAlign w:val="center"/>
          </w:tcPr>
          <w:p w14:paraId="027F7FB3">
            <w:pPr>
              <w:widowControl/>
              <w:jc w:val="center"/>
              <w:rPr>
                <w:rFonts w:ascii="Times New Roman" w:eastAsia="仿宋"/>
                <w:szCs w:val="21"/>
              </w:rPr>
            </w:pPr>
            <w:r>
              <w:rPr>
                <w:rFonts w:hint="eastAsia" w:ascii="Times New Roman" w:eastAsia="仿宋"/>
                <w:szCs w:val="21"/>
              </w:rPr>
              <w:t>8.709603</w:t>
            </w:r>
          </w:p>
        </w:tc>
      </w:tr>
      <w:tr w14:paraId="585D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31C435A">
            <w:pPr>
              <w:widowControl/>
              <w:jc w:val="center"/>
              <w:rPr>
                <w:rFonts w:ascii="Times New Roman" w:eastAsia="仿宋"/>
                <w:szCs w:val="21"/>
              </w:rPr>
            </w:pPr>
            <w:r>
              <w:rPr>
                <w:rFonts w:ascii="Times New Roman" w:eastAsia="仿宋"/>
                <w:szCs w:val="21"/>
              </w:rPr>
              <w:t>57</w:t>
            </w:r>
          </w:p>
        </w:tc>
        <w:tc>
          <w:tcPr>
            <w:tcW w:w="1108" w:type="pct"/>
            <w:noWrap/>
          </w:tcPr>
          <w:p w14:paraId="2DD5946A">
            <w:pPr>
              <w:jc w:val="center"/>
            </w:pPr>
            <w:r>
              <w:rPr>
                <w:rFonts w:ascii="Times New Roman" w:eastAsia="仿宋"/>
                <w:szCs w:val="21"/>
              </w:rPr>
              <w:t>0</w:t>
            </w:r>
          </w:p>
        </w:tc>
        <w:tc>
          <w:tcPr>
            <w:tcW w:w="1108" w:type="pct"/>
            <w:noWrap/>
          </w:tcPr>
          <w:p w14:paraId="3B55F6C0">
            <w:pPr>
              <w:jc w:val="center"/>
            </w:pPr>
            <w:r>
              <w:rPr>
                <w:rFonts w:ascii="Times New Roman" w:eastAsia="仿宋"/>
                <w:szCs w:val="21"/>
              </w:rPr>
              <w:t>0</w:t>
            </w:r>
          </w:p>
        </w:tc>
        <w:tc>
          <w:tcPr>
            <w:tcW w:w="1107" w:type="pct"/>
            <w:noWrap/>
            <w:vAlign w:val="center"/>
          </w:tcPr>
          <w:p w14:paraId="3063603B">
            <w:pPr>
              <w:widowControl/>
              <w:jc w:val="center"/>
              <w:rPr>
                <w:rFonts w:ascii="Times New Roman" w:eastAsia="仿宋"/>
                <w:szCs w:val="21"/>
              </w:rPr>
            </w:pPr>
            <w:r>
              <w:rPr>
                <w:rFonts w:hint="eastAsia" w:ascii="Times New Roman" w:eastAsia="仿宋"/>
                <w:szCs w:val="21"/>
              </w:rPr>
              <w:t>7.383439</w:t>
            </w:r>
          </w:p>
        </w:tc>
      </w:tr>
      <w:tr w14:paraId="3FBE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25133D4">
            <w:pPr>
              <w:widowControl/>
              <w:jc w:val="center"/>
              <w:rPr>
                <w:rFonts w:ascii="Times New Roman" w:eastAsia="仿宋"/>
                <w:szCs w:val="21"/>
              </w:rPr>
            </w:pPr>
            <w:r>
              <w:rPr>
                <w:rFonts w:ascii="Times New Roman" w:eastAsia="仿宋"/>
                <w:szCs w:val="21"/>
              </w:rPr>
              <w:t>58</w:t>
            </w:r>
          </w:p>
        </w:tc>
        <w:tc>
          <w:tcPr>
            <w:tcW w:w="1108" w:type="pct"/>
            <w:noWrap/>
          </w:tcPr>
          <w:p w14:paraId="73504990">
            <w:pPr>
              <w:jc w:val="center"/>
            </w:pPr>
            <w:r>
              <w:rPr>
                <w:rFonts w:ascii="Times New Roman" w:eastAsia="仿宋"/>
                <w:szCs w:val="21"/>
              </w:rPr>
              <w:t>0</w:t>
            </w:r>
          </w:p>
        </w:tc>
        <w:tc>
          <w:tcPr>
            <w:tcW w:w="1108" w:type="pct"/>
            <w:noWrap/>
          </w:tcPr>
          <w:p w14:paraId="77FC0B12">
            <w:pPr>
              <w:jc w:val="center"/>
            </w:pPr>
            <w:r>
              <w:rPr>
                <w:rFonts w:ascii="Times New Roman" w:eastAsia="仿宋"/>
                <w:szCs w:val="21"/>
              </w:rPr>
              <w:t>0</w:t>
            </w:r>
          </w:p>
        </w:tc>
        <w:tc>
          <w:tcPr>
            <w:tcW w:w="1107" w:type="pct"/>
            <w:noWrap/>
            <w:vAlign w:val="center"/>
          </w:tcPr>
          <w:p w14:paraId="14490EE8">
            <w:pPr>
              <w:widowControl/>
              <w:jc w:val="center"/>
              <w:rPr>
                <w:rFonts w:ascii="Times New Roman" w:eastAsia="仿宋"/>
                <w:szCs w:val="21"/>
              </w:rPr>
            </w:pPr>
            <w:r>
              <w:rPr>
                <w:rFonts w:hint="eastAsia" w:ascii="Times New Roman" w:eastAsia="仿宋"/>
                <w:szCs w:val="21"/>
              </w:rPr>
              <w:t>6.243297</w:t>
            </w:r>
          </w:p>
        </w:tc>
      </w:tr>
      <w:tr w14:paraId="3041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1953DB6">
            <w:pPr>
              <w:widowControl/>
              <w:jc w:val="center"/>
              <w:rPr>
                <w:rFonts w:ascii="Times New Roman" w:eastAsia="仿宋"/>
                <w:szCs w:val="21"/>
              </w:rPr>
            </w:pPr>
            <w:r>
              <w:rPr>
                <w:rFonts w:ascii="Times New Roman" w:eastAsia="仿宋"/>
                <w:szCs w:val="21"/>
              </w:rPr>
              <w:t>59</w:t>
            </w:r>
          </w:p>
        </w:tc>
        <w:tc>
          <w:tcPr>
            <w:tcW w:w="1108" w:type="pct"/>
            <w:noWrap/>
          </w:tcPr>
          <w:p w14:paraId="5508BE9D">
            <w:pPr>
              <w:jc w:val="center"/>
            </w:pPr>
            <w:r>
              <w:rPr>
                <w:rFonts w:ascii="Times New Roman" w:eastAsia="仿宋"/>
                <w:szCs w:val="21"/>
              </w:rPr>
              <w:t>0</w:t>
            </w:r>
          </w:p>
        </w:tc>
        <w:tc>
          <w:tcPr>
            <w:tcW w:w="1108" w:type="pct"/>
            <w:noWrap/>
          </w:tcPr>
          <w:p w14:paraId="061AC74D">
            <w:pPr>
              <w:jc w:val="center"/>
            </w:pPr>
            <w:r>
              <w:rPr>
                <w:rFonts w:ascii="Times New Roman" w:eastAsia="仿宋"/>
                <w:szCs w:val="21"/>
              </w:rPr>
              <w:t>0</w:t>
            </w:r>
          </w:p>
        </w:tc>
        <w:tc>
          <w:tcPr>
            <w:tcW w:w="1107" w:type="pct"/>
            <w:noWrap/>
            <w:vAlign w:val="center"/>
          </w:tcPr>
          <w:p w14:paraId="33208928">
            <w:pPr>
              <w:widowControl/>
              <w:jc w:val="center"/>
              <w:rPr>
                <w:rFonts w:ascii="Times New Roman" w:eastAsia="仿宋"/>
                <w:szCs w:val="21"/>
              </w:rPr>
            </w:pPr>
            <w:r>
              <w:rPr>
                <w:rFonts w:hint="eastAsia" w:ascii="Times New Roman" w:eastAsia="仿宋"/>
                <w:szCs w:val="21"/>
              </w:rPr>
              <w:t>5.265775</w:t>
            </w:r>
          </w:p>
        </w:tc>
      </w:tr>
      <w:tr w14:paraId="59DB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C879665">
            <w:pPr>
              <w:widowControl/>
              <w:jc w:val="center"/>
              <w:rPr>
                <w:rFonts w:ascii="Times New Roman" w:eastAsia="仿宋"/>
                <w:szCs w:val="21"/>
              </w:rPr>
            </w:pPr>
            <w:r>
              <w:rPr>
                <w:rFonts w:ascii="Times New Roman" w:eastAsia="仿宋"/>
                <w:szCs w:val="21"/>
              </w:rPr>
              <w:t>60</w:t>
            </w:r>
          </w:p>
        </w:tc>
        <w:tc>
          <w:tcPr>
            <w:tcW w:w="1108" w:type="pct"/>
            <w:noWrap/>
          </w:tcPr>
          <w:p w14:paraId="1DF1CC71">
            <w:pPr>
              <w:jc w:val="center"/>
            </w:pPr>
            <w:r>
              <w:rPr>
                <w:rFonts w:ascii="Times New Roman" w:eastAsia="仿宋"/>
                <w:szCs w:val="21"/>
              </w:rPr>
              <w:t>0</w:t>
            </w:r>
          </w:p>
        </w:tc>
        <w:tc>
          <w:tcPr>
            <w:tcW w:w="1108" w:type="pct"/>
            <w:noWrap/>
          </w:tcPr>
          <w:p w14:paraId="5BED82F4">
            <w:pPr>
              <w:jc w:val="center"/>
            </w:pPr>
            <w:r>
              <w:rPr>
                <w:rFonts w:ascii="Times New Roman" w:eastAsia="仿宋"/>
                <w:szCs w:val="21"/>
              </w:rPr>
              <w:t>0</w:t>
            </w:r>
          </w:p>
        </w:tc>
        <w:tc>
          <w:tcPr>
            <w:tcW w:w="1107" w:type="pct"/>
            <w:noWrap/>
            <w:vAlign w:val="center"/>
          </w:tcPr>
          <w:p w14:paraId="18597A8C">
            <w:pPr>
              <w:widowControl/>
              <w:jc w:val="center"/>
              <w:rPr>
                <w:rFonts w:ascii="Times New Roman" w:eastAsia="仿宋"/>
                <w:szCs w:val="21"/>
              </w:rPr>
            </w:pPr>
            <w:r>
              <w:rPr>
                <w:rFonts w:hint="eastAsia" w:ascii="Times New Roman" w:eastAsia="仿宋"/>
                <w:szCs w:val="21"/>
              </w:rPr>
              <w:t>4.429979</w:t>
            </w:r>
          </w:p>
        </w:tc>
      </w:tr>
      <w:tr w14:paraId="1B78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E443902">
            <w:pPr>
              <w:widowControl/>
              <w:jc w:val="center"/>
              <w:rPr>
                <w:rFonts w:ascii="Times New Roman" w:eastAsia="仿宋"/>
                <w:szCs w:val="21"/>
              </w:rPr>
            </w:pPr>
            <w:r>
              <w:rPr>
                <w:rFonts w:ascii="Times New Roman" w:eastAsia="仿宋"/>
                <w:szCs w:val="21"/>
              </w:rPr>
              <w:t>61</w:t>
            </w:r>
          </w:p>
        </w:tc>
        <w:tc>
          <w:tcPr>
            <w:tcW w:w="1108" w:type="pct"/>
            <w:noWrap/>
          </w:tcPr>
          <w:p w14:paraId="4B4C04EE">
            <w:pPr>
              <w:jc w:val="center"/>
            </w:pPr>
            <w:r>
              <w:rPr>
                <w:rFonts w:ascii="Times New Roman" w:eastAsia="仿宋"/>
                <w:szCs w:val="21"/>
              </w:rPr>
              <w:t>0</w:t>
            </w:r>
          </w:p>
        </w:tc>
        <w:tc>
          <w:tcPr>
            <w:tcW w:w="1108" w:type="pct"/>
            <w:noWrap/>
          </w:tcPr>
          <w:p w14:paraId="63A7F2AA">
            <w:pPr>
              <w:jc w:val="center"/>
            </w:pPr>
            <w:r>
              <w:rPr>
                <w:rFonts w:ascii="Times New Roman" w:eastAsia="仿宋"/>
                <w:szCs w:val="21"/>
              </w:rPr>
              <w:t>0</w:t>
            </w:r>
          </w:p>
        </w:tc>
        <w:tc>
          <w:tcPr>
            <w:tcW w:w="1107" w:type="pct"/>
            <w:noWrap/>
            <w:vAlign w:val="center"/>
          </w:tcPr>
          <w:p w14:paraId="08CCC9F0">
            <w:pPr>
              <w:widowControl/>
              <w:jc w:val="center"/>
              <w:rPr>
                <w:rFonts w:ascii="Times New Roman" w:eastAsia="仿宋"/>
                <w:szCs w:val="21"/>
              </w:rPr>
            </w:pPr>
            <w:r>
              <w:rPr>
                <w:rFonts w:hint="eastAsia" w:ascii="Times New Roman" w:eastAsia="仿宋"/>
                <w:szCs w:val="21"/>
              </w:rPr>
              <w:t>3.717323</w:t>
            </w:r>
          </w:p>
        </w:tc>
      </w:tr>
      <w:tr w14:paraId="4831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B10880E">
            <w:pPr>
              <w:widowControl/>
              <w:jc w:val="center"/>
              <w:rPr>
                <w:rFonts w:ascii="Times New Roman" w:eastAsia="仿宋"/>
                <w:szCs w:val="21"/>
              </w:rPr>
            </w:pPr>
            <w:r>
              <w:rPr>
                <w:rFonts w:ascii="Times New Roman" w:eastAsia="仿宋"/>
                <w:szCs w:val="21"/>
              </w:rPr>
              <w:t>62</w:t>
            </w:r>
          </w:p>
        </w:tc>
        <w:tc>
          <w:tcPr>
            <w:tcW w:w="1108" w:type="pct"/>
            <w:noWrap/>
          </w:tcPr>
          <w:p w14:paraId="640E966E">
            <w:pPr>
              <w:jc w:val="center"/>
            </w:pPr>
            <w:r>
              <w:rPr>
                <w:rFonts w:ascii="Times New Roman" w:eastAsia="仿宋"/>
                <w:szCs w:val="21"/>
              </w:rPr>
              <w:t>0</w:t>
            </w:r>
          </w:p>
        </w:tc>
        <w:tc>
          <w:tcPr>
            <w:tcW w:w="1108" w:type="pct"/>
            <w:noWrap/>
          </w:tcPr>
          <w:p w14:paraId="3FA3D09F">
            <w:pPr>
              <w:jc w:val="center"/>
            </w:pPr>
            <w:r>
              <w:rPr>
                <w:rFonts w:ascii="Times New Roman" w:eastAsia="仿宋"/>
                <w:szCs w:val="21"/>
              </w:rPr>
              <w:t>0</w:t>
            </w:r>
          </w:p>
        </w:tc>
        <w:tc>
          <w:tcPr>
            <w:tcW w:w="1107" w:type="pct"/>
            <w:noWrap/>
            <w:vAlign w:val="center"/>
          </w:tcPr>
          <w:p w14:paraId="1799B20B">
            <w:pPr>
              <w:widowControl/>
              <w:jc w:val="center"/>
              <w:rPr>
                <w:rFonts w:ascii="Times New Roman" w:eastAsia="仿宋"/>
                <w:szCs w:val="21"/>
              </w:rPr>
            </w:pPr>
            <w:r>
              <w:rPr>
                <w:rFonts w:hint="eastAsia" w:ascii="Times New Roman" w:eastAsia="仿宋"/>
                <w:szCs w:val="21"/>
              </w:rPr>
              <w:t>3.111332</w:t>
            </w:r>
          </w:p>
        </w:tc>
      </w:tr>
      <w:tr w14:paraId="6CFB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9C01CCA">
            <w:pPr>
              <w:widowControl/>
              <w:jc w:val="center"/>
              <w:rPr>
                <w:rFonts w:ascii="Times New Roman" w:eastAsia="仿宋"/>
                <w:szCs w:val="21"/>
              </w:rPr>
            </w:pPr>
            <w:r>
              <w:rPr>
                <w:rFonts w:ascii="Times New Roman" w:eastAsia="仿宋"/>
                <w:szCs w:val="21"/>
              </w:rPr>
              <w:t>63</w:t>
            </w:r>
          </w:p>
        </w:tc>
        <w:tc>
          <w:tcPr>
            <w:tcW w:w="1108" w:type="pct"/>
            <w:noWrap/>
          </w:tcPr>
          <w:p w14:paraId="60FBA547">
            <w:pPr>
              <w:jc w:val="center"/>
            </w:pPr>
            <w:r>
              <w:rPr>
                <w:rFonts w:ascii="Times New Roman" w:eastAsia="仿宋"/>
                <w:szCs w:val="21"/>
              </w:rPr>
              <w:t>0</w:t>
            </w:r>
          </w:p>
        </w:tc>
        <w:tc>
          <w:tcPr>
            <w:tcW w:w="1108" w:type="pct"/>
            <w:noWrap/>
          </w:tcPr>
          <w:p w14:paraId="26AD0AE9">
            <w:pPr>
              <w:jc w:val="center"/>
            </w:pPr>
            <w:r>
              <w:rPr>
                <w:rFonts w:ascii="Times New Roman" w:eastAsia="仿宋"/>
                <w:szCs w:val="21"/>
              </w:rPr>
              <w:t>0</w:t>
            </w:r>
          </w:p>
        </w:tc>
        <w:tc>
          <w:tcPr>
            <w:tcW w:w="1107" w:type="pct"/>
            <w:noWrap/>
            <w:vAlign w:val="center"/>
          </w:tcPr>
          <w:p w14:paraId="6C9289E7">
            <w:pPr>
              <w:widowControl/>
              <w:jc w:val="center"/>
              <w:rPr>
                <w:rFonts w:ascii="Times New Roman" w:eastAsia="仿宋"/>
                <w:szCs w:val="21"/>
              </w:rPr>
            </w:pPr>
            <w:r>
              <w:rPr>
                <w:rFonts w:hint="eastAsia" w:ascii="Times New Roman" w:eastAsia="仿宋"/>
                <w:szCs w:val="21"/>
              </w:rPr>
              <w:t>2.597456</w:t>
            </w:r>
          </w:p>
        </w:tc>
      </w:tr>
      <w:tr w14:paraId="39D5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07AC8B3">
            <w:pPr>
              <w:widowControl/>
              <w:jc w:val="center"/>
              <w:rPr>
                <w:rFonts w:ascii="Times New Roman" w:eastAsia="仿宋"/>
                <w:szCs w:val="21"/>
              </w:rPr>
            </w:pPr>
            <w:r>
              <w:rPr>
                <w:rFonts w:ascii="Times New Roman" w:eastAsia="仿宋"/>
                <w:szCs w:val="21"/>
              </w:rPr>
              <w:t>64</w:t>
            </w:r>
          </w:p>
        </w:tc>
        <w:tc>
          <w:tcPr>
            <w:tcW w:w="1108" w:type="pct"/>
            <w:noWrap/>
          </w:tcPr>
          <w:p w14:paraId="50F7C268">
            <w:pPr>
              <w:jc w:val="center"/>
            </w:pPr>
            <w:r>
              <w:rPr>
                <w:rFonts w:ascii="Times New Roman" w:eastAsia="仿宋"/>
                <w:szCs w:val="21"/>
              </w:rPr>
              <w:t>0</w:t>
            </w:r>
          </w:p>
        </w:tc>
        <w:tc>
          <w:tcPr>
            <w:tcW w:w="1108" w:type="pct"/>
            <w:noWrap/>
          </w:tcPr>
          <w:p w14:paraId="24AC8B81">
            <w:pPr>
              <w:jc w:val="center"/>
            </w:pPr>
            <w:r>
              <w:rPr>
                <w:rFonts w:ascii="Times New Roman" w:eastAsia="仿宋"/>
                <w:szCs w:val="21"/>
              </w:rPr>
              <w:t>0</w:t>
            </w:r>
          </w:p>
        </w:tc>
        <w:tc>
          <w:tcPr>
            <w:tcW w:w="1107" w:type="pct"/>
            <w:noWrap/>
            <w:vAlign w:val="center"/>
          </w:tcPr>
          <w:p w14:paraId="11168C3A">
            <w:pPr>
              <w:widowControl/>
              <w:jc w:val="center"/>
              <w:rPr>
                <w:rFonts w:ascii="Times New Roman" w:eastAsia="仿宋"/>
                <w:szCs w:val="21"/>
              </w:rPr>
            </w:pPr>
            <w:r>
              <w:rPr>
                <w:rFonts w:hint="eastAsia" w:ascii="Times New Roman" w:eastAsia="仿宋"/>
                <w:szCs w:val="21"/>
              </w:rPr>
              <w:t>2.162889</w:t>
            </w:r>
          </w:p>
        </w:tc>
      </w:tr>
      <w:tr w14:paraId="7DCF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23A052F">
            <w:pPr>
              <w:widowControl/>
              <w:jc w:val="center"/>
              <w:rPr>
                <w:rFonts w:ascii="Times New Roman" w:eastAsia="仿宋"/>
                <w:szCs w:val="21"/>
              </w:rPr>
            </w:pPr>
            <w:r>
              <w:rPr>
                <w:rFonts w:ascii="Times New Roman" w:eastAsia="仿宋"/>
                <w:szCs w:val="21"/>
              </w:rPr>
              <w:t>65</w:t>
            </w:r>
          </w:p>
        </w:tc>
        <w:tc>
          <w:tcPr>
            <w:tcW w:w="1108" w:type="pct"/>
            <w:noWrap/>
          </w:tcPr>
          <w:p w14:paraId="5008A15D">
            <w:pPr>
              <w:jc w:val="center"/>
            </w:pPr>
            <w:r>
              <w:rPr>
                <w:rFonts w:ascii="Times New Roman" w:eastAsia="仿宋"/>
                <w:szCs w:val="21"/>
              </w:rPr>
              <w:t>0</w:t>
            </w:r>
          </w:p>
        </w:tc>
        <w:tc>
          <w:tcPr>
            <w:tcW w:w="1108" w:type="pct"/>
            <w:noWrap/>
          </w:tcPr>
          <w:p w14:paraId="0B281A3C">
            <w:pPr>
              <w:jc w:val="center"/>
            </w:pPr>
            <w:r>
              <w:rPr>
                <w:rFonts w:ascii="Times New Roman" w:eastAsia="仿宋"/>
                <w:szCs w:val="21"/>
              </w:rPr>
              <w:t>0</w:t>
            </w:r>
          </w:p>
        </w:tc>
        <w:tc>
          <w:tcPr>
            <w:tcW w:w="1107" w:type="pct"/>
            <w:noWrap/>
            <w:vAlign w:val="center"/>
          </w:tcPr>
          <w:p w14:paraId="2B049834">
            <w:pPr>
              <w:widowControl/>
              <w:jc w:val="center"/>
              <w:rPr>
                <w:rFonts w:ascii="Times New Roman" w:eastAsia="仿宋"/>
                <w:szCs w:val="21"/>
              </w:rPr>
            </w:pPr>
            <w:r>
              <w:rPr>
                <w:rFonts w:hint="eastAsia" w:ascii="Times New Roman" w:eastAsia="仿宋"/>
                <w:szCs w:val="21"/>
              </w:rPr>
              <w:t>1.796398</w:t>
            </w:r>
          </w:p>
        </w:tc>
      </w:tr>
      <w:tr w14:paraId="79A3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4A6B502">
            <w:pPr>
              <w:widowControl/>
              <w:jc w:val="center"/>
              <w:rPr>
                <w:rFonts w:ascii="Times New Roman" w:eastAsia="仿宋"/>
                <w:szCs w:val="21"/>
              </w:rPr>
            </w:pPr>
            <w:r>
              <w:rPr>
                <w:rFonts w:ascii="Times New Roman" w:eastAsia="仿宋"/>
                <w:szCs w:val="21"/>
              </w:rPr>
              <w:t>66</w:t>
            </w:r>
          </w:p>
        </w:tc>
        <w:tc>
          <w:tcPr>
            <w:tcW w:w="1108" w:type="pct"/>
            <w:noWrap/>
          </w:tcPr>
          <w:p w14:paraId="601686C8">
            <w:pPr>
              <w:jc w:val="center"/>
            </w:pPr>
            <w:r>
              <w:rPr>
                <w:rFonts w:ascii="Times New Roman" w:eastAsia="仿宋"/>
                <w:szCs w:val="21"/>
              </w:rPr>
              <w:t>0</w:t>
            </w:r>
          </w:p>
        </w:tc>
        <w:tc>
          <w:tcPr>
            <w:tcW w:w="1108" w:type="pct"/>
            <w:noWrap/>
          </w:tcPr>
          <w:p w14:paraId="4BB37ADA">
            <w:pPr>
              <w:jc w:val="center"/>
            </w:pPr>
            <w:r>
              <w:rPr>
                <w:rFonts w:ascii="Times New Roman" w:eastAsia="仿宋"/>
                <w:szCs w:val="21"/>
              </w:rPr>
              <w:t>0</w:t>
            </w:r>
          </w:p>
        </w:tc>
        <w:tc>
          <w:tcPr>
            <w:tcW w:w="1107" w:type="pct"/>
            <w:noWrap/>
            <w:vAlign w:val="center"/>
          </w:tcPr>
          <w:p w14:paraId="75D4C302">
            <w:pPr>
              <w:widowControl/>
              <w:jc w:val="center"/>
              <w:rPr>
                <w:rFonts w:ascii="Times New Roman" w:eastAsia="仿宋"/>
                <w:szCs w:val="21"/>
              </w:rPr>
            </w:pPr>
            <w:r>
              <w:rPr>
                <w:rFonts w:hint="eastAsia" w:ascii="Times New Roman" w:eastAsia="仿宋"/>
                <w:szCs w:val="21"/>
              </w:rPr>
              <w:t>1.488167</w:t>
            </w:r>
          </w:p>
        </w:tc>
      </w:tr>
      <w:tr w14:paraId="7690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FC80A19">
            <w:pPr>
              <w:widowControl/>
              <w:jc w:val="center"/>
              <w:rPr>
                <w:rFonts w:ascii="Times New Roman" w:eastAsia="仿宋"/>
                <w:szCs w:val="21"/>
              </w:rPr>
            </w:pPr>
            <w:r>
              <w:rPr>
                <w:rFonts w:ascii="Times New Roman" w:eastAsia="仿宋"/>
                <w:szCs w:val="21"/>
              </w:rPr>
              <w:t>67</w:t>
            </w:r>
          </w:p>
        </w:tc>
        <w:tc>
          <w:tcPr>
            <w:tcW w:w="1108" w:type="pct"/>
            <w:noWrap/>
          </w:tcPr>
          <w:p w14:paraId="063228F4">
            <w:pPr>
              <w:jc w:val="center"/>
            </w:pPr>
            <w:r>
              <w:rPr>
                <w:rFonts w:ascii="Times New Roman" w:eastAsia="仿宋"/>
                <w:szCs w:val="21"/>
              </w:rPr>
              <w:t>0</w:t>
            </w:r>
          </w:p>
        </w:tc>
        <w:tc>
          <w:tcPr>
            <w:tcW w:w="1108" w:type="pct"/>
            <w:noWrap/>
          </w:tcPr>
          <w:p w14:paraId="730E5A8D">
            <w:pPr>
              <w:jc w:val="center"/>
            </w:pPr>
            <w:r>
              <w:rPr>
                <w:rFonts w:ascii="Times New Roman" w:eastAsia="仿宋"/>
                <w:szCs w:val="21"/>
              </w:rPr>
              <w:t>0</w:t>
            </w:r>
          </w:p>
        </w:tc>
        <w:tc>
          <w:tcPr>
            <w:tcW w:w="1107" w:type="pct"/>
            <w:noWrap/>
            <w:vAlign w:val="center"/>
          </w:tcPr>
          <w:p w14:paraId="1CC3360F">
            <w:pPr>
              <w:widowControl/>
              <w:jc w:val="center"/>
              <w:rPr>
                <w:rFonts w:ascii="Times New Roman" w:eastAsia="仿宋"/>
                <w:szCs w:val="21"/>
              </w:rPr>
            </w:pPr>
            <w:r>
              <w:rPr>
                <w:rFonts w:hint="eastAsia" w:ascii="Times New Roman" w:eastAsia="仿宋"/>
                <w:szCs w:val="21"/>
              </w:rPr>
              <w:t>1.229647</w:t>
            </w:r>
          </w:p>
        </w:tc>
      </w:tr>
      <w:tr w14:paraId="12DB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0B99595">
            <w:pPr>
              <w:widowControl/>
              <w:jc w:val="center"/>
              <w:rPr>
                <w:rFonts w:ascii="Times New Roman" w:eastAsia="仿宋"/>
                <w:szCs w:val="21"/>
              </w:rPr>
            </w:pPr>
            <w:r>
              <w:rPr>
                <w:rFonts w:ascii="Times New Roman" w:eastAsia="仿宋"/>
                <w:szCs w:val="21"/>
              </w:rPr>
              <w:t>68</w:t>
            </w:r>
          </w:p>
        </w:tc>
        <w:tc>
          <w:tcPr>
            <w:tcW w:w="1108" w:type="pct"/>
            <w:noWrap/>
          </w:tcPr>
          <w:p w14:paraId="3416C053">
            <w:pPr>
              <w:jc w:val="center"/>
            </w:pPr>
            <w:r>
              <w:rPr>
                <w:rFonts w:ascii="Times New Roman" w:eastAsia="仿宋"/>
                <w:szCs w:val="21"/>
              </w:rPr>
              <w:t>0</w:t>
            </w:r>
          </w:p>
        </w:tc>
        <w:tc>
          <w:tcPr>
            <w:tcW w:w="1108" w:type="pct"/>
            <w:noWrap/>
          </w:tcPr>
          <w:p w14:paraId="3AB58106">
            <w:pPr>
              <w:jc w:val="center"/>
            </w:pPr>
            <w:r>
              <w:rPr>
                <w:rFonts w:ascii="Times New Roman" w:eastAsia="仿宋"/>
                <w:szCs w:val="21"/>
              </w:rPr>
              <w:t>0</w:t>
            </w:r>
          </w:p>
        </w:tc>
        <w:tc>
          <w:tcPr>
            <w:tcW w:w="1107" w:type="pct"/>
            <w:noWrap/>
            <w:vAlign w:val="center"/>
          </w:tcPr>
          <w:p w14:paraId="676B0E1A">
            <w:pPr>
              <w:widowControl/>
              <w:jc w:val="center"/>
              <w:rPr>
                <w:rFonts w:ascii="Times New Roman" w:eastAsia="仿宋"/>
                <w:szCs w:val="21"/>
              </w:rPr>
            </w:pPr>
            <w:r>
              <w:rPr>
                <w:rFonts w:hint="eastAsia" w:ascii="Times New Roman" w:eastAsia="仿宋"/>
                <w:szCs w:val="21"/>
              </w:rPr>
              <w:t>1.013414</w:t>
            </w:r>
          </w:p>
        </w:tc>
      </w:tr>
      <w:tr w14:paraId="3E5A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776483C">
            <w:pPr>
              <w:widowControl/>
              <w:jc w:val="center"/>
              <w:rPr>
                <w:rFonts w:ascii="Times New Roman" w:eastAsia="仿宋"/>
                <w:szCs w:val="21"/>
              </w:rPr>
            </w:pPr>
            <w:r>
              <w:rPr>
                <w:rFonts w:ascii="Times New Roman" w:eastAsia="仿宋"/>
                <w:szCs w:val="21"/>
              </w:rPr>
              <w:t>69</w:t>
            </w:r>
          </w:p>
        </w:tc>
        <w:tc>
          <w:tcPr>
            <w:tcW w:w="1108" w:type="pct"/>
            <w:noWrap/>
          </w:tcPr>
          <w:p w14:paraId="4D8558E0">
            <w:pPr>
              <w:jc w:val="center"/>
            </w:pPr>
            <w:r>
              <w:rPr>
                <w:rFonts w:ascii="Times New Roman" w:eastAsia="仿宋"/>
                <w:szCs w:val="21"/>
              </w:rPr>
              <w:t>0</w:t>
            </w:r>
          </w:p>
        </w:tc>
        <w:tc>
          <w:tcPr>
            <w:tcW w:w="1108" w:type="pct"/>
            <w:noWrap/>
          </w:tcPr>
          <w:p w14:paraId="66EF8B0D">
            <w:pPr>
              <w:jc w:val="center"/>
            </w:pPr>
            <w:r>
              <w:rPr>
                <w:rFonts w:ascii="Times New Roman" w:eastAsia="仿宋"/>
                <w:szCs w:val="21"/>
              </w:rPr>
              <w:t>0</w:t>
            </w:r>
          </w:p>
        </w:tc>
        <w:tc>
          <w:tcPr>
            <w:tcW w:w="1107" w:type="pct"/>
            <w:noWrap/>
            <w:vAlign w:val="center"/>
          </w:tcPr>
          <w:p w14:paraId="2A2CDD60">
            <w:pPr>
              <w:widowControl/>
              <w:jc w:val="center"/>
              <w:rPr>
                <w:rFonts w:ascii="Times New Roman" w:eastAsia="仿宋"/>
                <w:szCs w:val="21"/>
              </w:rPr>
            </w:pPr>
            <w:r>
              <w:rPr>
                <w:rFonts w:hint="eastAsia" w:ascii="Times New Roman" w:eastAsia="仿宋"/>
                <w:szCs w:val="21"/>
              </w:rPr>
              <w:t>0.833047</w:t>
            </w:r>
          </w:p>
        </w:tc>
      </w:tr>
      <w:tr w14:paraId="7391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66B59A1">
            <w:pPr>
              <w:widowControl/>
              <w:jc w:val="center"/>
              <w:rPr>
                <w:rFonts w:ascii="Times New Roman" w:eastAsia="仿宋"/>
                <w:szCs w:val="21"/>
              </w:rPr>
            </w:pPr>
            <w:r>
              <w:rPr>
                <w:rFonts w:ascii="Times New Roman" w:eastAsia="仿宋"/>
                <w:szCs w:val="21"/>
              </w:rPr>
              <w:t>70</w:t>
            </w:r>
          </w:p>
        </w:tc>
        <w:tc>
          <w:tcPr>
            <w:tcW w:w="1108" w:type="pct"/>
            <w:noWrap/>
          </w:tcPr>
          <w:p w14:paraId="181F093C">
            <w:pPr>
              <w:jc w:val="center"/>
            </w:pPr>
            <w:r>
              <w:rPr>
                <w:rFonts w:ascii="Times New Roman" w:eastAsia="仿宋"/>
                <w:szCs w:val="21"/>
              </w:rPr>
              <w:t>0</w:t>
            </w:r>
          </w:p>
        </w:tc>
        <w:tc>
          <w:tcPr>
            <w:tcW w:w="1108" w:type="pct"/>
            <w:noWrap/>
          </w:tcPr>
          <w:p w14:paraId="743BA41D">
            <w:pPr>
              <w:jc w:val="center"/>
            </w:pPr>
            <w:r>
              <w:rPr>
                <w:rFonts w:ascii="Times New Roman" w:eastAsia="仿宋"/>
                <w:szCs w:val="21"/>
              </w:rPr>
              <w:t>0</w:t>
            </w:r>
          </w:p>
        </w:tc>
        <w:tc>
          <w:tcPr>
            <w:tcW w:w="1107" w:type="pct"/>
            <w:noWrap/>
            <w:vAlign w:val="center"/>
          </w:tcPr>
          <w:p w14:paraId="1D7C7D31">
            <w:pPr>
              <w:widowControl/>
              <w:jc w:val="center"/>
              <w:rPr>
                <w:rFonts w:ascii="Times New Roman" w:eastAsia="仿宋"/>
                <w:szCs w:val="21"/>
              </w:rPr>
            </w:pPr>
            <w:r>
              <w:rPr>
                <w:rFonts w:hint="eastAsia" w:ascii="Times New Roman" w:eastAsia="仿宋"/>
                <w:szCs w:val="21"/>
              </w:rPr>
              <w:t>0.68301</w:t>
            </w:r>
          </w:p>
        </w:tc>
      </w:tr>
      <w:tr w14:paraId="545B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4ED3ECF">
            <w:pPr>
              <w:widowControl/>
              <w:jc w:val="center"/>
              <w:rPr>
                <w:rFonts w:ascii="Times New Roman" w:eastAsia="仿宋"/>
                <w:szCs w:val="21"/>
              </w:rPr>
            </w:pPr>
            <w:r>
              <w:rPr>
                <w:rFonts w:ascii="Times New Roman" w:eastAsia="仿宋"/>
                <w:szCs w:val="21"/>
              </w:rPr>
              <w:t>71</w:t>
            </w:r>
          </w:p>
        </w:tc>
        <w:tc>
          <w:tcPr>
            <w:tcW w:w="1108" w:type="pct"/>
            <w:noWrap/>
          </w:tcPr>
          <w:p w14:paraId="2BFC6E2D">
            <w:pPr>
              <w:jc w:val="center"/>
            </w:pPr>
            <w:r>
              <w:rPr>
                <w:rFonts w:ascii="Times New Roman" w:eastAsia="仿宋"/>
                <w:szCs w:val="21"/>
              </w:rPr>
              <w:t>0</w:t>
            </w:r>
          </w:p>
        </w:tc>
        <w:tc>
          <w:tcPr>
            <w:tcW w:w="1108" w:type="pct"/>
            <w:noWrap/>
          </w:tcPr>
          <w:p w14:paraId="0BB467B1">
            <w:pPr>
              <w:jc w:val="center"/>
            </w:pPr>
            <w:r>
              <w:rPr>
                <w:rFonts w:ascii="Times New Roman" w:eastAsia="仿宋"/>
                <w:szCs w:val="21"/>
              </w:rPr>
              <w:t>0</w:t>
            </w:r>
          </w:p>
        </w:tc>
        <w:tc>
          <w:tcPr>
            <w:tcW w:w="1107" w:type="pct"/>
            <w:noWrap/>
            <w:vAlign w:val="center"/>
          </w:tcPr>
          <w:p w14:paraId="6C54F1D6">
            <w:pPr>
              <w:widowControl/>
              <w:jc w:val="center"/>
              <w:rPr>
                <w:rFonts w:ascii="Times New Roman" w:eastAsia="仿宋"/>
                <w:szCs w:val="21"/>
              </w:rPr>
            </w:pPr>
            <w:r>
              <w:rPr>
                <w:rFonts w:hint="eastAsia" w:ascii="Times New Roman" w:eastAsia="仿宋"/>
                <w:szCs w:val="21"/>
              </w:rPr>
              <w:t>0.558546</w:t>
            </w:r>
          </w:p>
        </w:tc>
      </w:tr>
      <w:tr w14:paraId="759E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E45A196">
            <w:pPr>
              <w:widowControl/>
              <w:jc w:val="center"/>
              <w:rPr>
                <w:rFonts w:ascii="Times New Roman" w:eastAsia="仿宋"/>
                <w:szCs w:val="21"/>
              </w:rPr>
            </w:pPr>
            <w:r>
              <w:rPr>
                <w:rFonts w:ascii="Times New Roman" w:eastAsia="仿宋"/>
                <w:szCs w:val="21"/>
              </w:rPr>
              <w:t>72</w:t>
            </w:r>
          </w:p>
        </w:tc>
        <w:tc>
          <w:tcPr>
            <w:tcW w:w="1108" w:type="pct"/>
            <w:noWrap/>
          </w:tcPr>
          <w:p w14:paraId="532F02E0">
            <w:pPr>
              <w:jc w:val="center"/>
            </w:pPr>
            <w:r>
              <w:rPr>
                <w:rFonts w:ascii="Times New Roman" w:eastAsia="仿宋"/>
                <w:szCs w:val="21"/>
              </w:rPr>
              <w:t>0</w:t>
            </w:r>
          </w:p>
        </w:tc>
        <w:tc>
          <w:tcPr>
            <w:tcW w:w="1108" w:type="pct"/>
            <w:noWrap/>
          </w:tcPr>
          <w:p w14:paraId="479AAF2F">
            <w:pPr>
              <w:jc w:val="center"/>
            </w:pPr>
            <w:r>
              <w:rPr>
                <w:rFonts w:ascii="Times New Roman" w:eastAsia="仿宋"/>
                <w:szCs w:val="21"/>
              </w:rPr>
              <w:t>0</w:t>
            </w:r>
          </w:p>
        </w:tc>
        <w:tc>
          <w:tcPr>
            <w:tcW w:w="1107" w:type="pct"/>
            <w:noWrap/>
            <w:vAlign w:val="center"/>
          </w:tcPr>
          <w:p w14:paraId="630FD467">
            <w:pPr>
              <w:widowControl/>
              <w:jc w:val="center"/>
              <w:rPr>
                <w:rFonts w:ascii="Times New Roman" w:eastAsia="仿宋"/>
                <w:szCs w:val="21"/>
              </w:rPr>
            </w:pPr>
            <w:r>
              <w:rPr>
                <w:rFonts w:hint="eastAsia" w:ascii="Times New Roman" w:eastAsia="仿宋"/>
                <w:szCs w:val="21"/>
              </w:rPr>
              <w:t>0.455578</w:t>
            </w:r>
          </w:p>
        </w:tc>
      </w:tr>
      <w:tr w14:paraId="1F86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AA361A9">
            <w:pPr>
              <w:widowControl/>
              <w:jc w:val="center"/>
              <w:rPr>
                <w:rFonts w:ascii="Times New Roman" w:eastAsia="仿宋"/>
                <w:szCs w:val="21"/>
              </w:rPr>
            </w:pPr>
            <w:r>
              <w:rPr>
                <w:rFonts w:ascii="Times New Roman" w:eastAsia="仿宋"/>
                <w:szCs w:val="21"/>
              </w:rPr>
              <w:t>73</w:t>
            </w:r>
          </w:p>
        </w:tc>
        <w:tc>
          <w:tcPr>
            <w:tcW w:w="1108" w:type="pct"/>
            <w:noWrap/>
          </w:tcPr>
          <w:p w14:paraId="341A6E88">
            <w:pPr>
              <w:jc w:val="center"/>
            </w:pPr>
            <w:r>
              <w:rPr>
                <w:rFonts w:ascii="Times New Roman" w:eastAsia="仿宋"/>
                <w:szCs w:val="21"/>
              </w:rPr>
              <w:t>0</w:t>
            </w:r>
          </w:p>
        </w:tc>
        <w:tc>
          <w:tcPr>
            <w:tcW w:w="1108" w:type="pct"/>
            <w:noWrap/>
          </w:tcPr>
          <w:p w14:paraId="59E60702">
            <w:pPr>
              <w:jc w:val="center"/>
            </w:pPr>
            <w:r>
              <w:rPr>
                <w:rFonts w:ascii="Times New Roman" w:eastAsia="仿宋"/>
                <w:szCs w:val="21"/>
              </w:rPr>
              <w:t>0</w:t>
            </w:r>
          </w:p>
        </w:tc>
        <w:tc>
          <w:tcPr>
            <w:tcW w:w="1107" w:type="pct"/>
            <w:noWrap/>
            <w:vAlign w:val="center"/>
          </w:tcPr>
          <w:p w14:paraId="081F3F18">
            <w:pPr>
              <w:widowControl/>
              <w:jc w:val="center"/>
              <w:rPr>
                <w:rFonts w:ascii="Times New Roman" w:eastAsia="仿宋"/>
                <w:szCs w:val="21"/>
              </w:rPr>
            </w:pPr>
            <w:r>
              <w:rPr>
                <w:rFonts w:hint="eastAsia" w:ascii="Times New Roman" w:eastAsia="仿宋"/>
                <w:szCs w:val="21"/>
              </w:rPr>
              <w:t>0.370627</w:t>
            </w:r>
          </w:p>
        </w:tc>
      </w:tr>
      <w:tr w14:paraId="0D09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6350B41">
            <w:pPr>
              <w:widowControl/>
              <w:jc w:val="center"/>
              <w:rPr>
                <w:rFonts w:ascii="Times New Roman" w:eastAsia="仿宋"/>
                <w:szCs w:val="21"/>
              </w:rPr>
            </w:pPr>
            <w:r>
              <w:rPr>
                <w:rFonts w:ascii="Times New Roman" w:eastAsia="仿宋"/>
                <w:szCs w:val="21"/>
              </w:rPr>
              <w:t>74</w:t>
            </w:r>
          </w:p>
        </w:tc>
        <w:tc>
          <w:tcPr>
            <w:tcW w:w="1108" w:type="pct"/>
            <w:noWrap/>
          </w:tcPr>
          <w:p w14:paraId="2C04F5C7">
            <w:pPr>
              <w:jc w:val="center"/>
            </w:pPr>
            <w:r>
              <w:rPr>
                <w:rFonts w:ascii="Times New Roman" w:eastAsia="仿宋"/>
                <w:szCs w:val="21"/>
              </w:rPr>
              <w:t>0</w:t>
            </w:r>
          </w:p>
        </w:tc>
        <w:tc>
          <w:tcPr>
            <w:tcW w:w="1108" w:type="pct"/>
            <w:noWrap/>
          </w:tcPr>
          <w:p w14:paraId="58203C6D">
            <w:pPr>
              <w:jc w:val="center"/>
            </w:pPr>
            <w:r>
              <w:rPr>
                <w:rFonts w:ascii="Times New Roman" w:eastAsia="仿宋"/>
                <w:szCs w:val="21"/>
              </w:rPr>
              <w:t>0</w:t>
            </w:r>
          </w:p>
        </w:tc>
        <w:tc>
          <w:tcPr>
            <w:tcW w:w="1107" w:type="pct"/>
            <w:noWrap/>
            <w:vAlign w:val="center"/>
          </w:tcPr>
          <w:p w14:paraId="18C50184">
            <w:pPr>
              <w:widowControl/>
              <w:jc w:val="center"/>
              <w:rPr>
                <w:rFonts w:ascii="Times New Roman" w:eastAsia="仿宋"/>
                <w:szCs w:val="21"/>
              </w:rPr>
            </w:pPr>
            <w:r>
              <w:rPr>
                <w:rFonts w:hint="eastAsia" w:ascii="Times New Roman" w:eastAsia="仿宋"/>
                <w:szCs w:val="21"/>
              </w:rPr>
              <w:t>0.300734</w:t>
            </w:r>
          </w:p>
        </w:tc>
      </w:tr>
      <w:tr w14:paraId="46C2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DDDEF31">
            <w:pPr>
              <w:widowControl/>
              <w:jc w:val="center"/>
              <w:rPr>
                <w:rFonts w:ascii="Times New Roman" w:eastAsia="仿宋"/>
                <w:szCs w:val="21"/>
              </w:rPr>
            </w:pPr>
            <w:r>
              <w:rPr>
                <w:rFonts w:ascii="Times New Roman" w:eastAsia="仿宋"/>
                <w:szCs w:val="21"/>
              </w:rPr>
              <w:t>75</w:t>
            </w:r>
          </w:p>
        </w:tc>
        <w:tc>
          <w:tcPr>
            <w:tcW w:w="1108" w:type="pct"/>
            <w:noWrap/>
          </w:tcPr>
          <w:p w14:paraId="2100DA0F">
            <w:pPr>
              <w:jc w:val="center"/>
            </w:pPr>
            <w:r>
              <w:rPr>
                <w:rFonts w:ascii="Times New Roman" w:eastAsia="仿宋"/>
                <w:szCs w:val="21"/>
              </w:rPr>
              <w:t>0</w:t>
            </w:r>
          </w:p>
        </w:tc>
        <w:tc>
          <w:tcPr>
            <w:tcW w:w="1108" w:type="pct"/>
            <w:noWrap/>
          </w:tcPr>
          <w:p w14:paraId="3B23D37C">
            <w:pPr>
              <w:jc w:val="center"/>
            </w:pPr>
            <w:r>
              <w:rPr>
                <w:rFonts w:ascii="Times New Roman" w:eastAsia="仿宋"/>
                <w:szCs w:val="21"/>
              </w:rPr>
              <w:t>0</w:t>
            </w:r>
          </w:p>
        </w:tc>
        <w:tc>
          <w:tcPr>
            <w:tcW w:w="1107" w:type="pct"/>
            <w:noWrap/>
            <w:vAlign w:val="center"/>
          </w:tcPr>
          <w:p w14:paraId="657FA5A9">
            <w:pPr>
              <w:widowControl/>
              <w:jc w:val="center"/>
              <w:rPr>
                <w:rFonts w:ascii="Times New Roman" w:eastAsia="仿宋"/>
                <w:szCs w:val="21"/>
              </w:rPr>
            </w:pPr>
            <w:r>
              <w:rPr>
                <w:rFonts w:hint="eastAsia" w:ascii="Times New Roman" w:eastAsia="仿宋"/>
                <w:szCs w:val="21"/>
              </w:rPr>
              <w:t>0.243386</w:t>
            </w:r>
          </w:p>
        </w:tc>
      </w:tr>
      <w:tr w14:paraId="706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1B10967">
            <w:pPr>
              <w:widowControl/>
              <w:jc w:val="center"/>
              <w:rPr>
                <w:rFonts w:ascii="Times New Roman" w:eastAsia="仿宋"/>
                <w:szCs w:val="21"/>
              </w:rPr>
            </w:pPr>
            <w:r>
              <w:rPr>
                <w:rFonts w:ascii="Times New Roman" w:eastAsia="仿宋"/>
                <w:szCs w:val="21"/>
              </w:rPr>
              <w:t>76</w:t>
            </w:r>
          </w:p>
        </w:tc>
        <w:tc>
          <w:tcPr>
            <w:tcW w:w="1108" w:type="pct"/>
            <w:noWrap/>
          </w:tcPr>
          <w:p w14:paraId="11EF4B9A">
            <w:pPr>
              <w:jc w:val="center"/>
            </w:pPr>
            <w:r>
              <w:rPr>
                <w:rFonts w:ascii="Times New Roman" w:eastAsia="仿宋"/>
                <w:szCs w:val="21"/>
              </w:rPr>
              <w:t>0</w:t>
            </w:r>
          </w:p>
        </w:tc>
        <w:tc>
          <w:tcPr>
            <w:tcW w:w="1108" w:type="pct"/>
            <w:noWrap/>
          </w:tcPr>
          <w:p w14:paraId="6F970CF9">
            <w:pPr>
              <w:jc w:val="center"/>
            </w:pPr>
            <w:r>
              <w:rPr>
                <w:rFonts w:ascii="Times New Roman" w:eastAsia="仿宋"/>
                <w:szCs w:val="21"/>
              </w:rPr>
              <w:t>0</w:t>
            </w:r>
          </w:p>
        </w:tc>
        <w:tc>
          <w:tcPr>
            <w:tcW w:w="1107" w:type="pct"/>
            <w:noWrap/>
            <w:vAlign w:val="center"/>
          </w:tcPr>
          <w:p w14:paraId="4D9215AC">
            <w:pPr>
              <w:widowControl/>
              <w:jc w:val="center"/>
              <w:rPr>
                <w:rFonts w:ascii="Times New Roman" w:eastAsia="仿宋"/>
                <w:szCs w:val="21"/>
              </w:rPr>
            </w:pPr>
            <w:r>
              <w:rPr>
                <w:rFonts w:hint="eastAsia" w:ascii="Times New Roman" w:eastAsia="仿宋"/>
                <w:szCs w:val="21"/>
              </w:rPr>
              <w:t>0.196461</w:t>
            </w:r>
          </w:p>
        </w:tc>
      </w:tr>
      <w:tr w14:paraId="1D14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6ECD3186">
            <w:pPr>
              <w:widowControl/>
              <w:jc w:val="center"/>
              <w:rPr>
                <w:rFonts w:ascii="Times New Roman" w:eastAsia="仿宋"/>
                <w:szCs w:val="21"/>
              </w:rPr>
            </w:pPr>
            <w:r>
              <w:rPr>
                <w:rFonts w:ascii="Times New Roman" w:eastAsia="仿宋"/>
                <w:szCs w:val="21"/>
              </w:rPr>
              <w:t>77</w:t>
            </w:r>
          </w:p>
        </w:tc>
        <w:tc>
          <w:tcPr>
            <w:tcW w:w="1108" w:type="pct"/>
            <w:noWrap/>
          </w:tcPr>
          <w:p w14:paraId="018A7527">
            <w:pPr>
              <w:jc w:val="center"/>
            </w:pPr>
            <w:r>
              <w:rPr>
                <w:rFonts w:ascii="Times New Roman" w:eastAsia="仿宋"/>
                <w:szCs w:val="21"/>
              </w:rPr>
              <w:t>0</w:t>
            </w:r>
          </w:p>
        </w:tc>
        <w:tc>
          <w:tcPr>
            <w:tcW w:w="1108" w:type="pct"/>
            <w:noWrap/>
          </w:tcPr>
          <w:p w14:paraId="5F36E2FF">
            <w:pPr>
              <w:jc w:val="center"/>
            </w:pPr>
            <w:r>
              <w:rPr>
                <w:rFonts w:ascii="Times New Roman" w:eastAsia="仿宋"/>
                <w:szCs w:val="21"/>
              </w:rPr>
              <w:t>0</w:t>
            </w:r>
          </w:p>
        </w:tc>
        <w:tc>
          <w:tcPr>
            <w:tcW w:w="1107" w:type="pct"/>
            <w:noWrap/>
            <w:vAlign w:val="center"/>
          </w:tcPr>
          <w:p w14:paraId="25544947">
            <w:pPr>
              <w:widowControl/>
              <w:jc w:val="center"/>
              <w:rPr>
                <w:rFonts w:ascii="Times New Roman" w:eastAsia="仿宋"/>
                <w:szCs w:val="21"/>
              </w:rPr>
            </w:pPr>
            <w:r>
              <w:rPr>
                <w:rFonts w:hint="eastAsia" w:ascii="Times New Roman" w:eastAsia="仿宋"/>
                <w:szCs w:val="21"/>
              </w:rPr>
              <w:t>0.15817</w:t>
            </w:r>
          </w:p>
        </w:tc>
      </w:tr>
      <w:tr w14:paraId="5FB1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973036D">
            <w:pPr>
              <w:widowControl/>
              <w:jc w:val="center"/>
              <w:rPr>
                <w:rFonts w:ascii="Times New Roman" w:eastAsia="仿宋"/>
                <w:szCs w:val="21"/>
              </w:rPr>
            </w:pPr>
            <w:r>
              <w:rPr>
                <w:rFonts w:ascii="Times New Roman" w:eastAsia="仿宋"/>
                <w:szCs w:val="21"/>
              </w:rPr>
              <w:t>78</w:t>
            </w:r>
          </w:p>
        </w:tc>
        <w:tc>
          <w:tcPr>
            <w:tcW w:w="1108" w:type="pct"/>
            <w:noWrap/>
          </w:tcPr>
          <w:p w14:paraId="52E2851C">
            <w:pPr>
              <w:jc w:val="center"/>
            </w:pPr>
            <w:r>
              <w:rPr>
                <w:rFonts w:ascii="Times New Roman" w:eastAsia="仿宋"/>
                <w:szCs w:val="21"/>
              </w:rPr>
              <w:t>0</w:t>
            </w:r>
          </w:p>
        </w:tc>
        <w:tc>
          <w:tcPr>
            <w:tcW w:w="1108" w:type="pct"/>
            <w:noWrap/>
          </w:tcPr>
          <w:p w14:paraId="5DC964BB">
            <w:pPr>
              <w:jc w:val="center"/>
            </w:pPr>
            <w:r>
              <w:rPr>
                <w:rFonts w:ascii="Times New Roman" w:eastAsia="仿宋"/>
                <w:szCs w:val="21"/>
              </w:rPr>
              <w:t>0</w:t>
            </w:r>
          </w:p>
        </w:tc>
        <w:tc>
          <w:tcPr>
            <w:tcW w:w="1107" w:type="pct"/>
            <w:noWrap/>
            <w:vAlign w:val="center"/>
          </w:tcPr>
          <w:p w14:paraId="35490713">
            <w:pPr>
              <w:widowControl/>
              <w:jc w:val="center"/>
              <w:rPr>
                <w:rFonts w:ascii="Times New Roman" w:eastAsia="仿宋"/>
                <w:szCs w:val="21"/>
              </w:rPr>
            </w:pPr>
            <w:r>
              <w:rPr>
                <w:rFonts w:hint="eastAsia" w:ascii="Times New Roman" w:eastAsia="仿宋"/>
                <w:szCs w:val="21"/>
              </w:rPr>
              <w:t>0.127009</w:t>
            </w:r>
          </w:p>
        </w:tc>
      </w:tr>
      <w:tr w14:paraId="202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7D70586">
            <w:pPr>
              <w:widowControl/>
              <w:jc w:val="center"/>
              <w:rPr>
                <w:rFonts w:ascii="Times New Roman" w:eastAsia="仿宋"/>
                <w:szCs w:val="21"/>
              </w:rPr>
            </w:pPr>
            <w:r>
              <w:rPr>
                <w:rFonts w:ascii="Times New Roman" w:eastAsia="仿宋"/>
                <w:szCs w:val="21"/>
              </w:rPr>
              <w:t>79</w:t>
            </w:r>
          </w:p>
        </w:tc>
        <w:tc>
          <w:tcPr>
            <w:tcW w:w="1108" w:type="pct"/>
            <w:noWrap/>
          </w:tcPr>
          <w:p w14:paraId="6EEEBC51">
            <w:pPr>
              <w:jc w:val="center"/>
            </w:pPr>
            <w:r>
              <w:rPr>
                <w:rFonts w:ascii="Times New Roman" w:eastAsia="仿宋"/>
                <w:szCs w:val="21"/>
              </w:rPr>
              <w:t>0</w:t>
            </w:r>
          </w:p>
        </w:tc>
        <w:tc>
          <w:tcPr>
            <w:tcW w:w="1108" w:type="pct"/>
            <w:noWrap/>
          </w:tcPr>
          <w:p w14:paraId="02107B9B">
            <w:pPr>
              <w:jc w:val="center"/>
            </w:pPr>
            <w:r>
              <w:rPr>
                <w:rFonts w:ascii="Times New Roman" w:eastAsia="仿宋"/>
                <w:szCs w:val="21"/>
              </w:rPr>
              <w:t>0</w:t>
            </w:r>
          </w:p>
        </w:tc>
        <w:tc>
          <w:tcPr>
            <w:tcW w:w="1107" w:type="pct"/>
            <w:noWrap/>
            <w:vAlign w:val="center"/>
          </w:tcPr>
          <w:p w14:paraId="649F9011">
            <w:pPr>
              <w:widowControl/>
              <w:jc w:val="center"/>
              <w:rPr>
                <w:rFonts w:ascii="Times New Roman" w:eastAsia="仿宋"/>
                <w:szCs w:val="21"/>
              </w:rPr>
            </w:pPr>
            <w:r>
              <w:rPr>
                <w:rFonts w:hint="eastAsia" w:ascii="Times New Roman" w:eastAsia="仿宋"/>
                <w:szCs w:val="21"/>
              </w:rPr>
              <w:t>0.101721</w:t>
            </w:r>
          </w:p>
        </w:tc>
      </w:tr>
      <w:tr w14:paraId="4EC3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0238CED">
            <w:pPr>
              <w:widowControl/>
              <w:jc w:val="center"/>
              <w:rPr>
                <w:rFonts w:ascii="Times New Roman" w:eastAsia="仿宋"/>
                <w:szCs w:val="21"/>
              </w:rPr>
            </w:pPr>
            <w:r>
              <w:rPr>
                <w:rFonts w:ascii="Times New Roman" w:eastAsia="仿宋"/>
                <w:szCs w:val="21"/>
              </w:rPr>
              <w:t>80</w:t>
            </w:r>
          </w:p>
        </w:tc>
        <w:tc>
          <w:tcPr>
            <w:tcW w:w="1108" w:type="pct"/>
            <w:noWrap/>
          </w:tcPr>
          <w:p w14:paraId="4794EE9E">
            <w:pPr>
              <w:jc w:val="center"/>
            </w:pPr>
            <w:r>
              <w:rPr>
                <w:rFonts w:ascii="Times New Roman" w:eastAsia="仿宋"/>
                <w:szCs w:val="21"/>
              </w:rPr>
              <w:t>0</w:t>
            </w:r>
          </w:p>
        </w:tc>
        <w:tc>
          <w:tcPr>
            <w:tcW w:w="1108" w:type="pct"/>
            <w:noWrap/>
          </w:tcPr>
          <w:p w14:paraId="49BB0FBB">
            <w:pPr>
              <w:jc w:val="center"/>
            </w:pPr>
            <w:r>
              <w:rPr>
                <w:rFonts w:ascii="Times New Roman" w:eastAsia="仿宋"/>
                <w:szCs w:val="21"/>
              </w:rPr>
              <w:t>0</w:t>
            </w:r>
          </w:p>
        </w:tc>
        <w:tc>
          <w:tcPr>
            <w:tcW w:w="1107" w:type="pct"/>
            <w:noWrap/>
            <w:vAlign w:val="center"/>
          </w:tcPr>
          <w:p w14:paraId="4CD6DFF2">
            <w:pPr>
              <w:widowControl/>
              <w:jc w:val="center"/>
              <w:rPr>
                <w:rFonts w:ascii="Times New Roman" w:eastAsia="仿宋"/>
                <w:szCs w:val="21"/>
              </w:rPr>
            </w:pPr>
            <w:r>
              <w:rPr>
                <w:rFonts w:hint="eastAsia" w:ascii="Times New Roman" w:eastAsia="仿宋"/>
                <w:szCs w:val="21"/>
              </w:rPr>
              <w:t>0.081255</w:t>
            </w:r>
          </w:p>
        </w:tc>
      </w:tr>
      <w:tr w14:paraId="2ACC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7A64DF8">
            <w:pPr>
              <w:widowControl/>
              <w:jc w:val="center"/>
              <w:rPr>
                <w:rFonts w:ascii="Times New Roman" w:eastAsia="仿宋"/>
                <w:szCs w:val="21"/>
              </w:rPr>
            </w:pPr>
            <w:r>
              <w:rPr>
                <w:rFonts w:ascii="Times New Roman" w:eastAsia="仿宋"/>
                <w:szCs w:val="21"/>
              </w:rPr>
              <w:t>81</w:t>
            </w:r>
          </w:p>
        </w:tc>
        <w:tc>
          <w:tcPr>
            <w:tcW w:w="1108" w:type="pct"/>
            <w:noWrap/>
          </w:tcPr>
          <w:p w14:paraId="5BCD7127">
            <w:pPr>
              <w:jc w:val="center"/>
            </w:pPr>
            <w:r>
              <w:rPr>
                <w:rFonts w:ascii="Times New Roman" w:eastAsia="仿宋"/>
                <w:szCs w:val="21"/>
              </w:rPr>
              <w:t>0</w:t>
            </w:r>
          </w:p>
        </w:tc>
        <w:tc>
          <w:tcPr>
            <w:tcW w:w="1108" w:type="pct"/>
            <w:noWrap/>
          </w:tcPr>
          <w:p w14:paraId="61267D12">
            <w:pPr>
              <w:jc w:val="center"/>
            </w:pPr>
            <w:r>
              <w:rPr>
                <w:rFonts w:ascii="Times New Roman" w:eastAsia="仿宋"/>
                <w:szCs w:val="21"/>
              </w:rPr>
              <w:t>0</w:t>
            </w:r>
          </w:p>
        </w:tc>
        <w:tc>
          <w:tcPr>
            <w:tcW w:w="1107" w:type="pct"/>
            <w:noWrap/>
            <w:vAlign w:val="center"/>
          </w:tcPr>
          <w:p w14:paraId="37D41C7A">
            <w:pPr>
              <w:widowControl/>
              <w:jc w:val="center"/>
              <w:rPr>
                <w:rFonts w:ascii="Times New Roman" w:eastAsia="仿宋"/>
                <w:szCs w:val="21"/>
              </w:rPr>
            </w:pPr>
            <w:r>
              <w:rPr>
                <w:rFonts w:hint="eastAsia" w:ascii="Times New Roman" w:eastAsia="仿宋"/>
                <w:szCs w:val="21"/>
              </w:rPr>
              <w:t>0.064737</w:t>
            </w:r>
          </w:p>
        </w:tc>
      </w:tr>
      <w:tr w14:paraId="6C55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7A976AD">
            <w:pPr>
              <w:widowControl/>
              <w:jc w:val="center"/>
              <w:rPr>
                <w:rFonts w:ascii="Times New Roman" w:eastAsia="仿宋"/>
                <w:szCs w:val="21"/>
              </w:rPr>
            </w:pPr>
            <w:r>
              <w:rPr>
                <w:rFonts w:ascii="Times New Roman" w:eastAsia="仿宋"/>
                <w:szCs w:val="21"/>
              </w:rPr>
              <w:t>82</w:t>
            </w:r>
          </w:p>
        </w:tc>
        <w:tc>
          <w:tcPr>
            <w:tcW w:w="1108" w:type="pct"/>
            <w:noWrap/>
          </w:tcPr>
          <w:p w14:paraId="251BB09B">
            <w:pPr>
              <w:jc w:val="center"/>
            </w:pPr>
            <w:r>
              <w:rPr>
                <w:rFonts w:ascii="Times New Roman" w:eastAsia="仿宋"/>
                <w:szCs w:val="21"/>
              </w:rPr>
              <w:t>0</w:t>
            </w:r>
          </w:p>
        </w:tc>
        <w:tc>
          <w:tcPr>
            <w:tcW w:w="1108" w:type="pct"/>
            <w:noWrap/>
          </w:tcPr>
          <w:p w14:paraId="37DD9B5C">
            <w:pPr>
              <w:jc w:val="center"/>
            </w:pPr>
            <w:r>
              <w:rPr>
                <w:rFonts w:ascii="Times New Roman" w:eastAsia="仿宋"/>
                <w:szCs w:val="21"/>
              </w:rPr>
              <w:t>0</w:t>
            </w:r>
          </w:p>
        </w:tc>
        <w:tc>
          <w:tcPr>
            <w:tcW w:w="1107" w:type="pct"/>
            <w:noWrap/>
            <w:vAlign w:val="center"/>
          </w:tcPr>
          <w:p w14:paraId="4AF0B21E">
            <w:pPr>
              <w:widowControl/>
              <w:jc w:val="center"/>
              <w:rPr>
                <w:rFonts w:ascii="Times New Roman" w:eastAsia="仿宋"/>
                <w:szCs w:val="21"/>
              </w:rPr>
            </w:pPr>
            <w:r>
              <w:rPr>
                <w:rFonts w:hint="eastAsia" w:ascii="Times New Roman" w:eastAsia="仿宋"/>
                <w:szCs w:val="21"/>
              </w:rPr>
              <w:t>0.051441</w:t>
            </w:r>
          </w:p>
        </w:tc>
      </w:tr>
      <w:tr w14:paraId="6E18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0A5DE222">
            <w:pPr>
              <w:widowControl/>
              <w:jc w:val="center"/>
              <w:rPr>
                <w:rFonts w:ascii="Times New Roman" w:eastAsia="仿宋"/>
                <w:szCs w:val="21"/>
              </w:rPr>
            </w:pPr>
            <w:r>
              <w:rPr>
                <w:rFonts w:ascii="Times New Roman" w:eastAsia="仿宋"/>
                <w:szCs w:val="21"/>
              </w:rPr>
              <w:t>83</w:t>
            </w:r>
          </w:p>
        </w:tc>
        <w:tc>
          <w:tcPr>
            <w:tcW w:w="1108" w:type="pct"/>
            <w:noWrap/>
          </w:tcPr>
          <w:p w14:paraId="43F8F8E4">
            <w:pPr>
              <w:jc w:val="center"/>
            </w:pPr>
            <w:r>
              <w:rPr>
                <w:rFonts w:ascii="Times New Roman" w:eastAsia="仿宋"/>
                <w:szCs w:val="21"/>
              </w:rPr>
              <w:t>0</w:t>
            </w:r>
          </w:p>
        </w:tc>
        <w:tc>
          <w:tcPr>
            <w:tcW w:w="1108" w:type="pct"/>
            <w:noWrap/>
          </w:tcPr>
          <w:p w14:paraId="624B90F7">
            <w:pPr>
              <w:jc w:val="center"/>
            </w:pPr>
            <w:r>
              <w:rPr>
                <w:rFonts w:ascii="Times New Roman" w:eastAsia="仿宋"/>
                <w:szCs w:val="21"/>
              </w:rPr>
              <w:t>0</w:t>
            </w:r>
          </w:p>
        </w:tc>
        <w:tc>
          <w:tcPr>
            <w:tcW w:w="1107" w:type="pct"/>
            <w:noWrap/>
            <w:vAlign w:val="center"/>
          </w:tcPr>
          <w:p w14:paraId="0A547D8D">
            <w:pPr>
              <w:widowControl/>
              <w:jc w:val="center"/>
              <w:rPr>
                <w:rFonts w:ascii="Times New Roman" w:eastAsia="仿宋"/>
                <w:szCs w:val="21"/>
              </w:rPr>
            </w:pPr>
            <w:r>
              <w:rPr>
                <w:rFonts w:hint="eastAsia" w:ascii="Times New Roman" w:eastAsia="仿宋"/>
                <w:szCs w:val="21"/>
              </w:rPr>
              <w:t>0.040769</w:t>
            </w:r>
          </w:p>
        </w:tc>
      </w:tr>
      <w:tr w14:paraId="5166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D0DD7DA">
            <w:pPr>
              <w:widowControl/>
              <w:jc w:val="center"/>
              <w:rPr>
                <w:rFonts w:ascii="Times New Roman" w:eastAsia="仿宋"/>
                <w:szCs w:val="21"/>
              </w:rPr>
            </w:pPr>
            <w:r>
              <w:rPr>
                <w:rFonts w:ascii="Times New Roman" w:eastAsia="仿宋"/>
                <w:szCs w:val="21"/>
              </w:rPr>
              <w:t>84</w:t>
            </w:r>
          </w:p>
        </w:tc>
        <w:tc>
          <w:tcPr>
            <w:tcW w:w="1108" w:type="pct"/>
            <w:noWrap/>
          </w:tcPr>
          <w:p w14:paraId="2BE1E705">
            <w:pPr>
              <w:jc w:val="center"/>
            </w:pPr>
            <w:r>
              <w:rPr>
                <w:rFonts w:ascii="Times New Roman" w:eastAsia="仿宋"/>
                <w:szCs w:val="21"/>
              </w:rPr>
              <w:t>0</w:t>
            </w:r>
          </w:p>
        </w:tc>
        <w:tc>
          <w:tcPr>
            <w:tcW w:w="1108" w:type="pct"/>
            <w:noWrap/>
          </w:tcPr>
          <w:p w14:paraId="0A7EEAC1">
            <w:pPr>
              <w:jc w:val="center"/>
            </w:pPr>
            <w:r>
              <w:rPr>
                <w:rFonts w:ascii="Times New Roman" w:eastAsia="仿宋"/>
                <w:szCs w:val="21"/>
              </w:rPr>
              <w:t>0</w:t>
            </w:r>
          </w:p>
        </w:tc>
        <w:tc>
          <w:tcPr>
            <w:tcW w:w="1107" w:type="pct"/>
            <w:noWrap/>
            <w:vAlign w:val="center"/>
          </w:tcPr>
          <w:p w14:paraId="299B0F3D">
            <w:pPr>
              <w:widowControl/>
              <w:jc w:val="center"/>
              <w:rPr>
                <w:rFonts w:ascii="Times New Roman" w:eastAsia="仿宋"/>
                <w:szCs w:val="21"/>
              </w:rPr>
            </w:pPr>
            <w:r>
              <w:rPr>
                <w:rFonts w:hint="eastAsia" w:ascii="Times New Roman" w:eastAsia="仿宋"/>
                <w:szCs w:val="21"/>
              </w:rPr>
              <w:t>0.032227</w:t>
            </w:r>
          </w:p>
        </w:tc>
      </w:tr>
      <w:tr w14:paraId="4660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3B1AB29">
            <w:pPr>
              <w:widowControl/>
              <w:jc w:val="center"/>
              <w:rPr>
                <w:rFonts w:ascii="Times New Roman" w:eastAsia="仿宋"/>
                <w:szCs w:val="21"/>
              </w:rPr>
            </w:pPr>
            <w:r>
              <w:rPr>
                <w:rFonts w:ascii="Times New Roman" w:eastAsia="仿宋"/>
                <w:szCs w:val="21"/>
              </w:rPr>
              <w:t>85</w:t>
            </w:r>
          </w:p>
        </w:tc>
        <w:tc>
          <w:tcPr>
            <w:tcW w:w="1108" w:type="pct"/>
            <w:noWrap/>
          </w:tcPr>
          <w:p w14:paraId="7831485C">
            <w:pPr>
              <w:jc w:val="center"/>
            </w:pPr>
            <w:r>
              <w:rPr>
                <w:rFonts w:ascii="Times New Roman" w:eastAsia="仿宋"/>
                <w:szCs w:val="21"/>
              </w:rPr>
              <w:t>0</w:t>
            </w:r>
          </w:p>
        </w:tc>
        <w:tc>
          <w:tcPr>
            <w:tcW w:w="1108" w:type="pct"/>
            <w:noWrap/>
          </w:tcPr>
          <w:p w14:paraId="0B227E45">
            <w:pPr>
              <w:jc w:val="center"/>
            </w:pPr>
            <w:r>
              <w:rPr>
                <w:rFonts w:ascii="Times New Roman" w:eastAsia="仿宋"/>
                <w:szCs w:val="21"/>
              </w:rPr>
              <w:t>0</w:t>
            </w:r>
          </w:p>
        </w:tc>
        <w:tc>
          <w:tcPr>
            <w:tcW w:w="1107" w:type="pct"/>
            <w:noWrap/>
            <w:vAlign w:val="center"/>
          </w:tcPr>
          <w:p w14:paraId="0B4BDDA9">
            <w:pPr>
              <w:widowControl/>
              <w:jc w:val="center"/>
              <w:rPr>
                <w:rFonts w:ascii="Times New Roman" w:eastAsia="仿宋"/>
                <w:szCs w:val="21"/>
              </w:rPr>
            </w:pPr>
            <w:r>
              <w:rPr>
                <w:rFonts w:hint="eastAsia" w:ascii="Times New Roman" w:eastAsia="仿宋"/>
                <w:szCs w:val="21"/>
              </w:rPr>
              <w:t>0.025407</w:t>
            </w:r>
          </w:p>
        </w:tc>
      </w:tr>
      <w:tr w14:paraId="6CA0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FC67C65">
            <w:pPr>
              <w:widowControl/>
              <w:jc w:val="center"/>
              <w:rPr>
                <w:rFonts w:ascii="Times New Roman" w:eastAsia="仿宋"/>
                <w:szCs w:val="21"/>
              </w:rPr>
            </w:pPr>
            <w:r>
              <w:rPr>
                <w:rFonts w:ascii="Times New Roman" w:eastAsia="仿宋"/>
                <w:szCs w:val="21"/>
              </w:rPr>
              <w:t>86</w:t>
            </w:r>
          </w:p>
        </w:tc>
        <w:tc>
          <w:tcPr>
            <w:tcW w:w="1108" w:type="pct"/>
            <w:noWrap/>
          </w:tcPr>
          <w:p w14:paraId="43300FAD">
            <w:pPr>
              <w:jc w:val="center"/>
            </w:pPr>
            <w:r>
              <w:rPr>
                <w:rFonts w:ascii="Times New Roman" w:eastAsia="仿宋"/>
                <w:szCs w:val="21"/>
              </w:rPr>
              <w:t>0</w:t>
            </w:r>
          </w:p>
        </w:tc>
        <w:tc>
          <w:tcPr>
            <w:tcW w:w="1108" w:type="pct"/>
            <w:noWrap/>
          </w:tcPr>
          <w:p w14:paraId="7B5F4A2B">
            <w:pPr>
              <w:jc w:val="center"/>
            </w:pPr>
            <w:r>
              <w:rPr>
                <w:rFonts w:ascii="Times New Roman" w:eastAsia="仿宋"/>
                <w:szCs w:val="21"/>
              </w:rPr>
              <w:t>0</w:t>
            </w:r>
          </w:p>
        </w:tc>
        <w:tc>
          <w:tcPr>
            <w:tcW w:w="1107" w:type="pct"/>
            <w:noWrap/>
            <w:vAlign w:val="center"/>
          </w:tcPr>
          <w:p w14:paraId="18003F94">
            <w:pPr>
              <w:widowControl/>
              <w:jc w:val="center"/>
              <w:rPr>
                <w:rFonts w:ascii="Times New Roman" w:eastAsia="仿宋"/>
                <w:szCs w:val="21"/>
              </w:rPr>
            </w:pPr>
            <w:r>
              <w:rPr>
                <w:rFonts w:hint="eastAsia" w:ascii="Times New Roman" w:eastAsia="仿宋"/>
                <w:szCs w:val="21"/>
              </w:rPr>
              <w:t>0.019978</w:t>
            </w:r>
          </w:p>
        </w:tc>
      </w:tr>
      <w:tr w14:paraId="2283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36BB76C">
            <w:pPr>
              <w:widowControl/>
              <w:jc w:val="center"/>
              <w:rPr>
                <w:rFonts w:ascii="Times New Roman" w:eastAsia="仿宋"/>
                <w:szCs w:val="21"/>
              </w:rPr>
            </w:pPr>
            <w:r>
              <w:rPr>
                <w:rFonts w:ascii="Times New Roman" w:eastAsia="仿宋"/>
                <w:szCs w:val="21"/>
              </w:rPr>
              <w:t>87</w:t>
            </w:r>
          </w:p>
        </w:tc>
        <w:tc>
          <w:tcPr>
            <w:tcW w:w="1108" w:type="pct"/>
            <w:noWrap/>
          </w:tcPr>
          <w:p w14:paraId="5F4F28CB">
            <w:pPr>
              <w:jc w:val="center"/>
            </w:pPr>
            <w:r>
              <w:rPr>
                <w:rFonts w:ascii="Times New Roman" w:eastAsia="仿宋"/>
                <w:szCs w:val="21"/>
              </w:rPr>
              <w:t>0</w:t>
            </w:r>
          </w:p>
        </w:tc>
        <w:tc>
          <w:tcPr>
            <w:tcW w:w="1108" w:type="pct"/>
            <w:noWrap/>
          </w:tcPr>
          <w:p w14:paraId="3D2146BE">
            <w:pPr>
              <w:jc w:val="center"/>
            </w:pPr>
            <w:r>
              <w:rPr>
                <w:rFonts w:ascii="Times New Roman" w:eastAsia="仿宋"/>
                <w:szCs w:val="21"/>
              </w:rPr>
              <w:t>0</w:t>
            </w:r>
          </w:p>
        </w:tc>
        <w:tc>
          <w:tcPr>
            <w:tcW w:w="1107" w:type="pct"/>
            <w:noWrap/>
            <w:vAlign w:val="center"/>
          </w:tcPr>
          <w:p w14:paraId="5A177E53">
            <w:pPr>
              <w:widowControl/>
              <w:jc w:val="center"/>
              <w:rPr>
                <w:rFonts w:ascii="Times New Roman" w:eastAsia="仿宋"/>
                <w:szCs w:val="21"/>
              </w:rPr>
            </w:pPr>
            <w:r>
              <w:rPr>
                <w:rFonts w:hint="eastAsia" w:ascii="Times New Roman" w:eastAsia="仿宋"/>
                <w:szCs w:val="21"/>
              </w:rPr>
              <w:t>0.015668</w:t>
            </w:r>
          </w:p>
        </w:tc>
      </w:tr>
      <w:tr w14:paraId="6407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837BA33">
            <w:pPr>
              <w:widowControl/>
              <w:jc w:val="center"/>
              <w:rPr>
                <w:rFonts w:ascii="Times New Roman" w:eastAsia="仿宋"/>
                <w:szCs w:val="21"/>
              </w:rPr>
            </w:pPr>
            <w:r>
              <w:rPr>
                <w:rFonts w:ascii="Times New Roman" w:eastAsia="仿宋"/>
                <w:szCs w:val="21"/>
              </w:rPr>
              <w:t>88</w:t>
            </w:r>
          </w:p>
        </w:tc>
        <w:tc>
          <w:tcPr>
            <w:tcW w:w="1108" w:type="pct"/>
            <w:noWrap/>
          </w:tcPr>
          <w:p w14:paraId="594CF7F1">
            <w:pPr>
              <w:jc w:val="center"/>
            </w:pPr>
            <w:r>
              <w:rPr>
                <w:rFonts w:ascii="Times New Roman" w:eastAsia="仿宋"/>
                <w:szCs w:val="21"/>
              </w:rPr>
              <w:t>0</w:t>
            </w:r>
          </w:p>
        </w:tc>
        <w:tc>
          <w:tcPr>
            <w:tcW w:w="1108" w:type="pct"/>
            <w:noWrap/>
          </w:tcPr>
          <w:p w14:paraId="0FB94D0B">
            <w:pPr>
              <w:jc w:val="center"/>
            </w:pPr>
            <w:r>
              <w:rPr>
                <w:rFonts w:ascii="Times New Roman" w:eastAsia="仿宋"/>
                <w:szCs w:val="21"/>
              </w:rPr>
              <w:t>0</w:t>
            </w:r>
          </w:p>
        </w:tc>
        <w:tc>
          <w:tcPr>
            <w:tcW w:w="1107" w:type="pct"/>
            <w:noWrap/>
            <w:vAlign w:val="center"/>
          </w:tcPr>
          <w:p w14:paraId="6D746CFB">
            <w:pPr>
              <w:widowControl/>
              <w:jc w:val="center"/>
              <w:rPr>
                <w:rFonts w:ascii="Times New Roman" w:eastAsia="仿宋"/>
                <w:szCs w:val="21"/>
              </w:rPr>
            </w:pPr>
            <w:r>
              <w:rPr>
                <w:rFonts w:hint="eastAsia" w:ascii="Times New Roman" w:eastAsia="仿宋"/>
                <w:szCs w:val="21"/>
              </w:rPr>
              <w:t>0.012255</w:t>
            </w:r>
          </w:p>
        </w:tc>
      </w:tr>
      <w:tr w14:paraId="1BAA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1FCCC40">
            <w:pPr>
              <w:widowControl/>
              <w:jc w:val="center"/>
              <w:rPr>
                <w:rFonts w:ascii="Times New Roman" w:eastAsia="仿宋"/>
                <w:szCs w:val="21"/>
              </w:rPr>
            </w:pPr>
            <w:r>
              <w:rPr>
                <w:rFonts w:ascii="Times New Roman" w:eastAsia="仿宋"/>
                <w:szCs w:val="21"/>
              </w:rPr>
              <w:t>89</w:t>
            </w:r>
          </w:p>
        </w:tc>
        <w:tc>
          <w:tcPr>
            <w:tcW w:w="1108" w:type="pct"/>
            <w:noWrap/>
          </w:tcPr>
          <w:p w14:paraId="027FD78F">
            <w:pPr>
              <w:jc w:val="center"/>
            </w:pPr>
            <w:r>
              <w:rPr>
                <w:rFonts w:ascii="Times New Roman" w:eastAsia="仿宋"/>
                <w:szCs w:val="21"/>
              </w:rPr>
              <w:t>0</w:t>
            </w:r>
          </w:p>
        </w:tc>
        <w:tc>
          <w:tcPr>
            <w:tcW w:w="1108" w:type="pct"/>
            <w:noWrap/>
          </w:tcPr>
          <w:p w14:paraId="1525AA51">
            <w:pPr>
              <w:jc w:val="center"/>
            </w:pPr>
            <w:r>
              <w:rPr>
                <w:rFonts w:ascii="Times New Roman" w:eastAsia="仿宋"/>
                <w:szCs w:val="21"/>
              </w:rPr>
              <w:t>0</w:t>
            </w:r>
          </w:p>
        </w:tc>
        <w:tc>
          <w:tcPr>
            <w:tcW w:w="1107" w:type="pct"/>
            <w:noWrap/>
            <w:vAlign w:val="center"/>
          </w:tcPr>
          <w:p w14:paraId="677DE4F8">
            <w:pPr>
              <w:widowControl/>
              <w:jc w:val="center"/>
              <w:rPr>
                <w:rFonts w:ascii="Times New Roman" w:eastAsia="仿宋"/>
                <w:szCs w:val="21"/>
              </w:rPr>
            </w:pPr>
            <w:r>
              <w:rPr>
                <w:rFonts w:hint="eastAsia" w:ascii="Times New Roman" w:eastAsia="仿宋"/>
                <w:szCs w:val="21"/>
              </w:rPr>
              <w:t>0.00956</w:t>
            </w:r>
          </w:p>
        </w:tc>
      </w:tr>
      <w:tr w14:paraId="26E7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AACDF06">
            <w:pPr>
              <w:widowControl/>
              <w:jc w:val="center"/>
              <w:rPr>
                <w:rFonts w:ascii="Times New Roman" w:eastAsia="仿宋"/>
                <w:szCs w:val="21"/>
              </w:rPr>
            </w:pPr>
            <w:r>
              <w:rPr>
                <w:rFonts w:ascii="Times New Roman" w:eastAsia="仿宋"/>
                <w:szCs w:val="21"/>
              </w:rPr>
              <w:t>90</w:t>
            </w:r>
          </w:p>
        </w:tc>
        <w:tc>
          <w:tcPr>
            <w:tcW w:w="1108" w:type="pct"/>
            <w:noWrap/>
          </w:tcPr>
          <w:p w14:paraId="444098C8">
            <w:pPr>
              <w:jc w:val="center"/>
            </w:pPr>
            <w:r>
              <w:rPr>
                <w:rFonts w:ascii="Times New Roman" w:eastAsia="仿宋"/>
                <w:szCs w:val="21"/>
              </w:rPr>
              <w:t>0</w:t>
            </w:r>
          </w:p>
        </w:tc>
        <w:tc>
          <w:tcPr>
            <w:tcW w:w="1108" w:type="pct"/>
            <w:noWrap/>
          </w:tcPr>
          <w:p w14:paraId="075A8696">
            <w:pPr>
              <w:jc w:val="center"/>
            </w:pPr>
            <w:r>
              <w:rPr>
                <w:rFonts w:ascii="Times New Roman" w:eastAsia="仿宋"/>
                <w:szCs w:val="21"/>
              </w:rPr>
              <w:t>0</w:t>
            </w:r>
          </w:p>
        </w:tc>
        <w:tc>
          <w:tcPr>
            <w:tcW w:w="1107" w:type="pct"/>
            <w:noWrap/>
            <w:vAlign w:val="center"/>
          </w:tcPr>
          <w:p w14:paraId="38530600">
            <w:pPr>
              <w:widowControl/>
              <w:jc w:val="center"/>
              <w:rPr>
                <w:rFonts w:ascii="Times New Roman" w:eastAsia="仿宋"/>
                <w:szCs w:val="21"/>
              </w:rPr>
            </w:pPr>
            <w:r>
              <w:rPr>
                <w:rFonts w:hint="eastAsia" w:ascii="Times New Roman" w:eastAsia="仿宋"/>
                <w:szCs w:val="21"/>
              </w:rPr>
              <w:t>0.007439</w:t>
            </w:r>
          </w:p>
        </w:tc>
      </w:tr>
      <w:tr w14:paraId="6209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D4D9D96">
            <w:pPr>
              <w:widowControl/>
              <w:jc w:val="center"/>
              <w:rPr>
                <w:rFonts w:ascii="Times New Roman" w:eastAsia="仿宋"/>
                <w:szCs w:val="21"/>
              </w:rPr>
            </w:pPr>
            <w:r>
              <w:rPr>
                <w:rFonts w:ascii="Times New Roman" w:eastAsia="仿宋"/>
                <w:szCs w:val="21"/>
              </w:rPr>
              <w:t>91</w:t>
            </w:r>
          </w:p>
        </w:tc>
        <w:tc>
          <w:tcPr>
            <w:tcW w:w="1108" w:type="pct"/>
            <w:noWrap/>
          </w:tcPr>
          <w:p w14:paraId="3BF65BE9">
            <w:pPr>
              <w:jc w:val="center"/>
            </w:pPr>
            <w:r>
              <w:rPr>
                <w:rFonts w:ascii="Times New Roman" w:eastAsia="仿宋"/>
                <w:szCs w:val="21"/>
              </w:rPr>
              <w:t>0</w:t>
            </w:r>
          </w:p>
        </w:tc>
        <w:tc>
          <w:tcPr>
            <w:tcW w:w="1108" w:type="pct"/>
            <w:noWrap/>
          </w:tcPr>
          <w:p w14:paraId="76B04715">
            <w:pPr>
              <w:jc w:val="center"/>
            </w:pPr>
            <w:r>
              <w:rPr>
                <w:rFonts w:ascii="Times New Roman" w:eastAsia="仿宋"/>
                <w:szCs w:val="21"/>
              </w:rPr>
              <w:t>0</w:t>
            </w:r>
          </w:p>
        </w:tc>
        <w:tc>
          <w:tcPr>
            <w:tcW w:w="1107" w:type="pct"/>
            <w:noWrap/>
            <w:vAlign w:val="center"/>
          </w:tcPr>
          <w:p w14:paraId="26A1EFDE">
            <w:pPr>
              <w:widowControl/>
              <w:jc w:val="center"/>
              <w:rPr>
                <w:rFonts w:ascii="Times New Roman" w:eastAsia="仿宋"/>
                <w:szCs w:val="21"/>
              </w:rPr>
            </w:pPr>
            <w:r>
              <w:rPr>
                <w:rFonts w:hint="eastAsia" w:ascii="Times New Roman" w:eastAsia="仿宋"/>
                <w:szCs w:val="21"/>
              </w:rPr>
              <w:t>0.005773</w:t>
            </w:r>
          </w:p>
        </w:tc>
      </w:tr>
      <w:tr w14:paraId="20DD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17FCB34">
            <w:pPr>
              <w:widowControl/>
              <w:jc w:val="center"/>
              <w:rPr>
                <w:rFonts w:ascii="Times New Roman" w:eastAsia="仿宋"/>
                <w:szCs w:val="21"/>
              </w:rPr>
            </w:pPr>
            <w:r>
              <w:rPr>
                <w:rFonts w:ascii="Times New Roman" w:eastAsia="仿宋"/>
                <w:szCs w:val="21"/>
              </w:rPr>
              <w:t>92</w:t>
            </w:r>
          </w:p>
        </w:tc>
        <w:tc>
          <w:tcPr>
            <w:tcW w:w="1108" w:type="pct"/>
            <w:noWrap/>
          </w:tcPr>
          <w:p w14:paraId="4F2D8C6B">
            <w:pPr>
              <w:jc w:val="center"/>
            </w:pPr>
            <w:r>
              <w:rPr>
                <w:rFonts w:ascii="Times New Roman" w:eastAsia="仿宋"/>
                <w:szCs w:val="21"/>
              </w:rPr>
              <w:t>0</w:t>
            </w:r>
          </w:p>
        </w:tc>
        <w:tc>
          <w:tcPr>
            <w:tcW w:w="1108" w:type="pct"/>
            <w:noWrap/>
          </w:tcPr>
          <w:p w14:paraId="70236834">
            <w:pPr>
              <w:jc w:val="center"/>
            </w:pPr>
            <w:r>
              <w:rPr>
                <w:rFonts w:ascii="Times New Roman" w:eastAsia="仿宋"/>
                <w:szCs w:val="21"/>
              </w:rPr>
              <w:t>0</w:t>
            </w:r>
          </w:p>
        </w:tc>
        <w:tc>
          <w:tcPr>
            <w:tcW w:w="1107" w:type="pct"/>
            <w:noWrap/>
            <w:vAlign w:val="center"/>
          </w:tcPr>
          <w:p w14:paraId="413C022C">
            <w:pPr>
              <w:widowControl/>
              <w:jc w:val="center"/>
              <w:rPr>
                <w:rFonts w:ascii="Times New Roman" w:eastAsia="仿宋"/>
                <w:szCs w:val="21"/>
              </w:rPr>
            </w:pPr>
            <w:r>
              <w:rPr>
                <w:rFonts w:hint="eastAsia" w:ascii="Times New Roman" w:eastAsia="仿宋"/>
                <w:szCs w:val="21"/>
              </w:rPr>
              <w:t>0.004468</w:t>
            </w:r>
          </w:p>
        </w:tc>
      </w:tr>
      <w:tr w14:paraId="2E50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EE93C06">
            <w:pPr>
              <w:widowControl/>
              <w:jc w:val="center"/>
              <w:rPr>
                <w:rFonts w:ascii="Times New Roman" w:eastAsia="仿宋"/>
                <w:szCs w:val="21"/>
              </w:rPr>
            </w:pPr>
            <w:r>
              <w:rPr>
                <w:rFonts w:ascii="Times New Roman" w:eastAsia="仿宋"/>
                <w:szCs w:val="21"/>
              </w:rPr>
              <w:t>93</w:t>
            </w:r>
          </w:p>
        </w:tc>
        <w:tc>
          <w:tcPr>
            <w:tcW w:w="1108" w:type="pct"/>
            <w:noWrap/>
          </w:tcPr>
          <w:p w14:paraId="30CF79C2">
            <w:pPr>
              <w:jc w:val="center"/>
            </w:pPr>
            <w:r>
              <w:rPr>
                <w:rFonts w:ascii="Times New Roman" w:eastAsia="仿宋"/>
                <w:szCs w:val="21"/>
              </w:rPr>
              <w:t>0</w:t>
            </w:r>
          </w:p>
        </w:tc>
        <w:tc>
          <w:tcPr>
            <w:tcW w:w="1108" w:type="pct"/>
            <w:noWrap/>
          </w:tcPr>
          <w:p w14:paraId="555BC93C">
            <w:pPr>
              <w:jc w:val="center"/>
            </w:pPr>
            <w:r>
              <w:rPr>
                <w:rFonts w:ascii="Times New Roman" w:eastAsia="仿宋"/>
                <w:szCs w:val="21"/>
              </w:rPr>
              <w:t>0</w:t>
            </w:r>
          </w:p>
        </w:tc>
        <w:tc>
          <w:tcPr>
            <w:tcW w:w="1107" w:type="pct"/>
            <w:noWrap/>
            <w:vAlign w:val="center"/>
          </w:tcPr>
          <w:p w14:paraId="583E6C4E">
            <w:pPr>
              <w:widowControl/>
              <w:jc w:val="center"/>
              <w:rPr>
                <w:rFonts w:ascii="Times New Roman" w:eastAsia="仿宋"/>
                <w:szCs w:val="21"/>
              </w:rPr>
            </w:pPr>
            <w:r>
              <w:rPr>
                <w:rFonts w:hint="eastAsia" w:ascii="Times New Roman" w:eastAsia="仿宋"/>
                <w:szCs w:val="21"/>
              </w:rPr>
              <w:t>0.003449</w:t>
            </w:r>
          </w:p>
        </w:tc>
      </w:tr>
      <w:tr w14:paraId="3628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9C82746">
            <w:pPr>
              <w:widowControl/>
              <w:jc w:val="center"/>
              <w:rPr>
                <w:rFonts w:ascii="Times New Roman" w:eastAsia="仿宋"/>
                <w:szCs w:val="21"/>
              </w:rPr>
            </w:pPr>
            <w:r>
              <w:rPr>
                <w:rFonts w:ascii="Times New Roman" w:eastAsia="仿宋"/>
                <w:szCs w:val="21"/>
              </w:rPr>
              <w:t>94</w:t>
            </w:r>
          </w:p>
        </w:tc>
        <w:tc>
          <w:tcPr>
            <w:tcW w:w="1108" w:type="pct"/>
            <w:noWrap/>
          </w:tcPr>
          <w:p w14:paraId="7F6D7000">
            <w:pPr>
              <w:jc w:val="center"/>
            </w:pPr>
            <w:r>
              <w:rPr>
                <w:rFonts w:ascii="Times New Roman" w:eastAsia="仿宋"/>
                <w:szCs w:val="21"/>
              </w:rPr>
              <w:t>0</w:t>
            </w:r>
          </w:p>
        </w:tc>
        <w:tc>
          <w:tcPr>
            <w:tcW w:w="1108" w:type="pct"/>
            <w:noWrap/>
          </w:tcPr>
          <w:p w14:paraId="0CE25361">
            <w:pPr>
              <w:jc w:val="center"/>
            </w:pPr>
            <w:r>
              <w:rPr>
                <w:rFonts w:ascii="Times New Roman" w:eastAsia="仿宋"/>
                <w:szCs w:val="21"/>
              </w:rPr>
              <w:t>0</w:t>
            </w:r>
          </w:p>
        </w:tc>
        <w:tc>
          <w:tcPr>
            <w:tcW w:w="1107" w:type="pct"/>
            <w:noWrap/>
            <w:vAlign w:val="center"/>
          </w:tcPr>
          <w:p w14:paraId="5E262FE1">
            <w:pPr>
              <w:widowControl/>
              <w:jc w:val="center"/>
              <w:rPr>
                <w:rFonts w:ascii="Times New Roman" w:eastAsia="仿宋"/>
                <w:szCs w:val="21"/>
              </w:rPr>
            </w:pPr>
            <w:r>
              <w:rPr>
                <w:rFonts w:hint="eastAsia" w:ascii="Times New Roman" w:eastAsia="仿宋"/>
                <w:szCs w:val="21"/>
              </w:rPr>
              <w:t>0.002655</w:t>
            </w:r>
          </w:p>
        </w:tc>
      </w:tr>
      <w:tr w14:paraId="7380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772893DB">
            <w:pPr>
              <w:widowControl/>
              <w:jc w:val="center"/>
              <w:rPr>
                <w:rFonts w:ascii="Times New Roman" w:eastAsia="仿宋"/>
                <w:szCs w:val="21"/>
              </w:rPr>
            </w:pPr>
            <w:r>
              <w:rPr>
                <w:rFonts w:ascii="Times New Roman" w:eastAsia="仿宋"/>
                <w:szCs w:val="21"/>
              </w:rPr>
              <w:t>95</w:t>
            </w:r>
          </w:p>
        </w:tc>
        <w:tc>
          <w:tcPr>
            <w:tcW w:w="1108" w:type="pct"/>
            <w:noWrap/>
          </w:tcPr>
          <w:p w14:paraId="55F421C4">
            <w:pPr>
              <w:jc w:val="center"/>
            </w:pPr>
            <w:r>
              <w:rPr>
                <w:rFonts w:ascii="Times New Roman" w:eastAsia="仿宋"/>
                <w:szCs w:val="21"/>
              </w:rPr>
              <w:t>0</w:t>
            </w:r>
          </w:p>
        </w:tc>
        <w:tc>
          <w:tcPr>
            <w:tcW w:w="1108" w:type="pct"/>
            <w:noWrap/>
          </w:tcPr>
          <w:p w14:paraId="211DB36D">
            <w:pPr>
              <w:jc w:val="center"/>
            </w:pPr>
            <w:r>
              <w:rPr>
                <w:rFonts w:ascii="Times New Roman" w:eastAsia="仿宋"/>
                <w:szCs w:val="21"/>
              </w:rPr>
              <w:t>0</w:t>
            </w:r>
          </w:p>
        </w:tc>
        <w:tc>
          <w:tcPr>
            <w:tcW w:w="1107" w:type="pct"/>
            <w:noWrap/>
            <w:vAlign w:val="center"/>
          </w:tcPr>
          <w:p w14:paraId="529D4B06">
            <w:pPr>
              <w:widowControl/>
              <w:jc w:val="center"/>
              <w:rPr>
                <w:rFonts w:ascii="Times New Roman" w:eastAsia="仿宋"/>
                <w:szCs w:val="21"/>
              </w:rPr>
            </w:pPr>
            <w:r>
              <w:rPr>
                <w:rFonts w:hint="eastAsia" w:ascii="Times New Roman" w:eastAsia="仿宋"/>
                <w:szCs w:val="21"/>
              </w:rPr>
              <w:t>0.002039</w:t>
            </w:r>
          </w:p>
        </w:tc>
      </w:tr>
      <w:tr w14:paraId="0FB1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1423AD14">
            <w:pPr>
              <w:widowControl/>
              <w:jc w:val="center"/>
              <w:rPr>
                <w:rFonts w:ascii="Times New Roman" w:eastAsia="仿宋"/>
                <w:szCs w:val="21"/>
              </w:rPr>
            </w:pPr>
            <w:r>
              <w:rPr>
                <w:rFonts w:ascii="Times New Roman" w:eastAsia="仿宋"/>
                <w:szCs w:val="21"/>
              </w:rPr>
              <w:t>96</w:t>
            </w:r>
          </w:p>
        </w:tc>
        <w:tc>
          <w:tcPr>
            <w:tcW w:w="1108" w:type="pct"/>
            <w:noWrap/>
          </w:tcPr>
          <w:p w14:paraId="4ABAB85E">
            <w:pPr>
              <w:jc w:val="center"/>
            </w:pPr>
            <w:r>
              <w:rPr>
                <w:rFonts w:ascii="Times New Roman" w:eastAsia="仿宋"/>
                <w:szCs w:val="21"/>
              </w:rPr>
              <w:t>0</w:t>
            </w:r>
          </w:p>
        </w:tc>
        <w:tc>
          <w:tcPr>
            <w:tcW w:w="1108" w:type="pct"/>
            <w:noWrap/>
          </w:tcPr>
          <w:p w14:paraId="5859580B">
            <w:pPr>
              <w:jc w:val="center"/>
            </w:pPr>
            <w:r>
              <w:rPr>
                <w:rFonts w:ascii="Times New Roman" w:eastAsia="仿宋"/>
                <w:szCs w:val="21"/>
              </w:rPr>
              <w:t>0</w:t>
            </w:r>
          </w:p>
        </w:tc>
        <w:tc>
          <w:tcPr>
            <w:tcW w:w="1107" w:type="pct"/>
            <w:noWrap/>
            <w:vAlign w:val="center"/>
          </w:tcPr>
          <w:p w14:paraId="1BCF2429">
            <w:pPr>
              <w:widowControl/>
              <w:jc w:val="center"/>
              <w:rPr>
                <w:rFonts w:ascii="Times New Roman" w:eastAsia="仿宋"/>
                <w:szCs w:val="21"/>
              </w:rPr>
            </w:pPr>
            <w:r>
              <w:rPr>
                <w:rFonts w:hint="eastAsia" w:ascii="Times New Roman" w:eastAsia="仿宋"/>
                <w:szCs w:val="21"/>
              </w:rPr>
              <w:t>0.001561</w:t>
            </w:r>
          </w:p>
        </w:tc>
      </w:tr>
      <w:tr w14:paraId="0C85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2F646414">
            <w:pPr>
              <w:widowControl/>
              <w:jc w:val="center"/>
              <w:rPr>
                <w:rFonts w:ascii="Times New Roman" w:eastAsia="仿宋"/>
                <w:szCs w:val="21"/>
              </w:rPr>
            </w:pPr>
            <w:r>
              <w:rPr>
                <w:rFonts w:ascii="Times New Roman" w:eastAsia="仿宋"/>
                <w:szCs w:val="21"/>
              </w:rPr>
              <w:t>97</w:t>
            </w:r>
          </w:p>
        </w:tc>
        <w:tc>
          <w:tcPr>
            <w:tcW w:w="1108" w:type="pct"/>
            <w:noWrap/>
          </w:tcPr>
          <w:p w14:paraId="4A5040AE">
            <w:pPr>
              <w:jc w:val="center"/>
            </w:pPr>
            <w:r>
              <w:rPr>
                <w:rFonts w:ascii="Times New Roman" w:eastAsia="仿宋"/>
                <w:szCs w:val="21"/>
              </w:rPr>
              <w:t>0</w:t>
            </w:r>
          </w:p>
        </w:tc>
        <w:tc>
          <w:tcPr>
            <w:tcW w:w="1108" w:type="pct"/>
            <w:noWrap/>
          </w:tcPr>
          <w:p w14:paraId="53AB18DC">
            <w:pPr>
              <w:jc w:val="center"/>
            </w:pPr>
            <w:r>
              <w:rPr>
                <w:rFonts w:ascii="Times New Roman" w:eastAsia="仿宋"/>
                <w:szCs w:val="21"/>
              </w:rPr>
              <w:t>0</w:t>
            </w:r>
          </w:p>
        </w:tc>
        <w:tc>
          <w:tcPr>
            <w:tcW w:w="1107" w:type="pct"/>
            <w:noWrap/>
            <w:vAlign w:val="center"/>
          </w:tcPr>
          <w:p w14:paraId="1A94AAF0">
            <w:pPr>
              <w:widowControl/>
              <w:jc w:val="center"/>
              <w:rPr>
                <w:rFonts w:ascii="Times New Roman" w:eastAsia="仿宋"/>
                <w:szCs w:val="21"/>
              </w:rPr>
            </w:pPr>
            <w:r>
              <w:rPr>
                <w:rFonts w:hint="eastAsia" w:ascii="Times New Roman" w:eastAsia="仿宋"/>
                <w:szCs w:val="21"/>
              </w:rPr>
              <w:t>0.001193</w:t>
            </w:r>
          </w:p>
        </w:tc>
      </w:tr>
      <w:tr w14:paraId="5C03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35598ED3">
            <w:pPr>
              <w:widowControl/>
              <w:jc w:val="center"/>
              <w:rPr>
                <w:rFonts w:ascii="Times New Roman" w:eastAsia="仿宋"/>
                <w:szCs w:val="21"/>
              </w:rPr>
            </w:pPr>
            <w:r>
              <w:rPr>
                <w:rFonts w:ascii="Times New Roman" w:eastAsia="仿宋"/>
                <w:szCs w:val="21"/>
              </w:rPr>
              <w:t>98</w:t>
            </w:r>
          </w:p>
        </w:tc>
        <w:tc>
          <w:tcPr>
            <w:tcW w:w="1108" w:type="pct"/>
            <w:noWrap/>
          </w:tcPr>
          <w:p w14:paraId="48D8C1F2">
            <w:pPr>
              <w:jc w:val="center"/>
            </w:pPr>
            <w:r>
              <w:rPr>
                <w:rFonts w:ascii="Times New Roman" w:eastAsia="仿宋"/>
                <w:szCs w:val="21"/>
              </w:rPr>
              <w:t>0</w:t>
            </w:r>
          </w:p>
        </w:tc>
        <w:tc>
          <w:tcPr>
            <w:tcW w:w="1108" w:type="pct"/>
            <w:noWrap/>
          </w:tcPr>
          <w:p w14:paraId="435DCEE5">
            <w:pPr>
              <w:jc w:val="center"/>
            </w:pPr>
            <w:r>
              <w:rPr>
                <w:rFonts w:ascii="Times New Roman" w:eastAsia="仿宋"/>
                <w:szCs w:val="21"/>
              </w:rPr>
              <w:t>0</w:t>
            </w:r>
          </w:p>
        </w:tc>
        <w:tc>
          <w:tcPr>
            <w:tcW w:w="1107" w:type="pct"/>
            <w:noWrap/>
            <w:vAlign w:val="center"/>
          </w:tcPr>
          <w:p w14:paraId="08F46837">
            <w:pPr>
              <w:widowControl/>
              <w:jc w:val="center"/>
              <w:rPr>
                <w:rFonts w:ascii="Times New Roman" w:eastAsia="仿宋"/>
                <w:szCs w:val="21"/>
              </w:rPr>
            </w:pPr>
            <w:r>
              <w:rPr>
                <w:rFonts w:hint="eastAsia" w:ascii="Times New Roman" w:eastAsia="仿宋"/>
                <w:szCs w:val="21"/>
              </w:rPr>
              <w:t>0.000908</w:t>
            </w:r>
          </w:p>
        </w:tc>
      </w:tr>
      <w:tr w14:paraId="25F9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4CC71A56">
            <w:pPr>
              <w:widowControl/>
              <w:jc w:val="center"/>
              <w:rPr>
                <w:rFonts w:ascii="Times New Roman" w:eastAsia="仿宋"/>
                <w:szCs w:val="21"/>
              </w:rPr>
            </w:pPr>
            <w:r>
              <w:rPr>
                <w:rFonts w:ascii="Times New Roman" w:eastAsia="仿宋"/>
                <w:szCs w:val="21"/>
              </w:rPr>
              <w:t>99</w:t>
            </w:r>
          </w:p>
        </w:tc>
        <w:tc>
          <w:tcPr>
            <w:tcW w:w="1108" w:type="pct"/>
            <w:noWrap/>
          </w:tcPr>
          <w:p w14:paraId="35F4B50E">
            <w:pPr>
              <w:jc w:val="center"/>
            </w:pPr>
            <w:r>
              <w:rPr>
                <w:rFonts w:ascii="Times New Roman" w:eastAsia="仿宋"/>
                <w:szCs w:val="21"/>
              </w:rPr>
              <w:t>0</w:t>
            </w:r>
          </w:p>
        </w:tc>
        <w:tc>
          <w:tcPr>
            <w:tcW w:w="1108" w:type="pct"/>
            <w:noWrap/>
          </w:tcPr>
          <w:p w14:paraId="00AB2027">
            <w:pPr>
              <w:jc w:val="center"/>
            </w:pPr>
            <w:r>
              <w:rPr>
                <w:rFonts w:ascii="Times New Roman" w:eastAsia="仿宋"/>
                <w:szCs w:val="21"/>
              </w:rPr>
              <w:t>0</w:t>
            </w:r>
          </w:p>
        </w:tc>
        <w:tc>
          <w:tcPr>
            <w:tcW w:w="1107" w:type="pct"/>
            <w:noWrap/>
            <w:vAlign w:val="center"/>
          </w:tcPr>
          <w:p w14:paraId="4C9DD992">
            <w:pPr>
              <w:widowControl/>
              <w:jc w:val="center"/>
              <w:rPr>
                <w:rFonts w:ascii="Times New Roman" w:eastAsia="仿宋"/>
                <w:szCs w:val="21"/>
              </w:rPr>
            </w:pPr>
            <w:r>
              <w:rPr>
                <w:rFonts w:hint="eastAsia" w:ascii="Times New Roman" w:eastAsia="仿宋"/>
                <w:szCs w:val="21"/>
              </w:rPr>
              <w:t>0.00069</w:t>
            </w:r>
          </w:p>
        </w:tc>
      </w:tr>
      <w:tr w14:paraId="2472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noWrap/>
            <w:vAlign w:val="center"/>
          </w:tcPr>
          <w:p w14:paraId="52D9F1BC">
            <w:pPr>
              <w:widowControl/>
              <w:jc w:val="center"/>
              <w:rPr>
                <w:rFonts w:ascii="Times New Roman" w:eastAsia="仿宋"/>
                <w:szCs w:val="21"/>
              </w:rPr>
            </w:pPr>
            <w:r>
              <w:rPr>
                <w:rFonts w:ascii="Times New Roman" w:eastAsia="仿宋"/>
                <w:szCs w:val="21"/>
              </w:rPr>
              <w:t>100</w:t>
            </w:r>
          </w:p>
        </w:tc>
        <w:tc>
          <w:tcPr>
            <w:tcW w:w="1108" w:type="pct"/>
            <w:noWrap/>
          </w:tcPr>
          <w:p w14:paraId="44C5FEDC">
            <w:pPr>
              <w:jc w:val="center"/>
            </w:pPr>
            <w:r>
              <w:rPr>
                <w:rFonts w:ascii="Times New Roman" w:eastAsia="仿宋"/>
                <w:szCs w:val="21"/>
              </w:rPr>
              <w:t>0</w:t>
            </w:r>
          </w:p>
        </w:tc>
        <w:tc>
          <w:tcPr>
            <w:tcW w:w="1108" w:type="pct"/>
            <w:noWrap/>
          </w:tcPr>
          <w:p w14:paraId="44CEEA95">
            <w:pPr>
              <w:jc w:val="center"/>
            </w:pPr>
            <w:r>
              <w:rPr>
                <w:rFonts w:ascii="Times New Roman" w:eastAsia="仿宋"/>
                <w:szCs w:val="21"/>
              </w:rPr>
              <w:t>0</w:t>
            </w:r>
          </w:p>
        </w:tc>
        <w:tc>
          <w:tcPr>
            <w:tcW w:w="1107" w:type="pct"/>
            <w:noWrap/>
            <w:vAlign w:val="center"/>
          </w:tcPr>
          <w:p w14:paraId="169E1D36">
            <w:pPr>
              <w:widowControl/>
              <w:jc w:val="center"/>
              <w:rPr>
                <w:rFonts w:ascii="Times New Roman" w:eastAsia="仿宋"/>
                <w:szCs w:val="21"/>
              </w:rPr>
            </w:pPr>
            <w:r>
              <w:rPr>
                <w:rFonts w:hint="eastAsia" w:ascii="Times New Roman" w:eastAsia="仿宋"/>
                <w:szCs w:val="21"/>
              </w:rPr>
              <w:t>0.000523</w:t>
            </w:r>
          </w:p>
        </w:tc>
      </w:tr>
    </w:tbl>
    <w:p w14:paraId="6ADE0EED">
      <w:pPr>
        <w:tabs>
          <w:tab w:val="left" w:pos="1395"/>
          <w:tab w:val="center" w:pos="4153"/>
        </w:tabs>
        <w:spacing w:line="500" w:lineRule="exact"/>
        <w:jc w:val="center"/>
        <w:rPr>
          <w:rFonts w:ascii="Times New Roman" w:eastAsia="仿宋"/>
          <w:b/>
          <w:bCs/>
        </w:rPr>
      </w:pPr>
      <w:r>
        <w:rPr>
          <w:rFonts w:ascii="Times New Roman" w:eastAsia="仿宋"/>
          <w:b/>
          <w:bCs/>
        </w:rPr>
        <w:t>表5.2-38  超标及影响范围限值(mg/L)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556"/>
        <w:gridCol w:w="2509"/>
        <w:gridCol w:w="1820"/>
        <w:gridCol w:w="1819"/>
      </w:tblGrid>
      <w:tr w14:paraId="4040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0" w:type="pct"/>
            <w:vAlign w:val="center"/>
          </w:tcPr>
          <w:p w14:paraId="6979620E">
            <w:pPr>
              <w:pStyle w:val="170"/>
              <w:spacing w:line="320" w:lineRule="exact"/>
              <w:rPr>
                <w:rFonts w:ascii="Times New Roman" w:eastAsia="仿宋"/>
                <w:sz w:val="24"/>
                <w:szCs w:val="22"/>
              </w:rPr>
            </w:pPr>
            <w:r>
              <w:rPr>
                <w:rFonts w:ascii="Times New Roman" w:eastAsia="仿宋"/>
                <w:sz w:val="24"/>
                <w:szCs w:val="22"/>
              </w:rPr>
              <w:t>序号</w:t>
            </w:r>
          </w:p>
        </w:tc>
        <w:tc>
          <w:tcPr>
            <w:tcW w:w="913" w:type="pct"/>
            <w:vAlign w:val="center"/>
          </w:tcPr>
          <w:p w14:paraId="14CDE47F">
            <w:pPr>
              <w:pStyle w:val="170"/>
              <w:spacing w:line="320" w:lineRule="exact"/>
              <w:rPr>
                <w:rFonts w:ascii="Times New Roman" w:eastAsia="仿宋"/>
                <w:sz w:val="24"/>
                <w:szCs w:val="22"/>
              </w:rPr>
            </w:pPr>
            <w:r>
              <w:rPr>
                <w:rFonts w:ascii="Times New Roman" w:eastAsia="仿宋"/>
                <w:sz w:val="24"/>
                <w:szCs w:val="22"/>
              </w:rPr>
              <w:t>污染因子</w:t>
            </w:r>
          </w:p>
        </w:tc>
        <w:tc>
          <w:tcPr>
            <w:tcW w:w="1472" w:type="pct"/>
            <w:vAlign w:val="center"/>
          </w:tcPr>
          <w:p w14:paraId="73A24021">
            <w:pPr>
              <w:pStyle w:val="170"/>
              <w:spacing w:line="320" w:lineRule="exact"/>
              <w:rPr>
                <w:rFonts w:ascii="Times New Roman" w:eastAsia="仿宋"/>
                <w:sz w:val="24"/>
                <w:szCs w:val="22"/>
              </w:rPr>
            </w:pPr>
            <w:r>
              <w:rPr>
                <w:rFonts w:ascii="Times New Roman" w:eastAsia="仿宋"/>
                <w:sz w:val="24"/>
                <w:szCs w:val="22"/>
              </w:rPr>
              <w:t>受影响范围边界值</w:t>
            </w:r>
          </w:p>
        </w:tc>
        <w:tc>
          <w:tcPr>
            <w:tcW w:w="1068" w:type="pct"/>
            <w:vAlign w:val="center"/>
          </w:tcPr>
          <w:p w14:paraId="0C1F692C">
            <w:pPr>
              <w:pStyle w:val="170"/>
              <w:spacing w:line="320" w:lineRule="exact"/>
              <w:rPr>
                <w:rFonts w:ascii="Times New Roman" w:eastAsia="仿宋"/>
                <w:sz w:val="24"/>
                <w:szCs w:val="22"/>
              </w:rPr>
            </w:pPr>
            <w:r>
              <w:rPr>
                <w:rFonts w:ascii="Times New Roman" w:eastAsia="仿宋"/>
                <w:sz w:val="24"/>
                <w:szCs w:val="22"/>
              </w:rPr>
              <w:t>超标范围边界值</w:t>
            </w:r>
          </w:p>
        </w:tc>
        <w:tc>
          <w:tcPr>
            <w:tcW w:w="1067" w:type="pct"/>
            <w:vAlign w:val="center"/>
          </w:tcPr>
          <w:p w14:paraId="4BCE7B51">
            <w:pPr>
              <w:pStyle w:val="170"/>
              <w:spacing w:line="320" w:lineRule="exact"/>
              <w:rPr>
                <w:rFonts w:ascii="Times New Roman" w:eastAsia="仿宋"/>
                <w:sz w:val="24"/>
                <w:szCs w:val="22"/>
              </w:rPr>
            </w:pPr>
            <w:r>
              <w:rPr>
                <w:rFonts w:ascii="Times New Roman" w:eastAsia="仿宋"/>
                <w:sz w:val="24"/>
                <w:szCs w:val="22"/>
              </w:rPr>
              <w:t>背景值</w:t>
            </w:r>
          </w:p>
        </w:tc>
      </w:tr>
      <w:tr w14:paraId="34D9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0" w:type="pct"/>
            <w:vAlign w:val="center"/>
          </w:tcPr>
          <w:p w14:paraId="6F61B65D">
            <w:pPr>
              <w:pStyle w:val="170"/>
              <w:spacing w:line="320" w:lineRule="exact"/>
              <w:rPr>
                <w:rFonts w:ascii="Times New Roman" w:eastAsia="仿宋"/>
                <w:sz w:val="24"/>
                <w:szCs w:val="22"/>
              </w:rPr>
            </w:pPr>
            <w:r>
              <w:rPr>
                <w:rFonts w:ascii="Times New Roman" w:eastAsia="仿宋"/>
                <w:sz w:val="24"/>
                <w:szCs w:val="22"/>
              </w:rPr>
              <w:t>1</w:t>
            </w:r>
          </w:p>
        </w:tc>
        <w:tc>
          <w:tcPr>
            <w:tcW w:w="913" w:type="pct"/>
            <w:vAlign w:val="center"/>
          </w:tcPr>
          <w:p w14:paraId="077EFFB3">
            <w:pPr>
              <w:pStyle w:val="170"/>
              <w:spacing w:line="320" w:lineRule="exact"/>
              <w:rPr>
                <w:rFonts w:ascii="Times New Roman" w:eastAsia="仿宋"/>
                <w:sz w:val="24"/>
                <w:szCs w:val="22"/>
              </w:rPr>
            </w:pPr>
            <w:r>
              <w:rPr>
                <w:rFonts w:ascii="Times New Roman" w:eastAsia="仿宋"/>
                <w:sz w:val="24"/>
                <w:szCs w:val="22"/>
              </w:rPr>
              <w:t>高锰酸盐指数</w:t>
            </w:r>
          </w:p>
        </w:tc>
        <w:tc>
          <w:tcPr>
            <w:tcW w:w="1472" w:type="pct"/>
            <w:vAlign w:val="center"/>
          </w:tcPr>
          <w:p w14:paraId="4EDA98D8">
            <w:pPr>
              <w:pStyle w:val="170"/>
              <w:spacing w:line="320" w:lineRule="exact"/>
              <w:rPr>
                <w:rFonts w:ascii="Times New Roman" w:eastAsia="仿宋"/>
                <w:sz w:val="24"/>
                <w:szCs w:val="22"/>
              </w:rPr>
            </w:pPr>
            <w:r>
              <w:rPr>
                <w:rFonts w:ascii="Times New Roman" w:eastAsia="仿宋"/>
                <w:sz w:val="24"/>
                <w:szCs w:val="22"/>
              </w:rPr>
              <w:t>0.5</w:t>
            </w:r>
          </w:p>
        </w:tc>
        <w:tc>
          <w:tcPr>
            <w:tcW w:w="1068" w:type="pct"/>
            <w:vAlign w:val="center"/>
          </w:tcPr>
          <w:p w14:paraId="12A46457">
            <w:pPr>
              <w:pStyle w:val="170"/>
              <w:spacing w:line="320" w:lineRule="exact"/>
              <w:rPr>
                <w:rFonts w:ascii="Times New Roman" w:eastAsia="仿宋"/>
                <w:sz w:val="24"/>
                <w:szCs w:val="22"/>
              </w:rPr>
            </w:pPr>
            <w:r>
              <w:rPr>
                <w:rFonts w:hint="eastAsia" w:ascii="Times New Roman" w:eastAsia="仿宋"/>
                <w:sz w:val="24"/>
                <w:szCs w:val="22"/>
              </w:rPr>
              <w:t>3.0</w:t>
            </w:r>
          </w:p>
        </w:tc>
        <w:tc>
          <w:tcPr>
            <w:tcW w:w="1067" w:type="pct"/>
            <w:vAlign w:val="center"/>
          </w:tcPr>
          <w:p w14:paraId="0293225F">
            <w:pPr>
              <w:pStyle w:val="170"/>
              <w:spacing w:line="320" w:lineRule="exact"/>
              <w:rPr>
                <w:rFonts w:ascii="Times New Roman" w:eastAsia="仿宋"/>
                <w:sz w:val="24"/>
                <w:szCs w:val="22"/>
              </w:rPr>
            </w:pPr>
            <w:r>
              <w:rPr>
                <w:rFonts w:hint="eastAsia" w:ascii="Times New Roman" w:eastAsia="仿宋"/>
                <w:sz w:val="24"/>
                <w:szCs w:val="22"/>
              </w:rPr>
              <w:t>1.4</w:t>
            </w:r>
          </w:p>
        </w:tc>
      </w:tr>
    </w:tbl>
    <w:p w14:paraId="1FF83C4A">
      <w:pPr>
        <w:spacing w:line="500" w:lineRule="exact"/>
        <w:ind w:firstLine="560" w:firstLineChars="200"/>
        <w:rPr>
          <w:rFonts w:ascii="Times New Roman" w:eastAsia="仿宋"/>
          <w:sz w:val="28"/>
          <w:szCs w:val="28"/>
        </w:rPr>
      </w:pPr>
      <w:r>
        <w:rPr>
          <w:rFonts w:ascii="Times New Roman" w:eastAsia="仿宋"/>
          <w:sz w:val="28"/>
          <w:szCs w:val="28"/>
        </w:rPr>
        <w:t>从预测结果可以看出，在叠加本底值后，</w:t>
      </w:r>
      <w:r>
        <w:rPr>
          <w:rFonts w:hint="eastAsia" w:ascii="Times New Roman" w:eastAsia="仿宋"/>
          <w:sz w:val="28"/>
          <w:szCs w:val="28"/>
        </w:rPr>
        <w:t>喷淋塔</w:t>
      </w:r>
      <w:r>
        <w:rPr>
          <w:rFonts w:ascii="Times New Roman" w:eastAsia="仿宋"/>
          <w:sz w:val="28"/>
          <w:szCs w:val="28"/>
        </w:rPr>
        <w:t>持续泄漏时，泄漏第100天时，超标距离最远为10m；泄漏第1000天时，超标距离最远为32m；泄漏10年后，超标距离最远为63m。</w:t>
      </w:r>
    </w:p>
    <w:p w14:paraId="72FA7F5A">
      <w:pPr>
        <w:spacing w:line="500" w:lineRule="exact"/>
        <w:ind w:firstLine="562" w:firstLineChars="200"/>
        <w:rPr>
          <w:rFonts w:ascii="Times New Roman" w:eastAsia="仿宋"/>
          <w:b/>
          <w:sz w:val="28"/>
          <w:szCs w:val="28"/>
        </w:rPr>
      </w:pPr>
      <w:r>
        <w:rPr>
          <w:rFonts w:hint="eastAsia" w:ascii="Times New Roman" w:eastAsia="仿宋"/>
          <w:b/>
          <w:sz w:val="28"/>
          <w:szCs w:val="28"/>
        </w:rPr>
        <w:t>七</w:t>
      </w:r>
      <w:r>
        <w:rPr>
          <w:rFonts w:ascii="Times New Roman" w:eastAsia="仿宋"/>
          <w:b/>
          <w:sz w:val="28"/>
          <w:szCs w:val="28"/>
        </w:rPr>
        <w:t>、评价结论</w:t>
      </w:r>
    </w:p>
    <w:p w14:paraId="1C7EDB66">
      <w:pPr>
        <w:spacing w:line="500" w:lineRule="exact"/>
        <w:ind w:firstLine="560" w:firstLineChars="200"/>
        <w:rPr>
          <w:rFonts w:ascii="Times New Roman" w:eastAsia="仿宋"/>
          <w:sz w:val="28"/>
          <w:szCs w:val="28"/>
        </w:rPr>
      </w:pPr>
      <w:r>
        <w:rPr>
          <w:rFonts w:ascii="Times New Roman" w:eastAsia="仿宋"/>
          <w:sz w:val="28"/>
          <w:szCs w:val="28"/>
        </w:rPr>
        <w:t>（1）在建设项目施工质量保证较好、运营过程中各项措施充分落实，污染防渗措施有效情况下（正常工况下），建设项目对区域地下水质不产生影响。在非正常工况下，会在场区及周边较小范围内污染地下水。污染物（高锰酸盐指数）模拟预测结果显示：10年后项目所在地泄漏的污染物在水平方向最大迁移距离约63m。总体来说污染物在地下水中迁移速度缓慢，项目场地污染物的渗漏/泄漏对地下水影响范围很小，高浓度的污染物主要出现在项目所在地的危废贮存库渗漏的地下水中，而不会影响到区域地下水和周边水井水质。</w:t>
      </w:r>
    </w:p>
    <w:p w14:paraId="1D176B99">
      <w:pPr>
        <w:spacing w:line="500" w:lineRule="exact"/>
        <w:ind w:firstLine="560" w:firstLineChars="200"/>
        <w:rPr>
          <w:rFonts w:ascii="Times New Roman" w:eastAsia="仿宋"/>
          <w:sz w:val="28"/>
          <w:szCs w:val="28"/>
        </w:rPr>
      </w:pPr>
      <w:r>
        <w:rPr>
          <w:rFonts w:ascii="Times New Roman" w:eastAsia="仿宋"/>
          <w:sz w:val="28"/>
          <w:szCs w:val="28"/>
        </w:rPr>
        <w:t>（2）污染物扩散范围主要与地层结构及其渗透性、水文地质条件、废水下渗量以及某种污染物浓度的背景值等因素有关。其中地层结构及其渗透性、水文地质条件为主要因素，从水文地质单元来看，项目所在地水力梯度小，水流速度慢，污染物不容易随水流迁移；研究区地层以风化基岩为主，透水性较小，污染物在其中迁移距离较小。</w:t>
      </w:r>
    </w:p>
    <w:p w14:paraId="3880B8E5">
      <w:pPr>
        <w:spacing w:line="500" w:lineRule="exact"/>
        <w:ind w:firstLine="560" w:firstLineChars="200"/>
        <w:rPr>
          <w:rFonts w:ascii="Times New Roman" w:eastAsia="仿宋"/>
          <w:sz w:val="28"/>
          <w:szCs w:val="28"/>
        </w:rPr>
      </w:pPr>
      <w:r>
        <w:rPr>
          <w:rFonts w:ascii="Times New Roman" w:eastAsia="仿宋"/>
          <w:sz w:val="28"/>
          <w:szCs w:val="28"/>
        </w:rPr>
        <w:t>（3）项目所在地周边无地下水饮用水源，环境保护目标在污染物最大迁移距离之外，不会受本项目的影响。结合有效监测、防治措施的运行，项目所在地废水对地下水环境的影响基本可控。</w:t>
      </w:r>
    </w:p>
    <w:p w14:paraId="4AF0247E">
      <w:pPr>
        <w:spacing w:line="500" w:lineRule="exact"/>
        <w:ind w:firstLine="560" w:firstLineChars="200"/>
        <w:rPr>
          <w:rFonts w:ascii="Times New Roman" w:eastAsia="仿宋"/>
          <w:sz w:val="28"/>
          <w:szCs w:val="28"/>
        </w:rPr>
      </w:pPr>
    </w:p>
    <w:p w14:paraId="3F6A9ED1">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.2.6土壤环境影响评价</w:t>
      </w:r>
    </w:p>
    <w:p w14:paraId="7D4DD22F">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.2.6.1</w:t>
      </w:r>
      <w:r>
        <w:rPr>
          <w:rFonts w:hint="eastAsia" w:ascii="Times New Roman" w:hAnsi="Times New Roman" w:eastAsia="仿宋"/>
          <w:b/>
        </w:rPr>
        <w:t>区域土壤概况</w:t>
      </w:r>
    </w:p>
    <w:p w14:paraId="40B2C9A1">
      <w:pPr>
        <w:spacing w:line="500" w:lineRule="exact"/>
        <w:ind w:firstLine="560" w:firstLineChars="200"/>
        <w:rPr>
          <w:rFonts w:ascii="Times New Roman" w:eastAsia="仿宋"/>
          <w:sz w:val="28"/>
          <w:szCs w:val="28"/>
        </w:rPr>
      </w:pPr>
      <w:r>
        <w:rPr>
          <w:rFonts w:ascii="Times New Roman" w:eastAsia="仿宋"/>
          <w:sz w:val="28"/>
          <w:szCs w:val="28"/>
        </w:rPr>
        <w:t>江苏省地处三个土壤生物气候带，分布着不同的地带性土类，即地处暖温带南部的徐淮地区，分布着棕壤和褐土；地处北亚热带的里下河地区、沿江地区和苏南地区，分布着黄棕和黄褐土；地处中亚热带北缘的宜兴一带，分布着红壤土类的棕红壤，如下图。</w:t>
      </w:r>
    </w:p>
    <w:p w14:paraId="5E0731AB">
      <w:pPr>
        <w:pStyle w:val="35"/>
        <w:jc w:val="center"/>
      </w:pPr>
      <w:r>
        <w:rPr>
          <w:rFonts w:eastAsia="仿宋"/>
          <w:kern w:val="0"/>
        </w:rPr>
        <w:drawing>
          <wp:inline distT="0" distB="0" distL="0" distR="0">
            <wp:extent cx="4509135" cy="3968115"/>
            <wp:effectExtent l="0" t="0" r="5715" b="0"/>
            <wp:docPr id="2" name="图片 2" descr="wps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83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516733" cy="3974573"/>
                    </a:xfrm>
                    <a:prstGeom prst="rect">
                      <a:avLst/>
                    </a:prstGeom>
                    <a:noFill/>
                    <a:ln>
                      <a:noFill/>
                    </a:ln>
                  </pic:spPr>
                </pic:pic>
              </a:graphicData>
            </a:graphic>
          </wp:inline>
        </w:drawing>
      </w:r>
    </w:p>
    <w:p w14:paraId="6C44CFFF">
      <w:pPr>
        <w:autoSpaceDE w:val="0"/>
        <w:autoSpaceDN w:val="0"/>
        <w:adjustRightInd w:val="0"/>
        <w:jc w:val="center"/>
        <w:rPr>
          <w:b/>
          <w:szCs w:val="24"/>
        </w:rPr>
      </w:pPr>
      <w:r>
        <w:rPr>
          <w:rFonts w:ascii="Times New Roman" w:eastAsia="仿宋"/>
          <w:b/>
        </w:rPr>
        <w:t>图5.2-12  江苏地带性土类的分布概图</w:t>
      </w:r>
    </w:p>
    <w:p w14:paraId="33DC7B39">
      <w:pPr>
        <w:spacing w:line="500" w:lineRule="exact"/>
        <w:ind w:firstLine="560" w:firstLineChars="200"/>
        <w:rPr>
          <w:rFonts w:ascii="Times New Roman" w:eastAsia="仿宋"/>
          <w:sz w:val="28"/>
          <w:szCs w:val="28"/>
        </w:rPr>
      </w:pPr>
      <w:r>
        <w:rPr>
          <w:rFonts w:ascii="Times New Roman" w:eastAsia="仿宋"/>
          <w:sz w:val="28"/>
          <w:szCs w:val="28"/>
        </w:rPr>
        <w:t>上述地带性土类主要分布于山地、丘陵和岗地，海拔高度通常在20米以上，其成土作用一般不受地下水的影响，而海拔高度20米以下的平原，则主要分布着不同类型的潮土和水稻土，其次为砂姜黑土和滨海盐土。</w:t>
      </w:r>
    </w:p>
    <w:p w14:paraId="1E35FC6F">
      <w:pPr>
        <w:spacing w:line="500" w:lineRule="exact"/>
        <w:ind w:firstLine="560" w:firstLineChars="200"/>
        <w:rPr>
          <w:rFonts w:ascii="Times New Roman" w:eastAsia="仿宋"/>
          <w:sz w:val="28"/>
          <w:szCs w:val="28"/>
        </w:rPr>
      </w:pPr>
      <w:r>
        <w:rPr>
          <w:rFonts w:ascii="Times New Roman" w:eastAsia="仿宋"/>
          <w:sz w:val="28"/>
          <w:szCs w:val="28"/>
        </w:rPr>
        <w:t>潮土因亚类不同而分布于不同平原区。黄泛平原分布着由黄泛母质发育的黄潮土，强石灰性，呈碱性反应。在排水不畅的轻质黄潮土地区，常有盐化潮土和碱化潮土分布。沂沭河平原分布着沂沭河冲积物发育的棕潮土，一般无石灰性，呈中性反应，无盐化潮土和碱化潮土分布。沿江平原分布着由长江冲积物发育的灰潮土，弱石灰性，呈中性或碱性反应，无盐化潮土和碱化潮土分布。在滨海平原的内侧有脱盐潮土分布，地下水的矿化度仍较高。</w:t>
      </w:r>
    </w:p>
    <w:p w14:paraId="43015B78">
      <w:pPr>
        <w:spacing w:line="500" w:lineRule="exact"/>
        <w:ind w:firstLine="560" w:firstLineChars="200"/>
        <w:rPr>
          <w:rFonts w:ascii="Times New Roman" w:eastAsia="仿宋"/>
          <w:sz w:val="28"/>
          <w:szCs w:val="28"/>
        </w:rPr>
      </w:pPr>
      <w:r>
        <w:rPr>
          <w:rFonts w:ascii="Times New Roman" w:eastAsia="仿宋"/>
          <w:sz w:val="28"/>
          <w:szCs w:val="28"/>
        </w:rPr>
        <w:t>在人类长期耕垦活动的影响下，形成大面积水稻土。江北里下河和江南太湖地区有大面积连片水稻土分布。在丘陵、沿江、沿海地区，水稻土分布亦甚广泛。按其亚类来说，淹育型水稻土以丘陵地区为多，渗育型水稻土以沿江平原为多，漂白型水稻土以太湖平原为多，脱潜型和潜育型水稻土以里下河浅洼平原和太湖平原为多，而潴育型水稻土则各地均有较大面积分布。</w:t>
      </w:r>
    </w:p>
    <w:p w14:paraId="2B71924C">
      <w:pPr>
        <w:pStyle w:val="35"/>
        <w:jc w:val="center"/>
      </w:pPr>
      <w:r>
        <w:rPr>
          <w:kern w:val="0"/>
          <w:sz w:val="24"/>
        </w:rPr>
        <w:drawing>
          <wp:inline distT="0" distB="0" distL="0" distR="0">
            <wp:extent cx="4027805" cy="3585210"/>
            <wp:effectExtent l="0" t="0" r="0" b="0"/>
            <wp:docPr id="4" name="图片 4" descr="wpsB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BCC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034100" cy="3591361"/>
                    </a:xfrm>
                    <a:prstGeom prst="rect">
                      <a:avLst/>
                    </a:prstGeom>
                    <a:noFill/>
                    <a:ln>
                      <a:noFill/>
                    </a:ln>
                  </pic:spPr>
                </pic:pic>
              </a:graphicData>
            </a:graphic>
          </wp:inline>
        </w:drawing>
      </w:r>
    </w:p>
    <w:p w14:paraId="367996FA">
      <w:pPr>
        <w:autoSpaceDE w:val="0"/>
        <w:autoSpaceDN w:val="0"/>
        <w:adjustRightInd w:val="0"/>
        <w:jc w:val="center"/>
        <w:rPr>
          <w:rFonts w:ascii="Times New Roman" w:eastAsia="仿宋"/>
          <w:b/>
        </w:rPr>
      </w:pPr>
      <w:r>
        <w:rPr>
          <w:rFonts w:ascii="Times New Roman" w:eastAsia="仿宋"/>
          <w:b/>
        </w:rPr>
        <w:t>图5.2-13  江苏水稻土、主要潮土亚类及滨海盐土的分布</w:t>
      </w:r>
    </w:p>
    <w:p w14:paraId="19486254">
      <w:pPr>
        <w:pStyle w:val="35"/>
        <w:jc w:val="center"/>
      </w:pPr>
      <w:r>
        <w:rPr>
          <w:kern w:val="0"/>
          <w:sz w:val="24"/>
        </w:rPr>
        <w:drawing>
          <wp:inline distT="0" distB="0" distL="0" distR="0">
            <wp:extent cx="5274310" cy="4776470"/>
            <wp:effectExtent l="0" t="0" r="2540" b="5080"/>
            <wp:docPr id="5" name="图片 5" descr="wpsB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BCC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4310" cy="4776769"/>
                    </a:xfrm>
                    <a:prstGeom prst="rect">
                      <a:avLst/>
                    </a:prstGeom>
                    <a:noFill/>
                    <a:ln>
                      <a:noFill/>
                    </a:ln>
                  </pic:spPr>
                </pic:pic>
              </a:graphicData>
            </a:graphic>
          </wp:inline>
        </w:drawing>
      </w:r>
    </w:p>
    <w:p w14:paraId="173A8952">
      <w:pPr>
        <w:jc w:val="center"/>
        <w:rPr>
          <w:rFonts w:ascii="Times New Roman" w:eastAsia="仿宋"/>
          <w:b/>
        </w:rPr>
      </w:pPr>
      <w:r>
        <w:rPr>
          <w:rFonts w:ascii="Times New Roman" w:eastAsia="仿宋"/>
          <w:b/>
        </w:rPr>
        <w:t>图5.2-14 江苏省土壤类型分布图</w:t>
      </w:r>
    </w:p>
    <w:p w14:paraId="3673119B">
      <w:pPr>
        <w:spacing w:line="500" w:lineRule="exact"/>
        <w:ind w:firstLine="560" w:firstLineChars="200"/>
        <w:rPr>
          <w:rFonts w:ascii="Times New Roman" w:eastAsia="仿宋"/>
          <w:sz w:val="28"/>
          <w:szCs w:val="28"/>
        </w:rPr>
      </w:pPr>
      <w:r>
        <w:rPr>
          <w:rFonts w:ascii="Times New Roman" w:eastAsia="仿宋"/>
          <w:sz w:val="28"/>
          <w:szCs w:val="28"/>
        </w:rPr>
        <w:t>由上图可以看出，常州地区主要土壤类型为水稻土和粗骨土，其剖面构型、主要性状、典型剖面物理、化学性质见下表。</w:t>
      </w:r>
    </w:p>
    <w:p w14:paraId="7D194CA8">
      <w:pPr>
        <w:pStyle w:val="35"/>
        <w:jc w:val="center"/>
        <w:sectPr>
          <w:pgSz w:w="11906" w:h="16838"/>
          <w:pgMar w:top="1440" w:right="1800" w:bottom="1440" w:left="1800" w:header="851" w:footer="992" w:gutter="0"/>
          <w:cols w:space="720" w:num="1"/>
          <w:docGrid w:linePitch="312" w:charSpace="0"/>
        </w:sectPr>
      </w:pPr>
    </w:p>
    <w:p w14:paraId="082284B6">
      <w:pPr>
        <w:tabs>
          <w:tab w:val="left" w:pos="1395"/>
          <w:tab w:val="center" w:pos="4153"/>
        </w:tabs>
        <w:spacing w:line="500" w:lineRule="exact"/>
        <w:jc w:val="center"/>
        <w:rPr>
          <w:rFonts w:ascii="Times New Roman" w:eastAsia="仿宋"/>
          <w:b/>
          <w:bCs/>
        </w:rPr>
      </w:pPr>
      <w:r>
        <w:rPr>
          <w:rFonts w:ascii="Times New Roman" w:eastAsia="仿宋"/>
          <w:b/>
          <w:bCs/>
        </w:rPr>
        <w:t>表5.2-39  常州典型土壤类型剖面构型、主要性状一览表</w:t>
      </w:r>
    </w:p>
    <w:tbl>
      <w:tblPr>
        <w:tblStyle w:val="87"/>
        <w:tblW w:w="53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3"/>
        <w:gridCol w:w="710"/>
        <w:gridCol w:w="710"/>
        <w:gridCol w:w="2940"/>
        <w:gridCol w:w="1069"/>
        <w:gridCol w:w="993"/>
        <w:gridCol w:w="6771"/>
        <w:gridCol w:w="1146"/>
      </w:tblGrid>
      <w:tr w14:paraId="729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Align w:val="center"/>
          </w:tcPr>
          <w:p w14:paraId="02CA6331">
            <w:pPr>
              <w:spacing w:line="320" w:lineRule="exact"/>
              <w:contextualSpacing/>
              <w:jc w:val="center"/>
              <w:rPr>
                <w:rFonts w:ascii="Times New Roman" w:eastAsia="仿宋"/>
                <w:szCs w:val="21"/>
              </w:rPr>
            </w:pPr>
            <w:r>
              <w:rPr>
                <w:rFonts w:ascii="Times New Roman" w:eastAsia="仿宋"/>
                <w:szCs w:val="21"/>
              </w:rPr>
              <w:t>土类名称</w:t>
            </w:r>
          </w:p>
        </w:tc>
        <w:tc>
          <w:tcPr>
            <w:tcW w:w="709" w:type="dxa"/>
            <w:vAlign w:val="center"/>
          </w:tcPr>
          <w:p w14:paraId="6EB19327">
            <w:pPr>
              <w:spacing w:line="320" w:lineRule="exact"/>
              <w:contextualSpacing/>
              <w:jc w:val="center"/>
              <w:rPr>
                <w:rFonts w:ascii="Times New Roman" w:eastAsia="仿宋"/>
                <w:szCs w:val="21"/>
              </w:rPr>
            </w:pPr>
            <w:r>
              <w:rPr>
                <w:rFonts w:ascii="Times New Roman" w:eastAsia="仿宋"/>
                <w:szCs w:val="21"/>
              </w:rPr>
              <w:t>亚类</w:t>
            </w:r>
          </w:p>
          <w:p w14:paraId="7B0B67B6">
            <w:pPr>
              <w:spacing w:line="320" w:lineRule="exact"/>
              <w:contextualSpacing/>
              <w:jc w:val="center"/>
              <w:rPr>
                <w:rFonts w:ascii="Times New Roman" w:eastAsia="仿宋"/>
                <w:szCs w:val="21"/>
              </w:rPr>
            </w:pPr>
            <w:r>
              <w:rPr>
                <w:rFonts w:ascii="Times New Roman" w:eastAsia="仿宋"/>
                <w:szCs w:val="21"/>
              </w:rPr>
              <w:t>名称</w:t>
            </w:r>
          </w:p>
        </w:tc>
        <w:tc>
          <w:tcPr>
            <w:tcW w:w="709" w:type="dxa"/>
            <w:vAlign w:val="center"/>
          </w:tcPr>
          <w:p w14:paraId="5A782BC1">
            <w:pPr>
              <w:spacing w:line="320" w:lineRule="exact"/>
              <w:contextualSpacing/>
              <w:jc w:val="center"/>
              <w:rPr>
                <w:rFonts w:ascii="Times New Roman" w:eastAsia="仿宋"/>
                <w:szCs w:val="21"/>
              </w:rPr>
            </w:pPr>
            <w:r>
              <w:rPr>
                <w:rFonts w:ascii="Times New Roman" w:eastAsia="仿宋"/>
                <w:szCs w:val="21"/>
              </w:rPr>
              <w:t>土种</w:t>
            </w:r>
          </w:p>
          <w:p w14:paraId="7BEBD2E2">
            <w:pPr>
              <w:spacing w:line="320" w:lineRule="exact"/>
              <w:contextualSpacing/>
              <w:jc w:val="center"/>
              <w:rPr>
                <w:rFonts w:ascii="Times New Roman" w:eastAsia="仿宋"/>
                <w:szCs w:val="21"/>
              </w:rPr>
            </w:pPr>
            <w:r>
              <w:rPr>
                <w:rFonts w:ascii="Times New Roman" w:eastAsia="仿宋"/>
                <w:szCs w:val="21"/>
              </w:rPr>
              <w:t>名称</w:t>
            </w:r>
          </w:p>
        </w:tc>
        <w:tc>
          <w:tcPr>
            <w:tcW w:w="2936" w:type="dxa"/>
            <w:vAlign w:val="center"/>
          </w:tcPr>
          <w:p w14:paraId="5AFE4487">
            <w:pPr>
              <w:spacing w:line="320" w:lineRule="exact"/>
              <w:contextualSpacing/>
              <w:jc w:val="center"/>
              <w:rPr>
                <w:rFonts w:ascii="Times New Roman" w:eastAsia="仿宋"/>
                <w:szCs w:val="21"/>
              </w:rPr>
            </w:pPr>
            <w:r>
              <w:rPr>
                <w:rFonts w:ascii="Times New Roman" w:eastAsia="仿宋"/>
                <w:szCs w:val="21"/>
              </w:rPr>
              <w:t>分布和地形地貌</w:t>
            </w:r>
          </w:p>
        </w:tc>
        <w:tc>
          <w:tcPr>
            <w:tcW w:w="1067" w:type="dxa"/>
            <w:vAlign w:val="center"/>
          </w:tcPr>
          <w:p w14:paraId="058E78E2">
            <w:pPr>
              <w:spacing w:line="320" w:lineRule="exact"/>
              <w:contextualSpacing/>
              <w:jc w:val="center"/>
              <w:rPr>
                <w:rFonts w:ascii="Times New Roman" w:eastAsia="仿宋"/>
                <w:szCs w:val="21"/>
              </w:rPr>
            </w:pPr>
            <w:r>
              <w:rPr>
                <w:rFonts w:ascii="Times New Roman" w:eastAsia="仿宋"/>
                <w:szCs w:val="21"/>
              </w:rPr>
              <w:t>母质</w:t>
            </w:r>
          </w:p>
        </w:tc>
        <w:tc>
          <w:tcPr>
            <w:tcW w:w="992" w:type="dxa"/>
            <w:vAlign w:val="center"/>
          </w:tcPr>
          <w:p w14:paraId="01DFA7AC">
            <w:pPr>
              <w:spacing w:line="320" w:lineRule="exact"/>
              <w:contextualSpacing/>
              <w:jc w:val="center"/>
              <w:rPr>
                <w:rFonts w:ascii="Times New Roman" w:eastAsia="仿宋"/>
                <w:szCs w:val="21"/>
              </w:rPr>
            </w:pPr>
            <w:r>
              <w:rPr>
                <w:rFonts w:ascii="Times New Roman" w:eastAsia="仿宋"/>
                <w:szCs w:val="21"/>
              </w:rPr>
              <w:t>剖面构型</w:t>
            </w:r>
          </w:p>
        </w:tc>
        <w:tc>
          <w:tcPr>
            <w:tcW w:w="6761" w:type="dxa"/>
            <w:vAlign w:val="center"/>
          </w:tcPr>
          <w:p w14:paraId="400B94D7">
            <w:pPr>
              <w:spacing w:line="320" w:lineRule="exact"/>
              <w:contextualSpacing/>
              <w:jc w:val="center"/>
              <w:rPr>
                <w:rFonts w:ascii="Times New Roman" w:eastAsia="仿宋"/>
                <w:szCs w:val="21"/>
              </w:rPr>
            </w:pPr>
            <w:r>
              <w:rPr>
                <w:rFonts w:ascii="Times New Roman" w:eastAsia="仿宋"/>
                <w:szCs w:val="21"/>
              </w:rPr>
              <w:t>主要性状</w:t>
            </w:r>
          </w:p>
        </w:tc>
        <w:tc>
          <w:tcPr>
            <w:tcW w:w="1144" w:type="dxa"/>
            <w:vAlign w:val="center"/>
          </w:tcPr>
          <w:p w14:paraId="34759C3D">
            <w:pPr>
              <w:spacing w:line="320" w:lineRule="exact"/>
              <w:contextualSpacing/>
              <w:jc w:val="center"/>
              <w:rPr>
                <w:rFonts w:ascii="Times New Roman" w:eastAsia="仿宋"/>
                <w:szCs w:val="21"/>
              </w:rPr>
            </w:pPr>
            <w:r>
              <w:rPr>
                <w:rFonts w:ascii="Times New Roman" w:eastAsia="仿宋"/>
                <w:szCs w:val="21"/>
              </w:rPr>
              <w:t>土地利用</w:t>
            </w:r>
          </w:p>
        </w:tc>
      </w:tr>
      <w:tr w14:paraId="751A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Align w:val="center"/>
          </w:tcPr>
          <w:p w14:paraId="16A07A43">
            <w:pPr>
              <w:spacing w:line="320" w:lineRule="exact"/>
              <w:contextualSpacing/>
              <w:jc w:val="center"/>
              <w:rPr>
                <w:rFonts w:ascii="Times New Roman" w:eastAsia="仿宋"/>
                <w:szCs w:val="21"/>
              </w:rPr>
            </w:pPr>
            <w:r>
              <w:rPr>
                <w:rFonts w:ascii="Times New Roman" w:eastAsia="仿宋"/>
                <w:szCs w:val="21"/>
              </w:rPr>
              <w:t>粗骨土</w:t>
            </w:r>
          </w:p>
        </w:tc>
        <w:tc>
          <w:tcPr>
            <w:tcW w:w="709" w:type="dxa"/>
            <w:vAlign w:val="center"/>
          </w:tcPr>
          <w:p w14:paraId="30B53F1B">
            <w:pPr>
              <w:spacing w:line="320" w:lineRule="exact"/>
              <w:contextualSpacing/>
              <w:jc w:val="center"/>
              <w:rPr>
                <w:rFonts w:ascii="Times New Roman" w:eastAsia="仿宋"/>
                <w:szCs w:val="21"/>
              </w:rPr>
            </w:pPr>
            <w:r>
              <w:rPr>
                <w:rFonts w:ascii="Times New Roman" w:eastAsia="仿宋"/>
                <w:szCs w:val="21"/>
              </w:rPr>
              <w:t>酸性粗骨土</w:t>
            </w:r>
          </w:p>
        </w:tc>
        <w:tc>
          <w:tcPr>
            <w:tcW w:w="709" w:type="dxa"/>
            <w:vAlign w:val="center"/>
          </w:tcPr>
          <w:p w14:paraId="013B20D0">
            <w:pPr>
              <w:spacing w:line="320" w:lineRule="exact"/>
              <w:contextualSpacing/>
              <w:jc w:val="center"/>
              <w:rPr>
                <w:rFonts w:ascii="Times New Roman" w:eastAsia="仿宋"/>
                <w:szCs w:val="21"/>
              </w:rPr>
            </w:pPr>
            <w:r>
              <w:rPr>
                <w:rFonts w:ascii="Times New Roman" w:eastAsia="仿宋"/>
                <w:szCs w:val="21"/>
              </w:rPr>
              <w:t>黄石土</w:t>
            </w:r>
          </w:p>
        </w:tc>
        <w:tc>
          <w:tcPr>
            <w:tcW w:w="2936" w:type="dxa"/>
            <w:vAlign w:val="center"/>
          </w:tcPr>
          <w:p w14:paraId="7BB46B85">
            <w:pPr>
              <w:spacing w:line="320" w:lineRule="exact"/>
              <w:contextualSpacing/>
              <w:jc w:val="center"/>
              <w:rPr>
                <w:rFonts w:ascii="Times New Roman" w:eastAsia="仿宋"/>
                <w:szCs w:val="21"/>
              </w:rPr>
            </w:pPr>
            <w:r>
              <w:rPr>
                <w:rFonts w:ascii="Times New Roman" w:eastAsia="仿宋"/>
                <w:szCs w:val="21"/>
              </w:rPr>
              <w:t>苏州、无锡、常州、南京、镇江、扬州等地石英砂岩丘陵地顶部或陡坡处。</w:t>
            </w:r>
          </w:p>
        </w:tc>
        <w:tc>
          <w:tcPr>
            <w:tcW w:w="1067" w:type="dxa"/>
            <w:vAlign w:val="center"/>
          </w:tcPr>
          <w:p w14:paraId="6585C26B">
            <w:pPr>
              <w:spacing w:line="320" w:lineRule="exact"/>
              <w:contextualSpacing/>
              <w:jc w:val="center"/>
              <w:rPr>
                <w:rFonts w:ascii="Times New Roman" w:eastAsia="仿宋"/>
                <w:szCs w:val="21"/>
              </w:rPr>
            </w:pPr>
            <w:r>
              <w:rPr>
                <w:rFonts w:ascii="Times New Roman" w:eastAsia="仿宋"/>
                <w:szCs w:val="21"/>
              </w:rPr>
              <w:t>石英砂岩风化物</w:t>
            </w:r>
          </w:p>
        </w:tc>
        <w:tc>
          <w:tcPr>
            <w:tcW w:w="992" w:type="dxa"/>
            <w:vAlign w:val="center"/>
          </w:tcPr>
          <w:p w14:paraId="33537955">
            <w:pPr>
              <w:spacing w:line="320" w:lineRule="exact"/>
              <w:contextualSpacing/>
              <w:jc w:val="center"/>
              <w:rPr>
                <w:rFonts w:ascii="Times New Roman" w:eastAsia="仿宋"/>
                <w:szCs w:val="21"/>
              </w:rPr>
            </w:pPr>
            <w:r>
              <w:rPr>
                <w:rFonts w:ascii="Times New Roman" w:eastAsia="仿宋"/>
                <w:szCs w:val="21"/>
              </w:rPr>
              <w:t>A—C</w:t>
            </w:r>
          </w:p>
        </w:tc>
        <w:tc>
          <w:tcPr>
            <w:tcW w:w="6761" w:type="dxa"/>
            <w:vAlign w:val="center"/>
          </w:tcPr>
          <w:p w14:paraId="42EA56FB">
            <w:pPr>
              <w:spacing w:line="320" w:lineRule="exact"/>
              <w:contextualSpacing/>
              <w:jc w:val="center"/>
              <w:rPr>
                <w:rFonts w:ascii="Times New Roman" w:eastAsia="仿宋"/>
                <w:szCs w:val="21"/>
              </w:rPr>
            </w:pPr>
            <w:r>
              <w:rPr>
                <w:rFonts w:ascii="Times New Roman" w:eastAsia="仿宋"/>
                <w:szCs w:val="21"/>
              </w:rPr>
              <w:t>坡度较大，侵蚀严重，土体无发育，结持松散，土体较薄，具A—C型，土体中砾石含量较高，达50—70%，下层高于上层 ，为砾石砂壤土。养分含量较丰富，有机质为3.42%，全氮0.124%；但速效养分低，速效磷4ppm，速效钾92ppm，有效阳离子交换量7.39me/100g土(n=6)，保水保肥性能差，土壤呈微酸性反应，pH6.0左右。</w:t>
            </w:r>
          </w:p>
        </w:tc>
        <w:tc>
          <w:tcPr>
            <w:tcW w:w="1144" w:type="dxa"/>
            <w:vAlign w:val="center"/>
          </w:tcPr>
          <w:p w14:paraId="39C7B203">
            <w:pPr>
              <w:spacing w:line="320" w:lineRule="exact"/>
              <w:contextualSpacing/>
              <w:jc w:val="center"/>
              <w:rPr>
                <w:rFonts w:ascii="Times New Roman" w:eastAsia="仿宋"/>
                <w:szCs w:val="21"/>
              </w:rPr>
            </w:pPr>
            <w:r>
              <w:rPr>
                <w:rFonts w:ascii="Times New Roman" w:eastAsia="仿宋"/>
                <w:szCs w:val="21"/>
              </w:rPr>
              <w:t>林地</w:t>
            </w:r>
          </w:p>
        </w:tc>
      </w:tr>
      <w:tr w14:paraId="4FF7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Merge w:val="restart"/>
            <w:vAlign w:val="center"/>
          </w:tcPr>
          <w:p w14:paraId="572BFACE">
            <w:pPr>
              <w:spacing w:line="320" w:lineRule="exact"/>
              <w:contextualSpacing/>
              <w:jc w:val="center"/>
              <w:rPr>
                <w:rFonts w:ascii="Times New Roman" w:eastAsia="仿宋"/>
                <w:szCs w:val="21"/>
              </w:rPr>
            </w:pPr>
            <w:r>
              <w:rPr>
                <w:rFonts w:ascii="Times New Roman" w:eastAsia="仿宋"/>
                <w:szCs w:val="21"/>
              </w:rPr>
              <w:t>水稻土</w:t>
            </w:r>
          </w:p>
        </w:tc>
        <w:tc>
          <w:tcPr>
            <w:tcW w:w="709" w:type="dxa"/>
            <w:vAlign w:val="center"/>
          </w:tcPr>
          <w:p w14:paraId="2174205A">
            <w:pPr>
              <w:spacing w:line="320" w:lineRule="exact"/>
              <w:contextualSpacing/>
              <w:jc w:val="center"/>
              <w:rPr>
                <w:rFonts w:ascii="Times New Roman" w:eastAsia="仿宋"/>
                <w:szCs w:val="21"/>
              </w:rPr>
            </w:pPr>
            <w:r>
              <w:rPr>
                <w:rFonts w:ascii="Times New Roman" w:eastAsia="仿宋"/>
                <w:szCs w:val="21"/>
              </w:rPr>
              <w:t>潴育水稻土</w:t>
            </w:r>
          </w:p>
        </w:tc>
        <w:tc>
          <w:tcPr>
            <w:tcW w:w="709" w:type="dxa"/>
            <w:vAlign w:val="center"/>
          </w:tcPr>
          <w:p w14:paraId="1BFED982">
            <w:pPr>
              <w:spacing w:line="320" w:lineRule="exact"/>
              <w:contextualSpacing/>
              <w:jc w:val="center"/>
              <w:rPr>
                <w:rFonts w:ascii="Times New Roman" w:eastAsia="仿宋"/>
                <w:szCs w:val="21"/>
              </w:rPr>
            </w:pPr>
            <w:r>
              <w:rPr>
                <w:rFonts w:ascii="Times New Roman" w:eastAsia="仿宋"/>
                <w:szCs w:val="21"/>
              </w:rPr>
              <w:t>马肝土</w:t>
            </w:r>
          </w:p>
        </w:tc>
        <w:tc>
          <w:tcPr>
            <w:tcW w:w="2936" w:type="dxa"/>
            <w:vAlign w:val="center"/>
          </w:tcPr>
          <w:p w14:paraId="45FBE4E7">
            <w:pPr>
              <w:spacing w:line="320" w:lineRule="exact"/>
              <w:contextualSpacing/>
              <w:jc w:val="center"/>
              <w:rPr>
                <w:rFonts w:ascii="Times New Roman" w:eastAsia="仿宋"/>
                <w:szCs w:val="21"/>
              </w:rPr>
            </w:pPr>
            <w:r>
              <w:rPr>
                <w:rFonts w:ascii="Times New Roman" w:eastAsia="仿宋"/>
                <w:szCs w:val="21"/>
              </w:rPr>
              <w:t>江苏宁、镇、扬以及宜溧丘岗地区的冲田中下部，遍布南京、镇江、扬州、常州和无锡，以六合、江宁 、溧水、句容、丹徒和仪征等地，面积较大。</w:t>
            </w:r>
          </w:p>
        </w:tc>
        <w:tc>
          <w:tcPr>
            <w:tcW w:w="1067" w:type="dxa"/>
            <w:vAlign w:val="center"/>
          </w:tcPr>
          <w:p w14:paraId="0C1B505B">
            <w:pPr>
              <w:spacing w:line="320" w:lineRule="exact"/>
              <w:contextualSpacing/>
              <w:jc w:val="center"/>
              <w:rPr>
                <w:rFonts w:ascii="Times New Roman" w:eastAsia="仿宋"/>
                <w:szCs w:val="21"/>
              </w:rPr>
            </w:pPr>
            <w:r>
              <w:rPr>
                <w:rFonts w:ascii="Times New Roman" w:eastAsia="仿宋"/>
                <w:szCs w:val="21"/>
              </w:rPr>
              <w:t>下蜀黄土</w:t>
            </w:r>
          </w:p>
        </w:tc>
        <w:tc>
          <w:tcPr>
            <w:tcW w:w="992" w:type="dxa"/>
            <w:vAlign w:val="center"/>
          </w:tcPr>
          <w:p w14:paraId="4E5EDCD6">
            <w:pPr>
              <w:spacing w:line="320" w:lineRule="exact"/>
              <w:contextualSpacing/>
              <w:jc w:val="center"/>
              <w:rPr>
                <w:rFonts w:ascii="Times New Roman" w:eastAsia="仿宋"/>
                <w:szCs w:val="21"/>
              </w:rPr>
            </w:pPr>
            <w:r>
              <w:rPr>
                <w:rFonts w:ascii="Times New Roman" w:eastAsia="仿宋"/>
                <w:szCs w:val="21"/>
              </w:rPr>
              <w:t>Aa—Ap—P—W—C</w:t>
            </w:r>
          </w:p>
        </w:tc>
        <w:tc>
          <w:tcPr>
            <w:tcW w:w="6761" w:type="dxa"/>
            <w:vAlign w:val="center"/>
          </w:tcPr>
          <w:p w14:paraId="25319E41">
            <w:pPr>
              <w:spacing w:line="320" w:lineRule="exact"/>
              <w:contextualSpacing/>
              <w:jc w:val="center"/>
              <w:rPr>
                <w:rFonts w:ascii="Times New Roman" w:eastAsia="仿宋"/>
                <w:szCs w:val="21"/>
              </w:rPr>
            </w:pPr>
            <w:r>
              <w:rPr>
                <w:rFonts w:ascii="Times New Roman" w:eastAsia="仿宋"/>
                <w:szCs w:val="21"/>
              </w:rPr>
              <w:t>土壤质地偏粘，据134个剖面样分析，1m土体的砂粒含量25.4—27.1%，粉砂37.7—41.7%， 粘粒32.6—36.9%，壤质粘土。剖面中自上而下，粘粒含量渐增。潴育层的粘粒含量比耕层高4.3%。土壤pH6.4—7.2，上部偏酸，下部中性，通体无石灰反应，土体深厚，潴水淀积现象显著。潴育层发育良好，渗育层、潴育层棱柱状结构，结构体表面形成大量胶膜。铁的淋溶淀积现象显著。剖面从上向下各发生层晶胶率逐步增高，潴育层中有较多铁锰斑点。土壤养分含量中等偏上。</w:t>
            </w:r>
          </w:p>
        </w:tc>
        <w:tc>
          <w:tcPr>
            <w:tcW w:w="1144" w:type="dxa"/>
            <w:vAlign w:val="center"/>
          </w:tcPr>
          <w:p w14:paraId="012CCB35">
            <w:pPr>
              <w:spacing w:line="320" w:lineRule="exact"/>
              <w:contextualSpacing/>
              <w:jc w:val="center"/>
              <w:rPr>
                <w:rFonts w:ascii="Times New Roman" w:eastAsia="仿宋"/>
                <w:szCs w:val="21"/>
              </w:rPr>
            </w:pPr>
            <w:r>
              <w:rPr>
                <w:rFonts w:ascii="Times New Roman" w:eastAsia="仿宋"/>
                <w:szCs w:val="21"/>
              </w:rPr>
              <w:t>水田</w:t>
            </w:r>
          </w:p>
        </w:tc>
      </w:tr>
      <w:tr w14:paraId="54B2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Merge w:val="continue"/>
            <w:vAlign w:val="center"/>
          </w:tcPr>
          <w:p w14:paraId="78D9BD1E">
            <w:pPr>
              <w:spacing w:line="320" w:lineRule="exact"/>
              <w:contextualSpacing/>
              <w:jc w:val="center"/>
              <w:rPr>
                <w:rFonts w:ascii="Times New Roman" w:eastAsia="仿宋"/>
                <w:szCs w:val="21"/>
              </w:rPr>
            </w:pPr>
          </w:p>
        </w:tc>
        <w:tc>
          <w:tcPr>
            <w:tcW w:w="709" w:type="dxa"/>
            <w:vAlign w:val="center"/>
          </w:tcPr>
          <w:p w14:paraId="0714BB05">
            <w:pPr>
              <w:adjustRightInd w:val="0"/>
              <w:snapToGrid w:val="0"/>
              <w:spacing w:line="320" w:lineRule="exact"/>
              <w:contextualSpacing/>
              <w:jc w:val="center"/>
              <w:rPr>
                <w:rFonts w:ascii="Times New Roman" w:eastAsia="仿宋"/>
                <w:szCs w:val="21"/>
              </w:rPr>
            </w:pPr>
            <w:r>
              <w:rPr>
                <w:rFonts w:ascii="Times New Roman" w:eastAsia="仿宋"/>
                <w:szCs w:val="21"/>
              </w:rPr>
              <w:t>潴育水稻土</w:t>
            </w:r>
          </w:p>
        </w:tc>
        <w:tc>
          <w:tcPr>
            <w:tcW w:w="709" w:type="dxa"/>
            <w:vAlign w:val="center"/>
          </w:tcPr>
          <w:p w14:paraId="331BD534">
            <w:pPr>
              <w:adjustRightInd w:val="0"/>
              <w:snapToGrid w:val="0"/>
              <w:spacing w:line="320" w:lineRule="exact"/>
              <w:contextualSpacing/>
              <w:jc w:val="center"/>
              <w:rPr>
                <w:rFonts w:ascii="Times New Roman" w:eastAsia="仿宋"/>
                <w:szCs w:val="21"/>
              </w:rPr>
            </w:pPr>
            <w:r>
              <w:rPr>
                <w:rFonts w:ascii="Times New Roman" w:eastAsia="仿宋"/>
                <w:szCs w:val="21"/>
              </w:rPr>
              <w:t>铁质黄泥土</w:t>
            </w:r>
          </w:p>
        </w:tc>
        <w:tc>
          <w:tcPr>
            <w:tcW w:w="2936" w:type="dxa"/>
            <w:vAlign w:val="center"/>
          </w:tcPr>
          <w:p w14:paraId="2892589D">
            <w:pPr>
              <w:adjustRightInd w:val="0"/>
              <w:snapToGrid w:val="0"/>
              <w:spacing w:line="320" w:lineRule="exact"/>
              <w:contextualSpacing/>
              <w:jc w:val="center"/>
              <w:rPr>
                <w:rFonts w:ascii="Times New Roman" w:eastAsia="仿宋"/>
                <w:szCs w:val="21"/>
              </w:rPr>
            </w:pPr>
            <w:r>
              <w:rPr>
                <w:rFonts w:ascii="Times New Roman" w:eastAsia="仿宋"/>
                <w:szCs w:val="21"/>
              </w:rPr>
              <w:t>江苏省太湖地区河道两岸的高平田、平田，以无锡、常州和金坛等地面积最大</w:t>
            </w:r>
          </w:p>
        </w:tc>
        <w:tc>
          <w:tcPr>
            <w:tcW w:w="1067" w:type="dxa"/>
            <w:vAlign w:val="center"/>
          </w:tcPr>
          <w:p w14:paraId="5DA8EE13">
            <w:pPr>
              <w:adjustRightInd w:val="0"/>
              <w:snapToGrid w:val="0"/>
              <w:spacing w:line="320" w:lineRule="exact"/>
              <w:contextualSpacing/>
              <w:jc w:val="center"/>
              <w:rPr>
                <w:rFonts w:ascii="Times New Roman" w:eastAsia="仿宋"/>
                <w:szCs w:val="21"/>
              </w:rPr>
            </w:pPr>
            <w:r>
              <w:rPr>
                <w:rFonts w:ascii="Times New Roman" w:eastAsia="仿宋"/>
                <w:szCs w:val="21"/>
              </w:rPr>
              <w:t>黄土状母质</w:t>
            </w:r>
          </w:p>
        </w:tc>
        <w:tc>
          <w:tcPr>
            <w:tcW w:w="992" w:type="dxa"/>
            <w:vAlign w:val="center"/>
          </w:tcPr>
          <w:p w14:paraId="1F114EE8">
            <w:pPr>
              <w:adjustRightInd w:val="0"/>
              <w:snapToGrid w:val="0"/>
              <w:spacing w:line="320" w:lineRule="exact"/>
              <w:contextualSpacing/>
              <w:jc w:val="center"/>
              <w:rPr>
                <w:rFonts w:ascii="Times New Roman" w:eastAsia="仿宋"/>
                <w:szCs w:val="21"/>
              </w:rPr>
            </w:pPr>
            <w:r>
              <w:rPr>
                <w:rFonts w:ascii="Times New Roman" w:eastAsia="仿宋"/>
                <w:szCs w:val="21"/>
              </w:rPr>
              <w:t>Aa—Ap—W—Cs</w:t>
            </w:r>
          </w:p>
        </w:tc>
        <w:tc>
          <w:tcPr>
            <w:tcW w:w="6761" w:type="dxa"/>
            <w:vAlign w:val="center"/>
          </w:tcPr>
          <w:p w14:paraId="6BC36A67">
            <w:pPr>
              <w:adjustRightInd w:val="0"/>
              <w:snapToGrid w:val="0"/>
              <w:spacing w:line="320" w:lineRule="exact"/>
              <w:contextualSpacing/>
              <w:jc w:val="center"/>
              <w:rPr>
                <w:rFonts w:ascii="Times New Roman" w:eastAsia="仿宋"/>
                <w:szCs w:val="21"/>
              </w:rPr>
            </w:pPr>
            <w:r>
              <w:rPr>
                <w:rFonts w:ascii="Times New Roman" w:eastAsia="仿宋"/>
                <w:szCs w:val="21"/>
              </w:rPr>
              <w:t>土体中淋溶淀积现象十分显著，犁底层向下铁锰结核较少，潴育层渐多，受母土影响，形成明显的铁质层，亦有形似铁粉，干后僵硬，色姜黄、桔黄或褐黄色，有的铁锰结核多与粘粒胶结在一起，形成坚硬的铁质层。据28个剖面样分析，通体为壤质粘土，粘粒含量29.2—33.9% ，铁的分异明显，犁底层的晶胶率为耕的1.57倍，潴育层为耕的4.77倍。</w:t>
            </w:r>
          </w:p>
        </w:tc>
        <w:tc>
          <w:tcPr>
            <w:tcW w:w="1144" w:type="dxa"/>
            <w:vAlign w:val="center"/>
          </w:tcPr>
          <w:p w14:paraId="7F92D6E6">
            <w:pPr>
              <w:adjustRightInd w:val="0"/>
              <w:snapToGrid w:val="0"/>
              <w:spacing w:line="320" w:lineRule="exact"/>
              <w:contextualSpacing/>
              <w:jc w:val="center"/>
              <w:rPr>
                <w:rFonts w:ascii="Times New Roman" w:eastAsia="仿宋"/>
                <w:szCs w:val="21"/>
              </w:rPr>
            </w:pPr>
            <w:r>
              <w:rPr>
                <w:rFonts w:ascii="Times New Roman" w:eastAsia="仿宋"/>
                <w:szCs w:val="21"/>
              </w:rPr>
              <w:t>水田</w:t>
            </w:r>
          </w:p>
        </w:tc>
      </w:tr>
      <w:tr w14:paraId="4ED8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Merge w:val="continue"/>
            <w:vAlign w:val="center"/>
          </w:tcPr>
          <w:p w14:paraId="3F3E314B">
            <w:pPr>
              <w:spacing w:line="320" w:lineRule="exact"/>
              <w:contextualSpacing/>
              <w:jc w:val="center"/>
              <w:rPr>
                <w:rFonts w:ascii="Times New Roman" w:eastAsia="仿宋"/>
                <w:szCs w:val="21"/>
              </w:rPr>
            </w:pPr>
          </w:p>
        </w:tc>
        <w:tc>
          <w:tcPr>
            <w:tcW w:w="709" w:type="dxa"/>
            <w:vAlign w:val="center"/>
          </w:tcPr>
          <w:p w14:paraId="7EAA57D4">
            <w:pPr>
              <w:adjustRightInd w:val="0"/>
              <w:snapToGrid w:val="0"/>
              <w:spacing w:line="320" w:lineRule="exact"/>
              <w:contextualSpacing/>
              <w:jc w:val="center"/>
              <w:rPr>
                <w:rFonts w:ascii="Times New Roman" w:eastAsia="仿宋"/>
                <w:szCs w:val="21"/>
              </w:rPr>
            </w:pPr>
            <w:r>
              <w:rPr>
                <w:rFonts w:ascii="Times New Roman" w:eastAsia="仿宋"/>
                <w:szCs w:val="21"/>
              </w:rPr>
              <w:t>潴育水稻土</w:t>
            </w:r>
          </w:p>
        </w:tc>
        <w:tc>
          <w:tcPr>
            <w:tcW w:w="709" w:type="dxa"/>
            <w:vAlign w:val="center"/>
          </w:tcPr>
          <w:p w14:paraId="6CBE559C">
            <w:pPr>
              <w:adjustRightInd w:val="0"/>
              <w:snapToGrid w:val="0"/>
              <w:spacing w:line="320" w:lineRule="exact"/>
              <w:contextualSpacing/>
              <w:jc w:val="center"/>
              <w:rPr>
                <w:rFonts w:ascii="Times New Roman" w:eastAsia="仿宋"/>
                <w:szCs w:val="21"/>
              </w:rPr>
            </w:pPr>
            <w:r>
              <w:rPr>
                <w:rFonts w:ascii="Times New Roman" w:eastAsia="仿宋"/>
                <w:szCs w:val="21"/>
              </w:rPr>
              <w:t>黄泥土</w:t>
            </w:r>
          </w:p>
        </w:tc>
        <w:tc>
          <w:tcPr>
            <w:tcW w:w="2936" w:type="dxa"/>
            <w:vAlign w:val="center"/>
          </w:tcPr>
          <w:p w14:paraId="1BD51757">
            <w:pPr>
              <w:adjustRightInd w:val="0"/>
              <w:snapToGrid w:val="0"/>
              <w:spacing w:line="320" w:lineRule="exact"/>
              <w:contextualSpacing/>
              <w:jc w:val="center"/>
              <w:rPr>
                <w:rFonts w:ascii="Times New Roman" w:eastAsia="仿宋"/>
                <w:szCs w:val="21"/>
              </w:rPr>
            </w:pPr>
            <w:r>
              <w:rPr>
                <w:rFonts w:ascii="Times New Roman" w:eastAsia="仿宋"/>
                <w:szCs w:val="21"/>
              </w:rPr>
              <w:t>江苏省太湖平原，遍及苏州、无锡、常州、镇江等市， 以吴江、昆山、无锡、宜兴、江阴、武进等地面积最大</w:t>
            </w:r>
          </w:p>
        </w:tc>
        <w:tc>
          <w:tcPr>
            <w:tcW w:w="1067" w:type="dxa"/>
            <w:vAlign w:val="center"/>
          </w:tcPr>
          <w:p w14:paraId="5B235677">
            <w:pPr>
              <w:adjustRightInd w:val="0"/>
              <w:snapToGrid w:val="0"/>
              <w:spacing w:line="320" w:lineRule="exact"/>
              <w:contextualSpacing/>
              <w:jc w:val="center"/>
              <w:rPr>
                <w:rFonts w:ascii="Times New Roman" w:eastAsia="仿宋"/>
                <w:szCs w:val="21"/>
              </w:rPr>
            </w:pPr>
            <w:r>
              <w:rPr>
                <w:rFonts w:ascii="Times New Roman" w:eastAsia="仿宋"/>
                <w:szCs w:val="21"/>
              </w:rPr>
              <w:t>黄土状的湖积母质</w:t>
            </w:r>
          </w:p>
        </w:tc>
        <w:tc>
          <w:tcPr>
            <w:tcW w:w="992" w:type="dxa"/>
            <w:vAlign w:val="center"/>
          </w:tcPr>
          <w:p w14:paraId="50C087AB">
            <w:pPr>
              <w:adjustRightInd w:val="0"/>
              <w:snapToGrid w:val="0"/>
              <w:spacing w:line="320" w:lineRule="exact"/>
              <w:contextualSpacing/>
              <w:jc w:val="center"/>
              <w:rPr>
                <w:rFonts w:ascii="Times New Roman" w:eastAsia="仿宋"/>
                <w:szCs w:val="21"/>
              </w:rPr>
            </w:pPr>
            <w:r>
              <w:rPr>
                <w:rFonts w:ascii="Times New Roman" w:eastAsia="仿宋"/>
                <w:szCs w:val="21"/>
              </w:rPr>
              <w:t>Aa—Ap—P—W</w:t>
            </w:r>
          </w:p>
        </w:tc>
        <w:tc>
          <w:tcPr>
            <w:tcW w:w="6761" w:type="dxa"/>
            <w:vAlign w:val="center"/>
          </w:tcPr>
          <w:p w14:paraId="643CE19F">
            <w:pPr>
              <w:adjustRightInd w:val="0"/>
              <w:snapToGrid w:val="0"/>
              <w:spacing w:line="320" w:lineRule="exact"/>
              <w:contextualSpacing/>
              <w:jc w:val="center"/>
              <w:rPr>
                <w:rFonts w:ascii="Times New Roman" w:eastAsia="仿宋"/>
                <w:szCs w:val="21"/>
              </w:rPr>
            </w:pPr>
            <w:r>
              <w:rPr>
                <w:rFonts w:ascii="Times New Roman" w:eastAsia="仿宋"/>
                <w:szCs w:val="21"/>
              </w:rPr>
              <w:t>通体质地均匀，壤质粘土。耕层有鳝血斑，自犁底层开始结构体表面有黄灰色胶膜及铁锰锈斑。 潴育层呈棱块状结构，垂直节理，有较厚的灰色胶膜和铁锰结核。氧化铁的晶胶率犁底层 为耕层的1.5倍(n=11)，渗育层为耕层的6.82倍，潴育层为耕层的10.08倍。</w:t>
            </w:r>
          </w:p>
        </w:tc>
        <w:tc>
          <w:tcPr>
            <w:tcW w:w="1144" w:type="dxa"/>
            <w:noWrap/>
            <w:vAlign w:val="center"/>
          </w:tcPr>
          <w:p w14:paraId="1E458D9C">
            <w:pPr>
              <w:adjustRightInd w:val="0"/>
              <w:snapToGrid w:val="0"/>
              <w:spacing w:line="320" w:lineRule="exact"/>
              <w:contextualSpacing/>
              <w:jc w:val="center"/>
              <w:rPr>
                <w:rFonts w:ascii="Times New Roman" w:eastAsia="仿宋"/>
                <w:szCs w:val="21"/>
              </w:rPr>
            </w:pPr>
            <w:r>
              <w:rPr>
                <w:rFonts w:ascii="Times New Roman" w:eastAsia="仿宋"/>
                <w:szCs w:val="21"/>
              </w:rPr>
              <w:t>水田</w:t>
            </w:r>
          </w:p>
        </w:tc>
      </w:tr>
      <w:tr w14:paraId="70E0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2" w:type="dxa"/>
            <w:vMerge w:val="continue"/>
            <w:vAlign w:val="center"/>
          </w:tcPr>
          <w:p w14:paraId="4CC77B8F">
            <w:pPr>
              <w:spacing w:line="320" w:lineRule="exact"/>
              <w:contextualSpacing/>
              <w:jc w:val="center"/>
              <w:rPr>
                <w:rFonts w:ascii="Times New Roman" w:eastAsia="仿宋"/>
                <w:szCs w:val="21"/>
              </w:rPr>
            </w:pPr>
          </w:p>
        </w:tc>
        <w:tc>
          <w:tcPr>
            <w:tcW w:w="709" w:type="dxa"/>
            <w:noWrap/>
            <w:vAlign w:val="center"/>
          </w:tcPr>
          <w:p w14:paraId="54A42662">
            <w:pPr>
              <w:adjustRightInd w:val="0"/>
              <w:snapToGrid w:val="0"/>
              <w:spacing w:line="320" w:lineRule="exact"/>
              <w:contextualSpacing/>
              <w:jc w:val="center"/>
              <w:rPr>
                <w:rFonts w:ascii="Times New Roman" w:eastAsia="仿宋"/>
                <w:szCs w:val="21"/>
              </w:rPr>
            </w:pPr>
            <w:r>
              <w:rPr>
                <w:rFonts w:ascii="Times New Roman" w:eastAsia="仿宋"/>
                <w:szCs w:val="21"/>
              </w:rPr>
              <w:t>漂洗水稻土</w:t>
            </w:r>
          </w:p>
        </w:tc>
        <w:tc>
          <w:tcPr>
            <w:tcW w:w="709" w:type="dxa"/>
            <w:noWrap/>
            <w:vAlign w:val="center"/>
          </w:tcPr>
          <w:p w14:paraId="06CB48F7">
            <w:pPr>
              <w:adjustRightInd w:val="0"/>
              <w:snapToGrid w:val="0"/>
              <w:spacing w:line="320" w:lineRule="exact"/>
              <w:contextualSpacing/>
              <w:jc w:val="center"/>
              <w:rPr>
                <w:rFonts w:ascii="Times New Roman" w:eastAsia="仿宋"/>
                <w:szCs w:val="21"/>
              </w:rPr>
            </w:pPr>
            <w:r>
              <w:rPr>
                <w:rFonts w:ascii="Times New Roman" w:eastAsia="仿宋"/>
                <w:szCs w:val="21"/>
              </w:rPr>
              <w:t>黄泥白土</w:t>
            </w:r>
          </w:p>
        </w:tc>
        <w:tc>
          <w:tcPr>
            <w:tcW w:w="2936" w:type="dxa"/>
            <w:vAlign w:val="center"/>
          </w:tcPr>
          <w:p w14:paraId="6F5D3D88">
            <w:pPr>
              <w:adjustRightInd w:val="0"/>
              <w:snapToGrid w:val="0"/>
              <w:spacing w:line="320" w:lineRule="exact"/>
              <w:contextualSpacing/>
              <w:jc w:val="center"/>
              <w:rPr>
                <w:rFonts w:ascii="Times New Roman" w:eastAsia="仿宋"/>
                <w:szCs w:val="21"/>
              </w:rPr>
            </w:pPr>
            <w:r>
              <w:rPr>
                <w:rFonts w:ascii="Times New Roman" w:eastAsia="仿宋"/>
                <w:szCs w:val="21"/>
              </w:rPr>
              <w:t>江苏省苏州、无锡、常州三市，处于黄泥土与白土过渡地段，以无锡县和吴县的面积最大</w:t>
            </w:r>
          </w:p>
        </w:tc>
        <w:tc>
          <w:tcPr>
            <w:tcW w:w="1067" w:type="dxa"/>
            <w:noWrap/>
            <w:vAlign w:val="center"/>
          </w:tcPr>
          <w:p w14:paraId="7E09E675">
            <w:pPr>
              <w:adjustRightInd w:val="0"/>
              <w:snapToGrid w:val="0"/>
              <w:spacing w:line="320" w:lineRule="exact"/>
              <w:contextualSpacing/>
              <w:jc w:val="center"/>
              <w:rPr>
                <w:rFonts w:ascii="Times New Roman" w:eastAsia="仿宋"/>
                <w:szCs w:val="21"/>
              </w:rPr>
            </w:pPr>
            <w:r>
              <w:rPr>
                <w:rFonts w:ascii="Times New Roman" w:eastAsia="仿宋"/>
                <w:szCs w:val="21"/>
              </w:rPr>
              <w:t>黄土母质</w:t>
            </w:r>
          </w:p>
        </w:tc>
        <w:tc>
          <w:tcPr>
            <w:tcW w:w="992" w:type="dxa"/>
            <w:noWrap/>
            <w:vAlign w:val="center"/>
          </w:tcPr>
          <w:p w14:paraId="584945F8">
            <w:pPr>
              <w:adjustRightInd w:val="0"/>
              <w:snapToGrid w:val="0"/>
              <w:spacing w:line="320" w:lineRule="exact"/>
              <w:contextualSpacing/>
              <w:jc w:val="center"/>
              <w:rPr>
                <w:rFonts w:ascii="Times New Roman" w:eastAsia="仿宋"/>
                <w:szCs w:val="21"/>
              </w:rPr>
            </w:pPr>
            <w:r>
              <w:rPr>
                <w:rFonts w:ascii="Times New Roman" w:eastAsia="仿宋"/>
                <w:szCs w:val="21"/>
              </w:rPr>
              <w:t>Aa—Ap—P—E—W</w:t>
            </w:r>
          </w:p>
        </w:tc>
        <w:tc>
          <w:tcPr>
            <w:tcW w:w="6761" w:type="dxa"/>
            <w:vAlign w:val="center"/>
          </w:tcPr>
          <w:p w14:paraId="79E19E3B">
            <w:pPr>
              <w:adjustRightInd w:val="0"/>
              <w:snapToGrid w:val="0"/>
              <w:spacing w:line="320" w:lineRule="exact"/>
              <w:contextualSpacing/>
              <w:jc w:val="center"/>
              <w:rPr>
                <w:rFonts w:ascii="Times New Roman" w:eastAsia="仿宋"/>
                <w:szCs w:val="21"/>
              </w:rPr>
            </w:pPr>
            <w:r>
              <w:rPr>
                <w:rFonts w:ascii="Times New Roman" w:eastAsia="仿宋"/>
                <w:szCs w:val="21"/>
              </w:rPr>
              <w:t>通体为壤质粘土，pH值从上到下呈递增趋势，为6.3—7.2。渗育层段开始即具有发育好的棱柱状结构，结构面具体灰色胶膜，锈纹、锈斑明显，潴育层有较多铁锰结核。在土体40cm左右以下出现一层白土层(E层)，潴育层(或Cb层)晶胶率7.24，分别为耕层的4.76倍，为犁底层的4.04倍，为白土层的1.87倍。</w:t>
            </w:r>
          </w:p>
        </w:tc>
        <w:tc>
          <w:tcPr>
            <w:tcW w:w="1144" w:type="dxa"/>
            <w:noWrap/>
            <w:vAlign w:val="center"/>
          </w:tcPr>
          <w:p w14:paraId="362BEB69">
            <w:pPr>
              <w:adjustRightInd w:val="0"/>
              <w:snapToGrid w:val="0"/>
              <w:spacing w:line="320" w:lineRule="exact"/>
              <w:contextualSpacing/>
              <w:jc w:val="center"/>
              <w:rPr>
                <w:rFonts w:ascii="Times New Roman" w:eastAsia="仿宋"/>
                <w:szCs w:val="21"/>
              </w:rPr>
            </w:pPr>
            <w:r>
              <w:rPr>
                <w:rFonts w:ascii="Times New Roman" w:eastAsia="仿宋"/>
                <w:szCs w:val="21"/>
              </w:rPr>
              <w:t>水田</w:t>
            </w:r>
          </w:p>
        </w:tc>
      </w:tr>
    </w:tbl>
    <w:p w14:paraId="462F18ED">
      <w:pPr>
        <w:tabs>
          <w:tab w:val="left" w:pos="1395"/>
          <w:tab w:val="center" w:pos="4153"/>
        </w:tabs>
        <w:spacing w:line="500" w:lineRule="exact"/>
        <w:jc w:val="center"/>
        <w:rPr>
          <w:rFonts w:ascii="Times New Roman" w:eastAsia="仿宋"/>
          <w:b/>
          <w:bCs/>
        </w:rPr>
      </w:pPr>
      <w:r>
        <w:rPr>
          <w:rFonts w:ascii="Times New Roman" w:eastAsia="仿宋"/>
          <w:b/>
          <w:bCs/>
        </w:rPr>
        <w:t>表5.2-40  常州典型土壤类型剖面物理、化学性质一览表</w:t>
      </w:r>
    </w:p>
    <w:tbl>
      <w:tblPr>
        <w:tblStyle w:val="87"/>
        <w:tblW w:w="53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7"/>
        <w:gridCol w:w="1832"/>
        <w:gridCol w:w="623"/>
        <w:gridCol w:w="620"/>
        <w:gridCol w:w="652"/>
        <w:gridCol w:w="560"/>
        <w:gridCol w:w="560"/>
        <w:gridCol w:w="560"/>
        <w:gridCol w:w="560"/>
        <w:gridCol w:w="611"/>
        <w:gridCol w:w="614"/>
        <w:gridCol w:w="560"/>
        <w:gridCol w:w="623"/>
        <w:gridCol w:w="626"/>
        <w:gridCol w:w="623"/>
        <w:gridCol w:w="623"/>
        <w:gridCol w:w="623"/>
        <w:gridCol w:w="632"/>
        <w:gridCol w:w="623"/>
        <w:gridCol w:w="620"/>
        <w:gridCol w:w="620"/>
        <w:gridCol w:w="614"/>
      </w:tblGrid>
      <w:tr w14:paraId="6359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03" w:type="pct"/>
            <w:gridSpan w:val="2"/>
            <w:vAlign w:val="center"/>
          </w:tcPr>
          <w:p w14:paraId="26E55924">
            <w:pPr>
              <w:adjustRightInd w:val="0"/>
              <w:snapToGrid w:val="0"/>
              <w:spacing w:line="320" w:lineRule="exact"/>
              <w:contextualSpacing/>
              <w:jc w:val="center"/>
              <w:rPr>
                <w:rFonts w:ascii="Times New Roman" w:eastAsia="仿宋"/>
                <w:szCs w:val="21"/>
              </w:rPr>
            </w:pPr>
            <w:r>
              <w:rPr>
                <w:rFonts w:ascii="Times New Roman" w:eastAsia="仿宋"/>
                <w:szCs w:val="21"/>
              </w:rPr>
              <w:t>类别</w:t>
            </w:r>
          </w:p>
        </w:tc>
        <w:tc>
          <w:tcPr>
            <w:tcW w:w="638" w:type="pct"/>
            <w:gridSpan w:val="3"/>
            <w:vAlign w:val="center"/>
          </w:tcPr>
          <w:p w14:paraId="34A78A6D">
            <w:pPr>
              <w:adjustRightInd w:val="0"/>
              <w:snapToGrid w:val="0"/>
              <w:spacing w:line="320" w:lineRule="exact"/>
              <w:contextualSpacing/>
              <w:jc w:val="center"/>
              <w:rPr>
                <w:rFonts w:ascii="Times New Roman" w:eastAsia="仿宋"/>
                <w:szCs w:val="21"/>
              </w:rPr>
            </w:pPr>
            <w:r>
              <w:rPr>
                <w:rFonts w:ascii="Times New Roman" w:eastAsia="仿宋"/>
                <w:szCs w:val="21"/>
              </w:rPr>
              <w:t>黄石土</w:t>
            </w:r>
          </w:p>
        </w:tc>
        <w:tc>
          <w:tcPr>
            <w:tcW w:w="962" w:type="pct"/>
            <w:gridSpan w:val="5"/>
            <w:vAlign w:val="center"/>
          </w:tcPr>
          <w:p w14:paraId="4F974849">
            <w:pPr>
              <w:adjustRightInd w:val="0"/>
              <w:snapToGrid w:val="0"/>
              <w:spacing w:line="320" w:lineRule="exact"/>
              <w:contextualSpacing/>
              <w:jc w:val="center"/>
              <w:rPr>
                <w:rFonts w:ascii="Times New Roman" w:eastAsia="仿宋"/>
                <w:szCs w:val="21"/>
              </w:rPr>
            </w:pPr>
            <w:r>
              <w:rPr>
                <w:rFonts w:ascii="Times New Roman" w:eastAsia="仿宋"/>
                <w:szCs w:val="21"/>
              </w:rPr>
              <w:t>马肝土</w:t>
            </w:r>
          </w:p>
        </w:tc>
        <w:tc>
          <w:tcPr>
            <w:tcW w:w="817" w:type="pct"/>
            <w:gridSpan w:val="4"/>
            <w:vAlign w:val="center"/>
          </w:tcPr>
          <w:p w14:paraId="166205F9">
            <w:pPr>
              <w:adjustRightInd w:val="0"/>
              <w:snapToGrid w:val="0"/>
              <w:spacing w:line="320" w:lineRule="exact"/>
              <w:contextualSpacing/>
              <w:jc w:val="center"/>
              <w:rPr>
                <w:rFonts w:ascii="Times New Roman" w:eastAsia="仿宋"/>
                <w:szCs w:val="21"/>
              </w:rPr>
            </w:pPr>
            <w:r>
              <w:rPr>
                <w:rFonts w:ascii="Times New Roman" w:eastAsia="仿宋"/>
                <w:szCs w:val="21"/>
              </w:rPr>
              <w:t>铁质黄泥土</w:t>
            </w:r>
          </w:p>
        </w:tc>
        <w:tc>
          <w:tcPr>
            <w:tcW w:w="843" w:type="pct"/>
            <w:gridSpan w:val="4"/>
            <w:vAlign w:val="center"/>
          </w:tcPr>
          <w:p w14:paraId="077BA099">
            <w:pPr>
              <w:adjustRightInd w:val="0"/>
              <w:snapToGrid w:val="0"/>
              <w:spacing w:line="320" w:lineRule="exact"/>
              <w:contextualSpacing/>
              <w:jc w:val="center"/>
              <w:rPr>
                <w:rFonts w:ascii="Times New Roman" w:eastAsia="仿宋"/>
                <w:szCs w:val="21"/>
              </w:rPr>
            </w:pPr>
            <w:r>
              <w:rPr>
                <w:rFonts w:ascii="Times New Roman" w:eastAsia="仿宋"/>
                <w:szCs w:val="21"/>
              </w:rPr>
              <w:t>黄泥土</w:t>
            </w:r>
          </w:p>
        </w:tc>
        <w:tc>
          <w:tcPr>
            <w:tcW w:w="836" w:type="pct"/>
            <w:gridSpan w:val="4"/>
            <w:noWrap/>
            <w:vAlign w:val="center"/>
          </w:tcPr>
          <w:p w14:paraId="1DD4ADE6">
            <w:pPr>
              <w:adjustRightInd w:val="0"/>
              <w:snapToGrid w:val="0"/>
              <w:spacing w:line="320" w:lineRule="exact"/>
              <w:contextualSpacing/>
              <w:jc w:val="center"/>
              <w:rPr>
                <w:rFonts w:ascii="Times New Roman" w:eastAsia="仿宋"/>
                <w:szCs w:val="21"/>
              </w:rPr>
            </w:pPr>
            <w:r>
              <w:rPr>
                <w:rFonts w:ascii="Times New Roman" w:eastAsia="仿宋"/>
                <w:szCs w:val="21"/>
              </w:rPr>
              <w:t>黄泥白土</w:t>
            </w:r>
          </w:p>
        </w:tc>
      </w:tr>
      <w:tr w14:paraId="66C0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restart"/>
            <w:vAlign w:val="center"/>
          </w:tcPr>
          <w:p w14:paraId="0D9B804C">
            <w:pPr>
              <w:adjustRightInd w:val="0"/>
              <w:snapToGrid w:val="0"/>
              <w:spacing w:line="320" w:lineRule="exact"/>
              <w:contextualSpacing/>
              <w:jc w:val="center"/>
              <w:rPr>
                <w:rFonts w:ascii="Times New Roman" w:eastAsia="仿宋"/>
                <w:szCs w:val="21"/>
              </w:rPr>
            </w:pPr>
            <w:r>
              <w:rPr>
                <w:rFonts w:ascii="Times New Roman" w:eastAsia="仿宋"/>
                <w:szCs w:val="21"/>
              </w:rPr>
              <w:t>典型剖面发生层</w:t>
            </w:r>
          </w:p>
        </w:tc>
        <w:tc>
          <w:tcPr>
            <w:tcW w:w="618" w:type="pct"/>
            <w:vAlign w:val="center"/>
          </w:tcPr>
          <w:p w14:paraId="5FFA00F7">
            <w:pPr>
              <w:adjustRightInd w:val="0"/>
              <w:snapToGrid w:val="0"/>
              <w:spacing w:line="320" w:lineRule="exact"/>
              <w:contextualSpacing/>
              <w:jc w:val="center"/>
              <w:rPr>
                <w:rFonts w:ascii="Times New Roman" w:eastAsia="仿宋"/>
                <w:szCs w:val="21"/>
              </w:rPr>
            </w:pPr>
            <w:r>
              <w:rPr>
                <w:rFonts w:ascii="Times New Roman" w:eastAsia="仿宋"/>
                <w:szCs w:val="21"/>
              </w:rPr>
              <w:t>发生层名称</w:t>
            </w:r>
          </w:p>
        </w:tc>
        <w:tc>
          <w:tcPr>
            <w:tcW w:w="210" w:type="pct"/>
            <w:vAlign w:val="center"/>
          </w:tcPr>
          <w:p w14:paraId="6A20A1E9">
            <w:pPr>
              <w:adjustRightInd w:val="0"/>
              <w:snapToGrid w:val="0"/>
              <w:spacing w:line="320" w:lineRule="exact"/>
              <w:contextualSpacing/>
              <w:jc w:val="center"/>
              <w:rPr>
                <w:rFonts w:ascii="Times New Roman" w:eastAsia="仿宋"/>
                <w:szCs w:val="21"/>
              </w:rPr>
            </w:pPr>
            <w:r>
              <w:rPr>
                <w:rFonts w:ascii="Times New Roman" w:eastAsia="仿宋"/>
                <w:szCs w:val="21"/>
              </w:rPr>
              <w:t>A</w:t>
            </w:r>
          </w:p>
        </w:tc>
        <w:tc>
          <w:tcPr>
            <w:tcW w:w="209" w:type="pct"/>
            <w:vAlign w:val="center"/>
          </w:tcPr>
          <w:p w14:paraId="45B79D9A">
            <w:pPr>
              <w:adjustRightInd w:val="0"/>
              <w:snapToGrid w:val="0"/>
              <w:spacing w:line="320" w:lineRule="exact"/>
              <w:contextualSpacing/>
              <w:jc w:val="center"/>
              <w:rPr>
                <w:rFonts w:ascii="Times New Roman" w:eastAsia="仿宋"/>
                <w:szCs w:val="21"/>
              </w:rPr>
            </w:pPr>
            <w:r>
              <w:rPr>
                <w:rFonts w:ascii="Times New Roman" w:eastAsia="仿宋"/>
                <w:szCs w:val="21"/>
              </w:rPr>
              <w:t>AC</w:t>
            </w:r>
          </w:p>
        </w:tc>
        <w:tc>
          <w:tcPr>
            <w:tcW w:w="220" w:type="pct"/>
            <w:vAlign w:val="center"/>
          </w:tcPr>
          <w:p w14:paraId="54D6B28D">
            <w:pPr>
              <w:adjustRightInd w:val="0"/>
              <w:snapToGrid w:val="0"/>
              <w:spacing w:line="320" w:lineRule="exact"/>
              <w:contextualSpacing/>
              <w:jc w:val="center"/>
              <w:rPr>
                <w:rFonts w:ascii="Times New Roman" w:eastAsia="仿宋"/>
                <w:szCs w:val="21"/>
              </w:rPr>
            </w:pPr>
            <w:r>
              <w:rPr>
                <w:rFonts w:ascii="Times New Roman" w:eastAsia="仿宋"/>
                <w:szCs w:val="21"/>
              </w:rPr>
              <w:t>C</w:t>
            </w:r>
          </w:p>
        </w:tc>
        <w:tc>
          <w:tcPr>
            <w:tcW w:w="189" w:type="pct"/>
            <w:vAlign w:val="center"/>
          </w:tcPr>
          <w:p w14:paraId="6F108422">
            <w:pPr>
              <w:adjustRightInd w:val="0"/>
              <w:snapToGrid w:val="0"/>
              <w:spacing w:line="320" w:lineRule="exact"/>
              <w:contextualSpacing/>
              <w:jc w:val="center"/>
              <w:rPr>
                <w:rFonts w:ascii="Times New Roman" w:eastAsia="仿宋"/>
                <w:szCs w:val="21"/>
              </w:rPr>
            </w:pPr>
            <w:r>
              <w:rPr>
                <w:rFonts w:ascii="Times New Roman" w:eastAsia="仿宋"/>
                <w:szCs w:val="21"/>
              </w:rPr>
              <w:t>Aa</w:t>
            </w:r>
          </w:p>
        </w:tc>
        <w:tc>
          <w:tcPr>
            <w:tcW w:w="189" w:type="pct"/>
            <w:vAlign w:val="center"/>
          </w:tcPr>
          <w:p w14:paraId="68F36C76">
            <w:pPr>
              <w:adjustRightInd w:val="0"/>
              <w:snapToGrid w:val="0"/>
              <w:spacing w:line="320" w:lineRule="exact"/>
              <w:contextualSpacing/>
              <w:jc w:val="center"/>
              <w:rPr>
                <w:rFonts w:ascii="Times New Roman" w:eastAsia="仿宋"/>
                <w:szCs w:val="21"/>
              </w:rPr>
            </w:pPr>
            <w:r>
              <w:rPr>
                <w:rFonts w:ascii="Times New Roman" w:eastAsia="仿宋"/>
                <w:szCs w:val="21"/>
              </w:rPr>
              <w:t>Ap</w:t>
            </w:r>
          </w:p>
        </w:tc>
        <w:tc>
          <w:tcPr>
            <w:tcW w:w="189" w:type="pct"/>
            <w:vAlign w:val="center"/>
          </w:tcPr>
          <w:p w14:paraId="69B1D29C">
            <w:pPr>
              <w:adjustRightInd w:val="0"/>
              <w:snapToGrid w:val="0"/>
              <w:spacing w:line="320" w:lineRule="exact"/>
              <w:contextualSpacing/>
              <w:jc w:val="center"/>
              <w:rPr>
                <w:rFonts w:ascii="Times New Roman" w:eastAsia="仿宋"/>
                <w:szCs w:val="21"/>
              </w:rPr>
            </w:pPr>
            <w:r>
              <w:rPr>
                <w:rFonts w:ascii="Times New Roman" w:eastAsia="仿宋"/>
                <w:szCs w:val="21"/>
              </w:rPr>
              <w:t>P</w:t>
            </w:r>
          </w:p>
        </w:tc>
        <w:tc>
          <w:tcPr>
            <w:tcW w:w="189" w:type="pct"/>
            <w:vAlign w:val="center"/>
          </w:tcPr>
          <w:p w14:paraId="7BFC5D3A">
            <w:pPr>
              <w:adjustRightInd w:val="0"/>
              <w:snapToGrid w:val="0"/>
              <w:spacing w:line="320" w:lineRule="exact"/>
              <w:contextualSpacing/>
              <w:jc w:val="center"/>
              <w:rPr>
                <w:rFonts w:ascii="Times New Roman" w:eastAsia="仿宋"/>
                <w:szCs w:val="21"/>
              </w:rPr>
            </w:pPr>
            <w:r>
              <w:rPr>
                <w:rFonts w:ascii="Times New Roman" w:eastAsia="仿宋"/>
                <w:szCs w:val="21"/>
              </w:rPr>
              <w:t>W1</w:t>
            </w:r>
          </w:p>
        </w:tc>
        <w:tc>
          <w:tcPr>
            <w:tcW w:w="205" w:type="pct"/>
            <w:vAlign w:val="center"/>
          </w:tcPr>
          <w:p w14:paraId="22C8CFB8">
            <w:pPr>
              <w:adjustRightInd w:val="0"/>
              <w:snapToGrid w:val="0"/>
              <w:spacing w:line="320" w:lineRule="exact"/>
              <w:contextualSpacing/>
              <w:jc w:val="center"/>
              <w:rPr>
                <w:rFonts w:ascii="Times New Roman" w:eastAsia="仿宋"/>
                <w:szCs w:val="21"/>
              </w:rPr>
            </w:pPr>
            <w:r>
              <w:rPr>
                <w:rFonts w:ascii="Times New Roman" w:eastAsia="仿宋"/>
                <w:szCs w:val="21"/>
              </w:rPr>
              <w:t>W2</w:t>
            </w:r>
          </w:p>
        </w:tc>
        <w:tc>
          <w:tcPr>
            <w:tcW w:w="207" w:type="pct"/>
            <w:vAlign w:val="center"/>
          </w:tcPr>
          <w:p w14:paraId="218942BD">
            <w:pPr>
              <w:adjustRightInd w:val="0"/>
              <w:snapToGrid w:val="0"/>
              <w:spacing w:line="320" w:lineRule="exact"/>
              <w:contextualSpacing/>
              <w:jc w:val="center"/>
              <w:rPr>
                <w:rFonts w:ascii="Times New Roman" w:eastAsia="仿宋"/>
                <w:szCs w:val="21"/>
              </w:rPr>
            </w:pPr>
            <w:r>
              <w:rPr>
                <w:rFonts w:ascii="Times New Roman" w:eastAsia="仿宋"/>
                <w:szCs w:val="21"/>
              </w:rPr>
              <w:t>Aa</w:t>
            </w:r>
          </w:p>
        </w:tc>
        <w:tc>
          <w:tcPr>
            <w:tcW w:w="189" w:type="pct"/>
            <w:vAlign w:val="center"/>
          </w:tcPr>
          <w:p w14:paraId="228F652F">
            <w:pPr>
              <w:adjustRightInd w:val="0"/>
              <w:snapToGrid w:val="0"/>
              <w:spacing w:line="320" w:lineRule="exact"/>
              <w:contextualSpacing/>
              <w:jc w:val="center"/>
              <w:rPr>
                <w:rFonts w:ascii="Times New Roman" w:eastAsia="仿宋"/>
                <w:szCs w:val="21"/>
              </w:rPr>
            </w:pPr>
            <w:r>
              <w:rPr>
                <w:rFonts w:ascii="Times New Roman" w:eastAsia="仿宋"/>
                <w:szCs w:val="21"/>
              </w:rPr>
              <w:t>Ap</w:t>
            </w:r>
          </w:p>
        </w:tc>
        <w:tc>
          <w:tcPr>
            <w:tcW w:w="210" w:type="pct"/>
            <w:vAlign w:val="center"/>
          </w:tcPr>
          <w:p w14:paraId="4E9FCE58">
            <w:pPr>
              <w:adjustRightInd w:val="0"/>
              <w:snapToGrid w:val="0"/>
              <w:spacing w:line="320" w:lineRule="exact"/>
              <w:contextualSpacing/>
              <w:jc w:val="center"/>
              <w:rPr>
                <w:rFonts w:ascii="Times New Roman" w:eastAsia="仿宋"/>
                <w:szCs w:val="21"/>
              </w:rPr>
            </w:pPr>
            <w:r>
              <w:rPr>
                <w:rFonts w:ascii="Times New Roman" w:eastAsia="仿宋"/>
                <w:szCs w:val="21"/>
              </w:rPr>
              <w:t>W</w:t>
            </w:r>
          </w:p>
        </w:tc>
        <w:tc>
          <w:tcPr>
            <w:tcW w:w="211" w:type="pct"/>
            <w:vAlign w:val="center"/>
          </w:tcPr>
          <w:p w14:paraId="2136E277">
            <w:pPr>
              <w:adjustRightInd w:val="0"/>
              <w:snapToGrid w:val="0"/>
              <w:spacing w:line="320" w:lineRule="exact"/>
              <w:contextualSpacing/>
              <w:jc w:val="center"/>
              <w:rPr>
                <w:rFonts w:ascii="Times New Roman" w:eastAsia="仿宋"/>
                <w:szCs w:val="21"/>
              </w:rPr>
            </w:pPr>
            <w:r>
              <w:rPr>
                <w:rFonts w:ascii="Times New Roman" w:eastAsia="仿宋"/>
                <w:szCs w:val="21"/>
              </w:rPr>
              <w:t>W2</w:t>
            </w:r>
          </w:p>
        </w:tc>
        <w:tc>
          <w:tcPr>
            <w:tcW w:w="210" w:type="pct"/>
            <w:vAlign w:val="center"/>
          </w:tcPr>
          <w:p w14:paraId="64856743">
            <w:pPr>
              <w:adjustRightInd w:val="0"/>
              <w:snapToGrid w:val="0"/>
              <w:spacing w:line="320" w:lineRule="exact"/>
              <w:contextualSpacing/>
              <w:jc w:val="center"/>
              <w:rPr>
                <w:rFonts w:ascii="Times New Roman" w:eastAsia="仿宋"/>
                <w:szCs w:val="21"/>
              </w:rPr>
            </w:pPr>
            <w:r>
              <w:rPr>
                <w:rFonts w:ascii="Times New Roman" w:eastAsia="仿宋"/>
                <w:szCs w:val="21"/>
              </w:rPr>
              <w:t>Aa</w:t>
            </w:r>
          </w:p>
        </w:tc>
        <w:tc>
          <w:tcPr>
            <w:tcW w:w="210" w:type="pct"/>
            <w:vAlign w:val="center"/>
          </w:tcPr>
          <w:p w14:paraId="097007F1">
            <w:pPr>
              <w:adjustRightInd w:val="0"/>
              <w:snapToGrid w:val="0"/>
              <w:spacing w:line="320" w:lineRule="exact"/>
              <w:contextualSpacing/>
              <w:jc w:val="center"/>
              <w:rPr>
                <w:rFonts w:ascii="Times New Roman" w:eastAsia="仿宋"/>
                <w:szCs w:val="21"/>
              </w:rPr>
            </w:pPr>
            <w:r>
              <w:rPr>
                <w:rFonts w:ascii="Times New Roman" w:eastAsia="仿宋"/>
                <w:szCs w:val="21"/>
              </w:rPr>
              <w:t>Ap</w:t>
            </w:r>
          </w:p>
        </w:tc>
        <w:tc>
          <w:tcPr>
            <w:tcW w:w="210" w:type="pct"/>
            <w:vAlign w:val="center"/>
          </w:tcPr>
          <w:p w14:paraId="2C155C32">
            <w:pPr>
              <w:adjustRightInd w:val="0"/>
              <w:snapToGrid w:val="0"/>
              <w:spacing w:line="320" w:lineRule="exact"/>
              <w:contextualSpacing/>
              <w:jc w:val="center"/>
              <w:rPr>
                <w:rFonts w:ascii="Times New Roman" w:eastAsia="仿宋"/>
                <w:szCs w:val="21"/>
              </w:rPr>
            </w:pPr>
            <w:r>
              <w:rPr>
                <w:rFonts w:ascii="Times New Roman" w:eastAsia="仿宋"/>
                <w:szCs w:val="21"/>
              </w:rPr>
              <w:t>P</w:t>
            </w:r>
          </w:p>
        </w:tc>
        <w:tc>
          <w:tcPr>
            <w:tcW w:w="213" w:type="pct"/>
            <w:vAlign w:val="center"/>
          </w:tcPr>
          <w:p w14:paraId="0E6F17FF">
            <w:pPr>
              <w:adjustRightInd w:val="0"/>
              <w:snapToGrid w:val="0"/>
              <w:spacing w:line="320" w:lineRule="exact"/>
              <w:contextualSpacing/>
              <w:jc w:val="center"/>
              <w:rPr>
                <w:rFonts w:ascii="Times New Roman" w:eastAsia="仿宋"/>
                <w:szCs w:val="21"/>
              </w:rPr>
            </w:pPr>
            <w:r>
              <w:rPr>
                <w:rFonts w:ascii="Times New Roman" w:eastAsia="仿宋"/>
                <w:szCs w:val="21"/>
              </w:rPr>
              <w:t>W</w:t>
            </w:r>
          </w:p>
        </w:tc>
        <w:tc>
          <w:tcPr>
            <w:tcW w:w="210" w:type="pct"/>
            <w:vAlign w:val="center"/>
          </w:tcPr>
          <w:p w14:paraId="15EC154C">
            <w:pPr>
              <w:adjustRightInd w:val="0"/>
              <w:snapToGrid w:val="0"/>
              <w:spacing w:line="320" w:lineRule="exact"/>
              <w:contextualSpacing/>
              <w:jc w:val="center"/>
              <w:rPr>
                <w:rFonts w:ascii="Times New Roman" w:eastAsia="仿宋"/>
                <w:szCs w:val="21"/>
              </w:rPr>
            </w:pPr>
            <w:r>
              <w:rPr>
                <w:rFonts w:ascii="Times New Roman" w:eastAsia="仿宋"/>
                <w:szCs w:val="21"/>
              </w:rPr>
              <w:t>Aa</w:t>
            </w:r>
          </w:p>
        </w:tc>
        <w:tc>
          <w:tcPr>
            <w:tcW w:w="209" w:type="pct"/>
            <w:vAlign w:val="center"/>
          </w:tcPr>
          <w:p w14:paraId="51163468">
            <w:pPr>
              <w:adjustRightInd w:val="0"/>
              <w:snapToGrid w:val="0"/>
              <w:spacing w:line="320" w:lineRule="exact"/>
              <w:contextualSpacing/>
              <w:jc w:val="center"/>
              <w:rPr>
                <w:rFonts w:ascii="Times New Roman" w:eastAsia="仿宋"/>
                <w:szCs w:val="21"/>
              </w:rPr>
            </w:pPr>
            <w:r>
              <w:rPr>
                <w:rFonts w:ascii="Times New Roman" w:eastAsia="仿宋"/>
                <w:szCs w:val="21"/>
              </w:rPr>
              <w:t>Ap</w:t>
            </w:r>
          </w:p>
        </w:tc>
        <w:tc>
          <w:tcPr>
            <w:tcW w:w="209" w:type="pct"/>
            <w:vAlign w:val="center"/>
          </w:tcPr>
          <w:p w14:paraId="1DE3562A">
            <w:pPr>
              <w:adjustRightInd w:val="0"/>
              <w:snapToGrid w:val="0"/>
              <w:spacing w:line="320" w:lineRule="exact"/>
              <w:contextualSpacing/>
              <w:jc w:val="center"/>
              <w:rPr>
                <w:rFonts w:ascii="Times New Roman" w:eastAsia="仿宋"/>
                <w:szCs w:val="21"/>
              </w:rPr>
            </w:pPr>
            <w:r>
              <w:rPr>
                <w:rFonts w:ascii="Times New Roman" w:eastAsia="仿宋"/>
                <w:szCs w:val="21"/>
              </w:rPr>
              <w:t>P</w:t>
            </w:r>
          </w:p>
        </w:tc>
        <w:tc>
          <w:tcPr>
            <w:tcW w:w="208" w:type="pct"/>
            <w:vAlign w:val="center"/>
          </w:tcPr>
          <w:p w14:paraId="7CFCF530">
            <w:pPr>
              <w:adjustRightInd w:val="0"/>
              <w:snapToGrid w:val="0"/>
              <w:spacing w:line="320" w:lineRule="exact"/>
              <w:contextualSpacing/>
              <w:jc w:val="center"/>
              <w:rPr>
                <w:rFonts w:ascii="Times New Roman" w:eastAsia="仿宋"/>
                <w:szCs w:val="21"/>
              </w:rPr>
            </w:pPr>
            <w:r>
              <w:rPr>
                <w:rFonts w:ascii="Times New Roman" w:eastAsia="仿宋"/>
                <w:szCs w:val="21"/>
              </w:rPr>
              <w:t>E</w:t>
            </w:r>
          </w:p>
        </w:tc>
      </w:tr>
      <w:tr w14:paraId="5C1A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04870F92">
            <w:pPr>
              <w:adjustRightInd w:val="0"/>
              <w:snapToGrid w:val="0"/>
              <w:spacing w:line="320" w:lineRule="exact"/>
              <w:contextualSpacing/>
              <w:jc w:val="center"/>
              <w:rPr>
                <w:rFonts w:ascii="Times New Roman" w:eastAsia="仿宋"/>
                <w:szCs w:val="21"/>
              </w:rPr>
            </w:pPr>
          </w:p>
        </w:tc>
        <w:tc>
          <w:tcPr>
            <w:tcW w:w="618" w:type="pct"/>
            <w:vAlign w:val="center"/>
          </w:tcPr>
          <w:p w14:paraId="71D9D58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发生层序号</w:t>
            </w:r>
          </w:p>
        </w:tc>
        <w:tc>
          <w:tcPr>
            <w:tcW w:w="210" w:type="pct"/>
            <w:vAlign w:val="center"/>
          </w:tcPr>
          <w:p w14:paraId="0F62F99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w:t>
            </w:r>
          </w:p>
        </w:tc>
        <w:tc>
          <w:tcPr>
            <w:tcW w:w="209" w:type="pct"/>
            <w:vAlign w:val="center"/>
          </w:tcPr>
          <w:p w14:paraId="7A0F81C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220" w:type="pct"/>
            <w:vAlign w:val="center"/>
          </w:tcPr>
          <w:p w14:paraId="0E3A168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w:t>
            </w:r>
          </w:p>
        </w:tc>
        <w:tc>
          <w:tcPr>
            <w:tcW w:w="189" w:type="pct"/>
            <w:vAlign w:val="center"/>
          </w:tcPr>
          <w:p w14:paraId="27883B0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w:t>
            </w:r>
          </w:p>
        </w:tc>
        <w:tc>
          <w:tcPr>
            <w:tcW w:w="189" w:type="pct"/>
            <w:vAlign w:val="center"/>
          </w:tcPr>
          <w:p w14:paraId="75C2577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189" w:type="pct"/>
            <w:vAlign w:val="center"/>
          </w:tcPr>
          <w:p w14:paraId="11DEBE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w:t>
            </w:r>
          </w:p>
        </w:tc>
        <w:tc>
          <w:tcPr>
            <w:tcW w:w="189" w:type="pct"/>
            <w:vAlign w:val="center"/>
          </w:tcPr>
          <w:p w14:paraId="52B1EEC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w:t>
            </w:r>
          </w:p>
        </w:tc>
        <w:tc>
          <w:tcPr>
            <w:tcW w:w="205" w:type="pct"/>
            <w:vAlign w:val="center"/>
          </w:tcPr>
          <w:p w14:paraId="7D7B052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w:t>
            </w:r>
          </w:p>
        </w:tc>
        <w:tc>
          <w:tcPr>
            <w:tcW w:w="207" w:type="pct"/>
            <w:vAlign w:val="center"/>
          </w:tcPr>
          <w:p w14:paraId="6966301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w:t>
            </w:r>
          </w:p>
        </w:tc>
        <w:tc>
          <w:tcPr>
            <w:tcW w:w="189" w:type="pct"/>
            <w:vAlign w:val="center"/>
          </w:tcPr>
          <w:p w14:paraId="39A32F5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210" w:type="pct"/>
            <w:vAlign w:val="center"/>
          </w:tcPr>
          <w:p w14:paraId="51E9FC3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w:t>
            </w:r>
          </w:p>
        </w:tc>
        <w:tc>
          <w:tcPr>
            <w:tcW w:w="211" w:type="pct"/>
            <w:vAlign w:val="center"/>
          </w:tcPr>
          <w:p w14:paraId="57AAD81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w:t>
            </w:r>
          </w:p>
        </w:tc>
        <w:tc>
          <w:tcPr>
            <w:tcW w:w="210" w:type="pct"/>
            <w:vAlign w:val="center"/>
          </w:tcPr>
          <w:p w14:paraId="16B01D1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w:t>
            </w:r>
          </w:p>
        </w:tc>
        <w:tc>
          <w:tcPr>
            <w:tcW w:w="210" w:type="pct"/>
            <w:vAlign w:val="center"/>
          </w:tcPr>
          <w:p w14:paraId="236AD52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210" w:type="pct"/>
            <w:vAlign w:val="center"/>
          </w:tcPr>
          <w:p w14:paraId="6A39E3B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w:t>
            </w:r>
          </w:p>
        </w:tc>
        <w:tc>
          <w:tcPr>
            <w:tcW w:w="213" w:type="pct"/>
            <w:vAlign w:val="center"/>
          </w:tcPr>
          <w:p w14:paraId="57B6FE0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w:t>
            </w:r>
          </w:p>
        </w:tc>
        <w:tc>
          <w:tcPr>
            <w:tcW w:w="210" w:type="pct"/>
            <w:vAlign w:val="center"/>
          </w:tcPr>
          <w:p w14:paraId="6EC67AC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w:t>
            </w:r>
          </w:p>
        </w:tc>
        <w:tc>
          <w:tcPr>
            <w:tcW w:w="209" w:type="pct"/>
            <w:vAlign w:val="center"/>
          </w:tcPr>
          <w:p w14:paraId="291E405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209" w:type="pct"/>
            <w:vAlign w:val="center"/>
          </w:tcPr>
          <w:p w14:paraId="56D6E80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w:t>
            </w:r>
          </w:p>
        </w:tc>
        <w:tc>
          <w:tcPr>
            <w:tcW w:w="208" w:type="pct"/>
            <w:vAlign w:val="center"/>
          </w:tcPr>
          <w:p w14:paraId="4D7DB31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w:t>
            </w:r>
          </w:p>
        </w:tc>
      </w:tr>
      <w:tr w14:paraId="0A0B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2CB97D24">
            <w:pPr>
              <w:adjustRightInd w:val="0"/>
              <w:snapToGrid w:val="0"/>
              <w:spacing w:line="320" w:lineRule="exact"/>
              <w:contextualSpacing/>
              <w:jc w:val="center"/>
              <w:rPr>
                <w:rFonts w:ascii="Times New Roman" w:eastAsia="仿宋"/>
                <w:szCs w:val="21"/>
              </w:rPr>
            </w:pPr>
          </w:p>
        </w:tc>
        <w:tc>
          <w:tcPr>
            <w:tcW w:w="618" w:type="pct"/>
            <w:vAlign w:val="center"/>
          </w:tcPr>
          <w:p w14:paraId="522C19C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发生层厚度cm</w:t>
            </w:r>
          </w:p>
        </w:tc>
        <w:tc>
          <w:tcPr>
            <w:tcW w:w="210" w:type="pct"/>
            <w:vAlign w:val="center"/>
          </w:tcPr>
          <w:p w14:paraId="53B33C3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16</w:t>
            </w:r>
          </w:p>
        </w:tc>
        <w:tc>
          <w:tcPr>
            <w:tcW w:w="209" w:type="pct"/>
            <w:vAlign w:val="center"/>
          </w:tcPr>
          <w:p w14:paraId="2A4B1EA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21</w:t>
            </w:r>
          </w:p>
        </w:tc>
        <w:tc>
          <w:tcPr>
            <w:tcW w:w="220" w:type="pct"/>
            <w:vAlign w:val="center"/>
          </w:tcPr>
          <w:p w14:paraId="4FDE0FC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40</w:t>
            </w:r>
          </w:p>
        </w:tc>
        <w:tc>
          <w:tcPr>
            <w:tcW w:w="189" w:type="pct"/>
            <w:vAlign w:val="center"/>
          </w:tcPr>
          <w:p w14:paraId="5CB91A2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15</w:t>
            </w:r>
          </w:p>
        </w:tc>
        <w:tc>
          <w:tcPr>
            <w:tcW w:w="189" w:type="pct"/>
            <w:vAlign w:val="center"/>
          </w:tcPr>
          <w:p w14:paraId="5A124FE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w:t>
            </w:r>
          </w:p>
        </w:tc>
        <w:tc>
          <w:tcPr>
            <w:tcW w:w="189" w:type="pct"/>
            <w:vAlign w:val="center"/>
          </w:tcPr>
          <w:p w14:paraId="04C9A69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25</w:t>
            </w:r>
          </w:p>
        </w:tc>
        <w:tc>
          <w:tcPr>
            <w:tcW w:w="189" w:type="pct"/>
            <w:vAlign w:val="center"/>
          </w:tcPr>
          <w:p w14:paraId="2CA86CC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24</w:t>
            </w:r>
          </w:p>
        </w:tc>
        <w:tc>
          <w:tcPr>
            <w:tcW w:w="205" w:type="pct"/>
            <w:vAlign w:val="center"/>
          </w:tcPr>
          <w:p w14:paraId="67DB400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26</w:t>
            </w:r>
          </w:p>
        </w:tc>
        <w:tc>
          <w:tcPr>
            <w:tcW w:w="207" w:type="pct"/>
            <w:vAlign w:val="center"/>
          </w:tcPr>
          <w:p w14:paraId="04244A4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189" w:type="pct"/>
            <w:vAlign w:val="center"/>
          </w:tcPr>
          <w:p w14:paraId="68D694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9</w:t>
            </w:r>
          </w:p>
        </w:tc>
        <w:tc>
          <w:tcPr>
            <w:tcW w:w="210" w:type="pct"/>
            <w:vAlign w:val="center"/>
          </w:tcPr>
          <w:p w14:paraId="4C303EE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w:t>
            </w:r>
          </w:p>
        </w:tc>
        <w:tc>
          <w:tcPr>
            <w:tcW w:w="211" w:type="pct"/>
            <w:vAlign w:val="center"/>
          </w:tcPr>
          <w:p w14:paraId="5D0F804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58</w:t>
            </w:r>
          </w:p>
        </w:tc>
        <w:tc>
          <w:tcPr>
            <w:tcW w:w="210" w:type="pct"/>
            <w:vAlign w:val="center"/>
          </w:tcPr>
          <w:p w14:paraId="3CA283B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w:t>
            </w:r>
          </w:p>
        </w:tc>
        <w:tc>
          <w:tcPr>
            <w:tcW w:w="210" w:type="pct"/>
            <w:vAlign w:val="center"/>
          </w:tcPr>
          <w:p w14:paraId="7922381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w:t>
            </w:r>
          </w:p>
        </w:tc>
        <w:tc>
          <w:tcPr>
            <w:tcW w:w="210" w:type="pct"/>
            <w:vAlign w:val="center"/>
          </w:tcPr>
          <w:p w14:paraId="2A069B7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40</w:t>
            </w:r>
          </w:p>
        </w:tc>
        <w:tc>
          <w:tcPr>
            <w:tcW w:w="213" w:type="pct"/>
            <w:vAlign w:val="center"/>
          </w:tcPr>
          <w:p w14:paraId="7320A99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56</w:t>
            </w:r>
          </w:p>
        </w:tc>
        <w:tc>
          <w:tcPr>
            <w:tcW w:w="210" w:type="pct"/>
            <w:vAlign w:val="center"/>
          </w:tcPr>
          <w:p w14:paraId="1FD2715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209" w:type="pct"/>
            <w:vAlign w:val="center"/>
          </w:tcPr>
          <w:p w14:paraId="3CADBFC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11</w:t>
            </w:r>
          </w:p>
        </w:tc>
        <w:tc>
          <w:tcPr>
            <w:tcW w:w="209" w:type="pct"/>
            <w:vAlign w:val="center"/>
          </w:tcPr>
          <w:p w14:paraId="4D2093E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20</w:t>
            </w:r>
          </w:p>
        </w:tc>
        <w:tc>
          <w:tcPr>
            <w:tcW w:w="208" w:type="pct"/>
            <w:vAlign w:val="center"/>
          </w:tcPr>
          <w:p w14:paraId="7EB3284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15</w:t>
            </w:r>
          </w:p>
        </w:tc>
      </w:tr>
      <w:tr w14:paraId="684C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2435D2C6">
            <w:pPr>
              <w:adjustRightInd w:val="0"/>
              <w:snapToGrid w:val="0"/>
              <w:spacing w:line="320" w:lineRule="exact"/>
              <w:contextualSpacing/>
              <w:jc w:val="center"/>
              <w:rPr>
                <w:rFonts w:ascii="Times New Roman" w:eastAsia="仿宋"/>
                <w:szCs w:val="21"/>
              </w:rPr>
            </w:pPr>
          </w:p>
        </w:tc>
        <w:tc>
          <w:tcPr>
            <w:tcW w:w="618" w:type="pct"/>
            <w:vAlign w:val="center"/>
          </w:tcPr>
          <w:p w14:paraId="11CD48C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发生层最上深度（cm）</w:t>
            </w:r>
          </w:p>
        </w:tc>
        <w:tc>
          <w:tcPr>
            <w:tcW w:w="210" w:type="pct"/>
            <w:vAlign w:val="center"/>
          </w:tcPr>
          <w:p w14:paraId="7E0FF4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w:t>
            </w:r>
          </w:p>
        </w:tc>
        <w:tc>
          <w:tcPr>
            <w:tcW w:w="209" w:type="pct"/>
            <w:vAlign w:val="center"/>
          </w:tcPr>
          <w:p w14:paraId="1455141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16</w:t>
            </w:r>
          </w:p>
        </w:tc>
        <w:tc>
          <w:tcPr>
            <w:tcW w:w="220" w:type="pct"/>
            <w:vAlign w:val="center"/>
          </w:tcPr>
          <w:p w14:paraId="64B573A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37</w:t>
            </w:r>
          </w:p>
        </w:tc>
        <w:tc>
          <w:tcPr>
            <w:tcW w:w="189" w:type="pct"/>
            <w:vAlign w:val="center"/>
          </w:tcPr>
          <w:p w14:paraId="2B8F11B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w:t>
            </w:r>
          </w:p>
        </w:tc>
        <w:tc>
          <w:tcPr>
            <w:tcW w:w="189" w:type="pct"/>
            <w:vAlign w:val="center"/>
          </w:tcPr>
          <w:p w14:paraId="6351DD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15</w:t>
            </w:r>
          </w:p>
        </w:tc>
        <w:tc>
          <w:tcPr>
            <w:tcW w:w="189" w:type="pct"/>
            <w:vAlign w:val="center"/>
          </w:tcPr>
          <w:p w14:paraId="676BCD0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25</w:t>
            </w:r>
          </w:p>
        </w:tc>
        <w:tc>
          <w:tcPr>
            <w:tcW w:w="189" w:type="pct"/>
            <w:vAlign w:val="center"/>
          </w:tcPr>
          <w:p w14:paraId="0BF0892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50</w:t>
            </w:r>
          </w:p>
        </w:tc>
        <w:tc>
          <w:tcPr>
            <w:tcW w:w="205" w:type="pct"/>
            <w:vAlign w:val="center"/>
          </w:tcPr>
          <w:p w14:paraId="5516315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74</w:t>
            </w:r>
          </w:p>
        </w:tc>
        <w:tc>
          <w:tcPr>
            <w:tcW w:w="207" w:type="pct"/>
            <w:vAlign w:val="center"/>
          </w:tcPr>
          <w:p w14:paraId="28EBD38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w:t>
            </w:r>
          </w:p>
        </w:tc>
        <w:tc>
          <w:tcPr>
            <w:tcW w:w="189" w:type="pct"/>
            <w:vAlign w:val="center"/>
          </w:tcPr>
          <w:p w14:paraId="4711F4C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210" w:type="pct"/>
            <w:vAlign w:val="center"/>
          </w:tcPr>
          <w:p w14:paraId="4D86D2B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w:t>
            </w:r>
          </w:p>
        </w:tc>
        <w:tc>
          <w:tcPr>
            <w:tcW w:w="211" w:type="pct"/>
            <w:vAlign w:val="center"/>
          </w:tcPr>
          <w:p w14:paraId="3F70660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42</w:t>
            </w:r>
          </w:p>
        </w:tc>
        <w:tc>
          <w:tcPr>
            <w:tcW w:w="210" w:type="pct"/>
            <w:vAlign w:val="center"/>
          </w:tcPr>
          <w:p w14:paraId="3ADC201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w:t>
            </w:r>
          </w:p>
        </w:tc>
        <w:tc>
          <w:tcPr>
            <w:tcW w:w="210" w:type="pct"/>
            <w:vAlign w:val="center"/>
          </w:tcPr>
          <w:p w14:paraId="568EAF9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w:t>
            </w:r>
          </w:p>
        </w:tc>
        <w:tc>
          <w:tcPr>
            <w:tcW w:w="210" w:type="pct"/>
            <w:vAlign w:val="center"/>
          </w:tcPr>
          <w:p w14:paraId="0EA007A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w:t>
            </w:r>
          </w:p>
        </w:tc>
        <w:tc>
          <w:tcPr>
            <w:tcW w:w="213" w:type="pct"/>
            <w:vAlign w:val="center"/>
          </w:tcPr>
          <w:p w14:paraId="5324D87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w:t>
            </w:r>
          </w:p>
        </w:tc>
        <w:tc>
          <w:tcPr>
            <w:tcW w:w="210" w:type="pct"/>
            <w:vAlign w:val="center"/>
          </w:tcPr>
          <w:p w14:paraId="2191EB4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w:t>
            </w:r>
          </w:p>
        </w:tc>
        <w:tc>
          <w:tcPr>
            <w:tcW w:w="209" w:type="pct"/>
            <w:vAlign w:val="center"/>
          </w:tcPr>
          <w:p w14:paraId="777E7FD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209" w:type="pct"/>
            <w:vAlign w:val="center"/>
          </w:tcPr>
          <w:p w14:paraId="438CA42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24</w:t>
            </w:r>
          </w:p>
        </w:tc>
        <w:tc>
          <w:tcPr>
            <w:tcW w:w="208" w:type="pct"/>
            <w:vAlign w:val="center"/>
          </w:tcPr>
          <w:p w14:paraId="4C3EA50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w:t>
            </w:r>
          </w:p>
        </w:tc>
      </w:tr>
      <w:tr w14:paraId="2489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7BA38F18">
            <w:pPr>
              <w:adjustRightInd w:val="0"/>
              <w:snapToGrid w:val="0"/>
              <w:spacing w:line="320" w:lineRule="exact"/>
              <w:contextualSpacing/>
              <w:jc w:val="center"/>
              <w:rPr>
                <w:rFonts w:ascii="Times New Roman" w:eastAsia="仿宋"/>
                <w:szCs w:val="21"/>
              </w:rPr>
            </w:pPr>
          </w:p>
        </w:tc>
        <w:tc>
          <w:tcPr>
            <w:tcW w:w="618" w:type="pct"/>
            <w:vAlign w:val="center"/>
          </w:tcPr>
          <w:p w14:paraId="05C46F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发生层最下深度（cm）</w:t>
            </w:r>
          </w:p>
        </w:tc>
        <w:tc>
          <w:tcPr>
            <w:tcW w:w="210" w:type="pct"/>
            <w:vAlign w:val="center"/>
          </w:tcPr>
          <w:p w14:paraId="26A81C4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16</w:t>
            </w:r>
          </w:p>
        </w:tc>
        <w:tc>
          <w:tcPr>
            <w:tcW w:w="209" w:type="pct"/>
            <w:vAlign w:val="center"/>
          </w:tcPr>
          <w:p w14:paraId="157584B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37</w:t>
            </w:r>
          </w:p>
        </w:tc>
        <w:tc>
          <w:tcPr>
            <w:tcW w:w="220" w:type="pct"/>
            <w:vAlign w:val="center"/>
          </w:tcPr>
          <w:p w14:paraId="4AC3CD1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77</w:t>
            </w:r>
          </w:p>
        </w:tc>
        <w:tc>
          <w:tcPr>
            <w:tcW w:w="189" w:type="pct"/>
            <w:vAlign w:val="center"/>
          </w:tcPr>
          <w:p w14:paraId="081C26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15</w:t>
            </w:r>
          </w:p>
        </w:tc>
        <w:tc>
          <w:tcPr>
            <w:tcW w:w="189" w:type="pct"/>
            <w:vAlign w:val="center"/>
          </w:tcPr>
          <w:p w14:paraId="4D237CF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25</w:t>
            </w:r>
          </w:p>
        </w:tc>
        <w:tc>
          <w:tcPr>
            <w:tcW w:w="189" w:type="pct"/>
            <w:vAlign w:val="center"/>
          </w:tcPr>
          <w:p w14:paraId="73BC34E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50</w:t>
            </w:r>
          </w:p>
        </w:tc>
        <w:tc>
          <w:tcPr>
            <w:tcW w:w="189" w:type="pct"/>
            <w:vAlign w:val="center"/>
          </w:tcPr>
          <w:p w14:paraId="6242A66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74</w:t>
            </w:r>
          </w:p>
        </w:tc>
        <w:tc>
          <w:tcPr>
            <w:tcW w:w="205" w:type="pct"/>
            <w:vAlign w:val="center"/>
          </w:tcPr>
          <w:p w14:paraId="3D07E0A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100</w:t>
            </w:r>
          </w:p>
        </w:tc>
        <w:tc>
          <w:tcPr>
            <w:tcW w:w="207" w:type="pct"/>
            <w:vAlign w:val="center"/>
          </w:tcPr>
          <w:p w14:paraId="5E35B29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189" w:type="pct"/>
            <w:vAlign w:val="center"/>
          </w:tcPr>
          <w:p w14:paraId="6BD384B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w:t>
            </w:r>
          </w:p>
        </w:tc>
        <w:tc>
          <w:tcPr>
            <w:tcW w:w="210" w:type="pct"/>
            <w:vAlign w:val="center"/>
          </w:tcPr>
          <w:p w14:paraId="1F9C182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w:t>
            </w:r>
          </w:p>
        </w:tc>
        <w:tc>
          <w:tcPr>
            <w:tcW w:w="211" w:type="pct"/>
            <w:vAlign w:val="center"/>
          </w:tcPr>
          <w:p w14:paraId="6DF3913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100</w:t>
            </w:r>
          </w:p>
        </w:tc>
        <w:tc>
          <w:tcPr>
            <w:tcW w:w="210" w:type="pct"/>
            <w:vAlign w:val="center"/>
          </w:tcPr>
          <w:p w14:paraId="75C9773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w:t>
            </w:r>
          </w:p>
        </w:tc>
        <w:tc>
          <w:tcPr>
            <w:tcW w:w="210" w:type="pct"/>
            <w:vAlign w:val="center"/>
          </w:tcPr>
          <w:p w14:paraId="46E13FB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w:t>
            </w:r>
          </w:p>
        </w:tc>
        <w:tc>
          <w:tcPr>
            <w:tcW w:w="210" w:type="pct"/>
            <w:vAlign w:val="center"/>
          </w:tcPr>
          <w:p w14:paraId="057C99E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62</w:t>
            </w:r>
          </w:p>
        </w:tc>
        <w:tc>
          <w:tcPr>
            <w:tcW w:w="213" w:type="pct"/>
            <w:vAlign w:val="center"/>
          </w:tcPr>
          <w:p w14:paraId="66B83BE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100</w:t>
            </w:r>
          </w:p>
        </w:tc>
        <w:tc>
          <w:tcPr>
            <w:tcW w:w="210" w:type="pct"/>
            <w:vAlign w:val="center"/>
          </w:tcPr>
          <w:p w14:paraId="2367B79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209" w:type="pct"/>
            <w:vAlign w:val="center"/>
          </w:tcPr>
          <w:p w14:paraId="7F4CC6B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24</w:t>
            </w:r>
          </w:p>
        </w:tc>
        <w:tc>
          <w:tcPr>
            <w:tcW w:w="209" w:type="pct"/>
            <w:vAlign w:val="center"/>
          </w:tcPr>
          <w:p w14:paraId="2A2BCEB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w:t>
            </w:r>
          </w:p>
        </w:tc>
        <w:tc>
          <w:tcPr>
            <w:tcW w:w="208" w:type="pct"/>
            <w:vAlign w:val="center"/>
          </w:tcPr>
          <w:p w14:paraId="186D581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59</w:t>
            </w:r>
          </w:p>
        </w:tc>
      </w:tr>
      <w:tr w14:paraId="3D68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3B5E400E">
            <w:pPr>
              <w:adjustRightInd w:val="0"/>
              <w:snapToGrid w:val="0"/>
              <w:spacing w:line="320" w:lineRule="exact"/>
              <w:contextualSpacing/>
              <w:jc w:val="center"/>
              <w:rPr>
                <w:rFonts w:ascii="Times New Roman" w:eastAsia="仿宋"/>
                <w:szCs w:val="21"/>
              </w:rPr>
            </w:pPr>
          </w:p>
        </w:tc>
        <w:tc>
          <w:tcPr>
            <w:tcW w:w="618" w:type="pct"/>
            <w:vAlign w:val="center"/>
          </w:tcPr>
          <w:p w14:paraId="4987315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发生层颜色</w:t>
            </w:r>
          </w:p>
        </w:tc>
        <w:tc>
          <w:tcPr>
            <w:tcW w:w="210" w:type="pct"/>
            <w:vAlign w:val="center"/>
          </w:tcPr>
          <w:p w14:paraId="3E7CB7E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淡灰色</w:t>
            </w:r>
          </w:p>
        </w:tc>
        <w:tc>
          <w:tcPr>
            <w:tcW w:w="209" w:type="pct"/>
            <w:vAlign w:val="center"/>
          </w:tcPr>
          <w:p w14:paraId="6EC5F56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浅黄色</w:t>
            </w:r>
          </w:p>
        </w:tc>
        <w:tc>
          <w:tcPr>
            <w:tcW w:w="220" w:type="pct"/>
            <w:vAlign w:val="center"/>
          </w:tcPr>
          <w:p w14:paraId="05B51F0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黄棕色</w:t>
            </w:r>
          </w:p>
        </w:tc>
        <w:tc>
          <w:tcPr>
            <w:tcW w:w="189" w:type="pct"/>
            <w:vAlign w:val="center"/>
          </w:tcPr>
          <w:p w14:paraId="77F77AF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灰棕色</w:t>
            </w:r>
          </w:p>
        </w:tc>
        <w:tc>
          <w:tcPr>
            <w:tcW w:w="189" w:type="pct"/>
            <w:vAlign w:val="center"/>
          </w:tcPr>
          <w:p w14:paraId="3377998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棕灰色</w:t>
            </w:r>
          </w:p>
        </w:tc>
        <w:tc>
          <w:tcPr>
            <w:tcW w:w="189" w:type="pct"/>
            <w:vAlign w:val="center"/>
          </w:tcPr>
          <w:p w14:paraId="380F022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灰棕色</w:t>
            </w:r>
          </w:p>
        </w:tc>
        <w:tc>
          <w:tcPr>
            <w:tcW w:w="189" w:type="pct"/>
            <w:vAlign w:val="center"/>
          </w:tcPr>
          <w:p w14:paraId="316D50E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浊棕色</w:t>
            </w:r>
          </w:p>
        </w:tc>
        <w:tc>
          <w:tcPr>
            <w:tcW w:w="205" w:type="pct"/>
            <w:vAlign w:val="center"/>
          </w:tcPr>
          <w:p w14:paraId="74A2C36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浅灰黄色</w:t>
            </w:r>
          </w:p>
        </w:tc>
        <w:tc>
          <w:tcPr>
            <w:tcW w:w="207" w:type="pct"/>
            <w:vAlign w:val="center"/>
          </w:tcPr>
          <w:p w14:paraId="4D7A05F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亮黄棕色</w:t>
            </w:r>
          </w:p>
        </w:tc>
        <w:tc>
          <w:tcPr>
            <w:tcW w:w="189" w:type="pct"/>
            <w:vAlign w:val="center"/>
          </w:tcPr>
          <w:p w14:paraId="168EF01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灰黄色</w:t>
            </w:r>
          </w:p>
        </w:tc>
        <w:tc>
          <w:tcPr>
            <w:tcW w:w="210" w:type="pct"/>
            <w:vAlign w:val="center"/>
          </w:tcPr>
          <w:p w14:paraId="61002C4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暗黄色</w:t>
            </w:r>
          </w:p>
        </w:tc>
        <w:tc>
          <w:tcPr>
            <w:tcW w:w="211" w:type="pct"/>
            <w:vAlign w:val="center"/>
          </w:tcPr>
          <w:p w14:paraId="25F3A7F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暗灰黄色</w:t>
            </w:r>
          </w:p>
        </w:tc>
        <w:tc>
          <w:tcPr>
            <w:tcW w:w="210" w:type="pct"/>
            <w:vAlign w:val="center"/>
          </w:tcPr>
          <w:p w14:paraId="0F07D6E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灰棕色</w:t>
            </w:r>
          </w:p>
        </w:tc>
        <w:tc>
          <w:tcPr>
            <w:tcW w:w="210" w:type="pct"/>
            <w:vAlign w:val="center"/>
          </w:tcPr>
          <w:p w14:paraId="75D929B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灰棕色</w:t>
            </w:r>
          </w:p>
        </w:tc>
        <w:tc>
          <w:tcPr>
            <w:tcW w:w="210" w:type="pct"/>
            <w:vAlign w:val="center"/>
          </w:tcPr>
          <w:p w14:paraId="20C0DE8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棕灰色</w:t>
            </w:r>
          </w:p>
        </w:tc>
        <w:tc>
          <w:tcPr>
            <w:tcW w:w="213" w:type="pct"/>
            <w:vAlign w:val="center"/>
          </w:tcPr>
          <w:p w14:paraId="74A1FD8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黄橙色</w:t>
            </w:r>
          </w:p>
        </w:tc>
        <w:tc>
          <w:tcPr>
            <w:tcW w:w="210" w:type="pct"/>
            <w:vAlign w:val="center"/>
          </w:tcPr>
          <w:p w14:paraId="40A0FE7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棕灰色</w:t>
            </w:r>
          </w:p>
        </w:tc>
        <w:tc>
          <w:tcPr>
            <w:tcW w:w="209" w:type="pct"/>
            <w:vAlign w:val="center"/>
          </w:tcPr>
          <w:p w14:paraId="3C894B0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棕灰色</w:t>
            </w:r>
          </w:p>
        </w:tc>
        <w:tc>
          <w:tcPr>
            <w:tcW w:w="209" w:type="pct"/>
            <w:vAlign w:val="center"/>
          </w:tcPr>
          <w:p w14:paraId="58CF8DB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黄灰色</w:t>
            </w:r>
          </w:p>
        </w:tc>
        <w:tc>
          <w:tcPr>
            <w:tcW w:w="208" w:type="pct"/>
            <w:vAlign w:val="center"/>
          </w:tcPr>
          <w:p w14:paraId="3E98C52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灰橄榄色</w:t>
            </w:r>
          </w:p>
        </w:tc>
      </w:tr>
      <w:tr w14:paraId="3BA9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DB13838">
            <w:pPr>
              <w:adjustRightInd w:val="0"/>
              <w:snapToGrid w:val="0"/>
              <w:spacing w:line="320" w:lineRule="exact"/>
              <w:contextualSpacing/>
              <w:jc w:val="center"/>
              <w:rPr>
                <w:rFonts w:ascii="Times New Roman" w:eastAsia="仿宋"/>
                <w:szCs w:val="21"/>
              </w:rPr>
            </w:pPr>
          </w:p>
        </w:tc>
        <w:tc>
          <w:tcPr>
            <w:tcW w:w="618" w:type="pct"/>
            <w:vAlign w:val="center"/>
          </w:tcPr>
          <w:p w14:paraId="168A367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发生层质地</w:t>
            </w:r>
          </w:p>
        </w:tc>
        <w:tc>
          <w:tcPr>
            <w:tcW w:w="210" w:type="pct"/>
            <w:vAlign w:val="center"/>
          </w:tcPr>
          <w:p w14:paraId="5C3EE48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砾石砂壤土</w:t>
            </w:r>
          </w:p>
        </w:tc>
        <w:tc>
          <w:tcPr>
            <w:tcW w:w="209" w:type="pct"/>
            <w:vAlign w:val="center"/>
          </w:tcPr>
          <w:p w14:paraId="4562308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砾石砂壤土</w:t>
            </w:r>
          </w:p>
        </w:tc>
        <w:tc>
          <w:tcPr>
            <w:tcW w:w="220" w:type="pct"/>
            <w:vAlign w:val="center"/>
          </w:tcPr>
          <w:p w14:paraId="307F2CB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砾石砂壤土</w:t>
            </w:r>
          </w:p>
        </w:tc>
        <w:tc>
          <w:tcPr>
            <w:tcW w:w="189" w:type="pct"/>
            <w:vAlign w:val="center"/>
          </w:tcPr>
          <w:p w14:paraId="00FCC1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粘壤土</w:t>
            </w:r>
          </w:p>
        </w:tc>
        <w:tc>
          <w:tcPr>
            <w:tcW w:w="189" w:type="pct"/>
            <w:vAlign w:val="center"/>
          </w:tcPr>
          <w:p w14:paraId="1DD3AC9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粉砂质粘壤土</w:t>
            </w:r>
          </w:p>
        </w:tc>
        <w:tc>
          <w:tcPr>
            <w:tcW w:w="189" w:type="pct"/>
            <w:vAlign w:val="center"/>
          </w:tcPr>
          <w:p w14:paraId="029E0C5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189" w:type="pct"/>
            <w:vAlign w:val="center"/>
          </w:tcPr>
          <w:p w14:paraId="654B859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05" w:type="pct"/>
            <w:vAlign w:val="center"/>
          </w:tcPr>
          <w:p w14:paraId="6E9A1F3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07" w:type="pct"/>
            <w:vAlign w:val="center"/>
          </w:tcPr>
          <w:p w14:paraId="3FF194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189" w:type="pct"/>
            <w:vAlign w:val="center"/>
          </w:tcPr>
          <w:p w14:paraId="5BC3348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10" w:type="pct"/>
            <w:vAlign w:val="center"/>
          </w:tcPr>
          <w:p w14:paraId="43D6ED4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11" w:type="pct"/>
            <w:vAlign w:val="center"/>
          </w:tcPr>
          <w:p w14:paraId="2B18C70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粘土</w:t>
            </w:r>
          </w:p>
        </w:tc>
        <w:tc>
          <w:tcPr>
            <w:tcW w:w="210" w:type="pct"/>
            <w:vAlign w:val="center"/>
          </w:tcPr>
          <w:p w14:paraId="32C9DB4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粉砂质粘土</w:t>
            </w:r>
          </w:p>
        </w:tc>
        <w:tc>
          <w:tcPr>
            <w:tcW w:w="210" w:type="pct"/>
            <w:vAlign w:val="center"/>
          </w:tcPr>
          <w:p w14:paraId="057D6CC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粉砂质粘土</w:t>
            </w:r>
          </w:p>
        </w:tc>
        <w:tc>
          <w:tcPr>
            <w:tcW w:w="210" w:type="pct"/>
            <w:vAlign w:val="center"/>
          </w:tcPr>
          <w:p w14:paraId="17D0F85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13" w:type="pct"/>
            <w:vAlign w:val="center"/>
          </w:tcPr>
          <w:p w14:paraId="1BAF1C6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10" w:type="pct"/>
            <w:vAlign w:val="center"/>
          </w:tcPr>
          <w:p w14:paraId="62D821F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09" w:type="pct"/>
            <w:vAlign w:val="center"/>
          </w:tcPr>
          <w:p w14:paraId="7063EF2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09" w:type="pct"/>
            <w:vAlign w:val="center"/>
          </w:tcPr>
          <w:p w14:paraId="4E71700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c>
          <w:tcPr>
            <w:tcW w:w="208" w:type="pct"/>
            <w:vAlign w:val="center"/>
          </w:tcPr>
          <w:p w14:paraId="35F5142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壤质粘土</w:t>
            </w:r>
          </w:p>
        </w:tc>
      </w:tr>
      <w:tr w14:paraId="2FF2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6708D680">
            <w:pPr>
              <w:adjustRightInd w:val="0"/>
              <w:snapToGrid w:val="0"/>
              <w:spacing w:line="320" w:lineRule="exact"/>
              <w:contextualSpacing/>
              <w:jc w:val="center"/>
              <w:rPr>
                <w:rFonts w:ascii="Times New Roman" w:eastAsia="仿宋"/>
                <w:szCs w:val="21"/>
              </w:rPr>
            </w:pPr>
          </w:p>
        </w:tc>
        <w:tc>
          <w:tcPr>
            <w:tcW w:w="618" w:type="pct"/>
            <w:vAlign w:val="center"/>
          </w:tcPr>
          <w:p w14:paraId="7DBBA87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发生层结构</w:t>
            </w:r>
          </w:p>
        </w:tc>
        <w:tc>
          <w:tcPr>
            <w:tcW w:w="210" w:type="pct"/>
            <w:vAlign w:val="center"/>
          </w:tcPr>
          <w:p w14:paraId="3C022D6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单粒状结构</w:t>
            </w:r>
          </w:p>
        </w:tc>
        <w:tc>
          <w:tcPr>
            <w:tcW w:w="209" w:type="pct"/>
            <w:vAlign w:val="center"/>
          </w:tcPr>
          <w:p w14:paraId="01C9E50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单粒状结构</w:t>
            </w:r>
          </w:p>
        </w:tc>
        <w:tc>
          <w:tcPr>
            <w:tcW w:w="220" w:type="pct"/>
            <w:vAlign w:val="center"/>
          </w:tcPr>
          <w:p w14:paraId="546CACF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单粒状结构</w:t>
            </w:r>
          </w:p>
        </w:tc>
        <w:tc>
          <w:tcPr>
            <w:tcW w:w="189" w:type="pct"/>
            <w:vAlign w:val="center"/>
          </w:tcPr>
          <w:p w14:paraId="77A276C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小块状结构</w:t>
            </w:r>
          </w:p>
        </w:tc>
        <w:tc>
          <w:tcPr>
            <w:tcW w:w="189" w:type="pct"/>
            <w:vAlign w:val="center"/>
          </w:tcPr>
          <w:p w14:paraId="756857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小块状结构</w:t>
            </w:r>
          </w:p>
        </w:tc>
        <w:tc>
          <w:tcPr>
            <w:tcW w:w="189" w:type="pct"/>
            <w:vAlign w:val="center"/>
          </w:tcPr>
          <w:p w14:paraId="19876C6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小棱柱状结构</w:t>
            </w:r>
          </w:p>
        </w:tc>
        <w:tc>
          <w:tcPr>
            <w:tcW w:w="189" w:type="pct"/>
            <w:vAlign w:val="center"/>
          </w:tcPr>
          <w:p w14:paraId="7C81092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棱柱状结构</w:t>
            </w:r>
          </w:p>
        </w:tc>
        <w:tc>
          <w:tcPr>
            <w:tcW w:w="205" w:type="pct"/>
            <w:vAlign w:val="center"/>
          </w:tcPr>
          <w:p w14:paraId="56B697D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棱块状结构</w:t>
            </w:r>
          </w:p>
        </w:tc>
        <w:tc>
          <w:tcPr>
            <w:tcW w:w="207" w:type="pct"/>
            <w:vAlign w:val="center"/>
          </w:tcPr>
          <w:p w14:paraId="77FACE7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粒状结构</w:t>
            </w:r>
          </w:p>
        </w:tc>
        <w:tc>
          <w:tcPr>
            <w:tcW w:w="189" w:type="pct"/>
            <w:vAlign w:val="center"/>
          </w:tcPr>
          <w:p w14:paraId="3A8B390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块状结构</w:t>
            </w:r>
          </w:p>
        </w:tc>
        <w:tc>
          <w:tcPr>
            <w:tcW w:w="210" w:type="pct"/>
            <w:vAlign w:val="center"/>
          </w:tcPr>
          <w:p w14:paraId="37E22AA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棱块状结构</w:t>
            </w:r>
          </w:p>
        </w:tc>
        <w:tc>
          <w:tcPr>
            <w:tcW w:w="211" w:type="pct"/>
            <w:vAlign w:val="center"/>
          </w:tcPr>
          <w:p w14:paraId="4936D4A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块状结构</w:t>
            </w:r>
          </w:p>
        </w:tc>
        <w:tc>
          <w:tcPr>
            <w:tcW w:w="210" w:type="pct"/>
            <w:vAlign w:val="center"/>
          </w:tcPr>
          <w:p w14:paraId="5114D11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小块状结构</w:t>
            </w:r>
          </w:p>
        </w:tc>
        <w:tc>
          <w:tcPr>
            <w:tcW w:w="210" w:type="pct"/>
            <w:vAlign w:val="center"/>
          </w:tcPr>
          <w:p w14:paraId="01614E0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块状结构</w:t>
            </w:r>
          </w:p>
        </w:tc>
        <w:tc>
          <w:tcPr>
            <w:tcW w:w="210" w:type="pct"/>
            <w:vAlign w:val="center"/>
          </w:tcPr>
          <w:p w14:paraId="3A8EF61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大块状结构</w:t>
            </w:r>
          </w:p>
        </w:tc>
        <w:tc>
          <w:tcPr>
            <w:tcW w:w="213" w:type="pct"/>
            <w:vAlign w:val="center"/>
          </w:tcPr>
          <w:p w14:paraId="0687546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块状结构</w:t>
            </w:r>
          </w:p>
        </w:tc>
        <w:tc>
          <w:tcPr>
            <w:tcW w:w="210" w:type="pct"/>
            <w:vAlign w:val="center"/>
          </w:tcPr>
          <w:p w14:paraId="6926DE7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屑粒状结构</w:t>
            </w:r>
          </w:p>
        </w:tc>
        <w:tc>
          <w:tcPr>
            <w:tcW w:w="209" w:type="pct"/>
            <w:vAlign w:val="center"/>
          </w:tcPr>
          <w:p w14:paraId="37FDC63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小块状结构</w:t>
            </w:r>
          </w:p>
        </w:tc>
        <w:tc>
          <w:tcPr>
            <w:tcW w:w="209" w:type="pct"/>
            <w:vAlign w:val="center"/>
          </w:tcPr>
          <w:p w14:paraId="6C9AC34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棱块状结构</w:t>
            </w:r>
          </w:p>
        </w:tc>
        <w:tc>
          <w:tcPr>
            <w:tcW w:w="208" w:type="pct"/>
            <w:vAlign w:val="center"/>
          </w:tcPr>
          <w:p w14:paraId="1C61EFF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结构不明显</w:t>
            </w:r>
          </w:p>
        </w:tc>
      </w:tr>
      <w:tr w14:paraId="0D2C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2B03366B">
            <w:pPr>
              <w:adjustRightInd w:val="0"/>
              <w:snapToGrid w:val="0"/>
              <w:spacing w:line="320" w:lineRule="exact"/>
              <w:contextualSpacing/>
              <w:jc w:val="center"/>
              <w:rPr>
                <w:rFonts w:ascii="Times New Roman" w:eastAsia="仿宋"/>
                <w:szCs w:val="21"/>
              </w:rPr>
            </w:pPr>
          </w:p>
        </w:tc>
        <w:tc>
          <w:tcPr>
            <w:tcW w:w="618" w:type="pct"/>
            <w:vAlign w:val="center"/>
          </w:tcPr>
          <w:p w14:paraId="2ACD6D2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发生层松紧度</w:t>
            </w:r>
          </w:p>
        </w:tc>
        <w:tc>
          <w:tcPr>
            <w:tcW w:w="210" w:type="pct"/>
            <w:vAlign w:val="center"/>
          </w:tcPr>
          <w:p w14:paraId="5EF0431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较多砖块</w:t>
            </w:r>
          </w:p>
        </w:tc>
        <w:tc>
          <w:tcPr>
            <w:tcW w:w="209" w:type="pct"/>
            <w:vAlign w:val="center"/>
          </w:tcPr>
          <w:p w14:paraId="4B98E01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较多砖块</w:t>
            </w:r>
          </w:p>
        </w:tc>
        <w:tc>
          <w:tcPr>
            <w:tcW w:w="220" w:type="pct"/>
            <w:vAlign w:val="center"/>
          </w:tcPr>
          <w:p w14:paraId="52E6BF4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较少砖块</w:t>
            </w:r>
          </w:p>
        </w:tc>
        <w:tc>
          <w:tcPr>
            <w:tcW w:w="189" w:type="pct"/>
            <w:vAlign w:val="center"/>
          </w:tcPr>
          <w:p w14:paraId="6BBFC8F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B09811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4202D8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FD144E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45102B2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松</w:t>
            </w:r>
          </w:p>
        </w:tc>
        <w:tc>
          <w:tcPr>
            <w:tcW w:w="207" w:type="pct"/>
            <w:vAlign w:val="center"/>
          </w:tcPr>
          <w:p w14:paraId="6988251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较松</w:t>
            </w:r>
          </w:p>
        </w:tc>
        <w:tc>
          <w:tcPr>
            <w:tcW w:w="189" w:type="pct"/>
            <w:vAlign w:val="center"/>
          </w:tcPr>
          <w:p w14:paraId="4B02D58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c>
          <w:tcPr>
            <w:tcW w:w="210" w:type="pct"/>
            <w:vAlign w:val="center"/>
          </w:tcPr>
          <w:p w14:paraId="109BA54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较紧实</w:t>
            </w:r>
          </w:p>
        </w:tc>
        <w:tc>
          <w:tcPr>
            <w:tcW w:w="211" w:type="pct"/>
            <w:vAlign w:val="center"/>
          </w:tcPr>
          <w:p w14:paraId="14AC657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DDCD39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6182D4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44D636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5172904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c>
          <w:tcPr>
            <w:tcW w:w="210" w:type="pct"/>
            <w:vAlign w:val="center"/>
          </w:tcPr>
          <w:p w14:paraId="3B9941D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c>
          <w:tcPr>
            <w:tcW w:w="209" w:type="pct"/>
            <w:vAlign w:val="center"/>
          </w:tcPr>
          <w:p w14:paraId="2A6E083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c>
          <w:tcPr>
            <w:tcW w:w="209" w:type="pct"/>
            <w:vAlign w:val="center"/>
          </w:tcPr>
          <w:p w14:paraId="60423FF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c>
          <w:tcPr>
            <w:tcW w:w="208" w:type="pct"/>
            <w:vAlign w:val="center"/>
          </w:tcPr>
          <w:p w14:paraId="4434091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紧实</w:t>
            </w:r>
          </w:p>
        </w:tc>
      </w:tr>
      <w:tr w14:paraId="15FB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20E9DA3A">
            <w:pPr>
              <w:adjustRightInd w:val="0"/>
              <w:snapToGrid w:val="0"/>
              <w:spacing w:line="320" w:lineRule="exact"/>
              <w:contextualSpacing/>
              <w:jc w:val="center"/>
              <w:rPr>
                <w:rFonts w:ascii="Times New Roman" w:eastAsia="仿宋"/>
                <w:szCs w:val="21"/>
              </w:rPr>
            </w:pPr>
          </w:p>
        </w:tc>
        <w:tc>
          <w:tcPr>
            <w:tcW w:w="618" w:type="pct"/>
            <w:vAlign w:val="center"/>
          </w:tcPr>
          <w:p w14:paraId="0428FF9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发生层根系和其他</w:t>
            </w:r>
          </w:p>
        </w:tc>
        <w:tc>
          <w:tcPr>
            <w:tcW w:w="210" w:type="pct"/>
            <w:vAlign w:val="center"/>
          </w:tcPr>
          <w:p w14:paraId="50D186C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4DDCBE9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39F1B08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89995E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3BA026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46769D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00C9B2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1092194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4D2C95F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EEB13C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0CD954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78211BE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FE0E71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96803E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细根多</w:t>
            </w:r>
          </w:p>
        </w:tc>
        <w:tc>
          <w:tcPr>
            <w:tcW w:w="210" w:type="pct"/>
            <w:vAlign w:val="center"/>
          </w:tcPr>
          <w:p w14:paraId="7615F7D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细根少</w:t>
            </w:r>
          </w:p>
        </w:tc>
        <w:tc>
          <w:tcPr>
            <w:tcW w:w="213" w:type="pct"/>
            <w:vAlign w:val="center"/>
          </w:tcPr>
          <w:p w14:paraId="20AD357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F67614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1234DD1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642E2D1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1C82B9C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2B06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restart"/>
            <w:vAlign w:val="center"/>
          </w:tcPr>
          <w:p w14:paraId="265E180F">
            <w:pPr>
              <w:adjustRightInd w:val="0"/>
              <w:snapToGrid w:val="0"/>
              <w:spacing w:line="320" w:lineRule="exact"/>
              <w:contextualSpacing/>
              <w:jc w:val="center"/>
              <w:rPr>
                <w:rFonts w:ascii="Times New Roman" w:eastAsia="仿宋"/>
                <w:szCs w:val="21"/>
              </w:rPr>
            </w:pPr>
            <w:r>
              <w:rPr>
                <w:rFonts w:ascii="Times New Roman" w:eastAsia="仿宋"/>
                <w:szCs w:val="21"/>
              </w:rPr>
              <w:t>典型剖面物理性质</w:t>
            </w:r>
          </w:p>
        </w:tc>
        <w:tc>
          <w:tcPr>
            <w:tcW w:w="618" w:type="pct"/>
            <w:vAlign w:val="center"/>
          </w:tcPr>
          <w:p w14:paraId="30A8B3D2">
            <w:pPr>
              <w:adjustRightInd w:val="0"/>
              <w:snapToGrid w:val="0"/>
              <w:spacing w:line="320" w:lineRule="exact"/>
              <w:contextualSpacing/>
              <w:jc w:val="center"/>
              <w:rPr>
                <w:rFonts w:ascii="Times New Roman" w:eastAsia="仿宋"/>
                <w:szCs w:val="21"/>
              </w:rPr>
            </w:pPr>
            <w:r>
              <w:rPr>
                <w:rFonts w:ascii="Times New Roman" w:eastAsia="仿宋"/>
                <w:szCs w:val="21"/>
              </w:rPr>
              <w:t>颗粒组成大于2mm石砾</w:t>
            </w:r>
          </w:p>
        </w:tc>
        <w:tc>
          <w:tcPr>
            <w:tcW w:w="210" w:type="pct"/>
            <w:vAlign w:val="center"/>
          </w:tcPr>
          <w:p w14:paraId="4AC751D5">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E48E5AD">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37E7F6FD">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1471EE3">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BC5F89F">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CDCD1B3">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8A0D673">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30F91F0A">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7FD1AC52">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B25B6FC">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8C4E161">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44A6800D">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B144FFA">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BD6D9A8">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A04E882">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398D530B">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B84CBF6">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075EAC0F">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678EDEB">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5A4AF2E2">
            <w:pPr>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4B9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39369AB4">
            <w:pPr>
              <w:adjustRightInd w:val="0"/>
              <w:snapToGrid w:val="0"/>
              <w:spacing w:line="320" w:lineRule="exact"/>
              <w:contextualSpacing/>
              <w:jc w:val="center"/>
              <w:rPr>
                <w:rFonts w:ascii="Times New Roman" w:eastAsia="仿宋"/>
                <w:szCs w:val="21"/>
              </w:rPr>
            </w:pPr>
          </w:p>
        </w:tc>
        <w:tc>
          <w:tcPr>
            <w:tcW w:w="618" w:type="pct"/>
            <w:vAlign w:val="center"/>
          </w:tcPr>
          <w:p w14:paraId="7797691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颗粒组成2-0.02mm</w:t>
            </w:r>
          </w:p>
        </w:tc>
        <w:tc>
          <w:tcPr>
            <w:tcW w:w="210" w:type="pct"/>
            <w:vAlign w:val="center"/>
          </w:tcPr>
          <w:p w14:paraId="702203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20FB40A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2669A59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8361B3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31.5</w:t>
            </w:r>
          </w:p>
        </w:tc>
        <w:tc>
          <w:tcPr>
            <w:tcW w:w="189" w:type="pct"/>
            <w:vAlign w:val="center"/>
          </w:tcPr>
          <w:p w14:paraId="0EDE8F7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34.7</w:t>
            </w:r>
          </w:p>
        </w:tc>
        <w:tc>
          <w:tcPr>
            <w:tcW w:w="189" w:type="pct"/>
            <w:vAlign w:val="center"/>
          </w:tcPr>
          <w:p w14:paraId="318758E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26</w:t>
            </w:r>
          </w:p>
        </w:tc>
        <w:tc>
          <w:tcPr>
            <w:tcW w:w="189" w:type="pct"/>
            <w:vAlign w:val="center"/>
          </w:tcPr>
          <w:p w14:paraId="529015E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25.9</w:t>
            </w:r>
          </w:p>
        </w:tc>
        <w:tc>
          <w:tcPr>
            <w:tcW w:w="205" w:type="pct"/>
            <w:vAlign w:val="center"/>
          </w:tcPr>
          <w:p w14:paraId="783D0F5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17.9</w:t>
            </w:r>
          </w:p>
        </w:tc>
        <w:tc>
          <w:tcPr>
            <w:tcW w:w="207" w:type="pct"/>
            <w:vAlign w:val="center"/>
          </w:tcPr>
          <w:p w14:paraId="0643837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78E3A8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8A5007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1740252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DB70DF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4389A8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C95470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26FD1A6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F56115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8D917D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71F8E6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2DEF31A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4DD2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70988FA">
            <w:pPr>
              <w:adjustRightInd w:val="0"/>
              <w:snapToGrid w:val="0"/>
              <w:spacing w:line="320" w:lineRule="exact"/>
              <w:contextualSpacing/>
              <w:jc w:val="center"/>
              <w:rPr>
                <w:rFonts w:ascii="Times New Roman" w:eastAsia="仿宋"/>
                <w:szCs w:val="21"/>
              </w:rPr>
            </w:pPr>
          </w:p>
        </w:tc>
        <w:tc>
          <w:tcPr>
            <w:tcW w:w="618" w:type="pct"/>
            <w:vAlign w:val="center"/>
          </w:tcPr>
          <w:p w14:paraId="17C3000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颗粒组成2-0. 2mm</w:t>
            </w:r>
          </w:p>
        </w:tc>
        <w:tc>
          <w:tcPr>
            <w:tcW w:w="210" w:type="pct"/>
            <w:vAlign w:val="center"/>
          </w:tcPr>
          <w:p w14:paraId="56A2ECA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34.4</w:t>
            </w:r>
          </w:p>
        </w:tc>
        <w:tc>
          <w:tcPr>
            <w:tcW w:w="209" w:type="pct"/>
            <w:vAlign w:val="center"/>
          </w:tcPr>
          <w:p w14:paraId="0336D23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29.9</w:t>
            </w:r>
          </w:p>
        </w:tc>
        <w:tc>
          <w:tcPr>
            <w:tcW w:w="220" w:type="pct"/>
            <w:vAlign w:val="center"/>
          </w:tcPr>
          <w:p w14:paraId="2426005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41.7</w:t>
            </w:r>
          </w:p>
        </w:tc>
        <w:tc>
          <w:tcPr>
            <w:tcW w:w="189" w:type="pct"/>
            <w:vAlign w:val="center"/>
          </w:tcPr>
          <w:p w14:paraId="3BD3443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9832B1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A64C1B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CBC1FC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05A319A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4696ECE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1.8</w:t>
            </w:r>
          </w:p>
        </w:tc>
        <w:tc>
          <w:tcPr>
            <w:tcW w:w="189" w:type="pct"/>
            <w:vAlign w:val="center"/>
          </w:tcPr>
          <w:p w14:paraId="317A831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w:t>
            </w:r>
          </w:p>
        </w:tc>
        <w:tc>
          <w:tcPr>
            <w:tcW w:w="210" w:type="pct"/>
            <w:vAlign w:val="center"/>
          </w:tcPr>
          <w:p w14:paraId="2B2F25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w:t>
            </w:r>
          </w:p>
        </w:tc>
        <w:tc>
          <w:tcPr>
            <w:tcW w:w="211" w:type="pct"/>
            <w:vAlign w:val="center"/>
          </w:tcPr>
          <w:p w14:paraId="73B9C30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1.8</w:t>
            </w:r>
          </w:p>
        </w:tc>
        <w:tc>
          <w:tcPr>
            <w:tcW w:w="210" w:type="pct"/>
            <w:vAlign w:val="center"/>
          </w:tcPr>
          <w:p w14:paraId="51FDEFD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0.8</w:t>
            </w:r>
          </w:p>
        </w:tc>
        <w:tc>
          <w:tcPr>
            <w:tcW w:w="210" w:type="pct"/>
            <w:vAlign w:val="center"/>
          </w:tcPr>
          <w:p w14:paraId="178DC07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w:t>
            </w:r>
          </w:p>
        </w:tc>
        <w:tc>
          <w:tcPr>
            <w:tcW w:w="210" w:type="pct"/>
            <w:vAlign w:val="center"/>
          </w:tcPr>
          <w:p w14:paraId="4D06329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w:t>
            </w:r>
          </w:p>
        </w:tc>
        <w:tc>
          <w:tcPr>
            <w:tcW w:w="213" w:type="pct"/>
            <w:vAlign w:val="center"/>
          </w:tcPr>
          <w:p w14:paraId="3E9DF95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w:t>
            </w:r>
          </w:p>
        </w:tc>
        <w:tc>
          <w:tcPr>
            <w:tcW w:w="210" w:type="pct"/>
            <w:vAlign w:val="center"/>
          </w:tcPr>
          <w:p w14:paraId="4DBE2D3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w:t>
            </w:r>
          </w:p>
        </w:tc>
        <w:tc>
          <w:tcPr>
            <w:tcW w:w="209" w:type="pct"/>
            <w:vAlign w:val="center"/>
          </w:tcPr>
          <w:p w14:paraId="21F5AEA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w:t>
            </w:r>
          </w:p>
        </w:tc>
        <w:tc>
          <w:tcPr>
            <w:tcW w:w="209" w:type="pct"/>
            <w:vAlign w:val="center"/>
          </w:tcPr>
          <w:p w14:paraId="3931717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w:t>
            </w:r>
          </w:p>
        </w:tc>
        <w:tc>
          <w:tcPr>
            <w:tcW w:w="208" w:type="pct"/>
            <w:vAlign w:val="center"/>
          </w:tcPr>
          <w:p w14:paraId="6ADFCE2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0.3</w:t>
            </w:r>
          </w:p>
        </w:tc>
      </w:tr>
      <w:tr w14:paraId="4647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09B0A646">
            <w:pPr>
              <w:adjustRightInd w:val="0"/>
              <w:snapToGrid w:val="0"/>
              <w:spacing w:line="320" w:lineRule="exact"/>
              <w:contextualSpacing/>
              <w:jc w:val="center"/>
              <w:rPr>
                <w:rFonts w:ascii="Times New Roman" w:eastAsia="仿宋"/>
                <w:szCs w:val="21"/>
              </w:rPr>
            </w:pPr>
          </w:p>
        </w:tc>
        <w:tc>
          <w:tcPr>
            <w:tcW w:w="618" w:type="pct"/>
            <w:vAlign w:val="center"/>
          </w:tcPr>
          <w:p w14:paraId="2C79879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颗粒组成0.02-0.002mm</w:t>
            </w:r>
          </w:p>
        </w:tc>
        <w:tc>
          <w:tcPr>
            <w:tcW w:w="210" w:type="pct"/>
            <w:vAlign w:val="center"/>
          </w:tcPr>
          <w:p w14:paraId="50D59F6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14.8</w:t>
            </w:r>
          </w:p>
        </w:tc>
        <w:tc>
          <w:tcPr>
            <w:tcW w:w="209" w:type="pct"/>
            <w:vAlign w:val="center"/>
          </w:tcPr>
          <w:p w14:paraId="5822D12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29.3</w:t>
            </w:r>
          </w:p>
        </w:tc>
        <w:tc>
          <w:tcPr>
            <w:tcW w:w="220" w:type="pct"/>
            <w:vAlign w:val="center"/>
          </w:tcPr>
          <w:p w14:paraId="343CD3F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14.9</w:t>
            </w:r>
          </w:p>
        </w:tc>
        <w:tc>
          <w:tcPr>
            <w:tcW w:w="189" w:type="pct"/>
            <w:vAlign w:val="center"/>
          </w:tcPr>
          <w:p w14:paraId="04454AC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w:t>
            </w:r>
          </w:p>
        </w:tc>
        <w:tc>
          <w:tcPr>
            <w:tcW w:w="189" w:type="pct"/>
            <w:vAlign w:val="center"/>
          </w:tcPr>
          <w:p w14:paraId="72E254B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47.8</w:t>
            </w:r>
          </w:p>
        </w:tc>
        <w:tc>
          <w:tcPr>
            <w:tcW w:w="189" w:type="pct"/>
            <w:vAlign w:val="center"/>
          </w:tcPr>
          <w:p w14:paraId="0F79776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41.8</w:t>
            </w:r>
          </w:p>
        </w:tc>
        <w:tc>
          <w:tcPr>
            <w:tcW w:w="189" w:type="pct"/>
            <w:vAlign w:val="center"/>
          </w:tcPr>
          <w:p w14:paraId="580168A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37</w:t>
            </w:r>
          </w:p>
        </w:tc>
        <w:tc>
          <w:tcPr>
            <w:tcW w:w="205" w:type="pct"/>
            <w:vAlign w:val="center"/>
          </w:tcPr>
          <w:p w14:paraId="3635E82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38</w:t>
            </w:r>
          </w:p>
        </w:tc>
        <w:tc>
          <w:tcPr>
            <w:tcW w:w="207" w:type="pct"/>
            <w:vAlign w:val="center"/>
          </w:tcPr>
          <w:p w14:paraId="31A44D3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40.8</w:t>
            </w:r>
          </w:p>
        </w:tc>
        <w:tc>
          <w:tcPr>
            <w:tcW w:w="189" w:type="pct"/>
            <w:vAlign w:val="center"/>
          </w:tcPr>
          <w:p w14:paraId="7CBF6DB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40.2</w:t>
            </w:r>
          </w:p>
        </w:tc>
        <w:tc>
          <w:tcPr>
            <w:tcW w:w="210" w:type="pct"/>
            <w:vAlign w:val="center"/>
          </w:tcPr>
          <w:p w14:paraId="71ACBDA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42.5</w:t>
            </w:r>
          </w:p>
        </w:tc>
        <w:tc>
          <w:tcPr>
            <w:tcW w:w="211" w:type="pct"/>
            <w:vAlign w:val="center"/>
          </w:tcPr>
          <w:p w14:paraId="61AA249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44.6</w:t>
            </w:r>
          </w:p>
        </w:tc>
        <w:tc>
          <w:tcPr>
            <w:tcW w:w="210" w:type="pct"/>
            <w:vAlign w:val="center"/>
          </w:tcPr>
          <w:p w14:paraId="06D7220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59.2</w:t>
            </w:r>
          </w:p>
        </w:tc>
        <w:tc>
          <w:tcPr>
            <w:tcW w:w="210" w:type="pct"/>
            <w:vAlign w:val="center"/>
          </w:tcPr>
          <w:p w14:paraId="260BA58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53</w:t>
            </w:r>
          </w:p>
        </w:tc>
        <w:tc>
          <w:tcPr>
            <w:tcW w:w="210" w:type="pct"/>
            <w:vAlign w:val="center"/>
          </w:tcPr>
          <w:p w14:paraId="2F9C0DB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27.2</w:t>
            </w:r>
          </w:p>
        </w:tc>
        <w:tc>
          <w:tcPr>
            <w:tcW w:w="213" w:type="pct"/>
            <w:vAlign w:val="center"/>
          </w:tcPr>
          <w:p w14:paraId="0B21DA7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28.6</w:t>
            </w:r>
          </w:p>
        </w:tc>
        <w:tc>
          <w:tcPr>
            <w:tcW w:w="210" w:type="pct"/>
            <w:vAlign w:val="center"/>
          </w:tcPr>
          <w:p w14:paraId="661354C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40.5</w:t>
            </w:r>
          </w:p>
        </w:tc>
        <w:tc>
          <w:tcPr>
            <w:tcW w:w="209" w:type="pct"/>
            <w:vAlign w:val="center"/>
          </w:tcPr>
          <w:p w14:paraId="75A3139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43.1</w:t>
            </w:r>
          </w:p>
        </w:tc>
        <w:tc>
          <w:tcPr>
            <w:tcW w:w="209" w:type="pct"/>
            <w:vAlign w:val="center"/>
          </w:tcPr>
          <w:p w14:paraId="590FB88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18.4</w:t>
            </w:r>
          </w:p>
        </w:tc>
        <w:tc>
          <w:tcPr>
            <w:tcW w:w="208" w:type="pct"/>
            <w:vAlign w:val="center"/>
          </w:tcPr>
          <w:p w14:paraId="53993AB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33.5</w:t>
            </w:r>
          </w:p>
        </w:tc>
      </w:tr>
      <w:tr w14:paraId="5BDC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0A3188DE">
            <w:pPr>
              <w:adjustRightInd w:val="0"/>
              <w:snapToGrid w:val="0"/>
              <w:spacing w:line="320" w:lineRule="exact"/>
              <w:contextualSpacing/>
              <w:jc w:val="center"/>
              <w:rPr>
                <w:rFonts w:ascii="Times New Roman" w:eastAsia="仿宋"/>
                <w:szCs w:val="21"/>
              </w:rPr>
            </w:pPr>
          </w:p>
        </w:tc>
        <w:tc>
          <w:tcPr>
            <w:tcW w:w="618" w:type="pct"/>
            <w:vAlign w:val="center"/>
          </w:tcPr>
          <w:p w14:paraId="3BC6DA0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颗粒组成0.2-0.02mm</w:t>
            </w:r>
          </w:p>
        </w:tc>
        <w:tc>
          <w:tcPr>
            <w:tcW w:w="210" w:type="pct"/>
            <w:vAlign w:val="center"/>
          </w:tcPr>
          <w:p w14:paraId="5F2244D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38.2</w:t>
            </w:r>
          </w:p>
        </w:tc>
        <w:tc>
          <w:tcPr>
            <w:tcW w:w="209" w:type="pct"/>
            <w:vAlign w:val="center"/>
          </w:tcPr>
          <w:p w14:paraId="72229B5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27.3</w:t>
            </w:r>
          </w:p>
        </w:tc>
        <w:tc>
          <w:tcPr>
            <w:tcW w:w="220" w:type="pct"/>
            <w:vAlign w:val="center"/>
          </w:tcPr>
          <w:p w14:paraId="64A781B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35.7</w:t>
            </w:r>
          </w:p>
        </w:tc>
        <w:tc>
          <w:tcPr>
            <w:tcW w:w="189" w:type="pct"/>
            <w:vAlign w:val="center"/>
          </w:tcPr>
          <w:p w14:paraId="7B35379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80C05C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4E671E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D2E9AE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6D95B7A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5C6E6F1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27.2</w:t>
            </w:r>
          </w:p>
        </w:tc>
        <w:tc>
          <w:tcPr>
            <w:tcW w:w="189" w:type="pct"/>
            <w:vAlign w:val="center"/>
          </w:tcPr>
          <w:p w14:paraId="0668B9B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26.9</w:t>
            </w:r>
          </w:p>
        </w:tc>
        <w:tc>
          <w:tcPr>
            <w:tcW w:w="210" w:type="pct"/>
            <w:vAlign w:val="center"/>
          </w:tcPr>
          <w:p w14:paraId="57B9EDA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29.7</w:t>
            </w:r>
          </w:p>
        </w:tc>
        <w:tc>
          <w:tcPr>
            <w:tcW w:w="211" w:type="pct"/>
            <w:vAlign w:val="center"/>
          </w:tcPr>
          <w:p w14:paraId="1E5022A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22.9</w:t>
            </w:r>
          </w:p>
        </w:tc>
        <w:tc>
          <w:tcPr>
            <w:tcW w:w="210" w:type="pct"/>
            <w:vAlign w:val="center"/>
          </w:tcPr>
          <w:p w14:paraId="2E0A661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10.1</w:t>
            </w:r>
          </w:p>
        </w:tc>
        <w:tc>
          <w:tcPr>
            <w:tcW w:w="210" w:type="pct"/>
            <w:vAlign w:val="center"/>
          </w:tcPr>
          <w:p w14:paraId="5408C07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11</w:t>
            </w:r>
          </w:p>
        </w:tc>
        <w:tc>
          <w:tcPr>
            <w:tcW w:w="210" w:type="pct"/>
            <w:vAlign w:val="center"/>
          </w:tcPr>
          <w:p w14:paraId="7539CA6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39.1</w:t>
            </w:r>
          </w:p>
        </w:tc>
        <w:tc>
          <w:tcPr>
            <w:tcW w:w="213" w:type="pct"/>
            <w:vAlign w:val="center"/>
          </w:tcPr>
          <w:p w14:paraId="7F798E5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33.1</w:t>
            </w:r>
          </w:p>
        </w:tc>
        <w:tc>
          <w:tcPr>
            <w:tcW w:w="210" w:type="pct"/>
            <w:vAlign w:val="center"/>
          </w:tcPr>
          <w:p w14:paraId="454B232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26.3</w:t>
            </w:r>
          </w:p>
        </w:tc>
        <w:tc>
          <w:tcPr>
            <w:tcW w:w="209" w:type="pct"/>
            <w:vAlign w:val="center"/>
          </w:tcPr>
          <w:p w14:paraId="5570813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24.9</w:t>
            </w:r>
          </w:p>
        </w:tc>
        <w:tc>
          <w:tcPr>
            <w:tcW w:w="209" w:type="pct"/>
            <w:vAlign w:val="center"/>
          </w:tcPr>
          <w:p w14:paraId="259E045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49.8</w:t>
            </w:r>
          </w:p>
        </w:tc>
        <w:tc>
          <w:tcPr>
            <w:tcW w:w="208" w:type="pct"/>
            <w:vAlign w:val="center"/>
          </w:tcPr>
          <w:p w14:paraId="124BA06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39</w:t>
            </w:r>
          </w:p>
        </w:tc>
      </w:tr>
      <w:tr w14:paraId="48E4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0225C82">
            <w:pPr>
              <w:adjustRightInd w:val="0"/>
              <w:snapToGrid w:val="0"/>
              <w:spacing w:line="320" w:lineRule="exact"/>
              <w:contextualSpacing/>
              <w:jc w:val="center"/>
              <w:rPr>
                <w:rFonts w:ascii="Times New Roman" w:eastAsia="仿宋"/>
                <w:szCs w:val="21"/>
              </w:rPr>
            </w:pPr>
          </w:p>
        </w:tc>
        <w:tc>
          <w:tcPr>
            <w:tcW w:w="618" w:type="pct"/>
            <w:vAlign w:val="center"/>
          </w:tcPr>
          <w:p w14:paraId="741DDA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颗粒组成小于0.002mm</w:t>
            </w:r>
          </w:p>
        </w:tc>
        <w:tc>
          <w:tcPr>
            <w:tcW w:w="210" w:type="pct"/>
            <w:vAlign w:val="center"/>
          </w:tcPr>
          <w:p w14:paraId="223179F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12.7</w:t>
            </w:r>
          </w:p>
        </w:tc>
        <w:tc>
          <w:tcPr>
            <w:tcW w:w="209" w:type="pct"/>
            <w:vAlign w:val="center"/>
          </w:tcPr>
          <w:p w14:paraId="5BACE87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13.6</w:t>
            </w:r>
          </w:p>
        </w:tc>
        <w:tc>
          <w:tcPr>
            <w:tcW w:w="220" w:type="pct"/>
            <w:vAlign w:val="center"/>
          </w:tcPr>
          <w:p w14:paraId="4014D16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7.7</w:t>
            </w:r>
          </w:p>
        </w:tc>
        <w:tc>
          <w:tcPr>
            <w:tcW w:w="189" w:type="pct"/>
            <w:vAlign w:val="center"/>
          </w:tcPr>
          <w:p w14:paraId="296241F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24.5</w:t>
            </w:r>
          </w:p>
        </w:tc>
        <w:tc>
          <w:tcPr>
            <w:tcW w:w="189" w:type="pct"/>
            <w:vAlign w:val="center"/>
          </w:tcPr>
          <w:p w14:paraId="18B172E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17.5</w:t>
            </w:r>
          </w:p>
        </w:tc>
        <w:tc>
          <w:tcPr>
            <w:tcW w:w="189" w:type="pct"/>
            <w:vAlign w:val="center"/>
          </w:tcPr>
          <w:p w14:paraId="1308DD9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32.2</w:t>
            </w:r>
          </w:p>
        </w:tc>
        <w:tc>
          <w:tcPr>
            <w:tcW w:w="189" w:type="pct"/>
            <w:vAlign w:val="center"/>
          </w:tcPr>
          <w:p w14:paraId="2265428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37.1</w:t>
            </w:r>
          </w:p>
        </w:tc>
        <w:tc>
          <w:tcPr>
            <w:tcW w:w="205" w:type="pct"/>
            <w:vAlign w:val="center"/>
          </w:tcPr>
          <w:p w14:paraId="686779E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44.1</w:t>
            </w:r>
          </w:p>
        </w:tc>
        <w:tc>
          <w:tcPr>
            <w:tcW w:w="207" w:type="pct"/>
            <w:vAlign w:val="center"/>
          </w:tcPr>
          <w:p w14:paraId="12F71BD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30.2</w:t>
            </w:r>
          </w:p>
        </w:tc>
        <w:tc>
          <w:tcPr>
            <w:tcW w:w="189" w:type="pct"/>
            <w:vAlign w:val="center"/>
          </w:tcPr>
          <w:p w14:paraId="586BDA3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30.9</w:t>
            </w:r>
          </w:p>
        </w:tc>
        <w:tc>
          <w:tcPr>
            <w:tcW w:w="210" w:type="pct"/>
            <w:vAlign w:val="center"/>
          </w:tcPr>
          <w:p w14:paraId="742F49B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27.6</w:t>
            </w:r>
          </w:p>
        </w:tc>
        <w:tc>
          <w:tcPr>
            <w:tcW w:w="211" w:type="pct"/>
            <w:vAlign w:val="center"/>
          </w:tcPr>
          <w:p w14:paraId="35886D3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30.6</w:t>
            </w:r>
          </w:p>
        </w:tc>
        <w:tc>
          <w:tcPr>
            <w:tcW w:w="210" w:type="pct"/>
            <w:vAlign w:val="center"/>
          </w:tcPr>
          <w:p w14:paraId="63EFD4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29.9</w:t>
            </w:r>
          </w:p>
        </w:tc>
        <w:tc>
          <w:tcPr>
            <w:tcW w:w="210" w:type="pct"/>
            <w:vAlign w:val="center"/>
          </w:tcPr>
          <w:p w14:paraId="3DBE94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35.3</w:t>
            </w:r>
          </w:p>
        </w:tc>
        <w:tc>
          <w:tcPr>
            <w:tcW w:w="210" w:type="pct"/>
            <w:vAlign w:val="center"/>
          </w:tcPr>
          <w:p w14:paraId="1FB4800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33.6</w:t>
            </w:r>
          </w:p>
        </w:tc>
        <w:tc>
          <w:tcPr>
            <w:tcW w:w="213" w:type="pct"/>
            <w:vAlign w:val="center"/>
          </w:tcPr>
          <w:p w14:paraId="4705F0B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37.7</w:t>
            </w:r>
          </w:p>
        </w:tc>
        <w:tc>
          <w:tcPr>
            <w:tcW w:w="210" w:type="pct"/>
            <w:vAlign w:val="center"/>
          </w:tcPr>
          <w:p w14:paraId="2DBF65C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32</w:t>
            </w:r>
          </w:p>
        </w:tc>
        <w:tc>
          <w:tcPr>
            <w:tcW w:w="209" w:type="pct"/>
            <w:vAlign w:val="center"/>
          </w:tcPr>
          <w:p w14:paraId="17812E3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30.7</w:t>
            </w:r>
          </w:p>
        </w:tc>
        <w:tc>
          <w:tcPr>
            <w:tcW w:w="209" w:type="pct"/>
            <w:vAlign w:val="center"/>
          </w:tcPr>
          <w:p w14:paraId="2A7AA3D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31.1</w:t>
            </w:r>
          </w:p>
        </w:tc>
        <w:tc>
          <w:tcPr>
            <w:tcW w:w="208" w:type="pct"/>
            <w:vAlign w:val="center"/>
          </w:tcPr>
          <w:p w14:paraId="3469C9F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26.2</w:t>
            </w:r>
          </w:p>
        </w:tc>
      </w:tr>
      <w:tr w14:paraId="6FEE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2B655814">
            <w:pPr>
              <w:adjustRightInd w:val="0"/>
              <w:snapToGrid w:val="0"/>
              <w:spacing w:line="320" w:lineRule="exact"/>
              <w:contextualSpacing/>
              <w:jc w:val="center"/>
              <w:rPr>
                <w:rFonts w:ascii="Times New Roman" w:eastAsia="仿宋"/>
                <w:szCs w:val="21"/>
              </w:rPr>
            </w:pPr>
          </w:p>
        </w:tc>
        <w:tc>
          <w:tcPr>
            <w:tcW w:w="618" w:type="pct"/>
            <w:vAlign w:val="center"/>
          </w:tcPr>
          <w:p w14:paraId="09B0717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质地</w:t>
            </w:r>
          </w:p>
        </w:tc>
        <w:tc>
          <w:tcPr>
            <w:tcW w:w="210" w:type="pct"/>
            <w:vAlign w:val="center"/>
          </w:tcPr>
          <w:p w14:paraId="0372D32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SL</w:t>
            </w:r>
          </w:p>
        </w:tc>
        <w:tc>
          <w:tcPr>
            <w:tcW w:w="209" w:type="pct"/>
            <w:vAlign w:val="center"/>
          </w:tcPr>
          <w:p w14:paraId="5192039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SL</w:t>
            </w:r>
          </w:p>
        </w:tc>
        <w:tc>
          <w:tcPr>
            <w:tcW w:w="220" w:type="pct"/>
            <w:vAlign w:val="center"/>
          </w:tcPr>
          <w:p w14:paraId="65E18ED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SL</w:t>
            </w:r>
          </w:p>
        </w:tc>
        <w:tc>
          <w:tcPr>
            <w:tcW w:w="189" w:type="pct"/>
            <w:vAlign w:val="center"/>
          </w:tcPr>
          <w:p w14:paraId="77790F7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CL</w:t>
            </w:r>
          </w:p>
        </w:tc>
        <w:tc>
          <w:tcPr>
            <w:tcW w:w="189" w:type="pct"/>
            <w:vAlign w:val="center"/>
          </w:tcPr>
          <w:p w14:paraId="45A1144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SiCL</w:t>
            </w:r>
          </w:p>
        </w:tc>
        <w:tc>
          <w:tcPr>
            <w:tcW w:w="189" w:type="pct"/>
            <w:vAlign w:val="center"/>
          </w:tcPr>
          <w:p w14:paraId="476D921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189" w:type="pct"/>
            <w:vAlign w:val="center"/>
          </w:tcPr>
          <w:p w14:paraId="0326A3E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05" w:type="pct"/>
            <w:vAlign w:val="center"/>
          </w:tcPr>
          <w:p w14:paraId="0C0BED5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07" w:type="pct"/>
            <w:vAlign w:val="center"/>
          </w:tcPr>
          <w:p w14:paraId="051BFFC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189" w:type="pct"/>
            <w:vAlign w:val="center"/>
          </w:tcPr>
          <w:p w14:paraId="5593E43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10" w:type="pct"/>
            <w:vAlign w:val="center"/>
          </w:tcPr>
          <w:p w14:paraId="1A2E002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11" w:type="pct"/>
            <w:vAlign w:val="center"/>
          </w:tcPr>
          <w:p w14:paraId="78F0B37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10" w:type="pct"/>
            <w:vAlign w:val="center"/>
          </w:tcPr>
          <w:p w14:paraId="47665BF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SiC</w:t>
            </w:r>
          </w:p>
        </w:tc>
        <w:tc>
          <w:tcPr>
            <w:tcW w:w="210" w:type="pct"/>
            <w:vAlign w:val="center"/>
          </w:tcPr>
          <w:p w14:paraId="09AE7AD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SiC</w:t>
            </w:r>
          </w:p>
        </w:tc>
        <w:tc>
          <w:tcPr>
            <w:tcW w:w="210" w:type="pct"/>
            <w:vAlign w:val="center"/>
          </w:tcPr>
          <w:p w14:paraId="2194651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13" w:type="pct"/>
            <w:vAlign w:val="center"/>
          </w:tcPr>
          <w:p w14:paraId="1A36F5F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10" w:type="pct"/>
            <w:vAlign w:val="center"/>
          </w:tcPr>
          <w:p w14:paraId="5BF4E84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09" w:type="pct"/>
            <w:vAlign w:val="center"/>
          </w:tcPr>
          <w:p w14:paraId="18D0C36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09" w:type="pct"/>
            <w:vAlign w:val="center"/>
          </w:tcPr>
          <w:p w14:paraId="16B21ED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c>
          <w:tcPr>
            <w:tcW w:w="208" w:type="pct"/>
            <w:vAlign w:val="center"/>
          </w:tcPr>
          <w:p w14:paraId="47D5459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LC</w:t>
            </w:r>
          </w:p>
        </w:tc>
      </w:tr>
      <w:tr w14:paraId="2D76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restart"/>
            <w:vAlign w:val="center"/>
          </w:tcPr>
          <w:p w14:paraId="0139FFE3">
            <w:pPr>
              <w:adjustRightInd w:val="0"/>
              <w:snapToGrid w:val="0"/>
              <w:spacing w:line="320" w:lineRule="exact"/>
              <w:contextualSpacing/>
              <w:jc w:val="center"/>
              <w:rPr>
                <w:rFonts w:ascii="Times New Roman" w:eastAsia="仿宋"/>
                <w:szCs w:val="21"/>
              </w:rPr>
            </w:pPr>
            <w:r>
              <w:rPr>
                <w:rFonts w:ascii="Times New Roman" w:eastAsia="仿宋"/>
                <w:szCs w:val="21"/>
              </w:rPr>
              <w:t>典型剖面化学性质</w:t>
            </w:r>
          </w:p>
        </w:tc>
        <w:tc>
          <w:tcPr>
            <w:tcW w:w="618" w:type="pct"/>
            <w:vAlign w:val="center"/>
          </w:tcPr>
          <w:p w14:paraId="2508AF09">
            <w:pPr>
              <w:adjustRightInd w:val="0"/>
              <w:snapToGrid w:val="0"/>
              <w:spacing w:line="320" w:lineRule="exact"/>
              <w:contextualSpacing/>
              <w:jc w:val="center"/>
              <w:rPr>
                <w:rFonts w:ascii="Times New Roman" w:eastAsia="仿宋"/>
                <w:szCs w:val="21"/>
              </w:rPr>
            </w:pPr>
            <w:r>
              <w:rPr>
                <w:rFonts w:ascii="Times New Roman" w:eastAsia="仿宋"/>
                <w:szCs w:val="21"/>
              </w:rPr>
              <w:t>交换性氢(cmol/kg(+))</w:t>
            </w:r>
          </w:p>
        </w:tc>
        <w:tc>
          <w:tcPr>
            <w:tcW w:w="210" w:type="pct"/>
            <w:vAlign w:val="center"/>
          </w:tcPr>
          <w:p w14:paraId="46AB1AC0">
            <w:pPr>
              <w:adjustRightInd w:val="0"/>
              <w:snapToGrid w:val="0"/>
              <w:spacing w:line="320" w:lineRule="exact"/>
              <w:contextualSpacing/>
              <w:jc w:val="center"/>
              <w:rPr>
                <w:rFonts w:ascii="Times New Roman" w:eastAsia="仿宋"/>
                <w:szCs w:val="21"/>
              </w:rPr>
            </w:pPr>
            <w:r>
              <w:rPr>
                <w:rFonts w:ascii="Times New Roman" w:eastAsia="仿宋"/>
                <w:szCs w:val="21"/>
              </w:rPr>
              <w:t>0.98</w:t>
            </w:r>
          </w:p>
        </w:tc>
        <w:tc>
          <w:tcPr>
            <w:tcW w:w="209" w:type="pct"/>
            <w:vAlign w:val="center"/>
          </w:tcPr>
          <w:p w14:paraId="1D2D466A">
            <w:pPr>
              <w:adjustRightInd w:val="0"/>
              <w:snapToGrid w:val="0"/>
              <w:spacing w:line="320" w:lineRule="exact"/>
              <w:contextualSpacing/>
              <w:jc w:val="center"/>
              <w:rPr>
                <w:rFonts w:ascii="Times New Roman" w:eastAsia="仿宋"/>
                <w:szCs w:val="21"/>
              </w:rPr>
            </w:pPr>
            <w:r>
              <w:rPr>
                <w:rFonts w:ascii="Times New Roman" w:eastAsia="仿宋"/>
                <w:szCs w:val="21"/>
              </w:rPr>
              <w:t>0.98</w:t>
            </w:r>
          </w:p>
        </w:tc>
        <w:tc>
          <w:tcPr>
            <w:tcW w:w="220" w:type="pct"/>
            <w:vAlign w:val="center"/>
          </w:tcPr>
          <w:p w14:paraId="03EDA1B3">
            <w:pPr>
              <w:adjustRightInd w:val="0"/>
              <w:snapToGrid w:val="0"/>
              <w:spacing w:line="320" w:lineRule="exact"/>
              <w:contextualSpacing/>
              <w:jc w:val="center"/>
              <w:rPr>
                <w:rFonts w:ascii="Times New Roman" w:eastAsia="仿宋"/>
                <w:szCs w:val="21"/>
              </w:rPr>
            </w:pPr>
            <w:r>
              <w:rPr>
                <w:rFonts w:ascii="Times New Roman" w:eastAsia="仿宋"/>
                <w:szCs w:val="21"/>
              </w:rPr>
              <w:t>0.98</w:t>
            </w:r>
          </w:p>
        </w:tc>
        <w:tc>
          <w:tcPr>
            <w:tcW w:w="189" w:type="pct"/>
            <w:vAlign w:val="center"/>
          </w:tcPr>
          <w:p w14:paraId="79810F64">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185B2AA">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7846BA0">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8CFD1B1">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19EA52D1">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02C7D7F7">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B17A70E">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AEB4319">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2EE73A41">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00E1723">
            <w:pPr>
              <w:adjustRightInd w:val="0"/>
              <w:snapToGrid w:val="0"/>
              <w:spacing w:line="320" w:lineRule="exact"/>
              <w:contextualSpacing/>
              <w:jc w:val="center"/>
              <w:rPr>
                <w:rFonts w:ascii="Times New Roman" w:eastAsia="仿宋"/>
                <w:szCs w:val="21"/>
              </w:rPr>
            </w:pPr>
            <w:r>
              <w:rPr>
                <w:rFonts w:ascii="Times New Roman" w:eastAsia="仿宋"/>
                <w:szCs w:val="21"/>
              </w:rPr>
              <w:t>0.05</w:t>
            </w:r>
          </w:p>
        </w:tc>
        <w:tc>
          <w:tcPr>
            <w:tcW w:w="210" w:type="pct"/>
            <w:vAlign w:val="center"/>
          </w:tcPr>
          <w:p w14:paraId="599A97E8">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EE47664">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02202DEE">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225AE43">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781C674">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356C6933">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1CC16A27">
            <w:pPr>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587C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198D957B">
            <w:pPr>
              <w:adjustRightInd w:val="0"/>
              <w:snapToGrid w:val="0"/>
              <w:spacing w:line="320" w:lineRule="exact"/>
              <w:contextualSpacing/>
              <w:jc w:val="center"/>
              <w:rPr>
                <w:rFonts w:ascii="Times New Roman" w:eastAsia="仿宋"/>
                <w:szCs w:val="21"/>
              </w:rPr>
            </w:pPr>
          </w:p>
        </w:tc>
        <w:tc>
          <w:tcPr>
            <w:tcW w:w="618" w:type="pct"/>
            <w:vAlign w:val="center"/>
          </w:tcPr>
          <w:p w14:paraId="5D13B18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交换性铝(cmol/kg(+))</w:t>
            </w:r>
          </w:p>
        </w:tc>
        <w:tc>
          <w:tcPr>
            <w:tcW w:w="210" w:type="pct"/>
            <w:vAlign w:val="center"/>
          </w:tcPr>
          <w:p w14:paraId="216C08D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0.76</w:t>
            </w:r>
          </w:p>
        </w:tc>
        <w:tc>
          <w:tcPr>
            <w:tcW w:w="209" w:type="pct"/>
            <w:vAlign w:val="center"/>
          </w:tcPr>
          <w:p w14:paraId="4896F9B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0.76</w:t>
            </w:r>
          </w:p>
        </w:tc>
        <w:tc>
          <w:tcPr>
            <w:tcW w:w="220" w:type="pct"/>
            <w:vAlign w:val="center"/>
          </w:tcPr>
          <w:p w14:paraId="6A58A63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0.76</w:t>
            </w:r>
          </w:p>
        </w:tc>
        <w:tc>
          <w:tcPr>
            <w:tcW w:w="189" w:type="pct"/>
            <w:vAlign w:val="center"/>
          </w:tcPr>
          <w:p w14:paraId="04250A8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C30C43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38AE89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ECDDF5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4B64067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474AC90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D1EA16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F35207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57878FF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FB7F99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0.06</w:t>
            </w:r>
          </w:p>
        </w:tc>
        <w:tc>
          <w:tcPr>
            <w:tcW w:w="210" w:type="pct"/>
            <w:vAlign w:val="center"/>
          </w:tcPr>
          <w:p w14:paraId="7AB046C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7D27C8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79159FE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52E630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FACD5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07CE6BF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7708EF1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2C18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5BDB32BE">
            <w:pPr>
              <w:adjustRightInd w:val="0"/>
              <w:snapToGrid w:val="0"/>
              <w:spacing w:line="320" w:lineRule="exact"/>
              <w:contextualSpacing/>
              <w:jc w:val="center"/>
              <w:rPr>
                <w:rFonts w:ascii="Times New Roman" w:eastAsia="仿宋"/>
                <w:szCs w:val="21"/>
              </w:rPr>
            </w:pPr>
          </w:p>
        </w:tc>
        <w:tc>
          <w:tcPr>
            <w:tcW w:w="618" w:type="pct"/>
            <w:vAlign w:val="center"/>
          </w:tcPr>
          <w:p w14:paraId="7160FAB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交换性酸(cmol/kg(+))</w:t>
            </w:r>
          </w:p>
        </w:tc>
        <w:tc>
          <w:tcPr>
            <w:tcW w:w="210" w:type="pct"/>
            <w:vAlign w:val="center"/>
          </w:tcPr>
          <w:p w14:paraId="7D55D8A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1.74</w:t>
            </w:r>
          </w:p>
        </w:tc>
        <w:tc>
          <w:tcPr>
            <w:tcW w:w="209" w:type="pct"/>
            <w:vAlign w:val="center"/>
          </w:tcPr>
          <w:p w14:paraId="34767E5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1.74</w:t>
            </w:r>
          </w:p>
        </w:tc>
        <w:tc>
          <w:tcPr>
            <w:tcW w:w="220" w:type="pct"/>
            <w:vAlign w:val="center"/>
          </w:tcPr>
          <w:p w14:paraId="095DDF8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1.74</w:t>
            </w:r>
          </w:p>
        </w:tc>
        <w:tc>
          <w:tcPr>
            <w:tcW w:w="189" w:type="pct"/>
            <w:vAlign w:val="center"/>
          </w:tcPr>
          <w:p w14:paraId="5D4B4C5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D1F2A0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8304CF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C5DE92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11F474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00CB66B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61ACB0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E314D1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239A534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69B8FC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0.11</w:t>
            </w:r>
          </w:p>
        </w:tc>
        <w:tc>
          <w:tcPr>
            <w:tcW w:w="210" w:type="pct"/>
            <w:vAlign w:val="center"/>
          </w:tcPr>
          <w:p w14:paraId="7C6D5B4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A282D5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03AA1EF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24EB9E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3A91BB7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1F130AC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3421F6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2A1F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1681782E">
            <w:pPr>
              <w:adjustRightInd w:val="0"/>
              <w:snapToGrid w:val="0"/>
              <w:spacing w:line="320" w:lineRule="exact"/>
              <w:contextualSpacing/>
              <w:jc w:val="center"/>
              <w:rPr>
                <w:rFonts w:ascii="Times New Roman" w:eastAsia="仿宋"/>
                <w:szCs w:val="21"/>
              </w:rPr>
            </w:pPr>
          </w:p>
        </w:tc>
        <w:tc>
          <w:tcPr>
            <w:tcW w:w="618" w:type="pct"/>
            <w:vAlign w:val="center"/>
          </w:tcPr>
          <w:p w14:paraId="57EEE8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交换性钙(cmol/kg(+))</w:t>
            </w:r>
          </w:p>
        </w:tc>
        <w:tc>
          <w:tcPr>
            <w:tcW w:w="210" w:type="pct"/>
            <w:vAlign w:val="center"/>
          </w:tcPr>
          <w:p w14:paraId="3947F9B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4.2</w:t>
            </w:r>
          </w:p>
        </w:tc>
        <w:tc>
          <w:tcPr>
            <w:tcW w:w="209" w:type="pct"/>
            <w:vAlign w:val="center"/>
          </w:tcPr>
          <w:p w14:paraId="4A90344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4.2</w:t>
            </w:r>
          </w:p>
        </w:tc>
        <w:tc>
          <w:tcPr>
            <w:tcW w:w="220" w:type="pct"/>
            <w:vAlign w:val="center"/>
          </w:tcPr>
          <w:p w14:paraId="1F8AA7D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4.2</w:t>
            </w:r>
          </w:p>
        </w:tc>
        <w:tc>
          <w:tcPr>
            <w:tcW w:w="189" w:type="pct"/>
            <w:vAlign w:val="center"/>
          </w:tcPr>
          <w:p w14:paraId="4356A58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9FD7C4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772461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0DD52A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52CF36D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3D8D82D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DE43E9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0B1DFE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23CE568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A4EBAD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13.9</w:t>
            </w:r>
          </w:p>
        </w:tc>
        <w:tc>
          <w:tcPr>
            <w:tcW w:w="210" w:type="pct"/>
            <w:vAlign w:val="center"/>
          </w:tcPr>
          <w:p w14:paraId="330E7AF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0FF4A1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5B39E4B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E40852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001516D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352E242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35C9482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6ED4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74448186">
            <w:pPr>
              <w:adjustRightInd w:val="0"/>
              <w:snapToGrid w:val="0"/>
              <w:spacing w:line="320" w:lineRule="exact"/>
              <w:contextualSpacing/>
              <w:jc w:val="center"/>
              <w:rPr>
                <w:rFonts w:ascii="Times New Roman" w:eastAsia="仿宋"/>
                <w:szCs w:val="21"/>
              </w:rPr>
            </w:pPr>
          </w:p>
        </w:tc>
        <w:tc>
          <w:tcPr>
            <w:tcW w:w="618" w:type="pct"/>
            <w:vAlign w:val="center"/>
          </w:tcPr>
          <w:p w14:paraId="78D01F5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交换性镁(cmol/kg(+))</w:t>
            </w:r>
          </w:p>
        </w:tc>
        <w:tc>
          <w:tcPr>
            <w:tcW w:w="210" w:type="pct"/>
            <w:vAlign w:val="center"/>
          </w:tcPr>
          <w:p w14:paraId="6F4EE7F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0.97</w:t>
            </w:r>
          </w:p>
        </w:tc>
        <w:tc>
          <w:tcPr>
            <w:tcW w:w="209" w:type="pct"/>
            <w:vAlign w:val="center"/>
          </w:tcPr>
          <w:p w14:paraId="23A3AE1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0.97</w:t>
            </w:r>
          </w:p>
        </w:tc>
        <w:tc>
          <w:tcPr>
            <w:tcW w:w="220" w:type="pct"/>
            <w:vAlign w:val="center"/>
          </w:tcPr>
          <w:p w14:paraId="2F63E0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0.97</w:t>
            </w:r>
          </w:p>
        </w:tc>
        <w:tc>
          <w:tcPr>
            <w:tcW w:w="189" w:type="pct"/>
            <w:vAlign w:val="center"/>
          </w:tcPr>
          <w:p w14:paraId="296416F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2F38D5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7B143C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F7893E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6F9FA0D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0CF44B7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A27CA0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D72587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52D19B0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D30D61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7.81</w:t>
            </w:r>
          </w:p>
        </w:tc>
        <w:tc>
          <w:tcPr>
            <w:tcW w:w="210" w:type="pct"/>
            <w:vAlign w:val="center"/>
          </w:tcPr>
          <w:p w14:paraId="4D7CE48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0113B0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1CF1F11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4B9F5E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6DE12EB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602C7FC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58F784C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0BD8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3F988D77">
            <w:pPr>
              <w:adjustRightInd w:val="0"/>
              <w:snapToGrid w:val="0"/>
              <w:spacing w:line="320" w:lineRule="exact"/>
              <w:contextualSpacing/>
              <w:jc w:val="center"/>
              <w:rPr>
                <w:rFonts w:ascii="Times New Roman" w:eastAsia="仿宋"/>
                <w:szCs w:val="21"/>
              </w:rPr>
            </w:pPr>
          </w:p>
        </w:tc>
        <w:tc>
          <w:tcPr>
            <w:tcW w:w="618" w:type="pct"/>
            <w:vAlign w:val="center"/>
          </w:tcPr>
          <w:p w14:paraId="21C456A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交换性钾(cmol/kg(+))</w:t>
            </w:r>
          </w:p>
        </w:tc>
        <w:tc>
          <w:tcPr>
            <w:tcW w:w="210" w:type="pct"/>
            <w:vAlign w:val="center"/>
          </w:tcPr>
          <w:p w14:paraId="0E6C833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0.28</w:t>
            </w:r>
          </w:p>
        </w:tc>
        <w:tc>
          <w:tcPr>
            <w:tcW w:w="209" w:type="pct"/>
            <w:vAlign w:val="center"/>
          </w:tcPr>
          <w:p w14:paraId="1FF4ABF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0.28</w:t>
            </w:r>
          </w:p>
        </w:tc>
        <w:tc>
          <w:tcPr>
            <w:tcW w:w="220" w:type="pct"/>
            <w:vAlign w:val="center"/>
          </w:tcPr>
          <w:p w14:paraId="1AFE7A3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0.28</w:t>
            </w:r>
          </w:p>
        </w:tc>
        <w:tc>
          <w:tcPr>
            <w:tcW w:w="189" w:type="pct"/>
            <w:vAlign w:val="center"/>
          </w:tcPr>
          <w:p w14:paraId="2653D87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C9EE84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F81C2F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B55643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25F4332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1C4A4E7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D5F3EB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415151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5981550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265FB5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0.15</w:t>
            </w:r>
          </w:p>
        </w:tc>
        <w:tc>
          <w:tcPr>
            <w:tcW w:w="210" w:type="pct"/>
            <w:vAlign w:val="center"/>
          </w:tcPr>
          <w:p w14:paraId="2DF0254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76C3ED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0431324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C2AF24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09D8AFE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1BDE5F7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155ACBC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73EB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6AC96AFF">
            <w:pPr>
              <w:adjustRightInd w:val="0"/>
              <w:snapToGrid w:val="0"/>
              <w:spacing w:line="320" w:lineRule="exact"/>
              <w:contextualSpacing/>
              <w:jc w:val="center"/>
              <w:rPr>
                <w:rFonts w:ascii="Times New Roman" w:eastAsia="仿宋"/>
                <w:szCs w:val="21"/>
              </w:rPr>
            </w:pPr>
          </w:p>
        </w:tc>
        <w:tc>
          <w:tcPr>
            <w:tcW w:w="618" w:type="pct"/>
            <w:vAlign w:val="center"/>
          </w:tcPr>
          <w:p w14:paraId="5A79DFA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交换性纳(cmol/kg(+))</w:t>
            </w:r>
          </w:p>
        </w:tc>
        <w:tc>
          <w:tcPr>
            <w:tcW w:w="210" w:type="pct"/>
            <w:vAlign w:val="center"/>
          </w:tcPr>
          <w:p w14:paraId="19ED2E5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w:t>
            </w:r>
          </w:p>
        </w:tc>
        <w:tc>
          <w:tcPr>
            <w:tcW w:w="209" w:type="pct"/>
            <w:vAlign w:val="center"/>
          </w:tcPr>
          <w:p w14:paraId="7A1143F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w:t>
            </w:r>
          </w:p>
        </w:tc>
        <w:tc>
          <w:tcPr>
            <w:tcW w:w="220" w:type="pct"/>
            <w:vAlign w:val="center"/>
          </w:tcPr>
          <w:p w14:paraId="69C251E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0.2</w:t>
            </w:r>
          </w:p>
        </w:tc>
        <w:tc>
          <w:tcPr>
            <w:tcW w:w="189" w:type="pct"/>
            <w:vAlign w:val="center"/>
          </w:tcPr>
          <w:p w14:paraId="30EA3CD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F65BB0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06FF86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224521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0E0EFA0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30849A7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771473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E16136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2D7258B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0F91C6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0.12</w:t>
            </w:r>
          </w:p>
        </w:tc>
        <w:tc>
          <w:tcPr>
            <w:tcW w:w="210" w:type="pct"/>
            <w:vAlign w:val="center"/>
          </w:tcPr>
          <w:p w14:paraId="33D321B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506F33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389AE85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53E353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3D9637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2817489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2587348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6DD9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307C2FD2">
            <w:pPr>
              <w:adjustRightInd w:val="0"/>
              <w:snapToGrid w:val="0"/>
              <w:spacing w:line="320" w:lineRule="exact"/>
              <w:contextualSpacing/>
              <w:jc w:val="center"/>
              <w:rPr>
                <w:rFonts w:ascii="Times New Roman" w:eastAsia="仿宋"/>
                <w:szCs w:val="21"/>
              </w:rPr>
            </w:pPr>
          </w:p>
        </w:tc>
        <w:tc>
          <w:tcPr>
            <w:tcW w:w="618" w:type="pct"/>
            <w:vAlign w:val="center"/>
          </w:tcPr>
          <w:p w14:paraId="348FE03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交换性盐基总量(cmol/kg(+))</w:t>
            </w:r>
          </w:p>
        </w:tc>
        <w:tc>
          <w:tcPr>
            <w:tcW w:w="210" w:type="pct"/>
            <w:vAlign w:val="center"/>
          </w:tcPr>
          <w:p w14:paraId="2C7090F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5.65</w:t>
            </w:r>
          </w:p>
        </w:tc>
        <w:tc>
          <w:tcPr>
            <w:tcW w:w="209" w:type="pct"/>
            <w:vAlign w:val="center"/>
          </w:tcPr>
          <w:p w14:paraId="57892F1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5.65</w:t>
            </w:r>
          </w:p>
        </w:tc>
        <w:tc>
          <w:tcPr>
            <w:tcW w:w="220" w:type="pct"/>
            <w:vAlign w:val="center"/>
          </w:tcPr>
          <w:p w14:paraId="232A98B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5.65</w:t>
            </w:r>
          </w:p>
        </w:tc>
        <w:tc>
          <w:tcPr>
            <w:tcW w:w="189" w:type="pct"/>
            <w:vAlign w:val="center"/>
          </w:tcPr>
          <w:p w14:paraId="606AF27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C8E352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7EDB0D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40FC6A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73E9B4E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4F65112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FC4802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650CD0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5F3E7F5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B37D9A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21.98</w:t>
            </w:r>
          </w:p>
        </w:tc>
        <w:tc>
          <w:tcPr>
            <w:tcW w:w="210" w:type="pct"/>
            <w:vAlign w:val="center"/>
          </w:tcPr>
          <w:p w14:paraId="75B0E61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D91FC9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67D21C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A3F156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54AA6A1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6A2A58D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518F3A4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69C6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99F2CB4">
            <w:pPr>
              <w:adjustRightInd w:val="0"/>
              <w:snapToGrid w:val="0"/>
              <w:spacing w:line="320" w:lineRule="exact"/>
              <w:contextualSpacing/>
              <w:jc w:val="center"/>
              <w:rPr>
                <w:rFonts w:ascii="Times New Roman" w:eastAsia="仿宋"/>
                <w:szCs w:val="21"/>
              </w:rPr>
            </w:pPr>
          </w:p>
        </w:tc>
        <w:tc>
          <w:tcPr>
            <w:tcW w:w="618" w:type="pct"/>
            <w:vAlign w:val="center"/>
          </w:tcPr>
          <w:p w14:paraId="4569AC5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阳离子交换量cmol/kg(+))</w:t>
            </w:r>
          </w:p>
        </w:tc>
        <w:tc>
          <w:tcPr>
            <w:tcW w:w="210" w:type="pct"/>
            <w:vAlign w:val="center"/>
          </w:tcPr>
          <w:p w14:paraId="6CF87DB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4B08F44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56D0634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200ED0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12.35</w:t>
            </w:r>
          </w:p>
        </w:tc>
        <w:tc>
          <w:tcPr>
            <w:tcW w:w="189" w:type="pct"/>
            <w:vAlign w:val="center"/>
          </w:tcPr>
          <w:p w14:paraId="5477D7E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FCEA15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9F4372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3FBD222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64D16A1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19.2</w:t>
            </w:r>
          </w:p>
        </w:tc>
        <w:tc>
          <w:tcPr>
            <w:tcW w:w="189" w:type="pct"/>
            <w:vAlign w:val="center"/>
          </w:tcPr>
          <w:p w14:paraId="50E2A6A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15714C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3B3DDF6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097BC7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0F9C80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C59AE4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31FC83A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B976DD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20.6</w:t>
            </w:r>
          </w:p>
        </w:tc>
        <w:tc>
          <w:tcPr>
            <w:tcW w:w="209" w:type="pct"/>
            <w:vAlign w:val="center"/>
          </w:tcPr>
          <w:p w14:paraId="1FF841D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6E36EA9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0215D6E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711C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726D05D0">
            <w:pPr>
              <w:adjustRightInd w:val="0"/>
              <w:snapToGrid w:val="0"/>
              <w:spacing w:line="320" w:lineRule="exact"/>
              <w:contextualSpacing/>
              <w:jc w:val="center"/>
              <w:rPr>
                <w:rFonts w:ascii="Times New Roman" w:eastAsia="仿宋"/>
                <w:szCs w:val="21"/>
              </w:rPr>
            </w:pPr>
          </w:p>
        </w:tc>
        <w:tc>
          <w:tcPr>
            <w:tcW w:w="618" w:type="pct"/>
            <w:vAlign w:val="center"/>
          </w:tcPr>
          <w:p w14:paraId="24428FF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碳酸钙(g/kg)</w:t>
            </w:r>
          </w:p>
        </w:tc>
        <w:tc>
          <w:tcPr>
            <w:tcW w:w="210" w:type="pct"/>
            <w:vAlign w:val="center"/>
          </w:tcPr>
          <w:p w14:paraId="58C09C9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4266BAE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669854C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EB36DF0">
            <w:pPr>
              <w:kinsoku w:val="0"/>
              <w:overflowPunct w:val="0"/>
              <w:adjustRightInd w:val="0"/>
              <w:snapToGrid w:val="0"/>
              <w:spacing w:line="320" w:lineRule="exact"/>
              <w:contextualSpacing/>
              <w:jc w:val="center"/>
              <w:rPr>
                <w:rFonts w:ascii="Times New Roman" w:eastAsia="仿宋"/>
                <w:szCs w:val="21"/>
              </w:rPr>
            </w:pPr>
          </w:p>
        </w:tc>
        <w:tc>
          <w:tcPr>
            <w:tcW w:w="189" w:type="pct"/>
            <w:vAlign w:val="center"/>
          </w:tcPr>
          <w:p w14:paraId="286A42D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1A6AB4E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6E9159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5CF34D1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73D608C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19.8</w:t>
            </w:r>
          </w:p>
        </w:tc>
        <w:tc>
          <w:tcPr>
            <w:tcW w:w="189" w:type="pct"/>
            <w:vAlign w:val="center"/>
          </w:tcPr>
          <w:p w14:paraId="6C2F2BE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9AD4B7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46C3A90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D302BF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6A1CF7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A35FA4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3C68FFD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404F36A">
            <w:pPr>
              <w:kinsoku w:val="0"/>
              <w:overflowPunct w:val="0"/>
              <w:adjustRightInd w:val="0"/>
              <w:snapToGrid w:val="0"/>
              <w:spacing w:line="320" w:lineRule="exact"/>
              <w:contextualSpacing/>
              <w:jc w:val="center"/>
              <w:rPr>
                <w:rFonts w:ascii="Times New Roman" w:eastAsia="仿宋"/>
                <w:szCs w:val="21"/>
              </w:rPr>
            </w:pPr>
          </w:p>
        </w:tc>
        <w:tc>
          <w:tcPr>
            <w:tcW w:w="209" w:type="pct"/>
            <w:vAlign w:val="center"/>
          </w:tcPr>
          <w:p w14:paraId="3680D49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477F533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735346C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731B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restart"/>
            <w:vAlign w:val="center"/>
          </w:tcPr>
          <w:p w14:paraId="0EC5D3AA">
            <w:pPr>
              <w:adjustRightInd w:val="0"/>
              <w:snapToGrid w:val="0"/>
              <w:spacing w:line="320" w:lineRule="exact"/>
              <w:contextualSpacing/>
              <w:jc w:val="center"/>
              <w:rPr>
                <w:rFonts w:ascii="Times New Roman" w:eastAsia="仿宋"/>
                <w:szCs w:val="21"/>
              </w:rPr>
            </w:pPr>
            <w:r>
              <w:rPr>
                <w:rFonts w:ascii="Times New Roman" w:eastAsia="仿宋"/>
                <w:szCs w:val="21"/>
              </w:rPr>
              <w:t>典型剖面养分</w:t>
            </w:r>
          </w:p>
        </w:tc>
        <w:tc>
          <w:tcPr>
            <w:tcW w:w="618" w:type="pct"/>
            <w:vAlign w:val="center"/>
          </w:tcPr>
          <w:p w14:paraId="52DCBDE5">
            <w:pPr>
              <w:adjustRightInd w:val="0"/>
              <w:snapToGrid w:val="0"/>
              <w:spacing w:line="320" w:lineRule="exact"/>
              <w:contextualSpacing/>
              <w:jc w:val="center"/>
              <w:rPr>
                <w:rFonts w:ascii="Times New Roman" w:eastAsia="仿宋"/>
                <w:szCs w:val="21"/>
              </w:rPr>
            </w:pPr>
            <w:r>
              <w:rPr>
                <w:rFonts w:ascii="Times New Roman" w:eastAsia="仿宋"/>
                <w:szCs w:val="21"/>
              </w:rPr>
              <w:t>有机质(g.kg</w:t>
            </w:r>
            <w:r>
              <w:rPr>
                <w:rFonts w:ascii="Times New Roman" w:eastAsia="仿宋"/>
                <w:szCs w:val="21"/>
                <w:vertAlign w:val="superscript"/>
              </w:rPr>
              <w:t>-1</w:t>
            </w:r>
            <w:r>
              <w:rPr>
                <w:rFonts w:ascii="Times New Roman" w:eastAsia="仿宋"/>
                <w:szCs w:val="21"/>
              </w:rPr>
              <w:t>)</w:t>
            </w:r>
          </w:p>
        </w:tc>
        <w:tc>
          <w:tcPr>
            <w:tcW w:w="210" w:type="pct"/>
            <w:vAlign w:val="center"/>
          </w:tcPr>
          <w:p w14:paraId="4D26D0AF">
            <w:pPr>
              <w:adjustRightInd w:val="0"/>
              <w:snapToGrid w:val="0"/>
              <w:spacing w:line="320" w:lineRule="exact"/>
              <w:contextualSpacing/>
              <w:jc w:val="center"/>
              <w:rPr>
                <w:rFonts w:ascii="Times New Roman" w:eastAsia="仿宋"/>
                <w:szCs w:val="21"/>
              </w:rPr>
            </w:pPr>
            <w:r>
              <w:rPr>
                <w:rFonts w:ascii="Times New Roman" w:eastAsia="仿宋"/>
                <w:szCs w:val="21"/>
              </w:rPr>
              <w:t>34.2</w:t>
            </w:r>
          </w:p>
        </w:tc>
        <w:tc>
          <w:tcPr>
            <w:tcW w:w="209" w:type="pct"/>
            <w:vAlign w:val="center"/>
          </w:tcPr>
          <w:p w14:paraId="6690CA04">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3DA70025">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AF63FDC">
            <w:pPr>
              <w:adjustRightInd w:val="0"/>
              <w:snapToGrid w:val="0"/>
              <w:spacing w:line="320" w:lineRule="exact"/>
              <w:contextualSpacing/>
              <w:jc w:val="center"/>
              <w:rPr>
                <w:rFonts w:ascii="Times New Roman" w:eastAsia="仿宋"/>
                <w:szCs w:val="21"/>
              </w:rPr>
            </w:pPr>
            <w:r>
              <w:rPr>
                <w:rFonts w:ascii="Times New Roman" w:eastAsia="仿宋"/>
                <w:szCs w:val="21"/>
              </w:rPr>
              <w:t>20.8</w:t>
            </w:r>
          </w:p>
        </w:tc>
        <w:tc>
          <w:tcPr>
            <w:tcW w:w="189" w:type="pct"/>
            <w:vAlign w:val="center"/>
          </w:tcPr>
          <w:p w14:paraId="2A9D6211">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19E0E90">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6964F89">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60C208F6">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21898385">
            <w:pPr>
              <w:adjustRightInd w:val="0"/>
              <w:snapToGrid w:val="0"/>
              <w:spacing w:line="320" w:lineRule="exact"/>
              <w:contextualSpacing/>
              <w:jc w:val="center"/>
              <w:rPr>
                <w:rFonts w:ascii="Times New Roman" w:eastAsia="仿宋"/>
                <w:szCs w:val="21"/>
              </w:rPr>
            </w:pPr>
            <w:r>
              <w:rPr>
                <w:rFonts w:ascii="Times New Roman" w:eastAsia="仿宋"/>
                <w:szCs w:val="21"/>
              </w:rPr>
              <w:t>1.39</w:t>
            </w:r>
          </w:p>
        </w:tc>
        <w:tc>
          <w:tcPr>
            <w:tcW w:w="189" w:type="pct"/>
            <w:vAlign w:val="center"/>
          </w:tcPr>
          <w:p w14:paraId="7928EC50">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B3B96E0">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3614DE39">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55CAAC7">
            <w:pPr>
              <w:adjustRightInd w:val="0"/>
              <w:snapToGrid w:val="0"/>
              <w:spacing w:line="320" w:lineRule="exact"/>
              <w:contextualSpacing/>
              <w:jc w:val="center"/>
              <w:rPr>
                <w:rFonts w:ascii="Times New Roman" w:eastAsia="仿宋"/>
                <w:szCs w:val="21"/>
              </w:rPr>
            </w:pPr>
            <w:r>
              <w:rPr>
                <w:rFonts w:ascii="Times New Roman" w:eastAsia="仿宋"/>
                <w:szCs w:val="21"/>
              </w:rPr>
              <w:t>37.1</w:t>
            </w:r>
          </w:p>
        </w:tc>
        <w:tc>
          <w:tcPr>
            <w:tcW w:w="210" w:type="pct"/>
            <w:vAlign w:val="center"/>
          </w:tcPr>
          <w:p w14:paraId="3BFB42B7">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A22A86E">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616E036C">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3A280BC">
            <w:pPr>
              <w:adjustRightInd w:val="0"/>
              <w:snapToGrid w:val="0"/>
              <w:spacing w:line="320" w:lineRule="exact"/>
              <w:contextualSpacing/>
              <w:jc w:val="center"/>
              <w:rPr>
                <w:rFonts w:ascii="Times New Roman" w:eastAsia="仿宋"/>
                <w:szCs w:val="21"/>
              </w:rPr>
            </w:pPr>
            <w:r>
              <w:rPr>
                <w:rFonts w:ascii="Times New Roman" w:eastAsia="仿宋"/>
                <w:szCs w:val="21"/>
              </w:rPr>
              <w:t>37.8</w:t>
            </w:r>
          </w:p>
        </w:tc>
        <w:tc>
          <w:tcPr>
            <w:tcW w:w="209" w:type="pct"/>
            <w:vAlign w:val="center"/>
          </w:tcPr>
          <w:p w14:paraId="069D5A6F">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07862FE">
            <w:pPr>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70BAC534">
            <w:pPr>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10DF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C008673">
            <w:pPr>
              <w:adjustRightInd w:val="0"/>
              <w:snapToGrid w:val="0"/>
              <w:spacing w:line="320" w:lineRule="exact"/>
              <w:contextualSpacing/>
              <w:jc w:val="center"/>
              <w:rPr>
                <w:rFonts w:ascii="Times New Roman" w:eastAsia="仿宋"/>
                <w:szCs w:val="21"/>
              </w:rPr>
            </w:pPr>
          </w:p>
        </w:tc>
        <w:tc>
          <w:tcPr>
            <w:tcW w:w="618" w:type="pct"/>
            <w:vAlign w:val="center"/>
          </w:tcPr>
          <w:p w14:paraId="3744720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全氮(g/kg)</w:t>
            </w:r>
          </w:p>
        </w:tc>
        <w:tc>
          <w:tcPr>
            <w:tcW w:w="210" w:type="pct"/>
            <w:vAlign w:val="center"/>
          </w:tcPr>
          <w:p w14:paraId="658D380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1.24</w:t>
            </w:r>
          </w:p>
        </w:tc>
        <w:tc>
          <w:tcPr>
            <w:tcW w:w="209" w:type="pct"/>
            <w:vAlign w:val="center"/>
          </w:tcPr>
          <w:p w14:paraId="6B1E80B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73BE995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E40CD8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1.45</w:t>
            </w:r>
          </w:p>
        </w:tc>
        <w:tc>
          <w:tcPr>
            <w:tcW w:w="189" w:type="pct"/>
            <w:vAlign w:val="center"/>
          </w:tcPr>
          <w:p w14:paraId="4F474F9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516073A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E0B8F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2EC8C5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47E5098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0.69</w:t>
            </w:r>
          </w:p>
        </w:tc>
        <w:tc>
          <w:tcPr>
            <w:tcW w:w="189" w:type="pct"/>
            <w:vAlign w:val="center"/>
          </w:tcPr>
          <w:p w14:paraId="47B9FBC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00BA70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1573868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3213FE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2.23</w:t>
            </w:r>
          </w:p>
        </w:tc>
        <w:tc>
          <w:tcPr>
            <w:tcW w:w="210" w:type="pct"/>
            <w:vAlign w:val="center"/>
          </w:tcPr>
          <w:p w14:paraId="2C354FF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2BEAE2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3E2423F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6A020F3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1.89</w:t>
            </w:r>
          </w:p>
        </w:tc>
        <w:tc>
          <w:tcPr>
            <w:tcW w:w="209" w:type="pct"/>
            <w:vAlign w:val="center"/>
          </w:tcPr>
          <w:p w14:paraId="358252E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2C057819">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13EB381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4CAE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032C5EB6">
            <w:pPr>
              <w:adjustRightInd w:val="0"/>
              <w:snapToGrid w:val="0"/>
              <w:spacing w:line="320" w:lineRule="exact"/>
              <w:contextualSpacing/>
              <w:jc w:val="center"/>
              <w:rPr>
                <w:rFonts w:ascii="Times New Roman" w:eastAsia="仿宋"/>
                <w:szCs w:val="21"/>
              </w:rPr>
            </w:pPr>
          </w:p>
        </w:tc>
        <w:tc>
          <w:tcPr>
            <w:tcW w:w="618" w:type="pct"/>
            <w:vAlign w:val="center"/>
          </w:tcPr>
          <w:p w14:paraId="2A7FD6F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全磷(g/kg)</w:t>
            </w:r>
          </w:p>
        </w:tc>
        <w:tc>
          <w:tcPr>
            <w:tcW w:w="210" w:type="pct"/>
            <w:vAlign w:val="center"/>
          </w:tcPr>
          <w:p w14:paraId="364422B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36AEFA5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5A3F5DD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48E6D653">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0.4</w:t>
            </w:r>
          </w:p>
        </w:tc>
        <w:tc>
          <w:tcPr>
            <w:tcW w:w="189" w:type="pct"/>
            <w:vAlign w:val="center"/>
          </w:tcPr>
          <w:p w14:paraId="26E7037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6B9F70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48591C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4002283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061F479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DC0FEA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010F40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0655E40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2EFB0F8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1.17</w:t>
            </w:r>
          </w:p>
        </w:tc>
        <w:tc>
          <w:tcPr>
            <w:tcW w:w="210" w:type="pct"/>
            <w:vAlign w:val="center"/>
          </w:tcPr>
          <w:p w14:paraId="6E33886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D56E81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069A571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4B1BB4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0.78</w:t>
            </w:r>
          </w:p>
        </w:tc>
        <w:tc>
          <w:tcPr>
            <w:tcW w:w="209" w:type="pct"/>
            <w:vAlign w:val="center"/>
          </w:tcPr>
          <w:p w14:paraId="3F78D59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46E7C53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48EEC17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2040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1210176C">
            <w:pPr>
              <w:adjustRightInd w:val="0"/>
              <w:snapToGrid w:val="0"/>
              <w:spacing w:line="320" w:lineRule="exact"/>
              <w:contextualSpacing/>
              <w:jc w:val="center"/>
              <w:rPr>
                <w:rFonts w:ascii="Times New Roman" w:eastAsia="仿宋"/>
                <w:szCs w:val="21"/>
              </w:rPr>
            </w:pPr>
          </w:p>
        </w:tc>
        <w:tc>
          <w:tcPr>
            <w:tcW w:w="618" w:type="pct"/>
            <w:vAlign w:val="center"/>
          </w:tcPr>
          <w:p w14:paraId="0436727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全钾(g/kg)</w:t>
            </w:r>
          </w:p>
        </w:tc>
        <w:tc>
          <w:tcPr>
            <w:tcW w:w="210" w:type="pct"/>
            <w:vAlign w:val="center"/>
          </w:tcPr>
          <w:p w14:paraId="3D2D699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571C0D4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183D07C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9ADA5E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22.12</w:t>
            </w:r>
          </w:p>
        </w:tc>
        <w:tc>
          <w:tcPr>
            <w:tcW w:w="189" w:type="pct"/>
            <w:vAlign w:val="center"/>
          </w:tcPr>
          <w:p w14:paraId="555A5F9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2190A3B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7959319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1A19D93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6F2CF03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7</w:t>
            </w:r>
          </w:p>
        </w:tc>
        <w:tc>
          <w:tcPr>
            <w:tcW w:w="189" w:type="pct"/>
            <w:vAlign w:val="center"/>
          </w:tcPr>
          <w:p w14:paraId="2B09319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80FD35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3CDAD1C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23D6F1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16.93</w:t>
            </w:r>
          </w:p>
        </w:tc>
        <w:tc>
          <w:tcPr>
            <w:tcW w:w="210" w:type="pct"/>
            <w:vAlign w:val="center"/>
          </w:tcPr>
          <w:p w14:paraId="495E5A6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59815BCE">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6EB3A7E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1C9704F1">
            <w:pPr>
              <w:kinsoku w:val="0"/>
              <w:overflowPunct w:val="0"/>
              <w:adjustRightInd w:val="0"/>
              <w:snapToGrid w:val="0"/>
              <w:spacing w:line="320" w:lineRule="exact"/>
              <w:contextualSpacing/>
              <w:jc w:val="center"/>
              <w:rPr>
                <w:rFonts w:ascii="Times New Roman" w:eastAsia="仿宋"/>
                <w:szCs w:val="21"/>
              </w:rPr>
            </w:pPr>
          </w:p>
        </w:tc>
        <w:tc>
          <w:tcPr>
            <w:tcW w:w="209" w:type="pct"/>
            <w:vAlign w:val="center"/>
          </w:tcPr>
          <w:p w14:paraId="4962C87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0BCECE5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25E7D7E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r w14:paraId="5CAC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6" w:type="pct"/>
            <w:vMerge w:val="continue"/>
            <w:vAlign w:val="center"/>
          </w:tcPr>
          <w:p w14:paraId="4A8C9AC5">
            <w:pPr>
              <w:adjustRightInd w:val="0"/>
              <w:snapToGrid w:val="0"/>
              <w:spacing w:line="320" w:lineRule="exact"/>
              <w:contextualSpacing/>
              <w:jc w:val="center"/>
              <w:rPr>
                <w:rFonts w:ascii="Times New Roman" w:eastAsia="仿宋"/>
                <w:szCs w:val="21"/>
              </w:rPr>
            </w:pPr>
          </w:p>
        </w:tc>
        <w:tc>
          <w:tcPr>
            <w:tcW w:w="618" w:type="pct"/>
            <w:vAlign w:val="center"/>
          </w:tcPr>
          <w:p w14:paraId="173984BA">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水提pH值</w:t>
            </w:r>
          </w:p>
        </w:tc>
        <w:tc>
          <w:tcPr>
            <w:tcW w:w="210" w:type="pct"/>
            <w:vAlign w:val="center"/>
          </w:tcPr>
          <w:p w14:paraId="7B9BEF3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5.4</w:t>
            </w:r>
          </w:p>
        </w:tc>
        <w:tc>
          <w:tcPr>
            <w:tcW w:w="209" w:type="pct"/>
            <w:vAlign w:val="center"/>
          </w:tcPr>
          <w:p w14:paraId="0C166E6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20" w:type="pct"/>
            <w:vAlign w:val="center"/>
          </w:tcPr>
          <w:p w14:paraId="5051770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18F6841">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6.3</w:t>
            </w:r>
          </w:p>
        </w:tc>
        <w:tc>
          <w:tcPr>
            <w:tcW w:w="189" w:type="pct"/>
            <w:vAlign w:val="center"/>
          </w:tcPr>
          <w:p w14:paraId="6C6644F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009F6A72">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69FB4E28">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5" w:type="pct"/>
            <w:vAlign w:val="center"/>
          </w:tcPr>
          <w:p w14:paraId="5ACBACB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7" w:type="pct"/>
            <w:vAlign w:val="center"/>
          </w:tcPr>
          <w:p w14:paraId="5440FE00">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189" w:type="pct"/>
            <w:vAlign w:val="center"/>
          </w:tcPr>
          <w:p w14:paraId="3A38443C">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0634853F">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1" w:type="pct"/>
            <w:vAlign w:val="center"/>
          </w:tcPr>
          <w:p w14:paraId="370148F5">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7A641D1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5.9</w:t>
            </w:r>
          </w:p>
        </w:tc>
        <w:tc>
          <w:tcPr>
            <w:tcW w:w="210" w:type="pct"/>
            <w:vAlign w:val="center"/>
          </w:tcPr>
          <w:p w14:paraId="09834FF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3FFCB2D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3" w:type="pct"/>
            <w:vAlign w:val="center"/>
          </w:tcPr>
          <w:p w14:paraId="21052DD4">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10" w:type="pct"/>
            <w:vAlign w:val="center"/>
          </w:tcPr>
          <w:p w14:paraId="42F867A6">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6.6</w:t>
            </w:r>
          </w:p>
        </w:tc>
        <w:tc>
          <w:tcPr>
            <w:tcW w:w="209" w:type="pct"/>
            <w:vAlign w:val="center"/>
          </w:tcPr>
          <w:p w14:paraId="64A61287">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9" w:type="pct"/>
            <w:vAlign w:val="center"/>
          </w:tcPr>
          <w:p w14:paraId="7DD026DD">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c>
          <w:tcPr>
            <w:tcW w:w="208" w:type="pct"/>
            <w:vAlign w:val="center"/>
          </w:tcPr>
          <w:p w14:paraId="0DEFEC2B">
            <w:pPr>
              <w:kinsoku w:val="0"/>
              <w:overflowPunct w:val="0"/>
              <w:adjustRightInd w:val="0"/>
              <w:snapToGrid w:val="0"/>
              <w:spacing w:line="320" w:lineRule="exact"/>
              <w:contextualSpacing/>
              <w:jc w:val="center"/>
              <w:rPr>
                <w:rFonts w:ascii="Times New Roman" w:eastAsia="仿宋"/>
                <w:szCs w:val="21"/>
              </w:rPr>
            </w:pPr>
            <w:r>
              <w:rPr>
                <w:rFonts w:ascii="Times New Roman" w:eastAsia="仿宋"/>
                <w:szCs w:val="21"/>
              </w:rPr>
              <w:t>/</w:t>
            </w:r>
          </w:p>
        </w:tc>
      </w:tr>
    </w:tbl>
    <w:p w14:paraId="0F7119C4">
      <w:pPr>
        <w:pStyle w:val="35"/>
      </w:pPr>
    </w:p>
    <w:p w14:paraId="592E1E33">
      <w:pPr>
        <w:pStyle w:val="35"/>
        <w:jc w:val="center"/>
        <w:sectPr>
          <w:pgSz w:w="16838" w:h="11906" w:orient="landscape"/>
          <w:pgMar w:top="1800" w:right="1440" w:bottom="1800" w:left="1440" w:header="851" w:footer="992" w:gutter="0"/>
          <w:cols w:space="720" w:num="1"/>
          <w:docGrid w:linePitch="326" w:charSpace="0"/>
        </w:sectPr>
      </w:pPr>
    </w:p>
    <w:p w14:paraId="282FF23C">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.2.6.2</w:t>
      </w:r>
      <w:r>
        <w:rPr>
          <w:rFonts w:hint="eastAsia" w:ascii="Times New Roman" w:hAnsi="Times New Roman" w:eastAsia="仿宋"/>
          <w:b/>
        </w:rPr>
        <w:t>土壤环境影响识别</w:t>
      </w:r>
    </w:p>
    <w:p w14:paraId="0B4C36DF">
      <w:pPr>
        <w:spacing w:line="500" w:lineRule="exact"/>
        <w:ind w:firstLine="560" w:firstLineChars="200"/>
        <w:jc w:val="left"/>
        <w:rPr>
          <w:rFonts w:ascii="Times New Roman" w:eastAsia="仿宋"/>
          <w:sz w:val="28"/>
          <w:szCs w:val="28"/>
        </w:rPr>
      </w:pPr>
      <w:r>
        <w:rPr>
          <w:rFonts w:ascii="Times New Roman" w:eastAsia="仿宋"/>
          <w:sz w:val="28"/>
          <w:szCs w:val="28"/>
        </w:rPr>
        <w:t>土壤是复杂的三相共存体系，其污染物质主要通过被污染大气的沉降、工业废水的漫流和入渗、以及固体废物通过大气迁移、扩散、沉降或降水淋溶、地表径流等而进入土壤环境。根据土壤污染物的来源不同，可将土壤污染影响型分为大气沉降型、地面漫流型及垂直入渗型。</w:t>
      </w:r>
    </w:p>
    <w:p w14:paraId="121F9528">
      <w:pPr>
        <w:spacing w:line="500" w:lineRule="exact"/>
        <w:ind w:firstLine="560" w:firstLineChars="200"/>
        <w:jc w:val="left"/>
        <w:rPr>
          <w:rFonts w:ascii="Times New Roman" w:eastAsia="仿宋"/>
          <w:sz w:val="28"/>
          <w:szCs w:val="28"/>
        </w:rPr>
      </w:pPr>
      <w:r>
        <w:rPr>
          <w:rFonts w:ascii="Times New Roman" w:eastAsia="仿宋"/>
          <w:sz w:val="28"/>
          <w:szCs w:val="28"/>
        </w:rPr>
        <w:t>本项目废水处理设施建设有调节池、沉淀池、絮凝池、混凝池等，若污水处理措施防渗措施不当，废水发生泄漏，可能会通过垂直入渗的形式渗入土壤。</w:t>
      </w:r>
    </w:p>
    <w:p w14:paraId="187C30E3">
      <w:pPr>
        <w:spacing w:line="500" w:lineRule="exact"/>
        <w:ind w:firstLine="560" w:firstLineChars="200"/>
        <w:jc w:val="left"/>
        <w:rPr>
          <w:rFonts w:ascii="Times New Roman" w:eastAsia="仿宋"/>
          <w:sz w:val="28"/>
          <w:szCs w:val="28"/>
        </w:rPr>
      </w:pPr>
      <w:r>
        <w:rPr>
          <w:rFonts w:ascii="Times New Roman" w:eastAsia="仿宋"/>
          <w:sz w:val="28"/>
          <w:szCs w:val="28"/>
        </w:rPr>
        <w:t>因此，项目运营期，该项目主要土壤影响类型为垂直入渗型。</w:t>
      </w:r>
    </w:p>
    <w:p w14:paraId="6381A978">
      <w:pPr>
        <w:spacing w:line="500" w:lineRule="exact"/>
        <w:jc w:val="center"/>
        <w:rPr>
          <w:rFonts w:ascii="Times New Roman" w:eastAsia="仿宋"/>
          <w:b/>
        </w:rPr>
      </w:pPr>
      <w:r>
        <w:rPr>
          <w:rFonts w:ascii="Times New Roman" w:eastAsia="仿宋"/>
          <w:b/>
        </w:rPr>
        <w:t>表5.2-41  建设项目土壤环境影响类型与影响途径表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1817"/>
        <w:gridCol w:w="1817"/>
        <w:gridCol w:w="1817"/>
        <w:gridCol w:w="886"/>
      </w:tblGrid>
      <w:tr w14:paraId="26E7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2" w:type="pct"/>
            <w:vMerge w:val="restart"/>
            <w:vAlign w:val="center"/>
          </w:tcPr>
          <w:p w14:paraId="633138E7">
            <w:pPr>
              <w:spacing w:line="320" w:lineRule="exact"/>
              <w:contextualSpacing/>
              <w:jc w:val="center"/>
              <w:rPr>
                <w:rFonts w:ascii="Times New Roman" w:eastAsia="仿宋"/>
                <w:szCs w:val="21"/>
              </w:rPr>
            </w:pPr>
            <w:r>
              <w:rPr>
                <w:rFonts w:ascii="Times New Roman" w:eastAsia="仿宋"/>
                <w:szCs w:val="21"/>
              </w:rPr>
              <w:t>不同时段</w:t>
            </w:r>
          </w:p>
        </w:tc>
        <w:tc>
          <w:tcPr>
            <w:tcW w:w="3718" w:type="pct"/>
            <w:gridSpan w:val="4"/>
            <w:vAlign w:val="center"/>
          </w:tcPr>
          <w:p w14:paraId="3205E2FD">
            <w:pPr>
              <w:spacing w:line="320" w:lineRule="exact"/>
              <w:contextualSpacing/>
              <w:jc w:val="center"/>
              <w:rPr>
                <w:rFonts w:ascii="Times New Roman" w:eastAsia="仿宋"/>
                <w:szCs w:val="21"/>
              </w:rPr>
            </w:pPr>
            <w:r>
              <w:rPr>
                <w:rFonts w:ascii="Times New Roman" w:eastAsia="仿宋"/>
                <w:szCs w:val="21"/>
              </w:rPr>
              <w:t>污染影响型</w:t>
            </w:r>
          </w:p>
        </w:tc>
      </w:tr>
      <w:tr w14:paraId="6CAC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14:paraId="22501A5C">
            <w:pPr>
              <w:spacing w:line="320" w:lineRule="exact"/>
              <w:contextualSpacing/>
              <w:jc w:val="center"/>
              <w:rPr>
                <w:rFonts w:ascii="Times New Roman" w:eastAsia="仿宋"/>
                <w:szCs w:val="21"/>
              </w:rPr>
            </w:pPr>
          </w:p>
        </w:tc>
        <w:tc>
          <w:tcPr>
            <w:tcW w:w="1066" w:type="pct"/>
            <w:vAlign w:val="center"/>
          </w:tcPr>
          <w:p w14:paraId="3794D927">
            <w:pPr>
              <w:spacing w:line="320" w:lineRule="exact"/>
              <w:contextualSpacing/>
              <w:jc w:val="center"/>
              <w:rPr>
                <w:rFonts w:ascii="Times New Roman" w:eastAsia="仿宋"/>
                <w:szCs w:val="21"/>
              </w:rPr>
            </w:pPr>
            <w:r>
              <w:rPr>
                <w:rFonts w:ascii="Times New Roman" w:eastAsia="仿宋"/>
                <w:szCs w:val="21"/>
              </w:rPr>
              <w:t>大气沉降</w:t>
            </w:r>
          </w:p>
        </w:tc>
        <w:tc>
          <w:tcPr>
            <w:tcW w:w="1066" w:type="pct"/>
            <w:vAlign w:val="center"/>
          </w:tcPr>
          <w:p w14:paraId="7D248EA1">
            <w:pPr>
              <w:spacing w:line="320" w:lineRule="exact"/>
              <w:contextualSpacing/>
              <w:jc w:val="center"/>
              <w:rPr>
                <w:rFonts w:ascii="Times New Roman" w:eastAsia="仿宋"/>
                <w:szCs w:val="21"/>
              </w:rPr>
            </w:pPr>
            <w:r>
              <w:rPr>
                <w:rFonts w:ascii="Times New Roman" w:eastAsia="仿宋"/>
                <w:szCs w:val="21"/>
              </w:rPr>
              <w:t>地面漫流</w:t>
            </w:r>
          </w:p>
        </w:tc>
        <w:tc>
          <w:tcPr>
            <w:tcW w:w="1066" w:type="pct"/>
            <w:vAlign w:val="center"/>
          </w:tcPr>
          <w:p w14:paraId="25CA38F1">
            <w:pPr>
              <w:spacing w:line="320" w:lineRule="exact"/>
              <w:contextualSpacing/>
              <w:jc w:val="center"/>
              <w:rPr>
                <w:rFonts w:ascii="Times New Roman" w:eastAsia="仿宋"/>
                <w:szCs w:val="21"/>
              </w:rPr>
            </w:pPr>
            <w:r>
              <w:rPr>
                <w:rFonts w:ascii="Times New Roman" w:eastAsia="仿宋"/>
                <w:szCs w:val="21"/>
              </w:rPr>
              <w:t>垂直入渗</w:t>
            </w:r>
          </w:p>
        </w:tc>
        <w:tc>
          <w:tcPr>
            <w:tcW w:w="519" w:type="pct"/>
            <w:vAlign w:val="center"/>
          </w:tcPr>
          <w:p w14:paraId="331B1BDD">
            <w:pPr>
              <w:spacing w:line="320" w:lineRule="exact"/>
              <w:contextualSpacing/>
              <w:jc w:val="center"/>
              <w:rPr>
                <w:rFonts w:ascii="Times New Roman" w:eastAsia="仿宋"/>
                <w:szCs w:val="21"/>
              </w:rPr>
            </w:pPr>
            <w:r>
              <w:rPr>
                <w:rFonts w:ascii="Times New Roman" w:eastAsia="仿宋"/>
                <w:szCs w:val="21"/>
              </w:rPr>
              <w:t>其他</w:t>
            </w:r>
          </w:p>
        </w:tc>
      </w:tr>
      <w:tr w14:paraId="1852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2" w:type="pct"/>
            <w:vAlign w:val="center"/>
          </w:tcPr>
          <w:p w14:paraId="15474486">
            <w:pPr>
              <w:spacing w:line="320" w:lineRule="exact"/>
              <w:contextualSpacing/>
              <w:jc w:val="center"/>
              <w:rPr>
                <w:rFonts w:ascii="Times New Roman" w:eastAsia="仿宋"/>
                <w:szCs w:val="21"/>
              </w:rPr>
            </w:pPr>
            <w:r>
              <w:rPr>
                <w:rFonts w:ascii="Times New Roman" w:eastAsia="仿宋"/>
                <w:szCs w:val="21"/>
              </w:rPr>
              <w:t>运营期</w:t>
            </w:r>
          </w:p>
        </w:tc>
        <w:tc>
          <w:tcPr>
            <w:tcW w:w="1066" w:type="pct"/>
            <w:vAlign w:val="center"/>
          </w:tcPr>
          <w:p w14:paraId="76C74074">
            <w:pPr>
              <w:spacing w:line="320" w:lineRule="exact"/>
              <w:contextualSpacing/>
              <w:jc w:val="center"/>
              <w:rPr>
                <w:rFonts w:ascii="Times New Roman" w:eastAsia="仿宋"/>
                <w:szCs w:val="21"/>
              </w:rPr>
            </w:pPr>
            <w:r>
              <w:rPr>
                <w:rFonts w:ascii="Times New Roman" w:eastAsia="仿宋"/>
                <w:szCs w:val="21"/>
              </w:rPr>
              <w:t>√</w:t>
            </w:r>
          </w:p>
        </w:tc>
        <w:tc>
          <w:tcPr>
            <w:tcW w:w="1066" w:type="pct"/>
            <w:vAlign w:val="center"/>
          </w:tcPr>
          <w:p w14:paraId="541D4F6D">
            <w:pPr>
              <w:spacing w:line="320" w:lineRule="exact"/>
              <w:contextualSpacing/>
              <w:jc w:val="center"/>
              <w:rPr>
                <w:rFonts w:ascii="Times New Roman" w:eastAsia="仿宋"/>
                <w:szCs w:val="21"/>
              </w:rPr>
            </w:pPr>
          </w:p>
        </w:tc>
        <w:tc>
          <w:tcPr>
            <w:tcW w:w="1066" w:type="pct"/>
            <w:vAlign w:val="center"/>
          </w:tcPr>
          <w:p w14:paraId="5BEECE68">
            <w:pPr>
              <w:spacing w:line="320" w:lineRule="exact"/>
              <w:ind w:firstLine="420"/>
              <w:contextualSpacing/>
              <w:jc w:val="center"/>
              <w:rPr>
                <w:rFonts w:ascii="Times New Roman" w:eastAsia="仿宋"/>
                <w:szCs w:val="21"/>
              </w:rPr>
            </w:pPr>
            <w:r>
              <w:rPr>
                <w:rFonts w:ascii="Times New Roman" w:eastAsia="仿宋"/>
                <w:szCs w:val="21"/>
              </w:rPr>
              <w:t>√</w:t>
            </w:r>
          </w:p>
        </w:tc>
        <w:tc>
          <w:tcPr>
            <w:tcW w:w="519" w:type="pct"/>
            <w:vAlign w:val="center"/>
          </w:tcPr>
          <w:p w14:paraId="3600C1C1">
            <w:pPr>
              <w:spacing w:line="320" w:lineRule="exact"/>
              <w:contextualSpacing/>
              <w:jc w:val="center"/>
              <w:rPr>
                <w:rFonts w:ascii="Times New Roman" w:eastAsia="仿宋"/>
                <w:szCs w:val="21"/>
              </w:rPr>
            </w:pPr>
          </w:p>
        </w:tc>
      </w:tr>
    </w:tbl>
    <w:p w14:paraId="6A7C16A7">
      <w:pPr>
        <w:spacing w:line="500" w:lineRule="exact"/>
        <w:jc w:val="center"/>
        <w:rPr>
          <w:rFonts w:ascii="Times New Roman" w:eastAsia="仿宋"/>
          <w:b/>
        </w:rPr>
      </w:pPr>
      <w:r>
        <w:rPr>
          <w:rFonts w:ascii="Times New Roman" w:eastAsia="仿宋"/>
          <w:b/>
        </w:rPr>
        <w:t>表5.2-42 污染影响型建设项目土壤环境影响源及影响因子识别表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611"/>
        <w:gridCol w:w="4004"/>
        <w:gridCol w:w="1749"/>
      </w:tblGrid>
      <w:tr w14:paraId="245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Align w:val="center"/>
          </w:tcPr>
          <w:p w14:paraId="265D0343">
            <w:pPr>
              <w:spacing w:line="320" w:lineRule="exact"/>
              <w:contextualSpacing/>
              <w:jc w:val="center"/>
              <w:rPr>
                <w:rFonts w:ascii="Times New Roman" w:eastAsia="仿宋"/>
                <w:szCs w:val="21"/>
              </w:rPr>
            </w:pPr>
            <w:r>
              <w:rPr>
                <w:rFonts w:ascii="Times New Roman" w:eastAsia="仿宋"/>
                <w:szCs w:val="21"/>
              </w:rPr>
              <w:t>污染源</w:t>
            </w:r>
          </w:p>
        </w:tc>
        <w:tc>
          <w:tcPr>
            <w:tcW w:w="945" w:type="pct"/>
            <w:vAlign w:val="center"/>
          </w:tcPr>
          <w:p w14:paraId="47E1916B">
            <w:pPr>
              <w:spacing w:line="320" w:lineRule="exact"/>
              <w:contextualSpacing/>
              <w:jc w:val="center"/>
              <w:rPr>
                <w:rFonts w:ascii="Times New Roman" w:eastAsia="仿宋"/>
                <w:szCs w:val="21"/>
              </w:rPr>
            </w:pPr>
            <w:r>
              <w:rPr>
                <w:rFonts w:ascii="Times New Roman" w:eastAsia="仿宋"/>
                <w:szCs w:val="21"/>
              </w:rPr>
              <w:t>污染途径</w:t>
            </w:r>
          </w:p>
        </w:tc>
        <w:tc>
          <w:tcPr>
            <w:tcW w:w="2349" w:type="pct"/>
            <w:vAlign w:val="center"/>
          </w:tcPr>
          <w:p w14:paraId="128DBF2C">
            <w:pPr>
              <w:spacing w:line="320" w:lineRule="exact"/>
              <w:contextualSpacing/>
              <w:jc w:val="center"/>
              <w:rPr>
                <w:rFonts w:ascii="Times New Roman" w:eastAsia="仿宋"/>
                <w:szCs w:val="21"/>
              </w:rPr>
            </w:pPr>
            <w:r>
              <w:rPr>
                <w:rFonts w:ascii="Times New Roman" w:eastAsia="仿宋"/>
                <w:szCs w:val="21"/>
              </w:rPr>
              <w:t>全部污染物指标</w:t>
            </w:r>
          </w:p>
        </w:tc>
        <w:tc>
          <w:tcPr>
            <w:tcW w:w="1026" w:type="pct"/>
            <w:vAlign w:val="center"/>
          </w:tcPr>
          <w:p w14:paraId="4D9ABBD3">
            <w:pPr>
              <w:spacing w:line="320" w:lineRule="exact"/>
              <w:contextualSpacing/>
              <w:jc w:val="center"/>
              <w:rPr>
                <w:rFonts w:ascii="Times New Roman" w:eastAsia="仿宋"/>
                <w:szCs w:val="21"/>
              </w:rPr>
            </w:pPr>
            <w:r>
              <w:rPr>
                <w:rFonts w:ascii="Times New Roman" w:eastAsia="仿宋"/>
                <w:szCs w:val="21"/>
              </w:rPr>
              <w:t>特征因子</w:t>
            </w:r>
          </w:p>
        </w:tc>
      </w:tr>
      <w:tr w14:paraId="3B04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Merge w:val="restart"/>
            <w:vAlign w:val="center"/>
          </w:tcPr>
          <w:p w14:paraId="40F7C668">
            <w:pPr>
              <w:spacing w:line="320" w:lineRule="exact"/>
              <w:contextualSpacing/>
              <w:jc w:val="center"/>
              <w:rPr>
                <w:rFonts w:ascii="Times New Roman" w:eastAsia="仿宋"/>
                <w:szCs w:val="21"/>
              </w:rPr>
            </w:pPr>
            <w:r>
              <w:rPr>
                <w:rFonts w:ascii="Times New Roman" w:eastAsia="仿宋"/>
                <w:szCs w:val="21"/>
              </w:rPr>
              <w:t>生产项目</w:t>
            </w:r>
          </w:p>
        </w:tc>
        <w:tc>
          <w:tcPr>
            <w:tcW w:w="945" w:type="pct"/>
            <w:vAlign w:val="center"/>
          </w:tcPr>
          <w:p w14:paraId="181CF008">
            <w:pPr>
              <w:spacing w:line="320" w:lineRule="exact"/>
              <w:contextualSpacing/>
              <w:jc w:val="center"/>
              <w:rPr>
                <w:rFonts w:ascii="Times New Roman" w:eastAsia="仿宋"/>
                <w:szCs w:val="21"/>
              </w:rPr>
            </w:pPr>
            <w:r>
              <w:rPr>
                <w:rFonts w:ascii="Times New Roman" w:eastAsia="仿宋"/>
                <w:szCs w:val="21"/>
              </w:rPr>
              <w:t>大气沉降</w:t>
            </w:r>
          </w:p>
        </w:tc>
        <w:tc>
          <w:tcPr>
            <w:tcW w:w="2349" w:type="pct"/>
            <w:vAlign w:val="center"/>
          </w:tcPr>
          <w:p w14:paraId="5437D44F">
            <w:pPr>
              <w:spacing w:line="320" w:lineRule="exact"/>
              <w:contextualSpacing/>
              <w:jc w:val="center"/>
              <w:rPr>
                <w:rFonts w:ascii="Times New Roman" w:eastAsia="仿宋"/>
                <w:szCs w:val="21"/>
              </w:rPr>
            </w:pPr>
            <w:r>
              <w:rPr>
                <w:rFonts w:hint="eastAsia" w:ascii="Times New Roman" w:eastAsia="仿宋"/>
                <w:szCs w:val="21"/>
              </w:rPr>
              <w:t>非甲烷总烃</w:t>
            </w:r>
          </w:p>
        </w:tc>
        <w:tc>
          <w:tcPr>
            <w:tcW w:w="1026" w:type="pct"/>
            <w:vAlign w:val="center"/>
          </w:tcPr>
          <w:p w14:paraId="240B559C">
            <w:pPr>
              <w:spacing w:line="320" w:lineRule="exact"/>
              <w:contextualSpacing/>
              <w:jc w:val="center"/>
              <w:rPr>
                <w:rFonts w:ascii="Times New Roman" w:eastAsia="仿宋"/>
                <w:szCs w:val="21"/>
              </w:rPr>
            </w:pPr>
            <w:r>
              <w:rPr>
                <w:rFonts w:ascii="Times New Roman" w:eastAsia="仿宋"/>
                <w:szCs w:val="21"/>
              </w:rPr>
              <w:t>无</w:t>
            </w:r>
          </w:p>
        </w:tc>
      </w:tr>
      <w:tr w14:paraId="6189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Merge w:val="continue"/>
            <w:vAlign w:val="center"/>
          </w:tcPr>
          <w:p w14:paraId="1B556DC4">
            <w:pPr>
              <w:spacing w:line="320" w:lineRule="exact"/>
              <w:contextualSpacing/>
              <w:jc w:val="center"/>
              <w:rPr>
                <w:rFonts w:ascii="Times New Roman" w:eastAsia="仿宋"/>
                <w:szCs w:val="21"/>
              </w:rPr>
            </w:pPr>
          </w:p>
        </w:tc>
        <w:tc>
          <w:tcPr>
            <w:tcW w:w="945" w:type="pct"/>
            <w:vAlign w:val="center"/>
          </w:tcPr>
          <w:p w14:paraId="073047BC">
            <w:pPr>
              <w:spacing w:line="320" w:lineRule="exact"/>
              <w:contextualSpacing/>
              <w:jc w:val="center"/>
              <w:rPr>
                <w:rFonts w:ascii="Times New Roman" w:eastAsia="仿宋"/>
                <w:szCs w:val="21"/>
              </w:rPr>
            </w:pPr>
            <w:r>
              <w:rPr>
                <w:rFonts w:ascii="Times New Roman" w:eastAsia="仿宋"/>
                <w:szCs w:val="21"/>
              </w:rPr>
              <w:t>地面漫流</w:t>
            </w:r>
          </w:p>
        </w:tc>
        <w:tc>
          <w:tcPr>
            <w:tcW w:w="2349" w:type="pct"/>
            <w:vAlign w:val="center"/>
          </w:tcPr>
          <w:p w14:paraId="45684936">
            <w:pPr>
              <w:spacing w:line="320" w:lineRule="exact"/>
              <w:contextualSpacing/>
              <w:jc w:val="center"/>
              <w:rPr>
                <w:rFonts w:ascii="Times New Roman" w:eastAsia="仿宋"/>
                <w:szCs w:val="21"/>
              </w:rPr>
            </w:pPr>
            <w:r>
              <w:rPr>
                <w:rFonts w:ascii="Times New Roman" w:eastAsia="仿宋"/>
                <w:szCs w:val="21"/>
              </w:rPr>
              <w:t>/</w:t>
            </w:r>
          </w:p>
        </w:tc>
        <w:tc>
          <w:tcPr>
            <w:tcW w:w="1026" w:type="pct"/>
            <w:vAlign w:val="center"/>
          </w:tcPr>
          <w:p w14:paraId="232C8CFA">
            <w:pPr>
              <w:spacing w:line="320" w:lineRule="exact"/>
              <w:contextualSpacing/>
              <w:jc w:val="center"/>
              <w:rPr>
                <w:rFonts w:ascii="Times New Roman" w:eastAsia="仿宋"/>
                <w:szCs w:val="21"/>
              </w:rPr>
            </w:pPr>
            <w:r>
              <w:rPr>
                <w:rFonts w:ascii="Times New Roman" w:eastAsia="仿宋"/>
                <w:szCs w:val="21"/>
              </w:rPr>
              <w:t>/</w:t>
            </w:r>
          </w:p>
        </w:tc>
      </w:tr>
      <w:tr w14:paraId="6D9F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Merge w:val="continue"/>
            <w:vAlign w:val="center"/>
          </w:tcPr>
          <w:p w14:paraId="6DE4D57B">
            <w:pPr>
              <w:spacing w:line="320" w:lineRule="exact"/>
              <w:contextualSpacing/>
              <w:jc w:val="center"/>
              <w:rPr>
                <w:rFonts w:ascii="Times New Roman" w:eastAsia="仿宋"/>
                <w:szCs w:val="21"/>
              </w:rPr>
            </w:pPr>
          </w:p>
        </w:tc>
        <w:tc>
          <w:tcPr>
            <w:tcW w:w="945" w:type="pct"/>
            <w:vAlign w:val="center"/>
          </w:tcPr>
          <w:p w14:paraId="63C981A5">
            <w:pPr>
              <w:spacing w:line="320" w:lineRule="exact"/>
              <w:contextualSpacing/>
              <w:jc w:val="center"/>
              <w:rPr>
                <w:rFonts w:ascii="Times New Roman" w:eastAsia="仿宋"/>
                <w:szCs w:val="21"/>
              </w:rPr>
            </w:pPr>
            <w:r>
              <w:rPr>
                <w:rFonts w:ascii="Times New Roman" w:eastAsia="仿宋"/>
                <w:szCs w:val="21"/>
              </w:rPr>
              <w:t>垂直入渗</w:t>
            </w:r>
          </w:p>
        </w:tc>
        <w:tc>
          <w:tcPr>
            <w:tcW w:w="2349" w:type="pct"/>
            <w:vAlign w:val="center"/>
          </w:tcPr>
          <w:p w14:paraId="7F61E683">
            <w:pPr>
              <w:spacing w:line="320" w:lineRule="exact"/>
              <w:contextualSpacing/>
              <w:jc w:val="center"/>
              <w:rPr>
                <w:rFonts w:ascii="Times New Roman" w:eastAsia="仿宋"/>
                <w:szCs w:val="21"/>
              </w:rPr>
            </w:pPr>
            <w:bookmarkStart w:id="372" w:name="_Hlk57280707"/>
            <w:r>
              <w:rPr>
                <w:rFonts w:ascii="Times New Roman" w:eastAsia="仿宋"/>
                <w:szCs w:val="21"/>
              </w:rPr>
              <w:t>COD、氨氮、</w:t>
            </w:r>
            <w:bookmarkEnd w:id="372"/>
            <w:r>
              <w:rPr>
                <w:rFonts w:hint="eastAsia" w:ascii="Times New Roman" w:eastAsia="仿宋"/>
                <w:szCs w:val="21"/>
              </w:rPr>
              <w:t>T</w:t>
            </w:r>
            <w:r>
              <w:rPr>
                <w:rFonts w:ascii="Times New Roman" w:eastAsia="仿宋"/>
                <w:szCs w:val="21"/>
              </w:rPr>
              <w:t>N</w:t>
            </w:r>
            <w:r>
              <w:rPr>
                <w:rFonts w:hint="eastAsia" w:ascii="Times New Roman" w:eastAsia="仿宋"/>
                <w:szCs w:val="21"/>
              </w:rPr>
              <w:t>、T</w:t>
            </w:r>
            <w:r>
              <w:rPr>
                <w:rFonts w:ascii="Times New Roman" w:eastAsia="仿宋"/>
                <w:szCs w:val="21"/>
              </w:rPr>
              <w:t>P</w:t>
            </w:r>
          </w:p>
        </w:tc>
        <w:tc>
          <w:tcPr>
            <w:tcW w:w="1026" w:type="pct"/>
            <w:vAlign w:val="center"/>
          </w:tcPr>
          <w:p w14:paraId="2F57D896">
            <w:pPr>
              <w:spacing w:line="320" w:lineRule="exact"/>
              <w:contextualSpacing/>
              <w:jc w:val="center"/>
              <w:rPr>
                <w:rFonts w:ascii="Times New Roman" w:eastAsia="仿宋"/>
                <w:szCs w:val="21"/>
              </w:rPr>
            </w:pPr>
            <w:r>
              <w:rPr>
                <w:rFonts w:hint="eastAsia" w:ascii="Times New Roman" w:eastAsia="仿宋"/>
                <w:szCs w:val="21"/>
              </w:rPr>
              <w:t>/</w:t>
            </w:r>
          </w:p>
        </w:tc>
      </w:tr>
      <w:tr w14:paraId="61EA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pct"/>
            <w:vMerge w:val="continue"/>
            <w:vAlign w:val="center"/>
          </w:tcPr>
          <w:p w14:paraId="1786B44C">
            <w:pPr>
              <w:spacing w:line="320" w:lineRule="exact"/>
              <w:contextualSpacing/>
              <w:jc w:val="center"/>
              <w:rPr>
                <w:rFonts w:ascii="Times New Roman" w:eastAsia="仿宋"/>
                <w:szCs w:val="21"/>
              </w:rPr>
            </w:pPr>
          </w:p>
        </w:tc>
        <w:tc>
          <w:tcPr>
            <w:tcW w:w="945" w:type="pct"/>
            <w:vAlign w:val="center"/>
          </w:tcPr>
          <w:p w14:paraId="0B55189B">
            <w:pPr>
              <w:spacing w:line="320" w:lineRule="exact"/>
              <w:contextualSpacing/>
              <w:jc w:val="center"/>
              <w:rPr>
                <w:rFonts w:ascii="Times New Roman" w:eastAsia="仿宋"/>
                <w:szCs w:val="21"/>
              </w:rPr>
            </w:pPr>
            <w:r>
              <w:rPr>
                <w:rFonts w:ascii="Times New Roman" w:eastAsia="仿宋"/>
                <w:szCs w:val="21"/>
              </w:rPr>
              <w:t>其他</w:t>
            </w:r>
          </w:p>
        </w:tc>
        <w:tc>
          <w:tcPr>
            <w:tcW w:w="2349" w:type="pct"/>
            <w:vAlign w:val="center"/>
          </w:tcPr>
          <w:p w14:paraId="5152871C">
            <w:pPr>
              <w:spacing w:line="320" w:lineRule="exact"/>
              <w:contextualSpacing/>
              <w:jc w:val="center"/>
              <w:rPr>
                <w:rFonts w:ascii="Times New Roman" w:eastAsia="仿宋"/>
                <w:szCs w:val="21"/>
              </w:rPr>
            </w:pPr>
            <w:r>
              <w:rPr>
                <w:rFonts w:ascii="Times New Roman" w:eastAsia="仿宋"/>
                <w:szCs w:val="21"/>
              </w:rPr>
              <w:t>/</w:t>
            </w:r>
          </w:p>
        </w:tc>
        <w:tc>
          <w:tcPr>
            <w:tcW w:w="1026" w:type="pct"/>
            <w:vAlign w:val="center"/>
          </w:tcPr>
          <w:p w14:paraId="667EC596">
            <w:pPr>
              <w:spacing w:line="320" w:lineRule="exact"/>
              <w:contextualSpacing/>
              <w:jc w:val="center"/>
              <w:rPr>
                <w:rFonts w:ascii="Times New Roman" w:eastAsia="仿宋"/>
                <w:szCs w:val="21"/>
              </w:rPr>
            </w:pPr>
            <w:r>
              <w:rPr>
                <w:rFonts w:ascii="Times New Roman" w:eastAsia="仿宋"/>
                <w:szCs w:val="21"/>
              </w:rPr>
              <w:t>/</w:t>
            </w:r>
          </w:p>
        </w:tc>
      </w:tr>
    </w:tbl>
    <w:p w14:paraId="2DE0382A">
      <w:pPr>
        <w:pStyle w:val="7"/>
        <w:keepLines w:val="0"/>
        <w:widowControl/>
        <w:tabs>
          <w:tab w:val="left" w:pos="0"/>
        </w:tabs>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.2.6.3</w:t>
      </w:r>
      <w:r>
        <w:rPr>
          <w:rFonts w:hint="eastAsia" w:ascii="Times New Roman" w:hAnsi="Times New Roman" w:eastAsia="仿宋"/>
          <w:b/>
        </w:rPr>
        <w:t>基础信息</w:t>
      </w:r>
    </w:p>
    <w:p w14:paraId="4D1481F6">
      <w:pPr>
        <w:spacing w:line="500" w:lineRule="exact"/>
        <w:ind w:firstLine="560" w:firstLineChars="200"/>
        <w:jc w:val="left"/>
        <w:rPr>
          <w:rFonts w:ascii="Times New Roman" w:eastAsia="仿宋"/>
          <w:sz w:val="28"/>
          <w:szCs w:val="28"/>
        </w:rPr>
      </w:pPr>
      <w:r>
        <w:rPr>
          <w:rFonts w:ascii="Times New Roman" w:eastAsia="仿宋"/>
          <w:sz w:val="28"/>
          <w:szCs w:val="28"/>
        </w:rPr>
        <w:t>根据《环境影响评价技术导则 土壤环境（试行）》（HJ964-2018），确定本项目土壤环境影响评价范围为项目厂界内以及厂界外扩</w:t>
      </w:r>
      <w:r>
        <w:rPr>
          <w:rFonts w:hint="eastAsia" w:ascii="Times New Roman" w:eastAsia="仿宋"/>
          <w:sz w:val="28"/>
          <w:szCs w:val="28"/>
        </w:rPr>
        <w:t>0.2</w:t>
      </w:r>
      <w:r>
        <w:rPr>
          <w:rFonts w:ascii="Times New Roman" w:eastAsia="仿宋"/>
          <w:sz w:val="28"/>
          <w:szCs w:val="28"/>
        </w:rPr>
        <w:t>km的范围。</w:t>
      </w:r>
    </w:p>
    <w:p w14:paraId="2FC28A76">
      <w:pPr>
        <w:spacing w:line="500" w:lineRule="exact"/>
        <w:ind w:firstLine="560" w:firstLineChars="200"/>
        <w:jc w:val="left"/>
        <w:rPr>
          <w:rFonts w:ascii="Times New Roman" w:eastAsia="仿宋"/>
          <w:sz w:val="28"/>
          <w:szCs w:val="28"/>
        </w:rPr>
      </w:pPr>
      <w:r>
        <w:rPr>
          <w:rFonts w:hint="eastAsia" w:ascii="Times New Roman" w:eastAsia="仿宋"/>
          <w:sz w:val="28"/>
          <w:szCs w:val="28"/>
        </w:rPr>
        <w:t>①</w:t>
      </w:r>
      <w:r>
        <w:rPr>
          <w:rFonts w:ascii="Times New Roman" w:eastAsia="仿宋"/>
          <w:sz w:val="28"/>
          <w:szCs w:val="28"/>
        </w:rPr>
        <w:t>评价范围内土地使用历史回顾</w:t>
      </w:r>
    </w:p>
    <w:p w14:paraId="71C52411">
      <w:pPr>
        <w:spacing w:line="500" w:lineRule="exact"/>
        <w:ind w:firstLine="560" w:firstLineChars="200"/>
        <w:jc w:val="left"/>
        <w:rPr>
          <w:rFonts w:ascii="Times New Roman" w:eastAsia="仿宋"/>
          <w:sz w:val="28"/>
          <w:szCs w:val="28"/>
        </w:rPr>
      </w:pPr>
      <w:r>
        <w:rPr>
          <w:rFonts w:ascii="Times New Roman" w:eastAsia="仿宋"/>
          <w:sz w:val="28"/>
          <w:szCs w:val="28"/>
        </w:rPr>
        <w:t>评价范围内土地利用类型主要以工业用地为主。根据本地块的土壤检测报告：地块土壤样品检出因子浓度符合《土壤环境质量 建设用地土壤污染风险管控标准（试行）》（GB36600-2018）第二类用地筛选值标准。土地利用历史影像见下图。</w:t>
      </w:r>
    </w:p>
    <w:p w14:paraId="32F59A6B">
      <w:pPr>
        <w:autoSpaceDE w:val="0"/>
        <w:autoSpaceDN w:val="0"/>
        <w:adjustRightInd w:val="0"/>
        <w:jc w:val="center"/>
        <w:rPr>
          <w:rFonts w:ascii="Times New Roman" w:eastAsia="仿宋"/>
          <w:sz w:val="28"/>
          <w:szCs w:val="21"/>
        </w:rPr>
      </w:pPr>
      <w:r>
        <w:rPr>
          <w:rFonts w:ascii="Times New Roman" w:eastAsia="仿宋"/>
          <w:sz w:val="28"/>
          <w:szCs w:val="21"/>
        </w:rPr>
        <w:drawing>
          <wp:inline distT="0" distB="0" distL="0" distR="0">
            <wp:extent cx="5274310" cy="3787140"/>
            <wp:effectExtent l="0" t="0" r="2540" b="3810"/>
            <wp:docPr id="3" name="图片 3" descr="C:\Users\ADMINI~1\AppData\Local\Temp\WeChat Files\6541f6f85ef70e3be00439beab00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6541f6f85ef70e3be00439beab00c8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74310" cy="3787716"/>
                    </a:xfrm>
                    <a:prstGeom prst="rect">
                      <a:avLst/>
                    </a:prstGeom>
                    <a:noFill/>
                    <a:ln>
                      <a:noFill/>
                    </a:ln>
                  </pic:spPr>
                </pic:pic>
              </a:graphicData>
            </a:graphic>
          </wp:inline>
        </w:drawing>
      </w:r>
    </w:p>
    <w:p w14:paraId="21E88006">
      <w:pPr>
        <w:autoSpaceDE w:val="0"/>
        <w:autoSpaceDN w:val="0"/>
        <w:adjustRightInd w:val="0"/>
        <w:jc w:val="center"/>
        <w:rPr>
          <w:rFonts w:ascii="Times New Roman" w:eastAsia="仿宋"/>
          <w:b/>
          <w:sz w:val="28"/>
          <w:szCs w:val="21"/>
        </w:rPr>
      </w:pPr>
      <w:r>
        <w:rPr>
          <w:rFonts w:ascii="Times New Roman" w:eastAsia="仿宋"/>
          <w:b/>
        </w:rPr>
        <w:t>图5.2-15  本项目土地</w:t>
      </w:r>
      <w:r>
        <w:rPr>
          <w:rFonts w:hint="eastAsia" w:ascii="Times New Roman" w:eastAsia="仿宋"/>
          <w:b/>
        </w:rPr>
        <w:t>历史影像图</w:t>
      </w:r>
    </w:p>
    <w:p w14:paraId="0366A0F5">
      <w:pPr>
        <w:pStyle w:val="7"/>
        <w:keepLines w:val="0"/>
        <w:widowControl/>
        <w:tabs>
          <w:tab w:val="left" w:pos="0"/>
        </w:tabs>
        <w:adjustRightInd w:val="0"/>
        <w:snapToGrid w:val="0"/>
        <w:spacing w:after="120" w:afterLines="50"/>
        <w:jc w:val="left"/>
        <w:rPr>
          <w:rFonts w:ascii="Times New Roman" w:hAnsi="Times New Roman" w:eastAsia="仿宋"/>
          <w:b/>
        </w:rPr>
      </w:pPr>
      <w:r>
        <w:rPr>
          <w:rFonts w:ascii="Times New Roman" w:hAnsi="Times New Roman" w:eastAsia="仿宋"/>
          <w:b/>
        </w:rPr>
        <w:br w:type="page"/>
      </w:r>
      <w:r>
        <w:rPr>
          <w:rFonts w:ascii="Times New Roman" w:hAnsi="Times New Roman" w:eastAsia="仿宋"/>
          <w:b/>
        </w:rPr>
        <w:t>5.2.6.4土壤环境影响评价</w:t>
      </w:r>
    </w:p>
    <w:p w14:paraId="02375BDA">
      <w:pPr>
        <w:spacing w:line="500" w:lineRule="exact"/>
        <w:ind w:firstLine="562" w:firstLineChars="200"/>
        <w:jc w:val="left"/>
        <w:rPr>
          <w:rFonts w:ascii="Times New Roman" w:eastAsia="仿宋"/>
          <w:b/>
          <w:sz w:val="28"/>
          <w:szCs w:val="28"/>
        </w:rPr>
      </w:pPr>
      <w:r>
        <w:rPr>
          <w:rFonts w:ascii="Times New Roman" w:eastAsia="仿宋"/>
          <w:b/>
          <w:sz w:val="28"/>
          <w:szCs w:val="28"/>
        </w:rPr>
        <w:t>一、预测范围</w:t>
      </w:r>
    </w:p>
    <w:p w14:paraId="78771F10">
      <w:pPr>
        <w:spacing w:line="500" w:lineRule="exact"/>
        <w:ind w:firstLine="560" w:firstLineChars="200"/>
        <w:jc w:val="left"/>
        <w:rPr>
          <w:rFonts w:ascii="Times New Roman" w:eastAsia="仿宋"/>
          <w:sz w:val="28"/>
          <w:szCs w:val="28"/>
        </w:rPr>
      </w:pPr>
      <w:r>
        <w:rPr>
          <w:rFonts w:ascii="Times New Roman" w:eastAsia="仿宋"/>
          <w:sz w:val="28"/>
          <w:szCs w:val="28"/>
        </w:rPr>
        <w:t>土壤环境影响预测范围与现状调查评价范围一致，厂区范围内及周边0.2km范围。</w:t>
      </w:r>
    </w:p>
    <w:p w14:paraId="16928B27">
      <w:pPr>
        <w:spacing w:line="500" w:lineRule="exact"/>
        <w:ind w:firstLine="562" w:firstLineChars="200"/>
        <w:jc w:val="left"/>
        <w:rPr>
          <w:rFonts w:ascii="Times New Roman" w:eastAsia="仿宋"/>
          <w:b/>
          <w:sz w:val="28"/>
          <w:szCs w:val="28"/>
        </w:rPr>
      </w:pPr>
      <w:r>
        <w:rPr>
          <w:rFonts w:ascii="Times New Roman" w:eastAsia="仿宋"/>
          <w:b/>
          <w:sz w:val="28"/>
          <w:szCs w:val="28"/>
        </w:rPr>
        <w:t>二、预测时段</w:t>
      </w:r>
    </w:p>
    <w:p w14:paraId="07992E90">
      <w:pPr>
        <w:spacing w:line="500" w:lineRule="exact"/>
        <w:ind w:firstLine="560" w:firstLineChars="200"/>
        <w:jc w:val="left"/>
        <w:rPr>
          <w:rFonts w:ascii="Times New Roman" w:eastAsia="仿宋"/>
          <w:sz w:val="28"/>
          <w:szCs w:val="28"/>
        </w:rPr>
      </w:pPr>
      <w:r>
        <w:rPr>
          <w:rFonts w:ascii="Times New Roman" w:eastAsia="仿宋"/>
          <w:sz w:val="28"/>
          <w:szCs w:val="28"/>
        </w:rPr>
        <w:t>预测时段设定为大气沉降发生后的10年、20年、30年。</w:t>
      </w:r>
    </w:p>
    <w:p w14:paraId="787E62EE">
      <w:pPr>
        <w:spacing w:line="500" w:lineRule="exact"/>
        <w:ind w:firstLine="562" w:firstLineChars="200"/>
        <w:jc w:val="left"/>
        <w:rPr>
          <w:rFonts w:ascii="Times New Roman" w:eastAsia="仿宋"/>
          <w:b/>
          <w:sz w:val="28"/>
          <w:szCs w:val="28"/>
        </w:rPr>
      </w:pPr>
      <w:r>
        <w:rPr>
          <w:rFonts w:ascii="Times New Roman" w:eastAsia="仿宋"/>
          <w:b/>
          <w:sz w:val="28"/>
          <w:szCs w:val="28"/>
        </w:rPr>
        <w:t>三、预测情景</w:t>
      </w:r>
    </w:p>
    <w:p w14:paraId="15CC2F9A">
      <w:pPr>
        <w:spacing w:line="500" w:lineRule="exact"/>
        <w:ind w:firstLine="560" w:firstLineChars="200"/>
        <w:jc w:val="left"/>
        <w:rPr>
          <w:rFonts w:ascii="Times New Roman" w:eastAsia="仿宋"/>
          <w:sz w:val="28"/>
          <w:szCs w:val="28"/>
        </w:rPr>
      </w:pPr>
      <w:r>
        <w:rPr>
          <w:rFonts w:ascii="Times New Roman" w:eastAsia="仿宋"/>
          <w:sz w:val="28"/>
          <w:szCs w:val="28"/>
        </w:rPr>
        <w:t>本次评价的土壤污染事故情景确定为：大气污染物持续排放，大气沉降对土壤的影响。</w:t>
      </w:r>
    </w:p>
    <w:p w14:paraId="7A51F228">
      <w:pPr>
        <w:spacing w:line="500" w:lineRule="exact"/>
        <w:ind w:firstLine="562" w:firstLineChars="200"/>
        <w:jc w:val="left"/>
        <w:rPr>
          <w:rFonts w:ascii="Times New Roman" w:eastAsia="仿宋"/>
          <w:b/>
          <w:sz w:val="28"/>
          <w:szCs w:val="28"/>
        </w:rPr>
      </w:pPr>
      <w:r>
        <w:rPr>
          <w:rFonts w:ascii="Times New Roman" w:eastAsia="仿宋"/>
          <w:b/>
          <w:sz w:val="28"/>
          <w:szCs w:val="28"/>
        </w:rPr>
        <w:t>四、预测因子</w:t>
      </w:r>
    </w:p>
    <w:p w14:paraId="1C773E54">
      <w:pPr>
        <w:spacing w:line="500" w:lineRule="exact"/>
        <w:ind w:firstLine="560" w:firstLineChars="200"/>
        <w:jc w:val="left"/>
        <w:rPr>
          <w:rFonts w:ascii="Times New Roman" w:eastAsia="仿宋"/>
          <w:sz w:val="28"/>
          <w:szCs w:val="21"/>
        </w:rPr>
      </w:pPr>
      <w:r>
        <w:rPr>
          <w:rFonts w:ascii="Times New Roman" w:eastAsia="仿宋"/>
          <w:sz w:val="28"/>
          <w:szCs w:val="21"/>
        </w:rPr>
        <w:t>大气污染物持续排放，大气沉降对土壤有富集的影响，考虑到本项目主要的大气污染物</w:t>
      </w:r>
      <w:r>
        <w:rPr>
          <w:rFonts w:hint="eastAsia" w:ascii="Times New Roman" w:eastAsia="仿宋"/>
          <w:sz w:val="28"/>
          <w:szCs w:val="21"/>
        </w:rPr>
        <w:t>中</w:t>
      </w:r>
      <w:r>
        <w:rPr>
          <w:rFonts w:ascii="Times New Roman" w:eastAsia="仿宋"/>
          <w:sz w:val="28"/>
          <w:szCs w:val="21"/>
        </w:rPr>
        <w:t>为</w:t>
      </w:r>
      <w:r>
        <w:rPr>
          <w:rFonts w:hint="eastAsia" w:ascii="Times New Roman" w:eastAsia="仿宋"/>
          <w:sz w:val="28"/>
          <w:szCs w:val="21"/>
        </w:rPr>
        <w:t>二甲苯含量较大</w:t>
      </w:r>
      <w:r>
        <w:rPr>
          <w:rFonts w:ascii="Times New Roman" w:eastAsia="仿宋"/>
          <w:sz w:val="28"/>
          <w:szCs w:val="21"/>
        </w:rPr>
        <w:t>，因此本项目预测因子选取</w:t>
      </w:r>
      <w:r>
        <w:rPr>
          <w:rFonts w:hint="eastAsia" w:ascii="Times New Roman" w:eastAsia="仿宋"/>
          <w:sz w:val="28"/>
          <w:szCs w:val="21"/>
        </w:rPr>
        <w:t>二甲苯</w:t>
      </w:r>
      <w:r>
        <w:rPr>
          <w:rFonts w:ascii="Times New Roman" w:eastAsia="仿宋"/>
          <w:sz w:val="28"/>
          <w:szCs w:val="21"/>
        </w:rPr>
        <w:t>。</w:t>
      </w:r>
    </w:p>
    <w:p w14:paraId="5D59DD2A">
      <w:pPr>
        <w:spacing w:line="500" w:lineRule="exact"/>
        <w:ind w:firstLine="562" w:firstLineChars="200"/>
        <w:jc w:val="left"/>
        <w:rPr>
          <w:rFonts w:ascii="Times New Roman" w:eastAsia="仿宋"/>
          <w:b/>
          <w:sz w:val="28"/>
          <w:szCs w:val="28"/>
        </w:rPr>
      </w:pPr>
      <w:r>
        <w:rPr>
          <w:rFonts w:ascii="Times New Roman" w:eastAsia="仿宋"/>
          <w:b/>
          <w:sz w:val="28"/>
          <w:szCs w:val="28"/>
        </w:rPr>
        <w:t>五、预测模型</w:t>
      </w:r>
    </w:p>
    <w:p w14:paraId="66D4F7EE">
      <w:pPr>
        <w:spacing w:line="500" w:lineRule="exact"/>
        <w:ind w:firstLine="560" w:firstLineChars="200"/>
        <w:jc w:val="left"/>
        <w:rPr>
          <w:rFonts w:ascii="Times New Roman" w:eastAsia="仿宋"/>
          <w:sz w:val="28"/>
          <w:szCs w:val="21"/>
        </w:rPr>
      </w:pPr>
      <w:r>
        <w:rPr>
          <w:rFonts w:ascii="Times New Roman" w:eastAsia="仿宋"/>
          <w:sz w:val="28"/>
          <w:szCs w:val="21"/>
        </w:rPr>
        <w:t>本次评价采用</w:t>
      </w:r>
      <w:r>
        <w:rPr>
          <w:rFonts w:ascii="Times New Roman" w:eastAsia="仿宋"/>
          <w:sz w:val="28"/>
          <w:szCs w:val="28"/>
        </w:rPr>
        <w:t>《</w:t>
      </w:r>
      <w:r>
        <w:rPr>
          <w:rFonts w:hint="eastAsia" w:ascii="Times New Roman" w:eastAsia="仿宋"/>
          <w:sz w:val="28"/>
          <w:szCs w:val="28"/>
        </w:rPr>
        <w:t xml:space="preserve">环境影响评价技术导则 </w:t>
      </w:r>
      <w:r>
        <w:rPr>
          <w:rFonts w:ascii="Times New Roman" w:eastAsia="仿宋"/>
          <w:sz w:val="28"/>
          <w:szCs w:val="28"/>
        </w:rPr>
        <w:t>土壤环境（试行）》（HJ964-2018）</w:t>
      </w:r>
      <w:r>
        <w:rPr>
          <w:rFonts w:ascii="Times New Roman" w:eastAsia="仿宋"/>
          <w:sz w:val="28"/>
          <w:szCs w:val="21"/>
        </w:rPr>
        <w:t>推荐的方法一进行计算。</w:t>
      </w:r>
    </w:p>
    <w:p w14:paraId="2A4268E5">
      <w:pPr>
        <w:spacing w:line="500" w:lineRule="exact"/>
        <w:ind w:firstLine="560" w:firstLineChars="200"/>
        <w:jc w:val="left"/>
        <w:rPr>
          <w:rFonts w:ascii="Times New Roman" w:eastAsia="仿宋"/>
          <w:sz w:val="28"/>
          <w:szCs w:val="21"/>
        </w:rPr>
      </w:pPr>
      <w:r>
        <w:rPr>
          <w:rFonts w:ascii="Times New Roman" w:eastAsia="仿宋"/>
          <w:sz w:val="28"/>
          <w:szCs w:val="21"/>
        </w:rPr>
        <w:t>（1）单位质量土壤中某中物质的增量可用下式计算。</w:t>
      </w:r>
    </w:p>
    <w:p w14:paraId="5499153A">
      <w:pPr>
        <w:widowControl/>
        <w:spacing w:before="120" w:beforeLines="50" w:line="360" w:lineRule="auto"/>
        <w:ind w:firstLine="560"/>
        <w:jc w:val="center"/>
      </w:pPr>
      <w:r>
        <w:rPr>
          <w:position w:val="-12"/>
        </w:rPr>
        <w:object>
          <v:shape id="_x0000_i1027" o:spt="75" type="#_x0000_t75" style="height:22.45pt;width:166.45pt;" o:ole="t" filled="f" o:preferrelative="t" stroked="f" coordsize="21600,21600">
            <v:path/>
            <v:fill on="f" focussize="0,0"/>
            <v:stroke on="f" joinstyle="miter"/>
            <v:imagedata r:id="rId86" o:title=""/>
            <o:lock v:ext="edit" aspectratio="t"/>
            <w10:wrap type="none"/>
            <w10:anchorlock/>
          </v:shape>
          <o:OLEObject Type="Embed" ProgID="Equation.3" ShapeID="_x0000_i1027" DrawAspect="Content" ObjectID="_1468075727" r:id="rId85">
            <o:LockedField>false</o:LockedField>
          </o:OLEObject>
        </w:object>
      </w:r>
    </w:p>
    <w:p w14:paraId="2790A3A6">
      <w:pPr>
        <w:spacing w:line="500" w:lineRule="exact"/>
        <w:ind w:firstLine="560" w:firstLineChars="200"/>
        <w:jc w:val="left"/>
        <w:rPr>
          <w:rFonts w:ascii="Times New Roman" w:eastAsia="仿宋"/>
          <w:sz w:val="28"/>
          <w:szCs w:val="21"/>
        </w:rPr>
      </w:pPr>
      <w:r>
        <w:rPr>
          <w:rFonts w:ascii="Times New Roman" w:eastAsia="仿宋"/>
          <w:sz w:val="28"/>
          <w:szCs w:val="21"/>
        </w:rPr>
        <w:t>式中：</w:t>
      </w:r>
      <w:r>
        <w:rPr>
          <w:rFonts w:ascii="Cambria Math" w:hAnsi="Cambria Math" w:cs="Cambria Math"/>
          <w:sz w:val="21"/>
          <w:szCs w:val="21"/>
          <w:shd w:val="clear" w:color="auto" w:fill="FFFFFF"/>
        </w:rPr>
        <w:t>△</w:t>
      </w:r>
      <w:r>
        <w:rPr>
          <w:rFonts w:ascii="Cambria Math" w:hAnsi="Cambria Math" w:cs="Cambria Math"/>
          <w:sz w:val="32"/>
          <w:szCs w:val="21"/>
          <w:shd w:val="clear" w:color="auto" w:fill="FFFFFF"/>
        </w:rPr>
        <w:t>S</w:t>
      </w:r>
      <w:r>
        <w:rPr>
          <w:rFonts w:ascii="Times New Roman" w:eastAsia="仿宋"/>
          <w:sz w:val="28"/>
          <w:szCs w:val="21"/>
        </w:rPr>
        <w:t>——单位质量表层土壤中某种物质的增量，g/kg；</w:t>
      </w:r>
    </w:p>
    <w:p w14:paraId="38D0B052">
      <w:pPr>
        <w:spacing w:line="500" w:lineRule="exact"/>
        <w:ind w:firstLine="560" w:firstLineChars="200"/>
        <w:jc w:val="left"/>
        <w:rPr>
          <w:rFonts w:ascii="Times New Roman" w:eastAsia="仿宋"/>
          <w:sz w:val="28"/>
          <w:szCs w:val="21"/>
        </w:rPr>
      </w:pPr>
      <w:r>
        <w:rPr>
          <w:rFonts w:ascii="Times New Roman" w:eastAsia="仿宋"/>
          <w:sz w:val="28"/>
          <w:szCs w:val="21"/>
        </w:rPr>
        <w:t>I</w:t>
      </w:r>
      <w:r>
        <w:rPr>
          <w:rFonts w:ascii="Times New Roman" w:eastAsia="仿宋"/>
          <w:sz w:val="28"/>
          <w:szCs w:val="21"/>
          <w:vertAlign w:val="subscript"/>
        </w:rPr>
        <w:t>S</w:t>
      </w:r>
      <w:r>
        <w:rPr>
          <w:rFonts w:ascii="Times New Roman" w:eastAsia="仿宋"/>
          <w:sz w:val="28"/>
          <w:szCs w:val="21"/>
        </w:rPr>
        <w:t>——预测评价范围内单位年份表层土壤中某种物质的输入量，g;</w:t>
      </w:r>
    </w:p>
    <w:p w14:paraId="7B35991D">
      <w:pPr>
        <w:spacing w:line="500" w:lineRule="exact"/>
        <w:ind w:firstLine="560" w:firstLineChars="200"/>
        <w:jc w:val="left"/>
        <w:rPr>
          <w:rFonts w:ascii="Times New Roman" w:eastAsia="仿宋"/>
          <w:sz w:val="28"/>
          <w:szCs w:val="21"/>
        </w:rPr>
      </w:pPr>
      <w:r>
        <w:rPr>
          <w:rFonts w:ascii="Times New Roman" w:eastAsia="仿宋"/>
          <w:sz w:val="28"/>
          <w:szCs w:val="21"/>
        </w:rPr>
        <w:t>L</w:t>
      </w:r>
      <w:r>
        <w:rPr>
          <w:rFonts w:ascii="Times New Roman" w:eastAsia="仿宋"/>
          <w:sz w:val="28"/>
          <w:szCs w:val="21"/>
          <w:vertAlign w:val="subscript"/>
        </w:rPr>
        <w:t>S</w:t>
      </w:r>
      <w:r>
        <w:rPr>
          <w:rFonts w:ascii="Times New Roman" w:eastAsia="仿宋"/>
          <w:sz w:val="28"/>
          <w:szCs w:val="21"/>
        </w:rPr>
        <w:t>——预测评价范围内单位年份表层土壤中某种物质经淋溶排出的量，g;</w:t>
      </w:r>
    </w:p>
    <w:p w14:paraId="3B0B44FC">
      <w:pPr>
        <w:spacing w:line="500" w:lineRule="exact"/>
        <w:ind w:firstLine="560" w:firstLineChars="200"/>
        <w:jc w:val="left"/>
        <w:rPr>
          <w:rFonts w:ascii="Times New Roman" w:eastAsia="仿宋"/>
          <w:sz w:val="28"/>
          <w:szCs w:val="21"/>
        </w:rPr>
      </w:pPr>
      <w:r>
        <w:rPr>
          <w:rFonts w:ascii="Times New Roman" w:eastAsia="仿宋"/>
          <w:sz w:val="28"/>
          <w:szCs w:val="21"/>
        </w:rPr>
        <w:t>R</w:t>
      </w:r>
      <w:r>
        <w:rPr>
          <w:rFonts w:ascii="Times New Roman" w:eastAsia="仿宋"/>
          <w:sz w:val="28"/>
          <w:szCs w:val="21"/>
          <w:vertAlign w:val="subscript"/>
        </w:rPr>
        <w:t>S</w:t>
      </w:r>
      <w:r>
        <w:rPr>
          <w:rFonts w:ascii="Times New Roman" w:eastAsia="仿宋"/>
          <w:sz w:val="28"/>
          <w:szCs w:val="21"/>
        </w:rPr>
        <w:t>——预测评价范围内单位年份表层土壤中某种物质经径流排出的量，g;</w:t>
      </w:r>
    </w:p>
    <w:p w14:paraId="076FEB50">
      <w:pPr>
        <w:ind w:firstLine="480" w:firstLineChars="200"/>
        <w:jc w:val="left"/>
        <w:rPr>
          <w:rFonts w:ascii="Times New Roman" w:eastAsia="仿宋"/>
          <w:sz w:val="28"/>
          <w:szCs w:val="21"/>
        </w:rPr>
      </w:pPr>
      <w:r>
        <w:drawing>
          <wp:inline distT="0" distB="0" distL="0" distR="0">
            <wp:extent cx="250190" cy="2305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7"/>
                    <a:stretch>
                      <a:fillRect/>
                    </a:stretch>
                  </pic:blipFill>
                  <pic:spPr>
                    <a:xfrm>
                      <a:off x="0" y="0"/>
                      <a:ext cx="258410" cy="237737"/>
                    </a:xfrm>
                    <a:prstGeom prst="rect">
                      <a:avLst/>
                    </a:prstGeom>
                  </pic:spPr>
                </pic:pic>
              </a:graphicData>
            </a:graphic>
          </wp:inline>
        </w:drawing>
      </w:r>
      <w:r>
        <w:rPr>
          <w:rFonts w:ascii="Times New Roman" w:eastAsia="仿宋"/>
          <w:sz w:val="28"/>
          <w:szCs w:val="21"/>
        </w:rPr>
        <w:t>——表层土壤容重，kg/m</w:t>
      </w:r>
      <w:r>
        <w:rPr>
          <w:rFonts w:ascii="Times New Roman" w:eastAsia="仿宋"/>
          <w:sz w:val="28"/>
          <w:szCs w:val="21"/>
          <w:vertAlign w:val="superscript"/>
        </w:rPr>
        <w:t>3</w:t>
      </w:r>
      <w:r>
        <w:rPr>
          <w:rFonts w:ascii="Times New Roman" w:eastAsia="仿宋"/>
          <w:sz w:val="28"/>
          <w:szCs w:val="21"/>
        </w:rPr>
        <w:t>;</w:t>
      </w:r>
    </w:p>
    <w:p w14:paraId="56560D3D">
      <w:pPr>
        <w:spacing w:line="500" w:lineRule="exact"/>
        <w:ind w:firstLine="560" w:firstLineChars="200"/>
        <w:jc w:val="left"/>
        <w:rPr>
          <w:rFonts w:ascii="Times New Roman" w:eastAsia="仿宋"/>
          <w:sz w:val="28"/>
          <w:szCs w:val="21"/>
        </w:rPr>
      </w:pPr>
      <w:r>
        <w:rPr>
          <w:rFonts w:ascii="Times New Roman" w:eastAsia="仿宋"/>
          <w:sz w:val="28"/>
          <w:szCs w:val="21"/>
        </w:rPr>
        <w:t>A——预测评价范围，m</w:t>
      </w:r>
      <w:r>
        <w:rPr>
          <w:rFonts w:ascii="Times New Roman" w:eastAsia="仿宋"/>
          <w:sz w:val="28"/>
          <w:szCs w:val="21"/>
          <w:vertAlign w:val="superscript"/>
        </w:rPr>
        <w:t>2</w:t>
      </w:r>
      <w:r>
        <w:rPr>
          <w:rFonts w:ascii="Times New Roman" w:eastAsia="仿宋"/>
          <w:sz w:val="28"/>
          <w:szCs w:val="21"/>
        </w:rPr>
        <w:t>;</w:t>
      </w:r>
    </w:p>
    <w:p w14:paraId="7D9EB31F">
      <w:pPr>
        <w:spacing w:line="500" w:lineRule="exact"/>
        <w:ind w:firstLine="560" w:firstLineChars="200"/>
        <w:jc w:val="left"/>
        <w:rPr>
          <w:rFonts w:ascii="Times New Roman" w:eastAsia="仿宋"/>
          <w:sz w:val="28"/>
          <w:szCs w:val="21"/>
        </w:rPr>
      </w:pPr>
      <w:r>
        <w:rPr>
          <w:rFonts w:ascii="Times New Roman" w:eastAsia="仿宋"/>
          <w:sz w:val="28"/>
          <w:szCs w:val="21"/>
        </w:rPr>
        <w:t>D——表层土壤深度，一般取0.2m，可根据实际情况适当调整;</w:t>
      </w:r>
    </w:p>
    <w:p w14:paraId="2DBFF767">
      <w:pPr>
        <w:spacing w:line="500" w:lineRule="exact"/>
        <w:ind w:firstLine="560" w:firstLineChars="200"/>
        <w:jc w:val="left"/>
        <w:rPr>
          <w:rFonts w:ascii="Times New Roman" w:eastAsia="仿宋"/>
          <w:sz w:val="28"/>
          <w:szCs w:val="21"/>
        </w:rPr>
      </w:pPr>
      <w:r>
        <w:rPr>
          <w:rFonts w:ascii="Times New Roman" w:eastAsia="仿宋"/>
          <w:sz w:val="28"/>
          <w:szCs w:val="21"/>
        </w:rPr>
        <w:t>n——持续年份，a。</w:t>
      </w:r>
    </w:p>
    <w:p w14:paraId="47ADE9C2">
      <w:pPr>
        <w:spacing w:line="500" w:lineRule="exact"/>
        <w:ind w:firstLine="560" w:firstLineChars="200"/>
        <w:jc w:val="left"/>
        <w:rPr>
          <w:rFonts w:ascii="Times New Roman" w:eastAsia="仿宋"/>
          <w:sz w:val="28"/>
          <w:szCs w:val="21"/>
        </w:rPr>
      </w:pPr>
      <w:r>
        <w:rPr>
          <w:rFonts w:ascii="Times New Roman" w:eastAsia="仿宋"/>
          <w:sz w:val="28"/>
          <w:szCs w:val="21"/>
        </w:rPr>
        <w:t>（2）单位质量土壤中某种物质的预测值可根据其增量叠加现状值进行计算。</w:t>
      </w:r>
    </w:p>
    <w:p w14:paraId="3A318F0C">
      <w:pPr>
        <w:pStyle w:val="2"/>
        <w:jc w:val="center"/>
      </w:pPr>
      <w:r>
        <w:drawing>
          <wp:inline distT="0" distB="0" distL="0" distR="0">
            <wp:extent cx="1285875" cy="371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8"/>
                    <a:stretch>
                      <a:fillRect/>
                    </a:stretch>
                  </pic:blipFill>
                  <pic:spPr>
                    <a:xfrm>
                      <a:off x="0" y="0"/>
                      <a:ext cx="1285875" cy="371475"/>
                    </a:xfrm>
                    <a:prstGeom prst="rect">
                      <a:avLst/>
                    </a:prstGeom>
                  </pic:spPr>
                </pic:pic>
              </a:graphicData>
            </a:graphic>
          </wp:inline>
        </w:drawing>
      </w:r>
    </w:p>
    <w:p w14:paraId="28FC84C2">
      <w:pPr>
        <w:spacing w:line="500" w:lineRule="exact"/>
        <w:ind w:firstLine="560" w:firstLineChars="200"/>
        <w:jc w:val="left"/>
        <w:rPr>
          <w:rFonts w:ascii="Times New Roman" w:eastAsia="仿宋"/>
          <w:sz w:val="28"/>
          <w:szCs w:val="21"/>
        </w:rPr>
      </w:pPr>
      <w:r>
        <w:rPr>
          <w:rFonts w:ascii="Times New Roman" w:eastAsia="仿宋"/>
          <w:sz w:val="28"/>
          <w:szCs w:val="21"/>
        </w:rPr>
        <w:t>式中，S</w:t>
      </w:r>
      <w:r>
        <w:rPr>
          <w:rFonts w:ascii="Times New Roman" w:eastAsia="仿宋"/>
          <w:sz w:val="28"/>
          <w:szCs w:val="21"/>
          <w:vertAlign w:val="subscript"/>
        </w:rPr>
        <w:t>b</w:t>
      </w:r>
      <w:r>
        <w:rPr>
          <w:rFonts w:ascii="Times New Roman" w:eastAsia="仿宋"/>
          <w:sz w:val="28"/>
          <w:szCs w:val="21"/>
        </w:rPr>
        <w:t>——单位质量土壤中某种物质的现状值，g/kg；</w:t>
      </w:r>
    </w:p>
    <w:p w14:paraId="60CA5A19">
      <w:pPr>
        <w:spacing w:line="500" w:lineRule="exact"/>
        <w:ind w:firstLine="560" w:firstLineChars="200"/>
        <w:jc w:val="left"/>
        <w:rPr>
          <w:rFonts w:ascii="Times New Roman" w:eastAsia="仿宋"/>
          <w:sz w:val="28"/>
          <w:szCs w:val="21"/>
        </w:rPr>
      </w:pPr>
      <w:r>
        <w:rPr>
          <w:rFonts w:ascii="Times New Roman" w:eastAsia="仿宋"/>
          <w:sz w:val="28"/>
          <w:szCs w:val="21"/>
        </w:rPr>
        <w:t>S——单位质量土壤中某种物质的预测值，g/kg.</w:t>
      </w:r>
    </w:p>
    <w:p w14:paraId="6874D819">
      <w:pPr>
        <w:spacing w:line="500" w:lineRule="exact"/>
        <w:ind w:firstLine="562" w:firstLineChars="200"/>
        <w:jc w:val="left"/>
        <w:rPr>
          <w:rFonts w:ascii="Times New Roman" w:eastAsia="仿宋"/>
          <w:b/>
          <w:sz w:val="28"/>
          <w:szCs w:val="28"/>
        </w:rPr>
      </w:pPr>
      <w:r>
        <w:rPr>
          <w:rFonts w:ascii="Times New Roman" w:eastAsia="仿宋"/>
          <w:b/>
          <w:sz w:val="28"/>
          <w:szCs w:val="28"/>
        </w:rPr>
        <w:t>六、预测参数</w:t>
      </w:r>
    </w:p>
    <w:p w14:paraId="66AA1024">
      <w:pPr>
        <w:spacing w:line="500" w:lineRule="exact"/>
        <w:ind w:firstLine="560" w:firstLineChars="200"/>
        <w:jc w:val="left"/>
        <w:rPr>
          <w:rFonts w:ascii="Times New Roman" w:eastAsia="仿宋"/>
          <w:sz w:val="28"/>
          <w:szCs w:val="21"/>
        </w:rPr>
      </w:pPr>
      <w:r>
        <w:rPr>
          <w:rFonts w:ascii="Times New Roman" w:eastAsia="仿宋"/>
          <w:sz w:val="28"/>
          <w:szCs w:val="21"/>
        </w:rPr>
        <w:t>1、污染源强I</w:t>
      </w:r>
      <w:r>
        <w:rPr>
          <w:rFonts w:ascii="Times New Roman" w:eastAsia="仿宋"/>
          <w:sz w:val="28"/>
          <w:szCs w:val="21"/>
          <w:vertAlign w:val="subscript"/>
        </w:rPr>
        <w:t>S</w:t>
      </w:r>
      <w:r>
        <w:rPr>
          <w:rFonts w:ascii="Times New Roman" w:eastAsia="仿宋"/>
          <w:sz w:val="28"/>
          <w:szCs w:val="21"/>
        </w:rPr>
        <w:t>计算如下：</w:t>
      </w:r>
    </w:p>
    <w:p w14:paraId="6988DF9E">
      <w:pPr>
        <w:spacing w:line="500" w:lineRule="exact"/>
        <w:ind w:firstLine="560" w:firstLineChars="200"/>
        <w:jc w:val="center"/>
        <w:rPr>
          <w:rFonts w:ascii="Times New Roman" w:eastAsia="仿宋"/>
          <w:sz w:val="28"/>
          <w:szCs w:val="21"/>
        </w:rPr>
      </w:pPr>
      <w:r>
        <w:rPr>
          <w:rFonts w:ascii="Times New Roman" w:eastAsia="仿宋"/>
          <w:sz w:val="28"/>
          <w:szCs w:val="21"/>
        </w:rPr>
        <w:t>I</w:t>
      </w:r>
      <w:r>
        <w:rPr>
          <w:rFonts w:ascii="Times New Roman" w:eastAsia="仿宋"/>
          <w:sz w:val="28"/>
          <w:szCs w:val="21"/>
          <w:vertAlign w:val="subscript"/>
        </w:rPr>
        <w:t>S</w:t>
      </w:r>
      <w:r>
        <w:rPr>
          <w:rFonts w:ascii="Times New Roman" w:eastAsia="仿宋"/>
          <w:sz w:val="28"/>
          <w:szCs w:val="21"/>
        </w:rPr>
        <w:t>=C*V*T*A</w:t>
      </w:r>
    </w:p>
    <w:p w14:paraId="3097393B">
      <w:pPr>
        <w:spacing w:line="500" w:lineRule="exact"/>
        <w:ind w:firstLine="560" w:firstLineChars="200"/>
        <w:jc w:val="left"/>
        <w:rPr>
          <w:rFonts w:ascii="Times New Roman" w:eastAsia="仿宋"/>
          <w:sz w:val="28"/>
          <w:szCs w:val="21"/>
        </w:rPr>
      </w:pPr>
      <w:r>
        <w:rPr>
          <w:rFonts w:ascii="Times New Roman" w:eastAsia="仿宋"/>
          <w:sz w:val="28"/>
          <w:szCs w:val="21"/>
        </w:rPr>
        <w:t>C——污染物浓度，mg/m</w:t>
      </w:r>
      <w:r>
        <w:rPr>
          <w:rFonts w:ascii="Times New Roman" w:eastAsia="仿宋"/>
          <w:sz w:val="28"/>
          <w:szCs w:val="21"/>
          <w:vertAlign w:val="superscript"/>
        </w:rPr>
        <w:t>3</w:t>
      </w:r>
      <w:r>
        <w:rPr>
          <w:rFonts w:ascii="Times New Roman" w:eastAsia="仿宋"/>
          <w:sz w:val="28"/>
          <w:szCs w:val="21"/>
        </w:rPr>
        <w:t>；偏安全考虑，本项目取非甲烷总烃日平均最大落地浓度贡献</w:t>
      </w:r>
      <w:r>
        <w:rPr>
          <w:rFonts w:ascii="Times New Roman" w:eastAsia="仿宋"/>
          <w:sz w:val="28"/>
          <w:szCs w:val="28"/>
        </w:rPr>
        <w:t>值</w:t>
      </w:r>
      <w:r>
        <w:rPr>
          <w:rFonts w:hint="eastAsia" w:ascii="Times New Roman" w:eastAsia="仿宋"/>
          <w:sz w:val="28"/>
          <w:szCs w:val="28"/>
        </w:rPr>
        <w:t>0.00949</w:t>
      </w:r>
      <w:r>
        <w:rPr>
          <w:rFonts w:ascii="Times New Roman" w:eastAsia="仿宋"/>
          <w:sz w:val="28"/>
          <w:szCs w:val="28"/>
        </w:rPr>
        <w:t>mg/m</w:t>
      </w:r>
      <w:r>
        <w:rPr>
          <w:rFonts w:ascii="Times New Roman" w:eastAsia="仿宋"/>
          <w:sz w:val="28"/>
          <w:szCs w:val="28"/>
          <w:vertAlign w:val="superscript"/>
        </w:rPr>
        <w:t>3</w:t>
      </w:r>
      <w:r>
        <w:rPr>
          <w:rFonts w:ascii="Times New Roman" w:eastAsia="仿宋"/>
          <w:sz w:val="28"/>
          <w:szCs w:val="28"/>
        </w:rPr>
        <w:t>。</w:t>
      </w:r>
    </w:p>
    <w:p w14:paraId="39853F08">
      <w:pPr>
        <w:spacing w:line="500" w:lineRule="exact"/>
        <w:ind w:firstLine="560" w:firstLineChars="200"/>
        <w:jc w:val="left"/>
        <w:rPr>
          <w:rFonts w:ascii="Times New Roman" w:eastAsia="仿宋"/>
          <w:sz w:val="28"/>
          <w:szCs w:val="21"/>
        </w:rPr>
      </w:pPr>
      <w:r>
        <w:rPr>
          <w:rFonts w:ascii="Times New Roman" w:eastAsia="仿宋"/>
          <w:sz w:val="28"/>
          <w:szCs w:val="21"/>
        </w:rPr>
        <w:t>V——污染物沉降速率，m/s；沉降速率取0.001m/s；</w:t>
      </w:r>
    </w:p>
    <w:p w14:paraId="4F2491E0">
      <w:pPr>
        <w:spacing w:line="500" w:lineRule="exact"/>
        <w:ind w:firstLine="560" w:firstLineChars="200"/>
        <w:jc w:val="left"/>
        <w:rPr>
          <w:rFonts w:ascii="Times New Roman" w:eastAsia="仿宋"/>
          <w:sz w:val="28"/>
          <w:szCs w:val="21"/>
        </w:rPr>
      </w:pPr>
      <w:r>
        <w:rPr>
          <w:rFonts w:ascii="Times New Roman" w:eastAsia="仿宋"/>
          <w:sz w:val="28"/>
          <w:szCs w:val="21"/>
        </w:rPr>
        <w:t>T——年内污染物沉降时间，s。取全年300天连续排放沉降；</w:t>
      </w:r>
    </w:p>
    <w:p w14:paraId="06A2616F">
      <w:pPr>
        <w:spacing w:line="500" w:lineRule="exact"/>
        <w:ind w:firstLine="560" w:firstLineChars="200"/>
        <w:jc w:val="left"/>
        <w:rPr>
          <w:rFonts w:ascii="Times New Roman" w:eastAsia="仿宋"/>
          <w:sz w:val="28"/>
          <w:szCs w:val="21"/>
        </w:rPr>
      </w:pPr>
      <w:r>
        <w:rPr>
          <w:rFonts w:ascii="Times New Roman" w:eastAsia="仿宋"/>
          <w:sz w:val="28"/>
          <w:szCs w:val="21"/>
        </w:rPr>
        <w:t>A——预测评价面积，A=</w:t>
      </w:r>
      <w:r>
        <w:rPr>
          <w:rFonts w:hint="eastAsia" w:ascii="Times New Roman" w:eastAsia="仿宋"/>
          <w:sz w:val="28"/>
          <w:szCs w:val="21"/>
        </w:rPr>
        <w:t>3040</w:t>
      </w:r>
      <w:r>
        <w:rPr>
          <w:rFonts w:ascii="Times New Roman" w:eastAsia="仿宋"/>
          <w:sz w:val="28"/>
          <w:szCs w:val="21"/>
        </w:rPr>
        <w:t>m</w:t>
      </w:r>
      <w:r>
        <w:rPr>
          <w:rFonts w:ascii="Times New Roman" w:eastAsia="仿宋"/>
          <w:sz w:val="28"/>
          <w:szCs w:val="21"/>
          <w:vertAlign w:val="superscript"/>
        </w:rPr>
        <w:t>2</w:t>
      </w:r>
      <w:r>
        <w:rPr>
          <w:rFonts w:hint="eastAsia" w:ascii="Times New Roman" w:eastAsia="仿宋"/>
          <w:sz w:val="28"/>
          <w:szCs w:val="21"/>
        </w:rPr>
        <w:t>（喷涂车间）</w:t>
      </w:r>
      <w:r>
        <w:rPr>
          <w:rFonts w:ascii="Times New Roman" w:eastAsia="仿宋"/>
          <w:sz w:val="28"/>
          <w:szCs w:val="21"/>
        </w:rPr>
        <w:t>。</w:t>
      </w:r>
    </w:p>
    <w:p w14:paraId="34B55352">
      <w:pPr>
        <w:spacing w:line="500" w:lineRule="exact"/>
        <w:ind w:firstLine="560" w:firstLineChars="200"/>
        <w:jc w:val="left"/>
        <w:rPr>
          <w:rFonts w:ascii="Times New Roman" w:eastAsia="仿宋"/>
          <w:sz w:val="28"/>
          <w:szCs w:val="21"/>
        </w:rPr>
      </w:pPr>
      <w:r>
        <w:rPr>
          <w:rFonts w:ascii="Times New Roman" w:eastAsia="仿宋"/>
          <w:sz w:val="28"/>
          <w:szCs w:val="21"/>
        </w:rPr>
        <w:t>综上，算出污染源强</w:t>
      </w:r>
      <w:r>
        <w:rPr>
          <w:rFonts w:hint="eastAsia" w:ascii="Times New Roman" w:eastAsia="仿宋"/>
          <w:sz w:val="28"/>
          <w:szCs w:val="21"/>
        </w:rPr>
        <w:t>二甲苯</w:t>
      </w:r>
      <w:r>
        <w:rPr>
          <w:rFonts w:ascii="Times New Roman" w:eastAsia="仿宋"/>
          <w:sz w:val="28"/>
          <w:szCs w:val="21"/>
        </w:rPr>
        <w:t>输入量I</w:t>
      </w:r>
      <w:r>
        <w:rPr>
          <w:rFonts w:ascii="Times New Roman" w:eastAsia="仿宋"/>
          <w:sz w:val="28"/>
          <w:szCs w:val="21"/>
          <w:vertAlign w:val="subscript"/>
        </w:rPr>
        <w:t>S</w:t>
      </w:r>
      <w:r>
        <w:rPr>
          <w:rFonts w:ascii="Times New Roman" w:eastAsia="仿宋"/>
          <w:sz w:val="28"/>
          <w:szCs w:val="21"/>
        </w:rPr>
        <w:t>=</w:t>
      </w:r>
      <w:r>
        <w:rPr>
          <w:rFonts w:hint="eastAsia" w:ascii="Times New Roman" w:eastAsia="仿宋"/>
          <w:sz w:val="28"/>
          <w:szCs w:val="21"/>
        </w:rPr>
        <w:t>499</w:t>
      </w:r>
      <w:r>
        <w:rPr>
          <w:rFonts w:ascii="Times New Roman" w:eastAsia="仿宋"/>
          <w:sz w:val="28"/>
          <w:szCs w:val="21"/>
        </w:rPr>
        <w:t>g。</w:t>
      </w:r>
    </w:p>
    <w:p w14:paraId="0201AD77">
      <w:pPr>
        <w:spacing w:line="500" w:lineRule="exact"/>
        <w:ind w:firstLine="560" w:firstLineChars="200"/>
        <w:jc w:val="left"/>
        <w:rPr>
          <w:rFonts w:ascii="Times New Roman" w:eastAsia="仿宋"/>
          <w:sz w:val="28"/>
          <w:szCs w:val="28"/>
        </w:rPr>
      </w:pPr>
      <w:r>
        <w:rPr>
          <w:rFonts w:ascii="Times New Roman" w:eastAsia="仿宋"/>
          <w:sz w:val="28"/>
          <w:szCs w:val="28"/>
        </w:rPr>
        <w:t>2、由于</w:t>
      </w:r>
      <w:r>
        <w:rPr>
          <w:rFonts w:ascii="Times New Roman" w:eastAsia="仿宋"/>
          <w:sz w:val="28"/>
          <w:szCs w:val="21"/>
        </w:rPr>
        <w:t>石油烃</w:t>
      </w:r>
      <w:r>
        <w:rPr>
          <w:rFonts w:ascii="Times New Roman" w:eastAsia="仿宋"/>
          <w:sz w:val="28"/>
          <w:szCs w:val="28"/>
        </w:rPr>
        <w:t>为持久性物质，因此本次评价淋溶排出量</w:t>
      </w:r>
      <w:r>
        <w:rPr>
          <w:rFonts w:ascii="Times New Roman" w:eastAsia="仿宋"/>
          <w:sz w:val="28"/>
          <w:szCs w:val="21"/>
        </w:rPr>
        <w:t>L</w:t>
      </w:r>
      <w:r>
        <w:rPr>
          <w:rFonts w:ascii="Times New Roman" w:eastAsia="仿宋"/>
          <w:sz w:val="28"/>
          <w:szCs w:val="21"/>
          <w:vertAlign w:val="subscript"/>
        </w:rPr>
        <w:t>S</w:t>
      </w:r>
      <w:r>
        <w:rPr>
          <w:rFonts w:ascii="Times New Roman" w:eastAsia="仿宋"/>
          <w:sz w:val="28"/>
          <w:szCs w:val="21"/>
        </w:rPr>
        <w:t>=0。</w:t>
      </w:r>
    </w:p>
    <w:p w14:paraId="737F9EFE">
      <w:pPr>
        <w:spacing w:line="500" w:lineRule="exact"/>
        <w:ind w:firstLine="560" w:firstLineChars="200"/>
        <w:jc w:val="left"/>
        <w:rPr>
          <w:rFonts w:ascii="Times New Roman" w:eastAsia="仿宋"/>
          <w:sz w:val="28"/>
          <w:szCs w:val="21"/>
        </w:rPr>
      </w:pPr>
      <w:r>
        <w:rPr>
          <w:rFonts w:ascii="Times New Roman" w:eastAsia="仿宋"/>
          <w:sz w:val="28"/>
          <w:szCs w:val="28"/>
        </w:rPr>
        <w:t>3、由于</w:t>
      </w:r>
      <w:r>
        <w:rPr>
          <w:rFonts w:ascii="Times New Roman" w:eastAsia="仿宋"/>
          <w:sz w:val="28"/>
          <w:szCs w:val="21"/>
        </w:rPr>
        <w:t>石油烃</w:t>
      </w:r>
      <w:r>
        <w:rPr>
          <w:rFonts w:ascii="Times New Roman" w:eastAsia="仿宋"/>
          <w:sz w:val="28"/>
          <w:szCs w:val="28"/>
        </w:rPr>
        <w:t>为持久性物质，因此本次评价径流排出量</w:t>
      </w:r>
      <w:r>
        <w:rPr>
          <w:rFonts w:ascii="Times New Roman" w:eastAsia="仿宋"/>
          <w:sz w:val="28"/>
          <w:szCs w:val="21"/>
        </w:rPr>
        <w:t>R</w:t>
      </w:r>
      <w:r>
        <w:rPr>
          <w:rFonts w:ascii="Times New Roman" w:eastAsia="仿宋"/>
          <w:sz w:val="28"/>
          <w:szCs w:val="21"/>
          <w:vertAlign w:val="subscript"/>
        </w:rPr>
        <w:t>S</w:t>
      </w:r>
      <w:r>
        <w:rPr>
          <w:rFonts w:ascii="Times New Roman" w:eastAsia="仿宋"/>
          <w:sz w:val="28"/>
          <w:szCs w:val="21"/>
        </w:rPr>
        <w:t>=0。</w:t>
      </w:r>
    </w:p>
    <w:p w14:paraId="1239E661">
      <w:pPr>
        <w:spacing w:line="500" w:lineRule="exact"/>
        <w:ind w:firstLine="560" w:firstLineChars="200"/>
        <w:jc w:val="left"/>
        <w:rPr>
          <w:rFonts w:ascii="Times New Roman" w:eastAsia="仿宋"/>
          <w:sz w:val="28"/>
          <w:szCs w:val="21"/>
        </w:rPr>
      </w:pPr>
      <w:r>
        <w:rPr>
          <w:rFonts w:ascii="Times New Roman" w:eastAsia="仿宋"/>
          <w:sz w:val="28"/>
          <w:szCs w:val="21"/>
        </w:rPr>
        <w:t>4、根据土壤理化特性调查，表层土壤容重平均值为1.</w:t>
      </w:r>
      <w:r>
        <w:rPr>
          <w:rFonts w:hint="eastAsia" w:ascii="Times New Roman" w:eastAsia="仿宋"/>
          <w:sz w:val="28"/>
          <w:szCs w:val="21"/>
        </w:rPr>
        <w:t>37</w:t>
      </w:r>
      <w:r>
        <w:rPr>
          <w:rFonts w:ascii="Times New Roman" w:eastAsia="仿宋"/>
          <w:sz w:val="28"/>
          <w:szCs w:val="21"/>
        </w:rPr>
        <w:t>g/cm</w:t>
      </w:r>
      <w:r>
        <w:rPr>
          <w:rFonts w:ascii="Times New Roman" w:eastAsia="仿宋"/>
          <w:sz w:val="28"/>
          <w:szCs w:val="21"/>
          <w:vertAlign w:val="superscript"/>
        </w:rPr>
        <w:t>3</w:t>
      </w:r>
      <w:r>
        <w:rPr>
          <w:rFonts w:ascii="Times New Roman" w:eastAsia="仿宋"/>
          <w:sz w:val="28"/>
          <w:szCs w:val="21"/>
        </w:rPr>
        <w:t>。</w:t>
      </w:r>
    </w:p>
    <w:p w14:paraId="14C13210">
      <w:pPr>
        <w:spacing w:line="500" w:lineRule="exact"/>
        <w:ind w:firstLine="560" w:firstLineChars="200"/>
        <w:jc w:val="left"/>
        <w:rPr>
          <w:rFonts w:ascii="Times New Roman" w:eastAsia="仿宋"/>
          <w:sz w:val="28"/>
          <w:szCs w:val="21"/>
        </w:rPr>
      </w:pPr>
      <w:r>
        <w:rPr>
          <w:rFonts w:ascii="Times New Roman" w:eastAsia="仿宋"/>
          <w:sz w:val="28"/>
          <w:szCs w:val="21"/>
        </w:rPr>
        <w:t>5、预测评价面积A=3040m</w:t>
      </w:r>
      <w:r>
        <w:rPr>
          <w:rFonts w:ascii="Times New Roman" w:eastAsia="仿宋"/>
          <w:sz w:val="28"/>
          <w:szCs w:val="21"/>
          <w:vertAlign w:val="superscript"/>
        </w:rPr>
        <w:t>2</w:t>
      </w:r>
      <w:r>
        <w:rPr>
          <w:rFonts w:ascii="Times New Roman" w:eastAsia="仿宋"/>
          <w:sz w:val="28"/>
          <w:szCs w:val="21"/>
        </w:rPr>
        <w:t>。</w:t>
      </w:r>
    </w:p>
    <w:p w14:paraId="3C39A050">
      <w:pPr>
        <w:spacing w:line="500" w:lineRule="exact"/>
        <w:ind w:firstLine="560" w:firstLineChars="200"/>
        <w:jc w:val="left"/>
        <w:rPr>
          <w:rFonts w:ascii="Times New Roman" w:eastAsia="仿宋"/>
          <w:sz w:val="28"/>
          <w:szCs w:val="21"/>
        </w:rPr>
      </w:pPr>
      <w:r>
        <w:rPr>
          <w:rFonts w:ascii="Times New Roman" w:eastAsia="仿宋"/>
          <w:sz w:val="28"/>
          <w:szCs w:val="21"/>
        </w:rPr>
        <w:t>6、表层土壤深度D=0.1m。</w:t>
      </w:r>
    </w:p>
    <w:p w14:paraId="62EED36A">
      <w:pPr>
        <w:spacing w:line="500" w:lineRule="exact"/>
        <w:ind w:firstLine="560" w:firstLineChars="200"/>
        <w:jc w:val="left"/>
        <w:rPr>
          <w:rFonts w:ascii="Times New Roman" w:eastAsia="仿宋"/>
          <w:sz w:val="28"/>
          <w:szCs w:val="28"/>
        </w:rPr>
      </w:pPr>
      <w:r>
        <w:rPr>
          <w:rFonts w:ascii="Times New Roman" w:eastAsia="仿宋"/>
          <w:sz w:val="28"/>
          <w:szCs w:val="21"/>
        </w:rPr>
        <w:t>7、持续年份n=10年、20年、30年。</w:t>
      </w:r>
    </w:p>
    <w:p w14:paraId="0900D129">
      <w:pPr>
        <w:spacing w:line="500" w:lineRule="exact"/>
        <w:ind w:firstLine="562" w:firstLineChars="200"/>
        <w:jc w:val="left"/>
        <w:rPr>
          <w:rFonts w:ascii="Times New Roman" w:eastAsia="仿宋"/>
          <w:b/>
          <w:sz w:val="28"/>
          <w:szCs w:val="28"/>
        </w:rPr>
      </w:pPr>
      <w:r>
        <w:rPr>
          <w:rFonts w:ascii="Times New Roman" w:eastAsia="仿宋"/>
          <w:b/>
          <w:sz w:val="28"/>
          <w:szCs w:val="28"/>
        </w:rPr>
        <w:t>七、评价标准</w:t>
      </w:r>
    </w:p>
    <w:p w14:paraId="19C8958F">
      <w:pPr>
        <w:spacing w:line="500" w:lineRule="exact"/>
        <w:ind w:firstLine="560" w:firstLineChars="200"/>
        <w:jc w:val="left"/>
        <w:rPr>
          <w:rFonts w:ascii="Times New Roman" w:eastAsia="仿宋"/>
          <w:sz w:val="28"/>
          <w:szCs w:val="28"/>
        </w:rPr>
      </w:pPr>
      <w:r>
        <w:rPr>
          <w:rFonts w:ascii="Times New Roman" w:eastAsia="仿宋"/>
          <w:sz w:val="28"/>
          <w:szCs w:val="28"/>
        </w:rPr>
        <w:t>预测结果中的</w:t>
      </w:r>
      <w:r>
        <w:rPr>
          <w:rFonts w:hint="eastAsia" w:ascii="Times New Roman" w:eastAsia="仿宋"/>
          <w:sz w:val="28"/>
          <w:szCs w:val="21"/>
        </w:rPr>
        <w:t>二甲苯</w:t>
      </w:r>
      <w:r>
        <w:rPr>
          <w:rFonts w:ascii="Times New Roman" w:eastAsia="仿宋"/>
          <w:sz w:val="28"/>
          <w:szCs w:val="28"/>
        </w:rPr>
        <w:t>含量参照《土壤环境质量 建设用地土壤污染风险管控标准（试行）》（GB36600-2018）中第二类用地标准中</w:t>
      </w:r>
      <w:r>
        <w:rPr>
          <w:rFonts w:hint="eastAsia" w:ascii="Times New Roman" w:eastAsia="仿宋"/>
          <w:sz w:val="28"/>
          <w:szCs w:val="28"/>
        </w:rPr>
        <w:t>邻二甲苯</w:t>
      </w:r>
      <w:r>
        <w:rPr>
          <w:rFonts w:ascii="Times New Roman" w:eastAsia="仿宋"/>
          <w:sz w:val="28"/>
          <w:szCs w:val="28"/>
        </w:rPr>
        <w:t>污染风险筛选值执行，</w:t>
      </w:r>
      <w:r>
        <w:rPr>
          <w:rFonts w:hint="eastAsia" w:ascii="Times New Roman" w:eastAsia="仿宋"/>
          <w:sz w:val="28"/>
          <w:szCs w:val="28"/>
        </w:rPr>
        <w:t>邻二甲苯</w:t>
      </w:r>
      <w:r>
        <w:rPr>
          <w:rFonts w:ascii="Times New Roman" w:eastAsia="仿宋"/>
          <w:sz w:val="28"/>
          <w:szCs w:val="28"/>
        </w:rPr>
        <w:t>筛选值标准为</w:t>
      </w:r>
      <w:r>
        <w:rPr>
          <w:rFonts w:hint="eastAsia" w:ascii="Times New Roman" w:eastAsia="仿宋"/>
          <w:sz w:val="28"/>
          <w:szCs w:val="28"/>
        </w:rPr>
        <w:t>64</w:t>
      </w:r>
      <w:r>
        <w:rPr>
          <w:rFonts w:ascii="Times New Roman" w:eastAsia="仿宋"/>
          <w:sz w:val="28"/>
          <w:szCs w:val="28"/>
        </w:rPr>
        <w:t>0mg/kg。</w:t>
      </w:r>
    </w:p>
    <w:p w14:paraId="6D976657">
      <w:pPr>
        <w:spacing w:line="500" w:lineRule="exact"/>
        <w:ind w:firstLine="560" w:firstLineChars="200"/>
        <w:jc w:val="left"/>
        <w:rPr>
          <w:rFonts w:ascii="Times New Roman" w:eastAsia="仿宋"/>
          <w:sz w:val="28"/>
          <w:szCs w:val="28"/>
        </w:rPr>
      </w:pPr>
      <w:r>
        <w:rPr>
          <w:rFonts w:ascii="Times New Roman" w:eastAsia="仿宋"/>
          <w:sz w:val="28"/>
          <w:szCs w:val="28"/>
        </w:rPr>
        <w:t>根据土壤现状质量监测结果，本次评价采用各监测点位中</w:t>
      </w:r>
      <w:r>
        <w:rPr>
          <w:rFonts w:hint="eastAsia" w:ascii="Times New Roman" w:eastAsia="仿宋"/>
          <w:sz w:val="28"/>
          <w:szCs w:val="28"/>
        </w:rPr>
        <w:t>邻二甲苯</w:t>
      </w:r>
      <w:r>
        <w:rPr>
          <w:rFonts w:ascii="Times New Roman" w:eastAsia="仿宋"/>
          <w:sz w:val="28"/>
          <w:szCs w:val="28"/>
        </w:rPr>
        <w:t>含量的最大值作为背景值，</w:t>
      </w:r>
      <w:r>
        <w:rPr>
          <w:rFonts w:hint="eastAsia" w:ascii="Times New Roman" w:eastAsia="仿宋"/>
          <w:sz w:val="28"/>
          <w:szCs w:val="28"/>
        </w:rPr>
        <w:t>邻二甲苯未检测出则以检出限为背景值，</w:t>
      </w:r>
      <w:r>
        <w:rPr>
          <w:rFonts w:ascii="Times New Roman" w:eastAsia="仿宋"/>
          <w:sz w:val="28"/>
          <w:szCs w:val="28"/>
        </w:rPr>
        <w:t>即</w:t>
      </w:r>
      <w:r>
        <w:rPr>
          <w:rFonts w:hint="eastAsia" w:ascii="Times New Roman" w:eastAsia="仿宋"/>
          <w:sz w:val="28"/>
          <w:szCs w:val="28"/>
        </w:rPr>
        <w:t>邻二甲苯</w:t>
      </w:r>
      <w:r>
        <w:rPr>
          <w:rFonts w:ascii="Times New Roman" w:eastAsia="仿宋"/>
          <w:sz w:val="28"/>
          <w:szCs w:val="28"/>
        </w:rPr>
        <w:t>含量背景值为1.2*10</w:t>
      </w:r>
      <w:r>
        <w:rPr>
          <w:rFonts w:ascii="Times New Roman" w:eastAsia="仿宋"/>
          <w:sz w:val="28"/>
          <w:szCs w:val="28"/>
          <w:vertAlign w:val="superscript"/>
        </w:rPr>
        <w:t>-3</w:t>
      </w:r>
      <w:r>
        <w:rPr>
          <w:rFonts w:ascii="Times New Roman" w:eastAsia="仿宋"/>
          <w:sz w:val="28"/>
          <w:szCs w:val="28"/>
        </w:rPr>
        <w:t>mg/kg。</w:t>
      </w:r>
    </w:p>
    <w:p w14:paraId="31A074E4">
      <w:pPr>
        <w:spacing w:line="500" w:lineRule="exact"/>
        <w:ind w:firstLine="562" w:firstLineChars="200"/>
        <w:jc w:val="left"/>
        <w:rPr>
          <w:rFonts w:ascii="Times New Roman" w:eastAsia="仿宋"/>
          <w:b/>
          <w:sz w:val="28"/>
          <w:szCs w:val="28"/>
        </w:rPr>
      </w:pPr>
      <w:r>
        <w:rPr>
          <w:rFonts w:ascii="Times New Roman" w:eastAsia="仿宋"/>
          <w:b/>
          <w:sz w:val="28"/>
          <w:szCs w:val="28"/>
        </w:rPr>
        <w:t>八、预测结果</w:t>
      </w:r>
    </w:p>
    <w:p w14:paraId="1306E690">
      <w:pPr>
        <w:spacing w:line="500" w:lineRule="exact"/>
        <w:ind w:firstLine="560" w:firstLineChars="200"/>
        <w:jc w:val="left"/>
        <w:rPr>
          <w:rFonts w:ascii="Times New Roman" w:eastAsia="仿宋"/>
          <w:sz w:val="28"/>
          <w:szCs w:val="28"/>
        </w:rPr>
      </w:pPr>
      <w:r>
        <w:rPr>
          <w:rFonts w:ascii="Times New Roman" w:eastAsia="仿宋"/>
          <w:sz w:val="28"/>
          <w:szCs w:val="28"/>
        </w:rPr>
        <w:t>预测结果如下：</w:t>
      </w:r>
    </w:p>
    <w:p w14:paraId="6B084A51">
      <w:pPr>
        <w:spacing w:line="500" w:lineRule="exact"/>
        <w:jc w:val="center"/>
        <w:rPr>
          <w:rFonts w:ascii="Times New Roman" w:eastAsia="仿宋"/>
          <w:b/>
        </w:rPr>
      </w:pPr>
      <w:r>
        <w:rPr>
          <w:rFonts w:ascii="Times New Roman" w:eastAsia="仿宋"/>
          <w:b/>
        </w:rPr>
        <w:t>表5.2-43  石油烃对土壤累积影响预测</w:t>
      </w:r>
    </w:p>
    <w:tbl>
      <w:tblPr>
        <w:tblStyle w:val="87"/>
        <w:tblW w:w="5223"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990"/>
        <w:gridCol w:w="1336"/>
        <w:gridCol w:w="1417"/>
        <w:gridCol w:w="1310"/>
        <w:gridCol w:w="1310"/>
        <w:gridCol w:w="1310"/>
      </w:tblGrid>
      <w:tr w14:paraId="667B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14:paraId="650E2A35">
            <w:pPr>
              <w:spacing w:line="320" w:lineRule="exact"/>
              <w:contextualSpacing/>
              <w:jc w:val="center"/>
              <w:rPr>
                <w:rFonts w:ascii="Times New Roman" w:eastAsia="仿宋"/>
                <w:szCs w:val="21"/>
              </w:rPr>
            </w:pPr>
            <w:r>
              <w:rPr>
                <w:rFonts w:ascii="Times New Roman" w:eastAsia="仿宋"/>
                <w:szCs w:val="21"/>
              </w:rPr>
              <w:t>污染物</w:t>
            </w:r>
          </w:p>
        </w:tc>
        <w:tc>
          <w:tcPr>
            <w:tcW w:w="602" w:type="pct"/>
            <w:vAlign w:val="center"/>
          </w:tcPr>
          <w:p w14:paraId="60AD0209">
            <w:pPr>
              <w:spacing w:line="320" w:lineRule="exact"/>
              <w:contextualSpacing/>
              <w:jc w:val="center"/>
              <w:rPr>
                <w:rFonts w:ascii="Times New Roman" w:eastAsia="仿宋"/>
                <w:szCs w:val="21"/>
              </w:rPr>
            </w:pPr>
            <w:r>
              <w:rPr>
                <w:rFonts w:ascii="Times New Roman" w:eastAsia="仿宋"/>
                <w:szCs w:val="21"/>
              </w:rPr>
              <w:t>年输入量I</w:t>
            </w:r>
            <w:r>
              <w:rPr>
                <w:rFonts w:ascii="Times New Roman" w:eastAsia="仿宋"/>
                <w:szCs w:val="21"/>
                <w:vertAlign w:val="subscript"/>
              </w:rPr>
              <w:t>S</w:t>
            </w:r>
            <w:r>
              <w:rPr>
                <w:rFonts w:ascii="Times New Roman" w:eastAsia="仿宋"/>
                <w:szCs w:val="21"/>
              </w:rPr>
              <w:t xml:space="preserve"> (g)</w:t>
            </w:r>
          </w:p>
        </w:tc>
        <w:tc>
          <w:tcPr>
            <w:tcW w:w="796" w:type="pct"/>
            <w:vAlign w:val="center"/>
          </w:tcPr>
          <w:p w14:paraId="710DEB2C">
            <w:pPr>
              <w:spacing w:line="320" w:lineRule="exact"/>
              <w:contextualSpacing/>
              <w:jc w:val="center"/>
              <w:rPr>
                <w:rFonts w:ascii="Times New Roman" w:eastAsia="仿宋"/>
                <w:szCs w:val="21"/>
              </w:rPr>
            </w:pPr>
            <w:r>
              <w:rPr>
                <w:rFonts w:ascii="Times New Roman" w:eastAsia="仿宋"/>
                <w:szCs w:val="21"/>
              </w:rPr>
              <w:t>10年累计量S</w:t>
            </w:r>
            <w:r>
              <w:rPr>
                <w:rFonts w:ascii="Times New Roman" w:eastAsia="仿宋"/>
                <w:szCs w:val="21"/>
                <w:vertAlign w:val="subscript"/>
              </w:rPr>
              <w:t>10</w:t>
            </w:r>
            <w:r>
              <w:rPr>
                <w:rFonts w:ascii="Times New Roman" w:eastAsia="仿宋"/>
                <w:szCs w:val="21"/>
              </w:rPr>
              <w:t>（mg/kg）</w:t>
            </w:r>
          </w:p>
        </w:tc>
        <w:tc>
          <w:tcPr>
            <w:tcW w:w="842" w:type="pct"/>
            <w:vAlign w:val="center"/>
          </w:tcPr>
          <w:p w14:paraId="1BD5ACE1">
            <w:pPr>
              <w:spacing w:line="320" w:lineRule="exact"/>
              <w:contextualSpacing/>
              <w:jc w:val="center"/>
              <w:rPr>
                <w:rFonts w:ascii="Times New Roman" w:eastAsia="仿宋"/>
                <w:szCs w:val="21"/>
              </w:rPr>
            </w:pPr>
            <w:r>
              <w:rPr>
                <w:rFonts w:ascii="Times New Roman" w:eastAsia="仿宋"/>
                <w:szCs w:val="21"/>
              </w:rPr>
              <w:t>20年累计量S</w:t>
            </w:r>
            <w:r>
              <w:rPr>
                <w:rFonts w:ascii="Times New Roman" w:eastAsia="仿宋"/>
                <w:szCs w:val="21"/>
                <w:vertAlign w:val="subscript"/>
              </w:rPr>
              <w:t>20</w:t>
            </w:r>
            <w:r>
              <w:rPr>
                <w:rFonts w:ascii="Times New Roman" w:eastAsia="仿宋"/>
                <w:szCs w:val="21"/>
              </w:rPr>
              <w:t>（mg/kg）</w:t>
            </w:r>
          </w:p>
        </w:tc>
        <w:tc>
          <w:tcPr>
            <w:tcW w:w="748" w:type="pct"/>
            <w:vAlign w:val="center"/>
          </w:tcPr>
          <w:p w14:paraId="12F2156A">
            <w:pPr>
              <w:spacing w:line="320" w:lineRule="exact"/>
              <w:contextualSpacing/>
              <w:jc w:val="center"/>
              <w:rPr>
                <w:rFonts w:ascii="Times New Roman" w:eastAsia="仿宋"/>
                <w:szCs w:val="21"/>
              </w:rPr>
            </w:pPr>
            <w:r>
              <w:rPr>
                <w:rFonts w:ascii="Times New Roman" w:eastAsia="仿宋"/>
                <w:szCs w:val="21"/>
              </w:rPr>
              <w:t>30年累计量S</w:t>
            </w:r>
            <w:r>
              <w:rPr>
                <w:rFonts w:ascii="Times New Roman" w:eastAsia="仿宋"/>
                <w:szCs w:val="21"/>
                <w:vertAlign w:val="subscript"/>
              </w:rPr>
              <w:t>30</w:t>
            </w:r>
            <w:r>
              <w:rPr>
                <w:rFonts w:ascii="Times New Roman" w:eastAsia="仿宋"/>
                <w:szCs w:val="21"/>
              </w:rPr>
              <w:t>（mg/kg）</w:t>
            </w:r>
          </w:p>
        </w:tc>
        <w:tc>
          <w:tcPr>
            <w:tcW w:w="638" w:type="pct"/>
            <w:vAlign w:val="center"/>
          </w:tcPr>
          <w:p w14:paraId="26E2BD3C">
            <w:pPr>
              <w:spacing w:line="320" w:lineRule="exact"/>
              <w:contextualSpacing/>
              <w:jc w:val="center"/>
              <w:rPr>
                <w:rFonts w:ascii="Times New Roman" w:eastAsia="仿宋"/>
                <w:szCs w:val="21"/>
              </w:rPr>
            </w:pPr>
            <w:r>
              <w:rPr>
                <w:rFonts w:ascii="Times New Roman" w:eastAsia="仿宋"/>
                <w:szCs w:val="21"/>
              </w:rPr>
              <w:t>现状值S</w:t>
            </w:r>
            <w:r>
              <w:rPr>
                <w:rFonts w:ascii="Times New Roman" w:eastAsia="仿宋"/>
                <w:szCs w:val="21"/>
                <w:vertAlign w:val="subscript"/>
              </w:rPr>
              <w:t>b</w:t>
            </w:r>
            <w:r>
              <w:rPr>
                <w:rFonts w:ascii="Times New Roman" w:eastAsia="仿宋"/>
                <w:szCs w:val="21"/>
              </w:rPr>
              <w:t>（mg/kg）</w:t>
            </w:r>
          </w:p>
        </w:tc>
        <w:tc>
          <w:tcPr>
            <w:tcW w:w="636" w:type="pct"/>
            <w:vAlign w:val="center"/>
          </w:tcPr>
          <w:p w14:paraId="0997D845">
            <w:pPr>
              <w:spacing w:line="320" w:lineRule="exact"/>
              <w:contextualSpacing/>
              <w:jc w:val="center"/>
              <w:rPr>
                <w:rFonts w:ascii="Times New Roman" w:eastAsia="仿宋"/>
                <w:szCs w:val="21"/>
              </w:rPr>
            </w:pPr>
            <w:r>
              <w:rPr>
                <w:rFonts w:ascii="Times New Roman" w:eastAsia="仿宋"/>
                <w:szCs w:val="21"/>
              </w:rPr>
              <w:t>评价标准（mg/kg）</w:t>
            </w:r>
          </w:p>
        </w:tc>
      </w:tr>
      <w:tr w14:paraId="6CA5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Align w:val="center"/>
          </w:tcPr>
          <w:p w14:paraId="11A12C8A">
            <w:pPr>
              <w:spacing w:line="320" w:lineRule="exact"/>
              <w:contextualSpacing/>
              <w:jc w:val="center"/>
              <w:rPr>
                <w:rFonts w:ascii="Times New Roman" w:eastAsia="仿宋"/>
                <w:szCs w:val="21"/>
              </w:rPr>
            </w:pPr>
            <w:r>
              <w:rPr>
                <w:rFonts w:hint="eastAsia" w:ascii="Times New Roman" w:eastAsia="仿宋"/>
                <w:szCs w:val="21"/>
              </w:rPr>
              <w:t>二甲苯</w:t>
            </w:r>
          </w:p>
        </w:tc>
        <w:tc>
          <w:tcPr>
            <w:tcW w:w="602" w:type="pct"/>
            <w:vAlign w:val="center"/>
          </w:tcPr>
          <w:p w14:paraId="2FC26891">
            <w:pPr>
              <w:widowControl/>
              <w:spacing w:line="320" w:lineRule="exact"/>
              <w:jc w:val="center"/>
              <w:rPr>
                <w:rFonts w:ascii="Times New Roman" w:eastAsia="仿宋"/>
                <w:szCs w:val="21"/>
              </w:rPr>
            </w:pPr>
            <w:r>
              <w:rPr>
                <w:rFonts w:hint="eastAsia" w:ascii="Times New Roman" w:eastAsia="仿宋"/>
                <w:szCs w:val="21"/>
              </w:rPr>
              <w:t>499</w:t>
            </w:r>
          </w:p>
        </w:tc>
        <w:tc>
          <w:tcPr>
            <w:tcW w:w="796" w:type="pct"/>
            <w:vAlign w:val="center"/>
          </w:tcPr>
          <w:p w14:paraId="79AFD654">
            <w:pPr>
              <w:spacing w:line="320" w:lineRule="exact"/>
              <w:contextualSpacing/>
              <w:jc w:val="center"/>
              <w:rPr>
                <w:rFonts w:ascii="Times New Roman" w:eastAsia="仿宋"/>
                <w:szCs w:val="21"/>
              </w:rPr>
            </w:pPr>
            <w:r>
              <w:rPr>
                <w:rFonts w:hint="eastAsia" w:ascii="Times New Roman" w:eastAsia="仿宋"/>
                <w:szCs w:val="21"/>
              </w:rPr>
              <w:t>11.96</w:t>
            </w:r>
          </w:p>
        </w:tc>
        <w:tc>
          <w:tcPr>
            <w:tcW w:w="842" w:type="pct"/>
            <w:vAlign w:val="center"/>
          </w:tcPr>
          <w:p w14:paraId="6B19FC50">
            <w:pPr>
              <w:spacing w:line="320" w:lineRule="exact"/>
              <w:contextualSpacing/>
              <w:jc w:val="center"/>
              <w:rPr>
                <w:rFonts w:ascii="Times New Roman" w:eastAsia="仿宋"/>
                <w:szCs w:val="21"/>
              </w:rPr>
            </w:pPr>
            <w:r>
              <w:rPr>
                <w:rFonts w:hint="eastAsia" w:ascii="Times New Roman" w:eastAsia="仿宋"/>
                <w:szCs w:val="21"/>
              </w:rPr>
              <w:t>23.93</w:t>
            </w:r>
          </w:p>
        </w:tc>
        <w:tc>
          <w:tcPr>
            <w:tcW w:w="748" w:type="pct"/>
            <w:vAlign w:val="center"/>
          </w:tcPr>
          <w:p w14:paraId="0D2C7017">
            <w:pPr>
              <w:spacing w:line="320" w:lineRule="exact"/>
              <w:contextualSpacing/>
              <w:jc w:val="center"/>
              <w:rPr>
                <w:rFonts w:ascii="Times New Roman" w:eastAsia="仿宋"/>
                <w:szCs w:val="21"/>
              </w:rPr>
            </w:pPr>
            <w:r>
              <w:rPr>
                <w:rFonts w:hint="eastAsia" w:ascii="Times New Roman" w:eastAsia="仿宋"/>
                <w:szCs w:val="21"/>
              </w:rPr>
              <w:t>35.91</w:t>
            </w:r>
          </w:p>
        </w:tc>
        <w:tc>
          <w:tcPr>
            <w:tcW w:w="638" w:type="pct"/>
            <w:vAlign w:val="center"/>
          </w:tcPr>
          <w:p w14:paraId="137BD9D7">
            <w:pPr>
              <w:spacing w:line="320" w:lineRule="exact"/>
              <w:contextualSpacing/>
              <w:jc w:val="center"/>
              <w:rPr>
                <w:rFonts w:ascii="Times New Roman" w:eastAsia="仿宋"/>
                <w:szCs w:val="21"/>
              </w:rPr>
            </w:pPr>
            <w:r>
              <w:rPr>
                <w:rFonts w:ascii="Times New Roman" w:eastAsia="仿宋"/>
                <w:szCs w:val="21"/>
              </w:rPr>
              <w:t>1.2*10</w:t>
            </w:r>
            <w:r>
              <w:rPr>
                <w:rFonts w:ascii="Times New Roman" w:eastAsia="仿宋"/>
                <w:szCs w:val="21"/>
                <w:vertAlign w:val="superscript"/>
              </w:rPr>
              <w:t>-3</w:t>
            </w:r>
          </w:p>
        </w:tc>
        <w:tc>
          <w:tcPr>
            <w:tcW w:w="636" w:type="pct"/>
            <w:vAlign w:val="center"/>
          </w:tcPr>
          <w:p w14:paraId="021234A9">
            <w:pPr>
              <w:spacing w:line="320" w:lineRule="exact"/>
              <w:contextualSpacing/>
              <w:jc w:val="center"/>
              <w:rPr>
                <w:rFonts w:ascii="Times New Roman" w:eastAsia="仿宋"/>
                <w:szCs w:val="21"/>
              </w:rPr>
            </w:pPr>
            <w:r>
              <w:rPr>
                <w:rFonts w:hint="eastAsia" w:ascii="Times New Roman" w:eastAsia="仿宋"/>
                <w:szCs w:val="21"/>
              </w:rPr>
              <w:t>640</w:t>
            </w:r>
          </w:p>
        </w:tc>
      </w:tr>
    </w:tbl>
    <w:p w14:paraId="0DE5CAC1">
      <w:pPr>
        <w:spacing w:line="500" w:lineRule="exact"/>
        <w:ind w:firstLine="560" w:firstLineChars="200"/>
        <w:rPr>
          <w:rFonts w:ascii="Times New Roman" w:eastAsia="仿宋"/>
          <w:sz w:val="28"/>
          <w:szCs w:val="28"/>
        </w:rPr>
      </w:pPr>
      <w:r>
        <w:rPr>
          <w:rFonts w:ascii="Times New Roman" w:eastAsia="仿宋"/>
          <w:sz w:val="28"/>
          <w:szCs w:val="28"/>
        </w:rPr>
        <w:t>通过计算，本项目运行10至30年后，</w:t>
      </w:r>
      <w:r>
        <w:rPr>
          <w:rFonts w:ascii="Times New Roman" w:eastAsia="仿宋"/>
          <w:sz w:val="28"/>
          <w:szCs w:val="21"/>
        </w:rPr>
        <w:t>石油烃</w:t>
      </w:r>
      <w:r>
        <w:rPr>
          <w:rFonts w:ascii="Times New Roman" w:eastAsia="仿宋"/>
          <w:sz w:val="28"/>
          <w:szCs w:val="28"/>
        </w:rPr>
        <w:t>在土壤中的累积量远小于建设用地土壤污染风险筛选值，</w:t>
      </w:r>
      <w:r>
        <w:rPr>
          <w:rFonts w:ascii="Times New Roman" w:eastAsia="仿宋"/>
          <w:sz w:val="28"/>
          <w:szCs w:val="21"/>
        </w:rPr>
        <w:t>石油烃</w:t>
      </w:r>
      <w:r>
        <w:rPr>
          <w:rFonts w:ascii="Times New Roman" w:eastAsia="仿宋"/>
          <w:sz w:val="28"/>
          <w:szCs w:val="28"/>
        </w:rPr>
        <w:t>对土壤累积影响很小，不会对周边土壤产生明显影响。</w:t>
      </w:r>
    </w:p>
    <w:p w14:paraId="7395B692">
      <w:pPr>
        <w:keepNext/>
        <w:keepLines/>
        <w:spacing w:before="50" w:after="50" w:line="500" w:lineRule="exact"/>
        <w:outlineLvl w:val="3"/>
        <w:rPr>
          <w:rFonts w:ascii="Times New Roman" w:eastAsia="仿宋"/>
          <w:b/>
          <w:sz w:val="28"/>
          <w:szCs w:val="28"/>
        </w:rPr>
      </w:pPr>
      <w:r>
        <w:rPr>
          <w:rFonts w:ascii="Times New Roman" w:eastAsia="仿宋"/>
          <w:b/>
          <w:sz w:val="28"/>
          <w:szCs w:val="28"/>
        </w:rPr>
        <w:t>5.2.6.5土壤环境影响评价结论</w:t>
      </w:r>
    </w:p>
    <w:p w14:paraId="5913557C">
      <w:pPr>
        <w:spacing w:line="500" w:lineRule="exact"/>
        <w:ind w:firstLine="560" w:firstLineChars="200"/>
        <w:rPr>
          <w:rFonts w:ascii="Times New Roman" w:eastAsia="仿宋"/>
          <w:sz w:val="28"/>
          <w:szCs w:val="28"/>
        </w:rPr>
      </w:pPr>
      <w:r>
        <w:rPr>
          <w:rFonts w:ascii="Times New Roman" w:eastAsia="仿宋"/>
          <w:sz w:val="28"/>
          <w:szCs w:val="28"/>
        </w:rPr>
        <w:t>本次土壤环境影响评价完成后，对土壤环境影响评价主要内容与结论进行自查，详见下表。</w:t>
      </w:r>
    </w:p>
    <w:p w14:paraId="71A3B1F0">
      <w:pPr>
        <w:spacing w:line="480" w:lineRule="exact"/>
        <w:ind w:firstLine="482"/>
        <w:jc w:val="center"/>
        <w:rPr>
          <w:rFonts w:ascii="Times New Roman" w:eastAsia="仿宋"/>
          <w:b/>
        </w:rPr>
      </w:pPr>
      <w:r>
        <w:rPr>
          <w:rFonts w:ascii="Times New Roman" w:eastAsia="仿宋"/>
          <w:b/>
        </w:rPr>
        <w:t>表5.2-44  土壤环境影响评价自查表</w:t>
      </w:r>
    </w:p>
    <w:tbl>
      <w:tblPr>
        <w:tblStyle w:val="87"/>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41"/>
        <w:gridCol w:w="1706"/>
        <w:gridCol w:w="311"/>
        <w:gridCol w:w="1276"/>
        <w:gridCol w:w="1701"/>
        <w:gridCol w:w="142"/>
        <w:gridCol w:w="1984"/>
      </w:tblGrid>
      <w:tr w14:paraId="6279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vAlign w:val="center"/>
          </w:tcPr>
          <w:p w14:paraId="3BA8DF4C">
            <w:pPr>
              <w:autoSpaceDE w:val="0"/>
              <w:autoSpaceDN w:val="0"/>
              <w:adjustRightInd w:val="0"/>
              <w:spacing w:line="310" w:lineRule="exact"/>
              <w:jc w:val="center"/>
              <w:rPr>
                <w:rFonts w:ascii="Times New Roman" w:eastAsia="仿宋"/>
                <w:szCs w:val="21"/>
              </w:rPr>
            </w:pPr>
            <w:r>
              <w:rPr>
                <w:rFonts w:ascii="Times New Roman" w:eastAsia="仿宋"/>
                <w:szCs w:val="21"/>
              </w:rPr>
              <w:t>工作内容</w:t>
            </w:r>
          </w:p>
        </w:tc>
        <w:tc>
          <w:tcPr>
            <w:tcW w:w="7120" w:type="dxa"/>
            <w:gridSpan w:val="6"/>
            <w:vAlign w:val="center"/>
          </w:tcPr>
          <w:p w14:paraId="014F6332">
            <w:pPr>
              <w:autoSpaceDE w:val="0"/>
              <w:autoSpaceDN w:val="0"/>
              <w:adjustRightInd w:val="0"/>
              <w:spacing w:line="310" w:lineRule="exact"/>
              <w:jc w:val="center"/>
              <w:rPr>
                <w:rFonts w:ascii="Times New Roman" w:eastAsia="仿宋"/>
                <w:szCs w:val="21"/>
              </w:rPr>
            </w:pPr>
            <w:r>
              <w:rPr>
                <w:rFonts w:ascii="Times New Roman" w:eastAsia="仿宋"/>
                <w:szCs w:val="21"/>
              </w:rPr>
              <w:t>完成情况</w:t>
            </w:r>
          </w:p>
        </w:tc>
      </w:tr>
      <w:tr w14:paraId="3C2B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vAlign w:val="center"/>
          </w:tcPr>
          <w:p w14:paraId="28090781">
            <w:pPr>
              <w:autoSpaceDE w:val="0"/>
              <w:autoSpaceDN w:val="0"/>
              <w:adjustRightInd w:val="0"/>
              <w:spacing w:line="310" w:lineRule="exact"/>
              <w:jc w:val="center"/>
              <w:rPr>
                <w:rFonts w:ascii="Times New Roman" w:eastAsia="仿宋"/>
                <w:szCs w:val="21"/>
              </w:rPr>
            </w:pPr>
            <w:r>
              <w:rPr>
                <w:rFonts w:ascii="Times New Roman" w:eastAsia="仿宋"/>
                <w:szCs w:val="21"/>
              </w:rPr>
              <w:t>影响识别</w:t>
            </w:r>
          </w:p>
        </w:tc>
        <w:tc>
          <w:tcPr>
            <w:tcW w:w="1441" w:type="dxa"/>
            <w:vAlign w:val="center"/>
          </w:tcPr>
          <w:p w14:paraId="15333EF3">
            <w:pPr>
              <w:autoSpaceDE w:val="0"/>
              <w:autoSpaceDN w:val="0"/>
              <w:adjustRightInd w:val="0"/>
              <w:spacing w:line="310" w:lineRule="exact"/>
              <w:jc w:val="center"/>
              <w:rPr>
                <w:rFonts w:ascii="Times New Roman" w:eastAsia="仿宋"/>
                <w:szCs w:val="21"/>
              </w:rPr>
            </w:pPr>
            <w:r>
              <w:rPr>
                <w:rFonts w:ascii="Times New Roman" w:eastAsia="仿宋"/>
                <w:szCs w:val="21"/>
              </w:rPr>
              <w:t>影响类型</w:t>
            </w:r>
          </w:p>
        </w:tc>
        <w:tc>
          <w:tcPr>
            <w:tcW w:w="7120" w:type="dxa"/>
            <w:gridSpan w:val="6"/>
            <w:vAlign w:val="center"/>
          </w:tcPr>
          <w:p w14:paraId="1F931D93">
            <w:pPr>
              <w:autoSpaceDE w:val="0"/>
              <w:autoSpaceDN w:val="0"/>
              <w:adjustRightInd w:val="0"/>
              <w:spacing w:line="310" w:lineRule="exact"/>
              <w:jc w:val="left"/>
              <w:rPr>
                <w:rFonts w:ascii="Times New Roman" w:eastAsia="仿宋"/>
                <w:szCs w:val="21"/>
              </w:rPr>
            </w:pPr>
            <w:r>
              <w:rPr>
                <w:rFonts w:ascii="Times New Roman" w:eastAsia="仿宋"/>
                <w:szCs w:val="21"/>
              </w:rPr>
              <w:t>污染影响型√；生态影响型□；两种兼有□</w:t>
            </w:r>
          </w:p>
        </w:tc>
      </w:tr>
      <w:tr w14:paraId="2E80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71627C0A">
            <w:pPr>
              <w:autoSpaceDE w:val="0"/>
              <w:autoSpaceDN w:val="0"/>
              <w:adjustRightInd w:val="0"/>
              <w:spacing w:line="310" w:lineRule="exact"/>
              <w:jc w:val="center"/>
              <w:rPr>
                <w:rFonts w:ascii="Times New Roman" w:eastAsia="仿宋"/>
                <w:szCs w:val="21"/>
              </w:rPr>
            </w:pPr>
          </w:p>
        </w:tc>
        <w:tc>
          <w:tcPr>
            <w:tcW w:w="1441" w:type="dxa"/>
            <w:vAlign w:val="center"/>
          </w:tcPr>
          <w:p w14:paraId="2AC10EEA">
            <w:pPr>
              <w:autoSpaceDE w:val="0"/>
              <w:autoSpaceDN w:val="0"/>
              <w:adjustRightInd w:val="0"/>
              <w:spacing w:line="310" w:lineRule="exact"/>
              <w:jc w:val="center"/>
              <w:rPr>
                <w:rFonts w:ascii="Times New Roman" w:eastAsia="仿宋"/>
                <w:szCs w:val="21"/>
              </w:rPr>
            </w:pPr>
            <w:r>
              <w:rPr>
                <w:rFonts w:ascii="Times New Roman" w:eastAsia="仿宋"/>
                <w:szCs w:val="21"/>
              </w:rPr>
              <w:t>土地利用类型</w:t>
            </w:r>
          </w:p>
        </w:tc>
        <w:tc>
          <w:tcPr>
            <w:tcW w:w="7120" w:type="dxa"/>
            <w:gridSpan w:val="6"/>
            <w:vAlign w:val="center"/>
          </w:tcPr>
          <w:p w14:paraId="79001639">
            <w:pPr>
              <w:autoSpaceDE w:val="0"/>
              <w:autoSpaceDN w:val="0"/>
              <w:adjustRightInd w:val="0"/>
              <w:spacing w:line="310" w:lineRule="exact"/>
              <w:jc w:val="left"/>
              <w:rPr>
                <w:rFonts w:ascii="Times New Roman" w:eastAsia="仿宋"/>
                <w:szCs w:val="21"/>
              </w:rPr>
            </w:pPr>
            <w:r>
              <w:rPr>
                <w:rFonts w:ascii="Times New Roman" w:eastAsia="仿宋"/>
                <w:szCs w:val="21"/>
              </w:rPr>
              <w:t>建设用地√；农用地□；未利用地□</w:t>
            </w:r>
          </w:p>
        </w:tc>
      </w:tr>
      <w:tr w14:paraId="456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D7F8F86">
            <w:pPr>
              <w:autoSpaceDE w:val="0"/>
              <w:autoSpaceDN w:val="0"/>
              <w:adjustRightInd w:val="0"/>
              <w:spacing w:line="310" w:lineRule="exact"/>
              <w:jc w:val="center"/>
              <w:rPr>
                <w:rFonts w:ascii="Times New Roman" w:eastAsia="仿宋"/>
                <w:szCs w:val="21"/>
              </w:rPr>
            </w:pPr>
          </w:p>
        </w:tc>
        <w:tc>
          <w:tcPr>
            <w:tcW w:w="1441" w:type="dxa"/>
            <w:vAlign w:val="center"/>
          </w:tcPr>
          <w:p w14:paraId="22996CC3">
            <w:pPr>
              <w:autoSpaceDE w:val="0"/>
              <w:autoSpaceDN w:val="0"/>
              <w:adjustRightInd w:val="0"/>
              <w:spacing w:line="310" w:lineRule="exact"/>
              <w:jc w:val="center"/>
              <w:rPr>
                <w:rFonts w:ascii="Times New Roman" w:eastAsia="仿宋"/>
                <w:szCs w:val="21"/>
              </w:rPr>
            </w:pPr>
            <w:r>
              <w:rPr>
                <w:rFonts w:ascii="Times New Roman" w:eastAsia="仿宋"/>
                <w:szCs w:val="21"/>
              </w:rPr>
              <w:t>占地规模</w:t>
            </w:r>
          </w:p>
        </w:tc>
        <w:tc>
          <w:tcPr>
            <w:tcW w:w="7120" w:type="dxa"/>
            <w:gridSpan w:val="6"/>
            <w:vAlign w:val="center"/>
          </w:tcPr>
          <w:p w14:paraId="4D74E34B">
            <w:pPr>
              <w:autoSpaceDE w:val="0"/>
              <w:autoSpaceDN w:val="0"/>
              <w:adjustRightInd w:val="0"/>
              <w:spacing w:line="310" w:lineRule="exact"/>
              <w:jc w:val="left"/>
              <w:rPr>
                <w:rFonts w:ascii="Times New Roman" w:eastAsia="仿宋"/>
                <w:szCs w:val="21"/>
              </w:rPr>
            </w:pPr>
            <w:r>
              <w:rPr>
                <w:rFonts w:ascii="Times New Roman" w:eastAsia="仿宋"/>
                <w:szCs w:val="21"/>
              </w:rPr>
              <w:t>（2.6249）hm</w:t>
            </w:r>
            <w:r>
              <w:rPr>
                <w:rFonts w:ascii="Times New Roman" w:eastAsia="仿宋"/>
                <w:szCs w:val="21"/>
                <w:vertAlign w:val="superscript"/>
              </w:rPr>
              <w:t>2</w:t>
            </w:r>
          </w:p>
        </w:tc>
      </w:tr>
      <w:tr w14:paraId="2F49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F20F823">
            <w:pPr>
              <w:autoSpaceDE w:val="0"/>
              <w:autoSpaceDN w:val="0"/>
              <w:adjustRightInd w:val="0"/>
              <w:spacing w:line="310" w:lineRule="exact"/>
              <w:jc w:val="center"/>
              <w:rPr>
                <w:rFonts w:ascii="Times New Roman" w:eastAsia="仿宋"/>
                <w:szCs w:val="21"/>
              </w:rPr>
            </w:pPr>
          </w:p>
        </w:tc>
        <w:tc>
          <w:tcPr>
            <w:tcW w:w="1441" w:type="dxa"/>
            <w:vAlign w:val="center"/>
          </w:tcPr>
          <w:p w14:paraId="28FB1BF4">
            <w:pPr>
              <w:autoSpaceDE w:val="0"/>
              <w:autoSpaceDN w:val="0"/>
              <w:adjustRightInd w:val="0"/>
              <w:spacing w:line="310" w:lineRule="exact"/>
              <w:jc w:val="center"/>
              <w:rPr>
                <w:rFonts w:ascii="Times New Roman" w:eastAsia="仿宋"/>
                <w:szCs w:val="21"/>
              </w:rPr>
            </w:pPr>
            <w:r>
              <w:rPr>
                <w:rFonts w:ascii="Times New Roman" w:eastAsia="仿宋"/>
                <w:szCs w:val="21"/>
              </w:rPr>
              <w:t>敏感目标信息</w:t>
            </w:r>
          </w:p>
        </w:tc>
        <w:tc>
          <w:tcPr>
            <w:tcW w:w="7120" w:type="dxa"/>
            <w:gridSpan w:val="6"/>
            <w:vAlign w:val="center"/>
          </w:tcPr>
          <w:p w14:paraId="3285047D">
            <w:pPr>
              <w:autoSpaceDE w:val="0"/>
              <w:autoSpaceDN w:val="0"/>
              <w:adjustRightInd w:val="0"/>
              <w:spacing w:line="310" w:lineRule="exact"/>
              <w:jc w:val="left"/>
              <w:rPr>
                <w:rFonts w:ascii="Times New Roman" w:eastAsia="仿宋"/>
                <w:szCs w:val="21"/>
              </w:rPr>
            </w:pPr>
            <w:r>
              <w:rPr>
                <w:rFonts w:hint="eastAsia" w:ascii="Times New Roman" w:eastAsia="仿宋"/>
                <w:szCs w:val="21"/>
              </w:rPr>
              <w:t>见前文表2</w:t>
            </w:r>
            <w:r>
              <w:rPr>
                <w:rFonts w:ascii="Times New Roman" w:eastAsia="仿宋"/>
                <w:szCs w:val="21"/>
              </w:rPr>
              <w:t>.5-1</w:t>
            </w:r>
          </w:p>
        </w:tc>
      </w:tr>
      <w:tr w14:paraId="58CA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3CA56997">
            <w:pPr>
              <w:autoSpaceDE w:val="0"/>
              <w:autoSpaceDN w:val="0"/>
              <w:adjustRightInd w:val="0"/>
              <w:spacing w:line="310" w:lineRule="exact"/>
              <w:jc w:val="center"/>
              <w:rPr>
                <w:rFonts w:ascii="Times New Roman" w:eastAsia="仿宋"/>
                <w:szCs w:val="21"/>
              </w:rPr>
            </w:pPr>
          </w:p>
        </w:tc>
        <w:tc>
          <w:tcPr>
            <w:tcW w:w="1441" w:type="dxa"/>
            <w:vAlign w:val="center"/>
          </w:tcPr>
          <w:p w14:paraId="6710D3CF">
            <w:pPr>
              <w:autoSpaceDE w:val="0"/>
              <w:autoSpaceDN w:val="0"/>
              <w:adjustRightInd w:val="0"/>
              <w:spacing w:line="310" w:lineRule="exact"/>
              <w:jc w:val="center"/>
              <w:rPr>
                <w:rFonts w:ascii="Times New Roman" w:eastAsia="仿宋"/>
                <w:szCs w:val="21"/>
              </w:rPr>
            </w:pPr>
            <w:r>
              <w:rPr>
                <w:rFonts w:ascii="Times New Roman" w:eastAsia="仿宋"/>
                <w:szCs w:val="21"/>
              </w:rPr>
              <w:t>影响途径</w:t>
            </w:r>
          </w:p>
        </w:tc>
        <w:tc>
          <w:tcPr>
            <w:tcW w:w="7120" w:type="dxa"/>
            <w:gridSpan w:val="6"/>
            <w:vAlign w:val="center"/>
          </w:tcPr>
          <w:p w14:paraId="1C865129">
            <w:pPr>
              <w:autoSpaceDE w:val="0"/>
              <w:autoSpaceDN w:val="0"/>
              <w:adjustRightInd w:val="0"/>
              <w:spacing w:line="310" w:lineRule="exact"/>
              <w:jc w:val="left"/>
              <w:rPr>
                <w:rFonts w:ascii="Times New Roman" w:eastAsia="仿宋"/>
                <w:szCs w:val="21"/>
              </w:rPr>
            </w:pPr>
            <w:r>
              <w:rPr>
                <w:rFonts w:ascii="Times New Roman" w:eastAsia="仿宋"/>
                <w:szCs w:val="21"/>
              </w:rPr>
              <w:t>大气沉降√；地面漫流□；垂直入渗□；地下水位□；其他□</w:t>
            </w:r>
          </w:p>
        </w:tc>
      </w:tr>
      <w:tr w14:paraId="56BC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69D230A8">
            <w:pPr>
              <w:autoSpaceDE w:val="0"/>
              <w:autoSpaceDN w:val="0"/>
              <w:adjustRightInd w:val="0"/>
              <w:spacing w:line="310" w:lineRule="exact"/>
              <w:jc w:val="center"/>
              <w:rPr>
                <w:rFonts w:ascii="Times New Roman" w:eastAsia="仿宋"/>
                <w:szCs w:val="21"/>
              </w:rPr>
            </w:pPr>
          </w:p>
        </w:tc>
        <w:tc>
          <w:tcPr>
            <w:tcW w:w="1441" w:type="dxa"/>
            <w:vAlign w:val="center"/>
          </w:tcPr>
          <w:p w14:paraId="57220927">
            <w:pPr>
              <w:autoSpaceDE w:val="0"/>
              <w:autoSpaceDN w:val="0"/>
              <w:adjustRightInd w:val="0"/>
              <w:spacing w:line="310" w:lineRule="exact"/>
              <w:jc w:val="center"/>
              <w:rPr>
                <w:rFonts w:ascii="Times New Roman" w:eastAsia="仿宋"/>
                <w:szCs w:val="21"/>
              </w:rPr>
            </w:pPr>
            <w:r>
              <w:rPr>
                <w:rFonts w:ascii="Times New Roman" w:eastAsia="仿宋"/>
                <w:szCs w:val="21"/>
              </w:rPr>
              <w:t>全部污染物</w:t>
            </w:r>
          </w:p>
        </w:tc>
        <w:tc>
          <w:tcPr>
            <w:tcW w:w="7120" w:type="dxa"/>
            <w:gridSpan w:val="6"/>
            <w:vAlign w:val="center"/>
          </w:tcPr>
          <w:p w14:paraId="3855C3A7">
            <w:pPr>
              <w:autoSpaceDE w:val="0"/>
              <w:autoSpaceDN w:val="0"/>
              <w:adjustRightInd w:val="0"/>
              <w:spacing w:line="310" w:lineRule="exact"/>
              <w:jc w:val="left"/>
              <w:rPr>
                <w:rFonts w:ascii="Times New Roman" w:eastAsia="仿宋"/>
                <w:szCs w:val="21"/>
              </w:rPr>
            </w:pPr>
            <w:r>
              <w:rPr>
                <w:rFonts w:ascii="Times New Roman" w:eastAsia="仿宋"/>
                <w:szCs w:val="21"/>
              </w:rPr>
              <w:t>石油烃</w:t>
            </w:r>
          </w:p>
        </w:tc>
      </w:tr>
      <w:tr w14:paraId="54D4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5065890">
            <w:pPr>
              <w:autoSpaceDE w:val="0"/>
              <w:autoSpaceDN w:val="0"/>
              <w:adjustRightInd w:val="0"/>
              <w:spacing w:line="310" w:lineRule="exact"/>
              <w:jc w:val="center"/>
              <w:rPr>
                <w:rFonts w:ascii="Times New Roman" w:eastAsia="仿宋"/>
                <w:szCs w:val="21"/>
              </w:rPr>
            </w:pPr>
          </w:p>
        </w:tc>
        <w:tc>
          <w:tcPr>
            <w:tcW w:w="1441" w:type="dxa"/>
            <w:vAlign w:val="center"/>
          </w:tcPr>
          <w:p w14:paraId="282109B6">
            <w:pPr>
              <w:autoSpaceDE w:val="0"/>
              <w:autoSpaceDN w:val="0"/>
              <w:adjustRightInd w:val="0"/>
              <w:spacing w:line="310" w:lineRule="exact"/>
              <w:jc w:val="center"/>
              <w:rPr>
                <w:rFonts w:ascii="Times New Roman" w:eastAsia="仿宋"/>
                <w:szCs w:val="21"/>
              </w:rPr>
            </w:pPr>
            <w:r>
              <w:rPr>
                <w:rFonts w:ascii="Times New Roman" w:eastAsia="仿宋"/>
                <w:szCs w:val="21"/>
              </w:rPr>
              <w:t>特征因子</w:t>
            </w:r>
          </w:p>
        </w:tc>
        <w:tc>
          <w:tcPr>
            <w:tcW w:w="7120" w:type="dxa"/>
            <w:gridSpan w:val="6"/>
            <w:vAlign w:val="center"/>
          </w:tcPr>
          <w:p w14:paraId="6DED3A94">
            <w:pPr>
              <w:autoSpaceDE w:val="0"/>
              <w:autoSpaceDN w:val="0"/>
              <w:adjustRightInd w:val="0"/>
              <w:spacing w:line="310" w:lineRule="exact"/>
              <w:jc w:val="left"/>
              <w:rPr>
                <w:rFonts w:ascii="Times New Roman" w:eastAsia="仿宋"/>
                <w:szCs w:val="21"/>
              </w:rPr>
            </w:pPr>
            <w:r>
              <w:rPr>
                <w:rFonts w:ascii="Times New Roman" w:eastAsia="仿宋"/>
                <w:szCs w:val="21"/>
              </w:rPr>
              <w:t>石油烃</w:t>
            </w:r>
          </w:p>
        </w:tc>
      </w:tr>
      <w:tr w14:paraId="724C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04F0E571">
            <w:pPr>
              <w:autoSpaceDE w:val="0"/>
              <w:autoSpaceDN w:val="0"/>
              <w:adjustRightInd w:val="0"/>
              <w:spacing w:line="310" w:lineRule="exact"/>
              <w:jc w:val="center"/>
              <w:rPr>
                <w:rFonts w:ascii="Times New Roman" w:eastAsia="仿宋"/>
                <w:szCs w:val="21"/>
              </w:rPr>
            </w:pPr>
          </w:p>
        </w:tc>
        <w:tc>
          <w:tcPr>
            <w:tcW w:w="1441" w:type="dxa"/>
            <w:vAlign w:val="center"/>
          </w:tcPr>
          <w:p w14:paraId="66C094E5">
            <w:pPr>
              <w:autoSpaceDE w:val="0"/>
              <w:autoSpaceDN w:val="0"/>
              <w:adjustRightInd w:val="0"/>
              <w:spacing w:line="310" w:lineRule="exact"/>
              <w:jc w:val="center"/>
              <w:rPr>
                <w:rFonts w:ascii="Times New Roman" w:eastAsia="仿宋"/>
                <w:szCs w:val="21"/>
              </w:rPr>
            </w:pPr>
            <w:r>
              <w:rPr>
                <w:rFonts w:ascii="Times New Roman" w:eastAsia="仿宋"/>
                <w:szCs w:val="21"/>
              </w:rPr>
              <w:t>所属土壤环境影响评价项目类别</w:t>
            </w:r>
          </w:p>
        </w:tc>
        <w:tc>
          <w:tcPr>
            <w:tcW w:w="7120" w:type="dxa"/>
            <w:gridSpan w:val="6"/>
            <w:vAlign w:val="center"/>
          </w:tcPr>
          <w:p w14:paraId="223224C0">
            <w:pPr>
              <w:autoSpaceDE w:val="0"/>
              <w:autoSpaceDN w:val="0"/>
              <w:adjustRightInd w:val="0"/>
              <w:spacing w:line="310" w:lineRule="exact"/>
              <w:jc w:val="left"/>
              <w:rPr>
                <w:rFonts w:ascii="Times New Roman" w:eastAsia="仿宋"/>
                <w:szCs w:val="21"/>
              </w:rPr>
            </w:pPr>
            <w:r>
              <w:rPr>
                <w:rFonts w:ascii="Times New Roman" w:eastAsia="仿宋"/>
                <w:szCs w:val="21"/>
              </w:rPr>
              <w:t>I类√；II类□；III类□；IV类□</w:t>
            </w:r>
          </w:p>
        </w:tc>
      </w:tr>
      <w:tr w14:paraId="5DD2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7FC48BD3">
            <w:pPr>
              <w:autoSpaceDE w:val="0"/>
              <w:autoSpaceDN w:val="0"/>
              <w:adjustRightInd w:val="0"/>
              <w:spacing w:line="310" w:lineRule="exact"/>
              <w:jc w:val="center"/>
              <w:rPr>
                <w:rFonts w:ascii="Times New Roman" w:eastAsia="仿宋"/>
                <w:szCs w:val="21"/>
              </w:rPr>
            </w:pPr>
          </w:p>
        </w:tc>
        <w:tc>
          <w:tcPr>
            <w:tcW w:w="1441" w:type="dxa"/>
            <w:vAlign w:val="center"/>
          </w:tcPr>
          <w:p w14:paraId="260E80B5">
            <w:pPr>
              <w:autoSpaceDE w:val="0"/>
              <w:autoSpaceDN w:val="0"/>
              <w:adjustRightInd w:val="0"/>
              <w:spacing w:line="310" w:lineRule="exact"/>
              <w:jc w:val="center"/>
              <w:rPr>
                <w:rFonts w:ascii="Times New Roman" w:eastAsia="仿宋"/>
                <w:szCs w:val="21"/>
              </w:rPr>
            </w:pPr>
            <w:r>
              <w:rPr>
                <w:rFonts w:ascii="Times New Roman" w:eastAsia="仿宋"/>
                <w:szCs w:val="21"/>
              </w:rPr>
              <w:t>敏感程度</w:t>
            </w:r>
          </w:p>
        </w:tc>
        <w:tc>
          <w:tcPr>
            <w:tcW w:w="7120" w:type="dxa"/>
            <w:gridSpan w:val="6"/>
            <w:vAlign w:val="center"/>
          </w:tcPr>
          <w:p w14:paraId="2E88751C">
            <w:pPr>
              <w:autoSpaceDE w:val="0"/>
              <w:autoSpaceDN w:val="0"/>
              <w:adjustRightInd w:val="0"/>
              <w:spacing w:line="310" w:lineRule="exact"/>
              <w:jc w:val="left"/>
              <w:rPr>
                <w:rFonts w:ascii="Times New Roman" w:eastAsia="仿宋"/>
                <w:szCs w:val="21"/>
              </w:rPr>
            </w:pPr>
            <w:r>
              <w:rPr>
                <w:rFonts w:ascii="Times New Roman" w:eastAsia="仿宋"/>
                <w:szCs w:val="21"/>
              </w:rPr>
              <w:t>敏感□；较感敏□；不敏感√</w:t>
            </w:r>
          </w:p>
        </w:tc>
      </w:tr>
      <w:tr w14:paraId="5209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vAlign w:val="center"/>
          </w:tcPr>
          <w:p w14:paraId="60264C91">
            <w:pPr>
              <w:autoSpaceDE w:val="0"/>
              <w:autoSpaceDN w:val="0"/>
              <w:adjustRightInd w:val="0"/>
              <w:spacing w:line="310" w:lineRule="exact"/>
              <w:jc w:val="center"/>
              <w:rPr>
                <w:rFonts w:ascii="Times New Roman" w:eastAsia="仿宋"/>
                <w:szCs w:val="21"/>
              </w:rPr>
            </w:pPr>
            <w:r>
              <w:rPr>
                <w:rFonts w:ascii="Times New Roman" w:eastAsia="仿宋"/>
                <w:szCs w:val="21"/>
              </w:rPr>
              <w:t>评价工作等级</w:t>
            </w:r>
          </w:p>
        </w:tc>
        <w:tc>
          <w:tcPr>
            <w:tcW w:w="7120" w:type="dxa"/>
            <w:gridSpan w:val="6"/>
            <w:vAlign w:val="center"/>
          </w:tcPr>
          <w:p w14:paraId="51B77E0A">
            <w:pPr>
              <w:autoSpaceDE w:val="0"/>
              <w:autoSpaceDN w:val="0"/>
              <w:adjustRightInd w:val="0"/>
              <w:spacing w:line="310" w:lineRule="exact"/>
              <w:jc w:val="center"/>
              <w:rPr>
                <w:rFonts w:ascii="Times New Roman" w:eastAsia="仿宋"/>
                <w:szCs w:val="21"/>
              </w:rPr>
            </w:pPr>
            <w:r>
              <w:rPr>
                <w:rFonts w:ascii="Times New Roman" w:eastAsia="仿宋"/>
                <w:szCs w:val="21"/>
              </w:rPr>
              <w:t>一级□；二级√；三级□</w:t>
            </w:r>
          </w:p>
        </w:tc>
      </w:tr>
      <w:tr w14:paraId="70CA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vAlign w:val="center"/>
          </w:tcPr>
          <w:p w14:paraId="59BB14E6">
            <w:pPr>
              <w:autoSpaceDE w:val="0"/>
              <w:autoSpaceDN w:val="0"/>
              <w:adjustRightInd w:val="0"/>
              <w:spacing w:line="310" w:lineRule="exact"/>
              <w:jc w:val="center"/>
              <w:rPr>
                <w:rFonts w:ascii="Times New Roman" w:eastAsia="仿宋"/>
                <w:szCs w:val="21"/>
              </w:rPr>
            </w:pPr>
            <w:r>
              <w:rPr>
                <w:rFonts w:ascii="Times New Roman" w:eastAsia="仿宋"/>
                <w:szCs w:val="21"/>
              </w:rPr>
              <w:t>现状调查内容</w:t>
            </w:r>
          </w:p>
        </w:tc>
        <w:tc>
          <w:tcPr>
            <w:tcW w:w="1441" w:type="dxa"/>
            <w:vAlign w:val="center"/>
          </w:tcPr>
          <w:p w14:paraId="2BE6059F">
            <w:pPr>
              <w:autoSpaceDE w:val="0"/>
              <w:autoSpaceDN w:val="0"/>
              <w:adjustRightInd w:val="0"/>
              <w:spacing w:line="310" w:lineRule="exact"/>
              <w:jc w:val="center"/>
              <w:rPr>
                <w:rFonts w:ascii="Times New Roman" w:eastAsia="仿宋"/>
                <w:szCs w:val="21"/>
              </w:rPr>
            </w:pPr>
            <w:r>
              <w:rPr>
                <w:rFonts w:ascii="Times New Roman" w:eastAsia="仿宋"/>
                <w:szCs w:val="21"/>
              </w:rPr>
              <w:t>资料收集</w:t>
            </w:r>
          </w:p>
        </w:tc>
        <w:tc>
          <w:tcPr>
            <w:tcW w:w="7120" w:type="dxa"/>
            <w:gridSpan w:val="6"/>
            <w:vAlign w:val="center"/>
          </w:tcPr>
          <w:p w14:paraId="14E5A197">
            <w:pPr>
              <w:autoSpaceDE w:val="0"/>
              <w:autoSpaceDN w:val="0"/>
              <w:adjustRightInd w:val="0"/>
              <w:spacing w:line="310" w:lineRule="exact"/>
              <w:jc w:val="center"/>
              <w:rPr>
                <w:rFonts w:ascii="Times New Roman" w:eastAsia="仿宋"/>
                <w:szCs w:val="21"/>
              </w:rPr>
            </w:pPr>
            <w:r>
              <w:rPr>
                <w:rFonts w:ascii="Times New Roman" w:eastAsia="仿宋"/>
                <w:szCs w:val="21"/>
              </w:rPr>
              <w:t>a）√；b）√；c）√；d）□</w:t>
            </w:r>
          </w:p>
        </w:tc>
      </w:tr>
      <w:tr w14:paraId="0A1F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3876F236">
            <w:pPr>
              <w:autoSpaceDE w:val="0"/>
              <w:autoSpaceDN w:val="0"/>
              <w:adjustRightInd w:val="0"/>
              <w:spacing w:line="310" w:lineRule="exact"/>
              <w:jc w:val="center"/>
              <w:rPr>
                <w:rFonts w:ascii="Times New Roman" w:eastAsia="仿宋"/>
                <w:szCs w:val="21"/>
              </w:rPr>
            </w:pPr>
          </w:p>
        </w:tc>
        <w:tc>
          <w:tcPr>
            <w:tcW w:w="1441" w:type="dxa"/>
            <w:vAlign w:val="center"/>
          </w:tcPr>
          <w:p w14:paraId="35941434">
            <w:pPr>
              <w:autoSpaceDE w:val="0"/>
              <w:autoSpaceDN w:val="0"/>
              <w:adjustRightInd w:val="0"/>
              <w:spacing w:line="310" w:lineRule="exact"/>
              <w:jc w:val="center"/>
              <w:rPr>
                <w:rFonts w:ascii="Times New Roman" w:eastAsia="仿宋"/>
                <w:szCs w:val="21"/>
              </w:rPr>
            </w:pPr>
            <w:r>
              <w:rPr>
                <w:rFonts w:ascii="Times New Roman" w:eastAsia="仿宋"/>
                <w:szCs w:val="21"/>
              </w:rPr>
              <w:t>理化特性</w:t>
            </w:r>
          </w:p>
        </w:tc>
        <w:tc>
          <w:tcPr>
            <w:tcW w:w="7120" w:type="dxa"/>
            <w:gridSpan w:val="6"/>
            <w:vAlign w:val="center"/>
          </w:tcPr>
          <w:p w14:paraId="75B2E361">
            <w:pPr>
              <w:autoSpaceDE w:val="0"/>
              <w:autoSpaceDN w:val="0"/>
              <w:adjustRightInd w:val="0"/>
              <w:spacing w:line="310" w:lineRule="exact"/>
              <w:jc w:val="center"/>
              <w:rPr>
                <w:rFonts w:ascii="Times New Roman" w:eastAsia="仿宋"/>
                <w:szCs w:val="21"/>
              </w:rPr>
            </w:pPr>
            <w:r>
              <w:rPr>
                <w:rFonts w:ascii="Times New Roman" w:eastAsia="仿宋"/>
                <w:szCs w:val="21"/>
              </w:rPr>
              <w:t>见表4.2-8</w:t>
            </w:r>
          </w:p>
        </w:tc>
      </w:tr>
      <w:tr w14:paraId="056E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0AA63031">
            <w:pPr>
              <w:autoSpaceDE w:val="0"/>
              <w:autoSpaceDN w:val="0"/>
              <w:adjustRightInd w:val="0"/>
              <w:spacing w:line="310" w:lineRule="exact"/>
              <w:jc w:val="center"/>
              <w:rPr>
                <w:rFonts w:ascii="Times New Roman" w:eastAsia="仿宋"/>
                <w:szCs w:val="21"/>
              </w:rPr>
            </w:pPr>
          </w:p>
        </w:tc>
        <w:tc>
          <w:tcPr>
            <w:tcW w:w="1441" w:type="dxa"/>
            <w:vMerge w:val="restart"/>
            <w:vAlign w:val="center"/>
          </w:tcPr>
          <w:p w14:paraId="5E61E7D9">
            <w:pPr>
              <w:autoSpaceDE w:val="0"/>
              <w:autoSpaceDN w:val="0"/>
              <w:adjustRightInd w:val="0"/>
              <w:spacing w:line="310" w:lineRule="exact"/>
              <w:jc w:val="center"/>
              <w:rPr>
                <w:rFonts w:ascii="Times New Roman" w:eastAsia="仿宋"/>
                <w:szCs w:val="21"/>
              </w:rPr>
            </w:pPr>
            <w:r>
              <w:rPr>
                <w:rFonts w:ascii="Times New Roman" w:eastAsia="仿宋"/>
                <w:szCs w:val="21"/>
              </w:rPr>
              <w:t>现状监测点位</w:t>
            </w:r>
          </w:p>
        </w:tc>
        <w:tc>
          <w:tcPr>
            <w:tcW w:w="1706" w:type="dxa"/>
            <w:vAlign w:val="center"/>
          </w:tcPr>
          <w:p w14:paraId="221FAF4B">
            <w:pPr>
              <w:autoSpaceDE w:val="0"/>
              <w:autoSpaceDN w:val="0"/>
              <w:adjustRightInd w:val="0"/>
              <w:spacing w:line="310" w:lineRule="exact"/>
              <w:jc w:val="center"/>
              <w:rPr>
                <w:rFonts w:ascii="Times New Roman" w:eastAsia="仿宋"/>
                <w:szCs w:val="21"/>
              </w:rPr>
            </w:pPr>
          </w:p>
        </w:tc>
        <w:tc>
          <w:tcPr>
            <w:tcW w:w="1587" w:type="dxa"/>
            <w:gridSpan w:val="2"/>
            <w:vAlign w:val="center"/>
          </w:tcPr>
          <w:p w14:paraId="217AD30C">
            <w:pPr>
              <w:autoSpaceDE w:val="0"/>
              <w:autoSpaceDN w:val="0"/>
              <w:adjustRightInd w:val="0"/>
              <w:spacing w:line="310" w:lineRule="exact"/>
              <w:jc w:val="center"/>
              <w:rPr>
                <w:rFonts w:ascii="Times New Roman" w:eastAsia="仿宋"/>
                <w:szCs w:val="21"/>
              </w:rPr>
            </w:pPr>
            <w:r>
              <w:rPr>
                <w:rFonts w:ascii="Times New Roman" w:eastAsia="仿宋"/>
                <w:szCs w:val="21"/>
              </w:rPr>
              <w:t>占地范围内</w:t>
            </w:r>
          </w:p>
        </w:tc>
        <w:tc>
          <w:tcPr>
            <w:tcW w:w="1843" w:type="dxa"/>
            <w:gridSpan w:val="2"/>
            <w:vAlign w:val="center"/>
          </w:tcPr>
          <w:p w14:paraId="7E66F4B9">
            <w:pPr>
              <w:autoSpaceDE w:val="0"/>
              <w:autoSpaceDN w:val="0"/>
              <w:adjustRightInd w:val="0"/>
              <w:spacing w:line="310" w:lineRule="exact"/>
              <w:jc w:val="center"/>
              <w:rPr>
                <w:rFonts w:ascii="Times New Roman" w:eastAsia="仿宋"/>
                <w:szCs w:val="21"/>
              </w:rPr>
            </w:pPr>
            <w:r>
              <w:rPr>
                <w:rFonts w:ascii="Times New Roman" w:eastAsia="仿宋"/>
                <w:szCs w:val="21"/>
              </w:rPr>
              <w:t>占地范围外</w:t>
            </w:r>
          </w:p>
        </w:tc>
        <w:tc>
          <w:tcPr>
            <w:tcW w:w="1984" w:type="dxa"/>
            <w:vAlign w:val="center"/>
          </w:tcPr>
          <w:p w14:paraId="27B52B6A">
            <w:pPr>
              <w:autoSpaceDE w:val="0"/>
              <w:autoSpaceDN w:val="0"/>
              <w:adjustRightInd w:val="0"/>
              <w:spacing w:line="310" w:lineRule="exact"/>
              <w:jc w:val="center"/>
              <w:rPr>
                <w:rFonts w:ascii="Times New Roman" w:eastAsia="仿宋"/>
                <w:szCs w:val="21"/>
              </w:rPr>
            </w:pPr>
            <w:r>
              <w:rPr>
                <w:rFonts w:ascii="Times New Roman" w:eastAsia="仿宋"/>
                <w:szCs w:val="21"/>
              </w:rPr>
              <w:t>深度</w:t>
            </w:r>
          </w:p>
        </w:tc>
      </w:tr>
      <w:tr w14:paraId="159C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EEBC96B">
            <w:pPr>
              <w:autoSpaceDE w:val="0"/>
              <w:autoSpaceDN w:val="0"/>
              <w:adjustRightInd w:val="0"/>
              <w:spacing w:line="310" w:lineRule="exact"/>
              <w:jc w:val="center"/>
              <w:rPr>
                <w:rFonts w:ascii="Times New Roman" w:eastAsia="仿宋"/>
                <w:szCs w:val="21"/>
              </w:rPr>
            </w:pPr>
          </w:p>
        </w:tc>
        <w:tc>
          <w:tcPr>
            <w:tcW w:w="1441" w:type="dxa"/>
            <w:vMerge w:val="continue"/>
            <w:vAlign w:val="center"/>
          </w:tcPr>
          <w:p w14:paraId="7D3474C8">
            <w:pPr>
              <w:autoSpaceDE w:val="0"/>
              <w:autoSpaceDN w:val="0"/>
              <w:adjustRightInd w:val="0"/>
              <w:spacing w:line="310" w:lineRule="exact"/>
              <w:jc w:val="center"/>
              <w:rPr>
                <w:rFonts w:ascii="Times New Roman" w:eastAsia="仿宋"/>
                <w:szCs w:val="21"/>
              </w:rPr>
            </w:pPr>
          </w:p>
        </w:tc>
        <w:tc>
          <w:tcPr>
            <w:tcW w:w="1706" w:type="dxa"/>
            <w:vAlign w:val="center"/>
          </w:tcPr>
          <w:p w14:paraId="4103238E">
            <w:pPr>
              <w:autoSpaceDE w:val="0"/>
              <w:autoSpaceDN w:val="0"/>
              <w:adjustRightInd w:val="0"/>
              <w:spacing w:line="310" w:lineRule="exact"/>
              <w:jc w:val="center"/>
              <w:rPr>
                <w:rFonts w:ascii="Times New Roman" w:eastAsia="仿宋"/>
                <w:szCs w:val="21"/>
              </w:rPr>
            </w:pPr>
            <w:r>
              <w:rPr>
                <w:rFonts w:ascii="Times New Roman" w:eastAsia="仿宋"/>
                <w:szCs w:val="21"/>
              </w:rPr>
              <w:t>表层样点位</w:t>
            </w:r>
          </w:p>
        </w:tc>
        <w:tc>
          <w:tcPr>
            <w:tcW w:w="1587" w:type="dxa"/>
            <w:gridSpan w:val="2"/>
            <w:vAlign w:val="center"/>
          </w:tcPr>
          <w:p w14:paraId="55875137">
            <w:pPr>
              <w:autoSpaceDE w:val="0"/>
              <w:autoSpaceDN w:val="0"/>
              <w:adjustRightInd w:val="0"/>
              <w:spacing w:line="310" w:lineRule="exact"/>
              <w:jc w:val="center"/>
              <w:rPr>
                <w:rFonts w:ascii="Times New Roman" w:eastAsia="仿宋"/>
                <w:szCs w:val="21"/>
              </w:rPr>
            </w:pPr>
            <w:r>
              <w:rPr>
                <w:rFonts w:hint="eastAsia" w:ascii="Times New Roman" w:eastAsia="仿宋"/>
                <w:szCs w:val="21"/>
              </w:rPr>
              <w:t>1</w:t>
            </w:r>
            <w:r>
              <w:rPr>
                <w:rFonts w:ascii="Times New Roman" w:eastAsia="仿宋"/>
                <w:szCs w:val="21"/>
              </w:rPr>
              <w:t>个</w:t>
            </w:r>
          </w:p>
        </w:tc>
        <w:tc>
          <w:tcPr>
            <w:tcW w:w="1843" w:type="dxa"/>
            <w:gridSpan w:val="2"/>
            <w:vAlign w:val="center"/>
          </w:tcPr>
          <w:p w14:paraId="1D44200B">
            <w:pPr>
              <w:autoSpaceDE w:val="0"/>
              <w:autoSpaceDN w:val="0"/>
              <w:adjustRightInd w:val="0"/>
              <w:spacing w:line="310" w:lineRule="exact"/>
              <w:jc w:val="center"/>
              <w:rPr>
                <w:rFonts w:ascii="Times New Roman" w:eastAsia="仿宋"/>
                <w:szCs w:val="21"/>
              </w:rPr>
            </w:pPr>
            <w:r>
              <w:rPr>
                <w:rFonts w:hint="eastAsia" w:ascii="Times New Roman" w:eastAsia="仿宋"/>
                <w:szCs w:val="21"/>
              </w:rPr>
              <w:t>2</w:t>
            </w:r>
            <w:r>
              <w:rPr>
                <w:rFonts w:ascii="Times New Roman" w:eastAsia="仿宋"/>
                <w:szCs w:val="21"/>
              </w:rPr>
              <w:t>个</w:t>
            </w:r>
          </w:p>
        </w:tc>
        <w:tc>
          <w:tcPr>
            <w:tcW w:w="1984" w:type="dxa"/>
            <w:vAlign w:val="center"/>
          </w:tcPr>
          <w:p w14:paraId="640BAA93">
            <w:pPr>
              <w:autoSpaceDE w:val="0"/>
              <w:autoSpaceDN w:val="0"/>
              <w:adjustRightInd w:val="0"/>
              <w:spacing w:line="310" w:lineRule="exact"/>
              <w:jc w:val="center"/>
              <w:rPr>
                <w:rFonts w:ascii="Times New Roman" w:eastAsia="仿宋"/>
                <w:szCs w:val="21"/>
              </w:rPr>
            </w:pPr>
            <w:r>
              <w:rPr>
                <w:rFonts w:ascii="Times New Roman" w:eastAsia="仿宋"/>
                <w:szCs w:val="21"/>
              </w:rPr>
              <w:t>0-0.2m</w:t>
            </w:r>
          </w:p>
        </w:tc>
      </w:tr>
      <w:tr w14:paraId="5126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3C6F0D5F">
            <w:pPr>
              <w:autoSpaceDE w:val="0"/>
              <w:autoSpaceDN w:val="0"/>
              <w:adjustRightInd w:val="0"/>
              <w:spacing w:line="310" w:lineRule="exact"/>
              <w:jc w:val="center"/>
              <w:rPr>
                <w:rFonts w:ascii="Times New Roman" w:eastAsia="仿宋"/>
                <w:szCs w:val="21"/>
              </w:rPr>
            </w:pPr>
          </w:p>
        </w:tc>
        <w:tc>
          <w:tcPr>
            <w:tcW w:w="1441" w:type="dxa"/>
            <w:vMerge w:val="continue"/>
            <w:vAlign w:val="center"/>
          </w:tcPr>
          <w:p w14:paraId="03E4BE84">
            <w:pPr>
              <w:autoSpaceDE w:val="0"/>
              <w:autoSpaceDN w:val="0"/>
              <w:adjustRightInd w:val="0"/>
              <w:spacing w:line="310" w:lineRule="exact"/>
              <w:jc w:val="center"/>
              <w:rPr>
                <w:rFonts w:ascii="Times New Roman" w:eastAsia="仿宋"/>
                <w:szCs w:val="21"/>
              </w:rPr>
            </w:pPr>
          </w:p>
        </w:tc>
        <w:tc>
          <w:tcPr>
            <w:tcW w:w="1706" w:type="dxa"/>
            <w:vAlign w:val="center"/>
          </w:tcPr>
          <w:p w14:paraId="7340A286">
            <w:pPr>
              <w:autoSpaceDE w:val="0"/>
              <w:autoSpaceDN w:val="0"/>
              <w:adjustRightInd w:val="0"/>
              <w:spacing w:line="310" w:lineRule="exact"/>
              <w:jc w:val="center"/>
              <w:rPr>
                <w:rFonts w:ascii="Times New Roman" w:eastAsia="仿宋"/>
                <w:szCs w:val="21"/>
              </w:rPr>
            </w:pPr>
            <w:r>
              <w:rPr>
                <w:rFonts w:ascii="Times New Roman" w:eastAsia="仿宋"/>
                <w:szCs w:val="21"/>
              </w:rPr>
              <w:t>柱状样点位</w:t>
            </w:r>
          </w:p>
        </w:tc>
        <w:tc>
          <w:tcPr>
            <w:tcW w:w="1587" w:type="dxa"/>
            <w:gridSpan w:val="2"/>
            <w:vAlign w:val="center"/>
          </w:tcPr>
          <w:p w14:paraId="231372C2">
            <w:pPr>
              <w:autoSpaceDE w:val="0"/>
              <w:autoSpaceDN w:val="0"/>
              <w:adjustRightInd w:val="0"/>
              <w:spacing w:line="310" w:lineRule="exact"/>
              <w:jc w:val="center"/>
              <w:rPr>
                <w:rFonts w:ascii="Times New Roman" w:eastAsia="仿宋"/>
                <w:szCs w:val="21"/>
              </w:rPr>
            </w:pPr>
            <w:r>
              <w:rPr>
                <w:rFonts w:hint="eastAsia" w:ascii="Times New Roman" w:eastAsia="仿宋"/>
                <w:szCs w:val="21"/>
              </w:rPr>
              <w:t>3</w:t>
            </w:r>
            <w:r>
              <w:rPr>
                <w:rFonts w:ascii="Times New Roman" w:eastAsia="仿宋"/>
                <w:szCs w:val="21"/>
              </w:rPr>
              <w:t>个</w:t>
            </w:r>
          </w:p>
        </w:tc>
        <w:tc>
          <w:tcPr>
            <w:tcW w:w="1843" w:type="dxa"/>
            <w:gridSpan w:val="2"/>
            <w:vAlign w:val="center"/>
          </w:tcPr>
          <w:p w14:paraId="55997C98">
            <w:pPr>
              <w:autoSpaceDE w:val="0"/>
              <w:autoSpaceDN w:val="0"/>
              <w:adjustRightInd w:val="0"/>
              <w:spacing w:line="310" w:lineRule="exact"/>
              <w:jc w:val="center"/>
              <w:rPr>
                <w:rFonts w:ascii="Times New Roman" w:eastAsia="仿宋"/>
                <w:szCs w:val="21"/>
              </w:rPr>
            </w:pPr>
            <w:r>
              <w:rPr>
                <w:rFonts w:ascii="Times New Roman" w:eastAsia="仿宋"/>
                <w:szCs w:val="21"/>
              </w:rPr>
              <w:t>0个</w:t>
            </w:r>
          </w:p>
        </w:tc>
        <w:tc>
          <w:tcPr>
            <w:tcW w:w="1984" w:type="dxa"/>
            <w:vAlign w:val="center"/>
          </w:tcPr>
          <w:p w14:paraId="1674E800">
            <w:pPr>
              <w:autoSpaceDE w:val="0"/>
              <w:autoSpaceDN w:val="0"/>
              <w:adjustRightInd w:val="0"/>
              <w:spacing w:line="310" w:lineRule="exact"/>
              <w:jc w:val="center"/>
              <w:rPr>
                <w:rFonts w:ascii="Times New Roman" w:eastAsia="仿宋"/>
                <w:szCs w:val="21"/>
              </w:rPr>
            </w:pPr>
            <w:r>
              <w:rPr>
                <w:rFonts w:ascii="Times New Roman" w:eastAsia="仿宋"/>
                <w:szCs w:val="21"/>
              </w:rPr>
              <w:t>0-0.5m，0.5-1.5m，1.5-3m、3-6m</w:t>
            </w:r>
          </w:p>
        </w:tc>
      </w:tr>
      <w:tr w14:paraId="435E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DC6853E">
            <w:pPr>
              <w:autoSpaceDE w:val="0"/>
              <w:autoSpaceDN w:val="0"/>
              <w:adjustRightInd w:val="0"/>
              <w:spacing w:line="310" w:lineRule="exact"/>
              <w:jc w:val="center"/>
              <w:rPr>
                <w:rFonts w:ascii="Times New Roman" w:eastAsia="仿宋"/>
                <w:szCs w:val="21"/>
              </w:rPr>
            </w:pPr>
          </w:p>
        </w:tc>
        <w:tc>
          <w:tcPr>
            <w:tcW w:w="1441" w:type="dxa"/>
            <w:vAlign w:val="center"/>
          </w:tcPr>
          <w:p w14:paraId="3978D7A5">
            <w:pPr>
              <w:autoSpaceDE w:val="0"/>
              <w:autoSpaceDN w:val="0"/>
              <w:adjustRightInd w:val="0"/>
              <w:spacing w:line="310" w:lineRule="exact"/>
              <w:jc w:val="center"/>
              <w:rPr>
                <w:rFonts w:ascii="Times New Roman" w:eastAsia="仿宋"/>
                <w:szCs w:val="21"/>
              </w:rPr>
            </w:pPr>
            <w:r>
              <w:rPr>
                <w:rFonts w:ascii="Times New Roman" w:eastAsia="仿宋"/>
                <w:szCs w:val="21"/>
              </w:rPr>
              <w:t>现状监测因子</w:t>
            </w:r>
          </w:p>
        </w:tc>
        <w:tc>
          <w:tcPr>
            <w:tcW w:w="7120" w:type="dxa"/>
            <w:gridSpan w:val="6"/>
            <w:vAlign w:val="center"/>
          </w:tcPr>
          <w:p w14:paraId="5B54DF49">
            <w:pPr>
              <w:autoSpaceDE w:val="0"/>
              <w:autoSpaceDN w:val="0"/>
              <w:adjustRightInd w:val="0"/>
              <w:spacing w:line="310" w:lineRule="exact"/>
              <w:jc w:val="center"/>
              <w:rPr>
                <w:rFonts w:ascii="Times New Roman" w:eastAsia="仿宋"/>
                <w:szCs w:val="21"/>
              </w:rPr>
            </w:pPr>
            <w:r>
              <w:rPr>
                <w:rFonts w:ascii="Times New Roman" w:eastAsia="仿宋"/>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石油烃</w:t>
            </w:r>
          </w:p>
        </w:tc>
      </w:tr>
      <w:tr w14:paraId="32CC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vAlign w:val="center"/>
          </w:tcPr>
          <w:p w14:paraId="2A59B8B7">
            <w:pPr>
              <w:autoSpaceDE w:val="0"/>
              <w:autoSpaceDN w:val="0"/>
              <w:adjustRightInd w:val="0"/>
              <w:spacing w:line="310" w:lineRule="exact"/>
              <w:jc w:val="center"/>
              <w:rPr>
                <w:rFonts w:ascii="Times New Roman" w:eastAsia="仿宋"/>
                <w:szCs w:val="21"/>
              </w:rPr>
            </w:pPr>
            <w:r>
              <w:rPr>
                <w:rFonts w:ascii="Times New Roman" w:eastAsia="仿宋"/>
                <w:szCs w:val="21"/>
              </w:rPr>
              <w:t>现状评价</w:t>
            </w:r>
          </w:p>
        </w:tc>
        <w:tc>
          <w:tcPr>
            <w:tcW w:w="1441" w:type="dxa"/>
            <w:vAlign w:val="center"/>
          </w:tcPr>
          <w:p w14:paraId="1B197AA9">
            <w:pPr>
              <w:autoSpaceDE w:val="0"/>
              <w:autoSpaceDN w:val="0"/>
              <w:adjustRightInd w:val="0"/>
              <w:spacing w:line="310" w:lineRule="exact"/>
              <w:jc w:val="center"/>
              <w:rPr>
                <w:rFonts w:ascii="Times New Roman" w:eastAsia="仿宋"/>
                <w:szCs w:val="21"/>
              </w:rPr>
            </w:pPr>
            <w:r>
              <w:rPr>
                <w:rFonts w:ascii="Times New Roman" w:eastAsia="仿宋"/>
                <w:szCs w:val="21"/>
              </w:rPr>
              <w:t>评价因子</w:t>
            </w:r>
          </w:p>
        </w:tc>
        <w:tc>
          <w:tcPr>
            <w:tcW w:w="7120" w:type="dxa"/>
            <w:gridSpan w:val="6"/>
            <w:vAlign w:val="center"/>
          </w:tcPr>
          <w:p w14:paraId="15477EAD">
            <w:pPr>
              <w:autoSpaceDE w:val="0"/>
              <w:autoSpaceDN w:val="0"/>
              <w:adjustRightInd w:val="0"/>
              <w:spacing w:line="310" w:lineRule="exact"/>
              <w:jc w:val="center"/>
              <w:rPr>
                <w:rFonts w:ascii="Times New Roman" w:eastAsia="仿宋"/>
                <w:szCs w:val="21"/>
              </w:rPr>
            </w:pPr>
            <w:r>
              <w:rPr>
                <w:rFonts w:ascii="Times New Roman" w:eastAsia="仿宋"/>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石油烃</w:t>
            </w:r>
          </w:p>
        </w:tc>
      </w:tr>
      <w:tr w14:paraId="2E59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087EE536">
            <w:pPr>
              <w:autoSpaceDE w:val="0"/>
              <w:autoSpaceDN w:val="0"/>
              <w:adjustRightInd w:val="0"/>
              <w:spacing w:line="310" w:lineRule="exact"/>
              <w:jc w:val="center"/>
              <w:rPr>
                <w:rFonts w:ascii="Times New Roman" w:eastAsia="仿宋"/>
                <w:szCs w:val="21"/>
              </w:rPr>
            </w:pPr>
          </w:p>
        </w:tc>
        <w:tc>
          <w:tcPr>
            <w:tcW w:w="1441" w:type="dxa"/>
            <w:vAlign w:val="center"/>
          </w:tcPr>
          <w:p w14:paraId="26964282">
            <w:pPr>
              <w:autoSpaceDE w:val="0"/>
              <w:autoSpaceDN w:val="0"/>
              <w:adjustRightInd w:val="0"/>
              <w:spacing w:line="310" w:lineRule="exact"/>
              <w:jc w:val="center"/>
              <w:rPr>
                <w:rFonts w:ascii="Times New Roman" w:eastAsia="仿宋"/>
                <w:szCs w:val="21"/>
              </w:rPr>
            </w:pPr>
            <w:r>
              <w:rPr>
                <w:rFonts w:ascii="Times New Roman" w:eastAsia="仿宋"/>
                <w:szCs w:val="21"/>
              </w:rPr>
              <w:t>评价标准</w:t>
            </w:r>
          </w:p>
        </w:tc>
        <w:tc>
          <w:tcPr>
            <w:tcW w:w="7120" w:type="dxa"/>
            <w:gridSpan w:val="6"/>
            <w:vAlign w:val="center"/>
          </w:tcPr>
          <w:p w14:paraId="79ECC544">
            <w:pPr>
              <w:autoSpaceDE w:val="0"/>
              <w:autoSpaceDN w:val="0"/>
              <w:adjustRightInd w:val="0"/>
              <w:spacing w:line="310" w:lineRule="exact"/>
              <w:jc w:val="center"/>
              <w:rPr>
                <w:rFonts w:ascii="Times New Roman" w:eastAsia="仿宋"/>
                <w:szCs w:val="21"/>
              </w:rPr>
            </w:pPr>
            <w:r>
              <w:rPr>
                <w:rFonts w:ascii="Times New Roman" w:eastAsia="仿宋"/>
                <w:szCs w:val="21"/>
              </w:rPr>
              <w:t>GB15618□；GB36600√；表D.1□；表D.2□；其他（）</w:t>
            </w:r>
          </w:p>
        </w:tc>
      </w:tr>
      <w:tr w14:paraId="3AE0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6412A092">
            <w:pPr>
              <w:autoSpaceDE w:val="0"/>
              <w:autoSpaceDN w:val="0"/>
              <w:adjustRightInd w:val="0"/>
              <w:spacing w:line="310" w:lineRule="exact"/>
              <w:jc w:val="center"/>
              <w:rPr>
                <w:rFonts w:ascii="Times New Roman" w:eastAsia="仿宋"/>
                <w:szCs w:val="21"/>
              </w:rPr>
            </w:pPr>
          </w:p>
        </w:tc>
        <w:tc>
          <w:tcPr>
            <w:tcW w:w="1441" w:type="dxa"/>
            <w:vAlign w:val="center"/>
          </w:tcPr>
          <w:p w14:paraId="38EFBCD5">
            <w:pPr>
              <w:autoSpaceDE w:val="0"/>
              <w:autoSpaceDN w:val="0"/>
              <w:adjustRightInd w:val="0"/>
              <w:spacing w:line="310" w:lineRule="exact"/>
              <w:jc w:val="center"/>
              <w:rPr>
                <w:rFonts w:ascii="Times New Roman" w:eastAsia="仿宋"/>
                <w:szCs w:val="21"/>
              </w:rPr>
            </w:pPr>
            <w:r>
              <w:rPr>
                <w:rFonts w:ascii="Times New Roman" w:eastAsia="仿宋"/>
                <w:szCs w:val="21"/>
              </w:rPr>
              <w:t>现状评价结论</w:t>
            </w:r>
          </w:p>
        </w:tc>
        <w:tc>
          <w:tcPr>
            <w:tcW w:w="7120" w:type="dxa"/>
            <w:gridSpan w:val="6"/>
            <w:vAlign w:val="center"/>
          </w:tcPr>
          <w:p w14:paraId="4F63CE88">
            <w:pPr>
              <w:autoSpaceDE w:val="0"/>
              <w:autoSpaceDN w:val="0"/>
              <w:adjustRightInd w:val="0"/>
              <w:spacing w:line="310" w:lineRule="exact"/>
              <w:jc w:val="center"/>
              <w:rPr>
                <w:rFonts w:ascii="Times New Roman" w:eastAsia="仿宋"/>
                <w:szCs w:val="21"/>
              </w:rPr>
            </w:pPr>
            <w:r>
              <w:rPr>
                <w:rFonts w:ascii="Times New Roman" w:eastAsia="仿宋"/>
                <w:szCs w:val="21"/>
              </w:rPr>
              <w:t>各项土壤指标均低于《土壤环境质量建设用地土壤污染风险管控标准（试行）》（GB36600-2018）中第二类用地土壤污染风险筛选值。</w:t>
            </w:r>
          </w:p>
        </w:tc>
      </w:tr>
      <w:tr w14:paraId="2B7D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vAlign w:val="center"/>
          </w:tcPr>
          <w:p w14:paraId="6314D434">
            <w:pPr>
              <w:autoSpaceDE w:val="0"/>
              <w:autoSpaceDN w:val="0"/>
              <w:adjustRightInd w:val="0"/>
              <w:spacing w:line="310" w:lineRule="exact"/>
              <w:jc w:val="center"/>
              <w:rPr>
                <w:rFonts w:ascii="Times New Roman" w:eastAsia="仿宋"/>
                <w:szCs w:val="21"/>
              </w:rPr>
            </w:pPr>
            <w:r>
              <w:rPr>
                <w:rFonts w:ascii="Times New Roman" w:eastAsia="仿宋"/>
                <w:szCs w:val="21"/>
              </w:rPr>
              <w:t>影响预测</w:t>
            </w:r>
          </w:p>
        </w:tc>
        <w:tc>
          <w:tcPr>
            <w:tcW w:w="1441" w:type="dxa"/>
            <w:vAlign w:val="center"/>
          </w:tcPr>
          <w:p w14:paraId="68A0083F">
            <w:pPr>
              <w:autoSpaceDE w:val="0"/>
              <w:autoSpaceDN w:val="0"/>
              <w:adjustRightInd w:val="0"/>
              <w:spacing w:line="310" w:lineRule="exact"/>
              <w:jc w:val="center"/>
              <w:rPr>
                <w:rFonts w:ascii="Times New Roman" w:eastAsia="仿宋"/>
                <w:szCs w:val="21"/>
              </w:rPr>
            </w:pPr>
            <w:r>
              <w:rPr>
                <w:rFonts w:ascii="Times New Roman" w:eastAsia="仿宋"/>
                <w:szCs w:val="21"/>
              </w:rPr>
              <w:t>预测因子</w:t>
            </w:r>
          </w:p>
        </w:tc>
        <w:tc>
          <w:tcPr>
            <w:tcW w:w="7120" w:type="dxa"/>
            <w:gridSpan w:val="6"/>
            <w:vAlign w:val="center"/>
          </w:tcPr>
          <w:p w14:paraId="5352908D">
            <w:pPr>
              <w:autoSpaceDE w:val="0"/>
              <w:autoSpaceDN w:val="0"/>
              <w:adjustRightInd w:val="0"/>
              <w:spacing w:line="310" w:lineRule="exact"/>
              <w:jc w:val="center"/>
              <w:rPr>
                <w:rFonts w:ascii="Times New Roman" w:eastAsia="仿宋"/>
                <w:szCs w:val="21"/>
              </w:rPr>
            </w:pPr>
            <w:r>
              <w:rPr>
                <w:rFonts w:ascii="Times New Roman" w:eastAsia="仿宋"/>
                <w:szCs w:val="21"/>
              </w:rPr>
              <w:t>石油烃</w:t>
            </w:r>
          </w:p>
        </w:tc>
      </w:tr>
      <w:tr w14:paraId="7911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11FE45C6">
            <w:pPr>
              <w:autoSpaceDE w:val="0"/>
              <w:autoSpaceDN w:val="0"/>
              <w:adjustRightInd w:val="0"/>
              <w:spacing w:line="310" w:lineRule="exact"/>
              <w:jc w:val="center"/>
              <w:rPr>
                <w:rFonts w:ascii="Times New Roman" w:eastAsia="仿宋"/>
                <w:szCs w:val="21"/>
              </w:rPr>
            </w:pPr>
          </w:p>
        </w:tc>
        <w:tc>
          <w:tcPr>
            <w:tcW w:w="1441" w:type="dxa"/>
            <w:vAlign w:val="center"/>
          </w:tcPr>
          <w:p w14:paraId="46660E1E">
            <w:pPr>
              <w:autoSpaceDE w:val="0"/>
              <w:autoSpaceDN w:val="0"/>
              <w:adjustRightInd w:val="0"/>
              <w:spacing w:line="310" w:lineRule="exact"/>
              <w:jc w:val="center"/>
              <w:rPr>
                <w:rFonts w:ascii="Times New Roman" w:eastAsia="仿宋"/>
                <w:szCs w:val="21"/>
              </w:rPr>
            </w:pPr>
            <w:r>
              <w:rPr>
                <w:rFonts w:ascii="Times New Roman" w:eastAsia="仿宋"/>
                <w:szCs w:val="21"/>
              </w:rPr>
              <w:t>预测方法</w:t>
            </w:r>
          </w:p>
        </w:tc>
        <w:tc>
          <w:tcPr>
            <w:tcW w:w="7120" w:type="dxa"/>
            <w:gridSpan w:val="6"/>
            <w:vAlign w:val="center"/>
          </w:tcPr>
          <w:p w14:paraId="5621A6CE">
            <w:pPr>
              <w:autoSpaceDE w:val="0"/>
              <w:autoSpaceDN w:val="0"/>
              <w:adjustRightInd w:val="0"/>
              <w:spacing w:line="310" w:lineRule="exact"/>
              <w:jc w:val="center"/>
              <w:rPr>
                <w:rFonts w:ascii="Times New Roman" w:eastAsia="仿宋"/>
                <w:szCs w:val="21"/>
              </w:rPr>
            </w:pPr>
            <w:r>
              <w:rPr>
                <w:rFonts w:ascii="Times New Roman" w:eastAsia="仿宋"/>
                <w:szCs w:val="21"/>
              </w:rPr>
              <w:t>附录E√；附录F□；其他（）</w:t>
            </w:r>
          </w:p>
        </w:tc>
      </w:tr>
      <w:tr w14:paraId="368F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29F71E5E">
            <w:pPr>
              <w:autoSpaceDE w:val="0"/>
              <w:autoSpaceDN w:val="0"/>
              <w:adjustRightInd w:val="0"/>
              <w:spacing w:line="310" w:lineRule="exact"/>
              <w:jc w:val="center"/>
              <w:rPr>
                <w:rFonts w:ascii="Times New Roman" w:eastAsia="仿宋"/>
                <w:szCs w:val="21"/>
              </w:rPr>
            </w:pPr>
          </w:p>
        </w:tc>
        <w:tc>
          <w:tcPr>
            <w:tcW w:w="1441" w:type="dxa"/>
            <w:vAlign w:val="center"/>
          </w:tcPr>
          <w:p w14:paraId="13A19845">
            <w:pPr>
              <w:autoSpaceDE w:val="0"/>
              <w:autoSpaceDN w:val="0"/>
              <w:adjustRightInd w:val="0"/>
              <w:spacing w:line="310" w:lineRule="exact"/>
              <w:jc w:val="center"/>
              <w:rPr>
                <w:rFonts w:ascii="Times New Roman" w:eastAsia="仿宋"/>
                <w:szCs w:val="21"/>
              </w:rPr>
            </w:pPr>
            <w:r>
              <w:rPr>
                <w:rFonts w:ascii="Times New Roman" w:eastAsia="仿宋"/>
                <w:szCs w:val="21"/>
              </w:rPr>
              <w:t>预测分析内容</w:t>
            </w:r>
          </w:p>
        </w:tc>
        <w:tc>
          <w:tcPr>
            <w:tcW w:w="7120" w:type="dxa"/>
            <w:gridSpan w:val="6"/>
            <w:vAlign w:val="center"/>
          </w:tcPr>
          <w:p w14:paraId="79C0243E">
            <w:pPr>
              <w:autoSpaceDE w:val="0"/>
              <w:autoSpaceDN w:val="0"/>
              <w:adjustRightInd w:val="0"/>
              <w:spacing w:line="310" w:lineRule="exact"/>
              <w:jc w:val="center"/>
              <w:rPr>
                <w:rFonts w:ascii="Times New Roman" w:eastAsia="仿宋"/>
                <w:szCs w:val="21"/>
              </w:rPr>
            </w:pPr>
            <w:r>
              <w:rPr>
                <w:rFonts w:ascii="Times New Roman" w:eastAsia="仿宋"/>
                <w:szCs w:val="21"/>
              </w:rPr>
              <w:t>影响范围（）</w:t>
            </w:r>
          </w:p>
          <w:p w14:paraId="5A9F4306">
            <w:pPr>
              <w:autoSpaceDE w:val="0"/>
              <w:autoSpaceDN w:val="0"/>
              <w:adjustRightInd w:val="0"/>
              <w:spacing w:line="310" w:lineRule="exact"/>
              <w:jc w:val="center"/>
              <w:rPr>
                <w:rFonts w:ascii="Times New Roman" w:eastAsia="仿宋"/>
                <w:szCs w:val="21"/>
              </w:rPr>
            </w:pPr>
            <w:r>
              <w:rPr>
                <w:rFonts w:ascii="Times New Roman" w:eastAsia="仿宋"/>
                <w:szCs w:val="21"/>
              </w:rPr>
              <w:t>影响程度（石油烃对土壤影响很小，石油烃在土壤中的累积量远小于建设用地第二类用地土壤污染风险筛选值）</w:t>
            </w:r>
          </w:p>
        </w:tc>
      </w:tr>
      <w:tr w14:paraId="6CDF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4CE0058E">
            <w:pPr>
              <w:autoSpaceDE w:val="0"/>
              <w:autoSpaceDN w:val="0"/>
              <w:adjustRightInd w:val="0"/>
              <w:spacing w:line="310" w:lineRule="exact"/>
              <w:jc w:val="center"/>
              <w:rPr>
                <w:rFonts w:ascii="Times New Roman" w:eastAsia="仿宋"/>
                <w:szCs w:val="21"/>
              </w:rPr>
            </w:pPr>
          </w:p>
        </w:tc>
        <w:tc>
          <w:tcPr>
            <w:tcW w:w="1441" w:type="dxa"/>
            <w:vAlign w:val="center"/>
          </w:tcPr>
          <w:p w14:paraId="43A40926">
            <w:pPr>
              <w:autoSpaceDE w:val="0"/>
              <w:autoSpaceDN w:val="0"/>
              <w:adjustRightInd w:val="0"/>
              <w:spacing w:line="310" w:lineRule="exact"/>
              <w:jc w:val="center"/>
              <w:rPr>
                <w:rFonts w:ascii="Times New Roman" w:eastAsia="仿宋"/>
                <w:szCs w:val="21"/>
              </w:rPr>
            </w:pPr>
            <w:r>
              <w:rPr>
                <w:rFonts w:ascii="Times New Roman" w:eastAsia="仿宋"/>
                <w:szCs w:val="21"/>
              </w:rPr>
              <w:t>预测结论</w:t>
            </w:r>
          </w:p>
        </w:tc>
        <w:tc>
          <w:tcPr>
            <w:tcW w:w="7120" w:type="dxa"/>
            <w:gridSpan w:val="6"/>
            <w:vAlign w:val="center"/>
          </w:tcPr>
          <w:p w14:paraId="222F88E6">
            <w:pPr>
              <w:autoSpaceDE w:val="0"/>
              <w:autoSpaceDN w:val="0"/>
              <w:adjustRightInd w:val="0"/>
              <w:spacing w:line="310" w:lineRule="exact"/>
              <w:jc w:val="center"/>
              <w:rPr>
                <w:rFonts w:ascii="Times New Roman" w:eastAsia="仿宋"/>
                <w:szCs w:val="21"/>
              </w:rPr>
            </w:pPr>
            <w:r>
              <w:rPr>
                <w:rFonts w:ascii="Times New Roman" w:eastAsia="仿宋"/>
                <w:szCs w:val="21"/>
              </w:rPr>
              <w:t>达标结论：a）√；b）□；c）□</w:t>
            </w:r>
          </w:p>
          <w:p w14:paraId="5A0D76C7">
            <w:pPr>
              <w:autoSpaceDE w:val="0"/>
              <w:autoSpaceDN w:val="0"/>
              <w:adjustRightInd w:val="0"/>
              <w:spacing w:line="310" w:lineRule="exact"/>
              <w:jc w:val="center"/>
              <w:rPr>
                <w:rFonts w:ascii="Times New Roman" w:eastAsia="仿宋"/>
                <w:szCs w:val="21"/>
              </w:rPr>
            </w:pPr>
            <w:r>
              <w:rPr>
                <w:rFonts w:ascii="Times New Roman" w:eastAsia="仿宋"/>
                <w:szCs w:val="21"/>
              </w:rPr>
              <w:t>不达标结论：a）□；b）□</w:t>
            </w:r>
          </w:p>
        </w:tc>
      </w:tr>
      <w:tr w14:paraId="5412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vAlign w:val="center"/>
          </w:tcPr>
          <w:p w14:paraId="6C38F980">
            <w:pPr>
              <w:autoSpaceDE w:val="0"/>
              <w:autoSpaceDN w:val="0"/>
              <w:adjustRightInd w:val="0"/>
              <w:spacing w:line="310" w:lineRule="exact"/>
              <w:jc w:val="center"/>
              <w:rPr>
                <w:rFonts w:ascii="Times New Roman" w:eastAsia="仿宋"/>
                <w:szCs w:val="21"/>
              </w:rPr>
            </w:pPr>
            <w:r>
              <w:rPr>
                <w:rFonts w:ascii="Times New Roman" w:eastAsia="仿宋"/>
                <w:szCs w:val="21"/>
              </w:rPr>
              <w:t>防治措施</w:t>
            </w:r>
          </w:p>
        </w:tc>
        <w:tc>
          <w:tcPr>
            <w:tcW w:w="1441" w:type="dxa"/>
            <w:vAlign w:val="center"/>
          </w:tcPr>
          <w:p w14:paraId="71BF1C3F">
            <w:pPr>
              <w:autoSpaceDE w:val="0"/>
              <w:autoSpaceDN w:val="0"/>
              <w:adjustRightInd w:val="0"/>
              <w:spacing w:line="310" w:lineRule="exact"/>
              <w:jc w:val="center"/>
              <w:rPr>
                <w:rFonts w:ascii="Times New Roman" w:eastAsia="仿宋"/>
                <w:szCs w:val="21"/>
              </w:rPr>
            </w:pPr>
            <w:r>
              <w:rPr>
                <w:rFonts w:ascii="Times New Roman" w:eastAsia="仿宋"/>
                <w:szCs w:val="21"/>
              </w:rPr>
              <w:t>防控措施</w:t>
            </w:r>
          </w:p>
        </w:tc>
        <w:tc>
          <w:tcPr>
            <w:tcW w:w="7120" w:type="dxa"/>
            <w:gridSpan w:val="6"/>
            <w:vAlign w:val="center"/>
          </w:tcPr>
          <w:p w14:paraId="71C8A51C">
            <w:pPr>
              <w:autoSpaceDE w:val="0"/>
              <w:autoSpaceDN w:val="0"/>
              <w:adjustRightInd w:val="0"/>
              <w:spacing w:line="310" w:lineRule="exact"/>
              <w:jc w:val="center"/>
              <w:rPr>
                <w:rFonts w:ascii="Times New Roman" w:eastAsia="仿宋"/>
                <w:szCs w:val="21"/>
              </w:rPr>
            </w:pPr>
            <w:r>
              <w:rPr>
                <w:rFonts w:ascii="Times New Roman" w:eastAsia="仿宋"/>
                <w:szCs w:val="21"/>
              </w:rPr>
              <w:t>土壤环境质量现状保障√；源头控制√；过程防控√；其他（）</w:t>
            </w:r>
          </w:p>
        </w:tc>
      </w:tr>
      <w:tr w14:paraId="45E3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517C83A2">
            <w:pPr>
              <w:autoSpaceDE w:val="0"/>
              <w:autoSpaceDN w:val="0"/>
              <w:adjustRightInd w:val="0"/>
              <w:spacing w:line="310" w:lineRule="exact"/>
              <w:jc w:val="center"/>
              <w:rPr>
                <w:rFonts w:ascii="Times New Roman" w:eastAsia="仿宋"/>
                <w:szCs w:val="21"/>
              </w:rPr>
            </w:pPr>
          </w:p>
        </w:tc>
        <w:tc>
          <w:tcPr>
            <w:tcW w:w="1441" w:type="dxa"/>
            <w:vMerge w:val="restart"/>
            <w:vAlign w:val="center"/>
          </w:tcPr>
          <w:p w14:paraId="3C93ECC5">
            <w:pPr>
              <w:autoSpaceDE w:val="0"/>
              <w:autoSpaceDN w:val="0"/>
              <w:adjustRightInd w:val="0"/>
              <w:spacing w:line="310" w:lineRule="exact"/>
              <w:jc w:val="center"/>
              <w:rPr>
                <w:rFonts w:ascii="Times New Roman" w:eastAsia="仿宋"/>
                <w:szCs w:val="21"/>
              </w:rPr>
            </w:pPr>
            <w:r>
              <w:rPr>
                <w:rFonts w:ascii="Times New Roman" w:eastAsia="仿宋"/>
                <w:szCs w:val="21"/>
              </w:rPr>
              <w:t>跟踪监测</w:t>
            </w:r>
          </w:p>
        </w:tc>
        <w:tc>
          <w:tcPr>
            <w:tcW w:w="2017" w:type="dxa"/>
            <w:gridSpan w:val="2"/>
            <w:vAlign w:val="center"/>
          </w:tcPr>
          <w:p w14:paraId="2FEB0319">
            <w:pPr>
              <w:autoSpaceDE w:val="0"/>
              <w:autoSpaceDN w:val="0"/>
              <w:adjustRightInd w:val="0"/>
              <w:spacing w:line="310" w:lineRule="exact"/>
              <w:jc w:val="center"/>
              <w:rPr>
                <w:rFonts w:ascii="Times New Roman" w:eastAsia="仿宋"/>
                <w:szCs w:val="21"/>
              </w:rPr>
            </w:pPr>
            <w:r>
              <w:rPr>
                <w:rFonts w:ascii="Times New Roman" w:eastAsia="仿宋"/>
                <w:szCs w:val="21"/>
              </w:rPr>
              <w:t>监测点位</w:t>
            </w:r>
          </w:p>
        </w:tc>
        <w:tc>
          <w:tcPr>
            <w:tcW w:w="2977" w:type="dxa"/>
            <w:gridSpan w:val="2"/>
            <w:vAlign w:val="center"/>
          </w:tcPr>
          <w:p w14:paraId="04B29085">
            <w:pPr>
              <w:autoSpaceDE w:val="0"/>
              <w:autoSpaceDN w:val="0"/>
              <w:adjustRightInd w:val="0"/>
              <w:spacing w:line="310" w:lineRule="exact"/>
              <w:jc w:val="center"/>
              <w:rPr>
                <w:rFonts w:ascii="Times New Roman" w:eastAsia="仿宋"/>
                <w:szCs w:val="21"/>
              </w:rPr>
            </w:pPr>
            <w:r>
              <w:rPr>
                <w:rFonts w:ascii="Times New Roman" w:eastAsia="仿宋"/>
                <w:szCs w:val="21"/>
              </w:rPr>
              <w:t>监测指标</w:t>
            </w:r>
          </w:p>
        </w:tc>
        <w:tc>
          <w:tcPr>
            <w:tcW w:w="2126" w:type="dxa"/>
            <w:gridSpan w:val="2"/>
            <w:vAlign w:val="center"/>
          </w:tcPr>
          <w:p w14:paraId="5A7DA6BF">
            <w:pPr>
              <w:autoSpaceDE w:val="0"/>
              <w:autoSpaceDN w:val="0"/>
              <w:adjustRightInd w:val="0"/>
              <w:spacing w:line="310" w:lineRule="exact"/>
              <w:jc w:val="center"/>
              <w:rPr>
                <w:rFonts w:ascii="Times New Roman" w:eastAsia="仿宋"/>
                <w:szCs w:val="21"/>
              </w:rPr>
            </w:pPr>
            <w:r>
              <w:rPr>
                <w:rFonts w:ascii="Times New Roman" w:eastAsia="仿宋"/>
                <w:szCs w:val="21"/>
              </w:rPr>
              <w:t>监测频次</w:t>
            </w:r>
          </w:p>
        </w:tc>
      </w:tr>
      <w:tr w14:paraId="15A7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12B45C28">
            <w:pPr>
              <w:autoSpaceDE w:val="0"/>
              <w:autoSpaceDN w:val="0"/>
              <w:adjustRightInd w:val="0"/>
              <w:spacing w:line="310" w:lineRule="exact"/>
              <w:jc w:val="center"/>
              <w:rPr>
                <w:rFonts w:ascii="Times New Roman" w:eastAsia="仿宋"/>
                <w:szCs w:val="21"/>
              </w:rPr>
            </w:pPr>
          </w:p>
        </w:tc>
        <w:tc>
          <w:tcPr>
            <w:tcW w:w="1441" w:type="dxa"/>
            <w:vMerge w:val="continue"/>
            <w:vAlign w:val="center"/>
          </w:tcPr>
          <w:p w14:paraId="130E7452">
            <w:pPr>
              <w:autoSpaceDE w:val="0"/>
              <w:autoSpaceDN w:val="0"/>
              <w:adjustRightInd w:val="0"/>
              <w:spacing w:line="310" w:lineRule="exact"/>
              <w:jc w:val="center"/>
              <w:rPr>
                <w:rFonts w:ascii="Times New Roman" w:eastAsia="仿宋"/>
                <w:szCs w:val="21"/>
              </w:rPr>
            </w:pPr>
          </w:p>
        </w:tc>
        <w:tc>
          <w:tcPr>
            <w:tcW w:w="2017" w:type="dxa"/>
            <w:gridSpan w:val="2"/>
            <w:vAlign w:val="center"/>
          </w:tcPr>
          <w:p w14:paraId="39DAFAF1">
            <w:pPr>
              <w:autoSpaceDE w:val="0"/>
              <w:autoSpaceDN w:val="0"/>
              <w:adjustRightInd w:val="0"/>
              <w:spacing w:line="310" w:lineRule="exact"/>
              <w:jc w:val="center"/>
              <w:rPr>
                <w:rFonts w:ascii="Times New Roman" w:eastAsia="仿宋"/>
                <w:szCs w:val="21"/>
              </w:rPr>
            </w:pPr>
            <w:r>
              <w:rPr>
                <w:rFonts w:ascii="Times New Roman" w:eastAsia="仿宋"/>
                <w:szCs w:val="21"/>
              </w:rPr>
              <w:t>生产车间及耕地</w:t>
            </w:r>
          </w:p>
        </w:tc>
        <w:tc>
          <w:tcPr>
            <w:tcW w:w="2977" w:type="dxa"/>
            <w:gridSpan w:val="2"/>
            <w:vAlign w:val="center"/>
          </w:tcPr>
          <w:p w14:paraId="3BF07DC4">
            <w:pPr>
              <w:autoSpaceDE w:val="0"/>
              <w:autoSpaceDN w:val="0"/>
              <w:adjustRightInd w:val="0"/>
              <w:spacing w:line="310" w:lineRule="exact"/>
              <w:jc w:val="center"/>
              <w:rPr>
                <w:rFonts w:ascii="Times New Roman" w:eastAsia="仿宋"/>
                <w:szCs w:val="21"/>
              </w:rPr>
            </w:pPr>
            <w:r>
              <w:rPr>
                <w:rFonts w:ascii="Times New Roman" w:eastAsia="仿宋"/>
                <w:szCs w:val="21"/>
              </w:rPr>
              <w:t>pH、石油烃等特征因子</w:t>
            </w:r>
          </w:p>
        </w:tc>
        <w:tc>
          <w:tcPr>
            <w:tcW w:w="2126" w:type="dxa"/>
            <w:gridSpan w:val="2"/>
            <w:vAlign w:val="center"/>
          </w:tcPr>
          <w:p w14:paraId="5D7D85FB">
            <w:pPr>
              <w:autoSpaceDE w:val="0"/>
              <w:autoSpaceDN w:val="0"/>
              <w:adjustRightInd w:val="0"/>
              <w:spacing w:line="310" w:lineRule="exact"/>
              <w:jc w:val="center"/>
              <w:rPr>
                <w:rFonts w:ascii="Times New Roman" w:eastAsia="仿宋"/>
                <w:szCs w:val="21"/>
              </w:rPr>
            </w:pPr>
            <w:r>
              <w:rPr>
                <w:rFonts w:ascii="Times New Roman" w:eastAsia="仿宋"/>
                <w:szCs w:val="21"/>
              </w:rPr>
              <w:t>次/3年</w:t>
            </w:r>
          </w:p>
        </w:tc>
      </w:tr>
      <w:tr w14:paraId="11CA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vAlign w:val="center"/>
          </w:tcPr>
          <w:p w14:paraId="145D6E49">
            <w:pPr>
              <w:autoSpaceDE w:val="0"/>
              <w:autoSpaceDN w:val="0"/>
              <w:adjustRightInd w:val="0"/>
              <w:spacing w:line="310" w:lineRule="exact"/>
              <w:jc w:val="center"/>
              <w:rPr>
                <w:rFonts w:ascii="Times New Roman" w:eastAsia="仿宋"/>
                <w:szCs w:val="21"/>
              </w:rPr>
            </w:pPr>
          </w:p>
        </w:tc>
        <w:tc>
          <w:tcPr>
            <w:tcW w:w="1441" w:type="dxa"/>
            <w:vAlign w:val="center"/>
          </w:tcPr>
          <w:p w14:paraId="15C1D444">
            <w:pPr>
              <w:autoSpaceDE w:val="0"/>
              <w:autoSpaceDN w:val="0"/>
              <w:adjustRightInd w:val="0"/>
              <w:spacing w:line="310" w:lineRule="exact"/>
              <w:jc w:val="center"/>
              <w:rPr>
                <w:rFonts w:ascii="Times New Roman" w:eastAsia="仿宋"/>
                <w:szCs w:val="21"/>
              </w:rPr>
            </w:pPr>
            <w:r>
              <w:rPr>
                <w:rFonts w:ascii="Times New Roman" w:eastAsia="仿宋"/>
                <w:szCs w:val="21"/>
              </w:rPr>
              <w:t>信息公开指标</w:t>
            </w:r>
          </w:p>
        </w:tc>
        <w:tc>
          <w:tcPr>
            <w:tcW w:w="7120" w:type="dxa"/>
            <w:gridSpan w:val="6"/>
            <w:vAlign w:val="center"/>
          </w:tcPr>
          <w:p w14:paraId="617A47FE">
            <w:pPr>
              <w:autoSpaceDE w:val="0"/>
              <w:autoSpaceDN w:val="0"/>
              <w:adjustRightInd w:val="0"/>
              <w:spacing w:line="310" w:lineRule="exact"/>
              <w:jc w:val="center"/>
              <w:rPr>
                <w:rFonts w:ascii="Times New Roman" w:eastAsia="仿宋"/>
                <w:szCs w:val="21"/>
              </w:rPr>
            </w:pPr>
            <w:r>
              <w:rPr>
                <w:rFonts w:ascii="Times New Roman" w:eastAsia="仿宋"/>
                <w:szCs w:val="21"/>
              </w:rPr>
              <w:t>特征因子的监测结果</w:t>
            </w:r>
          </w:p>
        </w:tc>
      </w:tr>
      <w:tr w14:paraId="2128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vAlign w:val="center"/>
          </w:tcPr>
          <w:p w14:paraId="0EEA1C28">
            <w:pPr>
              <w:autoSpaceDE w:val="0"/>
              <w:autoSpaceDN w:val="0"/>
              <w:adjustRightInd w:val="0"/>
              <w:spacing w:line="310" w:lineRule="exact"/>
              <w:jc w:val="center"/>
              <w:rPr>
                <w:rFonts w:ascii="Times New Roman" w:eastAsia="仿宋"/>
                <w:szCs w:val="21"/>
              </w:rPr>
            </w:pPr>
            <w:r>
              <w:rPr>
                <w:rFonts w:ascii="Times New Roman" w:eastAsia="仿宋"/>
                <w:szCs w:val="21"/>
              </w:rPr>
              <w:t>评价结论</w:t>
            </w:r>
          </w:p>
        </w:tc>
        <w:tc>
          <w:tcPr>
            <w:tcW w:w="7120" w:type="dxa"/>
            <w:gridSpan w:val="6"/>
            <w:vAlign w:val="center"/>
          </w:tcPr>
          <w:p w14:paraId="5CC97B90">
            <w:pPr>
              <w:autoSpaceDE w:val="0"/>
              <w:autoSpaceDN w:val="0"/>
              <w:adjustRightInd w:val="0"/>
              <w:spacing w:line="310" w:lineRule="exact"/>
              <w:jc w:val="center"/>
              <w:rPr>
                <w:rFonts w:ascii="Times New Roman" w:eastAsia="仿宋"/>
                <w:szCs w:val="21"/>
              </w:rPr>
            </w:pPr>
            <w:r>
              <w:rPr>
                <w:rFonts w:ascii="Times New Roman" w:eastAsia="仿宋"/>
                <w:szCs w:val="21"/>
              </w:rPr>
              <w:t>项目对可能产生土壤影响的各项途径均进行有效预防，在确保各项防渗措施得以落实，并加强维护和厂区环境管理的前提下，项目不会对土壤环境产生明显影响。</w:t>
            </w:r>
          </w:p>
        </w:tc>
      </w:tr>
      <w:tr w14:paraId="0E7E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1" w:type="dxa"/>
            <w:gridSpan w:val="8"/>
            <w:vAlign w:val="center"/>
          </w:tcPr>
          <w:p w14:paraId="1C89CF48">
            <w:pPr>
              <w:autoSpaceDE w:val="0"/>
              <w:autoSpaceDN w:val="0"/>
              <w:adjustRightInd w:val="0"/>
              <w:spacing w:line="310" w:lineRule="exact"/>
              <w:jc w:val="center"/>
              <w:rPr>
                <w:rFonts w:ascii="Times New Roman" w:eastAsia="仿宋"/>
                <w:szCs w:val="21"/>
              </w:rPr>
            </w:pPr>
            <w:r>
              <w:rPr>
                <w:rFonts w:ascii="Times New Roman" w:eastAsia="仿宋"/>
                <w:szCs w:val="21"/>
              </w:rPr>
              <w:t>注：“□”为打勾项，填“√”；“（）”为内容填写项</w:t>
            </w:r>
          </w:p>
        </w:tc>
      </w:tr>
    </w:tbl>
    <w:p w14:paraId="13539428">
      <w:pPr>
        <w:pStyle w:val="5"/>
        <w:numPr>
          <w:ilvl w:val="0"/>
          <w:numId w:val="0"/>
        </w:numPr>
        <w:rPr>
          <w:rFonts w:eastAsia="仿宋"/>
          <w:color w:val="auto"/>
        </w:rPr>
      </w:pPr>
      <w:bookmarkStart w:id="373" w:name="_Toc182553822"/>
      <w:r>
        <w:rPr>
          <w:rFonts w:hint="eastAsia" w:eastAsia="仿宋"/>
          <w:color w:val="auto"/>
        </w:rPr>
        <w:t>5</w:t>
      </w:r>
      <w:r>
        <w:rPr>
          <w:rFonts w:eastAsia="仿宋"/>
          <w:color w:val="auto"/>
        </w:rPr>
        <w:t>.3环境风险评价</w:t>
      </w:r>
      <w:bookmarkEnd w:id="373"/>
    </w:p>
    <w:p w14:paraId="28E0081C">
      <w:pPr>
        <w:spacing w:line="500" w:lineRule="exact"/>
        <w:ind w:firstLine="552" w:firstLineChars="200"/>
        <w:rPr>
          <w:rFonts w:ascii="Times New Roman" w:eastAsia="仿宋"/>
          <w:spacing w:val="-2"/>
          <w:sz w:val="28"/>
        </w:rPr>
      </w:pPr>
      <w:r>
        <w:rPr>
          <w:rFonts w:ascii="Times New Roman" w:eastAsia="仿宋"/>
          <w:spacing w:val="-2"/>
          <w:sz w:val="28"/>
        </w:rPr>
        <w:t>根据国家环境保护部《关于进一步加强环境影响评价管理防范环境风险的通知》（环发[2012]77号）文件的有关规定，依据《建设项目环境风险评价技术导则》（HJ169-2018）</w:t>
      </w:r>
      <w:r>
        <w:rPr>
          <w:rFonts w:hint="eastAsia" w:ascii="Times New Roman" w:eastAsia="仿宋"/>
          <w:spacing w:val="-2"/>
          <w:sz w:val="28"/>
        </w:rPr>
        <w:t>、</w:t>
      </w:r>
      <w:r>
        <w:rPr>
          <w:rFonts w:ascii="Times New Roman" w:eastAsia="仿宋"/>
          <w:sz w:val="28"/>
          <w:szCs w:val="28"/>
        </w:rPr>
        <w:t>《江苏省环境影响评价文件环境应急相关内容编制要点》（苏环办（2022）338 号）</w:t>
      </w:r>
      <w:r>
        <w:rPr>
          <w:rFonts w:ascii="Times New Roman" w:eastAsia="仿宋"/>
          <w:spacing w:val="-2"/>
          <w:sz w:val="28"/>
        </w:rPr>
        <w:t>的要求，本次环境影响评价对江苏新莱亿智能科技有限公司厂区进行风险评价。</w:t>
      </w:r>
    </w:p>
    <w:p w14:paraId="0A6C56AE">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.3.1评价依据</w:t>
      </w:r>
    </w:p>
    <w:p w14:paraId="67FF1829">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.3.1.1风险调查</w:t>
      </w:r>
    </w:p>
    <w:p w14:paraId="7CF173FB">
      <w:pPr>
        <w:spacing w:line="500" w:lineRule="exact"/>
        <w:ind w:firstLine="562" w:firstLineChars="200"/>
        <w:rPr>
          <w:rFonts w:ascii="Times New Roman" w:eastAsia="仿宋"/>
          <w:b/>
          <w:sz w:val="28"/>
        </w:rPr>
      </w:pPr>
      <w:r>
        <w:rPr>
          <w:rFonts w:ascii="Times New Roman" w:eastAsia="仿宋"/>
          <w:b/>
          <w:sz w:val="28"/>
        </w:rPr>
        <w:t>一、</w:t>
      </w:r>
      <w:r>
        <w:rPr>
          <w:rFonts w:hint="eastAsia" w:ascii="Times New Roman" w:eastAsia="仿宋"/>
          <w:b/>
          <w:sz w:val="28"/>
        </w:rPr>
        <w:t>物质危险性分析</w:t>
      </w:r>
    </w:p>
    <w:p w14:paraId="147A6F6F">
      <w:pPr>
        <w:spacing w:line="500" w:lineRule="exact"/>
        <w:ind w:firstLine="552" w:firstLineChars="200"/>
        <w:rPr>
          <w:rFonts w:ascii="Times New Roman" w:eastAsia="仿宋"/>
          <w:spacing w:val="-2"/>
          <w:sz w:val="28"/>
        </w:rPr>
      </w:pPr>
      <w:r>
        <w:rPr>
          <w:rFonts w:hint="eastAsia" w:ascii="Times New Roman" w:eastAsia="仿宋"/>
          <w:spacing w:val="-2"/>
          <w:sz w:val="28"/>
        </w:rPr>
        <w:t>根据企业生产工程中</w:t>
      </w:r>
      <w:r>
        <w:rPr>
          <w:rFonts w:ascii="Times New Roman" w:eastAsia="仿宋"/>
          <w:spacing w:val="-2"/>
          <w:sz w:val="28"/>
        </w:rPr>
        <w:t>涉及的原辅材料、燃料、中间产品、副产品、最终产品、污染物、火灾和爆炸伴生/次生物的理化性质、毒性、燃烧爆炸性等数据判断物质危险性</w:t>
      </w:r>
      <w:r>
        <w:rPr>
          <w:rFonts w:hint="eastAsia" w:ascii="Times New Roman" w:eastAsia="仿宋"/>
          <w:spacing w:val="-2"/>
          <w:sz w:val="28"/>
        </w:rPr>
        <w:t>。</w:t>
      </w:r>
    </w:p>
    <w:p w14:paraId="78CAC4D3">
      <w:pPr>
        <w:spacing w:line="500" w:lineRule="exact"/>
        <w:ind w:firstLine="552" w:firstLineChars="200"/>
        <w:rPr>
          <w:rFonts w:ascii="Times New Roman" w:eastAsia="仿宋"/>
          <w:spacing w:val="-2"/>
          <w:sz w:val="28"/>
        </w:rPr>
      </w:pPr>
      <w:r>
        <w:rPr>
          <w:rFonts w:hint="eastAsia" w:ascii="Times New Roman" w:eastAsia="仿宋"/>
          <w:spacing w:val="-2"/>
          <w:sz w:val="28"/>
        </w:rPr>
        <w:t>本项目原辅材料理化性质表见前述表3.2-7，主要化学品危险性判定表如下。</w:t>
      </w:r>
    </w:p>
    <w:p w14:paraId="4E4794FF">
      <w:pPr>
        <w:snapToGrid w:val="0"/>
        <w:jc w:val="center"/>
        <w:rPr>
          <w:rFonts w:eastAsia="仿宋"/>
          <w:b/>
        </w:rPr>
      </w:pPr>
      <w:r>
        <w:rPr>
          <w:rFonts w:ascii="Times New Roman" w:eastAsia="仿宋"/>
          <w:b/>
        </w:rPr>
        <w:t>表5.3-1主要</w:t>
      </w:r>
      <w:r>
        <w:rPr>
          <w:rFonts w:eastAsia="仿宋"/>
          <w:b/>
        </w:rPr>
        <w:t>化学品危险性判别表</w:t>
      </w:r>
    </w:p>
    <w:tbl>
      <w:tblPr>
        <w:tblStyle w:val="87"/>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674"/>
        <w:gridCol w:w="935"/>
        <w:gridCol w:w="5259"/>
        <w:gridCol w:w="1311"/>
      </w:tblGrid>
      <w:tr w14:paraId="7554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7C6D39AC">
            <w:pPr>
              <w:snapToGrid w:val="0"/>
              <w:jc w:val="center"/>
              <w:rPr>
                <w:rFonts w:ascii="Times New Roman" w:eastAsia="仿宋"/>
                <w:kern w:val="2"/>
                <w:sz w:val="21"/>
                <w:szCs w:val="21"/>
              </w:rPr>
            </w:pPr>
            <w:r>
              <w:rPr>
                <w:rFonts w:hint="eastAsia" w:ascii="Times New Roman" w:eastAsia="仿宋"/>
                <w:kern w:val="2"/>
                <w:sz w:val="21"/>
                <w:szCs w:val="21"/>
              </w:rPr>
              <w:t>物质</w:t>
            </w:r>
          </w:p>
        </w:tc>
        <w:tc>
          <w:tcPr>
            <w:tcW w:w="362" w:type="pct"/>
            <w:vAlign w:val="center"/>
          </w:tcPr>
          <w:p w14:paraId="680B7147">
            <w:pPr>
              <w:snapToGrid w:val="0"/>
              <w:jc w:val="center"/>
              <w:rPr>
                <w:rFonts w:ascii="Times New Roman" w:eastAsia="仿宋"/>
                <w:kern w:val="2"/>
                <w:sz w:val="21"/>
                <w:szCs w:val="21"/>
              </w:rPr>
            </w:pPr>
            <w:r>
              <w:rPr>
                <w:rFonts w:hint="eastAsia" w:ascii="Times New Roman" w:eastAsia="仿宋"/>
                <w:kern w:val="2"/>
                <w:sz w:val="21"/>
                <w:szCs w:val="21"/>
              </w:rPr>
              <w:t>毒性</w:t>
            </w:r>
          </w:p>
        </w:tc>
        <w:tc>
          <w:tcPr>
            <w:tcW w:w="502" w:type="pct"/>
            <w:vAlign w:val="center"/>
          </w:tcPr>
          <w:p w14:paraId="791C40F5">
            <w:pPr>
              <w:snapToGrid w:val="0"/>
              <w:jc w:val="center"/>
              <w:rPr>
                <w:rFonts w:ascii="Times New Roman" w:eastAsia="仿宋"/>
                <w:kern w:val="2"/>
                <w:sz w:val="21"/>
                <w:szCs w:val="21"/>
              </w:rPr>
            </w:pPr>
            <w:r>
              <w:rPr>
                <w:rFonts w:hint="eastAsia" w:ascii="Times New Roman" w:eastAsia="仿宋"/>
                <w:kern w:val="2"/>
                <w:sz w:val="21"/>
                <w:szCs w:val="21"/>
              </w:rPr>
              <w:t>燃烧性</w:t>
            </w:r>
          </w:p>
        </w:tc>
        <w:tc>
          <w:tcPr>
            <w:tcW w:w="2823" w:type="pct"/>
            <w:vAlign w:val="center"/>
          </w:tcPr>
          <w:p w14:paraId="2BF740B0">
            <w:pPr>
              <w:snapToGrid w:val="0"/>
              <w:jc w:val="center"/>
              <w:rPr>
                <w:rFonts w:ascii="Times New Roman" w:eastAsia="仿宋"/>
                <w:kern w:val="2"/>
                <w:sz w:val="21"/>
                <w:szCs w:val="21"/>
              </w:rPr>
            </w:pPr>
            <w:r>
              <w:rPr>
                <w:rFonts w:hint="eastAsia" w:ascii="Times New Roman" w:eastAsia="仿宋"/>
                <w:kern w:val="2"/>
                <w:sz w:val="21"/>
                <w:szCs w:val="21"/>
              </w:rPr>
              <w:t>爆炸性</w:t>
            </w:r>
          </w:p>
        </w:tc>
        <w:tc>
          <w:tcPr>
            <w:tcW w:w="704" w:type="pct"/>
            <w:vAlign w:val="center"/>
          </w:tcPr>
          <w:p w14:paraId="39D83C31">
            <w:pPr>
              <w:snapToGrid w:val="0"/>
              <w:jc w:val="center"/>
              <w:rPr>
                <w:rFonts w:ascii="Times New Roman" w:eastAsia="仿宋"/>
                <w:kern w:val="2"/>
                <w:sz w:val="21"/>
                <w:szCs w:val="21"/>
              </w:rPr>
            </w:pPr>
            <w:r>
              <w:rPr>
                <w:rFonts w:hint="eastAsia" w:ascii="Times New Roman" w:eastAsia="仿宋"/>
                <w:kern w:val="2"/>
                <w:sz w:val="21"/>
                <w:szCs w:val="21"/>
              </w:rPr>
              <w:t>腐蚀性</w:t>
            </w:r>
          </w:p>
        </w:tc>
      </w:tr>
      <w:tr w14:paraId="56FF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43446705">
            <w:pPr>
              <w:snapToGrid w:val="0"/>
              <w:jc w:val="center"/>
              <w:rPr>
                <w:rFonts w:ascii="Times New Roman" w:eastAsia="仿宋"/>
                <w:kern w:val="2"/>
                <w:sz w:val="21"/>
                <w:szCs w:val="21"/>
              </w:rPr>
            </w:pPr>
            <w:r>
              <w:rPr>
                <w:rFonts w:ascii="Times New Roman" w:eastAsia="仿宋"/>
                <w:kern w:val="2"/>
                <w:sz w:val="21"/>
                <w:szCs w:val="21"/>
              </w:rPr>
              <w:t>邻苯二甲酸二甲酯</w:t>
            </w:r>
          </w:p>
        </w:tc>
        <w:tc>
          <w:tcPr>
            <w:tcW w:w="362" w:type="pct"/>
            <w:vAlign w:val="center"/>
          </w:tcPr>
          <w:p w14:paraId="076C758F">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2C590EB5">
            <w:pPr>
              <w:snapToGrid w:val="0"/>
              <w:jc w:val="center"/>
              <w:rPr>
                <w:rFonts w:ascii="Times New Roman" w:eastAsia="仿宋"/>
                <w:kern w:val="2"/>
                <w:sz w:val="21"/>
                <w:szCs w:val="21"/>
              </w:rPr>
            </w:pPr>
            <w:r>
              <w:rPr>
                <w:rFonts w:hint="eastAsia" w:ascii="Times New Roman" w:eastAsia="仿宋"/>
                <w:kern w:val="2"/>
                <w:sz w:val="21"/>
                <w:szCs w:val="21"/>
              </w:rPr>
              <w:t>可燃</w:t>
            </w:r>
          </w:p>
        </w:tc>
        <w:tc>
          <w:tcPr>
            <w:tcW w:w="2823" w:type="pct"/>
            <w:vAlign w:val="center"/>
          </w:tcPr>
          <w:p w14:paraId="2CCB699F">
            <w:pPr>
              <w:snapToGrid w:val="0"/>
              <w:jc w:val="center"/>
              <w:rPr>
                <w:rFonts w:ascii="Times New Roman" w:eastAsia="仿宋"/>
                <w:kern w:val="2"/>
                <w:sz w:val="21"/>
                <w:szCs w:val="21"/>
              </w:rPr>
            </w:pPr>
            <w:r>
              <w:rPr>
                <w:rFonts w:ascii="Times New Roman" w:eastAsia="仿宋"/>
                <w:kern w:val="2"/>
                <w:sz w:val="21"/>
                <w:szCs w:val="21"/>
              </w:rPr>
              <w:t>遇高热、明火或与氧化剂接触，有引起燃烧的危险</w:t>
            </w:r>
          </w:p>
        </w:tc>
        <w:tc>
          <w:tcPr>
            <w:tcW w:w="704" w:type="pct"/>
            <w:vAlign w:val="center"/>
          </w:tcPr>
          <w:p w14:paraId="71E17E98">
            <w:pPr>
              <w:snapToGrid w:val="0"/>
              <w:jc w:val="center"/>
              <w:rPr>
                <w:rFonts w:ascii="Times New Roman" w:eastAsia="仿宋"/>
                <w:kern w:val="2"/>
                <w:sz w:val="21"/>
                <w:szCs w:val="21"/>
              </w:rPr>
            </w:pPr>
            <w:r>
              <w:rPr>
                <w:rFonts w:hint="eastAsia" w:ascii="Times New Roman" w:eastAsia="仿宋"/>
                <w:kern w:val="2"/>
                <w:sz w:val="21"/>
                <w:szCs w:val="21"/>
              </w:rPr>
              <w:t>/</w:t>
            </w:r>
          </w:p>
        </w:tc>
      </w:tr>
      <w:tr w14:paraId="3BC5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4CE01C8D">
            <w:pPr>
              <w:snapToGrid w:val="0"/>
              <w:jc w:val="center"/>
              <w:rPr>
                <w:rFonts w:ascii="Times New Roman" w:eastAsia="仿宋"/>
                <w:kern w:val="2"/>
                <w:sz w:val="21"/>
                <w:szCs w:val="21"/>
              </w:rPr>
            </w:pPr>
            <w:r>
              <w:rPr>
                <w:rFonts w:hint="eastAsia" w:ascii="Times New Roman" w:eastAsia="仿宋"/>
                <w:kern w:val="2"/>
                <w:sz w:val="21"/>
                <w:szCs w:val="21"/>
              </w:rPr>
              <w:t>二甲苯</w:t>
            </w:r>
          </w:p>
        </w:tc>
        <w:tc>
          <w:tcPr>
            <w:tcW w:w="362" w:type="pct"/>
            <w:vAlign w:val="center"/>
          </w:tcPr>
          <w:p w14:paraId="5454FD38">
            <w:pPr>
              <w:snapToGrid w:val="0"/>
              <w:jc w:val="center"/>
              <w:rPr>
                <w:rFonts w:ascii="Times New Roman" w:eastAsia="仿宋"/>
                <w:kern w:val="2"/>
                <w:sz w:val="21"/>
                <w:szCs w:val="21"/>
              </w:rPr>
            </w:pPr>
            <w:r>
              <w:rPr>
                <w:rFonts w:hint="eastAsia" w:ascii="Times New Roman" w:eastAsia="仿宋"/>
                <w:kern w:val="2"/>
                <w:sz w:val="21"/>
                <w:szCs w:val="21"/>
              </w:rPr>
              <w:t>低毒</w:t>
            </w:r>
          </w:p>
        </w:tc>
        <w:tc>
          <w:tcPr>
            <w:tcW w:w="502" w:type="pct"/>
            <w:vAlign w:val="center"/>
          </w:tcPr>
          <w:p w14:paraId="138D8619">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823" w:type="pct"/>
            <w:vAlign w:val="center"/>
          </w:tcPr>
          <w:p w14:paraId="773696E0">
            <w:pPr>
              <w:snapToGrid w:val="0"/>
              <w:jc w:val="center"/>
              <w:rPr>
                <w:rFonts w:ascii="Times New Roman" w:eastAsia="仿宋"/>
                <w:kern w:val="2"/>
                <w:sz w:val="21"/>
                <w:szCs w:val="21"/>
              </w:rPr>
            </w:pPr>
            <w:r>
              <w:rPr>
                <w:rFonts w:hint="eastAsia" w:ascii="Times New Roman" w:eastAsia="仿宋"/>
                <w:kern w:val="2"/>
                <w:sz w:val="21"/>
                <w:szCs w:val="21"/>
              </w:rPr>
              <w:t>易燃，其蒸气与空气可形成爆炸性混合物。遇明火、高热能引起燃烧爆炸</w:t>
            </w:r>
          </w:p>
        </w:tc>
        <w:tc>
          <w:tcPr>
            <w:tcW w:w="704" w:type="pct"/>
            <w:vAlign w:val="center"/>
          </w:tcPr>
          <w:p w14:paraId="0B5432EB">
            <w:pPr>
              <w:snapToGrid w:val="0"/>
              <w:jc w:val="center"/>
              <w:rPr>
                <w:rFonts w:ascii="Times New Roman" w:eastAsia="仿宋"/>
                <w:kern w:val="2"/>
                <w:sz w:val="21"/>
                <w:szCs w:val="21"/>
              </w:rPr>
            </w:pPr>
            <w:r>
              <w:rPr>
                <w:rFonts w:hint="eastAsia" w:ascii="Times New Roman" w:eastAsia="仿宋"/>
                <w:kern w:val="2"/>
                <w:sz w:val="21"/>
                <w:szCs w:val="21"/>
              </w:rPr>
              <w:t>/</w:t>
            </w:r>
          </w:p>
        </w:tc>
      </w:tr>
      <w:tr w14:paraId="228D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shd w:val="clear" w:color="auto" w:fill="auto"/>
            <w:vAlign w:val="center"/>
          </w:tcPr>
          <w:p w14:paraId="1F34C330">
            <w:pPr>
              <w:snapToGrid w:val="0"/>
              <w:jc w:val="center"/>
              <w:rPr>
                <w:rFonts w:ascii="Times New Roman" w:eastAsia="仿宋"/>
                <w:kern w:val="2"/>
                <w:sz w:val="21"/>
                <w:szCs w:val="21"/>
              </w:rPr>
            </w:pPr>
            <w:r>
              <w:rPr>
                <w:rFonts w:hint="eastAsia" w:ascii="Times New Roman" w:eastAsia="仿宋"/>
                <w:kern w:val="2"/>
                <w:sz w:val="21"/>
                <w:szCs w:val="21"/>
                <w:lang w:val="en-SG"/>
              </w:rPr>
              <w:t>乙醇</w:t>
            </w:r>
          </w:p>
        </w:tc>
        <w:tc>
          <w:tcPr>
            <w:tcW w:w="362" w:type="pct"/>
            <w:shd w:val="clear" w:color="auto" w:fill="auto"/>
            <w:vAlign w:val="center"/>
          </w:tcPr>
          <w:p w14:paraId="73994284">
            <w:pPr>
              <w:snapToGrid w:val="0"/>
              <w:jc w:val="center"/>
              <w:rPr>
                <w:rFonts w:ascii="Times New Roman" w:eastAsia="仿宋"/>
                <w:kern w:val="2"/>
                <w:sz w:val="21"/>
                <w:szCs w:val="21"/>
              </w:rPr>
            </w:pPr>
            <w:r>
              <w:rPr>
                <w:rFonts w:hint="eastAsia" w:ascii="Times New Roman" w:eastAsia="仿宋"/>
                <w:kern w:val="2"/>
                <w:sz w:val="21"/>
                <w:szCs w:val="21"/>
                <w:lang w:val="en-SG"/>
              </w:rPr>
              <w:t>低毒</w:t>
            </w:r>
          </w:p>
        </w:tc>
        <w:tc>
          <w:tcPr>
            <w:tcW w:w="502" w:type="pct"/>
            <w:shd w:val="clear" w:color="auto" w:fill="auto"/>
            <w:vAlign w:val="center"/>
          </w:tcPr>
          <w:p w14:paraId="23C0F455">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823" w:type="pct"/>
            <w:shd w:val="clear" w:color="auto" w:fill="auto"/>
            <w:vAlign w:val="center"/>
          </w:tcPr>
          <w:p w14:paraId="4707131E">
            <w:pPr>
              <w:snapToGrid w:val="0"/>
              <w:jc w:val="center"/>
              <w:rPr>
                <w:rFonts w:ascii="Times New Roman" w:eastAsia="仿宋"/>
                <w:kern w:val="2"/>
                <w:sz w:val="21"/>
                <w:szCs w:val="21"/>
              </w:rPr>
            </w:pPr>
            <w:r>
              <w:rPr>
                <w:rFonts w:hint="eastAsia" w:ascii="Times New Roman" w:eastAsia="仿宋"/>
                <w:kern w:val="2"/>
                <w:sz w:val="21"/>
                <w:szCs w:val="21"/>
              </w:rPr>
              <w:t>其蒸气与空气可形成爆炸性混合物，遇明火、高热能引起燃烧爆炸。</w:t>
            </w:r>
          </w:p>
        </w:tc>
        <w:tc>
          <w:tcPr>
            <w:tcW w:w="704" w:type="pct"/>
            <w:shd w:val="clear" w:color="auto" w:fill="auto"/>
            <w:vAlign w:val="center"/>
          </w:tcPr>
          <w:p w14:paraId="7640990B">
            <w:pPr>
              <w:snapToGrid w:val="0"/>
              <w:jc w:val="center"/>
              <w:rPr>
                <w:rFonts w:ascii="Times New Roman" w:eastAsia="仿宋"/>
                <w:kern w:val="2"/>
                <w:sz w:val="21"/>
                <w:szCs w:val="21"/>
              </w:rPr>
            </w:pPr>
            <w:r>
              <w:rPr>
                <w:rFonts w:hint="eastAsia" w:ascii="Times New Roman" w:eastAsia="仿宋"/>
                <w:kern w:val="2"/>
                <w:sz w:val="21"/>
                <w:szCs w:val="21"/>
              </w:rPr>
              <w:t>/</w:t>
            </w:r>
          </w:p>
        </w:tc>
      </w:tr>
      <w:tr w14:paraId="59D2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6653CC89">
            <w:pPr>
              <w:snapToGrid w:val="0"/>
              <w:jc w:val="center"/>
              <w:rPr>
                <w:rFonts w:ascii="Times New Roman" w:eastAsia="仿宋"/>
                <w:kern w:val="2"/>
                <w:sz w:val="21"/>
                <w:szCs w:val="21"/>
              </w:rPr>
            </w:pPr>
            <w:r>
              <w:rPr>
                <w:rFonts w:hint="eastAsia" w:ascii="Times New Roman" w:eastAsia="仿宋"/>
                <w:kern w:val="2"/>
                <w:sz w:val="21"/>
                <w:szCs w:val="21"/>
              </w:rPr>
              <w:t>环己酮</w:t>
            </w:r>
          </w:p>
        </w:tc>
        <w:tc>
          <w:tcPr>
            <w:tcW w:w="362" w:type="pct"/>
            <w:vAlign w:val="center"/>
          </w:tcPr>
          <w:p w14:paraId="04C563CF">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5BF6E28F">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823" w:type="pct"/>
            <w:vAlign w:val="center"/>
          </w:tcPr>
          <w:p w14:paraId="6A510C78">
            <w:pPr>
              <w:snapToGrid w:val="0"/>
              <w:jc w:val="center"/>
              <w:rPr>
                <w:rFonts w:ascii="Times New Roman" w:eastAsia="仿宋"/>
                <w:kern w:val="2"/>
                <w:sz w:val="21"/>
                <w:szCs w:val="21"/>
              </w:rPr>
            </w:pPr>
            <w:r>
              <w:rPr>
                <w:rFonts w:hint="eastAsia" w:ascii="Times New Roman" w:eastAsia="仿宋"/>
                <w:kern w:val="2"/>
                <w:sz w:val="21"/>
                <w:szCs w:val="21"/>
              </w:rPr>
              <w:t>其蒸气与空气可形成爆炸性混合物，遇明火、高热能引起燃烧爆炸。</w:t>
            </w:r>
          </w:p>
        </w:tc>
        <w:tc>
          <w:tcPr>
            <w:tcW w:w="704" w:type="pct"/>
            <w:vAlign w:val="center"/>
          </w:tcPr>
          <w:p w14:paraId="60CA178E">
            <w:pPr>
              <w:snapToGrid w:val="0"/>
              <w:jc w:val="center"/>
              <w:rPr>
                <w:rFonts w:ascii="Times New Roman" w:eastAsia="仿宋"/>
                <w:kern w:val="2"/>
                <w:sz w:val="21"/>
                <w:szCs w:val="21"/>
              </w:rPr>
            </w:pPr>
            <w:r>
              <w:rPr>
                <w:rFonts w:hint="eastAsia" w:ascii="Times New Roman" w:eastAsia="仿宋"/>
                <w:kern w:val="2"/>
                <w:sz w:val="21"/>
                <w:szCs w:val="21"/>
              </w:rPr>
              <w:t>/</w:t>
            </w:r>
          </w:p>
        </w:tc>
      </w:tr>
      <w:tr w14:paraId="3C89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1BA98553">
            <w:pPr>
              <w:snapToGrid w:val="0"/>
              <w:jc w:val="center"/>
              <w:rPr>
                <w:rFonts w:ascii="Times New Roman" w:eastAsia="仿宋"/>
                <w:kern w:val="2"/>
                <w:sz w:val="21"/>
                <w:szCs w:val="21"/>
              </w:rPr>
            </w:pPr>
            <w:r>
              <w:rPr>
                <w:rFonts w:hint="eastAsia" w:ascii="Times New Roman" w:eastAsia="仿宋"/>
                <w:kern w:val="2"/>
                <w:sz w:val="21"/>
                <w:szCs w:val="21"/>
              </w:rPr>
              <w:t>醋酸乙酯</w:t>
            </w:r>
          </w:p>
        </w:tc>
        <w:tc>
          <w:tcPr>
            <w:tcW w:w="362" w:type="pct"/>
            <w:vAlign w:val="center"/>
          </w:tcPr>
          <w:p w14:paraId="1A1D0385">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41BED591">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823" w:type="pct"/>
            <w:vAlign w:val="center"/>
          </w:tcPr>
          <w:p w14:paraId="7AF1098A">
            <w:pPr>
              <w:snapToGrid w:val="0"/>
              <w:jc w:val="center"/>
              <w:rPr>
                <w:rFonts w:ascii="Times New Roman" w:eastAsia="仿宋"/>
                <w:kern w:val="2"/>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c>
          <w:tcPr>
            <w:tcW w:w="704" w:type="pct"/>
            <w:vAlign w:val="center"/>
          </w:tcPr>
          <w:p w14:paraId="285C580F">
            <w:pPr>
              <w:snapToGrid w:val="0"/>
              <w:jc w:val="center"/>
              <w:rPr>
                <w:rFonts w:ascii="Times New Roman" w:eastAsia="仿宋"/>
                <w:kern w:val="2"/>
                <w:sz w:val="21"/>
                <w:szCs w:val="21"/>
              </w:rPr>
            </w:pPr>
            <w:r>
              <w:rPr>
                <w:rFonts w:hint="eastAsia" w:ascii="Times New Roman" w:eastAsia="仿宋"/>
                <w:kern w:val="2"/>
                <w:sz w:val="21"/>
                <w:szCs w:val="21"/>
              </w:rPr>
              <w:t>/</w:t>
            </w:r>
          </w:p>
        </w:tc>
      </w:tr>
      <w:tr w14:paraId="5D4C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1CC9A89F">
            <w:pPr>
              <w:snapToGrid w:val="0"/>
              <w:jc w:val="center"/>
              <w:rPr>
                <w:rFonts w:ascii="Times New Roman" w:eastAsia="仿宋"/>
                <w:kern w:val="2"/>
                <w:sz w:val="21"/>
                <w:szCs w:val="21"/>
              </w:rPr>
            </w:pPr>
            <w:r>
              <w:rPr>
                <w:rFonts w:hint="eastAsia" w:ascii="Times New Roman" w:eastAsia="仿宋"/>
                <w:kern w:val="2"/>
                <w:sz w:val="21"/>
                <w:szCs w:val="21"/>
              </w:rPr>
              <w:t>醋酸丁酯</w:t>
            </w:r>
          </w:p>
        </w:tc>
        <w:tc>
          <w:tcPr>
            <w:tcW w:w="362" w:type="pct"/>
            <w:vAlign w:val="center"/>
          </w:tcPr>
          <w:p w14:paraId="1CB18358">
            <w:pPr>
              <w:snapToGrid w:val="0"/>
              <w:jc w:val="center"/>
              <w:rPr>
                <w:rFonts w:ascii="Times New Roman" w:eastAsia="仿宋"/>
                <w:kern w:val="2"/>
                <w:sz w:val="21"/>
                <w:szCs w:val="21"/>
              </w:rPr>
            </w:pPr>
            <w:r>
              <w:rPr>
                <w:rFonts w:hint="eastAsia" w:ascii="Times New Roman" w:eastAsia="仿宋"/>
                <w:kern w:val="2"/>
                <w:sz w:val="21"/>
                <w:szCs w:val="21"/>
              </w:rPr>
              <w:t>/</w:t>
            </w:r>
          </w:p>
        </w:tc>
        <w:tc>
          <w:tcPr>
            <w:tcW w:w="502" w:type="pct"/>
            <w:vAlign w:val="center"/>
          </w:tcPr>
          <w:p w14:paraId="25E83341">
            <w:pPr>
              <w:snapToGrid w:val="0"/>
              <w:jc w:val="center"/>
              <w:rPr>
                <w:rFonts w:ascii="Times New Roman" w:eastAsia="仿宋"/>
                <w:kern w:val="2"/>
                <w:sz w:val="21"/>
                <w:szCs w:val="21"/>
              </w:rPr>
            </w:pPr>
            <w:r>
              <w:rPr>
                <w:rFonts w:hint="eastAsia" w:ascii="Times New Roman" w:eastAsia="仿宋"/>
                <w:kern w:val="2"/>
                <w:sz w:val="21"/>
                <w:szCs w:val="21"/>
              </w:rPr>
              <w:t>易燃</w:t>
            </w:r>
          </w:p>
        </w:tc>
        <w:tc>
          <w:tcPr>
            <w:tcW w:w="2823" w:type="pct"/>
            <w:vAlign w:val="center"/>
          </w:tcPr>
          <w:p w14:paraId="139ACC7F">
            <w:pPr>
              <w:snapToGrid w:val="0"/>
              <w:jc w:val="center"/>
              <w:rPr>
                <w:rFonts w:ascii="Times New Roman" w:eastAsia="仿宋"/>
                <w:kern w:val="2"/>
                <w:sz w:val="21"/>
                <w:szCs w:val="21"/>
              </w:rPr>
            </w:pPr>
            <w:r>
              <w:rPr>
                <w:rFonts w:ascii="Times New Roman" w:eastAsia="仿宋"/>
                <w:kern w:val="2"/>
                <w:sz w:val="21"/>
                <w:szCs w:val="21"/>
              </w:rPr>
              <w:t>易燃，遇高热、明火有引起燃烧的危险。与氧化剂接触会猛烈反应。若遇高热，容器内压增大，有开裂和爆炸的危险</w:t>
            </w:r>
          </w:p>
        </w:tc>
        <w:tc>
          <w:tcPr>
            <w:tcW w:w="704" w:type="pct"/>
            <w:vAlign w:val="center"/>
          </w:tcPr>
          <w:p w14:paraId="55176D1B">
            <w:pPr>
              <w:snapToGrid w:val="0"/>
              <w:jc w:val="center"/>
              <w:rPr>
                <w:rFonts w:ascii="Times New Roman" w:eastAsia="仿宋"/>
                <w:kern w:val="2"/>
                <w:sz w:val="21"/>
                <w:szCs w:val="21"/>
              </w:rPr>
            </w:pPr>
            <w:r>
              <w:rPr>
                <w:rFonts w:hint="eastAsia" w:ascii="Times New Roman" w:eastAsia="仿宋"/>
                <w:kern w:val="2"/>
                <w:sz w:val="21"/>
                <w:szCs w:val="21"/>
              </w:rPr>
              <w:t>/</w:t>
            </w:r>
          </w:p>
        </w:tc>
      </w:tr>
      <w:tr w14:paraId="1952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vAlign w:val="center"/>
          </w:tcPr>
          <w:p w14:paraId="6EE7F391">
            <w:pPr>
              <w:snapToGrid w:val="0"/>
              <w:jc w:val="center"/>
              <w:rPr>
                <w:rFonts w:ascii="Times New Roman" w:eastAsia="仿宋"/>
                <w:kern w:val="2"/>
                <w:sz w:val="21"/>
                <w:szCs w:val="21"/>
                <w:lang w:val="en-SG"/>
              </w:rPr>
            </w:pPr>
            <w:r>
              <w:rPr>
                <w:rFonts w:hint="eastAsia" w:ascii="Times New Roman" w:eastAsia="仿宋"/>
                <w:kern w:val="2"/>
                <w:sz w:val="21"/>
                <w:szCs w:val="21"/>
                <w:lang w:val="en-SG"/>
              </w:rPr>
              <w:t>液压油</w:t>
            </w:r>
          </w:p>
        </w:tc>
        <w:tc>
          <w:tcPr>
            <w:tcW w:w="362" w:type="pct"/>
            <w:vAlign w:val="center"/>
          </w:tcPr>
          <w:p w14:paraId="6B26EEA7">
            <w:pPr>
              <w:snapToGrid w:val="0"/>
              <w:jc w:val="center"/>
              <w:rPr>
                <w:rFonts w:ascii="Times New Roman" w:eastAsia="仿宋"/>
                <w:kern w:val="2"/>
                <w:sz w:val="21"/>
                <w:szCs w:val="21"/>
                <w:lang w:val="en-SG"/>
              </w:rPr>
            </w:pPr>
            <w:r>
              <w:rPr>
                <w:rFonts w:hint="eastAsia" w:ascii="Times New Roman" w:eastAsia="仿宋"/>
                <w:kern w:val="2"/>
                <w:sz w:val="21"/>
                <w:szCs w:val="21"/>
                <w:lang w:val="en-SG"/>
              </w:rPr>
              <w:t>/</w:t>
            </w:r>
          </w:p>
        </w:tc>
        <w:tc>
          <w:tcPr>
            <w:tcW w:w="502" w:type="pct"/>
            <w:vAlign w:val="center"/>
          </w:tcPr>
          <w:p w14:paraId="79006420">
            <w:pPr>
              <w:snapToGrid w:val="0"/>
              <w:jc w:val="center"/>
              <w:rPr>
                <w:rFonts w:ascii="Times New Roman" w:eastAsia="仿宋"/>
                <w:kern w:val="2"/>
                <w:sz w:val="21"/>
                <w:szCs w:val="21"/>
                <w:lang w:val="en-SG"/>
              </w:rPr>
            </w:pPr>
            <w:r>
              <w:rPr>
                <w:rFonts w:hint="eastAsia" w:ascii="Times New Roman" w:eastAsia="仿宋"/>
                <w:kern w:val="2"/>
                <w:sz w:val="21"/>
                <w:szCs w:val="21"/>
                <w:lang w:val="en-SG"/>
              </w:rPr>
              <w:t>可燃</w:t>
            </w:r>
          </w:p>
        </w:tc>
        <w:tc>
          <w:tcPr>
            <w:tcW w:w="2823" w:type="pct"/>
            <w:vAlign w:val="center"/>
          </w:tcPr>
          <w:p w14:paraId="54DEC3A9">
            <w:pPr>
              <w:snapToGrid w:val="0"/>
              <w:jc w:val="center"/>
              <w:rPr>
                <w:rFonts w:ascii="Times New Roman" w:eastAsia="仿宋"/>
                <w:kern w:val="2"/>
                <w:sz w:val="21"/>
                <w:szCs w:val="21"/>
                <w:lang w:val="en-SG"/>
              </w:rPr>
            </w:pPr>
            <w:r>
              <w:rPr>
                <w:rFonts w:hint="eastAsia" w:ascii="Times New Roman" w:eastAsia="仿宋"/>
                <w:kern w:val="2"/>
                <w:sz w:val="21"/>
                <w:szCs w:val="21"/>
              </w:rPr>
              <w:t>其蒸气与空气可形成爆炸性混合物，遇明火、高热能引起燃烧爆炸。</w:t>
            </w:r>
          </w:p>
        </w:tc>
        <w:tc>
          <w:tcPr>
            <w:tcW w:w="704" w:type="pct"/>
            <w:vAlign w:val="center"/>
          </w:tcPr>
          <w:p w14:paraId="5A825571">
            <w:pPr>
              <w:snapToGrid w:val="0"/>
              <w:jc w:val="center"/>
              <w:rPr>
                <w:rFonts w:ascii="Times New Roman" w:eastAsia="仿宋"/>
                <w:kern w:val="2"/>
                <w:sz w:val="21"/>
                <w:szCs w:val="21"/>
              </w:rPr>
            </w:pPr>
            <w:r>
              <w:rPr>
                <w:rFonts w:hint="eastAsia" w:ascii="Times New Roman" w:eastAsia="仿宋"/>
                <w:kern w:val="2"/>
                <w:sz w:val="21"/>
                <w:szCs w:val="21"/>
              </w:rPr>
              <w:t>/</w:t>
            </w:r>
          </w:p>
        </w:tc>
      </w:tr>
    </w:tbl>
    <w:p w14:paraId="478411C9">
      <w:pPr>
        <w:spacing w:line="500" w:lineRule="exact"/>
        <w:ind w:firstLine="562" w:firstLineChars="200"/>
        <w:rPr>
          <w:rFonts w:ascii="Times New Roman" w:eastAsia="仿宋"/>
          <w:b/>
          <w:sz w:val="28"/>
        </w:rPr>
      </w:pPr>
      <w:r>
        <w:rPr>
          <w:rFonts w:hint="eastAsia" w:ascii="Times New Roman" w:eastAsia="仿宋"/>
          <w:b/>
          <w:sz w:val="28"/>
        </w:rPr>
        <w:t>二、</w:t>
      </w:r>
      <w:r>
        <w:rPr>
          <w:rFonts w:ascii="Times New Roman" w:eastAsia="仿宋"/>
          <w:b/>
          <w:sz w:val="28"/>
        </w:rPr>
        <w:t>危险物质及工艺系统危险性（P）</w:t>
      </w:r>
    </w:p>
    <w:p w14:paraId="0BBCE745">
      <w:pPr>
        <w:spacing w:line="500" w:lineRule="exact"/>
        <w:ind w:firstLine="560" w:firstLineChars="200"/>
        <w:rPr>
          <w:rFonts w:ascii="Times New Roman" w:eastAsia="仿宋"/>
          <w:sz w:val="28"/>
        </w:rPr>
      </w:pPr>
      <w:r>
        <w:rPr>
          <w:rFonts w:hint="eastAsia" w:ascii="Times New Roman" w:eastAsia="仿宋"/>
          <w:sz w:val="28"/>
        </w:rPr>
        <w:t>（1）</w:t>
      </w:r>
      <w:r>
        <w:rPr>
          <w:rFonts w:ascii="Times New Roman" w:eastAsia="仿宋"/>
          <w:sz w:val="28"/>
        </w:rPr>
        <w:t>危险物质数量与临界量比值（Q）</w:t>
      </w:r>
    </w:p>
    <w:p w14:paraId="0B43E227">
      <w:pPr>
        <w:spacing w:line="500" w:lineRule="exact"/>
        <w:ind w:firstLine="560" w:firstLineChars="200"/>
        <w:rPr>
          <w:rFonts w:ascii="Times New Roman" w:eastAsia="仿宋"/>
          <w:sz w:val="28"/>
        </w:rPr>
      </w:pPr>
      <w:r>
        <w:rPr>
          <w:rFonts w:ascii="Times New Roman" w:eastAsia="仿宋"/>
          <w:sz w:val="28"/>
        </w:rPr>
        <w:t>对照《企业突发环境事件风险分级方法》（HJ941-2018）的附录A、《建设项目环境风险评价技术导则》（H</w:t>
      </w:r>
      <w:r>
        <w:rPr>
          <w:rFonts w:ascii="Times New Roman" w:eastAsia="仿宋"/>
          <w:sz w:val="28"/>
        </w:rPr>
        <w:tab/>
      </w:r>
      <w:r>
        <w:rPr>
          <w:rFonts w:ascii="Times New Roman" w:eastAsia="仿宋"/>
          <w:sz w:val="28"/>
        </w:rPr>
        <w:t>J 169-2018）附录B，计算所涉及的每种危险物质在厂界内的最大存在总量与其在附录B中对应临界量的比值Q。</w:t>
      </w:r>
    </w:p>
    <w:p w14:paraId="5ABB5D63">
      <w:pPr>
        <w:spacing w:line="500" w:lineRule="exact"/>
        <w:ind w:firstLine="560" w:firstLineChars="200"/>
        <w:rPr>
          <w:rFonts w:ascii="Times New Roman" w:eastAsia="仿宋"/>
          <w:sz w:val="28"/>
        </w:rPr>
      </w:pPr>
      <w:r>
        <w:rPr>
          <w:rFonts w:ascii="Times New Roman" w:eastAsia="仿宋"/>
          <w:sz w:val="28"/>
        </w:rPr>
        <w:t>当只涉及一种危险物质时，计算该物质的总量与其临界量比值，即为Q；</w:t>
      </w:r>
    </w:p>
    <w:p w14:paraId="1C8C8550">
      <w:pPr>
        <w:spacing w:line="500" w:lineRule="exact"/>
        <w:ind w:firstLine="560" w:firstLineChars="200"/>
        <w:rPr>
          <w:rFonts w:ascii="Times New Roman" w:eastAsia="仿宋"/>
          <w:sz w:val="28"/>
        </w:rPr>
      </w:pPr>
      <w:r>
        <w:rPr>
          <w:rFonts w:ascii="Times New Roman" w:eastAsia="仿宋"/>
          <w:sz w:val="28"/>
        </w:rPr>
        <w:t>当存在多种危险物质时，则按下式计算物质总量与其临界量比值（Q）：</w:t>
      </w:r>
    </w:p>
    <w:p w14:paraId="7E0A22D1">
      <w:pPr>
        <w:spacing w:line="500" w:lineRule="exact"/>
        <w:ind w:firstLine="480" w:firstLineChars="200"/>
        <w:rPr>
          <w:rFonts w:ascii="Times New Roman" w:eastAsia="仿宋"/>
          <w:sz w:val="28"/>
        </w:rPr>
      </w:pPr>
      <w:r>
        <w:rPr>
          <w:rFonts w:ascii="Times New Roman" w:eastAsia="仿宋"/>
        </w:rPr>
        <w:drawing>
          <wp:anchor distT="0" distB="0" distL="114300" distR="114300" simplePos="0" relativeHeight="251662336" behindDoc="0" locked="0" layoutInCell="1" allowOverlap="1">
            <wp:simplePos x="0" y="0"/>
            <wp:positionH relativeFrom="margin">
              <wp:align>center</wp:align>
            </wp:positionH>
            <wp:positionV relativeFrom="paragraph">
              <wp:posOffset>142875</wp:posOffset>
            </wp:positionV>
            <wp:extent cx="1657350" cy="428625"/>
            <wp:effectExtent l="0" t="0" r="0" b="0"/>
            <wp:wrapNone/>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657350" cy="428625"/>
                    </a:xfrm>
                    <a:prstGeom prst="rect">
                      <a:avLst/>
                    </a:prstGeom>
                    <a:noFill/>
                    <a:ln>
                      <a:noFill/>
                    </a:ln>
                  </pic:spPr>
                </pic:pic>
              </a:graphicData>
            </a:graphic>
          </wp:anchor>
        </w:drawing>
      </w:r>
    </w:p>
    <w:p w14:paraId="6367D217">
      <w:pPr>
        <w:spacing w:line="500" w:lineRule="exact"/>
        <w:ind w:firstLine="560" w:firstLineChars="200"/>
        <w:rPr>
          <w:rFonts w:ascii="Times New Roman" w:eastAsia="仿宋"/>
          <w:sz w:val="28"/>
        </w:rPr>
      </w:pPr>
    </w:p>
    <w:p w14:paraId="0FAD608D">
      <w:pPr>
        <w:spacing w:line="500" w:lineRule="exact"/>
        <w:ind w:firstLine="560" w:firstLineChars="200"/>
        <w:rPr>
          <w:rFonts w:ascii="Times New Roman" w:eastAsia="仿宋"/>
          <w:sz w:val="28"/>
        </w:rPr>
      </w:pPr>
      <w:r>
        <w:rPr>
          <w:rFonts w:ascii="Times New Roman" w:eastAsia="仿宋"/>
          <w:sz w:val="28"/>
        </w:rPr>
        <w:t>式中：q</w:t>
      </w:r>
      <w:r>
        <w:rPr>
          <w:rFonts w:ascii="Times New Roman" w:eastAsia="仿宋"/>
          <w:sz w:val="28"/>
          <w:vertAlign w:val="subscript"/>
        </w:rPr>
        <w:t>1</w:t>
      </w:r>
      <w:r>
        <w:rPr>
          <w:rFonts w:ascii="Times New Roman" w:eastAsia="仿宋"/>
          <w:sz w:val="28"/>
        </w:rPr>
        <w:t>，q</w:t>
      </w:r>
      <w:r>
        <w:rPr>
          <w:rFonts w:ascii="Times New Roman" w:eastAsia="仿宋"/>
          <w:sz w:val="28"/>
          <w:vertAlign w:val="subscript"/>
        </w:rPr>
        <w:t>2</w:t>
      </w:r>
      <w:r>
        <w:rPr>
          <w:rFonts w:ascii="Times New Roman" w:eastAsia="仿宋"/>
          <w:sz w:val="28"/>
        </w:rPr>
        <w:t>，...，q</w:t>
      </w:r>
      <w:r>
        <w:rPr>
          <w:rFonts w:ascii="Times New Roman" w:eastAsia="仿宋"/>
          <w:sz w:val="28"/>
          <w:vertAlign w:val="subscript"/>
        </w:rPr>
        <w:t>n</w:t>
      </w:r>
      <w:r>
        <w:rPr>
          <w:rFonts w:ascii="Times New Roman" w:eastAsia="仿宋"/>
          <w:sz w:val="28"/>
        </w:rPr>
        <w:t>——每种危险物质的最大存在总量，t；</w:t>
      </w:r>
    </w:p>
    <w:p w14:paraId="2045AF13">
      <w:pPr>
        <w:spacing w:line="500" w:lineRule="exact"/>
        <w:ind w:firstLine="1400" w:firstLineChars="500"/>
        <w:rPr>
          <w:rFonts w:ascii="Times New Roman" w:eastAsia="仿宋"/>
          <w:sz w:val="28"/>
        </w:rPr>
      </w:pPr>
      <w:r>
        <w:rPr>
          <w:rFonts w:ascii="Times New Roman" w:eastAsia="仿宋"/>
          <w:sz w:val="28"/>
        </w:rPr>
        <w:t>Q</w:t>
      </w:r>
      <w:r>
        <w:rPr>
          <w:rFonts w:ascii="Times New Roman" w:eastAsia="仿宋"/>
          <w:sz w:val="28"/>
          <w:vertAlign w:val="subscript"/>
        </w:rPr>
        <w:t>1</w:t>
      </w:r>
      <w:r>
        <w:rPr>
          <w:rFonts w:ascii="Times New Roman" w:eastAsia="仿宋"/>
          <w:sz w:val="28"/>
        </w:rPr>
        <w:t>, Q</w:t>
      </w:r>
      <w:r>
        <w:rPr>
          <w:rFonts w:ascii="Times New Roman" w:eastAsia="仿宋"/>
          <w:sz w:val="28"/>
          <w:vertAlign w:val="subscript"/>
        </w:rPr>
        <w:t>2</w:t>
      </w:r>
      <w:r>
        <w:rPr>
          <w:rFonts w:ascii="Times New Roman" w:eastAsia="仿宋"/>
          <w:sz w:val="28"/>
        </w:rPr>
        <w:t>, ..., Q</w:t>
      </w:r>
      <w:r>
        <w:rPr>
          <w:rFonts w:ascii="Times New Roman" w:eastAsia="仿宋"/>
          <w:sz w:val="28"/>
          <w:vertAlign w:val="subscript"/>
        </w:rPr>
        <w:t>n</w:t>
      </w:r>
      <w:r>
        <w:rPr>
          <w:rFonts w:ascii="Times New Roman" w:eastAsia="仿宋"/>
          <w:sz w:val="28"/>
        </w:rPr>
        <w:t>——每种危险物质的临界量，t。</w:t>
      </w:r>
    </w:p>
    <w:p w14:paraId="1BE4B6E8">
      <w:pPr>
        <w:spacing w:line="500" w:lineRule="exact"/>
        <w:ind w:firstLine="1400" w:firstLineChars="500"/>
        <w:rPr>
          <w:rFonts w:ascii="Times New Roman" w:eastAsia="仿宋"/>
          <w:sz w:val="28"/>
        </w:rPr>
      </w:pPr>
      <w:r>
        <w:rPr>
          <w:rFonts w:ascii="Times New Roman" w:eastAsia="仿宋"/>
          <w:sz w:val="28"/>
        </w:rPr>
        <w:t>当 Q&lt;1时，该项目环境风险潜势为Ⅰ。</w:t>
      </w:r>
    </w:p>
    <w:p w14:paraId="50BC9864">
      <w:pPr>
        <w:spacing w:line="500" w:lineRule="exact"/>
        <w:ind w:firstLine="1400" w:firstLineChars="500"/>
        <w:rPr>
          <w:rFonts w:ascii="Times New Roman" w:eastAsia="仿宋"/>
          <w:sz w:val="28"/>
        </w:rPr>
      </w:pPr>
      <w:r>
        <w:rPr>
          <w:rFonts w:ascii="Times New Roman" w:eastAsia="仿宋"/>
          <w:sz w:val="28"/>
        </w:rPr>
        <w:t>当Q≥1时，将Q值划分为：①1≤Q&lt;10；②10≤Q&lt;100；③Q≥100。</w:t>
      </w:r>
    </w:p>
    <w:p w14:paraId="03C04994">
      <w:pPr>
        <w:spacing w:line="500" w:lineRule="exact"/>
        <w:ind w:firstLine="560" w:firstLineChars="200"/>
        <w:rPr>
          <w:rFonts w:ascii="Times New Roman" w:eastAsia="仿宋"/>
          <w:sz w:val="28"/>
        </w:rPr>
      </w:pPr>
      <w:r>
        <w:rPr>
          <w:rFonts w:ascii="Times New Roman" w:eastAsia="仿宋"/>
          <w:sz w:val="28"/>
        </w:rPr>
        <w:t>本项目建成后厂内所有物质与附录B对照情况见表5.3-2。</w:t>
      </w:r>
    </w:p>
    <w:p w14:paraId="2CE5D437">
      <w:pPr>
        <w:spacing w:line="500" w:lineRule="exact"/>
        <w:ind w:firstLine="482" w:firstLineChars="200"/>
        <w:jc w:val="center"/>
        <w:rPr>
          <w:rFonts w:ascii="Times New Roman" w:eastAsia="仿宋"/>
          <w:b/>
        </w:rPr>
      </w:pPr>
      <w:r>
        <w:rPr>
          <w:rFonts w:ascii="Times New Roman" w:eastAsia="仿宋"/>
          <w:b/>
        </w:rPr>
        <w:t>表</w:t>
      </w:r>
      <w:r>
        <w:rPr>
          <w:rFonts w:hint="eastAsia" w:ascii="Times New Roman" w:eastAsia="仿宋"/>
          <w:b/>
        </w:rPr>
        <w:t>5.3-2 企业环境风险物质成分表</w:t>
      </w:r>
    </w:p>
    <w:tbl>
      <w:tblPr>
        <w:tblStyle w:val="8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7"/>
        <w:gridCol w:w="1337"/>
        <w:gridCol w:w="960"/>
        <w:gridCol w:w="1292"/>
        <w:gridCol w:w="1298"/>
        <w:gridCol w:w="1259"/>
        <w:gridCol w:w="1613"/>
      </w:tblGrid>
      <w:tr w14:paraId="29C4E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Align w:val="center"/>
          </w:tcPr>
          <w:p w14:paraId="1F81DB5B">
            <w:pPr>
              <w:kinsoku w:val="0"/>
              <w:overflowPunct w:val="0"/>
              <w:adjustRightInd w:val="0"/>
              <w:snapToGrid w:val="0"/>
              <w:jc w:val="center"/>
              <w:rPr>
                <w:rFonts w:ascii="Times New Roman" w:eastAsia="仿宋"/>
                <w:szCs w:val="21"/>
              </w:rPr>
            </w:pPr>
            <w:r>
              <w:rPr>
                <w:rFonts w:ascii="Times New Roman" w:eastAsia="仿宋"/>
                <w:szCs w:val="21"/>
              </w:rPr>
              <w:t>序号</w:t>
            </w:r>
          </w:p>
        </w:tc>
        <w:tc>
          <w:tcPr>
            <w:tcW w:w="1337" w:type="dxa"/>
            <w:vAlign w:val="center"/>
          </w:tcPr>
          <w:p w14:paraId="410FDA02">
            <w:pPr>
              <w:kinsoku w:val="0"/>
              <w:overflowPunct w:val="0"/>
              <w:adjustRightInd w:val="0"/>
              <w:snapToGrid w:val="0"/>
              <w:jc w:val="center"/>
              <w:rPr>
                <w:rFonts w:ascii="Times New Roman" w:eastAsia="仿宋"/>
                <w:szCs w:val="21"/>
              </w:rPr>
            </w:pPr>
            <w:r>
              <w:rPr>
                <w:rFonts w:ascii="Times New Roman" w:eastAsia="仿宋"/>
                <w:szCs w:val="21"/>
              </w:rPr>
              <w:t>物质名称</w:t>
            </w:r>
          </w:p>
        </w:tc>
        <w:tc>
          <w:tcPr>
            <w:tcW w:w="960" w:type="dxa"/>
            <w:vAlign w:val="center"/>
          </w:tcPr>
          <w:p w14:paraId="27002068">
            <w:pPr>
              <w:kinsoku w:val="0"/>
              <w:overflowPunct w:val="0"/>
              <w:adjustRightInd w:val="0"/>
              <w:snapToGrid w:val="0"/>
              <w:jc w:val="center"/>
              <w:rPr>
                <w:rFonts w:ascii="Times New Roman" w:eastAsia="仿宋"/>
                <w:szCs w:val="21"/>
              </w:rPr>
            </w:pPr>
            <w:r>
              <w:rPr>
                <w:rFonts w:hint="eastAsia" w:ascii="Times New Roman" w:eastAsia="仿宋"/>
                <w:szCs w:val="21"/>
              </w:rPr>
              <w:t>最大存在量（t）</w:t>
            </w:r>
          </w:p>
        </w:tc>
        <w:tc>
          <w:tcPr>
            <w:tcW w:w="1292" w:type="dxa"/>
            <w:vAlign w:val="center"/>
          </w:tcPr>
          <w:p w14:paraId="31B0B936">
            <w:pPr>
              <w:kinsoku w:val="0"/>
              <w:overflowPunct w:val="0"/>
              <w:adjustRightInd w:val="0"/>
              <w:snapToGrid w:val="0"/>
              <w:jc w:val="center"/>
              <w:rPr>
                <w:rFonts w:ascii="Times New Roman" w:eastAsia="仿宋"/>
                <w:szCs w:val="21"/>
              </w:rPr>
            </w:pPr>
            <w:r>
              <w:rPr>
                <w:rFonts w:hint="eastAsia" w:ascii="Times New Roman" w:eastAsia="仿宋"/>
                <w:szCs w:val="21"/>
              </w:rPr>
              <w:t>主要物质</w:t>
            </w:r>
          </w:p>
        </w:tc>
        <w:tc>
          <w:tcPr>
            <w:tcW w:w="1298" w:type="dxa"/>
            <w:vAlign w:val="center"/>
          </w:tcPr>
          <w:p w14:paraId="3A6EB38B">
            <w:pPr>
              <w:kinsoku w:val="0"/>
              <w:overflowPunct w:val="0"/>
              <w:adjustRightInd w:val="0"/>
              <w:snapToGrid w:val="0"/>
              <w:jc w:val="center"/>
              <w:rPr>
                <w:rFonts w:ascii="Times New Roman" w:eastAsia="仿宋"/>
                <w:szCs w:val="21"/>
              </w:rPr>
            </w:pPr>
            <w:r>
              <w:rPr>
                <w:rFonts w:hint="eastAsia" w:ascii="Times New Roman" w:eastAsia="仿宋"/>
                <w:szCs w:val="21"/>
              </w:rPr>
              <w:t>含量</w:t>
            </w:r>
          </w:p>
        </w:tc>
        <w:tc>
          <w:tcPr>
            <w:tcW w:w="1259" w:type="dxa"/>
            <w:vAlign w:val="center"/>
          </w:tcPr>
          <w:p w14:paraId="38D9191A">
            <w:pPr>
              <w:kinsoku w:val="0"/>
              <w:overflowPunct w:val="0"/>
              <w:adjustRightInd w:val="0"/>
              <w:snapToGrid w:val="0"/>
              <w:jc w:val="center"/>
              <w:rPr>
                <w:rFonts w:ascii="Times New Roman" w:eastAsia="仿宋"/>
                <w:szCs w:val="21"/>
              </w:rPr>
            </w:pPr>
            <w:r>
              <w:rPr>
                <w:rFonts w:hint="eastAsia" w:ascii="Times New Roman" w:eastAsia="仿宋"/>
                <w:szCs w:val="21"/>
              </w:rPr>
              <w:t>CAS号</w:t>
            </w:r>
          </w:p>
        </w:tc>
        <w:tc>
          <w:tcPr>
            <w:tcW w:w="1613" w:type="dxa"/>
            <w:vAlign w:val="center"/>
          </w:tcPr>
          <w:p w14:paraId="571C5B58">
            <w:pPr>
              <w:kinsoku w:val="0"/>
              <w:overflowPunct w:val="0"/>
              <w:adjustRightInd w:val="0"/>
              <w:snapToGrid w:val="0"/>
              <w:jc w:val="center"/>
              <w:rPr>
                <w:rFonts w:ascii="Times New Roman" w:eastAsia="仿宋"/>
                <w:szCs w:val="21"/>
              </w:rPr>
            </w:pPr>
            <w:r>
              <w:rPr>
                <w:rFonts w:hint="eastAsia" w:ascii="Times New Roman" w:eastAsia="仿宋"/>
                <w:szCs w:val="21"/>
              </w:rPr>
              <w:t>最大存在量</w:t>
            </w:r>
          </w:p>
          <w:p w14:paraId="54FBC0F3">
            <w:pPr>
              <w:kinsoku w:val="0"/>
              <w:overflowPunct w:val="0"/>
              <w:adjustRightInd w:val="0"/>
              <w:snapToGrid w:val="0"/>
              <w:jc w:val="center"/>
              <w:rPr>
                <w:rFonts w:ascii="Times New Roman" w:eastAsia="仿宋"/>
                <w:szCs w:val="21"/>
              </w:rPr>
            </w:pPr>
            <w:r>
              <w:rPr>
                <w:rFonts w:hint="eastAsia" w:ascii="Times New Roman" w:eastAsia="仿宋"/>
                <w:szCs w:val="21"/>
              </w:rPr>
              <w:t>（t）</w:t>
            </w:r>
          </w:p>
        </w:tc>
      </w:tr>
      <w:tr w14:paraId="77F3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527" w:type="dxa"/>
            <w:vAlign w:val="center"/>
          </w:tcPr>
          <w:p w14:paraId="21A8F2D6">
            <w:pPr>
              <w:snapToGrid w:val="0"/>
              <w:jc w:val="center"/>
              <w:rPr>
                <w:rFonts w:ascii="Times New Roman" w:eastAsia="仿宋"/>
                <w:szCs w:val="21"/>
              </w:rPr>
            </w:pPr>
            <w:r>
              <w:rPr>
                <w:rFonts w:hint="eastAsia" w:ascii="Times New Roman" w:eastAsia="仿宋"/>
                <w:szCs w:val="21"/>
              </w:rPr>
              <w:t>1</w:t>
            </w:r>
          </w:p>
        </w:tc>
        <w:tc>
          <w:tcPr>
            <w:tcW w:w="1337" w:type="dxa"/>
            <w:vAlign w:val="center"/>
          </w:tcPr>
          <w:p w14:paraId="03EB1C91">
            <w:pPr>
              <w:widowControl/>
              <w:snapToGrid w:val="0"/>
              <w:jc w:val="center"/>
              <w:rPr>
                <w:rFonts w:ascii="Times New Roman" w:eastAsia="仿宋"/>
                <w:szCs w:val="21"/>
              </w:rPr>
            </w:pPr>
            <w:r>
              <w:rPr>
                <w:rFonts w:hint="eastAsia" w:ascii="Times New Roman" w:eastAsia="仿宋"/>
                <w:szCs w:val="21"/>
              </w:rPr>
              <w:t>清洗剂</w:t>
            </w:r>
          </w:p>
        </w:tc>
        <w:tc>
          <w:tcPr>
            <w:tcW w:w="960" w:type="dxa"/>
            <w:vAlign w:val="center"/>
          </w:tcPr>
          <w:p w14:paraId="749C5B42">
            <w:pPr>
              <w:widowControl/>
              <w:snapToGrid w:val="0"/>
              <w:jc w:val="center"/>
              <w:rPr>
                <w:rFonts w:ascii="Times New Roman" w:eastAsia="仿宋"/>
                <w:szCs w:val="21"/>
              </w:rPr>
            </w:pPr>
            <w:r>
              <w:rPr>
                <w:rFonts w:hint="eastAsia" w:ascii="Times New Roman" w:eastAsia="仿宋"/>
                <w:szCs w:val="21"/>
              </w:rPr>
              <w:t>3.5</w:t>
            </w:r>
          </w:p>
        </w:tc>
        <w:tc>
          <w:tcPr>
            <w:tcW w:w="1292" w:type="dxa"/>
            <w:vAlign w:val="center"/>
          </w:tcPr>
          <w:p w14:paraId="4A909EE1">
            <w:pPr>
              <w:widowControl/>
              <w:snapToGrid w:val="0"/>
              <w:jc w:val="center"/>
              <w:rPr>
                <w:rFonts w:ascii="Times New Roman" w:eastAsia="仿宋"/>
                <w:szCs w:val="21"/>
              </w:rPr>
            </w:pPr>
            <w:r>
              <w:rPr>
                <w:rFonts w:hint="eastAsia" w:ascii="Times New Roman" w:eastAsia="仿宋"/>
                <w:szCs w:val="21"/>
              </w:rPr>
              <w:t>硫酸</w:t>
            </w:r>
          </w:p>
        </w:tc>
        <w:tc>
          <w:tcPr>
            <w:tcW w:w="1298" w:type="dxa"/>
            <w:vAlign w:val="center"/>
          </w:tcPr>
          <w:p w14:paraId="23F563B7">
            <w:pPr>
              <w:widowControl/>
              <w:snapToGrid w:val="0"/>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1259" w:type="dxa"/>
            <w:vAlign w:val="center"/>
          </w:tcPr>
          <w:p w14:paraId="46701CC4">
            <w:pPr>
              <w:widowControl/>
              <w:snapToGrid w:val="0"/>
              <w:jc w:val="center"/>
              <w:rPr>
                <w:rFonts w:ascii="Times New Roman" w:eastAsia="仿宋"/>
                <w:szCs w:val="21"/>
              </w:rPr>
            </w:pPr>
            <w:r>
              <w:rPr>
                <w:rFonts w:hint="eastAsia" w:ascii="Times New Roman" w:eastAsia="仿宋"/>
                <w:szCs w:val="21"/>
              </w:rPr>
              <w:t>7</w:t>
            </w:r>
            <w:r>
              <w:rPr>
                <w:rFonts w:ascii="Times New Roman" w:eastAsia="仿宋"/>
                <w:szCs w:val="21"/>
              </w:rPr>
              <w:t>664-93-9</w:t>
            </w:r>
          </w:p>
        </w:tc>
        <w:tc>
          <w:tcPr>
            <w:tcW w:w="1613" w:type="dxa"/>
            <w:vAlign w:val="center"/>
          </w:tcPr>
          <w:p w14:paraId="10D83EF3">
            <w:pPr>
              <w:widowControl/>
              <w:snapToGrid w:val="0"/>
              <w:jc w:val="center"/>
              <w:rPr>
                <w:rFonts w:ascii="Times New Roman" w:eastAsia="仿宋"/>
                <w:szCs w:val="21"/>
              </w:rPr>
            </w:pPr>
            <w:r>
              <w:rPr>
                <w:rFonts w:hint="eastAsia" w:ascii="Times New Roman" w:eastAsia="仿宋"/>
                <w:szCs w:val="21"/>
              </w:rPr>
              <w:t>0</w:t>
            </w:r>
            <w:r>
              <w:rPr>
                <w:rFonts w:ascii="Times New Roman" w:eastAsia="仿宋"/>
                <w:szCs w:val="21"/>
              </w:rPr>
              <w:t>.7</w:t>
            </w:r>
          </w:p>
        </w:tc>
      </w:tr>
      <w:tr w14:paraId="2BA3E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Align w:val="center"/>
          </w:tcPr>
          <w:p w14:paraId="2BA455B9">
            <w:pPr>
              <w:snapToGrid w:val="0"/>
              <w:jc w:val="center"/>
              <w:rPr>
                <w:rFonts w:ascii="Times New Roman" w:eastAsia="仿宋"/>
                <w:szCs w:val="21"/>
              </w:rPr>
            </w:pPr>
            <w:r>
              <w:rPr>
                <w:rFonts w:hint="eastAsia" w:ascii="Times New Roman" w:eastAsia="仿宋"/>
                <w:szCs w:val="21"/>
              </w:rPr>
              <w:t>2</w:t>
            </w:r>
          </w:p>
        </w:tc>
        <w:tc>
          <w:tcPr>
            <w:tcW w:w="1337" w:type="dxa"/>
            <w:vAlign w:val="center"/>
          </w:tcPr>
          <w:p w14:paraId="04A551BD">
            <w:pPr>
              <w:widowControl/>
              <w:snapToGrid w:val="0"/>
              <w:jc w:val="center"/>
              <w:rPr>
                <w:rFonts w:ascii="Times New Roman" w:eastAsia="仿宋"/>
                <w:szCs w:val="21"/>
              </w:rPr>
            </w:pPr>
            <w:r>
              <w:rPr>
                <w:rFonts w:hint="eastAsia" w:ascii="Times New Roman" w:eastAsia="仿宋"/>
                <w:szCs w:val="21"/>
              </w:rPr>
              <w:t>氟碳底漆</w:t>
            </w:r>
          </w:p>
        </w:tc>
        <w:tc>
          <w:tcPr>
            <w:tcW w:w="960" w:type="dxa"/>
            <w:vAlign w:val="center"/>
          </w:tcPr>
          <w:p w14:paraId="630F14D4">
            <w:pPr>
              <w:widowControl/>
              <w:snapToGrid w:val="0"/>
              <w:jc w:val="center"/>
              <w:rPr>
                <w:rFonts w:ascii="Times New Roman" w:eastAsia="仿宋"/>
                <w:szCs w:val="21"/>
              </w:rPr>
            </w:pPr>
            <w:r>
              <w:rPr>
                <w:rFonts w:hint="eastAsia" w:ascii="Times New Roman" w:eastAsia="仿宋"/>
                <w:szCs w:val="21"/>
              </w:rPr>
              <w:t>4</w:t>
            </w:r>
          </w:p>
        </w:tc>
        <w:tc>
          <w:tcPr>
            <w:tcW w:w="1292" w:type="dxa"/>
            <w:vAlign w:val="center"/>
          </w:tcPr>
          <w:p w14:paraId="7CF376C3">
            <w:pPr>
              <w:widowControl/>
              <w:snapToGrid w:val="0"/>
              <w:jc w:val="center"/>
              <w:rPr>
                <w:rFonts w:ascii="Times New Roman" w:eastAsia="仿宋"/>
                <w:szCs w:val="21"/>
              </w:rPr>
            </w:pPr>
            <w:r>
              <w:rPr>
                <w:rFonts w:hint="eastAsia" w:ascii="Times New Roman" w:eastAsia="仿宋"/>
                <w:szCs w:val="21"/>
              </w:rPr>
              <w:t>二甲苯</w:t>
            </w:r>
          </w:p>
        </w:tc>
        <w:tc>
          <w:tcPr>
            <w:tcW w:w="1298" w:type="dxa"/>
            <w:vAlign w:val="center"/>
          </w:tcPr>
          <w:p w14:paraId="78DE78AE">
            <w:pPr>
              <w:widowControl/>
              <w:snapToGrid w:val="0"/>
              <w:jc w:val="center"/>
              <w:rPr>
                <w:rFonts w:ascii="Times New Roman" w:eastAsia="仿宋"/>
                <w:szCs w:val="21"/>
              </w:rPr>
            </w:pPr>
            <w:r>
              <w:rPr>
                <w:rFonts w:hint="eastAsia" w:ascii="Times New Roman" w:eastAsia="仿宋"/>
                <w:szCs w:val="21"/>
              </w:rPr>
              <w:t>3</w:t>
            </w:r>
            <w:r>
              <w:rPr>
                <w:rFonts w:ascii="Times New Roman" w:eastAsia="仿宋"/>
                <w:szCs w:val="21"/>
              </w:rPr>
              <w:t>1%</w:t>
            </w:r>
          </w:p>
        </w:tc>
        <w:tc>
          <w:tcPr>
            <w:tcW w:w="1259" w:type="dxa"/>
            <w:vAlign w:val="center"/>
          </w:tcPr>
          <w:p w14:paraId="3C67DDD3">
            <w:pPr>
              <w:widowControl/>
              <w:snapToGrid w:val="0"/>
              <w:jc w:val="center"/>
              <w:rPr>
                <w:rFonts w:ascii="Times New Roman" w:eastAsia="仿宋"/>
                <w:szCs w:val="21"/>
              </w:rPr>
            </w:pPr>
            <w:r>
              <w:rPr>
                <w:rFonts w:ascii="Times New Roman" w:eastAsia="仿宋"/>
                <w:szCs w:val="21"/>
              </w:rPr>
              <w:t>1330-20-7</w:t>
            </w:r>
          </w:p>
        </w:tc>
        <w:tc>
          <w:tcPr>
            <w:tcW w:w="1613" w:type="dxa"/>
            <w:vAlign w:val="center"/>
          </w:tcPr>
          <w:p w14:paraId="5C31D2B3">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.24</w:t>
            </w:r>
          </w:p>
        </w:tc>
      </w:tr>
      <w:tr w14:paraId="55D96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Align w:val="center"/>
          </w:tcPr>
          <w:p w14:paraId="0C372B35">
            <w:pPr>
              <w:snapToGrid w:val="0"/>
              <w:jc w:val="center"/>
              <w:rPr>
                <w:rFonts w:ascii="Times New Roman" w:eastAsia="仿宋"/>
                <w:szCs w:val="21"/>
              </w:rPr>
            </w:pPr>
            <w:r>
              <w:rPr>
                <w:rFonts w:hint="eastAsia" w:ascii="Times New Roman" w:eastAsia="仿宋"/>
                <w:szCs w:val="21"/>
              </w:rPr>
              <w:t>3</w:t>
            </w:r>
          </w:p>
        </w:tc>
        <w:tc>
          <w:tcPr>
            <w:tcW w:w="1337" w:type="dxa"/>
            <w:vAlign w:val="center"/>
          </w:tcPr>
          <w:p w14:paraId="29C21845">
            <w:pPr>
              <w:widowControl/>
              <w:snapToGrid w:val="0"/>
              <w:jc w:val="center"/>
              <w:rPr>
                <w:rFonts w:ascii="Times New Roman" w:eastAsia="仿宋"/>
                <w:szCs w:val="21"/>
              </w:rPr>
            </w:pPr>
            <w:r>
              <w:rPr>
                <w:rFonts w:hint="eastAsia" w:ascii="Times New Roman" w:eastAsia="仿宋"/>
                <w:szCs w:val="21"/>
              </w:rPr>
              <w:t>氟碳面漆</w:t>
            </w:r>
          </w:p>
        </w:tc>
        <w:tc>
          <w:tcPr>
            <w:tcW w:w="960" w:type="dxa"/>
            <w:vAlign w:val="center"/>
          </w:tcPr>
          <w:p w14:paraId="02742C03">
            <w:pPr>
              <w:widowControl/>
              <w:snapToGrid w:val="0"/>
              <w:jc w:val="center"/>
              <w:rPr>
                <w:rFonts w:ascii="Times New Roman" w:eastAsia="仿宋"/>
                <w:szCs w:val="21"/>
              </w:rPr>
            </w:pPr>
            <w:r>
              <w:rPr>
                <w:rFonts w:ascii="Times New Roman" w:eastAsia="仿宋"/>
                <w:szCs w:val="21"/>
              </w:rPr>
              <w:t>4</w:t>
            </w:r>
          </w:p>
        </w:tc>
        <w:tc>
          <w:tcPr>
            <w:tcW w:w="1292" w:type="dxa"/>
            <w:vAlign w:val="center"/>
          </w:tcPr>
          <w:p w14:paraId="6DBD993F">
            <w:pPr>
              <w:widowControl/>
              <w:snapToGrid w:val="0"/>
              <w:jc w:val="center"/>
              <w:rPr>
                <w:rFonts w:ascii="Times New Roman" w:eastAsia="仿宋"/>
                <w:szCs w:val="21"/>
              </w:rPr>
            </w:pPr>
            <w:r>
              <w:rPr>
                <w:rFonts w:hint="eastAsia" w:ascii="Times New Roman" w:eastAsia="仿宋"/>
                <w:szCs w:val="21"/>
              </w:rPr>
              <w:t>二甲苯</w:t>
            </w:r>
          </w:p>
        </w:tc>
        <w:tc>
          <w:tcPr>
            <w:tcW w:w="1298" w:type="dxa"/>
            <w:vAlign w:val="center"/>
          </w:tcPr>
          <w:p w14:paraId="742D5990">
            <w:pPr>
              <w:widowControl/>
              <w:snapToGrid w:val="0"/>
              <w:jc w:val="center"/>
              <w:rPr>
                <w:rFonts w:ascii="Times New Roman" w:eastAsia="仿宋"/>
                <w:szCs w:val="21"/>
              </w:rPr>
            </w:pPr>
            <w:r>
              <w:rPr>
                <w:rFonts w:hint="eastAsia" w:ascii="Times New Roman" w:eastAsia="仿宋"/>
                <w:szCs w:val="21"/>
              </w:rPr>
              <w:t>2</w:t>
            </w:r>
            <w:r>
              <w:rPr>
                <w:rFonts w:ascii="Times New Roman" w:eastAsia="仿宋"/>
                <w:szCs w:val="21"/>
              </w:rPr>
              <w:t>4.5%</w:t>
            </w:r>
          </w:p>
        </w:tc>
        <w:tc>
          <w:tcPr>
            <w:tcW w:w="1259" w:type="dxa"/>
            <w:vAlign w:val="center"/>
          </w:tcPr>
          <w:p w14:paraId="7BFFF294">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330-20-7</w:t>
            </w:r>
          </w:p>
        </w:tc>
        <w:tc>
          <w:tcPr>
            <w:tcW w:w="1613" w:type="dxa"/>
            <w:vAlign w:val="center"/>
          </w:tcPr>
          <w:p w14:paraId="55E2EF5E">
            <w:pPr>
              <w:widowControl/>
              <w:snapToGrid w:val="0"/>
              <w:jc w:val="center"/>
              <w:rPr>
                <w:rFonts w:ascii="Times New Roman" w:eastAsia="仿宋"/>
                <w:szCs w:val="21"/>
              </w:rPr>
            </w:pPr>
            <w:r>
              <w:rPr>
                <w:rFonts w:hint="eastAsia" w:ascii="Times New Roman" w:eastAsia="仿宋"/>
                <w:szCs w:val="21"/>
              </w:rPr>
              <w:t>0</w:t>
            </w:r>
            <w:r>
              <w:rPr>
                <w:rFonts w:ascii="Times New Roman" w:eastAsia="仿宋"/>
                <w:szCs w:val="21"/>
              </w:rPr>
              <w:t>.98</w:t>
            </w:r>
          </w:p>
        </w:tc>
      </w:tr>
      <w:tr w14:paraId="6837C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Merge w:val="restart"/>
            <w:vAlign w:val="center"/>
          </w:tcPr>
          <w:p w14:paraId="34EA7CBD">
            <w:pPr>
              <w:snapToGrid w:val="0"/>
              <w:jc w:val="center"/>
              <w:rPr>
                <w:rFonts w:ascii="Times New Roman" w:eastAsia="仿宋"/>
                <w:szCs w:val="21"/>
              </w:rPr>
            </w:pPr>
            <w:r>
              <w:rPr>
                <w:rFonts w:hint="eastAsia" w:ascii="Times New Roman" w:eastAsia="仿宋"/>
                <w:szCs w:val="21"/>
              </w:rPr>
              <w:t>4</w:t>
            </w:r>
          </w:p>
        </w:tc>
        <w:tc>
          <w:tcPr>
            <w:tcW w:w="1337" w:type="dxa"/>
            <w:vMerge w:val="restart"/>
            <w:vAlign w:val="center"/>
          </w:tcPr>
          <w:p w14:paraId="5D1FC073">
            <w:pPr>
              <w:widowControl/>
              <w:snapToGrid w:val="0"/>
              <w:jc w:val="center"/>
              <w:rPr>
                <w:rFonts w:ascii="Times New Roman" w:eastAsia="仿宋"/>
                <w:szCs w:val="21"/>
              </w:rPr>
            </w:pPr>
            <w:r>
              <w:rPr>
                <w:rFonts w:hint="eastAsia" w:ascii="Times New Roman" w:eastAsia="仿宋"/>
                <w:szCs w:val="21"/>
              </w:rPr>
              <w:t>稀释剂</w:t>
            </w:r>
          </w:p>
        </w:tc>
        <w:tc>
          <w:tcPr>
            <w:tcW w:w="960" w:type="dxa"/>
            <w:vMerge w:val="restart"/>
            <w:vAlign w:val="center"/>
          </w:tcPr>
          <w:p w14:paraId="71636AA5">
            <w:pPr>
              <w:widowControl/>
              <w:snapToGrid w:val="0"/>
              <w:jc w:val="center"/>
              <w:rPr>
                <w:rFonts w:ascii="Times New Roman" w:eastAsia="仿宋"/>
                <w:szCs w:val="21"/>
              </w:rPr>
            </w:pPr>
            <w:r>
              <w:rPr>
                <w:rFonts w:hint="eastAsia" w:ascii="Times New Roman" w:eastAsia="仿宋"/>
                <w:szCs w:val="21"/>
              </w:rPr>
              <w:t>4</w:t>
            </w:r>
          </w:p>
        </w:tc>
        <w:tc>
          <w:tcPr>
            <w:tcW w:w="1292" w:type="dxa"/>
            <w:vAlign w:val="center"/>
          </w:tcPr>
          <w:p w14:paraId="6E6888C8">
            <w:pPr>
              <w:widowControl/>
              <w:snapToGrid w:val="0"/>
              <w:jc w:val="center"/>
              <w:rPr>
                <w:rFonts w:ascii="Times New Roman" w:eastAsia="仿宋"/>
                <w:szCs w:val="21"/>
              </w:rPr>
            </w:pPr>
            <w:r>
              <w:rPr>
                <w:rFonts w:hint="eastAsia" w:ascii="Times New Roman" w:eastAsia="仿宋"/>
                <w:szCs w:val="21"/>
              </w:rPr>
              <w:t>环己酮</w:t>
            </w:r>
          </w:p>
        </w:tc>
        <w:tc>
          <w:tcPr>
            <w:tcW w:w="1298" w:type="dxa"/>
            <w:vAlign w:val="center"/>
          </w:tcPr>
          <w:p w14:paraId="54BE5900">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259" w:type="dxa"/>
            <w:vAlign w:val="center"/>
          </w:tcPr>
          <w:p w14:paraId="2297FE77">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08-94-1</w:t>
            </w:r>
          </w:p>
        </w:tc>
        <w:tc>
          <w:tcPr>
            <w:tcW w:w="1613" w:type="dxa"/>
            <w:vAlign w:val="center"/>
          </w:tcPr>
          <w:p w14:paraId="0748A541">
            <w:pPr>
              <w:widowControl/>
              <w:snapToGrid w:val="0"/>
              <w:jc w:val="center"/>
              <w:rPr>
                <w:rFonts w:ascii="Times New Roman" w:eastAsia="仿宋"/>
                <w:szCs w:val="21"/>
              </w:rPr>
            </w:pPr>
            <w:r>
              <w:rPr>
                <w:rFonts w:hint="eastAsia" w:ascii="Times New Roman" w:eastAsia="仿宋"/>
                <w:szCs w:val="21"/>
              </w:rPr>
              <w:t>0</w:t>
            </w:r>
            <w:r>
              <w:rPr>
                <w:rFonts w:ascii="Times New Roman" w:eastAsia="仿宋"/>
                <w:szCs w:val="21"/>
              </w:rPr>
              <w:t>.4</w:t>
            </w:r>
          </w:p>
        </w:tc>
      </w:tr>
      <w:tr w14:paraId="3CEA8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Merge w:val="continue"/>
            <w:vAlign w:val="center"/>
          </w:tcPr>
          <w:p w14:paraId="433B1D77">
            <w:pPr>
              <w:snapToGrid w:val="0"/>
              <w:jc w:val="center"/>
              <w:rPr>
                <w:rFonts w:ascii="Times New Roman" w:eastAsia="仿宋"/>
                <w:szCs w:val="21"/>
              </w:rPr>
            </w:pPr>
          </w:p>
        </w:tc>
        <w:tc>
          <w:tcPr>
            <w:tcW w:w="1337" w:type="dxa"/>
            <w:vMerge w:val="continue"/>
            <w:vAlign w:val="center"/>
          </w:tcPr>
          <w:p w14:paraId="05D12FB2">
            <w:pPr>
              <w:widowControl/>
              <w:snapToGrid w:val="0"/>
              <w:jc w:val="center"/>
              <w:rPr>
                <w:rFonts w:ascii="Times New Roman" w:eastAsia="仿宋"/>
                <w:szCs w:val="21"/>
              </w:rPr>
            </w:pPr>
          </w:p>
        </w:tc>
        <w:tc>
          <w:tcPr>
            <w:tcW w:w="960" w:type="dxa"/>
            <w:vMerge w:val="continue"/>
            <w:vAlign w:val="center"/>
          </w:tcPr>
          <w:p w14:paraId="3A5C9F25">
            <w:pPr>
              <w:widowControl/>
              <w:snapToGrid w:val="0"/>
              <w:jc w:val="center"/>
              <w:rPr>
                <w:rFonts w:ascii="Times New Roman" w:eastAsia="仿宋"/>
                <w:szCs w:val="21"/>
              </w:rPr>
            </w:pPr>
          </w:p>
        </w:tc>
        <w:tc>
          <w:tcPr>
            <w:tcW w:w="1292" w:type="dxa"/>
            <w:vAlign w:val="center"/>
          </w:tcPr>
          <w:p w14:paraId="3DCF4BCC">
            <w:pPr>
              <w:widowControl/>
              <w:snapToGrid w:val="0"/>
              <w:jc w:val="center"/>
              <w:rPr>
                <w:rFonts w:ascii="Times New Roman" w:eastAsia="仿宋"/>
                <w:szCs w:val="21"/>
              </w:rPr>
            </w:pPr>
            <w:r>
              <w:rPr>
                <w:rFonts w:hint="eastAsia" w:ascii="Times New Roman" w:eastAsia="仿宋"/>
                <w:szCs w:val="21"/>
              </w:rPr>
              <w:t>醋酸乙酯</w:t>
            </w:r>
          </w:p>
        </w:tc>
        <w:tc>
          <w:tcPr>
            <w:tcW w:w="1298" w:type="dxa"/>
            <w:vAlign w:val="center"/>
          </w:tcPr>
          <w:p w14:paraId="46B4A9C1">
            <w:pPr>
              <w:widowControl/>
              <w:snapToGrid w:val="0"/>
              <w:jc w:val="center"/>
              <w:rPr>
                <w:rFonts w:ascii="Times New Roman" w:eastAsia="仿宋"/>
                <w:szCs w:val="21"/>
              </w:rPr>
            </w:pPr>
            <w:r>
              <w:rPr>
                <w:rFonts w:hint="eastAsia" w:ascii="Times New Roman" w:eastAsia="仿宋"/>
                <w:szCs w:val="21"/>
              </w:rPr>
              <w:t>4</w:t>
            </w:r>
            <w:r>
              <w:rPr>
                <w:rFonts w:ascii="Times New Roman" w:eastAsia="仿宋"/>
                <w:szCs w:val="21"/>
              </w:rPr>
              <w:t>0%</w:t>
            </w:r>
          </w:p>
        </w:tc>
        <w:tc>
          <w:tcPr>
            <w:tcW w:w="1259" w:type="dxa"/>
            <w:vAlign w:val="center"/>
          </w:tcPr>
          <w:p w14:paraId="515DFA4F">
            <w:pPr>
              <w:widowControl/>
              <w:snapToGrid w:val="0"/>
              <w:jc w:val="center"/>
              <w:rPr>
                <w:rFonts w:ascii="Times New Roman" w:eastAsia="仿宋"/>
                <w:szCs w:val="21"/>
              </w:rPr>
            </w:pPr>
            <w:r>
              <w:rPr>
                <w:rFonts w:hint="eastAsia" w:ascii="Times New Roman" w:eastAsia="仿宋"/>
                <w:szCs w:val="21"/>
              </w:rPr>
              <w:t>14</w:t>
            </w:r>
            <w:r>
              <w:rPr>
                <w:rFonts w:ascii="Times New Roman" w:eastAsia="仿宋"/>
                <w:szCs w:val="21"/>
              </w:rPr>
              <w:t>1-78-6</w:t>
            </w:r>
          </w:p>
        </w:tc>
        <w:tc>
          <w:tcPr>
            <w:tcW w:w="1613" w:type="dxa"/>
            <w:vAlign w:val="center"/>
          </w:tcPr>
          <w:p w14:paraId="31DDC6A6">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.6</w:t>
            </w:r>
          </w:p>
        </w:tc>
      </w:tr>
      <w:tr w14:paraId="3522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7" w:type="dxa"/>
            <w:vAlign w:val="center"/>
          </w:tcPr>
          <w:p w14:paraId="7EC5650B">
            <w:pPr>
              <w:snapToGrid w:val="0"/>
              <w:jc w:val="center"/>
              <w:rPr>
                <w:rFonts w:ascii="Times New Roman" w:eastAsia="仿宋"/>
                <w:szCs w:val="21"/>
              </w:rPr>
            </w:pPr>
            <w:r>
              <w:rPr>
                <w:rFonts w:ascii="Times New Roman" w:eastAsia="仿宋"/>
                <w:szCs w:val="21"/>
              </w:rPr>
              <w:t>5</w:t>
            </w:r>
          </w:p>
        </w:tc>
        <w:tc>
          <w:tcPr>
            <w:tcW w:w="1337" w:type="dxa"/>
            <w:vAlign w:val="center"/>
          </w:tcPr>
          <w:p w14:paraId="0CBF4178">
            <w:pPr>
              <w:widowControl/>
              <w:snapToGrid w:val="0"/>
              <w:jc w:val="center"/>
              <w:rPr>
                <w:rFonts w:ascii="Times New Roman" w:eastAsia="仿宋"/>
                <w:szCs w:val="21"/>
              </w:rPr>
            </w:pPr>
            <w:r>
              <w:rPr>
                <w:rFonts w:hint="eastAsia" w:ascii="Times New Roman" w:eastAsia="仿宋"/>
                <w:szCs w:val="21"/>
              </w:rPr>
              <w:t>机油</w:t>
            </w:r>
          </w:p>
        </w:tc>
        <w:tc>
          <w:tcPr>
            <w:tcW w:w="960" w:type="dxa"/>
            <w:vAlign w:val="center"/>
          </w:tcPr>
          <w:p w14:paraId="149F6FFB">
            <w:pPr>
              <w:widowControl/>
              <w:snapToGrid w:val="0"/>
              <w:jc w:val="center"/>
              <w:rPr>
                <w:rFonts w:ascii="Times New Roman" w:eastAsia="仿宋"/>
                <w:szCs w:val="21"/>
              </w:rPr>
            </w:pPr>
            <w:r>
              <w:rPr>
                <w:rFonts w:hint="eastAsia" w:ascii="Times New Roman" w:eastAsia="仿宋"/>
                <w:szCs w:val="21"/>
              </w:rPr>
              <w:t>0.4</w:t>
            </w:r>
          </w:p>
        </w:tc>
        <w:tc>
          <w:tcPr>
            <w:tcW w:w="1292" w:type="dxa"/>
            <w:vAlign w:val="center"/>
          </w:tcPr>
          <w:p w14:paraId="7B2ADD4E">
            <w:pPr>
              <w:widowControl/>
              <w:snapToGrid w:val="0"/>
              <w:jc w:val="center"/>
              <w:rPr>
                <w:rFonts w:ascii="Times New Roman" w:eastAsia="仿宋"/>
                <w:szCs w:val="21"/>
              </w:rPr>
            </w:pPr>
            <w:r>
              <w:rPr>
                <w:rFonts w:hint="eastAsia" w:ascii="Times New Roman" w:eastAsia="仿宋"/>
                <w:szCs w:val="21"/>
              </w:rPr>
              <w:t>矿物油</w:t>
            </w:r>
          </w:p>
        </w:tc>
        <w:tc>
          <w:tcPr>
            <w:tcW w:w="1298" w:type="dxa"/>
            <w:vAlign w:val="center"/>
          </w:tcPr>
          <w:p w14:paraId="638F4436">
            <w:pPr>
              <w:widowControl/>
              <w:snapToGrid w:val="0"/>
              <w:jc w:val="center"/>
              <w:rPr>
                <w:rFonts w:ascii="Times New Roman" w:eastAsia="仿宋"/>
                <w:szCs w:val="21"/>
              </w:rPr>
            </w:pPr>
            <w:r>
              <w:rPr>
                <w:rFonts w:hint="eastAsia" w:ascii="Times New Roman" w:eastAsia="仿宋"/>
                <w:szCs w:val="21"/>
              </w:rPr>
              <w:t>/</w:t>
            </w:r>
          </w:p>
        </w:tc>
        <w:tc>
          <w:tcPr>
            <w:tcW w:w="1259" w:type="dxa"/>
            <w:vAlign w:val="center"/>
          </w:tcPr>
          <w:p w14:paraId="4FD39721">
            <w:pPr>
              <w:widowControl/>
              <w:snapToGrid w:val="0"/>
              <w:jc w:val="center"/>
              <w:rPr>
                <w:rFonts w:ascii="Times New Roman" w:eastAsia="仿宋"/>
                <w:szCs w:val="21"/>
              </w:rPr>
            </w:pPr>
            <w:r>
              <w:rPr>
                <w:rFonts w:hint="eastAsia" w:ascii="Times New Roman" w:eastAsia="仿宋"/>
                <w:szCs w:val="21"/>
              </w:rPr>
              <w:t>/</w:t>
            </w:r>
          </w:p>
        </w:tc>
        <w:tc>
          <w:tcPr>
            <w:tcW w:w="1613" w:type="dxa"/>
            <w:vAlign w:val="center"/>
          </w:tcPr>
          <w:p w14:paraId="5C9C0B9D">
            <w:pPr>
              <w:widowControl/>
              <w:snapToGrid w:val="0"/>
              <w:jc w:val="center"/>
              <w:rPr>
                <w:rFonts w:ascii="Times New Roman" w:eastAsia="仿宋"/>
                <w:szCs w:val="21"/>
              </w:rPr>
            </w:pPr>
            <w:r>
              <w:rPr>
                <w:rFonts w:hint="eastAsia" w:ascii="Times New Roman" w:eastAsia="仿宋"/>
                <w:szCs w:val="21"/>
              </w:rPr>
              <w:t>0.4</w:t>
            </w:r>
          </w:p>
        </w:tc>
      </w:tr>
    </w:tbl>
    <w:p w14:paraId="1C1C4126">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3</w:t>
      </w:r>
      <w:r>
        <w:rPr>
          <w:rFonts w:ascii="Times New Roman" w:eastAsia="仿宋"/>
          <w:b/>
        </w:rPr>
        <w:t xml:space="preserve">  Q值计算结果一览表</w:t>
      </w:r>
    </w:p>
    <w:tbl>
      <w:tblPr>
        <w:tblStyle w:val="87"/>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0"/>
        <w:gridCol w:w="790"/>
        <w:gridCol w:w="1559"/>
        <w:gridCol w:w="1084"/>
        <w:gridCol w:w="1021"/>
        <w:gridCol w:w="1323"/>
        <w:gridCol w:w="1173"/>
        <w:gridCol w:w="1156"/>
      </w:tblGrid>
      <w:tr w14:paraId="51AE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2" w:type="pct"/>
            <w:vAlign w:val="center"/>
          </w:tcPr>
          <w:p w14:paraId="437DBEC9">
            <w:pPr>
              <w:kinsoku w:val="0"/>
              <w:overflowPunct w:val="0"/>
              <w:adjustRightInd w:val="0"/>
              <w:snapToGrid w:val="0"/>
              <w:jc w:val="center"/>
              <w:rPr>
                <w:rFonts w:ascii="Times New Roman" w:eastAsia="仿宋"/>
                <w:szCs w:val="21"/>
              </w:rPr>
            </w:pPr>
            <w:r>
              <w:rPr>
                <w:rFonts w:ascii="Times New Roman" w:eastAsia="仿宋"/>
                <w:szCs w:val="21"/>
              </w:rPr>
              <w:t>序号</w:t>
            </w:r>
          </w:p>
        </w:tc>
        <w:tc>
          <w:tcPr>
            <w:tcW w:w="463" w:type="pct"/>
            <w:vAlign w:val="center"/>
          </w:tcPr>
          <w:p w14:paraId="1C488AF5">
            <w:pPr>
              <w:kinsoku w:val="0"/>
              <w:overflowPunct w:val="0"/>
              <w:adjustRightInd w:val="0"/>
              <w:snapToGrid w:val="0"/>
              <w:jc w:val="center"/>
              <w:rPr>
                <w:rFonts w:ascii="Times New Roman" w:eastAsia="仿宋"/>
                <w:szCs w:val="21"/>
              </w:rPr>
            </w:pPr>
            <w:r>
              <w:rPr>
                <w:rFonts w:ascii="Times New Roman" w:eastAsia="仿宋"/>
                <w:szCs w:val="21"/>
              </w:rPr>
              <w:t>贮存区域</w:t>
            </w:r>
          </w:p>
        </w:tc>
        <w:tc>
          <w:tcPr>
            <w:tcW w:w="913" w:type="pct"/>
            <w:vAlign w:val="center"/>
          </w:tcPr>
          <w:p w14:paraId="2D81F38D">
            <w:pPr>
              <w:kinsoku w:val="0"/>
              <w:overflowPunct w:val="0"/>
              <w:adjustRightInd w:val="0"/>
              <w:snapToGrid w:val="0"/>
              <w:jc w:val="center"/>
              <w:rPr>
                <w:rFonts w:ascii="Times New Roman" w:eastAsia="仿宋"/>
                <w:szCs w:val="21"/>
              </w:rPr>
            </w:pPr>
            <w:r>
              <w:rPr>
                <w:rFonts w:ascii="Times New Roman" w:eastAsia="仿宋"/>
                <w:szCs w:val="21"/>
              </w:rPr>
              <w:t>化学品名称</w:t>
            </w:r>
          </w:p>
        </w:tc>
        <w:tc>
          <w:tcPr>
            <w:tcW w:w="635" w:type="pct"/>
            <w:vAlign w:val="center"/>
          </w:tcPr>
          <w:p w14:paraId="4A5BA348">
            <w:pPr>
              <w:kinsoku w:val="0"/>
              <w:overflowPunct w:val="0"/>
              <w:adjustRightInd w:val="0"/>
              <w:snapToGrid w:val="0"/>
              <w:jc w:val="center"/>
              <w:rPr>
                <w:rFonts w:ascii="Times New Roman" w:eastAsia="仿宋"/>
                <w:szCs w:val="21"/>
              </w:rPr>
            </w:pPr>
            <w:r>
              <w:rPr>
                <w:rFonts w:ascii="Times New Roman" w:eastAsia="仿宋"/>
                <w:szCs w:val="21"/>
              </w:rPr>
              <w:t>危险物质名称</w:t>
            </w:r>
          </w:p>
        </w:tc>
        <w:tc>
          <w:tcPr>
            <w:tcW w:w="598" w:type="pct"/>
            <w:vAlign w:val="center"/>
          </w:tcPr>
          <w:p w14:paraId="4FA4BD15">
            <w:pPr>
              <w:kinsoku w:val="0"/>
              <w:overflowPunct w:val="0"/>
              <w:adjustRightInd w:val="0"/>
              <w:snapToGrid w:val="0"/>
              <w:jc w:val="center"/>
              <w:rPr>
                <w:rFonts w:ascii="Times New Roman" w:eastAsia="仿宋"/>
                <w:szCs w:val="21"/>
              </w:rPr>
            </w:pPr>
            <w:r>
              <w:rPr>
                <w:rFonts w:hint="eastAsia" w:ascii="Times New Roman" w:eastAsia="仿宋"/>
                <w:szCs w:val="21"/>
              </w:rPr>
              <w:t>C</w:t>
            </w:r>
            <w:r>
              <w:rPr>
                <w:rFonts w:ascii="Times New Roman" w:eastAsia="仿宋"/>
                <w:szCs w:val="21"/>
              </w:rPr>
              <w:t>AS</w:t>
            </w:r>
            <w:r>
              <w:rPr>
                <w:rFonts w:hint="eastAsia" w:ascii="Times New Roman" w:eastAsia="仿宋"/>
                <w:szCs w:val="21"/>
              </w:rPr>
              <w:t>号</w:t>
            </w:r>
          </w:p>
        </w:tc>
        <w:tc>
          <w:tcPr>
            <w:tcW w:w="775" w:type="pct"/>
            <w:vAlign w:val="center"/>
          </w:tcPr>
          <w:p w14:paraId="428857B5">
            <w:pPr>
              <w:kinsoku w:val="0"/>
              <w:overflowPunct w:val="0"/>
              <w:adjustRightInd w:val="0"/>
              <w:snapToGrid w:val="0"/>
              <w:jc w:val="center"/>
              <w:rPr>
                <w:rFonts w:ascii="Times New Roman" w:eastAsia="仿宋"/>
                <w:szCs w:val="21"/>
              </w:rPr>
            </w:pPr>
            <w:r>
              <w:rPr>
                <w:rFonts w:ascii="Times New Roman" w:eastAsia="仿宋"/>
                <w:szCs w:val="21"/>
              </w:rPr>
              <w:t>最大存在总量</w:t>
            </w:r>
          </w:p>
          <w:p w14:paraId="725F4AE8">
            <w:pPr>
              <w:kinsoku w:val="0"/>
              <w:overflowPunct w:val="0"/>
              <w:adjustRightInd w:val="0"/>
              <w:snapToGrid w:val="0"/>
              <w:jc w:val="center"/>
              <w:rPr>
                <w:rFonts w:ascii="Times New Roman" w:eastAsia="仿宋"/>
                <w:szCs w:val="21"/>
              </w:rPr>
            </w:pPr>
            <w:r>
              <w:rPr>
                <w:rFonts w:ascii="Times New Roman" w:eastAsia="仿宋"/>
                <w:szCs w:val="21"/>
              </w:rPr>
              <w:t>（折纯）qn/t</w:t>
            </w:r>
          </w:p>
        </w:tc>
        <w:tc>
          <w:tcPr>
            <w:tcW w:w="687" w:type="pct"/>
            <w:vAlign w:val="center"/>
          </w:tcPr>
          <w:p w14:paraId="592491E4">
            <w:pPr>
              <w:kinsoku w:val="0"/>
              <w:overflowPunct w:val="0"/>
              <w:adjustRightInd w:val="0"/>
              <w:snapToGrid w:val="0"/>
              <w:jc w:val="center"/>
              <w:rPr>
                <w:rFonts w:ascii="Times New Roman" w:eastAsia="仿宋"/>
                <w:szCs w:val="21"/>
              </w:rPr>
            </w:pPr>
            <w:r>
              <w:rPr>
                <w:rFonts w:ascii="Times New Roman" w:eastAsia="仿宋"/>
                <w:szCs w:val="21"/>
              </w:rPr>
              <w:t>临界量</w:t>
            </w:r>
            <w:r>
              <w:rPr>
                <w:rFonts w:ascii="Times New Roman" w:eastAsia="仿宋"/>
                <w:spacing w:val="-47"/>
                <w:szCs w:val="21"/>
              </w:rPr>
              <w:t xml:space="preserve"> </w:t>
            </w:r>
            <w:r>
              <w:rPr>
                <w:rFonts w:ascii="Times New Roman" w:eastAsia="仿宋"/>
                <w:iCs/>
                <w:szCs w:val="21"/>
              </w:rPr>
              <w:t>Q</w:t>
            </w:r>
            <w:r>
              <w:rPr>
                <w:rFonts w:ascii="Times New Roman" w:eastAsia="仿宋"/>
                <w:iCs/>
                <w:position w:val="-3"/>
                <w:szCs w:val="21"/>
              </w:rPr>
              <w:t>n</w:t>
            </w:r>
            <w:r>
              <w:rPr>
                <w:rFonts w:ascii="Times New Roman" w:eastAsia="仿宋"/>
                <w:iCs/>
                <w:szCs w:val="21"/>
              </w:rPr>
              <w:t>/</w:t>
            </w:r>
            <w:r>
              <w:rPr>
                <w:rFonts w:ascii="Times New Roman" w:eastAsia="仿宋"/>
                <w:szCs w:val="21"/>
              </w:rPr>
              <w:t>t</w:t>
            </w:r>
          </w:p>
        </w:tc>
        <w:tc>
          <w:tcPr>
            <w:tcW w:w="677" w:type="pct"/>
            <w:vAlign w:val="center"/>
          </w:tcPr>
          <w:p w14:paraId="6DDF0EAC">
            <w:pPr>
              <w:jc w:val="center"/>
              <w:rPr>
                <w:rFonts w:ascii="Times New Roman" w:eastAsia="仿宋"/>
                <w:szCs w:val="21"/>
              </w:rPr>
            </w:pPr>
            <w:r>
              <w:rPr>
                <w:rFonts w:hint="eastAsia" w:ascii="Times New Roman" w:eastAsia="仿宋"/>
                <w:szCs w:val="21"/>
              </w:rPr>
              <w:t>该种危险物质 Q值</w:t>
            </w:r>
          </w:p>
        </w:tc>
      </w:tr>
      <w:tr w14:paraId="7D4F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restart"/>
            <w:vAlign w:val="center"/>
          </w:tcPr>
          <w:p w14:paraId="183EE418">
            <w:pPr>
              <w:jc w:val="center"/>
              <w:rPr>
                <w:rFonts w:ascii="Times New Roman" w:eastAsia="仿宋"/>
                <w:szCs w:val="21"/>
              </w:rPr>
            </w:pPr>
            <w:r>
              <w:rPr>
                <w:rFonts w:hint="eastAsia" w:ascii="Times New Roman" w:eastAsia="仿宋"/>
                <w:szCs w:val="21"/>
              </w:rPr>
              <w:t>1</w:t>
            </w:r>
          </w:p>
        </w:tc>
        <w:tc>
          <w:tcPr>
            <w:tcW w:w="463" w:type="pct"/>
            <w:vMerge w:val="restart"/>
            <w:vAlign w:val="center"/>
          </w:tcPr>
          <w:p w14:paraId="400C01B0">
            <w:pPr>
              <w:snapToGrid w:val="0"/>
              <w:jc w:val="center"/>
              <w:rPr>
                <w:rFonts w:ascii="Times New Roman" w:eastAsia="仿宋"/>
                <w:szCs w:val="21"/>
              </w:rPr>
            </w:pPr>
            <w:r>
              <w:rPr>
                <w:rFonts w:hint="eastAsia" w:ascii="Times New Roman" w:eastAsia="仿宋"/>
                <w:szCs w:val="21"/>
              </w:rPr>
              <w:t>生产车间</w:t>
            </w:r>
          </w:p>
        </w:tc>
        <w:tc>
          <w:tcPr>
            <w:tcW w:w="913" w:type="pct"/>
            <w:vAlign w:val="center"/>
          </w:tcPr>
          <w:p w14:paraId="72CFF127">
            <w:pPr>
              <w:snapToGrid w:val="0"/>
              <w:jc w:val="center"/>
              <w:rPr>
                <w:rFonts w:ascii="Times New Roman" w:eastAsia="仿宋"/>
                <w:szCs w:val="21"/>
              </w:rPr>
            </w:pPr>
            <w:r>
              <w:rPr>
                <w:rFonts w:hint="eastAsia" w:ascii="Times New Roman" w:eastAsia="仿宋"/>
                <w:szCs w:val="21"/>
              </w:rPr>
              <w:t>氟碳底漆</w:t>
            </w:r>
          </w:p>
        </w:tc>
        <w:tc>
          <w:tcPr>
            <w:tcW w:w="635" w:type="pct"/>
            <w:vAlign w:val="center"/>
          </w:tcPr>
          <w:p w14:paraId="4F4571F4">
            <w:pPr>
              <w:widowControl/>
              <w:snapToGrid w:val="0"/>
              <w:jc w:val="center"/>
              <w:rPr>
                <w:rFonts w:ascii="Times New Roman" w:eastAsia="仿宋"/>
                <w:szCs w:val="21"/>
              </w:rPr>
            </w:pPr>
            <w:r>
              <w:rPr>
                <w:rFonts w:hint="eastAsia" w:ascii="Times New Roman" w:eastAsia="仿宋"/>
                <w:szCs w:val="21"/>
              </w:rPr>
              <w:t>二甲苯</w:t>
            </w:r>
          </w:p>
        </w:tc>
        <w:tc>
          <w:tcPr>
            <w:tcW w:w="598" w:type="pct"/>
            <w:vAlign w:val="center"/>
          </w:tcPr>
          <w:p w14:paraId="2CBEE0EF">
            <w:pPr>
              <w:widowControl/>
              <w:snapToGrid w:val="0"/>
              <w:jc w:val="center"/>
              <w:rPr>
                <w:rFonts w:ascii="Times New Roman" w:eastAsia="仿宋"/>
                <w:szCs w:val="21"/>
              </w:rPr>
            </w:pPr>
            <w:r>
              <w:rPr>
                <w:rFonts w:ascii="Times New Roman" w:eastAsia="仿宋"/>
                <w:szCs w:val="21"/>
              </w:rPr>
              <w:t>1330-20-7</w:t>
            </w:r>
          </w:p>
        </w:tc>
        <w:tc>
          <w:tcPr>
            <w:tcW w:w="775" w:type="pct"/>
            <w:vAlign w:val="center"/>
          </w:tcPr>
          <w:p w14:paraId="3853CDED">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.5</w:t>
            </w:r>
          </w:p>
        </w:tc>
        <w:tc>
          <w:tcPr>
            <w:tcW w:w="687" w:type="pct"/>
            <w:vAlign w:val="center"/>
          </w:tcPr>
          <w:p w14:paraId="07AEB34D">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4DFEC99F">
            <w:pPr>
              <w:snapToGrid w:val="0"/>
              <w:jc w:val="center"/>
              <w:rPr>
                <w:rFonts w:ascii="Times New Roman" w:eastAsia="仿宋"/>
                <w:szCs w:val="21"/>
              </w:rPr>
            </w:pPr>
            <w:r>
              <w:rPr>
                <w:rFonts w:hint="eastAsia" w:ascii="Times New Roman" w:eastAsia="仿宋"/>
                <w:szCs w:val="21"/>
              </w:rPr>
              <w:t>0.05</w:t>
            </w:r>
          </w:p>
        </w:tc>
      </w:tr>
      <w:tr w14:paraId="6C0C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52" w:type="pct"/>
            <w:vMerge w:val="continue"/>
            <w:vAlign w:val="center"/>
          </w:tcPr>
          <w:p w14:paraId="71AD1A06">
            <w:pPr>
              <w:jc w:val="center"/>
              <w:rPr>
                <w:rFonts w:ascii="Times New Roman" w:eastAsia="仿宋"/>
                <w:szCs w:val="21"/>
              </w:rPr>
            </w:pPr>
          </w:p>
        </w:tc>
        <w:tc>
          <w:tcPr>
            <w:tcW w:w="463" w:type="pct"/>
            <w:vMerge w:val="continue"/>
            <w:vAlign w:val="center"/>
          </w:tcPr>
          <w:p w14:paraId="60B52692">
            <w:pPr>
              <w:snapToGrid w:val="0"/>
              <w:jc w:val="center"/>
              <w:rPr>
                <w:rFonts w:ascii="Times New Roman" w:eastAsia="仿宋"/>
                <w:szCs w:val="21"/>
              </w:rPr>
            </w:pPr>
          </w:p>
        </w:tc>
        <w:tc>
          <w:tcPr>
            <w:tcW w:w="913" w:type="pct"/>
            <w:vAlign w:val="center"/>
          </w:tcPr>
          <w:p w14:paraId="5399DE50">
            <w:pPr>
              <w:snapToGrid w:val="0"/>
              <w:jc w:val="center"/>
              <w:rPr>
                <w:rFonts w:ascii="Times New Roman" w:eastAsia="仿宋"/>
                <w:szCs w:val="21"/>
              </w:rPr>
            </w:pPr>
            <w:r>
              <w:rPr>
                <w:rFonts w:hint="eastAsia" w:ascii="Times New Roman" w:eastAsia="仿宋"/>
                <w:szCs w:val="21"/>
              </w:rPr>
              <w:t>氟碳面漆</w:t>
            </w:r>
          </w:p>
        </w:tc>
        <w:tc>
          <w:tcPr>
            <w:tcW w:w="635" w:type="pct"/>
            <w:vAlign w:val="center"/>
          </w:tcPr>
          <w:p w14:paraId="0206712B">
            <w:pPr>
              <w:widowControl/>
              <w:snapToGrid w:val="0"/>
              <w:jc w:val="center"/>
              <w:rPr>
                <w:rFonts w:ascii="Times New Roman" w:eastAsia="仿宋"/>
                <w:szCs w:val="21"/>
              </w:rPr>
            </w:pPr>
            <w:r>
              <w:rPr>
                <w:rFonts w:hint="eastAsia" w:ascii="Times New Roman" w:eastAsia="仿宋"/>
                <w:szCs w:val="21"/>
              </w:rPr>
              <w:t>二甲苯</w:t>
            </w:r>
          </w:p>
        </w:tc>
        <w:tc>
          <w:tcPr>
            <w:tcW w:w="598" w:type="pct"/>
            <w:vAlign w:val="center"/>
          </w:tcPr>
          <w:p w14:paraId="6E7587A1">
            <w:pPr>
              <w:widowControl/>
              <w:snapToGrid w:val="0"/>
              <w:jc w:val="center"/>
              <w:rPr>
                <w:rFonts w:ascii="Times New Roman" w:eastAsia="仿宋"/>
                <w:szCs w:val="21"/>
              </w:rPr>
            </w:pPr>
            <w:r>
              <w:rPr>
                <w:rFonts w:ascii="Times New Roman" w:eastAsia="仿宋"/>
                <w:szCs w:val="21"/>
              </w:rPr>
              <w:t>1330-20-7</w:t>
            </w:r>
          </w:p>
        </w:tc>
        <w:tc>
          <w:tcPr>
            <w:tcW w:w="775" w:type="pct"/>
            <w:vAlign w:val="center"/>
          </w:tcPr>
          <w:p w14:paraId="00E1852D">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.4</w:t>
            </w:r>
          </w:p>
        </w:tc>
        <w:tc>
          <w:tcPr>
            <w:tcW w:w="687" w:type="pct"/>
            <w:vAlign w:val="center"/>
          </w:tcPr>
          <w:p w14:paraId="478A0608">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72064E96">
            <w:pPr>
              <w:snapToGrid w:val="0"/>
              <w:jc w:val="center"/>
              <w:rPr>
                <w:rFonts w:ascii="Times New Roman" w:eastAsia="仿宋"/>
                <w:szCs w:val="21"/>
              </w:rPr>
            </w:pPr>
            <w:r>
              <w:rPr>
                <w:rFonts w:hint="eastAsia" w:ascii="Times New Roman" w:eastAsia="仿宋"/>
                <w:szCs w:val="21"/>
              </w:rPr>
              <w:t>0.04</w:t>
            </w:r>
          </w:p>
        </w:tc>
      </w:tr>
      <w:tr w14:paraId="4181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52" w:type="pct"/>
            <w:vMerge w:val="continue"/>
            <w:vAlign w:val="center"/>
          </w:tcPr>
          <w:p w14:paraId="410126F0">
            <w:pPr>
              <w:jc w:val="center"/>
              <w:rPr>
                <w:rFonts w:ascii="Times New Roman" w:eastAsia="仿宋"/>
                <w:szCs w:val="21"/>
              </w:rPr>
            </w:pPr>
          </w:p>
        </w:tc>
        <w:tc>
          <w:tcPr>
            <w:tcW w:w="463" w:type="pct"/>
            <w:vMerge w:val="continue"/>
            <w:vAlign w:val="center"/>
          </w:tcPr>
          <w:p w14:paraId="3577115F">
            <w:pPr>
              <w:snapToGrid w:val="0"/>
              <w:jc w:val="center"/>
              <w:rPr>
                <w:rFonts w:ascii="Times New Roman" w:eastAsia="仿宋"/>
                <w:szCs w:val="21"/>
              </w:rPr>
            </w:pPr>
          </w:p>
        </w:tc>
        <w:tc>
          <w:tcPr>
            <w:tcW w:w="913" w:type="pct"/>
            <w:vAlign w:val="center"/>
          </w:tcPr>
          <w:p w14:paraId="0172BB0B">
            <w:pPr>
              <w:snapToGrid w:val="0"/>
              <w:jc w:val="center"/>
              <w:rPr>
                <w:rFonts w:ascii="Times New Roman" w:eastAsia="仿宋"/>
                <w:szCs w:val="21"/>
              </w:rPr>
            </w:pPr>
            <w:r>
              <w:rPr>
                <w:rFonts w:hint="eastAsia" w:ascii="Times New Roman" w:eastAsia="仿宋"/>
                <w:szCs w:val="21"/>
              </w:rPr>
              <w:t>清洗剂</w:t>
            </w:r>
          </w:p>
        </w:tc>
        <w:tc>
          <w:tcPr>
            <w:tcW w:w="635" w:type="pct"/>
            <w:vAlign w:val="center"/>
          </w:tcPr>
          <w:p w14:paraId="01BE6F43">
            <w:pPr>
              <w:widowControl/>
              <w:snapToGrid w:val="0"/>
              <w:jc w:val="center"/>
              <w:rPr>
                <w:rFonts w:ascii="Times New Roman" w:eastAsia="仿宋"/>
                <w:szCs w:val="21"/>
              </w:rPr>
            </w:pPr>
            <w:r>
              <w:rPr>
                <w:rFonts w:hint="eastAsia" w:ascii="Times New Roman" w:eastAsia="仿宋"/>
                <w:szCs w:val="21"/>
              </w:rPr>
              <w:t>硫酸</w:t>
            </w:r>
          </w:p>
        </w:tc>
        <w:tc>
          <w:tcPr>
            <w:tcW w:w="598" w:type="pct"/>
            <w:vAlign w:val="center"/>
          </w:tcPr>
          <w:p w14:paraId="71CAD6DD">
            <w:pPr>
              <w:widowControl/>
              <w:snapToGrid w:val="0"/>
              <w:jc w:val="center"/>
              <w:rPr>
                <w:rFonts w:ascii="Times New Roman" w:eastAsia="仿宋"/>
                <w:szCs w:val="21"/>
              </w:rPr>
            </w:pPr>
            <w:r>
              <w:rPr>
                <w:rFonts w:hint="eastAsia" w:ascii="Times New Roman" w:eastAsia="仿宋"/>
                <w:szCs w:val="21"/>
              </w:rPr>
              <w:t>7</w:t>
            </w:r>
            <w:r>
              <w:rPr>
                <w:rFonts w:ascii="Times New Roman" w:eastAsia="仿宋"/>
                <w:szCs w:val="21"/>
              </w:rPr>
              <w:t>664-93-9</w:t>
            </w:r>
          </w:p>
        </w:tc>
        <w:tc>
          <w:tcPr>
            <w:tcW w:w="775" w:type="pct"/>
            <w:vAlign w:val="center"/>
          </w:tcPr>
          <w:p w14:paraId="388150F8">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.28</w:t>
            </w:r>
          </w:p>
        </w:tc>
        <w:tc>
          <w:tcPr>
            <w:tcW w:w="687" w:type="pct"/>
            <w:vAlign w:val="center"/>
          </w:tcPr>
          <w:p w14:paraId="20D2F76D">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773C711A">
            <w:pPr>
              <w:snapToGrid w:val="0"/>
              <w:jc w:val="center"/>
              <w:rPr>
                <w:rFonts w:ascii="Times New Roman" w:eastAsia="仿宋"/>
                <w:szCs w:val="21"/>
              </w:rPr>
            </w:pPr>
            <w:r>
              <w:rPr>
                <w:rFonts w:hint="eastAsia" w:ascii="Times New Roman" w:eastAsia="仿宋"/>
                <w:szCs w:val="21"/>
              </w:rPr>
              <w:t>0.028</w:t>
            </w:r>
          </w:p>
        </w:tc>
      </w:tr>
      <w:tr w14:paraId="2BA8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69CE7189">
            <w:pPr>
              <w:jc w:val="center"/>
              <w:rPr>
                <w:rFonts w:ascii="Times New Roman" w:eastAsia="仿宋"/>
                <w:szCs w:val="21"/>
              </w:rPr>
            </w:pPr>
          </w:p>
        </w:tc>
        <w:tc>
          <w:tcPr>
            <w:tcW w:w="463" w:type="pct"/>
            <w:vMerge w:val="continue"/>
            <w:vAlign w:val="center"/>
          </w:tcPr>
          <w:p w14:paraId="1CA63BF1">
            <w:pPr>
              <w:snapToGrid w:val="0"/>
              <w:jc w:val="center"/>
              <w:rPr>
                <w:rFonts w:ascii="Times New Roman" w:eastAsia="仿宋"/>
                <w:szCs w:val="21"/>
              </w:rPr>
            </w:pPr>
          </w:p>
        </w:tc>
        <w:tc>
          <w:tcPr>
            <w:tcW w:w="913" w:type="pct"/>
            <w:vMerge w:val="restart"/>
            <w:vAlign w:val="center"/>
          </w:tcPr>
          <w:p w14:paraId="61119EBA">
            <w:pPr>
              <w:snapToGrid w:val="0"/>
              <w:jc w:val="center"/>
              <w:rPr>
                <w:rFonts w:ascii="Times New Roman" w:eastAsia="仿宋"/>
                <w:szCs w:val="21"/>
              </w:rPr>
            </w:pPr>
            <w:r>
              <w:rPr>
                <w:rFonts w:hint="eastAsia" w:ascii="Times New Roman" w:eastAsia="仿宋"/>
                <w:szCs w:val="21"/>
              </w:rPr>
              <w:t>稀释剂</w:t>
            </w:r>
          </w:p>
        </w:tc>
        <w:tc>
          <w:tcPr>
            <w:tcW w:w="635" w:type="pct"/>
            <w:vAlign w:val="center"/>
          </w:tcPr>
          <w:p w14:paraId="24F1F3CE">
            <w:pPr>
              <w:widowControl/>
              <w:snapToGrid w:val="0"/>
              <w:jc w:val="center"/>
              <w:rPr>
                <w:rFonts w:ascii="Times New Roman" w:eastAsia="仿宋"/>
                <w:szCs w:val="21"/>
              </w:rPr>
            </w:pPr>
            <w:r>
              <w:rPr>
                <w:rFonts w:hint="eastAsia" w:ascii="Times New Roman" w:eastAsia="仿宋"/>
                <w:szCs w:val="21"/>
              </w:rPr>
              <w:t>环己酮</w:t>
            </w:r>
          </w:p>
        </w:tc>
        <w:tc>
          <w:tcPr>
            <w:tcW w:w="598" w:type="pct"/>
            <w:vAlign w:val="center"/>
          </w:tcPr>
          <w:p w14:paraId="131F390C">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08-94-1</w:t>
            </w:r>
          </w:p>
        </w:tc>
        <w:tc>
          <w:tcPr>
            <w:tcW w:w="775" w:type="pct"/>
            <w:vAlign w:val="center"/>
          </w:tcPr>
          <w:p w14:paraId="3539F65D">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.16</w:t>
            </w:r>
          </w:p>
        </w:tc>
        <w:tc>
          <w:tcPr>
            <w:tcW w:w="687" w:type="pct"/>
            <w:vAlign w:val="center"/>
          </w:tcPr>
          <w:p w14:paraId="3C10618E">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6631159B">
            <w:pPr>
              <w:snapToGrid w:val="0"/>
              <w:jc w:val="center"/>
              <w:rPr>
                <w:rFonts w:ascii="Times New Roman" w:eastAsia="仿宋"/>
                <w:szCs w:val="21"/>
              </w:rPr>
            </w:pPr>
            <w:r>
              <w:rPr>
                <w:rFonts w:hint="eastAsia" w:ascii="Times New Roman" w:eastAsia="仿宋"/>
                <w:szCs w:val="21"/>
              </w:rPr>
              <w:t>0.016</w:t>
            </w:r>
          </w:p>
        </w:tc>
      </w:tr>
      <w:tr w14:paraId="254F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60510CE6">
            <w:pPr>
              <w:jc w:val="center"/>
              <w:rPr>
                <w:rFonts w:ascii="Times New Roman" w:eastAsia="仿宋"/>
                <w:szCs w:val="21"/>
              </w:rPr>
            </w:pPr>
          </w:p>
        </w:tc>
        <w:tc>
          <w:tcPr>
            <w:tcW w:w="463" w:type="pct"/>
            <w:vMerge w:val="continue"/>
            <w:vAlign w:val="center"/>
          </w:tcPr>
          <w:p w14:paraId="1BD1E6C6">
            <w:pPr>
              <w:snapToGrid w:val="0"/>
              <w:jc w:val="center"/>
              <w:rPr>
                <w:rFonts w:ascii="Times New Roman" w:eastAsia="仿宋"/>
                <w:szCs w:val="21"/>
              </w:rPr>
            </w:pPr>
          </w:p>
        </w:tc>
        <w:tc>
          <w:tcPr>
            <w:tcW w:w="913" w:type="pct"/>
            <w:vMerge w:val="continue"/>
            <w:vAlign w:val="center"/>
          </w:tcPr>
          <w:p w14:paraId="62DEC6BF">
            <w:pPr>
              <w:snapToGrid w:val="0"/>
              <w:jc w:val="center"/>
              <w:rPr>
                <w:rFonts w:ascii="Times New Roman" w:eastAsia="仿宋"/>
                <w:szCs w:val="21"/>
              </w:rPr>
            </w:pPr>
          </w:p>
        </w:tc>
        <w:tc>
          <w:tcPr>
            <w:tcW w:w="635" w:type="pct"/>
            <w:vAlign w:val="center"/>
          </w:tcPr>
          <w:p w14:paraId="606EBB61">
            <w:pPr>
              <w:widowControl/>
              <w:snapToGrid w:val="0"/>
              <w:jc w:val="center"/>
              <w:rPr>
                <w:rFonts w:ascii="Times New Roman" w:eastAsia="仿宋"/>
                <w:szCs w:val="21"/>
              </w:rPr>
            </w:pPr>
            <w:r>
              <w:rPr>
                <w:rFonts w:hint="eastAsia" w:ascii="Times New Roman" w:eastAsia="仿宋"/>
                <w:szCs w:val="21"/>
              </w:rPr>
              <w:t>醋酸乙酯</w:t>
            </w:r>
          </w:p>
        </w:tc>
        <w:tc>
          <w:tcPr>
            <w:tcW w:w="598" w:type="pct"/>
            <w:vAlign w:val="center"/>
          </w:tcPr>
          <w:p w14:paraId="2F8B787C">
            <w:pPr>
              <w:widowControl/>
              <w:snapToGrid w:val="0"/>
              <w:jc w:val="center"/>
              <w:rPr>
                <w:rFonts w:ascii="Times New Roman" w:eastAsia="仿宋"/>
                <w:szCs w:val="21"/>
              </w:rPr>
            </w:pPr>
            <w:r>
              <w:rPr>
                <w:rFonts w:hint="eastAsia" w:ascii="Times New Roman" w:eastAsia="仿宋"/>
                <w:szCs w:val="21"/>
              </w:rPr>
              <w:t>14</w:t>
            </w:r>
            <w:r>
              <w:rPr>
                <w:rFonts w:ascii="Times New Roman" w:eastAsia="仿宋"/>
                <w:szCs w:val="21"/>
              </w:rPr>
              <w:t>1-78-6</w:t>
            </w:r>
          </w:p>
        </w:tc>
        <w:tc>
          <w:tcPr>
            <w:tcW w:w="775" w:type="pct"/>
            <w:vAlign w:val="center"/>
          </w:tcPr>
          <w:p w14:paraId="167F3A98">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.64</w:t>
            </w:r>
          </w:p>
        </w:tc>
        <w:tc>
          <w:tcPr>
            <w:tcW w:w="687" w:type="pct"/>
            <w:vAlign w:val="center"/>
          </w:tcPr>
          <w:p w14:paraId="0C7D84CC">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36CEBE53">
            <w:pPr>
              <w:snapToGrid w:val="0"/>
              <w:jc w:val="center"/>
              <w:rPr>
                <w:rFonts w:ascii="Times New Roman" w:eastAsia="仿宋"/>
                <w:szCs w:val="21"/>
              </w:rPr>
            </w:pPr>
            <w:r>
              <w:rPr>
                <w:rFonts w:hint="eastAsia" w:ascii="Times New Roman" w:eastAsia="仿宋"/>
                <w:szCs w:val="21"/>
              </w:rPr>
              <w:t>0.064</w:t>
            </w:r>
          </w:p>
        </w:tc>
      </w:tr>
      <w:tr w14:paraId="7611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restart"/>
            <w:vAlign w:val="center"/>
          </w:tcPr>
          <w:p w14:paraId="30BA826E">
            <w:pPr>
              <w:jc w:val="center"/>
              <w:rPr>
                <w:rFonts w:ascii="Times New Roman" w:eastAsia="仿宋"/>
                <w:szCs w:val="21"/>
              </w:rPr>
            </w:pPr>
            <w:r>
              <w:rPr>
                <w:rFonts w:hint="eastAsia" w:ascii="Times New Roman" w:eastAsia="仿宋"/>
                <w:szCs w:val="21"/>
              </w:rPr>
              <w:t>2</w:t>
            </w:r>
          </w:p>
        </w:tc>
        <w:tc>
          <w:tcPr>
            <w:tcW w:w="463" w:type="pct"/>
            <w:vMerge w:val="restart"/>
            <w:vAlign w:val="center"/>
          </w:tcPr>
          <w:p w14:paraId="5455AE6A">
            <w:pPr>
              <w:snapToGrid w:val="0"/>
              <w:jc w:val="center"/>
              <w:rPr>
                <w:rFonts w:ascii="Times New Roman" w:eastAsia="仿宋"/>
                <w:szCs w:val="21"/>
              </w:rPr>
            </w:pPr>
            <w:r>
              <w:rPr>
                <w:rFonts w:hint="eastAsia" w:ascii="Times New Roman" w:eastAsia="仿宋"/>
                <w:szCs w:val="21"/>
              </w:rPr>
              <w:t>油漆仓库</w:t>
            </w:r>
          </w:p>
        </w:tc>
        <w:tc>
          <w:tcPr>
            <w:tcW w:w="913" w:type="pct"/>
            <w:vAlign w:val="center"/>
          </w:tcPr>
          <w:p w14:paraId="6C20C03A">
            <w:pPr>
              <w:snapToGrid w:val="0"/>
              <w:jc w:val="center"/>
              <w:rPr>
                <w:rFonts w:ascii="Times New Roman" w:eastAsia="仿宋"/>
                <w:szCs w:val="21"/>
              </w:rPr>
            </w:pPr>
            <w:r>
              <w:rPr>
                <w:rFonts w:hint="eastAsia" w:ascii="Times New Roman" w:eastAsia="仿宋"/>
                <w:szCs w:val="21"/>
              </w:rPr>
              <w:t>氟碳底漆</w:t>
            </w:r>
          </w:p>
        </w:tc>
        <w:tc>
          <w:tcPr>
            <w:tcW w:w="635" w:type="pct"/>
            <w:vAlign w:val="center"/>
          </w:tcPr>
          <w:p w14:paraId="24A5349C">
            <w:pPr>
              <w:widowControl/>
              <w:snapToGrid w:val="0"/>
              <w:jc w:val="center"/>
              <w:rPr>
                <w:rFonts w:ascii="Times New Roman" w:eastAsia="仿宋"/>
                <w:szCs w:val="21"/>
              </w:rPr>
            </w:pPr>
            <w:r>
              <w:rPr>
                <w:rFonts w:hint="eastAsia" w:ascii="Times New Roman" w:eastAsia="仿宋"/>
                <w:szCs w:val="21"/>
              </w:rPr>
              <w:t>二甲苯</w:t>
            </w:r>
          </w:p>
        </w:tc>
        <w:tc>
          <w:tcPr>
            <w:tcW w:w="598" w:type="pct"/>
            <w:vAlign w:val="center"/>
          </w:tcPr>
          <w:p w14:paraId="2C3356A6">
            <w:pPr>
              <w:widowControl/>
              <w:snapToGrid w:val="0"/>
              <w:jc w:val="center"/>
              <w:rPr>
                <w:rFonts w:ascii="Times New Roman" w:eastAsia="仿宋"/>
                <w:szCs w:val="21"/>
              </w:rPr>
            </w:pPr>
            <w:r>
              <w:rPr>
                <w:rFonts w:ascii="Times New Roman" w:eastAsia="仿宋"/>
                <w:szCs w:val="21"/>
              </w:rPr>
              <w:t>1330-20-7</w:t>
            </w:r>
          </w:p>
        </w:tc>
        <w:tc>
          <w:tcPr>
            <w:tcW w:w="775" w:type="pct"/>
            <w:vAlign w:val="center"/>
          </w:tcPr>
          <w:p w14:paraId="0717BCF9">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.74</w:t>
            </w:r>
          </w:p>
        </w:tc>
        <w:tc>
          <w:tcPr>
            <w:tcW w:w="687" w:type="pct"/>
            <w:vAlign w:val="center"/>
          </w:tcPr>
          <w:p w14:paraId="50B3E00C">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7A85F9BA">
            <w:pPr>
              <w:snapToGrid w:val="0"/>
              <w:jc w:val="center"/>
              <w:rPr>
                <w:rFonts w:ascii="Times New Roman" w:eastAsia="仿宋"/>
                <w:szCs w:val="21"/>
              </w:rPr>
            </w:pPr>
            <w:r>
              <w:rPr>
                <w:rFonts w:hint="eastAsia" w:ascii="Times New Roman" w:eastAsia="仿宋"/>
                <w:szCs w:val="21"/>
              </w:rPr>
              <w:t>0.074</w:t>
            </w:r>
          </w:p>
        </w:tc>
      </w:tr>
      <w:tr w14:paraId="4A48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23F8F8C3">
            <w:pPr>
              <w:jc w:val="center"/>
              <w:rPr>
                <w:rFonts w:ascii="Times New Roman" w:eastAsia="仿宋"/>
                <w:szCs w:val="21"/>
              </w:rPr>
            </w:pPr>
          </w:p>
        </w:tc>
        <w:tc>
          <w:tcPr>
            <w:tcW w:w="463" w:type="pct"/>
            <w:vMerge w:val="continue"/>
            <w:vAlign w:val="center"/>
          </w:tcPr>
          <w:p w14:paraId="74DE6F8E">
            <w:pPr>
              <w:snapToGrid w:val="0"/>
              <w:jc w:val="center"/>
              <w:rPr>
                <w:rFonts w:ascii="Times New Roman" w:eastAsia="仿宋"/>
                <w:szCs w:val="21"/>
              </w:rPr>
            </w:pPr>
          </w:p>
        </w:tc>
        <w:tc>
          <w:tcPr>
            <w:tcW w:w="913" w:type="pct"/>
            <w:vAlign w:val="center"/>
          </w:tcPr>
          <w:p w14:paraId="7FA2BA06">
            <w:pPr>
              <w:snapToGrid w:val="0"/>
              <w:jc w:val="center"/>
              <w:rPr>
                <w:rFonts w:ascii="Times New Roman" w:eastAsia="仿宋"/>
                <w:szCs w:val="21"/>
              </w:rPr>
            </w:pPr>
            <w:r>
              <w:rPr>
                <w:rFonts w:hint="eastAsia" w:ascii="Times New Roman" w:eastAsia="仿宋"/>
                <w:szCs w:val="21"/>
              </w:rPr>
              <w:t>氟碳面漆</w:t>
            </w:r>
          </w:p>
        </w:tc>
        <w:tc>
          <w:tcPr>
            <w:tcW w:w="635" w:type="pct"/>
            <w:vAlign w:val="center"/>
          </w:tcPr>
          <w:p w14:paraId="7BE7B627">
            <w:pPr>
              <w:widowControl/>
              <w:snapToGrid w:val="0"/>
              <w:jc w:val="center"/>
              <w:rPr>
                <w:rFonts w:ascii="Times New Roman" w:eastAsia="仿宋"/>
                <w:szCs w:val="21"/>
              </w:rPr>
            </w:pPr>
            <w:r>
              <w:rPr>
                <w:rFonts w:hint="eastAsia" w:ascii="Times New Roman" w:eastAsia="仿宋"/>
                <w:szCs w:val="21"/>
              </w:rPr>
              <w:t>二甲苯</w:t>
            </w:r>
          </w:p>
        </w:tc>
        <w:tc>
          <w:tcPr>
            <w:tcW w:w="598" w:type="pct"/>
            <w:vAlign w:val="center"/>
          </w:tcPr>
          <w:p w14:paraId="0ACEE9B3">
            <w:pPr>
              <w:widowControl/>
              <w:snapToGrid w:val="0"/>
              <w:jc w:val="center"/>
              <w:rPr>
                <w:rFonts w:ascii="Times New Roman" w:eastAsia="仿宋"/>
                <w:szCs w:val="21"/>
              </w:rPr>
            </w:pPr>
            <w:r>
              <w:rPr>
                <w:rFonts w:ascii="Times New Roman" w:eastAsia="仿宋"/>
                <w:szCs w:val="21"/>
              </w:rPr>
              <w:t>1330-20-7</w:t>
            </w:r>
          </w:p>
        </w:tc>
        <w:tc>
          <w:tcPr>
            <w:tcW w:w="775" w:type="pct"/>
            <w:vAlign w:val="center"/>
          </w:tcPr>
          <w:p w14:paraId="558829FD">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.58</w:t>
            </w:r>
          </w:p>
        </w:tc>
        <w:tc>
          <w:tcPr>
            <w:tcW w:w="687" w:type="pct"/>
            <w:vAlign w:val="center"/>
          </w:tcPr>
          <w:p w14:paraId="5D72AC29">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0AD899C5">
            <w:pPr>
              <w:snapToGrid w:val="0"/>
              <w:jc w:val="center"/>
              <w:rPr>
                <w:rFonts w:ascii="Times New Roman" w:eastAsia="仿宋"/>
                <w:szCs w:val="21"/>
              </w:rPr>
            </w:pPr>
            <w:r>
              <w:rPr>
                <w:rFonts w:hint="eastAsia" w:ascii="Times New Roman" w:eastAsia="仿宋"/>
                <w:szCs w:val="21"/>
              </w:rPr>
              <w:t>0.058</w:t>
            </w:r>
          </w:p>
        </w:tc>
      </w:tr>
      <w:tr w14:paraId="54BF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252" w:type="pct"/>
            <w:vMerge w:val="continue"/>
            <w:vAlign w:val="center"/>
          </w:tcPr>
          <w:p w14:paraId="07CF5BD6">
            <w:pPr>
              <w:jc w:val="center"/>
              <w:rPr>
                <w:rFonts w:ascii="Times New Roman" w:eastAsia="仿宋"/>
                <w:szCs w:val="21"/>
              </w:rPr>
            </w:pPr>
          </w:p>
        </w:tc>
        <w:tc>
          <w:tcPr>
            <w:tcW w:w="463" w:type="pct"/>
            <w:vMerge w:val="continue"/>
            <w:vAlign w:val="center"/>
          </w:tcPr>
          <w:p w14:paraId="7B2A0EE1">
            <w:pPr>
              <w:snapToGrid w:val="0"/>
              <w:jc w:val="center"/>
              <w:rPr>
                <w:rFonts w:ascii="Times New Roman" w:eastAsia="仿宋"/>
                <w:szCs w:val="21"/>
              </w:rPr>
            </w:pPr>
          </w:p>
        </w:tc>
        <w:tc>
          <w:tcPr>
            <w:tcW w:w="913" w:type="pct"/>
            <w:vAlign w:val="center"/>
          </w:tcPr>
          <w:p w14:paraId="3DC5B454">
            <w:pPr>
              <w:snapToGrid w:val="0"/>
              <w:jc w:val="center"/>
              <w:rPr>
                <w:rFonts w:ascii="Times New Roman" w:eastAsia="仿宋"/>
                <w:szCs w:val="21"/>
              </w:rPr>
            </w:pPr>
            <w:r>
              <w:rPr>
                <w:rFonts w:hint="eastAsia" w:ascii="Times New Roman" w:eastAsia="仿宋"/>
                <w:szCs w:val="21"/>
              </w:rPr>
              <w:t>清洗剂</w:t>
            </w:r>
          </w:p>
        </w:tc>
        <w:tc>
          <w:tcPr>
            <w:tcW w:w="635" w:type="pct"/>
            <w:vAlign w:val="center"/>
          </w:tcPr>
          <w:p w14:paraId="16746DE0">
            <w:pPr>
              <w:widowControl/>
              <w:snapToGrid w:val="0"/>
              <w:jc w:val="center"/>
              <w:rPr>
                <w:rFonts w:ascii="Times New Roman" w:eastAsia="仿宋"/>
                <w:szCs w:val="21"/>
              </w:rPr>
            </w:pPr>
            <w:r>
              <w:rPr>
                <w:rFonts w:hint="eastAsia" w:ascii="Times New Roman" w:eastAsia="仿宋"/>
                <w:szCs w:val="21"/>
              </w:rPr>
              <w:t>硫酸</w:t>
            </w:r>
          </w:p>
        </w:tc>
        <w:tc>
          <w:tcPr>
            <w:tcW w:w="598" w:type="pct"/>
            <w:vAlign w:val="center"/>
          </w:tcPr>
          <w:p w14:paraId="0CFBD135">
            <w:pPr>
              <w:widowControl/>
              <w:snapToGrid w:val="0"/>
              <w:jc w:val="center"/>
              <w:rPr>
                <w:rFonts w:ascii="Times New Roman" w:eastAsia="仿宋"/>
                <w:szCs w:val="21"/>
              </w:rPr>
            </w:pPr>
            <w:r>
              <w:rPr>
                <w:rFonts w:hint="eastAsia" w:ascii="Times New Roman" w:eastAsia="仿宋"/>
                <w:szCs w:val="21"/>
              </w:rPr>
              <w:t>7</w:t>
            </w:r>
            <w:r>
              <w:rPr>
                <w:rFonts w:ascii="Times New Roman" w:eastAsia="仿宋"/>
                <w:szCs w:val="21"/>
              </w:rPr>
              <w:t>664-93-9</w:t>
            </w:r>
          </w:p>
        </w:tc>
        <w:tc>
          <w:tcPr>
            <w:tcW w:w="775" w:type="pct"/>
            <w:vAlign w:val="center"/>
          </w:tcPr>
          <w:p w14:paraId="36CB634D">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.42</w:t>
            </w:r>
          </w:p>
        </w:tc>
        <w:tc>
          <w:tcPr>
            <w:tcW w:w="687" w:type="pct"/>
            <w:vAlign w:val="center"/>
          </w:tcPr>
          <w:p w14:paraId="2595F75A">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51A2A62A">
            <w:pPr>
              <w:snapToGrid w:val="0"/>
              <w:jc w:val="center"/>
              <w:rPr>
                <w:rFonts w:ascii="Times New Roman" w:eastAsia="仿宋"/>
                <w:szCs w:val="21"/>
              </w:rPr>
            </w:pPr>
            <w:r>
              <w:rPr>
                <w:rFonts w:hint="eastAsia" w:ascii="Times New Roman" w:eastAsia="仿宋"/>
                <w:szCs w:val="21"/>
              </w:rPr>
              <w:t>0.042</w:t>
            </w:r>
          </w:p>
        </w:tc>
      </w:tr>
      <w:tr w14:paraId="3BA6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2" w:type="pct"/>
            <w:vMerge w:val="continue"/>
            <w:vAlign w:val="center"/>
          </w:tcPr>
          <w:p w14:paraId="23E7AD4D">
            <w:pPr>
              <w:jc w:val="center"/>
              <w:rPr>
                <w:rFonts w:ascii="Times New Roman" w:eastAsia="仿宋"/>
                <w:szCs w:val="21"/>
              </w:rPr>
            </w:pPr>
          </w:p>
        </w:tc>
        <w:tc>
          <w:tcPr>
            <w:tcW w:w="463" w:type="pct"/>
            <w:vMerge w:val="continue"/>
            <w:vAlign w:val="center"/>
          </w:tcPr>
          <w:p w14:paraId="033E6D51">
            <w:pPr>
              <w:snapToGrid w:val="0"/>
              <w:jc w:val="center"/>
              <w:rPr>
                <w:rFonts w:ascii="Times New Roman" w:eastAsia="仿宋"/>
                <w:szCs w:val="21"/>
              </w:rPr>
            </w:pPr>
          </w:p>
        </w:tc>
        <w:tc>
          <w:tcPr>
            <w:tcW w:w="913" w:type="pct"/>
            <w:vMerge w:val="restart"/>
            <w:vAlign w:val="center"/>
          </w:tcPr>
          <w:p w14:paraId="170AABFA">
            <w:pPr>
              <w:snapToGrid w:val="0"/>
              <w:jc w:val="center"/>
              <w:rPr>
                <w:rFonts w:ascii="Times New Roman" w:eastAsia="仿宋"/>
                <w:szCs w:val="21"/>
              </w:rPr>
            </w:pPr>
            <w:r>
              <w:rPr>
                <w:rFonts w:hint="eastAsia" w:ascii="Times New Roman" w:eastAsia="仿宋"/>
                <w:szCs w:val="21"/>
              </w:rPr>
              <w:t>稀释剂</w:t>
            </w:r>
          </w:p>
        </w:tc>
        <w:tc>
          <w:tcPr>
            <w:tcW w:w="635" w:type="pct"/>
            <w:vAlign w:val="center"/>
          </w:tcPr>
          <w:p w14:paraId="16AFC492">
            <w:pPr>
              <w:widowControl/>
              <w:snapToGrid w:val="0"/>
              <w:jc w:val="center"/>
              <w:rPr>
                <w:rFonts w:ascii="Times New Roman" w:eastAsia="仿宋"/>
                <w:szCs w:val="21"/>
              </w:rPr>
            </w:pPr>
            <w:r>
              <w:rPr>
                <w:rFonts w:hint="eastAsia" w:ascii="Times New Roman" w:eastAsia="仿宋"/>
                <w:szCs w:val="21"/>
              </w:rPr>
              <w:t>环己酮</w:t>
            </w:r>
          </w:p>
        </w:tc>
        <w:tc>
          <w:tcPr>
            <w:tcW w:w="598" w:type="pct"/>
            <w:vAlign w:val="center"/>
          </w:tcPr>
          <w:p w14:paraId="2D92225E">
            <w:pPr>
              <w:widowControl/>
              <w:snapToGrid w:val="0"/>
              <w:jc w:val="center"/>
              <w:rPr>
                <w:rFonts w:ascii="Times New Roman" w:eastAsia="仿宋"/>
                <w:szCs w:val="21"/>
              </w:rPr>
            </w:pPr>
            <w:r>
              <w:rPr>
                <w:rFonts w:hint="eastAsia" w:ascii="Times New Roman" w:eastAsia="仿宋"/>
                <w:szCs w:val="21"/>
              </w:rPr>
              <w:t>1</w:t>
            </w:r>
            <w:r>
              <w:rPr>
                <w:rFonts w:ascii="Times New Roman" w:eastAsia="仿宋"/>
                <w:szCs w:val="21"/>
              </w:rPr>
              <w:t>08-94-1</w:t>
            </w:r>
          </w:p>
        </w:tc>
        <w:tc>
          <w:tcPr>
            <w:tcW w:w="775" w:type="pct"/>
            <w:vAlign w:val="center"/>
          </w:tcPr>
          <w:p w14:paraId="483A78A7">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.24</w:t>
            </w:r>
          </w:p>
        </w:tc>
        <w:tc>
          <w:tcPr>
            <w:tcW w:w="687" w:type="pct"/>
            <w:vAlign w:val="center"/>
          </w:tcPr>
          <w:p w14:paraId="1A615CD2">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2EF6C662">
            <w:pPr>
              <w:snapToGrid w:val="0"/>
              <w:jc w:val="center"/>
              <w:rPr>
                <w:rFonts w:ascii="Times New Roman" w:eastAsia="仿宋"/>
                <w:szCs w:val="21"/>
              </w:rPr>
            </w:pPr>
            <w:r>
              <w:rPr>
                <w:rFonts w:hint="eastAsia" w:ascii="Times New Roman" w:eastAsia="仿宋"/>
                <w:szCs w:val="21"/>
              </w:rPr>
              <w:t>0.024</w:t>
            </w:r>
          </w:p>
        </w:tc>
      </w:tr>
      <w:tr w14:paraId="5E47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3D598899">
            <w:pPr>
              <w:jc w:val="center"/>
              <w:rPr>
                <w:rFonts w:ascii="Times New Roman" w:eastAsia="仿宋"/>
                <w:szCs w:val="21"/>
              </w:rPr>
            </w:pPr>
          </w:p>
        </w:tc>
        <w:tc>
          <w:tcPr>
            <w:tcW w:w="463" w:type="pct"/>
            <w:vMerge w:val="continue"/>
            <w:vAlign w:val="center"/>
          </w:tcPr>
          <w:p w14:paraId="110372A1">
            <w:pPr>
              <w:snapToGrid w:val="0"/>
              <w:jc w:val="center"/>
              <w:rPr>
                <w:rFonts w:ascii="Times New Roman" w:eastAsia="仿宋"/>
                <w:szCs w:val="21"/>
              </w:rPr>
            </w:pPr>
          </w:p>
        </w:tc>
        <w:tc>
          <w:tcPr>
            <w:tcW w:w="913" w:type="pct"/>
            <w:vMerge w:val="continue"/>
            <w:vAlign w:val="center"/>
          </w:tcPr>
          <w:p w14:paraId="491EF5E9">
            <w:pPr>
              <w:snapToGrid w:val="0"/>
              <w:jc w:val="center"/>
              <w:rPr>
                <w:rFonts w:ascii="Times New Roman" w:eastAsia="仿宋"/>
                <w:szCs w:val="21"/>
              </w:rPr>
            </w:pPr>
          </w:p>
        </w:tc>
        <w:tc>
          <w:tcPr>
            <w:tcW w:w="635" w:type="pct"/>
            <w:vAlign w:val="center"/>
          </w:tcPr>
          <w:p w14:paraId="1438D129">
            <w:pPr>
              <w:widowControl/>
              <w:snapToGrid w:val="0"/>
              <w:jc w:val="center"/>
              <w:rPr>
                <w:rFonts w:ascii="Times New Roman" w:eastAsia="仿宋"/>
                <w:szCs w:val="21"/>
              </w:rPr>
            </w:pPr>
            <w:r>
              <w:rPr>
                <w:rFonts w:hint="eastAsia" w:ascii="Times New Roman" w:eastAsia="仿宋"/>
                <w:szCs w:val="21"/>
              </w:rPr>
              <w:t>醋酸乙酯</w:t>
            </w:r>
          </w:p>
        </w:tc>
        <w:tc>
          <w:tcPr>
            <w:tcW w:w="598" w:type="pct"/>
            <w:vAlign w:val="center"/>
          </w:tcPr>
          <w:p w14:paraId="721495D9">
            <w:pPr>
              <w:widowControl/>
              <w:snapToGrid w:val="0"/>
              <w:jc w:val="center"/>
              <w:rPr>
                <w:rFonts w:ascii="Times New Roman" w:eastAsia="仿宋"/>
                <w:szCs w:val="21"/>
              </w:rPr>
            </w:pPr>
            <w:r>
              <w:rPr>
                <w:rFonts w:hint="eastAsia" w:ascii="Times New Roman" w:eastAsia="仿宋"/>
                <w:szCs w:val="21"/>
              </w:rPr>
              <w:t>14</w:t>
            </w:r>
            <w:r>
              <w:rPr>
                <w:rFonts w:ascii="Times New Roman" w:eastAsia="仿宋"/>
                <w:szCs w:val="21"/>
              </w:rPr>
              <w:t>1-78-6</w:t>
            </w:r>
          </w:p>
        </w:tc>
        <w:tc>
          <w:tcPr>
            <w:tcW w:w="775" w:type="pct"/>
            <w:vAlign w:val="center"/>
          </w:tcPr>
          <w:p w14:paraId="7CDB3BC5">
            <w:pPr>
              <w:snapToGrid w:val="0"/>
              <w:jc w:val="center"/>
              <w:rPr>
                <w:rFonts w:ascii="Times New Roman" w:eastAsia="仿宋"/>
                <w:szCs w:val="21"/>
              </w:rPr>
            </w:pPr>
            <w:r>
              <w:rPr>
                <w:rFonts w:hint="eastAsia" w:ascii="Times New Roman" w:eastAsia="仿宋"/>
                <w:szCs w:val="21"/>
              </w:rPr>
              <w:t>0</w:t>
            </w:r>
            <w:r>
              <w:rPr>
                <w:rFonts w:ascii="Times New Roman" w:eastAsia="仿宋"/>
                <w:szCs w:val="21"/>
              </w:rPr>
              <w:t>.96</w:t>
            </w:r>
          </w:p>
        </w:tc>
        <w:tc>
          <w:tcPr>
            <w:tcW w:w="687" w:type="pct"/>
            <w:vAlign w:val="center"/>
          </w:tcPr>
          <w:p w14:paraId="46EE21E2">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156" w:type="dxa"/>
            <w:vAlign w:val="center"/>
          </w:tcPr>
          <w:p w14:paraId="51188CCD">
            <w:pPr>
              <w:snapToGrid w:val="0"/>
              <w:jc w:val="center"/>
              <w:rPr>
                <w:rFonts w:ascii="Times New Roman" w:eastAsia="仿宋"/>
                <w:szCs w:val="21"/>
              </w:rPr>
            </w:pPr>
            <w:r>
              <w:rPr>
                <w:rFonts w:hint="eastAsia" w:ascii="Times New Roman" w:eastAsia="仿宋"/>
                <w:szCs w:val="21"/>
              </w:rPr>
              <w:t>0.096</w:t>
            </w:r>
          </w:p>
        </w:tc>
      </w:tr>
      <w:tr w14:paraId="1C08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Align w:val="center"/>
          </w:tcPr>
          <w:p w14:paraId="219C3162">
            <w:pPr>
              <w:jc w:val="center"/>
              <w:rPr>
                <w:rFonts w:ascii="Times New Roman" w:eastAsia="仿宋"/>
                <w:szCs w:val="21"/>
              </w:rPr>
            </w:pPr>
            <w:r>
              <w:rPr>
                <w:rFonts w:hint="eastAsia" w:ascii="Times New Roman" w:eastAsia="仿宋"/>
                <w:szCs w:val="21"/>
              </w:rPr>
              <w:t>3</w:t>
            </w:r>
          </w:p>
        </w:tc>
        <w:tc>
          <w:tcPr>
            <w:tcW w:w="463" w:type="pct"/>
            <w:vAlign w:val="center"/>
          </w:tcPr>
          <w:p w14:paraId="4F63B6E4">
            <w:pPr>
              <w:snapToGrid w:val="0"/>
              <w:jc w:val="center"/>
              <w:rPr>
                <w:rFonts w:ascii="Times New Roman" w:eastAsia="仿宋"/>
                <w:szCs w:val="21"/>
              </w:rPr>
            </w:pPr>
            <w:r>
              <w:rPr>
                <w:rFonts w:hint="eastAsia" w:ascii="Times New Roman" w:eastAsia="仿宋"/>
                <w:szCs w:val="21"/>
              </w:rPr>
              <w:t>辅料库</w:t>
            </w:r>
          </w:p>
        </w:tc>
        <w:tc>
          <w:tcPr>
            <w:tcW w:w="913" w:type="pct"/>
            <w:vAlign w:val="center"/>
          </w:tcPr>
          <w:p w14:paraId="27A712F4">
            <w:pPr>
              <w:snapToGrid w:val="0"/>
              <w:jc w:val="center"/>
              <w:rPr>
                <w:rFonts w:ascii="Times New Roman" w:eastAsia="仿宋"/>
                <w:szCs w:val="21"/>
              </w:rPr>
            </w:pPr>
            <w:r>
              <w:rPr>
                <w:rFonts w:hint="eastAsia" w:ascii="Times New Roman" w:eastAsia="仿宋"/>
                <w:szCs w:val="21"/>
              </w:rPr>
              <w:t>机油</w:t>
            </w:r>
          </w:p>
        </w:tc>
        <w:tc>
          <w:tcPr>
            <w:tcW w:w="635" w:type="pct"/>
            <w:vAlign w:val="center"/>
          </w:tcPr>
          <w:p w14:paraId="092B1BAA">
            <w:pPr>
              <w:snapToGrid w:val="0"/>
              <w:jc w:val="center"/>
              <w:rPr>
                <w:rFonts w:ascii="Times New Roman" w:eastAsia="仿宋"/>
                <w:szCs w:val="21"/>
              </w:rPr>
            </w:pPr>
            <w:r>
              <w:rPr>
                <w:rFonts w:hint="eastAsia" w:ascii="Times New Roman" w:eastAsia="仿宋"/>
                <w:szCs w:val="21"/>
              </w:rPr>
              <w:t>矿物油</w:t>
            </w:r>
          </w:p>
        </w:tc>
        <w:tc>
          <w:tcPr>
            <w:tcW w:w="598" w:type="pct"/>
            <w:vAlign w:val="center"/>
          </w:tcPr>
          <w:p w14:paraId="1C140A69">
            <w:pPr>
              <w:snapToGrid w:val="0"/>
              <w:jc w:val="center"/>
              <w:rPr>
                <w:rFonts w:ascii="Times New Roman" w:eastAsia="仿宋"/>
                <w:szCs w:val="21"/>
              </w:rPr>
            </w:pPr>
            <w:r>
              <w:rPr>
                <w:rFonts w:hint="eastAsia" w:ascii="Times New Roman" w:eastAsia="仿宋"/>
                <w:szCs w:val="21"/>
              </w:rPr>
              <w:t>/</w:t>
            </w:r>
          </w:p>
        </w:tc>
        <w:tc>
          <w:tcPr>
            <w:tcW w:w="775" w:type="pct"/>
            <w:vAlign w:val="center"/>
          </w:tcPr>
          <w:p w14:paraId="6D574004">
            <w:pPr>
              <w:snapToGrid w:val="0"/>
              <w:jc w:val="center"/>
              <w:rPr>
                <w:rFonts w:ascii="Times New Roman" w:eastAsia="仿宋"/>
                <w:szCs w:val="21"/>
              </w:rPr>
            </w:pPr>
            <w:r>
              <w:rPr>
                <w:rFonts w:hint="eastAsia" w:ascii="Times New Roman" w:eastAsia="仿宋"/>
                <w:szCs w:val="21"/>
              </w:rPr>
              <w:t>0.4</w:t>
            </w:r>
          </w:p>
        </w:tc>
        <w:tc>
          <w:tcPr>
            <w:tcW w:w="687" w:type="pct"/>
            <w:vAlign w:val="center"/>
          </w:tcPr>
          <w:p w14:paraId="23E68B5D">
            <w:pPr>
              <w:snapToGrid w:val="0"/>
              <w:jc w:val="center"/>
              <w:rPr>
                <w:rFonts w:ascii="Times New Roman" w:eastAsia="仿宋"/>
                <w:szCs w:val="21"/>
              </w:rPr>
            </w:pPr>
            <w:r>
              <w:rPr>
                <w:rFonts w:hint="eastAsia" w:ascii="Times New Roman" w:eastAsia="仿宋"/>
                <w:szCs w:val="21"/>
              </w:rPr>
              <w:t>2500</w:t>
            </w:r>
          </w:p>
        </w:tc>
        <w:tc>
          <w:tcPr>
            <w:tcW w:w="1156" w:type="dxa"/>
            <w:vAlign w:val="center"/>
          </w:tcPr>
          <w:p w14:paraId="44E8C3C2">
            <w:pPr>
              <w:snapToGrid w:val="0"/>
              <w:jc w:val="center"/>
              <w:rPr>
                <w:rFonts w:ascii="Times New Roman" w:eastAsia="仿宋"/>
                <w:szCs w:val="21"/>
              </w:rPr>
            </w:pPr>
            <w:r>
              <w:rPr>
                <w:rFonts w:hint="eastAsia" w:ascii="Times New Roman" w:eastAsia="仿宋"/>
                <w:szCs w:val="21"/>
              </w:rPr>
              <w:t>0.00016</w:t>
            </w:r>
          </w:p>
        </w:tc>
      </w:tr>
      <w:tr w14:paraId="134A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Align w:val="center"/>
          </w:tcPr>
          <w:p w14:paraId="7587D2A7">
            <w:pPr>
              <w:jc w:val="center"/>
              <w:rPr>
                <w:rFonts w:ascii="Times New Roman" w:eastAsia="仿宋"/>
                <w:szCs w:val="21"/>
              </w:rPr>
            </w:pPr>
            <w:r>
              <w:rPr>
                <w:rFonts w:hint="eastAsia" w:ascii="Times New Roman" w:eastAsia="仿宋"/>
                <w:szCs w:val="21"/>
              </w:rPr>
              <w:t>4</w:t>
            </w:r>
          </w:p>
        </w:tc>
        <w:tc>
          <w:tcPr>
            <w:tcW w:w="463" w:type="pct"/>
            <w:vAlign w:val="center"/>
          </w:tcPr>
          <w:p w14:paraId="4AB99F02">
            <w:pPr>
              <w:snapToGrid w:val="0"/>
              <w:jc w:val="center"/>
              <w:rPr>
                <w:rFonts w:ascii="Times New Roman" w:eastAsia="仿宋"/>
                <w:szCs w:val="21"/>
              </w:rPr>
            </w:pPr>
            <w:r>
              <w:rPr>
                <w:rFonts w:hint="eastAsia" w:ascii="Times New Roman" w:eastAsia="仿宋"/>
                <w:szCs w:val="21"/>
              </w:rPr>
              <w:t>污水站</w:t>
            </w:r>
          </w:p>
        </w:tc>
        <w:tc>
          <w:tcPr>
            <w:tcW w:w="913" w:type="pct"/>
            <w:vAlign w:val="center"/>
          </w:tcPr>
          <w:p w14:paraId="61F4DCFC">
            <w:pPr>
              <w:snapToGrid w:val="0"/>
              <w:jc w:val="center"/>
              <w:rPr>
                <w:rFonts w:ascii="Times New Roman" w:eastAsia="仿宋"/>
                <w:szCs w:val="21"/>
              </w:rPr>
            </w:pPr>
            <w:r>
              <w:rPr>
                <w:rFonts w:hint="eastAsia" w:ascii="Times New Roman" w:eastAsia="仿宋"/>
                <w:szCs w:val="21"/>
              </w:rPr>
              <w:t>废水</w:t>
            </w:r>
          </w:p>
        </w:tc>
        <w:tc>
          <w:tcPr>
            <w:tcW w:w="635" w:type="pct"/>
            <w:vAlign w:val="center"/>
          </w:tcPr>
          <w:p w14:paraId="6F6924F3">
            <w:pPr>
              <w:snapToGrid w:val="0"/>
              <w:jc w:val="center"/>
              <w:rPr>
                <w:rFonts w:ascii="Times New Roman" w:eastAsia="仿宋"/>
                <w:szCs w:val="21"/>
              </w:rPr>
            </w:pPr>
            <w:r>
              <w:rPr>
                <w:rFonts w:hint="eastAsia" w:ascii="Times New Roman" w:eastAsia="仿宋"/>
                <w:szCs w:val="21"/>
              </w:rPr>
              <w:t>有机物</w:t>
            </w:r>
          </w:p>
        </w:tc>
        <w:tc>
          <w:tcPr>
            <w:tcW w:w="598" w:type="pct"/>
            <w:vAlign w:val="center"/>
          </w:tcPr>
          <w:p w14:paraId="3856C9E0">
            <w:pPr>
              <w:snapToGrid w:val="0"/>
              <w:jc w:val="center"/>
              <w:rPr>
                <w:rFonts w:ascii="Times New Roman" w:eastAsia="仿宋"/>
                <w:szCs w:val="21"/>
              </w:rPr>
            </w:pPr>
            <w:r>
              <w:rPr>
                <w:rFonts w:hint="eastAsia" w:ascii="Times New Roman" w:eastAsia="仿宋"/>
                <w:szCs w:val="21"/>
              </w:rPr>
              <w:t>/</w:t>
            </w:r>
          </w:p>
        </w:tc>
        <w:tc>
          <w:tcPr>
            <w:tcW w:w="775" w:type="pct"/>
            <w:vAlign w:val="center"/>
          </w:tcPr>
          <w:p w14:paraId="345BA63F">
            <w:pPr>
              <w:snapToGrid w:val="0"/>
              <w:jc w:val="center"/>
              <w:rPr>
                <w:rFonts w:ascii="Times New Roman" w:eastAsia="仿宋"/>
                <w:szCs w:val="21"/>
              </w:rPr>
            </w:pPr>
            <w:r>
              <w:rPr>
                <w:rFonts w:hint="eastAsia" w:ascii="Times New Roman" w:eastAsia="仿宋"/>
                <w:szCs w:val="21"/>
              </w:rPr>
              <w:t>2</w:t>
            </w:r>
            <w:r>
              <w:rPr>
                <w:rFonts w:ascii="Times New Roman" w:eastAsia="仿宋"/>
                <w:szCs w:val="21"/>
              </w:rPr>
              <w:t>0</w:t>
            </w:r>
          </w:p>
        </w:tc>
        <w:tc>
          <w:tcPr>
            <w:tcW w:w="687" w:type="pct"/>
            <w:vAlign w:val="center"/>
          </w:tcPr>
          <w:p w14:paraId="22C8A294">
            <w:pPr>
              <w:snapToGrid w:val="0"/>
              <w:jc w:val="center"/>
              <w:rPr>
                <w:rFonts w:ascii="Times New Roman" w:eastAsia="仿宋"/>
                <w:szCs w:val="21"/>
              </w:rPr>
            </w:pPr>
            <w:r>
              <w:rPr>
                <w:rFonts w:hint="eastAsia" w:ascii="Times New Roman" w:eastAsia="仿宋"/>
                <w:szCs w:val="21"/>
              </w:rPr>
              <w:t>1</w:t>
            </w:r>
            <w:r>
              <w:rPr>
                <w:rFonts w:ascii="Times New Roman" w:eastAsia="仿宋"/>
                <w:szCs w:val="21"/>
              </w:rPr>
              <w:t>00</w:t>
            </w:r>
          </w:p>
        </w:tc>
        <w:tc>
          <w:tcPr>
            <w:tcW w:w="1156" w:type="dxa"/>
            <w:vAlign w:val="center"/>
          </w:tcPr>
          <w:p w14:paraId="73576408">
            <w:pPr>
              <w:snapToGrid w:val="0"/>
              <w:jc w:val="center"/>
              <w:rPr>
                <w:rFonts w:ascii="Times New Roman" w:eastAsia="仿宋"/>
                <w:szCs w:val="21"/>
              </w:rPr>
            </w:pPr>
            <w:r>
              <w:rPr>
                <w:rFonts w:hint="eastAsia" w:ascii="Times New Roman" w:eastAsia="仿宋"/>
                <w:szCs w:val="21"/>
              </w:rPr>
              <w:t>0.2</w:t>
            </w:r>
          </w:p>
        </w:tc>
      </w:tr>
      <w:tr w14:paraId="1802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restart"/>
            <w:vAlign w:val="center"/>
          </w:tcPr>
          <w:p w14:paraId="5421CAED">
            <w:pPr>
              <w:jc w:val="center"/>
              <w:rPr>
                <w:rFonts w:ascii="Times New Roman" w:eastAsia="仿宋"/>
                <w:szCs w:val="21"/>
              </w:rPr>
            </w:pPr>
            <w:r>
              <w:rPr>
                <w:rFonts w:ascii="Times New Roman" w:eastAsia="仿宋"/>
                <w:szCs w:val="21"/>
              </w:rPr>
              <w:t>5</w:t>
            </w:r>
          </w:p>
        </w:tc>
        <w:tc>
          <w:tcPr>
            <w:tcW w:w="463" w:type="pct"/>
            <w:vMerge w:val="restart"/>
            <w:vAlign w:val="center"/>
          </w:tcPr>
          <w:p w14:paraId="4D27EF3B">
            <w:pPr>
              <w:jc w:val="center"/>
              <w:rPr>
                <w:rFonts w:ascii="Times New Roman" w:eastAsia="仿宋"/>
                <w:szCs w:val="21"/>
              </w:rPr>
            </w:pPr>
            <w:r>
              <w:rPr>
                <w:rFonts w:ascii="Times New Roman" w:eastAsia="仿宋"/>
                <w:szCs w:val="21"/>
              </w:rPr>
              <w:t>危废仓库</w:t>
            </w:r>
          </w:p>
        </w:tc>
        <w:tc>
          <w:tcPr>
            <w:tcW w:w="913" w:type="pct"/>
            <w:vAlign w:val="center"/>
          </w:tcPr>
          <w:p w14:paraId="193D3CFD">
            <w:pPr>
              <w:jc w:val="center"/>
              <w:rPr>
                <w:rFonts w:ascii="Times New Roman" w:eastAsia="仿宋"/>
                <w:szCs w:val="21"/>
              </w:rPr>
            </w:pPr>
            <w:r>
              <w:rPr>
                <w:rFonts w:ascii="Times New Roman" w:eastAsia="仿宋"/>
                <w:szCs w:val="21"/>
              </w:rPr>
              <w:t>漆渣等危险废物</w:t>
            </w:r>
          </w:p>
        </w:tc>
        <w:tc>
          <w:tcPr>
            <w:tcW w:w="635" w:type="pct"/>
            <w:vAlign w:val="center"/>
          </w:tcPr>
          <w:p w14:paraId="4DB00479">
            <w:pPr>
              <w:jc w:val="center"/>
              <w:rPr>
                <w:rFonts w:ascii="Times New Roman" w:eastAsia="仿宋"/>
                <w:szCs w:val="21"/>
              </w:rPr>
            </w:pPr>
            <w:r>
              <w:rPr>
                <w:rFonts w:ascii="Times New Roman" w:eastAsia="仿宋"/>
                <w:szCs w:val="21"/>
              </w:rPr>
              <w:t>漆渣等危险废物</w:t>
            </w:r>
          </w:p>
        </w:tc>
        <w:tc>
          <w:tcPr>
            <w:tcW w:w="598" w:type="pct"/>
            <w:vAlign w:val="center"/>
          </w:tcPr>
          <w:p w14:paraId="0E97D044">
            <w:pPr>
              <w:jc w:val="center"/>
              <w:rPr>
                <w:rFonts w:ascii="Times New Roman" w:eastAsia="仿宋"/>
                <w:szCs w:val="21"/>
              </w:rPr>
            </w:pPr>
            <w:r>
              <w:rPr>
                <w:rFonts w:hint="eastAsia" w:ascii="Times New Roman" w:eastAsia="仿宋"/>
                <w:szCs w:val="21"/>
              </w:rPr>
              <w:t>/</w:t>
            </w:r>
          </w:p>
        </w:tc>
        <w:tc>
          <w:tcPr>
            <w:tcW w:w="775" w:type="pct"/>
            <w:vAlign w:val="center"/>
          </w:tcPr>
          <w:p w14:paraId="50E819E3">
            <w:pPr>
              <w:jc w:val="center"/>
              <w:rPr>
                <w:rFonts w:ascii="Times New Roman" w:eastAsia="仿宋"/>
                <w:szCs w:val="21"/>
              </w:rPr>
            </w:pPr>
            <w:r>
              <w:rPr>
                <w:rFonts w:hint="eastAsia" w:ascii="Times New Roman" w:eastAsia="仿宋"/>
                <w:szCs w:val="21"/>
              </w:rPr>
              <w:t>5</w:t>
            </w:r>
            <w:r>
              <w:rPr>
                <w:rFonts w:ascii="Times New Roman" w:eastAsia="仿宋"/>
                <w:szCs w:val="21"/>
              </w:rPr>
              <w:t>.36</w:t>
            </w:r>
          </w:p>
        </w:tc>
        <w:tc>
          <w:tcPr>
            <w:tcW w:w="687" w:type="pct"/>
            <w:vAlign w:val="center"/>
          </w:tcPr>
          <w:p w14:paraId="2C21EB01">
            <w:pPr>
              <w:jc w:val="center"/>
              <w:rPr>
                <w:rFonts w:ascii="Times New Roman" w:eastAsia="仿宋"/>
                <w:szCs w:val="21"/>
              </w:rPr>
            </w:pPr>
            <w:r>
              <w:rPr>
                <w:rFonts w:ascii="Times New Roman" w:eastAsia="仿宋"/>
                <w:szCs w:val="21"/>
              </w:rPr>
              <w:t>50</w:t>
            </w:r>
          </w:p>
        </w:tc>
        <w:tc>
          <w:tcPr>
            <w:tcW w:w="1156" w:type="dxa"/>
            <w:vAlign w:val="center"/>
          </w:tcPr>
          <w:p w14:paraId="639D4DE0">
            <w:pPr>
              <w:snapToGrid w:val="0"/>
              <w:jc w:val="center"/>
              <w:rPr>
                <w:rFonts w:ascii="Times New Roman" w:eastAsia="仿宋"/>
                <w:szCs w:val="21"/>
              </w:rPr>
            </w:pPr>
            <w:r>
              <w:rPr>
                <w:rFonts w:hint="eastAsia" w:ascii="Times New Roman" w:eastAsia="仿宋"/>
                <w:szCs w:val="21"/>
              </w:rPr>
              <w:t>0.1072</w:t>
            </w:r>
          </w:p>
        </w:tc>
      </w:tr>
      <w:tr w14:paraId="2BF4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52B75D22">
            <w:pPr>
              <w:jc w:val="center"/>
              <w:rPr>
                <w:rFonts w:ascii="Times New Roman" w:eastAsia="仿宋"/>
                <w:szCs w:val="21"/>
              </w:rPr>
            </w:pPr>
          </w:p>
        </w:tc>
        <w:tc>
          <w:tcPr>
            <w:tcW w:w="463" w:type="pct"/>
            <w:vMerge w:val="continue"/>
            <w:vAlign w:val="center"/>
          </w:tcPr>
          <w:p w14:paraId="7BFB7BED">
            <w:pPr>
              <w:jc w:val="center"/>
              <w:rPr>
                <w:rFonts w:ascii="Times New Roman" w:eastAsia="仿宋"/>
                <w:szCs w:val="21"/>
              </w:rPr>
            </w:pPr>
          </w:p>
        </w:tc>
        <w:tc>
          <w:tcPr>
            <w:tcW w:w="913" w:type="pct"/>
            <w:vAlign w:val="center"/>
          </w:tcPr>
          <w:p w14:paraId="26FC4DAA">
            <w:pPr>
              <w:jc w:val="center"/>
              <w:rPr>
                <w:rFonts w:ascii="Times New Roman" w:eastAsia="仿宋"/>
                <w:szCs w:val="21"/>
              </w:rPr>
            </w:pPr>
            <w:r>
              <w:rPr>
                <w:rFonts w:hint="eastAsia" w:ascii="Times New Roman" w:eastAsia="仿宋"/>
                <w:szCs w:val="21"/>
              </w:rPr>
              <w:t>水洗废水</w:t>
            </w:r>
          </w:p>
        </w:tc>
        <w:tc>
          <w:tcPr>
            <w:tcW w:w="635" w:type="pct"/>
            <w:vAlign w:val="center"/>
          </w:tcPr>
          <w:p w14:paraId="476631DA">
            <w:pPr>
              <w:jc w:val="center"/>
              <w:rPr>
                <w:rFonts w:ascii="Times New Roman" w:eastAsia="仿宋"/>
                <w:szCs w:val="21"/>
              </w:rPr>
            </w:pPr>
            <w:r>
              <w:rPr>
                <w:rFonts w:hint="eastAsia" w:ascii="Times New Roman" w:eastAsia="仿宋"/>
                <w:szCs w:val="21"/>
              </w:rPr>
              <w:t>有机物</w:t>
            </w:r>
          </w:p>
        </w:tc>
        <w:tc>
          <w:tcPr>
            <w:tcW w:w="598" w:type="pct"/>
            <w:vAlign w:val="center"/>
          </w:tcPr>
          <w:p w14:paraId="2F5387E6">
            <w:pPr>
              <w:jc w:val="center"/>
              <w:rPr>
                <w:rFonts w:ascii="Times New Roman" w:eastAsia="仿宋"/>
                <w:szCs w:val="21"/>
              </w:rPr>
            </w:pPr>
            <w:r>
              <w:rPr>
                <w:rFonts w:hint="eastAsia" w:ascii="Times New Roman" w:eastAsia="仿宋"/>
                <w:szCs w:val="21"/>
              </w:rPr>
              <w:t>/</w:t>
            </w:r>
          </w:p>
        </w:tc>
        <w:tc>
          <w:tcPr>
            <w:tcW w:w="775" w:type="pct"/>
            <w:vAlign w:val="center"/>
          </w:tcPr>
          <w:p w14:paraId="235C6A89">
            <w:pPr>
              <w:jc w:val="center"/>
              <w:rPr>
                <w:rFonts w:ascii="Times New Roman" w:eastAsia="仿宋"/>
                <w:szCs w:val="21"/>
              </w:rPr>
            </w:pPr>
            <w:r>
              <w:rPr>
                <w:rFonts w:hint="eastAsia" w:ascii="Times New Roman" w:eastAsia="仿宋"/>
                <w:szCs w:val="21"/>
              </w:rPr>
              <w:t>4.05</w:t>
            </w:r>
          </w:p>
        </w:tc>
        <w:tc>
          <w:tcPr>
            <w:tcW w:w="687" w:type="pct"/>
            <w:vAlign w:val="center"/>
          </w:tcPr>
          <w:p w14:paraId="17881842">
            <w:pPr>
              <w:jc w:val="center"/>
              <w:rPr>
                <w:rFonts w:ascii="Times New Roman" w:eastAsia="仿宋"/>
                <w:szCs w:val="21"/>
              </w:rPr>
            </w:pPr>
            <w:r>
              <w:rPr>
                <w:rFonts w:hint="eastAsia" w:ascii="Times New Roman" w:eastAsia="仿宋"/>
                <w:szCs w:val="21"/>
              </w:rPr>
              <w:t>50</w:t>
            </w:r>
          </w:p>
        </w:tc>
        <w:tc>
          <w:tcPr>
            <w:tcW w:w="1156" w:type="dxa"/>
            <w:vAlign w:val="center"/>
          </w:tcPr>
          <w:p w14:paraId="2862076F">
            <w:pPr>
              <w:snapToGrid w:val="0"/>
              <w:jc w:val="center"/>
              <w:rPr>
                <w:rFonts w:ascii="Times New Roman" w:eastAsia="仿宋"/>
                <w:szCs w:val="21"/>
              </w:rPr>
            </w:pPr>
            <w:r>
              <w:rPr>
                <w:rFonts w:hint="eastAsia" w:ascii="Times New Roman" w:eastAsia="仿宋"/>
                <w:szCs w:val="21"/>
              </w:rPr>
              <w:t>0.081</w:t>
            </w:r>
          </w:p>
        </w:tc>
      </w:tr>
      <w:tr w14:paraId="799C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729F0DC8">
            <w:pPr>
              <w:jc w:val="center"/>
              <w:rPr>
                <w:rFonts w:ascii="Times New Roman" w:eastAsia="仿宋"/>
                <w:szCs w:val="21"/>
              </w:rPr>
            </w:pPr>
          </w:p>
        </w:tc>
        <w:tc>
          <w:tcPr>
            <w:tcW w:w="463" w:type="pct"/>
            <w:vMerge w:val="continue"/>
            <w:vAlign w:val="center"/>
          </w:tcPr>
          <w:p w14:paraId="412872EC">
            <w:pPr>
              <w:jc w:val="center"/>
              <w:rPr>
                <w:rFonts w:ascii="Times New Roman" w:eastAsia="仿宋"/>
                <w:szCs w:val="21"/>
              </w:rPr>
            </w:pPr>
          </w:p>
        </w:tc>
        <w:tc>
          <w:tcPr>
            <w:tcW w:w="913" w:type="pct"/>
            <w:vAlign w:val="center"/>
          </w:tcPr>
          <w:p w14:paraId="1B6F3145">
            <w:pPr>
              <w:jc w:val="center"/>
              <w:rPr>
                <w:rFonts w:ascii="Times New Roman" w:eastAsia="仿宋"/>
                <w:szCs w:val="21"/>
              </w:rPr>
            </w:pPr>
            <w:r>
              <w:rPr>
                <w:rFonts w:hint="eastAsia" w:ascii="Times New Roman" w:eastAsia="仿宋"/>
                <w:szCs w:val="21"/>
              </w:rPr>
              <w:t>水帘废水</w:t>
            </w:r>
          </w:p>
        </w:tc>
        <w:tc>
          <w:tcPr>
            <w:tcW w:w="635" w:type="pct"/>
            <w:vAlign w:val="center"/>
          </w:tcPr>
          <w:p w14:paraId="542D7F0F">
            <w:pPr>
              <w:jc w:val="center"/>
              <w:rPr>
                <w:rFonts w:ascii="Times New Roman" w:eastAsia="仿宋"/>
                <w:szCs w:val="21"/>
              </w:rPr>
            </w:pPr>
            <w:r>
              <w:rPr>
                <w:rFonts w:hint="eastAsia" w:ascii="Times New Roman" w:eastAsia="仿宋"/>
                <w:szCs w:val="21"/>
              </w:rPr>
              <w:t>有机物</w:t>
            </w:r>
          </w:p>
        </w:tc>
        <w:tc>
          <w:tcPr>
            <w:tcW w:w="598" w:type="pct"/>
            <w:vAlign w:val="center"/>
          </w:tcPr>
          <w:p w14:paraId="42DE1DDB">
            <w:pPr>
              <w:jc w:val="center"/>
              <w:rPr>
                <w:rFonts w:ascii="Times New Roman" w:eastAsia="仿宋"/>
                <w:szCs w:val="21"/>
              </w:rPr>
            </w:pPr>
            <w:r>
              <w:rPr>
                <w:rFonts w:hint="eastAsia" w:ascii="Times New Roman" w:eastAsia="仿宋"/>
                <w:szCs w:val="21"/>
              </w:rPr>
              <w:t>/</w:t>
            </w:r>
          </w:p>
        </w:tc>
        <w:tc>
          <w:tcPr>
            <w:tcW w:w="775" w:type="pct"/>
            <w:vAlign w:val="center"/>
          </w:tcPr>
          <w:p w14:paraId="70A09DAF">
            <w:pPr>
              <w:jc w:val="center"/>
              <w:rPr>
                <w:rFonts w:ascii="Times New Roman" w:eastAsia="仿宋"/>
                <w:szCs w:val="21"/>
              </w:rPr>
            </w:pPr>
            <w:r>
              <w:rPr>
                <w:rFonts w:ascii="Times New Roman" w:eastAsia="仿宋"/>
                <w:szCs w:val="21"/>
              </w:rPr>
              <w:t>7.5</w:t>
            </w:r>
          </w:p>
        </w:tc>
        <w:tc>
          <w:tcPr>
            <w:tcW w:w="687" w:type="pct"/>
            <w:vAlign w:val="center"/>
          </w:tcPr>
          <w:p w14:paraId="7192AF32">
            <w:pPr>
              <w:jc w:val="center"/>
              <w:rPr>
                <w:rFonts w:ascii="Times New Roman" w:eastAsia="仿宋"/>
                <w:szCs w:val="21"/>
              </w:rPr>
            </w:pPr>
            <w:r>
              <w:rPr>
                <w:rFonts w:hint="eastAsia" w:ascii="Times New Roman" w:eastAsia="仿宋"/>
                <w:szCs w:val="21"/>
              </w:rPr>
              <w:t>50</w:t>
            </w:r>
          </w:p>
        </w:tc>
        <w:tc>
          <w:tcPr>
            <w:tcW w:w="1156" w:type="dxa"/>
            <w:vAlign w:val="center"/>
          </w:tcPr>
          <w:p w14:paraId="2D67F0DA">
            <w:pPr>
              <w:snapToGrid w:val="0"/>
              <w:jc w:val="center"/>
              <w:rPr>
                <w:rFonts w:ascii="Times New Roman" w:eastAsia="仿宋"/>
                <w:szCs w:val="21"/>
              </w:rPr>
            </w:pPr>
            <w:r>
              <w:rPr>
                <w:rFonts w:hint="eastAsia" w:ascii="Times New Roman" w:eastAsia="仿宋"/>
                <w:szCs w:val="21"/>
              </w:rPr>
              <w:t>0.15</w:t>
            </w:r>
          </w:p>
        </w:tc>
      </w:tr>
      <w:tr w14:paraId="27BB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3DC0BB0F">
            <w:pPr>
              <w:jc w:val="center"/>
              <w:rPr>
                <w:rFonts w:ascii="Times New Roman" w:eastAsia="仿宋"/>
                <w:szCs w:val="21"/>
              </w:rPr>
            </w:pPr>
          </w:p>
        </w:tc>
        <w:tc>
          <w:tcPr>
            <w:tcW w:w="463" w:type="pct"/>
            <w:vMerge w:val="continue"/>
            <w:vAlign w:val="center"/>
          </w:tcPr>
          <w:p w14:paraId="1A7FFF66">
            <w:pPr>
              <w:jc w:val="center"/>
              <w:rPr>
                <w:rFonts w:ascii="Times New Roman" w:eastAsia="仿宋"/>
                <w:szCs w:val="21"/>
              </w:rPr>
            </w:pPr>
          </w:p>
        </w:tc>
        <w:tc>
          <w:tcPr>
            <w:tcW w:w="913" w:type="pct"/>
            <w:vAlign w:val="center"/>
          </w:tcPr>
          <w:p w14:paraId="1B8180FB">
            <w:pPr>
              <w:jc w:val="center"/>
              <w:rPr>
                <w:rFonts w:ascii="Times New Roman" w:eastAsia="仿宋"/>
                <w:szCs w:val="21"/>
              </w:rPr>
            </w:pPr>
            <w:r>
              <w:rPr>
                <w:rFonts w:hint="eastAsia" w:ascii="Times New Roman" w:eastAsia="仿宋"/>
                <w:szCs w:val="21"/>
              </w:rPr>
              <w:t>废机油</w:t>
            </w:r>
          </w:p>
        </w:tc>
        <w:tc>
          <w:tcPr>
            <w:tcW w:w="635" w:type="pct"/>
            <w:vAlign w:val="center"/>
          </w:tcPr>
          <w:p w14:paraId="1945A2B8">
            <w:pPr>
              <w:jc w:val="center"/>
              <w:rPr>
                <w:rFonts w:ascii="Times New Roman" w:eastAsia="仿宋"/>
                <w:szCs w:val="21"/>
              </w:rPr>
            </w:pPr>
            <w:r>
              <w:rPr>
                <w:rFonts w:hint="eastAsia" w:ascii="Times New Roman" w:eastAsia="仿宋"/>
                <w:szCs w:val="21"/>
              </w:rPr>
              <w:t>矿物油</w:t>
            </w:r>
          </w:p>
        </w:tc>
        <w:tc>
          <w:tcPr>
            <w:tcW w:w="598" w:type="pct"/>
            <w:vAlign w:val="center"/>
          </w:tcPr>
          <w:p w14:paraId="531361F6">
            <w:pPr>
              <w:jc w:val="center"/>
              <w:rPr>
                <w:rFonts w:ascii="Times New Roman" w:eastAsia="仿宋"/>
                <w:szCs w:val="21"/>
              </w:rPr>
            </w:pPr>
            <w:r>
              <w:rPr>
                <w:rFonts w:hint="eastAsia" w:ascii="Times New Roman" w:eastAsia="仿宋"/>
                <w:szCs w:val="21"/>
              </w:rPr>
              <w:t>/</w:t>
            </w:r>
          </w:p>
        </w:tc>
        <w:tc>
          <w:tcPr>
            <w:tcW w:w="775" w:type="pct"/>
            <w:vAlign w:val="center"/>
          </w:tcPr>
          <w:p w14:paraId="59C14F1B">
            <w:pPr>
              <w:jc w:val="center"/>
              <w:rPr>
                <w:rFonts w:ascii="Times New Roman" w:eastAsia="仿宋"/>
                <w:szCs w:val="21"/>
              </w:rPr>
            </w:pPr>
            <w:r>
              <w:rPr>
                <w:rFonts w:ascii="Times New Roman" w:eastAsia="仿宋"/>
                <w:szCs w:val="21"/>
              </w:rPr>
              <w:t>0.5</w:t>
            </w:r>
          </w:p>
        </w:tc>
        <w:tc>
          <w:tcPr>
            <w:tcW w:w="687" w:type="pct"/>
            <w:vAlign w:val="center"/>
          </w:tcPr>
          <w:p w14:paraId="3B25B840">
            <w:pPr>
              <w:jc w:val="center"/>
              <w:rPr>
                <w:rFonts w:ascii="Times New Roman" w:eastAsia="仿宋"/>
                <w:szCs w:val="21"/>
              </w:rPr>
            </w:pPr>
            <w:r>
              <w:rPr>
                <w:rFonts w:hint="eastAsia" w:ascii="Times New Roman" w:eastAsia="仿宋"/>
                <w:szCs w:val="21"/>
              </w:rPr>
              <w:t>2500</w:t>
            </w:r>
          </w:p>
        </w:tc>
        <w:tc>
          <w:tcPr>
            <w:tcW w:w="1156" w:type="dxa"/>
            <w:vAlign w:val="center"/>
          </w:tcPr>
          <w:p w14:paraId="079AFEE0">
            <w:pPr>
              <w:snapToGrid w:val="0"/>
              <w:jc w:val="center"/>
              <w:rPr>
                <w:rFonts w:ascii="Times New Roman" w:eastAsia="仿宋"/>
                <w:szCs w:val="21"/>
              </w:rPr>
            </w:pPr>
            <w:r>
              <w:rPr>
                <w:rFonts w:hint="eastAsia" w:ascii="Times New Roman" w:eastAsia="仿宋"/>
                <w:szCs w:val="21"/>
              </w:rPr>
              <w:t>0.0002</w:t>
            </w:r>
          </w:p>
        </w:tc>
      </w:tr>
      <w:tr w14:paraId="27C6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05ED3479">
            <w:pPr>
              <w:jc w:val="center"/>
              <w:rPr>
                <w:rFonts w:ascii="Times New Roman" w:eastAsia="仿宋"/>
                <w:szCs w:val="21"/>
              </w:rPr>
            </w:pPr>
          </w:p>
        </w:tc>
        <w:tc>
          <w:tcPr>
            <w:tcW w:w="463" w:type="pct"/>
            <w:vMerge w:val="continue"/>
            <w:vAlign w:val="center"/>
          </w:tcPr>
          <w:p w14:paraId="04F6C717">
            <w:pPr>
              <w:jc w:val="center"/>
              <w:rPr>
                <w:rFonts w:ascii="Times New Roman" w:eastAsia="仿宋"/>
                <w:szCs w:val="21"/>
              </w:rPr>
            </w:pPr>
          </w:p>
        </w:tc>
        <w:tc>
          <w:tcPr>
            <w:tcW w:w="913" w:type="pct"/>
            <w:vAlign w:val="center"/>
          </w:tcPr>
          <w:p w14:paraId="5A279CD9">
            <w:pPr>
              <w:jc w:val="center"/>
              <w:rPr>
                <w:rFonts w:ascii="Times New Roman" w:eastAsia="仿宋"/>
                <w:szCs w:val="21"/>
              </w:rPr>
            </w:pPr>
            <w:r>
              <w:rPr>
                <w:rFonts w:hint="eastAsia" w:ascii="Times New Roman" w:eastAsia="仿宋"/>
                <w:szCs w:val="21"/>
              </w:rPr>
              <w:t>废活性炭</w:t>
            </w:r>
          </w:p>
        </w:tc>
        <w:tc>
          <w:tcPr>
            <w:tcW w:w="635" w:type="pct"/>
            <w:vAlign w:val="center"/>
          </w:tcPr>
          <w:p w14:paraId="69AAEEBF">
            <w:pPr>
              <w:jc w:val="center"/>
              <w:rPr>
                <w:rFonts w:ascii="Times New Roman" w:eastAsia="仿宋"/>
                <w:szCs w:val="21"/>
              </w:rPr>
            </w:pPr>
            <w:r>
              <w:rPr>
                <w:rFonts w:hint="eastAsia" w:ascii="Times New Roman" w:eastAsia="仿宋"/>
                <w:szCs w:val="21"/>
              </w:rPr>
              <w:t>有机物、活性炭</w:t>
            </w:r>
          </w:p>
        </w:tc>
        <w:tc>
          <w:tcPr>
            <w:tcW w:w="598" w:type="pct"/>
            <w:vAlign w:val="center"/>
          </w:tcPr>
          <w:p w14:paraId="29B2A763">
            <w:pPr>
              <w:jc w:val="center"/>
              <w:rPr>
                <w:rFonts w:ascii="Times New Roman" w:eastAsia="仿宋"/>
                <w:szCs w:val="21"/>
              </w:rPr>
            </w:pPr>
            <w:r>
              <w:rPr>
                <w:rFonts w:hint="eastAsia" w:ascii="Times New Roman" w:eastAsia="仿宋"/>
                <w:szCs w:val="21"/>
              </w:rPr>
              <w:t>/</w:t>
            </w:r>
          </w:p>
        </w:tc>
        <w:tc>
          <w:tcPr>
            <w:tcW w:w="775" w:type="pct"/>
            <w:vAlign w:val="center"/>
          </w:tcPr>
          <w:p w14:paraId="381C14A0">
            <w:pPr>
              <w:jc w:val="center"/>
              <w:rPr>
                <w:rFonts w:ascii="Times New Roman" w:eastAsia="仿宋"/>
                <w:szCs w:val="21"/>
              </w:rPr>
            </w:pPr>
            <w:r>
              <w:rPr>
                <w:rFonts w:hint="eastAsia" w:ascii="Times New Roman" w:eastAsia="仿宋"/>
                <w:szCs w:val="21"/>
              </w:rPr>
              <w:t>2.05</w:t>
            </w:r>
          </w:p>
        </w:tc>
        <w:tc>
          <w:tcPr>
            <w:tcW w:w="687" w:type="pct"/>
            <w:vAlign w:val="center"/>
          </w:tcPr>
          <w:p w14:paraId="022068D8">
            <w:pPr>
              <w:jc w:val="center"/>
              <w:rPr>
                <w:rFonts w:ascii="Times New Roman" w:eastAsia="仿宋"/>
                <w:szCs w:val="21"/>
              </w:rPr>
            </w:pPr>
            <w:r>
              <w:rPr>
                <w:rFonts w:hint="eastAsia" w:ascii="Times New Roman" w:eastAsia="仿宋"/>
                <w:szCs w:val="21"/>
              </w:rPr>
              <w:t>5</w:t>
            </w:r>
            <w:r>
              <w:rPr>
                <w:rFonts w:ascii="Times New Roman" w:eastAsia="仿宋"/>
                <w:szCs w:val="21"/>
              </w:rPr>
              <w:t>0</w:t>
            </w:r>
          </w:p>
        </w:tc>
        <w:tc>
          <w:tcPr>
            <w:tcW w:w="1156" w:type="dxa"/>
            <w:vAlign w:val="center"/>
          </w:tcPr>
          <w:p w14:paraId="43BFA111">
            <w:pPr>
              <w:snapToGrid w:val="0"/>
              <w:jc w:val="center"/>
              <w:rPr>
                <w:rFonts w:ascii="Times New Roman" w:eastAsia="仿宋"/>
                <w:szCs w:val="21"/>
              </w:rPr>
            </w:pPr>
            <w:r>
              <w:rPr>
                <w:rFonts w:hint="eastAsia" w:ascii="Times New Roman" w:eastAsia="仿宋"/>
                <w:szCs w:val="21"/>
              </w:rPr>
              <w:t>0.04</w:t>
            </w:r>
          </w:p>
        </w:tc>
      </w:tr>
      <w:tr w14:paraId="22B5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753B05F9">
            <w:pPr>
              <w:jc w:val="center"/>
              <w:rPr>
                <w:rFonts w:ascii="Times New Roman" w:eastAsia="仿宋"/>
                <w:szCs w:val="21"/>
              </w:rPr>
            </w:pPr>
          </w:p>
        </w:tc>
        <w:tc>
          <w:tcPr>
            <w:tcW w:w="463" w:type="pct"/>
            <w:vMerge w:val="continue"/>
            <w:vAlign w:val="center"/>
          </w:tcPr>
          <w:p w14:paraId="7872B115">
            <w:pPr>
              <w:jc w:val="center"/>
              <w:rPr>
                <w:rFonts w:ascii="Times New Roman" w:eastAsia="仿宋"/>
                <w:szCs w:val="21"/>
              </w:rPr>
            </w:pPr>
          </w:p>
        </w:tc>
        <w:tc>
          <w:tcPr>
            <w:tcW w:w="913" w:type="pct"/>
            <w:vAlign w:val="center"/>
          </w:tcPr>
          <w:p w14:paraId="074D180A">
            <w:pPr>
              <w:jc w:val="center"/>
              <w:rPr>
                <w:rFonts w:ascii="Times New Roman" w:eastAsia="仿宋"/>
                <w:szCs w:val="21"/>
              </w:rPr>
            </w:pPr>
            <w:r>
              <w:rPr>
                <w:rFonts w:hint="eastAsia" w:ascii="Times New Roman" w:eastAsia="仿宋"/>
                <w:szCs w:val="21"/>
              </w:rPr>
              <w:t>废催化剂</w:t>
            </w:r>
          </w:p>
        </w:tc>
        <w:tc>
          <w:tcPr>
            <w:tcW w:w="635" w:type="pct"/>
            <w:vAlign w:val="center"/>
          </w:tcPr>
          <w:p w14:paraId="3308AAE8">
            <w:pPr>
              <w:jc w:val="center"/>
              <w:rPr>
                <w:rFonts w:ascii="Times New Roman" w:eastAsia="仿宋"/>
                <w:szCs w:val="21"/>
              </w:rPr>
            </w:pPr>
            <w:r>
              <w:rPr>
                <w:rFonts w:hint="eastAsia" w:ascii="Times New Roman" w:eastAsia="仿宋"/>
                <w:szCs w:val="21"/>
              </w:rPr>
              <w:t>有机物</w:t>
            </w:r>
          </w:p>
        </w:tc>
        <w:tc>
          <w:tcPr>
            <w:tcW w:w="598" w:type="pct"/>
            <w:vAlign w:val="center"/>
          </w:tcPr>
          <w:p w14:paraId="0B006F6F">
            <w:pPr>
              <w:jc w:val="center"/>
              <w:rPr>
                <w:rFonts w:ascii="Times New Roman" w:eastAsia="仿宋"/>
                <w:szCs w:val="21"/>
              </w:rPr>
            </w:pPr>
            <w:r>
              <w:rPr>
                <w:rFonts w:hint="eastAsia" w:ascii="Times New Roman" w:eastAsia="仿宋"/>
                <w:szCs w:val="21"/>
              </w:rPr>
              <w:t>/</w:t>
            </w:r>
          </w:p>
        </w:tc>
        <w:tc>
          <w:tcPr>
            <w:tcW w:w="775" w:type="pct"/>
            <w:vAlign w:val="center"/>
          </w:tcPr>
          <w:p w14:paraId="4183BF15">
            <w:pPr>
              <w:jc w:val="center"/>
              <w:rPr>
                <w:rFonts w:ascii="Times New Roman" w:eastAsia="仿宋"/>
                <w:szCs w:val="21"/>
              </w:rPr>
            </w:pPr>
            <w:r>
              <w:rPr>
                <w:rFonts w:hint="eastAsia" w:ascii="Times New Roman" w:eastAsia="仿宋"/>
                <w:szCs w:val="21"/>
              </w:rPr>
              <w:t>0</w:t>
            </w:r>
            <w:r>
              <w:rPr>
                <w:rFonts w:ascii="Times New Roman" w:eastAsia="仿宋"/>
                <w:szCs w:val="21"/>
              </w:rPr>
              <w:t>.05</w:t>
            </w:r>
          </w:p>
        </w:tc>
        <w:tc>
          <w:tcPr>
            <w:tcW w:w="687" w:type="pct"/>
            <w:vAlign w:val="center"/>
          </w:tcPr>
          <w:p w14:paraId="54638D09">
            <w:pPr>
              <w:jc w:val="center"/>
              <w:rPr>
                <w:rFonts w:ascii="Times New Roman" w:eastAsia="仿宋"/>
                <w:szCs w:val="21"/>
              </w:rPr>
            </w:pPr>
            <w:r>
              <w:rPr>
                <w:rFonts w:hint="eastAsia" w:ascii="Times New Roman" w:eastAsia="仿宋"/>
                <w:szCs w:val="21"/>
              </w:rPr>
              <w:t>50</w:t>
            </w:r>
          </w:p>
        </w:tc>
        <w:tc>
          <w:tcPr>
            <w:tcW w:w="1156" w:type="dxa"/>
            <w:vAlign w:val="center"/>
          </w:tcPr>
          <w:p w14:paraId="3221C8C2">
            <w:pPr>
              <w:snapToGrid w:val="0"/>
              <w:jc w:val="center"/>
              <w:rPr>
                <w:rFonts w:ascii="Times New Roman" w:eastAsia="仿宋"/>
                <w:szCs w:val="21"/>
              </w:rPr>
            </w:pPr>
            <w:r>
              <w:rPr>
                <w:rFonts w:hint="eastAsia" w:ascii="Times New Roman" w:eastAsia="仿宋"/>
                <w:szCs w:val="21"/>
              </w:rPr>
              <w:t>0.001</w:t>
            </w:r>
          </w:p>
        </w:tc>
      </w:tr>
      <w:tr w14:paraId="679B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4CB97E4B">
            <w:pPr>
              <w:jc w:val="center"/>
              <w:rPr>
                <w:rFonts w:ascii="Times New Roman" w:eastAsia="仿宋"/>
                <w:szCs w:val="21"/>
              </w:rPr>
            </w:pPr>
          </w:p>
        </w:tc>
        <w:tc>
          <w:tcPr>
            <w:tcW w:w="463" w:type="pct"/>
            <w:vMerge w:val="continue"/>
            <w:vAlign w:val="center"/>
          </w:tcPr>
          <w:p w14:paraId="4E81F7E4">
            <w:pPr>
              <w:jc w:val="center"/>
              <w:rPr>
                <w:rFonts w:ascii="Times New Roman" w:eastAsia="仿宋"/>
                <w:szCs w:val="21"/>
              </w:rPr>
            </w:pPr>
          </w:p>
        </w:tc>
        <w:tc>
          <w:tcPr>
            <w:tcW w:w="913" w:type="pct"/>
            <w:vAlign w:val="center"/>
          </w:tcPr>
          <w:p w14:paraId="425C8780">
            <w:pPr>
              <w:snapToGrid w:val="0"/>
              <w:jc w:val="center"/>
              <w:rPr>
                <w:rFonts w:ascii="Times New Roman" w:eastAsia="仿宋"/>
                <w:szCs w:val="21"/>
              </w:rPr>
            </w:pPr>
            <w:r>
              <w:rPr>
                <w:rFonts w:hint="eastAsia" w:ascii="Times New Roman" w:eastAsia="仿宋"/>
                <w:szCs w:val="21"/>
              </w:rPr>
              <w:t>污泥</w:t>
            </w:r>
          </w:p>
        </w:tc>
        <w:tc>
          <w:tcPr>
            <w:tcW w:w="635" w:type="pct"/>
            <w:vAlign w:val="center"/>
          </w:tcPr>
          <w:p w14:paraId="54067696">
            <w:pPr>
              <w:snapToGrid w:val="0"/>
              <w:jc w:val="center"/>
              <w:rPr>
                <w:rFonts w:ascii="Times New Roman" w:eastAsia="仿宋"/>
                <w:szCs w:val="21"/>
              </w:rPr>
            </w:pPr>
            <w:r>
              <w:rPr>
                <w:rFonts w:hint="eastAsia" w:ascii="Times New Roman" w:eastAsia="仿宋"/>
                <w:szCs w:val="21"/>
              </w:rPr>
              <w:t>有机物</w:t>
            </w:r>
          </w:p>
        </w:tc>
        <w:tc>
          <w:tcPr>
            <w:tcW w:w="598" w:type="pct"/>
            <w:vAlign w:val="center"/>
          </w:tcPr>
          <w:p w14:paraId="68459188">
            <w:pPr>
              <w:snapToGrid w:val="0"/>
              <w:jc w:val="center"/>
              <w:rPr>
                <w:rFonts w:ascii="Times New Roman" w:eastAsia="仿宋"/>
                <w:szCs w:val="21"/>
              </w:rPr>
            </w:pPr>
            <w:r>
              <w:rPr>
                <w:rFonts w:hint="eastAsia" w:ascii="Times New Roman" w:eastAsia="仿宋"/>
                <w:szCs w:val="21"/>
              </w:rPr>
              <w:t>/</w:t>
            </w:r>
          </w:p>
        </w:tc>
        <w:tc>
          <w:tcPr>
            <w:tcW w:w="775" w:type="pct"/>
            <w:vAlign w:val="center"/>
          </w:tcPr>
          <w:p w14:paraId="69A78D92">
            <w:pPr>
              <w:snapToGrid w:val="0"/>
              <w:jc w:val="center"/>
              <w:rPr>
                <w:rFonts w:ascii="Times New Roman" w:eastAsia="仿宋"/>
                <w:szCs w:val="21"/>
              </w:rPr>
            </w:pPr>
            <w:r>
              <w:rPr>
                <w:rFonts w:hint="eastAsia" w:ascii="Times New Roman" w:eastAsia="仿宋"/>
                <w:szCs w:val="21"/>
              </w:rPr>
              <w:t>2.5</w:t>
            </w:r>
          </w:p>
        </w:tc>
        <w:tc>
          <w:tcPr>
            <w:tcW w:w="687" w:type="pct"/>
            <w:vAlign w:val="center"/>
          </w:tcPr>
          <w:p w14:paraId="1AE5C0FD">
            <w:pPr>
              <w:snapToGrid w:val="0"/>
              <w:jc w:val="center"/>
              <w:rPr>
                <w:rFonts w:ascii="Times New Roman" w:eastAsia="仿宋"/>
                <w:szCs w:val="21"/>
              </w:rPr>
            </w:pPr>
            <w:r>
              <w:rPr>
                <w:rFonts w:hint="eastAsia" w:ascii="Times New Roman" w:eastAsia="仿宋"/>
                <w:szCs w:val="21"/>
              </w:rPr>
              <w:t>50</w:t>
            </w:r>
          </w:p>
        </w:tc>
        <w:tc>
          <w:tcPr>
            <w:tcW w:w="1156" w:type="dxa"/>
            <w:vAlign w:val="center"/>
          </w:tcPr>
          <w:p w14:paraId="7099E0FB">
            <w:pPr>
              <w:snapToGrid w:val="0"/>
              <w:jc w:val="center"/>
              <w:rPr>
                <w:rFonts w:ascii="Times New Roman" w:eastAsia="仿宋"/>
                <w:szCs w:val="21"/>
              </w:rPr>
            </w:pPr>
            <w:r>
              <w:rPr>
                <w:rFonts w:hint="eastAsia" w:ascii="Times New Roman" w:eastAsia="仿宋"/>
                <w:szCs w:val="21"/>
              </w:rPr>
              <w:t>0.05</w:t>
            </w:r>
          </w:p>
        </w:tc>
      </w:tr>
      <w:tr w14:paraId="6183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2" w:type="pct"/>
            <w:vMerge w:val="continue"/>
            <w:vAlign w:val="center"/>
          </w:tcPr>
          <w:p w14:paraId="4A620029">
            <w:pPr>
              <w:jc w:val="center"/>
              <w:rPr>
                <w:rFonts w:ascii="Times New Roman" w:eastAsia="仿宋"/>
                <w:szCs w:val="21"/>
              </w:rPr>
            </w:pPr>
          </w:p>
        </w:tc>
        <w:tc>
          <w:tcPr>
            <w:tcW w:w="463" w:type="pct"/>
            <w:vMerge w:val="continue"/>
            <w:vAlign w:val="center"/>
          </w:tcPr>
          <w:p w14:paraId="611EE585">
            <w:pPr>
              <w:jc w:val="center"/>
              <w:rPr>
                <w:rFonts w:ascii="Times New Roman" w:eastAsia="仿宋"/>
                <w:szCs w:val="21"/>
              </w:rPr>
            </w:pPr>
          </w:p>
        </w:tc>
        <w:tc>
          <w:tcPr>
            <w:tcW w:w="913" w:type="pct"/>
            <w:vAlign w:val="center"/>
          </w:tcPr>
          <w:p w14:paraId="0F29AE55">
            <w:pPr>
              <w:snapToGrid w:val="0"/>
              <w:jc w:val="center"/>
              <w:rPr>
                <w:rFonts w:ascii="Times New Roman" w:eastAsia="仿宋"/>
                <w:szCs w:val="21"/>
              </w:rPr>
            </w:pPr>
            <w:r>
              <w:rPr>
                <w:rFonts w:hint="eastAsia" w:ascii="Times New Roman" w:eastAsia="仿宋"/>
                <w:szCs w:val="21"/>
              </w:rPr>
              <w:t>废清洗液</w:t>
            </w:r>
          </w:p>
        </w:tc>
        <w:tc>
          <w:tcPr>
            <w:tcW w:w="635" w:type="pct"/>
            <w:vAlign w:val="center"/>
          </w:tcPr>
          <w:p w14:paraId="02EFC8A9">
            <w:pPr>
              <w:snapToGrid w:val="0"/>
              <w:jc w:val="center"/>
              <w:rPr>
                <w:rFonts w:ascii="Times New Roman" w:eastAsia="仿宋"/>
                <w:szCs w:val="21"/>
              </w:rPr>
            </w:pPr>
            <w:r>
              <w:rPr>
                <w:rFonts w:hint="eastAsia" w:ascii="Times New Roman" w:eastAsia="仿宋"/>
                <w:szCs w:val="21"/>
              </w:rPr>
              <w:t>稀释剂</w:t>
            </w:r>
          </w:p>
        </w:tc>
        <w:tc>
          <w:tcPr>
            <w:tcW w:w="598" w:type="pct"/>
            <w:vAlign w:val="center"/>
          </w:tcPr>
          <w:p w14:paraId="38BBB3AF">
            <w:pPr>
              <w:snapToGrid w:val="0"/>
              <w:jc w:val="center"/>
              <w:rPr>
                <w:rFonts w:ascii="Times New Roman" w:eastAsia="仿宋"/>
                <w:szCs w:val="21"/>
              </w:rPr>
            </w:pPr>
            <w:r>
              <w:rPr>
                <w:rFonts w:hint="eastAsia" w:ascii="Times New Roman" w:eastAsia="仿宋"/>
                <w:szCs w:val="21"/>
              </w:rPr>
              <w:t>/</w:t>
            </w:r>
          </w:p>
        </w:tc>
        <w:tc>
          <w:tcPr>
            <w:tcW w:w="775" w:type="pct"/>
            <w:vAlign w:val="center"/>
          </w:tcPr>
          <w:p w14:paraId="1A4FB220">
            <w:pPr>
              <w:snapToGrid w:val="0"/>
              <w:jc w:val="center"/>
              <w:rPr>
                <w:rFonts w:ascii="Times New Roman" w:eastAsia="仿宋"/>
                <w:szCs w:val="21"/>
              </w:rPr>
            </w:pPr>
            <w:r>
              <w:rPr>
                <w:rFonts w:ascii="Times New Roman" w:eastAsia="仿宋"/>
                <w:szCs w:val="21"/>
              </w:rPr>
              <w:t>1.125</w:t>
            </w:r>
          </w:p>
        </w:tc>
        <w:tc>
          <w:tcPr>
            <w:tcW w:w="687" w:type="pct"/>
            <w:vAlign w:val="center"/>
          </w:tcPr>
          <w:p w14:paraId="1A0D2BAE">
            <w:pPr>
              <w:snapToGrid w:val="0"/>
              <w:jc w:val="center"/>
              <w:rPr>
                <w:rFonts w:ascii="Times New Roman" w:eastAsia="仿宋"/>
                <w:szCs w:val="21"/>
              </w:rPr>
            </w:pPr>
            <w:r>
              <w:rPr>
                <w:rFonts w:hint="eastAsia" w:ascii="Times New Roman" w:eastAsia="仿宋"/>
                <w:szCs w:val="21"/>
              </w:rPr>
              <w:t>50</w:t>
            </w:r>
          </w:p>
        </w:tc>
        <w:tc>
          <w:tcPr>
            <w:tcW w:w="1156" w:type="dxa"/>
            <w:vAlign w:val="center"/>
          </w:tcPr>
          <w:p w14:paraId="0F4B5341">
            <w:pPr>
              <w:snapToGrid w:val="0"/>
              <w:jc w:val="center"/>
              <w:rPr>
                <w:rFonts w:ascii="Times New Roman" w:eastAsia="仿宋"/>
                <w:szCs w:val="21"/>
              </w:rPr>
            </w:pPr>
            <w:r>
              <w:rPr>
                <w:rFonts w:hint="eastAsia" w:ascii="Times New Roman" w:eastAsia="仿宋"/>
                <w:szCs w:val="21"/>
              </w:rPr>
              <w:t>0.0225</w:t>
            </w:r>
          </w:p>
        </w:tc>
      </w:tr>
      <w:tr w14:paraId="70BB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23" w:type="pct"/>
            <w:gridSpan w:val="7"/>
            <w:vAlign w:val="center"/>
          </w:tcPr>
          <w:p w14:paraId="1EADD00A">
            <w:pPr>
              <w:snapToGrid w:val="0"/>
              <w:jc w:val="center"/>
              <w:rPr>
                <w:rFonts w:ascii="Times New Roman" w:eastAsia="仿宋"/>
                <w:szCs w:val="21"/>
              </w:rPr>
            </w:pPr>
            <w:r>
              <w:rPr>
                <w:rFonts w:ascii="Times New Roman" w:eastAsia="仿宋"/>
                <w:szCs w:val="21"/>
              </w:rPr>
              <w:t>Q值</w:t>
            </w:r>
          </w:p>
        </w:tc>
        <w:tc>
          <w:tcPr>
            <w:tcW w:w="677" w:type="pct"/>
            <w:vAlign w:val="center"/>
          </w:tcPr>
          <w:p w14:paraId="6CEF1455">
            <w:pPr>
              <w:jc w:val="center"/>
              <w:rPr>
                <w:rFonts w:ascii="Times New Roman" w:eastAsia="仿宋"/>
                <w:szCs w:val="21"/>
              </w:rPr>
            </w:pPr>
            <w:r>
              <w:rPr>
                <w:rFonts w:hint="eastAsia" w:ascii="Times New Roman" w:eastAsia="仿宋"/>
                <w:szCs w:val="21"/>
              </w:rPr>
              <w:t>1</w:t>
            </w:r>
            <w:r>
              <w:rPr>
                <w:rFonts w:ascii="Times New Roman" w:eastAsia="仿宋"/>
                <w:szCs w:val="21"/>
              </w:rPr>
              <w:t>.</w:t>
            </w:r>
            <w:r>
              <w:rPr>
                <w:rFonts w:hint="eastAsia" w:ascii="Times New Roman" w:eastAsia="仿宋"/>
                <w:szCs w:val="21"/>
              </w:rPr>
              <w:t>14</w:t>
            </w:r>
            <w:r>
              <w:rPr>
                <w:rFonts w:ascii="Times New Roman" w:eastAsia="仿宋"/>
                <w:szCs w:val="21"/>
              </w:rPr>
              <w:t>406</w:t>
            </w:r>
          </w:p>
        </w:tc>
      </w:tr>
    </w:tbl>
    <w:p w14:paraId="6C43E224">
      <w:pPr>
        <w:spacing w:line="500" w:lineRule="exact"/>
        <w:ind w:firstLine="552" w:firstLineChars="200"/>
        <w:rPr>
          <w:rFonts w:ascii="Times New Roman" w:eastAsia="仿宋"/>
          <w:spacing w:val="-2"/>
          <w:sz w:val="28"/>
        </w:rPr>
      </w:pPr>
      <w:r>
        <w:rPr>
          <w:rFonts w:ascii="Times New Roman" w:eastAsia="仿宋"/>
          <w:spacing w:val="-2"/>
          <w:sz w:val="28"/>
        </w:rPr>
        <w:t>由上表可知，Q值为</w:t>
      </w:r>
      <w:r>
        <w:rPr>
          <w:rFonts w:hint="eastAsia" w:ascii="Times New Roman" w:eastAsia="仿宋"/>
          <w:spacing w:val="-2"/>
          <w:sz w:val="28"/>
        </w:rPr>
        <w:t>1.14</w:t>
      </w:r>
      <w:r>
        <w:rPr>
          <w:rFonts w:ascii="Times New Roman" w:eastAsia="仿宋"/>
          <w:spacing w:val="-2"/>
          <w:sz w:val="28"/>
        </w:rPr>
        <w:t>406（1≤Q&lt;10），以Q1表示。</w:t>
      </w:r>
    </w:p>
    <w:p w14:paraId="4BAA7224">
      <w:pPr>
        <w:spacing w:line="500" w:lineRule="exact"/>
        <w:ind w:firstLine="552" w:firstLineChars="200"/>
        <w:rPr>
          <w:rFonts w:ascii="Times New Roman" w:eastAsia="仿宋"/>
          <w:spacing w:val="-2"/>
          <w:sz w:val="28"/>
        </w:rPr>
      </w:pPr>
      <w:r>
        <w:rPr>
          <w:rFonts w:hint="eastAsia" w:ascii="Times New Roman" w:eastAsia="仿宋"/>
          <w:spacing w:val="-2"/>
          <w:sz w:val="28"/>
        </w:rPr>
        <w:t>（2）</w:t>
      </w:r>
      <w:r>
        <w:rPr>
          <w:rFonts w:ascii="Times New Roman" w:eastAsia="仿宋"/>
          <w:spacing w:val="-2"/>
          <w:sz w:val="28"/>
        </w:rPr>
        <w:t>行业及生产工艺（M）</w:t>
      </w:r>
    </w:p>
    <w:p w14:paraId="0A457D55">
      <w:pPr>
        <w:spacing w:line="500" w:lineRule="exact"/>
        <w:ind w:firstLine="482" w:firstLineChars="200"/>
        <w:jc w:val="center"/>
        <w:rPr>
          <w:rFonts w:ascii="Times New Roman" w:eastAsia="仿宋"/>
          <w:b/>
        </w:rPr>
      </w:pPr>
      <w:r>
        <w:rPr>
          <w:rFonts w:ascii="Times New Roman" w:eastAsia="仿宋"/>
          <w:b/>
        </w:rPr>
        <w:t>表</w:t>
      </w:r>
      <w:r>
        <w:rPr>
          <w:rFonts w:hint="eastAsia" w:ascii="Times New Roman" w:eastAsia="仿宋"/>
          <w:b/>
        </w:rPr>
        <w:t xml:space="preserve">5.3-4  </w:t>
      </w:r>
      <w:r>
        <w:rPr>
          <w:rFonts w:ascii="Times New Roman" w:eastAsia="仿宋"/>
          <w:b/>
        </w:rPr>
        <w:t>行业及生产工艺</w:t>
      </w:r>
    </w:p>
    <w:tbl>
      <w:tblPr>
        <w:tblStyle w:val="87"/>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6"/>
        <w:gridCol w:w="5389"/>
        <w:gridCol w:w="1284"/>
      </w:tblGrid>
      <w:tr w14:paraId="4E5B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Align w:val="center"/>
          </w:tcPr>
          <w:p w14:paraId="4954CEDB">
            <w:pPr>
              <w:kinsoku w:val="0"/>
              <w:overflowPunct w:val="0"/>
              <w:adjustRightInd w:val="0"/>
              <w:snapToGrid w:val="0"/>
              <w:jc w:val="center"/>
              <w:rPr>
                <w:rFonts w:ascii="Times New Roman" w:eastAsia="仿宋"/>
                <w:szCs w:val="21"/>
              </w:rPr>
            </w:pPr>
            <w:r>
              <w:rPr>
                <w:rFonts w:ascii="Times New Roman" w:eastAsia="仿宋"/>
                <w:szCs w:val="21"/>
              </w:rPr>
              <w:t>行业</w:t>
            </w:r>
          </w:p>
        </w:tc>
        <w:tc>
          <w:tcPr>
            <w:tcW w:w="3216" w:type="pct"/>
            <w:vAlign w:val="center"/>
          </w:tcPr>
          <w:p w14:paraId="1F0D84D9">
            <w:pPr>
              <w:kinsoku w:val="0"/>
              <w:overflowPunct w:val="0"/>
              <w:adjustRightInd w:val="0"/>
              <w:snapToGrid w:val="0"/>
              <w:jc w:val="center"/>
              <w:rPr>
                <w:rFonts w:ascii="Times New Roman" w:eastAsia="仿宋"/>
                <w:szCs w:val="21"/>
              </w:rPr>
            </w:pPr>
            <w:r>
              <w:rPr>
                <w:rFonts w:ascii="Times New Roman" w:eastAsia="仿宋"/>
                <w:szCs w:val="21"/>
              </w:rPr>
              <w:t>评估依据</w:t>
            </w:r>
          </w:p>
        </w:tc>
        <w:tc>
          <w:tcPr>
            <w:tcW w:w="766" w:type="pct"/>
            <w:vAlign w:val="center"/>
          </w:tcPr>
          <w:p w14:paraId="0D90D38B">
            <w:pPr>
              <w:kinsoku w:val="0"/>
              <w:overflowPunct w:val="0"/>
              <w:adjustRightInd w:val="0"/>
              <w:snapToGrid w:val="0"/>
              <w:jc w:val="center"/>
              <w:rPr>
                <w:rFonts w:ascii="Times New Roman" w:eastAsia="仿宋"/>
                <w:szCs w:val="21"/>
              </w:rPr>
            </w:pPr>
            <w:r>
              <w:rPr>
                <w:rFonts w:ascii="Times New Roman" w:eastAsia="仿宋"/>
                <w:szCs w:val="21"/>
              </w:rPr>
              <w:t>分值</w:t>
            </w:r>
          </w:p>
        </w:tc>
      </w:tr>
      <w:tr w14:paraId="3C88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Merge w:val="restart"/>
            <w:vAlign w:val="center"/>
          </w:tcPr>
          <w:p w14:paraId="1FDB85FD">
            <w:pPr>
              <w:kinsoku w:val="0"/>
              <w:overflowPunct w:val="0"/>
              <w:jc w:val="center"/>
              <w:rPr>
                <w:rFonts w:eastAsia="仿宋"/>
                <w:szCs w:val="21"/>
              </w:rPr>
            </w:pPr>
            <w:r>
              <w:rPr>
                <w:rFonts w:eastAsia="仿宋"/>
                <w:szCs w:val="21"/>
              </w:rPr>
              <w:t>石化、化工、医药、轻工、化纤、有色冶炼等</w:t>
            </w:r>
          </w:p>
        </w:tc>
        <w:tc>
          <w:tcPr>
            <w:tcW w:w="3216" w:type="pct"/>
            <w:vAlign w:val="center"/>
          </w:tcPr>
          <w:p w14:paraId="74B771AF">
            <w:pPr>
              <w:kinsoku w:val="0"/>
              <w:overflowPunct w:val="0"/>
              <w:jc w:val="center"/>
              <w:rPr>
                <w:rFonts w:eastAsia="仿宋"/>
                <w:szCs w:val="21"/>
              </w:rPr>
            </w:pPr>
            <w:r>
              <w:rPr>
                <w:rFonts w:eastAsia="仿宋"/>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66" w:type="pct"/>
            <w:vAlign w:val="center"/>
          </w:tcPr>
          <w:p w14:paraId="1714E2A1">
            <w:pPr>
              <w:kinsoku w:val="0"/>
              <w:overflowPunct w:val="0"/>
              <w:jc w:val="center"/>
              <w:rPr>
                <w:rFonts w:eastAsia="仿宋"/>
                <w:szCs w:val="21"/>
              </w:rPr>
            </w:pPr>
            <w:r>
              <w:rPr>
                <w:rFonts w:eastAsia="仿宋"/>
                <w:szCs w:val="21"/>
              </w:rPr>
              <w:t>10/套</w:t>
            </w:r>
          </w:p>
        </w:tc>
      </w:tr>
      <w:tr w14:paraId="3D4B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018" w:type="pct"/>
            <w:vMerge w:val="continue"/>
            <w:vAlign w:val="center"/>
          </w:tcPr>
          <w:p w14:paraId="032DF028">
            <w:pPr>
              <w:widowControl/>
              <w:jc w:val="left"/>
              <w:rPr>
                <w:rFonts w:eastAsia="仿宋"/>
                <w:szCs w:val="21"/>
              </w:rPr>
            </w:pPr>
          </w:p>
        </w:tc>
        <w:tc>
          <w:tcPr>
            <w:tcW w:w="3216" w:type="pct"/>
            <w:vAlign w:val="center"/>
          </w:tcPr>
          <w:p w14:paraId="1FC6733D">
            <w:pPr>
              <w:kinsoku w:val="0"/>
              <w:overflowPunct w:val="0"/>
              <w:jc w:val="center"/>
              <w:rPr>
                <w:rFonts w:eastAsia="仿宋"/>
                <w:szCs w:val="21"/>
              </w:rPr>
            </w:pPr>
            <w:r>
              <w:rPr>
                <w:rFonts w:eastAsia="仿宋"/>
                <w:szCs w:val="21"/>
              </w:rPr>
              <w:t>无机酸制酸工艺、焦化工艺</w:t>
            </w:r>
          </w:p>
        </w:tc>
        <w:tc>
          <w:tcPr>
            <w:tcW w:w="766" w:type="pct"/>
            <w:vAlign w:val="center"/>
          </w:tcPr>
          <w:p w14:paraId="30E2650E">
            <w:pPr>
              <w:kinsoku w:val="0"/>
              <w:overflowPunct w:val="0"/>
              <w:jc w:val="center"/>
              <w:rPr>
                <w:rFonts w:eastAsia="仿宋"/>
                <w:szCs w:val="21"/>
              </w:rPr>
            </w:pPr>
            <w:r>
              <w:rPr>
                <w:rFonts w:eastAsia="仿宋"/>
                <w:szCs w:val="21"/>
              </w:rPr>
              <w:t>5/套</w:t>
            </w:r>
          </w:p>
        </w:tc>
      </w:tr>
      <w:tr w14:paraId="23C5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Merge w:val="continue"/>
            <w:vAlign w:val="center"/>
          </w:tcPr>
          <w:p w14:paraId="557C462D">
            <w:pPr>
              <w:widowControl/>
              <w:jc w:val="left"/>
              <w:rPr>
                <w:rFonts w:eastAsia="仿宋"/>
                <w:szCs w:val="21"/>
              </w:rPr>
            </w:pPr>
          </w:p>
        </w:tc>
        <w:tc>
          <w:tcPr>
            <w:tcW w:w="3216" w:type="pct"/>
            <w:vAlign w:val="center"/>
          </w:tcPr>
          <w:p w14:paraId="2F6F61D8">
            <w:pPr>
              <w:kinsoku w:val="0"/>
              <w:overflowPunct w:val="0"/>
              <w:jc w:val="center"/>
              <w:rPr>
                <w:rFonts w:eastAsia="仿宋"/>
                <w:szCs w:val="21"/>
              </w:rPr>
            </w:pPr>
            <w:r>
              <w:rPr>
                <w:rFonts w:eastAsia="仿宋"/>
                <w:szCs w:val="21"/>
              </w:rPr>
              <w:t>其他高温或高压，且涉及危险物质的工艺过程</w:t>
            </w:r>
            <w:r>
              <w:rPr>
                <w:rFonts w:eastAsia="仿宋"/>
                <w:szCs w:val="21"/>
                <w:vertAlign w:val="superscript"/>
              </w:rPr>
              <w:t>①</w:t>
            </w:r>
            <w:r>
              <w:rPr>
                <w:rFonts w:eastAsia="仿宋"/>
                <w:szCs w:val="21"/>
              </w:rPr>
              <w:t>、危险物质贮存罐区</w:t>
            </w:r>
          </w:p>
        </w:tc>
        <w:tc>
          <w:tcPr>
            <w:tcW w:w="766" w:type="pct"/>
            <w:vAlign w:val="center"/>
          </w:tcPr>
          <w:p w14:paraId="7F37CCFB">
            <w:pPr>
              <w:kinsoku w:val="0"/>
              <w:overflowPunct w:val="0"/>
              <w:jc w:val="center"/>
              <w:rPr>
                <w:rFonts w:eastAsia="仿宋"/>
                <w:szCs w:val="21"/>
              </w:rPr>
            </w:pPr>
            <w:r>
              <w:rPr>
                <w:rFonts w:eastAsia="仿宋"/>
                <w:szCs w:val="21"/>
              </w:rPr>
              <w:t>5/套（罐区）</w:t>
            </w:r>
          </w:p>
        </w:tc>
      </w:tr>
      <w:tr w14:paraId="28F8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Align w:val="center"/>
          </w:tcPr>
          <w:p w14:paraId="5EF41C22">
            <w:pPr>
              <w:kinsoku w:val="0"/>
              <w:overflowPunct w:val="0"/>
              <w:jc w:val="center"/>
              <w:rPr>
                <w:rFonts w:eastAsia="仿宋"/>
                <w:szCs w:val="21"/>
              </w:rPr>
            </w:pPr>
            <w:r>
              <w:rPr>
                <w:rFonts w:eastAsia="仿宋"/>
                <w:szCs w:val="21"/>
              </w:rPr>
              <w:t>管道、港口/码头等</w:t>
            </w:r>
          </w:p>
        </w:tc>
        <w:tc>
          <w:tcPr>
            <w:tcW w:w="3216" w:type="pct"/>
            <w:vAlign w:val="center"/>
          </w:tcPr>
          <w:p w14:paraId="169F9432">
            <w:pPr>
              <w:kinsoku w:val="0"/>
              <w:overflowPunct w:val="0"/>
              <w:jc w:val="center"/>
              <w:rPr>
                <w:rFonts w:eastAsia="仿宋"/>
                <w:szCs w:val="21"/>
              </w:rPr>
            </w:pPr>
            <w:r>
              <w:rPr>
                <w:rFonts w:eastAsia="仿宋"/>
                <w:szCs w:val="21"/>
              </w:rPr>
              <w:t>涉及危险物质管道运输项目、港口/码头等</w:t>
            </w:r>
          </w:p>
        </w:tc>
        <w:tc>
          <w:tcPr>
            <w:tcW w:w="766" w:type="pct"/>
            <w:vAlign w:val="center"/>
          </w:tcPr>
          <w:p w14:paraId="4E76EC51">
            <w:pPr>
              <w:kinsoku w:val="0"/>
              <w:overflowPunct w:val="0"/>
              <w:jc w:val="center"/>
              <w:rPr>
                <w:rFonts w:eastAsia="仿宋"/>
                <w:szCs w:val="21"/>
              </w:rPr>
            </w:pPr>
            <w:r>
              <w:rPr>
                <w:rFonts w:eastAsia="仿宋"/>
                <w:szCs w:val="21"/>
              </w:rPr>
              <w:t>10</w:t>
            </w:r>
          </w:p>
        </w:tc>
      </w:tr>
      <w:tr w14:paraId="5E26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Align w:val="center"/>
          </w:tcPr>
          <w:p w14:paraId="148E6C17">
            <w:pPr>
              <w:kinsoku w:val="0"/>
              <w:overflowPunct w:val="0"/>
              <w:jc w:val="center"/>
              <w:rPr>
                <w:rFonts w:eastAsia="仿宋"/>
                <w:szCs w:val="21"/>
              </w:rPr>
            </w:pPr>
            <w:r>
              <w:rPr>
                <w:rFonts w:eastAsia="仿宋"/>
                <w:szCs w:val="21"/>
              </w:rPr>
              <w:t>石油天然气</w:t>
            </w:r>
          </w:p>
        </w:tc>
        <w:tc>
          <w:tcPr>
            <w:tcW w:w="3216" w:type="pct"/>
            <w:vAlign w:val="center"/>
          </w:tcPr>
          <w:p w14:paraId="3CF5974B">
            <w:pPr>
              <w:kinsoku w:val="0"/>
              <w:overflowPunct w:val="0"/>
              <w:jc w:val="center"/>
              <w:rPr>
                <w:rFonts w:eastAsia="仿宋"/>
                <w:szCs w:val="21"/>
              </w:rPr>
            </w:pPr>
            <w:r>
              <w:rPr>
                <w:rFonts w:eastAsia="仿宋"/>
                <w:szCs w:val="21"/>
              </w:rPr>
              <w:t>石油、天然气、页岩气开采（含净化），气库（不含加气站的气库），油库（不含加气站的油库）、油气管线 ②（不含城镇燃气管线）</w:t>
            </w:r>
          </w:p>
        </w:tc>
        <w:tc>
          <w:tcPr>
            <w:tcW w:w="766" w:type="pct"/>
            <w:vAlign w:val="center"/>
          </w:tcPr>
          <w:p w14:paraId="34301BB9">
            <w:pPr>
              <w:kinsoku w:val="0"/>
              <w:overflowPunct w:val="0"/>
              <w:jc w:val="center"/>
              <w:rPr>
                <w:rFonts w:eastAsia="仿宋"/>
                <w:szCs w:val="21"/>
              </w:rPr>
            </w:pPr>
            <w:r>
              <w:rPr>
                <w:rFonts w:eastAsia="仿宋"/>
                <w:szCs w:val="21"/>
              </w:rPr>
              <w:t>10</w:t>
            </w:r>
          </w:p>
        </w:tc>
      </w:tr>
      <w:tr w14:paraId="5830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18" w:type="pct"/>
            <w:vAlign w:val="center"/>
          </w:tcPr>
          <w:p w14:paraId="1F12F47E">
            <w:pPr>
              <w:kinsoku w:val="0"/>
              <w:overflowPunct w:val="0"/>
              <w:jc w:val="center"/>
              <w:rPr>
                <w:rFonts w:eastAsia="仿宋"/>
                <w:szCs w:val="21"/>
              </w:rPr>
            </w:pPr>
            <w:r>
              <w:rPr>
                <w:rFonts w:eastAsia="仿宋"/>
                <w:szCs w:val="21"/>
              </w:rPr>
              <w:t>其他</w:t>
            </w:r>
          </w:p>
        </w:tc>
        <w:tc>
          <w:tcPr>
            <w:tcW w:w="3216" w:type="pct"/>
            <w:vAlign w:val="center"/>
          </w:tcPr>
          <w:p w14:paraId="63CF83E9">
            <w:pPr>
              <w:kinsoku w:val="0"/>
              <w:overflowPunct w:val="0"/>
              <w:jc w:val="center"/>
              <w:rPr>
                <w:rFonts w:eastAsia="仿宋"/>
                <w:szCs w:val="21"/>
              </w:rPr>
            </w:pPr>
            <w:r>
              <w:rPr>
                <w:rFonts w:eastAsia="仿宋"/>
                <w:szCs w:val="21"/>
              </w:rPr>
              <w:t>涉及危险物质使用、贮存的项目</w:t>
            </w:r>
          </w:p>
        </w:tc>
        <w:tc>
          <w:tcPr>
            <w:tcW w:w="766" w:type="pct"/>
            <w:vAlign w:val="center"/>
          </w:tcPr>
          <w:p w14:paraId="73F3EC98">
            <w:pPr>
              <w:kinsoku w:val="0"/>
              <w:overflowPunct w:val="0"/>
              <w:jc w:val="center"/>
              <w:rPr>
                <w:rFonts w:eastAsia="仿宋"/>
                <w:szCs w:val="21"/>
              </w:rPr>
            </w:pPr>
            <w:r>
              <w:rPr>
                <w:rFonts w:eastAsia="仿宋"/>
                <w:szCs w:val="21"/>
              </w:rPr>
              <w:t>5</w:t>
            </w:r>
          </w:p>
        </w:tc>
      </w:tr>
    </w:tbl>
    <w:p w14:paraId="47C3BE28">
      <w:pPr>
        <w:ind w:firstLine="420"/>
        <w:rPr>
          <w:rFonts w:eastAsia="仿宋"/>
          <w:b/>
          <w:szCs w:val="21"/>
        </w:rPr>
      </w:pPr>
      <w:r>
        <w:rPr>
          <w:rFonts w:eastAsia="仿宋"/>
          <w:b/>
          <w:szCs w:val="21"/>
        </w:rPr>
        <w:t>①高温指工艺温度≥300℃，高压指压力容器的设计压力（P）≥10.0MPa；②长输管道运输项目应按站场、管线分段进行评价。</w:t>
      </w:r>
    </w:p>
    <w:p w14:paraId="7182AE90">
      <w:pPr>
        <w:spacing w:line="500" w:lineRule="exact"/>
        <w:ind w:firstLine="552" w:firstLineChars="200"/>
        <w:rPr>
          <w:rFonts w:ascii="Times New Roman" w:eastAsia="仿宋"/>
          <w:spacing w:val="-2"/>
          <w:sz w:val="28"/>
        </w:rPr>
      </w:pPr>
      <w:r>
        <w:rPr>
          <w:rFonts w:ascii="Times New Roman" w:eastAsia="仿宋"/>
          <w:spacing w:val="-2"/>
          <w:sz w:val="28"/>
        </w:rPr>
        <w:t>按照表C.1评估生产工艺情况。具有多套工艺单元的项目，对每套生产工艺分别评分并求和。将M划分为（1）M&gt;20；（2）10&lt;M≤20；（3）5&lt;M≤10；（4）M=5，分别以M1、M2、M3和M4表示。</w:t>
      </w:r>
    </w:p>
    <w:p w14:paraId="3FF86474">
      <w:pPr>
        <w:spacing w:line="500" w:lineRule="exact"/>
        <w:ind w:firstLine="482" w:firstLineChars="200"/>
        <w:jc w:val="center"/>
        <w:rPr>
          <w:rFonts w:ascii="Times New Roman" w:eastAsia="仿宋"/>
          <w:b/>
        </w:rPr>
      </w:pPr>
      <w:r>
        <w:rPr>
          <w:rFonts w:ascii="Times New Roman" w:eastAsia="仿宋"/>
          <w:b/>
        </w:rPr>
        <w:t>表</w:t>
      </w:r>
      <w:r>
        <w:rPr>
          <w:rFonts w:hint="eastAsia" w:ascii="Times New Roman" w:eastAsia="仿宋"/>
          <w:b/>
        </w:rPr>
        <w:t>5.3-5</w:t>
      </w:r>
      <w:r>
        <w:rPr>
          <w:rFonts w:ascii="Times New Roman" w:eastAsia="仿宋"/>
          <w:b/>
        </w:rPr>
        <w:t xml:space="preserve">  企业生产工艺评估结果表</w:t>
      </w:r>
    </w:p>
    <w:tbl>
      <w:tblPr>
        <w:tblStyle w:val="8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3"/>
        <w:gridCol w:w="1212"/>
        <w:gridCol w:w="2912"/>
        <w:gridCol w:w="2318"/>
        <w:gridCol w:w="1111"/>
      </w:tblGrid>
      <w:tr w14:paraId="64D6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70" w:type="pct"/>
            <w:vAlign w:val="center"/>
          </w:tcPr>
          <w:p w14:paraId="33F09798">
            <w:pPr>
              <w:kinsoku w:val="0"/>
              <w:overflowPunct w:val="0"/>
              <w:adjustRightInd w:val="0"/>
              <w:snapToGrid w:val="0"/>
              <w:jc w:val="center"/>
              <w:rPr>
                <w:rFonts w:ascii="Times New Roman" w:eastAsia="仿宋"/>
                <w:szCs w:val="21"/>
              </w:rPr>
            </w:pPr>
            <w:r>
              <w:rPr>
                <w:rFonts w:ascii="Times New Roman" w:eastAsia="仿宋"/>
                <w:szCs w:val="21"/>
              </w:rPr>
              <w:t>序号</w:t>
            </w:r>
          </w:p>
        </w:tc>
        <w:tc>
          <w:tcPr>
            <w:tcW w:w="727" w:type="pct"/>
            <w:vAlign w:val="center"/>
          </w:tcPr>
          <w:p w14:paraId="7F091932">
            <w:pPr>
              <w:kinsoku w:val="0"/>
              <w:overflowPunct w:val="0"/>
              <w:adjustRightInd w:val="0"/>
              <w:snapToGrid w:val="0"/>
              <w:jc w:val="center"/>
              <w:rPr>
                <w:rFonts w:ascii="Times New Roman" w:eastAsia="仿宋"/>
                <w:szCs w:val="21"/>
              </w:rPr>
            </w:pPr>
            <w:r>
              <w:rPr>
                <w:rFonts w:ascii="Times New Roman" w:eastAsia="仿宋"/>
                <w:szCs w:val="21"/>
              </w:rPr>
              <w:t>行业</w:t>
            </w:r>
          </w:p>
        </w:tc>
        <w:tc>
          <w:tcPr>
            <w:tcW w:w="1746" w:type="pct"/>
            <w:vAlign w:val="center"/>
          </w:tcPr>
          <w:p w14:paraId="230AEB83">
            <w:pPr>
              <w:kinsoku w:val="0"/>
              <w:overflowPunct w:val="0"/>
              <w:adjustRightInd w:val="0"/>
              <w:snapToGrid w:val="0"/>
              <w:jc w:val="center"/>
              <w:rPr>
                <w:rFonts w:ascii="Times New Roman" w:eastAsia="仿宋"/>
                <w:szCs w:val="21"/>
              </w:rPr>
            </w:pPr>
            <w:r>
              <w:rPr>
                <w:rFonts w:ascii="Times New Roman" w:eastAsia="仿宋"/>
                <w:szCs w:val="21"/>
              </w:rPr>
              <w:t>生产工艺</w:t>
            </w:r>
          </w:p>
        </w:tc>
        <w:tc>
          <w:tcPr>
            <w:tcW w:w="1387" w:type="pct"/>
            <w:vAlign w:val="center"/>
          </w:tcPr>
          <w:p w14:paraId="0457B345">
            <w:pPr>
              <w:kinsoku w:val="0"/>
              <w:overflowPunct w:val="0"/>
              <w:adjustRightInd w:val="0"/>
              <w:snapToGrid w:val="0"/>
              <w:jc w:val="center"/>
              <w:rPr>
                <w:rFonts w:ascii="Times New Roman" w:eastAsia="仿宋"/>
                <w:szCs w:val="21"/>
              </w:rPr>
            </w:pPr>
            <w:r>
              <w:rPr>
                <w:rFonts w:ascii="Times New Roman" w:eastAsia="仿宋"/>
                <w:szCs w:val="21"/>
              </w:rPr>
              <w:t>数量/套（罐区）</w:t>
            </w:r>
          </w:p>
        </w:tc>
        <w:tc>
          <w:tcPr>
            <w:tcW w:w="666" w:type="pct"/>
            <w:vAlign w:val="center"/>
          </w:tcPr>
          <w:p w14:paraId="7A63A033">
            <w:pPr>
              <w:kinsoku w:val="0"/>
              <w:overflowPunct w:val="0"/>
              <w:adjustRightInd w:val="0"/>
              <w:snapToGrid w:val="0"/>
              <w:jc w:val="center"/>
              <w:rPr>
                <w:rFonts w:ascii="Times New Roman" w:eastAsia="仿宋"/>
                <w:szCs w:val="21"/>
              </w:rPr>
            </w:pPr>
            <w:r>
              <w:rPr>
                <w:rFonts w:ascii="Times New Roman" w:eastAsia="仿宋"/>
                <w:szCs w:val="21"/>
              </w:rPr>
              <w:t>M分值</w:t>
            </w:r>
          </w:p>
        </w:tc>
      </w:tr>
      <w:tr w14:paraId="69DD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70" w:type="pct"/>
            <w:vAlign w:val="center"/>
          </w:tcPr>
          <w:p w14:paraId="3CC7E9F2">
            <w:pPr>
              <w:kinsoku w:val="0"/>
              <w:overflowPunct w:val="0"/>
              <w:jc w:val="center"/>
              <w:rPr>
                <w:rFonts w:eastAsia="仿宋"/>
                <w:szCs w:val="21"/>
              </w:rPr>
            </w:pPr>
            <w:r>
              <w:rPr>
                <w:rFonts w:eastAsia="仿宋"/>
                <w:szCs w:val="21"/>
              </w:rPr>
              <w:t>1</w:t>
            </w:r>
          </w:p>
        </w:tc>
        <w:tc>
          <w:tcPr>
            <w:tcW w:w="727" w:type="pct"/>
            <w:vAlign w:val="center"/>
          </w:tcPr>
          <w:p w14:paraId="2459FC8E">
            <w:pPr>
              <w:kinsoku w:val="0"/>
              <w:overflowPunct w:val="0"/>
              <w:jc w:val="center"/>
              <w:rPr>
                <w:rFonts w:eastAsia="仿宋"/>
                <w:szCs w:val="21"/>
              </w:rPr>
            </w:pPr>
            <w:r>
              <w:rPr>
                <w:rFonts w:eastAsia="仿宋"/>
                <w:szCs w:val="21"/>
              </w:rPr>
              <w:t>其他</w:t>
            </w:r>
          </w:p>
        </w:tc>
        <w:tc>
          <w:tcPr>
            <w:tcW w:w="1746" w:type="pct"/>
            <w:vAlign w:val="center"/>
          </w:tcPr>
          <w:p w14:paraId="19B41465">
            <w:pPr>
              <w:kinsoku w:val="0"/>
              <w:overflowPunct w:val="0"/>
              <w:jc w:val="center"/>
              <w:rPr>
                <w:rFonts w:eastAsia="仿宋"/>
                <w:szCs w:val="21"/>
              </w:rPr>
            </w:pPr>
            <w:r>
              <w:rPr>
                <w:rFonts w:eastAsia="仿宋"/>
                <w:szCs w:val="21"/>
              </w:rPr>
              <w:t>涉及危险物质使用、贮存的项目</w:t>
            </w:r>
          </w:p>
        </w:tc>
        <w:tc>
          <w:tcPr>
            <w:tcW w:w="1387" w:type="pct"/>
            <w:vAlign w:val="center"/>
          </w:tcPr>
          <w:p w14:paraId="048344D8">
            <w:pPr>
              <w:kinsoku w:val="0"/>
              <w:overflowPunct w:val="0"/>
              <w:jc w:val="center"/>
              <w:rPr>
                <w:rFonts w:eastAsia="仿宋"/>
                <w:szCs w:val="21"/>
              </w:rPr>
            </w:pPr>
            <w:r>
              <w:rPr>
                <w:rFonts w:eastAsia="仿宋"/>
                <w:szCs w:val="21"/>
              </w:rPr>
              <w:t>5</w:t>
            </w:r>
          </w:p>
        </w:tc>
        <w:tc>
          <w:tcPr>
            <w:tcW w:w="666" w:type="pct"/>
            <w:vAlign w:val="center"/>
          </w:tcPr>
          <w:p w14:paraId="23513D9D">
            <w:pPr>
              <w:kinsoku w:val="0"/>
              <w:overflowPunct w:val="0"/>
              <w:jc w:val="center"/>
              <w:rPr>
                <w:rFonts w:eastAsia="仿宋"/>
                <w:szCs w:val="21"/>
              </w:rPr>
            </w:pPr>
            <w:r>
              <w:rPr>
                <w:rFonts w:hint="eastAsia" w:eastAsia="仿宋"/>
                <w:szCs w:val="21"/>
              </w:rPr>
              <w:t>5</w:t>
            </w:r>
          </w:p>
        </w:tc>
      </w:tr>
      <w:tr w14:paraId="3D89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3" w:type="pct"/>
            <w:gridSpan w:val="4"/>
            <w:vAlign w:val="center"/>
          </w:tcPr>
          <w:p w14:paraId="43B05BD1">
            <w:pPr>
              <w:kinsoku w:val="0"/>
              <w:overflowPunct w:val="0"/>
              <w:jc w:val="center"/>
              <w:rPr>
                <w:rFonts w:eastAsia="仿宋"/>
                <w:szCs w:val="21"/>
              </w:rPr>
            </w:pPr>
            <w:r>
              <w:rPr>
                <w:rFonts w:eastAsia="仿宋"/>
                <w:szCs w:val="21"/>
              </w:rPr>
              <w:t>项目 M值 Σ</w:t>
            </w:r>
          </w:p>
        </w:tc>
        <w:tc>
          <w:tcPr>
            <w:tcW w:w="666" w:type="pct"/>
            <w:vAlign w:val="center"/>
          </w:tcPr>
          <w:p w14:paraId="05FF412F">
            <w:pPr>
              <w:kinsoku w:val="0"/>
              <w:overflowPunct w:val="0"/>
              <w:jc w:val="center"/>
              <w:rPr>
                <w:rFonts w:eastAsia="仿宋"/>
                <w:szCs w:val="21"/>
              </w:rPr>
            </w:pPr>
            <w:r>
              <w:rPr>
                <w:rFonts w:hint="eastAsia" w:eastAsia="仿宋"/>
                <w:szCs w:val="21"/>
              </w:rPr>
              <w:t>5</w:t>
            </w:r>
          </w:p>
        </w:tc>
      </w:tr>
    </w:tbl>
    <w:p w14:paraId="1737F44C">
      <w:pPr>
        <w:spacing w:line="500" w:lineRule="exact"/>
        <w:ind w:firstLine="552" w:firstLineChars="200"/>
        <w:rPr>
          <w:rFonts w:ascii="Times New Roman" w:eastAsia="仿宋"/>
          <w:spacing w:val="-2"/>
          <w:sz w:val="28"/>
        </w:rPr>
      </w:pPr>
      <w:r>
        <w:rPr>
          <w:rFonts w:ascii="Times New Roman" w:eastAsia="仿宋"/>
          <w:spacing w:val="-2"/>
          <w:sz w:val="28"/>
        </w:rPr>
        <w:t>由上表可知，M值为</w:t>
      </w:r>
      <w:r>
        <w:rPr>
          <w:rFonts w:hint="eastAsia" w:ascii="Times New Roman" w:eastAsia="仿宋"/>
          <w:spacing w:val="-2"/>
          <w:sz w:val="28"/>
        </w:rPr>
        <w:t>5</w:t>
      </w:r>
      <w:r>
        <w:rPr>
          <w:rFonts w:ascii="Times New Roman" w:eastAsia="仿宋"/>
          <w:spacing w:val="-2"/>
          <w:sz w:val="28"/>
        </w:rPr>
        <w:t>，以M</w:t>
      </w:r>
      <w:r>
        <w:rPr>
          <w:rFonts w:hint="eastAsia" w:ascii="Times New Roman" w:eastAsia="仿宋"/>
          <w:spacing w:val="-2"/>
          <w:sz w:val="28"/>
        </w:rPr>
        <w:t>4</w:t>
      </w:r>
      <w:r>
        <w:rPr>
          <w:rFonts w:ascii="Times New Roman" w:eastAsia="仿宋"/>
          <w:spacing w:val="-2"/>
          <w:sz w:val="28"/>
        </w:rPr>
        <w:t>表示。</w:t>
      </w:r>
    </w:p>
    <w:p w14:paraId="32CC1790">
      <w:pPr>
        <w:spacing w:line="500" w:lineRule="exact"/>
        <w:ind w:firstLine="482" w:firstLineChars="200"/>
        <w:jc w:val="center"/>
        <w:rPr>
          <w:rFonts w:ascii="Times New Roman" w:eastAsia="仿宋"/>
          <w:b/>
        </w:rPr>
      </w:pPr>
      <w:r>
        <w:rPr>
          <w:rFonts w:ascii="Times New Roman" w:eastAsia="仿宋"/>
          <w:b/>
        </w:rPr>
        <w:t>表</w:t>
      </w:r>
      <w:r>
        <w:rPr>
          <w:rFonts w:hint="eastAsia" w:ascii="Times New Roman" w:eastAsia="仿宋"/>
          <w:b/>
        </w:rPr>
        <w:t>5.3-6</w:t>
      </w:r>
      <w:r>
        <w:rPr>
          <w:rFonts w:ascii="Times New Roman" w:eastAsia="仿宋"/>
          <w:b/>
        </w:rPr>
        <w:t xml:space="preserve">  危险物质及工艺系统危险性等级判断（P）</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23"/>
        <w:gridCol w:w="1598"/>
        <w:gridCol w:w="1600"/>
        <w:gridCol w:w="1600"/>
        <w:gridCol w:w="1595"/>
      </w:tblGrid>
      <w:tr w14:paraId="47A5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Merge w:val="restart"/>
            <w:vAlign w:val="center"/>
          </w:tcPr>
          <w:p w14:paraId="0B8B4DD2">
            <w:pPr>
              <w:kinsoku w:val="0"/>
              <w:overflowPunct w:val="0"/>
              <w:adjustRightInd w:val="0"/>
              <w:snapToGrid w:val="0"/>
              <w:jc w:val="center"/>
              <w:rPr>
                <w:rFonts w:ascii="Times New Roman" w:eastAsia="仿宋"/>
                <w:szCs w:val="21"/>
              </w:rPr>
            </w:pPr>
            <w:r>
              <w:rPr>
                <w:rFonts w:ascii="Times New Roman" w:eastAsia="仿宋"/>
                <w:szCs w:val="21"/>
              </w:rPr>
              <w:t>危险物质数量与临界量比值（Q）</w:t>
            </w:r>
          </w:p>
        </w:tc>
        <w:tc>
          <w:tcPr>
            <w:tcW w:w="3844" w:type="pct"/>
            <w:gridSpan w:val="4"/>
            <w:vAlign w:val="center"/>
          </w:tcPr>
          <w:p w14:paraId="34BB3A04">
            <w:pPr>
              <w:kinsoku w:val="0"/>
              <w:overflowPunct w:val="0"/>
              <w:adjustRightInd w:val="0"/>
              <w:snapToGrid w:val="0"/>
              <w:jc w:val="center"/>
              <w:rPr>
                <w:rFonts w:ascii="Times New Roman" w:eastAsia="仿宋"/>
                <w:szCs w:val="21"/>
              </w:rPr>
            </w:pPr>
            <w:r>
              <w:rPr>
                <w:rFonts w:ascii="Times New Roman" w:eastAsia="仿宋"/>
                <w:szCs w:val="21"/>
              </w:rPr>
              <w:t>行业及生产工艺（M）</w:t>
            </w:r>
          </w:p>
        </w:tc>
      </w:tr>
      <w:tr w14:paraId="74C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Merge w:val="continue"/>
            <w:vAlign w:val="center"/>
          </w:tcPr>
          <w:p w14:paraId="77649751">
            <w:pPr>
              <w:kinsoku w:val="0"/>
              <w:overflowPunct w:val="0"/>
              <w:adjustRightInd w:val="0"/>
              <w:snapToGrid w:val="0"/>
              <w:jc w:val="center"/>
              <w:rPr>
                <w:rFonts w:ascii="Times New Roman" w:eastAsia="仿宋"/>
                <w:szCs w:val="21"/>
              </w:rPr>
            </w:pPr>
          </w:p>
        </w:tc>
        <w:tc>
          <w:tcPr>
            <w:tcW w:w="961" w:type="pct"/>
            <w:vAlign w:val="center"/>
          </w:tcPr>
          <w:p w14:paraId="02CDAAD4">
            <w:pPr>
              <w:kinsoku w:val="0"/>
              <w:overflowPunct w:val="0"/>
              <w:adjustRightInd w:val="0"/>
              <w:snapToGrid w:val="0"/>
              <w:jc w:val="center"/>
              <w:rPr>
                <w:rFonts w:ascii="Times New Roman" w:eastAsia="仿宋"/>
                <w:szCs w:val="21"/>
              </w:rPr>
            </w:pPr>
            <w:r>
              <w:rPr>
                <w:rFonts w:ascii="Times New Roman" w:eastAsia="仿宋"/>
                <w:szCs w:val="21"/>
              </w:rPr>
              <w:t>M1</w:t>
            </w:r>
          </w:p>
        </w:tc>
        <w:tc>
          <w:tcPr>
            <w:tcW w:w="962" w:type="pct"/>
            <w:vAlign w:val="center"/>
          </w:tcPr>
          <w:p w14:paraId="4A7FEF94">
            <w:pPr>
              <w:kinsoku w:val="0"/>
              <w:overflowPunct w:val="0"/>
              <w:adjustRightInd w:val="0"/>
              <w:snapToGrid w:val="0"/>
              <w:jc w:val="center"/>
              <w:rPr>
                <w:rFonts w:ascii="Times New Roman" w:eastAsia="仿宋"/>
                <w:szCs w:val="21"/>
              </w:rPr>
            </w:pPr>
            <w:r>
              <w:rPr>
                <w:rFonts w:ascii="Times New Roman" w:eastAsia="仿宋"/>
                <w:szCs w:val="21"/>
              </w:rPr>
              <w:t>M2</w:t>
            </w:r>
          </w:p>
        </w:tc>
        <w:tc>
          <w:tcPr>
            <w:tcW w:w="962" w:type="pct"/>
            <w:vAlign w:val="center"/>
          </w:tcPr>
          <w:p w14:paraId="1B51D457">
            <w:pPr>
              <w:kinsoku w:val="0"/>
              <w:overflowPunct w:val="0"/>
              <w:adjustRightInd w:val="0"/>
              <w:snapToGrid w:val="0"/>
              <w:jc w:val="center"/>
              <w:rPr>
                <w:rFonts w:ascii="Times New Roman" w:eastAsia="仿宋"/>
                <w:szCs w:val="21"/>
              </w:rPr>
            </w:pPr>
            <w:r>
              <w:rPr>
                <w:rFonts w:ascii="Times New Roman" w:eastAsia="仿宋"/>
                <w:szCs w:val="21"/>
              </w:rPr>
              <w:t>M3</w:t>
            </w:r>
          </w:p>
        </w:tc>
        <w:tc>
          <w:tcPr>
            <w:tcW w:w="959" w:type="pct"/>
            <w:vAlign w:val="center"/>
          </w:tcPr>
          <w:p w14:paraId="53D85267">
            <w:pPr>
              <w:kinsoku w:val="0"/>
              <w:overflowPunct w:val="0"/>
              <w:adjustRightInd w:val="0"/>
              <w:snapToGrid w:val="0"/>
              <w:jc w:val="center"/>
              <w:rPr>
                <w:rFonts w:ascii="Times New Roman" w:eastAsia="仿宋"/>
                <w:szCs w:val="21"/>
              </w:rPr>
            </w:pPr>
            <w:r>
              <w:rPr>
                <w:rFonts w:ascii="Times New Roman" w:eastAsia="仿宋"/>
                <w:szCs w:val="21"/>
              </w:rPr>
              <w:t>M4</w:t>
            </w:r>
          </w:p>
        </w:tc>
      </w:tr>
      <w:tr w14:paraId="2493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Align w:val="center"/>
          </w:tcPr>
          <w:p w14:paraId="53A3F42F">
            <w:pPr>
              <w:kinsoku w:val="0"/>
              <w:overflowPunct w:val="0"/>
              <w:jc w:val="center"/>
              <w:rPr>
                <w:rFonts w:ascii="Times New Roman" w:eastAsia="仿宋"/>
                <w:szCs w:val="21"/>
              </w:rPr>
            </w:pPr>
            <w:r>
              <w:rPr>
                <w:rFonts w:ascii="Times New Roman" w:eastAsia="仿宋"/>
                <w:i/>
                <w:iCs/>
                <w:szCs w:val="21"/>
              </w:rPr>
              <w:t>Q</w:t>
            </w:r>
            <w:r>
              <w:rPr>
                <w:rFonts w:ascii="Times New Roman" w:eastAsia="仿宋"/>
                <w:szCs w:val="21"/>
              </w:rPr>
              <w:t>≥100</w:t>
            </w:r>
          </w:p>
        </w:tc>
        <w:tc>
          <w:tcPr>
            <w:tcW w:w="961" w:type="pct"/>
            <w:vAlign w:val="center"/>
          </w:tcPr>
          <w:p w14:paraId="682BFA4A">
            <w:pPr>
              <w:kinsoku w:val="0"/>
              <w:overflowPunct w:val="0"/>
              <w:jc w:val="center"/>
              <w:rPr>
                <w:rFonts w:ascii="Times New Roman" w:eastAsia="仿宋"/>
                <w:szCs w:val="21"/>
              </w:rPr>
            </w:pPr>
            <w:r>
              <w:rPr>
                <w:rFonts w:ascii="Times New Roman" w:eastAsia="仿宋"/>
                <w:spacing w:val="3"/>
                <w:szCs w:val="21"/>
              </w:rPr>
              <w:t>P1</w:t>
            </w:r>
          </w:p>
        </w:tc>
        <w:tc>
          <w:tcPr>
            <w:tcW w:w="962" w:type="pct"/>
            <w:vAlign w:val="center"/>
          </w:tcPr>
          <w:p w14:paraId="4075DDB1">
            <w:pPr>
              <w:kinsoku w:val="0"/>
              <w:overflowPunct w:val="0"/>
              <w:jc w:val="center"/>
              <w:rPr>
                <w:rFonts w:ascii="Times New Roman" w:eastAsia="仿宋"/>
                <w:spacing w:val="3"/>
                <w:szCs w:val="21"/>
              </w:rPr>
            </w:pPr>
            <w:r>
              <w:rPr>
                <w:rFonts w:ascii="Times New Roman" w:eastAsia="仿宋"/>
                <w:spacing w:val="3"/>
                <w:szCs w:val="21"/>
              </w:rPr>
              <w:t>P1</w:t>
            </w:r>
          </w:p>
        </w:tc>
        <w:tc>
          <w:tcPr>
            <w:tcW w:w="962" w:type="pct"/>
            <w:vAlign w:val="center"/>
          </w:tcPr>
          <w:p w14:paraId="006D1BD7">
            <w:pPr>
              <w:kinsoku w:val="0"/>
              <w:overflowPunct w:val="0"/>
              <w:jc w:val="center"/>
              <w:rPr>
                <w:rFonts w:ascii="Times New Roman" w:eastAsia="仿宋"/>
                <w:szCs w:val="21"/>
              </w:rPr>
            </w:pPr>
            <w:r>
              <w:rPr>
                <w:rFonts w:ascii="Times New Roman" w:eastAsia="仿宋"/>
                <w:spacing w:val="3"/>
                <w:szCs w:val="21"/>
              </w:rPr>
              <w:t>P2</w:t>
            </w:r>
          </w:p>
        </w:tc>
        <w:tc>
          <w:tcPr>
            <w:tcW w:w="959" w:type="pct"/>
            <w:vAlign w:val="center"/>
          </w:tcPr>
          <w:p w14:paraId="4F969F5C">
            <w:pPr>
              <w:kinsoku w:val="0"/>
              <w:overflowPunct w:val="0"/>
              <w:jc w:val="center"/>
              <w:rPr>
                <w:rFonts w:ascii="Times New Roman" w:eastAsia="仿宋"/>
                <w:szCs w:val="21"/>
              </w:rPr>
            </w:pPr>
            <w:r>
              <w:rPr>
                <w:rFonts w:ascii="Times New Roman" w:eastAsia="仿宋"/>
                <w:spacing w:val="3"/>
                <w:szCs w:val="21"/>
              </w:rPr>
              <w:t>P3</w:t>
            </w:r>
          </w:p>
        </w:tc>
      </w:tr>
      <w:tr w14:paraId="233C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Align w:val="center"/>
          </w:tcPr>
          <w:p w14:paraId="5CDA9B96">
            <w:pPr>
              <w:kinsoku w:val="0"/>
              <w:overflowPunct w:val="0"/>
              <w:jc w:val="center"/>
              <w:rPr>
                <w:rFonts w:ascii="Times New Roman" w:eastAsia="仿宋"/>
                <w:szCs w:val="21"/>
              </w:rPr>
            </w:pPr>
            <w:r>
              <w:rPr>
                <w:rFonts w:ascii="Times New Roman" w:eastAsia="仿宋"/>
                <w:szCs w:val="21"/>
              </w:rPr>
              <w:t>10≤</w:t>
            </w:r>
            <w:r>
              <w:rPr>
                <w:rFonts w:ascii="Times New Roman" w:eastAsia="仿宋"/>
                <w:i/>
                <w:iCs/>
                <w:szCs w:val="21"/>
              </w:rPr>
              <w:t>Q</w:t>
            </w:r>
            <w:r>
              <w:rPr>
                <w:rFonts w:ascii="Times New Roman" w:eastAsia="仿宋"/>
                <w:szCs w:val="21"/>
              </w:rPr>
              <w:t>＜100</w:t>
            </w:r>
          </w:p>
        </w:tc>
        <w:tc>
          <w:tcPr>
            <w:tcW w:w="961" w:type="pct"/>
            <w:vAlign w:val="center"/>
          </w:tcPr>
          <w:p w14:paraId="3B0A2978">
            <w:pPr>
              <w:kinsoku w:val="0"/>
              <w:overflowPunct w:val="0"/>
              <w:jc w:val="center"/>
              <w:rPr>
                <w:rFonts w:ascii="Times New Roman" w:eastAsia="仿宋"/>
                <w:szCs w:val="21"/>
              </w:rPr>
            </w:pPr>
            <w:r>
              <w:rPr>
                <w:rFonts w:ascii="Times New Roman" w:eastAsia="仿宋"/>
                <w:bCs/>
                <w:spacing w:val="3"/>
                <w:szCs w:val="21"/>
              </w:rPr>
              <w:t>P1</w:t>
            </w:r>
          </w:p>
        </w:tc>
        <w:tc>
          <w:tcPr>
            <w:tcW w:w="962" w:type="pct"/>
            <w:vAlign w:val="center"/>
          </w:tcPr>
          <w:p w14:paraId="19A7F1A3">
            <w:pPr>
              <w:kinsoku w:val="0"/>
              <w:overflowPunct w:val="0"/>
              <w:jc w:val="center"/>
              <w:rPr>
                <w:rFonts w:ascii="Times New Roman" w:eastAsia="仿宋"/>
                <w:szCs w:val="21"/>
              </w:rPr>
            </w:pPr>
            <w:r>
              <w:rPr>
                <w:rFonts w:ascii="Times New Roman" w:eastAsia="仿宋"/>
                <w:spacing w:val="3"/>
                <w:szCs w:val="21"/>
              </w:rPr>
              <w:t>P2</w:t>
            </w:r>
          </w:p>
        </w:tc>
        <w:tc>
          <w:tcPr>
            <w:tcW w:w="962" w:type="pct"/>
            <w:vAlign w:val="center"/>
          </w:tcPr>
          <w:p w14:paraId="5F56D2BD">
            <w:pPr>
              <w:kinsoku w:val="0"/>
              <w:overflowPunct w:val="0"/>
              <w:jc w:val="center"/>
              <w:rPr>
                <w:rFonts w:ascii="Times New Roman" w:eastAsia="仿宋"/>
                <w:szCs w:val="21"/>
              </w:rPr>
            </w:pPr>
            <w:r>
              <w:rPr>
                <w:rFonts w:ascii="Times New Roman" w:eastAsia="仿宋"/>
                <w:spacing w:val="3"/>
                <w:szCs w:val="21"/>
              </w:rPr>
              <w:t>P3</w:t>
            </w:r>
          </w:p>
        </w:tc>
        <w:tc>
          <w:tcPr>
            <w:tcW w:w="959" w:type="pct"/>
            <w:vAlign w:val="center"/>
          </w:tcPr>
          <w:p w14:paraId="2F141C4C">
            <w:pPr>
              <w:kinsoku w:val="0"/>
              <w:overflowPunct w:val="0"/>
              <w:jc w:val="center"/>
              <w:rPr>
                <w:rFonts w:ascii="Times New Roman" w:eastAsia="仿宋"/>
                <w:szCs w:val="21"/>
              </w:rPr>
            </w:pPr>
            <w:r>
              <w:rPr>
                <w:rFonts w:ascii="Times New Roman" w:eastAsia="仿宋"/>
                <w:spacing w:val="3"/>
                <w:szCs w:val="21"/>
              </w:rPr>
              <w:t>P4</w:t>
            </w:r>
          </w:p>
        </w:tc>
      </w:tr>
      <w:tr w14:paraId="78D0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shd w:val="clear" w:color="auto" w:fill="auto"/>
            <w:vAlign w:val="center"/>
          </w:tcPr>
          <w:p w14:paraId="6BAA5A72">
            <w:pPr>
              <w:kinsoku w:val="0"/>
              <w:overflowPunct w:val="0"/>
              <w:jc w:val="center"/>
              <w:rPr>
                <w:rFonts w:ascii="Times New Roman" w:eastAsia="仿宋"/>
                <w:szCs w:val="21"/>
              </w:rPr>
            </w:pPr>
            <w:r>
              <w:rPr>
                <w:rFonts w:ascii="Times New Roman" w:eastAsia="仿宋"/>
                <w:szCs w:val="21"/>
              </w:rPr>
              <w:t>1≤</w:t>
            </w:r>
            <w:r>
              <w:rPr>
                <w:rFonts w:ascii="Times New Roman" w:eastAsia="仿宋"/>
                <w:i/>
                <w:iCs/>
                <w:szCs w:val="21"/>
              </w:rPr>
              <w:t>Q</w:t>
            </w:r>
            <w:r>
              <w:rPr>
                <w:rFonts w:ascii="Times New Roman" w:eastAsia="仿宋"/>
                <w:szCs w:val="21"/>
              </w:rPr>
              <w:t>＜10</w:t>
            </w:r>
          </w:p>
        </w:tc>
        <w:tc>
          <w:tcPr>
            <w:tcW w:w="961" w:type="pct"/>
            <w:shd w:val="clear" w:color="auto" w:fill="auto"/>
            <w:vAlign w:val="center"/>
          </w:tcPr>
          <w:p w14:paraId="09634CAB">
            <w:pPr>
              <w:kinsoku w:val="0"/>
              <w:overflowPunct w:val="0"/>
              <w:jc w:val="center"/>
              <w:rPr>
                <w:rFonts w:ascii="Times New Roman" w:eastAsia="仿宋"/>
                <w:szCs w:val="21"/>
              </w:rPr>
            </w:pPr>
            <w:r>
              <w:rPr>
                <w:rFonts w:ascii="Times New Roman" w:eastAsia="仿宋"/>
                <w:spacing w:val="3"/>
                <w:szCs w:val="21"/>
              </w:rPr>
              <w:t>P2</w:t>
            </w:r>
          </w:p>
        </w:tc>
        <w:tc>
          <w:tcPr>
            <w:tcW w:w="962" w:type="pct"/>
            <w:shd w:val="clear" w:color="auto" w:fill="auto"/>
            <w:vAlign w:val="center"/>
          </w:tcPr>
          <w:p w14:paraId="2B255010">
            <w:pPr>
              <w:kinsoku w:val="0"/>
              <w:overflowPunct w:val="0"/>
              <w:jc w:val="center"/>
              <w:rPr>
                <w:rFonts w:ascii="Times New Roman" w:eastAsia="仿宋"/>
                <w:szCs w:val="21"/>
              </w:rPr>
            </w:pPr>
            <w:r>
              <w:rPr>
                <w:rFonts w:ascii="Times New Roman" w:eastAsia="仿宋"/>
                <w:spacing w:val="3"/>
                <w:szCs w:val="21"/>
              </w:rPr>
              <w:t>P3</w:t>
            </w:r>
          </w:p>
        </w:tc>
        <w:tc>
          <w:tcPr>
            <w:tcW w:w="962" w:type="pct"/>
            <w:shd w:val="clear" w:color="auto" w:fill="auto"/>
            <w:vAlign w:val="center"/>
          </w:tcPr>
          <w:p w14:paraId="35E4F66D">
            <w:pPr>
              <w:kinsoku w:val="0"/>
              <w:overflowPunct w:val="0"/>
              <w:jc w:val="center"/>
              <w:rPr>
                <w:rFonts w:ascii="Times New Roman" w:eastAsia="仿宋"/>
                <w:szCs w:val="21"/>
              </w:rPr>
            </w:pPr>
            <w:r>
              <w:rPr>
                <w:rFonts w:ascii="Times New Roman" w:eastAsia="仿宋"/>
                <w:spacing w:val="3"/>
                <w:szCs w:val="21"/>
              </w:rPr>
              <w:t>P4</w:t>
            </w:r>
          </w:p>
        </w:tc>
        <w:tc>
          <w:tcPr>
            <w:tcW w:w="959" w:type="pct"/>
            <w:shd w:val="clear" w:color="auto" w:fill="A4A4A4"/>
            <w:vAlign w:val="center"/>
          </w:tcPr>
          <w:p w14:paraId="6EF58A54">
            <w:pPr>
              <w:kinsoku w:val="0"/>
              <w:overflowPunct w:val="0"/>
              <w:jc w:val="center"/>
              <w:rPr>
                <w:rFonts w:ascii="Times New Roman" w:eastAsia="仿宋"/>
                <w:szCs w:val="21"/>
              </w:rPr>
            </w:pPr>
            <w:r>
              <w:rPr>
                <w:rFonts w:ascii="Times New Roman" w:eastAsia="仿宋"/>
                <w:spacing w:val="3"/>
                <w:szCs w:val="21"/>
                <w:shd w:val="clear" w:color="auto" w:fill="A4A4A4"/>
              </w:rPr>
              <w:t>P4</w:t>
            </w:r>
          </w:p>
        </w:tc>
      </w:tr>
    </w:tbl>
    <w:p w14:paraId="18218F5D">
      <w:pPr>
        <w:pStyle w:val="35"/>
        <w:spacing w:line="500" w:lineRule="exact"/>
        <w:ind w:firstLine="560" w:firstLineChars="200"/>
        <w:rPr>
          <w:rFonts w:eastAsia="仿宋"/>
          <w:sz w:val="28"/>
          <w:szCs w:val="28"/>
        </w:rPr>
      </w:pPr>
      <w:r>
        <w:rPr>
          <w:rFonts w:eastAsia="仿宋"/>
          <w:sz w:val="28"/>
          <w:szCs w:val="28"/>
        </w:rPr>
        <w:t>综上，企业危险物质及工艺系统危险性等级为P</w:t>
      </w:r>
      <w:r>
        <w:rPr>
          <w:rFonts w:hint="eastAsia" w:eastAsia="仿宋"/>
          <w:sz w:val="28"/>
          <w:szCs w:val="28"/>
        </w:rPr>
        <w:t>4</w:t>
      </w:r>
      <w:r>
        <w:rPr>
          <w:rFonts w:eastAsia="仿宋"/>
          <w:sz w:val="28"/>
          <w:szCs w:val="28"/>
        </w:rPr>
        <w:t>。</w:t>
      </w:r>
    </w:p>
    <w:p w14:paraId="28674E64">
      <w:pPr>
        <w:pStyle w:val="7"/>
        <w:keepLines w:val="0"/>
        <w:widowControl/>
        <w:adjustRightInd w:val="0"/>
        <w:snapToGrid w:val="0"/>
        <w:spacing w:after="120" w:afterLines="50"/>
        <w:jc w:val="left"/>
        <w:rPr>
          <w:rFonts w:ascii="Times New Roman" w:hAnsi="Times New Roman" w:eastAsia="仿宋"/>
          <w:b/>
        </w:rPr>
      </w:pPr>
      <w:r>
        <w:rPr>
          <w:rFonts w:hint="eastAsia" w:ascii="Times New Roman" w:eastAsia="仿宋"/>
          <w:b/>
        </w:rPr>
        <w:t>5</w:t>
      </w:r>
      <w:r>
        <w:rPr>
          <w:rFonts w:ascii="Times New Roman" w:eastAsia="仿宋"/>
          <w:b/>
        </w:rPr>
        <w:t>.3.1.2各要素环境敏感程度</w:t>
      </w:r>
    </w:p>
    <w:p w14:paraId="768BAC1D">
      <w:pPr>
        <w:spacing w:line="500" w:lineRule="exact"/>
        <w:ind w:firstLine="562" w:firstLineChars="200"/>
        <w:rPr>
          <w:rFonts w:ascii="Times New Roman" w:eastAsia="仿宋"/>
          <w:b/>
          <w:sz w:val="28"/>
        </w:rPr>
      </w:pPr>
      <w:r>
        <w:rPr>
          <w:rFonts w:ascii="Times New Roman" w:eastAsia="仿宋"/>
          <w:b/>
          <w:sz w:val="28"/>
        </w:rPr>
        <w:t>1、判定依据</w:t>
      </w:r>
    </w:p>
    <w:p w14:paraId="27F667E0">
      <w:pPr>
        <w:spacing w:line="500" w:lineRule="exact"/>
        <w:ind w:firstLine="560" w:firstLineChars="200"/>
        <w:rPr>
          <w:rFonts w:ascii="Times New Roman" w:eastAsia="仿宋"/>
          <w:sz w:val="28"/>
        </w:rPr>
      </w:pPr>
      <w:r>
        <w:rPr>
          <w:rFonts w:ascii="Times New Roman" w:eastAsia="仿宋"/>
          <w:sz w:val="28"/>
        </w:rPr>
        <w:t>（1）大气环境</w:t>
      </w:r>
    </w:p>
    <w:p w14:paraId="0495C2A2">
      <w:pPr>
        <w:spacing w:line="500" w:lineRule="exact"/>
        <w:ind w:firstLine="560" w:firstLineChars="200"/>
        <w:rPr>
          <w:rFonts w:ascii="Times New Roman" w:eastAsia="仿宋"/>
          <w:sz w:val="28"/>
        </w:rPr>
      </w:pPr>
      <w:r>
        <w:rPr>
          <w:rFonts w:ascii="Times New Roman" w:eastAsia="仿宋"/>
          <w:sz w:val="28"/>
        </w:rPr>
        <w:t>依据环境敏感目标环境敏感性及人口密度划分环境风险受体的敏感性，共分为三种类型，E1为环境高度敏感区，E2为环境中度敏感区，E3为环境低度敏感区，分级原则见表5.3-</w:t>
      </w:r>
      <w:r>
        <w:rPr>
          <w:rFonts w:hint="eastAsia" w:ascii="Times New Roman" w:eastAsia="仿宋"/>
          <w:sz w:val="28"/>
        </w:rPr>
        <w:t>7</w:t>
      </w:r>
      <w:r>
        <w:rPr>
          <w:rFonts w:ascii="Times New Roman" w:eastAsia="仿宋"/>
          <w:sz w:val="28"/>
        </w:rPr>
        <w:t>。</w:t>
      </w:r>
    </w:p>
    <w:p w14:paraId="740264A1">
      <w:pPr>
        <w:spacing w:line="500" w:lineRule="exact"/>
        <w:jc w:val="center"/>
        <w:rPr>
          <w:rFonts w:ascii="Times New Roman" w:eastAsia="仿宋"/>
          <w:b/>
        </w:rPr>
      </w:pPr>
      <w:r>
        <w:rPr>
          <w:rFonts w:ascii="Times New Roman" w:eastAsia="仿宋"/>
          <w:b/>
        </w:rPr>
        <w:t>表5.3-</w:t>
      </w:r>
      <w:r>
        <w:rPr>
          <w:rFonts w:hint="eastAsia" w:ascii="Times New Roman" w:eastAsia="仿宋"/>
          <w:b/>
        </w:rPr>
        <w:t>7</w:t>
      </w:r>
      <w:r>
        <w:rPr>
          <w:rFonts w:ascii="Times New Roman" w:eastAsia="仿宋"/>
          <w:b/>
        </w:rPr>
        <w:t>大气环境敏感程度分级</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57"/>
        <w:gridCol w:w="7588"/>
      </w:tblGrid>
      <w:tr w14:paraId="7452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14:paraId="579100A2">
            <w:pPr>
              <w:adjustRightInd w:val="0"/>
              <w:snapToGrid w:val="0"/>
              <w:jc w:val="center"/>
              <w:textAlignment w:val="baseline"/>
              <w:rPr>
                <w:rFonts w:ascii="Times New Roman" w:eastAsia="仿宋"/>
                <w:szCs w:val="21"/>
              </w:rPr>
            </w:pPr>
            <w:r>
              <w:rPr>
                <w:rFonts w:ascii="Times New Roman" w:eastAsia="仿宋"/>
                <w:szCs w:val="21"/>
              </w:rPr>
              <w:t>分级</w:t>
            </w:r>
          </w:p>
        </w:tc>
        <w:tc>
          <w:tcPr>
            <w:tcW w:w="7588" w:type="dxa"/>
            <w:tcBorders>
              <w:top w:val="single" w:color="auto" w:sz="4" w:space="0"/>
              <w:left w:val="single" w:color="auto" w:sz="4" w:space="0"/>
              <w:bottom w:val="single" w:color="auto" w:sz="4" w:space="0"/>
              <w:right w:val="single" w:color="auto" w:sz="4" w:space="0"/>
            </w:tcBorders>
            <w:vAlign w:val="center"/>
          </w:tcPr>
          <w:p w14:paraId="518DC0F7">
            <w:pPr>
              <w:adjustRightInd w:val="0"/>
              <w:snapToGrid w:val="0"/>
              <w:jc w:val="center"/>
              <w:textAlignment w:val="baseline"/>
              <w:rPr>
                <w:rFonts w:ascii="Times New Roman" w:eastAsia="仿宋"/>
                <w:szCs w:val="21"/>
              </w:rPr>
            </w:pPr>
            <w:r>
              <w:rPr>
                <w:rFonts w:ascii="Times New Roman" w:eastAsia="仿宋"/>
                <w:szCs w:val="21"/>
              </w:rPr>
              <w:t>大气环境敏感性</w:t>
            </w:r>
          </w:p>
        </w:tc>
      </w:tr>
      <w:tr w14:paraId="3CF6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14:paraId="5ED63937">
            <w:pPr>
              <w:adjustRightInd w:val="0"/>
              <w:snapToGrid w:val="0"/>
              <w:jc w:val="center"/>
              <w:textAlignment w:val="baseline"/>
              <w:rPr>
                <w:rFonts w:ascii="Times New Roman" w:eastAsia="仿宋"/>
                <w:szCs w:val="21"/>
              </w:rPr>
            </w:pPr>
            <w:r>
              <w:rPr>
                <w:rFonts w:ascii="Times New Roman" w:eastAsia="仿宋"/>
                <w:szCs w:val="21"/>
              </w:rPr>
              <w:t>E1</w:t>
            </w:r>
          </w:p>
        </w:tc>
        <w:tc>
          <w:tcPr>
            <w:tcW w:w="7588" w:type="dxa"/>
            <w:tcBorders>
              <w:top w:val="single" w:color="auto" w:sz="4" w:space="0"/>
              <w:left w:val="single" w:color="auto" w:sz="4" w:space="0"/>
              <w:bottom w:val="single" w:color="auto" w:sz="4" w:space="0"/>
              <w:right w:val="single" w:color="auto" w:sz="4" w:space="0"/>
            </w:tcBorders>
            <w:vAlign w:val="center"/>
          </w:tcPr>
          <w:p w14:paraId="64F29983">
            <w:pPr>
              <w:adjustRightInd w:val="0"/>
              <w:snapToGrid w:val="0"/>
              <w:jc w:val="center"/>
              <w:textAlignment w:val="baseline"/>
              <w:rPr>
                <w:rFonts w:ascii="Times New Roman" w:eastAsia="仿宋"/>
                <w:szCs w:val="21"/>
              </w:rPr>
            </w:pPr>
            <w:r>
              <w:rPr>
                <w:rFonts w:ascii="Times New Roman" w:eastAsia="仿宋"/>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45AA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14:paraId="725B0BDD">
            <w:pPr>
              <w:adjustRightInd w:val="0"/>
              <w:snapToGrid w:val="0"/>
              <w:jc w:val="center"/>
              <w:textAlignment w:val="baseline"/>
              <w:rPr>
                <w:rFonts w:ascii="Times New Roman" w:eastAsia="仿宋"/>
                <w:szCs w:val="21"/>
              </w:rPr>
            </w:pPr>
            <w:r>
              <w:rPr>
                <w:rFonts w:ascii="Times New Roman" w:eastAsia="仿宋"/>
                <w:szCs w:val="21"/>
              </w:rPr>
              <w:t>E2</w:t>
            </w:r>
          </w:p>
        </w:tc>
        <w:tc>
          <w:tcPr>
            <w:tcW w:w="7588" w:type="dxa"/>
            <w:tcBorders>
              <w:top w:val="single" w:color="auto" w:sz="4" w:space="0"/>
              <w:left w:val="single" w:color="auto" w:sz="4" w:space="0"/>
              <w:bottom w:val="single" w:color="auto" w:sz="4" w:space="0"/>
              <w:right w:val="single" w:color="auto" w:sz="4" w:space="0"/>
            </w:tcBorders>
            <w:vAlign w:val="center"/>
          </w:tcPr>
          <w:p w14:paraId="74EE2861">
            <w:pPr>
              <w:adjustRightInd w:val="0"/>
              <w:snapToGrid w:val="0"/>
              <w:jc w:val="center"/>
              <w:textAlignment w:val="baseline"/>
              <w:rPr>
                <w:rFonts w:ascii="Times New Roman" w:eastAsia="仿宋"/>
                <w:szCs w:val="21"/>
              </w:rPr>
            </w:pPr>
            <w:r>
              <w:rPr>
                <w:rFonts w:ascii="Times New Roman" w:eastAsia="仿宋"/>
                <w:szCs w:val="21"/>
              </w:rPr>
              <w:t>周边5km范围内居住区、医疗卫生、文化教育、科研、行政办公等机构人口总数大于1万人，小于5万人；或周边500m范围内人口总数大于500人，小于1000人；油气、化学品输送管线管段周边 200m范围内，每千米管段人口数大于100人，小于200人</w:t>
            </w:r>
          </w:p>
        </w:tc>
      </w:tr>
      <w:tr w14:paraId="0147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14:paraId="1B98465F">
            <w:pPr>
              <w:adjustRightInd w:val="0"/>
              <w:snapToGrid w:val="0"/>
              <w:jc w:val="center"/>
              <w:textAlignment w:val="baseline"/>
              <w:rPr>
                <w:rFonts w:ascii="Times New Roman" w:eastAsia="仿宋"/>
                <w:szCs w:val="21"/>
              </w:rPr>
            </w:pPr>
            <w:r>
              <w:rPr>
                <w:rFonts w:ascii="Times New Roman" w:eastAsia="仿宋"/>
                <w:szCs w:val="21"/>
              </w:rPr>
              <w:t>E3</w:t>
            </w:r>
          </w:p>
        </w:tc>
        <w:tc>
          <w:tcPr>
            <w:tcW w:w="7588" w:type="dxa"/>
            <w:tcBorders>
              <w:top w:val="single" w:color="auto" w:sz="4" w:space="0"/>
              <w:left w:val="single" w:color="auto" w:sz="4" w:space="0"/>
              <w:bottom w:val="single" w:color="auto" w:sz="4" w:space="0"/>
              <w:right w:val="single" w:color="auto" w:sz="4" w:space="0"/>
            </w:tcBorders>
            <w:vAlign w:val="center"/>
          </w:tcPr>
          <w:p w14:paraId="05FC34F9">
            <w:pPr>
              <w:adjustRightInd w:val="0"/>
              <w:snapToGrid w:val="0"/>
              <w:jc w:val="center"/>
              <w:textAlignment w:val="baseline"/>
              <w:rPr>
                <w:rFonts w:ascii="Times New Roman" w:eastAsia="仿宋"/>
                <w:szCs w:val="21"/>
              </w:rPr>
            </w:pPr>
            <w:r>
              <w:rPr>
                <w:rFonts w:ascii="Times New Roman" w:eastAsia="仿宋"/>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51EA3459">
      <w:pPr>
        <w:spacing w:line="500" w:lineRule="exact"/>
        <w:ind w:firstLine="560" w:firstLineChars="200"/>
        <w:rPr>
          <w:rFonts w:ascii="Times New Roman" w:eastAsia="仿宋"/>
          <w:sz w:val="28"/>
        </w:rPr>
      </w:pPr>
      <w:r>
        <w:rPr>
          <w:rFonts w:ascii="Times New Roman" w:eastAsia="仿宋"/>
          <w:sz w:val="28"/>
        </w:rPr>
        <w:t>由上表可知，本项目所在区域大气环境敏感程度为E1级。</w:t>
      </w:r>
    </w:p>
    <w:p w14:paraId="0ECC48A9">
      <w:pPr>
        <w:spacing w:line="500" w:lineRule="exact"/>
        <w:ind w:firstLine="560" w:firstLineChars="200"/>
        <w:rPr>
          <w:rFonts w:ascii="Times New Roman" w:eastAsia="仿宋"/>
          <w:sz w:val="28"/>
        </w:rPr>
      </w:pPr>
      <w:r>
        <w:rPr>
          <w:rFonts w:ascii="Times New Roman" w:eastAsia="仿宋"/>
          <w:sz w:val="28"/>
        </w:rPr>
        <w:t>（2）地表水环境</w:t>
      </w:r>
    </w:p>
    <w:p w14:paraId="70478E8B">
      <w:pPr>
        <w:spacing w:line="500" w:lineRule="exact"/>
        <w:ind w:firstLine="560" w:firstLineChars="200"/>
        <w:rPr>
          <w:rFonts w:ascii="Times New Roman" w:eastAsia="仿宋"/>
          <w:sz w:val="28"/>
        </w:rPr>
      </w:pPr>
      <w:r>
        <w:rPr>
          <w:rFonts w:ascii="Times New Roman" w:eastAsia="仿宋"/>
          <w:sz w:val="28"/>
        </w:rPr>
        <w:t>依据事故情况下危险物质泄漏到水体的排放点受纳地表水体功能敏感性，与下游环境敏感目标情况，共分为三种类型，E1为环境高度敏感区，E2为环境中度敏感区，E3为环境低度敏感区，分级原则见表5.3-</w:t>
      </w:r>
      <w:r>
        <w:rPr>
          <w:rFonts w:hint="eastAsia" w:ascii="Times New Roman" w:eastAsia="仿宋"/>
          <w:sz w:val="28"/>
        </w:rPr>
        <w:t>8</w:t>
      </w:r>
      <w:r>
        <w:rPr>
          <w:rFonts w:ascii="Times New Roman" w:eastAsia="仿宋"/>
          <w:sz w:val="28"/>
        </w:rPr>
        <w:t>。其中地表水功能敏感性分区和环境敏感目标分级分别见表5.3-</w:t>
      </w:r>
      <w:r>
        <w:rPr>
          <w:rFonts w:hint="eastAsia" w:ascii="Times New Roman" w:eastAsia="仿宋"/>
          <w:sz w:val="28"/>
        </w:rPr>
        <w:t>9</w:t>
      </w:r>
      <w:r>
        <w:rPr>
          <w:rFonts w:ascii="Times New Roman" w:eastAsia="仿宋"/>
          <w:sz w:val="28"/>
        </w:rPr>
        <w:t>和表5.3-</w:t>
      </w:r>
      <w:r>
        <w:rPr>
          <w:rFonts w:hint="eastAsia" w:ascii="Times New Roman" w:eastAsia="仿宋"/>
          <w:sz w:val="28"/>
        </w:rPr>
        <w:t>10</w:t>
      </w:r>
      <w:r>
        <w:rPr>
          <w:rFonts w:ascii="Times New Roman" w:eastAsia="仿宋"/>
          <w:sz w:val="28"/>
        </w:rPr>
        <w:t>。</w:t>
      </w:r>
    </w:p>
    <w:p w14:paraId="27562EF5">
      <w:pPr>
        <w:spacing w:line="500" w:lineRule="exact"/>
        <w:jc w:val="center"/>
        <w:rPr>
          <w:rFonts w:ascii="Times New Roman" w:eastAsia="仿宋"/>
          <w:b/>
        </w:rPr>
      </w:pPr>
      <w:r>
        <w:rPr>
          <w:rFonts w:ascii="Times New Roman" w:eastAsia="仿宋"/>
          <w:b/>
        </w:rPr>
        <w:t>表5.3-</w:t>
      </w:r>
      <w:r>
        <w:rPr>
          <w:rFonts w:hint="eastAsia" w:ascii="Times New Roman" w:eastAsia="仿宋"/>
          <w:b/>
        </w:rPr>
        <w:t>8</w:t>
      </w:r>
      <w:r>
        <w:rPr>
          <w:rFonts w:ascii="Times New Roman" w:eastAsia="仿宋"/>
          <w:b/>
        </w:rPr>
        <w:t>地表水环境敏感程度分级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2064"/>
        <w:gridCol w:w="2268"/>
        <w:gridCol w:w="2126"/>
      </w:tblGrid>
      <w:tr w14:paraId="717F8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722" w:type="dxa"/>
            <w:vMerge w:val="restart"/>
            <w:vAlign w:val="center"/>
          </w:tcPr>
          <w:p w14:paraId="574907A6">
            <w:pPr>
              <w:adjustRightInd w:val="0"/>
              <w:snapToGrid w:val="0"/>
              <w:jc w:val="center"/>
              <w:textAlignment w:val="baseline"/>
              <w:rPr>
                <w:rFonts w:ascii="Times New Roman" w:eastAsia="仿宋"/>
                <w:szCs w:val="21"/>
              </w:rPr>
            </w:pPr>
            <w:r>
              <w:rPr>
                <w:rFonts w:ascii="Times New Roman" w:eastAsia="仿宋"/>
                <w:szCs w:val="21"/>
              </w:rPr>
              <w:t>环境敏感目标</w:t>
            </w:r>
          </w:p>
        </w:tc>
        <w:tc>
          <w:tcPr>
            <w:tcW w:w="6458" w:type="dxa"/>
            <w:gridSpan w:val="3"/>
            <w:vAlign w:val="center"/>
          </w:tcPr>
          <w:p w14:paraId="3819D2ED">
            <w:pPr>
              <w:adjustRightInd w:val="0"/>
              <w:snapToGrid w:val="0"/>
              <w:jc w:val="center"/>
              <w:textAlignment w:val="baseline"/>
              <w:rPr>
                <w:rFonts w:ascii="Times New Roman" w:eastAsia="仿宋"/>
                <w:szCs w:val="21"/>
              </w:rPr>
            </w:pPr>
            <w:r>
              <w:rPr>
                <w:rFonts w:ascii="Times New Roman" w:eastAsia="仿宋"/>
                <w:szCs w:val="21"/>
              </w:rPr>
              <w:t>地表水功能敏感性</w:t>
            </w:r>
          </w:p>
        </w:tc>
      </w:tr>
      <w:tr w14:paraId="74B07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vMerge w:val="continue"/>
            <w:vAlign w:val="center"/>
          </w:tcPr>
          <w:p w14:paraId="174B6E57">
            <w:pPr>
              <w:adjustRightInd w:val="0"/>
              <w:snapToGrid w:val="0"/>
              <w:jc w:val="center"/>
              <w:textAlignment w:val="baseline"/>
              <w:rPr>
                <w:rFonts w:ascii="Times New Roman" w:eastAsia="仿宋"/>
                <w:szCs w:val="21"/>
              </w:rPr>
            </w:pPr>
          </w:p>
        </w:tc>
        <w:tc>
          <w:tcPr>
            <w:tcW w:w="2064" w:type="dxa"/>
            <w:vAlign w:val="center"/>
          </w:tcPr>
          <w:p w14:paraId="6B8E255E">
            <w:pPr>
              <w:kinsoku w:val="0"/>
              <w:overflowPunct w:val="0"/>
              <w:adjustRightInd w:val="0"/>
              <w:snapToGrid w:val="0"/>
              <w:jc w:val="center"/>
              <w:textAlignment w:val="baseline"/>
              <w:rPr>
                <w:rFonts w:ascii="Times New Roman" w:eastAsia="仿宋"/>
                <w:bCs/>
                <w:szCs w:val="21"/>
              </w:rPr>
            </w:pPr>
            <w:r>
              <w:rPr>
                <w:rFonts w:ascii="Times New Roman" w:eastAsia="仿宋"/>
                <w:bCs/>
                <w:szCs w:val="21"/>
              </w:rPr>
              <w:t>F1</w:t>
            </w:r>
          </w:p>
        </w:tc>
        <w:tc>
          <w:tcPr>
            <w:tcW w:w="2268" w:type="dxa"/>
            <w:vAlign w:val="center"/>
          </w:tcPr>
          <w:p w14:paraId="05933046">
            <w:pPr>
              <w:kinsoku w:val="0"/>
              <w:overflowPunct w:val="0"/>
              <w:adjustRightInd w:val="0"/>
              <w:snapToGrid w:val="0"/>
              <w:jc w:val="center"/>
              <w:textAlignment w:val="baseline"/>
              <w:rPr>
                <w:rFonts w:ascii="Times New Roman" w:eastAsia="仿宋"/>
                <w:bCs/>
                <w:szCs w:val="21"/>
              </w:rPr>
            </w:pPr>
            <w:r>
              <w:rPr>
                <w:rFonts w:ascii="Times New Roman" w:eastAsia="仿宋"/>
                <w:b/>
                <w:szCs w:val="21"/>
              </w:rPr>
              <w:t>F2</w:t>
            </w:r>
          </w:p>
        </w:tc>
        <w:tc>
          <w:tcPr>
            <w:tcW w:w="2126" w:type="dxa"/>
            <w:vAlign w:val="center"/>
          </w:tcPr>
          <w:p w14:paraId="2C57B675">
            <w:pPr>
              <w:kinsoku w:val="0"/>
              <w:overflowPunct w:val="0"/>
              <w:adjustRightInd w:val="0"/>
              <w:snapToGrid w:val="0"/>
              <w:jc w:val="center"/>
              <w:textAlignment w:val="baseline"/>
              <w:rPr>
                <w:rFonts w:ascii="Times New Roman" w:eastAsia="仿宋"/>
                <w:bCs/>
                <w:szCs w:val="21"/>
              </w:rPr>
            </w:pPr>
            <w:r>
              <w:rPr>
                <w:rFonts w:ascii="Times New Roman" w:eastAsia="仿宋"/>
                <w:bCs/>
                <w:szCs w:val="21"/>
              </w:rPr>
              <w:t>F3</w:t>
            </w:r>
          </w:p>
        </w:tc>
      </w:tr>
      <w:tr w14:paraId="15DA9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vAlign w:val="center"/>
          </w:tcPr>
          <w:p w14:paraId="7A282FBA">
            <w:pPr>
              <w:adjustRightInd w:val="0"/>
              <w:snapToGrid w:val="0"/>
              <w:jc w:val="center"/>
              <w:textAlignment w:val="baseline"/>
              <w:rPr>
                <w:rFonts w:ascii="Times New Roman" w:eastAsia="仿宋"/>
                <w:szCs w:val="21"/>
              </w:rPr>
            </w:pPr>
            <w:r>
              <w:rPr>
                <w:rFonts w:ascii="Times New Roman" w:eastAsia="仿宋"/>
                <w:szCs w:val="21"/>
              </w:rPr>
              <w:t>S1</w:t>
            </w:r>
          </w:p>
        </w:tc>
        <w:tc>
          <w:tcPr>
            <w:tcW w:w="2064" w:type="dxa"/>
            <w:vAlign w:val="center"/>
          </w:tcPr>
          <w:p w14:paraId="3DF6972C">
            <w:pPr>
              <w:adjustRightInd w:val="0"/>
              <w:snapToGrid w:val="0"/>
              <w:jc w:val="center"/>
              <w:textAlignment w:val="baseline"/>
              <w:rPr>
                <w:rFonts w:ascii="Times New Roman" w:eastAsia="仿宋"/>
                <w:szCs w:val="21"/>
              </w:rPr>
            </w:pPr>
            <w:r>
              <w:rPr>
                <w:rFonts w:ascii="Times New Roman" w:eastAsia="仿宋"/>
                <w:szCs w:val="21"/>
              </w:rPr>
              <w:t>E1</w:t>
            </w:r>
          </w:p>
        </w:tc>
        <w:tc>
          <w:tcPr>
            <w:tcW w:w="2268" w:type="dxa"/>
            <w:vAlign w:val="center"/>
          </w:tcPr>
          <w:p w14:paraId="7EFCA6AF">
            <w:pPr>
              <w:adjustRightInd w:val="0"/>
              <w:snapToGrid w:val="0"/>
              <w:jc w:val="center"/>
              <w:textAlignment w:val="baseline"/>
              <w:rPr>
                <w:rFonts w:ascii="Times New Roman" w:eastAsia="仿宋"/>
                <w:szCs w:val="21"/>
              </w:rPr>
            </w:pPr>
            <w:r>
              <w:rPr>
                <w:rFonts w:ascii="Times New Roman" w:eastAsia="仿宋"/>
                <w:szCs w:val="21"/>
              </w:rPr>
              <w:t>E1</w:t>
            </w:r>
          </w:p>
        </w:tc>
        <w:tc>
          <w:tcPr>
            <w:tcW w:w="2126" w:type="dxa"/>
            <w:vAlign w:val="center"/>
          </w:tcPr>
          <w:p w14:paraId="6C68A63A">
            <w:pPr>
              <w:adjustRightInd w:val="0"/>
              <w:snapToGrid w:val="0"/>
              <w:jc w:val="center"/>
              <w:textAlignment w:val="baseline"/>
              <w:rPr>
                <w:rFonts w:ascii="Times New Roman" w:eastAsia="仿宋"/>
                <w:szCs w:val="21"/>
              </w:rPr>
            </w:pPr>
            <w:r>
              <w:rPr>
                <w:rFonts w:ascii="Times New Roman" w:eastAsia="仿宋"/>
                <w:szCs w:val="21"/>
              </w:rPr>
              <w:t>E2</w:t>
            </w:r>
          </w:p>
        </w:tc>
      </w:tr>
      <w:tr w14:paraId="0F788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vAlign w:val="center"/>
          </w:tcPr>
          <w:p w14:paraId="52B4B25F">
            <w:pPr>
              <w:adjustRightInd w:val="0"/>
              <w:snapToGrid w:val="0"/>
              <w:jc w:val="center"/>
              <w:textAlignment w:val="baseline"/>
              <w:rPr>
                <w:rFonts w:ascii="Times New Roman" w:eastAsia="仿宋"/>
                <w:szCs w:val="21"/>
              </w:rPr>
            </w:pPr>
            <w:r>
              <w:rPr>
                <w:rFonts w:ascii="Times New Roman" w:eastAsia="仿宋"/>
                <w:b/>
                <w:bCs/>
                <w:szCs w:val="21"/>
              </w:rPr>
              <w:t>S2</w:t>
            </w:r>
          </w:p>
        </w:tc>
        <w:tc>
          <w:tcPr>
            <w:tcW w:w="2064" w:type="dxa"/>
            <w:vAlign w:val="center"/>
          </w:tcPr>
          <w:p w14:paraId="14CB9EC1">
            <w:pPr>
              <w:adjustRightInd w:val="0"/>
              <w:snapToGrid w:val="0"/>
              <w:jc w:val="center"/>
              <w:textAlignment w:val="baseline"/>
              <w:rPr>
                <w:rFonts w:ascii="Times New Roman" w:eastAsia="仿宋"/>
                <w:szCs w:val="21"/>
              </w:rPr>
            </w:pPr>
            <w:r>
              <w:rPr>
                <w:rFonts w:ascii="Times New Roman" w:eastAsia="仿宋"/>
                <w:szCs w:val="21"/>
              </w:rPr>
              <w:t>E1</w:t>
            </w:r>
          </w:p>
        </w:tc>
        <w:tc>
          <w:tcPr>
            <w:tcW w:w="2268" w:type="dxa"/>
            <w:vAlign w:val="center"/>
          </w:tcPr>
          <w:p w14:paraId="5AA50931">
            <w:pPr>
              <w:adjustRightInd w:val="0"/>
              <w:snapToGrid w:val="0"/>
              <w:jc w:val="center"/>
              <w:textAlignment w:val="baseline"/>
              <w:rPr>
                <w:rFonts w:ascii="Times New Roman" w:eastAsia="仿宋"/>
                <w:szCs w:val="21"/>
              </w:rPr>
            </w:pPr>
            <w:r>
              <w:rPr>
                <w:rFonts w:ascii="Times New Roman" w:eastAsia="仿宋"/>
                <w:b/>
                <w:bCs/>
                <w:szCs w:val="21"/>
              </w:rPr>
              <w:t>E2</w:t>
            </w:r>
          </w:p>
        </w:tc>
        <w:tc>
          <w:tcPr>
            <w:tcW w:w="2126" w:type="dxa"/>
            <w:vAlign w:val="center"/>
          </w:tcPr>
          <w:p w14:paraId="21DB5309">
            <w:pPr>
              <w:adjustRightInd w:val="0"/>
              <w:snapToGrid w:val="0"/>
              <w:jc w:val="center"/>
              <w:textAlignment w:val="baseline"/>
              <w:rPr>
                <w:rFonts w:ascii="Times New Roman" w:eastAsia="仿宋"/>
                <w:szCs w:val="21"/>
              </w:rPr>
            </w:pPr>
            <w:r>
              <w:rPr>
                <w:rFonts w:ascii="Times New Roman" w:eastAsia="仿宋"/>
                <w:szCs w:val="21"/>
              </w:rPr>
              <w:t>E3</w:t>
            </w:r>
          </w:p>
        </w:tc>
      </w:tr>
      <w:tr w14:paraId="46F1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vAlign w:val="center"/>
          </w:tcPr>
          <w:p w14:paraId="60EAD5FC">
            <w:pPr>
              <w:adjustRightInd w:val="0"/>
              <w:snapToGrid w:val="0"/>
              <w:jc w:val="center"/>
              <w:textAlignment w:val="baseline"/>
              <w:rPr>
                <w:rFonts w:ascii="Times New Roman" w:eastAsia="仿宋"/>
                <w:szCs w:val="21"/>
              </w:rPr>
            </w:pPr>
            <w:r>
              <w:rPr>
                <w:rFonts w:ascii="Times New Roman" w:eastAsia="仿宋"/>
                <w:szCs w:val="21"/>
              </w:rPr>
              <w:t>S3</w:t>
            </w:r>
          </w:p>
        </w:tc>
        <w:tc>
          <w:tcPr>
            <w:tcW w:w="2064" w:type="dxa"/>
            <w:vAlign w:val="center"/>
          </w:tcPr>
          <w:p w14:paraId="2F126A9F">
            <w:pPr>
              <w:adjustRightInd w:val="0"/>
              <w:snapToGrid w:val="0"/>
              <w:jc w:val="center"/>
              <w:textAlignment w:val="baseline"/>
              <w:rPr>
                <w:rFonts w:ascii="Times New Roman" w:eastAsia="仿宋"/>
                <w:szCs w:val="21"/>
              </w:rPr>
            </w:pPr>
            <w:r>
              <w:rPr>
                <w:rFonts w:ascii="Times New Roman" w:eastAsia="仿宋"/>
                <w:szCs w:val="21"/>
              </w:rPr>
              <w:t>E1</w:t>
            </w:r>
          </w:p>
        </w:tc>
        <w:tc>
          <w:tcPr>
            <w:tcW w:w="2268" w:type="dxa"/>
            <w:vAlign w:val="center"/>
          </w:tcPr>
          <w:p w14:paraId="1A6BACA4">
            <w:pPr>
              <w:adjustRightInd w:val="0"/>
              <w:snapToGrid w:val="0"/>
              <w:jc w:val="center"/>
              <w:textAlignment w:val="baseline"/>
              <w:rPr>
                <w:rFonts w:ascii="Times New Roman" w:eastAsia="仿宋"/>
                <w:szCs w:val="21"/>
              </w:rPr>
            </w:pPr>
            <w:r>
              <w:rPr>
                <w:rFonts w:ascii="Times New Roman" w:eastAsia="仿宋"/>
                <w:szCs w:val="21"/>
              </w:rPr>
              <w:t>E2</w:t>
            </w:r>
          </w:p>
        </w:tc>
        <w:tc>
          <w:tcPr>
            <w:tcW w:w="2126" w:type="dxa"/>
            <w:vAlign w:val="center"/>
          </w:tcPr>
          <w:p w14:paraId="06FD5D5D">
            <w:pPr>
              <w:adjustRightInd w:val="0"/>
              <w:snapToGrid w:val="0"/>
              <w:jc w:val="center"/>
              <w:textAlignment w:val="baseline"/>
              <w:rPr>
                <w:rFonts w:ascii="Times New Roman" w:eastAsia="仿宋"/>
                <w:szCs w:val="21"/>
              </w:rPr>
            </w:pPr>
            <w:r>
              <w:rPr>
                <w:rFonts w:ascii="Times New Roman" w:eastAsia="仿宋"/>
                <w:szCs w:val="21"/>
              </w:rPr>
              <w:t>E3</w:t>
            </w:r>
          </w:p>
        </w:tc>
      </w:tr>
    </w:tbl>
    <w:p w14:paraId="36AF6E21">
      <w:pPr>
        <w:spacing w:line="500" w:lineRule="exact"/>
        <w:jc w:val="center"/>
        <w:rPr>
          <w:rFonts w:ascii="Times New Roman" w:eastAsia="仿宋"/>
          <w:b/>
        </w:rPr>
      </w:pPr>
      <w:r>
        <w:rPr>
          <w:rFonts w:ascii="Times New Roman" w:eastAsia="仿宋"/>
          <w:b/>
        </w:rPr>
        <w:t>表5.3-</w:t>
      </w:r>
      <w:r>
        <w:rPr>
          <w:rFonts w:hint="eastAsia" w:ascii="Times New Roman" w:eastAsia="仿宋"/>
          <w:b/>
        </w:rPr>
        <w:t>9</w:t>
      </w:r>
      <w:r>
        <w:rPr>
          <w:rFonts w:ascii="Times New Roman" w:eastAsia="仿宋"/>
          <w:b/>
        </w:rPr>
        <w:t xml:space="preserve"> 地表水功能敏感性分区</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7841"/>
      </w:tblGrid>
      <w:tr w14:paraId="37254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vAlign w:val="center"/>
          </w:tcPr>
          <w:p w14:paraId="6BD50C8A">
            <w:pPr>
              <w:kinsoku w:val="0"/>
              <w:overflowPunct w:val="0"/>
              <w:adjustRightInd w:val="0"/>
              <w:snapToGrid w:val="0"/>
              <w:jc w:val="center"/>
              <w:rPr>
                <w:rFonts w:ascii="Times New Roman" w:eastAsia="仿宋"/>
                <w:szCs w:val="21"/>
              </w:rPr>
            </w:pPr>
            <w:r>
              <w:rPr>
                <w:rFonts w:ascii="Times New Roman" w:eastAsia="仿宋"/>
                <w:szCs w:val="21"/>
              </w:rPr>
              <w:t>敏感性</w:t>
            </w:r>
          </w:p>
        </w:tc>
        <w:tc>
          <w:tcPr>
            <w:tcW w:w="7841" w:type="dxa"/>
            <w:vAlign w:val="center"/>
          </w:tcPr>
          <w:p w14:paraId="7DEEA786">
            <w:pPr>
              <w:kinsoku w:val="0"/>
              <w:overflowPunct w:val="0"/>
              <w:adjustRightInd w:val="0"/>
              <w:snapToGrid w:val="0"/>
              <w:jc w:val="center"/>
              <w:rPr>
                <w:rFonts w:ascii="Times New Roman" w:eastAsia="仿宋"/>
                <w:szCs w:val="21"/>
              </w:rPr>
            </w:pPr>
            <w:r>
              <w:rPr>
                <w:rFonts w:ascii="Times New Roman" w:eastAsia="仿宋"/>
                <w:szCs w:val="21"/>
              </w:rPr>
              <w:t>地表水环境敏感特征</w:t>
            </w:r>
          </w:p>
        </w:tc>
      </w:tr>
      <w:tr w14:paraId="49DAD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vAlign w:val="center"/>
          </w:tcPr>
          <w:p w14:paraId="73D116B4">
            <w:pPr>
              <w:adjustRightInd w:val="0"/>
              <w:snapToGrid w:val="0"/>
              <w:jc w:val="center"/>
              <w:textAlignment w:val="baseline"/>
              <w:rPr>
                <w:rFonts w:ascii="Times New Roman" w:eastAsia="仿宋"/>
                <w:szCs w:val="21"/>
              </w:rPr>
            </w:pPr>
            <w:r>
              <w:rPr>
                <w:rFonts w:ascii="Times New Roman" w:eastAsia="仿宋"/>
                <w:szCs w:val="21"/>
              </w:rPr>
              <w:t>敏感 F1</w:t>
            </w:r>
          </w:p>
        </w:tc>
        <w:tc>
          <w:tcPr>
            <w:tcW w:w="7841" w:type="dxa"/>
            <w:vAlign w:val="center"/>
          </w:tcPr>
          <w:p w14:paraId="658FCD68">
            <w:pPr>
              <w:adjustRightInd w:val="0"/>
              <w:snapToGrid w:val="0"/>
              <w:jc w:val="center"/>
              <w:textAlignment w:val="baseline"/>
              <w:rPr>
                <w:rFonts w:ascii="Times New Roman" w:eastAsia="仿宋"/>
                <w:szCs w:val="21"/>
              </w:rPr>
            </w:pPr>
            <w:r>
              <w:rPr>
                <w:rFonts w:ascii="Times New Roman" w:eastAsia="仿宋"/>
                <w:szCs w:val="21"/>
              </w:rPr>
              <w:t>排放点进入地表水水域环境功能为Ⅱ类及以上，或海水水质分类第一类；或以发生事故时，危险物质泄漏到水体的排放点算起，排放进入受纳河流最大流速时，24h流经范围内涉跨国界的</w:t>
            </w:r>
          </w:p>
        </w:tc>
      </w:tr>
      <w:tr w14:paraId="5E94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339" w:type="dxa"/>
            <w:vAlign w:val="center"/>
          </w:tcPr>
          <w:p w14:paraId="70F3C5F4">
            <w:pPr>
              <w:adjustRightInd w:val="0"/>
              <w:snapToGrid w:val="0"/>
              <w:jc w:val="center"/>
              <w:textAlignment w:val="baseline"/>
              <w:rPr>
                <w:rFonts w:ascii="Times New Roman" w:eastAsia="仿宋"/>
                <w:szCs w:val="21"/>
              </w:rPr>
            </w:pPr>
            <w:r>
              <w:rPr>
                <w:rFonts w:ascii="Times New Roman" w:eastAsia="仿宋"/>
                <w:szCs w:val="21"/>
              </w:rPr>
              <w:t>较敏感 F2</w:t>
            </w:r>
          </w:p>
        </w:tc>
        <w:tc>
          <w:tcPr>
            <w:tcW w:w="7841" w:type="dxa"/>
            <w:vAlign w:val="center"/>
          </w:tcPr>
          <w:p w14:paraId="37425877">
            <w:pPr>
              <w:adjustRightInd w:val="0"/>
              <w:snapToGrid w:val="0"/>
              <w:jc w:val="center"/>
              <w:textAlignment w:val="baseline"/>
              <w:rPr>
                <w:rFonts w:ascii="Times New Roman" w:eastAsia="仿宋"/>
                <w:szCs w:val="21"/>
              </w:rPr>
            </w:pPr>
            <w:r>
              <w:rPr>
                <w:rFonts w:ascii="Times New Roman" w:eastAsia="仿宋"/>
                <w:szCs w:val="21"/>
              </w:rPr>
              <w:t>排放点进入地表水水域环境功能为Ⅲ类，或海水水质分类第二类；或以发生事故时，危险物质泄漏到水体的排放点算起，排放进入受纳河流最大流速时，24h流经范围内涉跨省界的</w:t>
            </w:r>
          </w:p>
        </w:tc>
      </w:tr>
      <w:tr w14:paraId="02D54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339" w:type="dxa"/>
            <w:vAlign w:val="center"/>
          </w:tcPr>
          <w:p w14:paraId="3E2EF16C">
            <w:pPr>
              <w:adjustRightInd w:val="0"/>
              <w:snapToGrid w:val="0"/>
              <w:jc w:val="center"/>
              <w:textAlignment w:val="baseline"/>
              <w:rPr>
                <w:rFonts w:ascii="Times New Roman" w:eastAsia="仿宋"/>
                <w:szCs w:val="21"/>
              </w:rPr>
            </w:pPr>
            <w:r>
              <w:rPr>
                <w:rFonts w:ascii="Times New Roman" w:eastAsia="仿宋"/>
                <w:szCs w:val="21"/>
              </w:rPr>
              <w:t>低敏感 F3</w:t>
            </w:r>
          </w:p>
        </w:tc>
        <w:tc>
          <w:tcPr>
            <w:tcW w:w="7841" w:type="dxa"/>
            <w:vAlign w:val="center"/>
          </w:tcPr>
          <w:p w14:paraId="7F15FFC9">
            <w:pPr>
              <w:adjustRightInd w:val="0"/>
              <w:snapToGrid w:val="0"/>
              <w:jc w:val="center"/>
              <w:textAlignment w:val="baseline"/>
              <w:rPr>
                <w:rFonts w:ascii="Times New Roman" w:eastAsia="仿宋"/>
                <w:szCs w:val="21"/>
              </w:rPr>
            </w:pPr>
            <w:r>
              <w:rPr>
                <w:rFonts w:ascii="Times New Roman" w:eastAsia="仿宋"/>
                <w:szCs w:val="21"/>
              </w:rPr>
              <w:t>上述地区之外的其他地区</w:t>
            </w:r>
          </w:p>
        </w:tc>
      </w:tr>
    </w:tbl>
    <w:p w14:paraId="5195879C">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10</w:t>
      </w:r>
      <w:r>
        <w:rPr>
          <w:rFonts w:ascii="Times New Roman" w:eastAsia="仿宋"/>
          <w:b/>
        </w:rPr>
        <w:t xml:space="preserve"> 环境敏感目标分级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7993"/>
      </w:tblGrid>
      <w:tr w14:paraId="4DDB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vAlign w:val="center"/>
          </w:tcPr>
          <w:p w14:paraId="7CB511E3">
            <w:pPr>
              <w:kinsoku w:val="0"/>
              <w:overflowPunct w:val="0"/>
              <w:adjustRightInd w:val="0"/>
              <w:snapToGrid w:val="0"/>
              <w:jc w:val="center"/>
              <w:rPr>
                <w:rFonts w:ascii="Times New Roman" w:eastAsia="仿宋"/>
                <w:szCs w:val="21"/>
              </w:rPr>
            </w:pPr>
            <w:r>
              <w:rPr>
                <w:rFonts w:ascii="Times New Roman" w:eastAsia="仿宋"/>
                <w:szCs w:val="21"/>
              </w:rPr>
              <w:t>分级</w:t>
            </w:r>
          </w:p>
        </w:tc>
        <w:tc>
          <w:tcPr>
            <w:tcW w:w="7993" w:type="dxa"/>
            <w:vAlign w:val="center"/>
          </w:tcPr>
          <w:p w14:paraId="740EEB8D">
            <w:pPr>
              <w:kinsoku w:val="0"/>
              <w:overflowPunct w:val="0"/>
              <w:adjustRightInd w:val="0"/>
              <w:snapToGrid w:val="0"/>
              <w:jc w:val="center"/>
              <w:rPr>
                <w:rFonts w:ascii="Times New Roman" w:eastAsia="仿宋"/>
                <w:szCs w:val="21"/>
              </w:rPr>
            </w:pPr>
            <w:r>
              <w:rPr>
                <w:rFonts w:ascii="Times New Roman" w:eastAsia="仿宋"/>
                <w:szCs w:val="21"/>
              </w:rPr>
              <w:t>环境敏感目标</w:t>
            </w:r>
          </w:p>
        </w:tc>
      </w:tr>
      <w:tr w14:paraId="60AD8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vAlign w:val="center"/>
          </w:tcPr>
          <w:p w14:paraId="0B52F819">
            <w:pPr>
              <w:adjustRightInd w:val="0"/>
              <w:snapToGrid w:val="0"/>
              <w:jc w:val="center"/>
              <w:textAlignment w:val="baseline"/>
              <w:rPr>
                <w:rFonts w:ascii="Times New Roman" w:eastAsia="仿宋"/>
                <w:szCs w:val="21"/>
              </w:rPr>
            </w:pPr>
            <w:r>
              <w:rPr>
                <w:rFonts w:ascii="Times New Roman" w:eastAsia="仿宋"/>
                <w:szCs w:val="21"/>
              </w:rPr>
              <w:t>S1</w:t>
            </w:r>
          </w:p>
        </w:tc>
        <w:tc>
          <w:tcPr>
            <w:tcW w:w="7993" w:type="dxa"/>
            <w:vAlign w:val="center"/>
          </w:tcPr>
          <w:p w14:paraId="2E7A8116">
            <w:pPr>
              <w:adjustRightInd w:val="0"/>
              <w:snapToGrid w:val="0"/>
              <w:jc w:val="center"/>
              <w:textAlignment w:val="baseline"/>
              <w:rPr>
                <w:rFonts w:ascii="Times New Roman" w:eastAsia="仿宋"/>
                <w:szCs w:val="21"/>
              </w:rPr>
            </w:pPr>
            <w:r>
              <w:rPr>
                <w:rFonts w:ascii="Times New Roman" w:eastAsia="仿宋"/>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2778A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vAlign w:val="center"/>
          </w:tcPr>
          <w:p w14:paraId="4A6C629F">
            <w:pPr>
              <w:adjustRightInd w:val="0"/>
              <w:snapToGrid w:val="0"/>
              <w:jc w:val="center"/>
              <w:textAlignment w:val="baseline"/>
              <w:rPr>
                <w:rFonts w:ascii="Times New Roman" w:eastAsia="仿宋"/>
                <w:szCs w:val="21"/>
              </w:rPr>
            </w:pPr>
            <w:r>
              <w:rPr>
                <w:rFonts w:ascii="Times New Roman" w:eastAsia="仿宋"/>
                <w:szCs w:val="21"/>
              </w:rPr>
              <w:t>S2</w:t>
            </w:r>
          </w:p>
        </w:tc>
        <w:tc>
          <w:tcPr>
            <w:tcW w:w="7993" w:type="dxa"/>
            <w:vAlign w:val="center"/>
          </w:tcPr>
          <w:p w14:paraId="65F86372">
            <w:pPr>
              <w:adjustRightInd w:val="0"/>
              <w:snapToGrid w:val="0"/>
              <w:jc w:val="center"/>
              <w:textAlignment w:val="baseline"/>
              <w:rPr>
                <w:rFonts w:ascii="Times New Roman" w:eastAsia="仿宋"/>
                <w:szCs w:val="21"/>
              </w:rPr>
            </w:pPr>
            <w:r>
              <w:rPr>
                <w:rFonts w:ascii="Times New Roman" w:eastAsia="仿宋"/>
                <w:szCs w:val="21"/>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01439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187" w:type="dxa"/>
            <w:vAlign w:val="center"/>
          </w:tcPr>
          <w:p w14:paraId="6025FE31">
            <w:pPr>
              <w:adjustRightInd w:val="0"/>
              <w:snapToGrid w:val="0"/>
              <w:jc w:val="center"/>
              <w:textAlignment w:val="baseline"/>
              <w:rPr>
                <w:rFonts w:ascii="Times New Roman" w:eastAsia="仿宋"/>
                <w:szCs w:val="21"/>
              </w:rPr>
            </w:pPr>
            <w:r>
              <w:rPr>
                <w:rFonts w:ascii="Times New Roman" w:eastAsia="仿宋"/>
                <w:szCs w:val="21"/>
              </w:rPr>
              <w:t>S3</w:t>
            </w:r>
          </w:p>
        </w:tc>
        <w:tc>
          <w:tcPr>
            <w:tcW w:w="7993" w:type="dxa"/>
            <w:vAlign w:val="center"/>
          </w:tcPr>
          <w:p w14:paraId="437DF9E1">
            <w:pPr>
              <w:adjustRightInd w:val="0"/>
              <w:snapToGrid w:val="0"/>
              <w:jc w:val="center"/>
              <w:textAlignment w:val="baseline"/>
              <w:rPr>
                <w:rFonts w:ascii="Times New Roman" w:eastAsia="仿宋"/>
                <w:szCs w:val="21"/>
              </w:rPr>
            </w:pPr>
            <w:r>
              <w:rPr>
                <w:rFonts w:ascii="Times New Roman" w:eastAsia="仿宋"/>
                <w:szCs w:val="21"/>
              </w:rPr>
              <w:t>排放点下游（顺水流向）10km范围、近岸海域一个潮周期水质点可能达到的最大水平距离的两倍范围内无上述类型1和类型2包括的敏感保护目标</w:t>
            </w:r>
          </w:p>
        </w:tc>
      </w:tr>
    </w:tbl>
    <w:p w14:paraId="0215A562">
      <w:pPr>
        <w:spacing w:line="500" w:lineRule="exact"/>
        <w:ind w:firstLine="560" w:firstLineChars="200"/>
        <w:rPr>
          <w:rFonts w:ascii="Times New Roman" w:eastAsia="仿宋"/>
          <w:sz w:val="28"/>
        </w:rPr>
      </w:pPr>
      <w:r>
        <w:rPr>
          <w:rFonts w:ascii="Times New Roman" w:eastAsia="仿宋"/>
          <w:sz w:val="28"/>
        </w:rPr>
        <w:t>由上表可知，</w:t>
      </w:r>
      <w:r>
        <w:rPr>
          <w:rFonts w:ascii="Times New Roman" w:eastAsia="仿宋_GB2312"/>
          <w:sz w:val="28"/>
          <w:szCs w:val="28"/>
        </w:rPr>
        <w:t>本项目</w:t>
      </w:r>
      <w:r>
        <w:rPr>
          <w:rFonts w:hint="eastAsia" w:ascii="Times New Roman" w:eastAsia="仿宋_GB2312"/>
          <w:sz w:val="28"/>
          <w:szCs w:val="28"/>
        </w:rPr>
        <w:t>距离通济河1</w:t>
      </w:r>
      <w:r>
        <w:rPr>
          <w:rFonts w:ascii="Times New Roman" w:eastAsia="仿宋_GB2312"/>
          <w:sz w:val="28"/>
          <w:szCs w:val="28"/>
        </w:rPr>
        <w:t>400</w:t>
      </w:r>
      <w:r>
        <w:rPr>
          <w:rFonts w:hint="eastAsia" w:ascii="Times New Roman" w:eastAsia="仿宋_GB2312"/>
          <w:sz w:val="28"/>
          <w:szCs w:val="28"/>
        </w:rPr>
        <w:t>米</w:t>
      </w:r>
      <w:r>
        <w:rPr>
          <w:rFonts w:ascii="Times New Roman" w:eastAsia="仿宋_GB2312"/>
          <w:sz w:val="28"/>
          <w:szCs w:val="28"/>
        </w:rPr>
        <w:t>，地表水功能敏感性为F</w:t>
      </w:r>
      <w:r>
        <w:rPr>
          <w:rFonts w:hint="eastAsia" w:ascii="Times New Roman" w:eastAsia="仿宋_GB2312"/>
          <w:sz w:val="28"/>
          <w:szCs w:val="28"/>
        </w:rPr>
        <w:t>2</w:t>
      </w:r>
      <w:r>
        <w:rPr>
          <w:rFonts w:ascii="Times New Roman" w:eastAsia="仿宋_GB2312"/>
          <w:sz w:val="28"/>
          <w:szCs w:val="28"/>
        </w:rPr>
        <w:t>，</w:t>
      </w:r>
      <w:r>
        <w:rPr>
          <w:rFonts w:ascii="Times New Roman" w:eastAsia="仿宋"/>
          <w:sz w:val="28"/>
        </w:rPr>
        <w:t>环境敏感目标分级为S</w:t>
      </w:r>
      <w:r>
        <w:rPr>
          <w:rFonts w:hint="eastAsia" w:ascii="Times New Roman" w:eastAsia="仿宋"/>
          <w:sz w:val="28"/>
        </w:rPr>
        <w:t>2</w:t>
      </w:r>
      <w:r>
        <w:rPr>
          <w:rFonts w:ascii="Times New Roman" w:eastAsia="仿宋"/>
          <w:sz w:val="28"/>
        </w:rPr>
        <w:t>，所以本项目地表水环境敏感程度为E</w:t>
      </w:r>
      <w:r>
        <w:rPr>
          <w:rFonts w:hint="eastAsia" w:ascii="Times New Roman" w:eastAsia="仿宋"/>
          <w:sz w:val="28"/>
        </w:rPr>
        <w:t>2</w:t>
      </w:r>
      <w:r>
        <w:rPr>
          <w:rFonts w:ascii="Times New Roman" w:eastAsia="仿宋"/>
          <w:sz w:val="28"/>
        </w:rPr>
        <w:t>级。</w:t>
      </w:r>
    </w:p>
    <w:p w14:paraId="700190E3">
      <w:pPr>
        <w:spacing w:line="500" w:lineRule="exact"/>
        <w:ind w:firstLine="560" w:firstLineChars="200"/>
        <w:rPr>
          <w:rFonts w:ascii="Times New Roman" w:eastAsia="仿宋"/>
          <w:sz w:val="28"/>
        </w:rPr>
      </w:pPr>
      <w:r>
        <w:rPr>
          <w:rFonts w:ascii="Times New Roman" w:eastAsia="仿宋"/>
          <w:sz w:val="28"/>
        </w:rPr>
        <w:t>（3）地下水环境</w:t>
      </w:r>
    </w:p>
    <w:p w14:paraId="7D0FDFD2">
      <w:pPr>
        <w:spacing w:line="500" w:lineRule="exact"/>
        <w:ind w:firstLine="560" w:firstLineChars="200"/>
        <w:rPr>
          <w:rFonts w:ascii="Times New Roman" w:eastAsia="仿宋"/>
          <w:sz w:val="28"/>
        </w:rPr>
      </w:pPr>
      <w:r>
        <w:rPr>
          <w:rFonts w:ascii="Times New Roman" w:eastAsia="仿宋"/>
          <w:sz w:val="28"/>
        </w:rPr>
        <w:t>依据地下水功能敏感性与包气带防污性能，共分为三种类型，E1为环境高度敏感区，E2为环境中度敏感区，E3为环境低度敏感区，分级原则见表5.3-</w:t>
      </w:r>
      <w:r>
        <w:rPr>
          <w:rFonts w:hint="eastAsia" w:ascii="Times New Roman" w:eastAsia="仿宋"/>
          <w:sz w:val="28"/>
        </w:rPr>
        <w:t>11</w:t>
      </w:r>
      <w:r>
        <w:rPr>
          <w:rFonts w:ascii="Times New Roman" w:eastAsia="仿宋"/>
          <w:sz w:val="28"/>
        </w:rPr>
        <w:t>。其中地下水功能敏感性分区和包气带防污性能分级分别见表5.3-</w:t>
      </w:r>
      <w:r>
        <w:rPr>
          <w:rFonts w:hint="eastAsia" w:ascii="Times New Roman" w:eastAsia="仿宋"/>
          <w:sz w:val="28"/>
        </w:rPr>
        <w:t>12</w:t>
      </w:r>
      <w:r>
        <w:rPr>
          <w:rFonts w:ascii="Times New Roman" w:eastAsia="仿宋"/>
          <w:sz w:val="28"/>
        </w:rPr>
        <w:t>和表5.3-</w:t>
      </w:r>
      <w:r>
        <w:rPr>
          <w:rFonts w:hint="eastAsia" w:ascii="Times New Roman" w:eastAsia="仿宋"/>
          <w:sz w:val="28"/>
        </w:rPr>
        <w:t>13</w:t>
      </w:r>
      <w:r>
        <w:rPr>
          <w:rFonts w:ascii="Times New Roman" w:eastAsia="仿宋"/>
          <w:sz w:val="28"/>
        </w:rPr>
        <w:t>。当同一建设项目涉及两个G分区或D分级及以上时，取相对高值。</w:t>
      </w:r>
    </w:p>
    <w:p w14:paraId="5FBC209E">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11</w:t>
      </w:r>
      <w:r>
        <w:rPr>
          <w:rFonts w:ascii="Times New Roman" w:eastAsia="仿宋"/>
          <w:b/>
        </w:rPr>
        <w:t xml:space="preserve">  地下水环境敏感程度分级</w:t>
      </w:r>
    </w:p>
    <w:tbl>
      <w:tblPr>
        <w:tblStyle w:val="8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9"/>
        <w:gridCol w:w="1645"/>
        <w:gridCol w:w="2295"/>
        <w:gridCol w:w="2296"/>
      </w:tblGrid>
      <w:tr w14:paraId="39487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959" w:type="dxa"/>
            <w:vMerge w:val="restart"/>
            <w:vAlign w:val="center"/>
          </w:tcPr>
          <w:p w14:paraId="78FCD8AC">
            <w:pPr>
              <w:adjustRightInd w:val="0"/>
              <w:snapToGrid w:val="0"/>
              <w:jc w:val="center"/>
              <w:textAlignment w:val="baseline"/>
              <w:rPr>
                <w:rFonts w:ascii="Times New Roman" w:eastAsia="仿宋"/>
                <w:szCs w:val="21"/>
              </w:rPr>
            </w:pPr>
            <w:r>
              <w:rPr>
                <w:rFonts w:ascii="Times New Roman" w:eastAsia="仿宋"/>
                <w:szCs w:val="21"/>
              </w:rPr>
              <w:t>包气带防污性能</w:t>
            </w:r>
          </w:p>
        </w:tc>
        <w:tc>
          <w:tcPr>
            <w:tcW w:w="6236" w:type="dxa"/>
            <w:gridSpan w:val="3"/>
            <w:vAlign w:val="center"/>
          </w:tcPr>
          <w:p w14:paraId="65D181A7">
            <w:pPr>
              <w:kinsoku w:val="0"/>
              <w:overflowPunct w:val="0"/>
              <w:adjustRightInd w:val="0"/>
              <w:snapToGrid w:val="0"/>
              <w:jc w:val="center"/>
              <w:rPr>
                <w:rFonts w:ascii="Times New Roman" w:eastAsia="仿宋"/>
                <w:b/>
                <w:szCs w:val="21"/>
              </w:rPr>
            </w:pPr>
            <w:r>
              <w:rPr>
                <w:rFonts w:ascii="Times New Roman" w:eastAsia="仿宋"/>
                <w:szCs w:val="21"/>
              </w:rPr>
              <w:t>地下水功能敏感性</w:t>
            </w:r>
          </w:p>
        </w:tc>
      </w:tr>
      <w:tr w14:paraId="2AE50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vMerge w:val="continue"/>
            <w:vAlign w:val="center"/>
          </w:tcPr>
          <w:p w14:paraId="072BECC3">
            <w:pPr>
              <w:adjustRightInd w:val="0"/>
              <w:snapToGrid w:val="0"/>
              <w:jc w:val="center"/>
              <w:textAlignment w:val="baseline"/>
              <w:rPr>
                <w:rFonts w:ascii="Times New Roman" w:eastAsia="仿宋"/>
                <w:szCs w:val="21"/>
              </w:rPr>
            </w:pPr>
          </w:p>
        </w:tc>
        <w:tc>
          <w:tcPr>
            <w:tcW w:w="1645" w:type="dxa"/>
            <w:vAlign w:val="center"/>
          </w:tcPr>
          <w:p w14:paraId="74BE6CD2">
            <w:pPr>
              <w:adjustRightInd w:val="0"/>
              <w:snapToGrid w:val="0"/>
              <w:jc w:val="center"/>
              <w:textAlignment w:val="baseline"/>
              <w:rPr>
                <w:rFonts w:ascii="Times New Roman" w:eastAsia="仿宋"/>
                <w:b/>
                <w:szCs w:val="21"/>
              </w:rPr>
            </w:pPr>
            <w:r>
              <w:rPr>
                <w:rFonts w:ascii="Times New Roman" w:eastAsia="仿宋"/>
                <w:b/>
                <w:szCs w:val="21"/>
              </w:rPr>
              <w:t>G1</w:t>
            </w:r>
          </w:p>
        </w:tc>
        <w:tc>
          <w:tcPr>
            <w:tcW w:w="2295" w:type="dxa"/>
            <w:vAlign w:val="center"/>
          </w:tcPr>
          <w:p w14:paraId="30492766">
            <w:pPr>
              <w:adjustRightInd w:val="0"/>
              <w:snapToGrid w:val="0"/>
              <w:jc w:val="center"/>
              <w:textAlignment w:val="baseline"/>
              <w:rPr>
                <w:rFonts w:ascii="Times New Roman" w:eastAsia="仿宋"/>
                <w:b/>
                <w:szCs w:val="21"/>
              </w:rPr>
            </w:pPr>
            <w:r>
              <w:rPr>
                <w:rFonts w:ascii="Times New Roman" w:eastAsia="仿宋"/>
                <w:b/>
                <w:szCs w:val="21"/>
              </w:rPr>
              <w:t>G2</w:t>
            </w:r>
          </w:p>
        </w:tc>
        <w:tc>
          <w:tcPr>
            <w:tcW w:w="2296" w:type="dxa"/>
            <w:vAlign w:val="center"/>
          </w:tcPr>
          <w:p w14:paraId="2DF48AFB">
            <w:pPr>
              <w:adjustRightInd w:val="0"/>
              <w:snapToGrid w:val="0"/>
              <w:jc w:val="center"/>
              <w:textAlignment w:val="baseline"/>
              <w:rPr>
                <w:rFonts w:ascii="Times New Roman" w:eastAsia="仿宋"/>
                <w:b/>
                <w:szCs w:val="21"/>
              </w:rPr>
            </w:pPr>
            <w:r>
              <w:rPr>
                <w:rFonts w:ascii="Times New Roman" w:eastAsia="仿宋"/>
                <w:b/>
                <w:szCs w:val="21"/>
              </w:rPr>
              <w:t>G3</w:t>
            </w:r>
          </w:p>
        </w:tc>
      </w:tr>
      <w:tr w14:paraId="0E378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vAlign w:val="center"/>
          </w:tcPr>
          <w:p w14:paraId="74CD96FE">
            <w:pPr>
              <w:adjustRightInd w:val="0"/>
              <w:snapToGrid w:val="0"/>
              <w:jc w:val="center"/>
              <w:textAlignment w:val="baseline"/>
              <w:rPr>
                <w:rFonts w:ascii="Times New Roman" w:eastAsia="仿宋"/>
                <w:szCs w:val="21"/>
              </w:rPr>
            </w:pPr>
            <w:r>
              <w:rPr>
                <w:rFonts w:ascii="Times New Roman" w:eastAsia="仿宋"/>
                <w:szCs w:val="21"/>
              </w:rPr>
              <w:t>D1</w:t>
            </w:r>
          </w:p>
        </w:tc>
        <w:tc>
          <w:tcPr>
            <w:tcW w:w="1645" w:type="dxa"/>
            <w:vAlign w:val="center"/>
          </w:tcPr>
          <w:p w14:paraId="7C37CB2C">
            <w:pPr>
              <w:adjustRightInd w:val="0"/>
              <w:snapToGrid w:val="0"/>
              <w:jc w:val="center"/>
              <w:textAlignment w:val="baseline"/>
              <w:rPr>
                <w:rFonts w:ascii="Times New Roman" w:eastAsia="仿宋"/>
                <w:szCs w:val="21"/>
              </w:rPr>
            </w:pPr>
            <w:r>
              <w:rPr>
                <w:rFonts w:ascii="Times New Roman" w:eastAsia="仿宋"/>
                <w:szCs w:val="21"/>
              </w:rPr>
              <w:t>E1</w:t>
            </w:r>
          </w:p>
        </w:tc>
        <w:tc>
          <w:tcPr>
            <w:tcW w:w="2295" w:type="dxa"/>
            <w:vAlign w:val="center"/>
          </w:tcPr>
          <w:p w14:paraId="588003BF">
            <w:pPr>
              <w:adjustRightInd w:val="0"/>
              <w:snapToGrid w:val="0"/>
              <w:jc w:val="center"/>
              <w:textAlignment w:val="baseline"/>
              <w:rPr>
                <w:rFonts w:ascii="Times New Roman" w:eastAsia="仿宋"/>
                <w:szCs w:val="21"/>
              </w:rPr>
            </w:pPr>
            <w:r>
              <w:rPr>
                <w:rFonts w:ascii="Times New Roman" w:eastAsia="仿宋"/>
                <w:szCs w:val="21"/>
              </w:rPr>
              <w:t>E1</w:t>
            </w:r>
          </w:p>
        </w:tc>
        <w:tc>
          <w:tcPr>
            <w:tcW w:w="2296" w:type="dxa"/>
            <w:vAlign w:val="center"/>
          </w:tcPr>
          <w:p w14:paraId="3B6DE507">
            <w:pPr>
              <w:adjustRightInd w:val="0"/>
              <w:snapToGrid w:val="0"/>
              <w:jc w:val="center"/>
              <w:textAlignment w:val="baseline"/>
              <w:rPr>
                <w:rFonts w:ascii="Times New Roman" w:eastAsia="仿宋"/>
                <w:szCs w:val="21"/>
              </w:rPr>
            </w:pPr>
            <w:r>
              <w:rPr>
                <w:rFonts w:ascii="Times New Roman" w:eastAsia="仿宋"/>
                <w:szCs w:val="21"/>
              </w:rPr>
              <w:t>E2</w:t>
            </w:r>
          </w:p>
        </w:tc>
      </w:tr>
      <w:tr w14:paraId="06AE5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vAlign w:val="center"/>
          </w:tcPr>
          <w:p w14:paraId="072D9B22">
            <w:pPr>
              <w:adjustRightInd w:val="0"/>
              <w:snapToGrid w:val="0"/>
              <w:jc w:val="center"/>
              <w:textAlignment w:val="baseline"/>
              <w:rPr>
                <w:rFonts w:ascii="Times New Roman" w:eastAsia="仿宋"/>
                <w:szCs w:val="21"/>
              </w:rPr>
            </w:pPr>
            <w:r>
              <w:rPr>
                <w:rFonts w:ascii="Times New Roman" w:eastAsia="仿宋"/>
                <w:szCs w:val="21"/>
              </w:rPr>
              <w:t>D2</w:t>
            </w:r>
          </w:p>
        </w:tc>
        <w:tc>
          <w:tcPr>
            <w:tcW w:w="1645" w:type="dxa"/>
            <w:vAlign w:val="center"/>
          </w:tcPr>
          <w:p w14:paraId="4BE09E3F">
            <w:pPr>
              <w:adjustRightInd w:val="0"/>
              <w:snapToGrid w:val="0"/>
              <w:jc w:val="center"/>
              <w:textAlignment w:val="baseline"/>
              <w:rPr>
                <w:rFonts w:ascii="Times New Roman" w:eastAsia="仿宋"/>
                <w:szCs w:val="21"/>
              </w:rPr>
            </w:pPr>
            <w:r>
              <w:rPr>
                <w:rFonts w:ascii="Times New Roman" w:eastAsia="仿宋"/>
                <w:szCs w:val="21"/>
              </w:rPr>
              <w:t>E1</w:t>
            </w:r>
          </w:p>
        </w:tc>
        <w:tc>
          <w:tcPr>
            <w:tcW w:w="2295" w:type="dxa"/>
            <w:vAlign w:val="center"/>
          </w:tcPr>
          <w:p w14:paraId="669C3054">
            <w:pPr>
              <w:adjustRightInd w:val="0"/>
              <w:snapToGrid w:val="0"/>
              <w:jc w:val="center"/>
              <w:textAlignment w:val="baseline"/>
              <w:rPr>
                <w:rFonts w:ascii="Times New Roman" w:eastAsia="仿宋"/>
                <w:szCs w:val="21"/>
              </w:rPr>
            </w:pPr>
            <w:r>
              <w:rPr>
                <w:rFonts w:ascii="Times New Roman" w:eastAsia="仿宋"/>
                <w:szCs w:val="21"/>
              </w:rPr>
              <w:t>E2</w:t>
            </w:r>
          </w:p>
        </w:tc>
        <w:tc>
          <w:tcPr>
            <w:tcW w:w="2296" w:type="dxa"/>
            <w:vAlign w:val="center"/>
          </w:tcPr>
          <w:p w14:paraId="7A4FC622">
            <w:pPr>
              <w:adjustRightInd w:val="0"/>
              <w:snapToGrid w:val="0"/>
              <w:jc w:val="center"/>
              <w:textAlignment w:val="baseline"/>
              <w:rPr>
                <w:rFonts w:ascii="Times New Roman" w:eastAsia="仿宋"/>
                <w:szCs w:val="21"/>
              </w:rPr>
            </w:pPr>
            <w:r>
              <w:rPr>
                <w:rFonts w:ascii="Times New Roman" w:eastAsia="仿宋"/>
                <w:szCs w:val="21"/>
              </w:rPr>
              <w:t>E3</w:t>
            </w:r>
          </w:p>
        </w:tc>
      </w:tr>
      <w:tr w14:paraId="4A8C6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vAlign w:val="center"/>
          </w:tcPr>
          <w:p w14:paraId="29A99015">
            <w:pPr>
              <w:adjustRightInd w:val="0"/>
              <w:snapToGrid w:val="0"/>
              <w:jc w:val="center"/>
              <w:textAlignment w:val="baseline"/>
              <w:rPr>
                <w:rFonts w:ascii="Times New Roman" w:eastAsia="仿宋"/>
                <w:szCs w:val="21"/>
              </w:rPr>
            </w:pPr>
            <w:r>
              <w:rPr>
                <w:rFonts w:ascii="Times New Roman" w:eastAsia="仿宋"/>
                <w:szCs w:val="21"/>
              </w:rPr>
              <w:t>D3</w:t>
            </w:r>
          </w:p>
        </w:tc>
        <w:tc>
          <w:tcPr>
            <w:tcW w:w="1645" w:type="dxa"/>
            <w:vAlign w:val="center"/>
          </w:tcPr>
          <w:p w14:paraId="46EE17AD">
            <w:pPr>
              <w:adjustRightInd w:val="0"/>
              <w:snapToGrid w:val="0"/>
              <w:jc w:val="center"/>
              <w:textAlignment w:val="baseline"/>
              <w:rPr>
                <w:rFonts w:ascii="Times New Roman" w:eastAsia="仿宋"/>
                <w:szCs w:val="21"/>
              </w:rPr>
            </w:pPr>
            <w:r>
              <w:rPr>
                <w:rFonts w:ascii="Times New Roman" w:eastAsia="仿宋"/>
                <w:szCs w:val="21"/>
              </w:rPr>
              <w:t>E2</w:t>
            </w:r>
          </w:p>
        </w:tc>
        <w:tc>
          <w:tcPr>
            <w:tcW w:w="2295" w:type="dxa"/>
            <w:vAlign w:val="center"/>
          </w:tcPr>
          <w:p w14:paraId="7D8D197F">
            <w:pPr>
              <w:adjustRightInd w:val="0"/>
              <w:snapToGrid w:val="0"/>
              <w:jc w:val="center"/>
              <w:textAlignment w:val="baseline"/>
              <w:rPr>
                <w:rFonts w:ascii="Times New Roman" w:eastAsia="仿宋"/>
                <w:szCs w:val="21"/>
              </w:rPr>
            </w:pPr>
            <w:r>
              <w:rPr>
                <w:rFonts w:ascii="Times New Roman" w:eastAsia="仿宋"/>
                <w:szCs w:val="21"/>
              </w:rPr>
              <w:t>E3</w:t>
            </w:r>
          </w:p>
        </w:tc>
        <w:tc>
          <w:tcPr>
            <w:tcW w:w="2296" w:type="dxa"/>
            <w:vAlign w:val="center"/>
          </w:tcPr>
          <w:p w14:paraId="75D13C43">
            <w:pPr>
              <w:adjustRightInd w:val="0"/>
              <w:snapToGrid w:val="0"/>
              <w:jc w:val="center"/>
              <w:textAlignment w:val="baseline"/>
              <w:rPr>
                <w:rFonts w:ascii="Times New Roman" w:eastAsia="仿宋"/>
                <w:szCs w:val="21"/>
              </w:rPr>
            </w:pPr>
            <w:r>
              <w:rPr>
                <w:rFonts w:ascii="Times New Roman" w:eastAsia="仿宋"/>
                <w:szCs w:val="21"/>
              </w:rPr>
              <w:t>E3</w:t>
            </w:r>
          </w:p>
        </w:tc>
      </w:tr>
    </w:tbl>
    <w:p w14:paraId="4862365A">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12</w:t>
      </w:r>
      <w:r>
        <w:rPr>
          <w:rFonts w:ascii="Times New Roman" w:eastAsia="仿宋"/>
          <w:b/>
        </w:rPr>
        <w:t xml:space="preserve">  地下水功能敏感性分区 </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5"/>
        <w:gridCol w:w="7895"/>
      </w:tblGrid>
      <w:tr w14:paraId="4F203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vAlign w:val="center"/>
          </w:tcPr>
          <w:p w14:paraId="4C378AD5">
            <w:pPr>
              <w:kinsoku w:val="0"/>
              <w:overflowPunct w:val="0"/>
              <w:adjustRightInd w:val="0"/>
              <w:snapToGrid w:val="0"/>
              <w:jc w:val="center"/>
              <w:rPr>
                <w:rFonts w:ascii="Times New Roman" w:eastAsia="仿宋"/>
                <w:szCs w:val="21"/>
              </w:rPr>
            </w:pPr>
            <w:r>
              <w:rPr>
                <w:rFonts w:ascii="Times New Roman" w:eastAsia="仿宋"/>
                <w:szCs w:val="21"/>
              </w:rPr>
              <w:t>敏感性</w:t>
            </w:r>
          </w:p>
        </w:tc>
        <w:tc>
          <w:tcPr>
            <w:tcW w:w="7895" w:type="dxa"/>
            <w:vAlign w:val="center"/>
          </w:tcPr>
          <w:p w14:paraId="40CD1F86">
            <w:pPr>
              <w:kinsoku w:val="0"/>
              <w:overflowPunct w:val="0"/>
              <w:adjustRightInd w:val="0"/>
              <w:snapToGrid w:val="0"/>
              <w:jc w:val="center"/>
              <w:rPr>
                <w:rFonts w:ascii="Times New Roman" w:eastAsia="仿宋"/>
                <w:szCs w:val="21"/>
              </w:rPr>
            </w:pPr>
            <w:r>
              <w:rPr>
                <w:rFonts w:ascii="Times New Roman" w:eastAsia="仿宋"/>
                <w:szCs w:val="21"/>
              </w:rPr>
              <w:t>地下水环境敏感特征</w:t>
            </w:r>
          </w:p>
        </w:tc>
      </w:tr>
      <w:tr w14:paraId="6B5C9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vAlign w:val="center"/>
          </w:tcPr>
          <w:p w14:paraId="454750E3">
            <w:pPr>
              <w:adjustRightInd w:val="0"/>
              <w:snapToGrid w:val="0"/>
              <w:jc w:val="center"/>
              <w:textAlignment w:val="baseline"/>
              <w:rPr>
                <w:rFonts w:ascii="Times New Roman" w:eastAsia="仿宋"/>
                <w:szCs w:val="21"/>
              </w:rPr>
            </w:pPr>
            <w:r>
              <w:rPr>
                <w:rFonts w:ascii="Times New Roman" w:eastAsia="仿宋"/>
                <w:szCs w:val="21"/>
              </w:rPr>
              <w:t>敏感G1</w:t>
            </w:r>
          </w:p>
        </w:tc>
        <w:tc>
          <w:tcPr>
            <w:tcW w:w="7895" w:type="dxa"/>
            <w:vAlign w:val="center"/>
          </w:tcPr>
          <w:p w14:paraId="7C8EB116">
            <w:pPr>
              <w:adjustRightInd w:val="0"/>
              <w:snapToGrid w:val="0"/>
              <w:jc w:val="center"/>
              <w:textAlignment w:val="baseline"/>
              <w:rPr>
                <w:rFonts w:ascii="Times New Roman" w:eastAsia="仿宋"/>
                <w:szCs w:val="21"/>
              </w:rPr>
            </w:pPr>
            <w:r>
              <w:rPr>
                <w:rFonts w:ascii="Times New Roman" w:eastAsia="仿宋"/>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2B179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vAlign w:val="center"/>
          </w:tcPr>
          <w:p w14:paraId="07811126">
            <w:pPr>
              <w:adjustRightInd w:val="0"/>
              <w:snapToGrid w:val="0"/>
              <w:jc w:val="center"/>
              <w:textAlignment w:val="baseline"/>
              <w:rPr>
                <w:rFonts w:ascii="Times New Roman" w:eastAsia="仿宋"/>
                <w:szCs w:val="21"/>
              </w:rPr>
            </w:pPr>
            <w:r>
              <w:rPr>
                <w:rFonts w:ascii="Times New Roman" w:eastAsia="仿宋"/>
                <w:szCs w:val="21"/>
              </w:rPr>
              <w:t>较敏感G2</w:t>
            </w:r>
          </w:p>
        </w:tc>
        <w:tc>
          <w:tcPr>
            <w:tcW w:w="7895" w:type="dxa"/>
            <w:vAlign w:val="center"/>
          </w:tcPr>
          <w:p w14:paraId="395F76C2">
            <w:pPr>
              <w:adjustRightInd w:val="0"/>
              <w:snapToGrid w:val="0"/>
              <w:jc w:val="center"/>
              <w:textAlignment w:val="baseline"/>
              <w:rPr>
                <w:rFonts w:ascii="Times New Roman" w:eastAsia="仿宋"/>
                <w:szCs w:val="21"/>
              </w:rPr>
            </w:pPr>
            <w:r>
              <w:rPr>
                <w:rFonts w:ascii="Times New Roman" w:eastAsia="仿宋"/>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 的环境敏感区*</w:t>
            </w:r>
          </w:p>
        </w:tc>
      </w:tr>
      <w:tr w14:paraId="1F6D3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vAlign w:val="center"/>
          </w:tcPr>
          <w:p w14:paraId="399B23B1">
            <w:pPr>
              <w:adjustRightInd w:val="0"/>
              <w:snapToGrid w:val="0"/>
              <w:jc w:val="center"/>
              <w:textAlignment w:val="baseline"/>
              <w:rPr>
                <w:rFonts w:ascii="Times New Roman" w:eastAsia="仿宋"/>
                <w:szCs w:val="21"/>
              </w:rPr>
            </w:pPr>
            <w:r>
              <w:rPr>
                <w:rFonts w:ascii="Times New Roman" w:eastAsia="仿宋"/>
                <w:szCs w:val="21"/>
              </w:rPr>
              <w:t>不敏感G3</w:t>
            </w:r>
          </w:p>
        </w:tc>
        <w:tc>
          <w:tcPr>
            <w:tcW w:w="7895" w:type="dxa"/>
            <w:vAlign w:val="center"/>
          </w:tcPr>
          <w:p w14:paraId="4801E465">
            <w:pPr>
              <w:adjustRightInd w:val="0"/>
              <w:snapToGrid w:val="0"/>
              <w:jc w:val="center"/>
              <w:textAlignment w:val="baseline"/>
              <w:rPr>
                <w:rFonts w:ascii="Times New Roman" w:eastAsia="仿宋"/>
                <w:szCs w:val="21"/>
              </w:rPr>
            </w:pPr>
            <w:r>
              <w:rPr>
                <w:rFonts w:ascii="Times New Roman" w:eastAsia="仿宋"/>
                <w:szCs w:val="21"/>
              </w:rPr>
              <w:t>上述地区之外的其他地区</w:t>
            </w:r>
          </w:p>
        </w:tc>
      </w:tr>
    </w:tbl>
    <w:p w14:paraId="7E885B51">
      <w:pPr>
        <w:ind w:firstLine="420"/>
        <w:rPr>
          <w:rFonts w:ascii="Times New Roman" w:eastAsia="仿宋"/>
          <w:szCs w:val="21"/>
        </w:rPr>
      </w:pPr>
      <w:r>
        <w:rPr>
          <w:rFonts w:ascii="Times New Roman" w:eastAsia="仿宋"/>
          <w:szCs w:val="21"/>
        </w:rPr>
        <w:t>*注：“环境敏感区”是指《建设项目环境影响评价分类管理名录》中所界定的涉及地下水的环境敏感区。</w:t>
      </w:r>
    </w:p>
    <w:p w14:paraId="1C950F2D">
      <w:pPr>
        <w:spacing w:line="500" w:lineRule="exact"/>
        <w:ind w:firstLine="482" w:firstLineChars="200"/>
        <w:jc w:val="center"/>
        <w:rPr>
          <w:rFonts w:ascii="Times New Roman" w:eastAsia="仿宋"/>
          <w:b/>
        </w:rPr>
      </w:pPr>
    </w:p>
    <w:p w14:paraId="637137AC">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13</w:t>
      </w:r>
      <w:r>
        <w:rPr>
          <w:rFonts w:ascii="Times New Roman" w:eastAsia="仿宋"/>
          <w:b/>
        </w:rPr>
        <w:t xml:space="preserve"> 包气带防污性能分级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7893"/>
      </w:tblGrid>
      <w:tr w14:paraId="078B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7" w:type="dxa"/>
            <w:vAlign w:val="center"/>
          </w:tcPr>
          <w:p w14:paraId="6BD0F64E">
            <w:pPr>
              <w:kinsoku w:val="0"/>
              <w:overflowPunct w:val="0"/>
              <w:adjustRightInd w:val="0"/>
              <w:snapToGrid w:val="0"/>
              <w:jc w:val="center"/>
              <w:rPr>
                <w:rFonts w:ascii="Times New Roman" w:eastAsia="仿宋"/>
                <w:szCs w:val="21"/>
              </w:rPr>
            </w:pPr>
            <w:r>
              <w:rPr>
                <w:rFonts w:ascii="Times New Roman" w:eastAsia="仿宋"/>
                <w:szCs w:val="21"/>
              </w:rPr>
              <w:t>分级</w:t>
            </w:r>
          </w:p>
        </w:tc>
        <w:tc>
          <w:tcPr>
            <w:tcW w:w="7893" w:type="dxa"/>
            <w:vAlign w:val="center"/>
          </w:tcPr>
          <w:p w14:paraId="16EC77BC">
            <w:pPr>
              <w:kinsoku w:val="0"/>
              <w:overflowPunct w:val="0"/>
              <w:adjustRightInd w:val="0"/>
              <w:snapToGrid w:val="0"/>
              <w:jc w:val="center"/>
              <w:rPr>
                <w:rFonts w:ascii="Times New Roman" w:eastAsia="仿宋"/>
                <w:szCs w:val="21"/>
              </w:rPr>
            </w:pPr>
            <w:r>
              <w:rPr>
                <w:rFonts w:ascii="Times New Roman" w:eastAsia="仿宋"/>
                <w:szCs w:val="21"/>
              </w:rPr>
              <w:t>包气带岩土的渗透性能</w:t>
            </w:r>
          </w:p>
        </w:tc>
      </w:tr>
      <w:tr w14:paraId="40E49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7" w:type="dxa"/>
            <w:vAlign w:val="center"/>
          </w:tcPr>
          <w:p w14:paraId="63F8DBA2">
            <w:pPr>
              <w:adjustRightInd w:val="0"/>
              <w:snapToGrid w:val="0"/>
              <w:jc w:val="center"/>
              <w:textAlignment w:val="baseline"/>
              <w:rPr>
                <w:rFonts w:ascii="Times New Roman" w:eastAsia="仿宋"/>
                <w:szCs w:val="21"/>
              </w:rPr>
            </w:pPr>
            <w:r>
              <w:rPr>
                <w:rFonts w:ascii="Times New Roman" w:eastAsia="仿宋"/>
                <w:szCs w:val="21"/>
              </w:rPr>
              <w:t>D3</w:t>
            </w:r>
          </w:p>
        </w:tc>
        <w:tc>
          <w:tcPr>
            <w:tcW w:w="7893" w:type="dxa"/>
            <w:vAlign w:val="center"/>
          </w:tcPr>
          <w:p w14:paraId="27EB8918">
            <w:pPr>
              <w:adjustRightInd w:val="0"/>
              <w:snapToGrid w:val="0"/>
              <w:jc w:val="center"/>
              <w:textAlignment w:val="baseline"/>
              <w:rPr>
                <w:rFonts w:ascii="Times New Roman" w:eastAsia="仿宋"/>
                <w:szCs w:val="21"/>
              </w:rPr>
            </w:pPr>
            <w:r>
              <w:rPr>
                <w:rFonts w:ascii="Times New Roman" w:eastAsia="仿宋"/>
                <w:szCs w:val="21"/>
              </w:rPr>
              <w:t>Mb≥1.0m，K≤1.0×10-6cm/s，且分布连续、稳定</w:t>
            </w:r>
          </w:p>
        </w:tc>
      </w:tr>
      <w:tr w14:paraId="0FEF8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287" w:type="dxa"/>
            <w:vAlign w:val="center"/>
          </w:tcPr>
          <w:p w14:paraId="596C736B">
            <w:pPr>
              <w:adjustRightInd w:val="0"/>
              <w:snapToGrid w:val="0"/>
              <w:jc w:val="center"/>
              <w:textAlignment w:val="baseline"/>
              <w:rPr>
                <w:rFonts w:ascii="Times New Roman" w:eastAsia="仿宋"/>
                <w:szCs w:val="21"/>
              </w:rPr>
            </w:pPr>
            <w:r>
              <w:rPr>
                <w:rFonts w:ascii="Times New Roman" w:eastAsia="仿宋"/>
                <w:szCs w:val="21"/>
              </w:rPr>
              <w:t>D2</w:t>
            </w:r>
          </w:p>
        </w:tc>
        <w:tc>
          <w:tcPr>
            <w:tcW w:w="7893" w:type="dxa"/>
            <w:vAlign w:val="center"/>
          </w:tcPr>
          <w:p w14:paraId="5AC1DB38">
            <w:pPr>
              <w:adjustRightInd w:val="0"/>
              <w:snapToGrid w:val="0"/>
              <w:jc w:val="center"/>
              <w:textAlignment w:val="baseline"/>
              <w:rPr>
                <w:rFonts w:ascii="Times New Roman" w:eastAsia="仿宋"/>
                <w:szCs w:val="21"/>
              </w:rPr>
            </w:pPr>
            <w:r>
              <w:rPr>
                <w:rFonts w:ascii="Times New Roman" w:eastAsia="仿宋"/>
                <w:szCs w:val="21"/>
              </w:rPr>
              <w:t>0.5m≤Mb&lt;1.0m，K≤1.0×10-6cm/s，且分布连续、稳定</w:t>
            </w:r>
          </w:p>
          <w:p w14:paraId="725612FE">
            <w:pPr>
              <w:adjustRightInd w:val="0"/>
              <w:snapToGrid w:val="0"/>
              <w:jc w:val="center"/>
              <w:textAlignment w:val="baseline"/>
              <w:rPr>
                <w:rFonts w:ascii="Times New Roman" w:eastAsia="仿宋"/>
                <w:szCs w:val="21"/>
              </w:rPr>
            </w:pPr>
            <w:r>
              <w:rPr>
                <w:rFonts w:ascii="Times New Roman" w:eastAsia="仿宋"/>
                <w:szCs w:val="21"/>
              </w:rPr>
              <w:t>Mb≥1.0m，1.0×10-6cm/s&lt;K≤1.0×10-4cm/s，且分布连续、稳定</w:t>
            </w:r>
          </w:p>
        </w:tc>
      </w:tr>
      <w:tr w14:paraId="143B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287" w:type="dxa"/>
            <w:vAlign w:val="center"/>
          </w:tcPr>
          <w:p w14:paraId="27581D01">
            <w:pPr>
              <w:adjustRightInd w:val="0"/>
              <w:snapToGrid w:val="0"/>
              <w:jc w:val="center"/>
              <w:textAlignment w:val="baseline"/>
              <w:rPr>
                <w:rFonts w:ascii="Times New Roman" w:eastAsia="仿宋"/>
                <w:szCs w:val="21"/>
              </w:rPr>
            </w:pPr>
            <w:r>
              <w:rPr>
                <w:rFonts w:ascii="Times New Roman" w:eastAsia="仿宋"/>
                <w:szCs w:val="21"/>
              </w:rPr>
              <w:t>D1</w:t>
            </w:r>
          </w:p>
        </w:tc>
        <w:tc>
          <w:tcPr>
            <w:tcW w:w="7893" w:type="dxa"/>
            <w:vAlign w:val="center"/>
          </w:tcPr>
          <w:p w14:paraId="657ADE1C">
            <w:pPr>
              <w:adjustRightInd w:val="0"/>
              <w:snapToGrid w:val="0"/>
              <w:jc w:val="center"/>
              <w:textAlignment w:val="baseline"/>
              <w:rPr>
                <w:rFonts w:ascii="Times New Roman" w:eastAsia="仿宋"/>
                <w:szCs w:val="21"/>
              </w:rPr>
            </w:pPr>
            <w:r>
              <w:rPr>
                <w:rFonts w:ascii="Times New Roman" w:eastAsia="仿宋"/>
                <w:szCs w:val="21"/>
              </w:rPr>
              <w:t>岩（土）层不满足上述“D2”和“D3”条件</w:t>
            </w:r>
          </w:p>
        </w:tc>
      </w:tr>
    </w:tbl>
    <w:p w14:paraId="71473871">
      <w:pPr>
        <w:ind w:firstLine="420"/>
        <w:rPr>
          <w:rFonts w:ascii="Times New Roman" w:eastAsia="仿宋"/>
          <w:szCs w:val="21"/>
        </w:rPr>
      </w:pPr>
      <w:r>
        <w:rPr>
          <w:rFonts w:ascii="Times New Roman" w:eastAsia="仿宋"/>
          <w:szCs w:val="21"/>
        </w:rPr>
        <w:t>注：Mb为岩土层单层厚度。K为渗透系数。</w:t>
      </w:r>
    </w:p>
    <w:p w14:paraId="78357E59">
      <w:pPr>
        <w:spacing w:line="500" w:lineRule="exact"/>
        <w:ind w:firstLine="560" w:firstLineChars="200"/>
        <w:rPr>
          <w:rFonts w:ascii="Times New Roman" w:eastAsia="仿宋"/>
          <w:sz w:val="28"/>
        </w:rPr>
      </w:pPr>
      <w:r>
        <w:rPr>
          <w:rFonts w:ascii="Times New Roman" w:eastAsia="仿宋"/>
          <w:sz w:val="28"/>
        </w:rPr>
        <w:t>由上表可知，本项目所在区域地下水功能敏感性为G3，包气带防污性能分级为D2，所以本项目地下水环境敏感程度为E3级。</w:t>
      </w:r>
    </w:p>
    <w:p w14:paraId="581B279D">
      <w:pPr>
        <w:spacing w:line="500" w:lineRule="exact"/>
        <w:ind w:firstLine="562" w:firstLineChars="200"/>
        <w:rPr>
          <w:rFonts w:ascii="Times New Roman" w:eastAsia="仿宋"/>
          <w:b/>
          <w:sz w:val="28"/>
        </w:rPr>
      </w:pPr>
      <w:r>
        <w:rPr>
          <w:rFonts w:ascii="Times New Roman" w:eastAsia="仿宋"/>
          <w:b/>
          <w:sz w:val="28"/>
        </w:rPr>
        <w:t>2、对照分析</w:t>
      </w:r>
    </w:p>
    <w:p w14:paraId="0F3DBCD6">
      <w:pPr>
        <w:spacing w:line="500" w:lineRule="exact"/>
        <w:ind w:firstLine="560" w:firstLineChars="200"/>
        <w:rPr>
          <w:rFonts w:ascii="Times New Roman" w:eastAsia="仿宋"/>
          <w:sz w:val="28"/>
        </w:rPr>
      </w:pPr>
      <w:r>
        <w:rPr>
          <w:rFonts w:ascii="Times New Roman" w:eastAsia="仿宋"/>
          <w:sz w:val="28"/>
        </w:rPr>
        <w:t>依据上述判定依据，建设项目环境敏感特征对照分析结果见表5.3-</w:t>
      </w:r>
      <w:r>
        <w:rPr>
          <w:rFonts w:hint="eastAsia" w:ascii="Times New Roman" w:eastAsia="仿宋"/>
          <w:sz w:val="28"/>
        </w:rPr>
        <w:t>14</w:t>
      </w:r>
      <w:r>
        <w:rPr>
          <w:rFonts w:ascii="Times New Roman" w:eastAsia="仿宋"/>
          <w:sz w:val="28"/>
        </w:rPr>
        <w:t>。</w:t>
      </w:r>
    </w:p>
    <w:p w14:paraId="576181A3">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14</w:t>
      </w:r>
      <w:r>
        <w:rPr>
          <w:rFonts w:ascii="Times New Roman" w:eastAsia="仿宋"/>
          <w:b/>
        </w:rPr>
        <w:t xml:space="preserve">  建设项目环境敏感特征表</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7"/>
        <w:gridCol w:w="524"/>
        <w:gridCol w:w="2126"/>
        <w:gridCol w:w="849"/>
        <w:gridCol w:w="285"/>
        <w:gridCol w:w="984"/>
        <w:gridCol w:w="150"/>
        <w:gridCol w:w="1276"/>
        <w:gridCol w:w="2126"/>
      </w:tblGrid>
      <w:tr w14:paraId="5D87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23F22ECA">
            <w:pPr>
              <w:adjustRightInd w:val="0"/>
              <w:snapToGrid w:val="0"/>
              <w:jc w:val="center"/>
              <w:rPr>
                <w:rFonts w:ascii="Times New Roman" w:eastAsia="仿宋"/>
                <w:szCs w:val="21"/>
              </w:rPr>
            </w:pPr>
            <w:r>
              <w:rPr>
                <w:rFonts w:ascii="Times New Roman" w:eastAsia="仿宋"/>
                <w:szCs w:val="21"/>
              </w:rPr>
              <w:t>类别</w:t>
            </w:r>
          </w:p>
        </w:tc>
        <w:tc>
          <w:tcPr>
            <w:tcW w:w="8320" w:type="dxa"/>
            <w:gridSpan w:val="8"/>
            <w:tcBorders>
              <w:top w:val="single" w:color="auto" w:sz="4" w:space="0"/>
              <w:left w:val="single" w:color="auto" w:sz="4" w:space="0"/>
              <w:bottom w:val="single" w:color="auto" w:sz="4" w:space="0"/>
              <w:right w:val="single" w:color="auto" w:sz="4" w:space="0"/>
            </w:tcBorders>
            <w:vAlign w:val="center"/>
          </w:tcPr>
          <w:p w14:paraId="59882FFD">
            <w:pPr>
              <w:adjustRightInd w:val="0"/>
              <w:snapToGrid w:val="0"/>
              <w:jc w:val="center"/>
              <w:rPr>
                <w:rFonts w:ascii="Times New Roman" w:eastAsia="仿宋"/>
                <w:szCs w:val="21"/>
              </w:rPr>
            </w:pPr>
            <w:r>
              <w:rPr>
                <w:rFonts w:ascii="Times New Roman" w:eastAsia="仿宋"/>
                <w:szCs w:val="21"/>
              </w:rPr>
              <w:t>环境敏感特征</w:t>
            </w:r>
          </w:p>
        </w:tc>
      </w:tr>
      <w:tr w14:paraId="319D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14:paraId="29EA0623">
            <w:pPr>
              <w:adjustRightInd w:val="0"/>
              <w:snapToGrid w:val="0"/>
              <w:jc w:val="center"/>
              <w:rPr>
                <w:rFonts w:ascii="Times New Roman" w:eastAsia="仿宋"/>
                <w:szCs w:val="21"/>
              </w:rPr>
            </w:pPr>
            <w:r>
              <w:rPr>
                <w:rFonts w:ascii="Times New Roman" w:eastAsia="仿宋"/>
                <w:szCs w:val="21"/>
              </w:rPr>
              <w:t>环境</w:t>
            </w:r>
          </w:p>
          <w:p w14:paraId="25BE95E4">
            <w:pPr>
              <w:adjustRightInd w:val="0"/>
              <w:snapToGrid w:val="0"/>
              <w:jc w:val="center"/>
              <w:rPr>
                <w:rFonts w:ascii="Times New Roman" w:eastAsia="仿宋"/>
                <w:szCs w:val="21"/>
              </w:rPr>
            </w:pPr>
            <w:r>
              <w:rPr>
                <w:rFonts w:ascii="Times New Roman" w:eastAsia="仿宋"/>
                <w:szCs w:val="21"/>
              </w:rPr>
              <w:t>空气</w:t>
            </w:r>
          </w:p>
        </w:tc>
        <w:tc>
          <w:tcPr>
            <w:tcW w:w="8320" w:type="dxa"/>
            <w:gridSpan w:val="8"/>
            <w:tcBorders>
              <w:top w:val="single" w:color="auto" w:sz="4" w:space="0"/>
              <w:left w:val="single" w:color="auto" w:sz="4" w:space="0"/>
              <w:bottom w:val="single" w:color="auto" w:sz="4" w:space="0"/>
              <w:right w:val="single" w:color="auto" w:sz="4" w:space="0"/>
            </w:tcBorders>
            <w:vAlign w:val="center"/>
          </w:tcPr>
          <w:p w14:paraId="48F904C9">
            <w:pPr>
              <w:adjustRightInd w:val="0"/>
              <w:snapToGrid w:val="0"/>
              <w:jc w:val="center"/>
              <w:rPr>
                <w:rFonts w:ascii="Times New Roman" w:eastAsia="仿宋"/>
                <w:szCs w:val="21"/>
              </w:rPr>
            </w:pPr>
            <w:r>
              <w:rPr>
                <w:rFonts w:ascii="Times New Roman" w:eastAsia="仿宋"/>
                <w:szCs w:val="21"/>
              </w:rPr>
              <w:t>厂址周边5km范围内</w:t>
            </w:r>
          </w:p>
        </w:tc>
      </w:tr>
      <w:tr w14:paraId="1718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C8E3CB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2333964">
            <w:pPr>
              <w:adjustRightInd w:val="0"/>
              <w:snapToGrid w:val="0"/>
              <w:jc w:val="center"/>
              <w:rPr>
                <w:rFonts w:ascii="Times New Roman" w:eastAsia="仿宋"/>
                <w:szCs w:val="21"/>
              </w:rPr>
            </w:pPr>
            <w:r>
              <w:rPr>
                <w:rFonts w:ascii="Times New Roman" w:eastAsia="仿宋"/>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4E9BA43E">
            <w:pPr>
              <w:adjustRightInd w:val="0"/>
              <w:snapToGrid w:val="0"/>
              <w:jc w:val="center"/>
              <w:rPr>
                <w:rFonts w:ascii="Times New Roman" w:eastAsia="仿宋"/>
                <w:szCs w:val="21"/>
              </w:rPr>
            </w:pPr>
            <w:r>
              <w:rPr>
                <w:rFonts w:ascii="Times New Roman" w:eastAsia="仿宋"/>
                <w:szCs w:val="21"/>
              </w:rPr>
              <w:t>敏感目标名称</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61191A6">
            <w:pPr>
              <w:adjustRightInd w:val="0"/>
              <w:snapToGrid w:val="0"/>
              <w:jc w:val="center"/>
              <w:rPr>
                <w:rFonts w:ascii="Times New Roman" w:eastAsia="仿宋"/>
                <w:szCs w:val="21"/>
              </w:rPr>
            </w:pPr>
            <w:r>
              <w:rPr>
                <w:rFonts w:ascii="Times New Roman" w:eastAsia="仿宋"/>
                <w:szCs w:val="21"/>
              </w:rPr>
              <w:t>相对方位</w:t>
            </w:r>
          </w:p>
        </w:tc>
        <w:tc>
          <w:tcPr>
            <w:tcW w:w="1134" w:type="dxa"/>
            <w:gridSpan w:val="2"/>
            <w:vAlign w:val="center"/>
          </w:tcPr>
          <w:p w14:paraId="2F90FAE1">
            <w:pPr>
              <w:adjustRightInd w:val="0"/>
              <w:snapToGrid w:val="0"/>
              <w:jc w:val="center"/>
              <w:rPr>
                <w:rFonts w:ascii="Times New Roman" w:eastAsia="仿宋"/>
                <w:szCs w:val="21"/>
              </w:rPr>
            </w:pPr>
            <w:r>
              <w:rPr>
                <w:rFonts w:ascii="Times New Roman" w:eastAsia="仿宋"/>
                <w:szCs w:val="21"/>
              </w:rPr>
              <w:t>距离（m）</w:t>
            </w:r>
          </w:p>
        </w:tc>
        <w:tc>
          <w:tcPr>
            <w:tcW w:w="1276" w:type="dxa"/>
            <w:tcBorders>
              <w:top w:val="single" w:color="auto" w:sz="4" w:space="0"/>
              <w:left w:val="single" w:color="auto" w:sz="4" w:space="0"/>
              <w:bottom w:val="single" w:color="auto" w:sz="4" w:space="0"/>
              <w:right w:val="single" w:color="auto" w:sz="4" w:space="0"/>
            </w:tcBorders>
            <w:vAlign w:val="center"/>
          </w:tcPr>
          <w:p w14:paraId="6C64FA8E">
            <w:pPr>
              <w:adjustRightInd w:val="0"/>
              <w:snapToGrid w:val="0"/>
              <w:jc w:val="center"/>
              <w:rPr>
                <w:rFonts w:ascii="Times New Roman" w:eastAsia="仿宋"/>
                <w:szCs w:val="21"/>
              </w:rPr>
            </w:pPr>
            <w:r>
              <w:rPr>
                <w:rFonts w:ascii="Times New Roman" w:eastAsia="仿宋"/>
                <w:szCs w:val="21"/>
              </w:rPr>
              <w:t>属性</w:t>
            </w:r>
          </w:p>
        </w:tc>
        <w:tc>
          <w:tcPr>
            <w:tcW w:w="2126" w:type="dxa"/>
            <w:tcBorders>
              <w:top w:val="single" w:color="auto" w:sz="4" w:space="0"/>
              <w:left w:val="single" w:color="auto" w:sz="4" w:space="0"/>
              <w:bottom w:val="single" w:color="auto" w:sz="4" w:space="0"/>
              <w:right w:val="single" w:color="auto" w:sz="4" w:space="0"/>
            </w:tcBorders>
            <w:vAlign w:val="center"/>
          </w:tcPr>
          <w:p w14:paraId="5467A661">
            <w:pPr>
              <w:adjustRightInd w:val="0"/>
              <w:snapToGrid w:val="0"/>
              <w:jc w:val="center"/>
              <w:rPr>
                <w:rFonts w:ascii="Times New Roman" w:eastAsia="仿宋"/>
                <w:szCs w:val="21"/>
              </w:rPr>
            </w:pPr>
            <w:r>
              <w:rPr>
                <w:rFonts w:ascii="Times New Roman" w:eastAsia="仿宋"/>
                <w:szCs w:val="21"/>
              </w:rPr>
              <w:t>人口数（人）</w:t>
            </w:r>
          </w:p>
        </w:tc>
      </w:tr>
      <w:tr w14:paraId="27CD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6B40F5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716E2E0">
            <w:pPr>
              <w:adjustRightInd w:val="0"/>
              <w:snapToGrid w:val="0"/>
              <w:jc w:val="center"/>
              <w:rPr>
                <w:rFonts w:ascii="Times New Roman" w:eastAsia="仿宋"/>
                <w:szCs w:val="21"/>
              </w:rPr>
            </w:pPr>
            <w:r>
              <w:rPr>
                <w:rFonts w:ascii="Times New Roman" w:eastAsia="仿宋"/>
                <w:szCs w:val="21"/>
              </w:rPr>
              <w:t>1</w:t>
            </w:r>
          </w:p>
        </w:tc>
        <w:tc>
          <w:tcPr>
            <w:tcW w:w="2126" w:type="dxa"/>
            <w:vAlign w:val="center"/>
          </w:tcPr>
          <w:p w14:paraId="308ACDDC">
            <w:pPr>
              <w:spacing w:line="320" w:lineRule="exact"/>
              <w:jc w:val="center"/>
              <w:rPr>
                <w:rFonts w:ascii="Times New Roman" w:eastAsia="仿宋"/>
                <w:szCs w:val="21"/>
              </w:rPr>
            </w:pPr>
            <w:r>
              <w:rPr>
                <w:rFonts w:hint="eastAsia" w:ascii="Times New Roman" w:eastAsia="仿宋"/>
                <w:szCs w:val="21"/>
              </w:rPr>
              <w:t>塘大圩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3A9C13E">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732FCED8">
            <w:pPr>
              <w:spacing w:line="320" w:lineRule="exact"/>
              <w:jc w:val="center"/>
              <w:rPr>
                <w:rFonts w:ascii="Times New Roman" w:eastAsia="仿宋"/>
                <w:szCs w:val="21"/>
              </w:rPr>
            </w:pPr>
            <w:r>
              <w:rPr>
                <w:rFonts w:hint="eastAsia" w:ascii="Times New Roman" w:eastAsia="仿宋"/>
                <w:szCs w:val="21"/>
              </w:rPr>
              <w:t>约2570</w:t>
            </w:r>
          </w:p>
        </w:tc>
        <w:tc>
          <w:tcPr>
            <w:tcW w:w="1276" w:type="dxa"/>
            <w:tcBorders>
              <w:top w:val="single" w:color="auto" w:sz="4" w:space="0"/>
              <w:left w:val="single" w:color="auto" w:sz="4" w:space="0"/>
              <w:bottom w:val="single" w:color="auto" w:sz="4" w:space="0"/>
              <w:right w:val="single" w:color="auto" w:sz="4" w:space="0"/>
            </w:tcBorders>
            <w:vAlign w:val="center"/>
          </w:tcPr>
          <w:p w14:paraId="3217C811">
            <w:pPr>
              <w:adjustRightInd w:val="0"/>
              <w:snapToGrid w:val="0"/>
              <w:jc w:val="center"/>
              <w:rPr>
                <w:rFonts w:ascii="Times New Roman" w:eastAsia="仿宋"/>
                <w:szCs w:val="21"/>
              </w:rPr>
            </w:pPr>
            <w:r>
              <w:rPr>
                <w:rFonts w:ascii="Times New Roman" w:eastAsia="仿宋"/>
                <w:szCs w:val="21"/>
              </w:rPr>
              <w:t>居住区</w:t>
            </w:r>
          </w:p>
        </w:tc>
        <w:tc>
          <w:tcPr>
            <w:tcW w:w="2126" w:type="dxa"/>
            <w:vAlign w:val="center"/>
          </w:tcPr>
          <w:p w14:paraId="6E9E4076">
            <w:pPr>
              <w:spacing w:line="320" w:lineRule="exact"/>
              <w:jc w:val="center"/>
              <w:rPr>
                <w:rFonts w:ascii="Times New Roman" w:eastAsia="仿宋"/>
                <w:szCs w:val="21"/>
              </w:rPr>
            </w:pPr>
            <w:r>
              <w:rPr>
                <w:rFonts w:hint="eastAsia" w:ascii="Times New Roman" w:eastAsia="仿宋"/>
                <w:szCs w:val="21"/>
              </w:rPr>
              <w:t>约240</w:t>
            </w:r>
          </w:p>
        </w:tc>
      </w:tr>
      <w:tr w14:paraId="5C04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F9DB16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E9D5937">
            <w:pPr>
              <w:adjustRightInd w:val="0"/>
              <w:snapToGrid w:val="0"/>
              <w:jc w:val="center"/>
              <w:rPr>
                <w:rFonts w:ascii="Times New Roman" w:eastAsia="仿宋"/>
                <w:szCs w:val="21"/>
              </w:rPr>
            </w:pPr>
            <w:r>
              <w:rPr>
                <w:rFonts w:ascii="Times New Roman" w:eastAsia="仿宋"/>
                <w:szCs w:val="21"/>
              </w:rPr>
              <w:t>2</w:t>
            </w:r>
          </w:p>
        </w:tc>
        <w:tc>
          <w:tcPr>
            <w:tcW w:w="2126" w:type="dxa"/>
            <w:vAlign w:val="center"/>
          </w:tcPr>
          <w:p w14:paraId="78E038AC">
            <w:pPr>
              <w:spacing w:line="320" w:lineRule="exact"/>
              <w:jc w:val="center"/>
              <w:rPr>
                <w:rFonts w:ascii="Times New Roman" w:eastAsia="仿宋"/>
                <w:szCs w:val="21"/>
              </w:rPr>
            </w:pPr>
            <w:r>
              <w:rPr>
                <w:rFonts w:hint="eastAsia" w:ascii="Times New Roman" w:eastAsia="仿宋"/>
                <w:szCs w:val="21"/>
              </w:rPr>
              <w:t>红旗圩村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3DF5855">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1D413F8F">
            <w:pPr>
              <w:spacing w:line="320" w:lineRule="exact"/>
              <w:jc w:val="center"/>
              <w:rPr>
                <w:rFonts w:ascii="Times New Roman" w:eastAsia="仿宋"/>
                <w:szCs w:val="21"/>
              </w:rPr>
            </w:pPr>
            <w:r>
              <w:rPr>
                <w:rFonts w:hint="eastAsia" w:ascii="Times New Roman" w:eastAsia="仿宋"/>
                <w:szCs w:val="21"/>
              </w:rPr>
              <w:t>约2750</w:t>
            </w:r>
          </w:p>
        </w:tc>
        <w:tc>
          <w:tcPr>
            <w:tcW w:w="1276" w:type="dxa"/>
            <w:tcBorders>
              <w:top w:val="single" w:color="auto" w:sz="4" w:space="0"/>
              <w:left w:val="single" w:color="auto" w:sz="4" w:space="0"/>
              <w:bottom w:val="single" w:color="auto" w:sz="4" w:space="0"/>
              <w:right w:val="single" w:color="auto" w:sz="4" w:space="0"/>
            </w:tcBorders>
            <w:vAlign w:val="center"/>
          </w:tcPr>
          <w:p w14:paraId="7F0C21CD">
            <w:pPr>
              <w:adjustRightInd w:val="0"/>
              <w:snapToGrid w:val="0"/>
              <w:jc w:val="center"/>
              <w:rPr>
                <w:rFonts w:ascii="Times New Roman" w:eastAsia="仿宋"/>
                <w:szCs w:val="21"/>
              </w:rPr>
            </w:pPr>
            <w:r>
              <w:rPr>
                <w:rFonts w:ascii="Times New Roman" w:eastAsia="仿宋"/>
                <w:szCs w:val="21"/>
              </w:rPr>
              <w:t>居住区</w:t>
            </w:r>
          </w:p>
        </w:tc>
        <w:tc>
          <w:tcPr>
            <w:tcW w:w="2126" w:type="dxa"/>
            <w:vAlign w:val="center"/>
          </w:tcPr>
          <w:p w14:paraId="139258CB">
            <w:pPr>
              <w:spacing w:line="320" w:lineRule="exact"/>
              <w:jc w:val="center"/>
              <w:rPr>
                <w:rFonts w:ascii="Times New Roman" w:eastAsia="仿宋"/>
                <w:szCs w:val="21"/>
              </w:rPr>
            </w:pPr>
            <w:r>
              <w:rPr>
                <w:rFonts w:hint="eastAsia" w:ascii="Times New Roman" w:eastAsia="仿宋"/>
                <w:szCs w:val="21"/>
              </w:rPr>
              <w:t>约240</w:t>
            </w:r>
          </w:p>
        </w:tc>
      </w:tr>
      <w:tr w14:paraId="4346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094734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DC7D2D7">
            <w:pPr>
              <w:adjustRightInd w:val="0"/>
              <w:snapToGrid w:val="0"/>
              <w:jc w:val="center"/>
              <w:rPr>
                <w:rFonts w:ascii="Times New Roman" w:eastAsia="仿宋"/>
                <w:szCs w:val="21"/>
              </w:rPr>
            </w:pPr>
            <w:r>
              <w:rPr>
                <w:rFonts w:ascii="Times New Roman" w:eastAsia="仿宋"/>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14:paraId="259E517B">
            <w:pPr>
              <w:spacing w:line="320" w:lineRule="exact"/>
              <w:jc w:val="center"/>
              <w:rPr>
                <w:rFonts w:ascii="Times New Roman" w:eastAsia="仿宋"/>
                <w:szCs w:val="21"/>
              </w:rPr>
            </w:pPr>
            <w:r>
              <w:rPr>
                <w:rFonts w:hint="eastAsia" w:ascii="Times New Roman" w:eastAsia="仿宋"/>
                <w:szCs w:val="21"/>
              </w:rPr>
              <w:t>丁东</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00AE389">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128E20D8">
            <w:pPr>
              <w:spacing w:line="320" w:lineRule="exact"/>
              <w:jc w:val="center"/>
              <w:rPr>
                <w:rFonts w:ascii="Times New Roman" w:eastAsia="仿宋"/>
                <w:szCs w:val="21"/>
              </w:rPr>
            </w:pPr>
            <w:r>
              <w:rPr>
                <w:rFonts w:hint="eastAsia" w:ascii="Times New Roman" w:eastAsia="仿宋"/>
                <w:szCs w:val="21"/>
              </w:rPr>
              <w:t>约2900</w:t>
            </w:r>
          </w:p>
        </w:tc>
        <w:tc>
          <w:tcPr>
            <w:tcW w:w="1276" w:type="dxa"/>
            <w:tcBorders>
              <w:top w:val="single" w:color="auto" w:sz="4" w:space="0"/>
              <w:left w:val="single" w:color="auto" w:sz="4" w:space="0"/>
              <w:bottom w:val="single" w:color="auto" w:sz="4" w:space="0"/>
              <w:right w:val="single" w:color="auto" w:sz="4" w:space="0"/>
            </w:tcBorders>
            <w:vAlign w:val="center"/>
          </w:tcPr>
          <w:p w14:paraId="49D387DC">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BEDAF47">
            <w:pPr>
              <w:spacing w:line="320" w:lineRule="exact"/>
              <w:jc w:val="center"/>
              <w:rPr>
                <w:rFonts w:ascii="Times New Roman" w:eastAsia="仿宋"/>
                <w:szCs w:val="21"/>
              </w:rPr>
            </w:pPr>
            <w:r>
              <w:rPr>
                <w:rFonts w:hint="eastAsia" w:ascii="Times New Roman" w:eastAsia="仿宋"/>
                <w:szCs w:val="21"/>
              </w:rPr>
              <w:t>约276</w:t>
            </w:r>
          </w:p>
        </w:tc>
      </w:tr>
      <w:tr w14:paraId="692E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46E303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764DED3">
            <w:pPr>
              <w:adjustRightInd w:val="0"/>
              <w:snapToGrid w:val="0"/>
              <w:jc w:val="center"/>
              <w:rPr>
                <w:rFonts w:ascii="Times New Roman" w:eastAsia="仿宋"/>
                <w:szCs w:val="21"/>
              </w:rPr>
            </w:pPr>
            <w:r>
              <w:rPr>
                <w:rFonts w:ascii="Times New Roman" w:eastAsia="仿宋"/>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14:paraId="2BCCE8E4">
            <w:pPr>
              <w:spacing w:line="320" w:lineRule="exact"/>
              <w:jc w:val="center"/>
              <w:rPr>
                <w:rFonts w:ascii="Times New Roman" w:eastAsia="仿宋"/>
                <w:szCs w:val="21"/>
              </w:rPr>
            </w:pPr>
            <w:r>
              <w:rPr>
                <w:rFonts w:hint="eastAsia" w:ascii="Times New Roman" w:eastAsia="仿宋"/>
                <w:szCs w:val="21"/>
              </w:rPr>
              <w:t>王家村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CA58C4B">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16F5D26B">
            <w:pPr>
              <w:spacing w:line="320" w:lineRule="exact"/>
              <w:jc w:val="center"/>
              <w:rPr>
                <w:rFonts w:ascii="Times New Roman" w:eastAsia="仿宋"/>
                <w:szCs w:val="21"/>
              </w:rPr>
            </w:pPr>
            <w:r>
              <w:rPr>
                <w:rFonts w:hint="eastAsia" w:ascii="Times New Roman" w:eastAsia="仿宋"/>
                <w:szCs w:val="21"/>
              </w:rPr>
              <w:t>约3250</w:t>
            </w:r>
          </w:p>
        </w:tc>
        <w:tc>
          <w:tcPr>
            <w:tcW w:w="1276" w:type="dxa"/>
            <w:tcBorders>
              <w:top w:val="single" w:color="auto" w:sz="4" w:space="0"/>
              <w:left w:val="single" w:color="auto" w:sz="4" w:space="0"/>
              <w:bottom w:val="single" w:color="auto" w:sz="4" w:space="0"/>
              <w:right w:val="single" w:color="auto" w:sz="4" w:space="0"/>
            </w:tcBorders>
            <w:vAlign w:val="center"/>
          </w:tcPr>
          <w:p w14:paraId="6C464C2A">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FD801C6">
            <w:pPr>
              <w:spacing w:line="320" w:lineRule="exact"/>
              <w:jc w:val="center"/>
              <w:rPr>
                <w:rFonts w:ascii="Times New Roman" w:eastAsia="仿宋"/>
                <w:szCs w:val="21"/>
              </w:rPr>
            </w:pPr>
            <w:r>
              <w:rPr>
                <w:rFonts w:hint="eastAsia" w:ascii="Times New Roman" w:eastAsia="仿宋"/>
                <w:szCs w:val="21"/>
              </w:rPr>
              <w:t>约120</w:t>
            </w:r>
          </w:p>
        </w:tc>
      </w:tr>
      <w:tr w14:paraId="55E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A3A5C5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D13955E">
            <w:pPr>
              <w:adjustRightInd w:val="0"/>
              <w:snapToGrid w:val="0"/>
              <w:jc w:val="center"/>
              <w:rPr>
                <w:rFonts w:ascii="Times New Roman" w:eastAsia="仿宋"/>
                <w:szCs w:val="21"/>
              </w:rPr>
            </w:pPr>
            <w:r>
              <w:rPr>
                <w:rFonts w:ascii="Times New Roman" w:eastAsia="仿宋"/>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14:paraId="5FFB048D">
            <w:pPr>
              <w:spacing w:line="320" w:lineRule="exact"/>
              <w:jc w:val="center"/>
              <w:rPr>
                <w:rFonts w:ascii="Times New Roman" w:eastAsia="仿宋"/>
                <w:szCs w:val="21"/>
              </w:rPr>
            </w:pPr>
            <w:r>
              <w:rPr>
                <w:rFonts w:hint="eastAsia" w:ascii="Times New Roman" w:eastAsia="仿宋"/>
                <w:szCs w:val="21"/>
              </w:rPr>
              <w:t>袁家村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0052786">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5CB45FC3">
            <w:pPr>
              <w:spacing w:line="320" w:lineRule="exact"/>
              <w:jc w:val="center"/>
              <w:rPr>
                <w:rFonts w:ascii="Times New Roman" w:eastAsia="仿宋"/>
                <w:szCs w:val="21"/>
              </w:rPr>
            </w:pPr>
            <w:r>
              <w:rPr>
                <w:rFonts w:hint="eastAsia" w:ascii="Times New Roman" w:eastAsia="仿宋"/>
                <w:szCs w:val="21"/>
              </w:rPr>
              <w:t>约3650</w:t>
            </w:r>
          </w:p>
        </w:tc>
        <w:tc>
          <w:tcPr>
            <w:tcW w:w="1276" w:type="dxa"/>
            <w:tcBorders>
              <w:top w:val="single" w:color="auto" w:sz="4" w:space="0"/>
              <w:left w:val="single" w:color="auto" w:sz="4" w:space="0"/>
              <w:bottom w:val="single" w:color="auto" w:sz="4" w:space="0"/>
              <w:right w:val="single" w:color="auto" w:sz="4" w:space="0"/>
            </w:tcBorders>
            <w:vAlign w:val="center"/>
          </w:tcPr>
          <w:p w14:paraId="74EAC679">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10B49B1">
            <w:pPr>
              <w:spacing w:line="320" w:lineRule="exact"/>
              <w:jc w:val="center"/>
              <w:rPr>
                <w:rFonts w:ascii="Times New Roman" w:eastAsia="仿宋"/>
                <w:szCs w:val="21"/>
              </w:rPr>
            </w:pPr>
            <w:r>
              <w:rPr>
                <w:rFonts w:hint="eastAsia" w:ascii="Times New Roman" w:eastAsia="仿宋"/>
                <w:szCs w:val="21"/>
              </w:rPr>
              <w:t>约300</w:t>
            </w:r>
          </w:p>
        </w:tc>
      </w:tr>
      <w:tr w14:paraId="622F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128ABA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CBBAF47">
            <w:pPr>
              <w:adjustRightInd w:val="0"/>
              <w:snapToGrid w:val="0"/>
              <w:jc w:val="center"/>
              <w:rPr>
                <w:rFonts w:ascii="Times New Roman" w:eastAsia="仿宋"/>
                <w:szCs w:val="21"/>
              </w:rPr>
            </w:pPr>
            <w:r>
              <w:rPr>
                <w:rFonts w:ascii="Times New Roman" w:eastAsia="仿宋"/>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14:paraId="6BA9A12B">
            <w:pPr>
              <w:spacing w:line="320" w:lineRule="exact"/>
              <w:jc w:val="center"/>
              <w:rPr>
                <w:rFonts w:ascii="Times New Roman" w:eastAsia="仿宋"/>
                <w:szCs w:val="21"/>
              </w:rPr>
            </w:pPr>
            <w:r>
              <w:rPr>
                <w:rFonts w:hint="eastAsia" w:ascii="Times New Roman" w:eastAsia="仿宋"/>
                <w:szCs w:val="21"/>
              </w:rPr>
              <w:t>马口村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4A166B1">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177D4F1D">
            <w:pPr>
              <w:spacing w:line="320" w:lineRule="exact"/>
              <w:jc w:val="center"/>
              <w:rPr>
                <w:rFonts w:ascii="Times New Roman" w:eastAsia="仿宋"/>
                <w:szCs w:val="21"/>
              </w:rPr>
            </w:pPr>
            <w:r>
              <w:rPr>
                <w:rFonts w:hint="eastAsia" w:ascii="Times New Roman" w:eastAsia="仿宋"/>
                <w:szCs w:val="21"/>
              </w:rPr>
              <w:t>约3650</w:t>
            </w:r>
          </w:p>
        </w:tc>
        <w:tc>
          <w:tcPr>
            <w:tcW w:w="1276" w:type="dxa"/>
            <w:tcBorders>
              <w:top w:val="single" w:color="auto" w:sz="4" w:space="0"/>
              <w:left w:val="single" w:color="auto" w:sz="4" w:space="0"/>
              <w:bottom w:val="single" w:color="auto" w:sz="4" w:space="0"/>
              <w:right w:val="single" w:color="auto" w:sz="4" w:space="0"/>
            </w:tcBorders>
            <w:vAlign w:val="center"/>
          </w:tcPr>
          <w:p w14:paraId="13EFB74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51A3BF2">
            <w:pPr>
              <w:spacing w:line="320" w:lineRule="exact"/>
              <w:jc w:val="center"/>
              <w:rPr>
                <w:rFonts w:ascii="Times New Roman" w:eastAsia="仿宋"/>
                <w:szCs w:val="21"/>
              </w:rPr>
            </w:pPr>
            <w:r>
              <w:rPr>
                <w:rFonts w:hint="eastAsia" w:ascii="Times New Roman" w:eastAsia="仿宋"/>
                <w:szCs w:val="21"/>
              </w:rPr>
              <w:t>约180</w:t>
            </w:r>
          </w:p>
        </w:tc>
      </w:tr>
      <w:tr w14:paraId="72D6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503359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0838729">
            <w:pPr>
              <w:adjustRightInd w:val="0"/>
              <w:snapToGrid w:val="0"/>
              <w:jc w:val="center"/>
              <w:rPr>
                <w:rFonts w:ascii="Times New Roman" w:eastAsia="仿宋"/>
                <w:szCs w:val="21"/>
              </w:rPr>
            </w:pPr>
            <w:r>
              <w:rPr>
                <w:rFonts w:ascii="Times New Roman" w:eastAsia="仿宋"/>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14:paraId="210447E0">
            <w:pPr>
              <w:spacing w:line="320" w:lineRule="exact"/>
              <w:jc w:val="center"/>
              <w:rPr>
                <w:rFonts w:ascii="Times New Roman" w:eastAsia="仿宋"/>
                <w:szCs w:val="21"/>
              </w:rPr>
            </w:pPr>
            <w:r>
              <w:rPr>
                <w:rFonts w:hint="eastAsia" w:ascii="Times New Roman" w:eastAsia="仿宋"/>
                <w:szCs w:val="21"/>
              </w:rPr>
              <w:t>方家圩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2E35DE2">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328AC48A">
            <w:pPr>
              <w:spacing w:line="320" w:lineRule="exact"/>
              <w:jc w:val="center"/>
              <w:rPr>
                <w:rFonts w:ascii="Times New Roman" w:eastAsia="仿宋"/>
                <w:szCs w:val="21"/>
              </w:rPr>
            </w:pPr>
            <w:r>
              <w:rPr>
                <w:rFonts w:hint="eastAsia" w:ascii="Times New Roman" w:eastAsia="仿宋"/>
                <w:szCs w:val="21"/>
              </w:rPr>
              <w:t>约3700</w:t>
            </w:r>
          </w:p>
        </w:tc>
        <w:tc>
          <w:tcPr>
            <w:tcW w:w="1276" w:type="dxa"/>
            <w:tcBorders>
              <w:top w:val="single" w:color="auto" w:sz="4" w:space="0"/>
              <w:left w:val="single" w:color="auto" w:sz="4" w:space="0"/>
              <w:bottom w:val="single" w:color="auto" w:sz="4" w:space="0"/>
              <w:right w:val="single" w:color="auto" w:sz="4" w:space="0"/>
            </w:tcBorders>
            <w:vAlign w:val="center"/>
          </w:tcPr>
          <w:p w14:paraId="0595809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7C191D36">
            <w:pPr>
              <w:spacing w:line="320" w:lineRule="exact"/>
              <w:jc w:val="center"/>
              <w:rPr>
                <w:rFonts w:ascii="Times New Roman" w:eastAsia="仿宋"/>
                <w:szCs w:val="21"/>
              </w:rPr>
            </w:pPr>
            <w:r>
              <w:rPr>
                <w:rFonts w:hint="eastAsia" w:ascii="Times New Roman" w:eastAsia="仿宋"/>
                <w:szCs w:val="21"/>
              </w:rPr>
              <w:t>约216</w:t>
            </w:r>
          </w:p>
        </w:tc>
      </w:tr>
      <w:tr w14:paraId="326A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37DF04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AA1E67B">
            <w:pPr>
              <w:adjustRightInd w:val="0"/>
              <w:snapToGrid w:val="0"/>
              <w:jc w:val="center"/>
              <w:rPr>
                <w:rFonts w:ascii="Times New Roman" w:eastAsia="仿宋"/>
                <w:szCs w:val="21"/>
              </w:rPr>
            </w:pPr>
            <w:r>
              <w:rPr>
                <w:rFonts w:ascii="Times New Roman" w:eastAsia="仿宋"/>
                <w:szCs w:val="21"/>
              </w:rPr>
              <w:t>8</w:t>
            </w:r>
          </w:p>
        </w:tc>
        <w:tc>
          <w:tcPr>
            <w:tcW w:w="2126" w:type="dxa"/>
            <w:tcBorders>
              <w:top w:val="single" w:color="auto" w:sz="4" w:space="0"/>
              <w:left w:val="single" w:color="auto" w:sz="4" w:space="0"/>
              <w:bottom w:val="single" w:color="auto" w:sz="4" w:space="0"/>
              <w:right w:val="single" w:color="auto" w:sz="4" w:space="0"/>
            </w:tcBorders>
            <w:vAlign w:val="center"/>
          </w:tcPr>
          <w:p w14:paraId="29AC4718">
            <w:pPr>
              <w:spacing w:line="320" w:lineRule="exact"/>
              <w:jc w:val="center"/>
              <w:rPr>
                <w:rFonts w:ascii="Times New Roman" w:eastAsia="仿宋"/>
                <w:szCs w:val="21"/>
              </w:rPr>
            </w:pPr>
            <w:r>
              <w:rPr>
                <w:rFonts w:hint="eastAsia" w:ascii="Times New Roman" w:eastAsia="仿宋"/>
                <w:szCs w:val="21"/>
              </w:rPr>
              <w:t>下圩村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193E531">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02EA21FC">
            <w:pPr>
              <w:spacing w:line="320" w:lineRule="exact"/>
              <w:jc w:val="center"/>
              <w:rPr>
                <w:rFonts w:ascii="Times New Roman" w:eastAsia="仿宋"/>
                <w:szCs w:val="21"/>
              </w:rPr>
            </w:pPr>
            <w:r>
              <w:rPr>
                <w:rFonts w:hint="eastAsia" w:ascii="Times New Roman" w:eastAsia="仿宋"/>
                <w:szCs w:val="21"/>
              </w:rPr>
              <w:t>约4050</w:t>
            </w:r>
          </w:p>
        </w:tc>
        <w:tc>
          <w:tcPr>
            <w:tcW w:w="1276" w:type="dxa"/>
            <w:tcBorders>
              <w:top w:val="single" w:color="auto" w:sz="4" w:space="0"/>
              <w:left w:val="single" w:color="auto" w:sz="4" w:space="0"/>
              <w:bottom w:val="single" w:color="auto" w:sz="4" w:space="0"/>
              <w:right w:val="single" w:color="auto" w:sz="4" w:space="0"/>
            </w:tcBorders>
            <w:vAlign w:val="center"/>
          </w:tcPr>
          <w:p w14:paraId="569E164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6FD1F03">
            <w:pPr>
              <w:spacing w:line="320" w:lineRule="exact"/>
              <w:jc w:val="center"/>
              <w:rPr>
                <w:rFonts w:ascii="Times New Roman" w:eastAsia="仿宋"/>
                <w:szCs w:val="21"/>
              </w:rPr>
            </w:pPr>
            <w:r>
              <w:rPr>
                <w:rFonts w:hint="eastAsia" w:ascii="Times New Roman" w:eastAsia="仿宋"/>
                <w:szCs w:val="21"/>
              </w:rPr>
              <w:t>约180</w:t>
            </w:r>
          </w:p>
        </w:tc>
      </w:tr>
      <w:tr w14:paraId="1CDF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3313DF1">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8E926D7">
            <w:pPr>
              <w:adjustRightInd w:val="0"/>
              <w:snapToGrid w:val="0"/>
              <w:jc w:val="center"/>
              <w:rPr>
                <w:rFonts w:ascii="Times New Roman" w:eastAsia="仿宋"/>
                <w:szCs w:val="21"/>
              </w:rPr>
            </w:pPr>
            <w:r>
              <w:rPr>
                <w:rFonts w:ascii="Times New Roman" w:eastAsia="仿宋"/>
                <w:szCs w:val="21"/>
              </w:rPr>
              <w:t>9</w:t>
            </w:r>
          </w:p>
        </w:tc>
        <w:tc>
          <w:tcPr>
            <w:tcW w:w="2126" w:type="dxa"/>
            <w:tcBorders>
              <w:top w:val="single" w:color="auto" w:sz="4" w:space="0"/>
              <w:left w:val="single" w:color="auto" w:sz="4" w:space="0"/>
              <w:bottom w:val="single" w:color="auto" w:sz="4" w:space="0"/>
              <w:right w:val="single" w:color="auto" w:sz="4" w:space="0"/>
            </w:tcBorders>
            <w:vAlign w:val="center"/>
          </w:tcPr>
          <w:p w14:paraId="4C790B48">
            <w:pPr>
              <w:spacing w:line="320" w:lineRule="exact"/>
              <w:jc w:val="center"/>
              <w:rPr>
                <w:rFonts w:ascii="Times New Roman" w:eastAsia="仿宋"/>
                <w:szCs w:val="21"/>
              </w:rPr>
            </w:pPr>
            <w:r>
              <w:rPr>
                <w:rFonts w:hint="eastAsia" w:ascii="Times New Roman" w:eastAsia="仿宋"/>
                <w:szCs w:val="21"/>
              </w:rPr>
              <w:t>张家村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66FD5C1">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41826D8E">
            <w:pPr>
              <w:spacing w:line="320" w:lineRule="exact"/>
              <w:jc w:val="center"/>
              <w:rPr>
                <w:rFonts w:ascii="Times New Roman" w:eastAsia="仿宋"/>
                <w:szCs w:val="21"/>
              </w:rPr>
            </w:pPr>
            <w:r>
              <w:rPr>
                <w:rFonts w:hint="eastAsia" w:ascii="Times New Roman" w:eastAsia="仿宋"/>
                <w:szCs w:val="21"/>
              </w:rPr>
              <w:t>约4050</w:t>
            </w:r>
          </w:p>
        </w:tc>
        <w:tc>
          <w:tcPr>
            <w:tcW w:w="1276" w:type="dxa"/>
            <w:tcBorders>
              <w:top w:val="single" w:color="auto" w:sz="4" w:space="0"/>
              <w:left w:val="single" w:color="auto" w:sz="4" w:space="0"/>
              <w:bottom w:val="single" w:color="auto" w:sz="4" w:space="0"/>
              <w:right w:val="single" w:color="auto" w:sz="4" w:space="0"/>
            </w:tcBorders>
            <w:vAlign w:val="center"/>
          </w:tcPr>
          <w:p w14:paraId="63D0947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A8C6219">
            <w:pPr>
              <w:spacing w:line="320" w:lineRule="exact"/>
              <w:jc w:val="center"/>
              <w:rPr>
                <w:rFonts w:ascii="Times New Roman" w:eastAsia="仿宋"/>
                <w:szCs w:val="21"/>
              </w:rPr>
            </w:pPr>
            <w:r>
              <w:rPr>
                <w:rFonts w:hint="eastAsia" w:ascii="Times New Roman" w:eastAsia="仿宋"/>
                <w:szCs w:val="21"/>
              </w:rPr>
              <w:t>约216</w:t>
            </w:r>
          </w:p>
        </w:tc>
      </w:tr>
      <w:tr w14:paraId="05D9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ECDDDB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F025E9F">
            <w:pPr>
              <w:adjustRightInd w:val="0"/>
              <w:snapToGrid w:val="0"/>
              <w:jc w:val="center"/>
              <w:rPr>
                <w:rFonts w:ascii="Times New Roman" w:eastAsia="仿宋"/>
                <w:szCs w:val="21"/>
              </w:rPr>
            </w:pPr>
            <w:r>
              <w:rPr>
                <w:rFonts w:ascii="Times New Roman" w:eastAsia="仿宋"/>
                <w:szCs w:val="21"/>
              </w:rPr>
              <w:t>10</w:t>
            </w:r>
          </w:p>
        </w:tc>
        <w:tc>
          <w:tcPr>
            <w:tcW w:w="2126" w:type="dxa"/>
            <w:tcBorders>
              <w:top w:val="single" w:color="auto" w:sz="4" w:space="0"/>
              <w:left w:val="single" w:color="auto" w:sz="4" w:space="0"/>
              <w:bottom w:val="single" w:color="auto" w:sz="4" w:space="0"/>
              <w:right w:val="single" w:color="auto" w:sz="4" w:space="0"/>
            </w:tcBorders>
            <w:vAlign w:val="center"/>
          </w:tcPr>
          <w:p w14:paraId="6E7D78A5">
            <w:pPr>
              <w:spacing w:line="320" w:lineRule="exact"/>
              <w:jc w:val="center"/>
              <w:rPr>
                <w:rFonts w:ascii="Times New Roman" w:eastAsia="仿宋"/>
                <w:szCs w:val="21"/>
              </w:rPr>
            </w:pPr>
            <w:r>
              <w:rPr>
                <w:rFonts w:hint="eastAsia" w:ascii="Times New Roman" w:eastAsia="仿宋"/>
                <w:szCs w:val="21"/>
              </w:rPr>
              <w:t>倒坛村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0978429">
            <w:pPr>
              <w:spacing w:line="320" w:lineRule="exact"/>
              <w:jc w:val="center"/>
              <w:rPr>
                <w:rFonts w:ascii="Times New Roman" w:eastAsia="仿宋"/>
                <w:szCs w:val="21"/>
              </w:rPr>
            </w:pPr>
            <w:r>
              <w:rPr>
                <w:rFonts w:hint="eastAsia" w:ascii="Times New Roman" w:eastAsia="仿宋"/>
                <w:szCs w:val="21"/>
              </w:rPr>
              <w:t>E</w:t>
            </w:r>
          </w:p>
        </w:tc>
        <w:tc>
          <w:tcPr>
            <w:tcW w:w="1134" w:type="dxa"/>
            <w:gridSpan w:val="2"/>
            <w:vAlign w:val="center"/>
          </w:tcPr>
          <w:p w14:paraId="657B103B">
            <w:pPr>
              <w:spacing w:line="320" w:lineRule="exact"/>
              <w:jc w:val="center"/>
              <w:rPr>
                <w:rFonts w:ascii="Times New Roman" w:eastAsia="仿宋"/>
                <w:szCs w:val="21"/>
              </w:rPr>
            </w:pPr>
            <w:r>
              <w:rPr>
                <w:rFonts w:hint="eastAsia" w:ascii="Times New Roman" w:eastAsia="仿宋"/>
                <w:szCs w:val="21"/>
              </w:rPr>
              <w:t>约4250</w:t>
            </w:r>
          </w:p>
        </w:tc>
        <w:tc>
          <w:tcPr>
            <w:tcW w:w="1276" w:type="dxa"/>
            <w:tcBorders>
              <w:top w:val="single" w:color="auto" w:sz="4" w:space="0"/>
              <w:left w:val="single" w:color="auto" w:sz="4" w:space="0"/>
              <w:bottom w:val="single" w:color="auto" w:sz="4" w:space="0"/>
              <w:right w:val="single" w:color="auto" w:sz="4" w:space="0"/>
            </w:tcBorders>
            <w:vAlign w:val="center"/>
          </w:tcPr>
          <w:p w14:paraId="46BC0F4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745238E7">
            <w:pPr>
              <w:spacing w:line="320" w:lineRule="exact"/>
              <w:jc w:val="center"/>
              <w:rPr>
                <w:rFonts w:ascii="Times New Roman" w:eastAsia="仿宋"/>
                <w:szCs w:val="21"/>
              </w:rPr>
            </w:pPr>
            <w:r>
              <w:rPr>
                <w:rFonts w:hint="eastAsia" w:ascii="Times New Roman" w:eastAsia="仿宋"/>
                <w:szCs w:val="21"/>
              </w:rPr>
              <w:t>约216</w:t>
            </w:r>
          </w:p>
        </w:tc>
      </w:tr>
      <w:tr w14:paraId="31D1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1D0B911">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033C325">
            <w:pPr>
              <w:adjustRightInd w:val="0"/>
              <w:snapToGrid w:val="0"/>
              <w:jc w:val="center"/>
              <w:rPr>
                <w:rFonts w:ascii="Times New Roman" w:eastAsia="仿宋"/>
                <w:szCs w:val="21"/>
              </w:rPr>
            </w:pPr>
            <w:r>
              <w:rPr>
                <w:rFonts w:ascii="Times New Roman" w:eastAsia="仿宋"/>
                <w:szCs w:val="21"/>
              </w:rPr>
              <w:t>11</w:t>
            </w:r>
          </w:p>
        </w:tc>
        <w:tc>
          <w:tcPr>
            <w:tcW w:w="2126" w:type="dxa"/>
            <w:tcBorders>
              <w:top w:val="single" w:color="auto" w:sz="4" w:space="0"/>
              <w:left w:val="single" w:color="auto" w:sz="4" w:space="0"/>
              <w:bottom w:val="single" w:color="auto" w:sz="4" w:space="0"/>
              <w:right w:val="single" w:color="auto" w:sz="4" w:space="0"/>
            </w:tcBorders>
            <w:vAlign w:val="center"/>
          </w:tcPr>
          <w:p w14:paraId="647F64AA">
            <w:pPr>
              <w:spacing w:line="320" w:lineRule="exact"/>
              <w:jc w:val="center"/>
              <w:rPr>
                <w:rFonts w:ascii="Times New Roman" w:eastAsia="仿宋"/>
                <w:szCs w:val="21"/>
              </w:rPr>
            </w:pPr>
            <w:r>
              <w:rPr>
                <w:rFonts w:hint="eastAsia" w:ascii="Times New Roman" w:eastAsia="仿宋"/>
                <w:szCs w:val="21"/>
              </w:rPr>
              <w:t>庄基村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53A1ED1">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5EB8C7AE">
            <w:pPr>
              <w:spacing w:line="320" w:lineRule="exact"/>
              <w:jc w:val="center"/>
              <w:rPr>
                <w:rFonts w:ascii="Times New Roman" w:eastAsia="仿宋"/>
                <w:szCs w:val="21"/>
              </w:rPr>
            </w:pPr>
            <w:r>
              <w:rPr>
                <w:rFonts w:hint="eastAsia" w:ascii="Times New Roman" w:eastAsia="仿宋"/>
                <w:szCs w:val="21"/>
              </w:rPr>
              <w:t>约1400</w:t>
            </w:r>
          </w:p>
        </w:tc>
        <w:tc>
          <w:tcPr>
            <w:tcW w:w="1276" w:type="dxa"/>
            <w:tcBorders>
              <w:top w:val="single" w:color="auto" w:sz="4" w:space="0"/>
              <w:left w:val="single" w:color="auto" w:sz="4" w:space="0"/>
              <w:bottom w:val="single" w:color="auto" w:sz="4" w:space="0"/>
              <w:right w:val="single" w:color="auto" w:sz="4" w:space="0"/>
            </w:tcBorders>
            <w:vAlign w:val="center"/>
          </w:tcPr>
          <w:p w14:paraId="78E35914">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5FDB70C">
            <w:pPr>
              <w:spacing w:line="320" w:lineRule="exact"/>
              <w:jc w:val="center"/>
              <w:rPr>
                <w:rFonts w:ascii="Times New Roman" w:eastAsia="仿宋"/>
                <w:szCs w:val="21"/>
              </w:rPr>
            </w:pPr>
            <w:r>
              <w:rPr>
                <w:rFonts w:hint="eastAsia" w:ascii="Times New Roman" w:eastAsia="仿宋"/>
                <w:szCs w:val="21"/>
              </w:rPr>
              <w:t>约540</w:t>
            </w:r>
          </w:p>
        </w:tc>
      </w:tr>
      <w:tr w14:paraId="29DA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C46B3AB">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E7D0591">
            <w:pPr>
              <w:adjustRightInd w:val="0"/>
              <w:snapToGrid w:val="0"/>
              <w:jc w:val="center"/>
              <w:rPr>
                <w:rFonts w:ascii="Times New Roman" w:eastAsia="仿宋"/>
                <w:szCs w:val="21"/>
              </w:rPr>
            </w:pPr>
            <w:r>
              <w:rPr>
                <w:rFonts w:ascii="Times New Roman" w:eastAsia="仿宋"/>
                <w:szCs w:val="21"/>
              </w:rPr>
              <w:t>12</w:t>
            </w:r>
          </w:p>
        </w:tc>
        <w:tc>
          <w:tcPr>
            <w:tcW w:w="2126" w:type="dxa"/>
            <w:tcBorders>
              <w:top w:val="single" w:color="auto" w:sz="4" w:space="0"/>
              <w:left w:val="single" w:color="auto" w:sz="4" w:space="0"/>
              <w:bottom w:val="single" w:color="auto" w:sz="4" w:space="0"/>
              <w:right w:val="single" w:color="auto" w:sz="4" w:space="0"/>
            </w:tcBorders>
            <w:vAlign w:val="center"/>
          </w:tcPr>
          <w:p w14:paraId="776065E0">
            <w:pPr>
              <w:spacing w:line="320" w:lineRule="exact"/>
              <w:jc w:val="center"/>
              <w:rPr>
                <w:rFonts w:ascii="Times New Roman" w:eastAsia="仿宋"/>
                <w:szCs w:val="21"/>
              </w:rPr>
            </w:pPr>
            <w:r>
              <w:rPr>
                <w:rFonts w:hint="eastAsia" w:ascii="Times New Roman" w:eastAsia="仿宋"/>
                <w:szCs w:val="21"/>
              </w:rPr>
              <w:t>西贺家村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A9CEBC1">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DBB1BA5">
            <w:pPr>
              <w:spacing w:line="320" w:lineRule="exact"/>
              <w:jc w:val="center"/>
              <w:rPr>
                <w:rFonts w:ascii="Times New Roman" w:eastAsia="仿宋"/>
                <w:szCs w:val="21"/>
              </w:rPr>
            </w:pPr>
            <w:r>
              <w:rPr>
                <w:rFonts w:hint="eastAsia" w:ascii="Times New Roman" w:eastAsia="仿宋"/>
                <w:szCs w:val="21"/>
              </w:rPr>
              <w:t>约2400</w:t>
            </w:r>
          </w:p>
        </w:tc>
        <w:tc>
          <w:tcPr>
            <w:tcW w:w="1276" w:type="dxa"/>
            <w:tcBorders>
              <w:top w:val="single" w:color="auto" w:sz="4" w:space="0"/>
              <w:left w:val="single" w:color="auto" w:sz="4" w:space="0"/>
              <w:bottom w:val="single" w:color="auto" w:sz="4" w:space="0"/>
              <w:right w:val="single" w:color="auto" w:sz="4" w:space="0"/>
            </w:tcBorders>
            <w:vAlign w:val="center"/>
          </w:tcPr>
          <w:p w14:paraId="78DE115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EAA7502">
            <w:pPr>
              <w:spacing w:line="320" w:lineRule="exact"/>
              <w:jc w:val="center"/>
              <w:rPr>
                <w:rFonts w:ascii="Times New Roman" w:eastAsia="仿宋"/>
                <w:szCs w:val="21"/>
              </w:rPr>
            </w:pPr>
            <w:r>
              <w:rPr>
                <w:rFonts w:hint="eastAsia" w:ascii="Times New Roman" w:eastAsia="仿宋"/>
                <w:szCs w:val="21"/>
              </w:rPr>
              <w:t>约180</w:t>
            </w:r>
          </w:p>
        </w:tc>
      </w:tr>
      <w:tr w14:paraId="14FE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EF61A32">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5DB3DCE">
            <w:pPr>
              <w:adjustRightInd w:val="0"/>
              <w:snapToGrid w:val="0"/>
              <w:jc w:val="center"/>
              <w:rPr>
                <w:rFonts w:ascii="Times New Roman" w:eastAsia="仿宋"/>
                <w:szCs w:val="21"/>
              </w:rPr>
            </w:pPr>
            <w:r>
              <w:rPr>
                <w:rFonts w:ascii="Times New Roman" w:eastAsia="仿宋"/>
                <w:szCs w:val="21"/>
              </w:rPr>
              <w:t>13</w:t>
            </w:r>
          </w:p>
        </w:tc>
        <w:tc>
          <w:tcPr>
            <w:tcW w:w="2126" w:type="dxa"/>
            <w:tcBorders>
              <w:top w:val="single" w:color="auto" w:sz="4" w:space="0"/>
              <w:left w:val="single" w:color="auto" w:sz="4" w:space="0"/>
              <w:bottom w:val="single" w:color="auto" w:sz="4" w:space="0"/>
              <w:right w:val="single" w:color="auto" w:sz="4" w:space="0"/>
            </w:tcBorders>
            <w:vAlign w:val="center"/>
          </w:tcPr>
          <w:p w14:paraId="6D28CEA3">
            <w:pPr>
              <w:spacing w:line="320" w:lineRule="exact"/>
              <w:jc w:val="center"/>
              <w:rPr>
                <w:rFonts w:ascii="Times New Roman" w:eastAsia="仿宋"/>
                <w:szCs w:val="21"/>
              </w:rPr>
            </w:pPr>
            <w:r>
              <w:rPr>
                <w:rFonts w:hint="eastAsia" w:ascii="Times New Roman" w:eastAsia="仿宋"/>
                <w:szCs w:val="21"/>
              </w:rPr>
              <w:t>沈店</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16302AA">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1C0FC72E">
            <w:pPr>
              <w:spacing w:line="320" w:lineRule="exact"/>
              <w:jc w:val="center"/>
              <w:rPr>
                <w:rFonts w:ascii="Times New Roman" w:eastAsia="仿宋"/>
                <w:szCs w:val="21"/>
              </w:rPr>
            </w:pPr>
            <w:r>
              <w:rPr>
                <w:rFonts w:hint="eastAsia" w:ascii="Times New Roman" w:eastAsia="仿宋"/>
                <w:szCs w:val="21"/>
              </w:rPr>
              <w:t>约2400</w:t>
            </w:r>
          </w:p>
        </w:tc>
        <w:tc>
          <w:tcPr>
            <w:tcW w:w="1276" w:type="dxa"/>
            <w:tcBorders>
              <w:top w:val="single" w:color="auto" w:sz="4" w:space="0"/>
              <w:left w:val="single" w:color="auto" w:sz="4" w:space="0"/>
              <w:bottom w:val="single" w:color="auto" w:sz="4" w:space="0"/>
              <w:right w:val="single" w:color="auto" w:sz="4" w:space="0"/>
            </w:tcBorders>
            <w:vAlign w:val="center"/>
          </w:tcPr>
          <w:p w14:paraId="6434EA64">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D18161B">
            <w:pPr>
              <w:spacing w:line="320" w:lineRule="exact"/>
              <w:jc w:val="center"/>
              <w:rPr>
                <w:rFonts w:ascii="Times New Roman" w:eastAsia="仿宋"/>
                <w:szCs w:val="21"/>
              </w:rPr>
            </w:pPr>
            <w:r>
              <w:rPr>
                <w:rFonts w:hint="eastAsia" w:ascii="Times New Roman" w:eastAsia="仿宋"/>
                <w:szCs w:val="21"/>
              </w:rPr>
              <w:t>约180</w:t>
            </w:r>
          </w:p>
        </w:tc>
      </w:tr>
      <w:tr w14:paraId="7457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E74D755">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047C1C1">
            <w:pPr>
              <w:adjustRightInd w:val="0"/>
              <w:snapToGrid w:val="0"/>
              <w:jc w:val="center"/>
              <w:rPr>
                <w:rFonts w:ascii="Times New Roman" w:eastAsia="仿宋"/>
                <w:szCs w:val="21"/>
              </w:rPr>
            </w:pPr>
            <w:r>
              <w:rPr>
                <w:rFonts w:ascii="Times New Roman" w:eastAsia="仿宋"/>
                <w:szCs w:val="21"/>
              </w:rPr>
              <w:t>14</w:t>
            </w:r>
          </w:p>
        </w:tc>
        <w:tc>
          <w:tcPr>
            <w:tcW w:w="2126" w:type="dxa"/>
            <w:tcBorders>
              <w:top w:val="single" w:color="auto" w:sz="4" w:space="0"/>
              <w:left w:val="single" w:color="auto" w:sz="4" w:space="0"/>
              <w:bottom w:val="single" w:color="auto" w:sz="4" w:space="0"/>
              <w:right w:val="single" w:color="auto" w:sz="4" w:space="0"/>
            </w:tcBorders>
            <w:vAlign w:val="center"/>
          </w:tcPr>
          <w:p w14:paraId="72A11127">
            <w:pPr>
              <w:spacing w:line="320" w:lineRule="exact"/>
              <w:jc w:val="center"/>
              <w:rPr>
                <w:rFonts w:ascii="Times New Roman" w:eastAsia="仿宋"/>
                <w:szCs w:val="21"/>
              </w:rPr>
            </w:pPr>
            <w:r>
              <w:rPr>
                <w:rFonts w:hint="eastAsia" w:ascii="Times New Roman" w:eastAsia="仿宋"/>
                <w:szCs w:val="21"/>
              </w:rPr>
              <w:t>新丰村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A256633">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87FE198">
            <w:pPr>
              <w:spacing w:line="320" w:lineRule="exact"/>
              <w:jc w:val="center"/>
              <w:rPr>
                <w:rFonts w:ascii="Times New Roman" w:eastAsia="仿宋"/>
                <w:szCs w:val="21"/>
              </w:rPr>
            </w:pPr>
            <w:r>
              <w:rPr>
                <w:rFonts w:hint="eastAsia" w:ascii="Times New Roman" w:eastAsia="仿宋"/>
                <w:szCs w:val="21"/>
              </w:rPr>
              <w:t>约2750</w:t>
            </w:r>
          </w:p>
        </w:tc>
        <w:tc>
          <w:tcPr>
            <w:tcW w:w="1276" w:type="dxa"/>
            <w:tcBorders>
              <w:top w:val="single" w:color="auto" w:sz="4" w:space="0"/>
              <w:left w:val="single" w:color="auto" w:sz="4" w:space="0"/>
              <w:bottom w:val="single" w:color="auto" w:sz="4" w:space="0"/>
              <w:right w:val="single" w:color="auto" w:sz="4" w:space="0"/>
            </w:tcBorders>
            <w:vAlign w:val="center"/>
          </w:tcPr>
          <w:p w14:paraId="74675DA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E7A2EC1">
            <w:pPr>
              <w:spacing w:line="320" w:lineRule="exact"/>
              <w:jc w:val="center"/>
              <w:rPr>
                <w:rFonts w:ascii="Times New Roman" w:eastAsia="仿宋"/>
                <w:szCs w:val="21"/>
              </w:rPr>
            </w:pPr>
            <w:r>
              <w:rPr>
                <w:rFonts w:hint="eastAsia" w:ascii="Times New Roman" w:eastAsia="仿宋"/>
                <w:szCs w:val="21"/>
              </w:rPr>
              <w:t>约240</w:t>
            </w:r>
          </w:p>
        </w:tc>
      </w:tr>
      <w:tr w14:paraId="4D16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583F85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0365A71">
            <w:pPr>
              <w:adjustRightInd w:val="0"/>
              <w:snapToGrid w:val="0"/>
              <w:jc w:val="center"/>
              <w:rPr>
                <w:rFonts w:ascii="Times New Roman" w:eastAsia="仿宋"/>
                <w:szCs w:val="21"/>
              </w:rPr>
            </w:pPr>
            <w:r>
              <w:rPr>
                <w:rFonts w:ascii="Times New Roman" w:eastAsia="仿宋"/>
                <w:szCs w:val="21"/>
              </w:rPr>
              <w:t>15</w:t>
            </w:r>
          </w:p>
        </w:tc>
        <w:tc>
          <w:tcPr>
            <w:tcW w:w="2126" w:type="dxa"/>
            <w:tcBorders>
              <w:top w:val="single" w:color="auto" w:sz="4" w:space="0"/>
              <w:left w:val="single" w:color="auto" w:sz="4" w:space="0"/>
              <w:bottom w:val="single" w:color="auto" w:sz="4" w:space="0"/>
              <w:right w:val="single" w:color="auto" w:sz="4" w:space="0"/>
            </w:tcBorders>
            <w:vAlign w:val="center"/>
          </w:tcPr>
          <w:p w14:paraId="1BC963EF">
            <w:pPr>
              <w:spacing w:line="320" w:lineRule="exact"/>
              <w:jc w:val="center"/>
              <w:rPr>
                <w:rFonts w:ascii="Times New Roman" w:eastAsia="仿宋"/>
                <w:szCs w:val="21"/>
              </w:rPr>
            </w:pPr>
            <w:r>
              <w:rPr>
                <w:rFonts w:hint="eastAsia" w:ascii="Times New Roman" w:eastAsia="仿宋"/>
                <w:szCs w:val="21"/>
              </w:rPr>
              <w:t>沈家桥</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3197DFB">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6D57E160">
            <w:pPr>
              <w:spacing w:line="320" w:lineRule="exact"/>
              <w:jc w:val="center"/>
              <w:rPr>
                <w:rFonts w:ascii="Times New Roman" w:eastAsia="仿宋"/>
                <w:szCs w:val="21"/>
              </w:rPr>
            </w:pPr>
            <w:r>
              <w:rPr>
                <w:rFonts w:hint="eastAsia" w:ascii="Times New Roman" w:eastAsia="仿宋"/>
                <w:szCs w:val="21"/>
              </w:rPr>
              <w:t>约2950</w:t>
            </w:r>
          </w:p>
        </w:tc>
        <w:tc>
          <w:tcPr>
            <w:tcW w:w="1276" w:type="dxa"/>
            <w:tcBorders>
              <w:top w:val="single" w:color="auto" w:sz="4" w:space="0"/>
              <w:left w:val="single" w:color="auto" w:sz="4" w:space="0"/>
              <w:bottom w:val="single" w:color="auto" w:sz="4" w:space="0"/>
              <w:right w:val="single" w:color="auto" w:sz="4" w:space="0"/>
            </w:tcBorders>
            <w:vAlign w:val="center"/>
          </w:tcPr>
          <w:p w14:paraId="2BA7D67C">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D09FF00">
            <w:pPr>
              <w:spacing w:line="320" w:lineRule="exact"/>
              <w:jc w:val="center"/>
              <w:rPr>
                <w:rFonts w:ascii="Times New Roman" w:eastAsia="仿宋"/>
                <w:szCs w:val="21"/>
              </w:rPr>
            </w:pPr>
            <w:r>
              <w:rPr>
                <w:rFonts w:hint="eastAsia" w:ascii="Times New Roman" w:eastAsia="仿宋"/>
                <w:szCs w:val="21"/>
              </w:rPr>
              <w:t>约240</w:t>
            </w:r>
          </w:p>
        </w:tc>
      </w:tr>
      <w:tr w14:paraId="65A3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0AF079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D54D5F4">
            <w:pPr>
              <w:adjustRightInd w:val="0"/>
              <w:snapToGrid w:val="0"/>
              <w:jc w:val="center"/>
              <w:rPr>
                <w:rFonts w:ascii="Times New Roman" w:eastAsia="仿宋"/>
                <w:szCs w:val="21"/>
              </w:rPr>
            </w:pPr>
            <w:r>
              <w:rPr>
                <w:rFonts w:ascii="Times New Roman" w:eastAsia="仿宋"/>
                <w:szCs w:val="21"/>
              </w:rPr>
              <w:t>16</w:t>
            </w:r>
          </w:p>
        </w:tc>
        <w:tc>
          <w:tcPr>
            <w:tcW w:w="2126" w:type="dxa"/>
            <w:tcBorders>
              <w:top w:val="single" w:color="auto" w:sz="4" w:space="0"/>
              <w:left w:val="single" w:color="auto" w:sz="4" w:space="0"/>
              <w:bottom w:val="single" w:color="auto" w:sz="4" w:space="0"/>
              <w:right w:val="single" w:color="auto" w:sz="4" w:space="0"/>
            </w:tcBorders>
            <w:vAlign w:val="center"/>
          </w:tcPr>
          <w:p w14:paraId="7D3D5A48">
            <w:pPr>
              <w:spacing w:line="320" w:lineRule="exact"/>
              <w:jc w:val="center"/>
              <w:rPr>
                <w:rFonts w:ascii="Times New Roman" w:eastAsia="仿宋"/>
                <w:szCs w:val="21"/>
              </w:rPr>
            </w:pPr>
            <w:r>
              <w:rPr>
                <w:rFonts w:hint="eastAsia" w:ascii="Times New Roman" w:eastAsia="仿宋"/>
                <w:szCs w:val="21"/>
              </w:rPr>
              <w:t>东贺家村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E36DF12">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8DCCA0D">
            <w:pPr>
              <w:spacing w:line="320" w:lineRule="exact"/>
              <w:jc w:val="center"/>
              <w:rPr>
                <w:rFonts w:ascii="Times New Roman" w:eastAsia="仿宋"/>
                <w:szCs w:val="21"/>
              </w:rPr>
            </w:pPr>
            <w:r>
              <w:rPr>
                <w:rFonts w:hint="eastAsia" w:ascii="Times New Roman" w:eastAsia="仿宋"/>
                <w:szCs w:val="21"/>
              </w:rPr>
              <w:t>约3000</w:t>
            </w:r>
          </w:p>
        </w:tc>
        <w:tc>
          <w:tcPr>
            <w:tcW w:w="1276" w:type="dxa"/>
            <w:tcBorders>
              <w:top w:val="single" w:color="auto" w:sz="4" w:space="0"/>
              <w:left w:val="single" w:color="auto" w:sz="4" w:space="0"/>
              <w:bottom w:val="single" w:color="auto" w:sz="4" w:space="0"/>
              <w:right w:val="single" w:color="auto" w:sz="4" w:space="0"/>
            </w:tcBorders>
            <w:vAlign w:val="center"/>
          </w:tcPr>
          <w:p w14:paraId="4603D8F9">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705B9CD">
            <w:pPr>
              <w:spacing w:line="320" w:lineRule="exact"/>
              <w:jc w:val="center"/>
              <w:rPr>
                <w:rFonts w:ascii="Times New Roman" w:eastAsia="仿宋"/>
                <w:szCs w:val="21"/>
              </w:rPr>
            </w:pPr>
            <w:r>
              <w:rPr>
                <w:rFonts w:hint="eastAsia" w:ascii="Times New Roman" w:eastAsia="仿宋"/>
                <w:szCs w:val="21"/>
              </w:rPr>
              <w:t>约216</w:t>
            </w:r>
          </w:p>
        </w:tc>
      </w:tr>
      <w:tr w14:paraId="68D8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D396BE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1993CE9">
            <w:pPr>
              <w:adjustRightInd w:val="0"/>
              <w:snapToGrid w:val="0"/>
              <w:jc w:val="center"/>
              <w:rPr>
                <w:rFonts w:ascii="Times New Roman" w:eastAsia="仿宋"/>
                <w:szCs w:val="21"/>
              </w:rPr>
            </w:pPr>
            <w:r>
              <w:rPr>
                <w:rFonts w:ascii="Times New Roman" w:eastAsia="仿宋"/>
                <w:szCs w:val="21"/>
              </w:rPr>
              <w:t>17</w:t>
            </w:r>
          </w:p>
        </w:tc>
        <w:tc>
          <w:tcPr>
            <w:tcW w:w="2126" w:type="dxa"/>
            <w:tcBorders>
              <w:top w:val="single" w:color="auto" w:sz="4" w:space="0"/>
              <w:left w:val="single" w:color="auto" w:sz="4" w:space="0"/>
              <w:bottom w:val="single" w:color="auto" w:sz="4" w:space="0"/>
              <w:right w:val="single" w:color="auto" w:sz="4" w:space="0"/>
            </w:tcBorders>
            <w:vAlign w:val="center"/>
          </w:tcPr>
          <w:p w14:paraId="2185481A">
            <w:pPr>
              <w:spacing w:line="320" w:lineRule="exact"/>
              <w:jc w:val="center"/>
              <w:rPr>
                <w:rFonts w:ascii="Times New Roman" w:eastAsia="仿宋"/>
                <w:szCs w:val="21"/>
              </w:rPr>
            </w:pPr>
            <w:r>
              <w:rPr>
                <w:rFonts w:hint="eastAsia" w:ascii="Times New Roman" w:eastAsia="仿宋"/>
                <w:szCs w:val="21"/>
              </w:rPr>
              <w:t>强家坝</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B1EC71A">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16C02E3">
            <w:pPr>
              <w:spacing w:line="320" w:lineRule="exact"/>
              <w:jc w:val="center"/>
              <w:rPr>
                <w:rFonts w:ascii="Times New Roman" w:eastAsia="仿宋"/>
                <w:szCs w:val="21"/>
              </w:rPr>
            </w:pPr>
            <w:r>
              <w:rPr>
                <w:rFonts w:hint="eastAsia" w:ascii="Times New Roman" w:eastAsia="仿宋"/>
                <w:szCs w:val="21"/>
              </w:rPr>
              <w:t>约3200</w:t>
            </w:r>
          </w:p>
        </w:tc>
        <w:tc>
          <w:tcPr>
            <w:tcW w:w="1276" w:type="dxa"/>
            <w:tcBorders>
              <w:top w:val="single" w:color="auto" w:sz="4" w:space="0"/>
              <w:left w:val="single" w:color="auto" w:sz="4" w:space="0"/>
              <w:bottom w:val="single" w:color="auto" w:sz="4" w:space="0"/>
              <w:right w:val="single" w:color="auto" w:sz="4" w:space="0"/>
            </w:tcBorders>
            <w:vAlign w:val="center"/>
          </w:tcPr>
          <w:p w14:paraId="35FEBBE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632A545">
            <w:pPr>
              <w:spacing w:line="320" w:lineRule="exact"/>
              <w:jc w:val="center"/>
              <w:rPr>
                <w:rFonts w:ascii="Times New Roman" w:eastAsia="仿宋"/>
                <w:szCs w:val="21"/>
              </w:rPr>
            </w:pPr>
            <w:r>
              <w:rPr>
                <w:rFonts w:hint="eastAsia" w:ascii="Times New Roman" w:eastAsia="仿宋"/>
                <w:szCs w:val="21"/>
              </w:rPr>
              <w:t>约360</w:t>
            </w:r>
          </w:p>
        </w:tc>
      </w:tr>
      <w:tr w14:paraId="31DD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AEA5DA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DC2333D">
            <w:pPr>
              <w:adjustRightInd w:val="0"/>
              <w:snapToGrid w:val="0"/>
              <w:jc w:val="center"/>
              <w:rPr>
                <w:rFonts w:ascii="Times New Roman" w:eastAsia="仿宋"/>
                <w:szCs w:val="21"/>
              </w:rPr>
            </w:pPr>
            <w:r>
              <w:rPr>
                <w:rFonts w:ascii="Times New Roman" w:eastAsia="仿宋"/>
                <w:szCs w:val="21"/>
              </w:rPr>
              <w:t>18</w:t>
            </w:r>
          </w:p>
        </w:tc>
        <w:tc>
          <w:tcPr>
            <w:tcW w:w="2126" w:type="dxa"/>
            <w:tcBorders>
              <w:top w:val="single" w:color="auto" w:sz="4" w:space="0"/>
              <w:left w:val="single" w:color="auto" w:sz="4" w:space="0"/>
              <w:bottom w:val="single" w:color="auto" w:sz="4" w:space="0"/>
              <w:right w:val="single" w:color="auto" w:sz="4" w:space="0"/>
            </w:tcBorders>
            <w:vAlign w:val="center"/>
          </w:tcPr>
          <w:p w14:paraId="4475D51B">
            <w:pPr>
              <w:spacing w:line="320" w:lineRule="exact"/>
              <w:jc w:val="center"/>
              <w:rPr>
                <w:rFonts w:ascii="Times New Roman" w:eastAsia="仿宋"/>
                <w:szCs w:val="21"/>
              </w:rPr>
            </w:pPr>
            <w:r>
              <w:rPr>
                <w:rFonts w:hint="eastAsia" w:ascii="Times New Roman" w:eastAsia="仿宋"/>
                <w:szCs w:val="21"/>
              </w:rPr>
              <w:t>东坝头</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7FFEB83">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151E035A">
            <w:pPr>
              <w:spacing w:line="320" w:lineRule="exact"/>
              <w:jc w:val="center"/>
              <w:rPr>
                <w:rFonts w:ascii="Times New Roman" w:eastAsia="仿宋"/>
                <w:szCs w:val="21"/>
              </w:rPr>
            </w:pPr>
            <w:r>
              <w:rPr>
                <w:rFonts w:hint="eastAsia" w:ascii="Times New Roman" w:eastAsia="仿宋"/>
                <w:szCs w:val="21"/>
              </w:rPr>
              <w:t>约3200</w:t>
            </w:r>
          </w:p>
        </w:tc>
        <w:tc>
          <w:tcPr>
            <w:tcW w:w="1276" w:type="dxa"/>
            <w:tcBorders>
              <w:top w:val="single" w:color="auto" w:sz="4" w:space="0"/>
              <w:left w:val="single" w:color="auto" w:sz="4" w:space="0"/>
              <w:bottom w:val="single" w:color="auto" w:sz="4" w:space="0"/>
              <w:right w:val="single" w:color="auto" w:sz="4" w:space="0"/>
            </w:tcBorders>
            <w:vAlign w:val="center"/>
          </w:tcPr>
          <w:p w14:paraId="0DECF34A">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F6F8E3A">
            <w:pPr>
              <w:spacing w:line="320" w:lineRule="exact"/>
              <w:jc w:val="center"/>
              <w:rPr>
                <w:rFonts w:ascii="Times New Roman" w:eastAsia="仿宋"/>
                <w:szCs w:val="21"/>
              </w:rPr>
            </w:pPr>
            <w:r>
              <w:rPr>
                <w:rFonts w:hint="eastAsia" w:ascii="Times New Roman" w:eastAsia="仿宋"/>
                <w:szCs w:val="21"/>
              </w:rPr>
              <w:t>约360</w:t>
            </w:r>
          </w:p>
        </w:tc>
      </w:tr>
      <w:tr w14:paraId="69A8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D13704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D5F6AC1">
            <w:pPr>
              <w:adjustRightInd w:val="0"/>
              <w:snapToGrid w:val="0"/>
              <w:jc w:val="center"/>
              <w:rPr>
                <w:rFonts w:ascii="Times New Roman" w:eastAsia="仿宋"/>
                <w:szCs w:val="21"/>
              </w:rPr>
            </w:pPr>
            <w:r>
              <w:rPr>
                <w:rFonts w:ascii="Times New Roman" w:eastAsia="仿宋"/>
                <w:szCs w:val="21"/>
              </w:rPr>
              <w:t>19</w:t>
            </w:r>
          </w:p>
        </w:tc>
        <w:tc>
          <w:tcPr>
            <w:tcW w:w="2126" w:type="dxa"/>
            <w:tcBorders>
              <w:top w:val="single" w:color="auto" w:sz="4" w:space="0"/>
              <w:left w:val="single" w:color="auto" w:sz="4" w:space="0"/>
              <w:bottom w:val="single" w:color="auto" w:sz="4" w:space="0"/>
              <w:right w:val="single" w:color="auto" w:sz="4" w:space="0"/>
            </w:tcBorders>
            <w:vAlign w:val="center"/>
          </w:tcPr>
          <w:p w14:paraId="5126445F">
            <w:pPr>
              <w:spacing w:line="320" w:lineRule="exact"/>
              <w:jc w:val="center"/>
              <w:rPr>
                <w:rFonts w:ascii="Times New Roman" w:eastAsia="仿宋"/>
                <w:szCs w:val="21"/>
              </w:rPr>
            </w:pPr>
            <w:r>
              <w:rPr>
                <w:rFonts w:hint="eastAsia" w:ascii="Times New Roman" w:eastAsia="仿宋"/>
                <w:szCs w:val="21"/>
              </w:rPr>
              <w:t>刘家村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5D6FAF4">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087D4651">
            <w:pPr>
              <w:spacing w:line="320" w:lineRule="exact"/>
              <w:jc w:val="center"/>
              <w:rPr>
                <w:rFonts w:ascii="Times New Roman" w:eastAsia="仿宋"/>
                <w:szCs w:val="21"/>
              </w:rPr>
            </w:pPr>
            <w:r>
              <w:rPr>
                <w:rFonts w:hint="eastAsia" w:ascii="Times New Roman" w:eastAsia="仿宋"/>
                <w:szCs w:val="21"/>
              </w:rPr>
              <w:t>约3250</w:t>
            </w:r>
          </w:p>
        </w:tc>
        <w:tc>
          <w:tcPr>
            <w:tcW w:w="1276" w:type="dxa"/>
            <w:tcBorders>
              <w:top w:val="single" w:color="auto" w:sz="4" w:space="0"/>
              <w:left w:val="single" w:color="auto" w:sz="4" w:space="0"/>
              <w:bottom w:val="single" w:color="auto" w:sz="4" w:space="0"/>
              <w:right w:val="single" w:color="auto" w:sz="4" w:space="0"/>
            </w:tcBorders>
            <w:vAlign w:val="center"/>
          </w:tcPr>
          <w:p w14:paraId="77D45384">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0E94995">
            <w:pPr>
              <w:spacing w:line="320" w:lineRule="exact"/>
              <w:jc w:val="center"/>
              <w:rPr>
                <w:rFonts w:ascii="Times New Roman" w:eastAsia="仿宋"/>
                <w:szCs w:val="21"/>
              </w:rPr>
            </w:pPr>
            <w:r>
              <w:rPr>
                <w:rFonts w:hint="eastAsia" w:ascii="Times New Roman" w:eastAsia="仿宋"/>
                <w:szCs w:val="21"/>
              </w:rPr>
              <w:t>约360</w:t>
            </w:r>
          </w:p>
        </w:tc>
      </w:tr>
      <w:tr w14:paraId="200B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116213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175FF31">
            <w:pPr>
              <w:adjustRightInd w:val="0"/>
              <w:snapToGrid w:val="0"/>
              <w:jc w:val="center"/>
              <w:rPr>
                <w:rFonts w:ascii="Times New Roman" w:eastAsia="仿宋"/>
                <w:szCs w:val="21"/>
              </w:rPr>
            </w:pPr>
            <w:r>
              <w:rPr>
                <w:rFonts w:ascii="Times New Roman" w:eastAsia="仿宋"/>
                <w:szCs w:val="21"/>
              </w:rPr>
              <w:t>20</w:t>
            </w:r>
          </w:p>
        </w:tc>
        <w:tc>
          <w:tcPr>
            <w:tcW w:w="2126" w:type="dxa"/>
            <w:tcBorders>
              <w:top w:val="single" w:color="auto" w:sz="4" w:space="0"/>
              <w:left w:val="single" w:color="auto" w:sz="4" w:space="0"/>
              <w:bottom w:val="single" w:color="auto" w:sz="4" w:space="0"/>
              <w:right w:val="single" w:color="auto" w:sz="4" w:space="0"/>
            </w:tcBorders>
            <w:vAlign w:val="center"/>
          </w:tcPr>
          <w:p w14:paraId="66227E79">
            <w:pPr>
              <w:spacing w:line="320" w:lineRule="exact"/>
              <w:jc w:val="center"/>
              <w:rPr>
                <w:rFonts w:ascii="Times New Roman" w:eastAsia="仿宋"/>
                <w:szCs w:val="21"/>
              </w:rPr>
            </w:pPr>
            <w:r>
              <w:rPr>
                <w:rFonts w:hint="eastAsia" w:ascii="Times New Roman" w:eastAsia="仿宋"/>
                <w:szCs w:val="21"/>
              </w:rPr>
              <w:t>北庄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2939ACC">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14A7DB7">
            <w:pPr>
              <w:spacing w:line="320" w:lineRule="exact"/>
              <w:jc w:val="center"/>
              <w:rPr>
                <w:rFonts w:ascii="Times New Roman" w:eastAsia="仿宋"/>
                <w:szCs w:val="21"/>
              </w:rPr>
            </w:pPr>
            <w:r>
              <w:rPr>
                <w:rFonts w:hint="eastAsia" w:ascii="Times New Roman" w:eastAsia="仿宋"/>
                <w:szCs w:val="21"/>
              </w:rPr>
              <w:t>约3400</w:t>
            </w:r>
          </w:p>
        </w:tc>
        <w:tc>
          <w:tcPr>
            <w:tcW w:w="1276" w:type="dxa"/>
            <w:tcBorders>
              <w:top w:val="single" w:color="auto" w:sz="4" w:space="0"/>
              <w:left w:val="single" w:color="auto" w:sz="4" w:space="0"/>
              <w:bottom w:val="single" w:color="auto" w:sz="4" w:space="0"/>
              <w:right w:val="single" w:color="auto" w:sz="4" w:space="0"/>
            </w:tcBorders>
            <w:vAlign w:val="center"/>
          </w:tcPr>
          <w:p w14:paraId="2252C538">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9762980">
            <w:pPr>
              <w:spacing w:line="320" w:lineRule="exact"/>
              <w:jc w:val="center"/>
              <w:rPr>
                <w:rFonts w:ascii="Times New Roman" w:eastAsia="仿宋"/>
                <w:szCs w:val="21"/>
              </w:rPr>
            </w:pPr>
            <w:r>
              <w:rPr>
                <w:rFonts w:hint="eastAsia" w:ascii="Times New Roman" w:eastAsia="仿宋"/>
                <w:szCs w:val="21"/>
              </w:rPr>
              <w:t>约600</w:t>
            </w:r>
          </w:p>
        </w:tc>
      </w:tr>
      <w:tr w14:paraId="0BEA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FAC16E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482011C">
            <w:pPr>
              <w:adjustRightInd w:val="0"/>
              <w:snapToGrid w:val="0"/>
              <w:jc w:val="center"/>
              <w:rPr>
                <w:rFonts w:ascii="Times New Roman" w:eastAsia="仿宋"/>
                <w:szCs w:val="21"/>
              </w:rPr>
            </w:pPr>
            <w:r>
              <w:rPr>
                <w:rFonts w:ascii="Times New Roman" w:eastAsia="仿宋"/>
                <w:szCs w:val="21"/>
              </w:rPr>
              <w:t>21</w:t>
            </w:r>
          </w:p>
        </w:tc>
        <w:tc>
          <w:tcPr>
            <w:tcW w:w="2126" w:type="dxa"/>
            <w:tcBorders>
              <w:top w:val="single" w:color="auto" w:sz="4" w:space="0"/>
              <w:left w:val="single" w:color="auto" w:sz="4" w:space="0"/>
              <w:bottom w:val="single" w:color="auto" w:sz="4" w:space="0"/>
              <w:right w:val="single" w:color="auto" w:sz="4" w:space="0"/>
            </w:tcBorders>
            <w:vAlign w:val="center"/>
          </w:tcPr>
          <w:p w14:paraId="6176F263">
            <w:pPr>
              <w:spacing w:line="320" w:lineRule="exact"/>
              <w:jc w:val="center"/>
              <w:rPr>
                <w:rFonts w:ascii="Times New Roman" w:eastAsia="仿宋"/>
                <w:szCs w:val="21"/>
              </w:rPr>
            </w:pPr>
            <w:r>
              <w:rPr>
                <w:rFonts w:hint="eastAsia" w:ascii="Times New Roman" w:eastAsia="仿宋"/>
                <w:szCs w:val="21"/>
              </w:rPr>
              <w:t>江北村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7646E7C">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228638AC">
            <w:pPr>
              <w:spacing w:line="320" w:lineRule="exact"/>
              <w:jc w:val="center"/>
              <w:rPr>
                <w:rFonts w:ascii="Times New Roman" w:eastAsia="仿宋"/>
                <w:szCs w:val="21"/>
              </w:rPr>
            </w:pPr>
            <w:r>
              <w:rPr>
                <w:rFonts w:hint="eastAsia" w:ascii="Times New Roman" w:eastAsia="仿宋"/>
                <w:szCs w:val="21"/>
              </w:rPr>
              <w:t>约3600</w:t>
            </w:r>
          </w:p>
        </w:tc>
        <w:tc>
          <w:tcPr>
            <w:tcW w:w="1276" w:type="dxa"/>
            <w:tcBorders>
              <w:top w:val="single" w:color="auto" w:sz="4" w:space="0"/>
              <w:left w:val="single" w:color="auto" w:sz="4" w:space="0"/>
              <w:bottom w:val="single" w:color="auto" w:sz="4" w:space="0"/>
              <w:right w:val="single" w:color="auto" w:sz="4" w:space="0"/>
            </w:tcBorders>
            <w:vAlign w:val="center"/>
          </w:tcPr>
          <w:p w14:paraId="3EFE903D">
            <w:pPr>
              <w:adjustRightInd w:val="0"/>
              <w:snapToGrid w:val="0"/>
              <w:jc w:val="center"/>
              <w:rPr>
                <w:rFonts w:ascii="Times New Roman" w:eastAsia="仿宋"/>
                <w:szCs w:val="21"/>
              </w:rPr>
            </w:pPr>
            <w:r>
              <w:rPr>
                <w:rFonts w:hint="eastAsia" w:ascii="Times New Roman" w:eastAsia="仿宋"/>
                <w:szCs w:val="21"/>
              </w:rPr>
              <w:t>学校</w:t>
            </w:r>
          </w:p>
        </w:tc>
        <w:tc>
          <w:tcPr>
            <w:tcW w:w="2126" w:type="dxa"/>
            <w:tcBorders>
              <w:top w:val="single" w:color="auto" w:sz="4" w:space="0"/>
              <w:left w:val="single" w:color="auto" w:sz="4" w:space="0"/>
              <w:bottom w:val="single" w:color="auto" w:sz="4" w:space="0"/>
              <w:right w:val="single" w:color="auto" w:sz="4" w:space="0"/>
            </w:tcBorders>
            <w:vAlign w:val="center"/>
          </w:tcPr>
          <w:p w14:paraId="63BCEC57">
            <w:pPr>
              <w:spacing w:line="320" w:lineRule="exact"/>
              <w:jc w:val="center"/>
              <w:rPr>
                <w:rFonts w:ascii="Times New Roman" w:eastAsia="仿宋"/>
                <w:szCs w:val="21"/>
              </w:rPr>
            </w:pPr>
            <w:r>
              <w:rPr>
                <w:rFonts w:hint="eastAsia" w:ascii="Times New Roman" w:eastAsia="仿宋"/>
                <w:szCs w:val="21"/>
              </w:rPr>
              <w:t>约240</w:t>
            </w:r>
          </w:p>
        </w:tc>
      </w:tr>
      <w:tr w14:paraId="038A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38336E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D216B5A">
            <w:pPr>
              <w:adjustRightInd w:val="0"/>
              <w:snapToGrid w:val="0"/>
              <w:jc w:val="center"/>
              <w:rPr>
                <w:rFonts w:ascii="Times New Roman" w:eastAsia="仿宋"/>
                <w:szCs w:val="21"/>
              </w:rPr>
            </w:pPr>
            <w:r>
              <w:rPr>
                <w:rFonts w:ascii="Times New Roman" w:eastAsia="仿宋"/>
                <w:szCs w:val="21"/>
              </w:rPr>
              <w:t>22</w:t>
            </w:r>
          </w:p>
        </w:tc>
        <w:tc>
          <w:tcPr>
            <w:tcW w:w="2126" w:type="dxa"/>
            <w:tcBorders>
              <w:top w:val="single" w:color="auto" w:sz="4" w:space="0"/>
              <w:left w:val="single" w:color="auto" w:sz="4" w:space="0"/>
              <w:bottom w:val="single" w:color="auto" w:sz="4" w:space="0"/>
              <w:right w:val="single" w:color="auto" w:sz="4" w:space="0"/>
            </w:tcBorders>
            <w:vAlign w:val="center"/>
          </w:tcPr>
          <w:p w14:paraId="12C6FB45">
            <w:pPr>
              <w:spacing w:line="320" w:lineRule="exact"/>
              <w:jc w:val="center"/>
              <w:rPr>
                <w:rFonts w:ascii="Times New Roman" w:eastAsia="仿宋"/>
                <w:szCs w:val="21"/>
              </w:rPr>
            </w:pPr>
            <w:r>
              <w:rPr>
                <w:rFonts w:hint="eastAsia" w:ascii="Times New Roman" w:eastAsia="仿宋"/>
                <w:szCs w:val="21"/>
              </w:rPr>
              <w:t>范家村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322DBB0">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CE6ECC0">
            <w:pPr>
              <w:spacing w:line="320" w:lineRule="exact"/>
              <w:jc w:val="center"/>
              <w:rPr>
                <w:rFonts w:ascii="Times New Roman" w:eastAsia="仿宋"/>
                <w:szCs w:val="21"/>
              </w:rPr>
            </w:pPr>
            <w:r>
              <w:rPr>
                <w:rFonts w:hint="eastAsia" w:ascii="Times New Roman" w:eastAsia="仿宋"/>
                <w:szCs w:val="21"/>
              </w:rPr>
              <w:t>约3650</w:t>
            </w:r>
          </w:p>
        </w:tc>
        <w:tc>
          <w:tcPr>
            <w:tcW w:w="1276" w:type="dxa"/>
            <w:tcBorders>
              <w:top w:val="single" w:color="auto" w:sz="4" w:space="0"/>
              <w:left w:val="single" w:color="auto" w:sz="4" w:space="0"/>
              <w:bottom w:val="single" w:color="auto" w:sz="4" w:space="0"/>
              <w:right w:val="single" w:color="auto" w:sz="4" w:space="0"/>
            </w:tcBorders>
            <w:vAlign w:val="center"/>
          </w:tcPr>
          <w:p w14:paraId="29D7139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345F30B">
            <w:pPr>
              <w:spacing w:line="320" w:lineRule="exact"/>
              <w:jc w:val="center"/>
              <w:rPr>
                <w:rFonts w:ascii="Times New Roman" w:eastAsia="仿宋"/>
                <w:szCs w:val="21"/>
              </w:rPr>
            </w:pPr>
            <w:r>
              <w:rPr>
                <w:rFonts w:hint="eastAsia" w:ascii="Times New Roman" w:eastAsia="仿宋"/>
                <w:szCs w:val="21"/>
              </w:rPr>
              <w:t>约384</w:t>
            </w:r>
          </w:p>
        </w:tc>
      </w:tr>
      <w:tr w14:paraId="023E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B6AD07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190A50C">
            <w:pPr>
              <w:adjustRightInd w:val="0"/>
              <w:snapToGrid w:val="0"/>
              <w:jc w:val="center"/>
              <w:rPr>
                <w:rFonts w:ascii="Times New Roman" w:eastAsia="仿宋"/>
                <w:szCs w:val="21"/>
              </w:rPr>
            </w:pPr>
            <w:r>
              <w:rPr>
                <w:rFonts w:ascii="Times New Roman" w:eastAsia="仿宋"/>
                <w:szCs w:val="21"/>
              </w:rPr>
              <w:t>23</w:t>
            </w:r>
          </w:p>
        </w:tc>
        <w:tc>
          <w:tcPr>
            <w:tcW w:w="2126" w:type="dxa"/>
            <w:tcBorders>
              <w:top w:val="single" w:color="auto" w:sz="4" w:space="0"/>
              <w:left w:val="single" w:color="auto" w:sz="4" w:space="0"/>
              <w:bottom w:val="single" w:color="auto" w:sz="4" w:space="0"/>
              <w:right w:val="single" w:color="auto" w:sz="4" w:space="0"/>
            </w:tcBorders>
            <w:vAlign w:val="center"/>
          </w:tcPr>
          <w:p w14:paraId="42BE9B03">
            <w:pPr>
              <w:spacing w:line="320" w:lineRule="exact"/>
              <w:jc w:val="center"/>
              <w:rPr>
                <w:rFonts w:ascii="Times New Roman" w:eastAsia="仿宋"/>
                <w:szCs w:val="21"/>
              </w:rPr>
            </w:pPr>
            <w:r>
              <w:rPr>
                <w:rFonts w:hint="eastAsia" w:ascii="Times New Roman" w:eastAsia="仿宋"/>
                <w:szCs w:val="21"/>
              </w:rPr>
              <w:t>南河村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A81589F">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16A6BD3F">
            <w:pPr>
              <w:spacing w:line="320" w:lineRule="exact"/>
              <w:jc w:val="center"/>
              <w:rPr>
                <w:rFonts w:ascii="Times New Roman" w:eastAsia="仿宋"/>
                <w:szCs w:val="21"/>
              </w:rPr>
            </w:pPr>
            <w:r>
              <w:rPr>
                <w:rFonts w:hint="eastAsia" w:ascii="Times New Roman" w:eastAsia="仿宋"/>
                <w:szCs w:val="21"/>
              </w:rPr>
              <w:t>约4250</w:t>
            </w:r>
          </w:p>
        </w:tc>
        <w:tc>
          <w:tcPr>
            <w:tcW w:w="1276" w:type="dxa"/>
            <w:tcBorders>
              <w:top w:val="single" w:color="auto" w:sz="4" w:space="0"/>
              <w:left w:val="single" w:color="auto" w:sz="4" w:space="0"/>
              <w:bottom w:val="single" w:color="auto" w:sz="4" w:space="0"/>
              <w:right w:val="single" w:color="auto" w:sz="4" w:space="0"/>
            </w:tcBorders>
            <w:vAlign w:val="center"/>
          </w:tcPr>
          <w:p w14:paraId="42AF239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354FD12">
            <w:pPr>
              <w:spacing w:line="320" w:lineRule="exact"/>
              <w:jc w:val="center"/>
              <w:rPr>
                <w:rFonts w:ascii="Times New Roman" w:eastAsia="仿宋"/>
                <w:szCs w:val="21"/>
              </w:rPr>
            </w:pPr>
            <w:r>
              <w:rPr>
                <w:rFonts w:hint="eastAsia" w:ascii="Times New Roman" w:eastAsia="仿宋"/>
                <w:szCs w:val="21"/>
              </w:rPr>
              <w:t>约480</w:t>
            </w:r>
          </w:p>
        </w:tc>
      </w:tr>
      <w:tr w14:paraId="6389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44EF64B">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B5EB2AC">
            <w:pPr>
              <w:adjustRightInd w:val="0"/>
              <w:snapToGrid w:val="0"/>
              <w:jc w:val="center"/>
              <w:rPr>
                <w:rFonts w:ascii="Times New Roman" w:eastAsia="仿宋"/>
                <w:szCs w:val="21"/>
              </w:rPr>
            </w:pPr>
            <w:r>
              <w:rPr>
                <w:rFonts w:ascii="Times New Roman" w:eastAsia="仿宋"/>
                <w:szCs w:val="21"/>
              </w:rPr>
              <w:t>24</w:t>
            </w:r>
          </w:p>
        </w:tc>
        <w:tc>
          <w:tcPr>
            <w:tcW w:w="2126" w:type="dxa"/>
            <w:tcBorders>
              <w:top w:val="single" w:color="auto" w:sz="4" w:space="0"/>
              <w:left w:val="single" w:color="auto" w:sz="4" w:space="0"/>
              <w:bottom w:val="single" w:color="auto" w:sz="4" w:space="0"/>
              <w:right w:val="single" w:color="auto" w:sz="4" w:space="0"/>
            </w:tcBorders>
            <w:vAlign w:val="center"/>
          </w:tcPr>
          <w:p w14:paraId="05933691">
            <w:pPr>
              <w:spacing w:line="320" w:lineRule="exact"/>
              <w:jc w:val="center"/>
              <w:rPr>
                <w:rFonts w:ascii="Times New Roman" w:eastAsia="仿宋"/>
                <w:szCs w:val="21"/>
              </w:rPr>
            </w:pPr>
            <w:r>
              <w:rPr>
                <w:rFonts w:hint="eastAsia" w:ascii="Times New Roman" w:eastAsia="仿宋"/>
                <w:szCs w:val="21"/>
              </w:rPr>
              <w:t>中河村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D133192">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0B083265">
            <w:pPr>
              <w:spacing w:line="320" w:lineRule="exact"/>
              <w:jc w:val="center"/>
              <w:rPr>
                <w:rFonts w:ascii="Times New Roman" w:eastAsia="仿宋"/>
                <w:szCs w:val="21"/>
              </w:rPr>
            </w:pPr>
            <w:r>
              <w:rPr>
                <w:rFonts w:hint="eastAsia" w:ascii="Times New Roman" w:eastAsia="仿宋"/>
                <w:szCs w:val="21"/>
              </w:rPr>
              <w:t>约4350</w:t>
            </w:r>
          </w:p>
        </w:tc>
        <w:tc>
          <w:tcPr>
            <w:tcW w:w="1276" w:type="dxa"/>
            <w:tcBorders>
              <w:top w:val="single" w:color="auto" w:sz="4" w:space="0"/>
              <w:left w:val="single" w:color="auto" w:sz="4" w:space="0"/>
              <w:bottom w:val="single" w:color="auto" w:sz="4" w:space="0"/>
              <w:right w:val="single" w:color="auto" w:sz="4" w:space="0"/>
            </w:tcBorders>
            <w:vAlign w:val="center"/>
          </w:tcPr>
          <w:p w14:paraId="2D35B898">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0F67E46">
            <w:pPr>
              <w:spacing w:line="320" w:lineRule="exact"/>
              <w:jc w:val="center"/>
              <w:rPr>
                <w:rFonts w:ascii="Times New Roman" w:eastAsia="仿宋"/>
                <w:szCs w:val="21"/>
              </w:rPr>
            </w:pPr>
            <w:r>
              <w:rPr>
                <w:rFonts w:hint="eastAsia" w:ascii="Times New Roman" w:eastAsia="仿宋"/>
                <w:szCs w:val="21"/>
              </w:rPr>
              <w:t>约360</w:t>
            </w:r>
          </w:p>
        </w:tc>
      </w:tr>
      <w:tr w14:paraId="2096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6B059A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06F6826">
            <w:pPr>
              <w:adjustRightInd w:val="0"/>
              <w:snapToGrid w:val="0"/>
              <w:jc w:val="center"/>
              <w:rPr>
                <w:rFonts w:ascii="Times New Roman" w:eastAsia="仿宋"/>
                <w:szCs w:val="21"/>
              </w:rPr>
            </w:pPr>
            <w:r>
              <w:rPr>
                <w:rFonts w:ascii="Times New Roman" w:eastAsia="仿宋"/>
                <w:szCs w:val="21"/>
              </w:rPr>
              <w:t>25</w:t>
            </w:r>
          </w:p>
        </w:tc>
        <w:tc>
          <w:tcPr>
            <w:tcW w:w="2126" w:type="dxa"/>
            <w:tcBorders>
              <w:top w:val="single" w:color="auto" w:sz="4" w:space="0"/>
              <w:left w:val="single" w:color="auto" w:sz="4" w:space="0"/>
              <w:bottom w:val="single" w:color="auto" w:sz="4" w:space="0"/>
              <w:right w:val="single" w:color="auto" w:sz="4" w:space="0"/>
            </w:tcBorders>
            <w:vAlign w:val="center"/>
          </w:tcPr>
          <w:p w14:paraId="64BFF66C">
            <w:pPr>
              <w:spacing w:line="320" w:lineRule="exact"/>
              <w:jc w:val="center"/>
              <w:rPr>
                <w:rFonts w:ascii="Times New Roman" w:eastAsia="仿宋"/>
                <w:szCs w:val="21"/>
              </w:rPr>
            </w:pPr>
            <w:r>
              <w:rPr>
                <w:rFonts w:hint="eastAsia" w:ascii="Times New Roman" w:eastAsia="仿宋"/>
                <w:szCs w:val="21"/>
              </w:rPr>
              <w:t>范家圩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59E1961">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A1A5D76">
            <w:pPr>
              <w:spacing w:line="320" w:lineRule="exact"/>
              <w:jc w:val="center"/>
              <w:rPr>
                <w:rFonts w:ascii="Times New Roman" w:eastAsia="仿宋"/>
                <w:szCs w:val="21"/>
              </w:rPr>
            </w:pPr>
            <w:r>
              <w:rPr>
                <w:rFonts w:hint="eastAsia" w:ascii="Times New Roman" w:eastAsia="仿宋"/>
                <w:szCs w:val="21"/>
              </w:rPr>
              <w:t>约4450</w:t>
            </w:r>
          </w:p>
        </w:tc>
        <w:tc>
          <w:tcPr>
            <w:tcW w:w="1276" w:type="dxa"/>
            <w:tcBorders>
              <w:top w:val="single" w:color="auto" w:sz="4" w:space="0"/>
              <w:left w:val="single" w:color="auto" w:sz="4" w:space="0"/>
              <w:bottom w:val="single" w:color="auto" w:sz="4" w:space="0"/>
              <w:right w:val="single" w:color="auto" w:sz="4" w:space="0"/>
            </w:tcBorders>
            <w:vAlign w:val="center"/>
          </w:tcPr>
          <w:p w14:paraId="49FF3D4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7EFB9DC">
            <w:pPr>
              <w:spacing w:line="320" w:lineRule="exact"/>
              <w:jc w:val="center"/>
              <w:rPr>
                <w:rFonts w:ascii="Times New Roman" w:eastAsia="仿宋"/>
                <w:szCs w:val="21"/>
              </w:rPr>
            </w:pPr>
            <w:r>
              <w:rPr>
                <w:rFonts w:hint="eastAsia" w:ascii="Times New Roman" w:eastAsia="仿宋"/>
                <w:szCs w:val="21"/>
              </w:rPr>
              <w:t>约312</w:t>
            </w:r>
          </w:p>
        </w:tc>
      </w:tr>
      <w:tr w14:paraId="3BC0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92A104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50A9B8B">
            <w:pPr>
              <w:adjustRightInd w:val="0"/>
              <w:snapToGrid w:val="0"/>
              <w:jc w:val="center"/>
              <w:rPr>
                <w:rFonts w:ascii="Times New Roman" w:eastAsia="仿宋"/>
                <w:szCs w:val="21"/>
              </w:rPr>
            </w:pPr>
            <w:r>
              <w:rPr>
                <w:rFonts w:ascii="Times New Roman" w:eastAsia="仿宋"/>
                <w:szCs w:val="21"/>
              </w:rPr>
              <w:t>26</w:t>
            </w:r>
          </w:p>
        </w:tc>
        <w:tc>
          <w:tcPr>
            <w:tcW w:w="2126" w:type="dxa"/>
            <w:tcBorders>
              <w:top w:val="single" w:color="auto" w:sz="4" w:space="0"/>
              <w:left w:val="single" w:color="auto" w:sz="4" w:space="0"/>
              <w:bottom w:val="single" w:color="auto" w:sz="4" w:space="0"/>
              <w:right w:val="single" w:color="auto" w:sz="4" w:space="0"/>
            </w:tcBorders>
            <w:vAlign w:val="center"/>
          </w:tcPr>
          <w:p w14:paraId="3C7FC1E8">
            <w:pPr>
              <w:spacing w:line="320" w:lineRule="exact"/>
              <w:jc w:val="center"/>
              <w:rPr>
                <w:rFonts w:ascii="Times New Roman" w:eastAsia="仿宋"/>
                <w:szCs w:val="21"/>
              </w:rPr>
            </w:pPr>
            <w:r>
              <w:rPr>
                <w:rFonts w:hint="eastAsia" w:ascii="Times New Roman" w:eastAsia="仿宋"/>
                <w:szCs w:val="21"/>
              </w:rPr>
              <w:t>土山村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EBE3B33">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4C4CB8B3">
            <w:pPr>
              <w:spacing w:line="320" w:lineRule="exact"/>
              <w:jc w:val="center"/>
              <w:rPr>
                <w:rFonts w:ascii="Times New Roman" w:eastAsia="仿宋"/>
                <w:szCs w:val="21"/>
              </w:rPr>
            </w:pPr>
            <w:r>
              <w:rPr>
                <w:rFonts w:hint="eastAsia" w:ascii="Times New Roman" w:eastAsia="仿宋"/>
                <w:szCs w:val="21"/>
              </w:rPr>
              <w:t>约4450</w:t>
            </w:r>
          </w:p>
        </w:tc>
        <w:tc>
          <w:tcPr>
            <w:tcW w:w="1276" w:type="dxa"/>
            <w:tcBorders>
              <w:top w:val="single" w:color="auto" w:sz="4" w:space="0"/>
              <w:left w:val="single" w:color="auto" w:sz="4" w:space="0"/>
              <w:bottom w:val="single" w:color="auto" w:sz="4" w:space="0"/>
              <w:right w:val="single" w:color="auto" w:sz="4" w:space="0"/>
            </w:tcBorders>
            <w:vAlign w:val="center"/>
          </w:tcPr>
          <w:p w14:paraId="09B67B38">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C6C6348">
            <w:pPr>
              <w:spacing w:line="320" w:lineRule="exact"/>
              <w:jc w:val="center"/>
              <w:rPr>
                <w:rFonts w:ascii="Times New Roman" w:eastAsia="仿宋"/>
                <w:szCs w:val="21"/>
              </w:rPr>
            </w:pPr>
            <w:r>
              <w:rPr>
                <w:rFonts w:hint="eastAsia" w:ascii="Times New Roman" w:eastAsia="仿宋"/>
                <w:szCs w:val="21"/>
              </w:rPr>
              <w:t>约660</w:t>
            </w:r>
          </w:p>
        </w:tc>
      </w:tr>
      <w:tr w14:paraId="4AB6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AD204D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F7CD896">
            <w:pPr>
              <w:adjustRightInd w:val="0"/>
              <w:snapToGrid w:val="0"/>
              <w:jc w:val="center"/>
              <w:rPr>
                <w:rFonts w:ascii="Times New Roman" w:eastAsia="仿宋"/>
                <w:szCs w:val="21"/>
              </w:rPr>
            </w:pPr>
            <w:r>
              <w:rPr>
                <w:rFonts w:ascii="Times New Roman" w:eastAsia="仿宋"/>
                <w:szCs w:val="21"/>
              </w:rPr>
              <w:t>27</w:t>
            </w:r>
          </w:p>
        </w:tc>
        <w:tc>
          <w:tcPr>
            <w:tcW w:w="2126" w:type="dxa"/>
            <w:tcBorders>
              <w:top w:val="single" w:color="auto" w:sz="4" w:space="0"/>
              <w:left w:val="single" w:color="auto" w:sz="4" w:space="0"/>
              <w:bottom w:val="single" w:color="auto" w:sz="4" w:space="0"/>
              <w:right w:val="single" w:color="auto" w:sz="4" w:space="0"/>
            </w:tcBorders>
            <w:vAlign w:val="center"/>
          </w:tcPr>
          <w:p w14:paraId="652C8F31">
            <w:pPr>
              <w:spacing w:line="320" w:lineRule="exact"/>
              <w:jc w:val="center"/>
              <w:rPr>
                <w:rFonts w:ascii="Times New Roman" w:eastAsia="仿宋"/>
                <w:szCs w:val="21"/>
              </w:rPr>
            </w:pPr>
            <w:r>
              <w:rPr>
                <w:rFonts w:hint="eastAsia" w:ascii="Times New Roman" w:eastAsia="仿宋"/>
                <w:szCs w:val="21"/>
              </w:rPr>
              <w:t>火烧圩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A8521B7">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7ED9588E">
            <w:pPr>
              <w:spacing w:line="320" w:lineRule="exact"/>
              <w:jc w:val="center"/>
              <w:rPr>
                <w:rFonts w:ascii="Times New Roman" w:eastAsia="仿宋"/>
                <w:szCs w:val="21"/>
              </w:rPr>
            </w:pPr>
            <w:r>
              <w:rPr>
                <w:rFonts w:hint="eastAsia" w:ascii="Times New Roman" w:eastAsia="仿宋"/>
                <w:szCs w:val="21"/>
              </w:rPr>
              <w:t>约4550</w:t>
            </w:r>
          </w:p>
        </w:tc>
        <w:tc>
          <w:tcPr>
            <w:tcW w:w="1276" w:type="dxa"/>
            <w:tcBorders>
              <w:top w:val="single" w:color="auto" w:sz="4" w:space="0"/>
              <w:left w:val="single" w:color="auto" w:sz="4" w:space="0"/>
              <w:bottom w:val="single" w:color="auto" w:sz="4" w:space="0"/>
              <w:right w:val="single" w:color="auto" w:sz="4" w:space="0"/>
            </w:tcBorders>
            <w:vAlign w:val="center"/>
          </w:tcPr>
          <w:p w14:paraId="08CE4B1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DE6F0FB">
            <w:pPr>
              <w:spacing w:line="320" w:lineRule="exact"/>
              <w:jc w:val="center"/>
              <w:rPr>
                <w:rFonts w:ascii="Times New Roman" w:eastAsia="仿宋"/>
                <w:szCs w:val="21"/>
              </w:rPr>
            </w:pPr>
            <w:r>
              <w:rPr>
                <w:rFonts w:hint="eastAsia" w:ascii="Times New Roman" w:eastAsia="仿宋"/>
                <w:szCs w:val="21"/>
              </w:rPr>
              <w:t>约312</w:t>
            </w:r>
          </w:p>
        </w:tc>
      </w:tr>
      <w:tr w14:paraId="63A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7D53F8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6B21557">
            <w:pPr>
              <w:adjustRightInd w:val="0"/>
              <w:snapToGrid w:val="0"/>
              <w:jc w:val="center"/>
              <w:rPr>
                <w:rFonts w:ascii="Times New Roman" w:eastAsia="仿宋"/>
                <w:szCs w:val="21"/>
              </w:rPr>
            </w:pPr>
            <w:r>
              <w:rPr>
                <w:rFonts w:ascii="Times New Roman" w:eastAsia="仿宋"/>
                <w:szCs w:val="21"/>
              </w:rPr>
              <w:t>28</w:t>
            </w:r>
          </w:p>
        </w:tc>
        <w:tc>
          <w:tcPr>
            <w:tcW w:w="2126" w:type="dxa"/>
            <w:tcBorders>
              <w:top w:val="single" w:color="auto" w:sz="4" w:space="0"/>
              <w:left w:val="single" w:color="auto" w:sz="4" w:space="0"/>
              <w:bottom w:val="single" w:color="auto" w:sz="4" w:space="0"/>
              <w:right w:val="single" w:color="auto" w:sz="4" w:space="0"/>
            </w:tcBorders>
            <w:vAlign w:val="center"/>
          </w:tcPr>
          <w:p w14:paraId="1A6CECC8">
            <w:pPr>
              <w:spacing w:line="320" w:lineRule="exact"/>
              <w:jc w:val="center"/>
              <w:rPr>
                <w:rFonts w:ascii="Times New Roman" w:eastAsia="仿宋"/>
                <w:szCs w:val="21"/>
              </w:rPr>
            </w:pPr>
            <w:r>
              <w:rPr>
                <w:rFonts w:hint="eastAsia" w:ascii="Times New Roman" w:eastAsia="仿宋"/>
                <w:szCs w:val="21"/>
              </w:rPr>
              <w:t>张家棚</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30146CC">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22B26668">
            <w:pPr>
              <w:spacing w:line="320" w:lineRule="exact"/>
              <w:jc w:val="center"/>
              <w:rPr>
                <w:rFonts w:ascii="Times New Roman" w:eastAsia="仿宋"/>
                <w:szCs w:val="21"/>
              </w:rPr>
            </w:pPr>
            <w:r>
              <w:rPr>
                <w:rFonts w:hint="eastAsia" w:ascii="Times New Roman" w:eastAsia="仿宋"/>
                <w:szCs w:val="21"/>
              </w:rPr>
              <w:t>约4800</w:t>
            </w:r>
          </w:p>
        </w:tc>
        <w:tc>
          <w:tcPr>
            <w:tcW w:w="1276" w:type="dxa"/>
            <w:tcBorders>
              <w:top w:val="single" w:color="auto" w:sz="4" w:space="0"/>
              <w:left w:val="single" w:color="auto" w:sz="4" w:space="0"/>
              <w:bottom w:val="single" w:color="auto" w:sz="4" w:space="0"/>
              <w:right w:val="single" w:color="auto" w:sz="4" w:space="0"/>
            </w:tcBorders>
            <w:vAlign w:val="center"/>
          </w:tcPr>
          <w:p w14:paraId="31C4ECF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F020051">
            <w:pPr>
              <w:spacing w:line="320" w:lineRule="exact"/>
              <w:jc w:val="center"/>
              <w:rPr>
                <w:rFonts w:ascii="Times New Roman" w:eastAsia="仿宋"/>
                <w:szCs w:val="21"/>
              </w:rPr>
            </w:pPr>
            <w:r>
              <w:rPr>
                <w:rFonts w:hint="eastAsia" w:ascii="Times New Roman" w:eastAsia="仿宋"/>
                <w:szCs w:val="21"/>
              </w:rPr>
              <w:t>约480</w:t>
            </w:r>
          </w:p>
        </w:tc>
      </w:tr>
      <w:tr w14:paraId="6237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73BE56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8A27C63">
            <w:pPr>
              <w:adjustRightInd w:val="0"/>
              <w:snapToGrid w:val="0"/>
              <w:jc w:val="center"/>
              <w:rPr>
                <w:rFonts w:ascii="Times New Roman" w:eastAsia="仿宋"/>
                <w:szCs w:val="21"/>
              </w:rPr>
            </w:pPr>
            <w:r>
              <w:rPr>
                <w:rFonts w:ascii="Times New Roman" w:eastAsia="仿宋"/>
                <w:szCs w:val="21"/>
              </w:rPr>
              <w:t>29</w:t>
            </w:r>
          </w:p>
        </w:tc>
        <w:tc>
          <w:tcPr>
            <w:tcW w:w="2126" w:type="dxa"/>
            <w:tcBorders>
              <w:top w:val="single" w:color="auto" w:sz="4" w:space="0"/>
              <w:left w:val="single" w:color="auto" w:sz="4" w:space="0"/>
              <w:bottom w:val="single" w:color="auto" w:sz="4" w:space="0"/>
              <w:right w:val="single" w:color="auto" w:sz="4" w:space="0"/>
            </w:tcBorders>
            <w:vAlign w:val="center"/>
          </w:tcPr>
          <w:p w14:paraId="6A5F5819">
            <w:pPr>
              <w:spacing w:line="320" w:lineRule="exact"/>
              <w:jc w:val="center"/>
              <w:rPr>
                <w:rFonts w:ascii="Times New Roman" w:eastAsia="仿宋"/>
                <w:szCs w:val="21"/>
              </w:rPr>
            </w:pPr>
            <w:r>
              <w:rPr>
                <w:rFonts w:hint="eastAsia" w:ascii="Times New Roman" w:eastAsia="仿宋"/>
                <w:szCs w:val="21"/>
              </w:rPr>
              <w:t>金坛区西岗小学</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43538FD">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1EF77D5E">
            <w:pPr>
              <w:spacing w:line="320" w:lineRule="exact"/>
              <w:jc w:val="center"/>
              <w:rPr>
                <w:rFonts w:ascii="Times New Roman" w:eastAsia="仿宋"/>
                <w:szCs w:val="21"/>
              </w:rPr>
            </w:pPr>
            <w:r>
              <w:rPr>
                <w:rFonts w:hint="eastAsia" w:ascii="Times New Roman" w:eastAsia="仿宋"/>
                <w:szCs w:val="21"/>
              </w:rPr>
              <w:t>约4800</w:t>
            </w:r>
          </w:p>
        </w:tc>
        <w:tc>
          <w:tcPr>
            <w:tcW w:w="1276" w:type="dxa"/>
            <w:tcBorders>
              <w:top w:val="single" w:color="auto" w:sz="4" w:space="0"/>
              <w:left w:val="single" w:color="auto" w:sz="4" w:space="0"/>
              <w:bottom w:val="single" w:color="auto" w:sz="4" w:space="0"/>
              <w:right w:val="single" w:color="auto" w:sz="4" w:space="0"/>
            </w:tcBorders>
            <w:vAlign w:val="center"/>
          </w:tcPr>
          <w:p w14:paraId="7763EAC7">
            <w:pPr>
              <w:adjustRightInd w:val="0"/>
              <w:snapToGrid w:val="0"/>
              <w:jc w:val="center"/>
              <w:rPr>
                <w:rFonts w:ascii="Times New Roman" w:eastAsia="仿宋"/>
                <w:szCs w:val="21"/>
              </w:rPr>
            </w:pPr>
            <w:r>
              <w:rPr>
                <w:rFonts w:hint="eastAsia" w:ascii="Times New Roman" w:eastAsia="仿宋"/>
                <w:szCs w:val="21"/>
              </w:rPr>
              <w:t>学校</w:t>
            </w:r>
          </w:p>
        </w:tc>
        <w:tc>
          <w:tcPr>
            <w:tcW w:w="2126" w:type="dxa"/>
            <w:tcBorders>
              <w:top w:val="single" w:color="auto" w:sz="4" w:space="0"/>
              <w:left w:val="single" w:color="auto" w:sz="4" w:space="0"/>
              <w:bottom w:val="single" w:color="auto" w:sz="4" w:space="0"/>
              <w:right w:val="single" w:color="auto" w:sz="4" w:space="0"/>
            </w:tcBorders>
            <w:vAlign w:val="center"/>
          </w:tcPr>
          <w:p w14:paraId="7447F8AE">
            <w:pPr>
              <w:spacing w:line="320" w:lineRule="exact"/>
              <w:jc w:val="center"/>
              <w:rPr>
                <w:rFonts w:ascii="Times New Roman" w:eastAsia="仿宋"/>
                <w:szCs w:val="21"/>
              </w:rPr>
            </w:pPr>
            <w:r>
              <w:rPr>
                <w:rFonts w:hint="eastAsia" w:ascii="Times New Roman" w:eastAsia="仿宋"/>
                <w:szCs w:val="21"/>
              </w:rPr>
              <w:t>约720</w:t>
            </w:r>
          </w:p>
        </w:tc>
      </w:tr>
      <w:tr w14:paraId="25A8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2EF102A">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539ED89">
            <w:pPr>
              <w:adjustRightInd w:val="0"/>
              <w:snapToGrid w:val="0"/>
              <w:jc w:val="center"/>
              <w:rPr>
                <w:rFonts w:ascii="Times New Roman" w:eastAsia="仿宋"/>
                <w:szCs w:val="21"/>
              </w:rPr>
            </w:pPr>
            <w:r>
              <w:rPr>
                <w:rFonts w:ascii="Times New Roman" w:eastAsia="仿宋"/>
                <w:szCs w:val="21"/>
              </w:rPr>
              <w:t>30</w:t>
            </w:r>
          </w:p>
        </w:tc>
        <w:tc>
          <w:tcPr>
            <w:tcW w:w="2126" w:type="dxa"/>
            <w:tcBorders>
              <w:top w:val="single" w:color="auto" w:sz="4" w:space="0"/>
              <w:left w:val="single" w:color="auto" w:sz="4" w:space="0"/>
              <w:bottom w:val="single" w:color="auto" w:sz="4" w:space="0"/>
              <w:right w:val="single" w:color="auto" w:sz="4" w:space="0"/>
            </w:tcBorders>
            <w:vAlign w:val="center"/>
          </w:tcPr>
          <w:p w14:paraId="620F18DC">
            <w:pPr>
              <w:spacing w:line="320" w:lineRule="exact"/>
              <w:jc w:val="center"/>
              <w:rPr>
                <w:rFonts w:ascii="Times New Roman" w:eastAsia="仿宋"/>
                <w:szCs w:val="21"/>
              </w:rPr>
            </w:pPr>
            <w:r>
              <w:rPr>
                <w:rFonts w:hint="eastAsia" w:ascii="Times New Roman" w:eastAsia="仿宋"/>
                <w:szCs w:val="21"/>
              </w:rPr>
              <w:t>李家村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A1ACB06">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5EFF58A9">
            <w:pPr>
              <w:spacing w:line="320" w:lineRule="exact"/>
              <w:jc w:val="center"/>
              <w:rPr>
                <w:rFonts w:ascii="Times New Roman" w:eastAsia="仿宋"/>
                <w:szCs w:val="21"/>
              </w:rPr>
            </w:pPr>
            <w:r>
              <w:rPr>
                <w:rFonts w:hint="eastAsia" w:ascii="Times New Roman" w:eastAsia="仿宋"/>
                <w:szCs w:val="21"/>
              </w:rPr>
              <w:t>约4800</w:t>
            </w:r>
          </w:p>
        </w:tc>
        <w:tc>
          <w:tcPr>
            <w:tcW w:w="1276" w:type="dxa"/>
            <w:tcBorders>
              <w:top w:val="single" w:color="auto" w:sz="4" w:space="0"/>
              <w:left w:val="single" w:color="auto" w:sz="4" w:space="0"/>
              <w:bottom w:val="single" w:color="auto" w:sz="4" w:space="0"/>
              <w:right w:val="single" w:color="auto" w:sz="4" w:space="0"/>
            </w:tcBorders>
            <w:vAlign w:val="center"/>
          </w:tcPr>
          <w:p w14:paraId="56BBA01B">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2D94B88">
            <w:pPr>
              <w:spacing w:line="320" w:lineRule="exact"/>
              <w:jc w:val="center"/>
              <w:rPr>
                <w:rFonts w:ascii="Times New Roman" w:eastAsia="仿宋"/>
                <w:szCs w:val="21"/>
              </w:rPr>
            </w:pPr>
            <w:r>
              <w:rPr>
                <w:rFonts w:hint="eastAsia" w:ascii="Times New Roman" w:eastAsia="仿宋"/>
                <w:szCs w:val="21"/>
              </w:rPr>
              <w:t>约384</w:t>
            </w:r>
          </w:p>
        </w:tc>
      </w:tr>
      <w:tr w14:paraId="1F97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9E7B3B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1144BC9">
            <w:pPr>
              <w:adjustRightInd w:val="0"/>
              <w:snapToGrid w:val="0"/>
              <w:jc w:val="center"/>
              <w:rPr>
                <w:rFonts w:ascii="Times New Roman" w:eastAsia="仿宋"/>
                <w:szCs w:val="21"/>
              </w:rPr>
            </w:pPr>
            <w:r>
              <w:rPr>
                <w:rFonts w:ascii="Times New Roman" w:eastAsia="仿宋"/>
                <w:szCs w:val="21"/>
              </w:rPr>
              <w:t>31</w:t>
            </w:r>
          </w:p>
        </w:tc>
        <w:tc>
          <w:tcPr>
            <w:tcW w:w="2126" w:type="dxa"/>
            <w:tcBorders>
              <w:top w:val="single" w:color="auto" w:sz="4" w:space="0"/>
              <w:left w:val="single" w:color="auto" w:sz="4" w:space="0"/>
              <w:bottom w:val="single" w:color="auto" w:sz="4" w:space="0"/>
              <w:right w:val="single" w:color="auto" w:sz="4" w:space="0"/>
            </w:tcBorders>
            <w:vAlign w:val="center"/>
          </w:tcPr>
          <w:p w14:paraId="3FBA3473">
            <w:pPr>
              <w:spacing w:line="320" w:lineRule="exact"/>
              <w:jc w:val="center"/>
              <w:rPr>
                <w:rFonts w:ascii="Times New Roman" w:eastAsia="仿宋"/>
                <w:szCs w:val="21"/>
              </w:rPr>
            </w:pPr>
            <w:r>
              <w:rPr>
                <w:rFonts w:hint="eastAsia" w:ascii="Times New Roman" w:eastAsia="仿宋"/>
                <w:szCs w:val="21"/>
              </w:rPr>
              <w:t>前朱</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0B1467E">
            <w:pPr>
              <w:spacing w:line="320" w:lineRule="exact"/>
              <w:jc w:val="center"/>
              <w:rPr>
                <w:rFonts w:ascii="Times New Roman" w:eastAsia="仿宋"/>
                <w:szCs w:val="21"/>
              </w:rPr>
            </w:pPr>
            <w:r>
              <w:rPr>
                <w:rFonts w:hint="eastAsia" w:ascii="Times New Roman" w:eastAsia="仿宋"/>
                <w:szCs w:val="21"/>
              </w:rPr>
              <w:t>SE</w:t>
            </w:r>
          </w:p>
        </w:tc>
        <w:tc>
          <w:tcPr>
            <w:tcW w:w="1134" w:type="dxa"/>
            <w:gridSpan w:val="2"/>
            <w:vAlign w:val="center"/>
          </w:tcPr>
          <w:p w14:paraId="5DC52BD7">
            <w:pPr>
              <w:spacing w:line="320" w:lineRule="exact"/>
              <w:jc w:val="center"/>
              <w:rPr>
                <w:rFonts w:ascii="Times New Roman" w:eastAsia="仿宋"/>
                <w:szCs w:val="21"/>
              </w:rPr>
            </w:pPr>
            <w:r>
              <w:rPr>
                <w:rFonts w:hint="eastAsia" w:ascii="Times New Roman" w:eastAsia="仿宋"/>
                <w:szCs w:val="21"/>
              </w:rPr>
              <w:t>约4800</w:t>
            </w:r>
          </w:p>
        </w:tc>
        <w:tc>
          <w:tcPr>
            <w:tcW w:w="1276" w:type="dxa"/>
            <w:tcBorders>
              <w:top w:val="single" w:color="auto" w:sz="4" w:space="0"/>
              <w:left w:val="single" w:color="auto" w:sz="4" w:space="0"/>
              <w:bottom w:val="single" w:color="auto" w:sz="4" w:space="0"/>
              <w:right w:val="single" w:color="auto" w:sz="4" w:space="0"/>
            </w:tcBorders>
            <w:vAlign w:val="center"/>
          </w:tcPr>
          <w:p w14:paraId="1CA3E4DA">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7D41CB0">
            <w:pPr>
              <w:spacing w:line="320" w:lineRule="exact"/>
              <w:jc w:val="center"/>
              <w:rPr>
                <w:rFonts w:ascii="Times New Roman" w:eastAsia="仿宋"/>
                <w:szCs w:val="21"/>
              </w:rPr>
            </w:pPr>
            <w:r>
              <w:rPr>
                <w:rFonts w:hint="eastAsia" w:ascii="Times New Roman" w:eastAsia="仿宋"/>
                <w:szCs w:val="21"/>
              </w:rPr>
              <w:t>约720</w:t>
            </w:r>
          </w:p>
        </w:tc>
      </w:tr>
      <w:tr w14:paraId="15B0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F86CD68">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D8A53D5">
            <w:pPr>
              <w:adjustRightInd w:val="0"/>
              <w:snapToGrid w:val="0"/>
              <w:jc w:val="center"/>
              <w:rPr>
                <w:rFonts w:ascii="Times New Roman" w:eastAsia="仿宋"/>
                <w:szCs w:val="21"/>
              </w:rPr>
            </w:pPr>
            <w:r>
              <w:rPr>
                <w:rFonts w:ascii="Times New Roman" w:eastAsia="仿宋"/>
                <w:szCs w:val="21"/>
              </w:rPr>
              <w:t>32</w:t>
            </w:r>
          </w:p>
        </w:tc>
        <w:tc>
          <w:tcPr>
            <w:tcW w:w="2126" w:type="dxa"/>
            <w:tcBorders>
              <w:top w:val="single" w:color="auto" w:sz="4" w:space="0"/>
              <w:left w:val="single" w:color="auto" w:sz="4" w:space="0"/>
              <w:bottom w:val="single" w:color="auto" w:sz="4" w:space="0"/>
              <w:right w:val="single" w:color="auto" w:sz="4" w:space="0"/>
            </w:tcBorders>
            <w:vAlign w:val="center"/>
          </w:tcPr>
          <w:p w14:paraId="1F7B0194">
            <w:pPr>
              <w:spacing w:line="320" w:lineRule="exact"/>
              <w:jc w:val="center"/>
              <w:rPr>
                <w:rFonts w:ascii="Times New Roman" w:eastAsia="仿宋"/>
                <w:szCs w:val="21"/>
              </w:rPr>
            </w:pPr>
            <w:r>
              <w:rPr>
                <w:rFonts w:hint="eastAsia" w:ascii="Times New Roman" w:eastAsia="仿宋"/>
                <w:szCs w:val="21"/>
              </w:rPr>
              <w:t>六房庄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65F16EA">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48C9D4FF">
            <w:pPr>
              <w:spacing w:line="320" w:lineRule="exact"/>
              <w:jc w:val="center"/>
              <w:rPr>
                <w:rFonts w:ascii="Times New Roman" w:eastAsia="仿宋"/>
                <w:szCs w:val="21"/>
              </w:rPr>
            </w:pPr>
            <w:r>
              <w:rPr>
                <w:rFonts w:hint="eastAsia" w:ascii="Times New Roman" w:eastAsia="仿宋"/>
                <w:szCs w:val="21"/>
              </w:rPr>
              <w:t>约1000</w:t>
            </w:r>
          </w:p>
        </w:tc>
        <w:tc>
          <w:tcPr>
            <w:tcW w:w="1276" w:type="dxa"/>
            <w:tcBorders>
              <w:top w:val="single" w:color="auto" w:sz="4" w:space="0"/>
              <w:left w:val="single" w:color="auto" w:sz="4" w:space="0"/>
              <w:bottom w:val="single" w:color="auto" w:sz="4" w:space="0"/>
              <w:right w:val="single" w:color="auto" w:sz="4" w:space="0"/>
            </w:tcBorders>
            <w:vAlign w:val="center"/>
          </w:tcPr>
          <w:p w14:paraId="596DD4E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AD171B7">
            <w:pPr>
              <w:spacing w:line="320" w:lineRule="exact"/>
              <w:jc w:val="center"/>
              <w:rPr>
                <w:rFonts w:ascii="Times New Roman" w:eastAsia="仿宋"/>
                <w:szCs w:val="21"/>
              </w:rPr>
            </w:pPr>
            <w:r>
              <w:rPr>
                <w:rFonts w:hint="eastAsia" w:ascii="Times New Roman" w:eastAsia="仿宋"/>
                <w:szCs w:val="21"/>
              </w:rPr>
              <w:t>约480</w:t>
            </w:r>
          </w:p>
        </w:tc>
      </w:tr>
      <w:tr w14:paraId="6376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715A17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43B02D9">
            <w:pPr>
              <w:adjustRightInd w:val="0"/>
              <w:snapToGrid w:val="0"/>
              <w:jc w:val="center"/>
              <w:rPr>
                <w:rFonts w:ascii="Times New Roman" w:eastAsia="仿宋"/>
                <w:szCs w:val="21"/>
              </w:rPr>
            </w:pPr>
            <w:r>
              <w:rPr>
                <w:rFonts w:ascii="Times New Roman" w:eastAsia="仿宋"/>
                <w:szCs w:val="21"/>
              </w:rPr>
              <w:t>33</w:t>
            </w:r>
          </w:p>
        </w:tc>
        <w:tc>
          <w:tcPr>
            <w:tcW w:w="2126" w:type="dxa"/>
            <w:tcBorders>
              <w:top w:val="single" w:color="auto" w:sz="4" w:space="0"/>
              <w:left w:val="single" w:color="auto" w:sz="4" w:space="0"/>
              <w:bottom w:val="single" w:color="auto" w:sz="4" w:space="0"/>
              <w:right w:val="single" w:color="auto" w:sz="4" w:space="0"/>
            </w:tcBorders>
            <w:vAlign w:val="center"/>
          </w:tcPr>
          <w:p w14:paraId="1A455C9B">
            <w:pPr>
              <w:spacing w:line="320" w:lineRule="exact"/>
              <w:jc w:val="center"/>
              <w:rPr>
                <w:rFonts w:ascii="Times New Roman" w:eastAsia="仿宋"/>
                <w:szCs w:val="21"/>
              </w:rPr>
            </w:pPr>
            <w:r>
              <w:rPr>
                <w:rFonts w:hint="eastAsia" w:ascii="Times New Roman" w:eastAsia="仿宋"/>
                <w:szCs w:val="21"/>
              </w:rPr>
              <w:t>汤家墩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5FD7E89">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3BF086C4">
            <w:pPr>
              <w:spacing w:line="320" w:lineRule="exact"/>
              <w:jc w:val="center"/>
              <w:rPr>
                <w:rFonts w:ascii="Times New Roman" w:eastAsia="仿宋"/>
                <w:szCs w:val="21"/>
              </w:rPr>
            </w:pPr>
            <w:r>
              <w:rPr>
                <w:rFonts w:hint="eastAsia" w:ascii="Times New Roman" w:eastAsia="仿宋"/>
                <w:szCs w:val="21"/>
              </w:rPr>
              <w:t>约23</w:t>
            </w:r>
            <w:r>
              <w:rPr>
                <w:rFonts w:ascii="Times New Roman" w:eastAsia="仿宋"/>
                <w:szCs w:val="21"/>
              </w:rPr>
              <w:t>00</w:t>
            </w:r>
          </w:p>
        </w:tc>
        <w:tc>
          <w:tcPr>
            <w:tcW w:w="1276" w:type="dxa"/>
            <w:tcBorders>
              <w:top w:val="single" w:color="auto" w:sz="4" w:space="0"/>
              <w:left w:val="single" w:color="auto" w:sz="4" w:space="0"/>
              <w:bottom w:val="single" w:color="auto" w:sz="4" w:space="0"/>
              <w:right w:val="single" w:color="auto" w:sz="4" w:space="0"/>
            </w:tcBorders>
            <w:vAlign w:val="center"/>
          </w:tcPr>
          <w:p w14:paraId="1A21723D">
            <w:pPr>
              <w:spacing w:line="320" w:lineRule="exact"/>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D1DC0EA">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220</w:t>
            </w:r>
          </w:p>
        </w:tc>
      </w:tr>
      <w:tr w14:paraId="2CB8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A0FE8A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3A4DE5D">
            <w:pPr>
              <w:adjustRightInd w:val="0"/>
              <w:snapToGrid w:val="0"/>
              <w:jc w:val="center"/>
              <w:rPr>
                <w:rFonts w:ascii="Times New Roman" w:eastAsia="仿宋"/>
                <w:szCs w:val="21"/>
              </w:rPr>
            </w:pPr>
            <w:r>
              <w:rPr>
                <w:rFonts w:ascii="Times New Roman" w:eastAsia="仿宋"/>
                <w:szCs w:val="21"/>
              </w:rPr>
              <w:t>34</w:t>
            </w:r>
          </w:p>
        </w:tc>
        <w:tc>
          <w:tcPr>
            <w:tcW w:w="2126" w:type="dxa"/>
            <w:tcBorders>
              <w:top w:val="single" w:color="auto" w:sz="4" w:space="0"/>
              <w:left w:val="single" w:color="auto" w:sz="4" w:space="0"/>
              <w:bottom w:val="single" w:color="auto" w:sz="4" w:space="0"/>
              <w:right w:val="single" w:color="auto" w:sz="4" w:space="0"/>
            </w:tcBorders>
            <w:vAlign w:val="center"/>
          </w:tcPr>
          <w:p w14:paraId="389B7080">
            <w:pPr>
              <w:spacing w:line="320" w:lineRule="exact"/>
              <w:jc w:val="center"/>
              <w:rPr>
                <w:rFonts w:ascii="Times New Roman" w:eastAsia="仿宋"/>
                <w:szCs w:val="21"/>
              </w:rPr>
            </w:pPr>
            <w:r>
              <w:rPr>
                <w:rFonts w:hint="eastAsia" w:ascii="Times New Roman" w:eastAsia="仿宋"/>
                <w:szCs w:val="21"/>
              </w:rPr>
              <w:t>溪北</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CB601D8">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221CF5D0">
            <w:pPr>
              <w:spacing w:line="320" w:lineRule="exact"/>
              <w:jc w:val="center"/>
              <w:rPr>
                <w:rFonts w:ascii="Times New Roman" w:eastAsia="仿宋"/>
                <w:szCs w:val="21"/>
              </w:rPr>
            </w:pPr>
            <w:r>
              <w:rPr>
                <w:rFonts w:hint="eastAsia" w:ascii="Times New Roman" w:eastAsia="仿宋"/>
                <w:szCs w:val="21"/>
              </w:rPr>
              <w:t>约3900</w:t>
            </w:r>
          </w:p>
        </w:tc>
        <w:tc>
          <w:tcPr>
            <w:tcW w:w="1276" w:type="dxa"/>
            <w:tcBorders>
              <w:top w:val="single" w:color="auto" w:sz="4" w:space="0"/>
              <w:left w:val="single" w:color="auto" w:sz="4" w:space="0"/>
              <w:bottom w:val="single" w:color="auto" w:sz="4" w:space="0"/>
              <w:right w:val="single" w:color="auto" w:sz="4" w:space="0"/>
            </w:tcBorders>
            <w:vAlign w:val="center"/>
          </w:tcPr>
          <w:p w14:paraId="58E83FEB">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2A3DA55">
            <w:pPr>
              <w:spacing w:line="320" w:lineRule="exact"/>
              <w:jc w:val="center"/>
              <w:rPr>
                <w:rFonts w:ascii="Times New Roman" w:eastAsia="仿宋"/>
                <w:szCs w:val="21"/>
              </w:rPr>
            </w:pPr>
            <w:r>
              <w:rPr>
                <w:rFonts w:hint="eastAsia" w:ascii="Times New Roman" w:eastAsia="仿宋"/>
                <w:szCs w:val="21"/>
              </w:rPr>
              <w:t>约720</w:t>
            </w:r>
          </w:p>
        </w:tc>
      </w:tr>
      <w:tr w14:paraId="7259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E1B8671">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1D23278">
            <w:pPr>
              <w:adjustRightInd w:val="0"/>
              <w:snapToGrid w:val="0"/>
              <w:jc w:val="center"/>
              <w:rPr>
                <w:rFonts w:ascii="Times New Roman" w:eastAsia="仿宋"/>
                <w:szCs w:val="21"/>
              </w:rPr>
            </w:pPr>
            <w:r>
              <w:rPr>
                <w:rFonts w:ascii="Times New Roman" w:eastAsia="仿宋"/>
                <w:szCs w:val="21"/>
              </w:rPr>
              <w:t>35</w:t>
            </w:r>
          </w:p>
        </w:tc>
        <w:tc>
          <w:tcPr>
            <w:tcW w:w="2126" w:type="dxa"/>
            <w:tcBorders>
              <w:top w:val="single" w:color="auto" w:sz="4" w:space="0"/>
              <w:left w:val="single" w:color="auto" w:sz="4" w:space="0"/>
              <w:bottom w:val="single" w:color="auto" w:sz="4" w:space="0"/>
              <w:right w:val="single" w:color="auto" w:sz="4" w:space="0"/>
            </w:tcBorders>
            <w:vAlign w:val="center"/>
          </w:tcPr>
          <w:p w14:paraId="1084B5A4">
            <w:pPr>
              <w:spacing w:line="320" w:lineRule="exact"/>
              <w:jc w:val="center"/>
              <w:rPr>
                <w:rFonts w:ascii="Times New Roman" w:eastAsia="仿宋"/>
                <w:szCs w:val="21"/>
              </w:rPr>
            </w:pPr>
            <w:r>
              <w:rPr>
                <w:rFonts w:hint="eastAsia" w:ascii="Times New Roman" w:eastAsia="仿宋"/>
                <w:szCs w:val="21"/>
              </w:rPr>
              <w:t>下庄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3720582">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4E2B511E">
            <w:pPr>
              <w:spacing w:line="320" w:lineRule="exact"/>
              <w:jc w:val="center"/>
              <w:rPr>
                <w:rFonts w:ascii="Times New Roman" w:eastAsia="仿宋"/>
                <w:szCs w:val="21"/>
              </w:rPr>
            </w:pPr>
            <w:r>
              <w:rPr>
                <w:rFonts w:hint="eastAsia" w:ascii="Times New Roman" w:eastAsia="仿宋"/>
                <w:szCs w:val="21"/>
              </w:rPr>
              <w:t>约4050</w:t>
            </w:r>
          </w:p>
        </w:tc>
        <w:tc>
          <w:tcPr>
            <w:tcW w:w="1276" w:type="dxa"/>
            <w:tcBorders>
              <w:top w:val="single" w:color="auto" w:sz="4" w:space="0"/>
              <w:left w:val="single" w:color="auto" w:sz="4" w:space="0"/>
              <w:bottom w:val="single" w:color="auto" w:sz="4" w:space="0"/>
              <w:right w:val="single" w:color="auto" w:sz="4" w:space="0"/>
            </w:tcBorders>
            <w:vAlign w:val="center"/>
          </w:tcPr>
          <w:p w14:paraId="550B16EF">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61673D9">
            <w:pPr>
              <w:spacing w:line="320" w:lineRule="exact"/>
              <w:jc w:val="center"/>
              <w:rPr>
                <w:rFonts w:ascii="Times New Roman" w:eastAsia="仿宋"/>
                <w:szCs w:val="21"/>
              </w:rPr>
            </w:pPr>
            <w:r>
              <w:rPr>
                <w:rFonts w:hint="eastAsia" w:ascii="Times New Roman" w:eastAsia="仿宋"/>
                <w:szCs w:val="21"/>
              </w:rPr>
              <w:t>约384</w:t>
            </w:r>
          </w:p>
        </w:tc>
      </w:tr>
      <w:tr w14:paraId="68AA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6AAE4B2">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C336D38">
            <w:pPr>
              <w:adjustRightInd w:val="0"/>
              <w:snapToGrid w:val="0"/>
              <w:jc w:val="center"/>
              <w:rPr>
                <w:rFonts w:ascii="Times New Roman" w:eastAsia="仿宋"/>
                <w:szCs w:val="21"/>
              </w:rPr>
            </w:pPr>
            <w:r>
              <w:rPr>
                <w:rFonts w:ascii="Times New Roman" w:eastAsia="仿宋"/>
                <w:szCs w:val="21"/>
              </w:rPr>
              <w:t>36</w:t>
            </w:r>
          </w:p>
        </w:tc>
        <w:tc>
          <w:tcPr>
            <w:tcW w:w="2126" w:type="dxa"/>
            <w:tcBorders>
              <w:top w:val="single" w:color="auto" w:sz="4" w:space="0"/>
              <w:left w:val="single" w:color="auto" w:sz="4" w:space="0"/>
              <w:bottom w:val="single" w:color="auto" w:sz="4" w:space="0"/>
              <w:right w:val="single" w:color="auto" w:sz="4" w:space="0"/>
            </w:tcBorders>
            <w:vAlign w:val="center"/>
          </w:tcPr>
          <w:p w14:paraId="7BA8B037">
            <w:pPr>
              <w:spacing w:line="320" w:lineRule="exact"/>
              <w:jc w:val="center"/>
              <w:rPr>
                <w:rFonts w:ascii="Times New Roman" w:eastAsia="仿宋"/>
                <w:szCs w:val="21"/>
              </w:rPr>
            </w:pPr>
            <w:r>
              <w:rPr>
                <w:rFonts w:hint="eastAsia" w:ascii="Times New Roman" w:eastAsia="仿宋"/>
                <w:szCs w:val="21"/>
              </w:rPr>
              <w:t>单桥村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B30BEF3">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603EA061">
            <w:pPr>
              <w:spacing w:line="320" w:lineRule="exact"/>
              <w:jc w:val="center"/>
              <w:rPr>
                <w:rFonts w:ascii="Times New Roman" w:eastAsia="仿宋"/>
                <w:szCs w:val="21"/>
              </w:rPr>
            </w:pPr>
            <w:r>
              <w:rPr>
                <w:rFonts w:hint="eastAsia" w:ascii="Times New Roman" w:eastAsia="仿宋"/>
                <w:szCs w:val="21"/>
              </w:rPr>
              <w:t>约4100</w:t>
            </w:r>
          </w:p>
        </w:tc>
        <w:tc>
          <w:tcPr>
            <w:tcW w:w="1276" w:type="dxa"/>
            <w:tcBorders>
              <w:top w:val="single" w:color="auto" w:sz="4" w:space="0"/>
              <w:left w:val="single" w:color="auto" w:sz="4" w:space="0"/>
              <w:bottom w:val="single" w:color="auto" w:sz="4" w:space="0"/>
              <w:right w:val="single" w:color="auto" w:sz="4" w:space="0"/>
            </w:tcBorders>
            <w:vAlign w:val="center"/>
          </w:tcPr>
          <w:p w14:paraId="20361E9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592BA86">
            <w:pPr>
              <w:spacing w:line="320" w:lineRule="exact"/>
              <w:jc w:val="center"/>
              <w:rPr>
                <w:rFonts w:ascii="Times New Roman" w:eastAsia="仿宋"/>
                <w:szCs w:val="21"/>
              </w:rPr>
            </w:pPr>
            <w:r>
              <w:rPr>
                <w:rFonts w:hint="eastAsia" w:ascii="Times New Roman" w:eastAsia="仿宋"/>
                <w:szCs w:val="21"/>
              </w:rPr>
              <w:t>约540</w:t>
            </w:r>
          </w:p>
        </w:tc>
      </w:tr>
      <w:tr w14:paraId="3070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D5DA8F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FEF10F6">
            <w:pPr>
              <w:adjustRightInd w:val="0"/>
              <w:snapToGrid w:val="0"/>
              <w:jc w:val="center"/>
              <w:rPr>
                <w:rFonts w:ascii="Times New Roman" w:eastAsia="仿宋"/>
                <w:szCs w:val="21"/>
              </w:rPr>
            </w:pPr>
            <w:r>
              <w:rPr>
                <w:rFonts w:ascii="Times New Roman" w:eastAsia="仿宋"/>
                <w:szCs w:val="21"/>
              </w:rPr>
              <w:t>37</w:t>
            </w:r>
          </w:p>
        </w:tc>
        <w:tc>
          <w:tcPr>
            <w:tcW w:w="2126" w:type="dxa"/>
            <w:tcBorders>
              <w:top w:val="single" w:color="auto" w:sz="4" w:space="0"/>
              <w:left w:val="single" w:color="auto" w:sz="4" w:space="0"/>
              <w:bottom w:val="single" w:color="auto" w:sz="4" w:space="0"/>
              <w:right w:val="single" w:color="auto" w:sz="4" w:space="0"/>
            </w:tcBorders>
            <w:vAlign w:val="center"/>
          </w:tcPr>
          <w:p w14:paraId="5870C853">
            <w:pPr>
              <w:spacing w:line="320" w:lineRule="exact"/>
              <w:jc w:val="center"/>
              <w:rPr>
                <w:rFonts w:ascii="Times New Roman" w:eastAsia="仿宋"/>
                <w:szCs w:val="21"/>
              </w:rPr>
            </w:pPr>
            <w:r>
              <w:rPr>
                <w:rFonts w:hint="eastAsia" w:ascii="Times New Roman" w:eastAsia="仿宋"/>
                <w:szCs w:val="21"/>
              </w:rPr>
              <w:t>马场村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0E0B55A">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69A3298F">
            <w:pPr>
              <w:spacing w:line="320" w:lineRule="exact"/>
              <w:jc w:val="center"/>
              <w:rPr>
                <w:rFonts w:ascii="Times New Roman" w:eastAsia="仿宋"/>
                <w:szCs w:val="21"/>
              </w:rPr>
            </w:pPr>
            <w:r>
              <w:rPr>
                <w:rFonts w:hint="eastAsia" w:ascii="Times New Roman" w:eastAsia="仿宋"/>
                <w:szCs w:val="21"/>
              </w:rPr>
              <w:t>约4200</w:t>
            </w:r>
          </w:p>
        </w:tc>
        <w:tc>
          <w:tcPr>
            <w:tcW w:w="1276" w:type="dxa"/>
            <w:tcBorders>
              <w:top w:val="single" w:color="auto" w:sz="4" w:space="0"/>
              <w:left w:val="single" w:color="auto" w:sz="4" w:space="0"/>
              <w:bottom w:val="single" w:color="auto" w:sz="4" w:space="0"/>
              <w:right w:val="single" w:color="auto" w:sz="4" w:space="0"/>
            </w:tcBorders>
            <w:vAlign w:val="center"/>
          </w:tcPr>
          <w:p w14:paraId="02F5A1B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012E646">
            <w:pPr>
              <w:spacing w:line="320" w:lineRule="exact"/>
              <w:jc w:val="center"/>
              <w:rPr>
                <w:rFonts w:ascii="Times New Roman" w:eastAsia="仿宋"/>
                <w:szCs w:val="21"/>
              </w:rPr>
            </w:pPr>
            <w:r>
              <w:rPr>
                <w:rFonts w:hint="eastAsia" w:ascii="Times New Roman" w:eastAsia="仿宋"/>
                <w:szCs w:val="21"/>
              </w:rPr>
              <w:t>约480</w:t>
            </w:r>
          </w:p>
        </w:tc>
      </w:tr>
      <w:tr w14:paraId="777D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F41888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11D7336">
            <w:pPr>
              <w:adjustRightInd w:val="0"/>
              <w:snapToGrid w:val="0"/>
              <w:jc w:val="center"/>
              <w:rPr>
                <w:rFonts w:ascii="Times New Roman" w:eastAsia="仿宋"/>
                <w:szCs w:val="21"/>
              </w:rPr>
            </w:pPr>
            <w:r>
              <w:rPr>
                <w:rFonts w:ascii="Times New Roman" w:eastAsia="仿宋"/>
                <w:szCs w:val="21"/>
              </w:rPr>
              <w:t>38</w:t>
            </w:r>
          </w:p>
        </w:tc>
        <w:tc>
          <w:tcPr>
            <w:tcW w:w="2126" w:type="dxa"/>
            <w:tcBorders>
              <w:top w:val="single" w:color="auto" w:sz="4" w:space="0"/>
              <w:left w:val="single" w:color="auto" w:sz="4" w:space="0"/>
              <w:bottom w:val="single" w:color="auto" w:sz="4" w:space="0"/>
              <w:right w:val="single" w:color="auto" w:sz="4" w:space="0"/>
            </w:tcBorders>
            <w:vAlign w:val="center"/>
          </w:tcPr>
          <w:p w14:paraId="121B9425">
            <w:pPr>
              <w:spacing w:line="320" w:lineRule="exact"/>
              <w:jc w:val="center"/>
              <w:rPr>
                <w:rFonts w:ascii="Times New Roman" w:eastAsia="仿宋"/>
                <w:szCs w:val="21"/>
              </w:rPr>
            </w:pPr>
            <w:r>
              <w:rPr>
                <w:rFonts w:hint="eastAsia" w:ascii="Times New Roman" w:eastAsia="仿宋"/>
                <w:szCs w:val="21"/>
              </w:rPr>
              <w:t>西街</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C81F7B7">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6A676D70">
            <w:pPr>
              <w:spacing w:line="320" w:lineRule="exact"/>
              <w:jc w:val="center"/>
              <w:rPr>
                <w:rFonts w:ascii="Times New Roman" w:eastAsia="仿宋"/>
                <w:szCs w:val="21"/>
              </w:rPr>
            </w:pPr>
            <w:r>
              <w:rPr>
                <w:rFonts w:hint="eastAsia" w:ascii="Times New Roman" w:eastAsia="仿宋"/>
                <w:szCs w:val="21"/>
              </w:rPr>
              <w:t>约4300</w:t>
            </w:r>
          </w:p>
        </w:tc>
        <w:tc>
          <w:tcPr>
            <w:tcW w:w="1276" w:type="dxa"/>
            <w:tcBorders>
              <w:top w:val="single" w:color="auto" w:sz="4" w:space="0"/>
              <w:left w:val="single" w:color="auto" w:sz="4" w:space="0"/>
              <w:bottom w:val="single" w:color="auto" w:sz="4" w:space="0"/>
              <w:right w:val="single" w:color="auto" w:sz="4" w:space="0"/>
            </w:tcBorders>
            <w:vAlign w:val="center"/>
          </w:tcPr>
          <w:p w14:paraId="2FCF608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097F351">
            <w:pPr>
              <w:spacing w:line="320" w:lineRule="exact"/>
              <w:jc w:val="center"/>
              <w:rPr>
                <w:rFonts w:ascii="Times New Roman" w:eastAsia="仿宋"/>
                <w:szCs w:val="21"/>
              </w:rPr>
            </w:pPr>
            <w:r>
              <w:rPr>
                <w:rFonts w:hint="eastAsia" w:ascii="Times New Roman" w:eastAsia="仿宋"/>
                <w:szCs w:val="21"/>
              </w:rPr>
              <w:t>约432</w:t>
            </w:r>
          </w:p>
        </w:tc>
      </w:tr>
      <w:tr w14:paraId="0B43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C9B0E35">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AD3313B">
            <w:pPr>
              <w:adjustRightInd w:val="0"/>
              <w:snapToGrid w:val="0"/>
              <w:jc w:val="center"/>
              <w:rPr>
                <w:rFonts w:ascii="Times New Roman" w:eastAsia="仿宋"/>
                <w:szCs w:val="21"/>
              </w:rPr>
            </w:pPr>
            <w:r>
              <w:rPr>
                <w:rFonts w:ascii="Times New Roman" w:eastAsia="仿宋"/>
                <w:szCs w:val="21"/>
              </w:rPr>
              <w:t>39</w:t>
            </w:r>
          </w:p>
        </w:tc>
        <w:tc>
          <w:tcPr>
            <w:tcW w:w="2126" w:type="dxa"/>
            <w:tcBorders>
              <w:top w:val="single" w:color="auto" w:sz="4" w:space="0"/>
              <w:left w:val="single" w:color="auto" w:sz="4" w:space="0"/>
              <w:bottom w:val="single" w:color="auto" w:sz="4" w:space="0"/>
              <w:right w:val="single" w:color="auto" w:sz="4" w:space="0"/>
            </w:tcBorders>
            <w:vAlign w:val="center"/>
          </w:tcPr>
          <w:p w14:paraId="209936DA">
            <w:pPr>
              <w:spacing w:line="320" w:lineRule="exact"/>
              <w:jc w:val="center"/>
              <w:rPr>
                <w:rFonts w:ascii="Times New Roman" w:eastAsia="仿宋"/>
                <w:szCs w:val="21"/>
              </w:rPr>
            </w:pPr>
            <w:r>
              <w:rPr>
                <w:rFonts w:hint="eastAsia" w:ascii="Times New Roman" w:eastAsia="仿宋"/>
                <w:szCs w:val="21"/>
              </w:rPr>
              <w:t>金坛村唐王小学</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3F1DA43">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5703D97A">
            <w:pPr>
              <w:spacing w:line="320" w:lineRule="exact"/>
              <w:jc w:val="center"/>
              <w:rPr>
                <w:rFonts w:ascii="Times New Roman" w:eastAsia="仿宋"/>
                <w:szCs w:val="21"/>
              </w:rPr>
            </w:pPr>
            <w:r>
              <w:rPr>
                <w:rFonts w:hint="eastAsia" w:ascii="Times New Roman" w:eastAsia="仿宋"/>
                <w:szCs w:val="21"/>
              </w:rPr>
              <w:t>约4350</w:t>
            </w:r>
          </w:p>
        </w:tc>
        <w:tc>
          <w:tcPr>
            <w:tcW w:w="1276" w:type="dxa"/>
            <w:tcBorders>
              <w:top w:val="single" w:color="auto" w:sz="4" w:space="0"/>
              <w:left w:val="single" w:color="auto" w:sz="4" w:space="0"/>
              <w:bottom w:val="single" w:color="auto" w:sz="4" w:space="0"/>
              <w:right w:val="single" w:color="auto" w:sz="4" w:space="0"/>
            </w:tcBorders>
            <w:vAlign w:val="center"/>
          </w:tcPr>
          <w:p w14:paraId="3967942E">
            <w:pPr>
              <w:adjustRightInd w:val="0"/>
              <w:snapToGrid w:val="0"/>
              <w:jc w:val="center"/>
              <w:rPr>
                <w:rFonts w:ascii="Times New Roman" w:eastAsia="仿宋"/>
                <w:szCs w:val="21"/>
              </w:rPr>
            </w:pPr>
            <w:r>
              <w:rPr>
                <w:rFonts w:hint="eastAsia" w:ascii="Times New Roman" w:eastAsia="仿宋"/>
                <w:szCs w:val="21"/>
              </w:rPr>
              <w:t>学校</w:t>
            </w:r>
          </w:p>
        </w:tc>
        <w:tc>
          <w:tcPr>
            <w:tcW w:w="2126" w:type="dxa"/>
            <w:tcBorders>
              <w:top w:val="single" w:color="auto" w:sz="4" w:space="0"/>
              <w:left w:val="single" w:color="auto" w:sz="4" w:space="0"/>
              <w:bottom w:val="single" w:color="auto" w:sz="4" w:space="0"/>
              <w:right w:val="single" w:color="auto" w:sz="4" w:space="0"/>
            </w:tcBorders>
            <w:vAlign w:val="center"/>
          </w:tcPr>
          <w:p w14:paraId="4264A6E1">
            <w:pPr>
              <w:spacing w:line="320" w:lineRule="exact"/>
              <w:jc w:val="center"/>
              <w:rPr>
                <w:rFonts w:ascii="Times New Roman" w:eastAsia="仿宋"/>
                <w:szCs w:val="21"/>
              </w:rPr>
            </w:pPr>
            <w:r>
              <w:rPr>
                <w:rFonts w:hint="eastAsia" w:ascii="Times New Roman" w:eastAsia="仿宋"/>
                <w:szCs w:val="21"/>
              </w:rPr>
              <w:t>约720</w:t>
            </w:r>
          </w:p>
        </w:tc>
      </w:tr>
      <w:tr w14:paraId="767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47D4E0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D8D015B">
            <w:pPr>
              <w:adjustRightInd w:val="0"/>
              <w:snapToGrid w:val="0"/>
              <w:jc w:val="center"/>
              <w:rPr>
                <w:rFonts w:ascii="Times New Roman" w:eastAsia="仿宋"/>
                <w:szCs w:val="21"/>
              </w:rPr>
            </w:pPr>
            <w:r>
              <w:rPr>
                <w:rFonts w:ascii="Times New Roman" w:eastAsia="仿宋"/>
                <w:szCs w:val="21"/>
              </w:rPr>
              <w:t>40</w:t>
            </w:r>
          </w:p>
        </w:tc>
        <w:tc>
          <w:tcPr>
            <w:tcW w:w="2126" w:type="dxa"/>
            <w:tcBorders>
              <w:top w:val="single" w:color="auto" w:sz="4" w:space="0"/>
              <w:left w:val="single" w:color="auto" w:sz="4" w:space="0"/>
              <w:bottom w:val="single" w:color="auto" w:sz="4" w:space="0"/>
              <w:right w:val="single" w:color="auto" w:sz="4" w:space="0"/>
            </w:tcBorders>
            <w:vAlign w:val="center"/>
          </w:tcPr>
          <w:p w14:paraId="0FB8B824">
            <w:pPr>
              <w:spacing w:line="320" w:lineRule="exact"/>
              <w:jc w:val="center"/>
              <w:rPr>
                <w:rFonts w:ascii="Times New Roman" w:eastAsia="仿宋"/>
                <w:szCs w:val="21"/>
              </w:rPr>
            </w:pPr>
            <w:r>
              <w:rPr>
                <w:rFonts w:hint="eastAsia" w:ascii="Times New Roman" w:eastAsia="仿宋"/>
                <w:szCs w:val="21"/>
              </w:rPr>
              <w:t>西庄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BFFA3C2">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30744FB0">
            <w:pPr>
              <w:spacing w:line="320" w:lineRule="exact"/>
              <w:jc w:val="center"/>
              <w:rPr>
                <w:rFonts w:ascii="Times New Roman" w:eastAsia="仿宋"/>
                <w:szCs w:val="21"/>
              </w:rPr>
            </w:pPr>
            <w:r>
              <w:rPr>
                <w:rFonts w:hint="eastAsia" w:ascii="Times New Roman" w:eastAsia="仿宋"/>
                <w:szCs w:val="21"/>
              </w:rPr>
              <w:t>约4450</w:t>
            </w:r>
          </w:p>
        </w:tc>
        <w:tc>
          <w:tcPr>
            <w:tcW w:w="1276" w:type="dxa"/>
            <w:tcBorders>
              <w:top w:val="single" w:color="auto" w:sz="4" w:space="0"/>
              <w:left w:val="single" w:color="auto" w:sz="4" w:space="0"/>
              <w:bottom w:val="single" w:color="auto" w:sz="4" w:space="0"/>
              <w:right w:val="single" w:color="auto" w:sz="4" w:space="0"/>
            </w:tcBorders>
            <w:vAlign w:val="center"/>
          </w:tcPr>
          <w:p w14:paraId="282BC8F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F4A2336">
            <w:pPr>
              <w:spacing w:line="320" w:lineRule="exact"/>
              <w:jc w:val="center"/>
              <w:rPr>
                <w:rFonts w:ascii="Times New Roman" w:eastAsia="仿宋"/>
                <w:szCs w:val="21"/>
              </w:rPr>
            </w:pPr>
            <w:r>
              <w:rPr>
                <w:rFonts w:hint="eastAsia" w:ascii="Times New Roman" w:eastAsia="仿宋"/>
                <w:szCs w:val="21"/>
              </w:rPr>
              <w:t>约264</w:t>
            </w:r>
          </w:p>
        </w:tc>
      </w:tr>
      <w:tr w14:paraId="46A9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111C6E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A3C2B0C">
            <w:pPr>
              <w:adjustRightInd w:val="0"/>
              <w:snapToGrid w:val="0"/>
              <w:jc w:val="center"/>
              <w:rPr>
                <w:rFonts w:ascii="Times New Roman" w:eastAsia="仿宋"/>
                <w:szCs w:val="21"/>
              </w:rPr>
            </w:pPr>
            <w:r>
              <w:rPr>
                <w:rFonts w:ascii="Times New Roman" w:eastAsia="仿宋"/>
                <w:szCs w:val="21"/>
              </w:rPr>
              <w:t>41</w:t>
            </w:r>
          </w:p>
        </w:tc>
        <w:tc>
          <w:tcPr>
            <w:tcW w:w="2126" w:type="dxa"/>
            <w:tcBorders>
              <w:top w:val="single" w:color="auto" w:sz="4" w:space="0"/>
              <w:left w:val="single" w:color="auto" w:sz="4" w:space="0"/>
              <w:bottom w:val="single" w:color="auto" w:sz="4" w:space="0"/>
              <w:right w:val="single" w:color="auto" w:sz="4" w:space="0"/>
            </w:tcBorders>
            <w:vAlign w:val="center"/>
          </w:tcPr>
          <w:p w14:paraId="4F085822">
            <w:pPr>
              <w:spacing w:line="320" w:lineRule="exact"/>
              <w:jc w:val="center"/>
              <w:rPr>
                <w:rFonts w:ascii="Times New Roman" w:eastAsia="仿宋"/>
                <w:szCs w:val="21"/>
              </w:rPr>
            </w:pPr>
            <w:r>
              <w:rPr>
                <w:rFonts w:hint="eastAsia" w:ascii="Times New Roman" w:eastAsia="仿宋"/>
                <w:szCs w:val="21"/>
              </w:rPr>
              <w:t>唐埠</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E7CB342">
            <w:pPr>
              <w:spacing w:line="320" w:lineRule="exact"/>
              <w:jc w:val="center"/>
              <w:rPr>
                <w:rFonts w:ascii="Times New Roman" w:eastAsia="仿宋"/>
                <w:szCs w:val="21"/>
              </w:rPr>
            </w:pPr>
            <w:r>
              <w:rPr>
                <w:rFonts w:hint="eastAsia" w:ascii="Times New Roman" w:eastAsia="仿宋"/>
                <w:szCs w:val="21"/>
              </w:rPr>
              <w:t>S</w:t>
            </w:r>
          </w:p>
        </w:tc>
        <w:tc>
          <w:tcPr>
            <w:tcW w:w="1134" w:type="dxa"/>
            <w:gridSpan w:val="2"/>
            <w:vAlign w:val="center"/>
          </w:tcPr>
          <w:p w14:paraId="23DA7E15">
            <w:pPr>
              <w:spacing w:line="320" w:lineRule="exact"/>
              <w:jc w:val="center"/>
              <w:rPr>
                <w:rFonts w:ascii="Times New Roman" w:eastAsia="仿宋"/>
                <w:szCs w:val="21"/>
              </w:rPr>
            </w:pPr>
            <w:r>
              <w:rPr>
                <w:rFonts w:hint="eastAsia" w:ascii="Times New Roman" w:eastAsia="仿宋"/>
                <w:szCs w:val="21"/>
              </w:rPr>
              <w:t>约5050</w:t>
            </w:r>
          </w:p>
        </w:tc>
        <w:tc>
          <w:tcPr>
            <w:tcW w:w="1276" w:type="dxa"/>
            <w:tcBorders>
              <w:top w:val="single" w:color="auto" w:sz="4" w:space="0"/>
              <w:left w:val="single" w:color="auto" w:sz="4" w:space="0"/>
              <w:bottom w:val="single" w:color="auto" w:sz="4" w:space="0"/>
              <w:right w:val="single" w:color="auto" w:sz="4" w:space="0"/>
            </w:tcBorders>
            <w:vAlign w:val="center"/>
          </w:tcPr>
          <w:p w14:paraId="30374F9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FF0255F">
            <w:pPr>
              <w:spacing w:line="320" w:lineRule="exact"/>
              <w:jc w:val="center"/>
              <w:rPr>
                <w:rFonts w:ascii="Times New Roman" w:eastAsia="仿宋"/>
                <w:szCs w:val="21"/>
              </w:rPr>
            </w:pPr>
            <w:r>
              <w:rPr>
                <w:rFonts w:hint="eastAsia" w:ascii="Times New Roman" w:eastAsia="仿宋"/>
                <w:szCs w:val="21"/>
              </w:rPr>
              <w:t>约276</w:t>
            </w:r>
          </w:p>
        </w:tc>
      </w:tr>
      <w:tr w14:paraId="4918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C27A07A">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84C6019">
            <w:pPr>
              <w:adjustRightInd w:val="0"/>
              <w:snapToGrid w:val="0"/>
              <w:jc w:val="center"/>
              <w:rPr>
                <w:rFonts w:ascii="Times New Roman" w:eastAsia="仿宋"/>
                <w:szCs w:val="21"/>
              </w:rPr>
            </w:pPr>
            <w:r>
              <w:rPr>
                <w:rFonts w:ascii="Times New Roman" w:eastAsia="仿宋"/>
                <w:szCs w:val="21"/>
              </w:rPr>
              <w:t>42</w:t>
            </w:r>
          </w:p>
        </w:tc>
        <w:tc>
          <w:tcPr>
            <w:tcW w:w="2126" w:type="dxa"/>
            <w:tcBorders>
              <w:top w:val="single" w:color="auto" w:sz="4" w:space="0"/>
              <w:left w:val="single" w:color="auto" w:sz="4" w:space="0"/>
              <w:bottom w:val="single" w:color="auto" w:sz="4" w:space="0"/>
              <w:right w:val="single" w:color="auto" w:sz="4" w:space="0"/>
            </w:tcBorders>
            <w:vAlign w:val="center"/>
          </w:tcPr>
          <w:p w14:paraId="286F2F62">
            <w:pPr>
              <w:spacing w:line="320" w:lineRule="exact"/>
              <w:jc w:val="center"/>
              <w:rPr>
                <w:rFonts w:ascii="Times New Roman" w:eastAsia="仿宋"/>
                <w:szCs w:val="21"/>
              </w:rPr>
            </w:pPr>
            <w:r>
              <w:rPr>
                <w:rFonts w:hint="eastAsia" w:ascii="Times New Roman" w:eastAsia="仿宋"/>
                <w:szCs w:val="21"/>
              </w:rPr>
              <w:t>唐巷村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5C5DFF8">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4B5E7AF9">
            <w:pPr>
              <w:spacing w:line="320" w:lineRule="exact"/>
              <w:jc w:val="center"/>
              <w:rPr>
                <w:rFonts w:ascii="Times New Roman" w:eastAsia="仿宋"/>
                <w:szCs w:val="21"/>
              </w:rPr>
            </w:pPr>
            <w:r>
              <w:rPr>
                <w:rFonts w:hint="eastAsia" w:ascii="Times New Roman" w:eastAsia="仿宋"/>
                <w:szCs w:val="21"/>
              </w:rPr>
              <w:t>约850</w:t>
            </w:r>
          </w:p>
        </w:tc>
        <w:tc>
          <w:tcPr>
            <w:tcW w:w="1276" w:type="dxa"/>
            <w:tcBorders>
              <w:top w:val="single" w:color="auto" w:sz="4" w:space="0"/>
              <w:left w:val="single" w:color="auto" w:sz="4" w:space="0"/>
              <w:bottom w:val="single" w:color="auto" w:sz="4" w:space="0"/>
              <w:right w:val="single" w:color="auto" w:sz="4" w:space="0"/>
            </w:tcBorders>
            <w:vAlign w:val="center"/>
          </w:tcPr>
          <w:p w14:paraId="7DD79FA9">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E5B1039">
            <w:pPr>
              <w:spacing w:line="320" w:lineRule="exact"/>
              <w:jc w:val="center"/>
              <w:rPr>
                <w:rFonts w:ascii="Times New Roman" w:eastAsia="仿宋"/>
                <w:szCs w:val="21"/>
              </w:rPr>
            </w:pPr>
            <w:r>
              <w:rPr>
                <w:rFonts w:hint="eastAsia" w:ascii="Times New Roman" w:eastAsia="仿宋"/>
                <w:szCs w:val="21"/>
              </w:rPr>
              <w:t>约456</w:t>
            </w:r>
          </w:p>
        </w:tc>
      </w:tr>
      <w:tr w14:paraId="1DCD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9BDD18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1C2BFE7">
            <w:pPr>
              <w:adjustRightInd w:val="0"/>
              <w:snapToGrid w:val="0"/>
              <w:jc w:val="center"/>
              <w:rPr>
                <w:rFonts w:ascii="Times New Roman" w:eastAsia="仿宋"/>
                <w:szCs w:val="21"/>
              </w:rPr>
            </w:pPr>
            <w:r>
              <w:rPr>
                <w:rFonts w:ascii="Times New Roman" w:eastAsia="仿宋"/>
                <w:szCs w:val="21"/>
              </w:rPr>
              <w:t>43</w:t>
            </w:r>
          </w:p>
        </w:tc>
        <w:tc>
          <w:tcPr>
            <w:tcW w:w="2126" w:type="dxa"/>
            <w:tcBorders>
              <w:top w:val="single" w:color="auto" w:sz="4" w:space="0"/>
              <w:left w:val="single" w:color="auto" w:sz="4" w:space="0"/>
              <w:bottom w:val="single" w:color="auto" w:sz="4" w:space="0"/>
              <w:right w:val="single" w:color="auto" w:sz="4" w:space="0"/>
            </w:tcBorders>
            <w:vAlign w:val="center"/>
          </w:tcPr>
          <w:p w14:paraId="24BCDC63">
            <w:pPr>
              <w:spacing w:line="320" w:lineRule="exact"/>
              <w:jc w:val="center"/>
              <w:rPr>
                <w:rFonts w:ascii="Times New Roman" w:eastAsia="仿宋"/>
                <w:szCs w:val="21"/>
              </w:rPr>
            </w:pPr>
            <w:r>
              <w:rPr>
                <w:rFonts w:hint="eastAsia" w:ascii="Times New Roman" w:eastAsia="仿宋"/>
                <w:szCs w:val="21"/>
              </w:rPr>
              <w:t>西庄背</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217A514">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197FA14D">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100</w:t>
            </w:r>
          </w:p>
        </w:tc>
        <w:tc>
          <w:tcPr>
            <w:tcW w:w="1276" w:type="dxa"/>
            <w:tcBorders>
              <w:top w:val="single" w:color="auto" w:sz="4" w:space="0"/>
              <w:left w:val="single" w:color="auto" w:sz="4" w:space="0"/>
              <w:bottom w:val="single" w:color="auto" w:sz="4" w:space="0"/>
              <w:right w:val="single" w:color="auto" w:sz="4" w:space="0"/>
            </w:tcBorders>
            <w:vAlign w:val="center"/>
          </w:tcPr>
          <w:p w14:paraId="3F48609C">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746B6DA">
            <w:pPr>
              <w:spacing w:line="320" w:lineRule="exact"/>
              <w:jc w:val="center"/>
              <w:rPr>
                <w:rFonts w:ascii="Times New Roman" w:eastAsia="仿宋"/>
                <w:szCs w:val="21"/>
              </w:rPr>
            </w:pPr>
            <w:r>
              <w:rPr>
                <w:rFonts w:hint="eastAsia" w:ascii="Times New Roman" w:eastAsia="仿宋"/>
                <w:szCs w:val="21"/>
              </w:rPr>
              <w:t>约200</w:t>
            </w:r>
          </w:p>
        </w:tc>
      </w:tr>
      <w:tr w14:paraId="44A9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4C17A9B">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7CF0CBC">
            <w:pPr>
              <w:adjustRightInd w:val="0"/>
              <w:snapToGrid w:val="0"/>
              <w:jc w:val="center"/>
              <w:rPr>
                <w:rFonts w:ascii="Times New Roman" w:eastAsia="仿宋"/>
                <w:szCs w:val="21"/>
              </w:rPr>
            </w:pPr>
            <w:r>
              <w:rPr>
                <w:rFonts w:ascii="Times New Roman" w:eastAsia="仿宋"/>
                <w:szCs w:val="21"/>
              </w:rPr>
              <w:t>44</w:t>
            </w:r>
          </w:p>
        </w:tc>
        <w:tc>
          <w:tcPr>
            <w:tcW w:w="2126" w:type="dxa"/>
            <w:tcBorders>
              <w:top w:val="single" w:color="auto" w:sz="4" w:space="0"/>
              <w:left w:val="single" w:color="auto" w:sz="4" w:space="0"/>
              <w:bottom w:val="single" w:color="auto" w:sz="4" w:space="0"/>
              <w:right w:val="single" w:color="auto" w:sz="4" w:space="0"/>
            </w:tcBorders>
            <w:vAlign w:val="center"/>
          </w:tcPr>
          <w:p w14:paraId="5B2C1A9D">
            <w:pPr>
              <w:spacing w:line="320" w:lineRule="exact"/>
              <w:jc w:val="center"/>
              <w:rPr>
                <w:rFonts w:ascii="Times New Roman" w:eastAsia="仿宋"/>
                <w:szCs w:val="21"/>
              </w:rPr>
            </w:pPr>
            <w:r>
              <w:rPr>
                <w:rFonts w:hint="eastAsia" w:ascii="Times New Roman" w:eastAsia="仿宋"/>
                <w:szCs w:val="21"/>
              </w:rPr>
              <w:t>蒋巷圩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60B5921">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0D792911">
            <w:pPr>
              <w:spacing w:line="320" w:lineRule="exact"/>
              <w:jc w:val="center"/>
              <w:rPr>
                <w:rFonts w:ascii="Times New Roman" w:eastAsia="仿宋"/>
                <w:szCs w:val="21"/>
              </w:rPr>
            </w:pPr>
            <w:r>
              <w:rPr>
                <w:rFonts w:hint="eastAsia" w:ascii="Times New Roman" w:eastAsia="仿宋"/>
                <w:szCs w:val="21"/>
              </w:rPr>
              <w:t>约2500</w:t>
            </w:r>
          </w:p>
        </w:tc>
        <w:tc>
          <w:tcPr>
            <w:tcW w:w="1276" w:type="dxa"/>
            <w:tcBorders>
              <w:top w:val="single" w:color="auto" w:sz="4" w:space="0"/>
              <w:left w:val="single" w:color="auto" w:sz="4" w:space="0"/>
              <w:bottom w:val="single" w:color="auto" w:sz="4" w:space="0"/>
              <w:right w:val="single" w:color="auto" w:sz="4" w:space="0"/>
            </w:tcBorders>
            <w:vAlign w:val="center"/>
          </w:tcPr>
          <w:p w14:paraId="4731CA7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AAEA1D0">
            <w:pPr>
              <w:spacing w:line="320" w:lineRule="exact"/>
              <w:jc w:val="center"/>
              <w:rPr>
                <w:rFonts w:ascii="Times New Roman" w:eastAsia="仿宋"/>
                <w:szCs w:val="21"/>
              </w:rPr>
            </w:pPr>
            <w:r>
              <w:rPr>
                <w:rFonts w:hint="eastAsia" w:ascii="Times New Roman" w:eastAsia="仿宋"/>
                <w:szCs w:val="21"/>
              </w:rPr>
              <w:t>约396</w:t>
            </w:r>
          </w:p>
        </w:tc>
      </w:tr>
      <w:tr w14:paraId="01A1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6087F4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A3D6142">
            <w:pPr>
              <w:adjustRightInd w:val="0"/>
              <w:snapToGrid w:val="0"/>
              <w:jc w:val="center"/>
              <w:rPr>
                <w:rFonts w:ascii="Times New Roman" w:eastAsia="仿宋"/>
                <w:szCs w:val="21"/>
              </w:rPr>
            </w:pPr>
            <w:r>
              <w:rPr>
                <w:rFonts w:ascii="Times New Roman" w:eastAsia="仿宋"/>
                <w:szCs w:val="21"/>
              </w:rPr>
              <w:t>45</w:t>
            </w:r>
          </w:p>
        </w:tc>
        <w:tc>
          <w:tcPr>
            <w:tcW w:w="2126" w:type="dxa"/>
            <w:tcBorders>
              <w:top w:val="single" w:color="auto" w:sz="4" w:space="0"/>
              <w:left w:val="single" w:color="auto" w:sz="4" w:space="0"/>
              <w:bottom w:val="single" w:color="auto" w:sz="4" w:space="0"/>
              <w:right w:val="single" w:color="auto" w:sz="4" w:space="0"/>
            </w:tcBorders>
            <w:vAlign w:val="center"/>
          </w:tcPr>
          <w:p w14:paraId="68C6C4E0">
            <w:pPr>
              <w:spacing w:line="320" w:lineRule="exact"/>
              <w:jc w:val="center"/>
              <w:rPr>
                <w:rFonts w:ascii="Times New Roman" w:eastAsia="仿宋"/>
                <w:szCs w:val="21"/>
              </w:rPr>
            </w:pPr>
            <w:r>
              <w:rPr>
                <w:rFonts w:hint="eastAsia" w:ascii="Times New Roman" w:eastAsia="仿宋"/>
                <w:szCs w:val="21"/>
              </w:rPr>
              <w:t>屯山村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BAEC194">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14154275">
            <w:pPr>
              <w:spacing w:line="320" w:lineRule="exact"/>
              <w:jc w:val="center"/>
              <w:rPr>
                <w:rFonts w:ascii="Times New Roman" w:eastAsia="仿宋"/>
                <w:szCs w:val="21"/>
              </w:rPr>
            </w:pPr>
            <w:r>
              <w:rPr>
                <w:rFonts w:hint="eastAsia" w:ascii="Times New Roman" w:eastAsia="仿宋"/>
                <w:szCs w:val="21"/>
              </w:rPr>
              <w:t>约2500</w:t>
            </w:r>
          </w:p>
        </w:tc>
        <w:tc>
          <w:tcPr>
            <w:tcW w:w="1276" w:type="dxa"/>
            <w:tcBorders>
              <w:top w:val="single" w:color="auto" w:sz="4" w:space="0"/>
              <w:left w:val="single" w:color="auto" w:sz="4" w:space="0"/>
              <w:bottom w:val="single" w:color="auto" w:sz="4" w:space="0"/>
              <w:right w:val="single" w:color="auto" w:sz="4" w:space="0"/>
            </w:tcBorders>
            <w:vAlign w:val="center"/>
          </w:tcPr>
          <w:p w14:paraId="3044898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10EB75E">
            <w:pPr>
              <w:spacing w:line="320" w:lineRule="exact"/>
              <w:jc w:val="center"/>
              <w:rPr>
                <w:rFonts w:ascii="Times New Roman" w:eastAsia="仿宋"/>
                <w:szCs w:val="21"/>
              </w:rPr>
            </w:pPr>
            <w:r>
              <w:rPr>
                <w:rFonts w:hint="eastAsia" w:ascii="Times New Roman" w:eastAsia="仿宋"/>
                <w:szCs w:val="21"/>
              </w:rPr>
              <w:t>约360</w:t>
            </w:r>
          </w:p>
        </w:tc>
      </w:tr>
      <w:tr w14:paraId="40DC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BAB6F8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69E0DF1">
            <w:pPr>
              <w:adjustRightInd w:val="0"/>
              <w:snapToGrid w:val="0"/>
              <w:jc w:val="center"/>
              <w:rPr>
                <w:rFonts w:ascii="Times New Roman" w:eastAsia="仿宋"/>
                <w:szCs w:val="21"/>
              </w:rPr>
            </w:pPr>
            <w:r>
              <w:rPr>
                <w:rFonts w:ascii="Times New Roman" w:eastAsia="仿宋"/>
                <w:szCs w:val="21"/>
              </w:rPr>
              <w:t>46</w:t>
            </w:r>
          </w:p>
        </w:tc>
        <w:tc>
          <w:tcPr>
            <w:tcW w:w="2126" w:type="dxa"/>
            <w:tcBorders>
              <w:top w:val="single" w:color="auto" w:sz="4" w:space="0"/>
              <w:left w:val="single" w:color="auto" w:sz="4" w:space="0"/>
              <w:bottom w:val="single" w:color="auto" w:sz="4" w:space="0"/>
              <w:right w:val="single" w:color="auto" w:sz="4" w:space="0"/>
            </w:tcBorders>
            <w:vAlign w:val="center"/>
          </w:tcPr>
          <w:p w14:paraId="285293FC">
            <w:pPr>
              <w:spacing w:line="320" w:lineRule="exact"/>
              <w:jc w:val="center"/>
              <w:rPr>
                <w:rFonts w:ascii="Times New Roman" w:eastAsia="仿宋"/>
                <w:szCs w:val="21"/>
              </w:rPr>
            </w:pPr>
            <w:r>
              <w:rPr>
                <w:rFonts w:hint="eastAsia" w:ascii="Times New Roman" w:eastAsia="仿宋"/>
                <w:szCs w:val="21"/>
              </w:rPr>
              <w:t>王家墩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A7866AB">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4F4F2066">
            <w:pPr>
              <w:spacing w:line="320" w:lineRule="exact"/>
              <w:jc w:val="center"/>
              <w:rPr>
                <w:rFonts w:ascii="Times New Roman" w:eastAsia="仿宋"/>
                <w:szCs w:val="21"/>
              </w:rPr>
            </w:pPr>
            <w:r>
              <w:rPr>
                <w:rFonts w:hint="eastAsia" w:ascii="Times New Roman" w:eastAsia="仿宋"/>
                <w:szCs w:val="21"/>
              </w:rPr>
              <w:t>约3200</w:t>
            </w:r>
          </w:p>
        </w:tc>
        <w:tc>
          <w:tcPr>
            <w:tcW w:w="1276" w:type="dxa"/>
            <w:tcBorders>
              <w:top w:val="single" w:color="auto" w:sz="4" w:space="0"/>
              <w:left w:val="single" w:color="auto" w:sz="4" w:space="0"/>
              <w:bottom w:val="single" w:color="auto" w:sz="4" w:space="0"/>
              <w:right w:val="single" w:color="auto" w:sz="4" w:space="0"/>
            </w:tcBorders>
            <w:vAlign w:val="center"/>
          </w:tcPr>
          <w:p w14:paraId="5CEFDA7F">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70B68B6C">
            <w:pPr>
              <w:spacing w:line="320" w:lineRule="exact"/>
              <w:jc w:val="center"/>
              <w:rPr>
                <w:rFonts w:ascii="Times New Roman" w:eastAsia="仿宋"/>
                <w:szCs w:val="21"/>
              </w:rPr>
            </w:pPr>
            <w:r>
              <w:rPr>
                <w:rFonts w:hint="eastAsia" w:ascii="Times New Roman" w:eastAsia="仿宋"/>
                <w:szCs w:val="21"/>
              </w:rPr>
              <w:t>约240</w:t>
            </w:r>
          </w:p>
        </w:tc>
      </w:tr>
      <w:tr w14:paraId="67C0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8BF07D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737D990">
            <w:pPr>
              <w:adjustRightInd w:val="0"/>
              <w:snapToGrid w:val="0"/>
              <w:jc w:val="center"/>
              <w:rPr>
                <w:rFonts w:ascii="Times New Roman" w:eastAsia="仿宋"/>
                <w:szCs w:val="21"/>
              </w:rPr>
            </w:pPr>
            <w:r>
              <w:rPr>
                <w:rFonts w:ascii="Times New Roman" w:eastAsia="仿宋"/>
                <w:szCs w:val="21"/>
              </w:rPr>
              <w:t>47</w:t>
            </w:r>
          </w:p>
        </w:tc>
        <w:tc>
          <w:tcPr>
            <w:tcW w:w="2126" w:type="dxa"/>
            <w:tcBorders>
              <w:top w:val="single" w:color="auto" w:sz="4" w:space="0"/>
              <w:left w:val="single" w:color="auto" w:sz="4" w:space="0"/>
              <w:bottom w:val="single" w:color="auto" w:sz="4" w:space="0"/>
              <w:right w:val="single" w:color="auto" w:sz="4" w:space="0"/>
            </w:tcBorders>
            <w:vAlign w:val="center"/>
          </w:tcPr>
          <w:p w14:paraId="713DE1FD">
            <w:pPr>
              <w:spacing w:line="320" w:lineRule="exact"/>
              <w:jc w:val="center"/>
              <w:rPr>
                <w:rFonts w:ascii="Times New Roman" w:eastAsia="仿宋"/>
                <w:szCs w:val="21"/>
              </w:rPr>
            </w:pPr>
            <w:r>
              <w:rPr>
                <w:rFonts w:hint="eastAsia" w:ascii="Times New Roman" w:eastAsia="仿宋"/>
                <w:szCs w:val="21"/>
              </w:rPr>
              <w:t>高家圩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23CA37F">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66DCE10B">
            <w:pPr>
              <w:spacing w:line="320" w:lineRule="exact"/>
              <w:jc w:val="center"/>
              <w:rPr>
                <w:rFonts w:ascii="Times New Roman" w:eastAsia="仿宋"/>
                <w:szCs w:val="21"/>
              </w:rPr>
            </w:pPr>
            <w:r>
              <w:rPr>
                <w:rFonts w:hint="eastAsia" w:ascii="Times New Roman" w:eastAsia="仿宋"/>
                <w:szCs w:val="21"/>
              </w:rPr>
              <w:t>约3250</w:t>
            </w:r>
          </w:p>
        </w:tc>
        <w:tc>
          <w:tcPr>
            <w:tcW w:w="1276" w:type="dxa"/>
            <w:tcBorders>
              <w:top w:val="single" w:color="auto" w:sz="4" w:space="0"/>
              <w:left w:val="single" w:color="auto" w:sz="4" w:space="0"/>
              <w:bottom w:val="single" w:color="auto" w:sz="4" w:space="0"/>
              <w:right w:val="single" w:color="auto" w:sz="4" w:space="0"/>
            </w:tcBorders>
            <w:vAlign w:val="center"/>
          </w:tcPr>
          <w:p w14:paraId="46E419C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EB76947">
            <w:pPr>
              <w:spacing w:line="320" w:lineRule="exact"/>
              <w:jc w:val="center"/>
              <w:rPr>
                <w:rFonts w:ascii="Times New Roman" w:eastAsia="仿宋"/>
                <w:szCs w:val="21"/>
              </w:rPr>
            </w:pPr>
            <w:r>
              <w:rPr>
                <w:rFonts w:hint="eastAsia" w:ascii="Times New Roman" w:eastAsia="仿宋"/>
                <w:szCs w:val="21"/>
              </w:rPr>
              <w:t>约336</w:t>
            </w:r>
          </w:p>
        </w:tc>
      </w:tr>
      <w:tr w14:paraId="1E1D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44E41A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0C3B4E1">
            <w:pPr>
              <w:adjustRightInd w:val="0"/>
              <w:snapToGrid w:val="0"/>
              <w:jc w:val="center"/>
              <w:rPr>
                <w:rFonts w:ascii="Times New Roman" w:eastAsia="仿宋"/>
                <w:szCs w:val="21"/>
              </w:rPr>
            </w:pPr>
            <w:r>
              <w:rPr>
                <w:rFonts w:ascii="Times New Roman" w:eastAsia="仿宋"/>
                <w:szCs w:val="21"/>
              </w:rPr>
              <w:t>48</w:t>
            </w:r>
          </w:p>
        </w:tc>
        <w:tc>
          <w:tcPr>
            <w:tcW w:w="2126" w:type="dxa"/>
            <w:tcBorders>
              <w:top w:val="single" w:color="auto" w:sz="4" w:space="0"/>
              <w:left w:val="single" w:color="auto" w:sz="4" w:space="0"/>
              <w:bottom w:val="single" w:color="auto" w:sz="4" w:space="0"/>
              <w:right w:val="single" w:color="auto" w:sz="4" w:space="0"/>
            </w:tcBorders>
            <w:vAlign w:val="center"/>
          </w:tcPr>
          <w:p w14:paraId="42DAF4A6">
            <w:pPr>
              <w:spacing w:line="320" w:lineRule="exact"/>
              <w:jc w:val="center"/>
              <w:rPr>
                <w:rFonts w:ascii="Times New Roman" w:eastAsia="仿宋"/>
                <w:szCs w:val="21"/>
              </w:rPr>
            </w:pPr>
            <w:r>
              <w:rPr>
                <w:rFonts w:hint="eastAsia" w:ascii="Times New Roman" w:eastAsia="仿宋"/>
                <w:szCs w:val="21"/>
              </w:rPr>
              <w:t>南圩桥</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33C0DE9">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24AB5C80">
            <w:pPr>
              <w:spacing w:line="320" w:lineRule="exact"/>
              <w:jc w:val="center"/>
              <w:rPr>
                <w:rFonts w:ascii="Times New Roman" w:eastAsia="仿宋"/>
                <w:szCs w:val="21"/>
              </w:rPr>
            </w:pPr>
            <w:r>
              <w:rPr>
                <w:rFonts w:hint="eastAsia" w:ascii="Times New Roman" w:eastAsia="仿宋"/>
                <w:szCs w:val="21"/>
              </w:rPr>
              <w:t>约3800</w:t>
            </w:r>
          </w:p>
        </w:tc>
        <w:tc>
          <w:tcPr>
            <w:tcW w:w="1276" w:type="dxa"/>
            <w:tcBorders>
              <w:top w:val="single" w:color="auto" w:sz="4" w:space="0"/>
              <w:left w:val="single" w:color="auto" w:sz="4" w:space="0"/>
              <w:bottom w:val="single" w:color="auto" w:sz="4" w:space="0"/>
              <w:right w:val="single" w:color="auto" w:sz="4" w:space="0"/>
            </w:tcBorders>
            <w:vAlign w:val="center"/>
          </w:tcPr>
          <w:p w14:paraId="3488C38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4F448DC">
            <w:pPr>
              <w:spacing w:line="320" w:lineRule="exact"/>
              <w:jc w:val="center"/>
              <w:rPr>
                <w:rFonts w:ascii="Times New Roman" w:eastAsia="仿宋"/>
                <w:szCs w:val="21"/>
              </w:rPr>
            </w:pPr>
            <w:r>
              <w:rPr>
                <w:rFonts w:hint="eastAsia" w:ascii="Times New Roman" w:eastAsia="仿宋"/>
                <w:szCs w:val="21"/>
              </w:rPr>
              <w:t>约252</w:t>
            </w:r>
          </w:p>
        </w:tc>
      </w:tr>
      <w:tr w14:paraId="253C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FA60B9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6334821">
            <w:pPr>
              <w:adjustRightInd w:val="0"/>
              <w:snapToGrid w:val="0"/>
              <w:jc w:val="center"/>
              <w:rPr>
                <w:rFonts w:ascii="Times New Roman" w:eastAsia="仿宋"/>
                <w:szCs w:val="21"/>
              </w:rPr>
            </w:pPr>
            <w:r>
              <w:rPr>
                <w:rFonts w:ascii="Times New Roman" w:eastAsia="仿宋"/>
                <w:szCs w:val="21"/>
              </w:rPr>
              <w:t>49</w:t>
            </w:r>
          </w:p>
        </w:tc>
        <w:tc>
          <w:tcPr>
            <w:tcW w:w="2126" w:type="dxa"/>
            <w:tcBorders>
              <w:top w:val="single" w:color="auto" w:sz="4" w:space="0"/>
              <w:left w:val="single" w:color="auto" w:sz="4" w:space="0"/>
              <w:bottom w:val="single" w:color="auto" w:sz="4" w:space="0"/>
              <w:right w:val="single" w:color="auto" w:sz="4" w:space="0"/>
            </w:tcBorders>
            <w:vAlign w:val="center"/>
          </w:tcPr>
          <w:p w14:paraId="047013B3">
            <w:pPr>
              <w:spacing w:line="320" w:lineRule="exact"/>
              <w:jc w:val="center"/>
              <w:rPr>
                <w:rFonts w:ascii="Times New Roman" w:eastAsia="仿宋"/>
                <w:szCs w:val="21"/>
              </w:rPr>
            </w:pPr>
            <w:r>
              <w:rPr>
                <w:rFonts w:hint="eastAsia" w:ascii="Times New Roman" w:eastAsia="仿宋"/>
                <w:szCs w:val="21"/>
              </w:rPr>
              <w:t>杨家墩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0FE1DBF">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4884921B">
            <w:pPr>
              <w:spacing w:line="320" w:lineRule="exact"/>
              <w:jc w:val="center"/>
              <w:rPr>
                <w:rFonts w:ascii="Times New Roman" w:eastAsia="仿宋"/>
                <w:szCs w:val="21"/>
              </w:rPr>
            </w:pPr>
            <w:r>
              <w:rPr>
                <w:rFonts w:hint="eastAsia" w:ascii="Times New Roman" w:eastAsia="仿宋"/>
                <w:szCs w:val="21"/>
              </w:rPr>
              <w:t>约3800</w:t>
            </w:r>
          </w:p>
        </w:tc>
        <w:tc>
          <w:tcPr>
            <w:tcW w:w="1276" w:type="dxa"/>
            <w:tcBorders>
              <w:top w:val="single" w:color="auto" w:sz="4" w:space="0"/>
              <w:left w:val="single" w:color="auto" w:sz="4" w:space="0"/>
              <w:bottom w:val="single" w:color="auto" w:sz="4" w:space="0"/>
              <w:right w:val="single" w:color="auto" w:sz="4" w:space="0"/>
            </w:tcBorders>
            <w:vAlign w:val="center"/>
          </w:tcPr>
          <w:p w14:paraId="69D76C9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0D10F76">
            <w:pPr>
              <w:spacing w:line="320" w:lineRule="exact"/>
              <w:jc w:val="center"/>
              <w:rPr>
                <w:rFonts w:ascii="Times New Roman" w:eastAsia="仿宋"/>
                <w:szCs w:val="21"/>
              </w:rPr>
            </w:pPr>
            <w:r>
              <w:rPr>
                <w:rFonts w:hint="eastAsia" w:ascii="Times New Roman" w:eastAsia="仿宋"/>
                <w:szCs w:val="21"/>
              </w:rPr>
              <w:t>约420</w:t>
            </w:r>
          </w:p>
        </w:tc>
      </w:tr>
      <w:tr w14:paraId="0149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DF9D33C">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2CDB2E7">
            <w:pPr>
              <w:adjustRightInd w:val="0"/>
              <w:snapToGrid w:val="0"/>
              <w:jc w:val="center"/>
              <w:rPr>
                <w:rFonts w:ascii="Times New Roman" w:eastAsia="仿宋"/>
                <w:szCs w:val="21"/>
              </w:rPr>
            </w:pPr>
            <w:r>
              <w:rPr>
                <w:rFonts w:ascii="Times New Roman" w:eastAsia="仿宋"/>
                <w:szCs w:val="21"/>
              </w:rPr>
              <w:t>50</w:t>
            </w:r>
          </w:p>
        </w:tc>
        <w:tc>
          <w:tcPr>
            <w:tcW w:w="2126" w:type="dxa"/>
            <w:tcBorders>
              <w:top w:val="single" w:color="auto" w:sz="4" w:space="0"/>
              <w:left w:val="single" w:color="auto" w:sz="4" w:space="0"/>
              <w:bottom w:val="single" w:color="auto" w:sz="4" w:space="0"/>
              <w:right w:val="single" w:color="auto" w:sz="4" w:space="0"/>
            </w:tcBorders>
            <w:vAlign w:val="center"/>
          </w:tcPr>
          <w:p w14:paraId="3F3CB672">
            <w:pPr>
              <w:spacing w:line="320" w:lineRule="exact"/>
              <w:jc w:val="center"/>
              <w:rPr>
                <w:rFonts w:ascii="Times New Roman" w:eastAsia="仿宋"/>
                <w:szCs w:val="21"/>
              </w:rPr>
            </w:pPr>
            <w:r>
              <w:rPr>
                <w:rFonts w:hint="eastAsia" w:ascii="Times New Roman" w:eastAsia="仿宋"/>
                <w:szCs w:val="21"/>
              </w:rPr>
              <w:t>虞家村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F7B7CD8">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7D5A71EF">
            <w:pPr>
              <w:spacing w:line="320" w:lineRule="exact"/>
              <w:jc w:val="center"/>
              <w:rPr>
                <w:rFonts w:ascii="Times New Roman" w:eastAsia="仿宋"/>
                <w:szCs w:val="21"/>
              </w:rPr>
            </w:pPr>
            <w:r>
              <w:rPr>
                <w:rFonts w:hint="eastAsia" w:ascii="Times New Roman" w:eastAsia="仿宋"/>
                <w:szCs w:val="21"/>
              </w:rPr>
              <w:t>约4200</w:t>
            </w:r>
          </w:p>
        </w:tc>
        <w:tc>
          <w:tcPr>
            <w:tcW w:w="1276" w:type="dxa"/>
            <w:tcBorders>
              <w:top w:val="single" w:color="auto" w:sz="4" w:space="0"/>
              <w:left w:val="single" w:color="auto" w:sz="4" w:space="0"/>
              <w:bottom w:val="single" w:color="auto" w:sz="4" w:space="0"/>
              <w:right w:val="single" w:color="auto" w:sz="4" w:space="0"/>
            </w:tcBorders>
            <w:vAlign w:val="center"/>
          </w:tcPr>
          <w:p w14:paraId="5374232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073BDEA">
            <w:pPr>
              <w:spacing w:line="320" w:lineRule="exact"/>
              <w:jc w:val="center"/>
              <w:rPr>
                <w:rFonts w:ascii="Times New Roman" w:eastAsia="仿宋"/>
                <w:szCs w:val="21"/>
              </w:rPr>
            </w:pPr>
            <w:r>
              <w:rPr>
                <w:rFonts w:hint="eastAsia" w:ascii="Times New Roman" w:eastAsia="仿宋"/>
                <w:szCs w:val="21"/>
              </w:rPr>
              <w:t>约396</w:t>
            </w:r>
          </w:p>
        </w:tc>
      </w:tr>
      <w:tr w14:paraId="2727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EAE1B7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416BF8C">
            <w:pPr>
              <w:adjustRightInd w:val="0"/>
              <w:snapToGrid w:val="0"/>
              <w:jc w:val="center"/>
              <w:rPr>
                <w:rFonts w:ascii="Times New Roman" w:eastAsia="仿宋"/>
                <w:szCs w:val="21"/>
              </w:rPr>
            </w:pPr>
            <w:r>
              <w:rPr>
                <w:rFonts w:ascii="Times New Roman" w:eastAsia="仿宋"/>
                <w:szCs w:val="21"/>
              </w:rPr>
              <w:t>51</w:t>
            </w:r>
          </w:p>
        </w:tc>
        <w:tc>
          <w:tcPr>
            <w:tcW w:w="2126" w:type="dxa"/>
            <w:tcBorders>
              <w:top w:val="single" w:color="auto" w:sz="4" w:space="0"/>
              <w:left w:val="single" w:color="auto" w:sz="4" w:space="0"/>
              <w:bottom w:val="single" w:color="auto" w:sz="4" w:space="0"/>
              <w:right w:val="single" w:color="auto" w:sz="4" w:space="0"/>
            </w:tcBorders>
            <w:vAlign w:val="center"/>
          </w:tcPr>
          <w:p w14:paraId="2F032F22">
            <w:pPr>
              <w:spacing w:line="320" w:lineRule="exact"/>
              <w:jc w:val="center"/>
              <w:rPr>
                <w:rFonts w:ascii="Times New Roman" w:eastAsia="仿宋"/>
                <w:szCs w:val="21"/>
              </w:rPr>
            </w:pPr>
            <w:r>
              <w:rPr>
                <w:rFonts w:hint="eastAsia" w:ascii="Times New Roman" w:eastAsia="仿宋"/>
                <w:szCs w:val="21"/>
              </w:rPr>
              <w:t>窑墩头</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493D56E">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19DCB98E">
            <w:pPr>
              <w:spacing w:line="320" w:lineRule="exact"/>
              <w:jc w:val="center"/>
              <w:rPr>
                <w:rFonts w:ascii="Times New Roman" w:eastAsia="仿宋"/>
                <w:szCs w:val="21"/>
              </w:rPr>
            </w:pPr>
            <w:r>
              <w:rPr>
                <w:rFonts w:hint="eastAsia" w:ascii="Times New Roman" w:eastAsia="仿宋"/>
                <w:szCs w:val="21"/>
              </w:rPr>
              <w:t>约4400</w:t>
            </w:r>
          </w:p>
        </w:tc>
        <w:tc>
          <w:tcPr>
            <w:tcW w:w="1276" w:type="dxa"/>
            <w:tcBorders>
              <w:top w:val="single" w:color="auto" w:sz="4" w:space="0"/>
              <w:left w:val="single" w:color="auto" w:sz="4" w:space="0"/>
              <w:bottom w:val="single" w:color="auto" w:sz="4" w:space="0"/>
              <w:right w:val="single" w:color="auto" w:sz="4" w:space="0"/>
            </w:tcBorders>
            <w:vAlign w:val="center"/>
          </w:tcPr>
          <w:p w14:paraId="4A2B53C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54BA64A">
            <w:pPr>
              <w:spacing w:line="320" w:lineRule="exact"/>
              <w:jc w:val="center"/>
              <w:rPr>
                <w:rFonts w:ascii="Times New Roman" w:eastAsia="仿宋"/>
                <w:szCs w:val="21"/>
              </w:rPr>
            </w:pPr>
            <w:r>
              <w:rPr>
                <w:rFonts w:hint="eastAsia" w:ascii="Times New Roman" w:eastAsia="仿宋"/>
                <w:szCs w:val="21"/>
              </w:rPr>
              <w:t>约384</w:t>
            </w:r>
          </w:p>
        </w:tc>
      </w:tr>
      <w:tr w14:paraId="513B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92638C8">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53C0298">
            <w:pPr>
              <w:adjustRightInd w:val="0"/>
              <w:snapToGrid w:val="0"/>
              <w:jc w:val="center"/>
              <w:rPr>
                <w:rFonts w:ascii="Times New Roman" w:eastAsia="仿宋"/>
                <w:szCs w:val="21"/>
              </w:rPr>
            </w:pPr>
            <w:r>
              <w:rPr>
                <w:rFonts w:ascii="Times New Roman" w:eastAsia="仿宋"/>
                <w:szCs w:val="21"/>
              </w:rPr>
              <w:t>52</w:t>
            </w:r>
          </w:p>
        </w:tc>
        <w:tc>
          <w:tcPr>
            <w:tcW w:w="2126" w:type="dxa"/>
            <w:tcBorders>
              <w:top w:val="single" w:color="auto" w:sz="4" w:space="0"/>
              <w:left w:val="single" w:color="auto" w:sz="4" w:space="0"/>
              <w:bottom w:val="single" w:color="auto" w:sz="4" w:space="0"/>
              <w:right w:val="single" w:color="auto" w:sz="4" w:space="0"/>
            </w:tcBorders>
            <w:vAlign w:val="center"/>
          </w:tcPr>
          <w:p w14:paraId="7778BCAD">
            <w:pPr>
              <w:spacing w:line="320" w:lineRule="exact"/>
              <w:jc w:val="center"/>
              <w:rPr>
                <w:rFonts w:ascii="Times New Roman" w:eastAsia="仿宋"/>
                <w:szCs w:val="21"/>
              </w:rPr>
            </w:pPr>
            <w:r>
              <w:rPr>
                <w:rFonts w:hint="eastAsia" w:ascii="Times New Roman" w:eastAsia="仿宋"/>
                <w:szCs w:val="21"/>
              </w:rPr>
              <w:t>登科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411B3B4">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46501E20">
            <w:pPr>
              <w:spacing w:line="320" w:lineRule="exact"/>
              <w:jc w:val="center"/>
              <w:rPr>
                <w:rFonts w:ascii="Times New Roman" w:eastAsia="仿宋"/>
                <w:szCs w:val="21"/>
              </w:rPr>
            </w:pPr>
            <w:r>
              <w:rPr>
                <w:rFonts w:hint="eastAsia" w:ascii="Times New Roman" w:eastAsia="仿宋"/>
                <w:szCs w:val="21"/>
              </w:rPr>
              <w:t>约4500</w:t>
            </w:r>
          </w:p>
        </w:tc>
        <w:tc>
          <w:tcPr>
            <w:tcW w:w="1276" w:type="dxa"/>
            <w:tcBorders>
              <w:top w:val="single" w:color="auto" w:sz="4" w:space="0"/>
              <w:left w:val="single" w:color="auto" w:sz="4" w:space="0"/>
              <w:bottom w:val="single" w:color="auto" w:sz="4" w:space="0"/>
              <w:right w:val="single" w:color="auto" w:sz="4" w:space="0"/>
            </w:tcBorders>
            <w:vAlign w:val="center"/>
          </w:tcPr>
          <w:p w14:paraId="14BCD58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DAFCEB9">
            <w:pPr>
              <w:spacing w:line="320" w:lineRule="exact"/>
              <w:jc w:val="center"/>
              <w:rPr>
                <w:rFonts w:ascii="Times New Roman" w:eastAsia="仿宋"/>
                <w:szCs w:val="21"/>
              </w:rPr>
            </w:pPr>
            <w:r>
              <w:rPr>
                <w:rFonts w:hint="eastAsia" w:ascii="Times New Roman" w:eastAsia="仿宋"/>
                <w:szCs w:val="21"/>
              </w:rPr>
              <w:t>约504</w:t>
            </w:r>
          </w:p>
        </w:tc>
      </w:tr>
      <w:tr w14:paraId="0202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AEAAF5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AF020AE">
            <w:pPr>
              <w:adjustRightInd w:val="0"/>
              <w:snapToGrid w:val="0"/>
              <w:jc w:val="center"/>
              <w:rPr>
                <w:rFonts w:ascii="Times New Roman" w:eastAsia="仿宋"/>
                <w:szCs w:val="21"/>
              </w:rPr>
            </w:pPr>
            <w:r>
              <w:rPr>
                <w:rFonts w:ascii="Times New Roman" w:eastAsia="仿宋"/>
                <w:szCs w:val="21"/>
              </w:rPr>
              <w:t>53</w:t>
            </w:r>
          </w:p>
        </w:tc>
        <w:tc>
          <w:tcPr>
            <w:tcW w:w="2126" w:type="dxa"/>
            <w:tcBorders>
              <w:top w:val="single" w:color="auto" w:sz="4" w:space="0"/>
              <w:left w:val="single" w:color="auto" w:sz="4" w:space="0"/>
              <w:bottom w:val="single" w:color="auto" w:sz="4" w:space="0"/>
              <w:right w:val="single" w:color="auto" w:sz="4" w:space="0"/>
            </w:tcBorders>
            <w:vAlign w:val="center"/>
          </w:tcPr>
          <w:p w14:paraId="143AC045">
            <w:pPr>
              <w:spacing w:line="320" w:lineRule="exact"/>
              <w:jc w:val="center"/>
              <w:rPr>
                <w:rFonts w:ascii="Times New Roman" w:eastAsia="仿宋"/>
                <w:szCs w:val="21"/>
              </w:rPr>
            </w:pPr>
            <w:r>
              <w:rPr>
                <w:rFonts w:hint="eastAsia" w:ascii="Times New Roman" w:eastAsia="仿宋"/>
                <w:szCs w:val="21"/>
              </w:rPr>
              <w:t>下元头村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E0E831B">
            <w:pPr>
              <w:spacing w:line="320" w:lineRule="exact"/>
              <w:jc w:val="center"/>
              <w:rPr>
                <w:rFonts w:ascii="Times New Roman" w:eastAsia="仿宋"/>
                <w:szCs w:val="21"/>
              </w:rPr>
            </w:pPr>
            <w:r>
              <w:rPr>
                <w:rFonts w:hint="eastAsia" w:ascii="Times New Roman" w:eastAsia="仿宋"/>
                <w:szCs w:val="21"/>
              </w:rPr>
              <w:t>SW</w:t>
            </w:r>
          </w:p>
        </w:tc>
        <w:tc>
          <w:tcPr>
            <w:tcW w:w="1134" w:type="dxa"/>
            <w:gridSpan w:val="2"/>
            <w:vAlign w:val="center"/>
          </w:tcPr>
          <w:p w14:paraId="33D795E7">
            <w:pPr>
              <w:spacing w:line="320" w:lineRule="exact"/>
              <w:jc w:val="center"/>
              <w:rPr>
                <w:rFonts w:ascii="Times New Roman" w:eastAsia="仿宋"/>
                <w:szCs w:val="21"/>
              </w:rPr>
            </w:pPr>
            <w:r>
              <w:rPr>
                <w:rFonts w:hint="eastAsia" w:ascii="Times New Roman" w:eastAsia="仿宋"/>
                <w:szCs w:val="21"/>
              </w:rPr>
              <w:t>约4500</w:t>
            </w:r>
          </w:p>
        </w:tc>
        <w:tc>
          <w:tcPr>
            <w:tcW w:w="1276" w:type="dxa"/>
            <w:tcBorders>
              <w:top w:val="single" w:color="auto" w:sz="4" w:space="0"/>
              <w:left w:val="single" w:color="auto" w:sz="4" w:space="0"/>
              <w:bottom w:val="single" w:color="auto" w:sz="4" w:space="0"/>
              <w:right w:val="single" w:color="auto" w:sz="4" w:space="0"/>
            </w:tcBorders>
            <w:vAlign w:val="center"/>
          </w:tcPr>
          <w:p w14:paraId="61C81E37">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FB65EFE">
            <w:pPr>
              <w:spacing w:line="320" w:lineRule="exact"/>
              <w:jc w:val="center"/>
              <w:rPr>
                <w:rFonts w:ascii="Times New Roman" w:eastAsia="仿宋"/>
                <w:szCs w:val="21"/>
              </w:rPr>
            </w:pPr>
            <w:r>
              <w:rPr>
                <w:rFonts w:hint="eastAsia" w:ascii="Times New Roman" w:eastAsia="仿宋"/>
                <w:szCs w:val="21"/>
              </w:rPr>
              <w:t>约600</w:t>
            </w:r>
          </w:p>
        </w:tc>
      </w:tr>
      <w:tr w14:paraId="3930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EC62D32">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62A387C">
            <w:pPr>
              <w:adjustRightInd w:val="0"/>
              <w:snapToGrid w:val="0"/>
              <w:jc w:val="center"/>
              <w:rPr>
                <w:rFonts w:ascii="Times New Roman" w:eastAsia="仿宋"/>
                <w:szCs w:val="21"/>
              </w:rPr>
            </w:pPr>
            <w:r>
              <w:rPr>
                <w:rFonts w:ascii="Times New Roman" w:eastAsia="仿宋"/>
                <w:szCs w:val="21"/>
              </w:rPr>
              <w:t>54</w:t>
            </w:r>
          </w:p>
        </w:tc>
        <w:tc>
          <w:tcPr>
            <w:tcW w:w="2126" w:type="dxa"/>
            <w:tcBorders>
              <w:top w:val="single" w:color="auto" w:sz="4" w:space="0"/>
              <w:left w:val="single" w:color="auto" w:sz="4" w:space="0"/>
              <w:bottom w:val="single" w:color="auto" w:sz="4" w:space="0"/>
              <w:right w:val="single" w:color="auto" w:sz="4" w:space="0"/>
            </w:tcBorders>
            <w:vAlign w:val="center"/>
          </w:tcPr>
          <w:p w14:paraId="6F7AAA57">
            <w:pPr>
              <w:spacing w:line="320" w:lineRule="exact"/>
              <w:jc w:val="center"/>
              <w:rPr>
                <w:rFonts w:ascii="Times New Roman" w:eastAsia="仿宋"/>
                <w:szCs w:val="21"/>
              </w:rPr>
            </w:pPr>
            <w:r>
              <w:rPr>
                <w:rFonts w:hint="eastAsia" w:ascii="Times New Roman" w:eastAsia="仿宋"/>
                <w:szCs w:val="21"/>
              </w:rPr>
              <w:t>杨家棚</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B31808C">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6CC39610">
            <w:pPr>
              <w:spacing w:line="320" w:lineRule="exact"/>
              <w:jc w:val="center"/>
              <w:rPr>
                <w:rFonts w:ascii="Times New Roman" w:eastAsia="仿宋"/>
                <w:szCs w:val="21"/>
              </w:rPr>
            </w:pPr>
            <w:r>
              <w:rPr>
                <w:rFonts w:hint="eastAsia" w:ascii="Times New Roman" w:eastAsia="仿宋"/>
                <w:szCs w:val="21"/>
              </w:rPr>
              <w:t>约1950</w:t>
            </w:r>
          </w:p>
        </w:tc>
        <w:tc>
          <w:tcPr>
            <w:tcW w:w="1276" w:type="dxa"/>
            <w:tcBorders>
              <w:top w:val="single" w:color="auto" w:sz="4" w:space="0"/>
              <w:left w:val="single" w:color="auto" w:sz="4" w:space="0"/>
              <w:bottom w:val="single" w:color="auto" w:sz="4" w:space="0"/>
              <w:right w:val="single" w:color="auto" w:sz="4" w:space="0"/>
            </w:tcBorders>
            <w:vAlign w:val="center"/>
          </w:tcPr>
          <w:p w14:paraId="3524243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74B11584">
            <w:pPr>
              <w:spacing w:line="320" w:lineRule="exact"/>
              <w:jc w:val="center"/>
              <w:rPr>
                <w:rFonts w:ascii="Times New Roman" w:eastAsia="仿宋"/>
                <w:szCs w:val="21"/>
              </w:rPr>
            </w:pPr>
            <w:r>
              <w:rPr>
                <w:rFonts w:hint="eastAsia" w:ascii="Times New Roman" w:eastAsia="仿宋"/>
                <w:szCs w:val="21"/>
              </w:rPr>
              <w:t>约158</w:t>
            </w:r>
          </w:p>
        </w:tc>
      </w:tr>
      <w:tr w14:paraId="38E6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F5658C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E19436C">
            <w:pPr>
              <w:adjustRightInd w:val="0"/>
              <w:snapToGrid w:val="0"/>
              <w:jc w:val="center"/>
              <w:rPr>
                <w:rFonts w:ascii="Times New Roman" w:eastAsia="仿宋"/>
                <w:szCs w:val="21"/>
              </w:rPr>
            </w:pPr>
            <w:r>
              <w:rPr>
                <w:rFonts w:ascii="Times New Roman" w:eastAsia="仿宋"/>
                <w:szCs w:val="21"/>
              </w:rPr>
              <w:t>55</w:t>
            </w:r>
          </w:p>
        </w:tc>
        <w:tc>
          <w:tcPr>
            <w:tcW w:w="2126" w:type="dxa"/>
            <w:tcBorders>
              <w:top w:val="single" w:color="auto" w:sz="4" w:space="0"/>
              <w:left w:val="single" w:color="auto" w:sz="4" w:space="0"/>
              <w:bottom w:val="single" w:color="auto" w:sz="4" w:space="0"/>
              <w:right w:val="single" w:color="auto" w:sz="4" w:space="0"/>
            </w:tcBorders>
            <w:vAlign w:val="center"/>
          </w:tcPr>
          <w:p w14:paraId="4FB2829E">
            <w:pPr>
              <w:spacing w:line="320" w:lineRule="exact"/>
              <w:jc w:val="center"/>
              <w:rPr>
                <w:rFonts w:ascii="Times New Roman" w:eastAsia="仿宋"/>
                <w:szCs w:val="21"/>
              </w:rPr>
            </w:pPr>
            <w:r>
              <w:rPr>
                <w:rFonts w:hint="eastAsia" w:ascii="Times New Roman" w:eastAsia="仿宋"/>
                <w:szCs w:val="21"/>
              </w:rPr>
              <w:t>裕巷村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880EF87">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46CEDE5A">
            <w:pPr>
              <w:spacing w:line="320" w:lineRule="exact"/>
              <w:jc w:val="center"/>
              <w:rPr>
                <w:rFonts w:ascii="Times New Roman" w:eastAsia="仿宋"/>
                <w:szCs w:val="21"/>
              </w:rPr>
            </w:pPr>
            <w:r>
              <w:rPr>
                <w:rFonts w:hint="eastAsia" w:ascii="Times New Roman" w:eastAsia="仿宋"/>
                <w:szCs w:val="21"/>
              </w:rPr>
              <w:t>约2000</w:t>
            </w:r>
          </w:p>
        </w:tc>
        <w:tc>
          <w:tcPr>
            <w:tcW w:w="1276" w:type="dxa"/>
            <w:tcBorders>
              <w:top w:val="single" w:color="auto" w:sz="4" w:space="0"/>
              <w:left w:val="single" w:color="auto" w:sz="4" w:space="0"/>
              <w:bottom w:val="single" w:color="auto" w:sz="4" w:space="0"/>
              <w:right w:val="single" w:color="auto" w:sz="4" w:space="0"/>
            </w:tcBorders>
            <w:vAlign w:val="center"/>
          </w:tcPr>
          <w:p w14:paraId="002ADB0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30EF2F2">
            <w:pPr>
              <w:spacing w:line="320" w:lineRule="exact"/>
              <w:jc w:val="center"/>
              <w:rPr>
                <w:rFonts w:ascii="Times New Roman" w:eastAsia="仿宋"/>
                <w:szCs w:val="21"/>
              </w:rPr>
            </w:pPr>
            <w:r>
              <w:rPr>
                <w:rFonts w:hint="eastAsia" w:ascii="Times New Roman" w:eastAsia="仿宋"/>
                <w:szCs w:val="21"/>
              </w:rPr>
              <w:t>约360</w:t>
            </w:r>
          </w:p>
        </w:tc>
      </w:tr>
      <w:tr w14:paraId="2B22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537CCA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C416C63">
            <w:pPr>
              <w:adjustRightInd w:val="0"/>
              <w:snapToGrid w:val="0"/>
              <w:jc w:val="center"/>
              <w:rPr>
                <w:rFonts w:ascii="Times New Roman" w:eastAsia="仿宋"/>
                <w:szCs w:val="21"/>
              </w:rPr>
            </w:pPr>
            <w:r>
              <w:rPr>
                <w:rFonts w:ascii="Times New Roman" w:eastAsia="仿宋"/>
                <w:szCs w:val="21"/>
              </w:rPr>
              <w:t>56</w:t>
            </w:r>
          </w:p>
        </w:tc>
        <w:tc>
          <w:tcPr>
            <w:tcW w:w="2126" w:type="dxa"/>
            <w:tcBorders>
              <w:top w:val="single" w:color="auto" w:sz="4" w:space="0"/>
              <w:left w:val="single" w:color="auto" w:sz="4" w:space="0"/>
              <w:bottom w:val="single" w:color="auto" w:sz="4" w:space="0"/>
              <w:right w:val="single" w:color="auto" w:sz="4" w:space="0"/>
            </w:tcBorders>
            <w:vAlign w:val="center"/>
          </w:tcPr>
          <w:p w14:paraId="2C0E375B">
            <w:pPr>
              <w:spacing w:line="320" w:lineRule="exact"/>
              <w:jc w:val="center"/>
              <w:rPr>
                <w:rFonts w:ascii="Times New Roman" w:eastAsia="仿宋"/>
                <w:szCs w:val="21"/>
              </w:rPr>
            </w:pPr>
            <w:r>
              <w:rPr>
                <w:rFonts w:hint="eastAsia" w:ascii="Times New Roman" w:eastAsia="仿宋"/>
                <w:szCs w:val="21"/>
              </w:rPr>
              <w:t>三官堂</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B1C9B57">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190A61C0">
            <w:pPr>
              <w:spacing w:line="320" w:lineRule="exact"/>
              <w:jc w:val="center"/>
              <w:rPr>
                <w:rFonts w:ascii="Times New Roman" w:eastAsia="仿宋"/>
                <w:szCs w:val="21"/>
              </w:rPr>
            </w:pPr>
            <w:r>
              <w:rPr>
                <w:rFonts w:hint="eastAsia" w:ascii="Times New Roman" w:eastAsia="仿宋"/>
                <w:szCs w:val="21"/>
              </w:rPr>
              <w:t>约2150</w:t>
            </w:r>
          </w:p>
        </w:tc>
        <w:tc>
          <w:tcPr>
            <w:tcW w:w="1276" w:type="dxa"/>
            <w:tcBorders>
              <w:top w:val="single" w:color="auto" w:sz="4" w:space="0"/>
              <w:left w:val="single" w:color="auto" w:sz="4" w:space="0"/>
              <w:bottom w:val="single" w:color="auto" w:sz="4" w:space="0"/>
              <w:right w:val="single" w:color="auto" w:sz="4" w:space="0"/>
            </w:tcBorders>
            <w:vAlign w:val="center"/>
          </w:tcPr>
          <w:p w14:paraId="2493C97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8E974A9">
            <w:pPr>
              <w:spacing w:line="320" w:lineRule="exact"/>
              <w:jc w:val="center"/>
              <w:rPr>
                <w:rFonts w:ascii="Times New Roman" w:eastAsia="仿宋"/>
                <w:szCs w:val="21"/>
              </w:rPr>
            </w:pPr>
            <w:r>
              <w:rPr>
                <w:rFonts w:hint="eastAsia" w:ascii="Times New Roman" w:eastAsia="仿宋"/>
                <w:szCs w:val="21"/>
              </w:rPr>
              <w:t>约204</w:t>
            </w:r>
          </w:p>
        </w:tc>
      </w:tr>
      <w:tr w14:paraId="1EDE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949769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C11FD11">
            <w:pPr>
              <w:adjustRightInd w:val="0"/>
              <w:snapToGrid w:val="0"/>
              <w:jc w:val="center"/>
              <w:rPr>
                <w:rFonts w:ascii="Times New Roman" w:eastAsia="仿宋"/>
                <w:szCs w:val="21"/>
              </w:rPr>
            </w:pPr>
            <w:r>
              <w:rPr>
                <w:rFonts w:ascii="Times New Roman" w:eastAsia="仿宋"/>
                <w:szCs w:val="21"/>
              </w:rPr>
              <w:t>57</w:t>
            </w:r>
          </w:p>
        </w:tc>
        <w:tc>
          <w:tcPr>
            <w:tcW w:w="2126" w:type="dxa"/>
            <w:tcBorders>
              <w:top w:val="single" w:color="auto" w:sz="4" w:space="0"/>
              <w:left w:val="single" w:color="auto" w:sz="4" w:space="0"/>
              <w:bottom w:val="single" w:color="auto" w:sz="4" w:space="0"/>
              <w:right w:val="single" w:color="auto" w:sz="4" w:space="0"/>
            </w:tcBorders>
            <w:vAlign w:val="center"/>
          </w:tcPr>
          <w:p w14:paraId="634FC24D">
            <w:pPr>
              <w:spacing w:line="320" w:lineRule="exact"/>
              <w:jc w:val="center"/>
              <w:rPr>
                <w:rFonts w:ascii="Times New Roman" w:eastAsia="仿宋"/>
                <w:szCs w:val="21"/>
              </w:rPr>
            </w:pPr>
            <w:r>
              <w:rPr>
                <w:rFonts w:hint="eastAsia" w:ascii="Times New Roman" w:eastAsia="仿宋"/>
                <w:szCs w:val="21"/>
              </w:rPr>
              <w:t>柳庄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789E9E5">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3F33A552">
            <w:pPr>
              <w:spacing w:line="320" w:lineRule="exact"/>
              <w:jc w:val="center"/>
              <w:rPr>
                <w:rFonts w:ascii="Times New Roman" w:eastAsia="仿宋"/>
                <w:szCs w:val="21"/>
              </w:rPr>
            </w:pPr>
            <w:r>
              <w:rPr>
                <w:rFonts w:hint="eastAsia" w:ascii="Times New Roman" w:eastAsia="仿宋"/>
                <w:szCs w:val="21"/>
              </w:rPr>
              <w:t>约2750</w:t>
            </w:r>
          </w:p>
        </w:tc>
        <w:tc>
          <w:tcPr>
            <w:tcW w:w="1276" w:type="dxa"/>
            <w:tcBorders>
              <w:top w:val="single" w:color="auto" w:sz="4" w:space="0"/>
              <w:left w:val="single" w:color="auto" w:sz="4" w:space="0"/>
              <w:bottom w:val="single" w:color="auto" w:sz="4" w:space="0"/>
              <w:right w:val="single" w:color="auto" w:sz="4" w:space="0"/>
            </w:tcBorders>
            <w:vAlign w:val="center"/>
          </w:tcPr>
          <w:p w14:paraId="0D4D4060">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ED6BC51">
            <w:pPr>
              <w:spacing w:line="320" w:lineRule="exact"/>
              <w:jc w:val="center"/>
              <w:rPr>
                <w:rFonts w:ascii="Times New Roman" w:eastAsia="仿宋"/>
                <w:szCs w:val="21"/>
              </w:rPr>
            </w:pPr>
            <w:r>
              <w:rPr>
                <w:rFonts w:hint="eastAsia" w:ascii="Times New Roman" w:eastAsia="仿宋"/>
                <w:szCs w:val="21"/>
              </w:rPr>
              <w:t>约840</w:t>
            </w:r>
          </w:p>
        </w:tc>
      </w:tr>
      <w:tr w14:paraId="5EE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D13158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F8D45C4">
            <w:pPr>
              <w:adjustRightInd w:val="0"/>
              <w:snapToGrid w:val="0"/>
              <w:jc w:val="center"/>
              <w:rPr>
                <w:rFonts w:ascii="Times New Roman" w:eastAsia="仿宋"/>
                <w:szCs w:val="21"/>
              </w:rPr>
            </w:pPr>
            <w:r>
              <w:rPr>
                <w:rFonts w:ascii="Times New Roman" w:eastAsia="仿宋"/>
                <w:szCs w:val="21"/>
              </w:rPr>
              <w:t>58</w:t>
            </w:r>
          </w:p>
        </w:tc>
        <w:tc>
          <w:tcPr>
            <w:tcW w:w="2126" w:type="dxa"/>
            <w:tcBorders>
              <w:top w:val="single" w:color="auto" w:sz="4" w:space="0"/>
              <w:left w:val="single" w:color="auto" w:sz="4" w:space="0"/>
              <w:bottom w:val="single" w:color="auto" w:sz="4" w:space="0"/>
              <w:right w:val="single" w:color="auto" w:sz="4" w:space="0"/>
            </w:tcBorders>
            <w:vAlign w:val="center"/>
          </w:tcPr>
          <w:p w14:paraId="39CB14A2">
            <w:pPr>
              <w:spacing w:line="320" w:lineRule="exact"/>
              <w:jc w:val="center"/>
              <w:rPr>
                <w:rFonts w:ascii="Times New Roman" w:eastAsia="仿宋"/>
                <w:szCs w:val="21"/>
              </w:rPr>
            </w:pPr>
            <w:r>
              <w:rPr>
                <w:rFonts w:hint="eastAsia" w:ascii="Times New Roman" w:eastAsia="仿宋"/>
                <w:szCs w:val="21"/>
              </w:rPr>
              <w:t>花山村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2749D44">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6A3684F2">
            <w:pPr>
              <w:spacing w:line="320" w:lineRule="exact"/>
              <w:jc w:val="center"/>
              <w:rPr>
                <w:rFonts w:ascii="Times New Roman" w:eastAsia="仿宋"/>
                <w:szCs w:val="21"/>
              </w:rPr>
            </w:pPr>
            <w:r>
              <w:rPr>
                <w:rFonts w:hint="eastAsia" w:ascii="Times New Roman" w:eastAsia="仿宋"/>
                <w:szCs w:val="21"/>
              </w:rPr>
              <w:t>约3300</w:t>
            </w:r>
          </w:p>
        </w:tc>
        <w:tc>
          <w:tcPr>
            <w:tcW w:w="1276" w:type="dxa"/>
            <w:tcBorders>
              <w:top w:val="single" w:color="auto" w:sz="4" w:space="0"/>
              <w:left w:val="single" w:color="auto" w:sz="4" w:space="0"/>
              <w:bottom w:val="single" w:color="auto" w:sz="4" w:space="0"/>
              <w:right w:val="single" w:color="auto" w:sz="4" w:space="0"/>
            </w:tcBorders>
            <w:vAlign w:val="center"/>
          </w:tcPr>
          <w:p w14:paraId="53443DA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8A3E89A">
            <w:pPr>
              <w:spacing w:line="320" w:lineRule="exact"/>
              <w:jc w:val="center"/>
              <w:rPr>
                <w:rFonts w:ascii="Times New Roman" w:eastAsia="仿宋"/>
                <w:szCs w:val="21"/>
              </w:rPr>
            </w:pPr>
            <w:r>
              <w:rPr>
                <w:rFonts w:hint="eastAsia" w:ascii="Times New Roman" w:eastAsia="仿宋"/>
                <w:szCs w:val="21"/>
              </w:rPr>
              <w:t>约360</w:t>
            </w:r>
          </w:p>
        </w:tc>
      </w:tr>
      <w:tr w14:paraId="3782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9F492E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869EC54">
            <w:pPr>
              <w:adjustRightInd w:val="0"/>
              <w:snapToGrid w:val="0"/>
              <w:jc w:val="center"/>
              <w:rPr>
                <w:rFonts w:ascii="Times New Roman" w:eastAsia="仿宋"/>
                <w:szCs w:val="21"/>
              </w:rPr>
            </w:pPr>
            <w:r>
              <w:rPr>
                <w:rFonts w:ascii="Times New Roman" w:eastAsia="仿宋"/>
                <w:szCs w:val="21"/>
              </w:rPr>
              <w:t>59</w:t>
            </w:r>
          </w:p>
        </w:tc>
        <w:tc>
          <w:tcPr>
            <w:tcW w:w="2126" w:type="dxa"/>
            <w:tcBorders>
              <w:top w:val="single" w:color="auto" w:sz="4" w:space="0"/>
              <w:left w:val="single" w:color="auto" w:sz="4" w:space="0"/>
              <w:bottom w:val="single" w:color="auto" w:sz="4" w:space="0"/>
              <w:right w:val="single" w:color="auto" w:sz="4" w:space="0"/>
            </w:tcBorders>
            <w:vAlign w:val="center"/>
          </w:tcPr>
          <w:p w14:paraId="2FBE48AE">
            <w:pPr>
              <w:spacing w:line="320" w:lineRule="exact"/>
              <w:jc w:val="center"/>
              <w:rPr>
                <w:rFonts w:ascii="Times New Roman" w:eastAsia="仿宋"/>
                <w:szCs w:val="21"/>
              </w:rPr>
            </w:pPr>
            <w:r>
              <w:rPr>
                <w:rFonts w:hint="eastAsia" w:ascii="Times New Roman" w:eastAsia="仿宋"/>
                <w:szCs w:val="21"/>
              </w:rPr>
              <w:t>西山脚</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5E47316">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19BEC5B3">
            <w:pPr>
              <w:spacing w:line="320" w:lineRule="exact"/>
              <w:jc w:val="center"/>
              <w:rPr>
                <w:rFonts w:ascii="Times New Roman" w:eastAsia="仿宋"/>
                <w:szCs w:val="21"/>
              </w:rPr>
            </w:pPr>
            <w:r>
              <w:rPr>
                <w:rFonts w:hint="eastAsia" w:ascii="Times New Roman" w:eastAsia="仿宋"/>
                <w:szCs w:val="21"/>
              </w:rPr>
              <w:t>约4050</w:t>
            </w:r>
          </w:p>
        </w:tc>
        <w:tc>
          <w:tcPr>
            <w:tcW w:w="1276" w:type="dxa"/>
            <w:tcBorders>
              <w:top w:val="single" w:color="auto" w:sz="4" w:space="0"/>
              <w:left w:val="single" w:color="auto" w:sz="4" w:space="0"/>
              <w:bottom w:val="single" w:color="auto" w:sz="4" w:space="0"/>
              <w:right w:val="single" w:color="auto" w:sz="4" w:space="0"/>
            </w:tcBorders>
            <w:vAlign w:val="center"/>
          </w:tcPr>
          <w:p w14:paraId="745340A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5F47227">
            <w:pPr>
              <w:spacing w:line="320" w:lineRule="exact"/>
              <w:jc w:val="center"/>
              <w:rPr>
                <w:rFonts w:ascii="Times New Roman" w:eastAsia="仿宋"/>
                <w:szCs w:val="21"/>
              </w:rPr>
            </w:pPr>
            <w:r>
              <w:rPr>
                <w:rFonts w:hint="eastAsia" w:ascii="Times New Roman" w:eastAsia="仿宋"/>
                <w:szCs w:val="21"/>
              </w:rPr>
              <w:t>约180</w:t>
            </w:r>
          </w:p>
        </w:tc>
      </w:tr>
      <w:tr w14:paraId="5289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439DB9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91C7D96">
            <w:pPr>
              <w:adjustRightInd w:val="0"/>
              <w:snapToGrid w:val="0"/>
              <w:jc w:val="center"/>
              <w:rPr>
                <w:rFonts w:ascii="Times New Roman" w:eastAsia="仿宋"/>
                <w:szCs w:val="21"/>
              </w:rPr>
            </w:pPr>
            <w:r>
              <w:rPr>
                <w:rFonts w:ascii="Times New Roman" w:eastAsia="仿宋"/>
                <w:szCs w:val="21"/>
              </w:rPr>
              <w:t>60</w:t>
            </w:r>
          </w:p>
        </w:tc>
        <w:tc>
          <w:tcPr>
            <w:tcW w:w="2126" w:type="dxa"/>
            <w:tcBorders>
              <w:top w:val="single" w:color="auto" w:sz="4" w:space="0"/>
              <w:left w:val="single" w:color="auto" w:sz="4" w:space="0"/>
              <w:bottom w:val="single" w:color="auto" w:sz="4" w:space="0"/>
              <w:right w:val="single" w:color="auto" w:sz="4" w:space="0"/>
            </w:tcBorders>
            <w:vAlign w:val="center"/>
          </w:tcPr>
          <w:p w14:paraId="134D3CE0">
            <w:pPr>
              <w:spacing w:line="320" w:lineRule="exact"/>
              <w:jc w:val="center"/>
              <w:rPr>
                <w:rFonts w:ascii="Times New Roman" w:eastAsia="仿宋"/>
                <w:szCs w:val="21"/>
              </w:rPr>
            </w:pPr>
            <w:r>
              <w:rPr>
                <w:rFonts w:hint="eastAsia" w:ascii="Times New Roman" w:eastAsia="仿宋"/>
                <w:szCs w:val="21"/>
              </w:rPr>
              <w:t>夏霄</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9D83C26">
            <w:pPr>
              <w:spacing w:line="320" w:lineRule="exact"/>
              <w:jc w:val="center"/>
              <w:rPr>
                <w:rFonts w:ascii="Times New Roman" w:eastAsia="仿宋"/>
                <w:szCs w:val="21"/>
              </w:rPr>
            </w:pPr>
            <w:r>
              <w:rPr>
                <w:rFonts w:hint="eastAsia" w:ascii="Times New Roman" w:eastAsia="仿宋"/>
                <w:szCs w:val="21"/>
              </w:rPr>
              <w:t>W</w:t>
            </w:r>
          </w:p>
        </w:tc>
        <w:tc>
          <w:tcPr>
            <w:tcW w:w="1134" w:type="dxa"/>
            <w:gridSpan w:val="2"/>
            <w:vAlign w:val="center"/>
          </w:tcPr>
          <w:p w14:paraId="175467D0">
            <w:pPr>
              <w:spacing w:line="320" w:lineRule="exact"/>
              <w:jc w:val="center"/>
              <w:rPr>
                <w:rFonts w:ascii="Times New Roman" w:eastAsia="仿宋"/>
                <w:szCs w:val="21"/>
              </w:rPr>
            </w:pPr>
            <w:r>
              <w:rPr>
                <w:rFonts w:hint="eastAsia" w:ascii="Times New Roman" w:eastAsia="仿宋"/>
                <w:szCs w:val="21"/>
              </w:rPr>
              <w:t>约4450</w:t>
            </w:r>
          </w:p>
        </w:tc>
        <w:tc>
          <w:tcPr>
            <w:tcW w:w="1276" w:type="dxa"/>
            <w:tcBorders>
              <w:top w:val="single" w:color="auto" w:sz="4" w:space="0"/>
              <w:left w:val="single" w:color="auto" w:sz="4" w:space="0"/>
              <w:bottom w:val="single" w:color="auto" w:sz="4" w:space="0"/>
              <w:right w:val="single" w:color="auto" w:sz="4" w:space="0"/>
            </w:tcBorders>
            <w:vAlign w:val="center"/>
          </w:tcPr>
          <w:p w14:paraId="21EAE8E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B057FA1">
            <w:pPr>
              <w:spacing w:line="320" w:lineRule="exact"/>
              <w:jc w:val="center"/>
              <w:rPr>
                <w:rFonts w:ascii="Times New Roman" w:eastAsia="仿宋"/>
                <w:szCs w:val="21"/>
              </w:rPr>
            </w:pPr>
            <w:r>
              <w:rPr>
                <w:rFonts w:hint="eastAsia" w:ascii="Times New Roman" w:eastAsia="仿宋"/>
                <w:szCs w:val="21"/>
              </w:rPr>
              <w:t>约960</w:t>
            </w:r>
          </w:p>
        </w:tc>
      </w:tr>
      <w:tr w14:paraId="6DFA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0F7C43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677C7E4">
            <w:pPr>
              <w:adjustRightInd w:val="0"/>
              <w:snapToGrid w:val="0"/>
              <w:jc w:val="center"/>
              <w:rPr>
                <w:rFonts w:ascii="Times New Roman" w:eastAsia="仿宋"/>
                <w:szCs w:val="21"/>
              </w:rPr>
            </w:pPr>
            <w:r>
              <w:rPr>
                <w:rFonts w:ascii="Times New Roman" w:eastAsia="仿宋"/>
                <w:szCs w:val="21"/>
              </w:rPr>
              <w:t>61</w:t>
            </w:r>
          </w:p>
        </w:tc>
        <w:tc>
          <w:tcPr>
            <w:tcW w:w="2126" w:type="dxa"/>
            <w:tcBorders>
              <w:top w:val="single" w:color="auto" w:sz="4" w:space="0"/>
              <w:left w:val="single" w:color="auto" w:sz="4" w:space="0"/>
              <w:bottom w:val="single" w:color="auto" w:sz="4" w:space="0"/>
              <w:right w:val="single" w:color="auto" w:sz="4" w:space="0"/>
            </w:tcBorders>
            <w:vAlign w:val="center"/>
          </w:tcPr>
          <w:p w14:paraId="732650BE">
            <w:pPr>
              <w:spacing w:line="320" w:lineRule="exact"/>
              <w:jc w:val="center"/>
              <w:rPr>
                <w:rFonts w:ascii="Times New Roman" w:eastAsia="仿宋"/>
                <w:szCs w:val="21"/>
              </w:rPr>
            </w:pPr>
            <w:r>
              <w:rPr>
                <w:rFonts w:hint="eastAsia" w:ascii="Times New Roman" w:eastAsia="仿宋"/>
                <w:szCs w:val="21"/>
              </w:rPr>
              <w:t>花山村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44BE76E">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5AE4B0A8">
            <w:pPr>
              <w:spacing w:line="320" w:lineRule="exact"/>
              <w:jc w:val="center"/>
              <w:rPr>
                <w:rFonts w:ascii="Times New Roman" w:eastAsia="仿宋"/>
                <w:szCs w:val="21"/>
              </w:rPr>
            </w:pPr>
            <w:r>
              <w:rPr>
                <w:rFonts w:hint="eastAsia" w:ascii="Times New Roman" w:eastAsia="仿宋"/>
                <w:szCs w:val="21"/>
              </w:rPr>
              <w:t>约2400</w:t>
            </w:r>
          </w:p>
        </w:tc>
        <w:tc>
          <w:tcPr>
            <w:tcW w:w="1276" w:type="dxa"/>
            <w:tcBorders>
              <w:top w:val="single" w:color="auto" w:sz="4" w:space="0"/>
              <w:left w:val="single" w:color="auto" w:sz="4" w:space="0"/>
              <w:bottom w:val="single" w:color="auto" w:sz="4" w:space="0"/>
              <w:right w:val="single" w:color="auto" w:sz="4" w:space="0"/>
            </w:tcBorders>
            <w:vAlign w:val="center"/>
          </w:tcPr>
          <w:p w14:paraId="1834ADC4">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C27F81F">
            <w:pPr>
              <w:spacing w:line="320" w:lineRule="exact"/>
              <w:jc w:val="center"/>
              <w:rPr>
                <w:rFonts w:ascii="Times New Roman" w:eastAsia="仿宋"/>
                <w:szCs w:val="21"/>
              </w:rPr>
            </w:pPr>
            <w:r>
              <w:rPr>
                <w:rFonts w:hint="eastAsia" w:ascii="Times New Roman" w:eastAsia="仿宋"/>
                <w:szCs w:val="21"/>
              </w:rPr>
              <w:t>约480</w:t>
            </w:r>
          </w:p>
        </w:tc>
      </w:tr>
      <w:tr w14:paraId="1A60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4E7B46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459BB59">
            <w:pPr>
              <w:adjustRightInd w:val="0"/>
              <w:snapToGrid w:val="0"/>
              <w:jc w:val="center"/>
              <w:rPr>
                <w:rFonts w:ascii="Times New Roman" w:eastAsia="仿宋"/>
                <w:szCs w:val="21"/>
              </w:rPr>
            </w:pPr>
            <w:r>
              <w:rPr>
                <w:rFonts w:ascii="Times New Roman" w:eastAsia="仿宋"/>
                <w:szCs w:val="21"/>
              </w:rPr>
              <w:t>62</w:t>
            </w:r>
          </w:p>
        </w:tc>
        <w:tc>
          <w:tcPr>
            <w:tcW w:w="2126" w:type="dxa"/>
            <w:tcBorders>
              <w:top w:val="single" w:color="auto" w:sz="4" w:space="0"/>
              <w:left w:val="single" w:color="auto" w:sz="4" w:space="0"/>
              <w:bottom w:val="single" w:color="auto" w:sz="4" w:space="0"/>
              <w:right w:val="single" w:color="auto" w:sz="4" w:space="0"/>
            </w:tcBorders>
            <w:vAlign w:val="center"/>
          </w:tcPr>
          <w:p w14:paraId="2A8B1FB6">
            <w:pPr>
              <w:spacing w:line="320" w:lineRule="exact"/>
              <w:jc w:val="center"/>
              <w:rPr>
                <w:rFonts w:ascii="Times New Roman" w:eastAsia="仿宋"/>
                <w:szCs w:val="21"/>
              </w:rPr>
            </w:pPr>
            <w:r>
              <w:rPr>
                <w:rFonts w:hint="eastAsia" w:ascii="Times New Roman" w:eastAsia="仿宋"/>
                <w:szCs w:val="21"/>
              </w:rPr>
              <w:t>后咀头</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1CC0D5D">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66864647">
            <w:pPr>
              <w:spacing w:line="320" w:lineRule="exact"/>
              <w:jc w:val="center"/>
              <w:rPr>
                <w:rFonts w:ascii="Times New Roman" w:eastAsia="仿宋"/>
                <w:szCs w:val="21"/>
              </w:rPr>
            </w:pPr>
            <w:r>
              <w:rPr>
                <w:rFonts w:hint="eastAsia" w:ascii="Times New Roman" w:eastAsia="仿宋"/>
                <w:szCs w:val="21"/>
              </w:rPr>
              <w:t>约2400</w:t>
            </w:r>
          </w:p>
        </w:tc>
        <w:tc>
          <w:tcPr>
            <w:tcW w:w="1276" w:type="dxa"/>
            <w:tcBorders>
              <w:top w:val="single" w:color="auto" w:sz="4" w:space="0"/>
              <w:left w:val="single" w:color="auto" w:sz="4" w:space="0"/>
              <w:bottom w:val="single" w:color="auto" w:sz="4" w:space="0"/>
              <w:right w:val="single" w:color="auto" w:sz="4" w:space="0"/>
            </w:tcBorders>
            <w:vAlign w:val="center"/>
          </w:tcPr>
          <w:p w14:paraId="1CAC1BC0">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17B8870">
            <w:pPr>
              <w:spacing w:line="320" w:lineRule="exact"/>
              <w:jc w:val="center"/>
              <w:rPr>
                <w:rFonts w:ascii="Times New Roman" w:eastAsia="仿宋"/>
                <w:szCs w:val="21"/>
              </w:rPr>
            </w:pPr>
            <w:r>
              <w:rPr>
                <w:rFonts w:hint="eastAsia" w:ascii="Times New Roman" w:eastAsia="仿宋"/>
                <w:szCs w:val="21"/>
              </w:rPr>
              <w:t>约276</w:t>
            </w:r>
          </w:p>
        </w:tc>
      </w:tr>
      <w:tr w14:paraId="5DD2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E0DFC08">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EC6C55A">
            <w:pPr>
              <w:adjustRightInd w:val="0"/>
              <w:snapToGrid w:val="0"/>
              <w:jc w:val="center"/>
              <w:rPr>
                <w:rFonts w:ascii="Times New Roman" w:eastAsia="仿宋"/>
                <w:szCs w:val="21"/>
              </w:rPr>
            </w:pPr>
            <w:r>
              <w:rPr>
                <w:rFonts w:ascii="Times New Roman" w:eastAsia="仿宋"/>
                <w:szCs w:val="21"/>
              </w:rPr>
              <w:t>63</w:t>
            </w:r>
          </w:p>
        </w:tc>
        <w:tc>
          <w:tcPr>
            <w:tcW w:w="2126" w:type="dxa"/>
            <w:tcBorders>
              <w:top w:val="single" w:color="auto" w:sz="4" w:space="0"/>
              <w:left w:val="single" w:color="auto" w:sz="4" w:space="0"/>
              <w:bottom w:val="single" w:color="auto" w:sz="4" w:space="0"/>
              <w:right w:val="single" w:color="auto" w:sz="4" w:space="0"/>
            </w:tcBorders>
            <w:vAlign w:val="center"/>
          </w:tcPr>
          <w:p w14:paraId="6557CA6A">
            <w:pPr>
              <w:spacing w:line="320" w:lineRule="exact"/>
              <w:jc w:val="center"/>
              <w:rPr>
                <w:rFonts w:ascii="Times New Roman" w:eastAsia="仿宋"/>
                <w:szCs w:val="21"/>
              </w:rPr>
            </w:pPr>
            <w:r>
              <w:rPr>
                <w:rFonts w:hint="eastAsia" w:ascii="Times New Roman" w:eastAsia="仿宋"/>
                <w:szCs w:val="21"/>
              </w:rPr>
              <w:t>马路山</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98CB29A">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1AA1B7A7">
            <w:pPr>
              <w:spacing w:line="320" w:lineRule="exact"/>
              <w:jc w:val="center"/>
              <w:rPr>
                <w:rFonts w:ascii="Times New Roman" w:eastAsia="仿宋"/>
                <w:szCs w:val="21"/>
              </w:rPr>
            </w:pPr>
            <w:r>
              <w:rPr>
                <w:rFonts w:hint="eastAsia" w:ascii="Times New Roman" w:eastAsia="仿宋"/>
                <w:szCs w:val="21"/>
              </w:rPr>
              <w:t>约2500</w:t>
            </w:r>
          </w:p>
        </w:tc>
        <w:tc>
          <w:tcPr>
            <w:tcW w:w="1276" w:type="dxa"/>
            <w:tcBorders>
              <w:top w:val="single" w:color="auto" w:sz="4" w:space="0"/>
              <w:left w:val="single" w:color="auto" w:sz="4" w:space="0"/>
              <w:bottom w:val="single" w:color="auto" w:sz="4" w:space="0"/>
              <w:right w:val="single" w:color="auto" w:sz="4" w:space="0"/>
            </w:tcBorders>
            <w:vAlign w:val="center"/>
          </w:tcPr>
          <w:p w14:paraId="56B1447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1EB5D9C0">
            <w:pPr>
              <w:spacing w:line="320" w:lineRule="exact"/>
              <w:jc w:val="center"/>
              <w:rPr>
                <w:rFonts w:ascii="Times New Roman" w:eastAsia="仿宋"/>
                <w:szCs w:val="21"/>
              </w:rPr>
            </w:pPr>
            <w:r>
              <w:rPr>
                <w:rFonts w:hint="eastAsia" w:ascii="Times New Roman" w:eastAsia="仿宋"/>
                <w:szCs w:val="21"/>
              </w:rPr>
              <w:t>约144</w:t>
            </w:r>
          </w:p>
        </w:tc>
      </w:tr>
      <w:tr w14:paraId="1981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11B827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EA73EF0">
            <w:pPr>
              <w:adjustRightInd w:val="0"/>
              <w:snapToGrid w:val="0"/>
              <w:jc w:val="center"/>
              <w:rPr>
                <w:rFonts w:ascii="Times New Roman" w:eastAsia="仿宋"/>
                <w:szCs w:val="21"/>
              </w:rPr>
            </w:pPr>
            <w:r>
              <w:rPr>
                <w:rFonts w:ascii="Times New Roman" w:eastAsia="仿宋"/>
                <w:szCs w:val="21"/>
              </w:rPr>
              <w:t>64</w:t>
            </w:r>
          </w:p>
        </w:tc>
        <w:tc>
          <w:tcPr>
            <w:tcW w:w="2126" w:type="dxa"/>
            <w:tcBorders>
              <w:top w:val="single" w:color="auto" w:sz="4" w:space="0"/>
              <w:left w:val="single" w:color="auto" w:sz="4" w:space="0"/>
              <w:bottom w:val="single" w:color="auto" w:sz="4" w:space="0"/>
              <w:right w:val="single" w:color="auto" w:sz="4" w:space="0"/>
            </w:tcBorders>
            <w:vAlign w:val="center"/>
          </w:tcPr>
          <w:p w14:paraId="71EBDF13">
            <w:pPr>
              <w:spacing w:line="320" w:lineRule="exact"/>
              <w:jc w:val="center"/>
              <w:rPr>
                <w:rFonts w:ascii="Times New Roman" w:eastAsia="仿宋"/>
                <w:szCs w:val="21"/>
              </w:rPr>
            </w:pPr>
            <w:r>
              <w:rPr>
                <w:rFonts w:hint="eastAsia" w:ascii="Times New Roman" w:eastAsia="仿宋"/>
                <w:szCs w:val="21"/>
              </w:rPr>
              <w:t>南庄村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DE24772">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1A27D4E0">
            <w:pPr>
              <w:spacing w:line="320" w:lineRule="exact"/>
              <w:jc w:val="center"/>
              <w:rPr>
                <w:rFonts w:ascii="Times New Roman" w:eastAsia="仿宋"/>
                <w:szCs w:val="21"/>
              </w:rPr>
            </w:pPr>
            <w:r>
              <w:rPr>
                <w:rFonts w:hint="eastAsia" w:ascii="Times New Roman" w:eastAsia="仿宋"/>
                <w:szCs w:val="21"/>
              </w:rPr>
              <w:t>约3150</w:t>
            </w:r>
          </w:p>
        </w:tc>
        <w:tc>
          <w:tcPr>
            <w:tcW w:w="1276" w:type="dxa"/>
            <w:tcBorders>
              <w:top w:val="single" w:color="auto" w:sz="4" w:space="0"/>
              <w:left w:val="single" w:color="auto" w:sz="4" w:space="0"/>
              <w:bottom w:val="single" w:color="auto" w:sz="4" w:space="0"/>
              <w:right w:val="single" w:color="auto" w:sz="4" w:space="0"/>
            </w:tcBorders>
            <w:vAlign w:val="center"/>
          </w:tcPr>
          <w:p w14:paraId="78D1F73A">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3ACFE5A">
            <w:pPr>
              <w:spacing w:line="320" w:lineRule="exact"/>
              <w:jc w:val="center"/>
              <w:rPr>
                <w:rFonts w:ascii="Times New Roman" w:eastAsia="仿宋"/>
                <w:szCs w:val="21"/>
              </w:rPr>
            </w:pPr>
            <w:r>
              <w:rPr>
                <w:rFonts w:hint="eastAsia" w:ascii="Times New Roman" w:eastAsia="仿宋"/>
                <w:szCs w:val="21"/>
              </w:rPr>
              <w:t>约720</w:t>
            </w:r>
          </w:p>
        </w:tc>
      </w:tr>
      <w:tr w14:paraId="3FCD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54C4905">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C58D808">
            <w:pPr>
              <w:adjustRightInd w:val="0"/>
              <w:snapToGrid w:val="0"/>
              <w:jc w:val="center"/>
              <w:rPr>
                <w:rFonts w:ascii="Times New Roman" w:eastAsia="仿宋"/>
                <w:szCs w:val="21"/>
              </w:rPr>
            </w:pPr>
            <w:r>
              <w:rPr>
                <w:rFonts w:hint="eastAsia" w:ascii="Times New Roman" w:eastAsia="仿宋"/>
                <w:szCs w:val="21"/>
              </w:rPr>
              <w:t>65</w:t>
            </w:r>
          </w:p>
        </w:tc>
        <w:tc>
          <w:tcPr>
            <w:tcW w:w="2126" w:type="dxa"/>
            <w:tcBorders>
              <w:top w:val="single" w:color="auto" w:sz="4" w:space="0"/>
              <w:left w:val="single" w:color="auto" w:sz="4" w:space="0"/>
              <w:bottom w:val="single" w:color="auto" w:sz="4" w:space="0"/>
              <w:right w:val="single" w:color="auto" w:sz="4" w:space="0"/>
            </w:tcBorders>
            <w:vAlign w:val="center"/>
          </w:tcPr>
          <w:p w14:paraId="171A3361">
            <w:pPr>
              <w:spacing w:line="320" w:lineRule="exact"/>
              <w:jc w:val="center"/>
              <w:rPr>
                <w:rFonts w:ascii="Times New Roman" w:eastAsia="仿宋"/>
                <w:szCs w:val="21"/>
              </w:rPr>
            </w:pPr>
            <w:r>
              <w:rPr>
                <w:rFonts w:hint="eastAsia" w:ascii="Times New Roman" w:eastAsia="仿宋"/>
                <w:szCs w:val="21"/>
              </w:rPr>
              <w:t>大坝头</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A43ACFD">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39E3BD7B">
            <w:pPr>
              <w:spacing w:line="320" w:lineRule="exact"/>
              <w:jc w:val="center"/>
              <w:rPr>
                <w:rFonts w:ascii="Times New Roman" w:eastAsia="仿宋"/>
                <w:szCs w:val="21"/>
              </w:rPr>
            </w:pPr>
            <w:r>
              <w:rPr>
                <w:rFonts w:hint="eastAsia" w:ascii="Times New Roman" w:eastAsia="仿宋"/>
                <w:szCs w:val="21"/>
              </w:rPr>
              <w:t>约3600</w:t>
            </w:r>
          </w:p>
        </w:tc>
        <w:tc>
          <w:tcPr>
            <w:tcW w:w="1276" w:type="dxa"/>
            <w:tcBorders>
              <w:top w:val="single" w:color="auto" w:sz="4" w:space="0"/>
              <w:left w:val="single" w:color="auto" w:sz="4" w:space="0"/>
              <w:bottom w:val="single" w:color="auto" w:sz="4" w:space="0"/>
              <w:right w:val="single" w:color="auto" w:sz="4" w:space="0"/>
            </w:tcBorders>
            <w:vAlign w:val="center"/>
          </w:tcPr>
          <w:p w14:paraId="4A04911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38BACCC">
            <w:pPr>
              <w:spacing w:line="320" w:lineRule="exact"/>
              <w:jc w:val="center"/>
              <w:rPr>
                <w:rFonts w:ascii="Times New Roman" w:eastAsia="仿宋"/>
                <w:szCs w:val="21"/>
              </w:rPr>
            </w:pPr>
            <w:r>
              <w:rPr>
                <w:rFonts w:hint="eastAsia" w:ascii="Times New Roman" w:eastAsia="仿宋"/>
                <w:szCs w:val="21"/>
              </w:rPr>
              <w:t>约360</w:t>
            </w:r>
          </w:p>
        </w:tc>
      </w:tr>
      <w:tr w14:paraId="1D87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18AE5F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97AA562">
            <w:pPr>
              <w:adjustRightInd w:val="0"/>
              <w:snapToGrid w:val="0"/>
              <w:jc w:val="center"/>
              <w:rPr>
                <w:rFonts w:ascii="Times New Roman" w:eastAsia="仿宋"/>
                <w:szCs w:val="21"/>
              </w:rPr>
            </w:pPr>
            <w:r>
              <w:rPr>
                <w:rFonts w:hint="eastAsia" w:ascii="Times New Roman" w:eastAsia="仿宋"/>
                <w:szCs w:val="21"/>
              </w:rPr>
              <w:t>6</w:t>
            </w:r>
            <w:r>
              <w:rPr>
                <w:rFonts w:ascii="Times New Roman" w:eastAsia="仿宋"/>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14:paraId="21886364">
            <w:pPr>
              <w:spacing w:line="320" w:lineRule="exact"/>
              <w:jc w:val="center"/>
              <w:rPr>
                <w:rFonts w:ascii="Times New Roman" w:eastAsia="仿宋"/>
                <w:szCs w:val="21"/>
              </w:rPr>
            </w:pPr>
            <w:r>
              <w:rPr>
                <w:rFonts w:hint="eastAsia" w:ascii="Times New Roman" w:eastAsia="仿宋"/>
                <w:szCs w:val="21"/>
              </w:rPr>
              <w:t>金坛区花山小学</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F2D1405">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55C1A482">
            <w:pPr>
              <w:spacing w:line="320" w:lineRule="exact"/>
              <w:jc w:val="center"/>
              <w:rPr>
                <w:rFonts w:ascii="Times New Roman" w:eastAsia="仿宋"/>
                <w:szCs w:val="21"/>
              </w:rPr>
            </w:pPr>
            <w:r>
              <w:rPr>
                <w:rFonts w:hint="eastAsia" w:ascii="Times New Roman" w:eastAsia="仿宋"/>
                <w:szCs w:val="21"/>
              </w:rPr>
              <w:t>约3700</w:t>
            </w:r>
          </w:p>
        </w:tc>
        <w:tc>
          <w:tcPr>
            <w:tcW w:w="1276" w:type="dxa"/>
            <w:tcBorders>
              <w:top w:val="single" w:color="auto" w:sz="4" w:space="0"/>
              <w:left w:val="single" w:color="auto" w:sz="4" w:space="0"/>
              <w:bottom w:val="single" w:color="auto" w:sz="4" w:space="0"/>
              <w:right w:val="single" w:color="auto" w:sz="4" w:space="0"/>
            </w:tcBorders>
            <w:vAlign w:val="center"/>
          </w:tcPr>
          <w:p w14:paraId="3756B64D">
            <w:pPr>
              <w:adjustRightInd w:val="0"/>
              <w:snapToGrid w:val="0"/>
              <w:jc w:val="center"/>
              <w:rPr>
                <w:rFonts w:ascii="Times New Roman" w:eastAsia="仿宋"/>
                <w:szCs w:val="21"/>
              </w:rPr>
            </w:pPr>
            <w:r>
              <w:rPr>
                <w:rFonts w:hint="eastAsia" w:ascii="Times New Roman" w:eastAsia="仿宋"/>
                <w:szCs w:val="21"/>
              </w:rPr>
              <w:t>学校</w:t>
            </w:r>
          </w:p>
        </w:tc>
        <w:tc>
          <w:tcPr>
            <w:tcW w:w="2126" w:type="dxa"/>
            <w:tcBorders>
              <w:top w:val="single" w:color="auto" w:sz="4" w:space="0"/>
              <w:left w:val="single" w:color="auto" w:sz="4" w:space="0"/>
              <w:bottom w:val="single" w:color="auto" w:sz="4" w:space="0"/>
              <w:right w:val="single" w:color="auto" w:sz="4" w:space="0"/>
            </w:tcBorders>
            <w:vAlign w:val="center"/>
          </w:tcPr>
          <w:p w14:paraId="4122AE7C">
            <w:pPr>
              <w:spacing w:line="320" w:lineRule="exact"/>
              <w:jc w:val="center"/>
              <w:rPr>
                <w:rFonts w:ascii="Times New Roman" w:eastAsia="仿宋"/>
                <w:szCs w:val="21"/>
              </w:rPr>
            </w:pPr>
            <w:r>
              <w:rPr>
                <w:rFonts w:hint="eastAsia" w:ascii="Times New Roman" w:eastAsia="仿宋"/>
                <w:szCs w:val="21"/>
              </w:rPr>
              <w:t>约720</w:t>
            </w:r>
          </w:p>
        </w:tc>
      </w:tr>
      <w:tr w14:paraId="60A7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F18E97A">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F0E3E14">
            <w:pPr>
              <w:adjustRightInd w:val="0"/>
              <w:snapToGrid w:val="0"/>
              <w:jc w:val="center"/>
              <w:rPr>
                <w:rFonts w:ascii="Times New Roman" w:eastAsia="仿宋"/>
                <w:szCs w:val="21"/>
              </w:rPr>
            </w:pPr>
            <w:r>
              <w:rPr>
                <w:rFonts w:hint="eastAsia" w:ascii="Times New Roman" w:eastAsia="仿宋"/>
                <w:szCs w:val="21"/>
              </w:rPr>
              <w:t>6</w:t>
            </w:r>
            <w:r>
              <w:rPr>
                <w:rFonts w:ascii="Times New Roman" w:eastAsia="仿宋"/>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14:paraId="0DD8BA66">
            <w:pPr>
              <w:spacing w:line="320" w:lineRule="exact"/>
              <w:jc w:val="center"/>
              <w:rPr>
                <w:rFonts w:ascii="Times New Roman" w:eastAsia="仿宋"/>
                <w:szCs w:val="21"/>
              </w:rPr>
            </w:pPr>
            <w:r>
              <w:rPr>
                <w:rFonts w:hint="eastAsia" w:ascii="Times New Roman" w:eastAsia="仿宋"/>
                <w:szCs w:val="21"/>
              </w:rPr>
              <w:t>中央庙村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75E894A">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12E87247">
            <w:pPr>
              <w:spacing w:line="320" w:lineRule="exact"/>
              <w:jc w:val="center"/>
              <w:rPr>
                <w:rFonts w:ascii="Times New Roman" w:eastAsia="仿宋"/>
                <w:szCs w:val="21"/>
              </w:rPr>
            </w:pPr>
            <w:r>
              <w:rPr>
                <w:rFonts w:hint="eastAsia" w:ascii="Times New Roman" w:eastAsia="仿宋"/>
                <w:szCs w:val="21"/>
              </w:rPr>
              <w:t>约3700</w:t>
            </w:r>
          </w:p>
        </w:tc>
        <w:tc>
          <w:tcPr>
            <w:tcW w:w="1276" w:type="dxa"/>
            <w:tcBorders>
              <w:top w:val="single" w:color="auto" w:sz="4" w:space="0"/>
              <w:left w:val="single" w:color="auto" w:sz="4" w:space="0"/>
              <w:bottom w:val="single" w:color="auto" w:sz="4" w:space="0"/>
              <w:right w:val="single" w:color="auto" w:sz="4" w:space="0"/>
            </w:tcBorders>
            <w:vAlign w:val="center"/>
          </w:tcPr>
          <w:p w14:paraId="701C211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DE555DC">
            <w:pPr>
              <w:spacing w:line="320" w:lineRule="exact"/>
              <w:jc w:val="center"/>
              <w:rPr>
                <w:rFonts w:ascii="Times New Roman" w:eastAsia="仿宋"/>
                <w:szCs w:val="21"/>
              </w:rPr>
            </w:pPr>
            <w:r>
              <w:rPr>
                <w:rFonts w:hint="eastAsia" w:ascii="Times New Roman" w:eastAsia="仿宋"/>
                <w:szCs w:val="21"/>
              </w:rPr>
              <w:t>约384</w:t>
            </w:r>
          </w:p>
        </w:tc>
      </w:tr>
      <w:tr w14:paraId="0586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1909E9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2E07F99">
            <w:pPr>
              <w:adjustRightInd w:val="0"/>
              <w:snapToGrid w:val="0"/>
              <w:jc w:val="center"/>
              <w:rPr>
                <w:rFonts w:ascii="Times New Roman" w:eastAsia="仿宋"/>
                <w:szCs w:val="21"/>
              </w:rPr>
            </w:pPr>
            <w:r>
              <w:rPr>
                <w:rFonts w:hint="eastAsia" w:ascii="Times New Roman" w:eastAsia="仿宋"/>
                <w:szCs w:val="21"/>
              </w:rPr>
              <w:t>6</w:t>
            </w:r>
            <w:r>
              <w:rPr>
                <w:rFonts w:ascii="Times New Roman" w:eastAsia="仿宋"/>
                <w:szCs w:val="21"/>
              </w:rPr>
              <w:t>8</w:t>
            </w:r>
          </w:p>
        </w:tc>
        <w:tc>
          <w:tcPr>
            <w:tcW w:w="2126" w:type="dxa"/>
            <w:tcBorders>
              <w:top w:val="single" w:color="auto" w:sz="4" w:space="0"/>
              <w:left w:val="single" w:color="auto" w:sz="4" w:space="0"/>
              <w:bottom w:val="single" w:color="auto" w:sz="4" w:space="0"/>
              <w:right w:val="single" w:color="auto" w:sz="4" w:space="0"/>
            </w:tcBorders>
            <w:vAlign w:val="center"/>
          </w:tcPr>
          <w:p w14:paraId="50382C2C">
            <w:pPr>
              <w:spacing w:line="320" w:lineRule="exact"/>
              <w:jc w:val="center"/>
              <w:rPr>
                <w:rFonts w:ascii="Times New Roman" w:eastAsia="仿宋"/>
                <w:szCs w:val="21"/>
              </w:rPr>
            </w:pPr>
            <w:r>
              <w:rPr>
                <w:rFonts w:hint="eastAsia" w:ascii="Times New Roman" w:eastAsia="仿宋"/>
                <w:szCs w:val="21"/>
              </w:rPr>
              <w:t>东窑村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378C593">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40F65DA9">
            <w:pPr>
              <w:spacing w:line="320" w:lineRule="exact"/>
              <w:jc w:val="center"/>
              <w:rPr>
                <w:rFonts w:ascii="Times New Roman" w:eastAsia="仿宋"/>
                <w:szCs w:val="21"/>
              </w:rPr>
            </w:pPr>
            <w:r>
              <w:rPr>
                <w:rFonts w:hint="eastAsia" w:ascii="Times New Roman" w:eastAsia="仿宋"/>
                <w:szCs w:val="21"/>
              </w:rPr>
              <w:t>约3700</w:t>
            </w:r>
          </w:p>
        </w:tc>
        <w:tc>
          <w:tcPr>
            <w:tcW w:w="1276" w:type="dxa"/>
            <w:tcBorders>
              <w:top w:val="single" w:color="auto" w:sz="4" w:space="0"/>
              <w:left w:val="single" w:color="auto" w:sz="4" w:space="0"/>
              <w:bottom w:val="single" w:color="auto" w:sz="4" w:space="0"/>
              <w:right w:val="single" w:color="auto" w:sz="4" w:space="0"/>
            </w:tcBorders>
            <w:vAlign w:val="center"/>
          </w:tcPr>
          <w:p w14:paraId="120E918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31A5806">
            <w:pPr>
              <w:spacing w:line="320" w:lineRule="exact"/>
              <w:jc w:val="center"/>
              <w:rPr>
                <w:rFonts w:ascii="Times New Roman" w:eastAsia="仿宋"/>
                <w:szCs w:val="21"/>
              </w:rPr>
            </w:pPr>
            <w:r>
              <w:rPr>
                <w:rFonts w:hint="eastAsia" w:ascii="Times New Roman" w:eastAsia="仿宋"/>
                <w:szCs w:val="21"/>
              </w:rPr>
              <w:t>约780</w:t>
            </w:r>
          </w:p>
        </w:tc>
      </w:tr>
      <w:tr w14:paraId="729D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C53ACC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BCE45A1">
            <w:pPr>
              <w:adjustRightInd w:val="0"/>
              <w:snapToGrid w:val="0"/>
              <w:jc w:val="center"/>
              <w:rPr>
                <w:rFonts w:ascii="Times New Roman" w:eastAsia="仿宋"/>
                <w:szCs w:val="21"/>
              </w:rPr>
            </w:pPr>
            <w:r>
              <w:rPr>
                <w:rFonts w:hint="eastAsia" w:ascii="Times New Roman" w:eastAsia="仿宋"/>
                <w:szCs w:val="21"/>
              </w:rPr>
              <w:t>6</w:t>
            </w:r>
            <w:r>
              <w:rPr>
                <w:rFonts w:ascii="Times New Roman" w:eastAsia="仿宋"/>
                <w:szCs w:val="21"/>
              </w:rPr>
              <w:t>9</w:t>
            </w:r>
          </w:p>
        </w:tc>
        <w:tc>
          <w:tcPr>
            <w:tcW w:w="2126" w:type="dxa"/>
            <w:tcBorders>
              <w:top w:val="single" w:color="auto" w:sz="4" w:space="0"/>
              <w:left w:val="single" w:color="auto" w:sz="4" w:space="0"/>
              <w:bottom w:val="single" w:color="auto" w:sz="4" w:space="0"/>
              <w:right w:val="single" w:color="auto" w:sz="4" w:space="0"/>
            </w:tcBorders>
            <w:vAlign w:val="center"/>
          </w:tcPr>
          <w:p w14:paraId="7C9F2970">
            <w:pPr>
              <w:spacing w:line="320" w:lineRule="exact"/>
              <w:jc w:val="center"/>
              <w:rPr>
                <w:rFonts w:ascii="Times New Roman" w:eastAsia="仿宋"/>
                <w:szCs w:val="21"/>
              </w:rPr>
            </w:pPr>
            <w:r>
              <w:rPr>
                <w:rFonts w:hint="eastAsia" w:ascii="Times New Roman" w:eastAsia="仿宋"/>
                <w:szCs w:val="21"/>
              </w:rPr>
              <w:t>河巷</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9E0BAFA">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1CEEB272">
            <w:pPr>
              <w:spacing w:line="320" w:lineRule="exact"/>
              <w:jc w:val="center"/>
              <w:rPr>
                <w:rFonts w:ascii="Times New Roman" w:eastAsia="仿宋"/>
                <w:szCs w:val="21"/>
              </w:rPr>
            </w:pPr>
            <w:r>
              <w:rPr>
                <w:rFonts w:hint="eastAsia" w:ascii="Times New Roman" w:eastAsia="仿宋"/>
                <w:szCs w:val="21"/>
              </w:rPr>
              <w:t>约3850</w:t>
            </w:r>
          </w:p>
        </w:tc>
        <w:tc>
          <w:tcPr>
            <w:tcW w:w="1276" w:type="dxa"/>
            <w:tcBorders>
              <w:top w:val="single" w:color="auto" w:sz="4" w:space="0"/>
              <w:left w:val="single" w:color="auto" w:sz="4" w:space="0"/>
              <w:bottom w:val="single" w:color="auto" w:sz="4" w:space="0"/>
              <w:right w:val="single" w:color="auto" w:sz="4" w:space="0"/>
            </w:tcBorders>
            <w:vAlign w:val="center"/>
          </w:tcPr>
          <w:p w14:paraId="231CD717">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45B08E7">
            <w:pPr>
              <w:spacing w:line="320" w:lineRule="exact"/>
              <w:jc w:val="center"/>
              <w:rPr>
                <w:rFonts w:ascii="Times New Roman" w:eastAsia="仿宋"/>
                <w:szCs w:val="21"/>
              </w:rPr>
            </w:pPr>
            <w:r>
              <w:rPr>
                <w:rFonts w:hint="eastAsia" w:ascii="Times New Roman" w:eastAsia="仿宋"/>
                <w:szCs w:val="21"/>
              </w:rPr>
              <w:t>约504</w:t>
            </w:r>
          </w:p>
        </w:tc>
      </w:tr>
      <w:tr w14:paraId="4D12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EC2FC7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E32D6BA">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0</w:t>
            </w:r>
          </w:p>
        </w:tc>
        <w:tc>
          <w:tcPr>
            <w:tcW w:w="2126" w:type="dxa"/>
            <w:tcBorders>
              <w:top w:val="single" w:color="auto" w:sz="4" w:space="0"/>
              <w:left w:val="single" w:color="auto" w:sz="4" w:space="0"/>
              <w:bottom w:val="single" w:color="auto" w:sz="4" w:space="0"/>
              <w:right w:val="single" w:color="auto" w:sz="4" w:space="0"/>
            </w:tcBorders>
            <w:vAlign w:val="center"/>
          </w:tcPr>
          <w:p w14:paraId="12E74276">
            <w:pPr>
              <w:spacing w:line="320" w:lineRule="exact"/>
              <w:jc w:val="center"/>
              <w:rPr>
                <w:rFonts w:ascii="Times New Roman" w:eastAsia="仿宋"/>
                <w:szCs w:val="21"/>
              </w:rPr>
            </w:pPr>
            <w:r>
              <w:rPr>
                <w:rFonts w:hint="eastAsia" w:ascii="Times New Roman" w:eastAsia="仿宋"/>
                <w:szCs w:val="21"/>
              </w:rPr>
              <w:t>下山头</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41EE148">
            <w:pPr>
              <w:spacing w:line="320" w:lineRule="exact"/>
              <w:jc w:val="center"/>
              <w:rPr>
                <w:rFonts w:ascii="Times New Roman" w:eastAsia="仿宋"/>
                <w:szCs w:val="21"/>
              </w:rPr>
            </w:pPr>
            <w:r>
              <w:rPr>
                <w:rFonts w:hint="eastAsia" w:ascii="Times New Roman" w:eastAsia="仿宋"/>
                <w:szCs w:val="21"/>
              </w:rPr>
              <w:t>NW</w:t>
            </w:r>
          </w:p>
        </w:tc>
        <w:tc>
          <w:tcPr>
            <w:tcW w:w="1134" w:type="dxa"/>
            <w:gridSpan w:val="2"/>
            <w:vAlign w:val="center"/>
          </w:tcPr>
          <w:p w14:paraId="63DD8336">
            <w:pPr>
              <w:spacing w:line="320" w:lineRule="exact"/>
              <w:jc w:val="center"/>
              <w:rPr>
                <w:rFonts w:ascii="Times New Roman" w:eastAsia="仿宋"/>
                <w:szCs w:val="21"/>
              </w:rPr>
            </w:pPr>
            <w:r>
              <w:rPr>
                <w:rFonts w:hint="eastAsia" w:ascii="Times New Roman" w:eastAsia="仿宋"/>
                <w:szCs w:val="21"/>
              </w:rPr>
              <w:t>约3900</w:t>
            </w:r>
          </w:p>
        </w:tc>
        <w:tc>
          <w:tcPr>
            <w:tcW w:w="1276" w:type="dxa"/>
            <w:tcBorders>
              <w:top w:val="single" w:color="auto" w:sz="4" w:space="0"/>
              <w:left w:val="single" w:color="auto" w:sz="4" w:space="0"/>
              <w:bottom w:val="single" w:color="auto" w:sz="4" w:space="0"/>
              <w:right w:val="single" w:color="auto" w:sz="4" w:space="0"/>
            </w:tcBorders>
            <w:vAlign w:val="center"/>
          </w:tcPr>
          <w:p w14:paraId="6515C27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CC43627">
            <w:pPr>
              <w:spacing w:line="320" w:lineRule="exact"/>
              <w:jc w:val="center"/>
              <w:rPr>
                <w:rFonts w:ascii="Times New Roman" w:eastAsia="仿宋"/>
                <w:szCs w:val="21"/>
              </w:rPr>
            </w:pPr>
            <w:r>
              <w:rPr>
                <w:rFonts w:hint="eastAsia" w:ascii="Times New Roman" w:eastAsia="仿宋"/>
                <w:szCs w:val="21"/>
              </w:rPr>
              <w:t>约312</w:t>
            </w:r>
          </w:p>
        </w:tc>
      </w:tr>
      <w:tr w14:paraId="1A7E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1AC2E7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F65DAD4">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14:paraId="503EF11E">
            <w:pPr>
              <w:spacing w:line="320" w:lineRule="exact"/>
              <w:jc w:val="center"/>
              <w:rPr>
                <w:rFonts w:ascii="Times New Roman" w:eastAsia="仿宋"/>
                <w:szCs w:val="21"/>
              </w:rPr>
            </w:pPr>
            <w:r>
              <w:rPr>
                <w:rFonts w:hint="eastAsia" w:ascii="Times New Roman" w:eastAsia="仿宋"/>
                <w:szCs w:val="21"/>
              </w:rPr>
              <w:t>杨桥</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4875A6D">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714D1E37">
            <w:pPr>
              <w:spacing w:line="320" w:lineRule="exact"/>
              <w:jc w:val="center"/>
              <w:rPr>
                <w:rFonts w:ascii="Times New Roman" w:eastAsia="仿宋"/>
                <w:szCs w:val="21"/>
              </w:rPr>
            </w:pPr>
            <w:r>
              <w:rPr>
                <w:rFonts w:hint="eastAsia" w:ascii="Times New Roman" w:eastAsia="仿宋"/>
                <w:szCs w:val="21"/>
              </w:rPr>
              <w:t>约1750</w:t>
            </w:r>
          </w:p>
        </w:tc>
        <w:tc>
          <w:tcPr>
            <w:tcW w:w="1276" w:type="dxa"/>
            <w:tcBorders>
              <w:top w:val="single" w:color="auto" w:sz="4" w:space="0"/>
              <w:left w:val="single" w:color="auto" w:sz="4" w:space="0"/>
              <w:bottom w:val="single" w:color="auto" w:sz="4" w:space="0"/>
              <w:right w:val="single" w:color="auto" w:sz="4" w:space="0"/>
            </w:tcBorders>
            <w:vAlign w:val="center"/>
          </w:tcPr>
          <w:p w14:paraId="338960B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9DFE631">
            <w:pPr>
              <w:spacing w:line="320" w:lineRule="exact"/>
              <w:jc w:val="center"/>
              <w:rPr>
                <w:rFonts w:ascii="Times New Roman" w:eastAsia="仿宋"/>
                <w:szCs w:val="21"/>
              </w:rPr>
            </w:pPr>
            <w:r>
              <w:rPr>
                <w:rFonts w:hint="eastAsia" w:ascii="Times New Roman" w:eastAsia="仿宋"/>
                <w:szCs w:val="21"/>
              </w:rPr>
              <w:t>约480</w:t>
            </w:r>
          </w:p>
        </w:tc>
      </w:tr>
      <w:tr w14:paraId="2410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3B360F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AB385D5">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14:paraId="7508D13C">
            <w:pPr>
              <w:spacing w:line="320" w:lineRule="exact"/>
              <w:jc w:val="center"/>
              <w:rPr>
                <w:rFonts w:ascii="Times New Roman" w:eastAsia="仿宋"/>
                <w:szCs w:val="21"/>
              </w:rPr>
            </w:pPr>
            <w:r>
              <w:rPr>
                <w:rFonts w:hint="eastAsia" w:ascii="Times New Roman" w:eastAsia="仿宋"/>
                <w:szCs w:val="21"/>
              </w:rPr>
              <w:t>大姆墩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60CCD3C">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074415EB">
            <w:pPr>
              <w:spacing w:line="320" w:lineRule="exact"/>
              <w:jc w:val="center"/>
              <w:rPr>
                <w:rFonts w:ascii="Times New Roman" w:eastAsia="仿宋"/>
                <w:szCs w:val="21"/>
              </w:rPr>
            </w:pPr>
            <w:r>
              <w:rPr>
                <w:rFonts w:hint="eastAsia" w:ascii="Times New Roman" w:eastAsia="仿宋"/>
                <w:szCs w:val="21"/>
              </w:rPr>
              <w:t>约1800</w:t>
            </w:r>
          </w:p>
        </w:tc>
        <w:tc>
          <w:tcPr>
            <w:tcW w:w="1276" w:type="dxa"/>
            <w:tcBorders>
              <w:top w:val="single" w:color="auto" w:sz="4" w:space="0"/>
              <w:left w:val="single" w:color="auto" w:sz="4" w:space="0"/>
              <w:bottom w:val="single" w:color="auto" w:sz="4" w:space="0"/>
              <w:right w:val="single" w:color="auto" w:sz="4" w:space="0"/>
            </w:tcBorders>
            <w:vAlign w:val="center"/>
          </w:tcPr>
          <w:p w14:paraId="4EE8366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168F206">
            <w:pPr>
              <w:spacing w:line="320" w:lineRule="exact"/>
              <w:jc w:val="center"/>
              <w:rPr>
                <w:rFonts w:ascii="Times New Roman" w:eastAsia="仿宋"/>
                <w:szCs w:val="21"/>
              </w:rPr>
            </w:pPr>
            <w:r>
              <w:rPr>
                <w:rFonts w:hint="eastAsia" w:ascii="Times New Roman" w:eastAsia="仿宋"/>
                <w:szCs w:val="21"/>
              </w:rPr>
              <w:t>约552</w:t>
            </w:r>
          </w:p>
        </w:tc>
      </w:tr>
      <w:tr w14:paraId="7F77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86E5E6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905DA32">
            <w:pPr>
              <w:adjustRightInd w:val="0"/>
              <w:snapToGrid w:val="0"/>
              <w:jc w:val="center"/>
              <w:rPr>
                <w:rFonts w:ascii="Times New Roman" w:eastAsia="仿宋"/>
                <w:szCs w:val="21"/>
              </w:rPr>
            </w:pPr>
            <w:r>
              <w:rPr>
                <w:rFonts w:hint="eastAsia" w:ascii="Times New Roman" w:eastAsia="仿宋"/>
                <w:szCs w:val="21"/>
              </w:rPr>
              <w:t>73</w:t>
            </w:r>
          </w:p>
        </w:tc>
        <w:tc>
          <w:tcPr>
            <w:tcW w:w="2126" w:type="dxa"/>
            <w:tcBorders>
              <w:top w:val="single" w:color="auto" w:sz="4" w:space="0"/>
              <w:left w:val="single" w:color="auto" w:sz="4" w:space="0"/>
              <w:bottom w:val="single" w:color="auto" w:sz="4" w:space="0"/>
              <w:right w:val="single" w:color="auto" w:sz="4" w:space="0"/>
            </w:tcBorders>
            <w:vAlign w:val="center"/>
          </w:tcPr>
          <w:p w14:paraId="26522D00">
            <w:pPr>
              <w:spacing w:line="320" w:lineRule="exact"/>
              <w:jc w:val="center"/>
              <w:rPr>
                <w:rFonts w:ascii="Times New Roman" w:eastAsia="仿宋"/>
                <w:szCs w:val="21"/>
              </w:rPr>
            </w:pPr>
            <w:r>
              <w:rPr>
                <w:rFonts w:hint="eastAsia" w:ascii="Times New Roman" w:eastAsia="仿宋"/>
                <w:szCs w:val="21"/>
              </w:rPr>
              <w:t>咀头村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6103CE9">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13EEB873">
            <w:pPr>
              <w:spacing w:line="320" w:lineRule="exact"/>
              <w:jc w:val="center"/>
              <w:rPr>
                <w:rFonts w:ascii="Times New Roman" w:eastAsia="仿宋"/>
                <w:szCs w:val="21"/>
              </w:rPr>
            </w:pPr>
            <w:r>
              <w:rPr>
                <w:rFonts w:hint="eastAsia" w:ascii="Times New Roman" w:eastAsia="仿宋"/>
                <w:szCs w:val="21"/>
              </w:rPr>
              <w:t>约2350</w:t>
            </w:r>
          </w:p>
        </w:tc>
        <w:tc>
          <w:tcPr>
            <w:tcW w:w="1276" w:type="dxa"/>
            <w:tcBorders>
              <w:top w:val="single" w:color="auto" w:sz="4" w:space="0"/>
              <w:left w:val="single" w:color="auto" w:sz="4" w:space="0"/>
              <w:bottom w:val="single" w:color="auto" w:sz="4" w:space="0"/>
              <w:right w:val="single" w:color="auto" w:sz="4" w:space="0"/>
            </w:tcBorders>
            <w:vAlign w:val="center"/>
          </w:tcPr>
          <w:p w14:paraId="56EDB17B">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507EDA4">
            <w:pPr>
              <w:spacing w:line="320" w:lineRule="exact"/>
              <w:jc w:val="center"/>
              <w:rPr>
                <w:rFonts w:ascii="Times New Roman" w:eastAsia="仿宋"/>
                <w:szCs w:val="21"/>
              </w:rPr>
            </w:pPr>
            <w:r>
              <w:rPr>
                <w:rFonts w:hint="eastAsia" w:ascii="Times New Roman" w:eastAsia="仿宋"/>
                <w:szCs w:val="21"/>
              </w:rPr>
              <w:t>约672</w:t>
            </w:r>
          </w:p>
        </w:tc>
      </w:tr>
      <w:tr w14:paraId="14C2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17135F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AE1632C">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14:paraId="3BAB6FBC">
            <w:pPr>
              <w:spacing w:line="320" w:lineRule="exact"/>
              <w:jc w:val="center"/>
              <w:rPr>
                <w:rFonts w:ascii="Times New Roman" w:eastAsia="仿宋"/>
                <w:szCs w:val="21"/>
              </w:rPr>
            </w:pPr>
            <w:r>
              <w:rPr>
                <w:rFonts w:hint="eastAsia" w:ascii="Times New Roman" w:eastAsia="仿宋"/>
                <w:szCs w:val="21"/>
              </w:rPr>
              <w:t>安家墩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0707DDA">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0FC4F485">
            <w:pPr>
              <w:spacing w:line="320" w:lineRule="exact"/>
              <w:jc w:val="center"/>
              <w:rPr>
                <w:rFonts w:ascii="Times New Roman" w:eastAsia="仿宋"/>
                <w:szCs w:val="21"/>
              </w:rPr>
            </w:pPr>
            <w:r>
              <w:rPr>
                <w:rFonts w:hint="eastAsia" w:ascii="Times New Roman" w:eastAsia="仿宋"/>
                <w:szCs w:val="21"/>
              </w:rPr>
              <w:t>约2800</w:t>
            </w:r>
          </w:p>
        </w:tc>
        <w:tc>
          <w:tcPr>
            <w:tcW w:w="1276" w:type="dxa"/>
            <w:tcBorders>
              <w:top w:val="single" w:color="auto" w:sz="4" w:space="0"/>
              <w:left w:val="single" w:color="auto" w:sz="4" w:space="0"/>
              <w:bottom w:val="single" w:color="auto" w:sz="4" w:space="0"/>
              <w:right w:val="single" w:color="auto" w:sz="4" w:space="0"/>
            </w:tcBorders>
            <w:vAlign w:val="center"/>
          </w:tcPr>
          <w:p w14:paraId="3D359C48">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29F63F8">
            <w:pPr>
              <w:spacing w:line="320" w:lineRule="exact"/>
              <w:jc w:val="center"/>
              <w:rPr>
                <w:rFonts w:ascii="Times New Roman" w:eastAsia="仿宋"/>
                <w:szCs w:val="21"/>
              </w:rPr>
            </w:pPr>
            <w:r>
              <w:rPr>
                <w:rFonts w:hint="eastAsia" w:ascii="Times New Roman" w:eastAsia="仿宋"/>
                <w:szCs w:val="21"/>
              </w:rPr>
              <w:t>约240</w:t>
            </w:r>
          </w:p>
        </w:tc>
      </w:tr>
      <w:tr w14:paraId="07D0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58C127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FDEB68A">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14:paraId="1EC662C7">
            <w:pPr>
              <w:spacing w:line="320" w:lineRule="exact"/>
              <w:jc w:val="center"/>
              <w:rPr>
                <w:rFonts w:ascii="Times New Roman" w:eastAsia="仿宋"/>
                <w:szCs w:val="21"/>
              </w:rPr>
            </w:pPr>
            <w:r>
              <w:rPr>
                <w:rFonts w:hint="eastAsia" w:ascii="Times New Roman" w:eastAsia="仿宋"/>
                <w:szCs w:val="21"/>
              </w:rPr>
              <w:t>迎丰桥村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CFD0381">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03A6C2C8">
            <w:pPr>
              <w:spacing w:line="320" w:lineRule="exact"/>
              <w:jc w:val="center"/>
              <w:rPr>
                <w:rFonts w:ascii="Times New Roman" w:eastAsia="仿宋"/>
                <w:szCs w:val="21"/>
              </w:rPr>
            </w:pPr>
            <w:r>
              <w:rPr>
                <w:rFonts w:hint="eastAsia" w:ascii="Times New Roman" w:eastAsia="仿宋"/>
                <w:szCs w:val="21"/>
              </w:rPr>
              <w:t>约2850</w:t>
            </w:r>
          </w:p>
        </w:tc>
        <w:tc>
          <w:tcPr>
            <w:tcW w:w="1276" w:type="dxa"/>
            <w:tcBorders>
              <w:top w:val="single" w:color="auto" w:sz="4" w:space="0"/>
              <w:left w:val="single" w:color="auto" w:sz="4" w:space="0"/>
              <w:bottom w:val="single" w:color="auto" w:sz="4" w:space="0"/>
              <w:right w:val="single" w:color="auto" w:sz="4" w:space="0"/>
            </w:tcBorders>
            <w:vAlign w:val="center"/>
          </w:tcPr>
          <w:p w14:paraId="65FA525E">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8985A74">
            <w:pPr>
              <w:spacing w:line="320" w:lineRule="exact"/>
              <w:jc w:val="center"/>
              <w:rPr>
                <w:rFonts w:ascii="Times New Roman" w:eastAsia="仿宋"/>
                <w:szCs w:val="21"/>
              </w:rPr>
            </w:pPr>
            <w:r>
              <w:rPr>
                <w:rFonts w:hint="eastAsia" w:ascii="Times New Roman" w:eastAsia="仿宋"/>
                <w:szCs w:val="21"/>
              </w:rPr>
              <w:t>约456</w:t>
            </w:r>
          </w:p>
        </w:tc>
      </w:tr>
      <w:tr w14:paraId="0363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B79BDF4">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76518F9">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14:paraId="3BC8015D">
            <w:pPr>
              <w:spacing w:line="320" w:lineRule="exact"/>
              <w:jc w:val="center"/>
              <w:rPr>
                <w:rFonts w:ascii="Times New Roman" w:eastAsia="仿宋"/>
                <w:szCs w:val="21"/>
              </w:rPr>
            </w:pPr>
            <w:r>
              <w:rPr>
                <w:rFonts w:hint="eastAsia" w:ascii="Times New Roman" w:eastAsia="仿宋"/>
                <w:szCs w:val="21"/>
              </w:rPr>
              <w:t>郑家凹</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981501E">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7883C2BD">
            <w:pPr>
              <w:spacing w:line="320" w:lineRule="exact"/>
              <w:jc w:val="center"/>
              <w:rPr>
                <w:rFonts w:ascii="Times New Roman" w:eastAsia="仿宋"/>
                <w:szCs w:val="21"/>
              </w:rPr>
            </w:pPr>
            <w:r>
              <w:rPr>
                <w:rFonts w:hint="eastAsia" w:ascii="Times New Roman" w:eastAsia="仿宋"/>
                <w:szCs w:val="21"/>
              </w:rPr>
              <w:t>约3150</w:t>
            </w:r>
          </w:p>
        </w:tc>
        <w:tc>
          <w:tcPr>
            <w:tcW w:w="1276" w:type="dxa"/>
            <w:tcBorders>
              <w:top w:val="single" w:color="auto" w:sz="4" w:space="0"/>
              <w:left w:val="single" w:color="auto" w:sz="4" w:space="0"/>
              <w:bottom w:val="single" w:color="auto" w:sz="4" w:space="0"/>
              <w:right w:val="single" w:color="auto" w:sz="4" w:space="0"/>
            </w:tcBorders>
            <w:vAlign w:val="center"/>
          </w:tcPr>
          <w:p w14:paraId="40CB2DFB">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67E9ACEB">
            <w:pPr>
              <w:spacing w:line="320" w:lineRule="exact"/>
              <w:jc w:val="center"/>
              <w:rPr>
                <w:rFonts w:ascii="Times New Roman" w:eastAsia="仿宋"/>
                <w:szCs w:val="21"/>
              </w:rPr>
            </w:pPr>
            <w:r>
              <w:rPr>
                <w:rFonts w:hint="eastAsia" w:ascii="Times New Roman" w:eastAsia="仿宋"/>
                <w:szCs w:val="21"/>
              </w:rPr>
              <w:t>约216</w:t>
            </w:r>
          </w:p>
        </w:tc>
      </w:tr>
      <w:tr w14:paraId="628F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2B11FE9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5953C34">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14:paraId="2FBB7CA8">
            <w:pPr>
              <w:spacing w:line="320" w:lineRule="exact"/>
              <w:jc w:val="center"/>
              <w:rPr>
                <w:rFonts w:ascii="Times New Roman" w:eastAsia="仿宋"/>
                <w:szCs w:val="21"/>
              </w:rPr>
            </w:pPr>
            <w:r>
              <w:rPr>
                <w:rFonts w:hint="eastAsia" w:ascii="Times New Roman" w:eastAsia="仿宋"/>
                <w:szCs w:val="21"/>
              </w:rPr>
              <w:t>头渡</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C9DDF4A">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7EA400F9">
            <w:pPr>
              <w:spacing w:line="320" w:lineRule="exact"/>
              <w:jc w:val="center"/>
              <w:rPr>
                <w:rFonts w:ascii="Times New Roman" w:eastAsia="仿宋"/>
                <w:szCs w:val="21"/>
              </w:rPr>
            </w:pPr>
            <w:r>
              <w:rPr>
                <w:rFonts w:hint="eastAsia" w:ascii="Times New Roman" w:eastAsia="仿宋"/>
                <w:szCs w:val="21"/>
              </w:rPr>
              <w:t>约3300</w:t>
            </w:r>
          </w:p>
        </w:tc>
        <w:tc>
          <w:tcPr>
            <w:tcW w:w="1276" w:type="dxa"/>
            <w:tcBorders>
              <w:top w:val="single" w:color="auto" w:sz="4" w:space="0"/>
              <w:left w:val="single" w:color="auto" w:sz="4" w:space="0"/>
              <w:bottom w:val="single" w:color="auto" w:sz="4" w:space="0"/>
              <w:right w:val="single" w:color="auto" w:sz="4" w:space="0"/>
            </w:tcBorders>
            <w:vAlign w:val="center"/>
          </w:tcPr>
          <w:p w14:paraId="411573C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0EC795C">
            <w:pPr>
              <w:spacing w:line="320" w:lineRule="exact"/>
              <w:jc w:val="center"/>
              <w:rPr>
                <w:rFonts w:ascii="Times New Roman" w:eastAsia="仿宋"/>
                <w:szCs w:val="21"/>
              </w:rPr>
            </w:pPr>
            <w:r>
              <w:rPr>
                <w:rFonts w:hint="eastAsia" w:ascii="Times New Roman" w:eastAsia="仿宋"/>
                <w:szCs w:val="21"/>
              </w:rPr>
              <w:t>约432</w:t>
            </w:r>
          </w:p>
        </w:tc>
      </w:tr>
      <w:tr w14:paraId="787D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844EFF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9512F73">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8</w:t>
            </w:r>
          </w:p>
        </w:tc>
        <w:tc>
          <w:tcPr>
            <w:tcW w:w="2126" w:type="dxa"/>
            <w:tcBorders>
              <w:top w:val="single" w:color="auto" w:sz="4" w:space="0"/>
              <w:left w:val="single" w:color="auto" w:sz="4" w:space="0"/>
              <w:bottom w:val="single" w:color="auto" w:sz="4" w:space="0"/>
              <w:right w:val="single" w:color="auto" w:sz="4" w:space="0"/>
            </w:tcBorders>
            <w:vAlign w:val="center"/>
          </w:tcPr>
          <w:p w14:paraId="05BF1195">
            <w:pPr>
              <w:spacing w:line="320" w:lineRule="exact"/>
              <w:jc w:val="center"/>
              <w:rPr>
                <w:rFonts w:ascii="Times New Roman" w:eastAsia="仿宋"/>
                <w:szCs w:val="21"/>
              </w:rPr>
            </w:pPr>
            <w:r>
              <w:rPr>
                <w:rFonts w:hint="eastAsia" w:ascii="Times New Roman" w:eastAsia="仿宋"/>
                <w:szCs w:val="21"/>
              </w:rPr>
              <w:t>管山村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3F34483">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629BE866">
            <w:pPr>
              <w:spacing w:line="320" w:lineRule="exact"/>
              <w:jc w:val="center"/>
              <w:rPr>
                <w:rFonts w:ascii="Times New Roman" w:eastAsia="仿宋"/>
                <w:szCs w:val="21"/>
              </w:rPr>
            </w:pPr>
            <w:r>
              <w:rPr>
                <w:rFonts w:hint="eastAsia" w:ascii="Times New Roman" w:eastAsia="仿宋"/>
                <w:szCs w:val="21"/>
              </w:rPr>
              <w:t>约3850</w:t>
            </w:r>
          </w:p>
        </w:tc>
        <w:tc>
          <w:tcPr>
            <w:tcW w:w="1276" w:type="dxa"/>
            <w:tcBorders>
              <w:top w:val="single" w:color="auto" w:sz="4" w:space="0"/>
              <w:left w:val="single" w:color="auto" w:sz="4" w:space="0"/>
              <w:bottom w:val="single" w:color="auto" w:sz="4" w:space="0"/>
              <w:right w:val="single" w:color="auto" w:sz="4" w:space="0"/>
            </w:tcBorders>
            <w:vAlign w:val="center"/>
          </w:tcPr>
          <w:p w14:paraId="18DE895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17E8F70">
            <w:pPr>
              <w:spacing w:line="320" w:lineRule="exact"/>
              <w:jc w:val="center"/>
              <w:rPr>
                <w:rFonts w:ascii="Times New Roman" w:eastAsia="仿宋"/>
                <w:szCs w:val="21"/>
              </w:rPr>
            </w:pPr>
            <w:r>
              <w:rPr>
                <w:rFonts w:hint="eastAsia" w:ascii="Times New Roman" w:eastAsia="仿宋"/>
                <w:szCs w:val="21"/>
              </w:rPr>
              <w:t>约180</w:t>
            </w:r>
          </w:p>
        </w:tc>
      </w:tr>
      <w:tr w14:paraId="15DB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9E12C4D">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03D04EF">
            <w:pPr>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9</w:t>
            </w:r>
          </w:p>
        </w:tc>
        <w:tc>
          <w:tcPr>
            <w:tcW w:w="2126" w:type="dxa"/>
            <w:tcBorders>
              <w:top w:val="single" w:color="auto" w:sz="4" w:space="0"/>
              <w:left w:val="single" w:color="auto" w:sz="4" w:space="0"/>
              <w:bottom w:val="single" w:color="auto" w:sz="4" w:space="0"/>
              <w:right w:val="single" w:color="auto" w:sz="4" w:space="0"/>
            </w:tcBorders>
            <w:vAlign w:val="center"/>
          </w:tcPr>
          <w:p w14:paraId="16B89C17">
            <w:pPr>
              <w:spacing w:line="320" w:lineRule="exact"/>
              <w:jc w:val="center"/>
              <w:rPr>
                <w:rFonts w:ascii="Times New Roman" w:eastAsia="仿宋"/>
                <w:szCs w:val="21"/>
              </w:rPr>
            </w:pPr>
            <w:r>
              <w:rPr>
                <w:rFonts w:hint="eastAsia" w:ascii="Times New Roman" w:eastAsia="仿宋"/>
                <w:szCs w:val="21"/>
              </w:rPr>
              <w:t>万家棚</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3D31F70">
            <w:pPr>
              <w:spacing w:line="320" w:lineRule="exact"/>
              <w:jc w:val="center"/>
              <w:rPr>
                <w:rFonts w:ascii="Times New Roman" w:eastAsia="仿宋"/>
                <w:szCs w:val="21"/>
              </w:rPr>
            </w:pPr>
            <w:r>
              <w:rPr>
                <w:rFonts w:hint="eastAsia" w:ascii="Times New Roman" w:eastAsia="仿宋"/>
                <w:szCs w:val="21"/>
              </w:rPr>
              <w:t>N</w:t>
            </w:r>
          </w:p>
        </w:tc>
        <w:tc>
          <w:tcPr>
            <w:tcW w:w="1134" w:type="dxa"/>
            <w:gridSpan w:val="2"/>
            <w:vAlign w:val="center"/>
          </w:tcPr>
          <w:p w14:paraId="674E6350">
            <w:pPr>
              <w:spacing w:line="320" w:lineRule="exact"/>
              <w:jc w:val="center"/>
              <w:rPr>
                <w:rFonts w:ascii="Times New Roman" w:eastAsia="仿宋"/>
                <w:szCs w:val="21"/>
              </w:rPr>
            </w:pPr>
            <w:r>
              <w:rPr>
                <w:rFonts w:hint="eastAsia" w:ascii="Times New Roman" w:eastAsia="仿宋"/>
                <w:szCs w:val="21"/>
              </w:rPr>
              <w:t>约5000</w:t>
            </w:r>
          </w:p>
        </w:tc>
        <w:tc>
          <w:tcPr>
            <w:tcW w:w="1276" w:type="dxa"/>
            <w:tcBorders>
              <w:top w:val="single" w:color="auto" w:sz="4" w:space="0"/>
              <w:left w:val="single" w:color="auto" w:sz="4" w:space="0"/>
              <w:bottom w:val="single" w:color="auto" w:sz="4" w:space="0"/>
              <w:right w:val="single" w:color="auto" w:sz="4" w:space="0"/>
            </w:tcBorders>
            <w:vAlign w:val="center"/>
          </w:tcPr>
          <w:p w14:paraId="2BBE8B2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DFBB46C">
            <w:pPr>
              <w:spacing w:line="320" w:lineRule="exact"/>
              <w:jc w:val="center"/>
              <w:rPr>
                <w:rFonts w:ascii="Times New Roman" w:eastAsia="仿宋"/>
                <w:szCs w:val="21"/>
              </w:rPr>
            </w:pPr>
            <w:r>
              <w:rPr>
                <w:rFonts w:hint="eastAsia" w:ascii="Times New Roman" w:eastAsia="仿宋"/>
                <w:szCs w:val="21"/>
              </w:rPr>
              <w:t>约120</w:t>
            </w:r>
          </w:p>
        </w:tc>
      </w:tr>
      <w:tr w14:paraId="5D46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6962B45">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E749121">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0</w:t>
            </w:r>
          </w:p>
        </w:tc>
        <w:tc>
          <w:tcPr>
            <w:tcW w:w="2126" w:type="dxa"/>
            <w:tcBorders>
              <w:top w:val="single" w:color="auto" w:sz="4" w:space="0"/>
              <w:left w:val="single" w:color="auto" w:sz="4" w:space="0"/>
              <w:bottom w:val="single" w:color="auto" w:sz="4" w:space="0"/>
              <w:right w:val="single" w:color="auto" w:sz="4" w:space="0"/>
            </w:tcBorders>
            <w:vAlign w:val="center"/>
          </w:tcPr>
          <w:p w14:paraId="06835B03">
            <w:pPr>
              <w:spacing w:line="320" w:lineRule="exact"/>
              <w:jc w:val="center"/>
              <w:rPr>
                <w:rFonts w:ascii="Times New Roman" w:eastAsia="仿宋"/>
                <w:szCs w:val="21"/>
              </w:rPr>
            </w:pPr>
            <w:r>
              <w:rPr>
                <w:rFonts w:hint="eastAsia" w:ascii="Times New Roman" w:eastAsia="仿宋"/>
                <w:szCs w:val="21"/>
              </w:rPr>
              <w:t>龙溪新村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4A321796">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2CE2A9F6">
            <w:pPr>
              <w:spacing w:line="320" w:lineRule="exact"/>
              <w:jc w:val="center"/>
              <w:rPr>
                <w:rFonts w:ascii="Times New Roman" w:eastAsia="仿宋"/>
                <w:szCs w:val="21"/>
              </w:rPr>
            </w:pPr>
            <w:r>
              <w:rPr>
                <w:rFonts w:hint="eastAsia" w:ascii="Times New Roman" w:eastAsia="仿宋"/>
                <w:szCs w:val="21"/>
              </w:rPr>
              <w:t>约1</w:t>
            </w:r>
            <w:r>
              <w:rPr>
                <w:rFonts w:ascii="Times New Roman" w:eastAsia="仿宋"/>
                <w:szCs w:val="21"/>
              </w:rPr>
              <w:t>4</w:t>
            </w:r>
            <w:r>
              <w:rPr>
                <w:rFonts w:hint="eastAsia" w:ascii="Times New Roman" w:eastAsia="仿宋"/>
                <w:szCs w:val="21"/>
              </w:rPr>
              <w:t>00</w:t>
            </w:r>
          </w:p>
        </w:tc>
        <w:tc>
          <w:tcPr>
            <w:tcW w:w="1276" w:type="dxa"/>
            <w:tcBorders>
              <w:top w:val="single" w:color="auto" w:sz="4" w:space="0"/>
              <w:left w:val="single" w:color="auto" w:sz="4" w:space="0"/>
              <w:bottom w:val="single" w:color="auto" w:sz="4" w:space="0"/>
              <w:right w:val="single" w:color="auto" w:sz="4" w:space="0"/>
            </w:tcBorders>
            <w:vAlign w:val="center"/>
          </w:tcPr>
          <w:p w14:paraId="3C88C4B9">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7D85313F">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10</w:t>
            </w:r>
            <w:r>
              <w:rPr>
                <w:rFonts w:hint="eastAsia" w:ascii="Times New Roman" w:eastAsia="仿宋"/>
                <w:szCs w:val="21"/>
              </w:rPr>
              <w:t>00</w:t>
            </w:r>
          </w:p>
        </w:tc>
      </w:tr>
      <w:tr w14:paraId="7A81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6DC8A2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E2C144B">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14:paraId="49D97F0A">
            <w:pPr>
              <w:spacing w:line="320" w:lineRule="exact"/>
              <w:jc w:val="center"/>
              <w:rPr>
                <w:rFonts w:ascii="Times New Roman" w:eastAsia="仿宋"/>
                <w:szCs w:val="21"/>
              </w:rPr>
            </w:pPr>
            <w:r>
              <w:rPr>
                <w:rFonts w:hint="eastAsia" w:ascii="Times New Roman" w:eastAsia="仿宋"/>
                <w:szCs w:val="21"/>
              </w:rPr>
              <w:t>王家墩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06A3E4E">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75F9DE96">
            <w:pPr>
              <w:spacing w:line="320" w:lineRule="exact"/>
              <w:jc w:val="center"/>
              <w:rPr>
                <w:rFonts w:ascii="Times New Roman" w:eastAsia="仿宋"/>
                <w:szCs w:val="21"/>
              </w:rPr>
            </w:pPr>
            <w:r>
              <w:rPr>
                <w:rFonts w:hint="eastAsia" w:ascii="Times New Roman" w:eastAsia="仿宋"/>
                <w:szCs w:val="21"/>
              </w:rPr>
              <w:t>约1</w:t>
            </w:r>
            <w:r>
              <w:rPr>
                <w:rFonts w:ascii="Times New Roman" w:eastAsia="仿宋"/>
                <w:szCs w:val="21"/>
              </w:rPr>
              <w:t>5</w:t>
            </w:r>
            <w:r>
              <w:rPr>
                <w:rFonts w:hint="eastAsia" w:ascii="Times New Roman" w:eastAsia="仿宋"/>
                <w:szCs w:val="21"/>
              </w:rPr>
              <w:t>00</w:t>
            </w:r>
          </w:p>
        </w:tc>
        <w:tc>
          <w:tcPr>
            <w:tcW w:w="1276" w:type="dxa"/>
            <w:tcBorders>
              <w:top w:val="single" w:color="auto" w:sz="4" w:space="0"/>
              <w:left w:val="single" w:color="auto" w:sz="4" w:space="0"/>
              <w:bottom w:val="single" w:color="auto" w:sz="4" w:space="0"/>
              <w:right w:val="single" w:color="auto" w:sz="4" w:space="0"/>
            </w:tcBorders>
            <w:vAlign w:val="center"/>
          </w:tcPr>
          <w:p w14:paraId="57CFA04A">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B01D37F">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6</w:t>
            </w:r>
            <w:r>
              <w:rPr>
                <w:rFonts w:hint="eastAsia" w:ascii="Times New Roman" w:eastAsia="仿宋"/>
                <w:szCs w:val="21"/>
              </w:rPr>
              <w:t>00</w:t>
            </w:r>
          </w:p>
        </w:tc>
      </w:tr>
      <w:tr w14:paraId="7780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6ECC081">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D56D526">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14:paraId="5EE367BF">
            <w:pPr>
              <w:spacing w:line="320" w:lineRule="exact"/>
              <w:jc w:val="center"/>
              <w:rPr>
                <w:rFonts w:ascii="Times New Roman" w:eastAsia="仿宋"/>
                <w:szCs w:val="21"/>
              </w:rPr>
            </w:pPr>
            <w:r>
              <w:rPr>
                <w:rFonts w:hint="eastAsia" w:ascii="Times New Roman" w:eastAsia="仿宋"/>
                <w:szCs w:val="21"/>
              </w:rPr>
              <w:t>龙溪二村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156B76B">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52D489C6">
            <w:pPr>
              <w:spacing w:line="320" w:lineRule="exact"/>
              <w:jc w:val="center"/>
              <w:rPr>
                <w:rFonts w:ascii="Times New Roman" w:eastAsia="仿宋"/>
                <w:szCs w:val="21"/>
              </w:rPr>
            </w:pPr>
            <w:r>
              <w:rPr>
                <w:rFonts w:hint="eastAsia" w:ascii="Times New Roman" w:eastAsia="仿宋"/>
                <w:szCs w:val="21"/>
              </w:rPr>
              <w:t>约1800</w:t>
            </w:r>
          </w:p>
        </w:tc>
        <w:tc>
          <w:tcPr>
            <w:tcW w:w="1276" w:type="dxa"/>
            <w:tcBorders>
              <w:top w:val="single" w:color="auto" w:sz="4" w:space="0"/>
              <w:left w:val="single" w:color="auto" w:sz="4" w:space="0"/>
              <w:bottom w:val="single" w:color="auto" w:sz="4" w:space="0"/>
              <w:right w:val="single" w:color="auto" w:sz="4" w:space="0"/>
            </w:tcBorders>
            <w:vAlign w:val="center"/>
          </w:tcPr>
          <w:p w14:paraId="4021C31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234C708">
            <w:pPr>
              <w:spacing w:line="320" w:lineRule="exact"/>
              <w:jc w:val="center"/>
              <w:rPr>
                <w:rFonts w:ascii="Times New Roman" w:eastAsia="仿宋"/>
                <w:szCs w:val="21"/>
              </w:rPr>
            </w:pPr>
            <w:r>
              <w:rPr>
                <w:rFonts w:hint="eastAsia" w:ascii="Times New Roman" w:eastAsia="仿宋"/>
                <w:szCs w:val="21"/>
              </w:rPr>
              <w:t>约1200</w:t>
            </w:r>
          </w:p>
        </w:tc>
      </w:tr>
      <w:tr w14:paraId="2F0F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41FC082">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130A9E9">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14:paraId="5373D05B">
            <w:pPr>
              <w:spacing w:line="320" w:lineRule="exact"/>
              <w:jc w:val="center"/>
              <w:rPr>
                <w:rFonts w:ascii="Times New Roman" w:eastAsia="仿宋"/>
                <w:szCs w:val="21"/>
              </w:rPr>
            </w:pPr>
            <w:r>
              <w:rPr>
                <w:rFonts w:hint="eastAsia" w:ascii="Times New Roman" w:eastAsia="仿宋"/>
                <w:szCs w:val="21"/>
              </w:rPr>
              <w:t>南街</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70FD142">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72B9B38E">
            <w:pPr>
              <w:spacing w:line="320" w:lineRule="exact"/>
              <w:jc w:val="center"/>
              <w:rPr>
                <w:rFonts w:ascii="Times New Roman" w:eastAsia="仿宋"/>
                <w:szCs w:val="21"/>
              </w:rPr>
            </w:pPr>
            <w:r>
              <w:rPr>
                <w:rFonts w:hint="eastAsia" w:ascii="Times New Roman" w:eastAsia="仿宋"/>
                <w:szCs w:val="21"/>
              </w:rPr>
              <w:t>约2050</w:t>
            </w:r>
          </w:p>
        </w:tc>
        <w:tc>
          <w:tcPr>
            <w:tcW w:w="1276" w:type="dxa"/>
            <w:tcBorders>
              <w:top w:val="single" w:color="auto" w:sz="4" w:space="0"/>
              <w:left w:val="single" w:color="auto" w:sz="4" w:space="0"/>
              <w:bottom w:val="single" w:color="auto" w:sz="4" w:space="0"/>
              <w:right w:val="single" w:color="auto" w:sz="4" w:space="0"/>
            </w:tcBorders>
            <w:vAlign w:val="center"/>
          </w:tcPr>
          <w:p w14:paraId="6FDE7CCD">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D2968EE">
            <w:pPr>
              <w:spacing w:line="320" w:lineRule="exact"/>
              <w:jc w:val="center"/>
              <w:rPr>
                <w:rFonts w:ascii="Times New Roman" w:eastAsia="仿宋"/>
                <w:szCs w:val="21"/>
              </w:rPr>
            </w:pPr>
            <w:r>
              <w:rPr>
                <w:rFonts w:hint="eastAsia" w:ascii="Times New Roman" w:eastAsia="仿宋"/>
                <w:szCs w:val="21"/>
              </w:rPr>
              <w:t>约1080</w:t>
            </w:r>
          </w:p>
        </w:tc>
      </w:tr>
      <w:tr w14:paraId="1B61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8209B8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6AF324A">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14:paraId="586A6B7C">
            <w:pPr>
              <w:spacing w:line="320" w:lineRule="exact"/>
              <w:jc w:val="center"/>
              <w:rPr>
                <w:rFonts w:ascii="Times New Roman" w:eastAsia="仿宋"/>
                <w:szCs w:val="21"/>
              </w:rPr>
            </w:pPr>
            <w:r>
              <w:rPr>
                <w:rFonts w:hint="eastAsia" w:ascii="Times New Roman" w:eastAsia="仿宋"/>
                <w:szCs w:val="21"/>
              </w:rPr>
              <w:t>金坛区朱林中心小学</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DA49CD0">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7068B187">
            <w:pPr>
              <w:spacing w:line="320" w:lineRule="exact"/>
              <w:jc w:val="center"/>
              <w:rPr>
                <w:rFonts w:ascii="Times New Roman" w:eastAsia="仿宋"/>
                <w:szCs w:val="21"/>
              </w:rPr>
            </w:pPr>
            <w:r>
              <w:rPr>
                <w:rFonts w:hint="eastAsia" w:ascii="Times New Roman" w:eastAsia="仿宋"/>
                <w:szCs w:val="21"/>
              </w:rPr>
              <w:t>约2300</w:t>
            </w:r>
          </w:p>
        </w:tc>
        <w:tc>
          <w:tcPr>
            <w:tcW w:w="1276" w:type="dxa"/>
            <w:tcBorders>
              <w:top w:val="single" w:color="auto" w:sz="4" w:space="0"/>
              <w:left w:val="single" w:color="auto" w:sz="4" w:space="0"/>
              <w:bottom w:val="single" w:color="auto" w:sz="4" w:space="0"/>
              <w:right w:val="single" w:color="auto" w:sz="4" w:space="0"/>
            </w:tcBorders>
            <w:vAlign w:val="center"/>
          </w:tcPr>
          <w:p w14:paraId="2EF05BC1">
            <w:pPr>
              <w:adjustRightInd w:val="0"/>
              <w:snapToGrid w:val="0"/>
              <w:jc w:val="center"/>
              <w:rPr>
                <w:rFonts w:ascii="Times New Roman" w:eastAsia="仿宋"/>
                <w:szCs w:val="21"/>
              </w:rPr>
            </w:pPr>
            <w:r>
              <w:rPr>
                <w:rFonts w:hint="eastAsia" w:ascii="Times New Roman" w:eastAsia="仿宋"/>
                <w:szCs w:val="21"/>
              </w:rPr>
              <w:t>学校</w:t>
            </w:r>
          </w:p>
        </w:tc>
        <w:tc>
          <w:tcPr>
            <w:tcW w:w="2126" w:type="dxa"/>
            <w:tcBorders>
              <w:top w:val="single" w:color="auto" w:sz="4" w:space="0"/>
              <w:left w:val="single" w:color="auto" w:sz="4" w:space="0"/>
              <w:bottom w:val="single" w:color="auto" w:sz="4" w:space="0"/>
              <w:right w:val="single" w:color="auto" w:sz="4" w:space="0"/>
            </w:tcBorders>
            <w:vAlign w:val="center"/>
          </w:tcPr>
          <w:p w14:paraId="4957AD3A">
            <w:pPr>
              <w:spacing w:line="320" w:lineRule="exact"/>
              <w:jc w:val="center"/>
              <w:rPr>
                <w:rFonts w:ascii="Times New Roman" w:eastAsia="仿宋"/>
                <w:szCs w:val="21"/>
              </w:rPr>
            </w:pPr>
            <w:r>
              <w:rPr>
                <w:rFonts w:hint="eastAsia" w:ascii="Times New Roman" w:eastAsia="仿宋"/>
                <w:szCs w:val="21"/>
              </w:rPr>
              <w:t>约720</w:t>
            </w:r>
          </w:p>
        </w:tc>
      </w:tr>
      <w:tr w14:paraId="0B5E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7F73B66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28F3B5F">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14:paraId="0D4CE7D6">
            <w:pPr>
              <w:spacing w:line="320" w:lineRule="exact"/>
              <w:jc w:val="center"/>
              <w:rPr>
                <w:rFonts w:ascii="Times New Roman" w:eastAsia="仿宋"/>
                <w:szCs w:val="21"/>
              </w:rPr>
            </w:pPr>
            <w:r>
              <w:rPr>
                <w:rFonts w:hint="eastAsia" w:ascii="Times New Roman" w:eastAsia="仿宋"/>
                <w:szCs w:val="21"/>
              </w:rPr>
              <w:t>英凤桥</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A518E13">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1BE8CF13">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74</w:t>
            </w:r>
            <w:r>
              <w:rPr>
                <w:rFonts w:hint="eastAsia" w:ascii="Times New Roman"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63DABA66">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B88EB3F">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120</w:t>
            </w:r>
            <w:r>
              <w:rPr>
                <w:rFonts w:hint="eastAsia" w:ascii="Times New Roman" w:eastAsia="仿宋"/>
                <w:szCs w:val="21"/>
              </w:rPr>
              <w:t>0</w:t>
            </w:r>
          </w:p>
        </w:tc>
      </w:tr>
      <w:tr w14:paraId="00C6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90EEBBB">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463EFE3">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14:paraId="0DFCF0D1">
            <w:pPr>
              <w:spacing w:line="320" w:lineRule="exact"/>
              <w:jc w:val="center"/>
              <w:rPr>
                <w:rFonts w:ascii="Times New Roman" w:eastAsia="仿宋"/>
                <w:szCs w:val="21"/>
              </w:rPr>
            </w:pPr>
            <w:r>
              <w:rPr>
                <w:rFonts w:hint="eastAsia" w:ascii="Times New Roman" w:eastAsia="仿宋"/>
                <w:szCs w:val="21"/>
              </w:rPr>
              <w:t>水岸风华园</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7E85DE6">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0CF2AD8B">
            <w:pPr>
              <w:spacing w:line="320" w:lineRule="exact"/>
              <w:jc w:val="center"/>
              <w:rPr>
                <w:rFonts w:ascii="Times New Roman" w:eastAsia="仿宋"/>
                <w:szCs w:val="21"/>
              </w:rPr>
            </w:pPr>
            <w:r>
              <w:rPr>
                <w:rFonts w:hint="eastAsia" w:ascii="Times New Roman" w:eastAsia="仿宋"/>
                <w:szCs w:val="21"/>
              </w:rPr>
              <w:t>约2850</w:t>
            </w:r>
          </w:p>
        </w:tc>
        <w:tc>
          <w:tcPr>
            <w:tcW w:w="1276" w:type="dxa"/>
            <w:tcBorders>
              <w:top w:val="single" w:color="auto" w:sz="4" w:space="0"/>
              <w:left w:val="single" w:color="auto" w:sz="4" w:space="0"/>
              <w:bottom w:val="single" w:color="auto" w:sz="4" w:space="0"/>
              <w:right w:val="single" w:color="auto" w:sz="4" w:space="0"/>
            </w:tcBorders>
            <w:vAlign w:val="center"/>
          </w:tcPr>
          <w:p w14:paraId="5F02B321">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8B5F066">
            <w:pPr>
              <w:spacing w:line="320" w:lineRule="exact"/>
              <w:jc w:val="center"/>
              <w:rPr>
                <w:rFonts w:ascii="Times New Roman" w:eastAsia="仿宋"/>
                <w:szCs w:val="21"/>
              </w:rPr>
            </w:pPr>
            <w:r>
              <w:rPr>
                <w:rFonts w:hint="eastAsia" w:ascii="Times New Roman" w:eastAsia="仿宋"/>
                <w:szCs w:val="21"/>
              </w:rPr>
              <w:t>约696</w:t>
            </w:r>
          </w:p>
        </w:tc>
      </w:tr>
      <w:tr w14:paraId="123F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CCD457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21C660D">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14:paraId="4E5EC646">
            <w:pPr>
              <w:spacing w:line="320" w:lineRule="exact"/>
              <w:jc w:val="center"/>
              <w:rPr>
                <w:rFonts w:ascii="Times New Roman" w:eastAsia="仿宋"/>
                <w:szCs w:val="21"/>
              </w:rPr>
            </w:pPr>
            <w:r>
              <w:rPr>
                <w:rFonts w:hint="eastAsia" w:ascii="Times New Roman" w:eastAsia="仿宋"/>
                <w:szCs w:val="21"/>
              </w:rPr>
              <w:t>后塘</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F8358B1">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59B0C86E">
            <w:pPr>
              <w:spacing w:line="320" w:lineRule="exact"/>
              <w:jc w:val="center"/>
              <w:rPr>
                <w:rFonts w:ascii="Times New Roman" w:eastAsia="仿宋"/>
                <w:szCs w:val="21"/>
              </w:rPr>
            </w:pPr>
            <w:r>
              <w:rPr>
                <w:rFonts w:hint="eastAsia" w:ascii="Times New Roman" w:eastAsia="仿宋"/>
                <w:szCs w:val="21"/>
              </w:rPr>
              <w:t>约2</w:t>
            </w:r>
            <w:r>
              <w:rPr>
                <w:rFonts w:ascii="Times New Roman" w:eastAsia="仿宋"/>
                <w:szCs w:val="21"/>
              </w:rPr>
              <w:t>900</w:t>
            </w:r>
          </w:p>
        </w:tc>
        <w:tc>
          <w:tcPr>
            <w:tcW w:w="1276" w:type="dxa"/>
            <w:tcBorders>
              <w:top w:val="single" w:color="auto" w:sz="4" w:space="0"/>
              <w:left w:val="single" w:color="auto" w:sz="4" w:space="0"/>
              <w:bottom w:val="single" w:color="auto" w:sz="4" w:space="0"/>
              <w:right w:val="single" w:color="auto" w:sz="4" w:space="0"/>
            </w:tcBorders>
            <w:vAlign w:val="center"/>
          </w:tcPr>
          <w:p w14:paraId="5B649AC5">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0F6E91CE">
            <w:pPr>
              <w:spacing w:line="320" w:lineRule="exact"/>
              <w:jc w:val="center"/>
              <w:rPr>
                <w:rFonts w:ascii="Times New Roman" w:eastAsia="仿宋"/>
                <w:szCs w:val="21"/>
              </w:rPr>
            </w:pPr>
            <w:r>
              <w:rPr>
                <w:rFonts w:hint="eastAsia" w:ascii="Times New Roman" w:eastAsia="仿宋"/>
                <w:szCs w:val="21"/>
              </w:rPr>
              <w:t>约</w:t>
            </w:r>
            <w:r>
              <w:rPr>
                <w:rFonts w:ascii="Times New Roman" w:eastAsia="仿宋"/>
                <w:szCs w:val="21"/>
              </w:rPr>
              <w:t>1000</w:t>
            </w:r>
          </w:p>
        </w:tc>
      </w:tr>
      <w:tr w14:paraId="49B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BF110E9">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4D4B1B3">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8</w:t>
            </w:r>
          </w:p>
        </w:tc>
        <w:tc>
          <w:tcPr>
            <w:tcW w:w="2126" w:type="dxa"/>
            <w:tcBorders>
              <w:top w:val="single" w:color="auto" w:sz="4" w:space="0"/>
              <w:left w:val="single" w:color="auto" w:sz="4" w:space="0"/>
              <w:bottom w:val="single" w:color="auto" w:sz="4" w:space="0"/>
              <w:right w:val="single" w:color="auto" w:sz="4" w:space="0"/>
            </w:tcBorders>
            <w:vAlign w:val="center"/>
          </w:tcPr>
          <w:p w14:paraId="549BD510">
            <w:pPr>
              <w:spacing w:line="320" w:lineRule="exact"/>
              <w:jc w:val="center"/>
              <w:rPr>
                <w:rFonts w:ascii="Times New Roman" w:eastAsia="仿宋"/>
                <w:szCs w:val="21"/>
              </w:rPr>
            </w:pPr>
            <w:r>
              <w:rPr>
                <w:rFonts w:hint="eastAsia" w:ascii="Times New Roman" w:eastAsia="仿宋"/>
                <w:szCs w:val="21"/>
              </w:rPr>
              <w:t>朱林镇长兴社区卫生室</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95E8E11">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4BFB2E99">
            <w:pPr>
              <w:spacing w:line="320" w:lineRule="exact"/>
              <w:jc w:val="center"/>
              <w:rPr>
                <w:rFonts w:ascii="Times New Roman" w:eastAsia="仿宋"/>
                <w:szCs w:val="21"/>
              </w:rPr>
            </w:pPr>
            <w:r>
              <w:rPr>
                <w:rFonts w:hint="eastAsia" w:ascii="Times New Roman" w:eastAsia="仿宋"/>
                <w:szCs w:val="21"/>
              </w:rPr>
              <w:t>约4050</w:t>
            </w:r>
          </w:p>
        </w:tc>
        <w:tc>
          <w:tcPr>
            <w:tcW w:w="1276" w:type="dxa"/>
            <w:tcBorders>
              <w:top w:val="single" w:color="auto" w:sz="4" w:space="0"/>
              <w:left w:val="single" w:color="auto" w:sz="4" w:space="0"/>
              <w:bottom w:val="single" w:color="auto" w:sz="4" w:space="0"/>
              <w:right w:val="single" w:color="auto" w:sz="4" w:space="0"/>
            </w:tcBorders>
            <w:vAlign w:val="center"/>
          </w:tcPr>
          <w:p w14:paraId="5682F4D7">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633E697">
            <w:pPr>
              <w:spacing w:line="320" w:lineRule="exact"/>
              <w:jc w:val="center"/>
              <w:rPr>
                <w:rFonts w:ascii="Times New Roman" w:eastAsia="仿宋"/>
                <w:szCs w:val="21"/>
              </w:rPr>
            </w:pPr>
            <w:r>
              <w:rPr>
                <w:rFonts w:hint="eastAsia" w:ascii="Times New Roman" w:eastAsia="仿宋"/>
                <w:szCs w:val="21"/>
              </w:rPr>
              <w:t>约600</w:t>
            </w:r>
          </w:p>
        </w:tc>
      </w:tr>
      <w:tr w14:paraId="780A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6D71943F">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64E837F">
            <w:pPr>
              <w:adjustRightInd w:val="0"/>
              <w:snapToGrid w:val="0"/>
              <w:jc w:val="center"/>
              <w:rPr>
                <w:rFonts w:ascii="Times New Roman" w:eastAsia="仿宋"/>
                <w:szCs w:val="21"/>
              </w:rPr>
            </w:pPr>
            <w:r>
              <w:rPr>
                <w:rFonts w:hint="eastAsia" w:ascii="Times New Roman" w:eastAsia="仿宋"/>
                <w:szCs w:val="21"/>
              </w:rPr>
              <w:t>8</w:t>
            </w:r>
            <w:r>
              <w:rPr>
                <w:rFonts w:ascii="Times New Roman" w:eastAsia="仿宋"/>
                <w:szCs w:val="21"/>
              </w:rPr>
              <w:t>9</w:t>
            </w:r>
          </w:p>
        </w:tc>
        <w:tc>
          <w:tcPr>
            <w:tcW w:w="2126" w:type="dxa"/>
            <w:tcBorders>
              <w:top w:val="single" w:color="auto" w:sz="4" w:space="0"/>
              <w:left w:val="single" w:color="auto" w:sz="4" w:space="0"/>
              <w:bottom w:val="single" w:color="auto" w:sz="4" w:space="0"/>
              <w:right w:val="single" w:color="auto" w:sz="4" w:space="0"/>
            </w:tcBorders>
            <w:vAlign w:val="center"/>
          </w:tcPr>
          <w:p w14:paraId="2BF8FD24">
            <w:pPr>
              <w:spacing w:line="320" w:lineRule="exact"/>
              <w:jc w:val="center"/>
              <w:rPr>
                <w:rFonts w:ascii="Times New Roman" w:eastAsia="仿宋"/>
                <w:szCs w:val="21"/>
              </w:rPr>
            </w:pPr>
            <w:r>
              <w:rPr>
                <w:rFonts w:hint="eastAsia" w:ascii="Times New Roman" w:eastAsia="仿宋"/>
                <w:szCs w:val="21"/>
              </w:rPr>
              <w:t>大竹棵村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F4621C5">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3CFFFF19">
            <w:pPr>
              <w:spacing w:line="320" w:lineRule="exact"/>
              <w:jc w:val="center"/>
              <w:rPr>
                <w:rFonts w:ascii="Times New Roman" w:eastAsia="仿宋"/>
                <w:szCs w:val="21"/>
              </w:rPr>
            </w:pPr>
            <w:r>
              <w:rPr>
                <w:rFonts w:hint="eastAsia" w:ascii="Times New Roman" w:eastAsia="仿宋"/>
                <w:szCs w:val="21"/>
              </w:rPr>
              <w:t>约4150</w:t>
            </w:r>
          </w:p>
        </w:tc>
        <w:tc>
          <w:tcPr>
            <w:tcW w:w="1276" w:type="dxa"/>
            <w:tcBorders>
              <w:top w:val="single" w:color="auto" w:sz="4" w:space="0"/>
              <w:left w:val="single" w:color="auto" w:sz="4" w:space="0"/>
              <w:bottom w:val="single" w:color="auto" w:sz="4" w:space="0"/>
              <w:right w:val="single" w:color="auto" w:sz="4" w:space="0"/>
            </w:tcBorders>
            <w:vAlign w:val="center"/>
          </w:tcPr>
          <w:p w14:paraId="296D82BB">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91DE429">
            <w:pPr>
              <w:spacing w:line="320" w:lineRule="exact"/>
              <w:jc w:val="center"/>
              <w:rPr>
                <w:rFonts w:ascii="Times New Roman" w:eastAsia="仿宋"/>
                <w:szCs w:val="21"/>
              </w:rPr>
            </w:pPr>
            <w:r>
              <w:rPr>
                <w:rFonts w:hint="eastAsia" w:ascii="Times New Roman" w:eastAsia="仿宋"/>
                <w:szCs w:val="21"/>
              </w:rPr>
              <w:t>约200</w:t>
            </w:r>
          </w:p>
        </w:tc>
      </w:tr>
      <w:tr w14:paraId="1856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00AE467">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7915194E">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w:t>
            </w:r>
          </w:p>
        </w:tc>
        <w:tc>
          <w:tcPr>
            <w:tcW w:w="2126" w:type="dxa"/>
            <w:tcBorders>
              <w:top w:val="single" w:color="auto" w:sz="4" w:space="0"/>
              <w:left w:val="single" w:color="auto" w:sz="4" w:space="0"/>
              <w:bottom w:val="single" w:color="auto" w:sz="4" w:space="0"/>
              <w:right w:val="single" w:color="auto" w:sz="4" w:space="0"/>
            </w:tcBorders>
            <w:vAlign w:val="center"/>
          </w:tcPr>
          <w:p w14:paraId="12431E91">
            <w:pPr>
              <w:spacing w:line="320" w:lineRule="exact"/>
              <w:jc w:val="center"/>
              <w:rPr>
                <w:rFonts w:ascii="Times New Roman" w:eastAsia="仿宋"/>
                <w:szCs w:val="21"/>
              </w:rPr>
            </w:pPr>
            <w:r>
              <w:rPr>
                <w:rFonts w:hint="eastAsia" w:ascii="Times New Roman" w:eastAsia="仿宋"/>
                <w:szCs w:val="21"/>
              </w:rPr>
              <w:t>张家圩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69E9035">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451B543B">
            <w:pPr>
              <w:spacing w:line="320" w:lineRule="exact"/>
              <w:jc w:val="center"/>
              <w:rPr>
                <w:rFonts w:ascii="Times New Roman" w:eastAsia="仿宋"/>
                <w:szCs w:val="21"/>
              </w:rPr>
            </w:pPr>
            <w:r>
              <w:rPr>
                <w:rFonts w:hint="eastAsia" w:ascii="Times New Roman" w:eastAsia="仿宋"/>
                <w:szCs w:val="21"/>
              </w:rPr>
              <w:t>约4250</w:t>
            </w:r>
          </w:p>
        </w:tc>
        <w:tc>
          <w:tcPr>
            <w:tcW w:w="1276" w:type="dxa"/>
            <w:tcBorders>
              <w:top w:val="single" w:color="auto" w:sz="4" w:space="0"/>
              <w:left w:val="single" w:color="auto" w:sz="4" w:space="0"/>
              <w:bottom w:val="single" w:color="auto" w:sz="4" w:space="0"/>
              <w:right w:val="single" w:color="auto" w:sz="4" w:space="0"/>
            </w:tcBorders>
            <w:vAlign w:val="center"/>
          </w:tcPr>
          <w:p w14:paraId="2AA29BC5">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F6434AC">
            <w:pPr>
              <w:spacing w:line="320" w:lineRule="exact"/>
              <w:jc w:val="center"/>
              <w:rPr>
                <w:rFonts w:ascii="Times New Roman" w:eastAsia="仿宋"/>
                <w:szCs w:val="21"/>
              </w:rPr>
            </w:pPr>
            <w:r>
              <w:rPr>
                <w:rFonts w:hint="eastAsia" w:ascii="Times New Roman" w:eastAsia="仿宋"/>
                <w:szCs w:val="21"/>
              </w:rPr>
              <w:t>约240</w:t>
            </w:r>
          </w:p>
        </w:tc>
      </w:tr>
      <w:tr w14:paraId="5E0B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54A728A">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6F6300F5">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14:paraId="2E86988C">
            <w:pPr>
              <w:spacing w:line="320" w:lineRule="exact"/>
              <w:jc w:val="center"/>
              <w:rPr>
                <w:rFonts w:ascii="Times New Roman" w:eastAsia="仿宋"/>
                <w:szCs w:val="21"/>
              </w:rPr>
            </w:pPr>
            <w:r>
              <w:rPr>
                <w:rFonts w:hint="eastAsia" w:ascii="Times New Roman" w:eastAsia="仿宋"/>
                <w:szCs w:val="21"/>
              </w:rPr>
              <w:t>荷花滩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60B529A">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1463B76C">
            <w:pPr>
              <w:spacing w:line="320" w:lineRule="exact"/>
              <w:jc w:val="center"/>
              <w:rPr>
                <w:rFonts w:ascii="Times New Roman" w:eastAsia="仿宋"/>
                <w:szCs w:val="21"/>
              </w:rPr>
            </w:pPr>
            <w:r>
              <w:rPr>
                <w:rFonts w:hint="eastAsia" w:ascii="Times New Roman" w:eastAsia="仿宋"/>
                <w:szCs w:val="21"/>
              </w:rPr>
              <w:t>约4250</w:t>
            </w:r>
          </w:p>
        </w:tc>
        <w:tc>
          <w:tcPr>
            <w:tcW w:w="1276" w:type="dxa"/>
            <w:tcBorders>
              <w:top w:val="single" w:color="auto" w:sz="4" w:space="0"/>
              <w:left w:val="single" w:color="auto" w:sz="4" w:space="0"/>
              <w:bottom w:val="single" w:color="auto" w:sz="4" w:space="0"/>
              <w:right w:val="single" w:color="auto" w:sz="4" w:space="0"/>
            </w:tcBorders>
            <w:vAlign w:val="center"/>
          </w:tcPr>
          <w:p w14:paraId="25EBFA30">
            <w:pPr>
              <w:adjustRightInd w:val="0"/>
              <w:snapToGrid w:val="0"/>
              <w:jc w:val="center"/>
              <w:rPr>
                <w:rFonts w:ascii="Times New Roman" w:eastAsia="仿宋"/>
                <w:szCs w:val="21"/>
              </w:rPr>
            </w:pPr>
            <w:r>
              <w:rPr>
                <w:rFonts w:hint="eastAsia"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F08F875">
            <w:pPr>
              <w:spacing w:line="320" w:lineRule="exact"/>
              <w:jc w:val="center"/>
              <w:rPr>
                <w:rFonts w:ascii="Times New Roman" w:eastAsia="仿宋"/>
                <w:szCs w:val="21"/>
              </w:rPr>
            </w:pPr>
            <w:r>
              <w:rPr>
                <w:rFonts w:hint="eastAsia" w:ascii="Times New Roman" w:eastAsia="仿宋"/>
                <w:szCs w:val="21"/>
              </w:rPr>
              <w:t>约324</w:t>
            </w:r>
          </w:p>
        </w:tc>
      </w:tr>
      <w:tr w14:paraId="21F4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04BEBF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E83C507">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14:paraId="5FBFF28C">
            <w:pPr>
              <w:spacing w:line="320" w:lineRule="exact"/>
              <w:jc w:val="center"/>
              <w:rPr>
                <w:rFonts w:ascii="Times New Roman" w:eastAsia="仿宋"/>
                <w:szCs w:val="21"/>
              </w:rPr>
            </w:pPr>
            <w:r>
              <w:rPr>
                <w:rFonts w:hint="eastAsia" w:ascii="Times New Roman" w:eastAsia="仿宋"/>
                <w:szCs w:val="21"/>
              </w:rPr>
              <w:t>钱家村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78D906F">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3FCD1C20">
            <w:pPr>
              <w:spacing w:line="320" w:lineRule="exact"/>
              <w:jc w:val="center"/>
              <w:rPr>
                <w:rFonts w:ascii="Times New Roman" w:eastAsia="仿宋"/>
                <w:szCs w:val="21"/>
              </w:rPr>
            </w:pPr>
            <w:r>
              <w:rPr>
                <w:rFonts w:hint="eastAsia" w:ascii="Times New Roman" w:eastAsia="仿宋"/>
                <w:szCs w:val="21"/>
              </w:rPr>
              <w:t>约4450</w:t>
            </w:r>
          </w:p>
        </w:tc>
        <w:tc>
          <w:tcPr>
            <w:tcW w:w="1276" w:type="dxa"/>
            <w:tcBorders>
              <w:top w:val="single" w:color="auto" w:sz="4" w:space="0"/>
              <w:left w:val="single" w:color="auto" w:sz="4" w:space="0"/>
              <w:bottom w:val="single" w:color="auto" w:sz="4" w:space="0"/>
              <w:right w:val="single" w:color="auto" w:sz="4" w:space="0"/>
            </w:tcBorders>
            <w:vAlign w:val="center"/>
          </w:tcPr>
          <w:p w14:paraId="343931B0">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52733104">
            <w:pPr>
              <w:spacing w:line="320" w:lineRule="exact"/>
              <w:jc w:val="center"/>
              <w:rPr>
                <w:rFonts w:ascii="Times New Roman" w:eastAsia="仿宋"/>
                <w:szCs w:val="21"/>
              </w:rPr>
            </w:pPr>
            <w:r>
              <w:rPr>
                <w:rFonts w:hint="eastAsia" w:ascii="Times New Roman" w:eastAsia="仿宋"/>
                <w:szCs w:val="21"/>
              </w:rPr>
              <w:t>约360</w:t>
            </w:r>
          </w:p>
        </w:tc>
      </w:tr>
      <w:tr w14:paraId="293D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F55E1A0">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48FB4216">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14:paraId="26553A9B">
            <w:pPr>
              <w:spacing w:line="320" w:lineRule="exact"/>
              <w:jc w:val="center"/>
              <w:rPr>
                <w:rFonts w:ascii="Times New Roman" w:eastAsia="仿宋"/>
                <w:szCs w:val="21"/>
              </w:rPr>
            </w:pPr>
            <w:r>
              <w:rPr>
                <w:rFonts w:hint="eastAsia" w:ascii="Times New Roman" w:eastAsia="仿宋"/>
                <w:szCs w:val="21"/>
              </w:rPr>
              <w:t>上马滩</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1C41945">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6F303E47">
            <w:pPr>
              <w:spacing w:line="320" w:lineRule="exact"/>
              <w:jc w:val="center"/>
              <w:rPr>
                <w:rFonts w:ascii="Times New Roman" w:eastAsia="仿宋"/>
                <w:szCs w:val="21"/>
              </w:rPr>
            </w:pPr>
            <w:r>
              <w:rPr>
                <w:rFonts w:hint="eastAsia" w:ascii="Times New Roman" w:eastAsia="仿宋"/>
                <w:szCs w:val="21"/>
              </w:rPr>
              <w:t>约4800</w:t>
            </w:r>
          </w:p>
        </w:tc>
        <w:tc>
          <w:tcPr>
            <w:tcW w:w="1276" w:type="dxa"/>
            <w:tcBorders>
              <w:top w:val="single" w:color="auto" w:sz="4" w:space="0"/>
              <w:left w:val="single" w:color="auto" w:sz="4" w:space="0"/>
              <w:bottom w:val="single" w:color="auto" w:sz="4" w:space="0"/>
              <w:right w:val="single" w:color="auto" w:sz="4" w:space="0"/>
            </w:tcBorders>
            <w:vAlign w:val="center"/>
          </w:tcPr>
          <w:p w14:paraId="33C74073">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2E5D32C6">
            <w:pPr>
              <w:spacing w:line="320" w:lineRule="exact"/>
              <w:jc w:val="center"/>
              <w:rPr>
                <w:rFonts w:ascii="Times New Roman" w:eastAsia="仿宋"/>
                <w:szCs w:val="21"/>
              </w:rPr>
            </w:pPr>
            <w:r>
              <w:rPr>
                <w:rFonts w:hint="eastAsia" w:ascii="Times New Roman" w:eastAsia="仿宋"/>
                <w:szCs w:val="21"/>
              </w:rPr>
              <w:t>约216</w:t>
            </w:r>
          </w:p>
        </w:tc>
      </w:tr>
      <w:tr w14:paraId="20BD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342B33CA">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108AAD1D">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14:paraId="4DA6CE4E">
            <w:pPr>
              <w:spacing w:line="320" w:lineRule="exact"/>
              <w:jc w:val="center"/>
              <w:rPr>
                <w:rFonts w:ascii="Times New Roman" w:eastAsia="仿宋"/>
                <w:szCs w:val="21"/>
              </w:rPr>
            </w:pPr>
            <w:r>
              <w:rPr>
                <w:rFonts w:hint="eastAsia" w:ascii="Times New Roman" w:eastAsia="仿宋"/>
                <w:szCs w:val="21"/>
              </w:rPr>
              <w:t>杨家村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298FF079">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4B4E39A8">
            <w:pPr>
              <w:spacing w:line="320" w:lineRule="exact"/>
              <w:jc w:val="center"/>
              <w:rPr>
                <w:rFonts w:ascii="Times New Roman" w:eastAsia="仿宋"/>
                <w:szCs w:val="21"/>
              </w:rPr>
            </w:pPr>
            <w:r>
              <w:rPr>
                <w:rFonts w:hint="eastAsia" w:ascii="Times New Roman" w:eastAsia="仿宋"/>
                <w:szCs w:val="21"/>
              </w:rPr>
              <w:t>约4950</w:t>
            </w:r>
          </w:p>
        </w:tc>
        <w:tc>
          <w:tcPr>
            <w:tcW w:w="1276" w:type="dxa"/>
            <w:tcBorders>
              <w:top w:val="single" w:color="auto" w:sz="4" w:space="0"/>
              <w:left w:val="single" w:color="auto" w:sz="4" w:space="0"/>
              <w:bottom w:val="single" w:color="auto" w:sz="4" w:space="0"/>
              <w:right w:val="single" w:color="auto" w:sz="4" w:space="0"/>
            </w:tcBorders>
            <w:vAlign w:val="center"/>
          </w:tcPr>
          <w:p w14:paraId="6CF58818">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0132FB2">
            <w:pPr>
              <w:spacing w:line="320" w:lineRule="exact"/>
              <w:jc w:val="center"/>
              <w:rPr>
                <w:rFonts w:ascii="Times New Roman" w:eastAsia="仿宋"/>
                <w:szCs w:val="21"/>
              </w:rPr>
            </w:pPr>
            <w:r>
              <w:rPr>
                <w:rFonts w:hint="eastAsia" w:ascii="Times New Roman" w:eastAsia="仿宋"/>
                <w:szCs w:val="21"/>
              </w:rPr>
              <w:t>约480</w:t>
            </w:r>
          </w:p>
        </w:tc>
      </w:tr>
      <w:tr w14:paraId="6FE1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491F2EB">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0C495C2C">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14:paraId="7B483C26">
            <w:pPr>
              <w:spacing w:line="320" w:lineRule="exact"/>
              <w:jc w:val="center"/>
              <w:rPr>
                <w:rFonts w:ascii="Times New Roman" w:eastAsia="仿宋"/>
                <w:szCs w:val="21"/>
              </w:rPr>
            </w:pPr>
            <w:r>
              <w:rPr>
                <w:rFonts w:hint="eastAsia" w:ascii="Times New Roman" w:eastAsia="仿宋"/>
                <w:szCs w:val="21"/>
              </w:rPr>
              <w:t>型坞</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16BF6329">
            <w:pPr>
              <w:spacing w:line="320" w:lineRule="exact"/>
              <w:jc w:val="center"/>
              <w:rPr>
                <w:rFonts w:ascii="Times New Roman" w:eastAsia="仿宋"/>
                <w:szCs w:val="21"/>
              </w:rPr>
            </w:pPr>
            <w:r>
              <w:rPr>
                <w:rFonts w:hint="eastAsia" w:ascii="Times New Roman" w:eastAsia="仿宋"/>
                <w:szCs w:val="21"/>
              </w:rPr>
              <w:t>NE</w:t>
            </w:r>
          </w:p>
        </w:tc>
        <w:tc>
          <w:tcPr>
            <w:tcW w:w="1134" w:type="dxa"/>
            <w:gridSpan w:val="2"/>
            <w:vAlign w:val="center"/>
          </w:tcPr>
          <w:p w14:paraId="4734BAB4">
            <w:pPr>
              <w:spacing w:line="320" w:lineRule="exact"/>
              <w:jc w:val="center"/>
              <w:rPr>
                <w:rFonts w:ascii="Times New Roman" w:eastAsia="仿宋"/>
                <w:szCs w:val="21"/>
              </w:rPr>
            </w:pPr>
            <w:r>
              <w:rPr>
                <w:rFonts w:hint="eastAsia" w:ascii="Times New Roman" w:eastAsia="仿宋"/>
                <w:szCs w:val="21"/>
              </w:rPr>
              <w:t>约5000</w:t>
            </w:r>
          </w:p>
        </w:tc>
        <w:tc>
          <w:tcPr>
            <w:tcW w:w="1276" w:type="dxa"/>
            <w:tcBorders>
              <w:top w:val="single" w:color="auto" w:sz="4" w:space="0"/>
              <w:left w:val="single" w:color="auto" w:sz="4" w:space="0"/>
              <w:bottom w:val="single" w:color="auto" w:sz="4" w:space="0"/>
              <w:right w:val="single" w:color="auto" w:sz="4" w:space="0"/>
            </w:tcBorders>
            <w:vAlign w:val="center"/>
          </w:tcPr>
          <w:p w14:paraId="75A91E54">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4AABD927">
            <w:pPr>
              <w:spacing w:line="320" w:lineRule="exact"/>
              <w:jc w:val="center"/>
              <w:rPr>
                <w:rFonts w:ascii="Times New Roman" w:eastAsia="仿宋"/>
                <w:szCs w:val="21"/>
              </w:rPr>
            </w:pPr>
            <w:r>
              <w:rPr>
                <w:rFonts w:hint="eastAsia" w:ascii="Times New Roman" w:eastAsia="仿宋"/>
                <w:szCs w:val="21"/>
              </w:rPr>
              <w:t>约672</w:t>
            </w:r>
          </w:p>
        </w:tc>
      </w:tr>
      <w:tr w14:paraId="73D1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E7B9FA1">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A111A6E">
            <w:pPr>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14:paraId="066F9BAD">
            <w:pPr>
              <w:spacing w:line="320" w:lineRule="exact"/>
              <w:jc w:val="center"/>
              <w:rPr>
                <w:rFonts w:ascii="Times New Roman" w:eastAsia="仿宋"/>
                <w:szCs w:val="21"/>
              </w:rPr>
            </w:pPr>
            <w:r>
              <w:rPr>
                <w:rFonts w:hint="eastAsia" w:ascii="Times New Roman" w:eastAsia="仿宋"/>
                <w:szCs w:val="21"/>
              </w:rPr>
              <w:t>曹家村</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92C122D">
            <w:pPr>
              <w:adjustRightInd w:val="0"/>
              <w:snapToGrid w:val="0"/>
              <w:jc w:val="center"/>
              <w:rPr>
                <w:rFonts w:ascii="Times New Roman" w:eastAsia="仿宋"/>
                <w:szCs w:val="21"/>
              </w:rPr>
            </w:pPr>
            <w:r>
              <w:rPr>
                <w:rFonts w:hint="eastAsia" w:ascii="Times New Roman" w:eastAsia="仿宋"/>
                <w:szCs w:val="21"/>
              </w:rPr>
              <w:t>NE</w:t>
            </w:r>
          </w:p>
        </w:tc>
        <w:tc>
          <w:tcPr>
            <w:tcW w:w="1134" w:type="dxa"/>
            <w:gridSpan w:val="2"/>
            <w:vAlign w:val="center"/>
          </w:tcPr>
          <w:p w14:paraId="22408A16">
            <w:pPr>
              <w:spacing w:line="320" w:lineRule="exact"/>
              <w:jc w:val="center"/>
              <w:rPr>
                <w:rFonts w:ascii="Times New Roman" w:eastAsia="仿宋"/>
                <w:szCs w:val="21"/>
              </w:rPr>
            </w:pPr>
            <w:r>
              <w:rPr>
                <w:rFonts w:hint="eastAsia" w:ascii="Times New Roman" w:eastAsia="仿宋"/>
                <w:szCs w:val="21"/>
              </w:rPr>
              <w:t>约5050</w:t>
            </w:r>
          </w:p>
        </w:tc>
        <w:tc>
          <w:tcPr>
            <w:tcW w:w="1276" w:type="dxa"/>
            <w:tcBorders>
              <w:top w:val="single" w:color="auto" w:sz="4" w:space="0"/>
              <w:left w:val="single" w:color="auto" w:sz="4" w:space="0"/>
              <w:bottom w:val="single" w:color="auto" w:sz="4" w:space="0"/>
              <w:right w:val="single" w:color="auto" w:sz="4" w:space="0"/>
            </w:tcBorders>
            <w:vAlign w:val="center"/>
          </w:tcPr>
          <w:p w14:paraId="4F4AA512">
            <w:pPr>
              <w:adjustRightInd w:val="0"/>
              <w:snapToGrid w:val="0"/>
              <w:jc w:val="center"/>
              <w:rPr>
                <w:rFonts w:ascii="Times New Roman" w:eastAsia="仿宋"/>
                <w:szCs w:val="21"/>
              </w:rPr>
            </w:pPr>
            <w:r>
              <w:rPr>
                <w:rFonts w:ascii="Times New Roman" w:eastAsia="仿宋"/>
                <w:szCs w:val="21"/>
              </w:rPr>
              <w:t>居住区</w:t>
            </w:r>
          </w:p>
        </w:tc>
        <w:tc>
          <w:tcPr>
            <w:tcW w:w="2126" w:type="dxa"/>
            <w:tcBorders>
              <w:top w:val="single" w:color="auto" w:sz="4" w:space="0"/>
              <w:left w:val="single" w:color="auto" w:sz="4" w:space="0"/>
              <w:bottom w:val="single" w:color="auto" w:sz="4" w:space="0"/>
              <w:right w:val="single" w:color="auto" w:sz="4" w:space="0"/>
            </w:tcBorders>
            <w:vAlign w:val="center"/>
          </w:tcPr>
          <w:p w14:paraId="3BBC52FE">
            <w:pPr>
              <w:spacing w:line="320" w:lineRule="exact"/>
              <w:jc w:val="center"/>
              <w:rPr>
                <w:rFonts w:ascii="Times New Roman" w:eastAsia="仿宋"/>
                <w:szCs w:val="21"/>
              </w:rPr>
            </w:pPr>
            <w:r>
              <w:rPr>
                <w:rFonts w:hint="eastAsia" w:ascii="Times New Roman" w:eastAsia="仿宋"/>
                <w:szCs w:val="21"/>
              </w:rPr>
              <w:t>约336</w:t>
            </w:r>
          </w:p>
        </w:tc>
      </w:tr>
      <w:tr w14:paraId="215D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E809E0F">
            <w:pPr>
              <w:adjustRightInd w:val="0"/>
              <w:snapToGrid w:val="0"/>
              <w:jc w:val="center"/>
              <w:rPr>
                <w:rFonts w:ascii="Times New Roman" w:eastAsia="仿宋"/>
                <w:szCs w:val="21"/>
              </w:rPr>
            </w:pPr>
          </w:p>
        </w:tc>
        <w:tc>
          <w:tcPr>
            <w:tcW w:w="6194" w:type="dxa"/>
            <w:gridSpan w:val="7"/>
            <w:tcBorders>
              <w:top w:val="single" w:color="auto" w:sz="4" w:space="0"/>
              <w:left w:val="single" w:color="auto" w:sz="4" w:space="0"/>
              <w:bottom w:val="single" w:color="auto" w:sz="4" w:space="0"/>
              <w:right w:val="single" w:color="auto" w:sz="4" w:space="0"/>
            </w:tcBorders>
            <w:vAlign w:val="center"/>
          </w:tcPr>
          <w:p w14:paraId="57CC16EE">
            <w:pPr>
              <w:adjustRightInd w:val="0"/>
              <w:snapToGrid w:val="0"/>
              <w:jc w:val="center"/>
              <w:rPr>
                <w:rFonts w:ascii="Times New Roman" w:eastAsia="仿宋"/>
                <w:szCs w:val="21"/>
              </w:rPr>
            </w:pPr>
            <w:r>
              <w:rPr>
                <w:rFonts w:ascii="Times New Roman" w:eastAsia="仿宋"/>
                <w:szCs w:val="21"/>
              </w:rPr>
              <w:t>厂址周边500m范围内人口数小计</w:t>
            </w:r>
          </w:p>
        </w:tc>
        <w:tc>
          <w:tcPr>
            <w:tcW w:w="2126" w:type="dxa"/>
            <w:tcBorders>
              <w:top w:val="single" w:color="auto" w:sz="4" w:space="0"/>
              <w:left w:val="single" w:color="auto" w:sz="4" w:space="0"/>
              <w:bottom w:val="single" w:color="auto" w:sz="4" w:space="0"/>
              <w:right w:val="single" w:color="auto" w:sz="4" w:space="0"/>
            </w:tcBorders>
            <w:vAlign w:val="center"/>
          </w:tcPr>
          <w:p w14:paraId="51470580">
            <w:pPr>
              <w:adjustRightInd w:val="0"/>
              <w:snapToGrid w:val="0"/>
              <w:jc w:val="center"/>
              <w:rPr>
                <w:rFonts w:ascii="Times New Roman" w:eastAsia="仿宋"/>
                <w:szCs w:val="21"/>
              </w:rPr>
            </w:pPr>
            <w:r>
              <w:rPr>
                <w:rFonts w:ascii="Times New Roman" w:eastAsia="仿宋"/>
                <w:szCs w:val="21"/>
              </w:rPr>
              <w:t>约0</w:t>
            </w:r>
          </w:p>
        </w:tc>
      </w:tr>
      <w:tr w14:paraId="2A66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0F8E614D">
            <w:pPr>
              <w:adjustRightInd w:val="0"/>
              <w:snapToGrid w:val="0"/>
              <w:jc w:val="center"/>
              <w:rPr>
                <w:rFonts w:ascii="Times New Roman" w:eastAsia="仿宋"/>
                <w:szCs w:val="21"/>
              </w:rPr>
            </w:pPr>
          </w:p>
        </w:tc>
        <w:tc>
          <w:tcPr>
            <w:tcW w:w="6194" w:type="dxa"/>
            <w:gridSpan w:val="7"/>
            <w:tcBorders>
              <w:top w:val="single" w:color="auto" w:sz="4" w:space="0"/>
              <w:left w:val="single" w:color="auto" w:sz="4" w:space="0"/>
              <w:bottom w:val="single" w:color="auto" w:sz="4" w:space="0"/>
              <w:right w:val="single" w:color="auto" w:sz="4" w:space="0"/>
            </w:tcBorders>
            <w:vAlign w:val="center"/>
          </w:tcPr>
          <w:p w14:paraId="2F55FD07">
            <w:pPr>
              <w:adjustRightInd w:val="0"/>
              <w:snapToGrid w:val="0"/>
              <w:jc w:val="center"/>
              <w:rPr>
                <w:rFonts w:ascii="Times New Roman" w:eastAsia="仿宋"/>
                <w:szCs w:val="21"/>
              </w:rPr>
            </w:pPr>
            <w:r>
              <w:rPr>
                <w:rFonts w:ascii="Times New Roman" w:eastAsia="仿宋"/>
                <w:szCs w:val="21"/>
              </w:rPr>
              <w:t>厂址周边5km范围内人口数小计</w:t>
            </w:r>
          </w:p>
        </w:tc>
        <w:tc>
          <w:tcPr>
            <w:tcW w:w="2126" w:type="dxa"/>
            <w:tcBorders>
              <w:top w:val="single" w:color="auto" w:sz="4" w:space="0"/>
              <w:left w:val="single" w:color="auto" w:sz="4" w:space="0"/>
              <w:bottom w:val="single" w:color="auto" w:sz="4" w:space="0"/>
              <w:right w:val="single" w:color="auto" w:sz="4" w:space="0"/>
            </w:tcBorders>
            <w:vAlign w:val="center"/>
          </w:tcPr>
          <w:p w14:paraId="4397A6B5">
            <w:pPr>
              <w:adjustRightInd w:val="0"/>
              <w:snapToGrid w:val="0"/>
              <w:jc w:val="center"/>
              <w:rPr>
                <w:rFonts w:ascii="Times New Roman" w:eastAsia="仿宋"/>
                <w:szCs w:val="21"/>
              </w:rPr>
            </w:pPr>
            <w:r>
              <w:rPr>
                <w:rFonts w:ascii="Times New Roman" w:eastAsia="仿宋"/>
                <w:szCs w:val="21"/>
              </w:rPr>
              <w:t>约41586</w:t>
            </w:r>
          </w:p>
        </w:tc>
      </w:tr>
      <w:tr w14:paraId="5F00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5EE37C7A">
            <w:pPr>
              <w:adjustRightInd w:val="0"/>
              <w:snapToGrid w:val="0"/>
              <w:jc w:val="center"/>
              <w:rPr>
                <w:rFonts w:ascii="Times New Roman" w:eastAsia="仿宋"/>
                <w:szCs w:val="21"/>
              </w:rPr>
            </w:pPr>
          </w:p>
        </w:tc>
        <w:tc>
          <w:tcPr>
            <w:tcW w:w="6194" w:type="dxa"/>
            <w:gridSpan w:val="7"/>
            <w:tcBorders>
              <w:top w:val="single" w:color="auto" w:sz="4" w:space="0"/>
              <w:left w:val="single" w:color="auto" w:sz="4" w:space="0"/>
              <w:bottom w:val="single" w:color="auto" w:sz="4" w:space="0"/>
              <w:right w:val="single" w:color="auto" w:sz="4" w:space="0"/>
            </w:tcBorders>
            <w:vAlign w:val="center"/>
          </w:tcPr>
          <w:p w14:paraId="35A3F6D0">
            <w:pPr>
              <w:adjustRightInd w:val="0"/>
              <w:snapToGrid w:val="0"/>
              <w:jc w:val="center"/>
              <w:rPr>
                <w:rFonts w:ascii="Times New Roman" w:eastAsia="仿宋"/>
                <w:szCs w:val="21"/>
              </w:rPr>
            </w:pPr>
            <w:r>
              <w:rPr>
                <w:rFonts w:ascii="Times New Roman" w:eastAsia="仿宋"/>
                <w:szCs w:val="21"/>
              </w:rPr>
              <w:t>大气环境敏感程度E值</w:t>
            </w:r>
          </w:p>
        </w:tc>
        <w:tc>
          <w:tcPr>
            <w:tcW w:w="2126" w:type="dxa"/>
            <w:tcBorders>
              <w:top w:val="single" w:color="auto" w:sz="4" w:space="0"/>
              <w:left w:val="single" w:color="auto" w:sz="4" w:space="0"/>
              <w:bottom w:val="single" w:color="auto" w:sz="4" w:space="0"/>
              <w:right w:val="single" w:color="auto" w:sz="4" w:space="0"/>
            </w:tcBorders>
            <w:vAlign w:val="center"/>
          </w:tcPr>
          <w:p w14:paraId="3AE4CF7E">
            <w:pPr>
              <w:adjustRightInd w:val="0"/>
              <w:snapToGrid w:val="0"/>
              <w:jc w:val="center"/>
              <w:rPr>
                <w:rFonts w:ascii="Times New Roman" w:eastAsia="仿宋"/>
                <w:szCs w:val="21"/>
              </w:rPr>
            </w:pPr>
            <w:r>
              <w:rPr>
                <w:rFonts w:ascii="Times New Roman" w:eastAsia="仿宋"/>
                <w:szCs w:val="21"/>
              </w:rPr>
              <w:t>E1</w:t>
            </w:r>
          </w:p>
        </w:tc>
      </w:tr>
      <w:tr w14:paraId="17D8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restart"/>
            <w:tcBorders>
              <w:top w:val="single" w:color="auto" w:sz="4" w:space="0"/>
              <w:left w:val="single" w:color="auto" w:sz="4" w:space="0"/>
              <w:right w:val="single" w:color="auto" w:sz="4" w:space="0"/>
            </w:tcBorders>
            <w:vAlign w:val="center"/>
          </w:tcPr>
          <w:p w14:paraId="35BDD3D8">
            <w:pPr>
              <w:adjustRightInd w:val="0"/>
              <w:snapToGrid w:val="0"/>
              <w:jc w:val="center"/>
              <w:rPr>
                <w:rFonts w:ascii="Times New Roman" w:eastAsia="仿宋"/>
                <w:szCs w:val="21"/>
              </w:rPr>
            </w:pPr>
            <w:r>
              <w:rPr>
                <w:rFonts w:ascii="Times New Roman" w:eastAsia="仿宋"/>
                <w:szCs w:val="21"/>
              </w:rPr>
              <w:t>地表水</w:t>
            </w:r>
          </w:p>
        </w:tc>
        <w:tc>
          <w:tcPr>
            <w:tcW w:w="8320" w:type="dxa"/>
            <w:gridSpan w:val="8"/>
            <w:tcBorders>
              <w:top w:val="single" w:color="auto" w:sz="4" w:space="0"/>
              <w:left w:val="single" w:color="auto" w:sz="4" w:space="0"/>
              <w:bottom w:val="single" w:color="auto" w:sz="4" w:space="0"/>
              <w:right w:val="single" w:color="auto" w:sz="4" w:space="0"/>
            </w:tcBorders>
            <w:vAlign w:val="center"/>
          </w:tcPr>
          <w:p w14:paraId="3BC5220E">
            <w:pPr>
              <w:adjustRightInd w:val="0"/>
              <w:snapToGrid w:val="0"/>
              <w:jc w:val="center"/>
              <w:rPr>
                <w:rFonts w:ascii="Times New Roman" w:eastAsia="仿宋"/>
                <w:szCs w:val="21"/>
              </w:rPr>
            </w:pPr>
            <w:r>
              <w:rPr>
                <w:rFonts w:ascii="Times New Roman" w:eastAsia="仿宋"/>
                <w:szCs w:val="21"/>
              </w:rPr>
              <w:t>受纳水体</w:t>
            </w:r>
          </w:p>
        </w:tc>
      </w:tr>
      <w:tr w14:paraId="0497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right w:val="single" w:color="auto" w:sz="4" w:space="0"/>
            </w:tcBorders>
            <w:vAlign w:val="center"/>
          </w:tcPr>
          <w:p w14:paraId="78397E2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CC0F060">
            <w:pPr>
              <w:adjustRightInd w:val="0"/>
              <w:snapToGrid w:val="0"/>
              <w:jc w:val="center"/>
              <w:rPr>
                <w:rFonts w:ascii="Times New Roman" w:eastAsia="仿宋"/>
                <w:szCs w:val="21"/>
              </w:rPr>
            </w:pPr>
            <w:r>
              <w:rPr>
                <w:rFonts w:ascii="Times New Roman" w:eastAsia="仿宋"/>
                <w:szCs w:val="21"/>
              </w:rPr>
              <w:t>序号</w:t>
            </w:r>
          </w:p>
        </w:tc>
        <w:tc>
          <w:tcPr>
            <w:tcW w:w="4244" w:type="dxa"/>
            <w:gridSpan w:val="4"/>
            <w:tcBorders>
              <w:top w:val="single" w:color="auto" w:sz="4" w:space="0"/>
              <w:left w:val="single" w:color="auto" w:sz="4" w:space="0"/>
              <w:bottom w:val="single" w:color="auto" w:sz="4" w:space="0"/>
              <w:right w:val="single" w:color="auto" w:sz="4" w:space="0"/>
            </w:tcBorders>
            <w:vAlign w:val="center"/>
          </w:tcPr>
          <w:p w14:paraId="7CE82B1F">
            <w:pPr>
              <w:adjustRightInd w:val="0"/>
              <w:snapToGrid w:val="0"/>
              <w:jc w:val="center"/>
              <w:rPr>
                <w:rFonts w:ascii="Times New Roman" w:eastAsia="仿宋"/>
                <w:szCs w:val="21"/>
              </w:rPr>
            </w:pPr>
            <w:r>
              <w:rPr>
                <w:rFonts w:ascii="Times New Roman" w:eastAsia="仿宋"/>
                <w:szCs w:val="21"/>
              </w:rPr>
              <w:t>受纳水体名称</w:t>
            </w:r>
          </w:p>
        </w:tc>
        <w:tc>
          <w:tcPr>
            <w:tcW w:w="1426" w:type="dxa"/>
            <w:gridSpan w:val="2"/>
            <w:tcBorders>
              <w:top w:val="single" w:color="auto" w:sz="4" w:space="0"/>
              <w:left w:val="single" w:color="auto" w:sz="4" w:space="0"/>
              <w:bottom w:val="single" w:color="auto" w:sz="4" w:space="0"/>
              <w:right w:val="single" w:color="auto" w:sz="4" w:space="0"/>
            </w:tcBorders>
            <w:vAlign w:val="center"/>
          </w:tcPr>
          <w:p w14:paraId="5390DE1F">
            <w:pPr>
              <w:adjustRightInd w:val="0"/>
              <w:snapToGrid w:val="0"/>
              <w:jc w:val="center"/>
              <w:rPr>
                <w:rFonts w:ascii="Times New Roman" w:eastAsia="仿宋"/>
                <w:szCs w:val="21"/>
              </w:rPr>
            </w:pPr>
            <w:r>
              <w:rPr>
                <w:rFonts w:ascii="Times New Roman" w:eastAsia="仿宋"/>
                <w:szCs w:val="21"/>
              </w:rPr>
              <w:t>排放点水域环境功能</w:t>
            </w:r>
          </w:p>
        </w:tc>
        <w:tc>
          <w:tcPr>
            <w:tcW w:w="2126" w:type="dxa"/>
            <w:tcBorders>
              <w:top w:val="single" w:color="auto" w:sz="4" w:space="0"/>
              <w:left w:val="single" w:color="auto" w:sz="4" w:space="0"/>
              <w:bottom w:val="single" w:color="auto" w:sz="4" w:space="0"/>
              <w:right w:val="single" w:color="auto" w:sz="4" w:space="0"/>
            </w:tcBorders>
            <w:vAlign w:val="center"/>
          </w:tcPr>
          <w:p w14:paraId="1B3D3D92">
            <w:pPr>
              <w:adjustRightInd w:val="0"/>
              <w:snapToGrid w:val="0"/>
              <w:jc w:val="center"/>
              <w:rPr>
                <w:rFonts w:ascii="Times New Roman" w:eastAsia="仿宋"/>
                <w:szCs w:val="21"/>
              </w:rPr>
            </w:pPr>
            <w:r>
              <w:rPr>
                <w:rFonts w:ascii="Times New Roman" w:eastAsia="仿宋"/>
                <w:szCs w:val="21"/>
              </w:rPr>
              <w:t>24h内流经范围/km</w:t>
            </w:r>
          </w:p>
        </w:tc>
      </w:tr>
      <w:tr w14:paraId="46DB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right w:val="single" w:color="auto" w:sz="4" w:space="0"/>
            </w:tcBorders>
            <w:vAlign w:val="center"/>
          </w:tcPr>
          <w:p w14:paraId="5DECF333">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342CAB7F">
            <w:pPr>
              <w:adjustRightInd w:val="0"/>
              <w:snapToGrid w:val="0"/>
              <w:jc w:val="center"/>
              <w:rPr>
                <w:rFonts w:ascii="Times New Roman" w:eastAsia="仿宋"/>
                <w:szCs w:val="21"/>
              </w:rPr>
            </w:pPr>
            <w:r>
              <w:rPr>
                <w:rFonts w:ascii="Times New Roman" w:eastAsia="仿宋"/>
                <w:szCs w:val="21"/>
              </w:rPr>
              <w:t>1</w:t>
            </w:r>
          </w:p>
        </w:tc>
        <w:tc>
          <w:tcPr>
            <w:tcW w:w="4244" w:type="dxa"/>
            <w:gridSpan w:val="4"/>
            <w:tcBorders>
              <w:top w:val="single" w:color="auto" w:sz="4" w:space="0"/>
              <w:left w:val="single" w:color="auto" w:sz="4" w:space="0"/>
              <w:bottom w:val="single" w:color="auto" w:sz="4" w:space="0"/>
              <w:right w:val="single" w:color="auto" w:sz="4" w:space="0"/>
            </w:tcBorders>
            <w:vAlign w:val="center"/>
          </w:tcPr>
          <w:p w14:paraId="17E6B4B9">
            <w:pPr>
              <w:adjustRightInd w:val="0"/>
              <w:snapToGrid w:val="0"/>
              <w:jc w:val="center"/>
              <w:rPr>
                <w:rFonts w:ascii="Times New Roman" w:eastAsia="仿宋"/>
                <w:szCs w:val="21"/>
              </w:rPr>
            </w:pPr>
            <w:r>
              <w:rPr>
                <w:rFonts w:ascii="Times New Roman" w:eastAsia="仿宋"/>
                <w:szCs w:val="21"/>
              </w:rPr>
              <w:t>通济河</w:t>
            </w:r>
          </w:p>
        </w:tc>
        <w:tc>
          <w:tcPr>
            <w:tcW w:w="1426" w:type="dxa"/>
            <w:gridSpan w:val="2"/>
            <w:tcBorders>
              <w:top w:val="single" w:color="auto" w:sz="4" w:space="0"/>
              <w:left w:val="single" w:color="auto" w:sz="4" w:space="0"/>
              <w:bottom w:val="single" w:color="auto" w:sz="4" w:space="0"/>
              <w:right w:val="single" w:color="auto" w:sz="4" w:space="0"/>
            </w:tcBorders>
            <w:vAlign w:val="center"/>
          </w:tcPr>
          <w:p w14:paraId="6EA1D636">
            <w:pPr>
              <w:adjustRightInd w:val="0"/>
              <w:snapToGrid w:val="0"/>
              <w:jc w:val="center"/>
              <w:rPr>
                <w:rFonts w:ascii="Times New Roman" w:eastAsia="仿宋"/>
                <w:szCs w:val="21"/>
              </w:rPr>
            </w:pPr>
            <w:r>
              <w:rPr>
                <w:rFonts w:ascii="Times New Roman" w:eastAsia="仿宋"/>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14:paraId="6F3D5DBA">
            <w:pPr>
              <w:adjustRightInd w:val="0"/>
              <w:snapToGrid w:val="0"/>
              <w:jc w:val="center"/>
              <w:rPr>
                <w:rFonts w:ascii="Times New Roman" w:eastAsia="仿宋"/>
                <w:szCs w:val="21"/>
              </w:rPr>
            </w:pPr>
            <w:r>
              <w:rPr>
                <w:rFonts w:ascii="Times New Roman" w:eastAsia="仿宋"/>
                <w:szCs w:val="21"/>
              </w:rPr>
              <w:t>/</w:t>
            </w:r>
          </w:p>
        </w:tc>
      </w:tr>
      <w:tr w14:paraId="0157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right w:val="single" w:color="auto" w:sz="4" w:space="0"/>
            </w:tcBorders>
            <w:vAlign w:val="center"/>
          </w:tcPr>
          <w:p w14:paraId="6BB7B928">
            <w:pPr>
              <w:adjustRightInd w:val="0"/>
              <w:snapToGrid w:val="0"/>
              <w:jc w:val="center"/>
              <w:rPr>
                <w:rFonts w:ascii="Times New Roman" w:eastAsia="仿宋"/>
                <w:szCs w:val="21"/>
              </w:rPr>
            </w:pPr>
          </w:p>
        </w:tc>
        <w:tc>
          <w:tcPr>
            <w:tcW w:w="8320" w:type="dxa"/>
            <w:gridSpan w:val="8"/>
            <w:tcBorders>
              <w:top w:val="single" w:color="auto" w:sz="4" w:space="0"/>
              <w:left w:val="single" w:color="auto" w:sz="4" w:space="0"/>
              <w:bottom w:val="single" w:color="auto" w:sz="4" w:space="0"/>
              <w:right w:val="single" w:color="auto" w:sz="4" w:space="0"/>
            </w:tcBorders>
            <w:vAlign w:val="center"/>
          </w:tcPr>
          <w:p w14:paraId="5F186D10">
            <w:pPr>
              <w:adjustRightInd w:val="0"/>
              <w:snapToGrid w:val="0"/>
              <w:jc w:val="center"/>
              <w:rPr>
                <w:rFonts w:ascii="Times New Roman" w:eastAsia="仿宋"/>
                <w:szCs w:val="21"/>
              </w:rPr>
            </w:pPr>
            <w:r>
              <w:rPr>
                <w:rFonts w:ascii="Times New Roman" w:eastAsia="仿宋"/>
                <w:szCs w:val="21"/>
              </w:rPr>
              <w:t>内陆水体排放点下游10km（近岸海域一个潮周期最大水平距离两倍）范围内敏感目标</w:t>
            </w:r>
          </w:p>
        </w:tc>
      </w:tr>
      <w:tr w14:paraId="6DF3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right w:val="single" w:color="auto" w:sz="4" w:space="0"/>
            </w:tcBorders>
            <w:vAlign w:val="center"/>
          </w:tcPr>
          <w:p w14:paraId="5A7A6ECE">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7BCB318">
            <w:pPr>
              <w:adjustRightInd w:val="0"/>
              <w:snapToGrid w:val="0"/>
              <w:jc w:val="center"/>
              <w:rPr>
                <w:rFonts w:ascii="Times New Roman" w:eastAsia="仿宋"/>
                <w:szCs w:val="21"/>
              </w:rPr>
            </w:pPr>
            <w:r>
              <w:rPr>
                <w:rFonts w:ascii="Times New Roman" w:eastAsia="仿宋"/>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0CC481A6">
            <w:pPr>
              <w:adjustRightInd w:val="0"/>
              <w:snapToGrid w:val="0"/>
              <w:jc w:val="center"/>
              <w:rPr>
                <w:rFonts w:ascii="Times New Roman" w:eastAsia="仿宋"/>
                <w:szCs w:val="21"/>
              </w:rPr>
            </w:pPr>
            <w:r>
              <w:rPr>
                <w:rFonts w:ascii="Times New Roman" w:eastAsia="仿宋"/>
                <w:szCs w:val="21"/>
              </w:rPr>
              <w:t>敏感目标名称</w:t>
            </w:r>
          </w:p>
        </w:tc>
        <w:tc>
          <w:tcPr>
            <w:tcW w:w="849" w:type="dxa"/>
            <w:tcBorders>
              <w:top w:val="single" w:color="auto" w:sz="4" w:space="0"/>
              <w:left w:val="single" w:color="auto" w:sz="4" w:space="0"/>
              <w:bottom w:val="single" w:color="auto" w:sz="4" w:space="0"/>
              <w:right w:val="single" w:color="auto" w:sz="4" w:space="0"/>
            </w:tcBorders>
            <w:vAlign w:val="center"/>
          </w:tcPr>
          <w:p w14:paraId="2885982B">
            <w:pPr>
              <w:adjustRightInd w:val="0"/>
              <w:snapToGrid w:val="0"/>
              <w:jc w:val="center"/>
              <w:rPr>
                <w:rFonts w:ascii="Times New Roman" w:eastAsia="仿宋"/>
                <w:szCs w:val="21"/>
              </w:rPr>
            </w:pPr>
            <w:r>
              <w:rPr>
                <w:rFonts w:ascii="Times New Roman" w:eastAsia="仿宋"/>
                <w:szCs w:val="21"/>
              </w:rPr>
              <w:t>环境敏感特征</w:t>
            </w:r>
          </w:p>
        </w:tc>
        <w:tc>
          <w:tcPr>
            <w:tcW w:w="1269" w:type="dxa"/>
            <w:gridSpan w:val="2"/>
            <w:tcBorders>
              <w:top w:val="single" w:color="auto" w:sz="4" w:space="0"/>
              <w:left w:val="single" w:color="auto" w:sz="4" w:space="0"/>
              <w:bottom w:val="single" w:color="auto" w:sz="4" w:space="0"/>
              <w:right w:val="single" w:color="auto" w:sz="4" w:space="0"/>
            </w:tcBorders>
            <w:vAlign w:val="center"/>
          </w:tcPr>
          <w:p w14:paraId="4598FCA9">
            <w:pPr>
              <w:adjustRightInd w:val="0"/>
              <w:snapToGrid w:val="0"/>
              <w:jc w:val="center"/>
              <w:rPr>
                <w:rFonts w:ascii="Times New Roman" w:eastAsia="仿宋"/>
                <w:szCs w:val="21"/>
              </w:rPr>
            </w:pPr>
            <w:r>
              <w:rPr>
                <w:rFonts w:ascii="Times New Roman" w:eastAsia="仿宋"/>
                <w:szCs w:val="21"/>
              </w:rPr>
              <w:t>水质目标</w:t>
            </w:r>
          </w:p>
        </w:tc>
        <w:tc>
          <w:tcPr>
            <w:tcW w:w="3552" w:type="dxa"/>
            <w:gridSpan w:val="3"/>
            <w:tcBorders>
              <w:top w:val="single" w:color="auto" w:sz="4" w:space="0"/>
              <w:left w:val="single" w:color="auto" w:sz="4" w:space="0"/>
              <w:bottom w:val="single" w:color="auto" w:sz="4" w:space="0"/>
              <w:right w:val="single" w:color="auto" w:sz="4" w:space="0"/>
            </w:tcBorders>
            <w:vAlign w:val="center"/>
          </w:tcPr>
          <w:p w14:paraId="397BAB88">
            <w:pPr>
              <w:adjustRightInd w:val="0"/>
              <w:snapToGrid w:val="0"/>
              <w:jc w:val="center"/>
              <w:rPr>
                <w:rFonts w:ascii="Times New Roman" w:eastAsia="仿宋"/>
                <w:szCs w:val="21"/>
              </w:rPr>
            </w:pPr>
            <w:r>
              <w:rPr>
                <w:rFonts w:ascii="Times New Roman" w:eastAsia="仿宋"/>
                <w:szCs w:val="21"/>
              </w:rPr>
              <w:t>与排放点距离/m</w:t>
            </w:r>
          </w:p>
        </w:tc>
      </w:tr>
      <w:tr w14:paraId="61BD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right w:val="single" w:color="auto" w:sz="4" w:space="0"/>
            </w:tcBorders>
            <w:vAlign w:val="center"/>
          </w:tcPr>
          <w:p w14:paraId="464DE072">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5DC94B8D">
            <w:pPr>
              <w:adjustRightInd w:val="0"/>
              <w:snapToGrid w:val="0"/>
              <w:jc w:val="center"/>
              <w:rPr>
                <w:rFonts w:ascii="Times New Roman" w:eastAsia="仿宋"/>
                <w:szCs w:val="21"/>
              </w:rPr>
            </w:pPr>
            <w:r>
              <w:rPr>
                <w:rFonts w:ascii="Times New Roman" w:eastAsia="仿宋"/>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14:paraId="79F95D6E">
            <w:pPr>
              <w:adjustRightInd w:val="0"/>
              <w:snapToGrid w:val="0"/>
              <w:jc w:val="center"/>
              <w:rPr>
                <w:rFonts w:ascii="Times New Roman" w:eastAsia="仿宋"/>
                <w:szCs w:val="21"/>
              </w:rPr>
            </w:pPr>
            <w:r>
              <w:rPr>
                <w:rFonts w:ascii="Times New Roman" w:eastAsia="仿宋"/>
                <w:szCs w:val="21"/>
              </w:rPr>
              <w:t>通济河</w:t>
            </w:r>
          </w:p>
        </w:tc>
        <w:tc>
          <w:tcPr>
            <w:tcW w:w="849" w:type="dxa"/>
            <w:tcBorders>
              <w:top w:val="single" w:color="auto" w:sz="4" w:space="0"/>
              <w:left w:val="single" w:color="auto" w:sz="4" w:space="0"/>
              <w:bottom w:val="single" w:color="auto" w:sz="4" w:space="0"/>
              <w:right w:val="single" w:color="auto" w:sz="4" w:space="0"/>
            </w:tcBorders>
            <w:vAlign w:val="center"/>
          </w:tcPr>
          <w:p w14:paraId="58C13437">
            <w:pPr>
              <w:adjustRightInd w:val="0"/>
              <w:snapToGrid w:val="0"/>
              <w:jc w:val="center"/>
              <w:rPr>
                <w:rFonts w:ascii="Times New Roman" w:eastAsia="仿宋"/>
                <w:szCs w:val="21"/>
              </w:rPr>
            </w:pPr>
            <w:r>
              <w:rPr>
                <w:rFonts w:hint="eastAsia" w:ascii="Times New Roman" w:eastAsia="仿宋"/>
                <w:szCs w:val="21"/>
              </w:rPr>
              <w:t>/</w:t>
            </w:r>
          </w:p>
        </w:tc>
        <w:tc>
          <w:tcPr>
            <w:tcW w:w="1269" w:type="dxa"/>
            <w:gridSpan w:val="2"/>
            <w:tcBorders>
              <w:top w:val="single" w:color="auto" w:sz="4" w:space="0"/>
              <w:left w:val="single" w:color="auto" w:sz="4" w:space="0"/>
              <w:bottom w:val="single" w:color="auto" w:sz="4" w:space="0"/>
              <w:right w:val="single" w:color="auto" w:sz="4" w:space="0"/>
            </w:tcBorders>
            <w:vAlign w:val="center"/>
          </w:tcPr>
          <w:p w14:paraId="6BBFF9C5">
            <w:pPr>
              <w:adjustRightInd w:val="0"/>
              <w:snapToGrid w:val="0"/>
              <w:jc w:val="center"/>
              <w:rPr>
                <w:rFonts w:ascii="Times New Roman" w:eastAsia="仿宋"/>
                <w:szCs w:val="21"/>
              </w:rPr>
            </w:pPr>
            <w:r>
              <w:rPr>
                <w:rFonts w:hint="eastAsia" w:ascii="Times New Roman" w:eastAsia="仿宋"/>
                <w:szCs w:val="21"/>
              </w:rPr>
              <w:t>Ⅳ</w:t>
            </w:r>
          </w:p>
        </w:tc>
        <w:tc>
          <w:tcPr>
            <w:tcW w:w="3552" w:type="dxa"/>
            <w:gridSpan w:val="3"/>
            <w:tcBorders>
              <w:top w:val="single" w:color="auto" w:sz="4" w:space="0"/>
              <w:left w:val="single" w:color="auto" w:sz="4" w:space="0"/>
              <w:bottom w:val="single" w:color="auto" w:sz="4" w:space="0"/>
              <w:right w:val="single" w:color="auto" w:sz="4" w:space="0"/>
            </w:tcBorders>
            <w:vAlign w:val="center"/>
          </w:tcPr>
          <w:p w14:paraId="021B6281">
            <w:pPr>
              <w:adjustRightInd w:val="0"/>
              <w:snapToGrid w:val="0"/>
              <w:jc w:val="center"/>
              <w:rPr>
                <w:rFonts w:ascii="Times New Roman" w:eastAsia="仿宋"/>
                <w:szCs w:val="21"/>
              </w:rPr>
            </w:pPr>
            <w:r>
              <w:rPr>
                <w:rFonts w:ascii="Times New Roman" w:eastAsia="仿宋"/>
                <w:szCs w:val="21"/>
              </w:rPr>
              <w:t>1400</w:t>
            </w:r>
          </w:p>
        </w:tc>
      </w:tr>
      <w:tr w14:paraId="18CD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left w:val="single" w:color="auto" w:sz="4" w:space="0"/>
              <w:bottom w:val="single" w:color="auto" w:sz="4" w:space="0"/>
              <w:right w:val="single" w:color="auto" w:sz="4" w:space="0"/>
            </w:tcBorders>
            <w:vAlign w:val="center"/>
          </w:tcPr>
          <w:p w14:paraId="188E4C21">
            <w:pPr>
              <w:adjustRightInd w:val="0"/>
              <w:snapToGrid w:val="0"/>
              <w:jc w:val="center"/>
              <w:rPr>
                <w:rFonts w:ascii="Times New Roman" w:eastAsia="仿宋"/>
                <w:szCs w:val="21"/>
              </w:rPr>
            </w:pPr>
          </w:p>
        </w:tc>
        <w:tc>
          <w:tcPr>
            <w:tcW w:w="6194" w:type="dxa"/>
            <w:gridSpan w:val="7"/>
            <w:tcBorders>
              <w:top w:val="single" w:color="auto" w:sz="4" w:space="0"/>
              <w:left w:val="single" w:color="auto" w:sz="4" w:space="0"/>
              <w:bottom w:val="single" w:color="auto" w:sz="4" w:space="0"/>
              <w:right w:val="single" w:color="auto" w:sz="4" w:space="0"/>
            </w:tcBorders>
            <w:vAlign w:val="center"/>
          </w:tcPr>
          <w:p w14:paraId="2C95B132">
            <w:pPr>
              <w:adjustRightInd w:val="0"/>
              <w:snapToGrid w:val="0"/>
              <w:jc w:val="center"/>
              <w:rPr>
                <w:rFonts w:ascii="Times New Roman" w:eastAsia="仿宋"/>
                <w:szCs w:val="21"/>
              </w:rPr>
            </w:pPr>
            <w:r>
              <w:rPr>
                <w:rFonts w:ascii="Times New Roman" w:eastAsia="仿宋"/>
                <w:szCs w:val="21"/>
              </w:rPr>
              <w:t>地表水环境敏感程度E值</w:t>
            </w:r>
          </w:p>
        </w:tc>
        <w:tc>
          <w:tcPr>
            <w:tcW w:w="2126" w:type="dxa"/>
            <w:tcBorders>
              <w:top w:val="single" w:color="auto" w:sz="4" w:space="0"/>
              <w:left w:val="single" w:color="auto" w:sz="4" w:space="0"/>
              <w:bottom w:val="single" w:color="auto" w:sz="4" w:space="0"/>
              <w:right w:val="single" w:color="auto" w:sz="4" w:space="0"/>
            </w:tcBorders>
            <w:vAlign w:val="center"/>
          </w:tcPr>
          <w:p w14:paraId="2F7632DD">
            <w:pPr>
              <w:adjustRightInd w:val="0"/>
              <w:snapToGrid w:val="0"/>
              <w:jc w:val="center"/>
              <w:rPr>
                <w:rFonts w:ascii="Times New Roman" w:eastAsia="仿宋"/>
                <w:szCs w:val="21"/>
              </w:rPr>
            </w:pPr>
            <w:r>
              <w:rPr>
                <w:rFonts w:ascii="Times New Roman" w:eastAsia="仿宋"/>
                <w:szCs w:val="21"/>
              </w:rPr>
              <w:t>E3</w:t>
            </w:r>
          </w:p>
        </w:tc>
      </w:tr>
      <w:tr w14:paraId="3B06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14:paraId="2FD71D57">
            <w:pPr>
              <w:adjustRightInd w:val="0"/>
              <w:snapToGrid w:val="0"/>
              <w:jc w:val="center"/>
              <w:rPr>
                <w:rFonts w:ascii="Times New Roman" w:eastAsia="仿宋"/>
                <w:szCs w:val="21"/>
              </w:rPr>
            </w:pPr>
            <w:r>
              <w:rPr>
                <w:rFonts w:ascii="Times New Roman" w:eastAsia="仿宋"/>
                <w:szCs w:val="21"/>
              </w:rPr>
              <w:t>地下水</w:t>
            </w:r>
          </w:p>
        </w:tc>
        <w:tc>
          <w:tcPr>
            <w:tcW w:w="524" w:type="dxa"/>
            <w:tcBorders>
              <w:top w:val="single" w:color="auto" w:sz="4" w:space="0"/>
              <w:left w:val="single" w:color="auto" w:sz="4" w:space="0"/>
              <w:bottom w:val="single" w:color="auto" w:sz="4" w:space="0"/>
              <w:right w:val="single" w:color="auto" w:sz="4" w:space="0"/>
            </w:tcBorders>
            <w:vAlign w:val="center"/>
          </w:tcPr>
          <w:p w14:paraId="281090FE">
            <w:pPr>
              <w:adjustRightInd w:val="0"/>
              <w:snapToGrid w:val="0"/>
              <w:jc w:val="center"/>
              <w:rPr>
                <w:rFonts w:ascii="Times New Roman" w:eastAsia="仿宋"/>
                <w:szCs w:val="21"/>
              </w:rPr>
            </w:pPr>
            <w:r>
              <w:rPr>
                <w:rFonts w:ascii="Times New Roman" w:eastAsia="仿宋"/>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059EE18E">
            <w:pPr>
              <w:adjustRightInd w:val="0"/>
              <w:snapToGrid w:val="0"/>
              <w:jc w:val="center"/>
              <w:rPr>
                <w:rFonts w:ascii="Times New Roman" w:eastAsia="仿宋"/>
                <w:szCs w:val="21"/>
              </w:rPr>
            </w:pPr>
            <w:r>
              <w:rPr>
                <w:rFonts w:ascii="Times New Roman" w:eastAsia="仿宋"/>
                <w:szCs w:val="21"/>
              </w:rPr>
              <w:t>环境敏感区名称</w:t>
            </w:r>
          </w:p>
        </w:tc>
        <w:tc>
          <w:tcPr>
            <w:tcW w:w="849" w:type="dxa"/>
            <w:tcBorders>
              <w:top w:val="single" w:color="auto" w:sz="4" w:space="0"/>
              <w:left w:val="single" w:color="auto" w:sz="4" w:space="0"/>
              <w:bottom w:val="single" w:color="auto" w:sz="4" w:space="0"/>
              <w:right w:val="single" w:color="auto" w:sz="4" w:space="0"/>
            </w:tcBorders>
            <w:vAlign w:val="center"/>
          </w:tcPr>
          <w:p w14:paraId="608565A7">
            <w:pPr>
              <w:adjustRightInd w:val="0"/>
              <w:snapToGrid w:val="0"/>
              <w:jc w:val="center"/>
              <w:rPr>
                <w:rFonts w:ascii="Times New Roman" w:eastAsia="仿宋"/>
                <w:szCs w:val="21"/>
              </w:rPr>
            </w:pPr>
            <w:r>
              <w:rPr>
                <w:rFonts w:ascii="Times New Roman" w:eastAsia="仿宋"/>
                <w:szCs w:val="21"/>
              </w:rPr>
              <w:t>环境敏感特征</w:t>
            </w:r>
          </w:p>
        </w:tc>
        <w:tc>
          <w:tcPr>
            <w:tcW w:w="1269" w:type="dxa"/>
            <w:gridSpan w:val="2"/>
            <w:tcBorders>
              <w:top w:val="single" w:color="auto" w:sz="4" w:space="0"/>
              <w:left w:val="single" w:color="auto" w:sz="4" w:space="0"/>
              <w:bottom w:val="single" w:color="auto" w:sz="4" w:space="0"/>
              <w:right w:val="single" w:color="auto" w:sz="4" w:space="0"/>
            </w:tcBorders>
            <w:vAlign w:val="center"/>
          </w:tcPr>
          <w:p w14:paraId="1875E0AA">
            <w:pPr>
              <w:adjustRightInd w:val="0"/>
              <w:snapToGrid w:val="0"/>
              <w:jc w:val="center"/>
              <w:rPr>
                <w:rFonts w:ascii="Times New Roman" w:eastAsia="仿宋"/>
                <w:szCs w:val="21"/>
              </w:rPr>
            </w:pPr>
            <w:r>
              <w:rPr>
                <w:rFonts w:ascii="Times New Roman" w:eastAsia="仿宋"/>
                <w:szCs w:val="21"/>
              </w:rPr>
              <w:t>水质目标</w:t>
            </w:r>
          </w:p>
        </w:tc>
        <w:tc>
          <w:tcPr>
            <w:tcW w:w="1426" w:type="dxa"/>
            <w:gridSpan w:val="2"/>
            <w:tcBorders>
              <w:top w:val="single" w:color="auto" w:sz="4" w:space="0"/>
              <w:left w:val="single" w:color="auto" w:sz="4" w:space="0"/>
              <w:bottom w:val="single" w:color="auto" w:sz="4" w:space="0"/>
              <w:right w:val="single" w:color="auto" w:sz="4" w:space="0"/>
            </w:tcBorders>
            <w:vAlign w:val="center"/>
          </w:tcPr>
          <w:p w14:paraId="5CB3A624">
            <w:pPr>
              <w:adjustRightInd w:val="0"/>
              <w:snapToGrid w:val="0"/>
              <w:jc w:val="center"/>
              <w:rPr>
                <w:rFonts w:ascii="Times New Roman" w:eastAsia="仿宋"/>
                <w:szCs w:val="21"/>
              </w:rPr>
            </w:pPr>
            <w:r>
              <w:rPr>
                <w:rFonts w:ascii="Times New Roman" w:eastAsia="仿宋"/>
                <w:szCs w:val="21"/>
              </w:rPr>
              <w:t>包气带防污性能</w:t>
            </w:r>
          </w:p>
        </w:tc>
        <w:tc>
          <w:tcPr>
            <w:tcW w:w="2126" w:type="dxa"/>
            <w:tcBorders>
              <w:top w:val="single" w:color="auto" w:sz="4" w:space="0"/>
              <w:left w:val="single" w:color="auto" w:sz="4" w:space="0"/>
              <w:bottom w:val="single" w:color="auto" w:sz="4" w:space="0"/>
              <w:right w:val="single" w:color="auto" w:sz="4" w:space="0"/>
            </w:tcBorders>
            <w:vAlign w:val="center"/>
          </w:tcPr>
          <w:p w14:paraId="58B2821C">
            <w:pPr>
              <w:adjustRightInd w:val="0"/>
              <w:snapToGrid w:val="0"/>
              <w:jc w:val="center"/>
              <w:rPr>
                <w:rFonts w:ascii="Times New Roman" w:eastAsia="仿宋"/>
                <w:szCs w:val="21"/>
              </w:rPr>
            </w:pPr>
            <w:r>
              <w:rPr>
                <w:rFonts w:ascii="Times New Roman" w:eastAsia="仿宋"/>
                <w:szCs w:val="21"/>
              </w:rPr>
              <w:t>与下游厂界距离</w:t>
            </w:r>
          </w:p>
          <w:p w14:paraId="1688B54A">
            <w:pPr>
              <w:adjustRightInd w:val="0"/>
              <w:snapToGrid w:val="0"/>
              <w:jc w:val="center"/>
              <w:rPr>
                <w:rFonts w:ascii="Times New Roman" w:eastAsia="仿宋"/>
                <w:szCs w:val="21"/>
              </w:rPr>
            </w:pPr>
            <w:r>
              <w:rPr>
                <w:rFonts w:ascii="Times New Roman" w:eastAsia="仿宋"/>
                <w:szCs w:val="21"/>
              </w:rPr>
              <w:t>（m）</w:t>
            </w:r>
          </w:p>
        </w:tc>
      </w:tr>
      <w:tr w14:paraId="7B1D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470430F6">
            <w:pPr>
              <w:adjustRightInd w:val="0"/>
              <w:snapToGrid w:val="0"/>
              <w:jc w:val="center"/>
              <w:rPr>
                <w:rFonts w:ascii="Times New Roman" w:eastAsia="仿宋"/>
                <w:szCs w:val="21"/>
              </w:rPr>
            </w:pPr>
          </w:p>
        </w:tc>
        <w:tc>
          <w:tcPr>
            <w:tcW w:w="524" w:type="dxa"/>
            <w:tcBorders>
              <w:top w:val="single" w:color="auto" w:sz="4" w:space="0"/>
              <w:left w:val="single" w:color="auto" w:sz="4" w:space="0"/>
              <w:bottom w:val="single" w:color="auto" w:sz="4" w:space="0"/>
              <w:right w:val="single" w:color="auto" w:sz="4" w:space="0"/>
            </w:tcBorders>
            <w:vAlign w:val="center"/>
          </w:tcPr>
          <w:p w14:paraId="29A36281">
            <w:pPr>
              <w:adjustRightInd w:val="0"/>
              <w:snapToGrid w:val="0"/>
              <w:jc w:val="center"/>
              <w:rPr>
                <w:rFonts w:ascii="Times New Roman" w:eastAsia="仿宋"/>
                <w:szCs w:val="21"/>
              </w:rPr>
            </w:pPr>
            <w:r>
              <w:rPr>
                <w:rFonts w:ascii="Times New Roman" w:eastAsia="仿宋"/>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14:paraId="448082A0">
            <w:pPr>
              <w:adjustRightInd w:val="0"/>
              <w:snapToGrid w:val="0"/>
              <w:jc w:val="center"/>
              <w:rPr>
                <w:rFonts w:ascii="Times New Roman" w:eastAsia="仿宋"/>
                <w:szCs w:val="21"/>
              </w:rPr>
            </w:pPr>
            <w:r>
              <w:rPr>
                <w:rFonts w:ascii="Times New Roman" w:eastAsia="仿宋"/>
                <w:szCs w:val="21"/>
              </w:rPr>
              <w:t>周边10km</w:t>
            </w:r>
            <w:r>
              <w:rPr>
                <w:rFonts w:ascii="Times New Roman" w:eastAsia="仿宋"/>
                <w:szCs w:val="21"/>
                <w:vertAlign w:val="superscript"/>
              </w:rPr>
              <w:t>2</w:t>
            </w:r>
            <w:r>
              <w:rPr>
                <w:rFonts w:ascii="Times New Roman" w:eastAsia="仿宋"/>
                <w:szCs w:val="21"/>
              </w:rPr>
              <w:t>范围内潜水层和可能受建设项目影响且具有饮用水开发利用价值的含水层</w:t>
            </w:r>
          </w:p>
        </w:tc>
        <w:tc>
          <w:tcPr>
            <w:tcW w:w="849" w:type="dxa"/>
            <w:tcBorders>
              <w:top w:val="single" w:color="auto" w:sz="4" w:space="0"/>
              <w:left w:val="single" w:color="auto" w:sz="4" w:space="0"/>
              <w:bottom w:val="single" w:color="auto" w:sz="4" w:space="0"/>
              <w:right w:val="single" w:color="auto" w:sz="4" w:space="0"/>
            </w:tcBorders>
            <w:vAlign w:val="center"/>
          </w:tcPr>
          <w:p w14:paraId="6E3D5E4A">
            <w:pPr>
              <w:adjustRightInd w:val="0"/>
              <w:snapToGrid w:val="0"/>
              <w:jc w:val="center"/>
              <w:rPr>
                <w:rFonts w:ascii="Times New Roman" w:eastAsia="仿宋"/>
                <w:szCs w:val="21"/>
              </w:rPr>
            </w:pPr>
            <w:r>
              <w:rPr>
                <w:rFonts w:ascii="Times New Roman" w:eastAsia="仿宋"/>
                <w:szCs w:val="21"/>
              </w:rPr>
              <w:t>不敏感</w:t>
            </w:r>
          </w:p>
        </w:tc>
        <w:tc>
          <w:tcPr>
            <w:tcW w:w="1269" w:type="dxa"/>
            <w:gridSpan w:val="2"/>
            <w:tcBorders>
              <w:top w:val="single" w:color="auto" w:sz="4" w:space="0"/>
              <w:left w:val="single" w:color="auto" w:sz="4" w:space="0"/>
              <w:bottom w:val="single" w:color="auto" w:sz="4" w:space="0"/>
              <w:right w:val="single" w:color="auto" w:sz="4" w:space="0"/>
            </w:tcBorders>
            <w:vAlign w:val="center"/>
          </w:tcPr>
          <w:p w14:paraId="2DF2BAD5">
            <w:pPr>
              <w:adjustRightInd w:val="0"/>
              <w:snapToGrid w:val="0"/>
              <w:jc w:val="center"/>
              <w:rPr>
                <w:rFonts w:ascii="Times New Roman" w:eastAsia="仿宋"/>
                <w:szCs w:val="21"/>
              </w:rPr>
            </w:pPr>
            <w:r>
              <w:rPr>
                <w:rFonts w:ascii="Times New Roman" w:eastAsia="仿宋"/>
                <w:szCs w:val="21"/>
              </w:rPr>
              <w:t>/</w:t>
            </w:r>
          </w:p>
        </w:tc>
        <w:tc>
          <w:tcPr>
            <w:tcW w:w="1426" w:type="dxa"/>
            <w:gridSpan w:val="2"/>
            <w:tcBorders>
              <w:top w:val="single" w:color="auto" w:sz="4" w:space="0"/>
              <w:left w:val="single" w:color="auto" w:sz="4" w:space="0"/>
              <w:bottom w:val="single" w:color="auto" w:sz="4" w:space="0"/>
              <w:right w:val="single" w:color="auto" w:sz="4" w:space="0"/>
            </w:tcBorders>
            <w:vAlign w:val="center"/>
          </w:tcPr>
          <w:p w14:paraId="18D4651F">
            <w:pPr>
              <w:adjustRightInd w:val="0"/>
              <w:snapToGrid w:val="0"/>
              <w:jc w:val="center"/>
              <w:rPr>
                <w:rFonts w:ascii="Times New Roman" w:eastAsia="仿宋"/>
                <w:szCs w:val="21"/>
              </w:rPr>
            </w:pPr>
            <w:r>
              <w:rPr>
                <w:rFonts w:ascii="Times New Roman" w:eastAsia="仿宋"/>
                <w:szCs w:val="21"/>
              </w:rPr>
              <w:t>中</w:t>
            </w:r>
          </w:p>
        </w:tc>
        <w:tc>
          <w:tcPr>
            <w:tcW w:w="2126" w:type="dxa"/>
            <w:tcBorders>
              <w:top w:val="single" w:color="auto" w:sz="4" w:space="0"/>
              <w:left w:val="single" w:color="auto" w:sz="4" w:space="0"/>
              <w:bottom w:val="single" w:color="auto" w:sz="4" w:space="0"/>
              <w:right w:val="single" w:color="auto" w:sz="4" w:space="0"/>
            </w:tcBorders>
            <w:vAlign w:val="center"/>
          </w:tcPr>
          <w:p w14:paraId="46CBE896">
            <w:pPr>
              <w:adjustRightInd w:val="0"/>
              <w:snapToGrid w:val="0"/>
              <w:jc w:val="center"/>
              <w:rPr>
                <w:rFonts w:ascii="Times New Roman" w:eastAsia="仿宋"/>
                <w:szCs w:val="21"/>
              </w:rPr>
            </w:pPr>
            <w:r>
              <w:rPr>
                <w:rFonts w:ascii="Times New Roman" w:eastAsia="仿宋"/>
                <w:szCs w:val="21"/>
              </w:rPr>
              <w:t>/</w:t>
            </w:r>
          </w:p>
        </w:tc>
      </w:tr>
      <w:tr w14:paraId="7F90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14:paraId="1CF862F5">
            <w:pPr>
              <w:adjustRightInd w:val="0"/>
              <w:snapToGrid w:val="0"/>
              <w:jc w:val="center"/>
              <w:rPr>
                <w:rFonts w:ascii="Times New Roman" w:eastAsia="仿宋"/>
                <w:szCs w:val="21"/>
              </w:rPr>
            </w:pPr>
          </w:p>
        </w:tc>
        <w:tc>
          <w:tcPr>
            <w:tcW w:w="6194" w:type="dxa"/>
            <w:gridSpan w:val="7"/>
            <w:tcBorders>
              <w:top w:val="single" w:color="auto" w:sz="4" w:space="0"/>
              <w:left w:val="single" w:color="auto" w:sz="4" w:space="0"/>
              <w:bottom w:val="single" w:color="auto" w:sz="4" w:space="0"/>
              <w:right w:val="single" w:color="auto" w:sz="4" w:space="0"/>
            </w:tcBorders>
            <w:vAlign w:val="center"/>
          </w:tcPr>
          <w:p w14:paraId="28020C8A">
            <w:pPr>
              <w:adjustRightInd w:val="0"/>
              <w:snapToGrid w:val="0"/>
              <w:jc w:val="center"/>
              <w:rPr>
                <w:rFonts w:ascii="Times New Roman" w:eastAsia="仿宋"/>
                <w:szCs w:val="21"/>
              </w:rPr>
            </w:pPr>
            <w:r>
              <w:rPr>
                <w:rFonts w:ascii="Times New Roman" w:eastAsia="仿宋"/>
                <w:szCs w:val="21"/>
              </w:rPr>
              <w:t>地下水环境敏感程度E值</w:t>
            </w:r>
          </w:p>
        </w:tc>
        <w:tc>
          <w:tcPr>
            <w:tcW w:w="2126" w:type="dxa"/>
            <w:tcBorders>
              <w:top w:val="single" w:color="auto" w:sz="4" w:space="0"/>
              <w:left w:val="single" w:color="auto" w:sz="4" w:space="0"/>
              <w:bottom w:val="single" w:color="auto" w:sz="4" w:space="0"/>
              <w:right w:val="single" w:color="auto" w:sz="4" w:space="0"/>
            </w:tcBorders>
            <w:vAlign w:val="center"/>
          </w:tcPr>
          <w:p w14:paraId="524D085B">
            <w:pPr>
              <w:adjustRightInd w:val="0"/>
              <w:snapToGrid w:val="0"/>
              <w:jc w:val="center"/>
              <w:rPr>
                <w:rFonts w:ascii="Times New Roman" w:eastAsia="仿宋"/>
                <w:szCs w:val="21"/>
              </w:rPr>
            </w:pPr>
            <w:r>
              <w:rPr>
                <w:rFonts w:ascii="Times New Roman" w:eastAsia="仿宋"/>
                <w:szCs w:val="21"/>
              </w:rPr>
              <w:t>E3</w:t>
            </w:r>
          </w:p>
        </w:tc>
      </w:tr>
    </w:tbl>
    <w:p w14:paraId="144AF6BD">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.3.1.3环境风险潜势划分</w:t>
      </w:r>
    </w:p>
    <w:p w14:paraId="22EF7A3F">
      <w:pPr>
        <w:adjustRightInd w:val="0"/>
        <w:snapToGrid w:val="0"/>
        <w:spacing w:line="500" w:lineRule="exact"/>
        <w:ind w:firstLine="560" w:firstLineChars="200"/>
        <w:rPr>
          <w:rFonts w:eastAsia="仿宋"/>
          <w:sz w:val="28"/>
          <w:szCs w:val="28"/>
        </w:rPr>
      </w:pPr>
      <w:r>
        <w:rPr>
          <w:rFonts w:eastAsia="仿宋"/>
          <w:sz w:val="28"/>
        </w:rPr>
        <w:t>企业环境风险评价工作级别判定见下表。</w:t>
      </w:r>
    </w:p>
    <w:p w14:paraId="59406657">
      <w:pPr>
        <w:spacing w:line="500" w:lineRule="exact"/>
        <w:ind w:firstLine="482" w:firstLineChars="200"/>
        <w:jc w:val="center"/>
        <w:rPr>
          <w:rFonts w:ascii="Times New Roman" w:eastAsia="仿宋"/>
          <w:b/>
        </w:rPr>
      </w:pPr>
      <w:r>
        <w:rPr>
          <w:rFonts w:ascii="Times New Roman" w:eastAsia="仿宋"/>
          <w:b/>
        </w:rPr>
        <w:t>表</w:t>
      </w:r>
      <w:r>
        <w:rPr>
          <w:rFonts w:hint="eastAsia" w:ascii="Times New Roman" w:eastAsia="仿宋"/>
          <w:b/>
        </w:rPr>
        <w:t>5.3-15</w:t>
      </w:r>
      <w:r>
        <w:rPr>
          <w:rFonts w:ascii="Times New Roman" w:eastAsia="仿宋"/>
          <w:b/>
        </w:rPr>
        <w:t xml:space="preserve">  环境风险评价工作级别判定标准表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9"/>
        <w:gridCol w:w="1605"/>
        <w:gridCol w:w="1847"/>
        <w:gridCol w:w="1847"/>
        <w:gridCol w:w="1108"/>
      </w:tblGrid>
      <w:tr w14:paraId="20A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 w:hRule="atLeast"/>
          <w:jc w:val="center"/>
        </w:trPr>
        <w:tc>
          <w:tcPr>
            <w:tcW w:w="1148" w:type="pct"/>
            <w:vAlign w:val="center"/>
          </w:tcPr>
          <w:p w14:paraId="474906E5">
            <w:pPr>
              <w:adjustRightInd w:val="0"/>
              <w:snapToGrid w:val="0"/>
              <w:jc w:val="center"/>
              <w:textAlignment w:val="baseline"/>
              <w:rPr>
                <w:rFonts w:eastAsia="仿宋"/>
                <w:szCs w:val="21"/>
              </w:rPr>
            </w:pPr>
            <w:r>
              <w:rPr>
                <w:rFonts w:eastAsia="仿宋"/>
                <w:szCs w:val="21"/>
              </w:rPr>
              <w:t>环境风险潜势</w:t>
            </w:r>
          </w:p>
        </w:tc>
        <w:tc>
          <w:tcPr>
            <w:tcW w:w="965" w:type="pct"/>
            <w:vAlign w:val="center"/>
          </w:tcPr>
          <w:p w14:paraId="54D5625C">
            <w:pPr>
              <w:adjustRightInd w:val="0"/>
              <w:snapToGrid w:val="0"/>
              <w:jc w:val="center"/>
              <w:textAlignment w:val="baseline"/>
              <w:rPr>
                <w:rFonts w:eastAsia="仿宋"/>
                <w:szCs w:val="21"/>
              </w:rPr>
            </w:pPr>
            <w:r>
              <w:rPr>
                <w:rFonts w:eastAsia="仿宋"/>
                <w:szCs w:val="21"/>
              </w:rPr>
              <w:t>Ⅳ、Ⅳ+</w:t>
            </w:r>
          </w:p>
        </w:tc>
        <w:tc>
          <w:tcPr>
            <w:tcW w:w="1110" w:type="pct"/>
            <w:vAlign w:val="center"/>
          </w:tcPr>
          <w:p w14:paraId="23CB7ED2">
            <w:pPr>
              <w:adjustRightInd w:val="0"/>
              <w:snapToGrid w:val="0"/>
              <w:jc w:val="center"/>
              <w:textAlignment w:val="baseline"/>
              <w:rPr>
                <w:rFonts w:eastAsia="仿宋"/>
                <w:szCs w:val="21"/>
              </w:rPr>
            </w:pPr>
            <w:r>
              <w:rPr>
                <w:rFonts w:eastAsia="仿宋"/>
                <w:szCs w:val="21"/>
              </w:rPr>
              <w:t>Ⅲ</w:t>
            </w:r>
          </w:p>
        </w:tc>
        <w:tc>
          <w:tcPr>
            <w:tcW w:w="1110" w:type="pct"/>
            <w:vAlign w:val="center"/>
          </w:tcPr>
          <w:p w14:paraId="489377F1">
            <w:pPr>
              <w:adjustRightInd w:val="0"/>
              <w:snapToGrid w:val="0"/>
              <w:jc w:val="center"/>
              <w:textAlignment w:val="baseline"/>
              <w:rPr>
                <w:rFonts w:eastAsia="仿宋"/>
                <w:szCs w:val="21"/>
              </w:rPr>
            </w:pPr>
            <w:r>
              <w:rPr>
                <w:rFonts w:eastAsia="仿宋"/>
                <w:szCs w:val="21"/>
              </w:rPr>
              <w:t>Ⅱ</w:t>
            </w:r>
          </w:p>
        </w:tc>
        <w:tc>
          <w:tcPr>
            <w:tcW w:w="666" w:type="pct"/>
            <w:vAlign w:val="center"/>
          </w:tcPr>
          <w:p w14:paraId="110186B3">
            <w:pPr>
              <w:adjustRightInd w:val="0"/>
              <w:snapToGrid w:val="0"/>
              <w:jc w:val="center"/>
              <w:textAlignment w:val="baseline"/>
              <w:rPr>
                <w:rFonts w:eastAsia="仿宋"/>
                <w:szCs w:val="21"/>
              </w:rPr>
            </w:pPr>
            <w:r>
              <w:rPr>
                <w:rFonts w:eastAsia="仿宋"/>
                <w:szCs w:val="21"/>
              </w:rPr>
              <w:t>Ⅰ</w:t>
            </w:r>
          </w:p>
        </w:tc>
      </w:tr>
      <w:tr w14:paraId="5FCB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 w:hRule="atLeast"/>
          <w:jc w:val="center"/>
        </w:trPr>
        <w:tc>
          <w:tcPr>
            <w:tcW w:w="1148" w:type="pct"/>
            <w:vAlign w:val="center"/>
          </w:tcPr>
          <w:p w14:paraId="11C11AB5">
            <w:pPr>
              <w:adjustRightInd w:val="0"/>
              <w:snapToGrid w:val="0"/>
              <w:jc w:val="center"/>
              <w:textAlignment w:val="baseline"/>
              <w:rPr>
                <w:rFonts w:eastAsia="仿宋"/>
                <w:szCs w:val="21"/>
              </w:rPr>
            </w:pPr>
            <w:r>
              <w:rPr>
                <w:rFonts w:eastAsia="仿宋"/>
                <w:szCs w:val="21"/>
              </w:rPr>
              <w:t>评价工作等级</w:t>
            </w:r>
          </w:p>
        </w:tc>
        <w:tc>
          <w:tcPr>
            <w:tcW w:w="965" w:type="pct"/>
            <w:vAlign w:val="center"/>
          </w:tcPr>
          <w:p w14:paraId="512CD960">
            <w:pPr>
              <w:adjustRightInd w:val="0"/>
              <w:snapToGrid w:val="0"/>
              <w:jc w:val="center"/>
              <w:textAlignment w:val="baseline"/>
              <w:rPr>
                <w:rFonts w:eastAsia="仿宋"/>
                <w:szCs w:val="21"/>
              </w:rPr>
            </w:pPr>
            <w:r>
              <w:rPr>
                <w:rFonts w:eastAsia="仿宋"/>
                <w:szCs w:val="21"/>
              </w:rPr>
              <w:t>一</w:t>
            </w:r>
          </w:p>
        </w:tc>
        <w:tc>
          <w:tcPr>
            <w:tcW w:w="1110" w:type="pct"/>
            <w:vAlign w:val="center"/>
          </w:tcPr>
          <w:p w14:paraId="4EFDCB9F">
            <w:pPr>
              <w:adjustRightInd w:val="0"/>
              <w:snapToGrid w:val="0"/>
              <w:jc w:val="center"/>
              <w:textAlignment w:val="baseline"/>
              <w:rPr>
                <w:rFonts w:eastAsia="仿宋"/>
                <w:szCs w:val="21"/>
              </w:rPr>
            </w:pPr>
            <w:r>
              <w:rPr>
                <w:rFonts w:eastAsia="仿宋"/>
                <w:szCs w:val="21"/>
              </w:rPr>
              <w:t>二</w:t>
            </w:r>
          </w:p>
        </w:tc>
        <w:tc>
          <w:tcPr>
            <w:tcW w:w="1110" w:type="pct"/>
            <w:vAlign w:val="center"/>
          </w:tcPr>
          <w:p w14:paraId="5493543E">
            <w:pPr>
              <w:adjustRightInd w:val="0"/>
              <w:snapToGrid w:val="0"/>
              <w:jc w:val="center"/>
              <w:textAlignment w:val="baseline"/>
              <w:rPr>
                <w:rFonts w:eastAsia="仿宋"/>
                <w:szCs w:val="21"/>
              </w:rPr>
            </w:pPr>
            <w:r>
              <w:rPr>
                <w:rFonts w:eastAsia="仿宋"/>
                <w:szCs w:val="21"/>
              </w:rPr>
              <w:t>三</w:t>
            </w:r>
          </w:p>
        </w:tc>
        <w:tc>
          <w:tcPr>
            <w:tcW w:w="666" w:type="pct"/>
            <w:vAlign w:val="center"/>
          </w:tcPr>
          <w:p w14:paraId="05CEEA24">
            <w:pPr>
              <w:adjustRightInd w:val="0"/>
              <w:snapToGrid w:val="0"/>
              <w:jc w:val="center"/>
              <w:textAlignment w:val="baseline"/>
              <w:rPr>
                <w:rFonts w:eastAsia="仿宋"/>
                <w:szCs w:val="21"/>
              </w:rPr>
            </w:pPr>
            <w:r>
              <w:rPr>
                <w:rFonts w:eastAsia="仿宋"/>
                <w:szCs w:val="21"/>
              </w:rPr>
              <w:t>简单分析</w:t>
            </w:r>
            <w:r>
              <w:rPr>
                <w:rFonts w:eastAsia="仿宋"/>
                <w:szCs w:val="21"/>
                <w:vertAlign w:val="superscript"/>
              </w:rPr>
              <w:t>*</w:t>
            </w:r>
          </w:p>
        </w:tc>
      </w:tr>
    </w:tbl>
    <w:p w14:paraId="246D921E">
      <w:pPr>
        <w:adjustRightInd w:val="0"/>
        <w:snapToGrid w:val="0"/>
        <w:ind w:firstLine="480" w:firstLineChars="200"/>
        <w:rPr>
          <w:rFonts w:eastAsia="仿宋"/>
          <w:szCs w:val="21"/>
        </w:rPr>
      </w:pPr>
      <w:r>
        <w:rPr>
          <w:rFonts w:eastAsia="仿宋"/>
          <w:szCs w:val="21"/>
        </w:rPr>
        <w:t>注：简单分析是相对于详细评价工作内容而言，在描述危险物质、环境影响途径、环境危害后果、风险防范措施等方面给出定性的说明。</w:t>
      </w:r>
    </w:p>
    <w:p w14:paraId="2118BEB5">
      <w:pPr>
        <w:pStyle w:val="35"/>
        <w:spacing w:line="500" w:lineRule="exact"/>
        <w:ind w:firstLine="560" w:firstLineChars="200"/>
        <w:rPr>
          <w:rFonts w:eastAsia="仿宋"/>
          <w:sz w:val="28"/>
          <w:szCs w:val="28"/>
        </w:rPr>
      </w:pPr>
      <w:r>
        <w:rPr>
          <w:rFonts w:eastAsia="仿宋"/>
          <w:sz w:val="28"/>
          <w:szCs w:val="28"/>
        </w:rPr>
        <w:t>建设项目环境风险潜势划分为Ⅰ、Ⅱ、Ⅲ、Ⅳ/Ⅳ+级。根据建设项目涉及的物质和工艺系统的危险性（P）及其所在地的环境敏感程度（E），结合事故情形下环境影响途径，对建设项目潜在环境危害程度进行概化分析，企业环境风险潜势确定情况见下表。</w:t>
      </w:r>
    </w:p>
    <w:p w14:paraId="50A2B92C">
      <w:pPr>
        <w:spacing w:line="500" w:lineRule="exact"/>
        <w:ind w:firstLine="482" w:firstLineChars="200"/>
        <w:jc w:val="center"/>
        <w:rPr>
          <w:rFonts w:ascii="Times New Roman" w:eastAsia="仿宋"/>
          <w:b/>
        </w:rPr>
      </w:pPr>
      <w:r>
        <w:rPr>
          <w:rFonts w:hint="eastAsia" w:ascii="Times New Roman" w:eastAsia="仿宋"/>
          <w:b/>
        </w:rPr>
        <w:t xml:space="preserve">表5.3-16 </w:t>
      </w:r>
      <w:r>
        <w:rPr>
          <w:rFonts w:ascii="Times New Roman" w:eastAsia="仿宋"/>
          <w:b/>
        </w:rPr>
        <w:t>企业环境风险潜势</w:t>
      </w:r>
      <w:r>
        <w:rPr>
          <w:rFonts w:hint="eastAsia" w:ascii="Times New Roman" w:eastAsia="仿宋"/>
          <w:b/>
        </w:rPr>
        <w:t>情况表</w:t>
      </w:r>
    </w:p>
    <w:tbl>
      <w:tblPr>
        <w:tblStyle w:val="8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53"/>
        <w:gridCol w:w="1374"/>
        <w:gridCol w:w="1325"/>
        <w:gridCol w:w="1550"/>
        <w:gridCol w:w="1534"/>
      </w:tblGrid>
      <w:tr w14:paraId="2E48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Merge w:val="restart"/>
            <w:vAlign w:val="center"/>
          </w:tcPr>
          <w:p w14:paraId="72E4F855">
            <w:pPr>
              <w:adjustRightInd w:val="0"/>
              <w:snapToGrid w:val="0"/>
              <w:jc w:val="center"/>
              <w:textAlignment w:val="baseline"/>
              <w:rPr>
                <w:rFonts w:eastAsia="仿宋"/>
                <w:szCs w:val="21"/>
              </w:rPr>
            </w:pPr>
            <w:r>
              <w:rPr>
                <w:rFonts w:eastAsia="仿宋"/>
                <w:szCs w:val="21"/>
              </w:rPr>
              <w:t>环境敏感程度（E）</w:t>
            </w:r>
          </w:p>
        </w:tc>
        <w:tc>
          <w:tcPr>
            <w:tcW w:w="5769" w:type="dxa"/>
            <w:gridSpan w:val="4"/>
            <w:vAlign w:val="center"/>
          </w:tcPr>
          <w:p w14:paraId="2D4EAD80">
            <w:pPr>
              <w:adjustRightInd w:val="0"/>
              <w:snapToGrid w:val="0"/>
              <w:jc w:val="center"/>
              <w:textAlignment w:val="baseline"/>
              <w:rPr>
                <w:rFonts w:eastAsia="仿宋"/>
                <w:szCs w:val="21"/>
              </w:rPr>
            </w:pPr>
            <w:r>
              <w:rPr>
                <w:rFonts w:eastAsia="仿宋"/>
                <w:szCs w:val="21"/>
              </w:rPr>
              <w:t>危险物质及工艺系统危险性（P）</w:t>
            </w:r>
          </w:p>
        </w:tc>
      </w:tr>
      <w:tr w14:paraId="223D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Merge w:val="continue"/>
            <w:vAlign w:val="center"/>
          </w:tcPr>
          <w:p w14:paraId="7C67032A">
            <w:pPr>
              <w:adjustRightInd w:val="0"/>
              <w:snapToGrid w:val="0"/>
              <w:jc w:val="center"/>
              <w:textAlignment w:val="baseline"/>
              <w:rPr>
                <w:rFonts w:eastAsia="仿宋"/>
                <w:szCs w:val="21"/>
              </w:rPr>
            </w:pPr>
          </w:p>
        </w:tc>
        <w:tc>
          <w:tcPr>
            <w:tcW w:w="1371" w:type="dxa"/>
            <w:vAlign w:val="center"/>
          </w:tcPr>
          <w:p w14:paraId="4A357C8D">
            <w:pPr>
              <w:kinsoku w:val="0"/>
              <w:overflowPunct w:val="0"/>
              <w:adjustRightInd w:val="0"/>
              <w:snapToGrid w:val="0"/>
              <w:jc w:val="center"/>
              <w:textAlignment w:val="baseline"/>
              <w:rPr>
                <w:rFonts w:eastAsia="仿宋"/>
                <w:szCs w:val="21"/>
              </w:rPr>
            </w:pPr>
            <w:r>
              <w:rPr>
                <w:rFonts w:eastAsia="仿宋"/>
                <w:szCs w:val="21"/>
              </w:rPr>
              <w:t>极高危害</w:t>
            </w:r>
          </w:p>
          <w:p w14:paraId="1113D8AF">
            <w:pPr>
              <w:kinsoku w:val="0"/>
              <w:overflowPunct w:val="0"/>
              <w:adjustRightInd w:val="0"/>
              <w:snapToGrid w:val="0"/>
              <w:jc w:val="center"/>
              <w:textAlignment w:val="baseline"/>
              <w:rPr>
                <w:rFonts w:eastAsia="仿宋"/>
                <w:szCs w:val="21"/>
              </w:rPr>
            </w:pPr>
            <w:r>
              <w:rPr>
                <w:rFonts w:eastAsia="仿宋"/>
                <w:szCs w:val="21"/>
              </w:rPr>
              <w:t>（P1）</w:t>
            </w:r>
          </w:p>
        </w:tc>
        <w:tc>
          <w:tcPr>
            <w:tcW w:w="1322" w:type="dxa"/>
            <w:vAlign w:val="center"/>
          </w:tcPr>
          <w:p w14:paraId="77911931">
            <w:pPr>
              <w:kinsoku w:val="0"/>
              <w:overflowPunct w:val="0"/>
              <w:adjustRightInd w:val="0"/>
              <w:snapToGrid w:val="0"/>
              <w:jc w:val="center"/>
              <w:textAlignment w:val="baseline"/>
              <w:rPr>
                <w:rFonts w:eastAsia="仿宋"/>
                <w:szCs w:val="21"/>
              </w:rPr>
            </w:pPr>
            <w:r>
              <w:rPr>
                <w:rFonts w:eastAsia="仿宋"/>
                <w:szCs w:val="21"/>
              </w:rPr>
              <w:t>高度危害</w:t>
            </w:r>
          </w:p>
          <w:p w14:paraId="299E7300">
            <w:pPr>
              <w:kinsoku w:val="0"/>
              <w:overflowPunct w:val="0"/>
              <w:adjustRightInd w:val="0"/>
              <w:snapToGrid w:val="0"/>
              <w:jc w:val="center"/>
              <w:textAlignment w:val="baseline"/>
              <w:rPr>
                <w:rFonts w:eastAsia="仿宋"/>
                <w:szCs w:val="21"/>
              </w:rPr>
            </w:pPr>
            <w:r>
              <w:rPr>
                <w:rFonts w:eastAsia="仿宋"/>
                <w:szCs w:val="21"/>
              </w:rPr>
              <w:t>（P2）</w:t>
            </w:r>
          </w:p>
        </w:tc>
        <w:tc>
          <w:tcPr>
            <w:tcW w:w="1546" w:type="dxa"/>
            <w:vAlign w:val="center"/>
          </w:tcPr>
          <w:p w14:paraId="47BC760B">
            <w:pPr>
              <w:kinsoku w:val="0"/>
              <w:overflowPunct w:val="0"/>
              <w:adjustRightInd w:val="0"/>
              <w:snapToGrid w:val="0"/>
              <w:jc w:val="center"/>
              <w:textAlignment w:val="baseline"/>
              <w:rPr>
                <w:rFonts w:eastAsia="仿宋"/>
                <w:szCs w:val="21"/>
              </w:rPr>
            </w:pPr>
            <w:r>
              <w:rPr>
                <w:rFonts w:eastAsia="仿宋"/>
                <w:szCs w:val="21"/>
              </w:rPr>
              <w:t>中度危害</w:t>
            </w:r>
          </w:p>
          <w:p w14:paraId="060BA687">
            <w:pPr>
              <w:kinsoku w:val="0"/>
              <w:overflowPunct w:val="0"/>
              <w:adjustRightInd w:val="0"/>
              <w:snapToGrid w:val="0"/>
              <w:jc w:val="center"/>
              <w:textAlignment w:val="baseline"/>
              <w:rPr>
                <w:rFonts w:eastAsia="仿宋"/>
                <w:szCs w:val="21"/>
              </w:rPr>
            </w:pPr>
            <w:r>
              <w:rPr>
                <w:rFonts w:eastAsia="仿宋"/>
                <w:szCs w:val="21"/>
              </w:rPr>
              <w:t>（P3）</w:t>
            </w:r>
          </w:p>
        </w:tc>
        <w:tc>
          <w:tcPr>
            <w:tcW w:w="1530" w:type="dxa"/>
            <w:vAlign w:val="center"/>
          </w:tcPr>
          <w:p w14:paraId="6BAA6F45">
            <w:pPr>
              <w:kinsoku w:val="0"/>
              <w:overflowPunct w:val="0"/>
              <w:adjustRightInd w:val="0"/>
              <w:snapToGrid w:val="0"/>
              <w:jc w:val="center"/>
              <w:textAlignment w:val="baseline"/>
              <w:rPr>
                <w:rFonts w:eastAsia="仿宋"/>
                <w:szCs w:val="21"/>
              </w:rPr>
            </w:pPr>
            <w:r>
              <w:rPr>
                <w:rFonts w:eastAsia="仿宋"/>
                <w:szCs w:val="21"/>
              </w:rPr>
              <w:t>轻度危害</w:t>
            </w:r>
          </w:p>
          <w:p w14:paraId="27AE1366">
            <w:pPr>
              <w:kinsoku w:val="0"/>
              <w:overflowPunct w:val="0"/>
              <w:adjustRightInd w:val="0"/>
              <w:snapToGrid w:val="0"/>
              <w:jc w:val="center"/>
              <w:textAlignment w:val="baseline"/>
              <w:rPr>
                <w:rFonts w:eastAsia="仿宋"/>
                <w:szCs w:val="21"/>
              </w:rPr>
            </w:pPr>
            <w:r>
              <w:rPr>
                <w:rFonts w:eastAsia="仿宋"/>
                <w:szCs w:val="21"/>
              </w:rPr>
              <w:t>（P4）</w:t>
            </w:r>
          </w:p>
        </w:tc>
      </w:tr>
      <w:tr w14:paraId="240C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14:paraId="1F33F701">
            <w:pPr>
              <w:kinsoku w:val="0"/>
              <w:overflowPunct w:val="0"/>
              <w:adjustRightInd w:val="0"/>
              <w:snapToGrid w:val="0"/>
              <w:jc w:val="center"/>
              <w:rPr>
                <w:rFonts w:ascii="Times New Roman" w:eastAsia="仿宋"/>
                <w:b/>
                <w:szCs w:val="24"/>
              </w:rPr>
            </w:pPr>
            <w:r>
              <w:rPr>
                <w:rFonts w:ascii="Times New Roman" w:eastAsia="仿宋"/>
                <w:b/>
                <w:szCs w:val="24"/>
              </w:rPr>
              <w:t>一、大气</w:t>
            </w:r>
          </w:p>
        </w:tc>
      </w:tr>
      <w:tr w14:paraId="6A52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shd w:val="clear" w:color="auto" w:fill="auto"/>
            <w:vAlign w:val="center"/>
          </w:tcPr>
          <w:p w14:paraId="2F60D191">
            <w:pPr>
              <w:kinsoku w:val="0"/>
              <w:overflowPunct w:val="0"/>
              <w:adjustRightInd w:val="0"/>
              <w:snapToGrid w:val="0"/>
              <w:jc w:val="center"/>
              <w:rPr>
                <w:rFonts w:ascii="Times New Roman" w:eastAsia="仿宋"/>
                <w:szCs w:val="24"/>
              </w:rPr>
            </w:pPr>
            <w:r>
              <w:rPr>
                <w:rFonts w:ascii="Times New Roman" w:eastAsia="仿宋"/>
                <w:szCs w:val="24"/>
              </w:rPr>
              <w:t>环境高度敏感区（E1）</w:t>
            </w:r>
          </w:p>
        </w:tc>
        <w:tc>
          <w:tcPr>
            <w:tcW w:w="1371" w:type="dxa"/>
            <w:shd w:val="clear" w:color="auto" w:fill="auto"/>
            <w:vAlign w:val="center"/>
          </w:tcPr>
          <w:p w14:paraId="4BEAFAF2">
            <w:pPr>
              <w:kinsoku w:val="0"/>
              <w:overflowPunct w:val="0"/>
              <w:adjustRightInd w:val="0"/>
              <w:snapToGrid w:val="0"/>
              <w:jc w:val="center"/>
              <w:rPr>
                <w:rFonts w:ascii="Times New Roman" w:eastAsia="仿宋"/>
                <w:szCs w:val="24"/>
              </w:rPr>
            </w:pPr>
            <w:r>
              <w:rPr>
                <w:rFonts w:ascii="Times New Roman" w:eastAsia="仿宋"/>
                <w:szCs w:val="24"/>
              </w:rPr>
              <w:t>Ⅳ</w:t>
            </w:r>
            <w:r>
              <w:rPr>
                <w:rFonts w:ascii="Times New Roman" w:eastAsia="仿宋"/>
                <w:szCs w:val="24"/>
                <w:vertAlign w:val="superscript"/>
              </w:rPr>
              <w:t>+</w:t>
            </w:r>
          </w:p>
        </w:tc>
        <w:tc>
          <w:tcPr>
            <w:tcW w:w="1322" w:type="dxa"/>
            <w:shd w:val="clear" w:color="auto" w:fill="auto"/>
            <w:vAlign w:val="center"/>
          </w:tcPr>
          <w:p w14:paraId="18613666">
            <w:pPr>
              <w:kinsoku w:val="0"/>
              <w:overflowPunct w:val="0"/>
              <w:adjustRightInd w:val="0"/>
              <w:snapToGrid w:val="0"/>
              <w:jc w:val="center"/>
              <w:rPr>
                <w:rFonts w:ascii="Times New Roman" w:eastAsia="仿宋"/>
                <w:szCs w:val="24"/>
              </w:rPr>
            </w:pPr>
            <w:r>
              <w:rPr>
                <w:rFonts w:ascii="Times New Roman" w:eastAsia="仿宋"/>
                <w:szCs w:val="24"/>
              </w:rPr>
              <w:t>Ⅳ</w:t>
            </w:r>
          </w:p>
        </w:tc>
        <w:tc>
          <w:tcPr>
            <w:tcW w:w="1546" w:type="dxa"/>
            <w:shd w:val="clear" w:color="auto" w:fill="auto"/>
            <w:vAlign w:val="center"/>
          </w:tcPr>
          <w:p w14:paraId="71EF79B7">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shd w:val="clear" w:color="auto" w:fill="BFBFBF"/>
            <w:vAlign w:val="center"/>
          </w:tcPr>
          <w:p w14:paraId="60826927">
            <w:pPr>
              <w:kinsoku w:val="0"/>
              <w:overflowPunct w:val="0"/>
              <w:adjustRightInd w:val="0"/>
              <w:snapToGrid w:val="0"/>
              <w:jc w:val="center"/>
              <w:rPr>
                <w:rFonts w:ascii="Times New Roman" w:eastAsia="仿宋"/>
                <w:szCs w:val="24"/>
              </w:rPr>
            </w:pPr>
            <w:r>
              <w:rPr>
                <w:rFonts w:ascii="Times New Roman" w:eastAsia="仿宋"/>
                <w:szCs w:val="24"/>
              </w:rPr>
              <w:t>Ⅲ</w:t>
            </w:r>
          </w:p>
        </w:tc>
      </w:tr>
      <w:tr w14:paraId="6845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6DCE320D">
            <w:pPr>
              <w:kinsoku w:val="0"/>
              <w:overflowPunct w:val="0"/>
              <w:adjustRightInd w:val="0"/>
              <w:snapToGrid w:val="0"/>
              <w:jc w:val="center"/>
              <w:rPr>
                <w:rFonts w:ascii="Times New Roman" w:eastAsia="仿宋"/>
                <w:szCs w:val="24"/>
              </w:rPr>
            </w:pPr>
            <w:r>
              <w:rPr>
                <w:rFonts w:ascii="Times New Roman" w:eastAsia="仿宋"/>
                <w:szCs w:val="24"/>
              </w:rPr>
              <w:t>环境中度敏感区（E2）</w:t>
            </w:r>
          </w:p>
        </w:tc>
        <w:tc>
          <w:tcPr>
            <w:tcW w:w="1371" w:type="dxa"/>
            <w:vAlign w:val="center"/>
          </w:tcPr>
          <w:p w14:paraId="312942D7">
            <w:pPr>
              <w:kinsoku w:val="0"/>
              <w:overflowPunct w:val="0"/>
              <w:adjustRightInd w:val="0"/>
              <w:snapToGrid w:val="0"/>
              <w:jc w:val="center"/>
              <w:rPr>
                <w:rFonts w:ascii="Times New Roman" w:eastAsia="仿宋"/>
                <w:szCs w:val="24"/>
              </w:rPr>
            </w:pPr>
            <w:r>
              <w:rPr>
                <w:rFonts w:ascii="Times New Roman" w:eastAsia="仿宋"/>
                <w:szCs w:val="24"/>
              </w:rPr>
              <w:t>Ⅳ</w:t>
            </w:r>
          </w:p>
        </w:tc>
        <w:tc>
          <w:tcPr>
            <w:tcW w:w="1322" w:type="dxa"/>
            <w:vAlign w:val="center"/>
          </w:tcPr>
          <w:p w14:paraId="5107E682">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vAlign w:val="center"/>
          </w:tcPr>
          <w:p w14:paraId="4C1059BE">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vAlign w:val="center"/>
          </w:tcPr>
          <w:p w14:paraId="227C838D">
            <w:pPr>
              <w:kinsoku w:val="0"/>
              <w:overflowPunct w:val="0"/>
              <w:adjustRightInd w:val="0"/>
              <w:snapToGrid w:val="0"/>
              <w:jc w:val="center"/>
              <w:rPr>
                <w:rFonts w:ascii="Times New Roman" w:eastAsia="仿宋"/>
                <w:szCs w:val="24"/>
              </w:rPr>
            </w:pPr>
            <w:r>
              <w:rPr>
                <w:rFonts w:ascii="Times New Roman" w:eastAsia="仿宋"/>
                <w:szCs w:val="24"/>
              </w:rPr>
              <w:t>Ⅱ</w:t>
            </w:r>
          </w:p>
        </w:tc>
      </w:tr>
      <w:tr w14:paraId="66F7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1AC582CD">
            <w:pPr>
              <w:kinsoku w:val="0"/>
              <w:overflowPunct w:val="0"/>
              <w:adjustRightInd w:val="0"/>
              <w:snapToGrid w:val="0"/>
              <w:jc w:val="center"/>
              <w:rPr>
                <w:rFonts w:ascii="Times New Roman" w:eastAsia="仿宋"/>
                <w:szCs w:val="24"/>
              </w:rPr>
            </w:pPr>
            <w:r>
              <w:rPr>
                <w:rFonts w:ascii="Times New Roman" w:eastAsia="仿宋"/>
                <w:szCs w:val="24"/>
              </w:rPr>
              <w:t>环境低度敏感区（E3）</w:t>
            </w:r>
          </w:p>
        </w:tc>
        <w:tc>
          <w:tcPr>
            <w:tcW w:w="1371" w:type="dxa"/>
            <w:vAlign w:val="center"/>
          </w:tcPr>
          <w:p w14:paraId="148C7982">
            <w:pPr>
              <w:kinsoku w:val="0"/>
              <w:overflowPunct w:val="0"/>
              <w:adjustRightInd w:val="0"/>
              <w:snapToGrid w:val="0"/>
              <w:jc w:val="center"/>
              <w:rPr>
                <w:rFonts w:ascii="Times New Roman" w:eastAsia="仿宋"/>
                <w:szCs w:val="24"/>
              </w:rPr>
            </w:pPr>
            <w:r>
              <w:rPr>
                <w:rFonts w:ascii="Times New Roman" w:eastAsia="仿宋"/>
                <w:szCs w:val="24"/>
              </w:rPr>
              <w:t>Ⅲ</w:t>
            </w:r>
          </w:p>
        </w:tc>
        <w:tc>
          <w:tcPr>
            <w:tcW w:w="1322" w:type="dxa"/>
            <w:vAlign w:val="center"/>
          </w:tcPr>
          <w:p w14:paraId="6F7B7168">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vAlign w:val="center"/>
          </w:tcPr>
          <w:p w14:paraId="5E0D79F6">
            <w:pPr>
              <w:kinsoku w:val="0"/>
              <w:overflowPunct w:val="0"/>
              <w:adjustRightInd w:val="0"/>
              <w:snapToGrid w:val="0"/>
              <w:jc w:val="center"/>
              <w:rPr>
                <w:rFonts w:ascii="Times New Roman" w:eastAsia="仿宋"/>
                <w:szCs w:val="24"/>
              </w:rPr>
            </w:pPr>
            <w:r>
              <w:rPr>
                <w:rFonts w:ascii="Times New Roman" w:eastAsia="仿宋"/>
                <w:szCs w:val="24"/>
              </w:rPr>
              <w:t>Ⅱ</w:t>
            </w:r>
          </w:p>
        </w:tc>
        <w:tc>
          <w:tcPr>
            <w:tcW w:w="1530" w:type="dxa"/>
            <w:vAlign w:val="center"/>
          </w:tcPr>
          <w:p w14:paraId="745D46C5">
            <w:pPr>
              <w:kinsoku w:val="0"/>
              <w:overflowPunct w:val="0"/>
              <w:adjustRightInd w:val="0"/>
              <w:snapToGrid w:val="0"/>
              <w:jc w:val="center"/>
              <w:rPr>
                <w:rFonts w:ascii="Times New Roman" w:eastAsia="仿宋"/>
                <w:szCs w:val="24"/>
              </w:rPr>
            </w:pPr>
            <w:r>
              <w:rPr>
                <w:rFonts w:ascii="Times New Roman" w:eastAsia="仿宋"/>
                <w:szCs w:val="24"/>
              </w:rPr>
              <w:t>Ⅰ</w:t>
            </w:r>
          </w:p>
        </w:tc>
      </w:tr>
      <w:tr w14:paraId="7031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14:paraId="5D00E53D">
            <w:pPr>
              <w:kinsoku w:val="0"/>
              <w:overflowPunct w:val="0"/>
              <w:adjustRightInd w:val="0"/>
              <w:snapToGrid w:val="0"/>
              <w:jc w:val="center"/>
              <w:rPr>
                <w:rFonts w:ascii="Times New Roman" w:eastAsia="仿宋"/>
                <w:b/>
                <w:szCs w:val="24"/>
              </w:rPr>
            </w:pPr>
            <w:r>
              <w:rPr>
                <w:rFonts w:ascii="Times New Roman" w:eastAsia="仿宋"/>
                <w:b/>
                <w:szCs w:val="24"/>
              </w:rPr>
              <w:t>二、地表水</w:t>
            </w:r>
          </w:p>
        </w:tc>
      </w:tr>
      <w:tr w14:paraId="4377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56ABCAA8">
            <w:pPr>
              <w:kinsoku w:val="0"/>
              <w:overflowPunct w:val="0"/>
              <w:adjustRightInd w:val="0"/>
              <w:snapToGrid w:val="0"/>
              <w:jc w:val="center"/>
              <w:rPr>
                <w:rFonts w:ascii="Times New Roman" w:eastAsia="仿宋"/>
                <w:szCs w:val="24"/>
              </w:rPr>
            </w:pPr>
            <w:r>
              <w:rPr>
                <w:rFonts w:ascii="Times New Roman" w:eastAsia="仿宋"/>
                <w:szCs w:val="24"/>
              </w:rPr>
              <w:t>环境高度敏感区（E1）</w:t>
            </w:r>
          </w:p>
        </w:tc>
        <w:tc>
          <w:tcPr>
            <w:tcW w:w="1371" w:type="dxa"/>
            <w:vAlign w:val="center"/>
          </w:tcPr>
          <w:p w14:paraId="10E4E998">
            <w:pPr>
              <w:kinsoku w:val="0"/>
              <w:overflowPunct w:val="0"/>
              <w:adjustRightInd w:val="0"/>
              <w:snapToGrid w:val="0"/>
              <w:jc w:val="center"/>
              <w:rPr>
                <w:rFonts w:ascii="Times New Roman" w:eastAsia="仿宋"/>
                <w:szCs w:val="24"/>
              </w:rPr>
            </w:pPr>
            <w:r>
              <w:rPr>
                <w:rFonts w:ascii="Times New Roman" w:eastAsia="仿宋"/>
                <w:szCs w:val="24"/>
              </w:rPr>
              <w:t>Ⅳ</w:t>
            </w:r>
            <w:r>
              <w:rPr>
                <w:rFonts w:ascii="Times New Roman" w:eastAsia="仿宋"/>
                <w:szCs w:val="24"/>
                <w:vertAlign w:val="superscript"/>
              </w:rPr>
              <w:t>+</w:t>
            </w:r>
          </w:p>
        </w:tc>
        <w:tc>
          <w:tcPr>
            <w:tcW w:w="1322" w:type="dxa"/>
            <w:vAlign w:val="center"/>
          </w:tcPr>
          <w:p w14:paraId="0DDED879">
            <w:pPr>
              <w:kinsoku w:val="0"/>
              <w:overflowPunct w:val="0"/>
              <w:adjustRightInd w:val="0"/>
              <w:snapToGrid w:val="0"/>
              <w:jc w:val="center"/>
              <w:rPr>
                <w:rFonts w:ascii="Times New Roman" w:eastAsia="仿宋"/>
                <w:szCs w:val="24"/>
              </w:rPr>
            </w:pPr>
            <w:r>
              <w:rPr>
                <w:rFonts w:ascii="Times New Roman" w:eastAsia="仿宋"/>
                <w:szCs w:val="24"/>
              </w:rPr>
              <w:t>Ⅳ</w:t>
            </w:r>
          </w:p>
        </w:tc>
        <w:tc>
          <w:tcPr>
            <w:tcW w:w="1546" w:type="dxa"/>
            <w:vAlign w:val="center"/>
          </w:tcPr>
          <w:p w14:paraId="7DC45FB5">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vAlign w:val="center"/>
          </w:tcPr>
          <w:p w14:paraId="07020D76">
            <w:pPr>
              <w:kinsoku w:val="0"/>
              <w:overflowPunct w:val="0"/>
              <w:adjustRightInd w:val="0"/>
              <w:snapToGrid w:val="0"/>
              <w:jc w:val="center"/>
              <w:rPr>
                <w:rFonts w:ascii="Times New Roman" w:eastAsia="仿宋"/>
                <w:szCs w:val="24"/>
              </w:rPr>
            </w:pPr>
            <w:r>
              <w:rPr>
                <w:rFonts w:ascii="Times New Roman" w:eastAsia="仿宋"/>
                <w:szCs w:val="24"/>
              </w:rPr>
              <w:t>Ⅲ</w:t>
            </w:r>
          </w:p>
        </w:tc>
      </w:tr>
      <w:tr w14:paraId="4A41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shd w:val="clear" w:color="auto" w:fill="auto"/>
            <w:vAlign w:val="center"/>
          </w:tcPr>
          <w:p w14:paraId="74F9E732">
            <w:pPr>
              <w:kinsoku w:val="0"/>
              <w:overflowPunct w:val="0"/>
              <w:adjustRightInd w:val="0"/>
              <w:snapToGrid w:val="0"/>
              <w:jc w:val="center"/>
              <w:rPr>
                <w:rFonts w:ascii="Times New Roman" w:eastAsia="仿宋"/>
                <w:szCs w:val="24"/>
              </w:rPr>
            </w:pPr>
            <w:r>
              <w:rPr>
                <w:rFonts w:ascii="Times New Roman" w:eastAsia="仿宋"/>
                <w:szCs w:val="24"/>
              </w:rPr>
              <w:t>环境中度敏感区（E2）</w:t>
            </w:r>
          </w:p>
        </w:tc>
        <w:tc>
          <w:tcPr>
            <w:tcW w:w="1371" w:type="dxa"/>
            <w:shd w:val="clear" w:color="auto" w:fill="auto"/>
            <w:vAlign w:val="center"/>
          </w:tcPr>
          <w:p w14:paraId="741DCDDF">
            <w:pPr>
              <w:kinsoku w:val="0"/>
              <w:overflowPunct w:val="0"/>
              <w:adjustRightInd w:val="0"/>
              <w:snapToGrid w:val="0"/>
              <w:jc w:val="center"/>
              <w:rPr>
                <w:rFonts w:ascii="Times New Roman" w:eastAsia="仿宋"/>
                <w:szCs w:val="24"/>
              </w:rPr>
            </w:pPr>
            <w:r>
              <w:rPr>
                <w:rFonts w:ascii="Times New Roman" w:eastAsia="仿宋"/>
                <w:szCs w:val="24"/>
              </w:rPr>
              <w:t>Ⅳ</w:t>
            </w:r>
          </w:p>
        </w:tc>
        <w:tc>
          <w:tcPr>
            <w:tcW w:w="1322" w:type="dxa"/>
            <w:shd w:val="clear" w:color="auto" w:fill="auto"/>
            <w:vAlign w:val="center"/>
          </w:tcPr>
          <w:p w14:paraId="4CAEDE73">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shd w:val="clear" w:color="auto" w:fill="auto"/>
            <w:vAlign w:val="center"/>
          </w:tcPr>
          <w:p w14:paraId="5573F311">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shd w:val="clear" w:color="auto" w:fill="BEBEBE"/>
            <w:vAlign w:val="center"/>
          </w:tcPr>
          <w:p w14:paraId="7EA66DEF">
            <w:pPr>
              <w:kinsoku w:val="0"/>
              <w:overflowPunct w:val="0"/>
              <w:adjustRightInd w:val="0"/>
              <w:snapToGrid w:val="0"/>
              <w:jc w:val="center"/>
              <w:rPr>
                <w:rFonts w:ascii="Times New Roman" w:eastAsia="仿宋"/>
                <w:szCs w:val="24"/>
              </w:rPr>
            </w:pPr>
            <w:r>
              <w:rPr>
                <w:rFonts w:ascii="Times New Roman" w:eastAsia="仿宋"/>
                <w:szCs w:val="24"/>
                <w:shd w:val="clear" w:color="auto" w:fill="BEBEBE"/>
              </w:rPr>
              <w:t>Ⅱ</w:t>
            </w:r>
          </w:p>
        </w:tc>
      </w:tr>
      <w:tr w14:paraId="6AFD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742DCE9C">
            <w:pPr>
              <w:kinsoku w:val="0"/>
              <w:overflowPunct w:val="0"/>
              <w:adjustRightInd w:val="0"/>
              <w:snapToGrid w:val="0"/>
              <w:jc w:val="center"/>
              <w:rPr>
                <w:rFonts w:ascii="Times New Roman" w:eastAsia="仿宋"/>
                <w:szCs w:val="24"/>
              </w:rPr>
            </w:pPr>
            <w:r>
              <w:rPr>
                <w:rFonts w:ascii="Times New Roman" w:eastAsia="仿宋"/>
                <w:szCs w:val="24"/>
              </w:rPr>
              <w:t>环境低度敏感区（E3）</w:t>
            </w:r>
          </w:p>
        </w:tc>
        <w:tc>
          <w:tcPr>
            <w:tcW w:w="1371" w:type="dxa"/>
            <w:vAlign w:val="center"/>
          </w:tcPr>
          <w:p w14:paraId="233F992A">
            <w:pPr>
              <w:kinsoku w:val="0"/>
              <w:overflowPunct w:val="0"/>
              <w:adjustRightInd w:val="0"/>
              <w:snapToGrid w:val="0"/>
              <w:jc w:val="center"/>
              <w:rPr>
                <w:rFonts w:ascii="Times New Roman" w:eastAsia="仿宋"/>
                <w:szCs w:val="24"/>
              </w:rPr>
            </w:pPr>
            <w:r>
              <w:rPr>
                <w:rFonts w:ascii="Times New Roman" w:eastAsia="仿宋"/>
                <w:szCs w:val="24"/>
              </w:rPr>
              <w:t>Ⅲ</w:t>
            </w:r>
          </w:p>
        </w:tc>
        <w:tc>
          <w:tcPr>
            <w:tcW w:w="1322" w:type="dxa"/>
            <w:vAlign w:val="center"/>
          </w:tcPr>
          <w:p w14:paraId="58F2E9A5">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vAlign w:val="center"/>
          </w:tcPr>
          <w:p w14:paraId="235E2FED">
            <w:pPr>
              <w:kinsoku w:val="0"/>
              <w:overflowPunct w:val="0"/>
              <w:adjustRightInd w:val="0"/>
              <w:snapToGrid w:val="0"/>
              <w:jc w:val="center"/>
              <w:rPr>
                <w:rFonts w:ascii="Times New Roman" w:eastAsia="仿宋"/>
                <w:szCs w:val="24"/>
              </w:rPr>
            </w:pPr>
            <w:r>
              <w:rPr>
                <w:rFonts w:ascii="Times New Roman" w:eastAsia="仿宋"/>
                <w:szCs w:val="24"/>
              </w:rPr>
              <w:t>Ⅱ</w:t>
            </w:r>
          </w:p>
        </w:tc>
        <w:tc>
          <w:tcPr>
            <w:tcW w:w="1530" w:type="dxa"/>
            <w:vAlign w:val="center"/>
          </w:tcPr>
          <w:p w14:paraId="4EDD7DDD">
            <w:pPr>
              <w:kinsoku w:val="0"/>
              <w:overflowPunct w:val="0"/>
              <w:adjustRightInd w:val="0"/>
              <w:snapToGrid w:val="0"/>
              <w:jc w:val="center"/>
              <w:rPr>
                <w:rFonts w:ascii="Times New Roman" w:eastAsia="仿宋"/>
                <w:szCs w:val="24"/>
              </w:rPr>
            </w:pPr>
            <w:r>
              <w:rPr>
                <w:rFonts w:ascii="Times New Roman" w:eastAsia="仿宋"/>
                <w:szCs w:val="24"/>
              </w:rPr>
              <w:t>Ⅰ</w:t>
            </w:r>
          </w:p>
        </w:tc>
      </w:tr>
      <w:tr w14:paraId="7BDA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14:paraId="131B5048">
            <w:pPr>
              <w:kinsoku w:val="0"/>
              <w:overflowPunct w:val="0"/>
              <w:adjustRightInd w:val="0"/>
              <w:snapToGrid w:val="0"/>
              <w:jc w:val="center"/>
              <w:rPr>
                <w:rFonts w:ascii="Times New Roman" w:eastAsia="仿宋"/>
                <w:b/>
                <w:szCs w:val="24"/>
              </w:rPr>
            </w:pPr>
            <w:r>
              <w:rPr>
                <w:rFonts w:ascii="Times New Roman" w:eastAsia="仿宋"/>
                <w:b/>
                <w:szCs w:val="24"/>
              </w:rPr>
              <w:t>三、地下水</w:t>
            </w:r>
          </w:p>
        </w:tc>
      </w:tr>
      <w:tr w14:paraId="455F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64F645D2">
            <w:pPr>
              <w:kinsoku w:val="0"/>
              <w:overflowPunct w:val="0"/>
              <w:adjustRightInd w:val="0"/>
              <w:snapToGrid w:val="0"/>
              <w:jc w:val="center"/>
              <w:rPr>
                <w:rFonts w:ascii="Times New Roman" w:eastAsia="仿宋"/>
                <w:szCs w:val="24"/>
              </w:rPr>
            </w:pPr>
            <w:r>
              <w:rPr>
                <w:rFonts w:ascii="Times New Roman" w:eastAsia="仿宋"/>
                <w:szCs w:val="24"/>
              </w:rPr>
              <w:t>环境高度敏感区（E1）</w:t>
            </w:r>
          </w:p>
        </w:tc>
        <w:tc>
          <w:tcPr>
            <w:tcW w:w="1371" w:type="dxa"/>
            <w:vAlign w:val="center"/>
          </w:tcPr>
          <w:p w14:paraId="55B8C89A">
            <w:pPr>
              <w:kinsoku w:val="0"/>
              <w:overflowPunct w:val="0"/>
              <w:adjustRightInd w:val="0"/>
              <w:snapToGrid w:val="0"/>
              <w:jc w:val="center"/>
              <w:rPr>
                <w:rFonts w:ascii="Times New Roman" w:eastAsia="仿宋"/>
                <w:szCs w:val="24"/>
              </w:rPr>
            </w:pPr>
            <w:r>
              <w:rPr>
                <w:rFonts w:ascii="Times New Roman" w:eastAsia="仿宋"/>
                <w:szCs w:val="24"/>
              </w:rPr>
              <w:t>Ⅳ</w:t>
            </w:r>
            <w:r>
              <w:rPr>
                <w:rFonts w:ascii="Times New Roman" w:eastAsia="仿宋"/>
                <w:szCs w:val="24"/>
                <w:vertAlign w:val="superscript"/>
              </w:rPr>
              <w:t>+</w:t>
            </w:r>
          </w:p>
        </w:tc>
        <w:tc>
          <w:tcPr>
            <w:tcW w:w="1322" w:type="dxa"/>
            <w:vAlign w:val="center"/>
          </w:tcPr>
          <w:p w14:paraId="3EED5A99">
            <w:pPr>
              <w:kinsoku w:val="0"/>
              <w:overflowPunct w:val="0"/>
              <w:adjustRightInd w:val="0"/>
              <w:snapToGrid w:val="0"/>
              <w:jc w:val="center"/>
              <w:rPr>
                <w:rFonts w:ascii="Times New Roman" w:eastAsia="仿宋"/>
                <w:szCs w:val="24"/>
              </w:rPr>
            </w:pPr>
            <w:r>
              <w:rPr>
                <w:rFonts w:ascii="Times New Roman" w:eastAsia="仿宋"/>
                <w:szCs w:val="24"/>
              </w:rPr>
              <w:t>Ⅳ</w:t>
            </w:r>
          </w:p>
        </w:tc>
        <w:tc>
          <w:tcPr>
            <w:tcW w:w="1546" w:type="dxa"/>
            <w:vAlign w:val="center"/>
          </w:tcPr>
          <w:p w14:paraId="501F8384">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vAlign w:val="center"/>
          </w:tcPr>
          <w:p w14:paraId="6CBFCD3C">
            <w:pPr>
              <w:kinsoku w:val="0"/>
              <w:overflowPunct w:val="0"/>
              <w:adjustRightInd w:val="0"/>
              <w:snapToGrid w:val="0"/>
              <w:jc w:val="center"/>
              <w:rPr>
                <w:rFonts w:ascii="Times New Roman" w:eastAsia="仿宋"/>
                <w:szCs w:val="24"/>
              </w:rPr>
            </w:pPr>
            <w:r>
              <w:rPr>
                <w:rFonts w:ascii="Times New Roman" w:eastAsia="仿宋"/>
                <w:szCs w:val="24"/>
              </w:rPr>
              <w:t>Ⅲ</w:t>
            </w:r>
          </w:p>
        </w:tc>
      </w:tr>
      <w:tr w14:paraId="5D3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vAlign w:val="center"/>
          </w:tcPr>
          <w:p w14:paraId="101A5663">
            <w:pPr>
              <w:kinsoku w:val="0"/>
              <w:overflowPunct w:val="0"/>
              <w:adjustRightInd w:val="0"/>
              <w:snapToGrid w:val="0"/>
              <w:jc w:val="center"/>
              <w:rPr>
                <w:rFonts w:ascii="Times New Roman" w:eastAsia="仿宋"/>
                <w:szCs w:val="24"/>
              </w:rPr>
            </w:pPr>
            <w:r>
              <w:rPr>
                <w:rFonts w:ascii="Times New Roman" w:eastAsia="仿宋"/>
                <w:szCs w:val="24"/>
              </w:rPr>
              <w:t>环境中度敏感区（E2）</w:t>
            </w:r>
          </w:p>
        </w:tc>
        <w:tc>
          <w:tcPr>
            <w:tcW w:w="1371" w:type="dxa"/>
            <w:vAlign w:val="center"/>
          </w:tcPr>
          <w:p w14:paraId="706FDB79">
            <w:pPr>
              <w:kinsoku w:val="0"/>
              <w:overflowPunct w:val="0"/>
              <w:adjustRightInd w:val="0"/>
              <w:snapToGrid w:val="0"/>
              <w:jc w:val="center"/>
              <w:rPr>
                <w:rFonts w:ascii="Times New Roman" w:eastAsia="仿宋"/>
                <w:szCs w:val="24"/>
              </w:rPr>
            </w:pPr>
            <w:r>
              <w:rPr>
                <w:rFonts w:ascii="Times New Roman" w:eastAsia="仿宋"/>
                <w:szCs w:val="24"/>
              </w:rPr>
              <w:t>Ⅳ</w:t>
            </w:r>
          </w:p>
        </w:tc>
        <w:tc>
          <w:tcPr>
            <w:tcW w:w="1322" w:type="dxa"/>
            <w:vAlign w:val="center"/>
          </w:tcPr>
          <w:p w14:paraId="73805AD3">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vAlign w:val="center"/>
          </w:tcPr>
          <w:p w14:paraId="256AC7B6">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30" w:type="dxa"/>
            <w:vAlign w:val="center"/>
          </w:tcPr>
          <w:p w14:paraId="58BC8305">
            <w:pPr>
              <w:kinsoku w:val="0"/>
              <w:overflowPunct w:val="0"/>
              <w:adjustRightInd w:val="0"/>
              <w:snapToGrid w:val="0"/>
              <w:jc w:val="center"/>
              <w:rPr>
                <w:rFonts w:ascii="Times New Roman" w:eastAsia="仿宋"/>
                <w:szCs w:val="24"/>
              </w:rPr>
            </w:pPr>
            <w:r>
              <w:rPr>
                <w:rFonts w:ascii="Times New Roman" w:eastAsia="仿宋"/>
                <w:szCs w:val="24"/>
              </w:rPr>
              <w:t>Ⅱ</w:t>
            </w:r>
          </w:p>
        </w:tc>
      </w:tr>
      <w:tr w14:paraId="2C8C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47" w:type="dxa"/>
            <w:shd w:val="clear" w:color="auto" w:fill="auto"/>
            <w:vAlign w:val="center"/>
          </w:tcPr>
          <w:p w14:paraId="2F5C8356">
            <w:pPr>
              <w:kinsoku w:val="0"/>
              <w:overflowPunct w:val="0"/>
              <w:adjustRightInd w:val="0"/>
              <w:snapToGrid w:val="0"/>
              <w:jc w:val="center"/>
              <w:rPr>
                <w:rFonts w:ascii="Times New Roman" w:eastAsia="仿宋"/>
                <w:szCs w:val="24"/>
              </w:rPr>
            </w:pPr>
            <w:r>
              <w:rPr>
                <w:rFonts w:ascii="Times New Roman" w:eastAsia="仿宋"/>
                <w:szCs w:val="24"/>
              </w:rPr>
              <w:t>环境低度敏感区（E3）</w:t>
            </w:r>
          </w:p>
        </w:tc>
        <w:tc>
          <w:tcPr>
            <w:tcW w:w="1371" w:type="dxa"/>
            <w:shd w:val="clear" w:color="auto" w:fill="auto"/>
            <w:vAlign w:val="center"/>
          </w:tcPr>
          <w:p w14:paraId="7E7FB029">
            <w:pPr>
              <w:kinsoku w:val="0"/>
              <w:overflowPunct w:val="0"/>
              <w:adjustRightInd w:val="0"/>
              <w:snapToGrid w:val="0"/>
              <w:jc w:val="center"/>
              <w:rPr>
                <w:rFonts w:ascii="Times New Roman" w:eastAsia="仿宋"/>
                <w:szCs w:val="24"/>
              </w:rPr>
            </w:pPr>
            <w:r>
              <w:rPr>
                <w:rFonts w:ascii="Times New Roman" w:eastAsia="仿宋"/>
                <w:szCs w:val="24"/>
              </w:rPr>
              <w:t>Ⅲ</w:t>
            </w:r>
          </w:p>
        </w:tc>
        <w:tc>
          <w:tcPr>
            <w:tcW w:w="1322" w:type="dxa"/>
            <w:shd w:val="clear" w:color="auto" w:fill="auto"/>
            <w:vAlign w:val="center"/>
          </w:tcPr>
          <w:p w14:paraId="4D088BE0">
            <w:pPr>
              <w:kinsoku w:val="0"/>
              <w:overflowPunct w:val="0"/>
              <w:adjustRightInd w:val="0"/>
              <w:snapToGrid w:val="0"/>
              <w:jc w:val="center"/>
              <w:rPr>
                <w:rFonts w:ascii="Times New Roman" w:eastAsia="仿宋"/>
                <w:szCs w:val="24"/>
              </w:rPr>
            </w:pPr>
            <w:r>
              <w:rPr>
                <w:rFonts w:ascii="Times New Roman" w:eastAsia="仿宋"/>
                <w:szCs w:val="24"/>
              </w:rPr>
              <w:t>Ⅲ</w:t>
            </w:r>
          </w:p>
        </w:tc>
        <w:tc>
          <w:tcPr>
            <w:tcW w:w="1546" w:type="dxa"/>
            <w:shd w:val="clear" w:color="auto" w:fill="auto"/>
            <w:vAlign w:val="center"/>
          </w:tcPr>
          <w:p w14:paraId="2EF590DE">
            <w:pPr>
              <w:kinsoku w:val="0"/>
              <w:overflowPunct w:val="0"/>
              <w:adjustRightInd w:val="0"/>
              <w:snapToGrid w:val="0"/>
              <w:jc w:val="center"/>
              <w:rPr>
                <w:rFonts w:ascii="Times New Roman" w:eastAsia="仿宋"/>
                <w:szCs w:val="24"/>
              </w:rPr>
            </w:pPr>
            <w:r>
              <w:rPr>
                <w:rFonts w:ascii="Times New Roman" w:eastAsia="仿宋"/>
                <w:szCs w:val="24"/>
              </w:rPr>
              <w:t>Ⅱ</w:t>
            </w:r>
          </w:p>
        </w:tc>
        <w:tc>
          <w:tcPr>
            <w:tcW w:w="1530" w:type="dxa"/>
            <w:shd w:val="clear" w:color="auto" w:fill="BFBFBF"/>
            <w:vAlign w:val="center"/>
          </w:tcPr>
          <w:p w14:paraId="280EF316">
            <w:pPr>
              <w:kinsoku w:val="0"/>
              <w:overflowPunct w:val="0"/>
              <w:adjustRightInd w:val="0"/>
              <w:snapToGrid w:val="0"/>
              <w:jc w:val="center"/>
              <w:rPr>
                <w:rFonts w:ascii="Times New Roman" w:eastAsia="仿宋"/>
                <w:szCs w:val="24"/>
              </w:rPr>
            </w:pPr>
            <w:r>
              <w:rPr>
                <w:rFonts w:ascii="Times New Roman" w:eastAsia="仿宋"/>
                <w:szCs w:val="24"/>
              </w:rPr>
              <w:t>Ⅰ</w:t>
            </w:r>
          </w:p>
        </w:tc>
      </w:tr>
    </w:tbl>
    <w:p w14:paraId="0CDA7903">
      <w:pPr>
        <w:pStyle w:val="7"/>
        <w:keepLines w:val="0"/>
        <w:widowControl/>
        <w:adjustRightInd w:val="0"/>
        <w:snapToGrid w:val="0"/>
        <w:spacing w:after="120" w:afterLines="50"/>
        <w:jc w:val="left"/>
        <w:rPr>
          <w:rFonts w:ascii="Times New Roman" w:eastAsia="仿宋"/>
          <w:b/>
        </w:rPr>
      </w:pPr>
      <w:r>
        <w:rPr>
          <w:rFonts w:hint="eastAsia" w:ascii="Times New Roman" w:hAnsi="Times New Roman" w:eastAsia="仿宋"/>
          <w:b/>
        </w:rPr>
        <w:t>5</w:t>
      </w:r>
      <w:r>
        <w:rPr>
          <w:rFonts w:ascii="Times New Roman" w:hAnsi="Times New Roman" w:eastAsia="仿宋"/>
          <w:b/>
        </w:rPr>
        <w:t>.3.1.4环境风险</w:t>
      </w:r>
      <w:r>
        <w:rPr>
          <w:rFonts w:ascii="Times New Roman" w:eastAsia="仿宋"/>
          <w:b/>
        </w:rPr>
        <w:t>评价工作等级确定</w:t>
      </w:r>
    </w:p>
    <w:p w14:paraId="7917388A">
      <w:pPr>
        <w:adjustRightInd w:val="0"/>
        <w:snapToGrid w:val="0"/>
        <w:spacing w:line="500" w:lineRule="exact"/>
        <w:ind w:firstLine="560" w:firstLineChars="200"/>
        <w:rPr>
          <w:rFonts w:eastAsia="仿宋"/>
          <w:sz w:val="28"/>
          <w:szCs w:val="28"/>
        </w:rPr>
      </w:pPr>
      <w:r>
        <w:rPr>
          <w:rFonts w:eastAsia="仿宋"/>
          <w:sz w:val="28"/>
          <w:szCs w:val="28"/>
        </w:rPr>
        <w:t>根据上述分析，该项目的大气环境风险潜势等级为</w:t>
      </w:r>
      <w:r>
        <w:rPr>
          <w:rFonts w:hint="eastAsia" w:hAnsi="宋体" w:cs="宋体"/>
          <w:sz w:val="28"/>
          <w:szCs w:val="28"/>
        </w:rPr>
        <w:t>Ⅲ</w:t>
      </w:r>
      <w:r>
        <w:rPr>
          <w:rFonts w:eastAsia="仿宋"/>
          <w:sz w:val="28"/>
          <w:szCs w:val="28"/>
        </w:rPr>
        <w:t>，应进行</w:t>
      </w:r>
      <w:r>
        <w:rPr>
          <w:rFonts w:hint="eastAsia" w:eastAsia="仿宋"/>
          <w:sz w:val="28"/>
          <w:szCs w:val="28"/>
        </w:rPr>
        <w:t>二</w:t>
      </w:r>
      <w:r>
        <w:rPr>
          <w:rFonts w:eastAsia="仿宋"/>
          <w:sz w:val="28"/>
          <w:szCs w:val="28"/>
        </w:rPr>
        <w:t>级评价；地表水环境风险潜势等级为Ⅱ，应进行</w:t>
      </w:r>
      <w:r>
        <w:rPr>
          <w:rFonts w:hint="eastAsia" w:eastAsia="仿宋"/>
          <w:sz w:val="28"/>
          <w:szCs w:val="28"/>
        </w:rPr>
        <w:t>三级评价</w:t>
      </w:r>
      <w:r>
        <w:rPr>
          <w:rFonts w:eastAsia="仿宋"/>
          <w:sz w:val="28"/>
          <w:szCs w:val="28"/>
        </w:rPr>
        <w:t>；地下水环境风险潜势等级为Ⅰ，应进行</w:t>
      </w:r>
      <w:r>
        <w:rPr>
          <w:rFonts w:hint="eastAsia" w:eastAsia="仿宋"/>
          <w:sz w:val="28"/>
          <w:szCs w:val="28"/>
        </w:rPr>
        <w:t>简单分析</w:t>
      </w:r>
      <w:r>
        <w:rPr>
          <w:rFonts w:eastAsia="仿宋"/>
          <w:sz w:val="28"/>
          <w:szCs w:val="28"/>
        </w:rPr>
        <w:t>。</w:t>
      </w:r>
    </w:p>
    <w:p w14:paraId="58B1CAD1">
      <w:pPr>
        <w:spacing w:line="500" w:lineRule="exact"/>
        <w:jc w:val="center"/>
        <w:rPr>
          <w:rFonts w:ascii="Times New Roman" w:eastAsia="仿宋"/>
          <w:b/>
        </w:rPr>
      </w:pPr>
      <w:r>
        <w:rPr>
          <w:rFonts w:hint="eastAsia" w:ascii="Times New Roman" w:eastAsia="仿宋"/>
          <w:b/>
        </w:rPr>
        <w:t>表5.3-17 各要素环境风险评价工作等级及评价内容</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1"/>
        <w:gridCol w:w="1559"/>
        <w:gridCol w:w="5476"/>
      </w:tblGrid>
      <w:tr w14:paraId="47C0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1" w:type="dxa"/>
            <w:vAlign w:val="center"/>
          </w:tcPr>
          <w:p w14:paraId="7B6B3524">
            <w:pPr>
              <w:adjustRightInd w:val="0"/>
              <w:snapToGrid w:val="0"/>
              <w:jc w:val="center"/>
              <w:textAlignment w:val="baseline"/>
              <w:rPr>
                <w:rFonts w:eastAsia="仿宋"/>
                <w:szCs w:val="21"/>
              </w:rPr>
            </w:pPr>
            <w:r>
              <w:rPr>
                <w:rFonts w:eastAsia="仿宋"/>
                <w:szCs w:val="21"/>
              </w:rPr>
              <w:t>环境要素</w:t>
            </w:r>
          </w:p>
        </w:tc>
        <w:tc>
          <w:tcPr>
            <w:tcW w:w="1559" w:type="dxa"/>
            <w:vAlign w:val="center"/>
          </w:tcPr>
          <w:p w14:paraId="1B2BE040">
            <w:pPr>
              <w:adjustRightInd w:val="0"/>
              <w:snapToGrid w:val="0"/>
              <w:jc w:val="center"/>
              <w:textAlignment w:val="baseline"/>
              <w:rPr>
                <w:rFonts w:eastAsia="仿宋"/>
                <w:szCs w:val="21"/>
              </w:rPr>
            </w:pPr>
            <w:r>
              <w:rPr>
                <w:rFonts w:eastAsia="仿宋"/>
                <w:szCs w:val="21"/>
              </w:rPr>
              <w:t>评价工作等级</w:t>
            </w:r>
          </w:p>
        </w:tc>
        <w:tc>
          <w:tcPr>
            <w:tcW w:w="5476" w:type="dxa"/>
            <w:vAlign w:val="center"/>
          </w:tcPr>
          <w:p w14:paraId="664A8EE0">
            <w:pPr>
              <w:adjustRightInd w:val="0"/>
              <w:snapToGrid w:val="0"/>
              <w:jc w:val="center"/>
              <w:textAlignment w:val="baseline"/>
              <w:rPr>
                <w:rFonts w:eastAsia="仿宋"/>
                <w:szCs w:val="21"/>
              </w:rPr>
            </w:pPr>
            <w:r>
              <w:rPr>
                <w:rFonts w:eastAsia="仿宋"/>
                <w:szCs w:val="21"/>
              </w:rPr>
              <w:t>评价工作内容</w:t>
            </w:r>
          </w:p>
        </w:tc>
      </w:tr>
      <w:tr w14:paraId="77E4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1" w:type="dxa"/>
            <w:vAlign w:val="center"/>
          </w:tcPr>
          <w:p w14:paraId="67D8B4B6">
            <w:pPr>
              <w:adjustRightInd w:val="0"/>
              <w:snapToGrid w:val="0"/>
              <w:jc w:val="center"/>
              <w:textAlignment w:val="baseline"/>
              <w:rPr>
                <w:rFonts w:eastAsia="仿宋"/>
                <w:szCs w:val="21"/>
              </w:rPr>
            </w:pPr>
            <w:r>
              <w:rPr>
                <w:rFonts w:eastAsia="仿宋"/>
                <w:szCs w:val="21"/>
              </w:rPr>
              <w:t>大气</w:t>
            </w:r>
          </w:p>
        </w:tc>
        <w:tc>
          <w:tcPr>
            <w:tcW w:w="1559" w:type="dxa"/>
            <w:vAlign w:val="center"/>
          </w:tcPr>
          <w:p w14:paraId="47BE8786">
            <w:pPr>
              <w:adjustRightInd w:val="0"/>
              <w:snapToGrid w:val="0"/>
              <w:jc w:val="center"/>
              <w:textAlignment w:val="baseline"/>
              <w:rPr>
                <w:rFonts w:eastAsia="仿宋"/>
                <w:szCs w:val="21"/>
              </w:rPr>
            </w:pPr>
            <w:r>
              <w:rPr>
                <w:rFonts w:hint="eastAsia" w:eastAsia="仿宋"/>
                <w:szCs w:val="21"/>
              </w:rPr>
              <w:t>二</w:t>
            </w:r>
          </w:p>
        </w:tc>
        <w:tc>
          <w:tcPr>
            <w:tcW w:w="5476" w:type="dxa"/>
            <w:vAlign w:val="center"/>
          </w:tcPr>
          <w:p w14:paraId="0A4E777C">
            <w:pPr>
              <w:autoSpaceDE w:val="0"/>
              <w:autoSpaceDN w:val="0"/>
              <w:adjustRightInd w:val="0"/>
              <w:jc w:val="left"/>
              <w:rPr>
                <w:rFonts w:eastAsia="仿宋"/>
                <w:szCs w:val="21"/>
              </w:rPr>
            </w:pPr>
            <w:r>
              <w:rPr>
                <w:rFonts w:hint="eastAsia" w:eastAsia="仿宋"/>
                <w:szCs w:val="21"/>
              </w:rPr>
              <w:t>需选取最不利气象条件，选择适用的数值方法进行分析预测，给出风险事故情形下危险物质释放可能造成的大气环境影响范围与程度</w:t>
            </w:r>
          </w:p>
        </w:tc>
      </w:tr>
      <w:tr w14:paraId="1ABE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1" w:type="dxa"/>
            <w:vAlign w:val="center"/>
          </w:tcPr>
          <w:p w14:paraId="7603DE15">
            <w:pPr>
              <w:adjustRightInd w:val="0"/>
              <w:snapToGrid w:val="0"/>
              <w:jc w:val="center"/>
              <w:textAlignment w:val="baseline"/>
              <w:rPr>
                <w:rFonts w:eastAsia="仿宋"/>
                <w:szCs w:val="21"/>
              </w:rPr>
            </w:pPr>
            <w:r>
              <w:rPr>
                <w:rFonts w:eastAsia="仿宋"/>
                <w:szCs w:val="21"/>
              </w:rPr>
              <w:t>地表水</w:t>
            </w:r>
          </w:p>
        </w:tc>
        <w:tc>
          <w:tcPr>
            <w:tcW w:w="1559" w:type="dxa"/>
            <w:vAlign w:val="center"/>
          </w:tcPr>
          <w:p w14:paraId="68D080C2">
            <w:pPr>
              <w:adjustRightInd w:val="0"/>
              <w:snapToGrid w:val="0"/>
              <w:jc w:val="center"/>
              <w:textAlignment w:val="baseline"/>
              <w:rPr>
                <w:rFonts w:eastAsia="仿宋"/>
                <w:szCs w:val="21"/>
              </w:rPr>
            </w:pPr>
            <w:r>
              <w:rPr>
                <w:rFonts w:hint="eastAsia" w:eastAsia="仿宋"/>
                <w:szCs w:val="21"/>
              </w:rPr>
              <w:t>三</w:t>
            </w:r>
          </w:p>
        </w:tc>
        <w:tc>
          <w:tcPr>
            <w:tcW w:w="5476" w:type="dxa"/>
            <w:vAlign w:val="center"/>
          </w:tcPr>
          <w:p w14:paraId="1608DD98">
            <w:pPr>
              <w:autoSpaceDE w:val="0"/>
              <w:autoSpaceDN w:val="0"/>
              <w:adjustRightInd w:val="0"/>
              <w:jc w:val="left"/>
              <w:rPr>
                <w:rFonts w:eastAsia="仿宋"/>
                <w:szCs w:val="21"/>
              </w:rPr>
            </w:pPr>
            <w:r>
              <w:rPr>
                <w:rFonts w:hint="eastAsia" w:eastAsia="仿宋"/>
                <w:szCs w:val="21"/>
              </w:rPr>
              <w:t>本项目</w:t>
            </w:r>
            <w:r>
              <w:rPr>
                <w:rFonts w:eastAsia="仿宋"/>
                <w:szCs w:val="21"/>
              </w:rPr>
              <w:t>发生泄漏、火灾或爆炸事故时，关闭排放口的截流阀，将事故废水截留在雨水或污水收集系统内以待进一步处理，收集系统不能容纳泄漏物或伴生/次生污染物时，用提升泵将其打入事故应急池暂存，可防止事故伴生/次生的泄漏物、污水、消防水直接流入园区污水管网和雨水管网，进而进入周边地表体。因此，</w:t>
            </w:r>
            <w:r>
              <w:rPr>
                <w:rFonts w:hint="eastAsia" w:eastAsia="仿宋"/>
                <w:szCs w:val="21"/>
              </w:rPr>
              <w:t>本次环评</w:t>
            </w:r>
            <w:r>
              <w:rPr>
                <w:rFonts w:eastAsia="仿宋"/>
                <w:szCs w:val="21"/>
              </w:rPr>
              <w:t>不进行地表水风险预测评价</w:t>
            </w:r>
          </w:p>
        </w:tc>
      </w:tr>
      <w:tr w14:paraId="2B21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81" w:type="dxa"/>
            <w:vAlign w:val="center"/>
          </w:tcPr>
          <w:p w14:paraId="523F8289">
            <w:pPr>
              <w:adjustRightInd w:val="0"/>
              <w:snapToGrid w:val="0"/>
              <w:jc w:val="center"/>
              <w:textAlignment w:val="baseline"/>
              <w:rPr>
                <w:rFonts w:eastAsia="仿宋"/>
                <w:szCs w:val="21"/>
              </w:rPr>
            </w:pPr>
            <w:r>
              <w:rPr>
                <w:rFonts w:eastAsia="仿宋"/>
                <w:szCs w:val="21"/>
              </w:rPr>
              <w:t>地下水</w:t>
            </w:r>
          </w:p>
        </w:tc>
        <w:tc>
          <w:tcPr>
            <w:tcW w:w="1559" w:type="dxa"/>
            <w:vAlign w:val="center"/>
          </w:tcPr>
          <w:p w14:paraId="1D44135C">
            <w:pPr>
              <w:adjustRightInd w:val="0"/>
              <w:snapToGrid w:val="0"/>
              <w:jc w:val="center"/>
              <w:textAlignment w:val="baseline"/>
              <w:rPr>
                <w:rFonts w:eastAsia="仿宋"/>
                <w:szCs w:val="21"/>
              </w:rPr>
            </w:pPr>
            <w:r>
              <w:rPr>
                <w:rFonts w:hint="eastAsia" w:eastAsia="仿宋"/>
                <w:szCs w:val="21"/>
              </w:rPr>
              <w:t>简单分析</w:t>
            </w:r>
          </w:p>
        </w:tc>
        <w:tc>
          <w:tcPr>
            <w:tcW w:w="5476" w:type="dxa"/>
            <w:vAlign w:val="center"/>
          </w:tcPr>
          <w:p w14:paraId="7EB06BFD">
            <w:pPr>
              <w:autoSpaceDE w:val="0"/>
              <w:autoSpaceDN w:val="0"/>
              <w:adjustRightInd w:val="0"/>
              <w:jc w:val="left"/>
              <w:rPr>
                <w:rFonts w:eastAsia="仿宋"/>
                <w:szCs w:val="21"/>
              </w:rPr>
            </w:pPr>
            <w:r>
              <w:rPr>
                <w:rFonts w:hint="eastAsia" w:eastAsia="仿宋"/>
                <w:szCs w:val="21"/>
              </w:rPr>
              <w:t>从风险源、环境影响途径、环境敏感目标等方面分析应采取的风险防范措施和应急措施。</w:t>
            </w:r>
          </w:p>
        </w:tc>
      </w:tr>
    </w:tbl>
    <w:p w14:paraId="4C8D1A95">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.3.1.5评价范围</w:t>
      </w:r>
    </w:p>
    <w:p w14:paraId="777347DF">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根据《评价技术导则建设项目环境风险》（HJ169-2018），本项目各要素环境风险评价范围见表5.3-18。</w:t>
      </w:r>
    </w:p>
    <w:p w14:paraId="7B15FD84">
      <w:pPr>
        <w:spacing w:line="500" w:lineRule="exact"/>
        <w:jc w:val="center"/>
        <w:rPr>
          <w:rFonts w:ascii="Times New Roman" w:eastAsia="仿宋"/>
          <w:b/>
        </w:rPr>
      </w:pPr>
      <w:r>
        <w:rPr>
          <w:rFonts w:ascii="Times New Roman" w:eastAsia="仿宋"/>
          <w:b/>
        </w:rPr>
        <w:t>表</w:t>
      </w:r>
      <w:r>
        <w:rPr>
          <w:rFonts w:hint="eastAsia" w:ascii="Times New Roman" w:eastAsia="仿宋"/>
          <w:b/>
        </w:rPr>
        <w:t>5.3-18</w:t>
      </w:r>
      <w:r>
        <w:rPr>
          <w:rFonts w:ascii="Times New Roman" w:eastAsia="仿宋"/>
          <w:b/>
        </w:rPr>
        <w:t xml:space="preserve"> 各要素环境风险评价范围</w:t>
      </w:r>
    </w:p>
    <w:tbl>
      <w:tblPr>
        <w:tblStyle w:val="8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3"/>
        <w:gridCol w:w="6663"/>
      </w:tblGrid>
      <w:tr w14:paraId="1E10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3" w:type="dxa"/>
            <w:vAlign w:val="center"/>
          </w:tcPr>
          <w:p w14:paraId="093CA3B6">
            <w:pPr>
              <w:adjustRightInd w:val="0"/>
              <w:snapToGrid w:val="0"/>
              <w:jc w:val="center"/>
              <w:textAlignment w:val="baseline"/>
              <w:rPr>
                <w:rFonts w:eastAsia="仿宋"/>
                <w:szCs w:val="21"/>
                <w:lang w:val="zh-CN"/>
              </w:rPr>
            </w:pPr>
            <w:r>
              <w:rPr>
                <w:rFonts w:eastAsia="仿宋"/>
                <w:szCs w:val="21"/>
                <w:lang w:val="zh-CN"/>
              </w:rPr>
              <w:t>环境要素</w:t>
            </w:r>
          </w:p>
        </w:tc>
        <w:tc>
          <w:tcPr>
            <w:tcW w:w="6663" w:type="dxa"/>
            <w:vAlign w:val="center"/>
          </w:tcPr>
          <w:p w14:paraId="7D92AFBD">
            <w:pPr>
              <w:adjustRightInd w:val="0"/>
              <w:snapToGrid w:val="0"/>
              <w:jc w:val="center"/>
              <w:textAlignment w:val="baseline"/>
              <w:rPr>
                <w:rFonts w:eastAsia="仿宋"/>
                <w:szCs w:val="21"/>
                <w:lang w:val="zh-CN"/>
              </w:rPr>
            </w:pPr>
            <w:r>
              <w:rPr>
                <w:rFonts w:eastAsia="仿宋"/>
                <w:szCs w:val="21"/>
                <w:lang w:val="zh-CN"/>
              </w:rPr>
              <w:t>评价范围</w:t>
            </w:r>
          </w:p>
        </w:tc>
      </w:tr>
      <w:tr w14:paraId="1363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3" w:type="dxa"/>
            <w:vAlign w:val="center"/>
          </w:tcPr>
          <w:p w14:paraId="7755223D">
            <w:pPr>
              <w:adjustRightInd w:val="0"/>
              <w:snapToGrid w:val="0"/>
              <w:jc w:val="center"/>
              <w:textAlignment w:val="baseline"/>
              <w:rPr>
                <w:rFonts w:eastAsia="仿宋"/>
                <w:szCs w:val="21"/>
                <w:lang w:val="zh-CN"/>
              </w:rPr>
            </w:pPr>
            <w:r>
              <w:rPr>
                <w:rFonts w:eastAsia="仿宋"/>
                <w:szCs w:val="21"/>
                <w:lang w:val="zh-CN"/>
              </w:rPr>
              <w:t>大气</w:t>
            </w:r>
          </w:p>
        </w:tc>
        <w:tc>
          <w:tcPr>
            <w:tcW w:w="6663" w:type="dxa"/>
            <w:vAlign w:val="center"/>
          </w:tcPr>
          <w:p w14:paraId="3FCC324F">
            <w:pPr>
              <w:adjustRightInd w:val="0"/>
              <w:snapToGrid w:val="0"/>
              <w:jc w:val="center"/>
              <w:textAlignment w:val="baseline"/>
              <w:rPr>
                <w:rFonts w:eastAsia="仿宋"/>
                <w:szCs w:val="21"/>
                <w:lang w:val="zh-CN"/>
              </w:rPr>
            </w:pPr>
            <w:r>
              <w:rPr>
                <w:rFonts w:eastAsia="仿宋"/>
                <w:szCs w:val="21"/>
                <w:lang w:val="zh-CN"/>
              </w:rPr>
              <w:t>距建设项目边界5km</w:t>
            </w:r>
          </w:p>
        </w:tc>
      </w:tr>
      <w:tr w14:paraId="5161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3" w:type="dxa"/>
            <w:vAlign w:val="center"/>
          </w:tcPr>
          <w:p w14:paraId="4521BFFB">
            <w:pPr>
              <w:adjustRightInd w:val="0"/>
              <w:snapToGrid w:val="0"/>
              <w:jc w:val="center"/>
              <w:textAlignment w:val="baseline"/>
              <w:rPr>
                <w:rFonts w:eastAsia="仿宋"/>
                <w:szCs w:val="21"/>
                <w:lang w:val="zh-CN"/>
              </w:rPr>
            </w:pPr>
            <w:r>
              <w:rPr>
                <w:rFonts w:eastAsia="仿宋"/>
                <w:szCs w:val="21"/>
                <w:lang w:val="zh-CN"/>
              </w:rPr>
              <w:t>地表水</w:t>
            </w:r>
          </w:p>
        </w:tc>
        <w:tc>
          <w:tcPr>
            <w:tcW w:w="6663" w:type="dxa"/>
            <w:tcBorders>
              <w:top w:val="single" w:color="auto" w:sz="4" w:space="0"/>
              <w:left w:val="single" w:color="auto" w:sz="4" w:space="0"/>
              <w:bottom w:val="single" w:color="auto" w:sz="4" w:space="0"/>
              <w:right w:val="single" w:color="auto" w:sz="4" w:space="0"/>
            </w:tcBorders>
            <w:vAlign w:val="center"/>
          </w:tcPr>
          <w:p w14:paraId="1C51EEC2">
            <w:pPr>
              <w:adjustRightInd w:val="0"/>
              <w:snapToGrid w:val="0"/>
              <w:jc w:val="center"/>
              <w:textAlignment w:val="baseline"/>
              <w:rPr>
                <w:rFonts w:eastAsia="仿宋"/>
                <w:szCs w:val="21"/>
                <w:lang w:val="zh-CN"/>
              </w:rPr>
            </w:pPr>
            <w:r>
              <w:rPr>
                <w:rFonts w:hint="eastAsia" w:eastAsia="仿宋"/>
                <w:szCs w:val="21"/>
                <w:lang w:val="zh-CN"/>
              </w:rPr>
              <w:t>①</w:t>
            </w:r>
            <w:r>
              <w:rPr>
                <w:rFonts w:eastAsia="仿宋"/>
                <w:szCs w:val="21"/>
                <w:lang w:val="zh-CN"/>
              </w:rPr>
              <w:t>覆盖建设项目污染影响所及水域；</w:t>
            </w:r>
            <w:r>
              <w:rPr>
                <w:rFonts w:hint="eastAsia" w:eastAsia="仿宋"/>
                <w:szCs w:val="21"/>
                <w:lang w:val="zh-CN"/>
              </w:rPr>
              <w:t>②</w:t>
            </w:r>
            <w:r>
              <w:rPr>
                <w:rFonts w:eastAsia="仿宋"/>
                <w:szCs w:val="21"/>
                <w:lang w:val="zh-CN"/>
              </w:rPr>
              <w:t>覆盖对照断面、控制断面与消减断面等关心断面的要求</w:t>
            </w:r>
          </w:p>
        </w:tc>
      </w:tr>
      <w:tr w14:paraId="139F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3" w:type="dxa"/>
            <w:vAlign w:val="center"/>
          </w:tcPr>
          <w:p w14:paraId="7599462A">
            <w:pPr>
              <w:adjustRightInd w:val="0"/>
              <w:snapToGrid w:val="0"/>
              <w:jc w:val="center"/>
              <w:textAlignment w:val="baseline"/>
              <w:rPr>
                <w:rFonts w:eastAsia="仿宋"/>
                <w:szCs w:val="21"/>
                <w:lang w:val="zh-CN"/>
              </w:rPr>
            </w:pPr>
            <w:r>
              <w:rPr>
                <w:rFonts w:eastAsia="仿宋"/>
                <w:szCs w:val="21"/>
                <w:lang w:val="zh-CN"/>
              </w:rPr>
              <w:t>地下水</w:t>
            </w:r>
          </w:p>
        </w:tc>
        <w:tc>
          <w:tcPr>
            <w:tcW w:w="6663" w:type="dxa"/>
            <w:tcBorders>
              <w:top w:val="single" w:color="auto" w:sz="4" w:space="0"/>
              <w:left w:val="single" w:color="auto" w:sz="4" w:space="0"/>
              <w:bottom w:val="single" w:color="auto" w:sz="4" w:space="0"/>
              <w:right w:val="single" w:color="auto" w:sz="4" w:space="0"/>
            </w:tcBorders>
            <w:vAlign w:val="center"/>
          </w:tcPr>
          <w:p w14:paraId="11030191">
            <w:pPr>
              <w:adjustRightInd w:val="0"/>
              <w:snapToGrid w:val="0"/>
              <w:jc w:val="center"/>
              <w:textAlignment w:val="baseline"/>
              <w:rPr>
                <w:rFonts w:eastAsia="仿宋"/>
                <w:szCs w:val="21"/>
                <w:lang w:val="zh-CN"/>
              </w:rPr>
            </w:pPr>
            <w:r>
              <w:rPr>
                <w:rFonts w:eastAsia="仿宋"/>
                <w:szCs w:val="21"/>
                <w:lang w:val="zh-CN"/>
              </w:rPr>
              <w:t>周边10km</w:t>
            </w:r>
            <w:r>
              <w:rPr>
                <w:rFonts w:eastAsia="仿宋"/>
                <w:szCs w:val="21"/>
                <w:vertAlign w:val="superscript"/>
                <w:lang w:val="zh-CN"/>
              </w:rPr>
              <w:t>2</w:t>
            </w:r>
            <w:r>
              <w:rPr>
                <w:rFonts w:eastAsia="仿宋"/>
                <w:szCs w:val="21"/>
                <w:lang w:val="zh-CN"/>
              </w:rPr>
              <w:t>范围内潜水层</w:t>
            </w:r>
          </w:p>
        </w:tc>
      </w:tr>
    </w:tbl>
    <w:p w14:paraId="4ECC5DD7">
      <w:pPr>
        <w:spacing w:line="500" w:lineRule="exact"/>
        <w:ind w:firstLine="562" w:firstLineChars="200"/>
        <w:rPr>
          <w:rFonts w:ascii="Times New Roman" w:eastAsia="仿宋"/>
          <w:sz w:val="28"/>
        </w:rPr>
      </w:pPr>
      <w:r>
        <w:rPr>
          <w:rFonts w:hint="eastAsia" w:ascii="Times New Roman" w:eastAsia="仿宋"/>
          <w:b/>
          <w:bCs/>
          <w:sz w:val="28"/>
        </w:rPr>
        <w:t>本项目</w:t>
      </w:r>
      <w:r>
        <w:rPr>
          <w:rFonts w:ascii="Times New Roman" w:eastAsia="仿宋"/>
          <w:b/>
          <w:bCs/>
          <w:sz w:val="28"/>
        </w:rPr>
        <w:t>风险评价范围示意图见附图</w:t>
      </w:r>
      <w:r>
        <w:rPr>
          <w:rFonts w:hint="eastAsia" w:ascii="Times New Roman" w:eastAsia="仿宋"/>
          <w:b/>
          <w:bCs/>
          <w:sz w:val="28"/>
        </w:rPr>
        <w:t>5.3-1</w:t>
      </w:r>
      <w:r>
        <w:rPr>
          <w:rFonts w:ascii="Times New Roman" w:eastAsia="仿宋"/>
          <w:b/>
          <w:bCs/>
          <w:sz w:val="28"/>
        </w:rPr>
        <w:t>。</w:t>
      </w:r>
    </w:p>
    <w:p w14:paraId="31D7C78A">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.3.2</w:t>
      </w:r>
      <w:r>
        <w:rPr>
          <w:rFonts w:hint="eastAsia" w:ascii="Times New Roman" w:eastAsia="仿宋"/>
          <w:bCs w:val="0"/>
          <w:sz w:val="28"/>
          <w:szCs w:val="28"/>
        </w:rPr>
        <w:t>风险事故情形及最大可信事故</w:t>
      </w:r>
    </w:p>
    <w:p w14:paraId="239765F9">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.3.2.1评价范围</w:t>
      </w:r>
    </w:p>
    <w:p w14:paraId="2980A57B">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本公司从事汽车零部件的生产，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2CBD298C">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（1）物料泄漏事故</w:t>
      </w:r>
    </w:p>
    <w:p w14:paraId="0D9F28E4">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根据《建设项目环境风险评价技术导则》（HJ 169-2018）附录E，常见物料泄漏事故类型及频率统计分析见下表。</w:t>
      </w:r>
    </w:p>
    <w:p w14:paraId="7A822394">
      <w:pPr>
        <w:spacing w:line="500" w:lineRule="exact"/>
        <w:jc w:val="center"/>
        <w:rPr>
          <w:rFonts w:ascii="Times New Roman" w:eastAsia="仿宋"/>
          <w:b/>
        </w:rPr>
      </w:pPr>
      <w:r>
        <w:rPr>
          <w:rFonts w:hint="eastAsia" w:ascii="Times New Roman" w:eastAsia="仿宋"/>
          <w:b/>
        </w:rPr>
        <w:t>表5.3-19  物料泄漏事故类型及频率统计表</w:t>
      </w:r>
    </w:p>
    <w:tbl>
      <w:tblPr>
        <w:tblStyle w:val="8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2"/>
        <w:gridCol w:w="4767"/>
        <w:gridCol w:w="2127"/>
      </w:tblGrid>
      <w:tr w14:paraId="47A7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032" w:type="dxa"/>
            <w:vAlign w:val="center"/>
          </w:tcPr>
          <w:p w14:paraId="30407B7B">
            <w:pPr>
              <w:kinsoku w:val="0"/>
              <w:overflowPunct w:val="0"/>
              <w:autoSpaceDE w:val="0"/>
              <w:autoSpaceDN w:val="0"/>
              <w:adjustRightInd w:val="0"/>
              <w:snapToGrid w:val="0"/>
              <w:jc w:val="center"/>
              <w:rPr>
                <w:rFonts w:ascii="Times New Roman" w:eastAsia="仿宋"/>
              </w:rPr>
            </w:pPr>
            <w:r>
              <w:rPr>
                <w:rFonts w:ascii="Times New Roman" w:eastAsia="仿宋"/>
              </w:rPr>
              <w:t>部件类型</w:t>
            </w:r>
          </w:p>
        </w:tc>
        <w:tc>
          <w:tcPr>
            <w:tcW w:w="4767" w:type="dxa"/>
            <w:vAlign w:val="center"/>
          </w:tcPr>
          <w:p w14:paraId="122DA203">
            <w:pPr>
              <w:kinsoku w:val="0"/>
              <w:overflowPunct w:val="0"/>
              <w:autoSpaceDE w:val="0"/>
              <w:autoSpaceDN w:val="0"/>
              <w:adjustRightInd w:val="0"/>
              <w:snapToGrid w:val="0"/>
              <w:jc w:val="center"/>
              <w:rPr>
                <w:rFonts w:ascii="Times New Roman" w:eastAsia="仿宋"/>
              </w:rPr>
            </w:pPr>
            <w:r>
              <w:rPr>
                <w:rFonts w:ascii="Times New Roman" w:eastAsia="仿宋"/>
              </w:rPr>
              <w:t>泄漏模式</w:t>
            </w:r>
          </w:p>
        </w:tc>
        <w:tc>
          <w:tcPr>
            <w:tcW w:w="2127" w:type="dxa"/>
            <w:vAlign w:val="center"/>
          </w:tcPr>
          <w:p w14:paraId="04FFF840">
            <w:pPr>
              <w:kinsoku w:val="0"/>
              <w:overflowPunct w:val="0"/>
              <w:autoSpaceDE w:val="0"/>
              <w:autoSpaceDN w:val="0"/>
              <w:adjustRightInd w:val="0"/>
              <w:snapToGrid w:val="0"/>
              <w:jc w:val="center"/>
              <w:rPr>
                <w:rFonts w:ascii="Times New Roman" w:eastAsia="仿宋"/>
              </w:rPr>
            </w:pPr>
            <w:r>
              <w:rPr>
                <w:rFonts w:ascii="Times New Roman" w:eastAsia="仿宋"/>
              </w:rPr>
              <w:t>泄漏频率</w:t>
            </w:r>
          </w:p>
        </w:tc>
      </w:tr>
      <w:tr w14:paraId="3CB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31A216BD">
            <w:pPr>
              <w:kinsoku w:val="0"/>
              <w:overflowPunct w:val="0"/>
              <w:autoSpaceDE w:val="0"/>
              <w:autoSpaceDN w:val="0"/>
              <w:adjustRightInd w:val="0"/>
              <w:snapToGrid w:val="0"/>
              <w:jc w:val="center"/>
              <w:rPr>
                <w:rFonts w:ascii="Times New Roman" w:eastAsia="仿宋"/>
              </w:rPr>
            </w:pPr>
            <w:r>
              <w:rPr>
                <w:rFonts w:ascii="Times New Roman" w:eastAsia="仿宋"/>
              </w:rPr>
              <w:t>反应器/工艺储罐/气体储罐/塔器</w:t>
            </w:r>
          </w:p>
        </w:tc>
        <w:tc>
          <w:tcPr>
            <w:tcW w:w="4767" w:type="dxa"/>
            <w:vAlign w:val="center"/>
          </w:tcPr>
          <w:p w14:paraId="0C22CFE8">
            <w:pPr>
              <w:kinsoku w:val="0"/>
              <w:overflowPunct w:val="0"/>
              <w:autoSpaceDE w:val="0"/>
              <w:autoSpaceDN w:val="0"/>
              <w:adjustRightInd w:val="0"/>
              <w:snapToGrid w:val="0"/>
              <w:jc w:val="center"/>
              <w:rPr>
                <w:rFonts w:ascii="Times New Roman" w:eastAsia="仿宋"/>
              </w:rPr>
            </w:pPr>
            <w:r>
              <w:rPr>
                <w:rFonts w:ascii="Times New Roman" w:eastAsia="仿宋"/>
              </w:rPr>
              <w:t>泄漏孔径为10mm孔径</w:t>
            </w:r>
          </w:p>
          <w:p w14:paraId="364E60DB">
            <w:pPr>
              <w:kinsoku w:val="0"/>
              <w:overflowPunct w:val="0"/>
              <w:autoSpaceDE w:val="0"/>
              <w:autoSpaceDN w:val="0"/>
              <w:adjustRightInd w:val="0"/>
              <w:snapToGrid w:val="0"/>
              <w:jc w:val="center"/>
              <w:rPr>
                <w:rFonts w:ascii="Times New Roman" w:eastAsia="仿宋"/>
              </w:rPr>
            </w:pPr>
            <w:r>
              <w:rPr>
                <w:rFonts w:ascii="Times New Roman" w:eastAsia="仿宋"/>
              </w:rPr>
              <w:t>10min内储罐泄漏完</w:t>
            </w:r>
          </w:p>
          <w:p w14:paraId="1E666C7F">
            <w:pPr>
              <w:kinsoku w:val="0"/>
              <w:overflowPunct w:val="0"/>
              <w:autoSpaceDE w:val="0"/>
              <w:autoSpaceDN w:val="0"/>
              <w:adjustRightInd w:val="0"/>
              <w:snapToGrid w:val="0"/>
              <w:jc w:val="center"/>
              <w:rPr>
                <w:rFonts w:ascii="Times New Roman" w:eastAsia="仿宋"/>
              </w:rPr>
            </w:pPr>
            <w:r>
              <w:rPr>
                <w:rFonts w:ascii="Times New Roman" w:eastAsia="仿宋"/>
              </w:rPr>
              <w:t>储罐全破裂</w:t>
            </w:r>
          </w:p>
        </w:tc>
        <w:tc>
          <w:tcPr>
            <w:tcW w:w="2127" w:type="dxa"/>
            <w:vAlign w:val="center"/>
          </w:tcPr>
          <w:p w14:paraId="4BA93D3E">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-4</w:t>
            </w:r>
            <w:r>
              <w:rPr>
                <w:rFonts w:ascii="Times New Roman" w:eastAsia="仿宋"/>
              </w:rPr>
              <w:t>/a</w:t>
            </w:r>
          </w:p>
          <w:p w14:paraId="1F62800C">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-6</w:t>
            </w:r>
            <w:r>
              <w:rPr>
                <w:rFonts w:ascii="Times New Roman" w:eastAsia="仿宋"/>
              </w:rPr>
              <w:t>/a</w:t>
            </w:r>
          </w:p>
          <w:p w14:paraId="2673D234">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-6</w:t>
            </w:r>
            <w:r>
              <w:rPr>
                <w:rFonts w:ascii="Times New Roman" w:eastAsia="仿宋"/>
              </w:rPr>
              <w:t>/a</w:t>
            </w:r>
          </w:p>
        </w:tc>
      </w:tr>
      <w:tr w14:paraId="5094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7E12C629">
            <w:pPr>
              <w:kinsoku w:val="0"/>
              <w:overflowPunct w:val="0"/>
              <w:autoSpaceDE w:val="0"/>
              <w:autoSpaceDN w:val="0"/>
              <w:adjustRightInd w:val="0"/>
              <w:snapToGrid w:val="0"/>
              <w:jc w:val="center"/>
              <w:rPr>
                <w:rFonts w:ascii="Times New Roman" w:eastAsia="仿宋"/>
              </w:rPr>
            </w:pPr>
            <w:r>
              <w:rPr>
                <w:rFonts w:ascii="Times New Roman" w:eastAsia="仿宋"/>
              </w:rPr>
              <w:t>常压单包容储罐</w:t>
            </w:r>
          </w:p>
        </w:tc>
        <w:tc>
          <w:tcPr>
            <w:tcW w:w="4767" w:type="dxa"/>
            <w:vAlign w:val="center"/>
          </w:tcPr>
          <w:p w14:paraId="1138F200">
            <w:pPr>
              <w:kinsoku w:val="0"/>
              <w:overflowPunct w:val="0"/>
              <w:autoSpaceDE w:val="0"/>
              <w:autoSpaceDN w:val="0"/>
              <w:adjustRightInd w:val="0"/>
              <w:snapToGrid w:val="0"/>
              <w:jc w:val="center"/>
              <w:rPr>
                <w:rFonts w:ascii="Times New Roman" w:eastAsia="仿宋"/>
              </w:rPr>
            </w:pPr>
            <w:r>
              <w:rPr>
                <w:rFonts w:ascii="Times New Roman" w:eastAsia="仿宋"/>
              </w:rPr>
              <w:t>泄漏孔径为10mm孔径</w:t>
            </w:r>
          </w:p>
          <w:p w14:paraId="0FB71211">
            <w:pPr>
              <w:kinsoku w:val="0"/>
              <w:overflowPunct w:val="0"/>
              <w:autoSpaceDE w:val="0"/>
              <w:autoSpaceDN w:val="0"/>
              <w:adjustRightInd w:val="0"/>
              <w:snapToGrid w:val="0"/>
              <w:jc w:val="center"/>
              <w:rPr>
                <w:rFonts w:ascii="Times New Roman" w:eastAsia="仿宋"/>
              </w:rPr>
            </w:pPr>
            <w:r>
              <w:rPr>
                <w:rFonts w:ascii="Times New Roman" w:eastAsia="仿宋"/>
              </w:rPr>
              <w:t>10min内储罐泄漏完</w:t>
            </w:r>
          </w:p>
          <w:p w14:paraId="4C5DA883">
            <w:pPr>
              <w:kinsoku w:val="0"/>
              <w:overflowPunct w:val="0"/>
              <w:autoSpaceDE w:val="0"/>
              <w:autoSpaceDN w:val="0"/>
              <w:adjustRightInd w:val="0"/>
              <w:snapToGrid w:val="0"/>
              <w:jc w:val="center"/>
              <w:rPr>
                <w:rFonts w:ascii="Times New Roman" w:eastAsia="仿宋"/>
              </w:rPr>
            </w:pPr>
            <w:r>
              <w:rPr>
                <w:rFonts w:ascii="Times New Roman" w:eastAsia="仿宋"/>
              </w:rPr>
              <w:t>储罐全破裂</w:t>
            </w:r>
          </w:p>
        </w:tc>
        <w:tc>
          <w:tcPr>
            <w:tcW w:w="2127" w:type="dxa"/>
            <w:vAlign w:val="center"/>
          </w:tcPr>
          <w:p w14:paraId="6B52F2D8">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-4</w:t>
            </w:r>
            <w:r>
              <w:rPr>
                <w:rFonts w:ascii="Times New Roman" w:eastAsia="仿宋"/>
              </w:rPr>
              <w:t>/a</w:t>
            </w:r>
          </w:p>
          <w:p w14:paraId="65D76A95">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-6</w:t>
            </w:r>
            <w:r>
              <w:rPr>
                <w:rFonts w:ascii="Times New Roman" w:eastAsia="仿宋"/>
              </w:rPr>
              <w:t>/a</w:t>
            </w:r>
          </w:p>
          <w:p w14:paraId="23AE7E08">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-6</w:t>
            </w:r>
            <w:r>
              <w:rPr>
                <w:rFonts w:ascii="Times New Roman" w:eastAsia="仿宋"/>
              </w:rPr>
              <w:t>/a</w:t>
            </w:r>
          </w:p>
        </w:tc>
      </w:tr>
      <w:tr w14:paraId="675E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0D9C902A">
            <w:pPr>
              <w:kinsoku w:val="0"/>
              <w:overflowPunct w:val="0"/>
              <w:autoSpaceDE w:val="0"/>
              <w:autoSpaceDN w:val="0"/>
              <w:adjustRightInd w:val="0"/>
              <w:snapToGrid w:val="0"/>
              <w:jc w:val="center"/>
              <w:rPr>
                <w:rFonts w:ascii="Times New Roman" w:eastAsia="仿宋"/>
              </w:rPr>
            </w:pPr>
            <w:r>
              <w:rPr>
                <w:rFonts w:ascii="Times New Roman" w:eastAsia="仿宋"/>
              </w:rPr>
              <w:t>常压双包容储罐</w:t>
            </w:r>
          </w:p>
        </w:tc>
        <w:tc>
          <w:tcPr>
            <w:tcW w:w="4767" w:type="dxa"/>
            <w:vAlign w:val="center"/>
          </w:tcPr>
          <w:p w14:paraId="42523D38">
            <w:pPr>
              <w:kinsoku w:val="0"/>
              <w:overflowPunct w:val="0"/>
              <w:autoSpaceDE w:val="0"/>
              <w:autoSpaceDN w:val="0"/>
              <w:adjustRightInd w:val="0"/>
              <w:snapToGrid w:val="0"/>
              <w:jc w:val="center"/>
              <w:rPr>
                <w:rFonts w:ascii="Times New Roman" w:eastAsia="仿宋"/>
              </w:rPr>
            </w:pPr>
            <w:r>
              <w:rPr>
                <w:rFonts w:ascii="Times New Roman" w:eastAsia="仿宋"/>
              </w:rPr>
              <w:t>泄漏孔径为10mm孔径</w:t>
            </w:r>
          </w:p>
          <w:p w14:paraId="0C5E4F41">
            <w:pPr>
              <w:kinsoku w:val="0"/>
              <w:overflowPunct w:val="0"/>
              <w:autoSpaceDE w:val="0"/>
              <w:autoSpaceDN w:val="0"/>
              <w:adjustRightInd w:val="0"/>
              <w:snapToGrid w:val="0"/>
              <w:jc w:val="center"/>
              <w:rPr>
                <w:rFonts w:ascii="Times New Roman" w:eastAsia="仿宋"/>
              </w:rPr>
            </w:pPr>
            <w:r>
              <w:rPr>
                <w:rFonts w:ascii="Times New Roman" w:eastAsia="仿宋"/>
              </w:rPr>
              <w:t>10min内储罐泄漏完</w:t>
            </w:r>
          </w:p>
          <w:p w14:paraId="0A33B559">
            <w:pPr>
              <w:kinsoku w:val="0"/>
              <w:overflowPunct w:val="0"/>
              <w:autoSpaceDE w:val="0"/>
              <w:autoSpaceDN w:val="0"/>
              <w:adjustRightInd w:val="0"/>
              <w:snapToGrid w:val="0"/>
              <w:jc w:val="center"/>
              <w:rPr>
                <w:rFonts w:ascii="Times New Roman" w:eastAsia="仿宋"/>
              </w:rPr>
            </w:pPr>
            <w:r>
              <w:rPr>
                <w:rFonts w:ascii="Times New Roman" w:eastAsia="仿宋"/>
              </w:rPr>
              <w:t>储罐全破裂</w:t>
            </w:r>
          </w:p>
        </w:tc>
        <w:tc>
          <w:tcPr>
            <w:tcW w:w="2127" w:type="dxa"/>
            <w:vAlign w:val="center"/>
          </w:tcPr>
          <w:p w14:paraId="77D8F567">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-4</w:t>
            </w:r>
            <w:r>
              <w:rPr>
                <w:rFonts w:ascii="Times New Roman" w:eastAsia="仿宋"/>
              </w:rPr>
              <w:t>/a</w:t>
            </w:r>
          </w:p>
          <w:p w14:paraId="35206D29">
            <w:pPr>
              <w:kinsoku w:val="0"/>
              <w:overflowPunct w:val="0"/>
              <w:autoSpaceDE w:val="0"/>
              <w:autoSpaceDN w:val="0"/>
              <w:adjustRightInd w:val="0"/>
              <w:snapToGrid w:val="0"/>
              <w:jc w:val="center"/>
              <w:rPr>
                <w:rFonts w:ascii="Times New Roman" w:eastAsia="仿宋"/>
              </w:rPr>
            </w:pPr>
            <w:r>
              <w:rPr>
                <w:rFonts w:ascii="Times New Roman" w:eastAsia="仿宋"/>
              </w:rPr>
              <w:t>1.25×10</w:t>
            </w:r>
            <w:r>
              <w:rPr>
                <w:rFonts w:ascii="Times New Roman" w:eastAsia="仿宋"/>
                <w:vertAlign w:val="superscript"/>
              </w:rPr>
              <w:t>-8</w:t>
            </w:r>
            <w:r>
              <w:rPr>
                <w:rFonts w:ascii="Times New Roman" w:eastAsia="仿宋"/>
              </w:rPr>
              <w:t>/a</w:t>
            </w:r>
          </w:p>
          <w:p w14:paraId="5175D7C3">
            <w:pPr>
              <w:kinsoku w:val="0"/>
              <w:overflowPunct w:val="0"/>
              <w:autoSpaceDE w:val="0"/>
              <w:autoSpaceDN w:val="0"/>
              <w:adjustRightInd w:val="0"/>
              <w:snapToGrid w:val="0"/>
              <w:jc w:val="center"/>
              <w:rPr>
                <w:rFonts w:ascii="Times New Roman" w:eastAsia="仿宋"/>
              </w:rPr>
            </w:pPr>
            <w:r>
              <w:rPr>
                <w:rFonts w:ascii="Times New Roman" w:eastAsia="仿宋"/>
              </w:rPr>
              <w:t>1.25×10</w:t>
            </w:r>
            <w:r>
              <w:rPr>
                <w:rFonts w:ascii="Times New Roman" w:eastAsia="仿宋"/>
                <w:vertAlign w:val="superscript"/>
              </w:rPr>
              <w:t>-8</w:t>
            </w:r>
            <w:r>
              <w:rPr>
                <w:rFonts w:ascii="Times New Roman" w:eastAsia="仿宋"/>
              </w:rPr>
              <w:t>/a</w:t>
            </w:r>
          </w:p>
        </w:tc>
      </w:tr>
      <w:tr w14:paraId="12E5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1FFE1D39">
            <w:pPr>
              <w:kinsoku w:val="0"/>
              <w:overflowPunct w:val="0"/>
              <w:autoSpaceDE w:val="0"/>
              <w:autoSpaceDN w:val="0"/>
              <w:adjustRightInd w:val="0"/>
              <w:snapToGrid w:val="0"/>
              <w:jc w:val="center"/>
              <w:rPr>
                <w:rFonts w:ascii="Times New Roman" w:eastAsia="仿宋"/>
              </w:rPr>
            </w:pPr>
            <w:r>
              <w:rPr>
                <w:rFonts w:ascii="Times New Roman" w:eastAsia="仿宋"/>
              </w:rPr>
              <w:t>常压全包容储罐</w:t>
            </w:r>
          </w:p>
        </w:tc>
        <w:tc>
          <w:tcPr>
            <w:tcW w:w="4767" w:type="dxa"/>
            <w:vAlign w:val="center"/>
          </w:tcPr>
          <w:p w14:paraId="0C2254C2">
            <w:pPr>
              <w:kinsoku w:val="0"/>
              <w:overflowPunct w:val="0"/>
              <w:autoSpaceDE w:val="0"/>
              <w:autoSpaceDN w:val="0"/>
              <w:adjustRightInd w:val="0"/>
              <w:snapToGrid w:val="0"/>
              <w:jc w:val="center"/>
              <w:rPr>
                <w:rFonts w:ascii="Times New Roman" w:eastAsia="仿宋"/>
              </w:rPr>
            </w:pPr>
            <w:r>
              <w:rPr>
                <w:rFonts w:ascii="Times New Roman" w:eastAsia="仿宋"/>
              </w:rPr>
              <w:t>储罐全破裂</w:t>
            </w:r>
          </w:p>
        </w:tc>
        <w:tc>
          <w:tcPr>
            <w:tcW w:w="2127" w:type="dxa"/>
            <w:vAlign w:val="center"/>
          </w:tcPr>
          <w:p w14:paraId="344C2373">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-8</w:t>
            </w:r>
            <w:r>
              <w:rPr>
                <w:rFonts w:ascii="Times New Roman" w:eastAsia="仿宋"/>
              </w:rPr>
              <w:t>/a</w:t>
            </w:r>
          </w:p>
        </w:tc>
      </w:tr>
      <w:tr w14:paraId="7CF2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2CF3EF40">
            <w:pPr>
              <w:kinsoku w:val="0"/>
              <w:overflowPunct w:val="0"/>
              <w:autoSpaceDE w:val="0"/>
              <w:autoSpaceDN w:val="0"/>
              <w:adjustRightInd w:val="0"/>
              <w:snapToGrid w:val="0"/>
              <w:jc w:val="center"/>
              <w:rPr>
                <w:rFonts w:ascii="Times New Roman" w:eastAsia="仿宋"/>
              </w:rPr>
            </w:pPr>
            <w:r>
              <w:rPr>
                <w:rFonts w:ascii="Times New Roman" w:eastAsia="仿宋"/>
              </w:rPr>
              <w:t>内径≤75mm的管道</w:t>
            </w:r>
          </w:p>
        </w:tc>
        <w:tc>
          <w:tcPr>
            <w:tcW w:w="4767" w:type="dxa"/>
            <w:vAlign w:val="center"/>
          </w:tcPr>
          <w:p w14:paraId="3ABEC7CD">
            <w:pPr>
              <w:kinsoku w:val="0"/>
              <w:overflowPunct w:val="0"/>
              <w:autoSpaceDE w:val="0"/>
              <w:autoSpaceDN w:val="0"/>
              <w:adjustRightInd w:val="0"/>
              <w:snapToGrid w:val="0"/>
              <w:jc w:val="center"/>
              <w:rPr>
                <w:rFonts w:ascii="Times New Roman" w:eastAsia="仿宋"/>
              </w:rPr>
            </w:pPr>
            <w:r>
              <w:rPr>
                <w:rFonts w:ascii="Times New Roman" w:eastAsia="仿宋"/>
              </w:rPr>
              <w:t>泄漏孔径为10%孔径</w:t>
            </w:r>
          </w:p>
          <w:p w14:paraId="51668F8F">
            <w:pPr>
              <w:kinsoku w:val="0"/>
              <w:overflowPunct w:val="0"/>
              <w:autoSpaceDE w:val="0"/>
              <w:autoSpaceDN w:val="0"/>
              <w:adjustRightInd w:val="0"/>
              <w:snapToGrid w:val="0"/>
              <w:jc w:val="center"/>
              <w:rPr>
                <w:rFonts w:ascii="Times New Roman" w:eastAsia="仿宋"/>
              </w:rPr>
            </w:pPr>
            <w:r>
              <w:rPr>
                <w:rFonts w:ascii="Times New Roman" w:eastAsia="仿宋"/>
              </w:rPr>
              <w:t>全管径泄漏</w:t>
            </w:r>
          </w:p>
        </w:tc>
        <w:tc>
          <w:tcPr>
            <w:tcW w:w="2127" w:type="dxa"/>
            <w:vAlign w:val="center"/>
          </w:tcPr>
          <w:p w14:paraId="6FC3C2E9">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-6</w:t>
            </w:r>
            <w:r>
              <w:rPr>
                <w:rFonts w:ascii="Times New Roman" w:eastAsia="仿宋"/>
              </w:rPr>
              <w:t>/（m·a）</w:t>
            </w:r>
          </w:p>
          <w:p w14:paraId="01330310">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-6</w:t>
            </w:r>
            <w:r>
              <w:rPr>
                <w:rFonts w:ascii="Times New Roman" w:eastAsia="仿宋"/>
              </w:rPr>
              <w:t>/（m·a）</w:t>
            </w:r>
          </w:p>
        </w:tc>
      </w:tr>
      <w:tr w14:paraId="14FD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09ADCC12">
            <w:pPr>
              <w:kinsoku w:val="0"/>
              <w:overflowPunct w:val="0"/>
              <w:autoSpaceDE w:val="0"/>
              <w:autoSpaceDN w:val="0"/>
              <w:adjustRightInd w:val="0"/>
              <w:snapToGrid w:val="0"/>
              <w:jc w:val="center"/>
              <w:rPr>
                <w:rFonts w:ascii="Times New Roman" w:eastAsia="仿宋"/>
              </w:rPr>
            </w:pPr>
            <w:r>
              <w:rPr>
                <w:rFonts w:ascii="Times New Roman" w:eastAsia="仿宋"/>
              </w:rPr>
              <w:t>75mm&lt;内径≤150mm的管道</w:t>
            </w:r>
          </w:p>
        </w:tc>
        <w:tc>
          <w:tcPr>
            <w:tcW w:w="4767" w:type="dxa"/>
            <w:vAlign w:val="center"/>
          </w:tcPr>
          <w:p w14:paraId="0C28BA99">
            <w:pPr>
              <w:kinsoku w:val="0"/>
              <w:overflowPunct w:val="0"/>
              <w:autoSpaceDE w:val="0"/>
              <w:autoSpaceDN w:val="0"/>
              <w:adjustRightInd w:val="0"/>
              <w:snapToGrid w:val="0"/>
              <w:jc w:val="center"/>
              <w:rPr>
                <w:rFonts w:ascii="Times New Roman" w:eastAsia="仿宋"/>
              </w:rPr>
            </w:pPr>
            <w:r>
              <w:rPr>
                <w:rFonts w:ascii="Times New Roman" w:eastAsia="仿宋"/>
              </w:rPr>
              <w:t>泄漏孔径为10%孔径</w:t>
            </w:r>
          </w:p>
          <w:p w14:paraId="2E09DBB1">
            <w:pPr>
              <w:kinsoku w:val="0"/>
              <w:overflowPunct w:val="0"/>
              <w:autoSpaceDE w:val="0"/>
              <w:autoSpaceDN w:val="0"/>
              <w:adjustRightInd w:val="0"/>
              <w:snapToGrid w:val="0"/>
              <w:jc w:val="center"/>
              <w:rPr>
                <w:rFonts w:ascii="Times New Roman" w:eastAsia="仿宋"/>
              </w:rPr>
            </w:pPr>
            <w:r>
              <w:rPr>
                <w:rFonts w:ascii="Times New Roman" w:eastAsia="仿宋"/>
              </w:rPr>
              <w:t>全管径泄漏</w:t>
            </w:r>
          </w:p>
        </w:tc>
        <w:tc>
          <w:tcPr>
            <w:tcW w:w="2127" w:type="dxa"/>
            <w:vAlign w:val="center"/>
          </w:tcPr>
          <w:p w14:paraId="533C8B9A">
            <w:pPr>
              <w:kinsoku w:val="0"/>
              <w:overflowPunct w:val="0"/>
              <w:autoSpaceDE w:val="0"/>
              <w:autoSpaceDN w:val="0"/>
              <w:adjustRightInd w:val="0"/>
              <w:snapToGrid w:val="0"/>
              <w:jc w:val="center"/>
              <w:rPr>
                <w:rFonts w:ascii="Times New Roman" w:eastAsia="仿宋"/>
              </w:rPr>
            </w:pPr>
            <w:r>
              <w:rPr>
                <w:rFonts w:ascii="Times New Roman" w:eastAsia="仿宋"/>
              </w:rPr>
              <w:t>2.00×10</w:t>
            </w:r>
            <w:r>
              <w:rPr>
                <w:rFonts w:ascii="Times New Roman" w:eastAsia="仿宋"/>
                <w:vertAlign w:val="superscript"/>
              </w:rPr>
              <w:t>-6</w:t>
            </w:r>
            <w:r>
              <w:rPr>
                <w:rFonts w:ascii="Times New Roman" w:eastAsia="仿宋"/>
              </w:rPr>
              <w:t>/（m·a）</w:t>
            </w:r>
          </w:p>
          <w:p w14:paraId="349D59DB">
            <w:pPr>
              <w:kinsoku w:val="0"/>
              <w:overflowPunct w:val="0"/>
              <w:autoSpaceDE w:val="0"/>
              <w:autoSpaceDN w:val="0"/>
              <w:adjustRightInd w:val="0"/>
              <w:snapToGrid w:val="0"/>
              <w:jc w:val="center"/>
              <w:rPr>
                <w:rFonts w:ascii="Times New Roman" w:eastAsia="仿宋"/>
              </w:rPr>
            </w:pPr>
            <w:r>
              <w:rPr>
                <w:rFonts w:ascii="Times New Roman" w:eastAsia="仿宋"/>
              </w:rPr>
              <w:t>3.00×10</w:t>
            </w:r>
            <w:r>
              <w:rPr>
                <w:rFonts w:ascii="Times New Roman" w:eastAsia="仿宋"/>
                <w:vertAlign w:val="superscript"/>
              </w:rPr>
              <w:t>-7</w:t>
            </w:r>
            <w:r>
              <w:rPr>
                <w:rFonts w:ascii="Times New Roman" w:eastAsia="仿宋"/>
              </w:rPr>
              <w:t>/（m·a）</w:t>
            </w:r>
          </w:p>
        </w:tc>
      </w:tr>
      <w:tr w14:paraId="4FB4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7AB1CDA9">
            <w:pPr>
              <w:kinsoku w:val="0"/>
              <w:overflowPunct w:val="0"/>
              <w:autoSpaceDE w:val="0"/>
              <w:autoSpaceDN w:val="0"/>
              <w:adjustRightInd w:val="0"/>
              <w:snapToGrid w:val="0"/>
              <w:jc w:val="center"/>
              <w:rPr>
                <w:rFonts w:ascii="Times New Roman" w:eastAsia="仿宋"/>
              </w:rPr>
            </w:pPr>
            <w:r>
              <w:rPr>
                <w:rFonts w:ascii="Times New Roman" w:eastAsia="仿宋"/>
              </w:rPr>
              <w:t>内径&gt;150mm的管道</w:t>
            </w:r>
          </w:p>
        </w:tc>
        <w:tc>
          <w:tcPr>
            <w:tcW w:w="4767" w:type="dxa"/>
            <w:vAlign w:val="center"/>
          </w:tcPr>
          <w:p w14:paraId="15527A11">
            <w:pPr>
              <w:kinsoku w:val="0"/>
              <w:overflowPunct w:val="0"/>
              <w:autoSpaceDE w:val="0"/>
              <w:autoSpaceDN w:val="0"/>
              <w:adjustRightInd w:val="0"/>
              <w:snapToGrid w:val="0"/>
              <w:jc w:val="center"/>
              <w:rPr>
                <w:rFonts w:ascii="Times New Roman" w:eastAsia="仿宋"/>
              </w:rPr>
            </w:pPr>
            <w:r>
              <w:rPr>
                <w:rFonts w:ascii="Times New Roman" w:eastAsia="仿宋"/>
              </w:rPr>
              <w:t>泄漏孔径为10%孔径（最大50mm）</w:t>
            </w:r>
          </w:p>
          <w:p w14:paraId="6E464B8F">
            <w:pPr>
              <w:kinsoku w:val="0"/>
              <w:overflowPunct w:val="0"/>
              <w:autoSpaceDE w:val="0"/>
              <w:autoSpaceDN w:val="0"/>
              <w:adjustRightInd w:val="0"/>
              <w:snapToGrid w:val="0"/>
              <w:jc w:val="center"/>
              <w:rPr>
                <w:rFonts w:ascii="Times New Roman" w:eastAsia="仿宋"/>
              </w:rPr>
            </w:pPr>
            <w:r>
              <w:rPr>
                <w:rFonts w:ascii="Times New Roman" w:eastAsia="仿宋"/>
              </w:rPr>
              <w:t>全管径泄漏</w:t>
            </w:r>
          </w:p>
        </w:tc>
        <w:tc>
          <w:tcPr>
            <w:tcW w:w="2127" w:type="dxa"/>
            <w:vAlign w:val="center"/>
          </w:tcPr>
          <w:p w14:paraId="221559FE">
            <w:pPr>
              <w:kinsoku w:val="0"/>
              <w:overflowPunct w:val="0"/>
              <w:autoSpaceDE w:val="0"/>
              <w:autoSpaceDN w:val="0"/>
              <w:adjustRightInd w:val="0"/>
              <w:snapToGrid w:val="0"/>
              <w:jc w:val="center"/>
              <w:rPr>
                <w:rFonts w:ascii="Times New Roman" w:eastAsia="仿宋"/>
              </w:rPr>
            </w:pPr>
            <w:r>
              <w:rPr>
                <w:rFonts w:ascii="Times New Roman" w:eastAsia="仿宋"/>
              </w:rPr>
              <w:t>2.40×10</w:t>
            </w:r>
            <w:r>
              <w:rPr>
                <w:rFonts w:ascii="Times New Roman" w:eastAsia="仿宋"/>
                <w:vertAlign w:val="superscript"/>
              </w:rPr>
              <w:t>-6</w:t>
            </w:r>
            <w:r>
              <w:rPr>
                <w:rFonts w:ascii="Times New Roman" w:eastAsia="仿宋"/>
              </w:rPr>
              <w:t>/（m·a）</w:t>
            </w:r>
          </w:p>
          <w:p w14:paraId="0C873C4F">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-7</w:t>
            </w:r>
            <w:r>
              <w:rPr>
                <w:rFonts w:ascii="Times New Roman" w:eastAsia="仿宋"/>
              </w:rPr>
              <w:t>/（m·a）</w:t>
            </w:r>
          </w:p>
        </w:tc>
      </w:tr>
      <w:tr w14:paraId="028F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24A2C148">
            <w:pPr>
              <w:kinsoku w:val="0"/>
              <w:overflowPunct w:val="0"/>
              <w:autoSpaceDE w:val="0"/>
              <w:autoSpaceDN w:val="0"/>
              <w:adjustRightInd w:val="0"/>
              <w:snapToGrid w:val="0"/>
              <w:jc w:val="center"/>
              <w:rPr>
                <w:rFonts w:ascii="Times New Roman" w:eastAsia="仿宋"/>
              </w:rPr>
            </w:pPr>
            <w:r>
              <w:rPr>
                <w:rFonts w:ascii="Times New Roman" w:eastAsia="仿宋"/>
              </w:rPr>
              <w:t>泵体和压缩机</w:t>
            </w:r>
          </w:p>
        </w:tc>
        <w:tc>
          <w:tcPr>
            <w:tcW w:w="4767" w:type="dxa"/>
            <w:vAlign w:val="center"/>
          </w:tcPr>
          <w:p w14:paraId="17E2C2A5">
            <w:pPr>
              <w:kinsoku w:val="0"/>
              <w:overflowPunct w:val="0"/>
              <w:autoSpaceDE w:val="0"/>
              <w:autoSpaceDN w:val="0"/>
              <w:adjustRightInd w:val="0"/>
              <w:snapToGrid w:val="0"/>
              <w:jc w:val="center"/>
              <w:rPr>
                <w:rFonts w:ascii="Times New Roman" w:eastAsia="仿宋"/>
              </w:rPr>
            </w:pPr>
            <w:r>
              <w:rPr>
                <w:rFonts w:ascii="Times New Roman" w:eastAsia="仿宋"/>
              </w:rPr>
              <w:t>泵体和压缩机最大连接管泄漏孔径为10%孔径（最大50mm）</w:t>
            </w:r>
          </w:p>
          <w:p w14:paraId="323524D8">
            <w:pPr>
              <w:kinsoku w:val="0"/>
              <w:overflowPunct w:val="0"/>
              <w:autoSpaceDE w:val="0"/>
              <w:autoSpaceDN w:val="0"/>
              <w:adjustRightInd w:val="0"/>
              <w:snapToGrid w:val="0"/>
              <w:jc w:val="center"/>
              <w:rPr>
                <w:rFonts w:ascii="Times New Roman" w:eastAsia="仿宋"/>
              </w:rPr>
            </w:pPr>
            <w:r>
              <w:rPr>
                <w:rFonts w:ascii="Times New Roman" w:eastAsia="仿宋"/>
              </w:rPr>
              <w:t>泵体和压缩机最大连接管全管径泄漏</w:t>
            </w:r>
          </w:p>
        </w:tc>
        <w:tc>
          <w:tcPr>
            <w:tcW w:w="2127" w:type="dxa"/>
            <w:vAlign w:val="center"/>
          </w:tcPr>
          <w:p w14:paraId="1EE0A74A">
            <w:pPr>
              <w:kinsoku w:val="0"/>
              <w:overflowPunct w:val="0"/>
              <w:autoSpaceDE w:val="0"/>
              <w:autoSpaceDN w:val="0"/>
              <w:adjustRightInd w:val="0"/>
              <w:snapToGrid w:val="0"/>
              <w:jc w:val="center"/>
              <w:rPr>
                <w:rFonts w:ascii="Times New Roman" w:eastAsia="仿宋"/>
              </w:rPr>
            </w:pPr>
            <w:r>
              <w:rPr>
                <w:rFonts w:ascii="Times New Roman" w:eastAsia="仿宋"/>
              </w:rPr>
              <w:t>5.00×10</w:t>
            </w:r>
            <w:r>
              <w:rPr>
                <w:rFonts w:ascii="Times New Roman" w:eastAsia="仿宋"/>
                <w:vertAlign w:val="superscript"/>
              </w:rPr>
              <w:t>-4</w:t>
            </w:r>
            <w:r>
              <w:rPr>
                <w:rFonts w:ascii="Times New Roman" w:eastAsia="仿宋"/>
              </w:rPr>
              <w:t>/a</w:t>
            </w:r>
          </w:p>
          <w:p w14:paraId="44A28764">
            <w:pPr>
              <w:kinsoku w:val="0"/>
              <w:overflowPunct w:val="0"/>
              <w:autoSpaceDE w:val="0"/>
              <w:autoSpaceDN w:val="0"/>
              <w:adjustRightInd w:val="0"/>
              <w:snapToGrid w:val="0"/>
              <w:jc w:val="center"/>
              <w:rPr>
                <w:rFonts w:ascii="Times New Roman" w:eastAsia="仿宋"/>
              </w:rPr>
            </w:pPr>
            <w:r>
              <w:rPr>
                <w:rFonts w:ascii="Times New Roman" w:eastAsia="仿宋"/>
              </w:rPr>
              <w:t>1.00×10</w:t>
            </w:r>
            <w:r>
              <w:rPr>
                <w:rFonts w:ascii="Times New Roman" w:eastAsia="仿宋"/>
                <w:vertAlign w:val="superscript"/>
              </w:rPr>
              <w:t>-4</w:t>
            </w:r>
            <w:r>
              <w:rPr>
                <w:rFonts w:ascii="Times New Roman" w:eastAsia="仿宋"/>
              </w:rPr>
              <w:t>/a</w:t>
            </w:r>
          </w:p>
        </w:tc>
      </w:tr>
      <w:tr w14:paraId="6817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54BE3014">
            <w:pPr>
              <w:kinsoku w:val="0"/>
              <w:overflowPunct w:val="0"/>
              <w:autoSpaceDE w:val="0"/>
              <w:autoSpaceDN w:val="0"/>
              <w:adjustRightInd w:val="0"/>
              <w:snapToGrid w:val="0"/>
              <w:jc w:val="center"/>
              <w:rPr>
                <w:rFonts w:ascii="Times New Roman" w:eastAsia="仿宋"/>
              </w:rPr>
            </w:pPr>
            <w:r>
              <w:rPr>
                <w:rFonts w:ascii="Times New Roman" w:eastAsia="仿宋"/>
              </w:rPr>
              <w:t>装卸臂</w:t>
            </w:r>
          </w:p>
        </w:tc>
        <w:tc>
          <w:tcPr>
            <w:tcW w:w="4767" w:type="dxa"/>
            <w:vAlign w:val="center"/>
          </w:tcPr>
          <w:p w14:paraId="4355066C">
            <w:pPr>
              <w:kinsoku w:val="0"/>
              <w:overflowPunct w:val="0"/>
              <w:autoSpaceDE w:val="0"/>
              <w:autoSpaceDN w:val="0"/>
              <w:adjustRightInd w:val="0"/>
              <w:snapToGrid w:val="0"/>
              <w:jc w:val="center"/>
              <w:rPr>
                <w:rFonts w:ascii="Times New Roman" w:eastAsia="仿宋"/>
              </w:rPr>
            </w:pPr>
            <w:r>
              <w:rPr>
                <w:rFonts w:ascii="Times New Roman" w:eastAsia="仿宋"/>
              </w:rPr>
              <w:t>装卸臂连接管泄漏孔径为10%孔径（最大50mm）</w:t>
            </w:r>
          </w:p>
          <w:p w14:paraId="6100C9B9">
            <w:pPr>
              <w:kinsoku w:val="0"/>
              <w:overflowPunct w:val="0"/>
              <w:autoSpaceDE w:val="0"/>
              <w:autoSpaceDN w:val="0"/>
              <w:adjustRightInd w:val="0"/>
              <w:snapToGrid w:val="0"/>
              <w:jc w:val="center"/>
              <w:rPr>
                <w:rFonts w:ascii="Times New Roman" w:eastAsia="仿宋"/>
              </w:rPr>
            </w:pPr>
            <w:r>
              <w:rPr>
                <w:rFonts w:ascii="Times New Roman" w:eastAsia="仿宋"/>
              </w:rPr>
              <w:t>装卸臂全管径泄漏</w:t>
            </w:r>
          </w:p>
        </w:tc>
        <w:tc>
          <w:tcPr>
            <w:tcW w:w="2127" w:type="dxa"/>
            <w:vAlign w:val="center"/>
          </w:tcPr>
          <w:p w14:paraId="61A2BFB5">
            <w:pPr>
              <w:kinsoku w:val="0"/>
              <w:overflowPunct w:val="0"/>
              <w:autoSpaceDE w:val="0"/>
              <w:autoSpaceDN w:val="0"/>
              <w:adjustRightInd w:val="0"/>
              <w:snapToGrid w:val="0"/>
              <w:jc w:val="center"/>
              <w:rPr>
                <w:rFonts w:ascii="Times New Roman" w:eastAsia="仿宋"/>
              </w:rPr>
            </w:pPr>
            <w:r>
              <w:rPr>
                <w:rFonts w:ascii="Times New Roman" w:eastAsia="仿宋"/>
              </w:rPr>
              <w:t>3.00×10</w:t>
            </w:r>
            <w:r>
              <w:rPr>
                <w:rFonts w:ascii="Times New Roman" w:eastAsia="仿宋"/>
                <w:vertAlign w:val="superscript"/>
              </w:rPr>
              <w:t>-7</w:t>
            </w:r>
            <w:r>
              <w:rPr>
                <w:rFonts w:ascii="Times New Roman" w:eastAsia="仿宋"/>
              </w:rPr>
              <w:t>/h</w:t>
            </w:r>
          </w:p>
          <w:p w14:paraId="26167C66">
            <w:pPr>
              <w:kinsoku w:val="0"/>
              <w:overflowPunct w:val="0"/>
              <w:autoSpaceDE w:val="0"/>
              <w:autoSpaceDN w:val="0"/>
              <w:adjustRightInd w:val="0"/>
              <w:snapToGrid w:val="0"/>
              <w:jc w:val="center"/>
              <w:rPr>
                <w:rFonts w:ascii="Times New Roman" w:eastAsia="仿宋"/>
              </w:rPr>
            </w:pPr>
            <w:r>
              <w:rPr>
                <w:rFonts w:ascii="Times New Roman" w:eastAsia="仿宋"/>
              </w:rPr>
              <w:t>3.00×10</w:t>
            </w:r>
            <w:r>
              <w:rPr>
                <w:rFonts w:ascii="Times New Roman" w:eastAsia="仿宋"/>
                <w:vertAlign w:val="superscript"/>
              </w:rPr>
              <w:t>-8</w:t>
            </w:r>
            <w:r>
              <w:rPr>
                <w:rFonts w:ascii="Times New Roman" w:eastAsia="仿宋"/>
              </w:rPr>
              <w:t>/h</w:t>
            </w:r>
          </w:p>
        </w:tc>
      </w:tr>
      <w:tr w14:paraId="59C0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32" w:type="dxa"/>
            <w:vAlign w:val="center"/>
          </w:tcPr>
          <w:p w14:paraId="6974852F">
            <w:pPr>
              <w:kinsoku w:val="0"/>
              <w:overflowPunct w:val="0"/>
              <w:autoSpaceDE w:val="0"/>
              <w:autoSpaceDN w:val="0"/>
              <w:adjustRightInd w:val="0"/>
              <w:snapToGrid w:val="0"/>
              <w:jc w:val="center"/>
              <w:rPr>
                <w:rFonts w:ascii="Times New Roman" w:eastAsia="仿宋"/>
              </w:rPr>
            </w:pPr>
            <w:r>
              <w:rPr>
                <w:rFonts w:ascii="Times New Roman" w:eastAsia="仿宋"/>
              </w:rPr>
              <w:t>装卸软管</w:t>
            </w:r>
          </w:p>
        </w:tc>
        <w:tc>
          <w:tcPr>
            <w:tcW w:w="4767" w:type="dxa"/>
            <w:vAlign w:val="center"/>
          </w:tcPr>
          <w:p w14:paraId="132B4C3F">
            <w:pPr>
              <w:kinsoku w:val="0"/>
              <w:overflowPunct w:val="0"/>
              <w:autoSpaceDE w:val="0"/>
              <w:autoSpaceDN w:val="0"/>
              <w:adjustRightInd w:val="0"/>
              <w:snapToGrid w:val="0"/>
              <w:jc w:val="center"/>
              <w:rPr>
                <w:rFonts w:ascii="Times New Roman" w:eastAsia="仿宋"/>
              </w:rPr>
            </w:pPr>
            <w:r>
              <w:rPr>
                <w:rFonts w:ascii="Times New Roman" w:eastAsia="仿宋"/>
              </w:rPr>
              <w:t>装卸软管连接管泄漏孔径为10%孔径（最大50mm）</w:t>
            </w:r>
          </w:p>
          <w:p w14:paraId="7C3B07B7">
            <w:pPr>
              <w:kinsoku w:val="0"/>
              <w:overflowPunct w:val="0"/>
              <w:autoSpaceDE w:val="0"/>
              <w:autoSpaceDN w:val="0"/>
              <w:adjustRightInd w:val="0"/>
              <w:snapToGrid w:val="0"/>
              <w:jc w:val="center"/>
              <w:rPr>
                <w:rFonts w:ascii="Times New Roman" w:eastAsia="仿宋"/>
              </w:rPr>
            </w:pPr>
            <w:r>
              <w:rPr>
                <w:rFonts w:ascii="Times New Roman" w:eastAsia="仿宋"/>
              </w:rPr>
              <w:t>装卸软管全管径泄漏</w:t>
            </w:r>
          </w:p>
        </w:tc>
        <w:tc>
          <w:tcPr>
            <w:tcW w:w="2127" w:type="dxa"/>
            <w:vAlign w:val="center"/>
          </w:tcPr>
          <w:p w14:paraId="3455034B">
            <w:pPr>
              <w:kinsoku w:val="0"/>
              <w:overflowPunct w:val="0"/>
              <w:autoSpaceDE w:val="0"/>
              <w:autoSpaceDN w:val="0"/>
              <w:adjustRightInd w:val="0"/>
              <w:snapToGrid w:val="0"/>
              <w:jc w:val="center"/>
              <w:rPr>
                <w:rFonts w:ascii="Times New Roman" w:eastAsia="仿宋"/>
              </w:rPr>
            </w:pPr>
            <w:r>
              <w:rPr>
                <w:rFonts w:ascii="Times New Roman" w:eastAsia="仿宋"/>
              </w:rPr>
              <w:t>4.00×10</w:t>
            </w:r>
            <w:r>
              <w:rPr>
                <w:rFonts w:ascii="Times New Roman" w:eastAsia="仿宋"/>
                <w:vertAlign w:val="superscript"/>
              </w:rPr>
              <w:t>-5</w:t>
            </w:r>
            <w:r>
              <w:rPr>
                <w:rFonts w:ascii="Times New Roman" w:eastAsia="仿宋"/>
              </w:rPr>
              <w:t>/h</w:t>
            </w:r>
          </w:p>
          <w:p w14:paraId="4621A458">
            <w:pPr>
              <w:kinsoku w:val="0"/>
              <w:overflowPunct w:val="0"/>
              <w:autoSpaceDE w:val="0"/>
              <w:autoSpaceDN w:val="0"/>
              <w:adjustRightInd w:val="0"/>
              <w:snapToGrid w:val="0"/>
              <w:jc w:val="center"/>
              <w:rPr>
                <w:rFonts w:ascii="Times New Roman" w:eastAsia="仿宋"/>
              </w:rPr>
            </w:pPr>
            <w:r>
              <w:rPr>
                <w:rFonts w:ascii="Times New Roman" w:eastAsia="仿宋"/>
              </w:rPr>
              <w:t>4.00×10</w:t>
            </w:r>
            <w:r>
              <w:rPr>
                <w:rFonts w:ascii="Times New Roman" w:eastAsia="仿宋"/>
                <w:vertAlign w:val="superscript"/>
              </w:rPr>
              <w:t>-6</w:t>
            </w:r>
            <w:r>
              <w:rPr>
                <w:rFonts w:ascii="Times New Roman" w:eastAsia="仿宋"/>
              </w:rPr>
              <w:t>/h</w:t>
            </w:r>
          </w:p>
        </w:tc>
      </w:tr>
    </w:tbl>
    <w:p w14:paraId="795D3848">
      <w:pPr>
        <w:spacing w:line="500" w:lineRule="exact"/>
        <w:ind w:firstLine="560" w:firstLineChars="200"/>
        <w:jc w:val="left"/>
        <w:rPr>
          <w:rFonts w:ascii="Times New Roman" w:eastAsia="仿宋"/>
          <w:sz w:val="28"/>
          <w:szCs w:val="28"/>
        </w:rPr>
      </w:pPr>
      <w:r>
        <w:rPr>
          <w:rFonts w:ascii="Times New Roman" w:eastAsia="仿宋"/>
          <w:sz w:val="28"/>
          <w:szCs w:val="28"/>
        </w:rPr>
        <w:t>物料泄漏主要原因包括垫圈破损、仪表失灵、连接密封不良等，具体见下表。</w:t>
      </w:r>
    </w:p>
    <w:p w14:paraId="296A0DFE">
      <w:pPr>
        <w:jc w:val="center"/>
        <w:rPr>
          <w:rFonts w:ascii="Times New Roman" w:eastAsia="仿宋"/>
          <w:b/>
        </w:rPr>
      </w:pPr>
      <w:r>
        <w:rPr>
          <w:rFonts w:ascii="Times New Roman" w:eastAsia="仿宋"/>
          <w:b/>
        </w:rPr>
        <w:t>表</w:t>
      </w:r>
      <w:r>
        <w:rPr>
          <w:rFonts w:hint="eastAsia" w:ascii="Times New Roman" w:eastAsia="仿宋"/>
          <w:b/>
        </w:rPr>
        <w:t>5.3-20</w:t>
      </w:r>
      <w:r>
        <w:rPr>
          <w:rFonts w:ascii="Times New Roman" w:eastAsia="仿宋"/>
          <w:b/>
        </w:rPr>
        <w:t xml:space="preserve">  物料泄漏事故原因统计表</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955"/>
        <w:gridCol w:w="2835"/>
        <w:gridCol w:w="2126"/>
      </w:tblGrid>
      <w:tr w14:paraId="0B93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51" w:type="dxa"/>
            <w:vAlign w:val="center"/>
          </w:tcPr>
          <w:p w14:paraId="3D60ACBD">
            <w:pPr>
              <w:kinsoku w:val="0"/>
              <w:overflowPunct w:val="0"/>
              <w:autoSpaceDE w:val="0"/>
              <w:autoSpaceDN w:val="0"/>
              <w:adjustRightInd w:val="0"/>
              <w:snapToGrid w:val="0"/>
              <w:jc w:val="center"/>
              <w:rPr>
                <w:rFonts w:ascii="Times New Roman" w:eastAsia="仿宋"/>
              </w:rPr>
            </w:pPr>
            <w:r>
              <w:rPr>
                <w:rFonts w:ascii="Times New Roman" w:eastAsia="仿宋"/>
              </w:rPr>
              <w:t>序号</w:t>
            </w:r>
          </w:p>
        </w:tc>
        <w:tc>
          <w:tcPr>
            <w:tcW w:w="2955" w:type="dxa"/>
            <w:vAlign w:val="center"/>
          </w:tcPr>
          <w:p w14:paraId="7BC97FCC">
            <w:pPr>
              <w:kinsoku w:val="0"/>
              <w:overflowPunct w:val="0"/>
              <w:autoSpaceDE w:val="0"/>
              <w:autoSpaceDN w:val="0"/>
              <w:adjustRightInd w:val="0"/>
              <w:snapToGrid w:val="0"/>
              <w:jc w:val="center"/>
              <w:rPr>
                <w:rFonts w:ascii="Times New Roman" w:eastAsia="仿宋"/>
              </w:rPr>
            </w:pPr>
            <w:r>
              <w:rPr>
                <w:rFonts w:ascii="Times New Roman" w:eastAsia="仿宋"/>
              </w:rPr>
              <w:t>事故原因</w:t>
            </w:r>
          </w:p>
        </w:tc>
        <w:tc>
          <w:tcPr>
            <w:tcW w:w="2835" w:type="dxa"/>
            <w:vAlign w:val="center"/>
          </w:tcPr>
          <w:p w14:paraId="5A88CFB2">
            <w:pPr>
              <w:kinsoku w:val="0"/>
              <w:overflowPunct w:val="0"/>
              <w:autoSpaceDE w:val="0"/>
              <w:autoSpaceDN w:val="0"/>
              <w:adjustRightInd w:val="0"/>
              <w:snapToGrid w:val="0"/>
              <w:jc w:val="center"/>
              <w:rPr>
                <w:rFonts w:ascii="Times New Roman" w:eastAsia="仿宋"/>
              </w:rPr>
            </w:pPr>
            <w:r>
              <w:rPr>
                <w:rFonts w:ascii="Times New Roman" w:eastAsia="仿宋"/>
              </w:rPr>
              <w:t>发生概率（次/年）</w:t>
            </w:r>
          </w:p>
        </w:tc>
        <w:tc>
          <w:tcPr>
            <w:tcW w:w="2126" w:type="dxa"/>
            <w:vAlign w:val="center"/>
          </w:tcPr>
          <w:p w14:paraId="14B01E34">
            <w:pPr>
              <w:kinsoku w:val="0"/>
              <w:overflowPunct w:val="0"/>
              <w:autoSpaceDE w:val="0"/>
              <w:autoSpaceDN w:val="0"/>
              <w:adjustRightInd w:val="0"/>
              <w:snapToGrid w:val="0"/>
              <w:jc w:val="center"/>
              <w:rPr>
                <w:rFonts w:ascii="Times New Roman" w:eastAsia="仿宋"/>
              </w:rPr>
            </w:pPr>
            <w:r>
              <w:rPr>
                <w:rFonts w:ascii="Times New Roman" w:eastAsia="仿宋"/>
              </w:rPr>
              <w:t>占比例（%）</w:t>
            </w:r>
          </w:p>
        </w:tc>
      </w:tr>
      <w:tr w14:paraId="4536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14:paraId="738C9766">
            <w:pPr>
              <w:kinsoku w:val="0"/>
              <w:overflowPunct w:val="0"/>
              <w:autoSpaceDE w:val="0"/>
              <w:autoSpaceDN w:val="0"/>
              <w:adjustRightInd w:val="0"/>
              <w:snapToGrid w:val="0"/>
              <w:jc w:val="center"/>
              <w:rPr>
                <w:rFonts w:ascii="Times New Roman" w:eastAsia="仿宋"/>
              </w:rPr>
            </w:pPr>
            <w:r>
              <w:rPr>
                <w:rFonts w:ascii="Times New Roman" w:eastAsia="仿宋"/>
              </w:rPr>
              <w:t>1</w:t>
            </w:r>
          </w:p>
        </w:tc>
        <w:tc>
          <w:tcPr>
            <w:tcW w:w="2955" w:type="dxa"/>
            <w:vAlign w:val="center"/>
          </w:tcPr>
          <w:p w14:paraId="575935E4">
            <w:pPr>
              <w:kinsoku w:val="0"/>
              <w:overflowPunct w:val="0"/>
              <w:autoSpaceDE w:val="0"/>
              <w:autoSpaceDN w:val="0"/>
              <w:adjustRightInd w:val="0"/>
              <w:snapToGrid w:val="0"/>
              <w:jc w:val="center"/>
              <w:rPr>
                <w:rFonts w:ascii="Times New Roman" w:eastAsia="仿宋"/>
              </w:rPr>
            </w:pPr>
            <w:r>
              <w:rPr>
                <w:rFonts w:ascii="Times New Roman" w:eastAsia="仿宋"/>
              </w:rPr>
              <w:t>垫圈破损</w:t>
            </w:r>
          </w:p>
        </w:tc>
        <w:tc>
          <w:tcPr>
            <w:tcW w:w="2835" w:type="dxa"/>
            <w:vAlign w:val="center"/>
          </w:tcPr>
          <w:p w14:paraId="6B97311E">
            <w:pPr>
              <w:kinsoku w:val="0"/>
              <w:overflowPunct w:val="0"/>
              <w:autoSpaceDE w:val="0"/>
              <w:autoSpaceDN w:val="0"/>
              <w:adjustRightInd w:val="0"/>
              <w:snapToGrid w:val="0"/>
              <w:jc w:val="center"/>
              <w:rPr>
                <w:rFonts w:ascii="Times New Roman" w:eastAsia="仿宋"/>
              </w:rPr>
            </w:pPr>
            <w:r>
              <w:rPr>
                <w:rFonts w:ascii="Times New Roman" w:eastAsia="仿宋"/>
              </w:rPr>
              <w:t>2.5</w:t>
            </w:r>
            <w:r>
              <w:rPr>
                <w:rFonts w:ascii="Times New Roman" w:eastAsia="仿宋"/>
              </w:rPr>
              <w:sym w:font="Symbol" w:char="F0B4"/>
            </w:r>
            <w:r>
              <w:rPr>
                <w:rFonts w:ascii="Times New Roman" w:eastAsia="仿宋"/>
              </w:rPr>
              <w:t>10</w:t>
            </w:r>
            <w:r>
              <w:rPr>
                <w:rFonts w:ascii="Times New Roman" w:eastAsia="仿宋"/>
                <w:vertAlign w:val="superscript"/>
              </w:rPr>
              <w:t>-2</w:t>
            </w:r>
          </w:p>
        </w:tc>
        <w:tc>
          <w:tcPr>
            <w:tcW w:w="2126" w:type="dxa"/>
            <w:vAlign w:val="center"/>
          </w:tcPr>
          <w:p w14:paraId="2A36E48C">
            <w:pPr>
              <w:kinsoku w:val="0"/>
              <w:overflowPunct w:val="0"/>
              <w:autoSpaceDE w:val="0"/>
              <w:autoSpaceDN w:val="0"/>
              <w:adjustRightInd w:val="0"/>
              <w:snapToGrid w:val="0"/>
              <w:jc w:val="center"/>
              <w:rPr>
                <w:rFonts w:ascii="Times New Roman" w:eastAsia="仿宋"/>
              </w:rPr>
            </w:pPr>
            <w:r>
              <w:rPr>
                <w:rFonts w:ascii="Times New Roman" w:eastAsia="仿宋"/>
              </w:rPr>
              <w:t>46.1</w:t>
            </w:r>
          </w:p>
        </w:tc>
      </w:tr>
      <w:tr w14:paraId="19E3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14:paraId="4C4640E1">
            <w:pPr>
              <w:kinsoku w:val="0"/>
              <w:overflowPunct w:val="0"/>
              <w:autoSpaceDE w:val="0"/>
              <w:autoSpaceDN w:val="0"/>
              <w:adjustRightInd w:val="0"/>
              <w:snapToGrid w:val="0"/>
              <w:jc w:val="center"/>
              <w:rPr>
                <w:rFonts w:ascii="Times New Roman" w:eastAsia="仿宋"/>
              </w:rPr>
            </w:pPr>
            <w:r>
              <w:rPr>
                <w:rFonts w:ascii="Times New Roman" w:eastAsia="仿宋"/>
              </w:rPr>
              <w:t>2</w:t>
            </w:r>
          </w:p>
        </w:tc>
        <w:tc>
          <w:tcPr>
            <w:tcW w:w="2955" w:type="dxa"/>
            <w:vAlign w:val="center"/>
          </w:tcPr>
          <w:p w14:paraId="206F761F">
            <w:pPr>
              <w:kinsoku w:val="0"/>
              <w:overflowPunct w:val="0"/>
              <w:autoSpaceDE w:val="0"/>
              <w:autoSpaceDN w:val="0"/>
              <w:adjustRightInd w:val="0"/>
              <w:snapToGrid w:val="0"/>
              <w:jc w:val="center"/>
              <w:rPr>
                <w:rFonts w:ascii="Times New Roman" w:eastAsia="仿宋"/>
              </w:rPr>
            </w:pPr>
            <w:r>
              <w:rPr>
                <w:rFonts w:ascii="Times New Roman" w:eastAsia="仿宋"/>
              </w:rPr>
              <w:t>仪表失灵</w:t>
            </w:r>
          </w:p>
        </w:tc>
        <w:tc>
          <w:tcPr>
            <w:tcW w:w="2835" w:type="dxa"/>
            <w:vAlign w:val="center"/>
          </w:tcPr>
          <w:p w14:paraId="75ED30D7">
            <w:pPr>
              <w:kinsoku w:val="0"/>
              <w:overflowPunct w:val="0"/>
              <w:autoSpaceDE w:val="0"/>
              <w:autoSpaceDN w:val="0"/>
              <w:adjustRightInd w:val="0"/>
              <w:snapToGrid w:val="0"/>
              <w:jc w:val="center"/>
              <w:rPr>
                <w:rFonts w:ascii="Times New Roman" w:eastAsia="仿宋"/>
              </w:rPr>
            </w:pPr>
            <w:r>
              <w:rPr>
                <w:rFonts w:ascii="Times New Roman" w:eastAsia="仿宋"/>
              </w:rPr>
              <w:t>8.3</w:t>
            </w:r>
            <w:r>
              <w:rPr>
                <w:rFonts w:ascii="Times New Roman" w:eastAsia="仿宋"/>
              </w:rPr>
              <w:sym w:font="Symbol" w:char="F0B4"/>
            </w:r>
            <w:r>
              <w:rPr>
                <w:rFonts w:ascii="Times New Roman" w:eastAsia="仿宋"/>
              </w:rPr>
              <w:t>10</w:t>
            </w:r>
            <w:r>
              <w:rPr>
                <w:rFonts w:ascii="Times New Roman" w:eastAsia="仿宋"/>
                <w:vertAlign w:val="superscript"/>
              </w:rPr>
              <w:t>-3</w:t>
            </w:r>
          </w:p>
        </w:tc>
        <w:tc>
          <w:tcPr>
            <w:tcW w:w="2126" w:type="dxa"/>
            <w:vAlign w:val="center"/>
          </w:tcPr>
          <w:p w14:paraId="3E5388FE">
            <w:pPr>
              <w:kinsoku w:val="0"/>
              <w:overflowPunct w:val="0"/>
              <w:autoSpaceDE w:val="0"/>
              <w:autoSpaceDN w:val="0"/>
              <w:adjustRightInd w:val="0"/>
              <w:snapToGrid w:val="0"/>
              <w:jc w:val="center"/>
              <w:rPr>
                <w:rFonts w:ascii="Times New Roman" w:eastAsia="仿宋"/>
              </w:rPr>
            </w:pPr>
            <w:r>
              <w:rPr>
                <w:rFonts w:ascii="Times New Roman" w:eastAsia="仿宋"/>
              </w:rPr>
              <w:t>15.4</w:t>
            </w:r>
          </w:p>
        </w:tc>
      </w:tr>
      <w:tr w14:paraId="4C14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14:paraId="3ADD8B66">
            <w:pPr>
              <w:kinsoku w:val="0"/>
              <w:overflowPunct w:val="0"/>
              <w:autoSpaceDE w:val="0"/>
              <w:autoSpaceDN w:val="0"/>
              <w:adjustRightInd w:val="0"/>
              <w:snapToGrid w:val="0"/>
              <w:jc w:val="center"/>
              <w:rPr>
                <w:rFonts w:ascii="Times New Roman" w:eastAsia="仿宋"/>
              </w:rPr>
            </w:pPr>
            <w:r>
              <w:rPr>
                <w:rFonts w:ascii="Times New Roman" w:eastAsia="仿宋"/>
              </w:rPr>
              <w:t>3</w:t>
            </w:r>
          </w:p>
        </w:tc>
        <w:tc>
          <w:tcPr>
            <w:tcW w:w="2955" w:type="dxa"/>
            <w:vAlign w:val="center"/>
          </w:tcPr>
          <w:p w14:paraId="7F688565">
            <w:pPr>
              <w:kinsoku w:val="0"/>
              <w:overflowPunct w:val="0"/>
              <w:autoSpaceDE w:val="0"/>
              <w:autoSpaceDN w:val="0"/>
              <w:adjustRightInd w:val="0"/>
              <w:snapToGrid w:val="0"/>
              <w:jc w:val="center"/>
              <w:rPr>
                <w:rFonts w:ascii="Times New Roman" w:eastAsia="仿宋"/>
              </w:rPr>
            </w:pPr>
            <w:r>
              <w:rPr>
                <w:rFonts w:ascii="Times New Roman" w:eastAsia="仿宋"/>
              </w:rPr>
              <w:t>连接密封不良</w:t>
            </w:r>
          </w:p>
        </w:tc>
        <w:tc>
          <w:tcPr>
            <w:tcW w:w="2835" w:type="dxa"/>
            <w:vAlign w:val="center"/>
          </w:tcPr>
          <w:p w14:paraId="34F6F212">
            <w:pPr>
              <w:kinsoku w:val="0"/>
              <w:overflowPunct w:val="0"/>
              <w:autoSpaceDE w:val="0"/>
              <w:autoSpaceDN w:val="0"/>
              <w:adjustRightInd w:val="0"/>
              <w:snapToGrid w:val="0"/>
              <w:jc w:val="center"/>
              <w:rPr>
                <w:rFonts w:ascii="Times New Roman" w:eastAsia="仿宋"/>
              </w:rPr>
            </w:pPr>
            <w:r>
              <w:rPr>
                <w:rFonts w:ascii="Times New Roman" w:eastAsia="仿宋"/>
              </w:rPr>
              <w:t>8.3</w:t>
            </w:r>
            <w:r>
              <w:rPr>
                <w:rFonts w:ascii="Times New Roman" w:eastAsia="仿宋"/>
              </w:rPr>
              <w:sym w:font="Symbol" w:char="F0B4"/>
            </w:r>
            <w:r>
              <w:rPr>
                <w:rFonts w:ascii="Times New Roman" w:eastAsia="仿宋"/>
              </w:rPr>
              <w:t>10</w:t>
            </w:r>
            <w:r>
              <w:rPr>
                <w:rFonts w:ascii="Times New Roman" w:eastAsia="仿宋"/>
                <w:vertAlign w:val="superscript"/>
              </w:rPr>
              <w:t>-3</w:t>
            </w:r>
          </w:p>
        </w:tc>
        <w:tc>
          <w:tcPr>
            <w:tcW w:w="2126" w:type="dxa"/>
            <w:vAlign w:val="center"/>
          </w:tcPr>
          <w:p w14:paraId="74EAA7B8">
            <w:pPr>
              <w:kinsoku w:val="0"/>
              <w:overflowPunct w:val="0"/>
              <w:autoSpaceDE w:val="0"/>
              <w:autoSpaceDN w:val="0"/>
              <w:adjustRightInd w:val="0"/>
              <w:snapToGrid w:val="0"/>
              <w:jc w:val="center"/>
              <w:rPr>
                <w:rFonts w:ascii="Times New Roman" w:eastAsia="仿宋"/>
              </w:rPr>
            </w:pPr>
            <w:r>
              <w:rPr>
                <w:rFonts w:ascii="Times New Roman" w:eastAsia="仿宋"/>
              </w:rPr>
              <w:t>15.4</w:t>
            </w:r>
          </w:p>
        </w:tc>
      </w:tr>
      <w:tr w14:paraId="55FE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14:paraId="23C2957D">
            <w:pPr>
              <w:kinsoku w:val="0"/>
              <w:overflowPunct w:val="0"/>
              <w:autoSpaceDE w:val="0"/>
              <w:autoSpaceDN w:val="0"/>
              <w:adjustRightInd w:val="0"/>
              <w:snapToGrid w:val="0"/>
              <w:jc w:val="center"/>
              <w:rPr>
                <w:rFonts w:ascii="Times New Roman" w:eastAsia="仿宋"/>
              </w:rPr>
            </w:pPr>
            <w:r>
              <w:rPr>
                <w:rFonts w:ascii="Times New Roman" w:eastAsia="仿宋"/>
              </w:rPr>
              <w:t>4</w:t>
            </w:r>
          </w:p>
        </w:tc>
        <w:tc>
          <w:tcPr>
            <w:tcW w:w="2955" w:type="dxa"/>
            <w:vAlign w:val="center"/>
          </w:tcPr>
          <w:p w14:paraId="24DA823E">
            <w:pPr>
              <w:kinsoku w:val="0"/>
              <w:overflowPunct w:val="0"/>
              <w:autoSpaceDE w:val="0"/>
              <w:autoSpaceDN w:val="0"/>
              <w:adjustRightInd w:val="0"/>
              <w:snapToGrid w:val="0"/>
              <w:jc w:val="center"/>
              <w:rPr>
                <w:rFonts w:ascii="Times New Roman" w:eastAsia="仿宋"/>
              </w:rPr>
            </w:pPr>
            <w:r>
              <w:rPr>
                <w:rFonts w:ascii="Times New Roman" w:eastAsia="仿宋"/>
              </w:rPr>
              <w:t>泵故障</w:t>
            </w:r>
          </w:p>
        </w:tc>
        <w:tc>
          <w:tcPr>
            <w:tcW w:w="2835" w:type="dxa"/>
            <w:vAlign w:val="center"/>
          </w:tcPr>
          <w:p w14:paraId="63F86C92">
            <w:pPr>
              <w:kinsoku w:val="0"/>
              <w:overflowPunct w:val="0"/>
              <w:autoSpaceDE w:val="0"/>
              <w:autoSpaceDN w:val="0"/>
              <w:adjustRightInd w:val="0"/>
              <w:snapToGrid w:val="0"/>
              <w:jc w:val="center"/>
              <w:rPr>
                <w:rFonts w:ascii="Times New Roman" w:eastAsia="仿宋"/>
              </w:rPr>
            </w:pPr>
            <w:r>
              <w:rPr>
                <w:rFonts w:ascii="Times New Roman" w:eastAsia="仿宋"/>
              </w:rPr>
              <w:t>4.2</w:t>
            </w:r>
            <w:r>
              <w:rPr>
                <w:rFonts w:ascii="Times New Roman" w:eastAsia="仿宋"/>
              </w:rPr>
              <w:sym w:font="Symbol" w:char="F0B4"/>
            </w:r>
            <w:r>
              <w:rPr>
                <w:rFonts w:ascii="Times New Roman" w:eastAsia="仿宋"/>
              </w:rPr>
              <w:t>10</w:t>
            </w:r>
            <w:r>
              <w:rPr>
                <w:rFonts w:ascii="Times New Roman" w:eastAsia="仿宋"/>
                <w:vertAlign w:val="superscript"/>
              </w:rPr>
              <w:t>-3</w:t>
            </w:r>
          </w:p>
        </w:tc>
        <w:tc>
          <w:tcPr>
            <w:tcW w:w="2126" w:type="dxa"/>
            <w:vAlign w:val="center"/>
          </w:tcPr>
          <w:p w14:paraId="6EE9A673">
            <w:pPr>
              <w:kinsoku w:val="0"/>
              <w:overflowPunct w:val="0"/>
              <w:autoSpaceDE w:val="0"/>
              <w:autoSpaceDN w:val="0"/>
              <w:adjustRightInd w:val="0"/>
              <w:snapToGrid w:val="0"/>
              <w:jc w:val="center"/>
              <w:rPr>
                <w:rFonts w:ascii="Times New Roman" w:eastAsia="仿宋"/>
              </w:rPr>
            </w:pPr>
            <w:r>
              <w:rPr>
                <w:rFonts w:ascii="Times New Roman" w:eastAsia="仿宋"/>
              </w:rPr>
              <w:t>7.7</w:t>
            </w:r>
          </w:p>
        </w:tc>
      </w:tr>
      <w:tr w14:paraId="6AF7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14:paraId="3A91A3E0">
            <w:pPr>
              <w:kinsoku w:val="0"/>
              <w:overflowPunct w:val="0"/>
              <w:autoSpaceDE w:val="0"/>
              <w:autoSpaceDN w:val="0"/>
              <w:adjustRightInd w:val="0"/>
              <w:snapToGrid w:val="0"/>
              <w:jc w:val="center"/>
              <w:rPr>
                <w:rFonts w:ascii="Times New Roman" w:eastAsia="仿宋"/>
              </w:rPr>
            </w:pPr>
            <w:r>
              <w:rPr>
                <w:rFonts w:ascii="Times New Roman" w:eastAsia="仿宋"/>
              </w:rPr>
              <w:t>5</w:t>
            </w:r>
          </w:p>
        </w:tc>
        <w:tc>
          <w:tcPr>
            <w:tcW w:w="2955" w:type="dxa"/>
            <w:vAlign w:val="center"/>
          </w:tcPr>
          <w:p w14:paraId="6E077AE0">
            <w:pPr>
              <w:kinsoku w:val="0"/>
              <w:overflowPunct w:val="0"/>
              <w:autoSpaceDE w:val="0"/>
              <w:autoSpaceDN w:val="0"/>
              <w:adjustRightInd w:val="0"/>
              <w:snapToGrid w:val="0"/>
              <w:jc w:val="center"/>
              <w:rPr>
                <w:rFonts w:ascii="Times New Roman" w:eastAsia="仿宋"/>
              </w:rPr>
            </w:pPr>
            <w:r>
              <w:rPr>
                <w:rFonts w:ascii="Times New Roman" w:eastAsia="仿宋"/>
              </w:rPr>
              <w:t>人为事故</w:t>
            </w:r>
          </w:p>
        </w:tc>
        <w:tc>
          <w:tcPr>
            <w:tcW w:w="2835" w:type="dxa"/>
            <w:vAlign w:val="center"/>
          </w:tcPr>
          <w:p w14:paraId="142C63A0">
            <w:pPr>
              <w:kinsoku w:val="0"/>
              <w:overflowPunct w:val="0"/>
              <w:autoSpaceDE w:val="0"/>
              <w:autoSpaceDN w:val="0"/>
              <w:adjustRightInd w:val="0"/>
              <w:snapToGrid w:val="0"/>
              <w:jc w:val="center"/>
              <w:rPr>
                <w:rFonts w:ascii="Times New Roman" w:eastAsia="仿宋"/>
              </w:rPr>
            </w:pPr>
            <w:r>
              <w:rPr>
                <w:rFonts w:ascii="Times New Roman" w:eastAsia="仿宋"/>
              </w:rPr>
              <w:t>8.3</w:t>
            </w:r>
            <w:r>
              <w:rPr>
                <w:rFonts w:ascii="Times New Roman" w:eastAsia="仿宋"/>
              </w:rPr>
              <w:sym w:font="Symbol" w:char="F0B4"/>
            </w:r>
            <w:r>
              <w:rPr>
                <w:rFonts w:ascii="Times New Roman" w:eastAsia="仿宋"/>
              </w:rPr>
              <w:t>10</w:t>
            </w:r>
            <w:r>
              <w:rPr>
                <w:rFonts w:ascii="Times New Roman" w:eastAsia="仿宋"/>
                <w:vertAlign w:val="superscript"/>
              </w:rPr>
              <w:t>-3</w:t>
            </w:r>
          </w:p>
        </w:tc>
        <w:tc>
          <w:tcPr>
            <w:tcW w:w="2126" w:type="dxa"/>
            <w:vAlign w:val="center"/>
          </w:tcPr>
          <w:p w14:paraId="727C1AFF">
            <w:pPr>
              <w:kinsoku w:val="0"/>
              <w:overflowPunct w:val="0"/>
              <w:autoSpaceDE w:val="0"/>
              <w:autoSpaceDN w:val="0"/>
              <w:adjustRightInd w:val="0"/>
              <w:snapToGrid w:val="0"/>
              <w:jc w:val="center"/>
              <w:rPr>
                <w:rFonts w:ascii="Times New Roman" w:eastAsia="仿宋"/>
              </w:rPr>
            </w:pPr>
            <w:r>
              <w:rPr>
                <w:rFonts w:ascii="Times New Roman" w:eastAsia="仿宋"/>
              </w:rPr>
              <w:t>15.4</w:t>
            </w:r>
          </w:p>
        </w:tc>
      </w:tr>
      <w:tr w14:paraId="0EB0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6" w:type="dxa"/>
            <w:gridSpan w:val="2"/>
            <w:vAlign w:val="center"/>
          </w:tcPr>
          <w:p w14:paraId="4178636F">
            <w:pPr>
              <w:kinsoku w:val="0"/>
              <w:overflowPunct w:val="0"/>
              <w:autoSpaceDE w:val="0"/>
              <w:autoSpaceDN w:val="0"/>
              <w:adjustRightInd w:val="0"/>
              <w:snapToGrid w:val="0"/>
              <w:jc w:val="center"/>
              <w:rPr>
                <w:rFonts w:ascii="Times New Roman" w:eastAsia="仿宋"/>
              </w:rPr>
            </w:pPr>
            <w:r>
              <w:rPr>
                <w:rFonts w:ascii="Times New Roman" w:eastAsia="仿宋"/>
              </w:rPr>
              <w:t>合计</w:t>
            </w:r>
          </w:p>
        </w:tc>
        <w:tc>
          <w:tcPr>
            <w:tcW w:w="2835" w:type="dxa"/>
            <w:vAlign w:val="center"/>
          </w:tcPr>
          <w:p w14:paraId="45908F79">
            <w:pPr>
              <w:kinsoku w:val="0"/>
              <w:overflowPunct w:val="0"/>
              <w:autoSpaceDE w:val="0"/>
              <w:autoSpaceDN w:val="0"/>
              <w:adjustRightInd w:val="0"/>
              <w:snapToGrid w:val="0"/>
              <w:jc w:val="center"/>
              <w:rPr>
                <w:rFonts w:ascii="Times New Roman" w:eastAsia="仿宋"/>
              </w:rPr>
            </w:pPr>
            <w:r>
              <w:rPr>
                <w:rFonts w:ascii="Times New Roman" w:eastAsia="仿宋"/>
              </w:rPr>
              <w:t>5.41</w:t>
            </w:r>
            <w:r>
              <w:rPr>
                <w:rFonts w:ascii="Times New Roman" w:eastAsia="仿宋"/>
              </w:rPr>
              <w:sym w:font="Symbol" w:char="F0B4"/>
            </w:r>
            <w:r>
              <w:rPr>
                <w:rFonts w:ascii="Times New Roman" w:eastAsia="仿宋"/>
              </w:rPr>
              <w:t>10</w:t>
            </w:r>
            <w:r>
              <w:rPr>
                <w:rFonts w:ascii="Times New Roman" w:eastAsia="仿宋"/>
                <w:vertAlign w:val="superscript"/>
              </w:rPr>
              <w:t>-2</w:t>
            </w:r>
          </w:p>
        </w:tc>
        <w:tc>
          <w:tcPr>
            <w:tcW w:w="2126" w:type="dxa"/>
            <w:vAlign w:val="center"/>
          </w:tcPr>
          <w:p w14:paraId="229CE5E9">
            <w:pPr>
              <w:kinsoku w:val="0"/>
              <w:overflowPunct w:val="0"/>
              <w:autoSpaceDE w:val="0"/>
              <w:autoSpaceDN w:val="0"/>
              <w:adjustRightInd w:val="0"/>
              <w:snapToGrid w:val="0"/>
              <w:jc w:val="center"/>
              <w:rPr>
                <w:rFonts w:ascii="Times New Roman" w:eastAsia="仿宋"/>
              </w:rPr>
            </w:pPr>
            <w:r>
              <w:rPr>
                <w:rFonts w:ascii="Times New Roman" w:eastAsia="仿宋"/>
              </w:rPr>
              <w:t>100</w:t>
            </w:r>
          </w:p>
        </w:tc>
      </w:tr>
    </w:tbl>
    <w:p w14:paraId="0D58A5EF">
      <w:pPr>
        <w:spacing w:line="500" w:lineRule="exact"/>
        <w:ind w:firstLine="560" w:firstLineChars="200"/>
        <w:jc w:val="left"/>
        <w:rPr>
          <w:rFonts w:ascii="Times New Roman" w:eastAsia="仿宋"/>
          <w:sz w:val="28"/>
          <w:szCs w:val="28"/>
        </w:rPr>
      </w:pPr>
      <w:r>
        <w:rPr>
          <w:rFonts w:ascii="Times New Roman" w:eastAsia="仿宋"/>
          <w:sz w:val="28"/>
          <w:szCs w:val="28"/>
        </w:rPr>
        <w:t>参照国际上和国内先进企业泄漏事故概率统计调查分析，此类事故发生概率国外先进的化工企业为0.0541次/年，而国内较先进的企业约为0.2~0.4次/年。</w:t>
      </w:r>
    </w:p>
    <w:p w14:paraId="33ED3991">
      <w:pPr>
        <w:spacing w:line="500" w:lineRule="exact"/>
        <w:ind w:firstLine="560" w:firstLineChars="200"/>
        <w:jc w:val="left"/>
        <w:rPr>
          <w:rFonts w:ascii="Times New Roman" w:eastAsia="仿宋"/>
          <w:sz w:val="28"/>
          <w:szCs w:val="28"/>
        </w:rPr>
      </w:pPr>
      <w:r>
        <w:rPr>
          <w:rFonts w:ascii="Times New Roman" w:eastAsia="仿宋"/>
          <w:sz w:val="28"/>
          <w:szCs w:val="28"/>
        </w:rPr>
        <w:t>（2）火灾或爆炸事故</w:t>
      </w:r>
    </w:p>
    <w:p w14:paraId="7E50DC0E">
      <w:pPr>
        <w:spacing w:line="500" w:lineRule="exact"/>
        <w:ind w:firstLine="560" w:firstLineChars="200"/>
        <w:jc w:val="left"/>
        <w:rPr>
          <w:rFonts w:ascii="Times New Roman" w:eastAsia="仿宋"/>
          <w:sz w:val="28"/>
          <w:szCs w:val="28"/>
        </w:rPr>
      </w:pPr>
      <w:r>
        <w:rPr>
          <w:rFonts w:ascii="Times New Roman" w:eastAsia="仿宋"/>
          <w:sz w:val="28"/>
          <w:szCs w:val="28"/>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火灾和爆炸事故的主要原因见下表。</w:t>
      </w:r>
    </w:p>
    <w:p w14:paraId="18673677">
      <w:pPr>
        <w:spacing w:before="60" w:after="60"/>
        <w:jc w:val="center"/>
        <w:rPr>
          <w:rFonts w:ascii="Times New Roman" w:eastAsia="仿宋"/>
          <w:b/>
        </w:rPr>
      </w:pPr>
      <w:r>
        <w:rPr>
          <w:rFonts w:ascii="Times New Roman" w:eastAsia="仿宋"/>
          <w:b/>
        </w:rPr>
        <w:t>表</w:t>
      </w:r>
      <w:r>
        <w:rPr>
          <w:rFonts w:hint="eastAsia" w:ascii="Times New Roman" w:eastAsia="仿宋"/>
          <w:b/>
        </w:rPr>
        <w:t>5.3-21</w:t>
      </w:r>
      <w:r>
        <w:rPr>
          <w:rFonts w:ascii="Times New Roman" w:eastAsia="仿宋"/>
          <w:b/>
        </w:rPr>
        <w:t xml:space="preserve">  火灾和爆炸事故原因分析表</w:t>
      </w:r>
    </w:p>
    <w:tbl>
      <w:tblPr>
        <w:tblStyle w:val="87"/>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1504"/>
        <w:gridCol w:w="6872"/>
      </w:tblGrid>
      <w:tr w14:paraId="0649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691" w:type="dxa"/>
            <w:vAlign w:val="center"/>
          </w:tcPr>
          <w:p w14:paraId="19BD0074">
            <w:pPr>
              <w:pStyle w:val="492"/>
              <w:adjustRightInd w:val="0"/>
              <w:snapToGrid w:val="0"/>
              <w:spacing w:line="240" w:lineRule="auto"/>
              <w:rPr>
                <w:rFonts w:ascii="Times New Roman" w:hAnsi="仿宋" w:eastAsia="仿宋"/>
                <w:sz w:val="24"/>
              </w:rPr>
            </w:pPr>
            <w:r>
              <w:rPr>
                <w:rFonts w:ascii="Times New Roman" w:hAnsi="仿宋" w:eastAsia="仿宋"/>
                <w:sz w:val="24"/>
              </w:rPr>
              <w:t>序号</w:t>
            </w:r>
          </w:p>
        </w:tc>
        <w:tc>
          <w:tcPr>
            <w:tcW w:w="8376" w:type="dxa"/>
            <w:gridSpan w:val="2"/>
            <w:vAlign w:val="center"/>
          </w:tcPr>
          <w:p w14:paraId="5425B0E4">
            <w:pPr>
              <w:pStyle w:val="492"/>
              <w:adjustRightInd w:val="0"/>
              <w:snapToGrid w:val="0"/>
              <w:spacing w:line="240" w:lineRule="auto"/>
              <w:rPr>
                <w:rFonts w:ascii="Times New Roman" w:hAnsi="仿宋" w:eastAsia="仿宋"/>
                <w:sz w:val="24"/>
              </w:rPr>
            </w:pPr>
            <w:r>
              <w:rPr>
                <w:rFonts w:ascii="Times New Roman" w:hAnsi="仿宋" w:eastAsia="仿宋"/>
                <w:sz w:val="24"/>
              </w:rPr>
              <w:t>事故原因</w:t>
            </w:r>
          </w:p>
        </w:tc>
      </w:tr>
      <w:tr w14:paraId="52125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4E2B9D9A">
            <w:pPr>
              <w:pStyle w:val="492"/>
              <w:adjustRightInd w:val="0"/>
              <w:snapToGrid w:val="0"/>
              <w:spacing w:line="240" w:lineRule="auto"/>
              <w:rPr>
                <w:rFonts w:ascii="Times New Roman" w:hAnsi="仿宋" w:eastAsia="仿宋"/>
                <w:sz w:val="24"/>
              </w:rPr>
            </w:pPr>
            <w:r>
              <w:rPr>
                <w:rFonts w:ascii="Times New Roman" w:hAnsi="仿宋" w:eastAsia="仿宋"/>
                <w:sz w:val="24"/>
              </w:rPr>
              <w:t>1</w:t>
            </w:r>
          </w:p>
        </w:tc>
        <w:tc>
          <w:tcPr>
            <w:tcW w:w="1504" w:type="dxa"/>
            <w:vAlign w:val="center"/>
          </w:tcPr>
          <w:p w14:paraId="3490F4DE">
            <w:pPr>
              <w:pStyle w:val="492"/>
              <w:adjustRightInd w:val="0"/>
              <w:snapToGrid w:val="0"/>
              <w:spacing w:line="240" w:lineRule="auto"/>
              <w:rPr>
                <w:rFonts w:ascii="Times New Roman" w:hAnsi="仿宋" w:eastAsia="仿宋"/>
                <w:sz w:val="24"/>
              </w:rPr>
            </w:pPr>
            <w:r>
              <w:rPr>
                <w:rFonts w:ascii="Times New Roman" w:hAnsi="仿宋" w:eastAsia="仿宋"/>
                <w:sz w:val="24"/>
              </w:rPr>
              <w:t>明火</w:t>
            </w:r>
          </w:p>
        </w:tc>
        <w:tc>
          <w:tcPr>
            <w:tcW w:w="6872" w:type="dxa"/>
            <w:vAlign w:val="center"/>
          </w:tcPr>
          <w:p w14:paraId="6B0AFD92">
            <w:pPr>
              <w:pStyle w:val="492"/>
              <w:adjustRightInd w:val="0"/>
              <w:snapToGrid w:val="0"/>
              <w:spacing w:line="240" w:lineRule="auto"/>
              <w:rPr>
                <w:rFonts w:ascii="Times New Roman" w:hAnsi="仿宋" w:eastAsia="仿宋"/>
                <w:sz w:val="24"/>
              </w:rPr>
            </w:pPr>
            <w:r>
              <w:rPr>
                <w:rFonts w:ascii="Times New Roman" w:hAnsi="仿宋" w:eastAsia="仿宋"/>
                <w:sz w:val="24"/>
              </w:rPr>
              <w:t>生产过程中的焊接和切割动火作业、现场吸烟、激动车辆喷烟排火等。为导致火灾爆炸事故最常见、最直接的原因</w:t>
            </w:r>
          </w:p>
        </w:tc>
      </w:tr>
      <w:tr w14:paraId="2379B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6F928437">
            <w:pPr>
              <w:pStyle w:val="492"/>
              <w:adjustRightInd w:val="0"/>
              <w:snapToGrid w:val="0"/>
              <w:spacing w:line="240" w:lineRule="auto"/>
              <w:rPr>
                <w:rFonts w:ascii="Times New Roman" w:hAnsi="仿宋" w:eastAsia="仿宋"/>
                <w:sz w:val="24"/>
              </w:rPr>
            </w:pPr>
            <w:r>
              <w:rPr>
                <w:rFonts w:ascii="Times New Roman" w:hAnsi="仿宋" w:eastAsia="仿宋"/>
                <w:sz w:val="24"/>
              </w:rPr>
              <w:t>2</w:t>
            </w:r>
          </w:p>
        </w:tc>
        <w:tc>
          <w:tcPr>
            <w:tcW w:w="1504" w:type="dxa"/>
            <w:vAlign w:val="center"/>
          </w:tcPr>
          <w:p w14:paraId="7AB4ED3A">
            <w:pPr>
              <w:pStyle w:val="492"/>
              <w:adjustRightInd w:val="0"/>
              <w:snapToGrid w:val="0"/>
              <w:spacing w:line="240" w:lineRule="auto"/>
              <w:rPr>
                <w:rFonts w:ascii="Times New Roman" w:hAnsi="仿宋" w:eastAsia="仿宋"/>
                <w:sz w:val="24"/>
              </w:rPr>
            </w:pPr>
            <w:r>
              <w:rPr>
                <w:rFonts w:ascii="Times New Roman" w:hAnsi="仿宋" w:eastAsia="仿宋"/>
                <w:sz w:val="24"/>
              </w:rPr>
              <w:t>违章作业</w:t>
            </w:r>
          </w:p>
        </w:tc>
        <w:tc>
          <w:tcPr>
            <w:tcW w:w="6872" w:type="dxa"/>
            <w:vAlign w:val="center"/>
          </w:tcPr>
          <w:p w14:paraId="53528C5E">
            <w:pPr>
              <w:pStyle w:val="492"/>
              <w:adjustRightInd w:val="0"/>
              <w:snapToGrid w:val="0"/>
              <w:spacing w:line="240" w:lineRule="auto"/>
              <w:rPr>
                <w:rFonts w:ascii="Times New Roman" w:hAnsi="仿宋" w:eastAsia="仿宋"/>
                <w:sz w:val="24"/>
              </w:rPr>
            </w:pPr>
            <w:r>
              <w:rPr>
                <w:rFonts w:ascii="Times New Roman" w:hAnsi="仿宋" w:eastAsia="仿宋"/>
                <w:sz w:val="24"/>
              </w:rPr>
              <w:t>违章指挥、违章操作、误操作、擅离工作岗位、纪律松弛及思想麻痹等行为是导致火灾爆炸事故的重要原因，违章作业直接或间接引起火灾爆炸事故占全部事故的60%以上</w:t>
            </w:r>
          </w:p>
        </w:tc>
      </w:tr>
      <w:tr w14:paraId="4A46D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69CDE280">
            <w:pPr>
              <w:pStyle w:val="492"/>
              <w:adjustRightInd w:val="0"/>
              <w:snapToGrid w:val="0"/>
              <w:spacing w:line="240" w:lineRule="auto"/>
              <w:rPr>
                <w:rFonts w:ascii="Times New Roman" w:hAnsi="仿宋" w:eastAsia="仿宋"/>
                <w:sz w:val="24"/>
              </w:rPr>
            </w:pPr>
            <w:r>
              <w:rPr>
                <w:rFonts w:ascii="Times New Roman" w:hAnsi="仿宋" w:eastAsia="仿宋"/>
                <w:sz w:val="24"/>
              </w:rPr>
              <w:t>3</w:t>
            </w:r>
          </w:p>
        </w:tc>
        <w:tc>
          <w:tcPr>
            <w:tcW w:w="1504" w:type="dxa"/>
            <w:vAlign w:val="center"/>
          </w:tcPr>
          <w:p w14:paraId="6781598E">
            <w:pPr>
              <w:pStyle w:val="492"/>
              <w:adjustRightInd w:val="0"/>
              <w:snapToGrid w:val="0"/>
              <w:spacing w:line="240" w:lineRule="auto"/>
              <w:rPr>
                <w:rFonts w:ascii="Times New Roman" w:hAnsi="仿宋" w:eastAsia="仿宋"/>
                <w:sz w:val="24"/>
              </w:rPr>
            </w:pPr>
            <w:r>
              <w:rPr>
                <w:rFonts w:ascii="Times New Roman" w:hAnsi="仿宋" w:eastAsia="仿宋"/>
                <w:sz w:val="24"/>
              </w:rPr>
              <w:t>设备、设施质量缺陷或故障</w:t>
            </w:r>
          </w:p>
        </w:tc>
        <w:tc>
          <w:tcPr>
            <w:tcW w:w="6872" w:type="dxa"/>
            <w:vAlign w:val="center"/>
          </w:tcPr>
          <w:p w14:paraId="3737E90F">
            <w:pPr>
              <w:pStyle w:val="492"/>
              <w:adjustRightInd w:val="0"/>
              <w:snapToGrid w:val="0"/>
              <w:spacing w:line="240" w:lineRule="auto"/>
              <w:rPr>
                <w:rFonts w:ascii="Times New Roman" w:hAnsi="仿宋" w:eastAsia="仿宋"/>
                <w:sz w:val="24"/>
              </w:rPr>
            </w:pPr>
            <w:r>
              <w:rPr>
                <w:rFonts w:hint="eastAsia" w:ascii="Times New Roman" w:hAnsi="仿宋" w:eastAsia="仿宋"/>
                <w:sz w:val="24"/>
              </w:rPr>
              <w:t>①</w:t>
            </w:r>
            <w:r>
              <w:rPr>
                <w:rFonts w:ascii="Times New Roman" w:hAnsi="仿宋" w:eastAsia="仿宋"/>
                <w:sz w:val="24"/>
              </w:rPr>
              <w:t>电气设备设施：选用不当、不满足防火要求，存在质量缺陷；</w:t>
            </w:r>
            <w:r>
              <w:rPr>
                <w:rFonts w:hint="eastAsia" w:ascii="Times New Roman" w:hAnsi="仿宋" w:eastAsia="仿宋"/>
                <w:sz w:val="24"/>
              </w:rPr>
              <w:t>②</w:t>
            </w:r>
            <w:r>
              <w:rPr>
                <w:rFonts w:ascii="Times New Roman" w:hAnsi="仿宋" w:eastAsia="仿宋"/>
                <w:sz w:val="24"/>
              </w:rPr>
              <w:t>储运设备设施：储设施主体选材、制造安装中存在质量缺陷或受腐蚀、老化极不正常操作而引起泄漏，附件和安全装置存在质量缺陷和被损坏</w:t>
            </w:r>
          </w:p>
        </w:tc>
      </w:tr>
      <w:tr w14:paraId="17DB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7D123502">
            <w:pPr>
              <w:pStyle w:val="492"/>
              <w:adjustRightInd w:val="0"/>
              <w:snapToGrid w:val="0"/>
              <w:spacing w:line="240" w:lineRule="auto"/>
              <w:rPr>
                <w:rFonts w:ascii="Times New Roman" w:hAnsi="仿宋" w:eastAsia="仿宋"/>
                <w:sz w:val="24"/>
              </w:rPr>
            </w:pPr>
            <w:r>
              <w:rPr>
                <w:rFonts w:ascii="Times New Roman" w:hAnsi="仿宋" w:eastAsia="仿宋"/>
                <w:sz w:val="24"/>
              </w:rPr>
              <w:t>4</w:t>
            </w:r>
          </w:p>
        </w:tc>
        <w:tc>
          <w:tcPr>
            <w:tcW w:w="1504" w:type="dxa"/>
            <w:vAlign w:val="center"/>
          </w:tcPr>
          <w:p w14:paraId="628D76BB">
            <w:pPr>
              <w:pStyle w:val="492"/>
              <w:adjustRightInd w:val="0"/>
              <w:snapToGrid w:val="0"/>
              <w:spacing w:line="240" w:lineRule="auto"/>
              <w:rPr>
                <w:rFonts w:ascii="Times New Roman" w:hAnsi="仿宋" w:eastAsia="仿宋"/>
                <w:sz w:val="24"/>
              </w:rPr>
            </w:pPr>
            <w:r>
              <w:rPr>
                <w:rFonts w:ascii="Times New Roman" w:hAnsi="仿宋" w:eastAsia="仿宋"/>
                <w:sz w:val="24"/>
              </w:rPr>
              <w:t>工程技术和设计缺陷</w:t>
            </w:r>
          </w:p>
        </w:tc>
        <w:tc>
          <w:tcPr>
            <w:tcW w:w="6872" w:type="dxa"/>
            <w:vAlign w:val="center"/>
          </w:tcPr>
          <w:p w14:paraId="26B26F59">
            <w:pPr>
              <w:pStyle w:val="492"/>
              <w:adjustRightInd w:val="0"/>
              <w:snapToGrid w:val="0"/>
              <w:spacing w:line="240" w:lineRule="auto"/>
              <w:rPr>
                <w:rFonts w:ascii="Times New Roman" w:hAnsi="仿宋" w:eastAsia="仿宋"/>
                <w:sz w:val="24"/>
              </w:rPr>
            </w:pPr>
            <w:r>
              <w:rPr>
                <w:rFonts w:hint="eastAsia" w:ascii="Times New Roman" w:hAnsi="仿宋" w:eastAsia="仿宋"/>
                <w:sz w:val="24"/>
              </w:rPr>
              <w:t>①</w:t>
            </w:r>
            <w:r>
              <w:rPr>
                <w:rFonts w:ascii="Times New Roman" w:hAnsi="仿宋" w:eastAsia="仿宋"/>
                <w:sz w:val="24"/>
              </w:rPr>
              <w:t>建筑物布局不合理，防火间距不够；</w:t>
            </w:r>
            <w:r>
              <w:rPr>
                <w:rFonts w:hint="eastAsia" w:ascii="Times New Roman" w:hAnsi="仿宋" w:eastAsia="仿宋"/>
                <w:sz w:val="24"/>
              </w:rPr>
              <w:t>②</w:t>
            </w:r>
            <w:r>
              <w:rPr>
                <w:rFonts w:ascii="Times New Roman" w:hAnsi="仿宋" w:eastAsia="仿宋"/>
                <w:sz w:val="24"/>
              </w:rPr>
              <w:t>建筑物的防火等级达不到要求；</w:t>
            </w:r>
            <w:r>
              <w:rPr>
                <w:rFonts w:hint="eastAsia" w:ascii="Times New Roman" w:hAnsi="仿宋" w:eastAsia="仿宋"/>
                <w:sz w:val="24"/>
              </w:rPr>
              <w:t>③</w:t>
            </w:r>
            <w:r>
              <w:rPr>
                <w:rFonts w:ascii="Times New Roman" w:hAnsi="仿宋" w:eastAsia="仿宋"/>
                <w:sz w:val="24"/>
              </w:rPr>
              <w:t>消防设施不配套；</w:t>
            </w:r>
            <w:r>
              <w:rPr>
                <w:rFonts w:hint="eastAsia" w:ascii="Times New Roman" w:hAnsi="仿宋" w:eastAsia="仿宋"/>
                <w:sz w:val="24"/>
              </w:rPr>
              <w:t>④</w:t>
            </w:r>
            <w:r>
              <w:rPr>
                <w:rFonts w:ascii="Times New Roman" w:hAnsi="仿宋" w:eastAsia="仿宋"/>
                <w:sz w:val="24"/>
              </w:rPr>
              <w:t>装卸工艺及流程不合理</w:t>
            </w:r>
          </w:p>
        </w:tc>
      </w:tr>
      <w:tr w14:paraId="4156B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6683C0D4">
            <w:pPr>
              <w:pStyle w:val="492"/>
              <w:adjustRightInd w:val="0"/>
              <w:snapToGrid w:val="0"/>
              <w:spacing w:line="240" w:lineRule="auto"/>
              <w:rPr>
                <w:rFonts w:ascii="Times New Roman" w:hAnsi="仿宋" w:eastAsia="仿宋"/>
                <w:sz w:val="24"/>
              </w:rPr>
            </w:pPr>
            <w:r>
              <w:rPr>
                <w:rFonts w:ascii="Times New Roman" w:hAnsi="仿宋" w:eastAsia="仿宋"/>
                <w:sz w:val="24"/>
              </w:rPr>
              <w:t>5</w:t>
            </w:r>
          </w:p>
        </w:tc>
        <w:tc>
          <w:tcPr>
            <w:tcW w:w="1504" w:type="dxa"/>
            <w:vAlign w:val="center"/>
          </w:tcPr>
          <w:p w14:paraId="64B4321B">
            <w:pPr>
              <w:pStyle w:val="492"/>
              <w:adjustRightInd w:val="0"/>
              <w:snapToGrid w:val="0"/>
              <w:spacing w:line="240" w:lineRule="auto"/>
              <w:rPr>
                <w:rFonts w:ascii="Times New Roman" w:hAnsi="仿宋" w:eastAsia="仿宋"/>
                <w:sz w:val="24"/>
              </w:rPr>
            </w:pPr>
            <w:r>
              <w:rPr>
                <w:rFonts w:ascii="Times New Roman" w:hAnsi="仿宋" w:eastAsia="仿宋"/>
                <w:sz w:val="24"/>
              </w:rPr>
              <w:t>静电、放电</w:t>
            </w:r>
          </w:p>
        </w:tc>
        <w:tc>
          <w:tcPr>
            <w:tcW w:w="6872" w:type="dxa"/>
            <w:vAlign w:val="center"/>
          </w:tcPr>
          <w:p w14:paraId="632C0B29">
            <w:pPr>
              <w:pStyle w:val="492"/>
              <w:adjustRightInd w:val="0"/>
              <w:snapToGrid w:val="0"/>
              <w:spacing w:line="240" w:lineRule="auto"/>
              <w:rPr>
                <w:rFonts w:ascii="Times New Roman" w:hAnsi="仿宋" w:eastAsia="仿宋"/>
                <w:sz w:val="24"/>
              </w:rPr>
            </w:pPr>
            <w:r>
              <w:rPr>
                <w:rFonts w:ascii="Times New Roman" w:hAnsi="仿宋" w:eastAsia="仿宋"/>
                <w:sz w:val="24"/>
              </w:rPr>
              <w:t>油品在装卸、输送作业中，由于流动和被搅动、冲击、易产生和积聚静电，人体携带静电</w:t>
            </w:r>
          </w:p>
        </w:tc>
      </w:tr>
      <w:tr w14:paraId="5A603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79E5666C">
            <w:pPr>
              <w:pStyle w:val="492"/>
              <w:adjustRightInd w:val="0"/>
              <w:snapToGrid w:val="0"/>
              <w:spacing w:line="240" w:lineRule="auto"/>
              <w:rPr>
                <w:rFonts w:ascii="Times New Roman" w:hAnsi="仿宋" w:eastAsia="仿宋"/>
                <w:sz w:val="24"/>
              </w:rPr>
            </w:pPr>
            <w:r>
              <w:rPr>
                <w:rFonts w:ascii="Times New Roman" w:hAnsi="仿宋" w:eastAsia="仿宋"/>
                <w:sz w:val="24"/>
              </w:rPr>
              <w:t>6</w:t>
            </w:r>
          </w:p>
        </w:tc>
        <w:tc>
          <w:tcPr>
            <w:tcW w:w="1504" w:type="dxa"/>
            <w:vAlign w:val="center"/>
          </w:tcPr>
          <w:p w14:paraId="5E98D5FA">
            <w:pPr>
              <w:pStyle w:val="492"/>
              <w:adjustRightInd w:val="0"/>
              <w:snapToGrid w:val="0"/>
              <w:spacing w:line="240" w:lineRule="auto"/>
              <w:rPr>
                <w:rFonts w:ascii="Times New Roman" w:hAnsi="仿宋" w:eastAsia="仿宋"/>
                <w:sz w:val="24"/>
              </w:rPr>
            </w:pPr>
            <w:r>
              <w:rPr>
                <w:rFonts w:ascii="Times New Roman" w:hAnsi="仿宋" w:eastAsia="仿宋"/>
                <w:sz w:val="24"/>
              </w:rPr>
              <w:t>雷击及杂散电流</w:t>
            </w:r>
          </w:p>
        </w:tc>
        <w:tc>
          <w:tcPr>
            <w:tcW w:w="6872" w:type="dxa"/>
            <w:vAlign w:val="center"/>
          </w:tcPr>
          <w:p w14:paraId="1E12C91C">
            <w:pPr>
              <w:pStyle w:val="492"/>
              <w:adjustRightInd w:val="0"/>
              <w:snapToGrid w:val="0"/>
              <w:spacing w:line="240" w:lineRule="auto"/>
              <w:rPr>
                <w:rFonts w:ascii="Times New Roman" w:hAnsi="仿宋" w:eastAsia="仿宋"/>
                <w:sz w:val="24"/>
              </w:rPr>
            </w:pPr>
            <w:r>
              <w:rPr>
                <w:rFonts w:hint="eastAsia" w:ascii="Times New Roman" w:hAnsi="仿宋" w:eastAsia="仿宋"/>
                <w:sz w:val="24"/>
              </w:rPr>
              <w:t>①</w:t>
            </w:r>
            <w:r>
              <w:rPr>
                <w:rFonts w:ascii="Times New Roman" w:hAnsi="仿宋" w:eastAsia="仿宋"/>
                <w:sz w:val="24"/>
              </w:rPr>
              <w:t>建筑物、储罐的防雷设施不齐备或防雷接地措施不足；</w:t>
            </w:r>
            <w:r>
              <w:rPr>
                <w:rFonts w:hint="eastAsia" w:ascii="Times New Roman" w:hAnsi="仿宋" w:eastAsia="仿宋"/>
                <w:sz w:val="24"/>
              </w:rPr>
              <w:t>②</w:t>
            </w:r>
            <w:r>
              <w:rPr>
                <w:rFonts w:ascii="Times New Roman" w:hAnsi="仿宋" w:eastAsia="仿宋"/>
                <w:sz w:val="24"/>
              </w:rPr>
              <w:t>杂散电流窜入危险作业场所</w:t>
            </w:r>
          </w:p>
        </w:tc>
      </w:tr>
      <w:tr w14:paraId="45BF3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1" w:type="dxa"/>
            <w:vAlign w:val="center"/>
          </w:tcPr>
          <w:p w14:paraId="5EBE4B32">
            <w:pPr>
              <w:pStyle w:val="492"/>
              <w:adjustRightInd w:val="0"/>
              <w:snapToGrid w:val="0"/>
              <w:spacing w:line="240" w:lineRule="auto"/>
              <w:rPr>
                <w:rFonts w:ascii="Times New Roman" w:hAnsi="仿宋" w:eastAsia="仿宋"/>
                <w:sz w:val="24"/>
              </w:rPr>
            </w:pPr>
            <w:r>
              <w:rPr>
                <w:rFonts w:ascii="Times New Roman" w:hAnsi="仿宋" w:eastAsia="仿宋"/>
                <w:sz w:val="24"/>
              </w:rPr>
              <w:t>7</w:t>
            </w:r>
          </w:p>
        </w:tc>
        <w:tc>
          <w:tcPr>
            <w:tcW w:w="1504" w:type="dxa"/>
            <w:vAlign w:val="center"/>
          </w:tcPr>
          <w:p w14:paraId="3B67E3E0">
            <w:pPr>
              <w:pStyle w:val="492"/>
              <w:adjustRightInd w:val="0"/>
              <w:snapToGrid w:val="0"/>
              <w:spacing w:line="240" w:lineRule="auto"/>
              <w:rPr>
                <w:rFonts w:ascii="Times New Roman" w:hAnsi="仿宋" w:eastAsia="仿宋"/>
                <w:sz w:val="24"/>
              </w:rPr>
            </w:pPr>
            <w:r>
              <w:rPr>
                <w:rFonts w:ascii="Times New Roman" w:hAnsi="仿宋" w:eastAsia="仿宋"/>
                <w:sz w:val="24"/>
              </w:rPr>
              <w:t>其他原因</w:t>
            </w:r>
          </w:p>
        </w:tc>
        <w:tc>
          <w:tcPr>
            <w:tcW w:w="6872" w:type="dxa"/>
            <w:vAlign w:val="center"/>
          </w:tcPr>
          <w:p w14:paraId="10C78BFD">
            <w:pPr>
              <w:pStyle w:val="492"/>
              <w:adjustRightInd w:val="0"/>
              <w:snapToGrid w:val="0"/>
              <w:spacing w:line="240" w:lineRule="auto"/>
              <w:rPr>
                <w:rFonts w:ascii="Times New Roman" w:hAnsi="仿宋" w:eastAsia="仿宋"/>
                <w:sz w:val="24"/>
              </w:rPr>
            </w:pPr>
            <w:r>
              <w:rPr>
                <w:rFonts w:ascii="Times New Roman" w:hAnsi="仿宋" w:eastAsia="仿宋"/>
                <w:sz w:val="24"/>
              </w:rPr>
              <w:t>撞击摩擦、交通事故、人为蓄意破坏及自然灾害等</w:t>
            </w:r>
          </w:p>
        </w:tc>
      </w:tr>
    </w:tbl>
    <w:p w14:paraId="78C70028">
      <w:pPr>
        <w:spacing w:line="500" w:lineRule="exact"/>
        <w:ind w:firstLine="560" w:firstLineChars="200"/>
        <w:jc w:val="left"/>
        <w:rPr>
          <w:rFonts w:ascii="Times New Roman" w:eastAsia="仿宋"/>
          <w:sz w:val="28"/>
          <w:szCs w:val="28"/>
        </w:rPr>
      </w:pPr>
      <w:r>
        <w:rPr>
          <w:rFonts w:ascii="Times New Roman" w:eastAsia="仿宋"/>
          <w:sz w:val="28"/>
          <w:szCs w:val="28"/>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3A8D2D8D">
      <w:pPr>
        <w:spacing w:line="500" w:lineRule="exact"/>
        <w:ind w:firstLine="560" w:firstLineChars="200"/>
        <w:jc w:val="left"/>
        <w:rPr>
          <w:rFonts w:ascii="Times New Roman" w:eastAsia="仿宋"/>
          <w:sz w:val="28"/>
          <w:szCs w:val="28"/>
        </w:rPr>
      </w:pPr>
      <w:r>
        <w:rPr>
          <w:rFonts w:ascii="Times New Roman" w:eastAsia="仿宋"/>
          <w:sz w:val="28"/>
          <w:szCs w:val="28"/>
        </w:rPr>
        <w:t>（3）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261D9EE6">
      <w:pPr>
        <w:jc w:val="center"/>
        <w:rPr>
          <w:rFonts w:ascii="Times New Roman" w:eastAsia="仿宋"/>
          <w:b/>
        </w:rPr>
      </w:pPr>
      <w:r>
        <w:rPr>
          <w:rFonts w:ascii="Times New Roman" w:eastAsia="仿宋"/>
          <w:b/>
        </w:rPr>
        <w:t>表</w:t>
      </w:r>
      <w:r>
        <w:rPr>
          <w:rFonts w:hint="eastAsia" w:ascii="Times New Roman" w:eastAsia="仿宋"/>
          <w:b/>
        </w:rPr>
        <w:t>5.3-22</w:t>
      </w:r>
      <w:r>
        <w:rPr>
          <w:rFonts w:ascii="Times New Roman" w:eastAsia="仿宋"/>
          <w:b/>
        </w:rPr>
        <w:t xml:space="preserve">  污染事故可能性、严重性排序表</w:t>
      </w:r>
    </w:p>
    <w:tbl>
      <w:tblPr>
        <w:tblStyle w:val="87"/>
        <w:tblW w:w="53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1"/>
        <w:gridCol w:w="4818"/>
        <w:gridCol w:w="1789"/>
        <w:gridCol w:w="1603"/>
      </w:tblGrid>
      <w:tr w14:paraId="179C8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19B9CFE4">
            <w:pPr>
              <w:kinsoku w:val="0"/>
              <w:overflowPunct w:val="0"/>
              <w:autoSpaceDE w:val="0"/>
              <w:autoSpaceDN w:val="0"/>
              <w:adjustRightInd w:val="0"/>
              <w:snapToGrid w:val="0"/>
              <w:jc w:val="center"/>
              <w:rPr>
                <w:rFonts w:ascii="Times New Roman" w:eastAsia="仿宋"/>
              </w:rPr>
            </w:pPr>
            <w:r>
              <w:rPr>
                <w:rFonts w:ascii="Times New Roman" w:eastAsia="仿宋"/>
              </w:rPr>
              <w:t>序号</w:t>
            </w:r>
          </w:p>
        </w:tc>
        <w:tc>
          <w:tcPr>
            <w:tcW w:w="2627" w:type="pct"/>
            <w:vAlign w:val="center"/>
          </w:tcPr>
          <w:p w14:paraId="796E4B47">
            <w:pPr>
              <w:kinsoku w:val="0"/>
              <w:overflowPunct w:val="0"/>
              <w:autoSpaceDE w:val="0"/>
              <w:autoSpaceDN w:val="0"/>
              <w:adjustRightInd w:val="0"/>
              <w:snapToGrid w:val="0"/>
              <w:jc w:val="center"/>
              <w:rPr>
                <w:rFonts w:ascii="Times New Roman" w:eastAsia="仿宋"/>
              </w:rPr>
            </w:pPr>
            <w:r>
              <w:rPr>
                <w:rFonts w:ascii="Times New Roman" w:eastAsia="仿宋"/>
              </w:rPr>
              <w:t>污染事故类型</w:t>
            </w:r>
          </w:p>
        </w:tc>
        <w:tc>
          <w:tcPr>
            <w:tcW w:w="975" w:type="pct"/>
            <w:vAlign w:val="center"/>
          </w:tcPr>
          <w:p w14:paraId="546AB1A8">
            <w:pPr>
              <w:kinsoku w:val="0"/>
              <w:overflowPunct w:val="0"/>
              <w:autoSpaceDE w:val="0"/>
              <w:autoSpaceDN w:val="0"/>
              <w:adjustRightInd w:val="0"/>
              <w:snapToGrid w:val="0"/>
              <w:jc w:val="center"/>
              <w:rPr>
                <w:rFonts w:ascii="Times New Roman" w:eastAsia="仿宋"/>
              </w:rPr>
            </w:pPr>
            <w:r>
              <w:rPr>
                <w:rFonts w:ascii="Times New Roman" w:eastAsia="仿宋"/>
              </w:rPr>
              <w:t>可能性排序</w:t>
            </w:r>
          </w:p>
        </w:tc>
        <w:tc>
          <w:tcPr>
            <w:tcW w:w="874" w:type="pct"/>
            <w:vAlign w:val="center"/>
          </w:tcPr>
          <w:p w14:paraId="76ED8807">
            <w:pPr>
              <w:kinsoku w:val="0"/>
              <w:overflowPunct w:val="0"/>
              <w:autoSpaceDE w:val="0"/>
              <w:autoSpaceDN w:val="0"/>
              <w:adjustRightInd w:val="0"/>
              <w:snapToGrid w:val="0"/>
              <w:jc w:val="center"/>
              <w:rPr>
                <w:rFonts w:ascii="Times New Roman" w:eastAsia="仿宋"/>
              </w:rPr>
            </w:pPr>
            <w:r>
              <w:rPr>
                <w:rFonts w:ascii="Times New Roman" w:eastAsia="仿宋"/>
              </w:rPr>
              <w:t>严重性排序</w:t>
            </w:r>
          </w:p>
        </w:tc>
      </w:tr>
      <w:tr w14:paraId="2C8DE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0A42D65F">
            <w:pPr>
              <w:kinsoku w:val="0"/>
              <w:overflowPunct w:val="0"/>
              <w:autoSpaceDE w:val="0"/>
              <w:autoSpaceDN w:val="0"/>
              <w:adjustRightInd w:val="0"/>
              <w:snapToGrid w:val="0"/>
              <w:jc w:val="center"/>
              <w:rPr>
                <w:rFonts w:ascii="Times New Roman" w:eastAsia="仿宋"/>
              </w:rPr>
            </w:pPr>
            <w:r>
              <w:rPr>
                <w:rFonts w:ascii="Times New Roman" w:eastAsia="仿宋"/>
              </w:rPr>
              <w:t>1</w:t>
            </w:r>
          </w:p>
        </w:tc>
        <w:tc>
          <w:tcPr>
            <w:tcW w:w="2627" w:type="pct"/>
            <w:vAlign w:val="center"/>
          </w:tcPr>
          <w:p w14:paraId="04D51635">
            <w:pPr>
              <w:kinsoku w:val="0"/>
              <w:overflowPunct w:val="0"/>
              <w:autoSpaceDE w:val="0"/>
              <w:autoSpaceDN w:val="0"/>
              <w:adjustRightInd w:val="0"/>
              <w:snapToGrid w:val="0"/>
              <w:jc w:val="center"/>
              <w:rPr>
                <w:rFonts w:ascii="Times New Roman" w:eastAsia="仿宋"/>
              </w:rPr>
            </w:pPr>
            <w:r>
              <w:rPr>
                <w:rFonts w:ascii="Times New Roman" w:eastAsia="仿宋"/>
              </w:rPr>
              <w:t>着火燃烧后烟雾影响环境</w:t>
            </w:r>
          </w:p>
        </w:tc>
        <w:tc>
          <w:tcPr>
            <w:tcW w:w="975" w:type="pct"/>
            <w:vAlign w:val="center"/>
          </w:tcPr>
          <w:p w14:paraId="36B7C760">
            <w:pPr>
              <w:kinsoku w:val="0"/>
              <w:overflowPunct w:val="0"/>
              <w:autoSpaceDE w:val="0"/>
              <w:autoSpaceDN w:val="0"/>
              <w:adjustRightInd w:val="0"/>
              <w:snapToGrid w:val="0"/>
              <w:jc w:val="center"/>
              <w:rPr>
                <w:rFonts w:ascii="Times New Roman" w:eastAsia="仿宋"/>
              </w:rPr>
            </w:pPr>
            <w:r>
              <w:rPr>
                <w:rFonts w:ascii="Times New Roman" w:eastAsia="仿宋"/>
              </w:rPr>
              <w:t>1</w:t>
            </w:r>
          </w:p>
        </w:tc>
        <w:tc>
          <w:tcPr>
            <w:tcW w:w="874" w:type="pct"/>
            <w:vAlign w:val="center"/>
          </w:tcPr>
          <w:p w14:paraId="39FE9A2C">
            <w:pPr>
              <w:kinsoku w:val="0"/>
              <w:overflowPunct w:val="0"/>
              <w:autoSpaceDE w:val="0"/>
              <w:autoSpaceDN w:val="0"/>
              <w:adjustRightInd w:val="0"/>
              <w:snapToGrid w:val="0"/>
              <w:jc w:val="center"/>
              <w:rPr>
                <w:rFonts w:ascii="Times New Roman" w:eastAsia="仿宋"/>
              </w:rPr>
            </w:pPr>
            <w:r>
              <w:rPr>
                <w:rFonts w:ascii="Times New Roman" w:eastAsia="仿宋"/>
              </w:rPr>
              <w:t>5</w:t>
            </w:r>
          </w:p>
        </w:tc>
      </w:tr>
      <w:tr w14:paraId="2D2C2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30ECA476">
            <w:pPr>
              <w:kinsoku w:val="0"/>
              <w:overflowPunct w:val="0"/>
              <w:autoSpaceDE w:val="0"/>
              <w:autoSpaceDN w:val="0"/>
              <w:adjustRightInd w:val="0"/>
              <w:snapToGrid w:val="0"/>
              <w:jc w:val="center"/>
              <w:rPr>
                <w:rFonts w:ascii="Times New Roman" w:eastAsia="仿宋"/>
              </w:rPr>
            </w:pPr>
            <w:r>
              <w:rPr>
                <w:rFonts w:ascii="Times New Roman" w:eastAsia="仿宋"/>
              </w:rPr>
              <w:t>2</w:t>
            </w:r>
          </w:p>
        </w:tc>
        <w:tc>
          <w:tcPr>
            <w:tcW w:w="2627" w:type="pct"/>
            <w:vAlign w:val="center"/>
          </w:tcPr>
          <w:p w14:paraId="4B80EE5C">
            <w:pPr>
              <w:kinsoku w:val="0"/>
              <w:overflowPunct w:val="0"/>
              <w:autoSpaceDE w:val="0"/>
              <w:autoSpaceDN w:val="0"/>
              <w:adjustRightInd w:val="0"/>
              <w:snapToGrid w:val="0"/>
              <w:jc w:val="center"/>
              <w:rPr>
                <w:rFonts w:ascii="Times New Roman" w:eastAsia="仿宋"/>
              </w:rPr>
            </w:pPr>
            <w:r>
              <w:rPr>
                <w:rFonts w:ascii="Times New Roman" w:eastAsia="仿宋"/>
              </w:rPr>
              <w:t>爆炸碎片飞出界外影响环境造成损失</w:t>
            </w:r>
          </w:p>
        </w:tc>
        <w:tc>
          <w:tcPr>
            <w:tcW w:w="975" w:type="pct"/>
            <w:vAlign w:val="center"/>
          </w:tcPr>
          <w:p w14:paraId="44069225">
            <w:pPr>
              <w:kinsoku w:val="0"/>
              <w:overflowPunct w:val="0"/>
              <w:autoSpaceDE w:val="0"/>
              <w:autoSpaceDN w:val="0"/>
              <w:adjustRightInd w:val="0"/>
              <w:snapToGrid w:val="0"/>
              <w:jc w:val="center"/>
              <w:rPr>
                <w:rFonts w:ascii="Times New Roman" w:eastAsia="仿宋"/>
              </w:rPr>
            </w:pPr>
            <w:r>
              <w:rPr>
                <w:rFonts w:ascii="Times New Roman" w:eastAsia="仿宋"/>
              </w:rPr>
              <w:t>4</w:t>
            </w:r>
          </w:p>
        </w:tc>
        <w:tc>
          <w:tcPr>
            <w:tcW w:w="874" w:type="pct"/>
            <w:vAlign w:val="center"/>
          </w:tcPr>
          <w:p w14:paraId="421A5D2E">
            <w:pPr>
              <w:kinsoku w:val="0"/>
              <w:overflowPunct w:val="0"/>
              <w:autoSpaceDE w:val="0"/>
              <w:autoSpaceDN w:val="0"/>
              <w:adjustRightInd w:val="0"/>
              <w:snapToGrid w:val="0"/>
              <w:jc w:val="center"/>
              <w:rPr>
                <w:rFonts w:ascii="Times New Roman" w:eastAsia="仿宋"/>
              </w:rPr>
            </w:pPr>
            <w:r>
              <w:rPr>
                <w:rFonts w:ascii="Times New Roman" w:eastAsia="仿宋"/>
              </w:rPr>
              <w:t>4</w:t>
            </w:r>
          </w:p>
        </w:tc>
      </w:tr>
      <w:tr w14:paraId="1E46F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6980B14F">
            <w:pPr>
              <w:kinsoku w:val="0"/>
              <w:overflowPunct w:val="0"/>
              <w:autoSpaceDE w:val="0"/>
              <w:autoSpaceDN w:val="0"/>
              <w:adjustRightInd w:val="0"/>
              <w:snapToGrid w:val="0"/>
              <w:jc w:val="center"/>
              <w:rPr>
                <w:rFonts w:ascii="Times New Roman" w:eastAsia="仿宋"/>
              </w:rPr>
            </w:pPr>
            <w:r>
              <w:rPr>
                <w:rFonts w:ascii="Times New Roman" w:eastAsia="仿宋"/>
              </w:rPr>
              <w:t>3</w:t>
            </w:r>
          </w:p>
        </w:tc>
        <w:tc>
          <w:tcPr>
            <w:tcW w:w="2627" w:type="pct"/>
            <w:vAlign w:val="center"/>
          </w:tcPr>
          <w:p w14:paraId="050E6BB0">
            <w:pPr>
              <w:kinsoku w:val="0"/>
              <w:overflowPunct w:val="0"/>
              <w:autoSpaceDE w:val="0"/>
              <w:autoSpaceDN w:val="0"/>
              <w:adjustRightInd w:val="0"/>
              <w:snapToGrid w:val="0"/>
              <w:jc w:val="center"/>
              <w:rPr>
                <w:rFonts w:ascii="Times New Roman" w:eastAsia="仿宋"/>
              </w:rPr>
            </w:pPr>
            <w:r>
              <w:rPr>
                <w:rFonts w:ascii="Times New Roman" w:eastAsia="仿宋"/>
              </w:rPr>
              <w:t>有毒气体外逸污染环境</w:t>
            </w:r>
          </w:p>
        </w:tc>
        <w:tc>
          <w:tcPr>
            <w:tcW w:w="975" w:type="pct"/>
            <w:vAlign w:val="center"/>
          </w:tcPr>
          <w:p w14:paraId="49ABA0E7">
            <w:pPr>
              <w:kinsoku w:val="0"/>
              <w:overflowPunct w:val="0"/>
              <w:autoSpaceDE w:val="0"/>
              <w:autoSpaceDN w:val="0"/>
              <w:adjustRightInd w:val="0"/>
              <w:snapToGrid w:val="0"/>
              <w:jc w:val="center"/>
              <w:rPr>
                <w:rFonts w:ascii="Times New Roman" w:eastAsia="仿宋"/>
              </w:rPr>
            </w:pPr>
            <w:r>
              <w:rPr>
                <w:rFonts w:ascii="Times New Roman" w:eastAsia="仿宋"/>
              </w:rPr>
              <w:t>5</w:t>
            </w:r>
          </w:p>
        </w:tc>
        <w:tc>
          <w:tcPr>
            <w:tcW w:w="874" w:type="pct"/>
            <w:vAlign w:val="center"/>
          </w:tcPr>
          <w:p w14:paraId="6BE1E21E">
            <w:pPr>
              <w:kinsoku w:val="0"/>
              <w:overflowPunct w:val="0"/>
              <w:autoSpaceDE w:val="0"/>
              <w:autoSpaceDN w:val="0"/>
              <w:adjustRightInd w:val="0"/>
              <w:snapToGrid w:val="0"/>
              <w:jc w:val="center"/>
              <w:rPr>
                <w:rFonts w:ascii="Times New Roman" w:eastAsia="仿宋"/>
              </w:rPr>
            </w:pPr>
            <w:r>
              <w:rPr>
                <w:rFonts w:ascii="Times New Roman" w:eastAsia="仿宋"/>
              </w:rPr>
              <w:t>3</w:t>
            </w:r>
          </w:p>
        </w:tc>
      </w:tr>
      <w:tr w14:paraId="2E4E9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57AB3CAD">
            <w:pPr>
              <w:kinsoku w:val="0"/>
              <w:overflowPunct w:val="0"/>
              <w:autoSpaceDE w:val="0"/>
              <w:autoSpaceDN w:val="0"/>
              <w:adjustRightInd w:val="0"/>
              <w:snapToGrid w:val="0"/>
              <w:jc w:val="center"/>
              <w:rPr>
                <w:rFonts w:ascii="Times New Roman" w:eastAsia="仿宋"/>
              </w:rPr>
            </w:pPr>
            <w:r>
              <w:rPr>
                <w:rFonts w:ascii="Times New Roman" w:eastAsia="仿宋"/>
              </w:rPr>
              <w:t>4</w:t>
            </w:r>
          </w:p>
        </w:tc>
        <w:tc>
          <w:tcPr>
            <w:tcW w:w="2627" w:type="pct"/>
            <w:vAlign w:val="center"/>
          </w:tcPr>
          <w:p w14:paraId="5ABADA13">
            <w:pPr>
              <w:kinsoku w:val="0"/>
              <w:overflowPunct w:val="0"/>
              <w:autoSpaceDE w:val="0"/>
              <w:autoSpaceDN w:val="0"/>
              <w:adjustRightInd w:val="0"/>
              <w:snapToGrid w:val="0"/>
              <w:jc w:val="center"/>
              <w:rPr>
                <w:rFonts w:ascii="Times New Roman" w:eastAsia="仿宋"/>
              </w:rPr>
            </w:pPr>
            <w:r>
              <w:rPr>
                <w:rFonts w:ascii="Times New Roman" w:eastAsia="仿宋"/>
              </w:rPr>
              <w:t>燃爆或泄漏后有毒液体流入周围环境造成污染</w:t>
            </w:r>
          </w:p>
        </w:tc>
        <w:tc>
          <w:tcPr>
            <w:tcW w:w="975" w:type="pct"/>
            <w:vAlign w:val="center"/>
          </w:tcPr>
          <w:p w14:paraId="734A4AB4">
            <w:pPr>
              <w:kinsoku w:val="0"/>
              <w:overflowPunct w:val="0"/>
              <w:autoSpaceDE w:val="0"/>
              <w:autoSpaceDN w:val="0"/>
              <w:adjustRightInd w:val="0"/>
              <w:snapToGrid w:val="0"/>
              <w:jc w:val="center"/>
              <w:rPr>
                <w:rFonts w:ascii="Times New Roman" w:eastAsia="仿宋"/>
              </w:rPr>
            </w:pPr>
            <w:r>
              <w:rPr>
                <w:rFonts w:ascii="Times New Roman" w:eastAsia="仿宋"/>
              </w:rPr>
              <w:t>2</w:t>
            </w:r>
          </w:p>
        </w:tc>
        <w:tc>
          <w:tcPr>
            <w:tcW w:w="874" w:type="pct"/>
            <w:vAlign w:val="center"/>
          </w:tcPr>
          <w:p w14:paraId="07DDFB2A">
            <w:pPr>
              <w:kinsoku w:val="0"/>
              <w:overflowPunct w:val="0"/>
              <w:autoSpaceDE w:val="0"/>
              <w:autoSpaceDN w:val="0"/>
              <w:adjustRightInd w:val="0"/>
              <w:snapToGrid w:val="0"/>
              <w:jc w:val="center"/>
              <w:rPr>
                <w:rFonts w:ascii="Times New Roman" w:eastAsia="仿宋"/>
              </w:rPr>
            </w:pPr>
            <w:r>
              <w:rPr>
                <w:rFonts w:ascii="Times New Roman" w:eastAsia="仿宋"/>
              </w:rPr>
              <w:t>2</w:t>
            </w:r>
          </w:p>
        </w:tc>
      </w:tr>
      <w:tr w14:paraId="50BFD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4" w:type="pct"/>
            <w:vAlign w:val="center"/>
          </w:tcPr>
          <w:p w14:paraId="3E685867">
            <w:pPr>
              <w:kinsoku w:val="0"/>
              <w:overflowPunct w:val="0"/>
              <w:autoSpaceDE w:val="0"/>
              <w:autoSpaceDN w:val="0"/>
              <w:adjustRightInd w:val="0"/>
              <w:snapToGrid w:val="0"/>
              <w:jc w:val="center"/>
              <w:rPr>
                <w:rFonts w:ascii="Times New Roman" w:eastAsia="仿宋"/>
              </w:rPr>
            </w:pPr>
            <w:r>
              <w:rPr>
                <w:rFonts w:ascii="Times New Roman" w:eastAsia="仿宋"/>
              </w:rPr>
              <w:t>5</w:t>
            </w:r>
          </w:p>
        </w:tc>
        <w:tc>
          <w:tcPr>
            <w:tcW w:w="2627" w:type="pct"/>
            <w:vAlign w:val="center"/>
          </w:tcPr>
          <w:p w14:paraId="64883D15">
            <w:pPr>
              <w:kinsoku w:val="0"/>
              <w:overflowPunct w:val="0"/>
              <w:autoSpaceDE w:val="0"/>
              <w:autoSpaceDN w:val="0"/>
              <w:adjustRightInd w:val="0"/>
              <w:snapToGrid w:val="0"/>
              <w:jc w:val="center"/>
              <w:rPr>
                <w:rFonts w:ascii="Times New Roman" w:eastAsia="仿宋"/>
              </w:rPr>
            </w:pPr>
            <w:r>
              <w:rPr>
                <w:rFonts w:ascii="Times New Roman" w:eastAsia="仿宋"/>
              </w:rPr>
              <w:t>爆炸震动波及界外环境造成损失</w:t>
            </w:r>
          </w:p>
        </w:tc>
        <w:tc>
          <w:tcPr>
            <w:tcW w:w="975" w:type="pct"/>
            <w:vAlign w:val="center"/>
          </w:tcPr>
          <w:p w14:paraId="03B36919">
            <w:pPr>
              <w:kinsoku w:val="0"/>
              <w:overflowPunct w:val="0"/>
              <w:autoSpaceDE w:val="0"/>
              <w:autoSpaceDN w:val="0"/>
              <w:adjustRightInd w:val="0"/>
              <w:snapToGrid w:val="0"/>
              <w:jc w:val="center"/>
              <w:rPr>
                <w:rFonts w:ascii="Times New Roman" w:eastAsia="仿宋"/>
              </w:rPr>
            </w:pPr>
            <w:r>
              <w:rPr>
                <w:rFonts w:ascii="Times New Roman" w:eastAsia="仿宋"/>
              </w:rPr>
              <w:t>3</w:t>
            </w:r>
          </w:p>
        </w:tc>
        <w:tc>
          <w:tcPr>
            <w:tcW w:w="874" w:type="pct"/>
            <w:vAlign w:val="center"/>
          </w:tcPr>
          <w:p w14:paraId="43CED73F">
            <w:pPr>
              <w:kinsoku w:val="0"/>
              <w:overflowPunct w:val="0"/>
              <w:autoSpaceDE w:val="0"/>
              <w:autoSpaceDN w:val="0"/>
              <w:adjustRightInd w:val="0"/>
              <w:snapToGrid w:val="0"/>
              <w:jc w:val="center"/>
              <w:rPr>
                <w:rFonts w:ascii="Times New Roman" w:eastAsia="仿宋"/>
              </w:rPr>
            </w:pPr>
            <w:r>
              <w:rPr>
                <w:rFonts w:ascii="Times New Roman" w:eastAsia="仿宋"/>
              </w:rPr>
              <w:t>1</w:t>
            </w:r>
          </w:p>
        </w:tc>
      </w:tr>
    </w:tbl>
    <w:p w14:paraId="1426ACAA">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.3.3</w:t>
      </w:r>
      <w:r>
        <w:rPr>
          <w:rFonts w:hint="eastAsia" w:ascii="Times New Roman" w:eastAsia="仿宋"/>
          <w:bCs w:val="0"/>
          <w:sz w:val="28"/>
          <w:szCs w:val="28"/>
        </w:rPr>
        <w:t>最大可信事故</w:t>
      </w:r>
    </w:p>
    <w:p w14:paraId="7F8A032F">
      <w:pPr>
        <w:spacing w:line="500" w:lineRule="exact"/>
        <w:ind w:firstLine="560" w:firstLineChars="200"/>
        <w:rPr>
          <w:rFonts w:ascii="Times New Roman" w:eastAsia="仿宋"/>
          <w:sz w:val="28"/>
          <w:szCs w:val="28"/>
        </w:rPr>
      </w:pPr>
      <w:r>
        <w:rPr>
          <w:rFonts w:ascii="Times New Roman" w:eastAsia="仿宋"/>
          <w:sz w:val="28"/>
          <w:szCs w:val="28"/>
        </w:rPr>
        <w:t>根据《建设项目环境风险评价技术导则》（HJ169-2018），最大可信事故的定义为基于经验统计分析，在一定可能性区间内发生的事故中，造成环境危害最严重的事故。</w:t>
      </w:r>
    </w:p>
    <w:p w14:paraId="125B5D74">
      <w:pPr>
        <w:spacing w:line="500" w:lineRule="exact"/>
        <w:ind w:firstLine="560" w:firstLineChars="200"/>
        <w:rPr>
          <w:rFonts w:ascii="Times New Roman" w:eastAsia="仿宋"/>
          <w:sz w:val="28"/>
          <w:szCs w:val="28"/>
        </w:rPr>
      </w:pPr>
      <w:r>
        <w:rPr>
          <w:rFonts w:ascii="Times New Roman" w:eastAsia="仿宋"/>
          <w:sz w:val="28"/>
          <w:szCs w:val="28"/>
        </w:rPr>
        <w:t>从事故发生的概率来分析，因泄漏后扩散引起大气环境污染的事故比因泄漏后发生火灾、爆炸的事故要多10～100倍，而且火灾、爆炸事故造成的危害通常情况下集中在项目地块内，其危害评价一般属于安全评价范围。因此，本项目最大可信事故为原料存储区容器泄漏导致的物料泄漏事故，以及发生火灾爆炸事故时导致的伴生/次生污染物（如未燃烧完全的泄漏物、次生污染物CO、消防废水）对周围环境的影响</w:t>
      </w:r>
      <w:r>
        <w:rPr>
          <w:rFonts w:hint="eastAsia" w:ascii="Times New Roman" w:eastAsia="仿宋"/>
          <w:sz w:val="28"/>
          <w:szCs w:val="28"/>
        </w:rPr>
        <w:t>。</w:t>
      </w:r>
    </w:p>
    <w:p w14:paraId="38ADE490">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.3.4环境风险识别</w:t>
      </w:r>
    </w:p>
    <w:p w14:paraId="2F7F6F63">
      <w:pPr>
        <w:spacing w:line="500" w:lineRule="exact"/>
        <w:ind w:firstLine="560" w:firstLineChars="200"/>
        <w:rPr>
          <w:rFonts w:ascii="Times New Roman" w:eastAsia="仿宋"/>
          <w:sz w:val="28"/>
          <w:szCs w:val="28"/>
        </w:rPr>
      </w:pPr>
      <w:r>
        <w:rPr>
          <w:rFonts w:ascii="Times New Roman" w:eastAsia="仿宋"/>
          <w:sz w:val="28"/>
          <w:szCs w:val="28"/>
        </w:rPr>
        <w:t>本项目环境风险事故的受威胁对象为：人身安全、财产和环境。</w:t>
      </w:r>
    </w:p>
    <w:p w14:paraId="6E95A1A4">
      <w:pPr>
        <w:spacing w:line="500" w:lineRule="exact"/>
        <w:ind w:firstLine="560" w:firstLineChars="200"/>
        <w:rPr>
          <w:rFonts w:ascii="Times New Roman" w:eastAsia="仿宋"/>
          <w:sz w:val="28"/>
          <w:szCs w:val="28"/>
        </w:rPr>
      </w:pPr>
      <w:r>
        <w:rPr>
          <w:rFonts w:ascii="Times New Roman" w:eastAsia="仿宋"/>
          <w:sz w:val="28"/>
          <w:szCs w:val="28"/>
        </w:rPr>
        <w:t>环境风险类型及危害：</w:t>
      </w:r>
    </w:p>
    <w:p w14:paraId="2EC3FC02">
      <w:pPr>
        <w:spacing w:line="500" w:lineRule="exact"/>
        <w:ind w:firstLine="560" w:firstLineChars="200"/>
        <w:rPr>
          <w:rFonts w:ascii="Times New Roman" w:eastAsia="仿宋"/>
          <w:sz w:val="28"/>
          <w:szCs w:val="28"/>
        </w:rPr>
      </w:pPr>
      <w:r>
        <w:rPr>
          <w:rFonts w:ascii="Times New Roman" w:eastAsia="仿宋"/>
          <w:sz w:val="28"/>
          <w:szCs w:val="28"/>
        </w:rPr>
        <w:t>人员伤亡：化学品泄漏造成的火灾或爆炸，都有可能危及操作人员及周围人员的人身安全，出现人员伤亡。</w:t>
      </w:r>
    </w:p>
    <w:p w14:paraId="0EAE2AC8">
      <w:pPr>
        <w:spacing w:line="500" w:lineRule="exact"/>
        <w:ind w:firstLine="560" w:firstLineChars="200"/>
        <w:rPr>
          <w:rFonts w:ascii="Times New Roman" w:eastAsia="仿宋"/>
          <w:sz w:val="28"/>
          <w:szCs w:val="28"/>
        </w:rPr>
      </w:pPr>
      <w:r>
        <w:rPr>
          <w:rFonts w:ascii="Times New Roman" w:eastAsia="仿宋"/>
          <w:sz w:val="28"/>
          <w:szCs w:val="28"/>
        </w:rPr>
        <w:t>财产损失：化学品的泄漏，将造成的财务损失金额不等，泄漏的量越大，则造成的财务损失越大。</w:t>
      </w:r>
    </w:p>
    <w:p w14:paraId="6AB83D4A">
      <w:pPr>
        <w:spacing w:line="500" w:lineRule="exact"/>
        <w:ind w:firstLine="560" w:firstLineChars="200"/>
        <w:rPr>
          <w:rFonts w:ascii="Times New Roman" w:eastAsia="仿宋"/>
          <w:sz w:val="28"/>
          <w:szCs w:val="28"/>
        </w:rPr>
      </w:pPr>
      <w:r>
        <w:rPr>
          <w:rFonts w:ascii="Times New Roman" w:eastAsia="仿宋"/>
          <w:sz w:val="28"/>
          <w:szCs w:val="28"/>
        </w:rPr>
        <w:t>环境污染：有毒有害化学品泄漏后成为大气污染物，造成环境污染，在下风向形成浓度超标排放，并持续一段时间，对人体及各种生物将产生危害；泄漏出的化学物质对流经的土壤产生的污染，流入地面水域也将污染地表水质；事故排放的高浓度废水将对纳污水体造成污染影响。</w:t>
      </w:r>
    </w:p>
    <w:p w14:paraId="7505A943">
      <w:pPr>
        <w:spacing w:line="500" w:lineRule="exact"/>
        <w:ind w:firstLine="560" w:firstLineChars="200"/>
        <w:rPr>
          <w:rFonts w:ascii="Times New Roman" w:eastAsia="仿宋"/>
          <w:sz w:val="28"/>
          <w:szCs w:val="28"/>
        </w:rPr>
      </w:pPr>
      <w:r>
        <w:rPr>
          <w:rFonts w:ascii="Times New Roman" w:eastAsia="仿宋"/>
          <w:sz w:val="28"/>
          <w:szCs w:val="28"/>
        </w:rPr>
        <w:t>环境风险识别见下表：</w:t>
      </w:r>
    </w:p>
    <w:p w14:paraId="02A54010">
      <w:pPr>
        <w:adjustRightInd w:val="0"/>
        <w:snapToGrid w:val="0"/>
        <w:spacing w:line="500" w:lineRule="exact"/>
        <w:ind w:firstLine="482"/>
        <w:jc w:val="center"/>
        <w:rPr>
          <w:rFonts w:ascii="Times New Roman" w:eastAsia="仿宋"/>
          <w:b/>
        </w:rPr>
      </w:pPr>
      <w:r>
        <w:rPr>
          <w:rFonts w:ascii="Times New Roman" w:eastAsia="仿宋"/>
          <w:b/>
        </w:rPr>
        <w:t xml:space="preserve">表 </w:t>
      </w:r>
      <w:r>
        <w:rPr>
          <w:rFonts w:hint="eastAsia" w:ascii="Times New Roman" w:eastAsia="仿宋"/>
          <w:b/>
        </w:rPr>
        <w:t>5.3-23</w:t>
      </w:r>
      <w:r>
        <w:rPr>
          <w:rFonts w:ascii="Times New Roman" w:eastAsia="仿宋"/>
          <w:b/>
        </w:rPr>
        <w:t xml:space="preserve"> 本项目及环保设施风险识别表</w:t>
      </w:r>
    </w:p>
    <w:tbl>
      <w:tblPr>
        <w:tblStyle w:val="8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8"/>
        <w:gridCol w:w="839"/>
        <w:gridCol w:w="1261"/>
        <w:gridCol w:w="1491"/>
        <w:gridCol w:w="1491"/>
        <w:gridCol w:w="1491"/>
        <w:gridCol w:w="1481"/>
      </w:tblGrid>
      <w:tr w14:paraId="05826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75" w:type="pct"/>
            <w:vAlign w:val="center"/>
          </w:tcPr>
          <w:p w14:paraId="36D449DA">
            <w:pPr>
              <w:pStyle w:val="949"/>
              <w:rPr>
                <w:sz w:val="24"/>
                <w:szCs w:val="21"/>
              </w:rPr>
            </w:pPr>
            <w:r>
              <w:rPr>
                <w:sz w:val="24"/>
                <w:szCs w:val="21"/>
              </w:rPr>
              <w:t>序号</w:t>
            </w:r>
          </w:p>
        </w:tc>
        <w:tc>
          <w:tcPr>
            <w:tcW w:w="492" w:type="pct"/>
            <w:vAlign w:val="center"/>
          </w:tcPr>
          <w:p w14:paraId="32680B1C">
            <w:pPr>
              <w:pStyle w:val="949"/>
              <w:rPr>
                <w:sz w:val="24"/>
                <w:szCs w:val="21"/>
              </w:rPr>
            </w:pPr>
            <w:r>
              <w:rPr>
                <w:sz w:val="24"/>
                <w:szCs w:val="21"/>
              </w:rPr>
              <w:t>风险单元</w:t>
            </w:r>
          </w:p>
        </w:tc>
        <w:tc>
          <w:tcPr>
            <w:tcW w:w="739" w:type="pct"/>
            <w:vAlign w:val="center"/>
          </w:tcPr>
          <w:p w14:paraId="12ED64AF">
            <w:pPr>
              <w:pStyle w:val="949"/>
              <w:rPr>
                <w:sz w:val="24"/>
                <w:szCs w:val="21"/>
              </w:rPr>
            </w:pPr>
            <w:r>
              <w:rPr>
                <w:sz w:val="24"/>
                <w:szCs w:val="21"/>
              </w:rPr>
              <w:t>主要危险源</w:t>
            </w:r>
          </w:p>
        </w:tc>
        <w:tc>
          <w:tcPr>
            <w:tcW w:w="874" w:type="pct"/>
            <w:vAlign w:val="center"/>
          </w:tcPr>
          <w:p w14:paraId="370E89B8">
            <w:pPr>
              <w:pStyle w:val="949"/>
              <w:rPr>
                <w:sz w:val="24"/>
                <w:szCs w:val="21"/>
              </w:rPr>
            </w:pPr>
            <w:r>
              <w:rPr>
                <w:sz w:val="24"/>
                <w:szCs w:val="21"/>
              </w:rPr>
              <w:t>主要危险物质</w:t>
            </w:r>
          </w:p>
        </w:tc>
        <w:tc>
          <w:tcPr>
            <w:tcW w:w="874" w:type="pct"/>
            <w:vAlign w:val="center"/>
          </w:tcPr>
          <w:p w14:paraId="0F0448E0">
            <w:pPr>
              <w:pStyle w:val="949"/>
              <w:rPr>
                <w:sz w:val="24"/>
                <w:szCs w:val="21"/>
              </w:rPr>
            </w:pPr>
            <w:r>
              <w:rPr>
                <w:sz w:val="24"/>
                <w:szCs w:val="21"/>
              </w:rPr>
              <w:t>环境风险类型</w:t>
            </w:r>
          </w:p>
        </w:tc>
        <w:tc>
          <w:tcPr>
            <w:tcW w:w="874" w:type="pct"/>
            <w:vAlign w:val="center"/>
          </w:tcPr>
          <w:p w14:paraId="2CA4BAD5">
            <w:pPr>
              <w:pStyle w:val="949"/>
              <w:rPr>
                <w:sz w:val="24"/>
                <w:szCs w:val="21"/>
              </w:rPr>
            </w:pPr>
            <w:r>
              <w:rPr>
                <w:sz w:val="24"/>
                <w:szCs w:val="21"/>
              </w:rPr>
              <w:t>环境影响途径</w:t>
            </w:r>
          </w:p>
        </w:tc>
        <w:tc>
          <w:tcPr>
            <w:tcW w:w="868" w:type="pct"/>
            <w:vAlign w:val="center"/>
          </w:tcPr>
          <w:p w14:paraId="09E1DE51">
            <w:pPr>
              <w:pStyle w:val="949"/>
              <w:rPr>
                <w:sz w:val="24"/>
                <w:szCs w:val="21"/>
              </w:rPr>
            </w:pPr>
            <w:r>
              <w:rPr>
                <w:sz w:val="24"/>
                <w:szCs w:val="21"/>
              </w:rPr>
              <w:t>可能受影响的环境敏感目标</w:t>
            </w:r>
          </w:p>
        </w:tc>
      </w:tr>
      <w:tr w14:paraId="0F5C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Align w:val="center"/>
          </w:tcPr>
          <w:p w14:paraId="082BB4E6">
            <w:pPr>
              <w:pStyle w:val="949"/>
              <w:rPr>
                <w:sz w:val="24"/>
                <w:szCs w:val="21"/>
              </w:rPr>
            </w:pPr>
            <w:r>
              <w:rPr>
                <w:sz w:val="24"/>
                <w:szCs w:val="21"/>
              </w:rPr>
              <w:t>1</w:t>
            </w:r>
          </w:p>
        </w:tc>
        <w:tc>
          <w:tcPr>
            <w:tcW w:w="492" w:type="pct"/>
            <w:vAlign w:val="center"/>
          </w:tcPr>
          <w:p w14:paraId="68DE3E9D">
            <w:pPr>
              <w:pStyle w:val="949"/>
              <w:rPr>
                <w:sz w:val="24"/>
                <w:szCs w:val="21"/>
              </w:rPr>
            </w:pPr>
            <w:r>
              <w:rPr>
                <w:sz w:val="24"/>
                <w:szCs w:val="21"/>
              </w:rPr>
              <w:t>生产过程</w:t>
            </w:r>
          </w:p>
        </w:tc>
        <w:tc>
          <w:tcPr>
            <w:tcW w:w="739" w:type="pct"/>
            <w:vAlign w:val="center"/>
          </w:tcPr>
          <w:p w14:paraId="491613E0">
            <w:pPr>
              <w:pStyle w:val="949"/>
              <w:rPr>
                <w:sz w:val="24"/>
                <w:szCs w:val="21"/>
              </w:rPr>
            </w:pPr>
            <w:r>
              <w:rPr>
                <w:sz w:val="24"/>
                <w:szCs w:val="21"/>
              </w:rPr>
              <w:t>喷漆、固化等工序</w:t>
            </w:r>
          </w:p>
        </w:tc>
        <w:tc>
          <w:tcPr>
            <w:tcW w:w="874" w:type="pct"/>
            <w:vAlign w:val="center"/>
          </w:tcPr>
          <w:p w14:paraId="239013DB">
            <w:pPr>
              <w:pStyle w:val="949"/>
              <w:rPr>
                <w:sz w:val="24"/>
                <w:szCs w:val="21"/>
              </w:rPr>
            </w:pPr>
            <w:r>
              <w:rPr>
                <w:sz w:val="24"/>
                <w:szCs w:val="21"/>
              </w:rPr>
              <w:t>原料中含有的有机物等</w:t>
            </w:r>
          </w:p>
        </w:tc>
        <w:tc>
          <w:tcPr>
            <w:tcW w:w="874" w:type="pct"/>
            <w:vAlign w:val="center"/>
          </w:tcPr>
          <w:p w14:paraId="00970D38">
            <w:pPr>
              <w:pStyle w:val="949"/>
              <w:rPr>
                <w:sz w:val="24"/>
                <w:szCs w:val="21"/>
              </w:rPr>
            </w:pPr>
            <w:r>
              <w:rPr>
                <w:spacing w:val="-2"/>
                <w:sz w:val="24"/>
                <w:szCs w:val="21"/>
              </w:rPr>
              <w:t>泄漏、火灾、爆炸</w:t>
            </w:r>
          </w:p>
        </w:tc>
        <w:tc>
          <w:tcPr>
            <w:tcW w:w="874" w:type="pct"/>
            <w:vAlign w:val="center"/>
          </w:tcPr>
          <w:p w14:paraId="22C5EEDE">
            <w:pPr>
              <w:pStyle w:val="949"/>
              <w:rPr>
                <w:spacing w:val="-2"/>
                <w:sz w:val="24"/>
                <w:szCs w:val="21"/>
              </w:rPr>
            </w:pPr>
            <w:r>
              <w:rPr>
                <w:spacing w:val="-2"/>
                <w:sz w:val="24"/>
                <w:szCs w:val="21"/>
              </w:rPr>
              <w:t>大气、土壤、地表水与地下水</w:t>
            </w:r>
          </w:p>
        </w:tc>
        <w:tc>
          <w:tcPr>
            <w:tcW w:w="868" w:type="pct"/>
            <w:vAlign w:val="center"/>
          </w:tcPr>
          <w:p w14:paraId="06B31FE5">
            <w:pPr>
              <w:pStyle w:val="949"/>
              <w:rPr>
                <w:sz w:val="24"/>
                <w:szCs w:val="21"/>
              </w:rPr>
            </w:pPr>
            <w:r>
              <w:rPr>
                <w:spacing w:val="-2"/>
                <w:sz w:val="24"/>
                <w:szCs w:val="21"/>
              </w:rPr>
              <w:t>周边居住区及河流，周边分散式水井</w:t>
            </w:r>
          </w:p>
        </w:tc>
      </w:tr>
      <w:tr w14:paraId="44B0A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Align w:val="center"/>
          </w:tcPr>
          <w:p w14:paraId="01F48CD2">
            <w:pPr>
              <w:pStyle w:val="949"/>
              <w:rPr>
                <w:sz w:val="24"/>
                <w:szCs w:val="21"/>
              </w:rPr>
            </w:pPr>
            <w:r>
              <w:rPr>
                <w:rFonts w:hint="eastAsia"/>
                <w:sz w:val="24"/>
                <w:szCs w:val="21"/>
              </w:rPr>
              <w:t>2</w:t>
            </w:r>
          </w:p>
        </w:tc>
        <w:tc>
          <w:tcPr>
            <w:tcW w:w="492" w:type="pct"/>
            <w:vAlign w:val="center"/>
          </w:tcPr>
          <w:p w14:paraId="1D2D35E1">
            <w:pPr>
              <w:pStyle w:val="949"/>
              <w:rPr>
                <w:sz w:val="24"/>
                <w:szCs w:val="21"/>
              </w:rPr>
            </w:pPr>
            <w:r>
              <w:rPr>
                <w:sz w:val="24"/>
                <w:szCs w:val="21"/>
              </w:rPr>
              <w:t>生产过程</w:t>
            </w:r>
          </w:p>
        </w:tc>
        <w:tc>
          <w:tcPr>
            <w:tcW w:w="739" w:type="pct"/>
            <w:vAlign w:val="center"/>
          </w:tcPr>
          <w:p w14:paraId="61BCD3F8">
            <w:pPr>
              <w:pStyle w:val="949"/>
              <w:rPr>
                <w:sz w:val="24"/>
                <w:szCs w:val="21"/>
              </w:rPr>
            </w:pPr>
            <w:r>
              <w:rPr>
                <w:rFonts w:hint="eastAsia"/>
                <w:sz w:val="24"/>
                <w:szCs w:val="21"/>
              </w:rPr>
              <w:t>打磨</w:t>
            </w:r>
          </w:p>
        </w:tc>
        <w:tc>
          <w:tcPr>
            <w:tcW w:w="874" w:type="pct"/>
            <w:vAlign w:val="center"/>
          </w:tcPr>
          <w:p w14:paraId="19B5E4A8">
            <w:pPr>
              <w:pStyle w:val="949"/>
              <w:rPr>
                <w:sz w:val="24"/>
                <w:szCs w:val="21"/>
              </w:rPr>
            </w:pPr>
            <w:r>
              <w:rPr>
                <w:rFonts w:hint="eastAsia"/>
                <w:sz w:val="24"/>
                <w:szCs w:val="21"/>
              </w:rPr>
              <w:t>铝粉尘</w:t>
            </w:r>
          </w:p>
        </w:tc>
        <w:tc>
          <w:tcPr>
            <w:tcW w:w="874" w:type="pct"/>
            <w:vAlign w:val="center"/>
          </w:tcPr>
          <w:p w14:paraId="7F9232E7">
            <w:pPr>
              <w:pStyle w:val="949"/>
              <w:rPr>
                <w:spacing w:val="-2"/>
                <w:sz w:val="24"/>
                <w:szCs w:val="21"/>
              </w:rPr>
            </w:pPr>
            <w:r>
              <w:rPr>
                <w:spacing w:val="-2"/>
                <w:sz w:val="24"/>
                <w:szCs w:val="21"/>
              </w:rPr>
              <w:t>爆炸</w:t>
            </w:r>
          </w:p>
        </w:tc>
        <w:tc>
          <w:tcPr>
            <w:tcW w:w="874" w:type="pct"/>
            <w:vAlign w:val="center"/>
          </w:tcPr>
          <w:p w14:paraId="195E967A">
            <w:pPr>
              <w:pStyle w:val="949"/>
              <w:rPr>
                <w:spacing w:val="-2"/>
                <w:sz w:val="24"/>
                <w:szCs w:val="21"/>
              </w:rPr>
            </w:pPr>
            <w:r>
              <w:rPr>
                <w:spacing w:val="-2"/>
                <w:sz w:val="24"/>
                <w:szCs w:val="21"/>
              </w:rPr>
              <w:t>大气</w:t>
            </w:r>
          </w:p>
        </w:tc>
        <w:tc>
          <w:tcPr>
            <w:tcW w:w="868" w:type="pct"/>
            <w:vAlign w:val="center"/>
          </w:tcPr>
          <w:p w14:paraId="4AAAB964">
            <w:pPr>
              <w:pStyle w:val="949"/>
              <w:rPr>
                <w:spacing w:val="-2"/>
                <w:sz w:val="24"/>
                <w:szCs w:val="21"/>
              </w:rPr>
            </w:pPr>
            <w:r>
              <w:rPr>
                <w:spacing w:val="-2"/>
                <w:sz w:val="24"/>
                <w:szCs w:val="21"/>
              </w:rPr>
              <w:t>周边居住区及村庄</w:t>
            </w:r>
          </w:p>
        </w:tc>
      </w:tr>
      <w:tr w14:paraId="2ECD9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Align w:val="center"/>
          </w:tcPr>
          <w:p w14:paraId="6CA3F5C0">
            <w:pPr>
              <w:pStyle w:val="949"/>
              <w:rPr>
                <w:sz w:val="24"/>
                <w:szCs w:val="21"/>
              </w:rPr>
            </w:pPr>
            <w:r>
              <w:rPr>
                <w:rFonts w:hint="eastAsia"/>
                <w:sz w:val="24"/>
                <w:szCs w:val="21"/>
              </w:rPr>
              <w:t>3</w:t>
            </w:r>
          </w:p>
        </w:tc>
        <w:tc>
          <w:tcPr>
            <w:tcW w:w="492" w:type="pct"/>
            <w:vMerge w:val="restart"/>
            <w:vAlign w:val="center"/>
          </w:tcPr>
          <w:p w14:paraId="5C2FC3A9">
            <w:pPr>
              <w:pStyle w:val="949"/>
              <w:rPr>
                <w:sz w:val="24"/>
                <w:szCs w:val="21"/>
              </w:rPr>
            </w:pPr>
            <w:r>
              <w:rPr>
                <w:sz w:val="24"/>
                <w:szCs w:val="21"/>
              </w:rPr>
              <w:t>贮存区</w:t>
            </w:r>
            <w:r>
              <w:rPr>
                <w:spacing w:val="-102"/>
                <w:sz w:val="24"/>
                <w:szCs w:val="21"/>
              </w:rPr>
              <w:t xml:space="preserve"> </w:t>
            </w:r>
            <w:r>
              <w:rPr>
                <w:sz w:val="24"/>
                <w:szCs w:val="21"/>
              </w:rPr>
              <w:t>域</w:t>
            </w:r>
          </w:p>
        </w:tc>
        <w:tc>
          <w:tcPr>
            <w:tcW w:w="739" w:type="pct"/>
            <w:vAlign w:val="center"/>
          </w:tcPr>
          <w:p w14:paraId="2D58E9DC">
            <w:pPr>
              <w:pStyle w:val="949"/>
              <w:rPr>
                <w:sz w:val="24"/>
                <w:szCs w:val="21"/>
              </w:rPr>
            </w:pPr>
            <w:r>
              <w:rPr>
                <w:rFonts w:hint="eastAsia"/>
                <w:sz w:val="24"/>
                <w:szCs w:val="21"/>
              </w:rPr>
              <w:t>油漆仓库</w:t>
            </w:r>
          </w:p>
        </w:tc>
        <w:tc>
          <w:tcPr>
            <w:tcW w:w="874" w:type="pct"/>
            <w:vAlign w:val="center"/>
          </w:tcPr>
          <w:p w14:paraId="297E25EB">
            <w:pPr>
              <w:pStyle w:val="949"/>
              <w:rPr>
                <w:sz w:val="24"/>
                <w:szCs w:val="21"/>
              </w:rPr>
            </w:pPr>
            <w:r>
              <w:rPr>
                <w:sz w:val="24"/>
                <w:szCs w:val="21"/>
              </w:rPr>
              <w:t>原料中含有的有机物等</w:t>
            </w:r>
          </w:p>
        </w:tc>
        <w:tc>
          <w:tcPr>
            <w:tcW w:w="874" w:type="pct"/>
            <w:vAlign w:val="center"/>
          </w:tcPr>
          <w:p w14:paraId="039AD0A1">
            <w:pPr>
              <w:pStyle w:val="949"/>
              <w:rPr>
                <w:sz w:val="24"/>
                <w:szCs w:val="21"/>
              </w:rPr>
            </w:pPr>
            <w:r>
              <w:rPr>
                <w:spacing w:val="-2"/>
                <w:sz w:val="24"/>
                <w:szCs w:val="21"/>
              </w:rPr>
              <w:t>泄漏，火灾、爆炸</w:t>
            </w:r>
          </w:p>
        </w:tc>
        <w:tc>
          <w:tcPr>
            <w:tcW w:w="874" w:type="pct"/>
            <w:vAlign w:val="center"/>
          </w:tcPr>
          <w:p w14:paraId="55D148EE">
            <w:pPr>
              <w:pStyle w:val="949"/>
              <w:rPr>
                <w:spacing w:val="-2"/>
                <w:sz w:val="24"/>
                <w:szCs w:val="21"/>
              </w:rPr>
            </w:pPr>
            <w:r>
              <w:rPr>
                <w:spacing w:val="-2"/>
                <w:sz w:val="24"/>
                <w:szCs w:val="21"/>
              </w:rPr>
              <w:t>大气、土壤、地表水与地下水</w:t>
            </w:r>
          </w:p>
        </w:tc>
        <w:tc>
          <w:tcPr>
            <w:tcW w:w="868" w:type="pct"/>
            <w:vAlign w:val="center"/>
          </w:tcPr>
          <w:p w14:paraId="5D3874A8">
            <w:pPr>
              <w:pStyle w:val="949"/>
              <w:rPr>
                <w:sz w:val="24"/>
                <w:szCs w:val="21"/>
              </w:rPr>
            </w:pPr>
            <w:r>
              <w:rPr>
                <w:spacing w:val="-2"/>
                <w:sz w:val="24"/>
                <w:szCs w:val="21"/>
              </w:rPr>
              <w:t>周边居住区及河流，周边分散式水井</w:t>
            </w:r>
          </w:p>
        </w:tc>
      </w:tr>
      <w:tr w14:paraId="5656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Align w:val="center"/>
          </w:tcPr>
          <w:p w14:paraId="01270992">
            <w:pPr>
              <w:pStyle w:val="949"/>
              <w:rPr>
                <w:sz w:val="24"/>
                <w:szCs w:val="21"/>
              </w:rPr>
            </w:pPr>
            <w:r>
              <w:rPr>
                <w:rFonts w:hint="eastAsia"/>
                <w:sz w:val="24"/>
                <w:szCs w:val="21"/>
              </w:rPr>
              <w:t>4</w:t>
            </w:r>
          </w:p>
        </w:tc>
        <w:tc>
          <w:tcPr>
            <w:tcW w:w="492" w:type="pct"/>
            <w:vMerge w:val="continue"/>
            <w:vAlign w:val="center"/>
          </w:tcPr>
          <w:p w14:paraId="278A261C">
            <w:pPr>
              <w:pStyle w:val="949"/>
              <w:rPr>
                <w:sz w:val="24"/>
                <w:szCs w:val="21"/>
              </w:rPr>
            </w:pPr>
          </w:p>
        </w:tc>
        <w:tc>
          <w:tcPr>
            <w:tcW w:w="739" w:type="pct"/>
            <w:vAlign w:val="center"/>
          </w:tcPr>
          <w:p w14:paraId="2F9AA220">
            <w:pPr>
              <w:pStyle w:val="949"/>
              <w:rPr>
                <w:sz w:val="24"/>
                <w:szCs w:val="21"/>
              </w:rPr>
            </w:pPr>
            <w:r>
              <w:rPr>
                <w:rFonts w:hint="eastAsia"/>
                <w:sz w:val="24"/>
                <w:szCs w:val="21"/>
              </w:rPr>
              <w:t>粉仓库</w:t>
            </w:r>
          </w:p>
        </w:tc>
        <w:tc>
          <w:tcPr>
            <w:tcW w:w="874" w:type="pct"/>
            <w:vAlign w:val="center"/>
          </w:tcPr>
          <w:p w14:paraId="5645F860">
            <w:pPr>
              <w:pStyle w:val="949"/>
              <w:rPr>
                <w:sz w:val="24"/>
                <w:szCs w:val="21"/>
              </w:rPr>
            </w:pPr>
            <w:r>
              <w:rPr>
                <w:rFonts w:hint="eastAsia"/>
                <w:sz w:val="24"/>
                <w:szCs w:val="21"/>
              </w:rPr>
              <w:t>塑粉</w:t>
            </w:r>
          </w:p>
        </w:tc>
        <w:tc>
          <w:tcPr>
            <w:tcW w:w="874" w:type="pct"/>
            <w:vAlign w:val="center"/>
          </w:tcPr>
          <w:p w14:paraId="35846E65">
            <w:pPr>
              <w:pStyle w:val="949"/>
              <w:rPr>
                <w:spacing w:val="-2"/>
                <w:sz w:val="24"/>
                <w:szCs w:val="21"/>
              </w:rPr>
            </w:pPr>
            <w:r>
              <w:rPr>
                <w:spacing w:val="-2"/>
                <w:sz w:val="24"/>
                <w:szCs w:val="21"/>
              </w:rPr>
              <w:t>爆炸</w:t>
            </w:r>
          </w:p>
        </w:tc>
        <w:tc>
          <w:tcPr>
            <w:tcW w:w="874" w:type="pct"/>
            <w:vAlign w:val="center"/>
          </w:tcPr>
          <w:p w14:paraId="67C42E2E">
            <w:pPr>
              <w:pStyle w:val="949"/>
              <w:rPr>
                <w:spacing w:val="-2"/>
                <w:sz w:val="24"/>
                <w:szCs w:val="21"/>
              </w:rPr>
            </w:pPr>
            <w:r>
              <w:rPr>
                <w:spacing w:val="-2"/>
                <w:sz w:val="24"/>
                <w:szCs w:val="21"/>
              </w:rPr>
              <w:t>大气</w:t>
            </w:r>
          </w:p>
        </w:tc>
        <w:tc>
          <w:tcPr>
            <w:tcW w:w="868" w:type="pct"/>
            <w:vAlign w:val="center"/>
          </w:tcPr>
          <w:p w14:paraId="6D0375F0">
            <w:pPr>
              <w:pStyle w:val="949"/>
              <w:rPr>
                <w:spacing w:val="-2"/>
                <w:sz w:val="24"/>
                <w:szCs w:val="21"/>
              </w:rPr>
            </w:pPr>
            <w:r>
              <w:rPr>
                <w:spacing w:val="-2"/>
                <w:sz w:val="24"/>
                <w:szCs w:val="21"/>
              </w:rPr>
              <w:t>周边居住区及村庄</w:t>
            </w:r>
          </w:p>
        </w:tc>
      </w:tr>
      <w:tr w14:paraId="410BA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Merge w:val="restart"/>
            <w:vAlign w:val="center"/>
          </w:tcPr>
          <w:p w14:paraId="0D3CFA34">
            <w:pPr>
              <w:pStyle w:val="949"/>
              <w:rPr>
                <w:sz w:val="24"/>
                <w:szCs w:val="21"/>
              </w:rPr>
            </w:pPr>
            <w:r>
              <w:rPr>
                <w:sz w:val="24"/>
                <w:szCs w:val="21"/>
              </w:rPr>
              <w:t>5</w:t>
            </w:r>
          </w:p>
        </w:tc>
        <w:tc>
          <w:tcPr>
            <w:tcW w:w="492" w:type="pct"/>
            <w:vMerge w:val="restart"/>
            <w:vAlign w:val="center"/>
          </w:tcPr>
          <w:p w14:paraId="2BBDC882">
            <w:pPr>
              <w:pStyle w:val="949"/>
              <w:rPr>
                <w:sz w:val="24"/>
                <w:szCs w:val="21"/>
              </w:rPr>
            </w:pPr>
            <w:r>
              <w:rPr>
                <w:sz w:val="24"/>
                <w:szCs w:val="21"/>
              </w:rPr>
              <w:t>环保设</w:t>
            </w:r>
            <w:r>
              <w:rPr>
                <w:spacing w:val="-102"/>
                <w:sz w:val="24"/>
                <w:szCs w:val="21"/>
              </w:rPr>
              <w:t xml:space="preserve"> </w:t>
            </w:r>
            <w:r>
              <w:rPr>
                <w:sz w:val="24"/>
                <w:szCs w:val="21"/>
              </w:rPr>
              <w:t>施</w:t>
            </w:r>
          </w:p>
        </w:tc>
        <w:tc>
          <w:tcPr>
            <w:tcW w:w="739" w:type="pct"/>
            <w:vMerge w:val="restart"/>
            <w:vAlign w:val="center"/>
          </w:tcPr>
          <w:p w14:paraId="65CD74A2">
            <w:pPr>
              <w:pStyle w:val="949"/>
              <w:rPr>
                <w:sz w:val="24"/>
                <w:szCs w:val="21"/>
              </w:rPr>
            </w:pPr>
            <w:r>
              <w:rPr>
                <w:sz w:val="24"/>
                <w:szCs w:val="21"/>
              </w:rPr>
              <w:t>废气处理设施</w:t>
            </w:r>
          </w:p>
        </w:tc>
        <w:tc>
          <w:tcPr>
            <w:tcW w:w="874" w:type="pct"/>
            <w:vAlign w:val="center"/>
          </w:tcPr>
          <w:p w14:paraId="27C3F738">
            <w:pPr>
              <w:pStyle w:val="949"/>
              <w:rPr>
                <w:sz w:val="24"/>
                <w:szCs w:val="21"/>
              </w:rPr>
            </w:pPr>
            <w:r>
              <w:rPr>
                <w:sz w:val="24"/>
                <w:szCs w:val="21"/>
              </w:rPr>
              <w:t>VOC</w:t>
            </w:r>
            <w:r>
              <w:rPr>
                <w:rFonts w:hint="eastAsia"/>
                <w:sz w:val="24"/>
                <w:szCs w:val="21"/>
              </w:rPr>
              <w:t>s</w:t>
            </w:r>
            <w:r>
              <w:rPr>
                <w:sz w:val="24"/>
                <w:szCs w:val="21"/>
              </w:rPr>
              <w:t>等</w:t>
            </w:r>
          </w:p>
        </w:tc>
        <w:tc>
          <w:tcPr>
            <w:tcW w:w="874" w:type="pct"/>
            <w:vAlign w:val="center"/>
          </w:tcPr>
          <w:p w14:paraId="7C4A5864">
            <w:pPr>
              <w:pStyle w:val="949"/>
              <w:rPr>
                <w:sz w:val="24"/>
                <w:szCs w:val="21"/>
              </w:rPr>
            </w:pPr>
            <w:r>
              <w:rPr>
                <w:sz w:val="24"/>
                <w:szCs w:val="21"/>
              </w:rPr>
              <w:t>非正常排放、火灾</w:t>
            </w:r>
          </w:p>
        </w:tc>
        <w:tc>
          <w:tcPr>
            <w:tcW w:w="874" w:type="pct"/>
            <w:vAlign w:val="center"/>
          </w:tcPr>
          <w:p w14:paraId="2A3E4624">
            <w:pPr>
              <w:pStyle w:val="949"/>
              <w:rPr>
                <w:sz w:val="24"/>
                <w:szCs w:val="21"/>
              </w:rPr>
            </w:pPr>
            <w:r>
              <w:rPr>
                <w:spacing w:val="-2"/>
                <w:sz w:val="24"/>
                <w:szCs w:val="21"/>
              </w:rPr>
              <w:t>大气</w:t>
            </w:r>
          </w:p>
        </w:tc>
        <w:tc>
          <w:tcPr>
            <w:tcW w:w="868" w:type="pct"/>
            <w:vAlign w:val="center"/>
          </w:tcPr>
          <w:p w14:paraId="774FBBAE">
            <w:pPr>
              <w:pStyle w:val="949"/>
              <w:rPr>
                <w:sz w:val="24"/>
                <w:szCs w:val="21"/>
              </w:rPr>
            </w:pPr>
            <w:r>
              <w:rPr>
                <w:spacing w:val="-2"/>
                <w:sz w:val="24"/>
                <w:szCs w:val="21"/>
              </w:rPr>
              <w:t>周边居住区及村庄</w:t>
            </w:r>
          </w:p>
        </w:tc>
      </w:tr>
      <w:tr w14:paraId="7747B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Merge w:val="continue"/>
            <w:vAlign w:val="center"/>
          </w:tcPr>
          <w:p w14:paraId="123E37A4">
            <w:pPr>
              <w:pStyle w:val="949"/>
              <w:rPr>
                <w:sz w:val="24"/>
                <w:szCs w:val="21"/>
              </w:rPr>
            </w:pPr>
          </w:p>
        </w:tc>
        <w:tc>
          <w:tcPr>
            <w:tcW w:w="492" w:type="pct"/>
            <w:vMerge w:val="continue"/>
            <w:vAlign w:val="center"/>
          </w:tcPr>
          <w:p w14:paraId="4369CF72">
            <w:pPr>
              <w:pStyle w:val="949"/>
              <w:rPr>
                <w:sz w:val="24"/>
                <w:szCs w:val="21"/>
              </w:rPr>
            </w:pPr>
          </w:p>
        </w:tc>
        <w:tc>
          <w:tcPr>
            <w:tcW w:w="739" w:type="pct"/>
            <w:vMerge w:val="continue"/>
            <w:vAlign w:val="center"/>
          </w:tcPr>
          <w:p w14:paraId="55F490A9">
            <w:pPr>
              <w:pStyle w:val="949"/>
              <w:rPr>
                <w:sz w:val="24"/>
                <w:szCs w:val="21"/>
              </w:rPr>
            </w:pPr>
          </w:p>
        </w:tc>
        <w:tc>
          <w:tcPr>
            <w:tcW w:w="874" w:type="pct"/>
            <w:vAlign w:val="center"/>
          </w:tcPr>
          <w:p w14:paraId="0FD16361">
            <w:pPr>
              <w:pStyle w:val="949"/>
              <w:rPr>
                <w:sz w:val="24"/>
                <w:szCs w:val="21"/>
              </w:rPr>
            </w:pPr>
            <w:r>
              <w:rPr>
                <w:rFonts w:hint="eastAsia"/>
                <w:sz w:val="24"/>
                <w:szCs w:val="21"/>
              </w:rPr>
              <w:t>铝粉尘、塑粉</w:t>
            </w:r>
          </w:p>
        </w:tc>
        <w:tc>
          <w:tcPr>
            <w:tcW w:w="1491" w:type="dxa"/>
            <w:vAlign w:val="center"/>
          </w:tcPr>
          <w:p w14:paraId="582C16C6">
            <w:pPr>
              <w:pStyle w:val="949"/>
              <w:rPr>
                <w:sz w:val="24"/>
                <w:szCs w:val="21"/>
              </w:rPr>
            </w:pPr>
            <w:r>
              <w:rPr>
                <w:spacing w:val="-2"/>
                <w:sz w:val="24"/>
                <w:szCs w:val="21"/>
              </w:rPr>
              <w:t>爆炸</w:t>
            </w:r>
          </w:p>
        </w:tc>
        <w:tc>
          <w:tcPr>
            <w:tcW w:w="1491" w:type="dxa"/>
            <w:vAlign w:val="center"/>
          </w:tcPr>
          <w:p w14:paraId="50030DAE">
            <w:pPr>
              <w:pStyle w:val="949"/>
              <w:rPr>
                <w:spacing w:val="-2"/>
                <w:sz w:val="24"/>
                <w:szCs w:val="21"/>
              </w:rPr>
            </w:pPr>
            <w:r>
              <w:rPr>
                <w:spacing w:val="-2"/>
                <w:sz w:val="24"/>
                <w:szCs w:val="21"/>
              </w:rPr>
              <w:t>大气</w:t>
            </w:r>
          </w:p>
        </w:tc>
        <w:tc>
          <w:tcPr>
            <w:tcW w:w="1481" w:type="dxa"/>
            <w:vAlign w:val="center"/>
          </w:tcPr>
          <w:p w14:paraId="08D87F1A">
            <w:pPr>
              <w:pStyle w:val="949"/>
              <w:rPr>
                <w:spacing w:val="-2"/>
                <w:sz w:val="24"/>
                <w:szCs w:val="21"/>
              </w:rPr>
            </w:pPr>
            <w:r>
              <w:rPr>
                <w:spacing w:val="-2"/>
                <w:sz w:val="24"/>
                <w:szCs w:val="21"/>
              </w:rPr>
              <w:t>周边居住区及村庄</w:t>
            </w:r>
          </w:p>
        </w:tc>
      </w:tr>
      <w:tr w14:paraId="234B4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Merge w:val="continue"/>
            <w:vAlign w:val="center"/>
          </w:tcPr>
          <w:p w14:paraId="38EC5B62">
            <w:pPr>
              <w:pStyle w:val="949"/>
              <w:rPr>
                <w:sz w:val="24"/>
                <w:szCs w:val="21"/>
              </w:rPr>
            </w:pPr>
          </w:p>
        </w:tc>
        <w:tc>
          <w:tcPr>
            <w:tcW w:w="492" w:type="pct"/>
            <w:vMerge w:val="continue"/>
            <w:vAlign w:val="center"/>
          </w:tcPr>
          <w:p w14:paraId="21C190AC">
            <w:pPr>
              <w:pStyle w:val="949"/>
              <w:rPr>
                <w:sz w:val="24"/>
                <w:szCs w:val="21"/>
              </w:rPr>
            </w:pPr>
          </w:p>
        </w:tc>
        <w:tc>
          <w:tcPr>
            <w:tcW w:w="739" w:type="pct"/>
            <w:vAlign w:val="center"/>
          </w:tcPr>
          <w:p w14:paraId="395BE9CE">
            <w:pPr>
              <w:pStyle w:val="949"/>
              <w:rPr>
                <w:sz w:val="24"/>
                <w:szCs w:val="21"/>
              </w:rPr>
            </w:pPr>
            <w:r>
              <w:rPr>
                <w:sz w:val="24"/>
                <w:szCs w:val="21"/>
              </w:rPr>
              <w:t>废水处理设施</w:t>
            </w:r>
          </w:p>
        </w:tc>
        <w:tc>
          <w:tcPr>
            <w:tcW w:w="874" w:type="pct"/>
            <w:vAlign w:val="center"/>
          </w:tcPr>
          <w:p w14:paraId="4FCA826F">
            <w:pPr>
              <w:pStyle w:val="949"/>
              <w:rPr>
                <w:sz w:val="24"/>
                <w:szCs w:val="21"/>
              </w:rPr>
            </w:pPr>
            <w:r>
              <w:rPr>
                <w:sz w:val="24"/>
                <w:szCs w:val="21"/>
              </w:rPr>
              <w:t>COD、SS等</w:t>
            </w:r>
          </w:p>
        </w:tc>
        <w:tc>
          <w:tcPr>
            <w:tcW w:w="874" w:type="pct"/>
            <w:vAlign w:val="center"/>
          </w:tcPr>
          <w:p w14:paraId="61AE51E7">
            <w:pPr>
              <w:pStyle w:val="949"/>
              <w:rPr>
                <w:sz w:val="24"/>
                <w:szCs w:val="21"/>
              </w:rPr>
            </w:pPr>
            <w:r>
              <w:rPr>
                <w:sz w:val="24"/>
                <w:szCs w:val="21"/>
              </w:rPr>
              <w:t>非正常排放</w:t>
            </w:r>
          </w:p>
        </w:tc>
        <w:tc>
          <w:tcPr>
            <w:tcW w:w="874" w:type="pct"/>
            <w:vAlign w:val="center"/>
          </w:tcPr>
          <w:p w14:paraId="68242FF0">
            <w:pPr>
              <w:pStyle w:val="949"/>
              <w:rPr>
                <w:spacing w:val="-2"/>
                <w:sz w:val="24"/>
                <w:szCs w:val="21"/>
              </w:rPr>
            </w:pPr>
            <w:r>
              <w:rPr>
                <w:spacing w:val="-2"/>
                <w:sz w:val="24"/>
                <w:szCs w:val="21"/>
              </w:rPr>
              <w:t>地表水、地下水</w:t>
            </w:r>
          </w:p>
        </w:tc>
        <w:tc>
          <w:tcPr>
            <w:tcW w:w="868" w:type="pct"/>
            <w:vAlign w:val="center"/>
          </w:tcPr>
          <w:p w14:paraId="20F5A132">
            <w:pPr>
              <w:pStyle w:val="949"/>
              <w:rPr>
                <w:sz w:val="24"/>
                <w:szCs w:val="21"/>
              </w:rPr>
            </w:pPr>
            <w:r>
              <w:rPr>
                <w:spacing w:val="-2"/>
                <w:sz w:val="24"/>
                <w:szCs w:val="21"/>
              </w:rPr>
              <w:t>周边居住区及周边分散式水井</w:t>
            </w:r>
          </w:p>
        </w:tc>
      </w:tr>
      <w:tr w14:paraId="0BAE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5" w:type="pct"/>
            <w:vMerge w:val="continue"/>
            <w:vAlign w:val="center"/>
          </w:tcPr>
          <w:p w14:paraId="496696EC">
            <w:pPr>
              <w:pStyle w:val="949"/>
              <w:rPr>
                <w:sz w:val="24"/>
                <w:szCs w:val="21"/>
              </w:rPr>
            </w:pPr>
          </w:p>
        </w:tc>
        <w:tc>
          <w:tcPr>
            <w:tcW w:w="492" w:type="pct"/>
            <w:vMerge w:val="continue"/>
            <w:vAlign w:val="center"/>
          </w:tcPr>
          <w:p w14:paraId="1899C9CB">
            <w:pPr>
              <w:pStyle w:val="949"/>
              <w:rPr>
                <w:sz w:val="24"/>
                <w:szCs w:val="21"/>
              </w:rPr>
            </w:pPr>
          </w:p>
        </w:tc>
        <w:tc>
          <w:tcPr>
            <w:tcW w:w="739" w:type="pct"/>
            <w:vAlign w:val="center"/>
          </w:tcPr>
          <w:p w14:paraId="39D880E0">
            <w:pPr>
              <w:pStyle w:val="949"/>
              <w:rPr>
                <w:sz w:val="24"/>
                <w:szCs w:val="21"/>
              </w:rPr>
            </w:pPr>
            <w:r>
              <w:rPr>
                <w:sz w:val="24"/>
                <w:szCs w:val="21"/>
              </w:rPr>
              <w:t>危险废物暂存间</w:t>
            </w:r>
          </w:p>
        </w:tc>
        <w:tc>
          <w:tcPr>
            <w:tcW w:w="874" w:type="pct"/>
            <w:vAlign w:val="center"/>
          </w:tcPr>
          <w:p w14:paraId="53CB1027">
            <w:pPr>
              <w:pStyle w:val="949"/>
              <w:rPr>
                <w:sz w:val="24"/>
                <w:szCs w:val="21"/>
              </w:rPr>
            </w:pPr>
            <w:r>
              <w:rPr>
                <w:sz w:val="24"/>
                <w:szCs w:val="21"/>
              </w:rPr>
              <w:t>危险废物</w:t>
            </w:r>
          </w:p>
        </w:tc>
        <w:tc>
          <w:tcPr>
            <w:tcW w:w="874" w:type="pct"/>
            <w:vAlign w:val="center"/>
          </w:tcPr>
          <w:p w14:paraId="60F5B514">
            <w:pPr>
              <w:pStyle w:val="949"/>
              <w:rPr>
                <w:sz w:val="24"/>
                <w:szCs w:val="21"/>
              </w:rPr>
            </w:pPr>
            <w:r>
              <w:rPr>
                <w:sz w:val="24"/>
                <w:szCs w:val="21"/>
              </w:rPr>
              <w:t>渗漏、污染土壤与地下水</w:t>
            </w:r>
          </w:p>
        </w:tc>
        <w:tc>
          <w:tcPr>
            <w:tcW w:w="874" w:type="pct"/>
            <w:vAlign w:val="center"/>
          </w:tcPr>
          <w:p w14:paraId="45BCA748">
            <w:pPr>
              <w:pStyle w:val="949"/>
              <w:rPr>
                <w:spacing w:val="-2"/>
                <w:sz w:val="24"/>
                <w:szCs w:val="21"/>
              </w:rPr>
            </w:pPr>
            <w:r>
              <w:rPr>
                <w:spacing w:val="-2"/>
                <w:sz w:val="24"/>
                <w:szCs w:val="21"/>
              </w:rPr>
              <w:t>土壤、地下水</w:t>
            </w:r>
          </w:p>
        </w:tc>
        <w:tc>
          <w:tcPr>
            <w:tcW w:w="868" w:type="pct"/>
            <w:vAlign w:val="center"/>
          </w:tcPr>
          <w:p w14:paraId="28F6BD83">
            <w:pPr>
              <w:pStyle w:val="949"/>
              <w:rPr>
                <w:sz w:val="24"/>
                <w:szCs w:val="21"/>
              </w:rPr>
            </w:pPr>
            <w:r>
              <w:rPr>
                <w:spacing w:val="-2"/>
                <w:sz w:val="24"/>
                <w:szCs w:val="21"/>
              </w:rPr>
              <w:t>周边居住区及周边分散式水井</w:t>
            </w:r>
          </w:p>
        </w:tc>
      </w:tr>
    </w:tbl>
    <w:p w14:paraId="345C02DC">
      <w:pPr>
        <w:pStyle w:val="7"/>
        <w:keepLines w:val="0"/>
        <w:widowControl/>
        <w:adjustRightInd w:val="0"/>
        <w:snapToGrid w:val="0"/>
        <w:spacing w:after="120" w:afterLines="50"/>
        <w:jc w:val="left"/>
        <w:rPr>
          <w:rFonts w:ascii="Times New Roman" w:hAnsi="Times New Roman" w:eastAsia="仿宋"/>
          <w:b/>
          <w:sz w:val="30"/>
          <w:szCs w:val="30"/>
        </w:rPr>
      </w:pPr>
      <w:r>
        <w:rPr>
          <w:rFonts w:hint="eastAsia" w:ascii="Times New Roman" w:hAnsi="Times New Roman" w:eastAsia="仿宋"/>
          <w:b/>
          <w:lang w:val="zh-CN"/>
        </w:rPr>
        <w:t>5</w:t>
      </w:r>
      <w:r>
        <w:rPr>
          <w:rFonts w:ascii="Times New Roman" w:hAnsi="Times New Roman" w:eastAsia="仿宋"/>
          <w:b/>
          <w:lang w:val="zh-CN"/>
        </w:rPr>
        <w:t>.3.4.1物质危险性识别</w:t>
      </w:r>
    </w:p>
    <w:p w14:paraId="749E2728">
      <w:pPr>
        <w:spacing w:line="500" w:lineRule="exact"/>
        <w:ind w:firstLine="556"/>
        <w:rPr>
          <w:rFonts w:ascii="Times New Roman" w:eastAsia="仿宋"/>
          <w:sz w:val="28"/>
          <w:szCs w:val="28"/>
        </w:rPr>
      </w:pPr>
      <w:r>
        <w:rPr>
          <w:rFonts w:ascii="Times New Roman" w:eastAsia="仿宋"/>
          <w:sz w:val="28"/>
          <w:szCs w:val="28"/>
        </w:rPr>
        <w:t>根据《建设项目环境风险评价技术导则》（HJ169-2018）附录B（资料性附录），项目所涉及的有毒、易燃物质为涂料、</w:t>
      </w:r>
      <w:r>
        <w:rPr>
          <w:rFonts w:hint="eastAsia" w:ascii="Times New Roman" w:eastAsia="仿宋"/>
          <w:sz w:val="28"/>
          <w:szCs w:val="28"/>
        </w:rPr>
        <w:t>稀释剂、机油</w:t>
      </w:r>
      <w:r>
        <w:rPr>
          <w:rFonts w:ascii="Times New Roman" w:eastAsia="仿宋"/>
          <w:sz w:val="28"/>
          <w:szCs w:val="28"/>
        </w:rPr>
        <w:t>和危废等，主要分布在</w:t>
      </w:r>
      <w:r>
        <w:rPr>
          <w:rFonts w:hint="eastAsia" w:ascii="Times New Roman" w:eastAsia="仿宋"/>
          <w:sz w:val="28"/>
          <w:szCs w:val="28"/>
        </w:rPr>
        <w:t>油漆仓库</w:t>
      </w:r>
      <w:r>
        <w:rPr>
          <w:rFonts w:ascii="Times New Roman" w:eastAsia="仿宋"/>
          <w:sz w:val="28"/>
          <w:szCs w:val="28"/>
        </w:rPr>
        <w:t>和危废仓库。</w:t>
      </w:r>
    </w:p>
    <w:p w14:paraId="30881F90">
      <w:pPr>
        <w:spacing w:line="500" w:lineRule="exact"/>
        <w:ind w:firstLine="556"/>
        <w:rPr>
          <w:rFonts w:ascii="Times New Roman" w:eastAsia="仿宋"/>
          <w:sz w:val="28"/>
          <w:szCs w:val="28"/>
        </w:rPr>
      </w:pPr>
      <w:r>
        <w:rPr>
          <w:rFonts w:ascii="Times New Roman" w:eastAsia="仿宋"/>
          <w:sz w:val="28"/>
          <w:szCs w:val="28"/>
        </w:rPr>
        <w:t>此外，企业危废仓库贮存有液态危废，包括废</w:t>
      </w:r>
      <w:r>
        <w:rPr>
          <w:rFonts w:hint="eastAsia" w:ascii="Times New Roman" w:eastAsia="仿宋"/>
          <w:sz w:val="28"/>
          <w:szCs w:val="28"/>
        </w:rPr>
        <w:t>机油</w:t>
      </w:r>
      <w:r>
        <w:rPr>
          <w:rFonts w:ascii="Times New Roman" w:eastAsia="仿宋"/>
          <w:sz w:val="28"/>
          <w:szCs w:val="28"/>
        </w:rPr>
        <w:t>、</w:t>
      </w:r>
      <w:r>
        <w:rPr>
          <w:rFonts w:hint="eastAsia" w:ascii="Times New Roman" w:eastAsia="仿宋"/>
          <w:sz w:val="28"/>
          <w:szCs w:val="28"/>
        </w:rPr>
        <w:t>废漆渣、废稀释剂等</w:t>
      </w:r>
      <w:r>
        <w:rPr>
          <w:rFonts w:ascii="Times New Roman" w:eastAsia="仿宋"/>
          <w:sz w:val="28"/>
          <w:szCs w:val="28"/>
        </w:rPr>
        <w:t>，一旦发生泄漏，可能污染周边地下水和土壤。</w:t>
      </w:r>
    </w:p>
    <w:p w14:paraId="698336D0">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.3.4.2生产过程潜在危险性识别</w:t>
      </w:r>
    </w:p>
    <w:p w14:paraId="6C6FBCBC">
      <w:pPr>
        <w:spacing w:line="360" w:lineRule="auto"/>
        <w:ind w:firstLine="560" w:firstLineChars="200"/>
        <w:rPr>
          <w:rFonts w:ascii="Times New Roman" w:eastAsia="仿宋"/>
          <w:sz w:val="28"/>
          <w:szCs w:val="28"/>
        </w:rPr>
      </w:pPr>
      <w:r>
        <w:rPr>
          <w:rFonts w:ascii="Times New Roman" w:eastAsia="仿宋"/>
          <w:sz w:val="28"/>
          <w:szCs w:val="28"/>
        </w:rPr>
        <w:t>有毒有害化学品在正常使用过程中经过一定的化学反应和处理后排放，一般对周围环境和人体造成的影响可以控制在允许范围内；但是如果发生泄漏，就可能产生意想不到的事故——腐蚀性化学品泄漏会对周围环境和人员造成腐蚀污染，同时会影响周围环境空气质量，严重时会危及人们生命；易燃气体或液体泄漏可能造成火灾或爆炸；有毒气体泄漏会直接影响到周围地区人群的健康直至生命安全；毒害品管理不严可能会直接威胁人们的生命以及社会的稳定等。因此，当生产的控制系统发生故障时，系统中的易燃物和有毒物所引起的爆炸、火灾或超常量排放，都可能造成环境污染事故。</w:t>
      </w:r>
    </w:p>
    <w:p w14:paraId="2416FAD1">
      <w:pPr>
        <w:spacing w:line="360" w:lineRule="auto"/>
        <w:ind w:firstLine="560" w:firstLineChars="200"/>
        <w:rPr>
          <w:rFonts w:ascii="Times New Roman" w:eastAsia="仿宋"/>
          <w:sz w:val="28"/>
          <w:szCs w:val="28"/>
        </w:rPr>
      </w:pPr>
      <w:r>
        <w:rPr>
          <w:rFonts w:ascii="Times New Roman" w:eastAsia="仿宋"/>
          <w:sz w:val="28"/>
          <w:szCs w:val="28"/>
        </w:rPr>
        <w:t>针对本项目的生产特点，对可能发生的事故风险进行环境影响分析很有必要，以便提出防范及应急措施，力求将环境风险降至最低。</w:t>
      </w:r>
    </w:p>
    <w:p w14:paraId="16A4BE46">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.3.4.3储运设施风险识别</w:t>
      </w:r>
    </w:p>
    <w:p w14:paraId="77957F3F">
      <w:pPr>
        <w:spacing w:line="360" w:lineRule="auto"/>
        <w:ind w:firstLine="560" w:firstLineChars="200"/>
        <w:rPr>
          <w:rFonts w:ascii="Times New Roman" w:eastAsia="仿宋"/>
          <w:sz w:val="28"/>
          <w:szCs w:val="28"/>
        </w:rPr>
      </w:pPr>
      <w:r>
        <w:rPr>
          <w:rFonts w:ascii="Times New Roman" w:eastAsia="仿宋"/>
          <w:sz w:val="28"/>
          <w:szCs w:val="28"/>
        </w:rPr>
        <w:t>（1）易燃原料存储区</w:t>
      </w:r>
    </w:p>
    <w:p w14:paraId="44979AAB">
      <w:pPr>
        <w:spacing w:line="360" w:lineRule="auto"/>
        <w:ind w:firstLine="560" w:firstLineChars="200"/>
        <w:rPr>
          <w:rFonts w:ascii="Times New Roman" w:eastAsia="仿宋"/>
          <w:sz w:val="28"/>
          <w:szCs w:val="28"/>
        </w:rPr>
      </w:pPr>
      <w:r>
        <w:rPr>
          <w:rFonts w:ascii="Times New Roman" w:eastAsia="仿宋"/>
          <w:sz w:val="28"/>
          <w:szCs w:val="28"/>
        </w:rPr>
        <w:t>本项目涂料、</w:t>
      </w:r>
      <w:r>
        <w:rPr>
          <w:rFonts w:hint="eastAsia" w:ascii="Times New Roman" w:eastAsia="仿宋"/>
          <w:sz w:val="28"/>
          <w:szCs w:val="28"/>
        </w:rPr>
        <w:t>稀释剂</w:t>
      </w:r>
      <w:r>
        <w:rPr>
          <w:rFonts w:ascii="Times New Roman" w:eastAsia="仿宋"/>
          <w:sz w:val="28"/>
          <w:szCs w:val="28"/>
        </w:rPr>
        <w:t>储存在</w:t>
      </w:r>
      <w:r>
        <w:rPr>
          <w:rFonts w:hint="eastAsia" w:ascii="Times New Roman" w:eastAsia="仿宋"/>
          <w:sz w:val="28"/>
          <w:szCs w:val="28"/>
        </w:rPr>
        <w:t>油漆仓库</w:t>
      </w:r>
      <w:r>
        <w:rPr>
          <w:rFonts w:ascii="Times New Roman" w:eastAsia="仿宋"/>
          <w:sz w:val="28"/>
          <w:szCs w:val="28"/>
        </w:rPr>
        <w:t>。储运过程中最主要的危险有害因素是储运物料的泄漏事故。泄漏可能发生在使用及装卸过程中。泄漏的物质对于人员、土壤、水体造成危害。本项目存在大量的塑料原料及塑料件产品，存储区可能发生火灾事件，于人员、大气环境造成危害。</w:t>
      </w:r>
    </w:p>
    <w:p w14:paraId="49920B95">
      <w:pPr>
        <w:spacing w:line="360" w:lineRule="auto"/>
        <w:ind w:firstLine="560" w:firstLineChars="200"/>
        <w:rPr>
          <w:rFonts w:ascii="Times New Roman" w:eastAsia="仿宋"/>
          <w:sz w:val="28"/>
          <w:szCs w:val="28"/>
        </w:rPr>
      </w:pPr>
      <w:r>
        <w:rPr>
          <w:rFonts w:ascii="Times New Roman" w:eastAsia="仿宋"/>
          <w:sz w:val="28"/>
          <w:szCs w:val="28"/>
        </w:rPr>
        <w:t>（2）固废堆场</w:t>
      </w:r>
    </w:p>
    <w:p w14:paraId="59D6A9FF">
      <w:pPr>
        <w:spacing w:line="360" w:lineRule="auto"/>
        <w:ind w:firstLine="560" w:firstLineChars="200"/>
        <w:rPr>
          <w:rFonts w:ascii="Times New Roman" w:eastAsia="仿宋"/>
          <w:sz w:val="28"/>
          <w:szCs w:val="28"/>
        </w:rPr>
      </w:pPr>
      <w:r>
        <w:rPr>
          <w:rFonts w:ascii="Times New Roman" w:eastAsia="仿宋"/>
          <w:sz w:val="28"/>
          <w:szCs w:val="28"/>
        </w:rPr>
        <w:t>一般固废堆放场所和危险废物堆放场所的废料意外泄漏，若地面未做防渗处理，泄漏物将通过地面渗漏，进而影响土壤和地下水。</w:t>
      </w:r>
    </w:p>
    <w:p w14:paraId="56C196C9">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.3.4.4公用工程及辅助设施危险性识别</w:t>
      </w:r>
    </w:p>
    <w:p w14:paraId="64F17E01">
      <w:pPr>
        <w:spacing w:line="360" w:lineRule="auto"/>
        <w:ind w:firstLine="560" w:firstLineChars="200"/>
        <w:rPr>
          <w:rFonts w:ascii="Times New Roman" w:eastAsia="仿宋"/>
          <w:sz w:val="28"/>
          <w:szCs w:val="28"/>
        </w:rPr>
      </w:pPr>
      <w:r>
        <w:rPr>
          <w:rFonts w:ascii="Times New Roman" w:eastAsia="仿宋"/>
          <w:sz w:val="28"/>
          <w:szCs w:val="28"/>
        </w:rPr>
        <w:t>（1）变配电站火灾危险性</w:t>
      </w:r>
    </w:p>
    <w:p w14:paraId="17714561">
      <w:pPr>
        <w:spacing w:line="360" w:lineRule="auto"/>
        <w:ind w:firstLine="560" w:firstLineChars="200"/>
        <w:rPr>
          <w:rFonts w:ascii="Times New Roman" w:eastAsia="仿宋"/>
          <w:sz w:val="28"/>
          <w:szCs w:val="28"/>
        </w:rPr>
      </w:pPr>
      <w:r>
        <w:rPr>
          <w:rFonts w:ascii="Times New Roman" w:eastAsia="仿宋"/>
          <w:sz w:val="28"/>
          <w:szCs w:val="28"/>
        </w:rPr>
        <w:t>发电机、变压器及电气设备的火灾、爆炸：</w:t>
      </w:r>
    </w:p>
    <w:p w14:paraId="63119D1C">
      <w:pPr>
        <w:spacing w:line="360" w:lineRule="auto"/>
        <w:ind w:firstLine="560" w:firstLineChars="200"/>
        <w:rPr>
          <w:rFonts w:ascii="Times New Roman" w:eastAsia="仿宋"/>
          <w:sz w:val="28"/>
          <w:szCs w:val="28"/>
        </w:rPr>
      </w:pPr>
      <w:r>
        <w:rPr>
          <w:rFonts w:ascii="Times New Roman" w:eastAsia="仿宋"/>
          <w:sz w:val="28"/>
          <w:szCs w:val="28"/>
        </w:rPr>
        <w:t>发电、变电、输电、配电、用电的电气设备如发电机、变压器、高压开关柜、配电装置、电动机、照明装置等，在严重过热和故障情况下，容易引起火灾。尤其是充油设备，火灾危险更大，如变压器中的变压器油为可燃液体，其蒸气和空气混合物形成爆炸性气体，遇明火就可以发生爆炸。变压器等电气设备中的绝缘材料大多为可燃性物质，容易发生火灾危险。</w:t>
      </w:r>
    </w:p>
    <w:p w14:paraId="6E604EE4">
      <w:pPr>
        <w:spacing w:line="360" w:lineRule="auto"/>
        <w:ind w:firstLine="560" w:firstLineChars="200"/>
        <w:rPr>
          <w:rFonts w:ascii="Times New Roman" w:eastAsia="仿宋"/>
          <w:sz w:val="28"/>
          <w:szCs w:val="28"/>
        </w:rPr>
      </w:pPr>
      <w:r>
        <w:rPr>
          <w:rFonts w:ascii="Times New Roman" w:eastAsia="仿宋"/>
          <w:sz w:val="28"/>
          <w:szCs w:val="28"/>
        </w:rPr>
        <w:t>（2）给排水</w:t>
      </w:r>
    </w:p>
    <w:p w14:paraId="39B5D3B4">
      <w:pPr>
        <w:spacing w:line="360" w:lineRule="auto"/>
        <w:ind w:firstLine="560" w:firstLineChars="200"/>
        <w:rPr>
          <w:rFonts w:ascii="Times New Roman" w:eastAsia="仿宋"/>
          <w:sz w:val="28"/>
          <w:szCs w:val="28"/>
        </w:rPr>
      </w:pPr>
      <w:r>
        <w:rPr>
          <w:rFonts w:ascii="Times New Roman" w:eastAsia="仿宋"/>
          <w:sz w:val="28"/>
          <w:szCs w:val="28"/>
        </w:rPr>
        <w:t>①供水</w:t>
      </w:r>
    </w:p>
    <w:p w14:paraId="020D561B">
      <w:pPr>
        <w:spacing w:line="360" w:lineRule="auto"/>
        <w:ind w:firstLine="560" w:firstLineChars="200"/>
        <w:rPr>
          <w:rFonts w:ascii="Times New Roman" w:eastAsia="仿宋"/>
          <w:sz w:val="28"/>
          <w:szCs w:val="28"/>
        </w:rPr>
      </w:pPr>
      <w:r>
        <w:rPr>
          <w:rFonts w:ascii="Times New Roman" w:eastAsia="仿宋"/>
          <w:sz w:val="28"/>
          <w:szCs w:val="28"/>
        </w:rPr>
        <w:t>a.消防用水供水不可靠情况下，一旦发生火灾，无法及时以大量水冷却，可造成火灾的蔓延、扩大。</w:t>
      </w:r>
    </w:p>
    <w:p w14:paraId="2599AB51">
      <w:pPr>
        <w:spacing w:line="360" w:lineRule="auto"/>
        <w:ind w:firstLine="560" w:firstLineChars="200"/>
        <w:rPr>
          <w:rFonts w:ascii="Times New Roman" w:eastAsia="仿宋"/>
          <w:sz w:val="28"/>
          <w:szCs w:val="28"/>
        </w:rPr>
      </w:pPr>
      <w:r>
        <w:rPr>
          <w:rFonts w:ascii="Times New Roman" w:eastAsia="仿宋"/>
          <w:sz w:val="28"/>
          <w:szCs w:val="28"/>
        </w:rPr>
        <w:t>b.当物料喷溅于人体上，如人体部位受到毒物玷污，应以大量清水立即冲洗，在没有冲洗水情况下，将延误现场急救时机。</w:t>
      </w:r>
    </w:p>
    <w:p w14:paraId="60C3612B">
      <w:pPr>
        <w:spacing w:line="360" w:lineRule="auto"/>
        <w:ind w:firstLine="560" w:firstLineChars="200"/>
        <w:rPr>
          <w:rFonts w:ascii="Times New Roman" w:eastAsia="仿宋"/>
          <w:sz w:val="28"/>
          <w:szCs w:val="28"/>
        </w:rPr>
      </w:pPr>
      <w:r>
        <w:rPr>
          <w:rFonts w:ascii="Times New Roman" w:eastAsia="仿宋"/>
          <w:sz w:val="28"/>
          <w:szCs w:val="28"/>
        </w:rPr>
        <w:t>②排水</w:t>
      </w:r>
    </w:p>
    <w:p w14:paraId="46BE2159">
      <w:pPr>
        <w:spacing w:line="360" w:lineRule="auto"/>
        <w:ind w:firstLine="560" w:firstLineChars="200"/>
        <w:rPr>
          <w:rFonts w:ascii="Times New Roman" w:eastAsia="仿宋"/>
          <w:sz w:val="28"/>
          <w:szCs w:val="28"/>
        </w:rPr>
      </w:pPr>
      <w:r>
        <w:rPr>
          <w:rFonts w:ascii="Times New Roman" w:eastAsia="仿宋"/>
          <w:sz w:val="28"/>
          <w:szCs w:val="28"/>
        </w:rPr>
        <w:t>洪涝：一旦发生洪涝灾害，将构成严重的安全威胁。企业储存一定有毒有害化学品，这些化学品存在燃爆危险性及毒物危害性。当这些化学品的包装物浸泡在水体中，不可避免地将发生泄漏。而有毒化学品大量进入水体中，其危害成果更是无法估量。</w:t>
      </w:r>
    </w:p>
    <w:p w14:paraId="78AE0B7E">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.3.4.5环保设施危险性识别</w:t>
      </w:r>
    </w:p>
    <w:p w14:paraId="47980C1C">
      <w:pPr>
        <w:spacing w:line="360" w:lineRule="auto"/>
        <w:ind w:firstLine="560" w:firstLineChars="200"/>
        <w:rPr>
          <w:rFonts w:ascii="Times New Roman" w:eastAsia="仿宋"/>
          <w:sz w:val="28"/>
          <w:szCs w:val="28"/>
        </w:rPr>
      </w:pPr>
      <w:r>
        <w:rPr>
          <w:rFonts w:ascii="Times New Roman" w:eastAsia="仿宋"/>
          <w:sz w:val="28"/>
          <w:szCs w:val="28"/>
        </w:rPr>
        <w:t>（1）废气处理系统出现故障可能导致废气的事故排放。</w:t>
      </w:r>
    </w:p>
    <w:p w14:paraId="11695006">
      <w:pPr>
        <w:spacing w:line="500" w:lineRule="exact"/>
        <w:ind w:firstLine="560" w:firstLineChars="200"/>
        <w:rPr>
          <w:rFonts w:ascii="Times New Roman" w:eastAsia="仿宋"/>
          <w:sz w:val="28"/>
          <w:szCs w:val="28"/>
        </w:rPr>
      </w:pPr>
      <w:r>
        <w:rPr>
          <w:rFonts w:ascii="Times New Roman" w:eastAsia="仿宋"/>
          <w:sz w:val="28"/>
          <w:szCs w:val="28"/>
        </w:rPr>
        <w:t>（2）本项目污水经厂内污水处理站处理后</w:t>
      </w:r>
      <w:r>
        <w:rPr>
          <w:rFonts w:hint="eastAsia" w:ascii="Times New Roman" w:eastAsia="仿宋"/>
          <w:sz w:val="28"/>
          <w:szCs w:val="28"/>
        </w:rPr>
        <w:t>接管进直溪污水处理厂</w:t>
      </w:r>
      <w:r>
        <w:rPr>
          <w:rFonts w:ascii="Times New Roman" w:eastAsia="仿宋"/>
          <w:sz w:val="28"/>
          <w:szCs w:val="28"/>
        </w:rPr>
        <w:t>，厂内污水收集管道发生破裂或者泄漏会引起污水事故排放，污染厂内土壤和周边水体。</w:t>
      </w:r>
    </w:p>
    <w:p w14:paraId="4F04299D">
      <w:pPr>
        <w:spacing w:line="360" w:lineRule="auto"/>
        <w:ind w:firstLine="560" w:firstLineChars="200"/>
        <w:rPr>
          <w:rFonts w:ascii="Times New Roman" w:eastAsia="仿宋"/>
          <w:sz w:val="28"/>
          <w:szCs w:val="28"/>
        </w:rPr>
      </w:pPr>
      <w:r>
        <w:rPr>
          <w:rFonts w:ascii="Times New Roman" w:eastAsia="仿宋"/>
          <w:sz w:val="28"/>
          <w:szCs w:val="28"/>
        </w:rPr>
        <w:t>（3）</w:t>
      </w:r>
      <w:r>
        <w:rPr>
          <w:rFonts w:hint="eastAsia" w:ascii="Times New Roman" w:eastAsia="仿宋"/>
          <w:sz w:val="28"/>
          <w:szCs w:val="28"/>
        </w:rPr>
        <w:t>厂区突发性泄漏、火灾、爆炸事故、次生消防废水可能直接进入公司内雨水管网，若阀门未能及时关闭，可能导致事故废水排入附近河流。本项目设置专人管理雨水、污水排口、事故应急池，若发生事故时立即关闭雨水总排口的截留阀，将污水截流在雨水收集系统。事故后将雨水管网中截流的事故污水通过提升泵打入污水处理系统处理，污水系统不能处理的委托有资质单位处置。</w:t>
      </w:r>
    </w:p>
    <w:p w14:paraId="7CCC25ED">
      <w:pPr>
        <w:spacing w:line="360" w:lineRule="auto"/>
        <w:ind w:firstLine="560" w:firstLineChars="200"/>
        <w:rPr>
          <w:rFonts w:ascii="Times New Roman" w:eastAsia="仿宋"/>
          <w:sz w:val="28"/>
          <w:szCs w:val="28"/>
        </w:rPr>
      </w:pPr>
      <w:r>
        <w:rPr>
          <w:rFonts w:ascii="Times New Roman" w:eastAsia="仿宋"/>
          <w:sz w:val="28"/>
          <w:szCs w:val="28"/>
        </w:rPr>
        <w:t>（4）</w:t>
      </w:r>
      <w:r>
        <w:rPr>
          <w:rFonts w:hint="eastAsia" w:ascii="Times New Roman" w:eastAsia="仿宋"/>
          <w:sz w:val="28"/>
          <w:szCs w:val="28"/>
        </w:rPr>
        <w:t>本项目</w:t>
      </w:r>
      <w:r>
        <w:rPr>
          <w:rFonts w:ascii="Times New Roman" w:eastAsia="仿宋"/>
          <w:sz w:val="28"/>
          <w:szCs w:val="28"/>
        </w:rPr>
        <w:t>铝粉属于爆炸性粉尘。除尘风机防爆等级</w:t>
      </w:r>
      <w:r>
        <w:rPr>
          <w:rFonts w:hint="eastAsia" w:ascii="Times New Roman" w:eastAsia="仿宋"/>
          <w:sz w:val="28"/>
          <w:szCs w:val="28"/>
        </w:rPr>
        <w:t>应</w:t>
      </w:r>
      <w:r>
        <w:rPr>
          <w:rFonts w:ascii="Times New Roman" w:eastAsia="仿宋"/>
          <w:sz w:val="28"/>
          <w:szCs w:val="28"/>
        </w:rPr>
        <w:t>符合规范，管路设计合理、</w:t>
      </w:r>
      <w:r>
        <w:rPr>
          <w:rFonts w:hint="eastAsia" w:ascii="Times New Roman" w:eastAsia="仿宋"/>
          <w:sz w:val="28"/>
          <w:szCs w:val="28"/>
        </w:rPr>
        <w:t>定期</w:t>
      </w:r>
      <w:r>
        <w:rPr>
          <w:rFonts w:ascii="Times New Roman" w:eastAsia="仿宋"/>
          <w:sz w:val="28"/>
          <w:szCs w:val="28"/>
        </w:rPr>
        <w:t>清理</w:t>
      </w:r>
      <w:r>
        <w:rPr>
          <w:rFonts w:hint="eastAsia" w:ascii="Times New Roman" w:eastAsia="仿宋"/>
          <w:sz w:val="28"/>
          <w:szCs w:val="28"/>
        </w:rPr>
        <w:t>积尘</w:t>
      </w:r>
      <w:r>
        <w:rPr>
          <w:rFonts w:ascii="Times New Roman" w:eastAsia="仿宋"/>
          <w:sz w:val="28"/>
          <w:szCs w:val="28"/>
        </w:rPr>
        <w:t>，</w:t>
      </w:r>
      <w:r>
        <w:rPr>
          <w:rFonts w:hint="eastAsia" w:ascii="Times New Roman" w:eastAsia="仿宋"/>
          <w:sz w:val="28"/>
          <w:szCs w:val="28"/>
        </w:rPr>
        <w:t>防止</w:t>
      </w:r>
      <w:r>
        <w:rPr>
          <w:rFonts w:ascii="Times New Roman" w:eastAsia="仿宋"/>
          <w:sz w:val="28"/>
          <w:szCs w:val="28"/>
        </w:rPr>
        <w:t>粉尘浓度达到爆炸极限；除尘设备静电接地、及时清理风管内积尘</w:t>
      </w:r>
      <w:r>
        <w:rPr>
          <w:rFonts w:hint="eastAsia" w:ascii="Times New Roman" w:eastAsia="仿宋"/>
          <w:sz w:val="28"/>
          <w:szCs w:val="28"/>
        </w:rPr>
        <w:t>，</w:t>
      </w:r>
      <w:r>
        <w:rPr>
          <w:rFonts w:ascii="Times New Roman" w:eastAsia="仿宋"/>
          <w:sz w:val="28"/>
          <w:szCs w:val="28"/>
        </w:rPr>
        <w:t>除尘系统内设置泄爆口及时泄爆。</w:t>
      </w:r>
    </w:p>
    <w:p w14:paraId="07175AF4">
      <w:pPr>
        <w:spacing w:line="500" w:lineRule="exact"/>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rPr>
        <w:t>5</w:t>
      </w:r>
      <w:r>
        <w:rPr>
          <w:rFonts w:ascii="Times New Roman" w:eastAsia="仿宋"/>
          <w:sz w:val="28"/>
          <w:szCs w:val="28"/>
        </w:rPr>
        <w:t>）粉尘爆炸易产生二次爆炸，第一次爆炸气浪把沉积在设备或地面上的粉尘吹扬起来，在爆炸后的短时间内爆炸中心区会形成负压，周围的新鲜空气便由外向内填补进来，形成所谓的“返回风”，与扬起的粉尘混合，在第一次爆炸的余火引燃下引起第二次爆炸。二次爆炸时，粉尘浓度一般比一次爆炸时高得多，故二次爆炸威力比第一次要大得多。例如，某硫磺粉厂，磨碎机内部发生爆炸，爆炸波沿气体管道从磨碎机扩散到旋风分离器，在旋风分离器发生了二次爆炸，爆炸波通过爆炸后在旋风分离器上生的裂口传播到车间中，扬起了沉降在建筑物和工艺设备上的硫磺粉尘，又发生了爆炸。</w:t>
      </w:r>
    </w:p>
    <w:p w14:paraId="2EC7BE12">
      <w:pPr>
        <w:spacing w:line="500" w:lineRule="exact"/>
        <w:ind w:firstLine="560" w:firstLineChars="200"/>
        <w:rPr>
          <w:rFonts w:ascii="Times New Roman" w:eastAsia="仿宋"/>
          <w:sz w:val="28"/>
          <w:szCs w:val="28"/>
        </w:rPr>
      </w:pPr>
      <w:r>
        <w:rPr>
          <w:rFonts w:hint="eastAsia" w:ascii="Times New Roman" w:eastAsia="仿宋"/>
          <w:sz w:val="28"/>
          <w:szCs w:val="28"/>
        </w:rPr>
        <w:t>（6）</w:t>
      </w:r>
      <w:r>
        <w:rPr>
          <w:rFonts w:ascii="Times New Roman" w:eastAsia="仿宋"/>
          <w:sz w:val="28"/>
          <w:szCs w:val="28"/>
        </w:rPr>
        <w:t>若固废堆放场所的危废意外泄漏，若未及时收集处理，有可能会污染周边环境。</w:t>
      </w:r>
    </w:p>
    <w:p w14:paraId="51ECB526">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.3.4.6可能存在的伴生、次生风险识别</w:t>
      </w:r>
    </w:p>
    <w:p w14:paraId="698F4584">
      <w:pPr>
        <w:snapToGrid w:val="0"/>
        <w:spacing w:line="360" w:lineRule="auto"/>
        <w:ind w:firstLine="560" w:firstLineChars="200"/>
        <w:rPr>
          <w:rFonts w:ascii="Times New Roman" w:eastAsia="仿宋"/>
          <w:sz w:val="28"/>
          <w:szCs w:val="28"/>
        </w:rPr>
      </w:pPr>
      <w:r>
        <w:rPr>
          <w:rFonts w:ascii="Times New Roman" w:eastAsia="仿宋"/>
          <w:sz w:val="28"/>
          <w:szCs w:val="28"/>
        </w:rPr>
        <w:t>（1）企业厂区雨水排口设置截流阀，发生事故时，事故伴生、次生消防水流入雨水收集系统，应由抢险救援组负责紧急关闭截流阀，同时打开应急阀，将泄漏物、消防水引流入事故应急池内，待事故风险解除后，则通过临时架设的提升泵，将伴生、次生污水收集送有资质单位处置，不会使得污染水进入附近河流。</w:t>
      </w:r>
    </w:p>
    <w:p w14:paraId="0DC96FD7">
      <w:pPr>
        <w:spacing w:line="360" w:lineRule="auto"/>
        <w:ind w:firstLine="560" w:firstLineChars="200"/>
        <w:rPr>
          <w:rFonts w:ascii="Times New Roman" w:eastAsia="仿宋"/>
          <w:sz w:val="28"/>
          <w:szCs w:val="28"/>
        </w:rPr>
      </w:pPr>
      <w:r>
        <w:rPr>
          <w:rFonts w:ascii="Times New Roman" w:eastAsia="仿宋"/>
          <w:sz w:val="28"/>
          <w:szCs w:val="28"/>
        </w:rPr>
        <w:t>（2）危废在运送至回收场过程中若发生泄漏，立即采用防渗、密封的容器收集，并对受到污染的水体、土壤进行收集，收集后应作为危险废物委托有资质单位处置，并对现场进行洗消处理。</w:t>
      </w:r>
    </w:p>
    <w:p w14:paraId="08BFEF20">
      <w:pPr>
        <w:pStyle w:val="6"/>
        <w:keepLines w:val="0"/>
        <w:tabs>
          <w:tab w:val="left" w:pos="709"/>
        </w:tabs>
        <w:spacing w:before="0" w:after="120" w:afterLines="50" w:line="500" w:lineRule="exact"/>
        <w:rPr>
          <w:rFonts w:ascii="Times New Roman" w:eastAsia="仿宋"/>
          <w:b w:val="0"/>
        </w:rPr>
      </w:pPr>
      <w:r>
        <w:rPr>
          <w:rFonts w:hint="eastAsia" w:ascii="Times New Roman" w:eastAsia="仿宋"/>
          <w:bCs w:val="0"/>
          <w:sz w:val="28"/>
          <w:szCs w:val="28"/>
        </w:rPr>
        <w:t>5</w:t>
      </w:r>
      <w:r>
        <w:rPr>
          <w:rFonts w:ascii="Times New Roman" w:eastAsia="仿宋"/>
          <w:bCs w:val="0"/>
          <w:sz w:val="28"/>
          <w:szCs w:val="28"/>
        </w:rPr>
        <w:t>.3.5环境风险分析</w:t>
      </w:r>
    </w:p>
    <w:p w14:paraId="46B2E624">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.3.5.1</w:t>
      </w:r>
      <w:r>
        <w:rPr>
          <w:rFonts w:hint="eastAsia" w:ascii="Times New Roman" w:hAnsi="Times New Roman" w:eastAsia="仿宋"/>
          <w:b/>
        </w:rPr>
        <w:t>泄漏事故环境影响分析</w:t>
      </w:r>
    </w:p>
    <w:p w14:paraId="0B905D7A">
      <w:pPr>
        <w:spacing w:line="500" w:lineRule="exact"/>
        <w:ind w:firstLine="560" w:firstLineChars="200"/>
        <w:jc w:val="left"/>
        <w:rPr>
          <w:rFonts w:ascii="Times New Roman" w:eastAsia="仿宋"/>
          <w:sz w:val="28"/>
          <w:szCs w:val="28"/>
        </w:rPr>
      </w:pPr>
      <w:r>
        <w:rPr>
          <w:rFonts w:ascii="Times New Roman" w:eastAsia="仿宋"/>
          <w:sz w:val="28"/>
          <w:szCs w:val="28"/>
        </w:rPr>
        <w:t>全厂主要存在易燃液体物质的泄漏。本次评价根据原辅料用量及物料的毒理物性，选择</w:t>
      </w:r>
      <w:r>
        <w:rPr>
          <w:rFonts w:hint="eastAsia" w:ascii="Times New Roman" w:eastAsia="仿宋"/>
          <w:sz w:val="28"/>
          <w:szCs w:val="28"/>
        </w:rPr>
        <w:t>二甲苯、硫酸</w:t>
      </w:r>
      <w:r>
        <w:rPr>
          <w:rFonts w:ascii="Times New Roman" w:eastAsia="仿宋"/>
          <w:sz w:val="28"/>
          <w:szCs w:val="28"/>
        </w:rPr>
        <w:t>作为代表，估算泄漏事故源强</w:t>
      </w:r>
      <w:r>
        <w:rPr>
          <w:rFonts w:hint="eastAsia" w:ascii="Times New Roman" w:eastAsia="仿宋"/>
          <w:sz w:val="28"/>
          <w:szCs w:val="28"/>
        </w:rPr>
        <w:t>。</w:t>
      </w:r>
    </w:p>
    <w:p w14:paraId="4569F506">
      <w:pPr>
        <w:pStyle w:val="46"/>
        <w:spacing w:line="500" w:lineRule="exact"/>
        <w:ind w:left="0" w:firstLine="560" w:firstLineChars="200"/>
        <w:rPr>
          <w:rFonts w:ascii="Times New Roman" w:eastAsia="仿宋"/>
          <w:sz w:val="28"/>
          <w:szCs w:val="28"/>
        </w:rPr>
      </w:pPr>
      <w:r>
        <w:rPr>
          <w:rFonts w:hint="eastAsia" w:ascii="Times New Roman" w:eastAsia="仿宋"/>
          <w:sz w:val="28"/>
          <w:szCs w:val="28"/>
        </w:rPr>
        <w:t>企业氟碳底漆及面漆均储存于</w:t>
      </w:r>
      <w:r>
        <w:rPr>
          <w:rFonts w:ascii="Times New Roman" w:eastAsia="仿宋"/>
          <w:sz w:val="28"/>
          <w:szCs w:val="28"/>
        </w:rPr>
        <w:t>24</w:t>
      </w:r>
      <w:r>
        <w:rPr>
          <w:rFonts w:hint="eastAsia" w:ascii="Times New Roman" w:eastAsia="仿宋"/>
          <w:sz w:val="28"/>
          <w:szCs w:val="28"/>
        </w:rPr>
        <w:t>kg的包装桶中（体积为2</w:t>
      </w:r>
      <w:r>
        <w:rPr>
          <w:rFonts w:ascii="Times New Roman" w:eastAsia="仿宋"/>
          <w:sz w:val="28"/>
          <w:szCs w:val="28"/>
        </w:rPr>
        <w:t>5L</w:t>
      </w:r>
      <w:r>
        <w:rPr>
          <w:rFonts w:hint="eastAsia" w:ascii="Times New Roman" w:eastAsia="仿宋"/>
          <w:sz w:val="28"/>
          <w:szCs w:val="28"/>
        </w:rPr>
        <w:t>），清洗剂储存于吨桶中。根据《建设项目环境风险评价导则》（H</w:t>
      </w:r>
      <w:r>
        <w:rPr>
          <w:rFonts w:ascii="Times New Roman" w:eastAsia="仿宋"/>
          <w:sz w:val="28"/>
          <w:szCs w:val="28"/>
        </w:rPr>
        <w:t>J 169-2018</w:t>
      </w:r>
      <w:r>
        <w:rPr>
          <w:rFonts w:hint="eastAsia" w:ascii="Times New Roman" w:eastAsia="仿宋"/>
          <w:sz w:val="28"/>
          <w:szCs w:val="28"/>
        </w:rPr>
        <w:t>）附录F，泄漏事故源强核算主要包括泄漏口的尺寸、泄漏速率的计算和泄漏量的计算等。</w:t>
      </w:r>
      <w:r>
        <w:rPr>
          <w:rFonts w:ascii="Times New Roman" w:eastAsia="仿宋"/>
          <w:sz w:val="28"/>
          <w:szCs w:val="28"/>
        </w:rPr>
        <w:t>假设发生泄漏事故后，可立即启动紧急切</w:t>
      </w:r>
      <w:r>
        <w:rPr>
          <w:rFonts w:hint="eastAsia" w:ascii="Times New Roman" w:eastAsia="仿宋"/>
          <w:sz w:val="28"/>
          <w:szCs w:val="28"/>
        </w:rPr>
        <w:t>断装置，防止继续泄漏，有效控制地面扩散，且在</w:t>
      </w:r>
      <w:r>
        <w:rPr>
          <w:rFonts w:ascii="Times New Roman" w:eastAsia="仿宋"/>
          <w:sz w:val="28"/>
          <w:szCs w:val="28"/>
        </w:rPr>
        <w:t>1</w:t>
      </w:r>
      <w:r>
        <w:rPr>
          <w:rFonts w:hint="eastAsia" w:ascii="Times New Roman" w:eastAsia="仿宋"/>
          <w:sz w:val="28"/>
          <w:szCs w:val="28"/>
        </w:rPr>
        <w:t>0分钟内物质泄漏得到控制，裂口直径为50mm。</w:t>
      </w:r>
    </w:p>
    <w:p w14:paraId="2D6C8B3C">
      <w:pPr>
        <w:pStyle w:val="46"/>
        <w:spacing w:line="500" w:lineRule="exact"/>
        <w:ind w:left="0" w:firstLine="560" w:firstLineChars="200"/>
        <w:rPr>
          <w:rFonts w:ascii="Times New Roman" w:eastAsia="仿宋"/>
          <w:sz w:val="28"/>
          <w:szCs w:val="28"/>
        </w:rPr>
      </w:pPr>
      <w:r>
        <w:rPr>
          <w:rFonts w:ascii="Times New Roman" w:eastAsia="仿宋"/>
          <w:sz w:val="28"/>
          <w:szCs w:val="28"/>
        </w:rPr>
        <w:t>泄出液体的泄漏速度可用流体力学的伯努利方程计算，即：</w:t>
      </w:r>
    </w:p>
    <w:p w14:paraId="04AE9E6B">
      <w:pPr>
        <w:jc w:val="center"/>
        <w:rPr>
          <w:rFonts w:eastAsia="仿宋"/>
          <w:sz w:val="28"/>
          <w:szCs w:val="28"/>
        </w:rPr>
      </w:pPr>
      <w:r>
        <w:drawing>
          <wp:inline distT="0" distB="0" distL="0" distR="0">
            <wp:extent cx="2950210" cy="715645"/>
            <wp:effectExtent l="0" t="0" r="0" b="0"/>
            <wp:docPr id="59" name="图片 73"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3" descr="wp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950210" cy="715645"/>
                    </a:xfrm>
                    <a:prstGeom prst="rect">
                      <a:avLst/>
                    </a:prstGeom>
                    <a:noFill/>
                    <a:ln>
                      <a:noFill/>
                    </a:ln>
                  </pic:spPr>
                </pic:pic>
              </a:graphicData>
            </a:graphic>
          </wp:inline>
        </w:drawing>
      </w:r>
      <w:r>
        <w:rPr>
          <w:rFonts w:eastAsia="仿宋"/>
          <w:sz w:val="28"/>
          <w:szCs w:val="28"/>
        </w:rPr>
        <w:t xml:space="preserve"> </w:t>
      </w:r>
    </w:p>
    <w:p w14:paraId="53A66606">
      <w:pPr>
        <w:spacing w:line="500" w:lineRule="exact"/>
        <w:ind w:firstLine="560" w:firstLineChars="200"/>
        <w:jc w:val="left"/>
        <w:rPr>
          <w:rFonts w:eastAsia="仿宋"/>
          <w:sz w:val="28"/>
          <w:szCs w:val="28"/>
        </w:rPr>
      </w:pPr>
      <w:r>
        <w:rPr>
          <w:rFonts w:ascii="仿宋" w:hAnsi="仿宋" w:eastAsia="仿宋"/>
          <w:sz w:val="28"/>
          <w:szCs w:val="28"/>
        </w:rPr>
        <w:t>式中：</w:t>
      </w:r>
      <w:r>
        <w:rPr>
          <w:rFonts w:eastAsia="仿宋"/>
          <w:sz w:val="28"/>
          <w:szCs w:val="28"/>
        </w:rPr>
        <w:t>Q</w:t>
      </w:r>
      <w:r>
        <w:rPr>
          <w:rFonts w:eastAsia="仿宋"/>
          <w:sz w:val="28"/>
          <w:szCs w:val="28"/>
          <w:vertAlign w:val="subscript"/>
        </w:rPr>
        <w:t>L</w:t>
      </w:r>
      <w:r>
        <w:rPr>
          <w:rFonts w:eastAsia="仿宋"/>
          <w:sz w:val="28"/>
          <w:szCs w:val="28"/>
        </w:rPr>
        <w:t>——</w:t>
      </w:r>
      <w:r>
        <w:rPr>
          <w:rFonts w:ascii="仿宋" w:hAnsi="仿宋" w:eastAsia="仿宋"/>
          <w:sz w:val="28"/>
          <w:szCs w:val="28"/>
        </w:rPr>
        <w:t>液体泄漏速度，</w:t>
      </w:r>
      <w:r>
        <w:rPr>
          <w:rFonts w:eastAsia="仿宋"/>
          <w:sz w:val="28"/>
          <w:szCs w:val="28"/>
        </w:rPr>
        <w:t>kg/s</w:t>
      </w:r>
      <w:r>
        <w:rPr>
          <w:rFonts w:ascii="仿宋" w:hAnsi="仿宋" w:eastAsia="仿宋"/>
          <w:sz w:val="28"/>
          <w:szCs w:val="28"/>
        </w:rPr>
        <w:t>；</w:t>
      </w:r>
    </w:p>
    <w:p w14:paraId="3CCCDFE8">
      <w:pPr>
        <w:spacing w:line="500" w:lineRule="exact"/>
        <w:ind w:firstLine="560" w:firstLineChars="200"/>
        <w:jc w:val="left"/>
        <w:rPr>
          <w:rFonts w:eastAsia="仿宋"/>
          <w:sz w:val="28"/>
          <w:szCs w:val="28"/>
        </w:rPr>
      </w:pPr>
      <w:r>
        <w:rPr>
          <w:rFonts w:eastAsia="仿宋"/>
          <w:sz w:val="28"/>
          <w:szCs w:val="28"/>
        </w:rPr>
        <w:t>Cd——</w:t>
      </w:r>
      <w:r>
        <w:rPr>
          <w:rFonts w:ascii="仿宋" w:hAnsi="仿宋" w:eastAsia="仿宋"/>
          <w:sz w:val="28"/>
          <w:szCs w:val="28"/>
        </w:rPr>
        <w:t>泄漏系数</w:t>
      </w:r>
      <w:r>
        <w:rPr>
          <w:rFonts w:hint="eastAsia" w:ascii="仿宋" w:hAnsi="仿宋" w:eastAsia="仿宋"/>
          <w:sz w:val="28"/>
          <w:szCs w:val="28"/>
        </w:rPr>
        <w:t>，</w:t>
      </w:r>
      <w:r>
        <w:rPr>
          <w:rFonts w:ascii="仿宋" w:hAnsi="仿宋" w:eastAsia="仿宋"/>
          <w:sz w:val="28"/>
          <w:szCs w:val="28"/>
        </w:rPr>
        <w:t>常用</w:t>
      </w:r>
      <w:r>
        <w:rPr>
          <w:rFonts w:eastAsia="仿宋"/>
          <w:sz w:val="28"/>
          <w:szCs w:val="28"/>
        </w:rPr>
        <w:t>0.6</w:t>
      </w:r>
      <w:r>
        <w:rPr>
          <w:rFonts w:ascii="仿宋" w:hAnsi="仿宋" w:eastAsia="仿宋"/>
          <w:sz w:val="28"/>
          <w:szCs w:val="28"/>
        </w:rPr>
        <w:t>～</w:t>
      </w:r>
      <w:r>
        <w:rPr>
          <w:rFonts w:eastAsia="仿宋"/>
          <w:sz w:val="28"/>
          <w:szCs w:val="28"/>
        </w:rPr>
        <w:t>0.64</w:t>
      </w:r>
      <w:r>
        <w:rPr>
          <w:rFonts w:ascii="仿宋" w:hAnsi="仿宋" w:eastAsia="仿宋"/>
          <w:sz w:val="28"/>
          <w:szCs w:val="28"/>
        </w:rPr>
        <w:t>，取</w:t>
      </w:r>
      <w:r>
        <w:rPr>
          <w:rFonts w:eastAsia="仿宋"/>
          <w:sz w:val="28"/>
          <w:szCs w:val="28"/>
        </w:rPr>
        <w:t>0.62</w:t>
      </w:r>
      <w:r>
        <w:rPr>
          <w:rFonts w:ascii="仿宋" w:hAnsi="仿宋" w:eastAsia="仿宋"/>
          <w:sz w:val="28"/>
          <w:szCs w:val="28"/>
        </w:rPr>
        <w:t>；；</w:t>
      </w:r>
    </w:p>
    <w:p w14:paraId="116942F3">
      <w:pPr>
        <w:spacing w:line="500" w:lineRule="exact"/>
        <w:ind w:firstLine="560" w:firstLineChars="200"/>
        <w:jc w:val="left"/>
        <w:rPr>
          <w:rFonts w:eastAsia="仿宋"/>
          <w:sz w:val="28"/>
          <w:szCs w:val="28"/>
        </w:rPr>
      </w:pPr>
      <w:r>
        <w:rPr>
          <w:rFonts w:eastAsia="仿宋"/>
          <w:sz w:val="28"/>
          <w:szCs w:val="28"/>
        </w:rPr>
        <w:t>A——</w:t>
      </w:r>
      <w:r>
        <w:rPr>
          <w:rFonts w:ascii="仿宋" w:hAnsi="仿宋" w:eastAsia="仿宋"/>
          <w:sz w:val="28"/>
          <w:szCs w:val="28"/>
        </w:rPr>
        <w:t>裂口面积，</w:t>
      </w:r>
      <w:r>
        <w:rPr>
          <w:rFonts w:eastAsia="仿宋"/>
          <w:sz w:val="28"/>
          <w:szCs w:val="28"/>
        </w:rPr>
        <w:t>m</w:t>
      </w:r>
      <w:r>
        <w:rPr>
          <w:rFonts w:eastAsia="仿宋"/>
          <w:sz w:val="28"/>
          <w:szCs w:val="28"/>
          <w:vertAlign w:val="superscript"/>
        </w:rPr>
        <w:t>2</w:t>
      </w:r>
      <w:r>
        <w:rPr>
          <w:rFonts w:ascii="仿宋" w:hAnsi="仿宋" w:eastAsia="仿宋"/>
          <w:sz w:val="28"/>
          <w:szCs w:val="28"/>
        </w:rPr>
        <w:t>；</w:t>
      </w:r>
    </w:p>
    <w:p w14:paraId="005A6730">
      <w:pPr>
        <w:spacing w:line="500" w:lineRule="exact"/>
        <w:ind w:firstLine="560" w:firstLineChars="200"/>
        <w:jc w:val="left"/>
        <w:rPr>
          <w:rFonts w:eastAsia="仿宋"/>
          <w:sz w:val="28"/>
          <w:szCs w:val="28"/>
        </w:rPr>
      </w:pPr>
      <w:r>
        <w:rPr>
          <w:rFonts w:eastAsia="仿宋"/>
          <w:sz w:val="28"/>
          <w:szCs w:val="28"/>
        </w:rPr>
        <w:t>ρ——</w:t>
      </w:r>
      <w:r>
        <w:rPr>
          <w:rFonts w:ascii="仿宋" w:hAnsi="仿宋" w:eastAsia="仿宋"/>
          <w:sz w:val="28"/>
          <w:szCs w:val="28"/>
        </w:rPr>
        <w:t>泄漏液体密度，</w:t>
      </w:r>
      <w:r>
        <w:rPr>
          <w:rFonts w:eastAsia="仿宋"/>
          <w:sz w:val="28"/>
          <w:szCs w:val="28"/>
        </w:rPr>
        <w:t>kg/m</w:t>
      </w:r>
      <w:r>
        <w:rPr>
          <w:rFonts w:eastAsia="仿宋"/>
          <w:sz w:val="28"/>
          <w:szCs w:val="28"/>
          <w:vertAlign w:val="superscript"/>
        </w:rPr>
        <w:t>3</w:t>
      </w:r>
      <w:r>
        <w:rPr>
          <w:rFonts w:ascii="仿宋" w:hAnsi="仿宋" w:eastAsia="仿宋"/>
          <w:sz w:val="28"/>
          <w:szCs w:val="28"/>
        </w:rPr>
        <w:t>；</w:t>
      </w:r>
    </w:p>
    <w:p w14:paraId="0D1B2D2B">
      <w:pPr>
        <w:spacing w:line="500" w:lineRule="exact"/>
        <w:ind w:firstLine="560" w:firstLineChars="200"/>
        <w:jc w:val="left"/>
        <w:rPr>
          <w:rFonts w:eastAsia="仿宋"/>
          <w:sz w:val="28"/>
          <w:szCs w:val="28"/>
        </w:rPr>
      </w:pPr>
      <w:r>
        <w:rPr>
          <w:rFonts w:eastAsia="仿宋"/>
          <w:sz w:val="28"/>
          <w:szCs w:val="28"/>
        </w:rPr>
        <w:t>P——</w:t>
      </w:r>
      <w:r>
        <w:rPr>
          <w:rFonts w:ascii="仿宋" w:hAnsi="仿宋" w:eastAsia="仿宋"/>
          <w:sz w:val="28"/>
          <w:szCs w:val="28"/>
        </w:rPr>
        <w:t>容器内介质压力，</w:t>
      </w:r>
      <w:r>
        <w:rPr>
          <w:rFonts w:eastAsia="仿宋"/>
          <w:sz w:val="28"/>
          <w:szCs w:val="28"/>
        </w:rPr>
        <w:t>Pa</w:t>
      </w:r>
      <w:r>
        <w:rPr>
          <w:rFonts w:ascii="仿宋" w:hAnsi="仿宋" w:eastAsia="仿宋"/>
          <w:sz w:val="28"/>
          <w:szCs w:val="28"/>
        </w:rPr>
        <w:t>；</w:t>
      </w:r>
    </w:p>
    <w:p w14:paraId="317CF5FE">
      <w:pPr>
        <w:spacing w:line="500" w:lineRule="exact"/>
        <w:ind w:firstLine="560" w:firstLineChars="200"/>
        <w:jc w:val="left"/>
        <w:rPr>
          <w:rFonts w:eastAsia="仿宋"/>
          <w:sz w:val="28"/>
          <w:szCs w:val="28"/>
        </w:rPr>
      </w:pPr>
      <w:r>
        <w:rPr>
          <w:rFonts w:eastAsia="仿宋"/>
          <w:sz w:val="28"/>
          <w:szCs w:val="28"/>
        </w:rPr>
        <w:t>P</w:t>
      </w:r>
      <w:r>
        <w:rPr>
          <w:rFonts w:eastAsia="仿宋"/>
          <w:sz w:val="28"/>
          <w:szCs w:val="28"/>
          <w:vertAlign w:val="subscript"/>
        </w:rPr>
        <w:t>0</w:t>
      </w:r>
      <w:r>
        <w:rPr>
          <w:rFonts w:eastAsia="仿宋"/>
          <w:sz w:val="28"/>
          <w:szCs w:val="28"/>
        </w:rPr>
        <w:t>——</w:t>
      </w:r>
      <w:r>
        <w:rPr>
          <w:rFonts w:ascii="仿宋" w:hAnsi="仿宋" w:eastAsia="仿宋"/>
          <w:sz w:val="28"/>
          <w:szCs w:val="28"/>
        </w:rPr>
        <w:t>环境压力，</w:t>
      </w:r>
      <w:r>
        <w:rPr>
          <w:rFonts w:eastAsia="仿宋"/>
          <w:sz w:val="28"/>
          <w:szCs w:val="28"/>
        </w:rPr>
        <w:t>Pa</w:t>
      </w:r>
      <w:r>
        <w:rPr>
          <w:rFonts w:ascii="仿宋" w:hAnsi="仿宋" w:eastAsia="仿宋"/>
          <w:sz w:val="28"/>
          <w:szCs w:val="28"/>
        </w:rPr>
        <w:t>；</w:t>
      </w:r>
    </w:p>
    <w:p w14:paraId="3ED44FF2">
      <w:pPr>
        <w:spacing w:line="500" w:lineRule="exact"/>
        <w:ind w:firstLine="560" w:firstLineChars="200"/>
        <w:jc w:val="left"/>
        <w:rPr>
          <w:rFonts w:eastAsia="仿宋"/>
          <w:sz w:val="28"/>
          <w:szCs w:val="28"/>
        </w:rPr>
      </w:pPr>
      <w:r>
        <w:rPr>
          <w:rFonts w:eastAsia="仿宋"/>
          <w:sz w:val="28"/>
          <w:szCs w:val="28"/>
        </w:rPr>
        <w:t>g——</w:t>
      </w:r>
      <w:r>
        <w:rPr>
          <w:rFonts w:ascii="仿宋" w:hAnsi="仿宋" w:eastAsia="仿宋"/>
          <w:sz w:val="28"/>
          <w:szCs w:val="28"/>
        </w:rPr>
        <w:t>重力加速度，</w:t>
      </w:r>
      <w:r>
        <w:rPr>
          <w:rFonts w:eastAsia="仿宋"/>
          <w:sz w:val="28"/>
          <w:szCs w:val="28"/>
        </w:rPr>
        <w:t>9.8m/s</w:t>
      </w:r>
      <w:r>
        <w:rPr>
          <w:rFonts w:eastAsia="仿宋"/>
          <w:sz w:val="28"/>
          <w:szCs w:val="28"/>
          <w:vertAlign w:val="superscript"/>
        </w:rPr>
        <w:t>2</w:t>
      </w:r>
      <w:r>
        <w:rPr>
          <w:rFonts w:ascii="仿宋" w:hAnsi="仿宋" w:eastAsia="仿宋"/>
          <w:sz w:val="28"/>
          <w:szCs w:val="28"/>
        </w:rPr>
        <w:t>；</w:t>
      </w:r>
    </w:p>
    <w:p w14:paraId="0F5567A5">
      <w:pPr>
        <w:spacing w:line="500" w:lineRule="exact"/>
        <w:ind w:firstLine="560" w:firstLineChars="200"/>
        <w:jc w:val="left"/>
        <w:rPr>
          <w:rFonts w:eastAsia="仿宋"/>
          <w:sz w:val="28"/>
          <w:szCs w:val="28"/>
        </w:rPr>
      </w:pPr>
      <w:r>
        <w:rPr>
          <w:rFonts w:eastAsia="仿宋"/>
          <w:sz w:val="28"/>
          <w:szCs w:val="28"/>
        </w:rPr>
        <w:t>h——</w:t>
      </w:r>
      <w:r>
        <w:rPr>
          <w:rFonts w:ascii="仿宋" w:hAnsi="仿宋" w:eastAsia="仿宋"/>
          <w:sz w:val="28"/>
          <w:szCs w:val="28"/>
        </w:rPr>
        <w:t>裂口之上液位高度，</w:t>
      </w:r>
      <w:r>
        <w:rPr>
          <w:rFonts w:eastAsia="仿宋"/>
          <w:sz w:val="28"/>
          <w:szCs w:val="28"/>
        </w:rPr>
        <w:t>m</w:t>
      </w:r>
      <w:r>
        <w:rPr>
          <w:rFonts w:ascii="仿宋" w:hAnsi="仿宋" w:eastAsia="仿宋"/>
          <w:sz w:val="28"/>
          <w:szCs w:val="28"/>
        </w:rPr>
        <w:t>；</w:t>
      </w:r>
    </w:p>
    <w:p w14:paraId="510B2A4B">
      <w:pPr>
        <w:spacing w:before="60" w:after="60"/>
        <w:jc w:val="center"/>
        <w:rPr>
          <w:rFonts w:ascii="Times New Roman" w:eastAsia="仿宋"/>
          <w:b/>
        </w:rPr>
      </w:pPr>
      <w:r>
        <w:rPr>
          <w:rFonts w:ascii="Times New Roman" w:eastAsia="仿宋"/>
          <w:b/>
        </w:rPr>
        <w:t>表5.3-24 液体泄漏计算参数及结果一览表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375"/>
        <w:gridCol w:w="1560"/>
        <w:gridCol w:w="2361"/>
      </w:tblGrid>
      <w:tr w14:paraId="703D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67474F70">
            <w:pPr>
              <w:pStyle w:val="492"/>
              <w:adjustRightInd w:val="0"/>
              <w:snapToGrid w:val="0"/>
              <w:spacing w:line="240" w:lineRule="auto"/>
              <w:rPr>
                <w:rFonts w:ascii="Times New Roman" w:hAnsi="仿宋" w:eastAsia="仿宋"/>
                <w:sz w:val="24"/>
              </w:rPr>
            </w:pPr>
            <w:r>
              <w:rPr>
                <w:rFonts w:ascii="Times New Roman" w:hAnsi="仿宋" w:eastAsia="仿宋"/>
                <w:sz w:val="24"/>
              </w:rPr>
              <w:t>符号</w:t>
            </w:r>
          </w:p>
        </w:tc>
        <w:tc>
          <w:tcPr>
            <w:tcW w:w="1980" w:type="pct"/>
            <w:tcBorders>
              <w:top w:val="single" w:color="auto" w:sz="4" w:space="0"/>
              <w:left w:val="single" w:color="auto" w:sz="4" w:space="0"/>
              <w:bottom w:val="single" w:color="auto" w:sz="4" w:space="0"/>
              <w:right w:val="single" w:color="auto" w:sz="4" w:space="0"/>
            </w:tcBorders>
            <w:vAlign w:val="center"/>
          </w:tcPr>
          <w:p w14:paraId="3A55B6FD">
            <w:pPr>
              <w:pStyle w:val="492"/>
              <w:adjustRightInd w:val="0"/>
              <w:snapToGrid w:val="0"/>
              <w:spacing w:line="240" w:lineRule="auto"/>
              <w:rPr>
                <w:rFonts w:ascii="Times New Roman" w:hAnsi="仿宋" w:eastAsia="仿宋"/>
                <w:sz w:val="24"/>
              </w:rPr>
            </w:pPr>
            <w:r>
              <w:rPr>
                <w:rFonts w:ascii="Times New Roman" w:hAnsi="仿宋" w:eastAsia="仿宋"/>
                <w:sz w:val="24"/>
              </w:rPr>
              <w:t>含义</w:t>
            </w:r>
          </w:p>
        </w:tc>
        <w:tc>
          <w:tcPr>
            <w:tcW w:w="915" w:type="pct"/>
            <w:tcBorders>
              <w:top w:val="single" w:color="auto" w:sz="4" w:space="0"/>
              <w:left w:val="single" w:color="auto" w:sz="4" w:space="0"/>
              <w:bottom w:val="single" w:color="auto" w:sz="4" w:space="0"/>
              <w:right w:val="single" w:color="auto" w:sz="4" w:space="0"/>
            </w:tcBorders>
            <w:vAlign w:val="center"/>
          </w:tcPr>
          <w:p w14:paraId="58747E45">
            <w:pPr>
              <w:pStyle w:val="492"/>
              <w:adjustRightInd w:val="0"/>
              <w:snapToGrid w:val="0"/>
              <w:spacing w:line="240" w:lineRule="auto"/>
              <w:rPr>
                <w:rFonts w:ascii="Times New Roman" w:hAnsi="仿宋" w:eastAsia="仿宋"/>
                <w:sz w:val="24"/>
              </w:rPr>
            </w:pPr>
            <w:r>
              <w:rPr>
                <w:rFonts w:ascii="Times New Roman" w:hAnsi="仿宋" w:eastAsia="仿宋"/>
                <w:sz w:val="24"/>
              </w:rPr>
              <w:t>单位</w:t>
            </w:r>
          </w:p>
        </w:tc>
        <w:tc>
          <w:tcPr>
            <w:tcW w:w="1385" w:type="pct"/>
            <w:tcBorders>
              <w:top w:val="single" w:color="auto" w:sz="4" w:space="0"/>
              <w:left w:val="single" w:color="auto" w:sz="4" w:space="0"/>
              <w:bottom w:val="single" w:color="auto" w:sz="4" w:space="0"/>
              <w:right w:val="single" w:color="auto" w:sz="4" w:space="0"/>
            </w:tcBorders>
            <w:vAlign w:val="center"/>
          </w:tcPr>
          <w:p w14:paraId="1B595C32">
            <w:pPr>
              <w:pStyle w:val="492"/>
              <w:adjustRightInd w:val="0"/>
              <w:snapToGrid w:val="0"/>
              <w:spacing w:line="240" w:lineRule="auto"/>
              <w:rPr>
                <w:rFonts w:ascii="Times New Roman" w:hAnsi="仿宋" w:eastAsia="仿宋"/>
                <w:sz w:val="24"/>
              </w:rPr>
            </w:pPr>
            <w:r>
              <w:rPr>
                <w:rFonts w:hint="eastAsia" w:ascii="Times New Roman" w:hAnsi="仿宋" w:eastAsia="仿宋"/>
                <w:sz w:val="24"/>
              </w:rPr>
              <w:t>参数</w:t>
            </w:r>
          </w:p>
        </w:tc>
      </w:tr>
      <w:tr w14:paraId="0304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67BDB593">
            <w:pPr>
              <w:pStyle w:val="492"/>
              <w:adjustRightInd w:val="0"/>
              <w:snapToGrid w:val="0"/>
              <w:spacing w:line="240" w:lineRule="auto"/>
              <w:rPr>
                <w:rFonts w:ascii="Times New Roman" w:hAnsi="仿宋" w:eastAsia="仿宋"/>
                <w:sz w:val="24"/>
              </w:rPr>
            </w:pPr>
            <w:r>
              <w:rPr>
                <w:rFonts w:ascii="Times New Roman" w:hAnsi="仿宋" w:eastAsia="仿宋"/>
                <w:sz w:val="24"/>
              </w:rPr>
              <w:t>Cd</w:t>
            </w:r>
          </w:p>
        </w:tc>
        <w:tc>
          <w:tcPr>
            <w:tcW w:w="1980" w:type="pct"/>
            <w:tcBorders>
              <w:top w:val="single" w:color="auto" w:sz="4" w:space="0"/>
              <w:left w:val="single" w:color="auto" w:sz="4" w:space="0"/>
              <w:bottom w:val="single" w:color="auto" w:sz="4" w:space="0"/>
              <w:right w:val="single" w:color="auto" w:sz="4" w:space="0"/>
            </w:tcBorders>
            <w:vAlign w:val="center"/>
          </w:tcPr>
          <w:p w14:paraId="79E42A38">
            <w:pPr>
              <w:pStyle w:val="492"/>
              <w:adjustRightInd w:val="0"/>
              <w:snapToGrid w:val="0"/>
              <w:spacing w:line="240" w:lineRule="auto"/>
              <w:rPr>
                <w:rFonts w:ascii="Times New Roman" w:hAnsi="仿宋" w:eastAsia="仿宋"/>
                <w:sz w:val="24"/>
              </w:rPr>
            </w:pPr>
            <w:r>
              <w:rPr>
                <w:rFonts w:ascii="Times New Roman" w:hAnsi="仿宋" w:eastAsia="仿宋"/>
                <w:sz w:val="24"/>
              </w:rPr>
              <w:t>液体泄漏系数</w:t>
            </w:r>
          </w:p>
        </w:tc>
        <w:tc>
          <w:tcPr>
            <w:tcW w:w="915" w:type="pct"/>
            <w:tcBorders>
              <w:top w:val="single" w:color="auto" w:sz="4" w:space="0"/>
              <w:left w:val="single" w:color="auto" w:sz="4" w:space="0"/>
              <w:bottom w:val="single" w:color="auto" w:sz="4" w:space="0"/>
              <w:right w:val="single" w:color="auto" w:sz="4" w:space="0"/>
            </w:tcBorders>
            <w:vAlign w:val="center"/>
          </w:tcPr>
          <w:p w14:paraId="3C1F1BEF">
            <w:pPr>
              <w:pStyle w:val="492"/>
              <w:adjustRightInd w:val="0"/>
              <w:snapToGrid w:val="0"/>
              <w:spacing w:line="240" w:lineRule="auto"/>
              <w:rPr>
                <w:rFonts w:ascii="Times New Roman" w:hAnsi="仿宋" w:eastAsia="仿宋"/>
                <w:sz w:val="24"/>
              </w:rPr>
            </w:pPr>
            <w:r>
              <w:rPr>
                <w:rFonts w:ascii="Times New Roman" w:hAnsi="仿宋" w:eastAsia="仿宋"/>
                <w:sz w:val="24"/>
              </w:rPr>
              <w:t>无量纲</w:t>
            </w:r>
          </w:p>
        </w:tc>
        <w:tc>
          <w:tcPr>
            <w:tcW w:w="1385" w:type="pct"/>
            <w:tcBorders>
              <w:top w:val="single" w:color="auto" w:sz="4" w:space="0"/>
              <w:left w:val="single" w:color="auto" w:sz="4" w:space="0"/>
              <w:bottom w:val="single" w:color="auto" w:sz="4" w:space="0"/>
              <w:right w:val="single" w:color="auto" w:sz="4" w:space="0"/>
            </w:tcBorders>
            <w:vAlign w:val="center"/>
          </w:tcPr>
          <w:p w14:paraId="32BDA4DA">
            <w:pPr>
              <w:pStyle w:val="492"/>
              <w:adjustRightInd w:val="0"/>
              <w:snapToGrid w:val="0"/>
              <w:spacing w:line="240" w:lineRule="auto"/>
              <w:rPr>
                <w:rFonts w:ascii="Times New Roman" w:hAnsi="仿宋" w:eastAsia="仿宋"/>
                <w:sz w:val="24"/>
              </w:rPr>
            </w:pPr>
            <w:r>
              <w:rPr>
                <w:rFonts w:ascii="Times New Roman" w:hAnsi="仿宋" w:eastAsia="仿宋"/>
                <w:sz w:val="24"/>
              </w:rPr>
              <w:t>0.62</w:t>
            </w:r>
          </w:p>
        </w:tc>
      </w:tr>
      <w:tr w14:paraId="56C3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3233D14A">
            <w:pPr>
              <w:pStyle w:val="492"/>
              <w:adjustRightInd w:val="0"/>
              <w:snapToGrid w:val="0"/>
              <w:spacing w:line="240" w:lineRule="auto"/>
              <w:rPr>
                <w:rFonts w:ascii="Times New Roman" w:hAnsi="仿宋" w:eastAsia="仿宋"/>
                <w:sz w:val="24"/>
              </w:rPr>
            </w:pPr>
            <w:r>
              <w:rPr>
                <w:rFonts w:ascii="Times New Roman" w:hAnsi="仿宋" w:eastAsia="仿宋"/>
                <w:sz w:val="24"/>
              </w:rPr>
              <w:t>A</w:t>
            </w:r>
          </w:p>
        </w:tc>
        <w:tc>
          <w:tcPr>
            <w:tcW w:w="1980" w:type="pct"/>
            <w:tcBorders>
              <w:top w:val="single" w:color="auto" w:sz="4" w:space="0"/>
              <w:left w:val="single" w:color="auto" w:sz="4" w:space="0"/>
              <w:bottom w:val="single" w:color="auto" w:sz="4" w:space="0"/>
              <w:right w:val="single" w:color="auto" w:sz="4" w:space="0"/>
            </w:tcBorders>
            <w:vAlign w:val="center"/>
          </w:tcPr>
          <w:p w14:paraId="32886E72">
            <w:pPr>
              <w:pStyle w:val="492"/>
              <w:adjustRightInd w:val="0"/>
              <w:snapToGrid w:val="0"/>
              <w:spacing w:line="240" w:lineRule="auto"/>
              <w:rPr>
                <w:rFonts w:ascii="Times New Roman" w:hAnsi="仿宋" w:eastAsia="仿宋"/>
                <w:sz w:val="24"/>
              </w:rPr>
            </w:pPr>
            <w:r>
              <w:rPr>
                <w:rFonts w:ascii="Times New Roman" w:hAnsi="仿宋" w:eastAsia="仿宋"/>
                <w:sz w:val="24"/>
              </w:rPr>
              <w:t>裂口面积</w:t>
            </w:r>
          </w:p>
        </w:tc>
        <w:tc>
          <w:tcPr>
            <w:tcW w:w="915" w:type="pct"/>
            <w:tcBorders>
              <w:top w:val="single" w:color="auto" w:sz="4" w:space="0"/>
              <w:left w:val="single" w:color="auto" w:sz="4" w:space="0"/>
              <w:bottom w:val="single" w:color="auto" w:sz="4" w:space="0"/>
              <w:right w:val="single" w:color="auto" w:sz="4" w:space="0"/>
            </w:tcBorders>
            <w:vAlign w:val="center"/>
          </w:tcPr>
          <w:p w14:paraId="1F1EF438">
            <w:pPr>
              <w:pStyle w:val="492"/>
              <w:adjustRightInd w:val="0"/>
              <w:snapToGrid w:val="0"/>
              <w:spacing w:line="240" w:lineRule="auto"/>
              <w:rPr>
                <w:rFonts w:ascii="Times New Roman" w:hAnsi="仿宋" w:eastAsia="仿宋"/>
                <w:sz w:val="24"/>
              </w:rPr>
            </w:pPr>
            <w:r>
              <w:rPr>
                <w:rFonts w:ascii="Times New Roman" w:hAnsi="仿宋" w:eastAsia="仿宋"/>
                <w:sz w:val="24"/>
              </w:rPr>
              <w:t>m</w:t>
            </w:r>
            <w:r>
              <w:rPr>
                <w:rFonts w:ascii="Times New Roman" w:hAnsi="仿宋" w:eastAsia="仿宋"/>
                <w:sz w:val="24"/>
                <w:vertAlign w:val="superscript"/>
              </w:rPr>
              <w:t>2</w:t>
            </w:r>
          </w:p>
        </w:tc>
        <w:tc>
          <w:tcPr>
            <w:tcW w:w="1385" w:type="pct"/>
            <w:tcBorders>
              <w:top w:val="single" w:color="auto" w:sz="4" w:space="0"/>
              <w:left w:val="single" w:color="auto" w:sz="4" w:space="0"/>
              <w:bottom w:val="single" w:color="auto" w:sz="4" w:space="0"/>
              <w:right w:val="single" w:color="auto" w:sz="4" w:space="0"/>
            </w:tcBorders>
            <w:vAlign w:val="center"/>
          </w:tcPr>
          <w:p w14:paraId="3BD25196">
            <w:pPr>
              <w:pStyle w:val="492"/>
              <w:adjustRightInd w:val="0"/>
              <w:snapToGrid w:val="0"/>
              <w:spacing w:line="240" w:lineRule="auto"/>
              <w:rPr>
                <w:rFonts w:ascii="Times New Roman" w:hAnsi="仿宋" w:eastAsia="仿宋"/>
                <w:sz w:val="24"/>
              </w:rPr>
            </w:pPr>
            <w:r>
              <w:rPr>
                <w:rFonts w:ascii="Times New Roman" w:hAnsi="仿宋" w:eastAsia="仿宋"/>
                <w:sz w:val="24"/>
              </w:rPr>
              <w:t>0.002</w:t>
            </w:r>
          </w:p>
        </w:tc>
      </w:tr>
      <w:tr w14:paraId="67F8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20" w:type="pct"/>
            <w:vMerge w:val="restart"/>
            <w:tcBorders>
              <w:top w:val="single" w:color="auto" w:sz="4" w:space="0"/>
              <w:left w:val="single" w:color="auto" w:sz="4" w:space="0"/>
              <w:right w:val="single" w:color="auto" w:sz="4" w:space="0"/>
            </w:tcBorders>
            <w:vAlign w:val="center"/>
          </w:tcPr>
          <w:p w14:paraId="39013833">
            <w:pPr>
              <w:pStyle w:val="492"/>
              <w:adjustRightInd w:val="0"/>
              <w:snapToGrid w:val="0"/>
              <w:spacing w:line="240" w:lineRule="auto"/>
              <w:rPr>
                <w:rFonts w:ascii="Times New Roman" w:hAnsi="仿宋" w:eastAsia="仿宋"/>
                <w:sz w:val="24"/>
              </w:rPr>
            </w:pPr>
            <w:r>
              <w:rPr>
                <w:rFonts w:ascii="Times New Roman" w:hAnsi="仿宋" w:eastAsia="仿宋"/>
                <w:sz w:val="24"/>
              </w:rPr>
              <w:t>ρ</w:t>
            </w:r>
          </w:p>
        </w:tc>
        <w:tc>
          <w:tcPr>
            <w:tcW w:w="1980" w:type="pct"/>
            <w:vMerge w:val="restart"/>
            <w:tcBorders>
              <w:top w:val="single" w:color="auto" w:sz="4" w:space="0"/>
              <w:left w:val="single" w:color="auto" w:sz="4" w:space="0"/>
              <w:right w:val="single" w:color="auto" w:sz="4" w:space="0"/>
            </w:tcBorders>
            <w:vAlign w:val="center"/>
          </w:tcPr>
          <w:p w14:paraId="59464391">
            <w:pPr>
              <w:pStyle w:val="492"/>
              <w:adjustRightInd w:val="0"/>
              <w:snapToGrid w:val="0"/>
              <w:spacing w:line="240" w:lineRule="auto"/>
              <w:rPr>
                <w:rFonts w:ascii="Times New Roman" w:hAnsi="仿宋" w:eastAsia="仿宋"/>
                <w:sz w:val="24"/>
              </w:rPr>
            </w:pPr>
            <w:r>
              <w:rPr>
                <w:rFonts w:ascii="Times New Roman" w:hAnsi="仿宋" w:eastAsia="仿宋"/>
                <w:sz w:val="24"/>
              </w:rPr>
              <w:t>泄漏液体密度</w:t>
            </w:r>
          </w:p>
        </w:tc>
        <w:tc>
          <w:tcPr>
            <w:tcW w:w="915" w:type="pct"/>
            <w:vMerge w:val="restart"/>
            <w:tcBorders>
              <w:top w:val="single" w:color="auto" w:sz="4" w:space="0"/>
              <w:left w:val="single" w:color="auto" w:sz="4" w:space="0"/>
              <w:right w:val="single" w:color="auto" w:sz="4" w:space="0"/>
            </w:tcBorders>
            <w:vAlign w:val="center"/>
          </w:tcPr>
          <w:p w14:paraId="2F462477">
            <w:pPr>
              <w:pStyle w:val="492"/>
              <w:adjustRightInd w:val="0"/>
              <w:snapToGrid w:val="0"/>
              <w:spacing w:line="240" w:lineRule="auto"/>
              <w:rPr>
                <w:rFonts w:ascii="Times New Roman" w:hAnsi="仿宋" w:eastAsia="仿宋"/>
                <w:sz w:val="24"/>
              </w:rPr>
            </w:pPr>
            <w:r>
              <w:rPr>
                <w:rFonts w:ascii="Times New Roman" w:hAnsi="仿宋" w:eastAsia="仿宋"/>
                <w:sz w:val="24"/>
              </w:rPr>
              <w:t>kg/m</w:t>
            </w:r>
            <w:r>
              <w:rPr>
                <w:rFonts w:ascii="Times New Roman" w:hAnsi="仿宋" w:eastAsia="仿宋"/>
                <w:sz w:val="24"/>
                <w:vertAlign w:val="superscript"/>
              </w:rPr>
              <w:t>3</w:t>
            </w:r>
          </w:p>
        </w:tc>
        <w:tc>
          <w:tcPr>
            <w:tcW w:w="1385" w:type="pct"/>
            <w:tcBorders>
              <w:top w:val="single" w:color="auto" w:sz="4" w:space="0"/>
              <w:left w:val="single" w:color="auto" w:sz="4" w:space="0"/>
              <w:bottom w:val="single" w:color="auto" w:sz="4" w:space="0"/>
              <w:right w:val="single" w:color="auto" w:sz="4" w:space="0"/>
            </w:tcBorders>
            <w:vAlign w:val="center"/>
          </w:tcPr>
          <w:p w14:paraId="5A8F87CB">
            <w:pPr>
              <w:pStyle w:val="492"/>
              <w:adjustRightInd w:val="0"/>
              <w:snapToGrid w:val="0"/>
              <w:spacing w:line="240" w:lineRule="auto"/>
              <w:rPr>
                <w:rFonts w:ascii="Times New Roman" w:hAnsi="仿宋" w:eastAsia="仿宋"/>
                <w:sz w:val="24"/>
              </w:rPr>
            </w:pPr>
            <w:r>
              <w:rPr>
                <w:rFonts w:hint="eastAsia" w:ascii="Times New Roman" w:hAnsi="仿宋" w:eastAsia="仿宋"/>
                <w:sz w:val="24"/>
              </w:rPr>
              <w:t>二甲苯</w:t>
            </w:r>
            <w:r>
              <w:rPr>
                <w:rFonts w:ascii="Times New Roman" w:hAnsi="仿宋" w:eastAsia="仿宋"/>
                <w:sz w:val="24"/>
              </w:rPr>
              <w:t>880</w:t>
            </w:r>
          </w:p>
        </w:tc>
      </w:tr>
      <w:tr w14:paraId="3AC3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20" w:type="pct"/>
            <w:vMerge w:val="continue"/>
            <w:tcBorders>
              <w:left w:val="single" w:color="auto" w:sz="4" w:space="0"/>
              <w:bottom w:val="single" w:color="auto" w:sz="4" w:space="0"/>
              <w:right w:val="single" w:color="auto" w:sz="4" w:space="0"/>
            </w:tcBorders>
            <w:vAlign w:val="center"/>
          </w:tcPr>
          <w:p w14:paraId="3D1AEF60">
            <w:pPr>
              <w:pStyle w:val="492"/>
              <w:adjustRightInd w:val="0"/>
              <w:snapToGrid w:val="0"/>
              <w:spacing w:line="240" w:lineRule="auto"/>
              <w:rPr>
                <w:sz w:val="24"/>
              </w:rPr>
            </w:pPr>
          </w:p>
        </w:tc>
        <w:tc>
          <w:tcPr>
            <w:tcW w:w="1980" w:type="pct"/>
            <w:vMerge w:val="continue"/>
            <w:tcBorders>
              <w:left w:val="single" w:color="auto" w:sz="4" w:space="0"/>
              <w:bottom w:val="single" w:color="auto" w:sz="4" w:space="0"/>
              <w:right w:val="single" w:color="auto" w:sz="4" w:space="0"/>
            </w:tcBorders>
            <w:vAlign w:val="center"/>
          </w:tcPr>
          <w:p w14:paraId="4015A704">
            <w:pPr>
              <w:pStyle w:val="492"/>
              <w:adjustRightInd w:val="0"/>
              <w:snapToGrid w:val="0"/>
              <w:spacing w:line="240" w:lineRule="auto"/>
              <w:rPr>
                <w:sz w:val="24"/>
              </w:rPr>
            </w:pPr>
          </w:p>
        </w:tc>
        <w:tc>
          <w:tcPr>
            <w:tcW w:w="915" w:type="pct"/>
            <w:vMerge w:val="continue"/>
            <w:tcBorders>
              <w:left w:val="single" w:color="auto" w:sz="4" w:space="0"/>
              <w:bottom w:val="single" w:color="auto" w:sz="4" w:space="0"/>
              <w:right w:val="single" w:color="auto" w:sz="4" w:space="0"/>
            </w:tcBorders>
            <w:vAlign w:val="center"/>
          </w:tcPr>
          <w:p w14:paraId="2C7631C9">
            <w:pPr>
              <w:pStyle w:val="492"/>
              <w:adjustRightInd w:val="0"/>
              <w:snapToGrid w:val="0"/>
              <w:spacing w:line="240" w:lineRule="auto"/>
              <w:rPr>
                <w:sz w:val="24"/>
              </w:rPr>
            </w:pPr>
          </w:p>
        </w:tc>
        <w:tc>
          <w:tcPr>
            <w:tcW w:w="1385" w:type="pct"/>
            <w:tcBorders>
              <w:top w:val="single" w:color="auto" w:sz="4" w:space="0"/>
              <w:left w:val="single" w:color="auto" w:sz="4" w:space="0"/>
              <w:bottom w:val="single" w:color="auto" w:sz="4" w:space="0"/>
              <w:right w:val="single" w:color="auto" w:sz="4" w:space="0"/>
            </w:tcBorders>
            <w:vAlign w:val="center"/>
          </w:tcPr>
          <w:p w14:paraId="22560BFF">
            <w:pPr>
              <w:pStyle w:val="492"/>
              <w:adjustRightInd w:val="0"/>
              <w:snapToGrid w:val="0"/>
              <w:spacing w:line="240" w:lineRule="auto"/>
              <w:rPr>
                <w:rFonts w:ascii="Times New Roman" w:hAnsi="仿宋" w:eastAsia="仿宋"/>
                <w:sz w:val="24"/>
              </w:rPr>
            </w:pPr>
            <w:r>
              <w:rPr>
                <w:rFonts w:hint="eastAsia" w:ascii="Times New Roman" w:hAnsi="仿宋" w:eastAsia="仿宋"/>
                <w:sz w:val="24"/>
              </w:rPr>
              <w:t>硫酸</w:t>
            </w:r>
            <w:r>
              <w:rPr>
                <w:rFonts w:ascii="Times New Roman" w:hAnsi="仿宋" w:eastAsia="仿宋"/>
                <w:sz w:val="24"/>
              </w:rPr>
              <w:t>1840</w:t>
            </w:r>
          </w:p>
        </w:tc>
      </w:tr>
      <w:tr w14:paraId="0277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47862AC6">
            <w:pPr>
              <w:pStyle w:val="492"/>
              <w:adjustRightInd w:val="0"/>
              <w:snapToGrid w:val="0"/>
              <w:spacing w:line="240" w:lineRule="auto"/>
              <w:rPr>
                <w:rFonts w:ascii="Times New Roman" w:hAnsi="仿宋" w:eastAsia="仿宋"/>
                <w:sz w:val="24"/>
              </w:rPr>
            </w:pPr>
            <w:r>
              <w:rPr>
                <w:rFonts w:ascii="Times New Roman" w:hAnsi="仿宋" w:eastAsia="仿宋"/>
                <w:sz w:val="24"/>
              </w:rPr>
              <w:t>P</w:t>
            </w:r>
          </w:p>
        </w:tc>
        <w:tc>
          <w:tcPr>
            <w:tcW w:w="1980" w:type="pct"/>
            <w:tcBorders>
              <w:top w:val="single" w:color="auto" w:sz="4" w:space="0"/>
              <w:left w:val="single" w:color="auto" w:sz="4" w:space="0"/>
              <w:bottom w:val="single" w:color="auto" w:sz="4" w:space="0"/>
              <w:right w:val="single" w:color="auto" w:sz="4" w:space="0"/>
            </w:tcBorders>
            <w:vAlign w:val="center"/>
          </w:tcPr>
          <w:p w14:paraId="2B80ED1C">
            <w:pPr>
              <w:pStyle w:val="492"/>
              <w:adjustRightInd w:val="0"/>
              <w:snapToGrid w:val="0"/>
              <w:spacing w:line="240" w:lineRule="auto"/>
              <w:rPr>
                <w:rFonts w:ascii="Times New Roman" w:hAnsi="仿宋" w:eastAsia="仿宋"/>
                <w:sz w:val="24"/>
              </w:rPr>
            </w:pPr>
            <w:r>
              <w:rPr>
                <w:rFonts w:ascii="Times New Roman" w:hAnsi="仿宋" w:eastAsia="仿宋"/>
                <w:sz w:val="24"/>
              </w:rPr>
              <w:t>容器内介质压力</w:t>
            </w:r>
          </w:p>
        </w:tc>
        <w:tc>
          <w:tcPr>
            <w:tcW w:w="915" w:type="pct"/>
            <w:tcBorders>
              <w:top w:val="single" w:color="auto" w:sz="4" w:space="0"/>
              <w:left w:val="single" w:color="auto" w:sz="4" w:space="0"/>
              <w:bottom w:val="single" w:color="auto" w:sz="4" w:space="0"/>
              <w:right w:val="single" w:color="auto" w:sz="4" w:space="0"/>
            </w:tcBorders>
            <w:vAlign w:val="center"/>
          </w:tcPr>
          <w:p w14:paraId="1C25E2F8">
            <w:pPr>
              <w:pStyle w:val="492"/>
              <w:adjustRightInd w:val="0"/>
              <w:snapToGrid w:val="0"/>
              <w:spacing w:line="240" w:lineRule="auto"/>
              <w:rPr>
                <w:rFonts w:ascii="Times New Roman" w:hAnsi="仿宋" w:eastAsia="仿宋"/>
                <w:sz w:val="24"/>
              </w:rPr>
            </w:pPr>
            <w:r>
              <w:rPr>
                <w:rFonts w:ascii="Times New Roman" w:hAnsi="仿宋" w:eastAsia="仿宋"/>
                <w:sz w:val="24"/>
              </w:rPr>
              <w:t>Pa</w:t>
            </w:r>
          </w:p>
        </w:tc>
        <w:tc>
          <w:tcPr>
            <w:tcW w:w="1385" w:type="pct"/>
            <w:tcBorders>
              <w:top w:val="single" w:color="auto" w:sz="4" w:space="0"/>
              <w:left w:val="single" w:color="auto" w:sz="4" w:space="0"/>
              <w:bottom w:val="single" w:color="auto" w:sz="4" w:space="0"/>
              <w:right w:val="single" w:color="auto" w:sz="4" w:space="0"/>
            </w:tcBorders>
            <w:vAlign w:val="center"/>
          </w:tcPr>
          <w:p w14:paraId="092220D1">
            <w:pPr>
              <w:pStyle w:val="492"/>
              <w:adjustRightInd w:val="0"/>
              <w:snapToGrid w:val="0"/>
              <w:spacing w:line="240" w:lineRule="auto"/>
              <w:rPr>
                <w:rFonts w:ascii="Times New Roman" w:hAnsi="仿宋" w:eastAsia="仿宋"/>
                <w:sz w:val="24"/>
              </w:rPr>
            </w:pPr>
            <w:r>
              <w:rPr>
                <w:rFonts w:ascii="Times New Roman" w:hAnsi="仿宋" w:eastAsia="仿宋"/>
                <w:sz w:val="24"/>
              </w:rPr>
              <w:t>101325</w:t>
            </w:r>
          </w:p>
        </w:tc>
      </w:tr>
      <w:tr w14:paraId="1A2F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2F391004">
            <w:pPr>
              <w:pStyle w:val="492"/>
              <w:adjustRightInd w:val="0"/>
              <w:snapToGrid w:val="0"/>
              <w:spacing w:line="240" w:lineRule="auto"/>
              <w:rPr>
                <w:rFonts w:ascii="Times New Roman" w:hAnsi="仿宋" w:eastAsia="仿宋"/>
                <w:sz w:val="24"/>
              </w:rPr>
            </w:pPr>
            <w:r>
              <w:rPr>
                <w:rFonts w:ascii="Times New Roman" w:hAnsi="仿宋" w:eastAsia="仿宋"/>
                <w:sz w:val="24"/>
              </w:rPr>
              <w:t>P0</w:t>
            </w:r>
          </w:p>
        </w:tc>
        <w:tc>
          <w:tcPr>
            <w:tcW w:w="1980" w:type="pct"/>
            <w:tcBorders>
              <w:top w:val="single" w:color="auto" w:sz="4" w:space="0"/>
              <w:left w:val="single" w:color="auto" w:sz="4" w:space="0"/>
              <w:bottom w:val="single" w:color="auto" w:sz="4" w:space="0"/>
              <w:right w:val="single" w:color="auto" w:sz="4" w:space="0"/>
            </w:tcBorders>
            <w:vAlign w:val="center"/>
          </w:tcPr>
          <w:p w14:paraId="2577ED68">
            <w:pPr>
              <w:pStyle w:val="492"/>
              <w:adjustRightInd w:val="0"/>
              <w:snapToGrid w:val="0"/>
              <w:spacing w:line="240" w:lineRule="auto"/>
              <w:rPr>
                <w:rFonts w:ascii="Times New Roman" w:hAnsi="仿宋" w:eastAsia="仿宋"/>
                <w:sz w:val="24"/>
              </w:rPr>
            </w:pPr>
            <w:r>
              <w:rPr>
                <w:rFonts w:ascii="Times New Roman" w:hAnsi="仿宋" w:eastAsia="仿宋"/>
                <w:sz w:val="24"/>
              </w:rPr>
              <w:t>环境压力</w:t>
            </w:r>
          </w:p>
        </w:tc>
        <w:tc>
          <w:tcPr>
            <w:tcW w:w="915" w:type="pct"/>
            <w:tcBorders>
              <w:top w:val="single" w:color="auto" w:sz="4" w:space="0"/>
              <w:left w:val="single" w:color="auto" w:sz="4" w:space="0"/>
              <w:bottom w:val="single" w:color="auto" w:sz="4" w:space="0"/>
              <w:right w:val="single" w:color="auto" w:sz="4" w:space="0"/>
            </w:tcBorders>
            <w:vAlign w:val="center"/>
          </w:tcPr>
          <w:p w14:paraId="5CC9DD17">
            <w:pPr>
              <w:pStyle w:val="492"/>
              <w:adjustRightInd w:val="0"/>
              <w:snapToGrid w:val="0"/>
              <w:spacing w:line="240" w:lineRule="auto"/>
              <w:rPr>
                <w:rFonts w:ascii="Times New Roman" w:hAnsi="仿宋" w:eastAsia="仿宋"/>
                <w:sz w:val="24"/>
              </w:rPr>
            </w:pPr>
            <w:r>
              <w:rPr>
                <w:rFonts w:ascii="Times New Roman" w:hAnsi="仿宋" w:eastAsia="仿宋"/>
                <w:sz w:val="24"/>
              </w:rPr>
              <w:t>Pa</w:t>
            </w:r>
          </w:p>
        </w:tc>
        <w:tc>
          <w:tcPr>
            <w:tcW w:w="1385" w:type="pct"/>
            <w:tcBorders>
              <w:top w:val="single" w:color="auto" w:sz="4" w:space="0"/>
              <w:left w:val="single" w:color="auto" w:sz="4" w:space="0"/>
              <w:bottom w:val="single" w:color="auto" w:sz="4" w:space="0"/>
              <w:right w:val="single" w:color="auto" w:sz="4" w:space="0"/>
            </w:tcBorders>
            <w:vAlign w:val="center"/>
          </w:tcPr>
          <w:p w14:paraId="799BD5A9">
            <w:pPr>
              <w:pStyle w:val="492"/>
              <w:adjustRightInd w:val="0"/>
              <w:snapToGrid w:val="0"/>
              <w:spacing w:line="240" w:lineRule="auto"/>
              <w:rPr>
                <w:rFonts w:ascii="Times New Roman" w:hAnsi="仿宋" w:eastAsia="仿宋"/>
                <w:sz w:val="24"/>
              </w:rPr>
            </w:pPr>
            <w:r>
              <w:rPr>
                <w:rFonts w:ascii="Times New Roman" w:hAnsi="仿宋" w:eastAsia="仿宋"/>
                <w:sz w:val="24"/>
              </w:rPr>
              <w:t>101325</w:t>
            </w:r>
          </w:p>
        </w:tc>
      </w:tr>
      <w:tr w14:paraId="2125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466BC101">
            <w:pPr>
              <w:pStyle w:val="492"/>
              <w:adjustRightInd w:val="0"/>
              <w:snapToGrid w:val="0"/>
              <w:spacing w:line="240" w:lineRule="auto"/>
              <w:rPr>
                <w:rFonts w:ascii="Times New Roman" w:hAnsi="仿宋" w:eastAsia="仿宋"/>
                <w:sz w:val="24"/>
              </w:rPr>
            </w:pPr>
            <w:r>
              <w:rPr>
                <w:rFonts w:ascii="Times New Roman" w:hAnsi="仿宋" w:eastAsia="仿宋"/>
                <w:sz w:val="24"/>
              </w:rPr>
              <w:t>G</w:t>
            </w:r>
          </w:p>
        </w:tc>
        <w:tc>
          <w:tcPr>
            <w:tcW w:w="1980" w:type="pct"/>
            <w:tcBorders>
              <w:top w:val="single" w:color="auto" w:sz="4" w:space="0"/>
              <w:left w:val="single" w:color="auto" w:sz="4" w:space="0"/>
              <w:bottom w:val="single" w:color="auto" w:sz="4" w:space="0"/>
              <w:right w:val="single" w:color="auto" w:sz="4" w:space="0"/>
            </w:tcBorders>
            <w:vAlign w:val="center"/>
          </w:tcPr>
          <w:p w14:paraId="199FC5BB">
            <w:pPr>
              <w:pStyle w:val="492"/>
              <w:adjustRightInd w:val="0"/>
              <w:snapToGrid w:val="0"/>
              <w:spacing w:line="240" w:lineRule="auto"/>
              <w:rPr>
                <w:rFonts w:ascii="Times New Roman" w:hAnsi="仿宋" w:eastAsia="仿宋"/>
                <w:sz w:val="24"/>
              </w:rPr>
            </w:pPr>
            <w:r>
              <w:rPr>
                <w:rFonts w:ascii="Times New Roman" w:hAnsi="仿宋" w:eastAsia="仿宋"/>
                <w:sz w:val="24"/>
              </w:rPr>
              <w:t>重力加速度</w:t>
            </w:r>
          </w:p>
        </w:tc>
        <w:tc>
          <w:tcPr>
            <w:tcW w:w="915" w:type="pct"/>
            <w:tcBorders>
              <w:top w:val="single" w:color="auto" w:sz="4" w:space="0"/>
              <w:left w:val="single" w:color="auto" w:sz="4" w:space="0"/>
              <w:bottom w:val="single" w:color="auto" w:sz="4" w:space="0"/>
              <w:right w:val="single" w:color="auto" w:sz="4" w:space="0"/>
            </w:tcBorders>
            <w:vAlign w:val="center"/>
          </w:tcPr>
          <w:p w14:paraId="3D24E5C8">
            <w:pPr>
              <w:pStyle w:val="492"/>
              <w:adjustRightInd w:val="0"/>
              <w:snapToGrid w:val="0"/>
              <w:spacing w:line="240" w:lineRule="auto"/>
              <w:rPr>
                <w:rFonts w:ascii="Times New Roman" w:hAnsi="仿宋" w:eastAsia="仿宋"/>
                <w:sz w:val="24"/>
              </w:rPr>
            </w:pPr>
            <w:r>
              <w:rPr>
                <w:rFonts w:ascii="Times New Roman" w:hAnsi="仿宋" w:eastAsia="仿宋"/>
                <w:sz w:val="24"/>
              </w:rPr>
              <w:t>m/s</w:t>
            </w:r>
            <w:r>
              <w:rPr>
                <w:rFonts w:ascii="Times New Roman" w:hAnsi="仿宋" w:eastAsia="仿宋"/>
                <w:sz w:val="24"/>
                <w:vertAlign w:val="superscript"/>
              </w:rPr>
              <w:t>2</w:t>
            </w:r>
          </w:p>
        </w:tc>
        <w:tc>
          <w:tcPr>
            <w:tcW w:w="1385" w:type="pct"/>
            <w:tcBorders>
              <w:top w:val="single" w:color="auto" w:sz="4" w:space="0"/>
              <w:left w:val="single" w:color="auto" w:sz="4" w:space="0"/>
              <w:bottom w:val="single" w:color="auto" w:sz="4" w:space="0"/>
              <w:right w:val="single" w:color="auto" w:sz="4" w:space="0"/>
            </w:tcBorders>
            <w:vAlign w:val="center"/>
          </w:tcPr>
          <w:p w14:paraId="2D6D6104">
            <w:pPr>
              <w:pStyle w:val="492"/>
              <w:adjustRightInd w:val="0"/>
              <w:snapToGrid w:val="0"/>
              <w:spacing w:line="240" w:lineRule="auto"/>
              <w:rPr>
                <w:rFonts w:ascii="Times New Roman" w:hAnsi="仿宋" w:eastAsia="仿宋"/>
                <w:sz w:val="24"/>
              </w:rPr>
            </w:pPr>
            <w:r>
              <w:rPr>
                <w:rFonts w:ascii="Times New Roman" w:hAnsi="仿宋" w:eastAsia="仿宋"/>
                <w:sz w:val="24"/>
              </w:rPr>
              <w:t>9.8</w:t>
            </w:r>
          </w:p>
        </w:tc>
      </w:tr>
      <w:tr w14:paraId="590C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040BDA19">
            <w:pPr>
              <w:pStyle w:val="492"/>
              <w:adjustRightInd w:val="0"/>
              <w:snapToGrid w:val="0"/>
              <w:spacing w:line="240" w:lineRule="auto"/>
              <w:rPr>
                <w:rFonts w:ascii="Times New Roman" w:hAnsi="仿宋" w:eastAsia="仿宋"/>
                <w:sz w:val="24"/>
              </w:rPr>
            </w:pPr>
            <w:r>
              <w:rPr>
                <w:rFonts w:ascii="Times New Roman" w:hAnsi="仿宋" w:eastAsia="仿宋"/>
                <w:sz w:val="24"/>
              </w:rPr>
              <w:t>H</w:t>
            </w:r>
          </w:p>
        </w:tc>
        <w:tc>
          <w:tcPr>
            <w:tcW w:w="1980" w:type="pct"/>
            <w:tcBorders>
              <w:top w:val="single" w:color="auto" w:sz="4" w:space="0"/>
              <w:left w:val="single" w:color="auto" w:sz="4" w:space="0"/>
              <w:bottom w:val="single" w:color="auto" w:sz="4" w:space="0"/>
              <w:right w:val="single" w:color="auto" w:sz="4" w:space="0"/>
            </w:tcBorders>
            <w:vAlign w:val="center"/>
          </w:tcPr>
          <w:p w14:paraId="46C99973">
            <w:pPr>
              <w:pStyle w:val="492"/>
              <w:adjustRightInd w:val="0"/>
              <w:snapToGrid w:val="0"/>
              <w:spacing w:line="240" w:lineRule="auto"/>
              <w:rPr>
                <w:rFonts w:ascii="Times New Roman" w:hAnsi="仿宋" w:eastAsia="仿宋"/>
                <w:sz w:val="24"/>
              </w:rPr>
            </w:pPr>
            <w:r>
              <w:rPr>
                <w:rFonts w:ascii="Times New Roman" w:hAnsi="仿宋" w:eastAsia="仿宋"/>
                <w:sz w:val="24"/>
              </w:rPr>
              <w:t>裂口之上液位高度</w:t>
            </w:r>
          </w:p>
        </w:tc>
        <w:tc>
          <w:tcPr>
            <w:tcW w:w="915" w:type="pct"/>
            <w:tcBorders>
              <w:top w:val="single" w:color="auto" w:sz="4" w:space="0"/>
              <w:left w:val="single" w:color="auto" w:sz="4" w:space="0"/>
              <w:bottom w:val="single" w:color="auto" w:sz="4" w:space="0"/>
              <w:right w:val="single" w:color="auto" w:sz="4" w:space="0"/>
            </w:tcBorders>
            <w:vAlign w:val="center"/>
          </w:tcPr>
          <w:p w14:paraId="18E3EDBE">
            <w:pPr>
              <w:pStyle w:val="492"/>
              <w:adjustRightInd w:val="0"/>
              <w:snapToGrid w:val="0"/>
              <w:spacing w:line="240" w:lineRule="auto"/>
              <w:rPr>
                <w:rFonts w:ascii="Times New Roman" w:hAnsi="仿宋" w:eastAsia="仿宋"/>
                <w:sz w:val="24"/>
              </w:rPr>
            </w:pPr>
            <w:r>
              <w:rPr>
                <w:rFonts w:ascii="Times New Roman" w:hAnsi="仿宋" w:eastAsia="仿宋"/>
                <w:sz w:val="24"/>
              </w:rPr>
              <w:t>m</w:t>
            </w:r>
          </w:p>
        </w:tc>
        <w:tc>
          <w:tcPr>
            <w:tcW w:w="1385" w:type="pct"/>
            <w:tcBorders>
              <w:top w:val="single" w:color="auto" w:sz="4" w:space="0"/>
              <w:left w:val="single" w:color="auto" w:sz="4" w:space="0"/>
              <w:bottom w:val="single" w:color="auto" w:sz="4" w:space="0"/>
              <w:right w:val="single" w:color="auto" w:sz="4" w:space="0"/>
            </w:tcBorders>
            <w:vAlign w:val="center"/>
          </w:tcPr>
          <w:p w14:paraId="112A971D">
            <w:pPr>
              <w:pStyle w:val="492"/>
              <w:adjustRightInd w:val="0"/>
              <w:snapToGrid w:val="0"/>
              <w:spacing w:line="240" w:lineRule="auto"/>
              <w:rPr>
                <w:rFonts w:ascii="Times New Roman" w:hAnsi="仿宋" w:eastAsia="仿宋"/>
                <w:sz w:val="24"/>
              </w:rPr>
            </w:pPr>
            <w:r>
              <w:rPr>
                <w:rFonts w:ascii="Times New Roman" w:hAnsi="仿宋" w:eastAsia="仿宋"/>
                <w:sz w:val="24"/>
              </w:rPr>
              <w:t>0.5</w:t>
            </w:r>
          </w:p>
        </w:tc>
      </w:tr>
      <w:tr w14:paraId="3ECF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0116A5B2">
            <w:pPr>
              <w:pStyle w:val="492"/>
              <w:adjustRightInd w:val="0"/>
              <w:snapToGrid w:val="0"/>
              <w:spacing w:line="240" w:lineRule="auto"/>
              <w:rPr>
                <w:rFonts w:ascii="Times New Roman" w:hAnsi="仿宋" w:eastAsia="仿宋"/>
                <w:sz w:val="24"/>
              </w:rPr>
            </w:pPr>
            <w:r>
              <w:rPr>
                <w:rFonts w:ascii="Times New Roman" w:hAnsi="仿宋" w:eastAsia="仿宋"/>
                <w:sz w:val="24"/>
              </w:rPr>
              <w:t>T</w:t>
            </w:r>
          </w:p>
        </w:tc>
        <w:tc>
          <w:tcPr>
            <w:tcW w:w="1980" w:type="pct"/>
            <w:tcBorders>
              <w:top w:val="single" w:color="auto" w:sz="4" w:space="0"/>
              <w:left w:val="single" w:color="auto" w:sz="4" w:space="0"/>
              <w:bottom w:val="single" w:color="auto" w:sz="4" w:space="0"/>
              <w:right w:val="single" w:color="auto" w:sz="4" w:space="0"/>
            </w:tcBorders>
            <w:vAlign w:val="center"/>
          </w:tcPr>
          <w:p w14:paraId="361E246E">
            <w:pPr>
              <w:pStyle w:val="492"/>
              <w:adjustRightInd w:val="0"/>
              <w:snapToGrid w:val="0"/>
              <w:spacing w:line="240" w:lineRule="auto"/>
              <w:rPr>
                <w:rFonts w:ascii="Times New Roman" w:hAnsi="仿宋" w:eastAsia="仿宋"/>
                <w:sz w:val="24"/>
              </w:rPr>
            </w:pPr>
            <w:r>
              <w:rPr>
                <w:rFonts w:ascii="Times New Roman" w:hAnsi="仿宋" w:eastAsia="仿宋"/>
                <w:sz w:val="24"/>
              </w:rPr>
              <w:t>泄漏时间</w:t>
            </w:r>
          </w:p>
        </w:tc>
        <w:tc>
          <w:tcPr>
            <w:tcW w:w="915" w:type="pct"/>
            <w:tcBorders>
              <w:top w:val="single" w:color="auto" w:sz="4" w:space="0"/>
              <w:left w:val="single" w:color="auto" w:sz="4" w:space="0"/>
              <w:bottom w:val="single" w:color="auto" w:sz="4" w:space="0"/>
              <w:right w:val="single" w:color="auto" w:sz="4" w:space="0"/>
            </w:tcBorders>
            <w:vAlign w:val="center"/>
          </w:tcPr>
          <w:p w14:paraId="4D94EE43">
            <w:pPr>
              <w:pStyle w:val="492"/>
              <w:adjustRightInd w:val="0"/>
              <w:snapToGrid w:val="0"/>
              <w:spacing w:line="240" w:lineRule="auto"/>
              <w:rPr>
                <w:rFonts w:ascii="Times New Roman" w:hAnsi="仿宋" w:eastAsia="仿宋"/>
                <w:sz w:val="24"/>
              </w:rPr>
            </w:pPr>
            <w:r>
              <w:rPr>
                <w:rFonts w:ascii="Times New Roman" w:hAnsi="仿宋" w:eastAsia="仿宋"/>
                <w:sz w:val="24"/>
              </w:rPr>
              <w:t>s</w:t>
            </w:r>
          </w:p>
        </w:tc>
        <w:tc>
          <w:tcPr>
            <w:tcW w:w="1385" w:type="pct"/>
            <w:tcBorders>
              <w:top w:val="single" w:color="auto" w:sz="4" w:space="0"/>
              <w:left w:val="single" w:color="auto" w:sz="4" w:space="0"/>
              <w:bottom w:val="single" w:color="auto" w:sz="4" w:space="0"/>
              <w:right w:val="single" w:color="auto" w:sz="4" w:space="0"/>
            </w:tcBorders>
            <w:vAlign w:val="center"/>
          </w:tcPr>
          <w:p w14:paraId="26970610">
            <w:pPr>
              <w:pStyle w:val="492"/>
              <w:adjustRightInd w:val="0"/>
              <w:snapToGrid w:val="0"/>
              <w:spacing w:line="240" w:lineRule="auto"/>
              <w:rPr>
                <w:rFonts w:ascii="Times New Roman" w:hAnsi="仿宋" w:eastAsia="仿宋"/>
                <w:sz w:val="24"/>
              </w:rPr>
            </w:pPr>
            <w:r>
              <w:rPr>
                <w:rFonts w:ascii="Times New Roman" w:hAnsi="仿宋" w:eastAsia="仿宋"/>
                <w:sz w:val="24"/>
              </w:rPr>
              <w:t>600</w:t>
            </w:r>
          </w:p>
        </w:tc>
      </w:tr>
      <w:tr w14:paraId="0AA1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6BE74F8">
            <w:pPr>
              <w:pStyle w:val="492"/>
              <w:adjustRightInd w:val="0"/>
              <w:snapToGrid w:val="0"/>
              <w:spacing w:line="240" w:lineRule="auto"/>
              <w:rPr>
                <w:rFonts w:ascii="Times New Roman" w:hAnsi="仿宋" w:eastAsia="仿宋"/>
                <w:sz w:val="24"/>
              </w:rPr>
            </w:pPr>
            <w:r>
              <w:rPr>
                <w:rFonts w:ascii="Times New Roman" w:hAnsi="仿宋" w:eastAsia="仿宋"/>
                <w:sz w:val="24"/>
              </w:rPr>
              <w:t>计算结果</w:t>
            </w:r>
          </w:p>
        </w:tc>
      </w:tr>
      <w:tr w14:paraId="7BA4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20" w:type="pct"/>
            <w:vMerge w:val="restart"/>
            <w:tcBorders>
              <w:top w:val="single" w:color="auto" w:sz="4" w:space="0"/>
              <w:left w:val="single" w:color="auto" w:sz="4" w:space="0"/>
              <w:right w:val="single" w:color="auto" w:sz="4" w:space="0"/>
            </w:tcBorders>
            <w:vAlign w:val="center"/>
          </w:tcPr>
          <w:p w14:paraId="41C8D93F">
            <w:pPr>
              <w:pStyle w:val="492"/>
              <w:adjustRightInd w:val="0"/>
              <w:snapToGrid w:val="0"/>
              <w:spacing w:line="240" w:lineRule="auto"/>
              <w:rPr>
                <w:rFonts w:ascii="Times New Roman" w:hAnsi="仿宋" w:eastAsia="仿宋"/>
                <w:sz w:val="24"/>
              </w:rPr>
            </w:pPr>
            <w:r>
              <w:rPr>
                <w:rFonts w:ascii="Times New Roman" w:hAnsi="仿宋" w:eastAsia="仿宋"/>
                <w:sz w:val="24"/>
              </w:rPr>
              <w:t>Q</w:t>
            </w:r>
            <w:r>
              <w:rPr>
                <w:rFonts w:ascii="Times New Roman" w:hAnsi="仿宋" w:eastAsia="仿宋"/>
                <w:sz w:val="24"/>
                <w:vertAlign w:val="subscript"/>
              </w:rPr>
              <w:t>L</w:t>
            </w:r>
          </w:p>
        </w:tc>
        <w:tc>
          <w:tcPr>
            <w:tcW w:w="1980" w:type="pct"/>
            <w:vMerge w:val="restart"/>
            <w:tcBorders>
              <w:top w:val="single" w:color="auto" w:sz="4" w:space="0"/>
              <w:left w:val="single" w:color="auto" w:sz="4" w:space="0"/>
              <w:right w:val="single" w:color="auto" w:sz="4" w:space="0"/>
            </w:tcBorders>
            <w:vAlign w:val="center"/>
          </w:tcPr>
          <w:p w14:paraId="7AC61A4F">
            <w:pPr>
              <w:pStyle w:val="492"/>
              <w:adjustRightInd w:val="0"/>
              <w:snapToGrid w:val="0"/>
              <w:spacing w:line="240" w:lineRule="auto"/>
              <w:rPr>
                <w:rFonts w:ascii="Times New Roman" w:hAnsi="仿宋" w:eastAsia="仿宋"/>
                <w:sz w:val="24"/>
              </w:rPr>
            </w:pPr>
            <w:r>
              <w:rPr>
                <w:rFonts w:ascii="Times New Roman" w:hAnsi="仿宋" w:eastAsia="仿宋"/>
                <w:sz w:val="24"/>
              </w:rPr>
              <w:t>液体泄漏速度</w:t>
            </w:r>
          </w:p>
        </w:tc>
        <w:tc>
          <w:tcPr>
            <w:tcW w:w="915" w:type="pct"/>
            <w:vMerge w:val="restart"/>
            <w:tcBorders>
              <w:top w:val="single" w:color="auto" w:sz="4" w:space="0"/>
              <w:left w:val="single" w:color="auto" w:sz="4" w:space="0"/>
              <w:right w:val="single" w:color="auto" w:sz="4" w:space="0"/>
            </w:tcBorders>
            <w:vAlign w:val="center"/>
          </w:tcPr>
          <w:p w14:paraId="21FA3F4E">
            <w:pPr>
              <w:pStyle w:val="492"/>
              <w:adjustRightInd w:val="0"/>
              <w:snapToGrid w:val="0"/>
              <w:spacing w:line="240" w:lineRule="auto"/>
              <w:rPr>
                <w:rFonts w:ascii="Times New Roman" w:hAnsi="仿宋" w:eastAsia="仿宋"/>
                <w:sz w:val="24"/>
              </w:rPr>
            </w:pPr>
            <w:r>
              <w:rPr>
                <w:rFonts w:ascii="Times New Roman" w:hAnsi="仿宋" w:eastAsia="仿宋"/>
                <w:sz w:val="24"/>
              </w:rPr>
              <w:t>kg/s</w:t>
            </w:r>
          </w:p>
        </w:tc>
        <w:tc>
          <w:tcPr>
            <w:tcW w:w="1385" w:type="pct"/>
            <w:tcBorders>
              <w:top w:val="single" w:color="auto" w:sz="4" w:space="0"/>
              <w:left w:val="single" w:color="auto" w:sz="4" w:space="0"/>
              <w:bottom w:val="single" w:color="auto" w:sz="4" w:space="0"/>
              <w:right w:val="single" w:color="auto" w:sz="4" w:space="0"/>
            </w:tcBorders>
            <w:vAlign w:val="center"/>
          </w:tcPr>
          <w:p w14:paraId="1BBCAC7A">
            <w:pPr>
              <w:pStyle w:val="492"/>
              <w:adjustRightInd w:val="0"/>
              <w:snapToGrid w:val="0"/>
              <w:spacing w:line="240" w:lineRule="auto"/>
              <w:rPr>
                <w:rFonts w:ascii="Times New Roman" w:hAnsi="仿宋" w:eastAsia="仿宋"/>
                <w:sz w:val="24"/>
              </w:rPr>
            </w:pPr>
            <w:r>
              <w:rPr>
                <w:rFonts w:hint="eastAsia" w:ascii="Times New Roman" w:hAnsi="仿宋" w:eastAsia="仿宋"/>
                <w:sz w:val="24"/>
              </w:rPr>
              <w:t>二甲苯3</w:t>
            </w:r>
            <w:r>
              <w:rPr>
                <w:rFonts w:ascii="Times New Roman" w:hAnsi="仿宋" w:eastAsia="仿宋"/>
                <w:sz w:val="24"/>
              </w:rPr>
              <w:t>.42</w:t>
            </w:r>
          </w:p>
        </w:tc>
      </w:tr>
      <w:tr w14:paraId="59F8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20" w:type="pct"/>
            <w:vMerge w:val="continue"/>
            <w:tcBorders>
              <w:left w:val="single" w:color="auto" w:sz="4" w:space="0"/>
              <w:bottom w:val="single" w:color="auto" w:sz="4" w:space="0"/>
              <w:right w:val="single" w:color="auto" w:sz="4" w:space="0"/>
            </w:tcBorders>
            <w:vAlign w:val="center"/>
          </w:tcPr>
          <w:p w14:paraId="2EBFEDF0">
            <w:pPr>
              <w:pStyle w:val="492"/>
              <w:adjustRightInd w:val="0"/>
              <w:snapToGrid w:val="0"/>
              <w:spacing w:line="240" w:lineRule="auto"/>
              <w:rPr>
                <w:sz w:val="24"/>
              </w:rPr>
            </w:pPr>
          </w:p>
        </w:tc>
        <w:tc>
          <w:tcPr>
            <w:tcW w:w="1980" w:type="pct"/>
            <w:vMerge w:val="continue"/>
            <w:tcBorders>
              <w:left w:val="single" w:color="auto" w:sz="4" w:space="0"/>
              <w:bottom w:val="single" w:color="auto" w:sz="4" w:space="0"/>
              <w:right w:val="single" w:color="auto" w:sz="4" w:space="0"/>
            </w:tcBorders>
            <w:vAlign w:val="center"/>
          </w:tcPr>
          <w:p w14:paraId="4123205E">
            <w:pPr>
              <w:pStyle w:val="492"/>
              <w:adjustRightInd w:val="0"/>
              <w:snapToGrid w:val="0"/>
              <w:spacing w:line="240" w:lineRule="auto"/>
              <w:rPr>
                <w:sz w:val="24"/>
              </w:rPr>
            </w:pPr>
          </w:p>
        </w:tc>
        <w:tc>
          <w:tcPr>
            <w:tcW w:w="915" w:type="pct"/>
            <w:vMerge w:val="continue"/>
            <w:tcBorders>
              <w:left w:val="single" w:color="auto" w:sz="4" w:space="0"/>
              <w:bottom w:val="single" w:color="auto" w:sz="4" w:space="0"/>
              <w:right w:val="single" w:color="auto" w:sz="4" w:space="0"/>
            </w:tcBorders>
            <w:vAlign w:val="center"/>
          </w:tcPr>
          <w:p w14:paraId="68803F98">
            <w:pPr>
              <w:pStyle w:val="492"/>
              <w:adjustRightInd w:val="0"/>
              <w:snapToGrid w:val="0"/>
              <w:spacing w:line="240" w:lineRule="auto"/>
              <w:rPr>
                <w:sz w:val="24"/>
              </w:rPr>
            </w:pPr>
          </w:p>
        </w:tc>
        <w:tc>
          <w:tcPr>
            <w:tcW w:w="1385" w:type="pct"/>
            <w:tcBorders>
              <w:top w:val="single" w:color="auto" w:sz="4" w:space="0"/>
              <w:left w:val="single" w:color="auto" w:sz="4" w:space="0"/>
              <w:bottom w:val="single" w:color="auto" w:sz="4" w:space="0"/>
              <w:right w:val="single" w:color="auto" w:sz="4" w:space="0"/>
            </w:tcBorders>
            <w:vAlign w:val="center"/>
          </w:tcPr>
          <w:p w14:paraId="7924DDFA">
            <w:pPr>
              <w:pStyle w:val="492"/>
              <w:adjustRightInd w:val="0"/>
              <w:snapToGrid w:val="0"/>
              <w:spacing w:line="240" w:lineRule="auto"/>
              <w:rPr>
                <w:rFonts w:ascii="Times New Roman" w:hAnsi="仿宋" w:eastAsia="仿宋"/>
                <w:sz w:val="24"/>
              </w:rPr>
            </w:pPr>
            <w:r>
              <w:rPr>
                <w:rFonts w:hint="eastAsia" w:ascii="Times New Roman" w:hAnsi="仿宋" w:eastAsia="仿宋"/>
                <w:sz w:val="24"/>
              </w:rPr>
              <w:t>硫酸7</w:t>
            </w:r>
            <w:r>
              <w:rPr>
                <w:rFonts w:ascii="Times New Roman" w:hAnsi="仿宋" w:eastAsia="仿宋"/>
                <w:sz w:val="24"/>
              </w:rPr>
              <w:t>.14</w:t>
            </w:r>
          </w:p>
        </w:tc>
      </w:tr>
    </w:tbl>
    <w:p w14:paraId="5D34F00E">
      <w:pPr>
        <w:adjustRightInd w:val="0"/>
        <w:snapToGrid w:val="0"/>
        <w:spacing w:line="500" w:lineRule="exact"/>
        <w:ind w:firstLine="560"/>
        <w:rPr>
          <w:rFonts w:ascii="Times New Roman" w:eastAsia="仿宋"/>
          <w:sz w:val="28"/>
          <w:szCs w:val="28"/>
        </w:rPr>
      </w:pPr>
      <w:r>
        <w:rPr>
          <w:rFonts w:ascii="Times New Roman" w:eastAsia="仿宋"/>
          <w:sz w:val="28"/>
          <w:szCs w:val="28"/>
        </w:rPr>
        <w:t>泄漏液体蒸发速率计算方法如下：</w:t>
      </w:r>
    </w:p>
    <w:p w14:paraId="55FA5D8F">
      <w:pPr>
        <w:adjustRightInd w:val="0"/>
        <w:snapToGrid w:val="0"/>
        <w:spacing w:line="500" w:lineRule="exact"/>
        <w:ind w:firstLine="560"/>
        <w:rPr>
          <w:rFonts w:ascii="Times New Roman" w:eastAsia="仿宋"/>
          <w:sz w:val="28"/>
          <w:szCs w:val="28"/>
        </w:rPr>
      </w:pPr>
      <w:r>
        <w:rPr>
          <w:rFonts w:ascii="Times New Roman" w:eastAsia="仿宋"/>
          <w:sz w:val="28"/>
          <w:szCs w:val="28"/>
        </w:rPr>
        <w:t>（1）闪蒸蒸发估算</w:t>
      </w:r>
    </w:p>
    <w:p w14:paraId="3A9FB53E">
      <w:pPr>
        <w:adjustRightInd w:val="0"/>
        <w:snapToGrid w:val="0"/>
        <w:spacing w:line="500" w:lineRule="exact"/>
        <w:ind w:firstLine="560"/>
        <w:rPr>
          <w:rFonts w:ascii="Times New Roman" w:eastAsia="仿宋"/>
          <w:sz w:val="28"/>
          <w:szCs w:val="28"/>
        </w:rPr>
      </w:pPr>
      <w:r>
        <w:rPr>
          <w:rFonts w:ascii="Times New Roman" w:eastAsia="仿宋"/>
          <w:sz w:val="28"/>
          <w:szCs w:val="28"/>
        </w:rPr>
        <w:t>液体中闪蒸部分：</w:t>
      </w:r>
    </w:p>
    <w:p w14:paraId="0B227B46">
      <w:pPr>
        <w:adjustRightInd w:val="0"/>
        <w:snapToGrid w:val="0"/>
        <w:jc w:val="center"/>
        <w:textAlignment w:val="baseline"/>
        <w:rPr>
          <w:rFonts w:ascii="Times New Roman" w:eastAsia="仿宋"/>
          <w:sz w:val="28"/>
          <w:szCs w:val="28"/>
        </w:rPr>
      </w:pPr>
      <w:r>
        <w:rPr>
          <w:rFonts w:ascii="Times New Roman" w:eastAsia="仿宋"/>
          <w:sz w:val="28"/>
          <w:szCs w:val="28"/>
        </w:rPr>
        <w:drawing>
          <wp:inline distT="0" distB="0" distL="0" distR="0">
            <wp:extent cx="1478915" cy="604520"/>
            <wp:effectExtent l="0" t="0" r="0" b="0"/>
            <wp:docPr id="60" name="图片 74"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4" descr="wps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478915" cy="604520"/>
                    </a:xfrm>
                    <a:prstGeom prst="rect">
                      <a:avLst/>
                    </a:prstGeom>
                    <a:noFill/>
                    <a:ln>
                      <a:noFill/>
                    </a:ln>
                  </pic:spPr>
                </pic:pic>
              </a:graphicData>
            </a:graphic>
          </wp:inline>
        </w:drawing>
      </w:r>
    </w:p>
    <w:p w14:paraId="734CBF11">
      <w:pPr>
        <w:adjustRightInd w:val="0"/>
        <w:snapToGrid w:val="0"/>
        <w:spacing w:line="500" w:lineRule="exact"/>
        <w:ind w:firstLine="560"/>
        <w:rPr>
          <w:rFonts w:ascii="Times New Roman" w:eastAsia="仿宋"/>
          <w:sz w:val="28"/>
          <w:szCs w:val="28"/>
        </w:rPr>
      </w:pPr>
      <w:r>
        <w:rPr>
          <w:rFonts w:ascii="Times New Roman" w:eastAsia="仿宋"/>
          <w:sz w:val="28"/>
          <w:szCs w:val="28"/>
        </w:rPr>
        <w:t>过热液体闪蒸蒸发速率可按下式估算：</w:t>
      </w:r>
    </w:p>
    <w:p w14:paraId="0E3A4E5F">
      <w:pPr>
        <w:adjustRightInd w:val="0"/>
        <w:snapToGrid w:val="0"/>
        <w:jc w:val="center"/>
        <w:textAlignment w:val="baseline"/>
        <w:rPr>
          <w:rFonts w:ascii="Times New Roman" w:eastAsia="仿宋"/>
          <w:sz w:val="28"/>
          <w:szCs w:val="28"/>
        </w:rPr>
      </w:pPr>
      <w:r>
        <w:rPr>
          <w:rFonts w:ascii="Times New Roman" w:eastAsia="仿宋"/>
          <w:sz w:val="28"/>
          <w:szCs w:val="28"/>
        </w:rPr>
        <w:drawing>
          <wp:inline distT="0" distB="0" distL="0" distR="0">
            <wp:extent cx="1304290" cy="397510"/>
            <wp:effectExtent l="0" t="0" r="0" b="0"/>
            <wp:docPr id="61" name="图片 75"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5" descr="wps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304290" cy="397510"/>
                    </a:xfrm>
                    <a:prstGeom prst="rect">
                      <a:avLst/>
                    </a:prstGeom>
                    <a:noFill/>
                    <a:ln>
                      <a:noFill/>
                    </a:ln>
                  </pic:spPr>
                </pic:pic>
              </a:graphicData>
            </a:graphic>
          </wp:inline>
        </w:drawing>
      </w:r>
    </w:p>
    <w:p w14:paraId="668D8528">
      <w:pPr>
        <w:adjustRightInd w:val="0"/>
        <w:snapToGrid w:val="0"/>
        <w:spacing w:line="500" w:lineRule="exact"/>
        <w:ind w:firstLine="560"/>
        <w:rPr>
          <w:rFonts w:ascii="Times New Roman" w:eastAsia="仿宋"/>
          <w:sz w:val="28"/>
          <w:szCs w:val="28"/>
        </w:rPr>
      </w:pPr>
      <w:r>
        <w:rPr>
          <w:rFonts w:ascii="Times New Roman" w:eastAsia="仿宋"/>
          <w:sz w:val="28"/>
          <w:szCs w:val="28"/>
        </w:rPr>
        <w:t>式中：F</w:t>
      </w:r>
      <w:r>
        <w:rPr>
          <w:rFonts w:ascii="Times New Roman" w:eastAsia="仿宋"/>
          <w:sz w:val="28"/>
          <w:szCs w:val="28"/>
          <w:vertAlign w:val="subscript"/>
        </w:rPr>
        <w:t>V</w:t>
      </w:r>
      <w:r>
        <w:rPr>
          <w:rFonts w:ascii="Times New Roman" w:eastAsia="仿宋"/>
          <w:sz w:val="28"/>
          <w:szCs w:val="28"/>
        </w:rPr>
        <w:t>—泄漏液体的闪蒸比例；</w:t>
      </w:r>
    </w:p>
    <w:p w14:paraId="288B6F71">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w:t>
      </w:r>
      <w:r>
        <w:rPr>
          <w:rFonts w:ascii="Times New Roman" w:eastAsia="仿宋"/>
          <w:sz w:val="28"/>
          <w:szCs w:val="28"/>
          <w:vertAlign w:val="subscript"/>
        </w:rPr>
        <w:t>T</w:t>
      </w:r>
      <w:r>
        <w:rPr>
          <w:rFonts w:ascii="Times New Roman" w:eastAsia="仿宋"/>
          <w:sz w:val="28"/>
          <w:szCs w:val="28"/>
        </w:rPr>
        <w:t>—储存温度，K；</w:t>
      </w:r>
    </w:p>
    <w:p w14:paraId="4456CAF3">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w:t>
      </w:r>
      <w:r>
        <w:rPr>
          <w:rFonts w:ascii="Times New Roman" w:eastAsia="仿宋"/>
          <w:sz w:val="28"/>
          <w:szCs w:val="28"/>
          <w:vertAlign w:val="subscript"/>
        </w:rPr>
        <w:t>b</w:t>
      </w:r>
      <w:r>
        <w:rPr>
          <w:rFonts w:ascii="Times New Roman" w:eastAsia="仿宋"/>
          <w:sz w:val="28"/>
          <w:szCs w:val="28"/>
        </w:rPr>
        <w:t>—泄漏液体的沸点，K；</w:t>
      </w:r>
    </w:p>
    <w:p w14:paraId="1916A6F7">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Hv—泄漏液体的蒸发热，J/kg；</w:t>
      </w:r>
    </w:p>
    <w:p w14:paraId="602CE2A4">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Cp—泄漏液体的定压比热容，J/（kg·K）；</w:t>
      </w:r>
    </w:p>
    <w:p w14:paraId="70BBE150">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Q1—过热液体闪蒸蒸发速率，kg/s；</w:t>
      </w:r>
    </w:p>
    <w:p w14:paraId="077476D2">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QL—物质泄漏速率，kg/s；</w:t>
      </w:r>
    </w:p>
    <w:p w14:paraId="6A0E423A">
      <w:pPr>
        <w:adjustRightInd w:val="0"/>
        <w:snapToGrid w:val="0"/>
        <w:spacing w:line="500" w:lineRule="exact"/>
        <w:ind w:firstLine="560"/>
        <w:rPr>
          <w:rFonts w:ascii="Times New Roman" w:eastAsia="仿宋"/>
          <w:sz w:val="28"/>
          <w:szCs w:val="28"/>
        </w:rPr>
      </w:pPr>
      <w:r>
        <w:rPr>
          <w:rFonts w:ascii="Times New Roman" w:eastAsia="仿宋"/>
          <w:sz w:val="28"/>
          <w:szCs w:val="28"/>
        </w:rPr>
        <w:t>（2）热量蒸发估算</w:t>
      </w:r>
    </w:p>
    <w:p w14:paraId="7A6275DA">
      <w:pPr>
        <w:adjustRightInd w:val="0"/>
        <w:snapToGrid w:val="0"/>
        <w:jc w:val="center"/>
        <w:textAlignment w:val="baseline"/>
        <w:rPr>
          <w:rFonts w:ascii="Times New Roman" w:eastAsia="仿宋"/>
          <w:sz w:val="28"/>
          <w:szCs w:val="28"/>
        </w:rPr>
      </w:pPr>
      <w:r>
        <w:rPr>
          <w:rFonts w:ascii="Times New Roman" w:eastAsia="仿宋"/>
          <w:sz w:val="28"/>
          <w:szCs w:val="28"/>
        </w:rPr>
        <w:drawing>
          <wp:inline distT="0" distB="0" distL="0" distR="0">
            <wp:extent cx="1939925" cy="683895"/>
            <wp:effectExtent l="0" t="0" r="0" b="0"/>
            <wp:docPr id="62" name="图片 7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6" descr="wps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939925" cy="683895"/>
                    </a:xfrm>
                    <a:prstGeom prst="rect">
                      <a:avLst/>
                    </a:prstGeom>
                    <a:noFill/>
                    <a:ln>
                      <a:noFill/>
                    </a:ln>
                  </pic:spPr>
                </pic:pic>
              </a:graphicData>
            </a:graphic>
          </wp:inline>
        </w:drawing>
      </w:r>
    </w:p>
    <w:p w14:paraId="3F7BAC3C">
      <w:pPr>
        <w:adjustRightInd w:val="0"/>
        <w:snapToGrid w:val="0"/>
        <w:spacing w:line="500" w:lineRule="exact"/>
        <w:ind w:firstLine="560"/>
        <w:rPr>
          <w:rFonts w:ascii="Times New Roman" w:eastAsia="仿宋"/>
          <w:sz w:val="28"/>
          <w:szCs w:val="28"/>
        </w:rPr>
      </w:pPr>
      <w:r>
        <w:rPr>
          <w:rFonts w:ascii="Times New Roman" w:eastAsia="仿宋"/>
          <w:sz w:val="28"/>
          <w:szCs w:val="28"/>
        </w:rPr>
        <w:t>式中：Q2—热量蒸发速率，kg/s；</w:t>
      </w:r>
    </w:p>
    <w:p w14:paraId="35C73176">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T0—环境温度，K；</w:t>
      </w:r>
    </w:p>
    <w:p w14:paraId="058427E3">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Tb—泄漏液体的沸点，K；</w:t>
      </w:r>
    </w:p>
    <w:p w14:paraId="23DCB502">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H—液体的汽化热，J/kg；</w:t>
      </w:r>
    </w:p>
    <w:p w14:paraId="59BAE27C">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t—蒸发时间，s；</w:t>
      </w:r>
    </w:p>
    <w:p w14:paraId="395D1D07">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λ—表面热导系数，W/（m·K）；</w:t>
      </w:r>
    </w:p>
    <w:p w14:paraId="2709DD06">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S—液池面积，m</w:t>
      </w:r>
      <w:r>
        <w:rPr>
          <w:rFonts w:ascii="Times New Roman" w:eastAsia="仿宋"/>
          <w:sz w:val="28"/>
          <w:szCs w:val="28"/>
          <w:vertAlign w:val="superscript"/>
        </w:rPr>
        <w:t>2</w:t>
      </w:r>
      <w:r>
        <w:rPr>
          <w:rFonts w:ascii="Times New Roman" w:eastAsia="仿宋"/>
          <w:sz w:val="28"/>
          <w:szCs w:val="28"/>
        </w:rPr>
        <w:t>；</w:t>
      </w:r>
    </w:p>
    <w:p w14:paraId="1E4E7619">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α—表面热扩散系数，m</w:t>
      </w:r>
      <w:r>
        <w:rPr>
          <w:rFonts w:ascii="Times New Roman" w:eastAsia="仿宋"/>
          <w:sz w:val="28"/>
          <w:szCs w:val="28"/>
          <w:vertAlign w:val="superscript"/>
        </w:rPr>
        <w:t>2</w:t>
      </w:r>
      <w:r>
        <w:rPr>
          <w:rFonts w:ascii="Times New Roman" w:eastAsia="仿宋"/>
          <w:sz w:val="28"/>
          <w:szCs w:val="28"/>
        </w:rPr>
        <w:t>/s；</w:t>
      </w:r>
    </w:p>
    <w:p w14:paraId="5FD31B4C">
      <w:pPr>
        <w:adjustRightInd w:val="0"/>
        <w:snapToGrid w:val="0"/>
        <w:spacing w:line="500" w:lineRule="exact"/>
        <w:ind w:firstLine="560"/>
        <w:rPr>
          <w:rFonts w:ascii="Times New Roman" w:eastAsia="仿宋"/>
          <w:sz w:val="28"/>
          <w:szCs w:val="28"/>
        </w:rPr>
      </w:pPr>
      <w:r>
        <w:rPr>
          <w:rFonts w:ascii="Times New Roman" w:eastAsia="仿宋"/>
          <w:sz w:val="28"/>
          <w:szCs w:val="28"/>
        </w:rPr>
        <w:t>（3）质量蒸发估算</w:t>
      </w:r>
    </w:p>
    <w:p w14:paraId="51325B52">
      <w:pPr>
        <w:adjustRightInd w:val="0"/>
        <w:snapToGrid w:val="0"/>
        <w:jc w:val="center"/>
        <w:textAlignment w:val="baseline"/>
        <w:rPr>
          <w:rFonts w:ascii="Times New Roman" w:eastAsia="仿宋"/>
          <w:sz w:val="28"/>
          <w:szCs w:val="28"/>
        </w:rPr>
      </w:pPr>
      <w:r>
        <w:rPr>
          <w:rFonts w:ascii="Times New Roman" w:eastAsia="仿宋"/>
          <w:sz w:val="28"/>
          <w:szCs w:val="28"/>
        </w:rPr>
        <w:drawing>
          <wp:inline distT="0" distB="0" distL="0" distR="0">
            <wp:extent cx="1924050" cy="675640"/>
            <wp:effectExtent l="0" t="0" r="0" b="0"/>
            <wp:docPr id="63" name="图片 77"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7" descr="wps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924050" cy="675640"/>
                    </a:xfrm>
                    <a:prstGeom prst="rect">
                      <a:avLst/>
                    </a:prstGeom>
                    <a:noFill/>
                    <a:ln>
                      <a:noFill/>
                    </a:ln>
                  </pic:spPr>
                </pic:pic>
              </a:graphicData>
            </a:graphic>
          </wp:inline>
        </w:drawing>
      </w:r>
    </w:p>
    <w:p w14:paraId="23F8B88B">
      <w:pPr>
        <w:adjustRightInd w:val="0"/>
        <w:snapToGrid w:val="0"/>
        <w:spacing w:line="500" w:lineRule="exact"/>
        <w:ind w:firstLine="560"/>
        <w:rPr>
          <w:rFonts w:ascii="Times New Roman" w:eastAsia="仿宋"/>
          <w:sz w:val="28"/>
          <w:szCs w:val="28"/>
        </w:rPr>
      </w:pPr>
      <w:r>
        <w:rPr>
          <w:rFonts w:ascii="Times New Roman" w:eastAsia="仿宋"/>
          <w:sz w:val="28"/>
          <w:szCs w:val="28"/>
        </w:rPr>
        <w:t>式中：Q</w:t>
      </w:r>
      <w:r>
        <w:rPr>
          <w:rFonts w:ascii="Times New Roman" w:eastAsia="仿宋"/>
          <w:sz w:val="28"/>
          <w:szCs w:val="28"/>
          <w:vertAlign w:val="subscript"/>
        </w:rPr>
        <w:t>3</w:t>
      </w:r>
      <w:r>
        <w:rPr>
          <w:rFonts w:ascii="Times New Roman" w:eastAsia="仿宋"/>
          <w:sz w:val="28"/>
          <w:szCs w:val="28"/>
        </w:rPr>
        <w:t>—质量蒸发速率，kg/s；</w:t>
      </w:r>
    </w:p>
    <w:p w14:paraId="133A11B6">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p—液体表面蒸气压，Pa；</w:t>
      </w:r>
    </w:p>
    <w:p w14:paraId="1AB38FB6">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R—气体常数，J/（mol·K）；</w:t>
      </w:r>
    </w:p>
    <w:p w14:paraId="740326AA">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w:t>
      </w:r>
      <w:r>
        <w:rPr>
          <w:rFonts w:ascii="Times New Roman" w:eastAsia="仿宋"/>
          <w:sz w:val="28"/>
          <w:szCs w:val="28"/>
          <w:vertAlign w:val="subscript"/>
        </w:rPr>
        <w:t>0</w:t>
      </w:r>
      <w:r>
        <w:rPr>
          <w:rFonts w:ascii="Times New Roman" w:eastAsia="仿宋"/>
          <w:sz w:val="28"/>
          <w:szCs w:val="28"/>
        </w:rPr>
        <w:t>—环境温度，K；</w:t>
      </w:r>
    </w:p>
    <w:p w14:paraId="03592621">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M—物质的摩尔质量，kg/mol；</w:t>
      </w:r>
    </w:p>
    <w:p w14:paraId="16235882">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u—风速，m/s；</w:t>
      </w:r>
    </w:p>
    <w:p w14:paraId="20465098">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r—液池半径，m；</w:t>
      </w:r>
    </w:p>
    <w:p w14:paraId="4FFE71AE">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α，n—大气稳定系数；</w:t>
      </w:r>
    </w:p>
    <w:p w14:paraId="613F4BFA">
      <w:pPr>
        <w:adjustRightInd w:val="0"/>
        <w:snapToGrid w:val="0"/>
        <w:spacing w:line="500" w:lineRule="exact"/>
        <w:ind w:firstLine="560"/>
        <w:rPr>
          <w:rFonts w:ascii="Times New Roman" w:eastAsia="仿宋"/>
          <w:sz w:val="28"/>
          <w:szCs w:val="28"/>
        </w:rPr>
      </w:pPr>
      <w:r>
        <w:rPr>
          <w:rFonts w:ascii="Times New Roman" w:eastAsia="仿宋"/>
          <w:sz w:val="28"/>
          <w:szCs w:val="28"/>
        </w:rPr>
        <w:t>液体蒸发总量按下式计算：</w:t>
      </w:r>
    </w:p>
    <w:p w14:paraId="76EB1B90">
      <w:pPr>
        <w:adjustRightInd w:val="0"/>
        <w:snapToGrid w:val="0"/>
        <w:jc w:val="center"/>
        <w:textAlignment w:val="baseline"/>
        <w:rPr>
          <w:rFonts w:ascii="Times New Roman" w:eastAsia="仿宋"/>
          <w:sz w:val="28"/>
          <w:szCs w:val="28"/>
        </w:rPr>
      </w:pPr>
      <w:r>
        <w:rPr>
          <w:rFonts w:ascii="Times New Roman" w:eastAsia="仿宋"/>
          <w:sz w:val="28"/>
          <w:szCs w:val="28"/>
        </w:rPr>
        <w:drawing>
          <wp:inline distT="0" distB="0" distL="0" distR="0">
            <wp:extent cx="2106930" cy="429260"/>
            <wp:effectExtent l="0" t="0" r="0" b="0"/>
            <wp:docPr id="64" name="图片 78"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8" descr="wps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106930" cy="429260"/>
                    </a:xfrm>
                    <a:prstGeom prst="rect">
                      <a:avLst/>
                    </a:prstGeom>
                    <a:noFill/>
                    <a:ln>
                      <a:noFill/>
                    </a:ln>
                  </pic:spPr>
                </pic:pic>
              </a:graphicData>
            </a:graphic>
          </wp:inline>
        </w:drawing>
      </w:r>
    </w:p>
    <w:p w14:paraId="69FF399D">
      <w:pPr>
        <w:adjustRightInd w:val="0"/>
        <w:snapToGrid w:val="0"/>
        <w:spacing w:line="500" w:lineRule="exact"/>
        <w:ind w:firstLine="560"/>
        <w:rPr>
          <w:rFonts w:ascii="Times New Roman" w:eastAsia="仿宋"/>
          <w:sz w:val="28"/>
          <w:szCs w:val="28"/>
        </w:rPr>
      </w:pPr>
      <w:r>
        <w:rPr>
          <w:rFonts w:ascii="Times New Roman" w:eastAsia="仿宋"/>
          <w:sz w:val="28"/>
          <w:szCs w:val="28"/>
        </w:rPr>
        <w:t>式中：Wp—液体蒸发总量，kg；</w:t>
      </w:r>
    </w:p>
    <w:p w14:paraId="4A8E2AE8">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Q1—过热液体闪蒸蒸发速率，kg/s；</w:t>
      </w:r>
    </w:p>
    <w:p w14:paraId="05BCF624">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Q2—热量蒸发速率，kg/s；</w:t>
      </w:r>
    </w:p>
    <w:p w14:paraId="1279AFF0">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Q3—质量蒸发速率，kg/s；</w:t>
      </w:r>
    </w:p>
    <w:p w14:paraId="41E0DE01">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t1—闪蒸蒸发时间，s；</w:t>
      </w:r>
    </w:p>
    <w:p w14:paraId="68549ADF">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t2—热量蒸发时间，s；</w:t>
      </w:r>
    </w:p>
    <w:p w14:paraId="1B0076DB">
      <w:pPr>
        <w:adjustRightInd w:val="0"/>
        <w:snapToGrid w:val="0"/>
        <w:spacing w:line="500" w:lineRule="exact"/>
        <w:ind w:firstLine="1400" w:firstLineChars="500"/>
        <w:rPr>
          <w:rFonts w:ascii="Times New Roman" w:eastAsia="仿宋"/>
          <w:sz w:val="28"/>
          <w:szCs w:val="28"/>
        </w:rPr>
      </w:pPr>
      <w:r>
        <w:rPr>
          <w:rFonts w:ascii="Times New Roman" w:eastAsia="仿宋"/>
          <w:sz w:val="28"/>
          <w:szCs w:val="28"/>
        </w:rPr>
        <w:t>t3—从液体泄漏到完全清理完毕的时间，s。</w:t>
      </w:r>
    </w:p>
    <w:p w14:paraId="0E9107F6">
      <w:pPr>
        <w:spacing w:line="500" w:lineRule="exact"/>
        <w:ind w:firstLine="560" w:firstLineChars="200"/>
        <w:rPr>
          <w:rFonts w:ascii="Times New Roman" w:eastAsia="仿宋"/>
          <w:sz w:val="28"/>
          <w:szCs w:val="28"/>
        </w:rPr>
      </w:pPr>
      <w:r>
        <w:rPr>
          <w:rFonts w:hint="eastAsia" w:ascii="Times New Roman" w:eastAsia="仿宋"/>
          <w:sz w:val="28"/>
          <w:szCs w:val="28"/>
        </w:rPr>
        <w:t>二甲苯</w:t>
      </w:r>
      <w:r>
        <w:rPr>
          <w:rFonts w:ascii="Times New Roman" w:eastAsia="仿宋"/>
          <w:sz w:val="28"/>
          <w:szCs w:val="28"/>
        </w:rPr>
        <w:t>泄漏后蒸发不考虑闪蒸，仅考虑热量蒸发和质量蒸发，在年平均风速（2.5m/s）情况下，污染物的挥发量计算结果见下表。</w:t>
      </w:r>
    </w:p>
    <w:p w14:paraId="65F24040">
      <w:pPr>
        <w:jc w:val="center"/>
        <w:rPr>
          <w:rFonts w:ascii="Times New Roman" w:eastAsia="仿宋"/>
          <w:b/>
          <w:bCs/>
          <w:szCs w:val="28"/>
        </w:rPr>
      </w:pPr>
    </w:p>
    <w:p w14:paraId="65DCC05D">
      <w:pPr>
        <w:jc w:val="center"/>
        <w:rPr>
          <w:rFonts w:ascii="Times New Roman" w:eastAsia="仿宋"/>
          <w:b/>
          <w:bCs/>
          <w:szCs w:val="28"/>
        </w:rPr>
      </w:pPr>
    </w:p>
    <w:p w14:paraId="347EEF7C">
      <w:pPr>
        <w:jc w:val="center"/>
        <w:rPr>
          <w:rFonts w:ascii="Times New Roman" w:eastAsia="仿宋"/>
          <w:b/>
          <w:bCs/>
          <w:szCs w:val="28"/>
        </w:rPr>
      </w:pPr>
    </w:p>
    <w:p w14:paraId="4146513A">
      <w:pPr>
        <w:jc w:val="center"/>
        <w:rPr>
          <w:rFonts w:ascii="Times New Roman" w:eastAsia="仿宋"/>
          <w:b/>
          <w:bCs/>
          <w:szCs w:val="28"/>
        </w:rPr>
      </w:pPr>
    </w:p>
    <w:p w14:paraId="52FA26BA">
      <w:pPr>
        <w:jc w:val="center"/>
        <w:rPr>
          <w:rFonts w:ascii="Times New Roman" w:eastAsia="仿宋"/>
          <w:b/>
          <w:bCs/>
          <w:szCs w:val="28"/>
        </w:rPr>
      </w:pPr>
    </w:p>
    <w:p w14:paraId="2F4846CE">
      <w:pPr>
        <w:jc w:val="center"/>
        <w:rPr>
          <w:rFonts w:ascii="Times New Roman" w:eastAsia="仿宋"/>
          <w:b/>
          <w:bCs/>
          <w:szCs w:val="28"/>
        </w:rPr>
      </w:pPr>
    </w:p>
    <w:p w14:paraId="7B592F3F">
      <w:pPr>
        <w:jc w:val="center"/>
        <w:rPr>
          <w:rFonts w:ascii="Times New Roman" w:eastAsia="仿宋"/>
          <w:b/>
          <w:bCs/>
          <w:szCs w:val="28"/>
        </w:rPr>
      </w:pPr>
      <w:r>
        <w:rPr>
          <w:rFonts w:ascii="Times New Roman" w:eastAsia="仿宋"/>
          <w:b/>
          <w:bCs/>
          <w:szCs w:val="28"/>
        </w:rPr>
        <w:t>表</w:t>
      </w:r>
      <w:r>
        <w:rPr>
          <w:rFonts w:hint="eastAsia" w:ascii="Times New Roman" w:eastAsia="仿宋"/>
          <w:b/>
          <w:bCs/>
          <w:szCs w:val="28"/>
        </w:rPr>
        <w:t>5.</w:t>
      </w:r>
      <w:r>
        <w:rPr>
          <w:rFonts w:ascii="Times New Roman" w:eastAsia="仿宋"/>
          <w:b/>
          <w:bCs/>
          <w:szCs w:val="28"/>
        </w:rPr>
        <w:t>3</w:t>
      </w:r>
      <w:r>
        <w:rPr>
          <w:rFonts w:hint="eastAsia" w:ascii="Times New Roman" w:eastAsia="仿宋"/>
          <w:b/>
          <w:bCs/>
          <w:szCs w:val="28"/>
        </w:rPr>
        <w:t>-2</w:t>
      </w:r>
      <w:r>
        <w:rPr>
          <w:rFonts w:ascii="Times New Roman" w:eastAsia="仿宋"/>
          <w:b/>
          <w:bCs/>
          <w:szCs w:val="28"/>
        </w:rPr>
        <w:t>5  事故污染源参数表</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992"/>
        <w:gridCol w:w="1173"/>
        <w:gridCol w:w="708"/>
        <w:gridCol w:w="1418"/>
        <w:gridCol w:w="992"/>
        <w:gridCol w:w="992"/>
        <w:gridCol w:w="1134"/>
        <w:gridCol w:w="1134"/>
      </w:tblGrid>
      <w:tr w14:paraId="1FFD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14:paraId="1EC71E0A">
            <w:pPr>
              <w:pStyle w:val="81"/>
              <w:adjustRightInd w:val="0"/>
              <w:jc w:val="center"/>
              <w:rPr>
                <w:rFonts w:eastAsia="仿宋"/>
              </w:rPr>
            </w:pPr>
            <w:r>
              <w:rPr>
                <w:rFonts w:eastAsia="仿宋"/>
              </w:rPr>
              <w:t>序号</w:t>
            </w:r>
          </w:p>
        </w:tc>
        <w:tc>
          <w:tcPr>
            <w:tcW w:w="992" w:type="dxa"/>
            <w:tcBorders>
              <w:top w:val="single" w:color="auto" w:sz="4" w:space="0"/>
              <w:left w:val="single" w:color="auto" w:sz="4" w:space="0"/>
              <w:bottom w:val="single" w:color="auto" w:sz="4" w:space="0"/>
              <w:right w:val="single" w:color="auto" w:sz="4" w:space="0"/>
            </w:tcBorders>
            <w:vAlign w:val="center"/>
          </w:tcPr>
          <w:p w14:paraId="75E698EA">
            <w:pPr>
              <w:pStyle w:val="81"/>
              <w:adjustRightInd w:val="0"/>
              <w:jc w:val="center"/>
              <w:rPr>
                <w:rFonts w:eastAsia="仿宋"/>
              </w:rPr>
            </w:pPr>
            <w:r>
              <w:rPr>
                <w:rFonts w:eastAsia="仿宋"/>
              </w:rPr>
              <w:t>风险事故情形描述</w:t>
            </w:r>
          </w:p>
        </w:tc>
        <w:tc>
          <w:tcPr>
            <w:tcW w:w="1173" w:type="dxa"/>
            <w:tcBorders>
              <w:top w:val="single" w:color="auto" w:sz="4" w:space="0"/>
              <w:left w:val="single" w:color="auto" w:sz="4" w:space="0"/>
              <w:bottom w:val="single" w:color="auto" w:sz="4" w:space="0"/>
              <w:right w:val="single" w:color="auto" w:sz="4" w:space="0"/>
            </w:tcBorders>
            <w:vAlign w:val="center"/>
          </w:tcPr>
          <w:p w14:paraId="02A704C5">
            <w:pPr>
              <w:pStyle w:val="81"/>
              <w:adjustRightInd w:val="0"/>
              <w:jc w:val="center"/>
              <w:rPr>
                <w:rFonts w:eastAsia="仿宋"/>
              </w:rPr>
            </w:pPr>
            <w:r>
              <w:rPr>
                <w:rFonts w:eastAsia="仿宋"/>
              </w:rPr>
              <w:t>危险单元</w:t>
            </w:r>
          </w:p>
        </w:tc>
        <w:tc>
          <w:tcPr>
            <w:tcW w:w="708" w:type="dxa"/>
            <w:tcBorders>
              <w:top w:val="single" w:color="auto" w:sz="4" w:space="0"/>
              <w:left w:val="single" w:color="auto" w:sz="4" w:space="0"/>
              <w:bottom w:val="single" w:color="auto" w:sz="4" w:space="0"/>
              <w:right w:val="single" w:color="auto" w:sz="4" w:space="0"/>
            </w:tcBorders>
            <w:vAlign w:val="center"/>
          </w:tcPr>
          <w:p w14:paraId="3D54C5F4">
            <w:pPr>
              <w:pStyle w:val="81"/>
              <w:adjustRightInd w:val="0"/>
              <w:jc w:val="center"/>
              <w:rPr>
                <w:rFonts w:eastAsia="仿宋"/>
              </w:rPr>
            </w:pPr>
            <w:r>
              <w:rPr>
                <w:rFonts w:eastAsia="仿宋"/>
              </w:rPr>
              <w:t>危险</w:t>
            </w:r>
          </w:p>
          <w:p w14:paraId="3438AB95">
            <w:pPr>
              <w:pStyle w:val="81"/>
              <w:adjustRightInd w:val="0"/>
              <w:jc w:val="center"/>
              <w:rPr>
                <w:rFonts w:eastAsia="仿宋"/>
              </w:rPr>
            </w:pPr>
            <w:r>
              <w:rPr>
                <w:rFonts w:eastAsia="仿宋"/>
              </w:rPr>
              <w:t>物质</w:t>
            </w:r>
          </w:p>
        </w:tc>
        <w:tc>
          <w:tcPr>
            <w:tcW w:w="1418" w:type="dxa"/>
            <w:tcBorders>
              <w:top w:val="single" w:color="auto" w:sz="4" w:space="0"/>
              <w:left w:val="single" w:color="auto" w:sz="4" w:space="0"/>
              <w:bottom w:val="single" w:color="auto" w:sz="4" w:space="0"/>
              <w:right w:val="single" w:color="auto" w:sz="4" w:space="0"/>
            </w:tcBorders>
            <w:vAlign w:val="center"/>
          </w:tcPr>
          <w:p w14:paraId="465B866D">
            <w:pPr>
              <w:pStyle w:val="81"/>
              <w:adjustRightInd w:val="0"/>
              <w:jc w:val="center"/>
              <w:rPr>
                <w:rFonts w:eastAsia="仿宋"/>
              </w:rPr>
            </w:pPr>
            <w:r>
              <w:rPr>
                <w:rFonts w:eastAsia="仿宋"/>
              </w:rPr>
              <w:t>影响途径</w:t>
            </w:r>
          </w:p>
        </w:tc>
        <w:tc>
          <w:tcPr>
            <w:tcW w:w="992" w:type="dxa"/>
            <w:tcBorders>
              <w:top w:val="single" w:color="auto" w:sz="4" w:space="0"/>
              <w:left w:val="single" w:color="auto" w:sz="4" w:space="0"/>
              <w:bottom w:val="single" w:color="auto" w:sz="4" w:space="0"/>
              <w:right w:val="single" w:color="auto" w:sz="4" w:space="0"/>
            </w:tcBorders>
            <w:vAlign w:val="center"/>
          </w:tcPr>
          <w:p w14:paraId="1919E7E1">
            <w:pPr>
              <w:pStyle w:val="81"/>
              <w:adjustRightInd w:val="0"/>
              <w:jc w:val="center"/>
              <w:rPr>
                <w:rFonts w:eastAsia="仿宋"/>
              </w:rPr>
            </w:pPr>
            <w:r>
              <w:rPr>
                <w:rFonts w:eastAsia="仿宋"/>
              </w:rPr>
              <w:t>释放或泄漏速率</w:t>
            </w:r>
          </w:p>
          <w:p w14:paraId="70A1BDB3">
            <w:pPr>
              <w:pStyle w:val="81"/>
              <w:adjustRightInd w:val="0"/>
              <w:jc w:val="center"/>
              <w:rPr>
                <w:rFonts w:eastAsia="仿宋"/>
              </w:rPr>
            </w:pPr>
            <w:r>
              <w:rPr>
                <w:rFonts w:eastAsia="仿宋"/>
              </w:rPr>
              <w:t>（kg/s）</w:t>
            </w:r>
          </w:p>
        </w:tc>
        <w:tc>
          <w:tcPr>
            <w:tcW w:w="992" w:type="dxa"/>
            <w:tcBorders>
              <w:top w:val="single" w:color="auto" w:sz="4" w:space="0"/>
              <w:left w:val="single" w:color="auto" w:sz="4" w:space="0"/>
              <w:bottom w:val="single" w:color="auto" w:sz="4" w:space="0"/>
              <w:right w:val="single" w:color="auto" w:sz="4" w:space="0"/>
            </w:tcBorders>
            <w:vAlign w:val="center"/>
          </w:tcPr>
          <w:p w14:paraId="28F0DD2E">
            <w:pPr>
              <w:pStyle w:val="81"/>
              <w:adjustRightInd w:val="0"/>
              <w:jc w:val="center"/>
              <w:rPr>
                <w:rFonts w:eastAsia="仿宋"/>
              </w:rPr>
            </w:pPr>
            <w:r>
              <w:rPr>
                <w:rFonts w:eastAsia="仿宋"/>
              </w:rPr>
              <w:t>释放或泄漏时间</w:t>
            </w:r>
          </w:p>
          <w:p w14:paraId="6220117A">
            <w:pPr>
              <w:pStyle w:val="81"/>
              <w:adjustRightInd w:val="0"/>
              <w:jc w:val="center"/>
              <w:rPr>
                <w:rFonts w:eastAsia="仿宋"/>
              </w:rPr>
            </w:pPr>
            <w:r>
              <w:rPr>
                <w:rFonts w:eastAsia="仿宋"/>
              </w:rPr>
              <w:t>（min）</w:t>
            </w:r>
          </w:p>
        </w:tc>
        <w:tc>
          <w:tcPr>
            <w:tcW w:w="1134" w:type="dxa"/>
            <w:tcBorders>
              <w:top w:val="single" w:color="auto" w:sz="4" w:space="0"/>
              <w:left w:val="single" w:color="auto" w:sz="4" w:space="0"/>
              <w:bottom w:val="single" w:color="auto" w:sz="4" w:space="0"/>
              <w:right w:val="single" w:color="auto" w:sz="4" w:space="0"/>
            </w:tcBorders>
            <w:vAlign w:val="center"/>
          </w:tcPr>
          <w:p w14:paraId="1248C463">
            <w:pPr>
              <w:pStyle w:val="81"/>
              <w:adjustRightInd w:val="0"/>
              <w:jc w:val="center"/>
              <w:rPr>
                <w:rFonts w:eastAsia="仿宋"/>
              </w:rPr>
            </w:pPr>
            <w:r>
              <w:rPr>
                <w:rFonts w:eastAsia="仿宋"/>
              </w:rPr>
              <w:t>最大释放或泄漏量</w:t>
            </w:r>
          </w:p>
          <w:p w14:paraId="44028FAA">
            <w:pPr>
              <w:pStyle w:val="81"/>
              <w:adjustRightInd w:val="0"/>
              <w:jc w:val="center"/>
              <w:rPr>
                <w:rFonts w:eastAsia="仿宋"/>
              </w:rPr>
            </w:pPr>
            <w:r>
              <w:rPr>
                <w:rFonts w:eastAsia="仿宋"/>
              </w:rPr>
              <w:t>（kg）</w:t>
            </w:r>
          </w:p>
        </w:tc>
        <w:tc>
          <w:tcPr>
            <w:tcW w:w="1134" w:type="dxa"/>
            <w:tcBorders>
              <w:top w:val="single" w:color="auto" w:sz="4" w:space="0"/>
              <w:left w:val="single" w:color="auto" w:sz="4" w:space="0"/>
              <w:bottom w:val="single" w:color="auto" w:sz="4" w:space="0"/>
              <w:right w:val="single" w:color="auto" w:sz="4" w:space="0"/>
            </w:tcBorders>
            <w:vAlign w:val="center"/>
          </w:tcPr>
          <w:p w14:paraId="300B238F">
            <w:pPr>
              <w:pStyle w:val="81"/>
              <w:adjustRightInd w:val="0"/>
              <w:jc w:val="center"/>
              <w:rPr>
                <w:rFonts w:eastAsia="仿宋"/>
              </w:rPr>
            </w:pPr>
            <w:r>
              <w:rPr>
                <w:rFonts w:eastAsia="仿宋"/>
              </w:rPr>
              <w:t>泄漏液体蒸发速率</w:t>
            </w:r>
          </w:p>
          <w:p w14:paraId="375B0729">
            <w:pPr>
              <w:pStyle w:val="81"/>
              <w:adjustRightInd w:val="0"/>
              <w:jc w:val="center"/>
              <w:rPr>
                <w:rFonts w:eastAsia="仿宋"/>
              </w:rPr>
            </w:pPr>
            <w:r>
              <w:rPr>
                <w:rFonts w:eastAsia="仿宋"/>
              </w:rPr>
              <w:t>（kg/s）</w:t>
            </w:r>
          </w:p>
        </w:tc>
      </w:tr>
      <w:tr w14:paraId="0BCD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14:paraId="40F073A7">
            <w:pPr>
              <w:pStyle w:val="81"/>
              <w:adjustRightInd w:val="0"/>
              <w:jc w:val="center"/>
              <w:rPr>
                <w:rFonts w:eastAsia="仿宋"/>
              </w:rPr>
            </w:pPr>
            <w:r>
              <w:rPr>
                <w:rFonts w:eastAsia="仿宋"/>
              </w:rPr>
              <w:t>1</w:t>
            </w:r>
          </w:p>
        </w:tc>
        <w:tc>
          <w:tcPr>
            <w:tcW w:w="992" w:type="dxa"/>
            <w:tcBorders>
              <w:top w:val="single" w:color="auto" w:sz="4" w:space="0"/>
              <w:left w:val="single" w:color="auto" w:sz="4" w:space="0"/>
              <w:bottom w:val="single" w:color="auto" w:sz="4" w:space="0"/>
              <w:right w:val="single" w:color="auto" w:sz="4" w:space="0"/>
            </w:tcBorders>
            <w:vAlign w:val="center"/>
          </w:tcPr>
          <w:p w14:paraId="48CC6E6A">
            <w:pPr>
              <w:pStyle w:val="81"/>
              <w:adjustRightInd w:val="0"/>
              <w:jc w:val="center"/>
              <w:rPr>
                <w:rFonts w:eastAsia="仿宋"/>
              </w:rPr>
            </w:pPr>
            <w:r>
              <w:rPr>
                <w:rFonts w:hint="eastAsia" w:eastAsia="仿宋"/>
              </w:rPr>
              <w:t>氟碳底漆、面漆容器泄漏</w:t>
            </w:r>
          </w:p>
        </w:tc>
        <w:tc>
          <w:tcPr>
            <w:tcW w:w="1173" w:type="dxa"/>
            <w:tcBorders>
              <w:top w:val="single" w:color="auto" w:sz="4" w:space="0"/>
              <w:left w:val="single" w:color="auto" w:sz="4" w:space="0"/>
              <w:bottom w:val="single" w:color="auto" w:sz="4" w:space="0"/>
              <w:right w:val="single" w:color="auto" w:sz="4" w:space="0"/>
            </w:tcBorders>
            <w:vAlign w:val="center"/>
          </w:tcPr>
          <w:p w14:paraId="4EC0E2BE">
            <w:pPr>
              <w:pStyle w:val="81"/>
              <w:adjustRightInd w:val="0"/>
              <w:jc w:val="center"/>
              <w:rPr>
                <w:rFonts w:eastAsia="仿宋"/>
              </w:rPr>
            </w:pPr>
            <w:r>
              <w:rPr>
                <w:rFonts w:hint="eastAsia" w:eastAsia="仿宋"/>
              </w:rPr>
              <w:t>油漆仓库</w:t>
            </w:r>
          </w:p>
        </w:tc>
        <w:tc>
          <w:tcPr>
            <w:tcW w:w="708" w:type="dxa"/>
            <w:tcBorders>
              <w:top w:val="single" w:color="auto" w:sz="4" w:space="0"/>
              <w:left w:val="single" w:color="auto" w:sz="4" w:space="0"/>
              <w:bottom w:val="single" w:color="auto" w:sz="4" w:space="0"/>
              <w:right w:val="single" w:color="auto" w:sz="4" w:space="0"/>
            </w:tcBorders>
            <w:vAlign w:val="center"/>
          </w:tcPr>
          <w:p w14:paraId="4C5E2F7F">
            <w:pPr>
              <w:pStyle w:val="81"/>
              <w:adjustRightInd w:val="0"/>
              <w:jc w:val="center"/>
              <w:rPr>
                <w:rFonts w:eastAsia="仿宋"/>
              </w:rPr>
            </w:pPr>
            <w:r>
              <w:rPr>
                <w:rFonts w:hint="eastAsia" w:eastAsia="仿宋"/>
              </w:rPr>
              <w:t>二甲苯</w:t>
            </w:r>
          </w:p>
        </w:tc>
        <w:tc>
          <w:tcPr>
            <w:tcW w:w="1418" w:type="dxa"/>
            <w:vMerge w:val="restart"/>
            <w:tcBorders>
              <w:top w:val="single" w:color="auto" w:sz="4" w:space="0"/>
              <w:left w:val="single" w:color="auto" w:sz="4" w:space="0"/>
              <w:right w:val="single" w:color="auto" w:sz="4" w:space="0"/>
            </w:tcBorders>
            <w:vAlign w:val="center"/>
          </w:tcPr>
          <w:p w14:paraId="22C0BE43">
            <w:pPr>
              <w:pStyle w:val="81"/>
              <w:adjustRightInd w:val="0"/>
              <w:jc w:val="center"/>
              <w:rPr>
                <w:rFonts w:eastAsia="仿宋"/>
              </w:rPr>
            </w:pPr>
            <w:r>
              <w:rPr>
                <w:rFonts w:eastAsia="仿宋"/>
              </w:rPr>
              <w:t>大气、地表水、土壤、地下水</w:t>
            </w:r>
          </w:p>
        </w:tc>
        <w:tc>
          <w:tcPr>
            <w:tcW w:w="992" w:type="dxa"/>
            <w:tcBorders>
              <w:top w:val="single" w:color="auto" w:sz="4" w:space="0"/>
              <w:left w:val="single" w:color="auto" w:sz="4" w:space="0"/>
              <w:bottom w:val="single" w:color="auto" w:sz="4" w:space="0"/>
              <w:right w:val="single" w:color="auto" w:sz="4" w:space="0"/>
            </w:tcBorders>
            <w:vAlign w:val="center"/>
          </w:tcPr>
          <w:p w14:paraId="0848EFC6">
            <w:pPr>
              <w:pStyle w:val="81"/>
              <w:adjustRightInd w:val="0"/>
              <w:jc w:val="center"/>
              <w:rPr>
                <w:rFonts w:eastAsia="仿宋"/>
              </w:rPr>
            </w:pPr>
            <w:r>
              <w:rPr>
                <w:rFonts w:eastAsia="仿宋"/>
              </w:rPr>
              <w:t>3.42</w:t>
            </w:r>
          </w:p>
        </w:tc>
        <w:tc>
          <w:tcPr>
            <w:tcW w:w="992" w:type="dxa"/>
            <w:tcBorders>
              <w:top w:val="single" w:color="auto" w:sz="4" w:space="0"/>
              <w:left w:val="single" w:color="auto" w:sz="4" w:space="0"/>
              <w:bottom w:val="single" w:color="auto" w:sz="4" w:space="0"/>
              <w:right w:val="single" w:color="auto" w:sz="4" w:space="0"/>
            </w:tcBorders>
            <w:vAlign w:val="center"/>
          </w:tcPr>
          <w:p w14:paraId="36B67614">
            <w:pPr>
              <w:pStyle w:val="81"/>
              <w:adjustRightInd w:val="0"/>
              <w:jc w:val="center"/>
              <w:rPr>
                <w:rFonts w:eastAsia="仿宋"/>
              </w:rPr>
            </w:pPr>
            <w:r>
              <w:rPr>
                <w:rFonts w:hint="eastAsia" w:eastAsia="仿宋"/>
              </w:rPr>
              <w:t>1</w:t>
            </w:r>
            <w:r>
              <w:rPr>
                <w:rFonts w:eastAsia="仿宋"/>
              </w:rPr>
              <w:t>0</w:t>
            </w:r>
          </w:p>
        </w:tc>
        <w:tc>
          <w:tcPr>
            <w:tcW w:w="1134" w:type="dxa"/>
            <w:tcBorders>
              <w:top w:val="single" w:color="auto" w:sz="4" w:space="0"/>
              <w:left w:val="single" w:color="auto" w:sz="4" w:space="0"/>
              <w:bottom w:val="single" w:color="auto" w:sz="4" w:space="0"/>
              <w:right w:val="single" w:color="auto" w:sz="4" w:space="0"/>
            </w:tcBorders>
            <w:vAlign w:val="center"/>
          </w:tcPr>
          <w:p w14:paraId="3ABC7D5B">
            <w:pPr>
              <w:pStyle w:val="81"/>
              <w:adjustRightInd w:val="0"/>
              <w:jc w:val="center"/>
              <w:rPr>
                <w:rFonts w:eastAsia="仿宋"/>
              </w:rPr>
            </w:pPr>
            <w:r>
              <w:rPr>
                <w:rFonts w:hint="eastAsia" w:eastAsia="仿宋"/>
              </w:rPr>
              <w:t>7</w:t>
            </w:r>
            <w:r>
              <w:rPr>
                <w:rFonts w:eastAsia="仿宋"/>
              </w:rPr>
              <w:t>.44</w:t>
            </w:r>
          </w:p>
        </w:tc>
        <w:tc>
          <w:tcPr>
            <w:tcW w:w="1134" w:type="dxa"/>
            <w:tcBorders>
              <w:top w:val="single" w:color="auto" w:sz="4" w:space="0"/>
              <w:left w:val="single" w:color="auto" w:sz="4" w:space="0"/>
              <w:bottom w:val="single" w:color="auto" w:sz="4" w:space="0"/>
              <w:right w:val="single" w:color="auto" w:sz="4" w:space="0"/>
            </w:tcBorders>
            <w:vAlign w:val="center"/>
          </w:tcPr>
          <w:p w14:paraId="153A7B37">
            <w:pPr>
              <w:pStyle w:val="81"/>
              <w:adjustRightInd w:val="0"/>
              <w:jc w:val="center"/>
              <w:rPr>
                <w:rFonts w:eastAsia="仿宋"/>
              </w:rPr>
            </w:pPr>
            <w:r>
              <w:rPr>
                <w:rFonts w:hint="eastAsia" w:eastAsia="仿宋"/>
              </w:rPr>
              <w:t>0</w:t>
            </w:r>
            <w:r>
              <w:rPr>
                <w:rFonts w:eastAsia="仿宋"/>
              </w:rPr>
              <w:t>.38</w:t>
            </w:r>
          </w:p>
        </w:tc>
      </w:tr>
      <w:tr w14:paraId="1D0F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14:paraId="1A9B1866">
            <w:pPr>
              <w:pStyle w:val="81"/>
              <w:adjustRightInd w:val="0"/>
              <w:jc w:val="center"/>
              <w:rPr>
                <w:rFonts w:eastAsia="仿宋"/>
              </w:rPr>
            </w:pPr>
            <w:r>
              <w:rPr>
                <w:rFonts w:hint="eastAsia" w:eastAsia="仿宋"/>
              </w:rPr>
              <w:t>2</w:t>
            </w:r>
          </w:p>
        </w:tc>
        <w:tc>
          <w:tcPr>
            <w:tcW w:w="992" w:type="dxa"/>
            <w:tcBorders>
              <w:top w:val="single" w:color="auto" w:sz="4" w:space="0"/>
              <w:left w:val="single" w:color="auto" w:sz="4" w:space="0"/>
              <w:bottom w:val="single" w:color="auto" w:sz="4" w:space="0"/>
              <w:right w:val="single" w:color="auto" w:sz="4" w:space="0"/>
            </w:tcBorders>
            <w:vAlign w:val="center"/>
          </w:tcPr>
          <w:p w14:paraId="3AA39EB1">
            <w:pPr>
              <w:pStyle w:val="81"/>
              <w:adjustRightInd w:val="0"/>
              <w:jc w:val="center"/>
              <w:rPr>
                <w:rFonts w:eastAsia="仿宋"/>
              </w:rPr>
            </w:pPr>
            <w:r>
              <w:rPr>
                <w:rFonts w:hint="eastAsia" w:eastAsia="仿宋"/>
              </w:rPr>
              <w:t>脱脂剂容器泄漏</w:t>
            </w:r>
          </w:p>
        </w:tc>
        <w:tc>
          <w:tcPr>
            <w:tcW w:w="1173" w:type="dxa"/>
            <w:tcBorders>
              <w:top w:val="single" w:color="auto" w:sz="4" w:space="0"/>
              <w:left w:val="single" w:color="auto" w:sz="4" w:space="0"/>
              <w:bottom w:val="single" w:color="auto" w:sz="4" w:space="0"/>
              <w:right w:val="single" w:color="auto" w:sz="4" w:space="0"/>
            </w:tcBorders>
            <w:vAlign w:val="center"/>
          </w:tcPr>
          <w:p w14:paraId="226EBA9F">
            <w:pPr>
              <w:pStyle w:val="81"/>
              <w:adjustRightInd w:val="0"/>
              <w:jc w:val="center"/>
              <w:rPr>
                <w:rFonts w:eastAsia="仿宋"/>
              </w:rPr>
            </w:pPr>
            <w:r>
              <w:rPr>
                <w:rFonts w:hint="eastAsia" w:eastAsia="仿宋"/>
              </w:rPr>
              <w:t>仓库</w:t>
            </w:r>
          </w:p>
        </w:tc>
        <w:tc>
          <w:tcPr>
            <w:tcW w:w="708" w:type="dxa"/>
            <w:tcBorders>
              <w:top w:val="single" w:color="auto" w:sz="4" w:space="0"/>
              <w:left w:val="single" w:color="auto" w:sz="4" w:space="0"/>
              <w:bottom w:val="single" w:color="auto" w:sz="4" w:space="0"/>
              <w:right w:val="single" w:color="auto" w:sz="4" w:space="0"/>
            </w:tcBorders>
            <w:vAlign w:val="center"/>
          </w:tcPr>
          <w:p w14:paraId="19B0BE73">
            <w:pPr>
              <w:pStyle w:val="81"/>
              <w:adjustRightInd w:val="0"/>
              <w:jc w:val="center"/>
              <w:rPr>
                <w:rFonts w:eastAsia="仿宋"/>
              </w:rPr>
            </w:pPr>
            <w:r>
              <w:rPr>
                <w:rFonts w:hint="eastAsia" w:eastAsia="仿宋"/>
              </w:rPr>
              <w:t>硫酸</w:t>
            </w:r>
          </w:p>
        </w:tc>
        <w:tc>
          <w:tcPr>
            <w:tcW w:w="1418" w:type="dxa"/>
            <w:vMerge w:val="continue"/>
            <w:tcBorders>
              <w:left w:val="single" w:color="auto" w:sz="4" w:space="0"/>
              <w:bottom w:val="single" w:color="auto" w:sz="4" w:space="0"/>
              <w:right w:val="single" w:color="auto" w:sz="4" w:space="0"/>
            </w:tcBorders>
            <w:vAlign w:val="center"/>
          </w:tcPr>
          <w:p w14:paraId="168C5AA1">
            <w:pPr>
              <w:pStyle w:val="81"/>
              <w:adjustRightInd w:val="0"/>
              <w:jc w:val="center"/>
              <w:rPr>
                <w:rFonts w:eastAsia="仿宋"/>
              </w:rPr>
            </w:pPr>
          </w:p>
        </w:tc>
        <w:tc>
          <w:tcPr>
            <w:tcW w:w="992" w:type="dxa"/>
            <w:tcBorders>
              <w:top w:val="single" w:color="auto" w:sz="4" w:space="0"/>
              <w:left w:val="single" w:color="auto" w:sz="4" w:space="0"/>
              <w:bottom w:val="single" w:color="auto" w:sz="4" w:space="0"/>
              <w:right w:val="single" w:color="auto" w:sz="4" w:space="0"/>
            </w:tcBorders>
            <w:vAlign w:val="center"/>
          </w:tcPr>
          <w:p w14:paraId="74C5AB9C">
            <w:pPr>
              <w:pStyle w:val="81"/>
              <w:adjustRightInd w:val="0"/>
              <w:jc w:val="center"/>
              <w:rPr>
                <w:rFonts w:eastAsia="仿宋"/>
              </w:rPr>
            </w:pPr>
            <w:r>
              <w:rPr>
                <w:rFonts w:eastAsia="仿宋"/>
              </w:rPr>
              <w:t>7.14</w:t>
            </w:r>
          </w:p>
        </w:tc>
        <w:tc>
          <w:tcPr>
            <w:tcW w:w="992" w:type="dxa"/>
            <w:tcBorders>
              <w:top w:val="single" w:color="auto" w:sz="4" w:space="0"/>
              <w:left w:val="single" w:color="auto" w:sz="4" w:space="0"/>
              <w:bottom w:val="single" w:color="auto" w:sz="4" w:space="0"/>
              <w:right w:val="single" w:color="auto" w:sz="4" w:space="0"/>
            </w:tcBorders>
            <w:vAlign w:val="center"/>
          </w:tcPr>
          <w:p w14:paraId="60395C66">
            <w:pPr>
              <w:pStyle w:val="81"/>
              <w:adjustRightInd w:val="0"/>
              <w:jc w:val="center"/>
              <w:rPr>
                <w:rFonts w:eastAsia="仿宋"/>
              </w:rPr>
            </w:pPr>
            <w:r>
              <w:rPr>
                <w:rFonts w:hint="eastAsia" w:eastAsia="仿宋"/>
              </w:rPr>
              <w:t>1</w:t>
            </w:r>
            <w:r>
              <w:rPr>
                <w:rFonts w:eastAsia="仿宋"/>
              </w:rPr>
              <w:t>0</w:t>
            </w:r>
          </w:p>
        </w:tc>
        <w:tc>
          <w:tcPr>
            <w:tcW w:w="1134" w:type="dxa"/>
            <w:tcBorders>
              <w:top w:val="single" w:color="auto" w:sz="4" w:space="0"/>
              <w:left w:val="single" w:color="auto" w:sz="4" w:space="0"/>
              <w:bottom w:val="single" w:color="auto" w:sz="4" w:space="0"/>
              <w:right w:val="single" w:color="auto" w:sz="4" w:space="0"/>
            </w:tcBorders>
            <w:vAlign w:val="center"/>
          </w:tcPr>
          <w:p w14:paraId="200AA082">
            <w:pPr>
              <w:pStyle w:val="81"/>
              <w:adjustRightInd w:val="0"/>
              <w:jc w:val="center"/>
              <w:rPr>
                <w:rFonts w:eastAsia="仿宋"/>
              </w:rPr>
            </w:pPr>
            <w:r>
              <w:rPr>
                <w:rFonts w:hint="eastAsia" w:eastAsia="仿宋"/>
              </w:rPr>
              <w:t>4</w:t>
            </w:r>
            <w:r>
              <w:rPr>
                <w:rFonts w:eastAsia="仿宋"/>
              </w:rPr>
              <w:t>.8</w:t>
            </w:r>
          </w:p>
        </w:tc>
        <w:tc>
          <w:tcPr>
            <w:tcW w:w="1134" w:type="dxa"/>
            <w:tcBorders>
              <w:top w:val="single" w:color="auto" w:sz="4" w:space="0"/>
              <w:left w:val="single" w:color="auto" w:sz="4" w:space="0"/>
              <w:bottom w:val="single" w:color="auto" w:sz="4" w:space="0"/>
              <w:right w:val="single" w:color="auto" w:sz="4" w:space="0"/>
            </w:tcBorders>
            <w:vAlign w:val="center"/>
          </w:tcPr>
          <w:p w14:paraId="20AABDFF">
            <w:pPr>
              <w:pStyle w:val="81"/>
              <w:adjustRightInd w:val="0"/>
              <w:jc w:val="center"/>
              <w:rPr>
                <w:rFonts w:eastAsia="仿宋"/>
              </w:rPr>
            </w:pPr>
            <w:r>
              <w:rPr>
                <w:rFonts w:hint="eastAsia" w:eastAsia="仿宋"/>
              </w:rPr>
              <w:t>0</w:t>
            </w:r>
            <w:r>
              <w:rPr>
                <w:rFonts w:eastAsia="仿宋"/>
              </w:rPr>
              <w:t>.45</w:t>
            </w:r>
          </w:p>
        </w:tc>
      </w:tr>
    </w:tbl>
    <w:p w14:paraId="718B95E0">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.3.5.2</w:t>
      </w:r>
      <w:r>
        <w:rPr>
          <w:rFonts w:hint="eastAsia" w:ascii="Times New Roman" w:hAnsi="Times New Roman" w:eastAsia="仿宋"/>
          <w:b/>
        </w:rPr>
        <w:t>火灾事故环境影响分析</w:t>
      </w:r>
    </w:p>
    <w:p w14:paraId="1C994FEA">
      <w:pPr>
        <w:spacing w:line="500" w:lineRule="exact"/>
        <w:ind w:firstLine="560" w:firstLineChars="200"/>
        <w:rPr>
          <w:rFonts w:ascii="Times New Roman" w:eastAsia="仿宋"/>
          <w:sz w:val="28"/>
          <w:szCs w:val="28"/>
        </w:rPr>
      </w:pPr>
      <w:r>
        <w:rPr>
          <w:rFonts w:hint="eastAsia" w:ascii="Times New Roman" w:eastAsia="仿宋"/>
          <w:sz w:val="28"/>
          <w:szCs w:val="28"/>
        </w:rPr>
        <w:t>二甲苯发生泄漏，</w:t>
      </w:r>
      <w:r>
        <w:rPr>
          <w:rFonts w:ascii="Times New Roman" w:eastAsia="仿宋"/>
          <w:sz w:val="28"/>
          <w:szCs w:val="28"/>
        </w:rPr>
        <w:t>遇火源发生火灾事故</w:t>
      </w:r>
      <w:r>
        <w:rPr>
          <w:rFonts w:hint="eastAsia" w:ascii="Times New Roman" w:eastAsia="仿宋"/>
          <w:sz w:val="28"/>
          <w:szCs w:val="28"/>
        </w:rPr>
        <w:t>后</w:t>
      </w:r>
      <w:r>
        <w:rPr>
          <w:rFonts w:ascii="Times New Roman" w:eastAsia="仿宋"/>
          <w:sz w:val="28"/>
          <w:szCs w:val="28"/>
        </w:rPr>
        <w:t>，燃烧后会伴随大量的CO、CO</w:t>
      </w:r>
      <w:r>
        <w:rPr>
          <w:rFonts w:ascii="Times New Roman" w:eastAsia="仿宋"/>
          <w:sz w:val="28"/>
          <w:szCs w:val="28"/>
          <w:vertAlign w:val="subscript"/>
        </w:rPr>
        <w:t>2</w:t>
      </w:r>
      <w:r>
        <w:rPr>
          <w:rFonts w:ascii="Times New Roman" w:eastAsia="仿宋"/>
          <w:sz w:val="28"/>
          <w:szCs w:val="28"/>
        </w:rPr>
        <w:t>等污染物，在短时间内对周围环境造成不利影响，不完全燃烧的CO毒性较大，对人体造成的危害较大，因此对燃烧过程中产生的CO在空气中的扩散进行预测。</w:t>
      </w:r>
    </w:p>
    <w:p w14:paraId="7345DF35">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参照《建设项目环境风险评价技术导则》（HJ169-2018）中油品火灾伴生/次生一氧化碳产生量计算方法为：</w:t>
      </w:r>
    </w:p>
    <w:p w14:paraId="30E78E19">
      <w:pPr>
        <w:autoSpaceDE w:val="0"/>
        <w:autoSpaceDN w:val="0"/>
        <w:spacing w:line="500" w:lineRule="exact"/>
        <w:ind w:firstLine="560" w:firstLineChars="200"/>
        <w:jc w:val="center"/>
        <w:rPr>
          <w:rFonts w:ascii="Times New Roman" w:eastAsia="仿宋"/>
          <w:sz w:val="28"/>
          <w:szCs w:val="28"/>
        </w:rPr>
      </w:pPr>
      <w:r>
        <w:rPr>
          <w:rFonts w:ascii="Times New Roman" w:eastAsia="仿宋"/>
          <w:sz w:val="28"/>
          <w:szCs w:val="28"/>
        </w:rPr>
        <w:t>G</w:t>
      </w:r>
      <w:r>
        <w:rPr>
          <w:rFonts w:ascii="Times New Roman" w:eastAsia="仿宋"/>
          <w:sz w:val="28"/>
          <w:szCs w:val="28"/>
          <w:vertAlign w:val="subscript"/>
        </w:rPr>
        <w:t>CO</w:t>
      </w:r>
      <w:r>
        <w:rPr>
          <w:rFonts w:ascii="Times New Roman" w:eastAsia="仿宋"/>
          <w:sz w:val="28"/>
          <w:szCs w:val="28"/>
        </w:rPr>
        <w:t>=2330qCQ</w:t>
      </w:r>
    </w:p>
    <w:p w14:paraId="4BFF1B4B">
      <w:pPr>
        <w:spacing w:line="500" w:lineRule="exact"/>
        <w:ind w:firstLine="560" w:firstLineChars="200"/>
        <w:rPr>
          <w:rFonts w:ascii="Times New Roman" w:eastAsia="仿宋"/>
          <w:sz w:val="28"/>
          <w:szCs w:val="28"/>
        </w:rPr>
      </w:pPr>
      <w:r>
        <w:rPr>
          <w:rFonts w:ascii="Times New Roman" w:eastAsia="仿宋"/>
          <w:sz w:val="28"/>
          <w:szCs w:val="28"/>
        </w:rPr>
        <w:t>式中：G</w:t>
      </w:r>
      <w:r>
        <w:rPr>
          <w:rFonts w:ascii="Times New Roman" w:eastAsia="仿宋"/>
          <w:sz w:val="28"/>
          <w:szCs w:val="28"/>
          <w:vertAlign w:val="subscript"/>
        </w:rPr>
        <w:t>CO</w:t>
      </w:r>
      <w:r>
        <w:rPr>
          <w:rFonts w:ascii="Times New Roman" w:eastAsia="仿宋"/>
          <w:sz w:val="28"/>
          <w:szCs w:val="28"/>
        </w:rPr>
        <w:t>—一氧化碳的产生量，kg/s；</w:t>
      </w:r>
    </w:p>
    <w:p w14:paraId="6947AC6B">
      <w:pPr>
        <w:spacing w:line="500" w:lineRule="exact"/>
        <w:ind w:firstLine="560" w:firstLineChars="200"/>
        <w:rPr>
          <w:rFonts w:ascii="Times New Roman" w:eastAsia="仿宋"/>
          <w:sz w:val="28"/>
          <w:szCs w:val="28"/>
        </w:rPr>
      </w:pPr>
      <w:r>
        <w:rPr>
          <w:rFonts w:ascii="Times New Roman" w:eastAsia="仿宋"/>
          <w:sz w:val="28"/>
          <w:szCs w:val="28"/>
        </w:rPr>
        <w:t>C—物质中碳的质量百分比含量，%，本次评价取90.6%；</w:t>
      </w:r>
    </w:p>
    <w:p w14:paraId="2DBB4D01">
      <w:pPr>
        <w:spacing w:line="500" w:lineRule="exact"/>
        <w:ind w:firstLine="560" w:firstLineChars="200"/>
        <w:rPr>
          <w:rFonts w:ascii="Times New Roman" w:eastAsia="仿宋"/>
          <w:sz w:val="28"/>
          <w:szCs w:val="28"/>
        </w:rPr>
      </w:pPr>
      <w:r>
        <w:rPr>
          <w:rFonts w:ascii="Times New Roman" w:eastAsia="仿宋"/>
          <w:sz w:val="28"/>
          <w:szCs w:val="28"/>
        </w:rPr>
        <w:t>q—化学不完全燃烧值，%，取1.5%~6.0%，本次评价取2%；</w:t>
      </w:r>
    </w:p>
    <w:p w14:paraId="2F207BAE">
      <w:pPr>
        <w:spacing w:line="500" w:lineRule="exact"/>
        <w:ind w:firstLine="560" w:firstLineChars="200"/>
        <w:rPr>
          <w:rFonts w:ascii="Times New Roman" w:eastAsia="仿宋"/>
          <w:sz w:val="28"/>
          <w:szCs w:val="28"/>
        </w:rPr>
      </w:pPr>
      <w:r>
        <w:rPr>
          <w:rFonts w:ascii="Times New Roman" w:eastAsia="仿宋"/>
          <w:sz w:val="28"/>
          <w:szCs w:val="28"/>
        </w:rPr>
        <w:t>Q—参与燃烧的物质量，t/s。</w:t>
      </w:r>
      <w:r>
        <w:rPr>
          <w:rFonts w:hint="eastAsia" w:ascii="Times New Roman" w:eastAsia="仿宋"/>
          <w:sz w:val="28"/>
          <w:szCs w:val="28"/>
        </w:rPr>
        <w:t>火灾持续</w:t>
      </w:r>
      <w:r>
        <w:rPr>
          <w:rFonts w:ascii="Times New Roman" w:eastAsia="仿宋"/>
          <w:sz w:val="28"/>
          <w:szCs w:val="28"/>
        </w:rPr>
        <w:t>时间</w:t>
      </w:r>
      <w:r>
        <w:rPr>
          <w:rFonts w:hint="eastAsia" w:ascii="Times New Roman" w:eastAsia="仿宋"/>
          <w:sz w:val="28"/>
          <w:szCs w:val="28"/>
        </w:rPr>
        <w:t>以</w:t>
      </w:r>
      <w:r>
        <w:rPr>
          <w:rFonts w:ascii="Times New Roman" w:eastAsia="仿宋"/>
          <w:sz w:val="28"/>
          <w:szCs w:val="28"/>
        </w:rPr>
        <w:t>2h</w:t>
      </w:r>
      <w:r>
        <w:rPr>
          <w:rFonts w:hint="eastAsia" w:ascii="Times New Roman" w:eastAsia="仿宋"/>
          <w:sz w:val="28"/>
          <w:szCs w:val="28"/>
        </w:rPr>
        <w:t>计，</w:t>
      </w:r>
      <w:r>
        <w:rPr>
          <w:rFonts w:ascii="Times New Roman" w:eastAsia="仿宋"/>
          <w:sz w:val="28"/>
          <w:szCs w:val="28"/>
        </w:rPr>
        <w:t>经</w:t>
      </w:r>
      <w:r>
        <w:rPr>
          <w:rFonts w:hint="eastAsia" w:ascii="Times New Roman" w:eastAsia="仿宋"/>
          <w:sz w:val="28"/>
          <w:szCs w:val="28"/>
        </w:rPr>
        <w:t>计算Q为1</w:t>
      </w:r>
      <w:r>
        <w:rPr>
          <w:rFonts w:ascii="Times New Roman" w:eastAsia="仿宋"/>
          <w:sz w:val="28"/>
          <w:szCs w:val="28"/>
        </w:rPr>
        <w:t>.673/</w:t>
      </w:r>
      <w:r>
        <w:rPr>
          <w:rFonts w:hint="eastAsia" w:ascii="Times New Roman" w:eastAsia="仿宋"/>
          <w:sz w:val="28"/>
          <w:szCs w:val="28"/>
        </w:rPr>
        <w:t>（</w:t>
      </w:r>
      <w:r>
        <w:rPr>
          <w:rFonts w:ascii="Times New Roman" w:eastAsia="仿宋"/>
          <w:sz w:val="28"/>
          <w:szCs w:val="28"/>
        </w:rPr>
        <w:t>2*3600）=0.000232</w:t>
      </w:r>
      <w:r>
        <w:rPr>
          <w:rFonts w:hint="eastAsia" w:ascii="Times New Roman" w:eastAsia="仿宋"/>
          <w:sz w:val="28"/>
          <w:szCs w:val="28"/>
        </w:rPr>
        <w:t>t/s。</w:t>
      </w:r>
    </w:p>
    <w:p w14:paraId="54E1991C">
      <w:pPr>
        <w:spacing w:line="500" w:lineRule="exact"/>
        <w:ind w:firstLine="560" w:firstLineChars="200"/>
        <w:rPr>
          <w:rFonts w:ascii="Times New Roman" w:eastAsia="仿宋"/>
          <w:sz w:val="28"/>
          <w:szCs w:val="28"/>
        </w:rPr>
      </w:pPr>
      <w:r>
        <w:rPr>
          <w:rFonts w:hint="eastAsia" w:ascii="Times New Roman" w:eastAsia="仿宋"/>
          <w:sz w:val="28"/>
          <w:szCs w:val="28"/>
        </w:rPr>
        <w:t>则泄漏发生火灾次生C</w:t>
      </w:r>
      <w:r>
        <w:rPr>
          <w:rFonts w:ascii="Times New Roman" w:eastAsia="仿宋"/>
          <w:sz w:val="28"/>
          <w:szCs w:val="28"/>
        </w:rPr>
        <w:t>O</w:t>
      </w:r>
      <w:r>
        <w:rPr>
          <w:rFonts w:hint="eastAsia" w:ascii="Times New Roman" w:eastAsia="仿宋"/>
          <w:sz w:val="28"/>
          <w:szCs w:val="28"/>
        </w:rPr>
        <w:t>释放速率为0.009kg</w:t>
      </w:r>
      <w:r>
        <w:rPr>
          <w:rFonts w:ascii="Times New Roman" w:eastAsia="仿宋"/>
          <w:sz w:val="28"/>
          <w:szCs w:val="28"/>
        </w:rPr>
        <w:t>/</w:t>
      </w:r>
      <w:r>
        <w:rPr>
          <w:rFonts w:hint="eastAsia" w:ascii="Times New Roman" w:eastAsia="仿宋"/>
          <w:sz w:val="28"/>
          <w:szCs w:val="28"/>
        </w:rPr>
        <w:t>s。</w:t>
      </w:r>
    </w:p>
    <w:p w14:paraId="22977B95">
      <w:pPr>
        <w:pStyle w:val="6"/>
        <w:keepLines w:val="0"/>
        <w:tabs>
          <w:tab w:val="left" w:pos="709"/>
        </w:tabs>
        <w:spacing w:before="0" w:after="120" w:afterLines="50" w:line="500" w:lineRule="exact"/>
        <w:rPr>
          <w:rFonts w:ascii="Times New Roman" w:eastAsia="仿宋"/>
          <w:b w:val="0"/>
        </w:rPr>
      </w:pPr>
      <w:r>
        <w:rPr>
          <w:rFonts w:hint="eastAsia" w:ascii="Times New Roman" w:eastAsia="仿宋"/>
          <w:bCs w:val="0"/>
          <w:sz w:val="28"/>
          <w:szCs w:val="28"/>
        </w:rPr>
        <w:t>5</w:t>
      </w:r>
      <w:r>
        <w:rPr>
          <w:rFonts w:ascii="Times New Roman" w:eastAsia="仿宋"/>
          <w:bCs w:val="0"/>
          <w:sz w:val="28"/>
          <w:szCs w:val="28"/>
        </w:rPr>
        <w:t>.3.6</w:t>
      </w:r>
      <w:r>
        <w:rPr>
          <w:rFonts w:hint="eastAsia" w:ascii="Times New Roman" w:eastAsia="仿宋"/>
          <w:bCs w:val="0"/>
          <w:sz w:val="28"/>
          <w:szCs w:val="28"/>
        </w:rPr>
        <w:t>风险预测与评价</w:t>
      </w:r>
    </w:p>
    <w:p w14:paraId="73C405C4">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.3.6.1</w:t>
      </w:r>
      <w:r>
        <w:rPr>
          <w:rFonts w:hint="eastAsia" w:ascii="Times New Roman" w:hAnsi="Times New Roman" w:eastAsia="仿宋"/>
          <w:b/>
        </w:rPr>
        <w:t>有毒有害物质在大气中的扩散</w:t>
      </w:r>
    </w:p>
    <w:p w14:paraId="2BA8B37D">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一、预测模型</w:t>
      </w:r>
    </w:p>
    <w:p w14:paraId="049C9D57">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根据理查德森数（Ri）作为标准判断选择SLAB模型或AFTOX模型进行预测。根据连续排放或瞬时排放的判定，本项目为连续排放，</w:t>
      </w:r>
      <w:r>
        <w:rPr>
          <w:rFonts w:hint="eastAsia" w:ascii="Times New Roman" w:eastAsia="仿宋"/>
          <w:sz w:val="28"/>
          <w:szCs w:val="28"/>
        </w:rPr>
        <w:t>二甲苯、CO的Ri均小</w:t>
      </w:r>
      <w:r>
        <w:rPr>
          <w:rFonts w:ascii="Times New Roman" w:eastAsia="仿宋"/>
          <w:sz w:val="28"/>
          <w:szCs w:val="28"/>
        </w:rPr>
        <w:t>于1/6，所以本项目选用AFTOX模型进行预测。</w:t>
      </w:r>
    </w:p>
    <w:p w14:paraId="4EDC2C92">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二、预测范围与计算点</w:t>
      </w:r>
    </w:p>
    <w:p w14:paraId="0C7B9421">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（1）预测范围</w:t>
      </w:r>
    </w:p>
    <w:p w14:paraId="0A517DC1">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由预测模型计算获取，但不超过10km。</w:t>
      </w:r>
    </w:p>
    <w:p w14:paraId="7B27019A">
      <w:pPr>
        <w:autoSpaceDE w:val="0"/>
        <w:autoSpaceDN w:val="0"/>
        <w:spacing w:line="500" w:lineRule="exact"/>
        <w:ind w:firstLine="560" w:firstLineChars="200"/>
        <w:rPr>
          <w:rFonts w:ascii="Times New Roman" w:eastAsia="仿宋"/>
          <w:sz w:val="28"/>
          <w:szCs w:val="28"/>
        </w:rPr>
      </w:pPr>
      <w:r>
        <w:rPr>
          <w:rFonts w:ascii="Times New Roman" w:eastAsia="仿宋"/>
          <w:sz w:val="28"/>
          <w:szCs w:val="28"/>
        </w:rPr>
        <w:t>（2）计算点</w:t>
      </w:r>
    </w:p>
    <w:p w14:paraId="5CA30954">
      <w:pPr>
        <w:autoSpaceDE w:val="0"/>
        <w:autoSpaceDN w:val="0"/>
        <w:spacing w:line="500" w:lineRule="exact"/>
        <w:ind w:firstLine="560" w:firstLineChars="200"/>
        <w:rPr>
          <w:rFonts w:ascii="Times New Roman" w:eastAsia="仿宋"/>
          <w:b/>
          <w:bCs/>
          <w:kern w:val="2"/>
          <w:szCs w:val="24"/>
        </w:rPr>
      </w:pPr>
      <w:r>
        <w:rPr>
          <w:rFonts w:ascii="Times New Roman" w:eastAsia="仿宋"/>
          <w:sz w:val="28"/>
          <w:szCs w:val="28"/>
        </w:rPr>
        <w:t>包括特殊计算点和一般计算点。特殊计算点指大气环境敏感目标等关心点（具体见下表），一般计算点指下风向不同距离点，步长取50m。</w:t>
      </w:r>
    </w:p>
    <w:p w14:paraId="3D979150">
      <w:pPr>
        <w:jc w:val="center"/>
        <w:rPr>
          <w:rFonts w:ascii="Times New Roman" w:eastAsia="仿宋"/>
          <w:b/>
          <w:bCs/>
          <w:kern w:val="2"/>
          <w:szCs w:val="24"/>
        </w:rPr>
      </w:pPr>
      <w:r>
        <w:rPr>
          <w:rFonts w:ascii="Times New Roman" w:eastAsia="仿宋"/>
          <w:b/>
          <w:bCs/>
          <w:kern w:val="2"/>
          <w:szCs w:val="24"/>
        </w:rPr>
        <w:t>表</w:t>
      </w:r>
      <w:r>
        <w:rPr>
          <w:rFonts w:hint="eastAsia" w:ascii="Times New Roman" w:eastAsia="仿宋"/>
          <w:b/>
          <w:bCs/>
          <w:kern w:val="2"/>
          <w:szCs w:val="24"/>
        </w:rPr>
        <w:t>5.</w:t>
      </w:r>
      <w:r>
        <w:rPr>
          <w:rFonts w:ascii="Times New Roman" w:eastAsia="仿宋"/>
          <w:b/>
          <w:bCs/>
          <w:kern w:val="2"/>
          <w:szCs w:val="24"/>
        </w:rPr>
        <w:t>3</w:t>
      </w:r>
      <w:r>
        <w:rPr>
          <w:rFonts w:hint="eastAsia" w:ascii="Times New Roman" w:eastAsia="仿宋"/>
          <w:b/>
          <w:bCs/>
          <w:kern w:val="2"/>
          <w:szCs w:val="24"/>
        </w:rPr>
        <w:t>-2</w:t>
      </w:r>
      <w:r>
        <w:rPr>
          <w:rFonts w:ascii="Times New Roman" w:eastAsia="仿宋"/>
          <w:b/>
          <w:bCs/>
          <w:kern w:val="2"/>
          <w:szCs w:val="24"/>
        </w:rPr>
        <w:t>6  大气环境敏感目标</w:t>
      </w:r>
    </w:p>
    <w:tbl>
      <w:tblPr>
        <w:tblStyle w:val="8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7"/>
        <w:gridCol w:w="1548"/>
        <w:gridCol w:w="1292"/>
        <w:gridCol w:w="1968"/>
        <w:gridCol w:w="1370"/>
        <w:gridCol w:w="2032"/>
      </w:tblGrid>
      <w:tr w14:paraId="203B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Align w:val="center"/>
          </w:tcPr>
          <w:p w14:paraId="06C0249A">
            <w:pPr>
              <w:spacing w:line="360" w:lineRule="exact"/>
              <w:jc w:val="center"/>
              <w:rPr>
                <w:rFonts w:ascii="Times New Roman" w:eastAsia="仿宋"/>
                <w:szCs w:val="21"/>
                <w:lang w:val="zh-CN"/>
              </w:rPr>
            </w:pPr>
            <w:r>
              <w:rPr>
                <w:rFonts w:ascii="Times New Roman" w:eastAsia="仿宋"/>
                <w:szCs w:val="21"/>
                <w:lang w:val="zh-CN"/>
              </w:rPr>
              <w:t>环境要素</w:t>
            </w:r>
          </w:p>
        </w:tc>
        <w:tc>
          <w:tcPr>
            <w:tcW w:w="1548" w:type="dxa"/>
            <w:vAlign w:val="center"/>
          </w:tcPr>
          <w:p w14:paraId="74DE1366">
            <w:pPr>
              <w:spacing w:line="360" w:lineRule="exact"/>
              <w:jc w:val="center"/>
              <w:rPr>
                <w:rFonts w:ascii="Times New Roman" w:eastAsia="仿宋"/>
                <w:szCs w:val="21"/>
                <w:lang w:val="zh-CN"/>
              </w:rPr>
            </w:pPr>
            <w:r>
              <w:rPr>
                <w:rFonts w:ascii="Times New Roman" w:eastAsia="仿宋"/>
                <w:szCs w:val="21"/>
                <w:lang w:val="zh-CN"/>
              </w:rPr>
              <w:t>保护对象</w:t>
            </w:r>
          </w:p>
        </w:tc>
        <w:tc>
          <w:tcPr>
            <w:tcW w:w="1292" w:type="dxa"/>
            <w:vAlign w:val="center"/>
          </w:tcPr>
          <w:p w14:paraId="624DD389">
            <w:pPr>
              <w:spacing w:line="360" w:lineRule="exact"/>
              <w:jc w:val="center"/>
              <w:rPr>
                <w:rFonts w:ascii="Times New Roman" w:eastAsia="仿宋"/>
                <w:szCs w:val="21"/>
                <w:lang w:val="zh-CN"/>
              </w:rPr>
            </w:pPr>
            <w:r>
              <w:rPr>
                <w:rFonts w:ascii="Times New Roman" w:eastAsia="仿宋"/>
                <w:szCs w:val="21"/>
                <w:lang w:val="zh-CN"/>
              </w:rPr>
              <w:t>规模（人）</w:t>
            </w:r>
          </w:p>
        </w:tc>
        <w:tc>
          <w:tcPr>
            <w:tcW w:w="1968" w:type="dxa"/>
            <w:vAlign w:val="center"/>
          </w:tcPr>
          <w:p w14:paraId="407C8554">
            <w:pPr>
              <w:spacing w:line="360" w:lineRule="exact"/>
              <w:jc w:val="center"/>
              <w:rPr>
                <w:rFonts w:ascii="Times New Roman" w:eastAsia="仿宋"/>
                <w:szCs w:val="21"/>
                <w:lang w:val="zh-CN"/>
              </w:rPr>
            </w:pPr>
            <w:r>
              <w:rPr>
                <w:rFonts w:ascii="Times New Roman" w:eastAsia="仿宋"/>
                <w:szCs w:val="21"/>
                <w:lang w:val="zh-CN"/>
              </w:rPr>
              <w:t>环境功能区</w:t>
            </w:r>
          </w:p>
        </w:tc>
        <w:tc>
          <w:tcPr>
            <w:tcW w:w="1370" w:type="dxa"/>
            <w:vAlign w:val="center"/>
          </w:tcPr>
          <w:p w14:paraId="36FF6BEC">
            <w:pPr>
              <w:spacing w:line="360" w:lineRule="exact"/>
              <w:jc w:val="center"/>
              <w:rPr>
                <w:rFonts w:ascii="Times New Roman" w:eastAsia="仿宋"/>
                <w:szCs w:val="21"/>
                <w:lang w:val="zh-CN"/>
              </w:rPr>
            </w:pPr>
            <w:r>
              <w:rPr>
                <w:rFonts w:ascii="Times New Roman" w:eastAsia="仿宋"/>
                <w:szCs w:val="21"/>
                <w:lang w:val="zh-CN"/>
              </w:rPr>
              <w:t>相对厂址方位</w:t>
            </w:r>
          </w:p>
        </w:tc>
        <w:tc>
          <w:tcPr>
            <w:tcW w:w="2032" w:type="dxa"/>
            <w:vAlign w:val="center"/>
          </w:tcPr>
          <w:p w14:paraId="3233BD16">
            <w:pPr>
              <w:spacing w:line="360" w:lineRule="exact"/>
              <w:jc w:val="center"/>
              <w:rPr>
                <w:rFonts w:ascii="Times New Roman" w:eastAsia="仿宋"/>
                <w:szCs w:val="21"/>
                <w:lang w:val="zh-CN"/>
              </w:rPr>
            </w:pPr>
            <w:r>
              <w:rPr>
                <w:rFonts w:ascii="Times New Roman" w:eastAsia="仿宋"/>
                <w:szCs w:val="21"/>
                <w:lang w:val="zh-CN"/>
              </w:rPr>
              <w:t>相对厂界距离（m）</w:t>
            </w:r>
          </w:p>
        </w:tc>
      </w:tr>
      <w:tr w14:paraId="25E1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restart"/>
            <w:vAlign w:val="center"/>
          </w:tcPr>
          <w:p w14:paraId="513CD705">
            <w:pPr>
              <w:spacing w:line="360" w:lineRule="exact"/>
              <w:jc w:val="center"/>
              <w:rPr>
                <w:rFonts w:ascii="Times New Roman" w:eastAsia="仿宋"/>
                <w:szCs w:val="21"/>
                <w:lang w:val="zh-CN"/>
              </w:rPr>
            </w:pPr>
            <w:r>
              <w:rPr>
                <w:rFonts w:ascii="Times New Roman" w:eastAsia="仿宋"/>
                <w:szCs w:val="21"/>
                <w:lang w:val="zh-CN"/>
              </w:rPr>
              <w:t>大气环境</w:t>
            </w:r>
          </w:p>
        </w:tc>
        <w:tc>
          <w:tcPr>
            <w:tcW w:w="1548" w:type="dxa"/>
            <w:vAlign w:val="center"/>
          </w:tcPr>
          <w:p w14:paraId="6D46E8FF">
            <w:pPr>
              <w:spacing w:line="360" w:lineRule="exact"/>
              <w:jc w:val="center"/>
              <w:rPr>
                <w:rFonts w:ascii="Times New Roman" w:eastAsia="仿宋"/>
                <w:szCs w:val="21"/>
                <w:lang w:val="zh-CN"/>
              </w:rPr>
            </w:pPr>
            <w:r>
              <w:rPr>
                <w:rFonts w:hint="eastAsia" w:ascii="Times New Roman" w:eastAsia="仿宋"/>
                <w:szCs w:val="21"/>
              </w:rPr>
              <w:t>唐巷村</w:t>
            </w:r>
          </w:p>
        </w:tc>
        <w:tc>
          <w:tcPr>
            <w:tcW w:w="1292" w:type="dxa"/>
            <w:vAlign w:val="center"/>
          </w:tcPr>
          <w:p w14:paraId="782628EC">
            <w:pPr>
              <w:spacing w:line="360" w:lineRule="exact"/>
              <w:jc w:val="center"/>
              <w:rPr>
                <w:rFonts w:ascii="Times New Roman" w:eastAsia="仿宋"/>
                <w:szCs w:val="21"/>
              </w:rPr>
            </w:pPr>
            <w:r>
              <w:rPr>
                <w:rFonts w:hint="eastAsia" w:ascii="Times New Roman" w:eastAsia="仿宋"/>
                <w:szCs w:val="21"/>
              </w:rPr>
              <w:t>456</w:t>
            </w:r>
          </w:p>
        </w:tc>
        <w:tc>
          <w:tcPr>
            <w:tcW w:w="1968" w:type="dxa"/>
            <w:vMerge w:val="restart"/>
            <w:vAlign w:val="center"/>
          </w:tcPr>
          <w:p w14:paraId="51A676D2">
            <w:pPr>
              <w:spacing w:line="360" w:lineRule="exact"/>
              <w:jc w:val="center"/>
              <w:rPr>
                <w:rFonts w:ascii="Times New Roman" w:eastAsia="仿宋"/>
                <w:szCs w:val="21"/>
                <w:lang w:val="zh-CN"/>
              </w:rPr>
            </w:pPr>
            <w:r>
              <w:rPr>
                <w:rFonts w:ascii="Times New Roman" w:eastAsia="仿宋"/>
                <w:szCs w:val="21"/>
                <w:lang w:val="zh-CN"/>
              </w:rPr>
              <w:t>大气环境质量达到</w:t>
            </w:r>
            <w:r>
              <w:rPr>
                <w:rFonts w:hint="eastAsia" w:ascii="Times New Roman" w:eastAsia="仿宋"/>
                <w:szCs w:val="21"/>
                <w:lang w:val="zh-CN"/>
              </w:rPr>
              <w:t>①</w:t>
            </w:r>
            <w:r>
              <w:rPr>
                <w:rFonts w:ascii="Times New Roman" w:eastAsia="仿宋"/>
                <w:szCs w:val="21"/>
                <w:lang w:val="zh-CN"/>
              </w:rPr>
              <w:t>《大气污染物综合排放标准详解》选用标准</w:t>
            </w:r>
            <w:r>
              <w:rPr>
                <w:rFonts w:hint="eastAsia" w:ascii="Times New Roman" w:eastAsia="仿宋"/>
                <w:szCs w:val="21"/>
                <w:lang w:val="zh-CN"/>
              </w:rPr>
              <w:t>②</w:t>
            </w:r>
            <w:r>
              <w:rPr>
                <w:rFonts w:ascii="Times New Roman" w:eastAsia="仿宋"/>
                <w:szCs w:val="21"/>
                <w:lang w:val="zh-CN"/>
              </w:rPr>
              <w:t>《环境影响评价技术导则 大气环境》（HJ 2.2-2018）附录D标准</w:t>
            </w:r>
          </w:p>
        </w:tc>
        <w:tc>
          <w:tcPr>
            <w:tcW w:w="1370" w:type="dxa"/>
            <w:vAlign w:val="center"/>
          </w:tcPr>
          <w:p w14:paraId="25DAFF12">
            <w:pPr>
              <w:adjustRightInd w:val="0"/>
              <w:snapToGrid w:val="0"/>
              <w:jc w:val="center"/>
              <w:rPr>
                <w:rFonts w:ascii="Times New Roman" w:eastAsia="仿宋"/>
                <w:szCs w:val="21"/>
              </w:rPr>
            </w:pPr>
            <w:r>
              <w:rPr>
                <w:rFonts w:hint="eastAsia" w:ascii="Times New Roman" w:eastAsia="仿宋"/>
                <w:szCs w:val="21"/>
              </w:rPr>
              <w:t>SW</w:t>
            </w:r>
          </w:p>
        </w:tc>
        <w:tc>
          <w:tcPr>
            <w:tcW w:w="2032" w:type="dxa"/>
            <w:vAlign w:val="center"/>
          </w:tcPr>
          <w:p w14:paraId="4E986D52">
            <w:pPr>
              <w:adjustRightInd w:val="0"/>
              <w:snapToGrid w:val="0"/>
              <w:jc w:val="center"/>
              <w:rPr>
                <w:rFonts w:ascii="Times New Roman" w:eastAsia="仿宋"/>
                <w:szCs w:val="21"/>
              </w:rPr>
            </w:pPr>
            <w:r>
              <w:rPr>
                <w:rFonts w:hint="eastAsia" w:ascii="Times New Roman" w:eastAsia="仿宋"/>
                <w:szCs w:val="21"/>
              </w:rPr>
              <w:t>850</w:t>
            </w:r>
          </w:p>
        </w:tc>
      </w:tr>
      <w:tr w14:paraId="24C5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73313070">
            <w:pPr>
              <w:spacing w:line="360" w:lineRule="exact"/>
              <w:jc w:val="center"/>
              <w:rPr>
                <w:rFonts w:ascii="Times New Roman" w:eastAsia="仿宋"/>
                <w:szCs w:val="21"/>
                <w:lang w:val="zh-CN"/>
              </w:rPr>
            </w:pPr>
          </w:p>
        </w:tc>
        <w:tc>
          <w:tcPr>
            <w:tcW w:w="1548" w:type="dxa"/>
            <w:vAlign w:val="center"/>
          </w:tcPr>
          <w:p w14:paraId="2DF8578D">
            <w:pPr>
              <w:spacing w:line="360" w:lineRule="exact"/>
              <w:jc w:val="center"/>
              <w:rPr>
                <w:rFonts w:ascii="Times New Roman" w:eastAsia="仿宋"/>
                <w:szCs w:val="21"/>
                <w:lang w:val="zh-CN"/>
              </w:rPr>
            </w:pPr>
            <w:r>
              <w:rPr>
                <w:rFonts w:hint="eastAsia" w:ascii="Times New Roman" w:eastAsia="仿宋"/>
                <w:szCs w:val="21"/>
              </w:rPr>
              <w:t>六房庄</w:t>
            </w:r>
          </w:p>
        </w:tc>
        <w:tc>
          <w:tcPr>
            <w:tcW w:w="1292" w:type="dxa"/>
            <w:vAlign w:val="center"/>
          </w:tcPr>
          <w:p w14:paraId="228195C6">
            <w:pPr>
              <w:spacing w:line="360" w:lineRule="exact"/>
              <w:jc w:val="center"/>
              <w:rPr>
                <w:rFonts w:ascii="Times New Roman" w:eastAsia="仿宋"/>
                <w:szCs w:val="21"/>
              </w:rPr>
            </w:pPr>
            <w:r>
              <w:rPr>
                <w:rFonts w:hint="eastAsia" w:ascii="Times New Roman" w:eastAsia="仿宋"/>
                <w:szCs w:val="21"/>
              </w:rPr>
              <w:t>48</w:t>
            </w:r>
            <w:r>
              <w:rPr>
                <w:rFonts w:ascii="Times New Roman" w:eastAsia="仿宋"/>
                <w:szCs w:val="21"/>
              </w:rPr>
              <w:t>0</w:t>
            </w:r>
          </w:p>
        </w:tc>
        <w:tc>
          <w:tcPr>
            <w:tcW w:w="1968" w:type="dxa"/>
            <w:vMerge w:val="continue"/>
            <w:vAlign w:val="center"/>
          </w:tcPr>
          <w:p w14:paraId="34A8C20F">
            <w:pPr>
              <w:spacing w:line="360" w:lineRule="exact"/>
              <w:jc w:val="center"/>
              <w:rPr>
                <w:rFonts w:ascii="Times New Roman" w:eastAsia="仿宋"/>
                <w:szCs w:val="21"/>
                <w:lang w:val="zh-CN"/>
              </w:rPr>
            </w:pPr>
          </w:p>
        </w:tc>
        <w:tc>
          <w:tcPr>
            <w:tcW w:w="1370" w:type="dxa"/>
            <w:vAlign w:val="center"/>
          </w:tcPr>
          <w:p w14:paraId="31860081">
            <w:pPr>
              <w:adjustRightInd w:val="0"/>
              <w:snapToGrid w:val="0"/>
              <w:jc w:val="center"/>
              <w:rPr>
                <w:rFonts w:ascii="Times New Roman" w:eastAsia="仿宋"/>
                <w:szCs w:val="21"/>
              </w:rPr>
            </w:pPr>
            <w:r>
              <w:rPr>
                <w:rFonts w:hint="eastAsia" w:ascii="Times New Roman" w:eastAsia="仿宋"/>
                <w:szCs w:val="21"/>
              </w:rPr>
              <w:t>S</w:t>
            </w:r>
          </w:p>
        </w:tc>
        <w:tc>
          <w:tcPr>
            <w:tcW w:w="2032" w:type="dxa"/>
            <w:vAlign w:val="center"/>
          </w:tcPr>
          <w:p w14:paraId="164405D0">
            <w:pPr>
              <w:adjustRightInd w:val="0"/>
              <w:snapToGrid w:val="0"/>
              <w:jc w:val="center"/>
              <w:rPr>
                <w:rFonts w:ascii="Times New Roman" w:eastAsia="仿宋"/>
                <w:szCs w:val="21"/>
              </w:rPr>
            </w:pPr>
            <w:r>
              <w:rPr>
                <w:rFonts w:hint="eastAsia" w:ascii="Times New Roman" w:eastAsia="仿宋"/>
                <w:szCs w:val="21"/>
              </w:rPr>
              <w:t>1000</w:t>
            </w:r>
          </w:p>
        </w:tc>
      </w:tr>
      <w:tr w14:paraId="67E1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5B4A29A6">
            <w:pPr>
              <w:spacing w:line="360" w:lineRule="exact"/>
              <w:jc w:val="center"/>
              <w:rPr>
                <w:rFonts w:ascii="Times New Roman" w:eastAsia="仿宋"/>
                <w:szCs w:val="21"/>
                <w:lang w:val="zh-CN"/>
              </w:rPr>
            </w:pPr>
          </w:p>
        </w:tc>
        <w:tc>
          <w:tcPr>
            <w:tcW w:w="1548" w:type="dxa"/>
            <w:vAlign w:val="center"/>
          </w:tcPr>
          <w:p w14:paraId="6B2C581B">
            <w:pPr>
              <w:adjustRightInd w:val="0"/>
              <w:snapToGrid w:val="0"/>
              <w:jc w:val="center"/>
              <w:rPr>
                <w:rFonts w:ascii="Times New Roman" w:eastAsia="仿宋"/>
                <w:szCs w:val="21"/>
              </w:rPr>
            </w:pPr>
            <w:r>
              <w:rPr>
                <w:rFonts w:hint="eastAsia" w:ascii="Times New Roman" w:eastAsia="仿宋"/>
                <w:szCs w:val="21"/>
              </w:rPr>
              <w:t>庄基村</w:t>
            </w:r>
          </w:p>
        </w:tc>
        <w:tc>
          <w:tcPr>
            <w:tcW w:w="1292" w:type="dxa"/>
            <w:vAlign w:val="center"/>
          </w:tcPr>
          <w:p w14:paraId="7A7B4F4C">
            <w:pPr>
              <w:spacing w:line="360" w:lineRule="exact"/>
              <w:jc w:val="center"/>
              <w:rPr>
                <w:rFonts w:ascii="Times New Roman" w:eastAsia="仿宋"/>
                <w:szCs w:val="21"/>
              </w:rPr>
            </w:pPr>
            <w:r>
              <w:rPr>
                <w:rFonts w:hint="eastAsia" w:ascii="Times New Roman" w:eastAsia="仿宋"/>
                <w:szCs w:val="21"/>
              </w:rPr>
              <w:t>540</w:t>
            </w:r>
          </w:p>
        </w:tc>
        <w:tc>
          <w:tcPr>
            <w:tcW w:w="1968" w:type="dxa"/>
            <w:vMerge w:val="continue"/>
            <w:vAlign w:val="center"/>
          </w:tcPr>
          <w:p w14:paraId="2E7ED719">
            <w:pPr>
              <w:spacing w:line="360" w:lineRule="exact"/>
              <w:jc w:val="center"/>
              <w:rPr>
                <w:rFonts w:ascii="Times New Roman" w:eastAsia="仿宋"/>
                <w:szCs w:val="21"/>
                <w:lang w:val="zh-CN"/>
              </w:rPr>
            </w:pPr>
          </w:p>
        </w:tc>
        <w:tc>
          <w:tcPr>
            <w:tcW w:w="1370" w:type="dxa"/>
            <w:vAlign w:val="center"/>
          </w:tcPr>
          <w:p w14:paraId="2A4B2B61">
            <w:pPr>
              <w:adjustRightInd w:val="0"/>
              <w:snapToGrid w:val="0"/>
              <w:jc w:val="center"/>
              <w:rPr>
                <w:rFonts w:ascii="Times New Roman" w:eastAsia="仿宋"/>
                <w:szCs w:val="21"/>
              </w:rPr>
            </w:pPr>
            <w:r>
              <w:rPr>
                <w:rFonts w:hint="eastAsia" w:ascii="Times New Roman" w:eastAsia="仿宋"/>
                <w:szCs w:val="21"/>
              </w:rPr>
              <w:t>SE</w:t>
            </w:r>
          </w:p>
        </w:tc>
        <w:tc>
          <w:tcPr>
            <w:tcW w:w="2032" w:type="dxa"/>
            <w:vAlign w:val="center"/>
          </w:tcPr>
          <w:p w14:paraId="45F3529E">
            <w:pPr>
              <w:adjustRightInd w:val="0"/>
              <w:snapToGrid w:val="0"/>
              <w:jc w:val="center"/>
              <w:rPr>
                <w:rFonts w:ascii="Times New Roman" w:eastAsia="仿宋"/>
                <w:szCs w:val="21"/>
              </w:rPr>
            </w:pPr>
            <w:r>
              <w:rPr>
                <w:rFonts w:hint="eastAsia" w:ascii="Times New Roman" w:eastAsia="仿宋"/>
                <w:szCs w:val="21"/>
              </w:rPr>
              <w:t>1400</w:t>
            </w:r>
          </w:p>
        </w:tc>
      </w:tr>
      <w:tr w14:paraId="2BF9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6520116E">
            <w:pPr>
              <w:spacing w:line="360" w:lineRule="exact"/>
              <w:jc w:val="center"/>
              <w:rPr>
                <w:rFonts w:ascii="Times New Roman" w:eastAsia="仿宋"/>
                <w:szCs w:val="21"/>
                <w:lang w:val="zh-CN"/>
              </w:rPr>
            </w:pPr>
          </w:p>
        </w:tc>
        <w:tc>
          <w:tcPr>
            <w:tcW w:w="1548" w:type="dxa"/>
            <w:vAlign w:val="center"/>
          </w:tcPr>
          <w:p w14:paraId="78DFF1CB">
            <w:pPr>
              <w:spacing w:line="360" w:lineRule="exact"/>
              <w:jc w:val="center"/>
              <w:rPr>
                <w:rFonts w:ascii="Times New Roman" w:eastAsia="仿宋"/>
                <w:szCs w:val="21"/>
                <w:lang w:val="zh-CN"/>
              </w:rPr>
            </w:pPr>
            <w:r>
              <w:rPr>
                <w:rFonts w:hint="eastAsia" w:ascii="Times New Roman" w:eastAsia="仿宋"/>
                <w:szCs w:val="21"/>
              </w:rPr>
              <w:t>杨家棚</w:t>
            </w:r>
          </w:p>
        </w:tc>
        <w:tc>
          <w:tcPr>
            <w:tcW w:w="1292" w:type="dxa"/>
            <w:vAlign w:val="center"/>
          </w:tcPr>
          <w:p w14:paraId="4BCDB0C7">
            <w:pPr>
              <w:spacing w:line="360" w:lineRule="exact"/>
              <w:jc w:val="center"/>
              <w:rPr>
                <w:rFonts w:ascii="Times New Roman" w:eastAsia="仿宋"/>
                <w:szCs w:val="21"/>
              </w:rPr>
            </w:pPr>
            <w:r>
              <w:rPr>
                <w:rFonts w:hint="eastAsia" w:ascii="Times New Roman" w:eastAsia="仿宋"/>
                <w:szCs w:val="21"/>
              </w:rPr>
              <w:t>158</w:t>
            </w:r>
          </w:p>
        </w:tc>
        <w:tc>
          <w:tcPr>
            <w:tcW w:w="1968" w:type="dxa"/>
            <w:vMerge w:val="continue"/>
            <w:vAlign w:val="center"/>
          </w:tcPr>
          <w:p w14:paraId="6E6E1737">
            <w:pPr>
              <w:spacing w:line="360" w:lineRule="exact"/>
              <w:jc w:val="center"/>
              <w:rPr>
                <w:rFonts w:ascii="Times New Roman" w:eastAsia="仿宋"/>
                <w:szCs w:val="21"/>
                <w:lang w:val="zh-CN"/>
              </w:rPr>
            </w:pPr>
          </w:p>
        </w:tc>
        <w:tc>
          <w:tcPr>
            <w:tcW w:w="1370" w:type="dxa"/>
            <w:vAlign w:val="center"/>
          </w:tcPr>
          <w:p w14:paraId="3A455858">
            <w:pPr>
              <w:adjustRightInd w:val="0"/>
              <w:snapToGrid w:val="0"/>
              <w:jc w:val="center"/>
              <w:rPr>
                <w:rFonts w:ascii="Times New Roman" w:eastAsia="仿宋"/>
                <w:szCs w:val="21"/>
              </w:rPr>
            </w:pPr>
            <w:r>
              <w:rPr>
                <w:rFonts w:hint="eastAsia" w:ascii="Times New Roman" w:eastAsia="仿宋"/>
                <w:szCs w:val="21"/>
              </w:rPr>
              <w:t>W</w:t>
            </w:r>
          </w:p>
        </w:tc>
        <w:tc>
          <w:tcPr>
            <w:tcW w:w="2032" w:type="dxa"/>
            <w:vAlign w:val="center"/>
          </w:tcPr>
          <w:p w14:paraId="4892F64D">
            <w:pPr>
              <w:adjustRightInd w:val="0"/>
              <w:snapToGrid w:val="0"/>
              <w:jc w:val="center"/>
              <w:rPr>
                <w:rFonts w:ascii="Times New Roman" w:eastAsia="仿宋"/>
                <w:szCs w:val="21"/>
              </w:rPr>
            </w:pPr>
            <w:r>
              <w:rPr>
                <w:rFonts w:hint="eastAsia" w:ascii="Times New Roman" w:eastAsia="仿宋"/>
                <w:szCs w:val="21"/>
              </w:rPr>
              <w:t>1950</w:t>
            </w:r>
          </w:p>
        </w:tc>
      </w:tr>
      <w:tr w14:paraId="34F4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6B4E0A89">
            <w:pPr>
              <w:spacing w:line="360" w:lineRule="exact"/>
              <w:jc w:val="center"/>
              <w:rPr>
                <w:rFonts w:ascii="Times New Roman" w:eastAsia="仿宋"/>
                <w:szCs w:val="21"/>
                <w:lang w:val="zh-CN"/>
              </w:rPr>
            </w:pPr>
          </w:p>
        </w:tc>
        <w:tc>
          <w:tcPr>
            <w:tcW w:w="1548" w:type="dxa"/>
            <w:vAlign w:val="center"/>
          </w:tcPr>
          <w:p w14:paraId="08499009">
            <w:pPr>
              <w:spacing w:line="360" w:lineRule="exact"/>
              <w:jc w:val="center"/>
              <w:rPr>
                <w:rFonts w:ascii="Times New Roman" w:eastAsia="仿宋"/>
                <w:szCs w:val="21"/>
                <w:lang w:val="zh-CN"/>
              </w:rPr>
            </w:pPr>
            <w:r>
              <w:rPr>
                <w:rFonts w:hint="eastAsia" w:ascii="Times New Roman" w:eastAsia="仿宋"/>
                <w:szCs w:val="21"/>
              </w:rPr>
              <w:t>沈店</w:t>
            </w:r>
          </w:p>
        </w:tc>
        <w:tc>
          <w:tcPr>
            <w:tcW w:w="1292" w:type="dxa"/>
            <w:vAlign w:val="center"/>
          </w:tcPr>
          <w:p w14:paraId="4A2A71F5">
            <w:pPr>
              <w:spacing w:line="360" w:lineRule="exact"/>
              <w:jc w:val="center"/>
              <w:rPr>
                <w:rFonts w:ascii="Times New Roman" w:eastAsia="仿宋"/>
                <w:szCs w:val="21"/>
              </w:rPr>
            </w:pPr>
            <w:r>
              <w:rPr>
                <w:rFonts w:hint="eastAsia" w:ascii="Times New Roman" w:eastAsia="仿宋"/>
                <w:szCs w:val="21"/>
              </w:rPr>
              <w:t>18</w:t>
            </w:r>
            <w:r>
              <w:rPr>
                <w:rFonts w:ascii="Times New Roman" w:eastAsia="仿宋"/>
                <w:szCs w:val="21"/>
              </w:rPr>
              <w:t>0</w:t>
            </w:r>
          </w:p>
        </w:tc>
        <w:tc>
          <w:tcPr>
            <w:tcW w:w="1968" w:type="dxa"/>
            <w:vMerge w:val="continue"/>
            <w:vAlign w:val="center"/>
          </w:tcPr>
          <w:p w14:paraId="507E1FC5">
            <w:pPr>
              <w:spacing w:line="360" w:lineRule="exact"/>
              <w:jc w:val="center"/>
              <w:rPr>
                <w:rFonts w:ascii="Times New Roman" w:eastAsia="仿宋"/>
                <w:szCs w:val="21"/>
                <w:lang w:val="zh-CN"/>
              </w:rPr>
            </w:pPr>
          </w:p>
        </w:tc>
        <w:tc>
          <w:tcPr>
            <w:tcW w:w="1370" w:type="dxa"/>
            <w:vAlign w:val="center"/>
          </w:tcPr>
          <w:p w14:paraId="61F5C1BD">
            <w:pPr>
              <w:adjustRightInd w:val="0"/>
              <w:snapToGrid w:val="0"/>
              <w:jc w:val="center"/>
              <w:rPr>
                <w:rFonts w:ascii="Times New Roman" w:eastAsia="仿宋"/>
                <w:szCs w:val="21"/>
              </w:rPr>
            </w:pPr>
            <w:r>
              <w:rPr>
                <w:rFonts w:hint="eastAsia" w:ascii="Times New Roman" w:eastAsia="仿宋"/>
                <w:szCs w:val="21"/>
              </w:rPr>
              <w:t>SE</w:t>
            </w:r>
          </w:p>
        </w:tc>
        <w:tc>
          <w:tcPr>
            <w:tcW w:w="2032" w:type="dxa"/>
            <w:vAlign w:val="center"/>
          </w:tcPr>
          <w:p w14:paraId="64EFA49E">
            <w:pPr>
              <w:adjustRightInd w:val="0"/>
              <w:snapToGrid w:val="0"/>
              <w:jc w:val="center"/>
              <w:rPr>
                <w:rFonts w:ascii="Times New Roman" w:eastAsia="仿宋"/>
                <w:szCs w:val="21"/>
              </w:rPr>
            </w:pPr>
            <w:r>
              <w:rPr>
                <w:rFonts w:hint="eastAsia" w:ascii="Times New Roman" w:eastAsia="仿宋"/>
                <w:szCs w:val="21"/>
              </w:rPr>
              <w:t>2400</w:t>
            </w:r>
          </w:p>
        </w:tc>
      </w:tr>
      <w:tr w14:paraId="241F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2010D00C">
            <w:pPr>
              <w:spacing w:line="360" w:lineRule="exact"/>
              <w:jc w:val="center"/>
              <w:rPr>
                <w:rFonts w:ascii="Times New Roman" w:eastAsia="仿宋"/>
                <w:szCs w:val="21"/>
                <w:lang w:val="zh-CN"/>
              </w:rPr>
            </w:pPr>
          </w:p>
        </w:tc>
        <w:tc>
          <w:tcPr>
            <w:tcW w:w="1548" w:type="dxa"/>
            <w:vAlign w:val="center"/>
          </w:tcPr>
          <w:p w14:paraId="69B2D30B">
            <w:pPr>
              <w:spacing w:line="360" w:lineRule="exact"/>
              <w:jc w:val="center"/>
              <w:rPr>
                <w:rFonts w:ascii="Times New Roman" w:eastAsia="仿宋"/>
                <w:szCs w:val="21"/>
                <w:lang w:val="zh-CN"/>
              </w:rPr>
            </w:pPr>
            <w:r>
              <w:rPr>
                <w:rFonts w:hint="eastAsia" w:ascii="Times New Roman" w:eastAsia="仿宋"/>
                <w:szCs w:val="21"/>
              </w:rPr>
              <w:t>丁东</w:t>
            </w:r>
          </w:p>
        </w:tc>
        <w:tc>
          <w:tcPr>
            <w:tcW w:w="1292" w:type="dxa"/>
            <w:vAlign w:val="center"/>
          </w:tcPr>
          <w:p w14:paraId="5C840D2F">
            <w:pPr>
              <w:spacing w:line="360" w:lineRule="exact"/>
              <w:jc w:val="center"/>
              <w:rPr>
                <w:rFonts w:ascii="Times New Roman" w:eastAsia="仿宋"/>
                <w:szCs w:val="21"/>
              </w:rPr>
            </w:pPr>
            <w:r>
              <w:rPr>
                <w:rFonts w:hint="eastAsia" w:ascii="Times New Roman" w:eastAsia="仿宋"/>
                <w:szCs w:val="21"/>
              </w:rPr>
              <w:t>276</w:t>
            </w:r>
          </w:p>
        </w:tc>
        <w:tc>
          <w:tcPr>
            <w:tcW w:w="1968" w:type="dxa"/>
            <w:vMerge w:val="continue"/>
            <w:vAlign w:val="center"/>
          </w:tcPr>
          <w:p w14:paraId="4201AB7C">
            <w:pPr>
              <w:spacing w:line="360" w:lineRule="exact"/>
              <w:jc w:val="center"/>
              <w:rPr>
                <w:rFonts w:ascii="Times New Roman" w:eastAsia="仿宋"/>
                <w:szCs w:val="21"/>
                <w:lang w:val="zh-CN"/>
              </w:rPr>
            </w:pPr>
          </w:p>
        </w:tc>
        <w:tc>
          <w:tcPr>
            <w:tcW w:w="1370" w:type="dxa"/>
            <w:vAlign w:val="center"/>
          </w:tcPr>
          <w:p w14:paraId="41A9CC77">
            <w:pPr>
              <w:adjustRightInd w:val="0"/>
              <w:snapToGrid w:val="0"/>
              <w:jc w:val="center"/>
              <w:rPr>
                <w:rFonts w:ascii="Times New Roman" w:eastAsia="仿宋"/>
                <w:szCs w:val="21"/>
              </w:rPr>
            </w:pPr>
            <w:r>
              <w:rPr>
                <w:rFonts w:hint="eastAsia" w:ascii="Times New Roman" w:eastAsia="仿宋"/>
                <w:szCs w:val="21"/>
              </w:rPr>
              <w:t>E</w:t>
            </w:r>
          </w:p>
        </w:tc>
        <w:tc>
          <w:tcPr>
            <w:tcW w:w="2032" w:type="dxa"/>
            <w:vAlign w:val="center"/>
          </w:tcPr>
          <w:p w14:paraId="23FBEB86">
            <w:pPr>
              <w:adjustRightInd w:val="0"/>
              <w:snapToGrid w:val="0"/>
              <w:jc w:val="center"/>
              <w:rPr>
                <w:rFonts w:ascii="Times New Roman" w:eastAsia="仿宋"/>
                <w:szCs w:val="21"/>
              </w:rPr>
            </w:pPr>
            <w:r>
              <w:rPr>
                <w:rFonts w:hint="eastAsia" w:ascii="Times New Roman" w:eastAsia="仿宋"/>
                <w:szCs w:val="21"/>
              </w:rPr>
              <w:t>2900</w:t>
            </w:r>
          </w:p>
        </w:tc>
      </w:tr>
      <w:tr w14:paraId="4EF4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6E97165A">
            <w:pPr>
              <w:spacing w:line="360" w:lineRule="exact"/>
              <w:jc w:val="center"/>
              <w:rPr>
                <w:rFonts w:ascii="Times New Roman" w:eastAsia="仿宋"/>
                <w:szCs w:val="21"/>
                <w:lang w:val="zh-CN"/>
              </w:rPr>
            </w:pPr>
          </w:p>
        </w:tc>
        <w:tc>
          <w:tcPr>
            <w:tcW w:w="1548" w:type="dxa"/>
            <w:vAlign w:val="center"/>
          </w:tcPr>
          <w:p w14:paraId="2262E588">
            <w:pPr>
              <w:spacing w:line="360" w:lineRule="exact"/>
              <w:jc w:val="center"/>
              <w:rPr>
                <w:rFonts w:ascii="Times New Roman" w:eastAsia="仿宋"/>
                <w:szCs w:val="21"/>
                <w:lang w:val="zh-CN"/>
              </w:rPr>
            </w:pPr>
            <w:r>
              <w:rPr>
                <w:rFonts w:hint="eastAsia" w:ascii="Times New Roman" w:eastAsia="仿宋"/>
                <w:szCs w:val="21"/>
              </w:rPr>
              <w:t>大坝头</w:t>
            </w:r>
          </w:p>
        </w:tc>
        <w:tc>
          <w:tcPr>
            <w:tcW w:w="1292" w:type="dxa"/>
            <w:vAlign w:val="center"/>
          </w:tcPr>
          <w:p w14:paraId="78926C8F">
            <w:pPr>
              <w:spacing w:line="360" w:lineRule="exact"/>
              <w:jc w:val="center"/>
              <w:rPr>
                <w:rFonts w:ascii="Times New Roman" w:eastAsia="仿宋"/>
                <w:szCs w:val="21"/>
              </w:rPr>
            </w:pPr>
            <w:r>
              <w:rPr>
                <w:rFonts w:hint="eastAsia" w:ascii="Times New Roman" w:eastAsia="仿宋"/>
                <w:szCs w:val="21"/>
              </w:rPr>
              <w:t>36</w:t>
            </w:r>
            <w:r>
              <w:rPr>
                <w:rFonts w:ascii="Times New Roman" w:eastAsia="仿宋"/>
                <w:szCs w:val="21"/>
              </w:rPr>
              <w:t>0</w:t>
            </w:r>
          </w:p>
        </w:tc>
        <w:tc>
          <w:tcPr>
            <w:tcW w:w="1968" w:type="dxa"/>
            <w:vMerge w:val="continue"/>
            <w:vAlign w:val="center"/>
          </w:tcPr>
          <w:p w14:paraId="66CA19FB">
            <w:pPr>
              <w:spacing w:line="360" w:lineRule="exact"/>
              <w:jc w:val="center"/>
              <w:rPr>
                <w:rFonts w:ascii="Times New Roman" w:eastAsia="仿宋"/>
                <w:szCs w:val="21"/>
                <w:lang w:val="zh-CN"/>
              </w:rPr>
            </w:pPr>
          </w:p>
        </w:tc>
        <w:tc>
          <w:tcPr>
            <w:tcW w:w="1370" w:type="dxa"/>
            <w:vAlign w:val="center"/>
          </w:tcPr>
          <w:p w14:paraId="2B3A598B">
            <w:pPr>
              <w:adjustRightInd w:val="0"/>
              <w:snapToGrid w:val="0"/>
              <w:jc w:val="center"/>
              <w:rPr>
                <w:rFonts w:ascii="Times New Roman" w:eastAsia="仿宋"/>
                <w:szCs w:val="21"/>
              </w:rPr>
            </w:pPr>
            <w:r>
              <w:rPr>
                <w:rFonts w:hint="eastAsia" w:ascii="Times New Roman" w:eastAsia="仿宋"/>
                <w:szCs w:val="21"/>
              </w:rPr>
              <w:t>NW</w:t>
            </w:r>
          </w:p>
        </w:tc>
        <w:tc>
          <w:tcPr>
            <w:tcW w:w="2032" w:type="dxa"/>
            <w:vAlign w:val="center"/>
          </w:tcPr>
          <w:p w14:paraId="4B5900FC">
            <w:pPr>
              <w:adjustRightInd w:val="0"/>
              <w:snapToGrid w:val="0"/>
              <w:jc w:val="center"/>
              <w:rPr>
                <w:rFonts w:ascii="Times New Roman" w:eastAsia="仿宋"/>
                <w:szCs w:val="21"/>
              </w:rPr>
            </w:pPr>
            <w:r>
              <w:rPr>
                <w:rFonts w:hint="eastAsia" w:ascii="Times New Roman" w:eastAsia="仿宋"/>
                <w:szCs w:val="21"/>
              </w:rPr>
              <w:t>3600</w:t>
            </w:r>
          </w:p>
        </w:tc>
      </w:tr>
      <w:tr w14:paraId="6815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5BA3116D">
            <w:pPr>
              <w:spacing w:line="360" w:lineRule="exact"/>
              <w:jc w:val="center"/>
              <w:rPr>
                <w:rFonts w:ascii="Times New Roman" w:eastAsia="仿宋"/>
                <w:szCs w:val="21"/>
                <w:lang w:val="zh-CN"/>
              </w:rPr>
            </w:pPr>
          </w:p>
        </w:tc>
        <w:tc>
          <w:tcPr>
            <w:tcW w:w="1548" w:type="dxa"/>
            <w:vAlign w:val="center"/>
          </w:tcPr>
          <w:p w14:paraId="38A42E9F">
            <w:pPr>
              <w:spacing w:line="360" w:lineRule="exact"/>
              <w:jc w:val="center"/>
              <w:rPr>
                <w:rFonts w:ascii="Times New Roman" w:eastAsia="仿宋"/>
                <w:szCs w:val="21"/>
                <w:lang w:val="zh-CN"/>
              </w:rPr>
            </w:pPr>
            <w:r>
              <w:rPr>
                <w:rFonts w:hint="eastAsia" w:ascii="Times New Roman" w:eastAsia="仿宋"/>
                <w:szCs w:val="21"/>
              </w:rPr>
              <w:t>金坛村唐王小学</w:t>
            </w:r>
          </w:p>
        </w:tc>
        <w:tc>
          <w:tcPr>
            <w:tcW w:w="1292" w:type="dxa"/>
            <w:vAlign w:val="center"/>
          </w:tcPr>
          <w:p w14:paraId="6FC87460">
            <w:pPr>
              <w:spacing w:line="360" w:lineRule="exact"/>
              <w:jc w:val="center"/>
              <w:rPr>
                <w:rFonts w:ascii="Times New Roman" w:eastAsia="仿宋"/>
                <w:szCs w:val="21"/>
              </w:rPr>
            </w:pPr>
            <w:r>
              <w:rPr>
                <w:rFonts w:hint="eastAsia" w:ascii="Times New Roman" w:eastAsia="仿宋"/>
                <w:szCs w:val="21"/>
              </w:rPr>
              <w:t>720</w:t>
            </w:r>
          </w:p>
        </w:tc>
        <w:tc>
          <w:tcPr>
            <w:tcW w:w="1968" w:type="dxa"/>
            <w:vMerge w:val="continue"/>
            <w:vAlign w:val="center"/>
          </w:tcPr>
          <w:p w14:paraId="1B55FD7C">
            <w:pPr>
              <w:spacing w:line="360" w:lineRule="exact"/>
              <w:jc w:val="center"/>
              <w:rPr>
                <w:rFonts w:ascii="Times New Roman" w:eastAsia="仿宋"/>
                <w:szCs w:val="21"/>
                <w:lang w:val="zh-CN"/>
              </w:rPr>
            </w:pPr>
          </w:p>
        </w:tc>
        <w:tc>
          <w:tcPr>
            <w:tcW w:w="1370" w:type="dxa"/>
            <w:vAlign w:val="center"/>
          </w:tcPr>
          <w:p w14:paraId="00295D45">
            <w:pPr>
              <w:adjustRightInd w:val="0"/>
              <w:snapToGrid w:val="0"/>
              <w:jc w:val="center"/>
              <w:rPr>
                <w:rFonts w:ascii="Times New Roman" w:eastAsia="仿宋"/>
                <w:szCs w:val="21"/>
              </w:rPr>
            </w:pPr>
            <w:r>
              <w:rPr>
                <w:rFonts w:hint="eastAsia" w:ascii="Times New Roman" w:eastAsia="仿宋"/>
                <w:szCs w:val="21"/>
              </w:rPr>
              <w:t>S</w:t>
            </w:r>
          </w:p>
        </w:tc>
        <w:tc>
          <w:tcPr>
            <w:tcW w:w="2032" w:type="dxa"/>
            <w:vAlign w:val="center"/>
          </w:tcPr>
          <w:p w14:paraId="5DD7939C">
            <w:pPr>
              <w:adjustRightInd w:val="0"/>
              <w:snapToGrid w:val="0"/>
              <w:jc w:val="center"/>
              <w:rPr>
                <w:rFonts w:ascii="Times New Roman" w:eastAsia="仿宋"/>
                <w:szCs w:val="21"/>
              </w:rPr>
            </w:pPr>
            <w:r>
              <w:rPr>
                <w:rFonts w:hint="eastAsia" w:ascii="Times New Roman" w:eastAsia="仿宋"/>
                <w:szCs w:val="21"/>
              </w:rPr>
              <w:t>4350</w:t>
            </w:r>
          </w:p>
        </w:tc>
      </w:tr>
      <w:tr w14:paraId="38D7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02462395">
            <w:pPr>
              <w:spacing w:line="360" w:lineRule="exact"/>
              <w:jc w:val="center"/>
              <w:rPr>
                <w:rFonts w:ascii="Times New Roman" w:eastAsia="仿宋"/>
                <w:szCs w:val="21"/>
                <w:lang w:val="zh-CN"/>
              </w:rPr>
            </w:pPr>
          </w:p>
        </w:tc>
        <w:tc>
          <w:tcPr>
            <w:tcW w:w="1548" w:type="dxa"/>
            <w:vAlign w:val="center"/>
          </w:tcPr>
          <w:p w14:paraId="472B9F61">
            <w:pPr>
              <w:spacing w:line="360" w:lineRule="exact"/>
              <w:jc w:val="center"/>
              <w:rPr>
                <w:rFonts w:ascii="Times New Roman" w:eastAsia="仿宋"/>
                <w:szCs w:val="21"/>
                <w:lang w:val="zh-CN"/>
              </w:rPr>
            </w:pPr>
            <w:r>
              <w:rPr>
                <w:rFonts w:hint="eastAsia" w:ascii="Times New Roman" w:eastAsia="仿宋"/>
                <w:szCs w:val="21"/>
              </w:rPr>
              <w:t>土山村</w:t>
            </w:r>
          </w:p>
        </w:tc>
        <w:tc>
          <w:tcPr>
            <w:tcW w:w="1292" w:type="dxa"/>
            <w:vAlign w:val="center"/>
          </w:tcPr>
          <w:p w14:paraId="762CCF76">
            <w:pPr>
              <w:spacing w:line="360" w:lineRule="exact"/>
              <w:jc w:val="center"/>
              <w:rPr>
                <w:rFonts w:ascii="Times New Roman" w:eastAsia="仿宋"/>
                <w:szCs w:val="21"/>
              </w:rPr>
            </w:pPr>
            <w:r>
              <w:rPr>
                <w:rFonts w:hint="eastAsia" w:ascii="Times New Roman" w:eastAsia="仿宋"/>
                <w:szCs w:val="21"/>
              </w:rPr>
              <w:t>660</w:t>
            </w:r>
          </w:p>
        </w:tc>
        <w:tc>
          <w:tcPr>
            <w:tcW w:w="1968" w:type="dxa"/>
            <w:vMerge w:val="continue"/>
            <w:vAlign w:val="center"/>
          </w:tcPr>
          <w:p w14:paraId="14C6B6CF">
            <w:pPr>
              <w:spacing w:line="360" w:lineRule="exact"/>
              <w:jc w:val="center"/>
              <w:rPr>
                <w:rFonts w:ascii="Times New Roman" w:eastAsia="仿宋"/>
                <w:szCs w:val="21"/>
                <w:lang w:val="zh-CN"/>
              </w:rPr>
            </w:pPr>
          </w:p>
        </w:tc>
        <w:tc>
          <w:tcPr>
            <w:tcW w:w="1370" w:type="dxa"/>
            <w:vAlign w:val="center"/>
          </w:tcPr>
          <w:p w14:paraId="2071E876">
            <w:pPr>
              <w:adjustRightInd w:val="0"/>
              <w:snapToGrid w:val="0"/>
              <w:jc w:val="center"/>
              <w:rPr>
                <w:rFonts w:ascii="Times New Roman" w:eastAsia="仿宋"/>
                <w:szCs w:val="21"/>
              </w:rPr>
            </w:pPr>
            <w:r>
              <w:rPr>
                <w:rFonts w:hint="eastAsia" w:ascii="Times New Roman" w:eastAsia="仿宋"/>
                <w:szCs w:val="21"/>
              </w:rPr>
              <w:t>SE</w:t>
            </w:r>
          </w:p>
        </w:tc>
        <w:tc>
          <w:tcPr>
            <w:tcW w:w="2032" w:type="dxa"/>
            <w:vAlign w:val="center"/>
          </w:tcPr>
          <w:p w14:paraId="2B7DEE6A">
            <w:pPr>
              <w:adjustRightInd w:val="0"/>
              <w:snapToGrid w:val="0"/>
              <w:jc w:val="center"/>
              <w:rPr>
                <w:rFonts w:ascii="Times New Roman" w:eastAsia="仿宋"/>
                <w:szCs w:val="21"/>
              </w:rPr>
            </w:pPr>
            <w:r>
              <w:rPr>
                <w:rFonts w:hint="eastAsia" w:ascii="Times New Roman" w:eastAsia="仿宋"/>
                <w:szCs w:val="21"/>
              </w:rPr>
              <w:t>4450</w:t>
            </w:r>
          </w:p>
        </w:tc>
      </w:tr>
      <w:tr w14:paraId="7125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57" w:type="dxa"/>
            <w:vMerge w:val="continue"/>
            <w:vAlign w:val="center"/>
          </w:tcPr>
          <w:p w14:paraId="3E33DD15">
            <w:pPr>
              <w:spacing w:line="360" w:lineRule="exact"/>
              <w:jc w:val="center"/>
              <w:rPr>
                <w:rFonts w:ascii="Times New Roman" w:eastAsia="仿宋"/>
                <w:szCs w:val="21"/>
                <w:lang w:val="zh-CN"/>
              </w:rPr>
            </w:pPr>
          </w:p>
        </w:tc>
        <w:tc>
          <w:tcPr>
            <w:tcW w:w="1548" w:type="dxa"/>
            <w:vAlign w:val="center"/>
          </w:tcPr>
          <w:p w14:paraId="11E08C2F">
            <w:pPr>
              <w:spacing w:line="360" w:lineRule="exact"/>
              <w:jc w:val="center"/>
              <w:rPr>
                <w:rFonts w:ascii="Times New Roman" w:eastAsia="仿宋"/>
                <w:szCs w:val="21"/>
                <w:lang w:val="zh-CN"/>
              </w:rPr>
            </w:pPr>
            <w:r>
              <w:rPr>
                <w:rFonts w:hint="eastAsia" w:ascii="Times New Roman" w:eastAsia="仿宋"/>
                <w:szCs w:val="21"/>
              </w:rPr>
              <w:t>曹家村</w:t>
            </w:r>
          </w:p>
        </w:tc>
        <w:tc>
          <w:tcPr>
            <w:tcW w:w="1292" w:type="dxa"/>
            <w:vAlign w:val="center"/>
          </w:tcPr>
          <w:p w14:paraId="34E75D1A">
            <w:pPr>
              <w:spacing w:line="360" w:lineRule="exact"/>
              <w:jc w:val="center"/>
              <w:rPr>
                <w:rFonts w:ascii="Times New Roman" w:eastAsia="仿宋"/>
                <w:szCs w:val="21"/>
              </w:rPr>
            </w:pPr>
            <w:r>
              <w:rPr>
                <w:rFonts w:hint="eastAsia" w:ascii="Times New Roman" w:eastAsia="仿宋"/>
                <w:szCs w:val="21"/>
              </w:rPr>
              <w:t>336</w:t>
            </w:r>
          </w:p>
        </w:tc>
        <w:tc>
          <w:tcPr>
            <w:tcW w:w="1968" w:type="dxa"/>
            <w:vMerge w:val="continue"/>
            <w:vAlign w:val="center"/>
          </w:tcPr>
          <w:p w14:paraId="5CDC323E">
            <w:pPr>
              <w:spacing w:line="360" w:lineRule="exact"/>
              <w:jc w:val="center"/>
              <w:rPr>
                <w:rFonts w:ascii="Times New Roman" w:eastAsia="仿宋"/>
                <w:szCs w:val="21"/>
                <w:lang w:val="zh-CN"/>
              </w:rPr>
            </w:pPr>
          </w:p>
        </w:tc>
        <w:tc>
          <w:tcPr>
            <w:tcW w:w="1370" w:type="dxa"/>
            <w:vAlign w:val="center"/>
          </w:tcPr>
          <w:p w14:paraId="55CAF55E">
            <w:pPr>
              <w:adjustRightInd w:val="0"/>
              <w:snapToGrid w:val="0"/>
              <w:jc w:val="center"/>
              <w:rPr>
                <w:rFonts w:ascii="Times New Roman" w:eastAsia="仿宋"/>
                <w:szCs w:val="21"/>
              </w:rPr>
            </w:pPr>
            <w:r>
              <w:rPr>
                <w:rFonts w:hint="eastAsia" w:ascii="Times New Roman" w:eastAsia="仿宋"/>
                <w:szCs w:val="21"/>
              </w:rPr>
              <w:t>NE</w:t>
            </w:r>
          </w:p>
        </w:tc>
        <w:tc>
          <w:tcPr>
            <w:tcW w:w="2032" w:type="dxa"/>
            <w:vAlign w:val="center"/>
          </w:tcPr>
          <w:p w14:paraId="4CA2F61A">
            <w:pPr>
              <w:adjustRightInd w:val="0"/>
              <w:snapToGrid w:val="0"/>
              <w:jc w:val="center"/>
              <w:rPr>
                <w:rFonts w:ascii="Times New Roman" w:eastAsia="仿宋"/>
                <w:szCs w:val="21"/>
              </w:rPr>
            </w:pPr>
            <w:r>
              <w:rPr>
                <w:rFonts w:hint="eastAsia" w:ascii="Times New Roman" w:eastAsia="仿宋"/>
                <w:szCs w:val="21"/>
              </w:rPr>
              <w:t>50</w:t>
            </w:r>
            <w:r>
              <w:rPr>
                <w:rFonts w:ascii="Times New Roman" w:eastAsia="仿宋"/>
                <w:szCs w:val="21"/>
              </w:rPr>
              <w:t>0</w:t>
            </w:r>
            <w:r>
              <w:rPr>
                <w:rFonts w:hint="eastAsia" w:ascii="Times New Roman" w:eastAsia="仿宋"/>
                <w:szCs w:val="21"/>
              </w:rPr>
              <w:t>0</w:t>
            </w:r>
          </w:p>
        </w:tc>
      </w:tr>
    </w:tbl>
    <w:p w14:paraId="276EEED1">
      <w:pPr>
        <w:adjustRightInd w:val="0"/>
        <w:snapToGrid w:val="0"/>
        <w:jc w:val="center"/>
        <w:rPr>
          <w:rFonts w:ascii="Times New Roman" w:eastAsia="仿宋"/>
          <w:szCs w:val="21"/>
          <w:lang w:val="zh-CN"/>
        </w:rPr>
      </w:pPr>
      <w:r>
        <w:rPr>
          <w:rFonts w:ascii="Times New Roman" w:eastAsia="仿宋"/>
          <w:szCs w:val="21"/>
          <w:lang w:val="zh-CN"/>
        </w:rPr>
        <w:t>注：特殊计算点选取原则为本项目厂区周围各个方向及距离大致平均分布。</w:t>
      </w:r>
    </w:p>
    <w:p w14:paraId="79F840A0">
      <w:pPr>
        <w:spacing w:line="500" w:lineRule="exact"/>
        <w:ind w:firstLine="562" w:firstLineChars="200"/>
        <w:rPr>
          <w:rFonts w:ascii="Times New Roman" w:eastAsia="仿宋"/>
          <w:b/>
          <w:bCs/>
          <w:sz w:val="28"/>
          <w:szCs w:val="28"/>
        </w:rPr>
      </w:pPr>
      <w:r>
        <w:rPr>
          <w:rFonts w:ascii="Times New Roman" w:eastAsia="仿宋"/>
          <w:b/>
          <w:bCs/>
          <w:sz w:val="28"/>
          <w:szCs w:val="28"/>
        </w:rPr>
        <w:t>三、事故源参数</w:t>
      </w:r>
    </w:p>
    <w:p w14:paraId="11970322">
      <w:pPr>
        <w:spacing w:line="500" w:lineRule="exact"/>
        <w:ind w:firstLine="560" w:firstLineChars="200"/>
        <w:rPr>
          <w:rFonts w:ascii="Times New Roman" w:eastAsia="仿宋"/>
          <w:sz w:val="28"/>
          <w:szCs w:val="28"/>
        </w:rPr>
      </w:pPr>
      <w:r>
        <w:rPr>
          <w:rFonts w:ascii="Times New Roman" w:eastAsia="仿宋"/>
          <w:sz w:val="28"/>
          <w:szCs w:val="28"/>
        </w:rPr>
        <w:t>本项目大气事故源参数汇总情况见下表。</w:t>
      </w:r>
    </w:p>
    <w:p w14:paraId="3CD5E3BB">
      <w:pPr>
        <w:jc w:val="center"/>
        <w:rPr>
          <w:rFonts w:ascii="Times New Roman" w:eastAsia="仿宋"/>
          <w:b/>
          <w:bCs/>
          <w:kern w:val="2"/>
          <w:szCs w:val="24"/>
        </w:rPr>
      </w:pPr>
      <w:r>
        <w:rPr>
          <w:rFonts w:ascii="Times New Roman" w:eastAsia="仿宋"/>
          <w:b/>
          <w:bCs/>
          <w:kern w:val="2"/>
          <w:szCs w:val="24"/>
        </w:rPr>
        <w:t>表</w:t>
      </w:r>
      <w:r>
        <w:rPr>
          <w:rFonts w:hint="eastAsia" w:ascii="Times New Roman" w:eastAsia="仿宋"/>
          <w:b/>
          <w:bCs/>
          <w:kern w:val="2"/>
          <w:szCs w:val="24"/>
        </w:rPr>
        <w:t>5.</w:t>
      </w:r>
      <w:r>
        <w:rPr>
          <w:rFonts w:ascii="Times New Roman" w:eastAsia="仿宋"/>
          <w:b/>
          <w:bCs/>
          <w:kern w:val="2"/>
          <w:szCs w:val="24"/>
        </w:rPr>
        <w:t>3</w:t>
      </w:r>
      <w:r>
        <w:rPr>
          <w:rFonts w:hint="eastAsia" w:ascii="Times New Roman" w:eastAsia="仿宋"/>
          <w:b/>
          <w:bCs/>
          <w:kern w:val="2"/>
          <w:szCs w:val="24"/>
        </w:rPr>
        <w:t>-2</w:t>
      </w:r>
      <w:r>
        <w:rPr>
          <w:rFonts w:ascii="Times New Roman" w:eastAsia="仿宋"/>
          <w:b/>
          <w:bCs/>
          <w:kern w:val="2"/>
          <w:szCs w:val="24"/>
        </w:rPr>
        <w:t>7  事故源参数汇总表</w:t>
      </w:r>
    </w:p>
    <w:tbl>
      <w:tblPr>
        <w:tblStyle w:val="87"/>
        <w:tblW w:w="54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127"/>
        <w:gridCol w:w="1956"/>
        <w:gridCol w:w="1521"/>
        <w:gridCol w:w="1984"/>
      </w:tblGrid>
      <w:tr w14:paraId="0AC9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0" w:type="pct"/>
            <w:gridSpan w:val="2"/>
            <w:vMerge w:val="restart"/>
            <w:vAlign w:val="center"/>
          </w:tcPr>
          <w:p w14:paraId="438E682B">
            <w:pPr>
              <w:spacing w:line="360" w:lineRule="exact"/>
              <w:jc w:val="center"/>
              <w:rPr>
                <w:rFonts w:ascii="Times New Roman" w:eastAsia="仿宋"/>
                <w:szCs w:val="21"/>
                <w:lang w:val="zh-CN"/>
              </w:rPr>
            </w:pPr>
            <w:r>
              <w:rPr>
                <w:rFonts w:ascii="Times New Roman" w:eastAsia="仿宋"/>
                <w:szCs w:val="21"/>
                <w:lang w:val="zh-CN"/>
              </w:rPr>
              <w:t>类别</w:t>
            </w:r>
          </w:p>
        </w:tc>
        <w:tc>
          <w:tcPr>
            <w:tcW w:w="2929" w:type="pct"/>
            <w:gridSpan w:val="3"/>
            <w:vAlign w:val="center"/>
          </w:tcPr>
          <w:p w14:paraId="3BE10A04">
            <w:pPr>
              <w:spacing w:line="360" w:lineRule="exact"/>
              <w:jc w:val="center"/>
              <w:rPr>
                <w:rFonts w:ascii="Times New Roman" w:eastAsia="仿宋"/>
                <w:szCs w:val="21"/>
                <w:lang w:val="zh-CN"/>
              </w:rPr>
            </w:pPr>
            <w:r>
              <w:rPr>
                <w:rFonts w:ascii="Times New Roman" w:eastAsia="仿宋"/>
                <w:szCs w:val="21"/>
                <w:lang w:val="zh-CN"/>
              </w:rPr>
              <w:t>危险物质</w:t>
            </w:r>
          </w:p>
        </w:tc>
      </w:tr>
      <w:tr w14:paraId="7AF6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0" w:type="pct"/>
            <w:gridSpan w:val="2"/>
            <w:vMerge w:val="continue"/>
            <w:vAlign w:val="center"/>
          </w:tcPr>
          <w:p w14:paraId="39FAF4D6">
            <w:pPr>
              <w:spacing w:line="360" w:lineRule="exact"/>
              <w:jc w:val="center"/>
              <w:rPr>
                <w:rFonts w:ascii="Times New Roman" w:eastAsia="仿宋"/>
                <w:szCs w:val="21"/>
                <w:lang w:val="zh-CN"/>
              </w:rPr>
            </w:pPr>
          </w:p>
        </w:tc>
        <w:tc>
          <w:tcPr>
            <w:tcW w:w="1049" w:type="pct"/>
            <w:vAlign w:val="center"/>
          </w:tcPr>
          <w:p w14:paraId="223E5DDA">
            <w:pPr>
              <w:spacing w:line="360" w:lineRule="exact"/>
              <w:jc w:val="center"/>
              <w:rPr>
                <w:rFonts w:ascii="Times New Roman" w:eastAsia="仿宋"/>
                <w:szCs w:val="21"/>
                <w:lang w:val="zh-CN"/>
              </w:rPr>
            </w:pPr>
            <w:r>
              <w:rPr>
                <w:rFonts w:hint="eastAsia" w:ascii="Times New Roman" w:eastAsia="仿宋"/>
                <w:szCs w:val="21"/>
                <w:lang w:val="zh-CN"/>
              </w:rPr>
              <w:t>二甲苯</w:t>
            </w:r>
          </w:p>
        </w:tc>
        <w:tc>
          <w:tcPr>
            <w:tcW w:w="816" w:type="pct"/>
            <w:vAlign w:val="center"/>
          </w:tcPr>
          <w:p w14:paraId="12E0BA40">
            <w:pPr>
              <w:spacing w:line="360" w:lineRule="exact"/>
              <w:jc w:val="center"/>
              <w:rPr>
                <w:rFonts w:ascii="Times New Roman" w:eastAsia="仿宋"/>
                <w:szCs w:val="21"/>
                <w:lang w:val="zh-CN"/>
              </w:rPr>
            </w:pPr>
            <w:r>
              <w:rPr>
                <w:rFonts w:ascii="Times New Roman" w:eastAsia="仿宋"/>
                <w:szCs w:val="21"/>
                <w:lang w:val="zh-CN"/>
              </w:rPr>
              <w:t>CO</w:t>
            </w:r>
          </w:p>
        </w:tc>
        <w:tc>
          <w:tcPr>
            <w:tcW w:w="1063" w:type="pct"/>
            <w:vAlign w:val="center"/>
          </w:tcPr>
          <w:p w14:paraId="46BB70D3">
            <w:pPr>
              <w:spacing w:line="360" w:lineRule="exact"/>
              <w:jc w:val="center"/>
              <w:rPr>
                <w:rFonts w:ascii="Times New Roman" w:eastAsia="仿宋"/>
                <w:szCs w:val="21"/>
                <w:lang w:val="zh-CN"/>
              </w:rPr>
            </w:pPr>
            <w:r>
              <w:rPr>
                <w:rFonts w:hint="eastAsia" w:ascii="Times New Roman" w:eastAsia="仿宋"/>
                <w:szCs w:val="21"/>
                <w:lang w:val="zh-CN"/>
              </w:rPr>
              <w:t>硫酸</w:t>
            </w:r>
          </w:p>
        </w:tc>
      </w:tr>
      <w:tr w14:paraId="1F31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0" w:type="pct"/>
            <w:gridSpan w:val="2"/>
            <w:vAlign w:val="center"/>
          </w:tcPr>
          <w:p w14:paraId="7AEC08D2">
            <w:pPr>
              <w:spacing w:line="360" w:lineRule="exact"/>
              <w:jc w:val="center"/>
              <w:rPr>
                <w:rFonts w:ascii="Times New Roman" w:eastAsia="仿宋"/>
                <w:szCs w:val="21"/>
                <w:lang w:val="zh-CN"/>
              </w:rPr>
            </w:pPr>
            <w:r>
              <w:rPr>
                <w:rFonts w:ascii="Times New Roman" w:eastAsia="仿宋"/>
                <w:szCs w:val="21"/>
                <w:lang w:val="zh-CN"/>
              </w:rPr>
              <w:t>泄漏设备类型及尺寸</w:t>
            </w:r>
          </w:p>
        </w:tc>
        <w:tc>
          <w:tcPr>
            <w:tcW w:w="1049" w:type="pct"/>
            <w:vAlign w:val="center"/>
          </w:tcPr>
          <w:p w14:paraId="01CBCEBB">
            <w:pPr>
              <w:spacing w:line="360" w:lineRule="exact"/>
              <w:jc w:val="center"/>
              <w:rPr>
                <w:rFonts w:ascii="Times New Roman" w:eastAsia="仿宋"/>
                <w:szCs w:val="21"/>
                <w:lang w:val="zh-CN"/>
              </w:rPr>
            </w:pPr>
            <w:r>
              <w:rPr>
                <w:rFonts w:ascii="Times New Roman" w:eastAsia="仿宋"/>
                <w:szCs w:val="21"/>
                <w:lang w:val="zh-CN"/>
              </w:rPr>
              <w:t>24kg桶装</w:t>
            </w:r>
          </w:p>
        </w:tc>
        <w:tc>
          <w:tcPr>
            <w:tcW w:w="816" w:type="pct"/>
            <w:vAlign w:val="center"/>
          </w:tcPr>
          <w:p w14:paraId="6BA4B5F4">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54E7CCEC">
            <w:pPr>
              <w:spacing w:line="360" w:lineRule="exact"/>
              <w:jc w:val="center"/>
              <w:rPr>
                <w:rFonts w:ascii="Times New Roman" w:eastAsia="仿宋"/>
                <w:szCs w:val="21"/>
                <w:lang w:val="zh-CN"/>
              </w:rPr>
            </w:pPr>
            <w:r>
              <w:rPr>
                <w:rFonts w:hint="eastAsia" w:ascii="Times New Roman" w:eastAsia="仿宋"/>
                <w:szCs w:val="21"/>
                <w:lang w:val="zh-CN"/>
              </w:rPr>
              <w:t>吨桶装</w:t>
            </w:r>
          </w:p>
        </w:tc>
      </w:tr>
      <w:tr w14:paraId="6F16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restart"/>
            <w:vAlign w:val="center"/>
          </w:tcPr>
          <w:p w14:paraId="55CA0C24">
            <w:pPr>
              <w:spacing w:line="360" w:lineRule="exact"/>
              <w:jc w:val="center"/>
              <w:rPr>
                <w:rFonts w:ascii="Times New Roman" w:eastAsia="仿宋"/>
                <w:szCs w:val="21"/>
                <w:lang w:val="zh-CN"/>
              </w:rPr>
            </w:pPr>
            <w:r>
              <w:rPr>
                <w:rFonts w:ascii="Times New Roman" w:eastAsia="仿宋"/>
                <w:szCs w:val="21"/>
                <w:lang w:val="zh-CN"/>
              </w:rPr>
              <w:t>操作参数</w:t>
            </w:r>
          </w:p>
        </w:tc>
        <w:tc>
          <w:tcPr>
            <w:tcW w:w="1677" w:type="pct"/>
            <w:vAlign w:val="center"/>
          </w:tcPr>
          <w:p w14:paraId="405DA278">
            <w:pPr>
              <w:spacing w:line="360" w:lineRule="exact"/>
              <w:jc w:val="center"/>
              <w:rPr>
                <w:rFonts w:ascii="Times New Roman" w:eastAsia="仿宋"/>
                <w:szCs w:val="21"/>
                <w:lang w:val="zh-CN"/>
              </w:rPr>
            </w:pPr>
            <w:r>
              <w:rPr>
                <w:rFonts w:ascii="Times New Roman" w:eastAsia="仿宋"/>
                <w:szCs w:val="21"/>
                <w:lang w:val="zh-CN"/>
              </w:rPr>
              <w:t>压力</w:t>
            </w:r>
          </w:p>
        </w:tc>
        <w:tc>
          <w:tcPr>
            <w:tcW w:w="1049" w:type="pct"/>
            <w:vAlign w:val="center"/>
          </w:tcPr>
          <w:p w14:paraId="59094FD2">
            <w:pPr>
              <w:spacing w:line="360" w:lineRule="exact"/>
              <w:jc w:val="center"/>
              <w:rPr>
                <w:rFonts w:ascii="Times New Roman" w:eastAsia="仿宋"/>
                <w:szCs w:val="21"/>
                <w:lang w:val="zh-CN"/>
              </w:rPr>
            </w:pPr>
            <w:r>
              <w:rPr>
                <w:rFonts w:ascii="Times New Roman" w:eastAsia="仿宋"/>
                <w:szCs w:val="21"/>
                <w:lang w:val="zh-CN"/>
              </w:rPr>
              <w:t>常压</w:t>
            </w:r>
          </w:p>
        </w:tc>
        <w:tc>
          <w:tcPr>
            <w:tcW w:w="816" w:type="pct"/>
            <w:vAlign w:val="center"/>
          </w:tcPr>
          <w:p w14:paraId="3B884062">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22ADB371">
            <w:pPr>
              <w:spacing w:line="360" w:lineRule="exact"/>
              <w:jc w:val="center"/>
              <w:rPr>
                <w:rFonts w:ascii="Times New Roman" w:eastAsia="仿宋"/>
                <w:szCs w:val="21"/>
                <w:lang w:val="zh-CN"/>
              </w:rPr>
            </w:pPr>
            <w:r>
              <w:rPr>
                <w:rFonts w:ascii="Times New Roman" w:eastAsia="仿宋"/>
                <w:szCs w:val="21"/>
                <w:lang w:val="zh-CN"/>
              </w:rPr>
              <w:t>常压</w:t>
            </w:r>
          </w:p>
        </w:tc>
      </w:tr>
      <w:tr w14:paraId="2F57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63564451">
            <w:pPr>
              <w:spacing w:line="360" w:lineRule="exact"/>
              <w:jc w:val="center"/>
              <w:rPr>
                <w:rFonts w:ascii="Times New Roman" w:eastAsia="仿宋"/>
                <w:szCs w:val="21"/>
                <w:lang w:val="zh-CN"/>
              </w:rPr>
            </w:pPr>
          </w:p>
        </w:tc>
        <w:tc>
          <w:tcPr>
            <w:tcW w:w="1677" w:type="pct"/>
            <w:vAlign w:val="center"/>
          </w:tcPr>
          <w:p w14:paraId="26693D46">
            <w:pPr>
              <w:spacing w:line="360" w:lineRule="exact"/>
              <w:jc w:val="center"/>
              <w:rPr>
                <w:rFonts w:ascii="Times New Roman" w:eastAsia="仿宋"/>
                <w:szCs w:val="21"/>
                <w:lang w:val="zh-CN"/>
              </w:rPr>
            </w:pPr>
            <w:r>
              <w:rPr>
                <w:rFonts w:ascii="Times New Roman" w:eastAsia="仿宋"/>
                <w:szCs w:val="21"/>
                <w:lang w:val="zh-CN"/>
              </w:rPr>
              <w:t>温度</w:t>
            </w:r>
          </w:p>
        </w:tc>
        <w:tc>
          <w:tcPr>
            <w:tcW w:w="1049" w:type="pct"/>
            <w:vAlign w:val="center"/>
          </w:tcPr>
          <w:p w14:paraId="04C57E84">
            <w:pPr>
              <w:spacing w:line="360" w:lineRule="exact"/>
              <w:jc w:val="center"/>
              <w:rPr>
                <w:rFonts w:ascii="Times New Roman" w:eastAsia="仿宋"/>
                <w:szCs w:val="21"/>
                <w:lang w:val="zh-CN"/>
              </w:rPr>
            </w:pPr>
            <w:r>
              <w:rPr>
                <w:rFonts w:ascii="Times New Roman" w:eastAsia="仿宋"/>
                <w:szCs w:val="21"/>
                <w:lang w:val="zh-CN"/>
              </w:rPr>
              <w:t>常温</w:t>
            </w:r>
          </w:p>
        </w:tc>
        <w:tc>
          <w:tcPr>
            <w:tcW w:w="816" w:type="pct"/>
            <w:vAlign w:val="center"/>
          </w:tcPr>
          <w:p w14:paraId="6B85FA01">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4F714A94">
            <w:pPr>
              <w:spacing w:line="360" w:lineRule="exact"/>
              <w:jc w:val="center"/>
              <w:rPr>
                <w:rFonts w:ascii="Times New Roman" w:eastAsia="仿宋"/>
                <w:szCs w:val="21"/>
                <w:lang w:val="zh-CN"/>
              </w:rPr>
            </w:pPr>
            <w:r>
              <w:rPr>
                <w:rFonts w:ascii="Times New Roman" w:eastAsia="仿宋"/>
                <w:szCs w:val="21"/>
                <w:lang w:val="zh-CN"/>
              </w:rPr>
              <w:t>常温</w:t>
            </w:r>
          </w:p>
        </w:tc>
      </w:tr>
      <w:tr w14:paraId="6569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restart"/>
            <w:vAlign w:val="center"/>
          </w:tcPr>
          <w:p w14:paraId="59607934">
            <w:pPr>
              <w:spacing w:line="360" w:lineRule="exact"/>
              <w:jc w:val="center"/>
              <w:rPr>
                <w:rFonts w:ascii="Times New Roman" w:eastAsia="仿宋"/>
                <w:szCs w:val="21"/>
                <w:lang w:val="zh-CN"/>
              </w:rPr>
            </w:pPr>
            <w:r>
              <w:rPr>
                <w:rFonts w:ascii="Times New Roman" w:eastAsia="仿宋"/>
                <w:szCs w:val="21"/>
                <w:lang w:val="zh-CN"/>
              </w:rPr>
              <w:t>泄漏物质理化特性</w:t>
            </w:r>
          </w:p>
        </w:tc>
        <w:tc>
          <w:tcPr>
            <w:tcW w:w="1677" w:type="pct"/>
            <w:vAlign w:val="center"/>
          </w:tcPr>
          <w:p w14:paraId="75CD16A3">
            <w:pPr>
              <w:spacing w:line="360" w:lineRule="exact"/>
              <w:jc w:val="center"/>
              <w:rPr>
                <w:rFonts w:ascii="Times New Roman" w:eastAsia="仿宋"/>
                <w:szCs w:val="21"/>
                <w:lang w:val="zh-CN"/>
              </w:rPr>
            </w:pPr>
            <w:r>
              <w:rPr>
                <w:rFonts w:ascii="Times New Roman" w:eastAsia="仿宋"/>
                <w:szCs w:val="21"/>
                <w:lang w:val="zh-CN"/>
              </w:rPr>
              <w:t>摩尔质量（g/mol）</w:t>
            </w:r>
          </w:p>
        </w:tc>
        <w:tc>
          <w:tcPr>
            <w:tcW w:w="1049" w:type="pct"/>
            <w:vAlign w:val="center"/>
          </w:tcPr>
          <w:p w14:paraId="58E2F4C1">
            <w:pPr>
              <w:spacing w:line="360" w:lineRule="exact"/>
              <w:jc w:val="center"/>
              <w:rPr>
                <w:rFonts w:ascii="Times New Roman" w:eastAsia="仿宋"/>
                <w:szCs w:val="21"/>
              </w:rPr>
            </w:pPr>
            <w:r>
              <w:rPr>
                <w:rFonts w:hint="eastAsia" w:ascii="Times New Roman" w:eastAsia="仿宋"/>
                <w:szCs w:val="21"/>
              </w:rPr>
              <w:t>106.17</w:t>
            </w:r>
          </w:p>
        </w:tc>
        <w:tc>
          <w:tcPr>
            <w:tcW w:w="816" w:type="pct"/>
            <w:vAlign w:val="center"/>
          </w:tcPr>
          <w:p w14:paraId="1692FDCE">
            <w:pPr>
              <w:spacing w:line="360" w:lineRule="exact"/>
              <w:jc w:val="center"/>
              <w:rPr>
                <w:rFonts w:ascii="Times New Roman" w:eastAsia="仿宋"/>
                <w:szCs w:val="21"/>
                <w:lang w:val="zh-CN"/>
              </w:rPr>
            </w:pPr>
            <w:r>
              <w:rPr>
                <w:rFonts w:ascii="Times New Roman" w:eastAsia="仿宋"/>
                <w:szCs w:val="21"/>
                <w:lang w:val="zh-CN"/>
              </w:rPr>
              <w:t>28</w:t>
            </w:r>
          </w:p>
        </w:tc>
        <w:tc>
          <w:tcPr>
            <w:tcW w:w="1063" w:type="pct"/>
            <w:vAlign w:val="center"/>
          </w:tcPr>
          <w:p w14:paraId="7F604DB4">
            <w:pPr>
              <w:spacing w:line="360" w:lineRule="exact"/>
              <w:jc w:val="center"/>
              <w:rPr>
                <w:rFonts w:ascii="Times New Roman" w:eastAsia="仿宋"/>
                <w:szCs w:val="21"/>
              </w:rPr>
            </w:pPr>
            <w:r>
              <w:rPr>
                <w:rFonts w:ascii="Times New Roman" w:eastAsia="仿宋"/>
                <w:szCs w:val="21"/>
              </w:rPr>
              <w:t>98</w:t>
            </w:r>
          </w:p>
        </w:tc>
      </w:tr>
      <w:tr w14:paraId="09FB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28B8501F">
            <w:pPr>
              <w:spacing w:line="360" w:lineRule="exact"/>
              <w:jc w:val="center"/>
              <w:rPr>
                <w:rFonts w:ascii="Times New Roman" w:eastAsia="仿宋"/>
                <w:szCs w:val="21"/>
                <w:lang w:val="zh-CN"/>
              </w:rPr>
            </w:pPr>
          </w:p>
        </w:tc>
        <w:tc>
          <w:tcPr>
            <w:tcW w:w="1677" w:type="pct"/>
            <w:vAlign w:val="center"/>
          </w:tcPr>
          <w:p w14:paraId="29875D80">
            <w:pPr>
              <w:spacing w:line="360" w:lineRule="exact"/>
              <w:jc w:val="center"/>
              <w:rPr>
                <w:rFonts w:ascii="Times New Roman" w:eastAsia="仿宋"/>
                <w:szCs w:val="21"/>
                <w:lang w:val="zh-CN"/>
              </w:rPr>
            </w:pPr>
            <w:r>
              <w:rPr>
                <w:rFonts w:ascii="Times New Roman" w:eastAsia="仿宋"/>
                <w:szCs w:val="21"/>
                <w:lang w:val="zh-CN"/>
              </w:rPr>
              <w:t>沸点（K）</w:t>
            </w:r>
          </w:p>
        </w:tc>
        <w:tc>
          <w:tcPr>
            <w:tcW w:w="1049" w:type="pct"/>
            <w:vAlign w:val="center"/>
          </w:tcPr>
          <w:p w14:paraId="191830A4">
            <w:pPr>
              <w:spacing w:line="360" w:lineRule="exact"/>
              <w:jc w:val="center"/>
              <w:rPr>
                <w:rFonts w:ascii="Times New Roman" w:eastAsia="仿宋"/>
                <w:szCs w:val="21"/>
              </w:rPr>
            </w:pPr>
            <w:r>
              <w:rPr>
                <w:rFonts w:hint="eastAsia" w:ascii="Times New Roman" w:eastAsia="仿宋"/>
                <w:szCs w:val="21"/>
              </w:rPr>
              <w:t>411.55</w:t>
            </w:r>
          </w:p>
        </w:tc>
        <w:tc>
          <w:tcPr>
            <w:tcW w:w="816" w:type="pct"/>
            <w:vAlign w:val="center"/>
          </w:tcPr>
          <w:p w14:paraId="2AD2D958">
            <w:pPr>
              <w:spacing w:line="360" w:lineRule="exact"/>
              <w:jc w:val="center"/>
              <w:rPr>
                <w:rFonts w:ascii="Times New Roman" w:eastAsia="仿宋"/>
                <w:szCs w:val="21"/>
                <w:lang w:val="zh-CN"/>
              </w:rPr>
            </w:pPr>
            <w:r>
              <w:rPr>
                <w:rFonts w:ascii="Times New Roman" w:eastAsia="仿宋"/>
                <w:szCs w:val="21"/>
                <w:lang w:val="zh-CN"/>
              </w:rPr>
              <w:t>-191.15</w:t>
            </w:r>
          </w:p>
        </w:tc>
        <w:tc>
          <w:tcPr>
            <w:tcW w:w="1063" w:type="pct"/>
            <w:vAlign w:val="center"/>
          </w:tcPr>
          <w:p w14:paraId="553394B0">
            <w:pPr>
              <w:spacing w:line="360" w:lineRule="exact"/>
              <w:jc w:val="center"/>
              <w:rPr>
                <w:rFonts w:ascii="Times New Roman" w:eastAsia="仿宋"/>
                <w:szCs w:val="21"/>
              </w:rPr>
            </w:pPr>
            <w:r>
              <w:rPr>
                <w:rFonts w:hint="eastAsia" w:ascii="Times New Roman" w:eastAsia="仿宋"/>
                <w:szCs w:val="21"/>
              </w:rPr>
              <w:t>6</w:t>
            </w:r>
            <w:r>
              <w:rPr>
                <w:rFonts w:ascii="Times New Roman" w:eastAsia="仿宋"/>
                <w:szCs w:val="21"/>
              </w:rPr>
              <w:t>11.15</w:t>
            </w:r>
          </w:p>
        </w:tc>
      </w:tr>
      <w:tr w14:paraId="03D2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44CC4B2B">
            <w:pPr>
              <w:spacing w:line="360" w:lineRule="exact"/>
              <w:jc w:val="center"/>
              <w:rPr>
                <w:rFonts w:ascii="Times New Roman" w:eastAsia="仿宋"/>
                <w:szCs w:val="21"/>
                <w:lang w:val="zh-CN"/>
              </w:rPr>
            </w:pPr>
          </w:p>
        </w:tc>
        <w:tc>
          <w:tcPr>
            <w:tcW w:w="1677" w:type="pct"/>
            <w:vAlign w:val="center"/>
          </w:tcPr>
          <w:p w14:paraId="4E6FB088">
            <w:pPr>
              <w:spacing w:line="360" w:lineRule="exact"/>
              <w:jc w:val="center"/>
              <w:rPr>
                <w:rFonts w:ascii="Times New Roman" w:eastAsia="仿宋"/>
                <w:szCs w:val="21"/>
                <w:lang w:val="zh-CN"/>
              </w:rPr>
            </w:pPr>
            <w:r>
              <w:rPr>
                <w:rFonts w:ascii="Times New Roman" w:eastAsia="仿宋"/>
                <w:szCs w:val="21"/>
                <w:lang w:val="zh-CN"/>
              </w:rPr>
              <w:t>临界温度（K）</w:t>
            </w:r>
          </w:p>
        </w:tc>
        <w:tc>
          <w:tcPr>
            <w:tcW w:w="1049" w:type="pct"/>
            <w:vAlign w:val="center"/>
          </w:tcPr>
          <w:p w14:paraId="59CA3390">
            <w:pPr>
              <w:spacing w:line="360" w:lineRule="exact"/>
              <w:jc w:val="center"/>
              <w:rPr>
                <w:rFonts w:ascii="Times New Roman" w:eastAsia="仿宋"/>
                <w:szCs w:val="21"/>
              </w:rPr>
            </w:pPr>
            <w:r>
              <w:rPr>
                <w:rFonts w:hint="eastAsia" w:ascii="Times New Roman" w:eastAsia="仿宋"/>
                <w:szCs w:val="21"/>
              </w:rPr>
              <w:t>616.2</w:t>
            </w:r>
          </w:p>
        </w:tc>
        <w:tc>
          <w:tcPr>
            <w:tcW w:w="816" w:type="pct"/>
            <w:vAlign w:val="center"/>
          </w:tcPr>
          <w:p w14:paraId="5214AE06">
            <w:pPr>
              <w:spacing w:line="360" w:lineRule="exact"/>
              <w:jc w:val="center"/>
              <w:rPr>
                <w:rFonts w:ascii="Times New Roman" w:eastAsia="仿宋"/>
                <w:szCs w:val="21"/>
                <w:lang w:val="zh-CN"/>
              </w:rPr>
            </w:pPr>
            <w:r>
              <w:rPr>
                <w:rFonts w:ascii="Times New Roman" w:eastAsia="仿宋"/>
                <w:szCs w:val="21"/>
                <w:lang w:val="zh-CN"/>
              </w:rPr>
              <w:t>-140.2</w:t>
            </w:r>
          </w:p>
        </w:tc>
        <w:tc>
          <w:tcPr>
            <w:tcW w:w="1063" w:type="pct"/>
            <w:vAlign w:val="center"/>
          </w:tcPr>
          <w:p w14:paraId="003C709B">
            <w:pPr>
              <w:spacing w:line="360" w:lineRule="exact"/>
              <w:jc w:val="center"/>
              <w:rPr>
                <w:rFonts w:ascii="Times New Roman" w:eastAsia="仿宋"/>
                <w:szCs w:val="21"/>
              </w:rPr>
            </w:pPr>
            <w:r>
              <w:rPr>
                <w:rFonts w:hint="eastAsia" w:ascii="Times New Roman" w:eastAsia="仿宋"/>
                <w:szCs w:val="21"/>
              </w:rPr>
              <w:t>/</w:t>
            </w:r>
          </w:p>
        </w:tc>
      </w:tr>
      <w:tr w14:paraId="608F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4310E831">
            <w:pPr>
              <w:spacing w:line="360" w:lineRule="exact"/>
              <w:jc w:val="center"/>
              <w:rPr>
                <w:rFonts w:ascii="Times New Roman" w:eastAsia="仿宋"/>
                <w:szCs w:val="21"/>
                <w:lang w:val="zh-CN"/>
              </w:rPr>
            </w:pPr>
          </w:p>
        </w:tc>
        <w:tc>
          <w:tcPr>
            <w:tcW w:w="1677" w:type="pct"/>
            <w:vAlign w:val="center"/>
          </w:tcPr>
          <w:p w14:paraId="6E808C77">
            <w:pPr>
              <w:spacing w:line="360" w:lineRule="exact"/>
              <w:jc w:val="center"/>
              <w:rPr>
                <w:rFonts w:ascii="Times New Roman" w:eastAsia="仿宋"/>
                <w:szCs w:val="21"/>
                <w:lang w:val="zh-CN"/>
              </w:rPr>
            </w:pPr>
            <w:r>
              <w:rPr>
                <w:rFonts w:ascii="Times New Roman" w:eastAsia="仿宋"/>
                <w:szCs w:val="21"/>
                <w:lang w:val="zh-CN"/>
              </w:rPr>
              <w:t>临界压力（atm）</w:t>
            </w:r>
          </w:p>
        </w:tc>
        <w:tc>
          <w:tcPr>
            <w:tcW w:w="1049" w:type="pct"/>
            <w:vAlign w:val="center"/>
          </w:tcPr>
          <w:p w14:paraId="3CAD5D5B">
            <w:pPr>
              <w:spacing w:line="360" w:lineRule="exact"/>
              <w:jc w:val="center"/>
              <w:rPr>
                <w:rFonts w:ascii="Times New Roman" w:eastAsia="仿宋"/>
                <w:szCs w:val="21"/>
              </w:rPr>
            </w:pPr>
            <w:r>
              <w:rPr>
                <w:rFonts w:hint="eastAsia" w:ascii="Times New Roman" w:eastAsia="仿宋"/>
                <w:szCs w:val="21"/>
              </w:rPr>
              <w:t>34.65</w:t>
            </w:r>
          </w:p>
        </w:tc>
        <w:tc>
          <w:tcPr>
            <w:tcW w:w="816" w:type="pct"/>
            <w:vAlign w:val="center"/>
          </w:tcPr>
          <w:p w14:paraId="781BF675">
            <w:pPr>
              <w:spacing w:line="360" w:lineRule="exact"/>
              <w:jc w:val="center"/>
              <w:rPr>
                <w:rFonts w:ascii="Times New Roman" w:eastAsia="仿宋"/>
                <w:szCs w:val="21"/>
                <w:lang w:val="zh-CN"/>
              </w:rPr>
            </w:pPr>
            <w:r>
              <w:rPr>
                <w:rFonts w:ascii="Times New Roman" w:eastAsia="仿宋"/>
                <w:szCs w:val="21"/>
                <w:lang w:val="zh-CN"/>
              </w:rPr>
              <w:t>34.5</w:t>
            </w:r>
          </w:p>
        </w:tc>
        <w:tc>
          <w:tcPr>
            <w:tcW w:w="1063" w:type="pct"/>
            <w:vAlign w:val="center"/>
          </w:tcPr>
          <w:p w14:paraId="451F148A">
            <w:pPr>
              <w:spacing w:line="360" w:lineRule="exact"/>
              <w:jc w:val="center"/>
              <w:rPr>
                <w:rFonts w:ascii="Times New Roman" w:eastAsia="仿宋"/>
                <w:szCs w:val="21"/>
              </w:rPr>
            </w:pPr>
            <w:r>
              <w:rPr>
                <w:rFonts w:hint="eastAsia" w:ascii="Times New Roman" w:eastAsia="仿宋"/>
                <w:szCs w:val="21"/>
              </w:rPr>
              <w:t>/</w:t>
            </w:r>
          </w:p>
        </w:tc>
      </w:tr>
      <w:tr w14:paraId="5606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55E92269">
            <w:pPr>
              <w:spacing w:line="360" w:lineRule="exact"/>
              <w:jc w:val="center"/>
              <w:rPr>
                <w:rFonts w:ascii="Times New Roman" w:eastAsia="仿宋"/>
                <w:szCs w:val="21"/>
                <w:lang w:val="zh-CN"/>
              </w:rPr>
            </w:pPr>
          </w:p>
        </w:tc>
        <w:tc>
          <w:tcPr>
            <w:tcW w:w="1677" w:type="pct"/>
            <w:vAlign w:val="center"/>
          </w:tcPr>
          <w:p w14:paraId="50D01B0D">
            <w:pPr>
              <w:spacing w:line="360" w:lineRule="exact"/>
              <w:jc w:val="center"/>
              <w:rPr>
                <w:rFonts w:ascii="Times New Roman" w:eastAsia="仿宋"/>
                <w:szCs w:val="21"/>
                <w:lang w:val="zh-CN"/>
              </w:rPr>
            </w:pPr>
            <w:r>
              <w:rPr>
                <w:rFonts w:ascii="Times New Roman" w:eastAsia="仿宋"/>
                <w:szCs w:val="21"/>
                <w:lang w:val="zh-CN"/>
              </w:rPr>
              <w:t>比热容比</w:t>
            </w:r>
          </w:p>
        </w:tc>
        <w:tc>
          <w:tcPr>
            <w:tcW w:w="1049" w:type="pct"/>
            <w:vAlign w:val="center"/>
          </w:tcPr>
          <w:p w14:paraId="0DF48AEE">
            <w:pPr>
              <w:spacing w:line="360" w:lineRule="exact"/>
              <w:jc w:val="center"/>
              <w:rPr>
                <w:rFonts w:ascii="Times New Roman" w:eastAsia="仿宋"/>
                <w:szCs w:val="21"/>
                <w:lang w:val="zh-CN"/>
              </w:rPr>
            </w:pPr>
            <w:r>
              <w:rPr>
                <w:rFonts w:ascii="Times New Roman" w:eastAsia="仿宋"/>
                <w:szCs w:val="21"/>
                <w:lang w:val="zh-CN"/>
              </w:rPr>
              <w:t>/</w:t>
            </w:r>
          </w:p>
        </w:tc>
        <w:tc>
          <w:tcPr>
            <w:tcW w:w="816" w:type="pct"/>
            <w:vAlign w:val="center"/>
          </w:tcPr>
          <w:p w14:paraId="34ED634C">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28499A34">
            <w:pPr>
              <w:spacing w:line="360" w:lineRule="exact"/>
              <w:jc w:val="center"/>
              <w:rPr>
                <w:rFonts w:ascii="Times New Roman" w:eastAsia="仿宋"/>
                <w:szCs w:val="21"/>
              </w:rPr>
            </w:pPr>
            <w:r>
              <w:rPr>
                <w:rFonts w:hint="eastAsia" w:ascii="Times New Roman" w:eastAsia="仿宋"/>
                <w:szCs w:val="21"/>
              </w:rPr>
              <w:t>/</w:t>
            </w:r>
          </w:p>
        </w:tc>
      </w:tr>
      <w:tr w14:paraId="3EB7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337520AA">
            <w:pPr>
              <w:spacing w:line="360" w:lineRule="exact"/>
              <w:jc w:val="center"/>
              <w:rPr>
                <w:rFonts w:ascii="Times New Roman" w:eastAsia="仿宋"/>
                <w:szCs w:val="21"/>
                <w:lang w:val="zh-CN"/>
              </w:rPr>
            </w:pPr>
          </w:p>
        </w:tc>
        <w:tc>
          <w:tcPr>
            <w:tcW w:w="1677" w:type="pct"/>
            <w:vAlign w:val="center"/>
          </w:tcPr>
          <w:p w14:paraId="40C9710F">
            <w:pPr>
              <w:spacing w:line="360" w:lineRule="exact"/>
              <w:jc w:val="center"/>
              <w:rPr>
                <w:rFonts w:ascii="Times New Roman" w:eastAsia="仿宋"/>
                <w:szCs w:val="21"/>
                <w:lang w:val="zh-CN"/>
              </w:rPr>
            </w:pPr>
            <w:r>
              <w:rPr>
                <w:rFonts w:ascii="Times New Roman" w:eastAsia="仿宋"/>
                <w:szCs w:val="21"/>
                <w:lang w:val="zh-CN"/>
              </w:rPr>
              <w:t>气体定压比热容（J/Kg·K）</w:t>
            </w:r>
          </w:p>
        </w:tc>
        <w:tc>
          <w:tcPr>
            <w:tcW w:w="1049" w:type="pct"/>
            <w:vAlign w:val="center"/>
          </w:tcPr>
          <w:p w14:paraId="24CE3909">
            <w:pPr>
              <w:spacing w:line="360" w:lineRule="exact"/>
              <w:jc w:val="center"/>
              <w:rPr>
                <w:rFonts w:ascii="Times New Roman" w:eastAsia="仿宋"/>
                <w:szCs w:val="21"/>
                <w:lang w:val="zh-CN"/>
              </w:rPr>
            </w:pPr>
            <w:r>
              <w:rPr>
                <w:rFonts w:ascii="Times New Roman" w:eastAsia="仿宋"/>
                <w:szCs w:val="21"/>
                <w:lang w:val="zh-CN"/>
              </w:rPr>
              <w:t>/</w:t>
            </w:r>
          </w:p>
        </w:tc>
        <w:tc>
          <w:tcPr>
            <w:tcW w:w="816" w:type="pct"/>
            <w:vAlign w:val="center"/>
          </w:tcPr>
          <w:p w14:paraId="5B48C2F0">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135EC5C2">
            <w:pPr>
              <w:spacing w:line="360" w:lineRule="exact"/>
              <w:jc w:val="center"/>
              <w:rPr>
                <w:rFonts w:ascii="Times New Roman" w:eastAsia="仿宋"/>
                <w:szCs w:val="21"/>
              </w:rPr>
            </w:pPr>
            <w:r>
              <w:rPr>
                <w:rFonts w:hint="eastAsia" w:ascii="Times New Roman" w:eastAsia="仿宋"/>
                <w:szCs w:val="21"/>
              </w:rPr>
              <w:t>/</w:t>
            </w:r>
          </w:p>
        </w:tc>
      </w:tr>
      <w:tr w14:paraId="2666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68DD9100">
            <w:pPr>
              <w:spacing w:line="360" w:lineRule="exact"/>
              <w:jc w:val="center"/>
              <w:rPr>
                <w:rFonts w:ascii="Times New Roman" w:eastAsia="仿宋"/>
                <w:szCs w:val="21"/>
                <w:lang w:val="zh-CN"/>
              </w:rPr>
            </w:pPr>
          </w:p>
        </w:tc>
        <w:tc>
          <w:tcPr>
            <w:tcW w:w="1677" w:type="pct"/>
            <w:vAlign w:val="center"/>
          </w:tcPr>
          <w:p w14:paraId="1490A259">
            <w:pPr>
              <w:spacing w:line="360" w:lineRule="exact"/>
              <w:jc w:val="center"/>
              <w:rPr>
                <w:rFonts w:ascii="Times New Roman" w:eastAsia="仿宋"/>
                <w:szCs w:val="21"/>
                <w:lang w:val="zh-CN"/>
              </w:rPr>
            </w:pPr>
            <w:r>
              <w:rPr>
                <w:rFonts w:ascii="Times New Roman" w:eastAsia="仿宋"/>
                <w:szCs w:val="21"/>
                <w:lang w:val="zh-CN"/>
              </w:rPr>
              <w:t>液体定压比热容（J/Kg·K）</w:t>
            </w:r>
          </w:p>
        </w:tc>
        <w:tc>
          <w:tcPr>
            <w:tcW w:w="1049" w:type="pct"/>
            <w:vAlign w:val="center"/>
          </w:tcPr>
          <w:p w14:paraId="4E0E039A">
            <w:pPr>
              <w:spacing w:line="360" w:lineRule="exact"/>
              <w:jc w:val="center"/>
              <w:rPr>
                <w:rFonts w:ascii="Times New Roman" w:eastAsia="仿宋"/>
                <w:szCs w:val="21"/>
              </w:rPr>
            </w:pPr>
            <w:r>
              <w:rPr>
                <w:rFonts w:hint="eastAsia" w:ascii="Times New Roman" w:eastAsia="仿宋"/>
                <w:szCs w:val="21"/>
              </w:rPr>
              <w:t>/</w:t>
            </w:r>
          </w:p>
        </w:tc>
        <w:tc>
          <w:tcPr>
            <w:tcW w:w="816" w:type="pct"/>
            <w:vAlign w:val="center"/>
          </w:tcPr>
          <w:p w14:paraId="43D1AAB9">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7F9FE8F0">
            <w:pPr>
              <w:spacing w:line="360" w:lineRule="exact"/>
              <w:jc w:val="center"/>
              <w:rPr>
                <w:rFonts w:ascii="Times New Roman" w:eastAsia="仿宋"/>
                <w:szCs w:val="21"/>
              </w:rPr>
            </w:pPr>
            <w:r>
              <w:rPr>
                <w:rFonts w:hint="eastAsia" w:ascii="Times New Roman" w:eastAsia="仿宋"/>
                <w:szCs w:val="21"/>
              </w:rPr>
              <w:t>/</w:t>
            </w:r>
          </w:p>
        </w:tc>
      </w:tr>
      <w:tr w14:paraId="0729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11A886B8">
            <w:pPr>
              <w:spacing w:line="360" w:lineRule="exact"/>
              <w:jc w:val="center"/>
              <w:rPr>
                <w:rFonts w:ascii="Times New Roman" w:eastAsia="仿宋"/>
                <w:szCs w:val="21"/>
                <w:lang w:val="zh-CN"/>
              </w:rPr>
            </w:pPr>
          </w:p>
        </w:tc>
        <w:tc>
          <w:tcPr>
            <w:tcW w:w="1677" w:type="pct"/>
            <w:vAlign w:val="center"/>
          </w:tcPr>
          <w:p w14:paraId="79309AB4">
            <w:pPr>
              <w:spacing w:line="360" w:lineRule="exact"/>
              <w:jc w:val="center"/>
              <w:rPr>
                <w:rFonts w:ascii="Times New Roman" w:eastAsia="仿宋"/>
                <w:szCs w:val="21"/>
                <w:lang w:val="zh-CN"/>
              </w:rPr>
            </w:pPr>
            <w:r>
              <w:rPr>
                <w:rFonts w:ascii="Times New Roman" w:eastAsia="仿宋"/>
                <w:szCs w:val="21"/>
                <w:lang w:val="zh-CN"/>
              </w:rPr>
              <w:t>液体密度（kg/m</w:t>
            </w:r>
            <w:r>
              <w:rPr>
                <w:rFonts w:ascii="Times New Roman" w:eastAsia="仿宋"/>
                <w:szCs w:val="21"/>
                <w:vertAlign w:val="superscript"/>
                <w:lang w:val="zh-CN"/>
              </w:rPr>
              <w:t>3</w:t>
            </w:r>
            <w:r>
              <w:rPr>
                <w:rFonts w:ascii="Times New Roman" w:eastAsia="仿宋"/>
                <w:szCs w:val="21"/>
                <w:lang w:val="zh-CN"/>
              </w:rPr>
              <w:t>）</w:t>
            </w:r>
          </w:p>
        </w:tc>
        <w:tc>
          <w:tcPr>
            <w:tcW w:w="1049" w:type="pct"/>
            <w:vAlign w:val="center"/>
          </w:tcPr>
          <w:p w14:paraId="02FF784C">
            <w:pPr>
              <w:spacing w:line="360" w:lineRule="exact"/>
              <w:jc w:val="center"/>
              <w:rPr>
                <w:rFonts w:ascii="Times New Roman" w:eastAsia="仿宋"/>
                <w:szCs w:val="21"/>
              </w:rPr>
            </w:pPr>
            <w:r>
              <w:rPr>
                <w:rFonts w:hint="eastAsia" w:ascii="Times New Roman" w:eastAsia="仿宋"/>
                <w:szCs w:val="21"/>
              </w:rPr>
              <w:t>88</w:t>
            </w:r>
            <w:r>
              <w:rPr>
                <w:rFonts w:ascii="Times New Roman" w:eastAsia="仿宋"/>
                <w:szCs w:val="21"/>
              </w:rPr>
              <w:t>0</w:t>
            </w:r>
          </w:p>
        </w:tc>
        <w:tc>
          <w:tcPr>
            <w:tcW w:w="816" w:type="pct"/>
            <w:vAlign w:val="center"/>
          </w:tcPr>
          <w:p w14:paraId="2455880B">
            <w:pPr>
              <w:spacing w:line="360" w:lineRule="exact"/>
              <w:jc w:val="center"/>
              <w:rPr>
                <w:rFonts w:ascii="Times New Roman" w:eastAsia="仿宋"/>
                <w:szCs w:val="21"/>
                <w:lang w:val="zh-CN"/>
              </w:rPr>
            </w:pPr>
            <w:r>
              <w:rPr>
                <w:rFonts w:ascii="Times New Roman" w:eastAsia="仿宋"/>
                <w:szCs w:val="21"/>
                <w:lang w:val="zh-CN"/>
              </w:rPr>
              <w:t>789</w:t>
            </w:r>
          </w:p>
        </w:tc>
        <w:tc>
          <w:tcPr>
            <w:tcW w:w="1063" w:type="pct"/>
            <w:vAlign w:val="center"/>
          </w:tcPr>
          <w:p w14:paraId="3D334C47">
            <w:pPr>
              <w:spacing w:line="360" w:lineRule="exact"/>
              <w:jc w:val="center"/>
              <w:rPr>
                <w:rFonts w:ascii="Times New Roman" w:eastAsia="仿宋"/>
                <w:szCs w:val="21"/>
              </w:rPr>
            </w:pPr>
            <w:r>
              <w:rPr>
                <w:rFonts w:ascii="Times New Roman" w:eastAsia="仿宋"/>
                <w:szCs w:val="21"/>
              </w:rPr>
              <w:t>1840</w:t>
            </w:r>
          </w:p>
        </w:tc>
      </w:tr>
      <w:tr w14:paraId="5CA3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14:paraId="55ECA002">
            <w:pPr>
              <w:spacing w:line="360" w:lineRule="exact"/>
              <w:jc w:val="center"/>
              <w:rPr>
                <w:rFonts w:ascii="Times New Roman" w:eastAsia="仿宋"/>
                <w:szCs w:val="21"/>
                <w:lang w:val="zh-CN"/>
              </w:rPr>
            </w:pPr>
          </w:p>
        </w:tc>
        <w:tc>
          <w:tcPr>
            <w:tcW w:w="1677" w:type="pct"/>
            <w:vAlign w:val="center"/>
          </w:tcPr>
          <w:p w14:paraId="0BC7579E">
            <w:pPr>
              <w:spacing w:line="360" w:lineRule="exact"/>
              <w:jc w:val="center"/>
              <w:rPr>
                <w:rFonts w:ascii="Times New Roman" w:eastAsia="仿宋"/>
                <w:szCs w:val="21"/>
                <w:lang w:val="zh-CN"/>
              </w:rPr>
            </w:pPr>
            <w:r>
              <w:rPr>
                <w:rFonts w:ascii="Times New Roman" w:eastAsia="仿宋"/>
                <w:szCs w:val="21"/>
                <w:lang w:val="zh-CN"/>
              </w:rPr>
              <w:t>汽化热（J/Kg）</w:t>
            </w:r>
          </w:p>
        </w:tc>
        <w:tc>
          <w:tcPr>
            <w:tcW w:w="1049" w:type="pct"/>
            <w:vAlign w:val="center"/>
          </w:tcPr>
          <w:p w14:paraId="4947437C">
            <w:pPr>
              <w:spacing w:line="360" w:lineRule="exact"/>
              <w:jc w:val="center"/>
              <w:rPr>
                <w:rFonts w:ascii="Times New Roman" w:eastAsia="仿宋"/>
                <w:szCs w:val="21"/>
                <w:lang w:val="zh-CN"/>
              </w:rPr>
            </w:pPr>
            <w:r>
              <w:rPr>
                <w:rFonts w:ascii="Times New Roman" w:eastAsia="仿宋"/>
                <w:szCs w:val="21"/>
                <w:lang w:val="zh-CN"/>
              </w:rPr>
              <w:t>/</w:t>
            </w:r>
          </w:p>
        </w:tc>
        <w:tc>
          <w:tcPr>
            <w:tcW w:w="816" w:type="pct"/>
            <w:vAlign w:val="center"/>
          </w:tcPr>
          <w:p w14:paraId="598625B9">
            <w:pPr>
              <w:spacing w:line="360" w:lineRule="exact"/>
              <w:jc w:val="center"/>
              <w:rPr>
                <w:rFonts w:ascii="Times New Roman" w:eastAsia="仿宋"/>
                <w:szCs w:val="21"/>
                <w:lang w:val="zh-CN"/>
              </w:rPr>
            </w:pPr>
            <w:r>
              <w:rPr>
                <w:rFonts w:ascii="Times New Roman" w:eastAsia="仿宋"/>
                <w:szCs w:val="21"/>
                <w:lang w:val="zh-CN"/>
              </w:rPr>
              <w:t>/</w:t>
            </w:r>
          </w:p>
        </w:tc>
        <w:tc>
          <w:tcPr>
            <w:tcW w:w="1063" w:type="pct"/>
            <w:vAlign w:val="center"/>
          </w:tcPr>
          <w:p w14:paraId="3A20861A">
            <w:pPr>
              <w:spacing w:line="360" w:lineRule="exact"/>
              <w:jc w:val="center"/>
              <w:rPr>
                <w:rFonts w:ascii="Times New Roman" w:eastAsia="仿宋"/>
                <w:szCs w:val="21"/>
              </w:rPr>
            </w:pPr>
            <w:r>
              <w:rPr>
                <w:rFonts w:hint="eastAsia" w:ascii="Times New Roman" w:eastAsia="仿宋"/>
                <w:szCs w:val="21"/>
              </w:rPr>
              <w:t>/</w:t>
            </w:r>
          </w:p>
        </w:tc>
      </w:tr>
    </w:tbl>
    <w:p w14:paraId="00D9F673">
      <w:pPr>
        <w:spacing w:line="500" w:lineRule="exact"/>
        <w:ind w:firstLine="560" w:firstLineChars="200"/>
        <w:rPr>
          <w:rFonts w:ascii="Times New Roman" w:eastAsia="仿宋"/>
          <w:sz w:val="28"/>
          <w:szCs w:val="28"/>
        </w:rPr>
      </w:pPr>
      <w:r>
        <w:rPr>
          <w:rFonts w:ascii="Times New Roman" w:eastAsia="仿宋"/>
          <w:sz w:val="28"/>
          <w:szCs w:val="28"/>
        </w:rPr>
        <w:t>四、气象参数</w:t>
      </w:r>
    </w:p>
    <w:p w14:paraId="6D835697">
      <w:pPr>
        <w:spacing w:line="500" w:lineRule="exact"/>
        <w:ind w:firstLine="560" w:firstLineChars="200"/>
        <w:rPr>
          <w:rFonts w:ascii="Times New Roman" w:eastAsia="仿宋"/>
          <w:sz w:val="28"/>
          <w:szCs w:val="28"/>
        </w:rPr>
      </w:pPr>
      <w:r>
        <w:rPr>
          <w:rFonts w:ascii="Times New Roman" w:eastAsia="仿宋"/>
          <w:sz w:val="28"/>
          <w:szCs w:val="28"/>
        </w:rPr>
        <w:t>本项目气象参数见下表。</w:t>
      </w:r>
    </w:p>
    <w:p w14:paraId="081AFF11">
      <w:pPr>
        <w:jc w:val="center"/>
        <w:rPr>
          <w:rFonts w:ascii="Times New Roman" w:eastAsia="仿宋"/>
          <w:b/>
          <w:bCs/>
          <w:kern w:val="2"/>
          <w:szCs w:val="24"/>
        </w:rPr>
      </w:pPr>
      <w:r>
        <w:rPr>
          <w:rFonts w:ascii="Times New Roman" w:eastAsia="仿宋"/>
          <w:b/>
          <w:bCs/>
          <w:kern w:val="2"/>
          <w:szCs w:val="24"/>
        </w:rPr>
        <w:t>表</w:t>
      </w:r>
      <w:r>
        <w:rPr>
          <w:rFonts w:hint="eastAsia" w:ascii="Times New Roman" w:eastAsia="仿宋"/>
          <w:b/>
          <w:bCs/>
          <w:kern w:val="2"/>
          <w:szCs w:val="24"/>
        </w:rPr>
        <w:t>5.3-2</w:t>
      </w:r>
      <w:r>
        <w:rPr>
          <w:rFonts w:ascii="Times New Roman" w:eastAsia="仿宋"/>
          <w:b/>
          <w:bCs/>
          <w:kern w:val="2"/>
          <w:szCs w:val="24"/>
        </w:rPr>
        <w:t xml:space="preserve">8  </w:t>
      </w:r>
      <w:r>
        <w:rPr>
          <w:rFonts w:hint="eastAsia" w:ascii="Times New Roman" w:eastAsia="仿宋"/>
          <w:b/>
          <w:bCs/>
          <w:kern w:val="2"/>
          <w:szCs w:val="24"/>
        </w:rPr>
        <w:t>气象</w:t>
      </w:r>
      <w:r>
        <w:rPr>
          <w:rFonts w:ascii="Times New Roman" w:eastAsia="仿宋"/>
          <w:b/>
          <w:bCs/>
          <w:kern w:val="2"/>
          <w:szCs w:val="24"/>
        </w:rPr>
        <w:t>参数汇总表</w:t>
      </w:r>
    </w:p>
    <w:tbl>
      <w:tblPr>
        <w:tblStyle w:val="87"/>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6"/>
        <w:gridCol w:w="2387"/>
        <w:gridCol w:w="2078"/>
        <w:gridCol w:w="2848"/>
      </w:tblGrid>
      <w:tr w14:paraId="3C62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restart"/>
            <w:tcBorders>
              <w:top w:val="single" w:color="auto" w:sz="4" w:space="0"/>
              <w:left w:val="single" w:color="auto" w:sz="4" w:space="0"/>
              <w:bottom w:val="single" w:color="auto" w:sz="4" w:space="0"/>
              <w:right w:val="single" w:color="auto" w:sz="4" w:space="0"/>
            </w:tcBorders>
            <w:vAlign w:val="center"/>
          </w:tcPr>
          <w:p w14:paraId="2893A10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类别</w:t>
            </w:r>
          </w:p>
        </w:tc>
        <w:tc>
          <w:tcPr>
            <w:tcW w:w="1313" w:type="pct"/>
            <w:vMerge w:val="restart"/>
            <w:tcBorders>
              <w:top w:val="single" w:color="auto" w:sz="4" w:space="0"/>
              <w:left w:val="single" w:color="auto" w:sz="4" w:space="0"/>
              <w:bottom w:val="single" w:color="auto" w:sz="4" w:space="0"/>
              <w:right w:val="single" w:color="auto" w:sz="4" w:space="0"/>
            </w:tcBorders>
            <w:vAlign w:val="center"/>
          </w:tcPr>
          <w:p w14:paraId="69CCF1F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选项</w:t>
            </w:r>
          </w:p>
        </w:tc>
        <w:tc>
          <w:tcPr>
            <w:tcW w:w="2710" w:type="pct"/>
            <w:gridSpan w:val="2"/>
            <w:tcBorders>
              <w:top w:val="single" w:color="auto" w:sz="4" w:space="0"/>
              <w:left w:val="single" w:color="auto" w:sz="4" w:space="0"/>
              <w:bottom w:val="single" w:color="auto" w:sz="4" w:space="0"/>
              <w:right w:val="single" w:color="auto" w:sz="4" w:space="0"/>
            </w:tcBorders>
            <w:vAlign w:val="center"/>
          </w:tcPr>
          <w:p w14:paraId="66C7861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气象条件类型</w:t>
            </w:r>
          </w:p>
        </w:tc>
      </w:tr>
      <w:tr w14:paraId="30EE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continue"/>
            <w:tcBorders>
              <w:top w:val="single" w:color="auto" w:sz="4" w:space="0"/>
              <w:left w:val="single" w:color="auto" w:sz="4" w:space="0"/>
              <w:bottom w:val="single" w:color="auto" w:sz="4" w:space="0"/>
              <w:right w:val="single" w:color="auto" w:sz="4" w:space="0"/>
            </w:tcBorders>
            <w:vAlign w:val="center"/>
          </w:tcPr>
          <w:p w14:paraId="2BFD2C16">
            <w:pPr>
              <w:kinsoku w:val="0"/>
              <w:overflowPunct w:val="0"/>
              <w:autoSpaceDE w:val="0"/>
              <w:autoSpaceDN w:val="0"/>
              <w:adjustRightInd w:val="0"/>
              <w:snapToGrid w:val="0"/>
              <w:jc w:val="center"/>
              <w:rPr>
                <w:rFonts w:ascii="Times New Roman" w:eastAsia="仿宋"/>
                <w:szCs w:val="24"/>
                <w:lang w:val="zh-CN"/>
              </w:rPr>
            </w:pPr>
          </w:p>
        </w:tc>
        <w:tc>
          <w:tcPr>
            <w:tcW w:w="1313" w:type="pct"/>
            <w:vMerge w:val="continue"/>
            <w:tcBorders>
              <w:top w:val="single" w:color="auto" w:sz="4" w:space="0"/>
              <w:left w:val="single" w:color="auto" w:sz="4" w:space="0"/>
              <w:bottom w:val="single" w:color="auto" w:sz="4" w:space="0"/>
              <w:right w:val="single" w:color="auto" w:sz="4" w:space="0"/>
            </w:tcBorders>
            <w:vAlign w:val="center"/>
          </w:tcPr>
          <w:p w14:paraId="13FB6FE4">
            <w:pPr>
              <w:kinsoku w:val="0"/>
              <w:overflowPunct w:val="0"/>
              <w:autoSpaceDE w:val="0"/>
              <w:autoSpaceDN w:val="0"/>
              <w:adjustRightInd w:val="0"/>
              <w:snapToGrid w:val="0"/>
              <w:jc w:val="center"/>
              <w:rPr>
                <w:rFonts w:ascii="Times New Roman" w:eastAsia="仿宋"/>
                <w:szCs w:val="24"/>
                <w:lang w:val="zh-CN"/>
              </w:rPr>
            </w:pPr>
          </w:p>
        </w:tc>
        <w:tc>
          <w:tcPr>
            <w:tcW w:w="1143" w:type="pct"/>
            <w:tcBorders>
              <w:top w:val="single" w:color="auto" w:sz="4" w:space="0"/>
              <w:left w:val="single" w:color="auto" w:sz="4" w:space="0"/>
              <w:bottom w:val="single" w:color="auto" w:sz="4" w:space="0"/>
              <w:right w:val="single" w:color="auto" w:sz="4" w:space="0"/>
            </w:tcBorders>
            <w:vAlign w:val="center"/>
          </w:tcPr>
          <w:p w14:paraId="50E7A2E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最不利气象</w:t>
            </w:r>
          </w:p>
        </w:tc>
        <w:tc>
          <w:tcPr>
            <w:tcW w:w="1567" w:type="pct"/>
            <w:tcBorders>
              <w:top w:val="single" w:color="auto" w:sz="4" w:space="0"/>
              <w:left w:val="single" w:color="auto" w:sz="4" w:space="0"/>
              <w:bottom w:val="single" w:color="auto" w:sz="4" w:space="0"/>
              <w:right w:val="single" w:color="auto" w:sz="4" w:space="0"/>
            </w:tcBorders>
            <w:vAlign w:val="center"/>
          </w:tcPr>
          <w:p w14:paraId="3C8101E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最常见气象</w:t>
            </w:r>
          </w:p>
        </w:tc>
      </w:tr>
      <w:tr w14:paraId="6E8C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restart"/>
            <w:tcBorders>
              <w:top w:val="single" w:color="auto" w:sz="4" w:space="0"/>
              <w:left w:val="single" w:color="auto" w:sz="4" w:space="0"/>
              <w:bottom w:val="single" w:color="auto" w:sz="4" w:space="0"/>
              <w:right w:val="single" w:color="auto" w:sz="4" w:space="0"/>
            </w:tcBorders>
            <w:vAlign w:val="center"/>
          </w:tcPr>
          <w:p w14:paraId="6066BA3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气象参数</w:t>
            </w:r>
          </w:p>
        </w:tc>
        <w:tc>
          <w:tcPr>
            <w:tcW w:w="1313" w:type="pct"/>
            <w:tcBorders>
              <w:top w:val="single" w:color="auto" w:sz="4" w:space="0"/>
              <w:left w:val="single" w:color="auto" w:sz="4" w:space="0"/>
              <w:bottom w:val="single" w:color="auto" w:sz="4" w:space="0"/>
              <w:right w:val="single" w:color="auto" w:sz="4" w:space="0"/>
            </w:tcBorders>
            <w:vAlign w:val="center"/>
          </w:tcPr>
          <w:p w14:paraId="6C3CFA5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风速（m/s）</w:t>
            </w:r>
          </w:p>
        </w:tc>
        <w:tc>
          <w:tcPr>
            <w:tcW w:w="1143" w:type="pct"/>
            <w:tcBorders>
              <w:top w:val="single" w:color="auto" w:sz="4" w:space="0"/>
              <w:left w:val="single" w:color="auto" w:sz="4" w:space="0"/>
              <w:bottom w:val="single" w:color="auto" w:sz="4" w:space="0"/>
              <w:right w:val="single" w:color="auto" w:sz="4" w:space="0"/>
            </w:tcBorders>
            <w:vAlign w:val="center"/>
          </w:tcPr>
          <w:p w14:paraId="61C4CE3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1.5</w:t>
            </w:r>
          </w:p>
        </w:tc>
        <w:tc>
          <w:tcPr>
            <w:tcW w:w="1567" w:type="pct"/>
            <w:tcBorders>
              <w:top w:val="single" w:color="auto" w:sz="4" w:space="0"/>
              <w:left w:val="single" w:color="auto" w:sz="4" w:space="0"/>
              <w:bottom w:val="single" w:color="auto" w:sz="4" w:space="0"/>
              <w:right w:val="single" w:color="auto" w:sz="4" w:space="0"/>
            </w:tcBorders>
            <w:vAlign w:val="center"/>
          </w:tcPr>
          <w:p w14:paraId="412E2B4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2.6</w:t>
            </w:r>
          </w:p>
        </w:tc>
      </w:tr>
      <w:tr w14:paraId="3C1F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continue"/>
            <w:tcBorders>
              <w:top w:val="single" w:color="auto" w:sz="4" w:space="0"/>
              <w:left w:val="single" w:color="auto" w:sz="4" w:space="0"/>
              <w:bottom w:val="single" w:color="auto" w:sz="4" w:space="0"/>
              <w:right w:val="single" w:color="auto" w:sz="4" w:space="0"/>
            </w:tcBorders>
            <w:vAlign w:val="center"/>
          </w:tcPr>
          <w:p w14:paraId="6DB00356">
            <w:pPr>
              <w:kinsoku w:val="0"/>
              <w:overflowPunct w:val="0"/>
              <w:autoSpaceDE w:val="0"/>
              <w:autoSpaceDN w:val="0"/>
              <w:adjustRightInd w:val="0"/>
              <w:snapToGrid w:val="0"/>
              <w:jc w:val="center"/>
              <w:rPr>
                <w:rFonts w:ascii="Times New Roman" w:eastAsia="仿宋"/>
                <w:szCs w:val="24"/>
                <w:lang w:val="zh-CN"/>
              </w:rPr>
            </w:pPr>
          </w:p>
        </w:tc>
        <w:tc>
          <w:tcPr>
            <w:tcW w:w="1313" w:type="pct"/>
            <w:tcBorders>
              <w:top w:val="single" w:color="auto" w:sz="4" w:space="0"/>
              <w:left w:val="single" w:color="auto" w:sz="4" w:space="0"/>
              <w:bottom w:val="single" w:color="auto" w:sz="4" w:space="0"/>
              <w:right w:val="single" w:color="auto" w:sz="4" w:space="0"/>
            </w:tcBorders>
            <w:vAlign w:val="center"/>
          </w:tcPr>
          <w:p w14:paraId="271D654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环境温度（</w:t>
            </w:r>
            <w:r>
              <w:rPr>
                <w:rFonts w:hint="eastAsia" w:ascii="Times New Roman" w:eastAsia="仿宋"/>
                <w:szCs w:val="24"/>
                <w:lang w:val="zh-CN"/>
              </w:rPr>
              <w:t>℃</w:t>
            </w:r>
            <w:r>
              <w:rPr>
                <w:rFonts w:ascii="Times New Roman" w:eastAsia="仿宋"/>
                <w:szCs w:val="24"/>
                <w:lang w:val="zh-CN"/>
              </w:rPr>
              <w:t>）</w:t>
            </w:r>
          </w:p>
        </w:tc>
        <w:tc>
          <w:tcPr>
            <w:tcW w:w="1143" w:type="pct"/>
            <w:tcBorders>
              <w:top w:val="single" w:color="auto" w:sz="4" w:space="0"/>
              <w:left w:val="single" w:color="auto" w:sz="4" w:space="0"/>
              <w:bottom w:val="single" w:color="auto" w:sz="4" w:space="0"/>
              <w:right w:val="single" w:color="auto" w:sz="4" w:space="0"/>
            </w:tcBorders>
            <w:vAlign w:val="center"/>
          </w:tcPr>
          <w:p w14:paraId="2085206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25</w:t>
            </w:r>
          </w:p>
        </w:tc>
        <w:tc>
          <w:tcPr>
            <w:tcW w:w="1567" w:type="pct"/>
            <w:tcBorders>
              <w:top w:val="single" w:color="auto" w:sz="4" w:space="0"/>
              <w:left w:val="single" w:color="auto" w:sz="4" w:space="0"/>
              <w:bottom w:val="single" w:color="auto" w:sz="4" w:space="0"/>
              <w:right w:val="single" w:color="auto" w:sz="4" w:space="0"/>
            </w:tcBorders>
            <w:vAlign w:val="center"/>
          </w:tcPr>
          <w:p w14:paraId="36801D8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25</w:t>
            </w:r>
          </w:p>
        </w:tc>
      </w:tr>
      <w:tr w14:paraId="5FB0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continue"/>
            <w:tcBorders>
              <w:top w:val="single" w:color="auto" w:sz="4" w:space="0"/>
              <w:left w:val="single" w:color="auto" w:sz="4" w:space="0"/>
              <w:bottom w:val="single" w:color="auto" w:sz="4" w:space="0"/>
              <w:right w:val="single" w:color="auto" w:sz="4" w:space="0"/>
            </w:tcBorders>
            <w:vAlign w:val="center"/>
          </w:tcPr>
          <w:p w14:paraId="7AD691D5">
            <w:pPr>
              <w:kinsoku w:val="0"/>
              <w:overflowPunct w:val="0"/>
              <w:autoSpaceDE w:val="0"/>
              <w:autoSpaceDN w:val="0"/>
              <w:adjustRightInd w:val="0"/>
              <w:snapToGrid w:val="0"/>
              <w:jc w:val="center"/>
              <w:rPr>
                <w:rFonts w:ascii="Times New Roman" w:eastAsia="仿宋"/>
                <w:szCs w:val="24"/>
                <w:lang w:val="zh-CN"/>
              </w:rPr>
            </w:pPr>
          </w:p>
        </w:tc>
        <w:tc>
          <w:tcPr>
            <w:tcW w:w="1313" w:type="pct"/>
            <w:tcBorders>
              <w:top w:val="single" w:color="auto" w:sz="4" w:space="0"/>
              <w:left w:val="single" w:color="auto" w:sz="4" w:space="0"/>
              <w:bottom w:val="single" w:color="auto" w:sz="4" w:space="0"/>
              <w:right w:val="single" w:color="auto" w:sz="4" w:space="0"/>
            </w:tcBorders>
            <w:vAlign w:val="center"/>
          </w:tcPr>
          <w:p w14:paraId="7A855BE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相对湿度（%）</w:t>
            </w:r>
          </w:p>
        </w:tc>
        <w:tc>
          <w:tcPr>
            <w:tcW w:w="1143" w:type="pct"/>
            <w:tcBorders>
              <w:top w:val="single" w:color="auto" w:sz="4" w:space="0"/>
              <w:left w:val="single" w:color="auto" w:sz="4" w:space="0"/>
              <w:bottom w:val="single" w:color="auto" w:sz="4" w:space="0"/>
              <w:right w:val="single" w:color="auto" w:sz="4" w:space="0"/>
            </w:tcBorders>
            <w:vAlign w:val="center"/>
          </w:tcPr>
          <w:p w14:paraId="2BA7891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50</w:t>
            </w:r>
          </w:p>
        </w:tc>
        <w:tc>
          <w:tcPr>
            <w:tcW w:w="1567" w:type="pct"/>
            <w:tcBorders>
              <w:top w:val="single" w:color="auto" w:sz="4" w:space="0"/>
              <w:left w:val="single" w:color="auto" w:sz="4" w:space="0"/>
              <w:bottom w:val="single" w:color="auto" w:sz="4" w:space="0"/>
              <w:right w:val="single" w:color="auto" w:sz="4" w:space="0"/>
            </w:tcBorders>
            <w:vAlign w:val="center"/>
          </w:tcPr>
          <w:p w14:paraId="6C759C9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35</w:t>
            </w:r>
          </w:p>
        </w:tc>
      </w:tr>
      <w:tr w14:paraId="6EDD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77" w:type="pct"/>
            <w:vMerge w:val="continue"/>
            <w:tcBorders>
              <w:top w:val="single" w:color="auto" w:sz="4" w:space="0"/>
              <w:left w:val="single" w:color="auto" w:sz="4" w:space="0"/>
              <w:bottom w:val="single" w:color="auto" w:sz="4" w:space="0"/>
              <w:right w:val="single" w:color="auto" w:sz="4" w:space="0"/>
            </w:tcBorders>
            <w:vAlign w:val="center"/>
          </w:tcPr>
          <w:p w14:paraId="0BFBD493">
            <w:pPr>
              <w:kinsoku w:val="0"/>
              <w:overflowPunct w:val="0"/>
              <w:autoSpaceDE w:val="0"/>
              <w:autoSpaceDN w:val="0"/>
              <w:adjustRightInd w:val="0"/>
              <w:snapToGrid w:val="0"/>
              <w:jc w:val="center"/>
              <w:rPr>
                <w:rFonts w:ascii="Times New Roman" w:eastAsia="仿宋"/>
                <w:szCs w:val="24"/>
                <w:lang w:val="zh-CN"/>
              </w:rPr>
            </w:pPr>
          </w:p>
        </w:tc>
        <w:tc>
          <w:tcPr>
            <w:tcW w:w="1313" w:type="pct"/>
            <w:tcBorders>
              <w:top w:val="single" w:color="auto" w:sz="4" w:space="0"/>
              <w:left w:val="single" w:color="auto" w:sz="4" w:space="0"/>
              <w:bottom w:val="single" w:color="auto" w:sz="4" w:space="0"/>
              <w:right w:val="single" w:color="auto" w:sz="4" w:space="0"/>
            </w:tcBorders>
            <w:vAlign w:val="center"/>
          </w:tcPr>
          <w:p w14:paraId="5634138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稳定度</w:t>
            </w:r>
          </w:p>
        </w:tc>
        <w:tc>
          <w:tcPr>
            <w:tcW w:w="1143" w:type="pct"/>
            <w:tcBorders>
              <w:top w:val="single" w:color="auto" w:sz="4" w:space="0"/>
              <w:left w:val="single" w:color="auto" w:sz="4" w:space="0"/>
              <w:bottom w:val="single" w:color="auto" w:sz="4" w:space="0"/>
              <w:right w:val="single" w:color="auto" w:sz="4" w:space="0"/>
            </w:tcBorders>
            <w:vAlign w:val="center"/>
          </w:tcPr>
          <w:p w14:paraId="6361E0C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F</w:t>
            </w:r>
          </w:p>
        </w:tc>
        <w:tc>
          <w:tcPr>
            <w:tcW w:w="1567" w:type="pct"/>
            <w:tcBorders>
              <w:top w:val="single" w:color="auto" w:sz="4" w:space="0"/>
              <w:left w:val="single" w:color="auto" w:sz="4" w:space="0"/>
              <w:bottom w:val="single" w:color="auto" w:sz="4" w:space="0"/>
              <w:right w:val="single" w:color="auto" w:sz="4" w:space="0"/>
            </w:tcBorders>
            <w:vAlign w:val="center"/>
          </w:tcPr>
          <w:p w14:paraId="18A71C9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D</w:t>
            </w:r>
          </w:p>
        </w:tc>
      </w:tr>
    </w:tbl>
    <w:p w14:paraId="190C8302">
      <w:pPr>
        <w:spacing w:line="500" w:lineRule="exact"/>
        <w:ind w:firstLine="560" w:firstLineChars="200"/>
        <w:jc w:val="left"/>
        <w:rPr>
          <w:rFonts w:ascii="Times New Roman" w:eastAsia="仿宋"/>
          <w:sz w:val="28"/>
          <w:szCs w:val="28"/>
        </w:rPr>
      </w:pPr>
      <w:r>
        <w:rPr>
          <w:rFonts w:ascii="Times New Roman" w:eastAsia="仿宋"/>
          <w:sz w:val="28"/>
          <w:szCs w:val="28"/>
        </w:rPr>
        <w:t>五、大气毒性终点浓度值</w:t>
      </w:r>
    </w:p>
    <w:p w14:paraId="5904C03E">
      <w:pPr>
        <w:spacing w:line="500" w:lineRule="exact"/>
        <w:ind w:firstLine="560" w:firstLineChars="200"/>
        <w:jc w:val="left"/>
        <w:rPr>
          <w:rFonts w:ascii="Times New Roman" w:eastAsia="仿宋"/>
          <w:sz w:val="28"/>
          <w:szCs w:val="28"/>
        </w:rPr>
      </w:pPr>
      <w:r>
        <w:rPr>
          <w:rFonts w:ascii="Times New Roman" w:eastAsia="仿宋"/>
          <w:sz w:val="28"/>
          <w:szCs w:val="28"/>
        </w:rPr>
        <w:t>本项目大气毒性终点浓度值见下表。</w:t>
      </w:r>
    </w:p>
    <w:p w14:paraId="4E3E2FC6">
      <w:pPr>
        <w:spacing w:before="60" w:after="60"/>
        <w:jc w:val="center"/>
        <w:rPr>
          <w:rFonts w:ascii="Times New Roman" w:eastAsia="仿宋"/>
          <w:b/>
          <w:lang w:val="zh-CN"/>
        </w:rPr>
      </w:pPr>
      <w:r>
        <w:rPr>
          <w:rFonts w:ascii="Times New Roman" w:eastAsia="仿宋"/>
          <w:b/>
          <w:lang w:val="zh-CN"/>
        </w:rPr>
        <w:t>表</w:t>
      </w:r>
      <w:r>
        <w:rPr>
          <w:rFonts w:hint="eastAsia" w:ascii="Times New Roman" w:eastAsia="仿宋"/>
          <w:b/>
        </w:rPr>
        <w:t>5.3-2</w:t>
      </w:r>
      <w:r>
        <w:rPr>
          <w:rFonts w:ascii="Times New Roman" w:eastAsia="仿宋"/>
          <w:b/>
        </w:rPr>
        <w:t>9</w:t>
      </w:r>
      <w:r>
        <w:rPr>
          <w:rFonts w:ascii="Times New Roman" w:eastAsia="仿宋"/>
          <w:b/>
          <w:lang w:val="zh-CN"/>
        </w:rPr>
        <w:t xml:space="preserve">  大气毒性终点浓度值汇总表</w:t>
      </w:r>
    </w:p>
    <w:tbl>
      <w:tblPr>
        <w:tblStyle w:val="87"/>
        <w:tblW w:w="5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0"/>
        <w:gridCol w:w="1964"/>
        <w:gridCol w:w="3008"/>
        <w:gridCol w:w="3496"/>
      </w:tblGrid>
      <w:tr w14:paraId="3214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tcBorders>
              <w:top w:val="single" w:color="auto" w:sz="4" w:space="0"/>
              <w:left w:val="single" w:color="auto" w:sz="4" w:space="0"/>
              <w:bottom w:val="single" w:color="auto" w:sz="4" w:space="0"/>
              <w:right w:val="single" w:color="auto" w:sz="4" w:space="0"/>
            </w:tcBorders>
            <w:vAlign w:val="center"/>
          </w:tcPr>
          <w:p w14:paraId="0EDAB1E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序号</w:t>
            </w:r>
          </w:p>
        </w:tc>
        <w:tc>
          <w:tcPr>
            <w:tcW w:w="1962" w:type="dxa"/>
            <w:tcBorders>
              <w:top w:val="single" w:color="auto" w:sz="4" w:space="0"/>
              <w:left w:val="single" w:color="auto" w:sz="4" w:space="0"/>
              <w:bottom w:val="single" w:color="auto" w:sz="4" w:space="0"/>
              <w:right w:val="single" w:color="auto" w:sz="4" w:space="0"/>
            </w:tcBorders>
            <w:vAlign w:val="center"/>
          </w:tcPr>
          <w:p w14:paraId="3FF186B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危险物质</w:t>
            </w:r>
          </w:p>
        </w:tc>
        <w:tc>
          <w:tcPr>
            <w:tcW w:w="3005" w:type="dxa"/>
            <w:tcBorders>
              <w:top w:val="single" w:color="auto" w:sz="4" w:space="0"/>
              <w:left w:val="single" w:color="auto" w:sz="4" w:space="0"/>
              <w:bottom w:val="single" w:color="auto" w:sz="4" w:space="0"/>
              <w:right w:val="single" w:color="auto" w:sz="4" w:space="0"/>
            </w:tcBorders>
            <w:vAlign w:val="center"/>
          </w:tcPr>
          <w:p w14:paraId="5808789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指标</w:t>
            </w:r>
          </w:p>
        </w:tc>
        <w:tc>
          <w:tcPr>
            <w:tcW w:w="3492" w:type="dxa"/>
            <w:tcBorders>
              <w:top w:val="single" w:color="auto" w:sz="4" w:space="0"/>
              <w:left w:val="single" w:color="auto" w:sz="4" w:space="0"/>
              <w:bottom w:val="single" w:color="auto" w:sz="4" w:space="0"/>
              <w:right w:val="single" w:color="auto" w:sz="4" w:space="0"/>
            </w:tcBorders>
            <w:vAlign w:val="center"/>
          </w:tcPr>
          <w:p w14:paraId="3F85F59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浓度值（mg/m</w:t>
            </w:r>
            <w:r>
              <w:rPr>
                <w:rFonts w:ascii="Times New Roman" w:eastAsia="仿宋"/>
                <w:szCs w:val="24"/>
                <w:vertAlign w:val="superscript"/>
                <w:lang w:val="zh-CN"/>
              </w:rPr>
              <w:t>3</w:t>
            </w:r>
            <w:r>
              <w:rPr>
                <w:rFonts w:ascii="Times New Roman" w:eastAsia="仿宋"/>
                <w:szCs w:val="24"/>
                <w:lang w:val="zh-CN"/>
              </w:rPr>
              <w:t>）</w:t>
            </w:r>
          </w:p>
        </w:tc>
      </w:tr>
      <w:tr w14:paraId="53A5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restart"/>
            <w:tcBorders>
              <w:top w:val="single" w:color="auto" w:sz="4" w:space="0"/>
              <w:left w:val="single" w:color="auto" w:sz="4" w:space="0"/>
              <w:right w:val="single" w:color="auto" w:sz="4" w:space="0"/>
            </w:tcBorders>
            <w:vAlign w:val="center"/>
          </w:tcPr>
          <w:p w14:paraId="11BD085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w:t>
            </w:r>
          </w:p>
        </w:tc>
        <w:tc>
          <w:tcPr>
            <w:tcW w:w="1962" w:type="dxa"/>
            <w:vMerge w:val="restart"/>
            <w:tcBorders>
              <w:top w:val="single" w:color="auto" w:sz="4" w:space="0"/>
              <w:left w:val="single" w:color="auto" w:sz="4" w:space="0"/>
              <w:right w:val="single" w:color="auto" w:sz="4" w:space="0"/>
            </w:tcBorders>
            <w:vAlign w:val="center"/>
          </w:tcPr>
          <w:p w14:paraId="1285835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二甲苯</w:t>
            </w:r>
          </w:p>
        </w:tc>
        <w:tc>
          <w:tcPr>
            <w:tcW w:w="3005" w:type="dxa"/>
            <w:tcBorders>
              <w:top w:val="single" w:color="auto" w:sz="4" w:space="0"/>
              <w:left w:val="single" w:color="auto" w:sz="4" w:space="0"/>
              <w:bottom w:val="single" w:color="auto" w:sz="4" w:space="0"/>
              <w:right w:val="single" w:color="auto" w:sz="4" w:space="0"/>
            </w:tcBorders>
            <w:vAlign w:val="center"/>
          </w:tcPr>
          <w:p w14:paraId="47E613A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492" w:type="dxa"/>
            <w:tcBorders>
              <w:top w:val="single" w:color="auto" w:sz="4" w:space="0"/>
              <w:left w:val="single" w:color="auto" w:sz="4" w:space="0"/>
              <w:bottom w:val="single" w:color="auto" w:sz="4" w:space="0"/>
              <w:right w:val="single" w:color="auto" w:sz="4" w:space="0"/>
            </w:tcBorders>
            <w:vAlign w:val="center"/>
          </w:tcPr>
          <w:p w14:paraId="6E27A05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11000</w:t>
            </w:r>
          </w:p>
        </w:tc>
      </w:tr>
      <w:tr w14:paraId="0FC6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continue"/>
            <w:tcBorders>
              <w:left w:val="single" w:color="auto" w:sz="4" w:space="0"/>
              <w:bottom w:val="single" w:color="auto" w:sz="4" w:space="0"/>
              <w:right w:val="single" w:color="auto" w:sz="4" w:space="0"/>
            </w:tcBorders>
            <w:vAlign w:val="center"/>
          </w:tcPr>
          <w:p w14:paraId="59C9C750">
            <w:pPr>
              <w:kinsoku w:val="0"/>
              <w:overflowPunct w:val="0"/>
              <w:autoSpaceDE w:val="0"/>
              <w:autoSpaceDN w:val="0"/>
              <w:adjustRightInd w:val="0"/>
              <w:snapToGrid w:val="0"/>
              <w:jc w:val="center"/>
              <w:rPr>
                <w:rFonts w:ascii="Times New Roman" w:eastAsia="仿宋"/>
                <w:szCs w:val="24"/>
                <w:lang w:val="zh-CN"/>
              </w:rPr>
            </w:pPr>
          </w:p>
        </w:tc>
        <w:tc>
          <w:tcPr>
            <w:tcW w:w="1962" w:type="dxa"/>
            <w:vMerge w:val="continue"/>
            <w:tcBorders>
              <w:left w:val="single" w:color="auto" w:sz="4" w:space="0"/>
              <w:bottom w:val="single" w:color="auto" w:sz="4" w:space="0"/>
              <w:right w:val="single" w:color="auto" w:sz="4" w:space="0"/>
            </w:tcBorders>
            <w:vAlign w:val="center"/>
          </w:tcPr>
          <w:p w14:paraId="53905CFE">
            <w:pPr>
              <w:kinsoku w:val="0"/>
              <w:overflowPunct w:val="0"/>
              <w:autoSpaceDE w:val="0"/>
              <w:autoSpaceDN w:val="0"/>
              <w:adjustRightInd w:val="0"/>
              <w:snapToGrid w:val="0"/>
              <w:jc w:val="center"/>
              <w:rPr>
                <w:rFonts w:ascii="Times New Roman" w:eastAsia="仿宋"/>
                <w:szCs w:val="24"/>
                <w:lang w:val="zh-CN"/>
              </w:rPr>
            </w:pPr>
          </w:p>
        </w:tc>
        <w:tc>
          <w:tcPr>
            <w:tcW w:w="3005" w:type="dxa"/>
            <w:tcBorders>
              <w:top w:val="single" w:color="auto" w:sz="4" w:space="0"/>
              <w:left w:val="single" w:color="auto" w:sz="4" w:space="0"/>
              <w:bottom w:val="single" w:color="auto" w:sz="4" w:space="0"/>
              <w:right w:val="single" w:color="auto" w:sz="4" w:space="0"/>
            </w:tcBorders>
            <w:vAlign w:val="center"/>
          </w:tcPr>
          <w:p w14:paraId="2053E2D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492" w:type="dxa"/>
            <w:tcBorders>
              <w:top w:val="single" w:color="auto" w:sz="4" w:space="0"/>
              <w:left w:val="single" w:color="auto" w:sz="4" w:space="0"/>
              <w:bottom w:val="single" w:color="auto" w:sz="4" w:space="0"/>
              <w:right w:val="single" w:color="auto" w:sz="4" w:space="0"/>
            </w:tcBorders>
            <w:vAlign w:val="center"/>
          </w:tcPr>
          <w:p w14:paraId="25DBF45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4000</w:t>
            </w:r>
          </w:p>
        </w:tc>
      </w:tr>
      <w:tr w14:paraId="75A3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restart"/>
            <w:tcBorders>
              <w:top w:val="single" w:color="auto" w:sz="4" w:space="0"/>
              <w:left w:val="single" w:color="auto" w:sz="4" w:space="0"/>
              <w:right w:val="single" w:color="auto" w:sz="4" w:space="0"/>
            </w:tcBorders>
            <w:vAlign w:val="center"/>
          </w:tcPr>
          <w:p w14:paraId="29FA7C54">
            <w:pPr>
              <w:kinsoku w:val="0"/>
              <w:overflowPunct w:val="0"/>
              <w:autoSpaceDE w:val="0"/>
              <w:autoSpaceDN w:val="0"/>
              <w:adjustRightInd w:val="0"/>
              <w:snapToGrid w:val="0"/>
              <w:jc w:val="center"/>
              <w:rPr>
                <w:rFonts w:ascii="Times New Roman" w:eastAsia="仿宋"/>
                <w:szCs w:val="24"/>
                <w:lang w:val="zh-CN"/>
              </w:rPr>
            </w:pPr>
            <w:bookmarkStart w:id="374" w:name="_Hlk1331988"/>
            <w:r>
              <w:rPr>
                <w:rFonts w:ascii="Times New Roman" w:eastAsia="仿宋"/>
                <w:szCs w:val="24"/>
                <w:lang w:val="zh-CN"/>
              </w:rPr>
              <w:t>2</w:t>
            </w:r>
          </w:p>
        </w:tc>
        <w:tc>
          <w:tcPr>
            <w:tcW w:w="1962" w:type="dxa"/>
            <w:vMerge w:val="restart"/>
            <w:tcBorders>
              <w:top w:val="single" w:color="auto" w:sz="4" w:space="0"/>
              <w:left w:val="single" w:color="auto" w:sz="4" w:space="0"/>
              <w:right w:val="single" w:color="auto" w:sz="4" w:space="0"/>
            </w:tcBorders>
            <w:vAlign w:val="center"/>
          </w:tcPr>
          <w:p w14:paraId="4625570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CO</w:t>
            </w:r>
          </w:p>
        </w:tc>
        <w:tc>
          <w:tcPr>
            <w:tcW w:w="3005" w:type="dxa"/>
            <w:tcBorders>
              <w:top w:val="single" w:color="auto" w:sz="4" w:space="0"/>
              <w:left w:val="single" w:color="auto" w:sz="4" w:space="0"/>
              <w:bottom w:val="single" w:color="auto" w:sz="4" w:space="0"/>
              <w:right w:val="single" w:color="auto" w:sz="4" w:space="0"/>
            </w:tcBorders>
            <w:vAlign w:val="center"/>
          </w:tcPr>
          <w:p w14:paraId="04B9D22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492" w:type="dxa"/>
            <w:tcBorders>
              <w:top w:val="single" w:color="auto" w:sz="4" w:space="0"/>
              <w:left w:val="single" w:color="auto" w:sz="4" w:space="0"/>
              <w:bottom w:val="single" w:color="auto" w:sz="4" w:space="0"/>
              <w:right w:val="single" w:color="auto" w:sz="4" w:space="0"/>
            </w:tcBorders>
            <w:vAlign w:val="center"/>
          </w:tcPr>
          <w:p w14:paraId="542A73D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380</w:t>
            </w:r>
          </w:p>
        </w:tc>
      </w:tr>
      <w:tr w14:paraId="22BF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continue"/>
            <w:tcBorders>
              <w:left w:val="single" w:color="auto" w:sz="4" w:space="0"/>
              <w:right w:val="single" w:color="auto" w:sz="4" w:space="0"/>
            </w:tcBorders>
            <w:vAlign w:val="center"/>
          </w:tcPr>
          <w:p w14:paraId="6FC890AA">
            <w:pPr>
              <w:kinsoku w:val="0"/>
              <w:overflowPunct w:val="0"/>
              <w:autoSpaceDE w:val="0"/>
              <w:autoSpaceDN w:val="0"/>
              <w:adjustRightInd w:val="0"/>
              <w:snapToGrid w:val="0"/>
              <w:jc w:val="center"/>
              <w:rPr>
                <w:sz w:val="21"/>
                <w:szCs w:val="21"/>
                <w:lang w:val="zh-CN" w:bidi="zh-CN"/>
              </w:rPr>
            </w:pPr>
          </w:p>
        </w:tc>
        <w:tc>
          <w:tcPr>
            <w:tcW w:w="1962" w:type="dxa"/>
            <w:vMerge w:val="continue"/>
            <w:tcBorders>
              <w:left w:val="single" w:color="auto" w:sz="4" w:space="0"/>
              <w:right w:val="single" w:color="auto" w:sz="4" w:space="0"/>
            </w:tcBorders>
            <w:vAlign w:val="center"/>
          </w:tcPr>
          <w:p w14:paraId="53A60926">
            <w:pPr>
              <w:kinsoku w:val="0"/>
              <w:overflowPunct w:val="0"/>
              <w:autoSpaceDE w:val="0"/>
              <w:autoSpaceDN w:val="0"/>
              <w:adjustRightInd w:val="0"/>
              <w:snapToGrid w:val="0"/>
              <w:jc w:val="center"/>
              <w:rPr>
                <w:sz w:val="21"/>
                <w:szCs w:val="21"/>
                <w:lang w:val="zh-CN" w:bidi="zh-CN"/>
              </w:rPr>
            </w:pPr>
          </w:p>
        </w:tc>
        <w:tc>
          <w:tcPr>
            <w:tcW w:w="3005" w:type="dxa"/>
            <w:tcBorders>
              <w:top w:val="single" w:color="auto" w:sz="4" w:space="0"/>
              <w:left w:val="single" w:color="auto" w:sz="4" w:space="0"/>
              <w:bottom w:val="single" w:color="auto" w:sz="4" w:space="0"/>
              <w:right w:val="single" w:color="auto" w:sz="4" w:space="0"/>
            </w:tcBorders>
            <w:vAlign w:val="center"/>
          </w:tcPr>
          <w:p w14:paraId="6B493E9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492" w:type="dxa"/>
            <w:tcBorders>
              <w:top w:val="single" w:color="auto" w:sz="4" w:space="0"/>
              <w:left w:val="single" w:color="auto" w:sz="4" w:space="0"/>
              <w:bottom w:val="single" w:color="auto" w:sz="4" w:space="0"/>
              <w:right w:val="single" w:color="auto" w:sz="4" w:space="0"/>
            </w:tcBorders>
            <w:vAlign w:val="center"/>
          </w:tcPr>
          <w:p w14:paraId="73CC0E6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95</w:t>
            </w:r>
          </w:p>
        </w:tc>
      </w:tr>
      <w:tr w14:paraId="1201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restart"/>
            <w:tcBorders>
              <w:left w:val="single" w:color="auto" w:sz="4" w:space="0"/>
              <w:right w:val="single" w:color="auto" w:sz="4" w:space="0"/>
            </w:tcBorders>
            <w:vAlign w:val="center"/>
          </w:tcPr>
          <w:p w14:paraId="00360B35">
            <w:pPr>
              <w:kinsoku w:val="0"/>
              <w:overflowPunct w:val="0"/>
              <w:autoSpaceDE w:val="0"/>
              <w:autoSpaceDN w:val="0"/>
              <w:adjustRightInd w:val="0"/>
              <w:snapToGrid w:val="0"/>
              <w:jc w:val="center"/>
              <w:rPr>
                <w:sz w:val="21"/>
                <w:szCs w:val="21"/>
                <w:lang w:bidi="zh-CN"/>
              </w:rPr>
            </w:pPr>
            <w:r>
              <w:rPr>
                <w:sz w:val="21"/>
                <w:szCs w:val="21"/>
                <w:lang w:bidi="zh-CN"/>
              </w:rPr>
              <w:t>3</w:t>
            </w:r>
          </w:p>
        </w:tc>
        <w:tc>
          <w:tcPr>
            <w:tcW w:w="1962" w:type="dxa"/>
            <w:vMerge w:val="restart"/>
            <w:tcBorders>
              <w:left w:val="single" w:color="auto" w:sz="4" w:space="0"/>
              <w:right w:val="single" w:color="auto" w:sz="4" w:space="0"/>
            </w:tcBorders>
            <w:vAlign w:val="center"/>
          </w:tcPr>
          <w:p w14:paraId="2EBF030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硫酸</w:t>
            </w:r>
          </w:p>
        </w:tc>
        <w:tc>
          <w:tcPr>
            <w:tcW w:w="3005" w:type="dxa"/>
            <w:tcBorders>
              <w:top w:val="single" w:color="auto" w:sz="4" w:space="0"/>
              <w:left w:val="single" w:color="auto" w:sz="4" w:space="0"/>
              <w:bottom w:val="single" w:color="auto" w:sz="4" w:space="0"/>
              <w:right w:val="single" w:color="auto" w:sz="4" w:space="0"/>
            </w:tcBorders>
            <w:vAlign w:val="center"/>
          </w:tcPr>
          <w:p w14:paraId="72464F5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大气毒性终点浓度-1</w:t>
            </w:r>
          </w:p>
        </w:tc>
        <w:tc>
          <w:tcPr>
            <w:tcW w:w="3492" w:type="dxa"/>
            <w:tcBorders>
              <w:top w:val="single" w:color="auto" w:sz="4" w:space="0"/>
              <w:left w:val="single" w:color="auto" w:sz="4" w:space="0"/>
              <w:bottom w:val="single" w:color="auto" w:sz="4" w:space="0"/>
              <w:right w:val="single" w:color="auto" w:sz="4" w:space="0"/>
            </w:tcBorders>
            <w:vAlign w:val="center"/>
          </w:tcPr>
          <w:p w14:paraId="127D57C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w:t>
            </w:r>
            <w:r>
              <w:rPr>
                <w:rFonts w:ascii="Times New Roman" w:eastAsia="仿宋"/>
                <w:szCs w:val="24"/>
              </w:rPr>
              <w:t>60</w:t>
            </w:r>
          </w:p>
        </w:tc>
      </w:tr>
      <w:tr w14:paraId="4158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9" w:type="dxa"/>
            <w:vMerge w:val="continue"/>
            <w:tcBorders>
              <w:left w:val="single" w:color="auto" w:sz="4" w:space="0"/>
              <w:right w:val="single" w:color="auto" w:sz="4" w:space="0"/>
            </w:tcBorders>
            <w:vAlign w:val="center"/>
          </w:tcPr>
          <w:p w14:paraId="4A9DAE89">
            <w:pPr>
              <w:kinsoku w:val="0"/>
              <w:overflowPunct w:val="0"/>
              <w:autoSpaceDE w:val="0"/>
              <w:autoSpaceDN w:val="0"/>
              <w:adjustRightInd w:val="0"/>
              <w:snapToGrid w:val="0"/>
              <w:jc w:val="center"/>
              <w:rPr>
                <w:sz w:val="21"/>
                <w:szCs w:val="21"/>
                <w:lang w:val="zh-CN" w:bidi="zh-CN"/>
              </w:rPr>
            </w:pPr>
          </w:p>
        </w:tc>
        <w:tc>
          <w:tcPr>
            <w:tcW w:w="1962" w:type="dxa"/>
            <w:vMerge w:val="continue"/>
            <w:tcBorders>
              <w:left w:val="single" w:color="auto" w:sz="4" w:space="0"/>
              <w:right w:val="single" w:color="auto" w:sz="4" w:space="0"/>
            </w:tcBorders>
            <w:vAlign w:val="center"/>
          </w:tcPr>
          <w:p w14:paraId="7341B064">
            <w:pPr>
              <w:kinsoku w:val="0"/>
              <w:overflowPunct w:val="0"/>
              <w:autoSpaceDE w:val="0"/>
              <w:autoSpaceDN w:val="0"/>
              <w:adjustRightInd w:val="0"/>
              <w:snapToGrid w:val="0"/>
              <w:jc w:val="center"/>
              <w:rPr>
                <w:rFonts w:ascii="Times New Roman" w:eastAsia="仿宋"/>
                <w:szCs w:val="24"/>
                <w:lang w:val="zh-CN"/>
              </w:rPr>
            </w:pPr>
          </w:p>
        </w:tc>
        <w:tc>
          <w:tcPr>
            <w:tcW w:w="3005" w:type="dxa"/>
            <w:tcBorders>
              <w:top w:val="single" w:color="auto" w:sz="4" w:space="0"/>
              <w:left w:val="single" w:color="auto" w:sz="4" w:space="0"/>
              <w:bottom w:val="single" w:color="auto" w:sz="4" w:space="0"/>
              <w:right w:val="single" w:color="auto" w:sz="4" w:space="0"/>
            </w:tcBorders>
            <w:vAlign w:val="center"/>
          </w:tcPr>
          <w:p w14:paraId="245CA2B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大气毒性终点浓度-2</w:t>
            </w:r>
          </w:p>
        </w:tc>
        <w:tc>
          <w:tcPr>
            <w:tcW w:w="3492" w:type="dxa"/>
            <w:tcBorders>
              <w:top w:val="single" w:color="auto" w:sz="4" w:space="0"/>
              <w:left w:val="single" w:color="auto" w:sz="4" w:space="0"/>
              <w:bottom w:val="single" w:color="auto" w:sz="4" w:space="0"/>
              <w:right w:val="single" w:color="auto" w:sz="4" w:space="0"/>
            </w:tcBorders>
            <w:vAlign w:val="center"/>
          </w:tcPr>
          <w:p w14:paraId="70AB7D9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8</w:t>
            </w:r>
            <w:r>
              <w:rPr>
                <w:rFonts w:ascii="Times New Roman" w:eastAsia="仿宋"/>
                <w:szCs w:val="24"/>
              </w:rPr>
              <w:t>.7</w:t>
            </w:r>
          </w:p>
        </w:tc>
      </w:tr>
      <w:bookmarkEnd w:id="374"/>
    </w:tbl>
    <w:p w14:paraId="2EF1B859">
      <w:pPr>
        <w:spacing w:line="500" w:lineRule="exact"/>
        <w:ind w:firstLine="560" w:firstLineChars="200"/>
        <w:rPr>
          <w:rFonts w:ascii="Times New Roman" w:eastAsia="仿宋"/>
          <w:sz w:val="28"/>
          <w:szCs w:val="28"/>
        </w:rPr>
      </w:pPr>
      <w:r>
        <w:rPr>
          <w:rFonts w:ascii="Times New Roman" w:eastAsia="仿宋"/>
          <w:sz w:val="28"/>
          <w:szCs w:val="28"/>
        </w:rPr>
        <w:t>六、预测结果</w:t>
      </w:r>
    </w:p>
    <w:p w14:paraId="10562F82">
      <w:pPr>
        <w:spacing w:line="500" w:lineRule="exact"/>
        <w:ind w:firstLine="560" w:firstLineChars="200"/>
        <w:rPr>
          <w:rFonts w:ascii="Times New Roman" w:eastAsia="仿宋"/>
          <w:sz w:val="28"/>
          <w:szCs w:val="28"/>
        </w:rPr>
      </w:pPr>
      <w:r>
        <w:rPr>
          <w:rFonts w:hint="eastAsia" w:ascii="Times New Roman" w:eastAsia="仿宋"/>
          <w:sz w:val="28"/>
          <w:szCs w:val="28"/>
        </w:rPr>
        <w:t>事故排放预测选取了最不利气象条件、最常见气象条件，预测在不同条件下二甲苯泄漏和事故状态下伴生、次生CO下风向的轴线浓度，预测结果见下列各表。</w:t>
      </w:r>
    </w:p>
    <w:p w14:paraId="55C0D224">
      <w:pPr>
        <w:spacing w:before="60" w:after="60"/>
        <w:jc w:val="center"/>
        <w:rPr>
          <w:rFonts w:ascii="Times New Roman" w:eastAsia="仿宋"/>
          <w:b/>
          <w:lang w:val="zh-CN"/>
        </w:rPr>
      </w:pPr>
      <w:r>
        <w:rPr>
          <w:rFonts w:ascii="Times New Roman" w:eastAsia="仿宋"/>
          <w:b/>
          <w:lang w:val="zh-CN"/>
        </w:rPr>
        <w:t>表</w:t>
      </w:r>
      <w:r>
        <w:rPr>
          <w:rFonts w:hint="eastAsia" w:ascii="Times New Roman" w:eastAsia="仿宋"/>
          <w:b/>
        </w:rPr>
        <w:t>5.3-</w:t>
      </w:r>
      <w:r>
        <w:rPr>
          <w:rFonts w:ascii="Times New Roman" w:eastAsia="仿宋"/>
          <w:b/>
        </w:rPr>
        <w:t>30</w:t>
      </w:r>
      <w:r>
        <w:rPr>
          <w:rFonts w:ascii="Times New Roman" w:eastAsia="仿宋"/>
          <w:b/>
          <w:lang w:val="zh-CN"/>
        </w:rPr>
        <w:t xml:space="preserve">  </w:t>
      </w:r>
      <w:r>
        <w:rPr>
          <w:rFonts w:hint="eastAsia" w:ascii="Times New Roman" w:eastAsia="仿宋"/>
          <w:b/>
          <w:lang w:val="zh-CN"/>
        </w:rPr>
        <w:t>二甲苯</w:t>
      </w:r>
      <w:r>
        <w:rPr>
          <w:rFonts w:ascii="Times New Roman" w:eastAsia="仿宋"/>
          <w:b/>
          <w:lang w:val="zh-CN"/>
        </w:rPr>
        <w:t>泄漏下风向轴线浓度预测结果</w:t>
      </w:r>
    </w:p>
    <w:tbl>
      <w:tblPr>
        <w:tblStyle w:val="87"/>
        <w:tblW w:w="5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4"/>
        <w:gridCol w:w="2954"/>
        <w:gridCol w:w="2766"/>
      </w:tblGrid>
      <w:tr w14:paraId="7DC1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vMerge w:val="restart"/>
            <w:noWrap/>
            <w:tcMar>
              <w:top w:w="15" w:type="dxa"/>
              <w:left w:w="15" w:type="dxa"/>
              <w:bottom w:w="0" w:type="dxa"/>
              <w:right w:w="15" w:type="dxa"/>
            </w:tcMar>
            <w:vAlign w:val="center"/>
          </w:tcPr>
          <w:p w14:paraId="65751A2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稳定度</w:t>
            </w:r>
          </w:p>
        </w:tc>
        <w:tc>
          <w:tcPr>
            <w:tcW w:w="3141" w:type="pct"/>
            <w:gridSpan w:val="2"/>
            <w:vAlign w:val="center"/>
          </w:tcPr>
          <w:p w14:paraId="2E094C6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最不利气象</w:t>
            </w:r>
          </w:p>
        </w:tc>
      </w:tr>
      <w:tr w14:paraId="14F9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vMerge w:val="continue"/>
            <w:vAlign w:val="center"/>
          </w:tcPr>
          <w:p w14:paraId="4E229A87">
            <w:pPr>
              <w:kinsoku w:val="0"/>
              <w:overflowPunct w:val="0"/>
              <w:autoSpaceDE w:val="0"/>
              <w:autoSpaceDN w:val="0"/>
              <w:adjustRightInd w:val="0"/>
              <w:snapToGrid w:val="0"/>
              <w:jc w:val="center"/>
              <w:rPr>
                <w:rFonts w:ascii="Times New Roman" w:eastAsia="仿宋"/>
                <w:szCs w:val="24"/>
                <w:lang w:val="zh-CN"/>
              </w:rPr>
            </w:pPr>
          </w:p>
        </w:tc>
        <w:tc>
          <w:tcPr>
            <w:tcW w:w="3141" w:type="pct"/>
            <w:gridSpan w:val="2"/>
            <w:vAlign w:val="center"/>
          </w:tcPr>
          <w:p w14:paraId="102A9E8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F</w:t>
            </w:r>
          </w:p>
        </w:tc>
      </w:tr>
      <w:tr w14:paraId="09D0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1A6F880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距离(m)</w:t>
            </w:r>
          </w:p>
        </w:tc>
        <w:tc>
          <w:tcPr>
            <w:tcW w:w="1622" w:type="pct"/>
            <w:vAlign w:val="center"/>
          </w:tcPr>
          <w:p w14:paraId="18CD26F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浓度出现时间</w:t>
            </w:r>
          </w:p>
          <w:p w14:paraId="6989324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（min）</w:t>
            </w:r>
          </w:p>
        </w:tc>
        <w:tc>
          <w:tcPr>
            <w:tcW w:w="1519" w:type="pct"/>
            <w:vAlign w:val="center"/>
          </w:tcPr>
          <w:p w14:paraId="0712AC5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高峰浓度</w:t>
            </w:r>
          </w:p>
          <w:p w14:paraId="26B48DE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w:t>
            </w:r>
          </w:p>
        </w:tc>
      </w:tr>
      <w:tr w14:paraId="48AF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178E826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w:t>
            </w:r>
          </w:p>
        </w:tc>
        <w:tc>
          <w:tcPr>
            <w:tcW w:w="1622" w:type="pct"/>
            <w:vAlign w:val="center"/>
          </w:tcPr>
          <w:p w14:paraId="69DDD895">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0.054</w:t>
            </w:r>
          </w:p>
        </w:tc>
        <w:tc>
          <w:tcPr>
            <w:tcW w:w="1519" w:type="pct"/>
            <w:vAlign w:val="center"/>
          </w:tcPr>
          <w:p w14:paraId="6770E297">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7825.95</w:t>
            </w:r>
          </w:p>
        </w:tc>
      </w:tr>
      <w:tr w14:paraId="2C1D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7EFAAFB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60</w:t>
            </w:r>
          </w:p>
        </w:tc>
        <w:tc>
          <w:tcPr>
            <w:tcW w:w="1622" w:type="pct"/>
            <w:vAlign w:val="center"/>
          </w:tcPr>
          <w:p w14:paraId="39CECE47">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0.1</w:t>
            </w:r>
            <w:r>
              <w:rPr>
                <w:rFonts w:ascii="Times New Roman" w:eastAsia="仿宋"/>
                <w:szCs w:val="24"/>
                <w:lang w:val="zh-CN"/>
              </w:rPr>
              <w:t>1</w:t>
            </w:r>
          </w:p>
        </w:tc>
        <w:tc>
          <w:tcPr>
            <w:tcW w:w="1519" w:type="pct"/>
            <w:vAlign w:val="center"/>
          </w:tcPr>
          <w:p w14:paraId="1DFC8F7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2518.65</w:t>
            </w:r>
          </w:p>
        </w:tc>
      </w:tr>
      <w:tr w14:paraId="0AE9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7EC25BF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110</w:t>
            </w:r>
          </w:p>
        </w:tc>
        <w:tc>
          <w:tcPr>
            <w:tcW w:w="1622" w:type="pct"/>
            <w:vAlign w:val="center"/>
          </w:tcPr>
          <w:p w14:paraId="3E12D5FB">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0.22</w:t>
            </w:r>
          </w:p>
        </w:tc>
        <w:tc>
          <w:tcPr>
            <w:tcW w:w="1519" w:type="pct"/>
            <w:vAlign w:val="center"/>
          </w:tcPr>
          <w:p w14:paraId="04010F6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920.79</w:t>
            </w:r>
          </w:p>
        </w:tc>
      </w:tr>
      <w:tr w14:paraId="309D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0812A60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160</w:t>
            </w:r>
          </w:p>
        </w:tc>
        <w:tc>
          <w:tcPr>
            <w:tcW w:w="1622" w:type="pct"/>
            <w:vAlign w:val="center"/>
          </w:tcPr>
          <w:p w14:paraId="53788132">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0.33</w:t>
            </w:r>
          </w:p>
        </w:tc>
        <w:tc>
          <w:tcPr>
            <w:tcW w:w="1519" w:type="pct"/>
            <w:vAlign w:val="center"/>
          </w:tcPr>
          <w:p w14:paraId="0B6FDE48">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553.92</w:t>
            </w:r>
          </w:p>
        </w:tc>
      </w:tr>
      <w:tr w14:paraId="5731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71AC14B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210</w:t>
            </w:r>
          </w:p>
        </w:tc>
        <w:tc>
          <w:tcPr>
            <w:tcW w:w="1622" w:type="pct"/>
            <w:vAlign w:val="center"/>
          </w:tcPr>
          <w:p w14:paraId="74748CFB">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0.44</w:t>
            </w:r>
          </w:p>
        </w:tc>
        <w:tc>
          <w:tcPr>
            <w:tcW w:w="1519" w:type="pct"/>
            <w:vAlign w:val="center"/>
          </w:tcPr>
          <w:p w14:paraId="32991E4E">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376.96</w:t>
            </w:r>
          </w:p>
        </w:tc>
      </w:tr>
      <w:tr w14:paraId="2801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5100AD5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310</w:t>
            </w:r>
          </w:p>
        </w:tc>
        <w:tc>
          <w:tcPr>
            <w:tcW w:w="1622" w:type="pct"/>
            <w:vAlign w:val="center"/>
          </w:tcPr>
          <w:p w14:paraId="7DB2EC9F">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0.55</w:t>
            </w:r>
          </w:p>
        </w:tc>
        <w:tc>
          <w:tcPr>
            <w:tcW w:w="1519" w:type="pct"/>
            <w:vAlign w:val="center"/>
          </w:tcPr>
          <w:p w14:paraId="42660198">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273.67</w:t>
            </w:r>
          </w:p>
        </w:tc>
      </w:tr>
      <w:tr w14:paraId="5EB4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0B1F4E7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410</w:t>
            </w:r>
          </w:p>
        </w:tc>
        <w:tc>
          <w:tcPr>
            <w:tcW w:w="1622" w:type="pct"/>
            <w:vAlign w:val="center"/>
          </w:tcPr>
          <w:p w14:paraId="71BFABA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1.1</w:t>
            </w:r>
            <w:r>
              <w:rPr>
                <w:rFonts w:ascii="Times New Roman" w:eastAsia="仿宋"/>
                <w:szCs w:val="24"/>
                <w:lang w:val="zh-CN"/>
              </w:rPr>
              <w:t>1</w:t>
            </w:r>
          </w:p>
        </w:tc>
        <w:tc>
          <w:tcPr>
            <w:tcW w:w="1519" w:type="pct"/>
            <w:vAlign w:val="center"/>
          </w:tcPr>
          <w:p w14:paraId="0578FEF1">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92.07</w:t>
            </w:r>
          </w:p>
        </w:tc>
      </w:tr>
      <w:tr w14:paraId="2BD7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2EFEF4A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510</w:t>
            </w:r>
          </w:p>
        </w:tc>
        <w:tc>
          <w:tcPr>
            <w:tcW w:w="1622" w:type="pct"/>
            <w:vAlign w:val="center"/>
          </w:tcPr>
          <w:p w14:paraId="27AB857B">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1.66</w:t>
            </w:r>
          </w:p>
        </w:tc>
        <w:tc>
          <w:tcPr>
            <w:tcW w:w="1519" w:type="pct"/>
            <w:vAlign w:val="center"/>
          </w:tcPr>
          <w:p w14:paraId="2834E914">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46.8</w:t>
            </w:r>
          </w:p>
        </w:tc>
      </w:tr>
      <w:tr w14:paraId="0CDA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2A59E22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610</w:t>
            </w:r>
          </w:p>
        </w:tc>
        <w:tc>
          <w:tcPr>
            <w:tcW w:w="1622" w:type="pct"/>
            <w:vAlign w:val="center"/>
          </w:tcPr>
          <w:p w14:paraId="1C611719">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2.22</w:t>
            </w:r>
          </w:p>
        </w:tc>
        <w:tc>
          <w:tcPr>
            <w:tcW w:w="1519" w:type="pct"/>
            <w:vAlign w:val="center"/>
          </w:tcPr>
          <w:p w14:paraId="49F7D172">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28.70</w:t>
            </w:r>
          </w:p>
        </w:tc>
      </w:tr>
      <w:tr w14:paraId="4BFC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35F64C7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710</w:t>
            </w:r>
          </w:p>
        </w:tc>
        <w:tc>
          <w:tcPr>
            <w:tcW w:w="1622" w:type="pct"/>
            <w:vAlign w:val="center"/>
          </w:tcPr>
          <w:p w14:paraId="3F080152">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2.78</w:t>
            </w:r>
          </w:p>
        </w:tc>
        <w:tc>
          <w:tcPr>
            <w:tcW w:w="1519" w:type="pct"/>
            <w:vAlign w:val="center"/>
          </w:tcPr>
          <w:p w14:paraId="288214DF">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19.58</w:t>
            </w:r>
          </w:p>
        </w:tc>
      </w:tr>
      <w:tr w14:paraId="245E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6A40404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810</w:t>
            </w:r>
          </w:p>
        </w:tc>
        <w:tc>
          <w:tcPr>
            <w:tcW w:w="1622" w:type="pct"/>
            <w:vAlign w:val="center"/>
          </w:tcPr>
          <w:p w14:paraId="0FD8CCA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3.33</w:t>
            </w:r>
          </w:p>
        </w:tc>
        <w:tc>
          <w:tcPr>
            <w:tcW w:w="1519" w:type="pct"/>
            <w:vAlign w:val="center"/>
          </w:tcPr>
          <w:p w14:paraId="0BEEB2CE">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14.31</w:t>
            </w:r>
          </w:p>
        </w:tc>
      </w:tr>
      <w:tr w14:paraId="3594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120A7F36">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910</w:t>
            </w:r>
          </w:p>
        </w:tc>
        <w:tc>
          <w:tcPr>
            <w:tcW w:w="1622" w:type="pct"/>
            <w:vAlign w:val="center"/>
          </w:tcPr>
          <w:p w14:paraId="5A7B2BD2">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3.88</w:t>
            </w:r>
          </w:p>
        </w:tc>
        <w:tc>
          <w:tcPr>
            <w:tcW w:w="1519" w:type="pct"/>
            <w:vAlign w:val="center"/>
          </w:tcPr>
          <w:p w14:paraId="7EDC7F11">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10.96</w:t>
            </w:r>
          </w:p>
        </w:tc>
      </w:tr>
      <w:tr w14:paraId="5CDC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0EE2B60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1010</w:t>
            </w:r>
          </w:p>
        </w:tc>
        <w:tc>
          <w:tcPr>
            <w:tcW w:w="1622" w:type="pct"/>
            <w:vAlign w:val="center"/>
          </w:tcPr>
          <w:p w14:paraId="1F0D1AC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4.44</w:t>
            </w:r>
          </w:p>
        </w:tc>
        <w:tc>
          <w:tcPr>
            <w:tcW w:w="1519" w:type="pct"/>
            <w:vAlign w:val="center"/>
          </w:tcPr>
          <w:p w14:paraId="6792ED6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8.70</w:t>
            </w:r>
          </w:p>
        </w:tc>
      </w:tr>
      <w:tr w14:paraId="1622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263BB6E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1110</w:t>
            </w:r>
          </w:p>
        </w:tc>
        <w:tc>
          <w:tcPr>
            <w:tcW w:w="1622" w:type="pct"/>
            <w:vAlign w:val="center"/>
          </w:tcPr>
          <w:p w14:paraId="04912D39">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5.00</w:t>
            </w:r>
          </w:p>
        </w:tc>
        <w:tc>
          <w:tcPr>
            <w:tcW w:w="1519" w:type="pct"/>
            <w:vAlign w:val="center"/>
          </w:tcPr>
          <w:p w14:paraId="3764915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7.10</w:t>
            </w:r>
          </w:p>
        </w:tc>
      </w:tr>
      <w:tr w14:paraId="1348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4B8207C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1210</w:t>
            </w:r>
          </w:p>
        </w:tc>
        <w:tc>
          <w:tcPr>
            <w:tcW w:w="1622" w:type="pct"/>
            <w:vAlign w:val="center"/>
          </w:tcPr>
          <w:p w14:paraId="424EB05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5.55</w:t>
            </w:r>
          </w:p>
        </w:tc>
        <w:tc>
          <w:tcPr>
            <w:tcW w:w="1519" w:type="pct"/>
            <w:vAlign w:val="center"/>
          </w:tcPr>
          <w:p w14:paraId="46B93044">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5.91</w:t>
            </w:r>
          </w:p>
        </w:tc>
      </w:tr>
      <w:tr w14:paraId="5943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64CCB32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1310</w:t>
            </w:r>
          </w:p>
        </w:tc>
        <w:tc>
          <w:tcPr>
            <w:tcW w:w="1622" w:type="pct"/>
            <w:vAlign w:val="center"/>
          </w:tcPr>
          <w:p w14:paraId="60512E1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6.66</w:t>
            </w:r>
          </w:p>
        </w:tc>
        <w:tc>
          <w:tcPr>
            <w:tcW w:w="1519" w:type="pct"/>
            <w:vAlign w:val="center"/>
          </w:tcPr>
          <w:p w14:paraId="6B61AAB1">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4.37</w:t>
            </w:r>
          </w:p>
        </w:tc>
      </w:tr>
      <w:tr w14:paraId="0863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4B2BF4C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1410</w:t>
            </w:r>
          </w:p>
        </w:tc>
        <w:tc>
          <w:tcPr>
            <w:tcW w:w="1622" w:type="pct"/>
            <w:vAlign w:val="center"/>
          </w:tcPr>
          <w:p w14:paraId="4533269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7.77</w:t>
            </w:r>
          </w:p>
        </w:tc>
        <w:tc>
          <w:tcPr>
            <w:tcW w:w="1519" w:type="pct"/>
            <w:vAlign w:val="center"/>
          </w:tcPr>
          <w:p w14:paraId="6D01B422">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3.48</w:t>
            </w:r>
          </w:p>
        </w:tc>
      </w:tr>
      <w:tr w14:paraId="48F4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623499E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1510</w:t>
            </w:r>
          </w:p>
        </w:tc>
        <w:tc>
          <w:tcPr>
            <w:tcW w:w="1622" w:type="pct"/>
            <w:vAlign w:val="center"/>
          </w:tcPr>
          <w:p w14:paraId="08CFF345">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8.89</w:t>
            </w:r>
          </w:p>
        </w:tc>
        <w:tc>
          <w:tcPr>
            <w:tcW w:w="1519" w:type="pct"/>
            <w:vAlign w:val="center"/>
          </w:tcPr>
          <w:p w14:paraId="2F450739">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2.86</w:t>
            </w:r>
          </w:p>
        </w:tc>
      </w:tr>
      <w:tr w14:paraId="5E66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3607C12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1610</w:t>
            </w:r>
          </w:p>
        </w:tc>
        <w:tc>
          <w:tcPr>
            <w:tcW w:w="1622" w:type="pct"/>
            <w:vAlign w:val="center"/>
          </w:tcPr>
          <w:p w14:paraId="1103A734">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9.99</w:t>
            </w:r>
          </w:p>
        </w:tc>
        <w:tc>
          <w:tcPr>
            <w:tcW w:w="1519" w:type="pct"/>
            <w:vAlign w:val="center"/>
          </w:tcPr>
          <w:p w14:paraId="2C66DC4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2.40</w:t>
            </w:r>
          </w:p>
        </w:tc>
      </w:tr>
      <w:tr w14:paraId="680A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0EB8E55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1710</w:t>
            </w:r>
          </w:p>
        </w:tc>
        <w:tc>
          <w:tcPr>
            <w:tcW w:w="1622" w:type="pct"/>
            <w:vAlign w:val="center"/>
          </w:tcPr>
          <w:p w14:paraId="6BD41A0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11.11</w:t>
            </w:r>
          </w:p>
        </w:tc>
        <w:tc>
          <w:tcPr>
            <w:tcW w:w="1519" w:type="pct"/>
            <w:vAlign w:val="center"/>
          </w:tcPr>
          <w:p w14:paraId="4BA22385">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2.05</w:t>
            </w:r>
          </w:p>
        </w:tc>
      </w:tr>
      <w:tr w14:paraId="1003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541A15F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1810</w:t>
            </w:r>
          </w:p>
        </w:tc>
        <w:tc>
          <w:tcPr>
            <w:tcW w:w="1622" w:type="pct"/>
            <w:vAlign w:val="center"/>
          </w:tcPr>
          <w:p w14:paraId="62A925D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13.33</w:t>
            </w:r>
          </w:p>
        </w:tc>
        <w:tc>
          <w:tcPr>
            <w:tcW w:w="1519" w:type="pct"/>
            <w:vAlign w:val="center"/>
          </w:tcPr>
          <w:p w14:paraId="3976A2A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1.56</w:t>
            </w:r>
          </w:p>
        </w:tc>
      </w:tr>
      <w:tr w14:paraId="471D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20C305C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1910</w:t>
            </w:r>
          </w:p>
        </w:tc>
        <w:tc>
          <w:tcPr>
            <w:tcW w:w="1622" w:type="pct"/>
            <w:vAlign w:val="center"/>
          </w:tcPr>
          <w:p w14:paraId="2FE89FCB">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15.55</w:t>
            </w:r>
          </w:p>
        </w:tc>
        <w:tc>
          <w:tcPr>
            <w:tcW w:w="1519" w:type="pct"/>
            <w:vAlign w:val="center"/>
          </w:tcPr>
          <w:p w14:paraId="37619BE6">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1.25</w:t>
            </w:r>
          </w:p>
        </w:tc>
      </w:tr>
      <w:tr w14:paraId="1837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3136113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2010</w:t>
            </w:r>
          </w:p>
        </w:tc>
        <w:tc>
          <w:tcPr>
            <w:tcW w:w="1622" w:type="pct"/>
            <w:vAlign w:val="center"/>
          </w:tcPr>
          <w:p w14:paraId="13D68671">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17.77</w:t>
            </w:r>
          </w:p>
        </w:tc>
        <w:tc>
          <w:tcPr>
            <w:tcW w:w="1519" w:type="pct"/>
            <w:vAlign w:val="center"/>
          </w:tcPr>
          <w:p w14:paraId="2DE4F8F7">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1.02</w:t>
            </w:r>
          </w:p>
        </w:tc>
      </w:tr>
      <w:tr w14:paraId="4674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689D73F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3010</w:t>
            </w:r>
          </w:p>
        </w:tc>
        <w:tc>
          <w:tcPr>
            <w:tcW w:w="1622" w:type="pct"/>
            <w:vAlign w:val="center"/>
          </w:tcPr>
          <w:p w14:paraId="54D1D1A3">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19.99</w:t>
            </w:r>
          </w:p>
        </w:tc>
        <w:tc>
          <w:tcPr>
            <w:tcW w:w="1519" w:type="pct"/>
            <w:vAlign w:val="center"/>
          </w:tcPr>
          <w:p w14:paraId="2A3701B3">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0.86</w:t>
            </w:r>
          </w:p>
        </w:tc>
      </w:tr>
      <w:tr w14:paraId="1A24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78CA8D7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4010</w:t>
            </w:r>
          </w:p>
        </w:tc>
        <w:tc>
          <w:tcPr>
            <w:tcW w:w="1622" w:type="pct"/>
            <w:vAlign w:val="center"/>
          </w:tcPr>
          <w:p w14:paraId="40CD262D">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22.22</w:t>
            </w:r>
          </w:p>
        </w:tc>
        <w:tc>
          <w:tcPr>
            <w:tcW w:w="1519" w:type="pct"/>
            <w:vAlign w:val="center"/>
          </w:tcPr>
          <w:p w14:paraId="14760F5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0.73</w:t>
            </w:r>
          </w:p>
        </w:tc>
      </w:tr>
      <w:tr w14:paraId="4946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6507AD9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4910</w:t>
            </w:r>
          </w:p>
        </w:tc>
        <w:tc>
          <w:tcPr>
            <w:tcW w:w="1622" w:type="pct"/>
            <w:vAlign w:val="center"/>
          </w:tcPr>
          <w:p w14:paraId="63902B2F">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25.00</w:t>
            </w:r>
          </w:p>
        </w:tc>
        <w:tc>
          <w:tcPr>
            <w:tcW w:w="1519" w:type="pct"/>
            <w:vAlign w:val="center"/>
          </w:tcPr>
          <w:p w14:paraId="298C4C7A">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w:t>
            </w:r>
            <w:r>
              <w:rPr>
                <w:rFonts w:ascii="Times New Roman" w:eastAsia="仿宋"/>
                <w:szCs w:val="24"/>
                <w:lang w:val="zh-CN"/>
              </w:rPr>
              <w:t>62</w:t>
            </w:r>
          </w:p>
        </w:tc>
      </w:tr>
      <w:tr w14:paraId="10C5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59" w:type="pct"/>
            <w:noWrap/>
            <w:tcMar>
              <w:top w:w="15" w:type="dxa"/>
              <w:left w:w="15" w:type="dxa"/>
              <w:bottom w:w="0" w:type="dxa"/>
              <w:right w:w="15" w:type="dxa"/>
            </w:tcMar>
            <w:vAlign w:val="center"/>
          </w:tcPr>
          <w:p w14:paraId="7F7324F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5000</w:t>
            </w:r>
          </w:p>
        </w:tc>
        <w:tc>
          <w:tcPr>
            <w:tcW w:w="1622" w:type="pct"/>
            <w:vAlign w:val="center"/>
          </w:tcPr>
          <w:p w14:paraId="322A9D3B">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34.97</w:t>
            </w:r>
          </w:p>
        </w:tc>
        <w:tc>
          <w:tcPr>
            <w:tcW w:w="1519" w:type="pct"/>
            <w:vAlign w:val="center"/>
          </w:tcPr>
          <w:p w14:paraId="227C4070">
            <w:pPr>
              <w:kinsoku w:val="0"/>
              <w:overflowPunct w:val="0"/>
              <w:autoSpaceDE w:val="0"/>
              <w:autoSpaceDN w:val="0"/>
              <w:adjustRightInd w:val="0"/>
              <w:snapToGrid w:val="0"/>
              <w:jc w:val="center"/>
              <w:rPr>
                <w:rFonts w:ascii="Times New Roman" w:eastAsia="仿宋"/>
                <w:szCs w:val="24"/>
                <w:lang w:val="zh-CN"/>
              </w:rPr>
            </w:pPr>
            <w:r>
              <w:rPr>
                <w:rFonts w:hint="eastAsia" w:ascii="Times New Roman" w:eastAsia="仿宋"/>
                <w:szCs w:val="24"/>
                <w:lang w:val="zh-CN"/>
              </w:rPr>
              <w:t>0.53</w:t>
            </w:r>
          </w:p>
        </w:tc>
      </w:tr>
      <w:tr w14:paraId="0188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000" w:type="pct"/>
            <w:gridSpan w:val="3"/>
            <w:noWrap/>
            <w:tcMar>
              <w:top w:w="15" w:type="dxa"/>
              <w:left w:w="15" w:type="dxa"/>
              <w:bottom w:w="0" w:type="dxa"/>
              <w:right w:w="15" w:type="dxa"/>
            </w:tcMar>
            <w:vAlign w:val="center"/>
          </w:tcPr>
          <w:p w14:paraId="33B303F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标准限值：</w:t>
            </w:r>
            <w:r>
              <w:rPr>
                <w:rFonts w:hint="eastAsia" w:ascii="Times New Roman" w:eastAsia="仿宋"/>
                <w:szCs w:val="24"/>
                <w:lang w:val="zh-CN"/>
              </w:rPr>
              <w:t>二甲苯</w:t>
            </w:r>
            <w:r>
              <w:rPr>
                <w:rFonts w:ascii="Times New Roman" w:eastAsia="仿宋"/>
                <w:szCs w:val="24"/>
                <w:lang w:val="zh-CN"/>
              </w:rPr>
              <w:t>大气毒性终点浓度-1—</w:t>
            </w:r>
            <w:r>
              <w:rPr>
                <w:rFonts w:hint="eastAsia" w:ascii="Times New Roman" w:eastAsia="仿宋"/>
                <w:szCs w:val="24"/>
              </w:rPr>
              <w:t>11000</w:t>
            </w: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，大气毒性终点浓度-2—4</w:t>
            </w:r>
            <w:r>
              <w:rPr>
                <w:rFonts w:hint="eastAsia" w:ascii="Times New Roman" w:eastAsia="仿宋"/>
                <w:szCs w:val="24"/>
              </w:rPr>
              <w:t>00</w:t>
            </w:r>
            <w:r>
              <w:rPr>
                <w:rFonts w:ascii="Times New Roman" w:eastAsia="仿宋"/>
                <w:szCs w:val="24"/>
                <w:lang w:val="zh-CN"/>
              </w:rPr>
              <w:t>0mg/m</w:t>
            </w:r>
            <w:r>
              <w:rPr>
                <w:rFonts w:ascii="Times New Roman" w:eastAsia="仿宋"/>
                <w:szCs w:val="24"/>
                <w:vertAlign w:val="superscript"/>
                <w:lang w:val="zh-CN"/>
              </w:rPr>
              <w:t>3</w:t>
            </w:r>
          </w:p>
        </w:tc>
      </w:tr>
    </w:tbl>
    <w:p w14:paraId="67E4AA72">
      <w:pPr>
        <w:spacing w:before="60" w:after="60"/>
        <w:jc w:val="center"/>
        <w:rPr>
          <w:rFonts w:ascii="Times New Roman" w:eastAsia="仿宋"/>
          <w:b/>
        </w:rPr>
      </w:pPr>
      <w:r>
        <w:rPr>
          <w:rFonts w:ascii="Times New Roman" w:eastAsia="仿宋"/>
          <w:b/>
        </w:rPr>
        <w:t>表</w:t>
      </w:r>
      <w:r>
        <w:rPr>
          <w:rFonts w:hint="eastAsia" w:ascii="Times New Roman" w:eastAsia="仿宋"/>
          <w:b/>
        </w:rPr>
        <w:t>5.3-</w:t>
      </w:r>
      <w:r>
        <w:rPr>
          <w:rFonts w:ascii="Times New Roman" w:eastAsia="仿宋"/>
          <w:b/>
        </w:rPr>
        <w:t xml:space="preserve">31  </w:t>
      </w:r>
      <w:r>
        <w:rPr>
          <w:rFonts w:hint="eastAsia" w:ascii="Times New Roman" w:eastAsia="仿宋"/>
          <w:b/>
        </w:rPr>
        <w:t>硫酸</w:t>
      </w:r>
      <w:r>
        <w:rPr>
          <w:rFonts w:ascii="Times New Roman" w:eastAsia="仿宋"/>
          <w:b/>
        </w:rPr>
        <w:t>泄漏下风向轴线浓度预测结果</w:t>
      </w:r>
    </w:p>
    <w:tbl>
      <w:tblPr>
        <w:tblStyle w:val="87"/>
        <w:tblW w:w="54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2"/>
        <w:gridCol w:w="2718"/>
        <w:gridCol w:w="2937"/>
      </w:tblGrid>
      <w:tr w14:paraId="79AD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vMerge w:val="restart"/>
            <w:noWrap/>
            <w:tcMar>
              <w:top w:w="15" w:type="dxa"/>
              <w:left w:w="15" w:type="dxa"/>
              <w:bottom w:w="0" w:type="dxa"/>
              <w:right w:w="15" w:type="dxa"/>
            </w:tcMar>
            <w:vAlign w:val="center"/>
          </w:tcPr>
          <w:p w14:paraId="077CDBA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稳定度</w:t>
            </w:r>
          </w:p>
        </w:tc>
        <w:tc>
          <w:tcPr>
            <w:tcW w:w="3129" w:type="pct"/>
            <w:gridSpan w:val="2"/>
            <w:vAlign w:val="center"/>
          </w:tcPr>
          <w:p w14:paraId="4984B2D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最不利气象</w:t>
            </w:r>
          </w:p>
        </w:tc>
      </w:tr>
      <w:tr w14:paraId="542B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vMerge w:val="continue"/>
            <w:vAlign w:val="center"/>
          </w:tcPr>
          <w:p w14:paraId="78D5F263">
            <w:pPr>
              <w:kinsoku w:val="0"/>
              <w:overflowPunct w:val="0"/>
              <w:autoSpaceDE w:val="0"/>
              <w:autoSpaceDN w:val="0"/>
              <w:adjustRightInd w:val="0"/>
              <w:snapToGrid w:val="0"/>
              <w:jc w:val="center"/>
              <w:rPr>
                <w:rFonts w:ascii="Times New Roman" w:eastAsia="仿宋"/>
                <w:szCs w:val="24"/>
                <w:lang w:val="zh-CN"/>
              </w:rPr>
            </w:pPr>
          </w:p>
        </w:tc>
        <w:tc>
          <w:tcPr>
            <w:tcW w:w="3129" w:type="pct"/>
            <w:gridSpan w:val="2"/>
            <w:vAlign w:val="center"/>
          </w:tcPr>
          <w:p w14:paraId="3E7E244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F</w:t>
            </w:r>
          </w:p>
        </w:tc>
      </w:tr>
      <w:tr w14:paraId="16A4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C66F94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距离(m)</w:t>
            </w:r>
          </w:p>
        </w:tc>
        <w:tc>
          <w:tcPr>
            <w:tcW w:w="1504" w:type="pct"/>
            <w:vAlign w:val="center"/>
          </w:tcPr>
          <w:p w14:paraId="5502605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浓度出现时间</w:t>
            </w:r>
          </w:p>
          <w:p w14:paraId="138084A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（min）</w:t>
            </w:r>
          </w:p>
        </w:tc>
        <w:tc>
          <w:tcPr>
            <w:tcW w:w="1625" w:type="pct"/>
            <w:vAlign w:val="center"/>
          </w:tcPr>
          <w:p w14:paraId="6DA117D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高峰浓度</w:t>
            </w:r>
          </w:p>
          <w:p w14:paraId="3F818D6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w:t>
            </w:r>
          </w:p>
        </w:tc>
      </w:tr>
      <w:tr w14:paraId="018B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16EDE8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w:t>
            </w:r>
          </w:p>
        </w:tc>
        <w:tc>
          <w:tcPr>
            <w:tcW w:w="1504" w:type="pct"/>
            <w:vAlign w:val="bottom"/>
          </w:tcPr>
          <w:p w14:paraId="101EF02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1.44</w:t>
            </w:r>
          </w:p>
        </w:tc>
        <w:tc>
          <w:tcPr>
            <w:tcW w:w="1625" w:type="pct"/>
            <w:vAlign w:val="bottom"/>
          </w:tcPr>
          <w:p w14:paraId="6CA763D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13.77</w:t>
            </w:r>
          </w:p>
        </w:tc>
      </w:tr>
      <w:tr w14:paraId="3D9D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8F03FF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60</w:t>
            </w:r>
          </w:p>
        </w:tc>
        <w:tc>
          <w:tcPr>
            <w:tcW w:w="1504" w:type="pct"/>
            <w:vAlign w:val="bottom"/>
          </w:tcPr>
          <w:p w14:paraId="718845A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2.16</w:t>
            </w:r>
          </w:p>
        </w:tc>
        <w:tc>
          <w:tcPr>
            <w:tcW w:w="1625" w:type="pct"/>
            <w:vAlign w:val="bottom"/>
          </w:tcPr>
          <w:p w14:paraId="0B57238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7.10</w:t>
            </w:r>
          </w:p>
        </w:tc>
      </w:tr>
      <w:tr w14:paraId="2616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7D97DC2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110</w:t>
            </w:r>
          </w:p>
        </w:tc>
        <w:tc>
          <w:tcPr>
            <w:tcW w:w="1504" w:type="pct"/>
            <w:vAlign w:val="bottom"/>
          </w:tcPr>
          <w:p w14:paraId="31D5BB1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2.89</w:t>
            </w:r>
          </w:p>
        </w:tc>
        <w:tc>
          <w:tcPr>
            <w:tcW w:w="1625" w:type="pct"/>
            <w:vAlign w:val="bottom"/>
          </w:tcPr>
          <w:p w14:paraId="5F61AF1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4.39</w:t>
            </w:r>
          </w:p>
        </w:tc>
      </w:tr>
      <w:tr w14:paraId="6670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3C15E005">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160</w:t>
            </w:r>
          </w:p>
        </w:tc>
        <w:tc>
          <w:tcPr>
            <w:tcW w:w="1504" w:type="pct"/>
            <w:vAlign w:val="bottom"/>
          </w:tcPr>
          <w:p w14:paraId="7E983E2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3.61</w:t>
            </w:r>
          </w:p>
        </w:tc>
        <w:tc>
          <w:tcPr>
            <w:tcW w:w="1625" w:type="pct"/>
            <w:vAlign w:val="bottom"/>
          </w:tcPr>
          <w:p w14:paraId="0BCBBCE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3.01</w:t>
            </w:r>
          </w:p>
        </w:tc>
      </w:tr>
      <w:tr w14:paraId="1FB3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0EE1385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210</w:t>
            </w:r>
          </w:p>
        </w:tc>
        <w:tc>
          <w:tcPr>
            <w:tcW w:w="1504" w:type="pct"/>
            <w:vAlign w:val="bottom"/>
          </w:tcPr>
          <w:p w14:paraId="1791F8E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4.34</w:t>
            </w:r>
          </w:p>
        </w:tc>
        <w:tc>
          <w:tcPr>
            <w:tcW w:w="1625" w:type="pct"/>
            <w:vAlign w:val="bottom"/>
          </w:tcPr>
          <w:p w14:paraId="1E0CC9F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2.21</w:t>
            </w:r>
          </w:p>
        </w:tc>
      </w:tr>
      <w:tr w14:paraId="5968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2C84D37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310</w:t>
            </w:r>
          </w:p>
        </w:tc>
        <w:tc>
          <w:tcPr>
            <w:tcW w:w="1504" w:type="pct"/>
            <w:vAlign w:val="bottom"/>
          </w:tcPr>
          <w:p w14:paraId="2863862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5.06</w:t>
            </w:r>
          </w:p>
        </w:tc>
        <w:tc>
          <w:tcPr>
            <w:tcW w:w="1625" w:type="pct"/>
            <w:vAlign w:val="bottom"/>
          </w:tcPr>
          <w:p w14:paraId="33D20DC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1.69</w:t>
            </w:r>
          </w:p>
        </w:tc>
      </w:tr>
      <w:tr w14:paraId="49A5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4A66F62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410</w:t>
            </w:r>
          </w:p>
        </w:tc>
        <w:tc>
          <w:tcPr>
            <w:tcW w:w="1504" w:type="pct"/>
            <w:vAlign w:val="bottom"/>
          </w:tcPr>
          <w:p w14:paraId="50EDF29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5.78</w:t>
            </w:r>
          </w:p>
        </w:tc>
        <w:tc>
          <w:tcPr>
            <w:tcW w:w="1625" w:type="pct"/>
            <w:vAlign w:val="bottom"/>
          </w:tcPr>
          <w:p w14:paraId="7FA86B8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1.35</w:t>
            </w:r>
          </w:p>
        </w:tc>
      </w:tr>
      <w:tr w14:paraId="5C9D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29061FB8">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510</w:t>
            </w:r>
          </w:p>
        </w:tc>
        <w:tc>
          <w:tcPr>
            <w:tcW w:w="1504" w:type="pct"/>
            <w:vAlign w:val="bottom"/>
          </w:tcPr>
          <w:p w14:paraId="35487244">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7.23</w:t>
            </w:r>
          </w:p>
        </w:tc>
        <w:tc>
          <w:tcPr>
            <w:tcW w:w="1625" w:type="pct"/>
            <w:vAlign w:val="bottom"/>
          </w:tcPr>
          <w:p w14:paraId="2D968C6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0.91</w:t>
            </w:r>
          </w:p>
        </w:tc>
      </w:tr>
      <w:tr w14:paraId="0002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4D63E7D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610</w:t>
            </w:r>
          </w:p>
        </w:tc>
        <w:tc>
          <w:tcPr>
            <w:tcW w:w="1504" w:type="pct"/>
            <w:vAlign w:val="bottom"/>
          </w:tcPr>
          <w:p w14:paraId="25CC24E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8.68</w:t>
            </w:r>
          </w:p>
        </w:tc>
        <w:tc>
          <w:tcPr>
            <w:tcW w:w="1625" w:type="pct"/>
            <w:vAlign w:val="bottom"/>
          </w:tcPr>
          <w:p w14:paraId="27EDF1B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0.67</w:t>
            </w:r>
          </w:p>
        </w:tc>
      </w:tr>
      <w:tr w14:paraId="5939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729AC36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710</w:t>
            </w:r>
          </w:p>
        </w:tc>
        <w:tc>
          <w:tcPr>
            <w:tcW w:w="1504" w:type="pct"/>
            <w:vAlign w:val="bottom"/>
          </w:tcPr>
          <w:p w14:paraId="7AFD7A3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10.13</w:t>
            </w:r>
          </w:p>
        </w:tc>
        <w:tc>
          <w:tcPr>
            <w:tcW w:w="1625" w:type="pct"/>
            <w:vAlign w:val="bottom"/>
          </w:tcPr>
          <w:p w14:paraId="0BEB459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0.51</w:t>
            </w:r>
          </w:p>
        </w:tc>
      </w:tr>
      <w:tr w14:paraId="50A3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0113E6F5">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810</w:t>
            </w:r>
          </w:p>
        </w:tc>
        <w:tc>
          <w:tcPr>
            <w:tcW w:w="1504" w:type="pct"/>
            <w:vAlign w:val="bottom"/>
          </w:tcPr>
          <w:p w14:paraId="5CADD44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9.72</w:t>
            </w:r>
          </w:p>
        </w:tc>
        <w:tc>
          <w:tcPr>
            <w:tcW w:w="1625" w:type="pct"/>
            <w:vAlign w:val="bottom"/>
          </w:tcPr>
          <w:p w14:paraId="1E36F95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0.45</w:t>
            </w:r>
          </w:p>
        </w:tc>
      </w:tr>
      <w:tr w14:paraId="3FB6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859E3A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910</w:t>
            </w:r>
          </w:p>
        </w:tc>
        <w:tc>
          <w:tcPr>
            <w:tcW w:w="1504" w:type="pct"/>
            <w:vAlign w:val="bottom"/>
          </w:tcPr>
          <w:p w14:paraId="227CBA94">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11.02</w:t>
            </w:r>
          </w:p>
        </w:tc>
        <w:tc>
          <w:tcPr>
            <w:tcW w:w="1625" w:type="pct"/>
            <w:vAlign w:val="bottom"/>
          </w:tcPr>
          <w:p w14:paraId="4F0450E6">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0.36</w:t>
            </w:r>
          </w:p>
        </w:tc>
      </w:tr>
      <w:tr w14:paraId="09C2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468B61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1010</w:t>
            </w:r>
          </w:p>
        </w:tc>
        <w:tc>
          <w:tcPr>
            <w:tcW w:w="1504" w:type="pct"/>
            <w:vAlign w:val="bottom"/>
          </w:tcPr>
          <w:p w14:paraId="617A819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12.33</w:t>
            </w:r>
          </w:p>
        </w:tc>
        <w:tc>
          <w:tcPr>
            <w:tcW w:w="1625" w:type="pct"/>
            <w:vAlign w:val="bottom"/>
          </w:tcPr>
          <w:p w14:paraId="78A3936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0.30</w:t>
            </w:r>
          </w:p>
        </w:tc>
      </w:tr>
      <w:tr w14:paraId="2730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392C299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1110</w:t>
            </w:r>
          </w:p>
        </w:tc>
        <w:tc>
          <w:tcPr>
            <w:tcW w:w="1504" w:type="pct"/>
            <w:vAlign w:val="bottom"/>
          </w:tcPr>
          <w:p w14:paraId="5ACFD90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13.40</w:t>
            </w:r>
          </w:p>
        </w:tc>
        <w:tc>
          <w:tcPr>
            <w:tcW w:w="1625" w:type="pct"/>
            <w:vAlign w:val="bottom"/>
          </w:tcPr>
          <w:p w14:paraId="25D2E8F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0.25</w:t>
            </w:r>
          </w:p>
        </w:tc>
      </w:tr>
      <w:tr w14:paraId="0E34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3AB9CBD5">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1210</w:t>
            </w:r>
          </w:p>
        </w:tc>
        <w:tc>
          <w:tcPr>
            <w:tcW w:w="1504" w:type="pct"/>
            <w:vAlign w:val="bottom"/>
          </w:tcPr>
          <w:p w14:paraId="2FDA4F1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14.24</w:t>
            </w:r>
          </w:p>
        </w:tc>
        <w:tc>
          <w:tcPr>
            <w:tcW w:w="1625" w:type="pct"/>
            <w:vAlign w:val="bottom"/>
          </w:tcPr>
          <w:p w14:paraId="7B2E45F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0.21</w:t>
            </w:r>
          </w:p>
        </w:tc>
      </w:tr>
      <w:tr w14:paraId="366A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43DAB0C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1310</w:t>
            </w:r>
          </w:p>
        </w:tc>
        <w:tc>
          <w:tcPr>
            <w:tcW w:w="1504" w:type="pct"/>
            <w:vAlign w:val="bottom"/>
          </w:tcPr>
          <w:p w14:paraId="074D0C9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15.09</w:t>
            </w:r>
          </w:p>
        </w:tc>
        <w:tc>
          <w:tcPr>
            <w:tcW w:w="1625" w:type="pct"/>
            <w:vAlign w:val="bottom"/>
          </w:tcPr>
          <w:p w14:paraId="797BA73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0.18</w:t>
            </w:r>
          </w:p>
        </w:tc>
      </w:tr>
      <w:tr w14:paraId="25A5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470D660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1410</w:t>
            </w:r>
          </w:p>
        </w:tc>
        <w:tc>
          <w:tcPr>
            <w:tcW w:w="1504" w:type="pct"/>
            <w:vAlign w:val="bottom"/>
          </w:tcPr>
          <w:p w14:paraId="4E9AEA8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15.93</w:t>
            </w:r>
          </w:p>
        </w:tc>
        <w:tc>
          <w:tcPr>
            <w:tcW w:w="1625" w:type="pct"/>
            <w:vAlign w:val="bottom"/>
          </w:tcPr>
          <w:p w14:paraId="7902843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0.16</w:t>
            </w:r>
          </w:p>
        </w:tc>
      </w:tr>
      <w:tr w14:paraId="267B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04DF1D7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1510</w:t>
            </w:r>
          </w:p>
        </w:tc>
        <w:tc>
          <w:tcPr>
            <w:tcW w:w="1504" w:type="pct"/>
            <w:vAlign w:val="bottom"/>
          </w:tcPr>
          <w:p w14:paraId="785BA9B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17.21</w:t>
            </w:r>
          </w:p>
        </w:tc>
        <w:tc>
          <w:tcPr>
            <w:tcW w:w="1625" w:type="pct"/>
            <w:vAlign w:val="bottom"/>
          </w:tcPr>
          <w:p w14:paraId="3A7240B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0.13</w:t>
            </w:r>
          </w:p>
        </w:tc>
      </w:tr>
      <w:tr w14:paraId="68C8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01B616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1610</w:t>
            </w:r>
          </w:p>
        </w:tc>
        <w:tc>
          <w:tcPr>
            <w:tcW w:w="1504" w:type="pct"/>
            <w:vAlign w:val="bottom"/>
          </w:tcPr>
          <w:p w14:paraId="6C1AAD4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18.06</w:t>
            </w:r>
          </w:p>
        </w:tc>
        <w:tc>
          <w:tcPr>
            <w:tcW w:w="1625" w:type="pct"/>
            <w:vAlign w:val="bottom"/>
          </w:tcPr>
          <w:p w14:paraId="14C5ABA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0.12</w:t>
            </w:r>
          </w:p>
        </w:tc>
      </w:tr>
      <w:tr w14:paraId="3141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72899CE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1710</w:t>
            </w:r>
          </w:p>
        </w:tc>
        <w:tc>
          <w:tcPr>
            <w:tcW w:w="1504" w:type="pct"/>
            <w:vAlign w:val="bottom"/>
          </w:tcPr>
          <w:p w14:paraId="5ED4B0F7">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18.90</w:t>
            </w:r>
          </w:p>
        </w:tc>
        <w:tc>
          <w:tcPr>
            <w:tcW w:w="1625" w:type="pct"/>
            <w:vAlign w:val="bottom"/>
          </w:tcPr>
          <w:p w14:paraId="109B456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0.11</w:t>
            </w:r>
          </w:p>
        </w:tc>
      </w:tr>
      <w:tr w14:paraId="4535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19A66B40">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1810</w:t>
            </w:r>
          </w:p>
        </w:tc>
        <w:tc>
          <w:tcPr>
            <w:tcW w:w="1504" w:type="pct"/>
            <w:vAlign w:val="bottom"/>
          </w:tcPr>
          <w:p w14:paraId="6ABEFEF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19.75</w:t>
            </w:r>
          </w:p>
        </w:tc>
        <w:tc>
          <w:tcPr>
            <w:tcW w:w="1625" w:type="pct"/>
            <w:vAlign w:val="bottom"/>
          </w:tcPr>
          <w:p w14:paraId="0B8D231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0.10</w:t>
            </w:r>
          </w:p>
        </w:tc>
      </w:tr>
      <w:tr w14:paraId="3DAB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396D4A05">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1910</w:t>
            </w:r>
          </w:p>
        </w:tc>
        <w:tc>
          <w:tcPr>
            <w:tcW w:w="1504" w:type="pct"/>
            <w:vAlign w:val="bottom"/>
          </w:tcPr>
          <w:p w14:paraId="326761E9">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20.60</w:t>
            </w:r>
          </w:p>
        </w:tc>
        <w:tc>
          <w:tcPr>
            <w:tcW w:w="1625" w:type="pct"/>
            <w:vAlign w:val="bottom"/>
          </w:tcPr>
          <w:p w14:paraId="28D11D7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0.091</w:t>
            </w:r>
          </w:p>
        </w:tc>
      </w:tr>
      <w:tr w14:paraId="4C9C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9E0113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2010</w:t>
            </w:r>
          </w:p>
        </w:tc>
        <w:tc>
          <w:tcPr>
            <w:tcW w:w="1504" w:type="pct"/>
            <w:vAlign w:val="bottom"/>
          </w:tcPr>
          <w:p w14:paraId="23C1879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21.44</w:t>
            </w:r>
          </w:p>
        </w:tc>
        <w:tc>
          <w:tcPr>
            <w:tcW w:w="1625" w:type="pct"/>
            <w:vAlign w:val="bottom"/>
          </w:tcPr>
          <w:p w14:paraId="4DD2070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0.083</w:t>
            </w:r>
          </w:p>
        </w:tc>
      </w:tr>
      <w:tr w14:paraId="40FD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B8AD73A">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3010</w:t>
            </w:r>
          </w:p>
        </w:tc>
        <w:tc>
          <w:tcPr>
            <w:tcW w:w="1504" w:type="pct"/>
            <w:vAlign w:val="bottom"/>
          </w:tcPr>
          <w:p w14:paraId="714ED6D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29.92</w:t>
            </w:r>
          </w:p>
        </w:tc>
        <w:tc>
          <w:tcPr>
            <w:tcW w:w="1625" w:type="pct"/>
            <w:vAlign w:val="bottom"/>
          </w:tcPr>
          <w:p w14:paraId="7D63A8E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0.040</w:t>
            </w:r>
          </w:p>
        </w:tc>
      </w:tr>
      <w:tr w14:paraId="5739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5B131F7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4010</w:t>
            </w:r>
          </w:p>
        </w:tc>
        <w:tc>
          <w:tcPr>
            <w:tcW w:w="1504" w:type="pct"/>
            <w:vAlign w:val="bottom"/>
          </w:tcPr>
          <w:p w14:paraId="01CD9C2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38.40</w:t>
            </w:r>
          </w:p>
        </w:tc>
        <w:tc>
          <w:tcPr>
            <w:tcW w:w="1625" w:type="pct"/>
            <w:vAlign w:val="bottom"/>
          </w:tcPr>
          <w:p w14:paraId="0E73865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0.023</w:t>
            </w:r>
          </w:p>
        </w:tc>
      </w:tr>
      <w:tr w14:paraId="2F3B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640DB553">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4910</w:t>
            </w:r>
          </w:p>
        </w:tc>
        <w:tc>
          <w:tcPr>
            <w:tcW w:w="1504" w:type="pct"/>
            <w:vAlign w:val="bottom"/>
          </w:tcPr>
          <w:p w14:paraId="5169F98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46.44</w:t>
            </w:r>
          </w:p>
        </w:tc>
        <w:tc>
          <w:tcPr>
            <w:tcW w:w="1625" w:type="pct"/>
            <w:vAlign w:val="bottom"/>
          </w:tcPr>
          <w:p w14:paraId="1D9AAC0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0.014</w:t>
            </w:r>
          </w:p>
        </w:tc>
      </w:tr>
      <w:tr w14:paraId="6C66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871" w:type="pct"/>
            <w:noWrap/>
            <w:tcMar>
              <w:top w:w="15" w:type="dxa"/>
              <w:left w:w="15" w:type="dxa"/>
              <w:bottom w:w="0" w:type="dxa"/>
              <w:right w:w="15" w:type="dxa"/>
            </w:tcMar>
            <w:vAlign w:val="center"/>
          </w:tcPr>
          <w:p w14:paraId="47C56D4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5000</w:t>
            </w:r>
          </w:p>
        </w:tc>
        <w:tc>
          <w:tcPr>
            <w:tcW w:w="1504" w:type="pct"/>
            <w:vAlign w:val="bottom"/>
          </w:tcPr>
          <w:p w14:paraId="6666CA3C">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46.88</w:t>
            </w:r>
          </w:p>
        </w:tc>
        <w:tc>
          <w:tcPr>
            <w:tcW w:w="1625" w:type="pct"/>
            <w:vAlign w:val="bottom"/>
          </w:tcPr>
          <w:p w14:paraId="0014337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0.014</w:t>
            </w:r>
          </w:p>
        </w:tc>
      </w:tr>
      <w:tr w14:paraId="68FC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000" w:type="pct"/>
            <w:gridSpan w:val="3"/>
            <w:vAlign w:val="center"/>
          </w:tcPr>
          <w:p w14:paraId="3025E0B0">
            <w:pPr>
              <w:adjustRightInd w:val="0"/>
              <w:snapToGrid w:val="0"/>
              <w:jc w:val="center"/>
              <w:rPr>
                <w:rFonts w:eastAsia="仿宋_GB2312"/>
                <w:szCs w:val="21"/>
              </w:rPr>
            </w:pPr>
            <w:r>
              <w:rPr>
                <w:rFonts w:ascii="Times New Roman" w:eastAsia="仿宋"/>
                <w:szCs w:val="24"/>
                <w:lang w:val="zh-CN"/>
              </w:rPr>
              <w:t>标准</w:t>
            </w:r>
            <w:r>
              <w:rPr>
                <w:rFonts w:hint="eastAsia" w:ascii="Times New Roman" w:eastAsia="仿宋"/>
                <w:szCs w:val="24"/>
                <w:lang w:val="zh-CN"/>
              </w:rPr>
              <w:t>限值：硫酸</w:t>
            </w:r>
            <w:r>
              <w:rPr>
                <w:rFonts w:ascii="Times New Roman" w:eastAsia="仿宋"/>
                <w:szCs w:val="24"/>
                <w:lang w:val="zh-CN"/>
              </w:rPr>
              <w:t>大气毒性终点浓度-1—</w:t>
            </w:r>
            <w:r>
              <w:rPr>
                <w:rFonts w:ascii="Times New Roman" w:eastAsia="仿宋"/>
                <w:szCs w:val="24"/>
              </w:rPr>
              <w:t>1</w:t>
            </w:r>
            <w:r>
              <w:rPr>
                <w:rFonts w:hint="eastAsia" w:ascii="Times New Roman" w:eastAsia="仿宋"/>
                <w:szCs w:val="24"/>
              </w:rPr>
              <w:t>6</w:t>
            </w:r>
            <w:r>
              <w:rPr>
                <w:rFonts w:ascii="Times New Roman" w:eastAsia="仿宋"/>
                <w:szCs w:val="24"/>
              </w:rPr>
              <w:t>0</w:t>
            </w: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，大气毒性终点浓度-2—</w:t>
            </w:r>
            <w:r>
              <w:rPr>
                <w:rFonts w:ascii="Times New Roman" w:eastAsia="仿宋"/>
                <w:szCs w:val="24"/>
              </w:rPr>
              <w:t>8</w:t>
            </w:r>
            <w:r>
              <w:rPr>
                <w:rFonts w:hint="eastAsia" w:ascii="Times New Roman" w:eastAsia="仿宋"/>
                <w:szCs w:val="24"/>
              </w:rPr>
              <w:t>.</w:t>
            </w:r>
            <w:r>
              <w:rPr>
                <w:rFonts w:ascii="Times New Roman" w:eastAsia="仿宋"/>
                <w:szCs w:val="24"/>
              </w:rPr>
              <w:t>7</w:t>
            </w:r>
            <w:r>
              <w:rPr>
                <w:rFonts w:ascii="Times New Roman" w:eastAsia="仿宋"/>
                <w:szCs w:val="24"/>
                <w:lang w:val="zh-CN"/>
              </w:rPr>
              <w:t>mg/m</w:t>
            </w:r>
            <w:r>
              <w:rPr>
                <w:rFonts w:ascii="Times New Roman" w:eastAsia="仿宋"/>
                <w:szCs w:val="24"/>
                <w:vertAlign w:val="superscript"/>
                <w:lang w:val="zh-CN"/>
              </w:rPr>
              <w:t>3</w:t>
            </w:r>
          </w:p>
        </w:tc>
      </w:tr>
    </w:tbl>
    <w:p w14:paraId="3DF16479">
      <w:pPr>
        <w:spacing w:before="60" w:after="60"/>
        <w:jc w:val="center"/>
        <w:rPr>
          <w:rFonts w:ascii="Times New Roman" w:eastAsia="仿宋"/>
          <w:b/>
        </w:rPr>
      </w:pPr>
      <w:r>
        <w:rPr>
          <w:rFonts w:ascii="Times New Roman" w:eastAsia="仿宋"/>
          <w:b/>
        </w:rPr>
        <w:t>表</w:t>
      </w:r>
      <w:r>
        <w:rPr>
          <w:rFonts w:hint="eastAsia" w:ascii="Times New Roman" w:eastAsia="仿宋"/>
          <w:b/>
        </w:rPr>
        <w:t>5.3-3</w:t>
      </w:r>
      <w:r>
        <w:rPr>
          <w:rFonts w:ascii="Times New Roman" w:eastAsia="仿宋"/>
          <w:b/>
        </w:rPr>
        <w:t xml:space="preserve">2  </w:t>
      </w:r>
      <w:r>
        <w:rPr>
          <w:rFonts w:hint="eastAsia" w:ascii="Times New Roman" w:eastAsia="仿宋"/>
          <w:b/>
        </w:rPr>
        <w:t>CO</w:t>
      </w:r>
      <w:r>
        <w:rPr>
          <w:rFonts w:ascii="Times New Roman" w:eastAsia="仿宋"/>
          <w:b/>
        </w:rPr>
        <w:t>泄漏下风向轴线浓度预测结果</w:t>
      </w:r>
    </w:p>
    <w:tbl>
      <w:tblPr>
        <w:tblStyle w:val="87"/>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42"/>
        <w:gridCol w:w="2817"/>
        <w:gridCol w:w="2841"/>
      </w:tblGrid>
      <w:tr w14:paraId="5B32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vMerge w:val="restart"/>
            <w:noWrap/>
            <w:tcMar>
              <w:top w:w="15" w:type="dxa"/>
              <w:left w:w="15" w:type="dxa"/>
              <w:bottom w:w="0" w:type="dxa"/>
              <w:right w:w="15" w:type="dxa"/>
            </w:tcMar>
            <w:vAlign w:val="center"/>
          </w:tcPr>
          <w:p w14:paraId="2005490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稳定度</w:t>
            </w:r>
          </w:p>
        </w:tc>
        <w:tc>
          <w:tcPr>
            <w:tcW w:w="3109" w:type="pct"/>
            <w:gridSpan w:val="2"/>
            <w:vAlign w:val="center"/>
          </w:tcPr>
          <w:p w14:paraId="451E3AA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最不利气象</w:t>
            </w:r>
          </w:p>
        </w:tc>
      </w:tr>
      <w:tr w14:paraId="372F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vMerge w:val="continue"/>
            <w:vAlign w:val="center"/>
          </w:tcPr>
          <w:p w14:paraId="58222E19">
            <w:pPr>
              <w:kinsoku w:val="0"/>
              <w:overflowPunct w:val="0"/>
              <w:autoSpaceDE w:val="0"/>
              <w:autoSpaceDN w:val="0"/>
              <w:adjustRightInd w:val="0"/>
              <w:snapToGrid w:val="0"/>
              <w:jc w:val="center"/>
              <w:rPr>
                <w:rFonts w:ascii="Times New Roman" w:eastAsia="仿宋"/>
                <w:szCs w:val="24"/>
                <w:lang w:val="zh-CN"/>
              </w:rPr>
            </w:pPr>
          </w:p>
        </w:tc>
        <w:tc>
          <w:tcPr>
            <w:tcW w:w="3109" w:type="pct"/>
            <w:gridSpan w:val="2"/>
            <w:vAlign w:val="center"/>
          </w:tcPr>
          <w:p w14:paraId="53EAF42D">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F</w:t>
            </w:r>
          </w:p>
        </w:tc>
      </w:tr>
      <w:tr w14:paraId="2BF8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31AD03A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距离(m)</w:t>
            </w:r>
          </w:p>
        </w:tc>
        <w:tc>
          <w:tcPr>
            <w:tcW w:w="1548" w:type="pct"/>
            <w:vAlign w:val="center"/>
          </w:tcPr>
          <w:p w14:paraId="110B8A8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浓度出现时间</w:t>
            </w:r>
          </w:p>
          <w:p w14:paraId="566CEF0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（min）</w:t>
            </w:r>
          </w:p>
        </w:tc>
        <w:tc>
          <w:tcPr>
            <w:tcW w:w="1561" w:type="pct"/>
            <w:vAlign w:val="center"/>
          </w:tcPr>
          <w:p w14:paraId="4438431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高峰浓度</w:t>
            </w:r>
          </w:p>
          <w:p w14:paraId="79E53A8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w:t>
            </w:r>
          </w:p>
        </w:tc>
      </w:tr>
      <w:tr w14:paraId="27F8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16F5D3E9">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w:t>
            </w:r>
          </w:p>
        </w:tc>
        <w:tc>
          <w:tcPr>
            <w:tcW w:w="1548" w:type="pct"/>
            <w:vAlign w:val="center"/>
          </w:tcPr>
          <w:p w14:paraId="54F83E5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0.06</w:t>
            </w:r>
          </w:p>
        </w:tc>
        <w:tc>
          <w:tcPr>
            <w:tcW w:w="1561" w:type="pct"/>
            <w:vAlign w:val="center"/>
          </w:tcPr>
          <w:p w14:paraId="4DD3A0F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401.63</w:t>
            </w:r>
          </w:p>
        </w:tc>
      </w:tr>
      <w:tr w14:paraId="35C0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137BAE4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60</w:t>
            </w:r>
          </w:p>
        </w:tc>
        <w:tc>
          <w:tcPr>
            <w:tcW w:w="1548" w:type="pct"/>
            <w:vAlign w:val="center"/>
          </w:tcPr>
          <w:p w14:paraId="6D3A974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0.12</w:t>
            </w:r>
          </w:p>
        </w:tc>
        <w:tc>
          <w:tcPr>
            <w:tcW w:w="1561" w:type="pct"/>
            <w:vAlign w:val="center"/>
          </w:tcPr>
          <w:p w14:paraId="4DBE33B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129.26</w:t>
            </w:r>
          </w:p>
        </w:tc>
      </w:tr>
      <w:tr w14:paraId="27B0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D87582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110</w:t>
            </w:r>
          </w:p>
        </w:tc>
        <w:tc>
          <w:tcPr>
            <w:tcW w:w="1548" w:type="pct"/>
            <w:vAlign w:val="center"/>
          </w:tcPr>
          <w:p w14:paraId="56ED5F9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0.25</w:t>
            </w:r>
          </w:p>
        </w:tc>
        <w:tc>
          <w:tcPr>
            <w:tcW w:w="1561" w:type="pct"/>
            <w:vAlign w:val="center"/>
          </w:tcPr>
          <w:p w14:paraId="77899E6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47.26</w:t>
            </w:r>
          </w:p>
        </w:tc>
      </w:tr>
      <w:tr w14:paraId="100E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26CE1A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160</w:t>
            </w:r>
          </w:p>
        </w:tc>
        <w:tc>
          <w:tcPr>
            <w:tcW w:w="1548" w:type="pct"/>
            <w:vAlign w:val="center"/>
          </w:tcPr>
          <w:p w14:paraId="3B7F363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0.37</w:t>
            </w:r>
          </w:p>
        </w:tc>
        <w:tc>
          <w:tcPr>
            <w:tcW w:w="1561" w:type="pct"/>
            <w:vAlign w:val="center"/>
          </w:tcPr>
          <w:p w14:paraId="1AF82E8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28.43</w:t>
            </w:r>
          </w:p>
        </w:tc>
      </w:tr>
      <w:tr w14:paraId="5FFA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CC07C2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210</w:t>
            </w:r>
          </w:p>
        </w:tc>
        <w:tc>
          <w:tcPr>
            <w:tcW w:w="1548" w:type="pct"/>
            <w:vAlign w:val="center"/>
          </w:tcPr>
          <w:p w14:paraId="7AE2B41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0.49</w:t>
            </w:r>
          </w:p>
        </w:tc>
        <w:tc>
          <w:tcPr>
            <w:tcW w:w="1561" w:type="pct"/>
            <w:vAlign w:val="center"/>
          </w:tcPr>
          <w:p w14:paraId="5ACC54A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19.35</w:t>
            </w:r>
          </w:p>
        </w:tc>
      </w:tr>
      <w:tr w14:paraId="1672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24023D96">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310</w:t>
            </w:r>
          </w:p>
        </w:tc>
        <w:tc>
          <w:tcPr>
            <w:tcW w:w="1548" w:type="pct"/>
            <w:vAlign w:val="center"/>
          </w:tcPr>
          <w:p w14:paraId="229978C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0.62</w:t>
            </w:r>
          </w:p>
        </w:tc>
        <w:tc>
          <w:tcPr>
            <w:tcW w:w="1561" w:type="pct"/>
            <w:vAlign w:val="center"/>
          </w:tcPr>
          <w:p w14:paraId="5C7E428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14.05</w:t>
            </w:r>
          </w:p>
        </w:tc>
      </w:tr>
      <w:tr w14:paraId="167C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539C9CB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410</w:t>
            </w:r>
          </w:p>
        </w:tc>
        <w:tc>
          <w:tcPr>
            <w:tcW w:w="1548" w:type="pct"/>
            <w:vAlign w:val="center"/>
          </w:tcPr>
          <w:p w14:paraId="20545887">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1.23</w:t>
            </w:r>
          </w:p>
        </w:tc>
        <w:tc>
          <w:tcPr>
            <w:tcW w:w="1561" w:type="pct"/>
            <w:vAlign w:val="center"/>
          </w:tcPr>
          <w:p w14:paraId="1246650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4.73</w:t>
            </w:r>
          </w:p>
        </w:tc>
      </w:tr>
      <w:tr w14:paraId="65C4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7E27C15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510</w:t>
            </w:r>
          </w:p>
        </w:tc>
        <w:tc>
          <w:tcPr>
            <w:tcW w:w="1548" w:type="pct"/>
            <w:vAlign w:val="center"/>
          </w:tcPr>
          <w:p w14:paraId="45407723">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1.85</w:t>
            </w:r>
          </w:p>
        </w:tc>
        <w:tc>
          <w:tcPr>
            <w:tcW w:w="1561" w:type="pct"/>
            <w:vAlign w:val="center"/>
          </w:tcPr>
          <w:p w14:paraId="4D0DF3A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2.40</w:t>
            </w:r>
          </w:p>
        </w:tc>
      </w:tr>
      <w:tr w14:paraId="444C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33430BD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610</w:t>
            </w:r>
          </w:p>
        </w:tc>
        <w:tc>
          <w:tcPr>
            <w:tcW w:w="1548" w:type="pct"/>
            <w:vAlign w:val="center"/>
          </w:tcPr>
          <w:p w14:paraId="29275EA3">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2.47</w:t>
            </w:r>
          </w:p>
        </w:tc>
        <w:tc>
          <w:tcPr>
            <w:tcW w:w="1561" w:type="pct"/>
            <w:vAlign w:val="center"/>
          </w:tcPr>
          <w:p w14:paraId="024AF0B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1.47</w:t>
            </w:r>
          </w:p>
        </w:tc>
      </w:tr>
      <w:tr w14:paraId="34C5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5F6B1E5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710</w:t>
            </w:r>
          </w:p>
        </w:tc>
        <w:tc>
          <w:tcPr>
            <w:tcW w:w="1548" w:type="pct"/>
            <w:vAlign w:val="center"/>
          </w:tcPr>
          <w:p w14:paraId="5F02351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3.09</w:t>
            </w:r>
          </w:p>
        </w:tc>
        <w:tc>
          <w:tcPr>
            <w:tcW w:w="1561" w:type="pct"/>
            <w:vAlign w:val="center"/>
          </w:tcPr>
          <w:p w14:paraId="2C833239">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1.00</w:t>
            </w:r>
          </w:p>
        </w:tc>
      </w:tr>
      <w:tr w14:paraId="4CF1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67A6F17">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810</w:t>
            </w:r>
          </w:p>
        </w:tc>
        <w:tc>
          <w:tcPr>
            <w:tcW w:w="1548" w:type="pct"/>
            <w:vAlign w:val="center"/>
          </w:tcPr>
          <w:p w14:paraId="57358E0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3.70</w:t>
            </w:r>
          </w:p>
        </w:tc>
        <w:tc>
          <w:tcPr>
            <w:tcW w:w="1561" w:type="pct"/>
            <w:vAlign w:val="center"/>
          </w:tcPr>
          <w:p w14:paraId="30ED183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0.73</w:t>
            </w:r>
          </w:p>
        </w:tc>
      </w:tr>
      <w:tr w14:paraId="5F5E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0ADD0AE2">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910</w:t>
            </w:r>
          </w:p>
        </w:tc>
        <w:tc>
          <w:tcPr>
            <w:tcW w:w="1548" w:type="pct"/>
            <w:vAlign w:val="center"/>
          </w:tcPr>
          <w:p w14:paraId="3FE2A6C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4.32</w:t>
            </w:r>
          </w:p>
        </w:tc>
        <w:tc>
          <w:tcPr>
            <w:tcW w:w="1561" w:type="pct"/>
            <w:vAlign w:val="center"/>
          </w:tcPr>
          <w:p w14:paraId="682D330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0.56</w:t>
            </w:r>
          </w:p>
        </w:tc>
      </w:tr>
      <w:tr w14:paraId="6C88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7FC9AE5C">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1010</w:t>
            </w:r>
          </w:p>
        </w:tc>
        <w:tc>
          <w:tcPr>
            <w:tcW w:w="1548" w:type="pct"/>
            <w:vAlign w:val="center"/>
          </w:tcPr>
          <w:p w14:paraId="07324B07">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4.94</w:t>
            </w:r>
          </w:p>
        </w:tc>
        <w:tc>
          <w:tcPr>
            <w:tcW w:w="1561" w:type="pct"/>
            <w:vAlign w:val="center"/>
          </w:tcPr>
          <w:p w14:paraId="2946E4F3">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0.45</w:t>
            </w:r>
          </w:p>
        </w:tc>
      </w:tr>
      <w:tr w14:paraId="4F4D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7E0E6AF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1110</w:t>
            </w:r>
          </w:p>
        </w:tc>
        <w:tc>
          <w:tcPr>
            <w:tcW w:w="1548" w:type="pct"/>
            <w:vAlign w:val="center"/>
          </w:tcPr>
          <w:p w14:paraId="05223FC6">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5.56</w:t>
            </w:r>
          </w:p>
        </w:tc>
        <w:tc>
          <w:tcPr>
            <w:tcW w:w="1561" w:type="pct"/>
            <w:vAlign w:val="center"/>
          </w:tcPr>
          <w:p w14:paraId="4F1A44D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0.36</w:t>
            </w:r>
          </w:p>
        </w:tc>
      </w:tr>
      <w:tr w14:paraId="47DE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44933FDB">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1210</w:t>
            </w:r>
          </w:p>
        </w:tc>
        <w:tc>
          <w:tcPr>
            <w:tcW w:w="1548" w:type="pct"/>
            <w:vAlign w:val="center"/>
          </w:tcPr>
          <w:p w14:paraId="480BADE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6.17</w:t>
            </w:r>
          </w:p>
        </w:tc>
        <w:tc>
          <w:tcPr>
            <w:tcW w:w="1561" w:type="pct"/>
            <w:vAlign w:val="center"/>
          </w:tcPr>
          <w:p w14:paraId="1522E438">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0.30</w:t>
            </w:r>
          </w:p>
        </w:tc>
      </w:tr>
      <w:tr w14:paraId="323A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479C2BF5">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1310</w:t>
            </w:r>
          </w:p>
        </w:tc>
        <w:tc>
          <w:tcPr>
            <w:tcW w:w="1548" w:type="pct"/>
            <w:vAlign w:val="center"/>
          </w:tcPr>
          <w:p w14:paraId="454C731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7.41</w:t>
            </w:r>
          </w:p>
        </w:tc>
        <w:tc>
          <w:tcPr>
            <w:tcW w:w="1561" w:type="pct"/>
            <w:vAlign w:val="center"/>
          </w:tcPr>
          <w:p w14:paraId="0B4FD926">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0.22</w:t>
            </w:r>
          </w:p>
        </w:tc>
      </w:tr>
      <w:tr w14:paraId="1F59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52AF5A91">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1410</w:t>
            </w:r>
          </w:p>
        </w:tc>
        <w:tc>
          <w:tcPr>
            <w:tcW w:w="1548" w:type="pct"/>
            <w:vAlign w:val="center"/>
          </w:tcPr>
          <w:p w14:paraId="5DEFACB5">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8.64</w:t>
            </w:r>
          </w:p>
        </w:tc>
        <w:tc>
          <w:tcPr>
            <w:tcW w:w="1561" w:type="pct"/>
            <w:vAlign w:val="center"/>
          </w:tcPr>
          <w:p w14:paraId="3C430863">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0.18</w:t>
            </w:r>
          </w:p>
        </w:tc>
      </w:tr>
      <w:tr w14:paraId="2C62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1F7AF34">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1510</w:t>
            </w:r>
          </w:p>
        </w:tc>
        <w:tc>
          <w:tcPr>
            <w:tcW w:w="1548" w:type="pct"/>
            <w:vAlign w:val="center"/>
          </w:tcPr>
          <w:p w14:paraId="205C917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9.88</w:t>
            </w:r>
          </w:p>
        </w:tc>
        <w:tc>
          <w:tcPr>
            <w:tcW w:w="1561" w:type="pct"/>
            <w:vAlign w:val="center"/>
          </w:tcPr>
          <w:p w14:paraId="68727BB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0.15</w:t>
            </w:r>
          </w:p>
        </w:tc>
      </w:tr>
      <w:tr w14:paraId="6C92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4C3388D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1610</w:t>
            </w:r>
          </w:p>
        </w:tc>
        <w:tc>
          <w:tcPr>
            <w:tcW w:w="1548" w:type="pct"/>
            <w:vAlign w:val="center"/>
          </w:tcPr>
          <w:p w14:paraId="0EDEE00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11.11</w:t>
            </w:r>
          </w:p>
        </w:tc>
        <w:tc>
          <w:tcPr>
            <w:tcW w:w="1561" w:type="pct"/>
            <w:vAlign w:val="center"/>
          </w:tcPr>
          <w:p w14:paraId="4CB08A4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0.12</w:t>
            </w:r>
          </w:p>
        </w:tc>
      </w:tr>
      <w:tr w14:paraId="2DA7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62F52B86">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1710</w:t>
            </w:r>
          </w:p>
        </w:tc>
        <w:tc>
          <w:tcPr>
            <w:tcW w:w="1548" w:type="pct"/>
            <w:vAlign w:val="center"/>
          </w:tcPr>
          <w:p w14:paraId="0027A97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12.35</w:t>
            </w:r>
          </w:p>
        </w:tc>
        <w:tc>
          <w:tcPr>
            <w:tcW w:w="1561" w:type="pct"/>
            <w:vAlign w:val="center"/>
          </w:tcPr>
          <w:p w14:paraId="25E5EF1A">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0.11</w:t>
            </w:r>
          </w:p>
        </w:tc>
      </w:tr>
      <w:tr w14:paraId="18D1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5323218E">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1810</w:t>
            </w:r>
          </w:p>
        </w:tc>
        <w:tc>
          <w:tcPr>
            <w:tcW w:w="1548" w:type="pct"/>
            <w:vAlign w:val="center"/>
          </w:tcPr>
          <w:p w14:paraId="563AFEB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14.83</w:t>
            </w:r>
          </w:p>
        </w:tc>
        <w:tc>
          <w:tcPr>
            <w:tcW w:w="1561" w:type="pct"/>
            <w:vAlign w:val="center"/>
          </w:tcPr>
          <w:p w14:paraId="76305499">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0.08</w:t>
            </w:r>
          </w:p>
        </w:tc>
      </w:tr>
      <w:tr w14:paraId="77F7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14209FF6">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1910</w:t>
            </w:r>
          </w:p>
        </w:tc>
        <w:tc>
          <w:tcPr>
            <w:tcW w:w="1548" w:type="pct"/>
            <w:vAlign w:val="center"/>
          </w:tcPr>
          <w:p w14:paraId="47DA18B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17.28</w:t>
            </w:r>
          </w:p>
        </w:tc>
        <w:tc>
          <w:tcPr>
            <w:tcW w:w="1561" w:type="pct"/>
            <w:vAlign w:val="center"/>
          </w:tcPr>
          <w:p w14:paraId="6ED1A770">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0.06</w:t>
            </w:r>
          </w:p>
        </w:tc>
      </w:tr>
      <w:tr w14:paraId="5459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26101AF6">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2010</w:t>
            </w:r>
          </w:p>
        </w:tc>
        <w:tc>
          <w:tcPr>
            <w:tcW w:w="1548" w:type="pct"/>
            <w:vAlign w:val="center"/>
          </w:tcPr>
          <w:p w14:paraId="709259A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19.75</w:t>
            </w:r>
          </w:p>
        </w:tc>
        <w:tc>
          <w:tcPr>
            <w:tcW w:w="1561" w:type="pct"/>
            <w:vAlign w:val="center"/>
          </w:tcPr>
          <w:p w14:paraId="018799C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0.05</w:t>
            </w:r>
          </w:p>
        </w:tc>
      </w:tr>
      <w:tr w14:paraId="368D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4BE55ED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3010</w:t>
            </w:r>
          </w:p>
        </w:tc>
        <w:tc>
          <w:tcPr>
            <w:tcW w:w="1548" w:type="pct"/>
            <w:vAlign w:val="center"/>
          </w:tcPr>
          <w:p w14:paraId="6EB5035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22.22</w:t>
            </w:r>
          </w:p>
        </w:tc>
        <w:tc>
          <w:tcPr>
            <w:tcW w:w="1561" w:type="pct"/>
            <w:vAlign w:val="center"/>
          </w:tcPr>
          <w:p w14:paraId="54595211">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0.04</w:t>
            </w:r>
          </w:p>
        </w:tc>
      </w:tr>
      <w:tr w14:paraId="3662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586289D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4010</w:t>
            </w:r>
          </w:p>
        </w:tc>
        <w:tc>
          <w:tcPr>
            <w:tcW w:w="1548" w:type="pct"/>
            <w:vAlign w:val="center"/>
          </w:tcPr>
          <w:p w14:paraId="0B34A35B">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24.69</w:t>
            </w:r>
          </w:p>
        </w:tc>
        <w:tc>
          <w:tcPr>
            <w:tcW w:w="1561" w:type="pct"/>
            <w:vAlign w:val="center"/>
          </w:tcPr>
          <w:p w14:paraId="1EA0E83F">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0.04</w:t>
            </w:r>
          </w:p>
        </w:tc>
      </w:tr>
      <w:tr w14:paraId="2FE1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34B90ADF">
            <w:pPr>
              <w:kinsoku w:val="0"/>
              <w:overflowPunct w:val="0"/>
              <w:autoSpaceDE w:val="0"/>
              <w:autoSpaceDN w:val="0"/>
              <w:adjustRightInd w:val="0"/>
              <w:snapToGrid w:val="0"/>
              <w:jc w:val="center"/>
              <w:rPr>
                <w:rFonts w:ascii="Times New Roman" w:eastAsia="仿宋"/>
                <w:szCs w:val="24"/>
                <w:lang w:val="zh-CN"/>
              </w:rPr>
            </w:pPr>
            <w:r>
              <w:rPr>
                <w:rFonts w:ascii="Times New Roman" w:eastAsia="仿宋"/>
                <w:szCs w:val="24"/>
                <w:lang w:val="zh-CN"/>
              </w:rPr>
              <w:t>4910</w:t>
            </w:r>
          </w:p>
        </w:tc>
        <w:tc>
          <w:tcPr>
            <w:tcW w:w="1548" w:type="pct"/>
            <w:vAlign w:val="center"/>
          </w:tcPr>
          <w:p w14:paraId="6D70C72D">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29.12</w:t>
            </w:r>
          </w:p>
        </w:tc>
        <w:tc>
          <w:tcPr>
            <w:tcW w:w="1561" w:type="pct"/>
            <w:vAlign w:val="center"/>
          </w:tcPr>
          <w:p w14:paraId="027623F6">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0.03</w:t>
            </w:r>
          </w:p>
        </w:tc>
      </w:tr>
      <w:tr w14:paraId="3C95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91" w:type="pct"/>
            <w:noWrap/>
            <w:tcMar>
              <w:top w:w="15" w:type="dxa"/>
              <w:left w:w="15" w:type="dxa"/>
              <w:bottom w:w="0" w:type="dxa"/>
              <w:right w:w="15" w:type="dxa"/>
            </w:tcMar>
            <w:vAlign w:val="center"/>
          </w:tcPr>
          <w:p w14:paraId="365F4E1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5000</w:t>
            </w:r>
          </w:p>
        </w:tc>
        <w:tc>
          <w:tcPr>
            <w:tcW w:w="1548" w:type="pct"/>
            <w:vAlign w:val="center"/>
          </w:tcPr>
          <w:p w14:paraId="51E9D6DE">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38.86</w:t>
            </w:r>
          </w:p>
        </w:tc>
        <w:tc>
          <w:tcPr>
            <w:tcW w:w="1561" w:type="pct"/>
            <w:vAlign w:val="center"/>
          </w:tcPr>
          <w:p w14:paraId="43E2F1A2">
            <w:pPr>
              <w:kinsoku w:val="0"/>
              <w:overflowPunct w:val="0"/>
              <w:autoSpaceDE w:val="0"/>
              <w:autoSpaceDN w:val="0"/>
              <w:adjustRightInd w:val="0"/>
              <w:snapToGrid w:val="0"/>
              <w:jc w:val="center"/>
              <w:rPr>
                <w:rFonts w:ascii="Times New Roman" w:eastAsia="仿宋"/>
                <w:szCs w:val="24"/>
              </w:rPr>
            </w:pPr>
            <w:r>
              <w:rPr>
                <w:rFonts w:hint="eastAsia" w:ascii="Times New Roman" w:eastAsia="仿宋"/>
                <w:szCs w:val="24"/>
              </w:rPr>
              <w:t>0.03</w:t>
            </w:r>
          </w:p>
        </w:tc>
      </w:tr>
      <w:tr w14:paraId="73CD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5000" w:type="pct"/>
            <w:gridSpan w:val="3"/>
            <w:vAlign w:val="center"/>
          </w:tcPr>
          <w:p w14:paraId="16438E55">
            <w:pPr>
              <w:adjustRightInd w:val="0"/>
              <w:snapToGrid w:val="0"/>
              <w:jc w:val="center"/>
              <w:rPr>
                <w:rFonts w:eastAsia="仿宋_GB2312"/>
                <w:szCs w:val="21"/>
              </w:rPr>
            </w:pPr>
            <w:r>
              <w:rPr>
                <w:rFonts w:ascii="Times New Roman" w:eastAsia="仿宋"/>
                <w:szCs w:val="24"/>
                <w:lang w:val="zh-CN"/>
              </w:rPr>
              <w:t>标准</w:t>
            </w:r>
            <w:r>
              <w:rPr>
                <w:rFonts w:hint="eastAsia" w:ascii="Times New Roman" w:eastAsia="仿宋"/>
                <w:szCs w:val="24"/>
                <w:lang w:val="zh-CN"/>
              </w:rPr>
              <w:t>限值：</w:t>
            </w:r>
            <w:r>
              <w:rPr>
                <w:rFonts w:hint="eastAsia" w:ascii="Times New Roman" w:eastAsia="仿宋"/>
                <w:szCs w:val="24"/>
              </w:rPr>
              <w:t>CO</w:t>
            </w:r>
            <w:r>
              <w:rPr>
                <w:rFonts w:ascii="Times New Roman" w:eastAsia="仿宋"/>
                <w:szCs w:val="24"/>
                <w:lang w:val="zh-CN"/>
              </w:rPr>
              <w:t>大气毒性终点浓度-1—</w:t>
            </w:r>
            <w:r>
              <w:rPr>
                <w:rFonts w:hint="eastAsia" w:ascii="Times New Roman" w:eastAsia="仿宋"/>
                <w:szCs w:val="24"/>
              </w:rPr>
              <w:t>380</w:t>
            </w:r>
            <w:r>
              <w:rPr>
                <w:rFonts w:ascii="Times New Roman" w:eastAsia="仿宋"/>
                <w:szCs w:val="24"/>
                <w:lang w:val="zh-CN"/>
              </w:rPr>
              <w:t>mg/m</w:t>
            </w:r>
            <w:r>
              <w:rPr>
                <w:rFonts w:ascii="Times New Roman" w:eastAsia="仿宋"/>
                <w:szCs w:val="24"/>
                <w:vertAlign w:val="superscript"/>
                <w:lang w:val="zh-CN"/>
              </w:rPr>
              <w:t>3</w:t>
            </w:r>
            <w:r>
              <w:rPr>
                <w:rFonts w:ascii="Times New Roman" w:eastAsia="仿宋"/>
                <w:szCs w:val="24"/>
                <w:lang w:val="zh-CN"/>
              </w:rPr>
              <w:t>，大气毒性终点浓度-2—</w:t>
            </w:r>
            <w:r>
              <w:rPr>
                <w:rFonts w:hint="eastAsia" w:ascii="Times New Roman" w:eastAsia="仿宋"/>
                <w:szCs w:val="24"/>
              </w:rPr>
              <w:t>95</w:t>
            </w:r>
            <w:r>
              <w:rPr>
                <w:rFonts w:ascii="Times New Roman" w:eastAsia="仿宋"/>
                <w:szCs w:val="24"/>
                <w:lang w:val="zh-CN"/>
              </w:rPr>
              <w:t>mg/m</w:t>
            </w:r>
            <w:r>
              <w:rPr>
                <w:rFonts w:ascii="Times New Roman" w:eastAsia="仿宋"/>
                <w:szCs w:val="24"/>
                <w:vertAlign w:val="superscript"/>
                <w:lang w:val="zh-CN"/>
              </w:rPr>
              <w:t>3</w:t>
            </w:r>
          </w:p>
        </w:tc>
      </w:tr>
    </w:tbl>
    <w:p w14:paraId="58BDF8BA">
      <w:pPr>
        <w:spacing w:line="500" w:lineRule="exact"/>
        <w:ind w:firstLine="560" w:firstLineChars="200"/>
        <w:rPr>
          <w:szCs w:val="28"/>
        </w:rPr>
      </w:pPr>
      <w:r>
        <w:rPr>
          <w:rFonts w:hint="eastAsia" w:ascii="Times New Roman" w:eastAsia="仿宋"/>
          <w:sz w:val="28"/>
          <w:szCs w:val="28"/>
        </w:rPr>
        <w:t>综上，最不利气象条件下大气环境风险评价结果见下表。</w:t>
      </w:r>
    </w:p>
    <w:p w14:paraId="79A9F426">
      <w:pPr>
        <w:spacing w:line="500" w:lineRule="exact"/>
        <w:jc w:val="center"/>
        <w:rPr>
          <w:rFonts w:ascii="Times New Roman" w:eastAsia="仿宋"/>
          <w:b/>
        </w:rPr>
      </w:pPr>
      <w:r>
        <w:rPr>
          <w:rFonts w:ascii="Times New Roman" w:eastAsia="仿宋"/>
          <w:b/>
        </w:rPr>
        <w:t>表</w:t>
      </w:r>
      <w:r>
        <w:rPr>
          <w:rFonts w:hint="eastAsia" w:ascii="Times New Roman" w:eastAsia="仿宋"/>
          <w:b/>
        </w:rPr>
        <w:t>5.3-3</w:t>
      </w:r>
      <w:r>
        <w:rPr>
          <w:rFonts w:ascii="Times New Roman" w:eastAsia="仿宋"/>
          <w:b/>
        </w:rPr>
        <w:t>3  最不利气象条件下风险预测后果汇总表</w:t>
      </w:r>
    </w:p>
    <w:tbl>
      <w:tblPr>
        <w:tblStyle w:val="87"/>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8"/>
        <w:gridCol w:w="1842"/>
        <w:gridCol w:w="1204"/>
        <w:gridCol w:w="1773"/>
        <w:gridCol w:w="1337"/>
        <w:gridCol w:w="1883"/>
      </w:tblGrid>
      <w:tr w14:paraId="5442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noWrap/>
            <w:tcMar>
              <w:top w:w="15" w:type="dxa"/>
              <w:left w:w="15" w:type="dxa"/>
              <w:bottom w:w="0" w:type="dxa"/>
              <w:right w:w="15" w:type="dxa"/>
            </w:tcMar>
            <w:vAlign w:val="center"/>
          </w:tcPr>
          <w:p w14:paraId="3C7F771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危险物质</w:t>
            </w:r>
          </w:p>
        </w:tc>
        <w:tc>
          <w:tcPr>
            <w:tcW w:w="3046" w:type="dxa"/>
            <w:gridSpan w:val="2"/>
            <w:tcMar>
              <w:top w:w="15" w:type="dxa"/>
              <w:left w:w="15" w:type="dxa"/>
              <w:bottom w:w="0" w:type="dxa"/>
              <w:right w:w="15" w:type="dxa"/>
            </w:tcMar>
            <w:vAlign w:val="center"/>
          </w:tcPr>
          <w:p w14:paraId="2ABEF64A">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指标</w:t>
            </w:r>
          </w:p>
        </w:tc>
        <w:tc>
          <w:tcPr>
            <w:tcW w:w="1773" w:type="dxa"/>
            <w:tcMar>
              <w:top w:w="15" w:type="dxa"/>
              <w:left w:w="15" w:type="dxa"/>
              <w:bottom w:w="0" w:type="dxa"/>
              <w:right w:w="15" w:type="dxa"/>
            </w:tcMar>
            <w:vAlign w:val="center"/>
          </w:tcPr>
          <w:p w14:paraId="431A537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浓度值（mg/m</w:t>
            </w:r>
            <w:r>
              <w:rPr>
                <w:rFonts w:ascii="Times New Roman" w:eastAsia="仿宋"/>
                <w:szCs w:val="24"/>
                <w:vertAlign w:val="superscript"/>
                <w:lang w:val="zh-CN" w:bidi="zh-CN"/>
              </w:rPr>
              <w:t>3</w:t>
            </w:r>
            <w:r>
              <w:rPr>
                <w:rFonts w:ascii="Times New Roman" w:eastAsia="仿宋"/>
                <w:szCs w:val="24"/>
                <w:lang w:val="zh-CN" w:bidi="zh-CN"/>
              </w:rPr>
              <w:t>）</w:t>
            </w:r>
          </w:p>
        </w:tc>
        <w:tc>
          <w:tcPr>
            <w:tcW w:w="1337" w:type="dxa"/>
            <w:tcMar>
              <w:top w:w="15" w:type="dxa"/>
              <w:left w:w="15" w:type="dxa"/>
              <w:bottom w:w="0" w:type="dxa"/>
              <w:right w:w="15" w:type="dxa"/>
            </w:tcMar>
            <w:vAlign w:val="center"/>
          </w:tcPr>
          <w:p w14:paraId="2AD84B98">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最远影响距离（m）</w:t>
            </w:r>
          </w:p>
        </w:tc>
        <w:tc>
          <w:tcPr>
            <w:tcW w:w="1883" w:type="dxa"/>
            <w:tcMar>
              <w:top w:w="15" w:type="dxa"/>
              <w:left w:w="15" w:type="dxa"/>
              <w:bottom w:w="0" w:type="dxa"/>
              <w:right w:w="15" w:type="dxa"/>
            </w:tcMar>
            <w:vAlign w:val="center"/>
          </w:tcPr>
          <w:p w14:paraId="3A7208F1">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到达时间（min）</w:t>
            </w:r>
          </w:p>
        </w:tc>
      </w:tr>
      <w:tr w14:paraId="6C9A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restart"/>
            <w:noWrap/>
            <w:tcMar>
              <w:top w:w="15" w:type="dxa"/>
              <w:left w:w="15" w:type="dxa"/>
              <w:bottom w:w="0" w:type="dxa"/>
              <w:right w:w="15" w:type="dxa"/>
            </w:tcMar>
            <w:vAlign w:val="center"/>
          </w:tcPr>
          <w:p w14:paraId="35947EA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二甲苯</w:t>
            </w:r>
          </w:p>
        </w:tc>
        <w:tc>
          <w:tcPr>
            <w:tcW w:w="3046" w:type="dxa"/>
            <w:gridSpan w:val="2"/>
            <w:tcMar>
              <w:top w:w="15" w:type="dxa"/>
              <w:left w:w="15" w:type="dxa"/>
              <w:bottom w:w="0" w:type="dxa"/>
              <w:right w:w="15" w:type="dxa"/>
            </w:tcMar>
            <w:vAlign w:val="center"/>
          </w:tcPr>
          <w:p w14:paraId="43D4553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大气毒性终点浓度-1</w:t>
            </w:r>
          </w:p>
        </w:tc>
        <w:tc>
          <w:tcPr>
            <w:tcW w:w="1773" w:type="dxa"/>
            <w:tcMar>
              <w:top w:w="15" w:type="dxa"/>
              <w:left w:w="15" w:type="dxa"/>
              <w:bottom w:w="0" w:type="dxa"/>
              <w:right w:w="15" w:type="dxa"/>
            </w:tcMar>
            <w:vAlign w:val="center"/>
          </w:tcPr>
          <w:p w14:paraId="6A106E0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11000</w:t>
            </w:r>
          </w:p>
        </w:tc>
        <w:tc>
          <w:tcPr>
            <w:tcW w:w="1337" w:type="dxa"/>
            <w:tcMar>
              <w:top w:w="15" w:type="dxa"/>
              <w:left w:w="15" w:type="dxa"/>
              <w:bottom w:w="0" w:type="dxa"/>
              <w:right w:w="15" w:type="dxa"/>
            </w:tcMar>
            <w:vAlign w:val="center"/>
          </w:tcPr>
          <w:p w14:paraId="7D23ADAE">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464C6D1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r>
      <w:tr w14:paraId="114B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4FB3C217">
            <w:pPr>
              <w:kinsoku w:val="0"/>
              <w:overflowPunct w:val="0"/>
              <w:autoSpaceDE w:val="0"/>
              <w:autoSpaceDN w:val="0"/>
              <w:adjustRightInd w:val="0"/>
              <w:snapToGrid w:val="0"/>
              <w:jc w:val="center"/>
              <w:rPr>
                <w:rFonts w:ascii="Times New Roman" w:eastAsia="仿宋"/>
                <w:szCs w:val="24"/>
                <w:lang w:val="zh-CN" w:bidi="zh-CN"/>
              </w:rPr>
            </w:pPr>
          </w:p>
        </w:tc>
        <w:tc>
          <w:tcPr>
            <w:tcW w:w="3046" w:type="dxa"/>
            <w:gridSpan w:val="2"/>
            <w:tcMar>
              <w:top w:w="15" w:type="dxa"/>
              <w:left w:w="15" w:type="dxa"/>
              <w:bottom w:w="0" w:type="dxa"/>
              <w:right w:w="15" w:type="dxa"/>
            </w:tcMar>
            <w:vAlign w:val="center"/>
          </w:tcPr>
          <w:p w14:paraId="2705F24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大气毒性终点浓度-2</w:t>
            </w:r>
          </w:p>
        </w:tc>
        <w:tc>
          <w:tcPr>
            <w:tcW w:w="1773" w:type="dxa"/>
            <w:tcMar>
              <w:top w:w="15" w:type="dxa"/>
              <w:left w:w="15" w:type="dxa"/>
              <w:bottom w:w="0" w:type="dxa"/>
              <w:right w:w="15" w:type="dxa"/>
            </w:tcMar>
            <w:vAlign w:val="center"/>
          </w:tcPr>
          <w:p w14:paraId="6BF66A01">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4000</w:t>
            </w:r>
          </w:p>
        </w:tc>
        <w:tc>
          <w:tcPr>
            <w:tcW w:w="1337" w:type="dxa"/>
            <w:tcMar>
              <w:top w:w="15" w:type="dxa"/>
              <w:left w:w="15" w:type="dxa"/>
              <w:bottom w:w="0" w:type="dxa"/>
              <w:right w:w="15" w:type="dxa"/>
            </w:tcMar>
            <w:vAlign w:val="center"/>
          </w:tcPr>
          <w:p w14:paraId="5637903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45</w:t>
            </w:r>
          </w:p>
        </w:tc>
        <w:tc>
          <w:tcPr>
            <w:tcW w:w="1883" w:type="dxa"/>
            <w:tcMar>
              <w:top w:w="15" w:type="dxa"/>
              <w:left w:w="15" w:type="dxa"/>
              <w:bottom w:w="0" w:type="dxa"/>
              <w:right w:w="15" w:type="dxa"/>
            </w:tcMar>
            <w:vAlign w:val="center"/>
          </w:tcPr>
          <w:p w14:paraId="00824CC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0.312</w:t>
            </w:r>
          </w:p>
        </w:tc>
      </w:tr>
      <w:tr w14:paraId="451C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294ADF16">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B95ADF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敏感目标名称</w:t>
            </w:r>
          </w:p>
        </w:tc>
        <w:tc>
          <w:tcPr>
            <w:tcW w:w="1204" w:type="dxa"/>
            <w:vAlign w:val="center"/>
          </w:tcPr>
          <w:p w14:paraId="783433CA">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距离（m）</w:t>
            </w:r>
          </w:p>
        </w:tc>
        <w:tc>
          <w:tcPr>
            <w:tcW w:w="1773" w:type="dxa"/>
            <w:tcMar>
              <w:top w:w="15" w:type="dxa"/>
              <w:left w:w="15" w:type="dxa"/>
              <w:bottom w:w="0" w:type="dxa"/>
              <w:right w:w="15" w:type="dxa"/>
            </w:tcMar>
            <w:vAlign w:val="center"/>
          </w:tcPr>
          <w:p w14:paraId="136995A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超标时间（min）</w:t>
            </w:r>
          </w:p>
        </w:tc>
        <w:tc>
          <w:tcPr>
            <w:tcW w:w="1337" w:type="dxa"/>
            <w:tcMar>
              <w:top w:w="15" w:type="dxa"/>
              <w:left w:w="15" w:type="dxa"/>
              <w:bottom w:w="0" w:type="dxa"/>
              <w:right w:w="15" w:type="dxa"/>
            </w:tcMar>
            <w:vAlign w:val="center"/>
          </w:tcPr>
          <w:p w14:paraId="2CE3E2C1">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超标持续时间（min）</w:t>
            </w:r>
          </w:p>
        </w:tc>
        <w:tc>
          <w:tcPr>
            <w:tcW w:w="1883" w:type="dxa"/>
            <w:tcMar>
              <w:top w:w="15" w:type="dxa"/>
              <w:left w:w="15" w:type="dxa"/>
              <w:bottom w:w="0" w:type="dxa"/>
              <w:right w:w="15" w:type="dxa"/>
            </w:tcMar>
            <w:vAlign w:val="center"/>
          </w:tcPr>
          <w:p w14:paraId="42C1E1B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最大浓度（mg/m</w:t>
            </w:r>
            <w:r>
              <w:rPr>
                <w:rFonts w:ascii="Times New Roman" w:eastAsia="仿宋"/>
                <w:szCs w:val="24"/>
                <w:vertAlign w:val="superscript"/>
                <w:lang w:val="zh-CN" w:bidi="zh-CN"/>
              </w:rPr>
              <w:t>3</w:t>
            </w:r>
            <w:r>
              <w:rPr>
                <w:rFonts w:ascii="Times New Roman" w:eastAsia="仿宋"/>
                <w:szCs w:val="24"/>
                <w:lang w:val="zh-CN" w:bidi="zh-CN"/>
              </w:rPr>
              <w:t>）</w:t>
            </w:r>
          </w:p>
        </w:tc>
      </w:tr>
      <w:tr w14:paraId="0A6A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3D0E0704">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4FA23659">
            <w:pPr>
              <w:spacing w:line="360" w:lineRule="exact"/>
              <w:jc w:val="center"/>
              <w:rPr>
                <w:rFonts w:ascii="Times New Roman" w:eastAsia="仿宋"/>
                <w:szCs w:val="21"/>
                <w:lang w:val="zh-CN"/>
              </w:rPr>
            </w:pPr>
            <w:r>
              <w:rPr>
                <w:rFonts w:hint="eastAsia" w:ascii="Times New Roman" w:eastAsia="仿宋"/>
                <w:szCs w:val="21"/>
              </w:rPr>
              <w:t>唐巷村</w:t>
            </w:r>
          </w:p>
        </w:tc>
        <w:tc>
          <w:tcPr>
            <w:tcW w:w="1204" w:type="dxa"/>
            <w:vAlign w:val="center"/>
          </w:tcPr>
          <w:p w14:paraId="79B8A76A">
            <w:pPr>
              <w:adjustRightInd w:val="0"/>
              <w:snapToGrid w:val="0"/>
              <w:jc w:val="center"/>
              <w:rPr>
                <w:rFonts w:ascii="Times New Roman" w:eastAsia="仿宋"/>
                <w:szCs w:val="21"/>
              </w:rPr>
            </w:pPr>
            <w:r>
              <w:rPr>
                <w:rFonts w:hint="eastAsia" w:ascii="Times New Roman" w:eastAsia="仿宋"/>
                <w:szCs w:val="21"/>
              </w:rPr>
              <w:t>850</w:t>
            </w:r>
          </w:p>
        </w:tc>
        <w:tc>
          <w:tcPr>
            <w:tcW w:w="1773" w:type="dxa"/>
            <w:tcMar>
              <w:top w:w="15" w:type="dxa"/>
              <w:left w:w="15" w:type="dxa"/>
              <w:bottom w:w="0" w:type="dxa"/>
              <w:right w:w="15" w:type="dxa"/>
            </w:tcMar>
            <w:vAlign w:val="center"/>
          </w:tcPr>
          <w:p w14:paraId="212AAFC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54282111">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3E345069">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14.31</w:t>
            </w:r>
          </w:p>
        </w:tc>
      </w:tr>
      <w:tr w14:paraId="498A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5C8BBD1">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1BC1A854">
            <w:pPr>
              <w:spacing w:line="360" w:lineRule="exact"/>
              <w:jc w:val="center"/>
              <w:rPr>
                <w:rFonts w:ascii="Times New Roman" w:eastAsia="仿宋"/>
                <w:szCs w:val="21"/>
                <w:lang w:val="zh-CN"/>
              </w:rPr>
            </w:pPr>
            <w:r>
              <w:rPr>
                <w:rFonts w:hint="eastAsia" w:ascii="Times New Roman" w:eastAsia="仿宋"/>
                <w:szCs w:val="21"/>
              </w:rPr>
              <w:t>六房庄</w:t>
            </w:r>
          </w:p>
        </w:tc>
        <w:tc>
          <w:tcPr>
            <w:tcW w:w="1204" w:type="dxa"/>
            <w:vAlign w:val="center"/>
          </w:tcPr>
          <w:p w14:paraId="5C590441">
            <w:pPr>
              <w:adjustRightInd w:val="0"/>
              <w:snapToGrid w:val="0"/>
              <w:jc w:val="center"/>
              <w:rPr>
                <w:rFonts w:ascii="Times New Roman" w:eastAsia="仿宋"/>
                <w:szCs w:val="21"/>
              </w:rPr>
            </w:pPr>
            <w:r>
              <w:rPr>
                <w:rFonts w:hint="eastAsia" w:ascii="Times New Roman" w:eastAsia="仿宋"/>
                <w:szCs w:val="21"/>
              </w:rPr>
              <w:t>1000</w:t>
            </w:r>
          </w:p>
        </w:tc>
        <w:tc>
          <w:tcPr>
            <w:tcW w:w="1773" w:type="dxa"/>
            <w:tcMar>
              <w:top w:w="15" w:type="dxa"/>
              <w:left w:w="15" w:type="dxa"/>
              <w:bottom w:w="0" w:type="dxa"/>
              <w:right w:w="15" w:type="dxa"/>
            </w:tcMar>
            <w:vAlign w:val="center"/>
          </w:tcPr>
          <w:p w14:paraId="553614D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1F59357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6F6842BF">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8.70</w:t>
            </w:r>
          </w:p>
        </w:tc>
      </w:tr>
      <w:tr w14:paraId="0FB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62B93651">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762CD4D">
            <w:pPr>
              <w:adjustRightInd w:val="0"/>
              <w:snapToGrid w:val="0"/>
              <w:jc w:val="center"/>
              <w:rPr>
                <w:rFonts w:ascii="Times New Roman" w:eastAsia="仿宋"/>
                <w:szCs w:val="21"/>
              </w:rPr>
            </w:pPr>
            <w:r>
              <w:rPr>
                <w:rFonts w:hint="eastAsia" w:ascii="Times New Roman" w:eastAsia="仿宋"/>
                <w:szCs w:val="21"/>
              </w:rPr>
              <w:t>庄基村</w:t>
            </w:r>
          </w:p>
        </w:tc>
        <w:tc>
          <w:tcPr>
            <w:tcW w:w="1204" w:type="dxa"/>
            <w:vAlign w:val="center"/>
          </w:tcPr>
          <w:p w14:paraId="69DDF042">
            <w:pPr>
              <w:adjustRightInd w:val="0"/>
              <w:snapToGrid w:val="0"/>
              <w:jc w:val="center"/>
              <w:rPr>
                <w:rFonts w:ascii="Times New Roman" w:eastAsia="仿宋"/>
                <w:szCs w:val="21"/>
              </w:rPr>
            </w:pPr>
            <w:r>
              <w:rPr>
                <w:rFonts w:hint="eastAsia" w:ascii="Times New Roman" w:eastAsia="仿宋"/>
                <w:szCs w:val="21"/>
              </w:rPr>
              <w:t>1400</w:t>
            </w:r>
          </w:p>
        </w:tc>
        <w:tc>
          <w:tcPr>
            <w:tcW w:w="1773" w:type="dxa"/>
            <w:tcMar>
              <w:top w:w="15" w:type="dxa"/>
              <w:left w:w="15" w:type="dxa"/>
              <w:bottom w:w="0" w:type="dxa"/>
              <w:right w:w="15" w:type="dxa"/>
            </w:tcMar>
            <w:vAlign w:val="center"/>
          </w:tcPr>
          <w:p w14:paraId="743F9B7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1A6CC3E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48E5B1D4">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3</w:t>
            </w:r>
            <w:r>
              <w:rPr>
                <w:rFonts w:ascii="Times New Roman" w:eastAsia="仿宋"/>
                <w:szCs w:val="24"/>
                <w:lang w:bidi="zh-CN"/>
              </w:rPr>
              <w:t>.48</w:t>
            </w:r>
          </w:p>
        </w:tc>
      </w:tr>
      <w:tr w14:paraId="0D4B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E7BBE89">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5F7F62BD">
            <w:pPr>
              <w:spacing w:line="360" w:lineRule="exact"/>
              <w:jc w:val="center"/>
              <w:rPr>
                <w:rFonts w:ascii="Times New Roman" w:eastAsia="仿宋"/>
                <w:szCs w:val="21"/>
                <w:lang w:val="zh-CN"/>
              </w:rPr>
            </w:pPr>
            <w:r>
              <w:rPr>
                <w:rFonts w:hint="eastAsia" w:ascii="Times New Roman" w:eastAsia="仿宋"/>
                <w:szCs w:val="21"/>
              </w:rPr>
              <w:t>杨家棚</w:t>
            </w:r>
          </w:p>
        </w:tc>
        <w:tc>
          <w:tcPr>
            <w:tcW w:w="1204" w:type="dxa"/>
            <w:vAlign w:val="center"/>
          </w:tcPr>
          <w:p w14:paraId="175EDEEA">
            <w:pPr>
              <w:adjustRightInd w:val="0"/>
              <w:snapToGrid w:val="0"/>
              <w:jc w:val="center"/>
              <w:rPr>
                <w:rFonts w:ascii="Times New Roman" w:eastAsia="仿宋"/>
                <w:szCs w:val="21"/>
              </w:rPr>
            </w:pPr>
            <w:r>
              <w:rPr>
                <w:rFonts w:hint="eastAsia" w:ascii="Times New Roman" w:eastAsia="仿宋"/>
                <w:szCs w:val="21"/>
              </w:rPr>
              <w:t>1950</w:t>
            </w:r>
          </w:p>
        </w:tc>
        <w:tc>
          <w:tcPr>
            <w:tcW w:w="1773" w:type="dxa"/>
            <w:tcMar>
              <w:top w:w="15" w:type="dxa"/>
              <w:left w:w="15" w:type="dxa"/>
              <w:bottom w:w="0" w:type="dxa"/>
              <w:right w:w="15" w:type="dxa"/>
            </w:tcMar>
            <w:vAlign w:val="center"/>
          </w:tcPr>
          <w:p w14:paraId="0AE794B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4AF89CB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1CB02A78">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1</w:t>
            </w:r>
            <w:r>
              <w:rPr>
                <w:rFonts w:ascii="Times New Roman" w:eastAsia="仿宋"/>
                <w:szCs w:val="24"/>
                <w:lang w:bidi="zh-CN"/>
              </w:rPr>
              <w:t>.02</w:t>
            </w:r>
          </w:p>
        </w:tc>
      </w:tr>
      <w:tr w14:paraId="5E1F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E9E6D79">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27861701">
            <w:pPr>
              <w:spacing w:line="360" w:lineRule="exact"/>
              <w:jc w:val="center"/>
              <w:rPr>
                <w:rFonts w:ascii="Times New Roman" w:eastAsia="仿宋"/>
                <w:szCs w:val="21"/>
                <w:lang w:val="zh-CN"/>
              </w:rPr>
            </w:pPr>
            <w:r>
              <w:rPr>
                <w:rFonts w:hint="eastAsia" w:ascii="Times New Roman" w:eastAsia="仿宋"/>
                <w:szCs w:val="21"/>
              </w:rPr>
              <w:t>沈店</w:t>
            </w:r>
          </w:p>
        </w:tc>
        <w:tc>
          <w:tcPr>
            <w:tcW w:w="1204" w:type="dxa"/>
            <w:vAlign w:val="center"/>
          </w:tcPr>
          <w:p w14:paraId="4E2B10F2">
            <w:pPr>
              <w:adjustRightInd w:val="0"/>
              <w:snapToGrid w:val="0"/>
              <w:jc w:val="center"/>
              <w:rPr>
                <w:rFonts w:ascii="Times New Roman" w:eastAsia="仿宋"/>
                <w:szCs w:val="21"/>
              </w:rPr>
            </w:pPr>
            <w:r>
              <w:rPr>
                <w:rFonts w:hint="eastAsia" w:ascii="Times New Roman" w:eastAsia="仿宋"/>
                <w:szCs w:val="21"/>
              </w:rPr>
              <w:t>2400</w:t>
            </w:r>
          </w:p>
        </w:tc>
        <w:tc>
          <w:tcPr>
            <w:tcW w:w="1773" w:type="dxa"/>
            <w:tcMar>
              <w:top w:w="15" w:type="dxa"/>
              <w:left w:w="15" w:type="dxa"/>
              <w:bottom w:w="0" w:type="dxa"/>
              <w:right w:w="15" w:type="dxa"/>
            </w:tcMar>
            <w:vAlign w:val="center"/>
          </w:tcPr>
          <w:p w14:paraId="3C700A8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1ACCE6C9">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32BA77A3">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0.91</w:t>
            </w:r>
          </w:p>
        </w:tc>
      </w:tr>
      <w:tr w14:paraId="51ED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6EB40493">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17D8FF87">
            <w:pPr>
              <w:spacing w:line="360" w:lineRule="exact"/>
              <w:jc w:val="center"/>
              <w:rPr>
                <w:rFonts w:ascii="Times New Roman" w:eastAsia="仿宋"/>
                <w:szCs w:val="21"/>
                <w:lang w:val="zh-CN"/>
              </w:rPr>
            </w:pPr>
            <w:r>
              <w:rPr>
                <w:rFonts w:hint="eastAsia" w:ascii="Times New Roman" w:eastAsia="仿宋"/>
                <w:szCs w:val="21"/>
              </w:rPr>
              <w:t>丁东</w:t>
            </w:r>
          </w:p>
        </w:tc>
        <w:tc>
          <w:tcPr>
            <w:tcW w:w="1204" w:type="dxa"/>
            <w:vAlign w:val="center"/>
          </w:tcPr>
          <w:p w14:paraId="19FEDCE3">
            <w:pPr>
              <w:adjustRightInd w:val="0"/>
              <w:snapToGrid w:val="0"/>
              <w:jc w:val="center"/>
              <w:rPr>
                <w:rFonts w:ascii="Times New Roman" w:eastAsia="仿宋"/>
                <w:szCs w:val="21"/>
              </w:rPr>
            </w:pPr>
            <w:r>
              <w:rPr>
                <w:rFonts w:hint="eastAsia" w:ascii="Times New Roman" w:eastAsia="仿宋"/>
                <w:szCs w:val="21"/>
              </w:rPr>
              <w:t>2900</w:t>
            </w:r>
          </w:p>
        </w:tc>
        <w:tc>
          <w:tcPr>
            <w:tcW w:w="1773" w:type="dxa"/>
            <w:tcMar>
              <w:top w:w="15" w:type="dxa"/>
              <w:left w:w="15" w:type="dxa"/>
              <w:bottom w:w="0" w:type="dxa"/>
              <w:right w:w="15" w:type="dxa"/>
            </w:tcMar>
            <w:vAlign w:val="center"/>
          </w:tcPr>
          <w:p w14:paraId="17A3B44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2D05E05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79E5D474">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0</w:t>
            </w:r>
            <w:r>
              <w:rPr>
                <w:rFonts w:ascii="Times New Roman" w:eastAsia="仿宋"/>
                <w:szCs w:val="24"/>
                <w:lang w:bidi="zh-CN"/>
              </w:rPr>
              <w:t>.86</w:t>
            </w:r>
          </w:p>
        </w:tc>
      </w:tr>
      <w:tr w14:paraId="4ECD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591AE022">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0FD76377">
            <w:pPr>
              <w:spacing w:line="360" w:lineRule="exact"/>
              <w:jc w:val="center"/>
              <w:rPr>
                <w:rFonts w:ascii="Times New Roman" w:eastAsia="仿宋"/>
                <w:szCs w:val="21"/>
                <w:lang w:val="zh-CN"/>
              </w:rPr>
            </w:pPr>
            <w:r>
              <w:rPr>
                <w:rFonts w:hint="eastAsia" w:ascii="Times New Roman" w:eastAsia="仿宋"/>
                <w:szCs w:val="21"/>
              </w:rPr>
              <w:t>大坝头</w:t>
            </w:r>
          </w:p>
        </w:tc>
        <w:tc>
          <w:tcPr>
            <w:tcW w:w="1204" w:type="dxa"/>
            <w:vAlign w:val="center"/>
          </w:tcPr>
          <w:p w14:paraId="7529D329">
            <w:pPr>
              <w:adjustRightInd w:val="0"/>
              <w:snapToGrid w:val="0"/>
              <w:jc w:val="center"/>
              <w:rPr>
                <w:rFonts w:ascii="Times New Roman" w:eastAsia="仿宋"/>
                <w:szCs w:val="21"/>
              </w:rPr>
            </w:pPr>
            <w:r>
              <w:rPr>
                <w:rFonts w:hint="eastAsia" w:ascii="Times New Roman" w:eastAsia="仿宋"/>
                <w:szCs w:val="21"/>
              </w:rPr>
              <w:t>3600</w:t>
            </w:r>
          </w:p>
        </w:tc>
        <w:tc>
          <w:tcPr>
            <w:tcW w:w="1773" w:type="dxa"/>
            <w:tcMar>
              <w:top w:w="15" w:type="dxa"/>
              <w:left w:w="15" w:type="dxa"/>
              <w:bottom w:w="0" w:type="dxa"/>
              <w:right w:w="15" w:type="dxa"/>
            </w:tcMar>
            <w:vAlign w:val="center"/>
          </w:tcPr>
          <w:p w14:paraId="482232D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4E7FB8A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19B03534">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0</w:t>
            </w:r>
            <w:r>
              <w:rPr>
                <w:rFonts w:ascii="Times New Roman" w:eastAsia="仿宋"/>
                <w:szCs w:val="24"/>
                <w:lang w:bidi="zh-CN"/>
              </w:rPr>
              <w:t>.79</w:t>
            </w:r>
          </w:p>
        </w:tc>
      </w:tr>
      <w:tr w14:paraId="6010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4317CB26">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1C74A42F">
            <w:pPr>
              <w:spacing w:line="360" w:lineRule="exact"/>
              <w:jc w:val="center"/>
              <w:rPr>
                <w:rFonts w:ascii="Times New Roman" w:eastAsia="仿宋"/>
                <w:szCs w:val="21"/>
                <w:lang w:val="zh-CN"/>
              </w:rPr>
            </w:pPr>
            <w:r>
              <w:rPr>
                <w:rFonts w:hint="eastAsia" w:ascii="Times New Roman" w:eastAsia="仿宋"/>
                <w:szCs w:val="21"/>
              </w:rPr>
              <w:t>金坛村唐王小学</w:t>
            </w:r>
          </w:p>
        </w:tc>
        <w:tc>
          <w:tcPr>
            <w:tcW w:w="1204" w:type="dxa"/>
            <w:vAlign w:val="center"/>
          </w:tcPr>
          <w:p w14:paraId="080B7D85">
            <w:pPr>
              <w:adjustRightInd w:val="0"/>
              <w:snapToGrid w:val="0"/>
              <w:jc w:val="center"/>
              <w:rPr>
                <w:rFonts w:ascii="Times New Roman" w:eastAsia="仿宋"/>
                <w:szCs w:val="21"/>
              </w:rPr>
            </w:pPr>
            <w:r>
              <w:rPr>
                <w:rFonts w:hint="eastAsia" w:ascii="Times New Roman" w:eastAsia="仿宋"/>
                <w:szCs w:val="21"/>
              </w:rPr>
              <w:t>4350</w:t>
            </w:r>
          </w:p>
        </w:tc>
        <w:tc>
          <w:tcPr>
            <w:tcW w:w="1773" w:type="dxa"/>
            <w:tcMar>
              <w:top w:w="15" w:type="dxa"/>
              <w:left w:w="15" w:type="dxa"/>
              <w:bottom w:w="0" w:type="dxa"/>
              <w:right w:w="15" w:type="dxa"/>
            </w:tcMar>
            <w:vAlign w:val="center"/>
          </w:tcPr>
          <w:p w14:paraId="4C9D183B">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21599669">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71674F96">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0</w:t>
            </w:r>
            <w:r>
              <w:rPr>
                <w:rFonts w:ascii="Times New Roman" w:eastAsia="仿宋"/>
                <w:szCs w:val="24"/>
                <w:lang w:bidi="zh-CN"/>
              </w:rPr>
              <w:t>.72</w:t>
            </w:r>
          </w:p>
        </w:tc>
      </w:tr>
      <w:tr w14:paraId="71E1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EA8AAEF">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2492441B">
            <w:pPr>
              <w:spacing w:line="360" w:lineRule="exact"/>
              <w:jc w:val="center"/>
              <w:rPr>
                <w:rFonts w:ascii="Times New Roman" w:eastAsia="仿宋"/>
                <w:szCs w:val="21"/>
                <w:lang w:val="zh-CN"/>
              </w:rPr>
            </w:pPr>
            <w:r>
              <w:rPr>
                <w:rFonts w:hint="eastAsia" w:ascii="Times New Roman" w:eastAsia="仿宋"/>
                <w:szCs w:val="21"/>
              </w:rPr>
              <w:t>土山村</w:t>
            </w:r>
          </w:p>
        </w:tc>
        <w:tc>
          <w:tcPr>
            <w:tcW w:w="1204" w:type="dxa"/>
            <w:vAlign w:val="center"/>
          </w:tcPr>
          <w:p w14:paraId="37C497C7">
            <w:pPr>
              <w:adjustRightInd w:val="0"/>
              <w:snapToGrid w:val="0"/>
              <w:jc w:val="center"/>
              <w:rPr>
                <w:rFonts w:ascii="Times New Roman" w:eastAsia="仿宋"/>
                <w:szCs w:val="21"/>
              </w:rPr>
            </w:pPr>
            <w:r>
              <w:rPr>
                <w:rFonts w:hint="eastAsia" w:ascii="Times New Roman" w:eastAsia="仿宋"/>
                <w:szCs w:val="21"/>
              </w:rPr>
              <w:t>4450</w:t>
            </w:r>
          </w:p>
        </w:tc>
        <w:tc>
          <w:tcPr>
            <w:tcW w:w="1773" w:type="dxa"/>
            <w:tcMar>
              <w:top w:w="15" w:type="dxa"/>
              <w:left w:w="15" w:type="dxa"/>
              <w:bottom w:w="0" w:type="dxa"/>
              <w:right w:w="15" w:type="dxa"/>
            </w:tcMar>
            <w:vAlign w:val="center"/>
          </w:tcPr>
          <w:p w14:paraId="48CB25BA">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7DC9BDF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252E631D">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0</w:t>
            </w:r>
            <w:r>
              <w:rPr>
                <w:rFonts w:ascii="Times New Roman" w:eastAsia="仿宋"/>
                <w:szCs w:val="24"/>
                <w:lang w:bidi="zh-CN"/>
              </w:rPr>
              <w:t>.61</w:t>
            </w:r>
          </w:p>
        </w:tc>
      </w:tr>
      <w:tr w14:paraId="3605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15D816F1">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6827548A">
            <w:pPr>
              <w:spacing w:line="360" w:lineRule="exact"/>
              <w:jc w:val="center"/>
              <w:rPr>
                <w:rFonts w:ascii="Times New Roman" w:eastAsia="仿宋"/>
                <w:szCs w:val="21"/>
                <w:lang w:val="zh-CN"/>
              </w:rPr>
            </w:pPr>
            <w:r>
              <w:rPr>
                <w:rFonts w:hint="eastAsia" w:ascii="Times New Roman" w:eastAsia="仿宋"/>
                <w:szCs w:val="21"/>
              </w:rPr>
              <w:t>曹家村</w:t>
            </w:r>
          </w:p>
        </w:tc>
        <w:tc>
          <w:tcPr>
            <w:tcW w:w="1204" w:type="dxa"/>
            <w:vAlign w:val="center"/>
          </w:tcPr>
          <w:p w14:paraId="6F8C4174">
            <w:pPr>
              <w:adjustRightInd w:val="0"/>
              <w:snapToGrid w:val="0"/>
              <w:jc w:val="center"/>
              <w:rPr>
                <w:rFonts w:ascii="Times New Roman" w:eastAsia="仿宋"/>
                <w:szCs w:val="21"/>
              </w:rPr>
            </w:pPr>
            <w:r>
              <w:rPr>
                <w:rFonts w:hint="eastAsia" w:ascii="Times New Roman" w:eastAsia="仿宋"/>
                <w:szCs w:val="21"/>
              </w:rPr>
              <w:t>50</w:t>
            </w:r>
            <w:r>
              <w:rPr>
                <w:rFonts w:ascii="Times New Roman" w:eastAsia="仿宋"/>
                <w:szCs w:val="21"/>
              </w:rPr>
              <w:t>0</w:t>
            </w:r>
            <w:r>
              <w:rPr>
                <w:rFonts w:hint="eastAsia" w:ascii="Times New Roman" w:eastAsia="仿宋"/>
                <w:szCs w:val="21"/>
              </w:rPr>
              <w:t>0</w:t>
            </w:r>
          </w:p>
        </w:tc>
        <w:tc>
          <w:tcPr>
            <w:tcW w:w="1773" w:type="dxa"/>
            <w:tcMar>
              <w:top w:w="15" w:type="dxa"/>
              <w:left w:w="15" w:type="dxa"/>
              <w:bottom w:w="0" w:type="dxa"/>
              <w:right w:w="15" w:type="dxa"/>
            </w:tcMar>
            <w:vAlign w:val="center"/>
          </w:tcPr>
          <w:p w14:paraId="756E9989">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6700F77E">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3F3C1616">
            <w:pPr>
              <w:kinsoku w:val="0"/>
              <w:overflowPunct w:val="0"/>
              <w:autoSpaceDE w:val="0"/>
              <w:autoSpaceDN w:val="0"/>
              <w:adjustRightInd w:val="0"/>
              <w:snapToGrid w:val="0"/>
              <w:jc w:val="center"/>
              <w:rPr>
                <w:rFonts w:ascii="Times New Roman" w:eastAsia="仿宋"/>
                <w:szCs w:val="24"/>
                <w:lang w:bidi="zh-CN"/>
              </w:rPr>
            </w:pPr>
            <w:r>
              <w:rPr>
                <w:rFonts w:hint="eastAsia" w:ascii="Times New Roman" w:eastAsia="仿宋"/>
                <w:szCs w:val="24"/>
                <w:lang w:bidi="zh-CN"/>
              </w:rPr>
              <w:t>0</w:t>
            </w:r>
            <w:r>
              <w:rPr>
                <w:rFonts w:ascii="Times New Roman" w:eastAsia="仿宋"/>
                <w:szCs w:val="24"/>
                <w:lang w:bidi="zh-CN"/>
              </w:rPr>
              <w:t>.53</w:t>
            </w:r>
          </w:p>
        </w:tc>
      </w:tr>
      <w:tr w14:paraId="6E48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restart"/>
            <w:noWrap/>
            <w:tcMar>
              <w:top w:w="15" w:type="dxa"/>
              <w:left w:w="15" w:type="dxa"/>
              <w:bottom w:w="0" w:type="dxa"/>
              <w:right w:w="15" w:type="dxa"/>
            </w:tcMar>
            <w:vAlign w:val="center"/>
          </w:tcPr>
          <w:p w14:paraId="1327B88A">
            <w:pPr>
              <w:kinsoku w:val="0"/>
              <w:overflowPunct w:val="0"/>
              <w:autoSpaceDE w:val="0"/>
              <w:autoSpaceDN w:val="0"/>
              <w:adjustRightInd w:val="0"/>
              <w:snapToGrid w:val="0"/>
              <w:jc w:val="center"/>
              <w:rPr>
                <w:rFonts w:ascii="Times New Roman" w:eastAsia="仿宋"/>
                <w:szCs w:val="24"/>
                <w:lang w:val="zh-CN" w:bidi="zh-CN"/>
              </w:rPr>
            </w:pPr>
            <w:r>
              <w:rPr>
                <w:rFonts w:hint="eastAsia" w:ascii="Times New Roman" w:eastAsia="仿宋"/>
                <w:szCs w:val="24"/>
                <w:lang w:val="zh-CN" w:bidi="zh-CN"/>
              </w:rPr>
              <w:t>硫</w:t>
            </w:r>
            <w:r>
              <w:rPr>
                <w:rFonts w:ascii="Times New Roman" w:eastAsia="仿宋"/>
                <w:szCs w:val="24"/>
                <w:lang w:val="zh-CN" w:bidi="zh-CN"/>
              </w:rPr>
              <w:t>酸</w:t>
            </w:r>
          </w:p>
        </w:tc>
        <w:tc>
          <w:tcPr>
            <w:tcW w:w="3046" w:type="dxa"/>
            <w:gridSpan w:val="2"/>
            <w:tcMar>
              <w:top w:w="15" w:type="dxa"/>
              <w:left w:w="15" w:type="dxa"/>
              <w:bottom w:w="0" w:type="dxa"/>
              <w:right w:w="15" w:type="dxa"/>
            </w:tcMar>
            <w:vAlign w:val="center"/>
          </w:tcPr>
          <w:p w14:paraId="3276746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大气毒性终点浓度-1</w:t>
            </w:r>
          </w:p>
        </w:tc>
        <w:tc>
          <w:tcPr>
            <w:tcW w:w="1773" w:type="dxa"/>
            <w:tcMar>
              <w:top w:w="15" w:type="dxa"/>
              <w:left w:w="15" w:type="dxa"/>
              <w:bottom w:w="0" w:type="dxa"/>
              <w:right w:w="15" w:type="dxa"/>
            </w:tcMar>
            <w:vAlign w:val="center"/>
          </w:tcPr>
          <w:p w14:paraId="7689AAB4">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160</w:t>
            </w:r>
          </w:p>
        </w:tc>
        <w:tc>
          <w:tcPr>
            <w:tcW w:w="1337" w:type="dxa"/>
            <w:tcMar>
              <w:top w:w="15" w:type="dxa"/>
              <w:left w:w="15" w:type="dxa"/>
              <w:bottom w:w="0" w:type="dxa"/>
              <w:right w:w="15" w:type="dxa"/>
            </w:tcMar>
            <w:vAlign w:val="center"/>
          </w:tcPr>
          <w:p w14:paraId="58C659DB">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0463728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r>
      <w:tr w14:paraId="5E81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606BA728">
            <w:pPr>
              <w:kinsoku w:val="0"/>
              <w:overflowPunct w:val="0"/>
              <w:autoSpaceDE w:val="0"/>
              <w:autoSpaceDN w:val="0"/>
              <w:adjustRightInd w:val="0"/>
              <w:snapToGrid w:val="0"/>
              <w:jc w:val="center"/>
              <w:rPr>
                <w:rFonts w:ascii="Times New Roman" w:eastAsia="仿宋"/>
                <w:szCs w:val="24"/>
                <w:lang w:val="zh-CN" w:bidi="zh-CN"/>
              </w:rPr>
            </w:pPr>
          </w:p>
        </w:tc>
        <w:tc>
          <w:tcPr>
            <w:tcW w:w="3046" w:type="dxa"/>
            <w:gridSpan w:val="2"/>
            <w:tcMar>
              <w:top w:w="15" w:type="dxa"/>
              <w:left w:w="15" w:type="dxa"/>
              <w:bottom w:w="0" w:type="dxa"/>
              <w:right w:w="15" w:type="dxa"/>
            </w:tcMar>
            <w:vAlign w:val="center"/>
          </w:tcPr>
          <w:p w14:paraId="21B39D4E">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大气毒性终点浓度-2</w:t>
            </w:r>
          </w:p>
        </w:tc>
        <w:tc>
          <w:tcPr>
            <w:tcW w:w="1773" w:type="dxa"/>
            <w:tcMar>
              <w:top w:w="15" w:type="dxa"/>
              <w:left w:w="15" w:type="dxa"/>
              <w:bottom w:w="0" w:type="dxa"/>
              <w:right w:w="15" w:type="dxa"/>
            </w:tcMar>
            <w:vAlign w:val="center"/>
          </w:tcPr>
          <w:p w14:paraId="4BDFCC7A">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8</w:t>
            </w:r>
            <w:r>
              <w:rPr>
                <w:rFonts w:hint="eastAsia" w:ascii="Times New Roman" w:eastAsia="仿宋"/>
                <w:szCs w:val="24"/>
                <w:lang w:bidi="zh-CN"/>
              </w:rPr>
              <w:t>.</w:t>
            </w:r>
            <w:r>
              <w:rPr>
                <w:rFonts w:ascii="Times New Roman" w:eastAsia="仿宋"/>
                <w:szCs w:val="24"/>
                <w:lang w:bidi="zh-CN"/>
              </w:rPr>
              <w:t>7</w:t>
            </w:r>
          </w:p>
        </w:tc>
        <w:tc>
          <w:tcPr>
            <w:tcW w:w="1337" w:type="dxa"/>
            <w:tcMar>
              <w:top w:w="15" w:type="dxa"/>
              <w:left w:w="15" w:type="dxa"/>
              <w:bottom w:w="0" w:type="dxa"/>
              <w:right w:w="15" w:type="dxa"/>
            </w:tcMar>
            <w:vAlign w:val="center"/>
          </w:tcPr>
          <w:p w14:paraId="31027F7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c>
          <w:tcPr>
            <w:tcW w:w="1883" w:type="dxa"/>
            <w:tcMar>
              <w:top w:w="15" w:type="dxa"/>
              <w:left w:w="15" w:type="dxa"/>
              <w:bottom w:w="0" w:type="dxa"/>
              <w:right w:w="15" w:type="dxa"/>
            </w:tcMar>
            <w:vAlign w:val="center"/>
          </w:tcPr>
          <w:p w14:paraId="486C372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r>
      <w:tr w14:paraId="254D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21BA9B92">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096C272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敏感目标名称</w:t>
            </w:r>
          </w:p>
        </w:tc>
        <w:tc>
          <w:tcPr>
            <w:tcW w:w="1204" w:type="dxa"/>
            <w:vAlign w:val="center"/>
          </w:tcPr>
          <w:p w14:paraId="2858CE9C">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距离（m）</w:t>
            </w:r>
          </w:p>
        </w:tc>
        <w:tc>
          <w:tcPr>
            <w:tcW w:w="1773" w:type="dxa"/>
            <w:tcMar>
              <w:top w:w="15" w:type="dxa"/>
              <w:left w:w="15" w:type="dxa"/>
              <w:bottom w:w="0" w:type="dxa"/>
              <w:right w:w="15" w:type="dxa"/>
            </w:tcMar>
            <w:vAlign w:val="center"/>
          </w:tcPr>
          <w:p w14:paraId="20A345A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超标时间（min）</w:t>
            </w:r>
          </w:p>
        </w:tc>
        <w:tc>
          <w:tcPr>
            <w:tcW w:w="1337" w:type="dxa"/>
            <w:tcMar>
              <w:top w:w="15" w:type="dxa"/>
              <w:left w:w="15" w:type="dxa"/>
              <w:bottom w:w="0" w:type="dxa"/>
              <w:right w:w="15" w:type="dxa"/>
            </w:tcMar>
            <w:vAlign w:val="center"/>
          </w:tcPr>
          <w:p w14:paraId="2090FEF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超标持续时间（min）</w:t>
            </w:r>
          </w:p>
        </w:tc>
        <w:tc>
          <w:tcPr>
            <w:tcW w:w="1883" w:type="dxa"/>
            <w:tcMar>
              <w:top w:w="15" w:type="dxa"/>
              <w:left w:w="15" w:type="dxa"/>
              <w:bottom w:w="0" w:type="dxa"/>
              <w:right w:w="15" w:type="dxa"/>
            </w:tcMar>
            <w:vAlign w:val="center"/>
          </w:tcPr>
          <w:p w14:paraId="137A498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最大浓度</w:t>
            </w:r>
          </w:p>
          <w:p w14:paraId="150B88E0">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（mg/m</w:t>
            </w:r>
            <w:r>
              <w:rPr>
                <w:rFonts w:ascii="Times New Roman" w:eastAsia="仿宋"/>
                <w:szCs w:val="24"/>
                <w:vertAlign w:val="superscript"/>
                <w:lang w:val="zh-CN" w:bidi="zh-CN"/>
              </w:rPr>
              <w:t>3</w:t>
            </w:r>
            <w:r>
              <w:rPr>
                <w:rFonts w:ascii="Times New Roman" w:eastAsia="仿宋"/>
                <w:szCs w:val="24"/>
                <w:lang w:val="zh-CN" w:bidi="zh-CN"/>
              </w:rPr>
              <w:t>）</w:t>
            </w:r>
          </w:p>
        </w:tc>
      </w:tr>
      <w:tr w14:paraId="401D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66B3A91">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D770849">
            <w:pPr>
              <w:spacing w:line="360" w:lineRule="exact"/>
              <w:jc w:val="center"/>
              <w:rPr>
                <w:rFonts w:ascii="Times New Roman" w:eastAsia="仿宋"/>
                <w:szCs w:val="21"/>
                <w:lang w:val="zh-CN"/>
              </w:rPr>
            </w:pPr>
            <w:r>
              <w:rPr>
                <w:rFonts w:hint="eastAsia" w:ascii="Times New Roman" w:eastAsia="仿宋"/>
                <w:szCs w:val="21"/>
              </w:rPr>
              <w:t>唐巷村</w:t>
            </w:r>
          </w:p>
        </w:tc>
        <w:tc>
          <w:tcPr>
            <w:tcW w:w="1204" w:type="dxa"/>
            <w:vAlign w:val="center"/>
          </w:tcPr>
          <w:p w14:paraId="6374D354">
            <w:pPr>
              <w:adjustRightInd w:val="0"/>
              <w:snapToGrid w:val="0"/>
              <w:jc w:val="center"/>
              <w:rPr>
                <w:rFonts w:ascii="Times New Roman" w:eastAsia="仿宋"/>
                <w:szCs w:val="21"/>
              </w:rPr>
            </w:pPr>
            <w:r>
              <w:rPr>
                <w:rFonts w:hint="eastAsia" w:ascii="Times New Roman" w:eastAsia="仿宋"/>
                <w:szCs w:val="21"/>
              </w:rPr>
              <w:t>850</w:t>
            </w:r>
          </w:p>
        </w:tc>
        <w:tc>
          <w:tcPr>
            <w:tcW w:w="1773" w:type="dxa"/>
            <w:tcMar>
              <w:top w:w="15" w:type="dxa"/>
              <w:left w:w="15" w:type="dxa"/>
              <w:bottom w:w="0" w:type="dxa"/>
              <w:right w:w="15" w:type="dxa"/>
            </w:tcMar>
            <w:vAlign w:val="center"/>
          </w:tcPr>
          <w:p w14:paraId="6A8C3E13">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c>
          <w:tcPr>
            <w:tcW w:w="1337" w:type="dxa"/>
            <w:tcMar>
              <w:top w:w="15" w:type="dxa"/>
              <w:left w:w="15" w:type="dxa"/>
              <w:bottom w:w="0" w:type="dxa"/>
              <w:right w:w="15" w:type="dxa"/>
            </w:tcMar>
            <w:vAlign w:val="center"/>
          </w:tcPr>
          <w:p w14:paraId="534FF53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c>
          <w:tcPr>
            <w:tcW w:w="1883" w:type="dxa"/>
            <w:tcMar>
              <w:top w:w="15" w:type="dxa"/>
              <w:left w:w="15" w:type="dxa"/>
              <w:bottom w:w="0" w:type="dxa"/>
              <w:right w:w="15" w:type="dxa"/>
            </w:tcMar>
            <w:vAlign w:val="center"/>
          </w:tcPr>
          <w:p w14:paraId="6ED42737">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0.45</w:t>
            </w:r>
          </w:p>
        </w:tc>
      </w:tr>
      <w:tr w14:paraId="3E10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6E59580F">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FB00499">
            <w:pPr>
              <w:spacing w:line="360" w:lineRule="exact"/>
              <w:jc w:val="center"/>
              <w:rPr>
                <w:rFonts w:ascii="Times New Roman" w:eastAsia="仿宋"/>
                <w:szCs w:val="21"/>
                <w:lang w:val="zh-CN"/>
              </w:rPr>
            </w:pPr>
            <w:r>
              <w:rPr>
                <w:rFonts w:hint="eastAsia" w:ascii="Times New Roman" w:eastAsia="仿宋"/>
                <w:szCs w:val="21"/>
              </w:rPr>
              <w:t>六房庄</w:t>
            </w:r>
          </w:p>
        </w:tc>
        <w:tc>
          <w:tcPr>
            <w:tcW w:w="1204" w:type="dxa"/>
            <w:vAlign w:val="center"/>
          </w:tcPr>
          <w:p w14:paraId="51F22A2A">
            <w:pPr>
              <w:adjustRightInd w:val="0"/>
              <w:snapToGrid w:val="0"/>
              <w:jc w:val="center"/>
              <w:rPr>
                <w:rFonts w:ascii="Times New Roman" w:eastAsia="仿宋"/>
                <w:szCs w:val="21"/>
              </w:rPr>
            </w:pPr>
            <w:r>
              <w:rPr>
                <w:rFonts w:hint="eastAsia" w:ascii="Times New Roman" w:eastAsia="仿宋"/>
                <w:szCs w:val="21"/>
              </w:rPr>
              <w:t>1000</w:t>
            </w:r>
          </w:p>
        </w:tc>
        <w:tc>
          <w:tcPr>
            <w:tcW w:w="1773" w:type="dxa"/>
            <w:tcMar>
              <w:top w:w="15" w:type="dxa"/>
              <w:left w:w="15" w:type="dxa"/>
              <w:bottom w:w="0" w:type="dxa"/>
              <w:right w:w="15" w:type="dxa"/>
            </w:tcMar>
            <w:vAlign w:val="center"/>
          </w:tcPr>
          <w:p w14:paraId="49C1CB6E">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c>
          <w:tcPr>
            <w:tcW w:w="1337" w:type="dxa"/>
            <w:tcMar>
              <w:top w:w="15" w:type="dxa"/>
              <w:left w:w="15" w:type="dxa"/>
              <w:bottom w:w="0" w:type="dxa"/>
              <w:right w:w="15" w:type="dxa"/>
            </w:tcMar>
            <w:vAlign w:val="center"/>
          </w:tcPr>
          <w:p w14:paraId="47376B8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w:t>
            </w:r>
          </w:p>
        </w:tc>
        <w:tc>
          <w:tcPr>
            <w:tcW w:w="1883" w:type="dxa"/>
            <w:tcMar>
              <w:top w:w="15" w:type="dxa"/>
              <w:left w:w="15" w:type="dxa"/>
              <w:bottom w:w="0" w:type="dxa"/>
              <w:right w:w="15" w:type="dxa"/>
            </w:tcMar>
            <w:vAlign w:val="center"/>
          </w:tcPr>
          <w:p w14:paraId="2192EECD">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0.30</w:t>
            </w:r>
          </w:p>
        </w:tc>
      </w:tr>
      <w:tr w14:paraId="1027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3CF54B21">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2EC118C1">
            <w:pPr>
              <w:adjustRightInd w:val="0"/>
              <w:snapToGrid w:val="0"/>
              <w:jc w:val="center"/>
              <w:rPr>
                <w:rFonts w:ascii="Times New Roman" w:eastAsia="仿宋"/>
                <w:szCs w:val="21"/>
              </w:rPr>
            </w:pPr>
            <w:r>
              <w:rPr>
                <w:rFonts w:hint="eastAsia" w:ascii="Times New Roman" w:eastAsia="仿宋"/>
                <w:szCs w:val="21"/>
              </w:rPr>
              <w:t>庄基村</w:t>
            </w:r>
          </w:p>
        </w:tc>
        <w:tc>
          <w:tcPr>
            <w:tcW w:w="1204" w:type="dxa"/>
            <w:vAlign w:val="center"/>
          </w:tcPr>
          <w:p w14:paraId="27B167C6">
            <w:pPr>
              <w:adjustRightInd w:val="0"/>
              <w:snapToGrid w:val="0"/>
              <w:jc w:val="center"/>
              <w:rPr>
                <w:rFonts w:ascii="Times New Roman" w:eastAsia="仿宋"/>
                <w:szCs w:val="21"/>
              </w:rPr>
            </w:pPr>
            <w:r>
              <w:rPr>
                <w:rFonts w:hint="eastAsia" w:ascii="Times New Roman" w:eastAsia="仿宋"/>
                <w:szCs w:val="21"/>
              </w:rPr>
              <w:t>1400</w:t>
            </w:r>
          </w:p>
        </w:tc>
        <w:tc>
          <w:tcPr>
            <w:tcW w:w="1773" w:type="dxa"/>
            <w:tcMar>
              <w:top w:w="15" w:type="dxa"/>
              <w:left w:w="15" w:type="dxa"/>
              <w:bottom w:w="0" w:type="dxa"/>
              <w:right w:w="15" w:type="dxa"/>
            </w:tcMar>
            <w:vAlign w:val="center"/>
          </w:tcPr>
          <w:p w14:paraId="29F4927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5AAD924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7EEF128C">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0.16</w:t>
            </w:r>
          </w:p>
        </w:tc>
      </w:tr>
      <w:tr w14:paraId="0BD5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0DF80DEB">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5098BA3C">
            <w:pPr>
              <w:spacing w:line="360" w:lineRule="exact"/>
              <w:jc w:val="center"/>
              <w:rPr>
                <w:rFonts w:ascii="Times New Roman" w:eastAsia="仿宋"/>
                <w:szCs w:val="21"/>
                <w:lang w:val="zh-CN"/>
              </w:rPr>
            </w:pPr>
            <w:r>
              <w:rPr>
                <w:rFonts w:hint="eastAsia" w:ascii="Times New Roman" w:eastAsia="仿宋"/>
                <w:szCs w:val="21"/>
              </w:rPr>
              <w:t>杨家棚</w:t>
            </w:r>
          </w:p>
        </w:tc>
        <w:tc>
          <w:tcPr>
            <w:tcW w:w="1204" w:type="dxa"/>
            <w:vAlign w:val="center"/>
          </w:tcPr>
          <w:p w14:paraId="5ACAE1BF">
            <w:pPr>
              <w:adjustRightInd w:val="0"/>
              <w:snapToGrid w:val="0"/>
              <w:jc w:val="center"/>
              <w:rPr>
                <w:rFonts w:ascii="Times New Roman" w:eastAsia="仿宋"/>
                <w:szCs w:val="21"/>
              </w:rPr>
            </w:pPr>
            <w:r>
              <w:rPr>
                <w:rFonts w:hint="eastAsia" w:ascii="Times New Roman" w:eastAsia="仿宋"/>
                <w:szCs w:val="21"/>
              </w:rPr>
              <w:t>1950</w:t>
            </w:r>
          </w:p>
        </w:tc>
        <w:tc>
          <w:tcPr>
            <w:tcW w:w="1773" w:type="dxa"/>
            <w:tcMar>
              <w:top w:w="15" w:type="dxa"/>
              <w:left w:w="15" w:type="dxa"/>
              <w:bottom w:w="0" w:type="dxa"/>
              <w:right w:w="15" w:type="dxa"/>
            </w:tcMar>
            <w:vAlign w:val="center"/>
          </w:tcPr>
          <w:p w14:paraId="45ADA1A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697F711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1D5F7362">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0.091</w:t>
            </w:r>
          </w:p>
        </w:tc>
      </w:tr>
      <w:tr w14:paraId="3160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56184CDF">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53C1342F">
            <w:pPr>
              <w:spacing w:line="360" w:lineRule="exact"/>
              <w:jc w:val="center"/>
              <w:rPr>
                <w:rFonts w:ascii="Times New Roman" w:eastAsia="仿宋"/>
                <w:szCs w:val="21"/>
                <w:lang w:val="zh-CN"/>
              </w:rPr>
            </w:pPr>
            <w:r>
              <w:rPr>
                <w:rFonts w:hint="eastAsia" w:ascii="Times New Roman" w:eastAsia="仿宋"/>
                <w:szCs w:val="21"/>
              </w:rPr>
              <w:t>沈店</w:t>
            </w:r>
          </w:p>
        </w:tc>
        <w:tc>
          <w:tcPr>
            <w:tcW w:w="1204" w:type="dxa"/>
            <w:vAlign w:val="center"/>
          </w:tcPr>
          <w:p w14:paraId="6241133C">
            <w:pPr>
              <w:adjustRightInd w:val="0"/>
              <w:snapToGrid w:val="0"/>
              <w:jc w:val="center"/>
              <w:rPr>
                <w:rFonts w:ascii="Times New Roman" w:eastAsia="仿宋"/>
                <w:szCs w:val="21"/>
              </w:rPr>
            </w:pPr>
            <w:r>
              <w:rPr>
                <w:rFonts w:hint="eastAsia" w:ascii="Times New Roman" w:eastAsia="仿宋"/>
                <w:szCs w:val="21"/>
              </w:rPr>
              <w:t>2400</w:t>
            </w:r>
          </w:p>
        </w:tc>
        <w:tc>
          <w:tcPr>
            <w:tcW w:w="1773" w:type="dxa"/>
            <w:tcMar>
              <w:top w:w="15" w:type="dxa"/>
              <w:left w:w="15" w:type="dxa"/>
              <w:bottom w:w="0" w:type="dxa"/>
              <w:right w:w="15" w:type="dxa"/>
            </w:tcMar>
            <w:vAlign w:val="center"/>
          </w:tcPr>
          <w:p w14:paraId="010C8A9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7179ABA8">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6CABE191">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0.062</w:t>
            </w:r>
          </w:p>
        </w:tc>
      </w:tr>
      <w:tr w14:paraId="7B78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2D8C83F6">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7558BD0">
            <w:pPr>
              <w:spacing w:line="360" w:lineRule="exact"/>
              <w:jc w:val="center"/>
              <w:rPr>
                <w:rFonts w:ascii="Times New Roman" w:eastAsia="仿宋"/>
                <w:szCs w:val="21"/>
                <w:lang w:val="zh-CN"/>
              </w:rPr>
            </w:pPr>
            <w:r>
              <w:rPr>
                <w:rFonts w:hint="eastAsia" w:ascii="Times New Roman" w:eastAsia="仿宋"/>
                <w:szCs w:val="21"/>
              </w:rPr>
              <w:t>丁东</w:t>
            </w:r>
          </w:p>
        </w:tc>
        <w:tc>
          <w:tcPr>
            <w:tcW w:w="1204" w:type="dxa"/>
            <w:vAlign w:val="center"/>
          </w:tcPr>
          <w:p w14:paraId="7468BEBC">
            <w:pPr>
              <w:adjustRightInd w:val="0"/>
              <w:snapToGrid w:val="0"/>
              <w:jc w:val="center"/>
              <w:rPr>
                <w:rFonts w:ascii="Times New Roman" w:eastAsia="仿宋"/>
                <w:szCs w:val="21"/>
              </w:rPr>
            </w:pPr>
            <w:r>
              <w:rPr>
                <w:rFonts w:hint="eastAsia" w:ascii="Times New Roman" w:eastAsia="仿宋"/>
                <w:szCs w:val="21"/>
              </w:rPr>
              <w:t>2900</w:t>
            </w:r>
          </w:p>
        </w:tc>
        <w:tc>
          <w:tcPr>
            <w:tcW w:w="1773" w:type="dxa"/>
            <w:tcMar>
              <w:top w:w="15" w:type="dxa"/>
              <w:left w:w="15" w:type="dxa"/>
              <w:bottom w:w="0" w:type="dxa"/>
              <w:right w:w="15" w:type="dxa"/>
            </w:tcMar>
            <w:vAlign w:val="center"/>
          </w:tcPr>
          <w:p w14:paraId="4798D1BB">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6EAC18C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5F97E63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0.04</w:t>
            </w:r>
          </w:p>
        </w:tc>
      </w:tr>
      <w:tr w14:paraId="415A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26AF349F">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328B22D1">
            <w:pPr>
              <w:spacing w:line="360" w:lineRule="exact"/>
              <w:jc w:val="center"/>
              <w:rPr>
                <w:rFonts w:ascii="Times New Roman" w:eastAsia="仿宋"/>
                <w:szCs w:val="21"/>
                <w:lang w:val="zh-CN"/>
              </w:rPr>
            </w:pPr>
            <w:r>
              <w:rPr>
                <w:rFonts w:hint="eastAsia" w:ascii="Times New Roman" w:eastAsia="仿宋"/>
                <w:szCs w:val="21"/>
              </w:rPr>
              <w:t>大坝头</w:t>
            </w:r>
          </w:p>
        </w:tc>
        <w:tc>
          <w:tcPr>
            <w:tcW w:w="1204" w:type="dxa"/>
            <w:vAlign w:val="center"/>
          </w:tcPr>
          <w:p w14:paraId="666C46BA">
            <w:pPr>
              <w:adjustRightInd w:val="0"/>
              <w:snapToGrid w:val="0"/>
              <w:jc w:val="center"/>
              <w:rPr>
                <w:rFonts w:ascii="Times New Roman" w:eastAsia="仿宋"/>
                <w:szCs w:val="21"/>
              </w:rPr>
            </w:pPr>
            <w:r>
              <w:rPr>
                <w:rFonts w:hint="eastAsia" w:ascii="Times New Roman" w:eastAsia="仿宋"/>
                <w:szCs w:val="21"/>
              </w:rPr>
              <w:t>3600</w:t>
            </w:r>
          </w:p>
        </w:tc>
        <w:tc>
          <w:tcPr>
            <w:tcW w:w="1773" w:type="dxa"/>
            <w:tcMar>
              <w:top w:w="15" w:type="dxa"/>
              <w:left w:w="15" w:type="dxa"/>
              <w:bottom w:w="0" w:type="dxa"/>
              <w:right w:w="15" w:type="dxa"/>
            </w:tcMar>
            <w:vAlign w:val="center"/>
          </w:tcPr>
          <w:p w14:paraId="09A4149C">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100FBB5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164D4A36">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0.032</w:t>
            </w:r>
          </w:p>
        </w:tc>
      </w:tr>
      <w:tr w14:paraId="32A8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3E474FD9">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7A00593B">
            <w:pPr>
              <w:spacing w:line="360" w:lineRule="exact"/>
              <w:jc w:val="center"/>
              <w:rPr>
                <w:rFonts w:ascii="Times New Roman" w:eastAsia="仿宋"/>
                <w:szCs w:val="21"/>
                <w:lang w:val="zh-CN"/>
              </w:rPr>
            </w:pPr>
            <w:r>
              <w:rPr>
                <w:rFonts w:hint="eastAsia" w:ascii="Times New Roman" w:eastAsia="仿宋"/>
                <w:szCs w:val="21"/>
              </w:rPr>
              <w:t>金坛村唐王小学</w:t>
            </w:r>
          </w:p>
        </w:tc>
        <w:tc>
          <w:tcPr>
            <w:tcW w:w="1204" w:type="dxa"/>
            <w:vAlign w:val="center"/>
          </w:tcPr>
          <w:p w14:paraId="01D2E9BA">
            <w:pPr>
              <w:adjustRightInd w:val="0"/>
              <w:snapToGrid w:val="0"/>
              <w:jc w:val="center"/>
              <w:rPr>
                <w:rFonts w:ascii="Times New Roman" w:eastAsia="仿宋"/>
                <w:szCs w:val="21"/>
              </w:rPr>
            </w:pPr>
            <w:r>
              <w:rPr>
                <w:rFonts w:hint="eastAsia" w:ascii="Times New Roman" w:eastAsia="仿宋"/>
                <w:szCs w:val="21"/>
              </w:rPr>
              <w:t>4350</w:t>
            </w:r>
          </w:p>
        </w:tc>
        <w:tc>
          <w:tcPr>
            <w:tcW w:w="1773" w:type="dxa"/>
            <w:tcMar>
              <w:top w:w="15" w:type="dxa"/>
              <w:left w:w="15" w:type="dxa"/>
              <w:bottom w:w="0" w:type="dxa"/>
              <w:right w:w="15" w:type="dxa"/>
            </w:tcMar>
            <w:vAlign w:val="center"/>
          </w:tcPr>
          <w:p w14:paraId="30818AC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208F1CE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2EDC0EF9">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0.028</w:t>
            </w:r>
          </w:p>
        </w:tc>
      </w:tr>
      <w:tr w14:paraId="70F3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16DF0235">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6F9B3D28">
            <w:pPr>
              <w:spacing w:line="360" w:lineRule="exact"/>
              <w:jc w:val="center"/>
              <w:rPr>
                <w:rFonts w:ascii="Times New Roman" w:eastAsia="仿宋"/>
                <w:szCs w:val="21"/>
                <w:lang w:val="zh-CN"/>
              </w:rPr>
            </w:pPr>
            <w:r>
              <w:rPr>
                <w:rFonts w:hint="eastAsia" w:ascii="Times New Roman" w:eastAsia="仿宋"/>
                <w:szCs w:val="21"/>
              </w:rPr>
              <w:t>土山村</w:t>
            </w:r>
          </w:p>
        </w:tc>
        <w:tc>
          <w:tcPr>
            <w:tcW w:w="1204" w:type="dxa"/>
            <w:vAlign w:val="center"/>
          </w:tcPr>
          <w:p w14:paraId="267343FE">
            <w:pPr>
              <w:adjustRightInd w:val="0"/>
              <w:snapToGrid w:val="0"/>
              <w:jc w:val="center"/>
              <w:rPr>
                <w:rFonts w:ascii="Times New Roman" w:eastAsia="仿宋"/>
                <w:szCs w:val="21"/>
              </w:rPr>
            </w:pPr>
            <w:r>
              <w:rPr>
                <w:rFonts w:hint="eastAsia" w:ascii="Times New Roman" w:eastAsia="仿宋"/>
                <w:szCs w:val="21"/>
              </w:rPr>
              <w:t>4450</w:t>
            </w:r>
          </w:p>
        </w:tc>
        <w:tc>
          <w:tcPr>
            <w:tcW w:w="1773" w:type="dxa"/>
            <w:tcMar>
              <w:top w:w="15" w:type="dxa"/>
              <w:left w:w="15" w:type="dxa"/>
              <w:bottom w:w="0" w:type="dxa"/>
              <w:right w:w="15" w:type="dxa"/>
            </w:tcMar>
            <w:vAlign w:val="center"/>
          </w:tcPr>
          <w:p w14:paraId="61D81A9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31BB2301">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2067C06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0.019</w:t>
            </w:r>
          </w:p>
        </w:tc>
      </w:tr>
      <w:tr w14:paraId="5D64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noWrap/>
            <w:tcMar>
              <w:top w:w="15" w:type="dxa"/>
              <w:left w:w="15" w:type="dxa"/>
              <w:bottom w:w="0" w:type="dxa"/>
              <w:right w:w="15" w:type="dxa"/>
            </w:tcMar>
            <w:vAlign w:val="center"/>
          </w:tcPr>
          <w:p w14:paraId="14490D3A">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28344F83">
            <w:pPr>
              <w:spacing w:line="360" w:lineRule="exact"/>
              <w:jc w:val="center"/>
              <w:rPr>
                <w:rFonts w:ascii="Times New Roman" w:eastAsia="仿宋"/>
                <w:szCs w:val="21"/>
                <w:lang w:val="zh-CN"/>
              </w:rPr>
            </w:pPr>
            <w:r>
              <w:rPr>
                <w:rFonts w:hint="eastAsia" w:ascii="Times New Roman" w:eastAsia="仿宋"/>
                <w:szCs w:val="21"/>
              </w:rPr>
              <w:t>曹家村</w:t>
            </w:r>
          </w:p>
        </w:tc>
        <w:tc>
          <w:tcPr>
            <w:tcW w:w="1204" w:type="dxa"/>
            <w:vAlign w:val="center"/>
          </w:tcPr>
          <w:p w14:paraId="7E5F4283">
            <w:pPr>
              <w:adjustRightInd w:val="0"/>
              <w:snapToGrid w:val="0"/>
              <w:jc w:val="center"/>
              <w:rPr>
                <w:rFonts w:ascii="Times New Roman" w:eastAsia="仿宋"/>
                <w:szCs w:val="21"/>
              </w:rPr>
            </w:pPr>
            <w:r>
              <w:rPr>
                <w:rFonts w:hint="eastAsia" w:ascii="Times New Roman" w:eastAsia="仿宋"/>
                <w:szCs w:val="21"/>
              </w:rPr>
              <w:t>50</w:t>
            </w:r>
            <w:r>
              <w:rPr>
                <w:rFonts w:ascii="Times New Roman" w:eastAsia="仿宋"/>
                <w:szCs w:val="21"/>
              </w:rPr>
              <w:t>0</w:t>
            </w:r>
            <w:r>
              <w:rPr>
                <w:rFonts w:hint="eastAsia" w:ascii="Times New Roman" w:eastAsia="仿宋"/>
                <w:szCs w:val="21"/>
              </w:rPr>
              <w:t>0</w:t>
            </w:r>
          </w:p>
        </w:tc>
        <w:tc>
          <w:tcPr>
            <w:tcW w:w="1773" w:type="dxa"/>
            <w:tcMar>
              <w:top w:w="15" w:type="dxa"/>
              <w:left w:w="15" w:type="dxa"/>
              <w:bottom w:w="0" w:type="dxa"/>
              <w:right w:w="15" w:type="dxa"/>
            </w:tcMar>
            <w:vAlign w:val="center"/>
          </w:tcPr>
          <w:p w14:paraId="70C5260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tcMar>
              <w:top w:w="15" w:type="dxa"/>
              <w:left w:w="15" w:type="dxa"/>
              <w:bottom w:w="0" w:type="dxa"/>
              <w:right w:w="15" w:type="dxa"/>
            </w:tcMar>
            <w:vAlign w:val="center"/>
          </w:tcPr>
          <w:p w14:paraId="54D1360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tcMar>
              <w:top w:w="15" w:type="dxa"/>
              <w:left w:w="15" w:type="dxa"/>
              <w:bottom w:w="0" w:type="dxa"/>
              <w:right w:w="15" w:type="dxa"/>
            </w:tcMar>
            <w:vAlign w:val="center"/>
          </w:tcPr>
          <w:p w14:paraId="288B08B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0.014</w:t>
            </w:r>
          </w:p>
        </w:tc>
      </w:tr>
      <w:tr w14:paraId="5B92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restart"/>
            <w:tcMar>
              <w:top w:w="15" w:type="dxa"/>
              <w:left w:w="15" w:type="dxa"/>
              <w:bottom w:w="0" w:type="dxa"/>
              <w:right w:w="15" w:type="dxa"/>
            </w:tcMar>
            <w:vAlign w:val="center"/>
          </w:tcPr>
          <w:p w14:paraId="0DF564B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CO</w:t>
            </w:r>
          </w:p>
          <w:p w14:paraId="7F72955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（火灾伴生/次生）</w:t>
            </w:r>
          </w:p>
        </w:tc>
        <w:tc>
          <w:tcPr>
            <w:tcW w:w="3046" w:type="dxa"/>
            <w:gridSpan w:val="2"/>
            <w:tcMar>
              <w:top w:w="15" w:type="dxa"/>
              <w:left w:w="15" w:type="dxa"/>
              <w:bottom w:w="0" w:type="dxa"/>
              <w:right w:w="15" w:type="dxa"/>
            </w:tcMar>
            <w:vAlign w:val="center"/>
          </w:tcPr>
          <w:p w14:paraId="56234E0D">
            <w:pPr>
              <w:kinsoku w:val="0"/>
              <w:overflowPunct w:val="0"/>
              <w:autoSpaceDE w:val="0"/>
              <w:autoSpaceDN w:val="0"/>
              <w:adjustRightInd w:val="0"/>
              <w:snapToGrid w:val="0"/>
              <w:jc w:val="center"/>
              <w:rPr>
                <w:rFonts w:ascii="Times New Roman" w:eastAsia="仿宋"/>
                <w:szCs w:val="24"/>
                <w:lang w:val="zh-CN" w:bidi="zh-CN"/>
              </w:rPr>
            </w:pPr>
            <w:bookmarkStart w:id="375" w:name="RANGE!B2"/>
            <w:r>
              <w:rPr>
                <w:rFonts w:ascii="Times New Roman" w:eastAsia="仿宋"/>
                <w:szCs w:val="24"/>
                <w:lang w:val="zh-CN" w:bidi="zh-CN"/>
              </w:rPr>
              <w:t>大气毒性终点浓度-1</w:t>
            </w:r>
            <w:bookmarkEnd w:id="375"/>
          </w:p>
        </w:tc>
        <w:tc>
          <w:tcPr>
            <w:tcW w:w="1773" w:type="dxa"/>
            <w:tcMar>
              <w:top w:w="15" w:type="dxa"/>
              <w:left w:w="15" w:type="dxa"/>
              <w:bottom w:w="0" w:type="dxa"/>
              <w:right w:w="15" w:type="dxa"/>
            </w:tcMar>
            <w:vAlign w:val="center"/>
          </w:tcPr>
          <w:p w14:paraId="0679806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380</w:t>
            </w:r>
          </w:p>
        </w:tc>
        <w:tc>
          <w:tcPr>
            <w:tcW w:w="1337" w:type="dxa"/>
            <w:noWrap/>
            <w:tcMar>
              <w:top w:w="15" w:type="dxa"/>
              <w:left w:w="15" w:type="dxa"/>
              <w:bottom w:w="0" w:type="dxa"/>
              <w:right w:w="15" w:type="dxa"/>
            </w:tcMar>
            <w:vAlign w:val="center"/>
          </w:tcPr>
          <w:p w14:paraId="29EDDD30">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0.03</w:t>
            </w:r>
          </w:p>
        </w:tc>
        <w:tc>
          <w:tcPr>
            <w:tcW w:w="1883" w:type="dxa"/>
            <w:noWrap/>
            <w:tcMar>
              <w:top w:w="15" w:type="dxa"/>
              <w:left w:w="15" w:type="dxa"/>
              <w:bottom w:w="0" w:type="dxa"/>
              <w:right w:w="15" w:type="dxa"/>
            </w:tcMar>
            <w:vAlign w:val="center"/>
          </w:tcPr>
          <w:p w14:paraId="01A7F345">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401.63</w:t>
            </w:r>
          </w:p>
        </w:tc>
      </w:tr>
      <w:tr w14:paraId="0982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294A5858">
            <w:pPr>
              <w:kinsoku w:val="0"/>
              <w:overflowPunct w:val="0"/>
              <w:autoSpaceDE w:val="0"/>
              <w:autoSpaceDN w:val="0"/>
              <w:adjustRightInd w:val="0"/>
              <w:snapToGrid w:val="0"/>
              <w:jc w:val="center"/>
              <w:rPr>
                <w:rFonts w:ascii="Times New Roman" w:eastAsia="仿宋"/>
                <w:szCs w:val="24"/>
                <w:lang w:val="zh-CN" w:bidi="zh-CN"/>
              </w:rPr>
            </w:pPr>
          </w:p>
        </w:tc>
        <w:tc>
          <w:tcPr>
            <w:tcW w:w="3046" w:type="dxa"/>
            <w:gridSpan w:val="2"/>
            <w:tcMar>
              <w:top w:w="15" w:type="dxa"/>
              <w:left w:w="15" w:type="dxa"/>
              <w:bottom w:w="0" w:type="dxa"/>
              <w:right w:w="15" w:type="dxa"/>
            </w:tcMar>
            <w:vAlign w:val="center"/>
          </w:tcPr>
          <w:p w14:paraId="45FF190B">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大气毒性终点浓度-2</w:t>
            </w:r>
          </w:p>
        </w:tc>
        <w:tc>
          <w:tcPr>
            <w:tcW w:w="1773" w:type="dxa"/>
            <w:tcMar>
              <w:top w:w="15" w:type="dxa"/>
              <w:left w:w="15" w:type="dxa"/>
              <w:bottom w:w="0" w:type="dxa"/>
              <w:right w:w="15" w:type="dxa"/>
            </w:tcMar>
            <w:vAlign w:val="center"/>
          </w:tcPr>
          <w:p w14:paraId="71346B4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95</w:t>
            </w:r>
          </w:p>
        </w:tc>
        <w:tc>
          <w:tcPr>
            <w:tcW w:w="1337" w:type="dxa"/>
            <w:noWrap/>
            <w:tcMar>
              <w:top w:w="15" w:type="dxa"/>
              <w:left w:w="15" w:type="dxa"/>
              <w:bottom w:w="0" w:type="dxa"/>
              <w:right w:w="15" w:type="dxa"/>
            </w:tcMar>
            <w:vAlign w:val="center"/>
          </w:tcPr>
          <w:p w14:paraId="026CF6E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67E4ABC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r>
      <w:tr w14:paraId="23A4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0AF97A98">
            <w:pPr>
              <w:kinsoku w:val="0"/>
              <w:overflowPunct w:val="0"/>
              <w:autoSpaceDE w:val="0"/>
              <w:autoSpaceDN w:val="0"/>
              <w:adjustRightInd w:val="0"/>
              <w:snapToGrid w:val="0"/>
              <w:jc w:val="center"/>
              <w:rPr>
                <w:rFonts w:ascii="Times New Roman" w:eastAsia="仿宋"/>
                <w:szCs w:val="24"/>
                <w:lang w:val="zh-CN" w:bidi="zh-CN"/>
              </w:rPr>
            </w:pPr>
          </w:p>
        </w:tc>
        <w:tc>
          <w:tcPr>
            <w:tcW w:w="1842" w:type="dxa"/>
            <w:tcMar>
              <w:top w:w="15" w:type="dxa"/>
              <w:left w:w="15" w:type="dxa"/>
              <w:bottom w:w="0" w:type="dxa"/>
              <w:right w:w="15" w:type="dxa"/>
            </w:tcMar>
            <w:vAlign w:val="center"/>
          </w:tcPr>
          <w:p w14:paraId="15070FEC">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敏感目标名称</w:t>
            </w:r>
          </w:p>
        </w:tc>
        <w:tc>
          <w:tcPr>
            <w:tcW w:w="1204" w:type="dxa"/>
            <w:tcMar>
              <w:top w:w="15" w:type="dxa"/>
              <w:left w:w="15" w:type="dxa"/>
              <w:bottom w:w="0" w:type="dxa"/>
              <w:right w:w="15" w:type="dxa"/>
            </w:tcMar>
            <w:vAlign w:val="center"/>
          </w:tcPr>
          <w:p w14:paraId="4B6EECF5">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距离（m）</w:t>
            </w:r>
          </w:p>
        </w:tc>
        <w:tc>
          <w:tcPr>
            <w:tcW w:w="1773" w:type="dxa"/>
            <w:tcMar>
              <w:top w:w="15" w:type="dxa"/>
              <w:left w:w="15" w:type="dxa"/>
              <w:bottom w:w="0" w:type="dxa"/>
              <w:right w:w="15" w:type="dxa"/>
            </w:tcMar>
            <w:vAlign w:val="center"/>
          </w:tcPr>
          <w:p w14:paraId="770D2548">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超标时间（min）</w:t>
            </w:r>
          </w:p>
        </w:tc>
        <w:tc>
          <w:tcPr>
            <w:tcW w:w="1337" w:type="dxa"/>
            <w:tcMar>
              <w:top w:w="15" w:type="dxa"/>
              <w:left w:w="15" w:type="dxa"/>
              <w:bottom w:w="0" w:type="dxa"/>
              <w:right w:w="15" w:type="dxa"/>
            </w:tcMar>
            <w:vAlign w:val="center"/>
          </w:tcPr>
          <w:p w14:paraId="01190BE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超标持续时间（min）</w:t>
            </w:r>
          </w:p>
        </w:tc>
        <w:tc>
          <w:tcPr>
            <w:tcW w:w="1883" w:type="dxa"/>
            <w:tcMar>
              <w:top w:w="15" w:type="dxa"/>
              <w:left w:w="15" w:type="dxa"/>
              <w:bottom w:w="0" w:type="dxa"/>
              <w:right w:w="15" w:type="dxa"/>
            </w:tcMar>
            <w:vAlign w:val="center"/>
          </w:tcPr>
          <w:p w14:paraId="146221A0">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最大浓度（mg/m</w:t>
            </w:r>
            <w:r>
              <w:rPr>
                <w:rFonts w:ascii="Times New Roman" w:eastAsia="仿宋"/>
                <w:szCs w:val="24"/>
                <w:vertAlign w:val="superscript"/>
                <w:lang w:val="zh-CN" w:bidi="zh-CN"/>
              </w:rPr>
              <w:t>3</w:t>
            </w:r>
            <w:r>
              <w:rPr>
                <w:rFonts w:ascii="Times New Roman" w:eastAsia="仿宋"/>
                <w:szCs w:val="24"/>
                <w:lang w:val="zh-CN" w:bidi="zh-CN"/>
              </w:rPr>
              <w:t>）</w:t>
            </w:r>
          </w:p>
        </w:tc>
      </w:tr>
      <w:tr w14:paraId="76C9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141B5EAD">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532BAA9D">
            <w:pPr>
              <w:spacing w:line="360" w:lineRule="exact"/>
              <w:jc w:val="center"/>
              <w:rPr>
                <w:rFonts w:ascii="Times New Roman" w:eastAsia="仿宋"/>
                <w:szCs w:val="21"/>
                <w:lang w:val="zh-CN"/>
              </w:rPr>
            </w:pPr>
            <w:r>
              <w:rPr>
                <w:rFonts w:hint="eastAsia" w:ascii="Times New Roman" w:eastAsia="仿宋"/>
                <w:szCs w:val="21"/>
              </w:rPr>
              <w:t>唐巷村</w:t>
            </w:r>
          </w:p>
        </w:tc>
        <w:tc>
          <w:tcPr>
            <w:tcW w:w="1204" w:type="dxa"/>
            <w:noWrap/>
            <w:tcMar>
              <w:top w:w="15" w:type="dxa"/>
              <w:left w:w="15" w:type="dxa"/>
              <w:bottom w:w="0" w:type="dxa"/>
              <w:right w:w="15" w:type="dxa"/>
            </w:tcMar>
            <w:vAlign w:val="center"/>
          </w:tcPr>
          <w:p w14:paraId="5AE8B7CC">
            <w:pPr>
              <w:adjustRightInd w:val="0"/>
              <w:snapToGrid w:val="0"/>
              <w:jc w:val="center"/>
              <w:rPr>
                <w:rFonts w:ascii="Times New Roman" w:eastAsia="仿宋"/>
                <w:szCs w:val="21"/>
              </w:rPr>
            </w:pPr>
            <w:r>
              <w:rPr>
                <w:rFonts w:hint="eastAsia" w:ascii="Times New Roman" w:eastAsia="仿宋"/>
                <w:szCs w:val="21"/>
              </w:rPr>
              <w:t>850</w:t>
            </w:r>
          </w:p>
        </w:tc>
        <w:tc>
          <w:tcPr>
            <w:tcW w:w="1773" w:type="dxa"/>
            <w:noWrap/>
            <w:tcMar>
              <w:top w:w="15" w:type="dxa"/>
              <w:left w:w="15" w:type="dxa"/>
              <w:bottom w:w="0" w:type="dxa"/>
              <w:right w:w="15" w:type="dxa"/>
            </w:tcMar>
            <w:vAlign w:val="center"/>
          </w:tcPr>
          <w:p w14:paraId="6B8A5B70">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191CD149">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22CE4B3C">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0.73</w:t>
            </w:r>
          </w:p>
        </w:tc>
      </w:tr>
      <w:tr w14:paraId="588C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1D880A6F">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5D1C0D3B">
            <w:pPr>
              <w:spacing w:line="360" w:lineRule="exact"/>
              <w:jc w:val="center"/>
              <w:rPr>
                <w:rFonts w:ascii="Times New Roman" w:eastAsia="仿宋"/>
                <w:szCs w:val="21"/>
                <w:lang w:val="zh-CN"/>
              </w:rPr>
            </w:pPr>
            <w:r>
              <w:rPr>
                <w:rFonts w:hint="eastAsia" w:ascii="Times New Roman" w:eastAsia="仿宋"/>
                <w:szCs w:val="21"/>
              </w:rPr>
              <w:t>六房庄</w:t>
            </w:r>
          </w:p>
        </w:tc>
        <w:tc>
          <w:tcPr>
            <w:tcW w:w="1204" w:type="dxa"/>
            <w:noWrap/>
            <w:tcMar>
              <w:top w:w="15" w:type="dxa"/>
              <w:left w:w="15" w:type="dxa"/>
              <w:bottom w:w="0" w:type="dxa"/>
              <w:right w:w="15" w:type="dxa"/>
            </w:tcMar>
            <w:vAlign w:val="center"/>
          </w:tcPr>
          <w:p w14:paraId="3E56F3CE">
            <w:pPr>
              <w:adjustRightInd w:val="0"/>
              <w:snapToGrid w:val="0"/>
              <w:jc w:val="center"/>
              <w:rPr>
                <w:rFonts w:ascii="Times New Roman" w:eastAsia="仿宋"/>
                <w:szCs w:val="21"/>
              </w:rPr>
            </w:pPr>
            <w:r>
              <w:rPr>
                <w:rFonts w:hint="eastAsia" w:ascii="Times New Roman" w:eastAsia="仿宋"/>
                <w:szCs w:val="21"/>
              </w:rPr>
              <w:t>1000</w:t>
            </w:r>
          </w:p>
        </w:tc>
        <w:tc>
          <w:tcPr>
            <w:tcW w:w="1773" w:type="dxa"/>
            <w:noWrap/>
            <w:tcMar>
              <w:top w:w="15" w:type="dxa"/>
              <w:left w:w="15" w:type="dxa"/>
              <w:bottom w:w="0" w:type="dxa"/>
              <w:right w:w="15" w:type="dxa"/>
            </w:tcMar>
            <w:vAlign w:val="center"/>
          </w:tcPr>
          <w:p w14:paraId="4DA6E32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2DD938E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603D5860">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0.45</w:t>
            </w:r>
          </w:p>
        </w:tc>
      </w:tr>
      <w:tr w14:paraId="1FEA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7BE44354">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336486BE">
            <w:pPr>
              <w:adjustRightInd w:val="0"/>
              <w:snapToGrid w:val="0"/>
              <w:jc w:val="center"/>
              <w:rPr>
                <w:rFonts w:ascii="Times New Roman" w:eastAsia="仿宋"/>
                <w:szCs w:val="21"/>
              </w:rPr>
            </w:pPr>
            <w:r>
              <w:rPr>
                <w:rFonts w:hint="eastAsia" w:ascii="Times New Roman" w:eastAsia="仿宋"/>
                <w:szCs w:val="21"/>
              </w:rPr>
              <w:t>庄基村</w:t>
            </w:r>
          </w:p>
        </w:tc>
        <w:tc>
          <w:tcPr>
            <w:tcW w:w="1204" w:type="dxa"/>
            <w:noWrap/>
            <w:tcMar>
              <w:top w:w="15" w:type="dxa"/>
              <w:left w:w="15" w:type="dxa"/>
              <w:bottom w:w="0" w:type="dxa"/>
              <w:right w:w="15" w:type="dxa"/>
            </w:tcMar>
            <w:vAlign w:val="center"/>
          </w:tcPr>
          <w:p w14:paraId="0CED3ECF">
            <w:pPr>
              <w:adjustRightInd w:val="0"/>
              <w:snapToGrid w:val="0"/>
              <w:jc w:val="center"/>
              <w:rPr>
                <w:rFonts w:ascii="Times New Roman" w:eastAsia="仿宋"/>
                <w:szCs w:val="21"/>
              </w:rPr>
            </w:pPr>
            <w:r>
              <w:rPr>
                <w:rFonts w:hint="eastAsia" w:ascii="Times New Roman" w:eastAsia="仿宋"/>
                <w:szCs w:val="21"/>
              </w:rPr>
              <w:t>1400</w:t>
            </w:r>
          </w:p>
        </w:tc>
        <w:tc>
          <w:tcPr>
            <w:tcW w:w="1773" w:type="dxa"/>
            <w:noWrap/>
            <w:tcMar>
              <w:top w:w="15" w:type="dxa"/>
              <w:left w:w="15" w:type="dxa"/>
              <w:bottom w:w="0" w:type="dxa"/>
              <w:right w:w="15" w:type="dxa"/>
            </w:tcMar>
            <w:vAlign w:val="center"/>
          </w:tcPr>
          <w:p w14:paraId="74F8E3D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353AB14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72E7198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0.18</w:t>
            </w:r>
          </w:p>
        </w:tc>
      </w:tr>
      <w:tr w14:paraId="4960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3788A7B8">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631F37B5">
            <w:pPr>
              <w:spacing w:line="360" w:lineRule="exact"/>
              <w:jc w:val="center"/>
              <w:rPr>
                <w:rFonts w:ascii="Times New Roman" w:eastAsia="仿宋"/>
                <w:szCs w:val="21"/>
                <w:lang w:val="zh-CN"/>
              </w:rPr>
            </w:pPr>
            <w:r>
              <w:rPr>
                <w:rFonts w:hint="eastAsia" w:ascii="Times New Roman" w:eastAsia="仿宋"/>
                <w:szCs w:val="21"/>
              </w:rPr>
              <w:t>杨家棚</w:t>
            </w:r>
          </w:p>
        </w:tc>
        <w:tc>
          <w:tcPr>
            <w:tcW w:w="1204" w:type="dxa"/>
            <w:noWrap/>
            <w:tcMar>
              <w:top w:w="15" w:type="dxa"/>
              <w:left w:w="15" w:type="dxa"/>
              <w:bottom w:w="0" w:type="dxa"/>
              <w:right w:w="15" w:type="dxa"/>
            </w:tcMar>
            <w:vAlign w:val="center"/>
          </w:tcPr>
          <w:p w14:paraId="3DE264C0">
            <w:pPr>
              <w:adjustRightInd w:val="0"/>
              <w:snapToGrid w:val="0"/>
              <w:jc w:val="center"/>
              <w:rPr>
                <w:rFonts w:ascii="Times New Roman" w:eastAsia="仿宋"/>
                <w:szCs w:val="21"/>
              </w:rPr>
            </w:pPr>
            <w:r>
              <w:rPr>
                <w:rFonts w:hint="eastAsia" w:ascii="Times New Roman" w:eastAsia="仿宋"/>
                <w:szCs w:val="21"/>
              </w:rPr>
              <w:t>1950</w:t>
            </w:r>
          </w:p>
        </w:tc>
        <w:tc>
          <w:tcPr>
            <w:tcW w:w="1773" w:type="dxa"/>
            <w:noWrap/>
            <w:tcMar>
              <w:top w:w="15" w:type="dxa"/>
              <w:left w:w="15" w:type="dxa"/>
              <w:bottom w:w="0" w:type="dxa"/>
              <w:right w:w="15" w:type="dxa"/>
            </w:tcMar>
            <w:vAlign w:val="center"/>
          </w:tcPr>
          <w:p w14:paraId="60E5AA19">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5CFE86FA">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671D274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0.06</w:t>
            </w:r>
          </w:p>
        </w:tc>
      </w:tr>
      <w:tr w14:paraId="2D65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200BFA7D">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45C5FE23">
            <w:pPr>
              <w:spacing w:line="360" w:lineRule="exact"/>
              <w:jc w:val="center"/>
              <w:rPr>
                <w:rFonts w:ascii="Times New Roman" w:eastAsia="仿宋"/>
                <w:szCs w:val="21"/>
                <w:lang w:val="zh-CN"/>
              </w:rPr>
            </w:pPr>
            <w:r>
              <w:rPr>
                <w:rFonts w:hint="eastAsia" w:ascii="Times New Roman" w:eastAsia="仿宋"/>
                <w:szCs w:val="21"/>
              </w:rPr>
              <w:t>沈店</w:t>
            </w:r>
          </w:p>
        </w:tc>
        <w:tc>
          <w:tcPr>
            <w:tcW w:w="1204" w:type="dxa"/>
            <w:noWrap/>
            <w:tcMar>
              <w:top w:w="15" w:type="dxa"/>
              <w:left w:w="15" w:type="dxa"/>
              <w:bottom w:w="0" w:type="dxa"/>
              <w:right w:w="15" w:type="dxa"/>
            </w:tcMar>
            <w:vAlign w:val="center"/>
          </w:tcPr>
          <w:p w14:paraId="77556B11">
            <w:pPr>
              <w:adjustRightInd w:val="0"/>
              <w:snapToGrid w:val="0"/>
              <w:jc w:val="center"/>
              <w:rPr>
                <w:rFonts w:ascii="Times New Roman" w:eastAsia="仿宋"/>
                <w:szCs w:val="21"/>
              </w:rPr>
            </w:pPr>
            <w:r>
              <w:rPr>
                <w:rFonts w:hint="eastAsia" w:ascii="Times New Roman" w:eastAsia="仿宋"/>
                <w:szCs w:val="21"/>
              </w:rPr>
              <w:t>2400</w:t>
            </w:r>
          </w:p>
        </w:tc>
        <w:tc>
          <w:tcPr>
            <w:tcW w:w="1773" w:type="dxa"/>
            <w:noWrap/>
            <w:tcMar>
              <w:top w:w="15" w:type="dxa"/>
              <w:left w:w="15" w:type="dxa"/>
              <w:bottom w:w="0" w:type="dxa"/>
              <w:right w:w="15" w:type="dxa"/>
            </w:tcMar>
            <w:vAlign w:val="center"/>
          </w:tcPr>
          <w:p w14:paraId="0200C96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658E548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31FBC70F">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0.04</w:t>
            </w:r>
          </w:p>
        </w:tc>
      </w:tr>
      <w:tr w14:paraId="5C3A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25F65BE4">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7096B06F">
            <w:pPr>
              <w:spacing w:line="360" w:lineRule="exact"/>
              <w:jc w:val="center"/>
              <w:rPr>
                <w:rFonts w:ascii="Times New Roman" w:eastAsia="仿宋"/>
                <w:szCs w:val="21"/>
                <w:lang w:val="zh-CN"/>
              </w:rPr>
            </w:pPr>
            <w:r>
              <w:rPr>
                <w:rFonts w:hint="eastAsia" w:ascii="Times New Roman" w:eastAsia="仿宋"/>
                <w:szCs w:val="21"/>
              </w:rPr>
              <w:t>丁东</w:t>
            </w:r>
          </w:p>
        </w:tc>
        <w:tc>
          <w:tcPr>
            <w:tcW w:w="1204" w:type="dxa"/>
            <w:noWrap/>
            <w:tcMar>
              <w:top w:w="15" w:type="dxa"/>
              <w:left w:w="15" w:type="dxa"/>
              <w:bottom w:w="0" w:type="dxa"/>
              <w:right w:w="15" w:type="dxa"/>
            </w:tcMar>
            <w:vAlign w:val="center"/>
          </w:tcPr>
          <w:p w14:paraId="101ABA21">
            <w:pPr>
              <w:adjustRightInd w:val="0"/>
              <w:snapToGrid w:val="0"/>
              <w:jc w:val="center"/>
              <w:rPr>
                <w:rFonts w:ascii="Times New Roman" w:eastAsia="仿宋"/>
                <w:szCs w:val="21"/>
              </w:rPr>
            </w:pPr>
            <w:r>
              <w:rPr>
                <w:rFonts w:hint="eastAsia" w:ascii="Times New Roman" w:eastAsia="仿宋"/>
                <w:szCs w:val="21"/>
              </w:rPr>
              <w:t>2900</w:t>
            </w:r>
          </w:p>
        </w:tc>
        <w:tc>
          <w:tcPr>
            <w:tcW w:w="1773" w:type="dxa"/>
            <w:noWrap/>
            <w:tcMar>
              <w:top w:w="15" w:type="dxa"/>
              <w:left w:w="15" w:type="dxa"/>
              <w:bottom w:w="0" w:type="dxa"/>
              <w:right w:w="15" w:type="dxa"/>
            </w:tcMar>
            <w:vAlign w:val="center"/>
          </w:tcPr>
          <w:p w14:paraId="0F25F943">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7C3F2117">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15D3E27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0.04</w:t>
            </w:r>
          </w:p>
        </w:tc>
      </w:tr>
      <w:tr w14:paraId="6554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047D6EBB">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02A91526">
            <w:pPr>
              <w:spacing w:line="360" w:lineRule="exact"/>
              <w:jc w:val="center"/>
              <w:rPr>
                <w:rFonts w:ascii="Times New Roman" w:eastAsia="仿宋"/>
                <w:szCs w:val="21"/>
                <w:lang w:val="zh-CN"/>
              </w:rPr>
            </w:pPr>
            <w:r>
              <w:rPr>
                <w:rFonts w:hint="eastAsia" w:ascii="Times New Roman" w:eastAsia="仿宋"/>
                <w:szCs w:val="21"/>
              </w:rPr>
              <w:t>大坝头</w:t>
            </w:r>
          </w:p>
        </w:tc>
        <w:tc>
          <w:tcPr>
            <w:tcW w:w="1204" w:type="dxa"/>
            <w:noWrap/>
            <w:tcMar>
              <w:top w:w="15" w:type="dxa"/>
              <w:left w:w="15" w:type="dxa"/>
              <w:bottom w:w="0" w:type="dxa"/>
              <w:right w:w="15" w:type="dxa"/>
            </w:tcMar>
            <w:vAlign w:val="center"/>
          </w:tcPr>
          <w:p w14:paraId="137F1D79">
            <w:pPr>
              <w:adjustRightInd w:val="0"/>
              <w:snapToGrid w:val="0"/>
              <w:jc w:val="center"/>
              <w:rPr>
                <w:rFonts w:ascii="Times New Roman" w:eastAsia="仿宋"/>
                <w:szCs w:val="21"/>
              </w:rPr>
            </w:pPr>
            <w:r>
              <w:rPr>
                <w:rFonts w:hint="eastAsia" w:ascii="Times New Roman" w:eastAsia="仿宋"/>
                <w:szCs w:val="21"/>
              </w:rPr>
              <w:t>3600</w:t>
            </w:r>
          </w:p>
        </w:tc>
        <w:tc>
          <w:tcPr>
            <w:tcW w:w="1773" w:type="dxa"/>
            <w:noWrap/>
            <w:tcMar>
              <w:top w:w="15" w:type="dxa"/>
              <w:left w:w="15" w:type="dxa"/>
              <w:bottom w:w="0" w:type="dxa"/>
              <w:right w:w="15" w:type="dxa"/>
            </w:tcMar>
            <w:vAlign w:val="center"/>
          </w:tcPr>
          <w:p w14:paraId="566E2B9F">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3CCEA8DE">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36638942">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0.04</w:t>
            </w:r>
          </w:p>
        </w:tc>
      </w:tr>
      <w:tr w14:paraId="449C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5958B052">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0B746DED">
            <w:pPr>
              <w:spacing w:line="360" w:lineRule="exact"/>
              <w:jc w:val="center"/>
              <w:rPr>
                <w:rFonts w:ascii="Times New Roman" w:eastAsia="仿宋"/>
                <w:szCs w:val="21"/>
                <w:lang w:val="zh-CN"/>
              </w:rPr>
            </w:pPr>
            <w:r>
              <w:rPr>
                <w:rFonts w:hint="eastAsia" w:ascii="Times New Roman" w:eastAsia="仿宋"/>
                <w:szCs w:val="21"/>
              </w:rPr>
              <w:t>金坛村唐王小学</w:t>
            </w:r>
          </w:p>
        </w:tc>
        <w:tc>
          <w:tcPr>
            <w:tcW w:w="1204" w:type="dxa"/>
            <w:noWrap/>
            <w:tcMar>
              <w:top w:w="15" w:type="dxa"/>
              <w:left w:w="15" w:type="dxa"/>
              <w:bottom w:w="0" w:type="dxa"/>
              <w:right w:w="15" w:type="dxa"/>
            </w:tcMar>
            <w:vAlign w:val="center"/>
          </w:tcPr>
          <w:p w14:paraId="3122B68F">
            <w:pPr>
              <w:adjustRightInd w:val="0"/>
              <w:snapToGrid w:val="0"/>
              <w:jc w:val="center"/>
              <w:rPr>
                <w:rFonts w:ascii="Times New Roman" w:eastAsia="仿宋"/>
                <w:szCs w:val="21"/>
              </w:rPr>
            </w:pPr>
            <w:r>
              <w:rPr>
                <w:rFonts w:hint="eastAsia" w:ascii="Times New Roman" w:eastAsia="仿宋"/>
                <w:szCs w:val="21"/>
              </w:rPr>
              <w:t>4350</w:t>
            </w:r>
          </w:p>
        </w:tc>
        <w:tc>
          <w:tcPr>
            <w:tcW w:w="1773" w:type="dxa"/>
            <w:noWrap/>
            <w:tcMar>
              <w:top w:w="15" w:type="dxa"/>
              <w:left w:w="15" w:type="dxa"/>
              <w:bottom w:w="0" w:type="dxa"/>
              <w:right w:w="15" w:type="dxa"/>
            </w:tcMar>
            <w:vAlign w:val="center"/>
          </w:tcPr>
          <w:p w14:paraId="3F87AC5D">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1BA6400E">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37BCECD7">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0.04</w:t>
            </w:r>
          </w:p>
        </w:tc>
      </w:tr>
      <w:tr w14:paraId="6E71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4E4D740F">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78E82E19">
            <w:pPr>
              <w:spacing w:line="360" w:lineRule="exact"/>
              <w:jc w:val="center"/>
              <w:rPr>
                <w:rFonts w:ascii="Times New Roman" w:eastAsia="仿宋"/>
                <w:szCs w:val="21"/>
                <w:lang w:val="zh-CN"/>
              </w:rPr>
            </w:pPr>
            <w:r>
              <w:rPr>
                <w:rFonts w:hint="eastAsia" w:ascii="Times New Roman" w:eastAsia="仿宋"/>
                <w:szCs w:val="21"/>
              </w:rPr>
              <w:t>土山村</w:t>
            </w:r>
          </w:p>
        </w:tc>
        <w:tc>
          <w:tcPr>
            <w:tcW w:w="1204" w:type="dxa"/>
            <w:noWrap/>
            <w:tcMar>
              <w:top w:w="15" w:type="dxa"/>
              <w:left w:w="15" w:type="dxa"/>
              <w:bottom w:w="0" w:type="dxa"/>
              <w:right w:w="15" w:type="dxa"/>
            </w:tcMar>
            <w:vAlign w:val="center"/>
          </w:tcPr>
          <w:p w14:paraId="516E60EB">
            <w:pPr>
              <w:adjustRightInd w:val="0"/>
              <w:snapToGrid w:val="0"/>
              <w:jc w:val="center"/>
              <w:rPr>
                <w:rFonts w:ascii="Times New Roman" w:eastAsia="仿宋"/>
                <w:szCs w:val="21"/>
              </w:rPr>
            </w:pPr>
            <w:r>
              <w:rPr>
                <w:rFonts w:hint="eastAsia" w:ascii="Times New Roman" w:eastAsia="仿宋"/>
                <w:szCs w:val="21"/>
              </w:rPr>
              <w:t>4450</w:t>
            </w:r>
          </w:p>
        </w:tc>
        <w:tc>
          <w:tcPr>
            <w:tcW w:w="1773" w:type="dxa"/>
            <w:noWrap/>
            <w:tcMar>
              <w:top w:w="15" w:type="dxa"/>
              <w:left w:w="15" w:type="dxa"/>
              <w:bottom w:w="0" w:type="dxa"/>
              <w:right w:w="15" w:type="dxa"/>
            </w:tcMar>
            <w:vAlign w:val="center"/>
          </w:tcPr>
          <w:p w14:paraId="05A3E2D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48585E14">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3C232FFB">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0.03</w:t>
            </w:r>
          </w:p>
        </w:tc>
      </w:tr>
      <w:tr w14:paraId="2CA4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4D2EEEAB">
            <w:pPr>
              <w:kinsoku w:val="0"/>
              <w:overflowPunct w:val="0"/>
              <w:autoSpaceDE w:val="0"/>
              <w:autoSpaceDN w:val="0"/>
              <w:adjustRightInd w:val="0"/>
              <w:snapToGrid w:val="0"/>
              <w:jc w:val="center"/>
              <w:rPr>
                <w:rFonts w:ascii="Times New Roman" w:eastAsia="仿宋"/>
                <w:szCs w:val="24"/>
                <w:lang w:val="zh-CN" w:bidi="zh-CN"/>
              </w:rPr>
            </w:pPr>
          </w:p>
        </w:tc>
        <w:tc>
          <w:tcPr>
            <w:tcW w:w="1842" w:type="dxa"/>
            <w:noWrap/>
            <w:tcMar>
              <w:top w:w="15" w:type="dxa"/>
              <w:left w:w="15" w:type="dxa"/>
              <w:bottom w:w="0" w:type="dxa"/>
              <w:right w:w="15" w:type="dxa"/>
            </w:tcMar>
            <w:vAlign w:val="center"/>
          </w:tcPr>
          <w:p w14:paraId="7CBDFAF7">
            <w:pPr>
              <w:spacing w:line="360" w:lineRule="exact"/>
              <w:jc w:val="center"/>
              <w:rPr>
                <w:rFonts w:ascii="Times New Roman" w:eastAsia="仿宋"/>
                <w:szCs w:val="21"/>
                <w:lang w:val="zh-CN"/>
              </w:rPr>
            </w:pPr>
            <w:r>
              <w:rPr>
                <w:rFonts w:hint="eastAsia" w:ascii="Times New Roman" w:eastAsia="仿宋"/>
                <w:szCs w:val="21"/>
              </w:rPr>
              <w:t>曹家村</w:t>
            </w:r>
          </w:p>
        </w:tc>
        <w:tc>
          <w:tcPr>
            <w:tcW w:w="1204" w:type="dxa"/>
            <w:noWrap/>
            <w:tcMar>
              <w:top w:w="15" w:type="dxa"/>
              <w:left w:w="15" w:type="dxa"/>
              <w:bottom w:w="0" w:type="dxa"/>
              <w:right w:w="15" w:type="dxa"/>
            </w:tcMar>
            <w:vAlign w:val="center"/>
          </w:tcPr>
          <w:p w14:paraId="5F15E550">
            <w:pPr>
              <w:adjustRightInd w:val="0"/>
              <w:snapToGrid w:val="0"/>
              <w:jc w:val="center"/>
              <w:rPr>
                <w:rFonts w:ascii="Times New Roman" w:eastAsia="仿宋"/>
                <w:szCs w:val="21"/>
              </w:rPr>
            </w:pPr>
            <w:r>
              <w:rPr>
                <w:rFonts w:hint="eastAsia" w:ascii="Times New Roman" w:eastAsia="仿宋"/>
                <w:szCs w:val="21"/>
              </w:rPr>
              <w:t>50</w:t>
            </w:r>
            <w:r>
              <w:rPr>
                <w:rFonts w:ascii="Times New Roman" w:eastAsia="仿宋"/>
                <w:szCs w:val="21"/>
              </w:rPr>
              <w:t>0</w:t>
            </w:r>
            <w:r>
              <w:rPr>
                <w:rFonts w:hint="eastAsia" w:ascii="Times New Roman" w:eastAsia="仿宋"/>
                <w:szCs w:val="21"/>
              </w:rPr>
              <w:t>0</w:t>
            </w:r>
          </w:p>
        </w:tc>
        <w:tc>
          <w:tcPr>
            <w:tcW w:w="1773" w:type="dxa"/>
            <w:noWrap/>
            <w:tcMar>
              <w:top w:w="15" w:type="dxa"/>
              <w:left w:w="15" w:type="dxa"/>
              <w:bottom w:w="0" w:type="dxa"/>
              <w:right w:w="15" w:type="dxa"/>
            </w:tcMar>
            <w:vAlign w:val="center"/>
          </w:tcPr>
          <w:p w14:paraId="6F5517A2">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337" w:type="dxa"/>
            <w:noWrap/>
            <w:tcMar>
              <w:top w:w="15" w:type="dxa"/>
              <w:left w:w="15" w:type="dxa"/>
              <w:bottom w:w="0" w:type="dxa"/>
              <w:right w:w="15" w:type="dxa"/>
            </w:tcMar>
            <w:vAlign w:val="center"/>
          </w:tcPr>
          <w:p w14:paraId="45572126">
            <w:pPr>
              <w:kinsoku w:val="0"/>
              <w:overflowPunct w:val="0"/>
              <w:autoSpaceDE w:val="0"/>
              <w:autoSpaceDN w:val="0"/>
              <w:adjustRightInd w:val="0"/>
              <w:snapToGrid w:val="0"/>
              <w:jc w:val="center"/>
              <w:rPr>
                <w:rFonts w:ascii="Times New Roman" w:eastAsia="仿宋"/>
                <w:szCs w:val="24"/>
                <w:lang w:val="zh-CN" w:bidi="zh-CN"/>
              </w:rPr>
            </w:pPr>
            <w:r>
              <w:rPr>
                <w:rFonts w:ascii="Times New Roman" w:eastAsia="仿宋"/>
                <w:szCs w:val="24"/>
                <w:lang w:val="zh-CN" w:bidi="zh-CN"/>
              </w:rPr>
              <w:t>/</w:t>
            </w:r>
          </w:p>
        </w:tc>
        <w:tc>
          <w:tcPr>
            <w:tcW w:w="1883" w:type="dxa"/>
            <w:noWrap/>
            <w:tcMar>
              <w:top w:w="15" w:type="dxa"/>
              <w:left w:w="15" w:type="dxa"/>
              <w:bottom w:w="0" w:type="dxa"/>
              <w:right w:w="15" w:type="dxa"/>
            </w:tcMar>
            <w:vAlign w:val="center"/>
          </w:tcPr>
          <w:p w14:paraId="32386898">
            <w:pPr>
              <w:kinsoku w:val="0"/>
              <w:overflowPunct w:val="0"/>
              <w:autoSpaceDE w:val="0"/>
              <w:autoSpaceDN w:val="0"/>
              <w:adjustRightInd w:val="0"/>
              <w:snapToGrid w:val="0"/>
              <w:jc w:val="center"/>
              <w:rPr>
                <w:rFonts w:ascii="Times New Roman" w:eastAsia="仿宋"/>
                <w:szCs w:val="24"/>
                <w:lang w:bidi="zh-CN"/>
              </w:rPr>
            </w:pPr>
            <w:r>
              <w:rPr>
                <w:rFonts w:ascii="Times New Roman" w:eastAsia="仿宋"/>
                <w:szCs w:val="24"/>
                <w:lang w:bidi="zh-CN"/>
              </w:rPr>
              <w:t>0.03</w:t>
            </w:r>
          </w:p>
        </w:tc>
      </w:tr>
    </w:tbl>
    <w:p w14:paraId="1F1D22E8">
      <w:pPr>
        <w:spacing w:line="500" w:lineRule="exact"/>
        <w:ind w:firstLine="560" w:firstLineChars="200"/>
        <w:rPr>
          <w:rFonts w:ascii="Times New Roman" w:eastAsia="仿宋"/>
          <w:sz w:val="28"/>
          <w:szCs w:val="28"/>
        </w:rPr>
      </w:pPr>
      <w:r>
        <w:rPr>
          <w:rFonts w:hint="eastAsia" w:ascii="Times New Roman" w:eastAsia="仿宋"/>
          <w:sz w:val="28"/>
          <w:szCs w:val="28"/>
        </w:rPr>
        <w:t>由上表可知，最不利气象条件下评价范围内各敏感目标处二甲苯、硫酸、CO浓度均不超过大气毒性终点浓度-1和大气毒性终点浓度-2。</w:t>
      </w:r>
    </w:p>
    <w:p w14:paraId="0C028EAD">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.3.6.2</w:t>
      </w:r>
      <w:r>
        <w:rPr>
          <w:rFonts w:hint="eastAsia" w:ascii="Times New Roman" w:hAnsi="Times New Roman" w:eastAsia="仿宋"/>
          <w:b/>
        </w:rPr>
        <w:t>有毒有害物质在地表水、地下水环境中的运移扩散</w:t>
      </w:r>
    </w:p>
    <w:p w14:paraId="5400F1E7">
      <w:pPr>
        <w:spacing w:line="500" w:lineRule="exact"/>
        <w:ind w:firstLine="560" w:firstLineChars="200"/>
        <w:rPr>
          <w:rFonts w:ascii="Times New Roman" w:eastAsia="仿宋"/>
          <w:sz w:val="28"/>
          <w:szCs w:val="28"/>
        </w:rPr>
      </w:pPr>
      <w:r>
        <w:rPr>
          <w:rFonts w:ascii="Times New Roman" w:eastAsia="仿宋"/>
          <w:sz w:val="28"/>
          <w:szCs w:val="28"/>
        </w:rPr>
        <w:t>1、有毒有害物质进入水环境的方式</w:t>
      </w:r>
    </w:p>
    <w:p w14:paraId="1D14DC82">
      <w:pPr>
        <w:spacing w:line="500" w:lineRule="exact"/>
        <w:ind w:firstLine="560" w:firstLineChars="200"/>
        <w:rPr>
          <w:rFonts w:ascii="Times New Roman" w:eastAsia="仿宋"/>
          <w:sz w:val="28"/>
          <w:szCs w:val="28"/>
        </w:rPr>
      </w:pPr>
      <w:r>
        <w:rPr>
          <w:rFonts w:ascii="Times New Roman" w:eastAsia="仿宋"/>
          <w:sz w:val="28"/>
          <w:szCs w:val="28"/>
        </w:rPr>
        <w:t>有毒有害物质进入水环境包括事故直接导致和事故处理处置过程间接导致的情况，一般为瞬时排放源和有限时段内排放的源。</w:t>
      </w:r>
    </w:p>
    <w:p w14:paraId="11AA5E92">
      <w:pPr>
        <w:spacing w:line="500" w:lineRule="exact"/>
        <w:ind w:firstLine="560" w:firstLineChars="200"/>
        <w:rPr>
          <w:rFonts w:ascii="Times New Roman" w:eastAsia="仿宋"/>
          <w:sz w:val="28"/>
          <w:szCs w:val="28"/>
        </w:rPr>
      </w:pPr>
      <w:r>
        <w:rPr>
          <w:rFonts w:ascii="Times New Roman" w:eastAsia="仿宋"/>
          <w:sz w:val="28"/>
          <w:szCs w:val="28"/>
        </w:rPr>
        <w:t>2、预测模型</w:t>
      </w:r>
    </w:p>
    <w:p w14:paraId="25C0319E">
      <w:pPr>
        <w:spacing w:line="500" w:lineRule="exact"/>
        <w:ind w:firstLine="560" w:firstLineChars="200"/>
        <w:rPr>
          <w:rFonts w:ascii="Times New Roman" w:eastAsia="仿宋"/>
          <w:sz w:val="28"/>
          <w:szCs w:val="28"/>
        </w:rPr>
      </w:pPr>
      <w:r>
        <w:rPr>
          <w:rFonts w:ascii="Times New Roman" w:eastAsia="仿宋"/>
          <w:sz w:val="28"/>
          <w:szCs w:val="28"/>
        </w:rPr>
        <w:t>（1）地表水</w:t>
      </w:r>
    </w:p>
    <w:p w14:paraId="2EFA4FBE">
      <w:pPr>
        <w:spacing w:line="500" w:lineRule="exact"/>
        <w:ind w:firstLine="560" w:firstLineChars="200"/>
        <w:rPr>
          <w:rFonts w:ascii="Times New Roman" w:eastAsia="仿宋"/>
          <w:sz w:val="28"/>
          <w:szCs w:val="28"/>
        </w:rPr>
      </w:pPr>
      <w:r>
        <w:rPr>
          <w:rFonts w:ascii="Times New Roman" w:eastAsia="仿宋"/>
          <w:sz w:val="28"/>
          <w:szCs w:val="28"/>
        </w:rPr>
        <w:t>地表水污染情景分析：厂区落实雨污分流排水体制，设置了雨水、污水收集排放系统，雨水排放口、污水排放口均设置截流阀。发生泄漏、火灾或爆炸事故时，关闭排放口的截流阀，将事故废水截留事故应急池内（一座100m</w:t>
      </w:r>
      <w:r>
        <w:rPr>
          <w:rFonts w:ascii="Times New Roman" w:eastAsia="仿宋"/>
          <w:sz w:val="28"/>
          <w:szCs w:val="28"/>
          <w:vertAlign w:val="superscript"/>
        </w:rPr>
        <w:t>3</w:t>
      </w:r>
      <w:r>
        <w:rPr>
          <w:rFonts w:ascii="Times New Roman" w:eastAsia="仿宋"/>
          <w:sz w:val="28"/>
          <w:szCs w:val="28"/>
        </w:rPr>
        <w:t>的事故应急池），可防止事故伴生/次生的泄漏物、事故废水直接流入厂区污水管网和雨水管网，进而进入周边地表水环境。</w:t>
      </w:r>
    </w:p>
    <w:p w14:paraId="18F269A9">
      <w:pPr>
        <w:spacing w:line="500" w:lineRule="exact"/>
        <w:ind w:firstLine="560" w:firstLineChars="200"/>
        <w:rPr>
          <w:rFonts w:ascii="Times New Roman" w:eastAsia="仿宋"/>
          <w:sz w:val="28"/>
          <w:szCs w:val="28"/>
        </w:rPr>
      </w:pPr>
      <w:r>
        <w:rPr>
          <w:rFonts w:ascii="Times New Roman" w:eastAsia="仿宋"/>
          <w:sz w:val="28"/>
          <w:szCs w:val="28"/>
        </w:rPr>
        <w:t>（2）地下水</w:t>
      </w:r>
    </w:p>
    <w:p w14:paraId="3E98ACBF">
      <w:pPr>
        <w:spacing w:line="500" w:lineRule="exact"/>
        <w:ind w:firstLine="560" w:firstLineChars="200"/>
        <w:rPr>
          <w:rFonts w:ascii="Times New Roman" w:eastAsia="仿宋"/>
          <w:sz w:val="28"/>
          <w:szCs w:val="28"/>
        </w:rPr>
      </w:pPr>
      <w:r>
        <w:rPr>
          <w:rFonts w:ascii="Times New Roman" w:eastAsia="仿宋"/>
          <w:sz w:val="28"/>
          <w:szCs w:val="28"/>
        </w:rPr>
        <w:t>可能受本项目影响且具有饮用水开发利用价值的敏感含水层为孔隙潜水及承压含水层，因此作为本次影响预测的地下水保护目标。</w:t>
      </w:r>
    </w:p>
    <w:p w14:paraId="45F454A4">
      <w:pPr>
        <w:spacing w:line="500" w:lineRule="exact"/>
        <w:ind w:firstLine="560" w:firstLineChars="200"/>
        <w:rPr>
          <w:rFonts w:ascii="Times New Roman" w:eastAsia="仿宋"/>
          <w:sz w:val="28"/>
          <w:szCs w:val="28"/>
        </w:rPr>
      </w:pPr>
      <w:r>
        <w:rPr>
          <w:rFonts w:hint="eastAsia" w:ascii="Times New Roman" w:eastAsia="仿宋"/>
          <w:sz w:val="28"/>
          <w:szCs w:val="28"/>
        </w:rPr>
        <w:t>①</w:t>
      </w:r>
      <w:r>
        <w:rPr>
          <w:rFonts w:ascii="Times New Roman" w:eastAsia="仿宋"/>
          <w:sz w:val="28"/>
          <w:szCs w:val="28"/>
        </w:rPr>
        <w:t>地下水污染源分析</w:t>
      </w:r>
    </w:p>
    <w:p w14:paraId="1B8FA56D">
      <w:pPr>
        <w:spacing w:line="500" w:lineRule="exact"/>
        <w:ind w:firstLine="560" w:firstLineChars="200"/>
        <w:rPr>
          <w:rFonts w:ascii="Times New Roman" w:eastAsia="仿宋"/>
          <w:sz w:val="28"/>
          <w:szCs w:val="28"/>
        </w:rPr>
      </w:pPr>
      <w:r>
        <w:rPr>
          <w:rFonts w:ascii="Times New Roman" w:eastAsia="仿宋"/>
          <w:sz w:val="28"/>
          <w:szCs w:val="28"/>
        </w:rPr>
        <w:t>本项目可能对地下水产生影响的环节为生产过程中原辅料和废水(液)的跑、冒、滴、漏，主要在危废储存仓库、生产车间、事故应急池、固废堆场等，项目所在地工程设计阶段对厂区内的一般防渗区、重点防渗区均考虑采取地下水防渗处理措施。正常生产时车间的跑冒滴漏不会下渗到地下水中。室外管道和阀门的跑冒滴漏水量较小，时间一般不超过1小时。且本项目用地现状为工业用地，确保确保各项防渗措施得以落实、加强维护和厂区环境管理的前提下，正常工况下对地下水基本无渗漏，污染极小。</w:t>
      </w:r>
    </w:p>
    <w:p w14:paraId="5863BE8B">
      <w:pPr>
        <w:spacing w:line="500" w:lineRule="exact"/>
        <w:ind w:firstLine="560" w:firstLineChars="200"/>
        <w:rPr>
          <w:rFonts w:ascii="Times New Roman" w:eastAsia="仿宋"/>
          <w:sz w:val="28"/>
          <w:szCs w:val="28"/>
        </w:rPr>
      </w:pPr>
      <w:r>
        <w:rPr>
          <w:rFonts w:hint="eastAsia" w:ascii="Times New Roman" w:eastAsia="仿宋"/>
          <w:sz w:val="28"/>
          <w:szCs w:val="28"/>
        </w:rPr>
        <w:t>加</w:t>
      </w:r>
      <w:r>
        <w:rPr>
          <w:rFonts w:ascii="Times New Roman" w:eastAsia="仿宋"/>
          <w:sz w:val="28"/>
          <w:szCs w:val="28"/>
        </w:rPr>
        <w:t>强维护和厂区环境管理的前提下，正常工况下对地下水基本无渗漏，污染较小。</w:t>
      </w:r>
    </w:p>
    <w:p w14:paraId="19BDABE4">
      <w:pPr>
        <w:spacing w:line="500" w:lineRule="exact"/>
        <w:ind w:firstLine="560" w:firstLineChars="200"/>
        <w:rPr>
          <w:rFonts w:ascii="Times New Roman" w:eastAsia="仿宋"/>
          <w:sz w:val="28"/>
          <w:szCs w:val="28"/>
        </w:rPr>
      </w:pPr>
      <w:r>
        <w:rPr>
          <w:rFonts w:hint="eastAsia" w:ascii="Times New Roman" w:eastAsia="仿宋"/>
          <w:sz w:val="28"/>
          <w:szCs w:val="28"/>
        </w:rPr>
        <w:t>②</w:t>
      </w:r>
      <w:r>
        <w:rPr>
          <w:rFonts w:ascii="Times New Roman" w:eastAsia="仿宋"/>
          <w:sz w:val="28"/>
          <w:szCs w:val="28"/>
        </w:rPr>
        <w:t>地下水污染情景分析</w:t>
      </w:r>
    </w:p>
    <w:p w14:paraId="039090A5">
      <w:pPr>
        <w:spacing w:line="500" w:lineRule="exact"/>
        <w:ind w:firstLine="560" w:firstLineChars="200"/>
        <w:rPr>
          <w:rFonts w:ascii="Times New Roman" w:eastAsia="仿宋"/>
          <w:sz w:val="28"/>
          <w:szCs w:val="28"/>
        </w:rPr>
      </w:pPr>
      <w:r>
        <w:rPr>
          <w:rFonts w:ascii="Times New Roman" w:eastAsia="仿宋"/>
          <w:sz w:val="28"/>
          <w:szCs w:val="28"/>
        </w:rPr>
        <w:t>非正常状况以危废仓库地下水环境保护措施因系统老化、腐蚀等原因不能正常运行或保护效果达不到设计要求来预测对地下水的影响。本次选取预测因子COD</w:t>
      </w:r>
      <w:r>
        <w:rPr>
          <w:rFonts w:ascii="Times New Roman" w:eastAsia="仿宋"/>
          <w:sz w:val="28"/>
          <w:szCs w:val="28"/>
          <w:vertAlign w:val="subscript"/>
        </w:rPr>
        <w:t>Mn</w:t>
      </w:r>
      <w:r>
        <w:rPr>
          <w:rFonts w:ascii="Times New Roman" w:eastAsia="仿宋"/>
          <w:sz w:val="28"/>
          <w:szCs w:val="28"/>
        </w:rPr>
        <w:t>作为地下水预测因子。采用模拟预测时</w:t>
      </w:r>
      <w:r>
        <w:rPr>
          <w:rFonts w:hint="eastAsia" w:ascii="Times New Roman" w:eastAsia="仿宋"/>
          <w:sz w:val="28"/>
          <w:szCs w:val="28"/>
        </w:rPr>
        <w:t>喷淋塔</w:t>
      </w:r>
      <w:r>
        <w:rPr>
          <w:rFonts w:ascii="Times New Roman" w:eastAsia="仿宋"/>
          <w:sz w:val="28"/>
          <w:szCs w:val="28"/>
        </w:rPr>
        <w:t>废水COD</w:t>
      </w:r>
      <w:r>
        <w:rPr>
          <w:rFonts w:ascii="Times New Roman" w:eastAsia="仿宋"/>
          <w:sz w:val="28"/>
          <w:szCs w:val="28"/>
          <w:vertAlign w:val="subscript"/>
        </w:rPr>
        <w:t>Mn</w:t>
      </w:r>
      <w:r>
        <w:rPr>
          <w:rFonts w:ascii="Times New Roman" w:eastAsia="仿宋"/>
          <w:sz w:val="28"/>
          <w:szCs w:val="28"/>
        </w:rPr>
        <w:t>泄漏浓度为2000mg/L(多年数据积累表明高锰酸盐指数一般来说是COD的40%-50%)。</w:t>
      </w:r>
    </w:p>
    <w:p w14:paraId="0592DED1">
      <w:pPr>
        <w:spacing w:line="500" w:lineRule="exact"/>
        <w:ind w:firstLine="560" w:firstLineChars="200"/>
        <w:rPr>
          <w:rFonts w:ascii="Times New Roman" w:eastAsia="仿宋"/>
          <w:sz w:val="28"/>
          <w:szCs w:val="28"/>
        </w:rPr>
      </w:pPr>
      <w:r>
        <w:rPr>
          <w:rFonts w:hint="eastAsia" w:ascii="Times New Roman" w:eastAsia="仿宋"/>
          <w:sz w:val="28"/>
          <w:szCs w:val="28"/>
        </w:rPr>
        <w:t>③</w:t>
      </w:r>
      <w:r>
        <w:rPr>
          <w:rFonts w:ascii="Times New Roman" w:eastAsia="仿宋"/>
          <w:sz w:val="28"/>
          <w:szCs w:val="28"/>
        </w:rPr>
        <w:t>溶质运移解析模型</w:t>
      </w:r>
    </w:p>
    <w:p w14:paraId="65235A7E">
      <w:pPr>
        <w:spacing w:line="500" w:lineRule="exact"/>
        <w:ind w:firstLine="560" w:firstLineChars="200"/>
        <w:rPr>
          <w:rFonts w:ascii="Times New Roman" w:eastAsia="仿宋"/>
          <w:sz w:val="28"/>
          <w:szCs w:val="28"/>
        </w:rPr>
      </w:pPr>
      <w:r>
        <w:rPr>
          <w:rFonts w:ascii="Times New Roman" w:eastAsia="仿宋"/>
          <w:sz w:val="28"/>
          <w:szCs w:val="28"/>
        </w:rPr>
        <w:t>根据勘查结果，所在场地内各土层在垂直、水平方向上厚度埋深变化不大，总体各土层均匀性较好。厂区周边的潜水区与承压水区的水文地质条件较简单，可通过解析法预测地下水环境影响。正常情况下，厂区基本不产生地下水污染。主要预测非正常工况下，排污设备出现故障或处理池发生开裂等非正常工况时，废水将会发生渗漏，最坏情况是废水保持进水浓度持续排出，从而污染地下水。因此将污染源视为连续稳定释放的点源，通过对污染物源强的分析，筛选出具有代表性的COD</w:t>
      </w:r>
      <w:r>
        <w:rPr>
          <w:rFonts w:ascii="Times New Roman" w:eastAsia="仿宋"/>
          <w:sz w:val="28"/>
          <w:szCs w:val="28"/>
          <w:vertAlign w:val="subscript"/>
        </w:rPr>
        <w:t>Mn</w:t>
      </w:r>
      <w:r>
        <w:rPr>
          <w:rFonts w:ascii="Times New Roman" w:eastAsia="仿宋"/>
          <w:sz w:val="28"/>
          <w:szCs w:val="28"/>
        </w:rPr>
        <w:t>进行正向推算。分别计算100天、1000天、10年后的污染物达标扩散距离（最大迁移距离）。对污染物的厂区潜水环境影响预测采用《环境影响评价技术导则 地下水环境》（HJ610-2016）附录D推荐模式。</w:t>
      </w:r>
    </w:p>
    <w:p w14:paraId="12C40EB4">
      <w:pPr>
        <w:spacing w:line="500" w:lineRule="exact"/>
        <w:ind w:firstLine="560" w:firstLineChars="200"/>
        <w:rPr>
          <w:rFonts w:ascii="Times New Roman" w:eastAsia="仿宋"/>
          <w:sz w:val="28"/>
          <w:szCs w:val="28"/>
        </w:rPr>
      </w:pPr>
      <w:r>
        <w:rPr>
          <w:rFonts w:ascii="Times New Roman" w:eastAsia="仿宋"/>
          <w:sz w:val="28"/>
          <w:szCs w:val="28"/>
        </w:rPr>
        <w:t>3、终点浓度值</w:t>
      </w:r>
    </w:p>
    <w:p w14:paraId="3A51574A">
      <w:pPr>
        <w:spacing w:line="500" w:lineRule="exact"/>
        <w:ind w:firstLine="560" w:firstLineChars="200"/>
        <w:rPr>
          <w:rFonts w:ascii="Times New Roman" w:eastAsia="仿宋"/>
          <w:sz w:val="28"/>
          <w:szCs w:val="28"/>
        </w:rPr>
      </w:pPr>
      <w:r>
        <w:rPr>
          <w:rFonts w:ascii="Times New Roman" w:eastAsia="仿宋"/>
          <w:sz w:val="28"/>
          <w:szCs w:val="28"/>
        </w:rPr>
        <w:t>根据水文地质参数及污染源强，利用相应的地下水污染模型进行模拟，主要模拟在非正常状况下预测因子对地下水的影响状况，根据该地区地下水质量及现状，确定以各预测因子的地下水质量标准（GB/T14848-2017）中的I类标准为超标限值；以各预测因子的检测方法检出限作为影响限值；以预测因子的现状监测值作为背景值，在预测中进行叠加计算并预测影响。</w:t>
      </w:r>
    </w:p>
    <w:p w14:paraId="0D0AC922">
      <w:pPr>
        <w:spacing w:before="60" w:after="60"/>
        <w:jc w:val="center"/>
        <w:rPr>
          <w:rFonts w:ascii="Times New Roman" w:eastAsia="仿宋"/>
          <w:b/>
        </w:rPr>
      </w:pPr>
      <w:r>
        <w:rPr>
          <w:rFonts w:ascii="Times New Roman" w:eastAsia="仿宋"/>
          <w:b/>
        </w:rPr>
        <w:t>表</w:t>
      </w:r>
      <w:r>
        <w:rPr>
          <w:rFonts w:hint="eastAsia" w:ascii="Times New Roman" w:eastAsia="仿宋"/>
          <w:b/>
        </w:rPr>
        <w:t>5.3-3</w:t>
      </w:r>
      <w:r>
        <w:rPr>
          <w:rFonts w:ascii="Times New Roman" w:eastAsia="仿宋"/>
          <w:b/>
        </w:rPr>
        <w:t>4 超标及影响范围限值  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943"/>
        <w:gridCol w:w="2620"/>
        <w:gridCol w:w="1894"/>
        <w:gridCol w:w="1247"/>
      </w:tblGrid>
      <w:tr w14:paraId="27D3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0" w:type="pct"/>
            <w:vAlign w:val="center"/>
          </w:tcPr>
          <w:p w14:paraId="4C241C00">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序号</w:t>
            </w:r>
          </w:p>
        </w:tc>
        <w:tc>
          <w:tcPr>
            <w:tcW w:w="1140" w:type="pct"/>
            <w:vAlign w:val="center"/>
          </w:tcPr>
          <w:p w14:paraId="320575E7">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污染因子</w:t>
            </w:r>
          </w:p>
        </w:tc>
        <w:tc>
          <w:tcPr>
            <w:tcW w:w="1537" w:type="pct"/>
            <w:vAlign w:val="center"/>
          </w:tcPr>
          <w:p w14:paraId="32CE3B92">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受影响范围边界值</w:t>
            </w:r>
          </w:p>
        </w:tc>
        <w:tc>
          <w:tcPr>
            <w:tcW w:w="1111" w:type="pct"/>
            <w:vAlign w:val="center"/>
          </w:tcPr>
          <w:p w14:paraId="6C3C5D2F">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超标范围边界值</w:t>
            </w:r>
          </w:p>
        </w:tc>
        <w:tc>
          <w:tcPr>
            <w:tcW w:w="731" w:type="pct"/>
            <w:vAlign w:val="center"/>
          </w:tcPr>
          <w:p w14:paraId="79F5BCD1">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背景值</w:t>
            </w:r>
          </w:p>
        </w:tc>
      </w:tr>
      <w:tr w14:paraId="2BDF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0" w:type="pct"/>
            <w:vAlign w:val="center"/>
          </w:tcPr>
          <w:p w14:paraId="4816DB63">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1</w:t>
            </w:r>
          </w:p>
        </w:tc>
        <w:tc>
          <w:tcPr>
            <w:tcW w:w="1140" w:type="pct"/>
            <w:vAlign w:val="center"/>
          </w:tcPr>
          <w:p w14:paraId="27527243">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高锰酸盐指数</w:t>
            </w:r>
          </w:p>
        </w:tc>
        <w:tc>
          <w:tcPr>
            <w:tcW w:w="1537" w:type="pct"/>
            <w:vAlign w:val="center"/>
          </w:tcPr>
          <w:p w14:paraId="4874A2A7">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0.5</w:t>
            </w:r>
          </w:p>
        </w:tc>
        <w:tc>
          <w:tcPr>
            <w:tcW w:w="1111" w:type="pct"/>
            <w:vAlign w:val="center"/>
          </w:tcPr>
          <w:p w14:paraId="6D0F922E">
            <w:pPr>
              <w:pStyle w:val="492"/>
              <w:adjustRightInd w:val="0"/>
              <w:snapToGrid w:val="0"/>
              <w:spacing w:line="240" w:lineRule="auto"/>
              <w:rPr>
                <w:rFonts w:ascii="Times New Roman" w:hAnsi="仿宋" w:eastAsia="仿宋"/>
                <w:sz w:val="24"/>
                <w:lang w:val="zh-CN"/>
              </w:rPr>
            </w:pPr>
            <w:r>
              <w:rPr>
                <w:rFonts w:ascii="Times New Roman" w:hAnsi="仿宋" w:eastAsia="仿宋"/>
                <w:sz w:val="24"/>
                <w:lang w:val="zh-CN"/>
              </w:rPr>
              <w:t>3.0</w:t>
            </w:r>
          </w:p>
        </w:tc>
        <w:tc>
          <w:tcPr>
            <w:tcW w:w="731" w:type="pct"/>
            <w:vAlign w:val="center"/>
          </w:tcPr>
          <w:p w14:paraId="73787C87">
            <w:pPr>
              <w:pStyle w:val="492"/>
              <w:adjustRightInd w:val="0"/>
              <w:snapToGrid w:val="0"/>
              <w:spacing w:line="240" w:lineRule="auto"/>
              <w:rPr>
                <w:rFonts w:ascii="Times New Roman" w:hAnsi="仿宋" w:eastAsia="仿宋"/>
                <w:sz w:val="24"/>
              </w:rPr>
            </w:pPr>
            <w:r>
              <w:rPr>
                <w:rFonts w:hint="eastAsia" w:ascii="Times New Roman" w:hAnsi="仿宋" w:eastAsia="仿宋"/>
                <w:sz w:val="24"/>
              </w:rPr>
              <w:t>2.46</w:t>
            </w:r>
          </w:p>
        </w:tc>
      </w:tr>
    </w:tbl>
    <w:p w14:paraId="63F8987E">
      <w:pPr>
        <w:spacing w:line="500" w:lineRule="exact"/>
        <w:ind w:firstLine="560" w:firstLineChars="200"/>
        <w:rPr>
          <w:rFonts w:eastAsia="仿宋_GB2312"/>
          <w:sz w:val="28"/>
          <w:szCs w:val="28"/>
        </w:rPr>
      </w:pPr>
      <w:r>
        <w:rPr>
          <w:rFonts w:eastAsia="仿宋_GB2312"/>
          <w:sz w:val="28"/>
          <w:szCs w:val="28"/>
        </w:rPr>
        <w:t>4、预测结果</w:t>
      </w:r>
    </w:p>
    <w:p w14:paraId="663260BC">
      <w:pPr>
        <w:spacing w:line="500" w:lineRule="exact"/>
        <w:ind w:firstLine="560" w:firstLineChars="200"/>
        <w:rPr>
          <w:rFonts w:ascii="Times New Roman" w:eastAsia="仿宋"/>
          <w:sz w:val="28"/>
          <w:szCs w:val="28"/>
        </w:rPr>
      </w:pPr>
      <w:r>
        <w:rPr>
          <w:rFonts w:ascii="Times New Roman" w:eastAsia="仿宋"/>
          <w:sz w:val="28"/>
          <w:szCs w:val="28"/>
        </w:rPr>
        <w:t>在叠加本底值后，废</w:t>
      </w:r>
      <w:r>
        <w:rPr>
          <w:rFonts w:hint="eastAsia" w:ascii="Times New Roman" w:eastAsia="仿宋"/>
          <w:sz w:val="28"/>
          <w:szCs w:val="28"/>
        </w:rPr>
        <w:t>清洗液</w:t>
      </w:r>
      <w:r>
        <w:rPr>
          <w:rFonts w:ascii="Times New Roman" w:eastAsia="仿宋"/>
          <w:sz w:val="28"/>
          <w:szCs w:val="28"/>
        </w:rPr>
        <w:t>持续泄漏时，泄漏第100天时，超标距离最远为10m；泄漏第1000天时，超标距离最远为32m；泄漏10年后，超标距离最远为63m。</w:t>
      </w:r>
    </w:p>
    <w:p w14:paraId="16EC1049">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.3.6.3对大气环境的影响</w:t>
      </w:r>
    </w:p>
    <w:p w14:paraId="4FDAC345">
      <w:pPr>
        <w:spacing w:line="500" w:lineRule="exact"/>
        <w:ind w:firstLine="560" w:firstLineChars="200"/>
        <w:rPr>
          <w:rFonts w:ascii="Times New Roman" w:eastAsia="仿宋"/>
          <w:sz w:val="28"/>
          <w:szCs w:val="28"/>
        </w:rPr>
      </w:pPr>
      <w:r>
        <w:rPr>
          <w:rFonts w:ascii="Times New Roman" w:eastAsia="仿宋"/>
          <w:sz w:val="28"/>
          <w:szCs w:val="28"/>
        </w:rPr>
        <w:t>对大气环境的影响主要为危险物质泄漏、火灾事故等引发的伴生/次生污染物排放对大气环境造成影响。</w:t>
      </w:r>
    </w:p>
    <w:p w14:paraId="3E695AAD">
      <w:pPr>
        <w:spacing w:line="500" w:lineRule="exact"/>
        <w:ind w:firstLine="560" w:firstLineChars="200"/>
        <w:rPr>
          <w:rFonts w:ascii="Times New Roman" w:eastAsia="仿宋"/>
          <w:sz w:val="28"/>
          <w:szCs w:val="28"/>
        </w:rPr>
      </w:pPr>
      <w:r>
        <w:rPr>
          <w:rFonts w:ascii="Times New Roman" w:eastAsia="仿宋"/>
          <w:sz w:val="28"/>
          <w:szCs w:val="28"/>
        </w:rPr>
        <w:t>本项目涉及的涂料、清洗剂等有毒有害物质泄漏后挥发至大气环境中，或泄漏后遇明火等发生火灾事故，引起未燃烧完全或次生的CO排放至大气环境中，对大气环境造成影响，从而造成对厂外环境敏感点和人群的影响。</w:t>
      </w:r>
    </w:p>
    <w:p w14:paraId="3A7D563C">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.3.6.4对地表水环境的影响</w:t>
      </w:r>
    </w:p>
    <w:p w14:paraId="2FEBDC65">
      <w:pPr>
        <w:spacing w:line="500" w:lineRule="exact"/>
        <w:ind w:firstLine="560" w:firstLineChars="200"/>
        <w:rPr>
          <w:rFonts w:ascii="Times New Roman" w:eastAsia="仿宋"/>
          <w:sz w:val="28"/>
          <w:szCs w:val="28"/>
        </w:rPr>
      </w:pPr>
      <w:r>
        <w:rPr>
          <w:rFonts w:ascii="Times New Roman" w:eastAsia="仿宋"/>
          <w:sz w:val="28"/>
          <w:szCs w:val="28"/>
        </w:rPr>
        <w:t>公司落实雨污分流排水体制，设置了雨水、污水收集排放系统，雨水排放口设置截流阀。发生泄漏、火灾事故时，关闭排放口的截流阀，将事故废水截留在雨水收集系统内以待进一步处理，收集系统不能容纳泄漏物或伴生/次生污染物时，用提升泵将其打入厂区内事故应急池暂存，可防止事故伴生/次生的泄漏物、污水、消防水直接流入园区污水管网和雨水管网，进而进入周边地表水环境。</w:t>
      </w:r>
    </w:p>
    <w:p w14:paraId="4FC60546">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.3.6.5对地下水环境的影响</w:t>
      </w:r>
    </w:p>
    <w:p w14:paraId="7BAD487A">
      <w:pPr>
        <w:spacing w:line="500" w:lineRule="exact"/>
        <w:ind w:firstLine="560" w:firstLineChars="200"/>
        <w:rPr>
          <w:rFonts w:ascii="Times New Roman" w:eastAsia="仿宋"/>
          <w:sz w:val="28"/>
          <w:szCs w:val="28"/>
        </w:rPr>
      </w:pPr>
      <w:r>
        <w:rPr>
          <w:rFonts w:ascii="Times New Roman" w:eastAsia="仿宋"/>
          <w:sz w:val="28"/>
          <w:szCs w:val="28"/>
        </w:rPr>
        <w:t>事故情况下，若出现设施故障、危废堆场防渗层损坏开裂等现象，物料将对地下水造成点源污染，污染物可能下渗至孔隙潜水及承压层中，从而在含水层中运移。本项目风险潜势为Ⅰ，事故泄漏量较小，确保各项防渗措施得以落实、加强维护和厂区环境管理的前提下，对地下水影响较小。</w:t>
      </w:r>
    </w:p>
    <w:p w14:paraId="26D91EB1">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.3.6.6火灾爆炸事故危害分析</w:t>
      </w:r>
    </w:p>
    <w:p w14:paraId="62482001">
      <w:pPr>
        <w:snapToGrid w:val="0"/>
        <w:spacing w:line="500" w:lineRule="exact"/>
        <w:ind w:firstLine="560" w:firstLineChars="200"/>
        <w:rPr>
          <w:rFonts w:ascii="Times New Roman" w:eastAsia="仿宋"/>
          <w:sz w:val="28"/>
          <w:szCs w:val="28"/>
        </w:rPr>
      </w:pPr>
      <w:r>
        <w:rPr>
          <w:rFonts w:ascii="Times New Roman" w:eastAsia="仿宋"/>
          <w:sz w:val="28"/>
          <w:szCs w:val="28"/>
        </w:rPr>
        <w:t>发生火灾、爆炸也必须具备如下三个条件：一是爆炸性气体、液体蒸汽和空气混合后达到爆炸极限范围；二是场所内有足以激发混合物爆炸的能量；三是要有足够的助燃物。</w:t>
      </w:r>
    </w:p>
    <w:p w14:paraId="2008D5D9">
      <w:pPr>
        <w:snapToGrid w:val="0"/>
        <w:spacing w:line="500" w:lineRule="exact"/>
        <w:ind w:firstLine="560" w:firstLineChars="200"/>
        <w:rPr>
          <w:rFonts w:ascii="Times New Roman" w:eastAsia="仿宋"/>
          <w:sz w:val="28"/>
          <w:szCs w:val="28"/>
        </w:rPr>
      </w:pPr>
      <w:r>
        <w:rPr>
          <w:rFonts w:ascii="Times New Roman" w:eastAsia="仿宋"/>
          <w:sz w:val="28"/>
          <w:szCs w:val="28"/>
        </w:rPr>
        <w:t>火灾爆炸事故发生有如下几种类型：</w:t>
      </w:r>
    </w:p>
    <w:p w14:paraId="2B96C8C3">
      <w:pPr>
        <w:snapToGrid w:val="0"/>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 xml:space="preserve">立即起火：如果泄漏点处存在引火源，易燃气体从容器中往外泄出时即被点燃，发生扩散燃烧，产生喷射性火焰或形成火球，它能迅速地危及泄漏现场，但很少会影响到厂区的外部。 </w:t>
      </w:r>
    </w:p>
    <w:p w14:paraId="0D101D09">
      <w:pPr>
        <w:snapToGrid w:val="0"/>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滞后起火：如果泄漏点处无引火源，易燃气体泄出后与空气混合形成可燃蒸气云团，并随风飘移，遇火源发生爆炸或爆轰，能引起较大范围的破坏。</w:t>
      </w:r>
    </w:p>
    <w:p w14:paraId="3EC95830">
      <w:pPr>
        <w:snapToGrid w:val="0"/>
        <w:spacing w:line="500" w:lineRule="exact"/>
        <w:ind w:firstLine="560" w:firstLineChars="200"/>
        <w:rPr>
          <w:rFonts w:ascii="Times New Roman" w:eastAsia="仿宋"/>
          <w:sz w:val="28"/>
          <w:szCs w:val="28"/>
        </w:rPr>
      </w:pPr>
      <w:r>
        <w:rPr>
          <w:rFonts w:hint="eastAsia" w:ascii="Times New Roman" w:eastAsia="仿宋"/>
          <w:sz w:val="28"/>
          <w:szCs w:val="28"/>
        </w:rPr>
        <w:t>（3）</w:t>
      </w:r>
      <w:r>
        <w:rPr>
          <w:rFonts w:ascii="Times New Roman" w:eastAsia="仿宋"/>
          <w:sz w:val="28"/>
          <w:szCs w:val="28"/>
        </w:rPr>
        <w:t>常温常压下液体泄漏后聚集在防护堤内或地势低洼处形成液池，液体由于池表面风的对流而缓慢蒸发，若遇引火源就会发生池火灾。</w:t>
      </w:r>
    </w:p>
    <w:p w14:paraId="7612C883">
      <w:pPr>
        <w:snapToGrid w:val="0"/>
        <w:spacing w:line="500" w:lineRule="exact"/>
        <w:ind w:firstLine="560" w:firstLineChars="200"/>
        <w:rPr>
          <w:rFonts w:ascii="Times New Roman" w:eastAsia="仿宋"/>
          <w:sz w:val="28"/>
          <w:szCs w:val="28"/>
        </w:rPr>
      </w:pPr>
      <w:r>
        <w:rPr>
          <w:rFonts w:ascii="Times New Roman" w:eastAsia="仿宋"/>
          <w:sz w:val="28"/>
          <w:szCs w:val="28"/>
        </w:rPr>
        <w:t xml:space="preserve">本项目中有可能存在的点火源为： </w:t>
      </w:r>
    </w:p>
    <w:p w14:paraId="6469206C">
      <w:pPr>
        <w:snapToGrid w:val="0"/>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 xml:space="preserve">明火：如违章使用的明火、吸烟、打火机火种等； </w:t>
      </w:r>
    </w:p>
    <w:p w14:paraId="6A549CC7">
      <w:pPr>
        <w:snapToGrid w:val="0"/>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电气火花：非防爆型设备、仪表、照明、电气线路、开关、通风设备或其故障产生的火花；电气设备绝缘不良、安装不符合规程要求，发生短路、超负荷，接触电阻过大等产生的电气火花（甚至电气火灾）等；</w:t>
      </w:r>
    </w:p>
    <w:p w14:paraId="260BDDF3">
      <w:pPr>
        <w:snapToGrid w:val="0"/>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w:t>
      </w:r>
      <w:r>
        <w:rPr>
          <w:rFonts w:ascii="Times New Roman" w:eastAsia="仿宋"/>
          <w:sz w:val="28"/>
          <w:szCs w:val="28"/>
        </w:rPr>
        <w:t>静电火花；</w:t>
      </w:r>
    </w:p>
    <w:p w14:paraId="5E29959D">
      <w:pPr>
        <w:snapToGrid w:val="0"/>
        <w:spacing w:line="500" w:lineRule="exact"/>
        <w:ind w:firstLine="560" w:firstLineChars="200"/>
        <w:rPr>
          <w:rFonts w:ascii="Times New Roman" w:eastAsia="仿宋"/>
          <w:sz w:val="28"/>
          <w:szCs w:val="28"/>
        </w:rPr>
      </w:pPr>
      <w:r>
        <w:rPr>
          <w:rFonts w:hint="eastAsia" w:ascii="Times New Roman" w:eastAsia="仿宋"/>
          <w:sz w:val="28"/>
          <w:szCs w:val="28"/>
        </w:rPr>
        <w:t>（4）</w:t>
      </w:r>
      <w:r>
        <w:rPr>
          <w:rFonts w:ascii="Times New Roman" w:eastAsia="仿宋"/>
          <w:sz w:val="28"/>
          <w:szCs w:val="28"/>
        </w:rPr>
        <w:t>车辆火花：由于机动车辆未安装防火罩产生的火花；</w:t>
      </w:r>
    </w:p>
    <w:p w14:paraId="478674F6">
      <w:pPr>
        <w:snapToGrid w:val="0"/>
        <w:spacing w:line="500" w:lineRule="exact"/>
        <w:ind w:firstLine="560" w:firstLineChars="200"/>
        <w:rPr>
          <w:rFonts w:ascii="Times New Roman" w:eastAsia="仿宋"/>
          <w:sz w:val="28"/>
          <w:szCs w:val="28"/>
        </w:rPr>
      </w:pPr>
      <w:r>
        <w:rPr>
          <w:rFonts w:hint="eastAsia" w:ascii="Times New Roman" w:eastAsia="仿宋"/>
          <w:sz w:val="28"/>
          <w:szCs w:val="28"/>
        </w:rPr>
        <w:t>（5）</w:t>
      </w:r>
      <w:r>
        <w:rPr>
          <w:rFonts w:ascii="Times New Roman" w:eastAsia="仿宋"/>
          <w:sz w:val="28"/>
          <w:szCs w:val="28"/>
        </w:rPr>
        <w:t>工具火花：工具为易产生火花型，由于敲击而产生的火花；</w:t>
      </w:r>
    </w:p>
    <w:p w14:paraId="23081827">
      <w:pPr>
        <w:snapToGrid w:val="0"/>
        <w:spacing w:line="500" w:lineRule="exact"/>
        <w:ind w:firstLine="560" w:firstLineChars="200"/>
        <w:rPr>
          <w:rFonts w:ascii="Times New Roman" w:eastAsia="仿宋"/>
          <w:sz w:val="28"/>
          <w:szCs w:val="28"/>
        </w:rPr>
      </w:pPr>
      <w:r>
        <w:rPr>
          <w:rFonts w:hint="eastAsia" w:ascii="Times New Roman" w:eastAsia="仿宋"/>
          <w:sz w:val="28"/>
          <w:szCs w:val="28"/>
        </w:rPr>
        <w:t>（6）</w:t>
      </w:r>
      <w:r>
        <w:rPr>
          <w:rFonts w:ascii="Times New Roman" w:eastAsia="仿宋"/>
          <w:sz w:val="28"/>
          <w:szCs w:val="28"/>
        </w:rPr>
        <w:t>雷击；</w:t>
      </w:r>
    </w:p>
    <w:p w14:paraId="5CE6995F">
      <w:pPr>
        <w:snapToGrid w:val="0"/>
        <w:spacing w:line="500" w:lineRule="exact"/>
        <w:ind w:firstLine="560" w:firstLineChars="200"/>
        <w:rPr>
          <w:rFonts w:ascii="Times New Roman" w:eastAsia="仿宋"/>
          <w:sz w:val="28"/>
          <w:szCs w:val="28"/>
        </w:rPr>
      </w:pPr>
      <w:r>
        <w:rPr>
          <w:rFonts w:hint="eastAsia" w:ascii="Times New Roman" w:eastAsia="仿宋"/>
          <w:sz w:val="28"/>
          <w:szCs w:val="28"/>
        </w:rPr>
        <w:t>（7）</w:t>
      </w:r>
      <w:r>
        <w:rPr>
          <w:rFonts w:ascii="Times New Roman" w:eastAsia="仿宋"/>
          <w:sz w:val="28"/>
          <w:szCs w:val="28"/>
        </w:rPr>
        <w:t>外部散发进入的火种（如烟花爆竹、锅炉飞灰火星等）；</w:t>
      </w:r>
    </w:p>
    <w:p w14:paraId="4F1DA694">
      <w:pPr>
        <w:snapToGrid w:val="0"/>
        <w:spacing w:line="500" w:lineRule="exact"/>
        <w:ind w:firstLine="560" w:firstLineChars="200"/>
        <w:rPr>
          <w:rFonts w:ascii="Times New Roman" w:eastAsia="仿宋"/>
          <w:sz w:val="28"/>
          <w:szCs w:val="28"/>
        </w:rPr>
      </w:pPr>
      <w:r>
        <w:rPr>
          <w:rFonts w:ascii="Times New Roman" w:eastAsia="仿宋"/>
          <w:sz w:val="28"/>
          <w:szCs w:val="28"/>
        </w:rPr>
        <w:t>本项目有潜在易燃物料（如油漆、</w:t>
      </w:r>
      <w:r>
        <w:rPr>
          <w:rFonts w:hint="eastAsia" w:ascii="Times New Roman" w:eastAsia="仿宋"/>
          <w:sz w:val="28"/>
          <w:szCs w:val="28"/>
        </w:rPr>
        <w:t>二甲苯</w:t>
      </w:r>
      <w:r>
        <w:rPr>
          <w:rFonts w:ascii="Times New Roman" w:eastAsia="仿宋"/>
          <w:sz w:val="28"/>
          <w:szCs w:val="28"/>
        </w:rPr>
        <w:t>）泄漏的可能，如果点火源与物料泄漏同时存在，就势必会发生火灾爆炸事故的发生。本项目</w:t>
      </w:r>
      <w:r>
        <w:rPr>
          <w:rFonts w:hint="eastAsia" w:ascii="Times New Roman" w:eastAsia="仿宋"/>
          <w:sz w:val="28"/>
          <w:szCs w:val="28"/>
        </w:rPr>
        <w:t>塑粉</w:t>
      </w:r>
      <w:r>
        <w:rPr>
          <w:rFonts w:ascii="Times New Roman" w:eastAsia="仿宋"/>
          <w:sz w:val="28"/>
          <w:szCs w:val="28"/>
        </w:rPr>
        <w:t>易燃，因此，本项目必须采取各种管理、技术、安全防范措施，禁止一切火种产生，防止生产过程中易燃物料的泄漏，以防止火灾爆炸发生必要条件的产生。</w:t>
      </w:r>
    </w:p>
    <w:p w14:paraId="2568DEE7">
      <w:pPr>
        <w:pStyle w:val="7"/>
        <w:keepLines w:val="0"/>
        <w:widowControl/>
        <w:adjustRightInd w:val="0"/>
        <w:snapToGrid w:val="0"/>
        <w:spacing w:after="120" w:afterLines="50"/>
        <w:jc w:val="left"/>
        <w:rPr>
          <w:rFonts w:ascii="Times New Roman" w:hAnsi="Times New Roman" w:eastAsia="仿宋"/>
          <w:b/>
        </w:rPr>
      </w:pPr>
      <w:r>
        <w:rPr>
          <w:rFonts w:hint="eastAsia" w:ascii="Times New Roman" w:hAnsi="Times New Roman" w:eastAsia="仿宋"/>
          <w:b/>
        </w:rPr>
        <w:t>5</w:t>
      </w:r>
      <w:r>
        <w:rPr>
          <w:rFonts w:ascii="Times New Roman" w:hAnsi="Times New Roman" w:eastAsia="仿宋"/>
          <w:b/>
        </w:rPr>
        <w:t>.3.6.7事故应急池</w:t>
      </w:r>
      <w:r>
        <w:rPr>
          <w:rFonts w:hint="eastAsia" w:ascii="Times New Roman" w:hAnsi="Times New Roman" w:eastAsia="仿宋"/>
          <w:b/>
        </w:rPr>
        <w:t>容积</w:t>
      </w:r>
      <w:r>
        <w:rPr>
          <w:rFonts w:ascii="Times New Roman" w:hAnsi="Times New Roman" w:eastAsia="仿宋"/>
          <w:b/>
        </w:rPr>
        <w:t>计算</w:t>
      </w:r>
    </w:p>
    <w:p w14:paraId="63D6CABA">
      <w:pPr>
        <w:snapToGrid w:val="0"/>
        <w:spacing w:line="500" w:lineRule="exact"/>
        <w:ind w:firstLine="560" w:firstLineChars="200"/>
        <w:rPr>
          <w:rFonts w:ascii="Times New Roman" w:eastAsia="仿宋"/>
          <w:sz w:val="28"/>
          <w:szCs w:val="28"/>
        </w:rPr>
      </w:pPr>
      <w:r>
        <w:rPr>
          <w:rFonts w:ascii="Times New Roman" w:eastAsia="仿宋"/>
          <w:sz w:val="28"/>
          <w:szCs w:val="21"/>
        </w:rPr>
        <w:t>根据突发环境事件应急预案结论，事故应急池总有效容积计算公式如下：</w:t>
      </w:r>
    </w:p>
    <w:p w14:paraId="4F187F90">
      <w:pPr>
        <w:spacing w:line="500" w:lineRule="exact"/>
        <w:ind w:firstLine="560" w:firstLineChars="200"/>
        <w:jc w:val="center"/>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总</w:t>
      </w:r>
      <w:r>
        <w:rPr>
          <w:rFonts w:ascii="Times New Roman" w:eastAsia="仿宋"/>
          <w:sz w:val="28"/>
          <w:szCs w:val="28"/>
        </w:rPr>
        <w:t>=(V</w:t>
      </w:r>
      <w:r>
        <w:rPr>
          <w:rFonts w:ascii="Times New Roman" w:eastAsia="仿宋"/>
          <w:sz w:val="28"/>
          <w:szCs w:val="28"/>
          <w:vertAlign w:val="subscript"/>
        </w:rPr>
        <w:t>1</w:t>
      </w:r>
      <w:r>
        <w:rPr>
          <w:rFonts w:ascii="Times New Roman" w:eastAsia="仿宋"/>
          <w:sz w:val="28"/>
          <w:szCs w:val="28"/>
        </w:rPr>
        <w:t>+V</w:t>
      </w:r>
      <w:r>
        <w:rPr>
          <w:rFonts w:ascii="Times New Roman" w:eastAsia="仿宋"/>
          <w:sz w:val="28"/>
          <w:szCs w:val="28"/>
          <w:vertAlign w:val="subscript"/>
        </w:rPr>
        <w:t>2</w:t>
      </w:r>
      <w:r>
        <w:rPr>
          <w:rFonts w:ascii="Times New Roman" w:eastAsia="仿宋"/>
          <w:sz w:val="28"/>
          <w:szCs w:val="28"/>
        </w:rPr>
        <w:t>-V</w:t>
      </w:r>
      <w:r>
        <w:rPr>
          <w:rFonts w:ascii="Times New Roman" w:eastAsia="仿宋"/>
          <w:sz w:val="28"/>
          <w:szCs w:val="28"/>
          <w:vertAlign w:val="subscript"/>
        </w:rPr>
        <w:t>3</w:t>
      </w:r>
      <w:r>
        <w:rPr>
          <w:rFonts w:ascii="Times New Roman" w:eastAsia="仿宋"/>
          <w:sz w:val="28"/>
          <w:szCs w:val="28"/>
        </w:rPr>
        <w:t>)+V</w:t>
      </w:r>
      <w:r>
        <w:rPr>
          <w:rFonts w:ascii="Times New Roman" w:eastAsia="仿宋"/>
          <w:sz w:val="28"/>
          <w:szCs w:val="28"/>
          <w:vertAlign w:val="subscript"/>
        </w:rPr>
        <w:t>4</w:t>
      </w:r>
      <w:r>
        <w:rPr>
          <w:rFonts w:ascii="Times New Roman" w:eastAsia="仿宋"/>
          <w:sz w:val="28"/>
          <w:szCs w:val="28"/>
        </w:rPr>
        <w:t>+V</w:t>
      </w:r>
      <w:r>
        <w:rPr>
          <w:rFonts w:ascii="Times New Roman" w:eastAsia="仿宋"/>
          <w:sz w:val="28"/>
          <w:szCs w:val="28"/>
          <w:vertAlign w:val="subscript"/>
        </w:rPr>
        <w:t>5</w:t>
      </w:r>
    </w:p>
    <w:p w14:paraId="695C8E2A">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1</w:t>
      </w:r>
      <w:r>
        <w:rPr>
          <w:rFonts w:ascii="Times New Roman" w:eastAsia="仿宋"/>
          <w:sz w:val="28"/>
          <w:szCs w:val="28"/>
        </w:rPr>
        <w:t>：事故一个罐或一个物料装置</w:t>
      </w:r>
    </w:p>
    <w:p w14:paraId="672D431A">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2</w:t>
      </w:r>
      <w:r>
        <w:rPr>
          <w:rFonts w:ascii="Times New Roman" w:eastAsia="仿宋"/>
          <w:sz w:val="28"/>
          <w:szCs w:val="28"/>
        </w:rPr>
        <w:t>：事故的储罐或消防水量</w:t>
      </w:r>
    </w:p>
    <w:p w14:paraId="0E6B395C">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3</w:t>
      </w:r>
      <w:r>
        <w:rPr>
          <w:rFonts w:ascii="Times New Roman" w:eastAsia="仿宋"/>
          <w:sz w:val="28"/>
          <w:szCs w:val="28"/>
        </w:rPr>
        <w:t>：事故时可以转输到其它储存或处理设施的物料量</w:t>
      </w:r>
    </w:p>
    <w:p w14:paraId="17739A61">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4</w:t>
      </w:r>
      <w:r>
        <w:rPr>
          <w:rFonts w:ascii="Times New Roman" w:eastAsia="仿宋"/>
          <w:sz w:val="28"/>
          <w:szCs w:val="28"/>
        </w:rPr>
        <w:t>：发生事故时必须进入该收集系统的生产废水量</w:t>
      </w:r>
    </w:p>
    <w:p w14:paraId="2ECF46E2">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5</w:t>
      </w:r>
      <w:r>
        <w:rPr>
          <w:rFonts w:ascii="Times New Roman" w:eastAsia="仿宋"/>
          <w:sz w:val="28"/>
          <w:szCs w:val="28"/>
        </w:rPr>
        <w:t>：发生事故时可能进入该收集系统的降雨量</w:t>
      </w:r>
    </w:p>
    <w:p w14:paraId="4D5FF9CD">
      <w:pPr>
        <w:spacing w:line="500" w:lineRule="exact"/>
        <w:ind w:firstLine="560" w:firstLineChars="200"/>
        <w:rPr>
          <w:rFonts w:ascii="Times New Roman" w:eastAsia="仿宋"/>
          <w:sz w:val="28"/>
          <w:szCs w:val="28"/>
        </w:rPr>
      </w:pPr>
      <w:r>
        <w:rPr>
          <w:rFonts w:ascii="Times New Roman" w:eastAsia="仿宋"/>
          <w:sz w:val="28"/>
          <w:szCs w:val="28"/>
        </w:rPr>
        <w:t>事故应急池具体容积大小计算如下：</w:t>
      </w:r>
    </w:p>
    <w:p w14:paraId="1E378552">
      <w:pPr>
        <w:snapToGrid w:val="0"/>
        <w:spacing w:line="500" w:lineRule="exact"/>
        <w:ind w:firstLine="560" w:firstLineChars="200"/>
        <w:rPr>
          <w:rFonts w:ascii="Times New Roman" w:eastAsia="仿宋"/>
          <w:sz w:val="28"/>
          <w:szCs w:val="28"/>
        </w:rPr>
      </w:pPr>
      <w:r>
        <w:rPr>
          <w:rFonts w:ascii="Times New Roman" w:eastAsia="仿宋"/>
          <w:sz w:val="28"/>
          <w:szCs w:val="28"/>
        </w:rPr>
        <w:t>V1：厂区内</w:t>
      </w:r>
      <w:r>
        <w:rPr>
          <w:rFonts w:hint="eastAsia" w:ascii="Times New Roman" w:eastAsia="仿宋"/>
          <w:sz w:val="28"/>
          <w:szCs w:val="28"/>
        </w:rPr>
        <w:t>脱脂剂用吨桶进行存储</w:t>
      </w:r>
      <w:r>
        <w:rPr>
          <w:rFonts w:ascii="Times New Roman" w:eastAsia="仿宋"/>
          <w:sz w:val="28"/>
          <w:szCs w:val="28"/>
        </w:rPr>
        <w:t>，则V1=1m</w:t>
      </w:r>
      <w:r>
        <w:rPr>
          <w:rFonts w:ascii="Times New Roman" w:eastAsia="仿宋"/>
          <w:sz w:val="28"/>
          <w:szCs w:val="28"/>
          <w:vertAlign w:val="superscript"/>
        </w:rPr>
        <w:t>3</w:t>
      </w:r>
      <w:r>
        <w:rPr>
          <w:rFonts w:ascii="Times New Roman" w:eastAsia="仿宋"/>
          <w:sz w:val="28"/>
          <w:szCs w:val="28"/>
        </w:rPr>
        <w:t>。</w:t>
      </w:r>
    </w:p>
    <w:p w14:paraId="01059668">
      <w:pPr>
        <w:snapToGrid w:val="0"/>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2</w:t>
      </w:r>
      <w:r>
        <w:rPr>
          <w:rFonts w:ascii="Times New Roman" w:eastAsia="仿宋"/>
          <w:sz w:val="28"/>
          <w:szCs w:val="28"/>
        </w:rPr>
        <w:t>：根据《消防给水及消火栓系统技术规范》（GB50974-2014），项目同一时间内的火灾起数按1起计，根据《消防给水及消火栓系统技术规范》（GB50974-2014），室内消防用水量为20L/S，火灾持续时间为</w:t>
      </w:r>
      <w:r>
        <w:rPr>
          <w:rFonts w:hint="eastAsia" w:ascii="Times New Roman" w:eastAsia="仿宋"/>
          <w:sz w:val="28"/>
          <w:szCs w:val="28"/>
        </w:rPr>
        <w:t>0.5</w:t>
      </w:r>
      <w:r>
        <w:rPr>
          <w:rFonts w:ascii="Times New Roman" w:eastAsia="仿宋"/>
          <w:sz w:val="28"/>
          <w:szCs w:val="28"/>
        </w:rPr>
        <w:t>h，则室内消防用水量为</w:t>
      </w:r>
      <w:r>
        <w:rPr>
          <w:rFonts w:hint="eastAsia" w:ascii="Times New Roman" w:eastAsia="仿宋"/>
          <w:sz w:val="28"/>
          <w:szCs w:val="28"/>
        </w:rPr>
        <w:t>36</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；室外消防用水量为30L/S，火灾持续时间为</w:t>
      </w:r>
      <w:r>
        <w:rPr>
          <w:rFonts w:hint="eastAsia" w:ascii="Times New Roman" w:eastAsia="仿宋"/>
          <w:sz w:val="28"/>
          <w:szCs w:val="28"/>
        </w:rPr>
        <w:t>0.5</w:t>
      </w:r>
      <w:r>
        <w:rPr>
          <w:rFonts w:ascii="Times New Roman" w:eastAsia="仿宋"/>
          <w:sz w:val="28"/>
          <w:szCs w:val="28"/>
        </w:rPr>
        <w:t>h，则室内消防用水量为</w:t>
      </w:r>
      <w:r>
        <w:rPr>
          <w:rFonts w:hint="eastAsia" w:ascii="Times New Roman" w:eastAsia="仿宋"/>
          <w:sz w:val="28"/>
          <w:szCs w:val="28"/>
        </w:rPr>
        <w:t>54</w:t>
      </w:r>
      <w:r>
        <w:rPr>
          <w:rFonts w:ascii="Times New Roman" w:eastAsia="仿宋"/>
          <w:sz w:val="28"/>
          <w:szCs w:val="28"/>
        </w:rPr>
        <w:t>m</w:t>
      </w:r>
      <w:r>
        <w:rPr>
          <w:rFonts w:ascii="Times New Roman" w:eastAsia="仿宋"/>
          <w:sz w:val="28"/>
          <w:szCs w:val="28"/>
          <w:vertAlign w:val="superscript"/>
        </w:rPr>
        <w:t>3</w:t>
      </w:r>
      <w:r>
        <w:rPr>
          <w:rFonts w:hint="eastAsia" w:ascii="Times New Roman" w:eastAsia="仿宋"/>
          <w:sz w:val="28"/>
          <w:szCs w:val="28"/>
        </w:rPr>
        <w:t>，</w:t>
      </w:r>
      <w:r>
        <w:rPr>
          <w:rFonts w:ascii="Times New Roman" w:eastAsia="仿宋"/>
          <w:sz w:val="28"/>
          <w:szCs w:val="28"/>
        </w:rPr>
        <w:t>故最大消防水量V</w:t>
      </w:r>
      <w:r>
        <w:rPr>
          <w:rFonts w:ascii="Times New Roman" w:eastAsia="仿宋"/>
          <w:sz w:val="28"/>
          <w:szCs w:val="28"/>
          <w:vertAlign w:val="subscript"/>
        </w:rPr>
        <w:t>2</w:t>
      </w:r>
      <w:r>
        <w:rPr>
          <w:rFonts w:ascii="Times New Roman" w:eastAsia="仿宋"/>
          <w:sz w:val="28"/>
          <w:szCs w:val="28"/>
        </w:rPr>
        <w:t>=</w:t>
      </w:r>
      <w:r>
        <w:rPr>
          <w:rFonts w:hint="eastAsia" w:ascii="Times New Roman" w:eastAsia="仿宋"/>
          <w:sz w:val="28"/>
          <w:szCs w:val="28"/>
        </w:rPr>
        <w:t>90</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w:t>
      </w:r>
    </w:p>
    <w:p w14:paraId="4042E75A">
      <w:pPr>
        <w:snapToGrid w:val="0"/>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3</w:t>
      </w:r>
      <w:r>
        <w:rPr>
          <w:rFonts w:ascii="Times New Roman" w:eastAsia="仿宋"/>
          <w:sz w:val="28"/>
          <w:szCs w:val="28"/>
        </w:rPr>
        <w:t>：</w:t>
      </w:r>
      <w:r>
        <w:rPr>
          <w:rFonts w:hint="eastAsia" w:ascii="Times New Roman" w:eastAsia="仿宋"/>
          <w:sz w:val="28"/>
          <w:szCs w:val="28"/>
          <w:lang w:eastAsia="ja-JP"/>
        </w:rPr>
        <w:t>事故时可以转输到其它储存或者处理设施的物料量，</w:t>
      </w:r>
      <w:r>
        <w:rPr>
          <w:rFonts w:ascii="Times New Roman" w:eastAsia="仿宋"/>
          <w:sz w:val="28"/>
          <w:szCs w:val="28"/>
          <w:lang w:eastAsia="ja-JP"/>
        </w:rPr>
        <w:t>m</w:t>
      </w:r>
      <w:r>
        <w:rPr>
          <w:rFonts w:ascii="Times New Roman" w:eastAsia="仿宋"/>
          <w:sz w:val="28"/>
          <w:szCs w:val="28"/>
          <w:vertAlign w:val="superscript"/>
          <w:lang w:eastAsia="ja-JP"/>
        </w:rPr>
        <w:t>3</w:t>
      </w:r>
      <w:r>
        <w:rPr>
          <w:rFonts w:hint="eastAsia" w:ascii="Times New Roman" w:eastAsia="仿宋"/>
          <w:sz w:val="28"/>
          <w:szCs w:val="28"/>
          <w:lang w:eastAsia="ja-JP"/>
        </w:rPr>
        <w:t>；雨水管网可以容纳一部分废水，雨水管网总容积：</w:t>
      </w:r>
      <w:r>
        <w:rPr>
          <w:rFonts w:ascii="Times New Roman" w:eastAsia="仿宋"/>
          <w:sz w:val="28"/>
          <w:szCs w:val="28"/>
          <w:lang w:eastAsia="ja-JP"/>
        </w:rPr>
        <w:t>V</w:t>
      </w:r>
      <w:r>
        <w:rPr>
          <w:rFonts w:ascii="Times New Roman" w:eastAsia="仿宋"/>
          <w:sz w:val="28"/>
          <w:szCs w:val="28"/>
          <w:vertAlign w:val="subscript"/>
          <w:lang w:eastAsia="ja-JP"/>
        </w:rPr>
        <w:t>3</w:t>
      </w:r>
      <w:r>
        <w:rPr>
          <w:rFonts w:ascii="Times New Roman" w:eastAsia="仿宋"/>
          <w:sz w:val="28"/>
          <w:szCs w:val="28"/>
          <w:lang w:eastAsia="ja-JP"/>
        </w:rPr>
        <w:t>=</w:t>
      </w:r>
      <w:r>
        <w:rPr>
          <w:rFonts w:hint="eastAsia" w:ascii="Times New Roman" w:eastAsia="仿宋"/>
          <w:sz w:val="28"/>
          <w:szCs w:val="28"/>
        </w:rPr>
        <w:t>48</w:t>
      </w:r>
      <w:r>
        <w:rPr>
          <w:rFonts w:ascii="Times New Roman" w:eastAsia="仿宋"/>
          <w:sz w:val="28"/>
          <w:szCs w:val="28"/>
          <w:lang w:eastAsia="ja-JP"/>
        </w:rPr>
        <w:t>m</w:t>
      </w:r>
      <w:r>
        <w:rPr>
          <w:rFonts w:ascii="Times New Roman" w:eastAsia="仿宋"/>
          <w:sz w:val="28"/>
          <w:szCs w:val="28"/>
          <w:vertAlign w:val="superscript"/>
          <w:lang w:eastAsia="ja-JP"/>
        </w:rPr>
        <w:t>3</w:t>
      </w:r>
      <w:r>
        <w:rPr>
          <w:rFonts w:hint="eastAsia" w:ascii="Times New Roman" w:eastAsia="仿宋"/>
          <w:sz w:val="28"/>
          <w:szCs w:val="28"/>
        </w:rPr>
        <w:t>（π*0.1</w:t>
      </w:r>
      <w:r>
        <w:rPr>
          <w:rFonts w:hint="eastAsia" w:ascii="Times New Roman" w:eastAsia="仿宋"/>
          <w:sz w:val="28"/>
          <w:szCs w:val="28"/>
          <w:vertAlign w:val="superscript"/>
        </w:rPr>
        <w:t>2</w:t>
      </w:r>
      <w:r>
        <w:rPr>
          <w:rFonts w:hint="eastAsia" w:ascii="Times New Roman" w:eastAsia="仿宋"/>
          <w:sz w:val="28"/>
          <w:szCs w:val="28"/>
        </w:rPr>
        <w:t>*550*80%+π*0.2</w:t>
      </w:r>
      <w:r>
        <w:rPr>
          <w:rFonts w:hint="eastAsia" w:ascii="Times New Roman" w:eastAsia="仿宋"/>
          <w:sz w:val="28"/>
          <w:szCs w:val="28"/>
          <w:vertAlign w:val="superscript"/>
        </w:rPr>
        <w:t>2</w:t>
      </w:r>
      <w:r>
        <w:rPr>
          <w:rFonts w:hint="eastAsia" w:ascii="Times New Roman" w:eastAsia="仿宋"/>
          <w:sz w:val="28"/>
          <w:szCs w:val="28"/>
        </w:rPr>
        <w:t>*350*80%）</w:t>
      </w:r>
      <w:r>
        <w:rPr>
          <w:rFonts w:ascii="Times New Roman" w:eastAsia="仿宋"/>
          <w:sz w:val="28"/>
          <w:szCs w:val="28"/>
          <w:lang w:eastAsia="ja-JP"/>
        </w:rPr>
        <w:t>。</w:t>
      </w:r>
    </w:p>
    <w:p w14:paraId="5EC763E3">
      <w:pPr>
        <w:snapToGrid w:val="0"/>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4</w:t>
      </w:r>
      <w:r>
        <w:rPr>
          <w:rFonts w:ascii="Times New Roman" w:eastAsia="仿宋"/>
          <w:sz w:val="28"/>
          <w:szCs w:val="28"/>
        </w:rPr>
        <w:t>：发生事故时无生产废水量进入该系统，故V</w:t>
      </w:r>
      <w:r>
        <w:rPr>
          <w:rFonts w:ascii="Times New Roman" w:eastAsia="仿宋"/>
          <w:sz w:val="28"/>
          <w:szCs w:val="28"/>
          <w:vertAlign w:val="subscript"/>
        </w:rPr>
        <w:t>4</w:t>
      </w:r>
      <w:r>
        <w:rPr>
          <w:rFonts w:ascii="Times New Roman" w:eastAsia="仿宋"/>
          <w:sz w:val="28"/>
          <w:szCs w:val="28"/>
        </w:rPr>
        <w:t>=0m</w:t>
      </w:r>
      <w:r>
        <w:rPr>
          <w:rFonts w:ascii="Times New Roman" w:eastAsia="仿宋"/>
          <w:sz w:val="28"/>
          <w:szCs w:val="28"/>
          <w:vertAlign w:val="superscript"/>
        </w:rPr>
        <w:t>3</w:t>
      </w:r>
      <w:r>
        <w:rPr>
          <w:rFonts w:ascii="Times New Roman" w:eastAsia="仿宋"/>
          <w:sz w:val="28"/>
          <w:szCs w:val="28"/>
        </w:rPr>
        <w:t>。</w:t>
      </w:r>
    </w:p>
    <w:p w14:paraId="501E8DD8">
      <w:pPr>
        <w:snapToGrid w:val="0"/>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5</w:t>
      </w:r>
      <w:r>
        <w:rPr>
          <w:rFonts w:ascii="Times New Roman" w:eastAsia="仿宋"/>
          <w:sz w:val="28"/>
          <w:szCs w:val="28"/>
        </w:rPr>
        <w:t>：常州平均降雨量1246.7mm；多年平均降雨天数126天，平均日降雨量q＝8.52mm，事故状态下全厂汇水面积约</w:t>
      </w:r>
      <w:r>
        <w:rPr>
          <w:rFonts w:hint="eastAsia" w:ascii="Times New Roman" w:eastAsia="仿宋"/>
          <w:sz w:val="28"/>
          <w:szCs w:val="28"/>
        </w:rPr>
        <w:t>1</w:t>
      </w:r>
      <w:r>
        <w:rPr>
          <w:rFonts w:ascii="Times New Roman" w:eastAsia="仿宋"/>
          <w:sz w:val="28"/>
          <w:szCs w:val="28"/>
        </w:rPr>
        <w:t>500m</w:t>
      </w:r>
      <w:r>
        <w:rPr>
          <w:rFonts w:ascii="Times New Roman" w:eastAsia="仿宋"/>
          <w:sz w:val="28"/>
          <w:szCs w:val="28"/>
          <w:vertAlign w:val="superscript"/>
        </w:rPr>
        <w:t>2</w:t>
      </w:r>
      <w:r>
        <w:rPr>
          <w:rFonts w:ascii="Times New Roman" w:eastAsia="仿宋"/>
          <w:sz w:val="28"/>
          <w:szCs w:val="28"/>
        </w:rPr>
        <w:t>，通过下式计算V</w:t>
      </w:r>
      <w:r>
        <w:rPr>
          <w:rFonts w:ascii="Times New Roman" w:eastAsia="仿宋"/>
          <w:sz w:val="28"/>
          <w:szCs w:val="28"/>
          <w:vertAlign w:val="subscript"/>
        </w:rPr>
        <w:t>5</w:t>
      </w:r>
      <w:r>
        <w:rPr>
          <w:rFonts w:ascii="Times New Roman" w:eastAsia="仿宋"/>
          <w:sz w:val="28"/>
          <w:szCs w:val="28"/>
        </w:rPr>
        <w:t>＝</w:t>
      </w:r>
      <w:r>
        <w:rPr>
          <w:rFonts w:hint="eastAsia" w:ascii="Times New Roman" w:eastAsia="仿宋"/>
          <w:sz w:val="28"/>
          <w:szCs w:val="28"/>
        </w:rPr>
        <w:t>12.78</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w:t>
      </w:r>
    </w:p>
    <w:p w14:paraId="3ECC3F43">
      <w:pPr>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5</w:t>
      </w:r>
      <w:r>
        <w:rPr>
          <w:rFonts w:ascii="Times New Roman" w:eastAsia="仿宋"/>
          <w:sz w:val="28"/>
          <w:szCs w:val="28"/>
        </w:rPr>
        <w:t>＝10qF</w:t>
      </w:r>
    </w:p>
    <w:p w14:paraId="06368AAA">
      <w:pPr>
        <w:spacing w:line="500" w:lineRule="exact"/>
        <w:ind w:firstLine="560" w:firstLineChars="200"/>
        <w:rPr>
          <w:rFonts w:ascii="Times New Roman" w:eastAsia="仿宋"/>
          <w:sz w:val="28"/>
          <w:szCs w:val="28"/>
        </w:rPr>
      </w:pPr>
      <w:r>
        <w:rPr>
          <w:rFonts w:ascii="Times New Roman" w:eastAsia="仿宋"/>
          <w:sz w:val="28"/>
          <w:szCs w:val="28"/>
        </w:rPr>
        <w:t>q——降雨强度，mm；</w:t>
      </w:r>
    </w:p>
    <w:p w14:paraId="7F273269">
      <w:pPr>
        <w:spacing w:line="500" w:lineRule="exact"/>
        <w:ind w:firstLine="560" w:firstLineChars="200"/>
        <w:rPr>
          <w:rFonts w:ascii="Times New Roman" w:eastAsia="仿宋"/>
          <w:sz w:val="28"/>
          <w:szCs w:val="28"/>
        </w:rPr>
      </w:pPr>
      <w:r>
        <w:rPr>
          <w:rFonts w:ascii="Times New Roman" w:eastAsia="仿宋"/>
          <w:sz w:val="28"/>
          <w:szCs w:val="28"/>
        </w:rPr>
        <w:t>F——必须进入事故废水收集系统的雨水汇水面积，ha。</w:t>
      </w:r>
    </w:p>
    <w:p w14:paraId="74CA4E3E">
      <w:pPr>
        <w:spacing w:line="500" w:lineRule="exact"/>
        <w:ind w:firstLine="560" w:firstLineChars="200"/>
        <w:rPr>
          <w:rFonts w:ascii="Times New Roman" w:eastAsia="仿宋"/>
          <w:sz w:val="28"/>
          <w:szCs w:val="28"/>
        </w:rPr>
      </w:pPr>
      <w:r>
        <w:rPr>
          <w:rFonts w:ascii="Times New Roman" w:eastAsia="仿宋"/>
          <w:sz w:val="28"/>
          <w:szCs w:val="28"/>
        </w:rPr>
        <w:t>事故池容量</w:t>
      </w:r>
    </w:p>
    <w:p w14:paraId="2A1E31CC">
      <w:pPr>
        <w:snapToGrid w:val="0"/>
        <w:spacing w:line="500" w:lineRule="exact"/>
        <w:ind w:firstLine="560" w:firstLineChars="200"/>
        <w:rPr>
          <w:rFonts w:ascii="Times New Roman" w:eastAsia="仿宋"/>
          <w:sz w:val="28"/>
          <w:szCs w:val="28"/>
        </w:rPr>
      </w:pPr>
      <w:r>
        <w:rPr>
          <w:rFonts w:ascii="Times New Roman" w:eastAsia="仿宋"/>
          <w:sz w:val="28"/>
          <w:szCs w:val="28"/>
        </w:rPr>
        <w:t>V</w:t>
      </w:r>
      <w:r>
        <w:rPr>
          <w:rFonts w:ascii="Times New Roman" w:eastAsia="仿宋"/>
          <w:sz w:val="28"/>
          <w:szCs w:val="28"/>
          <w:vertAlign w:val="subscript"/>
        </w:rPr>
        <w:t>总</w:t>
      </w:r>
      <w:r>
        <w:rPr>
          <w:rFonts w:ascii="Times New Roman" w:eastAsia="仿宋"/>
          <w:sz w:val="28"/>
          <w:szCs w:val="28"/>
        </w:rPr>
        <w:t>=(V</w:t>
      </w:r>
      <w:r>
        <w:rPr>
          <w:rFonts w:ascii="Times New Roman" w:eastAsia="仿宋"/>
          <w:sz w:val="28"/>
          <w:szCs w:val="28"/>
          <w:vertAlign w:val="subscript"/>
        </w:rPr>
        <w:t>1</w:t>
      </w:r>
      <w:r>
        <w:rPr>
          <w:rFonts w:ascii="Times New Roman" w:eastAsia="仿宋"/>
          <w:sz w:val="28"/>
          <w:szCs w:val="28"/>
        </w:rPr>
        <w:t>+V</w:t>
      </w:r>
      <w:r>
        <w:rPr>
          <w:rFonts w:ascii="Times New Roman" w:eastAsia="仿宋"/>
          <w:sz w:val="28"/>
          <w:szCs w:val="28"/>
          <w:vertAlign w:val="subscript"/>
        </w:rPr>
        <w:t>2</w:t>
      </w:r>
      <w:r>
        <w:rPr>
          <w:rFonts w:ascii="Times New Roman" w:eastAsia="仿宋"/>
          <w:sz w:val="28"/>
          <w:szCs w:val="28"/>
        </w:rPr>
        <w:t>-V</w:t>
      </w:r>
      <w:r>
        <w:rPr>
          <w:rFonts w:ascii="Times New Roman" w:eastAsia="仿宋"/>
          <w:sz w:val="28"/>
          <w:szCs w:val="28"/>
          <w:vertAlign w:val="subscript"/>
        </w:rPr>
        <w:t>3</w:t>
      </w:r>
      <w:r>
        <w:rPr>
          <w:rFonts w:ascii="Times New Roman" w:eastAsia="仿宋"/>
          <w:sz w:val="28"/>
          <w:szCs w:val="28"/>
        </w:rPr>
        <w:t>)+V</w:t>
      </w:r>
      <w:r>
        <w:rPr>
          <w:rFonts w:ascii="Times New Roman" w:eastAsia="仿宋"/>
          <w:sz w:val="28"/>
          <w:szCs w:val="28"/>
          <w:vertAlign w:val="subscript"/>
        </w:rPr>
        <w:t>4</w:t>
      </w:r>
      <w:r>
        <w:rPr>
          <w:rFonts w:ascii="Times New Roman" w:eastAsia="仿宋"/>
          <w:sz w:val="28"/>
          <w:szCs w:val="28"/>
        </w:rPr>
        <w:t>+V</w:t>
      </w:r>
      <w:r>
        <w:rPr>
          <w:rFonts w:ascii="Times New Roman" w:eastAsia="仿宋"/>
          <w:sz w:val="28"/>
          <w:szCs w:val="28"/>
          <w:vertAlign w:val="subscript"/>
        </w:rPr>
        <w:t>5</w:t>
      </w:r>
      <w:r>
        <w:rPr>
          <w:rFonts w:ascii="Times New Roman" w:eastAsia="仿宋"/>
          <w:sz w:val="28"/>
          <w:szCs w:val="28"/>
        </w:rPr>
        <w:t>=(1+</w:t>
      </w:r>
      <w:r>
        <w:rPr>
          <w:rFonts w:hint="eastAsia" w:ascii="Times New Roman" w:eastAsia="仿宋"/>
          <w:sz w:val="28"/>
          <w:szCs w:val="28"/>
        </w:rPr>
        <w:t>90</w:t>
      </w:r>
      <w:r>
        <w:rPr>
          <w:rFonts w:ascii="Times New Roman" w:eastAsia="仿宋"/>
          <w:sz w:val="28"/>
          <w:szCs w:val="28"/>
        </w:rPr>
        <w:t>-</w:t>
      </w:r>
      <w:r>
        <w:rPr>
          <w:rFonts w:hint="eastAsia" w:ascii="Times New Roman" w:eastAsia="仿宋"/>
          <w:sz w:val="28"/>
          <w:szCs w:val="28"/>
        </w:rPr>
        <w:t>48</w:t>
      </w:r>
      <w:r>
        <w:rPr>
          <w:rFonts w:ascii="Times New Roman" w:eastAsia="仿宋"/>
          <w:sz w:val="28"/>
          <w:szCs w:val="28"/>
        </w:rPr>
        <w:t>)+</w:t>
      </w:r>
      <w:r>
        <w:rPr>
          <w:rFonts w:hint="eastAsia" w:ascii="Times New Roman" w:eastAsia="仿宋"/>
          <w:sz w:val="28"/>
          <w:szCs w:val="28"/>
        </w:rPr>
        <w:t>12.78</w:t>
      </w:r>
      <w:r>
        <w:rPr>
          <w:rFonts w:ascii="Times New Roman" w:eastAsia="仿宋"/>
          <w:sz w:val="28"/>
          <w:szCs w:val="28"/>
        </w:rPr>
        <w:t>=</w:t>
      </w:r>
      <w:r>
        <w:rPr>
          <w:rFonts w:hint="eastAsia" w:ascii="Times New Roman" w:eastAsia="仿宋"/>
          <w:sz w:val="28"/>
          <w:szCs w:val="28"/>
        </w:rPr>
        <w:t>55.78</w:t>
      </w:r>
      <w:r>
        <w:rPr>
          <w:rFonts w:ascii="Times New Roman" w:eastAsia="仿宋"/>
          <w:sz w:val="28"/>
          <w:szCs w:val="28"/>
        </w:rPr>
        <w:t>m</w:t>
      </w:r>
      <w:r>
        <w:rPr>
          <w:rFonts w:ascii="Times New Roman" w:eastAsia="仿宋"/>
          <w:sz w:val="28"/>
          <w:szCs w:val="28"/>
          <w:vertAlign w:val="superscript"/>
        </w:rPr>
        <w:t>3</w:t>
      </w:r>
    </w:p>
    <w:p w14:paraId="3CFDF750">
      <w:pPr>
        <w:snapToGrid w:val="0"/>
        <w:spacing w:line="500" w:lineRule="exact"/>
        <w:ind w:firstLine="560" w:firstLineChars="200"/>
        <w:rPr>
          <w:rFonts w:ascii="Times New Roman" w:eastAsia="仿宋"/>
          <w:sz w:val="28"/>
          <w:szCs w:val="28"/>
        </w:rPr>
      </w:pPr>
      <w:r>
        <w:rPr>
          <w:rFonts w:ascii="Times New Roman" w:eastAsia="仿宋"/>
          <w:sz w:val="28"/>
          <w:szCs w:val="28"/>
        </w:rPr>
        <w:t>江苏新莱亿智能科技有限公司于厂内设有1座100</w:t>
      </w:r>
      <w:r>
        <w:rPr>
          <w:rFonts w:hint="eastAsia" w:ascii="Times New Roman" w:eastAsia="仿宋"/>
          <w:sz w:val="28"/>
          <w:szCs w:val="28"/>
        </w:rPr>
        <w:t>m</w:t>
      </w:r>
      <w:r>
        <w:rPr>
          <w:rFonts w:ascii="Times New Roman" w:eastAsia="仿宋"/>
          <w:sz w:val="28"/>
          <w:szCs w:val="28"/>
          <w:vertAlign w:val="superscript"/>
        </w:rPr>
        <w:t>3</w:t>
      </w:r>
      <w:r>
        <w:rPr>
          <w:rFonts w:hint="eastAsia" w:ascii="Times New Roman" w:eastAsia="仿宋"/>
          <w:sz w:val="28"/>
          <w:szCs w:val="28"/>
        </w:rPr>
        <w:t>的</w:t>
      </w:r>
      <w:r>
        <w:rPr>
          <w:rFonts w:ascii="Times New Roman" w:eastAsia="仿宋"/>
          <w:sz w:val="28"/>
          <w:szCs w:val="28"/>
        </w:rPr>
        <w:t>事故应急池，用于满足事故废水收集需求，可确保本公司风险防范能力满足相关要求。</w:t>
      </w:r>
    </w:p>
    <w:p w14:paraId="0EA976A6">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.3.7环境风险防范措施及应急要求</w:t>
      </w:r>
    </w:p>
    <w:p w14:paraId="26289BEE">
      <w:pPr>
        <w:spacing w:line="500" w:lineRule="exact"/>
        <w:ind w:firstLine="561"/>
        <w:rPr>
          <w:rFonts w:ascii="Times New Roman" w:eastAsia="仿宋"/>
          <w:b/>
          <w:sz w:val="28"/>
          <w:szCs w:val="28"/>
        </w:rPr>
      </w:pPr>
      <w:r>
        <w:rPr>
          <w:rFonts w:ascii="Times New Roman" w:eastAsia="仿宋"/>
          <w:b/>
          <w:sz w:val="28"/>
          <w:szCs w:val="28"/>
        </w:rPr>
        <w:t>防范措施</w:t>
      </w:r>
    </w:p>
    <w:p w14:paraId="401C5C3D">
      <w:pPr>
        <w:spacing w:line="500" w:lineRule="exact"/>
        <w:ind w:firstLine="561"/>
        <w:rPr>
          <w:rFonts w:ascii="Times New Roman" w:eastAsia="仿宋"/>
          <w:sz w:val="28"/>
          <w:szCs w:val="28"/>
        </w:rPr>
      </w:pPr>
      <w:r>
        <w:rPr>
          <w:rFonts w:ascii="Times New Roman" w:eastAsia="仿宋"/>
          <w:sz w:val="28"/>
          <w:szCs w:val="28"/>
        </w:rPr>
        <w:fldChar w:fldCharType="begin"/>
      </w:r>
      <w:r>
        <w:rPr>
          <w:rFonts w:ascii="Times New Roman" w:eastAsia="仿宋"/>
          <w:sz w:val="28"/>
          <w:szCs w:val="28"/>
        </w:rPr>
        <w:instrText xml:space="preserve"> = 1 \* GB3 </w:instrText>
      </w:r>
      <w:r>
        <w:rPr>
          <w:rFonts w:ascii="Times New Roman" w:eastAsia="仿宋"/>
          <w:sz w:val="28"/>
          <w:szCs w:val="28"/>
        </w:rPr>
        <w:fldChar w:fldCharType="separate"/>
      </w:r>
      <w:r>
        <w:rPr>
          <w:rFonts w:ascii="Times New Roman" w:eastAsia="仿宋"/>
          <w:sz w:val="28"/>
          <w:szCs w:val="28"/>
        </w:rPr>
        <w:t>①</w:t>
      </w:r>
      <w:r>
        <w:rPr>
          <w:rFonts w:ascii="Times New Roman" w:eastAsia="仿宋"/>
          <w:sz w:val="28"/>
          <w:szCs w:val="28"/>
        </w:rPr>
        <w:fldChar w:fldCharType="end"/>
      </w:r>
      <w:r>
        <w:rPr>
          <w:rFonts w:ascii="Times New Roman" w:eastAsia="仿宋"/>
          <w:sz w:val="28"/>
          <w:szCs w:val="28"/>
        </w:rPr>
        <w:t>工程控制措施</w:t>
      </w:r>
    </w:p>
    <w:p w14:paraId="6CDB9A7F">
      <w:pPr>
        <w:spacing w:line="500" w:lineRule="exact"/>
        <w:ind w:firstLine="561"/>
        <w:rPr>
          <w:rFonts w:ascii="Times New Roman" w:eastAsia="仿宋"/>
          <w:sz w:val="28"/>
          <w:szCs w:val="28"/>
        </w:rPr>
      </w:pPr>
      <w:r>
        <w:rPr>
          <w:rFonts w:ascii="Times New Roman" w:eastAsia="仿宋"/>
          <w:sz w:val="28"/>
          <w:szCs w:val="28"/>
        </w:rPr>
        <w:t>在储存化学品时应严格遵守《常用化学危险品贮存通则》中的相关规定设计各仓库及建筑物，各建筑物应同时满足《建筑设计防火规范》中的各项规定，以达到安全生产、消防的安全距离和安全措施的要求。</w:t>
      </w:r>
    </w:p>
    <w:p w14:paraId="57A767DC">
      <w:pPr>
        <w:spacing w:line="500" w:lineRule="exact"/>
        <w:ind w:firstLine="561"/>
        <w:rPr>
          <w:rFonts w:ascii="Times New Roman" w:eastAsia="仿宋"/>
          <w:sz w:val="28"/>
          <w:szCs w:val="28"/>
        </w:rPr>
      </w:pPr>
      <w:r>
        <w:rPr>
          <w:rFonts w:ascii="Times New Roman" w:eastAsia="仿宋"/>
          <w:sz w:val="28"/>
          <w:szCs w:val="28"/>
        </w:rPr>
        <w:t>根据《常用化学危险品贮存通则》（GB15603-1995）中要求，在贮存和使用危险化学品的过程中，应做到以下几点：</w:t>
      </w:r>
    </w:p>
    <w:p w14:paraId="28014A79">
      <w:pPr>
        <w:spacing w:line="500" w:lineRule="exact"/>
        <w:ind w:firstLine="561"/>
        <w:rPr>
          <w:rFonts w:ascii="Times New Roman" w:eastAsia="仿宋"/>
          <w:sz w:val="28"/>
          <w:szCs w:val="28"/>
        </w:rPr>
      </w:pPr>
      <w:r>
        <w:rPr>
          <w:rFonts w:ascii="Times New Roman" w:eastAsia="仿宋"/>
          <w:sz w:val="28"/>
          <w:szCs w:val="28"/>
        </w:rPr>
        <w:t>（1）危险品仓库必须配备有专业知识的技术人员，库房及场所应设专人管理，管理人员必须配备可靠的个人安全防护用品。</w:t>
      </w:r>
    </w:p>
    <w:p w14:paraId="7927825C">
      <w:pPr>
        <w:spacing w:line="500" w:lineRule="exact"/>
        <w:ind w:firstLine="561"/>
        <w:rPr>
          <w:rFonts w:ascii="Times New Roman" w:eastAsia="仿宋"/>
          <w:sz w:val="28"/>
          <w:szCs w:val="28"/>
        </w:rPr>
      </w:pPr>
      <w:r>
        <w:rPr>
          <w:rFonts w:ascii="Times New Roman" w:eastAsia="仿宋"/>
          <w:sz w:val="28"/>
          <w:szCs w:val="28"/>
        </w:rPr>
        <w:t>（2）原料入库时，应严格检验物品质量、数量、包装情况、有无泄漏。入库后应采取适当的养护措施，在贮存期内，定期检查，发现其品质变化、包装破损、渗漏、稳定剂短缺等，应及时处理。</w:t>
      </w:r>
    </w:p>
    <w:p w14:paraId="28437A18">
      <w:pPr>
        <w:spacing w:line="500" w:lineRule="exact"/>
        <w:ind w:firstLine="561"/>
        <w:rPr>
          <w:rFonts w:ascii="Times New Roman" w:eastAsia="仿宋"/>
          <w:sz w:val="28"/>
          <w:szCs w:val="28"/>
        </w:rPr>
      </w:pPr>
      <w:r>
        <w:rPr>
          <w:rFonts w:ascii="Times New Roman" w:eastAsia="仿宋"/>
          <w:sz w:val="28"/>
          <w:szCs w:val="28"/>
        </w:rPr>
        <w:t>（3）库房温度、湿度应严格控制、经常检查，发现变化及时调整。并配备相应灭火器。</w:t>
      </w:r>
    </w:p>
    <w:p w14:paraId="597A78F7">
      <w:pPr>
        <w:spacing w:line="500" w:lineRule="exact"/>
        <w:ind w:firstLine="561"/>
        <w:rPr>
          <w:rFonts w:ascii="Times New Roman" w:eastAsia="仿宋"/>
          <w:sz w:val="28"/>
          <w:szCs w:val="28"/>
        </w:rPr>
      </w:pPr>
      <w:r>
        <w:rPr>
          <w:rFonts w:ascii="Times New Roman" w:eastAsia="仿宋"/>
          <w:sz w:val="28"/>
          <w:szCs w:val="28"/>
        </w:rPr>
        <w:t>（4）使用危险化学品的过程中，泄漏或渗漏的包装容器应迅速移至安全区域。</w:t>
      </w:r>
    </w:p>
    <w:p w14:paraId="2031A67D">
      <w:pPr>
        <w:spacing w:line="500" w:lineRule="exact"/>
        <w:ind w:firstLine="561"/>
        <w:rPr>
          <w:rFonts w:ascii="Times New Roman" w:eastAsia="仿宋"/>
          <w:sz w:val="28"/>
          <w:szCs w:val="28"/>
        </w:rPr>
      </w:pPr>
      <w:r>
        <w:rPr>
          <w:rFonts w:ascii="Times New Roman" w:eastAsia="仿宋"/>
          <w:sz w:val="28"/>
          <w:szCs w:val="28"/>
        </w:rPr>
        <w:t>（5）危险品仓库工作人员应进行培训，经考核合格后持证上岗。</w:t>
      </w:r>
    </w:p>
    <w:p w14:paraId="081B6829">
      <w:pPr>
        <w:spacing w:line="500" w:lineRule="exact"/>
        <w:ind w:firstLine="561"/>
        <w:rPr>
          <w:rFonts w:ascii="Times New Roman" w:eastAsia="仿宋"/>
          <w:sz w:val="28"/>
          <w:szCs w:val="28"/>
        </w:rPr>
      </w:pPr>
      <w:r>
        <w:rPr>
          <w:rFonts w:ascii="Times New Roman" w:eastAsia="仿宋"/>
          <w:sz w:val="28"/>
          <w:szCs w:val="28"/>
        </w:rPr>
        <w:t>（6）应制定应急处理措施，编制事故应急预案，应对意外突发事件。</w:t>
      </w:r>
    </w:p>
    <w:p w14:paraId="3756399C">
      <w:pPr>
        <w:spacing w:line="500" w:lineRule="exact"/>
        <w:ind w:firstLine="561"/>
        <w:rPr>
          <w:rFonts w:ascii="Times New Roman" w:eastAsia="仿宋"/>
          <w:sz w:val="28"/>
          <w:szCs w:val="28"/>
        </w:rPr>
      </w:pPr>
      <w:r>
        <w:rPr>
          <w:rFonts w:ascii="Times New Roman" w:eastAsia="仿宋"/>
          <w:sz w:val="28"/>
          <w:szCs w:val="28"/>
        </w:rPr>
        <w:t>（7）企业需存储一定量的吸附材料泄漏事故发生时的应急处置。</w:t>
      </w:r>
    </w:p>
    <w:p w14:paraId="380AEFC7">
      <w:pPr>
        <w:spacing w:line="500" w:lineRule="exact"/>
        <w:ind w:firstLine="561"/>
        <w:rPr>
          <w:rFonts w:ascii="Times New Roman" w:eastAsia="仿宋"/>
          <w:sz w:val="28"/>
          <w:szCs w:val="28"/>
        </w:rPr>
      </w:pPr>
      <w:r>
        <w:rPr>
          <w:rFonts w:ascii="Times New Roman" w:eastAsia="仿宋"/>
          <w:sz w:val="28"/>
          <w:szCs w:val="28"/>
        </w:rPr>
        <w:t>（8）企业涉及存放液体、半固体危化品的区域需设置围堰，防止危化品</w:t>
      </w:r>
      <w:r>
        <w:rPr>
          <w:rFonts w:hint="eastAsia" w:ascii="Times New Roman" w:eastAsia="仿宋"/>
          <w:sz w:val="28"/>
          <w:szCs w:val="28"/>
        </w:rPr>
        <w:t>泄漏。</w:t>
      </w:r>
    </w:p>
    <w:p w14:paraId="42CE85A8">
      <w:pPr>
        <w:spacing w:line="500" w:lineRule="exact"/>
        <w:ind w:firstLine="561"/>
        <w:rPr>
          <w:rFonts w:ascii="Times New Roman" w:eastAsia="仿宋"/>
          <w:sz w:val="28"/>
          <w:szCs w:val="28"/>
        </w:rPr>
      </w:pPr>
      <w:r>
        <w:rPr>
          <w:rFonts w:hint="eastAsia" w:ascii="Times New Roman" w:eastAsia="仿宋"/>
          <w:sz w:val="28"/>
          <w:szCs w:val="28"/>
        </w:rPr>
        <w:t>对于油漆、稀释剂等泄漏：1、发生泄漏时应立即用沙子对泄漏出来的区域进行围堵，防止物料四处流淌。</w:t>
      </w:r>
      <w:r>
        <w:rPr>
          <w:rFonts w:ascii="Times New Roman" w:eastAsia="仿宋"/>
          <w:sz w:val="28"/>
          <w:szCs w:val="28"/>
        </w:rPr>
        <w:t>2</w:t>
      </w:r>
      <w:r>
        <w:rPr>
          <w:rFonts w:hint="eastAsia" w:ascii="Times New Roman" w:eastAsia="仿宋"/>
          <w:sz w:val="28"/>
          <w:szCs w:val="28"/>
        </w:rPr>
        <w:t>、立即将油漆、稀释剂转移至专用的包装桶中。3、泄漏出来的区域控制明火源，一般不易引起火灾，但需对泄漏的物料尽快收集处置。</w:t>
      </w:r>
      <w:r>
        <w:rPr>
          <w:rFonts w:ascii="Times New Roman" w:eastAsia="仿宋"/>
          <w:sz w:val="28"/>
          <w:szCs w:val="28"/>
        </w:rPr>
        <w:t>4</w:t>
      </w:r>
      <w:r>
        <w:rPr>
          <w:rFonts w:hint="eastAsia" w:ascii="Times New Roman" w:eastAsia="仿宋"/>
          <w:sz w:val="28"/>
          <w:szCs w:val="28"/>
        </w:rPr>
        <w:t>因泄露的油漆、稀释剂可能导致火灾事故的发生，需对因此引起的明火采用干粉灭火器进行灭火，泄漏的油漆、稀释剂用沙子或其他吸附材料进行覆盖与收集。</w:t>
      </w:r>
    </w:p>
    <w:p w14:paraId="3EA20F7D">
      <w:pPr>
        <w:spacing w:line="500" w:lineRule="exact"/>
        <w:ind w:firstLine="561"/>
        <w:rPr>
          <w:rFonts w:ascii="Times New Roman" w:eastAsia="仿宋"/>
          <w:sz w:val="28"/>
          <w:szCs w:val="28"/>
        </w:rPr>
      </w:pPr>
      <w:r>
        <w:rPr>
          <w:rFonts w:ascii="Times New Roman" w:eastAsia="仿宋"/>
          <w:sz w:val="28"/>
          <w:szCs w:val="28"/>
        </w:rPr>
        <w:fldChar w:fldCharType="begin"/>
      </w:r>
      <w:r>
        <w:rPr>
          <w:rFonts w:ascii="Times New Roman" w:eastAsia="仿宋"/>
          <w:sz w:val="28"/>
          <w:szCs w:val="28"/>
        </w:rPr>
        <w:instrText xml:space="preserve"> = 2 \* GB3 </w:instrText>
      </w:r>
      <w:r>
        <w:rPr>
          <w:rFonts w:ascii="Times New Roman" w:eastAsia="仿宋"/>
          <w:sz w:val="28"/>
          <w:szCs w:val="28"/>
        </w:rPr>
        <w:fldChar w:fldCharType="separate"/>
      </w:r>
      <w:r>
        <w:rPr>
          <w:rFonts w:ascii="Times New Roman" w:eastAsia="仿宋"/>
          <w:sz w:val="28"/>
          <w:szCs w:val="28"/>
        </w:rPr>
        <w:t>②</w:t>
      </w:r>
      <w:r>
        <w:rPr>
          <w:rFonts w:ascii="Times New Roman" w:eastAsia="仿宋"/>
          <w:sz w:val="28"/>
          <w:szCs w:val="28"/>
        </w:rPr>
        <w:fldChar w:fldCharType="end"/>
      </w:r>
      <w:r>
        <w:rPr>
          <w:rFonts w:ascii="Times New Roman" w:eastAsia="仿宋"/>
          <w:sz w:val="28"/>
          <w:szCs w:val="28"/>
        </w:rPr>
        <w:t>废气处理系统事故防治措施</w:t>
      </w:r>
    </w:p>
    <w:p w14:paraId="198552E5">
      <w:pPr>
        <w:spacing w:line="500" w:lineRule="exact"/>
        <w:ind w:firstLine="561"/>
        <w:rPr>
          <w:rFonts w:ascii="Times New Roman" w:eastAsia="仿宋"/>
          <w:sz w:val="28"/>
          <w:szCs w:val="28"/>
        </w:rPr>
      </w:pPr>
      <w:r>
        <w:rPr>
          <w:rFonts w:ascii="Times New Roman" w:eastAsia="仿宋"/>
          <w:sz w:val="28"/>
          <w:szCs w:val="28"/>
        </w:rPr>
        <w:t>（1）由专人负责日常环境管理工作，制订“环保管理人员职责”和“环境污染防治措施”制度，加强废气治理设施的监督和管理。</w:t>
      </w:r>
    </w:p>
    <w:p w14:paraId="4FE1531F">
      <w:pPr>
        <w:spacing w:line="500" w:lineRule="exact"/>
        <w:ind w:firstLine="561"/>
        <w:rPr>
          <w:rFonts w:ascii="Times New Roman" w:eastAsia="仿宋"/>
          <w:sz w:val="28"/>
          <w:szCs w:val="28"/>
        </w:rPr>
      </w:pPr>
      <w:r>
        <w:rPr>
          <w:rFonts w:ascii="Times New Roman" w:eastAsia="仿宋"/>
          <w:sz w:val="28"/>
          <w:szCs w:val="28"/>
        </w:rPr>
        <w:t>（2）加强废气处理设施及设备的定期检修和维护工作，发现事故隐患，及时解决。</w:t>
      </w:r>
    </w:p>
    <w:p w14:paraId="4D0E6D8A">
      <w:pPr>
        <w:spacing w:line="500" w:lineRule="exact"/>
        <w:ind w:firstLine="561"/>
        <w:rPr>
          <w:rFonts w:ascii="Times New Roman" w:eastAsia="仿宋"/>
          <w:sz w:val="28"/>
          <w:szCs w:val="28"/>
        </w:rPr>
      </w:pPr>
      <w:r>
        <w:rPr>
          <w:rFonts w:ascii="Times New Roman" w:eastAsia="仿宋"/>
          <w:sz w:val="28"/>
          <w:szCs w:val="28"/>
        </w:rPr>
        <w:t>（3）主要的生产设备要有备用件。例如风机、水泵等动力设备均应当做到一用一备。</w:t>
      </w:r>
    </w:p>
    <w:p w14:paraId="0C19775B">
      <w:pPr>
        <w:spacing w:line="500" w:lineRule="exact"/>
        <w:ind w:firstLine="561"/>
        <w:rPr>
          <w:rFonts w:ascii="Times New Roman" w:eastAsia="仿宋"/>
          <w:sz w:val="28"/>
          <w:szCs w:val="28"/>
        </w:rPr>
      </w:pPr>
      <w:r>
        <w:rPr>
          <w:rFonts w:ascii="Times New Roman" w:eastAsia="仿宋"/>
          <w:sz w:val="28"/>
          <w:szCs w:val="28"/>
        </w:rPr>
        <w:t>（4）引进技术先进、处理效果好的废气治理设备和设施，保证污染物达标排放。</w:t>
      </w:r>
    </w:p>
    <w:p w14:paraId="5CD0C183">
      <w:pPr>
        <w:spacing w:line="500" w:lineRule="exact"/>
        <w:ind w:firstLine="561"/>
        <w:rPr>
          <w:rFonts w:ascii="Times New Roman" w:eastAsia="仿宋"/>
          <w:sz w:val="28"/>
          <w:szCs w:val="28"/>
        </w:rPr>
      </w:pPr>
      <w:r>
        <w:rPr>
          <w:rFonts w:hint="eastAsia" w:ascii="Times New Roman" w:eastAsia="仿宋"/>
          <w:sz w:val="28"/>
          <w:szCs w:val="28"/>
        </w:rPr>
        <w:t>（5）对于湿式除尘器，</w:t>
      </w:r>
      <w:r>
        <w:rPr>
          <w:rFonts w:ascii="Times New Roman" w:eastAsia="仿宋"/>
          <w:sz w:val="28"/>
          <w:szCs w:val="28"/>
        </w:rPr>
        <w:t>为防止管道系统中可燃物浓度达到爆炸浓度，应设置必要的检测仪器，定期监测系统的工作状态，实现自动报警</w:t>
      </w:r>
      <w:r>
        <w:rPr>
          <w:rFonts w:hint="eastAsia" w:ascii="Times New Roman" w:eastAsia="仿宋"/>
          <w:sz w:val="28"/>
          <w:szCs w:val="28"/>
        </w:rPr>
        <w:t>。</w:t>
      </w:r>
    </w:p>
    <w:p w14:paraId="7C5087FA">
      <w:pPr>
        <w:spacing w:line="500" w:lineRule="exact"/>
        <w:ind w:firstLine="561"/>
        <w:rPr>
          <w:rFonts w:ascii="Times New Roman" w:eastAsia="仿宋"/>
          <w:sz w:val="28"/>
          <w:szCs w:val="28"/>
        </w:rPr>
      </w:pPr>
      <w:r>
        <w:rPr>
          <w:rFonts w:ascii="Times New Roman" w:eastAsia="仿宋"/>
          <w:sz w:val="28"/>
          <w:szCs w:val="28"/>
        </w:rPr>
        <w:fldChar w:fldCharType="begin"/>
      </w:r>
      <w:r>
        <w:rPr>
          <w:rFonts w:ascii="Times New Roman" w:eastAsia="仿宋"/>
          <w:sz w:val="28"/>
          <w:szCs w:val="28"/>
        </w:rPr>
        <w:instrText xml:space="preserve"> = 3 \* GB3 </w:instrText>
      </w:r>
      <w:r>
        <w:rPr>
          <w:rFonts w:ascii="Times New Roman" w:eastAsia="仿宋"/>
          <w:sz w:val="28"/>
          <w:szCs w:val="28"/>
        </w:rPr>
        <w:fldChar w:fldCharType="separate"/>
      </w:r>
      <w:r>
        <w:rPr>
          <w:rFonts w:ascii="Times New Roman" w:eastAsia="仿宋"/>
          <w:sz w:val="28"/>
          <w:szCs w:val="28"/>
        </w:rPr>
        <w:t>③</w:t>
      </w:r>
      <w:r>
        <w:rPr>
          <w:rFonts w:ascii="Times New Roman" w:eastAsia="仿宋"/>
          <w:sz w:val="28"/>
          <w:szCs w:val="28"/>
        </w:rPr>
        <w:fldChar w:fldCharType="end"/>
      </w:r>
      <w:r>
        <w:rPr>
          <w:rFonts w:ascii="Times New Roman" w:eastAsia="仿宋"/>
          <w:sz w:val="28"/>
          <w:szCs w:val="28"/>
        </w:rPr>
        <w:t>火灾和爆炸事故的防范措施</w:t>
      </w:r>
    </w:p>
    <w:p w14:paraId="39EF6FDA">
      <w:pPr>
        <w:spacing w:line="500" w:lineRule="exact"/>
        <w:ind w:firstLine="561"/>
        <w:rPr>
          <w:rFonts w:ascii="Times New Roman" w:eastAsia="仿宋"/>
          <w:sz w:val="28"/>
          <w:szCs w:val="28"/>
        </w:rPr>
      </w:pPr>
      <w:r>
        <w:rPr>
          <w:rFonts w:ascii="Times New Roman" w:eastAsia="仿宋"/>
          <w:sz w:val="28"/>
          <w:szCs w:val="28"/>
        </w:rPr>
        <w:t>（1）生产厂房已按照《建筑设计防火规范》等标准的要求建设，设置防火间距、平面布置等。</w:t>
      </w:r>
    </w:p>
    <w:p w14:paraId="3F35E283">
      <w:pPr>
        <w:spacing w:line="500" w:lineRule="exact"/>
        <w:ind w:firstLine="561"/>
        <w:rPr>
          <w:rFonts w:ascii="Times New Roman" w:eastAsia="仿宋"/>
          <w:sz w:val="28"/>
          <w:szCs w:val="28"/>
        </w:rPr>
      </w:pPr>
      <w:r>
        <w:rPr>
          <w:rFonts w:ascii="Times New Roman" w:eastAsia="仿宋"/>
          <w:sz w:val="28"/>
          <w:szCs w:val="28"/>
        </w:rPr>
        <w:t>（2）在装液体物料时防止静电产生，防止操作人员带电作业；在危险操作时，操作人员应使用抗静电工作帽和具有导电性的作业鞋；有防雷装置，特别防止雷击；车间定期洒水。</w:t>
      </w:r>
    </w:p>
    <w:p w14:paraId="6E3BAA3F">
      <w:pPr>
        <w:spacing w:line="500" w:lineRule="exact"/>
        <w:ind w:firstLine="561"/>
        <w:rPr>
          <w:rFonts w:ascii="Times New Roman" w:eastAsia="仿宋"/>
          <w:sz w:val="28"/>
          <w:szCs w:val="28"/>
        </w:rPr>
      </w:pPr>
      <w:r>
        <w:rPr>
          <w:rFonts w:ascii="Times New Roman" w:eastAsia="仿宋"/>
          <w:sz w:val="28"/>
          <w:szCs w:val="28"/>
        </w:rPr>
        <w:t>（3）应加强火源的管理，严禁烟火带入，且设置明显的显示标志，建立奖惩制度。对设备需进行维修焊接，应经安全部门确认、准许，并有记录。机动车在厂内行驶，须安装阻火器，必要设备安装防火、防爆装置。</w:t>
      </w:r>
    </w:p>
    <w:p w14:paraId="680EF18E">
      <w:pPr>
        <w:spacing w:line="500" w:lineRule="exact"/>
        <w:ind w:firstLine="561"/>
        <w:rPr>
          <w:rFonts w:ascii="Times New Roman" w:eastAsia="仿宋"/>
          <w:sz w:val="28"/>
          <w:szCs w:val="28"/>
        </w:rPr>
      </w:pPr>
      <w:r>
        <w:rPr>
          <w:rFonts w:ascii="Times New Roman" w:eastAsia="仿宋"/>
          <w:sz w:val="28"/>
          <w:szCs w:val="28"/>
        </w:rPr>
        <w:t>（4）设备的安全管理：定期对设备进行安全检测，检测内容、时间、人员应有记录保存。安全检测应根据设备的安全性、危险性设定检测频次。</w:t>
      </w:r>
    </w:p>
    <w:p w14:paraId="48E6C5AB">
      <w:pPr>
        <w:spacing w:line="500" w:lineRule="exact"/>
        <w:ind w:firstLine="561"/>
        <w:rPr>
          <w:rFonts w:ascii="Times New Roman" w:eastAsia="仿宋"/>
          <w:sz w:val="28"/>
          <w:szCs w:val="28"/>
        </w:rPr>
      </w:pPr>
      <w:r>
        <w:rPr>
          <w:rFonts w:ascii="Times New Roman" w:eastAsia="仿宋"/>
          <w:sz w:val="28"/>
          <w:szCs w:val="28"/>
        </w:rPr>
        <w:t>（5）要有完善的安全消防措施。从平面布置上，本厂按国家消防安全规定，设置足够的安全距离和道路，以便安全疏散和消防。各重点部位存储区设备应设置消防系统、消火栓和干粉灭火器等。</w:t>
      </w:r>
    </w:p>
    <w:p w14:paraId="4C293757">
      <w:pPr>
        <w:spacing w:line="500" w:lineRule="exact"/>
        <w:ind w:firstLine="561"/>
        <w:rPr>
          <w:rFonts w:ascii="Times New Roman" w:eastAsia="仿宋"/>
          <w:sz w:val="28"/>
          <w:szCs w:val="28"/>
        </w:rPr>
      </w:pPr>
      <w:r>
        <w:rPr>
          <w:rFonts w:ascii="Times New Roman" w:eastAsia="仿宋"/>
          <w:sz w:val="28"/>
          <w:szCs w:val="28"/>
        </w:rPr>
        <w:t>（6）原辅料及产品容易发生火灾事故，要注意消防设施的配置，提高工作人员的安全意识，设置火灾报警系统。</w:t>
      </w:r>
    </w:p>
    <w:p w14:paraId="7E1BDC86">
      <w:pPr>
        <w:spacing w:line="500" w:lineRule="exact"/>
        <w:ind w:firstLine="561"/>
        <w:rPr>
          <w:rFonts w:ascii="Times New Roman" w:eastAsia="仿宋"/>
          <w:sz w:val="28"/>
          <w:szCs w:val="28"/>
        </w:rPr>
      </w:pPr>
      <w:r>
        <w:rPr>
          <w:rFonts w:hint="eastAsia" w:ascii="Times New Roman" w:eastAsia="仿宋"/>
          <w:sz w:val="28"/>
          <w:szCs w:val="28"/>
        </w:rPr>
        <w:t>（7）</w:t>
      </w:r>
      <w:r>
        <w:rPr>
          <w:rFonts w:ascii="Times New Roman" w:eastAsia="仿宋"/>
          <w:sz w:val="28"/>
          <w:szCs w:val="28"/>
        </w:rPr>
        <w:t>在</w:t>
      </w:r>
      <w:r>
        <w:rPr>
          <w:rFonts w:hint="eastAsia" w:ascii="Times New Roman" w:eastAsia="仿宋"/>
          <w:sz w:val="28"/>
          <w:szCs w:val="28"/>
        </w:rPr>
        <w:t>打磨房内</w:t>
      </w:r>
      <w:r>
        <w:rPr>
          <w:rFonts w:ascii="Times New Roman" w:eastAsia="仿宋"/>
          <w:sz w:val="28"/>
          <w:szCs w:val="28"/>
        </w:rPr>
        <w:t>，使用防爆电机、防爆电灯和防爆开关，严格控制作业场所中的火源，禁止明火操作，定期检查和维护电气及消防设备</w:t>
      </w:r>
      <w:r>
        <w:rPr>
          <w:rFonts w:hint="eastAsia" w:ascii="Times New Roman" w:eastAsia="仿宋"/>
          <w:sz w:val="28"/>
          <w:szCs w:val="28"/>
        </w:rPr>
        <w:t>，</w:t>
      </w:r>
      <w:r>
        <w:rPr>
          <w:rFonts w:ascii="Times New Roman" w:eastAsia="仿宋"/>
          <w:sz w:val="28"/>
          <w:szCs w:val="28"/>
        </w:rPr>
        <w:t>在粉尘处理设备和管道中使用导电材料，减少静电积聚，并在合适距离设置火花探测装置。作业场所的工作人员要穿戴防静电工作服和鞋</w:t>
      </w:r>
      <w:r>
        <w:rPr>
          <w:rFonts w:hint="eastAsia" w:ascii="Times New Roman" w:eastAsia="仿宋"/>
          <w:sz w:val="28"/>
          <w:szCs w:val="28"/>
        </w:rPr>
        <w:t>。</w:t>
      </w:r>
    </w:p>
    <w:p w14:paraId="1D822DBA">
      <w:pPr>
        <w:spacing w:line="500" w:lineRule="exact"/>
        <w:ind w:firstLine="561"/>
        <w:rPr>
          <w:rFonts w:ascii="Times New Roman" w:eastAsia="仿宋"/>
          <w:sz w:val="28"/>
          <w:szCs w:val="28"/>
        </w:rPr>
      </w:pPr>
      <w:r>
        <w:rPr>
          <w:rFonts w:ascii="Times New Roman" w:eastAsia="仿宋"/>
          <w:sz w:val="28"/>
          <w:szCs w:val="28"/>
        </w:rPr>
        <w:fldChar w:fldCharType="begin"/>
      </w:r>
      <w:r>
        <w:rPr>
          <w:rFonts w:ascii="Times New Roman" w:eastAsia="仿宋"/>
          <w:sz w:val="28"/>
          <w:szCs w:val="28"/>
        </w:rPr>
        <w:instrText xml:space="preserve"> = 4 \* GB3 </w:instrText>
      </w:r>
      <w:r>
        <w:rPr>
          <w:rFonts w:ascii="Times New Roman" w:eastAsia="仿宋"/>
          <w:sz w:val="28"/>
          <w:szCs w:val="28"/>
        </w:rPr>
        <w:fldChar w:fldCharType="separate"/>
      </w:r>
      <w:r>
        <w:rPr>
          <w:rFonts w:ascii="Times New Roman" w:eastAsia="仿宋"/>
          <w:sz w:val="28"/>
          <w:szCs w:val="28"/>
        </w:rPr>
        <w:t>④</w:t>
      </w:r>
      <w:r>
        <w:rPr>
          <w:rFonts w:ascii="Times New Roman" w:eastAsia="仿宋"/>
          <w:sz w:val="28"/>
          <w:szCs w:val="28"/>
        </w:rPr>
        <w:fldChar w:fldCharType="end"/>
      </w:r>
      <w:r>
        <w:rPr>
          <w:rFonts w:ascii="Times New Roman" w:eastAsia="仿宋"/>
          <w:sz w:val="28"/>
          <w:szCs w:val="28"/>
        </w:rPr>
        <w:t>固废及危废堆场防范措施</w:t>
      </w:r>
    </w:p>
    <w:p w14:paraId="4606F5B1">
      <w:pPr>
        <w:spacing w:line="500" w:lineRule="exact"/>
        <w:ind w:firstLine="561"/>
        <w:rPr>
          <w:rFonts w:ascii="Times New Roman" w:eastAsia="仿宋"/>
          <w:sz w:val="28"/>
          <w:szCs w:val="28"/>
        </w:rPr>
      </w:pPr>
      <w:r>
        <w:rPr>
          <w:rFonts w:ascii="Times New Roman" w:eastAsia="仿宋"/>
          <w:sz w:val="28"/>
          <w:szCs w:val="28"/>
        </w:rPr>
        <w:t>（1）应建造专用的危险废物贮存设施，也可利用原有构筑物改建成危险废物贮存设施。</w:t>
      </w:r>
    </w:p>
    <w:p w14:paraId="7A83B239">
      <w:pPr>
        <w:spacing w:line="500" w:lineRule="exact"/>
        <w:ind w:firstLine="561"/>
        <w:rPr>
          <w:rFonts w:ascii="Times New Roman" w:eastAsia="仿宋"/>
          <w:sz w:val="28"/>
          <w:szCs w:val="28"/>
        </w:rPr>
      </w:pPr>
      <w:r>
        <w:rPr>
          <w:rFonts w:ascii="Times New Roman" w:eastAsia="仿宋"/>
          <w:sz w:val="28"/>
          <w:szCs w:val="28"/>
        </w:rPr>
        <w:t>（2）在常温常压下易爆、易燃及排出有毒气体的危险废物必须进行预处理，使之稳定后贮存，否则，按易爆、易燃危险品贮存。</w:t>
      </w:r>
    </w:p>
    <w:p w14:paraId="3264FC78">
      <w:pPr>
        <w:spacing w:line="500" w:lineRule="exact"/>
        <w:ind w:firstLine="561"/>
        <w:rPr>
          <w:rFonts w:ascii="Times New Roman" w:eastAsia="仿宋"/>
          <w:sz w:val="28"/>
          <w:szCs w:val="28"/>
        </w:rPr>
      </w:pPr>
      <w:r>
        <w:rPr>
          <w:rFonts w:ascii="Times New Roman" w:eastAsia="仿宋"/>
          <w:sz w:val="28"/>
          <w:szCs w:val="28"/>
        </w:rPr>
        <w:t>（3）禁止将不相容（相互反应）的危险废物在同一容器内混装。</w:t>
      </w:r>
    </w:p>
    <w:p w14:paraId="5131B536">
      <w:pPr>
        <w:spacing w:line="500" w:lineRule="exact"/>
        <w:ind w:firstLine="561"/>
        <w:rPr>
          <w:rFonts w:ascii="Times New Roman" w:eastAsia="仿宋"/>
          <w:sz w:val="28"/>
          <w:szCs w:val="28"/>
        </w:rPr>
      </w:pPr>
      <w:r>
        <w:rPr>
          <w:rFonts w:ascii="Times New Roman" w:eastAsia="仿宋"/>
          <w:sz w:val="28"/>
          <w:szCs w:val="28"/>
        </w:rPr>
        <w:t>（4）无法装入常用容器的危险废物可用防漏胶袋等盛装。</w:t>
      </w:r>
    </w:p>
    <w:p w14:paraId="68A671E0">
      <w:pPr>
        <w:spacing w:line="500" w:lineRule="exact"/>
        <w:ind w:firstLine="561"/>
        <w:rPr>
          <w:rFonts w:ascii="Times New Roman" w:eastAsia="仿宋"/>
          <w:sz w:val="28"/>
          <w:szCs w:val="28"/>
        </w:rPr>
      </w:pPr>
      <w:r>
        <w:rPr>
          <w:rFonts w:ascii="Times New Roman" w:eastAsia="仿宋"/>
          <w:sz w:val="28"/>
          <w:szCs w:val="28"/>
        </w:rPr>
        <w:t>（5）盛装危险废物的容器上必须粘贴符合《危险废物贮存污染控制标准》附录A所示的标签。</w:t>
      </w:r>
    </w:p>
    <w:p w14:paraId="27BB2E24">
      <w:pPr>
        <w:spacing w:line="500" w:lineRule="exact"/>
        <w:ind w:firstLine="561"/>
        <w:rPr>
          <w:rFonts w:ascii="Times New Roman" w:eastAsia="仿宋"/>
          <w:sz w:val="28"/>
          <w:szCs w:val="28"/>
        </w:rPr>
      </w:pPr>
      <w:r>
        <w:rPr>
          <w:rFonts w:ascii="Times New Roman" w:eastAsia="仿宋"/>
          <w:sz w:val="28"/>
          <w:szCs w:val="28"/>
        </w:rPr>
        <w:t>（6）装载液体、半固体危险废物的容器内须留足够空间，容器顶部与液体表面之间保留100毫米以上的空间。</w:t>
      </w:r>
    </w:p>
    <w:p w14:paraId="3FE5D15A">
      <w:pPr>
        <w:spacing w:line="500" w:lineRule="exact"/>
        <w:ind w:firstLine="561"/>
        <w:rPr>
          <w:rFonts w:ascii="Times New Roman" w:eastAsia="仿宋"/>
          <w:sz w:val="28"/>
          <w:szCs w:val="28"/>
        </w:rPr>
      </w:pPr>
      <w:r>
        <w:rPr>
          <w:rFonts w:ascii="Times New Roman" w:eastAsia="仿宋"/>
          <w:sz w:val="28"/>
          <w:szCs w:val="28"/>
        </w:rPr>
        <w:t>（7）固废应分类收集、性质相悖的固废严禁接触；</w:t>
      </w:r>
    </w:p>
    <w:p w14:paraId="3C26F2E5">
      <w:pPr>
        <w:spacing w:line="500" w:lineRule="exact"/>
        <w:ind w:firstLine="561"/>
        <w:rPr>
          <w:rFonts w:ascii="Times New Roman" w:eastAsia="仿宋"/>
          <w:sz w:val="28"/>
          <w:szCs w:val="28"/>
        </w:rPr>
      </w:pPr>
      <w:r>
        <w:rPr>
          <w:rFonts w:ascii="Times New Roman" w:eastAsia="仿宋"/>
          <w:sz w:val="28"/>
          <w:szCs w:val="28"/>
        </w:rPr>
        <w:t>（8）固废收集后应及时送固废堆场暂存，并做好台帐；固废堆场应按照防扬散、防雨、防渗、防漏、防盗的要求设置。</w:t>
      </w:r>
    </w:p>
    <w:p w14:paraId="3E20EF2D">
      <w:pPr>
        <w:spacing w:line="500" w:lineRule="exact"/>
        <w:ind w:firstLine="561"/>
        <w:rPr>
          <w:rFonts w:ascii="Times New Roman" w:eastAsia="仿宋"/>
          <w:sz w:val="28"/>
          <w:szCs w:val="28"/>
        </w:rPr>
      </w:pPr>
      <w:r>
        <w:rPr>
          <w:rFonts w:ascii="Times New Roman" w:eastAsia="仿宋"/>
          <w:sz w:val="28"/>
          <w:szCs w:val="28"/>
        </w:rPr>
        <w:t>（9）定期对堆场内固废进行处理，危险废物应委托有资质单位处置，一般固废按照环评文件规定进行合理处置，危险废物做好转移联单手续；</w:t>
      </w:r>
    </w:p>
    <w:p w14:paraId="605A78A1">
      <w:pPr>
        <w:spacing w:line="500" w:lineRule="exact"/>
        <w:ind w:firstLine="561"/>
        <w:rPr>
          <w:rFonts w:ascii="Times New Roman" w:eastAsia="仿宋"/>
          <w:sz w:val="28"/>
          <w:szCs w:val="28"/>
        </w:rPr>
      </w:pPr>
      <w:r>
        <w:rPr>
          <w:rFonts w:ascii="Times New Roman" w:eastAsia="仿宋"/>
          <w:sz w:val="28"/>
          <w:szCs w:val="28"/>
        </w:rPr>
        <w:t>（10）定期检查固废堆场，及时发现物质的泄漏、挥发，堆场内应配备空容器和泄漏吸附、吸收物及时对泄漏物进行吸附、吸收和收集；危险废物堆场内应设置泄漏收集槽，方便对泄漏物料的收集。</w:t>
      </w:r>
    </w:p>
    <w:p w14:paraId="7419F8A2">
      <w:pPr>
        <w:spacing w:line="500" w:lineRule="exact"/>
        <w:ind w:firstLine="561"/>
        <w:rPr>
          <w:rFonts w:ascii="Times New Roman" w:eastAsia="仿宋"/>
          <w:sz w:val="28"/>
          <w:szCs w:val="28"/>
        </w:rPr>
      </w:pPr>
      <w:r>
        <w:rPr>
          <w:rFonts w:ascii="Times New Roman" w:eastAsia="仿宋"/>
          <w:sz w:val="28"/>
          <w:szCs w:val="28"/>
        </w:rPr>
        <w:t>（11）危险废物在运输、装车、转移过程中，应轻拿轻放。</w:t>
      </w:r>
    </w:p>
    <w:p w14:paraId="5CEDA0B6">
      <w:pPr>
        <w:spacing w:line="500" w:lineRule="exact"/>
        <w:ind w:firstLine="561"/>
        <w:rPr>
          <w:rFonts w:ascii="Times New Roman" w:eastAsia="仿宋"/>
          <w:sz w:val="28"/>
          <w:szCs w:val="28"/>
        </w:rPr>
      </w:pPr>
      <w:r>
        <w:rPr>
          <w:rFonts w:ascii="Times New Roman" w:eastAsia="仿宋"/>
          <w:sz w:val="28"/>
          <w:szCs w:val="28"/>
        </w:rPr>
        <w:t>（12）加强管理，固废堆场附近严禁烟火、易燃易爆的固体废物应做好防静电措施。</w:t>
      </w:r>
    </w:p>
    <w:p w14:paraId="3820FFC8">
      <w:pPr>
        <w:spacing w:line="500" w:lineRule="exact"/>
        <w:ind w:firstLine="561"/>
        <w:rPr>
          <w:rFonts w:ascii="Times New Roman" w:eastAsia="仿宋"/>
          <w:b/>
          <w:sz w:val="28"/>
          <w:szCs w:val="28"/>
        </w:rPr>
      </w:pPr>
      <w:r>
        <w:rPr>
          <w:rFonts w:ascii="Times New Roman" w:eastAsia="仿宋"/>
          <w:b/>
          <w:sz w:val="28"/>
          <w:szCs w:val="28"/>
        </w:rPr>
        <w:t>应急措施</w:t>
      </w:r>
    </w:p>
    <w:p w14:paraId="2C1533E1">
      <w:pPr>
        <w:spacing w:line="500" w:lineRule="exact"/>
        <w:ind w:firstLine="561"/>
        <w:rPr>
          <w:rFonts w:ascii="Times New Roman" w:eastAsia="仿宋"/>
          <w:bCs/>
          <w:sz w:val="28"/>
          <w:szCs w:val="28"/>
        </w:rPr>
      </w:pPr>
      <w:r>
        <w:rPr>
          <w:rFonts w:hint="eastAsia" w:ascii="仿宋" w:hAnsi="仿宋" w:eastAsia="仿宋"/>
          <w:bCs/>
          <w:sz w:val="28"/>
          <w:szCs w:val="28"/>
        </w:rPr>
        <w:t>①</w:t>
      </w:r>
      <w:r>
        <w:rPr>
          <w:rFonts w:ascii="Times New Roman" w:eastAsia="仿宋"/>
          <w:bCs/>
          <w:sz w:val="28"/>
          <w:szCs w:val="28"/>
        </w:rPr>
        <w:t>泄漏事故的应急处理</w:t>
      </w:r>
    </w:p>
    <w:p w14:paraId="38286257">
      <w:pPr>
        <w:spacing w:line="500" w:lineRule="exact"/>
        <w:ind w:firstLine="561"/>
        <w:rPr>
          <w:rFonts w:ascii="Times New Roman" w:eastAsia="仿宋"/>
          <w:bCs/>
          <w:sz w:val="28"/>
          <w:szCs w:val="28"/>
        </w:rPr>
      </w:pPr>
      <w:r>
        <w:rPr>
          <w:rFonts w:hint="eastAsia" w:ascii="Times New Roman" w:eastAsia="仿宋"/>
          <w:bCs/>
          <w:sz w:val="28"/>
          <w:szCs w:val="28"/>
        </w:rPr>
        <w:t>油漆</w:t>
      </w:r>
      <w:r>
        <w:rPr>
          <w:rFonts w:ascii="Times New Roman" w:eastAsia="仿宋"/>
          <w:bCs/>
          <w:sz w:val="28"/>
          <w:szCs w:val="28"/>
        </w:rPr>
        <w:t>、清洗剂发生泄漏时，车间岗位要查明泄漏部位（装置）和原因，凡能切断物料或倒槽处理等措施消除事故的则以自救为主，如泄漏部位无法控制的，调度应果断下达急救处置的命令，同时发出报警。</w:t>
      </w:r>
    </w:p>
    <w:p w14:paraId="2CF369F0">
      <w:pPr>
        <w:spacing w:line="500" w:lineRule="exact"/>
        <w:ind w:firstLine="561"/>
        <w:rPr>
          <w:rFonts w:ascii="Times New Roman" w:eastAsia="仿宋"/>
          <w:bCs/>
          <w:sz w:val="28"/>
          <w:szCs w:val="28"/>
        </w:rPr>
      </w:pPr>
      <w:r>
        <w:rPr>
          <w:rFonts w:ascii="Times New Roman" w:eastAsia="仿宋"/>
          <w:bCs/>
          <w:sz w:val="28"/>
          <w:szCs w:val="28"/>
        </w:rPr>
        <w:t>泄漏时应切断电源。应急处理人员带好防毒面具，穿化学防护服。在确保安全情况下堵漏。用活性炭或其它惰性材料吸收，然后作为危险废物送有资质单位处理。如大量泄漏，利用围堤收容，然后收集、转移、回收或无害处理后废弃。</w:t>
      </w:r>
    </w:p>
    <w:p w14:paraId="00C4E087">
      <w:pPr>
        <w:spacing w:line="500" w:lineRule="exact"/>
        <w:ind w:firstLine="561"/>
        <w:rPr>
          <w:rFonts w:ascii="Times New Roman" w:eastAsia="仿宋"/>
          <w:bCs/>
          <w:sz w:val="28"/>
          <w:szCs w:val="28"/>
        </w:rPr>
      </w:pPr>
      <w:r>
        <w:rPr>
          <w:rFonts w:ascii="Times New Roman" w:eastAsia="仿宋"/>
          <w:bCs/>
          <w:sz w:val="28"/>
          <w:szCs w:val="28"/>
        </w:rPr>
        <w:t>对皮肤接触人员应脱去被污染的衣着，用肥皂水和清水彻底冲洗皮肤；眼睛接触人员应提起眼睑，用流动清水或生理盐水冲洗，就医；吸入人员迅速脱离现场至空气新鲜处，保持呼吸道通畅。</w:t>
      </w:r>
    </w:p>
    <w:p w14:paraId="295BB892">
      <w:pPr>
        <w:spacing w:line="500" w:lineRule="exact"/>
        <w:ind w:firstLine="561"/>
        <w:rPr>
          <w:rFonts w:ascii="Times New Roman" w:eastAsia="仿宋"/>
          <w:bCs/>
          <w:sz w:val="28"/>
          <w:szCs w:val="28"/>
        </w:rPr>
      </w:pPr>
      <w:r>
        <w:rPr>
          <w:rFonts w:hint="eastAsia" w:ascii="Times New Roman" w:eastAsia="仿宋"/>
          <w:bCs/>
          <w:sz w:val="28"/>
          <w:szCs w:val="28"/>
        </w:rPr>
        <w:t>②事故废水防控体系</w:t>
      </w:r>
    </w:p>
    <w:p w14:paraId="5DBEEEB7">
      <w:pPr>
        <w:spacing w:line="500" w:lineRule="exact"/>
        <w:ind w:firstLine="561"/>
        <w:rPr>
          <w:rFonts w:ascii="Times New Roman" w:eastAsia="仿宋"/>
          <w:bCs/>
          <w:sz w:val="28"/>
          <w:szCs w:val="28"/>
        </w:rPr>
      </w:pPr>
      <w:r>
        <w:rPr>
          <w:rFonts w:ascii="Times New Roman" w:eastAsia="仿宋"/>
          <w:bCs/>
          <w:sz w:val="28"/>
          <w:szCs w:val="28"/>
        </w:rPr>
        <w:t>为防止事故废水对地表水体造成污染，本项目建立了事故水防控体系，针对事故情况下的泄漏液体物料及火灾扑救中的消防废水、污染雨水等事故废水采取了以下控制、收集及储存措施：</w:t>
      </w:r>
    </w:p>
    <w:p w14:paraId="5A874527">
      <w:pPr>
        <w:spacing w:line="500" w:lineRule="exact"/>
        <w:ind w:firstLine="561"/>
        <w:rPr>
          <w:rFonts w:ascii="Times New Roman" w:eastAsia="仿宋"/>
          <w:bCs/>
          <w:sz w:val="28"/>
          <w:szCs w:val="28"/>
        </w:rPr>
      </w:pPr>
      <w:r>
        <w:rPr>
          <w:rFonts w:ascii="Times New Roman" w:eastAsia="仿宋"/>
          <w:bCs/>
          <w:sz w:val="28"/>
          <w:szCs w:val="28"/>
        </w:rPr>
        <w:t>（1）雨污水排口均设置隔断，出现事故时对雨污水排口隔断，雨水排口平时处于常关状态。</w:t>
      </w:r>
    </w:p>
    <w:p w14:paraId="70F87C35">
      <w:pPr>
        <w:spacing w:line="500" w:lineRule="exact"/>
        <w:ind w:firstLine="561"/>
        <w:rPr>
          <w:rFonts w:ascii="Times New Roman" w:eastAsia="仿宋"/>
          <w:bCs/>
          <w:sz w:val="28"/>
          <w:szCs w:val="28"/>
        </w:rPr>
      </w:pPr>
      <w:r>
        <w:rPr>
          <w:rFonts w:ascii="Times New Roman" w:eastAsia="仿宋"/>
          <w:bCs/>
          <w:sz w:val="28"/>
          <w:szCs w:val="28"/>
        </w:rPr>
        <w:t>（2）生产、使用水体环境危害物质的工艺装置界区周围设有地沟围堰，以确保事故本身及处置过程中受污染排水的收集。</w:t>
      </w:r>
    </w:p>
    <w:p w14:paraId="1BD013E6">
      <w:pPr>
        <w:spacing w:line="500" w:lineRule="exact"/>
        <w:ind w:firstLine="561"/>
        <w:rPr>
          <w:rFonts w:ascii="Times New Roman" w:eastAsia="仿宋"/>
          <w:bCs/>
          <w:sz w:val="28"/>
          <w:szCs w:val="28"/>
        </w:rPr>
      </w:pPr>
      <w:r>
        <w:rPr>
          <w:rFonts w:ascii="Times New Roman" w:eastAsia="仿宋"/>
          <w:bCs/>
          <w:sz w:val="28"/>
          <w:szCs w:val="28"/>
        </w:rPr>
        <w:t>（3）收集的事故水可经本厂区污水处理站处理达标后排放，如无法处置可交由其它有资质单位处置。</w:t>
      </w:r>
    </w:p>
    <w:p w14:paraId="3AC6F8E9">
      <w:pPr>
        <w:spacing w:line="500" w:lineRule="exact"/>
        <w:ind w:firstLine="561"/>
        <w:rPr>
          <w:rFonts w:ascii="Times New Roman" w:eastAsia="仿宋"/>
          <w:bCs/>
          <w:sz w:val="28"/>
          <w:szCs w:val="28"/>
        </w:rPr>
      </w:pPr>
      <w:r>
        <w:rPr>
          <w:rFonts w:hint="eastAsia" w:ascii="Times New Roman" w:eastAsia="仿宋"/>
          <w:bCs/>
          <w:sz w:val="28"/>
          <w:szCs w:val="28"/>
        </w:rPr>
        <w:t>③</w:t>
      </w:r>
      <w:r>
        <w:rPr>
          <w:rFonts w:ascii="Times New Roman" w:eastAsia="仿宋"/>
          <w:bCs/>
          <w:sz w:val="28"/>
          <w:szCs w:val="28"/>
        </w:rPr>
        <w:t>火灾、爆炸事故的处理</w:t>
      </w:r>
    </w:p>
    <w:p w14:paraId="65BB8919">
      <w:pPr>
        <w:spacing w:line="500" w:lineRule="exact"/>
        <w:ind w:firstLine="561"/>
        <w:rPr>
          <w:rFonts w:ascii="Times New Roman" w:eastAsia="仿宋"/>
          <w:bCs/>
          <w:sz w:val="28"/>
          <w:szCs w:val="28"/>
        </w:rPr>
      </w:pPr>
      <w:r>
        <w:rPr>
          <w:rFonts w:ascii="Times New Roman" w:eastAsia="仿宋"/>
          <w:bCs/>
          <w:sz w:val="28"/>
          <w:szCs w:val="28"/>
        </w:rPr>
        <w:t>初期火灾的处理</w:t>
      </w:r>
    </w:p>
    <w:p w14:paraId="0159503B">
      <w:pPr>
        <w:spacing w:line="500" w:lineRule="exact"/>
        <w:ind w:firstLine="561"/>
        <w:rPr>
          <w:rFonts w:ascii="Times New Roman" w:eastAsia="仿宋"/>
          <w:bCs/>
          <w:sz w:val="28"/>
          <w:szCs w:val="28"/>
        </w:rPr>
      </w:pPr>
      <w:r>
        <w:rPr>
          <w:rFonts w:ascii="Times New Roman" w:eastAsia="仿宋"/>
          <w:bCs/>
          <w:sz w:val="28"/>
          <w:szCs w:val="28"/>
        </w:rPr>
        <w:t>火灾初期的3-5分钟是火灾自救的关键时机，迅速、正确地扑灭初期火灾可防止火灾蔓延扩大，减少事故损失。因此，火灾现场人员应迅速利用周边消防设施、灭火器材迅速扑灭初期火灾。</w:t>
      </w:r>
    </w:p>
    <w:p w14:paraId="232D14A7">
      <w:pPr>
        <w:spacing w:line="500" w:lineRule="exact"/>
        <w:ind w:firstLine="561"/>
        <w:rPr>
          <w:rFonts w:ascii="Times New Roman" w:eastAsia="仿宋"/>
          <w:bCs/>
          <w:sz w:val="28"/>
          <w:szCs w:val="28"/>
        </w:rPr>
      </w:pPr>
      <w:r>
        <w:rPr>
          <w:rFonts w:ascii="Times New Roman" w:eastAsia="仿宋"/>
          <w:bCs/>
          <w:sz w:val="28"/>
          <w:szCs w:val="28"/>
        </w:rPr>
        <w:t>初期火灾扑救时，应熟悉掌握各种消防设施、灭火器材的性能，不可用错。</w:t>
      </w:r>
    </w:p>
    <w:p w14:paraId="65FBC52F">
      <w:pPr>
        <w:spacing w:line="500" w:lineRule="exact"/>
        <w:ind w:firstLine="561"/>
        <w:rPr>
          <w:rFonts w:ascii="Times New Roman" w:eastAsia="仿宋"/>
          <w:bCs/>
          <w:sz w:val="28"/>
          <w:szCs w:val="28"/>
        </w:rPr>
      </w:pPr>
      <w:r>
        <w:rPr>
          <w:rFonts w:hint="eastAsia" w:ascii="Times New Roman" w:eastAsia="仿宋"/>
          <w:bCs/>
          <w:sz w:val="28"/>
          <w:szCs w:val="28"/>
        </w:rPr>
        <w:t>本项目原辅料中氟碳底漆、面漆均含油氟碳树脂，灭火时应采用泡沫灭火器、砂土等灭火器材。</w:t>
      </w:r>
    </w:p>
    <w:p w14:paraId="2655BE04">
      <w:pPr>
        <w:spacing w:line="500" w:lineRule="exact"/>
        <w:ind w:firstLine="561"/>
        <w:rPr>
          <w:rFonts w:ascii="Times New Roman" w:eastAsia="仿宋"/>
          <w:bCs/>
          <w:sz w:val="28"/>
          <w:szCs w:val="28"/>
        </w:rPr>
      </w:pPr>
      <w:r>
        <w:rPr>
          <w:rFonts w:ascii="Times New Roman" w:eastAsia="仿宋"/>
          <w:bCs/>
          <w:sz w:val="28"/>
          <w:szCs w:val="28"/>
        </w:rPr>
        <w:t>发生初期火灾或扑灭初期火灾后，应及时向应急救援组组长报告，调查分析火灾起因并作出处理。</w:t>
      </w:r>
    </w:p>
    <w:p w14:paraId="7C06D2AF">
      <w:pPr>
        <w:spacing w:line="500" w:lineRule="exact"/>
        <w:ind w:firstLine="561"/>
        <w:rPr>
          <w:rFonts w:ascii="Times New Roman" w:eastAsia="仿宋"/>
          <w:bCs/>
          <w:sz w:val="28"/>
          <w:szCs w:val="28"/>
        </w:rPr>
      </w:pPr>
      <w:r>
        <w:rPr>
          <w:rFonts w:ascii="Times New Roman" w:eastAsia="仿宋"/>
          <w:bCs/>
          <w:sz w:val="28"/>
          <w:szCs w:val="28"/>
        </w:rPr>
        <w:t>发生火灾、爆炸事故后的处理措施</w:t>
      </w:r>
    </w:p>
    <w:p w14:paraId="151B5A35">
      <w:pPr>
        <w:spacing w:line="500" w:lineRule="exact"/>
        <w:ind w:firstLine="561"/>
        <w:rPr>
          <w:rFonts w:ascii="Times New Roman" w:eastAsia="仿宋"/>
          <w:bCs/>
          <w:sz w:val="28"/>
          <w:szCs w:val="28"/>
        </w:rPr>
      </w:pPr>
      <w:r>
        <w:rPr>
          <w:rFonts w:ascii="Times New Roman" w:eastAsia="仿宋"/>
          <w:bCs/>
          <w:sz w:val="28"/>
          <w:szCs w:val="28"/>
        </w:rPr>
        <w:t>应急救援组接到报警后，迅速通知有关人员，同时发出警报，应急救援人员应迅速赶往事故现场。</w:t>
      </w:r>
    </w:p>
    <w:p w14:paraId="4273402F">
      <w:pPr>
        <w:spacing w:line="500" w:lineRule="exact"/>
        <w:ind w:firstLine="561"/>
        <w:rPr>
          <w:rFonts w:ascii="Times New Roman" w:eastAsia="仿宋"/>
          <w:bCs/>
          <w:sz w:val="28"/>
          <w:szCs w:val="28"/>
        </w:rPr>
      </w:pPr>
      <w:r>
        <w:rPr>
          <w:rFonts w:ascii="Times New Roman" w:eastAsia="仿宋"/>
          <w:bCs/>
          <w:sz w:val="28"/>
          <w:szCs w:val="28"/>
        </w:rPr>
        <w:t>切断电源。火灾、爆炸事故现场情况，拨打119、120及相关部门报警求援电话，详细说明火警发生的地址、处所、建筑物状况、人员伤亡情况等，同时派出人员接应消防队、救护车和清除交通通道障碍。</w:t>
      </w:r>
    </w:p>
    <w:p w14:paraId="4F7BC787">
      <w:pPr>
        <w:spacing w:line="500" w:lineRule="exact"/>
        <w:ind w:firstLine="561"/>
        <w:rPr>
          <w:rFonts w:ascii="Times New Roman" w:eastAsia="仿宋"/>
          <w:bCs/>
          <w:sz w:val="28"/>
          <w:szCs w:val="28"/>
        </w:rPr>
      </w:pPr>
      <w:r>
        <w:rPr>
          <w:rFonts w:ascii="Times New Roman" w:eastAsia="仿宋"/>
          <w:bCs/>
          <w:sz w:val="28"/>
          <w:szCs w:val="28"/>
        </w:rPr>
        <w:t>迅速组织抢救伤员，引导、疏散员工、周围群众撤离事故现场；在事故现场设置警戒线，防止无关人员进入。</w:t>
      </w:r>
    </w:p>
    <w:p w14:paraId="67578C01">
      <w:pPr>
        <w:spacing w:line="500" w:lineRule="exact"/>
        <w:ind w:firstLine="561"/>
        <w:rPr>
          <w:rFonts w:ascii="Times New Roman" w:eastAsia="仿宋"/>
          <w:bCs/>
          <w:sz w:val="28"/>
          <w:szCs w:val="28"/>
        </w:rPr>
      </w:pPr>
      <w:r>
        <w:rPr>
          <w:rFonts w:ascii="Times New Roman" w:eastAsia="仿宋"/>
          <w:bCs/>
          <w:sz w:val="28"/>
          <w:szCs w:val="28"/>
        </w:rPr>
        <w:t>视火灾、爆炸事故现场情况，开展火灾自救、配合消防队开展扑救。</w:t>
      </w:r>
    </w:p>
    <w:p w14:paraId="3B1F9BAD">
      <w:pPr>
        <w:spacing w:line="500" w:lineRule="exact"/>
        <w:ind w:firstLine="561"/>
        <w:rPr>
          <w:rFonts w:ascii="Times New Roman" w:eastAsia="仿宋"/>
          <w:bCs/>
          <w:sz w:val="28"/>
          <w:szCs w:val="28"/>
        </w:rPr>
      </w:pPr>
      <w:r>
        <w:rPr>
          <w:rFonts w:ascii="Times New Roman" w:eastAsia="仿宋"/>
          <w:bCs/>
          <w:sz w:val="28"/>
          <w:szCs w:val="28"/>
        </w:rPr>
        <w:t>对火灾、爆炸现场以外区域采取隔离、隔绝等措施，防止火势扩大蔓延。</w:t>
      </w:r>
    </w:p>
    <w:p w14:paraId="20E7832C">
      <w:pPr>
        <w:spacing w:line="500" w:lineRule="exact"/>
        <w:ind w:firstLine="561"/>
        <w:rPr>
          <w:rFonts w:ascii="Times New Roman" w:eastAsia="仿宋"/>
          <w:bCs/>
          <w:sz w:val="28"/>
          <w:szCs w:val="28"/>
        </w:rPr>
      </w:pPr>
      <w:r>
        <w:rPr>
          <w:rFonts w:ascii="Times New Roman" w:eastAsia="仿宋"/>
          <w:bCs/>
          <w:sz w:val="28"/>
          <w:szCs w:val="28"/>
        </w:rPr>
        <w:t>将现场内及附近的危险物质迅速转移至安全地带。</w:t>
      </w:r>
    </w:p>
    <w:p w14:paraId="24054755">
      <w:pPr>
        <w:spacing w:line="500" w:lineRule="exact"/>
        <w:ind w:firstLine="561"/>
        <w:rPr>
          <w:rFonts w:ascii="Times New Roman" w:eastAsia="仿宋"/>
          <w:bCs/>
          <w:sz w:val="28"/>
          <w:szCs w:val="28"/>
        </w:rPr>
      </w:pPr>
      <w:r>
        <w:rPr>
          <w:rFonts w:ascii="Times New Roman" w:eastAsia="仿宋"/>
          <w:bCs/>
          <w:sz w:val="28"/>
          <w:szCs w:val="28"/>
        </w:rPr>
        <w:t>事故救援中，应注意穿戴好各种防护用品（具），防止救援人员伤害。</w:t>
      </w:r>
    </w:p>
    <w:p w14:paraId="56BE1033">
      <w:pPr>
        <w:spacing w:line="500" w:lineRule="exact"/>
        <w:ind w:firstLine="561"/>
        <w:rPr>
          <w:rFonts w:ascii="Times New Roman" w:eastAsia="仿宋"/>
          <w:bCs/>
          <w:sz w:val="28"/>
          <w:szCs w:val="28"/>
        </w:rPr>
      </w:pPr>
      <w:r>
        <w:rPr>
          <w:rFonts w:hint="eastAsia" w:ascii="Times New Roman" w:eastAsia="仿宋"/>
          <w:bCs/>
          <w:sz w:val="28"/>
          <w:szCs w:val="28"/>
        </w:rPr>
        <w:t>事</w:t>
      </w:r>
      <w:r>
        <w:rPr>
          <w:rFonts w:ascii="Times New Roman" w:eastAsia="仿宋"/>
          <w:bCs/>
          <w:sz w:val="28"/>
          <w:szCs w:val="28"/>
        </w:rPr>
        <w:t>故发生后，应保护好事故现场，以便事后开展事故调查。</w:t>
      </w:r>
    </w:p>
    <w:p w14:paraId="70A80CC1">
      <w:pPr>
        <w:spacing w:line="500" w:lineRule="exact"/>
        <w:ind w:firstLine="561"/>
        <w:rPr>
          <w:rFonts w:ascii="Times New Roman" w:eastAsia="仿宋"/>
          <w:bCs/>
          <w:sz w:val="28"/>
          <w:szCs w:val="28"/>
        </w:rPr>
      </w:pPr>
      <w:r>
        <w:rPr>
          <w:rFonts w:hint="eastAsia" w:ascii="Times New Roman" w:eastAsia="仿宋"/>
          <w:bCs/>
          <w:sz w:val="28"/>
          <w:szCs w:val="28"/>
        </w:rPr>
        <w:t>④</w:t>
      </w:r>
      <w:r>
        <w:rPr>
          <w:rFonts w:ascii="Times New Roman" w:eastAsia="仿宋"/>
          <w:bCs/>
          <w:sz w:val="28"/>
          <w:szCs w:val="28"/>
        </w:rPr>
        <w:t>风险事故处理措施</w:t>
      </w:r>
    </w:p>
    <w:p w14:paraId="4A7E0B81">
      <w:pPr>
        <w:spacing w:line="500" w:lineRule="exact"/>
        <w:ind w:firstLine="561"/>
        <w:rPr>
          <w:rFonts w:ascii="Times New Roman" w:eastAsia="仿宋"/>
          <w:b/>
          <w:sz w:val="28"/>
          <w:szCs w:val="28"/>
        </w:rPr>
      </w:pPr>
      <w:r>
        <w:rPr>
          <w:rFonts w:ascii="Times New Roman" w:eastAsia="仿宋"/>
          <w:sz w:val="28"/>
          <w:szCs w:val="28"/>
        </w:rPr>
        <w:t>为了有效地处理风险事故，应有切实可行的处置措施。项目风险事故应急措施包括设备器材、事故现场指挥、救护、通讯等系统的建立、现场应急措施方案、事故危害监测队伍、现场撤离和善后措施方案等。</w:t>
      </w:r>
    </w:p>
    <w:p w14:paraId="66A19A02">
      <w:pPr>
        <w:spacing w:line="500" w:lineRule="exact"/>
        <w:ind w:firstLine="561"/>
        <w:rPr>
          <w:rFonts w:ascii="Times New Roman" w:eastAsia="仿宋"/>
          <w:sz w:val="28"/>
          <w:szCs w:val="28"/>
        </w:rPr>
      </w:pPr>
      <w:r>
        <w:rPr>
          <w:rFonts w:ascii="Times New Roman" w:eastAsia="仿宋"/>
          <w:sz w:val="28"/>
          <w:szCs w:val="28"/>
        </w:rPr>
        <w:t>（1）设立报警、通讯系统以及事故处置领导体系。</w:t>
      </w:r>
    </w:p>
    <w:p w14:paraId="4A1E290F">
      <w:pPr>
        <w:spacing w:line="500" w:lineRule="exact"/>
        <w:ind w:firstLine="561"/>
        <w:rPr>
          <w:rFonts w:ascii="Times New Roman" w:eastAsia="仿宋"/>
          <w:sz w:val="28"/>
          <w:szCs w:val="28"/>
        </w:rPr>
      </w:pPr>
      <w:r>
        <w:rPr>
          <w:rFonts w:ascii="Times New Roman" w:eastAsia="仿宋"/>
          <w:sz w:val="28"/>
          <w:szCs w:val="28"/>
        </w:rPr>
        <w:t>（2）制定有效处理事故的应急行动方案，并得到有关部门的认可，能与有关部门有效配合。</w:t>
      </w:r>
    </w:p>
    <w:p w14:paraId="712E4DB1">
      <w:pPr>
        <w:spacing w:line="500" w:lineRule="exact"/>
        <w:ind w:firstLine="561"/>
        <w:rPr>
          <w:rFonts w:ascii="Times New Roman" w:eastAsia="仿宋"/>
          <w:sz w:val="28"/>
          <w:szCs w:val="28"/>
        </w:rPr>
      </w:pPr>
      <w:r>
        <w:rPr>
          <w:rFonts w:ascii="Times New Roman" w:eastAsia="仿宋"/>
          <w:sz w:val="28"/>
          <w:szCs w:val="28"/>
        </w:rPr>
        <w:t>（3）明确职责，并落实到单位和有关人员。</w:t>
      </w:r>
    </w:p>
    <w:p w14:paraId="58310E11">
      <w:pPr>
        <w:spacing w:line="500" w:lineRule="exact"/>
        <w:ind w:firstLine="561"/>
        <w:rPr>
          <w:rFonts w:ascii="Times New Roman" w:eastAsia="仿宋"/>
          <w:sz w:val="28"/>
          <w:szCs w:val="28"/>
        </w:rPr>
      </w:pPr>
      <w:r>
        <w:rPr>
          <w:rFonts w:ascii="Times New Roman" w:eastAsia="仿宋"/>
          <w:sz w:val="28"/>
          <w:szCs w:val="28"/>
        </w:rPr>
        <w:t>（4）制定控制和减少事故影响范围、程度以及补救行动的实施计划。</w:t>
      </w:r>
    </w:p>
    <w:p w14:paraId="67885764">
      <w:pPr>
        <w:spacing w:line="500" w:lineRule="exact"/>
        <w:ind w:firstLine="561"/>
        <w:rPr>
          <w:rFonts w:ascii="Times New Roman" w:eastAsia="仿宋"/>
          <w:sz w:val="28"/>
          <w:szCs w:val="28"/>
        </w:rPr>
      </w:pPr>
      <w:r>
        <w:rPr>
          <w:rFonts w:ascii="Times New Roman" w:eastAsia="仿宋"/>
          <w:sz w:val="28"/>
          <w:szCs w:val="28"/>
        </w:rPr>
        <w:t>（5）对事故现场管理以及事故处置全过程的监督，应由富有事故处置经验的人员或有关部门工作人员承担。</w:t>
      </w:r>
    </w:p>
    <w:p w14:paraId="3D7A4F33">
      <w:pPr>
        <w:spacing w:line="500" w:lineRule="exact"/>
        <w:ind w:firstLine="561"/>
        <w:rPr>
          <w:rFonts w:ascii="Times New Roman" w:eastAsia="仿宋"/>
          <w:sz w:val="28"/>
          <w:szCs w:val="28"/>
        </w:rPr>
      </w:pPr>
      <w:r>
        <w:rPr>
          <w:rFonts w:ascii="Times New Roman" w:eastAsia="仿宋"/>
          <w:sz w:val="28"/>
          <w:szCs w:val="28"/>
        </w:rPr>
        <w:t>（6）为提高事故处置队伍的协同救援水平和实战能力，检验救援体系的应急综合运作状态，提高其实战水平，应进行应急救援演练。</w:t>
      </w:r>
    </w:p>
    <w:p w14:paraId="18D7F1AA">
      <w:pPr>
        <w:spacing w:line="500" w:lineRule="exact"/>
        <w:ind w:firstLine="561"/>
        <w:rPr>
          <w:rFonts w:ascii="Times New Roman" w:eastAsia="仿宋"/>
          <w:sz w:val="28"/>
          <w:szCs w:val="28"/>
        </w:rPr>
      </w:pPr>
      <w:r>
        <w:rPr>
          <w:rFonts w:hint="eastAsia" w:ascii="Times New Roman" w:eastAsia="仿宋"/>
          <w:sz w:val="28"/>
          <w:szCs w:val="28"/>
        </w:rPr>
        <w:t>⑤</w:t>
      </w:r>
      <w:r>
        <w:rPr>
          <w:rFonts w:ascii="Times New Roman" w:eastAsia="仿宋"/>
          <w:sz w:val="28"/>
          <w:szCs w:val="28"/>
        </w:rPr>
        <w:t>消防及火灾报警系统</w:t>
      </w:r>
    </w:p>
    <w:p w14:paraId="4DCBB10E">
      <w:pPr>
        <w:spacing w:line="500" w:lineRule="exact"/>
        <w:ind w:firstLine="561"/>
        <w:rPr>
          <w:rFonts w:ascii="Times New Roman" w:eastAsia="仿宋"/>
          <w:sz w:val="28"/>
          <w:szCs w:val="28"/>
        </w:rPr>
      </w:pPr>
      <w:r>
        <w:rPr>
          <w:rFonts w:ascii="Times New Roman" w:eastAsia="仿宋"/>
          <w:sz w:val="28"/>
          <w:szCs w:val="28"/>
        </w:rPr>
        <w:t>本项目全厂区配备必要的消防设施，包括消火栓、灭火器等。</w:t>
      </w:r>
    </w:p>
    <w:p w14:paraId="28F87D43">
      <w:pPr>
        <w:spacing w:line="500" w:lineRule="exact"/>
        <w:ind w:firstLine="561"/>
        <w:rPr>
          <w:rFonts w:ascii="Times New Roman" w:eastAsia="仿宋"/>
          <w:sz w:val="28"/>
          <w:szCs w:val="28"/>
        </w:rPr>
      </w:pPr>
      <w:r>
        <w:rPr>
          <w:rFonts w:ascii="Times New Roman" w:eastAsia="仿宋"/>
          <w:sz w:val="28"/>
          <w:szCs w:val="28"/>
        </w:rPr>
        <w:t>室外消防给水管网按环状布置，管网上设置室内消火栓，消火栓旁放置干粉灭火器。</w:t>
      </w:r>
    </w:p>
    <w:p w14:paraId="7DCF6A6C">
      <w:pPr>
        <w:spacing w:line="500" w:lineRule="exact"/>
        <w:ind w:firstLine="561"/>
        <w:rPr>
          <w:rFonts w:ascii="Times New Roman" w:eastAsia="仿宋"/>
          <w:sz w:val="28"/>
          <w:szCs w:val="28"/>
        </w:rPr>
      </w:pPr>
      <w:r>
        <w:rPr>
          <w:rFonts w:ascii="Times New Roman" w:eastAsia="仿宋"/>
          <w:sz w:val="28"/>
          <w:szCs w:val="28"/>
        </w:rPr>
        <w:t>雨水排口设置截流阀，发生泄漏、火灾或爆炸事故时，泄漏物事故伴生、次生消防水流入雨水收集系统，紧急关闭截流阀，可将泄漏物、消防水截流在雨水收集系统内，若厂内污水处理装置不能处理泄漏物，必须委托有资质的单位安全处置，杜绝以任何形式进入园区的污水管网和雨水管网。确保无任何事故废水流入长江，不对周边环境产生影响。</w:t>
      </w:r>
    </w:p>
    <w:p w14:paraId="7B6A2944">
      <w:pPr>
        <w:spacing w:line="500" w:lineRule="exact"/>
        <w:ind w:firstLine="561"/>
        <w:rPr>
          <w:rFonts w:ascii="Times New Roman" w:eastAsia="仿宋"/>
          <w:b/>
          <w:sz w:val="28"/>
          <w:szCs w:val="28"/>
        </w:rPr>
      </w:pPr>
      <w:r>
        <w:rPr>
          <w:rFonts w:ascii="Times New Roman" w:eastAsia="仿宋"/>
          <w:b/>
          <w:sz w:val="28"/>
          <w:szCs w:val="28"/>
        </w:rPr>
        <w:t>与园区环境风险防控体系的衔接</w:t>
      </w:r>
    </w:p>
    <w:p w14:paraId="344FEDDB">
      <w:pPr>
        <w:spacing w:line="500" w:lineRule="exact"/>
        <w:ind w:firstLine="561"/>
        <w:rPr>
          <w:rFonts w:ascii="Times New Roman" w:eastAsia="仿宋"/>
          <w:sz w:val="28"/>
          <w:szCs w:val="28"/>
        </w:rPr>
      </w:pPr>
      <w:r>
        <w:rPr>
          <w:rFonts w:ascii="Times New Roman" w:eastAsia="仿宋"/>
          <w:sz w:val="28"/>
          <w:szCs w:val="28"/>
        </w:rPr>
        <w:t>1）应急组织机构、人员的衔接</w:t>
      </w:r>
    </w:p>
    <w:p w14:paraId="763628D1">
      <w:pPr>
        <w:spacing w:line="500" w:lineRule="exact"/>
        <w:ind w:firstLine="561"/>
        <w:rPr>
          <w:rFonts w:ascii="Times New Roman" w:eastAsia="仿宋"/>
          <w:sz w:val="28"/>
          <w:szCs w:val="28"/>
        </w:rPr>
      </w:pPr>
      <w:r>
        <w:rPr>
          <w:rFonts w:ascii="Times New Roman" w:eastAsia="仿宋"/>
          <w:sz w:val="28"/>
          <w:szCs w:val="28"/>
        </w:rPr>
        <w:t>当发生风险事故时，企业通讯联络小组应及时承担起与当地区域或各职能管理部门的应急指挥机构的联系工作，及时将事故发生情况及最新进展向有关部门汇报，并将上级指挥机构的命令及时向厂区应急指挥小组汇报；编制环境污染事故报告，并将报告向上级部门汇报。</w:t>
      </w:r>
    </w:p>
    <w:p w14:paraId="03DF33AE">
      <w:pPr>
        <w:spacing w:line="500" w:lineRule="exact"/>
        <w:ind w:firstLine="561"/>
        <w:rPr>
          <w:rFonts w:ascii="Times New Roman" w:eastAsia="仿宋"/>
          <w:sz w:val="28"/>
          <w:szCs w:val="28"/>
        </w:rPr>
      </w:pPr>
      <w:r>
        <w:rPr>
          <w:rFonts w:ascii="Times New Roman" w:eastAsia="仿宋"/>
          <w:sz w:val="28"/>
          <w:szCs w:val="28"/>
        </w:rPr>
        <w:t>2）预案分级响应的衔接</w:t>
      </w:r>
    </w:p>
    <w:p w14:paraId="7795A752">
      <w:pPr>
        <w:spacing w:line="500" w:lineRule="exact"/>
        <w:ind w:firstLine="561"/>
        <w:rPr>
          <w:rFonts w:ascii="Times New Roman" w:eastAsia="仿宋"/>
          <w:sz w:val="28"/>
          <w:szCs w:val="28"/>
        </w:rPr>
      </w:pPr>
      <w:r>
        <w:rPr>
          <w:rFonts w:ascii="Times New Roman" w:eastAsia="仿宋"/>
          <w:sz w:val="28"/>
          <w:szCs w:val="28"/>
        </w:rPr>
        <w:t>①一般污染事故：在污染事故现场处置妥当后，经应急指挥部研究确定后，向</w:t>
      </w:r>
      <w:r>
        <w:rPr>
          <w:rFonts w:hint="eastAsia" w:ascii="Times New Roman" w:eastAsia="仿宋"/>
          <w:sz w:val="28"/>
          <w:szCs w:val="28"/>
        </w:rPr>
        <w:t>朱林现代</w:t>
      </w:r>
      <w:r>
        <w:rPr>
          <w:rFonts w:ascii="Times New Roman" w:eastAsia="仿宋"/>
          <w:sz w:val="28"/>
          <w:szCs w:val="28"/>
        </w:rPr>
        <w:t>产业园应急管理局报告处理结果。</w:t>
      </w:r>
    </w:p>
    <w:p w14:paraId="0B43A0A9">
      <w:pPr>
        <w:spacing w:line="500" w:lineRule="exact"/>
        <w:ind w:firstLine="561"/>
        <w:rPr>
          <w:rFonts w:ascii="Times New Roman" w:eastAsia="仿宋"/>
          <w:sz w:val="28"/>
          <w:szCs w:val="28"/>
        </w:rPr>
      </w:pPr>
      <w:r>
        <w:rPr>
          <w:rFonts w:ascii="Times New Roman" w:eastAsia="仿宋"/>
          <w:sz w:val="28"/>
          <w:szCs w:val="28"/>
        </w:rPr>
        <w:t>②较大或严重污染事故：应急指挥部在接到事故报警后，及时向</w:t>
      </w:r>
      <w:r>
        <w:rPr>
          <w:rFonts w:hint="eastAsia" w:ascii="Times New Roman" w:eastAsia="仿宋"/>
          <w:sz w:val="28"/>
          <w:szCs w:val="28"/>
        </w:rPr>
        <w:t>朱林现代</w:t>
      </w:r>
      <w:r>
        <w:rPr>
          <w:rFonts w:ascii="Times New Roman" w:eastAsia="仿宋"/>
          <w:sz w:val="28"/>
          <w:szCs w:val="28"/>
        </w:rPr>
        <w:t>产业园应急管理局报告，并请求支援；产业园进行紧急动员，适时启动区域的环境污染事故应急预案，迅速调集救援力量，指挥区内成员单位、相关职能部门，根据应急预案组成各个应急行动小组，按照各自的职责和现场救援具体方案开展抢险救援工作，厂内应急小组听从开发区现场指挥部的领导。现场指挥部同时将有关进展情况向</w:t>
      </w:r>
      <w:r>
        <w:rPr>
          <w:rFonts w:hint="eastAsia" w:ascii="Times New Roman" w:eastAsia="仿宋"/>
          <w:sz w:val="28"/>
          <w:szCs w:val="28"/>
        </w:rPr>
        <w:t>朱林现代</w:t>
      </w:r>
      <w:r>
        <w:rPr>
          <w:rFonts w:ascii="Times New Roman" w:eastAsia="仿宋"/>
          <w:sz w:val="28"/>
          <w:szCs w:val="28"/>
        </w:rPr>
        <w:t>产业园应急管理局汇报；污染事故基本控制稳定后，现场应急指挥部将根据专家意见，迅速调集后援力量展开事故处置工作。现场应急处理结束。</w:t>
      </w:r>
    </w:p>
    <w:p w14:paraId="737A050B">
      <w:pPr>
        <w:spacing w:line="500" w:lineRule="exact"/>
        <w:ind w:firstLine="561"/>
        <w:rPr>
          <w:rFonts w:ascii="Times New Roman" w:eastAsia="仿宋"/>
          <w:sz w:val="28"/>
          <w:szCs w:val="28"/>
        </w:rPr>
      </w:pPr>
      <w:r>
        <w:rPr>
          <w:rFonts w:ascii="Times New Roman" w:eastAsia="仿宋"/>
          <w:sz w:val="28"/>
          <w:szCs w:val="28"/>
        </w:rPr>
        <w:t>3）外部应急救援保障的衔接</w:t>
      </w:r>
    </w:p>
    <w:p w14:paraId="63BE1406">
      <w:pPr>
        <w:spacing w:line="500" w:lineRule="exact"/>
        <w:ind w:firstLine="561"/>
        <w:rPr>
          <w:rFonts w:ascii="Times New Roman" w:eastAsia="仿宋"/>
          <w:sz w:val="28"/>
          <w:szCs w:val="28"/>
        </w:rPr>
      </w:pPr>
      <w:r>
        <w:rPr>
          <w:rFonts w:ascii="Times New Roman" w:eastAsia="仿宋"/>
          <w:sz w:val="28"/>
          <w:szCs w:val="28"/>
        </w:rPr>
        <w:t>①单位互助体系：建设单位和周边企业建立良好的应急互助关系，在重大事故发生后，相互支援。</w:t>
      </w:r>
    </w:p>
    <w:p w14:paraId="3C3F2ECD">
      <w:pPr>
        <w:spacing w:line="500" w:lineRule="exact"/>
        <w:ind w:firstLine="561"/>
        <w:rPr>
          <w:rFonts w:ascii="Times New Roman" w:eastAsia="仿宋"/>
          <w:sz w:val="28"/>
          <w:szCs w:val="28"/>
        </w:rPr>
      </w:pPr>
      <w:r>
        <w:rPr>
          <w:rFonts w:ascii="Times New Roman" w:eastAsia="仿宋"/>
          <w:sz w:val="28"/>
          <w:szCs w:val="28"/>
        </w:rPr>
        <w:t>②公共援助力量：本单位还可以联系常州市</w:t>
      </w:r>
      <w:r>
        <w:rPr>
          <w:rFonts w:hint="eastAsia" w:ascii="Times New Roman" w:eastAsia="仿宋"/>
          <w:sz w:val="28"/>
          <w:szCs w:val="28"/>
        </w:rPr>
        <w:t>金坛</w:t>
      </w:r>
      <w:r>
        <w:rPr>
          <w:rFonts w:ascii="Times New Roman" w:eastAsia="仿宋"/>
          <w:sz w:val="28"/>
          <w:szCs w:val="28"/>
        </w:rPr>
        <w:t>生态环境局及</w:t>
      </w:r>
      <w:r>
        <w:rPr>
          <w:rFonts w:hint="eastAsia" w:ascii="Times New Roman" w:eastAsia="仿宋"/>
          <w:sz w:val="28"/>
          <w:szCs w:val="28"/>
        </w:rPr>
        <w:t>金坛区</w:t>
      </w:r>
      <w:r>
        <w:rPr>
          <w:rFonts w:ascii="Times New Roman" w:eastAsia="仿宋"/>
          <w:sz w:val="28"/>
          <w:szCs w:val="28"/>
        </w:rPr>
        <w:t>消防队、医院、公安、交通、应急管理局以及各相关职能部门，请求救援力量、设备的支持。</w:t>
      </w:r>
    </w:p>
    <w:p w14:paraId="03839C2C">
      <w:pPr>
        <w:spacing w:line="500" w:lineRule="exact"/>
        <w:ind w:firstLine="561"/>
        <w:rPr>
          <w:rFonts w:ascii="Times New Roman" w:eastAsia="仿宋"/>
          <w:sz w:val="28"/>
          <w:szCs w:val="28"/>
        </w:rPr>
      </w:pPr>
      <w:r>
        <w:rPr>
          <w:rFonts w:ascii="Times New Roman" w:eastAsia="仿宋"/>
          <w:sz w:val="28"/>
          <w:szCs w:val="28"/>
        </w:rPr>
        <w:t>③专家援助：本单位建立风险事故救援安全专家库，在紧急情况下，可以联系获取救援支持。</w:t>
      </w:r>
    </w:p>
    <w:p w14:paraId="6A23A8F1">
      <w:pPr>
        <w:spacing w:line="500" w:lineRule="exact"/>
        <w:ind w:firstLine="561"/>
        <w:rPr>
          <w:rFonts w:ascii="Times New Roman" w:eastAsia="仿宋"/>
          <w:sz w:val="28"/>
          <w:szCs w:val="28"/>
        </w:rPr>
      </w:pPr>
      <w:r>
        <w:rPr>
          <w:rFonts w:ascii="Times New Roman" w:eastAsia="仿宋"/>
          <w:sz w:val="28"/>
          <w:szCs w:val="28"/>
        </w:rPr>
        <w:t>4）应急培训计划的衔接</w:t>
      </w:r>
    </w:p>
    <w:p w14:paraId="1A745BFC">
      <w:pPr>
        <w:spacing w:line="500" w:lineRule="exact"/>
        <w:ind w:firstLine="561"/>
        <w:rPr>
          <w:rFonts w:ascii="Times New Roman" w:eastAsia="仿宋"/>
          <w:sz w:val="28"/>
          <w:szCs w:val="28"/>
        </w:rPr>
      </w:pPr>
      <w:r>
        <w:rPr>
          <w:rFonts w:ascii="Times New Roman" w:eastAsia="仿宋"/>
          <w:sz w:val="28"/>
          <w:szCs w:val="28"/>
        </w:rPr>
        <w:t>本单位在开展应急培训计划的同时，还应积极配合</w:t>
      </w:r>
      <w:r>
        <w:rPr>
          <w:rFonts w:hint="eastAsia" w:ascii="Times New Roman" w:eastAsia="仿宋"/>
          <w:sz w:val="28"/>
          <w:szCs w:val="28"/>
        </w:rPr>
        <w:t>朱林现代</w:t>
      </w:r>
      <w:r>
        <w:rPr>
          <w:rFonts w:ascii="Times New Roman" w:eastAsia="仿宋"/>
          <w:sz w:val="28"/>
          <w:szCs w:val="28"/>
        </w:rPr>
        <w:t>产业园应急管理局开展的应急培训计划，在发生风险事故时，及时与常州市</w:t>
      </w:r>
      <w:r>
        <w:rPr>
          <w:rFonts w:hint="eastAsia" w:ascii="Times New Roman" w:eastAsia="仿宋"/>
          <w:sz w:val="28"/>
          <w:szCs w:val="28"/>
        </w:rPr>
        <w:t>金坛区</w:t>
      </w:r>
      <w:r>
        <w:rPr>
          <w:rFonts w:ascii="Times New Roman" w:eastAsia="仿宋"/>
          <w:sz w:val="28"/>
          <w:szCs w:val="28"/>
        </w:rPr>
        <w:t>应急组织取得联系。</w:t>
      </w:r>
    </w:p>
    <w:p w14:paraId="16AE1041">
      <w:pPr>
        <w:spacing w:line="500" w:lineRule="exact"/>
        <w:ind w:firstLine="561"/>
        <w:rPr>
          <w:rFonts w:ascii="Times New Roman" w:eastAsia="仿宋"/>
          <w:sz w:val="28"/>
          <w:szCs w:val="28"/>
        </w:rPr>
      </w:pPr>
      <w:r>
        <w:rPr>
          <w:rFonts w:ascii="Times New Roman" w:eastAsia="仿宋"/>
          <w:sz w:val="28"/>
          <w:szCs w:val="28"/>
        </w:rPr>
        <w:t>5）公众教育的衔接</w:t>
      </w:r>
    </w:p>
    <w:p w14:paraId="3D19512B">
      <w:pPr>
        <w:spacing w:line="500" w:lineRule="exact"/>
        <w:ind w:firstLine="561"/>
        <w:rPr>
          <w:rFonts w:ascii="Times New Roman" w:eastAsia="仿宋"/>
          <w:sz w:val="28"/>
          <w:szCs w:val="28"/>
        </w:rPr>
      </w:pPr>
      <w:r>
        <w:rPr>
          <w:rFonts w:ascii="Times New Roman" w:eastAsia="仿宋"/>
          <w:sz w:val="28"/>
          <w:szCs w:val="28"/>
        </w:rPr>
        <w:t>本单位对附近周边企业职工、公众开展教育、培训时，应加强与周边公众和相关单位的交流，如发生事故，可更好的疏散、防护污染。</w:t>
      </w:r>
    </w:p>
    <w:p w14:paraId="2EBFF7B3">
      <w:pPr>
        <w:pStyle w:val="6"/>
        <w:keepLines w:val="0"/>
        <w:tabs>
          <w:tab w:val="left" w:pos="709"/>
        </w:tabs>
        <w:spacing w:before="0" w:after="120" w:afterLines="50" w:line="500" w:lineRule="exact"/>
        <w:rPr>
          <w:rFonts w:ascii="Times New Roman" w:eastAsia="仿宋"/>
          <w:bCs w:val="0"/>
          <w:sz w:val="28"/>
          <w:szCs w:val="28"/>
        </w:rPr>
      </w:pPr>
      <w:r>
        <w:rPr>
          <w:rFonts w:hint="eastAsia" w:ascii="Times New Roman" w:eastAsia="仿宋"/>
          <w:bCs w:val="0"/>
          <w:sz w:val="28"/>
          <w:szCs w:val="28"/>
        </w:rPr>
        <w:t>5</w:t>
      </w:r>
      <w:r>
        <w:rPr>
          <w:rFonts w:ascii="Times New Roman" w:eastAsia="仿宋"/>
          <w:bCs w:val="0"/>
          <w:sz w:val="28"/>
          <w:szCs w:val="28"/>
        </w:rPr>
        <w:t>.3.8小结</w:t>
      </w:r>
    </w:p>
    <w:p w14:paraId="7C0D0DE7">
      <w:pPr>
        <w:spacing w:line="500" w:lineRule="exact"/>
        <w:ind w:firstLine="561"/>
        <w:rPr>
          <w:rFonts w:ascii="Times New Roman" w:eastAsia="仿宋"/>
          <w:sz w:val="28"/>
          <w:szCs w:val="28"/>
        </w:rPr>
      </w:pPr>
      <w:r>
        <w:rPr>
          <w:rFonts w:ascii="Times New Roman" w:eastAsia="仿宋"/>
          <w:bCs/>
          <w:sz w:val="28"/>
          <w:szCs w:val="28"/>
        </w:rPr>
        <w:t>江苏新莱亿智能科技有限公司</w:t>
      </w:r>
      <w:r>
        <w:rPr>
          <w:rFonts w:hint="eastAsia" w:ascii="Times New Roman" w:eastAsia="仿宋"/>
          <w:sz w:val="28"/>
          <w:szCs w:val="28"/>
        </w:rPr>
        <w:t>厂区内主要危险物质为油漆、稀释剂、危险废物等，位于车间或危废仓库内。泄漏、发生火灾、爆炸事故时会对周围环境造成一定影响，通过优化平面布局、加强设备维护与日常监管将风险降到最低，本</w:t>
      </w:r>
      <w:r>
        <w:rPr>
          <w:rFonts w:ascii="Times New Roman" w:eastAsia="仿宋"/>
          <w:sz w:val="28"/>
          <w:szCs w:val="28"/>
        </w:rPr>
        <w:t>项目的大气环境风险潜势等级为</w:t>
      </w:r>
      <w:r>
        <w:rPr>
          <w:rFonts w:hint="eastAsia" w:ascii="Times New Roman" w:eastAsia="仿宋"/>
          <w:sz w:val="28"/>
          <w:szCs w:val="28"/>
        </w:rPr>
        <w:t>Ⅲ</w:t>
      </w:r>
      <w:r>
        <w:rPr>
          <w:rFonts w:ascii="Times New Roman" w:eastAsia="仿宋"/>
          <w:sz w:val="28"/>
          <w:szCs w:val="28"/>
        </w:rPr>
        <w:t>，应进行</w:t>
      </w:r>
      <w:r>
        <w:rPr>
          <w:rFonts w:hint="eastAsia" w:ascii="Times New Roman" w:eastAsia="仿宋"/>
          <w:sz w:val="28"/>
          <w:szCs w:val="28"/>
        </w:rPr>
        <w:t>二</w:t>
      </w:r>
      <w:r>
        <w:rPr>
          <w:rFonts w:ascii="Times New Roman" w:eastAsia="仿宋"/>
          <w:sz w:val="28"/>
          <w:szCs w:val="28"/>
        </w:rPr>
        <w:t>级评价；地表水环境风险潜势等级为Ⅱ，应进行</w:t>
      </w:r>
      <w:r>
        <w:rPr>
          <w:rFonts w:hint="eastAsia" w:ascii="Times New Roman" w:eastAsia="仿宋"/>
          <w:sz w:val="28"/>
          <w:szCs w:val="28"/>
        </w:rPr>
        <w:t>三</w:t>
      </w:r>
      <w:r>
        <w:rPr>
          <w:rFonts w:ascii="Times New Roman" w:eastAsia="仿宋"/>
          <w:sz w:val="28"/>
          <w:szCs w:val="28"/>
        </w:rPr>
        <w:t>级评价；地</w:t>
      </w:r>
      <w:r>
        <w:rPr>
          <w:rFonts w:hint="eastAsia" w:ascii="Times New Roman" w:eastAsia="仿宋"/>
          <w:sz w:val="28"/>
          <w:szCs w:val="28"/>
        </w:rPr>
        <w:t>下</w:t>
      </w:r>
      <w:r>
        <w:rPr>
          <w:rFonts w:ascii="Times New Roman" w:eastAsia="仿宋"/>
          <w:sz w:val="28"/>
          <w:szCs w:val="28"/>
        </w:rPr>
        <w:t>水环境风险潜势等级为Ⅰ，应进行</w:t>
      </w:r>
      <w:r>
        <w:rPr>
          <w:rFonts w:hint="eastAsia" w:ascii="Times New Roman" w:eastAsia="仿宋"/>
          <w:sz w:val="28"/>
          <w:szCs w:val="28"/>
        </w:rPr>
        <w:t>简单分析。</w:t>
      </w:r>
      <w:r>
        <w:rPr>
          <w:rFonts w:ascii="Times New Roman" w:eastAsia="仿宋"/>
          <w:bCs/>
          <w:sz w:val="28"/>
          <w:szCs w:val="28"/>
        </w:rPr>
        <w:t>江苏新莱亿智能科技有限公司</w:t>
      </w:r>
      <w:r>
        <w:rPr>
          <w:rFonts w:hint="eastAsia" w:ascii="Times New Roman" w:eastAsia="仿宋"/>
          <w:sz w:val="28"/>
          <w:szCs w:val="28"/>
        </w:rPr>
        <w:t>厂区危险物质存在一定危险性，虽然在企业卫生防护距离内无环境敏感点，但一旦发生泄漏和火灾、爆炸事故仍会对周围环境产生影响。增加灭火器、消防栓以及黄沙等风险应急物资增强风险应急控制能力，与有资质的监测单位签订协议，事故发生时及时进行环境监测。因此，企业应加强管理、严格规范操作，做好各项风险防范措施，确保全厂环境风险在可接受范围内。</w:t>
      </w:r>
    </w:p>
    <w:p w14:paraId="3563421C">
      <w:pPr>
        <w:spacing w:line="500" w:lineRule="exact"/>
        <w:ind w:firstLine="561"/>
        <w:rPr>
          <w:rFonts w:ascii="Times New Roman" w:eastAsia="仿宋"/>
          <w:sz w:val="28"/>
          <w:szCs w:val="28"/>
        </w:rPr>
      </w:pPr>
      <w:r>
        <w:rPr>
          <w:rFonts w:ascii="Times New Roman" w:eastAsia="仿宋"/>
          <w:sz w:val="28"/>
          <w:szCs w:val="28"/>
        </w:rPr>
        <w:t>厂区危险物质及工艺系统具有一定的危险性，在</w:t>
      </w:r>
      <w:r>
        <w:rPr>
          <w:rFonts w:hint="eastAsia" w:ascii="Times New Roman" w:eastAsia="仿宋"/>
          <w:sz w:val="28"/>
          <w:szCs w:val="28"/>
        </w:rPr>
        <w:t>做好各项风险防范及应急措施的前提下环境风险可控</w:t>
      </w:r>
      <w:r>
        <w:rPr>
          <w:rFonts w:ascii="Times New Roman" w:eastAsia="仿宋"/>
          <w:sz w:val="28"/>
          <w:szCs w:val="28"/>
        </w:rPr>
        <w:t>。</w:t>
      </w:r>
    </w:p>
    <w:p w14:paraId="4905EEB3">
      <w:pPr>
        <w:spacing w:line="500" w:lineRule="exact"/>
        <w:ind w:firstLine="561"/>
        <w:rPr>
          <w:rFonts w:ascii="Times New Roman" w:eastAsia="仿宋"/>
          <w:sz w:val="28"/>
          <w:szCs w:val="28"/>
        </w:rPr>
      </w:pPr>
      <w:r>
        <w:rPr>
          <w:rFonts w:hint="eastAsia" w:ascii="Times New Roman" w:eastAsia="仿宋"/>
          <w:sz w:val="28"/>
          <w:szCs w:val="28"/>
        </w:rPr>
        <w:t>根据《建设项目环境风险评价技术导则》（H</w:t>
      </w:r>
      <w:r>
        <w:rPr>
          <w:rFonts w:ascii="Times New Roman" w:eastAsia="仿宋"/>
          <w:sz w:val="28"/>
          <w:szCs w:val="28"/>
        </w:rPr>
        <w:t>J169-2018</w:t>
      </w:r>
      <w:r>
        <w:rPr>
          <w:rFonts w:hint="eastAsia" w:ascii="Times New Roman" w:eastAsia="仿宋"/>
          <w:sz w:val="28"/>
          <w:szCs w:val="28"/>
        </w:rPr>
        <w:t>），</w:t>
      </w:r>
      <w:r>
        <w:rPr>
          <w:rFonts w:ascii="Times New Roman" w:eastAsia="仿宋"/>
          <w:sz w:val="28"/>
          <w:szCs w:val="28"/>
        </w:rPr>
        <w:t>对环境</w:t>
      </w:r>
      <w:r>
        <w:rPr>
          <w:rFonts w:hint="eastAsia" w:ascii="Times New Roman" w:eastAsia="仿宋"/>
          <w:sz w:val="28"/>
          <w:szCs w:val="28"/>
        </w:rPr>
        <w:t>风险</w:t>
      </w:r>
      <w:r>
        <w:rPr>
          <w:rFonts w:ascii="Times New Roman" w:eastAsia="仿宋"/>
          <w:sz w:val="28"/>
          <w:szCs w:val="28"/>
        </w:rPr>
        <w:t>影响评价主要内容与结论进行自查，自查表如下。</w:t>
      </w:r>
    </w:p>
    <w:p w14:paraId="5D4855FD">
      <w:pPr>
        <w:snapToGrid w:val="0"/>
        <w:spacing w:line="500" w:lineRule="exact"/>
        <w:ind w:firstLine="560" w:firstLineChars="200"/>
        <w:rPr>
          <w:rFonts w:ascii="Times New Roman" w:eastAsia="仿宋"/>
          <w:sz w:val="28"/>
          <w:szCs w:val="28"/>
        </w:rPr>
        <w:sectPr>
          <w:pgSz w:w="11906" w:h="16838"/>
          <w:pgMar w:top="1440" w:right="1800" w:bottom="1440" w:left="1800" w:header="851" w:footer="992" w:gutter="0"/>
          <w:cols w:space="720" w:num="1"/>
          <w:docGrid w:linePitch="312" w:charSpace="0"/>
        </w:sectPr>
      </w:pPr>
    </w:p>
    <w:p w14:paraId="7B0F2A2C">
      <w:pPr>
        <w:spacing w:line="500" w:lineRule="exact"/>
        <w:ind w:firstLine="482" w:firstLineChars="200"/>
        <w:jc w:val="center"/>
        <w:rPr>
          <w:rFonts w:ascii="Times New Roman" w:eastAsia="仿宋"/>
          <w:b/>
        </w:rPr>
      </w:pPr>
      <w:r>
        <w:rPr>
          <w:rFonts w:ascii="Times New Roman" w:eastAsia="仿宋"/>
          <w:b/>
        </w:rPr>
        <w:t>表5.3-</w:t>
      </w:r>
      <w:r>
        <w:rPr>
          <w:rFonts w:hint="eastAsia" w:ascii="Times New Roman" w:eastAsia="仿宋"/>
          <w:b/>
        </w:rPr>
        <w:t>35</w:t>
      </w:r>
      <w:r>
        <w:rPr>
          <w:rFonts w:ascii="Times New Roman" w:eastAsia="仿宋"/>
          <w:b/>
        </w:rPr>
        <w:t xml:space="preserve">  环境风险评价自查表</w:t>
      </w:r>
    </w:p>
    <w:tbl>
      <w:tblPr>
        <w:tblStyle w:val="8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62"/>
        <w:gridCol w:w="734"/>
        <w:gridCol w:w="745"/>
        <w:gridCol w:w="249"/>
        <w:gridCol w:w="632"/>
        <w:gridCol w:w="263"/>
        <w:gridCol w:w="618"/>
        <w:gridCol w:w="365"/>
        <w:gridCol w:w="467"/>
        <w:gridCol w:w="210"/>
        <w:gridCol w:w="275"/>
        <w:gridCol w:w="382"/>
        <w:gridCol w:w="748"/>
        <w:gridCol w:w="91"/>
        <w:gridCol w:w="1025"/>
        <w:gridCol w:w="816"/>
        <w:gridCol w:w="85"/>
        <w:gridCol w:w="923"/>
        <w:gridCol w:w="1413"/>
        <w:gridCol w:w="1578"/>
        <w:gridCol w:w="1094"/>
      </w:tblGrid>
      <w:tr w14:paraId="64DE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Align w:val="center"/>
          </w:tcPr>
          <w:p w14:paraId="6B1B7E59">
            <w:pPr>
              <w:jc w:val="center"/>
              <w:rPr>
                <w:rFonts w:ascii="Times New Roman" w:eastAsia="仿宋"/>
                <w:bCs/>
                <w:szCs w:val="24"/>
                <w:lang w:val="zh-CN"/>
              </w:rPr>
            </w:pPr>
            <w:r>
              <w:rPr>
                <w:rFonts w:ascii="Times New Roman" w:eastAsia="仿宋"/>
                <w:bCs/>
                <w:szCs w:val="24"/>
                <w:lang w:val="zh-CN"/>
              </w:rPr>
              <w:t>工作内容</w:t>
            </w:r>
          </w:p>
        </w:tc>
        <w:tc>
          <w:tcPr>
            <w:tcW w:w="4488" w:type="pct"/>
            <w:gridSpan w:val="20"/>
            <w:vAlign w:val="center"/>
          </w:tcPr>
          <w:p w14:paraId="10D649A7">
            <w:pPr>
              <w:jc w:val="center"/>
              <w:rPr>
                <w:rFonts w:ascii="Times New Roman" w:eastAsia="仿宋"/>
                <w:bCs/>
                <w:szCs w:val="24"/>
                <w:lang w:val="zh-CN"/>
              </w:rPr>
            </w:pPr>
            <w:r>
              <w:rPr>
                <w:rFonts w:ascii="Times New Roman" w:eastAsia="仿宋"/>
                <w:bCs/>
                <w:szCs w:val="24"/>
                <w:lang w:val="zh-CN"/>
              </w:rPr>
              <w:t>完成情况</w:t>
            </w:r>
          </w:p>
        </w:tc>
      </w:tr>
      <w:tr w14:paraId="20C1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43" w:type="pct"/>
            <w:vMerge w:val="restart"/>
            <w:vAlign w:val="center"/>
          </w:tcPr>
          <w:p w14:paraId="5A340603">
            <w:pPr>
              <w:jc w:val="center"/>
              <w:rPr>
                <w:rFonts w:ascii="Times New Roman" w:eastAsia="仿宋"/>
                <w:bCs/>
                <w:szCs w:val="24"/>
                <w:lang w:val="zh-CN"/>
              </w:rPr>
            </w:pPr>
            <w:r>
              <w:rPr>
                <w:rFonts w:ascii="Times New Roman" w:eastAsia="仿宋"/>
                <w:bCs/>
                <w:szCs w:val="24"/>
                <w:lang w:val="zh-CN"/>
              </w:rPr>
              <w:t>风险调查</w:t>
            </w:r>
          </w:p>
        </w:tc>
        <w:tc>
          <w:tcPr>
            <w:tcW w:w="269" w:type="pct"/>
            <w:vMerge w:val="restart"/>
            <w:vAlign w:val="center"/>
          </w:tcPr>
          <w:p w14:paraId="58301C8A">
            <w:pPr>
              <w:jc w:val="center"/>
              <w:rPr>
                <w:rFonts w:ascii="Times New Roman" w:eastAsia="仿宋"/>
                <w:bCs/>
                <w:szCs w:val="24"/>
                <w:lang w:val="zh-CN"/>
              </w:rPr>
            </w:pPr>
            <w:r>
              <w:rPr>
                <w:rFonts w:ascii="Times New Roman" w:eastAsia="仿宋"/>
                <w:bCs/>
                <w:szCs w:val="24"/>
                <w:lang w:val="zh-CN"/>
              </w:rPr>
              <w:t>危险物质</w:t>
            </w:r>
          </w:p>
        </w:tc>
        <w:tc>
          <w:tcPr>
            <w:tcW w:w="259" w:type="pct"/>
            <w:vAlign w:val="center"/>
          </w:tcPr>
          <w:p w14:paraId="18B94B5D">
            <w:pPr>
              <w:jc w:val="center"/>
              <w:rPr>
                <w:rFonts w:ascii="Times New Roman" w:eastAsia="仿宋"/>
                <w:bCs/>
                <w:szCs w:val="24"/>
                <w:lang w:val="zh-CN"/>
              </w:rPr>
            </w:pPr>
            <w:r>
              <w:rPr>
                <w:rFonts w:ascii="Times New Roman" w:eastAsia="仿宋"/>
                <w:bCs/>
                <w:szCs w:val="24"/>
                <w:lang w:val="zh-CN"/>
              </w:rPr>
              <w:t>名称</w:t>
            </w:r>
          </w:p>
        </w:tc>
        <w:tc>
          <w:tcPr>
            <w:tcW w:w="263" w:type="pct"/>
            <w:vAlign w:val="center"/>
          </w:tcPr>
          <w:p w14:paraId="0197C9C6">
            <w:pPr>
              <w:jc w:val="center"/>
              <w:rPr>
                <w:rFonts w:ascii="Times New Roman" w:eastAsia="仿宋"/>
                <w:bCs/>
                <w:szCs w:val="24"/>
                <w:lang w:val="zh-CN"/>
              </w:rPr>
            </w:pPr>
            <w:r>
              <w:rPr>
                <w:rFonts w:hint="eastAsia" w:ascii="Times New Roman" w:eastAsia="仿宋"/>
                <w:bCs/>
                <w:szCs w:val="24"/>
                <w:lang w:val="zh-CN"/>
              </w:rPr>
              <w:t>清洗剂</w:t>
            </w:r>
          </w:p>
        </w:tc>
        <w:tc>
          <w:tcPr>
            <w:tcW w:w="311" w:type="pct"/>
            <w:gridSpan w:val="2"/>
            <w:vAlign w:val="center"/>
          </w:tcPr>
          <w:p w14:paraId="3D83F999">
            <w:pPr>
              <w:jc w:val="center"/>
              <w:rPr>
                <w:rFonts w:ascii="Times New Roman" w:eastAsia="仿宋"/>
                <w:bCs/>
                <w:szCs w:val="24"/>
                <w:lang w:val="zh-CN"/>
              </w:rPr>
            </w:pPr>
            <w:r>
              <w:rPr>
                <w:rFonts w:hint="eastAsia" w:ascii="Times New Roman" w:eastAsia="仿宋"/>
                <w:szCs w:val="21"/>
              </w:rPr>
              <w:t>氟碳底漆</w:t>
            </w:r>
          </w:p>
        </w:tc>
        <w:tc>
          <w:tcPr>
            <w:tcW w:w="311" w:type="pct"/>
            <w:gridSpan w:val="2"/>
            <w:vAlign w:val="center"/>
          </w:tcPr>
          <w:p w14:paraId="506609AF">
            <w:pPr>
              <w:jc w:val="center"/>
              <w:rPr>
                <w:rFonts w:ascii="Times New Roman" w:eastAsia="仿宋"/>
                <w:bCs/>
                <w:szCs w:val="24"/>
                <w:lang w:val="zh-CN"/>
              </w:rPr>
            </w:pPr>
            <w:r>
              <w:rPr>
                <w:rFonts w:hint="eastAsia" w:ascii="Times New Roman" w:eastAsia="仿宋"/>
                <w:szCs w:val="21"/>
              </w:rPr>
              <w:t>氟碳面漆</w:t>
            </w:r>
          </w:p>
        </w:tc>
        <w:tc>
          <w:tcPr>
            <w:tcW w:w="294" w:type="pct"/>
            <w:gridSpan w:val="2"/>
            <w:vAlign w:val="center"/>
          </w:tcPr>
          <w:p w14:paraId="24BA19B3">
            <w:pPr>
              <w:jc w:val="center"/>
              <w:rPr>
                <w:rFonts w:ascii="Times New Roman" w:eastAsia="仿宋"/>
                <w:bCs/>
                <w:szCs w:val="24"/>
                <w:lang w:val="zh-CN"/>
              </w:rPr>
            </w:pPr>
            <w:r>
              <w:rPr>
                <w:rFonts w:hint="eastAsia" w:ascii="Times New Roman" w:eastAsia="仿宋"/>
                <w:szCs w:val="21"/>
              </w:rPr>
              <w:t>稀释剂</w:t>
            </w:r>
          </w:p>
        </w:tc>
        <w:tc>
          <w:tcPr>
            <w:tcW w:w="306" w:type="pct"/>
            <w:gridSpan w:val="3"/>
            <w:vAlign w:val="center"/>
          </w:tcPr>
          <w:p w14:paraId="2A2630CD">
            <w:pPr>
              <w:jc w:val="center"/>
              <w:rPr>
                <w:rFonts w:ascii="Times New Roman" w:eastAsia="仿宋"/>
                <w:bCs/>
                <w:szCs w:val="24"/>
                <w:lang w:val="zh-CN"/>
              </w:rPr>
            </w:pPr>
            <w:r>
              <w:rPr>
                <w:rFonts w:hint="eastAsia" w:ascii="Times New Roman" w:eastAsia="仿宋"/>
                <w:szCs w:val="21"/>
              </w:rPr>
              <w:t>机油</w:t>
            </w:r>
          </w:p>
        </w:tc>
        <w:tc>
          <w:tcPr>
            <w:tcW w:w="296" w:type="pct"/>
            <w:gridSpan w:val="2"/>
            <w:vAlign w:val="center"/>
          </w:tcPr>
          <w:p w14:paraId="3E9541D2">
            <w:pPr>
              <w:jc w:val="center"/>
              <w:rPr>
                <w:rFonts w:ascii="Times New Roman" w:eastAsia="仿宋"/>
                <w:bCs/>
                <w:szCs w:val="24"/>
                <w:lang w:val="zh-CN"/>
              </w:rPr>
            </w:pPr>
            <w:r>
              <w:rPr>
                <w:rFonts w:hint="eastAsia" w:ascii="Times New Roman" w:eastAsia="仿宋"/>
                <w:bCs/>
                <w:szCs w:val="24"/>
                <w:lang w:val="zh-CN"/>
              </w:rPr>
              <w:t>废水</w:t>
            </w:r>
          </w:p>
        </w:tc>
        <w:tc>
          <w:tcPr>
            <w:tcW w:w="362" w:type="pct"/>
            <w:vAlign w:val="center"/>
          </w:tcPr>
          <w:p w14:paraId="05B444B1">
            <w:pPr>
              <w:jc w:val="center"/>
              <w:rPr>
                <w:rFonts w:ascii="Times New Roman" w:eastAsia="仿宋"/>
                <w:bCs/>
                <w:szCs w:val="24"/>
                <w:lang w:val="zh-CN"/>
              </w:rPr>
            </w:pPr>
            <w:r>
              <w:rPr>
                <w:rFonts w:ascii="Times New Roman" w:eastAsia="仿宋"/>
                <w:szCs w:val="21"/>
              </w:rPr>
              <w:t>漆渣等危险废物</w:t>
            </w:r>
          </w:p>
        </w:tc>
        <w:tc>
          <w:tcPr>
            <w:tcW w:w="288" w:type="pct"/>
            <w:vAlign w:val="center"/>
          </w:tcPr>
          <w:p w14:paraId="45AC56BE">
            <w:pPr>
              <w:jc w:val="center"/>
              <w:rPr>
                <w:rFonts w:ascii="Times New Roman" w:eastAsia="仿宋"/>
                <w:bCs/>
                <w:szCs w:val="24"/>
                <w:lang w:val="zh-CN"/>
              </w:rPr>
            </w:pPr>
            <w:r>
              <w:rPr>
                <w:rFonts w:hint="eastAsia" w:ascii="Times New Roman" w:eastAsia="仿宋"/>
                <w:szCs w:val="21"/>
              </w:rPr>
              <w:t>废机油</w:t>
            </w:r>
          </w:p>
        </w:tc>
        <w:tc>
          <w:tcPr>
            <w:tcW w:w="356" w:type="pct"/>
            <w:gridSpan w:val="2"/>
            <w:vAlign w:val="center"/>
          </w:tcPr>
          <w:p w14:paraId="72B98595">
            <w:pPr>
              <w:jc w:val="center"/>
              <w:rPr>
                <w:rFonts w:ascii="Times New Roman" w:eastAsia="仿宋"/>
                <w:bCs/>
                <w:szCs w:val="24"/>
                <w:lang w:val="zh-CN"/>
              </w:rPr>
            </w:pPr>
            <w:r>
              <w:rPr>
                <w:rFonts w:hint="eastAsia" w:ascii="Times New Roman" w:eastAsia="仿宋"/>
                <w:szCs w:val="21"/>
              </w:rPr>
              <w:t>废活性炭</w:t>
            </w:r>
          </w:p>
        </w:tc>
        <w:tc>
          <w:tcPr>
            <w:tcW w:w="499" w:type="pct"/>
            <w:vAlign w:val="center"/>
          </w:tcPr>
          <w:p w14:paraId="5F2806A8">
            <w:pPr>
              <w:jc w:val="center"/>
              <w:rPr>
                <w:rFonts w:ascii="Times New Roman" w:eastAsia="仿宋"/>
                <w:bCs/>
                <w:szCs w:val="24"/>
                <w:lang w:val="zh-CN"/>
              </w:rPr>
            </w:pPr>
            <w:r>
              <w:rPr>
                <w:rFonts w:hint="eastAsia" w:ascii="Times New Roman" w:eastAsia="仿宋"/>
                <w:szCs w:val="21"/>
              </w:rPr>
              <w:t>废催化剂</w:t>
            </w:r>
          </w:p>
        </w:tc>
        <w:tc>
          <w:tcPr>
            <w:tcW w:w="557" w:type="pct"/>
            <w:vAlign w:val="center"/>
          </w:tcPr>
          <w:p w14:paraId="0D3D6015">
            <w:pPr>
              <w:jc w:val="center"/>
              <w:rPr>
                <w:rFonts w:ascii="Times New Roman" w:eastAsia="仿宋"/>
                <w:bCs/>
                <w:szCs w:val="24"/>
                <w:lang w:val="zh-CN"/>
              </w:rPr>
            </w:pPr>
            <w:r>
              <w:rPr>
                <w:rFonts w:hint="eastAsia" w:ascii="Times New Roman" w:eastAsia="仿宋"/>
                <w:szCs w:val="21"/>
              </w:rPr>
              <w:t>污泥</w:t>
            </w:r>
          </w:p>
        </w:tc>
        <w:tc>
          <w:tcPr>
            <w:tcW w:w="386" w:type="pct"/>
            <w:vAlign w:val="center"/>
          </w:tcPr>
          <w:p w14:paraId="35536097">
            <w:pPr>
              <w:jc w:val="center"/>
              <w:rPr>
                <w:rFonts w:ascii="Times New Roman" w:eastAsia="仿宋"/>
                <w:bCs/>
                <w:szCs w:val="24"/>
                <w:lang w:val="zh-CN"/>
              </w:rPr>
            </w:pPr>
            <w:r>
              <w:rPr>
                <w:rFonts w:hint="eastAsia" w:ascii="Times New Roman" w:eastAsia="仿宋"/>
                <w:szCs w:val="21"/>
              </w:rPr>
              <w:t>废清洗液</w:t>
            </w:r>
          </w:p>
        </w:tc>
      </w:tr>
      <w:tr w14:paraId="0D1E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 w:type="pct"/>
            <w:vMerge w:val="continue"/>
            <w:vAlign w:val="center"/>
          </w:tcPr>
          <w:p w14:paraId="1F6026A1">
            <w:pPr>
              <w:jc w:val="center"/>
              <w:rPr>
                <w:rFonts w:ascii="Times New Roman" w:eastAsia="仿宋"/>
                <w:bCs/>
                <w:szCs w:val="24"/>
                <w:lang w:val="zh-CN"/>
              </w:rPr>
            </w:pPr>
          </w:p>
        </w:tc>
        <w:tc>
          <w:tcPr>
            <w:tcW w:w="269" w:type="pct"/>
            <w:vMerge w:val="continue"/>
            <w:vAlign w:val="center"/>
          </w:tcPr>
          <w:p w14:paraId="439785CC">
            <w:pPr>
              <w:jc w:val="center"/>
              <w:rPr>
                <w:rFonts w:ascii="Times New Roman" w:eastAsia="仿宋"/>
                <w:bCs/>
                <w:szCs w:val="24"/>
                <w:lang w:val="zh-CN"/>
              </w:rPr>
            </w:pPr>
          </w:p>
        </w:tc>
        <w:tc>
          <w:tcPr>
            <w:tcW w:w="259" w:type="pct"/>
            <w:vAlign w:val="center"/>
          </w:tcPr>
          <w:p w14:paraId="32A8F693">
            <w:pPr>
              <w:jc w:val="center"/>
              <w:rPr>
                <w:rFonts w:ascii="Times New Roman" w:eastAsia="仿宋"/>
                <w:bCs/>
                <w:szCs w:val="24"/>
                <w:lang w:val="zh-CN"/>
              </w:rPr>
            </w:pPr>
            <w:r>
              <w:rPr>
                <w:rFonts w:ascii="Times New Roman" w:eastAsia="仿宋"/>
                <w:bCs/>
                <w:szCs w:val="24"/>
                <w:lang w:val="zh-CN"/>
              </w:rPr>
              <w:t>存在总量/t</w:t>
            </w:r>
          </w:p>
        </w:tc>
        <w:tc>
          <w:tcPr>
            <w:tcW w:w="263" w:type="pct"/>
            <w:vAlign w:val="center"/>
          </w:tcPr>
          <w:p w14:paraId="7B825A53">
            <w:pPr>
              <w:jc w:val="center"/>
              <w:rPr>
                <w:rFonts w:ascii="Times New Roman" w:eastAsia="仿宋"/>
                <w:bCs/>
                <w:szCs w:val="24"/>
              </w:rPr>
            </w:pPr>
            <w:r>
              <w:rPr>
                <w:rFonts w:hint="eastAsia" w:ascii="Times New Roman" w:eastAsia="仿宋"/>
                <w:bCs/>
                <w:szCs w:val="24"/>
              </w:rPr>
              <w:t>3</w:t>
            </w:r>
            <w:r>
              <w:rPr>
                <w:rFonts w:ascii="Times New Roman" w:eastAsia="仿宋"/>
                <w:bCs/>
                <w:szCs w:val="24"/>
              </w:rPr>
              <w:t>.5</w:t>
            </w:r>
          </w:p>
        </w:tc>
        <w:tc>
          <w:tcPr>
            <w:tcW w:w="311" w:type="pct"/>
            <w:gridSpan w:val="2"/>
            <w:vAlign w:val="center"/>
          </w:tcPr>
          <w:p w14:paraId="24411B85">
            <w:pPr>
              <w:jc w:val="center"/>
              <w:rPr>
                <w:rFonts w:ascii="Times New Roman" w:eastAsia="仿宋"/>
                <w:bCs/>
                <w:szCs w:val="24"/>
              </w:rPr>
            </w:pPr>
            <w:r>
              <w:rPr>
                <w:rFonts w:hint="eastAsia" w:ascii="Times New Roman" w:eastAsia="仿宋"/>
                <w:bCs/>
                <w:szCs w:val="24"/>
              </w:rPr>
              <w:t>4</w:t>
            </w:r>
          </w:p>
        </w:tc>
        <w:tc>
          <w:tcPr>
            <w:tcW w:w="311" w:type="pct"/>
            <w:gridSpan w:val="2"/>
            <w:vAlign w:val="center"/>
          </w:tcPr>
          <w:p w14:paraId="1321CF06">
            <w:pPr>
              <w:jc w:val="center"/>
              <w:rPr>
                <w:rFonts w:ascii="Times New Roman" w:eastAsia="仿宋"/>
                <w:bCs/>
                <w:szCs w:val="24"/>
              </w:rPr>
            </w:pPr>
            <w:r>
              <w:rPr>
                <w:rFonts w:hint="eastAsia" w:ascii="Times New Roman" w:eastAsia="仿宋"/>
                <w:bCs/>
                <w:szCs w:val="24"/>
              </w:rPr>
              <w:t>4</w:t>
            </w:r>
          </w:p>
        </w:tc>
        <w:tc>
          <w:tcPr>
            <w:tcW w:w="294" w:type="pct"/>
            <w:gridSpan w:val="2"/>
            <w:vAlign w:val="center"/>
          </w:tcPr>
          <w:p w14:paraId="18FDE442">
            <w:pPr>
              <w:jc w:val="center"/>
              <w:rPr>
                <w:rFonts w:ascii="Times New Roman" w:eastAsia="仿宋"/>
                <w:bCs/>
                <w:szCs w:val="24"/>
              </w:rPr>
            </w:pPr>
            <w:r>
              <w:rPr>
                <w:rFonts w:hint="eastAsia" w:ascii="Times New Roman" w:eastAsia="仿宋"/>
                <w:bCs/>
                <w:szCs w:val="24"/>
              </w:rPr>
              <w:t>4</w:t>
            </w:r>
          </w:p>
        </w:tc>
        <w:tc>
          <w:tcPr>
            <w:tcW w:w="306" w:type="pct"/>
            <w:gridSpan w:val="3"/>
            <w:vAlign w:val="center"/>
          </w:tcPr>
          <w:p w14:paraId="2B9EB9D5">
            <w:pPr>
              <w:jc w:val="center"/>
              <w:rPr>
                <w:rFonts w:ascii="Times New Roman" w:eastAsia="仿宋"/>
                <w:bCs/>
                <w:szCs w:val="24"/>
              </w:rPr>
            </w:pPr>
            <w:r>
              <w:rPr>
                <w:rFonts w:ascii="Times New Roman" w:eastAsia="仿宋"/>
                <w:bCs/>
                <w:szCs w:val="24"/>
              </w:rPr>
              <w:t>0.4</w:t>
            </w:r>
          </w:p>
        </w:tc>
        <w:tc>
          <w:tcPr>
            <w:tcW w:w="296" w:type="pct"/>
            <w:gridSpan w:val="2"/>
            <w:vAlign w:val="center"/>
          </w:tcPr>
          <w:p w14:paraId="2866266E">
            <w:pPr>
              <w:jc w:val="center"/>
              <w:rPr>
                <w:rFonts w:ascii="Times New Roman" w:eastAsia="仿宋"/>
                <w:bCs/>
                <w:szCs w:val="24"/>
              </w:rPr>
            </w:pPr>
            <w:r>
              <w:rPr>
                <w:rFonts w:hint="eastAsia" w:ascii="Times New Roman" w:eastAsia="仿宋"/>
                <w:bCs/>
                <w:szCs w:val="24"/>
              </w:rPr>
              <w:t>2</w:t>
            </w:r>
            <w:r>
              <w:rPr>
                <w:rFonts w:ascii="Times New Roman" w:eastAsia="仿宋"/>
                <w:bCs/>
                <w:szCs w:val="24"/>
              </w:rPr>
              <w:t>0</w:t>
            </w:r>
          </w:p>
        </w:tc>
        <w:tc>
          <w:tcPr>
            <w:tcW w:w="362" w:type="pct"/>
            <w:vAlign w:val="center"/>
          </w:tcPr>
          <w:p w14:paraId="47AE6DB5">
            <w:pPr>
              <w:jc w:val="center"/>
              <w:rPr>
                <w:rFonts w:ascii="Times New Roman" w:eastAsia="仿宋"/>
                <w:bCs/>
                <w:szCs w:val="24"/>
              </w:rPr>
            </w:pPr>
            <w:r>
              <w:rPr>
                <w:rFonts w:hint="eastAsia" w:ascii="Times New Roman" w:eastAsia="仿宋"/>
                <w:bCs/>
                <w:szCs w:val="24"/>
              </w:rPr>
              <w:t>5</w:t>
            </w:r>
            <w:r>
              <w:rPr>
                <w:rFonts w:ascii="Times New Roman" w:eastAsia="仿宋"/>
                <w:bCs/>
                <w:szCs w:val="24"/>
              </w:rPr>
              <w:t>.36</w:t>
            </w:r>
          </w:p>
        </w:tc>
        <w:tc>
          <w:tcPr>
            <w:tcW w:w="288" w:type="pct"/>
            <w:vAlign w:val="center"/>
          </w:tcPr>
          <w:p w14:paraId="72E6279D">
            <w:pPr>
              <w:jc w:val="center"/>
              <w:rPr>
                <w:rFonts w:ascii="Times New Roman" w:eastAsia="仿宋"/>
                <w:bCs/>
                <w:szCs w:val="24"/>
              </w:rPr>
            </w:pPr>
            <w:r>
              <w:rPr>
                <w:rFonts w:hint="eastAsia" w:ascii="Times New Roman" w:eastAsia="仿宋"/>
                <w:bCs/>
                <w:szCs w:val="24"/>
              </w:rPr>
              <w:t>0</w:t>
            </w:r>
            <w:r>
              <w:rPr>
                <w:rFonts w:ascii="Times New Roman" w:eastAsia="仿宋"/>
                <w:bCs/>
                <w:szCs w:val="24"/>
              </w:rPr>
              <w:t>.5</w:t>
            </w:r>
          </w:p>
        </w:tc>
        <w:tc>
          <w:tcPr>
            <w:tcW w:w="356" w:type="pct"/>
            <w:gridSpan w:val="2"/>
            <w:vAlign w:val="center"/>
          </w:tcPr>
          <w:p w14:paraId="7E681751">
            <w:pPr>
              <w:jc w:val="center"/>
              <w:rPr>
                <w:rFonts w:ascii="Times New Roman" w:eastAsia="仿宋"/>
                <w:bCs/>
                <w:szCs w:val="24"/>
              </w:rPr>
            </w:pPr>
            <w:r>
              <w:rPr>
                <w:rFonts w:hint="eastAsia" w:ascii="Times New Roman" w:eastAsia="仿宋"/>
                <w:bCs/>
                <w:szCs w:val="24"/>
              </w:rPr>
              <w:t>0</w:t>
            </w:r>
            <w:r>
              <w:rPr>
                <w:rFonts w:ascii="Times New Roman" w:eastAsia="仿宋"/>
                <w:bCs/>
                <w:szCs w:val="24"/>
              </w:rPr>
              <w:t>.89</w:t>
            </w:r>
          </w:p>
        </w:tc>
        <w:tc>
          <w:tcPr>
            <w:tcW w:w="499" w:type="pct"/>
            <w:vAlign w:val="center"/>
          </w:tcPr>
          <w:p w14:paraId="5D8B9851">
            <w:pPr>
              <w:jc w:val="center"/>
              <w:rPr>
                <w:rFonts w:ascii="Times New Roman" w:eastAsia="仿宋"/>
                <w:bCs/>
                <w:szCs w:val="24"/>
              </w:rPr>
            </w:pPr>
            <w:r>
              <w:rPr>
                <w:rFonts w:hint="eastAsia" w:ascii="Times New Roman" w:eastAsia="仿宋"/>
                <w:bCs/>
                <w:szCs w:val="24"/>
              </w:rPr>
              <w:t>0</w:t>
            </w:r>
            <w:r>
              <w:rPr>
                <w:rFonts w:ascii="Times New Roman" w:eastAsia="仿宋"/>
                <w:bCs/>
                <w:szCs w:val="24"/>
              </w:rPr>
              <w:t>.05</w:t>
            </w:r>
          </w:p>
        </w:tc>
        <w:tc>
          <w:tcPr>
            <w:tcW w:w="557" w:type="pct"/>
            <w:vAlign w:val="center"/>
          </w:tcPr>
          <w:p w14:paraId="7365539E">
            <w:pPr>
              <w:jc w:val="center"/>
              <w:rPr>
                <w:rFonts w:ascii="Times New Roman" w:eastAsia="仿宋"/>
                <w:bCs/>
                <w:szCs w:val="24"/>
              </w:rPr>
            </w:pPr>
            <w:r>
              <w:rPr>
                <w:rFonts w:ascii="Times New Roman" w:eastAsia="仿宋"/>
                <w:bCs/>
                <w:szCs w:val="24"/>
              </w:rPr>
              <w:t>2.5</w:t>
            </w:r>
          </w:p>
        </w:tc>
        <w:tc>
          <w:tcPr>
            <w:tcW w:w="386" w:type="pct"/>
            <w:vAlign w:val="center"/>
          </w:tcPr>
          <w:p w14:paraId="48B3F582">
            <w:pPr>
              <w:jc w:val="center"/>
              <w:rPr>
                <w:rFonts w:ascii="Times New Roman" w:eastAsia="仿宋"/>
                <w:bCs/>
                <w:szCs w:val="24"/>
              </w:rPr>
            </w:pPr>
            <w:r>
              <w:rPr>
                <w:rFonts w:ascii="Times New Roman" w:eastAsia="仿宋"/>
                <w:bCs/>
                <w:szCs w:val="24"/>
              </w:rPr>
              <w:t>1.125</w:t>
            </w:r>
          </w:p>
        </w:tc>
      </w:tr>
      <w:tr w14:paraId="1789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46AFDFE2">
            <w:pPr>
              <w:jc w:val="center"/>
              <w:rPr>
                <w:rFonts w:ascii="Times New Roman" w:eastAsia="仿宋"/>
                <w:bCs/>
                <w:szCs w:val="24"/>
                <w:lang w:val="zh-CN"/>
              </w:rPr>
            </w:pPr>
          </w:p>
        </w:tc>
        <w:tc>
          <w:tcPr>
            <w:tcW w:w="269" w:type="pct"/>
            <w:vMerge w:val="restart"/>
            <w:vAlign w:val="center"/>
          </w:tcPr>
          <w:p w14:paraId="1231BF9C">
            <w:pPr>
              <w:jc w:val="center"/>
              <w:rPr>
                <w:rFonts w:ascii="Times New Roman" w:eastAsia="仿宋"/>
                <w:bCs/>
                <w:szCs w:val="24"/>
                <w:lang w:val="zh-CN"/>
              </w:rPr>
            </w:pPr>
            <w:r>
              <w:rPr>
                <w:rFonts w:ascii="Times New Roman" w:eastAsia="仿宋"/>
                <w:bCs/>
                <w:szCs w:val="24"/>
                <w:lang w:val="zh-CN"/>
              </w:rPr>
              <w:t>环境敏感性</w:t>
            </w:r>
          </w:p>
        </w:tc>
        <w:tc>
          <w:tcPr>
            <w:tcW w:w="259" w:type="pct"/>
            <w:vMerge w:val="restart"/>
            <w:vAlign w:val="center"/>
          </w:tcPr>
          <w:p w14:paraId="6DB1942A">
            <w:pPr>
              <w:jc w:val="center"/>
              <w:rPr>
                <w:rFonts w:ascii="Times New Roman" w:eastAsia="仿宋"/>
                <w:bCs/>
                <w:szCs w:val="24"/>
                <w:lang w:val="zh-CN"/>
              </w:rPr>
            </w:pPr>
            <w:r>
              <w:rPr>
                <w:rFonts w:ascii="Times New Roman" w:eastAsia="仿宋"/>
                <w:bCs/>
                <w:szCs w:val="24"/>
                <w:lang w:val="zh-CN"/>
              </w:rPr>
              <w:t>大气</w:t>
            </w:r>
          </w:p>
        </w:tc>
        <w:tc>
          <w:tcPr>
            <w:tcW w:w="1781" w:type="pct"/>
            <w:gridSpan w:val="12"/>
            <w:vAlign w:val="center"/>
          </w:tcPr>
          <w:p w14:paraId="6AC25DAE">
            <w:pPr>
              <w:jc w:val="center"/>
              <w:rPr>
                <w:rFonts w:ascii="Times New Roman" w:eastAsia="仿宋"/>
                <w:bCs/>
                <w:szCs w:val="24"/>
                <w:lang w:val="zh-CN"/>
              </w:rPr>
            </w:pPr>
            <w:r>
              <w:rPr>
                <w:rFonts w:ascii="Times New Roman" w:eastAsia="仿宋"/>
                <w:bCs/>
                <w:szCs w:val="24"/>
                <w:lang w:val="zh-CN"/>
              </w:rPr>
              <w:t>500m范围内人口数</w:t>
            </w:r>
            <w:r>
              <w:rPr>
                <w:rFonts w:ascii="Times New Roman" w:eastAsia="仿宋"/>
                <w:bCs/>
                <w:szCs w:val="24"/>
                <w:u w:val="single"/>
                <w:lang w:val="zh-CN"/>
              </w:rPr>
              <w:t xml:space="preserve"> 0 </w:t>
            </w:r>
            <w:r>
              <w:rPr>
                <w:rFonts w:ascii="Times New Roman" w:eastAsia="仿宋"/>
                <w:bCs/>
                <w:szCs w:val="24"/>
                <w:lang w:val="zh-CN"/>
              </w:rPr>
              <w:t>人</w:t>
            </w:r>
          </w:p>
        </w:tc>
        <w:tc>
          <w:tcPr>
            <w:tcW w:w="2449" w:type="pct"/>
            <w:gridSpan w:val="7"/>
            <w:vAlign w:val="center"/>
          </w:tcPr>
          <w:p w14:paraId="60467FFC">
            <w:pPr>
              <w:jc w:val="center"/>
              <w:rPr>
                <w:rFonts w:ascii="Times New Roman" w:eastAsia="仿宋"/>
                <w:bCs/>
                <w:szCs w:val="24"/>
                <w:lang w:val="zh-CN"/>
              </w:rPr>
            </w:pPr>
            <w:r>
              <w:rPr>
                <w:rFonts w:ascii="Times New Roman" w:eastAsia="仿宋"/>
                <w:bCs/>
                <w:szCs w:val="24"/>
                <w:lang w:val="zh-CN"/>
              </w:rPr>
              <w:t>5km范围内人口数</w:t>
            </w:r>
            <w:r>
              <w:rPr>
                <w:rFonts w:ascii="Times New Roman" w:eastAsia="仿宋"/>
                <w:bCs/>
                <w:szCs w:val="24"/>
                <w:u w:val="single"/>
                <w:lang w:val="zh-CN"/>
              </w:rPr>
              <w:t>37366</w:t>
            </w:r>
            <w:r>
              <w:rPr>
                <w:rFonts w:ascii="Times New Roman" w:eastAsia="仿宋"/>
                <w:bCs/>
                <w:szCs w:val="24"/>
                <w:lang w:val="zh-CN"/>
              </w:rPr>
              <w:t>人</w:t>
            </w:r>
          </w:p>
        </w:tc>
      </w:tr>
      <w:tr w14:paraId="4F3A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28C9152C">
            <w:pPr>
              <w:jc w:val="center"/>
              <w:rPr>
                <w:rFonts w:ascii="Times New Roman" w:eastAsia="仿宋"/>
                <w:bCs/>
                <w:szCs w:val="24"/>
                <w:lang w:val="zh-CN"/>
              </w:rPr>
            </w:pPr>
          </w:p>
        </w:tc>
        <w:tc>
          <w:tcPr>
            <w:tcW w:w="269" w:type="pct"/>
            <w:vMerge w:val="continue"/>
            <w:vAlign w:val="center"/>
          </w:tcPr>
          <w:p w14:paraId="38CB1ACA">
            <w:pPr>
              <w:jc w:val="center"/>
              <w:rPr>
                <w:rFonts w:ascii="Times New Roman" w:eastAsia="仿宋"/>
                <w:bCs/>
                <w:szCs w:val="24"/>
                <w:lang w:val="zh-CN"/>
              </w:rPr>
            </w:pPr>
          </w:p>
        </w:tc>
        <w:tc>
          <w:tcPr>
            <w:tcW w:w="259" w:type="pct"/>
            <w:vMerge w:val="continue"/>
            <w:vAlign w:val="center"/>
          </w:tcPr>
          <w:p w14:paraId="2BB2CD2C">
            <w:pPr>
              <w:jc w:val="center"/>
              <w:rPr>
                <w:rFonts w:ascii="Times New Roman" w:eastAsia="仿宋"/>
                <w:bCs/>
                <w:szCs w:val="24"/>
                <w:lang w:val="zh-CN"/>
              </w:rPr>
            </w:pPr>
          </w:p>
        </w:tc>
        <w:tc>
          <w:tcPr>
            <w:tcW w:w="2461" w:type="pct"/>
            <w:gridSpan w:val="15"/>
            <w:vAlign w:val="center"/>
          </w:tcPr>
          <w:p w14:paraId="74D82183">
            <w:pPr>
              <w:jc w:val="center"/>
              <w:rPr>
                <w:rFonts w:ascii="Times New Roman" w:eastAsia="仿宋"/>
                <w:bCs/>
                <w:szCs w:val="24"/>
                <w:lang w:val="zh-CN"/>
              </w:rPr>
            </w:pPr>
            <w:r>
              <w:rPr>
                <w:rFonts w:ascii="Times New Roman" w:eastAsia="仿宋"/>
                <w:bCs/>
                <w:szCs w:val="24"/>
                <w:lang w:val="zh-CN"/>
              </w:rPr>
              <w:t>每公里管段周边200m范围内人口数（最大）</w:t>
            </w:r>
          </w:p>
        </w:tc>
        <w:tc>
          <w:tcPr>
            <w:tcW w:w="1768" w:type="pct"/>
            <w:gridSpan w:val="4"/>
            <w:vAlign w:val="center"/>
          </w:tcPr>
          <w:p w14:paraId="692FF70D">
            <w:pPr>
              <w:jc w:val="center"/>
              <w:rPr>
                <w:rFonts w:ascii="Times New Roman" w:eastAsia="仿宋"/>
                <w:bCs/>
                <w:szCs w:val="24"/>
                <w:lang w:val="zh-CN"/>
              </w:rPr>
            </w:pPr>
            <w:r>
              <w:rPr>
                <w:rFonts w:ascii="Times New Roman" w:eastAsia="仿宋"/>
                <w:bCs/>
                <w:szCs w:val="24"/>
                <w:u w:val="single"/>
                <w:lang w:val="zh-CN"/>
              </w:rPr>
              <w:t xml:space="preserve">    </w:t>
            </w:r>
            <w:r>
              <w:rPr>
                <w:rFonts w:ascii="Times New Roman" w:eastAsia="仿宋"/>
                <w:bCs/>
                <w:szCs w:val="24"/>
                <w:lang w:val="zh-CN"/>
              </w:rPr>
              <w:t>人</w:t>
            </w:r>
          </w:p>
        </w:tc>
      </w:tr>
      <w:tr w14:paraId="323B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55AAF8FC">
            <w:pPr>
              <w:jc w:val="center"/>
              <w:rPr>
                <w:rFonts w:ascii="Times New Roman" w:eastAsia="仿宋"/>
                <w:bCs/>
                <w:szCs w:val="24"/>
                <w:lang w:val="zh-CN"/>
              </w:rPr>
            </w:pPr>
          </w:p>
        </w:tc>
        <w:tc>
          <w:tcPr>
            <w:tcW w:w="269" w:type="pct"/>
            <w:vMerge w:val="continue"/>
            <w:vAlign w:val="center"/>
          </w:tcPr>
          <w:p w14:paraId="77A32587">
            <w:pPr>
              <w:jc w:val="center"/>
              <w:rPr>
                <w:rFonts w:ascii="Times New Roman" w:eastAsia="仿宋"/>
                <w:bCs/>
                <w:szCs w:val="24"/>
                <w:lang w:val="zh-CN"/>
              </w:rPr>
            </w:pPr>
          </w:p>
        </w:tc>
        <w:tc>
          <w:tcPr>
            <w:tcW w:w="259" w:type="pct"/>
            <w:vMerge w:val="restart"/>
            <w:vAlign w:val="center"/>
          </w:tcPr>
          <w:p w14:paraId="5322803E">
            <w:pPr>
              <w:jc w:val="center"/>
              <w:rPr>
                <w:rFonts w:ascii="Times New Roman" w:eastAsia="仿宋"/>
                <w:bCs/>
                <w:szCs w:val="24"/>
                <w:lang w:val="zh-CN"/>
              </w:rPr>
            </w:pPr>
            <w:r>
              <w:rPr>
                <w:rFonts w:ascii="Times New Roman" w:eastAsia="仿宋"/>
                <w:bCs/>
                <w:szCs w:val="24"/>
                <w:lang w:val="zh-CN"/>
              </w:rPr>
              <w:t>地表水</w:t>
            </w:r>
          </w:p>
        </w:tc>
        <w:tc>
          <w:tcPr>
            <w:tcW w:w="1014" w:type="pct"/>
            <w:gridSpan w:val="6"/>
            <w:vAlign w:val="center"/>
          </w:tcPr>
          <w:p w14:paraId="47CC5998">
            <w:pPr>
              <w:jc w:val="center"/>
              <w:rPr>
                <w:rFonts w:ascii="Times New Roman" w:eastAsia="仿宋"/>
                <w:bCs/>
                <w:szCs w:val="24"/>
                <w:lang w:val="zh-CN"/>
              </w:rPr>
            </w:pPr>
            <w:r>
              <w:rPr>
                <w:rFonts w:ascii="Times New Roman" w:eastAsia="仿宋"/>
                <w:bCs/>
                <w:szCs w:val="24"/>
                <w:lang w:val="zh-CN"/>
              </w:rPr>
              <w:t>地表水功能敏感性</w:t>
            </w:r>
          </w:p>
        </w:tc>
        <w:tc>
          <w:tcPr>
            <w:tcW w:w="767" w:type="pct"/>
            <w:gridSpan w:val="6"/>
            <w:vAlign w:val="center"/>
          </w:tcPr>
          <w:p w14:paraId="7C662E18">
            <w:pPr>
              <w:jc w:val="center"/>
              <w:rPr>
                <w:rFonts w:ascii="Times New Roman" w:eastAsia="仿宋"/>
                <w:bCs/>
                <w:szCs w:val="24"/>
                <w:lang w:val="zh-CN"/>
              </w:rPr>
            </w:pPr>
            <w:r>
              <w:rPr>
                <w:rFonts w:ascii="Times New Roman" w:eastAsia="仿宋"/>
                <w:bCs/>
                <w:szCs w:val="24"/>
                <w:lang w:val="zh-CN"/>
              </w:rPr>
              <w:t>F1</w:t>
            </w:r>
            <w:r>
              <w:rPr>
                <w:rFonts w:ascii="Times New Roman" w:eastAsia="仿宋"/>
                <w:bCs/>
                <w:szCs w:val="24"/>
              </w:rPr>
              <w:t>□</w:t>
            </w:r>
          </w:p>
        </w:tc>
        <w:tc>
          <w:tcPr>
            <w:tcW w:w="680" w:type="pct"/>
            <w:gridSpan w:val="3"/>
            <w:vAlign w:val="center"/>
          </w:tcPr>
          <w:p w14:paraId="18B720B3">
            <w:pPr>
              <w:jc w:val="center"/>
              <w:rPr>
                <w:rFonts w:ascii="Times New Roman" w:eastAsia="仿宋"/>
                <w:bCs/>
                <w:szCs w:val="24"/>
                <w:lang w:val="zh-CN"/>
              </w:rPr>
            </w:pPr>
            <w:r>
              <w:rPr>
                <w:rFonts w:ascii="Times New Roman" w:eastAsia="仿宋"/>
                <w:bCs/>
                <w:szCs w:val="24"/>
              </w:rPr>
              <w:t>F2√</w:t>
            </w:r>
          </w:p>
        </w:tc>
        <w:tc>
          <w:tcPr>
            <w:tcW w:w="1768" w:type="pct"/>
            <w:gridSpan w:val="4"/>
            <w:vAlign w:val="center"/>
          </w:tcPr>
          <w:p w14:paraId="4120FDAE">
            <w:pPr>
              <w:jc w:val="center"/>
              <w:rPr>
                <w:rFonts w:ascii="Times New Roman" w:eastAsia="仿宋"/>
                <w:bCs/>
                <w:szCs w:val="24"/>
                <w:lang w:val="zh-CN"/>
              </w:rPr>
            </w:pPr>
            <w:r>
              <w:rPr>
                <w:rFonts w:ascii="Times New Roman" w:eastAsia="仿宋"/>
                <w:bCs/>
                <w:szCs w:val="24"/>
              </w:rPr>
              <w:t>F3□</w:t>
            </w:r>
          </w:p>
        </w:tc>
      </w:tr>
      <w:tr w14:paraId="41BF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1D0BC3B8">
            <w:pPr>
              <w:jc w:val="center"/>
              <w:rPr>
                <w:rFonts w:ascii="Times New Roman" w:eastAsia="仿宋"/>
                <w:bCs/>
                <w:szCs w:val="24"/>
                <w:lang w:val="zh-CN"/>
              </w:rPr>
            </w:pPr>
          </w:p>
        </w:tc>
        <w:tc>
          <w:tcPr>
            <w:tcW w:w="269" w:type="pct"/>
            <w:vMerge w:val="continue"/>
            <w:vAlign w:val="center"/>
          </w:tcPr>
          <w:p w14:paraId="296919C4">
            <w:pPr>
              <w:jc w:val="center"/>
              <w:rPr>
                <w:rFonts w:ascii="Times New Roman" w:eastAsia="仿宋"/>
                <w:bCs/>
                <w:szCs w:val="24"/>
                <w:lang w:val="zh-CN"/>
              </w:rPr>
            </w:pPr>
          </w:p>
        </w:tc>
        <w:tc>
          <w:tcPr>
            <w:tcW w:w="259" w:type="pct"/>
            <w:vMerge w:val="continue"/>
            <w:vAlign w:val="center"/>
          </w:tcPr>
          <w:p w14:paraId="716A8DE7">
            <w:pPr>
              <w:jc w:val="center"/>
              <w:rPr>
                <w:rFonts w:ascii="Times New Roman" w:eastAsia="仿宋"/>
                <w:bCs/>
                <w:szCs w:val="24"/>
                <w:lang w:val="zh-CN"/>
              </w:rPr>
            </w:pPr>
          </w:p>
        </w:tc>
        <w:tc>
          <w:tcPr>
            <w:tcW w:w="1014" w:type="pct"/>
            <w:gridSpan w:val="6"/>
            <w:vAlign w:val="center"/>
          </w:tcPr>
          <w:p w14:paraId="6843FBCE">
            <w:pPr>
              <w:jc w:val="center"/>
              <w:rPr>
                <w:rFonts w:ascii="Times New Roman" w:eastAsia="仿宋"/>
                <w:bCs/>
                <w:szCs w:val="24"/>
                <w:lang w:val="zh-CN"/>
              </w:rPr>
            </w:pPr>
            <w:r>
              <w:rPr>
                <w:rFonts w:ascii="Times New Roman" w:eastAsia="仿宋"/>
                <w:bCs/>
                <w:szCs w:val="24"/>
                <w:lang w:val="zh-CN"/>
              </w:rPr>
              <w:t>环境敏感目标分级</w:t>
            </w:r>
          </w:p>
        </w:tc>
        <w:tc>
          <w:tcPr>
            <w:tcW w:w="767" w:type="pct"/>
            <w:gridSpan w:val="6"/>
            <w:vAlign w:val="center"/>
          </w:tcPr>
          <w:p w14:paraId="467E9D76">
            <w:pPr>
              <w:jc w:val="center"/>
              <w:rPr>
                <w:rFonts w:ascii="Times New Roman" w:eastAsia="仿宋"/>
                <w:bCs/>
                <w:szCs w:val="24"/>
                <w:lang w:val="zh-CN"/>
              </w:rPr>
            </w:pPr>
            <w:r>
              <w:rPr>
                <w:rFonts w:ascii="Times New Roman" w:eastAsia="仿宋"/>
                <w:bCs/>
                <w:szCs w:val="24"/>
              </w:rPr>
              <w:t>S1□</w:t>
            </w:r>
          </w:p>
        </w:tc>
        <w:tc>
          <w:tcPr>
            <w:tcW w:w="680" w:type="pct"/>
            <w:gridSpan w:val="3"/>
            <w:vAlign w:val="center"/>
          </w:tcPr>
          <w:p w14:paraId="31C108E7">
            <w:pPr>
              <w:jc w:val="center"/>
              <w:rPr>
                <w:rFonts w:ascii="Times New Roman" w:eastAsia="仿宋"/>
                <w:bCs/>
                <w:szCs w:val="24"/>
                <w:lang w:val="zh-CN"/>
              </w:rPr>
            </w:pPr>
            <w:r>
              <w:rPr>
                <w:rFonts w:ascii="Times New Roman" w:eastAsia="仿宋"/>
                <w:bCs/>
                <w:szCs w:val="24"/>
              </w:rPr>
              <w:t>S2√</w:t>
            </w:r>
          </w:p>
        </w:tc>
        <w:tc>
          <w:tcPr>
            <w:tcW w:w="1768" w:type="pct"/>
            <w:gridSpan w:val="4"/>
            <w:vAlign w:val="center"/>
          </w:tcPr>
          <w:p w14:paraId="6066309B">
            <w:pPr>
              <w:jc w:val="center"/>
              <w:rPr>
                <w:rFonts w:ascii="Times New Roman" w:eastAsia="仿宋"/>
                <w:bCs/>
                <w:szCs w:val="24"/>
                <w:lang w:val="zh-CN"/>
              </w:rPr>
            </w:pPr>
            <w:r>
              <w:rPr>
                <w:rFonts w:ascii="Times New Roman" w:eastAsia="仿宋"/>
                <w:bCs/>
                <w:szCs w:val="24"/>
              </w:rPr>
              <w:t>S3□</w:t>
            </w:r>
          </w:p>
        </w:tc>
      </w:tr>
      <w:tr w14:paraId="3C5B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0E8F172F">
            <w:pPr>
              <w:jc w:val="center"/>
              <w:rPr>
                <w:rFonts w:ascii="Times New Roman" w:eastAsia="仿宋"/>
                <w:bCs/>
                <w:szCs w:val="24"/>
                <w:lang w:val="zh-CN"/>
              </w:rPr>
            </w:pPr>
          </w:p>
        </w:tc>
        <w:tc>
          <w:tcPr>
            <w:tcW w:w="269" w:type="pct"/>
            <w:vMerge w:val="continue"/>
            <w:vAlign w:val="center"/>
          </w:tcPr>
          <w:p w14:paraId="7993D86D">
            <w:pPr>
              <w:jc w:val="center"/>
              <w:rPr>
                <w:rFonts w:ascii="Times New Roman" w:eastAsia="仿宋"/>
                <w:bCs/>
                <w:szCs w:val="24"/>
                <w:lang w:val="zh-CN"/>
              </w:rPr>
            </w:pPr>
          </w:p>
        </w:tc>
        <w:tc>
          <w:tcPr>
            <w:tcW w:w="259" w:type="pct"/>
            <w:vMerge w:val="restart"/>
            <w:vAlign w:val="center"/>
          </w:tcPr>
          <w:p w14:paraId="4640023C">
            <w:pPr>
              <w:jc w:val="center"/>
              <w:rPr>
                <w:rFonts w:ascii="Times New Roman" w:eastAsia="仿宋"/>
                <w:bCs/>
                <w:szCs w:val="24"/>
                <w:lang w:val="zh-CN"/>
              </w:rPr>
            </w:pPr>
            <w:r>
              <w:rPr>
                <w:rFonts w:ascii="Times New Roman" w:eastAsia="仿宋"/>
                <w:bCs/>
                <w:szCs w:val="24"/>
                <w:lang w:val="zh-CN"/>
              </w:rPr>
              <w:t>地下水</w:t>
            </w:r>
          </w:p>
        </w:tc>
        <w:tc>
          <w:tcPr>
            <w:tcW w:w="1014" w:type="pct"/>
            <w:gridSpan w:val="6"/>
            <w:vAlign w:val="center"/>
          </w:tcPr>
          <w:p w14:paraId="6C2D5408">
            <w:pPr>
              <w:jc w:val="center"/>
              <w:rPr>
                <w:rFonts w:ascii="Times New Roman" w:eastAsia="仿宋"/>
                <w:bCs/>
                <w:szCs w:val="24"/>
                <w:lang w:val="zh-CN"/>
              </w:rPr>
            </w:pPr>
            <w:r>
              <w:rPr>
                <w:rFonts w:ascii="Times New Roman" w:eastAsia="仿宋"/>
                <w:bCs/>
                <w:szCs w:val="24"/>
                <w:lang w:val="zh-CN"/>
              </w:rPr>
              <w:t>地下水功能敏感性</w:t>
            </w:r>
          </w:p>
        </w:tc>
        <w:tc>
          <w:tcPr>
            <w:tcW w:w="767" w:type="pct"/>
            <w:gridSpan w:val="6"/>
            <w:vAlign w:val="center"/>
          </w:tcPr>
          <w:p w14:paraId="1233C1CA">
            <w:pPr>
              <w:jc w:val="center"/>
              <w:rPr>
                <w:rFonts w:ascii="Times New Roman" w:eastAsia="仿宋"/>
                <w:bCs/>
                <w:szCs w:val="24"/>
                <w:lang w:val="zh-CN"/>
              </w:rPr>
            </w:pPr>
            <w:r>
              <w:rPr>
                <w:rFonts w:ascii="Times New Roman" w:eastAsia="仿宋"/>
                <w:bCs/>
                <w:szCs w:val="24"/>
              </w:rPr>
              <w:t>G1□</w:t>
            </w:r>
          </w:p>
        </w:tc>
        <w:tc>
          <w:tcPr>
            <w:tcW w:w="680" w:type="pct"/>
            <w:gridSpan w:val="3"/>
            <w:vAlign w:val="center"/>
          </w:tcPr>
          <w:p w14:paraId="1C5EEFFE">
            <w:pPr>
              <w:jc w:val="center"/>
              <w:rPr>
                <w:rFonts w:ascii="Times New Roman" w:eastAsia="仿宋"/>
                <w:bCs/>
                <w:szCs w:val="24"/>
                <w:lang w:val="zh-CN"/>
              </w:rPr>
            </w:pPr>
            <w:r>
              <w:rPr>
                <w:rFonts w:ascii="Times New Roman" w:eastAsia="仿宋"/>
                <w:bCs/>
                <w:szCs w:val="24"/>
              </w:rPr>
              <w:t>G2□</w:t>
            </w:r>
          </w:p>
        </w:tc>
        <w:tc>
          <w:tcPr>
            <w:tcW w:w="1768" w:type="pct"/>
            <w:gridSpan w:val="4"/>
            <w:vAlign w:val="center"/>
          </w:tcPr>
          <w:p w14:paraId="45A438D1">
            <w:pPr>
              <w:jc w:val="center"/>
              <w:rPr>
                <w:rFonts w:ascii="Times New Roman" w:eastAsia="仿宋"/>
                <w:bCs/>
                <w:szCs w:val="24"/>
                <w:lang w:val="zh-CN"/>
              </w:rPr>
            </w:pPr>
            <w:r>
              <w:rPr>
                <w:rFonts w:ascii="Times New Roman" w:eastAsia="仿宋"/>
                <w:bCs/>
                <w:szCs w:val="24"/>
              </w:rPr>
              <w:t>G3√</w:t>
            </w:r>
          </w:p>
        </w:tc>
      </w:tr>
      <w:tr w14:paraId="2D72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31C53D3C">
            <w:pPr>
              <w:jc w:val="center"/>
              <w:rPr>
                <w:rFonts w:ascii="Times New Roman" w:eastAsia="仿宋"/>
                <w:bCs/>
                <w:szCs w:val="24"/>
                <w:lang w:val="zh-CN"/>
              </w:rPr>
            </w:pPr>
          </w:p>
        </w:tc>
        <w:tc>
          <w:tcPr>
            <w:tcW w:w="269" w:type="pct"/>
            <w:vMerge w:val="continue"/>
            <w:vAlign w:val="center"/>
          </w:tcPr>
          <w:p w14:paraId="0DEEBC0D">
            <w:pPr>
              <w:jc w:val="center"/>
              <w:rPr>
                <w:rFonts w:ascii="Times New Roman" w:eastAsia="仿宋"/>
                <w:bCs/>
                <w:szCs w:val="24"/>
                <w:lang w:val="zh-CN"/>
              </w:rPr>
            </w:pPr>
          </w:p>
        </w:tc>
        <w:tc>
          <w:tcPr>
            <w:tcW w:w="259" w:type="pct"/>
            <w:vMerge w:val="continue"/>
            <w:vAlign w:val="center"/>
          </w:tcPr>
          <w:p w14:paraId="5539BA53">
            <w:pPr>
              <w:jc w:val="center"/>
              <w:rPr>
                <w:rFonts w:ascii="Times New Roman" w:eastAsia="仿宋"/>
                <w:bCs/>
                <w:szCs w:val="24"/>
                <w:lang w:val="zh-CN"/>
              </w:rPr>
            </w:pPr>
          </w:p>
        </w:tc>
        <w:tc>
          <w:tcPr>
            <w:tcW w:w="1014" w:type="pct"/>
            <w:gridSpan w:val="6"/>
            <w:vAlign w:val="center"/>
          </w:tcPr>
          <w:p w14:paraId="56707F4F">
            <w:pPr>
              <w:jc w:val="center"/>
              <w:rPr>
                <w:rFonts w:ascii="Times New Roman" w:eastAsia="仿宋"/>
                <w:bCs/>
                <w:szCs w:val="24"/>
                <w:lang w:val="zh-CN"/>
              </w:rPr>
            </w:pPr>
            <w:r>
              <w:rPr>
                <w:rFonts w:ascii="Times New Roman" w:eastAsia="仿宋"/>
                <w:bCs/>
                <w:szCs w:val="24"/>
                <w:lang w:val="zh-CN"/>
              </w:rPr>
              <w:t>包气带防污性能</w:t>
            </w:r>
          </w:p>
        </w:tc>
        <w:tc>
          <w:tcPr>
            <w:tcW w:w="767" w:type="pct"/>
            <w:gridSpan w:val="6"/>
            <w:vAlign w:val="center"/>
          </w:tcPr>
          <w:p w14:paraId="7918045F">
            <w:pPr>
              <w:jc w:val="center"/>
              <w:rPr>
                <w:rFonts w:ascii="Times New Roman" w:eastAsia="仿宋"/>
                <w:bCs/>
                <w:szCs w:val="24"/>
                <w:lang w:val="zh-CN"/>
              </w:rPr>
            </w:pPr>
            <w:r>
              <w:rPr>
                <w:rFonts w:ascii="Times New Roman" w:eastAsia="仿宋"/>
                <w:bCs/>
                <w:szCs w:val="24"/>
              </w:rPr>
              <w:t>D1□</w:t>
            </w:r>
          </w:p>
        </w:tc>
        <w:tc>
          <w:tcPr>
            <w:tcW w:w="680" w:type="pct"/>
            <w:gridSpan w:val="3"/>
            <w:vAlign w:val="center"/>
          </w:tcPr>
          <w:p w14:paraId="4CF64773">
            <w:pPr>
              <w:jc w:val="center"/>
              <w:rPr>
                <w:rFonts w:ascii="Times New Roman" w:eastAsia="仿宋"/>
                <w:bCs/>
                <w:szCs w:val="24"/>
                <w:lang w:val="zh-CN"/>
              </w:rPr>
            </w:pPr>
            <w:r>
              <w:rPr>
                <w:rFonts w:ascii="Times New Roman" w:eastAsia="仿宋"/>
                <w:bCs/>
                <w:szCs w:val="24"/>
              </w:rPr>
              <w:t>D2√</w:t>
            </w:r>
          </w:p>
        </w:tc>
        <w:tc>
          <w:tcPr>
            <w:tcW w:w="1768" w:type="pct"/>
            <w:gridSpan w:val="4"/>
            <w:vAlign w:val="center"/>
          </w:tcPr>
          <w:p w14:paraId="0495A4CB">
            <w:pPr>
              <w:jc w:val="center"/>
              <w:rPr>
                <w:rFonts w:ascii="Times New Roman" w:eastAsia="仿宋"/>
                <w:bCs/>
                <w:szCs w:val="24"/>
                <w:lang w:val="zh-CN"/>
              </w:rPr>
            </w:pPr>
            <w:r>
              <w:rPr>
                <w:rFonts w:ascii="Times New Roman" w:eastAsia="仿宋"/>
                <w:bCs/>
                <w:szCs w:val="24"/>
              </w:rPr>
              <w:t>D3□</w:t>
            </w:r>
          </w:p>
        </w:tc>
      </w:tr>
      <w:tr w14:paraId="44DE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restart"/>
            <w:vAlign w:val="center"/>
          </w:tcPr>
          <w:p w14:paraId="5B2043D8">
            <w:pPr>
              <w:jc w:val="center"/>
              <w:rPr>
                <w:rFonts w:ascii="Times New Roman" w:eastAsia="仿宋"/>
                <w:bCs/>
                <w:szCs w:val="24"/>
                <w:lang w:val="zh-CN"/>
              </w:rPr>
            </w:pPr>
            <w:r>
              <w:rPr>
                <w:rFonts w:ascii="Times New Roman" w:eastAsia="仿宋"/>
                <w:bCs/>
                <w:szCs w:val="24"/>
                <w:lang w:val="zh-CN"/>
              </w:rPr>
              <w:t>物质及工艺系统危险性</w:t>
            </w:r>
          </w:p>
        </w:tc>
        <w:tc>
          <w:tcPr>
            <w:tcW w:w="259" w:type="pct"/>
            <w:vAlign w:val="center"/>
          </w:tcPr>
          <w:p w14:paraId="5F2AB1AE">
            <w:pPr>
              <w:jc w:val="center"/>
              <w:rPr>
                <w:rFonts w:ascii="Times New Roman" w:eastAsia="仿宋"/>
                <w:bCs/>
                <w:szCs w:val="24"/>
                <w:lang w:val="zh-CN"/>
              </w:rPr>
            </w:pPr>
            <w:r>
              <w:rPr>
                <w:rFonts w:ascii="Times New Roman" w:eastAsia="仿宋"/>
                <w:bCs/>
                <w:szCs w:val="24"/>
                <w:lang w:val="zh-CN"/>
              </w:rPr>
              <w:t>Q值</w:t>
            </w:r>
          </w:p>
        </w:tc>
        <w:tc>
          <w:tcPr>
            <w:tcW w:w="1014" w:type="pct"/>
            <w:gridSpan w:val="6"/>
            <w:vAlign w:val="center"/>
          </w:tcPr>
          <w:p w14:paraId="3F0E9D4D">
            <w:pPr>
              <w:jc w:val="center"/>
              <w:rPr>
                <w:rFonts w:ascii="Times New Roman" w:eastAsia="仿宋"/>
                <w:bCs/>
                <w:szCs w:val="24"/>
                <w:lang w:val="zh-CN"/>
              </w:rPr>
            </w:pPr>
            <w:r>
              <w:rPr>
                <w:rFonts w:ascii="Times New Roman" w:eastAsia="仿宋"/>
                <w:bCs/>
                <w:szCs w:val="24"/>
              </w:rPr>
              <w:t>Q＜1□</w:t>
            </w:r>
          </w:p>
        </w:tc>
        <w:tc>
          <w:tcPr>
            <w:tcW w:w="767" w:type="pct"/>
            <w:gridSpan w:val="6"/>
            <w:vAlign w:val="center"/>
          </w:tcPr>
          <w:p w14:paraId="47E7A546">
            <w:pPr>
              <w:jc w:val="center"/>
              <w:rPr>
                <w:rFonts w:ascii="Times New Roman" w:eastAsia="仿宋"/>
                <w:bCs/>
                <w:szCs w:val="24"/>
                <w:lang w:val="zh-CN"/>
              </w:rPr>
            </w:pPr>
            <w:r>
              <w:rPr>
                <w:rFonts w:ascii="Times New Roman" w:eastAsia="仿宋"/>
                <w:bCs/>
                <w:szCs w:val="24"/>
              </w:rPr>
              <w:t>1≤Q＜10√</w:t>
            </w:r>
          </w:p>
        </w:tc>
        <w:tc>
          <w:tcPr>
            <w:tcW w:w="680" w:type="pct"/>
            <w:gridSpan w:val="3"/>
            <w:vAlign w:val="center"/>
          </w:tcPr>
          <w:p w14:paraId="6A6E480F">
            <w:pPr>
              <w:jc w:val="center"/>
              <w:rPr>
                <w:rFonts w:ascii="Times New Roman" w:eastAsia="仿宋"/>
                <w:bCs/>
                <w:szCs w:val="24"/>
                <w:lang w:val="zh-CN"/>
              </w:rPr>
            </w:pPr>
            <w:r>
              <w:rPr>
                <w:rFonts w:ascii="Times New Roman" w:eastAsia="仿宋"/>
                <w:bCs/>
                <w:szCs w:val="24"/>
              </w:rPr>
              <w:t>10≤Q＜100Q□</w:t>
            </w:r>
          </w:p>
        </w:tc>
        <w:tc>
          <w:tcPr>
            <w:tcW w:w="1768" w:type="pct"/>
            <w:gridSpan w:val="4"/>
            <w:vAlign w:val="center"/>
          </w:tcPr>
          <w:p w14:paraId="1B1D9330">
            <w:pPr>
              <w:jc w:val="center"/>
              <w:rPr>
                <w:rFonts w:ascii="Times New Roman" w:eastAsia="仿宋"/>
                <w:bCs/>
                <w:szCs w:val="24"/>
                <w:lang w:val="zh-CN"/>
              </w:rPr>
            </w:pPr>
            <w:r>
              <w:rPr>
                <w:rFonts w:ascii="Times New Roman" w:eastAsia="仿宋"/>
                <w:bCs/>
                <w:szCs w:val="24"/>
              </w:rPr>
              <w:t>Q＞100□</w:t>
            </w:r>
          </w:p>
        </w:tc>
      </w:tr>
      <w:tr w14:paraId="7539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continue"/>
            <w:vAlign w:val="center"/>
          </w:tcPr>
          <w:p w14:paraId="0040D268">
            <w:pPr>
              <w:jc w:val="center"/>
              <w:rPr>
                <w:rFonts w:ascii="Times New Roman" w:eastAsia="仿宋"/>
                <w:bCs/>
                <w:szCs w:val="24"/>
                <w:lang w:val="zh-CN"/>
              </w:rPr>
            </w:pPr>
          </w:p>
        </w:tc>
        <w:tc>
          <w:tcPr>
            <w:tcW w:w="259" w:type="pct"/>
            <w:vAlign w:val="center"/>
          </w:tcPr>
          <w:p w14:paraId="7C3B999D">
            <w:pPr>
              <w:jc w:val="center"/>
              <w:rPr>
                <w:rFonts w:ascii="Times New Roman" w:eastAsia="仿宋"/>
                <w:bCs/>
                <w:szCs w:val="24"/>
                <w:lang w:val="zh-CN"/>
              </w:rPr>
            </w:pPr>
            <w:r>
              <w:rPr>
                <w:rFonts w:ascii="Times New Roman" w:eastAsia="仿宋"/>
                <w:bCs/>
                <w:szCs w:val="24"/>
                <w:lang w:val="zh-CN"/>
              </w:rPr>
              <w:t>M值</w:t>
            </w:r>
          </w:p>
        </w:tc>
        <w:tc>
          <w:tcPr>
            <w:tcW w:w="1014" w:type="pct"/>
            <w:gridSpan w:val="6"/>
            <w:vAlign w:val="center"/>
          </w:tcPr>
          <w:p w14:paraId="47C4393E">
            <w:pPr>
              <w:jc w:val="center"/>
              <w:rPr>
                <w:rFonts w:ascii="Times New Roman" w:eastAsia="仿宋"/>
                <w:bCs/>
                <w:szCs w:val="24"/>
                <w:lang w:val="zh-CN"/>
              </w:rPr>
            </w:pPr>
            <w:r>
              <w:rPr>
                <w:rFonts w:ascii="Times New Roman" w:eastAsia="仿宋"/>
                <w:bCs/>
                <w:szCs w:val="24"/>
              </w:rPr>
              <w:t>M1□</w:t>
            </w:r>
          </w:p>
        </w:tc>
        <w:tc>
          <w:tcPr>
            <w:tcW w:w="767" w:type="pct"/>
            <w:gridSpan w:val="6"/>
            <w:vAlign w:val="center"/>
          </w:tcPr>
          <w:p w14:paraId="1B590BB6">
            <w:pPr>
              <w:jc w:val="center"/>
              <w:rPr>
                <w:rFonts w:ascii="Times New Roman" w:eastAsia="仿宋"/>
                <w:bCs/>
                <w:szCs w:val="24"/>
                <w:lang w:val="zh-CN"/>
              </w:rPr>
            </w:pPr>
            <w:r>
              <w:rPr>
                <w:rFonts w:ascii="Times New Roman" w:eastAsia="仿宋"/>
                <w:bCs/>
                <w:szCs w:val="24"/>
              </w:rPr>
              <w:t>M2□</w:t>
            </w:r>
          </w:p>
        </w:tc>
        <w:tc>
          <w:tcPr>
            <w:tcW w:w="680" w:type="pct"/>
            <w:gridSpan w:val="3"/>
            <w:vAlign w:val="center"/>
          </w:tcPr>
          <w:p w14:paraId="48730A17">
            <w:pPr>
              <w:jc w:val="center"/>
              <w:rPr>
                <w:rFonts w:ascii="Times New Roman" w:eastAsia="仿宋"/>
                <w:bCs/>
                <w:szCs w:val="24"/>
                <w:lang w:val="zh-CN"/>
              </w:rPr>
            </w:pPr>
            <w:r>
              <w:rPr>
                <w:rFonts w:ascii="Times New Roman" w:eastAsia="仿宋"/>
                <w:bCs/>
                <w:szCs w:val="24"/>
              </w:rPr>
              <w:t>M3□</w:t>
            </w:r>
          </w:p>
        </w:tc>
        <w:tc>
          <w:tcPr>
            <w:tcW w:w="1768" w:type="pct"/>
            <w:gridSpan w:val="4"/>
            <w:vAlign w:val="center"/>
          </w:tcPr>
          <w:p w14:paraId="05ED88A6">
            <w:pPr>
              <w:jc w:val="center"/>
              <w:rPr>
                <w:rFonts w:ascii="Times New Roman" w:eastAsia="仿宋"/>
                <w:bCs/>
                <w:szCs w:val="24"/>
                <w:lang w:val="zh-CN"/>
              </w:rPr>
            </w:pPr>
            <w:r>
              <w:rPr>
                <w:rFonts w:ascii="Times New Roman" w:eastAsia="仿宋"/>
                <w:bCs/>
                <w:szCs w:val="24"/>
              </w:rPr>
              <w:t>M4√</w:t>
            </w:r>
          </w:p>
        </w:tc>
      </w:tr>
      <w:tr w14:paraId="4C96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continue"/>
            <w:vAlign w:val="center"/>
          </w:tcPr>
          <w:p w14:paraId="4A491779">
            <w:pPr>
              <w:jc w:val="center"/>
              <w:rPr>
                <w:rFonts w:ascii="Times New Roman" w:eastAsia="仿宋"/>
                <w:bCs/>
                <w:szCs w:val="24"/>
                <w:lang w:val="zh-CN"/>
              </w:rPr>
            </w:pPr>
          </w:p>
        </w:tc>
        <w:tc>
          <w:tcPr>
            <w:tcW w:w="259" w:type="pct"/>
            <w:vAlign w:val="center"/>
          </w:tcPr>
          <w:p w14:paraId="7DF37B90">
            <w:pPr>
              <w:jc w:val="center"/>
              <w:rPr>
                <w:rFonts w:ascii="Times New Roman" w:eastAsia="仿宋"/>
                <w:bCs/>
                <w:szCs w:val="24"/>
                <w:lang w:val="zh-CN"/>
              </w:rPr>
            </w:pPr>
            <w:r>
              <w:rPr>
                <w:rFonts w:ascii="Times New Roman" w:eastAsia="仿宋"/>
                <w:bCs/>
                <w:szCs w:val="24"/>
                <w:lang w:val="zh-CN"/>
              </w:rPr>
              <w:t>P值</w:t>
            </w:r>
          </w:p>
        </w:tc>
        <w:tc>
          <w:tcPr>
            <w:tcW w:w="1014" w:type="pct"/>
            <w:gridSpan w:val="6"/>
            <w:vAlign w:val="center"/>
          </w:tcPr>
          <w:p w14:paraId="69CC2072">
            <w:pPr>
              <w:jc w:val="center"/>
              <w:rPr>
                <w:rFonts w:ascii="Times New Roman" w:eastAsia="仿宋"/>
                <w:bCs/>
                <w:szCs w:val="24"/>
                <w:lang w:val="zh-CN"/>
              </w:rPr>
            </w:pPr>
            <w:r>
              <w:rPr>
                <w:rFonts w:ascii="Times New Roman" w:eastAsia="仿宋"/>
                <w:bCs/>
                <w:szCs w:val="24"/>
              </w:rPr>
              <w:t>P1□</w:t>
            </w:r>
          </w:p>
        </w:tc>
        <w:tc>
          <w:tcPr>
            <w:tcW w:w="767" w:type="pct"/>
            <w:gridSpan w:val="6"/>
            <w:vAlign w:val="center"/>
          </w:tcPr>
          <w:p w14:paraId="5ACD27EF">
            <w:pPr>
              <w:jc w:val="center"/>
              <w:rPr>
                <w:rFonts w:ascii="Times New Roman" w:eastAsia="仿宋"/>
                <w:bCs/>
                <w:szCs w:val="24"/>
                <w:lang w:val="zh-CN"/>
              </w:rPr>
            </w:pPr>
            <w:r>
              <w:rPr>
                <w:rFonts w:ascii="Times New Roman" w:eastAsia="仿宋"/>
                <w:bCs/>
                <w:szCs w:val="24"/>
              </w:rPr>
              <w:t>P2□</w:t>
            </w:r>
          </w:p>
        </w:tc>
        <w:tc>
          <w:tcPr>
            <w:tcW w:w="680" w:type="pct"/>
            <w:gridSpan w:val="3"/>
            <w:vAlign w:val="center"/>
          </w:tcPr>
          <w:p w14:paraId="618E6B88">
            <w:pPr>
              <w:jc w:val="center"/>
              <w:rPr>
                <w:rFonts w:ascii="Times New Roman" w:eastAsia="仿宋"/>
                <w:bCs/>
                <w:szCs w:val="24"/>
                <w:lang w:val="zh-CN"/>
              </w:rPr>
            </w:pPr>
            <w:r>
              <w:rPr>
                <w:rFonts w:ascii="Times New Roman" w:eastAsia="仿宋"/>
                <w:bCs/>
                <w:szCs w:val="24"/>
              </w:rPr>
              <w:t>P3□</w:t>
            </w:r>
          </w:p>
        </w:tc>
        <w:tc>
          <w:tcPr>
            <w:tcW w:w="1768" w:type="pct"/>
            <w:gridSpan w:val="4"/>
            <w:vAlign w:val="center"/>
          </w:tcPr>
          <w:p w14:paraId="07B5F173">
            <w:pPr>
              <w:jc w:val="center"/>
              <w:rPr>
                <w:rFonts w:ascii="Times New Roman" w:eastAsia="仿宋"/>
                <w:bCs/>
                <w:szCs w:val="24"/>
                <w:lang w:val="zh-CN"/>
              </w:rPr>
            </w:pPr>
            <w:r>
              <w:rPr>
                <w:rFonts w:ascii="Times New Roman" w:eastAsia="仿宋"/>
                <w:bCs/>
                <w:szCs w:val="24"/>
              </w:rPr>
              <w:t>P4□</w:t>
            </w:r>
          </w:p>
        </w:tc>
      </w:tr>
      <w:tr w14:paraId="4751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restart"/>
            <w:vAlign w:val="center"/>
          </w:tcPr>
          <w:p w14:paraId="4997EA5D">
            <w:pPr>
              <w:jc w:val="center"/>
              <w:rPr>
                <w:rFonts w:ascii="Times New Roman" w:eastAsia="仿宋"/>
                <w:bCs/>
                <w:szCs w:val="24"/>
                <w:lang w:val="zh-CN"/>
              </w:rPr>
            </w:pPr>
            <w:r>
              <w:rPr>
                <w:rFonts w:ascii="Times New Roman" w:eastAsia="仿宋"/>
                <w:bCs/>
                <w:szCs w:val="24"/>
                <w:lang w:val="zh-CN"/>
              </w:rPr>
              <w:t>环境敏感程度</w:t>
            </w:r>
          </w:p>
        </w:tc>
        <w:tc>
          <w:tcPr>
            <w:tcW w:w="259" w:type="pct"/>
            <w:vAlign w:val="center"/>
          </w:tcPr>
          <w:p w14:paraId="51120467">
            <w:pPr>
              <w:jc w:val="center"/>
              <w:rPr>
                <w:rFonts w:ascii="Times New Roman" w:eastAsia="仿宋"/>
                <w:bCs/>
                <w:szCs w:val="24"/>
                <w:lang w:val="zh-CN"/>
              </w:rPr>
            </w:pPr>
            <w:r>
              <w:rPr>
                <w:rFonts w:ascii="Times New Roman" w:eastAsia="仿宋"/>
                <w:bCs/>
                <w:szCs w:val="24"/>
                <w:lang w:val="zh-CN"/>
              </w:rPr>
              <w:t>大气</w:t>
            </w:r>
          </w:p>
        </w:tc>
        <w:tc>
          <w:tcPr>
            <w:tcW w:w="1014" w:type="pct"/>
            <w:gridSpan w:val="6"/>
            <w:vAlign w:val="center"/>
          </w:tcPr>
          <w:p w14:paraId="364E7286">
            <w:pPr>
              <w:jc w:val="center"/>
              <w:rPr>
                <w:rFonts w:ascii="Times New Roman" w:eastAsia="仿宋"/>
                <w:bCs/>
                <w:szCs w:val="24"/>
                <w:lang w:val="zh-CN"/>
              </w:rPr>
            </w:pPr>
            <w:r>
              <w:rPr>
                <w:rFonts w:ascii="Times New Roman" w:eastAsia="仿宋"/>
                <w:bCs/>
                <w:szCs w:val="24"/>
              </w:rPr>
              <w:t>E1√</w:t>
            </w:r>
          </w:p>
        </w:tc>
        <w:tc>
          <w:tcPr>
            <w:tcW w:w="1447" w:type="pct"/>
            <w:gridSpan w:val="9"/>
            <w:vAlign w:val="center"/>
          </w:tcPr>
          <w:p w14:paraId="6C0D8683">
            <w:pPr>
              <w:jc w:val="center"/>
              <w:rPr>
                <w:rFonts w:ascii="Times New Roman" w:eastAsia="仿宋"/>
                <w:bCs/>
                <w:szCs w:val="24"/>
                <w:lang w:val="zh-CN"/>
              </w:rPr>
            </w:pPr>
            <w:r>
              <w:rPr>
                <w:rFonts w:ascii="Times New Roman" w:eastAsia="仿宋"/>
                <w:bCs/>
                <w:szCs w:val="24"/>
              </w:rPr>
              <w:t>E2□</w:t>
            </w:r>
          </w:p>
        </w:tc>
        <w:tc>
          <w:tcPr>
            <w:tcW w:w="1768" w:type="pct"/>
            <w:gridSpan w:val="4"/>
            <w:vAlign w:val="center"/>
          </w:tcPr>
          <w:p w14:paraId="01DDAE75">
            <w:pPr>
              <w:jc w:val="center"/>
              <w:rPr>
                <w:rFonts w:ascii="Times New Roman" w:eastAsia="仿宋"/>
                <w:bCs/>
                <w:szCs w:val="24"/>
                <w:lang w:val="zh-CN"/>
              </w:rPr>
            </w:pPr>
            <w:r>
              <w:rPr>
                <w:rFonts w:ascii="Times New Roman" w:eastAsia="仿宋"/>
                <w:bCs/>
                <w:szCs w:val="24"/>
              </w:rPr>
              <w:t>E3□</w:t>
            </w:r>
          </w:p>
        </w:tc>
      </w:tr>
      <w:tr w14:paraId="5B59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continue"/>
            <w:vAlign w:val="center"/>
          </w:tcPr>
          <w:p w14:paraId="114E2E37">
            <w:pPr>
              <w:jc w:val="center"/>
              <w:rPr>
                <w:rFonts w:ascii="Times New Roman" w:eastAsia="仿宋"/>
                <w:bCs/>
                <w:szCs w:val="24"/>
                <w:lang w:val="zh-CN"/>
              </w:rPr>
            </w:pPr>
          </w:p>
        </w:tc>
        <w:tc>
          <w:tcPr>
            <w:tcW w:w="259" w:type="pct"/>
            <w:vAlign w:val="center"/>
          </w:tcPr>
          <w:p w14:paraId="458004FD">
            <w:pPr>
              <w:jc w:val="center"/>
              <w:rPr>
                <w:rFonts w:ascii="Times New Roman" w:eastAsia="仿宋"/>
                <w:bCs/>
                <w:szCs w:val="24"/>
                <w:lang w:val="zh-CN"/>
              </w:rPr>
            </w:pPr>
            <w:r>
              <w:rPr>
                <w:rFonts w:ascii="Times New Roman" w:eastAsia="仿宋"/>
                <w:bCs/>
                <w:szCs w:val="24"/>
                <w:lang w:val="zh-CN"/>
              </w:rPr>
              <w:t>地表水</w:t>
            </w:r>
          </w:p>
        </w:tc>
        <w:tc>
          <w:tcPr>
            <w:tcW w:w="1014" w:type="pct"/>
            <w:gridSpan w:val="6"/>
            <w:vAlign w:val="center"/>
          </w:tcPr>
          <w:p w14:paraId="0D7D92FF">
            <w:pPr>
              <w:jc w:val="center"/>
              <w:rPr>
                <w:rFonts w:ascii="Times New Roman" w:eastAsia="仿宋"/>
                <w:bCs/>
                <w:szCs w:val="24"/>
                <w:lang w:val="zh-CN"/>
              </w:rPr>
            </w:pPr>
            <w:r>
              <w:rPr>
                <w:rFonts w:ascii="Times New Roman" w:eastAsia="仿宋"/>
                <w:bCs/>
                <w:szCs w:val="24"/>
              </w:rPr>
              <w:t>E1□</w:t>
            </w:r>
          </w:p>
        </w:tc>
        <w:tc>
          <w:tcPr>
            <w:tcW w:w="1447" w:type="pct"/>
            <w:gridSpan w:val="9"/>
            <w:vAlign w:val="center"/>
          </w:tcPr>
          <w:p w14:paraId="0C4D5F46">
            <w:pPr>
              <w:jc w:val="center"/>
              <w:rPr>
                <w:rFonts w:ascii="Times New Roman" w:eastAsia="仿宋"/>
                <w:bCs/>
                <w:szCs w:val="24"/>
                <w:lang w:val="zh-CN"/>
              </w:rPr>
            </w:pPr>
            <w:r>
              <w:rPr>
                <w:rFonts w:ascii="Times New Roman" w:eastAsia="仿宋"/>
                <w:bCs/>
                <w:szCs w:val="24"/>
              </w:rPr>
              <w:t>E2√</w:t>
            </w:r>
          </w:p>
        </w:tc>
        <w:tc>
          <w:tcPr>
            <w:tcW w:w="1768" w:type="pct"/>
            <w:gridSpan w:val="4"/>
            <w:vAlign w:val="center"/>
          </w:tcPr>
          <w:p w14:paraId="6C4016D6">
            <w:pPr>
              <w:jc w:val="center"/>
              <w:rPr>
                <w:rFonts w:ascii="Times New Roman" w:eastAsia="仿宋"/>
                <w:bCs/>
                <w:szCs w:val="24"/>
                <w:lang w:val="zh-CN"/>
              </w:rPr>
            </w:pPr>
            <w:r>
              <w:rPr>
                <w:rFonts w:ascii="Times New Roman" w:eastAsia="仿宋"/>
                <w:bCs/>
                <w:szCs w:val="24"/>
              </w:rPr>
              <w:t>E3□</w:t>
            </w:r>
          </w:p>
        </w:tc>
      </w:tr>
      <w:tr w14:paraId="3818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Merge w:val="continue"/>
            <w:vAlign w:val="center"/>
          </w:tcPr>
          <w:p w14:paraId="397B4D0D">
            <w:pPr>
              <w:jc w:val="center"/>
              <w:rPr>
                <w:rFonts w:ascii="Times New Roman" w:eastAsia="仿宋"/>
                <w:bCs/>
                <w:szCs w:val="24"/>
                <w:lang w:val="zh-CN"/>
              </w:rPr>
            </w:pPr>
          </w:p>
        </w:tc>
        <w:tc>
          <w:tcPr>
            <w:tcW w:w="259" w:type="pct"/>
            <w:vAlign w:val="center"/>
          </w:tcPr>
          <w:p w14:paraId="33761064">
            <w:pPr>
              <w:jc w:val="center"/>
              <w:rPr>
                <w:rFonts w:ascii="Times New Roman" w:eastAsia="仿宋"/>
                <w:bCs/>
                <w:szCs w:val="24"/>
                <w:lang w:val="zh-CN"/>
              </w:rPr>
            </w:pPr>
            <w:r>
              <w:rPr>
                <w:rFonts w:ascii="Times New Roman" w:eastAsia="仿宋"/>
                <w:bCs/>
                <w:szCs w:val="24"/>
                <w:lang w:val="zh-CN"/>
              </w:rPr>
              <w:t>地下水</w:t>
            </w:r>
          </w:p>
        </w:tc>
        <w:tc>
          <w:tcPr>
            <w:tcW w:w="1014" w:type="pct"/>
            <w:gridSpan w:val="6"/>
            <w:vAlign w:val="center"/>
          </w:tcPr>
          <w:p w14:paraId="00FE9DE3">
            <w:pPr>
              <w:jc w:val="center"/>
              <w:rPr>
                <w:rFonts w:ascii="Times New Roman" w:eastAsia="仿宋"/>
                <w:bCs/>
                <w:szCs w:val="24"/>
                <w:lang w:val="zh-CN"/>
              </w:rPr>
            </w:pPr>
            <w:r>
              <w:rPr>
                <w:rFonts w:ascii="Times New Roman" w:eastAsia="仿宋"/>
                <w:bCs/>
                <w:szCs w:val="24"/>
              </w:rPr>
              <w:t>E1□</w:t>
            </w:r>
          </w:p>
        </w:tc>
        <w:tc>
          <w:tcPr>
            <w:tcW w:w="1447" w:type="pct"/>
            <w:gridSpan w:val="9"/>
            <w:vAlign w:val="center"/>
          </w:tcPr>
          <w:p w14:paraId="425D479B">
            <w:pPr>
              <w:jc w:val="center"/>
              <w:rPr>
                <w:rFonts w:ascii="Times New Roman" w:eastAsia="仿宋"/>
                <w:bCs/>
                <w:szCs w:val="24"/>
                <w:lang w:val="zh-CN"/>
              </w:rPr>
            </w:pPr>
            <w:r>
              <w:rPr>
                <w:rFonts w:ascii="Times New Roman" w:eastAsia="仿宋"/>
                <w:bCs/>
                <w:szCs w:val="24"/>
              </w:rPr>
              <w:t>E2□</w:t>
            </w:r>
          </w:p>
        </w:tc>
        <w:tc>
          <w:tcPr>
            <w:tcW w:w="1768" w:type="pct"/>
            <w:gridSpan w:val="4"/>
            <w:vAlign w:val="center"/>
          </w:tcPr>
          <w:p w14:paraId="1385400F">
            <w:pPr>
              <w:jc w:val="center"/>
              <w:rPr>
                <w:rFonts w:ascii="Times New Roman" w:eastAsia="仿宋"/>
                <w:bCs/>
                <w:szCs w:val="24"/>
                <w:lang w:val="zh-CN"/>
              </w:rPr>
            </w:pPr>
            <w:r>
              <w:rPr>
                <w:rFonts w:ascii="Times New Roman" w:eastAsia="仿宋"/>
                <w:bCs/>
                <w:szCs w:val="24"/>
              </w:rPr>
              <w:t>E3√</w:t>
            </w:r>
          </w:p>
        </w:tc>
      </w:tr>
      <w:tr w14:paraId="4E39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Align w:val="center"/>
          </w:tcPr>
          <w:p w14:paraId="703AE5A1">
            <w:pPr>
              <w:jc w:val="center"/>
              <w:rPr>
                <w:rFonts w:ascii="Times New Roman" w:eastAsia="仿宋"/>
                <w:bCs/>
                <w:szCs w:val="24"/>
                <w:lang w:val="zh-CN"/>
              </w:rPr>
            </w:pPr>
            <w:r>
              <w:rPr>
                <w:rFonts w:ascii="Times New Roman" w:eastAsia="仿宋"/>
                <w:bCs/>
                <w:szCs w:val="24"/>
                <w:lang w:val="zh-CN"/>
              </w:rPr>
              <w:t>环境风险潜势</w:t>
            </w:r>
          </w:p>
        </w:tc>
        <w:tc>
          <w:tcPr>
            <w:tcW w:w="259" w:type="pct"/>
            <w:vAlign w:val="center"/>
          </w:tcPr>
          <w:p w14:paraId="2A8F421C">
            <w:pPr>
              <w:jc w:val="center"/>
              <w:rPr>
                <w:rFonts w:ascii="Times New Roman" w:eastAsia="仿宋"/>
                <w:bCs/>
                <w:szCs w:val="24"/>
                <w:lang w:val="zh-CN"/>
              </w:rPr>
            </w:pPr>
            <w:r>
              <w:rPr>
                <w:rFonts w:ascii="Times New Roman" w:eastAsia="仿宋"/>
                <w:bCs/>
                <w:szCs w:val="24"/>
              </w:rPr>
              <w:t>Ⅳ</w:t>
            </w:r>
            <w:r>
              <w:rPr>
                <w:rFonts w:ascii="Times New Roman" w:eastAsia="仿宋"/>
                <w:bCs/>
                <w:szCs w:val="24"/>
                <w:vertAlign w:val="superscript"/>
              </w:rPr>
              <w:t>+</w:t>
            </w:r>
            <w:r>
              <w:rPr>
                <w:rFonts w:ascii="Times New Roman" w:eastAsia="仿宋"/>
                <w:bCs/>
                <w:szCs w:val="24"/>
              </w:rPr>
              <w:t>□</w:t>
            </w:r>
          </w:p>
        </w:tc>
        <w:tc>
          <w:tcPr>
            <w:tcW w:w="1014" w:type="pct"/>
            <w:gridSpan w:val="6"/>
            <w:vAlign w:val="center"/>
          </w:tcPr>
          <w:p w14:paraId="37FC1CC5">
            <w:pPr>
              <w:jc w:val="center"/>
              <w:rPr>
                <w:rFonts w:ascii="Times New Roman" w:eastAsia="仿宋"/>
                <w:bCs/>
                <w:szCs w:val="24"/>
                <w:lang w:val="zh-CN"/>
              </w:rPr>
            </w:pPr>
            <w:r>
              <w:rPr>
                <w:rFonts w:ascii="Times New Roman" w:eastAsia="仿宋"/>
                <w:bCs/>
                <w:szCs w:val="24"/>
              </w:rPr>
              <w:t>Ⅳ□</w:t>
            </w:r>
          </w:p>
        </w:tc>
        <w:tc>
          <w:tcPr>
            <w:tcW w:w="735" w:type="pct"/>
            <w:gridSpan w:val="5"/>
            <w:vAlign w:val="center"/>
          </w:tcPr>
          <w:p w14:paraId="4DB9CE16">
            <w:pPr>
              <w:adjustRightInd w:val="0"/>
              <w:snapToGrid w:val="0"/>
              <w:jc w:val="center"/>
              <w:textAlignment w:val="baseline"/>
              <w:rPr>
                <w:rFonts w:ascii="Times New Roman" w:eastAsia="仿宋"/>
                <w:szCs w:val="24"/>
              </w:rPr>
            </w:pPr>
            <w:r>
              <w:rPr>
                <w:rFonts w:ascii="Times New Roman" w:eastAsia="仿宋"/>
                <w:szCs w:val="24"/>
              </w:rPr>
              <w:t>Ⅲ√</w:t>
            </w:r>
          </w:p>
        </w:tc>
        <w:tc>
          <w:tcPr>
            <w:tcW w:w="712" w:type="pct"/>
            <w:gridSpan w:val="4"/>
            <w:vAlign w:val="center"/>
          </w:tcPr>
          <w:p w14:paraId="6F7A4B6C">
            <w:pPr>
              <w:adjustRightInd w:val="0"/>
              <w:snapToGrid w:val="0"/>
              <w:jc w:val="center"/>
              <w:textAlignment w:val="baseline"/>
              <w:rPr>
                <w:rFonts w:ascii="Times New Roman" w:eastAsia="仿宋"/>
                <w:szCs w:val="24"/>
              </w:rPr>
            </w:pPr>
            <w:r>
              <w:rPr>
                <w:rFonts w:ascii="Times New Roman" w:eastAsia="仿宋"/>
                <w:szCs w:val="24"/>
              </w:rPr>
              <w:t>Ⅱ□</w:t>
            </w:r>
          </w:p>
        </w:tc>
        <w:tc>
          <w:tcPr>
            <w:tcW w:w="1768" w:type="pct"/>
            <w:gridSpan w:val="4"/>
            <w:vAlign w:val="center"/>
          </w:tcPr>
          <w:p w14:paraId="72702F9A">
            <w:pPr>
              <w:adjustRightInd w:val="0"/>
              <w:snapToGrid w:val="0"/>
              <w:jc w:val="center"/>
              <w:textAlignment w:val="baseline"/>
              <w:rPr>
                <w:rFonts w:ascii="Times New Roman" w:eastAsia="仿宋"/>
                <w:szCs w:val="24"/>
              </w:rPr>
            </w:pPr>
            <w:r>
              <w:rPr>
                <w:rFonts w:ascii="Times New Roman" w:eastAsia="仿宋"/>
                <w:szCs w:val="24"/>
              </w:rPr>
              <w:t>Ⅰ□</w:t>
            </w:r>
          </w:p>
        </w:tc>
      </w:tr>
      <w:tr w14:paraId="7D3A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Align w:val="center"/>
          </w:tcPr>
          <w:p w14:paraId="0D701075">
            <w:pPr>
              <w:jc w:val="center"/>
              <w:rPr>
                <w:rFonts w:ascii="Times New Roman" w:eastAsia="仿宋"/>
                <w:bCs/>
                <w:szCs w:val="24"/>
                <w:lang w:val="zh-CN"/>
              </w:rPr>
            </w:pPr>
            <w:r>
              <w:rPr>
                <w:rFonts w:ascii="Times New Roman" w:eastAsia="仿宋"/>
                <w:bCs/>
                <w:szCs w:val="24"/>
                <w:lang w:val="zh-CN"/>
              </w:rPr>
              <w:t>评价等级</w:t>
            </w:r>
          </w:p>
        </w:tc>
        <w:tc>
          <w:tcPr>
            <w:tcW w:w="1273" w:type="pct"/>
            <w:gridSpan w:val="7"/>
            <w:vAlign w:val="center"/>
          </w:tcPr>
          <w:p w14:paraId="331BAA96">
            <w:pPr>
              <w:jc w:val="center"/>
              <w:rPr>
                <w:rFonts w:ascii="Times New Roman" w:eastAsia="仿宋"/>
                <w:bCs/>
                <w:szCs w:val="24"/>
                <w:lang w:val="zh-CN"/>
              </w:rPr>
            </w:pPr>
            <w:r>
              <w:rPr>
                <w:rFonts w:ascii="Times New Roman" w:eastAsia="仿宋"/>
                <w:bCs/>
                <w:szCs w:val="24"/>
                <w:lang w:val="zh-CN"/>
              </w:rPr>
              <w:t>一级</w:t>
            </w:r>
            <w:r>
              <w:rPr>
                <w:rFonts w:ascii="Times New Roman" w:eastAsia="仿宋"/>
                <w:bCs/>
                <w:szCs w:val="24"/>
              </w:rPr>
              <w:t>□</w:t>
            </w:r>
          </w:p>
        </w:tc>
        <w:tc>
          <w:tcPr>
            <w:tcW w:w="735" w:type="pct"/>
            <w:gridSpan w:val="5"/>
            <w:vAlign w:val="center"/>
          </w:tcPr>
          <w:p w14:paraId="213500BD">
            <w:pPr>
              <w:jc w:val="center"/>
              <w:rPr>
                <w:rFonts w:ascii="Times New Roman" w:eastAsia="仿宋"/>
                <w:bCs/>
                <w:szCs w:val="24"/>
                <w:lang w:val="zh-CN"/>
              </w:rPr>
            </w:pPr>
            <w:r>
              <w:rPr>
                <w:rFonts w:ascii="Times New Roman" w:eastAsia="仿宋"/>
                <w:bCs/>
                <w:szCs w:val="24"/>
                <w:lang w:val="zh-CN"/>
              </w:rPr>
              <w:t>二级</w:t>
            </w:r>
            <w:r>
              <w:rPr>
                <w:rFonts w:ascii="Times New Roman" w:eastAsia="仿宋"/>
                <w:bCs/>
                <w:szCs w:val="24"/>
              </w:rPr>
              <w:t>□</w:t>
            </w:r>
          </w:p>
        </w:tc>
        <w:tc>
          <w:tcPr>
            <w:tcW w:w="712" w:type="pct"/>
            <w:gridSpan w:val="4"/>
            <w:vAlign w:val="center"/>
          </w:tcPr>
          <w:p w14:paraId="2DDC76BC">
            <w:pPr>
              <w:jc w:val="center"/>
              <w:rPr>
                <w:rFonts w:ascii="Times New Roman" w:eastAsia="仿宋"/>
                <w:bCs/>
                <w:szCs w:val="24"/>
                <w:lang w:val="zh-CN"/>
              </w:rPr>
            </w:pPr>
            <w:r>
              <w:rPr>
                <w:rFonts w:ascii="Times New Roman" w:eastAsia="仿宋"/>
                <w:bCs/>
                <w:szCs w:val="24"/>
                <w:lang w:val="zh-CN"/>
              </w:rPr>
              <w:t>三级</w:t>
            </w:r>
            <w:r>
              <w:rPr>
                <w:rFonts w:ascii="Times New Roman" w:eastAsia="仿宋"/>
                <w:bCs/>
                <w:szCs w:val="24"/>
              </w:rPr>
              <w:t>□</w:t>
            </w:r>
          </w:p>
        </w:tc>
        <w:tc>
          <w:tcPr>
            <w:tcW w:w="1768" w:type="pct"/>
            <w:gridSpan w:val="4"/>
            <w:vAlign w:val="center"/>
          </w:tcPr>
          <w:p w14:paraId="76BAB0ED">
            <w:pPr>
              <w:jc w:val="center"/>
              <w:rPr>
                <w:rFonts w:ascii="Times New Roman" w:eastAsia="仿宋"/>
                <w:bCs/>
                <w:szCs w:val="24"/>
                <w:lang w:val="zh-CN"/>
              </w:rPr>
            </w:pPr>
            <w:r>
              <w:rPr>
                <w:rFonts w:ascii="Times New Roman" w:eastAsia="仿宋"/>
                <w:bCs/>
                <w:szCs w:val="24"/>
                <w:lang w:val="zh-CN"/>
              </w:rPr>
              <w:t>简单分析</w:t>
            </w:r>
            <w:r>
              <w:rPr>
                <w:rFonts w:ascii="Times New Roman" w:eastAsia="仿宋"/>
                <w:bCs/>
                <w:szCs w:val="24"/>
              </w:rPr>
              <w:t>√</w:t>
            </w:r>
          </w:p>
        </w:tc>
      </w:tr>
      <w:tr w14:paraId="15CA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restart"/>
            <w:vAlign w:val="center"/>
          </w:tcPr>
          <w:p w14:paraId="0E893998">
            <w:pPr>
              <w:jc w:val="center"/>
              <w:rPr>
                <w:rFonts w:ascii="Times New Roman" w:eastAsia="仿宋"/>
                <w:bCs/>
                <w:szCs w:val="24"/>
                <w:lang w:val="zh-CN"/>
              </w:rPr>
            </w:pPr>
            <w:r>
              <w:rPr>
                <w:rFonts w:ascii="Times New Roman" w:eastAsia="仿宋"/>
                <w:bCs/>
                <w:szCs w:val="24"/>
                <w:lang w:val="zh-CN"/>
              </w:rPr>
              <w:t>风险识别</w:t>
            </w:r>
          </w:p>
        </w:tc>
        <w:tc>
          <w:tcPr>
            <w:tcW w:w="269" w:type="pct"/>
            <w:vAlign w:val="center"/>
          </w:tcPr>
          <w:p w14:paraId="54D0977F">
            <w:pPr>
              <w:jc w:val="center"/>
              <w:rPr>
                <w:rFonts w:ascii="Times New Roman" w:eastAsia="仿宋"/>
                <w:bCs/>
                <w:szCs w:val="24"/>
                <w:lang w:val="zh-CN"/>
              </w:rPr>
            </w:pPr>
            <w:r>
              <w:rPr>
                <w:rFonts w:ascii="Times New Roman" w:eastAsia="仿宋"/>
                <w:bCs/>
                <w:szCs w:val="24"/>
                <w:lang w:val="zh-CN"/>
              </w:rPr>
              <w:t>物质危险性</w:t>
            </w:r>
          </w:p>
        </w:tc>
        <w:tc>
          <w:tcPr>
            <w:tcW w:w="1512" w:type="pct"/>
            <w:gridSpan w:val="9"/>
            <w:vAlign w:val="center"/>
          </w:tcPr>
          <w:p w14:paraId="0F4F1E22">
            <w:pPr>
              <w:jc w:val="center"/>
              <w:rPr>
                <w:rFonts w:ascii="Times New Roman" w:eastAsia="仿宋"/>
                <w:bCs/>
                <w:szCs w:val="24"/>
                <w:lang w:val="zh-CN"/>
              </w:rPr>
            </w:pPr>
            <w:r>
              <w:rPr>
                <w:rFonts w:ascii="Times New Roman" w:eastAsia="仿宋"/>
                <w:bCs/>
                <w:szCs w:val="24"/>
                <w:lang w:val="zh-CN"/>
              </w:rPr>
              <w:t>有毒有害</w:t>
            </w:r>
            <w:r>
              <w:rPr>
                <w:rFonts w:ascii="Times New Roman" w:eastAsia="仿宋"/>
                <w:bCs/>
                <w:szCs w:val="24"/>
              </w:rPr>
              <w:t>√</w:t>
            </w:r>
          </w:p>
        </w:tc>
        <w:tc>
          <w:tcPr>
            <w:tcW w:w="2976" w:type="pct"/>
            <w:gridSpan w:val="11"/>
            <w:vAlign w:val="center"/>
          </w:tcPr>
          <w:p w14:paraId="06DB314E">
            <w:pPr>
              <w:jc w:val="center"/>
              <w:rPr>
                <w:rFonts w:ascii="Times New Roman" w:eastAsia="仿宋"/>
                <w:bCs/>
                <w:szCs w:val="24"/>
                <w:lang w:val="zh-CN"/>
              </w:rPr>
            </w:pPr>
            <w:r>
              <w:rPr>
                <w:rFonts w:ascii="Times New Roman" w:eastAsia="仿宋"/>
                <w:bCs/>
                <w:szCs w:val="24"/>
                <w:lang w:val="zh-CN"/>
              </w:rPr>
              <w:t>易燃易爆</w:t>
            </w:r>
            <w:r>
              <w:rPr>
                <w:rFonts w:ascii="Times New Roman" w:eastAsia="仿宋"/>
                <w:bCs/>
                <w:szCs w:val="24"/>
              </w:rPr>
              <w:t>√</w:t>
            </w:r>
          </w:p>
        </w:tc>
      </w:tr>
      <w:tr w14:paraId="00A0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6253E04A">
            <w:pPr>
              <w:jc w:val="center"/>
              <w:rPr>
                <w:rFonts w:ascii="Times New Roman" w:eastAsia="仿宋"/>
                <w:bCs/>
                <w:szCs w:val="24"/>
                <w:lang w:val="zh-CN"/>
              </w:rPr>
            </w:pPr>
          </w:p>
        </w:tc>
        <w:tc>
          <w:tcPr>
            <w:tcW w:w="269" w:type="pct"/>
            <w:vAlign w:val="center"/>
          </w:tcPr>
          <w:p w14:paraId="0A8262A2">
            <w:pPr>
              <w:jc w:val="center"/>
              <w:rPr>
                <w:rFonts w:ascii="Times New Roman" w:eastAsia="仿宋"/>
                <w:bCs/>
                <w:szCs w:val="24"/>
                <w:lang w:val="zh-CN"/>
              </w:rPr>
            </w:pPr>
            <w:r>
              <w:rPr>
                <w:rFonts w:ascii="Times New Roman" w:eastAsia="仿宋"/>
                <w:bCs/>
                <w:szCs w:val="24"/>
                <w:lang w:val="zh-CN"/>
              </w:rPr>
              <w:t>环境风险类型</w:t>
            </w:r>
          </w:p>
        </w:tc>
        <w:tc>
          <w:tcPr>
            <w:tcW w:w="926" w:type="pct"/>
            <w:gridSpan w:val="5"/>
            <w:vAlign w:val="center"/>
          </w:tcPr>
          <w:p w14:paraId="338B05BA">
            <w:pPr>
              <w:jc w:val="center"/>
              <w:rPr>
                <w:rFonts w:ascii="Times New Roman" w:eastAsia="仿宋"/>
                <w:bCs/>
                <w:szCs w:val="24"/>
                <w:lang w:val="zh-CN"/>
              </w:rPr>
            </w:pPr>
            <w:r>
              <w:rPr>
                <w:rFonts w:ascii="Times New Roman" w:eastAsia="仿宋"/>
                <w:bCs/>
                <w:szCs w:val="24"/>
                <w:lang w:val="zh-CN"/>
              </w:rPr>
              <w:t>泄漏</w:t>
            </w:r>
            <w:r>
              <w:rPr>
                <w:rFonts w:ascii="Times New Roman" w:eastAsia="仿宋"/>
                <w:bCs/>
                <w:szCs w:val="24"/>
              </w:rPr>
              <w:t>√</w:t>
            </w:r>
          </w:p>
        </w:tc>
        <w:tc>
          <w:tcPr>
            <w:tcW w:w="3562" w:type="pct"/>
            <w:gridSpan w:val="15"/>
            <w:vAlign w:val="center"/>
          </w:tcPr>
          <w:p w14:paraId="4791DB3C">
            <w:pPr>
              <w:jc w:val="center"/>
              <w:rPr>
                <w:rFonts w:ascii="Times New Roman" w:eastAsia="仿宋"/>
                <w:bCs/>
                <w:szCs w:val="24"/>
                <w:lang w:val="zh-CN"/>
              </w:rPr>
            </w:pPr>
            <w:r>
              <w:rPr>
                <w:rFonts w:ascii="Times New Roman" w:eastAsia="仿宋"/>
                <w:bCs/>
                <w:szCs w:val="24"/>
                <w:lang w:val="zh-CN"/>
              </w:rPr>
              <w:t>火灾、爆炸引发伴生/次生污染物排放</w:t>
            </w:r>
            <w:r>
              <w:rPr>
                <w:rFonts w:ascii="Times New Roman" w:eastAsia="仿宋"/>
                <w:bCs/>
                <w:szCs w:val="24"/>
              </w:rPr>
              <w:t>√</w:t>
            </w:r>
          </w:p>
        </w:tc>
      </w:tr>
      <w:tr w14:paraId="6B53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2ED76FDC">
            <w:pPr>
              <w:jc w:val="center"/>
              <w:rPr>
                <w:rFonts w:ascii="Times New Roman" w:eastAsia="仿宋"/>
                <w:bCs/>
                <w:szCs w:val="24"/>
                <w:lang w:val="zh-CN"/>
              </w:rPr>
            </w:pPr>
          </w:p>
        </w:tc>
        <w:tc>
          <w:tcPr>
            <w:tcW w:w="269" w:type="pct"/>
            <w:vAlign w:val="center"/>
          </w:tcPr>
          <w:p w14:paraId="703CF863">
            <w:pPr>
              <w:jc w:val="center"/>
              <w:rPr>
                <w:rFonts w:ascii="Times New Roman" w:eastAsia="仿宋"/>
                <w:bCs/>
                <w:szCs w:val="24"/>
                <w:lang w:val="zh-CN"/>
              </w:rPr>
            </w:pPr>
            <w:r>
              <w:rPr>
                <w:rFonts w:ascii="Times New Roman" w:eastAsia="仿宋"/>
                <w:bCs/>
                <w:szCs w:val="24"/>
                <w:lang w:val="zh-CN"/>
              </w:rPr>
              <w:t>影响途径</w:t>
            </w:r>
          </w:p>
        </w:tc>
        <w:tc>
          <w:tcPr>
            <w:tcW w:w="926" w:type="pct"/>
            <w:gridSpan w:val="5"/>
            <w:vAlign w:val="center"/>
          </w:tcPr>
          <w:p w14:paraId="2C7528D2">
            <w:pPr>
              <w:jc w:val="center"/>
              <w:rPr>
                <w:rFonts w:ascii="Times New Roman" w:eastAsia="仿宋"/>
                <w:bCs/>
                <w:szCs w:val="24"/>
                <w:lang w:val="zh-CN"/>
              </w:rPr>
            </w:pPr>
            <w:r>
              <w:rPr>
                <w:rFonts w:ascii="Times New Roman" w:eastAsia="仿宋"/>
                <w:bCs/>
                <w:szCs w:val="24"/>
                <w:lang w:val="zh-CN"/>
              </w:rPr>
              <w:t>大气</w:t>
            </w:r>
            <w:r>
              <w:rPr>
                <w:rFonts w:ascii="Times New Roman" w:eastAsia="仿宋"/>
                <w:bCs/>
                <w:szCs w:val="24"/>
              </w:rPr>
              <w:t>√</w:t>
            </w:r>
          </w:p>
        </w:tc>
        <w:tc>
          <w:tcPr>
            <w:tcW w:w="1476" w:type="pct"/>
            <w:gridSpan w:val="9"/>
            <w:vAlign w:val="center"/>
          </w:tcPr>
          <w:p w14:paraId="5B71ECAD">
            <w:pPr>
              <w:jc w:val="center"/>
              <w:rPr>
                <w:rFonts w:ascii="Times New Roman" w:eastAsia="仿宋"/>
                <w:bCs/>
                <w:szCs w:val="24"/>
                <w:lang w:val="zh-CN"/>
              </w:rPr>
            </w:pPr>
            <w:r>
              <w:rPr>
                <w:rFonts w:ascii="Times New Roman" w:eastAsia="仿宋"/>
                <w:bCs/>
                <w:szCs w:val="24"/>
                <w:lang w:val="zh-CN"/>
              </w:rPr>
              <w:t>地表水</w:t>
            </w:r>
            <w:r>
              <w:rPr>
                <w:rFonts w:ascii="Times New Roman" w:eastAsia="仿宋"/>
                <w:bCs/>
                <w:szCs w:val="24"/>
              </w:rPr>
              <w:t>√</w:t>
            </w:r>
          </w:p>
        </w:tc>
        <w:tc>
          <w:tcPr>
            <w:tcW w:w="2087" w:type="pct"/>
            <w:gridSpan w:val="6"/>
            <w:vAlign w:val="center"/>
          </w:tcPr>
          <w:p w14:paraId="27F3368B">
            <w:pPr>
              <w:jc w:val="center"/>
              <w:rPr>
                <w:rFonts w:ascii="Times New Roman" w:eastAsia="仿宋"/>
                <w:bCs/>
                <w:szCs w:val="24"/>
                <w:lang w:val="zh-CN"/>
              </w:rPr>
            </w:pPr>
            <w:r>
              <w:rPr>
                <w:rFonts w:ascii="Times New Roman" w:eastAsia="仿宋"/>
                <w:bCs/>
                <w:szCs w:val="24"/>
                <w:lang w:val="zh-CN"/>
              </w:rPr>
              <w:t>地下水</w:t>
            </w:r>
            <w:r>
              <w:rPr>
                <w:rFonts w:ascii="Times New Roman" w:eastAsia="仿宋"/>
                <w:bCs/>
                <w:szCs w:val="24"/>
              </w:rPr>
              <w:t>√</w:t>
            </w:r>
          </w:p>
        </w:tc>
      </w:tr>
      <w:tr w14:paraId="314B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gridSpan w:val="2"/>
            <w:vAlign w:val="center"/>
          </w:tcPr>
          <w:p w14:paraId="34C42F23">
            <w:pPr>
              <w:jc w:val="center"/>
              <w:rPr>
                <w:rFonts w:ascii="Times New Roman" w:eastAsia="仿宋"/>
                <w:bCs/>
                <w:szCs w:val="24"/>
                <w:lang w:val="zh-CN"/>
              </w:rPr>
            </w:pPr>
            <w:r>
              <w:rPr>
                <w:rFonts w:ascii="Times New Roman" w:eastAsia="仿宋"/>
                <w:bCs/>
                <w:szCs w:val="24"/>
                <w:lang w:val="zh-CN"/>
              </w:rPr>
              <w:t>事故情形分析</w:t>
            </w:r>
          </w:p>
        </w:tc>
        <w:tc>
          <w:tcPr>
            <w:tcW w:w="610" w:type="pct"/>
            <w:gridSpan w:val="3"/>
            <w:vAlign w:val="center"/>
          </w:tcPr>
          <w:p w14:paraId="4E00D239">
            <w:pPr>
              <w:jc w:val="center"/>
              <w:rPr>
                <w:rFonts w:ascii="Times New Roman" w:eastAsia="仿宋"/>
                <w:bCs/>
                <w:szCs w:val="24"/>
                <w:lang w:val="zh-CN"/>
              </w:rPr>
            </w:pPr>
            <w:r>
              <w:rPr>
                <w:rFonts w:ascii="Times New Roman" w:eastAsia="仿宋"/>
                <w:bCs/>
                <w:szCs w:val="24"/>
                <w:lang w:val="zh-CN"/>
              </w:rPr>
              <w:t>源强设定方法</w:t>
            </w:r>
          </w:p>
        </w:tc>
        <w:tc>
          <w:tcPr>
            <w:tcW w:w="999" w:type="pct"/>
            <w:gridSpan w:val="7"/>
            <w:vAlign w:val="center"/>
          </w:tcPr>
          <w:p w14:paraId="451F9BE0">
            <w:pPr>
              <w:jc w:val="center"/>
              <w:rPr>
                <w:rFonts w:ascii="Times New Roman" w:eastAsia="仿宋"/>
                <w:bCs/>
                <w:szCs w:val="24"/>
                <w:lang w:val="zh-CN"/>
              </w:rPr>
            </w:pPr>
            <w:r>
              <w:rPr>
                <w:rFonts w:ascii="Times New Roman" w:eastAsia="仿宋"/>
                <w:bCs/>
                <w:szCs w:val="24"/>
                <w:lang w:val="zh-CN"/>
              </w:rPr>
              <w:t>计算法</w:t>
            </w:r>
            <w:r>
              <w:rPr>
                <w:rFonts w:ascii="Times New Roman" w:eastAsia="仿宋"/>
                <w:bCs/>
                <w:szCs w:val="24"/>
              </w:rPr>
              <w:t>□</w:t>
            </w:r>
          </w:p>
        </w:tc>
        <w:tc>
          <w:tcPr>
            <w:tcW w:w="793" w:type="pct"/>
            <w:gridSpan w:val="4"/>
            <w:vAlign w:val="center"/>
          </w:tcPr>
          <w:p w14:paraId="00EF901F">
            <w:pPr>
              <w:jc w:val="center"/>
              <w:rPr>
                <w:rFonts w:ascii="Times New Roman" w:eastAsia="仿宋"/>
                <w:bCs/>
                <w:szCs w:val="24"/>
                <w:lang w:val="zh-CN"/>
              </w:rPr>
            </w:pPr>
            <w:r>
              <w:rPr>
                <w:rFonts w:ascii="Times New Roman" w:eastAsia="仿宋"/>
                <w:bCs/>
                <w:szCs w:val="24"/>
                <w:lang w:val="zh-CN"/>
              </w:rPr>
              <w:t>经验估算法</w:t>
            </w:r>
            <w:r>
              <w:rPr>
                <w:rFonts w:ascii="Times New Roman" w:eastAsia="仿宋"/>
                <w:bCs/>
                <w:szCs w:val="24"/>
              </w:rPr>
              <w:t>□</w:t>
            </w:r>
          </w:p>
        </w:tc>
        <w:tc>
          <w:tcPr>
            <w:tcW w:w="2087" w:type="pct"/>
            <w:gridSpan w:val="6"/>
            <w:vAlign w:val="center"/>
          </w:tcPr>
          <w:p w14:paraId="1D2E848F">
            <w:pPr>
              <w:jc w:val="center"/>
              <w:rPr>
                <w:rFonts w:ascii="Times New Roman" w:eastAsia="仿宋"/>
                <w:bCs/>
                <w:szCs w:val="24"/>
                <w:lang w:val="zh-CN"/>
              </w:rPr>
            </w:pPr>
            <w:r>
              <w:rPr>
                <w:rFonts w:ascii="Times New Roman" w:eastAsia="仿宋"/>
                <w:bCs/>
                <w:szCs w:val="24"/>
                <w:lang w:val="zh-CN"/>
              </w:rPr>
              <w:t>其他估算法</w:t>
            </w:r>
            <w:r>
              <w:rPr>
                <w:rFonts w:ascii="Times New Roman" w:eastAsia="仿宋"/>
                <w:bCs/>
                <w:szCs w:val="24"/>
              </w:rPr>
              <w:t>□</w:t>
            </w:r>
          </w:p>
        </w:tc>
      </w:tr>
      <w:tr w14:paraId="4CDC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restart"/>
            <w:vAlign w:val="center"/>
          </w:tcPr>
          <w:p w14:paraId="4EAA5656">
            <w:pPr>
              <w:jc w:val="center"/>
              <w:rPr>
                <w:rFonts w:ascii="Times New Roman" w:eastAsia="仿宋"/>
                <w:bCs/>
                <w:szCs w:val="24"/>
                <w:lang w:val="zh-CN"/>
              </w:rPr>
            </w:pPr>
            <w:r>
              <w:rPr>
                <w:rFonts w:ascii="Times New Roman" w:eastAsia="仿宋"/>
                <w:bCs/>
                <w:szCs w:val="24"/>
                <w:lang w:val="zh-CN"/>
              </w:rPr>
              <w:t>风险预测与评价</w:t>
            </w:r>
          </w:p>
        </w:tc>
        <w:tc>
          <w:tcPr>
            <w:tcW w:w="269" w:type="pct"/>
            <w:vMerge w:val="restart"/>
            <w:vAlign w:val="center"/>
          </w:tcPr>
          <w:p w14:paraId="5F9CBD58">
            <w:pPr>
              <w:jc w:val="center"/>
              <w:rPr>
                <w:rFonts w:ascii="Times New Roman" w:eastAsia="仿宋"/>
                <w:bCs/>
                <w:szCs w:val="24"/>
                <w:lang w:val="zh-CN"/>
              </w:rPr>
            </w:pPr>
            <w:r>
              <w:rPr>
                <w:rFonts w:ascii="Times New Roman" w:eastAsia="仿宋"/>
                <w:bCs/>
                <w:szCs w:val="24"/>
                <w:lang w:val="zh-CN"/>
              </w:rPr>
              <w:t>大气</w:t>
            </w:r>
          </w:p>
        </w:tc>
        <w:tc>
          <w:tcPr>
            <w:tcW w:w="610" w:type="pct"/>
            <w:gridSpan w:val="3"/>
            <w:vAlign w:val="center"/>
          </w:tcPr>
          <w:p w14:paraId="6E4C960A">
            <w:pPr>
              <w:jc w:val="center"/>
              <w:rPr>
                <w:rFonts w:ascii="Times New Roman" w:eastAsia="仿宋"/>
                <w:bCs/>
                <w:szCs w:val="24"/>
                <w:lang w:val="zh-CN"/>
              </w:rPr>
            </w:pPr>
            <w:r>
              <w:rPr>
                <w:rFonts w:ascii="Times New Roman" w:eastAsia="仿宋"/>
                <w:bCs/>
                <w:szCs w:val="24"/>
                <w:lang w:val="zh-CN"/>
              </w:rPr>
              <w:t>预测模型</w:t>
            </w:r>
          </w:p>
        </w:tc>
        <w:tc>
          <w:tcPr>
            <w:tcW w:w="999" w:type="pct"/>
            <w:gridSpan w:val="7"/>
            <w:vAlign w:val="center"/>
          </w:tcPr>
          <w:p w14:paraId="0EDC9CB5">
            <w:pPr>
              <w:jc w:val="center"/>
              <w:rPr>
                <w:rFonts w:ascii="Times New Roman" w:eastAsia="仿宋"/>
                <w:bCs/>
                <w:szCs w:val="24"/>
                <w:lang w:val="zh-CN"/>
              </w:rPr>
            </w:pPr>
            <w:r>
              <w:rPr>
                <w:rFonts w:ascii="Times New Roman" w:eastAsia="仿宋"/>
                <w:bCs/>
                <w:szCs w:val="24"/>
                <w:lang w:val="zh-CN"/>
              </w:rPr>
              <w:t>SLAB</w:t>
            </w:r>
            <w:r>
              <w:rPr>
                <w:rFonts w:ascii="Times New Roman" w:eastAsia="仿宋"/>
                <w:bCs/>
                <w:szCs w:val="24"/>
              </w:rPr>
              <w:t>□</w:t>
            </w:r>
          </w:p>
        </w:tc>
        <w:tc>
          <w:tcPr>
            <w:tcW w:w="793" w:type="pct"/>
            <w:gridSpan w:val="4"/>
            <w:vAlign w:val="center"/>
          </w:tcPr>
          <w:p w14:paraId="14AEBEA4">
            <w:pPr>
              <w:jc w:val="center"/>
              <w:rPr>
                <w:rFonts w:ascii="Times New Roman" w:eastAsia="仿宋"/>
                <w:bCs/>
                <w:szCs w:val="24"/>
                <w:lang w:val="zh-CN"/>
              </w:rPr>
            </w:pPr>
            <w:r>
              <w:rPr>
                <w:rFonts w:ascii="Times New Roman" w:eastAsia="仿宋"/>
                <w:bCs/>
                <w:szCs w:val="24"/>
                <w:lang w:val="zh-CN"/>
              </w:rPr>
              <w:t>AFTOX</w:t>
            </w:r>
            <w:r>
              <w:rPr>
                <w:rFonts w:ascii="Times New Roman" w:eastAsia="仿宋"/>
                <w:bCs/>
                <w:szCs w:val="24"/>
              </w:rPr>
              <w:t>□</w:t>
            </w:r>
          </w:p>
        </w:tc>
        <w:tc>
          <w:tcPr>
            <w:tcW w:w="2087" w:type="pct"/>
            <w:gridSpan w:val="6"/>
            <w:vAlign w:val="center"/>
          </w:tcPr>
          <w:p w14:paraId="3FE84F14">
            <w:pPr>
              <w:jc w:val="center"/>
              <w:rPr>
                <w:rFonts w:ascii="Times New Roman" w:eastAsia="仿宋"/>
                <w:bCs/>
                <w:szCs w:val="24"/>
                <w:lang w:val="zh-CN"/>
              </w:rPr>
            </w:pPr>
            <w:r>
              <w:rPr>
                <w:rFonts w:ascii="Times New Roman" w:eastAsia="仿宋"/>
                <w:bCs/>
                <w:szCs w:val="24"/>
                <w:lang w:val="zh-CN"/>
              </w:rPr>
              <w:t>其他</w:t>
            </w:r>
            <w:r>
              <w:rPr>
                <w:rFonts w:ascii="Times New Roman" w:eastAsia="仿宋"/>
                <w:bCs/>
                <w:szCs w:val="24"/>
              </w:rPr>
              <w:t>□</w:t>
            </w:r>
          </w:p>
        </w:tc>
      </w:tr>
      <w:tr w14:paraId="1AE3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792BDC2C">
            <w:pPr>
              <w:jc w:val="center"/>
              <w:rPr>
                <w:rFonts w:ascii="Times New Roman" w:eastAsia="仿宋"/>
                <w:bCs/>
                <w:szCs w:val="24"/>
                <w:lang w:val="zh-CN"/>
              </w:rPr>
            </w:pPr>
          </w:p>
        </w:tc>
        <w:tc>
          <w:tcPr>
            <w:tcW w:w="269" w:type="pct"/>
            <w:vMerge w:val="continue"/>
            <w:vAlign w:val="center"/>
          </w:tcPr>
          <w:p w14:paraId="04C0CAC1">
            <w:pPr>
              <w:jc w:val="center"/>
              <w:rPr>
                <w:rFonts w:ascii="Times New Roman" w:eastAsia="仿宋"/>
                <w:bCs/>
                <w:szCs w:val="24"/>
                <w:lang w:val="zh-CN"/>
              </w:rPr>
            </w:pPr>
          </w:p>
        </w:tc>
        <w:tc>
          <w:tcPr>
            <w:tcW w:w="610" w:type="pct"/>
            <w:gridSpan w:val="3"/>
            <w:vMerge w:val="restart"/>
            <w:vAlign w:val="center"/>
          </w:tcPr>
          <w:p w14:paraId="60A6F90B">
            <w:pPr>
              <w:jc w:val="center"/>
              <w:rPr>
                <w:rFonts w:ascii="Times New Roman" w:eastAsia="仿宋"/>
                <w:bCs/>
                <w:szCs w:val="24"/>
                <w:lang w:val="zh-CN"/>
              </w:rPr>
            </w:pPr>
            <w:r>
              <w:rPr>
                <w:rFonts w:ascii="Times New Roman" w:eastAsia="仿宋"/>
                <w:bCs/>
                <w:szCs w:val="24"/>
                <w:lang w:val="zh-CN"/>
              </w:rPr>
              <w:t>预测结果</w:t>
            </w:r>
          </w:p>
        </w:tc>
        <w:tc>
          <w:tcPr>
            <w:tcW w:w="3879" w:type="pct"/>
            <w:gridSpan w:val="17"/>
            <w:vAlign w:val="center"/>
          </w:tcPr>
          <w:p w14:paraId="244DD26F">
            <w:pPr>
              <w:jc w:val="center"/>
              <w:rPr>
                <w:rFonts w:ascii="Times New Roman" w:eastAsia="仿宋"/>
                <w:bCs/>
                <w:szCs w:val="24"/>
                <w:lang w:val="zh-CN"/>
              </w:rPr>
            </w:pPr>
            <w:r>
              <w:rPr>
                <w:rFonts w:ascii="Times New Roman" w:eastAsia="仿宋"/>
                <w:bCs/>
                <w:szCs w:val="24"/>
                <w:lang w:val="zh-CN"/>
              </w:rPr>
              <w:t>大气毒性终点浓度-1最大影响范围</w:t>
            </w:r>
            <w:r>
              <w:rPr>
                <w:rFonts w:ascii="Times New Roman" w:eastAsia="仿宋"/>
                <w:bCs/>
                <w:szCs w:val="24"/>
                <w:u w:val="single"/>
                <w:lang w:val="zh-CN"/>
              </w:rPr>
              <w:t xml:space="preserve">    </w:t>
            </w:r>
            <w:r>
              <w:rPr>
                <w:rFonts w:ascii="Times New Roman" w:eastAsia="仿宋"/>
                <w:bCs/>
                <w:szCs w:val="24"/>
                <w:lang w:val="zh-CN"/>
              </w:rPr>
              <w:t>m</w:t>
            </w:r>
          </w:p>
        </w:tc>
      </w:tr>
      <w:tr w14:paraId="4263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1CCF9D48">
            <w:pPr>
              <w:jc w:val="center"/>
              <w:rPr>
                <w:rFonts w:ascii="Times New Roman" w:eastAsia="仿宋"/>
                <w:bCs/>
                <w:szCs w:val="24"/>
                <w:lang w:val="zh-CN"/>
              </w:rPr>
            </w:pPr>
          </w:p>
        </w:tc>
        <w:tc>
          <w:tcPr>
            <w:tcW w:w="269" w:type="pct"/>
            <w:vMerge w:val="continue"/>
            <w:vAlign w:val="center"/>
          </w:tcPr>
          <w:p w14:paraId="251C1564">
            <w:pPr>
              <w:jc w:val="center"/>
              <w:rPr>
                <w:rFonts w:ascii="Times New Roman" w:eastAsia="仿宋"/>
                <w:bCs/>
                <w:szCs w:val="24"/>
                <w:lang w:val="zh-CN"/>
              </w:rPr>
            </w:pPr>
          </w:p>
        </w:tc>
        <w:tc>
          <w:tcPr>
            <w:tcW w:w="610" w:type="pct"/>
            <w:gridSpan w:val="3"/>
            <w:vMerge w:val="continue"/>
            <w:vAlign w:val="center"/>
          </w:tcPr>
          <w:p w14:paraId="39E10433">
            <w:pPr>
              <w:jc w:val="center"/>
              <w:rPr>
                <w:rFonts w:ascii="Times New Roman" w:eastAsia="仿宋"/>
                <w:bCs/>
                <w:szCs w:val="24"/>
                <w:lang w:val="zh-CN"/>
              </w:rPr>
            </w:pPr>
          </w:p>
        </w:tc>
        <w:tc>
          <w:tcPr>
            <w:tcW w:w="3879" w:type="pct"/>
            <w:gridSpan w:val="17"/>
            <w:vAlign w:val="center"/>
          </w:tcPr>
          <w:p w14:paraId="7BD6FE3D">
            <w:pPr>
              <w:jc w:val="center"/>
              <w:rPr>
                <w:rFonts w:ascii="Times New Roman" w:eastAsia="仿宋"/>
                <w:bCs/>
                <w:szCs w:val="24"/>
                <w:lang w:val="zh-CN"/>
              </w:rPr>
            </w:pPr>
            <w:r>
              <w:rPr>
                <w:rFonts w:ascii="Times New Roman" w:eastAsia="仿宋"/>
                <w:bCs/>
                <w:szCs w:val="24"/>
                <w:lang w:val="zh-CN"/>
              </w:rPr>
              <w:t>大气毒性终点浓度-2最大影响范围</w:t>
            </w:r>
            <w:r>
              <w:rPr>
                <w:rFonts w:ascii="Times New Roman" w:eastAsia="仿宋"/>
                <w:bCs/>
                <w:szCs w:val="24"/>
                <w:u w:val="single"/>
                <w:lang w:val="zh-CN"/>
              </w:rPr>
              <w:t xml:space="preserve">    </w:t>
            </w:r>
            <w:r>
              <w:rPr>
                <w:rFonts w:ascii="Times New Roman" w:eastAsia="仿宋"/>
                <w:bCs/>
                <w:szCs w:val="24"/>
                <w:lang w:val="zh-CN"/>
              </w:rPr>
              <w:t>m</w:t>
            </w:r>
          </w:p>
        </w:tc>
      </w:tr>
      <w:tr w14:paraId="70EA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70D2F305">
            <w:pPr>
              <w:jc w:val="center"/>
              <w:rPr>
                <w:rFonts w:ascii="Times New Roman" w:eastAsia="仿宋"/>
                <w:bCs/>
                <w:szCs w:val="24"/>
                <w:lang w:val="zh-CN"/>
              </w:rPr>
            </w:pPr>
          </w:p>
        </w:tc>
        <w:tc>
          <w:tcPr>
            <w:tcW w:w="269" w:type="pct"/>
            <w:vAlign w:val="center"/>
          </w:tcPr>
          <w:p w14:paraId="056C29CB">
            <w:pPr>
              <w:jc w:val="center"/>
              <w:rPr>
                <w:rFonts w:ascii="Times New Roman" w:eastAsia="仿宋"/>
                <w:bCs/>
                <w:szCs w:val="24"/>
                <w:lang w:val="zh-CN"/>
              </w:rPr>
            </w:pPr>
            <w:r>
              <w:rPr>
                <w:rFonts w:ascii="Times New Roman" w:eastAsia="仿宋"/>
                <w:bCs/>
                <w:szCs w:val="24"/>
                <w:lang w:val="zh-CN"/>
              </w:rPr>
              <w:t>地表水</w:t>
            </w:r>
          </w:p>
        </w:tc>
        <w:tc>
          <w:tcPr>
            <w:tcW w:w="4488" w:type="pct"/>
            <w:gridSpan w:val="20"/>
            <w:vAlign w:val="center"/>
          </w:tcPr>
          <w:p w14:paraId="0F2EB1AC">
            <w:pPr>
              <w:jc w:val="center"/>
              <w:rPr>
                <w:rFonts w:ascii="Times New Roman" w:eastAsia="仿宋"/>
                <w:bCs/>
                <w:szCs w:val="24"/>
                <w:lang w:val="zh-CN"/>
              </w:rPr>
            </w:pPr>
            <w:r>
              <w:rPr>
                <w:rFonts w:ascii="Times New Roman" w:eastAsia="仿宋"/>
                <w:bCs/>
                <w:szCs w:val="24"/>
                <w:lang w:val="zh-CN"/>
              </w:rPr>
              <w:t>最近环境敏感目标</w:t>
            </w:r>
            <w:r>
              <w:rPr>
                <w:rFonts w:ascii="Times New Roman" w:eastAsia="仿宋"/>
                <w:bCs/>
                <w:szCs w:val="24"/>
                <w:u w:val="single"/>
                <w:lang w:val="zh-CN"/>
              </w:rPr>
              <w:t xml:space="preserve">    </w:t>
            </w:r>
            <w:r>
              <w:rPr>
                <w:rFonts w:ascii="Times New Roman" w:eastAsia="仿宋"/>
                <w:bCs/>
                <w:szCs w:val="24"/>
                <w:lang w:val="zh-CN"/>
              </w:rPr>
              <w:t>，到达时间</w:t>
            </w:r>
            <w:r>
              <w:rPr>
                <w:rFonts w:ascii="Times New Roman" w:eastAsia="仿宋"/>
                <w:bCs/>
                <w:szCs w:val="24"/>
                <w:u w:val="single"/>
                <w:lang w:val="zh-CN"/>
              </w:rPr>
              <w:t xml:space="preserve">    </w:t>
            </w:r>
            <w:r>
              <w:rPr>
                <w:rFonts w:ascii="Times New Roman" w:eastAsia="仿宋"/>
                <w:bCs/>
                <w:szCs w:val="24"/>
                <w:lang w:val="zh-CN"/>
              </w:rPr>
              <w:t>h</w:t>
            </w:r>
          </w:p>
        </w:tc>
      </w:tr>
      <w:tr w14:paraId="6D38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5D1C8DFE">
            <w:pPr>
              <w:jc w:val="center"/>
              <w:rPr>
                <w:rFonts w:ascii="Times New Roman" w:eastAsia="仿宋"/>
                <w:bCs/>
                <w:szCs w:val="24"/>
                <w:lang w:val="zh-CN"/>
              </w:rPr>
            </w:pPr>
          </w:p>
        </w:tc>
        <w:tc>
          <w:tcPr>
            <w:tcW w:w="269" w:type="pct"/>
            <w:vMerge w:val="restart"/>
            <w:vAlign w:val="center"/>
          </w:tcPr>
          <w:p w14:paraId="75937B29">
            <w:pPr>
              <w:jc w:val="center"/>
              <w:rPr>
                <w:rFonts w:ascii="Times New Roman" w:eastAsia="仿宋"/>
                <w:bCs/>
                <w:szCs w:val="24"/>
                <w:lang w:val="zh-CN"/>
              </w:rPr>
            </w:pPr>
            <w:r>
              <w:rPr>
                <w:rFonts w:ascii="Times New Roman" w:eastAsia="仿宋"/>
                <w:bCs/>
                <w:szCs w:val="24"/>
                <w:lang w:val="zh-CN"/>
              </w:rPr>
              <w:t>地下水</w:t>
            </w:r>
          </w:p>
        </w:tc>
        <w:tc>
          <w:tcPr>
            <w:tcW w:w="4488" w:type="pct"/>
            <w:gridSpan w:val="20"/>
            <w:vAlign w:val="center"/>
          </w:tcPr>
          <w:p w14:paraId="79B6314B">
            <w:pPr>
              <w:jc w:val="center"/>
              <w:rPr>
                <w:rFonts w:ascii="Times New Roman" w:eastAsia="仿宋"/>
                <w:bCs/>
                <w:szCs w:val="24"/>
                <w:lang w:val="zh-CN"/>
              </w:rPr>
            </w:pPr>
            <w:r>
              <w:rPr>
                <w:rFonts w:ascii="Times New Roman" w:eastAsia="仿宋"/>
                <w:bCs/>
                <w:szCs w:val="24"/>
                <w:lang w:val="zh-CN"/>
              </w:rPr>
              <w:t>下游厂区边界到达时间</w:t>
            </w:r>
            <w:r>
              <w:rPr>
                <w:rFonts w:ascii="Times New Roman" w:eastAsia="仿宋"/>
                <w:bCs/>
                <w:szCs w:val="24"/>
                <w:u w:val="single"/>
                <w:lang w:val="zh-CN"/>
              </w:rPr>
              <w:t xml:space="preserve">    </w:t>
            </w:r>
            <w:r>
              <w:rPr>
                <w:rFonts w:ascii="Times New Roman" w:eastAsia="仿宋"/>
                <w:bCs/>
                <w:szCs w:val="24"/>
                <w:lang w:val="zh-CN"/>
              </w:rPr>
              <w:t>d</w:t>
            </w:r>
          </w:p>
        </w:tc>
      </w:tr>
      <w:tr w14:paraId="242E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Merge w:val="continue"/>
            <w:vAlign w:val="center"/>
          </w:tcPr>
          <w:p w14:paraId="457913C7">
            <w:pPr>
              <w:jc w:val="center"/>
              <w:rPr>
                <w:rFonts w:ascii="Times New Roman" w:eastAsia="仿宋"/>
                <w:bCs/>
                <w:szCs w:val="24"/>
                <w:lang w:val="zh-CN"/>
              </w:rPr>
            </w:pPr>
          </w:p>
        </w:tc>
        <w:tc>
          <w:tcPr>
            <w:tcW w:w="269" w:type="pct"/>
            <w:vMerge w:val="continue"/>
            <w:vAlign w:val="center"/>
          </w:tcPr>
          <w:p w14:paraId="1469BF33">
            <w:pPr>
              <w:jc w:val="center"/>
              <w:rPr>
                <w:rFonts w:ascii="Times New Roman" w:eastAsia="仿宋"/>
                <w:bCs/>
                <w:szCs w:val="24"/>
                <w:lang w:val="zh-CN"/>
              </w:rPr>
            </w:pPr>
          </w:p>
        </w:tc>
        <w:tc>
          <w:tcPr>
            <w:tcW w:w="4488" w:type="pct"/>
            <w:gridSpan w:val="20"/>
            <w:vAlign w:val="center"/>
          </w:tcPr>
          <w:p w14:paraId="69948322">
            <w:pPr>
              <w:jc w:val="center"/>
              <w:rPr>
                <w:rFonts w:ascii="Times New Roman" w:eastAsia="仿宋"/>
                <w:bCs/>
                <w:szCs w:val="24"/>
                <w:lang w:val="zh-CN"/>
              </w:rPr>
            </w:pPr>
            <w:r>
              <w:rPr>
                <w:rFonts w:ascii="Times New Roman" w:eastAsia="仿宋"/>
                <w:bCs/>
                <w:szCs w:val="24"/>
                <w:lang w:val="zh-CN"/>
              </w:rPr>
              <w:t>最近环境敏感目标</w:t>
            </w:r>
            <w:r>
              <w:rPr>
                <w:rFonts w:ascii="Times New Roman" w:eastAsia="仿宋"/>
                <w:bCs/>
                <w:szCs w:val="24"/>
                <w:u w:val="single"/>
                <w:lang w:val="zh-CN"/>
              </w:rPr>
              <w:t xml:space="preserve">    </w:t>
            </w:r>
            <w:r>
              <w:rPr>
                <w:rFonts w:ascii="Times New Roman" w:eastAsia="仿宋"/>
                <w:bCs/>
                <w:szCs w:val="24"/>
                <w:lang w:val="zh-CN"/>
              </w:rPr>
              <w:t>，达到时间</w:t>
            </w:r>
            <w:r>
              <w:rPr>
                <w:rFonts w:ascii="Times New Roman" w:eastAsia="仿宋"/>
                <w:bCs/>
                <w:szCs w:val="24"/>
                <w:u w:val="single"/>
                <w:lang w:val="zh-CN"/>
              </w:rPr>
              <w:t xml:space="preserve">    </w:t>
            </w:r>
            <w:r>
              <w:rPr>
                <w:rFonts w:ascii="Times New Roman" w:eastAsia="仿宋"/>
                <w:bCs/>
                <w:szCs w:val="24"/>
                <w:lang w:val="zh-CN"/>
              </w:rPr>
              <w:t>d</w:t>
            </w:r>
          </w:p>
        </w:tc>
      </w:tr>
      <w:tr w14:paraId="41E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12" w:type="pct"/>
            <w:gridSpan w:val="2"/>
            <w:vAlign w:val="center"/>
          </w:tcPr>
          <w:p w14:paraId="17D92A23">
            <w:pPr>
              <w:jc w:val="center"/>
              <w:rPr>
                <w:rFonts w:ascii="Times New Roman" w:eastAsia="仿宋"/>
                <w:bCs/>
                <w:szCs w:val="24"/>
                <w:lang w:val="zh-CN"/>
              </w:rPr>
            </w:pPr>
            <w:r>
              <w:rPr>
                <w:rFonts w:ascii="Times New Roman" w:eastAsia="仿宋"/>
                <w:bCs/>
                <w:szCs w:val="24"/>
                <w:lang w:val="zh-CN"/>
              </w:rPr>
              <w:t>重点风险防范措施</w:t>
            </w:r>
          </w:p>
        </w:tc>
        <w:tc>
          <w:tcPr>
            <w:tcW w:w="4488" w:type="pct"/>
            <w:gridSpan w:val="20"/>
            <w:vAlign w:val="center"/>
          </w:tcPr>
          <w:p w14:paraId="039F3EF0">
            <w:pPr>
              <w:jc w:val="center"/>
              <w:rPr>
                <w:rFonts w:ascii="Times New Roman" w:eastAsia="仿宋"/>
                <w:bCs/>
                <w:szCs w:val="24"/>
                <w:lang w:val="zh-CN"/>
              </w:rPr>
            </w:pPr>
            <w:r>
              <w:rPr>
                <w:rFonts w:ascii="Times New Roman" w:eastAsia="仿宋"/>
                <w:bCs/>
                <w:szCs w:val="24"/>
                <w:lang w:val="zh-CN"/>
              </w:rPr>
              <w:t>加强风险培训，相关防护设施落实到位</w:t>
            </w:r>
          </w:p>
        </w:tc>
      </w:tr>
      <w:tr w14:paraId="6824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12" w:type="pct"/>
            <w:gridSpan w:val="2"/>
            <w:vAlign w:val="center"/>
          </w:tcPr>
          <w:p w14:paraId="2717F6F7">
            <w:pPr>
              <w:jc w:val="center"/>
              <w:rPr>
                <w:rFonts w:ascii="Times New Roman" w:eastAsia="仿宋"/>
                <w:bCs/>
                <w:szCs w:val="24"/>
                <w:lang w:val="zh-CN"/>
              </w:rPr>
            </w:pPr>
            <w:r>
              <w:rPr>
                <w:rFonts w:ascii="Times New Roman" w:eastAsia="仿宋"/>
                <w:bCs/>
                <w:szCs w:val="24"/>
                <w:lang w:val="zh-CN"/>
              </w:rPr>
              <w:t>评价结论与建议</w:t>
            </w:r>
          </w:p>
        </w:tc>
        <w:tc>
          <w:tcPr>
            <w:tcW w:w="4488" w:type="pct"/>
            <w:gridSpan w:val="20"/>
            <w:vAlign w:val="center"/>
          </w:tcPr>
          <w:p w14:paraId="04821DFD">
            <w:pPr>
              <w:jc w:val="center"/>
              <w:rPr>
                <w:rFonts w:ascii="Times New Roman" w:eastAsia="仿宋"/>
                <w:bCs/>
                <w:szCs w:val="24"/>
                <w:lang w:val="zh-CN"/>
              </w:rPr>
            </w:pPr>
            <w:r>
              <w:rPr>
                <w:rFonts w:ascii="Times New Roman" w:eastAsia="仿宋"/>
                <w:bCs/>
                <w:szCs w:val="24"/>
                <w:lang w:val="zh-CN"/>
              </w:rPr>
              <w:t>风险可防控</w:t>
            </w:r>
          </w:p>
        </w:tc>
      </w:tr>
      <w:tr w14:paraId="500B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2"/>
            <w:vAlign w:val="center"/>
          </w:tcPr>
          <w:p w14:paraId="3EA7D67D">
            <w:pPr>
              <w:ind w:firstLine="480"/>
              <w:jc w:val="left"/>
              <w:rPr>
                <w:rFonts w:ascii="Times New Roman" w:eastAsia="仿宋"/>
                <w:bCs/>
                <w:szCs w:val="24"/>
                <w:lang w:val="zh-CN"/>
              </w:rPr>
            </w:pPr>
            <w:r>
              <w:rPr>
                <w:rFonts w:ascii="Times New Roman" w:eastAsia="仿宋"/>
                <w:bCs/>
                <w:szCs w:val="24"/>
                <w:lang w:val="zh-CN"/>
              </w:rPr>
              <w:t>注：“</w:t>
            </w:r>
            <w:r>
              <w:rPr>
                <w:rFonts w:ascii="Times New Roman" w:eastAsia="仿宋"/>
                <w:bCs/>
                <w:szCs w:val="24"/>
              </w:rPr>
              <w:t>□</w:t>
            </w:r>
            <w:r>
              <w:rPr>
                <w:rFonts w:ascii="Times New Roman" w:eastAsia="仿宋"/>
                <w:bCs/>
                <w:szCs w:val="24"/>
                <w:lang w:val="zh-CN"/>
              </w:rPr>
              <w:t>”为勾选项，“</w:t>
            </w:r>
            <w:r>
              <w:rPr>
                <w:rFonts w:ascii="Times New Roman" w:eastAsia="仿宋"/>
                <w:bCs/>
                <w:szCs w:val="24"/>
                <w:u w:val="single"/>
                <w:lang w:val="zh-CN"/>
              </w:rPr>
              <w:t xml:space="preserve">    </w:t>
            </w:r>
            <w:r>
              <w:rPr>
                <w:rFonts w:ascii="Times New Roman" w:eastAsia="仿宋"/>
                <w:bCs/>
                <w:szCs w:val="24"/>
                <w:lang w:val="zh-CN"/>
              </w:rPr>
              <w:t>”为填写项</w:t>
            </w:r>
          </w:p>
        </w:tc>
      </w:tr>
    </w:tbl>
    <w:p w14:paraId="08E9E68C">
      <w:pPr>
        <w:snapToGrid w:val="0"/>
        <w:spacing w:line="500" w:lineRule="exact"/>
        <w:ind w:firstLine="560" w:firstLineChars="200"/>
        <w:rPr>
          <w:rFonts w:ascii="Times New Roman" w:eastAsia="仿宋"/>
          <w:sz w:val="28"/>
          <w:szCs w:val="28"/>
        </w:rPr>
      </w:pPr>
    </w:p>
    <w:p w14:paraId="09072A6C">
      <w:pPr>
        <w:spacing w:line="500" w:lineRule="exact"/>
        <w:ind w:firstLine="482" w:firstLineChars="200"/>
        <w:jc w:val="center"/>
        <w:rPr>
          <w:rFonts w:ascii="Times New Roman" w:eastAsia="仿宋"/>
          <w:b/>
        </w:rPr>
        <w:sectPr>
          <w:pgSz w:w="16838" w:h="11906" w:orient="landscape"/>
          <w:pgMar w:top="1800" w:right="1440" w:bottom="1800" w:left="1440" w:header="851" w:footer="992" w:gutter="0"/>
          <w:cols w:space="720" w:num="1"/>
          <w:docGrid w:linePitch="312" w:charSpace="0"/>
        </w:sectPr>
      </w:pPr>
    </w:p>
    <w:p w14:paraId="48A0A051">
      <w:pPr>
        <w:pStyle w:val="4"/>
        <w:tabs>
          <w:tab w:val="left" w:pos="284"/>
        </w:tabs>
        <w:spacing w:before="156" w:beforeLines="50" w:after="156" w:afterLines="50" w:line="500" w:lineRule="exact"/>
        <w:rPr>
          <w:rFonts w:eastAsia="仿宋"/>
          <w:bCs w:val="0"/>
          <w:sz w:val="36"/>
          <w:szCs w:val="36"/>
        </w:rPr>
      </w:pPr>
      <w:bookmarkStart w:id="376" w:name="_Hlt127325369"/>
      <w:bookmarkEnd w:id="376"/>
      <w:bookmarkStart w:id="377" w:name="_Hlt118003026"/>
      <w:bookmarkEnd w:id="377"/>
      <w:bookmarkStart w:id="378" w:name="_Hlt58817612"/>
      <w:bookmarkEnd w:id="378"/>
      <w:bookmarkStart w:id="379" w:name="_Hlt117155452"/>
      <w:bookmarkEnd w:id="379"/>
      <w:bookmarkStart w:id="380" w:name="_Hlt72908228"/>
      <w:bookmarkEnd w:id="380"/>
      <w:bookmarkStart w:id="381" w:name="_Toc182553823"/>
      <w:bookmarkStart w:id="382" w:name="_Toc328747145"/>
      <w:bookmarkStart w:id="383" w:name="_Toc97910984"/>
      <w:bookmarkStart w:id="384" w:name="_Toc236536271"/>
      <w:bookmarkStart w:id="385" w:name="_Toc53416336"/>
      <w:bookmarkStart w:id="386" w:name="_Toc73158236"/>
      <w:bookmarkStart w:id="387" w:name="_Toc229298260"/>
      <w:bookmarkStart w:id="388" w:name="_Toc107787858"/>
      <w:bookmarkStart w:id="389" w:name="_Toc240859376"/>
      <w:bookmarkStart w:id="390" w:name="_Toc238363448"/>
      <w:r>
        <w:rPr>
          <w:rFonts w:hint="eastAsia" w:eastAsia="仿宋"/>
          <w:bCs w:val="0"/>
          <w:sz w:val="36"/>
          <w:szCs w:val="36"/>
        </w:rPr>
        <w:t>6</w:t>
      </w:r>
      <w:r>
        <w:rPr>
          <w:rFonts w:eastAsia="仿宋"/>
          <w:bCs w:val="0"/>
          <w:sz w:val="36"/>
          <w:szCs w:val="36"/>
        </w:rPr>
        <w:t>环境保护措施及其可行性论证</w:t>
      </w:r>
      <w:bookmarkEnd w:id="381"/>
      <w:bookmarkEnd w:id="382"/>
    </w:p>
    <w:bookmarkEnd w:id="383"/>
    <w:bookmarkEnd w:id="384"/>
    <w:bookmarkEnd w:id="385"/>
    <w:bookmarkEnd w:id="386"/>
    <w:bookmarkEnd w:id="387"/>
    <w:bookmarkEnd w:id="388"/>
    <w:bookmarkEnd w:id="389"/>
    <w:bookmarkEnd w:id="390"/>
    <w:p w14:paraId="4B6E2F08">
      <w:pPr>
        <w:pStyle w:val="5"/>
        <w:numPr>
          <w:ilvl w:val="0"/>
          <w:numId w:val="0"/>
        </w:numPr>
        <w:adjustRightInd w:val="0"/>
        <w:snapToGrid w:val="0"/>
        <w:spacing w:before="0" w:beforeLines="0" w:after="0" w:afterLines="0"/>
        <w:rPr>
          <w:rFonts w:eastAsia="仿宋"/>
          <w:color w:val="auto"/>
        </w:rPr>
      </w:pPr>
      <w:bookmarkStart w:id="391" w:name="_Toc182553824"/>
      <w:bookmarkStart w:id="392" w:name="_Toc327388491"/>
      <w:bookmarkStart w:id="393" w:name="_Toc125882633"/>
      <w:bookmarkStart w:id="394" w:name="_Toc328747146"/>
      <w:r>
        <w:rPr>
          <w:rFonts w:hint="eastAsia" w:eastAsia="仿宋"/>
          <w:color w:val="auto"/>
        </w:rPr>
        <w:t>6</w:t>
      </w:r>
      <w:r>
        <w:rPr>
          <w:rFonts w:eastAsia="仿宋"/>
          <w:color w:val="auto"/>
        </w:rPr>
        <w:t>.1大气环境保护措施及其经济、技术论证</w:t>
      </w:r>
      <w:bookmarkEnd w:id="391"/>
      <w:bookmarkEnd w:id="392"/>
      <w:bookmarkEnd w:id="393"/>
      <w:bookmarkEnd w:id="394"/>
    </w:p>
    <w:p w14:paraId="59BE62E6">
      <w:pPr>
        <w:pStyle w:val="6"/>
        <w:keepLines w:val="0"/>
        <w:tabs>
          <w:tab w:val="left" w:pos="709"/>
        </w:tabs>
        <w:adjustRightInd w:val="0"/>
        <w:snapToGrid w:val="0"/>
        <w:spacing w:before="0" w:after="0" w:line="500" w:lineRule="exact"/>
        <w:rPr>
          <w:rFonts w:ascii="Times New Roman" w:eastAsia="仿宋"/>
          <w:bCs w:val="0"/>
          <w:sz w:val="28"/>
        </w:rPr>
      </w:pPr>
      <w:r>
        <w:rPr>
          <w:rFonts w:hint="eastAsia" w:ascii="Times New Roman" w:eastAsia="仿宋"/>
          <w:bCs w:val="0"/>
          <w:sz w:val="28"/>
        </w:rPr>
        <w:t>6</w:t>
      </w:r>
      <w:r>
        <w:rPr>
          <w:rFonts w:ascii="Times New Roman" w:eastAsia="仿宋"/>
          <w:bCs w:val="0"/>
          <w:sz w:val="28"/>
        </w:rPr>
        <w:t>.1.1有组织废气污染防治措施</w:t>
      </w:r>
    </w:p>
    <w:p w14:paraId="2EF52060">
      <w:pPr>
        <w:keepNext/>
        <w:widowControl/>
        <w:tabs>
          <w:tab w:val="left" w:pos="851"/>
          <w:tab w:val="left" w:pos="1134"/>
        </w:tabs>
        <w:adjustRightInd w:val="0"/>
        <w:snapToGrid w:val="0"/>
        <w:spacing w:line="500" w:lineRule="exact"/>
        <w:jc w:val="left"/>
        <w:outlineLvl w:val="3"/>
        <w:rPr>
          <w:rFonts w:ascii="Times New Roman" w:eastAsia="仿宋"/>
          <w:b/>
          <w:bCs/>
          <w:spacing w:val="6"/>
          <w:sz w:val="28"/>
        </w:rPr>
      </w:pPr>
      <w:r>
        <w:rPr>
          <w:rFonts w:ascii="Times New Roman" w:eastAsia="仿宋"/>
          <w:b/>
          <w:bCs/>
          <w:spacing w:val="6"/>
          <w:sz w:val="28"/>
        </w:rPr>
        <w:t>6.1.1.1有组织废气处理方案</w:t>
      </w:r>
    </w:p>
    <w:p w14:paraId="242C54E1">
      <w:pPr>
        <w:adjustRightInd w:val="0"/>
        <w:snapToGrid w:val="0"/>
        <w:spacing w:line="500" w:lineRule="exact"/>
        <w:ind w:firstLine="560" w:firstLineChars="200"/>
        <w:rPr>
          <w:rFonts w:ascii="Times New Roman" w:eastAsia="仿宋"/>
          <w:sz w:val="28"/>
          <w:szCs w:val="28"/>
        </w:rPr>
      </w:pPr>
      <w:bookmarkStart w:id="395" w:name="OLE_LINK1"/>
      <w:bookmarkStart w:id="396" w:name="OLE_LINK3"/>
      <w:r>
        <w:rPr>
          <w:rFonts w:ascii="Times New Roman" w:eastAsia="仿宋"/>
          <w:sz w:val="28"/>
          <w:szCs w:val="28"/>
        </w:rPr>
        <w:t>1、</w:t>
      </w:r>
      <w:r>
        <w:rPr>
          <w:rFonts w:hint="eastAsia" w:ascii="Times New Roman" w:eastAsia="仿宋"/>
          <w:sz w:val="28"/>
          <w:szCs w:val="28"/>
        </w:rPr>
        <w:t>机加工产生的粉尘在密闭的打磨室内收集后送入1套“湿式除尘装置处理”后，通过</w:t>
      </w:r>
      <w:r>
        <w:rPr>
          <w:rFonts w:ascii="Times New Roman" w:eastAsia="仿宋"/>
          <w:sz w:val="28"/>
          <w:szCs w:val="28"/>
        </w:rPr>
        <w:t>1根15m高排气筒1#排放</w:t>
      </w:r>
      <w:r>
        <w:rPr>
          <w:rFonts w:hint="eastAsia" w:ascii="Times New Roman" w:eastAsia="仿宋"/>
          <w:sz w:val="28"/>
          <w:szCs w:val="28"/>
        </w:rPr>
        <w:t>。</w:t>
      </w:r>
    </w:p>
    <w:p w14:paraId="6B3E770B">
      <w:pPr>
        <w:spacing w:line="500" w:lineRule="exact"/>
        <w:ind w:firstLine="560" w:firstLineChars="200"/>
        <w:rPr>
          <w:rFonts w:ascii="Times New Roman" w:eastAsia="仿宋"/>
          <w:sz w:val="28"/>
          <w:szCs w:val="28"/>
        </w:rPr>
      </w:pPr>
      <w:r>
        <w:rPr>
          <w:rFonts w:hint="eastAsia" w:ascii="Times New Roman" w:eastAsia="仿宋"/>
          <w:sz w:val="28"/>
          <w:szCs w:val="28"/>
        </w:rPr>
        <w:t>2、钝化废气采用集气罩收集（集气罩设置在槽体上方）、氟碳底漆喷漆废气、氟碳底漆喷漆漆雾、氟碳底漆流平废气经密闭空间整体换风收集后送入1套“1号水帘式循环过滤系统+水喷淋+干式过滤器+催化燃烧装置”处理后与天然气燃烧产生的废气合并通过1</w:t>
      </w:r>
      <w:r>
        <w:rPr>
          <w:rFonts w:ascii="Times New Roman" w:eastAsia="仿宋"/>
          <w:sz w:val="28"/>
          <w:szCs w:val="28"/>
        </w:rPr>
        <w:t>根15m高排气筒</w:t>
      </w:r>
      <w:r>
        <w:rPr>
          <w:rFonts w:hint="eastAsia" w:ascii="Times New Roman" w:eastAsia="仿宋"/>
          <w:sz w:val="28"/>
          <w:szCs w:val="28"/>
        </w:rPr>
        <w:t>2</w:t>
      </w:r>
      <w:r>
        <w:rPr>
          <w:rFonts w:ascii="Times New Roman" w:eastAsia="仿宋"/>
          <w:sz w:val="28"/>
          <w:szCs w:val="28"/>
        </w:rPr>
        <w:t>#排放</w:t>
      </w:r>
      <w:r>
        <w:rPr>
          <w:rFonts w:hint="eastAsia" w:ascii="Times New Roman" w:eastAsia="仿宋"/>
          <w:sz w:val="28"/>
          <w:szCs w:val="28"/>
        </w:rPr>
        <w:t>。</w:t>
      </w:r>
    </w:p>
    <w:p w14:paraId="158A85BA">
      <w:pPr>
        <w:spacing w:line="500" w:lineRule="exact"/>
        <w:ind w:firstLine="560" w:firstLineChars="200"/>
        <w:rPr>
          <w:rFonts w:ascii="Times New Roman" w:eastAsia="仿宋"/>
          <w:sz w:val="28"/>
          <w:szCs w:val="28"/>
        </w:rPr>
      </w:pPr>
      <w:r>
        <w:rPr>
          <w:rFonts w:hint="eastAsia" w:ascii="Times New Roman" w:eastAsia="仿宋"/>
          <w:sz w:val="28"/>
          <w:szCs w:val="28"/>
        </w:rPr>
        <w:t>3、氟碳面漆、底漆调漆废气、氟碳面漆喷漆废气、氟碳面漆喷漆漆雾、氟碳面漆流平废气、喷枪清洗废气经密闭空间整体换风收集后通过1套“2号水帘式循环过滤系统+水喷淋+干式过滤器+催化燃烧装置”后，通过1</w:t>
      </w:r>
      <w:r>
        <w:rPr>
          <w:rFonts w:ascii="Times New Roman" w:eastAsia="仿宋"/>
          <w:sz w:val="28"/>
          <w:szCs w:val="28"/>
        </w:rPr>
        <w:t>根15m高排气筒</w:t>
      </w:r>
      <w:r>
        <w:rPr>
          <w:rFonts w:hint="eastAsia" w:ascii="Times New Roman" w:eastAsia="仿宋"/>
          <w:sz w:val="28"/>
          <w:szCs w:val="28"/>
        </w:rPr>
        <w:t>3</w:t>
      </w:r>
      <w:r>
        <w:rPr>
          <w:rFonts w:ascii="Times New Roman" w:eastAsia="仿宋"/>
          <w:sz w:val="28"/>
          <w:szCs w:val="28"/>
        </w:rPr>
        <w:t>#排放</w:t>
      </w:r>
      <w:r>
        <w:rPr>
          <w:rFonts w:hint="eastAsia" w:ascii="Times New Roman" w:eastAsia="仿宋"/>
          <w:sz w:val="28"/>
          <w:szCs w:val="28"/>
        </w:rPr>
        <w:t>。</w:t>
      </w:r>
    </w:p>
    <w:p w14:paraId="352E9208">
      <w:pPr>
        <w:spacing w:line="500" w:lineRule="exact"/>
        <w:ind w:firstLine="560" w:firstLineChars="200"/>
        <w:rPr>
          <w:rFonts w:ascii="Times New Roman" w:eastAsia="仿宋"/>
          <w:sz w:val="28"/>
          <w:szCs w:val="28"/>
        </w:rPr>
      </w:pPr>
      <w:r>
        <w:rPr>
          <w:rFonts w:hint="eastAsia" w:ascii="Times New Roman" w:eastAsia="仿宋"/>
          <w:sz w:val="28"/>
          <w:szCs w:val="28"/>
        </w:rPr>
        <w:t>4、固化废气、氟碳面漆烘干废气、氟碳底漆烘干废气经密闭空间整体换风收集后通过1套“</w:t>
      </w:r>
      <w:r>
        <w:rPr>
          <w:rFonts w:ascii="Times New Roman" w:eastAsia="仿宋"/>
          <w:sz w:val="28"/>
          <w:szCs w:val="28"/>
        </w:rPr>
        <w:t>3</w:t>
      </w:r>
      <w:r>
        <w:rPr>
          <w:rFonts w:hint="eastAsia" w:ascii="Times New Roman" w:eastAsia="仿宋"/>
          <w:sz w:val="28"/>
          <w:szCs w:val="28"/>
        </w:rPr>
        <w:t>号水帘式循环过滤系统+水喷淋+干式过滤器+催化燃烧装置”处理后与天然气燃烧产生的废气合并通过1</w:t>
      </w:r>
      <w:r>
        <w:rPr>
          <w:rFonts w:ascii="Times New Roman" w:eastAsia="仿宋"/>
          <w:sz w:val="28"/>
          <w:szCs w:val="28"/>
        </w:rPr>
        <w:t>根15m高排气筒4#排放</w:t>
      </w:r>
      <w:r>
        <w:rPr>
          <w:rFonts w:hint="eastAsia" w:ascii="Times New Roman" w:eastAsia="仿宋"/>
          <w:sz w:val="28"/>
          <w:szCs w:val="28"/>
        </w:rPr>
        <w:t>。</w:t>
      </w:r>
    </w:p>
    <w:p w14:paraId="6AAA7878">
      <w:pPr>
        <w:spacing w:line="500" w:lineRule="exact"/>
        <w:ind w:firstLine="560" w:firstLineChars="200"/>
        <w:rPr>
          <w:rFonts w:ascii="Times New Roman" w:eastAsia="仿宋"/>
          <w:sz w:val="28"/>
          <w:szCs w:val="28"/>
        </w:rPr>
        <w:sectPr>
          <w:headerReference r:id="rId26" w:type="default"/>
          <w:headerReference r:id="rId27" w:type="even"/>
          <w:pgSz w:w="11906" w:h="16838"/>
          <w:pgMar w:top="1440" w:right="1800" w:bottom="1440" w:left="1800" w:header="851" w:footer="992" w:gutter="0"/>
          <w:cols w:space="720" w:num="1"/>
          <w:docGrid w:type="lines" w:linePitch="312" w:charSpace="0"/>
        </w:sectPr>
      </w:pPr>
      <w:r>
        <w:rPr>
          <w:rFonts w:hint="eastAsia" w:ascii="Times New Roman" w:eastAsia="仿宋"/>
          <w:sz w:val="28"/>
          <w:szCs w:val="28"/>
        </w:rPr>
        <w:t>5、喷塑粉尘通过集气罩收集后送入1套“滤筒过滤除尘器”处置，最终通过1</w:t>
      </w:r>
      <w:r>
        <w:rPr>
          <w:rFonts w:ascii="Times New Roman" w:eastAsia="仿宋"/>
          <w:sz w:val="28"/>
          <w:szCs w:val="28"/>
        </w:rPr>
        <w:t>根15m高排气筒</w:t>
      </w:r>
      <w:r>
        <w:rPr>
          <w:rFonts w:hint="eastAsia" w:ascii="Times New Roman" w:eastAsia="仿宋"/>
          <w:sz w:val="28"/>
          <w:szCs w:val="28"/>
        </w:rPr>
        <w:t>5</w:t>
      </w:r>
      <w:r>
        <w:rPr>
          <w:rFonts w:ascii="Times New Roman" w:eastAsia="仿宋"/>
          <w:sz w:val="28"/>
          <w:szCs w:val="28"/>
        </w:rPr>
        <w:t>#排放</w:t>
      </w:r>
      <w:r>
        <w:rPr>
          <w:rFonts w:hint="eastAsia" w:ascii="Times New Roman" w:eastAsia="仿宋"/>
          <w:sz w:val="28"/>
          <w:szCs w:val="28"/>
        </w:rPr>
        <w:t>。</w:t>
      </w:r>
    </w:p>
    <w:p w14:paraId="2C382F2A">
      <w:pPr>
        <w:jc w:val="center"/>
        <w:rPr>
          <w:rFonts w:ascii="Times New Roman" w:eastAsia="仿宋"/>
          <w:sz w:val="28"/>
          <w:szCs w:val="28"/>
        </w:rPr>
      </w:pPr>
      <w:r>
        <w:rPr>
          <w:rFonts w:ascii="Times New Roman" w:eastAsia="仿宋"/>
          <w:sz w:val="28"/>
          <w:szCs w:val="28"/>
        </w:rPr>
        <w:drawing>
          <wp:inline distT="0" distB="0" distL="0" distR="0">
            <wp:extent cx="5274310" cy="1751330"/>
            <wp:effectExtent l="0" t="0" r="2540" b="1270"/>
            <wp:docPr id="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
                    <pic:cNvPicPr>
                      <a:picLocks noChangeAspect="1"/>
                    </pic:cNvPicPr>
                  </pic:nvPicPr>
                  <pic:blipFill>
                    <a:blip r:embed="rId96"/>
                    <a:stretch>
                      <a:fillRect/>
                    </a:stretch>
                  </pic:blipFill>
                  <pic:spPr>
                    <a:xfrm>
                      <a:off x="0" y="0"/>
                      <a:ext cx="5274310" cy="1751330"/>
                    </a:xfrm>
                    <a:prstGeom prst="rect">
                      <a:avLst/>
                    </a:prstGeom>
                  </pic:spPr>
                </pic:pic>
              </a:graphicData>
            </a:graphic>
          </wp:inline>
        </w:drawing>
      </w:r>
    </w:p>
    <w:p w14:paraId="04F15C7F">
      <w:pPr>
        <w:pStyle w:val="35"/>
        <w:jc w:val="center"/>
      </w:pPr>
      <w:r>
        <w:drawing>
          <wp:inline distT="0" distB="0" distL="0" distR="0">
            <wp:extent cx="5230495" cy="1883410"/>
            <wp:effectExtent l="0" t="0" r="8255" b="254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97"/>
                    <a:stretch>
                      <a:fillRect/>
                    </a:stretch>
                  </pic:blipFill>
                  <pic:spPr>
                    <a:xfrm>
                      <a:off x="0" y="0"/>
                      <a:ext cx="5230664" cy="1883449"/>
                    </a:xfrm>
                    <a:prstGeom prst="rect">
                      <a:avLst/>
                    </a:prstGeom>
                  </pic:spPr>
                </pic:pic>
              </a:graphicData>
            </a:graphic>
          </wp:inline>
        </w:drawing>
      </w:r>
    </w:p>
    <w:p w14:paraId="38AC4FD4">
      <w:pPr>
        <w:pStyle w:val="35"/>
        <w:jc w:val="center"/>
      </w:pPr>
      <w:r>
        <w:drawing>
          <wp:inline distT="0" distB="0" distL="0" distR="0">
            <wp:extent cx="5255260" cy="1923415"/>
            <wp:effectExtent l="0" t="0" r="2540" b="635"/>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98"/>
                    <a:stretch>
                      <a:fillRect/>
                    </a:stretch>
                  </pic:blipFill>
                  <pic:spPr>
                    <a:xfrm>
                      <a:off x="0" y="0"/>
                      <a:ext cx="5262730" cy="1926318"/>
                    </a:xfrm>
                    <a:prstGeom prst="rect">
                      <a:avLst/>
                    </a:prstGeom>
                  </pic:spPr>
                </pic:pic>
              </a:graphicData>
            </a:graphic>
          </wp:inline>
        </w:drawing>
      </w:r>
    </w:p>
    <w:p w14:paraId="5F106D50">
      <w:pPr>
        <w:spacing w:line="500" w:lineRule="exact"/>
        <w:jc w:val="center"/>
        <w:rPr>
          <w:rFonts w:ascii="Times New Roman" w:eastAsia="仿宋"/>
          <w:b/>
        </w:rPr>
      </w:pPr>
      <w:r>
        <w:rPr>
          <w:rFonts w:ascii="Times New Roman" w:eastAsia="仿宋"/>
          <w:b/>
        </w:rPr>
        <w:t>图6.1-1   废气收集处理系统示意图</w:t>
      </w:r>
      <w:bookmarkEnd w:id="395"/>
      <w:bookmarkEnd w:id="396"/>
    </w:p>
    <w:p w14:paraId="45C82132">
      <w:pPr>
        <w:keepNext/>
        <w:widowControl/>
        <w:tabs>
          <w:tab w:val="left" w:pos="851"/>
          <w:tab w:val="left" w:pos="1134"/>
        </w:tabs>
        <w:adjustRightInd w:val="0"/>
        <w:snapToGrid w:val="0"/>
        <w:spacing w:after="156" w:afterLines="50" w:line="500" w:lineRule="exact"/>
        <w:jc w:val="left"/>
        <w:outlineLvl w:val="3"/>
        <w:rPr>
          <w:rFonts w:ascii="Times New Roman" w:eastAsia="仿宋"/>
          <w:b/>
          <w:bCs/>
          <w:spacing w:val="6"/>
          <w:sz w:val="28"/>
        </w:rPr>
      </w:pPr>
      <w:r>
        <w:rPr>
          <w:rFonts w:ascii="Times New Roman" w:eastAsia="仿宋"/>
          <w:b/>
          <w:bCs/>
          <w:spacing w:val="6"/>
          <w:sz w:val="28"/>
        </w:rPr>
        <w:t>6.1.1.2技术可行性分析</w:t>
      </w:r>
    </w:p>
    <w:p w14:paraId="5159FFCB">
      <w:pPr>
        <w:spacing w:line="500" w:lineRule="exact"/>
        <w:ind w:firstLine="562" w:firstLineChars="200"/>
        <w:rPr>
          <w:rFonts w:ascii="Times New Roman" w:eastAsia="仿宋"/>
          <w:b/>
          <w:bCs/>
          <w:sz w:val="28"/>
          <w:szCs w:val="28"/>
        </w:rPr>
      </w:pPr>
      <w:r>
        <w:rPr>
          <w:rFonts w:hint="eastAsia" w:ascii="Times New Roman" w:eastAsia="仿宋"/>
          <w:b/>
          <w:bCs/>
          <w:sz w:val="28"/>
          <w:szCs w:val="28"/>
        </w:rPr>
        <w:t>（1）水帘+水喷淋塔</w:t>
      </w:r>
    </w:p>
    <w:p w14:paraId="388FA239">
      <w:pPr>
        <w:spacing w:line="500" w:lineRule="exact"/>
        <w:ind w:firstLine="560" w:firstLineChars="200"/>
        <w:rPr>
          <w:rFonts w:ascii="Times New Roman" w:eastAsia="仿宋"/>
          <w:sz w:val="28"/>
          <w:szCs w:val="28"/>
        </w:rPr>
      </w:pPr>
      <w:r>
        <w:rPr>
          <w:rFonts w:hint="eastAsia" w:ascii="Times New Roman" w:eastAsia="仿宋"/>
          <w:sz w:val="28"/>
          <w:szCs w:val="28"/>
        </w:rPr>
        <w:t>本项目喷漆废气首先通过喷漆室内水帘式循环过滤系统，去除部分喷漆废气中颗粒物，处理后的气体进入水喷淋塔装置，进一步去除颗粒物，最后通过除雾器去除废气中水汽后进入后续处理装置。</w:t>
      </w:r>
    </w:p>
    <w:p w14:paraId="1B1B9486">
      <w:pPr>
        <w:spacing w:line="500" w:lineRule="exact"/>
        <w:ind w:firstLine="562" w:firstLineChars="200"/>
        <w:rPr>
          <w:rFonts w:ascii="Times New Roman" w:eastAsia="仿宋"/>
          <w:sz w:val="28"/>
          <w:szCs w:val="28"/>
        </w:rPr>
      </w:pPr>
      <w:r>
        <w:rPr>
          <w:rFonts w:hint="eastAsia" w:ascii="Times New Roman" w:eastAsia="仿宋"/>
          <w:b/>
          <w:bCs/>
          <w:sz w:val="28"/>
          <w:szCs w:val="28"/>
        </w:rPr>
        <w:t>水帘装置：</w:t>
      </w:r>
      <w:r>
        <w:rPr>
          <w:rFonts w:hint="eastAsia" w:ascii="Times New Roman" w:eastAsia="仿宋"/>
          <w:sz w:val="28"/>
          <w:szCs w:val="28"/>
        </w:rPr>
        <w:t>含有颗粒物的空气经过前面水帘后进行第一次的拦截，随即进入“沸腾搅拌通道”，气流掠经通道下方的水面时由于高速作用将水带起进入通道内，气流到达通道的上方后由于流速的降低，被带起的水因为重力的作用会有一部分水落回致通道口下方，这样就会与继续带起的水产生撞击从而形成沸腾状，呈沸腾状的水珠与气流充分混合搅拌后，颗粒物将被彻底清洗到水中，从而达到对颗粒物颗粒清洗净化。</w:t>
      </w:r>
    </w:p>
    <w:p w14:paraId="322A5762">
      <w:pPr>
        <w:spacing w:line="500" w:lineRule="exact"/>
        <w:ind w:firstLine="562" w:firstLineChars="200"/>
        <w:rPr>
          <w:rFonts w:ascii="Times New Roman" w:eastAsia="仿宋"/>
          <w:sz w:val="28"/>
          <w:szCs w:val="28"/>
        </w:rPr>
      </w:pPr>
      <w:r>
        <w:rPr>
          <w:rFonts w:hint="eastAsia" w:ascii="Times New Roman" w:eastAsia="仿宋"/>
          <w:b/>
          <w:bCs/>
          <w:sz w:val="28"/>
          <w:szCs w:val="28"/>
        </w:rPr>
        <w:t>水喷淋装置：</w:t>
      </w:r>
      <w:r>
        <w:rPr>
          <w:rFonts w:hint="eastAsia" w:ascii="Times New Roman" w:eastAsia="仿宋"/>
          <w:sz w:val="28"/>
          <w:szCs w:val="28"/>
        </w:rPr>
        <w:t>含尘气流向上运动，液滴由喷嘴喷出向下运动，粉尘颗粒与液滴之间通过惯性碰撞、接触阻留、粉尘因加湿而凝聚等作用机制，使较大的尘粒被液滴捕集。当气体流速较小时，夹带了颗粒的液滴因重力作用而沉于塔底。净化后的气体通过净水器去除夹带的细小液滴从顶部排出。</w:t>
      </w:r>
    </w:p>
    <w:p w14:paraId="2F2CBBB6">
      <w:pPr>
        <w:spacing w:line="500" w:lineRule="exact"/>
        <w:ind w:firstLine="562" w:firstLineChars="200"/>
        <w:rPr>
          <w:rFonts w:ascii="Times New Roman" w:eastAsia="仿宋"/>
          <w:sz w:val="28"/>
          <w:szCs w:val="28"/>
        </w:rPr>
      </w:pPr>
      <w:r>
        <w:rPr>
          <w:rFonts w:hint="eastAsia" w:ascii="Times New Roman" w:eastAsia="仿宋"/>
          <w:b/>
          <w:bCs/>
          <w:sz w:val="28"/>
          <w:szCs w:val="28"/>
        </w:rPr>
        <w:t>（2）活性炭吸附脱附+催化燃烧装置</w:t>
      </w:r>
    </w:p>
    <w:p w14:paraId="3CC6F3EF">
      <w:pPr>
        <w:spacing w:line="500" w:lineRule="exact"/>
        <w:ind w:firstLine="560" w:firstLineChars="200"/>
        <w:rPr>
          <w:rFonts w:ascii="Times New Roman" w:eastAsia="仿宋"/>
          <w:sz w:val="28"/>
          <w:szCs w:val="28"/>
        </w:rPr>
      </w:pPr>
      <w:r>
        <w:rPr>
          <w:rFonts w:hint="eastAsia" w:ascii="Times New Roman" w:eastAsia="仿宋"/>
          <w:sz w:val="28"/>
          <w:szCs w:val="28"/>
        </w:rPr>
        <w:t>本项目有机废气由吸附风机送入活性炭吸附床对废气进行吸附浓缩处理，保证进入活性炭吸附装置的废气温度＜4</w:t>
      </w:r>
      <w:r>
        <w:rPr>
          <w:rFonts w:ascii="Times New Roman" w:eastAsia="仿宋"/>
          <w:sz w:val="28"/>
          <w:szCs w:val="28"/>
        </w:rPr>
        <w:t>0</w:t>
      </w:r>
      <w:r>
        <w:rPr>
          <w:rFonts w:hint="eastAsia" w:ascii="Times New Roman" w:eastAsia="仿宋"/>
          <w:sz w:val="28"/>
          <w:szCs w:val="28"/>
        </w:rPr>
        <w:t>℃，净化后的废气有组织排放，脱附后的高浓度气体采用CO工艺进一步处理，脱附废气在高温催化剂的作用下，气体中的有机物分解成CO</w:t>
      </w:r>
      <w:r>
        <w:rPr>
          <w:rFonts w:hint="eastAsia" w:ascii="Times New Roman" w:eastAsia="仿宋"/>
          <w:sz w:val="28"/>
          <w:szCs w:val="28"/>
          <w:vertAlign w:val="subscript"/>
        </w:rPr>
        <w:t>2</w:t>
      </w:r>
      <w:r>
        <w:rPr>
          <w:rFonts w:hint="eastAsia" w:ascii="Times New Roman" w:eastAsia="仿宋"/>
          <w:sz w:val="28"/>
          <w:szCs w:val="28"/>
        </w:rPr>
        <w:t>、H</w:t>
      </w:r>
      <w:r>
        <w:rPr>
          <w:rFonts w:hint="eastAsia" w:ascii="Times New Roman" w:eastAsia="仿宋"/>
          <w:sz w:val="28"/>
          <w:szCs w:val="28"/>
          <w:vertAlign w:val="subscript"/>
        </w:rPr>
        <w:t>2</w:t>
      </w:r>
      <w:r>
        <w:rPr>
          <w:rFonts w:hint="eastAsia" w:ascii="Times New Roman" w:eastAsia="仿宋"/>
          <w:sz w:val="28"/>
          <w:szCs w:val="28"/>
        </w:rPr>
        <w:t>O等物质，同时放出热量，使气体温度进一步提升，该高温气体经二级换热器换热，回收部分热量后排出，排出的气体用于脱附加热使用，以节省能耗。</w:t>
      </w:r>
    </w:p>
    <w:p w14:paraId="0EF150AD">
      <w:pPr>
        <w:spacing w:line="500" w:lineRule="exact"/>
        <w:ind w:firstLine="560" w:firstLineChars="200"/>
        <w:rPr>
          <w:rFonts w:ascii="Times New Roman" w:eastAsia="仿宋"/>
          <w:sz w:val="28"/>
          <w:szCs w:val="28"/>
        </w:rPr>
      </w:pPr>
      <w:r>
        <w:rPr>
          <w:rFonts w:hint="eastAsia" w:ascii="Times New Roman" w:eastAsia="仿宋"/>
          <w:sz w:val="28"/>
          <w:szCs w:val="28"/>
        </w:rPr>
        <w:t>①活性炭吸附装置</w:t>
      </w:r>
    </w:p>
    <w:p w14:paraId="126205F2">
      <w:pPr>
        <w:spacing w:line="500" w:lineRule="exact"/>
        <w:ind w:firstLine="560" w:firstLineChars="200"/>
        <w:rPr>
          <w:rFonts w:ascii="Times New Roman" w:eastAsia="仿宋"/>
          <w:sz w:val="28"/>
          <w:szCs w:val="28"/>
        </w:rPr>
      </w:pPr>
      <w:r>
        <w:rPr>
          <w:rFonts w:hint="eastAsia" w:ascii="Times New Roman" w:eastAsia="仿宋"/>
          <w:sz w:val="28"/>
          <w:szCs w:val="28"/>
        </w:rPr>
        <w:t>经除雾器去除水汽后的废气由吸附风机送入活性炭吸附浓缩箱经过二次净化，净化后的气体进入烟囱，高空排放。活性炭吸附装置吸附一定时间后会饱和，吸附剂需要再生后才能重新使用。再生时，关闭需要再生的吸附单元进出口管路阀门，开启吸附单元上脱附管路阀门，启动脱附风机和催化床内的电加热器，把热风送至需要再生的吸附单元内，对吸附剂加热，吹脱吸附在吸附剂上的有机物，脱附物随脱附气流送入催化燃烧设备内焚烧处理。</w:t>
      </w:r>
    </w:p>
    <w:p w14:paraId="7216783B">
      <w:pPr>
        <w:spacing w:line="500" w:lineRule="exact"/>
        <w:ind w:firstLine="560" w:firstLineChars="200"/>
        <w:rPr>
          <w:rFonts w:ascii="Times New Roman" w:eastAsia="仿宋"/>
          <w:sz w:val="28"/>
          <w:szCs w:val="28"/>
        </w:rPr>
      </w:pPr>
      <w:r>
        <w:rPr>
          <w:rFonts w:hint="eastAsia" w:ascii="Times New Roman" w:eastAsia="仿宋"/>
          <w:sz w:val="28"/>
          <w:szCs w:val="28"/>
        </w:rPr>
        <w:t>②催化燃烧装置</w:t>
      </w:r>
    </w:p>
    <w:p w14:paraId="1B4C7484">
      <w:pPr>
        <w:spacing w:line="500" w:lineRule="exact"/>
        <w:ind w:firstLine="560" w:firstLineChars="200"/>
        <w:rPr>
          <w:rFonts w:ascii="Times New Roman" w:eastAsia="仿宋"/>
          <w:sz w:val="28"/>
          <w:szCs w:val="28"/>
        </w:rPr>
      </w:pPr>
      <w:r>
        <w:rPr>
          <w:rFonts w:hint="eastAsia" w:ascii="Times New Roman" w:eastAsia="仿宋"/>
          <w:sz w:val="28"/>
          <w:szCs w:val="28"/>
        </w:rPr>
        <w:t>催化床采用不锈钢管电加热，在高温催化剂的作用下，气体中的有机物分解成CO</w:t>
      </w:r>
      <w:r>
        <w:rPr>
          <w:rFonts w:hint="eastAsia" w:ascii="Times New Roman" w:eastAsia="仿宋"/>
          <w:sz w:val="28"/>
          <w:szCs w:val="28"/>
          <w:vertAlign w:val="subscript"/>
        </w:rPr>
        <w:t>2</w:t>
      </w:r>
      <w:r>
        <w:rPr>
          <w:rFonts w:hint="eastAsia" w:ascii="Times New Roman" w:eastAsia="仿宋"/>
          <w:sz w:val="28"/>
          <w:szCs w:val="28"/>
        </w:rPr>
        <w:t>、H</w:t>
      </w:r>
      <w:r>
        <w:rPr>
          <w:rFonts w:hint="eastAsia" w:ascii="Times New Roman" w:eastAsia="仿宋"/>
          <w:sz w:val="28"/>
          <w:szCs w:val="28"/>
          <w:vertAlign w:val="subscript"/>
        </w:rPr>
        <w:t>2</w:t>
      </w:r>
      <w:r>
        <w:rPr>
          <w:rFonts w:hint="eastAsia" w:ascii="Times New Roman" w:eastAsia="仿宋"/>
          <w:sz w:val="28"/>
          <w:szCs w:val="28"/>
        </w:rPr>
        <w:t>O等物质，同时放出热量，使气体温度进一步提升，该高温气体经二级换热器换热，回收部分热量后排出，排出的气体用于脱附加热使用。在脱附过程中控制气体的脱附温度，可控制脱附气体中的有机物浓度，达到充分燃烧分解的效果，并利用燃烧放热的热量来达到催化燃烧、脱附需要的热平衡，以维持系统的运行，可很好地节约运行费用。</w:t>
      </w:r>
    </w:p>
    <w:p w14:paraId="48741B29">
      <w:pPr>
        <w:spacing w:line="500" w:lineRule="exact"/>
        <w:ind w:firstLine="560" w:firstLineChars="200"/>
        <w:rPr>
          <w:rFonts w:ascii="Times New Roman" w:eastAsia="仿宋"/>
          <w:sz w:val="28"/>
          <w:szCs w:val="28"/>
        </w:rPr>
      </w:pPr>
      <w:r>
        <w:rPr>
          <w:rFonts w:hint="eastAsia" w:ascii="Times New Roman" w:eastAsia="仿宋"/>
          <w:sz w:val="28"/>
          <w:szCs w:val="28"/>
        </w:rPr>
        <w:t>催化燃烧实际上为完全的催化氧化，利用贵金属催化剂降低废气中有机物的活化能，使有机物在较低的温度（一般在250～300℃左右，不同成分的有机物，其催化燃烧温度不一样）下发生无火焰燃烧。其原理是废气经过催化剂时，先被吸附至催化剂表面，然后在一定的温度下发生催化燃烧，达到净化的目的。本项目使用陶瓷蜂窝体的贵金属催化剂，使气体中的有害可燃组分完全氧化为CO</w:t>
      </w:r>
      <w:r>
        <w:rPr>
          <w:rFonts w:hint="eastAsia" w:ascii="Times New Roman" w:eastAsia="仿宋"/>
          <w:sz w:val="28"/>
          <w:szCs w:val="28"/>
          <w:vertAlign w:val="subscript"/>
        </w:rPr>
        <w:t>2</w:t>
      </w:r>
      <w:r>
        <w:rPr>
          <w:rFonts w:hint="eastAsia" w:ascii="Times New Roman" w:eastAsia="仿宋"/>
          <w:sz w:val="28"/>
          <w:szCs w:val="28"/>
        </w:rPr>
        <w:t>和H</w:t>
      </w:r>
      <w:r>
        <w:rPr>
          <w:rFonts w:hint="eastAsia" w:ascii="Times New Roman" w:eastAsia="仿宋"/>
          <w:sz w:val="28"/>
          <w:szCs w:val="28"/>
          <w:vertAlign w:val="subscript"/>
        </w:rPr>
        <w:t>2</w:t>
      </w:r>
      <w:r>
        <w:rPr>
          <w:rFonts w:hint="eastAsia" w:ascii="Times New Roman" w:eastAsia="仿宋"/>
          <w:sz w:val="28"/>
          <w:szCs w:val="28"/>
        </w:rPr>
        <w:t>O（原理见下公式），催化剂活性好、寿命厂、使用稳定；净化装置和生产装置紧密结合在一起，既有很高的净化效率，又可充分利用能量、节约电力；气体流畅、阻力小，燃烧余热可利用。</w:t>
      </w:r>
    </w:p>
    <w:p w14:paraId="10DCCD2F">
      <w:pPr>
        <w:ind w:firstLine="560" w:firstLineChars="200"/>
        <w:jc w:val="center"/>
        <w:rPr>
          <w:rFonts w:ascii="Times New Roman" w:eastAsia="仿宋"/>
          <w:b/>
          <w:bCs/>
          <w:sz w:val="28"/>
          <w:szCs w:val="28"/>
        </w:rPr>
      </w:pPr>
      <w:r>
        <w:rPr>
          <w:rFonts w:hint="eastAsia" w:ascii="Times New Roman" w:eastAsia="仿宋"/>
          <w:sz w:val="28"/>
          <w:szCs w:val="28"/>
        </w:rPr>
        <w:object>
          <v:shape id="_x0000_i1028" o:spt="75" type="#_x0000_t75" style="height:36.3pt;width:311.05pt;" o:ole="t" filled="f" o:preferrelative="t" stroked="f" coordsize="21600,21600">
            <v:path/>
            <v:fill on="f" focussize="0,0"/>
            <v:stroke on="f" joinstyle="miter"/>
            <v:imagedata r:id="rId100" o:title="image2"/>
            <o:lock v:ext="edit" aspectratio="t"/>
            <w10:wrap type="none"/>
            <w10:anchorlock/>
          </v:shape>
          <o:OLEObject Type="Embed" ProgID="Equation.3" ShapeID="_x0000_i1028" DrawAspect="Content" ObjectID="_1468075728" r:id="rId99">
            <o:LockedField>false</o:LockedField>
          </o:OLEObject>
        </w:object>
      </w:r>
    </w:p>
    <w:p w14:paraId="48229488">
      <w:pPr>
        <w:spacing w:line="500" w:lineRule="exact"/>
        <w:ind w:firstLine="560" w:firstLineChars="200"/>
        <w:rPr>
          <w:rFonts w:ascii="Times New Roman" w:eastAsia="仿宋"/>
          <w:sz w:val="28"/>
          <w:szCs w:val="28"/>
        </w:rPr>
      </w:pPr>
      <w:r>
        <w:rPr>
          <w:rFonts w:hint="eastAsia" w:ascii="Times New Roman" w:eastAsia="仿宋"/>
          <w:sz w:val="28"/>
          <w:szCs w:val="28"/>
        </w:rPr>
        <w:t>本项目催化燃烧装置主体结构由净化装置主机、引风机及电器控制元件组成。净化装置主机是由换热器、预热室、催化床、阻火器和防爆器组成的整体结构，阻火除尘器位于进气管道上，防爆装置设在主机的顶部。</w:t>
      </w:r>
    </w:p>
    <w:p w14:paraId="668A05B0">
      <w:pPr>
        <w:spacing w:line="500" w:lineRule="exact"/>
        <w:ind w:firstLine="560" w:firstLineChars="200"/>
        <w:rPr>
          <w:rFonts w:ascii="Times New Roman" w:eastAsia="仿宋"/>
          <w:sz w:val="28"/>
          <w:szCs w:val="28"/>
        </w:rPr>
      </w:pPr>
      <w:r>
        <w:rPr>
          <w:rFonts w:hint="eastAsia" w:ascii="Times New Roman" w:eastAsia="仿宋"/>
          <w:sz w:val="28"/>
          <w:szCs w:val="28"/>
        </w:rPr>
        <w:t>a.工作原理及构造</w:t>
      </w:r>
    </w:p>
    <w:p w14:paraId="52DE44CD">
      <w:pPr>
        <w:spacing w:line="500" w:lineRule="exact"/>
        <w:ind w:firstLine="560" w:firstLineChars="200"/>
        <w:rPr>
          <w:rFonts w:ascii="Times New Roman" w:eastAsia="仿宋"/>
          <w:sz w:val="28"/>
          <w:szCs w:val="28"/>
        </w:rPr>
      </w:pPr>
      <w:r>
        <w:rPr>
          <w:rFonts w:hint="eastAsia" w:ascii="Times New Roman" w:eastAsia="仿宋"/>
          <w:sz w:val="28"/>
          <w:szCs w:val="28"/>
        </w:rPr>
        <w:t>催化燃烧炉内设加热室，采用电加热的方式，启动加热装置，进入内部循环，当热气源达到有机物的沸点时，有机物进入催化室进行催化分解成CO</w:t>
      </w:r>
      <w:r>
        <w:rPr>
          <w:rFonts w:hint="eastAsia" w:ascii="Times New Roman" w:eastAsia="仿宋"/>
          <w:sz w:val="28"/>
          <w:szCs w:val="28"/>
          <w:vertAlign w:val="subscript"/>
        </w:rPr>
        <w:t>2</w:t>
      </w:r>
      <w:r>
        <w:rPr>
          <w:rFonts w:hint="eastAsia" w:ascii="Times New Roman" w:eastAsia="仿宋"/>
          <w:sz w:val="28"/>
          <w:szCs w:val="28"/>
        </w:rPr>
        <w:t>和H</w:t>
      </w:r>
      <w:r>
        <w:rPr>
          <w:rFonts w:hint="eastAsia" w:ascii="Times New Roman" w:eastAsia="仿宋"/>
          <w:sz w:val="28"/>
          <w:szCs w:val="28"/>
          <w:vertAlign w:val="subscript"/>
        </w:rPr>
        <w:t>2</w:t>
      </w:r>
      <w:r>
        <w:rPr>
          <w:rFonts w:hint="eastAsia" w:ascii="Times New Roman" w:eastAsia="仿宋"/>
          <w:sz w:val="28"/>
          <w:szCs w:val="28"/>
        </w:rPr>
        <w:t>O并排放，同时释放出能量，利用释放出的能量再氧化后来的有机废气，此时加热装置完全停止工作，有机废气在催化燃烧室内维持自燃，燃烧后高温尾气返回烘箱，余热利用，循环进行。</w:t>
      </w:r>
    </w:p>
    <w:p w14:paraId="0D28C85D">
      <w:pPr>
        <w:spacing w:line="500" w:lineRule="exact"/>
        <w:ind w:firstLine="560" w:firstLineChars="200"/>
        <w:rPr>
          <w:rFonts w:ascii="Times New Roman" w:eastAsia="仿宋"/>
          <w:sz w:val="28"/>
          <w:szCs w:val="28"/>
        </w:rPr>
      </w:pPr>
      <w:r>
        <w:rPr>
          <w:rFonts w:hint="eastAsia" w:ascii="Times New Roman" w:eastAsia="仿宋"/>
          <w:sz w:val="28"/>
          <w:szCs w:val="28"/>
        </w:rPr>
        <w:t>其构造图如下：</w:t>
      </w:r>
    </w:p>
    <w:p w14:paraId="5E99A37F">
      <w:pPr>
        <w:ind w:firstLine="560" w:firstLineChars="200"/>
        <w:jc w:val="center"/>
        <w:rPr>
          <w:rFonts w:ascii="Times New Roman" w:eastAsia="仿宋"/>
          <w:sz w:val="28"/>
          <w:szCs w:val="28"/>
        </w:rPr>
      </w:pPr>
      <w:r>
        <w:rPr>
          <w:rFonts w:hint="eastAsia" w:ascii="Times New Roman" w:eastAsia="仿宋"/>
          <w:sz w:val="28"/>
          <w:szCs w:val="28"/>
        </w:rPr>
        <w:drawing>
          <wp:inline distT="0" distB="0" distL="0" distR="0">
            <wp:extent cx="2759075" cy="2361565"/>
            <wp:effectExtent l="0" t="0" r="0" b="0"/>
            <wp:docPr id="72" name="图片 100" descr="16950250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0" descr="16950250650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759075" cy="2361565"/>
                    </a:xfrm>
                    <a:prstGeom prst="rect">
                      <a:avLst/>
                    </a:prstGeom>
                    <a:noFill/>
                    <a:ln>
                      <a:noFill/>
                    </a:ln>
                  </pic:spPr>
                </pic:pic>
              </a:graphicData>
            </a:graphic>
          </wp:inline>
        </w:drawing>
      </w:r>
    </w:p>
    <w:p w14:paraId="7E7BD166">
      <w:pPr>
        <w:spacing w:line="500" w:lineRule="exact"/>
        <w:ind w:firstLine="560" w:firstLineChars="200"/>
        <w:jc w:val="center"/>
        <w:rPr>
          <w:rFonts w:ascii="Times New Roman" w:eastAsia="仿宋"/>
          <w:sz w:val="28"/>
          <w:szCs w:val="28"/>
        </w:rPr>
      </w:pPr>
      <w:r>
        <w:rPr>
          <w:rFonts w:hint="eastAsia" w:ascii="Times New Roman" w:eastAsia="仿宋"/>
          <w:sz w:val="28"/>
          <w:szCs w:val="28"/>
        </w:rPr>
        <w:t>图6.1-2 催化燃烧炉构造图</w:t>
      </w:r>
    </w:p>
    <w:p w14:paraId="12EFC52B">
      <w:pPr>
        <w:spacing w:line="500" w:lineRule="exact"/>
        <w:ind w:firstLine="560" w:firstLineChars="200"/>
        <w:rPr>
          <w:rFonts w:ascii="Times New Roman" w:eastAsia="仿宋"/>
          <w:sz w:val="28"/>
          <w:szCs w:val="28"/>
        </w:rPr>
      </w:pPr>
      <w:r>
        <w:rPr>
          <w:rFonts w:hint="eastAsia" w:ascii="Times New Roman" w:eastAsia="仿宋"/>
          <w:sz w:val="28"/>
          <w:szCs w:val="28"/>
        </w:rPr>
        <w:t>b.催化原理</w:t>
      </w:r>
    </w:p>
    <w:p w14:paraId="212EA9FA">
      <w:pPr>
        <w:spacing w:line="500" w:lineRule="exact"/>
        <w:ind w:firstLine="560" w:firstLineChars="200"/>
        <w:rPr>
          <w:rFonts w:ascii="Times New Roman" w:eastAsia="仿宋"/>
          <w:sz w:val="28"/>
          <w:szCs w:val="28"/>
        </w:rPr>
      </w:pPr>
      <w:r>
        <w:rPr>
          <w:rFonts w:hint="eastAsia" w:ascii="Times New Roman" w:eastAsia="仿宋"/>
          <w:sz w:val="28"/>
          <w:szCs w:val="28"/>
        </w:rPr>
        <w:t>催化剂定义：催化剂是一种能提高化学反应速率，控制反应方向，在反应前后本身的化学性质不发生改变的物质。</w:t>
      </w:r>
    </w:p>
    <w:p w14:paraId="0EF33DB5">
      <w:pPr>
        <w:spacing w:line="500" w:lineRule="exact"/>
        <w:ind w:firstLine="560" w:firstLineChars="200"/>
        <w:rPr>
          <w:rFonts w:ascii="Times New Roman" w:eastAsia="仿宋"/>
          <w:sz w:val="28"/>
          <w:szCs w:val="28"/>
        </w:rPr>
      </w:pPr>
      <w:r>
        <w:rPr>
          <w:rFonts w:hint="eastAsia" w:ascii="Times New Roman" w:eastAsia="仿宋"/>
          <w:sz w:val="28"/>
          <w:szCs w:val="28"/>
        </w:rPr>
        <w:t>c.催化燃烧床的工艺组成</w:t>
      </w:r>
    </w:p>
    <w:p w14:paraId="6F803D6C">
      <w:pPr>
        <w:spacing w:line="500" w:lineRule="exact"/>
        <w:ind w:firstLine="560" w:firstLineChars="200"/>
        <w:rPr>
          <w:rFonts w:ascii="Times New Roman" w:eastAsia="仿宋"/>
          <w:sz w:val="28"/>
          <w:szCs w:val="28"/>
        </w:rPr>
      </w:pPr>
      <w:r>
        <w:rPr>
          <w:rFonts w:hint="eastAsia" w:ascii="Times New Roman" w:eastAsia="仿宋"/>
          <w:sz w:val="28"/>
          <w:szCs w:val="28"/>
        </w:rPr>
        <w:t>本装置的主体结构由净化装置主机、引风机及电器控制元件组成。净化装置主机是由换热器、预热室、催化床、阻火器和防爆器组成的整体结构，阻火除尘器位于进气管道上，防爆装置设在主机的顶部，其工艺流程示意图如下：</w:t>
      </w:r>
    </w:p>
    <w:p w14:paraId="47CC8AD7">
      <w:pPr>
        <w:jc w:val="center"/>
        <w:rPr>
          <w:rFonts w:ascii="Times New Roman" w:eastAsia="仿宋"/>
          <w:sz w:val="28"/>
          <w:szCs w:val="28"/>
        </w:rPr>
      </w:pPr>
      <w:r>
        <w:rPr>
          <w:rFonts w:hint="eastAsia" w:ascii="Times New Roman" w:eastAsia="仿宋"/>
          <w:sz w:val="28"/>
          <w:szCs w:val="28"/>
        </w:rPr>
        <w:drawing>
          <wp:inline distT="0" distB="0" distL="0" distR="0">
            <wp:extent cx="3641725" cy="1860550"/>
            <wp:effectExtent l="0" t="0" r="0" b="0"/>
            <wp:docPr id="73" name="图片 101" descr="169502510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1" descr="16950251046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641725" cy="1860550"/>
                    </a:xfrm>
                    <a:prstGeom prst="rect">
                      <a:avLst/>
                    </a:prstGeom>
                    <a:noFill/>
                    <a:ln>
                      <a:noFill/>
                    </a:ln>
                  </pic:spPr>
                </pic:pic>
              </a:graphicData>
            </a:graphic>
          </wp:inline>
        </w:drawing>
      </w:r>
    </w:p>
    <w:p w14:paraId="1A501C66">
      <w:pPr>
        <w:jc w:val="center"/>
        <w:rPr>
          <w:rFonts w:ascii="Times New Roman" w:eastAsia="仿宋"/>
          <w:sz w:val="28"/>
          <w:szCs w:val="28"/>
        </w:rPr>
      </w:pPr>
      <w:r>
        <w:rPr>
          <w:rFonts w:hint="eastAsia" w:ascii="Times New Roman" w:eastAsia="仿宋"/>
          <w:b/>
          <w:bCs/>
          <w:sz w:val="28"/>
          <w:szCs w:val="28"/>
        </w:rPr>
        <w:t>图6.1-3 催化燃烧工艺流程</w:t>
      </w:r>
    </w:p>
    <w:p w14:paraId="1A2A1FFF">
      <w:pPr>
        <w:spacing w:line="500" w:lineRule="exact"/>
        <w:ind w:firstLine="560" w:firstLineChars="200"/>
        <w:rPr>
          <w:rFonts w:ascii="Times New Roman" w:eastAsia="仿宋"/>
          <w:sz w:val="28"/>
          <w:szCs w:val="28"/>
        </w:rPr>
      </w:pPr>
      <w:r>
        <w:rPr>
          <w:rFonts w:hint="eastAsia" w:ascii="Times New Roman" w:eastAsia="仿宋"/>
          <w:sz w:val="28"/>
          <w:szCs w:val="28"/>
        </w:rPr>
        <w:t>阻火器：由特制的多层金属网组成，可阻止火焰通过，过滤掉气体中较大的颗粒（污物），是本净化装置的安全装置之一。</w:t>
      </w:r>
    </w:p>
    <w:p w14:paraId="7FE56E33">
      <w:pPr>
        <w:spacing w:line="500" w:lineRule="exact"/>
        <w:ind w:firstLine="560" w:firstLineChars="200"/>
        <w:rPr>
          <w:rFonts w:ascii="Times New Roman" w:eastAsia="仿宋"/>
          <w:sz w:val="28"/>
          <w:szCs w:val="28"/>
        </w:rPr>
      </w:pPr>
      <w:r>
        <w:rPr>
          <w:rFonts w:hint="eastAsia" w:ascii="Times New Roman" w:eastAsia="仿宋"/>
          <w:sz w:val="28"/>
          <w:szCs w:val="28"/>
        </w:rPr>
        <w:t>换热器：板式换热结构，它的作用是利用催化反应放出的热量，加热进口废气，提高热能利用率，减少加热电能。</w:t>
      </w:r>
    </w:p>
    <w:p w14:paraId="406E992D">
      <w:pPr>
        <w:spacing w:line="500" w:lineRule="exact"/>
        <w:ind w:firstLine="560" w:firstLineChars="200"/>
        <w:rPr>
          <w:rFonts w:ascii="Times New Roman" w:eastAsia="仿宋"/>
          <w:sz w:val="28"/>
          <w:szCs w:val="28"/>
        </w:rPr>
      </w:pPr>
      <w:r>
        <w:rPr>
          <w:rFonts w:hint="eastAsia" w:ascii="Times New Roman" w:eastAsia="仿宋"/>
          <w:sz w:val="28"/>
          <w:szCs w:val="28"/>
        </w:rPr>
        <w:t>预热室：由加热器加热交换器预热后的废气，提高进气温度达到催化反应条件。</w:t>
      </w:r>
    </w:p>
    <w:p w14:paraId="6CB96386">
      <w:pPr>
        <w:spacing w:line="500" w:lineRule="exact"/>
        <w:ind w:firstLine="560" w:firstLineChars="200"/>
        <w:rPr>
          <w:rFonts w:ascii="Times New Roman" w:eastAsia="仿宋"/>
          <w:sz w:val="28"/>
          <w:szCs w:val="28"/>
        </w:rPr>
      </w:pPr>
      <w:r>
        <w:rPr>
          <w:rFonts w:hint="eastAsia" w:ascii="Times New Roman" w:eastAsia="仿宋"/>
          <w:sz w:val="28"/>
          <w:szCs w:val="28"/>
        </w:rPr>
        <w:t>热电偶：采用不锈钢保护管测量进气加热温度及净化温度。</w:t>
      </w:r>
    </w:p>
    <w:p w14:paraId="6C9147A2">
      <w:pPr>
        <w:spacing w:line="500" w:lineRule="exact"/>
        <w:ind w:firstLine="560" w:firstLineChars="200"/>
        <w:rPr>
          <w:rFonts w:ascii="Times New Roman" w:eastAsia="仿宋"/>
          <w:sz w:val="28"/>
          <w:szCs w:val="28"/>
        </w:rPr>
      </w:pPr>
      <w:r>
        <w:rPr>
          <w:rFonts w:hint="eastAsia" w:ascii="Times New Roman" w:eastAsia="仿宋"/>
          <w:sz w:val="28"/>
          <w:szCs w:val="28"/>
        </w:rPr>
        <w:t>催化床：由多层蜂窝状催化剂组成，为本装置的核心。</w:t>
      </w:r>
    </w:p>
    <w:p w14:paraId="0B148E6B">
      <w:pPr>
        <w:spacing w:line="500" w:lineRule="exact"/>
        <w:ind w:firstLine="560" w:firstLineChars="200"/>
        <w:rPr>
          <w:rFonts w:ascii="Times New Roman" w:eastAsia="仿宋"/>
          <w:sz w:val="28"/>
          <w:szCs w:val="28"/>
        </w:rPr>
      </w:pPr>
      <w:r>
        <w:rPr>
          <w:rFonts w:hint="eastAsia" w:ascii="Times New Roman" w:eastAsia="仿宋"/>
          <w:sz w:val="28"/>
          <w:szCs w:val="28"/>
        </w:rPr>
        <w:t>防爆器：为膜片泄压方式，当设备运行出现异常时，可及时裂开泄压，防止意外事故发生。</w:t>
      </w:r>
    </w:p>
    <w:p w14:paraId="5CCDCC58">
      <w:pPr>
        <w:spacing w:line="500" w:lineRule="exact"/>
        <w:ind w:firstLine="556"/>
        <w:rPr>
          <w:rFonts w:ascii="Times New Roman" w:eastAsia="仿宋"/>
          <w:sz w:val="28"/>
        </w:rPr>
      </w:pPr>
      <w:r>
        <w:rPr>
          <w:rFonts w:hint="eastAsia" w:ascii="Times New Roman" w:eastAsia="仿宋"/>
          <w:sz w:val="28"/>
        </w:rPr>
        <w:t>本项目废气污染防治措施参数如下：</w:t>
      </w:r>
    </w:p>
    <w:p w14:paraId="6E662877">
      <w:pPr>
        <w:spacing w:line="500" w:lineRule="exact"/>
        <w:jc w:val="center"/>
        <w:rPr>
          <w:rFonts w:ascii="Times New Roman" w:eastAsia="仿宋"/>
          <w:b/>
        </w:rPr>
      </w:pPr>
      <w:r>
        <w:rPr>
          <w:rFonts w:hint="eastAsia" w:ascii="Times New Roman" w:eastAsia="仿宋"/>
          <w:b/>
        </w:rPr>
        <w:t>表6.1-1 活性炭吸附脱附装置参数</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229"/>
        <w:gridCol w:w="4125"/>
        <w:gridCol w:w="1416"/>
      </w:tblGrid>
      <w:tr w14:paraId="00BB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41" w:type="pct"/>
            <w:vAlign w:val="center"/>
          </w:tcPr>
          <w:p w14:paraId="33643A80">
            <w:pPr>
              <w:spacing w:line="300" w:lineRule="exact"/>
              <w:jc w:val="center"/>
              <w:rPr>
                <w:rFonts w:ascii="Times New Roman" w:eastAsia="仿宋"/>
                <w:bCs/>
                <w:szCs w:val="21"/>
              </w:rPr>
            </w:pPr>
            <w:r>
              <w:rPr>
                <w:rFonts w:hint="eastAsia" w:ascii="Times New Roman" w:eastAsia="仿宋"/>
                <w:bCs/>
                <w:szCs w:val="21"/>
              </w:rPr>
              <w:t>序号</w:t>
            </w:r>
          </w:p>
        </w:tc>
        <w:tc>
          <w:tcPr>
            <w:tcW w:w="1308" w:type="pct"/>
            <w:vAlign w:val="center"/>
          </w:tcPr>
          <w:p w14:paraId="1C704EC2">
            <w:pPr>
              <w:spacing w:line="300" w:lineRule="exact"/>
              <w:jc w:val="center"/>
              <w:rPr>
                <w:rFonts w:ascii="Times New Roman" w:eastAsia="仿宋"/>
                <w:bCs/>
                <w:szCs w:val="21"/>
              </w:rPr>
            </w:pPr>
            <w:r>
              <w:rPr>
                <w:rFonts w:hint="eastAsia" w:ascii="Times New Roman" w:eastAsia="仿宋"/>
                <w:bCs/>
                <w:szCs w:val="21"/>
              </w:rPr>
              <w:t>类别</w:t>
            </w:r>
          </w:p>
        </w:tc>
        <w:tc>
          <w:tcPr>
            <w:tcW w:w="2420" w:type="pct"/>
            <w:vAlign w:val="center"/>
          </w:tcPr>
          <w:p w14:paraId="04806B47">
            <w:pPr>
              <w:spacing w:line="300" w:lineRule="exact"/>
              <w:jc w:val="center"/>
              <w:rPr>
                <w:rFonts w:ascii="Times New Roman" w:eastAsia="仿宋"/>
                <w:bCs/>
                <w:szCs w:val="21"/>
              </w:rPr>
            </w:pPr>
            <w:r>
              <w:rPr>
                <w:rFonts w:hint="eastAsia" w:ascii="Times New Roman" w:eastAsia="仿宋"/>
                <w:bCs/>
                <w:szCs w:val="21"/>
              </w:rPr>
              <w:t>设备参数</w:t>
            </w:r>
          </w:p>
        </w:tc>
        <w:tc>
          <w:tcPr>
            <w:tcW w:w="831" w:type="pct"/>
            <w:vAlign w:val="center"/>
          </w:tcPr>
          <w:p w14:paraId="47430978">
            <w:pPr>
              <w:spacing w:line="300" w:lineRule="exact"/>
              <w:jc w:val="center"/>
              <w:rPr>
                <w:rFonts w:ascii="Times New Roman" w:eastAsia="仿宋"/>
                <w:bCs/>
                <w:szCs w:val="21"/>
              </w:rPr>
            </w:pPr>
            <w:r>
              <w:rPr>
                <w:rFonts w:hint="eastAsia" w:ascii="Times New Roman" w:eastAsia="仿宋"/>
                <w:bCs/>
                <w:szCs w:val="21"/>
              </w:rPr>
              <w:t>备注</w:t>
            </w:r>
          </w:p>
        </w:tc>
      </w:tr>
      <w:tr w14:paraId="2FCD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restart"/>
            <w:vAlign w:val="center"/>
          </w:tcPr>
          <w:p w14:paraId="715AB658">
            <w:pPr>
              <w:spacing w:line="300" w:lineRule="exact"/>
              <w:jc w:val="center"/>
              <w:rPr>
                <w:rFonts w:ascii="Times New Roman" w:eastAsia="仿宋"/>
                <w:bCs/>
                <w:szCs w:val="21"/>
              </w:rPr>
            </w:pPr>
            <w:r>
              <w:rPr>
                <w:rFonts w:hint="eastAsia" w:ascii="Times New Roman" w:eastAsia="仿宋"/>
                <w:bCs/>
                <w:szCs w:val="21"/>
              </w:rPr>
              <w:t>1</w:t>
            </w:r>
          </w:p>
        </w:tc>
        <w:tc>
          <w:tcPr>
            <w:tcW w:w="1308" w:type="pct"/>
            <w:vAlign w:val="center"/>
          </w:tcPr>
          <w:p w14:paraId="382FDA4B">
            <w:pPr>
              <w:spacing w:line="300" w:lineRule="exact"/>
              <w:jc w:val="center"/>
              <w:rPr>
                <w:rFonts w:ascii="Times New Roman" w:eastAsia="仿宋"/>
                <w:bCs/>
                <w:szCs w:val="21"/>
              </w:rPr>
            </w:pPr>
            <w:r>
              <w:rPr>
                <w:rFonts w:hint="eastAsia" w:ascii="Times New Roman" w:eastAsia="仿宋"/>
                <w:bCs/>
                <w:szCs w:val="21"/>
              </w:rPr>
              <w:t>型式</w:t>
            </w:r>
          </w:p>
        </w:tc>
        <w:tc>
          <w:tcPr>
            <w:tcW w:w="2420" w:type="pct"/>
            <w:vAlign w:val="center"/>
          </w:tcPr>
          <w:p w14:paraId="4BBD8508">
            <w:pPr>
              <w:spacing w:line="300" w:lineRule="exact"/>
              <w:jc w:val="center"/>
              <w:rPr>
                <w:rFonts w:ascii="Times New Roman" w:eastAsia="仿宋"/>
                <w:bCs/>
                <w:szCs w:val="21"/>
              </w:rPr>
            </w:pPr>
            <w:r>
              <w:rPr>
                <w:rFonts w:hint="eastAsia" w:ascii="Times New Roman" w:eastAsia="仿宋"/>
                <w:bCs/>
                <w:szCs w:val="21"/>
              </w:rPr>
              <w:t>卧式</w:t>
            </w:r>
          </w:p>
        </w:tc>
        <w:tc>
          <w:tcPr>
            <w:tcW w:w="831" w:type="pct"/>
            <w:vMerge w:val="restart"/>
            <w:vAlign w:val="center"/>
          </w:tcPr>
          <w:p w14:paraId="0B5E94BD">
            <w:pPr>
              <w:spacing w:line="300" w:lineRule="exact"/>
              <w:jc w:val="center"/>
              <w:rPr>
                <w:rFonts w:ascii="Times New Roman" w:eastAsia="仿宋"/>
                <w:bCs/>
                <w:szCs w:val="21"/>
              </w:rPr>
            </w:pPr>
            <w:r>
              <w:rPr>
                <w:rFonts w:hint="eastAsia" w:ascii="Times New Roman" w:eastAsia="仿宋"/>
                <w:szCs w:val="21"/>
              </w:rPr>
              <w:t>1号水帘式循环过滤系统+水喷淋+干式过滤器+三级活性炭吸附脱附+催化燃烧</w:t>
            </w:r>
          </w:p>
        </w:tc>
      </w:tr>
      <w:tr w14:paraId="6EBD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pct"/>
            <w:vMerge w:val="continue"/>
            <w:vAlign w:val="center"/>
          </w:tcPr>
          <w:p w14:paraId="3B2E0549">
            <w:pPr>
              <w:spacing w:line="300" w:lineRule="exact"/>
              <w:jc w:val="center"/>
              <w:rPr>
                <w:rFonts w:ascii="Times New Roman" w:eastAsia="仿宋"/>
                <w:bCs/>
                <w:szCs w:val="21"/>
              </w:rPr>
            </w:pPr>
          </w:p>
        </w:tc>
        <w:tc>
          <w:tcPr>
            <w:tcW w:w="1308" w:type="pct"/>
            <w:vAlign w:val="center"/>
          </w:tcPr>
          <w:p w14:paraId="6F1CD23D">
            <w:pPr>
              <w:spacing w:line="300" w:lineRule="exact"/>
              <w:jc w:val="center"/>
              <w:rPr>
                <w:rFonts w:ascii="Times New Roman" w:eastAsia="仿宋"/>
                <w:bCs/>
                <w:szCs w:val="21"/>
              </w:rPr>
            </w:pPr>
            <w:r>
              <w:rPr>
                <w:rFonts w:hint="eastAsia" w:ascii="Times New Roman" w:eastAsia="仿宋"/>
                <w:bCs/>
                <w:szCs w:val="21"/>
              </w:rPr>
              <w:t>规格</w:t>
            </w:r>
          </w:p>
        </w:tc>
        <w:tc>
          <w:tcPr>
            <w:tcW w:w="2420" w:type="pct"/>
            <w:vAlign w:val="center"/>
          </w:tcPr>
          <w:p w14:paraId="19E3DF54">
            <w:pPr>
              <w:spacing w:line="300" w:lineRule="exact"/>
              <w:jc w:val="center"/>
              <w:rPr>
                <w:rFonts w:ascii="Times New Roman" w:eastAsia="仿宋"/>
                <w:bCs/>
                <w:szCs w:val="21"/>
              </w:rPr>
            </w:pPr>
            <w:r>
              <w:rPr>
                <w:rFonts w:hint="eastAsia" w:ascii="Times New Roman" w:eastAsia="仿宋"/>
                <w:bCs/>
                <w:szCs w:val="21"/>
              </w:rPr>
              <w:t>三级碳箱</w:t>
            </w:r>
          </w:p>
        </w:tc>
        <w:tc>
          <w:tcPr>
            <w:tcW w:w="831" w:type="pct"/>
            <w:vMerge w:val="continue"/>
            <w:vAlign w:val="center"/>
          </w:tcPr>
          <w:p w14:paraId="635D4F59">
            <w:pPr>
              <w:snapToGrid w:val="0"/>
              <w:jc w:val="center"/>
              <w:rPr>
                <w:rFonts w:eastAsia="仿宋_GB2312"/>
                <w:szCs w:val="21"/>
              </w:rPr>
            </w:pPr>
          </w:p>
        </w:tc>
      </w:tr>
      <w:tr w14:paraId="5103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460D82C2">
            <w:pPr>
              <w:spacing w:line="300" w:lineRule="exact"/>
              <w:jc w:val="center"/>
              <w:rPr>
                <w:rFonts w:ascii="Times New Roman" w:eastAsia="仿宋"/>
                <w:bCs/>
                <w:szCs w:val="21"/>
              </w:rPr>
            </w:pPr>
          </w:p>
        </w:tc>
        <w:tc>
          <w:tcPr>
            <w:tcW w:w="1308" w:type="pct"/>
            <w:vAlign w:val="center"/>
          </w:tcPr>
          <w:p w14:paraId="11EE46DE">
            <w:pPr>
              <w:spacing w:line="300" w:lineRule="exact"/>
              <w:jc w:val="center"/>
              <w:rPr>
                <w:rFonts w:ascii="Times New Roman" w:eastAsia="仿宋"/>
                <w:bCs/>
                <w:szCs w:val="21"/>
              </w:rPr>
            </w:pPr>
            <w:r>
              <w:rPr>
                <w:rFonts w:hint="eastAsia" w:ascii="Times New Roman" w:eastAsia="仿宋"/>
                <w:bCs/>
                <w:szCs w:val="21"/>
              </w:rPr>
              <w:t>活性炭碘含量</w:t>
            </w:r>
          </w:p>
        </w:tc>
        <w:tc>
          <w:tcPr>
            <w:tcW w:w="2420" w:type="pct"/>
            <w:vAlign w:val="center"/>
          </w:tcPr>
          <w:p w14:paraId="4575CAD1">
            <w:pPr>
              <w:spacing w:line="300" w:lineRule="exact"/>
              <w:jc w:val="center"/>
              <w:rPr>
                <w:rFonts w:ascii="Times New Roman" w:eastAsia="仿宋"/>
                <w:bCs/>
                <w:szCs w:val="21"/>
              </w:rPr>
            </w:pPr>
            <w:r>
              <w:rPr>
                <w:rFonts w:hint="eastAsia" w:ascii="Times New Roman" w:eastAsia="仿宋"/>
                <w:bCs/>
                <w:szCs w:val="21"/>
              </w:rPr>
              <w:t>800mg/g</w:t>
            </w:r>
          </w:p>
        </w:tc>
        <w:tc>
          <w:tcPr>
            <w:tcW w:w="831" w:type="pct"/>
            <w:vMerge w:val="continue"/>
            <w:vAlign w:val="center"/>
          </w:tcPr>
          <w:p w14:paraId="04902018">
            <w:pPr>
              <w:snapToGrid w:val="0"/>
              <w:jc w:val="center"/>
              <w:rPr>
                <w:rFonts w:eastAsia="仿宋_GB2312"/>
                <w:szCs w:val="21"/>
              </w:rPr>
            </w:pPr>
          </w:p>
        </w:tc>
      </w:tr>
      <w:tr w14:paraId="3AFA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65248E5D">
            <w:pPr>
              <w:spacing w:line="300" w:lineRule="exact"/>
              <w:jc w:val="center"/>
              <w:rPr>
                <w:rFonts w:ascii="Times New Roman" w:eastAsia="仿宋"/>
                <w:bCs/>
                <w:szCs w:val="21"/>
              </w:rPr>
            </w:pPr>
          </w:p>
        </w:tc>
        <w:tc>
          <w:tcPr>
            <w:tcW w:w="1308" w:type="pct"/>
            <w:vAlign w:val="center"/>
          </w:tcPr>
          <w:p w14:paraId="0D78F9FE">
            <w:pPr>
              <w:spacing w:line="300" w:lineRule="exact"/>
              <w:jc w:val="center"/>
              <w:rPr>
                <w:rFonts w:ascii="Times New Roman" w:eastAsia="仿宋"/>
                <w:bCs/>
                <w:szCs w:val="21"/>
              </w:rPr>
            </w:pPr>
            <w:r>
              <w:rPr>
                <w:rFonts w:hint="eastAsia" w:ascii="Times New Roman" w:eastAsia="仿宋"/>
                <w:bCs/>
                <w:szCs w:val="21"/>
              </w:rPr>
              <w:t>活性炭类型</w:t>
            </w:r>
          </w:p>
        </w:tc>
        <w:tc>
          <w:tcPr>
            <w:tcW w:w="2420" w:type="pct"/>
            <w:vAlign w:val="center"/>
          </w:tcPr>
          <w:p w14:paraId="7005C917">
            <w:pPr>
              <w:spacing w:line="300" w:lineRule="exact"/>
              <w:jc w:val="center"/>
              <w:rPr>
                <w:rFonts w:ascii="Times New Roman" w:eastAsia="仿宋"/>
                <w:bCs/>
                <w:szCs w:val="21"/>
              </w:rPr>
            </w:pPr>
            <w:r>
              <w:rPr>
                <w:rFonts w:hint="eastAsia" w:ascii="Times New Roman" w:eastAsia="仿宋"/>
                <w:bCs/>
                <w:szCs w:val="21"/>
              </w:rPr>
              <w:t>蜂窝碳</w:t>
            </w:r>
          </w:p>
        </w:tc>
        <w:tc>
          <w:tcPr>
            <w:tcW w:w="831" w:type="pct"/>
            <w:vMerge w:val="continue"/>
            <w:vAlign w:val="center"/>
          </w:tcPr>
          <w:p w14:paraId="546D52D0">
            <w:pPr>
              <w:snapToGrid w:val="0"/>
              <w:jc w:val="center"/>
              <w:rPr>
                <w:rFonts w:eastAsia="仿宋_GB2312"/>
                <w:szCs w:val="21"/>
              </w:rPr>
            </w:pPr>
          </w:p>
        </w:tc>
      </w:tr>
      <w:tr w14:paraId="6497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4EA6465F">
            <w:pPr>
              <w:spacing w:line="300" w:lineRule="exact"/>
              <w:jc w:val="center"/>
              <w:rPr>
                <w:rFonts w:ascii="Times New Roman" w:eastAsia="仿宋"/>
                <w:bCs/>
                <w:szCs w:val="21"/>
              </w:rPr>
            </w:pPr>
          </w:p>
        </w:tc>
        <w:tc>
          <w:tcPr>
            <w:tcW w:w="1308" w:type="pct"/>
            <w:vAlign w:val="center"/>
          </w:tcPr>
          <w:p w14:paraId="0A000627">
            <w:pPr>
              <w:spacing w:line="300" w:lineRule="exact"/>
              <w:jc w:val="center"/>
              <w:rPr>
                <w:rFonts w:ascii="Times New Roman" w:eastAsia="仿宋"/>
                <w:bCs/>
                <w:szCs w:val="21"/>
              </w:rPr>
            </w:pPr>
            <w:r>
              <w:rPr>
                <w:rFonts w:hint="eastAsia" w:ascii="Times New Roman" w:eastAsia="仿宋"/>
                <w:bCs/>
                <w:szCs w:val="21"/>
              </w:rPr>
              <w:t>活性炭更换周期</w:t>
            </w:r>
          </w:p>
        </w:tc>
        <w:tc>
          <w:tcPr>
            <w:tcW w:w="2420" w:type="pct"/>
            <w:vAlign w:val="center"/>
          </w:tcPr>
          <w:p w14:paraId="3BA6972D">
            <w:pPr>
              <w:spacing w:line="300" w:lineRule="exact"/>
              <w:jc w:val="center"/>
              <w:rPr>
                <w:rFonts w:ascii="Times New Roman" w:eastAsia="仿宋"/>
                <w:bCs/>
                <w:szCs w:val="21"/>
              </w:rPr>
            </w:pPr>
            <w:r>
              <w:rPr>
                <w:rFonts w:hint="eastAsia" w:ascii="Times New Roman" w:eastAsia="仿宋"/>
                <w:bCs/>
                <w:szCs w:val="21"/>
              </w:rPr>
              <w:t>1次/年</w:t>
            </w:r>
          </w:p>
        </w:tc>
        <w:tc>
          <w:tcPr>
            <w:tcW w:w="831" w:type="pct"/>
            <w:vMerge w:val="continue"/>
            <w:vAlign w:val="center"/>
          </w:tcPr>
          <w:p w14:paraId="226031BF">
            <w:pPr>
              <w:snapToGrid w:val="0"/>
              <w:jc w:val="center"/>
              <w:rPr>
                <w:rFonts w:eastAsia="仿宋_GB2312"/>
                <w:szCs w:val="21"/>
              </w:rPr>
            </w:pPr>
          </w:p>
        </w:tc>
      </w:tr>
      <w:tr w14:paraId="2D6A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4B9D28B8">
            <w:pPr>
              <w:spacing w:line="300" w:lineRule="exact"/>
              <w:jc w:val="center"/>
              <w:rPr>
                <w:rFonts w:ascii="Times New Roman" w:eastAsia="仿宋"/>
                <w:bCs/>
                <w:szCs w:val="21"/>
              </w:rPr>
            </w:pPr>
          </w:p>
        </w:tc>
        <w:tc>
          <w:tcPr>
            <w:tcW w:w="1308" w:type="pct"/>
            <w:vAlign w:val="center"/>
          </w:tcPr>
          <w:p w14:paraId="09962689">
            <w:pPr>
              <w:spacing w:line="300" w:lineRule="exact"/>
              <w:jc w:val="center"/>
              <w:rPr>
                <w:rFonts w:ascii="Times New Roman" w:eastAsia="仿宋"/>
                <w:bCs/>
                <w:szCs w:val="21"/>
              </w:rPr>
            </w:pPr>
            <w:r>
              <w:rPr>
                <w:rFonts w:hint="eastAsia" w:ascii="Times New Roman" w:eastAsia="仿宋"/>
                <w:bCs/>
                <w:szCs w:val="21"/>
              </w:rPr>
              <w:t>活性炭装填量</w:t>
            </w:r>
          </w:p>
        </w:tc>
        <w:tc>
          <w:tcPr>
            <w:tcW w:w="2420" w:type="pct"/>
            <w:vAlign w:val="center"/>
          </w:tcPr>
          <w:p w14:paraId="27AB8F5D">
            <w:pPr>
              <w:spacing w:line="300" w:lineRule="exact"/>
              <w:jc w:val="center"/>
              <w:rPr>
                <w:rFonts w:ascii="Times New Roman" w:eastAsia="仿宋"/>
                <w:bCs/>
                <w:szCs w:val="21"/>
              </w:rPr>
            </w:pPr>
            <w:r>
              <w:rPr>
                <w:rFonts w:hint="eastAsia" w:ascii="Times New Roman" w:eastAsia="仿宋"/>
                <w:bCs/>
                <w:szCs w:val="21"/>
              </w:rPr>
              <w:t>3t</w:t>
            </w:r>
          </w:p>
        </w:tc>
        <w:tc>
          <w:tcPr>
            <w:tcW w:w="831" w:type="pct"/>
            <w:vMerge w:val="continue"/>
            <w:vAlign w:val="center"/>
          </w:tcPr>
          <w:p w14:paraId="1EFB3066">
            <w:pPr>
              <w:snapToGrid w:val="0"/>
              <w:jc w:val="center"/>
              <w:rPr>
                <w:rFonts w:eastAsia="仿宋_GB2312"/>
                <w:szCs w:val="21"/>
              </w:rPr>
            </w:pPr>
          </w:p>
        </w:tc>
      </w:tr>
      <w:tr w14:paraId="0F78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03D54B9B">
            <w:pPr>
              <w:spacing w:line="300" w:lineRule="exact"/>
              <w:jc w:val="center"/>
              <w:rPr>
                <w:rFonts w:ascii="Times New Roman" w:eastAsia="仿宋"/>
                <w:bCs/>
                <w:szCs w:val="21"/>
              </w:rPr>
            </w:pPr>
          </w:p>
        </w:tc>
        <w:tc>
          <w:tcPr>
            <w:tcW w:w="1308" w:type="pct"/>
            <w:vAlign w:val="center"/>
          </w:tcPr>
          <w:p w14:paraId="0D8838DE">
            <w:pPr>
              <w:spacing w:line="300" w:lineRule="exact"/>
              <w:jc w:val="center"/>
              <w:rPr>
                <w:rFonts w:ascii="Times New Roman" w:eastAsia="仿宋"/>
                <w:bCs/>
                <w:szCs w:val="21"/>
              </w:rPr>
            </w:pPr>
            <w:r>
              <w:rPr>
                <w:rFonts w:hint="eastAsia" w:ascii="Times New Roman" w:eastAsia="仿宋"/>
                <w:bCs/>
                <w:szCs w:val="21"/>
              </w:rPr>
              <w:t>脱附周期</w:t>
            </w:r>
          </w:p>
        </w:tc>
        <w:tc>
          <w:tcPr>
            <w:tcW w:w="2420" w:type="pct"/>
            <w:vAlign w:val="center"/>
          </w:tcPr>
          <w:p w14:paraId="4C5A83DB">
            <w:pPr>
              <w:spacing w:line="300" w:lineRule="exact"/>
              <w:jc w:val="center"/>
              <w:rPr>
                <w:rFonts w:ascii="Times New Roman" w:eastAsia="仿宋"/>
                <w:bCs/>
                <w:szCs w:val="21"/>
              </w:rPr>
            </w:pPr>
            <w:r>
              <w:rPr>
                <w:rFonts w:ascii="Times New Roman" w:eastAsia="仿宋"/>
                <w:bCs/>
                <w:szCs w:val="21"/>
              </w:rPr>
              <w:t>6</w:t>
            </w:r>
            <w:r>
              <w:rPr>
                <w:rFonts w:hint="eastAsia" w:ascii="Times New Roman" w:eastAsia="仿宋"/>
                <w:bCs/>
                <w:szCs w:val="21"/>
              </w:rPr>
              <w:t>天</w:t>
            </w:r>
          </w:p>
        </w:tc>
        <w:tc>
          <w:tcPr>
            <w:tcW w:w="831" w:type="pct"/>
            <w:vMerge w:val="continue"/>
            <w:vAlign w:val="center"/>
          </w:tcPr>
          <w:p w14:paraId="48CE75D7">
            <w:pPr>
              <w:snapToGrid w:val="0"/>
              <w:jc w:val="center"/>
              <w:rPr>
                <w:rFonts w:eastAsia="仿宋_GB2312"/>
                <w:szCs w:val="21"/>
              </w:rPr>
            </w:pPr>
          </w:p>
        </w:tc>
      </w:tr>
      <w:tr w14:paraId="4D80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226E935F">
            <w:pPr>
              <w:spacing w:line="300" w:lineRule="exact"/>
              <w:jc w:val="center"/>
              <w:rPr>
                <w:rFonts w:ascii="Times New Roman" w:eastAsia="仿宋"/>
                <w:bCs/>
                <w:szCs w:val="21"/>
              </w:rPr>
            </w:pPr>
          </w:p>
        </w:tc>
        <w:tc>
          <w:tcPr>
            <w:tcW w:w="1308" w:type="pct"/>
            <w:vAlign w:val="center"/>
          </w:tcPr>
          <w:p w14:paraId="25C8D89C">
            <w:pPr>
              <w:spacing w:line="300" w:lineRule="exact"/>
              <w:jc w:val="center"/>
              <w:rPr>
                <w:rFonts w:ascii="Times New Roman" w:eastAsia="仿宋"/>
                <w:bCs/>
                <w:szCs w:val="21"/>
              </w:rPr>
            </w:pPr>
            <w:r>
              <w:rPr>
                <w:rFonts w:hint="eastAsia" w:ascii="Times New Roman" w:eastAsia="仿宋"/>
                <w:bCs/>
                <w:szCs w:val="21"/>
              </w:rPr>
              <w:t>处理风量</w:t>
            </w:r>
          </w:p>
        </w:tc>
        <w:tc>
          <w:tcPr>
            <w:tcW w:w="2420" w:type="pct"/>
            <w:vAlign w:val="center"/>
          </w:tcPr>
          <w:p w14:paraId="0009EDD3">
            <w:pPr>
              <w:spacing w:line="300" w:lineRule="exact"/>
              <w:jc w:val="center"/>
              <w:rPr>
                <w:rFonts w:ascii="Times New Roman" w:eastAsia="仿宋"/>
                <w:bCs/>
                <w:szCs w:val="21"/>
              </w:rPr>
            </w:pPr>
            <w:r>
              <w:rPr>
                <w:rFonts w:hint="eastAsia" w:ascii="Times New Roman" w:eastAsia="仿宋"/>
                <w:bCs/>
                <w:szCs w:val="21"/>
              </w:rPr>
              <w:t>2</w:t>
            </w:r>
            <w:r>
              <w:rPr>
                <w:rFonts w:ascii="Times New Roman" w:eastAsia="仿宋"/>
                <w:bCs/>
                <w:szCs w:val="21"/>
              </w:rPr>
              <w:t>6</w:t>
            </w:r>
            <w:r>
              <w:rPr>
                <w:rFonts w:hint="eastAsia" w:ascii="Times New Roman" w:eastAsia="仿宋"/>
                <w:bCs/>
                <w:szCs w:val="21"/>
              </w:rPr>
              <w:t>000m</w:t>
            </w:r>
            <w:r>
              <w:rPr>
                <w:rFonts w:hint="eastAsia" w:ascii="Times New Roman" w:eastAsia="仿宋"/>
                <w:bCs/>
                <w:szCs w:val="21"/>
                <w:vertAlign w:val="superscript"/>
              </w:rPr>
              <w:t>3</w:t>
            </w:r>
            <w:r>
              <w:rPr>
                <w:rFonts w:hint="eastAsia" w:ascii="Times New Roman" w:eastAsia="仿宋"/>
                <w:bCs/>
                <w:szCs w:val="21"/>
              </w:rPr>
              <w:t>/h</w:t>
            </w:r>
          </w:p>
        </w:tc>
        <w:tc>
          <w:tcPr>
            <w:tcW w:w="831" w:type="pct"/>
            <w:vMerge w:val="continue"/>
            <w:vAlign w:val="center"/>
          </w:tcPr>
          <w:p w14:paraId="41B3510F">
            <w:pPr>
              <w:snapToGrid w:val="0"/>
              <w:jc w:val="center"/>
              <w:rPr>
                <w:rFonts w:eastAsia="仿宋_GB2312"/>
                <w:szCs w:val="21"/>
              </w:rPr>
            </w:pPr>
          </w:p>
        </w:tc>
      </w:tr>
      <w:tr w14:paraId="085A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restart"/>
            <w:vAlign w:val="center"/>
          </w:tcPr>
          <w:p w14:paraId="61804637">
            <w:pPr>
              <w:spacing w:line="300" w:lineRule="exact"/>
              <w:jc w:val="center"/>
              <w:rPr>
                <w:rFonts w:ascii="Times New Roman" w:eastAsia="仿宋"/>
                <w:bCs/>
                <w:szCs w:val="21"/>
              </w:rPr>
            </w:pPr>
            <w:r>
              <w:rPr>
                <w:rFonts w:hint="eastAsia" w:ascii="Times New Roman" w:eastAsia="仿宋"/>
                <w:bCs/>
                <w:szCs w:val="21"/>
              </w:rPr>
              <w:t>2</w:t>
            </w:r>
          </w:p>
        </w:tc>
        <w:tc>
          <w:tcPr>
            <w:tcW w:w="1308" w:type="pct"/>
            <w:vAlign w:val="center"/>
          </w:tcPr>
          <w:p w14:paraId="29AFC1DE">
            <w:pPr>
              <w:spacing w:line="300" w:lineRule="exact"/>
              <w:jc w:val="center"/>
              <w:rPr>
                <w:rFonts w:ascii="Times New Roman" w:eastAsia="仿宋"/>
                <w:bCs/>
                <w:szCs w:val="21"/>
              </w:rPr>
            </w:pPr>
            <w:r>
              <w:rPr>
                <w:rFonts w:hint="eastAsia" w:ascii="Times New Roman" w:eastAsia="仿宋"/>
                <w:bCs/>
                <w:szCs w:val="21"/>
              </w:rPr>
              <w:t>型式</w:t>
            </w:r>
          </w:p>
        </w:tc>
        <w:tc>
          <w:tcPr>
            <w:tcW w:w="2420" w:type="pct"/>
            <w:vAlign w:val="center"/>
          </w:tcPr>
          <w:p w14:paraId="6D48689A">
            <w:pPr>
              <w:spacing w:line="300" w:lineRule="exact"/>
              <w:jc w:val="center"/>
              <w:rPr>
                <w:rFonts w:ascii="Times New Roman" w:eastAsia="仿宋"/>
                <w:bCs/>
                <w:szCs w:val="21"/>
              </w:rPr>
            </w:pPr>
            <w:r>
              <w:rPr>
                <w:rFonts w:hint="eastAsia" w:ascii="Times New Roman" w:eastAsia="仿宋"/>
                <w:bCs/>
                <w:szCs w:val="21"/>
              </w:rPr>
              <w:t>卧式</w:t>
            </w:r>
          </w:p>
        </w:tc>
        <w:tc>
          <w:tcPr>
            <w:tcW w:w="831" w:type="pct"/>
            <w:vMerge w:val="restart"/>
            <w:vAlign w:val="center"/>
          </w:tcPr>
          <w:p w14:paraId="35100BC2">
            <w:pPr>
              <w:spacing w:line="300" w:lineRule="exact"/>
              <w:jc w:val="center"/>
              <w:rPr>
                <w:rFonts w:ascii="Times New Roman" w:eastAsia="仿宋"/>
                <w:bCs/>
                <w:szCs w:val="21"/>
              </w:rPr>
            </w:pPr>
            <w:r>
              <w:rPr>
                <w:rFonts w:ascii="Times New Roman" w:eastAsia="仿宋"/>
                <w:szCs w:val="21"/>
              </w:rPr>
              <w:t>2</w:t>
            </w:r>
            <w:r>
              <w:rPr>
                <w:rFonts w:hint="eastAsia" w:ascii="Times New Roman" w:eastAsia="仿宋"/>
                <w:szCs w:val="21"/>
              </w:rPr>
              <w:t>号水帘式循环过滤系统+水喷淋+干式过滤器+三级活性炭吸附脱附+催化燃烧</w:t>
            </w:r>
          </w:p>
        </w:tc>
      </w:tr>
      <w:tr w14:paraId="608A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569C3C26">
            <w:pPr>
              <w:spacing w:line="300" w:lineRule="exact"/>
              <w:jc w:val="center"/>
              <w:rPr>
                <w:rFonts w:ascii="Times New Roman" w:eastAsia="仿宋"/>
                <w:bCs/>
                <w:szCs w:val="21"/>
              </w:rPr>
            </w:pPr>
          </w:p>
        </w:tc>
        <w:tc>
          <w:tcPr>
            <w:tcW w:w="0" w:type="auto"/>
            <w:vAlign w:val="center"/>
          </w:tcPr>
          <w:p w14:paraId="4B41161D">
            <w:pPr>
              <w:spacing w:line="300" w:lineRule="exact"/>
              <w:jc w:val="center"/>
              <w:rPr>
                <w:rFonts w:ascii="Times New Roman" w:eastAsia="仿宋"/>
                <w:bCs/>
                <w:szCs w:val="21"/>
              </w:rPr>
            </w:pPr>
            <w:r>
              <w:rPr>
                <w:rFonts w:hint="eastAsia" w:ascii="Times New Roman" w:eastAsia="仿宋"/>
                <w:bCs/>
                <w:szCs w:val="21"/>
              </w:rPr>
              <w:t>规格</w:t>
            </w:r>
          </w:p>
        </w:tc>
        <w:tc>
          <w:tcPr>
            <w:tcW w:w="0" w:type="auto"/>
            <w:vAlign w:val="center"/>
          </w:tcPr>
          <w:p w14:paraId="656194AB">
            <w:pPr>
              <w:spacing w:line="300" w:lineRule="exact"/>
              <w:jc w:val="center"/>
              <w:rPr>
                <w:rFonts w:ascii="Times New Roman" w:eastAsia="仿宋"/>
                <w:bCs/>
                <w:szCs w:val="21"/>
              </w:rPr>
            </w:pPr>
            <w:r>
              <w:rPr>
                <w:rFonts w:hint="eastAsia" w:ascii="Times New Roman" w:eastAsia="仿宋"/>
                <w:bCs/>
                <w:szCs w:val="21"/>
              </w:rPr>
              <w:t>三级碳箱</w:t>
            </w:r>
          </w:p>
        </w:tc>
        <w:tc>
          <w:tcPr>
            <w:tcW w:w="831" w:type="pct"/>
            <w:vMerge w:val="continue"/>
            <w:vAlign w:val="center"/>
          </w:tcPr>
          <w:p w14:paraId="4B43B99B">
            <w:pPr>
              <w:snapToGrid w:val="0"/>
              <w:jc w:val="center"/>
              <w:rPr>
                <w:rFonts w:eastAsia="仿宋_GB2312"/>
                <w:szCs w:val="21"/>
              </w:rPr>
            </w:pPr>
          </w:p>
        </w:tc>
      </w:tr>
      <w:tr w14:paraId="5372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56DD406F">
            <w:pPr>
              <w:spacing w:line="300" w:lineRule="exact"/>
              <w:jc w:val="center"/>
              <w:rPr>
                <w:rFonts w:ascii="Times New Roman" w:eastAsia="仿宋"/>
                <w:bCs/>
                <w:szCs w:val="21"/>
              </w:rPr>
            </w:pPr>
          </w:p>
        </w:tc>
        <w:tc>
          <w:tcPr>
            <w:tcW w:w="0" w:type="auto"/>
            <w:vAlign w:val="center"/>
          </w:tcPr>
          <w:p w14:paraId="29EA79BE">
            <w:pPr>
              <w:spacing w:line="300" w:lineRule="exact"/>
              <w:jc w:val="center"/>
              <w:rPr>
                <w:rFonts w:ascii="Times New Roman" w:eastAsia="仿宋"/>
                <w:bCs/>
                <w:szCs w:val="21"/>
              </w:rPr>
            </w:pPr>
            <w:r>
              <w:rPr>
                <w:rFonts w:hint="eastAsia" w:ascii="Times New Roman" w:eastAsia="仿宋"/>
                <w:bCs/>
                <w:szCs w:val="21"/>
              </w:rPr>
              <w:t>活性炭碘含量</w:t>
            </w:r>
          </w:p>
        </w:tc>
        <w:tc>
          <w:tcPr>
            <w:tcW w:w="0" w:type="auto"/>
            <w:vAlign w:val="center"/>
          </w:tcPr>
          <w:p w14:paraId="043497FA">
            <w:pPr>
              <w:spacing w:line="300" w:lineRule="exact"/>
              <w:jc w:val="center"/>
              <w:rPr>
                <w:rFonts w:ascii="Times New Roman" w:eastAsia="仿宋"/>
                <w:bCs/>
                <w:szCs w:val="21"/>
              </w:rPr>
            </w:pPr>
            <w:r>
              <w:rPr>
                <w:rFonts w:hint="eastAsia" w:ascii="Times New Roman" w:eastAsia="仿宋"/>
                <w:bCs/>
                <w:szCs w:val="21"/>
              </w:rPr>
              <w:t>800mg/g</w:t>
            </w:r>
          </w:p>
        </w:tc>
        <w:tc>
          <w:tcPr>
            <w:tcW w:w="831" w:type="pct"/>
            <w:vMerge w:val="continue"/>
            <w:vAlign w:val="center"/>
          </w:tcPr>
          <w:p w14:paraId="6FD36B3A">
            <w:pPr>
              <w:snapToGrid w:val="0"/>
              <w:jc w:val="center"/>
              <w:rPr>
                <w:rFonts w:eastAsia="仿宋_GB2312"/>
                <w:szCs w:val="21"/>
              </w:rPr>
            </w:pPr>
          </w:p>
        </w:tc>
      </w:tr>
      <w:tr w14:paraId="317A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725732D5">
            <w:pPr>
              <w:spacing w:line="300" w:lineRule="exact"/>
              <w:jc w:val="center"/>
              <w:rPr>
                <w:rFonts w:ascii="Times New Roman" w:eastAsia="仿宋"/>
                <w:bCs/>
                <w:szCs w:val="21"/>
              </w:rPr>
            </w:pPr>
          </w:p>
        </w:tc>
        <w:tc>
          <w:tcPr>
            <w:tcW w:w="0" w:type="auto"/>
            <w:vAlign w:val="center"/>
          </w:tcPr>
          <w:p w14:paraId="79DE19FB">
            <w:pPr>
              <w:spacing w:line="300" w:lineRule="exact"/>
              <w:jc w:val="center"/>
              <w:rPr>
                <w:rFonts w:ascii="Times New Roman" w:eastAsia="仿宋"/>
                <w:bCs/>
                <w:szCs w:val="21"/>
              </w:rPr>
            </w:pPr>
            <w:r>
              <w:rPr>
                <w:rFonts w:hint="eastAsia" w:ascii="Times New Roman" w:eastAsia="仿宋"/>
                <w:bCs/>
                <w:szCs w:val="21"/>
              </w:rPr>
              <w:t>活性炭类型</w:t>
            </w:r>
          </w:p>
        </w:tc>
        <w:tc>
          <w:tcPr>
            <w:tcW w:w="0" w:type="auto"/>
            <w:vAlign w:val="center"/>
          </w:tcPr>
          <w:p w14:paraId="75F38AE5">
            <w:pPr>
              <w:spacing w:line="300" w:lineRule="exact"/>
              <w:jc w:val="center"/>
              <w:rPr>
                <w:rFonts w:ascii="Times New Roman" w:eastAsia="仿宋"/>
                <w:bCs/>
                <w:szCs w:val="21"/>
              </w:rPr>
            </w:pPr>
            <w:r>
              <w:rPr>
                <w:rFonts w:hint="eastAsia" w:ascii="Times New Roman" w:eastAsia="仿宋"/>
                <w:bCs/>
                <w:szCs w:val="21"/>
              </w:rPr>
              <w:t>蜂窝碳</w:t>
            </w:r>
          </w:p>
        </w:tc>
        <w:tc>
          <w:tcPr>
            <w:tcW w:w="831" w:type="pct"/>
            <w:vMerge w:val="continue"/>
            <w:vAlign w:val="center"/>
          </w:tcPr>
          <w:p w14:paraId="24F015B9">
            <w:pPr>
              <w:snapToGrid w:val="0"/>
              <w:jc w:val="center"/>
              <w:rPr>
                <w:rFonts w:eastAsia="仿宋_GB2312"/>
                <w:szCs w:val="21"/>
              </w:rPr>
            </w:pPr>
          </w:p>
        </w:tc>
      </w:tr>
      <w:tr w14:paraId="17A0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5BD1013E">
            <w:pPr>
              <w:spacing w:line="300" w:lineRule="exact"/>
              <w:jc w:val="center"/>
              <w:rPr>
                <w:rFonts w:ascii="Times New Roman" w:eastAsia="仿宋"/>
                <w:bCs/>
                <w:szCs w:val="21"/>
              </w:rPr>
            </w:pPr>
          </w:p>
        </w:tc>
        <w:tc>
          <w:tcPr>
            <w:tcW w:w="0" w:type="auto"/>
            <w:vAlign w:val="center"/>
          </w:tcPr>
          <w:p w14:paraId="2E7313A3">
            <w:pPr>
              <w:spacing w:line="300" w:lineRule="exact"/>
              <w:jc w:val="center"/>
              <w:rPr>
                <w:rFonts w:ascii="Times New Roman" w:eastAsia="仿宋"/>
                <w:bCs/>
                <w:szCs w:val="21"/>
              </w:rPr>
            </w:pPr>
            <w:r>
              <w:rPr>
                <w:rFonts w:hint="eastAsia" w:ascii="Times New Roman" w:eastAsia="仿宋"/>
                <w:bCs/>
                <w:szCs w:val="21"/>
              </w:rPr>
              <w:t>活性炭更换周期</w:t>
            </w:r>
          </w:p>
        </w:tc>
        <w:tc>
          <w:tcPr>
            <w:tcW w:w="0" w:type="auto"/>
            <w:vAlign w:val="center"/>
          </w:tcPr>
          <w:p w14:paraId="48EE880D">
            <w:pPr>
              <w:spacing w:line="300" w:lineRule="exact"/>
              <w:jc w:val="center"/>
              <w:rPr>
                <w:rFonts w:ascii="Times New Roman" w:eastAsia="仿宋"/>
                <w:bCs/>
                <w:szCs w:val="21"/>
              </w:rPr>
            </w:pPr>
            <w:r>
              <w:rPr>
                <w:rFonts w:hint="eastAsia" w:ascii="Times New Roman" w:eastAsia="仿宋"/>
                <w:bCs/>
                <w:szCs w:val="21"/>
              </w:rPr>
              <w:t>1次/年</w:t>
            </w:r>
          </w:p>
        </w:tc>
        <w:tc>
          <w:tcPr>
            <w:tcW w:w="831" w:type="pct"/>
            <w:vMerge w:val="continue"/>
            <w:vAlign w:val="center"/>
          </w:tcPr>
          <w:p w14:paraId="291B3DD6">
            <w:pPr>
              <w:snapToGrid w:val="0"/>
              <w:jc w:val="center"/>
              <w:rPr>
                <w:rFonts w:eastAsia="仿宋_GB2312"/>
                <w:szCs w:val="21"/>
              </w:rPr>
            </w:pPr>
          </w:p>
        </w:tc>
      </w:tr>
      <w:tr w14:paraId="4F2A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3EDCD956">
            <w:pPr>
              <w:spacing w:line="300" w:lineRule="exact"/>
              <w:jc w:val="center"/>
              <w:rPr>
                <w:rFonts w:ascii="Times New Roman" w:eastAsia="仿宋"/>
                <w:bCs/>
                <w:szCs w:val="21"/>
              </w:rPr>
            </w:pPr>
          </w:p>
        </w:tc>
        <w:tc>
          <w:tcPr>
            <w:tcW w:w="0" w:type="auto"/>
            <w:vAlign w:val="center"/>
          </w:tcPr>
          <w:p w14:paraId="7BBCA977">
            <w:pPr>
              <w:spacing w:line="300" w:lineRule="exact"/>
              <w:jc w:val="center"/>
              <w:rPr>
                <w:rFonts w:ascii="Times New Roman" w:eastAsia="仿宋"/>
                <w:bCs/>
                <w:szCs w:val="21"/>
              </w:rPr>
            </w:pPr>
            <w:r>
              <w:rPr>
                <w:rFonts w:hint="eastAsia" w:ascii="Times New Roman" w:eastAsia="仿宋"/>
                <w:bCs/>
                <w:szCs w:val="21"/>
              </w:rPr>
              <w:t>活性炭装填量</w:t>
            </w:r>
          </w:p>
        </w:tc>
        <w:tc>
          <w:tcPr>
            <w:tcW w:w="0" w:type="auto"/>
            <w:vAlign w:val="center"/>
          </w:tcPr>
          <w:p w14:paraId="019BFDB2">
            <w:pPr>
              <w:spacing w:line="300" w:lineRule="exact"/>
              <w:jc w:val="center"/>
              <w:rPr>
                <w:rFonts w:ascii="Times New Roman" w:eastAsia="仿宋"/>
                <w:bCs/>
                <w:szCs w:val="21"/>
              </w:rPr>
            </w:pPr>
            <w:r>
              <w:rPr>
                <w:rFonts w:hint="eastAsia" w:ascii="Times New Roman" w:eastAsia="仿宋"/>
                <w:bCs/>
                <w:szCs w:val="21"/>
              </w:rPr>
              <w:t>3t</w:t>
            </w:r>
          </w:p>
        </w:tc>
        <w:tc>
          <w:tcPr>
            <w:tcW w:w="831" w:type="pct"/>
            <w:vMerge w:val="continue"/>
            <w:vAlign w:val="center"/>
          </w:tcPr>
          <w:p w14:paraId="6E4C0958">
            <w:pPr>
              <w:snapToGrid w:val="0"/>
              <w:jc w:val="center"/>
              <w:rPr>
                <w:rFonts w:eastAsia="仿宋_GB2312"/>
                <w:szCs w:val="21"/>
              </w:rPr>
            </w:pPr>
          </w:p>
        </w:tc>
      </w:tr>
      <w:tr w14:paraId="6960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42E6EC84">
            <w:pPr>
              <w:spacing w:line="300" w:lineRule="exact"/>
              <w:jc w:val="center"/>
              <w:rPr>
                <w:rFonts w:ascii="Times New Roman" w:eastAsia="仿宋"/>
                <w:bCs/>
                <w:szCs w:val="21"/>
              </w:rPr>
            </w:pPr>
          </w:p>
        </w:tc>
        <w:tc>
          <w:tcPr>
            <w:tcW w:w="0" w:type="auto"/>
            <w:vAlign w:val="center"/>
          </w:tcPr>
          <w:p w14:paraId="18582F70">
            <w:pPr>
              <w:spacing w:line="300" w:lineRule="exact"/>
              <w:jc w:val="center"/>
              <w:rPr>
                <w:rFonts w:ascii="Times New Roman" w:eastAsia="仿宋"/>
                <w:bCs/>
                <w:szCs w:val="21"/>
              </w:rPr>
            </w:pPr>
            <w:r>
              <w:rPr>
                <w:rFonts w:hint="eastAsia" w:ascii="Times New Roman" w:eastAsia="仿宋"/>
                <w:bCs/>
                <w:szCs w:val="21"/>
              </w:rPr>
              <w:t>脱附周期</w:t>
            </w:r>
          </w:p>
        </w:tc>
        <w:tc>
          <w:tcPr>
            <w:tcW w:w="0" w:type="auto"/>
            <w:vAlign w:val="center"/>
          </w:tcPr>
          <w:p w14:paraId="025003DE">
            <w:pPr>
              <w:spacing w:line="300" w:lineRule="exact"/>
              <w:jc w:val="center"/>
              <w:rPr>
                <w:rFonts w:ascii="Times New Roman" w:eastAsia="仿宋"/>
                <w:bCs/>
                <w:szCs w:val="21"/>
              </w:rPr>
            </w:pPr>
            <w:r>
              <w:rPr>
                <w:rFonts w:ascii="Times New Roman" w:eastAsia="仿宋"/>
                <w:bCs/>
                <w:szCs w:val="21"/>
              </w:rPr>
              <w:t>6</w:t>
            </w:r>
            <w:r>
              <w:rPr>
                <w:rFonts w:hint="eastAsia" w:ascii="Times New Roman" w:eastAsia="仿宋"/>
                <w:bCs/>
                <w:szCs w:val="21"/>
              </w:rPr>
              <w:t>天</w:t>
            </w:r>
          </w:p>
        </w:tc>
        <w:tc>
          <w:tcPr>
            <w:tcW w:w="831" w:type="pct"/>
            <w:vMerge w:val="continue"/>
            <w:vAlign w:val="center"/>
          </w:tcPr>
          <w:p w14:paraId="1455E4A5">
            <w:pPr>
              <w:snapToGrid w:val="0"/>
              <w:jc w:val="center"/>
              <w:rPr>
                <w:rFonts w:eastAsia="仿宋_GB2312"/>
                <w:szCs w:val="21"/>
              </w:rPr>
            </w:pPr>
          </w:p>
        </w:tc>
      </w:tr>
      <w:tr w14:paraId="2B7B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4F45F043">
            <w:pPr>
              <w:spacing w:line="300" w:lineRule="exact"/>
              <w:jc w:val="center"/>
              <w:rPr>
                <w:rFonts w:ascii="Times New Roman" w:eastAsia="仿宋"/>
                <w:bCs/>
                <w:szCs w:val="21"/>
              </w:rPr>
            </w:pPr>
          </w:p>
        </w:tc>
        <w:tc>
          <w:tcPr>
            <w:tcW w:w="0" w:type="auto"/>
            <w:vAlign w:val="center"/>
          </w:tcPr>
          <w:p w14:paraId="22199522">
            <w:pPr>
              <w:spacing w:line="300" w:lineRule="exact"/>
              <w:jc w:val="center"/>
              <w:rPr>
                <w:rFonts w:ascii="Times New Roman" w:eastAsia="仿宋"/>
                <w:bCs/>
                <w:szCs w:val="21"/>
              </w:rPr>
            </w:pPr>
            <w:r>
              <w:rPr>
                <w:rFonts w:hint="eastAsia" w:ascii="Times New Roman" w:eastAsia="仿宋"/>
                <w:bCs/>
                <w:szCs w:val="21"/>
              </w:rPr>
              <w:t>处理风量</w:t>
            </w:r>
          </w:p>
        </w:tc>
        <w:tc>
          <w:tcPr>
            <w:tcW w:w="0" w:type="auto"/>
            <w:vAlign w:val="center"/>
          </w:tcPr>
          <w:p w14:paraId="12145499">
            <w:pPr>
              <w:spacing w:line="300" w:lineRule="exact"/>
              <w:jc w:val="center"/>
              <w:rPr>
                <w:rFonts w:ascii="Times New Roman" w:eastAsia="仿宋"/>
                <w:bCs/>
                <w:szCs w:val="21"/>
              </w:rPr>
            </w:pPr>
            <w:r>
              <w:rPr>
                <w:rFonts w:hint="eastAsia" w:ascii="Times New Roman" w:eastAsia="仿宋"/>
                <w:bCs/>
                <w:szCs w:val="21"/>
              </w:rPr>
              <w:t>28000m</w:t>
            </w:r>
            <w:r>
              <w:rPr>
                <w:rFonts w:hint="eastAsia" w:ascii="Times New Roman" w:eastAsia="仿宋"/>
                <w:bCs/>
                <w:szCs w:val="21"/>
                <w:vertAlign w:val="superscript"/>
              </w:rPr>
              <w:t>3</w:t>
            </w:r>
            <w:r>
              <w:rPr>
                <w:rFonts w:hint="eastAsia" w:ascii="Times New Roman" w:eastAsia="仿宋"/>
                <w:bCs/>
                <w:szCs w:val="21"/>
              </w:rPr>
              <w:t>/h</w:t>
            </w:r>
          </w:p>
        </w:tc>
        <w:tc>
          <w:tcPr>
            <w:tcW w:w="831" w:type="pct"/>
            <w:vMerge w:val="continue"/>
            <w:vAlign w:val="center"/>
          </w:tcPr>
          <w:p w14:paraId="47F063A6">
            <w:pPr>
              <w:snapToGrid w:val="0"/>
              <w:jc w:val="center"/>
              <w:rPr>
                <w:rFonts w:eastAsia="仿宋_GB2312"/>
                <w:szCs w:val="21"/>
              </w:rPr>
            </w:pPr>
          </w:p>
        </w:tc>
      </w:tr>
      <w:tr w14:paraId="43C9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41" w:type="pct"/>
            <w:vMerge w:val="restart"/>
            <w:vAlign w:val="center"/>
          </w:tcPr>
          <w:p w14:paraId="03D810DC">
            <w:pPr>
              <w:spacing w:line="300" w:lineRule="exact"/>
              <w:jc w:val="center"/>
              <w:rPr>
                <w:rFonts w:ascii="Times New Roman" w:eastAsia="仿宋"/>
                <w:bCs/>
                <w:szCs w:val="21"/>
              </w:rPr>
            </w:pPr>
            <w:r>
              <w:rPr>
                <w:rFonts w:hint="eastAsia" w:ascii="Times New Roman" w:eastAsia="仿宋"/>
                <w:bCs/>
                <w:szCs w:val="21"/>
              </w:rPr>
              <w:t>3</w:t>
            </w:r>
          </w:p>
        </w:tc>
        <w:tc>
          <w:tcPr>
            <w:tcW w:w="0" w:type="auto"/>
            <w:vAlign w:val="center"/>
          </w:tcPr>
          <w:p w14:paraId="78C53872">
            <w:pPr>
              <w:spacing w:line="300" w:lineRule="exact"/>
              <w:jc w:val="center"/>
              <w:rPr>
                <w:rFonts w:ascii="Times New Roman" w:eastAsia="仿宋"/>
                <w:bCs/>
                <w:szCs w:val="21"/>
              </w:rPr>
            </w:pPr>
            <w:r>
              <w:rPr>
                <w:rFonts w:hint="eastAsia" w:ascii="Times New Roman" w:eastAsia="仿宋"/>
                <w:bCs/>
                <w:szCs w:val="21"/>
              </w:rPr>
              <w:t>型式</w:t>
            </w:r>
          </w:p>
        </w:tc>
        <w:tc>
          <w:tcPr>
            <w:tcW w:w="0" w:type="auto"/>
            <w:vAlign w:val="center"/>
          </w:tcPr>
          <w:p w14:paraId="66EF3798">
            <w:pPr>
              <w:spacing w:line="300" w:lineRule="exact"/>
              <w:jc w:val="center"/>
              <w:rPr>
                <w:rFonts w:ascii="Times New Roman" w:eastAsia="仿宋"/>
                <w:bCs/>
                <w:szCs w:val="21"/>
              </w:rPr>
            </w:pPr>
            <w:r>
              <w:rPr>
                <w:rFonts w:hint="eastAsia" w:ascii="Times New Roman" w:eastAsia="仿宋"/>
                <w:bCs/>
                <w:szCs w:val="21"/>
              </w:rPr>
              <w:t>卧式</w:t>
            </w:r>
          </w:p>
        </w:tc>
        <w:tc>
          <w:tcPr>
            <w:tcW w:w="831" w:type="pct"/>
            <w:vMerge w:val="restart"/>
            <w:vAlign w:val="center"/>
          </w:tcPr>
          <w:p w14:paraId="792C446C">
            <w:pPr>
              <w:spacing w:line="300" w:lineRule="exact"/>
              <w:jc w:val="center"/>
              <w:rPr>
                <w:rFonts w:ascii="Times New Roman" w:eastAsia="仿宋"/>
                <w:bCs/>
                <w:szCs w:val="21"/>
              </w:rPr>
            </w:pPr>
            <w:r>
              <w:rPr>
                <w:rFonts w:ascii="Times New Roman" w:eastAsia="仿宋"/>
                <w:szCs w:val="21"/>
              </w:rPr>
              <w:t>3</w:t>
            </w:r>
            <w:r>
              <w:rPr>
                <w:rFonts w:hint="eastAsia" w:ascii="Times New Roman" w:eastAsia="仿宋"/>
                <w:szCs w:val="21"/>
              </w:rPr>
              <w:t>号水帘式循环过滤系统+水喷淋+干式过滤器+三级活性炭吸附脱附+催化燃烧</w:t>
            </w:r>
          </w:p>
        </w:tc>
      </w:tr>
      <w:tr w14:paraId="180F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3ECE17E2">
            <w:pPr>
              <w:spacing w:line="300" w:lineRule="exact"/>
              <w:jc w:val="center"/>
              <w:rPr>
                <w:rFonts w:ascii="Times New Roman" w:eastAsia="仿宋"/>
                <w:bCs/>
                <w:szCs w:val="21"/>
              </w:rPr>
            </w:pPr>
          </w:p>
        </w:tc>
        <w:tc>
          <w:tcPr>
            <w:tcW w:w="0" w:type="auto"/>
            <w:vAlign w:val="center"/>
          </w:tcPr>
          <w:p w14:paraId="3530B163">
            <w:pPr>
              <w:spacing w:line="300" w:lineRule="exact"/>
              <w:jc w:val="center"/>
              <w:rPr>
                <w:rFonts w:ascii="Times New Roman" w:eastAsia="仿宋"/>
                <w:bCs/>
                <w:szCs w:val="21"/>
              </w:rPr>
            </w:pPr>
            <w:r>
              <w:rPr>
                <w:rFonts w:hint="eastAsia" w:ascii="Times New Roman" w:eastAsia="仿宋"/>
                <w:bCs/>
                <w:szCs w:val="21"/>
              </w:rPr>
              <w:t>规格</w:t>
            </w:r>
          </w:p>
        </w:tc>
        <w:tc>
          <w:tcPr>
            <w:tcW w:w="0" w:type="auto"/>
            <w:vAlign w:val="center"/>
          </w:tcPr>
          <w:p w14:paraId="7CC82C62">
            <w:pPr>
              <w:spacing w:line="300" w:lineRule="exact"/>
              <w:jc w:val="center"/>
              <w:rPr>
                <w:rFonts w:ascii="Times New Roman" w:eastAsia="仿宋"/>
                <w:bCs/>
                <w:szCs w:val="21"/>
              </w:rPr>
            </w:pPr>
            <w:r>
              <w:rPr>
                <w:rFonts w:hint="eastAsia" w:ascii="Times New Roman" w:eastAsia="仿宋"/>
                <w:bCs/>
                <w:szCs w:val="21"/>
              </w:rPr>
              <w:t>三级碳箱</w:t>
            </w:r>
          </w:p>
        </w:tc>
        <w:tc>
          <w:tcPr>
            <w:tcW w:w="831" w:type="pct"/>
            <w:vMerge w:val="continue"/>
            <w:vAlign w:val="center"/>
          </w:tcPr>
          <w:p w14:paraId="5CB47215">
            <w:pPr>
              <w:snapToGrid w:val="0"/>
              <w:jc w:val="center"/>
              <w:rPr>
                <w:rFonts w:eastAsia="仿宋_GB2312"/>
                <w:szCs w:val="21"/>
              </w:rPr>
            </w:pPr>
          </w:p>
        </w:tc>
      </w:tr>
      <w:tr w14:paraId="5285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3832F27D">
            <w:pPr>
              <w:spacing w:line="300" w:lineRule="exact"/>
              <w:jc w:val="center"/>
              <w:rPr>
                <w:rFonts w:ascii="Times New Roman" w:eastAsia="仿宋"/>
                <w:bCs/>
                <w:szCs w:val="21"/>
              </w:rPr>
            </w:pPr>
          </w:p>
        </w:tc>
        <w:tc>
          <w:tcPr>
            <w:tcW w:w="0" w:type="auto"/>
            <w:vAlign w:val="center"/>
          </w:tcPr>
          <w:p w14:paraId="651D84A6">
            <w:pPr>
              <w:spacing w:line="300" w:lineRule="exact"/>
              <w:jc w:val="center"/>
              <w:rPr>
                <w:rFonts w:ascii="Times New Roman" w:eastAsia="仿宋"/>
                <w:bCs/>
                <w:szCs w:val="21"/>
              </w:rPr>
            </w:pPr>
            <w:r>
              <w:rPr>
                <w:rFonts w:hint="eastAsia" w:ascii="Times New Roman" w:eastAsia="仿宋"/>
                <w:bCs/>
                <w:szCs w:val="21"/>
              </w:rPr>
              <w:t>活性炭碘含量</w:t>
            </w:r>
          </w:p>
        </w:tc>
        <w:tc>
          <w:tcPr>
            <w:tcW w:w="0" w:type="auto"/>
            <w:vAlign w:val="center"/>
          </w:tcPr>
          <w:p w14:paraId="7BB87C72">
            <w:pPr>
              <w:spacing w:line="300" w:lineRule="exact"/>
              <w:jc w:val="center"/>
              <w:rPr>
                <w:rFonts w:ascii="Times New Roman" w:eastAsia="仿宋"/>
                <w:bCs/>
                <w:szCs w:val="21"/>
              </w:rPr>
            </w:pPr>
            <w:r>
              <w:rPr>
                <w:rFonts w:hint="eastAsia" w:ascii="Times New Roman" w:eastAsia="仿宋"/>
                <w:bCs/>
                <w:szCs w:val="21"/>
              </w:rPr>
              <w:t>800mg/g</w:t>
            </w:r>
          </w:p>
        </w:tc>
        <w:tc>
          <w:tcPr>
            <w:tcW w:w="831" w:type="pct"/>
            <w:vMerge w:val="continue"/>
            <w:vAlign w:val="center"/>
          </w:tcPr>
          <w:p w14:paraId="61ED8AC7">
            <w:pPr>
              <w:snapToGrid w:val="0"/>
              <w:jc w:val="center"/>
              <w:rPr>
                <w:rFonts w:eastAsia="仿宋_GB2312"/>
                <w:szCs w:val="21"/>
              </w:rPr>
            </w:pPr>
          </w:p>
        </w:tc>
      </w:tr>
      <w:tr w14:paraId="5410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78DA42FD">
            <w:pPr>
              <w:spacing w:line="300" w:lineRule="exact"/>
              <w:jc w:val="center"/>
              <w:rPr>
                <w:rFonts w:ascii="Times New Roman" w:eastAsia="仿宋"/>
                <w:bCs/>
                <w:szCs w:val="21"/>
              </w:rPr>
            </w:pPr>
          </w:p>
        </w:tc>
        <w:tc>
          <w:tcPr>
            <w:tcW w:w="0" w:type="auto"/>
            <w:vAlign w:val="center"/>
          </w:tcPr>
          <w:p w14:paraId="2CD110A9">
            <w:pPr>
              <w:spacing w:line="300" w:lineRule="exact"/>
              <w:jc w:val="center"/>
              <w:rPr>
                <w:rFonts w:ascii="Times New Roman" w:eastAsia="仿宋"/>
                <w:bCs/>
                <w:szCs w:val="21"/>
              </w:rPr>
            </w:pPr>
            <w:r>
              <w:rPr>
                <w:rFonts w:hint="eastAsia" w:ascii="Times New Roman" w:eastAsia="仿宋"/>
                <w:bCs/>
                <w:szCs w:val="21"/>
              </w:rPr>
              <w:t>活性炭类型</w:t>
            </w:r>
          </w:p>
        </w:tc>
        <w:tc>
          <w:tcPr>
            <w:tcW w:w="0" w:type="auto"/>
            <w:vAlign w:val="center"/>
          </w:tcPr>
          <w:p w14:paraId="253C41AF">
            <w:pPr>
              <w:spacing w:line="300" w:lineRule="exact"/>
              <w:jc w:val="center"/>
              <w:rPr>
                <w:rFonts w:ascii="Times New Roman" w:eastAsia="仿宋"/>
                <w:bCs/>
                <w:szCs w:val="21"/>
              </w:rPr>
            </w:pPr>
            <w:r>
              <w:rPr>
                <w:rFonts w:hint="eastAsia" w:ascii="Times New Roman" w:eastAsia="仿宋"/>
                <w:bCs/>
                <w:szCs w:val="21"/>
              </w:rPr>
              <w:t>蜂窝碳</w:t>
            </w:r>
          </w:p>
        </w:tc>
        <w:tc>
          <w:tcPr>
            <w:tcW w:w="831" w:type="pct"/>
            <w:vMerge w:val="continue"/>
            <w:vAlign w:val="center"/>
          </w:tcPr>
          <w:p w14:paraId="5227313B">
            <w:pPr>
              <w:snapToGrid w:val="0"/>
              <w:jc w:val="center"/>
              <w:rPr>
                <w:rFonts w:eastAsia="仿宋_GB2312"/>
                <w:szCs w:val="21"/>
              </w:rPr>
            </w:pPr>
          </w:p>
        </w:tc>
      </w:tr>
      <w:tr w14:paraId="5301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2A57134A">
            <w:pPr>
              <w:spacing w:line="300" w:lineRule="exact"/>
              <w:jc w:val="center"/>
              <w:rPr>
                <w:rFonts w:ascii="Times New Roman" w:eastAsia="仿宋"/>
                <w:bCs/>
                <w:szCs w:val="21"/>
              </w:rPr>
            </w:pPr>
          </w:p>
        </w:tc>
        <w:tc>
          <w:tcPr>
            <w:tcW w:w="0" w:type="auto"/>
            <w:vAlign w:val="center"/>
          </w:tcPr>
          <w:p w14:paraId="6B02BB07">
            <w:pPr>
              <w:spacing w:line="300" w:lineRule="exact"/>
              <w:jc w:val="center"/>
              <w:rPr>
                <w:rFonts w:ascii="Times New Roman" w:eastAsia="仿宋"/>
                <w:bCs/>
                <w:szCs w:val="21"/>
              </w:rPr>
            </w:pPr>
            <w:r>
              <w:rPr>
                <w:rFonts w:hint="eastAsia" w:ascii="Times New Roman" w:eastAsia="仿宋"/>
                <w:bCs/>
                <w:szCs w:val="21"/>
              </w:rPr>
              <w:t>活性炭更换周期</w:t>
            </w:r>
          </w:p>
        </w:tc>
        <w:tc>
          <w:tcPr>
            <w:tcW w:w="0" w:type="auto"/>
            <w:vAlign w:val="center"/>
          </w:tcPr>
          <w:p w14:paraId="7BC7E17D">
            <w:pPr>
              <w:spacing w:line="300" w:lineRule="exact"/>
              <w:jc w:val="center"/>
              <w:rPr>
                <w:rFonts w:ascii="Times New Roman" w:eastAsia="仿宋"/>
                <w:bCs/>
                <w:szCs w:val="21"/>
              </w:rPr>
            </w:pPr>
            <w:r>
              <w:rPr>
                <w:rFonts w:hint="eastAsia" w:ascii="Times New Roman" w:eastAsia="仿宋"/>
                <w:bCs/>
                <w:szCs w:val="21"/>
              </w:rPr>
              <w:t>1次/年</w:t>
            </w:r>
          </w:p>
        </w:tc>
        <w:tc>
          <w:tcPr>
            <w:tcW w:w="831" w:type="pct"/>
            <w:vMerge w:val="continue"/>
            <w:vAlign w:val="center"/>
          </w:tcPr>
          <w:p w14:paraId="520D4D4E">
            <w:pPr>
              <w:snapToGrid w:val="0"/>
              <w:jc w:val="center"/>
              <w:rPr>
                <w:rFonts w:eastAsia="仿宋_GB2312"/>
                <w:szCs w:val="21"/>
              </w:rPr>
            </w:pPr>
          </w:p>
        </w:tc>
      </w:tr>
      <w:tr w14:paraId="41E9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37891CD7">
            <w:pPr>
              <w:spacing w:line="300" w:lineRule="exact"/>
              <w:jc w:val="center"/>
              <w:rPr>
                <w:rFonts w:ascii="Times New Roman" w:eastAsia="仿宋"/>
                <w:bCs/>
                <w:szCs w:val="21"/>
              </w:rPr>
            </w:pPr>
          </w:p>
        </w:tc>
        <w:tc>
          <w:tcPr>
            <w:tcW w:w="0" w:type="auto"/>
            <w:vAlign w:val="center"/>
          </w:tcPr>
          <w:p w14:paraId="7E3283D6">
            <w:pPr>
              <w:spacing w:line="300" w:lineRule="exact"/>
              <w:jc w:val="center"/>
              <w:rPr>
                <w:rFonts w:ascii="Times New Roman" w:eastAsia="仿宋"/>
                <w:bCs/>
                <w:szCs w:val="21"/>
              </w:rPr>
            </w:pPr>
            <w:r>
              <w:rPr>
                <w:rFonts w:hint="eastAsia" w:ascii="Times New Roman" w:eastAsia="仿宋"/>
                <w:bCs/>
                <w:szCs w:val="21"/>
              </w:rPr>
              <w:t>活性炭装填量</w:t>
            </w:r>
          </w:p>
        </w:tc>
        <w:tc>
          <w:tcPr>
            <w:tcW w:w="0" w:type="auto"/>
            <w:vAlign w:val="center"/>
          </w:tcPr>
          <w:p w14:paraId="296B93D9">
            <w:pPr>
              <w:spacing w:line="300" w:lineRule="exact"/>
              <w:jc w:val="center"/>
              <w:rPr>
                <w:rFonts w:ascii="Times New Roman" w:eastAsia="仿宋"/>
                <w:bCs/>
                <w:szCs w:val="21"/>
              </w:rPr>
            </w:pPr>
            <w:r>
              <w:rPr>
                <w:rFonts w:ascii="Times New Roman" w:eastAsia="仿宋"/>
                <w:bCs/>
                <w:szCs w:val="21"/>
              </w:rPr>
              <w:t>2.2t</w:t>
            </w:r>
          </w:p>
        </w:tc>
        <w:tc>
          <w:tcPr>
            <w:tcW w:w="831" w:type="pct"/>
            <w:vMerge w:val="continue"/>
            <w:vAlign w:val="center"/>
          </w:tcPr>
          <w:p w14:paraId="055D1EE7">
            <w:pPr>
              <w:snapToGrid w:val="0"/>
              <w:jc w:val="center"/>
              <w:rPr>
                <w:rFonts w:eastAsia="仿宋_GB2312"/>
                <w:szCs w:val="21"/>
              </w:rPr>
            </w:pPr>
          </w:p>
        </w:tc>
      </w:tr>
      <w:tr w14:paraId="45C0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745C1329">
            <w:pPr>
              <w:spacing w:line="300" w:lineRule="exact"/>
              <w:jc w:val="center"/>
              <w:rPr>
                <w:rFonts w:ascii="Times New Roman" w:eastAsia="仿宋"/>
                <w:bCs/>
                <w:szCs w:val="21"/>
              </w:rPr>
            </w:pPr>
          </w:p>
        </w:tc>
        <w:tc>
          <w:tcPr>
            <w:tcW w:w="0" w:type="auto"/>
            <w:vAlign w:val="center"/>
          </w:tcPr>
          <w:p w14:paraId="4AB355A0">
            <w:pPr>
              <w:spacing w:line="300" w:lineRule="exact"/>
              <w:jc w:val="center"/>
              <w:rPr>
                <w:rFonts w:ascii="Times New Roman" w:eastAsia="仿宋"/>
                <w:bCs/>
                <w:szCs w:val="21"/>
              </w:rPr>
            </w:pPr>
            <w:r>
              <w:rPr>
                <w:rFonts w:hint="eastAsia" w:ascii="Times New Roman" w:eastAsia="仿宋"/>
                <w:bCs/>
                <w:szCs w:val="21"/>
              </w:rPr>
              <w:t>脱附周期</w:t>
            </w:r>
          </w:p>
        </w:tc>
        <w:tc>
          <w:tcPr>
            <w:tcW w:w="0" w:type="auto"/>
            <w:vAlign w:val="center"/>
          </w:tcPr>
          <w:p w14:paraId="38810BD2">
            <w:pPr>
              <w:spacing w:line="300" w:lineRule="exact"/>
              <w:jc w:val="center"/>
              <w:rPr>
                <w:rFonts w:ascii="Times New Roman" w:eastAsia="仿宋"/>
                <w:bCs/>
                <w:szCs w:val="21"/>
              </w:rPr>
            </w:pPr>
            <w:r>
              <w:rPr>
                <w:rFonts w:ascii="Times New Roman" w:eastAsia="仿宋"/>
                <w:bCs/>
                <w:szCs w:val="21"/>
              </w:rPr>
              <w:t>2</w:t>
            </w:r>
            <w:r>
              <w:rPr>
                <w:rFonts w:hint="eastAsia" w:ascii="Times New Roman" w:eastAsia="仿宋"/>
                <w:bCs/>
                <w:szCs w:val="21"/>
              </w:rPr>
              <w:t>天</w:t>
            </w:r>
          </w:p>
        </w:tc>
        <w:tc>
          <w:tcPr>
            <w:tcW w:w="831" w:type="pct"/>
            <w:vMerge w:val="continue"/>
            <w:vAlign w:val="center"/>
          </w:tcPr>
          <w:p w14:paraId="682F4158">
            <w:pPr>
              <w:snapToGrid w:val="0"/>
              <w:jc w:val="center"/>
              <w:rPr>
                <w:rFonts w:eastAsia="仿宋_GB2312"/>
                <w:szCs w:val="21"/>
              </w:rPr>
            </w:pPr>
          </w:p>
        </w:tc>
      </w:tr>
      <w:tr w14:paraId="56F6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41" w:type="pct"/>
            <w:vMerge w:val="continue"/>
            <w:vAlign w:val="center"/>
          </w:tcPr>
          <w:p w14:paraId="5F469A6E">
            <w:pPr>
              <w:spacing w:line="300" w:lineRule="exact"/>
              <w:jc w:val="center"/>
              <w:rPr>
                <w:rFonts w:ascii="Times New Roman" w:eastAsia="仿宋"/>
                <w:bCs/>
                <w:szCs w:val="21"/>
              </w:rPr>
            </w:pPr>
          </w:p>
        </w:tc>
        <w:tc>
          <w:tcPr>
            <w:tcW w:w="0" w:type="auto"/>
            <w:vAlign w:val="center"/>
          </w:tcPr>
          <w:p w14:paraId="533D0F36">
            <w:pPr>
              <w:spacing w:line="300" w:lineRule="exact"/>
              <w:jc w:val="center"/>
              <w:rPr>
                <w:rFonts w:ascii="Times New Roman" w:eastAsia="仿宋"/>
                <w:bCs/>
                <w:szCs w:val="21"/>
              </w:rPr>
            </w:pPr>
            <w:r>
              <w:rPr>
                <w:rFonts w:hint="eastAsia" w:ascii="Times New Roman" w:eastAsia="仿宋"/>
                <w:bCs/>
                <w:szCs w:val="21"/>
              </w:rPr>
              <w:t>处理风量</w:t>
            </w:r>
          </w:p>
        </w:tc>
        <w:tc>
          <w:tcPr>
            <w:tcW w:w="0" w:type="auto"/>
            <w:vAlign w:val="center"/>
          </w:tcPr>
          <w:p w14:paraId="1AA35570">
            <w:pPr>
              <w:spacing w:line="300" w:lineRule="exact"/>
              <w:jc w:val="center"/>
              <w:rPr>
                <w:rFonts w:ascii="Times New Roman" w:eastAsia="仿宋"/>
                <w:bCs/>
                <w:szCs w:val="21"/>
              </w:rPr>
            </w:pPr>
            <w:r>
              <w:rPr>
                <w:rFonts w:hint="eastAsia" w:ascii="Times New Roman" w:eastAsia="仿宋"/>
                <w:bCs/>
                <w:szCs w:val="21"/>
              </w:rPr>
              <w:t>2</w:t>
            </w:r>
            <w:r>
              <w:rPr>
                <w:rFonts w:ascii="Times New Roman" w:eastAsia="仿宋"/>
                <w:bCs/>
                <w:szCs w:val="21"/>
              </w:rPr>
              <w:t>1</w:t>
            </w:r>
            <w:r>
              <w:rPr>
                <w:rFonts w:hint="eastAsia" w:ascii="Times New Roman" w:eastAsia="仿宋"/>
                <w:bCs/>
                <w:szCs w:val="21"/>
              </w:rPr>
              <w:t>000m</w:t>
            </w:r>
            <w:r>
              <w:rPr>
                <w:rFonts w:hint="eastAsia" w:ascii="Times New Roman" w:eastAsia="仿宋"/>
                <w:bCs/>
                <w:szCs w:val="21"/>
                <w:vertAlign w:val="superscript"/>
              </w:rPr>
              <w:t>3</w:t>
            </w:r>
            <w:r>
              <w:rPr>
                <w:rFonts w:hint="eastAsia" w:ascii="Times New Roman" w:eastAsia="仿宋"/>
                <w:bCs/>
                <w:szCs w:val="21"/>
              </w:rPr>
              <w:t>/h</w:t>
            </w:r>
          </w:p>
        </w:tc>
        <w:tc>
          <w:tcPr>
            <w:tcW w:w="831" w:type="pct"/>
            <w:vMerge w:val="continue"/>
            <w:vAlign w:val="center"/>
          </w:tcPr>
          <w:p w14:paraId="2D786C9B">
            <w:pPr>
              <w:snapToGrid w:val="0"/>
              <w:jc w:val="center"/>
              <w:rPr>
                <w:rFonts w:eastAsia="仿宋_GB2312"/>
                <w:szCs w:val="21"/>
              </w:rPr>
            </w:pPr>
          </w:p>
        </w:tc>
      </w:tr>
    </w:tbl>
    <w:p w14:paraId="509E8AE9">
      <w:pPr>
        <w:spacing w:line="500" w:lineRule="exact"/>
        <w:ind w:firstLine="562" w:firstLineChars="200"/>
        <w:rPr>
          <w:rFonts w:ascii="Times New Roman" w:eastAsia="仿宋"/>
          <w:b/>
          <w:bCs/>
          <w:sz w:val="28"/>
          <w:szCs w:val="28"/>
        </w:rPr>
      </w:pPr>
      <w:r>
        <w:rPr>
          <w:rFonts w:hint="eastAsia" w:ascii="Times New Roman" w:eastAsia="仿宋"/>
          <w:b/>
          <w:bCs/>
          <w:sz w:val="28"/>
          <w:szCs w:val="28"/>
        </w:rPr>
        <w:t>（3）干式过滤装置</w:t>
      </w:r>
    </w:p>
    <w:p w14:paraId="6E2CB1EC">
      <w:pPr>
        <w:spacing w:line="500" w:lineRule="exact"/>
        <w:ind w:firstLine="556"/>
        <w:rPr>
          <w:rFonts w:ascii="Times New Roman" w:eastAsia="仿宋"/>
          <w:sz w:val="28"/>
        </w:rPr>
      </w:pPr>
      <w:r>
        <w:rPr>
          <w:rFonts w:hint="eastAsia" w:ascii="Times New Roman" w:eastAsia="仿宋"/>
          <w:sz w:val="28"/>
        </w:rPr>
        <w:t>喷漆设备的排风系统中一般都已经配置有漆雾过滤系统，但由于漆雾、粉尘、水分的存在会影响活性炭的使用寿命，因此本方案在活性炭吸附床之前增加了一套干式过滤器，用于对有机废气中的漆雾、粉尘、水分进行进一步的过滤，漆雾过滤器由初效、中、高效三级过滤材料组成。</w:t>
      </w:r>
    </w:p>
    <w:p w14:paraId="41580EF7">
      <w:pPr>
        <w:spacing w:line="500" w:lineRule="exact"/>
        <w:ind w:firstLine="556"/>
        <w:rPr>
          <w:rFonts w:ascii="Times New Roman" w:eastAsia="仿宋"/>
          <w:b/>
          <w:sz w:val="28"/>
        </w:rPr>
      </w:pPr>
      <w:r>
        <w:rPr>
          <w:rFonts w:hint="eastAsia" w:ascii="Times New Roman" w:eastAsia="仿宋"/>
          <w:b/>
          <w:sz w:val="28"/>
        </w:rPr>
        <w:t>技术可行性分析</w:t>
      </w:r>
    </w:p>
    <w:p w14:paraId="05EB9AA7">
      <w:pPr>
        <w:spacing w:line="500" w:lineRule="exact"/>
        <w:ind w:firstLine="556"/>
        <w:rPr>
          <w:rFonts w:eastAsia="仿宋_GB2312"/>
          <w:sz w:val="28"/>
          <w:szCs w:val="28"/>
        </w:rPr>
      </w:pPr>
      <w:r>
        <w:rPr>
          <w:rFonts w:hint="eastAsia" w:ascii="Times New Roman" w:eastAsia="仿宋"/>
          <w:sz w:val="28"/>
        </w:rPr>
        <w:t>根据</w:t>
      </w:r>
      <w:r>
        <w:rPr>
          <w:rFonts w:eastAsia="仿宋_GB2312"/>
          <w:sz w:val="28"/>
          <w:szCs w:val="28"/>
        </w:rPr>
        <w:t>《排污许可证申请与核发技术规范汽车制造业》(HJ971-2018）中“表25汽车制造业废气污染治理推荐可行技术清单”</w:t>
      </w:r>
      <w:r>
        <w:rPr>
          <w:rFonts w:hint="eastAsia" w:eastAsia="仿宋_GB2312"/>
          <w:sz w:val="28"/>
          <w:szCs w:val="28"/>
        </w:rPr>
        <w:t>-涂装-喷漆-挥发性有机物可行技术为“吸附+热力焚烧/催化燃烧等”</w:t>
      </w:r>
      <w:r>
        <w:rPr>
          <w:rFonts w:eastAsia="仿宋_GB2312"/>
          <w:sz w:val="28"/>
          <w:szCs w:val="28"/>
        </w:rPr>
        <w:t>，</w:t>
      </w:r>
      <w:r>
        <w:rPr>
          <w:rFonts w:hint="eastAsia" w:eastAsia="仿宋_GB2312"/>
          <w:sz w:val="28"/>
          <w:szCs w:val="28"/>
        </w:rPr>
        <w:t>因此，本项目采用的废气污染防治措施“</w:t>
      </w:r>
      <w:r>
        <w:rPr>
          <w:rFonts w:hint="eastAsia" w:ascii="Times New Roman" w:eastAsia="仿宋"/>
          <w:sz w:val="28"/>
          <w:szCs w:val="28"/>
        </w:rPr>
        <w:t>水帘式循环过滤系统+水喷淋+干式过滤器+催化燃烧装置</w:t>
      </w:r>
      <w:r>
        <w:rPr>
          <w:rFonts w:hint="eastAsia" w:eastAsia="仿宋_GB2312"/>
          <w:sz w:val="28"/>
          <w:szCs w:val="28"/>
        </w:rPr>
        <w:t>”为可行技术。</w:t>
      </w:r>
    </w:p>
    <w:p w14:paraId="233C17E4">
      <w:pPr>
        <w:spacing w:line="500" w:lineRule="exact"/>
        <w:ind w:firstLine="556"/>
        <w:rPr>
          <w:rFonts w:ascii="Times New Roman" w:eastAsia="仿宋"/>
          <w:sz w:val="28"/>
        </w:rPr>
      </w:pPr>
      <w:r>
        <w:rPr>
          <w:rFonts w:hint="eastAsia" w:ascii="Times New Roman" w:eastAsia="仿宋"/>
          <w:sz w:val="28"/>
        </w:rPr>
        <w:t>同时，参考“江苏常柴机械有限公司轻型发动机及铸造搬迁项目</w:t>
      </w:r>
      <w:bookmarkStart w:id="397" w:name="_Hlk142226212"/>
      <w:r>
        <w:rPr>
          <w:rFonts w:hint="eastAsia" w:ascii="Times New Roman" w:eastAsia="仿宋"/>
          <w:sz w:val="28"/>
        </w:rPr>
        <w:t>竣工环境保护验收监测报告</w:t>
      </w:r>
      <w:bookmarkEnd w:id="397"/>
      <w:r>
        <w:rPr>
          <w:rFonts w:hint="eastAsia" w:ascii="Times New Roman" w:eastAsia="仿宋"/>
          <w:sz w:val="28"/>
        </w:rPr>
        <w:t>表”，该项目表面涂装过程产生的有机废气通过“活性炭吸附装置+CO装置”处理，根据该项目验收监测报告，相关监测数据结果如下。</w:t>
      </w:r>
    </w:p>
    <w:p w14:paraId="370764D9">
      <w:pPr>
        <w:spacing w:line="500" w:lineRule="exact"/>
        <w:jc w:val="center"/>
        <w:rPr>
          <w:rFonts w:ascii="Times New Roman" w:eastAsia="仿宋"/>
          <w:b/>
        </w:rPr>
      </w:pPr>
      <w:r>
        <w:rPr>
          <w:rFonts w:hint="eastAsia" w:ascii="Times New Roman" w:eastAsia="仿宋"/>
          <w:b/>
        </w:rPr>
        <w:t>表</w:t>
      </w:r>
      <w:r>
        <w:rPr>
          <w:rFonts w:ascii="Times New Roman" w:eastAsia="仿宋"/>
          <w:b/>
        </w:rPr>
        <w:t>6</w:t>
      </w:r>
      <w:r>
        <w:rPr>
          <w:rFonts w:hint="eastAsia" w:ascii="Times New Roman" w:eastAsia="仿宋"/>
          <w:b/>
        </w:rPr>
        <w:t>.</w:t>
      </w:r>
      <w:r>
        <w:rPr>
          <w:rFonts w:ascii="Times New Roman" w:eastAsia="仿宋"/>
          <w:b/>
        </w:rPr>
        <w:t>1</w:t>
      </w:r>
      <w:r>
        <w:rPr>
          <w:rFonts w:hint="eastAsia" w:ascii="Times New Roman" w:eastAsia="仿宋"/>
          <w:b/>
        </w:rPr>
        <w:t>-</w:t>
      </w:r>
      <w:r>
        <w:rPr>
          <w:rFonts w:ascii="Times New Roman" w:eastAsia="仿宋"/>
          <w:b/>
        </w:rPr>
        <w:t>2</w:t>
      </w:r>
      <w:r>
        <w:rPr>
          <w:rFonts w:hint="eastAsia" w:ascii="Times New Roman" w:eastAsia="仿宋"/>
          <w:b/>
        </w:rPr>
        <w:t xml:space="preserve"> </w:t>
      </w:r>
      <w:r>
        <w:rPr>
          <w:rFonts w:ascii="Times New Roman" w:eastAsia="仿宋"/>
          <w:b/>
        </w:rPr>
        <w:t xml:space="preserve"> </w:t>
      </w:r>
      <w:r>
        <w:rPr>
          <w:rFonts w:hint="eastAsia" w:ascii="Times New Roman" w:eastAsia="仿宋"/>
          <w:b/>
        </w:rPr>
        <w:t>有机废气治理设施实测净化效果案例分析</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99"/>
        <w:gridCol w:w="761"/>
        <w:gridCol w:w="2320"/>
        <w:gridCol w:w="1393"/>
        <w:gridCol w:w="1393"/>
        <w:gridCol w:w="1393"/>
      </w:tblGrid>
      <w:tr w14:paraId="5171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 w:hRule="atLeast"/>
          <w:jc w:val="center"/>
        </w:trPr>
        <w:tc>
          <w:tcPr>
            <w:tcW w:w="657" w:type="pct"/>
            <w:vAlign w:val="center"/>
          </w:tcPr>
          <w:p w14:paraId="6A232880">
            <w:pPr>
              <w:spacing w:line="300" w:lineRule="exact"/>
              <w:jc w:val="center"/>
              <w:rPr>
                <w:rFonts w:ascii="Times New Roman" w:eastAsia="仿宋"/>
                <w:bCs/>
                <w:szCs w:val="21"/>
              </w:rPr>
            </w:pPr>
            <w:r>
              <w:rPr>
                <w:rFonts w:hint="eastAsia" w:ascii="Times New Roman" w:eastAsia="仿宋"/>
                <w:bCs/>
                <w:szCs w:val="21"/>
              </w:rPr>
              <w:t>监测点位</w:t>
            </w:r>
          </w:p>
        </w:tc>
        <w:tc>
          <w:tcPr>
            <w:tcW w:w="1842" w:type="pct"/>
            <w:gridSpan w:val="2"/>
            <w:vAlign w:val="center"/>
          </w:tcPr>
          <w:p w14:paraId="0544A814">
            <w:pPr>
              <w:spacing w:line="300" w:lineRule="exact"/>
              <w:jc w:val="center"/>
              <w:rPr>
                <w:rFonts w:ascii="Times New Roman" w:eastAsia="仿宋"/>
                <w:bCs/>
                <w:szCs w:val="21"/>
              </w:rPr>
            </w:pPr>
            <w:r>
              <w:rPr>
                <w:rFonts w:hint="eastAsia" w:ascii="Times New Roman" w:eastAsia="仿宋"/>
                <w:bCs/>
                <w:szCs w:val="21"/>
              </w:rPr>
              <w:t>检测项目</w:t>
            </w:r>
          </w:p>
        </w:tc>
        <w:tc>
          <w:tcPr>
            <w:tcW w:w="833" w:type="pct"/>
            <w:vAlign w:val="center"/>
          </w:tcPr>
          <w:p w14:paraId="75EE681D">
            <w:pPr>
              <w:spacing w:line="300" w:lineRule="exact"/>
              <w:jc w:val="center"/>
              <w:rPr>
                <w:rFonts w:ascii="Times New Roman" w:eastAsia="仿宋"/>
                <w:bCs/>
                <w:szCs w:val="21"/>
              </w:rPr>
            </w:pPr>
            <w:r>
              <w:rPr>
                <w:rFonts w:hint="eastAsia" w:ascii="Times New Roman" w:eastAsia="仿宋"/>
                <w:bCs/>
                <w:szCs w:val="21"/>
              </w:rPr>
              <w:t>第一次</w:t>
            </w:r>
          </w:p>
        </w:tc>
        <w:tc>
          <w:tcPr>
            <w:tcW w:w="833" w:type="pct"/>
            <w:vAlign w:val="center"/>
          </w:tcPr>
          <w:p w14:paraId="3E5C081B">
            <w:pPr>
              <w:spacing w:line="300" w:lineRule="exact"/>
              <w:jc w:val="center"/>
              <w:rPr>
                <w:rFonts w:ascii="Times New Roman" w:eastAsia="仿宋"/>
                <w:bCs/>
                <w:szCs w:val="21"/>
              </w:rPr>
            </w:pPr>
            <w:r>
              <w:rPr>
                <w:rFonts w:hint="eastAsia" w:ascii="Times New Roman" w:eastAsia="仿宋"/>
                <w:bCs/>
                <w:szCs w:val="21"/>
              </w:rPr>
              <w:t>第二次</w:t>
            </w:r>
          </w:p>
        </w:tc>
        <w:tc>
          <w:tcPr>
            <w:tcW w:w="833" w:type="pct"/>
            <w:vAlign w:val="center"/>
          </w:tcPr>
          <w:p w14:paraId="12B2C6A6">
            <w:pPr>
              <w:spacing w:line="300" w:lineRule="exact"/>
              <w:jc w:val="center"/>
              <w:rPr>
                <w:rFonts w:ascii="Times New Roman" w:eastAsia="仿宋"/>
                <w:bCs/>
                <w:szCs w:val="21"/>
              </w:rPr>
            </w:pPr>
            <w:r>
              <w:rPr>
                <w:rFonts w:hint="eastAsia" w:ascii="Times New Roman" w:eastAsia="仿宋"/>
                <w:bCs/>
                <w:szCs w:val="21"/>
              </w:rPr>
              <w:t>第三次</w:t>
            </w:r>
          </w:p>
        </w:tc>
      </w:tr>
      <w:tr w14:paraId="407E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657" w:type="pct"/>
            <w:vMerge w:val="restart"/>
            <w:vAlign w:val="center"/>
          </w:tcPr>
          <w:p w14:paraId="68D043FD">
            <w:pPr>
              <w:spacing w:line="300" w:lineRule="exact"/>
              <w:jc w:val="center"/>
              <w:rPr>
                <w:rFonts w:ascii="Times New Roman" w:eastAsia="仿宋"/>
                <w:bCs/>
                <w:szCs w:val="21"/>
              </w:rPr>
            </w:pPr>
            <w:r>
              <w:rPr>
                <w:rFonts w:hint="eastAsia" w:ascii="Times New Roman" w:eastAsia="仿宋"/>
                <w:bCs/>
                <w:szCs w:val="21"/>
              </w:rPr>
              <w:t>废气处理装置进口</w:t>
            </w:r>
          </w:p>
        </w:tc>
        <w:tc>
          <w:tcPr>
            <w:tcW w:w="455" w:type="pct"/>
            <w:vMerge w:val="restart"/>
            <w:vAlign w:val="center"/>
          </w:tcPr>
          <w:p w14:paraId="21380A23">
            <w:pPr>
              <w:spacing w:line="300" w:lineRule="exact"/>
              <w:jc w:val="center"/>
              <w:rPr>
                <w:rFonts w:ascii="Times New Roman" w:eastAsia="仿宋"/>
                <w:bCs/>
                <w:szCs w:val="21"/>
              </w:rPr>
            </w:pPr>
            <w:r>
              <w:rPr>
                <w:rFonts w:hint="eastAsia" w:ascii="Times New Roman" w:eastAsia="仿宋"/>
                <w:bCs/>
                <w:szCs w:val="21"/>
              </w:rPr>
              <w:t>非甲烷总烃</w:t>
            </w:r>
          </w:p>
        </w:tc>
        <w:tc>
          <w:tcPr>
            <w:tcW w:w="1386" w:type="pct"/>
            <w:vAlign w:val="center"/>
          </w:tcPr>
          <w:p w14:paraId="5209FB8F">
            <w:pPr>
              <w:spacing w:line="300" w:lineRule="exact"/>
              <w:jc w:val="center"/>
              <w:rPr>
                <w:rFonts w:ascii="Times New Roman" w:eastAsia="仿宋"/>
                <w:bCs/>
                <w:szCs w:val="21"/>
              </w:rPr>
            </w:pPr>
            <w:r>
              <w:rPr>
                <w:rFonts w:hint="eastAsia" w:ascii="Times New Roman" w:eastAsia="仿宋"/>
                <w:bCs/>
                <w:szCs w:val="21"/>
              </w:rPr>
              <w:t>实测浓度（mg/m</w:t>
            </w:r>
            <w:r>
              <w:rPr>
                <w:rFonts w:hint="eastAsia" w:ascii="Times New Roman" w:eastAsia="仿宋"/>
                <w:bCs/>
                <w:szCs w:val="21"/>
                <w:vertAlign w:val="superscript"/>
              </w:rPr>
              <w:t>3</w:t>
            </w:r>
            <w:r>
              <w:rPr>
                <w:rFonts w:hint="eastAsia" w:ascii="Times New Roman" w:eastAsia="仿宋"/>
                <w:bCs/>
                <w:szCs w:val="21"/>
              </w:rPr>
              <w:t>）</w:t>
            </w:r>
          </w:p>
        </w:tc>
        <w:tc>
          <w:tcPr>
            <w:tcW w:w="833" w:type="pct"/>
            <w:vAlign w:val="center"/>
          </w:tcPr>
          <w:p w14:paraId="7529934C">
            <w:pPr>
              <w:spacing w:line="300" w:lineRule="exact"/>
              <w:jc w:val="center"/>
              <w:rPr>
                <w:rFonts w:ascii="Times New Roman" w:eastAsia="仿宋"/>
                <w:bCs/>
                <w:szCs w:val="21"/>
              </w:rPr>
            </w:pPr>
            <w:r>
              <w:rPr>
                <w:rFonts w:hint="eastAsia" w:ascii="Times New Roman" w:eastAsia="仿宋"/>
                <w:bCs/>
                <w:szCs w:val="21"/>
              </w:rPr>
              <w:t>0.150</w:t>
            </w:r>
          </w:p>
        </w:tc>
        <w:tc>
          <w:tcPr>
            <w:tcW w:w="833" w:type="pct"/>
            <w:vAlign w:val="center"/>
          </w:tcPr>
          <w:p w14:paraId="0DCE6B8A">
            <w:pPr>
              <w:spacing w:line="300" w:lineRule="exact"/>
              <w:jc w:val="center"/>
              <w:rPr>
                <w:rFonts w:ascii="Times New Roman" w:eastAsia="仿宋"/>
                <w:bCs/>
                <w:szCs w:val="21"/>
              </w:rPr>
            </w:pPr>
            <w:r>
              <w:rPr>
                <w:rFonts w:hint="eastAsia" w:ascii="Times New Roman" w:eastAsia="仿宋"/>
                <w:bCs/>
                <w:szCs w:val="21"/>
              </w:rPr>
              <w:t>0.955</w:t>
            </w:r>
          </w:p>
        </w:tc>
        <w:tc>
          <w:tcPr>
            <w:tcW w:w="833" w:type="pct"/>
            <w:vAlign w:val="center"/>
          </w:tcPr>
          <w:p w14:paraId="496A1D76">
            <w:pPr>
              <w:spacing w:line="300" w:lineRule="exact"/>
              <w:jc w:val="center"/>
              <w:rPr>
                <w:rFonts w:ascii="Times New Roman" w:eastAsia="仿宋"/>
                <w:bCs/>
                <w:szCs w:val="21"/>
              </w:rPr>
            </w:pPr>
            <w:r>
              <w:rPr>
                <w:rFonts w:hint="eastAsia" w:ascii="Times New Roman" w:eastAsia="仿宋"/>
                <w:bCs/>
                <w:szCs w:val="21"/>
              </w:rPr>
              <w:t>0.768</w:t>
            </w:r>
          </w:p>
        </w:tc>
      </w:tr>
      <w:tr w14:paraId="377B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657" w:type="pct"/>
            <w:vMerge w:val="continue"/>
            <w:vAlign w:val="center"/>
          </w:tcPr>
          <w:p w14:paraId="0293DDA0">
            <w:pPr>
              <w:spacing w:line="300" w:lineRule="exact"/>
              <w:jc w:val="center"/>
              <w:rPr>
                <w:rFonts w:ascii="Times New Roman" w:eastAsia="仿宋"/>
                <w:bCs/>
                <w:szCs w:val="21"/>
              </w:rPr>
            </w:pPr>
          </w:p>
        </w:tc>
        <w:tc>
          <w:tcPr>
            <w:tcW w:w="455" w:type="pct"/>
            <w:vMerge w:val="continue"/>
            <w:vAlign w:val="center"/>
          </w:tcPr>
          <w:p w14:paraId="337875EC">
            <w:pPr>
              <w:spacing w:line="300" w:lineRule="exact"/>
              <w:jc w:val="center"/>
              <w:rPr>
                <w:rFonts w:ascii="Times New Roman" w:eastAsia="仿宋"/>
                <w:bCs/>
                <w:szCs w:val="21"/>
              </w:rPr>
            </w:pPr>
          </w:p>
        </w:tc>
        <w:tc>
          <w:tcPr>
            <w:tcW w:w="1386" w:type="pct"/>
            <w:vAlign w:val="center"/>
          </w:tcPr>
          <w:p w14:paraId="7CABE528">
            <w:pPr>
              <w:spacing w:line="300" w:lineRule="exact"/>
              <w:jc w:val="center"/>
              <w:rPr>
                <w:rFonts w:ascii="Times New Roman" w:eastAsia="仿宋"/>
                <w:bCs/>
                <w:szCs w:val="21"/>
              </w:rPr>
            </w:pPr>
            <w:r>
              <w:rPr>
                <w:rFonts w:hint="eastAsia" w:ascii="Times New Roman" w:eastAsia="仿宋"/>
                <w:bCs/>
                <w:szCs w:val="21"/>
              </w:rPr>
              <w:t>排放速率（kg/h）</w:t>
            </w:r>
          </w:p>
        </w:tc>
        <w:tc>
          <w:tcPr>
            <w:tcW w:w="833" w:type="pct"/>
            <w:vAlign w:val="center"/>
          </w:tcPr>
          <w:p w14:paraId="7CDDBA55">
            <w:pPr>
              <w:spacing w:line="300" w:lineRule="exact"/>
              <w:jc w:val="center"/>
              <w:rPr>
                <w:rFonts w:ascii="Times New Roman" w:eastAsia="仿宋"/>
                <w:bCs/>
                <w:szCs w:val="21"/>
              </w:rPr>
            </w:pPr>
            <w:r>
              <w:rPr>
                <w:rFonts w:hint="eastAsia" w:ascii="Times New Roman" w:eastAsia="仿宋"/>
                <w:bCs/>
                <w:szCs w:val="21"/>
              </w:rPr>
              <w:t>4.04×10</w:t>
            </w:r>
            <w:r>
              <w:rPr>
                <w:rFonts w:hint="eastAsia" w:ascii="Times New Roman" w:eastAsia="仿宋"/>
                <w:bCs/>
                <w:szCs w:val="21"/>
                <w:vertAlign w:val="superscript"/>
              </w:rPr>
              <w:t>-3</w:t>
            </w:r>
          </w:p>
        </w:tc>
        <w:tc>
          <w:tcPr>
            <w:tcW w:w="833" w:type="pct"/>
            <w:vAlign w:val="center"/>
          </w:tcPr>
          <w:p w14:paraId="66836D17">
            <w:pPr>
              <w:spacing w:line="300" w:lineRule="exact"/>
              <w:jc w:val="center"/>
              <w:rPr>
                <w:rFonts w:ascii="Times New Roman" w:eastAsia="仿宋"/>
                <w:bCs/>
                <w:szCs w:val="21"/>
              </w:rPr>
            </w:pPr>
            <w:r>
              <w:rPr>
                <w:rFonts w:hint="eastAsia" w:ascii="Times New Roman" w:eastAsia="仿宋"/>
                <w:bCs/>
                <w:szCs w:val="21"/>
              </w:rPr>
              <w:t>2.61×10</w:t>
            </w:r>
            <w:r>
              <w:rPr>
                <w:rFonts w:hint="eastAsia" w:ascii="Times New Roman" w:eastAsia="仿宋"/>
                <w:bCs/>
                <w:szCs w:val="21"/>
                <w:vertAlign w:val="superscript"/>
              </w:rPr>
              <w:t>-2</w:t>
            </w:r>
          </w:p>
        </w:tc>
        <w:tc>
          <w:tcPr>
            <w:tcW w:w="833" w:type="pct"/>
            <w:vAlign w:val="center"/>
          </w:tcPr>
          <w:p w14:paraId="39DFE3C0">
            <w:pPr>
              <w:spacing w:line="300" w:lineRule="exact"/>
              <w:jc w:val="center"/>
              <w:rPr>
                <w:rFonts w:ascii="Times New Roman" w:eastAsia="仿宋"/>
                <w:bCs/>
                <w:szCs w:val="21"/>
              </w:rPr>
            </w:pPr>
            <w:r>
              <w:rPr>
                <w:rFonts w:hint="eastAsia" w:ascii="Times New Roman" w:eastAsia="仿宋"/>
                <w:bCs/>
                <w:szCs w:val="21"/>
              </w:rPr>
              <w:t>2.12×10</w:t>
            </w:r>
            <w:r>
              <w:rPr>
                <w:rFonts w:hint="eastAsia" w:ascii="Times New Roman" w:eastAsia="仿宋"/>
                <w:bCs/>
                <w:szCs w:val="21"/>
                <w:vertAlign w:val="superscript"/>
              </w:rPr>
              <w:t>-2</w:t>
            </w:r>
          </w:p>
        </w:tc>
      </w:tr>
      <w:tr w14:paraId="0AD6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657" w:type="pct"/>
            <w:vMerge w:val="restart"/>
            <w:vAlign w:val="center"/>
          </w:tcPr>
          <w:p w14:paraId="6F7A5946">
            <w:pPr>
              <w:spacing w:line="300" w:lineRule="exact"/>
              <w:jc w:val="center"/>
              <w:rPr>
                <w:rFonts w:ascii="Times New Roman" w:eastAsia="仿宋"/>
                <w:bCs/>
                <w:szCs w:val="21"/>
              </w:rPr>
            </w:pPr>
            <w:r>
              <w:rPr>
                <w:rFonts w:hint="eastAsia" w:ascii="Times New Roman" w:eastAsia="仿宋"/>
                <w:bCs/>
                <w:szCs w:val="21"/>
              </w:rPr>
              <w:t>废气装置出口</w:t>
            </w:r>
          </w:p>
        </w:tc>
        <w:tc>
          <w:tcPr>
            <w:tcW w:w="455" w:type="pct"/>
            <w:vMerge w:val="continue"/>
            <w:vAlign w:val="center"/>
          </w:tcPr>
          <w:p w14:paraId="40F8E459">
            <w:pPr>
              <w:spacing w:line="300" w:lineRule="exact"/>
              <w:jc w:val="center"/>
              <w:rPr>
                <w:rFonts w:ascii="Times New Roman" w:eastAsia="仿宋"/>
                <w:bCs/>
                <w:szCs w:val="21"/>
              </w:rPr>
            </w:pPr>
          </w:p>
        </w:tc>
        <w:tc>
          <w:tcPr>
            <w:tcW w:w="1386" w:type="pct"/>
            <w:vAlign w:val="center"/>
          </w:tcPr>
          <w:p w14:paraId="75D71E74">
            <w:pPr>
              <w:spacing w:line="300" w:lineRule="exact"/>
              <w:jc w:val="center"/>
              <w:rPr>
                <w:rFonts w:ascii="Times New Roman" w:eastAsia="仿宋"/>
                <w:bCs/>
                <w:szCs w:val="21"/>
              </w:rPr>
            </w:pPr>
            <w:r>
              <w:rPr>
                <w:rFonts w:hint="eastAsia" w:ascii="Times New Roman" w:eastAsia="仿宋"/>
                <w:bCs/>
                <w:szCs w:val="21"/>
              </w:rPr>
              <w:t>实测浓度（mg/m</w:t>
            </w:r>
            <w:r>
              <w:rPr>
                <w:rFonts w:hint="eastAsia" w:ascii="Times New Roman" w:eastAsia="仿宋"/>
                <w:bCs/>
                <w:szCs w:val="21"/>
                <w:vertAlign w:val="superscript"/>
              </w:rPr>
              <w:t>3</w:t>
            </w:r>
            <w:r>
              <w:rPr>
                <w:rFonts w:hint="eastAsia" w:ascii="Times New Roman" w:eastAsia="仿宋"/>
                <w:bCs/>
                <w:szCs w:val="21"/>
              </w:rPr>
              <w:t>）</w:t>
            </w:r>
          </w:p>
        </w:tc>
        <w:tc>
          <w:tcPr>
            <w:tcW w:w="833" w:type="pct"/>
            <w:vAlign w:val="center"/>
          </w:tcPr>
          <w:p w14:paraId="0F0D7055">
            <w:pPr>
              <w:spacing w:line="300" w:lineRule="exact"/>
              <w:jc w:val="center"/>
              <w:rPr>
                <w:rFonts w:ascii="Times New Roman" w:eastAsia="仿宋"/>
                <w:bCs/>
                <w:szCs w:val="21"/>
              </w:rPr>
            </w:pPr>
            <w:r>
              <w:rPr>
                <w:rFonts w:hint="eastAsia" w:ascii="Times New Roman" w:eastAsia="仿宋"/>
                <w:bCs/>
                <w:szCs w:val="21"/>
              </w:rPr>
              <w:t>0.007</w:t>
            </w:r>
          </w:p>
        </w:tc>
        <w:tc>
          <w:tcPr>
            <w:tcW w:w="833" w:type="pct"/>
            <w:vAlign w:val="center"/>
          </w:tcPr>
          <w:p w14:paraId="4F660019">
            <w:pPr>
              <w:spacing w:line="300" w:lineRule="exact"/>
              <w:jc w:val="center"/>
              <w:rPr>
                <w:rFonts w:ascii="Times New Roman" w:eastAsia="仿宋"/>
                <w:bCs/>
                <w:szCs w:val="21"/>
              </w:rPr>
            </w:pPr>
            <w:r>
              <w:rPr>
                <w:rFonts w:hint="eastAsia" w:ascii="Times New Roman" w:eastAsia="仿宋"/>
                <w:bCs/>
                <w:szCs w:val="21"/>
              </w:rPr>
              <w:t>0.001</w:t>
            </w:r>
          </w:p>
        </w:tc>
        <w:tc>
          <w:tcPr>
            <w:tcW w:w="833" w:type="pct"/>
            <w:vAlign w:val="center"/>
          </w:tcPr>
          <w:p w14:paraId="193BB704">
            <w:pPr>
              <w:spacing w:line="300" w:lineRule="exact"/>
              <w:jc w:val="center"/>
              <w:rPr>
                <w:rFonts w:ascii="Times New Roman" w:eastAsia="仿宋"/>
                <w:bCs/>
                <w:szCs w:val="21"/>
              </w:rPr>
            </w:pPr>
            <w:r>
              <w:rPr>
                <w:rFonts w:hint="eastAsia" w:ascii="Times New Roman" w:eastAsia="仿宋"/>
                <w:bCs/>
                <w:szCs w:val="21"/>
              </w:rPr>
              <w:t>0.003</w:t>
            </w:r>
          </w:p>
        </w:tc>
      </w:tr>
      <w:tr w14:paraId="2128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657" w:type="pct"/>
            <w:vMerge w:val="continue"/>
            <w:vAlign w:val="center"/>
          </w:tcPr>
          <w:p w14:paraId="3D6FD973">
            <w:pPr>
              <w:spacing w:line="300" w:lineRule="exact"/>
              <w:jc w:val="center"/>
              <w:rPr>
                <w:rFonts w:ascii="Times New Roman" w:eastAsia="仿宋"/>
                <w:bCs/>
                <w:szCs w:val="21"/>
              </w:rPr>
            </w:pPr>
          </w:p>
        </w:tc>
        <w:tc>
          <w:tcPr>
            <w:tcW w:w="455" w:type="pct"/>
            <w:vMerge w:val="continue"/>
            <w:vAlign w:val="center"/>
          </w:tcPr>
          <w:p w14:paraId="0CFBCD70">
            <w:pPr>
              <w:spacing w:line="300" w:lineRule="exact"/>
              <w:jc w:val="center"/>
              <w:rPr>
                <w:rFonts w:ascii="Times New Roman" w:eastAsia="仿宋"/>
                <w:bCs/>
                <w:szCs w:val="21"/>
              </w:rPr>
            </w:pPr>
          </w:p>
        </w:tc>
        <w:tc>
          <w:tcPr>
            <w:tcW w:w="1386" w:type="pct"/>
            <w:vAlign w:val="center"/>
          </w:tcPr>
          <w:p w14:paraId="008D42F5">
            <w:pPr>
              <w:spacing w:line="300" w:lineRule="exact"/>
              <w:jc w:val="center"/>
              <w:rPr>
                <w:rFonts w:ascii="Times New Roman" w:eastAsia="仿宋"/>
                <w:bCs/>
                <w:szCs w:val="21"/>
              </w:rPr>
            </w:pPr>
            <w:r>
              <w:rPr>
                <w:rFonts w:hint="eastAsia" w:ascii="Times New Roman" w:eastAsia="仿宋"/>
                <w:bCs/>
                <w:szCs w:val="21"/>
              </w:rPr>
              <w:t>排放速率（kg/h）</w:t>
            </w:r>
          </w:p>
        </w:tc>
        <w:tc>
          <w:tcPr>
            <w:tcW w:w="833" w:type="pct"/>
            <w:vAlign w:val="center"/>
          </w:tcPr>
          <w:p w14:paraId="5CD8A83D">
            <w:pPr>
              <w:spacing w:line="300" w:lineRule="exact"/>
              <w:jc w:val="center"/>
              <w:rPr>
                <w:rFonts w:ascii="Times New Roman" w:eastAsia="仿宋"/>
                <w:bCs/>
                <w:szCs w:val="21"/>
              </w:rPr>
            </w:pPr>
            <w:r>
              <w:rPr>
                <w:rFonts w:hint="eastAsia" w:ascii="Times New Roman" w:eastAsia="仿宋"/>
                <w:bCs/>
                <w:szCs w:val="21"/>
              </w:rPr>
              <w:t>2.34×10</w:t>
            </w:r>
            <w:r>
              <w:rPr>
                <w:rFonts w:hint="eastAsia" w:ascii="Times New Roman" w:eastAsia="仿宋"/>
                <w:bCs/>
                <w:szCs w:val="21"/>
                <w:vertAlign w:val="superscript"/>
              </w:rPr>
              <w:t>-4</w:t>
            </w:r>
          </w:p>
        </w:tc>
        <w:tc>
          <w:tcPr>
            <w:tcW w:w="833" w:type="pct"/>
            <w:vAlign w:val="center"/>
          </w:tcPr>
          <w:p w14:paraId="51596B0D">
            <w:pPr>
              <w:spacing w:line="300" w:lineRule="exact"/>
              <w:jc w:val="center"/>
              <w:rPr>
                <w:rFonts w:ascii="Times New Roman" w:eastAsia="仿宋"/>
                <w:bCs/>
                <w:szCs w:val="21"/>
              </w:rPr>
            </w:pPr>
            <w:r>
              <w:rPr>
                <w:rFonts w:hint="eastAsia" w:ascii="Times New Roman" w:eastAsia="仿宋"/>
                <w:bCs/>
                <w:szCs w:val="21"/>
              </w:rPr>
              <w:t>3.39×10</w:t>
            </w:r>
            <w:r>
              <w:rPr>
                <w:rFonts w:hint="eastAsia" w:ascii="Times New Roman" w:eastAsia="仿宋"/>
                <w:bCs/>
                <w:szCs w:val="21"/>
                <w:vertAlign w:val="superscript"/>
              </w:rPr>
              <w:t>-5</w:t>
            </w:r>
          </w:p>
        </w:tc>
        <w:tc>
          <w:tcPr>
            <w:tcW w:w="833" w:type="pct"/>
            <w:vAlign w:val="center"/>
          </w:tcPr>
          <w:p w14:paraId="34D3EDA1">
            <w:pPr>
              <w:spacing w:line="300" w:lineRule="exact"/>
              <w:jc w:val="center"/>
              <w:rPr>
                <w:rFonts w:ascii="Times New Roman" w:eastAsia="仿宋"/>
                <w:bCs/>
                <w:szCs w:val="21"/>
              </w:rPr>
            </w:pPr>
            <w:r>
              <w:rPr>
                <w:rFonts w:hint="eastAsia" w:ascii="Times New Roman" w:eastAsia="仿宋"/>
                <w:bCs/>
                <w:szCs w:val="21"/>
              </w:rPr>
              <w:t>9.48×10</w:t>
            </w:r>
            <w:r>
              <w:rPr>
                <w:rFonts w:hint="eastAsia" w:ascii="Times New Roman" w:eastAsia="仿宋"/>
                <w:bCs/>
                <w:szCs w:val="21"/>
                <w:vertAlign w:val="superscript"/>
              </w:rPr>
              <w:t>-5</w:t>
            </w:r>
          </w:p>
        </w:tc>
      </w:tr>
      <w:tr w14:paraId="3289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657" w:type="pct"/>
            <w:vMerge w:val="continue"/>
            <w:vAlign w:val="center"/>
          </w:tcPr>
          <w:p w14:paraId="65D1AFD3">
            <w:pPr>
              <w:spacing w:line="300" w:lineRule="exact"/>
              <w:jc w:val="center"/>
              <w:rPr>
                <w:rFonts w:ascii="Times New Roman" w:eastAsia="仿宋"/>
                <w:bCs/>
                <w:szCs w:val="21"/>
              </w:rPr>
            </w:pPr>
          </w:p>
        </w:tc>
        <w:tc>
          <w:tcPr>
            <w:tcW w:w="455" w:type="pct"/>
            <w:vMerge w:val="continue"/>
            <w:vAlign w:val="center"/>
          </w:tcPr>
          <w:p w14:paraId="4E2F6658">
            <w:pPr>
              <w:spacing w:line="300" w:lineRule="exact"/>
              <w:jc w:val="center"/>
              <w:rPr>
                <w:rFonts w:ascii="Times New Roman" w:eastAsia="仿宋"/>
                <w:bCs/>
                <w:szCs w:val="21"/>
              </w:rPr>
            </w:pPr>
          </w:p>
        </w:tc>
        <w:tc>
          <w:tcPr>
            <w:tcW w:w="1386" w:type="pct"/>
            <w:vAlign w:val="center"/>
          </w:tcPr>
          <w:p w14:paraId="2818A513">
            <w:pPr>
              <w:spacing w:line="300" w:lineRule="exact"/>
              <w:jc w:val="center"/>
              <w:rPr>
                <w:rFonts w:ascii="Times New Roman" w:eastAsia="仿宋"/>
                <w:bCs/>
                <w:szCs w:val="21"/>
              </w:rPr>
            </w:pPr>
            <w:r>
              <w:rPr>
                <w:rFonts w:hint="eastAsia" w:ascii="Times New Roman" w:eastAsia="仿宋"/>
                <w:bCs/>
                <w:szCs w:val="21"/>
              </w:rPr>
              <w:t>处理效率（%）</w:t>
            </w:r>
          </w:p>
        </w:tc>
        <w:tc>
          <w:tcPr>
            <w:tcW w:w="833" w:type="pct"/>
            <w:vAlign w:val="center"/>
          </w:tcPr>
          <w:p w14:paraId="4F6A3C96">
            <w:pPr>
              <w:spacing w:line="300" w:lineRule="exact"/>
              <w:jc w:val="center"/>
              <w:rPr>
                <w:rFonts w:ascii="Times New Roman" w:eastAsia="仿宋"/>
                <w:bCs/>
                <w:szCs w:val="21"/>
              </w:rPr>
            </w:pPr>
            <w:r>
              <w:rPr>
                <w:rFonts w:hint="eastAsia" w:ascii="Times New Roman" w:eastAsia="仿宋"/>
                <w:bCs/>
                <w:szCs w:val="21"/>
              </w:rPr>
              <w:t>95.3</w:t>
            </w:r>
          </w:p>
        </w:tc>
        <w:tc>
          <w:tcPr>
            <w:tcW w:w="833" w:type="pct"/>
            <w:vAlign w:val="center"/>
          </w:tcPr>
          <w:p w14:paraId="1D22626F">
            <w:pPr>
              <w:spacing w:line="300" w:lineRule="exact"/>
              <w:jc w:val="center"/>
              <w:rPr>
                <w:rFonts w:ascii="Times New Roman" w:eastAsia="仿宋"/>
                <w:bCs/>
                <w:szCs w:val="21"/>
              </w:rPr>
            </w:pPr>
            <w:r>
              <w:rPr>
                <w:rFonts w:hint="eastAsia" w:ascii="Times New Roman" w:eastAsia="仿宋"/>
                <w:bCs/>
                <w:szCs w:val="21"/>
              </w:rPr>
              <w:t>99.9</w:t>
            </w:r>
          </w:p>
        </w:tc>
        <w:tc>
          <w:tcPr>
            <w:tcW w:w="833" w:type="pct"/>
            <w:vAlign w:val="center"/>
          </w:tcPr>
          <w:p w14:paraId="2238EBAB">
            <w:pPr>
              <w:spacing w:line="300" w:lineRule="exact"/>
              <w:jc w:val="center"/>
              <w:rPr>
                <w:rFonts w:ascii="Times New Roman" w:eastAsia="仿宋"/>
                <w:bCs/>
                <w:szCs w:val="21"/>
              </w:rPr>
            </w:pPr>
            <w:r>
              <w:rPr>
                <w:rFonts w:hint="eastAsia" w:ascii="Times New Roman" w:eastAsia="仿宋"/>
                <w:bCs/>
                <w:szCs w:val="21"/>
              </w:rPr>
              <w:t>99.6</w:t>
            </w:r>
          </w:p>
        </w:tc>
      </w:tr>
    </w:tbl>
    <w:p w14:paraId="4B747B34">
      <w:pPr>
        <w:spacing w:line="500" w:lineRule="exact"/>
        <w:ind w:firstLine="556"/>
        <w:rPr>
          <w:rFonts w:ascii="Times New Roman" w:eastAsia="仿宋"/>
          <w:sz w:val="28"/>
        </w:rPr>
      </w:pPr>
      <w:r>
        <w:rPr>
          <w:rFonts w:hint="eastAsia" w:ascii="Times New Roman" w:eastAsia="仿宋"/>
          <w:sz w:val="28"/>
        </w:rPr>
        <w:t>根据上表计算可知，该套废气治理设施对非甲烷总烃平均去除效率达9</w:t>
      </w:r>
      <w:r>
        <w:rPr>
          <w:rFonts w:ascii="Times New Roman" w:eastAsia="仿宋"/>
          <w:sz w:val="28"/>
        </w:rPr>
        <w:t>5%</w:t>
      </w:r>
      <w:r>
        <w:rPr>
          <w:rFonts w:hint="eastAsia" w:ascii="Times New Roman" w:eastAsia="仿宋"/>
          <w:sz w:val="28"/>
        </w:rPr>
        <w:t>以上。</w:t>
      </w:r>
    </w:p>
    <w:p w14:paraId="10E19266">
      <w:pPr>
        <w:spacing w:line="500" w:lineRule="exact"/>
        <w:ind w:firstLine="556"/>
        <w:rPr>
          <w:rFonts w:ascii="Times New Roman" w:eastAsia="仿宋"/>
          <w:sz w:val="28"/>
        </w:rPr>
      </w:pPr>
      <w:r>
        <w:rPr>
          <w:rFonts w:hint="eastAsia" w:ascii="Times New Roman" w:eastAsia="仿宋"/>
          <w:sz w:val="28"/>
        </w:rPr>
        <w:t>本次项目使用活性炭对有机物进行吸附，主要净化机理是活性炭对有机废气的物理吸附性能，活性炭比表面积大，达到700~1600m</w:t>
      </w:r>
      <w:r>
        <w:rPr>
          <w:rFonts w:hint="eastAsia" w:ascii="Times New Roman" w:eastAsia="仿宋"/>
          <w:sz w:val="28"/>
          <w:vertAlign w:val="superscript"/>
        </w:rPr>
        <w:t>2</w:t>
      </w:r>
      <w:r>
        <w:rPr>
          <w:rFonts w:hint="eastAsia" w:ascii="Times New Roman" w:eastAsia="仿宋"/>
          <w:sz w:val="28"/>
        </w:rPr>
        <w:t>/g，空隙容积达到0.7~1.0cm</w:t>
      </w:r>
      <w:r>
        <w:rPr>
          <w:rFonts w:hint="eastAsia" w:ascii="Times New Roman" w:eastAsia="仿宋"/>
          <w:sz w:val="28"/>
          <w:vertAlign w:val="superscript"/>
        </w:rPr>
        <w:t>3</w:t>
      </w:r>
      <w:r>
        <w:rPr>
          <w:rFonts w:hint="eastAsia" w:ascii="Times New Roman" w:eastAsia="仿宋"/>
          <w:sz w:val="28"/>
        </w:rPr>
        <w:t>/g，活性炭过滤采用气相型吸附活性炭作为吸附材料，被广泛用于处理含有甲苯、二甲苯、酚类、酯类、醇类、醛类等有机气体及恶臭气体和含有微量重金属的低浓度、大风量的各类气体。参考《北汽（广州）汽车有限公司自主品牌乘用车技术改造项目竣工环境保护验收监测报告》，该项目总装车间补漆室采用活性炭吸附对补漆废气进行处理，根据监测结果，VOCs排放浓度最高为2.89mg/m</w:t>
      </w:r>
      <w:r>
        <w:rPr>
          <w:rFonts w:hint="eastAsia" w:ascii="Times New Roman" w:eastAsia="仿宋"/>
          <w:sz w:val="28"/>
          <w:vertAlign w:val="superscript"/>
        </w:rPr>
        <w:t>3</w:t>
      </w:r>
      <w:r>
        <w:rPr>
          <w:rFonts w:hint="eastAsia" w:ascii="Times New Roman" w:eastAsia="仿宋"/>
          <w:sz w:val="28"/>
        </w:rPr>
        <w:t>，远小于标准限值。本项目与该项目废气处理工艺相似，经处理后的喷涂间废气中各污染物排放浓度能满足</w:t>
      </w:r>
      <w:r>
        <w:rPr>
          <w:rFonts w:ascii="Times New Roman" w:eastAsia="仿宋"/>
          <w:sz w:val="28"/>
        </w:rPr>
        <w:t>《</w:t>
      </w:r>
      <w:r>
        <w:rPr>
          <w:rFonts w:hint="eastAsia" w:ascii="Times New Roman" w:eastAsia="仿宋"/>
          <w:sz w:val="28"/>
        </w:rPr>
        <w:t>表面涂装（汽车零部件）大气污染物排放标准</w:t>
      </w:r>
      <w:r>
        <w:rPr>
          <w:rFonts w:ascii="Times New Roman" w:eastAsia="仿宋"/>
          <w:sz w:val="28"/>
        </w:rPr>
        <w:t>》（DB 32/</w:t>
      </w:r>
      <w:r>
        <w:rPr>
          <w:rFonts w:hint="eastAsia" w:ascii="Times New Roman" w:eastAsia="仿宋"/>
          <w:sz w:val="28"/>
        </w:rPr>
        <w:t>3966</w:t>
      </w:r>
      <w:r>
        <w:rPr>
          <w:rFonts w:ascii="Times New Roman" w:eastAsia="仿宋"/>
          <w:sz w:val="28"/>
        </w:rPr>
        <w:t>-202</w:t>
      </w:r>
      <w:r>
        <w:rPr>
          <w:rFonts w:hint="eastAsia" w:ascii="Times New Roman" w:eastAsia="仿宋"/>
          <w:sz w:val="28"/>
        </w:rPr>
        <w:t>1</w:t>
      </w:r>
      <w:r>
        <w:rPr>
          <w:rFonts w:ascii="Times New Roman" w:eastAsia="仿宋"/>
          <w:sz w:val="28"/>
        </w:rPr>
        <w:t>）</w:t>
      </w:r>
      <w:r>
        <w:rPr>
          <w:rFonts w:hint="eastAsia" w:ascii="Times New Roman" w:eastAsia="仿宋"/>
          <w:sz w:val="28"/>
        </w:rPr>
        <w:t>表1相关限值要求，因此技术上是可行的。</w:t>
      </w:r>
    </w:p>
    <w:p w14:paraId="1C698B0E">
      <w:pPr>
        <w:spacing w:line="500" w:lineRule="exact"/>
        <w:ind w:firstLine="556"/>
        <w:rPr>
          <w:rFonts w:ascii="Times New Roman" w:eastAsia="仿宋"/>
          <w:sz w:val="28"/>
        </w:rPr>
      </w:pPr>
      <w:r>
        <w:rPr>
          <w:rFonts w:hint="eastAsia" w:ascii="Times New Roman" w:eastAsia="仿宋"/>
          <w:sz w:val="28"/>
        </w:rPr>
        <w:t>根据《排放源统计调查产排污核算方法和系数手册》中3</w:t>
      </w:r>
      <w:r>
        <w:rPr>
          <w:rFonts w:ascii="Times New Roman" w:eastAsia="仿宋"/>
          <w:sz w:val="28"/>
        </w:rPr>
        <w:t>6</w:t>
      </w:r>
      <w:r>
        <w:rPr>
          <w:rFonts w:hint="eastAsia" w:ascii="Times New Roman" w:eastAsia="仿宋"/>
          <w:sz w:val="28"/>
        </w:rPr>
        <w:t>、汽车制造业中涂装工序采用吸附法处理有机废气的处理效率为7</w:t>
      </w:r>
      <w:r>
        <w:rPr>
          <w:rFonts w:ascii="Times New Roman" w:eastAsia="仿宋"/>
          <w:sz w:val="28"/>
        </w:rPr>
        <w:t>7%</w:t>
      </w:r>
      <w:r>
        <w:rPr>
          <w:rFonts w:hint="eastAsia" w:ascii="Times New Roman" w:eastAsia="仿宋"/>
          <w:sz w:val="28"/>
        </w:rPr>
        <w:t>，因此三级活性炭吸附有机废气的处理效率可达到9</w:t>
      </w:r>
      <w:r>
        <w:rPr>
          <w:rFonts w:ascii="Times New Roman" w:eastAsia="仿宋"/>
          <w:sz w:val="28"/>
        </w:rPr>
        <w:t>8%</w:t>
      </w:r>
      <w:r>
        <w:rPr>
          <w:rFonts w:hint="eastAsia" w:ascii="Times New Roman" w:eastAsia="仿宋"/>
          <w:sz w:val="28"/>
        </w:rPr>
        <w:t>，本项目</w:t>
      </w:r>
      <w:r>
        <w:rPr>
          <w:rFonts w:ascii="Times New Roman" w:eastAsia="仿宋"/>
          <w:sz w:val="28"/>
        </w:rPr>
        <w:t>废气处置装置效率</w:t>
      </w:r>
      <w:r>
        <w:rPr>
          <w:rFonts w:hint="eastAsia" w:ascii="Times New Roman" w:eastAsia="仿宋"/>
          <w:sz w:val="28"/>
        </w:rPr>
        <w:t>见下表。</w:t>
      </w:r>
    </w:p>
    <w:p w14:paraId="15D04A47">
      <w:pPr>
        <w:spacing w:line="500" w:lineRule="exact"/>
        <w:jc w:val="center"/>
        <w:rPr>
          <w:rFonts w:ascii="Times New Roman" w:eastAsia="仿宋"/>
          <w:b/>
        </w:rPr>
      </w:pPr>
      <w:r>
        <w:rPr>
          <w:rFonts w:hint="eastAsia" w:ascii="Times New Roman" w:eastAsia="仿宋"/>
          <w:b/>
        </w:rPr>
        <w:t>表6.1-</w:t>
      </w:r>
      <w:r>
        <w:rPr>
          <w:rFonts w:ascii="Times New Roman" w:eastAsia="仿宋"/>
          <w:b/>
        </w:rPr>
        <w:t>3</w:t>
      </w:r>
      <w:r>
        <w:rPr>
          <w:rFonts w:hint="eastAsia" w:ascii="Times New Roman" w:eastAsia="仿宋"/>
          <w:b/>
        </w:rPr>
        <w:t xml:space="preserve">   本项目</w:t>
      </w:r>
      <w:r>
        <w:rPr>
          <w:rFonts w:ascii="Times New Roman" w:eastAsia="仿宋"/>
          <w:b/>
        </w:rPr>
        <w:t>废气处置装置效率表</w:t>
      </w:r>
    </w:p>
    <w:tbl>
      <w:tblPr>
        <w:tblStyle w:val="87"/>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4"/>
        <w:gridCol w:w="1428"/>
        <w:gridCol w:w="1186"/>
        <w:gridCol w:w="2869"/>
        <w:gridCol w:w="1400"/>
      </w:tblGrid>
      <w:tr w14:paraId="2696A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Merge w:val="restart"/>
            <w:shd w:val="clear" w:color="auto" w:fill="auto"/>
            <w:vAlign w:val="center"/>
          </w:tcPr>
          <w:p w14:paraId="7400DCB8">
            <w:pPr>
              <w:spacing w:line="300" w:lineRule="exact"/>
              <w:jc w:val="center"/>
              <w:rPr>
                <w:rFonts w:ascii="Times New Roman" w:eastAsia="仿宋"/>
                <w:bCs/>
                <w:szCs w:val="21"/>
              </w:rPr>
            </w:pPr>
            <w:r>
              <w:rPr>
                <w:rFonts w:ascii="Times New Roman" w:eastAsia="仿宋"/>
                <w:bCs/>
                <w:szCs w:val="21"/>
              </w:rPr>
              <w:t>废气类型</w:t>
            </w:r>
          </w:p>
        </w:tc>
        <w:tc>
          <w:tcPr>
            <w:tcW w:w="1428" w:type="dxa"/>
            <w:shd w:val="clear" w:color="auto" w:fill="auto"/>
            <w:vAlign w:val="center"/>
          </w:tcPr>
          <w:p w14:paraId="2803FFFB">
            <w:pPr>
              <w:spacing w:line="300" w:lineRule="exact"/>
              <w:jc w:val="center"/>
              <w:rPr>
                <w:rFonts w:ascii="Times New Roman" w:eastAsia="仿宋"/>
                <w:bCs/>
                <w:szCs w:val="21"/>
              </w:rPr>
            </w:pPr>
            <w:r>
              <w:rPr>
                <w:rFonts w:hint="eastAsia" w:ascii="Times New Roman" w:eastAsia="仿宋"/>
                <w:bCs/>
                <w:szCs w:val="21"/>
              </w:rPr>
              <w:t>三级活性炭</w:t>
            </w:r>
            <w:r>
              <w:rPr>
                <w:rFonts w:ascii="Times New Roman" w:eastAsia="仿宋"/>
                <w:bCs/>
                <w:szCs w:val="21"/>
              </w:rPr>
              <w:t>吸附</w:t>
            </w:r>
          </w:p>
        </w:tc>
        <w:tc>
          <w:tcPr>
            <w:tcW w:w="1186" w:type="dxa"/>
            <w:shd w:val="clear" w:color="auto" w:fill="auto"/>
            <w:vAlign w:val="center"/>
          </w:tcPr>
          <w:p w14:paraId="3A9780EC">
            <w:pPr>
              <w:spacing w:line="300" w:lineRule="exact"/>
              <w:jc w:val="center"/>
              <w:rPr>
                <w:rFonts w:ascii="Times New Roman" w:eastAsia="仿宋"/>
                <w:bCs/>
                <w:szCs w:val="21"/>
              </w:rPr>
            </w:pPr>
            <w:r>
              <w:rPr>
                <w:rFonts w:hint="eastAsia" w:ascii="Times New Roman" w:eastAsia="仿宋"/>
                <w:bCs/>
                <w:szCs w:val="21"/>
              </w:rPr>
              <w:t>脱附</w:t>
            </w:r>
          </w:p>
        </w:tc>
        <w:tc>
          <w:tcPr>
            <w:tcW w:w="2869" w:type="dxa"/>
            <w:shd w:val="clear" w:color="auto" w:fill="auto"/>
            <w:vAlign w:val="center"/>
          </w:tcPr>
          <w:p w14:paraId="6A84C853">
            <w:pPr>
              <w:spacing w:line="300" w:lineRule="exact"/>
              <w:jc w:val="center"/>
              <w:rPr>
                <w:rFonts w:ascii="Times New Roman" w:eastAsia="仿宋"/>
                <w:bCs/>
                <w:szCs w:val="21"/>
              </w:rPr>
            </w:pPr>
            <w:r>
              <w:rPr>
                <w:rFonts w:hint="eastAsia" w:ascii="Times New Roman" w:eastAsia="仿宋"/>
                <w:bCs/>
                <w:szCs w:val="21"/>
              </w:rPr>
              <w:t>催化燃烧</w:t>
            </w:r>
          </w:p>
        </w:tc>
        <w:tc>
          <w:tcPr>
            <w:tcW w:w="1400" w:type="dxa"/>
            <w:shd w:val="clear" w:color="auto" w:fill="auto"/>
            <w:vAlign w:val="center"/>
          </w:tcPr>
          <w:p w14:paraId="6002C276">
            <w:pPr>
              <w:spacing w:line="300" w:lineRule="exact"/>
              <w:jc w:val="center"/>
              <w:rPr>
                <w:rFonts w:ascii="Times New Roman" w:eastAsia="仿宋"/>
                <w:bCs/>
                <w:szCs w:val="21"/>
              </w:rPr>
            </w:pPr>
            <w:r>
              <w:rPr>
                <w:rFonts w:ascii="Times New Roman" w:eastAsia="仿宋"/>
                <w:bCs/>
                <w:szCs w:val="21"/>
              </w:rPr>
              <w:t>合计</w:t>
            </w:r>
          </w:p>
        </w:tc>
      </w:tr>
      <w:tr w14:paraId="53369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Merge w:val="continue"/>
            <w:shd w:val="clear" w:color="auto" w:fill="auto"/>
            <w:vAlign w:val="center"/>
          </w:tcPr>
          <w:p w14:paraId="0B7EAA7B">
            <w:pPr>
              <w:spacing w:line="300" w:lineRule="exact"/>
              <w:jc w:val="center"/>
              <w:rPr>
                <w:rFonts w:ascii="Times New Roman" w:eastAsia="仿宋"/>
                <w:bCs/>
                <w:szCs w:val="21"/>
              </w:rPr>
            </w:pPr>
          </w:p>
        </w:tc>
        <w:tc>
          <w:tcPr>
            <w:tcW w:w="1428" w:type="dxa"/>
            <w:shd w:val="clear" w:color="auto" w:fill="auto"/>
            <w:vAlign w:val="center"/>
          </w:tcPr>
          <w:p w14:paraId="71A2AAC1">
            <w:pPr>
              <w:spacing w:line="300" w:lineRule="exact"/>
              <w:jc w:val="center"/>
              <w:rPr>
                <w:rFonts w:ascii="Times New Roman" w:eastAsia="仿宋"/>
                <w:bCs/>
                <w:szCs w:val="21"/>
              </w:rPr>
            </w:pPr>
            <w:r>
              <w:rPr>
                <w:rFonts w:ascii="Times New Roman" w:eastAsia="仿宋"/>
                <w:bCs/>
                <w:szCs w:val="21"/>
              </w:rPr>
              <w:t>去除率%</w:t>
            </w:r>
          </w:p>
        </w:tc>
        <w:tc>
          <w:tcPr>
            <w:tcW w:w="1186" w:type="dxa"/>
            <w:shd w:val="clear" w:color="auto" w:fill="auto"/>
            <w:vAlign w:val="center"/>
          </w:tcPr>
          <w:p w14:paraId="3B013FEF">
            <w:pPr>
              <w:spacing w:line="300" w:lineRule="exact"/>
              <w:jc w:val="center"/>
              <w:rPr>
                <w:rFonts w:ascii="Times New Roman" w:eastAsia="仿宋"/>
                <w:bCs/>
                <w:szCs w:val="21"/>
              </w:rPr>
            </w:pPr>
            <w:r>
              <w:rPr>
                <w:rFonts w:ascii="Times New Roman" w:eastAsia="仿宋"/>
                <w:bCs/>
                <w:szCs w:val="21"/>
              </w:rPr>
              <w:t>去除率%</w:t>
            </w:r>
          </w:p>
        </w:tc>
        <w:tc>
          <w:tcPr>
            <w:tcW w:w="2869" w:type="dxa"/>
            <w:shd w:val="clear" w:color="auto" w:fill="auto"/>
            <w:vAlign w:val="center"/>
          </w:tcPr>
          <w:p w14:paraId="04F03408">
            <w:pPr>
              <w:spacing w:line="300" w:lineRule="exact"/>
              <w:jc w:val="center"/>
              <w:rPr>
                <w:rFonts w:ascii="Times New Roman" w:eastAsia="仿宋"/>
                <w:bCs/>
                <w:szCs w:val="21"/>
              </w:rPr>
            </w:pPr>
            <w:r>
              <w:rPr>
                <w:rFonts w:ascii="Times New Roman" w:eastAsia="仿宋"/>
                <w:bCs/>
                <w:szCs w:val="21"/>
              </w:rPr>
              <w:t>对</w:t>
            </w:r>
            <w:r>
              <w:rPr>
                <w:rFonts w:hint="eastAsia" w:ascii="Times New Roman" w:eastAsia="仿宋"/>
                <w:bCs/>
                <w:szCs w:val="21"/>
              </w:rPr>
              <w:t>吸附</w:t>
            </w:r>
            <w:r>
              <w:rPr>
                <w:rFonts w:ascii="Times New Roman" w:eastAsia="仿宋"/>
                <w:bCs/>
                <w:szCs w:val="21"/>
              </w:rPr>
              <w:t>脱附废气的去除率%</w:t>
            </w:r>
          </w:p>
        </w:tc>
        <w:tc>
          <w:tcPr>
            <w:tcW w:w="1400" w:type="dxa"/>
            <w:shd w:val="clear" w:color="auto" w:fill="auto"/>
            <w:vAlign w:val="center"/>
          </w:tcPr>
          <w:p w14:paraId="389B4001">
            <w:pPr>
              <w:spacing w:line="300" w:lineRule="exact"/>
              <w:jc w:val="center"/>
              <w:rPr>
                <w:rFonts w:ascii="Times New Roman" w:eastAsia="仿宋"/>
                <w:bCs/>
                <w:szCs w:val="21"/>
              </w:rPr>
            </w:pPr>
            <w:r>
              <w:rPr>
                <w:rFonts w:ascii="Times New Roman" w:eastAsia="仿宋"/>
                <w:bCs/>
                <w:szCs w:val="21"/>
              </w:rPr>
              <w:t>去除率%</w:t>
            </w:r>
          </w:p>
        </w:tc>
      </w:tr>
      <w:tr w14:paraId="049E9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shd w:val="clear" w:color="auto" w:fill="auto"/>
            <w:vAlign w:val="center"/>
          </w:tcPr>
          <w:p w14:paraId="72FCC562">
            <w:pPr>
              <w:spacing w:line="300" w:lineRule="exact"/>
              <w:jc w:val="center"/>
              <w:rPr>
                <w:rFonts w:ascii="Times New Roman" w:eastAsia="仿宋"/>
                <w:bCs/>
                <w:szCs w:val="21"/>
              </w:rPr>
            </w:pPr>
            <w:r>
              <w:rPr>
                <w:rFonts w:ascii="Times New Roman" w:eastAsia="仿宋"/>
                <w:bCs/>
                <w:szCs w:val="21"/>
              </w:rPr>
              <w:t>VOCs</w:t>
            </w:r>
          </w:p>
        </w:tc>
        <w:tc>
          <w:tcPr>
            <w:tcW w:w="1428" w:type="dxa"/>
            <w:shd w:val="clear" w:color="auto" w:fill="auto"/>
            <w:vAlign w:val="center"/>
          </w:tcPr>
          <w:p w14:paraId="0137D88D">
            <w:pPr>
              <w:spacing w:line="300" w:lineRule="exact"/>
              <w:jc w:val="center"/>
              <w:rPr>
                <w:rFonts w:ascii="Times New Roman" w:eastAsia="仿宋"/>
                <w:bCs/>
                <w:szCs w:val="21"/>
              </w:rPr>
            </w:pPr>
            <w:r>
              <w:rPr>
                <w:rFonts w:hint="eastAsia" w:ascii="Times New Roman" w:eastAsia="仿宋"/>
                <w:bCs/>
                <w:szCs w:val="21"/>
              </w:rPr>
              <w:t>9</w:t>
            </w:r>
            <w:r>
              <w:rPr>
                <w:rFonts w:ascii="Times New Roman" w:eastAsia="仿宋"/>
                <w:bCs/>
                <w:szCs w:val="21"/>
              </w:rPr>
              <w:t>8%</w:t>
            </w:r>
          </w:p>
        </w:tc>
        <w:tc>
          <w:tcPr>
            <w:tcW w:w="1186" w:type="dxa"/>
            <w:shd w:val="clear" w:color="auto" w:fill="auto"/>
            <w:vAlign w:val="center"/>
          </w:tcPr>
          <w:p w14:paraId="207F6573">
            <w:pPr>
              <w:spacing w:line="300" w:lineRule="exact"/>
              <w:jc w:val="center"/>
              <w:rPr>
                <w:rFonts w:ascii="Times New Roman" w:eastAsia="仿宋"/>
                <w:bCs/>
                <w:szCs w:val="21"/>
              </w:rPr>
            </w:pPr>
            <w:r>
              <w:rPr>
                <w:rFonts w:hint="eastAsia" w:ascii="Times New Roman" w:eastAsia="仿宋"/>
                <w:bCs/>
                <w:szCs w:val="21"/>
              </w:rPr>
              <w:t>/</w:t>
            </w:r>
          </w:p>
        </w:tc>
        <w:tc>
          <w:tcPr>
            <w:tcW w:w="2869" w:type="dxa"/>
            <w:shd w:val="clear" w:color="auto" w:fill="auto"/>
            <w:vAlign w:val="center"/>
          </w:tcPr>
          <w:p w14:paraId="6EA7970B">
            <w:pPr>
              <w:spacing w:line="300" w:lineRule="exact"/>
              <w:jc w:val="center"/>
              <w:rPr>
                <w:rFonts w:ascii="Times New Roman" w:eastAsia="仿宋"/>
                <w:bCs/>
                <w:szCs w:val="21"/>
              </w:rPr>
            </w:pPr>
            <w:r>
              <w:rPr>
                <w:rFonts w:ascii="Times New Roman" w:eastAsia="仿宋"/>
                <w:bCs/>
                <w:szCs w:val="21"/>
              </w:rPr>
              <w:t>97%</w:t>
            </w:r>
          </w:p>
        </w:tc>
        <w:tc>
          <w:tcPr>
            <w:tcW w:w="1400" w:type="dxa"/>
            <w:shd w:val="clear" w:color="auto" w:fill="auto"/>
            <w:vAlign w:val="center"/>
          </w:tcPr>
          <w:p w14:paraId="7FCA78F8">
            <w:pPr>
              <w:spacing w:line="300" w:lineRule="exact"/>
              <w:jc w:val="center"/>
              <w:rPr>
                <w:rFonts w:ascii="Times New Roman" w:eastAsia="仿宋"/>
                <w:bCs/>
                <w:szCs w:val="21"/>
              </w:rPr>
            </w:pPr>
            <w:r>
              <w:rPr>
                <w:rFonts w:ascii="Times New Roman" w:eastAsia="仿宋"/>
                <w:bCs/>
                <w:szCs w:val="21"/>
              </w:rPr>
              <w:t>95.06%</w:t>
            </w:r>
          </w:p>
        </w:tc>
      </w:tr>
    </w:tbl>
    <w:p w14:paraId="5FE6E842">
      <w:pPr>
        <w:spacing w:line="500" w:lineRule="exact"/>
        <w:ind w:firstLine="556"/>
        <w:rPr>
          <w:rFonts w:ascii="Times New Roman" w:eastAsia="仿宋"/>
          <w:sz w:val="28"/>
        </w:rPr>
      </w:pPr>
      <w:r>
        <w:rPr>
          <w:rFonts w:hint="eastAsia" w:ascii="Times New Roman" w:eastAsia="仿宋"/>
          <w:sz w:val="28"/>
        </w:rPr>
        <w:t>根据上述，企业废气处理设施“活性炭吸附脱附+催化燃烧装置”对有机废气的处理效率在95%以上，故本环评对废气处理效率保守取值9</w:t>
      </w:r>
      <w:r>
        <w:rPr>
          <w:rFonts w:ascii="Times New Roman" w:eastAsia="仿宋"/>
          <w:sz w:val="28"/>
        </w:rPr>
        <w:t>5</w:t>
      </w:r>
      <w:r>
        <w:rPr>
          <w:rFonts w:hint="eastAsia" w:ascii="Times New Roman" w:eastAsia="仿宋"/>
          <w:sz w:val="28"/>
        </w:rPr>
        <w:t>%是可行的。</w:t>
      </w:r>
    </w:p>
    <w:p w14:paraId="748DDBA0">
      <w:pPr>
        <w:spacing w:line="500" w:lineRule="exact"/>
        <w:ind w:firstLine="556"/>
        <w:rPr>
          <w:rFonts w:ascii="Times New Roman" w:eastAsia="仿宋"/>
          <w:b/>
          <w:bCs/>
          <w:sz w:val="28"/>
        </w:rPr>
      </w:pPr>
      <w:r>
        <w:rPr>
          <w:rFonts w:hint="eastAsia" w:ascii="Times New Roman" w:eastAsia="仿宋"/>
          <w:b/>
          <w:bCs/>
          <w:sz w:val="28"/>
        </w:rPr>
        <w:t>（3）滤筒除尘器</w:t>
      </w:r>
    </w:p>
    <w:p w14:paraId="0D017C47">
      <w:pPr>
        <w:spacing w:line="500" w:lineRule="exact"/>
        <w:ind w:firstLine="556"/>
        <w:rPr>
          <w:rFonts w:ascii="Times New Roman" w:eastAsia="仿宋"/>
          <w:sz w:val="28"/>
        </w:rPr>
      </w:pPr>
      <w:r>
        <w:rPr>
          <w:rFonts w:hint="eastAsia" w:ascii="Times New Roman" w:eastAsia="仿宋"/>
          <w:sz w:val="28"/>
        </w:rPr>
        <w:t>滤筒除尘器：</w:t>
      </w:r>
      <w:r>
        <w:fldChar w:fldCharType="begin"/>
      </w:r>
      <w:r>
        <w:instrText xml:space="preserve"> HYPERLINK "https://baike.baidu.com/item/%E5%90%AB%E5%B0%98%E6%B0%94%E4%BD%93/53607822?fromModule=lemma_inlink" \t "https://baike.baidu.com/item/%E6%BB%A4%E7%AD%92%E9%99%A4%E5%B0%98%E5%99%A8/_blank" </w:instrText>
      </w:r>
      <w:r>
        <w:fldChar w:fldCharType="separate"/>
      </w:r>
      <w:r>
        <w:rPr>
          <w:rFonts w:ascii="Times New Roman" w:eastAsia="仿宋"/>
          <w:sz w:val="28"/>
        </w:rPr>
        <w:t>含尘气体</w:t>
      </w:r>
      <w:r>
        <w:rPr>
          <w:rFonts w:ascii="Times New Roman" w:eastAsia="仿宋"/>
          <w:sz w:val="28"/>
        </w:rPr>
        <w:fldChar w:fldCharType="end"/>
      </w:r>
      <w:r>
        <w:rPr>
          <w:rFonts w:ascii="Times New Roman" w:eastAsia="仿宋"/>
          <w:sz w:val="28"/>
        </w:rPr>
        <w:t>进入除尘器灰斗后，由于气流断面突然扩大及</w:t>
      </w:r>
      <w:r>
        <w:fldChar w:fldCharType="begin"/>
      </w:r>
      <w:r>
        <w:instrText xml:space="preserve"> HYPERLINK "https://baike.baidu.com/item/%E6%B0%94%E6%B5%81%E5%88%86%E5%B8%83/5887291?fromModule=lemma_inlink" \t "https://baike.baidu.com/item/%E6%BB%A4%E7%AD%92%E9%99%A4%E5%B0%98%E5%99%A8/_blank" </w:instrText>
      </w:r>
      <w:r>
        <w:fldChar w:fldCharType="separate"/>
      </w:r>
      <w:r>
        <w:rPr>
          <w:rFonts w:ascii="Times New Roman" w:eastAsia="仿宋"/>
          <w:sz w:val="28"/>
        </w:rPr>
        <w:t>气流分布</w:t>
      </w:r>
      <w:r>
        <w:rPr>
          <w:rFonts w:ascii="Times New Roman" w:eastAsia="仿宋"/>
          <w:sz w:val="28"/>
        </w:rPr>
        <w:fldChar w:fldCharType="end"/>
      </w:r>
      <w:r>
        <w:rPr>
          <w:rFonts w:ascii="Times New Roman" w:eastAsia="仿宋"/>
          <w:sz w:val="28"/>
        </w:rPr>
        <w:t>板作用，气流中一部分粗大颗粒在动和</w:t>
      </w:r>
      <w:r>
        <w:fldChar w:fldCharType="begin"/>
      </w:r>
      <w:r>
        <w:instrText xml:space="preserve"> HYPERLINK "https://baike.baidu.com/item/%E6%83%AF%E6%80%A7%E5%8A%9B/99880?fromModule=lemma_inlink" \t "https://baike.baidu.com/item/%E6%BB%A4%E7%AD%92%E9%99%A4%E5%B0%98%E5%99%A8/_blank" </w:instrText>
      </w:r>
      <w:r>
        <w:fldChar w:fldCharType="separate"/>
      </w:r>
      <w:r>
        <w:rPr>
          <w:rFonts w:ascii="Times New Roman" w:eastAsia="仿宋"/>
          <w:sz w:val="28"/>
        </w:rPr>
        <w:t>惯性力</w:t>
      </w:r>
      <w:r>
        <w:rPr>
          <w:rFonts w:ascii="Times New Roman" w:eastAsia="仿宋"/>
          <w:sz w:val="28"/>
        </w:rPr>
        <w:fldChar w:fldCharType="end"/>
      </w:r>
      <w:r>
        <w:rPr>
          <w:rFonts w:ascii="Times New Roman" w:eastAsia="仿宋"/>
          <w:sz w:val="28"/>
        </w:rPr>
        <w:t>作用下沉降在灰斗；粒度细、密度小的尘粒进入滤尘室后，通过布朗扩散和筛滤等组合效应，使粉尘沉积在滤料表面上，净化后的气体进入净气室由</w:t>
      </w:r>
      <w:r>
        <w:fldChar w:fldCharType="begin"/>
      </w:r>
      <w:r>
        <w:instrText xml:space="preserve"> HYPERLINK "https://baike.baidu.com/item/%E6%8E%92%E6%B0%94%E7%AE%A1/6591407?fromModule=lemma_inlink" \t "https://baike.baidu.com/item/%E6%BB%A4%E7%AD%92%E9%99%A4%E5%B0%98%E5%99%A8/_blank" </w:instrText>
      </w:r>
      <w:r>
        <w:fldChar w:fldCharType="separate"/>
      </w:r>
      <w:r>
        <w:rPr>
          <w:rFonts w:ascii="Times New Roman" w:eastAsia="仿宋"/>
          <w:sz w:val="28"/>
        </w:rPr>
        <w:t>排气管</w:t>
      </w:r>
      <w:r>
        <w:rPr>
          <w:rFonts w:ascii="Times New Roman" w:eastAsia="仿宋"/>
          <w:sz w:val="28"/>
        </w:rPr>
        <w:fldChar w:fldCharType="end"/>
      </w:r>
      <w:r>
        <w:rPr>
          <w:rFonts w:ascii="Times New Roman" w:eastAsia="仿宋"/>
          <w:sz w:val="28"/>
        </w:rPr>
        <w:t>经风机排出。滤筒采用</w:t>
      </w:r>
      <w:r>
        <w:fldChar w:fldCharType="begin"/>
      </w:r>
      <w:r>
        <w:instrText xml:space="preserve"> HYPERLINK "https://baike.baidu.com/item/%E8%81%9A%E9%85%AF%E7%BA%A4%E7%BB%B4/10919395?fromModule=lemma_inlink" \t "https://baike.baidu.com/item/%E6%BB%A4%E7%AD%92%E9%99%A4%E5%B0%98%E5%99%A8/_blank" </w:instrText>
      </w:r>
      <w:r>
        <w:fldChar w:fldCharType="separate"/>
      </w:r>
      <w:r>
        <w:rPr>
          <w:rFonts w:ascii="Times New Roman" w:eastAsia="仿宋"/>
          <w:sz w:val="28"/>
        </w:rPr>
        <w:t>聚酯纤维</w:t>
      </w:r>
      <w:r>
        <w:rPr>
          <w:rFonts w:ascii="Times New Roman" w:eastAsia="仿宋"/>
          <w:sz w:val="28"/>
        </w:rPr>
        <w:fldChar w:fldCharType="end"/>
      </w:r>
      <w:r>
        <w:rPr>
          <w:rFonts w:ascii="Times New Roman" w:eastAsia="仿宋"/>
          <w:sz w:val="28"/>
        </w:rPr>
        <w:t>作为滤料，把一层</w:t>
      </w:r>
      <w:r>
        <w:fldChar w:fldCharType="begin"/>
      </w:r>
      <w:r>
        <w:instrText xml:space="preserve"> HYPERLINK "https://baike.baidu.com/item/%E4%BA%9A%E5%BE%AE%E7%B1%B3/5437890?fromModule=lemma_inlink" \t "https://baike.baidu.com/item/%E6%BB%A4%E7%AD%92%E9%99%A4%E5%B0%98%E5%99%A8/_blank" </w:instrText>
      </w:r>
      <w:r>
        <w:fldChar w:fldCharType="separate"/>
      </w:r>
      <w:r>
        <w:rPr>
          <w:rFonts w:ascii="Times New Roman" w:eastAsia="仿宋"/>
          <w:sz w:val="28"/>
        </w:rPr>
        <w:t>亚微米</w:t>
      </w:r>
      <w:r>
        <w:rPr>
          <w:rFonts w:ascii="Times New Roman" w:eastAsia="仿宋"/>
          <w:sz w:val="28"/>
        </w:rPr>
        <w:fldChar w:fldCharType="end"/>
      </w:r>
      <w:r>
        <w:rPr>
          <w:rFonts w:ascii="Times New Roman" w:eastAsia="仿宋"/>
          <w:sz w:val="28"/>
        </w:rPr>
        <w:t>级的超薄纤维粘附在一般滤料上，并且在该粘附层上纤维间的排列非常紧密，极小的</w:t>
      </w:r>
      <w:r>
        <w:fldChar w:fldCharType="begin"/>
      </w:r>
      <w:r>
        <w:instrText xml:space="preserve"> HYPERLINK "https://baike.baidu.com/item/%E7%AD%9B%E5%AD%94/7272804?fromModule=lemma_inlink" \t "https://baike.baidu.com/item/%E6%BB%A4%E7%AD%92%E9%99%A4%E5%B0%98%E5%99%A8/_blank" </w:instrText>
      </w:r>
      <w:r>
        <w:fldChar w:fldCharType="separate"/>
      </w:r>
      <w:r>
        <w:rPr>
          <w:rFonts w:ascii="Times New Roman" w:eastAsia="仿宋"/>
          <w:sz w:val="28"/>
        </w:rPr>
        <w:t>筛孔</w:t>
      </w:r>
      <w:r>
        <w:rPr>
          <w:rFonts w:ascii="Times New Roman" w:eastAsia="仿宋"/>
          <w:sz w:val="28"/>
        </w:rPr>
        <w:fldChar w:fldCharType="end"/>
      </w:r>
      <w:r>
        <w:rPr>
          <w:rFonts w:ascii="Times New Roman" w:eastAsia="仿宋"/>
          <w:sz w:val="28"/>
        </w:rPr>
        <w:t>可把大部分亚微米级的尘粒阻挡在滤料表面</w:t>
      </w:r>
      <w:r>
        <w:rPr>
          <w:rFonts w:hint="eastAsia" w:ascii="Times New Roman" w:eastAsia="仿宋"/>
          <w:sz w:val="28"/>
        </w:rPr>
        <w:t>。滤筒除尘器一般除尘效率可达90以上。</w:t>
      </w:r>
    </w:p>
    <w:p w14:paraId="1918FE1A">
      <w:pPr>
        <w:spacing w:line="500" w:lineRule="exact"/>
        <w:ind w:firstLine="556"/>
        <w:rPr>
          <w:rFonts w:ascii="Times New Roman" w:eastAsia="仿宋"/>
          <w:sz w:val="28"/>
        </w:rPr>
      </w:pPr>
      <w:r>
        <w:rPr>
          <w:rFonts w:hint="eastAsia" w:ascii="Times New Roman" w:eastAsia="仿宋"/>
          <w:sz w:val="28"/>
        </w:rPr>
        <w:t>本项目喷粉过程产生的颗粒物采用“滤筒除尘器”组合两级除尘工艺处理，对粉尘的效率保守取9</w:t>
      </w:r>
      <w:r>
        <w:rPr>
          <w:rFonts w:ascii="Times New Roman" w:eastAsia="仿宋"/>
          <w:sz w:val="28"/>
        </w:rPr>
        <w:t>0</w:t>
      </w:r>
      <w:r>
        <w:rPr>
          <w:rFonts w:hint="eastAsia" w:ascii="Times New Roman" w:eastAsia="仿宋"/>
          <w:sz w:val="28"/>
        </w:rPr>
        <w:t>%可行。</w:t>
      </w:r>
    </w:p>
    <w:p w14:paraId="1BAD57CC">
      <w:pPr>
        <w:spacing w:line="500" w:lineRule="exact"/>
        <w:ind w:firstLine="556"/>
        <w:rPr>
          <w:rFonts w:ascii="Times New Roman" w:eastAsia="仿宋"/>
          <w:b/>
          <w:bCs/>
          <w:sz w:val="28"/>
        </w:rPr>
      </w:pPr>
      <w:r>
        <w:rPr>
          <w:rFonts w:hint="eastAsia" w:ascii="Times New Roman" w:eastAsia="仿宋"/>
          <w:b/>
          <w:bCs/>
          <w:sz w:val="28"/>
        </w:rPr>
        <w:t>（4）湿式除尘</w:t>
      </w:r>
    </w:p>
    <w:p w14:paraId="5F2789C8">
      <w:pPr>
        <w:spacing w:line="500" w:lineRule="exact"/>
        <w:ind w:firstLine="556"/>
        <w:rPr>
          <w:rFonts w:ascii="Times New Roman" w:eastAsia="仿宋"/>
          <w:sz w:val="28"/>
        </w:rPr>
      </w:pPr>
      <w:r>
        <w:rPr>
          <w:rFonts w:hint="eastAsia" w:ascii="Times New Roman" w:eastAsia="仿宋"/>
          <w:sz w:val="28"/>
        </w:rPr>
        <w:t>对照国家污染防治技术指导目录(2024年，限制类和淘汰类)分析湿式除尘装置豁免范围为：(1)易燃易爆粉尘气体洗涤净化;(2)高温高湿、易结露，黏性，含油，水溶性粉尘气体除尘;(3)预除尘。本项目涉及的粉尘主要为铝粉尘，为易爆粉尘，因此属于豁免范围。</w:t>
      </w:r>
    </w:p>
    <w:p w14:paraId="04A6CAF3">
      <w:pPr>
        <w:spacing w:line="500" w:lineRule="exact"/>
        <w:ind w:firstLine="556"/>
        <w:rPr>
          <w:rFonts w:ascii="Times New Roman" w:eastAsia="仿宋"/>
          <w:sz w:val="28"/>
        </w:rPr>
      </w:pPr>
      <w:r>
        <w:rPr>
          <w:rFonts w:hint="eastAsia" w:eastAsia="仿宋_GB2312"/>
          <w:sz w:val="28"/>
          <w:szCs w:val="28"/>
        </w:rPr>
        <w:t>湿式除尘器：</w:t>
      </w:r>
      <w:r>
        <w:rPr>
          <w:rFonts w:hint="eastAsia" w:ascii="Times New Roman" w:eastAsia="仿宋"/>
          <w:sz w:val="28"/>
        </w:rPr>
        <w:t>湿式除尘器利用高效湿式原理设计，携带粉尘的气流在切向进入除尘器前，需通过设有洗涤液体喷淋的湿式喉口。气流在湿式喉口急剧加速，液体气化。气流和液体的相对运动使得充分混合，粉尘或污染物与液滴集聚。在加速离心液滴分离器中，带有颗粒物的液滴从气流中被分离出来。而净化的空气经消旋器有效消旋排出到设于净气侧的风机。分离出来的污染物根据其特点通过相应方式收集。滤筒除尘器一般除尘效率可达</w:t>
      </w:r>
      <w:r>
        <w:rPr>
          <w:rFonts w:ascii="Times New Roman" w:eastAsia="仿宋"/>
          <w:sz w:val="28"/>
        </w:rPr>
        <w:t>80%</w:t>
      </w:r>
      <w:r>
        <w:rPr>
          <w:rFonts w:hint="eastAsia" w:ascii="Times New Roman" w:eastAsia="仿宋"/>
          <w:sz w:val="28"/>
        </w:rPr>
        <w:t>以上。</w:t>
      </w:r>
    </w:p>
    <w:p w14:paraId="5DD34551">
      <w:pPr>
        <w:spacing w:line="500" w:lineRule="exact"/>
        <w:ind w:firstLine="556"/>
        <w:rPr>
          <w:rFonts w:ascii="Times New Roman" w:eastAsia="仿宋"/>
          <w:b/>
          <w:bCs/>
          <w:sz w:val="28"/>
        </w:rPr>
      </w:pPr>
      <w:r>
        <w:rPr>
          <w:rFonts w:hint="eastAsia" w:ascii="Times New Roman" w:eastAsia="仿宋"/>
          <w:b/>
          <w:bCs/>
          <w:sz w:val="28"/>
        </w:rPr>
        <w:t>（5）废气收集风量计算可行性</w:t>
      </w:r>
    </w:p>
    <w:p w14:paraId="5A1C90CC">
      <w:pPr>
        <w:snapToGrid w:val="0"/>
        <w:spacing w:line="500" w:lineRule="exact"/>
        <w:ind w:firstLine="561"/>
        <w:rPr>
          <w:rFonts w:eastAsia="仿宋_GB2312"/>
          <w:sz w:val="28"/>
          <w:szCs w:val="28"/>
        </w:rPr>
      </w:pPr>
      <w:r>
        <w:rPr>
          <w:rFonts w:eastAsia="仿宋_GB2312"/>
          <w:sz w:val="28"/>
          <w:szCs w:val="28"/>
        </w:rPr>
        <w:t>结合生产工艺、设备配置情况，本项目废气收集方式主要采用上吸风罩收集及空间密闭换风收集</w:t>
      </w:r>
      <w:r>
        <w:rPr>
          <w:rFonts w:hint="eastAsia" w:eastAsia="仿宋_GB2312"/>
          <w:sz w:val="28"/>
          <w:szCs w:val="28"/>
        </w:rPr>
        <w:t>两</w:t>
      </w:r>
      <w:r>
        <w:rPr>
          <w:rFonts w:eastAsia="仿宋_GB2312"/>
          <w:sz w:val="28"/>
          <w:szCs w:val="28"/>
        </w:rPr>
        <w:t>种方式。采用的计算公式如下：</w:t>
      </w:r>
    </w:p>
    <w:p w14:paraId="78286C4F">
      <w:pPr>
        <w:snapToGrid w:val="0"/>
        <w:spacing w:line="500" w:lineRule="exact"/>
        <w:ind w:firstLine="561"/>
        <w:rPr>
          <w:rFonts w:eastAsia="仿宋_GB2312"/>
          <w:sz w:val="28"/>
          <w:szCs w:val="28"/>
        </w:rPr>
      </w:pPr>
      <w:r>
        <w:rPr>
          <w:rFonts w:hint="eastAsia" w:eastAsia="仿宋_GB2312"/>
          <w:sz w:val="28"/>
          <w:szCs w:val="28"/>
        </w:rPr>
        <w:t>①</w:t>
      </w:r>
      <w:r>
        <w:rPr>
          <w:rFonts w:eastAsia="仿宋_GB2312"/>
          <w:sz w:val="28"/>
          <w:szCs w:val="28"/>
        </w:rPr>
        <w:t>上吸风罩排风量</w:t>
      </w:r>
      <w:r>
        <w:rPr>
          <w:rFonts w:hint="eastAsia" w:eastAsia="仿宋_GB2312"/>
          <w:sz w:val="28"/>
          <w:szCs w:val="28"/>
        </w:rPr>
        <w:t>Q</w:t>
      </w:r>
      <w:r>
        <w:rPr>
          <w:rFonts w:eastAsia="仿宋_GB2312"/>
          <w:sz w:val="28"/>
          <w:szCs w:val="28"/>
        </w:rPr>
        <w:t>（m</w:t>
      </w:r>
      <w:r>
        <w:rPr>
          <w:rFonts w:eastAsia="仿宋_GB2312"/>
          <w:sz w:val="28"/>
          <w:szCs w:val="28"/>
          <w:vertAlign w:val="superscript"/>
        </w:rPr>
        <w:t>3</w:t>
      </w:r>
      <w:r>
        <w:rPr>
          <w:rFonts w:eastAsia="仿宋_GB2312"/>
          <w:sz w:val="28"/>
          <w:szCs w:val="28"/>
        </w:rPr>
        <w:t>/s）的计算公式为：</w:t>
      </w:r>
    </w:p>
    <w:p w14:paraId="0B76AC22">
      <w:pPr>
        <w:snapToGrid w:val="0"/>
        <w:spacing w:line="500" w:lineRule="exact"/>
        <w:ind w:firstLine="561"/>
        <w:jc w:val="center"/>
        <w:rPr>
          <w:rFonts w:eastAsia="仿宋_GB2312"/>
          <w:sz w:val="28"/>
          <w:szCs w:val="28"/>
        </w:rPr>
      </w:pPr>
      <w:r>
        <w:rPr>
          <w:rFonts w:hint="eastAsia" w:eastAsia="仿宋_GB2312"/>
          <w:i/>
          <w:sz w:val="28"/>
          <w:szCs w:val="28"/>
        </w:rPr>
        <w:t>Q</w:t>
      </w:r>
      <w:r>
        <w:rPr>
          <w:rFonts w:eastAsia="仿宋_GB2312"/>
          <w:sz w:val="28"/>
          <w:szCs w:val="28"/>
        </w:rPr>
        <w:t>=</w:t>
      </w:r>
      <w:r>
        <w:rPr>
          <w:rFonts w:hint="eastAsia" w:eastAsia="仿宋_GB2312"/>
          <w:i/>
          <w:sz w:val="28"/>
          <w:szCs w:val="28"/>
        </w:rPr>
        <w:t>0.75(10X</w:t>
      </w:r>
      <w:r>
        <w:rPr>
          <w:rFonts w:hint="eastAsia" w:eastAsia="仿宋_GB2312"/>
          <w:i/>
          <w:sz w:val="28"/>
          <w:szCs w:val="28"/>
          <w:vertAlign w:val="superscript"/>
        </w:rPr>
        <w:t>2</w:t>
      </w:r>
      <w:r>
        <w:rPr>
          <w:rFonts w:hint="eastAsia" w:eastAsia="仿宋_GB2312"/>
          <w:i/>
          <w:sz w:val="28"/>
          <w:szCs w:val="28"/>
        </w:rPr>
        <w:t>+A)</w:t>
      </w:r>
      <w:r>
        <w:rPr>
          <w:rFonts w:eastAsia="仿宋_GB2312"/>
          <w:i/>
          <w:sz w:val="28"/>
          <w:szCs w:val="28"/>
        </w:rPr>
        <w:t>V</w:t>
      </w:r>
      <w:r>
        <w:rPr>
          <w:rFonts w:eastAsia="仿宋_GB2312"/>
          <w:i/>
          <w:sz w:val="28"/>
          <w:szCs w:val="28"/>
          <w:vertAlign w:val="subscript"/>
        </w:rPr>
        <w:t>x</w:t>
      </w:r>
    </w:p>
    <w:p w14:paraId="56ADB97D">
      <w:pPr>
        <w:snapToGrid w:val="0"/>
        <w:spacing w:line="500" w:lineRule="exact"/>
        <w:ind w:firstLine="561"/>
        <w:rPr>
          <w:rFonts w:eastAsia="仿宋_GB2312"/>
          <w:sz w:val="28"/>
          <w:szCs w:val="28"/>
        </w:rPr>
      </w:pPr>
      <w:r>
        <w:rPr>
          <w:rFonts w:eastAsia="仿宋_GB2312"/>
          <w:sz w:val="28"/>
          <w:szCs w:val="28"/>
        </w:rPr>
        <w:t>式中：</w:t>
      </w:r>
      <w:r>
        <w:rPr>
          <w:rFonts w:hint="eastAsia" w:eastAsia="仿宋_GB2312"/>
          <w:i/>
          <w:sz w:val="28"/>
          <w:szCs w:val="28"/>
        </w:rPr>
        <w:t>Q</w:t>
      </w:r>
      <w:r>
        <w:rPr>
          <w:rFonts w:eastAsia="仿宋_GB2312"/>
          <w:i/>
          <w:sz w:val="28"/>
          <w:szCs w:val="28"/>
        </w:rPr>
        <w:t>——</w:t>
      </w:r>
      <w:r>
        <w:rPr>
          <w:rFonts w:hint="eastAsia" w:eastAsia="仿宋_GB2312"/>
          <w:i/>
          <w:sz w:val="28"/>
          <w:szCs w:val="28"/>
        </w:rPr>
        <w:t>罩口排风量，m</w:t>
      </w:r>
      <w:r>
        <w:rPr>
          <w:rFonts w:hint="eastAsia" w:eastAsia="仿宋_GB2312"/>
          <w:i/>
          <w:sz w:val="28"/>
          <w:szCs w:val="28"/>
          <w:vertAlign w:val="superscript"/>
        </w:rPr>
        <w:t>3</w:t>
      </w:r>
      <w:r>
        <w:rPr>
          <w:rFonts w:hint="eastAsia" w:eastAsia="仿宋_GB2312"/>
          <w:i/>
          <w:sz w:val="28"/>
          <w:szCs w:val="28"/>
        </w:rPr>
        <w:t>/h</w:t>
      </w:r>
    </w:p>
    <w:p w14:paraId="063C409E">
      <w:pPr>
        <w:snapToGrid w:val="0"/>
        <w:spacing w:line="500" w:lineRule="exact"/>
        <w:ind w:firstLine="1400" w:firstLineChars="500"/>
        <w:rPr>
          <w:rFonts w:eastAsia="仿宋_GB2312"/>
          <w:i/>
          <w:sz w:val="28"/>
          <w:szCs w:val="28"/>
        </w:rPr>
      </w:pPr>
      <w:r>
        <w:rPr>
          <w:rFonts w:hint="eastAsia" w:eastAsia="仿宋_GB2312"/>
          <w:i/>
          <w:sz w:val="28"/>
          <w:szCs w:val="28"/>
        </w:rPr>
        <w:t>X</w:t>
      </w:r>
      <w:r>
        <w:rPr>
          <w:rFonts w:eastAsia="仿宋_GB2312"/>
          <w:i/>
          <w:sz w:val="28"/>
          <w:szCs w:val="28"/>
        </w:rPr>
        <w:t>——排</w:t>
      </w:r>
      <w:r>
        <w:rPr>
          <w:rFonts w:eastAsia="仿宋_GB2312"/>
          <w:sz w:val="28"/>
          <w:szCs w:val="28"/>
        </w:rPr>
        <w:t>罩口至有害物源的距离，m</w:t>
      </w:r>
      <w:r>
        <w:rPr>
          <w:rFonts w:eastAsia="仿宋_GB2312"/>
          <w:i/>
          <w:sz w:val="28"/>
          <w:szCs w:val="28"/>
        </w:rPr>
        <w:t>；</w:t>
      </w:r>
    </w:p>
    <w:p w14:paraId="2FBA8BB6">
      <w:pPr>
        <w:snapToGrid w:val="0"/>
        <w:spacing w:line="500" w:lineRule="exact"/>
        <w:ind w:firstLine="1400" w:firstLineChars="500"/>
        <w:rPr>
          <w:rFonts w:eastAsia="仿宋_GB2312"/>
          <w:sz w:val="28"/>
          <w:szCs w:val="28"/>
        </w:rPr>
      </w:pPr>
      <w:r>
        <w:rPr>
          <w:rFonts w:hint="eastAsia" w:eastAsia="仿宋_GB2312"/>
          <w:i/>
          <w:sz w:val="28"/>
          <w:szCs w:val="28"/>
        </w:rPr>
        <w:t>A</w:t>
      </w:r>
      <w:r>
        <w:rPr>
          <w:rFonts w:eastAsia="仿宋_GB2312"/>
          <w:sz w:val="28"/>
          <w:szCs w:val="28"/>
        </w:rPr>
        <w:t>——罩口</w:t>
      </w:r>
      <w:r>
        <w:rPr>
          <w:rFonts w:hint="eastAsia" w:eastAsia="仿宋_GB2312"/>
          <w:sz w:val="28"/>
          <w:szCs w:val="28"/>
        </w:rPr>
        <w:t>敞开的面积</w:t>
      </w:r>
      <w:r>
        <w:rPr>
          <w:rFonts w:eastAsia="仿宋_GB2312"/>
          <w:sz w:val="28"/>
          <w:szCs w:val="28"/>
        </w:rPr>
        <w:t>，m</w:t>
      </w:r>
      <w:r>
        <w:rPr>
          <w:rFonts w:hint="eastAsia" w:eastAsia="仿宋_GB2312"/>
          <w:sz w:val="28"/>
          <w:szCs w:val="28"/>
          <w:vertAlign w:val="superscript"/>
        </w:rPr>
        <w:t>2</w:t>
      </w:r>
      <w:r>
        <w:rPr>
          <w:rFonts w:eastAsia="仿宋_GB2312"/>
          <w:sz w:val="28"/>
          <w:szCs w:val="28"/>
        </w:rPr>
        <w:t>；</w:t>
      </w:r>
    </w:p>
    <w:p w14:paraId="7FF6D928">
      <w:pPr>
        <w:snapToGrid w:val="0"/>
        <w:spacing w:line="500" w:lineRule="exact"/>
        <w:ind w:firstLine="1400" w:firstLineChars="500"/>
        <w:rPr>
          <w:rFonts w:eastAsia="仿宋_GB2312"/>
          <w:sz w:val="28"/>
          <w:szCs w:val="28"/>
        </w:rPr>
      </w:pPr>
      <w:r>
        <w:rPr>
          <w:rFonts w:eastAsia="仿宋_GB2312"/>
          <w:i/>
          <w:sz w:val="28"/>
          <w:szCs w:val="28"/>
        </w:rPr>
        <w:t>V</w:t>
      </w:r>
      <w:r>
        <w:rPr>
          <w:rFonts w:eastAsia="仿宋_GB2312"/>
          <w:i/>
          <w:sz w:val="28"/>
          <w:szCs w:val="28"/>
          <w:vertAlign w:val="subscript"/>
        </w:rPr>
        <w:t>x</w:t>
      </w:r>
      <w:r>
        <w:rPr>
          <w:rFonts w:eastAsia="仿宋_GB2312"/>
          <w:sz w:val="28"/>
          <w:szCs w:val="28"/>
        </w:rPr>
        <w:t>——边缘控制点的控制风速，m/s；</w:t>
      </w:r>
    </w:p>
    <w:p w14:paraId="0445B060">
      <w:pPr>
        <w:snapToGrid w:val="0"/>
        <w:spacing w:line="500" w:lineRule="exact"/>
        <w:ind w:firstLine="561"/>
        <w:rPr>
          <w:rFonts w:eastAsia="仿宋_GB2312"/>
          <w:sz w:val="28"/>
          <w:szCs w:val="28"/>
        </w:rPr>
      </w:pPr>
      <w:r>
        <w:rPr>
          <w:rFonts w:hint="eastAsia" w:eastAsia="仿宋_GB2312"/>
          <w:sz w:val="28"/>
          <w:szCs w:val="28"/>
        </w:rPr>
        <w:t>②</w:t>
      </w:r>
      <w:r>
        <w:rPr>
          <w:rFonts w:eastAsia="仿宋_GB2312"/>
          <w:sz w:val="28"/>
          <w:szCs w:val="28"/>
        </w:rPr>
        <w:t>密闭空间换风收集排风量L（m</w:t>
      </w:r>
      <w:r>
        <w:rPr>
          <w:rFonts w:eastAsia="仿宋_GB2312"/>
          <w:sz w:val="28"/>
          <w:szCs w:val="28"/>
          <w:vertAlign w:val="superscript"/>
        </w:rPr>
        <w:t>3</w:t>
      </w:r>
      <w:r>
        <w:rPr>
          <w:rFonts w:eastAsia="仿宋_GB2312"/>
          <w:sz w:val="28"/>
          <w:szCs w:val="28"/>
        </w:rPr>
        <w:t>/h）的计算公式为：</w:t>
      </w:r>
    </w:p>
    <w:p w14:paraId="26E410BA">
      <w:pPr>
        <w:snapToGrid w:val="0"/>
        <w:spacing w:line="500" w:lineRule="exact"/>
        <w:ind w:firstLine="561"/>
        <w:jc w:val="center"/>
        <w:rPr>
          <w:rFonts w:eastAsia="仿宋_GB2312"/>
          <w:sz w:val="28"/>
          <w:szCs w:val="28"/>
        </w:rPr>
      </w:pPr>
      <w:r>
        <w:rPr>
          <w:rFonts w:eastAsia="仿宋_GB2312"/>
          <w:i/>
          <w:sz w:val="28"/>
          <w:szCs w:val="28"/>
        </w:rPr>
        <w:t>L</w:t>
      </w:r>
      <w:r>
        <w:rPr>
          <w:rFonts w:eastAsia="仿宋_GB2312"/>
          <w:sz w:val="28"/>
          <w:szCs w:val="28"/>
        </w:rPr>
        <w:t>=n</w:t>
      </w:r>
      <w:r>
        <w:rPr>
          <w:rFonts w:eastAsia="仿宋_GB2312"/>
          <w:i/>
          <w:sz w:val="28"/>
          <w:szCs w:val="28"/>
        </w:rPr>
        <w:t xml:space="preserve"> V</w:t>
      </w:r>
      <w:r>
        <w:rPr>
          <w:rFonts w:eastAsia="仿宋_GB2312"/>
          <w:i/>
          <w:sz w:val="28"/>
          <w:szCs w:val="28"/>
          <w:vertAlign w:val="subscript"/>
        </w:rPr>
        <w:t>f</w:t>
      </w:r>
    </w:p>
    <w:p w14:paraId="4A0FE7BA">
      <w:pPr>
        <w:snapToGrid w:val="0"/>
        <w:spacing w:line="500" w:lineRule="exact"/>
        <w:ind w:firstLine="561"/>
        <w:rPr>
          <w:rFonts w:eastAsia="仿宋_GB2312"/>
          <w:sz w:val="28"/>
          <w:szCs w:val="28"/>
        </w:rPr>
      </w:pPr>
      <w:r>
        <w:rPr>
          <w:rFonts w:eastAsia="仿宋_GB2312"/>
          <w:sz w:val="28"/>
          <w:szCs w:val="28"/>
        </w:rPr>
        <w:t>式中：</w:t>
      </w:r>
      <w:r>
        <w:rPr>
          <w:rFonts w:eastAsia="仿宋_GB2312"/>
          <w:i/>
          <w:sz w:val="28"/>
          <w:szCs w:val="28"/>
        </w:rPr>
        <w:t>L</w:t>
      </w:r>
      <w:r>
        <w:rPr>
          <w:rFonts w:eastAsia="仿宋_GB2312"/>
          <w:sz w:val="28"/>
          <w:szCs w:val="28"/>
        </w:rPr>
        <w:t>——全面换风量，m</w:t>
      </w:r>
      <w:r>
        <w:rPr>
          <w:rFonts w:eastAsia="仿宋_GB2312"/>
          <w:sz w:val="28"/>
          <w:szCs w:val="28"/>
          <w:vertAlign w:val="superscript"/>
        </w:rPr>
        <w:t>3</w:t>
      </w:r>
      <w:r>
        <w:rPr>
          <w:rFonts w:eastAsia="仿宋_GB2312"/>
          <w:sz w:val="28"/>
          <w:szCs w:val="28"/>
        </w:rPr>
        <w:t>/h；</w:t>
      </w:r>
    </w:p>
    <w:p w14:paraId="0AAD42EF">
      <w:pPr>
        <w:snapToGrid w:val="0"/>
        <w:spacing w:line="500" w:lineRule="exact"/>
        <w:ind w:firstLine="561"/>
        <w:rPr>
          <w:rFonts w:eastAsia="仿宋_GB2312"/>
          <w:sz w:val="28"/>
          <w:szCs w:val="28"/>
        </w:rPr>
      </w:pPr>
      <w:r>
        <w:rPr>
          <w:rFonts w:eastAsia="仿宋_GB2312"/>
          <w:sz w:val="28"/>
          <w:szCs w:val="28"/>
        </w:rPr>
        <w:t xml:space="preserve">      n——换气次数，1/h；</w:t>
      </w:r>
    </w:p>
    <w:p w14:paraId="292E3F1C">
      <w:pPr>
        <w:snapToGrid w:val="0"/>
        <w:spacing w:line="500" w:lineRule="exact"/>
        <w:ind w:firstLine="1400" w:firstLineChars="500"/>
        <w:rPr>
          <w:rFonts w:eastAsia="仿宋_GB2312"/>
          <w:sz w:val="28"/>
          <w:szCs w:val="28"/>
        </w:rPr>
      </w:pPr>
      <w:r>
        <w:rPr>
          <w:rFonts w:eastAsia="仿宋_GB2312"/>
          <w:i/>
          <w:sz w:val="28"/>
          <w:szCs w:val="28"/>
        </w:rPr>
        <w:t>V</w:t>
      </w:r>
      <w:r>
        <w:rPr>
          <w:rFonts w:eastAsia="仿宋_GB2312"/>
          <w:i/>
          <w:sz w:val="28"/>
          <w:szCs w:val="28"/>
          <w:vertAlign w:val="subscript"/>
        </w:rPr>
        <w:t>f</w:t>
      </w:r>
      <w:r>
        <w:rPr>
          <w:rFonts w:eastAsia="仿宋_GB2312"/>
          <w:sz w:val="28"/>
          <w:szCs w:val="28"/>
        </w:rPr>
        <w:t>——通风房间体积，m</w:t>
      </w:r>
      <w:r>
        <w:rPr>
          <w:rFonts w:eastAsia="仿宋_GB2312"/>
          <w:sz w:val="28"/>
          <w:szCs w:val="28"/>
          <w:vertAlign w:val="superscript"/>
        </w:rPr>
        <w:t>3</w:t>
      </w:r>
      <w:r>
        <w:rPr>
          <w:rFonts w:eastAsia="仿宋_GB2312"/>
          <w:sz w:val="28"/>
          <w:szCs w:val="28"/>
        </w:rPr>
        <w:t>。</w:t>
      </w:r>
    </w:p>
    <w:p w14:paraId="277A7E73">
      <w:pPr>
        <w:snapToGrid w:val="0"/>
        <w:spacing w:line="500" w:lineRule="exact"/>
        <w:ind w:firstLine="561"/>
        <w:rPr>
          <w:rFonts w:eastAsia="仿宋_GB2312"/>
          <w:sz w:val="28"/>
          <w:szCs w:val="28"/>
        </w:rPr>
        <w:sectPr>
          <w:pgSz w:w="11906" w:h="16838"/>
          <w:pgMar w:top="1440" w:right="1800" w:bottom="1440" w:left="1800" w:header="851" w:footer="992" w:gutter="0"/>
          <w:cols w:space="720" w:num="1"/>
          <w:docGrid w:type="lines" w:linePitch="312" w:charSpace="0"/>
        </w:sectPr>
      </w:pPr>
    </w:p>
    <w:p w14:paraId="207615F3">
      <w:pPr>
        <w:snapToGrid w:val="0"/>
        <w:spacing w:line="500" w:lineRule="exact"/>
        <w:ind w:firstLine="561"/>
        <w:rPr>
          <w:rFonts w:eastAsia="仿宋_GB2312"/>
          <w:sz w:val="28"/>
          <w:szCs w:val="28"/>
        </w:rPr>
      </w:pPr>
      <w:r>
        <w:rPr>
          <w:rFonts w:eastAsia="仿宋_GB2312"/>
          <w:sz w:val="28"/>
          <w:szCs w:val="28"/>
        </w:rPr>
        <w:t>根据以上内容，计算各废气处理系统处理风量结果如下表所示：</w:t>
      </w:r>
    </w:p>
    <w:p w14:paraId="5573BE05">
      <w:pPr>
        <w:spacing w:line="500" w:lineRule="exact"/>
        <w:jc w:val="center"/>
        <w:rPr>
          <w:rFonts w:ascii="Times New Roman" w:eastAsia="仿宋"/>
          <w:b/>
        </w:rPr>
      </w:pPr>
      <w:r>
        <w:rPr>
          <w:rFonts w:hint="eastAsia" w:ascii="Times New Roman" w:eastAsia="仿宋"/>
          <w:b/>
        </w:rPr>
        <w:t>表6.1-</w:t>
      </w:r>
      <w:r>
        <w:rPr>
          <w:rFonts w:ascii="Times New Roman" w:eastAsia="仿宋"/>
          <w:b/>
        </w:rPr>
        <w:t xml:space="preserve">4 </w:t>
      </w:r>
      <w:r>
        <w:rPr>
          <w:rFonts w:hint="eastAsia" w:ascii="Times New Roman" w:eastAsia="仿宋"/>
          <w:b/>
        </w:rPr>
        <w:t>废气收集系统风量核算表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79"/>
        <w:gridCol w:w="889"/>
        <w:gridCol w:w="888"/>
        <w:gridCol w:w="850"/>
        <w:gridCol w:w="850"/>
        <w:gridCol w:w="851"/>
        <w:gridCol w:w="1040"/>
        <w:gridCol w:w="1532"/>
        <w:gridCol w:w="1237"/>
        <w:gridCol w:w="1094"/>
        <w:gridCol w:w="1052"/>
        <w:gridCol w:w="964"/>
        <w:gridCol w:w="960"/>
      </w:tblGrid>
      <w:tr w14:paraId="67BD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62" w:type="dxa"/>
            <w:vMerge w:val="restart"/>
            <w:vAlign w:val="center"/>
          </w:tcPr>
          <w:p w14:paraId="1D4015E9">
            <w:pPr>
              <w:spacing w:line="300" w:lineRule="exact"/>
              <w:jc w:val="center"/>
              <w:rPr>
                <w:rFonts w:ascii="Times New Roman" w:eastAsia="仿宋"/>
                <w:bCs/>
                <w:szCs w:val="24"/>
              </w:rPr>
            </w:pPr>
            <w:r>
              <w:rPr>
                <w:rFonts w:hint="eastAsia" w:ascii="Times New Roman" w:eastAsia="仿宋"/>
                <w:bCs/>
                <w:szCs w:val="24"/>
              </w:rPr>
              <w:t>序号</w:t>
            </w:r>
          </w:p>
        </w:tc>
        <w:tc>
          <w:tcPr>
            <w:tcW w:w="1179" w:type="dxa"/>
            <w:vMerge w:val="restart"/>
            <w:vAlign w:val="center"/>
          </w:tcPr>
          <w:p w14:paraId="2172826E">
            <w:pPr>
              <w:spacing w:line="300" w:lineRule="exact"/>
              <w:jc w:val="center"/>
              <w:rPr>
                <w:rFonts w:ascii="Times New Roman" w:eastAsia="仿宋"/>
                <w:bCs/>
                <w:szCs w:val="24"/>
              </w:rPr>
            </w:pPr>
            <w:r>
              <w:rPr>
                <w:rFonts w:hint="eastAsia" w:ascii="Times New Roman" w:eastAsia="仿宋"/>
                <w:bCs/>
                <w:szCs w:val="24"/>
              </w:rPr>
              <w:t>装置</w:t>
            </w:r>
          </w:p>
        </w:tc>
        <w:tc>
          <w:tcPr>
            <w:tcW w:w="889" w:type="dxa"/>
            <w:vMerge w:val="restart"/>
            <w:vAlign w:val="center"/>
          </w:tcPr>
          <w:p w14:paraId="7DC17861">
            <w:pPr>
              <w:spacing w:line="300" w:lineRule="exact"/>
              <w:jc w:val="center"/>
              <w:rPr>
                <w:rFonts w:ascii="Times New Roman" w:eastAsia="仿宋"/>
                <w:bCs/>
                <w:szCs w:val="24"/>
              </w:rPr>
            </w:pPr>
            <w:r>
              <w:rPr>
                <w:rFonts w:hint="eastAsia" w:ascii="Times New Roman" w:eastAsia="仿宋"/>
                <w:bCs/>
                <w:szCs w:val="24"/>
              </w:rPr>
              <w:t>废气来源</w:t>
            </w:r>
          </w:p>
        </w:tc>
        <w:tc>
          <w:tcPr>
            <w:tcW w:w="888" w:type="dxa"/>
            <w:vMerge w:val="restart"/>
            <w:vAlign w:val="center"/>
          </w:tcPr>
          <w:p w14:paraId="24086BD7">
            <w:pPr>
              <w:spacing w:line="300" w:lineRule="exact"/>
              <w:jc w:val="center"/>
              <w:rPr>
                <w:rFonts w:ascii="Times New Roman" w:eastAsia="仿宋"/>
                <w:bCs/>
                <w:szCs w:val="24"/>
              </w:rPr>
            </w:pPr>
            <w:r>
              <w:rPr>
                <w:rFonts w:hint="eastAsia" w:ascii="Times New Roman" w:eastAsia="仿宋"/>
                <w:bCs/>
                <w:szCs w:val="24"/>
              </w:rPr>
              <w:t>收集方式</w:t>
            </w:r>
          </w:p>
        </w:tc>
        <w:tc>
          <w:tcPr>
            <w:tcW w:w="2551" w:type="dxa"/>
            <w:gridSpan w:val="3"/>
            <w:vAlign w:val="center"/>
          </w:tcPr>
          <w:p w14:paraId="7C00FE07">
            <w:pPr>
              <w:spacing w:line="300" w:lineRule="exact"/>
              <w:jc w:val="center"/>
              <w:rPr>
                <w:rFonts w:ascii="Times New Roman" w:eastAsia="仿宋"/>
                <w:bCs/>
                <w:szCs w:val="24"/>
              </w:rPr>
            </w:pPr>
            <w:r>
              <w:rPr>
                <w:rFonts w:hint="eastAsia" w:ascii="Times New Roman" w:eastAsia="仿宋"/>
                <w:bCs/>
                <w:szCs w:val="24"/>
              </w:rPr>
              <w:t>集气罩尺寸（m）</w:t>
            </w:r>
          </w:p>
        </w:tc>
        <w:tc>
          <w:tcPr>
            <w:tcW w:w="1040" w:type="dxa"/>
            <w:vMerge w:val="restart"/>
            <w:vAlign w:val="center"/>
          </w:tcPr>
          <w:p w14:paraId="1E770244">
            <w:pPr>
              <w:spacing w:line="300" w:lineRule="exact"/>
              <w:jc w:val="center"/>
              <w:rPr>
                <w:rFonts w:ascii="Times New Roman" w:eastAsia="仿宋"/>
                <w:bCs/>
                <w:szCs w:val="24"/>
              </w:rPr>
            </w:pPr>
            <w:r>
              <w:rPr>
                <w:rFonts w:hint="eastAsia" w:ascii="Times New Roman" w:eastAsia="仿宋"/>
                <w:bCs/>
                <w:szCs w:val="24"/>
              </w:rPr>
              <w:t>集气罩个数（个）</w:t>
            </w:r>
          </w:p>
        </w:tc>
        <w:tc>
          <w:tcPr>
            <w:tcW w:w="1532" w:type="dxa"/>
            <w:vMerge w:val="restart"/>
            <w:vAlign w:val="center"/>
          </w:tcPr>
          <w:p w14:paraId="41256C93">
            <w:pPr>
              <w:spacing w:line="300" w:lineRule="exact"/>
              <w:jc w:val="center"/>
              <w:rPr>
                <w:rFonts w:ascii="Times New Roman" w:eastAsia="仿宋"/>
                <w:bCs/>
                <w:szCs w:val="24"/>
              </w:rPr>
            </w:pPr>
            <w:r>
              <w:rPr>
                <w:rFonts w:hint="eastAsia" w:ascii="Times New Roman" w:eastAsia="仿宋"/>
                <w:bCs/>
                <w:szCs w:val="24"/>
              </w:rPr>
              <w:t>密闭区域参数（m</w:t>
            </w:r>
            <w:r>
              <w:rPr>
                <w:rFonts w:ascii="Times New Roman" w:eastAsia="仿宋"/>
                <w:bCs/>
                <w:szCs w:val="24"/>
                <w:vertAlign w:val="superscript"/>
              </w:rPr>
              <w:t>3</w:t>
            </w:r>
            <w:r>
              <w:rPr>
                <w:rFonts w:hint="eastAsia" w:ascii="Times New Roman" w:eastAsia="仿宋"/>
                <w:bCs/>
                <w:szCs w:val="24"/>
              </w:rPr>
              <w:t>）</w:t>
            </w:r>
          </w:p>
        </w:tc>
        <w:tc>
          <w:tcPr>
            <w:tcW w:w="1237" w:type="dxa"/>
            <w:vMerge w:val="restart"/>
            <w:vAlign w:val="center"/>
          </w:tcPr>
          <w:p w14:paraId="1FAF43BC">
            <w:pPr>
              <w:spacing w:line="300" w:lineRule="exact"/>
              <w:jc w:val="center"/>
              <w:rPr>
                <w:rFonts w:ascii="Times New Roman" w:eastAsia="仿宋"/>
                <w:bCs/>
                <w:szCs w:val="24"/>
              </w:rPr>
            </w:pPr>
            <w:r>
              <w:rPr>
                <w:rFonts w:hint="eastAsia" w:ascii="Times New Roman" w:eastAsia="仿宋"/>
                <w:bCs/>
                <w:szCs w:val="24"/>
              </w:rPr>
              <w:t>设计风量(</w:t>
            </w:r>
            <w:r>
              <w:rPr>
                <w:rFonts w:ascii="Times New Roman" w:eastAsia="仿宋"/>
                <w:bCs/>
                <w:szCs w:val="24"/>
              </w:rPr>
              <w:t>m</w:t>
            </w:r>
            <w:r>
              <w:rPr>
                <w:rFonts w:ascii="Times New Roman" w:eastAsia="仿宋"/>
                <w:bCs/>
                <w:szCs w:val="24"/>
                <w:vertAlign w:val="superscript"/>
              </w:rPr>
              <w:t>3</w:t>
            </w:r>
            <w:r>
              <w:rPr>
                <w:rFonts w:ascii="Times New Roman" w:eastAsia="仿宋"/>
                <w:bCs/>
                <w:szCs w:val="24"/>
              </w:rPr>
              <w:t>/h)</w:t>
            </w:r>
          </w:p>
        </w:tc>
        <w:tc>
          <w:tcPr>
            <w:tcW w:w="1094" w:type="dxa"/>
            <w:vMerge w:val="restart"/>
            <w:vAlign w:val="center"/>
          </w:tcPr>
          <w:p w14:paraId="46788FD2">
            <w:pPr>
              <w:spacing w:line="300" w:lineRule="exact"/>
              <w:jc w:val="center"/>
              <w:rPr>
                <w:rFonts w:ascii="Times New Roman" w:eastAsia="仿宋"/>
                <w:bCs/>
                <w:szCs w:val="24"/>
              </w:rPr>
            </w:pPr>
            <w:r>
              <w:rPr>
                <w:rFonts w:hint="eastAsia" w:ascii="Times New Roman" w:eastAsia="仿宋"/>
                <w:bCs/>
                <w:szCs w:val="24"/>
              </w:rPr>
              <w:t>集气罩与控制点距离（m）</w:t>
            </w:r>
          </w:p>
        </w:tc>
        <w:tc>
          <w:tcPr>
            <w:tcW w:w="1052" w:type="dxa"/>
            <w:vMerge w:val="restart"/>
            <w:vAlign w:val="center"/>
          </w:tcPr>
          <w:p w14:paraId="5302EA6B">
            <w:pPr>
              <w:spacing w:line="300" w:lineRule="exact"/>
              <w:jc w:val="center"/>
              <w:rPr>
                <w:rFonts w:ascii="Times New Roman" w:eastAsia="仿宋"/>
                <w:bCs/>
                <w:szCs w:val="24"/>
              </w:rPr>
            </w:pPr>
            <w:r>
              <w:rPr>
                <w:rFonts w:hint="eastAsia" w:ascii="Times New Roman" w:eastAsia="仿宋"/>
                <w:bCs/>
                <w:szCs w:val="24"/>
              </w:rPr>
              <w:t>风量</w:t>
            </w:r>
            <w:r>
              <w:rPr>
                <w:rFonts w:ascii="Times New Roman" w:eastAsia="仿宋"/>
                <w:bCs/>
                <w:szCs w:val="24"/>
              </w:rPr>
              <w:t>m</w:t>
            </w:r>
            <w:r>
              <w:rPr>
                <w:rFonts w:ascii="Times New Roman" w:eastAsia="仿宋"/>
                <w:bCs/>
                <w:szCs w:val="24"/>
                <w:vertAlign w:val="superscript"/>
              </w:rPr>
              <w:t>3</w:t>
            </w:r>
            <w:r>
              <w:rPr>
                <w:rFonts w:ascii="Times New Roman" w:eastAsia="仿宋"/>
                <w:bCs/>
                <w:szCs w:val="24"/>
              </w:rPr>
              <w:t>/h</w:t>
            </w:r>
          </w:p>
        </w:tc>
        <w:tc>
          <w:tcPr>
            <w:tcW w:w="964" w:type="dxa"/>
            <w:vMerge w:val="restart"/>
            <w:vAlign w:val="center"/>
          </w:tcPr>
          <w:p w14:paraId="1521C399">
            <w:pPr>
              <w:spacing w:line="300" w:lineRule="exact"/>
              <w:jc w:val="center"/>
              <w:rPr>
                <w:rFonts w:ascii="Times New Roman" w:eastAsia="仿宋"/>
                <w:bCs/>
                <w:szCs w:val="24"/>
              </w:rPr>
            </w:pPr>
            <w:r>
              <w:rPr>
                <w:rFonts w:hint="eastAsia" w:ascii="Times New Roman" w:eastAsia="仿宋"/>
                <w:bCs/>
                <w:szCs w:val="24"/>
              </w:rPr>
              <w:t>控制点风速(m</w:t>
            </w:r>
            <w:r>
              <w:rPr>
                <w:rFonts w:ascii="Times New Roman" w:eastAsia="仿宋"/>
                <w:bCs/>
                <w:szCs w:val="24"/>
              </w:rPr>
              <w:t>/s)</w:t>
            </w:r>
          </w:p>
        </w:tc>
        <w:tc>
          <w:tcPr>
            <w:tcW w:w="960" w:type="dxa"/>
            <w:vMerge w:val="restart"/>
            <w:vAlign w:val="center"/>
          </w:tcPr>
          <w:p w14:paraId="6996C47F">
            <w:pPr>
              <w:spacing w:line="300" w:lineRule="exact"/>
              <w:jc w:val="center"/>
              <w:rPr>
                <w:rFonts w:ascii="Times New Roman" w:eastAsia="仿宋"/>
                <w:bCs/>
                <w:szCs w:val="24"/>
              </w:rPr>
            </w:pPr>
            <w:r>
              <w:rPr>
                <w:rFonts w:hint="eastAsia" w:ascii="Times New Roman" w:eastAsia="仿宋"/>
                <w:bCs/>
                <w:szCs w:val="24"/>
              </w:rPr>
              <w:t>换风次数（次/</w:t>
            </w:r>
            <w:r>
              <w:rPr>
                <w:rFonts w:ascii="Times New Roman" w:eastAsia="仿宋"/>
                <w:bCs/>
                <w:szCs w:val="24"/>
              </w:rPr>
              <w:t>h</w:t>
            </w:r>
            <w:r>
              <w:rPr>
                <w:rFonts w:hint="eastAsia" w:ascii="Times New Roman" w:eastAsia="仿宋"/>
                <w:bCs/>
                <w:szCs w:val="24"/>
              </w:rPr>
              <w:t>）</w:t>
            </w:r>
          </w:p>
        </w:tc>
      </w:tr>
      <w:tr w14:paraId="36A0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continue"/>
            <w:vAlign w:val="center"/>
          </w:tcPr>
          <w:p w14:paraId="05D8BF67">
            <w:pPr>
              <w:pStyle w:val="2"/>
              <w:ind w:firstLine="0"/>
            </w:pPr>
          </w:p>
        </w:tc>
        <w:tc>
          <w:tcPr>
            <w:tcW w:w="1179" w:type="dxa"/>
            <w:vMerge w:val="continue"/>
          </w:tcPr>
          <w:p w14:paraId="0C15D2A6">
            <w:pPr>
              <w:pStyle w:val="2"/>
              <w:ind w:firstLine="0"/>
            </w:pPr>
          </w:p>
        </w:tc>
        <w:tc>
          <w:tcPr>
            <w:tcW w:w="889" w:type="dxa"/>
            <w:vMerge w:val="continue"/>
          </w:tcPr>
          <w:p w14:paraId="591FD089">
            <w:pPr>
              <w:pStyle w:val="2"/>
              <w:ind w:firstLine="0"/>
            </w:pPr>
          </w:p>
        </w:tc>
        <w:tc>
          <w:tcPr>
            <w:tcW w:w="888" w:type="dxa"/>
            <w:vMerge w:val="continue"/>
          </w:tcPr>
          <w:p w14:paraId="34A6E5D4">
            <w:pPr>
              <w:pStyle w:val="2"/>
              <w:ind w:firstLine="0"/>
            </w:pPr>
          </w:p>
        </w:tc>
        <w:tc>
          <w:tcPr>
            <w:tcW w:w="850" w:type="dxa"/>
            <w:vAlign w:val="center"/>
          </w:tcPr>
          <w:p w14:paraId="27B7869F">
            <w:pPr>
              <w:spacing w:line="300" w:lineRule="exact"/>
              <w:jc w:val="center"/>
              <w:rPr>
                <w:rFonts w:ascii="Times New Roman" w:eastAsia="仿宋"/>
                <w:bCs/>
                <w:szCs w:val="24"/>
              </w:rPr>
            </w:pPr>
            <w:r>
              <w:rPr>
                <w:rFonts w:hint="eastAsia" w:ascii="Times New Roman" w:eastAsia="仿宋"/>
                <w:bCs/>
                <w:szCs w:val="24"/>
              </w:rPr>
              <w:t>直径</w:t>
            </w:r>
          </w:p>
        </w:tc>
        <w:tc>
          <w:tcPr>
            <w:tcW w:w="850" w:type="dxa"/>
            <w:vAlign w:val="center"/>
          </w:tcPr>
          <w:p w14:paraId="1036F3B5">
            <w:pPr>
              <w:spacing w:line="300" w:lineRule="exact"/>
              <w:jc w:val="center"/>
              <w:rPr>
                <w:rFonts w:ascii="Times New Roman" w:eastAsia="仿宋"/>
                <w:bCs/>
                <w:szCs w:val="24"/>
              </w:rPr>
            </w:pPr>
            <w:r>
              <w:rPr>
                <w:rFonts w:hint="eastAsia" w:ascii="Times New Roman" w:eastAsia="仿宋"/>
                <w:bCs/>
                <w:szCs w:val="24"/>
              </w:rPr>
              <w:t>长</w:t>
            </w:r>
          </w:p>
        </w:tc>
        <w:tc>
          <w:tcPr>
            <w:tcW w:w="851" w:type="dxa"/>
            <w:vAlign w:val="center"/>
          </w:tcPr>
          <w:p w14:paraId="0758FA75">
            <w:pPr>
              <w:spacing w:line="300" w:lineRule="exact"/>
              <w:jc w:val="center"/>
              <w:rPr>
                <w:rFonts w:ascii="Times New Roman" w:eastAsia="仿宋"/>
                <w:bCs/>
                <w:szCs w:val="24"/>
              </w:rPr>
            </w:pPr>
            <w:r>
              <w:rPr>
                <w:rFonts w:hint="eastAsia" w:ascii="Times New Roman" w:eastAsia="仿宋"/>
                <w:bCs/>
                <w:szCs w:val="24"/>
              </w:rPr>
              <w:t>宽</w:t>
            </w:r>
          </w:p>
        </w:tc>
        <w:tc>
          <w:tcPr>
            <w:tcW w:w="1040" w:type="dxa"/>
            <w:vMerge w:val="continue"/>
          </w:tcPr>
          <w:p w14:paraId="329F91D7">
            <w:pPr>
              <w:pStyle w:val="2"/>
              <w:ind w:firstLine="0"/>
            </w:pPr>
          </w:p>
        </w:tc>
        <w:tc>
          <w:tcPr>
            <w:tcW w:w="1532" w:type="dxa"/>
            <w:vMerge w:val="continue"/>
          </w:tcPr>
          <w:p w14:paraId="32207E2B">
            <w:pPr>
              <w:pStyle w:val="2"/>
              <w:ind w:firstLine="0"/>
            </w:pPr>
          </w:p>
        </w:tc>
        <w:tc>
          <w:tcPr>
            <w:tcW w:w="1237" w:type="dxa"/>
            <w:vMerge w:val="continue"/>
          </w:tcPr>
          <w:p w14:paraId="1DDA8399">
            <w:pPr>
              <w:pStyle w:val="2"/>
              <w:ind w:firstLine="0"/>
            </w:pPr>
          </w:p>
        </w:tc>
        <w:tc>
          <w:tcPr>
            <w:tcW w:w="1094" w:type="dxa"/>
            <w:vMerge w:val="continue"/>
          </w:tcPr>
          <w:p w14:paraId="16E74AB6">
            <w:pPr>
              <w:pStyle w:val="2"/>
              <w:ind w:firstLine="0"/>
            </w:pPr>
          </w:p>
        </w:tc>
        <w:tc>
          <w:tcPr>
            <w:tcW w:w="1052" w:type="dxa"/>
            <w:vMerge w:val="continue"/>
          </w:tcPr>
          <w:p w14:paraId="757CE09B">
            <w:pPr>
              <w:pStyle w:val="2"/>
              <w:ind w:firstLine="0"/>
            </w:pPr>
          </w:p>
        </w:tc>
        <w:tc>
          <w:tcPr>
            <w:tcW w:w="964" w:type="dxa"/>
            <w:vMerge w:val="continue"/>
          </w:tcPr>
          <w:p w14:paraId="64C16E0D">
            <w:pPr>
              <w:pStyle w:val="2"/>
              <w:ind w:firstLine="0"/>
            </w:pPr>
          </w:p>
        </w:tc>
        <w:tc>
          <w:tcPr>
            <w:tcW w:w="960" w:type="dxa"/>
            <w:vMerge w:val="continue"/>
          </w:tcPr>
          <w:p w14:paraId="1E578A5F">
            <w:pPr>
              <w:pStyle w:val="2"/>
              <w:ind w:firstLine="0"/>
            </w:pPr>
          </w:p>
        </w:tc>
      </w:tr>
      <w:tr w14:paraId="4050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Align w:val="center"/>
          </w:tcPr>
          <w:p w14:paraId="78290196">
            <w:pPr>
              <w:pStyle w:val="2"/>
              <w:ind w:firstLine="0"/>
              <w:jc w:val="center"/>
              <w:rPr>
                <w:rFonts w:eastAsia="仿宋"/>
                <w:bCs/>
                <w:kern w:val="0"/>
                <w:sz w:val="24"/>
              </w:rPr>
            </w:pPr>
            <w:r>
              <w:rPr>
                <w:rFonts w:hint="eastAsia" w:eastAsia="仿宋"/>
                <w:bCs/>
                <w:kern w:val="0"/>
                <w:sz w:val="24"/>
              </w:rPr>
              <w:t>1</w:t>
            </w:r>
          </w:p>
        </w:tc>
        <w:tc>
          <w:tcPr>
            <w:tcW w:w="1179" w:type="dxa"/>
            <w:vAlign w:val="center"/>
          </w:tcPr>
          <w:p w14:paraId="255C6815">
            <w:pPr>
              <w:pStyle w:val="2"/>
              <w:ind w:firstLine="0"/>
              <w:jc w:val="center"/>
              <w:rPr>
                <w:rFonts w:eastAsia="仿宋"/>
                <w:bCs/>
                <w:kern w:val="0"/>
                <w:sz w:val="24"/>
              </w:rPr>
            </w:pPr>
            <w:r>
              <w:rPr>
                <w:rFonts w:hint="eastAsia" w:eastAsia="仿宋"/>
                <w:bCs/>
                <w:kern w:val="0"/>
                <w:sz w:val="24"/>
              </w:rPr>
              <w:t>打磨房</w:t>
            </w:r>
          </w:p>
        </w:tc>
        <w:tc>
          <w:tcPr>
            <w:tcW w:w="889" w:type="dxa"/>
            <w:vAlign w:val="center"/>
          </w:tcPr>
          <w:p w14:paraId="06DCE15A">
            <w:pPr>
              <w:pStyle w:val="2"/>
              <w:ind w:firstLine="0"/>
              <w:jc w:val="center"/>
              <w:rPr>
                <w:rFonts w:eastAsia="仿宋"/>
                <w:bCs/>
                <w:kern w:val="0"/>
                <w:sz w:val="24"/>
              </w:rPr>
            </w:pPr>
            <w:r>
              <w:rPr>
                <w:rFonts w:hint="eastAsia" w:eastAsia="仿宋"/>
                <w:bCs/>
                <w:kern w:val="0"/>
                <w:sz w:val="24"/>
              </w:rPr>
              <w:t>抛光</w:t>
            </w:r>
          </w:p>
        </w:tc>
        <w:tc>
          <w:tcPr>
            <w:tcW w:w="888" w:type="dxa"/>
            <w:vAlign w:val="center"/>
          </w:tcPr>
          <w:p w14:paraId="5065A5BF">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38CBEEDD">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27E021A1">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18154D7E">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76B351E6">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2FD7816D">
            <w:pPr>
              <w:pStyle w:val="2"/>
              <w:ind w:firstLine="0"/>
              <w:jc w:val="center"/>
              <w:rPr>
                <w:rFonts w:eastAsia="仿宋"/>
                <w:bCs/>
                <w:kern w:val="0"/>
                <w:sz w:val="24"/>
              </w:rPr>
            </w:pPr>
            <w:r>
              <w:rPr>
                <w:rFonts w:hint="eastAsia" w:eastAsia="仿宋"/>
                <w:bCs/>
                <w:kern w:val="0"/>
                <w:sz w:val="24"/>
              </w:rPr>
              <w:t>5</w:t>
            </w:r>
            <w:r>
              <w:rPr>
                <w:rFonts w:eastAsia="仿宋"/>
                <w:bCs/>
                <w:kern w:val="0"/>
                <w:sz w:val="24"/>
              </w:rPr>
              <w:t>00</w:t>
            </w:r>
          </w:p>
        </w:tc>
        <w:tc>
          <w:tcPr>
            <w:tcW w:w="1237" w:type="dxa"/>
            <w:vAlign w:val="center"/>
          </w:tcPr>
          <w:p w14:paraId="48939681">
            <w:pPr>
              <w:pStyle w:val="2"/>
              <w:ind w:firstLine="0"/>
              <w:jc w:val="center"/>
              <w:rPr>
                <w:rFonts w:eastAsia="仿宋"/>
                <w:bCs/>
                <w:kern w:val="0"/>
                <w:sz w:val="24"/>
              </w:rPr>
            </w:pPr>
            <w:r>
              <w:rPr>
                <w:rFonts w:hint="eastAsia" w:eastAsia="仿宋"/>
                <w:bCs/>
                <w:kern w:val="0"/>
                <w:sz w:val="24"/>
              </w:rPr>
              <w:t>2</w:t>
            </w:r>
            <w:r>
              <w:rPr>
                <w:rFonts w:eastAsia="仿宋"/>
                <w:bCs/>
                <w:kern w:val="0"/>
                <w:sz w:val="24"/>
              </w:rPr>
              <w:t>0000</w:t>
            </w:r>
          </w:p>
        </w:tc>
        <w:tc>
          <w:tcPr>
            <w:tcW w:w="1094" w:type="dxa"/>
            <w:vAlign w:val="center"/>
          </w:tcPr>
          <w:p w14:paraId="316FE2CB">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5F46FF95">
            <w:pPr>
              <w:pStyle w:val="2"/>
              <w:ind w:firstLine="0"/>
              <w:jc w:val="center"/>
              <w:rPr>
                <w:rFonts w:eastAsia="仿宋"/>
                <w:bCs/>
                <w:kern w:val="0"/>
                <w:sz w:val="24"/>
              </w:rPr>
            </w:pPr>
            <w:r>
              <w:rPr>
                <w:rFonts w:hint="eastAsia" w:eastAsia="仿宋"/>
                <w:bCs/>
                <w:kern w:val="0"/>
                <w:sz w:val="24"/>
              </w:rPr>
              <w:t>1</w:t>
            </w:r>
            <w:r>
              <w:rPr>
                <w:rFonts w:eastAsia="仿宋"/>
                <w:bCs/>
                <w:kern w:val="0"/>
                <w:sz w:val="24"/>
              </w:rPr>
              <w:t>5000</w:t>
            </w:r>
          </w:p>
        </w:tc>
        <w:tc>
          <w:tcPr>
            <w:tcW w:w="964" w:type="dxa"/>
            <w:vAlign w:val="center"/>
          </w:tcPr>
          <w:p w14:paraId="650C120C">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228ACD58">
            <w:pPr>
              <w:pStyle w:val="2"/>
              <w:ind w:firstLine="0"/>
              <w:jc w:val="center"/>
              <w:rPr>
                <w:rFonts w:eastAsia="仿宋"/>
                <w:bCs/>
                <w:kern w:val="0"/>
                <w:sz w:val="24"/>
              </w:rPr>
            </w:pPr>
            <w:r>
              <w:rPr>
                <w:rFonts w:hint="eastAsia" w:eastAsia="仿宋"/>
                <w:bCs/>
                <w:kern w:val="0"/>
                <w:sz w:val="24"/>
              </w:rPr>
              <w:t>3</w:t>
            </w:r>
            <w:r>
              <w:rPr>
                <w:rFonts w:eastAsia="仿宋"/>
                <w:bCs/>
                <w:kern w:val="0"/>
                <w:sz w:val="24"/>
              </w:rPr>
              <w:t>0</w:t>
            </w:r>
          </w:p>
        </w:tc>
      </w:tr>
      <w:tr w14:paraId="2173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restart"/>
            <w:vAlign w:val="center"/>
          </w:tcPr>
          <w:p w14:paraId="001518EF">
            <w:pPr>
              <w:pStyle w:val="2"/>
              <w:ind w:firstLine="0"/>
              <w:jc w:val="center"/>
              <w:rPr>
                <w:rFonts w:eastAsia="仿宋"/>
                <w:bCs/>
                <w:kern w:val="0"/>
                <w:sz w:val="24"/>
              </w:rPr>
            </w:pPr>
            <w:r>
              <w:rPr>
                <w:rFonts w:hint="eastAsia" w:eastAsia="仿宋"/>
                <w:bCs/>
                <w:kern w:val="0"/>
                <w:sz w:val="24"/>
              </w:rPr>
              <w:t>2</w:t>
            </w:r>
          </w:p>
        </w:tc>
        <w:tc>
          <w:tcPr>
            <w:tcW w:w="1179" w:type="dxa"/>
            <w:vAlign w:val="center"/>
          </w:tcPr>
          <w:p w14:paraId="64B3D70A">
            <w:pPr>
              <w:pStyle w:val="2"/>
              <w:ind w:firstLine="0"/>
              <w:jc w:val="center"/>
              <w:rPr>
                <w:rFonts w:eastAsia="仿宋"/>
                <w:bCs/>
                <w:kern w:val="0"/>
                <w:sz w:val="24"/>
              </w:rPr>
            </w:pPr>
            <w:r>
              <w:rPr>
                <w:rFonts w:hint="eastAsia" w:eastAsia="仿宋"/>
                <w:bCs/>
                <w:kern w:val="0"/>
                <w:sz w:val="24"/>
              </w:rPr>
              <w:t>钝化槽</w:t>
            </w:r>
          </w:p>
        </w:tc>
        <w:tc>
          <w:tcPr>
            <w:tcW w:w="889" w:type="dxa"/>
            <w:vAlign w:val="center"/>
          </w:tcPr>
          <w:p w14:paraId="74713BD2">
            <w:pPr>
              <w:pStyle w:val="2"/>
              <w:ind w:firstLine="0"/>
              <w:jc w:val="center"/>
              <w:rPr>
                <w:rFonts w:eastAsia="仿宋"/>
                <w:bCs/>
                <w:kern w:val="0"/>
                <w:sz w:val="24"/>
              </w:rPr>
            </w:pPr>
            <w:r>
              <w:rPr>
                <w:rFonts w:hint="eastAsia" w:eastAsia="仿宋"/>
                <w:bCs/>
                <w:kern w:val="0"/>
                <w:sz w:val="24"/>
              </w:rPr>
              <w:t>钝化</w:t>
            </w:r>
          </w:p>
        </w:tc>
        <w:tc>
          <w:tcPr>
            <w:tcW w:w="888" w:type="dxa"/>
            <w:vAlign w:val="center"/>
          </w:tcPr>
          <w:p w14:paraId="08357540">
            <w:pPr>
              <w:pStyle w:val="2"/>
              <w:ind w:firstLine="0"/>
              <w:jc w:val="center"/>
              <w:rPr>
                <w:rFonts w:eastAsia="仿宋"/>
                <w:bCs/>
                <w:kern w:val="0"/>
                <w:sz w:val="24"/>
              </w:rPr>
            </w:pPr>
            <w:r>
              <w:rPr>
                <w:rFonts w:hint="eastAsia" w:eastAsia="仿宋"/>
                <w:bCs/>
                <w:kern w:val="0"/>
                <w:sz w:val="24"/>
              </w:rPr>
              <w:t>集气罩</w:t>
            </w:r>
          </w:p>
        </w:tc>
        <w:tc>
          <w:tcPr>
            <w:tcW w:w="850" w:type="dxa"/>
            <w:vAlign w:val="center"/>
          </w:tcPr>
          <w:p w14:paraId="3F95398B">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2102B76A">
            <w:pPr>
              <w:pStyle w:val="2"/>
              <w:ind w:firstLine="0"/>
              <w:jc w:val="center"/>
              <w:rPr>
                <w:rFonts w:eastAsia="仿宋"/>
                <w:bCs/>
                <w:kern w:val="0"/>
                <w:sz w:val="24"/>
              </w:rPr>
            </w:pPr>
            <w:r>
              <w:rPr>
                <w:rFonts w:hint="eastAsia" w:eastAsia="仿宋"/>
                <w:bCs/>
                <w:kern w:val="0"/>
                <w:sz w:val="24"/>
              </w:rPr>
              <w:t>2</w:t>
            </w:r>
            <w:r>
              <w:rPr>
                <w:rFonts w:eastAsia="仿宋"/>
                <w:bCs/>
                <w:kern w:val="0"/>
                <w:sz w:val="24"/>
              </w:rPr>
              <w:t>.8</w:t>
            </w:r>
          </w:p>
        </w:tc>
        <w:tc>
          <w:tcPr>
            <w:tcW w:w="851" w:type="dxa"/>
            <w:vAlign w:val="center"/>
          </w:tcPr>
          <w:p w14:paraId="7CB38494">
            <w:pPr>
              <w:pStyle w:val="2"/>
              <w:ind w:firstLine="0"/>
              <w:jc w:val="center"/>
              <w:rPr>
                <w:rFonts w:eastAsia="仿宋"/>
                <w:bCs/>
                <w:kern w:val="0"/>
                <w:sz w:val="24"/>
              </w:rPr>
            </w:pPr>
            <w:r>
              <w:rPr>
                <w:rFonts w:hint="eastAsia" w:eastAsia="仿宋"/>
                <w:bCs/>
                <w:kern w:val="0"/>
                <w:sz w:val="24"/>
              </w:rPr>
              <w:t>1</w:t>
            </w:r>
            <w:r>
              <w:rPr>
                <w:rFonts w:eastAsia="仿宋"/>
                <w:bCs/>
                <w:kern w:val="0"/>
                <w:sz w:val="24"/>
              </w:rPr>
              <w:t>.22</w:t>
            </w:r>
          </w:p>
        </w:tc>
        <w:tc>
          <w:tcPr>
            <w:tcW w:w="1040" w:type="dxa"/>
            <w:vAlign w:val="center"/>
          </w:tcPr>
          <w:p w14:paraId="3630B338">
            <w:pPr>
              <w:pStyle w:val="2"/>
              <w:ind w:firstLine="0"/>
              <w:jc w:val="center"/>
              <w:rPr>
                <w:rFonts w:eastAsia="仿宋"/>
                <w:bCs/>
                <w:kern w:val="0"/>
                <w:sz w:val="24"/>
              </w:rPr>
            </w:pPr>
            <w:r>
              <w:rPr>
                <w:rFonts w:hint="eastAsia" w:eastAsia="仿宋"/>
                <w:bCs/>
                <w:kern w:val="0"/>
                <w:sz w:val="24"/>
              </w:rPr>
              <w:t>1</w:t>
            </w:r>
          </w:p>
        </w:tc>
        <w:tc>
          <w:tcPr>
            <w:tcW w:w="1532" w:type="dxa"/>
            <w:vAlign w:val="center"/>
          </w:tcPr>
          <w:p w14:paraId="6CB77FA3">
            <w:pPr>
              <w:pStyle w:val="2"/>
              <w:ind w:firstLine="0"/>
              <w:jc w:val="center"/>
              <w:rPr>
                <w:rFonts w:eastAsia="仿宋"/>
                <w:bCs/>
                <w:kern w:val="0"/>
                <w:sz w:val="24"/>
              </w:rPr>
            </w:pPr>
            <w:r>
              <w:rPr>
                <w:rFonts w:hint="eastAsia" w:eastAsia="仿宋"/>
                <w:bCs/>
                <w:kern w:val="0"/>
                <w:sz w:val="24"/>
              </w:rPr>
              <w:t>/</w:t>
            </w:r>
          </w:p>
        </w:tc>
        <w:tc>
          <w:tcPr>
            <w:tcW w:w="1237" w:type="dxa"/>
            <w:vMerge w:val="restart"/>
            <w:vAlign w:val="center"/>
          </w:tcPr>
          <w:p w14:paraId="457CBC5D">
            <w:pPr>
              <w:pStyle w:val="2"/>
              <w:ind w:firstLine="0"/>
              <w:jc w:val="center"/>
              <w:rPr>
                <w:rFonts w:eastAsia="仿宋"/>
                <w:bCs/>
                <w:kern w:val="0"/>
                <w:sz w:val="24"/>
              </w:rPr>
            </w:pPr>
            <w:r>
              <w:rPr>
                <w:rFonts w:hint="eastAsia" w:eastAsia="仿宋"/>
                <w:bCs/>
                <w:kern w:val="0"/>
                <w:sz w:val="24"/>
              </w:rPr>
              <w:t>2</w:t>
            </w:r>
            <w:r>
              <w:rPr>
                <w:rFonts w:eastAsia="仿宋"/>
                <w:bCs/>
                <w:kern w:val="0"/>
                <w:sz w:val="24"/>
              </w:rPr>
              <w:t>6000</w:t>
            </w:r>
          </w:p>
        </w:tc>
        <w:tc>
          <w:tcPr>
            <w:tcW w:w="1094" w:type="dxa"/>
            <w:vAlign w:val="center"/>
          </w:tcPr>
          <w:p w14:paraId="6DE58F5C">
            <w:pPr>
              <w:pStyle w:val="2"/>
              <w:ind w:firstLine="0"/>
              <w:jc w:val="center"/>
              <w:rPr>
                <w:rFonts w:eastAsia="仿宋"/>
                <w:bCs/>
                <w:kern w:val="0"/>
                <w:sz w:val="24"/>
              </w:rPr>
            </w:pPr>
            <w:r>
              <w:rPr>
                <w:rFonts w:hint="eastAsia" w:eastAsia="仿宋"/>
                <w:bCs/>
                <w:kern w:val="0"/>
                <w:sz w:val="24"/>
              </w:rPr>
              <w:t>0.</w:t>
            </w:r>
            <w:r>
              <w:rPr>
                <w:rFonts w:eastAsia="仿宋"/>
                <w:bCs/>
                <w:kern w:val="0"/>
                <w:sz w:val="24"/>
              </w:rPr>
              <w:t>3</w:t>
            </w:r>
          </w:p>
        </w:tc>
        <w:tc>
          <w:tcPr>
            <w:tcW w:w="1052" w:type="dxa"/>
            <w:vAlign w:val="center"/>
          </w:tcPr>
          <w:p w14:paraId="79D02A63">
            <w:pPr>
              <w:pStyle w:val="2"/>
              <w:ind w:firstLine="0"/>
              <w:jc w:val="center"/>
              <w:rPr>
                <w:rFonts w:eastAsia="仿宋"/>
                <w:bCs/>
                <w:kern w:val="0"/>
                <w:sz w:val="24"/>
              </w:rPr>
            </w:pPr>
            <w:r>
              <w:rPr>
                <w:rFonts w:eastAsia="仿宋"/>
                <w:bCs/>
                <w:kern w:val="0"/>
                <w:sz w:val="24"/>
              </w:rPr>
              <w:t>3450</w:t>
            </w:r>
          </w:p>
        </w:tc>
        <w:tc>
          <w:tcPr>
            <w:tcW w:w="964" w:type="dxa"/>
            <w:vAlign w:val="center"/>
          </w:tcPr>
          <w:p w14:paraId="4743B61B">
            <w:pPr>
              <w:pStyle w:val="2"/>
              <w:ind w:firstLine="0"/>
              <w:jc w:val="center"/>
              <w:rPr>
                <w:rFonts w:eastAsia="仿宋"/>
                <w:bCs/>
                <w:kern w:val="0"/>
                <w:sz w:val="24"/>
              </w:rPr>
            </w:pPr>
            <w:r>
              <w:rPr>
                <w:rFonts w:hint="eastAsia" w:eastAsia="仿宋"/>
                <w:bCs/>
                <w:kern w:val="0"/>
                <w:sz w:val="24"/>
              </w:rPr>
              <w:t>0</w:t>
            </w:r>
            <w:r>
              <w:rPr>
                <w:rFonts w:eastAsia="仿宋"/>
                <w:bCs/>
                <w:kern w:val="0"/>
                <w:sz w:val="24"/>
              </w:rPr>
              <w:t>.3</w:t>
            </w:r>
          </w:p>
        </w:tc>
        <w:tc>
          <w:tcPr>
            <w:tcW w:w="960" w:type="dxa"/>
            <w:vAlign w:val="center"/>
          </w:tcPr>
          <w:p w14:paraId="7012108E">
            <w:pPr>
              <w:pStyle w:val="2"/>
              <w:ind w:firstLine="0"/>
              <w:jc w:val="center"/>
              <w:rPr>
                <w:rFonts w:eastAsia="仿宋"/>
                <w:bCs/>
                <w:kern w:val="0"/>
                <w:sz w:val="24"/>
              </w:rPr>
            </w:pPr>
            <w:r>
              <w:rPr>
                <w:rFonts w:hint="eastAsia" w:eastAsia="仿宋"/>
                <w:bCs/>
                <w:kern w:val="0"/>
                <w:sz w:val="24"/>
              </w:rPr>
              <w:t>/</w:t>
            </w:r>
          </w:p>
        </w:tc>
      </w:tr>
      <w:tr w14:paraId="1A51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continue"/>
            <w:vAlign w:val="center"/>
          </w:tcPr>
          <w:p w14:paraId="675B1C98">
            <w:pPr>
              <w:pStyle w:val="2"/>
              <w:ind w:firstLine="0"/>
              <w:jc w:val="center"/>
              <w:rPr>
                <w:rFonts w:eastAsia="仿宋"/>
                <w:bCs/>
                <w:kern w:val="0"/>
                <w:sz w:val="24"/>
              </w:rPr>
            </w:pPr>
          </w:p>
        </w:tc>
        <w:tc>
          <w:tcPr>
            <w:tcW w:w="1179" w:type="dxa"/>
            <w:vAlign w:val="center"/>
          </w:tcPr>
          <w:p w14:paraId="02A4D4F4">
            <w:pPr>
              <w:pStyle w:val="2"/>
              <w:ind w:firstLine="0"/>
              <w:jc w:val="center"/>
              <w:rPr>
                <w:rFonts w:eastAsia="仿宋"/>
                <w:bCs/>
                <w:kern w:val="0"/>
                <w:sz w:val="24"/>
              </w:rPr>
            </w:pPr>
            <w:r>
              <w:rPr>
                <w:rFonts w:hint="eastAsia" w:eastAsia="仿宋"/>
                <w:bCs/>
                <w:kern w:val="0"/>
                <w:sz w:val="24"/>
              </w:rPr>
              <w:t>喷漆室</w:t>
            </w:r>
            <w:r>
              <w:rPr>
                <w:rFonts w:eastAsia="仿宋"/>
                <w:bCs/>
                <w:kern w:val="0"/>
                <w:sz w:val="24"/>
              </w:rPr>
              <w:t>（氟碳底漆）</w:t>
            </w:r>
          </w:p>
        </w:tc>
        <w:tc>
          <w:tcPr>
            <w:tcW w:w="889" w:type="dxa"/>
            <w:vAlign w:val="center"/>
          </w:tcPr>
          <w:p w14:paraId="74CE90DA">
            <w:pPr>
              <w:pStyle w:val="2"/>
              <w:ind w:firstLine="0"/>
              <w:jc w:val="center"/>
              <w:rPr>
                <w:rFonts w:eastAsia="仿宋"/>
                <w:bCs/>
                <w:kern w:val="0"/>
                <w:sz w:val="24"/>
              </w:rPr>
            </w:pPr>
            <w:r>
              <w:rPr>
                <w:rFonts w:hint="eastAsia" w:eastAsia="仿宋"/>
                <w:bCs/>
                <w:kern w:val="0"/>
                <w:sz w:val="24"/>
              </w:rPr>
              <w:t>喷漆</w:t>
            </w:r>
          </w:p>
        </w:tc>
        <w:tc>
          <w:tcPr>
            <w:tcW w:w="888" w:type="dxa"/>
            <w:vAlign w:val="center"/>
          </w:tcPr>
          <w:p w14:paraId="430702B7">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41DC0352">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2365D08A">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4F5B2AE4">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1CF274F5">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39B38E59">
            <w:pPr>
              <w:pStyle w:val="2"/>
              <w:ind w:firstLine="0"/>
              <w:jc w:val="center"/>
              <w:rPr>
                <w:rFonts w:eastAsia="仿宋"/>
                <w:bCs/>
                <w:kern w:val="0"/>
                <w:sz w:val="24"/>
              </w:rPr>
            </w:pPr>
            <w:r>
              <w:rPr>
                <w:rFonts w:hint="eastAsia" w:eastAsia="仿宋"/>
                <w:bCs/>
                <w:kern w:val="0"/>
                <w:sz w:val="24"/>
              </w:rPr>
              <w:t>2</w:t>
            </w:r>
            <w:r>
              <w:rPr>
                <w:rFonts w:eastAsia="仿宋"/>
                <w:bCs/>
                <w:kern w:val="0"/>
                <w:sz w:val="24"/>
              </w:rPr>
              <w:t>92</w:t>
            </w:r>
          </w:p>
        </w:tc>
        <w:tc>
          <w:tcPr>
            <w:tcW w:w="1237" w:type="dxa"/>
            <w:vMerge w:val="continue"/>
            <w:vAlign w:val="center"/>
          </w:tcPr>
          <w:p w14:paraId="6B28D55F">
            <w:pPr>
              <w:pStyle w:val="2"/>
              <w:ind w:firstLine="0"/>
              <w:jc w:val="center"/>
              <w:rPr>
                <w:rFonts w:eastAsia="仿宋"/>
                <w:bCs/>
                <w:kern w:val="0"/>
                <w:sz w:val="24"/>
              </w:rPr>
            </w:pPr>
          </w:p>
        </w:tc>
        <w:tc>
          <w:tcPr>
            <w:tcW w:w="1094" w:type="dxa"/>
            <w:vAlign w:val="center"/>
          </w:tcPr>
          <w:p w14:paraId="34B2E3A1">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334A7B47">
            <w:pPr>
              <w:pStyle w:val="2"/>
              <w:ind w:firstLine="0"/>
              <w:jc w:val="center"/>
              <w:rPr>
                <w:rFonts w:eastAsia="仿宋"/>
                <w:bCs/>
                <w:kern w:val="0"/>
                <w:sz w:val="24"/>
              </w:rPr>
            </w:pPr>
            <w:r>
              <w:rPr>
                <w:rFonts w:hint="eastAsia" w:eastAsia="仿宋"/>
                <w:bCs/>
                <w:kern w:val="0"/>
                <w:sz w:val="24"/>
              </w:rPr>
              <w:t>1</w:t>
            </w:r>
            <w:r>
              <w:rPr>
                <w:rFonts w:eastAsia="仿宋"/>
                <w:bCs/>
                <w:kern w:val="0"/>
                <w:sz w:val="24"/>
              </w:rPr>
              <w:t>1680</w:t>
            </w:r>
          </w:p>
        </w:tc>
        <w:tc>
          <w:tcPr>
            <w:tcW w:w="964" w:type="dxa"/>
            <w:vAlign w:val="center"/>
          </w:tcPr>
          <w:p w14:paraId="1DE2D0EB">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3ED4342B">
            <w:pPr>
              <w:pStyle w:val="2"/>
              <w:ind w:firstLine="0"/>
              <w:jc w:val="center"/>
              <w:rPr>
                <w:rFonts w:eastAsia="仿宋"/>
                <w:bCs/>
                <w:kern w:val="0"/>
                <w:sz w:val="24"/>
              </w:rPr>
            </w:pPr>
            <w:r>
              <w:rPr>
                <w:rFonts w:hint="eastAsia" w:eastAsia="仿宋"/>
                <w:bCs/>
                <w:kern w:val="0"/>
                <w:sz w:val="24"/>
              </w:rPr>
              <w:t>4</w:t>
            </w:r>
            <w:r>
              <w:rPr>
                <w:rFonts w:eastAsia="仿宋"/>
                <w:bCs/>
                <w:kern w:val="0"/>
                <w:sz w:val="24"/>
              </w:rPr>
              <w:t>0</w:t>
            </w:r>
          </w:p>
        </w:tc>
      </w:tr>
      <w:tr w14:paraId="37AC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continue"/>
            <w:vAlign w:val="center"/>
          </w:tcPr>
          <w:p w14:paraId="0728596F">
            <w:pPr>
              <w:pStyle w:val="2"/>
              <w:ind w:firstLine="0"/>
              <w:jc w:val="center"/>
              <w:rPr>
                <w:rFonts w:eastAsia="仿宋"/>
                <w:bCs/>
                <w:kern w:val="0"/>
                <w:sz w:val="24"/>
              </w:rPr>
            </w:pPr>
          </w:p>
        </w:tc>
        <w:tc>
          <w:tcPr>
            <w:tcW w:w="1179" w:type="dxa"/>
            <w:vAlign w:val="center"/>
          </w:tcPr>
          <w:p w14:paraId="46E48FB9">
            <w:pPr>
              <w:pStyle w:val="2"/>
              <w:ind w:firstLine="0"/>
              <w:jc w:val="center"/>
              <w:rPr>
                <w:rFonts w:eastAsia="仿宋"/>
                <w:bCs/>
                <w:kern w:val="0"/>
                <w:sz w:val="24"/>
              </w:rPr>
            </w:pPr>
            <w:r>
              <w:rPr>
                <w:rFonts w:hint="eastAsia" w:eastAsia="仿宋"/>
                <w:bCs/>
                <w:kern w:val="0"/>
                <w:sz w:val="24"/>
              </w:rPr>
              <w:t>流平室</w:t>
            </w:r>
            <w:r>
              <w:rPr>
                <w:rFonts w:eastAsia="仿宋"/>
                <w:bCs/>
                <w:kern w:val="0"/>
                <w:sz w:val="24"/>
              </w:rPr>
              <w:t>（氟碳底漆）</w:t>
            </w:r>
          </w:p>
        </w:tc>
        <w:tc>
          <w:tcPr>
            <w:tcW w:w="889" w:type="dxa"/>
            <w:vAlign w:val="center"/>
          </w:tcPr>
          <w:p w14:paraId="3F0341E7">
            <w:pPr>
              <w:pStyle w:val="2"/>
              <w:ind w:firstLine="0"/>
              <w:jc w:val="center"/>
              <w:rPr>
                <w:rFonts w:eastAsia="仿宋"/>
                <w:bCs/>
                <w:kern w:val="0"/>
                <w:sz w:val="24"/>
              </w:rPr>
            </w:pPr>
            <w:r>
              <w:rPr>
                <w:rFonts w:hint="eastAsia" w:eastAsia="仿宋"/>
                <w:bCs/>
                <w:kern w:val="0"/>
                <w:sz w:val="24"/>
              </w:rPr>
              <w:t>流平</w:t>
            </w:r>
          </w:p>
        </w:tc>
        <w:tc>
          <w:tcPr>
            <w:tcW w:w="888" w:type="dxa"/>
            <w:vAlign w:val="center"/>
          </w:tcPr>
          <w:p w14:paraId="2BA4313A">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4E0719C8">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708ECFF7">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14BEE41D">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09D0936D">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0616BD9E">
            <w:pPr>
              <w:pStyle w:val="2"/>
              <w:ind w:firstLine="0"/>
              <w:jc w:val="center"/>
              <w:rPr>
                <w:rFonts w:eastAsia="仿宋"/>
                <w:bCs/>
                <w:kern w:val="0"/>
                <w:sz w:val="24"/>
              </w:rPr>
            </w:pPr>
            <w:r>
              <w:rPr>
                <w:rFonts w:hint="eastAsia" w:eastAsia="仿宋"/>
                <w:bCs/>
                <w:kern w:val="0"/>
                <w:sz w:val="24"/>
              </w:rPr>
              <w:t>8</w:t>
            </w:r>
            <w:r>
              <w:rPr>
                <w:rFonts w:eastAsia="仿宋"/>
                <w:bCs/>
                <w:kern w:val="0"/>
                <w:sz w:val="24"/>
              </w:rPr>
              <w:t>6.4</w:t>
            </w:r>
          </w:p>
        </w:tc>
        <w:tc>
          <w:tcPr>
            <w:tcW w:w="1237" w:type="dxa"/>
            <w:vMerge w:val="continue"/>
            <w:vAlign w:val="center"/>
          </w:tcPr>
          <w:p w14:paraId="3247E22B">
            <w:pPr>
              <w:pStyle w:val="2"/>
              <w:ind w:firstLine="0"/>
              <w:jc w:val="center"/>
              <w:rPr>
                <w:rFonts w:eastAsia="仿宋"/>
                <w:bCs/>
                <w:kern w:val="0"/>
                <w:sz w:val="24"/>
              </w:rPr>
            </w:pPr>
          </w:p>
        </w:tc>
        <w:tc>
          <w:tcPr>
            <w:tcW w:w="1094" w:type="dxa"/>
            <w:vAlign w:val="center"/>
          </w:tcPr>
          <w:p w14:paraId="5C2D80E3">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57219ED2">
            <w:pPr>
              <w:pStyle w:val="2"/>
              <w:ind w:firstLine="0"/>
              <w:jc w:val="center"/>
              <w:rPr>
                <w:rFonts w:eastAsia="仿宋"/>
                <w:bCs/>
                <w:kern w:val="0"/>
                <w:sz w:val="24"/>
              </w:rPr>
            </w:pPr>
            <w:r>
              <w:rPr>
                <w:rFonts w:hint="eastAsia" w:eastAsia="仿宋"/>
                <w:bCs/>
                <w:kern w:val="0"/>
                <w:sz w:val="24"/>
              </w:rPr>
              <w:t>3</w:t>
            </w:r>
            <w:r>
              <w:rPr>
                <w:rFonts w:eastAsia="仿宋"/>
                <w:bCs/>
                <w:kern w:val="0"/>
                <w:sz w:val="24"/>
              </w:rPr>
              <w:t>456</w:t>
            </w:r>
          </w:p>
        </w:tc>
        <w:tc>
          <w:tcPr>
            <w:tcW w:w="964" w:type="dxa"/>
            <w:vAlign w:val="center"/>
          </w:tcPr>
          <w:p w14:paraId="06FA97EA">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398B3153">
            <w:pPr>
              <w:pStyle w:val="2"/>
              <w:ind w:firstLine="0"/>
              <w:jc w:val="center"/>
              <w:rPr>
                <w:rFonts w:eastAsia="仿宋"/>
                <w:bCs/>
                <w:kern w:val="0"/>
                <w:sz w:val="24"/>
              </w:rPr>
            </w:pPr>
            <w:r>
              <w:rPr>
                <w:rFonts w:hint="eastAsia" w:eastAsia="仿宋"/>
                <w:bCs/>
                <w:kern w:val="0"/>
                <w:sz w:val="24"/>
              </w:rPr>
              <w:t>4</w:t>
            </w:r>
            <w:r>
              <w:rPr>
                <w:rFonts w:eastAsia="仿宋"/>
                <w:bCs/>
                <w:kern w:val="0"/>
                <w:sz w:val="24"/>
              </w:rPr>
              <w:t>0</w:t>
            </w:r>
          </w:p>
        </w:tc>
      </w:tr>
      <w:tr w14:paraId="5BF9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restart"/>
            <w:vAlign w:val="center"/>
          </w:tcPr>
          <w:p w14:paraId="27C79475">
            <w:pPr>
              <w:pStyle w:val="2"/>
              <w:ind w:firstLine="0"/>
              <w:jc w:val="center"/>
              <w:rPr>
                <w:rFonts w:eastAsia="仿宋"/>
                <w:bCs/>
                <w:kern w:val="0"/>
                <w:sz w:val="24"/>
              </w:rPr>
            </w:pPr>
            <w:r>
              <w:rPr>
                <w:rFonts w:hint="eastAsia" w:eastAsia="仿宋"/>
                <w:bCs/>
                <w:kern w:val="0"/>
                <w:sz w:val="24"/>
              </w:rPr>
              <w:t>3</w:t>
            </w:r>
          </w:p>
        </w:tc>
        <w:tc>
          <w:tcPr>
            <w:tcW w:w="1179" w:type="dxa"/>
            <w:vAlign w:val="center"/>
          </w:tcPr>
          <w:p w14:paraId="2F8A3E2C">
            <w:pPr>
              <w:pStyle w:val="2"/>
              <w:ind w:firstLine="0"/>
              <w:jc w:val="center"/>
              <w:rPr>
                <w:rFonts w:eastAsia="仿宋"/>
                <w:bCs/>
                <w:kern w:val="0"/>
                <w:sz w:val="24"/>
              </w:rPr>
            </w:pPr>
            <w:r>
              <w:rPr>
                <w:rFonts w:hint="eastAsia" w:eastAsia="仿宋"/>
                <w:bCs/>
                <w:kern w:val="0"/>
                <w:sz w:val="24"/>
              </w:rPr>
              <w:t>调漆间</w:t>
            </w:r>
          </w:p>
        </w:tc>
        <w:tc>
          <w:tcPr>
            <w:tcW w:w="889" w:type="dxa"/>
            <w:vAlign w:val="center"/>
          </w:tcPr>
          <w:p w14:paraId="49EF1631">
            <w:pPr>
              <w:pStyle w:val="2"/>
              <w:ind w:firstLine="0"/>
              <w:jc w:val="center"/>
              <w:rPr>
                <w:rFonts w:eastAsia="仿宋"/>
                <w:bCs/>
                <w:kern w:val="0"/>
                <w:sz w:val="24"/>
              </w:rPr>
            </w:pPr>
            <w:r>
              <w:rPr>
                <w:rFonts w:hint="eastAsia" w:eastAsia="仿宋"/>
                <w:bCs/>
                <w:kern w:val="0"/>
                <w:sz w:val="24"/>
              </w:rPr>
              <w:t>调漆</w:t>
            </w:r>
          </w:p>
        </w:tc>
        <w:tc>
          <w:tcPr>
            <w:tcW w:w="888" w:type="dxa"/>
            <w:vAlign w:val="center"/>
          </w:tcPr>
          <w:p w14:paraId="19AD4050">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66E48A12">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763479A8">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2EC1D4DE">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599B48BB">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6E2CF6EF">
            <w:pPr>
              <w:pStyle w:val="2"/>
              <w:ind w:firstLine="0"/>
              <w:jc w:val="center"/>
              <w:rPr>
                <w:rFonts w:eastAsia="仿宋"/>
                <w:bCs/>
                <w:kern w:val="0"/>
                <w:sz w:val="24"/>
              </w:rPr>
            </w:pPr>
            <w:r>
              <w:rPr>
                <w:rFonts w:hint="eastAsia" w:eastAsia="仿宋"/>
                <w:bCs/>
                <w:kern w:val="0"/>
                <w:sz w:val="24"/>
              </w:rPr>
              <w:t>2</w:t>
            </w:r>
            <w:r>
              <w:rPr>
                <w:rFonts w:eastAsia="仿宋"/>
                <w:bCs/>
                <w:kern w:val="0"/>
                <w:sz w:val="24"/>
              </w:rPr>
              <w:t>25</w:t>
            </w:r>
          </w:p>
        </w:tc>
        <w:tc>
          <w:tcPr>
            <w:tcW w:w="1237" w:type="dxa"/>
            <w:vMerge w:val="restart"/>
            <w:vAlign w:val="center"/>
          </w:tcPr>
          <w:p w14:paraId="267F4868">
            <w:pPr>
              <w:pStyle w:val="2"/>
              <w:ind w:firstLine="0"/>
              <w:jc w:val="center"/>
              <w:rPr>
                <w:rFonts w:eastAsia="仿宋"/>
                <w:bCs/>
                <w:kern w:val="0"/>
                <w:sz w:val="24"/>
              </w:rPr>
            </w:pPr>
            <w:r>
              <w:rPr>
                <w:rFonts w:hint="eastAsia" w:eastAsia="仿宋"/>
                <w:bCs/>
                <w:kern w:val="0"/>
                <w:sz w:val="24"/>
              </w:rPr>
              <w:t>2</w:t>
            </w:r>
            <w:r>
              <w:rPr>
                <w:rFonts w:eastAsia="仿宋"/>
                <w:bCs/>
                <w:kern w:val="0"/>
                <w:sz w:val="24"/>
              </w:rPr>
              <w:t>8000</w:t>
            </w:r>
          </w:p>
        </w:tc>
        <w:tc>
          <w:tcPr>
            <w:tcW w:w="1094" w:type="dxa"/>
            <w:vAlign w:val="center"/>
          </w:tcPr>
          <w:p w14:paraId="7F5C2861">
            <w:pPr>
              <w:pStyle w:val="2"/>
              <w:ind w:firstLine="0"/>
              <w:jc w:val="center"/>
              <w:rPr>
                <w:rFonts w:eastAsia="仿宋"/>
                <w:bCs/>
                <w:kern w:val="0"/>
                <w:sz w:val="24"/>
              </w:rPr>
            </w:pPr>
            <w:r>
              <w:rPr>
                <w:rFonts w:eastAsia="仿宋"/>
                <w:bCs/>
                <w:kern w:val="0"/>
                <w:sz w:val="24"/>
              </w:rPr>
              <w:t>/</w:t>
            </w:r>
          </w:p>
        </w:tc>
        <w:tc>
          <w:tcPr>
            <w:tcW w:w="1052" w:type="dxa"/>
            <w:vAlign w:val="center"/>
          </w:tcPr>
          <w:p w14:paraId="6EABAB44">
            <w:pPr>
              <w:pStyle w:val="2"/>
              <w:ind w:firstLine="0"/>
              <w:jc w:val="center"/>
              <w:rPr>
                <w:rFonts w:eastAsia="仿宋"/>
                <w:bCs/>
                <w:kern w:val="0"/>
                <w:sz w:val="24"/>
              </w:rPr>
            </w:pPr>
            <w:r>
              <w:rPr>
                <w:rFonts w:hint="eastAsia" w:eastAsia="仿宋"/>
                <w:bCs/>
                <w:kern w:val="0"/>
                <w:sz w:val="24"/>
              </w:rPr>
              <w:t>6</w:t>
            </w:r>
            <w:r>
              <w:rPr>
                <w:rFonts w:eastAsia="仿宋"/>
                <w:bCs/>
                <w:kern w:val="0"/>
                <w:sz w:val="24"/>
              </w:rPr>
              <w:t>750</w:t>
            </w:r>
          </w:p>
        </w:tc>
        <w:tc>
          <w:tcPr>
            <w:tcW w:w="964" w:type="dxa"/>
            <w:vAlign w:val="center"/>
          </w:tcPr>
          <w:p w14:paraId="1FAD949F">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559AA593">
            <w:pPr>
              <w:pStyle w:val="2"/>
              <w:ind w:firstLine="0"/>
              <w:jc w:val="center"/>
              <w:rPr>
                <w:rFonts w:eastAsia="仿宋"/>
                <w:bCs/>
                <w:kern w:val="0"/>
                <w:sz w:val="24"/>
              </w:rPr>
            </w:pPr>
            <w:r>
              <w:rPr>
                <w:rFonts w:eastAsia="仿宋"/>
                <w:bCs/>
                <w:kern w:val="0"/>
                <w:sz w:val="24"/>
              </w:rPr>
              <w:t>30</w:t>
            </w:r>
          </w:p>
        </w:tc>
      </w:tr>
      <w:tr w14:paraId="6431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continue"/>
            <w:vAlign w:val="center"/>
          </w:tcPr>
          <w:p w14:paraId="758A8851">
            <w:pPr>
              <w:pStyle w:val="2"/>
              <w:ind w:firstLine="0"/>
              <w:jc w:val="center"/>
              <w:rPr>
                <w:rFonts w:eastAsia="仿宋"/>
                <w:bCs/>
                <w:kern w:val="0"/>
                <w:sz w:val="24"/>
              </w:rPr>
            </w:pPr>
          </w:p>
        </w:tc>
        <w:tc>
          <w:tcPr>
            <w:tcW w:w="1179" w:type="dxa"/>
            <w:vAlign w:val="center"/>
          </w:tcPr>
          <w:p w14:paraId="5C91C9BA">
            <w:pPr>
              <w:jc w:val="center"/>
              <w:rPr>
                <w:rFonts w:ascii="Times New Roman" w:eastAsia="仿宋"/>
                <w:szCs w:val="24"/>
              </w:rPr>
            </w:pPr>
            <w:r>
              <w:rPr>
                <w:rFonts w:ascii="Times New Roman" w:eastAsia="仿宋"/>
                <w:szCs w:val="24"/>
              </w:rPr>
              <w:t>喷漆室（氟碳面漆）</w:t>
            </w:r>
          </w:p>
        </w:tc>
        <w:tc>
          <w:tcPr>
            <w:tcW w:w="889" w:type="dxa"/>
            <w:vAlign w:val="center"/>
          </w:tcPr>
          <w:p w14:paraId="11CE8B64">
            <w:pPr>
              <w:pStyle w:val="2"/>
              <w:ind w:firstLine="0"/>
              <w:jc w:val="center"/>
              <w:rPr>
                <w:rFonts w:eastAsia="仿宋"/>
                <w:bCs/>
                <w:kern w:val="0"/>
                <w:sz w:val="24"/>
              </w:rPr>
            </w:pPr>
            <w:r>
              <w:rPr>
                <w:rFonts w:hint="eastAsia" w:eastAsia="仿宋"/>
                <w:bCs/>
                <w:kern w:val="0"/>
                <w:sz w:val="24"/>
              </w:rPr>
              <w:t>喷漆</w:t>
            </w:r>
          </w:p>
        </w:tc>
        <w:tc>
          <w:tcPr>
            <w:tcW w:w="888" w:type="dxa"/>
            <w:vAlign w:val="center"/>
          </w:tcPr>
          <w:p w14:paraId="682A913D">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0A2D455A">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430D07B9">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542D65C0">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0F39A413">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06A7E8DE">
            <w:pPr>
              <w:pStyle w:val="2"/>
              <w:ind w:firstLine="0"/>
              <w:jc w:val="center"/>
              <w:rPr>
                <w:rFonts w:eastAsia="仿宋"/>
                <w:bCs/>
                <w:kern w:val="0"/>
                <w:sz w:val="24"/>
              </w:rPr>
            </w:pPr>
            <w:r>
              <w:rPr>
                <w:rFonts w:hint="eastAsia" w:eastAsia="仿宋"/>
                <w:bCs/>
                <w:kern w:val="0"/>
                <w:sz w:val="24"/>
              </w:rPr>
              <w:t>3</w:t>
            </w:r>
            <w:r>
              <w:rPr>
                <w:rFonts w:eastAsia="仿宋"/>
                <w:bCs/>
                <w:kern w:val="0"/>
                <w:sz w:val="24"/>
              </w:rPr>
              <w:t>36</w:t>
            </w:r>
          </w:p>
        </w:tc>
        <w:tc>
          <w:tcPr>
            <w:tcW w:w="1237" w:type="dxa"/>
            <w:vMerge w:val="continue"/>
            <w:vAlign w:val="center"/>
          </w:tcPr>
          <w:p w14:paraId="0D719674">
            <w:pPr>
              <w:pStyle w:val="2"/>
              <w:ind w:firstLine="0"/>
              <w:jc w:val="center"/>
              <w:rPr>
                <w:rFonts w:eastAsia="仿宋"/>
                <w:bCs/>
                <w:kern w:val="0"/>
                <w:sz w:val="24"/>
              </w:rPr>
            </w:pPr>
          </w:p>
        </w:tc>
        <w:tc>
          <w:tcPr>
            <w:tcW w:w="1094" w:type="dxa"/>
            <w:vAlign w:val="center"/>
          </w:tcPr>
          <w:p w14:paraId="52F8A224">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492681E0">
            <w:pPr>
              <w:pStyle w:val="2"/>
              <w:ind w:firstLine="0"/>
              <w:jc w:val="center"/>
              <w:rPr>
                <w:rFonts w:eastAsia="仿宋"/>
                <w:bCs/>
                <w:kern w:val="0"/>
                <w:sz w:val="24"/>
              </w:rPr>
            </w:pPr>
            <w:r>
              <w:rPr>
                <w:rFonts w:hint="eastAsia" w:eastAsia="仿宋"/>
                <w:bCs/>
                <w:kern w:val="0"/>
                <w:sz w:val="24"/>
              </w:rPr>
              <w:t>1</w:t>
            </w:r>
            <w:r>
              <w:rPr>
                <w:rFonts w:eastAsia="仿宋"/>
                <w:bCs/>
                <w:kern w:val="0"/>
                <w:sz w:val="24"/>
              </w:rPr>
              <w:t>3440</w:t>
            </w:r>
          </w:p>
        </w:tc>
        <w:tc>
          <w:tcPr>
            <w:tcW w:w="964" w:type="dxa"/>
            <w:vAlign w:val="center"/>
          </w:tcPr>
          <w:p w14:paraId="1E3CA139">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4DB86BF7">
            <w:pPr>
              <w:pStyle w:val="2"/>
              <w:ind w:firstLine="0"/>
              <w:jc w:val="center"/>
              <w:rPr>
                <w:rFonts w:eastAsia="仿宋"/>
                <w:bCs/>
                <w:kern w:val="0"/>
                <w:sz w:val="24"/>
              </w:rPr>
            </w:pPr>
            <w:r>
              <w:rPr>
                <w:rFonts w:eastAsia="仿宋"/>
                <w:bCs/>
                <w:kern w:val="0"/>
                <w:sz w:val="24"/>
              </w:rPr>
              <w:t>40</w:t>
            </w:r>
          </w:p>
        </w:tc>
      </w:tr>
      <w:tr w14:paraId="7A7E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Merge w:val="continue"/>
            <w:vAlign w:val="center"/>
          </w:tcPr>
          <w:p w14:paraId="06EC2698">
            <w:pPr>
              <w:pStyle w:val="2"/>
              <w:ind w:firstLine="0"/>
              <w:jc w:val="center"/>
              <w:rPr>
                <w:rFonts w:eastAsia="仿宋"/>
                <w:bCs/>
                <w:kern w:val="0"/>
                <w:sz w:val="24"/>
              </w:rPr>
            </w:pPr>
          </w:p>
        </w:tc>
        <w:tc>
          <w:tcPr>
            <w:tcW w:w="1179" w:type="dxa"/>
            <w:vAlign w:val="center"/>
          </w:tcPr>
          <w:p w14:paraId="1FCFB325">
            <w:pPr>
              <w:jc w:val="center"/>
              <w:rPr>
                <w:rFonts w:ascii="Times New Roman" w:eastAsia="仿宋"/>
                <w:szCs w:val="24"/>
              </w:rPr>
            </w:pPr>
            <w:r>
              <w:rPr>
                <w:rFonts w:ascii="Times New Roman" w:eastAsia="仿宋"/>
                <w:szCs w:val="24"/>
              </w:rPr>
              <w:t>流平室（氟碳面漆）</w:t>
            </w:r>
          </w:p>
        </w:tc>
        <w:tc>
          <w:tcPr>
            <w:tcW w:w="889" w:type="dxa"/>
            <w:vAlign w:val="center"/>
          </w:tcPr>
          <w:p w14:paraId="2F4A1E53">
            <w:pPr>
              <w:pStyle w:val="2"/>
              <w:ind w:firstLine="0"/>
              <w:jc w:val="center"/>
              <w:rPr>
                <w:rFonts w:eastAsia="仿宋"/>
                <w:bCs/>
                <w:kern w:val="0"/>
                <w:sz w:val="24"/>
              </w:rPr>
            </w:pPr>
            <w:r>
              <w:rPr>
                <w:rFonts w:hint="eastAsia" w:eastAsia="仿宋"/>
                <w:bCs/>
                <w:kern w:val="0"/>
                <w:sz w:val="24"/>
              </w:rPr>
              <w:t>流平</w:t>
            </w:r>
          </w:p>
        </w:tc>
        <w:tc>
          <w:tcPr>
            <w:tcW w:w="888" w:type="dxa"/>
            <w:vAlign w:val="center"/>
          </w:tcPr>
          <w:p w14:paraId="73B441FF">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1EA64C1A">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7F759F80">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73DDD795">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0F34DA09">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67B4463D">
            <w:pPr>
              <w:pStyle w:val="2"/>
              <w:ind w:firstLine="0"/>
              <w:jc w:val="center"/>
              <w:rPr>
                <w:rFonts w:eastAsia="仿宋"/>
                <w:bCs/>
                <w:kern w:val="0"/>
                <w:sz w:val="24"/>
              </w:rPr>
            </w:pPr>
            <w:r>
              <w:rPr>
                <w:rFonts w:hint="eastAsia" w:eastAsia="仿宋"/>
                <w:bCs/>
                <w:kern w:val="0"/>
                <w:sz w:val="24"/>
              </w:rPr>
              <w:t>8</w:t>
            </w:r>
            <w:r>
              <w:rPr>
                <w:rFonts w:eastAsia="仿宋"/>
                <w:bCs/>
                <w:kern w:val="0"/>
                <w:sz w:val="24"/>
              </w:rPr>
              <w:t>2</w:t>
            </w:r>
          </w:p>
        </w:tc>
        <w:tc>
          <w:tcPr>
            <w:tcW w:w="1237" w:type="dxa"/>
            <w:vMerge w:val="continue"/>
            <w:vAlign w:val="center"/>
          </w:tcPr>
          <w:p w14:paraId="4E5C2C02">
            <w:pPr>
              <w:pStyle w:val="2"/>
              <w:ind w:firstLine="0"/>
              <w:jc w:val="center"/>
              <w:rPr>
                <w:rFonts w:eastAsia="仿宋"/>
                <w:bCs/>
                <w:kern w:val="0"/>
                <w:sz w:val="24"/>
              </w:rPr>
            </w:pPr>
          </w:p>
        </w:tc>
        <w:tc>
          <w:tcPr>
            <w:tcW w:w="1094" w:type="dxa"/>
            <w:vAlign w:val="center"/>
          </w:tcPr>
          <w:p w14:paraId="3117BD01">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034519C9">
            <w:pPr>
              <w:pStyle w:val="2"/>
              <w:ind w:firstLine="0"/>
              <w:jc w:val="center"/>
              <w:rPr>
                <w:rFonts w:eastAsia="仿宋"/>
                <w:bCs/>
                <w:kern w:val="0"/>
                <w:sz w:val="24"/>
              </w:rPr>
            </w:pPr>
            <w:r>
              <w:rPr>
                <w:rFonts w:hint="eastAsia" w:eastAsia="仿宋"/>
                <w:bCs/>
                <w:kern w:val="0"/>
                <w:sz w:val="24"/>
              </w:rPr>
              <w:t>3</w:t>
            </w:r>
            <w:r>
              <w:rPr>
                <w:rFonts w:eastAsia="仿宋"/>
                <w:bCs/>
                <w:kern w:val="0"/>
                <w:sz w:val="24"/>
              </w:rPr>
              <w:t>280</w:t>
            </w:r>
          </w:p>
        </w:tc>
        <w:tc>
          <w:tcPr>
            <w:tcW w:w="964" w:type="dxa"/>
            <w:vAlign w:val="center"/>
          </w:tcPr>
          <w:p w14:paraId="2BFF44FD">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04E43B79">
            <w:pPr>
              <w:pStyle w:val="2"/>
              <w:ind w:firstLine="0"/>
              <w:jc w:val="center"/>
              <w:rPr>
                <w:rFonts w:eastAsia="仿宋"/>
                <w:bCs/>
                <w:kern w:val="0"/>
                <w:sz w:val="24"/>
              </w:rPr>
            </w:pPr>
            <w:r>
              <w:rPr>
                <w:rFonts w:hint="eastAsia" w:eastAsia="仿宋"/>
                <w:bCs/>
                <w:kern w:val="0"/>
                <w:sz w:val="24"/>
              </w:rPr>
              <w:t>4</w:t>
            </w:r>
            <w:r>
              <w:rPr>
                <w:rFonts w:eastAsia="仿宋"/>
                <w:bCs/>
                <w:kern w:val="0"/>
                <w:sz w:val="24"/>
              </w:rPr>
              <w:t>0</w:t>
            </w:r>
          </w:p>
        </w:tc>
      </w:tr>
      <w:tr w14:paraId="3EED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Align w:val="center"/>
          </w:tcPr>
          <w:p w14:paraId="6A98E6DD">
            <w:pPr>
              <w:pStyle w:val="2"/>
              <w:ind w:firstLine="0"/>
              <w:jc w:val="center"/>
              <w:rPr>
                <w:rFonts w:eastAsia="仿宋"/>
                <w:bCs/>
                <w:kern w:val="0"/>
                <w:sz w:val="24"/>
              </w:rPr>
            </w:pPr>
            <w:r>
              <w:rPr>
                <w:rFonts w:hint="eastAsia" w:eastAsia="仿宋"/>
                <w:bCs/>
                <w:kern w:val="0"/>
                <w:sz w:val="24"/>
              </w:rPr>
              <w:t>4</w:t>
            </w:r>
          </w:p>
        </w:tc>
        <w:tc>
          <w:tcPr>
            <w:tcW w:w="1179" w:type="dxa"/>
            <w:vAlign w:val="center"/>
          </w:tcPr>
          <w:p w14:paraId="5583E44B">
            <w:pPr>
              <w:jc w:val="center"/>
              <w:rPr>
                <w:rFonts w:ascii="Times New Roman" w:eastAsia="仿宋"/>
                <w:szCs w:val="24"/>
              </w:rPr>
            </w:pPr>
            <w:r>
              <w:rPr>
                <w:rFonts w:hint="eastAsia" w:ascii="Times New Roman" w:eastAsia="仿宋"/>
                <w:szCs w:val="24"/>
              </w:rPr>
              <w:t>固化间</w:t>
            </w:r>
          </w:p>
        </w:tc>
        <w:tc>
          <w:tcPr>
            <w:tcW w:w="889" w:type="dxa"/>
            <w:vAlign w:val="center"/>
          </w:tcPr>
          <w:p w14:paraId="7A0BDDFA">
            <w:pPr>
              <w:pStyle w:val="2"/>
              <w:ind w:firstLine="0"/>
              <w:jc w:val="center"/>
              <w:rPr>
                <w:rFonts w:eastAsia="仿宋"/>
                <w:bCs/>
                <w:kern w:val="0"/>
                <w:sz w:val="24"/>
              </w:rPr>
            </w:pPr>
            <w:r>
              <w:rPr>
                <w:rFonts w:hint="eastAsia" w:eastAsia="仿宋"/>
                <w:bCs/>
                <w:kern w:val="0"/>
                <w:sz w:val="24"/>
              </w:rPr>
              <w:t>固化、烘干</w:t>
            </w:r>
          </w:p>
        </w:tc>
        <w:tc>
          <w:tcPr>
            <w:tcW w:w="888" w:type="dxa"/>
            <w:vAlign w:val="center"/>
          </w:tcPr>
          <w:p w14:paraId="0B07D9C8">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10356F48">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603E99CE">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2E6A7170">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3B0EF73F">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5C1FAB26">
            <w:pPr>
              <w:pStyle w:val="2"/>
              <w:ind w:firstLine="0"/>
              <w:jc w:val="center"/>
              <w:rPr>
                <w:rFonts w:eastAsia="仿宋"/>
                <w:bCs/>
                <w:kern w:val="0"/>
                <w:sz w:val="24"/>
              </w:rPr>
            </w:pPr>
            <w:r>
              <w:rPr>
                <w:rFonts w:eastAsia="仿宋"/>
                <w:bCs/>
                <w:kern w:val="0"/>
                <w:sz w:val="24"/>
              </w:rPr>
              <w:t>421</w:t>
            </w:r>
          </w:p>
        </w:tc>
        <w:tc>
          <w:tcPr>
            <w:tcW w:w="1237" w:type="dxa"/>
            <w:vAlign w:val="center"/>
          </w:tcPr>
          <w:p w14:paraId="61EDEBA6">
            <w:pPr>
              <w:pStyle w:val="2"/>
              <w:ind w:firstLine="0"/>
              <w:jc w:val="center"/>
              <w:rPr>
                <w:rFonts w:eastAsia="仿宋"/>
                <w:bCs/>
                <w:kern w:val="0"/>
                <w:sz w:val="24"/>
              </w:rPr>
            </w:pPr>
            <w:r>
              <w:rPr>
                <w:rFonts w:hint="eastAsia" w:eastAsia="仿宋"/>
                <w:bCs/>
                <w:kern w:val="0"/>
                <w:sz w:val="24"/>
              </w:rPr>
              <w:t>2</w:t>
            </w:r>
            <w:r>
              <w:rPr>
                <w:rFonts w:eastAsia="仿宋"/>
                <w:bCs/>
                <w:kern w:val="0"/>
                <w:sz w:val="24"/>
              </w:rPr>
              <w:t>1000</w:t>
            </w:r>
          </w:p>
        </w:tc>
        <w:tc>
          <w:tcPr>
            <w:tcW w:w="1094" w:type="dxa"/>
            <w:vAlign w:val="center"/>
          </w:tcPr>
          <w:p w14:paraId="7DDE1AA1">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6F15493A">
            <w:pPr>
              <w:pStyle w:val="2"/>
              <w:ind w:firstLine="0"/>
              <w:jc w:val="center"/>
              <w:rPr>
                <w:rFonts w:eastAsia="仿宋"/>
                <w:bCs/>
                <w:kern w:val="0"/>
                <w:sz w:val="24"/>
              </w:rPr>
            </w:pPr>
            <w:r>
              <w:rPr>
                <w:rFonts w:hint="eastAsia" w:eastAsia="仿宋"/>
                <w:bCs/>
                <w:kern w:val="0"/>
                <w:sz w:val="24"/>
              </w:rPr>
              <w:t>1</w:t>
            </w:r>
            <w:r>
              <w:rPr>
                <w:rFonts w:eastAsia="仿宋"/>
                <w:bCs/>
                <w:kern w:val="0"/>
                <w:sz w:val="24"/>
              </w:rPr>
              <w:t>1088</w:t>
            </w:r>
          </w:p>
        </w:tc>
        <w:tc>
          <w:tcPr>
            <w:tcW w:w="964" w:type="dxa"/>
            <w:vAlign w:val="center"/>
          </w:tcPr>
          <w:p w14:paraId="2BDA5E5F">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41143105">
            <w:pPr>
              <w:pStyle w:val="2"/>
              <w:ind w:firstLine="0"/>
              <w:jc w:val="center"/>
              <w:rPr>
                <w:rFonts w:eastAsia="仿宋"/>
                <w:bCs/>
                <w:kern w:val="0"/>
                <w:sz w:val="24"/>
              </w:rPr>
            </w:pPr>
            <w:r>
              <w:rPr>
                <w:rFonts w:hint="eastAsia" w:eastAsia="仿宋"/>
                <w:bCs/>
                <w:kern w:val="0"/>
                <w:sz w:val="24"/>
              </w:rPr>
              <w:t>3</w:t>
            </w:r>
            <w:r>
              <w:rPr>
                <w:rFonts w:eastAsia="仿宋"/>
                <w:bCs/>
                <w:kern w:val="0"/>
                <w:sz w:val="24"/>
              </w:rPr>
              <w:t>0</w:t>
            </w:r>
          </w:p>
        </w:tc>
      </w:tr>
      <w:tr w14:paraId="4312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62" w:type="dxa"/>
            <w:vAlign w:val="center"/>
          </w:tcPr>
          <w:p w14:paraId="7CFB3252">
            <w:pPr>
              <w:pStyle w:val="2"/>
              <w:ind w:firstLine="0"/>
              <w:jc w:val="center"/>
              <w:rPr>
                <w:rFonts w:eastAsia="仿宋"/>
                <w:bCs/>
                <w:kern w:val="0"/>
                <w:sz w:val="24"/>
              </w:rPr>
            </w:pPr>
            <w:r>
              <w:rPr>
                <w:rFonts w:hint="eastAsia" w:eastAsia="仿宋"/>
                <w:bCs/>
                <w:kern w:val="0"/>
                <w:sz w:val="24"/>
              </w:rPr>
              <w:t>5</w:t>
            </w:r>
          </w:p>
        </w:tc>
        <w:tc>
          <w:tcPr>
            <w:tcW w:w="1179" w:type="dxa"/>
            <w:vAlign w:val="center"/>
          </w:tcPr>
          <w:p w14:paraId="164630B8">
            <w:pPr>
              <w:jc w:val="center"/>
              <w:rPr>
                <w:rFonts w:ascii="Times New Roman" w:eastAsia="仿宋"/>
                <w:szCs w:val="24"/>
              </w:rPr>
            </w:pPr>
            <w:r>
              <w:rPr>
                <w:rFonts w:hint="eastAsia" w:ascii="Times New Roman" w:eastAsia="仿宋"/>
                <w:szCs w:val="24"/>
              </w:rPr>
              <w:t>喷塑间</w:t>
            </w:r>
          </w:p>
        </w:tc>
        <w:tc>
          <w:tcPr>
            <w:tcW w:w="889" w:type="dxa"/>
            <w:vAlign w:val="center"/>
          </w:tcPr>
          <w:p w14:paraId="496D94EE">
            <w:pPr>
              <w:pStyle w:val="2"/>
              <w:ind w:firstLine="0"/>
              <w:jc w:val="center"/>
              <w:rPr>
                <w:rFonts w:eastAsia="仿宋"/>
                <w:bCs/>
                <w:kern w:val="0"/>
                <w:sz w:val="24"/>
              </w:rPr>
            </w:pPr>
            <w:r>
              <w:rPr>
                <w:rFonts w:hint="eastAsia" w:eastAsia="仿宋"/>
                <w:bCs/>
                <w:kern w:val="0"/>
                <w:sz w:val="24"/>
              </w:rPr>
              <w:t>喷塑</w:t>
            </w:r>
          </w:p>
        </w:tc>
        <w:tc>
          <w:tcPr>
            <w:tcW w:w="888" w:type="dxa"/>
            <w:vAlign w:val="center"/>
          </w:tcPr>
          <w:p w14:paraId="2E47FAFC">
            <w:pPr>
              <w:pStyle w:val="2"/>
              <w:ind w:firstLine="0"/>
              <w:jc w:val="center"/>
              <w:rPr>
                <w:rFonts w:eastAsia="仿宋"/>
                <w:bCs/>
                <w:kern w:val="0"/>
                <w:sz w:val="24"/>
              </w:rPr>
            </w:pPr>
            <w:r>
              <w:rPr>
                <w:rFonts w:hint="eastAsia" w:eastAsia="仿宋"/>
                <w:bCs/>
                <w:kern w:val="0"/>
                <w:sz w:val="24"/>
              </w:rPr>
              <w:t>区域密闭</w:t>
            </w:r>
          </w:p>
        </w:tc>
        <w:tc>
          <w:tcPr>
            <w:tcW w:w="850" w:type="dxa"/>
            <w:vAlign w:val="center"/>
          </w:tcPr>
          <w:p w14:paraId="63FA1A15">
            <w:pPr>
              <w:pStyle w:val="2"/>
              <w:ind w:firstLine="0"/>
              <w:jc w:val="center"/>
              <w:rPr>
                <w:rFonts w:eastAsia="仿宋"/>
                <w:bCs/>
                <w:kern w:val="0"/>
                <w:sz w:val="24"/>
              </w:rPr>
            </w:pPr>
            <w:r>
              <w:rPr>
                <w:rFonts w:hint="eastAsia" w:eastAsia="仿宋"/>
                <w:bCs/>
                <w:kern w:val="0"/>
                <w:sz w:val="24"/>
              </w:rPr>
              <w:t>/</w:t>
            </w:r>
          </w:p>
        </w:tc>
        <w:tc>
          <w:tcPr>
            <w:tcW w:w="850" w:type="dxa"/>
            <w:vAlign w:val="center"/>
          </w:tcPr>
          <w:p w14:paraId="5B39B4A3">
            <w:pPr>
              <w:pStyle w:val="2"/>
              <w:ind w:firstLine="0"/>
              <w:jc w:val="center"/>
              <w:rPr>
                <w:rFonts w:eastAsia="仿宋"/>
                <w:bCs/>
                <w:kern w:val="0"/>
                <w:sz w:val="24"/>
              </w:rPr>
            </w:pPr>
            <w:r>
              <w:rPr>
                <w:rFonts w:hint="eastAsia" w:eastAsia="仿宋"/>
                <w:bCs/>
                <w:kern w:val="0"/>
                <w:sz w:val="24"/>
              </w:rPr>
              <w:t>/</w:t>
            </w:r>
          </w:p>
        </w:tc>
        <w:tc>
          <w:tcPr>
            <w:tcW w:w="851" w:type="dxa"/>
            <w:vAlign w:val="center"/>
          </w:tcPr>
          <w:p w14:paraId="6071AA3F">
            <w:pPr>
              <w:pStyle w:val="2"/>
              <w:ind w:firstLine="0"/>
              <w:jc w:val="center"/>
              <w:rPr>
                <w:rFonts w:eastAsia="仿宋"/>
                <w:bCs/>
                <w:kern w:val="0"/>
                <w:sz w:val="24"/>
              </w:rPr>
            </w:pPr>
            <w:r>
              <w:rPr>
                <w:rFonts w:hint="eastAsia" w:eastAsia="仿宋"/>
                <w:bCs/>
                <w:kern w:val="0"/>
                <w:sz w:val="24"/>
              </w:rPr>
              <w:t>/</w:t>
            </w:r>
          </w:p>
        </w:tc>
        <w:tc>
          <w:tcPr>
            <w:tcW w:w="1040" w:type="dxa"/>
            <w:vAlign w:val="center"/>
          </w:tcPr>
          <w:p w14:paraId="63987986">
            <w:pPr>
              <w:pStyle w:val="2"/>
              <w:ind w:firstLine="0"/>
              <w:jc w:val="center"/>
              <w:rPr>
                <w:rFonts w:eastAsia="仿宋"/>
                <w:bCs/>
                <w:kern w:val="0"/>
                <w:sz w:val="24"/>
              </w:rPr>
            </w:pPr>
            <w:r>
              <w:rPr>
                <w:rFonts w:hint="eastAsia" w:eastAsia="仿宋"/>
                <w:bCs/>
                <w:kern w:val="0"/>
                <w:sz w:val="24"/>
              </w:rPr>
              <w:t>/</w:t>
            </w:r>
          </w:p>
        </w:tc>
        <w:tc>
          <w:tcPr>
            <w:tcW w:w="1532" w:type="dxa"/>
            <w:vAlign w:val="center"/>
          </w:tcPr>
          <w:p w14:paraId="48EF0282">
            <w:pPr>
              <w:pStyle w:val="2"/>
              <w:ind w:firstLine="0"/>
              <w:jc w:val="center"/>
              <w:rPr>
                <w:rFonts w:eastAsia="仿宋"/>
                <w:bCs/>
                <w:kern w:val="0"/>
                <w:sz w:val="24"/>
              </w:rPr>
            </w:pPr>
            <w:r>
              <w:rPr>
                <w:rFonts w:hint="eastAsia" w:eastAsia="仿宋"/>
                <w:bCs/>
                <w:kern w:val="0"/>
                <w:sz w:val="24"/>
              </w:rPr>
              <w:t>6</w:t>
            </w:r>
            <w:r>
              <w:rPr>
                <w:rFonts w:eastAsia="仿宋"/>
                <w:bCs/>
                <w:kern w:val="0"/>
                <w:sz w:val="24"/>
              </w:rPr>
              <w:t>0</w:t>
            </w:r>
          </w:p>
        </w:tc>
        <w:tc>
          <w:tcPr>
            <w:tcW w:w="1237" w:type="dxa"/>
            <w:vAlign w:val="center"/>
          </w:tcPr>
          <w:p w14:paraId="16167E14">
            <w:pPr>
              <w:pStyle w:val="2"/>
              <w:ind w:firstLine="0"/>
              <w:jc w:val="center"/>
              <w:rPr>
                <w:rFonts w:eastAsia="仿宋"/>
                <w:bCs/>
                <w:kern w:val="0"/>
                <w:sz w:val="24"/>
              </w:rPr>
            </w:pPr>
            <w:r>
              <w:rPr>
                <w:rFonts w:hint="eastAsia" w:eastAsia="仿宋"/>
                <w:bCs/>
                <w:kern w:val="0"/>
                <w:sz w:val="24"/>
              </w:rPr>
              <w:t>2</w:t>
            </w:r>
            <w:r>
              <w:rPr>
                <w:rFonts w:eastAsia="仿宋"/>
                <w:bCs/>
                <w:kern w:val="0"/>
                <w:sz w:val="24"/>
              </w:rPr>
              <w:t>0000</w:t>
            </w:r>
          </w:p>
        </w:tc>
        <w:tc>
          <w:tcPr>
            <w:tcW w:w="1094" w:type="dxa"/>
            <w:vAlign w:val="center"/>
          </w:tcPr>
          <w:p w14:paraId="7260599F">
            <w:pPr>
              <w:pStyle w:val="2"/>
              <w:ind w:firstLine="0"/>
              <w:jc w:val="center"/>
              <w:rPr>
                <w:rFonts w:eastAsia="仿宋"/>
                <w:bCs/>
                <w:kern w:val="0"/>
                <w:sz w:val="24"/>
              </w:rPr>
            </w:pPr>
            <w:r>
              <w:rPr>
                <w:rFonts w:hint="eastAsia" w:eastAsia="仿宋"/>
                <w:bCs/>
                <w:kern w:val="0"/>
                <w:sz w:val="24"/>
              </w:rPr>
              <w:t>/</w:t>
            </w:r>
          </w:p>
        </w:tc>
        <w:tc>
          <w:tcPr>
            <w:tcW w:w="1052" w:type="dxa"/>
            <w:vAlign w:val="center"/>
          </w:tcPr>
          <w:p w14:paraId="06EDEA9F">
            <w:pPr>
              <w:pStyle w:val="2"/>
              <w:ind w:firstLine="0"/>
              <w:jc w:val="center"/>
              <w:rPr>
                <w:rFonts w:eastAsia="仿宋"/>
                <w:bCs/>
                <w:kern w:val="0"/>
                <w:sz w:val="24"/>
              </w:rPr>
            </w:pPr>
            <w:r>
              <w:rPr>
                <w:rFonts w:hint="eastAsia" w:eastAsia="仿宋"/>
                <w:bCs/>
                <w:kern w:val="0"/>
                <w:sz w:val="24"/>
              </w:rPr>
              <w:t>3</w:t>
            </w:r>
            <w:r>
              <w:rPr>
                <w:rFonts w:eastAsia="仿宋"/>
                <w:bCs/>
                <w:kern w:val="0"/>
                <w:sz w:val="24"/>
              </w:rPr>
              <w:t>600</w:t>
            </w:r>
          </w:p>
        </w:tc>
        <w:tc>
          <w:tcPr>
            <w:tcW w:w="964" w:type="dxa"/>
            <w:vAlign w:val="center"/>
          </w:tcPr>
          <w:p w14:paraId="5D46D5B0">
            <w:pPr>
              <w:pStyle w:val="2"/>
              <w:ind w:firstLine="0"/>
              <w:jc w:val="center"/>
              <w:rPr>
                <w:rFonts w:eastAsia="仿宋"/>
                <w:bCs/>
                <w:kern w:val="0"/>
                <w:sz w:val="24"/>
              </w:rPr>
            </w:pPr>
            <w:r>
              <w:rPr>
                <w:rFonts w:hint="eastAsia" w:eastAsia="仿宋"/>
                <w:bCs/>
                <w:kern w:val="0"/>
                <w:sz w:val="24"/>
              </w:rPr>
              <w:t>/</w:t>
            </w:r>
          </w:p>
        </w:tc>
        <w:tc>
          <w:tcPr>
            <w:tcW w:w="960" w:type="dxa"/>
            <w:vAlign w:val="center"/>
          </w:tcPr>
          <w:p w14:paraId="64C7CC7E">
            <w:pPr>
              <w:pStyle w:val="2"/>
              <w:ind w:firstLine="0"/>
              <w:jc w:val="center"/>
              <w:rPr>
                <w:rFonts w:eastAsia="仿宋"/>
                <w:bCs/>
                <w:kern w:val="0"/>
                <w:sz w:val="24"/>
              </w:rPr>
            </w:pPr>
            <w:r>
              <w:rPr>
                <w:rFonts w:hint="eastAsia" w:eastAsia="仿宋"/>
                <w:bCs/>
                <w:kern w:val="0"/>
                <w:sz w:val="24"/>
              </w:rPr>
              <w:t>6</w:t>
            </w:r>
            <w:r>
              <w:rPr>
                <w:rFonts w:eastAsia="仿宋"/>
                <w:bCs/>
                <w:kern w:val="0"/>
                <w:sz w:val="24"/>
              </w:rPr>
              <w:t>0</w:t>
            </w:r>
          </w:p>
        </w:tc>
      </w:tr>
    </w:tbl>
    <w:p w14:paraId="04749575">
      <w:pPr>
        <w:snapToGrid w:val="0"/>
        <w:spacing w:line="500" w:lineRule="exact"/>
        <w:ind w:firstLine="561"/>
        <w:rPr>
          <w:rFonts w:eastAsia="仿宋_GB2312"/>
          <w:sz w:val="28"/>
          <w:szCs w:val="28"/>
        </w:rPr>
        <w:sectPr>
          <w:pgSz w:w="16838" w:h="11906" w:orient="landscape"/>
          <w:pgMar w:top="1800" w:right="1440" w:bottom="1800" w:left="1440" w:header="851" w:footer="992" w:gutter="0"/>
          <w:cols w:space="720" w:num="1"/>
          <w:docGrid w:type="lines" w:linePitch="312" w:charSpace="0"/>
        </w:sectPr>
      </w:pPr>
      <w:r>
        <w:rPr>
          <w:rFonts w:hint="eastAsia" w:ascii="Times New Roman" w:eastAsia="仿宋"/>
          <w:kern w:val="2"/>
          <w:sz w:val="28"/>
          <w:szCs w:val="28"/>
        </w:rPr>
        <w:t>根据上表可知，本项目废气污染防治措施设计风量均可以满足废气收集要求</w:t>
      </w:r>
      <w:r>
        <w:rPr>
          <w:rFonts w:eastAsia="仿宋_GB2312"/>
          <w:sz w:val="28"/>
          <w:szCs w:val="28"/>
        </w:rPr>
        <w:t>。</w:t>
      </w:r>
    </w:p>
    <w:p w14:paraId="0C49BDF3">
      <w:pPr>
        <w:keepNext/>
        <w:widowControl/>
        <w:tabs>
          <w:tab w:val="left" w:pos="851"/>
          <w:tab w:val="left" w:pos="1134"/>
        </w:tabs>
        <w:adjustRightInd w:val="0"/>
        <w:snapToGrid w:val="0"/>
        <w:spacing w:after="156" w:afterLines="50" w:line="500" w:lineRule="exact"/>
        <w:jc w:val="left"/>
        <w:outlineLvl w:val="3"/>
        <w:rPr>
          <w:rFonts w:ascii="Times New Roman" w:eastAsia="仿宋"/>
          <w:b/>
          <w:bCs/>
          <w:spacing w:val="6"/>
          <w:sz w:val="28"/>
        </w:rPr>
      </w:pPr>
      <w:r>
        <w:rPr>
          <w:rFonts w:ascii="Times New Roman" w:eastAsia="仿宋"/>
          <w:b/>
          <w:bCs/>
          <w:spacing w:val="6"/>
          <w:sz w:val="28"/>
        </w:rPr>
        <w:t>6.1.1.3</w:t>
      </w:r>
      <w:r>
        <w:rPr>
          <w:rFonts w:hint="eastAsia" w:ascii="Times New Roman" w:eastAsia="仿宋"/>
          <w:b/>
          <w:bCs/>
          <w:spacing w:val="6"/>
          <w:sz w:val="28"/>
        </w:rPr>
        <w:t>达标可行性分析</w:t>
      </w:r>
    </w:p>
    <w:p w14:paraId="78B32A1E">
      <w:pPr>
        <w:spacing w:line="500" w:lineRule="exact"/>
        <w:ind w:firstLine="592" w:firstLineChars="200"/>
        <w:rPr>
          <w:rFonts w:ascii="Times New Roman" w:eastAsia="仿宋"/>
          <w:spacing w:val="8"/>
          <w:sz w:val="28"/>
          <w:szCs w:val="28"/>
        </w:rPr>
      </w:pPr>
      <w:r>
        <w:rPr>
          <w:rFonts w:hint="eastAsia" w:ascii="Times New Roman" w:eastAsia="仿宋"/>
          <w:spacing w:val="8"/>
          <w:sz w:val="28"/>
          <w:szCs w:val="28"/>
        </w:rPr>
        <w:t>本项目1</w:t>
      </w:r>
      <w:r>
        <w:rPr>
          <w:rFonts w:ascii="Times New Roman" w:eastAsia="仿宋"/>
          <w:spacing w:val="8"/>
          <w:sz w:val="28"/>
          <w:szCs w:val="28"/>
        </w:rPr>
        <w:t>#</w:t>
      </w:r>
      <w:r>
        <w:rPr>
          <w:rFonts w:hint="eastAsia" w:ascii="Times New Roman" w:eastAsia="仿宋"/>
          <w:spacing w:val="8"/>
          <w:sz w:val="28"/>
          <w:szCs w:val="28"/>
        </w:rPr>
        <w:t>排气筒排放的颗粒物满足《大气污染物综合排放标准》(DB32/4041-2021)表1相关限值；2</w:t>
      </w:r>
      <w:r>
        <w:rPr>
          <w:rFonts w:ascii="Times New Roman" w:eastAsia="仿宋"/>
          <w:spacing w:val="8"/>
          <w:sz w:val="28"/>
          <w:szCs w:val="28"/>
        </w:rPr>
        <w:t>#</w:t>
      </w:r>
      <w:r>
        <w:rPr>
          <w:rFonts w:hint="eastAsia" w:ascii="Times New Roman" w:eastAsia="仿宋"/>
          <w:spacing w:val="8"/>
          <w:sz w:val="28"/>
          <w:szCs w:val="28"/>
        </w:rPr>
        <w:t>、4#排气筒排放的非甲烷总烃、T</w:t>
      </w:r>
      <w:r>
        <w:rPr>
          <w:rFonts w:ascii="Times New Roman" w:eastAsia="仿宋"/>
          <w:spacing w:val="8"/>
          <w:sz w:val="28"/>
          <w:szCs w:val="28"/>
        </w:rPr>
        <w:t>VOC</w:t>
      </w:r>
      <w:r>
        <w:rPr>
          <w:rFonts w:hint="eastAsia" w:ascii="Times New Roman" w:eastAsia="仿宋"/>
          <w:spacing w:val="8"/>
          <w:sz w:val="28"/>
          <w:szCs w:val="28"/>
        </w:rPr>
        <w:t>、二甲苯、苯系物、颗粒物满足</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w:t>
      </w:r>
      <w:r>
        <w:rPr>
          <w:rFonts w:hint="eastAsia" w:ascii="Times New Roman" w:eastAsia="仿宋"/>
          <w:spacing w:val="8"/>
          <w:sz w:val="28"/>
          <w:szCs w:val="28"/>
        </w:rPr>
        <w:t>表1相关限值，S</w:t>
      </w:r>
      <w:r>
        <w:rPr>
          <w:rFonts w:ascii="Times New Roman" w:eastAsia="仿宋"/>
          <w:spacing w:val="8"/>
          <w:sz w:val="28"/>
          <w:szCs w:val="28"/>
        </w:rPr>
        <w:t>O</w:t>
      </w:r>
      <w:r>
        <w:rPr>
          <w:rFonts w:ascii="Times New Roman" w:eastAsia="仿宋"/>
          <w:spacing w:val="8"/>
          <w:sz w:val="28"/>
          <w:szCs w:val="28"/>
          <w:vertAlign w:val="subscript"/>
        </w:rPr>
        <w:t>2</w:t>
      </w:r>
      <w:r>
        <w:rPr>
          <w:rFonts w:hint="eastAsia" w:ascii="Times New Roman" w:eastAsia="仿宋"/>
          <w:spacing w:val="8"/>
          <w:sz w:val="28"/>
          <w:szCs w:val="28"/>
        </w:rPr>
        <w:t>、N</w:t>
      </w:r>
      <w:r>
        <w:rPr>
          <w:rFonts w:ascii="Times New Roman" w:eastAsia="仿宋"/>
          <w:spacing w:val="8"/>
          <w:sz w:val="28"/>
          <w:szCs w:val="28"/>
        </w:rPr>
        <w:t>O</w:t>
      </w:r>
      <w:r>
        <w:rPr>
          <w:rFonts w:ascii="Times New Roman" w:eastAsia="仿宋"/>
          <w:spacing w:val="8"/>
          <w:sz w:val="28"/>
          <w:szCs w:val="28"/>
          <w:vertAlign w:val="subscript"/>
        </w:rPr>
        <w:t>X</w:t>
      </w:r>
      <w:r>
        <w:rPr>
          <w:rFonts w:hint="eastAsia" w:ascii="Times New Roman" w:eastAsia="仿宋"/>
          <w:spacing w:val="8"/>
          <w:sz w:val="28"/>
          <w:szCs w:val="28"/>
        </w:rPr>
        <w:t>满足《工业炉窑大气污染物排放标准》（DB 32/3728-2020）表1相关限值；3</w:t>
      </w:r>
      <w:r>
        <w:rPr>
          <w:rFonts w:ascii="Times New Roman" w:eastAsia="仿宋"/>
          <w:spacing w:val="8"/>
          <w:sz w:val="28"/>
          <w:szCs w:val="28"/>
        </w:rPr>
        <w:t>#</w:t>
      </w:r>
      <w:r>
        <w:rPr>
          <w:rFonts w:hint="eastAsia" w:ascii="Times New Roman" w:eastAsia="仿宋"/>
          <w:spacing w:val="8"/>
          <w:sz w:val="28"/>
          <w:szCs w:val="28"/>
        </w:rPr>
        <w:t>排气筒排放的非甲烷总烃、T</w:t>
      </w:r>
      <w:r>
        <w:rPr>
          <w:rFonts w:ascii="Times New Roman" w:eastAsia="仿宋"/>
          <w:spacing w:val="8"/>
          <w:sz w:val="28"/>
          <w:szCs w:val="28"/>
        </w:rPr>
        <w:t>VOC</w:t>
      </w:r>
      <w:r>
        <w:rPr>
          <w:rFonts w:hint="eastAsia" w:ascii="Times New Roman" w:eastAsia="仿宋"/>
          <w:spacing w:val="8"/>
          <w:sz w:val="28"/>
          <w:szCs w:val="28"/>
        </w:rPr>
        <w:t>、二甲苯、苯系物、颗粒物满足</w:t>
      </w:r>
      <w:r>
        <w:rPr>
          <w:rFonts w:ascii="Times New Roman" w:eastAsia="仿宋"/>
          <w:spacing w:val="8"/>
          <w:sz w:val="28"/>
          <w:szCs w:val="28"/>
        </w:rPr>
        <w:t>《</w:t>
      </w:r>
      <w:r>
        <w:rPr>
          <w:rFonts w:hint="eastAsia" w:ascii="Times New Roman" w:eastAsia="仿宋"/>
          <w:spacing w:val="8"/>
          <w:sz w:val="28"/>
          <w:szCs w:val="28"/>
        </w:rPr>
        <w:t>表面涂装（汽车零部件）大气污染物排放标准</w:t>
      </w:r>
      <w:r>
        <w:rPr>
          <w:rFonts w:ascii="Times New Roman" w:eastAsia="仿宋"/>
          <w:spacing w:val="8"/>
          <w:sz w:val="28"/>
          <w:szCs w:val="28"/>
        </w:rPr>
        <w:t>》（DB 32/</w:t>
      </w:r>
      <w:r>
        <w:rPr>
          <w:rFonts w:hint="eastAsia" w:ascii="Times New Roman" w:eastAsia="仿宋"/>
          <w:spacing w:val="8"/>
          <w:sz w:val="28"/>
          <w:szCs w:val="28"/>
        </w:rPr>
        <w:t>3966</w:t>
      </w:r>
      <w:r>
        <w:rPr>
          <w:rFonts w:ascii="Times New Roman" w:eastAsia="仿宋"/>
          <w:spacing w:val="8"/>
          <w:sz w:val="28"/>
          <w:szCs w:val="28"/>
        </w:rPr>
        <w:t>-202</w:t>
      </w:r>
      <w:r>
        <w:rPr>
          <w:rFonts w:hint="eastAsia" w:ascii="Times New Roman" w:eastAsia="仿宋"/>
          <w:spacing w:val="8"/>
          <w:sz w:val="28"/>
          <w:szCs w:val="28"/>
        </w:rPr>
        <w:t>1</w:t>
      </w:r>
      <w:r>
        <w:rPr>
          <w:rFonts w:ascii="Times New Roman" w:eastAsia="仿宋"/>
          <w:spacing w:val="8"/>
          <w:sz w:val="28"/>
          <w:szCs w:val="28"/>
        </w:rPr>
        <w:t>）</w:t>
      </w:r>
      <w:r>
        <w:rPr>
          <w:rFonts w:hint="eastAsia" w:ascii="Times New Roman" w:eastAsia="仿宋"/>
          <w:spacing w:val="8"/>
          <w:sz w:val="28"/>
          <w:szCs w:val="28"/>
        </w:rPr>
        <w:t>表1相关限值；</w:t>
      </w:r>
      <w:r>
        <w:rPr>
          <w:rFonts w:ascii="Times New Roman" w:eastAsia="仿宋"/>
          <w:spacing w:val="8"/>
          <w:sz w:val="28"/>
          <w:szCs w:val="28"/>
        </w:rPr>
        <w:t>5#</w:t>
      </w:r>
      <w:r>
        <w:rPr>
          <w:rFonts w:hint="eastAsia" w:ascii="Times New Roman" w:eastAsia="仿宋"/>
          <w:spacing w:val="8"/>
          <w:sz w:val="28"/>
          <w:szCs w:val="28"/>
        </w:rPr>
        <w:t>排气筒排放的颗粒物满足《大气污染物综合排放标准》(DB32/4041-2021)表1相关限值。</w:t>
      </w:r>
    </w:p>
    <w:p w14:paraId="7F2FBF87">
      <w:pPr>
        <w:spacing w:line="500" w:lineRule="exact"/>
        <w:ind w:firstLine="560" w:firstLineChars="200"/>
        <w:rPr>
          <w:rFonts w:ascii="Times New Roman" w:eastAsia="仿宋"/>
          <w:sz w:val="28"/>
        </w:rPr>
      </w:pPr>
      <w:r>
        <w:rPr>
          <w:rFonts w:hint="eastAsia" w:ascii="Times New Roman" w:eastAsia="仿宋"/>
          <w:sz w:val="28"/>
        </w:rPr>
        <w:t>综上所述，本项目采取的废气污染防治措施可行。</w:t>
      </w:r>
    </w:p>
    <w:p w14:paraId="7350670C">
      <w:pPr>
        <w:keepNext/>
        <w:widowControl/>
        <w:tabs>
          <w:tab w:val="left" w:pos="851"/>
          <w:tab w:val="left" w:pos="1134"/>
        </w:tabs>
        <w:adjustRightInd w:val="0"/>
        <w:snapToGrid w:val="0"/>
        <w:spacing w:after="156" w:afterLines="50" w:line="500" w:lineRule="exact"/>
        <w:jc w:val="left"/>
        <w:outlineLvl w:val="3"/>
        <w:rPr>
          <w:rFonts w:ascii="Times New Roman" w:eastAsia="仿宋"/>
          <w:b/>
          <w:bCs/>
          <w:spacing w:val="6"/>
          <w:sz w:val="28"/>
        </w:rPr>
      </w:pPr>
      <w:r>
        <w:rPr>
          <w:rFonts w:hint="eastAsia" w:ascii="Times New Roman" w:eastAsia="仿宋"/>
          <w:b/>
          <w:bCs/>
          <w:spacing w:val="6"/>
          <w:sz w:val="28"/>
        </w:rPr>
        <w:t>6.1.1.4</w:t>
      </w:r>
      <w:r>
        <w:rPr>
          <w:rFonts w:ascii="Times New Roman" w:eastAsia="仿宋"/>
          <w:b/>
          <w:bCs/>
          <w:spacing w:val="6"/>
          <w:sz w:val="28"/>
        </w:rPr>
        <w:t>废气处理经济可行性分析</w:t>
      </w:r>
    </w:p>
    <w:p w14:paraId="7D401988">
      <w:pPr>
        <w:spacing w:line="500"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设置3套“水喷淋+干式过滤器+三级活性炭吸附脱附+催化燃烧”、1套“湿除尘器”、1套“滤筒除尘”，年运行、维护、更换费用总共约280元。项目投产后可获取年净利润约2000万元，废气</w:t>
      </w:r>
      <w:r>
        <w:rPr>
          <w:rFonts w:ascii="Times New Roman" w:eastAsia="仿宋"/>
          <w:sz w:val="28"/>
          <w:szCs w:val="28"/>
        </w:rPr>
        <w:t>治理费用总计280万元，占利润额的14%，公司完全有能力保证设施正常运转。</w:t>
      </w:r>
    </w:p>
    <w:p w14:paraId="701F746D">
      <w:pPr>
        <w:keepNext/>
        <w:widowControl/>
        <w:tabs>
          <w:tab w:val="left" w:pos="851"/>
          <w:tab w:val="left" w:pos="1134"/>
        </w:tabs>
        <w:adjustRightInd w:val="0"/>
        <w:snapToGrid w:val="0"/>
        <w:spacing w:after="156" w:afterLines="50" w:line="500" w:lineRule="exact"/>
        <w:jc w:val="left"/>
        <w:outlineLvl w:val="3"/>
        <w:rPr>
          <w:rFonts w:ascii="Times New Roman" w:eastAsia="仿宋"/>
          <w:b/>
          <w:bCs/>
          <w:spacing w:val="6"/>
          <w:sz w:val="28"/>
        </w:rPr>
      </w:pPr>
      <w:r>
        <w:rPr>
          <w:rFonts w:ascii="Times New Roman" w:eastAsia="仿宋"/>
          <w:b/>
          <w:bCs/>
          <w:spacing w:val="6"/>
          <w:sz w:val="28"/>
        </w:rPr>
        <w:t>6.1.1.5废气处理设施长期、稳定运行建议</w:t>
      </w:r>
    </w:p>
    <w:p w14:paraId="60266A96">
      <w:pPr>
        <w:spacing w:line="500" w:lineRule="exact"/>
        <w:ind w:firstLine="560" w:firstLineChars="200"/>
        <w:rPr>
          <w:rFonts w:ascii="Times New Roman" w:eastAsia="仿宋"/>
          <w:sz w:val="28"/>
          <w:szCs w:val="28"/>
        </w:rPr>
      </w:pPr>
      <w:r>
        <w:rPr>
          <w:rFonts w:ascii="Times New Roman" w:eastAsia="仿宋"/>
          <w:sz w:val="28"/>
          <w:szCs w:val="28"/>
        </w:rPr>
        <w:t>1、本项目废气分类收集、分质处理后通过排气筒排放。公司应配备专职环保人员对环保设施定期监测、维护，确保有组织废气长期、稳定达标排放。</w:t>
      </w:r>
    </w:p>
    <w:p w14:paraId="6E578422">
      <w:pPr>
        <w:keepNext/>
        <w:widowControl/>
        <w:tabs>
          <w:tab w:val="left" w:pos="851"/>
          <w:tab w:val="left" w:pos="1134"/>
        </w:tabs>
        <w:adjustRightInd w:val="0"/>
        <w:snapToGrid w:val="0"/>
        <w:spacing w:after="156" w:afterLines="50" w:line="500" w:lineRule="exact"/>
        <w:jc w:val="left"/>
        <w:outlineLvl w:val="3"/>
        <w:rPr>
          <w:rFonts w:ascii="Times New Roman" w:eastAsia="仿宋"/>
          <w:b/>
          <w:bCs/>
          <w:spacing w:val="6"/>
          <w:sz w:val="28"/>
        </w:rPr>
      </w:pPr>
      <w:r>
        <w:rPr>
          <w:rFonts w:hint="eastAsia" w:ascii="Times New Roman" w:eastAsia="仿宋"/>
          <w:b/>
          <w:bCs/>
          <w:spacing w:val="6"/>
          <w:sz w:val="28"/>
        </w:rPr>
        <w:t>6.1.1.6</w:t>
      </w:r>
      <w:r>
        <w:rPr>
          <w:rFonts w:ascii="Times New Roman" w:eastAsia="仿宋"/>
          <w:b/>
          <w:bCs/>
          <w:spacing w:val="6"/>
          <w:sz w:val="28"/>
        </w:rPr>
        <w:t>排气筒设置合理性分析</w:t>
      </w:r>
    </w:p>
    <w:p w14:paraId="5DA9AFAE">
      <w:pPr>
        <w:spacing w:line="500" w:lineRule="exact"/>
        <w:ind w:firstLine="560" w:firstLineChars="200"/>
        <w:jc w:val="left"/>
        <w:rPr>
          <w:rFonts w:ascii="Times New Roman" w:eastAsia="仿宋"/>
          <w:sz w:val="28"/>
          <w:szCs w:val="28"/>
        </w:rPr>
      </w:pPr>
      <w:r>
        <w:rPr>
          <w:rFonts w:hint="eastAsia" w:eastAsia="仿宋"/>
          <w:sz w:val="28"/>
          <w:szCs w:val="22"/>
        </w:rPr>
        <w:t>（1）</w:t>
      </w:r>
      <w:r>
        <w:rPr>
          <w:rFonts w:eastAsia="仿宋"/>
          <w:sz w:val="28"/>
          <w:szCs w:val="22"/>
        </w:rPr>
        <w:t>排气筒</w:t>
      </w:r>
      <w:r>
        <w:rPr>
          <w:rFonts w:hint="eastAsia" w:eastAsia="仿宋"/>
          <w:sz w:val="28"/>
          <w:szCs w:val="22"/>
        </w:rPr>
        <w:t>流速</w:t>
      </w:r>
      <w:r>
        <w:rPr>
          <w:rFonts w:eastAsia="仿宋"/>
          <w:sz w:val="28"/>
          <w:szCs w:val="22"/>
        </w:rPr>
        <w:t>合理性分析</w:t>
      </w:r>
    </w:p>
    <w:p w14:paraId="4A87A49D">
      <w:pPr>
        <w:tabs>
          <w:tab w:val="left" w:pos="6840"/>
        </w:tabs>
        <w:spacing w:line="500" w:lineRule="exact"/>
        <w:ind w:firstLine="556"/>
        <w:rPr>
          <w:rFonts w:ascii="Times New Roman" w:eastAsia="仿宋"/>
          <w:sz w:val="28"/>
        </w:rPr>
      </w:pPr>
      <w:r>
        <w:rPr>
          <w:rFonts w:ascii="Times New Roman" w:eastAsia="仿宋"/>
          <w:sz w:val="28"/>
        </w:rPr>
        <w:t>本项目按照工艺的严格要求，尽可能将产生废气的工段进行废气有组织收集，再通过设施处理后达标排放。本项目本着同种废气合并排放、不同种类工艺废气分别收集处理的原则，同时兼顾合理布局的原则，因此，本项目共设5根排气筒，并合理地安排了排气筒的位置，排气筒的高度符合相关规定</w:t>
      </w:r>
      <w:r>
        <w:rPr>
          <w:rFonts w:hint="eastAsia" w:ascii="Times New Roman" w:eastAsia="仿宋"/>
          <w:sz w:val="28"/>
        </w:rPr>
        <w:t>。</w:t>
      </w:r>
      <w:r>
        <w:rPr>
          <w:rFonts w:ascii="Times New Roman" w:eastAsia="仿宋"/>
          <w:sz w:val="28"/>
        </w:rPr>
        <w:t>参照《大气污染治理工程技术导则》（HJ2000-2010），排气筒出口流速宜取15m/s左右，本项目设置的排气筒均符合要求，本项目工艺设计时已考虑到自身的特点，排放同类污染物的排气筒已尽量合并。</w:t>
      </w:r>
      <w:r>
        <w:rPr>
          <w:rFonts w:hint="eastAsia" w:ascii="Times New Roman" w:eastAsia="仿宋"/>
          <w:sz w:val="28"/>
        </w:rPr>
        <w:t>同时结合预测结果，本项目废气排放对周围保护目标影响较小。</w:t>
      </w:r>
      <w:r>
        <w:rPr>
          <w:rFonts w:ascii="Times New Roman" w:eastAsia="仿宋"/>
          <w:sz w:val="28"/>
        </w:rPr>
        <w:t>因此本项目排气筒设置合理。</w:t>
      </w:r>
    </w:p>
    <w:p w14:paraId="65EE0D08">
      <w:pPr>
        <w:spacing w:line="500" w:lineRule="exact"/>
        <w:ind w:firstLine="560" w:firstLineChars="200"/>
        <w:jc w:val="left"/>
        <w:rPr>
          <w:rFonts w:eastAsia="仿宋"/>
          <w:sz w:val="28"/>
          <w:szCs w:val="22"/>
        </w:rPr>
      </w:pPr>
      <w:r>
        <w:rPr>
          <w:rFonts w:hint="eastAsia" w:eastAsia="仿宋"/>
          <w:sz w:val="28"/>
          <w:szCs w:val="22"/>
        </w:rPr>
        <w:t>（2）</w:t>
      </w:r>
      <w:r>
        <w:rPr>
          <w:rFonts w:eastAsia="仿宋"/>
          <w:sz w:val="28"/>
          <w:szCs w:val="22"/>
        </w:rPr>
        <w:t>排气筒排放高度合理性分析</w:t>
      </w:r>
    </w:p>
    <w:p w14:paraId="780D2AAF">
      <w:pPr>
        <w:tabs>
          <w:tab w:val="left" w:pos="6840"/>
        </w:tabs>
        <w:spacing w:line="500" w:lineRule="exact"/>
        <w:ind w:firstLine="556"/>
        <w:rPr>
          <w:rFonts w:ascii="Times New Roman" w:eastAsia="仿宋"/>
          <w:sz w:val="28"/>
        </w:rPr>
      </w:pPr>
      <w:r>
        <w:rPr>
          <w:rFonts w:ascii="Times New Roman" w:eastAsia="仿宋"/>
          <w:sz w:val="28"/>
        </w:rPr>
        <w:t>在满足达标排放条件下，排放的污染物在评价区域内（最大落地浓度）的预测值（贡献值+现状值）仍要满足环境质量标准。同时根据《大</w:t>
      </w:r>
      <w:r>
        <w:rPr>
          <w:rFonts w:hint="eastAsia" w:ascii="Times New Roman" w:eastAsia="仿宋"/>
          <w:sz w:val="28"/>
        </w:rPr>
        <w:t>气污染物综合排放标准》（DB32/4041-2021）的要求，排气筒高度不低于15米，且应高于周围200m半径范围内最高建筑5m，本项目排气筒高度设置合理。</w:t>
      </w:r>
    </w:p>
    <w:p w14:paraId="1B166664">
      <w:pPr>
        <w:spacing w:line="500" w:lineRule="exact"/>
        <w:ind w:firstLine="560" w:firstLineChars="200"/>
        <w:jc w:val="left"/>
        <w:rPr>
          <w:rFonts w:eastAsia="仿宋"/>
          <w:sz w:val="28"/>
          <w:szCs w:val="22"/>
        </w:rPr>
      </w:pPr>
      <w:r>
        <w:rPr>
          <w:rFonts w:hint="eastAsia" w:eastAsia="仿宋"/>
          <w:sz w:val="28"/>
          <w:szCs w:val="22"/>
        </w:rPr>
        <w:t>综上所述，本项目排气筒设置合理。</w:t>
      </w:r>
    </w:p>
    <w:p w14:paraId="6EC15B73">
      <w:pPr>
        <w:pStyle w:val="6"/>
        <w:keepLines w:val="0"/>
        <w:tabs>
          <w:tab w:val="left" w:pos="709"/>
        </w:tabs>
        <w:spacing w:before="0" w:after="156" w:afterLines="50" w:line="500" w:lineRule="exact"/>
        <w:rPr>
          <w:rFonts w:ascii="Times New Roman" w:eastAsia="仿宋"/>
          <w:bCs w:val="0"/>
          <w:sz w:val="28"/>
        </w:rPr>
      </w:pPr>
      <w:r>
        <w:rPr>
          <w:rFonts w:hint="eastAsia" w:ascii="Times New Roman" w:eastAsia="仿宋"/>
          <w:bCs w:val="0"/>
          <w:sz w:val="28"/>
        </w:rPr>
        <w:t>6</w:t>
      </w:r>
      <w:r>
        <w:rPr>
          <w:rFonts w:ascii="Times New Roman" w:eastAsia="仿宋"/>
          <w:bCs w:val="0"/>
          <w:sz w:val="28"/>
        </w:rPr>
        <w:t>.1.2无组织废气污染防治措施评述</w:t>
      </w:r>
    </w:p>
    <w:p w14:paraId="69D16B5E">
      <w:pPr>
        <w:spacing w:line="500" w:lineRule="exact"/>
        <w:ind w:firstLine="560" w:firstLineChars="200"/>
        <w:rPr>
          <w:rFonts w:ascii="Times New Roman" w:eastAsia="仿宋"/>
          <w:sz w:val="28"/>
          <w:szCs w:val="28"/>
        </w:rPr>
      </w:pPr>
      <w:r>
        <w:rPr>
          <w:rFonts w:ascii="Times New Roman" w:eastAsia="仿宋"/>
          <w:sz w:val="28"/>
          <w:szCs w:val="28"/>
        </w:rPr>
        <w:t>本项目无组织废气主要为</w:t>
      </w:r>
      <w:r>
        <w:rPr>
          <w:rFonts w:hint="eastAsia" w:ascii="Times New Roman" w:eastAsia="仿宋"/>
          <w:sz w:val="28"/>
          <w:szCs w:val="28"/>
        </w:rPr>
        <w:t>打磨粉尘、焊接烟尘以及</w:t>
      </w:r>
      <w:r>
        <w:rPr>
          <w:rFonts w:ascii="Times New Roman" w:eastAsia="仿宋"/>
          <w:sz w:val="28"/>
          <w:szCs w:val="28"/>
        </w:rPr>
        <w:t>未捕集的其他废气，为进一步减少无组织废气的排放，按照《挥发性有机物无组织排放控制标准》（GB37822-2019）中的要求，采取如下措施：</w:t>
      </w:r>
    </w:p>
    <w:p w14:paraId="5FD389B7">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1</w:t>
      </w:r>
      <w:r>
        <w:rPr>
          <w:rFonts w:hint="eastAsia" w:ascii="Times New Roman" w:eastAsia="仿宋"/>
          <w:sz w:val="28"/>
          <w:szCs w:val="28"/>
        </w:rPr>
        <w:t>）焊接烟尘通过移动式焊烟净化器处理后无组织排放。</w:t>
      </w:r>
    </w:p>
    <w:p w14:paraId="200F61F8">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2</w:t>
      </w:r>
      <w:r>
        <w:rPr>
          <w:rFonts w:hint="eastAsia" w:ascii="Times New Roman" w:eastAsia="仿宋"/>
          <w:sz w:val="28"/>
          <w:szCs w:val="28"/>
        </w:rPr>
        <w:t>）</w:t>
      </w:r>
      <w:r>
        <w:rPr>
          <w:rFonts w:ascii="Times New Roman" w:eastAsia="仿宋"/>
          <w:sz w:val="28"/>
          <w:szCs w:val="28"/>
        </w:rPr>
        <w:t>密闭生产空间严格按照操作规范进行，同时确保密闭房间及废气收集装置的气密性，定期检查排气筒和密闭生产空间的负压值，如有异常，需立即采取措施。</w:t>
      </w:r>
    </w:p>
    <w:p w14:paraId="65540FB0">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3</w:t>
      </w:r>
      <w:r>
        <w:rPr>
          <w:rFonts w:hint="eastAsia" w:ascii="Times New Roman" w:eastAsia="仿宋"/>
          <w:sz w:val="28"/>
          <w:szCs w:val="28"/>
        </w:rPr>
        <w:t>）</w:t>
      </w:r>
      <w:r>
        <w:rPr>
          <w:rFonts w:ascii="Times New Roman" w:eastAsia="仿宋"/>
          <w:sz w:val="28"/>
          <w:szCs w:val="28"/>
        </w:rPr>
        <w:t>合理布置车间，将产生无组织废气的工序布置在远离厂界的地方，以减少无组织废气对厂界周围环境的影响。</w:t>
      </w:r>
    </w:p>
    <w:p w14:paraId="62DA4D28">
      <w:pPr>
        <w:spacing w:line="500" w:lineRule="exact"/>
        <w:ind w:firstLine="560" w:firstLineChars="200"/>
        <w:rPr>
          <w:rFonts w:ascii="Times New Roman" w:eastAsia="仿宋"/>
          <w:sz w:val="28"/>
          <w:szCs w:val="28"/>
        </w:rPr>
      </w:pPr>
      <w:r>
        <w:rPr>
          <w:rFonts w:hint="eastAsia" w:ascii="Times New Roman" w:eastAsia="仿宋"/>
          <w:sz w:val="28"/>
          <w:szCs w:val="28"/>
        </w:rPr>
        <w:t>（</w:t>
      </w:r>
      <w:r>
        <w:rPr>
          <w:rFonts w:ascii="Times New Roman" w:eastAsia="仿宋"/>
          <w:sz w:val="28"/>
          <w:szCs w:val="28"/>
        </w:rPr>
        <w:t>4</w:t>
      </w:r>
      <w:r>
        <w:rPr>
          <w:rFonts w:hint="eastAsia" w:ascii="Times New Roman" w:eastAsia="仿宋"/>
          <w:sz w:val="28"/>
          <w:szCs w:val="28"/>
        </w:rPr>
        <w:t>）油漆</w:t>
      </w:r>
      <w:r>
        <w:rPr>
          <w:rFonts w:ascii="Times New Roman" w:eastAsia="仿宋"/>
          <w:sz w:val="28"/>
          <w:szCs w:val="28"/>
        </w:rPr>
        <w:t>存放于</w:t>
      </w:r>
      <w:r>
        <w:rPr>
          <w:rFonts w:hint="eastAsia" w:ascii="Times New Roman" w:eastAsia="仿宋"/>
          <w:sz w:val="28"/>
          <w:szCs w:val="28"/>
        </w:rPr>
        <w:t>油漆仓库</w:t>
      </w:r>
      <w:r>
        <w:rPr>
          <w:rFonts w:ascii="Times New Roman" w:eastAsia="仿宋"/>
          <w:sz w:val="28"/>
          <w:szCs w:val="28"/>
        </w:rPr>
        <w:t>内，容器应加盖封口，保持密闭。本项目使用的稀释剂、</w:t>
      </w:r>
      <w:r>
        <w:rPr>
          <w:rFonts w:hint="eastAsia" w:ascii="Times New Roman" w:eastAsia="仿宋"/>
          <w:sz w:val="28"/>
          <w:szCs w:val="28"/>
        </w:rPr>
        <w:t>油性漆</w:t>
      </w:r>
      <w:r>
        <w:rPr>
          <w:rFonts w:ascii="Times New Roman" w:eastAsia="仿宋"/>
          <w:sz w:val="28"/>
          <w:szCs w:val="28"/>
        </w:rPr>
        <w:t>等含VOCs物料采用密闭包装方式，临时储存于密闭的</w:t>
      </w:r>
      <w:r>
        <w:rPr>
          <w:rFonts w:hint="eastAsia" w:ascii="Times New Roman" w:eastAsia="仿宋"/>
          <w:sz w:val="28"/>
          <w:szCs w:val="28"/>
        </w:rPr>
        <w:t>油漆仓库</w:t>
      </w:r>
      <w:r>
        <w:rPr>
          <w:rFonts w:ascii="Times New Roman" w:eastAsia="仿宋"/>
          <w:sz w:val="28"/>
          <w:szCs w:val="28"/>
        </w:rPr>
        <w:t>中，在非取用状态时全部加盖保持密闭。液态VOCs原料从</w:t>
      </w:r>
      <w:r>
        <w:rPr>
          <w:rFonts w:hint="eastAsia" w:ascii="Times New Roman" w:eastAsia="仿宋"/>
          <w:sz w:val="28"/>
          <w:szCs w:val="28"/>
        </w:rPr>
        <w:t>油漆仓库</w:t>
      </w:r>
      <w:r>
        <w:rPr>
          <w:rFonts w:ascii="Times New Roman" w:eastAsia="仿宋"/>
          <w:sz w:val="28"/>
          <w:szCs w:val="28"/>
        </w:rPr>
        <w:t>转移至车间过程均不打开包装容器。</w:t>
      </w:r>
    </w:p>
    <w:p w14:paraId="04B82C9E">
      <w:pPr>
        <w:spacing w:line="500" w:lineRule="exact"/>
        <w:ind w:firstLine="560" w:firstLineChars="200"/>
        <w:rPr>
          <w:rFonts w:ascii="Times New Roman" w:eastAsia="仿宋"/>
          <w:sz w:val="28"/>
          <w:szCs w:val="28"/>
        </w:rPr>
      </w:pPr>
      <w:r>
        <w:rPr>
          <w:rFonts w:hint="eastAsia" w:ascii="Times New Roman" w:eastAsia="仿宋"/>
          <w:sz w:val="28"/>
          <w:szCs w:val="28"/>
        </w:rPr>
        <w:t>（6）</w:t>
      </w:r>
      <w:r>
        <w:rPr>
          <w:rFonts w:ascii="Times New Roman" w:eastAsia="仿宋"/>
          <w:sz w:val="28"/>
          <w:szCs w:val="28"/>
        </w:rPr>
        <w:t>用过的原料桶应立即加盖储存，并立即暂存在危废库内。</w:t>
      </w:r>
    </w:p>
    <w:p w14:paraId="1740A41C">
      <w:pPr>
        <w:spacing w:line="500" w:lineRule="exact"/>
        <w:ind w:firstLine="560" w:firstLineChars="200"/>
        <w:rPr>
          <w:rFonts w:ascii="Times New Roman" w:eastAsia="仿宋"/>
          <w:sz w:val="28"/>
          <w:szCs w:val="28"/>
        </w:rPr>
      </w:pPr>
      <w:r>
        <w:rPr>
          <w:rFonts w:hint="eastAsia" w:ascii="Times New Roman" w:eastAsia="仿宋"/>
          <w:sz w:val="28"/>
          <w:szCs w:val="28"/>
        </w:rPr>
        <w:t>（7）</w:t>
      </w:r>
      <w:r>
        <w:rPr>
          <w:rFonts w:ascii="Times New Roman" w:eastAsia="仿宋"/>
          <w:sz w:val="28"/>
          <w:szCs w:val="28"/>
        </w:rPr>
        <w:t>加强厂区和厂界的绿化工作，减少无组织废气对周围环境的影响。</w:t>
      </w:r>
    </w:p>
    <w:p w14:paraId="12E507B4">
      <w:pPr>
        <w:spacing w:line="500" w:lineRule="exact"/>
        <w:ind w:firstLine="560" w:firstLineChars="200"/>
        <w:rPr>
          <w:rFonts w:ascii="Times New Roman" w:eastAsia="仿宋"/>
          <w:sz w:val="28"/>
          <w:szCs w:val="28"/>
        </w:rPr>
      </w:pPr>
      <w:r>
        <w:rPr>
          <w:rFonts w:hint="eastAsia" w:ascii="Times New Roman" w:eastAsia="仿宋"/>
          <w:sz w:val="28"/>
          <w:szCs w:val="28"/>
        </w:rPr>
        <w:t>（8）</w:t>
      </w:r>
      <w:r>
        <w:rPr>
          <w:rFonts w:ascii="Times New Roman" w:eastAsia="仿宋"/>
          <w:sz w:val="28"/>
          <w:szCs w:val="28"/>
        </w:rPr>
        <w:t>无组织排放废气均通过车间强制通风，降低生产厂房内污染物浓度。</w:t>
      </w:r>
    </w:p>
    <w:p w14:paraId="78D19B4A">
      <w:pPr>
        <w:pStyle w:val="5"/>
        <w:numPr>
          <w:ilvl w:val="1"/>
          <w:numId w:val="0"/>
        </w:numPr>
        <w:spacing w:before="156" w:after="156"/>
        <w:rPr>
          <w:rFonts w:eastAsia="仿宋"/>
          <w:color w:val="auto"/>
        </w:rPr>
      </w:pPr>
      <w:bookmarkStart w:id="398" w:name="_Toc182553825"/>
      <w:bookmarkStart w:id="399" w:name="_Toc327388492"/>
      <w:bookmarkStart w:id="400" w:name="_Toc328747147"/>
      <w:bookmarkStart w:id="401" w:name="_Toc125882634"/>
      <w:r>
        <w:rPr>
          <w:rFonts w:hint="eastAsia" w:eastAsia="仿宋"/>
          <w:color w:val="auto"/>
        </w:rPr>
        <w:t>6.2</w:t>
      </w:r>
      <w:r>
        <w:rPr>
          <w:rFonts w:eastAsia="仿宋"/>
          <w:color w:val="auto"/>
        </w:rPr>
        <w:t>地表水环境保护措施及其经济、技术论证</w:t>
      </w:r>
      <w:bookmarkEnd w:id="398"/>
      <w:bookmarkEnd w:id="399"/>
      <w:bookmarkEnd w:id="400"/>
      <w:bookmarkEnd w:id="401"/>
    </w:p>
    <w:p w14:paraId="7EC06B18">
      <w:pPr>
        <w:pStyle w:val="6"/>
        <w:keepLines w:val="0"/>
        <w:tabs>
          <w:tab w:val="left" w:pos="709"/>
        </w:tabs>
        <w:spacing w:before="0" w:after="156" w:afterLines="50" w:line="500" w:lineRule="exact"/>
        <w:rPr>
          <w:rFonts w:ascii="Times New Roman" w:eastAsia="仿宋"/>
          <w:bCs w:val="0"/>
          <w:sz w:val="28"/>
        </w:rPr>
      </w:pPr>
      <w:r>
        <w:rPr>
          <w:rFonts w:hint="eastAsia" w:ascii="Times New Roman" w:eastAsia="仿宋"/>
          <w:bCs w:val="0"/>
          <w:sz w:val="28"/>
        </w:rPr>
        <w:t>6.2.1厂区排污系统设置</w:t>
      </w:r>
    </w:p>
    <w:p w14:paraId="6986B3F6">
      <w:pPr>
        <w:pStyle w:val="203"/>
        <w:spacing w:line="480" w:lineRule="exact"/>
        <w:ind w:firstLine="560"/>
        <w:rPr>
          <w:rFonts w:eastAsia="仿宋"/>
          <w:sz w:val="28"/>
          <w:szCs w:val="28"/>
        </w:rPr>
      </w:pPr>
      <w:r>
        <w:rPr>
          <w:rFonts w:hint="eastAsia" w:eastAsia="仿宋"/>
          <w:sz w:val="28"/>
          <w:szCs w:val="28"/>
        </w:rPr>
        <w:t>（1）</w:t>
      </w:r>
      <w:r>
        <w:rPr>
          <w:rFonts w:eastAsia="仿宋"/>
          <w:sz w:val="28"/>
          <w:szCs w:val="28"/>
        </w:rPr>
        <w:t>厂区实行雨、污分流和清、浊分流原则；</w:t>
      </w:r>
      <w:r>
        <w:rPr>
          <w:rFonts w:eastAsia="仿宋"/>
          <w:bCs/>
          <w:sz w:val="28"/>
          <w:szCs w:val="28"/>
        </w:rPr>
        <w:t>雨水依托</w:t>
      </w:r>
      <w:r>
        <w:rPr>
          <w:rFonts w:hint="eastAsia" w:eastAsia="仿宋"/>
          <w:bCs/>
          <w:sz w:val="28"/>
          <w:szCs w:val="28"/>
        </w:rPr>
        <w:t>厂区北侧五联路上的</w:t>
      </w:r>
      <w:r>
        <w:rPr>
          <w:rFonts w:eastAsia="仿宋"/>
          <w:bCs/>
          <w:sz w:val="28"/>
          <w:szCs w:val="28"/>
        </w:rPr>
        <w:t>雨水排口，接入市政雨水管网。</w:t>
      </w:r>
    </w:p>
    <w:p w14:paraId="63E9D89E">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本项目建成后厂内产生的</w:t>
      </w:r>
      <w:r>
        <w:rPr>
          <w:rFonts w:hint="eastAsia" w:ascii="Times New Roman" w:eastAsia="仿宋"/>
          <w:sz w:val="28"/>
          <w:szCs w:val="28"/>
        </w:rPr>
        <w:t>生产废水（包括脱脂清洗废水、水洗废水）均进入厂区污水处理站处理后与生活污水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w:t>
      </w:r>
    </w:p>
    <w:p w14:paraId="6F31402B">
      <w:pPr>
        <w:pStyle w:val="6"/>
        <w:keepLines w:val="0"/>
        <w:tabs>
          <w:tab w:val="left" w:pos="709"/>
        </w:tabs>
        <w:spacing w:before="0" w:after="156" w:afterLines="50" w:line="500" w:lineRule="exact"/>
        <w:rPr>
          <w:rFonts w:ascii="Times New Roman" w:eastAsia="仿宋"/>
          <w:sz w:val="28"/>
        </w:rPr>
      </w:pPr>
      <w:r>
        <w:rPr>
          <w:rFonts w:hint="eastAsia" w:ascii="Times New Roman" w:eastAsia="仿宋"/>
          <w:sz w:val="28"/>
        </w:rPr>
        <w:t>6.2.2厂内废水处理设施污水处理可行性分析</w:t>
      </w:r>
    </w:p>
    <w:p w14:paraId="1FE55E9B">
      <w:pPr>
        <w:spacing w:line="500" w:lineRule="exact"/>
        <w:ind w:firstLine="560" w:firstLineChars="200"/>
        <w:rPr>
          <w:rFonts w:ascii="Times New Roman" w:eastAsia="仿宋"/>
          <w:sz w:val="28"/>
          <w:szCs w:val="28"/>
        </w:rPr>
      </w:pPr>
      <w:r>
        <w:rPr>
          <w:rFonts w:hint="eastAsia" w:ascii="Times New Roman" w:eastAsia="仿宋"/>
          <w:sz w:val="28"/>
          <w:szCs w:val="28"/>
        </w:rPr>
        <w:t>本项目污水站间歇运行，污水站设计处理能力为</w:t>
      </w:r>
      <w:r>
        <w:rPr>
          <w:rFonts w:ascii="Times New Roman" w:eastAsia="仿宋"/>
          <w:sz w:val="28"/>
          <w:szCs w:val="28"/>
        </w:rPr>
        <w:t>15</w:t>
      </w:r>
      <w:r>
        <w:rPr>
          <w:rFonts w:hint="eastAsia" w:ascii="Times New Roman" w:eastAsia="仿宋"/>
          <w:sz w:val="28"/>
          <w:szCs w:val="28"/>
        </w:rPr>
        <w:t>t/d，年处理规模为4</w:t>
      </w:r>
      <w:r>
        <w:rPr>
          <w:rFonts w:ascii="Times New Roman" w:eastAsia="仿宋"/>
          <w:sz w:val="28"/>
          <w:szCs w:val="28"/>
        </w:rPr>
        <w:t>500</w:t>
      </w:r>
      <w:r>
        <w:rPr>
          <w:rFonts w:hint="eastAsia" w:ascii="Times New Roman" w:eastAsia="仿宋"/>
          <w:sz w:val="28"/>
          <w:szCs w:val="28"/>
        </w:rPr>
        <w:t>t/a。根据上文水平衡图，进站生产废水水量共计</w:t>
      </w:r>
      <w:r>
        <w:rPr>
          <w:rFonts w:ascii="Times New Roman" w:eastAsia="仿宋"/>
          <w:sz w:val="28"/>
          <w:szCs w:val="28"/>
        </w:rPr>
        <w:t>792.4</w:t>
      </w:r>
      <w:r>
        <w:rPr>
          <w:rFonts w:hint="eastAsia" w:ascii="Times New Roman" w:eastAsia="仿宋"/>
          <w:sz w:val="28"/>
          <w:szCs w:val="28"/>
        </w:rPr>
        <w:t>t/a，因此本项目配套的污水站可满足处理需求。</w:t>
      </w:r>
    </w:p>
    <w:p w14:paraId="10258D3C">
      <w:pPr>
        <w:pStyle w:val="2"/>
      </w:pPr>
    </w:p>
    <w:p w14:paraId="7B08E1BD">
      <w:pPr>
        <w:ind w:firstLine="480" w:firstLineChars="200"/>
        <w:jc w:val="center"/>
        <w:rPr>
          <w:rFonts w:ascii="Times New Roman" w:eastAsia="仿宋"/>
        </w:rPr>
      </w:pPr>
      <w:r>
        <w:rPr>
          <w:rFonts w:ascii="Times New Roman" w:eastAsia="仿宋"/>
        </w:rPr>
        <w:drawing>
          <wp:inline distT="0" distB="0" distL="0" distR="0">
            <wp:extent cx="2710180" cy="383032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03"/>
                    <a:stretch>
                      <a:fillRect/>
                    </a:stretch>
                  </pic:blipFill>
                  <pic:spPr>
                    <a:xfrm>
                      <a:off x="0" y="0"/>
                      <a:ext cx="2710384" cy="3830472"/>
                    </a:xfrm>
                    <a:prstGeom prst="rect">
                      <a:avLst/>
                    </a:prstGeom>
                  </pic:spPr>
                </pic:pic>
              </a:graphicData>
            </a:graphic>
          </wp:inline>
        </w:drawing>
      </w:r>
    </w:p>
    <w:p w14:paraId="23041C2B">
      <w:pPr>
        <w:spacing w:line="480" w:lineRule="exact"/>
        <w:ind w:firstLine="482" w:firstLineChars="200"/>
        <w:jc w:val="center"/>
        <w:rPr>
          <w:rFonts w:ascii="Times New Roman" w:eastAsia="仿宋"/>
          <w:b/>
        </w:rPr>
      </w:pPr>
      <w:r>
        <w:rPr>
          <w:rFonts w:ascii="Times New Roman" w:eastAsia="仿宋"/>
          <w:b/>
        </w:rPr>
        <w:t>图6.2-1   污水处理工艺流程图</w:t>
      </w:r>
    </w:p>
    <w:p w14:paraId="2ABE6545">
      <w:pPr>
        <w:spacing w:line="500" w:lineRule="exact"/>
        <w:ind w:firstLine="560" w:firstLineChars="200"/>
        <w:rPr>
          <w:rFonts w:ascii="Times New Roman" w:eastAsia="仿宋"/>
          <w:sz w:val="28"/>
          <w:szCs w:val="28"/>
        </w:rPr>
      </w:pPr>
      <w:r>
        <w:rPr>
          <w:rFonts w:ascii="Times New Roman" w:eastAsia="仿宋"/>
          <w:sz w:val="28"/>
          <w:szCs w:val="28"/>
        </w:rPr>
        <w:t>污水工艺流程简述：</w:t>
      </w:r>
    </w:p>
    <w:p w14:paraId="5670EF08">
      <w:pPr>
        <w:tabs>
          <w:tab w:val="left" w:pos="851"/>
        </w:tabs>
        <w:spacing w:line="500" w:lineRule="exact"/>
        <w:ind w:firstLine="560" w:firstLineChars="200"/>
        <w:rPr>
          <w:rFonts w:ascii="Times New Roman" w:eastAsia="仿宋"/>
          <w:sz w:val="28"/>
          <w:szCs w:val="28"/>
        </w:rPr>
      </w:pPr>
      <w:r>
        <w:rPr>
          <w:rFonts w:hint="eastAsia" w:ascii="Times New Roman" w:eastAsia="仿宋"/>
          <w:sz w:val="28"/>
          <w:szCs w:val="28"/>
        </w:rPr>
        <w:t>（1）车间生产产生的废水排放进入收集池；</w:t>
      </w:r>
    </w:p>
    <w:p w14:paraId="7845F20A">
      <w:pPr>
        <w:tabs>
          <w:tab w:val="left" w:pos="840"/>
        </w:tabs>
        <w:spacing w:line="500" w:lineRule="exact"/>
        <w:ind w:firstLine="560" w:firstLineChars="200"/>
        <w:rPr>
          <w:rFonts w:ascii="Times New Roman" w:eastAsia="仿宋"/>
          <w:sz w:val="28"/>
          <w:szCs w:val="28"/>
        </w:rPr>
      </w:pPr>
      <w:r>
        <w:rPr>
          <w:rFonts w:hint="eastAsia" w:ascii="Times New Roman" w:eastAsia="仿宋"/>
          <w:sz w:val="28"/>
          <w:szCs w:val="28"/>
        </w:rPr>
        <w:t>（2）收集池原水经过提升泵，提升至反应池通过pH监测仪，控制碱加药量投，反应区机械搅拌是原水与药剂充分反应。</w:t>
      </w:r>
    </w:p>
    <w:p w14:paraId="338CD16D">
      <w:pPr>
        <w:tabs>
          <w:tab w:val="left" w:pos="840"/>
        </w:tabs>
        <w:spacing w:line="500" w:lineRule="exact"/>
        <w:ind w:firstLine="560" w:firstLineChars="200"/>
        <w:rPr>
          <w:rFonts w:ascii="Times New Roman" w:eastAsia="仿宋"/>
          <w:sz w:val="28"/>
          <w:szCs w:val="28"/>
        </w:rPr>
      </w:pPr>
      <w:r>
        <w:rPr>
          <w:rFonts w:hint="eastAsia" w:ascii="Times New Roman" w:eastAsia="仿宋"/>
          <w:sz w:val="28"/>
          <w:szCs w:val="28"/>
        </w:rPr>
        <w:t>（3）PH调节池废水经反应后溢流至混凝絮凝区。投加混凝剂、助凝剂，废水中的悬浮物抱团形成矾花；溢流至斜管沉淀池。</w:t>
      </w:r>
    </w:p>
    <w:p w14:paraId="52FAC5FD">
      <w:pPr>
        <w:tabs>
          <w:tab w:val="left" w:pos="840"/>
        </w:tabs>
        <w:spacing w:line="500" w:lineRule="exact"/>
        <w:ind w:firstLine="560" w:firstLineChars="200"/>
        <w:rPr>
          <w:rFonts w:ascii="Times New Roman" w:eastAsia="仿宋"/>
          <w:sz w:val="28"/>
          <w:szCs w:val="28"/>
        </w:rPr>
      </w:pPr>
      <w:r>
        <w:rPr>
          <w:rFonts w:hint="eastAsia" w:ascii="Times New Roman" w:eastAsia="仿宋"/>
          <w:sz w:val="28"/>
          <w:szCs w:val="28"/>
        </w:rPr>
        <w:t>（4）上清水自流进入一体化气浮池的，通过气浮机的曝气，把悬浮的小颗粒浮至表面，同刮渣机刮至污泥池，清夜排放至中间水池。</w:t>
      </w:r>
    </w:p>
    <w:p w14:paraId="4786DA18">
      <w:pPr>
        <w:tabs>
          <w:tab w:val="left" w:pos="840"/>
        </w:tabs>
        <w:spacing w:line="500" w:lineRule="exact"/>
        <w:ind w:firstLine="560" w:firstLineChars="200"/>
        <w:rPr>
          <w:rFonts w:ascii="Times New Roman" w:eastAsia="仿宋"/>
          <w:sz w:val="28"/>
          <w:szCs w:val="28"/>
        </w:rPr>
      </w:pPr>
      <w:r>
        <w:rPr>
          <w:rFonts w:hint="eastAsia" w:ascii="Times New Roman" w:eastAsia="仿宋"/>
          <w:sz w:val="28"/>
          <w:szCs w:val="28"/>
        </w:rPr>
        <w:t>（5）中间水池的水经多效过滤器，过滤后可回用或接管排放。</w:t>
      </w:r>
    </w:p>
    <w:p w14:paraId="61D4C556">
      <w:pPr>
        <w:tabs>
          <w:tab w:val="left" w:pos="840"/>
        </w:tabs>
        <w:spacing w:line="500" w:lineRule="exact"/>
        <w:ind w:firstLine="560" w:firstLineChars="200"/>
        <w:rPr>
          <w:rFonts w:ascii="Times New Roman" w:eastAsia="仿宋"/>
          <w:sz w:val="28"/>
          <w:szCs w:val="28"/>
        </w:rPr>
      </w:pPr>
      <w:r>
        <w:rPr>
          <w:rFonts w:hint="eastAsia" w:ascii="Times New Roman" w:eastAsia="仿宋"/>
          <w:sz w:val="28"/>
          <w:szCs w:val="28"/>
        </w:rPr>
        <w:t>（6）气动隔膜泵抽取污泥池内的泥水至厢式压滤机压滤，干泥外运，滤液排放至隔油调节池。</w:t>
      </w:r>
    </w:p>
    <w:p w14:paraId="2C9138D8">
      <w:pPr>
        <w:spacing w:line="500" w:lineRule="exact"/>
        <w:ind w:firstLine="562" w:firstLineChars="200"/>
        <w:rPr>
          <w:rFonts w:ascii="Times New Roman" w:eastAsia="仿宋"/>
          <w:b/>
          <w:bCs/>
          <w:sz w:val="28"/>
          <w:szCs w:val="28"/>
        </w:rPr>
      </w:pPr>
      <w:r>
        <w:rPr>
          <w:rFonts w:hint="eastAsia" w:ascii="Times New Roman" w:eastAsia="仿宋"/>
          <w:b/>
          <w:bCs/>
          <w:sz w:val="28"/>
          <w:szCs w:val="28"/>
        </w:rPr>
        <w:t>（1）废水处理能力分析</w:t>
      </w:r>
    </w:p>
    <w:p w14:paraId="7FB8AB3F">
      <w:pPr>
        <w:spacing w:line="500" w:lineRule="exact"/>
        <w:ind w:firstLine="560" w:firstLineChars="200"/>
        <w:rPr>
          <w:rFonts w:ascii="Times New Roman" w:eastAsia="仿宋"/>
          <w:sz w:val="28"/>
          <w:szCs w:val="28"/>
        </w:rPr>
      </w:pPr>
      <w:r>
        <w:rPr>
          <w:rFonts w:ascii="Times New Roman" w:eastAsia="仿宋"/>
          <w:sz w:val="28"/>
          <w:szCs w:val="28"/>
        </w:rPr>
        <w:t>厂内建有污水处理设施一套，设计预处理能力为15t/</w:t>
      </w:r>
      <w:r>
        <w:rPr>
          <w:rFonts w:hint="eastAsia" w:ascii="Times New Roman" w:eastAsia="仿宋"/>
          <w:sz w:val="28"/>
          <w:szCs w:val="28"/>
        </w:rPr>
        <w:t>d</w:t>
      </w:r>
      <w:r>
        <w:rPr>
          <w:rFonts w:ascii="Times New Roman" w:eastAsia="仿宋"/>
          <w:sz w:val="28"/>
          <w:szCs w:val="28"/>
        </w:rPr>
        <w:t>，年处理能力4500t/a，</w:t>
      </w:r>
      <w:r>
        <w:rPr>
          <w:rFonts w:ascii="Times New Roman" w:eastAsia="仿宋"/>
          <w:bCs/>
          <w:sz w:val="28"/>
          <w:szCs w:val="28"/>
        </w:rPr>
        <w:t>本项目建成后</w:t>
      </w:r>
      <w:r>
        <w:rPr>
          <w:rFonts w:hint="eastAsia" w:ascii="Times New Roman" w:eastAsia="仿宋"/>
          <w:bCs/>
          <w:sz w:val="28"/>
          <w:szCs w:val="28"/>
        </w:rPr>
        <w:t>全厂进入污水处理站的混合废水</w:t>
      </w:r>
      <w:r>
        <w:rPr>
          <w:rFonts w:ascii="Times New Roman" w:eastAsia="仿宋"/>
          <w:bCs/>
          <w:sz w:val="28"/>
          <w:szCs w:val="28"/>
        </w:rPr>
        <w:t>合计792</w:t>
      </w:r>
      <w:r>
        <w:rPr>
          <w:rFonts w:hint="eastAsia" w:ascii="Times New Roman" w:eastAsia="仿宋"/>
          <w:bCs/>
          <w:sz w:val="28"/>
          <w:szCs w:val="28"/>
        </w:rPr>
        <w:t>.</w:t>
      </w:r>
      <w:r>
        <w:rPr>
          <w:rFonts w:ascii="Times New Roman" w:eastAsia="仿宋"/>
          <w:bCs/>
          <w:sz w:val="28"/>
          <w:szCs w:val="28"/>
        </w:rPr>
        <w:t>4t/a，因此，</w:t>
      </w:r>
      <w:r>
        <w:rPr>
          <w:rFonts w:ascii="Times New Roman" w:eastAsia="仿宋"/>
          <w:sz w:val="28"/>
          <w:szCs w:val="28"/>
        </w:rPr>
        <w:t>从处理量方面考虑可行。</w:t>
      </w:r>
    </w:p>
    <w:p w14:paraId="7A0B1C03">
      <w:pPr>
        <w:spacing w:line="500" w:lineRule="exact"/>
        <w:ind w:firstLine="562" w:firstLineChars="200"/>
        <w:rPr>
          <w:rFonts w:ascii="Times New Roman" w:eastAsia="仿宋"/>
          <w:b/>
          <w:bCs/>
          <w:sz w:val="28"/>
          <w:szCs w:val="28"/>
        </w:rPr>
      </w:pPr>
      <w:r>
        <w:rPr>
          <w:rFonts w:hint="eastAsia" w:ascii="Times New Roman" w:eastAsia="仿宋"/>
          <w:b/>
          <w:bCs/>
          <w:sz w:val="28"/>
          <w:szCs w:val="28"/>
        </w:rPr>
        <w:t>（2）废水处理效果分析</w:t>
      </w:r>
    </w:p>
    <w:p w14:paraId="42D0806A">
      <w:pPr>
        <w:spacing w:line="500" w:lineRule="exact"/>
        <w:ind w:firstLine="560" w:firstLineChars="200"/>
        <w:rPr>
          <w:rFonts w:ascii="Times New Roman" w:eastAsia="仿宋"/>
          <w:sz w:val="28"/>
          <w:szCs w:val="28"/>
        </w:rPr>
      </w:pPr>
      <w:r>
        <w:rPr>
          <w:rFonts w:hint="eastAsia" w:ascii="Times New Roman" w:eastAsia="仿宋"/>
          <w:sz w:val="28"/>
          <w:szCs w:val="28"/>
        </w:rPr>
        <w:t>根据设计单位</w:t>
      </w:r>
      <w:r>
        <w:rPr>
          <w:rFonts w:ascii="Times New Roman" w:eastAsia="仿宋"/>
          <w:sz w:val="28"/>
          <w:szCs w:val="28"/>
        </w:rPr>
        <w:t>提供，以及参考同类项目</w:t>
      </w:r>
      <w:r>
        <w:rPr>
          <w:rFonts w:hint="eastAsia" w:ascii="Times New Roman" w:eastAsia="仿宋"/>
          <w:sz w:val="28"/>
          <w:szCs w:val="28"/>
        </w:rPr>
        <w:t>《江苏新丽源南亚新材料有限公司监测报告》（报告编号：S</w:t>
      </w:r>
      <w:r>
        <w:rPr>
          <w:rFonts w:ascii="Times New Roman" w:eastAsia="仿宋"/>
          <w:sz w:val="28"/>
          <w:szCs w:val="28"/>
        </w:rPr>
        <w:t>E2402003</w:t>
      </w:r>
      <w:r>
        <w:rPr>
          <w:rFonts w:hint="eastAsia" w:ascii="Times New Roman" w:eastAsia="仿宋"/>
          <w:sz w:val="28"/>
          <w:szCs w:val="28"/>
        </w:rPr>
        <w:t>），本项目废水处理站处理效果分析情况见下表。</w:t>
      </w:r>
    </w:p>
    <w:p w14:paraId="08F86355">
      <w:pPr>
        <w:pStyle w:val="168"/>
        <w:ind w:firstLine="0" w:firstLineChars="0"/>
        <w:rPr>
          <w:rFonts w:ascii="Times New Roman" w:eastAsia="仿宋"/>
        </w:rPr>
      </w:pPr>
      <w:r>
        <w:rPr>
          <w:rFonts w:ascii="Times New Roman" w:eastAsia="仿宋"/>
        </w:rPr>
        <w:t xml:space="preserve">表6.2-1   </w:t>
      </w:r>
      <w:r>
        <w:rPr>
          <w:rFonts w:hint="eastAsia" w:ascii="Times New Roman" w:eastAsia="仿宋"/>
        </w:rPr>
        <w:t>江苏新丽源南亚新材料有限公司监测报告</w:t>
      </w:r>
      <w:r>
        <w:rPr>
          <w:rFonts w:ascii="Times New Roman" w:eastAsia="仿宋"/>
        </w:rPr>
        <w:t xml:space="preserve">  单位:mg/L</w:t>
      </w:r>
    </w:p>
    <w:tbl>
      <w:tblPr>
        <w:tblStyle w:val="87"/>
        <w:tblW w:w="8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2"/>
        <w:gridCol w:w="1050"/>
        <w:gridCol w:w="1045"/>
        <w:gridCol w:w="1047"/>
        <w:gridCol w:w="1044"/>
        <w:gridCol w:w="1045"/>
        <w:gridCol w:w="1044"/>
      </w:tblGrid>
      <w:tr w14:paraId="619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91" w:type="pct"/>
            <w:shd w:val="clear" w:color="auto" w:fill="auto"/>
            <w:vAlign w:val="center"/>
          </w:tcPr>
          <w:p w14:paraId="0D4CDDCC">
            <w:pPr>
              <w:widowControl/>
              <w:jc w:val="center"/>
              <w:rPr>
                <w:rFonts w:ascii="Times New Roman" w:eastAsia="仿宋"/>
                <w:szCs w:val="24"/>
                <w:lang w:bidi="ar"/>
              </w:rPr>
            </w:pPr>
            <w:r>
              <w:rPr>
                <w:rFonts w:ascii="Times New Roman" w:eastAsia="仿宋"/>
                <w:szCs w:val="24"/>
                <w:lang w:bidi="ar"/>
              </w:rPr>
              <w:t>污染因子</w:t>
            </w:r>
          </w:p>
        </w:tc>
        <w:tc>
          <w:tcPr>
            <w:tcW w:w="654" w:type="pct"/>
            <w:shd w:val="clear" w:color="auto" w:fill="auto"/>
            <w:vAlign w:val="center"/>
          </w:tcPr>
          <w:p w14:paraId="37C6C7ED">
            <w:pPr>
              <w:widowControl/>
              <w:jc w:val="center"/>
              <w:rPr>
                <w:rFonts w:ascii="Times New Roman" w:eastAsia="仿宋"/>
                <w:szCs w:val="24"/>
                <w:lang w:bidi="ar"/>
              </w:rPr>
            </w:pPr>
            <w:r>
              <w:rPr>
                <w:rFonts w:ascii="Times New Roman" w:eastAsia="仿宋"/>
                <w:szCs w:val="24"/>
                <w:lang w:bidi="ar"/>
              </w:rPr>
              <w:t>pH</w:t>
            </w:r>
          </w:p>
        </w:tc>
        <w:tc>
          <w:tcPr>
            <w:tcW w:w="651" w:type="pct"/>
            <w:vAlign w:val="center"/>
          </w:tcPr>
          <w:p w14:paraId="19EECB2C">
            <w:pPr>
              <w:widowControl/>
              <w:jc w:val="center"/>
              <w:rPr>
                <w:rFonts w:ascii="Times New Roman" w:eastAsia="仿宋"/>
                <w:szCs w:val="24"/>
                <w:lang w:bidi="ar"/>
              </w:rPr>
            </w:pPr>
            <w:r>
              <w:rPr>
                <w:rFonts w:ascii="Times New Roman" w:eastAsia="仿宋"/>
                <w:szCs w:val="24"/>
                <w:lang w:bidi="ar"/>
              </w:rPr>
              <w:t>COD</w:t>
            </w:r>
          </w:p>
        </w:tc>
        <w:tc>
          <w:tcPr>
            <w:tcW w:w="652" w:type="pct"/>
            <w:vAlign w:val="center"/>
          </w:tcPr>
          <w:p w14:paraId="10F142B3">
            <w:pPr>
              <w:widowControl/>
              <w:jc w:val="center"/>
              <w:rPr>
                <w:rFonts w:ascii="Times New Roman" w:eastAsia="仿宋"/>
                <w:szCs w:val="24"/>
                <w:lang w:bidi="ar"/>
              </w:rPr>
            </w:pPr>
            <w:r>
              <w:rPr>
                <w:rFonts w:ascii="Times New Roman" w:eastAsia="仿宋"/>
                <w:szCs w:val="24"/>
                <w:lang w:bidi="ar"/>
              </w:rPr>
              <w:t>SS</w:t>
            </w:r>
          </w:p>
        </w:tc>
        <w:tc>
          <w:tcPr>
            <w:tcW w:w="650" w:type="pct"/>
            <w:vAlign w:val="center"/>
          </w:tcPr>
          <w:p w14:paraId="1BCC98F4">
            <w:pPr>
              <w:widowControl/>
              <w:jc w:val="center"/>
              <w:rPr>
                <w:rFonts w:ascii="Times New Roman" w:eastAsia="仿宋"/>
                <w:szCs w:val="24"/>
                <w:lang w:bidi="ar"/>
              </w:rPr>
            </w:pPr>
            <w:r>
              <w:rPr>
                <w:rFonts w:ascii="Times New Roman" w:eastAsia="仿宋"/>
                <w:szCs w:val="24"/>
                <w:lang w:bidi="ar"/>
              </w:rPr>
              <w:t>NH</w:t>
            </w:r>
            <w:r>
              <w:rPr>
                <w:rFonts w:ascii="Times New Roman" w:eastAsia="仿宋"/>
                <w:szCs w:val="24"/>
                <w:vertAlign w:val="subscript"/>
                <w:lang w:bidi="ar"/>
              </w:rPr>
              <w:t>3</w:t>
            </w:r>
            <w:r>
              <w:rPr>
                <w:rFonts w:ascii="Times New Roman" w:eastAsia="仿宋"/>
                <w:szCs w:val="24"/>
                <w:lang w:bidi="ar"/>
              </w:rPr>
              <w:t>-N</w:t>
            </w:r>
          </w:p>
        </w:tc>
        <w:tc>
          <w:tcPr>
            <w:tcW w:w="651" w:type="pct"/>
            <w:vAlign w:val="center"/>
          </w:tcPr>
          <w:p w14:paraId="024BD30E">
            <w:pPr>
              <w:widowControl/>
              <w:jc w:val="center"/>
              <w:rPr>
                <w:rFonts w:ascii="Times New Roman" w:eastAsia="仿宋"/>
                <w:szCs w:val="24"/>
                <w:lang w:bidi="ar"/>
              </w:rPr>
            </w:pPr>
            <w:r>
              <w:rPr>
                <w:rFonts w:ascii="Times New Roman" w:eastAsia="仿宋"/>
                <w:szCs w:val="24"/>
                <w:lang w:bidi="ar"/>
              </w:rPr>
              <w:t>TP</w:t>
            </w:r>
          </w:p>
        </w:tc>
        <w:tc>
          <w:tcPr>
            <w:tcW w:w="650" w:type="pct"/>
            <w:vAlign w:val="center"/>
          </w:tcPr>
          <w:p w14:paraId="0965F040">
            <w:pPr>
              <w:widowControl/>
              <w:jc w:val="center"/>
              <w:rPr>
                <w:rFonts w:ascii="Times New Roman" w:eastAsia="仿宋"/>
                <w:szCs w:val="24"/>
                <w:lang w:bidi="ar"/>
              </w:rPr>
            </w:pPr>
            <w:r>
              <w:rPr>
                <w:rFonts w:hint="eastAsia" w:ascii="Times New Roman" w:eastAsia="仿宋"/>
                <w:szCs w:val="24"/>
                <w:lang w:bidi="ar"/>
              </w:rPr>
              <w:t>石油类</w:t>
            </w:r>
          </w:p>
        </w:tc>
      </w:tr>
      <w:tr w14:paraId="6A6C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91" w:type="pct"/>
            <w:shd w:val="clear" w:color="auto" w:fill="auto"/>
            <w:vAlign w:val="center"/>
          </w:tcPr>
          <w:p w14:paraId="5CBF9B07">
            <w:pPr>
              <w:widowControl/>
              <w:jc w:val="center"/>
              <w:rPr>
                <w:rFonts w:ascii="Times New Roman" w:eastAsia="仿宋"/>
                <w:szCs w:val="24"/>
                <w:lang w:bidi="ar"/>
              </w:rPr>
            </w:pPr>
            <w:r>
              <w:rPr>
                <w:rFonts w:hint="eastAsia" w:ascii="Times New Roman" w:eastAsia="仿宋"/>
                <w:szCs w:val="24"/>
                <w:lang w:bidi="ar"/>
              </w:rPr>
              <w:t>进水浓度</w:t>
            </w:r>
          </w:p>
        </w:tc>
        <w:tc>
          <w:tcPr>
            <w:tcW w:w="654" w:type="pct"/>
            <w:shd w:val="clear" w:color="auto" w:fill="auto"/>
            <w:vAlign w:val="center"/>
          </w:tcPr>
          <w:p w14:paraId="3D2A994E">
            <w:pPr>
              <w:widowControl/>
              <w:jc w:val="center"/>
              <w:rPr>
                <w:rFonts w:ascii="Times New Roman" w:eastAsia="仿宋"/>
                <w:szCs w:val="24"/>
                <w:lang w:bidi="ar"/>
              </w:rPr>
            </w:pPr>
            <w:r>
              <w:rPr>
                <w:rFonts w:hint="eastAsia" w:ascii="Times New Roman" w:eastAsia="仿宋"/>
                <w:szCs w:val="24"/>
                <w:lang w:bidi="ar"/>
              </w:rPr>
              <w:t>4</w:t>
            </w:r>
            <w:r>
              <w:rPr>
                <w:rFonts w:ascii="Times New Roman" w:eastAsia="仿宋"/>
                <w:szCs w:val="24"/>
                <w:lang w:bidi="ar"/>
              </w:rPr>
              <w:t>.4</w:t>
            </w:r>
          </w:p>
        </w:tc>
        <w:tc>
          <w:tcPr>
            <w:tcW w:w="651" w:type="pct"/>
            <w:vAlign w:val="center"/>
          </w:tcPr>
          <w:p w14:paraId="275CBCB7">
            <w:pPr>
              <w:widowControl/>
              <w:jc w:val="center"/>
              <w:rPr>
                <w:rFonts w:ascii="Times New Roman" w:eastAsia="仿宋"/>
                <w:szCs w:val="24"/>
                <w:lang w:bidi="ar"/>
              </w:rPr>
            </w:pPr>
            <w:r>
              <w:rPr>
                <w:rFonts w:hint="eastAsia" w:ascii="Times New Roman" w:eastAsia="仿宋"/>
                <w:szCs w:val="24"/>
                <w:lang w:bidi="ar"/>
              </w:rPr>
              <w:t>6</w:t>
            </w:r>
            <w:r>
              <w:rPr>
                <w:rFonts w:ascii="Times New Roman" w:eastAsia="仿宋"/>
                <w:szCs w:val="24"/>
                <w:lang w:bidi="ar"/>
              </w:rPr>
              <w:t>50</w:t>
            </w:r>
          </w:p>
        </w:tc>
        <w:tc>
          <w:tcPr>
            <w:tcW w:w="652" w:type="pct"/>
            <w:vAlign w:val="center"/>
          </w:tcPr>
          <w:p w14:paraId="1E15383F">
            <w:pPr>
              <w:widowControl/>
              <w:jc w:val="center"/>
              <w:rPr>
                <w:rFonts w:ascii="Times New Roman" w:eastAsia="仿宋"/>
                <w:szCs w:val="24"/>
                <w:lang w:bidi="ar"/>
              </w:rPr>
            </w:pPr>
            <w:r>
              <w:rPr>
                <w:rFonts w:hint="eastAsia" w:ascii="Times New Roman" w:eastAsia="仿宋"/>
                <w:szCs w:val="24"/>
                <w:lang w:bidi="ar"/>
              </w:rPr>
              <w:t>2</w:t>
            </w:r>
            <w:r>
              <w:rPr>
                <w:rFonts w:ascii="Times New Roman" w:eastAsia="仿宋"/>
                <w:szCs w:val="24"/>
                <w:lang w:bidi="ar"/>
              </w:rPr>
              <w:t>84</w:t>
            </w:r>
          </w:p>
        </w:tc>
        <w:tc>
          <w:tcPr>
            <w:tcW w:w="650" w:type="pct"/>
            <w:vAlign w:val="center"/>
          </w:tcPr>
          <w:p w14:paraId="6763C450">
            <w:pPr>
              <w:widowControl/>
              <w:jc w:val="center"/>
              <w:rPr>
                <w:rFonts w:ascii="Times New Roman" w:eastAsia="仿宋"/>
                <w:szCs w:val="24"/>
                <w:lang w:bidi="ar"/>
              </w:rPr>
            </w:pPr>
            <w:r>
              <w:rPr>
                <w:rFonts w:hint="eastAsia" w:ascii="Times New Roman" w:eastAsia="仿宋"/>
                <w:szCs w:val="24"/>
                <w:lang w:bidi="ar"/>
              </w:rPr>
              <w:t>3.</w:t>
            </w:r>
            <w:r>
              <w:rPr>
                <w:rFonts w:ascii="Times New Roman" w:eastAsia="仿宋"/>
                <w:szCs w:val="24"/>
                <w:lang w:bidi="ar"/>
              </w:rPr>
              <w:t>4</w:t>
            </w:r>
          </w:p>
        </w:tc>
        <w:tc>
          <w:tcPr>
            <w:tcW w:w="651" w:type="pct"/>
            <w:vAlign w:val="center"/>
          </w:tcPr>
          <w:p w14:paraId="534CF086">
            <w:pPr>
              <w:widowControl/>
              <w:jc w:val="center"/>
              <w:rPr>
                <w:rFonts w:ascii="Times New Roman" w:eastAsia="仿宋"/>
                <w:szCs w:val="24"/>
                <w:lang w:bidi="ar"/>
              </w:rPr>
            </w:pPr>
            <w:r>
              <w:rPr>
                <w:rFonts w:hint="eastAsia" w:ascii="Times New Roman" w:eastAsia="仿宋"/>
                <w:szCs w:val="24"/>
                <w:lang w:bidi="ar"/>
              </w:rPr>
              <w:t>8</w:t>
            </w:r>
            <w:r>
              <w:rPr>
                <w:rFonts w:ascii="Times New Roman" w:eastAsia="仿宋"/>
                <w:szCs w:val="24"/>
                <w:lang w:bidi="ar"/>
              </w:rPr>
              <w:t>.4</w:t>
            </w:r>
          </w:p>
        </w:tc>
        <w:tc>
          <w:tcPr>
            <w:tcW w:w="650" w:type="pct"/>
            <w:vAlign w:val="center"/>
          </w:tcPr>
          <w:p w14:paraId="2A9B32F8">
            <w:pPr>
              <w:widowControl/>
              <w:jc w:val="center"/>
              <w:rPr>
                <w:rFonts w:ascii="Times New Roman" w:eastAsia="仿宋"/>
                <w:szCs w:val="24"/>
                <w:lang w:bidi="ar"/>
              </w:rPr>
            </w:pPr>
            <w:r>
              <w:rPr>
                <w:rFonts w:hint="eastAsia" w:ascii="Times New Roman" w:eastAsia="仿宋"/>
                <w:szCs w:val="24"/>
                <w:lang w:bidi="ar"/>
              </w:rPr>
              <w:t>2</w:t>
            </w:r>
            <w:r>
              <w:rPr>
                <w:rFonts w:ascii="Times New Roman" w:eastAsia="仿宋"/>
                <w:szCs w:val="24"/>
                <w:lang w:bidi="ar"/>
              </w:rPr>
              <w:t>.73</w:t>
            </w:r>
          </w:p>
        </w:tc>
      </w:tr>
      <w:tr w14:paraId="2A50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91" w:type="pct"/>
            <w:shd w:val="clear" w:color="auto" w:fill="auto"/>
            <w:vAlign w:val="center"/>
          </w:tcPr>
          <w:p w14:paraId="45C58A6D">
            <w:pPr>
              <w:widowControl/>
              <w:jc w:val="center"/>
              <w:rPr>
                <w:rFonts w:ascii="Times New Roman" w:eastAsia="仿宋"/>
                <w:szCs w:val="24"/>
                <w:lang w:bidi="ar"/>
              </w:rPr>
            </w:pPr>
            <w:r>
              <w:rPr>
                <w:rFonts w:ascii="Times New Roman" w:eastAsia="仿宋"/>
                <w:szCs w:val="24"/>
                <w:lang w:bidi="ar"/>
              </w:rPr>
              <w:t>出水</w:t>
            </w:r>
            <w:r>
              <w:rPr>
                <w:rFonts w:hint="eastAsia" w:ascii="Times New Roman" w:eastAsia="仿宋"/>
                <w:szCs w:val="24"/>
                <w:lang w:bidi="ar"/>
              </w:rPr>
              <w:t>浓度</w:t>
            </w:r>
          </w:p>
        </w:tc>
        <w:tc>
          <w:tcPr>
            <w:tcW w:w="654" w:type="pct"/>
            <w:shd w:val="clear" w:color="auto" w:fill="auto"/>
            <w:vAlign w:val="center"/>
          </w:tcPr>
          <w:p w14:paraId="05281A45">
            <w:pPr>
              <w:widowControl/>
              <w:jc w:val="center"/>
              <w:rPr>
                <w:rFonts w:ascii="Times New Roman" w:eastAsia="仿宋"/>
                <w:szCs w:val="24"/>
                <w:lang w:bidi="ar"/>
              </w:rPr>
            </w:pPr>
            <w:r>
              <w:rPr>
                <w:rFonts w:hint="eastAsia" w:ascii="Times New Roman" w:eastAsia="仿宋"/>
                <w:szCs w:val="24"/>
                <w:lang w:bidi="ar"/>
              </w:rPr>
              <w:t>7</w:t>
            </w:r>
            <w:r>
              <w:rPr>
                <w:rFonts w:ascii="Times New Roman" w:eastAsia="仿宋"/>
                <w:szCs w:val="24"/>
                <w:lang w:bidi="ar"/>
              </w:rPr>
              <w:t>.3</w:t>
            </w:r>
          </w:p>
        </w:tc>
        <w:tc>
          <w:tcPr>
            <w:tcW w:w="651" w:type="pct"/>
            <w:vAlign w:val="center"/>
          </w:tcPr>
          <w:p w14:paraId="5A943B70">
            <w:pPr>
              <w:widowControl/>
              <w:jc w:val="center"/>
              <w:rPr>
                <w:rFonts w:ascii="Times New Roman" w:eastAsia="仿宋"/>
                <w:szCs w:val="24"/>
                <w:lang w:bidi="ar"/>
              </w:rPr>
            </w:pPr>
            <w:r>
              <w:rPr>
                <w:rFonts w:hint="eastAsia" w:ascii="Times New Roman" w:eastAsia="仿宋"/>
                <w:szCs w:val="24"/>
                <w:lang w:bidi="ar"/>
              </w:rPr>
              <w:t>3</w:t>
            </w:r>
            <w:r>
              <w:rPr>
                <w:rFonts w:ascii="Times New Roman" w:eastAsia="仿宋"/>
                <w:szCs w:val="24"/>
                <w:lang w:bidi="ar"/>
              </w:rPr>
              <w:t>04</w:t>
            </w:r>
          </w:p>
        </w:tc>
        <w:tc>
          <w:tcPr>
            <w:tcW w:w="652" w:type="pct"/>
            <w:vAlign w:val="center"/>
          </w:tcPr>
          <w:p w14:paraId="1445CE28">
            <w:pPr>
              <w:widowControl/>
              <w:jc w:val="center"/>
              <w:rPr>
                <w:rFonts w:ascii="Times New Roman" w:eastAsia="仿宋"/>
                <w:szCs w:val="24"/>
                <w:lang w:bidi="ar"/>
              </w:rPr>
            </w:pPr>
            <w:r>
              <w:rPr>
                <w:rFonts w:hint="eastAsia" w:ascii="Times New Roman" w:eastAsia="仿宋"/>
                <w:szCs w:val="24"/>
                <w:lang w:bidi="ar"/>
              </w:rPr>
              <w:t>2</w:t>
            </w:r>
            <w:r>
              <w:rPr>
                <w:rFonts w:ascii="Times New Roman" w:eastAsia="仿宋"/>
                <w:szCs w:val="24"/>
                <w:lang w:bidi="ar"/>
              </w:rPr>
              <w:t>5</w:t>
            </w:r>
          </w:p>
        </w:tc>
        <w:tc>
          <w:tcPr>
            <w:tcW w:w="650" w:type="pct"/>
            <w:vAlign w:val="center"/>
          </w:tcPr>
          <w:p w14:paraId="0F44B704">
            <w:pPr>
              <w:widowControl/>
              <w:jc w:val="center"/>
              <w:rPr>
                <w:rFonts w:ascii="Times New Roman" w:eastAsia="仿宋"/>
                <w:szCs w:val="24"/>
                <w:lang w:bidi="ar"/>
              </w:rPr>
            </w:pPr>
            <w:r>
              <w:rPr>
                <w:rFonts w:hint="eastAsia" w:ascii="Times New Roman" w:eastAsia="仿宋"/>
                <w:szCs w:val="24"/>
                <w:lang w:bidi="ar"/>
              </w:rPr>
              <w:t>2</w:t>
            </w:r>
            <w:r>
              <w:rPr>
                <w:rFonts w:ascii="Times New Roman" w:eastAsia="仿宋"/>
                <w:szCs w:val="24"/>
                <w:lang w:bidi="ar"/>
              </w:rPr>
              <w:t>.12</w:t>
            </w:r>
          </w:p>
        </w:tc>
        <w:tc>
          <w:tcPr>
            <w:tcW w:w="651" w:type="pct"/>
            <w:vAlign w:val="center"/>
          </w:tcPr>
          <w:p w14:paraId="7F30F0B0">
            <w:pPr>
              <w:widowControl/>
              <w:jc w:val="center"/>
              <w:rPr>
                <w:rFonts w:ascii="Times New Roman" w:eastAsia="仿宋"/>
                <w:szCs w:val="24"/>
                <w:lang w:bidi="ar"/>
              </w:rPr>
            </w:pPr>
            <w:r>
              <w:rPr>
                <w:rFonts w:hint="eastAsia" w:ascii="Times New Roman" w:eastAsia="仿宋"/>
                <w:szCs w:val="24"/>
                <w:lang w:bidi="ar"/>
              </w:rPr>
              <w:t>2</w:t>
            </w:r>
            <w:r>
              <w:rPr>
                <w:rFonts w:ascii="Times New Roman" w:eastAsia="仿宋"/>
                <w:szCs w:val="24"/>
                <w:lang w:bidi="ar"/>
              </w:rPr>
              <w:t>.93</w:t>
            </w:r>
          </w:p>
        </w:tc>
        <w:tc>
          <w:tcPr>
            <w:tcW w:w="650" w:type="pct"/>
            <w:vAlign w:val="center"/>
          </w:tcPr>
          <w:p w14:paraId="7DAA708D">
            <w:pPr>
              <w:widowControl/>
              <w:jc w:val="center"/>
              <w:rPr>
                <w:rFonts w:ascii="Times New Roman" w:eastAsia="仿宋"/>
                <w:szCs w:val="24"/>
                <w:lang w:bidi="ar"/>
              </w:rPr>
            </w:pPr>
            <w:r>
              <w:rPr>
                <w:rFonts w:hint="eastAsia" w:ascii="Times New Roman" w:eastAsia="仿宋"/>
                <w:szCs w:val="24"/>
                <w:lang w:bidi="ar"/>
              </w:rPr>
              <w:t>1</w:t>
            </w:r>
            <w:r>
              <w:rPr>
                <w:rFonts w:ascii="Times New Roman" w:eastAsia="仿宋"/>
                <w:szCs w:val="24"/>
                <w:lang w:bidi="ar"/>
              </w:rPr>
              <w:t>.24</w:t>
            </w:r>
          </w:p>
        </w:tc>
      </w:tr>
      <w:tr w14:paraId="6866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91" w:type="pct"/>
            <w:shd w:val="clear" w:color="auto" w:fill="auto"/>
            <w:vAlign w:val="center"/>
          </w:tcPr>
          <w:p w14:paraId="5C35231A">
            <w:pPr>
              <w:widowControl/>
              <w:jc w:val="center"/>
              <w:rPr>
                <w:rFonts w:ascii="Times New Roman" w:eastAsia="仿宋"/>
                <w:szCs w:val="24"/>
                <w:lang w:bidi="ar"/>
              </w:rPr>
            </w:pPr>
            <w:r>
              <w:rPr>
                <w:rFonts w:hint="eastAsia" w:ascii="Times New Roman" w:eastAsia="仿宋"/>
                <w:szCs w:val="24"/>
                <w:lang w:bidi="ar"/>
              </w:rPr>
              <w:t>废水</w:t>
            </w:r>
            <w:r>
              <w:rPr>
                <w:rFonts w:ascii="Times New Roman" w:eastAsia="仿宋"/>
                <w:szCs w:val="24"/>
                <w:lang w:bidi="ar"/>
              </w:rPr>
              <w:t>接管标准</w:t>
            </w:r>
          </w:p>
        </w:tc>
        <w:tc>
          <w:tcPr>
            <w:tcW w:w="654" w:type="pct"/>
            <w:shd w:val="clear" w:color="auto" w:fill="auto"/>
            <w:vAlign w:val="center"/>
          </w:tcPr>
          <w:p w14:paraId="04B0FAEF">
            <w:pPr>
              <w:widowControl/>
              <w:jc w:val="center"/>
              <w:rPr>
                <w:rFonts w:ascii="Times New Roman" w:eastAsia="仿宋"/>
                <w:szCs w:val="24"/>
                <w:lang w:bidi="ar"/>
              </w:rPr>
            </w:pPr>
            <w:r>
              <w:rPr>
                <w:rFonts w:ascii="Times New Roman" w:eastAsia="仿宋"/>
                <w:szCs w:val="21"/>
              </w:rPr>
              <w:t>6~9</w:t>
            </w:r>
          </w:p>
        </w:tc>
        <w:tc>
          <w:tcPr>
            <w:tcW w:w="651" w:type="pct"/>
            <w:vAlign w:val="center"/>
          </w:tcPr>
          <w:p w14:paraId="2F0941E2">
            <w:pPr>
              <w:widowControl/>
              <w:jc w:val="center"/>
              <w:rPr>
                <w:rFonts w:ascii="Times New Roman" w:eastAsia="仿宋"/>
                <w:szCs w:val="24"/>
                <w:lang w:bidi="ar"/>
              </w:rPr>
            </w:pPr>
            <w:r>
              <w:rPr>
                <w:rFonts w:ascii="Times New Roman" w:eastAsia="仿宋"/>
                <w:szCs w:val="24"/>
                <w:lang w:bidi="ar"/>
              </w:rPr>
              <w:t>500</w:t>
            </w:r>
          </w:p>
        </w:tc>
        <w:tc>
          <w:tcPr>
            <w:tcW w:w="652" w:type="pct"/>
            <w:vAlign w:val="center"/>
          </w:tcPr>
          <w:p w14:paraId="11845CB5">
            <w:pPr>
              <w:widowControl/>
              <w:jc w:val="center"/>
              <w:rPr>
                <w:rFonts w:ascii="Times New Roman" w:eastAsia="仿宋"/>
                <w:szCs w:val="24"/>
                <w:lang w:bidi="ar"/>
              </w:rPr>
            </w:pPr>
            <w:r>
              <w:rPr>
                <w:rFonts w:ascii="Times New Roman" w:eastAsia="仿宋"/>
                <w:szCs w:val="24"/>
                <w:lang w:bidi="ar"/>
              </w:rPr>
              <w:t>400</w:t>
            </w:r>
          </w:p>
        </w:tc>
        <w:tc>
          <w:tcPr>
            <w:tcW w:w="650" w:type="pct"/>
            <w:vAlign w:val="center"/>
          </w:tcPr>
          <w:p w14:paraId="4FE45B4B">
            <w:pPr>
              <w:widowControl/>
              <w:jc w:val="center"/>
              <w:rPr>
                <w:rFonts w:ascii="Times New Roman" w:eastAsia="仿宋"/>
                <w:szCs w:val="24"/>
                <w:lang w:bidi="ar"/>
              </w:rPr>
            </w:pPr>
            <w:r>
              <w:rPr>
                <w:rFonts w:ascii="Times New Roman" w:eastAsia="仿宋"/>
                <w:szCs w:val="24"/>
                <w:lang w:bidi="ar"/>
              </w:rPr>
              <w:t>45</w:t>
            </w:r>
          </w:p>
        </w:tc>
        <w:tc>
          <w:tcPr>
            <w:tcW w:w="651" w:type="pct"/>
            <w:vAlign w:val="center"/>
          </w:tcPr>
          <w:p w14:paraId="71DCC004">
            <w:pPr>
              <w:widowControl/>
              <w:jc w:val="center"/>
              <w:rPr>
                <w:rFonts w:ascii="Times New Roman" w:eastAsia="仿宋"/>
                <w:szCs w:val="24"/>
                <w:lang w:bidi="ar"/>
              </w:rPr>
            </w:pPr>
            <w:r>
              <w:rPr>
                <w:rFonts w:ascii="Times New Roman" w:eastAsia="仿宋"/>
                <w:szCs w:val="24"/>
                <w:lang w:bidi="ar"/>
              </w:rPr>
              <w:t>8</w:t>
            </w:r>
          </w:p>
        </w:tc>
        <w:tc>
          <w:tcPr>
            <w:tcW w:w="650" w:type="pct"/>
            <w:vAlign w:val="center"/>
          </w:tcPr>
          <w:p w14:paraId="1CDDD182">
            <w:pPr>
              <w:widowControl/>
              <w:jc w:val="center"/>
              <w:rPr>
                <w:rFonts w:ascii="Times New Roman" w:eastAsia="仿宋"/>
                <w:szCs w:val="24"/>
                <w:lang w:bidi="ar"/>
              </w:rPr>
            </w:pPr>
            <w:r>
              <w:rPr>
                <w:rFonts w:ascii="Times New Roman" w:eastAsia="仿宋"/>
                <w:szCs w:val="24"/>
                <w:lang w:bidi="ar"/>
              </w:rPr>
              <w:t>15</w:t>
            </w:r>
          </w:p>
        </w:tc>
      </w:tr>
      <w:tr w14:paraId="1BCF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91" w:type="pct"/>
            <w:shd w:val="clear" w:color="auto" w:fill="auto"/>
            <w:vAlign w:val="center"/>
          </w:tcPr>
          <w:p w14:paraId="28F7D30A">
            <w:pPr>
              <w:widowControl/>
              <w:jc w:val="center"/>
              <w:rPr>
                <w:rFonts w:ascii="Times New Roman" w:eastAsia="仿宋"/>
                <w:szCs w:val="24"/>
                <w:lang w:bidi="ar"/>
              </w:rPr>
            </w:pPr>
            <w:r>
              <w:rPr>
                <w:rFonts w:hint="eastAsia" w:ascii="Times New Roman" w:eastAsia="仿宋"/>
                <w:szCs w:val="24"/>
                <w:lang w:bidi="ar"/>
              </w:rPr>
              <w:t>达标评价</w:t>
            </w:r>
          </w:p>
        </w:tc>
        <w:tc>
          <w:tcPr>
            <w:tcW w:w="654" w:type="pct"/>
            <w:shd w:val="clear" w:color="auto" w:fill="auto"/>
            <w:vAlign w:val="center"/>
          </w:tcPr>
          <w:p w14:paraId="3777A9EE">
            <w:pPr>
              <w:widowControl/>
              <w:jc w:val="center"/>
              <w:rPr>
                <w:rFonts w:ascii="Times New Roman" w:eastAsia="仿宋"/>
                <w:szCs w:val="24"/>
                <w:lang w:bidi="ar"/>
              </w:rPr>
            </w:pPr>
            <w:r>
              <w:rPr>
                <w:rFonts w:hint="eastAsia" w:ascii="Times New Roman" w:eastAsia="仿宋"/>
                <w:szCs w:val="24"/>
                <w:lang w:bidi="ar"/>
              </w:rPr>
              <w:t>达标</w:t>
            </w:r>
          </w:p>
        </w:tc>
        <w:tc>
          <w:tcPr>
            <w:tcW w:w="651" w:type="pct"/>
            <w:vAlign w:val="center"/>
          </w:tcPr>
          <w:p w14:paraId="5F0F4E28">
            <w:pPr>
              <w:widowControl/>
              <w:jc w:val="center"/>
              <w:rPr>
                <w:rFonts w:ascii="Times New Roman" w:eastAsia="仿宋"/>
                <w:szCs w:val="24"/>
                <w:lang w:bidi="ar"/>
              </w:rPr>
            </w:pPr>
            <w:r>
              <w:rPr>
                <w:rFonts w:hint="eastAsia" w:ascii="Times New Roman" w:eastAsia="仿宋"/>
                <w:szCs w:val="24"/>
                <w:lang w:bidi="ar"/>
              </w:rPr>
              <w:t>达标</w:t>
            </w:r>
          </w:p>
        </w:tc>
        <w:tc>
          <w:tcPr>
            <w:tcW w:w="652" w:type="pct"/>
            <w:vAlign w:val="center"/>
          </w:tcPr>
          <w:p w14:paraId="63B85E57">
            <w:pPr>
              <w:widowControl/>
              <w:jc w:val="center"/>
              <w:rPr>
                <w:rFonts w:ascii="Times New Roman" w:eastAsia="仿宋"/>
                <w:szCs w:val="24"/>
                <w:lang w:bidi="ar"/>
              </w:rPr>
            </w:pPr>
            <w:r>
              <w:rPr>
                <w:rFonts w:hint="eastAsia" w:ascii="Times New Roman" w:eastAsia="仿宋"/>
                <w:szCs w:val="24"/>
                <w:lang w:bidi="ar"/>
              </w:rPr>
              <w:t>达标</w:t>
            </w:r>
          </w:p>
        </w:tc>
        <w:tc>
          <w:tcPr>
            <w:tcW w:w="650" w:type="pct"/>
            <w:vAlign w:val="center"/>
          </w:tcPr>
          <w:p w14:paraId="5FA8E54D">
            <w:pPr>
              <w:widowControl/>
              <w:jc w:val="center"/>
              <w:rPr>
                <w:rFonts w:ascii="Times New Roman" w:eastAsia="仿宋"/>
                <w:szCs w:val="24"/>
                <w:lang w:bidi="ar"/>
              </w:rPr>
            </w:pPr>
            <w:r>
              <w:rPr>
                <w:rFonts w:hint="eastAsia" w:ascii="Times New Roman" w:eastAsia="仿宋"/>
                <w:szCs w:val="24"/>
                <w:lang w:bidi="ar"/>
              </w:rPr>
              <w:t>达标</w:t>
            </w:r>
          </w:p>
        </w:tc>
        <w:tc>
          <w:tcPr>
            <w:tcW w:w="651" w:type="pct"/>
            <w:vAlign w:val="center"/>
          </w:tcPr>
          <w:p w14:paraId="64634903">
            <w:pPr>
              <w:widowControl/>
              <w:jc w:val="center"/>
              <w:rPr>
                <w:rFonts w:ascii="Times New Roman" w:eastAsia="仿宋"/>
                <w:szCs w:val="24"/>
                <w:lang w:bidi="ar"/>
              </w:rPr>
            </w:pPr>
            <w:r>
              <w:rPr>
                <w:rFonts w:hint="eastAsia" w:ascii="Times New Roman" w:eastAsia="仿宋"/>
                <w:szCs w:val="24"/>
                <w:lang w:bidi="ar"/>
              </w:rPr>
              <w:t>达标</w:t>
            </w:r>
          </w:p>
        </w:tc>
        <w:tc>
          <w:tcPr>
            <w:tcW w:w="650" w:type="pct"/>
            <w:vAlign w:val="center"/>
          </w:tcPr>
          <w:p w14:paraId="250B7E4F">
            <w:pPr>
              <w:widowControl/>
              <w:jc w:val="center"/>
              <w:rPr>
                <w:rFonts w:ascii="Times New Roman" w:eastAsia="仿宋"/>
                <w:szCs w:val="24"/>
                <w:lang w:bidi="ar"/>
              </w:rPr>
            </w:pPr>
            <w:r>
              <w:rPr>
                <w:rFonts w:hint="eastAsia" w:ascii="Times New Roman" w:eastAsia="仿宋"/>
                <w:szCs w:val="24"/>
                <w:lang w:bidi="ar"/>
              </w:rPr>
              <w:t>达标</w:t>
            </w:r>
          </w:p>
        </w:tc>
      </w:tr>
    </w:tbl>
    <w:p w14:paraId="7C39F065">
      <w:pPr>
        <w:pStyle w:val="168"/>
        <w:ind w:firstLine="0" w:firstLineChars="0"/>
        <w:rPr>
          <w:rFonts w:ascii="Times New Roman" w:eastAsia="仿宋"/>
        </w:rPr>
      </w:pPr>
      <w:r>
        <w:rPr>
          <w:rFonts w:ascii="Times New Roman" w:eastAsia="仿宋"/>
        </w:rPr>
        <w:t xml:space="preserve">表6.2-2   </w:t>
      </w:r>
      <w:r>
        <w:rPr>
          <w:rFonts w:hint="eastAsia" w:ascii="Times New Roman" w:eastAsia="仿宋"/>
        </w:rPr>
        <w:t>本项目</w:t>
      </w:r>
      <w:r>
        <w:rPr>
          <w:rFonts w:ascii="Times New Roman" w:eastAsia="仿宋"/>
        </w:rPr>
        <w:t>污水处理站处理效果分析  单位:mg/L</w:t>
      </w:r>
    </w:p>
    <w:tbl>
      <w:tblPr>
        <w:tblStyle w:val="88"/>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973"/>
        <w:gridCol w:w="806"/>
        <w:gridCol w:w="671"/>
        <w:gridCol w:w="806"/>
        <w:gridCol w:w="806"/>
        <w:gridCol w:w="671"/>
        <w:gridCol w:w="806"/>
        <w:gridCol w:w="805"/>
        <w:gridCol w:w="669"/>
        <w:gridCol w:w="6"/>
      </w:tblGrid>
      <w:tr w14:paraId="31C7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33" w:type="dxa"/>
            <w:vMerge w:val="restart"/>
            <w:vAlign w:val="center"/>
          </w:tcPr>
          <w:p w14:paraId="478CD3C2">
            <w:pPr>
              <w:widowControl/>
              <w:jc w:val="center"/>
              <w:rPr>
                <w:rFonts w:ascii="Times New Roman" w:eastAsia="仿宋"/>
                <w:szCs w:val="24"/>
                <w:lang w:bidi="ar"/>
              </w:rPr>
            </w:pPr>
            <w:r>
              <w:rPr>
                <w:rFonts w:hint="eastAsia" w:ascii="Times New Roman" w:eastAsia="仿宋"/>
                <w:szCs w:val="24"/>
                <w:lang w:bidi="ar"/>
              </w:rPr>
              <w:t>处理设施</w:t>
            </w:r>
          </w:p>
        </w:tc>
        <w:tc>
          <w:tcPr>
            <w:tcW w:w="2451" w:type="dxa"/>
            <w:gridSpan w:val="3"/>
            <w:vAlign w:val="center"/>
          </w:tcPr>
          <w:p w14:paraId="76AA34CF">
            <w:pPr>
              <w:widowControl/>
              <w:jc w:val="center"/>
              <w:rPr>
                <w:rFonts w:ascii="Times New Roman" w:eastAsia="仿宋"/>
                <w:szCs w:val="24"/>
                <w:lang w:bidi="ar"/>
              </w:rPr>
            </w:pPr>
            <w:r>
              <w:rPr>
                <w:rFonts w:hint="eastAsia" w:ascii="Times New Roman" w:eastAsia="仿宋"/>
                <w:szCs w:val="24"/>
                <w:lang w:bidi="ar"/>
              </w:rPr>
              <w:t>COD</w:t>
            </w:r>
          </w:p>
        </w:tc>
        <w:tc>
          <w:tcPr>
            <w:tcW w:w="2283" w:type="dxa"/>
            <w:gridSpan w:val="3"/>
            <w:vAlign w:val="center"/>
          </w:tcPr>
          <w:p w14:paraId="64AB0EBA">
            <w:pPr>
              <w:widowControl/>
              <w:jc w:val="center"/>
              <w:rPr>
                <w:rFonts w:ascii="Times New Roman" w:eastAsia="仿宋"/>
                <w:szCs w:val="24"/>
                <w:lang w:bidi="ar"/>
              </w:rPr>
            </w:pPr>
            <w:r>
              <w:rPr>
                <w:rFonts w:hint="eastAsia" w:ascii="Times New Roman" w:eastAsia="仿宋"/>
                <w:szCs w:val="24"/>
                <w:lang w:bidi="ar"/>
              </w:rPr>
              <w:t>SS</w:t>
            </w:r>
          </w:p>
        </w:tc>
        <w:tc>
          <w:tcPr>
            <w:tcW w:w="2283" w:type="dxa"/>
            <w:gridSpan w:val="4"/>
            <w:vAlign w:val="center"/>
          </w:tcPr>
          <w:p w14:paraId="6A06AEFE">
            <w:pPr>
              <w:widowControl/>
              <w:jc w:val="center"/>
              <w:rPr>
                <w:rFonts w:ascii="Times New Roman" w:eastAsia="仿宋"/>
                <w:szCs w:val="24"/>
                <w:lang w:bidi="ar"/>
              </w:rPr>
            </w:pPr>
            <w:r>
              <w:rPr>
                <w:rFonts w:hint="eastAsia" w:ascii="Times New Roman" w:eastAsia="仿宋"/>
                <w:szCs w:val="24"/>
                <w:lang w:bidi="ar"/>
              </w:rPr>
              <w:t>石油类</w:t>
            </w:r>
          </w:p>
        </w:tc>
      </w:tr>
      <w:tr w14:paraId="13C2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06" w:hRule="atLeast"/>
          <w:jc w:val="center"/>
        </w:trPr>
        <w:tc>
          <w:tcPr>
            <w:tcW w:w="1033" w:type="dxa"/>
            <w:vMerge w:val="continue"/>
            <w:vAlign w:val="center"/>
          </w:tcPr>
          <w:p w14:paraId="2B925161">
            <w:pPr>
              <w:widowControl/>
              <w:jc w:val="center"/>
              <w:rPr>
                <w:rFonts w:ascii="Times New Roman" w:eastAsia="仿宋"/>
                <w:szCs w:val="24"/>
                <w:lang w:bidi="ar"/>
              </w:rPr>
            </w:pPr>
          </w:p>
        </w:tc>
        <w:tc>
          <w:tcPr>
            <w:tcW w:w="974" w:type="dxa"/>
            <w:vAlign w:val="center"/>
          </w:tcPr>
          <w:p w14:paraId="1DA1D843">
            <w:pPr>
              <w:widowControl/>
              <w:jc w:val="center"/>
              <w:rPr>
                <w:rFonts w:ascii="Times New Roman" w:eastAsia="仿宋"/>
                <w:szCs w:val="24"/>
                <w:lang w:bidi="ar"/>
              </w:rPr>
            </w:pPr>
            <w:r>
              <w:rPr>
                <w:rFonts w:hint="eastAsia" w:ascii="Times New Roman" w:eastAsia="仿宋"/>
                <w:szCs w:val="24"/>
                <w:lang w:bidi="ar"/>
              </w:rPr>
              <w:t>处理前</w:t>
            </w:r>
          </w:p>
        </w:tc>
        <w:tc>
          <w:tcPr>
            <w:tcW w:w="806" w:type="dxa"/>
            <w:vAlign w:val="center"/>
          </w:tcPr>
          <w:p w14:paraId="76D6A206">
            <w:pPr>
              <w:widowControl/>
              <w:jc w:val="center"/>
              <w:rPr>
                <w:rFonts w:ascii="Times New Roman" w:eastAsia="仿宋"/>
                <w:szCs w:val="24"/>
                <w:lang w:bidi="ar"/>
              </w:rPr>
            </w:pPr>
            <w:r>
              <w:rPr>
                <w:rFonts w:hint="eastAsia" w:ascii="Times New Roman" w:eastAsia="仿宋"/>
                <w:szCs w:val="24"/>
                <w:lang w:bidi="ar"/>
              </w:rPr>
              <w:t>处理后</w:t>
            </w:r>
          </w:p>
        </w:tc>
        <w:tc>
          <w:tcPr>
            <w:tcW w:w="669" w:type="dxa"/>
            <w:vAlign w:val="center"/>
          </w:tcPr>
          <w:p w14:paraId="51FD7277">
            <w:pPr>
              <w:widowControl/>
              <w:jc w:val="center"/>
              <w:rPr>
                <w:rFonts w:ascii="Times New Roman" w:eastAsia="仿宋"/>
                <w:szCs w:val="24"/>
                <w:lang w:bidi="ar"/>
              </w:rPr>
            </w:pPr>
            <w:r>
              <w:rPr>
                <w:rFonts w:hint="eastAsia" w:ascii="Times New Roman" w:eastAsia="仿宋"/>
                <w:szCs w:val="24"/>
                <w:lang w:bidi="ar"/>
              </w:rPr>
              <w:t>去除率</w:t>
            </w:r>
          </w:p>
        </w:tc>
        <w:tc>
          <w:tcPr>
            <w:tcW w:w="806" w:type="dxa"/>
            <w:vAlign w:val="center"/>
          </w:tcPr>
          <w:p w14:paraId="5D72EF80">
            <w:pPr>
              <w:widowControl/>
              <w:jc w:val="center"/>
              <w:rPr>
                <w:rFonts w:ascii="Times New Roman" w:eastAsia="仿宋"/>
                <w:szCs w:val="24"/>
                <w:lang w:bidi="ar"/>
              </w:rPr>
            </w:pPr>
            <w:r>
              <w:rPr>
                <w:rFonts w:hint="eastAsia" w:ascii="Times New Roman" w:eastAsia="仿宋"/>
                <w:szCs w:val="24"/>
                <w:lang w:bidi="ar"/>
              </w:rPr>
              <w:t>处理前</w:t>
            </w:r>
          </w:p>
        </w:tc>
        <w:tc>
          <w:tcPr>
            <w:tcW w:w="806" w:type="dxa"/>
            <w:vAlign w:val="center"/>
          </w:tcPr>
          <w:p w14:paraId="2469B0DE">
            <w:pPr>
              <w:widowControl/>
              <w:jc w:val="center"/>
              <w:rPr>
                <w:rFonts w:ascii="Times New Roman" w:eastAsia="仿宋"/>
                <w:szCs w:val="24"/>
                <w:lang w:bidi="ar"/>
              </w:rPr>
            </w:pPr>
            <w:r>
              <w:rPr>
                <w:rFonts w:hint="eastAsia" w:ascii="Times New Roman" w:eastAsia="仿宋"/>
                <w:szCs w:val="24"/>
                <w:lang w:bidi="ar"/>
              </w:rPr>
              <w:t>处理后</w:t>
            </w:r>
          </w:p>
        </w:tc>
        <w:tc>
          <w:tcPr>
            <w:tcW w:w="669" w:type="dxa"/>
            <w:vAlign w:val="center"/>
          </w:tcPr>
          <w:p w14:paraId="06077535">
            <w:pPr>
              <w:widowControl/>
              <w:jc w:val="center"/>
              <w:rPr>
                <w:rFonts w:ascii="Times New Roman" w:eastAsia="仿宋"/>
                <w:szCs w:val="24"/>
                <w:lang w:bidi="ar"/>
              </w:rPr>
            </w:pPr>
            <w:r>
              <w:rPr>
                <w:rFonts w:hint="eastAsia" w:ascii="Times New Roman" w:eastAsia="仿宋"/>
                <w:szCs w:val="24"/>
                <w:lang w:bidi="ar"/>
              </w:rPr>
              <w:t>去除率</w:t>
            </w:r>
          </w:p>
        </w:tc>
        <w:tc>
          <w:tcPr>
            <w:tcW w:w="806" w:type="dxa"/>
            <w:vAlign w:val="center"/>
          </w:tcPr>
          <w:p w14:paraId="2C26B561">
            <w:pPr>
              <w:widowControl/>
              <w:jc w:val="center"/>
              <w:rPr>
                <w:rFonts w:ascii="Times New Roman" w:eastAsia="仿宋"/>
                <w:szCs w:val="24"/>
                <w:lang w:bidi="ar"/>
              </w:rPr>
            </w:pPr>
            <w:r>
              <w:rPr>
                <w:rFonts w:hint="eastAsia" w:ascii="Times New Roman" w:eastAsia="仿宋"/>
                <w:szCs w:val="24"/>
                <w:lang w:bidi="ar"/>
              </w:rPr>
              <w:t>处理前</w:t>
            </w:r>
          </w:p>
        </w:tc>
        <w:tc>
          <w:tcPr>
            <w:tcW w:w="806" w:type="dxa"/>
            <w:vAlign w:val="center"/>
          </w:tcPr>
          <w:p w14:paraId="55A83DBB">
            <w:pPr>
              <w:widowControl/>
              <w:jc w:val="center"/>
              <w:rPr>
                <w:rFonts w:ascii="Times New Roman" w:eastAsia="仿宋"/>
                <w:szCs w:val="24"/>
                <w:lang w:bidi="ar"/>
              </w:rPr>
            </w:pPr>
            <w:r>
              <w:rPr>
                <w:rFonts w:hint="eastAsia" w:ascii="Times New Roman" w:eastAsia="仿宋"/>
                <w:szCs w:val="24"/>
                <w:lang w:bidi="ar"/>
              </w:rPr>
              <w:t>处理后</w:t>
            </w:r>
          </w:p>
        </w:tc>
        <w:tc>
          <w:tcPr>
            <w:tcW w:w="669" w:type="dxa"/>
            <w:vAlign w:val="center"/>
          </w:tcPr>
          <w:p w14:paraId="4A2A8C9B">
            <w:pPr>
              <w:widowControl/>
              <w:jc w:val="center"/>
              <w:rPr>
                <w:rFonts w:ascii="Times New Roman" w:eastAsia="仿宋"/>
                <w:szCs w:val="24"/>
                <w:lang w:bidi="ar"/>
              </w:rPr>
            </w:pPr>
            <w:r>
              <w:rPr>
                <w:rFonts w:hint="eastAsia" w:ascii="Times New Roman" w:eastAsia="仿宋"/>
                <w:szCs w:val="24"/>
                <w:lang w:bidi="ar"/>
              </w:rPr>
              <w:t>去除率</w:t>
            </w:r>
          </w:p>
        </w:tc>
      </w:tr>
      <w:tr w14:paraId="3FDE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17" w:hRule="atLeast"/>
          <w:jc w:val="center"/>
        </w:trPr>
        <w:tc>
          <w:tcPr>
            <w:tcW w:w="1033" w:type="dxa"/>
          </w:tcPr>
          <w:p w14:paraId="2976E5A1">
            <w:pPr>
              <w:widowControl/>
              <w:jc w:val="center"/>
              <w:rPr>
                <w:rFonts w:ascii="Times New Roman" w:eastAsia="仿宋"/>
                <w:szCs w:val="24"/>
                <w:lang w:bidi="ar"/>
              </w:rPr>
            </w:pPr>
            <w:r>
              <w:rPr>
                <w:rFonts w:hint="eastAsia" w:ascii="Times New Roman" w:eastAsia="仿宋"/>
                <w:szCs w:val="24"/>
                <w:lang w:bidi="ar"/>
              </w:rPr>
              <w:t>调节池+混凝+絮凝</w:t>
            </w:r>
          </w:p>
        </w:tc>
        <w:tc>
          <w:tcPr>
            <w:tcW w:w="974" w:type="dxa"/>
            <w:vAlign w:val="center"/>
          </w:tcPr>
          <w:p w14:paraId="5B0F51F2">
            <w:pPr>
              <w:widowControl/>
              <w:jc w:val="center"/>
              <w:rPr>
                <w:rFonts w:ascii="Times New Roman" w:eastAsia="仿宋"/>
                <w:szCs w:val="24"/>
                <w:lang w:bidi="ar"/>
              </w:rPr>
            </w:pPr>
            <w:r>
              <w:rPr>
                <w:rFonts w:ascii="Times New Roman" w:eastAsia="仿宋"/>
                <w:szCs w:val="24"/>
                <w:lang w:bidi="ar"/>
              </w:rPr>
              <w:t>30</w:t>
            </w:r>
            <w:r>
              <w:rPr>
                <w:rFonts w:hint="eastAsia" w:ascii="Times New Roman" w:eastAsia="仿宋"/>
                <w:szCs w:val="24"/>
                <w:lang w:bidi="ar"/>
              </w:rPr>
              <w:t>00</w:t>
            </w:r>
          </w:p>
        </w:tc>
        <w:tc>
          <w:tcPr>
            <w:tcW w:w="806" w:type="dxa"/>
            <w:vAlign w:val="center"/>
          </w:tcPr>
          <w:p w14:paraId="78BD7ECD">
            <w:pPr>
              <w:widowControl/>
              <w:jc w:val="center"/>
              <w:rPr>
                <w:rFonts w:ascii="Times New Roman" w:eastAsia="仿宋"/>
                <w:szCs w:val="24"/>
                <w:lang w:bidi="ar"/>
              </w:rPr>
            </w:pPr>
            <w:r>
              <w:rPr>
                <w:rFonts w:hint="eastAsia" w:ascii="Times New Roman" w:eastAsia="仿宋"/>
                <w:szCs w:val="24"/>
                <w:lang w:bidi="ar"/>
              </w:rPr>
              <w:t>900</w:t>
            </w:r>
          </w:p>
        </w:tc>
        <w:tc>
          <w:tcPr>
            <w:tcW w:w="669" w:type="dxa"/>
            <w:vAlign w:val="center"/>
          </w:tcPr>
          <w:p w14:paraId="06734D04">
            <w:pPr>
              <w:widowControl/>
              <w:jc w:val="center"/>
              <w:rPr>
                <w:rFonts w:ascii="Times New Roman" w:eastAsia="仿宋"/>
                <w:szCs w:val="24"/>
                <w:lang w:bidi="ar"/>
              </w:rPr>
            </w:pPr>
            <w:r>
              <w:rPr>
                <w:rFonts w:hint="eastAsia" w:ascii="Times New Roman" w:eastAsia="仿宋"/>
                <w:szCs w:val="24"/>
                <w:lang w:bidi="ar"/>
              </w:rPr>
              <w:t>8</w:t>
            </w:r>
            <w:r>
              <w:rPr>
                <w:rFonts w:ascii="Times New Roman" w:eastAsia="仿宋"/>
                <w:szCs w:val="24"/>
                <w:lang w:bidi="ar"/>
              </w:rPr>
              <w:t>0%</w:t>
            </w:r>
          </w:p>
        </w:tc>
        <w:tc>
          <w:tcPr>
            <w:tcW w:w="806" w:type="dxa"/>
            <w:vAlign w:val="center"/>
          </w:tcPr>
          <w:p w14:paraId="3C428467">
            <w:pPr>
              <w:widowControl/>
              <w:jc w:val="center"/>
              <w:rPr>
                <w:rFonts w:ascii="Times New Roman" w:eastAsia="仿宋"/>
                <w:szCs w:val="24"/>
                <w:lang w:bidi="ar"/>
              </w:rPr>
            </w:pPr>
            <w:r>
              <w:rPr>
                <w:rFonts w:ascii="Times New Roman" w:eastAsia="仿宋"/>
                <w:szCs w:val="24"/>
                <w:lang w:bidi="ar"/>
              </w:rPr>
              <w:t>1000</w:t>
            </w:r>
          </w:p>
        </w:tc>
        <w:tc>
          <w:tcPr>
            <w:tcW w:w="806" w:type="dxa"/>
            <w:vAlign w:val="center"/>
          </w:tcPr>
          <w:p w14:paraId="26D960B8">
            <w:pPr>
              <w:widowControl/>
              <w:jc w:val="center"/>
              <w:rPr>
                <w:rFonts w:ascii="Times New Roman" w:eastAsia="仿宋"/>
                <w:szCs w:val="24"/>
                <w:lang w:bidi="ar"/>
              </w:rPr>
            </w:pPr>
            <w:r>
              <w:rPr>
                <w:rFonts w:hint="eastAsia" w:ascii="Times New Roman" w:eastAsia="仿宋"/>
                <w:szCs w:val="24"/>
                <w:lang w:bidi="ar"/>
              </w:rPr>
              <w:t>200</w:t>
            </w:r>
          </w:p>
        </w:tc>
        <w:tc>
          <w:tcPr>
            <w:tcW w:w="669" w:type="dxa"/>
            <w:vAlign w:val="center"/>
          </w:tcPr>
          <w:p w14:paraId="2D5430F5">
            <w:pPr>
              <w:widowControl/>
              <w:jc w:val="center"/>
              <w:rPr>
                <w:rFonts w:ascii="Times New Roman" w:eastAsia="仿宋"/>
                <w:szCs w:val="24"/>
                <w:lang w:bidi="ar"/>
              </w:rPr>
            </w:pPr>
            <w:r>
              <w:rPr>
                <w:rFonts w:hint="eastAsia" w:ascii="Times New Roman" w:eastAsia="仿宋"/>
                <w:szCs w:val="24"/>
                <w:lang w:bidi="ar"/>
              </w:rPr>
              <w:t>8</w:t>
            </w:r>
            <w:r>
              <w:rPr>
                <w:rFonts w:ascii="Times New Roman" w:eastAsia="仿宋"/>
                <w:szCs w:val="24"/>
                <w:lang w:bidi="ar"/>
              </w:rPr>
              <w:t>0%</w:t>
            </w:r>
          </w:p>
        </w:tc>
        <w:tc>
          <w:tcPr>
            <w:tcW w:w="806" w:type="dxa"/>
            <w:vAlign w:val="center"/>
          </w:tcPr>
          <w:p w14:paraId="3FF798C6">
            <w:pPr>
              <w:widowControl/>
              <w:jc w:val="center"/>
              <w:rPr>
                <w:rFonts w:ascii="Times New Roman" w:eastAsia="仿宋"/>
                <w:szCs w:val="24"/>
                <w:lang w:bidi="ar"/>
              </w:rPr>
            </w:pPr>
            <w:r>
              <w:rPr>
                <w:rFonts w:ascii="Times New Roman" w:eastAsia="仿宋"/>
                <w:szCs w:val="24"/>
                <w:lang w:bidi="ar"/>
              </w:rPr>
              <w:t>10</w:t>
            </w:r>
            <w:r>
              <w:rPr>
                <w:rFonts w:hint="eastAsia" w:ascii="Times New Roman" w:eastAsia="仿宋"/>
                <w:szCs w:val="24"/>
                <w:lang w:bidi="ar"/>
              </w:rPr>
              <w:t>00</w:t>
            </w:r>
          </w:p>
        </w:tc>
        <w:tc>
          <w:tcPr>
            <w:tcW w:w="806" w:type="dxa"/>
            <w:vAlign w:val="center"/>
          </w:tcPr>
          <w:p w14:paraId="1EE497E1">
            <w:pPr>
              <w:widowControl/>
              <w:jc w:val="center"/>
              <w:rPr>
                <w:rFonts w:ascii="Times New Roman" w:eastAsia="仿宋"/>
                <w:szCs w:val="24"/>
                <w:lang w:bidi="ar"/>
              </w:rPr>
            </w:pPr>
            <w:r>
              <w:rPr>
                <w:rFonts w:ascii="Times New Roman" w:eastAsia="仿宋"/>
                <w:szCs w:val="24"/>
                <w:lang w:bidi="ar"/>
              </w:rPr>
              <w:t>5</w:t>
            </w:r>
            <w:r>
              <w:rPr>
                <w:rFonts w:hint="eastAsia" w:ascii="Times New Roman" w:eastAsia="仿宋"/>
                <w:szCs w:val="24"/>
                <w:lang w:bidi="ar"/>
              </w:rPr>
              <w:t>0</w:t>
            </w:r>
          </w:p>
        </w:tc>
        <w:tc>
          <w:tcPr>
            <w:tcW w:w="669" w:type="dxa"/>
            <w:vAlign w:val="center"/>
          </w:tcPr>
          <w:p w14:paraId="1F5589DE">
            <w:pPr>
              <w:widowControl/>
              <w:jc w:val="center"/>
              <w:rPr>
                <w:rFonts w:ascii="Times New Roman" w:eastAsia="仿宋"/>
                <w:szCs w:val="24"/>
                <w:lang w:bidi="ar"/>
              </w:rPr>
            </w:pPr>
            <w:r>
              <w:rPr>
                <w:rFonts w:ascii="Times New Roman" w:eastAsia="仿宋"/>
                <w:szCs w:val="24"/>
                <w:lang w:bidi="ar"/>
              </w:rPr>
              <w:t>95%</w:t>
            </w:r>
          </w:p>
        </w:tc>
      </w:tr>
      <w:tr w14:paraId="0366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58" w:hRule="atLeast"/>
          <w:jc w:val="center"/>
        </w:trPr>
        <w:tc>
          <w:tcPr>
            <w:tcW w:w="1033" w:type="dxa"/>
          </w:tcPr>
          <w:p w14:paraId="3F86ACD1">
            <w:pPr>
              <w:widowControl/>
              <w:jc w:val="center"/>
              <w:rPr>
                <w:rFonts w:ascii="Times New Roman" w:eastAsia="仿宋"/>
                <w:szCs w:val="24"/>
                <w:lang w:bidi="ar"/>
              </w:rPr>
            </w:pPr>
            <w:r>
              <w:rPr>
                <w:rFonts w:hint="eastAsia" w:ascii="Times New Roman" w:eastAsia="仿宋"/>
                <w:szCs w:val="24"/>
                <w:lang w:bidi="ar"/>
              </w:rPr>
              <w:t>中间水池+过滤</w:t>
            </w:r>
          </w:p>
        </w:tc>
        <w:tc>
          <w:tcPr>
            <w:tcW w:w="974" w:type="dxa"/>
            <w:vAlign w:val="center"/>
          </w:tcPr>
          <w:p w14:paraId="5BED6A90">
            <w:pPr>
              <w:widowControl/>
              <w:jc w:val="center"/>
              <w:rPr>
                <w:rFonts w:ascii="Times New Roman" w:eastAsia="仿宋"/>
                <w:szCs w:val="24"/>
                <w:lang w:bidi="ar"/>
              </w:rPr>
            </w:pPr>
            <w:r>
              <w:rPr>
                <w:rFonts w:hint="eastAsia" w:ascii="Times New Roman" w:eastAsia="仿宋"/>
                <w:szCs w:val="24"/>
                <w:lang w:bidi="ar"/>
              </w:rPr>
              <w:t>900</w:t>
            </w:r>
          </w:p>
        </w:tc>
        <w:tc>
          <w:tcPr>
            <w:tcW w:w="806" w:type="dxa"/>
            <w:vAlign w:val="center"/>
          </w:tcPr>
          <w:p w14:paraId="132CA2CA">
            <w:pPr>
              <w:widowControl/>
              <w:jc w:val="center"/>
              <w:rPr>
                <w:rFonts w:ascii="Times New Roman" w:eastAsia="仿宋"/>
                <w:szCs w:val="24"/>
                <w:lang w:bidi="ar"/>
              </w:rPr>
            </w:pPr>
            <w:r>
              <w:rPr>
                <w:rFonts w:ascii="Times New Roman" w:eastAsia="仿宋"/>
                <w:szCs w:val="24"/>
                <w:lang w:bidi="ar"/>
              </w:rPr>
              <w:t>35</w:t>
            </w:r>
            <w:r>
              <w:rPr>
                <w:rFonts w:hint="eastAsia" w:ascii="Times New Roman" w:eastAsia="仿宋"/>
                <w:szCs w:val="24"/>
                <w:lang w:bidi="ar"/>
              </w:rPr>
              <w:t>0</w:t>
            </w:r>
          </w:p>
        </w:tc>
        <w:tc>
          <w:tcPr>
            <w:tcW w:w="669" w:type="dxa"/>
            <w:vAlign w:val="center"/>
          </w:tcPr>
          <w:p w14:paraId="3EEDA5DD">
            <w:pPr>
              <w:widowControl/>
              <w:jc w:val="center"/>
              <w:rPr>
                <w:rFonts w:ascii="Times New Roman" w:eastAsia="仿宋"/>
                <w:szCs w:val="24"/>
                <w:lang w:bidi="ar"/>
              </w:rPr>
            </w:pPr>
            <w:r>
              <w:rPr>
                <w:rFonts w:hint="eastAsia" w:ascii="Times New Roman" w:eastAsia="仿宋"/>
                <w:szCs w:val="24"/>
                <w:lang w:bidi="ar"/>
              </w:rPr>
              <w:t>6</w:t>
            </w:r>
            <w:r>
              <w:rPr>
                <w:rFonts w:ascii="Times New Roman" w:eastAsia="仿宋"/>
                <w:szCs w:val="24"/>
                <w:lang w:bidi="ar"/>
              </w:rPr>
              <w:t>1%</w:t>
            </w:r>
          </w:p>
        </w:tc>
        <w:tc>
          <w:tcPr>
            <w:tcW w:w="806" w:type="dxa"/>
            <w:vAlign w:val="center"/>
          </w:tcPr>
          <w:p w14:paraId="7F09CD9A">
            <w:pPr>
              <w:widowControl/>
              <w:jc w:val="center"/>
              <w:rPr>
                <w:rFonts w:ascii="Times New Roman" w:eastAsia="仿宋"/>
                <w:szCs w:val="24"/>
                <w:lang w:bidi="ar"/>
              </w:rPr>
            </w:pPr>
            <w:r>
              <w:rPr>
                <w:rFonts w:hint="eastAsia" w:ascii="Times New Roman" w:eastAsia="仿宋"/>
                <w:szCs w:val="24"/>
                <w:lang w:bidi="ar"/>
              </w:rPr>
              <w:t>200</w:t>
            </w:r>
          </w:p>
        </w:tc>
        <w:tc>
          <w:tcPr>
            <w:tcW w:w="806" w:type="dxa"/>
            <w:vAlign w:val="center"/>
          </w:tcPr>
          <w:p w14:paraId="6339E6A9">
            <w:pPr>
              <w:widowControl/>
              <w:jc w:val="center"/>
              <w:rPr>
                <w:rFonts w:ascii="Times New Roman" w:eastAsia="仿宋"/>
                <w:szCs w:val="24"/>
                <w:lang w:bidi="ar"/>
              </w:rPr>
            </w:pPr>
            <w:r>
              <w:rPr>
                <w:rFonts w:hint="eastAsia" w:ascii="Times New Roman" w:eastAsia="仿宋"/>
                <w:szCs w:val="24"/>
                <w:lang w:bidi="ar"/>
              </w:rPr>
              <w:t>30</w:t>
            </w:r>
          </w:p>
        </w:tc>
        <w:tc>
          <w:tcPr>
            <w:tcW w:w="669" w:type="dxa"/>
            <w:vAlign w:val="center"/>
          </w:tcPr>
          <w:p w14:paraId="1055CE96">
            <w:pPr>
              <w:widowControl/>
              <w:jc w:val="center"/>
              <w:rPr>
                <w:rFonts w:ascii="Times New Roman" w:eastAsia="仿宋"/>
                <w:szCs w:val="24"/>
                <w:lang w:bidi="ar"/>
              </w:rPr>
            </w:pPr>
            <w:r>
              <w:rPr>
                <w:rFonts w:hint="eastAsia" w:ascii="Times New Roman" w:eastAsia="仿宋"/>
                <w:szCs w:val="24"/>
                <w:lang w:bidi="ar"/>
              </w:rPr>
              <w:t>8</w:t>
            </w:r>
            <w:r>
              <w:rPr>
                <w:rFonts w:ascii="Times New Roman" w:eastAsia="仿宋"/>
                <w:szCs w:val="24"/>
                <w:lang w:bidi="ar"/>
              </w:rPr>
              <w:t>5%</w:t>
            </w:r>
          </w:p>
        </w:tc>
        <w:tc>
          <w:tcPr>
            <w:tcW w:w="806" w:type="dxa"/>
            <w:vAlign w:val="center"/>
          </w:tcPr>
          <w:p w14:paraId="34DA26B1">
            <w:pPr>
              <w:widowControl/>
              <w:jc w:val="center"/>
              <w:rPr>
                <w:rFonts w:ascii="Times New Roman" w:eastAsia="仿宋"/>
                <w:szCs w:val="24"/>
                <w:lang w:bidi="ar"/>
              </w:rPr>
            </w:pPr>
            <w:r>
              <w:rPr>
                <w:rFonts w:ascii="Times New Roman" w:eastAsia="仿宋"/>
                <w:szCs w:val="24"/>
                <w:lang w:bidi="ar"/>
              </w:rPr>
              <w:t>5</w:t>
            </w:r>
            <w:r>
              <w:rPr>
                <w:rFonts w:hint="eastAsia" w:ascii="Times New Roman" w:eastAsia="仿宋"/>
                <w:szCs w:val="24"/>
                <w:lang w:bidi="ar"/>
              </w:rPr>
              <w:t>0</w:t>
            </w:r>
          </w:p>
        </w:tc>
        <w:tc>
          <w:tcPr>
            <w:tcW w:w="806" w:type="dxa"/>
            <w:vAlign w:val="center"/>
          </w:tcPr>
          <w:p w14:paraId="4E1C4335">
            <w:pPr>
              <w:widowControl/>
              <w:jc w:val="center"/>
              <w:rPr>
                <w:rFonts w:ascii="Times New Roman" w:eastAsia="仿宋"/>
                <w:szCs w:val="24"/>
                <w:lang w:bidi="ar"/>
              </w:rPr>
            </w:pPr>
            <w:r>
              <w:rPr>
                <w:rFonts w:ascii="Times New Roman" w:eastAsia="仿宋"/>
                <w:szCs w:val="24"/>
                <w:lang w:bidi="ar"/>
              </w:rPr>
              <w:t>2</w:t>
            </w:r>
          </w:p>
        </w:tc>
        <w:tc>
          <w:tcPr>
            <w:tcW w:w="669" w:type="dxa"/>
            <w:vAlign w:val="center"/>
          </w:tcPr>
          <w:p w14:paraId="70C59995">
            <w:pPr>
              <w:widowControl/>
              <w:jc w:val="center"/>
              <w:rPr>
                <w:rFonts w:ascii="Times New Roman" w:eastAsia="仿宋"/>
                <w:szCs w:val="24"/>
                <w:lang w:bidi="ar"/>
              </w:rPr>
            </w:pPr>
            <w:r>
              <w:rPr>
                <w:rFonts w:hint="eastAsia" w:ascii="Times New Roman" w:eastAsia="仿宋"/>
                <w:szCs w:val="24"/>
                <w:lang w:bidi="ar"/>
              </w:rPr>
              <w:t>9</w:t>
            </w:r>
            <w:r>
              <w:rPr>
                <w:rFonts w:ascii="Times New Roman" w:eastAsia="仿宋"/>
                <w:szCs w:val="24"/>
                <w:lang w:bidi="ar"/>
              </w:rPr>
              <w:t>6%</w:t>
            </w:r>
          </w:p>
        </w:tc>
      </w:tr>
    </w:tbl>
    <w:p w14:paraId="356DB0C1">
      <w:pPr>
        <w:spacing w:line="500" w:lineRule="exact"/>
        <w:ind w:firstLine="560" w:firstLineChars="200"/>
        <w:rPr>
          <w:rFonts w:ascii="Times New Roman" w:eastAsia="仿宋"/>
          <w:sz w:val="28"/>
          <w:szCs w:val="28"/>
        </w:rPr>
      </w:pPr>
      <w:r>
        <w:rPr>
          <w:rFonts w:hint="eastAsia" w:ascii="Times New Roman" w:eastAsia="仿宋"/>
          <w:sz w:val="28"/>
          <w:szCs w:val="28"/>
        </w:rPr>
        <w:t>综上可知，在本项目厂区污水处理站正常运行的情况下，该废水处理措施工艺、技术方面可行、可靠。本项目生产废水经厂区污水处理站处理后接管直溪污水处理厂可行。</w:t>
      </w:r>
    </w:p>
    <w:p w14:paraId="1ADAC3B2">
      <w:pPr>
        <w:spacing w:line="500" w:lineRule="exact"/>
        <w:ind w:firstLine="562" w:firstLineChars="200"/>
        <w:rPr>
          <w:rFonts w:ascii="Times New Roman" w:eastAsia="仿宋"/>
          <w:sz w:val="28"/>
          <w:szCs w:val="28"/>
          <w:highlight w:val="yellow"/>
        </w:rPr>
      </w:pPr>
      <w:r>
        <w:rPr>
          <w:rFonts w:hint="eastAsia" w:ascii="Times New Roman" w:eastAsia="仿宋"/>
          <w:b/>
          <w:bCs/>
          <w:sz w:val="28"/>
          <w:szCs w:val="28"/>
        </w:rPr>
        <w:t>（3）同类项目案例分析</w:t>
      </w:r>
    </w:p>
    <w:p w14:paraId="54E805E5">
      <w:pPr>
        <w:snapToGrid w:val="0"/>
        <w:spacing w:line="520" w:lineRule="exact"/>
        <w:ind w:firstLine="560"/>
        <w:rPr>
          <w:rFonts w:ascii="Times New Roman" w:eastAsia="仿宋"/>
          <w:sz w:val="28"/>
          <w:szCs w:val="28"/>
        </w:rPr>
      </w:pPr>
      <w:r>
        <w:rPr>
          <w:rFonts w:hint="eastAsia" w:ascii="Times New Roman" w:eastAsia="仿宋"/>
          <w:sz w:val="28"/>
          <w:szCs w:val="28"/>
        </w:rPr>
        <w:t>根据《芜湖天佑汽车技术有限公司涂装线改建项目竣工环境保护验收监测报告》，建设项目位于安徽省芜湖经济技术开发区，项目行业类别为汽车零部件及配件制造，该项目于2017年7月31日获得芜湖市环境保护局行政审批（环行审[2017]40号），项目验收内容为年产汽车配件200万只，主要工艺为表面处理、涂装，其中表面处理工艺为脱脂→水洗→烘干，涂装工艺为调漆→喷底漆→流平→烘干→喷面漆→流平→烘干。企业生产废水主要为员工日常生活产生的生活污水、脱脂槽更换和清洗废水、水洗废水、车间冲洗废水等。生产废水经过厂区内的污水处理设施处理后接入园区管网，与经过生活污水一起接入园区污水管网，最终排入污水处理厂处理。</w:t>
      </w:r>
    </w:p>
    <w:p w14:paraId="0F1119E1">
      <w:pPr>
        <w:snapToGrid w:val="0"/>
        <w:spacing w:line="520" w:lineRule="exact"/>
        <w:ind w:firstLine="560"/>
        <w:rPr>
          <w:rFonts w:ascii="Times New Roman" w:eastAsia="仿宋"/>
          <w:sz w:val="28"/>
          <w:szCs w:val="28"/>
        </w:rPr>
      </w:pPr>
      <w:r>
        <w:rPr>
          <w:rFonts w:hint="eastAsia" w:ascii="Times New Roman" w:eastAsia="仿宋"/>
          <w:sz w:val="28"/>
          <w:szCs w:val="28"/>
        </w:rPr>
        <w:t>2018年5月7日~8日对本项目厂区废水处理站进口、出口及厂区总排口进行监测，该项目竣工环境保护验收监测报告结论：企业该项目按照设计要求做好环保设施建设，该项目正常运行时，废水总排口各污染物排放浓度均满足《污水综合排放标准》（GB8978-1996）中三级标准，环境保护设施运行正常、治理效果较好，符合建设项目竣工环境保护验收的要求。</w:t>
      </w:r>
    </w:p>
    <w:p w14:paraId="7FB84035">
      <w:pPr>
        <w:pStyle w:val="6"/>
        <w:keepLines w:val="0"/>
        <w:tabs>
          <w:tab w:val="left" w:pos="709"/>
        </w:tabs>
        <w:spacing w:before="0" w:after="0" w:line="500" w:lineRule="exact"/>
        <w:rPr>
          <w:rFonts w:ascii="Times New Roman" w:eastAsia="仿宋"/>
          <w:bCs w:val="0"/>
          <w:sz w:val="28"/>
        </w:rPr>
      </w:pPr>
      <w:r>
        <w:rPr>
          <w:rFonts w:hint="eastAsia" w:ascii="Times New Roman" w:eastAsia="仿宋"/>
          <w:bCs w:val="0"/>
          <w:sz w:val="28"/>
        </w:rPr>
        <w:t>6.2.3混合污水</w:t>
      </w:r>
      <w:r>
        <w:rPr>
          <w:rFonts w:ascii="Times New Roman" w:eastAsia="仿宋"/>
          <w:bCs w:val="0"/>
          <w:sz w:val="28"/>
        </w:rPr>
        <w:t>接管可行性论证</w:t>
      </w:r>
    </w:p>
    <w:p w14:paraId="4BA787C0">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本项目混合污水经厂区污水管网排入市政污水管网，接管金坛区直溪污水处理厂集中处理。</w:t>
      </w:r>
    </w:p>
    <w:p w14:paraId="425ABFA4">
      <w:pPr>
        <w:autoSpaceDE w:val="0"/>
        <w:autoSpaceDN w:val="0"/>
        <w:spacing w:line="500" w:lineRule="exact"/>
        <w:ind w:left="560"/>
        <w:rPr>
          <w:rFonts w:ascii="Times New Roman" w:eastAsia="仿宋"/>
          <w:sz w:val="28"/>
          <w:szCs w:val="28"/>
        </w:rPr>
      </w:pPr>
      <w:r>
        <w:rPr>
          <w:rFonts w:ascii="Times New Roman" w:eastAsia="仿宋"/>
          <w:sz w:val="28"/>
          <w:szCs w:val="28"/>
        </w:rPr>
        <w:t>（1）</w:t>
      </w:r>
      <w:r>
        <w:rPr>
          <w:rFonts w:hint="eastAsia" w:ascii="Times New Roman" w:eastAsia="仿宋"/>
          <w:sz w:val="28"/>
          <w:szCs w:val="28"/>
        </w:rPr>
        <w:t>现有处理能力</w:t>
      </w:r>
    </w:p>
    <w:p w14:paraId="1F5E027D">
      <w:pPr>
        <w:pStyle w:val="81"/>
        <w:spacing w:line="500" w:lineRule="exact"/>
        <w:ind w:firstLine="482"/>
        <w:rPr>
          <w:rFonts w:eastAsia="仿宋_GB2312"/>
          <w:sz w:val="28"/>
          <w:szCs w:val="28"/>
          <w:lang w:bidi="ar"/>
        </w:rPr>
      </w:pPr>
      <w:r>
        <w:rPr>
          <w:rFonts w:hint="eastAsia" w:eastAsia="仿宋_GB2312"/>
          <w:sz w:val="28"/>
          <w:szCs w:val="28"/>
          <w:lang w:bidi="ar"/>
        </w:rPr>
        <w:t>直溪污水处理厂坐落在直溪镇工业园内，占地面积1.3万m</w:t>
      </w:r>
      <w:r>
        <w:rPr>
          <w:rFonts w:hint="eastAsia" w:eastAsia="仿宋_GB2312"/>
          <w:sz w:val="28"/>
          <w:szCs w:val="28"/>
          <w:vertAlign w:val="superscript"/>
          <w:lang w:bidi="ar"/>
        </w:rPr>
        <w:t>2</w:t>
      </w:r>
      <w:r>
        <w:rPr>
          <w:rFonts w:hint="eastAsia" w:eastAsia="仿宋_GB2312"/>
          <w:sz w:val="28"/>
          <w:szCs w:val="28"/>
          <w:lang w:bidi="ar"/>
        </w:rPr>
        <w:t>，一期工程投资2450万元，日处理能力5000吨。现一期工程日处理能力5000吨已于2008年底建成投运。改扩建工程项目新增处理能力为5000t/d，现状日处理能力为10000t/d，污水处理工艺为“粗格栅及进水泵房→细格栅及旋流沉砂池→调节池→水解酸化池→A</w:t>
      </w:r>
      <w:r>
        <w:rPr>
          <w:rFonts w:hint="eastAsia" w:eastAsia="仿宋_GB2312"/>
          <w:sz w:val="28"/>
          <w:szCs w:val="28"/>
          <w:vertAlign w:val="superscript"/>
          <w:lang w:bidi="ar"/>
        </w:rPr>
        <w:t>2</w:t>
      </w:r>
      <w:r>
        <w:rPr>
          <w:rFonts w:hint="eastAsia" w:eastAsia="仿宋_GB2312"/>
          <w:sz w:val="28"/>
          <w:szCs w:val="28"/>
          <w:lang w:bidi="ar"/>
        </w:rPr>
        <w:t>/O池→二沉池→深床滤池→紫外线消毒渠”，项目已通过验收。直溪污水处理厂于2022年9月申报改扩建项目（新增日处理能力1.0万m</w:t>
      </w:r>
      <w:r>
        <w:rPr>
          <w:rFonts w:hint="eastAsia" w:eastAsia="仿宋_GB2312"/>
          <w:sz w:val="28"/>
          <w:szCs w:val="28"/>
          <w:vertAlign w:val="superscript"/>
          <w:lang w:bidi="ar"/>
        </w:rPr>
        <w:t>3</w:t>
      </w:r>
      <w:r>
        <w:rPr>
          <w:rFonts w:hint="eastAsia" w:eastAsia="仿宋_GB2312"/>
          <w:sz w:val="28"/>
          <w:szCs w:val="28"/>
          <w:lang w:bidi="ar"/>
        </w:rPr>
        <w:t>/d）,扩建后全厂污水处理规模达到2.0万m</w:t>
      </w:r>
      <w:r>
        <w:rPr>
          <w:rFonts w:hint="eastAsia" w:eastAsia="仿宋_GB2312"/>
          <w:sz w:val="28"/>
          <w:szCs w:val="28"/>
          <w:vertAlign w:val="superscript"/>
          <w:lang w:bidi="ar"/>
        </w:rPr>
        <w:t>3</w:t>
      </w:r>
      <w:r>
        <w:rPr>
          <w:rFonts w:hint="eastAsia" w:eastAsia="仿宋_GB2312"/>
          <w:sz w:val="28"/>
          <w:szCs w:val="28"/>
          <w:lang w:bidi="ar"/>
        </w:rPr>
        <w:t>/d,目前本项目已通过验收。污水处理厂除处理直溪镇污水外，还接通管网，收集、处理邻近的镇村生活污水和工业废水，尾水排放标准达到国家一级A标准。</w:t>
      </w:r>
    </w:p>
    <w:p w14:paraId="254869BA">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（2）服务范围</w:t>
      </w:r>
    </w:p>
    <w:p w14:paraId="1149F2F7">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常州市金坛区直溪污水处理厂建成后的服务范围为：近期服务范围为直溪镇区、朱林镇区，远期服务范围增加西阳、茅簏、登冠、建昌。</w:t>
      </w:r>
    </w:p>
    <w:p w14:paraId="22F3A821">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（3）污水处理规模</w:t>
      </w:r>
    </w:p>
    <w:p w14:paraId="685CB130">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本项目混合污水接入常州市金坛区直溪污水处理厂处理，一期工程采用“预处理</w:t>
      </w:r>
      <w:r>
        <w:rPr>
          <w:rFonts w:ascii="Times New Roman" w:eastAsia="仿宋"/>
          <w:sz w:val="28"/>
          <w:szCs w:val="28"/>
        </w:rPr>
        <w:t>+</w:t>
      </w:r>
      <w:r>
        <w:rPr>
          <w:rFonts w:hint="eastAsia" w:ascii="Times New Roman" w:eastAsia="仿宋"/>
          <w:sz w:val="28"/>
          <w:szCs w:val="28"/>
        </w:rPr>
        <w:t>改良</w:t>
      </w:r>
      <w:r>
        <w:rPr>
          <w:rFonts w:ascii="Times New Roman" w:eastAsia="仿宋"/>
          <w:sz w:val="28"/>
          <w:szCs w:val="28"/>
        </w:rPr>
        <w:t>AAO</w:t>
      </w:r>
      <w:r>
        <w:rPr>
          <w:rFonts w:hint="eastAsia" w:ascii="Times New Roman" w:eastAsia="仿宋"/>
          <w:sz w:val="28"/>
          <w:szCs w:val="28"/>
        </w:rPr>
        <w:t>反应池</w:t>
      </w:r>
      <w:r>
        <w:rPr>
          <w:rFonts w:ascii="Times New Roman" w:eastAsia="仿宋"/>
          <w:sz w:val="28"/>
          <w:szCs w:val="28"/>
        </w:rPr>
        <w:t>+</w:t>
      </w:r>
      <w:r>
        <w:rPr>
          <w:rFonts w:hint="eastAsia" w:ascii="Times New Roman" w:eastAsia="仿宋"/>
          <w:sz w:val="28"/>
          <w:szCs w:val="28"/>
        </w:rPr>
        <w:t>深床滤池</w:t>
      </w:r>
      <w:r>
        <w:rPr>
          <w:rFonts w:ascii="Times New Roman" w:eastAsia="仿宋"/>
          <w:sz w:val="28"/>
          <w:szCs w:val="28"/>
        </w:rPr>
        <w:t>+</w:t>
      </w:r>
      <w:r>
        <w:rPr>
          <w:rFonts w:hint="eastAsia" w:ascii="Times New Roman" w:eastAsia="仿宋"/>
          <w:sz w:val="28"/>
          <w:szCs w:val="28"/>
        </w:rPr>
        <w:t>次氯酸钠消毒”，处理能力</w:t>
      </w:r>
      <w:r>
        <w:rPr>
          <w:rFonts w:ascii="Times New Roman" w:eastAsia="仿宋"/>
          <w:sz w:val="28"/>
          <w:szCs w:val="28"/>
        </w:rPr>
        <w:t>0.5</w:t>
      </w:r>
      <w:r>
        <w:rPr>
          <w:rFonts w:hint="eastAsia" w:ascii="Times New Roman" w:eastAsia="仿宋"/>
          <w:sz w:val="28"/>
          <w:szCs w:val="28"/>
        </w:rPr>
        <w:t>万</w:t>
      </w:r>
      <w:r>
        <w:rPr>
          <w:rFonts w:ascii="Times New Roman" w:eastAsia="仿宋"/>
          <w:sz w:val="28"/>
          <w:szCs w:val="28"/>
        </w:rPr>
        <w:t>t/d</w:t>
      </w:r>
      <w:r>
        <w:rPr>
          <w:rFonts w:hint="eastAsia" w:ascii="Times New Roman" w:eastAsia="仿宋"/>
          <w:sz w:val="28"/>
          <w:szCs w:val="28"/>
        </w:rPr>
        <w:t>，项目于</w:t>
      </w:r>
      <w:r>
        <w:rPr>
          <w:rFonts w:ascii="Times New Roman" w:eastAsia="仿宋"/>
          <w:sz w:val="28"/>
          <w:szCs w:val="28"/>
        </w:rPr>
        <w:t>2007</w:t>
      </w:r>
      <w:r>
        <w:rPr>
          <w:rFonts w:hint="eastAsia" w:ascii="Times New Roman" w:eastAsia="仿宋"/>
          <w:sz w:val="28"/>
          <w:szCs w:val="28"/>
        </w:rPr>
        <w:t>年</w:t>
      </w:r>
      <w:r>
        <w:rPr>
          <w:rFonts w:ascii="Times New Roman" w:eastAsia="仿宋"/>
          <w:sz w:val="28"/>
          <w:szCs w:val="28"/>
        </w:rPr>
        <w:t>7</w:t>
      </w:r>
      <w:r>
        <w:rPr>
          <w:rFonts w:hint="eastAsia" w:ascii="Times New Roman" w:eastAsia="仿宋"/>
          <w:sz w:val="28"/>
          <w:szCs w:val="28"/>
        </w:rPr>
        <w:t>月</w:t>
      </w:r>
      <w:r>
        <w:rPr>
          <w:rFonts w:ascii="Times New Roman" w:eastAsia="仿宋"/>
          <w:sz w:val="28"/>
          <w:szCs w:val="28"/>
        </w:rPr>
        <w:t>3</w:t>
      </w:r>
      <w:r>
        <w:rPr>
          <w:rFonts w:hint="eastAsia" w:ascii="Times New Roman" w:eastAsia="仿宋"/>
          <w:sz w:val="28"/>
          <w:szCs w:val="28"/>
        </w:rPr>
        <w:t>日获金坛市环境保护局批复；直溪污水处理厂提标改造项目于</w:t>
      </w:r>
      <w:r>
        <w:rPr>
          <w:rFonts w:ascii="Times New Roman" w:eastAsia="仿宋"/>
          <w:sz w:val="28"/>
          <w:szCs w:val="28"/>
        </w:rPr>
        <w:t>2010</w:t>
      </w:r>
      <w:r>
        <w:rPr>
          <w:rFonts w:hint="eastAsia" w:ascii="Times New Roman" w:eastAsia="仿宋"/>
          <w:sz w:val="28"/>
          <w:szCs w:val="28"/>
        </w:rPr>
        <w:t>年</w:t>
      </w:r>
      <w:r>
        <w:rPr>
          <w:rFonts w:ascii="Times New Roman" w:eastAsia="仿宋"/>
          <w:sz w:val="28"/>
          <w:szCs w:val="28"/>
        </w:rPr>
        <w:t>9</w:t>
      </w:r>
      <w:r>
        <w:rPr>
          <w:rFonts w:hint="eastAsia" w:ascii="Times New Roman" w:eastAsia="仿宋"/>
          <w:sz w:val="28"/>
          <w:szCs w:val="28"/>
        </w:rPr>
        <w:t>月</w:t>
      </w:r>
      <w:r>
        <w:rPr>
          <w:rFonts w:ascii="Times New Roman" w:eastAsia="仿宋"/>
          <w:sz w:val="28"/>
          <w:szCs w:val="28"/>
        </w:rPr>
        <w:t>16</w:t>
      </w:r>
      <w:r>
        <w:rPr>
          <w:rFonts w:hint="eastAsia" w:ascii="Times New Roman" w:eastAsia="仿宋"/>
          <w:sz w:val="28"/>
          <w:szCs w:val="28"/>
        </w:rPr>
        <w:t xml:space="preserve">日获金坛市环境保护局批复（坛环审 </w:t>
      </w:r>
      <w:r>
        <w:rPr>
          <w:rFonts w:ascii="Times New Roman" w:eastAsia="仿宋"/>
          <w:sz w:val="28"/>
          <w:szCs w:val="28"/>
        </w:rPr>
        <w:t>100178</w:t>
      </w:r>
      <w:r>
        <w:rPr>
          <w:rFonts w:hint="eastAsia" w:ascii="Times New Roman" w:eastAsia="仿宋"/>
          <w:sz w:val="28"/>
          <w:szCs w:val="28"/>
        </w:rPr>
        <w:t>号），于</w:t>
      </w:r>
      <w:r>
        <w:rPr>
          <w:rFonts w:ascii="Times New Roman" w:eastAsia="仿宋"/>
          <w:sz w:val="28"/>
          <w:szCs w:val="28"/>
        </w:rPr>
        <w:t>2012</w:t>
      </w:r>
      <w:r>
        <w:rPr>
          <w:rFonts w:hint="eastAsia" w:ascii="Times New Roman" w:eastAsia="仿宋"/>
          <w:sz w:val="28"/>
          <w:szCs w:val="28"/>
        </w:rPr>
        <w:t>年</w:t>
      </w:r>
      <w:r>
        <w:rPr>
          <w:rFonts w:ascii="Times New Roman" w:eastAsia="仿宋"/>
          <w:sz w:val="28"/>
          <w:szCs w:val="28"/>
        </w:rPr>
        <w:t>3</w:t>
      </w:r>
      <w:r>
        <w:rPr>
          <w:rFonts w:hint="eastAsia" w:ascii="Times New Roman" w:eastAsia="仿宋"/>
          <w:sz w:val="28"/>
          <w:szCs w:val="28"/>
        </w:rPr>
        <w:t>月</w:t>
      </w:r>
      <w:r>
        <w:rPr>
          <w:rFonts w:ascii="Times New Roman" w:eastAsia="仿宋"/>
          <w:sz w:val="28"/>
          <w:szCs w:val="28"/>
        </w:rPr>
        <w:t>3</w:t>
      </w:r>
      <w:r>
        <w:rPr>
          <w:rFonts w:hint="eastAsia" w:ascii="Times New Roman" w:eastAsia="仿宋"/>
          <w:sz w:val="28"/>
          <w:szCs w:val="28"/>
        </w:rPr>
        <w:t>日获得金坛市环境保护局验收批文（坛环验（</w:t>
      </w:r>
      <w:r>
        <w:rPr>
          <w:rFonts w:ascii="Times New Roman" w:eastAsia="仿宋"/>
          <w:sz w:val="28"/>
          <w:szCs w:val="28"/>
        </w:rPr>
        <w:t>2012</w:t>
      </w:r>
      <w:r>
        <w:rPr>
          <w:rFonts w:hint="eastAsia" w:ascii="Times New Roman" w:eastAsia="仿宋"/>
          <w:sz w:val="28"/>
          <w:szCs w:val="28"/>
        </w:rPr>
        <w:t>）</w:t>
      </w:r>
      <w:r>
        <w:rPr>
          <w:rFonts w:ascii="Times New Roman" w:eastAsia="仿宋"/>
          <w:sz w:val="28"/>
          <w:szCs w:val="28"/>
        </w:rPr>
        <w:t>6</w:t>
      </w:r>
      <w:r>
        <w:rPr>
          <w:rFonts w:hint="eastAsia" w:ascii="Times New Roman" w:eastAsia="仿宋"/>
          <w:sz w:val="28"/>
          <w:szCs w:val="28"/>
        </w:rPr>
        <w:t>号）；二期改扩建项目于</w:t>
      </w:r>
      <w:r>
        <w:rPr>
          <w:rFonts w:ascii="Times New Roman" w:eastAsia="仿宋"/>
          <w:sz w:val="28"/>
          <w:szCs w:val="28"/>
        </w:rPr>
        <w:t xml:space="preserve">2018 </w:t>
      </w:r>
      <w:r>
        <w:rPr>
          <w:rFonts w:hint="eastAsia" w:ascii="Times New Roman" w:eastAsia="仿宋"/>
          <w:sz w:val="28"/>
          <w:szCs w:val="28"/>
        </w:rPr>
        <w:t>年</w:t>
      </w:r>
      <w:r>
        <w:rPr>
          <w:rFonts w:ascii="Times New Roman" w:eastAsia="仿宋"/>
          <w:sz w:val="28"/>
          <w:szCs w:val="28"/>
        </w:rPr>
        <w:t>6</w:t>
      </w:r>
      <w:r>
        <w:rPr>
          <w:rFonts w:hint="eastAsia" w:ascii="Times New Roman" w:eastAsia="仿宋"/>
          <w:sz w:val="28"/>
          <w:szCs w:val="28"/>
        </w:rPr>
        <w:t>月</w:t>
      </w:r>
      <w:r>
        <w:rPr>
          <w:rFonts w:ascii="Times New Roman" w:eastAsia="仿宋"/>
          <w:sz w:val="28"/>
          <w:szCs w:val="28"/>
        </w:rPr>
        <w:t>11</w:t>
      </w:r>
      <w:r>
        <w:rPr>
          <w:rFonts w:hint="eastAsia" w:ascii="Times New Roman" w:eastAsia="仿宋"/>
          <w:sz w:val="28"/>
          <w:szCs w:val="28"/>
        </w:rPr>
        <w:t>日获常州市环境保护局批复（常金环审</w:t>
      </w:r>
      <w:r>
        <w:rPr>
          <w:rFonts w:ascii="Times New Roman" w:eastAsia="仿宋"/>
          <w:sz w:val="28"/>
          <w:szCs w:val="28"/>
        </w:rPr>
        <w:t>[2018]1</w:t>
      </w:r>
      <w:r>
        <w:rPr>
          <w:rFonts w:hint="eastAsia" w:ascii="Times New Roman" w:eastAsia="仿宋"/>
          <w:sz w:val="28"/>
          <w:szCs w:val="28"/>
        </w:rPr>
        <w:t>号），于</w:t>
      </w:r>
      <w:r>
        <w:rPr>
          <w:rFonts w:ascii="Times New Roman" w:eastAsia="仿宋"/>
          <w:sz w:val="28"/>
          <w:szCs w:val="28"/>
        </w:rPr>
        <w:t>2020</w:t>
      </w:r>
      <w:r>
        <w:rPr>
          <w:rFonts w:hint="eastAsia" w:ascii="Times New Roman" w:eastAsia="仿宋"/>
          <w:sz w:val="28"/>
          <w:szCs w:val="28"/>
        </w:rPr>
        <w:t>年</w:t>
      </w:r>
      <w:r>
        <w:rPr>
          <w:rFonts w:ascii="Times New Roman" w:eastAsia="仿宋"/>
          <w:sz w:val="28"/>
          <w:szCs w:val="28"/>
        </w:rPr>
        <w:t>4</w:t>
      </w:r>
      <w:r>
        <w:rPr>
          <w:rFonts w:hint="eastAsia" w:ascii="Times New Roman" w:eastAsia="仿宋"/>
          <w:sz w:val="28"/>
          <w:szCs w:val="28"/>
        </w:rPr>
        <w:t>月完成自主验收，处理能力为</w:t>
      </w:r>
      <w:r>
        <w:rPr>
          <w:rFonts w:ascii="Times New Roman" w:eastAsia="仿宋"/>
          <w:sz w:val="28"/>
          <w:szCs w:val="28"/>
        </w:rPr>
        <w:t>1</w:t>
      </w:r>
      <w:r>
        <w:rPr>
          <w:rFonts w:hint="eastAsia" w:ascii="Times New Roman" w:eastAsia="仿宋"/>
          <w:sz w:val="28"/>
          <w:szCs w:val="28"/>
        </w:rPr>
        <w:t>万</w:t>
      </w:r>
      <w:r>
        <w:rPr>
          <w:rFonts w:ascii="Times New Roman" w:eastAsia="仿宋"/>
          <w:sz w:val="28"/>
          <w:szCs w:val="28"/>
        </w:rPr>
        <w:t>t/d</w:t>
      </w:r>
      <w:r>
        <w:rPr>
          <w:rFonts w:hint="eastAsia" w:ascii="Times New Roman" w:eastAsia="仿宋"/>
          <w:sz w:val="28"/>
          <w:szCs w:val="28"/>
        </w:rPr>
        <w:t>，工业污水占比不超过</w:t>
      </w:r>
      <w:r>
        <w:rPr>
          <w:rFonts w:ascii="Times New Roman" w:eastAsia="仿宋"/>
          <w:sz w:val="28"/>
          <w:szCs w:val="28"/>
        </w:rPr>
        <w:t>0.3</w:t>
      </w:r>
      <w:r>
        <w:rPr>
          <w:rFonts w:hint="eastAsia" w:ascii="Times New Roman" w:eastAsia="仿宋"/>
          <w:sz w:val="28"/>
          <w:szCs w:val="28"/>
        </w:rPr>
        <w:t>万</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/d</w:t>
      </w:r>
      <w:r>
        <w:rPr>
          <w:rFonts w:hint="eastAsia" w:ascii="Times New Roman" w:eastAsia="仿宋"/>
          <w:sz w:val="28"/>
          <w:szCs w:val="28"/>
        </w:rPr>
        <w:t>；三期提标改造项目于</w:t>
      </w:r>
      <w:r>
        <w:rPr>
          <w:rFonts w:ascii="Times New Roman" w:eastAsia="仿宋"/>
          <w:sz w:val="28"/>
          <w:szCs w:val="28"/>
        </w:rPr>
        <w:t>2020</w:t>
      </w:r>
      <w:r>
        <w:rPr>
          <w:rFonts w:hint="eastAsia" w:ascii="Times New Roman" w:eastAsia="仿宋"/>
          <w:sz w:val="28"/>
          <w:szCs w:val="28"/>
        </w:rPr>
        <w:t>年</w:t>
      </w:r>
      <w:r>
        <w:rPr>
          <w:rFonts w:ascii="Times New Roman" w:eastAsia="仿宋"/>
          <w:sz w:val="28"/>
          <w:szCs w:val="28"/>
        </w:rPr>
        <w:t>7</w:t>
      </w:r>
      <w:r>
        <w:rPr>
          <w:rFonts w:hint="eastAsia" w:ascii="Times New Roman" w:eastAsia="仿宋"/>
          <w:sz w:val="28"/>
          <w:szCs w:val="28"/>
        </w:rPr>
        <w:t>月</w:t>
      </w:r>
      <w:r>
        <w:rPr>
          <w:rFonts w:ascii="Times New Roman" w:eastAsia="仿宋"/>
          <w:sz w:val="28"/>
          <w:szCs w:val="28"/>
        </w:rPr>
        <w:t>16</w:t>
      </w:r>
      <w:r>
        <w:rPr>
          <w:rFonts w:hint="eastAsia" w:ascii="Times New Roman" w:eastAsia="仿宋"/>
          <w:sz w:val="28"/>
          <w:szCs w:val="28"/>
        </w:rPr>
        <w:t>日取得常州市生态环境局的环评批复（常坛环审</w:t>
      </w:r>
      <w:r>
        <w:rPr>
          <w:rFonts w:ascii="Times New Roman" w:eastAsia="仿宋"/>
          <w:sz w:val="28"/>
          <w:szCs w:val="28"/>
        </w:rPr>
        <w:t>[2020]98</w:t>
      </w:r>
      <w:r>
        <w:rPr>
          <w:rFonts w:hint="eastAsia" w:ascii="Times New Roman" w:eastAsia="仿宋"/>
          <w:sz w:val="28"/>
          <w:szCs w:val="28"/>
        </w:rPr>
        <w:t>号），于</w:t>
      </w:r>
      <w:r>
        <w:rPr>
          <w:rFonts w:ascii="Times New Roman" w:eastAsia="仿宋"/>
          <w:sz w:val="28"/>
          <w:szCs w:val="28"/>
        </w:rPr>
        <w:t>2021</w:t>
      </w:r>
      <w:r>
        <w:rPr>
          <w:rFonts w:hint="eastAsia" w:ascii="Times New Roman" w:eastAsia="仿宋"/>
          <w:sz w:val="28"/>
          <w:szCs w:val="28"/>
        </w:rPr>
        <w:t>年</w:t>
      </w:r>
      <w:r>
        <w:rPr>
          <w:rFonts w:ascii="Times New Roman" w:eastAsia="仿宋"/>
          <w:sz w:val="28"/>
          <w:szCs w:val="28"/>
        </w:rPr>
        <w:t>5</w:t>
      </w:r>
      <w:r>
        <w:rPr>
          <w:rFonts w:hint="eastAsia" w:ascii="Times New Roman" w:eastAsia="仿宋"/>
          <w:sz w:val="28"/>
          <w:szCs w:val="28"/>
        </w:rPr>
        <w:t>月</w:t>
      </w:r>
      <w:r>
        <w:rPr>
          <w:rFonts w:ascii="Times New Roman" w:eastAsia="仿宋"/>
          <w:sz w:val="28"/>
          <w:szCs w:val="28"/>
        </w:rPr>
        <w:t>24</w:t>
      </w:r>
      <w:r>
        <w:rPr>
          <w:rFonts w:hint="eastAsia" w:ascii="Times New Roman" w:eastAsia="仿宋"/>
          <w:sz w:val="28"/>
          <w:szCs w:val="28"/>
        </w:rPr>
        <w:t>日完成自主验收，处理能力为</w:t>
      </w:r>
      <w:r>
        <w:rPr>
          <w:rFonts w:ascii="Times New Roman" w:eastAsia="仿宋"/>
          <w:sz w:val="28"/>
          <w:szCs w:val="28"/>
        </w:rPr>
        <w:t>1</w:t>
      </w:r>
      <w:r>
        <w:rPr>
          <w:rFonts w:hint="eastAsia" w:ascii="Times New Roman" w:eastAsia="仿宋"/>
          <w:sz w:val="28"/>
          <w:szCs w:val="28"/>
        </w:rPr>
        <w:t>万</w:t>
      </w:r>
      <w:r>
        <w:rPr>
          <w:rFonts w:ascii="Times New Roman" w:eastAsia="仿宋"/>
          <w:sz w:val="28"/>
          <w:szCs w:val="28"/>
        </w:rPr>
        <w:t>t/d</w:t>
      </w:r>
      <w:r>
        <w:rPr>
          <w:rFonts w:hint="eastAsia" w:ascii="Times New Roman" w:eastAsia="仿宋"/>
          <w:sz w:val="28"/>
          <w:szCs w:val="28"/>
        </w:rPr>
        <w:t>，工业污水占比不超过</w:t>
      </w:r>
      <w:r>
        <w:rPr>
          <w:rFonts w:ascii="Times New Roman" w:eastAsia="仿宋"/>
          <w:sz w:val="28"/>
          <w:szCs w:val="28"/>
        </w:rPr>
        <w:t>0.6</w:t>
      </w:r>
      <w:r>
        <w:rPr>
          <w:rFonts w:hint="eastAsia" w:ascii="Times New Roman" w:eastAsia="仿宋"/>
          <w:sz w:val="28"/>
          <w:szCs w:val="28"/>
        </w:rPr>
        <w:t>万</w:t>
      </w:r>
      <w:r>
        <w:rPr>
          <w:rFonts w:ascii="Times New Roman" w:eastAsia="仿宋"/>
          <w:sz w:val="28"/>
          <w:szCs w:val="28"/>
        </w:rPr>
        <w:t>m</w:t>
      </w:r>
      <w:r>
        <w:rPr>
          <w:rFonts w:ascii="Times New Roman" w:eastAsia="仿宋"/>
          <w:sz w:val="28"/>
          <w:szCs w:val="28"/>
          <w:vertAlign w:val="superscript"/>
        </w:rPr>
        <w:t>3</w:t>
      </w:r>
      <w:r>
        <w:rPr>
          <w:rFonts w:ascii="Times New Roman" w:eastAsia="仿宋"/>
          <w:sz w:val="28"/>
          <w:szCs w:val="28"/>
        </w:rPr>
        <w:t>/d</w:t>
      </w:r>
      <w:r>
        <w:rPr>
          <w:rFonts w:hint="eastAsia" w:ascii="Times New Roman" w:eastAsia="仿宋"/>
          <w:sz w:val="28"/>
          <w:szCs w:val="28"/>
        </w:rPr>
        <w:t>，四期改扩建项目于</w:t>
      </w:r>
      <w:r>
        <w:rPr>
          <w:rFonts w:ascii="Times New Roman" w:eastAsia="仿宋"/>
          <w:sz w:val="28"/>
          <w:szCs w:val="28"/>
        </w:rPr>
        <w:t>2022</w:t>
      </w:r>
      <w:r>
        <w:rPr>
          <w:rFonts w:hint="eastAsia" w:ascii="Times New Roman" w:eastAsia="仿宋"/>
          <w:sz w:val="28"/>
          <w:szCs w:val="28"/>
        </w:rPr>
        <w:t>年</w:t>
      </w:r>
      <w:r>
        <w:rPr>
          <w:rFonts w:ascii="Times New Roman" w:eastAsia="仿宋"/>
          <w:sz w:val="28"/>
          <w:szCs w:val="28"/>
        </w:rPr>
        <w:t>11</w:t>
      </w:r>
      <w:r>
        <w:rPr>
          <w:rFonts w:hint="eastAsia" w:ascii="Times New Roman" w:eastAsia="仿宋"/>
          <w:sz w:val="28"/>
          <w:szCs w:val="28"/>
        </w:rPr>
        <w:t>月</w:t>
      </w:r>
      <w:r>
        <w:rPr>
          <w:rFonts w:ascii="Times New Roman" w:eastAsia="仿宋"/>
          <w:sz w:val="28"/>
          <w:szCs w:val="28"/>
        </w:rPr>
        <w:t>3</w:t>
      </w:r>
      <w:r>
        <w:rPr>
          <w:rFonts w:hint="eastAsia" w:ascii="Times New Roman" w:eastAsia="仿宋"/>
          <w:sz w:val="28"/>
          <w:szCs w:val="28"/>
        </w:rPr>
        <w:t>日取得常州市生态环境局的环评批复（常金环审</w:t>
      </w:r>
      <w:r>
        <w:rPr>
          <w:rFonts w:ascii="Times New Roman" w:eastAsia="仿宋"/>
          <w:sz w:val="28"/>
          <w:szCs w:val="28"/>
        </w:rPr>
        <w:t>[2022]103</w:t>
      </w:r>
      <w:r>
        <w:rPr>
          <w:rFonts w:hint="eastAsia" w:ascii="Times New Roman" w:eastAsia="仿宋"/>
          <w:sz w:val="28"/>
          <w:szCs w:val="28"/>
        </w:rPr>
        <w:t>号），扩建后全厂污水处理规模达到2.0万m</w:t>
      </w:r>
      <w:r>
        <w:rPr>
          <w:rFonts w:hint="eastAsia" w:ascii="Times New Roman" w:eastAsia="仿宋"/>
          <w:sz w:val="28"/>
          <w:szCs w:val="28"/>
          <w:vertAlign w:val="superscript"/>
        </w:rPr>
        <w:t>3</w:t>
      </w:r>
      <w:r>
        <w:rPr>
          <w:rFonts w:hint="eastAsia" w:ascii="Times New Roman" w:eastAsia="仿宋"/>
          <w:sz w:val="28"/>
          <w:szCs w:val="28"/>
        </w:rPr>
        <w:t>/d，此项目目前已通过验收。</w:t>
      </w:r>
    </w:p>
    <w:p w14:paraId="12396B1A">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（4）接管水量水质可行性</w:t>
      </w:r>
    </w:p>
    <w:p w14:paraId="45225B1D">
      <w:pPr>
        <w:pStyle w:val="81"/>
        <w:spacing w:line="500" w:lineRule="exact"/>
        <w:ind w:firstLine="700" w:firstLineChars="250"/>
        <w:rPr>
          <w:rFonts w:eastAsia="仿宋_GB2312"/>
          <w:sz w:val="28"/>
          <w:szCs w:val="28"/>
        </w:rPr>
      </w:pPr>
      <w:r>
        <w:rPr>
          <w:rFonts w:hint="eastAsia" w:hAnsi="宋体" w:cs="宋体"/>
          <w:sz w:val="28"/>
          <w:szCs w:val="28"/>
          <w:lang w:bidi="ar"/>
        </w:rPr>
        <w:t>①</w:t>
      </w:r>
      <w:r>
        <w:rPr>
          <w:rFonts w:hint="eastAsia" w:eastAsia="仿宋_GB2312"/>
          <w:sz w:val="28"/>
          <w:szCs w:val="28"/>
          <w:lang w:bidi="ar"/>
        </w:rPr>
        <w:t>水量方面</w:t>
      </w:r>
    </w:p>
    <w:p w14:paraId="169F225D">
      <w:pPr>
        <w:tabs>
          <w:tab w:val="left" w:pos="2130"/>
        </w:tabs>
        <w:spacing w:line="500" w:lineRule="exact"/>
        <w:ind w:firstLine="560" w:firstLineChars="200"/>
        <w:rPr>
          <w:rFonts w:ascii="Times New Roman" w:eastAsia="仿宋_GB2312"/>
          <w:sz w:val="28"/>
          <w:szCs w:val="28"/>
          <w:lang w:bidi="ar"/>
        </w:rPr>
      </w:pPr>
      <w:r>
        <w:rPr>
          <w:rFonts w:hint="eastAsia" w:ascii="Times New Roman" w:eastAsia="仿宋_GB2312"/>
          <w:sz w:val="28"/>
          <w:szCs w:val="28"/>
          <w:lang w:bidi="ar"/>
        </w:rPr>
        <w:t>直溪污水处理厂现状总的污水处理能力是</w:t>
      </w:r>
      <w:r>
        <w:rPr>
          <w:rFonts w:ascii="Times New Roman" w:eastAsia="仿宋_GB2312"/>
          <w:sz w:val="28"/>
          <w:szCs w:val="28"/>
          <w:lang w:bidi="ar"/>
        </w:rPr>
        <w:t>2</w:t>
      </w:r>
      <w:r>
        <w:rPr>
          <w:rFonts w:hint="eastAsia" w:ascii="Times New Roman" w:eastAsia="仿宋_GB2312"/>
          <w:sz w:val="28"/>
          <w:szCs w:val="28"/>
          <w:lang w:bidi="ar"/>
        </w:rPr>
        <w:t>万</w:t>
      </w:r>
      <w:r>
        <w:rPr>
          <w:rFonts w:ascii="Times New Roman" w:eastAsia="仿宋_GB2312"/>
          <w:sz w:val="28"/>
          <w:szCs w:val="28"/>
          <w:lang w:bidi="ar"/>
        </w:rPr>
        <w:t>m</w:t>
      </w:r>
      <w:r>
        <w:rPr>
          <w:rFonts w:ascii="Times New Roman" w:eastAsia="仿宋_GB2312"/>
          <w:sz w:val="28"/>
          <w:szCs w:val="28"/>
          <w:vertAlign w:val="superscript"/>
          <w:lang w:bidi="ar"/>
        </w:rPr>
        <w:t>3</w:t>
      </w:r>
      <w:r>
        <w:rPr>
          <w:rFonts w:ascii="Times New Roman" w:eastAsia="仿宋_GB2312"/>
          <w:sz w:val="28"/>
          <w:szCs w:val="28"/>
          <w:lang w:bidi="ar"/>
        </w:rPr>
        <w:t>/d</w:t>
      </w:r>
      <w:r>
        <w:rPr>
          <w:rFonts w:hint="eastAsia" w:ascii="Times New Roman" w:eastAsia="仿宋_GB2312"/>
          <w:sz w:val="28"/>
          <w:szCs w:val="28"/>
          <w:lang w:bidi="ar"/>
        </w:rPr>
        <w:t>。根据直溪污水处理厂提供的统计资料，目前，直溪污水处理厂实际接管水量约为</w:t>
      </w:r>
      <w:r>
        <w:rPr>
          <w:rFonts w:ascii="Times New Roman" w:eastAsia="仿宋_GB2312"/>
          <w:sz w:val="28"/>
          <w:szCs w:val="28"/>
          <w:lang w:bidi="ar"/>
        </w:rPr>
        <w:t>1.2</w:t>
      </w:r>
      <w:r>
        <w:rPr>
          <w:rFonts w:hint="eastAsia" w:ascii="Times New Roman" w:eastAsia="仿宋_GB2312"/>
          <w:sz w:val="28"/>
          <w:szCs w:val="28"/>
          <w:lang w:bidi="ar"/>
        </w:rPr>
        <w:t>万</w:t>
      </w:r>
      <w:r>
        <w:rPr>
          <w:rFonts w:ascii="Times New Roman" w:eastAsia="仿宋_GB2312"/>
          <w:sz w:val="28"/>
          <w:szCs w:val="28"/>
          <w:lang w:bidi="ar"/>
        </w:rPr>
        <w:t>m</w:t>
      </w:r>
      <w:r>
        <w:rPr>
          <w:rFonts w:ascii="Times New Roman" w:eastAsia="仿宋_GB2312"/>
          <w:sz w:val="28"/>
          <w:szCs w:val="28"/>
          <w:vertAlign w:val="superscript"/>
          <w:lang w:bidi="ar"/>
        </w:rPr>
        <w:t>3</w:t>
      </w:r>
      <w:r>
        <w:rPr>
          <w:rFonts w:ascii="Times New Roman" w:eastAsia="仿宋_GB2312"/>
          <w:sz w:val="28"/>
          <w:szCs w:val="28"/>
          <w:lang w:bidi="ar"/>
        </w:rPr>
        <w:t>/d</w:t>
      </w:r>
      <w:r>
        <w:rPr>
          <w:rFonts w:hint="eastAsia" w:ascii="Times New Roman" w:eastAsia="仿宋_GB2312"/>
          <w:sz w:val="28"/>
          <w:szCs w:val="28"/>
          <w:lang w:bidi="ar"/>
        </w:rPr>
        <w:t>，而本项目建成后全厂接管排放污水总量为</w:t>
      </w:r>
      <w:r>
        <w:rPr>
          <w:rFonts w:ascii="Times New Roman" w:eastAsia="仿宋_GB2312"/>
          <w:sz w:val="28"/>
          <w:szCs w:val="28"/>
          <w:lang w:bidi="ar"/>
        </w:rPr>
        <w:t>14.48m</w:t>
      </w:r>
      <w:r>
        <w:rPr>
          <w:rFonts w:ascii="Times New Roman" w:eastAsia="仿宋_GB2312"/>
          <w:sz w:val="28"/>
          <w:szCs w:val="28"/>
          <w:vertAlign w:val="superscript"/>
          <w:lang w:bidi="ar"/>
        </w:rPr>
        <w:t>3</w:t>
      </w:r>
      <w:r>
        <w:rPr>
          <w:rFonts w:ascii="Times New Roman" w:eastAsia="仿宋_GB2312"/>
          <w:sz w:val="28"/>
          <w:szCs w:val="28"/>
          <w:lang w:bidi="ar"/>
        </w:rPr>
        <w:t>/d</w:t>
      </w:r>
      <w:r>
        <w:rPr>
          <w:rFonts w:hint="eastAsia" w:ascii="Times New Roman" w:eastAsia="仿宋_GB2312"/>
          <w:sz w:val="28"/>
          <w:szCs w:val="28"/>
          <w:lang w:bidi="ar"/>
        </w:rPr>
        <w:t>。因此，直溪污水处理厂有能力接纳本项目产生的生活污水。</w:t>
      </w:r>
    </w:p>
    <w:p w14:paraId="3C77936C">
      <w:pPr>
        <w:pStyle w:val="81"/>
        <w:spacing w:line="500" w:lineRule="exact"/>
        <w:ind w:firstLine="482"/>
        <w:rPr>
          <w:rFonts w:eastAsia="仿宋_GB2312"/>
          <w:sz w:val="28"/>
          <w:szCs w:val="28"/>
        </w:rPr>
      </w:pPr>
      <w:r>
        <w:rPr>
          <w:rFonts w:eastAsia="仿宋_GB2312"/>
          <w:sz w:val="28"/>
          <w:szCs w:val="28"/>
          <w:lang w:bidi="ar"/>
        </w:rPr>
        <w:fldChar w:fldCharType="begin"/>
      </w:r>
      <w:r>
        <w:rPr>
          <w:rFonts w:eastAsia="仿宋_GB2312"/>
          <w:sz w:val="28"/>
          <w:szCs w:val="28"/>
          <w:lang w:bidi="ar"/>
        </w:rPr>
        <w:instrText xml:space="preserve"> = 2 \* GB3 </w:instrText>
      </w:r>
      <w:r>
        <w:rPr>
          <w:rFonts w:eastAsia="仿宋_GB2312"/>
          <w:sz w:val="28"/>
          <w:szCs w:val="28"/>
          <w:lang w:bidi="ar"/>
        </w:rPr>
        <w:fldChar w:fldCharType="separate"/>
      </w:r>
      <w:r>
        <w:rPr>
          <w:rFonts w:hint="eastAsia" w:hAnsi="宋体" w:cs="宋体"/>
          <w:sz w:val="28"/>
          <w:szCs w:val="28"/>
          <w:lang w:bidi="ar"/>
        </w:rPr>
        <w:t>②</w:t>
      </w:r>
      <w:r>
        <w:rPr>
          <w:rFonts w:eastAsia="仿宋_GB2312"/>
          <w:sz w:val="28"/>
          <w:szCs w:val="28"/>
          <w:lang w:bidi="ar"/>
        </w:rPr>
        <w:fldChar w:fldCharType="end"/>
      </w:r>
      <w:r>
        <w:rPr>
          <w:rFonts w:hint="eastAsia" w:eastAsia="仿宋_GB2312"/>
          <w:sz w:val="28"/>
          <w:szCs w:val="28"/>
          <w:lang w:bidi="ar"/>
        </w:rPr>
        <w:t>水质方面</w:t>
      </w:r>
    </w:p>
    <w:p w14:paraId="588480D1">
      <w:pPr>
        <w:widowControl/>
        <w:spacing w:line="500" w:lineRule="exact"/>
        <w:ind w:firstLine="560" w:firstLineChars="200"/>
        <w:jc w:val="left"/>
        <w:rPr>
          <w:rFonts w:ascii="Times New Roman" w:eastAsia="仿宋_GB2312"/>
          <w:sz w:val="28"/>
          <w:szCs w:val="28"/>
          <w:lang w:bidi="ar"/>
        </w:rPr>
      </w:pPr>
      <w:r>
        <w:rPr>
          <w:rFonts w:hint="eastAsia" w:ascii="Times New Roman" w:eastAsia="仿宋_GB2312"/>
          <w:sz w:val="28"/>
          <w:szCs w:val="28"/>
          <w:lang w:bidi="ar"/>
        </w:rPr>
        <w:t>本项目建成后，混合废水接管至直溪污水处理厂，其水质情况见下表。由于本项目原辅材料不涉及氮、磷，因此生产废水中氮、磷浓度与用水中的氮、磷浓度相比，不得有较大波动变化。</w:t>
      </w:r>
    </w:p>
    <w:p w14:paraId="33522455">
      <w:pPr>
        <w:pStyle w:val="81"/>
        <w:spacing w:line="480" w:lineRule="exact"/>
        <w:jc w:val="center"/>
        <w:rPr>
          <w:rFonts w:eastAsia="仿宋"/>
          <w:b/>
          <w:lang w:bidi="ar"/>
        </w:rPr>
      </w:pPr>
    </w:p>
    <w:p w14:paraId="46EE386F">
      <w:pPr>
        <w:pStyle w:val="81"/>
        <w:spacing w:line="480" w:lineRule="exact"/>
        <w:jc w:val="center"/>
        <w:rPr>
          <w:rFonts w:eastAsia="仿宋"/>
          <w:b/>
        </w:rPr>
      </w:pPr>
      <w:r>
        <w:rPr>
          <w:rFonts w:eastAsia="仿宋"/>
          <w:b/>
          <w:lang w:bidi="ar"/>
        </w:rPr>
        <w:t xml:space="preserve">表6.2-3  本项目接管进直溪污水处理厂水质情况表  </w:t>
      </w:r>
      <w:r>
        <w:rPr>
          <w:rFonts w:eastAsia="仿宋"/>
          <w:b/>
          <w:bCs/>
          <w:lang w:bidi="ar"/>
        </w:rPr>
        <w:t>(单位：mg/L)</w:t>
      </w:r>
    </w:p>
    <w:tbl>
      <w:tblPr>
        <w:tblStyle w:val="87"/>
        <w:tblW w:w="5000" w:type="pct"/>
        <w:jc w:val="center"/>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60"/>
        <w:gridCol w:w="3237"/>
      </w:tblGrid>
      <w:tr w14:paraId="2CC657EA">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1B36F35A">
            <w:pPr>
              <w:widowControl/>
              <w:jc w:val="center"/>
              <w:rPr>
                <w:rFonts w:ascii="Times New Roman" w:eastAsia="仿宋"/>
                <w:szCs w:val="24"/>
                <w:lang w:bidi="ar"/>
              </w:rPr>
            </w:pPr>
            <w:r>
              <w:rPr>
                <w:rFonts w:ascii="Times New Roman" w:eastAsia="仿宋"/>
                <w:szCs w:val="24"/>
                <w:lang w:bidi="ar"/>
              </w:rPr>
              <w:t>污染物</w:t>
            </w:r>
          </w:p>
        </w:tc>
        <w:tc>
          <w:tcPr>
            <w:tcW w:w="2206" w:type="pct"/>
            <w:tcBorders>
              <w:top w:val="single" w:color="auto" w:sz="4" w:space="0"/>
              <w:left w:val="single" w:color="auto" w:sz="4" w:space="0"/>
              <w:bottom w:val="single" w:color="auto" w:sz="4" w:space="0"/>
              <w:right w:val="single" w:color="auto" w:sz="4" w:space="0"/>
            </w:tcBorders>
            <w:vAlign w:val="center"/>
          </w:tcPr>
          <w:p w14:paraId="1919AE7A">
            <w:pPr>
              <w:widowControl/>
              <w:jc w:val="center"/>
              <w:rPr>
                <w:rFonts w:ascii="Times New Roman" w:eastAsia="仿宋"/>
                <w:szCs w:val="24"/>
                <w:lang w:bidi="ar"/>
              </w:rPr>
            </w:pPr>
            <w:r>
              <w:rPr>
                <w:rFonts w:ascii="Times New Roman" w:eastAsia="仿宋"/>
                <w:szCs w:val="24"/>
                <w:lang w:bidi="ar"/>
              </w:rPr>
              <w:t>本项目废水接管进市政污水管网浓度</w:t>
            </w:r>
          </w:p>
        </w:tc>
        <w:tc>
          <w:tcPr>
            <w:tcW w:w="1899" w:type="pct"/>
            <w:tcBorders>
              <w:top w:val="single" w:color="auto" w:sz="4" w:space="0"/>
              <w:left w:val="single" w:color="auto" w:sz="4" w:space="0"/>
              <w:bottom w:val="single" w:color="auto" w:sz="4" w:space="0"/>
              <w:right w:val="single" w:color="auto" w:sz="6" w:space="0"/>
            </w:tcBorders>
            <w:vAlign w:val="center"/>
          </w:tcPr>
          <w:p w14:paraId="1C55EAB1">
            <w:pPr>
              <w:widowControl/>
              <w:jc w:val="center"/>
              <w:rPr>
                <w:rFonts w:ascii="Times New Roman" w:eastAsia="仿宋"/>
                <w:szCs w:val="24"/>
                <w:lang w:bidi="ar"/>
              </w:rPr>
            </w:pPr>
            <w:r>
              <w:rPr>
                <w:rFonts w:ascii="Times New Roman" w:eastAsia="仿宋"/>
                <w:szCs w:val="24"/>
                <w:lang w:bidi="ar"/>
              </w:rPr>
              <w:t>直溪污水处理厂接管标准</w:t>
            </w:r>
          </w:p>
        </w:tc>
      </w:tr>
      <w:tr w14:paraId="391A79B6">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01C9B90F">
            <w:pPr>
              <w:widowControl/>
              <w:jc w:val="center"/>
              <w:rPr>
                <w:rFonts w:ascii="Times New Roman" w:eastAsia="仿宋"/>
                <w:szCs w:val="24"/>
              </w:rPr>
            </w:pPr>
            <w:r>
              <w:rPr>
                <w:rFonts w:ascii="Times New Roman" w:eastAsia="仿宋"/>
                <w:szCs w:val="24"/>
                <w:lang w:bidi="ar"/>
              </w:rPr>
              <w:t>pH</w:t>
            </w:r>
          </w:p>
        </w:tc>
        <w:tc>
          <w:tcPr>
            <w:tcW w:w="2206" w:type="pct"/>
            <w:tcBorders>
              <w:top w:val="single" w:color="auto" w:sz="4" w:space="0"/>
              <w:left w:val="single" w:color="auto" w:sz="4" w:space="0"/>
              <w:bottom w:val="single" w:color="auto" w:sz="4" w:space="0"/>
              <w:right w:val="single" w:color="auto" w:sz="4" w:space="0"/>
            </w:tcBorders>
            <w:vAlign w:val="center"/>
          </w:tcPr>
          <w:p w14:paraId="5264E638">
            <w:pPr>
              <w:widowControl/>
              <w:jc w:val="center"/>
              <w:rPr>
                <w:rFonts w:ascii="Times New Roman" w:eastAsia="仿宋"/>
                <w:szCs w:val="24"/>
              </w:rPr>
            </w:pPr>
            <w:r>
              <w:rPr>
                <w:rFonts w:hint="eastAsia" w:ascii="Times New Roman" w:eastAsia="仿宋"/>
                <w:szCs w:val="24"/>
              </w:rPr>
              <w:t>7</w:t>
            </w:r>
          </w:p>
        </w:tc>
        <w:tc>
          <w:tcPr>
            <w:tcW w:w="1899" w:type="pct"/>
            <w:tcBorders>
              <w:top w:val="single" w:color="auto" w:sz="4" w:space="0"/>
              <w:left w:val="single" w:color="auto" w:sz="4" w:space="0"/>
              <w:bottom w:val="single" w:color="auto" w:sz="4" w:space="0"/>
              <w:right w:val="single" w:color="auto" w:sz="6" w:space="0"/>
            </w:tcBorders>
            <w:vAlign w:val="center"/>
          </w:tcPr>
          <w:p w14:paraId="21B08C22">
            <w:pPr>
              <w:pStyle w:val="81"/>
              <w:spacing w:line="320" w:lineRule="exact"/>
              <w:jc w:val="center"/>
              <w:rPr>
                <w:rFonts w:eastAsia="仿宋"/>
              </w:rPr>
            </w:pPr>
            <w:r>
              <w:rPr>
                <w:rFonts w:eastAsia="仿宋"/>
                <w:bCs/>
                <w:lang w:bidi="ar"/>
              </w:rPr>
              <w:t>6.5-9.5</w:t>
            </w:r>
          </w:p>
        </w:tc>
      </w:tr>
      <w:tr w14:paraId="6D4F9343">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706D468B">
            <w:pPr>
              <w:widowControl/>
              <w:jc w:val="center"/>
              <w:rPr>
                <w:rFonts w:ascii="Times New Roman" w:eastAsia="仿宋"/>
                <w:szCs w:val="24"/>
              </w:rPr>
            </w:pPr>
            <w:r>
              <w:rPr>
                <w:rFonts w:ascii="Times New Roman" w:eastAsia="仿宋"/>
                <w:szCs w:val="24"/>
                <w:lang w:bidi="ar"/>
              </w:rPr>
              <w:t>COD</w:t>
            </w:r>
          </w:p>
        </w:tc>
        <w:tc>
          <w:tcPr>
            <w:tcW w:w="2206" w:type="pct"/>
            <w:tcBorders>
              <w:top w:val="single" w:color="auto" w:sz="4" w:space="0"/>
              <w:left w:val="single" w:color="auto" w:sz="4" w:space="0"/>
              <w:bottom w:val="single" w:color="auto" w:sz="4" w:space="0"/>
              <w:right w:val="single" w:color="auto" w:sz="4" w:space="0"/>
            </w:tcBorders>
            <w:vAlign w:val="bottom"/>
          </w:tcPr>
          <w:p w14:paraId="09871B63">
            <w:pPr>
              <w:pStyle w:val="81"/>
              <w:spacing w:line="320" w:lineRule="exact"/>
              <w:jc w:val="center"/>
              <w:rPr>
                <w:rFonts w:eastAsia="仿宋"/>
                <w:bCs/>
                <w:lang w:bidi="ar"/>
              </w:rPr>
            </w:pPr>
            <w:r>
              <w:rPr>
                <w:rFonts w:hint="eastAsia" w:eastAsia="仿宋"/>
                <w:bCs/>
                <w:lang w:bidi="ar"/>
              </w:rPr>
              <w:t>319.24</w:t>
            </w:r>
          </w:p>
        </w:tc>
        <w:tc>
          <w:tcPr>
            <w:tcW w:w="1899" w:type="pct"/>
            <w:tcBorders>
              <w:top w:val="single" w:color="auto" w:sz="4" w:space="0"/>
              <w:left w:val="single" w:color="auto" w:sz="4" w:space="0"/>
              <w:bottom w:val="single" w:color="auto" w:sz="4" w:space="0"/>
              <w:right w:val="single" w:color="auto" w:sz="6" w:space="0"/>
            </w:tcBorders>
            <w:vAlign w:val="center"/>
          </w:tcPr>
          <w:p w14:paraId="58C7ED40">
            <w:pPr>
              <w:pStyle w:val="81"/>
              <w:spacing w:line="320" w:lineRule="exact"/>
              <w:jc w:val="center"/>
              <w:rPr>
                <w:rFonts w:eastAsia="仿宋"/>
              </w:rPr>
            </w:pPr>
            <w:r>
              <w:rPr>
                <w:rFonts w:eastAsia="仿宋"/>
                <w:bCs/>
                <w:lang w:bidi="ar"/>
              </w:rPr>
              <w:t>≤500</w:t>
            </w:r>
          </w:p>
        </w:tc>
      </w:tr>
      <w:tr w14:paraId="67F7E80B">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5AD50C18">
            <w:pPr>
              <w:jc w:val="center"/>
              <w:rPr>
                <w:rFonts w:ascii="Times New Roman" w:eastAsia="仿宋"/>
                <w:szCs w:val="24"/>
              </w:rPr>
            </w:pPr>
            <w:r>
              <w:rPr>
                <w:rFonts w:ascii="Times New Roman" w:eastAsia="仿宋"/>
                <w:szCs w:val="24"/>
                <w:lang w:bidi="ar"/>
              </w:rPr>
              <w:t>SS</w:t>
            </w:r>
          </w:p>
        </w:tc>
        <w:tc>
          <w:tcPr>
            <w:tcW w:w="2206" w:type="pct"/>
            <w:tcBorders>
              <w:top w:val="single" w:color="auto" w:sz="4" w:space="0"/>
              <w:left w:val="single" w:color="auto" w:sz="4" w:space="0"/>
              <w:bottom w:val="single" w:color="auto" w:sz="4" w:space="0"/>
              <w:right w:val="single" w:color="auto" w:sz="4" w:space="0"/>
            </w:tcBorders>
            <w:vAlign w:val="bottom"/>
          </w:tcPr>
          <w:p w14:paraId="2B82BE48">
            <w:pPr>
              <w:pStyle w:val="81"/>
              <w:spacing w:line="320" w:lineRule="exact"/>
              <w:jc w:val="center"/>
              <w:rPr>
                <w:rFonts w:eastAsia="仿宋"/>
                <w:bCs/>
                <w:lang w:bidi="ar"/>
              </w:rPr>
            </w:pPr>
            <w:r>
              <w:rPr>
                <w:rFonts w:hint="eastAsia" w:eastAsia="仿宋"/>
                <w:bCs/>
                <w:lang w:bidi="ar"/>
              </w:rPr>
              <w:t>137.37</w:t>
            </w:r>
          </w:p>
        </w:tc>
        <w:tc>
          <w:tcPr>
            <w:tcW w:w="1899" w:type="pct"/>
            <w:tcBorders>
              <w:top w:val="single" w:color="auto" w:sz="4" w:space="0"/>
              <w:left w:val="single" w:color="auto" w:sz="4" w:space="0"/>
              <w:bottom w:val="single" w:color="auto" w:sz="4" w:space="0"/>
              <w:right w:val="single" w:color="auto" w:sz="6" w:space="0"/>
            </w:tcBorders>
            <w:vAlign w:val="center"/>
          </w:tcPr>
          <w:p w14:paraId="3581B9D2">
            <w:pPr>
              <w:pStyle w:val="81"/>
              <w:spacing w:line="320" w:lineRule="exact"/>
              <w:jc w:val="center"/>
              <w:rPr>
                <w:rFonts w:eastAsia="仿宋"/>
              </w:rPr>
            </w:pPr>
            <w:r>
              <w:rPr>
                <w:rFonts w:eastAsia="仿宋"/>
                <w:bCs/>
                <w:lang w:bidi="ar"/>
              </w:rPr>
              <w:t>≤400</w:t>
            </w:r>
          </w:p>
        </w:tc>
      </w:tr>
      <w:tr w14:paraId="4172A171">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171E5088">
            <w:pPr>
              <w:jc w:val="center"/>
              <w:rPr>
                <w:rFonts w:ascii="Times New Roman" w:eastAsia="仿宋"/>
                <w:szCs w:val="24"/>
              </w:rPr>
            </w:pPr>
            <w:r>
              <w:rPr>
                <w:rFonts w:ascii="Times New Roman" w:eastAsia="仿宋"/>
                <w:szCs w:val="24"/>
                <w:lang w:bidi="ar"/>
              </w:rPr>
              <w:t>NH</w:t>
            </w:r>
            <w:r>
              <w:rPr>
                <w:rFonts w:ascii="Times New Roman" w:eastAsia="仿宋"/>
                <w:szCs w:val="24"/>
                <w:vertAlign w:val="subscript"/>
                <w:lang w:bidi="ar"/>
              </w:rPr>
              <w:t>3</w:t>
            </w:r>
            <w:r>
              <w:rPr>
                <w:rFonts w:ascii="Times New Roman" w:eastAsia="仿宋"/>
                <w:szCs w:val="24"/>
                <w:lang w:bidi="ar"/>
              </w:rPr>
              <w:t>-N</w:t>
            </w:r>
          </w:p>
        </w:tc>
        <w:tc>
          <w:tcPr>
            <w:tcW w:w="2206" w:type="pct"/>
            <w:tcBorders>
              <w:top w:val="single" w:color="auto" w:sz="4" w:space="0"/>
              <w:left w:val="single" w:color="auto" w:sz="4" w:space="0"/>
              <w:bottom w:val="single" w:color="auto" w:sz="4" w:space="0"/>
              <w:right w:val="single" w:color="auto" w:sz="4" w:space="0"/>
            </w:tcBorders>
            <w:vAlign w:val="bottom"/>
          </w:tcPr>
          <w:p w14:paraId="19963A9D">
            <w:pPr>
              <w:pStyle w:val="81"/>
              <w:spacing w:line="320" w:lineRule="exact"/>
              <w:jc w:val="center"/>
              <w:rPr>
                <w:rFonts w:eastAsia="仿宋"/>
                <w:bCs/>
                <w:lang w:bidi="ar"/>
              </w:rPr>
            </w:pPr>
            <w:r>
              <w:rPr>
                <w:rFonts w:hint="eastAsia" w:eastAsia="仿宋"/>
                <w:bCs/>
                <w:lang w:bidi="ar"/>
              </w:rPr>
              <w:t>19.34</w:t>
            </w:r>
          </w:p>
        </w:tc>
        <w:tc>
          <w:tcPr>
            <w:tcW w:w="1899" w:type="pct"/>
            <w:tcBorders>
              <w:top w:val="single" w:color="auto" w:sz="4" w:space="0"/>
              <w:left w:val="single" w:color="auto" w:sz="4" w:space="0"/>
              <w:bottom w:val="single" w:color="auto" w:sz="4" w:space="0"/>
              <w:right w:val="single" w:color="auto" w:sz="6" w:space="0"/>
            </w:tcBorders>
            <w:vAlign w:val="center"/>
          </w:tcPr>
          <w:p w14:paraId="7CCDD353">
            <w:pPr>
              <w:pStyle w:val="81"/>
              <w:spacing w:line="320" w:lineRule="exact"/>
              <w:jc w:val="center"/>
              <w:rPr>
                <w:rFonts w:eastAsia="仿宋"/>
              </w:rPr>
            </w:pPr>
            <w:r>
              <w:rPr>
                <w:rFonts w:eastAsia="仿宋"/>
                <w:bCs/>
                <w:lang w:bidi="ar"/>
              </w:rPr>
              <w:t>≤45</w:t>
            </w:r>
          </w:p>
        </w:tc>
      </w:tr>
      <w:tr w14:paraId="1917199C">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062893E6">
            <w:pPr>
              <w:jc w:val="center"/>
              <w:rPr>
                <w:rFonts w:ascii="Times New Roman" w:eastAsia="仿宋"/>
                <w:szCs w:val="24"/>
              </w:rPr>
            </w:pPr>
            <w:r>
              <w:rPr>
                <w:rFonts w:ascii="Times New Roman" w:eastAsia="仿宋"/>
                <w:szCs w:val="24"/>
                <w:lang w:bidi="ar"/>
              </w:rPr>
              <w:t>TN</w:t>
            </w:r>
          </w:p>
        </w:tc>
        <w:tc>
          <w:tcPr>
            <w:tcW w:w="2206" w:type="pct"/>
            <w:tcBorders>
              <w:top w:val="single" w:color="auto" w:sz="4" w:space="0"/>
              <w:left w:val="single" w:color="auto" w:sz="4" w:space="0"/>
              <w:bottom w:val="single" w:color="auto" w:sz="4" w:space="0"/>
              <w:right w:val="single" w:color="auto" w:sz="4" w:space="0"/>
            </w:tcBorders>
            <w:vAlign w:val="bottom"/>
          </w:tcPr>
          <w:p w14:paraId="32696520">
            <w:pPr>
              <w:pStyle w:val="81"/>
              <w:spacing w:line="320" w:lineRule="exact"/>
              <w:jc w:val="center"/>
              <w:rPr>
                <w:rFonts w:eastAsia="仿宋"/>
                <w:bCs/>
                <w:lang w:bidi="ar"/>
              </w:rPr>
            </w:pPr>
            <w:r>
              <w:rPr>
                <w:rFonts w:hint="eastAsia" w:eastAsia="仿宋"/>
                <w:bCs/>
                <w:lang w:bidi="ar"/>
              </w:rPr>
              <w:t>14.51</w:t>
            </w:r>
          </w:p>
        </w:tc>
        <w:tc>
          <w:tcPr>
            <w:tcW w:w="1899" w:type="pct"/>
            <w:tcBorders>
              <w:top w:val="single" w:color="auto" w:sz="4" w:space="0"/>
              <w:left w:val="single" w:color="auto" w:sz="4" w:space="0"/>
              <w:bottom w:val="single" w:color="auto" w:sz="4" w:space="0"/>
              <w:right w:val="single" w:color="auto" w:sz="6" w:space="0"/>
            </w:tcBorders>
            <w:vAlign w:val="center"/>
          </w:tcPr>
          <w:p w14:paraId="559B0CE7">
            <w:pPr>
              <w:pStyle w:val="81"/>
              <w:spacing w:line="320" w:lineRule="exact"/>
              <w:jc w:val="center"/>
              <w:rPr>
                <w:rFonts w:eastAsia="仿宋"/>
              </w:rPr>
            </w:pPr>
            <w:r>
              <w:rPr>
                <w:rFonts w:eastAsia="仿宋"/>
                <w:bCs/>
                <w:lang w:bidi="ar"/>
              </w:rPr>
              <w:t>≤70</w:t>
            </w:r>
          </w:p>
        </w:tc>
      </w:tr>
      <w:tr w14:paraId="7355E770">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67E7A541">
            <w:pPr>
              <w:jc w:val="center"/>
              <w:rPr>
                <w:rFonts w:ascii="Times New Roman" w:eastAsia="仿宋"/>
                <w:szCs w:val="24"/>
              </w:rPr>
            </w:pPr>
            <w:r>
              <w:rPr>
                <w:rFonts w:ascii="Times New Roman" w:eastAsia="仿宋"/>
                <w:szCs w:val="24"/>
                <w:lang w:bidi="ar"/>
              </w:rPr>
              <w:t>TP</w:t>
            </w:r>
          </w:p>
        </w:tc>
        <w:tc>
          <w:tcPr>
            <w:tcW w:w="2206" w:type="pct"/>
            <w:tcBorders>
              <w:top w:val="single" w:color="auto" w:sz="4" w:space="0"/>
              <w:left w:val="single" w:color="auto" w:sz="4" w:space="0"/>
              <w:bottom w:val="single" w:color="auto" w:sz="4" w:space="0"/>
              <w:right w:val="single" w:color="auto" w:sz="4" w:space="0"/>
            </w:tcBorders>
            <w:vAlign w:val="bottom"/>
          </w:tcPr>
          <w:p w14:paraId="5072A18D">
            <w:pPr>
              <w:pStyle w:val="81"/>
              <w:spacing w:line="320" w:lineRule="exact"/>
              <w:jc w:val="center"/>
              <w:rPr>
                <w:rFonts w:eastAsia="仿宋"/>
                <w:bCs/>
                <w:lang w:bidi="ar"/>
              </w:rPr>
            </w:pPr>
            <w:r>
              <w:rPr>
                <w:rFonts w:hint="eastAsia" w:eastAsia="仿宋"/>
                <w:bCs/>
                <w:lang w:bidi="ar"/>
              </w:rPr>
              <w:t>1.93</w:t>
            </w:r>
          </w:p>
        </w:tc>
        <w:tc>
          <w:tcPr>
            <w:tcW w:w="1899" w:type="pct"/>
            <w:tcBorders>
              <w:top w:val="single" w:color="auto" w:sz="4" w:space="0"/>
              <w:left w:val="single" w:color="auto" w:sz="4" w:space="0"/>
              <w:bottom w:val="single" w:color="auto" w:sz="4" w:space="0"/>
              <w:right w:val="single" w:color="auto" w:sz="6" w:space="0"/>
            </w:tcBorders>
            <w:vAlign w:val="center"/>
          </w:tcPr>
          <w:p w14:paraId="3C1534D5">
            <w:pPr>
              <w:pStyle w:val="81"/>
              <w:spacing w:line="320" w:lineRule="exact"/>
              <w:jc w:val="center"/>
              <w:rPr>
                <w:rFonts w:eastAsia="仿宋"/>
              </w:rPr>
            </w:pPr>
            <w:r>
              <w:rPr>
                <w:rFonts w:eastAsia="仿宋"/>
                <w:bCs/>
                <w:lang w:bidi="ar"/>
              </w:rPr>
              <w:t>≤8</w:t>
            </w:r>
          </w:p>
        </w:tc>
      </w:tr>
      <w:tr w14:paraId="2C7772F3">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4" w:space="0"/>
              <w:right w:val="single" w:color="auto" w:sz="4" w:space="0"/>
            </w:tcBorders>
            <w:vAlign w:val="center"/>
          </w:tcPr>
          <w:p w14:paraId="03C31C22">
            <w:pPr>
              <w:jc w:val="center"/>
              <w:rPr>
                <w:rFonts w:ascii="Times New Roman" w:eastAsia="仿宋"/>
                <w:szCs w:val="24"/>
                <w:lang w:bidi="ar"/>
              </w:rPr>
            </w:pPr>
            <w:r>
              <w:rPr>
                <w:rFonts w:hint="eastAsia" w:ascii="Times New Roman" w:eastAsia="仿宋"/>
                <w:szCs w:val="24"/>
                <w:lang w:bidi="ar"/>
              </w:rPr>
              <w:t>石油类</w:t>
            </w:r>
          </w:p>
        </w:tc>
        <w:tc>
          <w:tcPr>
            <w:tcW w:w="2206" w:type="pct"/>
            <w:tcBorders>
              <w:top w:val="single" w:color="auto" w:sz="4" w:space="0"/>
              <w:left w:val="single" w:color="auto" w:sz="4" w:space="0"/>
              <w:bottom w:val="single" w:color="auto" w:sz="4" w:space="0"/>
              <w:right w:val="single" w:color="auto" w:sz="4" w:space="0"/>
            </w:tcBorders>
            <w:vAlign w:val="bottom"/>
          </w:tcPr>
          <w:p w14:paraId="27C40AE2">
            <w:pPr>
              <w:pStyle w:val="81"/>
              <w:spacing w:line="320" w:lineRule="exact"/>
              <w:jc w:val="center"/>
              <w:rPr>
                <w:rFonts w:eastAsia="仿宋"/>
                <w:bCs/>
                <w:lang w:bidi="ar"/>
              </w:rPr>
            </w:pPr>
            <w:r>
              <w:rPr>
                <w:rFonts w:hint="eastAsia" w:eastAsia="仿宋"/>
                <w:bCs/>
                <w:lang w:bidi="ar"/>
              </w:rPr>
              <w:t>0.96</w:t>
            </w:r>
          </w:p>
        </w:tc>
        <w:tc>
          <w:tcPr>
            <w:tcW w:w="1899" w:type="pct"/>
            <w:tcBorders>
              <w:top w:val="single" w:color="auto" w:sz="4" w:space="0"/>
              <w:left w:val="single" w:color="auto" w:sz="4" w:space="0"/>
              <w:bottom w:val="single" w:color="auto" w:sz="4" w:space="0"/>
              <w:right w:val="single" w:color="auto" w:sz="6" w:space="0"/>
            </w:tcBorders>
            <w:vAlign w:val="center"/>
          </w:tcPr>
          <w:p w14:paraId="63BF24E2">
            <w:pPr>
              <w:pStyle w:val="81"/>
              <w:spacing w:line="320" w:lineRule="exact"/>
              <w:jc w:val="center"/>
              <w:rPr>
                <w:rFonts w:eastAsia="仿宋"/>
                <w:bCs/>
                <w:lang w:bidi="ar"/>
              </w:rPr>
            </w:pPr>
            <w:r>
              <w:rPr>
                <w:rFonts w:eastAsia="仿宋"/>
                <w:bCs/>
                <w:lang w:bidi="ar"/>
              </w:rPr>
              <w:t>≤1</w:t>
            </w:r>
            <w:r>
              <w:rPr>
                <w:rFonts w:hint="eastAsia" w:eastAsia="仿宋"/>
                <w:bCs/>
                <w:lang w:bidi="ar"/>
              </w:rPr>
              <w:t>5</w:t>
            </w:r>
          </w:p>
        </w:tc>
      </w:tr>
      <w:tr w14:paraId="15DC9C1A">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5" w:type="pct"/>
            <w:tcBorders>
              <w:top w:val="single" w:color="auto" w:sz="4" w:space="0"/>
              <w:left w:val="single" w:color="auto" w:sz="4" w:space="0"/>
              <w:bottom w:val="single" w:color="auto" w:sz="6" w:space="0"/>
              <w:right w:val="single" w:color="auto" w:sz="4" w:space="0"/>
            </w:tcBorders>
            <w:vAlign w:val="center"/>
          </w:tcPr>
          <w:p w14:paraId="65D28FD9">
            <w:pPr>
              <w:jc w:val="center"/>
              <w:rPr>
                <w:rFonts w:ascii="Times New Roman" w:eastAsia="仿宋"/>
                <w:szCs w:val="24"/>
              </w:rPr>
            </w:pPr>
            <w:r>
              <w:rPr>
                <w:rFonts w:ascii="Times New Roman" w:eastAsia="仿宋"/>
                <w:szCs w:val="24"/>
                <w:lang w:bidi="ar"/>
              </w:rPr>
              <w:t>动植物油</w:t>
            </w:r>
          </w:p>
        </w:tc>
        <w:tc>
          <w:tcPr>
            <w:tcW w:w="2206" w:type="pct"/>
            <w:tcBorders>
              <w:top w:val="single" w:color="auto" w:sz="4" w:space="0"/>
              <w:left w:val="single" w:color="auto" w:sz="4" w:space="0"/>
              <w:bottom w:val="single" w:color="auto" w:sz="6" w:space="0"/>
              <w:right w:val="single" w:color="auto" w:sz="4" w:space="0"/>
            </w:tcBorders>
            <w:vAlign w:val="bottom"/>
          </w:tcPr>
          <w:p w14:paraId="7F97519E">
            <w:pPr>
              <w:pStyle w:val="81"/>
              <w:spacing w:line="320" w:lineRule="exact"/>
              <w:jc w:val="center"/>
              <w:rPr>
                <w:rFonts w:eastAsia="仿宋"/>
                <w:bCs/>
                <w:lang w:bidi="ar"/>
              </w:rPr>
            </w:pPr>
            <w:r>
              <w:rPr>
                <w:rFonts w:hint="eastAsia" w:eastAsia="仿宋"/>
                <w:bCs/>
                <w:lang w:bidi="ar"/>
              </w:rPr>
              <w:t>38.69</w:t>
            </w:r>
          </w:p>
        </w:tc>
        <w:tc>
          <w:tcPr>
            <w:tcW w:w="1899" w:type="pct"/>
            <w:tcBorders>
              <w:top w:val="single" w:color="auto" w:sz="4" w:space="0"/>
              <w:left w:val="single" w:color="auto" w:sz="4" w:space="0"/>
              <w:bottom w:val="single" w:color="auto" w:sz="6" w:space="0"/>
              <w:right w:val="single" w:color="auto" w:sz="6" w:space="0"/>
            </w:tcBorders>
            <w:vAlign w:val="center"/>
          </w:tcPr>
          <w:p w14:paraId="1E688E92">
            <w:pPr>
              <w:pStyle w:val="81"/>
              <w:spacing w:line="320" w:lineRule="exact"/>
              <w:jc w:val="center"/>
              <w:rPr>
                <w:rFonts w:eastAsia="仿宋"/>
              </w:rPr>
            </w:pPr>
            <w:r>
              <w:rPr>
                <w:rFonts w:eastAsia="仿宋"/>
                <w:bCs/>
                <w:lang w:bidi="ar"/>
              </w:rPr>
              <w:t>≤100</w:t>
            </w:r>
          </w:p>
        </w:tc>
      </w:tr>
    </w:tbl>
    <w:p w14:paraId="066D70BD">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由上表可以看出，本项目排放的废水水质相对比较简单，废水中主要污染物浓度均能达到直溪污水处理厂接管标准，不会对污水处理厂运行产生冲击负荷，因此，从处理工艺上，本项目混合污水接入直溪污水处理厂是可行的。</w:t>
      </w:r>
    </w:p>
    <w:p w14:paraId="587F978C">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w:t>
      </w:r>
      <w:r>
        <w:rPr>
          <w:rFonts w:ascii="Times New Roman" w:eastAsia="仿宋"/>
          <w:sz w:val="28"/>
          <w:szCs w:val="28"/>
        </w:rPr>
        <w:t>5</w:t>
      </w:r>
      <w:r>
        <w:rPr>
          <w:rFonts w:hint="eastAsia" w:ascii="Times New Roman" w:eastAsia="仿宋"/>
          <w:sz w:val="28"/>
          <w:szCs w:val="28"/>
        </w:rPr>
        <w:t>）小结</w:t>
      </w:r>
    </w:p>
    <w:p w14:paraId="372BEC4C">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综上所述，不论从接管时间、服务范围以及水量水质来看，本项目生活污水达标接管直溪污水处理厂处理是可行的。</w:t>
      </w:r>
    </w:p>
    <w:p w14:paraId="1AC06F8E">
      <w:pPr>
        <w:pStyle w:val="5"/>
        <w:numPr>
          <w:ilvl w:val="0"/>
          <w:numId w:val="0"/>
        </w:numPr>
        <w:spacing w:before="156" w:after="156"/>
        <w:rPr>
          <w:rFonts w:eastAsia="仿宋"/>
          <w:color w:val="auto"/>
        </w:rPr>
      </w:pPr>
      <w:bookmarkStart w:id="402" w:name="_Toc240859378"/>
      <w:bookmarkStart w:id="403" w:name="_Toc170530377"/>
      <w:bookmarkStart w:id="404" w:name="_Toc182553826"/>
      <w:bookmarkStart w:id="405" w:name="_Toc200707889"/>
      <w:bookmarkStart w:id="406" w:name="_Toc227951059"/>
      <w:bookmarkStart w:id="407" w:name="_Toc236536273"/>
      <w:bookmarkStart w:id="408" w:name="_Toc238363450"/>
      <w:r>
        <w:rPr>
          <w:rFonts w:hint="eastAsia" w:eastAsia="仿宋"/>
          <w:color w:val="auto"/>
        </w:rPr>
        <w:t>6</w:t>
      </w:r>
      <w:r>
        <w:rPr>
          <w:rFonts w:eastAsia="仿宋"/>
          <w:color w:val="auto"/>
        </w:rPr>
        <w:t>.3固体废弃物污染防治措施评述</w:t>
      </w:r>
      <w:bookmarkEnd w:id="402"/>
      <w:bookmarkEnd w:id="403"/>
      <w:bookmarkEnd w:id="404"/>
      <w:bookmarkEnd w:id="405"/>
      <w:bookmarkEnd w:id="406"/>
      <w:bookmarkEnd w:id="407"/>
      <w:bookmarkEnd w:id="408"/>
    </w:p>
    <w:p w14:paraId="199884FF">
      <w:pPr>
        <w:pStyle w:val="6"/>
        <w:keepLines w:val="0"/>
        <w:tabs>
          <w:tab w:val="left" w:pos="709"/>
        </w:tabs>
        <w:spacing w:before="0" w:after="156" w:afterLines="50" w:line="500" w:lineRule="exact"/>
        <w:rPr>
          <w:rFonts w:ascii="Times New Roman" w:eastAsia="仿宋"/>
          <w:bCs w:val="0"/>
          <w:sz w:val="28"/>
        </w:rPr>
      </w:pPr>
      <w:r>
        <w:rPr>
          <w:rFonts w:hint="eastAsia" w:ascii="Times New Roman" w:eastAsia="仿宋"/>
          <w:bCs w:val="0"/>
          <w:sz w:val="28"/>
        </w:rPr>
        <w:t>6</w:t>
      </w:r>
      <w:r>
        <w:rPr>
          <w:rFonts w:ascii="Times New Roman" w:eastAsia="仿宋"/>
          <w:bCs w:val="0"/>
          <w:sz w:val="28"/>
        </w:rPr>
        <w:t>.3.1固废产生及处置措施</w:t>
      </w:r>
    </w:p>
    <w:p w14:paraId="7DC1689E">
      <w:pPr>
        <w:pStyle w:val="70"/>
        <w:adjustRightInd w:val="0"/>
        <w:snapToGrid w:val="0"/>
        <w:spacing w:after="0" w:line="500" w:lineRule="exact"/>
        <w:ind w:left="0" w:leftChars="0" w:firstLine="560" w:firstLineChars="200"/>
        <w:rPr>
          <w:rFonts w:eastAsia="仿宋"/>
          <w:sz w:val="28"/>
          <w:szCs w:val="28"/>
        </w:rPr>
      </w:pPr>
      <w:r>
        <w:rPr>
          <w:rFonts w:eastAsia="仿宋"/>
          <w:sz w:val="28"/>
          <w:szCs w:val="28"/>
        </w:rPr>
        <w:t>本项目固废产生及处置措施汇总情况见</w:t>
      </w:r>
      <w:r>
        <w:rPr>
          <w:rFonts w:eastAsia="仿宋"/>
          <w:sz w:val="28"/>
          <w:szCs w:val="28"/>
        </w:rPr>
        <w:fldChar w:fldCharType="begin"/>
      </w:r>
      <w:r>
        <w:rPr>
          <w:rFonts w:eastAsia="仿宋"/>
          <w:sz w:val="28"/>
          <w:szCs w:val="28"/>
        </w:rPr>
        <w:instrText xml:space="preserve"> REF _Ref520473340 \h  \* MERGEFORMAT </w:instrText>
      </w:r>
      <w:r>
        <w:rPr>
          <w:rFonts w:eastAsia="仿宋"/>
          <w:sz w:val="28"/>
          <w:szCs w:val="28"/>
        </w:rPr>
        <w:fldChar w:fldCharType="separate"/>
      </w:r>
      <w:r>
        <w:rPr>
          <w:rFonts w:eastAsia="仿宋"/>
          <w:sz w:val="28"/>
          <w:szCs w:val="28"/>
        </w:rPr>
        <w:t>表 6.3</w:t>
      </w:r>
      <w:r>
        <w:rPr>
          <w:rFonts w:eastAsia="仿宋"/>
          <w:sz w:val="28"/>
          <w:szCs w:val="28"/>
        </w:rPr>
        <w:noBreakHyphen/>
      </w:r>
      <w:r>
        <w:rPr>
          <w:rFonts w:eastAsia="仿宋"/>
          <w:sz w:val="28"/>
          <w:szCs w:val="28"/>
        </w:rPr>
        <w:t>1</w:t>
      </w:r>
      <w:r>
        <w:rPr>
          <w:rFonts w:eastAsia="仿宋"/>
          <w:sz w:val="28"/>
          <w:szCs w:val="28"/>
        </w:rPr>
        <w:fldChar w:fldCharType="end"/>
      </w:r>
      <w:r>
        <w:rPr>
          <w:rFonts w:eastAsia="仿宋"/>
          <w:sz w:val="28"/>
          <w:szCs w:val="28"/>
        </w:rPr>
        <w:t>。</w:t>
      </w:r>
    </w:p>
    <w:p w14:paraId="7B895B66">
      <w:pPr>
        <w:pStyle w:val="5"/>
        <w:spacing w:before="156" w:after="156"/>
        <w:rPr>
          <w:rFonts w:eastAsia="仿宋"/>
          <w:color w:val="auto"/>
        </w:rPr>
        <w:sectPr>
          <w:pgSz w:w="11906" w:h="16838"/>
          <w:pgMar w:top="1440" w:right="1800" w:bottom="1440" w:left="1800" w:header="851" w:footer="992" w:gutter="0"/>
          <w:cols w:space="720" w:num="1"/>
          <w:docGrid w:type="lines" w:linePitch="312" w:charSpace="0"/>
        </w:sectPr>
      </w:pPr>
    </w:p>
    <w:p w14:paraId="1AB8D063">
      <w:pPr>
        <w:autoSpaceDE w:val="0"/>
        <w:autoSpaceDN w:val="0"/>
        <w:spacing w:line="500" w:lineRule="exact"/>
        <w:jc w:val="center"/>
        <w:rPr>
          <w:rFonts w:ascii="Times New Roman" w:eastAsia="仿宋"/>
          <w:b/>
        </w:rPr>
      </w:pPr>
      <w:bookmarkStart w:id="409" w:name="_Ref520473340"/>
      <w:r>
        <w:rPr>
          <w:rFonts w:ascii="Times New Roman" w:eastAsia="仿宋"/>
          <w:b/>
        </w:rPr>
        <w:t>表 6.3</w:t>
      </w:r>
      <w:r>
        <w:rPr>
          <w:rFonts w:ascii="Times New Roman" w:eastAsia="仿宋"/>
          <w:b/>
        </w:rPr>
        <w:noBreakHyphen/>
      </w:r>
      <w:r>
        <w:rPr>
          <w:rFonts w:ascii="Times New Roman" w:eastAsia="仿宋"/>
          <w:b/>
        </w:rPr>
        <w:fldChar w:fldCharType="begin"/>
      </w:r>
      <w:r>
        <w:rPr>
          <w:rFonts w:ascii="Times New Roman" w:eastAsia="仿宋"/>
          <w:b/>
        </w:rPr>
        <w:instrText xml:space="preserve"> SEQ 表 \* ARABIC \s 3 </w:instrText>
      </w:r>
      <w:r>
        <w:rPr>
          <w:rFonts w:ascii="Times New Roman" w:eastAsia="仿宋"/>
          <w:b/>
        </w:rPr>
        <w:fldChar w:fldCharType="separate"/>
      </w:r>
      <w:r>
        <w:rPr>
          <w:rFonts w:ascii="Times New Roman" w:eastAsia="仿宋"/>
          <w:b/>
        </w:rPr>
        <w:t>1</w:t>
      </w:r>
      <w:r>
        <w:rPr>
          <w:rFonts w:ascii="Times New Roman" w:eastAsia="仿宋"/>
          <w:b/>
        </w:rPr>
        <w:fldChar w:fldCharType="end"/>
      </w:r>
      <w:bookmarkEnd w:id="409"/>
      <w:r>
        <w:rPr>
          <w:rFonts w:ascii="Times New Roman" w:eastAsia="仿宋"/>
          <w:b/>
        </w:rPr>
        <w:t xml:space="preserve">  本项目固废产生及处置措施汇总情况</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10"/>
        <w:gridCol w:w="864"/>
        <w:gridCol w:w="1102"/>
        <w:gridCol w:w="1634"/>
        <w:gridCol w:w="849"/>
        <w:gridCol w:w="1350"/>
        <w:gridCol w:w="765"/>
        <w:gridCol w:w="1170"/>
        <w:gridCol w:w="987"/>
        <w:gridCol w:w="992"/>
        <w:gridCol w:w="851"/>
        <w:gridCol w:w="1086"/>
      </w:tblGrid>
      <w:tr w14:paraId="0ED6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2537FD97">
            <w:pPr>
              <w:topLinePunct/>
              <w:adjustRightInd w:val="0"/>
              <w:snapToGrid w:val="0"/>
              <w:jc w:val="center"/>
              <w:rPr>
                <w:rFonts w:ascii="Times New Roman" w:eastAsia="仿宋"/>
                <w:szCs w:val="21"/>
              </w:rPr>
            </w:pPr>
            <w:r>
              <w:rPr>
                <w:rFonts w:ascii="Times New Roman" w:eastAsia="仿宋"/>
                <w:szCs w:val="21"/>
              </w:rPr>
              <w:t>序号</w:t>
            </w:r>
          </w:p>
        </w:tc>
        <w:tc>
          <w:tcPr>
            <w:tcW w:w="1610" w:type="dxa"/>
            <w:vAlign w:val="center"/>
          </w:tcPr>
          <w:p w14:paraId="387F1E45">
            <w:pPr>
              <w:topLinePunct/>
              <w:adjustRightInd w:val="0"/>
              <w:snapToGrid w:val="0"/>
              <w:jc w:val="center"/>
              <w:rPr>
                <w:rFonts w:ascii="Times New Roman" w:eastAsia="仿宋"/>
                <w:szCs w:val="21"/>
              </w:rPr>
            </w:pPr>
            <w:r>
              <w:rPr>
                <w:rFonts w:ascii="Times New Roman" w:eastAsia="仿宋"/>
                <w:szCs w:val="21"/>
              </w:rPr>
              <w:t>废物名称</w:t>
            </w:r>
          </w:p>
        </w:tc>
        <w:tc>
          <w:tcPr>
            <w:tcW w:w="864" w:type="dxa"/>
            <w:vAlign w:val="center"/>
          </w:tcPr>
          <w:p w14:paraId="44311869">
            <w:pPr>
              <w:topLinePunct/>
              <w:adjustRightInd w:val="0"/>
              <w:snapToGrid w:val="0"/>
              <w:jc w:val="center"/>
              <w:rPr>
                <w:rFonts w:ascii="Times New Roman" w:eastAsia="仿宋"/>
                <w:szCs w:val="21"/>
              </w:rPr>
            </w:pPr>
            <w:r>
              <w:rPr>
                <w:rFonts w:hint="eastAsia" w:ascii="Times New Roman" w:eastAsia="仿宋"/>
                <w:szCs w:val="21"/>
              </w:rPr>
              <w:t>性质</w:t>
            </w:r>
          </w:p>
        </w:tc>
        <w:tc>
          <w:tcPr>
            <w:tcW w:w="1102" w:type="dxa"/>
            <w:vAlign w:val="center"/>
          </w:tcPr>
          <w:p w14:paraId="1D0C07B1">
            <w:pPr>
              <w:topLinePunct/>
              <w:adjustRightInd w:val="0"/>
              <w:snapToGrid w:val="0"/>
              <w:jc w:val="center"/>
              <w:rPr>
                <w:rFonts w:ascii="Times New Roman" w:eastAsia="仿宋"/>
                <w:szCs w:val="21"/>
              </w:rPr>
            </w:pPr>
            <w:r>
              <w:rPr>
                <w:rFonts w:ascii="Times New Roman" w:eastAsia="仿宋"/>
                <w:szCs w:val="21"/>
              </w:rPr>
              <w:t>废物类别</w:t>
            </w:r>
          </w:p>
        </w:tc>
        <w:tc>
          <w:tcPr>
            <w:tcW w:w="1634" w:type="dxa"/>
            <w:vAlign w:val="center"/>
          </w:tcPr>
          <w:p w14:paraId="31C34702">
            <w:pPr>
              <w:topLinePunct/>
              <w:adjustRightInd w:val="0"/>
              <w:snapToGrid w:val="0"/>
              <w:jc w:val="center"/>
              <w:rPr>
                <w:rFonts w:ascii="Times New Roman" w:eastAsia="仿宋"/>
                <w:szCs w:val="21"/>
              </w:rPr>
            </w:pPr>
            <w:r>
              <w:rPr>
                <w:rFonts w:ascii="Times New Roman" w:eastAsia="仿宋"/>
                <w:szCs w:val="21"/>
              </w:rPr>
              <w:t>废物代码</w:t>
            </w:r>
          </w:p>
        </w:tc>
        <w:tc>
          <w:tcPr>
            <w:tcW w:w="849" w:type="dxa"/>
            <w:vAlign w:val="center"/>
          </w:tcPr>
          <w:p w14:paraId="144F783B">
            <w:pPr>
              <w:topLinePunct/>
              <w:adjustRightInd w:val="0"/>
              <w:snapToGrid w:val="0"/>
              <w:jc w:val="center"/>
              <w:rPr>
                <w:rFonts w:ascii="Times New Roman" w:eastAsia="仿宋"/>
                <w:szCs w:val="21"/>
              </w:rPr>
            </w:pPr>
            <w:r>
              <w:rPr>
                <w:rFonts w:ascii="Times New Roman" w:eastAsia="仿宋"/>
                <w:szCs w:val="21"/>
              </w:rPr>
              <w:t>产生量（t/a）</w:t>
            </w:r>
          </w:p>
        </w:tc>
        <w:tc>
          <w:tcPr>
            <w:tcW w:w="1350" w:type="dxa"/>
            <w:vAlign w:val="center"/>
          </w:tcPr>
          <w:p w14:paraId="58947BC4">
            <w:pPr>
              <w:topLinePunct/>
              <w:adjustRightInd w:val="0"/>
              <w:snapToGrid w:val="0"/>
              <w:jc w:val="center"/>
              <w:rPr>
                <w:rFonts w:ascii="Times New Roman" w:eastAsia="仿宋"/>
                <w:szCs w:val="21"/>
              </w:rPr>
            </w:pPr>
            <w:r>
              <w:rPr>
                <w:rFonts w:ascii="Times New Roman" w:eastAsia="仿宋"/>
                <w:szCs w:val="21"/>
              </w:rPr>
              <w:t>产生工序及装置</w:t>
            </w:r>
          </w:p>
        </w:tc>
        <w:tc>
          <w:tcPr>
            <w:tcW w:w="765" w:type="dxa"/>
            <w:vAlign w:val="center"/>
          </w:tcPr>
          <w:p w14:paraId="7CB5B91B">
            <w:pPr>
              <w:topLinePunct/>
              <w:adjustRightInd w:val="0"/>
              <w:snapToGrid w:val="0"/>
              <w:jc w:val="center"/>
              <w:rPr>
                <w:rFonts w:ascii="Times New Roman" w:eastAsia="仿宋"/>
                <w:szCs w:val="21"/>
              </w:rPr>
            </w:pPr>
            <w:r>
              <w:rPr>
                <w:rFonts w:ascii="Times New Roman" w:eastAsia="仿宋"/>
                <w:szCs w:val="21"/>
              </w:rPr>
              <w:t>形态</w:t>
            </w:r>
          </w:p>
        </w:tc>
        <w:tc>
          <w:tcPr>
            <w:tcW w:w="1170" w:type="dxa"/>
            <w:vAlign w:val="center"/>
          </w:tcPr>
          <w:p w14:paraId="690411CE">
            <w:pPr>
              <w:topLinePunct/>
              <w:adjustRightInd w:val="0"/>
              <w:snapToGrid w:val="0"/>
              <w:jc w:val="center"/>
              <w:rPr>
                <w:rFonts w:ascii="Times New Roman" w:eastAsia="仿宋"/>
                <w:szCs w:val="21"/>
              </w:rPr>
            </w:pPr>
            <w:r>
              <w:rPr>
                <w:rFonts w:ascii="Times New Roman" w:eastAsia="仿宋"/>
                <w:szCs w:val="21"/>
              </w:rPr>
              <w:t>主要成分</w:t>
            </w:r>
          </w:p>
        </w:tc>
        <w:tc>
          <w:tcPr>
            <w:tcW w:w="987" w:type="dxa"/>
            <w:vAlign w:val="center"/>
          </w:tcPr>
          <w:p w14:paraId="5298C85F">
            <w:pPr>
              <w:topLinePunct/>
              <w:adjustRightInd w:val="0"/>
              <w:snapToGrid w:val="0"/>
              <w:jc w:val="center"/>
              <w:rPr>
                <w:rFonts w:ascii="Times New Roman" w:eastAsia="仿宋"/>
                <w:szCs w:val="21"/>
              </w:rPr>
            </w:pPr>
            <w:r>
              <w:rPr>
                <w:rFonts w:ascii="Times New Roman" w:eastAsia="仿宋"/>
                <w:szCs w:val="21"/>
              </w:rPr>
              <w:t>有害成分</w:t>
            </w:r>
          </w:p>
        </w:tc>
        <w:tc>
          <w:tcPr>
            <w:tcW w:w="992" w:type="dxa"/>
            <w:vAlign w:val="center"/>
          </w:tcPr>
          <w:p w14:paraId="2FCD7338">
            <w:pPr>
              <w:topLinePunct/>
              <w:adjustRightInd w:val="0"/>
              <w:snapToGrid w:val="0"/>
              <w:jc w:val="center"/>
              <w:rPr>
                <w:rFonts w:ascii="Times New Roman" w:eastAsia="仿宋"/>
                <w:szCs w:val="21"/>
              </w:rPr>
            </w:pPr>
            <w:r>
              <w:rPr>
                <w:rFonts w:ascii="Times New Roman" w:eastAsia="仿宋"/>
                <w:szCs w:val="21"/>
              </w:rPr>
              <w:t>产废周期</w:t>
            </w:r>
          </w:p>
        </w:tc>
        <w:tc>
          <w:tcPr>
            <w:tcW w:w="851" w:type="dxa"/>
            <w:vAlign w:val="center"/>
          </w:tcPr>
          <w:p w14:paraId="423E39B6">
            <w:pPr>
              <w:topLinePunct/>
              <w:adjustRightInd w:val="0"/>
              <w:snapToGrid w:val="0"/>
              <w:jc w:val="center"/>
              <w:rPr>
                <w:rFonts w:ascii="Times New Roman" w:eastAsia="仿宋"/>
                <w:szCs w:val="21"/>
              </w:rPr>
            </w:pPr>
            <w:r>
              <w:rPr>
                <w:rFonts w:ascii="Times New Roman" w:eastAsia="仿宋"/>
                <w:szCs w:val="21"/>
              </w:rPr>
              <w:t>危险</w:t>
            </w:r>
          </w:p>
          <w:p w14:paraId="5DD78232">
            <w:pPr>
              <w:topLinePunct/>
              <w:adjustRightInd w:val="0"/>
              <w:snapToGrid w:val="0"/>
              <w:jc w:val="center"/>
              <w:rPr>
                <w:rFonts w:ascii="Times New Roman" w:eastAsia="仿宋"/>
                <w:szCs w:val="21"/>
              </w:rPr>
            </w:pPr>
            <w:r>
              <w:rPr>
                <w:rFonts w:ascii="Times New Roman" w:eastAsia="仿宋"/>
                <w:szCs w:val="21"/>
              </w:rPr>
              <w:t>特性</w:t>
            </w:r>
          </w:p>
        </w:tc>
        <w:tc>
          <w:tcPr>
            <w:tcW w:w="1086" w:type="dxa"/>
            <w:vAlign w:val="center"/>
          </w:tcPr>
          <w:p w14:paraId="6D3CF22A">
            <w:pPr>
              <w:topLinePunct/>
              <w:adjustRightInd w:val="0"/>
              <w:snapToGrid w:val="0"/>
              <w:jc w:val="center"/>
              <w:rPr>
                <w:rFonts w:ascii="Times New Roman" w:eastAsia="仿宋"/>
                <w:szCs w:val="21"/>
              </w:rPr>
            </w:pPr>
            <w:r>
              <w:rPr>
                <w:rFonts w:ascii="Times New Roman" w:eastAsia="仿宋"/>
                <w:szCs w:val="21"/>
              </w:rPr>
              <w:t>污染防治措施</w:t>
            </w:r>
          </w:p>
        </w:tc>
      </w:tr>
      <w:tr w14:paraId="4ABB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81" w:type="dxa"/>
            <w:vAlign w:val="center"/>
          </w:tcPr>
          <w:p w14:paraId="3306B02F">
            <w:pPr>
              <w:topLinePunct/>
              <w:adjustRightInd w:val="0"/>
              <w:snapToGrid w:val="0"/>
              <w:jc w:val="center"/>
              <w:rPr>
                <w:rFonts w:ascii="Times New Roman" w:eastAsia="仿宋"/>
                <w:szCs w:val="21"/>
              </w:rPr>
            </w:pPr>
            <w:r>
              <w:rPr>
                <w:rFonts w:ascii="Times New Roman" w:eastAsia="仿宋"/>
                <w:szCs w:val="21"/>
              </w:rPr>
              <w:t>1</w:t>
            </w:r>
          </w:p>
        </w:tc>
        <w:tc>
          <w:tcPr>
            <w:tcW w:w="1610" w:type="dxa"/>
            <w:vAlign w:val="center"/>
          </w:tcPr>
          <w:p w14:paraId="670025EC">
            <w:pPr>
              <w:topLinePunct/>
              <w:adjustRightInd w:val="0"/>
              <w:snapToGrid w:val="0"/>
              <w:jc w:val="center"/>
              <w:rPr>
                <w:rFonts w:ascii="Times New Roman" w:eastAsia="仿宋"/>
                <w:szCs w:val="21"/>
              </w:rPr>
            </w:pPr>
            <w:r>
              <w:rPr>
                <w:rFonts w:ascii="Times New Roman" w:eastAsia="仿宋"/>
                <w:szCs w:val="21"/>
              </w:rPr>
              <w:t>生活垃圾</w:t>
            </w:r>
          </w:p>
        </w:tc>
        <w:tc>
          <w:tcPr>
            <w:tcW w:w="864" w:type="dxa"/>
            <w:vMerge w:val="restart"/>
            <w:vAlign w:val="center"/>
          </w:tcPr>
          <w:p w14:paraId="5D75FF4F">
            <w:pPr>
              <w:topLinePunct/>
              <w:adjustRightInd w:val="0"/>
              <w:snapToGrid w:val="0"/>
              <w:jc w:val="center"/>
              <w:rPr>
                <w:rFonts w:ascii="Times New Roman" w:eastAsia="仿宋"/>
                <w:szCs w:val="21"/>
              </w:rPr>
            </w:pPr>
            <w:r>
              <w:rPr>
                <w:rFonts w:hint="eastAsia" w:ascii="Times New Roman" w:eastAsia="仿宋"/>
                <w:szCs w:val="21"/>
              </w:rPr>
              <w:t>一般固废</w:t>
            </w:r>
          </w:p>
        </w:tc>
        <w:tc>
          <w:tcPr>
            <w:tcW w:w="1102" w:type="dxa"/>
            <w:vAlign w:val="center"/>
          </w:tcPr>
          <w:p w14:paraId="60D45970">
            <w:pPr>
              <w:topLinePunct/>
              <w:adjustRightInd w:val="0"/>
              <w:snapToGrid w:val="0"/>
              <w:jc w:val="center"/>
              <w:rPr>
                <w:rFonts w:ascii="Times New Roman" w:eastAsia="仿宋"/>
                <w:szCs w:val="21"/>
              </w:rPr>
            </w:pPr>
            <w:r>
              <w:rPr>
                <w:rFonts w:hint="eastAsia" w:ascii="Times New Roman" w:eastAsia="仿宋"/>
                <w:szCs w:val="21"/>
              </w:rPr>
              <w:t>SW60</w:t>
            </w:r>
          </w:p>
        </w:tc>
        <w:tc>
          <w:tcPr>
            <w:tcW w:w="1634" w:type="dxa"/>
            <w:vAlign w:val="center"/>
          </w:tcPr>
          <w:p w14:paraId="025B4E06">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S60</w:t>
            </w:r>
          </w:p>
        </w:tc>
        <w:tc>
          <w:tcPr>
            <w:tcW w:w="849" w:type="dxa"/>
            <w:vAlign w:val="center"/>
          </w:tcPr>
          <w:p w14:paraId="456D6A0A">
            <w:pPr>
              <w:topLinePunct/>
              <w:adjustRightInd w:val="0"/>
              <w:snapToGrid w:val="0"/>
              <w:jc w:val="center"/>
              <w:rPr>
                <w:rFonts w:ascii="Times New Roman" w:eastAsia="仿宋"/>
                <w:szCs w:val="21"/>
              </w:rPr>
            </w:pPr>
            <w:r>
              <w:rPr>
                <w:rFonts w:hint="eastAsia" w:ascii="Times New Roman" w:eastAsia="仿宋"/>
                <w:szCs w:val="21"/>
              </w:rPr>
              <w:t>22.5</w:t>
            </w:r>
          </w:p>
        </w:tc>
        <w:tc>
          <w:tcPr>
            <w:tcW w:w="1350" w:type="dxa"/>
            <w:vAlign w:val="center"/>
          </w:tcPr>
          <w:p w14:paraId="3D7FC9FC">
            <w:pPr>
              <w:topLinePunct/>
              <w:adjustRightInd w:val="0"/>
              <w:snapToGrid w:val="0"/>
              <w:jc w:val="center"/>
              <w:rPr>
                <w:rFonts w:ascii="Times New Roman" w:eastAsia="仿宋"/>
                <w:szCs w:val="21"/>
              </w:rPr>
            </w:pPr>
            <w:r>
              <w:rPr>
                <w:rFonts w:ascii="Times New Roman" w:eastAsia="仿宋"/>
                <w:szCs w:val="21"/>
              </w:rPr>
              <w:t>/</w:t>
            </w:r>
          </w:p>
        </w:tc>
        <w:tc>
          <w:tcPr>
            <w:tcW w:w="765" w:type="dxa"/>
            <w:vAlign w:val="center"/>
          </w:tcPr>
          <w:p w14:paraId="0B4F75D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D1933B7">
            <w:pPr>
              <w:topLinePunct/>
              <w:adjustRightInd w:val="0"/>
              <w:snapToGrid w:val="0"/>
              <w:jc w:val="center"/>
              <w:rPr>
                <w:rFonts w:ascii="Times New Roman" w:eastAsia="仿宋"/>
                <w:szCs w:val="21"/>
              </w:rPr>
            </w:pPr>
            <w:r>
              <w:rPr>
                <w:rFonts w:ascii="Times New Roman" w:eastAsia="仿宋"/>
                <w:szCs w:val="21"/>
              </w:rPr>
              <w:t>/</w:t>
            </w:r>
          </w:p>
        </w:tc>
        <w:tc>
          <w:tcPr>
            <w:tcW w:w="987" w:type="dxa"/>
            <w:vAlign w:val="center"/>
          </w:tcPr>
          <w:p w14:paraId="50CA6785">
            <w:pPr>
              <w:topLinePunct/>
              <w:adjustRightInd w:val="0"/>
              <w:snapToGrid w:val="0"/>
              <w:jc w:val="center"/>
              <w:rPr>
                <w:rFonts w:ascii="Times New Roman" w:eastAsia="仿宋"/>
                <w:szCs w:val="21"/>
              </w:rPr>
            </w:pPr>
            <w:r>
              <w:rPr>
                <w:rFonts w:ascii="Times New Roman" w:eastAsia="仿宋"/>
                <w:szCs w:val="21"/>
              </w:rPr>
              <w:t>/</w:t>
            </w:r>
          </w:p>
        </w:tc>
        <w:tc>
          <w:tcPr>
            <w:tcW w:w="992" w:type="dxa"/>
            <w:vAlign w:val="center"/>
          </w:tcPr>
          <w:p w14:paraId="450DD0F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943DCA7">
            <w:pPr>
              <w:topLinePunct/>
              <w:adjustRightInd w:val="0"/>
              <w:snapToGrid w:val="0"/>
              <w:jc w:val="center"/>
              <w:rPr>
                <w:rFonts w:ascii="Times New Roman" w:eastAsia="仿宋"/>
                <w:szCs w:val="21"/>
              </w:rPr>
            </w:pPr>
            <w:r>
              <w:rPr>
                <w:rFonts w:ascii="Times New Roman" w:eastAsia="仿宋"/>
                <w:szCs w:val="21"/>
              </w:rPr>
              <w:t>/</w:t>
            </w:r>
          </w:p>
        </w:tc>
        <w:tc>
          <w:tcPr>
            <w:tcW w:w="1086" w:type="dxa"/>
            <w:vAlign w:val="center"/>
          </w:tcPr>
          <w:p w14:paraId="07F60A6F">
            <w:pPr>
              <w:topLinePunct/>
              <w:adjustRightInd w:val="0"/>
              <w:snapToGrid w:val="0"/>
              <w:jc w:val="center"/>
              <w:rPr>
                <w:rFonts w:ascii="Times New Roman" w:eastAsia="仿宋"/>
                <w:szCs w:val="21"/>
              </w:rPr>
            </w:pPr>
            <w:r>
              <w:rPr>
                <w:rFonts w:ascii="Times New Roman" w:eastAsia="仿宋"/>
                <w:szCs w:val="21"/>
              </w:rPr>
              <w:t>由环卫部门清运</w:t>
            </w:r>
            <w:r>
              <w:rPr>
                <w:rFonts w:hint="eastAsia" w:ascii="Times New Roman" w:eastAsia="仿宋"/>
                <w:szCs w:val="21"/>
              </w:rPr>
              <w:t>处置</w:t>
            </w:r>
          </w:p>
        </w:tc>
      </w:tr>
      <w:tr w14:paraId="0E30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8567769">
            <w:pPr>
              <w:topLinePunct/>
              <w:adjustRightInd w:val="0"/>
              <w:snapToGrid w:val="0"/>
              <w:jc w:val="center"/>
              <w:rPr>
                <w:rFonts w:ascii="Times New Roman" w:eastAsia="仿宋"/>
                <w:szCs w:val="21"/>
              </w:rPr>
            </w:pPr>
            <w:r>
              <w:rPr>
                <w:rFonts w:ascii="Times New Roman" w:eastAsia="仿宋"/>
                <w:szCs w:val="21"/>
              </w:rPr>
              <w:t>2</w:t>
            </w:r>
          </w:p>
        </w:tc>
        <w:tc>
          <w:tcPr>
            <w:tcW w:w="1610" w:type="dxa"/>
            <w:vAlign w:val="center"/>
          </w:tcPr>
          <w:p w14:paraId="33449E26">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边角料</w:t>
            </w:r>
          </w:p>
        </w:tc>
        <w:tc>
          <w:tcPr>
            <w:tcW w:w="864" w:type="dxa"/>
            <w:vMerge w:val="continue"/>
            <w:vAlign w:val="center"/>
          </w:tcPr>
          <w:p w14:paraId="1D014D33">
            <w:pPr>
              <w:topLinePunct/>
              <w:adjustRightInd w:val="0"/>
              <w:snapToGrid w:val="0"/>
              <w:jc w:val="center"/>
              <w:rPr>
                <w:rFonts w:ascii="Times New Roman" w:eastAsia="仿宋"/>
                <w:szCs w:val="21"/>
              </w:rPr>
            </w:pPr>
          </w:p>
        </w:tc>
        <w:tc>
          <w:tcPr>
            <w:tcW w:w="1102" w:type="dxa"/>
            <w:vAlign w:val="center"/>
          </w:tcPr>
          <w:p w14:paraId="3CB571F0">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3E0D4C37">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0CCF9EBD">
            <w:pPr>
              <w:topLinePunct/>
              <w:adjustRightInd w:val="0"/>
              <w:snapToGrid w:val="0"/>
              <w:jc w:val="center"/>
              <w:rPr>
                <w:rFonts w:ascii="Times New Roman" w:eastAsia="仿宋"/>
                <w:szCs w:val="21"/>
              </w:rPr>
            </w:pPr>
            <w:r>
              <w:rPr>
                <w:rFonts w:hint="eastAsia" w:ascii="Times New Roman" w:eastAsia="仿宋"/>
                <w:szCs w:val="21"/>
              </w:rPr>
              <w:t>25</w:t>
            </w:r>
          </w:p>
        </w:tc>
        <w:tc>
          <w:tcPr>
            <w:tcW w:w="1350" w:type="dxa"/>
            <w:vAlign w:val="center"/>
          </w:tcPr>
          <w:p w14:paraId="07E84D1A">
            <w:pPr>
              <w:topLinePunct/>
              <w:adjustRightInd w:val="0"/>
              <w:snapToGrid w:val="0"/>
              <w:jc w:val="center"/>
              <w:rPr>
                <w:rFonts w:ascii="Times New Roman" w:eastAsia="仿宋"/>
                <w:szCs w:val="21"/>
              </w:rPr>
            </w:pPr>
            <w:r>
              <w:rPr>
                <w:rFonts w:hint="eastAsia" w:ascii="Times New Roman" w:eastAsia="仿宋"/>
                <w:szCs w:val="21"/>
              </w:rPr>
              <w:t>切割、剪板、雕刻</w:t>
            </w:r>
          </w:p>
        </w:tc>
        <w:tc>
          <w:tcPr>
            <w:tcW w:w="765" w:type="dxa"/>
            <w:vAlign w:val="center"/>
          </w:tcPr>
          <w:p w14:paraId="1E710640">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8689B69">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704E8227">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14D5FF2D">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3655F004">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restart"/>
            <w:vAlign w:val="center"/>
          </w:tcPr>
          <w:p w14:paraId="3FB10EE2">
            <w:pPr>
              <w:topLinePunct/>
              <w:adjustRightInd w:val="0"/>
              <w:snapToGrid w:val="0"/>
              <w:jc w:val="center"/>
              <w:rPr>
                <w:rFonts w:ascii="Times New Roman" w:eastAsia="仿宋"/>
                <w:szCs w:val="21"/>
              </w:rPr>
            </w:pPr>
            <w:r>
              <w:rPr>
                <w:rFonts w:hint="eastAsia" w:ascii="Times New Roman" w:eastAsia="仿宋"/>
                <w:szCs w:val="21"/>
              </w:rPr>
              <w:t>外售相关单位综合利用</w:t>
            </w:r>
          </w:p>
        </w:tc>
      </w:tr>
      <w:tr w14:paraId="73DF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BA4C566">
            <w:pPr>
              <w:topLinePunct/>
              <w:adjustRightInd w:val="0"/>
              <w:snapToGrid w:val="0"/>
              <w:jc w:val="center"/>
              <w:rPr>
                <w:rFonts w:ascii="Times New Roman" w:eastAsia="仿宋"/>
                <w:szCs w:val="21"/>
              </w:rPr>
            </w:pPr>
            <w:r>
              <w:rPr>
                <w:rFonts w:ascii="Times New Roman" w:eastAsia="仿宋"/>
                <w:szCs w:val="21"/>
              </w:rPr>
              <w:t>3</w:t>
            </w:r>
          </w:p>
        </w:tc>
        <w:tc>
          <w:tcPr>
            <w:tcW w:w="1610" w:type="dxa"/>
            <w:shd w:val="clear" w:color="auto" w:fill="auto"/>
            <w:vAlign w:val="center"/>
          </w:tcPr>
          <w:p w14:paraId="5FC94496">
            <w:pPr>
              <w:topLinePunct/>
              <w:adjustRightInd w:val="0"/>
              <w:snapToGrid w:val="0"/>
              <w:jc w:val="center"/>
              <w:rPr>
                <w:rFonts w:ascii="Times New Roman" w:eastAsia="仿宋"/>
                <w:szCs w:val="21"/>
              </w:rPr>
            </w:pPr>
            <w:r>
              <w:rPr>
                <w:rFonts w:hint="eastAsia" w:ascii="Times New Roman" w:eastAsia="仿宋"/>
                <w:szCs w:val="21"/>
              </w:rPr>
              <w:t>焊渣</w:t>
            </w:r>
          </w:p>
        </w:tc>
        <w:tc>
          <w:tcPr>
            <w:tcW w:w="864" w:type="dxa"/>
            <w:vMerge w:val="continue"/>
            <w:shd w:val="clear" w:color="auto" w:fill="auto"/>
            <w:vAlign w:val="center"/>
          </w:tcPr>
          <w:p w14:paraId="61FE2E81">
            <w:pPr>
              <w:topLinePunct/>
              <w:adjustRightInd w:val="0"/>
              <w:snapToGrid w:val="0"/>
              <w:jc w:val="center"/>
              <w:rPr>
                <w:rFonts w:ascii="Times New Roman" w:eastAsia="仿宋"/>
                <w:szCs w:val="21"/>
              </w:rPr>
            </w:pPr>
          </w:p>
        </w:tc>
        <w:tc>
          <w:tcPr>
            <w:tcW w:w="1102" w:type="dxa"/>
            <w:shd w:val="clear" w:color="auto" w:fill="auto"/>
            <w:vAlign w:val="center"/>
          </w:tcPr>
          <w:p w14:paraId="05203FAF">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5D577B7E">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67B37D10">
            <w:pPr>
              <w:topLinePunct/>
              <w:adjustRightInd w:val="0"/>
              <w:snapToGrid w:val="0"/>
              <w:jc w:val="center"/>
              <w:rPr>
                <w:rFonts w:ascii="Times New Roman" w:eastAsia="仿宋"/>
                <w:szCs w:val="21"/>
              </w:rPr>
            </w:pPr>
            <w:r>
              <w:rPr>
                <w:rFonts w:hint="eastAsia" w:ascii="Times New Roman" w:eastAsia="仿宋"/>
                <w:szCs w:val="21"/>
              </w:rPr>
              <w:t>0.1</w:t>
            </w:r>
          </w:p>
        </w:tc>
        <w:tc>
          <w:tcPr>
            <w:tcW w:w="1350" w:type="dxa"/>
            <w:shd w:val="clear" w:color="auto" w:fill="auto"/>
            <w:vAlign w:val="center"/>
          </w:tcPr>
          <w:p w14:paraId="33DCEE97">
            <w:pPr>
              <w:topLinePunct/>
              <w:adjustRightInd w:val="0"/>
              <w:snapToGrid w:val="0"/>
              <w:jc w:val="center"/>
              <w:rPr>
                <w:rFonts w:ascii="Times New Roman" w:eastAsia="仿宋"/>
                <w:szCs w:val="21"/>
              </w:rPr>
            </w:pPr>
            <w:r>
              <w:rPr>
                <w:rFonts w:hint="eastAsia" w:ascii="Times New Roman" w:eastAsia="仿宋"/>
                <w:szCs w:val="21"/>
              </w:rPr>
              <w:t>焊接</w:t>
            </w:r>
          </w:p>
        </w:tc>
        <w:tc>
          <w:tcPr>
            <w:tcW w:w="765" w:type="dxa"/>
            <w:shd w:val="clear" w:color="auto" w:fill="auto"/>
            <w:vAlign w:val="center"/>
          </w:tcPr>
          <w:p w14:paraId="4A7F669C">
            <w:pPr>
              <w:topLinePunct/>
              <w:adjustRightInd w:val="0"/>
              <w:snapToGrid w:val="0"/>
              <w:jc w:val="center"/>
              <w:rPr>
                <w:rFonts w:ascii="Times New Roman" w:eastAsia="仿宋"/>
                <w:szCs w:val="21"/>
              </w:rPr>
            </w:pPr>
            <w:r>
              <w:rPr>
                <w:rFonts w:ascii="Times New Roman" w:eastAsia="仿宋"/>
                <w:szCs w:val="21"/>
              </w:rPr>
              <w:t>固态</w:t>
            </w:r>
          </w:p>
        </w:tc>
        <w:tc>
          <w:tcPr>
            <w:tcW w:w="1170" w:type="dxa"/>
            <w:shd w:val="clear" w:color="auto" w:fill="auto"/>
            <w:vAlign w:val="center"/>
          </w:tcPr>
          <w:p w14:paraId="4CF20756">
            <w:pPr>
              <w:topLinePunct/>
              <w:adjustRightInd w:val="0"/>
              <w:snapToGrid w:val="0"/>
              <w:jc w:val="center"/>
              <w:rPr>
                <w:rFonts w:ascii="Times New Roman" w:eastAsia="仿宋"/>
                <w:szCs w:val="21"/>
              </w:rPr>
            </w:pPr>
            <w:r>
              <w:rPr>
                <w:rFonts w:hint="eastAsia" w:ascii="Times New Roman" w:eastAsia="仿宋"/>
                <w:szCs w:val="21"/>
              </w:rPr>
              <w:t>焊渣</w:t>
            </w:r>
          </w:p>
        </w:tc>
        <w:tc>
          <w:tcPr>
            <w:tcW w:w="987" w:type="dxa"/>
            <w:shd w:val="clear" w:color="auto" w:fill="auto"/>
            <w:vAlign w:val="center"/>
          </w:tcPr>
          <w:p w14:paraId="3FA5B8C8">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3375CFE2">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263B1649">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010EAFEB">
            <w:pPr>
              <w:topLinePunct/>
              <w:adjustRightInd w:val="0"/>
              <w:snapToGrid w:val="0"/>
              <w:jc w:val="center"/>
              <w:rPr>
                <w:rFonts w:ascii="Times New Roman" w:eastAsia="仿宋"/>
                <w:szCs w:val="21"/>
              </w:rPr>
            </w:pPr>
          </w:p>
        </w:tc>
      </w:tr>
      <w:tr w14:paraId="3778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7214C63">
            <w:pPr>
              <w:topLinePunct/>
              <w:adjustRightInd w:val="0"/>
              <w:snapToGrid w:val="0"/>
              <w:jc w:val="center"/>
              <w:rPr>
                <w:rFonts w:ascii="Times New Roman" w:eastAsia="仿宋"/>
                <w:szCs w:val="21"/>
              </w:rPr>
            </w:pPr>
            <w:r>
              <w:rPr>
                <w:rFonts w:ascii="Times New Roman" w:eastAsia="仿宋"/>
                <w:szCs w:val="21"/>
              </w:rPr>
              <w:t>4</w:t>
            </w:r>
          </w:p>
        </w:tc>
        <w:tc>
          <w:tcPr>
            <w:tcW w:w="1610" w:type="dxa"/>
            <w:vAlign w:val="center"/>
          </w:tcPr>
          <w:p w14:paraId="3CE1C3A5">
            <w:pPr>
              <w:topLinePunct/>
              <w:adjustRightInd w:val="0"/>
              <w:snapToGrid w:val="0"/>
              <w:jc w:val="center"/>
              <w:rPr>
                <w:rFonts w:ascii="Times New Roman" w:eastAsia="仿宋"/>
                <w:szCs w:val="21"/>
              </w:rPr>
            </w:pPr>
            <w:r>
              <w:rPr>
                <w:rFonts w:hint="eastAsia" w:ascii="Times New Roman" w:eastAsia="仿宋"/>
                <w:szCs w:val="21"/>
              </w:rPr>
              <w:t>不合格品</w:t>
            </w:r>
          </w:p>
        </w:tc>
        <w:tc>
          <w:tcPr>
            <w:tcW w:w="864" w:type="dxa"/>
            <w:vMerge w:val="continue"/>
            <w:vAlign w:val="center"/>
          </w:tcPr>
          <w:p w14:paraId="2B4526A0">
            <w:pPr>
              <w:topLinePunct/>
              <w:adjustRightInd w:val="0"/>
              <w:snapToGrid w:val="0"/>
              <w:jc w:val="center"/>
              <w:rPr>
                <w:rFonts w:ascii="Times New Roman" w:eastAsia="仿宋"/>
                <w:szCs w:val="21"/>
              </w:rPr>
            </w:pPr>
          </w:p>
        </w:tc>
        <w:tc>
          <w:tcPr>
            <w:tcW w:w="1102" w:type="dxa"/>
            <w:vAlign w:val="center"/>
          </w:tcPr>
          <w:p w14:paraId="718F3553">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3A9B790E">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001</w:t>
            </w:r>
            <w:r>
              <w:rPr>
                <w:rFonts w:ascii="Times New Roman" w:eastAsia="仿宋"/>
                <w:szCs w:val="21"/>
              </w:rPr>
              <w:t>-</w:t>
            </w:r>
            <w:r>
              <w:rPr>
                <w:rFonts w:hint="eastAsia" w:ascii="Times New Roman" w:eastAsia="仿宋"/>
                <w:szCs w:val="21"/>
              </w:rPr>
              <w:t>S17</w:t>
            </w:r>
          </w:p>
        </w:tc>
        <w:tc>
          <w:tcPr>
            <w:tcW w:w="849" w:type="dxa"/>
            <w:vAlign w:val="center"/>
          </w:tcPr>
          <w:p w14:paraId="12352C1E">
            <w:pPr>
              <w:topLinePunct/>
              <w:adjustRightInd w:val="0"/>
              <w:snapToGrid w:val="0"/>
              <w:jc w:val="center"/>
              <w:rPr>
                <w:rFonts w:ascii="Times New Roman" w:eastAsia="仿宋"/>
                <w:szCs w:val="21"/>
              </w:rPr>
            </w:pPr>
            <w:r>
              <w:rPr>
                <w:rFonts w:hint="eastAsia" w:ascii="Times New Roman" w:eastAsia="仿宋"/>
                <w:szCs w:val="21"/>
              </w:rPr>
              <w:t>5</w:t>
            </w:r>
          </w:p>
        </w:tc>
        <w:tc>
          <w:tcPr>
            <w:tcW w:w="1350" w:type="dxa"/>
            <w:vAlign w:val="center"/>
          </w:tcPr>
          <w:p w14:paraId="234DD357">
            <w:pPr>
              <w:topLinePunct/>
              <w:adjustRightInd w:val="0"/>
              <w:snapToGrid w:val="0"/>
              <w:jc w:val="center"/>
              <w:rPr>
                <w:rFonts w:ascii="Times New Roman" w:eastAsia="仿宋"/>
                <w:szCs w:val="21"/>
              </w:rPr>
            </w:pPr>
            <w:r>
              <w:rPr>
                <w:rFonts w:hint="eastAsia" w:ascii="Times New Roman" w:eastAsia="仿宋"/>
                <w:szCs w:val="21"/>
              </w:rPr>
              <w:t>检验</w:t>
            </w:r>
          </w:p>
        </w:tc>
        <w:tc>
          <w:tcPr>
            <w:tcW w:w="765" w:type="dxa"/>
            <w:vAlign w:val="center"/>
          </w:tcPr>
          <w:p w14:paraId="1CFF73E3">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5FFA9A88">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65C18F89">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105EFB7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7BA07546">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1770EC5B">
            <w:pPr>
              <w:topLinePunct/>
              <w:adjustRightInd w:val="0"/>
              <w:snapToGrid w:val="0"/>
              <w:jc w:val="center"/>
              <w:rPr>
                <w:rFonts w:ascii="Times New Roman" w:eastAsia="仿宋"/>
                <w:szCs w:val="21"/>
              </w:rPr>
            </w:pPr>
          </w:p>
        </w:tc>
      </w:tr>
      <w:tr w14:paraId="371A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0AE5467">
            <w:pPr>
              <w:topLinePunct/>
              <w:adjustRightInd w:val="0"/>
              <w:snapToGrid w:val="0"/>
              <w:jc w:val="center"/>
              <w:rPr>
                <w:rFonts w:ascii="Times New Roman" w:eastAsia="仿宋"/>
                <w:szCs w:val="21"/>
              </w:rPr>
            </w:pPr>
            <w:r>
              <w:rPr>
                <w:rFonts w:hint="eastAsia" w:ascii="Times New Roman" w:eastAsia="仿宋"/>
                <w:szCs w:val="21"/>
              </w:rPr>
              <w:t>5</w:t>
            </w:r>
          </w:p>
        </w:tc>
        <w:tc>
          <w:tcPr>
            <w:tcW w:w="1610" w:type="dxa"/>
            <w:vAlign w:val="center"/>
          </w:tcPr>
          <w:p w14:paraId="3EF84A4A">
            <w:pPr>
              <w:topLinePunct/>
              <w:adjustRightInd w:val="0"/>
              <w:snapToGrid w:val="0"/>
              <w:jc w:val="center"/>
              <w:rPr>
                <w:rFonts w:ascii="Times New Roman" w:eastAsia="仿宋"/>
                <w:szCs w:val="21"/>
              </w:rPr>
            </w:pPr>
            <w:r>
              <w:rPr>
                <w:rFonts w:hint="eastAsia" w:ascii="Times New Roman" w:eastAsia="仿宋"/>
                <w:szCs w:val="21"/>
              </w:rPr>
              <w:t>废塑粉</w:t>
            </w:r>
          </w:p>
        </w:tc>
        <w:tc>
          <w:tcPr>
            <w:tcW w:w="864" w:type="dxa"/>
            <w:vMerge w:val="continue"/>
            <w:vAlign w:val="center"/>
          </w:tcPr>
          <w:p w14:paraId="7093A635">
            <w:pPr>
              <w:topLinePunct/>
              <w:adjustRightInd w:val="0"/>
              <w:snapToGrid w:val="0"/>
              <w:jc w:val="center"/>
              <w:rPr>
                <w:rFonts w:ascii="Times New Roman" w:eastAsia="仿宋"/>
                <w:szCs w:val="21"/>
              </w:rPr>
            </w:pPr>
          </w:p>
        </w:tc>
        <w:tc>
          <w:tcPr>
            <w:tcW w:w="1102" w:type="dxa"/>
            <w:vAlign w:val="center"/>
          </w:tcPr>
          <w:p w14:paraId="016F0637">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02BD354C">
            <w:pPr>
              <w:topLinePunct/>
              <w:adjustRightInd w:val="0"/>
              <w:snapToGrid w:val="0"/>
              <w:jc w:val="center"/>
              <w:rPr>
                <w:rFonts w:ascii="Times New Roman" w:eastAsia="仿宋"/>
                <w:szCs w:val="21"/>
              </w:rPr>
            </w:pPr>
            <w:r>
              <w:rPr>
                <w:rFonts w:hint="eastAsia" w:ascii="Times New Roman" w:eastAsia="仿宋"/>
                <w:szCs w:val="21"/>
              </w:rPr>
              <w:t>900-003-S17</w:t>
            </w:r>
          </w:p>
        </w:tc>
        <w:tc>
          <w:tcPr>
            <w:tcW w:w="849" w:type="dxa"/>
            <w:vAlign w:val="center"/>
          </w:tcPr>
          <w:p w14:paraId="286FED47">
            <w:pPr>
              <w:topLinePunct/>
              <w:adjustRightInd w:val="0"/>
              <w:snapToGrid w:val="0"/>
              <w:jc w:val="center"/>
              <w:rPr>
                <w:rFonts w:ascii="Times New Roman" w:eastAsia="仿宋"/>
                <w:szCs w:val="21"/>
              </w:rPr>
            </w:pPr>
            <w:r>
              <w:rPr>
                <w:rFonts w:ascii="Times New Roman" w:eastAsia="仿宋"/>
                <w:szCs w:val="21"/>
              </w:rPr>
              <w:t>8</w:t>
            </w:r>
            <w:r>
              <w:rPr>
                <w:rFonts w:hint="eastAsia" w:ascii="Times New Roman" w:eastAsia="仿宋"/>
                <w:szCs w:val="21"/>
              </w:rPr>
              <w:t>.</w:t>
            </w:r>
            <w:r>
              <w:rPr>
                <w:rFonts w:ascii="Times New Roman" w:eastAsia="仿宋"/>
                <w:szCs w:val="21"/>
              </w:rPr>
              <w:t>2</w:t>
            </w:r>
          </w:p>
        </w:tc>
        <w:tc>
          <w:tcPr>
            <w:tcW w:w="1350" w:type="dxa"/>
            <w:vAlign w:val="center"/>
          </w:tcPr>
          <w:p w14:paraId="1C88A76F">
            <w:pPr>
              <w:topLinePunct/>
              <w:adjustRightInd w:val="0"/>
              <w:snapToGrid w:val="0"/>
              <w:jc w:val="center"/>
              <w:rPr>
                <w:rFonts w:ascii="Times New Roman" w:eastAsia="仿宋"/>
                <w:szCs w:val="21"/>
              </w:rPr>
            </w:pPr>
            <w:r>
              <w:rPr>
                <w:rFonts w:hint="eastAsia" w:ascii="Times New Roman" w:eastAsia="仿宋"/>
                <w:szCs w:val="21"/>
              </w:rPr>
              <w:t>喷塑</w:t>
            </w:r>
          </w:p>
        </w:tc>
        <w:tc>
          <w:tcPr>
            <w:tcW w:w="765" w:type="dxa"/>
            <w:vAlign w:val="center"/>
          </w:tcPr>
          <w:p w14:paraId="62FB1FFC">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4F2328AB">
            <w:pPr>
              <w:topLinePunct/>
              <w:adjustRightInd w:val="0"/>
              <w:snapToGrid w:val="0"/>
              <w:jc w:val="center"/>
              <w:rPr>
                <w:rFonts w:ascii="Times New Roman" w:eastAsia="仿宋"/>
                <w:szCs w:val="21"/>
              </w:rPr>
            </w:pPr>
            <w:r>
              <w:rPr>
                <w:rFonts w:hint="eastAsia" w:ascii="Times New Roman" w:eastAsia="仿宋"/>
                <w:szCs w:val="21"/>
              </w:rPr>
              <w:t>塑粉</w:t>
            </w:r>
          </w:p>
        </w:tc>
        <w:tc>
          <w:tcPr>
            <w:tcW w:w="987" w:type="dxa"/>
            <w:vAlign w:val="center"/>
          </w:tcPr>
          <w:p w14:paraId="0716CAEC">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71024BBC">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633DB53E">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5585387">
            <w:pPr>
              <w:topLinePunct/>
              <w:adjustRightInd w:val="0"/>
              <w:snapToGrid w:val="0"/>
              <w:jc w:val="center"/>
              <w:rPr>
                <w:rFonts w:ascii="Times New Roman" w:eastAsia="仿宋"/>
                <w:szCs w:val="21"/>
              </w:rPr>
            </w:pPr>
          </w:p>
        </w:tc>
      </w:tr>
      <w:tr w14:paraId="3A6C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E714126">
            <w:pPr>
              <w:topLinePunct/>
              <w:adjustRightInd w:val="0"/>
              <w:snapToGrid w:val="0"/>
              <w:jc w:val="center"/>
              <w:rPr>
                <w:rFonts w:ascii="Times New Roman" w:eastAsia="仿宋"/>
                <w:szCs w:val="21"/>
              </w:rPr>
            </w:pPr>
            <w:r>
              <w:rPr>
                <w:rFonts w:ascii="Times New Roman" w:eastAsia="仿宋"/>
                <w:szCs w:val="21"/>
              </w:rPr>
              <w:t>6</w:t>
            </w:r>
          </w:p>
        </w:tc>
        <w:tc>
          <w:tcPr>
            <w:tcW w:w="1610" w:type="dxa"/>
            <w:vAlign w:val="center"/>
          </w:tcPr>
          <w:p w14:paraId="4E6A0799">
            <w:pPr>
              <w:topLinePunct/>
              <w:adjustRightInd w:val="0"/>
              <w:snapToGrid w:val="0"/>
              <w:jc w:val="center"/>
              <w:rPr>
                <w:rFonts w:ascii="Times New Roman" w:eastAsia="仿宋"/>
                <w:szCs w:val="21"/>
              </w:rPr>
            </w:pPr>
            <w:r>
              <w:rPr>
                <w:rFonts w:hint="eastAsia" w:ascii="Times New Roman" w:eastAsia="仿宋"/>
                <w:szCs w:val="21"/>
              </w:rPr>
              <w:t>废一般包装</w:t>
            </w:r>
          </w:p>
        </w:tc>
        <w:tc>
          <w:tcPr>
            <w:tcW w:w="864" w:type="dxa"/>
            <w:vMerge w:val="continue"/>
            <w:vAlign w:val="center"/>
          </w:tcPr>
          <w:p w14:paraId="28FC2DE7">
            <w:pPr>
              <w:topLinePunct/>
              <w:adjustRightInd w:val="0"/>
              <w:snapToGrid w:val="0"/>
              <w:jc w:val="center"/>
              <w:rPr>
                <w:rFonts w:ascii="Times New Roman" w:eastAsia="仿宋"/>
                <w:szCs w:val="21"/>
              </w:rPr>
            </w:pPr>
          </w:p>
        </w:tc>
        <w:tc>
          <w:tcPr>
            <w:tcW w:w="1102" w:type="dxa"/>
            <w:vAlign w:val="center"/>
          </w:tcPr>
          <w:p w14:paraId="562DF574">
            <w:pPr>
              <w:topLinePunct/>
              <w:adjustRightInd w:val="0"/>
              <w:snapToGrid w:val="0"/>
              <w:jc w:val="center"/>
              <w:rPr>
                <w:rFonts w:ascii="Times New Roman" w:eastAsia="仿宋"/>
                <w:szCs w:val="21"/>
              </w:rPr>
            </w:pPr>
            <w:r>
              <w:rPr>
                <w:rFonts w:hint="eastAsia" w:ascii="Times New Roman" w:eastAsia="仿宋"/>
                <w:szCs w:val="21"/>
              </w:rPr>
              <w:t>SW17</w:t>
            </w:r>
          </w:p>
        </w:tc>
        <w:tc>
          <w:tcPr>
            <w:tcW w:w="1634" w:type="dxa"/>
            <w:vAlign w:val="center"/>
          </w:tcPr>
          <w:p w14:paraId="426A3A56">
            <w:pPr>
              <w:topLinePunct/>
              <w:adjustRightInd w:val="0"/>
              <w:snapToGrid w:val="0"/>
              <w:jc w:val="center"/>
              <w:rPr>
                <w:rFonts w:ascii="Times New Roman" w:eastAsia="仿宋"/>
                <w:szCs w:val="21"/>
              </w:rPr>
            </w:pPr>
            <w:r>
              <w:rPr>
                <w:rFonts w:ascii="Times New Roman" w:eastAsia="仿宋"/>
                <w:szCs w:val="21"/>
              </w:rPr>
              <w:t>900-</w:t>
            </w:r>
            <w:r>
              <w:rPr>
                <w:rFonts w:hint="eastAsia" w:ascii="Times New Roman" w:eastAsia="仿宋"/>
                <w:szCs w:val="21"/>
              </w:rPr>
              <w:t>003</w:t>
            </w:r>
            <w:r>
              <w:rPr>
                <w:rFonts w:ascii="Times New Roman" w:eastAsia="仿宋"/>
                <w:szCs w:val="21"/>
              </w:rPr>
              <w:t>-</w:t>
            </w:r>
            <w:r>
              <w:rPr>
                <w:rFonts w:hint="eastAsia" w:ascii="Times New Roman" w:eastAsia="仿宋"/>
                <w:szCs w:val="21"/>
              </w:rPr>
              <w:t>S17</w:t>
            </w:r>
          </w:p>
        </w:tc>
        <w:tc>
          <w:tcPr>
            <w:tcW w:w="849" w:type="dxa"/>
            <w:vAlign w:val="center"/>
          </w:tcPr>
          <w:p w14:paraId="10885420">
            <w:pPr>
              <w:topLinePunct/>
              <w:adjustRightInd w:val="0"/>
              <w:snapToGrid w:val="0"/>
              <w:jc w:val="center"/>
              <w:rPr>
                <w:rFonts w:ascii="Times New Roman" w:eastAsia="仿宋"/>
                <w:szCs w:val="21"/>
              </w:rPr>
            </w:pPr>
            <w:r>
              <w:rPr>
                <w:rFonts w:hint="eastAsia" w:ascii="Times New Roman" w:eastAsia="仿宋"/>
                <w:szCs w:val="21"/>
              </w:rPr>
              <w:t>0.5</w:t>
            </w:r>
          </w:p>
        </w:tc>
        <w:tc>
          <w:tcPr>
            <w:tcW w:w="1350" w:type="dxa"/>
            <w:vAlign w:val="center"/>
          </w:tcPr>
          <w:p w14:paraId="07806159">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290CAEF4">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41CF8200">
            <w:pPr>
              <w:topLinePunct/>
              <w:adjustRightInd w:val="0"/>
              <w:snapToGrid w:val="0"/>
              <w:jc w:val="center"/>
              <w:rPr>
                <w:rFonts w:ascii="Times New Roman" w:eastAsia="仿宋"/>
                <w:szCs w:val="21"/>
              </w:rPr>
            </w:pPr>
            <w:r>
              <w:rPr>
                <w:rFonts w:hint="eastAsia" w:ascii="Times New Roman" w:eastAsia="仿宋"/>
                <w:szCs w:val="21"/>
              </w:rPr>
              <w:t>塑料等</w:t>
            </w:r>
          </w:p>
        </w:tc>
        <w:tc>
          <w:tcPr>
            <w:tcW w:w="987" w:type="dxa"/>
            <w:vAlign w:val="center"/>
          </w:tcPr>
          <w:p w14:paraId="2C0AD400">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15A24790">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51E625A0">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3EDC5598">
            <w:pPr>
              <w:topLinePunct/>
              <w:adjustRightInd w:val="0"/>
              <w:snapToGrid w:val="0"/>
              <w:jc w:val="center"/>
              <w:rPr>
                <w:rFonts w:ascii="Times New Roman" w:eastAsia="仿宋"/>
                <w:szCs w:val="21"/>
              </w:rPr>
            </w:pPr>
          </w:p>
        </w:tc>
      </w:tr>
      <w:tr w14:paraId="4ADD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6BBD911">
            <w:pPr>
              <w:topLinePunct/>
              <w:adjustRightInd w:val="0"/>
              <w:snapToGrid w:val="0"/>
              <w:jc w:val="center"/>
              <w:rPr>
                <w:rFonts w:ascii="Times New Roman" w:eastAsia="仿宋"/>
                <w:szCs w:val="21"/>
              </w:rPr>
            </w:pPr>
            <w:r>
              <w:rPr>
                <w:rFonts w:ascii="Times New Roman" w:eastAsia="仿宋"/>
                <w:szCs w:val="21"/>
              </w:rPr>
              <w:t>7</w:t>
            </w:r>
          </w:p>
        </w:tc>
        <w:tc>
          <w:tcPr>
            <w:tcW w:w="1610" w:type="dxa"/>
            <w:vAlign w:val="center"/>
          </w:tcPr>
          <w:p w14:paraId="607D8207">
            <w:pPr>
              <w:topLinePunct/>
              <w:adjustRightInd w:val="0"/>
              <w:snapToGrid w:val="0"/>
              <w:jc w:val="center"/>
              <w:rPr>
                <w:rFonts w:ascii="Times New Roman" w:eastAsia="仿宋"/>
                <w:szCs w:val="21"/>
              </w:rPr>
            </w:pPr>
            <w:r>
              <w:rPr>
                <w:rFonts w:hint="eastAsia" w:ascii="Times New Roman" w:eastAsia="仿宋"/>
                <w:szCs w:val="21"/>
              </w:rPr>
              <w:t>废滤筒</w:t>
            </w:r>
          </w:p>
        </w:tc>
        <w:tc>
          <w:tcPr>
            <w:tcW w:w="864" w:type="dxa"/>
            <w:vMerge w:val="continue"/>
            <w:vAlign w:val="center"/>
          </w:tcPr>
          <w:p w14:paraId="3D851CB5">
            <w:pPr>
              <w:topLinePunct/>
              <w:adjustRightInd w:val="0"/>
              <w:snapToGrid w:val="0"/>
              <w:jc w:val="center"/>
              <w:rPr>
                <w:rFonts w:ascii="Times New Roman" w:eastAsia="仿宋"/>
                <w:szCs w:val="21"/>
              </w:rPr>
            </w:pPr>
          </w:p>
        </w:tc>
        <w:tc>
          <w:tcPr>
            <w:tcW w:w="1102" w:type="dxa"/>
            <w:vAlign w:val="center"/>
          </w:tcPr>
          <w:p w14:paraId="3E2F466D">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2AFD8601">
            <w:pPr>
              <w:topLinePunct/>
              <w:adjustRightInd w:val="0"/>
              <w:snapToGrid w:val="0"/>
              <w:jc w:val="center"/>
              <w:rPr>
                <w:rFonts w:ascii="Times New Roman" w:eastAsia="仿宋"/>
                <w:szCs w:val="21"/>
              </w:rPr>
            </w:pPr>
            <w:r>
              <w:rPr>
                <w:rFonts w:hint="eastAsia" w:ascii="Times New Roman" w:eastAsia="仿宋"/>
                <w:szCs w:val="21"/>
              </w:rPr>
              <w:t>900-009-S59</w:t>
            </w:r>
          </w:p>
        </w:tc>
        <w:tc>
          <w:tcPr>
            <w:tcW w:w="849" w:type="dxa"/>
            <w:vAlign w:val="center"/>
          </w:tcPr>
          <w:p w14:paraId="55FDFAE4">
            <w:pPr>
              <w:topLinePunct/>
              <w:adjustRightInd w:val="0"/>
              <w:snapToGrid w:val="0"/>
              <w:jc w:val="center"/>
              <w:rPr>
                <w:rFonts w:ascii="Times New Roman" w:eastAsia="仿宋"/>
                <w:szCs w:val="21"/>
              </w:rPr>
            </w:pPr>
            <w:r>
              <w:rPr>
                <w:rFonts w:ascii="Times New Roman" w:eastAsia="仿宋"/>
                <w:szCs w:val="21"/>
              </w:rPr>
              <w:t>2</w:t>
            </w:r>
          </w:p>
        </w:tc>
        <w:tc>
          <w:tcPr>
            <w:tcW w:w="1350" w:type="dxa"/>
            <w:vAlign w:val="center"/>
          </w:tcPr>
          <w:p w14:paraId="41E6C0C3">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7C7546E7">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6456C46">
            <w:pPr>
              <w:topLinePunct/>
              <w:adjustRightInd w:val="0"/>
              <w:snapToGrid w:val="0"/>
              <w:jc w:val="center"/>
              <w:rPr>
                <w:rFonts w:ascii="Times New Roman" w:eastAsia="仿宋"/>
                <w:szCs w:val="21"/>
              </w:rPr>
            </w:pPr>
            <w:r>
              <w:rPr>
                <w:rFonts w:hint="eastAsia" w:ascii="Times New Roman" w:eastAsia="仿宋"/>
                <w:szCs w:val="21"/>
              </w:rPr>
              <w:t>滤筒</w:t>
            </w:r>
          </w:p>
        </w:tc>
        <w:tc>
          <w:tcPr>
            <w:tcW w:w="987" w:type="dxa"/>
            <w:vAlign w:val="center"/>
          </w:tcPr>
          <w:p w14:paraId="1C68D36F">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53E7B7AB">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6F86A68D">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299B84D8">
            <w:pPr>
              <w:topLinePunct/>
              <w:adjustRightInd w:val="0"/>
              <w:snapToGrid w:val="0"/>
              <w:jc w:val="center"/>
              <w:rPr>
                <w:rFonts w:ascii="Times New Roman" w:eastAsia="仿宋"/>
                <w:szCs w:val="21"/>
              </w:rPr>
            </w:pPr>
          </w:p>
        </w:tc>
      </w:tr>
      <w:tr w14:paraId="4522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43E3E20">
            <w:pPr>
              <w:topLinePunct/>
              <w:adjustRightInd w:val="0"/>
              <w:snapToGrid w:val="0"/>
              <w:jc w:val="center"/>
              <w:rPr>
                <w:rFonts w:ascii="Times New Roman" w:eastAsia="仿宋"/>
                <w:szCs w:val="21"/>
              </w:rPr>
            </w:pPr>
            <w:r>
              <w:rPr>
                <w:rFonts w:hint="eastAsia" w:ascii="Times New Roman" w:eastAsia="仿宋"/>
                <w:szCs w:val="21"/>
              </w:rPr>
              <w:t>8</w:t>
            </w:r>
          </w:p>
        </w:tc>
        <w:tc>
          <w:tcPr>
            <w:tcW w:w="1610" w:type="dxa"/>
            <w:shd w:val="clear" w:color="auto" w:fill="auto"/>
            <w:vAlign w:val="center"/>
          </w:tcPr>
          <w:p w14:paraId="049670B9">
            <w:pPr>
              <w:topLinePunct/>
              <w:adjustRightInd w:val="0"/>
              <w:snapToGrid w:val="0"/>
              <w:jc w:val="center"/>
              <w:rPr>
                <w:rFonts w:ascii="Times New Roman" w:eastAsia="仿宋"/>
                <w:szCs w:val="21"/>
              </w:rPr>
            </w:pPr>
            <w:r>
              <w:rPr>
                <w:rFonts w:hint="eastAsia" w:ascii="Times New Roman" w:eastAsia="仿宋"/>
                <w:szCs w:val="21"/>
              </w:rPr>
              <w:t>收集尘</w:t>
            </w:r>
          </w:p>
        </w:tc>
        <w:tc>
          <w:tcPr>
            <w:tcW w:w="864" w:type="dxa"/>
            <w:vMerge w:val="continue"/>
            <w:shd w:val="clear" w:color="auto" w:fill="auto"/>
            <w:vAlign w:val="center"/>
          </w:tcPr>
          <w:p w14:paraId="6ACABBCC">
            <w:pPr>
              <w:topLinePunct/>
              <w:adjustRightInd w:val="0"/>
              <w:snapToGrid w:val="0"/>
              <w:jc w:val="center"/>
              <w:rPr>
                <w:rFonts w:ascii="Times New Roman" w:eastAsia="仿宋"/>
                <w:szCs w:val="21"/>
              </w:rPr>
            </w:pPr>
          </w:p>
        </w:tc>
        <w:tc>
          <w:tcPr>
            <w:tcW w:w="1102" w:type="dxa"/>
            <w:shd w:val="clear" w:color="auto" w:fill="auto"/>
            <w:vAlign w:val="center"/>
          </w:tcPr>
          <w:p w14:paraId="209AB494">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shd w:val="clear" w:color="auto" w:fill="auto"/>
            <w:vAlign w:val="center"/>
          </w:tcPr>
          <w:p w14:paraId="2A4E4A7D">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shd w:val="clear" w:color="auto" w:fill="auto"/>
            <w:vAlign w:val="center"/>
          </w:tcPr>
          <w:p w14:paraId="0D2454E3">
            <w:pPr>
              <w:topLinePunct/>
              <w:adjustRightInd w:val="0"/>
              <w:snapToGrid w:val="0"/>
              <w:jc w:val="center"/>
              <w:rPr>
                <w:rFonts w:ascii="Times New Roman" w:eastAsia="仿宋"/>
                <w:szCs w:val="21"/>
              </w:rPr>
            </w:pPr>
            <w:r>
              <w:rPr>
                <w:rFonts w:hint="eastAsia" w:ascii="Times New Roman" w:eastAsia="仿宋"/>
                <w:szCs w:val="21"/>
              </w:rPr>
              <w:t>0.024</w:t>
            </w:r>
          </w:p>
        </w:tc>
        <w:tc>
          <w:tcPr>
            <w:tcW w:w="1350" w:type="dxa"/>
            <w:shd w:val="clear" w:color="auto" w:fill="auto"/>
            <w:vAlign w:val="center"/>
          </w:tcPr>
          <w:p w14:paraId="3590A166">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shd w:val="clear" w:color="auto" w:fill="auto"/>
            <w:vAlign w:val="center"/>
          </w:tcPr>
          <w:p w14:paraId="1F99F90D">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7BA88347">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shd w:val="clear" w:color="auto" w:fill="auto"/>
            <w:vAlign w:val="center"/>
          </w:tcPr>
          <w:p w14:paraId="2EE2B5B3">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shd w:val="clear" w:color="auto" w:fill="auto"/>
            <w:vAlign w:val="center"/>
          </w:tcPr>
          <w:p w14:paraId="4C472FA2">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shd w:val="clear" w:color="auto" w:fill="auto"/>
            <w:vAlign w:val="center"/>
          </w:tcPr>
          <w:p w14:paraId="070F4592">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4177CAB9">
            <w:pPr>
              <w:topLinePunct/>
              <w:adjustRightInd w:val="0"/>
              <w:snapToGrid w:val="0"/>
              <w:jc w:val="center"/>
              <w:rPr>
                <w:rFonts w:ascii="Times New Roman" w:eastAsia="仿宋"/>
                <w:szCs w:val="21"/>
              </w:rPr>
            </w:pPr>
          </w:p>
        </w:tc>
      </w:tr>
      <w:tr w14:paraId="4F1A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D8B34FC">
            <w:pPr>
              <w:topLinePunct/>
              <w:adjustRightInd w:val="0"/>
              <w:snapToGrid w:val="0"/>
              <w:jc w:val="center"/>
              <w:rPr>
                <w:rFonts w:ascii="Times New Roman" w:eastAsia="仿宋"/>
                <w:szCs w:val="21"/>
              </w:rPr>
            </w:pPr>
            <w:r>
              <w:rPr>
                <w:rFonts w:hint="eastAsia" w:ascii="Times New Roman" w:eastAsia="仿宋"/>
                <w:szCs w:val="21"/>
              </w:rPr>
              <w:t>9</w:t>
            </w:r>
          </w:p>
        </w:tc>
        <w:tc>
          <w:tcPr>
            <w:tcW w:w="1610" w:type="dxa"/>
            <w:vAlign w:val="center"/>
          </w:tcPr>
          <w:p w14:paraId="0F57116D">
            <w:pPr>
              <w:topLinePunct/>
              <w:adjustRightInd w:val="0"/>
              <w:snapToGrid w:val="0"/>
              <w:jc w:val="center"/>
              <w:rPr>
                <w:rFonts w:ascii="Times New Roman" w:eastAsia="仿宋"/>
                <w:szCs w:val="21"/>
              </w:rPr>
            </w:pPr>
            <w:r>
              <w:rPr>
                <w:rFonts w:hint="eastAsia" w:ascii="Times New Roman" w:eastAsia="仿宋"/>
                <w:szCs w:val="21"/>
              </w:rPr>
              <w:t>湿渣</w:t>
            </w:r>
          </w:p>
        </w:tc>
        <w:tc>
          <w:tcPr>
            <w:tcW w:w="864" w:type="dxa"/>
            <w:vMerge w:val="continue"/>
            <w:vAlign w:val="center"/>
          </w:tcPr>
          <w:p w14:paraId="35F42F85">
            <w:pPr>
              <w:topLinePunct/>
              <w:adjustRightInd w:val="0"/>
              <w:snapToGrid w:val="0"/>
              <w:jc w:val="center"/>
              <w:rPr>
                <w:rFonts w:ascii="Times New Roman" w:eastAsia="仿宋"/>
                <w:szCs w:val="21"/>
              </w:rPr>
            </w:pPr>
          </w:p>
        </w:tc>
        <w:tc>
          <w:tcPr>
            <w:tcW w:w="1102" w:type="dxa"/>
            <w:vAlign w:val="center"/>
          </w:tcPr>
          <w:p w14:paraId="4A7F1289">
            <w:pPr>
              <w:topLinePunct/>
              <w:adjustRightInd w:val="0"/>
              <w:snapToGrid w:val="0"/>
              <w:jc w:val="center"/>
              <w:rPr>
                <w:rFonts w:ascii="Times New Roman" w:eastAsia="仿宋"/>
                <w:szCs w:val="21"/>
              </w:rPr>
            </w:pPr>
            <w:r>
              <w:rPr>
                <w:rFonts w:hint="eastAsia" w:ascii="Times New Roman" w:eastAsia="仿宋"/>
                <w:szCs w:val="21"/>
              </w:rPr>
              <w:t>SW59</w:t>
            </w:r>
          </w:p>
        </w:tc>
        <w:tc>
          <w:tcPr>
            <w:tcW w:w="1634" w:type="dxa"/>
            <w:vAlign w:val="center"/>
          </w:tcPr>
          <w:p w14:paraId="7A558787">
            <w:pPr>
              <w:topLinePunct/>
              <w:adjustRightInd w:val="0"/>
              <w:snapToGrid w:val="0"/>
              <w:jc w:val="center"/>
              <w:rPr>
                <w:rFonts w:ascii="Times New Roman" w:eastAsia="仿宋"/>
                <w:szCs w:val="21"/>
              </w:rPr>
            </w:pPr>
            <w:r>
              <w:rPr>
                <w:rFonts w:hint="eastAsia" w:ascii="Times New Roman" w:eastAsia="仿宋"/>
                <w:szCs w:val="21"/>
              </w:rPr>
              <w:t>900-099-S59</w:t>
            </w:r>
          </w:p>
        </w:tc>
        <w:tc>
          <w:tcPr>
            <w:tcW w:w="849" w:type="dxa"/>
            <w:vAlign w:val="center"/>
          </w:tcPr>
          <w:p w14:paraId="42195973">
            <w:pPr>
              <w:topLinePunct/>
              <w:adjustRightInd w:val="0"/>
              <w:snapToGrid w:val="0"/>
              <w:jc w:val="center"/>
              <w:rPr>
                <w:rFonts w:ascii="Times New Roman" w:eastAsia="仿宋"/>
                <w:szCs w:val="21"/>
              </w:rPr>
            </w:pPr>
            <w:r>
              <w:rPr>
                <w:rFonts w:hint="eastAsia" w:ascii="Times New Roman" w:eastAsia="仿宋"/>
                <w:szCs w:val="21"/>
              </w:rPr>
              <w:t>0.39</w:t>
            </w:r>
          </w:p>
        </w:tc>
        <w:tc>
          <w:tcPr>
            <w:tcW w:w="1350" w:type="dxa"/>
            <w:vAlign w:val="center"/>
          </w:tcPr>
          <w:p w14:paraId="4C33DC41">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6DEACF4A">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3D6E59B0">
            <w:pPr>
              <w:topLinePunct/>
              <w:adjustRightInd w:val="0"/>
              <w:snapToGrid w:val="0"/>
              <w:jc w:val="center"/>
              <w:rPr>
                <w:rFonts w:ascii="Times New Roman" w:eastAsia="仿宋"/>
                <w:szCs w:val="21"/>
              </w:rPr>
            </w:pPr>
            <w:r>
              <w:rPr>
                <w:rFonts w:hint="eastAsia" w:ascii="Times New Roman" w:eastAsia="仿宋"/>
                <w:szCs w:val="21"/>
              </w:rPr>
              <w:t>铝</w:t>
            </w:r>
          </w:p>
        </w:tc>
        <w:tc>
          <w:tcPr>
            <w:tcW w:w="987" w:type="dxa"/>
            <w:vAlign w:val="center"/>
          </w:tcPr>
          <w:p w14:paraId="7402DFFE">
            <w:pPr>
              <w:topLinePunct/>
              <w:adjustRightInd w:val="0"/>
              <w:snapToGrid w:val="0"/>
              <w:jc w:val="center"/>
              <w:rPr>
                <w:rFonts w:ascii="Times New Roman" w:eastAsia="仿宋"/>
                <w:szCs w:val="21"/>
              </w:rPr>
            </w:pPr>
            <w:r>
              <w:rPr>
                <w:rFonts w:hint="eastAsia" w:ascii="Times New Roman" w:eastAsia="仿宋"/>
                <w:szCs w:val="21"/>
              </w:rPr>
              <w:t>/</w:t>
            </w:r>
          </w:p>
        </w:tc>
        <w:tc>
          <w:tcPr>
            <w:tcW w:w="992" w:type="dxa"/>
            <w:vAlign w:val="center"/>
          </w:tcPr>
          <w:p w14:paraId="0682117E">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天</w:t>
            </w:r>
          </w:p>
        </w:tc>
        <w:tc>
          <w:tcPr>
            <w:tcW w:w="851" w:type="dxa"/>
            <w:vAlign w:val="center"/>
          </w:tcPr>
          <w:p w14:paraId="0E631101">
            <w:pPr>
              <w:topLinePunct/>
              <w:adjustRightInd w:val="0"/>
              <w:snapToGrid w:val="0"/>
              <w:jc w:val="center"/>
              <w:rPr>
                <w:rFonts w:ascii="Times New Roman" w:eastAsia="仿宋"/>
                <w:szCs w:val="21"/>
              </w:rPr>
            </w:pPr>
            <w:r>
              <w:rPr>
                <w:rFonts w:hint="eastAsia" w:ascii="Times New Roman" w:eastAsia="仿宋"/>
                <w:szCs w:val="21"/>
              </w:rPr>
              <w:t>/</w:t>
            </w:r>
          </w:p>
        </w:tc>
        <w:tc>
          <w:tcPr>
            <w:tcW w:w="1086" w:type="dxa"/>
            <w:vMerge w:val="continue"/>
            <w:vAlign w:val="center"/>
          </w:tcPr>
          <w:p w14:paraId="518C4B2C">
            <w:pPr>
              <w:topLinePunct/>
              <w:adjustRightInd w:val="0"/>
              <w:snapToGrid w:val="0"/>
              <w:jc w:val="center"/>
              <w:rPr>
                <w:rFonts w:ascii="Times New Roman" w:eastAsia="仿宋"/>
                <w:szCs w:val="21"/>
              </w:rPr>
            </w:pPr>
          </w:p>
        </w:tc>
      </w:tr>
      <w:tr w14:paraId="3D5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2F0541B0">
            <w:pPr>
              <w:topLinePunct/>
              <w:adjustRightInd w:val="0"/>
              <w:snapToGrid w:val="0"/>
              <w:jc w:val="center"/>
              <w:rPr>
                <w:rFonts w:ascii="Times New Roman" w:eastAsia="仿宋"/>
                <w:szCs w:val="21"/>
              </w:rPr>
            </w:pPr>
            <w:r>
              <w:rPr>
                <w:rFonts w:hint="eastAsia" w:ascii="Times New Roman" w:eastAsia="仿宋"/>
                <w:szCs w:val="21"/>
              </w:rPr>
              <w:t>10</w:t>
            </w:r>
          </w:p>
        </w:tc>
        <w:tc>
          <w:tcPr>
            <w:tcW w:w="1610" w:type="dxa"/>
            <w:vAlign w:val="center"/>
          </w:tcPr>
          <w:p w14:paraId="24F9033F">
            <w:pPr>
              <w:topLinePunct/>
              <w:adjustRightInd w:val="0"/>
              <w:snapToGrid w:val="0"/>
              <w:jc w:val="center"/>
              <w:rPr>
                <w:rFonts w:ascii="Times New Roman" w:eastAsia="仿宋"/>
                <w:szCs w:val="21"/>
              </w:rPr>
            </w:pPr>
            <w:r>
              <w:rPr>
                <w:rFonts w:hint="eastAsia" w:ascii="Times New Roman" w:eastAsia="仿宋"/>
                <w:szCs w:val="21"/>
              </w:rPr>
              <w:t>钝化废水</w:t>
            </w:r>
          </w:p>
        </w:tc>
        <w:tc>
          <w:tcPr>
            <w:tcW w:w="864" w:type="dxa"/>
            <w:vMerge w:val="restart"/>
            <w:vAlign w:val="center"/>
          </w:tcPr>
          <w:p w14:paraId="05B16818">
            <w:pPr>
              <w:topLinePunct/>
              <w:adjustRightInd w:val="0"/>
              <w:snapToGrid w:val="0"/>
              <w:jc w:val="center"/>
              <w:rPr>
                <w:rFonts w:ascii="Times New Roman" w:eastAsia="仿宋"/>
                <w:szCs w:val="21"/>
              </w:rPr>
            </w:pPr>
            <w:r>
              <w:rPr>
                <w:rFonts w:hint="eastAsia" w:ascii="Times New Roman" w:eastAsia="仿宋"/>
                <w:szCs w:val="21"/>
              </w:rPr>
              <w:t>危险废物</w:t>
            </w:r>
          </w:p>
        </w:tc>
        <w:tc>
          <w:tcPr>
            <w:tcW w:w="1102" w:type="dxa"/>
            <w:vAlign w:val="center"/>
          </w:tcPr>
          <w:p w14:paraId="0E3006A8">
            <w:pPr>
              <w:topLinePunct/>
              <w:adjustRightInd w:val="0"/>
              <w:snapToGrid w:val="0"/>
              <w:jc w:val="center"/>
              <w:rPr>
                <w:rFonts w:ascii="Times New Roman" w:eastAsia="仿宋"/>
                <w:szCs w:val="21"/>
              </w:rPr>
            </w:pPr>
            <w:r>
              <w:rPr>
                <w:rFonts w:ascii="Times New Roman" w:eastAsia="仿宋"/>
                <w:szCs w:val="21"/>
              </w:rPr>
              <w:t>HW17</w:t>
            </w:r>
          </w:p>
        </w:tc>
        <w:tc>
          <w:tcPr>
            <w:tcW w:w="1634" w:type="dxa"/>
            <w:vAlign w:val="center"/>
          </w:tcPr>
          <w:p w14:paraId="26E692FC">
            <w:pPr>
              <w:topLinePunct/>
              <w:adjustRightInd w:val="0"/>
              <w:snapToGrid w:val="0"/>
              <w:jc w:val="center"/>
              <w:rPr>
                <w:rFonts w:ascii="Times New Roman" w:eastAsia="仿宋"/>
                <w:szCs w:val="21"/>
              </w:rPr>
            </w:pPr>
            <w:r>
              <w:rPr>
                <w:rFonts w:ascii="Times New Roman" w:eastAsia="仿宋"/>
                <w:szCs w:val="21"/>
              </w:rPr>
              <w:t>336-064-17</w:t>
            </w:r>
          </w:p>
        </w:tc>
        <w:tc>
          <w:tcPr>
            <w:tcW w:w="849" w:type="dxa"/>
            <w:vAlign w:val="center"/>
          </w:tcPr>
          <w:p w14:paraId="119B1E9B">
            <w:pPr>
              <w:topLinePunct/>
              <w:adjustRightInd w:val="0"/>
              <w:snapToGrid w:val="0"/>
              <w:jc w:val="center"/>
              <w:rPr>
                <w:rFonts w:ascii="Times New Roman" w:eastAsia="仿宋"/>
                <w:szCs w:val="21"/>
              </w:rPr>
            </w:pPr>
            <w:r>
              <w:rPr>
                <w:rFonts w:hint="eastAsia" w:ascii="Times New Roman" w:eastAsia="仿宋"/>
                <w:szCs w:val="21"/>
              </w:rPr>
              <w:t>9.9</w:t>
            </w:r>
          </w:p>
        </w:tc>
        <w:tc>
          <w:tcPr>
            <w:tcW w:w="1350" w:type="dxa"/>
            <w:vAlign w:val="center"/>
          </w:tcPr>
          <w:p w14:paraId="6CC0765E">
            <w:pPr>
              <w:topLinePunct/>
              <w:adjustRightInd w:val="0"/>
              <w:snapToGrid w:val="0"/>
              <w:jc w:val="center"/>
              <w:rPr>
                <w:rFonts w:ascii="Times New Roman" w:eastAsia="仿宋"/>
                <w:szCs w:val="21"/>
              </w:rPr>
            </w:pPr>
            <w:r>
              <w:rPr>
                <w:rFonts w:hint="eastAsia" w:ascii="Times New Roman" w:eastAsia="仿宋"/>
                <w:szCs w:val="21"/>
              </w:rPr>
              <w:t>钝化</w:t>
            </w:r>
          </w:p>
        </w:tc>
        <w:tc>
          <w:tcPr>
            <w:tcW w:w="765" w:type="dxa"/>
            <w:vAlign w:val="center"/>
          </w:tcPr>
          <w:p w14:paraId="25DD8CD6">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521CB57F">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0A31136C">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0FB1EFCA">
            <w:pPr>
              <w:topLinePunct/>
              <w:adjustRightInd w:val="0"/>
              <w:snapToGrid w:val="0"/>
              <w:jc w:val="center"/>
              <w:rPr>
                <w:rFonts w:ascii="Times New Roman" w:eastAsia="仿宋"/>
                <w:szCs w:val="21"/>
              </w:rPr>
            </w:pPr>
            <w:r>
              <w:rPr>
                <w:rFonts w:hint="eastAsia" w:ascii="Times New Roman" w:eastAsia="仿宋"/>
                <w:szCs w:val="21"/>
              </w:rPr>
              <w:t>4个月</w:t>
            </w:r>
          </w:p>
        </w:tc>
        <w:tc>
          <w:tcPr>
            <w:tcW w:w="851" w:type="dxa"/>
            <w:vAlign w:val="center"/>
          </w:tcPr>
          <w:p w14:paraId="01568DCA">
            <w:pPr>
              <w:topLinePunct/>
              <w:adjustRightInd w:val="0"/>
              <w:snapToGrid w:val="0"/>
              <w:jc w:val="center"/>
              <w:rPr>
                <w:rFonts w:ascii="Times New Roman" w:eastAsia="仿宋"/>
                <w:szCs w:val="21"/>
              </w:rPr>
            </w:pPr>
            <w:r>
              <w:rPr>
                <w:rFonts w:hint="eastAsia" w:ascii="Times New Roman" w:eastAsia="仿宋"/>
                <w:szCs w:val="21"/>
              </w:rPr>
              <w:t>T/C</w:t>
            </w:r>
          </w:p>
        </w:tc>
        <w:tc>
          <w:tcPr>
            <w:tcW w:w="1086" w:type="dxa"/>
            <w:vMerge w:val="restart"/>
            <w:vAlign w:val="center"/>
          </w:tcPr>
          <w:p w14:paraId="753F8444">
            <w:pPr>
              <w:topLinePunct/>
              <w:adjustRightInd w:val="0"/>
              <w:snapToGrid w:val="0"/>
              <w:jc w:val="center"/>
              <w:rPr>
                <w:rFonts w:ascii="Times New Roman" w:eastAsia="仿宋"/>
                <w:szCs w:val="21"/>
              </w:rPr>
            </w:pPr>
            <w:r>
              <w:rPr>
                <w:rFonts w:ascii="Times New Roman" w:eastAsia="仿宋"/>
                <w:szCs w:val="21"/>
              </w:rPr>
              <w:t>贮存于危废仓库，委托有资质单位处置</w:t>
            </w:r>
          </w:p>
        </w:tc>
      </w:tr>
      <w:tr w14:paraId="2B31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BA1853E">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1</w:t>
            </w:r>
          </w:p>
        </w:tc>
        <w:tc>
          <w:tcPr>
            <w:tcW w:w="1610" w:type="dxa"/>
            <w:vAlign w:val="center"/>
          </w:tcPr>
          <w:p w14:paraId="4AA80278">
            <w:pPr>
              <w:topLinePunct/>
              <w:adjustRightInd w:val="0"/>
              <w:snapToGrid w:val="0"/>
              <w:jc w:val="center"/>
              <w:rPr>
                <w:rFonts w:ascii="Times New Roman" w:eastAsia="仿宋"/>
                <w:szCs w:val="21"/>
              </w:rPr>
            </w:pPr>
            <w:r>
              <w:rPr>
                <w:rFonts w:hint="eastAsia" w:ascii="Times New Roman" w:eastAsia="仿宋"/>
                <w:szCs w:val="21"/>
              </w:rPr>
              <w:t>水洗废水</w:t>
            </w:r>
          </w:p>
        </w:tc>
        <w:tc>
          <w:tcPr>
            <w:tcW w:w="864" w:type="dxa"/>
            <w:vMerge w:val="continue"/>
            <w:vAlign w:val="center"/>
          </w:tcPr>
          <w:p w14:paraId="3E846ACA">
            <w:pPr>
              <w:topLinePunct/>
              <w:adjustRightInd w:val="0"/>
              <w:snapToGrid w:val="0"/>
              <w:jc w:val="center"/>
              <w:rPr>
                <w:rFonts w:ascii="Times New Roman" w:eastAsia="仿宋"/>
                <w:szCs w:val="21"/>
              </w:rPr>
            </w:pPr>
          </w:p>
        </w:tc>
        <w:tc>
          <w:tcPr>
            <w:tcW w:w="1102" w:type="dxa"/>
            <w:shd w:val="clear" w:color="auto" w:fill="auto"/>
            <w:vAlign w:val="center"/>
          </w:tcPr>
          <w:p w14:paraId="14226BEB">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shd w:val="clear" w:color="auto" w:fill="auto"/>
            <w:vAlign w:val="center"/>
          </w:tcPr>
          <w:p w14:paraId="18706520">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shd w:val="clear" w:color="auto" w:fill="auto"/>
            <w:vAlign w:val="center"/>
          </w:tcPr>
          <w:p w14:paraId="3EF46935">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6.2</w:t>
            </w:r>
          </w:p>
        </w:tc>
        <w:tc>
          <w:tcPr>
            <w:tcW w:w="1350" w:type="dxa"/>
            <w:shd w:val="clear" w:color="auto" w:fill="auto"/>
            <w:vAlign w:val="center"/>
          </w:tcPr>
          <w:p w14:paraId="19426545">
            <w:pPr>
              <w:topLinePunct/>
              <w:adjustRightInd w:val="0"/>
              <w:snapToGrid w:val="0"/>
              <w:jc w:val="center"/>
              <w:rPr>
                <w:rFonts w:ascii="Times New Roman" w:eastAsia="仿宋"/>
                <w:szCs w:val="21"/>
              </w:rPr>
            </w:pPr>
            <w:r>
              <w:rPr>
                <w:rFonts w:hint="eastAsia" w:ascii="Times New Roman" w:eastAsia="仿宋"/>
                <w:szCs w:val="21"/>
              </w:rPr>
              <w:t>清洗</w:t>
            </w:r>
          </w:p>
        </w:tc>
        <w:tc>
          <w:tcPr>
            <w:tcW w:w="765" w:type="dxa"/>
            <w:shd w:val="clear" w:color="auto" w:fill="auto"/>
            <w:vAlign w:val="center"/>
          </w:tcPr>
          <w:p w14:paraId="05B5A3E0">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shd w:val="clear" w:color="auto" w:fill="auto"/>
            <w:vAlign w:val="center"/>
          </w:tcPr>
          <w:p w14:paraId="13A7136C">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shd w:val="clear" w:color="auto" w:fill="auto"/>
            <w:vAlign w:val="center"/>
          </w:tcPr>
          <w:p w14:paraId="13E2AA99">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shd w:val="clear" w:color="auto" w:fill="auto"/>
            <w:vAlign w:val="center"/>
          </w:tcPr>
          <w:p w14:paraId="1C9B3385">
            <w:pPr>
              <w:topLinePunct/>
              <w:adjustRightInd w:val="0"/>
              <w:snapToGrid w:val="0"/>
              <w:jc w:val="center"/>
              <w:rPr>
                <w:rFonts w:ascii="Times New Roman" w:eastAsia="仿宋"/>
                <w:szCs w:val="21"/>
              </w:rPr>
            </w:pPr>
            <w:r>
              <w:rPr>
                <w:rFonts w:hint="eastAsia" w:ascii="Times New Roman" w:eastAsia="仿宋"/>
                <w:szCs w:val="21"/>
              </w:rPr>
              <w:t>2个月</w:t>
            </w:r>
          </w:p>
        </w:tc>
        <w:tc>
          <w:tcPr>
            <w:tcW w:w="851" w:type="dxa"/>
            <w:shd w:val="clear" w:color="auto" w:fill="auto"/>
            <w:vAlign w:val="center"/>
          </w:tcPr>
          <w:p w14:paraId="45AC16E4">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6FB3B2DC">
            <w:pPr>
              <w:topLinePunct/>
              <w:adjustRightInd w:val="0"/>
              <w:snapToGrid w:val="0"/>
              <w:jc w:val="center"/>
              <w:rPr>
                <w:rFonts w:ascii="Times New Roman" w:eastAsia="仿宋"/>
                <w:szCs w:val="21"/>
              </w:rPr>
            </w:pPr>
          </w:p>
        </w:tc>
      </w:tr>
      <w:tr w14:paraId="29F5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62E275FA">
            <w:pPr>
              <w:topLinePunct/>
              <w:adjustRightInd w:val="0"/>
              <w:snapToGrid w:val="0"/>
              <w:jc w:val="center"/>
              <w:rPr>
                <w:rFonts w:ascii="Times New Roman" w:eastAsia="仿宋"/>
                <w:szCs w:val="21"/>
              </w:rPr>
            </w:pPr>
            <w:r>
              <w:rPr>
                <w:rFonts w:hint="eastAsia" w:ascii="Times New Roman" w:eastAsia="仿宋"/>
                <w:szCs w:val="21"/>
              </w:rPr>
              <w:t>12</w:t>
            </w:r>
          </w:p>
        </w:tc>
        <w:tc>
          <w:tcPr>
            <w:tcW w:w="1610" w:type="dxa"/>
            <w:vAlign w:val="center"/>
          </w:tcPr>
          <w:p w14:paraId="6EDB9F8E">
            <w:pPr>
              <w:topLinePunct/>
              <w:adjustRightInd w:val="0"/>
              <w:snapToGrid w:val="0"/>
              <w:jc w:val="center"/>
              <w:rPr>
                <w:rFonts w:ascii="Times New Roman" w:eastAsia="仿宋"/>
                <w:szCs w:val="21"/>
              </w:rPr>
            </w:pPr>
            <w:r>
              <w:rPr>
                <w:rFonts w:hint="eastAsia" w:ascii="Times New Roman" w:eastAsia="仿宋"/>
                <w:szCs w:val="21"/>
              </w:rPr>
              <w:t>水帘废水</w:t>
            </w:r>
          </w:p>
        </w:tc>
        <w:tc>
          <w:tcPr>
            <w:tcW w:w="864" w:type="dxa"/>
            <w:vMerge w:val="continue"/>
            <w:vAlign w:val="center"/>
          </w:tcPr>
          <w:p w14:paraId="005203D8">
            <w:pPr>
              <w:topLinePunct/>
              <w:adjustRightInd w:val="0"/>
              <w:snapToGrid w:val="0"/>
              <w:jc w:val="center"/>
              <w:rPr>
                <w:rFonts w:ascii="Times New Roman" w:eastAsia="仿宋"/>
                <w:szCs w:val="21"/>
              </w:rPr>
            </w:pPr>
          </w:p>
        </w:tc>
        <w:tc>
          <w:tcPr>
            <w:tcW w:w="1102" w:type="dxa"/>
            <w:vAlign w:val="center"/>
          </w:tcPr>
          <w:p w14:paraId="4CA0E855">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1634" w:type="dxa"/>
            <w:vAlign w:val="center"/>
          </w:tcPr>
          <w:p w14:paraId="1EFF691A">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849" w:type="dxa"/>
            <w:vAlign w:val="center"/>
          </w:tcPr>
          <w:p w14:paraId="16D47C97">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1350" w:type="dxa"/>
            <w:vAlign w:val="center"/>
          </w:tcPr>
          <w:p w14:paraId="1A076376">
            <w:pPr>
              <w:topLinePunct/>
              <w:adjustRightInd w:val="0"/>
              <w:snapToGrid w:val="0"/>
              <w:jc w:val="center"/>
              <w:rPr>
                <w:rFonts w:ascii="Times New Roman" w:eastAsia="仿宋"/>
                <w:szCs w:val="21"/>
              </w:rPr>
            </w:pPr>
            <w:r>
              <w:rPr>
                <w:rFonts w:hint="eastAsia" w:ascii="Times New Roman" w:eastAsia="仿宋"/>
                <w:szCs w:val="21"/>
              </w:rPr>
              <w:t>废气处理</w:t>
            </w:r>
          </w:p>
        </w:tc>
        <w:tc>
          <w:tcPr>
            <w:tcW w:w="765" w:type="dxa"/>
            <w:vAlign w:val="center"/>
          </w:tcPr>
          <w:p w14:paraId="0B05837F">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0C33EFB5">
            <w:pPr>
              <w:topLinePunct/>
              <w:adjustRightInd w:val="0"/>
              <w:snapToGrid w:val="0"/>
              <w:jc w:val="center"/>
              <w:rPr>
                <w:rFonts w:ascii="Times New Roman" w:eastAsia="仿宋"/>
                <w:szCs w:val="21"/>
              </w:rPr>
            </w:pPr>
            <w:r>
              <w:rPr>
                <w:rFonts w:hint="eastAsia" w:ascii="Times New Roman" w:eastAsia="仿宋"/>
                <w:szCs w:val="21"/>
              </w:rPr>
              <w:t>水、有机物</w:t>
            </w:r>
          </w:p>
        </w:tc>
        <w:tc>
          <w:tcPr>
            <w:tcW w:w="987" w:type="dxa"/>
            <w:vAlign w:val="center"/>
          </w:tcPr>
          <w:p w14:paraId="2F531AB5">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5BED65D6">
            <w:pPr>
              <w:topLinePunct/>
              <w:adjustRightInd w:val="0"/>
              <w:snapToGrid w:val="0"/>
              <w:jc w:val="center"/>
              <w:rPr>
                <w:rFonts w:ascii="Times New Roman" w:eastAsia="仿宋"/>
                <w:szCs w:val="21"/>
              </w:rPr>
            </w:pPr>
            <w:r>
              <w:rPr>
                <w:rFonts w:ascii="Times New Roman" w:eastAsia="仿宋"/>
                <w:szCs w:val="21"/>
              </w:rPr>
              <w:t>3</w:t>
            </w:r>
            <w:r>
              <w:rPr>
                <w:rFonts w:hint="eastAsia" w:ascii="Times New Roman" w:eastAsia="仿宋"/>
                <w:szCs w:val="21"/>
              </w:rPr>
              <w:t>个月</w:t>
            </w:r>
          </w:p>
        </w:tc>
        <w:tc>
          <w:tcPr>
            <w:tcW w:w="851" w:type="dxa"/>
            <w:vAlign w:val="center"/>
          </w:tcPr>
          <w:p w14:paraId="0A2DBEC0">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0A5B8EA7">
            <w:pPr>
              <w:topLinePunct/>
              <w:adjustRightInd w:val="0"/>
              <w:snapToGrid w:val="0"/>
              <w:jc w:val="center"/>
              <w:rPr>
                <w:rFonts w:ascii="Times New Roman" w:eastAsia="仿宋"/>
                <w:szCs w:val="21"/>
              </w:rPr>
            </w:pPr>
          </w:p>
        </w:tc>
      </w:tr>
      <w:tr w14:paraId="5079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465C9BC">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3</w:t>
            </w:r>
          </w:p>
        </w:tc>
        <w:tc>
          <w:tcPr>
            <w:tcW w:w="1610" w:type="dxa"/>
            <w:vAlign w:val="center"/>
          </w:tcPr>
          <w:p w14:paraId="183F7512">
            <w:pPr>
              <w:topLinePunct/>
              <w:adjustRightInd w:val="0"/>
              <w:snapToGrid w:val="0"/>
              <w:jc w:val="center"/>
              <w:rPr>
                <w:rFonts w:ascii="Times New Roman" w:eastAsia="仿宋"/>
                <w:szCs w:val="21"/>
              </w:rPr>
            </w:pPr>
            <w:r>
              <w:rPr>
                <w:rFonts w:ascii="Times New Roman" w:eastAsia="仿宋"/>
                <w:szCs w:val="21"/>
              </w:rPr>
              <w:t>漆渣</w:t>
            </w:r>
          </w:p>
        </w:tc>
        <w:tc>
          <w:tcPr>
            <w:tcW w:w="864" w:type="dxa"/>
            <w:vMerge w:val="continue"/>
            <w:vAlign w:val="center"/>
          </w:tcPr>
          <w:p w14:paraId="26291522">
            <w:pPr>
              <w:topLinePunct/>
              <w:adjustRightInd w:val="0"/>
              <w:snapToGrid w:val="0"/>
              <w:jc w:val="center"/>
              <w:rPr>
                <w:rFonts w:ascii="Times New Roman" w:eastAsia="仿宋"/>
                <w:szCs w:val="21"/>
              </w:rPr>
            </w:pPr>
          </w:p>
        </w:tc>
        <w:tc>
          <w:tcPr>
            <w:tcW w:w="1102" w:type="dxa"/>
            <w:vAlign w:val="center"/>
          </w:tcPr>
          <w:p w14:paraId="6BEFDCD7">
            <w:pPr>
              <w:topLinePunct/>
              <w:adjustRightInd w:val="0"/>
              <w:snapToGrid w:val="0"/>
              <w:jc w:val="center"/>
              <w:rPr>
                <w:rFonts w:ascii="Times New Roman" w:eastAsia="仿宋"/>
                <w:szCs w:val="21"/>
              </w:rPr>
            </w:pPr>
            <w:r>
              <w:rPr>
                <w:rFonts w:ascii="Times New Roman" w:eastAsia="仿宋"/>
                <w:szCs w:val="21"/>
              </w:rPr>
              <w:t>HW12</w:t>
            </w:r>
          </w:p>
        </w:tc>
        <w:tc>
          <w:tcPr>
            <w:tcW w:w="1634" w:type="dxa"/>
            <w:vAlign w:val="center"/>
          </w:tcPr>
          <w:p w14:paraId="777F76A0">
            <w:pPr>
              <w:topLinePunct/>
              <w:adjustRightInd w:val="0"/>
              <w:snapToGrid w:val="0"/>
              <w:jc w:val="center"/>
              <w:rPr>
                <w:rFonts w:ascii="Times New Roman" w:eastAsia="仿宋"/>
                <w:szCs w:val="21"/>
              </w:rPr>
            </w:pPr>
            <w:r>
              <w:rPr>
                <w:rFonts w:ascii="Times New Roman" w:eastAsia="仿宋"/>
                <w:szCs w:val="21"/>
              </w:rPr>
              <w:t>900-252-12</w:t>
            </w:r>
          </w:p>
        </w:tc>
        <w:tc>
          <w:tcPr>
            <w:tcW w:w="849" w:type="dxa"/>
            <w:vAlign w:val="center"/>
          </w:tcPr>
          <w:p w14:paraId="1FC2DA8F">
            <w:pPr>
              <w:topLinePunct/>
              <w:adjustRightInd w:val="0"/>
              <w:snapToGrid w:val="0"/>
              <w:jc w:val="center"/>
              <w:rPr>
                <w:rFonts w:ascii="Times New Roman" w:eastAsia="仿宋"/>
                <w:szCs w:val="21"/>
              </w:rPr>
            </w:pPr>
            <w:r>
              <w:rPr>
                <w:rFonts w:hint="eastAsia" w:ascii="Times New Roman" w:eastAsia="仿宋"/>
                <w:szCs w:val="21"/>
              </w:rPr>
              <w:t>20.52</w:t>
            </w:r>
          </w:p>
        </w:tc>
        <w:tc>
          <w:tcPr>
            <w:tcW w:w="1350" w:type="dxa"/>
            <w:vAlign w:val="center"/>
          </w:tcPr>
          <w:p w14:paraId="2C5C84FC">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vAlign w:val="center"/>
          </w:tcPr>
          <w:p w14:paraId="761A7617">
            <w:pPr>
              <w:topLinePunct/>
              <w:adjustRightInd w:val="0"/>
              <w:snapToGrid w:val="0"/>
              <w:jc w:val="center"/>
              <w:rPr>
                <w:rFonts w:ascii="Times New Roman" w:eastAsia="仿宋"/>
                <w:szCs w:val="21"/>
              </w:rPr>
            </w:pPr>
            <w:r>
              <w:rPr>
                <w:rFonts w:hint="eastAsia" w:ascii="Times New Roman" w:eastAsia="仿宋"/>
                <w:szCs w:val="21"/>
              </w:rPr>
              <w:t>固液混合</w:t>
            </w:r>
          </w:p>
        </w:tc>
        <w:tc>
          <w:tcPr>
            <w:tcW w:w="1170" w:type="dxa"/>
            <w:vAlign w:val="center"/>
          </w:tcPr>
          <w:p w14:paraId="33020576">
            <w:pPr>
              <w:topLinePunct/>
              <w:adjustRightInd w:val="0"/>
              <w:snapToGrid w:val="0"/>
              <w:jc w:val="center"/>
              <w:rPr>
                <w:rFonts w:ascii="Times New Roman" w:eastAsia="仿宋"/>
                <w:szCs w:val="21"/>
              </w:rPr>
            </w:pPr>
            <w:r>
              <w:rPr>
                <w:rFonts w:ascii="Times New Roman" w:eastAsia="仿宋"/>
                <w:szCs w:val="21"/>
              </w:rPr>
              <w:t>水、有机物</w:t>
            </w:r>
          </w:p>
        </w:tc>
        <w:tc>
          <w:tcPr>
            <w:tcW w:w="987" w:type="dxa"/>
            <w:vAlign w:val="center"/>
          </w:tcPr>
          <w:p w14:paraId="69BC070D">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65FDB12E">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0D9CFA9D">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525B516B">
            <w:pPr>
              <w:topLinePunct/>
              <w:adjustRightInd w:val="0"/>
              <w:snapToGrid w:val="0"/>
              <w:jc w:val="center"/>
              <w:rPr>
                <w:rFonts w:ascii="Times New Roman" w:eastAsia="仿宋"/>
                <w:szCs w:val="21"/>
              </w:rPr>
            </w:pPr>
          </w:p>
        </w:tc>
      </w:tr>
      <w:tr w14:paraId="3698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8B6AAB5">
            <w:pPr>
              <w:topLinePunct/>
              <w:adjustRightInd w:val="0"/>
              <w:snapToGrid w:val="0"/>
              <w:jc w:val="center"/>
              <w:rPr>
                <w:rFonts w:ascii="Times New Roman" w:eastAsia="仿宋"/>
                <w:szCs w:val="21"/>
              </w:rPr>
            </w:pPr>
            <w:r>
              <w:rPr>
                <w:rFonts w:hint="eastAsia" w:ascii="Times New Roman" w:eastAsia="仿宋"/>
                <w:szCs w:val="21"/>
              </w:rPr>
              <w:t>14</w:t>
            </w:r>
          </w:p>
        </w:tc>
        <w:tc>
          <w:tcPr>
            <w:tcW w:w="1610" w:type="dxa"/>
            <w:shd w:val="clear" w:color="auto" w:fill="auto"/>
            <w:vAlign w:val="center"/>
          </w:tcPr>
          <w:p w14:paraId="213E2D17">
            <w:pPr>
              <w:topLinePunct/>
              <w:adjustRightInd w:val="0"/>
              <w:snapToGrid w:val="0"/>
              <w:jc w:val="center"/>
              <w:rPr>
                <w:rFonts w:ascii="Times New Roman" w:eastAsia="仿宋"/>
                <w:szCs w:val="21"/>
              </w:rPr>
            </w:pPr>
            <w:r>
              <w:rPr>
                <w:rFonts w:hint="eastAsia" w:ascii="Times New Roman" w:eastAsia="仿宋"/>
                <w:szCs w:val="21"/>
              </w:rPr>
              <w:t>挂具</w:t>
            </w:r>
            <w:r>
              <w:rPr>
                <w:rFonts w:ascii="Times New Roman" w:eastAsia="仿宋"/>
                <w:szCs w:val="21"/>
              </w:rPr>
              <w:t>漆渣</w:t>
            </w:r>
          </w:p>
        </w:tc>
        <w:tc>
          <w:tcPr>
            <w:tcW w:w="864" w:type="dxa"/>
            <w:vMerge w:val="continue"/>
            <w:shd w:val="clear" w:color="auto" w:fill="auto"/>
            <w:vAlign w:val="center"/>
          </w:tcPr>
          <w:p w14:paraId="4E113AEE">
            <w:pPr>
              <w:topLinePunct/>
              <w:adjustRightInd w:val="0"/>
              <w:snapToGrid w:val="0"/>
              <w:jc w:val="center"/>
              <w:rPr>
                <w:rFonts w:ascii="Times New Roman" w:eastAsia="仿宋"/>
                <w:szCs w:val="21"/>
              </w:rPr>
            </w:pPr>
          </w:p>
        </w:tc>
        <w:tc>
          <w:tcPr>
            <w:tcW w:w="1102" w:type="dxa"/>
            <w:shd w:val="clear" w:color="auto" w:fill="auto"/>
            <w:vAlign w:val="center"/>
          </w:tcPr>
          <w:p w14:paraId="11ECE5ED">
            <w:pPr>
              <w:topLinePunct/>
              <w:adjustRightInd w:val="0"/>
              <w:snapToGrid w:val="0"/>
              <w:jc w:val="center"/>
              <w:rPr>
                <w:rFonts w:ascii="Times New Roman" w:eastAsia="仿宋"/>
                <w:szCs w:val="21"/>
              </w:rPr>
            </w:pPr>
            <w:r>
              <w:rPr>
                <w:rFonts w:ascii="Times New Roman" w:eastAsia="仿宋"/>
                <w:szCs w:val="21"/>
              </w:rPr>
              <w:t>HW12</w:t>
            </w:r>
          </w:p>
        </w:tc>
        <w:tc>
          <w:tcPr>
            <w:tcW w:w="1634" w:type="dxa"/>
            <w:shd w:val="clear" w:color="auto" w:fill="auto"/>
            <w:vAlign w:val="center"/>
          </w:tcPr>
          <w:p w14:paraId="3BB1AF38">
            <w:pPr>
              <w:topLinePunct/>
              <w:adjustRightInd w:val="0"/>
              <w:snapToGrid w:val="0"/>
              <w:jc w:val="center"/>
              <w:rPr>
                <w:rFonts w:ascii="Times New Roman" w:eastAsia="仿宋"/>
                <w:szCs w:val="21"/>
              </w:rPr>
            </w:pPr>
            <w:r>
              <w:rPr>
                <w:rFonts w:ascii="Times New Roman" w:eastAsia="仿宋"/>
                <w:szCs w:val="21"/>
              </w:rPr>
              <w:t>900-252-12</w:t>
            </w:r>
          </w:p>
        </w:tc>
        <w:tc>
          <w:tcPr>
            <w:tcW w:w="849" w:type="dxa"/>
            <w:shd w:val="clear" w:color="auto" w:fill="auto"/>
            <w:vAlign w:val="center"/>
          </w:tcPr>
          <w:p w14:paraId="527D3C30">
            <w:pPr>
              <w:topLinePunct/>
              <w:adjustRightInd w:val="0"/>
              <w:snapToGrid w:val="0"/>
              <w:jc w:val="center"/>
              <w:rPr>
                <w:rFonts w:ascii="Times New Roman" w:eastAsia="仿宋"/>
                <w:szCs w:val="21"/>
              </w:rPr>
            </w:pPr>
            <w:r>
              <w:rPr>
                <w:rFonts w:hint="eastAsia" w:ascii="Times New Roman" w:eastAsia="仿宋"/>
                <w:szCs w:val="21"/>
              </w:rPr>
              <w:t>1.015</w:t>
            </w:r>
          </w:p>
        </w:tc>
        <w:tc>
          <w:tcPr>
            <w:tcW w:w="1350" w:type="dxa"/>
            <w:shd w:val="clear" w:color="auto" w:fill="auto"/>
            <w:vAlign w:val="center"/>
          </w:tcPr>
          <w:p w14:paraId="3390DA5D">
            <w:pPr>
              <w:topLinePunct/>
              <w:adjustRightInd w:val="0"/>
              <w:snapToGrid w:val="0"/>
              <w:jc w:val="center"/>
              <w:rPr>
                <w:rFonts w:ascii="Times New Roman" w:eastAsia="仿宋"/>
                <w:szCs w:val="21"/>
              </w:rPr>
            </w:pPr>
            <w:r>
              <w:rPr>
                <w:rFonts w:hint="eastAsia" w:ascii="Times New Roman" w:eastAsia="仿宋"/>
                <w:szCs w:val="21"/>
              </w:rPr>
              <w:t>喷漆</w:t>
            </w:r>
          </w:p>
        </w:tc>
        <w:tc>
          <w:tcPr>
            <w:tcW w:w="765" w:type="dxa"/>
            <w:shd w:val="clear" w:color="auto" w:fill="auto"/>
            <w:vAlign w:val="center"/>
          </w:tcPr>
          <w:p w14:paraId="1E220DDD">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shd w:val="clear" w:color="auto" w:fill="auto"/>
            <w:vAlign w:val="center"/>
          </w:tcPr>
          <w:p w14:paraId="4E5901E8">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87" w:type="dxa"/>
            <w:shd w:val="clear" w:color="auto" w:fill="auto"/>
            <w:vAlign w:val="center"/>
          </w:tcPr>
          <w:p w14:paraId="5E1572F9">
            <w:pPr>
              <w:topLinePunct/>
              <w:adjustRightInd w:val="0"/>
              <w:snapToGrid w:val="0"/>
              <w:jc w:val="center"/>
              <w:rPr>
                <w:rFonts w:ascii="Times New Roman" w:eastAsia="仿宋"/>
                <w:szCs w:val="21"/>
              </w:rPr>
            </w:pPr>
            <w:r>
              <w:rPr>
                <w:rFonts w:hint="eastAsia" w:ascii="Times New Roman" w:eastAsia="仿宋"/>
                <w:szCs w:val="21"/>
              </w:rPr>
              <w:t>树脂、石粉</w:t>
            </w:r>
          </w:p>
        </w:tc>
        <w:tc>
          <w:tcPr>
            <w:tcW w:w="992" w:type="dxa"/>
            <w:shd w:val="clear" w:color="auto" w:fill="auto"/>
            <w:vAlign w:val="center"/>
          </w:tcPr>
          <w:p w14:paraId="787F9FDB">
            <w:pPr>
              <w:topLinePunct/>
              <w:adjustRightInd w:val="0"/>
              <w:snapToGrid w:val="0"/>
              <w:jc w:val="center"/>
              <w:rPr>
                <w:rFonts w:ascii="Times New Roman" w:eastAsia="仿宋"/>
                <w:szCs w:val="21"/>
              </w:rPr>
            </w:pPr>
            <w:r>
              <w:rPr>
                <w:rFonts w:ascii="Times New Roman" w:eastAsia="仿宋"/>
                <w:szCs w:val="21"/>
              </w:rPr>
              <w:t>1天</w:t>
            </w:r>
          </w:p>
        </w:tc>
        <w:tc>
          <w:tcPr>
            <w:tcW w:w="851" w:type="dxa"/>
            <w:shd w:val="clear" w:color="auto" w:fill="auto"/>
            <w:vAlign w:val="center"/>
          </w:tcPr>
          <w:p w14:paraId="424AE686">
            <w:pPr>
              <w:topLinePunct/>
              <w:adjustRightInd w:val="0"/>
              <w:snapToGrid w:val="0"/>
              <w:jc w:val="center"/>
              <w:rPr>
                <w:rFonts w:ascii="Times New Roman" w:eastAsia="仿宋"/>
                <w:szCs w:val="21"/>
              </w:rPr>
            </w:pPr>
            <w:r>
              <w:rPr>
                <w:rFonts w:ascii="Times New Roman" w:eastAsia="仿宋"/>
                <w:szCs w:val="21"/>
              </w:rPr>
              <w:t>T，I</w:t>
            </w:r>
          </w:p>
        </w:tc>
        <w:tc>
          <w:tcPr>
            <w:tcW w:w="1086" w:type="dxa"/>
            <w:vMerge w:val="continue"/>
            <w:vAlign w:val="center"/>
          </w:tcPr>
          <w:p w14:paraId="42456B9E">
            <w:pPr>
              <w:topLinePunct/>
              <w:adjustRightInd w:val="0"/>
              <w:snapToGrid w:val="0"/>
              <w:jc w:val="center"/>
              <w:rPr>
                <w:rFonts w:ascii="Times New Roman" w:eastAsia="仿宋"/>
                <w:szCs w:val="21"/>
              </w:rPr>
            </w:pPr>
          </w:p>
        </w:tc>
      </w:tr>
      <w:tr w14:paraId="3049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B80CA8A">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5</w:t>
            </w:r>
          </w:p>
        </w:tc>
        <w:tc>
          <w:tcPr>
            <w:tcW w:w="1610" w:type="dxa"/>
            <w:vAlign w:val="center"/>
          </w:tcPr>
          <w:p w14:paraId="2FB77F9C">
            <w:pPr>
              <w:topLinePunct/>
              <w:adjustRightInd w:val="0"/>
              <w:snapToGrid w:val="0"/>
              <w:jc w:val="center"/>
              <w:rPr>
                <w:rFonts w:ascii="Times New Roman" w:eastAsia="仿宋"/>
                <w:szCs w:val="21"/>
              </w:rPr>
            </w:pPr>
            <w:r>
              <w:rPr>
                <w:rFonts w:hint="eastAsia" w:ascii="Times New Roman" w:eastAsia="仿宋"/>
                <w:szCs w:val="21"/>
              </w:rPr>
              <w:t>废清洗液</w:t>
            </w:r>
          </w:p>
        </w:tc>
        <w:tc>
          <w:tcPr>
            <w:tcW w:w="864" w:type="dxa"/>
            <w:vMerge w:val="continue"/>
            <w:vAlign w:val="center"/>
          </w:tcPr>
          <w:p w14:paraId="14D29B3E">
            <w:pPr>
              <w:topLinePunct/>
              <w:adjustRightInd w:val="0"/>
              <w:snapToGrid w:val="0"/>
              <w:jc w:val="center"/>
              <w:rPr>
                <w:rFonts w:ascii="Times New Roman" w:eastAsia="仿宋"/>
                <w:szCs w:val="21"/>
              </w:rPr>
            </w:pPr>
          </w:p>
        </w:tc>
        <w:tc>
          <w:tcPr>
            <w:tcW w:w="1102" w:type="dxa"/>
            <w:vAlign w:val="center"/>
          </w:tcPr>
          <w:p w14:paraId="75936F5A">
            <w:pPr>
              <w:topLinePunct/>
              <w:adjustRightInd w:val="0"/>
              <w:snapToGrid w:val="0"/>
              <w:jc w:val="center"/>
              <w:rPr>
                <w:rFonts w:ascii="Times New Roman" w:eastAsia="仿宋"/>
                <w:szCs w:val="21"/>
              </w:rPr>
            </w:pPr>
            <w:r>
              <w:rPr>
                <w:rFonts w:hint="eastAsia" w:ascii="Times New Roman" w:eastAsia="仿宋"/>
                <w:szCs w:val="21"/>
              </w:rPr>
              <w:t>HW12</w:t>
            </w:r>
          </w:p>
        </w:tc>
        <w:tc>
          <w:tcPr>
            <w:tcW w:w="1634" w:type="dxa"/>
            <w:vAlign w:val="center"/>
          </w:tcPr>
          <w:p w14:paraId="3C7C271F">
            <w:pPr>
              <w:topLinePunct/>
              <w:adjustRightInd w:val="0"/>
              <w:snapToGrid w:val="0"/>
              <w:jc w:val="center"/>
              <w:rPr>
                <w:rFonts w:ascii="Times New Roman" w:eastAsia="仿宋"/>
                <w:szCs w:val="21"/>
              </w:rPr>
            </w:pPr>
            <w:r>
              <w:rPr>
                <w:rFonts w:hint="eastAsia" w:ascii="Times New Roman" w:eastAsia="仿宋"/>
                <w:szCs w:val="21"/>
              </w:rPr>
              <w:t>900-256-12</w:t>
            </w:r>
          </w:p>
        </w:tc>
        <w:tc>
          <w:tcPr>
            <w:tcW w:w="849" w:type="dxa"/>
            <w:vAlign w:val="center"/>
          </w:tcPr>
          <w:p w14:paraId="4B345EBA">
            <w:pPr>
              <w:topLinePunct/>
              <w:adjustRightInd w:val="0"/>
              <w:snapToGrid w:val="0"/>
              <w:jc w:val="center"/>
              <w:rPr>
                <w:rFonts w:ascii="Times New Roman" w:eastAsia="仿宋"/>
                <w:szCs w:val="21"/>
              </w:rPr>
            </w:pPr>
            <w:r>
              <w:rPr>
                <w:rFonts w:hint="eastAsia" w:ascii="Times New Roman" w:eastAsia="仿宋"/>
                <w:szCs w:val="21"/>
              </w:rPr>
              <w:t>4.5</w:t>
            </w:r>
          </w:p>
        </w:tc>
        <w:tc>
          <w:tcPr>
            <w:tcW w:w="1350" w:type="dxa"/>
            <w:vAlign w:val="center"/>
          </w:tcPr>
          <w:p w14:paraId="3B494725">
            <w:pPr>
              <w:topLinePunct/>
              <w:adjustRightInd w:val="0"/>
              <w:snapToGrid w:val="0"/>
              <w:jc w:val="center"/>
              <w:rPr>
                <w:rFonts w:ascii="Times New Roman" w:eastAsia="仿宋"/>
                <w:szCs w:val="21"/>
              </w:rPr>
            </w:pPr>
            <w:r>
              <w:rPr>
                <w:rFonts w:hint="eastAsia" w:ascii="Times New Roman" w:eastAsia="仿宋"/>
                <w:szCs w:val="21"/>
              </w:rPr>
              <w:t>喷枪清洗</w:t>
            </w:r>
          </w:p>
        </w:tc>
        <w:tc>
          <w:tcPr>
            <w:tcW w:w="765" w:type="dxa"/>
            <w:vAlign w:val="center"/>
          </w:tcPr>
          <w:p w14:paraId="4B3A5319">
            <w:pPr>
              <w:topLinePunct/>
              <w:adjustRightInd w:val="0"/>
              <w:snapToGrid w:val="0"/>
              <w:jc w:val="center"/>
              <w:rPr>
                <w:rFonts w:ascii="Times New Roman" w:eastAsia="仿宋"/>
                <w:szCs w:val="21"/>
              </w:rPr>
            </w:pPr>
            <w:r>
              <w:rPr>
                <w:rFonts w:hint="eastAsia" w:ascii="Times New Roman" w:eastAsia="仿宋"/>
                <w:szCs w:val="21"/>
              </w:rPr>
              <w:t>液态</w:t>
            </w:r>
          </w:p>
        </w:tc>
        <w:tc>
          <w:tcPr>
            <w:tcW w:w="1170" w:type="dxa"/>
            <w:vAlign w:val="center"/>
          </w:tcPr>
          <w:p w14:paraId="4CC7F274">
            <w:pPr>
              <w:topLinePunct/>
              <w:adjustRightInd w:val="0"/>
              <w:snapToGrid w:val="0"/>
              <w:jc w:val="center"/>
              <w:rPr>
                <w:rFonts w:ascii="Times New Roman" w:eastAsia="仿宋"/>
                <w:szCs w:val="21"/>
              </w:rPr>
            </w:pPr>
            <w:r>
              <w:rPr>
                <w:rFonts w:hint="eastAsia" w:ascii="Times New Roman" w:eastAsia="仿宋"/>
                <w:szCs w:val="21"/>
              </w:rPr>
              <w:t>稀释剂、杂质</w:t>
            </w:r>
          </w:p>
        </w:tc>
        <w:tc>
          <w:tcPr>
            <w:tcW w:w="987" w:type="dxa"/>
            <w:vAlign w:val="center"/>
          </w:tcPr>
          <w:p w14:paraId="61E008B9">
            <w:pPr>
              <w:topLinePunct/>
              <w:adjustRightInd w:val="0"/>
              <w:snapToGrid w:val="0"/>
              <w:jc w:val="center"/>
              <w:rPr>
                <w:rFonts w:ascii="Times New Roman" w:eastAsia="仿宋"/>
                <w:szCs w:val="21"/>
              </w:rPr>
            </w:pPr>
            <w:r>
              <w:rPr>
                <w:rFonts w:hint="eastAsia" w:ascii="Times New Roman" w:eastAsia="仿宋"/>
                <w:szCs w:val="21"/>
              </w:rPr>
              <w:t>稀释剂</w:t>
            </w:r>
          </w:p>
        </w:tc>
        <w:tc>
          <w:tcPr>
            <w:tcW w:w="992" w:type="dxa"/>
            <w:vAlign w:val="center"/>
          </w:tcPr>
          <w:p w14:paraId="74B50325">
            <w:pPr>
              <w:topLinePunct/>
              <w:adjustRightInd w:val="0"/>
              <w:snapToGrid w:val="0"/>
              <w:jc w:val="center"/>
              <w:rPr>
                <w:rFonts w:ascii="Times New Roman" w:eastAsia="仿宋"/>
                <w:szCs w:val="21"/>
              </w:rPr>
            </w:pPr>
            <w:r>
              <w:rPr>
                <w:rFonts w:hint="eastAsia" w:ascii="Times New Roman" w:eastAsia="仿宋"/>
                <w:szCs w:val="21"/>
              </w:rPr>
              <w:t>1个月</w:t>
            </w:r>
          </w:p>
        </w:tc>
        <w:tc>
          <w:tcPr>
            <w:tcW w:w="851" w:type="dxa"/>
            <w:vAlign w:val="center"/>
          </w:tcPr>
          <w:p w14:paraId="4D945298">
            <w:pPr>
              <w:topLinePunct/>
              <w:adjustRightInd w:val="0"/>
              <w:snapToGrid w:val="0"/>
              <w:jc w:val="center"/>
              <w:rPr>
                <w:rFonts w:ascii="Times New Roman" w:eastAsia="仿宋"/>
                <w:szCs w:val="21"/>
              </w:rPr>
            </w:pPr>
            <w:r>
              <w:rPr>
                <w:rFonts w:hint="eastAsia" w:ascii="Times New Roman" w:eastAsia="仿宋"/>
                <w:szCs w:val="21"/>
              </w:rPr>
              <w:t>T,I,C</w:t>
            </w:r>
          </w:p>
        </w:tc>
        <w:tc>
          <w:tcPr>
            <w:tcW w:w="1086" w:type="dxa"/>
            <w:vMerge w:val="continue"/>
            <w:vAlign w:val="center"/>
          </w:tcPr>
          <w:p w14:paraId="3FFF8DE5">
            <w:pPr>
              <w:topLinePunct/>
              <w:adjustRightInd w:val="0"/>
              <w:snapToGrid w:val="0"/>
              <w:jc w:val="center"/>
              <w:rPr>
                <w:rFonts w:ascii="Times New Roman" w:eastAsia="仿宋"/>
                <w:szCs w:val="21"/>
              </w:rPr>
            </w:pPr>
          </w:p>
        </w:tc>
      </w:tr>
      <w:tr w14:paraId="2DE1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4B3AB416">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6</w:t>
            </w:r>
          </w:p>
        </w:tc>
        <w:tc>
          <w:tcPr>
            <w:tcW w:w="1610" w:type="dxa"/>
            <w:vAlign w:val="center"/>
          </w:tcPr>
          <w:p w14:paraId="76BEC124">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包装</w:t>
            </w:r>
            <w:r>
              <w:rPr>
                <w:rFonts w:ascii="Times New Roman" w:eastAsia="仿宋"/>
                <w:szCs w:val="21"/>
              </w:rPr>
              <w:t>桶</w:t>
            </w:r>
          </w:p>
        </w:tc>
        <w:tc>
          <w:tcPr>
            <w:tcW w:w="864" w:type="dxa"/>
            <w:vMerge w:val="continue"/>
            <w:vAlign w:val="center"/>
          </w:tcPr>
          <w:p w14:paraId="1AE05C3B">
            <w:pPr>
              <w:topLinePunct/>
              <w:adjustRightInd w:val="0"/>
              <w:snapToGrid w:val="0"/>
              <w:jc w:val="center"/>
              <w:rPr>
                <w:rFonts w:ascii="Times New Roman" w:eastAsia="仿宋"/>
                <w:szCs w:val="21"/>
              </w:rPr>
            </w:pPr>
          </w:p>
        </w:tc>
        <w:tc>
          <w:tcPr>
            <w:tcW w:w="1102" w:type="dxa"/>
            <w:vAlign w:val="center"/>
          </w:tcPr>
          <w:p w14:paraId="52B4D16F">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051C25D7">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687D9653">
            <w:pPr>
              <w:topLinePunct/>
              <w:adjustRightInd w:val="0"/>
              <w:snapToGrid w:val="0"/>
              <w:jc w:val="center"/>
              <w:rPr>
                <w:rFonts w:ascii="Times New Roman" w:eastAsia="仿宋"/>
                <w:szCs w:val="21"/>
              </w:rPr>
            </w:pPr>
            <w:r>
              <w:rPr>
                <w:rFonts w:hint="eastAsia" w:ascii="Times New Roman" w:eastAsia="仿宋"/>
                <w:szCs w:val="21"/>
              </w:rPr>
              <w:t>12.46</w:t>
            </w:r>
          </w:p>
        </w:tc>
        <w:tc>
          <w:tcPr>
            <w:tcW w:w="1350" w:type="dxa"/>
            <w:vAlign w:val="center"/>
          </w:tcPr>
          <w:p w14:paraId="4A5118D8">
            <w:pPr>
              <w:topLinePunct/>
              <w:adjustRightInd w:val="0"/>
              <w:snapToGrid w:val="0"/>
              <w:jc w:val="center"/>
              <w:rPr>
                <w:rFonts w:ascii="Times New Roman" w:eastAsia="仿宋"/>
                <w:szCs w:val="21"/>
              </w:rPr>
            </w:pPr>
            <w:r>
              <w:rPr>
                <w:rFonts w:hint="eastAsia" w:ascii="Times New Roman" w:eastAsia="仿宋"/>
                <w:szCs w:val="21"/>
              </w:rPr>
              <w:t>原料使用</w:t>
            </w:r>
          </w:p>
        </w:tc>
        <w:tc>
          <w:tcPr>
            <w:tcW w:w="765" w:type="dxa"/>
            <w:vAlign w:val="center"/>
          </w:tcPr>
          <w:p w14:paraId="34EF50DC">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00D3073A">
            <w:pPr>
              <w:topLinePunct/>
              <w:adjustRightInd w:val="0"/>
              <w:snapToGrid w:val="0"/>
              <w:jc w:val="center"/>
              <w:rPr>
                <w:rFonts w:ascii="Times New Roman" w:eastAsia="仿宋"/>
                <w:szCs w:val="21"/>
              </w:rPr>
            </w:pPr>
            <w:r>
              <w:rPr>
                <w:rFonts w:ascii="Times New Roman" w:eastAsia="仿宋"/>
                <w:szCs w:val="21"/>
              </w:rPr>
              <w:t>铁、有机物</w:t>
            </w:r>
          </w:p>
        </w:tc>
        <w:tc>
          <w:tcPr>
            <w:tcW w:w="987" w:type="dxa"/>
            <w:vAlign w:val="center"/>
          </w:tcPr>
          <w:p w14:paraId="0E42FD73">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24E41C8C">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3CC28778">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79098783">
            <w:pPr>
              <w:topLinePunct/>
              <w:adjustRightInd w:val="0"/>
              <w:snapToGrid w:val="0"/>
              <w:jc w:val="center"/>
              <w:rPr>
                <w:rFonts w:ascii="Times New Roman" w:eastAsia="仿宋"/>
                <w:szCs w:val="21"/>
              </w:rPr>
            </w:pPr>
          </w:p>
        </w:tc>
      </w:tr>
      <w:tr w14:paraId="25A4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1C54B9BA">
            <w:pPr>
              <w:topLinePunct/>
              <w:adjustRightInd w:val="0"/>
              <w:snapToGrid w:val="0"/>
              <w:jc w:val="center"/>
              <w:rPr>
                <w:rFonts w:ascii="Times New Roman" w:eastAsia="仿宋"/>
                <w:szCs w:val="21"/>
              </w:rPr>
            </w:pPr>
            <w:r>
              <w:rPr>
                <w:rFonts w:hint="eastAsia" w:ascii="Times New Roman" w:eastAsia="仿宋"/>
                <w:szCs w:val="21"/>
              </w:rPr>
              <w:t>17</w:t>
            </w:r>
          </w:p>
        </w:tc>
        <w:tc>
          <w:tcPr>
            <w:tcW w:w="1610" w:type="dxa"/>
            <w:vAlign w:val="center"/>
          </w:tcPr>
          <w:p w14:paraId="125AE24C">
            <w:pPr>
              <w:topLinePunct/>
              <w:adjustRightInd w:val="0"/>
              <w:snapToGrid w:val="0"/>
              <w:jc w:val="center"/>
              <w:rPr>
                <w:rFonts w:ascii="Times New Roman" w:eastAsia="仿宋"/>
                <w:szCs w:val="21"/>
              </w:rPr>
            </w:pPr>
            <w:r>
              <w:rPr>
                <w:rFonts w:hint="eastAsia" w:ascii="Times New Roman" w:eastAsia="仿宋"/>
                <w:szCs w:val="21"/>
              </w:rPr>
              <w:t>废</w:t>
            </w:r>
            <w:r>
              <w:rPr>
                <w:rFonts w:ascii="Times New Roman" w:eastAsia="仿宋"/>
                <w:szCs w:val="21"/>
              </w:rPr>
              <w:t>手套</w:t>
            </w:r>
          </w:p>
        </w:tc>
        <w:tc>
          <w:tcPr>
            <w:tcW w:w="864" w:type="dxa"/>
            <w:vMerge w:val="continue"/>
            <w:vAlign w:val="center"/>
          </w:tcPr>
          <w:p w14:paraId="6828DF77">
            <w:pPr>
              <w:topLinePunct/>
              <w:adjustRightInd w:val="0"/>
              <w:snapToGrid w:val="0"/>
              <w:jc w:val="center"/>
              <w:rPr>
                <w:rFonts w:ascii="Times New Roman" w:eastAsia="仿宋"/>
                <w:szCs w:val="21"/>
              </w:rPr>
            </w:pPr>
          </w:p>
        </w:tc>
        <w:tc>
          <w:tcPr>
            <w:tcW w:w="1102" w:type="dxa"/>
            <w:vAlign w:val="center"/>
          </w:tcPr>
          <w:p w14:paraId="73D4D6FE">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241209B8">
            <w:pPr>
              <w:topLinePunct/>
              <w:adjustRightInd w:val="0"/>
              <w:snapToGrid w:val="0"/>
              <w:jc w:val="center"/>
              <w:rPr>
                <w:rFonts w:ascii="Times New Roman" w:eastAsia="仿宋"/>
                <w:szCs w:val="21"/>
              </w:rPr>
            </w:pPr>
            <w:r>
              <w:rPr>
                <w:rFonts w:ascii="Times New Roman" w:eastAsia="仿宋"/>
                <w:szCs w:val="21"/>
              </w:rPr>
              <w:t>900-041-49</w:t>
            </w:r>
          </w:p>
        </w:tc>
        <w:tc>
          <w:tcPr>
            <w:tcW w:w="849" w:type="dxa"/>
            <w:vAlign w:val="center"/>
          </w:tcPr>
          <w:p w14:paraId="3FB0EDE2">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5</w:t>
            </w:r>
          </w:p>
        </w:tc>
        <w:tc>
          <w:tcPr>
            <w:tcW w:w="1350" w:type="dxa"/>
            <w:vAlign w:val="center"/>
          </w:tcPr>
          <w:p w14:paraId="27321D78">
            <w:pPr>
              <w:topLinePunct/>
              <w:adjustRightInd w:val="0"/>
              <w:snapToGrid w:val="0"/>
              <w:jc w:val="center"/>
              <w:rPr>
                <w:rFonts w:ascii="Times New Roman" w:eastAsia="仿宋"/>
                <w:szCs w:val="21"/>
              </w:rPr>
            </w:pPr>
            <w:r>
              <w:rPr>
                <w:rFonts w:hint="eastAsia" w:ascii="Times New Roman" w:eastAsia="仿宋"/>
                <w:szCs w:val="21"/>
              </w:rPr>
              <w:t>机加工</w:t>
            </w:r>
          </w:p>
        </w:tc>
        <w:tc>
          <w:tcPr>
            <w:tcW w:w="765" w:type="dxa"/>
            <w:vAlign w:val="center"/>
          </w:tcPr>
          <w:p w14:paraId="26AC77D6">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16E81CE7">
            <w:pPr>
              <w:topLinePunct/>
              <w:adjustRightInd w:val="0"/>
              <w:snapToGrid w:val="0"/>
              <w:jc w:val="center"/>
              <w:rPr>
                <w:rFonts w:ascii="Times New Roman" w:eastAsia="仿宋"/>
                <w:szCs w:val="21"/>
              </w:rPr>
            </w:pPr>
            <w:r>
              <w:rPr>
                <w:rFonts w:ascii="Times New Roman" w:eastAsia="仿宋"/>
                <w:szCs w:val="21"/>
              </w:rPr>
              <w:t>棉、</w:t>
            </w:r>
            <w:r>
              <w:rPr>
                <w:rFonts w:hint="eastAsia" w:ascii="Times New Roman" w:eastAsia="仿宋"/>
                <w:szCs w:val="21"/>
              </w:rPr>
              <w:t>矿物油</w:t>
            </w:r>
          </w:p>
        </w:tc>
        <w:tc>
          <w:tcPr>
            <w:tcW w:w="987" w:type="dxa"/>
            <w:vAlign w:val="center"/>
          </w:tcPr>
          <w:p w14:paraId="3B6DA349">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4538905C">
            <w:pPr>
              <w:topLinePunct/>
              <w:adjustRightInd w:val="0"/>
              <w:snapToGrid w:val="0"/>
              <w:jc w:val="center"/>
              <w:rPr>
                <w:rFonts w:ascii="Times New Roman" w:eastAsia="仿宋"/>
                <w:szCs w:val="21"/>
              </w:rPr>
            </w:pPr>
            <w:r>
              <w:rPr>
                <w:rFonts w:ascii="Times New Roman" w:eastAsia="仿宋"/>
                <w:szCs w:val="21"/>
              </w:rPr>
              <w:t>1天</w:t>
            </w:r>
          </w:p>
        </w:tc>
        <w:tc>
          <w:tcPr>
            <w:tcW w:w="851" w:type="dxa"/>
            <w:vAlign w:val="center"/>
          </w:tcPr>
          <w:p w14:paraId="5290D16C">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50CA4B1C">
            <w:pPr>
              <w:topLinePunct/>
              <w:adjustRightInd w:val="0"/>
              <w:snapToGrid w:val="0"/>
              <w:jc w:val="center"/>
              <w:rPr>
                <w:rFonts w:ascii="Times New Roman" w:eastAsia="仿宋"/>
                <w:szCs w:val="21"/>
              </w:rPr>
            </w:pPr>
          </w:p>
        </w:tc>
      </w:tr>
      <w:tr w14:paraId="0BB3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51FC3720">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8</w:t>
            </w:r>
          </w:p>
        </w:tc>
        <w:tc>
          <w:tcPr>
            <w:tcW w:w="1610" w:type="dxa"/>
            <w:vAlign w:val="center"/>
          </w:tcPr>
          <w:p w14:paraId="688D7762">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机油</w:t>
            </w:r>
          </w:p>
        </w:tc>
        <w:tc>
          <w:tcPr>
            <w:tcW w:w="864" w:type="dxa"/>
            <w:vMerge w:val="continue"/>
            <w:vAlign w:val="center"/>
          </w:tcPr>
          <w:p w14:paraId="06377671">
            <w:pPr>
              <w:topLinePunct/>
              <w:adjustRightInd w:val="0"/>
              <w:snapToGrid w:val="0"/>
              <w:jc w:val="center"/>
              <w:rPr>
                <w:rFonts w:ascii="Times New Roman" w:eastAsia="仿宋"/>
                <w:szCs w:val="21"/>
              </w:rPr>
            </w:pPr>
          </w:p>
        </w:tc>
        <w:tc>
          <w:tcPr>
            <w:tcW w:w="1102" w:type="dxa"/>
            <w:vAlign w:val="center"/>
          </w:tcPr>
          <w:p w14:paraId="5C6544CE">
            <w:pPr>
              <w:topLinePunct/>
              <w:adjustRightInd w:val="0"/>
              <w:snapToGrid w:val="0"/>
              <w:jc w:val="center"/>
              <w:rPr>
                <w:rFonts w:ascii="Times New Roman" w:eastAsia="仿宋"/>
                <w:szCs w:val="21"/>
              </w:rPr>
            </w:pPr>
            <w:r>
              <w:rPr>
                <w:rFonts w:ascii="Times New Roman" w:eastAsia="仿宋"/>
                <w:szCs w:val="21"/>
              </w:rPr>
              <w:t>HW08</w:t>
            </w:r>
          </w:p>
        </w:tc>
        <w:tc>
          <w:tcPr>
            <w:tcW w:w="1634" w:type="dxa"/>
            <w:vAlign w:val="center"/>
          </w:tcPr>
          <w:p w14:paraId="4F093644">
            <w:pPr>
              <w:topLinePunct/>
              <w:adjustRightInd w:val="0"/>
              <w:snapToGrid w:val="0"/>
              <w:jc w:val="center"/>
              <w:rPr>
                <w:rFonts w:ascii="Times New Roman" w:eastAsia="仿宋"/>
                <w:szCs w:val="21"/>
              </w:rPr>
            </w:pPr>
            <w:r>
              <w:rPr>
                <w:rFonts w:ascii="Times New Roman" w:eastAsia="仿宋"/>
                <w:szCs w:val="21"/>
              </w:rPr>
              <w:t>900-249-08</w:t>
            </w:r>
          </w:p>
        </w:tc>
        <w:tc>
          <w:tcPr>
            <w:tcW w:w="849" w:type="dxa"/>
            <w:vAlign w:val="center"/>
          </w:tcPr>
          <w:p w14:paraId="383FC2BF">
            <w:pPr>
              <w:topLinePunct/>
              <w:adjustRightInd w:val="0"/>
              <w:snapToGrid w:val="0"/>
              <w:jc w:val="center"/>
              <w:rPr>
                <w:rFonts w:ascii="Times New Roman" w:eastAsia="仿宋"/>
                <w:szCs w:val="21"/>
              </w:rPr>
            </w:pPr>
            <w:r>
              <w:rPr>
                <w:rFonts w:hint="eastAsia" w:ascii="Times New Roman" w:eastAsia="仿宋"/>
                <w:szCs w:val="21"/>
              </w:rPr>
              <w:t>2</w:t>
            </w:r>
          </w:p>
        </w:tc>
        <w:tc>
          <w:tcPr>
            <w:tcW w:w="1350" w:type="dxa"/>
            <w:vAlign w:val="center"/>
          </w:tcPr>
          <w:p w14:paraId="382E1BDE">
            <w:pPr>
              <w:topLinePunct/>
              <w:adjustRightInd w:val="0"/>
              <w:snapToGrid w:val="0"/>
              <w:jc w:val="center"/>
              <w:rPr>
                <w:rFonts w:ascii="Times New Roman" w:eastAsia="仿宋"/>
                <w:szCs w:val="21"/>
              </w:rPr>
            </w:pPr>
            <w:r>
              <w:rPr>
                <w:rFonts w:hint="eastAsia" w:ascii="Times New Roman" w:eastAsia="仿宋"/>
                <w:szCs w:val="21"/>
              </w:rPr>
              <w:t>设备维修</w:t>
            </w:r>
          </w:p>
        </w:tc>
        <w:tc>
          <w:tcPr>
            <w:tcW w:w="765" w:type="dxa"/>
            <w:vAlign w:val="center"/>
          </w:tcPr>
          <w:p w14:paraId="4F2C1984">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E9C9608">
            <w:pPr>
              <w:topLinePunct/>
              <w:adjustRightInd w:val="0"/>
              <w:snapToGrid w:val="0"/>
              <w:jc w:val="center"/>
              <w:rPr>
                <w:rFonts w:ascii="Times New Roman" w:eastAsia="仿宋"/>
                <w:szCs w:val="21"/>
              </w:rPr>
            </w:pPr>
            <w:r>
              <w:rPr>
                <w:rFonts w:hint="eastAsia" w:ascii="Times New Roman" w:eastAsia="仿宋"/>
                <w:szCs w:val="21"/>
              </w:rPr>
              <w:t>矿物油</w:t>
            </w:r>
          </w:p>
        </w:tc>
        <w:tc>
          <w:tcPr>
            <w:tcW w:w="987" w:type="dxa"/>
            <w:vAlign w:val="center"/>
          </w:tcPr>
          <w:p w14:paraId="1E30E3CD">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6B9E9BA6">
            <w:pPr>
              <w:topLinePunct/>
              <w:adjustRightInd w:val="0"/>
              <w:snapToGrid w:val="0"/>
              <w:jc w:val="center"/>
              <w:rPr>
                <w:rFonts w:ascii="Times New Roman" w:eastAsia="仿宋"/>
                <w:szCs w:val="21"/>
              </w:rPr>
            </w:pPr>
            <w:r>
              <w:rPr>
                <w:rFonts w:hint="eastAsia" w:ascii="Times New Roman" w:eastAsia="仿宋"/>
                <w:szCs w:val="21"/>
              </w:rPr>
              <w:t>1年</w:t>
            </w:r>
          </w:p>
        </w:tc>
        <w:tc>
          <w:tcPr>
            <w:tcW w:w="851" w:type="dxa"/>
            <w:vAlign w:val="center"/>
          </w:tcPr>
          <w:p w14:paraId="2DC033B2">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7487FF16">
            <w:pPr>
              <w:topLinePunct/>
              <w:adjustRightInd w:val="0"/>
              <w:snapToGrid w:val="0"/>
              <w:jc w:val="center"/>
              <w:rPr>
                <w:rFonts w:ascii="Times New Roman" w:eastAsia="仿宋"/>
                <w:szCs w:val="21"/>
              </w:rPr>
            </w:pPr>
          </w:p>
        </w:tc>
      </w:tr>
      <w:tr w14:paraId="67AE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08D768A2">
            <w:pPr>
              <w:topLinePunct/>
              <w:adjustRightInd w:val="0"/>
              <w:snapToGrid w:val="0"/>
              <w:jc w:val="center"/>
              <w:rPr>
                <w:rFonts w:ascii="Times New Roman" w:eastAsia="仿宋"/>
                <w:szCs w:val="21"/>
              </w:rPr>
            </w:pPr>
            <w:r>
              <w:rPr>
                <w:rFonts w:hint="eastAsia" w:ascii="Times New Roman" w:eastAsia="仿宋"/>
                <w:szCs w:val="21"/>
              </w:rPr>
              <w:t>19</w:t>
            </w:r>
          </w:p>
        </w:tc>
        <w:tc>
          <w:tcPr>
            <w:tcW w:w="1610" w:type="dxa"/>
            <w:vAlign w:val="center"/>
          </w:tcPr>
          <w:p w14:paraId="79A90775">
            <w:pPr>
              <w:topLinePunct/>
              <w:adjustRightInd w:val="0"/>
              <w:snapToGrid w:val="0"/>
              <w:jc w:val="center"/>
              <w:rPr>
                <w:rFonts w:ascii="Times New Roman" w:eastAsia="仿宋"/>
                <w:szCs w:val="21"/>
              </w:rPr>
            </w:pPr>
            <w:r>
              <w:rPr>
                <w:rFonts w:hint="eastAsia" w:ascii="Times New Roman" w:eastAsia="仿宋"/>
                <w:szCs w:val="21"/>
              </w:rPr>
              <w:t>废催化剂</w:t>
            </w:r>
          </w:p>
        </w:tc>
        <w:tc>
          <w:tcPr>
            <w:tcW w:w="864" w:type="dxa"/>
            <w:vMerge w:val="continue"/>
            <w:vAlign w:val="center"/>
          </w:tcPr>
          <w:p w14:paraId="69FBBA12">
            <w:pPr>
              <w:topLinePunct/>
              <w:adjustRightInd w:val="0"/>
              <w:snapToGrid w:val="0"/>
              <w:jc w:val="center"/>
              <w:rPr>
                <w:rFonts w:ascii="Times New Roman" w:eastAsia="仿宋"/>
                <w:szCs w:val="21"/>
              </w:rPr>
            </w:pPr>
          </w:p>
        </w:tc>
        <w:tc>
          <w:tcPr>
            <w:tcW w:w="1102" w:type="dxa"/>
            <w:vAlign w:val="center"/>
          </w:tcPr>
          <w:p w14:paraId="2014B07C">
            <w:pPr>
              <w:topLinePunct/>
              <w:adjustRightInd w:val="0"/>
              <w:snapToGrid w:val="0"/>
              <w:jc w:val="center"/>
              <w:rPr>
                <w:rFonts w:ascii="Times New Roman" w:eastAsia="仿宋"/>
                <w:szCs w:val="21"/>
              </w:rPr>
            </w:pPr>
            <w:r>
              <w:rPr>
                <w:rFonts w:hint="eastAsia" w:ascii="Times New Roman" w:eastAsia="仿宋"/>
                <w:szCs w:val="21"/>
              </w:rPr>
              <w:t>HW50</w:t>
            </w:r>
          </w:p>
        </w:tc>
        <w:tc>
          <w:tcPr>
            <w:tcW w:w="1634" w:type="dxa"/>
            <w:vAlign w:val="center"/>
          </w:tcPr>
          <w:p w14:paraId="145B79EE">
            <w:pPr>
              <w:topLinePunct/>
              <w:adjustRightInd w:val="0"/>
              <w:snapToGrid w:val="0"/>
              <w:jc w:val="center"/>
              <w:rPr>
                <w:rFonts w:ascii="Times New Roman" w:eastAsia="仿宋"/>
                <w:szCs w:val="21"/>
              </w:rPr>
            </w:pPr>
            <w:r>
              <w:rPr>
                <w:rFonts w:hint="eastAsia" w:ascii="Times New Roman" w:eastAsia="仿宋"/>
                <w:szCs w:val="21"/>
              </w:rPr>
              <w:t>772-007-50</w:t>
            </w:r>
          </w:p>
        </w:tc>
        <w:tc>
          <w:tcPr>
            <w:tcW w:w="849" w:type="dxa"/>
            <w:vAlign w:val="center"/>
          </w:tcPr>
          <w:p w14:paraId="51A58EC5">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6</w:t>
            </w:r>
            <w:r>
              <w:rPr>
                <w:rFonts w:hint="eastAsia" w:ascii="Times New Roman" w:eastAsia="仿宋"/>
                <w:szCs w:val="21"/>
              </w:rPr>
              <w:t>t/3a</w:t>
            </w:r>
          </w:p>
        </w:tc>
        <w:tc>
          <w:tcPr>
            <w:tcW w:w="1350" w:type="dxa"/>
            <w:vAlign w:val="center"/>
          </w:tcPr>
          <w:p w14:paraId="6B5B02DC">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5697745A">
            <w:pPr>
              <w:topLinePunct/>
              <w:adjustRightInd w:val="0"/>
              <w:snapToGrid w:val="0"/>
              <w:jc w:val="center"/>
              <w:rPr>
                <w:rFonts w:ascii="Times New Roman" w:eastAsia="仿宋"/>
                <w:szCs w:val="21"/>
              </w:rPr>
            </w:pPr>
            <w:r>
              <w:rPr>
                <w:rFonts w:hint="eastAsia" w:ascii="Times New Roman" w:eastAsia="仿宋"/>
                <w:szCs w:val="21"/>
              </w:rPr>
              <w:t>固态</w:t>
            </w:r>
          </w:p>
        </w:tc>
        <w:tc>
          <w:tcPr>
            <w:tcW w:w="1170" w:type="dxa"/>
            <w:vAlign w:val="center"/>
          </w:tcPr>
          <w:p w14:paraId="2635DF8A">
            <w:pPr>
              <w:topLinePunct/>
              <w:adjustRightInd w:val="0"/>
              <w:snapToGrid w:val="0"/>
              <w:jc w:val="center"/>
              <w:rPr>
                <w:rFonts w:ascii="Times New Roman" w:eastAsia="仿宋"/>
                <w:szCs w:val="21"/>
              </w:rPr>
            </w:pPr>
            <w:r>
              <w:rPr>
                <w:rFonts w:hint="eastAsia" w:ascii="Times New Roman" w:eastAsia="仿宋"/>
                <w:szCs w:val="21"/>
              </w:rPr>
              <w:t>催化剂、有机物</w:t>
            </w:r>
          </w:p>
        </w:tc>
        <w:tc>
          <w:tcPr>
            <w:tcW w:w="987" w:type="dxa"/>
            <w:vAlign w:val="center"/>
          </w:tcPr>
          <w:p w14:paraId="3E6B5B7A">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69A6C283">
            <w:pPr>
              <w:topLinePunct/>
              <w:adjustRightInd w:val="0"/>
              <w:snapToGrid w:val="0"/>
              <w:jc w:val="center"/>
              <w:rPr>
                <w:rFonts w:ascii="Times New Roman" w:eastAsia="仿宋"/>
                <w:szCs w:val="21"/>
              </w:rPr>
            </w:pPr>
            <w:r>
              <w:rPr>
                <w:rFonts w:hint="eastAsia" w:ascii="Times New Roman" w:eastAsia="仿宋"/>
                <w:szCs w:val="21"/>
              </w:rPr>
              <w:t>2年</w:t>
            </w:r>
          </w:p>
        </w:tc>
        <w:tc>
          <w:tcPr>
            <w:tcW w:w="851" w:type="dxa"/>
            <w:vAlign w:val="center"/>
          </w:tcPr>
          <w:p w14:paraId="5E3DA207">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7741F027">
            <w:pPr>
              <w:topLinePunct/>
              <w:adjustRightInd w:val="0"/>
              <w:snapToGrid w:val="0"/>
              <w:jc w:val="center"/>
              <w:rPr>
                <w:rFonts w:ascii="Times New Roman" w:eastAsia="仿宋"/>
                <w:szCs w:val="21"/>
              </w:rPr>
            </w:pPr>
          </w:p>
        </w:tc>
      </w:tr>
      <w:tr w14:paraId="1E1F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45D9C68">
            <w:pPr>
              <w:topLinePunct/>
              <w:adjustRightInd w:val="0"/>
              <w:snapToGrid w:val="0"/>
              <w:jc w:val="center"/>
              <w:rPr>
                <w:rFonts w:ascii="Times New Roman" w:eastAsia="仿宋"/>
                <w:szCs w:val="21"/>
              </w:rPr>
            </w:pPr>
            <w:r>
              <w:rPr>
                <w:rFonts w:hint="eastAsia" w:ascii="Times New Roman" w:eastAsia="仿宋"/>
                <w:szCs w:val="21"/>
              </w:rPr>
              <w:t>20</w:t>
            </w:r>
          </w:p>
        </w:tc>
        <w:tc>
          <w:tcPr>
            <w:tcW w:w="1610" w:type="dxa"/>
            <w:vAlign w:val="center"/>
          </w:tcPr>
          <w:p w14:paraId="4F499DB0">
            <w:pPr>
              <w:topLinePunct/>
              <w:adjustRightInd w:val="0"/>
              <w:snapToGrid w:val="0"/>
              <w:jc w:val="center"/>
              <w:rPr>
                <w:rFonts w:ascii="Times New Roman" w:eastAsia="仿宋"/>
                <w:szCs w:val="21"/>
              </w:rPr>
            </w:pPr>
            <w:r>
              <w:rPr>
                <w:rFonts w:hint="eastAsia" w:ascii="Times New Roman" w:eastAsia="仿宋"/>
                <w:szCs w:val="21"/>
              </w:rPr>
              <w:t>废活性炭</w:t>
            </w:r>
          </w:p>
        </w:tc>
        <w:tc>
          <w:tcPr>
            <w:tcW w:w="864" w:type="dxa"/>
            <w:vMerge w:val="continue"/>
            <w:vAlign w:val="center"/>
          </w:tcPr>
          <w:p w14:paraId="6D327919">
            <w:pPr>
              <w:topLinePunct/>
              <w:adjustRightInd w:val="0"/>
              <w:snapToGrid w:val="0"/>
              <w:jc w:val="center"/>
              <w:rPr>
                <w:rFonts w:ascii="Times New Roman" w:eastAsia="仿宋"/>
                <w:szCs w:val="21"/>
              </w:rPr>
            </w:pPr>
          </w:p>
        </w:tc>
        <w:tc>
          <w:tcPr>
            <w:tcW w:w="1102" w:type="dxa"/>
            <w:vAlign w:val="center"/>
          </w:tcPr>
          <w:p w14:paraId="396EE275">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570118FD">
            <w:pPr>
              <w:topLinePunct/>
              <w:adjustRightInd w:val="0"/>
              <w:snapToGrid w:val="0"/>
              <w:jc w:val="center"/>
              <w:rPr>
                <w:rFonts w:ascii="Times New Roman" w:eastAsia="仿宋"/>
                <w:szCs w:val="21"/>
              </w:rPr>
            </w:pPr>
            <w:r>
              <w:rPr>
                <w:rFonts w:ascii="Times New Roman" w:eastAsia="仿宋"/>
                <w:szCs w:val="21"/>
              </w:rPr>
              <w:t>900-039-49</w:t>
            </w:r>
          </w:p>
        </w:tc>
        <w:tc>
          <w:tcPr>
            <w:tcW w:w="849" w:type="dxa"/>
            <w:vAlign w:val="center"/>
          </w:tcPr>
          <w:p w14:paraId="0073B839">
            <w:pPr>
              <w:topLinePunct/>
              <w:adjustRightInd w:val="0"/>
              <w:snapToGrid w:val="0"/>
              <w:jc w:val="center"/>
              <w:rPr>
                <w:rFonts w:ascii="Times New Roman" w:eastAsia="仿宋"/>
                <w:szCs w:val="21"/>
              </w:rPr>
            </w:pPr>
            <w:r>
              <w:rPr>
                <w:rFonts w:ascii="Times New Roman" w:eastAsia="仿宋"/>
                <w:szCs w:val="21"/>
              </w:rPr>
              <w:t>8.2</w:t>
            </w:r>
          </w:p>
        </w:tc>
        <w:tc>
          <w:tcPr>
            <w:tcW w:w="1350" w:type="dxa"/>
            <w:vAlign w:val="center"/>
          </w:tcPr>
          <w:p w14:paraId="65525B11">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17D42290">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70E84A95">
            <w:pPr>
              <w:topLinePunct/>
              <w:adjustRightInd w:val="0"/>
              <w:snapToGrid w:val="0"/>
              <w:jc w:val="center"/>
              <w:rPr>
                <w:rFonts w:ascii="Times New Roman" w:eastAsia="仿宋"/>
                <w:szCs w:val="21"/>
              </w:rPr>
            </w:pPr>
            <w:r>
              <w:rPr>
                <w:rFonts w:hint="eastAsia" w:ascii="Times New Roman" w:eastAsia="仿宋"/>
                <w:szCs w:val="21"/>
              </w:rPr>
              <w:t>活性炭、有机物</w:t>
            </w:r>
          </w:p>
        </w:tc>
        <w:tc>
          <w:tcPr>
            <w:tcW w:w="987" w:type="dxa"/>
            <w:vAlign w:val="center"/>
          </w:tcPr>
          <w:p w14:paraId="49574581">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10AC228E">
            <w:pPr>
              <w:topLinePunct/>
              <w:adjustRightInd w:val="0"/>
              <w:snapToGrid w:val="0"/>
              <w:jc w:val="center"/>
              <w:rPr>
                <w:rFonts w:ascii="Times New Roman" w:eastAsia="仿宋"/>
                <w:szCs w:val="21"/>
              </w:rPr>
            </w:pPr>
            <w:r>
              <w:rPr>
                <w:rFonts w:ascii="Times New Roman" w:eastAsia="仿宋"/>
                <w:szCs w:val="21"/>
              </w:rPr>
              <w:t>2</w:t>
            </w:r>
            <w:r>
              <w:rPr>
                <w:rFonts w:hint="eastAsia" w:ascii="Times New Roman" w:eastAsia="仿宋"/>
                <w:szCs w:val="21"/>
              </w:rPr>
              <w:t>年</w:t>
            </w:r>
          </w:p>
        </w:tc>
        <w:tc>
          <w:tcPr>
            <w:tcW w:w="851" w:type="dxa"/>
            <w:vAlign w:val="center"/>
          </w:tcPr>
          <w:p w14:paraId="66AF7545">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42B64774">
            <w:pPr>
              <w:topLinePunct/>
              <w:adjustRightInd w:val="0"/>
              <w:snapToGrid w:val="0"/>
              <w:jc w:val="center"/>
              <w:rPr>
                <w:rFonts w:ascii="Times New Roman" w:eastAsia="仿宋"/>
                <w:szCs w:val="21"/>
              </w:rPr>
            </w:pPr>
          </w:p>
        </w:tc>
      </w:tr>
      <w:tr w14:paraId="2AD8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71028BD3">
            <w:pPr>
              <w:topLinePunct/>
              <w:adjustRightInd w:val="0"/>
              <w:snapToGrid w:val="0"/>
              <w:jc w:val="center"/>
              <w:rPr>
                <w:rFonts w:ascii="Times New Roman" w:eastAsia="仿宋"/>
                <w:szCs w:val="21"/>
              </w:rPr>
            </w:pPr>
            <w:r>
              <w:rPr>
                <w:rFonts w:hint="eastAsia" w:ascii="Times New Roman" w:eastAsia="仿宋"/>
                <w:szCs w:val="21"/>
              </w:rPr>
              <w:t>21</w:t>
            </w:r>
          </w:p>
        </w:tc>
        <w:tc>
          <w:tcPr>
            <w:tcW w:w="1610" w:type="dxa"/>
            <w:vAlign w:val="center"/>
          </w:tcPr>
          <w:p w14:paraId="5495FC71">
            <w:pPr>
              <w:topLinePunct/>
              <w:adjustRightInd w:val="0"/>
              <w:snapToGrid w:val="0"/>
              <w:jc w:val="center"/>
              <w:rPr>
                <w:rFonts w:ascii="Times New Roman" w:eastAsia="仿宋"/>
                <w:szCs w:val="21"/>
              </w:rPr>
            </w:pPr>
            <w:r>
              <w:rPr>
                <w:rFonts w:hint="eastAsia" w:ascii="Times New Roman" w:eastAsia="仿宋"/>
                <w:szCs w:val="21"/>
              </w:rPr>
              <w:t>污泥</w:t>
            </w:r>
          </w:p>
        </w:tc>
        <w:tc>
          <w:tcPr>
            <w:tcW w:w="864" w:type="dxa"/>
            <w:vMerge w:val="continue"/>
            <w:vAlign w:val="center"/>
          </w:tcPr>
          <w:p w14:paraId="763852EE">
            <w:pPr>
              <w:topLinePunct/>
              <w:adjustRightInd w:val="0"/>
              <w:snapToGrid w:val="0"/>
              <w:jc w:val="center"/>
              <w:rPr>
                <w:rFonts w:ascii="Times New Roman" w:eastAsia="仿宋"/>
                <w:szCs w:val="21"/>
              </w:rPr>
            </w:pPr>
          </w:p>
        </w:tc>
        <w:tc>
          <w:tcPr>
            <w:tcW w:w="1102" w:type="dxa"/>
            <w:vAlign w:val="center"/>
          </w:tcPr>
          <w:p w14:paraId="7A83B924">
            <w:pPr>
              <w:topLinePunct/>
              <w:adjustRightInd w:val="0"/>
              <w:snapToGrid w:val="0"/>
              <w:jc w:val="center"/>
              <w:rPr>
                <w:rFonts w:ascii="Times New Roman" w:eastAsia="仿宋"/>
                <w:szCs w:val="21"/>
              </w:rPr>
            </w:pPr>
            <w:r>
              <w:rPr>
                <w:rFonts w:hint="eastAsia" w:ascii="Times New Roman" w:eastAsia="仿宋"/>
                <w:szCs w:val="21"/>
              </w:rPr>
              <w:t>HW08</w:t>
            </w:r>
          </w:p>
        </w:tc>
        <w:tc>
          <w:tcPr>
            <w:tcW w:w="1634" w:type="dxa"/>
            <w:vAlign w:val="center"/>
          </w:tcPr>
          <w:p w14:paraId="3F8B2BB9">
            <w:pPr>
              <w:topLinePunct/>
              <w:adjustRightInd w:val="0"/>
              <w:snapToGrid w:val="0"/>
              <w:jc w:val="center"/>
              <w:rPr>
                <w:rFonts w:ascii="Times New Roman" w:eastAsia="仿宋"/>
                <w:szCs w:val="21"/>
              </w:rPr>
            </w:pPr>
            <w:r>
              <w:rPr>
                <w:rFonts w:hint="eastAsia" w:ascii="Times New Roman" w:eastAsia="仿宋"/>
                <w:szCs w:val="21"/>
              </w:rPr>
              <w:t>900-210-08</w:t>
            </w:r>
          </w:p>
        </w:tc>
        <w:tc>
          <w:tcPr>
            <w:tcW w:w="849" w:type="dxa"/>
            <w:vAlign w:val="center"/>
          </w:tcPr>
          <w:p w14:paraId="2F718F08">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1350" w:type="dxa"/>
            <w:vAlign w:val="center"/>
          </w:tcPr>
          <w:p w14:paraId="20AE0282">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594A8CD2">
            <w:pPr>
              <w:topLinePunct/>
              <w:adjustRightInd w:val="0"/>
              <w:snapToGrid w:val="0"/>
              <w:jc w:val="center"/>
              <w:rPr>
                <w:rFonts w:ascii="Times New Roman" w:eastAsia="仿宋"/>
                <w:szCs w:val="21"/>
              </w:rPr>
            </w:pPr>
            <w:r>
              <w:rPr>
                <w:rFonts w:hint="eastAsia" w:ascii="Times New Roman" w:eastAsia="仿宋"/>
                <w:szCs w:val="21"/>
              </w:rPr>
              <w:t>半固态</w:t>
            </w:r>
          </w:p>
        </w:tc>
        <w:tc>
          <w:tcPr>
            <w:tcW w:w="1170" w:type="dxa"/>
            <w:vAlign w:val="center"/>
          </w:tcPr>
          <w:p w14:paraId="42091CA3">
            <w:pPr>
              <w:topLinePunct/>
              <w:adjustRightInd w:val="0"/>
              <w:snapToGrid w:val="0"/>
              <w:jc w:val="center"/>
              <w:rPr>
                <w:rFonts w:ascii="Times New Roman" w:eastAsia="仿宋"/>
                <w:szCs w:val="21"/>
              </w:rPr>
            </w:pPr>
            <w:r>
              <w:rPr>
                <w:rFonts w:hint="eastAsia" w:ascii="Times New Roman" w:eastAsia="仿宋"/>
                <w:szCs w:val="21"/>
              </w:rPr>
              <w:t>矿物油、杂质</w:t>
            </w:r>
          </w:p>
        </w:tc>
        <w:tc>
          <w:tcPr>
            <w:tcW w:w="987" w:type="dxa"/>
            <w:vAlign w:val="center"/>
          </w:tcPr>
          <w:p w14:paraId="52D01F6C">
            <w:pPr>
              <w:topLinePunct/>
              <w:adjustRightInd w:val="0"/>
              <w:snapToGrid w:val="0"/>
              <w:jc w:val="center"/>
              <w:rPr>
                <w:rFonts w:ascii="Times New Roman" w:eastAsia="仿宋"/>
                <w:szCs w:val="21"/>
              </w:rPr>
            </w:pPr>
            <w:r>
              <w:rPr>
                <w:rFonts w:hint="eastAsia" w:ascii="Times New Roman" w:eastAsia="仿宋"/>
                <w:szCs w:val="21"/>
              </w:rPr>
              <w:t>矿物油</w:t>
            </w:r>
          </w:p>
        </w:tc>
        <w:tc>
          <w:tcPr>
            <w:tcW w:w="992" w:type="dxa"/>
            <w:vAlign w:val="center"/>
          </w:tcPr>
          <w:p w14:paraId="172BDEAB">
            <w:pPr>
              <w:topLinePunct/>
              <w:adjustRightInd w:val="0"/>
              <w:snapToGrid w:val="0"/>
              <w:jc w:val="center"/>
              <w:rPr>
                <w:rFonts w:ascii="Times New Roman" w:eastAsia="仿宋"/>
                <w:szCs w:val="21"/>
              </w:rPr>
            </w:pPr>
            <w:r>
              <w:rPr>
                <w:rFonts w:hint="eastAsia" w:ascii="Times New Roman" w:eastAsia="仿宋"/>
                <w:szCs w:val="21"/>
              </w:rPr>
              <w:t>1天</w:t>
            </w:r>
          </w:p>
        </w:tc>
        <w:tc>
          <w:tcPr>
            <w:tcW w:w="851" w:type="dxa"/>
            <w:vAlign w:val="center"/>
          </w:tcPr>
          <w:p w14:paraId="7E671081">
            <w:pPr>
              <w:topLinePunct/>
              <w:adjustRightInd w:val="0"/>
              <w:snapToGrid w:val="0"/>
              <w:jc w:val="center"/>
              <w:rPr>
                <w:rFonts w:ascii="Times New Roman" w:eastAsia="仿宋"/>
                <w:szCs w:val="21"/>
              </w:rPr>
            </w:pPr>
            <w:r>
              <w:rPr>
                <w:rFonts w:hint="eastAsia" w:ascii="Times New Roman" w:eastAsia="仿宋"/>
                <w:szCs w:val="21"/>
              </w:rPr>
              <w:t>T,I</w:t>
            </w:r>
          </w:p>
        </w:tc>
        <w:tc>
          <w:tcPr>
            <w:tcW w:w="1086" w:type="dxa"/>
            <w:vMerge w:val="continue"/>
            <w:vAlign w:val="center"/>
          </w:tcPr>
          <w:p w14:paraId="15E9B01C">
            <w:pPr>
              <w:topLinePunct/>
              <w:adjustRightInd w:val="0"/>
              <w:snapToGrid w:val="0"/>
              <w:jc w:val="center"/>
              <w:rPr>
                <w:rFonts w:ascii="Times New Roman" w:eastAsia="仿宋"/>
                <w:szCs w:val="21"/>
              </w:rPr>
            </w:pPr>
          </w:p>
        </w:tc>
      </w:tr>
      <w:tr w14:paraId="43E1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shd w:val="clear" w:color="auto" w:fill="auto"/>
            <w:vAlign w:val="center"/>
          </w:tcPr>
          <w:p w14:paraId="3A4D8547">
            <w:pPr>
              <w:topLinePunct/>
              <w:adjustRightInd w:val="0"/>
              <w:snapToGrid w:val="0"/>
              <w:jc w:val="center"/>
              <w:rPr>
                <w:rFonts w:ascii="Times New Roman" w:eastAsia="仿宋"/>
                <w:szCs w:val="21"/>
              </w:rPr>
            </w:pPr>
            <w:r>
              <w:rPr>
                <w:rFonts w:hint="eastAsia" w:ascii="Times New Roman" w:eastAsia="仿宋"/>
                <w:szCs w:val="21"/>
              </w:rPr>
              <w:t>22</w:t>
            </w:r>
          </w:p>
        </w:tc>
        <w:tc>
          <w:tcPr>
            <w:tcW w:w="1610" w:type="dxa"/>
            <w:vAlign w:val="center"/>
          </w:tcPr>
          <w:p w14:paraId="3D4909BB">
            <w:pPr>
              <w:topLinePunct/>
              <w:adjustRightInd w:val="0"/>
              <w:snapToGrid w:val="0"/>
              <w:jc w:val="center"/>
              <w:rPr>
                <w:rFonts w:ascii="Times New Roman" w:eastAsia="仿宋"/>
                <w:szCs w:val="21"/>
              </w:rPr>
            </w:pPr>
            <w:r>
              <w:rPr>
                <w:rFonts w:hint="eastAsia" w:ascii="Times New Roman" w:eastAsia="仿宋"/>
                <w:szCs w:val="21"/>
              </w:rPr>
              <w:t>废过滤棉</w:t>
            </w:r>
          </w:p>
        </w:tc>
        <w:tc>
          <w:tcPr>
            <w:tcW w:w="864" w:type="dxa"/>
            <w:vMerge w:val="continue"/>
            <w:vAlign w:val="center"/>
          </w:tcPr>
          <w:p w14:paraId="382BB75A">
            <w:pPr>
              <w:topLinePunct/>
              <w:adjustRightInd w:val="0"/>
              <w:snapToGrid w:val="0"/>
              <w:jc w:val="center"/>
              <w:rPr>
                <w:rFonts w:ascii="Times New Roman" w:eastAsia="仿宋"/>
                <w:szCs w:val="21"/>
              </w:rPr>
            </w:pPr>
          </w:p>
        </w:tc>
        <w:tc>
          <w:tcPr>
            <w:tcW w:w="1102" w:type="dxa"/>
            <w:vAlign w:val="center"/>
          </w:tcPr>
          <w:p w14:paraId="4DACBD8C">
            <w:pPr>
              <w:topLinePunct/>
              <w:adjustRightInd w:val="0"/>
              <w:snapToGrid w:val="0"/>
              <w:jc w:val="center"/>
              <w:rPr>
                <w:rFonts w:ascii="Times New Roman" w:eastAsia="仿宋"/>
                <w:szCs w:val="21"/>
              </w:rPr>
            </w:pPr>
            <w:r>
              <w:rPr>
                <w:rFonts w:ascii="Times New Roman" w:eastAsia="仿宋"/>
                <w:szCs w:val="21"/>
              </w:rPr>
              <w:t>HW49</w:t>
            </w:r>
          </w:p>
        </w:tc>
        <w:tc>
          <w:tcPr>
            <w:tcW w:w="1634" w:type="dxa"/>
            <w:vAlign w:val="center"/>
          </w:tcPr>
          <w:p w14:paraId="6A627D40">
            <w:pPr>
              <w:topLinePunct/>
              <w:adjustRightInd w:val="0"/>
              <w:snapToGrid w:val="0"/>
              <w:jc w:val="center"/>
              <w:rPr>
                <w:rFonts w:ascii="Times New Roman" w:eastAsia="仿宋"/>
                <w:szCs w:val="21"/>
              </w:rPr>
            </w:pPr>
            <w:r>
              <w:rPr>
                <w:rFonts w:ascii="Times New Roman" w:eastAsia="仿宋"/>
                <w:szCs w:val="21"/>
              </w:rPr>
              <w:t>900-0</w:t>
            </w:r>
            <w:r>
              <w:rPr>
                <w:rFonts w:hint="eastAsia" w:ascii="Times New Roman" w:eastAsia="仿宋"/>
                <w:szCs w:val="21"/>
              </w:rPr>
              <w:t>41</w:t>
            </w:r>
            <w:r>
              <w:rPr>
                <w:rFonts w:ascii="Times New Roman" w:eastAsia="仿宋"/>
                <w:szCs w:val="21"/>
              </w:rPr>
              <w:t>-49</w:t>
            </w:r>
          </w:p>
        </w:tc>
        <w:tc>
          <w:tcPr>
            <w:tcW w:w="849" w:type="dxa"/>
            <w:vAlign w:val="center"/>
          </w:tcPr>
          <w:p w14:paraId="7866D8AE">
            <w:pPr>
              <w:topLinePunct/>
              <w:adjustRightInd w:val="0"/>
              <w:snapToGrid w:val="0"/>
              <w:jc w:val="center"/>
              <w:rPr>
                <w:rFonts w:ascii="Times New Roman" w:eastAsia="仿宋"/>
                <w:szCs w:val="21"/>
              </w:rPr>
            </w:pPr>
            <w:r>
              <w:rPr>
                <w:rFonts w:hint="eastAsia" w:ascii="Times New Roman" w:eastAsia="仿宋"/>
                <w:szCs w:val="21"/>
              </w:rPr>
              <w:t>3</w:t>
            </w:r>
          </w:p>
        </w:tc>
        <w:tc>
          <w:tcPr>
            <w:tcW w:w="1350" w:type="dxa"/>
            <w:vAlign w:val="center"/>
          </w:tcPr>
          <w:p w14:paraId="685CCC58">
            <w:pPr>
              <w:topLinePunct/>
              <w:adjustRightInd w:val="0"/>
              <w:snapToGrid w:val="0"/>
              <w:jc w:val="center"/>
              <w:rPr>
                <w:rFonts w:ascii="Times New Roman" w:eastAsia="仿宋"/>
                <w:szCs w:val="21"/>
              </w:rPr>
            </w:pPr>
            <w:r>
              <w:rPr>
                <w:rFonts w:hint="eastAsia" w:ascii="Times New Roman" w:eastAsia="仿宋"/>
                <w:szCs w:val="21"/>
              </w:rPr>
              <w:t>废气处置</w:t>
            </w:r>
          </w:p>
        </w:tc>
        <w:tc>
          <w:tcPr>
            <w:tcW w:w="765" w:type="dxa"/>
            <w:vAlign w:val="center"/>
          </w:tcPr>
          <w:p w14:paraId="5F1B4FBA">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6D7E539">
            <w:pPr>
              <w:topLinePunct/>
              <w:adjustRightInd w:val="0"/>
              <w:snapToGrid w:val="0"/>
              <w:jc w:val="center"/>
              <w:rPr>
                <w:rFonts w:ascii="Times New Roman" w:eastAsia="仿宋"/>
                <w:szCs w:val="21"/>
              </w:rPr>
            </w:pPr>
            <w:r>
              <w:rPr>
                <w:rFonts w:hint="eastAsia" w:ascii="Times New Roman" w:eastAsia="仿宋"/>
                <w:szCs w:val="21"/>
              </w:rPr>
              <w:t>棉花、有机物</w:t>
            </w:r>
          </w:p>
        </w:tc>
        <w:tc>
          <w:tcPr>
            <w:tcW w:w="987" w:type="dxa"/>
            <w:vAlign w:val="center"/>
          </w:tcPr>
          <w:p w14:paraId="7120F16F">
            <w:pPr>
              <w:topLinePunct/>
              <w:adjustRightInd w:val="0"/>
              <w:snapToGrid w:val="0"/>
              <w:jc w:val="center"/>
              <w:rPr>
                <w:rFonts w:ascii="Times New Roman" w:eastAsia="仿宋"/>
                <w:szCs w:val="21"/>
              </w:rPr>
            </w:pPr>
            <w:r>
              <w:rPr>
                <w:rFonts w:ascii="Times New Roman" w:eastAsia="仿宋"/>
                <w:szCs w:val="21"/>
              </w:rPr>
              <w:t>有机物</w:t>
            </w:r>
          </w:p>
        </w:tc>
        <w:tc>
          <w:tcPr>
            <w:tcW w:w="992" w:type="dxa"/>
            <w:vAlign w:val="center"/>
          </w:tcPr>
          <w:p w14:paraId="26BFBDFC">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年</w:t>
            </w:r>
          </w:p>
        </w:tc>
        <w:tc>
          <w:tcPr>
            <w:tcW w:w="851" w:type="dxa"/>
            <w:vAlign w:val="center"/>
          </w:tcPr>
          <w:p w14:paraId="67ED0BAC">
            <w:pPr>
              <w:topLinePunct/>
              <w:adjustRightInd w:val="0"/>
              <w:snapToGrid w:val="0"/>
              <w:jc w:val="center"/>
              <w:rPr>
                <w:rFonts w:ascii="Times New Roman" w:eastAsia="仿宋"/>
                <w:szCs w:val="21"/>
              </w:rPr>
            </w:pPr>
            <w:r>
              <w:rPr>
                <w:rFonts w:ascii="Times New Roman" w:eastAsia="仿宋"/>
                <w:szCs w:val="21"/>
              </w:rPr>
              <w:t>T/In</w:t>
            </w:r>
          </w:p>
        </w:tc>
        <w:tc>
          <w:tcPr>
            <w:tcW w:w="1086" w:type="dxa"/>
            <w:vMerge w:val="continue"/>
            <w:vAlign w:val="center"/>
          </w:tcPr>
          <w:p w14:paraId="042AF10D">
            <w:pPr>
              <w:topLinePunct/>
              <w:adjustRightInd w:val="0"/>
              <w:snapToGrid w:val="0"/>
              <w:jc w:val="center"/>
              <w:rPr>
                <w:rFonts w:ascii="Times New Roman" w:eastAsia="仿宋"/>
                <w:szCs w:val="21"/>
              </w:rPr>
            </w:pPr>
          </w:p>
        </w:tc>
      </w:tr>
      <w:tr w14:paraId="2150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6270457">
            <w:pPr>
              <w:topLinePunct/>
              <w:adjustRightInd w:val="0"/>
              <w:snapToGrid w:val="0"/>
              <w:jc w:val="center"/>
              <w:rPr>
                <w:rFonts w:ascii="Times New Roman" w:eastAsia="仿宋"/>
                <w:szCs w:val="21"/>
              </w:rPr>
            </w:pPr>
            <w:r>
              <w:rPr>
                <w:rFonts w:hint="eastAsia" w:ascii="Times New Roman" w:eastAsia="仿宋"/>
                <w:szCs w:val="21"/>
              </w:rPr>
              <w:t>23</w:t>
            </w:r>
          </w:p>
        </w:tc>
        <w:tc>
          <w:tcPr>
            <w:tcW w:w="1610" w:type="dxa"/>
            <w:vAlign w:val="center"/>
          </w:tcPr>
          <w:p w14:paraId="0BCCED25">
            <w:pPr>
              <w:topLinePunct/>
              <w:adjustRightInd w:val="0"/>
              <w:snapToGrid w:val="0"/>
              <w:jc w:val="center"/>
              <w:rPr>
                <w:rFonts w:ascii="Times New Roman" w:eastAsia="仿宋"/>
                <w:szCs w:val="21"/>
              </w:rPr>
            </w:pPr>
            <w:r>
              <w:rPr>
                <w:rFonts w:hint="eastAsia" w:ascii="Times New Roman" w:eastAsia="仿宋"/>
                <w:szCs w:val="21"/>
              </w:rPr>
              <w:t>废过滤介质</w:t>
            </w:r>
          </w:p>
        </w:tc>
        <w:tc>
          <w:tcPr>
            <w:tcW w:w="864" w:type="dxa"/>
            <w:vMerge w:val="continue"/>
            <w:vAlign w:val="center"/>
          </w:tcPr>
          <w:p w14:paraId="04268C26">
            <w:pPr>
              <w:topLinePunct/>
              <w:adjustRightInd w:val="0"/>
              <w:snapToGrid w:val="0"/>
              <w:jc w:val="center"/>
              <w:rPr>
                <w:rFonts w:ascii="Times New Roman" w:eastAsia="仿宋"/>
                <w:szCs w:val="21"/>
              </w:rPr>
            </w:pPr>
          </w:p>
        </w:tc>
        <w:tc>
          <w:tcPr>
            <w:tcW w:w="1102" w:type="dxa"/>
            <w:vAlign w:val="center"/>
          </w:tcPr>
          <w:p w14:paraId="3F454FFA">
            <w:pPr>
              <w:topLinePunct/>
              <w:adjustRightInd w:val="0"/>
              <w:snapToGrid w:val="0"/>
              <w:jc w:val="center"/>
              <w:rPr>
                <w:rFonts w:ascii="Times New Roman" w:eastAsia="仿宋"/>
                <w:szCs w:val="21"/>
              </w:rPr>
            </w:pPr>
            <w:r>
              <w:rPr>
                <w:rFonts w:hint="eastAsia" w:ascii="Times New Roman" w:eastAsia="仿宋"/>
                <w:szCs w:val="21"/>
              </w:rPr>
              <w:t>HW13</w:t>
            </w:r>
          </w:p>
        </w:tc>
        <w:tc>
          <w:tcPr>
            <w:tcW w:w="1634" w:type="dxa"/>
            <w:vAlign w:val="center"/>
          </w:tcPr>
          <w:p w14:paraId="16232B87">
            <w:pPr>
              <w:topLinePunct/>
              <w:adjustRightInd w:val="0"/>
              <w:snapToGrid w:val="0"/>
              <w:jc w:val="center"/>
              <w:rPr>
                <w:rFonts w:ascii="Times New Roman" w:eastAsia="仿宋"/>
                <w:szCs w:val="21"/>
              </w:rPr>
            </w:pPr>
            <w:r>
              <w:rPr>
                <w:rFonts w:hint="eastAsia" w:ascii="Times New Roman" w:eastAsia="仿宋"/>
                <w:szCs w:val="21"/>
              </w:rPr>
              <w:t>900-015-13</w:t>
            </w:r>
          </w:p>
        </w:tc>
        <w:tc>
          <w:tcPr>
            <w:tcW w:w="849" w:type="dxa"/>
            <w:vAlign w:val="center"/>
          </w:tcPr>
          <w:p w14:paraId="70FBFA65">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3</w:t>
            </w:r>
            <w:r>
              <w:rPr>
                <w:rFonts w:hint="eastAsia" w:ascii="Times New Roman" w:eastAsia="仿宋"/>
                <w:szCs w:val="21"/>
              </w:rPr>
              <w:t>t/3a</w:t>
            </w:r>
          </w:p>
        </w:tc>
        <w:tc>
          <w:tcPr>
            <w:tcW w:w="1350" w:type="dxa"/>
            <w:vAlign w:val="center"/>
          </w:tcPr>
          <w:p w14:paraId="373E3D01">
            <w:pPr>
              <w:topLinePunct/>
              <w:adjustRightInd w:val="0"/>
              <w:snapToGrid w:val="0"/>
              <w:jc w:val="center"/>
              <w:rPr>
                <w:rFonts w:ascii="Times New Roman" w:eastAsia="仿宋"/>
                <w:szCs w:val="21"/>
              </w:rPr>
            </w:pPr>
            <w:r>
              <w:rPr>
                <w:rFonts w:hint="eastAsia" w:ascii="Times New Roman" w:eastAsia="仿宋"/>
                <w:szCs w:val="21"/>
              </w:rPr>
              <w:t>废水处理</w:t>
            </w:r>
          </w:p>
        </w:tc>
        <w:tc>
          <w:tcPr>
            <w:tcW w:w="765" w:type="dxa"/>
            <w:vAlign w:val="center"/>
          </w:tcPr>
          <w:p w14:paraId="5176362C">
            <w:pPr>
              <w:topLinePunct/>
              <w:adjustRightInd w:val="0"/>
              <w:snapToGrid w:val="0"/>
              <w:jc w:val="center"/>
              <w:rPr>
                <w:rFonts w:ascii="Times New Roman" w:eastAsia="仿宋"/>
                <w:szCs w:val="21"/>
              </w:rPr>
            </w:pPr>
            <w:r>
              <w:rPr>
                <w:rFonts w:ascii="Times New Roman" w:eastAsia="仿宋"/>
                <w:szCs w:val="21"/>
              </w:rPr>
              <w:t>固态</w:t>
            </w:r>
          </w:p>
        </w:tc>
        <w:tc>
          <w:tcPr>
            <w:tcW w:w="1170" w:type="dxa"/>
            <w:vAlign w:val="center"/>
          </w:tcPr>
          <w:p w14:paraId="23209DFB">
            <w:pPr>
              <w:topLinePunct/>
              <w:adjustRightInd w:val="0"/>
              <w:snapToGrid w:val="0"/>
              <w:jc w:val="center"/>
              <w:rPr>
                <w:rFonts w:ascii="Times New Roman" w:eastAsia="仿宋"/>
                <w:szCs w:val="21"/>
              </w:rPr>
            </w:pPr>
            <w:r>
              <w:rPr>
                <w:rFonts w:hint="eastAsia" w:ascii="Times New Roman" w:eastAsia="仿宋"/>
                <w:szCs w:val="21"/>
              </w:rPr>
              <w:t>有机物等</w:t>
            </w:r>
          </w:p>
        </w:tc>
        <w:tc>
          <w:tcPr>
            <w:tcW w:w="987" w:type="dxa"/>
            <w:vAlign w:val="center"/>
          </w:tcPr>
          <w:p w14:paraId="449F5567">
            <w:pPr>
              <w:topLinePunct/>
              <w:adjustRightInd w:val="0"/>
              <w:snapToGrid w:val="0"/>
              <w:jc w:val="center"/>
              <w:rPr>
                <w:rFonts w:ascii="Times New Roman" w:eastAsia="仿宋"/>
                <w:szCs w:val="21"/>
              </w:rPr>
            </w:pPr>
            <w:r>
              <w:rPr>
                <w:rFonts w:hint="eastAsia" w:ascii="Times New Roman" w:eastAsia="仿宋"/>
                <w:szCs w:val="21"/>
              </w:rPr>
              <w:t>有机物</w:t>
            </w:r>
          </w:p>
        </w:tc>
        <w:tc>
          <w:tcPr>
            <w:tcW w:w="992" w:type="dxa"/>
            <w:vAlign w:val="center"/>
          </w:tcPr>
          <w:p w14:paraId="7AD15D22">
            <w:pPr>
              <w:topLinePunct/>
              <w:adjustRightInd w:val="0"/>
              <w:snapToGrid w:val="0"/>
              <w:jc w:val="center"/>
              <w:rPr>
                <w:rFonts w:ascii="Times New Roman" w:eastAsia="仿宋"/>
                <w:szCs w:val="21"/>
              </w:rPr>
            </w:pPr>
            <w:r>
              <w:rPr>
                <w:rFonts w:hint="eastAsia" w:ascii="Times New Roman" w:eastAsia="仿宋"/>
                <w:szCs w:val="21"/>
              </w:rPr>
              <w:t>3年</w:t>
            </w:r>
          </w:p>
        </w:tc>
        <w:tc>
          <w:tcPr>
            <w:tcW w:w="851" w:type="dxa"/>
            <w:vAlign w:val="center"/>
          </w:tcPr>
          <w:p w14:paraId="53C48085">
            <w:pPr>
              <w:topLinePunct/>
              <w:adjustRightInd w:val="0"/>
              <w:snapToGrid w:val="0"/>
              <w:jc w:val="center"/>
              <w:rPr>
                <w:rFonts w:ascii="Times New Roman" w:eastAsia="仿宋"/>
                <w:szCs w:val="21"/>
              </w:rPr>
            </w:pPr>
            <w:r>
              <w:rPr>
                <w:rFonts w:hint="eastAsia" w:ascii="Times New Roman" w:eastAsia="仿宋"/>
                <w:szCs w:val="21"/>
              </w:rPr>
              <w:t>T</w:t>
            </w:r>
          </w:p>
        </w:tc>
        <w:tc>
          <w:tcPr>
            <w:tcW w:w="1086" w:type="dxa"/>
            <w:vMerge w:val="continue"/>
            <w:vAlign w:val="center"/>
          </w:tcPr>
          <w:p w14:paraId="39226E28">
            <w:pPr>
              <w:topLinePunct/>
              <w:adjustRightInd w:val="0"/>
              <w:snapToGrid w:val="0"/>
              <w:jc w:val="center"/>
              <w:rPr>
                <w:rFonts w:ascii="Times New Roman" w:eastAsia="仿宋"/>
                <w:szCs w:val="21"/>
              </w:rPr>
            </w:pPr>
          </w:p>
        </w:tc>
      </w:tr>
    </w:tbl>
    <w:p w14:paraId="3DB8BA35">
      <w:pPr>
        <w:pStyle w:val="35"/>
      </w:pPr>
    </w:p>
    <w:p w14:paraId="6F4E4E85">
      <w:pPr>
        <w:pStyle w:val="23"/>
        <w:spacing w:before="190" w:after="381"/>
        <w:rPr>
          <w:rFonts w:ascii="Times New Roman" w:hAnsi="Times New Roman" w:eastAsia="仿宋" w:cs="Times New Roman"/>
        </w:rPr>
      </w:pPr>
    </w:p>
    <w:p w14:paraId="707B7396">
      <w:pPr>
        <w:rPr>
          <w:rFonts w:ascii="Times New Roman" w:eastAsia="仿宋"/>
        </w:rPr>
        <w:sectPr>
          <w:pgSz w:w="16838" w:h="11906" w:orient="landscape"/>
          <w:pgMar w:top="1800" w:right="1440" w:bottom="1800" w:left="1440" w:header="851" w:footer="992" w:gutter="0"/>
          <w:cols w:space="720" w:num="1"/>
          <w:docGrid w:type="lines" w:linePitch="381" w:charSpace="0"/>
        </w:sectPr>
      </w:pPr>
    </w:p>
    <w:p w14:paraId="5D336D19">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.3.2危险废物处置可行性</w:t>
      </w:r>
    </w:p>
    <w:p w14:paraId="09D4D53A">
      <w:pPr>
        <w:spacing w:line="496" w:lineRule="exact"/>
        <w:ind w:firstLine="560" w:firstLineChars="200"/>
        <w:rPr>
          <w:rFonts w:ascii="Times New Roman" w:eastAsia="仿宋"/>
          <w:sz w:val="28"/>
          <w:szCs w:val="28"/>
        </w:rPr>
      </w:pPr>
      <w:r>
        <w:rPr>
          <w:rFonts w:hint="eastAsia" w:ascii="Times New Roman" w:eastAsia="仿宋"/>
          <w:sz w:val="28"/>
          <w:szCs w:val="28"/>
        </w:rPr>
        <w:t>（1）处理能力可行性分析</w:t>
      </w:r>
    </w:p>
    <w:p w14:paraId="1862AC3F">
      <w:pPr>
        <w:spacing w:line="496" w:lineRule="exact"/>
        <w:ind w:firstLine="560" w:firstLineChars="200"/>
        <w:rPr>
          <w:rFonts w:ascii="Times New Roman" w:eastAsia="仿宋"/>
          <w:sz w:val="28"/>
          <w:szCs w:val="28"/>
        </w:rPr>
      </w:pPr>
      <w:r>
        <w:rPr>
          <w:rFonts w:hint="eastAsia" w:ascii="Times New Roman" w:eastAsia="仿宋"/>
          <w:sz w:val="28"/>
          <w:szCs w:val="28"/>
        </w:rPr>
        <w:t>1、江苏盈天环保科技有限公司</w:t>
      </w:r>
    </w:p>
    <w:p w14:paraId="2892E90D">
      <w:pPr>
        <w:spacing w:line="496" w:lineRule="exact"/>
        <w:ind w:firstLine="560" w:firstLineChars="200"/>
        <w:rPr>
          <w:rFonts w:ascii="Times New Roman" w:eastAsia="仿宋"/>
          <w:sz w:val="28"/>
          <w:szCs w:val="28"/>
        </w:rPr>
      </w:pPr>
      <w:r>
        <w:rPr>
          <w:rFonts w:hint="eastAsia" w:ascii="Times New Roman" w:eastAsia="仿宋"/>
          <w:sz w:val="28"/>
          <w:szCs w:val="28"/>
        </w:rPr>
        <w:t>江苏盈天环保科技有限公司持有危废经营许可证，许可证编码为JS0411OOI580-2，经营范围包括：焚烧处置医药废物（HW02）、废药物、药品（HW03）、农药废物（HW04）、木材防腐剂废物（HW05）、废有机溶剂与含有机溶剂废物（HW06）、热处理含氰废物（HW07）、废矿物油与含矿物油废物（HW08）、油/水、烃/水混合物或乳化液（HW09）、精（蒸）馏残渣（HW11）、染料、涂料废物（HW12）、有机树脂类废物（HW13）、新化学物质废物（HW14）、感光材料废物（HW16）、表面处理废物（HW17）、含金属羰基化合物废物（HW19）、无机氰化物废物（HW33）、废酸（HW34）、废碱（HW35）、有机磷化合物废物（HW37）、有机氰化物废物（HW38）、含酚废物（HW39）、含醚废物（HW40）、含有机卤化物废物（HW45）、其他废物（HW49，仅限772-006-49、900-039-49、900-041-49、900-042-49、900-046-49、900-047-49、900-999-49）、废催化剂（HW50，仅限261-151-50、261-152-50、261-183-50、263-013-50、271-006-50、275-009-50、276-006-50、900-048-50）共计27000吨/年。</w:t>
      </w:r>
    </w:p>
    <w:p w14:paraId="79AB76C6">
      <w:pPr>
        <w:spacing w:line="496" w:lineRule="exact"/>
        <w:ind w:firstLine="560" w:firstLineChars="200"/>
        <w:rPr>
          <w:rFonts w:ascii="Times New Roman" w:eastAsia="仿宋"/>
          <w:sz w:val="28"/>
          <w:szCs w:val="28"/>
        </w:rPr>
      </w:pPr>
      <w:r>
        <w:rPr>
          <w:rFonts w:ascii="Times New Roman" w:eastAsia="仿宋"/>
          <w:sz w:val="28"/>
          <w:szCs w:val="28"/>
        </w:rPr>
        <w:t>2</w:t>
      </w:r>
      <w:r>
        <w:rPr>
          <w:rFonts w:hint="eastAsia" w:ascii="Times New Roman" w:eastAsia="仿宋"/>
          <w:sz w:val="28"/>
          <w:szCs w:val="28"/>
        </w:rPr>
        <w:t>、江苏开拓者环保材料有限公司</w:t>
      </w:r>
    </w:p>
    <w:p w14:paraId="2F58988E">
      <w:pPr>
        <w:spacing w:line="496" w:lineRule="exact"/>
        <w:ind w:firstLine="560" w:firstLineChars="200"/>
        <w:rPr>
          <w:rFonts w:ascii="Times New Roman" w:eastAsia="仿宋"/>
          <w:sz w:val="28"/>
          <w:szCs w:val="28"/>
        </w:rPr>
      </w:pPr>
      <w:r>
        <w:rPr>
          <w:rFonts w:hint="eastAsia" w:ascii="Times New Roman" w:eastAsia="仿宋"/>
          <w:sz w:val="28"/>
          <w:szCs w:val="28"/>
        </w:rPr>
        <w:t>江苏开拓者环保材料有限公司持有危废经营许可证，许可证编码为JSTZ1283OOD035-6，经营范围包括处置、利用涂料类废物（HW12）20000吨/年；含磷污泥渣（HW17）30000吨/年；废酸（HW34）4000吨/年；废碱（HW35）1000吨/年；含盐废物（HW02、HW04、HW06、HW08、HW11、HW12、HW13、HW18、HW39、HW40、HW48、HW49)40000吨/年，合计95000吨/年 。</w:t>
      </w:r>
    </w:p>
    <w:p w14:paraId="6C5DF602">
      <w:pPr>
        <w:spacing w:line="496" w:lineRule="exact"/>
        <w:ind w:firstLine="560" w:firstLineChars="200"/>
        <w:rPr>
          <w:rFonts w:ascii="Times New Roman" w:eastAsia="仿宋"/>
          <w:sz w:val="28"/>
          <w:szCs w:val="28"/>
        </w:rPr>
      </w:pPr>
      <w:r>
        <w:rPr>
          <w:rFonts w:hint="eastAsia" w:ascii="Times New Roman" w:eastAsia="仿宋"/>
          <w:sz w:val="28"/>
          <w:szCs w:val="28"/>
        </w:rPr>
        <w:t>3、常州富创再生资源有限公司</w:t>
      </w:r>
    </w:p>
    <w:p w14:paraId="63D35EB9">
      <w:pPr>
        <w:spacing w:line="496" w:lineRule="exact"/>
        <w:ind w:firstLine="560" w:firstLineChars="200"/>
        <w:rPr>
          <w:rFonts w:ascii="Times New Roman" w:eastAsia="仿宋"/>
          <w:sz w:val="28"/>
          <w:szCs w:val="28"/>
        </w:rPr>
      </w:pPr>
      <w:r>
        <w:rPr>
          <w:rFonts w:hint="eastAsia" w:ascii="Times New Roman" w:eastAsia="仿宋"/>
          <w:sz w:val="28"/>
          <w:szCs w:val="28"/>
        </w:rPr>
        <w:t>常州富创再生资源有限公司持有危废经营许可证，许可证编码为JSCZ0413OOD045-5，经营范围为利用废活性炭（HW05，266-001-05）、(HW06，900-405-06) （不包括900-401-06中所列废有机溶剂再生处理过程中产生的废活性炭）、（HW39，261-071-39）、（HW49，900-039-49、900-041-49）5000吨/年。</w:t>
      </w:r>
    </w:p>
    <w:p w14:paraId="569F3466">
      <w:pPr>
        <w:spacing w:line="496" w:lineRule="exact"/>
        <w:ind w:firstLine="560" w:firstLineChars="200"/>
        <w:rPr>
          <w:rFonts w:ascii="Times New Roman" w:eastAsia="仿宋"/>
          <w:sz w:val="28"/>
          <w:szCs w:val="28"/>
        </w:rPr>
      </w:pPr>
      <w:r>
        <w:rPr>
          <w:rFonts w:hint="eastAsia" w:ascii="Times New Roman" w:eastAsia="仿宋"/>
          <w:sz w:val="28"/>
          <w:szCs w:val="28"/>
        </w:rPr>
        <w:t>4、常州普达环保清洗有限公司</w:t>
      </w:r>
    </w:p>
    <w:p w14:paraId="2291D713">
      <w:pPr>
        <w:spacing w:line="496" w:lineRule="exact"/>
        <w:ind w:firstLine="560" w:firstLineChars="200"/>
        <w:rPr>
          <w:rFonts w:ascii="Times New Roman" w:eastAsia="仿宋"/>
          <w:sz w:val="28"/>
          <w:szCs w:val="28"/>
        </w:rPr>
      </w:pPr>
      <w:r>
        <w:rPr>
          <w:rFonts w:hint="eastAsia" w:ascii="Times New Roman" w:eastAsia="仿宋"/>
          <w:sz w:val="28"/>
          <w:szCs w:val="28"/>
        </w:rPr>
        <w:t>常州普达环保清洗有限公司持有危废经营许可证，许可证号为JSCZ0413OOD027-4，经营范围包括清洗处置含[废有机溶剂与含有机溶剂废物（HW06）、废矿物油与含矿物油废物（HW08）、油/水、烃/水混合物或乳化液（HW09）、染料、涂料废物（HW12）、有机树脂类废物（HW13）、废酸（HW34）、废碱（HW35）、含醚废物（HW40）]废包装桶[（HW49，900-041-49）（HW08，900-249-08）]49万只/年[其中200L包装桶46万只/年、1000L包装桶（IBC吨桶）3万只/年]；处置、利用含[废有机溶剂与含有机溶剂废物（HW06）、废矿物油与含矿物油废物（HW08）、油/水、烃/水混合物或乳化液（HW09）]的200L废铁桶（HW08，900-249-08）、（HW49，900-041-49）2000吨/年，含[废有机溶剂与含有机溶剂废物（HW06）、废矿物油与含矿物油废物（HW08）、油/水、烃/水混合物或乳化液（HW09）、染料、涂料废物（HW12）、有机树脂类废物（HW13）]的200L以下废铁桶（HW08，900-249-08）、（HW49，900-041-49）5000吨/年，含[油/水、烃/水混合物或乳化液（HW09）、染料、涂料废物（HW12）、有机树脂类废物（HW13）、废碱（HW35）]的200L以下废塑料桶（HW49，900-041-49）1000吨/年，含[废有机溶剂与含有机溶剂废物（HW06）、废矿物油与含矿物油废物（HW08）、有机树脂类废物（HW13）、有机卤化物废物（HW45）]的废机油滤芯、滤网等金属过滤器材（HW49，900-041-49）3000吨/年，含[废有机溶剂与含有机溶剂废物（HW06）、废酸（HW34）、其他废物（HW49）的废玻璃瓶、器具（HW49，900-041-49、900-047-49）2000吨/年，含[废有机溶剂与含有机溶剂废物（HW06）、其他废物（HW49）]的废塑料滤芯、滤布（HW49，900-041-49）1000吨/年，含[废有机溶剂与含有机溶剂废物（HW06）、其他废物（HW49）]的废包装袋、废塑料管、塑料板、塑料缠绕膜（HW49，900-041-49）1500吨/年，合计15500吨/年。</w:t>
      </w:r>
    </w:p>
    <w:p w14:paraId="0E7B9A5D">
      <w:pPr>
        <w:spacing w:line="496" w:lineRule="exact"/>
        <w:ind w:firstLine="560" w:firstLineChars="200"/>
        <w:rPr>
          <w:rFonts w:ascii="Times New Roman" w:eastAsia="仿宋"/>
          <w:sz w:val="28"/>
          <w:szCs w:val="28"/>
        </w:rPr>
      </w:pPr>
      <w:r>
        <w:rPr>
          <w:rFonts w:hint="eastAsia" w:ascii="Times New Roman" w:eastAsia="仿宋"/>
          <w:sz w:val="28"/>
          <w:szCs w:val="28"/>
        </w:rPr>
        <w:t>5、常州坤坛环保有限公司</w:t>
      </w:r>
    </w:p>
    <w:p w14:paraId="380E9233">
      <w:pPr>
        <w:spacing w:line="496" w:lineRule="exact"/>
        <w:ind w:firstLine="560" w:firstLineChars="200"/>
        <w:rPr>
          <w:rFonts w:ascii="Times New Roman" w:eastAsia="仿宋"/>
          <w:sz w:val="28"/>
          <w:szCs w:val="28"/>
        </w:rPr>
      </w:pPr>
      <w:r>
        <w:rPr>
          <w:rFonts w:hint="eastAsia" w:ascii="Times New Roman" w:eastAsia="仿宋"/>
          <w:sz w:val="28"/>
          <w:szCs w:val="28"/>
        </w:rPr>
        <w:t>常州坤坛环保有限公司持有危废经营许可证，许可证号为JSCZ0413CSO060-2，经营范围包括收集医药废物（HW02）、废药物、药品（HW03）、废有机溶剂与含有机溶剂废物（HW06）、废矿物油与含矿物油废物（HW08）、油/水、烃/水混合物或乳化液（HW09）、精（蒸）馏残渣（HW11）、染料、涂料废物（HW12）、有机树脂类废物（HW13）、感光材料废物（HW16）、表面处理废物（HW17）、焚烧处置残渣（HW18）、含铜废物（HW22）、含锌废物（HW23）、含汞废物（HW29）、含铅废物（HW31）、废酸（HW34）、废碱（HW35）、石棉废物（HW36）、含醚废物（HW40）、含镍废物（HW46）、有色金属冶炼废物（HW48）、其他废物（HW49，仅限900-039-49、900-041-49、900-044-49、900-045-49、900-046-49、900-047-49、900-999-49）、废催化剂（HW50），合计3000吨/年（收集范围限常州市, 收集对象限市内年产生量在10吨以下的企事业单位产生的危险废物，科研所、高等学校、各类检测机构等产生的实验室废物（医疗废物除外），机动车维修机构、加油站等产生的危险废物）。</w:t>
      </w:r>
    </w:p>
    <w:p w14:paraId="34BF869D">
      <w:pPr>
        <w:spacing w:line="496"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水洗废水（HW09）、水帘废水（HW09）、废机油（HW08）、废清洗液（HW12）、废过滤棉（HW49）、过滤介质（HW13）、含漆废抹布手套（HW49）、污泥（HW12）、钝化废水（HW17）委托江苏盈天环保科技有限公司处置；废漆渣（HW12）委托江苏开拓者环保材料有限公司处置；废活性炭（HW49）委托常州富创再生资源有限公司处置；废油漆桶（HW49）委托常州普达环保清洗有限公司处置；本项目废催化剂（HW50）委托常州坤坛环保有限公司处置。</w:t>
      </w:r>
    </w:p>
    <w:p w14:paraId="1A28ECA1">
      <w:pPr>
        <w:spacing w:line="500" w:lineRule="exact"/>
        <w:ind w:firstLine="621" w:firstLineChars="222"/>
        <w:rPr>
          <w:rFonts w:ascii="Times New Roman" w:eastAsia="仿宋"/>
          <w:sz w:val="28"/>
          <w:szCs w:val="28"/>
        </w:rPr>
      </w:pPr>
      <w:r>
        <w:rPr>
          <w:rFonts w:ascii="Times New Roman" w:eastAsia="仿宋"/>
          <w:sz w:val="28"/>
          <w:szCs w:val="28"/>
        </w:rPr>
        <w:t>本项目危险废物均在上述公司核准经营危险废物类别之内。待本项目投产后，将本项目产生的危废可一并交予上述有资质单位进行专业处置，上述有资质单位有条件且有能力处理处置本项目产生的危险废物。</w:t>
      </w:r>
    </w:p>
    <w:p w14:paraId="564D893F">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.3.3经济可行性分析</w:t>
      </w:r>
    </w:p>
    <w:p w14:paraId="7BE4D04A">
      <w:pPr>
        <w:snapToGrid w:val="0"/>
        <w:spacing w:line="500" w:lineRule="exact"/>
        <w:ind w:firstLine="465"/>
        <w:textAlignment w:val="baseline"/>
        <w:rPr>
          <w:rFonts w:ascii="Times New Roman" w:eastAsia="仿宋"/>
          <w:sz w:val="28"/>
          <w:szCs w:val="28"/>
        </w:rPr>
      </w:pPr>
      <w:r>
        <w:rPr>
          <w:rFonts w:ascii="Times New Roman" w:eastAsia="仿宋"/>
          <w:sz w:val="28"/>
          <w:szCs w:val="28"/>
        </w:rPr>
        <w:t>本项目产生危废1</w:t>
      </w:r>
      <w:r>
        <w:rPr>
          <w:rFonts w:hint="eastAsia" w:ascii="Times New Roman" w:eastAsia="仿宋"/>
          <w:sz w:val="28"/>
          <w:szCs w:val="28"/>
        </w:rPr>
        <w:t>18</w:t>
      </w:r>
      <w:r>
        <w:rPr>
          <w:rFonts w:ascii="Times New Roman" w:eastAsia="仿宋"/>
          <w:sz w:val="28"/>
          <w:szCs w:val="28"/>
        </w:rPr>
        <w:t>.5</w:t>
      </w:r>
      <w:r>
        <w:rPr>
          <w:rFonts w:hint="eastAsia" w:ascii="Times New Roman" w:eastAsia="仿宋"/>
          <w:sz w:val="28"/>
          <w:szCs w:val="28"/>
        </w:rPr>
        <w:t>95</w:t>
      </w:r>
      <w:r>
        <w:rPr>
          <w:rFonts w:ascii="Times New Roman" w:eastAsia="仿宋"/>
          <w:sz w:val="28"/>
          <w:szCs w:val="28"/>
        </w:rPr>
        <w:t>t/a，</w:t>
      </w:r>
      <w:r>
        <w:rPr>
          <w:rFonts w:hint="eastAsia" w:ascii="Times New Roman" w:eastAsia="仿宋"/>
          <w:sz w:val="28"/>
          <w:szCs w:val="28"/>
        </w:rPr>
        <w:t>平均每吨处理费用约</w:t>
      </w:r>
      <w:r>
        <w:rPr>
          <w:rFonts w:ascii="Times New Roman" w:eastAsia="仿宋"/>
          <w:sz w:val="28"/>
          <w:szCs w:val="28"/>
        </w:rPr>
        <w:t>5000</w:t>
      </w:r>
      <w:r>
        <w:rPr>
          <w:rFonts w:hint="eastAsia" w:ascii="Times New Roman" w:eastAsia="仿宋"/>
          <w:sz w:val="28"/>
          <w:szCs w:val="28"/>
        </w:rPr>
        <w:t>元，处置费用约为5</w:t>
      </w:r>
      <w:r>
        <w:rPr>
          <w:rFonts w:ascii="Times New Roman" w:eastAsia="仿宋"/>
          <w:sz w:val="28"/>
          <w:szCs w:val="28"/>
        </w:rPr>
        <w:t>9</w:t>
      </w:r>
      <w:r>
        <w:rPr>
          <w:rFonts w:hint="eastAsia" w:ascii="Times New Roman" w:eastAsia="仿宋"/>
          <w:sz w:val="28"/>
          <w:szCs w:val="28"/>
        </w:rPr>
        <w:t>.</w:t>
      </w:r>
      <w:r>
        <w:rPr>
          <w:rFonts w:ascii="Times New Roman" w:eastAsia="仿宋"/>
          <w:sz w:val="28"/>
          <w:szCs w:val="28"/>
        </w:rPr>
        <w:t>25</w:t>
      </w:r>
      <w:r>
        <w:rPr>
          <w:rFonts w:hint="eastAsia" w:ascii="Times New Roman" w:eastAsia="仿宋"/>
          <w:sz w:val="28"/>
          <w:szCs w:val="28"/>
        </w:rPr>
        <w:t>万元</w:t>
      </w:r>
      <w:r>
        <w:rPr>
          <w:rFonts w:ascii="Times New Roman" w:eastAsia="仿宋"/>
          <w:sz w:val="28"/>
          <w:szCs w:val="28"/>
        </w:rPr>
        <w:t>/</w:t>
      </w:r>
      <w:r>
        <w:rPr>
          <w:rFonts w:hint="eastAsia" w:ascii="Times New Roman" w:eastAsia="仿宋"/>
          <w:sz w:val="28"/>
          <w:szCs w:val="28"/>
        </w:rPr>
        <w:t>年，厂方完全有能力承担该费用。因此，企业处置本项目固废从经济方面论证可行的。</w:t>
      </w:r>
    </w:p>
    <w:p w14:paraId="748CB180">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.3.4一般固废贮运要求</w:t>
      </w:r>
    </w:p>
    <w:p w14:paraId="3EC4B5FB">
      <w:pPr>
        <w:snapToGrid w:val="0"/>
        <w:spacing w:line="500" w:lineRule="exact"/>
        <w:ind w:firstLine="465"/>
        <w:textAlignment w:val="baseline"/>
        <w:rPr>
          <w:rFonts w:ascii="Times New Roman" w:eastAsia="仿宋"/>
          <w:sz w:val="28"/>
          <w:szCs w:val="28"/>
        </w:rPr>
      </w:pPr>
      <w:r>
        <w:rPr>
          <w:rFonts w:ascii="Times New Roman" w:eastAsia="仿宋"/>
          <w:sz w:val="28"/>
          <w:szCs w:val="28"/>
        </w:rPr>
        <w:t>根据《一般工业固体废物贮存和填埋污染控制标准》（GB 18599-2020），一般工业固体废物贮存、处置场运行管理要求如下：</w:t>
      </w:r>
    </w:p>
    <w:p w14:paraId="794C377E">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（1）</w:t>
      </w:r>
      <w:r>
        <w:rPr>
          <w:rFonts w:ascii="Times New Roman" w:eastAsia="仿宋"/>
          <w:sz w:val="28"/>
          <w:szCs w:val="28"/>
        </w:rPr>
        <w:t>一般工业固体废物贮存、处置场，禁止危险废物和生活垃圾混入。</w:t>
      </w:r>
    </w:p>
    <w:p w14:paraId="1CFF8D3A">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（2）</w:t>
      </w:r>
      <w:r>
        <w:rPr>
          <w:rFonts w:ascii="Times New Roman" w:eastAsia="仿宋"/>
          <w:sz w:val="28"/>
          <w:szCs w:val="28"/>
        </w:rPr>
        <w:t>贮存、处置场使用单位，应建立检查维护制度。定期检查维护堤、坝、挡土墙、导流渠等设施，发现有损坏可能或异常，应及时采取必要措施，以保障正常运行。</w:t>
      </w:r>
    </w:p>
    <w:p w14:paraId="68B773C7">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.3.5危险废物</w:t>
      </w:r>
      <w:r>
        <w:rPr>
          <w:rFonts w:hint="eastAsia" w:ascii="Times New Roman" w:eastAsia="仿宋"/>
          <w:b/>
          <w:sz w:val="28"/>
          <w:szCs w:val="32"/>
        </w:rPr>
        <w:t>管理</w:t>
      </w:r>
      <w:r>
        <w:rPr>
          <w:rFonts w:ascii="Times New Roman" w:eastAsia="仿宋"/>
          <w:b/>
          <w:sz w:val="28"/>
          <w:szCs w:val="32"/>
        </w:rPr>
        <w:t>要求</w:t>
      </w:r>
    </w:p>
    <w:p w14:paraId="5C080B67">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根据《关于开展全省固废危废环境隐患排查整治专项行动的通知》（苏环办〔2019〕104号）、《省生态环境厅关于做好《危险废物贮存污染控制标准》等标准规范实施后危险废物环境管理衔接工作的通知（苏环办〔2023〕154号）》《市生态环境局关于开展全市固废危废环境隐患排查暨贮存规范化管理专项整治行动的通知》（常环执法〔2019〕40号）、《省生态环境厅关于印发江苏省危险废物贮存规范化管理专项整治行动方案的通知》（苏环办〔2019〕149号）对企业产生危废要求如下：</w:t>
      </w:r>
    </w:p>
    <w:p w14:paraId="6D4714D1">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①</w:t>
      </w:r>
      <w:r>
        <w:rPr>
          <w:rFonts w:ascii="Times New Roman" w:eastAsia="仿宋"/>
          <w:sz w:val="28"/>
          <w:szCs w:val="28"/>
        </w:rPr>
        <w:t>强化危废申报登记。应按规定申报危废产生、贮存、转移、利用处置等信息，制定危险废物年度管理计划，并在“江苏省危险废物动态管理信息系统”中备案。管理计划如需调整变更的，应重新在系统中申请备案。应结合自身实际，建立危废台账，如实记载危险废物种类、数量、性质、产生环节、流向、贮存、利用处理等信息，并在“江苏省危险废物动态管理信息系统”中进行如实规范申报，申报数据应与台账、管理计划数据相一致。</w:t>
      </w:r>
    </w:p>
    <w:p w14:paraId="55AF5E16">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②</w:t>
      </w:r>
      <w:r>
        <w:rPr>
          <w:rFonts w:ascii="Times New Roman" w:eastAsia="仿宋"/>
          <w:sz w:val="28"/>
          <w:szCs w:val="28"/>
        </w:rPr>
        <w:t>落实信息公开制度。按照要求在厂门口显著位置设置危险废物信息公开栏，主动公开危险废物产生、利用处置等情况；有官方网站的，在官网同时公开相关信息。</w:t>
      </w:r>
    </w:p>
    <w:p w14:paraId="485B97D4">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③加强危险废物贮存污染防治。危险废物贮存设施(含贮存点)应按照《省生态环境厅关于进一步加强危险废物污染防治工作的实施意见》(苏环办〔2019〕327号)、《省生态环境厅关于做好江苏省危险废物全生命周期监控系统上线运行工作的通知》 (苏环办〔2020〕401号)等文件要求设置视频监控，并与中控室联网，视频监控应确保监控画面清晰，视频记录保存时间至少为3个月。</w:t>
      </w:r>
    </w:p>
    <w:p w14:paraId="6907499D">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④做好危险废物识别标志更换。危险废物识别标志样式可由江苏省危险废物全生命周期监控系统自动生成，原贮存、利用处置设施标志牌上贮存设施环评批文、贮存设施建筑面积或容积、贮存设施环境污染防治措施环境应急物资和设备、贮存危险废物清单、利用处置方式、利用处置能力、可利用处置危废、产生危废等信息纳入识别标志二维码管理，危险废物标签备注栏需显示容器容量材质等信息。</w:t>
      </w:r>
    </w:p>
    <w:p w14:paraId="2C8A0A14">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根据</w:t>
      </w:r>
      <w:r>
        <w:rPr>
          <w:rFonts w:ascii="Times New Roman" w:eastAsia="仿宋"/>
          <w:sz w:val="28"/>
          <w:szCs w:val="28"/>
        </w:rPr>
        <w:t>《危险废物贮存污染控制标准》（GB18597-2023）</w:t>
      </w:r>
      <w:r>
        <w:rPr>
          <w:rFonts w:hint="eastAsia" w:ascii="Times New Roman" w:eastAsia="仿宋"/>
          <w:sz w:val="28"/>
          <w:szCs w:val="28"/>
        </w:rPr>
        <w:t>中要求，</w:t>
      </w:r>
      <w:r>
        <w:rPr>
          <w:rFonts w:ascii="Times New Roman" w:eastAsia="仿宋"/>
          <w:sz w:val="28"/>
          <w:szCs w:val="28"/>
        </w:rPr>
        <w:t>危险废物贮存设施需采取以下措施：</w:t>
      </w:r>
    </w:p>
    <w:p w14:paraId="611C6BB3">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一、</w:t>
      </w:r>
      <w:r>
        <w:rPr>
          <w:rFonts w:ascii="Times New Roman" w:eastAsia="仿宋"/>
          <w:sz w:val="28"/>
          <w:szCs w:val="28"/>
        </w:rPr>
        <w:t>危废堆场选址与设计原则</w:t>
      </w:r>
    </w:p>
    <w:p w14:paraId="08B9CF41">
      <w:pPr>
        <w:snapToGrid w:val="0"/>
        <w:spacing w:line="500" w:lineRule="exact"/>
        <w:ind w:firstLine="465"/>
        <w:textAlignment w:val="baseline"/>
        <w:rPr>
          <w:rFonts w:ascii="Times New Roman" w:eastAsia="仿宋"/>
          <w:sz w:val="28"/>
          <w:szCs w:val="28"/>
        </w:rPr>
      </w:pPr>
      <w:r>
        <w:rPr>
          <w:rFonts w:ascii="Times New Roman" w:eastAsia="仿宋"/>
          <w:sz w:val="28"/>
          <w:szCs w:val="28"/>
        </w:rPr>
        <w:t>（</w:t>
      </w:r>
      <w:r>
        <w:rPr>
          <w:rFonts w:hint="eastAsia" w:ascii="Times New Roman" w:eastAsia="仿宋"/>
          <w:sz w:val="28"/>
          <w:szCs w:val="28"/>
        </w:rPr>
        <w:t>1）贮存设施选址应满足生态环境保护法律法规、规划和“三线一单”生态环境分区管控的要求，建设项目应依法进行环境影响评价。</w:t>
      </w:r>
    </w:p>
    <w:p w14:paraId="06D88788">
      <w:pPr>
        <w:snapToGrid w:val="0"/>
        <w:spacing w:line="500" w:lineRule="exact"/>
        <w:ind w:firstLine="465"/>
        <w:textAlignment w:val="baseline"/>
        <w:rPr>
          <w:rFonts w:ascii="Times New Roman" w:eastAsia="仿宋"/>
          <w:sz w:val="28"/>
          <w:szCs w:val="28"/>
        </w:rPr>
      </w:pPr>
      <w:r>
        <w:rPr>
          <w:rFonts w:ascii="Times New Roman" w:eastAsia="仿宋"/>
          <w:sz w:val="28"/>
          <w:szCs w:val="28"/>
        </w:rPr>
        <w:t>（</w:t>
      </w:r>
      <w:r>
        <w:rPr>
          <w:rFonts w:hint="eastAsia" w:ascii="Times New Roman" w:eastAsia="仿宋"/>
          <w:sz w:val="28"/>
          <w:szCs w:val="28"/>
        </w:rPr>
        <w:t>2）集中贮存设施不应选在生态保护红线区域、永久基本农田和其他需要特别保护的区域内，不应建在溶洞区或易遭受洪水、滑坡、泥石流、潮汐等严重自然灾害影响的地区。</w:t>
      </w:r>
    </w:p>
    <w:p w14:paraId="7C185409">
      <w:pPr>
        <w:snapToGrid w:val="0"/>
        <w:spacing w:line="500" w:lineRule="exact"/>
        <w:ind w:firstLine="465"/>
        <w:textAlignment w:val="baseline"/>
        <w:rPr>
          <w:rFonts w:ascii="Times New Roman" w:eastAsia="仿宋"/>
          <w:sz w:val="28"/>
          <w:szCs w:val="28"/>
        </w:rPr>
      </w:pPr>
      <w:r>
        <w:rPr>
          <w:rFonts w:ascii="Times New Roman" w:eastAsia="仿宋"/>
          <w:sz w:val="28"/>
          <w:szCs w:val="28"/>
        </w:rPr>
        <w:t>（</w:t>
      </w:r>
      <w:r>
        <w:rPr>
          <w:rFonts w:hint="eastAsia" w:ascii="Times New Roman" w:eastAsia="仿宋"/>
          <w:sz w:val="28"/>
          <w:szCs w:val="28"/>
        </w:rPr>
        <w:t>3）贮存设施不应选在江河、湖泊、运河、渠道、水库及其最高水位线以下的滩地和岸坡，以及法律法规规定禁止贮存危险废物的其他地点。</w:t>
      </w:r>
    </w:p>
    <w:p w14:paraId="24E37083">
      <w:pPr>
        <w:snapToGrid w:val="0"/>
        <w:spacing w:line="500" w:lineRule="exact"/>
        <w:ind w:firstLine="465"/>
        <w:textAlignment w:val="baseline"/>
        <w:rPr>
          <w:rFonts w:ascii="Times New Roman" w:eastAsia="仿宋"/>
          <w:sz w:val="28"/>
          <w:szCs w:val="28"/>
        </w:rPr>
      </w:pPr>
      <w:r>
        <w:rPr>
          <w:rFonts w:ascii="Times New Roman" w:eastAsia="仿宋"/>
          <w:sz w:val="28"/>
          <w:szCs w:val="28"/>
        </w:rPr>
        <w:t>（</w:t>
      </w:r>
      <w:r>
        <w:rPr>
          <w:rFonts w:hint="eastAsia" w:ascii="Times New Roman" w:eastAsia="仿宋"/>
          <w:sz w:val="28"/>
          <w:szCs w:val="28"/>
        </w:rPr>
        <w:t>4）贮存设施场址的位置以及其与周围环境敏感目标的距离应依据环境影响评价文件确定。</w:t>
      </w:r>
    </w:p>
    <w:p w14:paraId="78ADF517">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二、贮存设施污染控制要求</w:t>
      </w:r>
    </w:p>
    <w:p w14:paraId="0D2DC2BB">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（1）一般规定</w:t>
      </w:r>
    </w:p>
    <w:p w14:paraId="7CAE072F">
      <w:pPr>
        <w:snapToGrid w:val="0"/>
        <w:spacing w:line="500" w:lineRule="exact"/>
        <w:ind w:firstLine="465"/>
        <w:textAlignment w:val="baseline"/>
        <w:rPr>
          <w:rFonts w:ascii="Times New Roman" w:eastAsia="仿宋"/>
          <w:sz w:val="28"/>
          <w:szCs w:val="28"/>
        </w:rPr>
      </w:pPr>
      <w:r>
        <w:rPr>
          <w:rFonts w:ascii="Times New Roman" w:eastAsia="仿宋"/>
          <w:sz w:val="28"/>
          <w:szCs w:val="28"/>
        </w:rPr>
        <w:t>1. 贮存设施应根据危险废物的形态、物理化学性质、包装形式和污染物迁移途径，采取必要的防风、防晒、防雨、防漏、防渗、防腐以及其他环境污染防治措施，不应露天堆放危险废物。</w:t>
      </w:r>
    </w:p>
    <w:p w14:paraId="76800EB1">
      <w:pPr>
        <w:snapToGrid w:val="0"/>
        <w:spacing w:line="500" w:lineRule="exact"/>
        <w:ind w:firstLine="465"/>
        <w:textAlignment w:val="baseline"/>
        <w:rPr>
          <w:rFonts w:ascii="Times New Roman" w:eastAsia="仿宋"/>
          <w:sz w:val="28"/>
          <w:szCs w:val="28"/>
        </w:rPr>
      </w:pPr>
      <w:r>
        <w:rPr>
          <w:rFonts w:ascii="Times New Roman" w:eastAsia="仿宋"/>
          <w:sz w:val="28"/>
          <w:szCs w:val="28"/>
        </w:rPr>
        <w:t>2. 贮存设施应根据危险废物的类别、数量、形态、物理化学性质和污染防治等要求设置必要的贮存分区，避免不相容的危险废物接触、混合。</w:t>
      </w:r>
    </w:p>
    <w:p w14:paraId="02217E95">
      <w:pPr>
        <w:snapToGrid w:val="0"/>
        <w:spacing w:line="500" w:lineRule="exact"/>
        <w:ind w:firstLine="465"/>
        <w:textAlignment w:val="baseline"/>
        <w:rPr>
          <w:rFonts w:ascii="Times New Roman" w:eastAsia="仿宋"/>
          <w:sz w:val="28"/>
          <w:szCs w:val="28"/>
        </w:rPr>
      </w:pPr>
      <w:r>
        <w:rPr>
          <w:rFonts w:ascii="Times New Roman" w:eastAsia="仿宋"/>
          <w:sz w:val="28"/>
          <w:szCs w:val="28"/>
        </w:rPr>
        <w:t>3. 贮存设施或贮存分区内地面、墙面裙脚、堵截泄漏的围堰、接触危险废物的隔板和墙体等应采用坚固的材料建造，表面无裂缝。</w:t>
      </w:r>
    </w:p>
    <w:p w14:paraId="00E5A7EA">
      <w:pPr>
        <w:snapToGrid w:val="0"/>
        <w:spacing w:line="500" w:lineRule="exact"/>
        <w:ind w:firstLine="465"/>
        <w:textAlignment w:val="baseline"/>
        <w:rPr>
          <w:rFonts w:ascii="Times New Roman" w:eastAsia="仿宋"/>
          <w:sz w:val="28"/>
          <w:szCs w:val="28"/>
        </w:rPr>
      </w:pPr>
      <w:r>
        <w:rPr>
          <w:rFonts w:ascii="Times New Roman" w:eastAsia="仿宋"/>
          <w:sz w:val="28"/>
          <w:szCs w:val="28"/>
        </w:rPr>
        <w:t>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ascii="Times New Roman" w:eastAsia="仿宋"/>
          <w:sz w:val="28"/>
          <w:szCs w:val="28"/>
          <w:vertAlign w:val="superscript"/>
        </w:rPr>
        <w:t>-7</w:t>
      </w:r>
      <w:r>
        <w:rPr>
          <w:rFonts w:ascii="Times New Roman" w:eastAsia="仿宋"/>
          <w:sz w:val="28"/>
          <w:szCs w:val="28"/>
        </w:rPr>
        <w:t xml:space="preserve"> cm/s），或至少2 mm 厚高密度聚乙烯膜等人工防渗材料（渗透系数不大于10</w:t>
      </w:r>
      <w:r>
        <w:rPr>
          <w:rFonts w:ascii="Times New Roman" w:eastAsia="仿宋"/>
          <w:sz w:val="28"/>
          <w:szCs w:val="28"/>
          <w:vertAlign w:val="superscript"/>
        </w:rPr>
        <w:t>-10</w:t>
      </w:r>
      <w:r>
        <w:rPr>
          <w:rFonts w:ascii="Times New Roman" w:eastAsia="仿宋"/>
          <w:sz w:val="28"/>
          <w:szCs w:val="28"/>
        </w:rPr>
        <w:t xml:space="preserve"> cm/s），或其他防渗性能等效的材料。</w:t>
      </w:r>
    </w:p>
    <w:p w14:paraId="546DF19C">
      <w:pPr>
        <w:snapToGrid w:val="0"/>
        <w:spacing w:line="500" w:lineRule="exact"/>
        <w:ind w:firstLine="465"/>
        <w:textAlignment w:val="baseline"/>
        <w:rPr>
          <w:rFonts w:ascii="Times New Roman" w:eastAsia="仿宋"/>
          <w:sz w:val="28"/>
          <w:szCs w:val="28"/>
        </w:rPr>
      </w:pPr>
      <w:r>
        <w:rPr>
          <w:rFonts w:ascii="Times New Roman" w:eastAsia="仿宋"/>
          <w:sz w:val="28"/>
          <w:szCs w:val="28"/>
        </w:rPr>
        <w:t>5. 同一贮存设施宜采用相同的防渗、防腐工艺（包括防渗、防腐结构或材料），防渗、防腐材料应覆盖所有可能与废物及</w:t>
      </w:r>
      <w:r>
        <w:rPr>
          <w:rFonts w:hint="eastAsia" w:ascii="Times New Roman" w:eastAsia="仿宋"/>
          <w:sz w:val="28"/>
          <w:szCs w:val="28"/>
        </w:rPr>
        <w:t>其渗滤液、渗漏液等接触的构筑物表面；采用不同防渗、防腐工艺应分别建设贮存分区。</w:t>
      </w:r>
    </w:p>
    <w:p w14:paraId="15875B76">
      <w:pPr>
        <w:snapToGrid w:val="0"/>
        <w:spacing w:line="500" w:lineRule="exact"/>
        <w:ind w:firstLine="465"/>
        <w:textAlignment w:val="baseline"/>
        <w:rPr>
          <w:rFonts w:ascii="Times New Roman" w:eastAsia="仿宋"/>
          <w:sz w:val="28"/>
          <w:szCs w:val="28"/>
        </w:rPr>
      </w:pPr>
      <w:r>
        <w:rPr>
          <w:rFonts w:ascii="Times New Roman" w:eastAsia="仿宋"/>
          <w:sz w:val="28"/>
          <w:szCs w:val="28"/>
        </w:rPr>
        <w:t>6.贮存设施应采取技术和管理措施防止无关人员进入</w:t>
      </w:r>
      <w:r>
        <w:rPr>
          <w:rFonts w:hint="eastAsia" w:ascii="Times New Roman" w:eastAsia="仿宋"/>
          <w:sz w:val="28"/>
          <w:szCs w:val="28"/>
        </w:rPr>
        <w:t>。</w:t>
      </w:r>
    </w:p>
    <w:p w14:paraId="4C48B336">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（2）贮存库</w:t>
      </w:r>
    </w:p>
    <w:p w14:paraId="29DC3561">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1.贮存库内不同贮存分区之间应采取隔离措施。隔离措施可根据危险废物特性采用过道、隔板或</w:t>
      </w:r>
      <w:r>
        <w:rPr>
          <w:rFonts w:hint="eastAsia" w:ascii="Times New Roman" w:eastAsia="仿宋"/>
          <w:sz w:val="28"/>
          <w:szCs w:val="28"/>
        </w:rPr>
        <w:t>隔墙等方式。</w:t>
      </w:r>
    </w:p>
    <w:p w14:paraId="3F4E08FE">
      <w:pPr>
        <w:snapToGrid w:val="0"/>
        <w:spacing w:line="500" w:lineRule="exact"/>
        <w:ind w:firstLine="465"/>
        <w:textAlignment w:val="baseline"/>
        <w:rPr>
          <w:rFonts w:ascii="Times New Roman" w:eastAsia="仿宋"/>
          <w:sz w:val="28"/>
          <w:szCs w:val="28"/>
        </w:rPr>
      </w:pPr>
      <w:r>
        <w:rPr>
          <w:rFonts w:ascii="Times New Roman" w:eastAsia="仿宋"/>
          <w:sz w:val="28"/>
          <w:szCs w:val="28"/>
        </w:rPr>
        <w:t>2.在贮存库内或通过贮存分区方式贮存液态危险废物的，应具有液体泄漏堵截设施，堵截设施最</w:t>
      </w:r>
      <w:r>
        <w:rPr>
          <w:rFonts w:hint="eastAsia" w:ascii="Times New Roman" w:eastAsia="仿宋"/>
          <w:sz w:val="28"/>
          <w:szCs w:val="28"/>
        </w:rPr>
        <w:t>小容积不应低于对应贮存区域最大液态废物容器容积或液态废物总储量</w:t>
      </w:r>
      <w:r>
        <w:rPr>
          <w:rFonts w:ascii="Times New Roman" w:eastAsia="仿宋"/>
          <w:sz w:val="28"/>
          <w:szCs w:val="28"/>
        </w:rPr>
        <w:t>1/10 (二者取较大者)</w:t>
      </w:r>
      <w:r>
        <w:rPr>
          <w:rFonts w:hint="eastAsia" w:ascii="Times New Roman" w:eastAsia="仿宋"/>
          <w:sz w:val="28"/>
          <w:szCs w:val="28"/>
        </w:rPr>
        <w:t>；</w:t>
      </w:r>
      <w:r>
        <w:rPr>
          <w:rFonts w:ascii="Times New Roman" w:eastAsia="仿宋"/>
          <w:sz w:val="28"/>
          <w:szCs w:val="28"/>
        </w:rPr>
        <w:t>用于贮</w:t>
      </w:r>
      <w:r>
        <w:rPr>
          <w:rFonts w:hint="eastAsia" w:ascii="Times New Roman" w:eastAsia="仿宋"/>
          <w:sz w:val="28"/>
          <w:szCs w:val="28"/>
        </w:rPr>
        <w:t>存可能产生渗滤液的危险废物的贮存库或贮存分区应设计渗滤液收集设施，</w:t>
      </w:r>
      <w:r>
        <w:rPr>
          <w:rFonts w:ascii="Times New Roman" w:eastAsia="仿宋"/>
          <w:sz w:val="28"/>
          <w:szCs w:val="28"/>
        </w:rPr>
        <w:t>收集设施容积应满足渗滤液</w:t>
      </w:r>
      <w:r>
        <w:rPr>
          <w:rFonts w:hint="eastAsia" w:ascii="Times New Roman" w:eastAsia="仿宋"/>
          <w:sz w:val="28"/>
          <w:szCs w:val="28"/>
        </w:rPr>
        <w:t>的收集要求。</w:t>
      </w:r>
    </w:p>
    <w:p w14:paraId="47C3478B">
      <w:pPr>
        <w:snapToGrid w:val="0"/>
        <w:spacing w:line="500" w:lineRule="exact"/>
        <w:ind w:firstLine="465"/>
        <w:textAlignment w:val="baseline"/>
        <w:rPr>
          <w:rFonts w:ascii="Times New Roman" w:eastAsia="仿宋"/>
          <w:sz w:val="28"/>
          <w:szCs w:val="28"/>
        </w:rPr>
      </w:pPr>
      <w:r>
        <w:rPr>
          <w:rFonts w:ascii="Times New Roman" w:eastAsia="仿宋"/>
          <w:sz w:val="28"/>
          <w:szCs w:val="28"/>
        </w:rPr>
        <w:t>3.贮存易产生粉尘、VOCs、酸雾、有毒有害大气污染物和刺激性气味气体的危险废物贮存库，应</w:t>
      </w:r>
      <w:r>
        <w:rPr>
          <w:rFonts w:hint="eastAsia" w:ascii="Times New Roman" w:eastAsia="仿宋"/>
          <w:sz w:val="28"/>
          <w:szCs w:val="28"/>
        </w:rPr>
        <w:t>设置气体收集装置和气体净化设施；</w:t>
      </w:r>
      <w:r>
        <w:rPr>
          <w:rFonts w:ascii="Times New Roman" w:eastAsia="仿宋"/>
          <w:sz w:val="28"/>
          <w:szCs w:val="28"/>
        </w:rPr>
        <w:t>气体净化设施的排气筒高度应符合GB16297要求</w:t>
      </w:r>
      <w:r>
        <w:rPr>
          <w:rFonts w:hint="eastAsia" w:ascii="Times New Roman" w:eastAsia="仿宋"/>
          <w:sz w:val="28"/>
          <w:szCs w:val="28"/>
        </w:rPr>
        <w:t>。</w:t>
      </w:r>
    </w:p>
    <w:p w14:paraId="0AD2079C">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（3）</w:t>
      </w:r>
      <w:r>
        <w:rPr>
          <w:rFonts w:ascii="Times New Roman" w:eastAsia="仿宋"/>
          <w:sz w:val="28"/>
          <w:szCs w:val="28"/>
        </w:rPr>
        <w:t>贮存场</w:t>
      </w:r>
    </w:p>
    <w:p w14:paraId="013A8517">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1.贮存场应设置径流疏导系统，保证能防止当地重现期不小于25年的暴雨流入贮存区域，并采取</w:t>
      </w:r>
      <w:r>
        <w:rPr>
          <w:rFonts w:hint="eastAsia" w:ascii="Times New Roman" w:eastAsia="仿宋"/>
          <w:sz w:val="28"/>
          <w:szCs w:val="28"/>
        </w:rPr>
        <w:t>措施防止雨水冲淋危险废物，避免增加渗滤液量。</w:t>
      </w:r>
    </w:p>
    <w:p w14:paraId="5AC60033">
      <w:pPr>
        <w:snapToGrid w:val="0"/>
        <w:spacing w:line="500" w:lineRule="exact"/>
        <w:ind w:firstLine="465"/>
        <w:textAlignment w:val="baseline"/>
        <w:rPr>
          <w:rFonts w:ascii="Times New Roman" w:eastAsia="仿宋"/>
          <w:sz w:val="28"/>
          <w:szCs w:val="28"/>
        </w:rPr>
      </w:pPr>
      <w:r>
        <w:rPr>
          <w:rFonts w:ascii="Times New Roman" w:eastAsia="仿宋"/>
          <w:sz w:val="28"/>
          <w:szCs w:val="28"/>
        </w:rPr>
        <w:t>2.贮存场可整体或分区设计液体导流和收集设施，收集设施容积应保证在最不利条件下可以容纳</w:t>
      </w:r>
      <w:r>
        <w:rPr>
          <w:rFonts w:hint="eastAsia" w:ascii="Times New Roman" w:eastAsia="仿宋"/>
          <w:sz w:val="28"/>
          <w:szCs w:val="28"/>
        </w:rPr>
        <w:t>对应贮存区域产生的渗滤液、废水等液态物质。</w:t>
      </w:r>
    </w:p>
    <w:p w14:paraId="0F59C568">
      <w:pPr>
        <w:snapToGrid w:val="0"/>
        <w:spacing w:line="500" w:lineRule="exact"/>
        <w:ind w:firstLine="465"/>
        <w:textAlignment w:val="baseline"/>
        <w:rPr>
          <w:rFonts w:ascii="Times New Roman" w:eastAsia="仿宋"/>
          <w:sz w:val="28"/>
          <w:szCs w:val="28"/>
        </w:rPr>
      </w:pPr>
      <w:r>
        <w:rPr>
          <w:rFonts w:ascii="Times New Roman" w:eastAsia="仿宋"/>
          <w:sz w:val="28"/>
          <w:szCs w:val="28"/>
        </w:rPr>
        <w:t>3.贮存场应采取防止危险废物扬散、流失的措施。</w:t>
      </w:r>
    </w:p>
    <w:p w14:paraId="1527D409">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三、</w:t>
      </w:r>
      <w:r>
        <w:rPr>
          <w:rFonts w:ascii="Times New Roman" w:eastAsia="仿宋"/>
          <w:sz w:val="28"/>
          <w:szCs w:val="28"/>
        </w:rPr>
        <w:t>容器和包装物污染控制要求</w:t>
      </w:r>
    </w:p>
    <w:p w14:paraId="536E9CA0">
      <w:pPr>
        <w:snapToGrid w:val="0"/>
        <w:spacing w:line="500" w:lineRule="exact"/>
        <w:ind w:firstLine="465"/>
        <w:textAlignment w:val="baseline"/>
        <w:rPr>
          <w:rFonts w:ascii="Times New Roman" w:eastAsia="仿宋"/>
          <w:sz w:val="28"/>
          <w:szCs w:val="28"/>
        </w:rPr>
      </w:pPr>
      <w:r>
        <w:rPr>
          <w:rFonts w:ascii="Times New Roman" w:eastAsia="仿宋"/>
          <w:sz w:val="28"/>
          <w:szCs w:val="28"/>
        </w:rPr>
        <w:t>1.容器和包装物材质、内衬应与盛装的危险废物相容。</w:t>
      </w:r>
    </w:p>
    <w:p w14:paraId="0043ABEB">
      <w:pPr>
        <w:snapToGrid w:val="0"/>
        <w:spacing w:line="500" w:lineRule="exact"/>
        <w:ind w:firstLine="465"/>
        <w:textAlignment w:val="baseline"/>
        <w:rPr>
          <w:rFonts w:ascii="Times New Roman" w:eastAsia="仿宋"/>
          <w:sz w:val="28"/>
          <w:szCs w:val="28"/>
        </w:rPr>
      </w:pPr>
      <w:r>
        <w:rPr>
          <w:rFonts w:ascii="Times New Roman" w:eastAsia="仿宋"/>
          <w:sz w:val="28"/>
          <w:szCs w:val="28"/>
        </w:rPr>
        <w:t>2.针对不同类别、形态、物理化学性质的危险废物，其容器和包装物应满足相应的防渗、防漏、防</w:t>
      </w:r>
      <w:r>
        <w:rPr>
          <w:rFonts w:hint="eastAsia" w:ascii="Times New Roman" w:eastAsia="仿宋"/>
          <w:sz w:val="28"/>
          <w:szCs w:val="28"/>
        </w:rPr>
        <w:t>腐和强度等要求。</w:t>
      </w:r>
    </w:p>
    <w:p w14:paraId="5042FCC2">
      <w:pPr>
        <w:snapToGrid w:val="0"/>
        <w:spacing w:line="500" w:lineRule="exact"/>
        <w:ind w:firstLine="465"/>
        <w:textAlignment w:val="baseline"/>
        <w:rPr>
          <w:rFonts w:ascii="Times New Roman" w:eastAsia="仿宋"/>
          <w:sz w:val="28"/>
          <w:szCs w:val="28"/>
        </w:rPr>
      </w:pPr>
      <w:r>
        <w:rPr>
          <w:rFonts w:ascii="Times New Roman" w:eastAsia="仿宋"/>
          <w:sz w:val="28"/>
          <w:szCs w:val="28"/>
        </w:rPr>
        <w:t>3.硬质容器和包装物及其支护结构堆叠码放时不应有明显变形，无破损泄漏。</w:t>
      </w:r>
    </w:p>
    <w:p w14:paraId="1E68B67E">
      <w:pPr>
        <w:snapToGrid w:val="0"/>
        <w:spacing w:line="500" w:lineRule="exact"/>
        <w:ind w:firstLine="465"/>
        <w:textAlignment w:val="baseline"/>
        <w:rPr>
          <w:rFonts w:ascii="Times New Roman" w:eastAsia="仿宋"/>
          <w:sz w:val="28"/>
          <w:szCs w:val="28"/>
        </w:rPr>
      </w:pPr>
      <w:r>
        <w:rPr>
          <w:rFonts w:ascii="Times New Roman" w:eastAsia="仿宋"/>
          <w:sz w:val="28"/>
          <w:szCs w:val="28"/>
        </w:rPr>
        <w:t>4.柔性容器和包装物堆叠码放时应封口严密，无破损泄漏。</w:t>
      </w:r>
    </w:p>
    <w:p w14:paraId="521D51EF">
      <w:pPr>
        <w:snapToGrid w:val="0"/>
        <w:spacing w:line="500" w:lineRule="exact"/>
        <w:ind w:firstLine="465"/>
        <w:textAlignment w:val="baseline"/>
        <w:rPr>
          <w:rFonts w:ascii="Times New Roman" w:eastAsia="仿宋"/>
          <w:sz w:val="28"/>
          <w:szCs w:val="28"/>
        </w:rPr>
      </w:pPr>
      <w:r>
        <w:rPr>
          <w:rFonts w:ascii="Times New Roman" w:eastAsia="仿宋"/>
          <w:sz w:val="28"/>
          <w:szCs w:val="28"/>
        </w:rPr>
        <w:t>5.使用容器盛装液态、半固态危险废物时，容器内部应留有适当的空间，以适应因温度变化等可能</w:t>
      </w:r>
      <w:r>
        <w:rPr>
          <w:rFonts w:hint="eastAsia" w:ascii="Times New Roman" w:eastAsia="仿宋"/>
          <w:sz w:val="28"/>
          <w:szCs w:val="28"/>
        </w:rPr>
        <w:t>引发的收缩和膨胀，防止其导致容器渗漏或永久变形。</w:t>
      </w:r>
    </w:p>
    <w:p w14:paraId="61384880">
      <w:pPr>
        <w:snapToGrid w:val="0"/>
        <w:spacing w:line="500" w:lineRule="exact"/>
        <w:ind w:firstLine="465"/>
        <w:textAlignment w:val="baseline"/>
        <w:rPr>
          <w:rFonts w:ascii="Times New Roman" w:eastAsia="仿宋"/>
          <w:sz w:val="28"/>
          <w:szCs w:val="28"/>
        </w:rPr>
      </w:pPr>
      <w:r>
        <w:rPr>
          <w:rFonts w:ascii="Times New Roman" w:eastAsia="仿宋"/>
          <w:sz w:val="28"/>
          <w:szCs w:val="28"/>
        </w:rPr>
        <w:t>6.容器和包装物外表面应保持清洁。</w:t>
      </w:r>
    </w:p>
    <w:p w14:paraId="6FF8975C">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四、贮存过程污染控制要求</w:t>
      </w:r>
    </w:p>
    <w:p w14:paraId="446ECD19">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（1）一般规定</w:t>
      </w:r>
    </w:p>
    <w:p w14:paraId="30277667">
      <w:pPr>
        <w:snapToGrid w:val="0"/>
        <w:spacing w:line="500" w:lineRule="exact"/>
        <w:ind w:firstLine="465"/>
        <w:textAlignment w:val="baseline"/>
        <w:rPr>
          <w:rFonts w:ascii="Times New Roman" w:eastAsia="仿宋"/>
          <w:sz w:val="28"/>
          <w:szCs w:val="28"/>
        </w:rPr>
      </w:pPr>
      <w:r>
        <w:rPr>
          <w:rFonts w:ascii="Times New Roman" w:eastAsia="仿宋"/>
          <w:sz w:val="28"/>
          <w:szCs w:val="28"/>
        </w:rPr>
        <w:t>1.在常温常压下不易水解、不易挥发的固态危险废物可分类堆放贮存，其他固态危险废物应装入</w:t>
      </w:r>
      <w:r>
        <w:rPr>
          <w:rFonts w:hint="eastAsia" w:ascii="Times New Roman" w:eastAsia="仿宋"/>
          <w:sz w:val="28"/>
          <w:szCs w:val="28"/>
        </w:rPr>
        <w:t>容器或包装物内贮存。</w:t>
      </w:r>
    </w:p>
    <w:p w14:paraId="71E8386E">
      <w:pPr>
        <w:snapToGrid w:val="0"/>
        <w:spacing w:line="500" w:lineRule="exact"/>
        <w:ind w:firstLine="465"/>
        <w:textAlignment w:val="baseline"/>
        <w:rPr>
          <w:rFonts w:ascii="Times New Roman" w:eastAsia="仿宋"/>
          <w:sz w:val="28"/>
          <w:szCs w:val="28"/>
        </w:rPr>
      </w:pPr>
      <w:r>
        <w:rPr>
          <w:rFonts w:ascii="Times New Roman" w:eastAsia="仿宋"/>
          <w:sz w:val="28"/>
          <w:szCs w:val="28"/>
        </w:rPr>
        <w:t>2.液态危险废物应装入容器内贮存，或直接采用贮存池、贮存罐区贮存。</w:t>
      </w:r>
    </w:p>
    <w:p w14:paraId="7E0DC939">
      <w:pPr>
        <w:snapToGrid w:val="0"/>
        <w:spacing w:line="500" w:lineRule="exact"/>
        <w:ind w:firstLine="465"/>
        <w:textAlignment w:val="baseline"/>
        <w:rPr>
          <w:rFonts w:ascii="Times New Roman" w:eastAsia="仿宋"/>
          <w:sz w:val="28"/>
          <w:szCs w:val="28"/>
        </w:rPr>
      </w:pPr>
      <w:r>
        <w:rPr>
          <w:rFonts w:ascii="Times New Roman" w:eastAsia="仿宋"/>
          <w:sz w:val="28"/>
          <w:szCs w:val="28"/>
        </w:rPr>
        <w:t>3.</w:t>
      </w:r>
      <w:r>
        <w:rPr>
          <w:rFonts w:hint="eastAsia" w:ascii="Times New Roman" w:eastAsia="仿宋"/>
          <w:sz w:val="28"/>
          <w:szCs w:val="28"/>
        </w:rPr>
        <w:t>半固态危险废物应装入容器或包装袋内贮存，或直接采用贮存池贮存。</w:t>
      </w:r>
    </w:p>
    <w:p w14:paraId="27226704">
      <w:pPr>
        <w:snapToGrid w:val="0"/>
        <w:spacing w:line="500" w:lineRule="exact"/>
        <w:ind w:firstLine="465"/>
        <w:textAlignment w:val="baseline"/>
        <w:rPr>
          <w:rFonts w:ascii="Times New Roman" w:eastAsia="仿宋"/>
          <w:sz w:val="28"/>
          <w:szCs w:val="28"/>
        </w:rPr>
      </w:pPr>
      <w:r>
        <w:rPr>
          <w:rFonts w:ascii="Times New Roman" w:eastAsia="仿宋"/>
          <w:sz w:val="28"/>
          <w:szCs w:val="28"/>
        </w:rPr>
        <w:t>4.具有热塑性的危险废物应装入容器或包装袋内进行贮存。</w:t>
      </w:r>
    </w:p>
    <w:p w14:paraId="0F7D9190">
      <w:pPr>
        <w:snapToGrid w:val="0"/>
        <w:spacing w:line="500" w:lineRule="exact"/>
        <w:ind w:firstLine="465"/>
        <w:textAlignment w:val="baseline"/>
        <w:rPr>
          <w:rFonts w:ascii="Times New Roman" w:eastAsia="仿宋"/>
          <w:sz w:val="28"/>
          <w:szCs w:val="28"/>
        </w:rPr>
      </w:pPr>
      <w:r>
        <w:rPr>
          <w:rFonts w:ascii="Times New Roman" w:eastAsia="仿宋"/>
          <w:sz w:val="28"/>
          <w:szCs w:val="28"/>
        </w:rPr>
        <w:t>5.易产生粉尘、VOCs、酸雾、有毒有害大气污染物和刺激性气味气体的危险废物应装入闭口容器</w:t>
      </w:r>
      <w:r>
        <w:rPr>
          <w:rFonts w:hint="eastAsia" w:ascii="Times New Roman" w:eastAsia="仿宋"/>
          <w:sz w:val="28"/>
          <w:szCs w:val="28"/>
        </w:rPr>
        <w:t>或包装物内贮存。</w:t>
      </w:r>
    </w:p>
    <w:p w14:paraId="1280EFDE">
      <w:pPr>
        <w:snapToGrid w:val="0"/>
        <w:spacing w:line="500" w:lineRule="exact"/>
        <w:ind w:firstLine="465"/>
        <w:textAlignment w:val="baseline"/>
        <w:rPr>
          <w:rFonts w:ascii="Times New Roman" w:eastAsia="仿宋"/>
          <w:sz w:val="28"/>
          <w:szCs w:val="28"/>
        </w:rPr>
      </w:pPr>
      <w:r>
        <w:rPr>
          <w:rFonts w:ascii="Times New Roman" w:eastAsia="仿宋"/>
          <w:sz w:val="28"/>
          <w:szCs w:val="28"/>
        </w:rPr>
        <w:t>6.危险废物贮存过程中易产生粉尘等无组织排放的，应采取抑尘等有效措施。</w:t>
      </w:r>
    </w:p>
    <w:p w14:paraId="21400528">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（2）</w:t>
      </w:r>
      <w:r>
        <w:rPr>
          <w:rFonts w:ascii="Times New Roman" w:eastAsia="仿宋"/>
          <w:sz w:val="28"/>
          <w:szCs w:val="28"/>
        </w:rPr>
        <w:t>贮存设施运行环境管理要求</w:t>
      </w:r>
    </w:p>
    <w:p w14:paraId="1E6944CF">
      <w:pPr>
        <w:snapToGrid w:val="0"/>
        <w:spacing w:line="500" w:lineRule="exact"/>
        <w:ind w:firstLine="465"/>
        <w:textAlignment w:val="baseline"/>
        <w:rPr>
          <w:rFonts w:ascii="Times New Roman" w:eastAsia="仿宋"/>
          <w:sz w:val="28"/>
          <w:szCs w:val="28"/>
        </w:rPr>
      </w:pPr>
      <w:r>
        <w:rPr>
          <w:rFonts w:ascii="Times New Roman" w:eastAsia="仿宋"/>
          <w:sz w:val="28"/>
          <w:szCs w:val="28"/>
        </w:rPr>
        <w:t>1.危险废物存入贮存设施前应对危险废物类别和特性与危险废物标签等危险废物识别标志的一致</w:t>
      </w:r>
      <w:r>
        <w:rPr>
          <w:rFonts w:hint="eastAsia" w:ascii="Times New Roman" w:eastAsia="仿宋"/>
          <w:sz w:val="28"/>
          <w:szCs w:val="28"/>
        </w:rPr>
        <w:t>性进行核验，不一</w:t>
      </w:r>
      <w:r>
        <w:rPr>
          <w:rFonts w:ascii="Times New Roman" w:eastAsia="仿宋"/>
          <w:sz w:val="28"/>
          <w:szCs w:val="28"/>
        </w:rPr>
        <w:t>致的或类别、特性不明的不应存入。</w:t>
      </w:r>
    </w:p>
    <w:p w14:paraId="5440C627">
      <w:pPr>
        <w:snapToGrid w:val="0"/>
        <w:spacing w:line="500" w:lineRule="exact"/>
        <w:ind w:firstLine="465"/>
        <w:textAlignment w:val="baseline"/>
        <w:rPr>
          <w:rFonts w:ascii="Times New Roman" w:eastAsia="仿宋"/>
          <w:sz w:val="28"/>
          <w:szCs w:val="28"/>
        </w:rPr>
      </w:pPr>
      <w:r>
        <w:rPr>
          <w:rFonts w:ascii="Times New Roman" w:eastAsia="仿宋"/>
          <w:sz w:val="28"/>
          <w:szCs w:val="28"/>
        </w:rPr>
        <w:t>2.应定期检查危险废物的贮存状况，及时清理贮存设施地面，更换破损泄漏的危险废物贮存容器</w:t>
      </w:r>
      <w:r>
        <w:rPr>
          <w:rFonts w:hint="eastAsia" w:ascii="Times New Roman" w:eastAsia="仿宋"/>
          <w:sz w:val="28"/>
          <w:szCs w:val="28"/>
        </w:rPr>
        <w:t>和包装物，保证堆存危险废物的防雨、防风、防扬尘等设施功能完好。</w:t>
      </w:r>
    </w:p>
    <w:p w14:paraId="098B10DC">
      <w:pPr>
        <w:snapToGrid w:val="0"/>
        <w:spacing w:line="500" w:lineRule="exact"/>
        <w:ind w:firstLine="465"/>
        <w:textAlignment w:val="baseline"/>
        <w:rPr>
          <w:rFonts w:ascii="Times New Roman" w:eastAsia="仿宋"/>
          <w:sz w:val="28"/>
          <w:szCs w:val="28"/>
        </w:rPr>
      </w:pPr>
      <w:r>
        <w:rPr>
          <w:rFonts w:ascii="Times New Roman" w:eastAsia="仿宋"/>
          <w:sz w:val="28"/>
          <w:szCs w:val="28"/>
        </w:rPr>
        <w:t>3.作业设备及车辆等结束作业离开贮存设施时，应对其残留的危险废物进行清理，清理的废物或</w:t>
      </w:r>
      <w:r>
        <w:rPr>
          <w:rFonts w:hint="eastAsia" w:ascii="Times New Roman" w:eastAsia="仿宋"/>
          <w:sz w:val="28"/>
          <w:szCs w:val="28"/>
        </w:rPr>
        <w:t>清洗废水应收集处理。</w:t>
      </w:r>
    </w:p>
    <w:p w14:paraId="0C0F78D4">
      <w:pPr>
        <w:snapToGrid w:val="0"/>
        <w:spacing w:line="500" w:lineRule="exact"/>
        <w:ind w:firstLine="465"/>
        <w:textAlignment w:val="baseline"/>
        <w:rPr>
          <w:rFonts w:ascii="Times New Roman" w:eastAsia="仿宋"/>
          <w:sz w:val="28"/>
          <w:szCs w:val="28"/>
        </w:rPr>
      </w:pPr>
      <w:r>
        <w:rPr>
          <w:rFonts w:ascii="Times New Roman" w:eastAsia="仿宋"/>
          <w:sz w:val="28"/>
          <w:szCs w:val="28"/>
        </w:rPr>
        <w:t>4.贮存设施运行期间，应按国家有关标准和规定建立危险废物管理台账并保存。</w:t>
      </w:r>
    </w:p>
    <w:p w14:paraId="2C16A854">
      <w:pPr>
        <w:snapToGrid w:val="0"/>
        <w:spacing w:line="500" w:lineRule="exact"/>
        <w:ind w:firstLine="465"/>
        <w:textAlignment w:val="baseline"/>
        <w:rPr>
          <w:rFonts w:ascii="Times New Roman" w:eastAsia="仿宋"/>
          <w:sz w:val="28"/>
          <w:szCs w:val="28"/>
        </w:rPr>
      </w:pPr>
      <w:r>
        <w:rPr>
          <w:rFonts w:ascii="Times New Roman" w:eastAsia="仿宋"/>
          <w:sz w:val="28"/>
          <w:szCs w:val="28"/>
        </w:rPr>
        <w:t>5.贮存设施所有者或运营者应建立贮存设施环境管理制度、管理人员岗位职责制度、设施运行操</w:t>
      </w:r>
      <w:r>
        <w:rPr>
          <w:rFonts w:hint="eastAsia" w:ascii="Times New Roman" w:eastAsia="仿宋"/>
          <w:sz w:val="28"/>
          <w:szCs w:val="28"/>
        </w:rPr>
        <w:t>作制度、人员岗位培训制度等。</w:t>
      </w:r>
    </w:p>
    <w:p w14:paraId="33A94E23">
      <w:pPr>
        <w:snapToGrid w:val="0"/>
        <w:spacing w:line="500" w:lineRule="exact"/>
        <w:ind w:firstLine="465"/>
        <w:textAlignment w:val="baseline"/>
        <w:rPr>
          <w:rFonts w:ascii="Times New Roman" w:eastAsia="仿宋"/>
          <w:sz w:val="28"/>
          <w:szCs w:val="28"/>
        </w:rPr>
      </w:pPr>
      <w:r>
        <w:rPr>
          <w:rFonts w:ascii="Times New Roman" w:eastAsia="仿宋"/>
          <w:sz w:val="28"/>
          <w:szCs w:val="28"/>
        </w:rPr>
        <w:t>6.贮存设施所有者或运营者应依据国家土壤和地下水污染防治的有关规定，结合贮存设施特点建</w:t>
      </w:r>
      <w:r>
        <w:rPr>
          <w:rFonts w:hint="eastAsia" w:ascii="Times New Roman" w:eastAsia="仿宋"/>
          <w:sz w:val="28"/>
          <w:szCs w:val="28"/>
        </w:rPr>
        <w:t>立土壤和地下水污染隐患排查制度，</w:t>
      </w:r>
      <w:r>
        <w:rPr>
          <w:rFonts w:ascii="Times New Roman" w:eastAsia="仿宋"/>
          <w:sz w:val="28"/>
          <w:szCs w:val="28"/>
        </w:rPr>
        <w:t>并定期开展隐患排查</w:t>
      </w:r>
      <w:r>
        <w:rPr>
          <w:rFonts w:hint="eastAsia" w:ascii="Times New Roman" w:eastAsia="仿宋"/>
          <w:sz w:val="28"/>
          <w:szCs w:val="28"/>
        </w:rPr>
        <w:t>；</w:t>
      </w:r>
      <w:r>
        <w:rPr>
          <w:rFonts w:ascii="Times New Roman" w:eastAsia="仿宋"/>
          <w:sz w:val="28"/>
          <w:szCs w:val="28"/>
        </w:rPr>
        <w:t>发现隐患应及时采取措施消除隐患，并建立</w:t>
      </w:r>
      <w:r>
        <w:rPr>
          <w:rFonts w:hint="eastAsia" w:ascii="Times New Roman" w:eastAsia="仿宋"/>
          <w:sz w:val="28"/>
          <w:szCs w:val="28"/>
        </w:rPr>
        <w:t>档案。</w:t>
      </w:r>
    </w:p>
    <w:p w14:paraId="4E64F969">
      <w:pPr>
        <w:snapToGrid w:val="0"/>
        <w:spacing w:line="500" w:lineRule="exact"/>
        <w:ind w:firstLine="465"/>
        <w:textAlignment w:val="baseline"/>
        <w:rPr>
          <w:rFonts w:ascii="Times New Roman" w:eastAsia="仿宋"/>
          <w:sz w:val="28"/>
          <w:szCs w:val="28"/>
        </w:rPr>
      </w:pPr>
      <w:r>
        <w:rPr>
          <w:rFonts w:ascii="Times New Roman" w:eastAsia="仿宋"/>
          <w:sz w:val="28"/>
          <w:szCs w:val="28"/>
        </w:rPr>
        <w:t>7.贮存设施所有者或运营者应建立贮存设施全部档案，包括设计、施工、验收、运行、监测和环</w:t>
      </w:r>
      <w:r>
        <w:rPr>
          <w:rFonts w:hint="eastAsia" w:ascii="Times New Roman" w:eastAsia="仿宋"/>
          <w:sz w:val="28"/>
          <w:szCs w:val="28"/>
        </w:rPr>
        <w:t>境应急等，应按国家有关档案管理的法律法规进行整理和归档。</w:t>
      </w:r>
    </w:p>
    <w:p w14:paraId="066881B6">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（3）</w:t>
      </w:r>
      <w:r>
        <w:rPr>
          <w:rFonts w:ascii="Times New Roman" w:eastAsia="仿宋"/>
          <w:sz w:val="28"/>
          <w:szCs w:val="28"/>
        </w:rPr>
        <w:t>贮存点环境管理要求</w:t>
      </w:r>
    </w:p>
    <w:p w14:paraId="2ADB0A42">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1.贮存点应具有固定的区域边界，并应采取与其他区域进行隔离的措施。</w:t>
      </w:r>
    </w:p>
    <w:p w14:paraId="70F08468">
      <w:pPr>
        <w:snapToGrid w:val="0"/>
        <w:spacing w:line="500" w:lineRule="exact"/>
        <w:ind w:firstLine="465"/>
        <w:textAlignment w:val="baseline"/>
        <w:rPr>
          <w:rFonts w:ascii="Times New Roman" w:eastAsia="仿宋"/>
          <w:sz w:val="28"/>
          <w:szCs w:val="28"/>
        </w:rPr>
      </w:pPr>
      <w:r>
        <w:rPr>
          <w:rFonts w:ascii="Times New Roman" w:eastAsia="仿宋"/>
          <w:sz w:val="28"/>
          <w:szCs w:val="28"/>
        </w:rPr>
        <w:t>2.贮存点应采取防风、防雨、防晒和防止危险废物流失、扬散等措施。</w:t>
      </w:r>
    </w:p>
    <w:p w14:paraId="4190FBAE">
      <w:pPr>
        <w:snapToGrid w:val="0"/>
        <w:spacing w:line="500" w:lineRule="exact"/>
        <w:ind w:firstLine="465"/>
        <w:textAlignment w:val="baseline"/>
        <w:rPr>
          <w:rFonts w:ascii="Times New Roman" w:eastAsia="仿宋"/>
          <w:sz w:val="28"/>
          <w:szCs w:val="28"/>
        </w:rPr>
      </w:pPr>
      <w:r>
        <w:rPr>
          <w:rFonts w:ascii="Times New Roman" w:eastAsia="仿宋"/>
          <w:sz w:val="28"/>
          <w:szCs w:val="28"/>
        </w:rPr>
        <w:t>3.贮存点贮存的危险废物应置于容器或包装物中，不应直接散堆。</w:t>
      </w:r>
    </w:p>
    <w:p w14:paraId="221EA6C3">
      <w:pPr>
        <w:snapToGrid w:val="0"/>
        <w:spacing w:line="500" w:lineRule="exact"/>
        <w:ind w:firstLine="465"/>
        <w:textAlignment w:val="baseline"/>
        <w:rPr>
          <w:rFonts w:ascii="Times New Roman" w:eastAsia="仿宋"/>
          <w:sz w:val="28"/>
          <w:szCs w:val="28"/>
        </w:rPr>
      </w:pPr>
      <w:r>
        <w:rPr>
          <w:rFonts w:ascii="Times New Roman" w:eastAsia="仿宋"/>
          <w:sz w:val="28"/>
          <w:szCs w:val="28"/>
        </w:rPr>
        <w:t>4.贮存点应根据危险废物的形态、物理化学性质、包装形式等，采取防渗、防漏等污染防治措施</w:t>
      </w:r>
      <w:r>
        <w:rPr>
          <w:rFonts w:hint="eastAsia" w:ascii="Times New Roman" w:eastAsia="仿宋"/>
          <w:sz w:val="28"/>
          <w:szCs w:val="28"/>
        </w:rPr>
        <w:t>或采用具有相应功能的装置。</w:t>
      </w:r>
    </w:p>
    <w:p w14:paraId="13AC9416">
      <w:pPr>
        <w:snapToGrid w:val="0"/>
        <w:spacing w:line="500" w:lineRule="exact"/>
        <w:ind w:firstLine="465"/>
        <w:textAlignment w:val="baseline"/>
        <w:rPr>
          <w:rFonts w:ascii="Times New Roman" w:eastAsia="仿宋"/>
          <w:sz w:val="28"/>
          <w:szCs w:val="28"/>
        </w:rPr>
      </w:pPr>
      <w:r>
        <w:rPr>
          <w:rFonts w:ascii="Times New Roman" w:eastAsia="仿宋"/>
          <w:sz w:val="28"/>
          <w:szCs w:val="28"/>
        </w:rPr>
        <w:t>5.贮存点应及时清运贮存的危险废物，实时贮存量不应超过3吨。</w:t>
      </w:r>
    </w:p>
    <w:p w14:paraId="24499ECF">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五、</w:t>
      </w:r>
      <w:r>
        <w:rPr>
          <w:rFonts w:ascii="Times New Roman" w:eastAsia="仿宋"/>
          <w:sz w:val="28"/>
          <w:szCs w:val="28"/>
        </w:rPr>
        <w:t>污染物排放控制要求</w:t>
      </w:r>
    </w:p>
    <w:p w14:paraId="4EC3DC16">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1.贮存设施产生的废水(包括贮存设施、作业设备、车辆等清洗废水，贮存罐区积存雨水，贮存事</w:t>
      </w:r>
      <w:r>
        <w:rPr>
          <w:rFonts w:hint="eastAsia" w:ascii="Times New Roman" w:eastAsia="仿宋"/>
          <w:sz w:val="28"/>
          <w:szCs w:val="28"/>
        </w:rPr>
        <w:t>故废水等</w:t>
      </w:r>
      <w:r>
        <w:rPr>
          <w:rFonts w:ascii="Times New Roman" w:eastAsia="仿宋"/>
          <w:sz w:val="28"/>
          <w:szCs w:val="28"/>
        </w:rPr>
        <w:t>)应进行收集处理，废水排放应符合GB 8978规定的要求。</w:t>
      </w:r>
    </w:p>
    <w:p w14:paraId="580F45A2">
      <w:pPr>
        <w:snapToGrid w:val="0"/>
        <w:spacing w:line="500" w:lineRule="exact"/>
        <w:ind w:firstLine="465"/>
        <w:textAlignment w:val="baseline"/>
        <w:rPr>
          <w:rFonts w:ascii="Times New Roman" w:eastAsia="仿宋"/>
          <w:sz w:val="28"/>
          <w:szCs w:val="28"/>
        </w:rPr>
      </w:pPr>
      <w:r>
        <w:rPr>
          <w:rFonts w:ascii="Times New Roman" w:eastAsia="仿宋"/>
          <w:sz w:val="28"/>
          <w:szCs w:val="28"/>
        </w:rPr>
        <w:t>2.贮存设施产生的废气(含无组织废气)的排放应符合GB 16297和GB 37822规定的要求。</w:t>
      </w:r>
    </w:p>
    <w:p w14:paraId="50109DC4">
      <w:pPr>
        <w:snapToGrid w:val="0"/>
        <w:spacing w:line="500" w:lineRule="exact"/>
        <w:ind w:firstLine="465"/>
        <w:textAlignment w:val="baseline"/>
        <w:rPr>
          <w:rFonts w:ascii="Times New Roman" w:eastAsia="仿宋"/>
          <w:sz w:val="28"/>
          <w:szCs w:val="28"/>
        </w:rPr>
      </w:pPr>
      <w:r>
        <w:rPr>
          <w:rFonts w:ascii="Times New Roman" w:eastAsia="仿宋"/>
          <w:sz w:val="28"/>
          <w:szCs w:val="28"/>
        </w:rPr>
        <w:t>3.贮存设施产生的恶臭气体的排放应符合GB 14554规定的要求。</w:t>
      </w:r>
    </w:p>
    <w:p w14:paraId="58754125">
      <w:pPr>
        <w:snapToGrid w:val="0"/>
        <w:spacing w:line="500" w:lineRule="exact"/>
        <w:ind w:firstLine="465"/>
        <w:textAlignment w:val="baseline"/>
        <w:rPr>
          <w:rFonts w:ascii="Times New Roman" w:eastAsia="仿宋"/>
          <w:sz w:val="28"/>
          <w:szCs w:val="28"/>
        </w:rPr>
      </w:pPr>
      <w:r>
        <w:rPr>
          <w:rFonts w:ascii="Times New Roman" w:eastAsia="仿宋"/>
          <w:sz w:val="28"/>
          <w:szCs w:val="28"/>
        </w:rPr>
        <w:t>4.贮存设施内产生以及清理的固体废物应按固体废物分类管理要求妥善处理。</w:t>
      </w:r>
    </w:p>
    <w:p w14:paraId="0F28A47E">
      <w:pPr>
        <w:snapToGrid w:val="0"/>
        <w:spacing w:line="500" w:lineRule="exact"/>
        <w:ind w:firstLine="465"/>
        <w:textAlignment w:val="baseline"/>
        <w:rPr>
          <w:rFonts w:ascii="Times New Roman" w:eastAsia="仿宋"/>
          <w:sz w:val="28"/>
          <w:szCs w:val="28"/>
        </w:rPr>
      </w:pPr>
      <w:r>
        <w:rPr>
          <w:rFonts w:ascii="Times New Roman" w:eastAsia="仿宋"/>
          <w:sz w:val="28"/>
          <w:szCs w:val="28"/>
        </w:rPr>
        <w:t>5.贮存设施排放的环境噪声应符合GB 12348规定的要求。</w:t>
      </w:r>
    </w:p>
    <w:p w14:paraId="0977E3F8">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六、环境监测要求</w:t>
      </w:r>
    </w:p>
    <w:p w14:paraId="30D21B7F">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1.贮存设施的环境监测应纳入主体设施的环境监测计划。</w:t>
      </w:r>
    </w:p>
    <w:p w14:paraId="4891BE9E">
      <w:pPr>
        <w:snapToGrid w:val="0"/>
        <w:spacing w:line="500" w:lineRule="exact"/>
        <w:ind w:firstLine="465"/>
        <w:textAlignment w:val="baseline"/>
        <w:rPr>
          <w:rFonts w:ascii="Times New Roman" w:eastAsia="仿宋"/>
          <w:sz w:val="28"/>
          <w:szCs w:val="28"/>
        </w:rPr>
      </w:pPr>
      <w:r>
        <w:rPr>
          <w:rFonts w:ascii="Times New Roman" w:eastAsia="仿宋"/>
          <w:sz w:val="28"/>
          <w:szCs w:val="28"/>
        </w:rPr>
        <w:t>2.贮存设施所有者或运营者应依据《大气污染防治法》《水污染防治法》《土壤污染防治法》等有</w:t>
      </w:r>
      <w:r>
        <w:rPr>
          <w:rFonts w:hint="eastAsia" w:ascii="Times New Roman" w:eastAsia="仿宋"/>
          <w:sz w:val="28"/>
          <w:szCs w:val="28"/>
        </w:rPr>
        <w:t>关法律、《排污许可</w:t>
      </w:r>
      <w:r>
        <w:rPr>
          <w:rFonts w:ascii="Times New Roman" w:eastAsia="仿宋"/>
          <w:sz w:val="28"/>
          <w:szCs w:val="28"/>
        </w:rPr>
        <w:t>管理条例》等行政法规和HJ 819、HJ 1250等规定</w:t>
      </w:r>
      <w:r>
        <w:rPr>
          <w:rFonts w:hint="eastAsia" w:ascii="Times New Roman" w:eastAsia="仿宋"/>
          <w:sz w:val="28"/>
          <w:szCs w:val="28"/>
        </w:rPr>
        <w:t>制定</w:t>
      </w:r>
      <w:r>
        <w:rPr>
          <w:rFonts w:ascii="Times New Roman" w:eastAsia="仿宋"/>
          <w:sz w:val="28"/>
          <w:szCs w:val="28"/>
        </w:rPr>
        <w:t>监测方案，对贮存设施污染</w:t>
      </w:r>
      <w:r>
        <w:rPr>
          <w:rFonts w:hint="eastAsia" w:ascii="Times New Roman" w:eastAsia="仿宋"/>
          <w:sz w:val="28"/>
          <w:szCs w:val="28"/>
        </w:rPr>
        <w:t>物排放状况开展自行监测，保存原始监测记录，并公布监测结果。</w:t>
      </w:r>
    </w:p>
    <w:p w14:paraId="3C144F1E">
      <w:pPr>
        <w:snapToGrid w:val="0"/>
        <w:spacing w:line="500" w:lineRule="exact"/>
        <w:ind w:firstLine="465"/>
        <w:textAlignment w:val="baseline"/>
        <w:rPr>
          <w:rFonts w:ascii="Times New Roman" w:eastAsia="仿宋"/>
          <w:sz w:val="28"/>
          <w:szCs w:val="28"/>
        </w:rPr>
      </w:pPr>
      <w:r>
        <w:rPr>
          <w:rFonts w:ascii="Times New Roman" w:eastAsia="仿宋"/>
          <w:sz w:val="28"/>
          <w:szCs w:val="28"/>
        </w:rPr>
        <w:t>3.贮存设施废水污染物排放的监测方法和监测指标应符合国家相关标准要求。</w:t>
      </w:r>
    </w:p>
    <w:p w14:paraId="105A96EF">
      <w:pPr>
        <w:snapToGrid w:val="0"/>
        <w:spacing w:line="500" w:lineRule="exact"/>
        <w:ind w:firstLine="465"/>
        <w:textAlignment w:val="baseline"/>
        <w:rPr>
          <w:rFonts w:ascii="Times New Roman" w:eastAsia="仿宋"/>
          <w:sz w:val="28"/>
          <w:szCs w:val="28"/>
        </w:rPr>
      </w:pPr>
      <w:r>
        <w:rPr>
          <w:rFonts w:ascii="Times New Roman" w:eastAsia="仿宋"/>
          <w:sz w:val="28"/>
          <w:szCs w:val="28"/>
        </w:rPr>
        <w:t>4.HJ1259规定的危险废物环境重点监管单位贮存设施地下水环境监测点布设应符合HJ164要求，</w:t>
      </w:r>
      <w:r>
        <w:rPr>
          <w:rFonts w:hint="eastAsia" w:ascii="Times New Roman" w:eastAsia="仿宋"/>
          <w:sz w:val="28"/>
          <w:szCs w:val="28"/>
        </w:rPr>
        <w:t>监测因子应根据贮存废物的特性选择具有代表性且能表征危险废物特性的指标，地下水监测因子分析方法按照</w:t>
      </w:r>
      <w:r>
        <w:rPr>
          <w:rFonts w:ascii="Times New Roman" w:eastAsia="仿宋"/>
          <w:sz w:val="28"/>
          <w:szCs w:val="28"/>
        </w:rPr>
        <w:t>GB/T 14848执行。</w:t>
      </w:r>
    </w:p>
    <w:p w14:paraId="374837C4">
      <w:pPr>
        <w:snapToGrid w:val="0"/>
        <w:spacing w:line="500" w:lineRule="exact"/>
        <w:ind w:firstLine="465"/>
        <w:textAlignment w:val="baseline"/>
        <w:rPr>
          <w:rFonts w:ascii="Times New Roman" w:eastAsia="仿宋"/>
          <w:sz w:val="28"/>
          <w:szCs w:val="28"/>
        </w:rPr>
      </w:pPr>
      <w:r>
        <w:rPr>
          <w:rFonts w:ascii="Times New Roman" w:eastAsia="仿宋"/>
          <w:sz w:val="28"/>
          <w:szCs w:val="28"/>
        </w:rPr>
        <w:t>5.配有收集净化系统的贮存设施大气污染物排放的监测采样应按GB/T 16157、HJ/T 397、HJ 732</w:t>
      </w:r>
      <w:r>
        <w:rPr>
          <w:rFonts w:hint="eastAsia" w:ascii="Times New Roman" w:eastAsia="仿宋"/>
          <w:sz w:val="28"/>
          <w:szCs w:val="28"/>
        </w:rPr>
        <w:t>的规定执行。</w:t>
      </w:r>
    </w:p>
    <w:p w14:paraId="56F5E65A">
      <w:pPr>
        <w:snapToGrid w:val="0"/>
        <w:spacing w:line="500" w:lineRule="exact"/>
        <w:ind w:firstLine="465"/>
        <w:textAlignment w:val="baseline"/>
        <w:rPr>
          <w:rFonts w:ascii="Times New Roman" w:eastAsia="仿宋"/>
          <w:sz w:val="28"/>
          <w:szCs w:val="28"/>
        </w:rPr>
      </w:pPr>
      <w:r>
        <w:rPr>
          <w:rFonts w:ascii="Times New Roman" w:eastAsia="仿宋"/>
          <w:sz w:val="28"/>
          <w:szCs w:val="28"/>
        </w:rPr>
        <w:t>6.贮存设施无组织气体排放监测因子应根据贮存废物的特性选择具有代表性且能表征危险废物特</w:t>
      </w:r>
      <w:r>
        <w:rPr>
          <w:rFonts w:hint="eastAsia" w:ascii="Times New Roman" w:eastAsia="仿宋"/>
          <w:sz w:val="28"/>
          <w:szCs w:val="28"/>
        </w:rPr>
        <w:t>性的指标；</w:t>
      </w:r>
      <w:r>
        <w:rPr>
          <w:rFonts w:ascii="Times New Roman" w:eastAsia="仿宋"/>
          <w:sz w:val="28"/>
          <w:szCs w:val="28"/>
        </w:rPr>
        <w:t>采样点布设、采样及监测方法可按HJ/T 55的规定执行，VOCs的无组织排放监测还应符合GB 37822的规定。</w:t>
      </w:r>
    </w:p>
    <w:p w14:paraId="70EFC97C">
      <w:pPr>
        <w:snapToGrid w:val="0"/>
        <w:spacing w:line="500" w:lineRule="exact"/>
        <w:ind w:firstLine="465"/>
        <w:textAlignment w:val="baseline"/>
        <w:rPr>
          <w:rFonts w:ascii="Times New Roman" w:eastAsia="仿宋"/>
          <w:sz w:val="28"/>
          <w:szCs w:val="28"/>
        </w:rPr>
      </w:pPr>
      <w:r>
        <w:rPr>
          <w:rFonts w:ascii="Times New Roman" w:eastAsia="仿宋"/>
          <w:sz w:val="28"/>
          <w:szCs w:val="28"/>
        </w:rPr>
        <w:t>7.贮存设施恶臭气体的排放监测应符合GB14554、HJ905的规定。</w:t>
      </w:r>
    </w:p>
    <w:p w14:paraId="62DD929A">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七、环境应急要求</w:t>
      </w:r>
    </w:p>
    <w:p w14:paraId="0B3E5A27">
      <w:pPr>
        <w:snapToGrid w:val="0"/>
        <w:spacing w:line="500" w:lineRule="exact"/>
        <w:ind w:firstLine="465"/>
        <w:textAlignment w:val="baseline"/>
        <w:rPr>
          <w:rFonts w:ascii="Times New Roman" w:eastAsia="仿宋"/>
          <w:sz w:val="28"/>
          <w:szCs w:val="28"/>
        </w:rPr>
      </w:pPr>
      <w:r>
        <w:rPr>
          <w:rFonts w:ascii="Times New Roman" w:eastAsia="仿宋"/>
          <w:sz w:val="28"/>
          <w:szCs w:val="28"/>
        </w:rPr>
        <w:t>1.贮存设施所有者或运营者应按照国家有关规定编制突发环境事件应急预案</w:t>
      </w:r>
      <w:r>
        <w:rPr>
          <w:rFonts w:hint="eastAsia" w:ascii="Times New Roman" w:eastAsia="仿宋"/>
          <w:sz w:val="28"/>
          <w:szCs w:val="28"/>
        </w:rPr>
        <w:t>，</w:t>
      </w:r>
      <w:r>
        <w:rPr>
          <w:rFonts w:ascii="Times New Roman" w:eastAsia="仿宋"/>
          <w:sz w:val="28"/>
          <w:szCs w:val="28"/>
        </w:rPr>
        <w:t>定期开展必要的培训</w:t>
      </w:r>
      <w:r>
        <w:rPr>
          <w:rFonts w:hint="eastAsia" w:ascii="Times New Roman" w:eastAsia="仿宋"/>
          <w:sz w:val="28"/>
          <w:szCs w:val="28"/>
        </w:rPr>
        <w:t>和环境应急演练，并做好培训、演练记录。</w:t>
      </w:r>
    </w:p>
    <w:p w14:paraId="1E28F7A6">
      <w:pPr>
        <w:snapToGrid w:val="0"/>
        <w:spacing w:line="500" w:lineRule="exact"/>
        <w:ind w:firstLine="465"/>
        <w:textAlignment w:val="baseline"/>
        <w:rPr>
          <w:rFonts w:ascii="Times New Roman" w:eastAsia="仿宋"/>
          <w:sz w:val="28"/>
          <w:szCs w:val="28"/>
        </w:rPr>
      </w:pPr>
      <w:r>
        <w:rPr>
          <w:rFonts w:ascii="Times New Roman" w:eastAsia="仿宋"/>
          <w:sz w:val="28"/>
          <w:szCs w:val="28"/>
        </w:rPr>
        <w:t>2.贮存设施所有者或运营者应配备满足其突发环境事件应急要求的应急人员、装备和物资，并应设</w:t>
      </w:r>
      <w:r>
        <w:rPr>
          <w:rFonts w:hint="eastAsia" w:ascii="Times New Roman" w:eastAsia="仿宋"/>
          <w:sz w:val="28"/>
          <w:szCs w:val="28"/>
        </w:rPr>
        <w:t>置应急照明系统。</w:t>
      </w:r>
    </w:p>
    <w:p w14:paraId="762C3A03">
      <w:pPr>
        <w:snapToGrid w:val="0"/>
        <w:spacing w:line="500" w:lineRule="exact"/>
        <w:ind w:firstLine="465"/>
        <w:textAlignment w:val="baseline"/>
        <w:rPr>
          <w:rFonts w:ascii="Times New Roman" w:eastAsia="仿宋"/>
          <w:sz w:val="28"/>
          <w:szCs w:val="28"/>
        </w:rPr>
      </w:pPr>
      <w:r>
        <w:rPr>
          <w:rFonts w:ascii="Times New Roman" w:eastAsia="仿宋"/>
          <w:sz w:val="28"/>
          <w:szCs w:val="28"/>
        </w:rPr>
        <w:t>3.相关部门发布自然灾害或恶劣天气预警后，贮存设施所有者或运营者应启动相应防控措施，若有</w:t>
      </w:r>
      <w:r>
        <w:rPr>
          <w:rFonts w:hint="eastAsia" w:ascii="Times New Roman" w:eastAsia="仿宋"/>
          <w:sz w:val="28"/>
          <w:szCs w:val="28"/>
        </w:rPr>
        <w:t>必要可将危险废物转移至其他具有防护条件的地点贮存。</w:t>
      </w:r>
    </w:p>
    <w:p w14:paraId="4D4466AE">
      <w:pPr>
        <w:snapToGrid w:val="0"/>
        <w:spacing w:line="500" w:lineRule="exact"/>
        <w:ind w:firstLine="465"/>
        <w:textAlignment w:val="baseline"/>
        <w:rPr>
          <w:rFonts w:ascii="Times New Roman" w:eastAsia="仿宋"/>
          <w:sz w:val="28"/>
          <w:szCs w:val="28"/>
        </w:rPr>
      </w:pPr>
      <w:r>
        <w:rPr>
          <w:rFonts w:ascii="Times New Roman" w:eastAsia="仿宋"/>
          <w:sz w:val="28"/>
          <w:szCs w:val="28"/>
        </w:rPr>
        <w:t>此外明确，本项目建成后，</w:t>
      </w:r>
      <w:r>
        <w:rPr>
          <w:rFonts w:hint="eastAsia" w:ascii="Times New Roman" w:eastAsia="仿宋"/>
          <w:sz w:val="28"/>
          <w:szCs w:val="28"/>
        </w:rPr>
        <w:t>还应满足以下要求</w:t>
      </w:r>
      <w:r>
        <w:rPr>
          <w:rFonts w:ascii="Times New Roman" w:eastAsia="仿宋"/>
          <w:sz w:val="28"/>
          <w:szCs w:val="28"/>
        </w:rPr>
        <w:t>：</w:t>
      </w:r>
    </w:p>
    <w:p w14:paraId="1641B9DE">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（1）</w:t>
      </w:r>
      <w:r>
        <w:rPr>
          <w:rFonts w:ascii="Times New Roman" w:eastAsia="仿宋"/>
          <w:sz w:val="28"/>
          <w:szCs w:val="28"/>
        </w:rPr>
        <w:t>危险废物储存及储存场所防治措施</w:t>
      </w:r>
    </w:p>
    <w:p w14:paraId="07018BFB">
      <w:pPr>
        <w:snapToGrid w:val="0"/>
        <w:spacing w:line="500" w:lineRule="exact"/>
        <w:ind w:firstLine="465"/>
        <w:textAlignment w:val="baseline"/>
        <w:rPr>
          <w:rFonts w:ascii="Times New Roman" w:eastAsia="仿宋"/>
          <w:sz w:val="28"/>
          <w:szCs w:val="28"/>
        </w:rPr>
      </w:pPr>
      <w:r>
        <w:rPr>
          <w:rFonts w:ascii="Times New Roman" w:eastAsia="仿宋"/>
          <w:sz w:val="28"/>
          <w:szCs w:val="28"/>
        </w:rPr>
        <w:t>根据《危险废物污染防治技术政策》环发</w:t>
      </w:r>
      <w:r>
        <w:rPr>
          <w:rFonts w:hint="eastAsia" w:ascii="Times New Roman" w:eastAsia="仿宋"/>
          <w:sz w:val="28"/>
          <w:szCs w:val="28"/>
        </w:rPr>
        <w:t>[</w:t>
      </w:r>
      <w:r>
        <w:rPr>
          <w:rFonts w:ascii="Times New Roman" w:eastAsia="仿宋"/>
          <w:sz w:val="28"/>
          <w:szCs w:val="28"/>
        </w:rPr>
        <w:t>2001</w:t>
      </w:r>
      <w:r>
        <w:rPr>
          <w:rFonts w:hint="eastAsia" w:ascii="Times New Roman" w:eastAsia="仿宋"/>
          <w:sz w:val="28"/>
          <w:szCs w:val="28"/>
        </w:rPr>
        <w:t>]</w:t>
      </w:r>
      <w:r>
        <w:rPr>
          <w:rFonts w:ascii="Times New Roman" w:eastAsia="仿宋"/>
          <w:sz w:val="28"/>
          <w:szCs w:val="28"/>
        </w:rPr>
        <w:t>199号文，对危险废物的贮存要求如下：</w:t>
      </w:r>
    </w:p>
    <w:p w14:paraId="302CF0DC">
      <w:pPr>
        <w:snapToGrid w:val="0"/>
        <w:spacing w:line="500" w:lineRule="exact"/>
        <w:ind w:firstLine="465"/>
        <w:textAlignment w:val="baseline"/>
        <w:rPr>
          <w:rFonts w:ascii="Times New Roman" w:eastAsia="仿宋"/>
          <w:sz w:val="28"/>
          <w:szCs w:val="28"/>
        </w:rPr>
      </w:pPr>
      <w:r>
        <w:rPr>
          <w:rFonts w:ascii="Times New Roman" w:eastAsia="仿宋"/>
          <w:sz w:val="28"/>
          <w:szCs w:val="28"/>
        </w:rPr>
        <w:t>①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7F2BA3B6">
      <w:pPr>
        <w:snapToGrid w:val="0"/>
        <w:spacing w:line="500" w:lineRule="exact"/>
        <w:ind w:firstLine="465"/>
        <w:textAlignment w:val="baseline"/>
        <w:rPr>
          <w:rFonts w:ascii="Times New Roman" w:eastAsia="仿宋"/>
          <w:sz w:val="28"/>
          <w:szCs w:val="28"/>
        </w:rPr>
      </w:pPr>
      <w:r>
        <w:rPr>
          <w:rFonts w:ascii="Times New Roman" w:eastAsia="仿宋"/>
          <w:sz w:val="28"/>
          <w:szCs w:val="28"/>
        </w:rPr>
        <w:t>②危险废物的贮存设施应建有堵截泄漏的裙脚，地面与裙脚要用坚固防渗的材料建造，应有防风、防晒、防雨设施；</w:t>
      </w:r>
    </w:p>
    <w:p w14:paraId="20F96403">
      <w:pPr>
        <w:snapToGrid w:val="0"/>
        <w:spacing w:line="500" w:lineRule="exact"/>
        <w:ind w:firstLine="465"/>
        <w:textAlignment w:val="baseline"/>
        <w:rPr>
          <w:rFonts w:ascii="Times New Roman" w:eastAsia="仿宋"/>
          <w:sz w:val="28"/>
          <w:szCs w:val="28"/>
        </w:rPr>
      </w:pPr>
      <w:r>
        <w:rPr>
          <w:rFonts w:ascii="Times New Roman" w:eastAsia="仿宋"/>
          <w:sz w:val="28"/>
          <w:szCs w:val="28"/>
        </w:rPr>
        <w:t>③基础防渗层为粘土层的，其厚度应在1米以上，渗透系数应小于1.0×10</w:t>
      </w:r>
      <w:r>
        <w:rPr>
          <w:rFonts w:ascii="Times New Roman" w:eastAsia="仿宋"/>
          <w:sz w:val="28"/>
          <w:szCs w:val="28"/>
          <w:vertAlign w:val="superscript"/>
        </w:rPr>
        <w:t>-7</w:t>
      </w:r>
      <w:r>
        <w:rPr>
          <w:rFonts w:ascii="Times New Roman" w:eastAsia="仿宋"/>
          <w:sz w:val="28"/>
          <w:szCs w:val="28"/>
        </w:rPr>
        <w:t>厘米/秒；基础防渗层也可用厚度在2毫米以上的高密度聚乙烯或其他人工防渗材料组成，渗透系数应小于1.0×10</w:t>
      </w:r>
      <w:r>
        <w:rPr>
          <w:rFonts w:ascii="Times New Roman" w:eastAsia="仿宋"/>
          <w:sz w:val="28"/>
          <w:szCs w:val="28"/>
          <w:vertAlign w:val="superscript"/>
        </w:rPr>
        <w:t>-10</w:t>
      </w:r>
      <w:r>
        <w:rPr>
          <w:rFonts w:ascii="Times New Roman" w:eastAsia="仿宋"/>
          <w:sz w:val="28"/>
          <w:szCs w:val="28"/>
        </w:rPr>
        <w:t>厘米/秒；</w:t>
      </w:r>
    </w:p>
    <w:p w14:paraId="4E695396">
      <w:pPr>
        <w:snapToGrid w:val="0"/>
        <w:spacing w:line="500" w:lineRule="exact"/>
        <w:ind w:firstLine="465"/>
        <w:textAlignment w:val="baseline"/>
        <w:rPr>
          <w:rFonts w:ascii="Times New Roman" w:eastAsia="仿宋"/>
          <w:sz w:val="28"/>
          <w:szCs w:val="28"/>
        </w:rPr>
      </w:pPr>
      <w:r>
        <w:rPr>
          <w:rFonts w:ascii="Times New Roman" w:eastAsia="仿宋"/>
          <w:sz w:val="28"/>
          <w:szCs w:val="28"/>
        </w:rPr>
        <w:t>④用于存放液体、半固体危险废物的地方，还须有耐腐蚀的硬化地面，地面无裂隙；</w:t>
      </w:r>
    </w:p>
    <w:p w14:paraId="09789636">
      <w:pPr>
        <w:snapToGrid w:val="0"/>
        <w:spacing w:line="500" w:lineRule="exact"/>
        <w:ind w:firstLine="465"/>
        <w:textAlignment w:val="baseline"/>
        <w:rPr>
          <w:rFonts w:ascii="Times New Roman" w:eastAsia="仿宋"/>
          <w:sz w:val="28"/>
          <w:szCs w:val="28"/>
        </w:rPr>
      </w:pPr>
      <w:r>
        <w:rPr>
          <w:rFonts w:ascii="Times New Roman" w:eastAsia="仿宋"/>
          <w:sz w:val="28"/>
          <w:szCs w:val="28"/>
        </w:rPr>
        <w:t>⑤不相容的危险废物堆放区必须有隔离间隔断。</w:t>
      </w:r>
    </w:p>
    <w:p w14:paraId="64875D99">
      <w:pPr>
        <w:snapToGrid w:val="0"/>
        <w:spacing w:line="500" w:lineRule="exact"/>
        <w:ind w:firstLine="465"/>
        <w:textAlignment w:val="baseline"/>
        <w:rPr>
          <w:rFonts w:ascii="Times New Roman" w:eastAsia="仿宋"/>
          <w:sz w:val="28"/>
          <w:szCs w:val="28"/>
        </w:rPr>
      </w:pPr>
      <w:r>
        <w:rPr>
          <w:rFonts w:ascii="Times New Roman" w:eastAsia="仿宋"/>
          <w:sz w:val="28"/>
          <w:szCs w:val="28"/>
        </w:rPr>
        <w:t>此外，对照《省生态环境厅关于印发江苏省危险废物贮存规范化管理专项整治行动方案的通知》（苏环办〔2019〕149号）及《省生态环境厅关于进一步加强危险废物污染防治工作的实施意见》（苏环办〔2019〕327号）中排查内容及整治要求：</w:t>
      </w:r>
    </w:p>
    <w:p w14:paraId="2064D7BE">
      <w:pPr>
        <w:snapToGrid w:val="0"/>
        <w:spacing w:line="500" w:lineRule="exact"/>
        <w:ind w:firstLine="465"/>
        <w:textAlignment w:val="baseline"/>
        <w:rPr>
          <w:rFonts w:ascii="Times New Roman" w:eastAsia="仿宋"/>
          <w:sz w:val="28"/>
          <w:szCs w:val="28"/>
        </w:rPr>
      </w:pPr>
      <w:r>
        <w:rPr>
          <w:rFonts w:ascii="Times New Roman" w:eastAsia="仿宋"/>
          <w:sz w:val="28"/>
          <w:szCs w:val="28"/>
        </w:rPr>
        <w:t>本项目需在明显位置按照《环境保护图形标志 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4702EC2E">
      <w:pPr>
        <w:snapToGrid w:val="0"/>
        <w:spacing w:line="500" w:lineRule="exact"/>
        <w:ind w:firstLine="465"/>
        <w:textAlignment w:val="baseline"/>
        <w:rPr>
          <w:rFonts w:ascii="Times New Roman" w:eastAsia="仿宋"/>
          <w:sz w:val="28"/>
          <w:szCs w:val="28"/>
        </w:rPr>
      </w:pPr>
      <w:r>
        <w:rPr>
          <w:rFonts w:ascii="Times New Roman" w:eastAsia="仿宋"/>
          <w:sz w:val="28"/>
          <w:szCs w:val="28"/>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12EF7C79">
      <w:pPr>
        <w:snapToGrid w:val="0"/>
        <w:spacing w:line="500" w:lineRule="exact"/>
        <w:ind w:firstLine="465"/>
        <w:textAlignment w:val="baseline"/>
        <w:rPr>
          <w:rFonts w:ascii="Times New Roman" w:eastAsia="仿宋"/>
          <w:sz w:val="28"/>
          <w:szCs w:val="28"/>
        </w:rPr>
      </w:pPr>
      <w:r>
        <w:rPr>
          <w:rFonts w:ascii="Times New Roman" w:eastAsia="仿宋"/>
          <w:sz w:val="28"/>
          <w:szCs w:val="28"/>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2802FE83">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.3.6危废仓库面积合理性分析</w:t>
      </w:r>
    </w:p>
    <w:p w14:paraId="6765880B">
      <w:pPr>
        <w:snapToGrid w:val="0"/>
        <w:spacing w:line="500" w:lineRule="exact"/>
        <w:ind w:firstLine="465"/>
        <w:textAlignment w:val="baseline"/>
        <w:rPr>
          <w:rFonts w:ascii="Times New Roman" w:eastAsia="仿宋"/>
          <w:sz w:val="28"/>
          <w:szCs w:val="28"/>
        </w:rPr>
      </w:pPr>
      <w:r>
        <w:rPr>
          <w:rFonts w:ascii="Times New Roman" w:eastAsia="仿宋"/>
          <w:sz w:val="28"/>
          <w:szCs w:val="28"/>
        </w:rPr>
        <w:t>一、全厂危废暂存设施拟设置情况</w:t>
      </w:r>
    </w:p>
    <w:p w14:paraId="78F803C6">
      <w:pPr>
        <w:snapToGrid w:val="0"/>
        <w:spacing w:line="500" w:lineRule="exact"/>
        <w:ind w:firstLine="465"/>
        <w:textAlignment w:val="baseline"/>
        <w:rPr>
          <w:rFonts w:ascii="Times New Roman" w:eastAsia="仿宋"/>
          <w:sz w:val="28"/>
          <w:szCs w:val="28"/>
        </w:rPr>
      </w:pPr>
      <w:r>
        <w:rPr>
          <w:rFonts w:ascii="Times New Roman" w:eastAsia="仿宋"/>
          <w:sz w:val="28"/>
          <w:szCs w:val="28"/>
        </w:rPr>
        <w:t>本项目共设</w:t>
      </w:r>
      <w:r>
        <w:rPr>
          <w:rFonts w:hint="eastAsia" w:ascii="Times New Roman" w:eastAsia="仿宋"/>
          <w:sz w:val="28"/>
          <w:szCs w:val="28"/>
        </w:rPr>
        <w:t>1</w:t>
      </w:r>
      <w:r>
        <w:rPr>
          <w:rFonts w:ascii="Times New Roman" w:eastAsia="仿宋"/>
          <w:sz w:val="28"/>
          <w:szCs w:val="28"/>
        </w:rPr>
        <w:t>个危废仓库，</w:t>
      </w:r>
      <w:r>
        <w:rPr>
          <w:rFonts w:hint="eastAsia" w:ascii="Times New Roman" w:eastAsia="仿宋"/>
          <w:sz w:val="28"/>
          <w:szCs w:val="28"/>
        </w:rPr>
        <w:t>危废仓库</w:t>
      </w:r>
      <w:r>
        <w:rPr>
          <w:rFonts w:ascii="Times New Roman" w:eastAsia="仿宋"/>
          <w:sz w:val="28"/>
          <w:szCs w:val="28"/>
        </w:rPr>
        <w:t>占地面积</w:t>
      </w:r>
      <w:r>
        <w:rPr>
          <w:rFonts w:hint="eastAsia" w:ascii="Times New Roman" w:eastAsia="仿宋"/>
          <w:sz w:val="28"/>
          <w:szCs w:val="28"/>
        </w:rPr>
        <w:t>为80</w:t>
      </w:r>
      <w:r>
        <w:rPr>
          <w:rFonts w:ascii="Times New Roman" w:eastAsia="仿宋"/>
          <w:sz w:val="28"/>
          <w:szCs w:val="28"/>
        </w:rPr>
        <w:t>m</w:t>
      </w:r>
      <w:r>
        <w:rPr>
          <w:rFonts w:ascii="Times New Roman" w:eastAsia="仿宋"/>
          <w:sz w:val="28"/>
          <w:szCs w:val="28"/>
          <w:vertAlign w:val="superscript"/>
        </w:rPr>
        <w:t>2</w:t>
      </w:r>
      <w:r>
        <w:rPr>
          <w:rFonts w:hint="eastAsia" w:ascii="Times New Roman" w:eastAsia="仿宋"/>
          <w:sz w:val="28"/>
          <w:szCs w:val="28"/>
        </w:rPr>
        <w:t>。</w:t>
      </w:r>
      <w:r>
        <w:rPr>
          <w:rFonts w:ascii="Times New Roman" w:eastAsia="仿宋"/>
          <w:sz w:val="28"/>
          <w:szCs w:val="28"/>
        </w:rPr>
        <w:t>考虑分类堆放的危废之间设置间距</w:t>
      </w:r>
      <w:r>
        <w:rPr>
          <w:rFonts w:hint="eastAsia" w:ascii="Times New Roman" w:eastAsia="仿宋"/>
          <w:sz w:val="28"/>
          <w:szCs w:val="28"/>
        </w:rPr>
        <w:t>以及过道面积</w:t>
      </w:r>
      <w:r>
        <w:rPr>
          <w:rFonts w:ascii="Times New Roman" w:eastAsia="仿宋"/>
          <w:sz w:val="28"/>
          <w:szCs w:val="28"/>
        </w:rPr>
        <w:t>，危废储存区有效面积占总面积的</w:t>
      </w:r>
      <w:r>
        <w:rPr>
          <w:rFonts w:hint="eastAsia" w:ascii="Times New Roman" w:eastAsia="仿宋"/>
          <w:sz w:val="28"/>
          <w:szCs w:val="28"/>
        </w:rPr>
        <w:t>80</w:t>
      </w:r>
      <w:r>
        <w:rPr>
          <w:rFonts w:ascii="Times New Roman" w:eastAsia="仿宋"/>
          <w:sz w:val="28"/>
          <w:szCs w:val="28"/>
        </w:rPr>
        <w:t>%</w:t>
      </w:r>
      <w:r>
        <w:rPr>
          <w:rFonts w:hint="eastAsia" w:ascii="Times New Roman" w:eastAsia="仿宋"/>
          <w:sz w:val="28"/>
          <w:szCs w:val="28"/>
        </w:rPr>
        <w:t>。</w:t>
      </w:r>
    </w:p>
    <w:p w14:paraId="5E660B8A">
      <w:pPr>
        <w:snapToGrid w:val="0"/>
        <w:spacing w:line="500" w:lineRule="exact"/>
        <w:ind w:firstLine="465"/>
        <w:textAlignment w:val="baseline"/>
        <w:rPr>
          <w:rFonts w:ascii="Times New Roman" w:eastAsia="仿宋"/>
          <w:sz w:val="28"/>
          <w:szCs w:val="28"/>
        </w:rPr>
      </w:pPr>
      <w:r>
        <w:rPr>
          <w:rFonts w:ascii="Times New Roman" w:eastAsia="仿宋"/>
          <w:sz w:val="28"/>
          <w:szCs w:val="28"/>
        </w:rPr>
        <w:t>经核算</w:t>
      </w:r>
      <w:r>
        <w:rPr>
          <w:rFonts w:hint="eastAsia" w:ascii="Times New Roman" w:eastAsia="仿宋"/>
          <w:sz w:val="28"/>
          <w:szCs w:val="28"/>
        </w:rPr>
        <w:t>本项目</w:t>
      </w:r>
      <w:r>
        <w:rPr>
          <w:rFonts w:ascii="Times New Roman" w:eastAsia="仿宋"/>
          <w:sz w:val="28"/>
          <w:szCs w:val="28"/>
        </w:rPr>
        <w:t>危废储存区实际危废堆放有效面积</w:t>
      </w:r>
      <w:r>
        <w:rPr>
          <w:rFonts w:hint="eastAsia" w:ascii="Times New Roman" w:eastAsia="仿宋"/>
          <w:sz w:val="28"/>
          <w:szCs w:val="28"/>
        </w:rPr>
        <w:t>共64</w:t>
      </w:r>
      <w:r>
        <w:rPr>
          <w:rFonts w:ascii="Times New Roman" w:eastAsia="仿宋"/>
          <w:sz w:val="28"/>
          <w:szCs w:val="28"/>
        </w:rPr>
        <w:t>m</w:t>
      </w:r>
      <w:r>
        <w:rPr>
          <w:rFonts w:ascii="Times New Roman" w:eastAsia="仿宋"/>
          <w:sz w:val="28"/>
          <w:szCs w:val="28"/>
          <w:vertAlign w:val="superscript"/>
        </w:rPr>
        <w:t>2</w:t>
      </w:r>
      <w:r>
        <w:rPr>
          <w:rFonts w:ascii="Times New Roman" w:eastAsia="仿宋"/>
          <w:sz w:val="28"/>
          <w:szCs w:val="28"/>
        </w:rPr>
        <w:t>，每平方储存危废量约</w:t>
      </w:r>
      <w:r>
        <w:rPr>
          <w:rFonts w:hint="eastAsia" w:ascii="Times New Roman" w:eastAsia="仿宋"/>
          <w:sz w:val="28"/>
          <w:szCs w:val="28"/>
        </w:rPr>
        <w:t>1</w:t>
      </w:r>
      <w:r>
        <w:rPr>
          <w:rFonts w:ascii="Times New Roman" w:eastAsia="仿宋"/>
          <w:sz w:val="28"/>
          <w:szCs w:val="28"/>
        </w:rPr>
        <w:t>t，因此，危废堆场有效面积内一次性可以储存固废约</w:t>
      </w:r>
      <w:r>
        <w:rPr>
          <w:rFonts w:hint="eastAsia" w:ascii="Times New Roman" w:eastAsia="仿宋"/>
          <w:sz w:val="28"/>
          <w:szCs w:val="28"/>
        </w:rPr>
        <w:t>64</w:t>
      </w:r>
      <w:r>
        <w:rPr>
          <w:rFonts w:ascii="Times New Roman" w:eastAsia="仿宋"/>
          <w:sz w:val="28"/>
          <w:szCs w:val="28"/>
        </w:rPr>
        <w:t>吨，</w:t>
      </w:r>
      <w:r>
        <w:rPr>
          <w:rFonts w:hint="eastAsia" w:ascii="Times New Roman" w:eastAsia="仿宋"/>
          <w:sz w:val="28"/>
          <w:szCs w:val="28"/>
        </w:rPr>
        <w:t>本项目建成后全厂危险废物产生量约1</w:t>
      </w:r>
      <w:r>
        <w:rPr>
          <w:rFonts w:ascii="Times New Roman" w:eastAsia="仿宋"/>
          <w:sz w:val="28"/>
          <w:szCs w:val="28"/>
        </w:rPr>
        <w:t>1</w:t>
      </w:r>
      <w:r>
        <w:rPr>
          <w:rFonts w:hint="eastAsia" w:ascii="Times New Roman" w:eastAsia="仿宋"/>
          <w:sz w:val="28"/>
          <w:szCs w:val="28"/>
        </w:rPr>
        <w:t>8</w:t>
      </w:r>
      <w:r>
        <w:rPr>
          <w:rFonts w:ascii="Times New Roman" w:eastAsia="仿宋"/>
          <w:sz w:val="28"/>
          <w:szCs w:val="28"/>
        </w:rPr>
        <w:t>.5</w:t>
      </w:r>
      <w:r>
        <w:rPr>
          <w:rFonts w:hint="eastAsia" w:ascii="Times New Roman" w:eastAsia="仿宋"/>
          <w:sz w:val="28"/>
          <w:szCs w:val="28"/>
        </w:rPr>
        <w:t>95t/a，危废最大贮存周期为90天，可以满足企业危废暂存需要。</w:t>
      </w:r>
      <w:r>
        <w:rPr>
          <w:rFonts w:ascii="Times New Roman" w:eastAsia="仿宋"/>
          <w:sz w:val="28"/>
          <w:szCs w:val="28"/>
        </w:rPr>
        <w:t>本项目危险废物贮存场所基本情况见下表。</w:t>
      </w:r>
    </w:p>
    <w:p w14:paraId="7B3740BF">
      <w:pPr>
        <w:autoSpaceDE w:val="0"/>
        <w:autoSpaceDN w:val="0"/>
        <w:spacing w:line="500" w:lineRule="exact"/>
        <w:jc w:val="center"/>
        <w:rPr>
          <w:rFonts w:ascii="Times New Roman" w:eastAsia="仿宋"/>
          <w:b/>
        </w:rPr>
      </w:pPr>
    </w:p>
    <w:p w14:paraId="104AA61D">
      <w:pPr>
        <w:pStyle w:val="2"/>
      </w:pPr>
    </w:p>
    <w:p w14:paraId="203569B6">
      <w:pPr>
        <w:autoSpaceDE w:val="0"/>
        <w:autoSpaceDN w:val="0"/>
        <w:spacing w:line="500" w:lineRule="exact"/>
        <w:jc w:val="center"/>
        <w:rPr>
          <w:rFonts w:ascii="Times New Roman" w:eastAsia="仿宋"/>
          <w:b/>
        </w:rPr>
      </w:pPr>
      <w:r>
        <w:rPr>
          <w:rFonts w:ascii="Times New Roman" w:eastAsia="仿宋"/>
          <w:b/>
        </w:rPr>
        <w:t>表6.3-2  本项目危险废物贮存场所基本情况</w:t>
      </w:r>
    </w:p>
    <w:tbl>
      <w:tblPr>
        <w:tblStyle w:val="87"/>
        <w:tblW w:w="64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02"/>
        <w:gridCol w:w="962"/>
        <w:gridCol w:w="1210"/>
        <w:gridCol w:w="987"/>
        <w:gridCol w:w="1203"/>
        <w:gridCol w:w="1492"/>
        <w:gridCol w:w="937"/>
        <w:gridCol w:w="1265"/>
        <w:gridCol w:w="744"/>
        <w:gridCol w:w="981"/>
      </w:tblGrid>
      <w:tr w14:paraId="0843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34" w:type="pct"/>
            <w:tcBorders>
              <w:top w:val="single" w:color="auto" w:sz="4" w:space="0"/>
              <w:left w:val="single" w:color="auto" w:sz="4" w:space="0"/>
              <w:right w:val="single" w:color="auto" w:sz="4" w:space="0"/>
            </w:tcBorders>
            <w:vAlign w:val="center"/>
          </w:tcPr>
          <w:p w14:paraId="71AC061E">
            <w:pPr>
              <w:topLinePunct/>
              <w:adjustRightInd w:val="0"/>
              <w:snapToGrid w:val="0"/>
              <w:jc w:val="center"/>
              <w:rPr>
                <w:rFonts w:ascii="Times New Roman" w:eastAsia="仿宋"/>
                <w:szCs w:val="21"/>
              </w:rPr>
            </w:pPr>
            <w:r>
              <w:rPr>
                <w:rFonts w:ascii="Times New Roman" w:eastAsia="仿宋"/>
                <w:szCs w:val="21"/>
              </w:rPr>
              <w:t>序号</w:t>
            </w:r>
          </w:p>
        </w:tc>
        <w:tc>
          <w:tcPr>
            <w:tcW w:w="319" w:type="pct"/>
            <w:tcBorders>
              <w:top w:val="single" w:color="auto" w:sz="4" w:space="0"/>
              <w:left w:val="single" w:color="auto" w:sz="4" w:space="0"/>
              <w:right w:val="single" w:color="auto" w:sz="4" w:space="0"/>
            </w:tcBorders>
            <w:vAlign w:val="center"/>
          </w:tcPr>
          <w:p w14:paraId="7C8D55FA">
            <w:pPr>
              <w:topLinePunct/>
              <w:adjustRightInd w:val="0"/>
              <w:snapToGrid w:val="0"/>
              <w:jc w:val="center"/>
              <w:rPr>
                <w:rFonts w:ascii="Times New Roman" w:eastAsia="仿宋"/>
                <w:szCs w:val="21"/>
              </w:rPr>
            </w:pPr>
            <w:r>
              <w:rPr>
                <w:rFonts w:hint="eastAsia" w:ascii="Times New Roman" w:eastAsia="仿宋"/>
                <w:szCs w:val="21"/>
              </w:rPr>
              <w:t>贮存场所名称</w:t>
            </w:r>
          </w:p>
        </w:tc>
        <w:tc>
          <w:tcPr>
            <w:tcW w:w="437" w:type="pct"/>
            <w:tcBorders>
              <w:top w:val="single" w:color="auto" w:sz="4" w:space="0"/>
              <w:left w:val="single" w:color="auto" w:sz="4" w:space="0"/>
              <w:right w:val="single" w:color="auto" w:sz="4" w:space="0"/>
            </w:tcBorders>
            <w:vAlign w:val="center"/>
          </w:tcPr>
          <w:p w14:paraId="12743F87">
            <w:pPr>
              <w:topLinePunct/>
              <w:adjustRightInd w:val="0"/>
              <w:snapToGrid w:val="0"/>
              <w:jc w:val="center"/>
              <w:rPr>
                <w:rFonts w:ascii="Times New Roman" w:eastAsia="仿宋"/>
                <w:szCs w:val="21"/>
              </w:rPr>
            </w:pPr>
            <w:r>
              <w:rPr>
                <w:rFonts w:ascii="Times New Roman" w:eastAsia="仿宋"/>
                <w:szCs w:val="21"/>
              </w:rPr>
              <w:t>危废名称</w:t>
            </w:r>
          </w:p>
        </w:tc>
        <w:tc>
          <w:tcPr>
            <w:tcW w:w="550" w:type="pct"/>
            <w:tcBorders>
              <w:top w:val="single" w:color="auto" w:sz="4" w:space="0"/>
              <w:left w:val="single" w:color="auto" w:sz="4" w:space="0"/>
              <w:right w:val="single" w:color="auto" w:sz="4" w:space="0"/>
            </w:tcBorders>
            <w:vAlign w:val="center"/>
          </w:tcPr>
          <w:p w14:paraId="7F9A7301">
            <w:pPr>
              <w:topLinePunct/>
              <w:adjustRightInd w:val="0"/>
              <w:snapToGrid w:val="0"/>
              <w:jc w:val="center"/>
              <w:rPr>
                <w:rFonts w:ascii="Times New Roman" w:eastAsia="仿宋"/>
                <w:szCs w:val="21"/>
              </w:rPr>
            </w:pPr>
            <w:r>
              <w:rPr>
                <w:rFonts w:ascii="Times New Roman" w:eastAsia="仿宋"/>
                <w:szCs w:val="21"/>
              </w:rPr>
              <w:t>产生量（t/a）</w:t>
            </w:r>
          </w:p>
        </w:tc>
        <w:tc>
          <w:tcPr>
            <w:tcW w:w="449" w:type="pct"/>
            <w:tcBorders>
              <w:top w:val="single" w:color="auto" w:sz="4" w:space="0"/>
              <w:left w:val="single" w:color="auto" w:sz="4" w:space="0"/>
              <w:right w:val="single" w:color="auto" w:sz="4" w:space="0"/>
            </w:tcBorders>
            <w:vAlign w:val="center"/>
          </w:tcPr>
          <w:p w14:paraId="1C5EF388">
            <w:pPr>
              <w:topLinePunct/>
              <w:adjustRightInd w:val="0"/>
              <w:snapToGrid w:val="0"/>
              <w:jc w:val="center"/>
              <w:rPr>
                <w:rFonts w:ascii="Times New Roman" w:eastAsia="仿宋"/>
                <w:szCs w:val="21"/>
              </w:rPr>
            </w:pPr>
            <w:r>
              <w:rPr>
                <w:rFonts w:hint="eastAsia" w:ascii="Times New Roman" w:eastAsia="仿宋"/>
                <w:szCs w:val="21"/>
              </w:rPr>
              <w:t>危废废物类别</w:t>
            </w:r>
          </w:p>
        </w:tc>
        <w:tc>
          <w:tcPr>
            <w:tcW w:w="547" w:type="pct"/>
            <w:tcBorders>
              <w:top w:val="single" w:color="auto" w:sz="4" w:space="0"/>
              <w:left w:val="single" w:color="auto" w:sz="4" w:space="0"/>
              <w:right w:val="single" w:color="auto" w:sz="4" w:space="0"/>
            </w:tcBorders>
            <w:vAlign w:val="center"/>
          </w:tcPr>
          <w:p w14:paraId="41874129">
            <w:pPr>
              <w:topLinePunct/>
              <w:adjustRightInd w:val="0"/>
              <w:snapToGrid w:val="0"/>
              <w:jc w:val="center"/>
              <w:rPr>
                <w:rFonts w:ascii="Times New Roman" w:eastAsia="仿宋"/>
                <w:szCs w:val="21"/>
              </w:rPr>
            </w:pPr>
            <w:r>
              <w:rPr>
                <w:rFonts w:hint="eastAsia" w:ascii="Times New Roman" w:eastAsia="仿宋"/>
                <w:szCs w:val="21"/>
              </w:rPr>
              <w:t>危险废物代码</w:t>
            </w:r>
          </w:p>
        </w:tc>
        <w:tc>
          <w:tcPr>
            <w:tcW w:w="678" w:type="pct"/>
            <w:tcBorders>
              <w:top w:val="single" w:color="auto" w:sz="4" w:space="0"/>
              <w:left w:val="single" w:color="auto" w:sz="4" w:space="0"/>
              <w:right w:val="single" w:color="auto" w:sz="4" w:space="0"/>
            </w:tcBorders>
            <w:vAlign w:val="center"/>
          </w:tcPr>
          <w:p w14:paraId="2569BE74">
            <w:pPr>
              <w:topLinePunct/>
              <w:adjustRightInd w:val="0"/>
              <w:snapToGrid w:val="0"/>
              <w:jc w:val="center"/>
              <w:rPr>
                <w:rFonts w:ascii="Times New Roman" w:eastAsia="仿宋"/>
                <w:szCs w:val="21"/>
              </w:rPr>
            </w:pPr>
            <w:r>
              <w:rPr>
                <w:rFonts w:ascii="Times New Roman" w:eastAsia="仿宋"/>
                <w:szCs w:val="21"/>
              </w:rPr>
              <w:t>产生工序</w:t>
            </w:r>
          </w:p>
        </w:tc>
        <w:tc>
          <w:tcPr>
            <w:tcW w:w="426" w:type="pct"/>
            <w:tcBorders>
              <w:top w:val="single" w:color="auto" w:sz="4" w:space="0"/>
              <w:left w:val="single" w:color="auto" w:sz="4" w:space="0"/>
              <w:right w:val="single" w:color="auto" w:sz="4" w:space="0"/>
            </w:tcBorders>
            <w:vAlign w:val="center"/>
          </w:tcPr>
          <w:p w14:paraId="2667FC12">
            <w:pPr>
              <w:topLinePunct/>
              <w:adjustRightInd w:val="0"/>
              <w:snapToGrid w:val="0"/>
              <w:jc w:val="center"/>
              <w:rPr>
                <w:rFonts w:ascii="Times New Roman" w:eastAsia="仿宋"/>
                <w:szCs w:val="21"/>
              </w:rPr>
            </w:pPr>
            <w:r>
              <w:rPr>
                <w:rFonts w:hint="eastAsia" w:ascii="Times New Roman" w:eastAsia="仿宋"/>
                <w:szCs w:val="21"/>
              </w:rPr>
              <w:t>贮存</w:t>
            </w:r>
            <w:r>
              <w:rPr>
                <w:rFonts w:ascii="Times New Roman" w:eastAsia="仿宋"/>
                <w:szCs w:val="21"/>
              </w:rPr>
              <w:t>周期</w:t>
            </w:r>
          </w:p>
        </w:tc>
        <w:tc>
          <w:tcPr>
            <w:tcW w:w="575" w:type="pct"/>
            <w:tcBorders>
              <w:top w:val="single" w:color="auto" w:sz="4" w:space="0"/>
              <w:left w:val="single" w:color="auto" w:sz="4" w:space="0"/>
              <w:right w:val="single" w:color="auto" w:sz="4" w:space="0"/>
            </w:tcBorders>
            <w:vAlign w:val="center"/>
          </w:tcPr>
          <w:p w14:paraId="3D89B4E7">
            <w:pPr>
              <w:topLinePunct/>
              <w:adjustRightInd w:val="0"/>
              <w:snapToGrid w:val="0"/>
              <w:jc w:val="center"/>
              <w:rPr>
                <w:rFonts w:ascii="Times New Roman" w:eastAsia="仿宋"/>
                <w:szCs w:val="21"/>
              </w:rPr>
            </w:pPr>
            <w:r>
              <w:rPr>
                <w:rFonts w:hint="eastAsia" w:ascii="Times New Roman" w:eastAsia="仿宋"/>
                <w:szCs w:val="21"/>
              </w:rPr>
              <w:t>贮存能力</w:t>
            </w:r>
            <w:r>
              <w:rPr>
                <w:rFonts w:ascii="Times New Roman" w:eastAsia="仿宋"/>
                <w:szCs w:val="21"/>
              </w:rPr>
              <w:t>（90d计）</w:t>
            </w:r>
          </w:p>
        </w:tc>
        <w:tc>
          <w:tcPr>
            <w:tcW w:w="338" w:type="pct"/>
            <w:tcBorders>
              <w:top w:val="single" w:color="auto" w:sz="4" w:space="0"/>
              <w:left w:val="single" w:color="auto" w:sz="4" w:space="0"/>
              <w:right w:val="single" w:color="auto" w:sz="4" w:space="0"/>
            </w:tcBorders>
            <w:vAlign w:val="center"/>
          </w:tcPr>
          <w:p w14:paraId="1EC39F07">
            <w:pPr>
              <w:topLinePunct/>
              <w:adjustRightInd w:val="0"/>
              <w:snapToGrid w:val="0"/>
              <w:jc w:val="center"/>
              <w:rPr>
                <w:rFonts w:ascii="Times New Roman" w:eastAsia="仿宋"/>
                <w:szCs w:val="21"/>
              </w:rPr>
            </w:pPr>
            <w:r>
              <w:rPr>
                <w:rFonts w:ascii="Times New Roman" w:eastAsia="仿宋"/>
                <w:szCs w:val="21"/>
              </w:rPr>
              <w:t>占地面积m</w:t>
            </w:r>
            <w:r>
              <w:rPr>
                <w:rFonts w:ascii="Times New Roman" w:eastAsia="仿宋"/>
                <w:szCs w:val="21"/>
                <w:vertAlign w:val="superscript"/>
              </w:rPr>
              <w:t>2</w:t>
            </w:r>
          </w:p>
        </w:tc>
        <w:tc>
          <w:tcPr>
            <w:tcW w:w="446" w:type="pct"/>
            <w:tcBorders>
              <w:top w:val="single" w:color="auto" w:sz="4" w:space="0"/>
              <w:left w:val="single" w:color="auto" w:sz="4" w:space="0"/>
              <w:right w:val="single" w:color="auto" w:sz="4" w:space="0"/>
            </w:tcBorders>
            <w:vAlign w:val="center"/>
          </w:tcPr>
          <w:p w14:paraId="03FC794A">
            <w:pPr>
              <w:topLinePunct/>
              <w:adjustRightInd w:val="0"/>
              <w:snapToGrid w:val="0"/>
              <w:jc w:val="center"/>
              <w:rPr>
                <w:rFonts w:ascii="Times New Roman" w:eastAsia="仿宋"/>
                <w:szCs w:val="21"/>
              </w:rPr>
            </w:pPr>
            <w:r>
              <w:rPr>
                <w:rFonts w:ascii="Times New Roman" w:eastAsia="仿宋"/>
                <w:szCs w:val="21"/>
              </w:rPr>
              <w:t>贮存方式</w:t>
            </w:r>
          </w:p>
        </w:tc>
      </w:tr>
      <w:tr w14:paraId="5B88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34" w:type="pct"/>
            <w:tcBorders>
              <w:top w:val="single" w:color="auto" w:sz="4" w:space="0"/>
              <w:left w:val="single" w:color="auto" w:sz="4" w:space="0"/>
              <w:right w:val="single" w:color="auto" w:sz="4" w:space="0"/>
            </w:tcBorders>
            <w:vAlign w:val="center"/>
          </w:tcPr>
          <w:p w14:paraId="745C9450">
            <w:pPr>
              <w:topLinePunct/>
              <w:adjustRightInd w:val="0"/>
              <w:snapToGrid w:val="0"/>
              <w:jc w:val="center"/>
              <w:rPr>
                <w:rFonts w:ascii="Times New Roman" w:eastAsia="仿宋"/>
                <w:szCs w:val="21"/>
              </w:rPr>
            </w:pPr>
            <w:r>
              <w:rPr>
                <w:rFonts w:ascii="Times New Roman" w:eastAsia="仿宋"/>
                <w:szCs w:val="21"/>
              </w:rPr>
              <w:t>1</w:t>
            </w:r>
          </w:p>
        </w:tc>
        <w:tc>
          <w:tcPr>
            <w:tcW w:w="319" w:type="pct"/>
            <w:vMerge w:val="restart"/>
            <w:tcBorders>
              <w:top w:val="single" w:color="auto" w:sz="4" w:space="0"/>
              <w:left w:val="single" w:color="auto" w:sz="4" w:space="0"/>
              <w:right w:val="single" w:color="auto" w:sz="4" w:space="0"/>
            </w:tcBorders>
            <w:vAlign w:val="center"/>
          </w:tcPr>
          <w:p w14:paraId="60974D1B">
            <w:pPr>
              <w:topLinePunct/>
              <w:adjustRightInd w:val="0"/>
              <w:snapToGrid w:val="0"/>
              <w:jc w:val="center"/>
              <w:rPr>
                <w:rFonts w:ascii="Times New Roman" w:eastAsia="仿宋"/>
                <w:szCs w:val="21"/>
              </w:rPr>
            </w:pPr>
            <w:r>
              <w:rPr>
                <w:rFonts w:hint="eastAsia" w:ascii="Times New Roman" w:eastAsia="仿宋"/>
                <w:szCs w:val="21"/>
              </w:rPr>
              <w:t>危废仓库</w:t>
            </w:r>
          </w:p>
        </w:tc>
        <w:tc>
          <w:tcPr>
            <w:tcW w:w="437" w:type="pct"/>
            <w:tcBorders>
              <w:top w:val="single" w:color="auto" w:sz="4" w:space="0"/>
              <w:left w:val="single" w:color="auto" w:sz="4" w:space="0"/>
              <w:right w:val="single" w:color="auto" w:sz="4" w:space="0"/>
            </w:tcBorders>
            <w:vAlign w:val="center"/>
          </w:tcPr>
          <w:p w14:paraId="2D3DC971">
            <w:pPr>
              <w:topLinePunct/>
              <w:adjustRightInd w:val="0"/>
              <w:snapToGrid w:val="0"/>
              <w:jc w:val="center"/>
              <w:rPr>
                <w:rFonts w:ascii="Times New Roman" w:eastAsia="仿宋"/>
                <w:szCs w:val="21"/>
              </w:rPr>
            </w:pPr>
            <w:r>
              <w:rPr>
                <w:rFonts w:hint="eastAsia" w:ascii="Times New Roman" w:eastAsia="仿宋"/>
                <w:szCs w:val="21"/>
              </w:rPr>
              <w:t>钝化废水</w:t>
            </w:r>
          </w:p>
        </w:tc>
        <w:tc>
          <w:tcPr>
            <w:tcW w:w="550" w:type="pct"/>
            <w:tcBorders>
              <w:top w:val="single" w:color="auto" w:sz="4" w:space="0"/>
              <w:left w:val="single" w:color="auto" w:sz="4" w:space="0"/>
              <w:right w:val="single" w:color="auto" w:sz="4" w:space="0"/>
            </w:tcBorders>
            <w:vAlign w:val="center"/>
          </w:tcPr>
          <w:p w14:paraId="5F49CA89">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.9</w:t>
            </w:r>
          </w:p>
        </w:tc>
        <w:tc>
          <w:tcPr>
            <w:tcW w:w="449" w:type="pct"/>
            <w:tcBorders>
              <w:top w:val="single" w:color="auto" w:sz="4" w:space="0"/>
              <w:left w:val="single" w:color="auto" w:sz="4" w:space="0"/>
              <w:right w:val="single" w:color="auto" w:sz="4" w:space="0"/>
            </w:tcBorders>
            <w:vAlign w:val="center"/>
          </w:tcPr>
          <w:p w14:paraId="0E828277">
            <w:pPr>
              <w:topLinePunct/>
              <w:adjustRightInd w:val="0"/>
              <w:snapToGrid w:val="0"/>
              <w:jc w:val="center"/>
              <w:rPr>
                <w:rFonts w:ascii="Times New Roman" w:eastAsia="仿宋"/>
                <w:szCs w:val="21"/>
              </w:rPr>
            </w:pPr>
            <w:r>
              <w:rPr>
                <w:rFonts w:ascii="Times New Roman" w:eastAsia="仿宋"/>
                <w:szCs w:val="21"/>
              </w:rPr>
              <w:t>HW17</w:t>
            </w:r>
          </w:p>
        </w:tc>
        <w:tc>
          <w:tcPr>
            <w:tcW w:w="547" w:type="pct"/>
            <w:tcBorders>
              <w:top w:val="single" w:color="auto" w:sz="4" w:space="0"/>
              <w:left w:val="single" w:color="auto" w:sz="4" w:space="0"/>
              <w:right w:val="single" w:color="auto" w:sz="4" w:space="0"/>
            </w:tcBorders>
            <w:vAlign w:val="center"/>
          </w:tcPr>
          <w:p w14:paraId="39F52805">
            <w:pPr>
              <w:topLinePunct/>
              <w:adjustRightInd w:val="0"/>
              <w:snapToGrid w:val="0"/>
              <w:jc w:val="center"/>
              <w:rPr>
                <w:rFonts w:ascii="Times New Roman" w:eastAsia="仿宋"/>
                <w:szCs w:val="21"/>
              </w:rPr>
            </w:pPr>
            <w:r>
              <w:rPr>
                <w:rFonts w:ascii="Times New Roman" w:eastAsia="仿宋"/>
                <w:szCs w:val="21"/>
              </w:rPr>
              <w:t>336-064-17</w:t>
            </w:r>
          </w:p>
        </w:tc>
        <w:tc>
          <w:tcPr>
            <w:tcW w:w="678" w:type="pct"/>
            <w:tcBorders>
              <w:top w:val="single" w:color="auto" w:sz="4" w:space="0"/>
              <w:left w:val="single" w:color="auto" w:sz="4" w:space="0"/>
              <w:right w:val="single" w:color="auto" w:sz="4" w:space="0"/>
            </w:tcBorders>
            <w:vAlign w:val="center"/>
          </w:tcPr>
          <w:p w14:paraId="29EA5D89">
            <w:pPr>
              <w:topLinePunct/>
              <w:adjustRightInd w:val="0"/>
              <w:snapToGrid w:val="0"/>
              <w:jc w:val="center"/>
              <w:rPr>
                <w:rFonts w:ascii="Times New Roman" w:eastAsia="仿宋"/>
                <w:szCs w:val="21"/>
              </w:rPr>
            </w:pPr>
            <w:r>
              <w:rPr>
                <w:rFonts w:hint="eastAsia" w:ascii="Times New Roman" w:eastAsia="仿宋"/>
                <w:szCs w:val="21"/>
              </w:rPr>
              <w:t>钝化</w:t>
            </w:r>
          </w:p>
        </w:tc>
        <w:tc>
          <w:tcPr>
            <w:tcW w:w="426" w:type="pct"/>
            <w:tcBorders>
              <w:top w:val="single" w:color="auto" w:sz="4" w:space="0"/>
              <w:left w:val="single" w:color="auto" w:sz="4" w:space="0"/>
              <w:right w:val="single" w:color="auto" w:sz="4" w:space="0"/>
            </w:tcBorders>
            <w:vAlign w:val="center"/>
          </w:tcPr>
          <w:p w14:paraId="6B7851BA">
            <w:pPr>
              <w:topLinePunct/>
              <w:adjustRightInd w:val="0"/>
              <w:snapToGrid w:val="0"/>
              <w:jc w:val="center"/>
              <w:rPr>
                <w:rFonts w:ascii="Times New Roman" w:eastAsia="仿宋"/>
                <w:szCs w:val="21"/>
              </w:rPr>
            </w:pPr>
            <w:r>
              <w:rPr>
                <w:rFonts w:hint="eastAsia" w:ascii="Times New Roman" w:eastAsia="仿宋"/>
                <w:szCs w:val="21"/>
              </w:rPr>
              <w:t>90d</w:t>
            </w:r>
          </w:p>
        </w:tc>
        <w:tc>
          <w:tcPr>
            <w:tcW w:w="575" w:type="pct"/>
            <w:tcBorders>
              <w:top w:val="single" w:color="auto" w:sz="4" w:space="0"/>
              <w:left w:val="single" w:color="auto" w:sz="4" w:space="0"/>
              <w:right w:val="single" w:color="auto" w:sz="4" w:space="0"/>
            </w:tcBorders>
            <w:vAlign w:val="center"/>
          </w:tcPr>
          <w:p w14:paraId="2300DF7F">
            <w:pPr>
              <w:topLinePunct/>
              <w:adjustRightInd w:val="0"/>
              <w:snapToGrid w:val="0"/>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338" w:type="pct"/>
            <w:tcBorders>
              <w:top w:val="single" w:color="auto" w:sz="4" w:space="0"/>
              <w:left w:val="single" w:color="auto" w:sz="4" w:space="0"/>
              <w:right w:val="single" w:color="auto" w:sz="4" w:space="0"/>
            </w:tcBorders>
            <w:vAlign w:val="center"/>
          </w:tcPr>
          <w:p w14:paraId="0EDAE4E9">
            <w:pPr>
              <w:topLinePunct/>
              <w:adjustRightInd w:val="0"/>
              <w:snapToGrid w:val="0"/>
              <w:jc w:val="center"/>
              <w:rPr>
                <w:rFonts w:ascii="Times New Roman" w:eastAsia="仿宋"/>
                <w:szCs w:val="21"/>
              </w:rPr>
            </w:pPr>
            <w:r>
              <w:rPr>
                <w:rFonts w:hint="eastAsia" w:ascii="Times New Roman" w:eastAsia="仿宋"/>
                <w:szCs w:val="21"/>
              </w:rPr>
              <w:t>5</w:t>
            </w:r>
          </w:p>
        </w:tc>
        <w:tc>
          <w:tcPr>
            <w:tcW w:w="446" w:type="pct"/>
            <w:tcBorders>
              <w:top w:val="single" w:color="auto" w:sz="4" w:space="0"/>
              <w:left w:val="single" w:color="auto" w:sz="4" w:space="0"/>
              <w:right w:val="single" w:color="auto" w:sz="4" w:space="0"/>
            </w:tcBorders>
            <w:vAlign w:val="center"/>
          </w:tcPr>
          <w:p w14:paraId="7504AA1B">
            <w:pPr>
              <w:topLinePunct/>
              <w:adjustRightInd w:val="0"/>
              <w:snapToGrid w:val="0"/>
              <w:jc w:val="center"/>
              <w:rPr>
                <w:rFonts w:ascii="Times New Roman" w:eastAsia="仿宋"/>
                <w:szCs w:val="21"/>
              </w:rPr>
            </w:pPr>
            <w:r>
              <w:rPr>
                <w:rFonts w:hint="eastAsia" w:ascii="Times New Roman" w:eastAsia="仿宋"/>
                <w:szCs w:val="21"/>
              </w:rPr>
              <w:t>桶装</w:t>
            </w:r>
          </w:p>
        </w:tc>
      </w:tr>
      <w:tr w14:paraId="5C28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34" w:type="pct"/>
            <w:tcBorders>
              <w:top w:val="single" w:color="auto" w:sz="4" w:space="0"/>
              <w:left w:val="single" w:color="auto" w:sz="4" w:space="0"/>
              <w:right w:val="single" w:color="auto" w:sz="4" w:space="0"/>
            </w:tcBorders>
            <w:vAlign w:val="center"/>
          </w:tcPr>
          <w:p w14:paraId="7CBEB996">
            <w:pPr>
              <w:topLinePunct/>
              <w:adjustRightInd w:val="0"/>
              <w:snapToGrid w:val="0"/>
              <w:jc w:val="center"/>
              <w:rPr>
                <w:rFonts w:ascii="Times New Roman" w:eastAsia="仿宋"/>
                <w:szCs w:val="21"/>
              </w:rPr>
            </w:pPr>
            <w:r>
              <w:rPr>
                <w:rFonts w:hint="eastAsia" w:ascii="Times New Roman" w:eastAsia="仿宋"/>
                <w:szCs w:val="21"/>
              </w:rPr>
              <w:t>2</w:t>
            </w:r>
          </w:p>
        </w:tc>
        <w:tc>
          <w:tcPr>
            <w:tcW w:w="319" w:type="pct"/>
            <w:vMerge w:val="continue"/>
            <w:tcBorders>
              <w:left w:val="single" w:color="auto" w:sz="4" w:space="0"/>
              <w:right w:val="single" w:color="auto" w:sz="4" w:space="0"/>
            </w:tcBorders>
            <w:vAlign w:val="center"/>
          </w:tcPr>
          <w:p w14:paraId="790CC626">
            <w:pPr>
              <w:topLinePunct/>
              <w:adjustRightInd w:val="0"/>
              <w:snapToGrid w:val="0"/>
              <w:jc w:val="center"/>
              <w:rPr>
                <w:rFonts w:ascii="Times New Roman" w:eastAsia="仿宋"/>
                <w:szCs w:val="21"/>
              </w:rPr>
            </w:pPr>
          </w:p>
        </w:tc>
        <w:tc>
          <w:tcPr>
            <w:tcW w:w="437" w:type="pct"/>
            <w:tcBorders>
              <w:top w:val="single" w:color="auto" w:sz="4" w:space="0"/>
              <w:left w:val="single" w:color="auto" w:sz="4" w:space="0"/>
              <w:right w:val="single" w:color="auto" w:sz="4" w:space="0"/>
            </w:tcBorders>
            <w:vAlign w:val="center"/>
          </w:tcPr>
          <w:p w14:paraId="642EDDAC">
            <w:pPr>
              <w:topLinePunct/>
              <w:adjustRightInd w:val="0"/>
              <w:snapToGrid w:val="0"/>
              <w:jc w:val="center"/>
              <w:rPr>
                <w:rFonts w:ascii="Times New Roman" w:eastAsia="仿宋"/>
                <w:szCs w:val="21"/>
              </w:rPr>
            </w:pPr>
            <w:r>
              <w:rPr>
                <w:rFonts w:hint="eastAsia" w:ascii="Times New Roman" w:eastAsia="仿宋"/>
                <w:szCs w:val="21"/>
              </w:rPr>
              <w:t>水洗废水</w:t>
            </w:r>
          </w:p>
        </w:tc>
        <w:tc>
          <w:tcPr>
            <w:tcW w:w="550" w:type="pct"/>
            <w:tcBorders>
              <w:top w:val="single" w:color="auto" w:sz="4" w:space="0"/>
              <w:left w:val="single" w:color="auto" w:sz="4" w:space="0"/>
              <w:right w:val="single" w:color="auto" w:sz="4" w:space="0"/>
            </w:tcBorders>
            <w:vAlign w:val="center"/>
          </w:tcPr>
          <w:p w14:paraId="1F9A8294">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6.2</w:t>
            </w:r>
          </w:p>
        </w:tc>
        <w:tc>
          <w:tcPr>
            <w:tcW w:w="449" w:type="pct"/>
            <w:tcBorders>
              <w:left w:val="single" w:color="auto" w:sz="4" w:space="0"/>
              <w:right w:val="single" w:color="auto" w:sz="4" w:space="0"/>
            </w:tcBorders>
            <w:vAlign w:val="center"/>
          </w:tcPr>
          <w:p w14:paraId="00668949">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547" w:type="pct"/>
            <w:tcBorders>
              <w:left w:val="single" w:color="auto" w:sz="4" w:space="0"/>
              <w:right w:val="single" w:color="auto" w:sz="4" w:space="0"/>
            </w:tcBorders>
            <w:vAlign w:val="center"/>
          </w:tcPr>
          <w:p w14:paraId="173635DE">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678" w:type="pct"/>
            <w:tcBorders>
              <w:top w:val="single" w:color="auto" w:sz="4" w:space="0"/>
              <w:left w:val="single" w:color="auto" w:sz="4" w:space="0"/>
              <w:right w:val="single" w:color="auto" w:sz="4" w:space="0"/>
            </w:tcBorders>
            <w:vAlign w:val="center"/>
          </w:tcPr>
          <w:p w14:paraId="47DCB685">
            <w:pPr>
              <w:topLinePunct/>
              <w:adjustRightInd w:val="0"/>
              <w:snapToGrid w:val="0"/>
              <w:jc w:val="center"/>
              <w:rPr>
                <w:rFonts w:ascii="Times New Roman" w:eastAsia="仿宋"/>
                <w:szCs w:val="21"/>
              </w:rPr>
            </w:pPr>
            <w:r>
              <w:rPr>
                <w:rFonts w:hint="eastAsia" w:ascii="Times New Roman" w:eastAsia="仿宋"/>
                <w:szCs w:val="21"/>
              </w:rPr>
              <w:t>清洗</w:t>
            </w:r>
          </w:p>
        </w:tc>
        <w:tc>
          <w:tcPr>
            <w:tcW w:w="426" w:type="pct"/>
            <w:tcBorders>
              <w:top w:val="single" w:color="auto" w:sz="4" w:space="0"/>
              <w:left w:val="single" w:color="auto" w:sz="4" w:space="0"/>
              <w:right w:val="single" w:color="auto" w:sz="4" w:space="0"/>
            </w:tcBorders>
            <w:vAlign w:val="center"/>
          </w:tcPr>
          <w:p w14:paraId="4C8941C0">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top w:val="single" w:color="auto" w:sz="4" w:space="0"/>
              <w:left w:val="single" w:color="auto" w:sz="4" w:space="0"/>
              <w:right w:val="single" w:color="auto" w:sz="4" w:space="0"/>
            </w:tcBorders>
            <w:vAlign w:val="center"/>
          </w:tcPr>
          <w:p w14:paraId="0878A239">
            <w:pPr>
              <w:topLinePunct/>
              <w:adjustRightInd w:val="0"/>
              <w:snapToGrid w:val="0"/>
              <w:jc w:val="center"/>
              <w:rPr>
                <w:rFonts w:ascii="Times New Roman" w:eastAsia="仿宋"/>
                <w:szCs w:val="21"/>
              </w:rPr>
            </w:pPr>
            <w:r>
              <w:rPr>
                <w:rFonts w:hint="eastAsia" w:ascii="Times New Roman" w:eastAsia="仿宋"/>
                <w:szCs w:val="21"/>
              </w:rPr>
              <w:t>4.</w:t>
            </w:r>
            <w:r>
              <w:rPr>
                <w:rFonts w:ascii="Times New Roman" w:eastAsia="仿宋"/>
                <w:szCs w:val="21"/>
              </w:rPr>
              <w:t>05</w:t>
            </w:r>
          </w:p>
        </w:tc>
        <w:tc>
          <w:tcPr>
            <w:tcW w:w="338" w:type="pct"/>
            <w:tcBorders>
              <w:top w:val="single" w:color="auto" w:sz="4" w:space="0"/>
              <w:left w:val="single" w:color="auto" w:sz="4" w:space="0"/>
              <w:right w:val="single" w:color="auto" w:sz="4" w:space="0"/>
            </w:tcBorders>
            <w:vAlign w:val="center"/>
          </w:tcPr>
          <w:p w14:paraId="6B51850D">
            <w:pPr>
              <w:topLinePunct/>
              <w:adjustRightInd w:val="0"/>
              <w:snapToGrid w:val="0"/>
              <w:jc w:val="center"/>
              <w:rPr>
                <w:rFonts w:ascii="Times New Roman" w:eastAsia="仿宋"/>
                <w:szCs w:val="21"/>
              </w:rPr>
            </w:pPr>
            <w:r>
              <w:rPr>
                <w:rFonts w:hint="eastAsia" w:ascii="Times New Roman" w:eastAsia="仿宋"/>
                <w:szCs w:val="21"/>
              </w:rPr>
              <w:t>10</w:t>
            </w:r>
          </w:p>
        </w:tc>
        <w:tc>
          <w:tcPr>
            <w:tcW w:w="446" w:type="pct"/>
            <w:tcBorders>
              <w:top w:val="single" w:color="auto" w:sz="4" w:space="0"/>
              <w:left w:val="single" w:color="auto" w:sz="4" w:space="0"/>
              <w:right w:val="single" w:color="auto" w:sz="4" w:space="0"/>
            </w:tcBorders>
            <w:vAlign w:val="center"/>
          </w:tcPr>
          <w:p w14:paraId="2EBCA671">
            <w:pPr>
              <w:topLinePunct/>
              <w:adjustRightInd w:val="0"/>
              <w:snapToGrid w:val="0"/>
              <w:jc w:val="center"/>
              <w:rPr>
                <w:rFonts w:ascii="Times New Roman" w:eastAsia="仿宋"/>
                <w:szCs w:val="21"/>
              </w:rPr>
            </w:pPr>
            <w:r>
              <w:rPr>
                <w:rFonts w:hint="eastAsia" w:ascii="Times New Roman" w:eastAsia="仿宋"/>
                <w:szCs w:val="21"/>
              </w:rPr>
              <w:t>桶装</w:t>
            </w:r>
          </w:p>
        </w:tc>
      </w:tr>
      <w:tr w14:paraId="6764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34" w:type="pct"/>
            <w:tcBorders>
              <w:top w:val="single" w:color="auto" w:sz="4" w:space="0"/>
              <w:left w:val="single" w:color="auto" w:sz="4" w:space="0"/>
              <w:right w:val="single" w:color="auto" w:sz="4" w:space="0"/>
            </w:tcBorders>
            <w:vAlign w:val="center"/>
          </w:tcPr>
          <w:p w14:paraId="066B1882">
            <w:pPr>
              <w:topLinePunct/>
              <w:adjustRightInd w:val="0"/>
              <w:snapToGrid w:val="0"/>
              <w:jc w:val="center"/>
              <w:rPr>
                <w:rFonts w:ascii="Times New Roman" w:eastAsia="仿宋"/>
                <w:szCs w:val="21"/>
              </w:rPr>
            </w:pPr>
            <w:r>
              <w:rPr>
                <w:rFonts w:hint="eastAsia" w:ascii="Times New Roman" w:eastAsia="仿宋"/>
                <w:szCs w:val="21"/>
              </w:rPr>
              <w:t>3</w:t>
            </w:r>
          </w:p>
        </w:tc>
        <w:tc>
          <w:tcPr>
            <w:tcW w:w="319" w:type="pct"/>
            <w:vMerge w:val="continue"/>
            <w:tcBorders>
              <w:left w:val="single" w:color="auto" w:sz="4" w:space="0"/>
              <w:right w:val="single" w:color="auto" w:sz="4" w:space="0"/>
            </w:tcBorders>
            <w:vAlign w:val="center"/>
          </w:tcPr>
          <w:p w14:paraId="772A7B13">
            <w:pPr>
              <w:topLinePunct/>
              <w:adjustRightInd w:val="0"/>
              <w:snapToGrid w:val="0"/>
              <w:jc w:val="center"/>
              <w:rPr>
                <w:rFonts w:ascii="Times New Roman" w:eastAsia="仿宋"/>
                <w:szCs w:val="21"/>
              </w:rPr>
            </w:pPr>
          </w:p>
        </w:tc>
        <w:tc>
          <w:tcPr>
            <w:tcW w:w="437" w:type="pct"/>
            <w:tcBorders>
              <w:top w:val="single" w:color="auto" w:sz="4" w:space="0"/>
              <w:left w:val="single" w:color="auto" w:sz="4" w:space="0"/>
              <w:right w:val="single" w:color="auto" w:sz="4" w:space="0"/>
            </w:tcBorders>
            <w:vAlign w:val="center"/>
          </w:tcPr>
          <w:p w14:paraId="7310F1DA">
            <w:pPr>
              <w:topLinePunct/>
              <w:adjustRightInd w:val="0"/>
              <w:snapToGrid w:val="0"/>
              <w:jc w:val="center"/>
              <w:rPr>
                <w:rFonts w:ascii="Times New Roman" w:eastAsia="仿宋"/>
                <w:szCs w:val="21"/>
              </w:rPr>
            </w:pPr>
            <w:r>
              <w:rPr>
                <w:rFonts w:hint="eastAsia" w:ascii="Times New Roman" w:eastAsia="仿宋"/>
                <w:szCs w:val="21"/>
              </w:rPr>
              <w:t>水帘废水</w:t>
            </w:r>
          </w:p>
        </w:tc>
        <w:tc>
          <w:tcPr>
            <w:tcW w:w="550" w:type="pct"/>
            <w:tcBorders>
              <w:top w:val="single" w:color="auto" w:sz="4" w:space="0"/>
              <w:left w:val="single" w:color="auto" w:sz="4" w:space="0"/>
              <w:right w:val="single" w:color="auto" w:sz="4" w:space="0"/>
            </w:tcBorders>
            <w:vAlign w:val="center"/>
          </w:tcPr>
          <w:p w14:paraId="25F6BA55">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0</w:t>
            </w:r>
          </w:p>
        </w:tc>
        <w:tc>
          <w:tcPr>
            <w:tcW w:w="449" w:type="pct"/>
            <w:tcBorders>
              <w:left w:val="single" w:color="auto" w:sz="4" w:space="0"/>
              <w:right w:val="single" w:color="auto" w:sz="4" w:space="0"/>
            </w:tcBorders>
            <w:vAlign w:val="center"/>
          </w:tcPr>
          <w:p w14:paraId="52E33670">
            <w:pPr>
              <w:topLinePunct/>
              <w:adjustRightInd w:val="0"/>
              <w:snapToGrid w:val="0"/>
              <w:jc w:val="center"/>
              <w:rPr>
                <w:rFonts w:ascii="Times New Roman" w:eastAsia="仿宋"/>
                <w:szCs w:val="21"/>
              </w:rPr>
            </w:pPr>
            <w:r>
              <w:rPr>
                <w:rFonts w:hint="eastAsia" w:ascii="Times New Roman" w:eastAsia="仿宋"/>
                <w:szCs w:val="21"/>
              </w:rPr>
              <w:t>H</w:t>
            </w:r>
            <w:r>
              <w:rPr>
                <w:rFonts w:ascii="Times New Roman" w:eastAsia="仿宋"/>
                <w:szCs w:val="21"/>
              </w:rPr>
              <w:t>W09</w:t>
            </w:r>
          </w:p>
        </w:tc>
        <w:tc>
          <w:tcPr>
            <w:tcW w:w="547" w:type="pct"/>
            <w:tcBorders>
              <w:left w:val="single" w:color="auto" w:sz="4" w:space="0"/>
              <w:right w:val="single" w:color="auto" w:sz="4" w:space="0"/>
            </w:tcBorders>
            <w:vAlign w:val="center"/>
          </w:tcPr>
          <w:p w14:paraId="41C5547C">
            <w:pPr>
              <w:topLinePunct/>
              <w:adjustRightInd w:val="0"/>
              <w:snapToGrid w:val="0"/>
              <w:jc w:val="center"/>
              <w:rPr>
                <w:rFonts w:ascii="Times New Roman" w:eastAsia="仿宋"/>
                <w:szCs w:val="21"/>
              </w:rPr>
            </w:pPr>
            <w:r>
              <w:rPr>
                <w:rFonts w:hint="eastAsia" w:ascii="Times New Roman" w:eastAsia="仿宋"/>
                <w:szCs w:val="21"/>
              </w:rPr>
              <w:t>9</w:t>
            </w:r>
            <w:r>
              <w:rPr>
                <w:rFonts w:ascii="Times New Roman" w:eastAsia="仿宋"/>
                <w:szCs w:val="21"/>
              </w:rPr>
              <w:t>00-007-09</w:t>
            </w:r>
          </w:p>
        </w:tc>
        <w:tc>
          <w:tcPr>
            <w:tcW w:w="678" w:type="pct"/>
            <w:tcBorders>
              <w:top w:val="single" w:color="auto" w:sz="4" w:space="0"/>
              <w:left w:val="single" w:color="auto" w:sz="4" w:space="0"/>
              <w:right w:val="single" w:color="auto" w:sz="4" w:space="0"/>
            </w:tcBorders>
            <w:vAlign w:val="center"/>
          </w:tcPr>
          <w:p w14:paraId="65134776">
            <w:pPr>
              <w:topLinePunct/>
              <w:adjustRightInd w:val="0"/>
              <w:snapToGrid w:val="0"/>
              <w:jc w:val="center"/>
              <w:rPr>
                <w:rFonts w:ascii="Times New Roman" w:eastAsia="仿宋"/>
                <w:szCs w:val="21"/>
              </w:rPr>
            </w:pPr>
            <w:r>
              <w:rPr>
                <w:rFonts w:hint="eastAsia" w:ascii="Times New Roman" w:eastAsia="仿宋"/>
                <w:szCs w:val="21"/>
              </w:rPr>
              <w:t>废气处理</w:t>
            </w:r>
          </w:p>
        </w:tc>
        <w:tc>
          <w:tcPr>
            <w:tcW w:w="426" w:type="pct"/>
            <w:tcBorders>
              <w:top w:val="single" w:color="auto" w:sz="4" w:space="0"/>
              <w:left w:val="single" w:color="auto" w:sz="4" w:space="0"/>
              <w:right w:val="single" w:color="auto" w:sz="4" w:space="0"/>
            </w:tcBorders>
            <w:vAlign w:val="center"/>
          </w:tcPr>
          <w:p w14:paraId="366F55EA">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top w:val="single" w:color="auto" w:sz="4" w:space="0"/>
              <w:left w:val="single" w:color="auto" w:sz="4" w:space="0"/>
              <w:right w:val="single" w:color="auto" w:sz="4" w:space="0"/>
            </w:tcBorders>
            <w:vAlign w:val="center"/>
          </w:tcPr>
          <w:p w14:paraId="2F378CFF">
            <w:pPr>
              <w:topLinePunct/>
              <w:adjustRightInd w:val="0"/>
              <w:snapToGrid w:val="0"/>
              <w:jc w:val="center"/>
              <w:rPr>
                <w:rFonts w:ascii="Times New Roman" w:eastAsia="仿宋"/>
                <w:szCs w:val="21"/>
              </w:rPr>
            </w:pPr>
            <w:r>
              <w:rPr>
                <w:rFonts w:hint="eastAsia" w:ascii="Times New Roman" w:eastAsia="仿宋"/>
                <w:szCs w:val="21"/>
              </w:rPr>
              <w:t>7.</w:t>
            </w:r>
            <w:r>
              <w:rPr>
                <w:rFonts w:ascii="Times New Roman" w:eastAsia="仿宋"/>
                <w:szCs w:val="21"/>
              </w:rPr>
              <w:t>5</w:t>
            </w:r>
          </w:p>
        </w:tc>
        <w:tc>
          <w:tcPr>
            <w:tcW w:w="338" w:type="pct"/>
            <w:tcBorders>
              <w:top w:val="single" w:color="auto" w:sz="4" w:space="0"/>
              <w:left w:val="single" w:color="auto" w:sz="4" w:space="0"/>
              <w:right w:val="single" w:color="auto" w:sz="4" w:space="0"/>
            </w:tcBorders>
            <w:vAlign w:val="center"/>
          </w:tcPr>
          <w:p w14:paraId="063479BB">
            <w:pPr>
              <w:topLinePunct/>
              <w:adjustRightInd w:val="0"/>
              <w:snapToGrid w:val="0"/>
              <w:jc w:val="center"/>
              <w:rPr>
                <w:rFonts w:ascii="Times New Roman" w:eastAsia="仿宋"/>
                <w:szCs w:val="21"/>
              </w:rPr>
            </w:pPr>
            <w:r>
              <w:rPr>
                <w:rFonts w:hint="eastAsia" w:ascii="Times New Roman" w:eastAsia="仿宋"/>
                <w:szCs w:val="21"/>
              </w:rPr>
              <w:t>10</w:t>
            </w:r>
          </w:p>
        </w:tc>
        <w:tc>
          <w:tcPr>
            <w:tcW w:w="446" w:type="pct"/>
            <w:tcBorders>
              <w:top w:val="single" w:color="auto" w:sz="4" w:space="0"/>
              <w:left w:val="single" w:color="auto" w:sz="4" w:space="0"/>
              <w:right w:val="single" w:color="auto" w:sz="4" w:space="0"/>
            </w:tcBorders>
            <w:vAlign w:val="center"/>
          </w:tcPr>
          <w:p w14:paraId="34FCF0DD">
            <w:pPr>
              <w:topLinePunct/>
              <w:adjustRightInd w:val="0"/>
              <w:snapToGrid w:val="0"/>
              <w:jc w:val="center"/>
              <w:rPr>
                <w:rFonts w:ascii="Times New Roman" w:eastAsia="仿宋"/>
                <w:szCs w:val="21"/>
              </w:rPr>
            </w:pPr>
            <w:r>
              <w:rPr>
                <w:rFonts w:hint="eastAsia" w:ascii="Times New Roman" w:eastAsia="仿宋"/>
                <w:szCs w:val="21"/>
              </w:rPr>
              <w:t>桶装</w:t>
            </w:r>
          </w:p>
        </w:tc>
      </w:tr>
      <w:tr w14:paraId="132A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624AA8D6">
            <w:pPr>
              <w:topLinePunct/>
              <w:adjustRightInd w:val="0"/>
              <w:snapToGrid w:val="0"/>
              <w:jc w:val="center"/>
              <w:rPr>
                <w:rFonts w:ascii="Times New Roman" w:eastAsia="仿宋"/>
                <w:szCs w:val="21"/>
              </w:rPr>
            </w:pPr>
            <w:r>
              <w:rPr>
                <w:rFonts w:hint="eastAsia" w:ascii="Times New Roman" w:eastAsia="仿宋"/>
                <w:szCs w:val="21"/>
              </w:rPr>
              <w:t>4</w:t>
            </w:r>
          </w:p>
        </w:tc>
        <w:tc>
          <w:tcPr>
            <w:tcW w:w="319" w:type="pct"/>
            <w:vMerge w:val="continue"/>
            <w:tcBorders>
              <w:left w:val="single" w:color="auto" w:sz="4" w:space="0"/>
              <w:right w:val="single" w:color="auto" w:sz="4" w:space="0"/>
            </w:tcBorders>
            <w:vAlign w:val="center"/>
          </w:tcPr>
          <w:p w14:paraId="35594D50">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581C0A2B">
            <w:pPr>
              <w:topLinePunct/>
              <w:adjustRightInd w:val="0"/>
              <w:snapToGrid w:val="0"/>
              <w:jc w:val="center"/>
              <w:rPr>
                <w:rFonts w:ascii="Times New Roman" w:eastAsia="仿宋"/>
                <w:szCs w:val="21"/>
              </w:rPr>
            </w:pPr>
            <w:r>
              <w:rPr>
                <w:rFonts w:ascii="Times New Roman" w:eastAsia="仿宋"/>
                <w:szCs w:val="21"/>
              </w:rPr>
              <w:t>漆渣</w:t>
            </w:r>
          </w:p>
        </w:tc>
        <w:tc>
          <w:tcPr>
            <w:tcW w:w="550" w:type="pct"/>
            <w:tcBorders>
              <w:left w:val="single" w:color="auto" w:sz="4" w:space="0"/>
              <w:right w:val="single" w:color="auto" w:sz="4" w:space="0"/>
            </w:tcBorders>
            <w:vAlign w:val="center"/>
          </w:tcPr>
          <w:p w14:paraId="75B7D395">
            <w:pPr>
              <w:topLinePunct/>
              <w:adjustRightInd w:val="0"/>
              <w:snapToGrid w:val="0"/>
              <w:jc w:val="center"/>
              <w:rPr>
                <w:rFonts w:ascii="Times New Roman" w:eastAsia="仿宋"/>
                <w:szCs w:val="21"/>
              </w:rPr>
            </w:pPr>
            <w:r>
              <w:rPr>
                <w:rFonts w:hint="eastAsia" w:ascii="Times New Roman" w:eastAsia="仿宋"/>
                <w:szCs w:val="21"/>
              </w:rPr>
              <w:t>21.44</w:t>
            </w:r>
          </w:p>
        </w:tc>
        <w:tc>
          <w:tcPr>
            <w:tcW w:w="449" w:type="pct"/>
            <w:tcBorders>
              <w:left w:val="single" w:color="auto" w:sz="4" w:space="0"/>
              <w:right w:val="single" w:color="auto" w:sz="4" w:space="0"/>
            </w:tcBorders>
            <w:vAlign w:val="center"/>
          </w:tcPr>
          <w:p w14:paraId="23D55585">
            <w:pPr>
              <w:topLinePunct/>
              <w:adjustRightInd w:val="0"/>
              <w:snapToGrid w:val="0"/>
              <w:jc w:val="center"/>
              <w:rPr>
                <w:rFonts w:ascii="Times New Roman" w:eastAsia="仿宋"/>
                <w:szCs w:val="21"/>
              </w:rPr>
            </w:pPr>
            <w:r>
              <w:rPr>
                <w:rFonts w:ascii="Times New Roman" w:eastAsia="仿宋"/>
                <w:szCs w:val="21"/>
              </w:rPr>
              <w:t>HW12</w:t>
            </w:r>
          </w:p>
        </w:tc>
        <w:tc>
          <w:tcPr>
            <w:tcW w:w="547" w:type="pct"/>
            <w:tcBorders>
              <w:left w:val="single" w:color="auto" w:sz="4" w:space="0"/>
              <w:right w:val="single" w:color="auto" w:sz="4" w:space="0"/>
            </w:tcBorders>
            <w:vAlign w:val="center"/>
          </w:tcPr>
          <w:p w14:paraId="235F808A">
            <w:pPr>
              <w:topLinePunct/>
              <w:adjustRightInd w:val="0"/>
              <w:snapToGrid w:val="0"/>
              <w:jc w:val="center"/>
              <w:rPr>
                <w:rFonts w:ascii="Times New Roman" w:eastAsia="仿宋"/>
                <w:szCs w:val="21"/>
              </w:rPr>
            </w:pPr>
            <w:r>
              <w:rPr>
                <w:rFonts w:ascii="Times New Roman" w:eastAsia="仿宋"/>
                <w:szCs w:val="21"/>
              </w:rPr>
              <w:t>900-252-12</w:t>
            </w:r>
          </w:p>
        </w:tc>
        <w:tc>
          <w:tcPr>
            <w:tcW w:w="678" w:type="pct"/>
            <w:tcBorders>
              <w:top w:val="single" w:color="auto" w:sz="4" w:space="0"/>
              <w:left w:val="single" w:color="auto" w:sz="4" w:space="0"/>
              <w:right w:val="single" w:color="auto" w:sz="4" w:space="0"/>
            </w:tcBorders>
            <w:vAlign w:val="center"/>
          </w:tcPr>
          <w:p w14:paraId="65C14A13">
            <w:pPr>
              <w:topLinePunct/>
              <w:adjustRightInd w:val="0"/>
              <w:snapToGrid w:val="0"/>
              <w:jc w:val="center"/>
              <w:rPr>
                <w:rFonts w:ascii="Times New Roman" w:eastAsia="仿宋"/>
                <w:szCs w:val="21"/>
              </w:rPr>
            </w:pPr>
            <w:r>
              <w:rPr>
                <w:rFonts w:hint="eastAsia" w:ascii="Times New Roman" w:eastAsia="仿宋"/>
                <w:szCs w:val="21"/>
              </w:rPr>
              <w:t>喷漆</w:t>
            </w:r>
          </w:p>
        </w:tc>
        <w:tc>
          <w:tcPr>
            <w:tcW w:w="426" w:type="pct"/>
            <w:tcBorders>
              <w:top w:val="single" w:color="auto" w:sz="4" w:space="0"/>
              <w:left w:val="single" w:color="auto" w:sz="4" w:space="0"/>
              <w:right w:val="single" w:color="auto" w:sz="4" w:space="0"/>
            </w:tcBorders>
            <w:vAlign w:val="center"/>
          </w:tcPr>
          <w:p w14:paraId="646C1A88">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top w:val="single" w:color="auto" w:sz="4" w:space="0"/>
              <w:left w:val="single" w:color="auto" w:sz="4" w:space="0"/>
              <w:right w:val="single" w:color="auto" w:sz="4" w:space="0"/>
            </w:tcBorders>
            <w:vAlign w:val="center"/>
          </w:tcPr>
          <w:p w14:paraId="5D68D87E">
            <w:pPr>
              <w:topLinePunct/>
              <w:adjustRightInd w:val="0"/>
              <w:snapToGrid w:val="0"/>
              <w:jc w:val="center"/>
              <w:rPr>
                <w:rFonts w:ascii="Times New Roman" w:eastAsia="仿宋"/>
                <w:szCs w:val="21"/>
              </w:rPr>
            </w:pPr>
            <w:r>
              <w:rPr>
                <w:rFonts w:hint="eastAsia" w:ascii="Times New Roman" w:eastAsia="仿宋"/>
                <w:szCs w:val="21"/>
              </w:rPr>
              <w:t>5</w:t>
            </w:r>
            <w:r>
              <w:rPr>
                <w:rFonts w:ascii="Times New Roman" w:eastAsia="仿宋"/>
                <w:szCs w:val="21"/>
              </w:rPr>
              <w:t>.36</w:t>
            </w:r>
          </w:p>
        </w:tc>
        <w:tc>
          <w:tcPr>
            <w:tcW w:w="338" w:type="pct"/>
            <w:tcBorders>
              <w:top w:val="single" w:color="auto" w:sz="4" w:space="0"/>
              <w:left w:val="single" w:color="auto" w:sz="4" w:space="0"/>
              <w:right w:val="single" w:color="auto" w:sz="4" w:space="0"/>
            </w:tcBorders>
            <w:vAlign w:val="center"/>
          </w:tcPr>
          <w:p w14:paraId="39B36313">
            <w:pPr>
              <w:adjustRightInd w:val="0"/>
              <w:snapToGrid w:val="0"/>
              <w:jc w:val="center"/>
              <w:rPr>
                <w:rFonts w:ascii="Times New Roman" w:eastAsia="仿宋"/>
                <w:bCs/>
                <w:szCs w:val="24"/>
              </w:rPr>
            </w:pPr>
            <w:r>
              <w:rPr>
                <w:rFonts w:hint="eastAsia" w:ascii="Times New Roman" w:eastAsia="仿宋"/>
                <w:bCs/>
                <w:szCs w:val="24"/>
              </w:rPr>
              <w:t>10</w:t>
            </w:r>
          </w:p>
        </w:tc>
        <w:tc>
          <w:tcPr>
            <w:tcW w:w="446" w:type="pct"/>
            <w:tcBorders>
              <w:top w:val="single" w:color="auto" w:sz="4" w:space="0"/>
              <w:left w:val="single" w:color="auto" w:sz="4" w:space="0"/>
              <w:right w:val="single" w:color="auto" w:sz="4" w:space="0"/>
            </w:tcBorders>
            <w:vAlign w:val="center"/>
          </w:tcPr>
          <w:p w14:paraId="1B27740E">
            <w:pPr>
              <w:topLinePunct/>
              <w:adjustRightInd w:val="0"/>
              <w:snapToGrid w:val="0"/>
              <w:jc w:val="center"/>
              <w:rPr>
                <w:rFonts w:ascii="Times New Roman" w:eastAsia="仿宋"/>
                <w:szCs w:val="21"/>
              </w:rPr>
            </w:pPr>
            <w:r>
              <w:rPr>
                <w:rFonts w:hint="eastAsia" w:ascii="Times New Roman" w:eastAsia="仿宋"/>
                <w:szCs w:val="21"/>
              </w:rPr>
              <w:t>袋装</w:t>
            </w:r>
          </w:p>
        </w:tc>
      </w:tr>
      <w:tr w14:paraId="2D8B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22EE3360">
            <w:pPr>
              <w:topLinePunct/>
              <w:adjustRightInd w:val="0"/>
              <w:snapToGrid w:val="0"/>
              <w:jc w:val="center"/>
              <w:rPr>
                <w:rFonts w:ascii="Times New Roman" w:eastAsia="仿宋"/>
                <w:szCs w:val="21"/>
              </w:rPr>
            </w:pPr>
            <w:r>
              <w:rPr>
                <w:rFonts w:hint="eastAsia" w:ascii="Times New Roman" w:eastAsia="仿宋"/>
                <w:szCs w:val="21"/>
              </w:rPr>
              <w:t>5</w:t>
            </w:r>
          </w:p>
        </w:tc>
        <w:tc>
          <w:tcPr>
            <w:tcW w:w="319" w:type="pct"/>
            <w:vMerge w:val="continue"/>
            <w:tcBorders>
              <w:left w:val="single" w:color="auto" w:sz="4" w:space="0"/>
              <w:right w:val="single" w:color="auto" w:sz="4" w:space="0"/>
            </w:tcBorders>
            <w:vAlign w:val="center"/>
          </w:tcPr>
          <w:p w14:paraId="31EF5A0C">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7AFFCE3D">
            <w:pPr>
              <w:topLinePunct/>
              <w:adjustRightInd w:val="0"/>
              <w:snapToGrid w:val="0"/>
              <w:jc w:val="center"/>
              <w:rPr>
                <w:rFonts w:ascii="Times New Roman" w:eastAsia="仿宋"/>
                <w:szCs w:val="21"/>
              </w:rPr>
            </w:pPr>
            <w:r>
              <w:rPr>
                <w:rFonts w:hint="eastAsia" w:ascii="Times New Roman" w:eastAsia="仿宋"/>
                <w:szCs w:val="21"/>
              </w:rPr>
              <w:t>废清洗液</w:t>
            </w:r>
          </w:p>
        </w:tc>
        <w:tc>
          <w:tcPr>
            <w:tcW w:w="550" w:type="pct"/>
            <w:tcBorders>
              <w:left w:val="single" w:color="auto" w:sz="4" w:space="0"/>
              <w:right w:val="single" w:color="auto" w:sz="4" w:space="0"/>
            </w:tcBorders>
            <w:vAlign w:val="center"/>
          </w:tcPr>
          <w:p w14:paraId="48452516">
            <w:pPr>
              <w:topLinePunct/>
              <w:adjustRightInd w:val="0"/>
              <w:snapToGrid w:val="0"/>
              <w:jc w:val="center"/>
              <w:rPr>
                <w:rFonts w:ascii="Times New Roman" w:eastAsia="仿宋"/>
                <w:szCs w:val="21"/>
              </w:rPr>
            </w:pPr>
            <w:r>
              <w:rPr>
                <w:rFonts w:hint="eastAsia" w:ascii="Times New Roman" w:eastAsia="仿宋"/>
                <w:szCs w:val="21"/>
              </w:rPr>
              <w:t>4.5</w:t>
            </w:r>
          </w:p>
        </w:tc>
        <w:tc>
          <w:tcPr>
            <w:tcW w:w="449" w:type="pct"/>
            <w:tcBorders>
              <w:left w:val="single" w:color="auto" w:sz="4" w:space="0"/>
              <w:right w:val="single" w:color="auto" w:sz="4" w:space="0"/>
            </w:tcBorders>
            <w:vAlign w:val="center"/>
          </w:tcPr>
          <w:p w14:paraId="38DD3881">
            <w:pPr>
              <w:topLinePunct/>
              <w:adjustRightInd w:val="0"/>
              <w:snapToGrid w:val="0"/>
              <w:jc w:val="center"/>
              <w:rPr>
                <w:rFonts w:ascii="Times New Roman" w:eastAsia="仿宋"/>
                <w:szCs w:val="21"/>
              </w:rPr>
            </w:pPr>
            <w:r>
              <w:rPr>
                <w:rFonts w:hint="eastAsia" w:ascii="Times New Roman" w:eastAsia="仿宋"/>
                <w:szCs w:val="21"/>
              </w:rPr>
              <w:t>HW12</w:t>
            </w:r>
          </w:p>
        </w:tc>
        <w:tc>
          <w:tcPr>
            <w:tcW w:w="547" w:type="pct"/>
            <w:tcBorders>
              <w:left w:val="single" w:color="auto" w:sz="4" w:space="0"/>
              <w:right w:val="single" w:color="auto" w:sz="4" w:space="0"/>
            </w:tcBorders>
            <w:vAlign w:val="center"/>
          </w:tcPr>
          <w:p w14:paraId="541EB7C9">
            <w:pPr>
              <w:topLinePunct/>
              <w:adjustRightInd w:val="0"/>
              <w:snapToGrid w:val="0"/>
              <w:jc w:val="center"/>
              <w:rPr>
                <w:rFonts w:ascii="Times New Roman" w:eastAsia="仿宋"/>
                <w:szCs w:val="21"/>
              </w:rPr>
            </w:pPr>
            <w:r>
              <w:rPr>
                <w:rFonts w:hint="eastAsia" w:ascii="Times New Roman" w:eastAsia="仿宋"/>
                <w:szCs w:val="21"/>
              </w:rPr>
              <w:t>900-256-12</w:t>
            </w:r>
          </w:p>
        </w:tc>
        <w:tc>
          <w:tcPr>
            <w:tcW w:w="678" w:type="pct"/>
            <w:tcBorders>
              <w:left w:val="single" w:color="auto" w:sz="4" w:space="0"/>
              <w:right w:val="single" w:color="auto" w:sz="4" w:space="0"/>
            </w:tcBorders>
            <w:vAlign w:val="center"/>
          </w:tcPr>
          <w:p w14:paraId="59355C49">
            <w:pPr>
              <w:topLinePunct/>
              <w:adjustRightInd w:val="0"/>
              <w:snapToGrid w:val="0"/>
              <w:jc w:val="center"/>
              <w:rPr>
                <w:rFonts w:ascii="Times New Roman" w:eastAsia="仿宋"/>
                <w:szCs w:val="21"/>
              </w:rPr>
            </w:pPr>
            <w:r>
              <w:rPr>
                <w:rFonts w:hint="eastAsia" w:ascii="Times New Roman" w:eastAsia="仿宋"/>
                <w:szCs w:val="21"/>
              </w:rPr>
              <w:t>喷枪清洗</w:t>
            </w:r>
          </w:p>
        </w:tc>
        <w:tc>
          <w:tcPr>
            <w:tcW w:w="426" w:type="pct"/>
            <w:tcBorders>
              <w:left w:val="single" w:color="auto" w:sz="4" w:space="0"/>
              <w:right w:val="single" w:color="auto" w:sz="4" w:space="0"/>
            </w:tcBorders>
            <w:vAlign w:val="center"/>
          </w:tcPr>
          <w:p w14:paraId="2FA49035">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3B1B87EC">
            <w:pPr>
              <w:topLinePunct/>
              <w:adjustRightInd w:val="0"/>
              <w:snapToGrid w:val="0"/>
              <w:jc w:val="center"/>
              <w:rPr>
                <w:rFonts w:ascii="Times New Roman" w:eastAsia="仿宋"/>
                <w:szCs w:val="21"/>
              </w:rPr>
            </w:pPr>
            <w:r>
              <w:rPr>
                <w:rFonts w:ascii="Times New Roman" w:eastAsia="仿宋"/>
                <w:szCs w:val="21"/>
              </w:rPr>
              <w:t>1.125</w:t>
            </w:r>
          </w:p>
        </w:tc>
        <w:tc>
          <w:tcPr>
            <w:tcW w:w="338" w:type="pct"/>
            <w:tcBorders>
              <w:left w:val="single" w:color="auto" w:sz="4" w:space="0"/>
              <w:right w:val="single" w:color="auto" w:sz="4" w:space="0"/>
            </w:tcBorders>
            <w:vAlign w:val="center"/>
          </w:tcPr>
          <w:p w14:paraId="0804430D">
            <w:pPr>
              <w:adjustRightInd w:val="0"/>
              <w:snapToGrid w:val="0"/>
              <w:jc w:val="center"/>
              <w:rPr>
                <w:rFonts w:ascii="Times New Roman" w:eastAsia="仿宋"/>
                <w:bCs/>
                <w:szCs w:val="24"/>
              </w:rPr>
            </w:pPr>
            <w:r>
              <w:rPr>
                <w:rFonts w:hint="eastAsia" w:ascii="Times New Roman" w:eastAsia="仿宋"/>
                <w:bCs/>
                <w:szCs w:val="24"/>
              </w:rPr>
              <w:t>5</w:t>
            </w:r>
          </w:p>
        </w:tc>
        <w:tc>
          <w:tcPr>
            <w:tcW w:w="446" w:type="pct"/>
            <w:tcBorders>
              <w:left w:val="single" w:color="auto" w:sz="4" w:space="0"/>
              <w:right w:val="single" w:color="auto" w:sz="4" w:space="0"/>
            </w:tcBorders>
            <w:vAlign w:val="center"/>
          </w:tcPr>
          <w:p w14:paraId="3D1386A0">
            <w:pPr>
              <w:topLinePunct/>
              <w:adjustRightInd w:val="0"/>
              <w:snapToGrid w:val="0"/>
              <w:jc w:val="center"/>
              <w:rPr>
                <w:rFonts w:ascii="Times New Roman" w:eastAsia="仿宋"/>
                <w:szCs w:val="21"/>
              </w:rPr>
            </w:pPr>
            <w:r>
              <w:rPr>
                <w:rFonts w:hint="eastAsia" w:ascii="Times New Roman" w:eastAsia="仿宋"/>
                <w:szCs w:val="21"/>
              </w:rPr>
              <w:t>桶装</w:t>
            </w:r>
          </w:p>
        </w:tc>
      </w:tr>
      <w:tr w14:paraId="4AA3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0DA32CF3">
            <w:pPr>
              <w:topLinePunct/>
              <w:adjustRightInd w:val="0"/>
              <w:snapToGrid w:val="0"/>
              <w:jc w:val="center"/>
              <w:rPr>
                <w:rFonts w:ascii="Times New Roman" w:eastAsia="仿宋"/>
                <w:szCs w:val="21"/>
              </w:rPr>
            </w:pPr>
            <w:r>
              <w:rPr>
                <w:rFonts w:hint="eastAsia" w:ascii="Times New Roman" w:eastAsia="仿宋"/>
                <w:szCs w:val="21"/>
              </w:rPr>
              <w:t>6</w:t>
            </w:r>
          </w:p>
        </w:tc>
        <w:tc>
          <w:tcPr>
            <w:tcW w:w="319" w:type="pct"/>
            <w:vMerge w:val="continue"/>
            <w:tcBorders>
              <w:left w:val="single" w:color="auto" w:sz="4" w:space="0"/>
              <w:right w:val="single" w:color="auto" w:sz="4" w:space="0"/>
            </w:tcBorders>
            <w:vAlign w:val="center"/>
          </w:tcPr>
          <w:p w14:paraId="0BE5D49B">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7514B02B">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包装</w:t>
            </w:r>
            <w:r>
              <w:rPr>
                <w:rFonts w:ascii="Times New Roman" w:eastAsia="仿宋"/>
                <w:szCs w:val="21"/>
              </w:rPr>
              <w:t>桶</w:t>
            </w:r>
          </w:p>
        </w:tc>
        <w:tc>
          <w:tcPr>
            <w:tcW w:w="550" w:type="pct"/>
            <w:tcBorders>
              <w:left w:val="single" w:color="auto" w:sz="4" w:space="0"/>
              <w:right w:val="single" w:color="auto" w:sz="4" w:space="0"/>
            </w:tcBorders>
            <w:vAlign w:val="center"/>
          </w:tcPr>
          <w:p w14:paraId="3ABA24B2">
            <w:pPr>
              <w:topLinePunct/>
              <w:adjustRightInd w:val="0"/>
              <w:snapToGrid w:val="0"/>
              <w:jc w:val="center"/>
              <w:rPr>
                <w:rFonts w:ascii="Times New Roman" w:eastAsia="仿宋"/>
                <w:szCs w:val="21"/>
              </w:rPr>
            </w:pPr>
            <w:r>
              <w:rPr>
                <w:rFonts w:hint="eastAsia" w:ascii="Times New Roman" w:eastAsia="仿宋"/>
                <w:szCs w:val="21"/>
              </w:rPr>
              <w:t>12.46</w:t>
            </w:r>
          </w:p>
        </w:tc>
        <w:tc>
          <w:tcPr>
            <w:tcW w:w="449" w:type="pct"/>
            <w:tcBorders>
              <w:left w:val="single" w:color="auto" w:sz="4" w:space="0"/>
              <w:right w:val="single" w:color="auto" w:sz="4" w:space="0"/>
            </w:tcBorders>
            <w:vAlign w:val="center"/>
          </w:tcPr>
          <w:p w14:paraId="6E8128BB">
            <w:pPr>
              <w:topLinePunct/>
              <w:adjustRightInd w:val="0"/>
              <w:snapToGrid w:val="0"/>
              <w:jc w:val="center"/>
              <w:rPr>
                <w:rFonts w:ascii="Times New Roman" w:eastAsia="仿宋"/>
                <w:szCs w:val="21"/>
              </w:rPr>
            </w:pPr>
            <w:r>
              <w:rPr>
                <w:rFonts w:ascii="Times New Roman" w:eastAsia="仿宋"/>
                <w:szCs w:val="21"/>
              </w:rPr>
              <w:t>HW49</w:t>
            </w:r>
          </w:p>
        </w:tc>
        <w:tc>
          <w:tcPr>
            <w:tcW w:w="547" w:type="pct"/>
            <w:tcBorders>
              <w:left w:val="single" w:color="auto" w:sz="4" w:space="0"/>
              <w:right w:val="single" w:color="auto" w:sz="4" w:space="0"/>
            </w:tcBorders>
            <w:vAlign w:val="center"/>
          </w:tcPr>
          <w:p w14:paraId="180CD605">
            <w:pPr>
              <w:topLinePunct/>
              <w:adjustRightInd w:val="0"/>
              <w:snapToGrid w:val="0"/>
              <w:jc w:val="center"/>
              <w:rPr>
                <w:rFonts w:ascii="Times New Roman" w:eastAsia="仿宋"/>
                <w:szCs w:val="21"/>
              </w:rPr>
            </w:pPr>
            <w:r>
              <w:rPr>
                <w:rFonts w:ascii="Times New Roman" w:eastAsia="仿宋"/>
                <w:szCs w:val="21"/>
              </w:rPr>
              <w:t>900-041-49</w:t>
            </w:r>
          </w:p>
        </w:tc>
        <w:tc>
          <w:tcPr>
            <w:tcW w:w="678" w:type="pct"/>
            <w:tcBorders>
              <w:left w:val="single" w:color="auto" w:sz="4" w:space="0"/>
              <w:right w:val="single" w:color="auto" w:sz="4" w:space="0"/>
            </w:tcBorders>
            <w:vAlign w:val="center"/>
          </w:tcPr>
          <w:p w14:paraId="36C62A15">
            <w:pPr>
              <w:topLinePunct/>
              <w:adjustRightInd w:val="0"/>
              <w:snapToGrid w:val="0"/>
              <w:jc w:val="center"/>
              <w:rPr>
                <w:rFonts w:ascii="Times New Roman" w:eastAsia="仿宋"/>
                <w:szCs w:val="21"/>
              </w:rPr>
            </w:pPr>
            <w:r>
              <w:rPr>
                <w:rFonts w:hint="eastAsia" w:ascii="Times New Roman" w:eastAsia="仿宋"/>
                <w:szCs w:val="21"/>
              </w:rPr>
              <w:t>原料使用</w:t>
            </w:r>
          </w:p>
        </w:tc>
        <w:tc>
          <w:tcPr>
            <w:tcW w:w="426" w:type="pct"/>
            <w:tcBorders>
              <w:left w:val="single" w:color="auto" w:sz="4" w:space="0"/>
              <w:right w:val="single" w:color="auto" w:sz="4" w:space="0"/>
            </w:tcBorders>
            <w:vAlign w:val="center"/>
          </w:tcPr>
          <w:p w14:paraId="11087254">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1BFD9964">
            <w:pPr>
              <w:topLinePunct/>
              <w:adjustRightInd w:val="0"/>
              <w:snapToGrid w:val="0"/>
              <w:jc w:val="center"/>
              <w:rPr>
                <w:rFonts w:ascii="Times New Roman" w:eastAsia="仿宋"/>
                <w:szCs w:val="21"/>
              </w:rPr>
            </w:pPr>
            <w:r>
              <w:rPr>
                <w:rFonts w:hint="eastAsia" w:ascii="Times New Roman" w:eastAsia="仿宋"/>
                <w:szCs w:val="21"/>
              </w:rPr>
              <w:t>3.</w:t>
            </w:r>
            <w:r>
              <w:rPr>
                <w:rFonts w:ascii="Times New Roman" w:eastAsia="仿宋"/>
                <w:szCs w:val="21"/>
              </w:rPr>
              <w:t>115</w:t>
            </w:r>
          </w:p>
        </w:tc>
        <w:tc>
          <w:tcPr>
            <w:tcW w:w="338" w:type="pct"/>
            <w:tcBorders>
              <w:left w:val="single" w:color="auto" w:sz="4" w:space="0"/>
              <w:right w:val="single" w:color="auto" w:sz="4" w:space="0"/>
            </w:tcBorders>
            <w:vAlign w:val="center"/>
          </w:tcPr>
          <w:p w14:paraId="51F2695F">
            <w:pPr>
              <w:adjustRightInd w:val="0"/>
              <w:snapToGrid w:val="0"/>
              <w:jc w:val="center"/>
              <w:rPr>
                <w:rFonts w:ascii="Times New Roman" w:eastAsia="仿宋"/>
                <w:bCs/>
                <w:szCs w:val="24"/>
              </w:rPr>
            </w:pPr>
            <w:r>
              <w:rPr>
                <w:rFonts w:hint="eastAsia" w:ascii="Times New Roman" w:eastAsia="仿宋"/>
                <w:bCs/>
                <w:szCs w:val="24"/>
              </w:rPr>
              <w:t>5</w:t>
            </w:r>
          </w:p>
        </w:tc>
        <w:tc>
          <w:tcPr>
            <w:tcW w:w="446" w:type="pct"/>
            <w:tcBorders>
              <w:left w:val="single" w:color="auto" w:sz="4" w:space="0"/>
              <w:right w:val="single" w:color="auto" w:sz="4" w:space="0"/>
            </w:tcBorders>
            <w:vAlign w:val="center"/>
          </w:tcPr>
          <w:p w14:paraId="463B6656">
            <w:pPr>
              <w:topLinePunct/>
              <w:adjustRightInd w:val="0"/>
              <w:snapToGrid w:val="0"/>
              <w:jc w:val="center"/>
              <w:rPr>
                <w:rFonts w:ascii="Times New Roman" w:eastAsia="仿宋"/>
                <w:szCs w:val="21"/>
              </w:rPr>
            </w:pPr>
            <w:r>
              <w:rPr>
                <w:rFonts w:hint="eastAsia" w:ascii="Times New Roman" w:eastAsia="仿宋"/>
                <w:szCs w:val="21"/>
              </w:rPr>
              <w:t>桶装</w:t>
            </w:r>
          </w:p>
        </w:tc>
      </w:tr>
      <w:tr w14:paraId="572F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567637E1">
            <w:pPr>
              <w:topLinePunct/>
              <w:adjustRightInd w:val="0"/>
              <w:snapToGrid w:val="0"/>
              <w:jc w:val="center"/>
              <w:rPr>
                <w:rFonts w:ascii="Times New Roman" w:eastAsia="仿宋"/>
                <w:szCs w:val="21"/>
              </w:rPr>
            </w:pPr>
            <w:r>
              <w:rPr>
                <w:rFonts w:hint="eastAsia" w:ascii="Times New Roman" w:eastAsia="仿宋"/>
                <w:szCs w:val="21"/>
              </w:rPr>
              <w:t>7</w:t>
            </w:r>
          </w:p>
        </w:tc>
        <w:tc>
          <w:tcPr>
            <w:tcW w:w="319" w:type="pct"/>
            <w:vMerge w:val="continue"/>
            <w:tcBorders>
              <w:left w:val="single" w:color="auto" w:sz="4" w:space="0"/>
              <w:right w:val="single" w:color="auto" w:sz="4" w:space="0"/>
            </w:tcBorders>
            <w:vAlign w:val="center"/>
          </w:tcPr>
          <w:p w14:paraId="793DFFD0">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282ACB10">
            <w:pPr>
              <w:topLinePunct/>
              <w:adjustRightInd w:val="0"/>
              <w:snapToGrid w:val="0"/>
              <w:jc w:val="center"/>
              <w:rPr>
                <w:rFonts w:ascii="Times New Roman" w:eastAsia="仿宋"/>
                <w:szCs w:val="21"/>
              </w:rPr>
            </w:pPr>
            <w:r>
              <w:rPr>
                <w:rFonts w:hint="eastAsia" w:ascii="Times New Roman" w:eastAsia="仿宋"/>
                <w:szCs w:val="21"/>
              </w:rPr>
              <w:t>废</w:t>
            </w:r>
            <w:r>
              <w:rPr>
                <w:rFonts w:ascii="Times New Roman" w:eastAsia="仿宋"/>
                <w:szCs w:val="21"/>
              </w:rPr>
              <w:t>手套</w:t>
            </w:r>
          </w:p>
        </w:tc>
        <w:tc>
          <w:tcPr>
            <w:tcW w:w="550" w:type="pct"/>
            <w:tcBorders>
              <w:left w:val="single" w:color="auto" w:sz="4" w:space="0"/>
              <w:right w:val="single" w:color="auto" w:sz="4" w:space="0"/>
            </w:tcBorders>
            <w:vAlign w:val="center"/>
          </w:tcPr>
          <w:p w14:paraId="278E9614">
            <w:pPr>
              <w:topLinePunct/>
              <w:adjustRightInd w:val="0"/>
              <w:snapToGrid w:val="0"/>
              <w:jc w:val="center"/>
              <w:rPr>
                <w:rFonts w:ascii="Times New Roman" w:eastAsia="仿宋"/>
                <w:szCs w:val="21"/>
              </w:rPr>
            </w:pPr>
            <w:r>
              <w:rPr>
                <w:rFonts w:ascii="Times New Roman" w:eastAsia="仿宋"/>
                <w:szCs w:val="21"/>
              </w:rPr>
              <w:t>0.</w:t>
            </w:r>
            <w:r>
              <w:rPr>
                <w:rFonts w:hint="eastAsia" w:ascii="Times New Roman" w:eastAsia="仿宋"/>
                <w:szCs w:val="21"/>
              </w:rPr>
              <w:t>5</w:t>
            </w:r>
          </w:p>
        </w:tc>
        <w:tc>
          <w:tcPr>
            <w:tcW w:w="449" w:type="pct"/>
            <w:tcBorders>
              <w:left w:val="single" w:color="auto" w:sz="4" w:space="0"/>
              <w:right w:val="single" w:color="auto" w:sz="4" w:space="0"/>
            </w:tcBorders>
            <w:vAlign w:val="center"/>
          </w:tcPr>
          <w:p w14:paraId="6DD76451">
            <w:pPr>
              <w:topLinePunct/>
              <w:adjustRightInd w:val="0"/>
              <w:snapToGrid w:val="0"/>
              <w:jc w:val="center"/>
              <w:rPr>
                <w:rFonts w:ascii="Times New Roman" w:eastAsia="仿宋"/>
                <w:szCs w:val="21"/>
              </w:rPr>
            </w:pPr>
            <w:r>
              <w:rPr>
                <w:rFonts w:ascii="Times New Roman" w:eastAsia="仿宋"/>
                <w:szCs w:val="21"/>
              </w:rPr>
              <w:t>HW49</w:t>
            </w:r>
          </w:p>
        </w:tc>
        <w:tc>
          <w:tcPr>
            <w:tcW w:w="547" w:type="pct"/>
            <w:tcBorders>
              <w:left w:val="single" w:color="auto" w:sz="4" w:space="0"/>
              <w:right w:val="single" w:color="auto" w:sz="4" w:space="0"/>
            </w:tcBorders>
            <w:vAlign w:val="center"/>
          </w:tcPr>
          <w:p w14:paraId="278E2043">
            <w:pPr>
              <w:topLinePunct/>
              <w:adjustRightInd w:val="0"/>
              <w:snapToGrid w:val="0"/>
              <w:jc w:val="center"/>
              <w:rPr>
                <w:rFonts w:ascii="Times New Roman" w:eastAsia="仿宋"/>
                <w:szCs w:val="21"/>
              </w:rPr>
            </w:pPr>
            <w:r>
              <w:rPr>
                <w:rFonts w:ascii="Times New Roman" w:eastAsia="仿宋"/>
                <w:szCs w:val="21"/>
              </w:rPr>
              <w:t>900-041-49</w:t>
            </w:r>
          </w:p>
        </w:tc>
        <w:tc>
          <w:tcPr>
            <w:tcW w:w="678" w:type="pct"/>
            <w:tcBorders>
              <w:left w:val="single" w:color="auto" w:sz="4" w:space="0"/>
              <w:right w:val="single" w:color="auto" w:sz="4" w:space="0"/>
            </w:tcBorders>
            <w:vAlign w:val="center"/>
          </w:tcPr>
          <w:p w14:paraId="1A1ADEAB">
            <w:pPr>
              <w:topLinePunct/>
              <w:adjustRightInd w:val="0"/>
              <w:snapToGrid w:val="0"/>
              <w:jc w:val="center"/>
              <w:rPr>
                <w:rFonts w:ascii="Times New Roman" w:eastAsia="仿宋"/>
                <w:szCs w:val="21"/>
              </w:rPr>
            </w:pPr>
            <w:r>
              <w:rPr>
                <w:rFonts w:hint="eastAsia" w:ascii="Times New Roman" w:eastAsia="仿宋"/>
                <w:szCs w:val="21"/>
              </w:rPr>
              <w:t>机加工</w:t>
            </w:r>
          </w:p>
        </w:tc>
        <w:tc>
          <w:tcPr>
            <w:tcW w:w="426" w:type="pct"/>
            <w:tcBorders>
              <w:left w:val="single" w:color="auto" w:sz="4" w:space="0"/>
              <w:right w:val="single" w:color="auto" w:sz="4" w:space="0"/>
            </w:tcBorders>
            <w:vAlign w:val="center"/>
          </w:tcPr>
          <w:p w14:paraId="20849FB1">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1F76B2A7">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.125</w:t>
            </w:r>
          </w:p>
        </w:tc>
        <w:tc>
          <w:tcPr>
            <w:tcW w:w="338" w:type="pct"/>
            <w:tcBorders>
              <w:left w:val="single" w:color="auto" w:sz="4" w:space="0"/>
              <w:right w:val="single" w:color="auto" w:sz="4" w:space="0"/>
            </w:tcBorders>
            <w:vAlign w:val="center"/>
          </w:tcPr>
          <w:p w14:paraId="117D8269">
            <w:pPr>
              <w:adjustRightInd w:val="0"/>
              <w:snapToGrid w:val="0"/>
              <w:jc w:val="center"/>
              <w:rPr>
                <w:rFonts w:ascii="Times New Roman" w:eastAsia="仿宋"/>
                <w:bCs/>
                <w:szCs w:val="24"/>
              </w:rPr>
            </w:pPr>
            <w:r>
              <w:rPr>
                <w:rFonts w:hint="eastAsia" w:ascii="Times New Roman" w:eastAsia="仿宋"/>
                <w:bCs/>
                <w:szCs w:val="24"/>
              </w:rPr>
              <w:t>1</w:t>
            </w:r>
          </w:p>
        </w:tc>
        <w:tc>
          <w:tcPr>
            <w:tcW w:w="446" w:type="pct"/>
            <w:tcBorders>
              <w:left w:val="single" w:color="auto" w:sz="4" w:space="0"/>
              <w:right w:val="single" w:color="auto" w:sz="4" w:space="0"/>
            </w:tcBorders>
            <w:vAlign w:val="center"/>
          </w:tcPr>
          <w:p w14:paraId="1F725C5A">
            <w:pPr>
              <w:topLinePunct/>
              <w:adjustRightInd w:val="0"/>
              <w:snapToGrid w:val="0"/>
              <w:jc w:val="center"/>
              <w:rPr>
                <w:rFonts w:ascii="Times New Roman" w:eastAsia="仿宋"/>
                <w:szCs w:val="21"/>
              </w:rPr>
            </w:pPr>
            <w:r>
              <w:rPr>
                <w:rFonts w:hint="eastAsia" w:ascii="Times New Roman" w:eastAsia="仿宋"/>
                <w:szCs w:val="21"/>
              </w:rPr>
              <w:t>袋装</w:t>
            </w:r>
          </w:p>
        </w:tc>
      </w:tr>
      <w:tr w14:paraId="5944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589A6057">
            <w:pPr>
              <w:topLinePunct/>
              <w:adjustRightInd w:val="0"/>
              <w:snapToGrid w:val="0"/>
              <w:jc w:val="center"/>
              <w:rPr>
                <w:rFonts w:ascii="Times New Roman" w:eastAsia="仿宋"/>
                <w:szCs w:val="21"/>
              </w:rPr>
            </w:pPr>
            <w:r>
              <w:rPr>
                <w:rFonts w:hint="eastAsia" w:ascii="Times New Roman" w:eastAsia="仿宋"/>
                <w:szCs w:val="21"/>
              </w:rPr>
              <w:t>8</w:t>
            </w:r>
          </w:p>
        </w:tc>
        <w:tc>
          <w:tcPr>
            <w:tcW w:w="319" w:type="pct"/>
            <w:vMerge w:val="continue"/>
            <w:tcBorders>
              <w:left w:val="single" w:color="auto" w:sz="4" w:space="0"/>
              <w:right w:val="single" w:color="auto" w:sz="4" w:space="0"/>
            </w:tcBorders>
            <w:vAlign w:val="center"/>
          </w:tcPr>
          <w:p w14:paraId="7AAC458B">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2A61BCFE">
            <w:pPr>
              <w:topLinePunct/>
              <w:adjustRightInd w:val="0"/>
              <w:snapToGrid w:val="0"/>
              <w:jc w:val="center"/>
              <w:rPr>
                <w:rFonts w:ascii="Times New Roman" w:eastAsia="仿宋"/>
                <w:szCs w:val="21"/>
              </w:rPr>
            </w:pPr>
            <w:r>
              <w:rPr>
                <w:rFonts w:ascii="Times New Roman" w:eastAsia="仿宋"/>
                <w:szCs w:val="21"/>
              </w:rPr>
              <w:t>废</w:t>
            </w:r>
            <w:r>
              <w:rPr>
                <w:rFonts w:hint="eastAsia" w:ascii="Times New Roman" w:eastAsia="仿宋"/>
                <w:szCs w:val="21"/>
              </w:rPr>
              <w:t>机油</w:t>
            </w:r>
          </w:p>
        </w:tc>
        <w:tc>
          <w:tcPr>
            <w:tcW w:w="550" w:type="pct"/>
            <w:tcBorders>
              <w:left w:val="single" w:color="auto" w:sz="4" w:space="0"/>
              <w:right w:val="single" w:color="auto" w:sz="4" w:space="0"/>
            </w:tcBorders>
            <w:vAlign w:val="center"/>
          </w:tcPr>
          <w:p w14:paraId="5EEAD85F">
            <w:pPr>
              <w:topLinePunct/>
              <w:adjustRightInd w:val="0"/>
              <w:snapToGrid w:val="0"/>
              <w:jc w:val="center"/>
              <w:rPr>
                <w:rFonts w:ascii="Times New Roman" w:eastAsia="仿宋"/>
                <w:szCs w:val="21"/>
              </w:rPr>
            </w:pPr>
            <w:r>
              <w:rPr>
                <w:rFonts w:hint="eastAsia" w:ascii="Times New Roman" w:eastAsia="仿宋"/>
                <w:szCs w:val="21"/>
              </w:rPr>
              <w:t>2</w:t>
            </w:r>
          </w:p>
        </w:tc>
        <w:tc>
          <w:tcPr>
            <w:tcW w:w="449" w:type="pct"/>
            <w:tcBorders>
              <w:left w:val="single" w:color="auto" w:sz="4" w:space="0"/>
              <w:right w:val="single" w:color="auto" w:sz="4" w:space="0"/>
            </w:tcBorders>
            <w:vAlign w:val="center"/>
          </w:tcPr>
          <w:p w14:paraId="363B75C5">
            <w:pPr>
              <w:topLinePunct/>
              <w:adjustRightInd w:val="0"/>
              <w:snapToGrid w:val="0"/>
              <w:jc w:val="center"/>
              <w:rPr>
                <w:rFonts w:ascii="Times New Roman" w:eastAsia="仿宋"/>
                <w:szCs w:val="21"/>
              </w:rPr>
            </w:pPr>
            <w:r>
              <w:rPr>
                <w:rFonts w:ascii="Times New Roman" w:eastAsia="仿宋"/>
                <w:szCs w:val="21"/>
              </w:rPr>
              <w:t>HW08</w:t>
            </w:r>
          </w:p>
        </w:tc>
        <w:tc>
          <w:tcPr>
            <w:tcW w:w="547" w:type="pct"/>
            <w:tcBorders>
              <w:left w:val="single" w:color="auto" w:sz="4" w:space="0"/>
              <w:right w:val="single" w:color="auto" w:sz="4" w:space="0"/>
            </w:tcBorders>
            <w:vAlign w:val="center"/>
          </w:tcPr>
          <w:p w14:paraId="03054928">
            <w:pPr>
              <w:topLinePunct/>
              <w:adjustRightInd w:val="0"/>
              <w:snapToGrid w:val="0"/>
              <w:jc w:val="center"/>
              <w:rPr>
                <w:rFonts w:ascii="Times New Roman" w:eastAsia="仿宋"/>
                <w:szCs w:val="21"/>
              </w:rPr>
            </w:pPr>
            <w:r>
              <w:rPr>
                <w:rFonts w:ascii="Times New Roman" w:eastAsia="仿宋"/>
                <w:szCs w:val="21"/>
              </w:rPr>
              <w:t>900-249-08</w:t>
            </w:r>
          </w:p>
        </w:tc>
        <w:tc>
          <w:tcPr>
            <w:tcW w:w="678" w:type="pct"/>
            <w:tcBorders>
              <w:left w:val="single" w:color="auto" w:sz="4" w:space="0"/>
              <w:right w:val="single" w:color="auto" w:sz="4" w:space="0"/>
            </w:tcBorders>
            <w:vAlign w:val="center"/>
          </w:tcPr>
          <w:p w14:paraId="6B4B8770">
            <w:pPr>
              <w:topLinePunct/>
              <w:adjustRightInd w:val="0"/>
              <w:snapToGrid w:val="0"/>
              <w:jc w:val="center"/>
              <w:rPr>
                <w:rFonts w:ascii="Times New Roman" w:eastAsia="仿宋"/>
                <w:szCs w:val="21"/>
              </w:rPr>
            </w:pPr>
            <w:r>
              <w:rPr>
                <w:rFonts w:hint="eastAsia" w:ascii="Times New Roman" w:eastAsia="仿宋"/>
                <w:szCs w:val="21"/>
              </w:rPr>
              <w:t>设备维修</w:t>
            </w:r>
          </w:p>
        </w:tc>
        <w:tc>
          <w:tcPr>
            <w:tcW w:w="426" w:type="pct"/>
            <w:tcBorders>
              <w:left w:val="single" w:color="auto" w:sz="4" w:space="0"/>
              <w:right w:val="single" w:color="auto" w:sz="4" w:space="0"/>
            </w:tcBorders>
            <w:vAlign w:val="center"/>
          </w:tcPr>
          <w:p w14:paraId="7B4797E9">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192E1580">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.5</w:t>
            </w:r>
          </w:p>
        </w:tc>
        <w:tc>
          <w:tcPr>
            <w:tcW w:w="338" w:type="pct"/>
            <w:tcBorders>
              <w:left w:val="single" w:color="auto" w:sz="4" w:space="0"/>
              <w:right w:val="single" w:color="auto" w:sz="4" w:space="0"/>
            </w:tcBorders>
            <w:vAlign w:val="center"/>
          </w:tcPr>
          <w:p w14:paraId="528170F3">
            <w:pPr>
              <w:adjustRightInd w:val="0"/>
              <w:snapToGrid w:val="0"/>
              <w:jc w:val="center"/>
              <w:rPr>
                <w:rFonts w:ascii="Times New Roman" w:eastAsia="仿宋"/>
                <w:bCs/>
                <w:szCs w:val="24"/>
              </w:rPr>
            </w:pPr>
            <w:r>
              <w:rPr>
                <w:rFonts w:hint="eastAsia" w:ascii="Times New Roman" w:eastAsia="仿宋"/>
                <w:bCs/>
                <w:szCs w:val="24"/>
              </w:rPr>
              <w:t>2</w:t>
            </w:r>
          </w:p>
        </w:tc>
        <w:tc>
          <w:tcPr>
            <w:tcW w:w="446" w:type="pct"/>
            <w:tcBorders>
              <w:left w:val="single" w:color="auto" w:sz="4" w:space="0"/>
              <w:right w:val="single" w:color="auto" w:sz="4" w:space="0"/>
            </w:tcBorders>
            <w:vAlign w:val="center"/>
          </w:tcPr>
          <w:p w14:paraId="1B049F11">
            <w:pPr>
              <w:topLinePunct/>
              <w:adjustRightInd w:val="0"/>
              <w:snapToGrid w:val="0"/>
              <w:jc w:val="center"/>
              <w:rPr>
                <w:rFonts w:ascii="Times New Roman" w:eastAsia="仿宋"/>
                <w:szCs w:val="21"/>
              </w:rPr>
            </w:pPr>
            <w:r>
              <w:rPr>
                <w:rFonts w:hint="eastAsia" w:ascii="Times New Roman" w:eastAsia="仿宋"/>
                <w:szCs w:val="21"/>
              </w:rPr>
              <w:t>桶装</w:t>
            </w:r>
          </w:p>
        </w:tc>
      </w:tr>
      <w:tr w14:paraId="6B13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458A909F">
            <w:pPr>
              <w:topLinePunct/>
              <w:adjustRightInd w:val="0"/>
              <w:snapToGrid w:val="0"/>
              <w:jc w:val="center"/>
              <w:rPr>
                <w:rFonts w:ascii="Times New Roman" w:eastAsia="仿宋"/>
                <w:szCs w:val="21"/>
              </w:rPr>
            </w:pPr>
            <w:r>
              <w:rPr>
                <w:rFonts w:hint="eastAsia" w:ascii="Times New Roman" w:eastAsia="仿宋"/>
                <w:szCs w:val="21"/>
              </w:rPr>
              <w:t>9</w:t>
            </w:r>
          </w:p>
        </w:tc>
        <w:tc>
          <w:tcPr>
            <w:tcW w:w="319" w:type="pct"/>
            <w:vMerge w:val="continue"/>
            <w:tcBorders>
              <w:left w:val="single" w:color="auto" w:sz="4" w:space="0"/>
              <w:right w:val="single" w:color="auto" w:sz="4" w:space="0"/>
            </w:tcBorders>
            <w:vAlign w:val="center"/>
          </w:tcPr>
          <w:p w14:paraId="1047E2E1">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1F552D35">
            <w:pPr>
              <w:topLinePunct/>
              <w:adjustRightInd w:val="0"/>
              <w:snapToGrid w:val="0"/>
              <w:jc w:val="center"/>
              <w:rPr>
                <w:rFonts w:ascii="Times New Roman" w:eastAsia="仿宋"/>
                <w:szCs w:val="21"/>
              </w:rPr>
            </w:pPr>
            <w:r>
              <w:rPr>
                <w:rFonts w:hint="eastAsia" w:ascii="Times New Roman" w:eastAsia="仿宋"/>
                <w:szCs w:val="21"/>
              </w:rPr>
              <w:t>废催化剂</w:t>
            </w:r>
          </w:p>
        </w:tc>
        <w:tc>
          <w:tcPr>
            <w:tcW w:w="550" w:type="pct"/>
            <w:tcBorders>
              <w:left w:val="single" w:color="auto" w:sz="4" w:space="0"/>
              <w:right w:val="single" w:color="auto" w:sz="4" w:space="0"/>
            </w:tcBorders>
            <w:vAlign w:val="center"/>
          </w:tcPr>
          <w:p w14:paraId="4CD212B8">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6</w:t>
            </w:r>
            <w:r>
              <w:rPr>
                <w:rFonts w:hint="eastAsia" w:ascii="Times New Roman" w:eastAsia="仿宋"/>
                <w:szCs w:val="21"/>
              </w:rPr>
              <w:t>t/3a</w:t>
            </w:r>
          </w:p>
        </w:tc>
        <w:tc>
          <w:tcPr>
            <w:tcW w:w="449" w:type="pct"/>
            <w:tcBorders>
              <w:left w:val="single" w:color="auto" w:sz="4" w:space="0"/>
              <w:right w:val="single" w:color="auto" w:sz="4" w:space="0"/>
            </w:tcBorders>
            <w:vAlign w:val="center"/>
          </w:tcPr>
          <w:p w14:paraId="4361BA72">
            <w:pPr>
              <w:topLinePunct/>
              <w:adjustRightInd w:val="0"/>
              <w:snapToGrid w:val="0"/>
              <w:jc w:val="center"/>
              <w:rPr>
                <w:rFonts w:ascii="Times New Roman" w:eastAsia="仿宋"/>
                <w:szCs w:val="21"/>
              </w:rPr>
            </w:pPr>
            <w:r>
              <w:rPr>
                <w:rFonts w:hint="eastAsia" w:ascii="Times New Roman" w:eastAsia="仿宋"/>
                <w:szCs w:val="21"/>
              </w:rPr>
              <w:t>HW50</w:t>
            </w:r>
          </w:p>
        </w:tc>
        <w:tc>
          <w:tcPr>
            <w:tcW w:w="547" w:type="pct"/>
            <w:tcBorders>
              <w:left w:val="single" w:color="auto" w:sz="4" w:space="0"/>
              <w:right w:val="single" w:color="auto" w:sz="4" w:space="0"/>
            </w:tcBorders>
            <w:vAlign w:val="center"/>
          </w:tcPr>
          <w:p w14:paraId="35D9AECF">
            <w:pPr>
              <w:topLinePunct/>
              <w:adjustRightInd w:val="0"/>
              <w:snapToGrid w:val="0"/>
              <w:jc w:val="center"/>
              <w:rPr>
                <w:rFonts w:ascii="Times New Roman" w:eastAsia="仿宋"/>
                <w:szCs w:val="21"/>
              </w:rPr>
            </w:pPr>
            <w:r>
              <w:rPr>
                <w:rFonts w:hint="eastAsia" w:ascii="Times New Roman" w:eastAsia="仿宋"/>
                <w:szCs w:val="21"/>
              </w:rPr>
              <w:t>772-007-50</w:t>
            </w:r>
          </w:p>
        </w:tc>
        <w:tc>
          <w:tcPr>
            <w:tcW w:w="678" w:type="pct"/>
            <w:tcBorders>
              <w:left w:val="single" w:color="auto" w:sz="4" w:space="0"/>
              <w:right w:val="single" w:color="auto" w:sz="4" w:space="0"/>
            </w:tcBorders>
            <w:vAlign w:val="center"/>
          </w:tcPr>
          <w:p w14:paraId="6F2E425D">
            <w:pPr>
              <w:topLinePunct/>
              <w:adjustRightInd w:val="0"/>
              <w:snapToGrid w:val="0"/>
              <w:jc w:val="center"/>
              <w:rPr>
                <w:rFonts w:ascii="Times New Roman" w:eastAsia="仿宋"/>
                <w:szCs w:val="21"/>
              </w:rPr>
            </w:pPr>
            <w:r>
              <w:rPr>
                <w:rFonts w:hint="eastAsia" w:ascii="Times New Roman" w:eastAsia="仿宋"/>
                <w:szCs w:val="21"/>
              </w:rPr>
              <w:t>废气处置</w:t>
            </w:r>
          </w:p>
        </w:tc>
        <w:tc>
          <w:tcPr>
            <w:tcW w:w="426" w:type="pct"/>
            <w:tcBorders>
              <w:left w:val="single" w:color="auto" w:sz="4" w:space="0"/>
              <w:right w:val="single" w:color="auto" w:sz="4" w:space="0"/>
            </w:tcBorders>
            <w:vAlign w:val="center"/>
          </w:tcPr>
          <w:p w14:paraId="2232DAE2">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5605E134">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.05</w:t>
            </w:r>
          </w:p>
        </w:tc>
        <w:tc>
          <w:tcPr>
            <w:tcW w:w="338" w:type="pct"/>
            <w:tcBorders>
              <w:left w:val="single" w:color="auto" w:sz="4" w:space="0"/>
              <w:right w:val="single" w:color="auto" w:sz="4" w:space="0"/>
            </w:tcBorders>
            <w:vAlign w:val="center"/>
          </w:tcPr>
          <w:p w14:paraId="72E7AFB0">
            <w:pPr>
              <w:adjustRightInd w:val="0"/>
              <w:snapToGrid w:val="0"/>
              <w:jc w:val="center"/>
              <w:rPr>
                <w:rFonts w:ascii="Times New Roman" w:eastAsia="仿宋"/>
                <w:bCs/>
                <w:szCs w:val="24"/>
              </w:rPr>
            </w:pPr>
            <w:r>
              <w:rPr>
                <w:rFonts w:hint="eastAsia" w:ascii="Times New Roman" w:eastAsia="仿宋"/>
                <w:bCs/>
                <w:szCs w:val="24"/>
              </w:rPr>
              <w:t>1</w:t>
            </w:r>
          </w:p>
        </w:tc>
        <w:tc>
          <w:tcPr>
            <w:tcW w:w="446" w:type="pct"/>
            <w:tcBorders>
              <w:left w:val="single" w:color="auto" w:sz="4" w:space="0"/>
              <w:right w:val="single" w:color="auto" w:sz="4" w:space="0"/>
            </w:tcBorders>
            <w:vAlign w:val="center"/>
          </w:tcPr>
          <w:p w14:paraId="6D1AABBE">
            <w:pPr>
              <w:topLinePunct/>
              <w:adjustRightInd w:val="0"/>
              <w:snapToGrid w:val="0"/>
              <w:jc w:val="center"/>
              <w:rPr>
                <w:rFonts w:ascii="Times New Roman" w:eastAsia="仿宋"/>
                <w:szCs w:val="21"/>
              </w:rPr>
            </w:pPr>
            <w:r>
              <w:rPr>
                <w:rFonts w:hint="eastAsia" w:ascii="Times New Roman" w:eastAsia="仿宋"/>
                <w:szCs w:val="21"/>
              </w:rPr>
              <w:t>袋装</w:t>
            </w:r>
          </w:p>
        </w:tc>
      </w:tr>
      <w:tr w14:paraId="15FE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1A272AD6">
            <w:pPr>
              <w:topLinePunct/>
              <w:adjustRightInd w:val="0"/>
              <w:snapToGrid w:val="0"/>
              <w:jc w:val="center"/>
              <w:rPr>
                <w:rFonts w:ascii="Times New Roman" w:eastAsia="仿宋"/>
                <w:szCs w:val="21"/>
              </w:rPr>
            </w:pPr>
            <w:r>
              <w:rPr>
                <w:rFonts w:hint="eastAsia" w:ascii="Times New Roman" w:eastAsia="仿宋"/>
                <w:szCs w:val="21"/>
              </w:rPr>
              <w:t>10</w:t>
            </w:r>
          </w:p>
        </w:tc>
        <w:tc>
          <w:tcPr>
            <w:tcW w:w="319" w:type="pct"/>
            <w:vMerge w:val="continue"/>
            <w:tcBorders>
              <w:left w:val="single" w:color="auto" w:sz="4" w:space="0"/>
              <w:right w:val="single" w:color="auto" w:sz="4" w:space="0"/>
            </w:tcBorders>
            <w:vAlign w:val="center"/>
          </w:tcPr>
          <w:p w14:paraId="41636261">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77149B6A">
            <w:pPr>
              <w:topLinePunct/>
              <w:adjustRightInd w:val="0"/>
              <w:snapToGrid w:val="0"/>
              <w:jc w:val="center"/>
              <w:rPr>
                <w:rFonts w:ascii="Times New Roman" w:eastAsia="仿宋"/>
                <w:szCs w:val="21"/>
              </w:rPr>
            </w:pPr>
            <w:r>
              <w:rPr>
                <w:rFonts w:hint="eastAsia" w:ascii="Times New Roman" w:eastAsia="仿宋"/>
                <w:szCs w:val="21"/>
              </w:rPr>
              <w:t>废活性炭</w:t>
            </w:r>
          </w:p>
        </w:tc>
        <w:tc>
          <w:tcPr>
            <w:tcW w:w="550" w:type="pct"/>
            <w:tcBorders>
              <w:left w:val="single" w:color="auto" w:sz="4" w:space="0"/>
              <w:right w:val="single" w:color="auto" w:sz="4" w:space="0"/>
            </w:tcBorders>
            <w:vAlign w:val="center"/>
          </w:tcPr>
          <w:p w14:paraId="16298D2F">
            <w:pPr>
              <w:topLinePunct/>
              <w:adjustRightInd w:val="0"/>
              <w:snapToGrid w:val="0"/>
              <w:jc w:val="center"/>
              <w:rPr>
                <w:rFonts w:ascii="Times New Roman" w:eastAsia="仿宋"/>
                <w:szCs w:val="21"/>
              </w:rPr>
            </w:pPr>
            <w:r>
              <w:rPr>
                <w:rFonts w:ascii="Times New Roman" w:eastAsia="仿宋"/>
                <w:szCs w:val="21"/>
              </w:rPr>
              <w:t>8.2</w:t>
            </w:r>
          </w:p>
        </w:tc>
        <w:tc>
          <w:tcPr>
            <w:tcW w:w="449" w:type="pct"/>
            <w:tcBorders>
              <w:left w:val="single" w:color="auto" w:sz="4" w:space="0"/>
              <w:right w:val="single" w:color="auto" w:sz="4" w:space="0"/>
            </w:tcBorders>
            <w:vAlign w:val="center"/>
          </w:tcPr>
          <w:p w14:paraId="3B198FCA">
            <w:pPr>
              <w:topLinePunct/>
              <w:adjustRightInd w:val="0"/>
              <w:snapToGrid w:val="0"/>
              <w:jc w:val="center"/>
              <w:rPr>
                <w:rFonts w:ascii="Times New Roman" w:eastAsia="仿宋"/>
                <w:szCs w:val="21"/>
              </w:rPr>
            </w:pPr>
            <w:r>
              <w:rPr>
                <w:rFonts w:ascii="Times New Roman" w:eastAsia="仿宋"/>
                <w:szCs w:val="21"/>
              </w:rPr>
              <w:t>HW49</w:t>
            </w:r>
          </w:p>
        </w:tc>
        <w:tc>
          <w:tcPr>
            <w:tcW w:w="547" w:type="pct"/>
            <w:tcBorders>
              <w:left w:val="single" w:color="auto" w:sz="4" w:space="0"/>
              <w:right w:val="single" w:color="auto" w:sz="4" w:space="0"/>
            </w:tcBorders>
            <w:vAlign w:val="center"/>
          </w:tcPr>
          <w:p w14:paraId="386E1E26">
            <w:pPr>
              <w:topLinePunct/>
              <w:adjustRightInd w:val="0"/>
              <w:snapToGrid w:val="0"/>
              <w:jc w:val="center"/>
              <w:rPr>
                <w:rFonts w:ascii="Times New Roman" w:eastAsia="仿宋"/>
                <w:szCs w:val="21"/>
              </w:rPr>
            </w:pPr>
            <w:r>
              <w:rPr>
                <w:rFonts w:ascii="Times New Roman" w:eastAsia="仿宋"/>
                <w:szCs w:val="21"/>
              </w:rPr>
              <w:t>900-039-49</w:t>
            </w:r>
          </w:p>
        </w:tc>
        <w:tc>
          <w:tcPr>
            <w:tcW w:w="678" w:type="pct"/>
            <w:tcBorders>
              <w:left w:val="single" w:color="auto" w:sz="4" w:space="0"/>
              <w:right w:val="single" w:color="auto" w:sz="4" w:space="0"/>
            </w:tcBorders>
            <w:vAlign w:val="center"/>
          </w:tcPr>
          <w:p w14:paraId="67067761">
            <w:pPr>
              <w:topLinePunct/>
              <w:adjustRightInd w:val="0"/>
              <w:snapToGrid w:val="0"/>
              <w:jc w:val="center"/>
              <w:rPr>
                <w:rFonts w:ascii="Times New Roman" w:eastAsia="仿宋"/>
                <w:szCs w:val="21"/>
              </w:rPr>
            </w:pPr>
            <w:r>
              <w:rPr>
                <w:rFonts w:hint="eastAsia" w:ascii="Times New Roman" w:eastAsia="仿宋"/>
                <w:szCs w:val="21"/>
              </w:rPr>
              <w:t>废气处置</w:t>
            </w:r>
          </w:p>
        </w:tc>
        <w:tc>
          <w:tcPr>
            <w:tcW w:w="426" w:type="pct"/>
            <w:tcBorders>
              <w:left w:val="single" w:color="auto" w:sz="4" w:space="0"/>
              <w:right w:val="single" w:color="auto" w:sz="4" w:space="0"/>
            </w:tcBorders>
            <w:vAlign w:val="center"/>
          </w:tcPr>
          <w:p w14:paraId="0A456505">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5EB3987A">
            <w:pPr>
              <w:topLinePunct/>
              <w:adjustRightInd w:val="0"/>
              <w:snapToGrid w:val="0"/>
              <w:jc w:val="center"/>
              <w:rPr>
                <w:rFonts w:ascii="Times New Roman" w:eastAsia="仿宋"/>
                <w:szCs w:val="21"/>
              </w:rPr>
            </w:pPr>
            <w:r>
              <w:rPr>
                <w:rFonts w:hint="eastAsia" w:ascii="Times New Roman" w:eastAsia="仿宋"/>
                <w:szCs w:val="21"/>
              </w:rPr>
              <w:t>2.05</w:t>
            </w:r>
          </w:p>
        </w:tc>
        <w:tc>
          <w:tcPr>
            <w:tcW w:w="338" w:type="pct"/>
            <w:tcBorders>
              <w:left w:val="single" w:color="auto" w:sz="4" w:space="0"/>
              <w:right w:val="single" w:color="auto" w:sz="4" w:space="0"/>
            </w:tcBorders>
            <w:vAlign w:val="center"/>
          </w:tcPr>
          <w:p w14:paraId="03A27865">
            <w:pPr>
              <w:adjustRightInd w:val="0"/>
              <w:snapToGrid w:val="0"/>
              <w:jc w:val="center"/>
              <w:rPr>
                <w:rFonts w:ascii="Times New Roman" w:eastAsia="仿宋"/>
                <w:bCs/>
                <w:szCs w:val="24"/>
              </w:rPr>
            </w:pPr>
            <w:r>
              <w:rPr>
                <w:rFonts w:hint="eastAsia" w:ascii="Times New Roman" w:eastAsia="仿宋"/>
                <w:bCs/>
                <w:szCs w:val="24"/>
              </w:rPr>
              <w:t>3</w:t>
            </w:r>
          </w:p>
        </w:tc>
        <w:tc>
          <w:tcPr>
            <w:tcW w:w="446" w:type="pct"/>
            <w:tcBorders>
              <w:left w:val="single" w:color="auto" w:sz="4" w:space="0"/>
              <w:right w:val="single" w:color="auto" w:sz="4" w:space="0"/>
            </w:tcBorders>
            <w:vAlign w:val="center"/>
          </w:tcPr>
          <w:p w14:paraId="27D7DBFC">
            <w:pPr>
              <w:topLinePunct/>
              <w:adjustRightInd w:val="0"/>
              <w:snapToGrid w:val="0"/>
              <w:jc w:val="center"/>
              <w:rPr>
                <w:rFonts w:ascii="Times New Roman" w:eastAsia="仿宋"/>
                <w:szCs w:val="21"/>
              </w:rPr>
            </w:pPr>
            <w:r>
              <w:rPr>
                <w:rFonts w:hint="eastAsia" w:ascii="Times New Roman" w:eastAsia="仿宋"/>
                <w:szCs w:val="21"/>
              </w:rPr>
              <w:t>袋装</w:t>
            </w:r>
          </w:p>
        </w:tc>
      </w:tr>
      <w:tr w14:paraId="4469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1D673F5E">
            <w:pPr>
              <w:topLinePunct/>
              <w:adjustRightInd w:val="0"/>
              <w:snapToGrid w:val="0"/>
              <w:jc w:val="center"/>
              <w:rPr>
                <w:rFonts w:ascii="Times New Roman" w:eastAsia="仿宋"/>
                <w:szCs w:val="21"/>
              </w:rPr>
            </w:pPr>
            <w:r>
              <w:rPr>
                <w:rFonts w:hint="eastAsia" w:ascii="Times New Roman" w:eastAsia="仿宋"/>
                <w:szCs w:val="21"/>
              </w:rPr>
              <w:t>11</w:t>
            </w:r>
          </w:p>
        </w:tc>
        <w:tc>
          <w:tcPr>
            <w:tcW w:w="319" w:type="pct"/>
            <w:vMerge w:val="continue"/>
            <w:tcBorders>
              <w:left w:val="single" w:color="auto" w:sz="4" w:space="0"/>
              <w:right w:val="single" w:color="auto" w:sz="4" w:space="0"/>
            </w:tcBorders>
            <w:vAlign w:val="center"/>
          </w:tcPr>
          <w:p w14:paraId="2C419E3C">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7F7B1592">
            <w:pPr>
              <w:topLinePunct/>
              <w:adjustRightInd w:val="0"/>
              <w:snapToGrid w:val="0"/>
              <w:jc w:val="center"/>
              <w:rPr>
                <w:rFonts w:ascii="Times New Roman" w:eastAsia="仿宋"/>
                <w:szCs w:val="21"/>
              </w:rPr>
            </w:pPr>
            <w:r>
              <w:rPr>
                <w:rFonts w:hint="eastAsia" w:ascii="Times New Roman" w:eastAsia="仿宋"/>
                <w:szCs w:val="21"/>
              </w:rPr>
              <w:t>污泥</w:t>
            </w:r>
          </w:p>
        </w:tc>
        <w:tc>
          <w:tcPr>
            <w:tcW w:w="550" w:type="pct"/>
            <w:tcBorders>
              <w:left w:val="single" w:color="auto" w:sz="4" w:space="0"/>
              <w:right w:val="single" w:color="auto" w:sz="4" w:space="0"/>
            </w:tcBorders>
            <w:vAlign w:val="center"/>
          </w:tcPr>
          <w:p w14:paraId="309FAF11">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0</w:t>
            </w:r>
          </w:p>
        </w:tc>
        <w:tc>
          <w:tcPr>
            <w:tcW w:w="449" w:type="pct"/>
            <w:tcBorders>
              <w:left w:val="single" w:color="auto" w:sz="4" w:space="0"/>
              <w:right w:val="single" w:color="auto" w:sz="4" w:space="0"/>
            </w:tcBorders>
            <w:vAlign w:val="center"/>
          </w:tcPr>
          <w:p w14:paraId="398B7AF8">
            <w:pPr>
              <w:topLinePunct/>
              <w:adjustRightInd w:val="0"/>
              <w:snapToGrid w:val="0"/>
              <w:jc w:val="center"/>
              <w:rPr>
                <w:rFonts w:ascii="Times New Roman" w:eastAsia="仿宋"/>
                <w:szCs w:val="21"/>
              </w:rPr>
            </w:pPr>
            <w:r>
              <w:rPr>
                <w:rFonts w:hint="eastAsia" w:ascii="Times New Roman" w:eastAsia="仿宋"/>
                <w:szCs w:val="21"/>
              </w:rPr>
              <w:t>HW08</w:t>
            </w:r>
          </w:p>
        </w:tc>
        <w:tc>
          <w:tcPr>
            <w:tcW w:w="547" w:type="pct"/>
            <w:tcBorders>
              <w:left w:val="single" w:color="auto" w:sz="4" w:space="0"/>
              <w:right w:val="single" w:color="auto" w:sz="4" w:space="0"/>
            </w:tcBorders>
            <w:vAlign w:val="center"/>
          </w:tcPr>
          <w:p w14:paraId="220F4699">
            <w:pPr>
              <w:topLinePunct/>
              <w:adjustRightInd w:val="0"/>
              <w:snapToGrid w:val="0"/>
              <w:jc w:val="center"/>
              <w:rPr>
                <w:rFonts w:ascii="Times New Roman" w:eastAsia="仿宋"/>
                <w:szCs w:val="21"/>
              </w:rPr>
            </w:pPr>
            <w:r>
              <w:rPr>
                <w:rFonts w:hint="eastAsia" w:ascii="Times New Roman" w:eastAsia="仿宋"/>
                <w:szCs w:val="21"/>
              </w:rPr>
              <w:t>900-210-08</w:t>
            </w:r>
          </w:p>
        </w:tc>
        <w:tc>
          <w:tcPr>
            <w:tcW w:w="678" w:type="pct"/>
            <w:tcBorders>
              <w:left w:val="single" w:color="auto" w:sz="4" w:space="0"/>
              <w:right w:val="single" w:color="auto" w:sz="4" w:space="0"/>
            </w:tcBorders>
            <w:vAlign w:val="center"/>
          </w:tcPr>
          <w:p w14:paraId="679A8D72">
            <w:pPr>
              <w:topLinePunct/>
              <w:adjustRightInd w:val="0"/>
              <w:snapToGrid w:val="0"/>
              <w:jc w:val="center"/>
              <w:rPr>
                <w:rFonts w:ascii="Times New Roman" w:eastAsia="仿宋"/>
                <w:szCs w:val="21"/>
              </w:rPr>
            </w:pPr>
            <w:r>
              <w:rPr>
                <w:rFonts w:hint="eastAsia" w:ascii="Times New Roman" w:eastAsia="仿宋"/>
                <w:szCs w:val="21"/>
              </w:rPr>
              <w:t>废水处理</w:t>
            </w:r>
          </w:p>
        </w:tc>
        <w:tc>
          <w:tcPr>
            <w:tcW w:w="426" w:type="pct"/>
            <w:tcBorders>
              <w:left w:val="single" w:color="auto" w:sz="4" w:space="0"/>
              <w:right w:val="single" w:color="auto" w:sz="4" w:space="0"/>
            </w:tcBorders>
            <w:vAlign w:val="center"/>
          </w:tcPr>
          <w:p w14:paraId="656B473E">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38A5AF61">
            <w:pPr>
              <w:topLinePunct/>
              <w:adjustRightInd w:val="0"/>
              <w:snapToGrid w:val="0"/>
              <w:jc w:val="center"/>
              <w:rPr>
                <w:rFonts w:ascii="Times New Roman" w:eastAsia="仿宋"/>
                <w:szCs w:val="21"/>
              </w:rPr>
            </w:pPr>
            <w:r>
              <w:rPr>
                <w:rFonts w:hint="eastAsia" w:ascii="Times New Roman" w:eastAsia="仿宋"/>
                <w:szCs w:val="21"/>
              </w:rPr>
              <w:t>2.</w:t>
            </w:r>
            <w:r>
              <w:rPr>
                <w:rFonts w:ascii="Times New Roman" w:eastAsia="仿宋"/>
                <w:szCs w:val="21"/>
              </w:rPr>
              <w:t>5</w:t>
            </w:r>
          </w:p>
        </w:tc>
        <w:tc>
          <w:tcPr>
            <w:tcW w:w="338" w:type="pct"/>
            <w:tcBorders>
              <w:left w:val="single" w:color="auto" w:sz="4" w:space="0"/>
              <w:right w:val="single" w:color="auto" w:sz="4" w:space="0"/>
            </w:tcBorders>
            <w:vAlign w:val="center"/>
          </w:tcPr>
          <w:p w14:paraId="15EF13FC">
            <w:pPr>
              <w:adjustRightInd w:val="0"/>
              <w:snapToGrid w:val="0"/>
              <w:jc w:val="center"/>
              <w:rPr>
                <w:rFonts w:ascii="Times New Roman" w:eastAsia="仿宋"/>
                <w:bCs/>
                <w:szCs w:val="24"/>
              </w:rPr>
            </w:pPr>
            <w:r>
              <w:rPr>
                <w:rFonts w:hint="eastAsia" w:ascii="Times New Roman" w:eastAsia="仿宋"/>
                <w:bCs/>
                <w:szCs w:val="24"/>
              </w:rPr>
              <w:t>5</w:t>
            </w:r>
          </w:p>
        </w:tc>
        <w:tc>
          <w:tcPr>
            <w:tcW w:w="446" w:type="pct"/>
            <w:tcBorders>
              <w:left w:val="single" w:color="auto" w:sz="4" w:space="0"/>
              <w:right w:val="single" w:color="auto" w:sz="4" w:space="0"/>
            </w:tcBorders>
            <w:vAlign w:val="center"/>
          </w:tcPr>
          <w:p w14:paraId="18BF4678">
            <w:pPr>
              <w:topLinePunct/>
              <w:adjustRightInd w:val="0"/>
              <w:snapToGrid w:val="0"/>
              <w:jc w:val="center"/>
              <w:rPr>
                <w:rFonts w:ascii="Times New Roman" w:eastAsia="仿宋"/>
                <w:szCs w:val="21"/>
              </w:rPr>
            </w:pPr>
            <w:r>
              <w:rPr>
                <w:rFonts w:hint="eastAsia" w:ascii="Times New Roman" w:eastAsia="仿宋"/>
                <w:szCs w:val="21"/>
              </w:rPr>
              <w:t>袋装</w:t>
            </w:r>
          </w:p>
        </w:tc>
      </w:tr>
      <w:tr w14:paraId="0922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6A3087AD">
            <w:pPr>
              <w:topLinePunct/>
              <w:adjustRightInd w:val="0"/>
              <w:snapToGrid w:val="0"/>
              <w:jc w:val="center"/>
              <w:rPr>
                <w:rFonts w:ascii="Times New Roman" w:eastAsia="仿宋"/>
                <w:szCs w:val="21"/>
              </w:rPr>
            </w:pPr>
            <w:r>
              <w:rPr>
                <w:rFonts w:ascii="Times New Roman" w:eastAsia="仿宋"/>
                <w:szCs w:val="21"/>
              </w:rPr>
              <w:t>1</w:t>
            </w:r>
            <w:r>
              <w:rPr>
                <w:rFonts w:hint="eastAsia" w:ascii="Times New Roman" w:eastAsia="仿宋"/>
                <w:szCs w:val="21"/>
              </w:rPr>
              <w:t>2</w:t>
            </w:r>
          </w:p>
        </w:tc>
        <w:tc>
          <w:tcPr>
            <w:tcW w:w="319" w:type="pct"/>
            <w:vMerge w:val="continue"/>
            <w:tcBorders>
              <w:left w:val="single" w:color="auto" w:sz="4" w:space="0"/>
              <w:right w:val="single" w:color="auto" w:sz="4" w:space="0"/>
            </w:tcBorders>
            <w:vAlign w:val="center"/>
          </w:tcPr>
          <w:p w14:paraId="22CAA2C5">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61674093">
            <w:pPr>
              <w:topLinePunct/>
              <w:adjustRightInd w:val="0"/>
              <w:snapToGrid w:val="0"/>
              <w:jc w:val="center"/>
              <w:rPr>
                <w:rFonts w:ascii="Times New Roman" w:eastAsia="仿宋"/>
                <w:szCs w:val="21"/>
              </w:rPr>
            </w:pPr>
            <w:r>
              <w:rPr>
                <w:rFonts w:hint="eastAsia" w:ascii="Times New Roman" w:eastAsia="仿宋"/>
                <w:szCs w:val="21"/>
              </w:rPr>
              <w:t>废过滤棉</w:t>
            </w:r>
          </w:p>
        </w:tc>
        <w:tc>
          <w:tcPr>
            <w:tcW w:w="550" w:type="pct"/>
            <w:tcBorders>
              <w:left w:val="single" w:color="auto" w:sz="4" w:space="0"/>
              <w:right w:val="single" w:color="auto" w:sz="4" w:space="0"/>
            </w:tcBorders>
            <w:vAlign w:val="center"/>
          </w:tcPr>
          <w:p w14:paraId="0127ECAF">
            <w:pPr>
              <w:topLinePunct/>
              <w:adjustRightInd w:val="0"/>
              <w:snapToGrid w:val="0"/>
              <w:jc w:val="center"/>
              <w:rPr>
                <w:rFonts w:ascii="Times New Roman" w:eastAsia="仿宋"/>
                <w:szCs w:val="21"/>
              </w:rPr>
            </w:pPr>
            <w:r>
              <w:rPr>
                <w:rFonts w:hint="eastAsia" w:ascii="Times New Roman" w:eastAsia="仿宋"/>
                <w:szCs w:val="21"/>
              </w:rPr>
              <w:t>3</w:t>
            </w:r>
          </w:p>
        </w:tc>
        <w:tc>
          <w:tcPr>
            <w:tcW w:w="449" w:type="pct"/>
            <w:tcBorders>
              <w:left w:val="single" w:color="auto" w:sz="4" w:space="0"/>
              <w:right w:val="single" w:color="auto" w:sz="4" w:space="0"/>
            </w:tcBorders>
            <w:vAlign w:val="center"/>
          </w:tcPr>
          <w:p w14:paraId="18AFAE34">
            <w:pPr>
              <w:topLinePunct/>
              <w:adjustRightInd w:val="0"/>
              <w:snapToGrid w:val="0"/>
              <w:jc w:val="center"/>
              <w:rPr>
                <w:rFonts w:ascii="Times New Roman" w:eastAsia="仿宋"/>
                <w:szCs w:val="21"/>
              </w:rPr>
            </w:pPr>
            <w:r>
              <w:rPr>
                <w:rFonts w:ascii="Times New Roman" w:eastAsia="仿宋"/>
                <w:szCs w:val="21"/>
              </w:rPr>
              <w:t>HW49</w:t>
            </w:r>
          </w:p>
        </w:tc>
        <w:tc>
          <w:tcPr>
            <w:tcW w:w="547" w:type="pct"/>
            <w:tcBorders>
              <w:left w:val="single" w:color="auto" w:sz="4" w:space="0"/>
              <w:right w:val="single" w:color="auto" w:sz="4" w:space="0"/>
            </w:tcBorders>
            <w:vAlign w:val="center"/>
          </w:tcPr>
          <w:p w14:paraId="523F647C">
            <w:pPr>
              <w:topLinePunct/>
              <w:adjustRightInd w:val="0"/>
              <w:snapToGrid w:val="0"/>
              <w:jc w:val="center"/>
              <w:rPr>
                <w:rFonts w:ascii="Times New Roman" w:eastAsia="仿宋"/>
                <w:szCs w:val="21"/>
              </w:rPr>
            </w:pPr>
            <w:r>
              <w:rPr>
                <w:rFonts w:ascii="Times New Roman" w:eastAsia="仿宋"/>
                <w:szCs w:val="21"/>
              </w:rPr>
              <w:t>900-0</w:t>
            </w:r>
            <w:r>
              <w:rPr>
                <w:rFonts w:hint="eastAsia" w:ascii="Times New Roman" w:eastAsia="仿宋"/>
                <w:szCs w:val="21"/>
              </w:rPr>
              <w:t>41</w:t>
            </w:r>
            <w:r>
              <w:rPr>
                <w:rFonts w:ascii="Times New Roman" w:eastAsia="仿宋"/>
                <w:szCs w:val="21"/>
              </w:rPr>
              <w:t>-49</w:t>
            </w:r>
          </w:p>
        </w:tc>
        <w:tc>
          <w:tcPr>
            <w:tcW w:w="678" w:type="pct"/>
            <w:tcBorders>
              <w:left w:val="single" w:color="auto" w:sz="4" w:space="0"/>
              <w:right w:val="single" w:color="auto" w:sz="4" w:space="0"/>
            </w:tcBorders>
            <w:vAlign w:val="center"/>
          </w:tcPr>
          <w:p w14:paraId="73CE8AB6">
            <w:pPr>
              <w:topLinePunct/>
              <w:adjustRightInd w:val="0"/>
              <w:snapToGrid w:val="0"/>
              <w:jc w:val="center"/>
              <w:rPr>
                <w:rFonts w:ascii="Times New Roman" w:eastAsia="仿宋"/>
                <w:szCs w:val="21"/>
              </w:rPr>
            </w:pPr>
            <w:r>
              <w:rPr>
                <w:rFonts w:hint="eastAsia" w:ascii="Times New Roman" w:eastAsia="仿宋"/>
                <w:szCs w:val="21"/>
              </w:rPr>
              <w:t>废气处置</w:t>
            </w:r>
          </w:p>
        </w:tc>
        <w:tc>
          <w:tcPr>
            <w:tcW w:w="426" w:type="pct"/>
            <w:tcBorders>
              <w:left w:val="single" w:color="auto" w:sz="4" w:space="0"/>
              <w:right w:val="single" w:color="auto" w:sz="4" w:space="0"/>
            </w:tcBorders>
            <w:vAlign w:val="center"/>
          </w:tcPr>
          <w:p w14:paraId="76AE5906">
            <w:pPr>
              <w:adjustRightInd w:val="0"/>
              <w:snapToGrid w:val="0"/>
              <w:jc w:val="center"/>
              <w:rPr>
                <w:rFonts w:ascii="Times New Roman" w:eastAsia="仿宋"/>
                <w:bCs/>
                <w:szCs w:val="24"/>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75FD09BA">
            <w:pPr>
              <w:topLinePunct/>
              <w:adjustRightInd w:val="0"/>
              <w:snapToGrid w:val="0"/>
              <w:jc w:val="center"/>
              <w:rPr>
                <w:rFonts w:ascii="Times New Roman" w:eastAsia="仿宋"/>
                <w:szCs w:val="21"/>
              </w:rPr>
            </w:pPr>
            <w:r>
              <w:rPr>
                <w:rFonts w:hint="eastAsia" w:ascii="Times New Roman" w:eastAsia="仿宋"/>
                <w:szCs w:val="21"/>
              </w:rPr>
              <w:t>0.75</w:t>
            </w:r>
          </w:p>
        </w:tc>
        <w:tc>
          <w:tcPr>
            <w:tcW w:w="338" w:type="pct"/>
            <w:tcBorders>
              <w:left w:val="single" w:color="auto" w:sz="4" w:space="0"/>
              <w:right w:val="single" w:color="auto" w:sz="4" w:space="0"/>
            </w:tcBorders>
            <w:vAlign w:val="center"/>
          </w:tcPr>
          <w:p w14:paraId="3A467F26">
            <w:pPr>
              <w:adjustRightInd w:val="0"/>
              <w:snapToGrid w:val="0"/>
              <w:jc w:val="center"/>
              <w:rPr>
                <w:rFonts w:ascii="Times New Roman" w:eastAsia="仿宋"/>
                <w:bCs/>
                <w:szCs w:val="24"/>
              </w:rPr>
            </w:pPr>
            <w:r>
              <w:rPr>
                <w:rFonts w:hint="eastAsia" w:ascii="Times New Roman" w:eastAsia="仿宋"/>
                <w:bCs/>
                <w:szCs w:val="24"/>
              </w:rPr>
              <w:t>1</w:t>
            </w:r>
          </w:p>
        </w:tc>
        <w:tc>
          <w:tcPr>
            <w:tcW w:w="446" w:type="pct"/>
            <w:tcBorders>
              <w:left w:val="single" w:color="auto" w:sz="4" w:space="0"/>
              <w:right w:val="single" w:color="auto" w:sz="4" w:space="0"/>
            </w:tcBorders>
            <w:vAlign w:val="center"/>
          </w:tcPr>
          <w:p w14:paraId="0FAD840A">
            <w:pPr>
              <w:topLinePunct/>
              <w:adjustRightInd w:val="0"/>
              <w:snapToGrid w:val="0"/>
              <w:jc w:val="center"/>
              <w:rPr>
                <w:rFonts w:ascii="Times New Roman" w:eastAsia="仿宋"/>
                <w:szCs w:val="21"/>
              </w:rPr>
            </w:pPr>
            <w:r>
              <w:rPr>
                <w:rFonts w:hint="eastAsia" w:ascii="Times New Roman" w:eastAsia="仿宋"/>
                <w:szCs w:val="21"/>
              </w:rPr>
              <w:t>袋装</w:t>
            </w:r>
          </w:p>
        </w:tc>
      </w:tr>
      <w:tr w14:paraId="24E5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34" w:type="pct"/>
            <w:tcBorders>
              <w:top w:val="single" w:color="auto" w:sz="4" w:space="0"/>
              <w:left w:val="single" w:color="auto" w:sz="4" w:space="0"/>
              <w:bottom w:val="single" w:color="auto" w:sz="4" w:space="0"/>
              <w:right w:val="single" w:color="auto" w:sz="4" w:space="0"/>
            </w:tcBorders>
            <w:vAlign w:val="center"/>
          </w:tcPr>
          <w:p w14:paraId="72831529">
            <w:pPr>
              <w:topLinePunct/>
              <w:adjustRightInd w:val="0"/>
              <w:snapToGrid w:val="0"/>
              <w:jc w:val="center"/>
              <w:rPr>
                <w:rFonts w:ascii="Times New Roman" w:eastAsia="仿宋"/>
                <w:szCs w:val="21"/>
              </w:rPr>
            </w:pPr>
            <w:r>
              <w:rPr>
                <w:rFonts w:hint="eastAsia" w:ascii="Times New Roman" w:eastAsia="仿宋"/>
                <w:szCs w:val="21"/>
              </w:rPr>
              <w:t>1</w:t>
            </w:r>
            <w:r>
              <w:rPr>
                <w:rFonts w:ascii="Times New Roman" w:eastAsia="仿宋"/>
                <w:szCs w:val="21"/>
              </w:rPr>
              <w:t>3</w:t>
            </w:r>
          </w:p>
        </w:tc>
        <w:tc>
          <w:tcPr>
            <w:tcW w:w="319" w:type="pct"/>
            <w:vMerge w:val="continue"/>
            <w:tcBorders>
              <w:left w:val="single" w:color="auto" w:sz="4" w:space="0"/>
              <w:right w:val="single" w:color="auto" w:sz="4" w:space="0"/>
            </w:tcBorders>
            <w:vAlign w:val="center"/>
          </w:tcPr>
          <w:p w14:paraId="4A38D712">
            <w:pPr>
              <w:topLinePunct/>
              <w:adjustRightInd w:val="0"/>
              <w:snapToGrid w:val="0"/>
              <w:jc w:val="center"/>
              <w:rPr>
                <w:rFonts w:ascii="Times New Roman" w:eastAsia="仿宋"/>
                <w:szCs w:val="21"/>
              </w:rPr>
            </w:pPr>
          </w:p>
        </w:tc>
        <w:tc>
          <w:tcPr>
            <w:tcW w:w="437" w:type="pct"/>
            <w:tcBorders>
              <w:top w:val="single" w:color="auto" w:sz="4" w:space="0"/>
              <w:left w:val="single" w:color="auto" w:sz="4" w:space="0"/>
              <w:bottom w:val="single" w:color="auto" w:sz="4" w:space="0"/>
              <w:right w:val="single" w:color="auto" w:sz="4" w:space="0"/>
            </w:tcBorders>
            <w:vAlign w:val="center"/>
          </w:tcPr>
          <w:p w14:paraId="118CF965">
            <w:pPr>
              <w:topLinePunct/>
              <w:adjustRightInd w:val="0"/>
              <w:snapToGrid w:val="0"/>
              <w:jc w:val="center"/>
              <w:rPr>
                <w:rFonts w:ascii="Times New Roman" w:eastAsia="仿宋"/>
                <w:szCs w:val="21"/>
              </w:rPr>
            </w:pPr>
            <w:r>
              <w:rPr>
                <w:rFonts w:hint="eastAsia" w:ascii="Times New Roman" w:eastAsia="仿宋"/>
                <w:szCs w:val="21"/>
              </w:rPr>
              <w:t>废过滤介质</w:t>
            </w:r>
          </w:p>
        </w:tc>
        <w:tc>
          <w:tcPr>
            <w:tcW w:w="550" w:type="pct"/>
            <w:tcBorders>
              <w:left w:val="single" w:color="auto" w:sz="4" w:space="0"/>
              <w:right w:val="single" w:color="auto" w:sz="4" w:space="0"/>
            </w:tcBorders>
            <w:vAlign w:val="center"/>
          </w:tcPr>
          <w:p w14:paraId="5A69CFC7">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3</w:t>
            </w:r>
            <w:r>
              <w:rPr>
                <w:rFonts w:hint="eastAsia" w:ascii="Times New Roman" w:eastAsia="仿宋"/>
                <w:szCs w:val="21"/>
              </w:rPr>
              <w:t>t/3a</w:t>
            </w:r>
          </w:p>
        </w:tc>
        <w:tc>
          <w:tcPr>
            <w:tcW w:w="449" w:type="pct"/>
            <w:tcBorders>
              <w:left w:val="single" w:color="auto" w:sz="4" w:space="0"/>
              <w:right w:val="single" w:color="auto" w:sz="4" w:space="0"/>
            </w:tcBorders>
            <w:vAlign w:val="center"/>
          </w:tcPr>
          <w:p w14:paraId="7D96F775">
            <w:pPr>
              <w:topLinePunct/>
              <w:adjustRightInd w:val="0"/>
              <w:snapToGrid w:val="0"/>
              <w:jc w:val="center"/>
              <w:rPr>
                <w:rFonts w:ascii="Times New Roman" w:eastAsia="仿宋"/>
                <w:szCs w:val="21"/>
              </w:rPr>
            </w:pPr>
            <w:r>
              <w:rPr>
                <w:rFonts w:hint="eastAsia" w:ascii="Times New Roman" w:eastAsia="仿宋"/>
                <w:szCs w:val="21"/>
              </w:rPr>
              <w:t>HW13</w:t>
            </w:r>
          </w:p>
        </w:tc>
        <w:tc>
          <w:tcPr>
            <w:tcW w:w="547" w:type="pct"/>
            <w:tcBorders>
              <w:left w:val="single" w:color="auto" w:sz="4" w:space="0"/>
              <w:right w:val="single" w:color="auto" w:sz="4" w:space="0"/>
            </w:tcBorders>
            <w:vAlign w:val="center"/>
          </w:tcPr>
          <w:p w14:paraId="263029E1">
            <w:pPr>
              <w:topLinePunct/>
              <w:adjustRightInd w:val="0"/>
              <w:snapToGrid w:val="0"/>
              <w:jc w:val="center"/>
              <w:rPr>
                <w:rFonts w:ascii="Times New Roman" w:eastAsia="仿宋"/>
                <w:szCs w:val="21"/>
              </w:rPr>
            </w:pPr>
            <w:r>
              <w:rPr>
                <w:rFonts w:hint="eastAsia" w:ascii="Times New Roman" w:eastAsia="仿宋"/>
                <w:szCs w:val="21"/>
              </w:rPr>
              <w:t>900-015-13</w:t>
            </w:r>
          </w:p>
        </w:tc>
        <w:tc>
          <w:tcPr>
            <w:tcW w:w="678" w:type="pct"/>
            <w:tcBorders>
              <w:left w:val="single" w:color="auto" w:sz="4" w:space="0"/>
              <w:right w:val="single" w:color="auto" w:sz="4" w:space="0"/>
            </w:tcBorders>
            <w:vAlign w:val="center"/>
          </w:tcPr>
          <w:p w14:paraId="714FD5C7">
            <w:pPr>
              <w:topLinePunct/>
              <w:adjustRightInd w:val="0"/>
              <w:snapToGrid w:val="0"/>
              <w:jc w:val="center"/>
              <w:rPr>
                <w:rFonts w:ascii="Times New Roman" w:eastAsia="仿宋"/>
                <w:szCs w:val="21"/>
              </w:rPr>
            </w:pPr>
            <w:r>
              <w:rPr>
                <w:rFonts w:hint="eastAsia" w:ascii="Times New Roman" w:eastAsia="仿宋"/>
                <w:szCs w:val="21"/>
              </w:rPr>
              <w:t>废水处理</w:t>
            </w:r>
          </w:p>
        </w:tc>
        <w:tc>
          <w:tcPr>
            <w:tcW w:w="426" w:type="pct"/>
            <w:tcBorders>
              <w:left w:val="single" w:color="auto" w:sz="4" w:space="0"/>
              <w:right w:val="single" w:color="auto" w:sz="4" w:space="0"/>
            </w:tcBorders>
            <w:vAlign w:val="center"/>
          </w:tcPr>
          <w:p w14:paraId="4C0B03BD">
            <w:pPr>
              <w:topLinePunct/>
              <w:adjustRightInd w:val="0"/>
              <w:snapToGrid w:val="0"/>
              <w:jc w:val="center"/>
              <w:rPr>
                <w:rFonts w:ascii="Times New Roman" w:eastAsia="仿宋"/>
                <w:szCs w:val="21"/>
              </w:rPr>
            </w:pPr>
            <w:r>
              <w:rPr>
                <w:rFonts w:hint="eastAsia" w:ascii="Times New Roman" w:eastAsia="仿宋"/>
                <w:bCs/>
                <w:szCs w:val="24"/>
              </w:rPr>
              <w:t>90d</w:t>
            </w:r>
          </w:p>
        </w:tc>
        <w:tc>
          <w:tcPr>
            <w:tcW w:w="575" w:type="pct"/>
            <w:tcBorders>
              <w:left w:val="single" w:color="auto" w:sz="4" w:space="0"/>
              <w:right w:val="single" w:color="auto" w:sz="4" w:space="0"/>
            </w:tcBorders>
            <w:vAlign w:val="center"/>
          </w:tcPr>
          <w:p w14:paraId="38D0DCB4">
            <w:pPr>
              <w:topLinePunct/>
              <w:adjustRightInd w:val="0"/>
              <w:snapToGrid w:val="0"/>
              <w:jc w:val="center"/>
              <w:rPr>
                <w:rFonts w:ascii="Times New Roman" w:eastAsia="仿宋"/>
                <w:szCs w:val="21"/>
              </w:rPr>
            </w:pPr>
            <w:r>
              <w:rPr>
                <w:rFonts w:hint="eastAsia" w:ascii="Times New Roman" w:eastAsia="仿宋"/>
                <w:szCs w:val="21"/>
              </w:rPr>
              <w:t>0</w:t>
            </w:r>
            <w:r>
              <w:rPr>
                <w:rFonts w:ascii="Times New Roman" w:eastAsia="仿宋"/>
                <w:szCs w:val="21"/>
              </w:rPr>
              <w:t>.025</w:t>
            </w:r>
          </w:p>
        </w:tc>
        <w:tc>
          <w:tcPr>
            <w:tcW w:w="338" w:type="pct"/>
            <w:tcBorders>
              <w:left w:val="single" w:color="auto" w:sz="4" w:space="0"/>
              <w:right w:val="single" w:color="auto" w:sz="4" w:space="0"/>
            </w:tcBorders>
            <w:vAlign w:val="center"/>
          </w:tcPr>
          <w:p w14:paraId="273103F5">
            <w:pPr>
              <w:adjustRightInd w:val="0"/>
              <w:snapToGrid w:val="0"/>
              <w:jc w:val="center"/>
              <w:rPr>
                <w:rFonts w:ascii="Times New Roman" w:eastAsia="仿宋"/>
                <w:bCs/>
                <w:szCs w:val="24"/>
              </w:rPr>
            </w:pPr>
            <w:r>
              <w:rPr>
                <w:rFonts w:hint="eastAsia" w:ascii="Times New Roman" w:eastAsia="仿宋"/>
                <w:bCs/>
                <w:szCs w:val="24"/>
              </w:rPr>
              <w:t>1</w:t>
            </w:r>
          </w:p>
        </w:tc>
        <w:tc>
          <w:tcPr>
            <w:tcW w:w="446" w:type="pct"/>
            <w:tcBorders>
              <w:left w:val="single" w:color="auto" w:sz="4" w:space="0"/>
              <w:right w:val="single" w:color="auto" w:sz="4" w:space="0"/>
            </w:tcBorders>
            <w:vAlign w:val="center"/>
          </w:tcPr>
          <w:p w14:paraId="0559C2CF">
            <w:pPr>
              <w:topLinePunct/>
              <w:adjustRightInd w:val="0"/>
              <w:snapToGrid w:val="0"/>
              <w:jc w:val="center"/>
              <w:rPr>
                <w:rFonts w:ascii="Times New Roman" w:eastAsia="仿宋"/>
                <w:szCs w:val="21"/>
              </w:rPr>
            </w:pPr>
            <w:r>
              <w:rPr>
                <w:rFonts w:hint="eastAsia" w:ascii="Times New Roman" w:eastAsia="仿宋"/>
                <w:szCs w:val="21"/>
              </w:rPr>
              <w:t>袋装</w:t>
            </w:r>
          </w:p>
        </w:tc>
      </w:tr>
    </w:tbl>
    <w:p w14:paraId="3D9A9765">
      <w:pPr>
        <w:pStyle w:val="70"/>
        <w:adjustRightInd w:val="0"/>
        <w:snapToGrid w:val="0"/>
        <w:spacing w:after="0" w:line="500" w:lineRule="exact"/>
        <w:ind w:left="0" w:leftChars="0" w:firstLine="560" w:firstLineChars="200"/>
        <w:rPr>
          <w:rFonts w:eastAsia="仿宋"/>
          <w:sz w:val="28"/>
          <w:szCs w:val="28"/>
        </w:rPr>
      </w:pPr>
      <w:r>
        <w:rPr>
          <w:rFonts w:hint="eastAsia" w:eastAsia="仿宋_GB2312"/>
          <w:sz w:val="28"/>
          <w:szCs w:val="28"/>
        </w:rPr>
        <w:t>综上所述，</w:t>
      </w:r>
      <w:r>
        <w:rPr>
          <w:rFonts w:eastAsia="仿宋_GB2312"/>
          <w:sz w:val="28"/>
          <w:szCs w:val="28"/>
        </w:rPr>
        <w:t>在采取以上污染防治措施的基础上，本项目建成后全厂危废仓库设置是合理的。</w:t>
      </w:r>
    </w:p>
    <w:p w14:paraId="24FE20B6">
      <w:pPr>
        <w:keepNext/>
        <w:tabs>
          <w:tab w:val="left" w:pos="709"/>
        </w:tabs>
        <w:spacing w:after="120" w:afterLines="50" w:line="500" w:lineRule="exact"/>
        <w:outlineLvl w:val="2"/>
        <w:rPr>
          <w:rFonts w:ascii="Times New Roman" w:eastAsia="仿宋"/>
          <w:b/>
          <w:sz w:val="28"/>
          <w:szCs w:val="32"/>
        </w:rPr>
      </w:pPr>
      <w:r>
        <w:rPr>
          <w:rFonts w:hint="eastAsia" w:ascii="Times New Roman" w:eastAsia="仿宋"/>
          <w:b/>
          <w:sz w:val="28"/>
          <w:szCs w:val="32"/>
        </w:rPr>
        <w:t>6</w:t>
      </w:r>
      <w:r>
        <w:rPr>
          <w:rFonts w:ascii="Times New Roman" w:eastAsia="仿宋"/>
          <w:b/>
          <w:sz w:val="28"/>
          <w:szCs w:val="32"/>
        </w:rPr>
        <w:t>.3.7危废外运防治措施</w:t>
      </w:r>
    </w:p>
    <w:p w14:paraId="01132FFE">
      <w:pPr>
        <w:adjustRightInd w:val="0"/>
        <w:snapToGrid w:val="0"/>
        <w:spacing w:line="500" w:lineRule="exact"/>
        <w:ind w:firstLine="560" w:firstLineChars="200"/>
        <w:rPr>
          <w:rFonts w:ascii="Times New Roman" w:eastAsia="仿宋"/>
          <w:sz w:val="28"/>
          <w:szCs w:val="28"/>
        </w:rPr>
      </w:pPr>
      <w:r>
        <w:rPr>
          <w:rFonts w:ascii="Times New Roman" w:eastAsia="仿宋"/>
          <w:sz w:val="28"/>
          <w:szCs w:val="28"/>
        </w:rPr>
        <w:t>固体废物在外运过程可能发生抛洒、泄漏，造成土壤及水环境污染，对大气环境造成影响，危害沿线居民健康。因此须采取以下措施：</w:t>
      </w:r>
    </w:p>
    <w:p w14:paraId="242C7FDA">
      <w:pPr>
        <w:pStyle w:val="70"/>
        <w:adjustRightInd w:val="0"/>
        <w:snapToGrid w:val="0"/>
        <w:spacing w:after="0" w:line="500" w:lineRule="exact"/>
        <w:ind w:left="0" w:leftChars="0" w:firstLine="560" w:firstLineChars="200"/>
        <w:rPr>
          <w:rFonts w:eastAsia="仿宋"/>
          <w:sz w:val="28"/>
          <w:szCs w:val="28"/>
        </w:rPr>
      </w:pPr>
      <w:r>
        <w:rPr>
          <w:rFonts w:eastAsia="仿宋"/>
          <w:sz w:val="28"/>
          <w:szCs w:val="28"/>
        </w:rPr>
        <w:t>运输时应当采取密闭、遮盖、捆扎、喷淋等措施防止扬散；对运输危险废物的设施和设备应当加强管理和维护，保证其正常运行和使用；不能混合运输性质不相容而又未经安全性处置的危险废物；转移危险废物时，必须按照规定填危险废物转移联单，并向危险废物移出地和接受地的县级以上</w:t>
      </w:r>
      <w:r>
        <w:fldChar w:fldCharType="begin"/>
      </w:r>
      <w:r>
        <w:instrText xml:space="preserve"> HYPERLINK "https://www.baidu.com/s?wd=%E5%9C%B0%E6%96%B9%E4%BA%BA%E6%B0%91%E6%94%BF%E5%BA%9C&amp;tn=44039180_cpr&amp;fenlei=mv6quAkxTZn0IZRqIHckPjm4nH00T1d9PjTkuWPWrj9hrjPbnA790ZwV5Hcvrjm3rH6sPfKWUMw85HfYnjn4nH6sgvPsT6KdThsqpZwYTjCEQLGCpyw9Uz4Bmy-bIi4WUvYETgN-TLwGUv3En164PWb1rjcz" \t "_blank" </w:instrText>
      </w:r>
      <w:r>
        <w:fldChar w:fldCharType="separate"/>
      </w:r>
      <w:r>
        <w:rPr>
          <w:rFonts w:eastAsia="仿宋"/>
          <w:sz w:val="28"/>
          <w:szCs w:val="28"/>
        </w:rPr>
        <w:t>地方人民政府</w:t>
      </w:r>
      <w:r>
        <w:rPr>
          <w:rFonts w:eastAsia="仿宋"/>
          <w:sz w:val="28"/>
          <w:szCs w:val="28"/>
        </w:rPr>
        <w:fldChar w:fldCharType="end"/>
      </w:r>
      <w:r>
        <w:rPr>
          <w:rFonts w:eastAsia="仿宋"/>
          <w:sz w:val="28"/>
          <w:szCs w:val="28"/>
        </w:rPr>
        <w:t>环境保护行政主管部门报告；禁止将危险废物与旅客在同一运输工具上载运；运输危险废物的设施和设备在转作他用时，必须经过消除污染的处理，方可使用；运输危险废物的人员，应当接受专业培训；经考核合格后，方可从事运输危险废物的工作；运输危险废物的单位应当制定在发生意外事故时采取的应急措施和防范措施；运输时，发生突发性事故必须立即采取措施消除或者减轻对环境的污染危害，及时通报给附近的单位和居民，并向事故发生地县级以上人民政府环境保护行政主管部门和有关部门报告，接受调查处理。</w:t>
      </w:r>
    </w:p>
    <w:p w14:paraId="79700C66">
      <w:pPr>
        <w:pStyle w:val="5"/>
        <w:numPr>
          <w:ilvl w:val="0"/>
          <w:numId w:val="0"/>
        </w:numPr>
        <w:rPr>
          <w:rFonts w:eastAsia="仿宋"/>
          <w:color w:val="auto"/>
        </w:rPr>
      </w:pPr>
      <w:bookmarkStart w:id="410" w:name="_Toc226537088"/>
      <w:bookmarkStart w:id="411" w:name="_Toc182553827"/>
      <w:r>
        <w:rPr>
          <w:rFonts w:hint="eastAsia" w:eastAsia="仿宋"/>
          <w:color w:val="auto"/>
        </w:rPr>
        <w:t>6</w:t>
      </w:r>
      <w:r>
        <w:rPr>
          <w:rFonts w:eastAsia="仿宋"/>
          <w:color w:val="auto"/>
        </w:rPr>
        <w:t>.3噪声污染防治措施评述</w:t>
      </w:r>
      <w:bookmarkEnd w:id="410"/>
      <w:bookmarkEnd w:id="411"/>
    </w:p>
    <w:p w14:paraId="3276451F">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本项目</w:t>
      </w:r>
      <w:r>
        <w:rPr>
          <w:rFonts w:eastAsia="仿宋"/>
          <w:sz w:val="28"/>
          <w:szCs w:val="28"/>
        </w:rPr>
        <w:t>按照《工业企业噪声控制设计规范》对生产车间内主要噪声源合理布局：</w:t>
      </w:r>
    </w:p>
    <w:p w14:paraId="6D7348F2">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（1）</w:t>
      </w:r>
      <w:r>
        <w:rPr>
          <w:rFonts w:eastAsia="仿宋"/>
          <w:sz w:val="28"/>
          <w:szCs w:val="28"/>
        </w:rPr>
        <w:t>高噪声与低噪声设备分开布置。</w:t>
      </w:r>
    </w:p>
    <w:p w14:paraId="592B1235">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2</w:t>
      </w:r>
      <w:r>
        <w:rPr>
          <w:rFonts w:hint="eastAsia" w:eastAsia="仿宋"/>
          <w:sz w:val="28"/>
          <w:szCs w:val="28"/>
        </w:rPr>
        <w:t>）</w:t>
      </w:r>
      <w:r>
        <w:rPr>
          <w:rFonts w:eastAsia="仿宋"/>
          <w:sz w:val="28"/>
          <w:szCs w:val="28"/>
        </w:rPr>
        <w:t>在满足工艺流程要求的前提下，高噪声设备相对集中，并尽量布置在车间的一隅。</w:t>
      </w:r>
    </w:p>
    <w:p w14:paraId="28F469E4">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3</w:t>
      </w:r>
      <w:r>
        <w:rPr>
          <w:rFonts w:hint="eastAsia" w:eastAsia="仿宋"/>
          <w:sz w:val="28"/>
          <w:szCs w:val="28"/>
        </w:rPr>
        <w:t>）</w:t>
      </w:r>
      <w:r>
        <w:rPr>
          <w:rFonts w:eastAsia="仿宋"/>
          <w:sz w:val="28"/>
          <w:szCs w:val="28"/>
        </w:rPr>
        <w:t>有强烈振动的设备，不布置在楼板或平台上。</w:t>
      </w:r>
    </w:p>
    <w:p w14:paraId="63402766">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4</w:t>
      </w:r>
      <w:r>
        <w:rPr>
          <w:rFonts w:hint="eastAsia" w:eastAsia="仿宋"/>
          <w:sz w:val="28"/>
          <w:szCs w:val="28"/>
        </w:rPr>
        <w:t>）</w:t>
      </w:r>
      <w:r>
        <w:rPr>
          <w:rFonts w:eastAsia="仿宋"/>
          <w:sz w:val="28"/>
          <w:szCs w:val="28"/>
        </w:rPr>
        <w:t>设备布置时，考虑与其配用的噪声控制专用设备的安装和维修所需的空间。</w:t>
      </w:r>
    </w:p>
    <w:p w14:paraId="1B2B51F8">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5</w:t>
      </w:r>
      <w:r>
        <w:rPr>
          <w:rFonts w:hint="eastAsia" w:eastAsia="仿宋"/>
          <w:sz w:val="28"/>
          <w:szCs w:val="28"/>
        </w:rPr>
        <w:t>）</w:t>
      </w:r>
      <w:r>
        <w:rPr>
          <w:rFonts w:eastAsia="仿宋"/>
          <w:sz w:val="28"/>
          <w:szCs w:val="28"/>
        </w:rPr>
        <w:t>选用噪声较低、振动较小的设备；在对主要噪声源设备选择时，应收集和比较同类型设备的噪声指标；对于噪声较大的设备，应从设备选型开始要求供货商提供符合要求的低噪声设备。</w:t>
      </w:r>
    </w:p>
    <w:p w14:paraId="743045D1">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6</w:t>
      </w:r>
      <w:r>
        <w:rPr>
          <w:rFonts w:hint="eastAsia" w:eastAsia="仿宋"/>
          <w:sz w:val="28"/>
          <w:szCs w:val="28"/>
        </w:rPr>
        <w:t>）</w:t>
      </w:r>
      <w:r>
        <w:rPr>
          <w:rFonts w:eastAsia="仿宋"/>
          <w:sz w:val="28"/>
          <w:szCs w:val="28"/>
        </w:rPr>
        <w:t>主要噪声源布置、安装时，应尽量远离厂房边界。</w:t>
      </w:r>
    </w:p>
    <w:p w14:paraId="46196B30">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w:t>
      </w:r>
      <w:r>
        <w:rPr>
          <w:rFonts w:eastAsia="仿宋"/>
          <w:sz w:val="28"/>
          <w:szCs w:val="28"/>
        </w:rPr>
        <w:t>7</w:t>
      </w:r>
      <w:r>
        <w:rPr>
          <w:rFonts w:hint="eastAsia" w:eastAsia="仿宋"/>
          <w:sz w:val="28"/>
          <w:szCs w:val="28"/>
        </w:rPr>
        <w:t>）</w:t>
      </w:r>
      <w:r>
        <w:rPr>
          <w:rFonts w:eastAsia="仿宋"/>
          <w:sz w:val="28"/>
          <w:szCs w:val="28"/>
        </w:rPr>
        <w:t>加强生产管理，对主要噪声源采取相应的治理措施。</w:t>
      </w:r>
    </w:p>
    <w:p w14:paraId="52EFE1F7">
      <w:pPr>
        <w:pStyle w:val="70"/>
        <w:adjustRightInd w:val="0"/>
        <w:snapToGrid w:val="0"/>
        <w:spacing w:after="0" w:line="500" w:lineRule="exact"/>
        <w:ind w:left="0" w:leftChars="0" w:firstLine="561"/>
        <w:rPr>
          <w:rFonts w:eastAsia="仿宋"/>
          <w:sz w:val="28"/>
          <w:szCs w:val="28"/>
        </w:rPr>
      </w:pPr>
      <w:r>
        <w:rPr>
          <w:rFonts w:eastAsia="仿宋"/>
          <w:sz w:val="28"/>
          <w:szCs w:val="28"/>
        </w:rPr>
        <w:t>在运行管理人员集中的控制室，其门窗等应进行隔声处理，使员工工作环境达到允许噪声标准；值班人员或检修人员应加强个体防护，配戴防噪耳塞、耳罩等。</w:t>
      </w:r>
    </w:p>
    <w:p w14:paraId="73A580F0">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对室外噪声源如空压机、风机、水泵等采取以下措施：</w:t>
      </w:r>
    </w:p>
    <w:p w14:paraId="3B1A32D5">
      <w:pPr>
        <w:pStyle w:val="70"/>
        <w:adjustRightInd w:val="0"/>
        <w:snapToGrid w:val="0"/>
        <w:spacing w:after="0" w:line="500" w:lineRule="exact"/>
        <w:ind w:left="0" w:leftChars="0" w:firstLine="561"/>
        <w:rPr>
          <w:rFonts w:eastAsia="仿宋"/>
          <w:sz w:val="28"/>
          <w:szCs w:val="28"/>
        </w:rPr>
      </w:pPr>
      <w:r>
        <w:rPr>
          <w:rFonts w:hint="eastAsia" w:eastAsia="仿宋"/>
          <w:sz w:val="28"/>
          <w:szCs w:val="28"/>
        </w:rPr>
        <w:t>（1）</w:t>
      </w:r>
      <w:r>
        <w:rPr>
          <w:rFonts w:eastAsia="仿宋"/>
          <w:sz w:val="28"/>
          <w:szCs w:val="28"/>
        </w:rPr>
        <w:t>空压机</w:t>
      </w:r>
      <w:r>
        <w:rPr>
          <w:rFonts w:hint="eastAsia" w:eastAsia="仿宋"/>
          <w:sz w:val="28"/>
          <w:szCs w:val="28"/>
        </w:rPr>
        <w:t>、风机</w:t>
      </w:r>
      <w:r>
        <w:rPr>
          <w:rFonts w:eastAsia="仿宋"/>
          <w:sz w:val="28"/>
          <w:szCs w:val="28"/>
        </w:rPr>
        <w:t>噪声采用安装消声器、设置隔声罩以及尽量选用螺杆式空压机以消除脉冲噪声。</w:t>
      </w:r>
    </w:p>
    <w:p w14:paraId="27CE4E37">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（2）</w:t>
      </w:r>
      <w:r>
        <w:rPr>
          <w:rFonts w:ascii="Times New Roman" w:eastAsia="仿宋"/>
          <w:kern w:val="2"/>
          <w:sz w:val="28"/>
          <w:szCs w:val="28"/>
        </w:rPr>
        <w:t>对于水泵进行减振，</w:t>
      </w:r>
      <w:r>
        <w:rPr>
          <w:rFonts w:hint="eastAsia" w:ascii="Times New Roman" w:eastAsia="仿宋"/>
          <w:kern w:val="2"/>
          <w:sz w:val="28"/>
          <w:szCs w:val="28"/>
        </w:rPr>
        <w:t>在水泵底座安装隔振器或弹性衬垫材料；</w:t>
      </w:r>
    </w:p>
    <w:p w14:paraId="00819B3C">
      <w:pPr>
        <w:spacing w:line="500" w:lineRule="exact"/>
        <w:ind w:firstLine="560" w:firstLineChars="200"/>
        <w:rPr>
          <w:rFonts w:ascii="Times New Roman" w:eastAsia="仿宋"/>
          <w:kern w:val="2"/>
          <w:sz w:val="28"/>
          <w:szCs w:val="28"/>
        </w:rPr>
      </w:pPr>
      <w:r>
        <w:rPr>
          <w:rFonts w:hint="eastAsia" w:ascii="Times New Roman" w:eastAsia="仿宋"/>
          <w:kern w:val="2"/>
          <w:sz w:val="28"/>
          <w:szCs w:val="28"/>
        </w:rPr>
        <w:t>（3）</w:t>
      </w:r>
      <w:r>
        <w:rPr>
          <w:rFonts w:ascii="Times New Roman" w:eastAsia="仿宋"/>
          <w:kern w:val="2"/>
          <w:sz w:val="28"/>
          <w:szCs w:val="28"/>
        </w:rPr>
        <w:t>厂界周围种植高大树木，增加立体防噪效果，既美化环境又达到降尘和降噪的双重作用。</w:t>
      </w:r>
    </w:p>
    <w:p w14:paraId="3C71B1BA">
      <w:pPr>
        <w:spacing w:line="500" w:lineRule="exact"/>
        <w:ind w:firstLine="560" w:firstLineChars="200"/>
        <w:rPr>
          <w:rFonts w:ascii="Times New Roman" w:eastAsia="仿宋"/>
          <w:kern w:val="2"/>
          <w:sz w:val="28"/>
          <w:szCs w:val="28"/>
        </w:rPr>
      </w:pPr>
      <w:r>
        <w:rPr>
          <w:rFonts w:ascii="Times New Roman" w:eastAsia="仿宋"/>
          <w:kern w:val="2"/>
          <w:sz w:val="28"/>
          <w:szCs w:val="28"/>
        </w:rPr>
        <w:t>此外，针对厂区运输车辆所产生的交通噪声，采取限制超载、定期保养车辆、厂区禁按喇叭等措施以降低交通噪声。</w:t>
      </w:r>
    </w:p>
    <w:p w14:paraId="1F1859DA">
      <w:pPr>
        <w:pStyle w:val="5"/>
        <w:numPr>
          <w:ilvl w:val="1"/>
          <w:numId w:val="0"/>
        </w:numPr>
        <w:rPr>
          <w:rFonts w:eastAsia="仿宋"/>
          <w:color w:val="auto"/>
        </w:rPr>
      </w:pPr>
      <w:bookmarkStart w:id="412" w:name="_Toc182553828"/>
      <w:bookmarkStart w:id="413" w:name="_Toc172525416"/>
      <w:bookmarkStart w:id="414" w:name="_Toc189730816"/>
      <w:r>
        <w:rPr>
          <w:rFonts w:hint="eastAsia" w:eastAsia="仿宋"/>
          <w:color w:val="auto"/>
        </w:rPr>
        <w:t>6.4</w:t>
      </w:r>
      <w:r>
        <w:rPr>
          <w:rFonts w:eastAsia="仿宋"/>
          <w:color w:val="auto"/>
        </w:rPr>
        <w:t>土壤、地下水污染防治措施及可行性分析</w:t>
      </w:r>
      <w:bookmarkEnd w:id="412"/>
      <w:bookmarkEnd w:id="413"/>
      <w:bookmarkEnd w:id="414"/>
    </w:p>
    <w:p w14:paraId="44DBEB95">
      <w:pPr>
        <w:spacing w:line="500" w:lineRule="exact"/>
        <w:ind w:firstLine="560" w:firstLineChars="200"/>
        <w:rPr>
          <w:rFonts w:eastAsia="仿宋"/>
          <w:sz w:val="28"/>
          <w:szCs w:val="28"/>
        </w:rPr>
      </w:pPr>
      <w:r>
        <w:rPr>
          <w:rFonts w:eastAsia="仿宋"/>
          <w:sz w:val="28"/>
          <w:szCs w:val="28"/>
        </w:rPr>
        <w:t>本项目</w:t>
      </w:r>
      <w:r>
        <w:rPr>
          <w:rFonts w:hint="eastAsia" w:eastAsia="仿宋"/>
          <w:sz w:val="28"/>
          <w:szCs w:val="28"/>
        </w:rPr>
        <w:t>在已建成的车间内进行生产，涉及</w:t>
      </w:r>
      <w:r>
        <w:rPr>
          <w:rFonts w:eastAsia="仿宋"/>
          <w:sz w:val="28"/>
          <w:szCs w:val="28"/>
        </w:rPr>
        <w:t>对土壤、地下水的可能影响主要为</w:t>
      </w:r>
      <w:r>
        <w:rPr>
          <w:rFonts w:hint="eastAsia" w:eastAsia="仿宋"/>
          <w:sz w:val="28"/>
          <w:szCs w:val="28"/>
        </w:rPr>
        <w:t>涂装及表面处理区域、原材料库、调漆间、危废仓库、污水处理站、事故应急池等</w:t>
      </w:r>
      <w:r>
        <w:rPr>
          <w:rFonts w:eastAsia="仿宋"/>
          <w:sz w:val="28"/>
          <w:szCs w:val="28"/>
        </w:rPr>
        <w:t>。</w:t>
      </w:r>
    </w:p>
    <w:p w14:paraId="59831BD6">
      <w:pPr>
        <w:pStyle w:val="6"/>
        <w:spacing w:before="120" w:after="120" w:line="500" w:lineRule="exact"/>
        <w:rPr>
          <w:rFonts w:ascii="Times New Roman" w:eastAsia="仿宋"/>
        </w:rPr>
      </w:pPr>
      <w:r>
        <w:rPr>
          <w:rFonts w:ascii="Times New Roman" w:eastAsia="仿宋"/>
          <w:bCs w:val="0"/>
        </w:rPr>
        <w:t>6.</w:t>
      </w:r>
      <w:r>
        <w:rPr>
          <w:rFonts w:hint="eastAsia" w:ascii="Times New Roman" w:eastAsia="仿宋"/>
          <w:bCs w:val="0"/>
        </w:rPr>
        <w:t>4</w:t>
      </w:r>
      <w:r>
        <w:rPr>
          <w:rFonts w:ascii="Times New Roman" w:eastAsia="仿宋"/>
          <w:bCs w:val="0"/>
        </w:rPr>
        <w:t>.1源头控制措施</w:t>
      </w:r>
    </w:p>
    <w:p w14:paraId="221A06B3">
      <w:pPr>
        <w:spacing w:line="500" w:lineRule="exact"/>
        <w:ind w:firstLine="560" w:firstLineChars="200"/>
        <w:rPr>
          <w:rFonts w:eastAsia="仿宋"/>
          <w:sz w:val="28"/>
          <w:szCs w:val="28"/>
        </w:rPr>
      </w:pPr>
      <w:r>
        <w:rPr>
          <w:rFonts w:eastAsia="仿宋"/>
          <w:sz w:val="28"/>
          <w:szCs w:val="28"/>
        </w:rPr>
        <w:t>为保护地下水环境，采取防控措施从源头控制对地下水的污染。实施清洁生产和循环经济，减少污染物的排放量。从设计、管理各种工艺设备和物料运输管线上，防止和减少污染物的跑冒滴漏，合理布局，减少污染物的泄漏途径。</w:t>
      </w:r>
    </w:p>
    <w:p w14:paraId="7CAC3575">
      <w:pPr>
        <w:pStyle w:val="6"/>
        <w:spacing w:before="120" w:after="120" w:line="500" w:lineRule="exact"/>
        <w:rPr>
          <w:rFonts w:ascii="Times New Roman" w:eastAsia="仿宋"/>
          <w:bCs w:val="0"/>
        </w:rPr>
      </w:pPr>
      <w:r>
        <w:rPr>
          <w:rFonts w:ascii="Times New Roman" w:eastAsia="仿宋"/>
          <w:bCs w:val="0"/>
        </w:rPr>
        <w:t>6.</w:t>
      </w:r>
      <w:r>
        <w:rPr>
          <w:rFonts w:hint="eastAsia" w:ascii="Times New Roman" w:eastAsia="仿宋"/>
          <w:bCs w:val="0"/>
        </w:rPr>
        <w:t>4</w:t>
      </w:r>
      <w:r>
        <w:rPr>
          <w:rFonts w:ascii="Times New Roman" w:eastAsia="仿宋"/>
          <w:bCs w:val="0"/>
        </w:rPr>
        <w:t>.2分区防控措施</w:t>
      </w:r>
    </w:p>
    <w:p w14:paraId="1C55485F">
      <w:pPr>
        <w:snapToGrid w:val="0"/>
        <w:spacing w:line="500" w:lineRule="exact"/>
        <w:ind w:firstLine="465"/>
        <w:textAlignment w:val="baseline"/>
        <w:rPr>
          <w:rFonts w:ascii="Times New Roman" w:eastAsia="仿宋"/>
          <w:sz w:val="28"/>
          <w:szCs w:val="28"/>
        </w:rPr>
      </w:pPr>
      <w:r>
        <w:rPr>
          <w:rFonts w:ascii="Times New Roman" w:eastAsia="仿宋"/>
          <w:sz w:val="28"/>
          <w:szCs w:val="28"/>
        </w:rPr>
        <w:t>防渗处理是防止地下水污染的重要环保保护措施，也是杜绝地下水污染的最后一道防线。依据项目区域水文地质情况及项目特点，提出如下污染防治措施及防渗要求：一般防渗区和重点防渗区。污染区则应按照不同分区要求，采取不同等级的防渗措施，并确保其可靠性和有效性。一般污染区的防渗设计应满足《一般工业固体废物贮存和填埋污染控制标准》（GB 18599-2020）</w:t>
      </w:r>
      <w:r>
        <w:rPr>
          <w:rFonts w:hint="eastAsia" w:ascii="Times New Roman" w:eastAsia="仿宋"/>
          <w:sz w:val="28"/>
          <w:szCs w:val="28"/>
        </w:rPr>
        <w:t>；</w:t>
      </w:r>
      <w:r>
        <w:rPr>
          <w:rFonts w:ascii="Times New Roman" w:eastAsia="仿宋"/>
          <w:sz w:val="28"/>
          <w:szCs w:val="28"/>
        </w:rPr>
        <w:t>重点防渗区的防渗设计应满足《危险废物贮存污染控制标准》（GB18597-</w:t>
      </w:r>
      <w:r>
        <w:rPr>
          <w:rFonts w:hint="eastAsia" w:ascii="Times New Roman" w:eastAsia="仿宋"/>
          <w:sz w:val="28"/>
          <w:szCs w:val="28"/>
        </w:rPr>
        <w:t>2023</w:t>
      </w:r>
      <w:r>
        <w:rPr>
          <w:rFonts w:ascii="Times New Roman" w:eastAsia="仿宋"/>
          <w:sz w:val="28"/>
          <w:szCs w:val="28"/>
        </w:rPr>
        <w:t>)要求。厂区防渗分区划分及防渗等级见表6.3-3，设计采取的各项防渗措施具体见表6.3-4，</w:t>
      </w:r>
      <w:r>
        <w:rPr>
          <w:rFonts w:ascii="Times New Roman" w:eastAsia="仿宋"/>
          <w:b/>
          <w:sz w:val="28"/>
          <w:szCs w:val="28"/>
        </w:rPr>
        <w:t>厂区地下水防渗分区图见图6.5-1。</w:t>
      </w:r>
    </w:p>
    <w:p w14:paraId="08351712">
      <w:pPr>
        <w:spacing w:line="500" w:lineRule="exact"/>
        <w:ind w:firstLine="560" w:firstLineChars="200"/>
        <w:jc w:val="left"/>
        <w:rPr>
          <w:rFonts w:eastAsia="仿宋"/>
          <w:sz w:val="28"/>
          <w:szCs w:val="28"/>
        </w:rPr>
      </w:pPr>
      <w:r>
        <w:rPr>
          <w:rFonts w:eastAsia="仿宋"/>
          <w:sz w:val="28"/>
          <w:szCs w:val="28"/>
        </w:rPr>
        <w:t>厂区严格按照不同分区要求建设，</w:t>
      </w:r>
      <w:r>
        <w:rPr>
          <w:rFonts w:hint="eastAsia" w:eastAsia="仿宋"/>
          <w:sz w:val="28"/>
          <w:szCs w:val="28"/>
        </w:rPr>
        <w:t>重点防渗区包括涂装及表面处理区域、油漆仓库、调漆间、危废仓库、污水处理站、事故应急池等；一般防渗区包括办公室、车间内其他区域。</w:t>
      </w:r>
    </w:p>
    <w:p w14:paraId="672D466F">
      <w:pPr>
        <w:spacing w:line="500" w:lineRule="exact"/>
        <w:ind w:firstLine="560" w:firstLineChars="200"/>
        <w:jc w:val="left"/>
        <w:rPr>
          <w:rFonts w:eastAsia="仿宋"/>
          <w:sz w:val="28"/>
          <w:szCs w:val="28"/>
        </w:rPr>
      </w:pPr>
      <w:r>
        <w:rPr>
          <w:rFonts w:hint="eastAsia" w:eastAsia="仿宋"/>
          <w:sz w:val="28"/>
          <w:szCs w:val="28"/>
        </w:rPr>
        <w:t>具体要求如下：</w:t>
      </w:r>
    </w:p>
    <w:p w14:paraId="3A11BB5F">
      <w:pPr>
        <w:snapToGrid w:val="0"/>
        <w:spacing w:line="500" w:lineRule="exact"/>
        <w:ind w:firstLine="465"/>
        <w:textAlignment w:val="baseline"/>
        <w:rPr>
          <w:rFonts w:ascii="Times New Roman" w:eastAsia="仿宋"/>
          <w:sz w:val="28"/>
          <w:szCs w:val="28"/>
        </w:rPr>
      </w:pPr>
      <w:r>
        <w:rPr>
          <w:rFonts w:hint="eastAsia" w:eastAsia="仿宋"/>
          <w:sz w:val="28"/>
          <w:szCs w:val="28"/>
        </w:rPr>
        <w:t>（1）重点防渗区：</w:t>
      </w:r>
      <w:r>
        <w:rPr>
          <w:rFonts w:eastAsia="仿宋"/>
          <w:sz w:val="28"/>
          <w:szCs w:val="28"/>
        </w:rPr>
        <w:t>本项目</w:t>
      </w:r>
      <w:r>
        <w:rPr>
          <w:rFonts w:hint="eastAsia" w:eastAsia="仿宋"/>
          <w:sz w:val="28"/>
          <w:szCs w:val="28"/>
        </w:rPr>
        <w:t>涂装及表面处理区域、油漆仓库、调</w:t>
      </w:r>
      <w:r>
        <w:rPr>
          <w:rFonts w:hint="eastAsia" w:ascii="Times New Roman" w:eastAsia="仿宋"/>
          <w:sz w:val="28"/>
          <w:szCs w:val="28"/>
        </w:rPr>
        <w:t>漆间、危废仓库、污水处理站、事故应急池</w:t>
      </w:r>
      <w:r>
        <w:rPr>
          <w:rFonts w:ascii="Times New Roman" w:eastAsia="仿宋"/>
          <w:sz w:val="28"/>
          <w:szCs w:val="28"/>
        </w:rPr>
        <w:t>将采取有效的防渗措施，基础底层拟采用的防渗层为至少1米厚粘土层(渗透系数≤10</w:t>
      </w:r>
      <w:r>
        <w:rPr>
          <w:rFonts w:ascii="Times New Roman" w:eastAsia="仿宋"/>
          <w:sz w:val="28"/>
          <w:szCs w:val="28"/>
          <w:vertAlign w:val="superscript"/>
        </w:rPr>
        <w:t>-7</w:t>
      </w:r>
      <w:r>
        <w:rPr>
          <w:rFonts w:ascii="Times New Roman" w:eastAsia="仿宋"/>
          <w:sz w:val="28"/>
          <w:szCs w:val="28"/>
        </w:rPr>
        <w:t>厘米/秒)，或2毫米厚的高密度聚乙烯，或至少采用渗透系数≤10</w:t>
      </w:r>
      <w:r>
        <w:rPr>
          <w:rFonts w:ascii="Times New Roman" w:eastAsia="仿宋"/>
          <w:sz w:val="28"/>
          <w:szCs w:val="28"/>
          <w:vertAlign w:val="superscript"/>
        </w:rPr>
        <w:t>-10</w:t>
      </w:r>
      <w:r>
        <w:rPr>
          <w:rFonts w:ascii="Times New Roman" w:eastAsia="仿宋"/>
          <w:sz w:val="28"/>
          <w:szCs w:val="28"/>
        </w:rPr>
        <w:t>厘米/秒的2毫米厚</w:t>
      </w:r>
      <w:r>
        <w:rPr>
          <w:rFonts w:hint="eastAsia" w:ascii="Times New Roman" w:eastAsia="仿宋"/>
          <w:sz w:val="28"/>
          <w:szCs w:val="28"/>
        </w:rPr>
        <w:t>的其他</w:t>
      </w:r>
      <w:r>
        <w:rPr>
          <w:rFonts w:ascii="Times New Roman" w:eastAsia="仿宋"/>
          <w:sz w:val="28"/>
          <w:szCs w:val="28"/>
        </w:rPr>
        <w:t>人工材料。</w:t>
      </w:r>
    </w:p>
    <w:p w14:paraId="0B832578">
      <w:pPr>
        <w:snapToGrid w:val="0"/>
        <w:spacing w:line="500" w:lineRule="exact"/>
        <w:ind w:firstLine="465"/>
        <w:textAlignment w:val="baseline"/>
        <w:rPr>
          <w:rFonts w:ascii="Times New Roman" w:eastAsia="仿宋"/>
          <w:sz w:val="28"/>
          <w:szCs w:val="28"/>
        </w:rPr>
      </w:pPr>
      <w:r>
        <w:rPr>
          <w:rFonts w:ascii="Times New Roman" w:eastAsia="仿宋"/>
          <w:sz w:val="28"/>
          <w:szCs w:val="28"/>
        </w:rPr>
        <w:t>重点污染区的防渗设计参照《危险废物贮存污染控制标准》（GB18597</w:t>
      </w:r>
      <w:r>
        <w:rPr>
          <w:rFonts w:hint="eastAsia" w:ascii="Times New Roman" w:eastAsia="仿宋"/>
          <w:sz w:val="28"/>
          <w:szCs w:val="28"/>
        </w:rPr>
        <w:t>-2023）</w:t>
      </w:r>
      <w:r>
        <w:rPr>
          <w:rFonts w:ascii="Times New Roman" w:eastAsia="仿宋"/>
          <w:sz w:val="28"/>
          <w:szCs w:val="28"/>
        </w:rPr>
        <w:t>、《一般工业固体废物贮存和填埋污染控制标准》(GB18599-2020)及标准修改单（环境保护部公告2013年第36号，2013年6月8日）要求。生产车间、危废仓库</w:t>
      </w:r>
      <w:r>
        <w:rPr>
          <w:rFonts w:hint="eastAsia" w:ascii="Times New Roman" w:eastAsia="仿宋"/>
          <w:sz w:val="28"/>
          <w:szCs w:val="28"/>
        </w:rPr>
        <w:t>等</w:t>
      </w:r>
      <w:r>
        <w:rPr>
          <w:rFonts w:ascii="Times New Roman" w:eastAsia="仿宋"/>
          <w:sz w:val="28"/>
          <w:szCs w:val="28"/>
        </w:rPr>
        <w:t>防渗措施设置于地面以上，便于跑、冒、滴、漏的直接观察；严格按照建筑防渗设计规范，采用高标号的防水混凝土；地坪做严格的防渗措施；事故应急池的各环节（包括各集水池、管线）要进行特殊防渗处理。参照国家GB18597-2023中的防渗设计要求，进行天然基础层、复合衬层或双人工衬层设计建设，采取高标准的防渗处理措施；污水处理站、消防水池等池体采用高标号的防水混凝土，并按照水压计算，严格按照建筑防渗波</w:t>
      </w:r>
      <w:r>
        <w:rPr>
          <w:rFonts w:hint="eastAsia" w:ascii="Times New Roman" w:eastAsia="仿宋"/>
          <w:sz w:val="28"/>
          <w:szCs w:val="28"/>
        </w:rPr>
        <w:t>设计</w:t>
      </w:r>
      <w:r>
        <w:rPr>
          <w:rFonts w:ascii="Times New Roman" w:eastAsia="仿宋"/>
          <w:sz w:val="28"/>
          <w:szCs w:val="28"/>
        </w:rPr>
        <w:t>规范，采用足够厚度的钢筋混凝土结构；对池体内壁作防渗处理；严格按照施工规范施工，保证施工质量，保证无废水渗漏。</w:t>
      </w:r>
    </w:p>
    <w:p w14:paraId="001F197A">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（2）一般防渗区</w:t>
      </w:r>
    </w:p>
    <w:p w14:paraId="00FCD76E">
      <w:pPr>
        <w:snapToGrid w:val="0"/>
        <w:spacing w:line="500" w:lineRule="exact"/>
        <w:ind w:firstLine="465"/>
        <w:textAlignment w:val="baseline"/>
        <w:rPr>
          <w:rFonts w:ascii="Times New Roman" w:eastAsia="仿宋"/>
          <w:sz w:val="28"/>
          <w:szCs w:val="28"/>
        </w:rPr>
      </w:pPr>
      <w:r>
        <w:rPr>
          <w:rFonts w:hint="eastAsia" w:ascii="Times New Roman" w:eastAsia="仿宋"/>
          <w:sz w:val="28"/>
          <w:szCs w:val="28"/>
        </w:rPr>
        <w:t>一般防渗区</w:t>
      </w:r>
      <w:r>
        <w:rPr>
          <w:rFonts w:ascii="Times New Roman" w:eastAsia="仿宋"/>
          <w:sz w:val="28"/>
          <w:szCs w:val="28"/>
        </w:rPr>
        <w:t>采用抗渗等级不低于P1级的抗渗混凝土（渗透系数约0.4×10</w:t>
      </w:r>
      <w:r>
        <w:rPr>
          <w:rFonts w:ascii="Times New Roman" w:eastAsia="仿宋"/>
          <w:sz w:val="28"/>
          <w:szCs w:val="28"/>
          <w:vertAlign w:val="superscript"/>
        </w:rPr>
        <w:t>-7</w:t>
      </w:r>
      <w:r>
        <w:rPr>
          <w:rFonts w:ascii="Times New Roman" w:eastAsia="仿宋"/>
          <w:sz w:val="28"/>
          <w:szCs w:val="28"/>
        </w:rPr>
        <w:t>cm/s，厚度不低于20cm）硬化地面。</w:t>
      </w:r>
    </w:p>
    <w:p w14:paraId="30D86938">
      <w:pPr>
        <w:snapToGrid w:val="0"/>
        <w:spacing w:line="500" w:lineRule="exact"/>
        <w:ind w:firstLine="465"/>
        <w:textAlignment w:val="baseline"/>
        <w:rPr>
          <w:rFonts w:ascii="Times New Roman" w:eastAsia="仿宋"/>
          <w:sz w:val="28"/>
          <w:szCs w:val="28"/>
        </w:rPr>
      </w:pPr>
      <w:r>
        <w:rPr>
          <w:rFonts w:ascii="Times New Roman" w:eastAsia="仿宋"/>
          <w:sz w:val="28"/>
          <w:szCs w:val="28"/>
        </w:rPr>
        <w:t>采取以上措施后能有效地防止废水或废液下渗污染地下水及土壤。</w:t>
      </w:r>
      <w:r>
        <w:rPr>
          <w:rFonts w:hint="eastAsia" w:ascii="Times New Roman" w:eastAsia="仿宋"/>
          <w:sz w:val="28"/>
          <w:szCs w:val="28"/>
        </w:rPr>
        <w:t>不同防渗分区防渗层示意图见下表。</w:t>
      </w:r>
    </w:p>
    <w:p w14:paraId="2F4372E0">
      <w:pPr>
        <w:autoSpaceDE w:val="0"/>
        <w:autoSpaceDN w:val="0"/>
        <w:spacing w:line="500" w:lineRule="exact"/>
        <w:jc w:val="center"/>
        <w:rPr>
          <w:rFonts w:ascii="Times New Roman" w:eastAsia="仿宋"/>
          <w:b/>
        </w:rPr>
      </w:pPr>
      <w:r>
        <w:rPr>
          <w:rFonts w:ascii="Times New Roman" w:eastAsia="仿宋"/>
          <w:b/>
        </w:rPr>
        <w:t xml:space="preserve">6.3-3 </w:t>
      </w:r>
      <w:r>
        <w:rPr>
          <w:rFonts w:hint="eastAsia" w:ascii="Times New Roman" w:eastAsia="仿宋"/>
          <w:b/>
        </w:rPr>
        <w:t>不同防渗分区防渗层示意图</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6961"/>
      </w:tblGrid>
      <w:tr w14:paraId="3D68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61" w:type="dxa"/>
            <w:vAlign w:val="center"/>
          </w:tcPr>
          <w:p w14:paraId="0A2885A9">
            <w:pPr>
              <w:jc w:val="center"/>
              <w:rPr>
                <w:rFonts w:ascii="Times New Roman" w:eastAsia="仿宋"/>
                <w:bCs/>
                <w:szCs w:val="21"/>
              </w:rPr>
            </w:pPr>
            <w:r>
              <w:rPr>
                <w:rFonts w:ascii="Times New Roman" w:eastAsia="仿宋"/>
                <w:bCs/>
                <w:szCs w:val="21"/>
              </w:rPr>
              <w:t>防渗区</w:t>
            </w:r>
          </w:p>
        </w:tc>
        <w:tc>
          <w:tcPr>
            <w:tcW w:w="6961" w:type="dxa"/>
            <w:vAlign w:val="center"/>
          </w:tcPr>
          <w:p w14:paraId="36DA089B">
            <w:pPr>
              <w:widowControl/>
              <w:snapToGrid w:val="0"/>
              <w:spacing w:before="100" w:after="100" w:line="240" w:lineRule="atLeast"/>
              <w:jc w:val="center"/>
              <w:rPr>
                <w:rFonts w:ascii="Times New Roman" w:eastAsia="仿宋"/>
                <w:bCs/>
                <w:szCs w:val="21"/>
              </w:rPr>
            </w:pPr>
            <w:r>
              <w:rPr>
                <w:rFonts w:ascii="Times New Roman" w:eastAsia="仿宋"/>
                <w:bCs/>
                <w:szCs w:val="21"/>
              </w:rPr>
              <w:t>防渗层示意图</w:t>
            </w:r>
          </w:p>
        </w:tc>
      </w:tr>
      <w:tr w14:paraId="574A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1B31E6A1">
            <w:pPr>
              <w:jc w:val="center"/>
              <w:rPr>
                <w:rFonts w:ascii="Times New Roman" w:eastAsia="仿宋"/>
                <w:bCs/>
                <w:szCs w:val="21"/>
              </w:rPr>
            </w:pPr>
            <w:r>
              <w:rPr>
                <w:rFonts w:ascii="Times New Roman" w:eastAsia="仿宋"/>
                <w:bCs/>
                <w:szCs w:val="21"/>
              </w:rPr>
              <w:t>重点防渗区</w:t>
            </w:r>
          </w:p>
        </w:tc>
        <w:tc>
          <w:tcPr>
            <w:tcW w:w="6961" w:type="dxa"/>
            <w:vAlign w:val="center"/>
          </w:tcPr>
          <w:p w14:paraId="5A8628DE">
            <w:pPr>
              <w:widowControl/>
              <w:snapToGrid w:val="0"/>
              <w:spacing w:before="100" w:after="100" w:line="240" w:lineRule="atLeast"/>
              <w:jc w:val="center"/>
              <w:rPr>
                <w:rFonts w:eastAsia="仿宋_GB2312"/>
              </w:rPr>
            </w:pPr>
            <w:r>
              <w:rPr>
                <w:rFonts w:eastAsia="仿宋_GB2312"/>
              </w:rPr>
              <w:drawing>
                <wp:inline distT="0" distB="0" distL="0" distR="0">
                  <wp:extent cx="2456815" cy="1837055"/>
                  <wp:effectExtent l="0" t="0" r="0" b="0"/>
                  <wp:docPr id="75" name="图片 2" descr="155271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155271542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456815" cy="1837055"/>
                          </a:xfrm>
                          <a:prstGeom prst="rect">
                            <a:avLst/>
                          </a:prstGeom>
                          <a:noFill/>
                          <a:ln>
                            <a:noFill/>
                          </a:ln>
                        </pic:spPr>
                      </pic:pic>
                    </a:graphicData>
                  </a:graphic>
                </wp:inline>
              </w:drawing>
            </w:r>
          </w:p>
        </w:tc>
      </w:tr>
      <w:tr w14:paraId="186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7A63C9F8">
            <w:pPr>
              <w:jc w:val="center"/>
              <w:rPr>
                <w:rFonts w:ascii="Times New Roman" w:eastAsia="仿宋"/>
                <w:bCs/>
                <w:szCs w:val="21"/>
              </w:rPr>
            </w:pPr>
            <w:r>
              <w:rPr>
                <w:rFonts w:ascii="Times New Roman" w:eastAsia="仿宋"/>
                <w:bCs/>
                <w:szCs w:val="21"/>
              </w:rPr>
              <w:t>一般防渗区</w:t>
            </w:r>
          </w:p>
        </w:tc>
        <w:tc>
          <w:tcPr>
            <w:tcW w:w="6961" w:type="dxa"/>
            <w:vAlign w:val="center"/>
          </w:tcPr>
          <w:p w14:paraId="03BF0FA4">
            <w:pPr>
              <w:widowControl/>
              <w:snapToGrid w:val="0"/>
              <w:spacing w:before="100" w:after="100" w:line="240" w:lineRule="atLeast"/>
              <w:jc w:val="center"/>
              <w:rPr>
                <w:rFonts w:eastAsia="仿宋_GB2312"/>
              </w:rPr>
            </w:pPr>
            <w:r>
              <w:rPr>
                <w:rFonts w:eastAsia="仿宋_GB2312"/>
              </w:rPr>
              <w:drawing>
                <wp:inline distT="0" distB="0" distL="0" distR="0">
                  <wp:extent cx="2536190" cy="572770"/>
                  <wp:effectExtent l="0" t="0" r="0" b="0"/>
                  <wp:docPr id="76" name="图片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descr="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536190" cy="572770"/>
                          </a:xfrm>
                          <a:prstGeom prst="rect">
                            <a:avLst/>
                          </a:prstGeom>
                          <a:noFill/>
                          <a:ln>
                            <a:noFill/>
                          </a:ln>
                        </pic:spPr>
                      </pic:pic>
                    </a:graphicData>
                  </a:graphic>
                </wp:inline>
              </w:drawing>
            </w:r>
          </w:p>
        </w:tc>
      </w:tr>
    </w:tbl>
    <w:p w14:paraId="680F1DF1">
      <w:pPr>
        <w:spacing w:line="500" w:lineRule="exact"/>
        <w:ind w:firstLine="560" w:firstLineChars="200"/>
        <w:jc w:val="left"/>
        <w:rPr>
          <w:rFonts w:eastAsia="仿宋"/>
          <w:sz w:val="28"/>
          <w:szCs w:val="28"/>
        </w:rPr>
      </w:pPr>
      <w:r>
        <w:rPr>
          <w:rFonts w:eastAsia="仿宋"/>
          <w:sz w:val="28"/>
          <w:szCs w:val="28"/>
        </w:rPr>
        <w:t>本项目除重点需关注重点防渗区防渗外，还需重点关注废水等输送管道、阀门的防渗措施。</w:t>
      </w:r>
    </w:p>
    <w:p w14:paraId="3C7458BF">
      <w:pPr>
        <w:autoSpaceDE w:val="0"/>
        <w:autoSpaceDN w:val="0"/>
        <w:spacing w:line="500" w:lineRule="exact"/>
        <w:jc w:val="center"/>
        <w:rPr>
          <w:rFonts w:ascii="Times New Roman" w:eastAsia="仿宋"/>
          <w:b/>
        </w:rPr>
      </w:pPr>
      <w:r>
        <w:rPr>
          <w:rFonts w:ascii="Times New Roman" w:eastAsia="仿宋"/>
          <w:b/>
        </w:rPr>
        <w:t>6.3-4 厂区污染区划分及防渗等级一览表</w:t>
      </w:r>
    </w:p>
    <w:tbl>
      <w:tblPr>
        <w:tblStyle w:val="8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9"/>
        <w:gridCol w:w="1120"/>
        <w:gridCol w:w="1819"/>
        <w:gridCol w:w="1541"/>
        <w:gridCol w:w="3233"/>
      </w:tblGrid>
      <w:tr w14:paraId="7EC43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51" w:type="dxa"/>
            <w:gridSpan w:val="2"/>
            <w:vAlign w:val="center"/>
          </w:tcPr>
          <w:p w14:paraId="45FA05DF">
            <w:pPr>
              <w:jc w:val="center"/>
              <w:rPr>
                <w:rFonts w:ascii="Times New Roman" w:eastAsia="仿宋"/>
                <w:bCs/>
                <w:szCs w:val="21"/>
              </w:rPr>
            </w:pPr>
            <w:r>
              <w:rPr>
                <w:rFonts w:ascii="Times New Roman" w:eastAsia="仿宋"/>
                <w:bCs/>
                <w:szCs w:val="21"/>
              </w:rPr>
              <w:t>分区</w:t>
            </w:r>
          </w:p>
        </w:tc>
        <w:tc>
          <w:tcPr>
            <w:tcW w:w="1843" w:type="dxa"/>
            <w:vAlign w:val="center"/>
          </w:tcPr>
          <w:p w14:paraId="50BD10CB">
            <w:pPr>
              <w:jc w:val="center"/>
              <w:rPr>
                <w:rFonts w:ascii="Times New Roman" w:eastAsia="仿宋"/>
                <w:bCs/>
                <w:szCs w:val="21"/>
              </w:rPr>
            </w:pPr>
            <w:r>
              <w:rPr>
                <w:rFonts w:ascii="Times New Roman" w:eastAsia="仿宋"/>
                <w:bCs/>
                <w:szCs w:val="21"/>
              </w:rPr>
              <w:t>定义</w:t>
            </w:r>
          </w:p>
        </w:tc>
        <w:tc>
          <w:tcPr>
            <w:tcW w:w="1559" w:type="dxa"/>
            <w:vAlign w:val="center"/>
          </w:tcPr>
          <w:p w14:paraId="4D263F1A">
            <w:pPr>
              <w:jc w:val="center"/>
              <w:rPr>
                <w:rFonts w:ascii="Times New Roman" w:eastAsia="仿宋"/>
                <w:bCs/>
                <w:szCs w:val="21"/>
              </w:rPr>
            </w:pPr>
            <w:r>
              <w:rPr>
                <w:rFonts w:ascii="Times New Roman" w:eastAsia="仿宋"/>
                <w:bCs/>
                <w:szCs w:val="21"/>
              </w:rPr>
              <w:t>厂内分区</w:t>
            </w:r>
          </w:p>
        </w:tc>
        <w:tc>
          <w:tcPr>
            <w:tcW w:w="3253" w:type="dxa"/>
            <w:vAlign w:val="center"/>
          </w:tcPr>
          <w:p w14:paraId="025EE329">
            <w:pPr>
              <w:jc w:val="center"/>
              <w:rPr>
                <w:rFonts w:ascii="Times New Roman" w:eastAsia="仿宋"/>
                <w:bCs/>
                <w:szCs w:val="21"/>
              </w:rPr>
            </w:pPr>
            <w:r>
              <w:rPr>
                <w:rFonts w:ascii="Times New Roman" w:eastAsia="仿宋"/>
                <w:bCs/>
                <w:szCs w:val="21"/>
              </w:rPr>
              <w:t>防渗等级</w:t>
            </w:r>
          </w:p>
        </w:tc>
      </w:tr>
      <w:tr w14:paraId="33A088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17" w:type="dxa"/>
            <w:vMerge w:val="restart"/>
            <w:vAlign w:val="center"/>
          </w:tcPr>
          <w:p w14:paraId="7FAEE2C2">
            <w:pPr>
              <w:jc w:val="center"/>
              <w:rPr>
                <w:rFonts w:ascii="Times New Roman" w:eastAsia="仿宋"/>
                <w:bCs/>
                <w:szCs w:val="21"/>
              </w:rPr>
            </w:pPr>
            <w:r>
              <w:rPr>
                <w:rFonts w:ascii="Times New Roman" w:eastAsia="仿宋"/>
                <w:bCs/>
                <w:szCs w:val="21"/>
              </w:rPr>
              <w:t>污染区</w:t>
            </w:r>
          </w:p>
        </w:tc>
        <w:tc>
          <w:tcPr>
            <w:tcW w:w="1134" w:type="dxa"/>
            <w:vAlign w:val="center"/>
          </w:tcPr>
          <w:p w14:paraId="0E5D64E2">
            <w:pPr>
              <w:jc w:val="center"/>
              <w:rPr>
                <w:rFonts w:ascii="Times New Roman" w:eastAsia="仿宋"/>
                <w:bCs/>
                <w:szCs w:val="21"/>
              </w:rPr>
            </w:pPr>
            <w:r>
              <w:rPr>
                <w:rFonts w:ascii="Times New Roman" w:eastAsia="仿宋"/>
                <w:bCs/>
                <w:szCs w:val="21"/>
              </w:rPr>
              <w:t>一般防渗区</w:t>
            </w:r>
          </w:p>
        </w:tc>
        <w:tc>
          <w:tcPr>
            <w:tcW w:w="1843" w:type="dxa"/>
            <w:vAlign w:val="center"/>
          </w:tcPr>
          <w:p w14:paraId="3A1BC530">
            <w:pPr>
              <w:jc w:val="center"/>
              <w:rPr>
                <w:rFonts w:ascii="Times New Roman" w:eastAsia="仿宋"/>
                <w:bCs/>
                <w:szCs w:val="21"/>
              </w:rPr>
            </w:pPr>
            <w:r>
              <w:rPr>
                <w:rFonts w:ascii="Times New Roman" w:eastAsia="仿宋"/>
                <w:bCs/>
                <w:szCs w:val="21"/>
              </w:rPr>
              <w:t>无毒性或毒性小的生产装置区、装置区外管廊区</w:t>
            </w:r>
          </w:p>
        </w:tc>
        <w:tc>
          <w:tcPr>
            <w:tcW w:w="1559" w:type="dxa"/>
            <w:vAlign w:val="center"/>
          </w:tcPr>
          <w:p w14:paraId="22E34BC4">
            <w:pPr>
              <w:jc w:val="center"/>
              <w:rPr>
                <w:rFonts w:ascii="Times New Roman" w:eastAsia="仿宋"/>
                <w:bCs/>
                <w:szCs w:val="21"/>
              </w:rPr>
            </w:pPr>
            <w:r>
              <w:rPr>
                <w:rFonts w:ascii="Times New Roman" w:eastAsia="仿宋"/>
                <w:bCs/>
                <w:szCs w:val="21"/>
              </w:rPr>
              <w:t>办公楼、车间内机加工等区域</w:t>
            </w:r>
          </w:p>
        </w:tc>
        <w:tc>
          <w:tcPr>
            <w:tcW w:w="3253" w:type="dxa"/>
            <w:vAlign w:val="center"/>
          </w:tcPr>
          <w:p w14:paraId="442C0D7C">
            <w:pPr>
              <w:jc w:val="center"/>
              <w:rPr>
                <w:rFonts w:ascii="Times New Roman" w:eastAsia="仿宋"/>
                <w:bCs/>
                <w:szCs w:val="21"/>
              </w:rPr>
            </w:pPr>
            <w:r>
              <w:rPr>
                <w:rFonts w:ascii="Times New Roman" w:eastAsia="仿宋"/>
                <w:bCs/>
                <w:szCs w:val="21"/>
              </w:rPr>
              <w:t>参照《一般工业固体废物贮存和填埋污染控制标准》（GB 18599-2020）：采用天然或人工材料构筑防渗层，防渗层的厚度应相当于渗透系数1.0×10</w:t>
            </w:r>
            <w:r>
              <w:rPr>
                <w:rFonts w:ascii="Times New Roman" w:eastAsia="仿宋"/>
                <w:bCs/>
                <w:szCs w:val="21"/>
                <w:vertAlign w:val="superscript"/>
              </w:rPr>
              <w:t>-7</w:t>
            </w:r>
            <w:r>
              <w:rPr>
                <w:rFonts w:ascii="Times New Roman" w:eastAsia="仿宋"/>
                <w:bCs/>
                <w:szCs w:val="21"/>
              </w:rPr>
              <w:t>cm/s和厚度1.5m的黏土层的防渗性能</w:t>
            </w:r>
          </w:p>
        </w:tc>
      </w:tr>
      <w:tr w14:paraId="457B71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17" w:type="dxa"/>
            <w:vMerge w:val="continue"/>
            <w:vAlign w:val="center"/>
          </w:tcPr>
          <w:p w14:paraId="17AA2498">
            <w:pPr>
              <w:jc w:val="center"/>
              <w:rPr>
                <w:rFonts w:ascii="Times New Roman" w:eastAsia="仿宋"/>
                <w:bCs/>
                <w:szCs w:val="21"/>
              </w:rPr>
            </w:pPr>
          </w:p>
        </w:tc>
        <w:tc>
          <w:tcPr>
            <w:tcW w:w="1134" w:type="dxa"/>
            <w:vAlign w:val="center"/>
          </w:tcPr>
          <w:p w14:paraId="508C58E7">
            <w:pPr>
              <w:jc w:val="center"/>
              <w:rPr>
                <w:rFonts w:ascii="Times New Roman" w:eastAsia="仿宋"/>
                <w:bCs/>
                <w:szCs w:val="21"/>
              </w:rPr>
            </w:pPr>
            <w:r>
              <w:rPr>
                <w:rFonts w:ascii="Times New Roman" w:eastAsia="仿宋"/>
                <w:bCs/>
                <w:szCs w:val="21"/>
              </w:rPr>
              <w:t>重点防渗区</w:t>
            </w:r>
          </w:p>
        </w:tc>
        <w:tc>
          <w:tcPr>
            <w:tcW w:w="1843" w:type="dxa"/>
            <w:vAlign w:val="center"/>
          </w:tcPr>
          <w:p w14:paraId="27AB94E6">
            <w:pPr>
              <w:jc w:val="center"/>
              <w:rPr>
                <w:rFonts w:ascii="Times New Roman" w:eastAsia="仿宋"/>
                <w:bCs/>
                <w:szCs w:val="21"/>
              </w:rPr>
            </w:pPr>
            <w:r>
              <w:rPr>
                <w:rFonts w:ascii="Times New Roman" w:eastAsia="仿宋"/>
                <w:bCs/>
                <w:szCs w:val="21"/>
              </w:rPr>
              <w:t>危害性大、毒性较大的生产装置区、物料储罐区、</w:t>
            </w:r>
          </w:p>
        </w:tc>
        <w:tc>
          <w:tcPr>
            <w:tcW w:w="1559" w:type="dxa"/>
            <w:vAlign w:val="center"/>
          </w:tcPr>
          <w:p w14:paraId="12BF6943">
            <w:pPr>
              <w:jc w:val="center"/>
              <w:rPr>
                <w:rFonts w:ascii="Times New Roman" w:eastAsia="仿宋"/>
                <w:bCs/>
                <w:szCs w:val="21"/>
              </w:rPr>
            </w:pPr>
            <w:r>
              <w:rPr>
                <w:rFonts w:ascii="Times New Roman" w:eastAsia="仿宋"/>
                <w:bCs/>
                <w:szCs w:val="21"/>
              </w:rPr>
              <w:t>涂装及表面处理区域、</w:t>
            </w:r>
            <w:r>
              <w:rPr>
                <w:rFonts w:hint="eastAsia" w:ascii="Times New Roman" w:eastAsia="仿宋"/>
                <w:bCs/>
                <w:szCs w:val="21"/>
              </w:rPr>
              <w:t>油漆仓库</w:t>
            </w:r>
            <w:r>
              <w:rPr>
                <w:rFonts w:ascii="Times New Roman" w:eastAsia="仿宋"/>
                <w:bCs/>
                <w:szCs w:val="21"/>
              </w:rPr>
              <w:t>、调漆间、危废仓库、污水处理站、事故应急池</w:t>
            </w:r>
          </w:p>
        </w:tc>
        <w:tc>
          <w:tcPr>
            <w:tcW w:w="3253" w:type="dxa"/>
            <w:vAlign w:val="center"/>
          </w:tcPr>
          <w:p w14:paraId="4305D68D">
            <w:pPr>
              <w:jc w:val="center"/>
              <w:rPr>
                <w:rFonts w:ascii="Times New Roman" w:eastAsia="仿宋"/>
                <w:bCs/>
                <w:szCs w:val="21"/>
              </w:rPr>
            </w:pPr>
            <w:r>
              <w:rPr>
                <w:rFonts w:ascii="Times New Roman" w:eastAsia="仿宋"/>
                <w:bCs/>
                <w:szCs w:val="21"/>
              </w:rPr>
              <w:t>执行《危险废物贮存污染控制标准》（GB18597-2023）要求：防渗层至少1m厚黏土层（渗透系数K≤1.0×10</w:t>
            </w:r>
            <w:r>
              <w:rPr>
                <w:rFonts w:ascii="Times New Roman" w:eastAsia="仿宋"/>
                <w:bCs/>
                <w:szCs w:val="21"/>
                <w:vertAlign w:val="superscript"/>
              </w:rPr>
              <w:t>-7</w:t>
            </w:r>
            <w:r>
              <w:rPr>
                <w:rFonts w:ascii="Times New Roman" w:eastAsia="仿宋"/>
                <w:bCs/>
                <w:szCs w:val="21"/>
              </w:rPr>
              <w:t>cm/s）；或2mm厚高密度聚乙烯；或至少2mm厚其他人工材料，渗透系数K≤1.0×10</w:t>
            </w:r>
            <w:r>
              <w:rPr>
                <w:rFonts w:ascii="Times New Roman" w:eastAsia="仿宋"/>
                <w:bCs/>
                <w:szCs w:val="21"/>
                <w:vertAlign w:val="superscript"/>
              </w:rPr>
              <w:t>-10</w:t>
            </w:r>
            <w:r>
              <w:rPr>
                <w:rFonts w:ascii="Times New Roman" w:eastAsia="仿宋"/>
                <w:bCs/>
                <w:szCs w:val="21"/>
              </w:rPr>
              <w:t>cm/s</w:t>
            </w:r>
          </w:p>
        </w:tc>
      </w:tr>
    </w:tbl>
    <w:p w14:paraId="6D090F33">
      <w:pPr>
        <w:spacing w:line="440" w:lineRule="exact"/>
        <w:jc w:val="center"/>
        <w:rPr>
          <w:rFonts w:eastAsia="仿宋"/>
          <w:b/>
          <w:szCs w:val="18"/>
          <w:lang w:val="en-GB"/>
        </w:rPr>
      </w:pPr>
      <w:r>
        <w:rPr>
          <w:rFonts w:ascii="Times New Roman" w:eastAsia="仿宋"/>
          <w:b/>
          <w:szCs w:val="18"/>
          <w:lang w:val="en-GB"/>
        </w:rPr>
        <w:t>表6.3-</w:t>
      </w:r>
      <w:r>
        <w:rPr>
          <w:rFonts w:ascii="Times New Roman" w:eastAsia="仿宋"/>
          <w:b/>
          <w:szCs w:val="18"/>
        </w:rPr>
        <w:t>5</w:t>
      </w:r>
      <w:r>
        <w:rPr>
          <w:rFonts w:ascii="Times New Roman" w:eastAsia="仿宋"/>
          <w:b/>
          <w:szCs w:val="18"/>
          <w:lang w:val="en-GB"/>
        </w:rPr>
        <w:t xml:space="preserve"> 厂区设计采取的防渗防</w:t>
      </w:r>
      <w:r>
        <w:rPr>
          <w:rFonts w:eastAsia="仿宋"/>
          <w:b/>
          <w:szCs w:val="18"/>
          <w:lang w:val="en-GB"/>
        </w:rPr>
        <w:t>腐处理措施一览表</w:t>
      </w:r>
    </w:p>
    <w:tbl>
      <w:tblPr>
        <w:tblStyle w:val="87"/>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88"/>
        <w:gridCol w:w="1866"/>
        <w:gridCol w:w="6065"/>
      </w:tblGrid>
      <w:tr w14:paraId="33C6C5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45" w:type="pct"/>
            <w:vAlign w:val="center"/>
          </w:tcPr>
          <w:p w14:paraId="5859D1C6">
            <w:pPr>
              <w:jc w:val="center"/>
              <w:rPr>
                <w:rFonts w:ascii="Times New Roman" w:eastAsia="仿宋"/>
                <w:bCs/>
                <w:szCs w:val="21"/>
              </w:rPr>
            </w:pPr>
            <w:r>
              <w:rPr>
                <w:rFonts w:ascii="Times New Roman" w:eastAsia="仿宋"/>
                <w:bCs/>
                <w:szCs w:val="21"/>
              </w:rPr>
              <w:t>序号</w:t>
            </w:r>
          </w:p>
        </w:tc>
        <w:tc>
          <w:tcPr>
            <w:tcW w:w="1095" w:type="pct"/>
            <w:vAlign w:val="center"/>
          </w:tcPr>
          <w:p w14:paraId="6A08BA45">
            <w:pPr>
              <w:jc w:val="center"/>
              <w:rPr>
                <w:rFonts w:ascii="Times New Roman" w:eastAsia="仿宋"/>
                <w:bCs/>
                <w:szCs w:val="21"/>
              </w:rPr>
            </w:pPr>
            <w:r>
              <w:rPr>
                <w:rFonts w:ascii="Times New Roman" w:eastAsia="仿宋"/>
                <w:bCs/>
                <w:szCs w:val="21"/>
              </w:rPr>
              <w:t>主要环节</w:t>
            </w:r>
          </w:p>
        </w:tc>
        <w:tc>
          <w:tcPr>
            <w:tcW w:w="3558" w:type="pct"/>
            <w:vAlign w:val="center"/>
          </w:tcPr>
          <w:p w14:paraId="44989193">
            <w:pPr>
              <w:jc w:val="center"/>
              <w:rPr>
                <w:rFonts w:ascii="Times New Roman" w:eastAsia="仿宋"/>
                <w:bCs/>
                <w:szCs w:val="21"/>
              </w:rPr>
            </w:pPr>
            <w:r>
              <w:rPr>
                <w:rFonts w:ascii="Times New Roman" w:eastAsia="仿宋"/>
                <w:bCs/>
                <w:szCs w:val="21"/>
              </w:rPr>
              <w:t>防渗处理措施</w:t>
            </w:r>
          </w:p>
        </w:tc>
      </w:tr>
      <w:tr w14:paraId="0E4657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45" w:type="pct"/>
            <w:vAlign w:val="center"/>
          </w:tcPr>
          <w:p w14:paraId="0CDB7EF7">
            <w:pPr>
              <w:jc w:val="center"/>
              <w:rPr>
                <w:rFonts w:ascii="Times New Roman" w:eastAsia="仿宋"/>
                <w:bCs/>
                <w:szCs w:val="21"/>
              </w:rPr>
            </w:pPr>
            <w:r>
              <w:rPr>
                <w:rFonts w:ascii="Times New Roman" w:eastAsia="仿宋"/>
                <w:bCs/>
                <w:szCs w:val="21"/>
              </w:rPr>
              <w:t>1</w:t>
            </w:r>
          </w:p>
        </w:tc>
        <w:tc>
          <w:tcPr>
            <w:tcW w:w="1095" w:type="pct"/>
            <w:vAlign w:val="center"/>
          </w:tcPr>
          <w:p w14:paraId="1DABEFBB">
            <w:pPr>
              <w:jc w:val="center"/>
              <w:rPr>
                <w:rFonts w:ascii="Times New Roman" w:eastAsia="仿宋"/>
                <w:bCs/>
                <w:szCs w:val="21"/>
              </w:rPr>
            </w:pPr>
            <w:r>
              <w:rPr>
                <w:rFonts w:ascii="Times New Roman" w:eastAsia="仿宋"/>
                <w:bCs/>
                <w:szCs w:val="21"/>
              </w:rPr>
              <w:t>危废仓库、涂装及表面处理区域、</w:t>
            </w:r>
            <w:r>
              <w:rPr>
                <w:rFonts w:hint="eastAsia" w:ascii="Times New Roman" w:eastAsia="仿宋"/>
                <w:bCs/>
                <w:szCs w:val="21"/>
              </w:rPr>
              <w:t>油漆仓库</w:t>
            </w:r>
            <w:r>
              <w:rPr>
                <w:rFonts w:ascii="Times New Roman" w:eastAsia="仿宋"/>
                <w:bCs/>
                <w:szCs w:val="21"/>
              </w:rPr>
              <w:t>、调漆间、污水处理站</w:t>
            </w:r>
          </w:p>
        </w:tc>
        <w:tc>
          <w:tcPr>
            <w:tcW w:w="3558" w:type="pct"/>
            <w:vAlign w:val="center"/>
          </w:tcPr>
          <w:p w14:paraId="0F6DF6BF">
            <w:pPr>
              <w:jc w:val="center"/>
              <w:rPr>
                <w:rFonts w:ascii="Times New Roman" w:eastAsia="仿宋"/>
                <w:bCs/>
                <w:szCs w:val="21"/>
              </w:rPr>
            </w:pPr>
            <w:r>
              <w:rPr>
                <w:rFonts w:ascii="Times New Roman" w:eastAsia="仿宋"/>
                <w:bCs/>
                <w:szCs w:val="21"/>
              </w:rPr>
              <w:t>①按《危险废物贮存污染控制标准》（GB18597-2023)进行设计，采取防淋防渗措施，以防止淋漏液渗入地下；②地面采用环氧+玻纤防渗处理。</w:t>
            </w:r>
          </w:p>
        </w:tc>
      </w:tr>
      <w:tr w14:paraId="2E09F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45" w:type="pct"/>
            <w:vAlign w:val="center"/>
          </w:tcPr>
          <w:p w14:paraId="7C0874E4">
            <w:pPr>
              <w:jc w:val="center"/>
              <w:rPr>
                <w:rFonts w:ascii="Times New Roman" w:eastAsia="仿宋"/>
                <w:bCs/>
                <w:szCs w:val="21"/>
              </w:rPr>
            </w:pPr>
            <w:r>
              <w:rPr>
                <w:rFonts w:ascii="Times New Roman" w:eastAsia="仿宋"/>
                <w:bCs/>
                <w:szCs w:val="21"/>
              </w:rPr>
              <w:t>2</w:t>
            </w:r>
          </w:p>
        </w:tc>
        <w:tc>
          <w:tcPr>
            <w:tcW w:w="1095" w:type="pct"/>
            <w:vAlign w:val="center"/>
          </w:tcPr>
          <w:p w14:paraId="7D024C07">
            <w:pPr>
              <w:jc w:val="center"/>
              <w:rPr>
                <w:rFonts w:ascii="Times New Roman" w:eastAsia="仿宋"/>
                <w:bCs/>
                <w:szCs w:val="21"/>
              </w:rPr>
            </w:pPr>
            <w:r>
              <w:rPr>
                <w:rFonts w:ascii="Times New Roman" w:eastAsia="仿宋"/>
                <w:bCs/>
                <w:szCs w:val="21"/>
              </w:rPr>
              <w:t>事故应急池</w:t>
            </w:r>
          </w:p>
        </w:tc>
        <w:tc>
          <w:tcPr>
            <w:tcW w:w="3558" w:type="pct"/>
            <w:vAlign w:val="center"/>
          </w:tcPr>
          <w:p w14:paraId="6F937E17">
            <w:pPr>
              <w:jc w:val="center"/>
              <w:rPr>
                <w:rFonts w:ascii="Times New Roman" w:eastAsia="仿宋"/>
                <w:bCs/>
                <w:szCs w:val="21"/>
              </w:rPr>
            </w:pPr>
            <w:r>
              <w:rPr>
                <w:rFonts w:ascii="Times New Roman" w:eastAsia="仿宋"/>
                <w:bCs/>
                <w:szCs w:val="21"/>
              </w:rPr>
              <w:t>①设置在地下，按照建筑防渗设计规范设计，采用高标号的防水混凝土；②池内部按《危险废物贮存污染控制标准》（GB18597-2023)进行要求设计，防渗层为2mm厚高密度聚乙烯，渗透系数</w:t>
            </w:r>
          </w:p>
        </w:tc>
      </w:tr>
      <w:tr w14:paraId="2232E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45" w:type="pct"/>
            <w:vAlign w:val="center"/>
          </w:tcPr>
          <w:p w14:paraId="53F63478">
            <w:pPr>
              <w:jc w:val="center"/>
              <w:rPr>
                <w:rFonts w:ascii="Times New Roman" w:eastAsia="仿宋"/>
                <w:bCs/>
                <w:szCs w:val="21"/>
              </w:rPr>
            </w:pPr>
            <w:r>
              <w:rPr>
                <w:rFonts w:ascii="Times New Roman" w:eastAsia="仿宋"/>
                <w:bCs/>
                <w:szCs w:val="21"/>
              </w:rPr>
              <w:t>3</w:t>
            </w:r>
          </w:p>
        </w:tc>
        <w:tc>
          <w:tcPr>
            <w:tcW w:w="1095" w:type="pct"/>
            <w:vAlign w:val="center"/>
          </w:tcPr>
          <w:p w14:paraId="1EB2A542">
            <w:pPr>
              <w:jc w:val="center"/>
              <w:rPr>
                <w:rFonts w:ascii="Times New Roman" w:eastAsia="仿宋"/>
                <w:bCs/>
                <w:szCs w:val="21"/>
              </w:rPr>
            </w:pPr>
            <w:r>
              <w:rPr>
                <w:rFonts w:ascii="Times New Roman" w:eastAsia="仿宋"/>
                <w:bCs/>
                <w:szCs w:val="21"/>
              </w:rPr>
              <w:t>烟气处理废水等输送管道、阀门</w:t>
            </w:r>
          </w:p>
        </w:tc>
        <w:tc>
          <w:tcPr>
            <w:tcW w:w="3558" w:type="pct"/>
            <w:vAlign w:val="center"/>
          </w:tcPr>
          <w:p w14:paraId="22205C4E">
            <w:pPr>
              <w:jc w:val="left"/>
              <w:rPr>
                <w:rFonts w:ascii="Times New Roman" w:eastAsia="仿宋"/>
                <w:bCs/>
                <w:szCs w:val="21"/>
              </w:rPr>
            </w:pPr>
            <w:r>
              <w:rPr>
                <w:rFonts w:ascii="Times New Roman" w:eastAsia="仿宋"/>
                <w:bCs/>
                <w:szCs w:val="21"/>
              </w:rPr>
              <w:t>①对管道、阀门严格检查，有质量问题的及时更换，阀门采用优质产品；②在工艺条件允许的情况下，管道置在地上，如出现渗漏问题及时解决；③对工艺要求必须地下走管的管道、阀门设专门防渗管沟，管沟上设活动观察顶盖，以便出现渗漏问题及时观察、解决，管沟与污水集水井相连，并设计合理的排水坡度，便于废水排至集水井，然后统一排入污水收集池；④厂区内各集水池、循环水池等蓄水构筑物应采用防水混凝土并结合防水砂浆构建建筑主体，施小缝应采用外贴式止水带利外涂防水涂料结合使用做好防渗措施。</w:t>
            </w:r>
          </w:p>
        </w:tc>
      </w:tr>
    </w:tbl>
    <w:p w14:paraId="14CB8C1D">
      <w:pPr>
        <w:pStyle w:val="6"/>
        <w:spacing w:before="120" w:after="120" w:line="500" w:lineRule="exact"/>
        <w:rPr>
          <w:rFonts w:ascii="Times New Roman" w:eastAsia="仿宋"/>
          <w:bCs w:val="0"/>
        </w:rPr>
      </w:pPr>
      <w:bookmarkStart w:id="415" w:name="_Toc126231996"/>
      <w:r>
        <w:rPr>
          <w:rFonts w:ascii="Times New Roman" w:eastAsia="仿宋"/>
          <w:bCs w:val="0"/>
        </w:rPr>
        <w:t>6.</w:t>
      </w:r>
      <w:r>
        <w:rPr>
          <w:rFonts w:hint="eastAsia" w:ascii="Times New Roman" w:eastAsia="仿宋"/>
          <w:bCs w:val="0"/>
        </w:rPr>
        <w:t>4</w:t>
      </w:r>
      <w:r>
        <w:rPr>
          <w:rFonts w:ascii="Times New Roman" w:eastAsia="仿宋"/>
          <w:bCs w:val="0"/>
        </w:rPr>
        <w:t>.</w:t>
      </w:r>
      <w:r>
        <w:rPr>
          <w:rFonts w:hint="eastAsia" w:ascii="Times New Roman" w:eastAsia="仿宋"/>
          <w:bCs w:val="0"/>
        </w:rPr>
        <w:t>3地下水环境监测与管理、信息公开计划</w:t>
      </w:r>
    </w:p>
    <w:p w14:paraId="30812C63">
      <w:pPr>
        <w:pStyle w:val="1879"/>
        <w:adjustRightInd/>
        <w:snapToGrid/>
        <w:rPr>
          <w:rFonts w:ascii="Times New Roman" w:eastAsia="仿宋"/>
          <w:szCs w:val="28"/>
        </w:rPr>
      </w:pPr>
      <w:r>
        <w:rPr>
          <w:rFonts w:ascii="Times New Roman" w:eastAsia="仿宋"/>
          <w:szCs w:val="28"/>
        </w:rPr>
        <w:t>建立厂区地下水环境监控体系，包括制定地下水环境影响跟踪监测计划、建立地下水环境影响跟踪监测制度、配备先进的监测仪器和设备，以便及时发现问题、采取措施。</w:t>
      </w:r>
    </w:p>
    <w:p w14:paraId="2906620B">
      <w:pPr>
        <w:spacing w:line="500" w:lineRule="exact"/>
        <w:ind w:firstLine="560" w:firstLineChars="200"/>
        <w:rPr>
          <w:rFonts w:ascii="Times New Roman" w:eastAsia="仿宋"/>
          <w:sz w:val="28"/>
          <w:szCs w:val="28"/>
        </w:rPr>
      </w:pPr>
      <w:r>
        <w:rPr>
          <w:rFonts w:ascii="Times New Roman" w:eastAsia="仿宋"/>
          <w:sz w:val="28"/>
          <w:szCs w:val="28"/>
        </w:rPr>
        <w:t>建议在本项目场地、上、下游共设置3个监测点，每年监测一次。监测层位：潜水含水层和微承压含水层；采样深度：水位以下1.0米之内；监测因子：水位、pH、耗氧量、氨氮等。并定期向外界公开地下水环境监测结果。</w:t>
      </w:r>
    </w:p>
    <w:p w14:paraId="5C6F7CA8">
      <w:pPr>
        <w:pStyle w:val="6"/>
        <w:spacing w:before="120" w:after="120" w:line="500" w:lineRule="exact"/>
        <w:rPr>
          <w:rFonts w:ascii="Times New Roman" w:eastAsia="仿宋"/>
        </w:rPr>
      </w:pPr>
      <w:r>
        <w:rPr>
          <w:rFonts w:hint="eastAsia" w:ascii="Times New Roman" w:eastAsia="仿宋"/>
          <w:bCs w:val="0"/>
        </w:rPr>
        <w:t>6.4.4</w:t>
      </w:r>
      <w:r>
        <w:rPr>
          <w:rFonts w:ascii="Times New Roman" w:eastAsia="仿宋"/>
          <w:bCs w:val="0"/>
        </w:rPr>
        <w:t>应急响应措施</w:t>
      </w:r>
    </w:p>
    <w:p w14:paraId="1F9F59C2">
      <w:pPr>
        <w:pStyle w:val="1879"/>
        <w:adjustRightInd/>
        <w:snapToGrid/>
        <w:rPr>
          <w:rFonts w:ascii="Times New Roman" w:eastAsia="仿宋"/>
          <w:szCs w:val="28"/>
        </w:rPr>
      </w:pPr>
      <w:r>
        <w:rPr>
          <w:rFonts w:hint="eastAsia" w:ascii="Times New Roman" w:eastAsia="仿宋"/>
          <w:szCs w:val="28"/>
        </w:rPr>
        <w:t>（1）</w:t>
      </w:r>
      <w:r>
        <w:rPr>
          <w:rFonts w:ascii="Times New Roman" w:eastAsia="仿宋"/>
          <w:szCs w:val="28"/>
        </w:rPr>
        <w:t>应急措施一旦发现地下水发生异常情况，必须按照应急预案马上采取紧急措施：</w:t>
      </w:r>
    </w:p>
    <w:p w14:paraId="263F434E">
      <w:pPr>
        <w:pStyle w:val="1879"/>
        <w:adjustRightInd/>
        <w:snapToGrid/>
        <w:rPr>
          <w:rFonts w:ascii="Times New Roman" w:eastAsia="仿宋"/>
          <w:szCs w:val="28"/>
        </w:rPr>
      </w:pPr>
      <w:r>
        <w:rPr>
          <w:rFonts w:hint="eastAsia" w:ascii="宋体" w:hAnsi="宋体" w:eastAsia="宋体" w:cs="宋体"/>
          <w:szCs w:val="28"/>
        </w:rPr>
        <w:t>①</w:t>
      </w:r>
      <w:r>
        <w:rPr>
          <w:rFonts w:ascii="Times New Roman" w:eastAsia="仿宋"/>
          <w:szCs w:val="28"/>
        </w:rPr>
        <w:t>当发生异常情况时，按照项目制定的环境事故应急预案，启动应急预案采取减低事故后果的手段，包括切断生产装置或设施，采取紧急措施制止事故的扩散、扩大；</w:t>
      </w:r>
    </w:p>
    <w:p w14:paraId="47CA9CBA">
      <w:pPr>
        <w:pStyle w:val="1879"/>
        <w:adjustRightInd/>
        <w:snapToGrid/>
        <w:rPr>
          <w:rFonts w:ascii="Times New Roman" w:eastAsia="仿宋"/>
          <w:szCs w:val="28"/>
        </w:rPr>
      </w:pPr>
      <w:r>
        <w:rPr>
          <w:rFonts w:hint="eastAsia" w:ascii="宋体" w:hAnsi="宋体" w:eastAsia="宋体" w:cs="宋体"/>
          <w:szCs w:val="28"/>
        </w:rPr>
        <w:t>②</w:t>
      </w:r>
      <w:r>
        <w:rPr>
          <w:rFonts w:ascii="Times New Roman" w:eastAsia="仿宋"/>
          <w:szCs w:val="28"/>
        </w:rPr>
        <w:t>组织专业队伍负责查找环境事故发生地点，分析事故原因，尽量将紧急时间局部化，如可能应予以消除，尽量缩小环境事故对人和财产的影响；</w:t>
      </w:r>
    </w:p>
    <w:p w14:paraId="61A441D2">
      <w:pPr>
        <w:pStyle w:val="1879"/>
        <w:adjustRightInd/>
        <w:snapToGrid/>
        <w:rPr>
          <w:rFonts w:ascii="Times New Roman" w:eastAsia="仿宋"/>
          <w:szCs w:val="28"/>
        </w:rPr>
      </w:pPr>
      <w:r>
        <w:rPr>
          <w:rFonts w:hint="eastAsia" w:ascii="宋体" w:hAnsi="宋体" w:eastAsia="宋体" w:cs="宋体"/>
          <w:szCs w:val="28"/>
        </w:rPr>
        <w:t>③</w:t>
      </w:r>
      <w:r>
        <w:rPr>
          <w:rFonts w:ascii="Times New Roman" w:eastAsia="仿宋"/>
          <w:szCs w:val="28"/>
        </w:rPr>
        <w:t>如果本公司力量不足，需要请求社会应急力量协助，在第一时间内尽快上报主管领导，启动周围社会预案；</w:t>
      </w:r>
    </w:p>
    <w:p w14:paraId="37E58228">
      <w:pPr>
        <w:pStyle w:val="1879"/>
        <w:adjustRightInd/>
        <w:snapToGrid/>
        <w:rPr>
          <w:rFonts w:ascii="Times New Roman" w:eastAsia="仿宋"/>
          <w:szCs w:val="28"/>
        </w:rPr>
      </w:pPr>
      <w:r>
        <w:rPr>
          <w:rFonts w:hint="eastAsia" w:ascii="宋体" w:hAnsi="宋体" w:eastAsia="宋体" w:cs="宋体"/>
          <w:szCs w:val="28"/>
        </w:rPr>
        <w:t>④</w:t>
      </w:r>
      <w:r>
        <w:rPr>
          <w:rFonts w:ascii="Times New Roman" w:eastAsia="仿宋"/>
          <w:szCs w:val="28"/>
        </w:rPr>
        <w:t>对事故现场进行调查、监测、跟踪处理，密切关注地下水水质变化情况</w:t>
      </w:r>
      <w:r>
        <w:rPr>
          <w:rFonts w:hint="eastAsia" w:ascii="Times New Roman" w:eastAsia="仿宋"/>
          <w:szCs w:val="28"/>
        </w:rPr>
        <w:t>；</w:t>
      </w:r>
    </w:p>
    <w:p w14:paraId="1E56DBC1">
      <w:pPr>
        <w:pStyle w:val="1879"/>
        <w:adjustRightInd/>
        <w:snapToGrid/>
        <w:rPr>
          <w:rFonts w:ascii="Times New Roman" w:eastAsia="仿宋"/>
          <w:szCs w:val="28"/>
        </w:rPr>
      </w:pPr>
      <w:r>
        <w:rPr>
          <w:rFonts w:hint="eastAsia" w:ascii="宋体" w:hAnsi="宋体" w:eastAsia="宋体" w:cs="宋体"/>
          <w:szCs w:val="28"/>
        </w:rPr>
        <w:t>⑤</w:t>
      </w:r>
      <w:r>
        <w:rPr>
          <w:rFonts w:ascii="Times New Roman" w:eastAsia="仿宋"/>
          <w:szCs w:val="28"/>
        </w:rPr>
        <w:t>对事故后果进行评估，并制定防止类似事件发生的措施。</w:t>
      </w:r>
    </w:p>
    <w:p w14:paraId="198D1669">
      <w:pPr>
        <w:pStyle w:val="1879"/>
        <w:adjustRightInd/>
        <w:snapToGrid/>
        <w:rPr>
          <w:rFonts w:ascii="Times New Roman" w:eastAsia="仿宋"/>
          <w:szCs w:val="28"/>
        </w:rPr>
      </w:pPr>
      <w:r>
        <w:rPr>
          <w:rFonts w:ascii="Times New Roman" w:eastAsia="仿宋"/>
          <w:szCs w:val="28"/>
        </w:rPr>
        <w:t>地下水污染的治理相对于地表水来说更加复杂，在进行具体的治理时，还需要考虑以下因素：</w:t>
      </w:r>
    </w:p>
    <w:p w14:paraId="4EAD1753">
      <w:pPr>
        <w:pStyle w:val="1879"/>
        <w:adjustRightInd/>
        <w:snapToGrid/>
        <w:rPr>
          <w:rFonts w:ascii="Times New Roman" w:eastAsia="仿宋"/>
          <w:szCs w:val="28"/>
        </w:rPr>
      </w:pPr>
      <w:r>
        <w:rPr>
          <w:rFonts w:hint="eastAsia" w:ascii="宋体" w:hAnsi="宋体" w:eastAsia="宋体" w:cs="宋体"/>
          <w:szCs w:val="28"/>
        </w:rPr>
        <w:t>①</w:t>
      </w:r>
      <w:r>
        <w:rPr>
          <w:rFonts w:ascii="Times New Roman" w:eastAsia="仿宋"/>
          <w:szCs w:val="28"/>
        </w:rPr>
        <w:t>在具体的地下水污染治理中，往往要多种技术结合使用。一般在治理初期，先使用物理法或水动力控制法将污染区封闭，然后尽量收集纯污染物如油类等，最后再使用抽出处理法或原位法进行治理。</w:t>
      </w:r>
    </w:p>
    <w:p w14:paraId="1238C495">
      <w:pPr>
        <w:pStyle w:val="1879"/>
        <w:adjustRightInd/>
        <w:snapToGrid/>
        <w:rPr>
          <w:rFonts w:ascii="Times New Roman" w:eastAsia="仿宋"/>
          <w:szCs w:val="28"/>
        </w:rPr>
      </w:pPr>
      <w:r>
        <w:rPr>
          <w:rFonts w:hint="eastAsia" w:ascii="宋体" w:hAnsi="宋体" w:eastAsia="宋体" w:cs="宋体"/>
          <w:szCs w:val="28"/>
        </w:rPr>
        <w:t>②</w:t>
      </w:r>
      <w:r>
        <w:rPr>
          <w:rFonts w:ascii="Times New Roman" w:eastAsia="仿宋"/>
          <w:szCs w:val="28"/>
        </w:rPr>
        <w:t>因为污染区域的水文地质条件和地球化学特性都会影响到地下水污染的治理，因此地下水污染的治理通常要以水文地质工作为前提。</w:t>
      </w:r>
    </w:p>
    <w:p w14:paraId="45CD2AF0">
      <w:pPr>
        <w:pStyle w:val="1879"/>
        <w:adjustRightInd/>
        <w:snapToGrid/>
        <w:rPr>
          <w:rFonts w:ascii="Times New Roman" w:eastAsia="仿宋"/>
          <w:szCs w:val="28"/>
        </w:rPr>
      </w:pPr>
      <w:r>
        <w:rPr>
          <w:rFonts w:hint="eastAsia" w:ascii="宋体" w:hAnsi="宋体" w:eastAsia="宋体" w:cs="宋体"/>
          <w:szCs w:val="28"/>
        </w:rPr>
        <w:t>③</w:t>
      </w:r>
      <w:r>
        <w:rPr>
          <w:rFonts w:ascii="Times New Roman" w:eastAsia="仿宋"/>
          <w:szCs w:val="28"/>
        </w:rPr>
        <w:t>受污染地下水的修复往往还要包括土壤的修复。地下水和土壤是相互作用的，如果只治理了受污染的地下水而不治理土壤，由于雨水的淋滤或地下水位的波动，污染物会再次进入地下水体，形成交叉污染，使地下水的治理前功尽弃。</w:t>
      </w:r>
    </w:p>
    <w:p w14:paraId="41B0C1C0">
      <w:pPr>
        <w:pStyle w:val="1879"/>
        <w:adjustRightInd/>
        <w:snapToGrid/>
        <w:rPr>
          <w:rFonts w:ascii="Times New Roman" w:eastAsia="仿宋"/>
          <w:szCs w:val="28"/>
        </w:rPr>
      </w:pPr>
      <w:r>
        <w:rPr>
          <w:rFonts w:hint="eastAsia" w:ascii="Times New Roman" w:eastAsia="仿宋"/>
          <w:szCs w:val="28"/>
        </w:rPr>
        <w:t>（2）</w:t>
      </w:r>
      <w:r>
        <w:rPr>
          <w:rFonts w:ascii="Times New Roman" w:eastAsia="仿宋"/>
          <w:szCs w:val="28"/>
        </w:rPr>
        <w:t>应急预案</w:t>
      </w:r>
    </w:p>
    <w:p w14:paraId="21869309">
      <w:pPr>
        <w:pStyle w:val="1879"/>
        <w:adjustRightInd/>
        <w:snapToGrid/>
        <w:rPr>
          <w:rFonts w:ascii="Times New Roman" w:eastAsia="仿宋"/>
          <w:szCs w:val="28"/>
        </w:rPr>
      </w:pPr>
      <w:r>
        <w:rPr>
          <w:rFonts w:hint="eastAsia" w:ascii="Times New Roman" w:eastAsia="仿宋"/>
          <w:szCs w:val="28"/>
        </w:rPr>
        <w:t>①</w:t>
      </w:r>
      <w:r>
        <w:rPr>
          <w:rFonts w:ascii="Times New Roman" w:eastAsia="仿宋"/>
          <w:szCs w:val="28"/>
        </w:rPr>
        <w:t>地下水污染事故的应急措施应在制定的安全管理体制的基础上，</w:t>
      </w:r>
      <w:r>
        <w:rPr>
          <w:rFonts w:hint="eastAsia" w:ascii="Times New Roman" w:eastAsia="仿宋"/>
          <w:szCs w:val="28"/>
        </w:rPr>
        <w:t>与其他</w:t>
      </w:r>
      <w:r>
        <w:rPr>
          <w:rFonts w:ascii="Times New Roman" w:eastAsia="仿宋"/>
          <w:szCs w:val="28"/>
        </w:rPr>
        <w:t>应急预案相</w:t>
      </w:r>
      <w:r>
        <w:rPr>
          <w:rFonts w:hint="eastAsia" w:ascii="Times New Roman" w:eastAsia="仿宋"/>
          <w:szCs w:val="28"/>
        </w:rPr>
        <w:t>协调，</w:t>
      </w:r>
      <w:r>
        <w:rPr>
          <w:rFonts w:ascii="Times New Roman" w:eastAsia="仿宋"/>
          <w:szCs w:val="28"/>
        </w:rPr>
        <w:t>地下水污染事故的应急措施应在制定的安全管理体制的基础上，</w:t>
      </w:r>
      <w:r>
        <w:rPr>
          <w:rFonts w:hint="eastAsia" w:ascii="Times New Roman" w:eastAsia="仿宋"/>
          <w:szCs w:val="28"/>
        </w:rPr>
        <w:t>与其他</w:t>
      </w:r>
      <w:r>
        <w:rPr>
          <w:rFonts w:ascii="Times New Roman" w:eastAsia="仿宋"/>
          <w:szCs w:val="28"/>
        </w:rPr>
        <w:t>应急预案相协调。</w:t>
      </w:r>
    </w:p>
    <w:p w14:paraId="62E6E156">
      <w:pPr>
        <w:pStyle w:val="1879"/>
        <w:adjustRightInd/>
        <w:snapToGrid/>
        <w:rPr>
          <w:rFonts w:ascii="Times New Roman" w:eastAsia="仿宋"/>
          <w:szCs w:val="28"/>
        </w:rPr>
      </w:pPr>
      <w:r>
        <w:rPr>
          <w:rFonts w:hint="eastAsia" w:ascii="Times New Roman" w:eastAsia="仿宋"/>
          <w:szCs w:val="28"/>
        </w:rPr>
        <w:t>②</w:t>
      </w:r>
      <w:r>
        <w:rPr>
          <w:rFonts w:ascii="Times New Roman" w:eastAsia="仿宋"/>
          <w:szCs w:val="28"/>
        </w:rPr>
        <w:t>应急预案应包括以下内容：应急预案的制定机构：应急预案的日常协调和指挥机构；相关部门在应急预案中的</w:t>
      </w:r>
    </w:p>
    <w:p w14:paraId="0F760A7D">
      <w:pPr>
        <w:pStyle w:val="1879"/>
        <w:adjustRightInd/>
        <w:snapToGrid/>
        <w:rPr>
          <w:rFonts w:ascii="Times New Roman" w:eastAsia="仿宋"/>
          <w:szCs w:val="28"/>
        </w:rPr>
      </w:pPr>
      <w:r>
        <w:rPr>
          <w:rFonts w:ascii="Times New Roman" w:eastAsia="仿宋"/>
          <w:szCs w:val="28"/>
        </w:rPr>
        <w:t>职责和分工；地下水环境保护目标的确定和潜在污染可能性评估；应急救援组织状况和人员，装备情况。应急救援组织的训练和演习；特大环境事故的紧急处置措施，人员疏散措施，工程抢险措施，现场医疗急救措施。特大环境事故的社会支持和援助；特大环境事故应急救援的经费保障。</w:t>
      </w:r>
    </w:p>
    <w:p w14:paraId="7D64D050">
      <w:pPr>
        <w:pStyle w:val="1879"/>
        <w:adjustRightInd/>
        <w:snapToGrid/>
        <w:rPr>
          <w:rFonts w:ascii="Times New Roman" w:eastAsia="仿宋"/>
          <w:szCs w:val="28"/>
        </w:rPr>
      </w:pPr>
      <w:r>
        <w:rPr>
          <w:rFonts w:ascii="Times New Roman" w:eastAsia="仿宋"/>
          <w:szCs w:val="28"/>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正常运行不会对区域地下水环境产生明显影响。</w:t>
      </w:r>
    </w:p>
    <w:p w14:paraId="04FDD0C3">
      <w:pPr>
        <w:pStyle w:val="1879"/>
        <w:adjustRightInd/>
        <w:snapToGrid/>
        <w:rPr>
          <w:rFonts w:ascii="Times New Roman" w:eastAsia="仿宋"/>
          <w:szCs w:val="28"/>
        </w:rPr>
      </w:pPr>
      <w:r>
        <w:rPr>
          <w:rFonts w:ascii="Times New Roman" w:eastAsia="仿宋"/>
          <w:szCs w:val="28"/>
        </w:rPr>
        <w:t>针对可能发生的地下水污染，本项目运行期地下水污染防治措施将按照“源头控制、分区防治、污染监控、应急响应”相结合的原则，从污染物的产生、入渗、扩散、应急响应全方位进行防控。综上，采取以上措施能有效防止项目废水或废液下渗污染地下水及土壤。</w:t>
      </w:r>
    </w:p>
    <w:p w14:paraId="71CFF2C6">
      <w:pPr>
        <w:pStyle w:val="6"/>
        <w:spacing w:before="120" w:after="120" w:line="500" w:lineRule="exact"/>
        <w:rPr>
          <w:rFonts w:ascii="Times New Roman" w:eastAsia="仿宋"/>
        </w:rPr>
      </w:pPr>
      <w:r>
        <w:rPr>
          <w:rFonts w:ascii="Times New Roman" w:eastAsia="仿宋"/>
          <w:bCs w:val="0"/>
        </w:rPr>
        <w:t>6.</w:t>
      </w:r>
      <w:r>
        <w:rPr>
          <w:rFonts w:hint="eastAsia" w:ascii="Times New Roman" w:eastAsia="仿宋"/>
          <w:bCs w:val="0"/>
        </w:rPr>
        <w:t>4</w:t>
      </w:r>
      <w:r>
        <w:rPr>
          <w:rFonts w:ascii="Times New Roman" w:eastAsia="仿宋"/>
          <w:bCs w:val="0"/>
        </w:rPr>
        <w:t>.5结论</w:t>
      </w:r>
    </w:p>
    <w:p w14:paraId="21D29E98">
      <w:pPr>
        <w:pStyle w:val="1879"/>
        <w:adjustRightInd/>
        <w:snapToGrid/>
        <w:rPr>
          <w:rFonts w:ascii="Times New Roman" w:eastAsia="仿宋"/>
          <w:szCs w:val="28"/>
        </w:rPr>
      </w:pPr>
      <w:r>
        <w:rPr>
          <w:rFonts w:ascii="Times New Roman" w:eastAsia="仿宋"/>
          <w:szCs w:val="28"/>
        </w:rPr>
        <w:t>由污染途径及对应措施分析可知，项目对可能产生地下水影响的各项途径均进行有效预防，在确保各项防渗措施得以落实，并加强维护和厂区环境管理的前提下，可有效控制厂区内的污染物下渗现象，避免污染地下水，因此项目不会对区域地下水环境产生明显影响。</w:t>
      </w:r>
    </w:p>
    <w:p w14:paraId="1A9CF552">
      <w:pPr>
        <w:pStyle w:val="5"/>
        <w:numPr>
          <w:ilvl w:val="1"/>
          <w:numId w:val="0"/>
        </w:numPr>
        <w:rPr>
          <w:rFonts w:eastAsia="仿宋"/>
          <w:color w:val="auto"/>
        </w:rPr>
      </w:pPr>
      <w:bookmarkStart w:id="416" w:name="_Toc182553829"/>
      <w:r>
        <w:rPr>
          <w:rFonts w:hint="eastAsia" w:eastAsia="仿宋"/>
          <w:color w:val="auto"/>
        </w:rPr>
        <w:t>6.5</w:t>
      </w:r>
      <w:r>
        <w:rPr>
          <w:rFonts w:eastAsia="仿宋"/>
          <w:color w:val="auto"/>
        </w:rPr>
        <w:t>环境风险防控措施及应急要求</w:t>
      </w:r>
      <w:bookmarkEnd w:id="415"/>
      <w:bookmarkEnd w:id="416"/>
    </w:p>
    <w:p w14:paraId="7732B56E">
      <w:pPr>
        <w:pStyle w:val="1879"/>
        <w:adjustRightInd/>
        <w:snapToGrid/>
        <w:rPr>
          <w:rFonts w:ascii="Times New Roman" w:eastAsia="仿宋"/>
          <w:szCs w:val="28"/>
        </w:rPr>
      </w:pPr>
      <w:r>
        <w:rPr>
          <w:rFonts w:ascii="Times New Roman" w:eastAsia="仿宋"/>
          <w:szCs w:val="28"/>
        </w:rPr>
        <w:t>工程有害物质危害防治主要从两方面考虑，首先在工艺上控制源头，采用先进的生产工艺和设备，尽可能不排或少排，以达到降低工作场所有害物质的目的；其次对不可避免排出的有害物质采取国内外相应高效的治理措施，并对操作人员采取相应的防护性措施，尽可能减轻对操作人员的危害。</w:t>
      </w:r>
    </w:p>
    <w:p w14:paraId="022F2655">
      <w:pPr>
        <w:pStyle w:val="1879"/>
        <w:adjustRightInd/>
        <w:snapToGrid/>
        <w:rPr>
          <w:rFonts w:ascii="Times New Roman" w:eastAsia="仿宋"/>
          <w:szCs w:val="28"/>
        </w:rPr>
      </w:pPr>
      <w:r>
        <w:rPr>
          <w:rFonts w:ascii="Times New Roman" w:eastAsia="仿宋"/>
          <w:szCs w:val="28"/>
        </w:rPr>
        <w:t>为了防范事故和减少灾害，必须制定风险事故防范措施和应急预案。</w:t>
      </w:r>
    </w:p>
    <w:p w14:paraId="67378F67">
      <w:pPr>
        <w:keepNext/>
        <w:keepLines/>
        <w:spacing w:before="120" w:after="120" w:line="500" w:lineRule="exact"/>
        <w:outlineLvl w:val="2"/>
        <w:rPr>
          <w:rFonts w:ascii="Times New Roman" w:eastAsia="仿宋"/>
          <w:b/>
          <w:bCs/>
          <w:sz w:val="28"/>
          <w:szCs w:val="32"/>
        </w:rPr>
      </w:pPr>
      <w:r>
        <w:rPr>
          <w:rFonts w:ascii="Times New Roman" w:eastAsia="仿宋"/>
          <w:b/>
          <w:sz w:val="28"/>
          <w:szCs w:val="32"/>
        </w:rPr>
        <w:t>6.</w:t>
      </w:r>
      <w:r>
        <w:rPr>
          <w:rFonts w:hint="eastAsia" w:ascii="Times New Roman" w:eastAsia="仿宋"/>
          <w:b/>
          <w:sz w:val="28"/>
          <w:szCs w:val="32"/>
        </w:rPr>
        <w:t>5</w:t>
      </w:r>
      <w:r>
        <w:rPr>
          <w:rFonts w:ascii="Times New Roman" w:eastAsia="仿宋"/>
          <w:b/>
          <w:sz w:val="28"/>
          <w:szCs w:val="32"/>
        </w:rPr>
        <w:t>.1建立管理制度</w:t>
      </w:r>
    </w:p>
    <w:p w14:paraId="6C6CA87F">
      <w:pPr>
        <w:pStyle w:val="1879"/>
        <w:adjustRightInd/>
        <w:snapToGrid/>
        <w:rPr>
          <w:rFonts w:ascii="Times New Roman" w:eastAsia="仿宋"/>
          <w:szCs w:val="28"/>
        </w:rPr>
      </w:pPr>
      <w:r>
        <w:rPr>
          <w:rFonts w:ascii="Times New Roman" w:eastAsia="仿宋"/>
          <w:szCs w:val="28"/>
        </w:rPr>
        <w:t>（1）制定各级安全生产责任制、各项安全管理制度、工艺操作规程、安全技术规程和各种设备维修保养和设备管理制度，加强生产现场管理，狠抓劳动纪律，同时经常对职工进行思想教育、工艺操作、设备操作训练，使职工能熟练掌握所在岗位和所在环境中的各个要素，了解一些常见的扑火、中毒的自救能力，互相救助的一些常识。</w:t>
      </w:r>
    </w:p>
    <w:p w14:paraId="11414E20">
      <w:pPr>
        <w:pStyle w:val="1879"/>
        <w:adjustRightInd/>
        <w:snapToGrid/>
        <w:rPr>
          <w:rFonts w:ascii="Times New Roman" w:eastAsia="仿宋"/>
          <w:szCs w:val="28"/>
        </w:rPr>
      </w:pPr>
      <w:r>
        <w:rPr>
          <w:rFonts w:ascii="Times New Roman" w:eastAsia="仿宋"/>
          <w:szCs w:val="28"/>
        </w:rPr>
        <w:t>（2）建立巡回检查制度，这个检查不是浮于形式，而是实实在在的检查，查隐患，发现问题及时上报并且责令负责部门限期整改到位，复查合格，记录在案。</w:t>
      </w:r>
    </w:p>
    <w:p w14:paraId="6DB1F825">
      <w:pPr>
        <w:pStyle w:val="1879"/>
        <w:adjustRightInd/>
        <w:snapToGrid/>
        <w:rPr>
          <w:rFonts w:ascii="Times New Roman" w:eastAsia="仿宋"/>
          <w:szCs w:val="28"/>
        </w:rPr>
      </w:pPr>
      <w:r>
        <w:rPr>
          <w:rFonts w:ascii="Times New Roman" w:eastAsia="仿宋"/>
          <w:szCs w:val="28"/>
        </w:rPr>
        <w:t>（3）对</w:t>
      </w:r>
      <w:r>
        <w:rPr>
          <w:rFonts w:hint="eastAsia" w:ascii="Times New Roman" w:eastAsia="仿宋"/>
          <w:szCs w:val="28"/>
        </w:rPr>
        <w:t>油漆仓库</w:t>
      </w:r>
      <w:r>
        <w:rPr>
          <w:rFonts w:ascii="Times New Roman" w:eastAsia="仿宋"/>
          <w:szCs w:val="28"/>
        </w:rPr>
        <w:t>不同</w:t>
      </w:r>
      <w:r>
        <w:rPr>
          <w:rFonts w:hint="eastAsia" w:ascii="Times New Roman" w:eastAsia="仿宋"/>
          <w:szCs w:val="28"/>
        </w:rPr>
        <w:t>原料</w:t>
      </w:r>
      <w:r>
        <w:rPr>
          <w:rFonts w:ascii="Times New Roman" w:eastAsia="仿宋"/>
          <w:szCs w:val="28"/>
        </w:rPr>
        <w:t>按储存要求进行隔离或离开存放，有专人保管，配备消防器材、洗手器和冲眼器等。同时有“仓库重地，闲人莫入”</w:t>
      </w:r>
      <w:r>
        <w:rPr>
          <w:rFonts w:hint="eastAsia" w:ascii="Times New Roman" w:eastAsia="仿宋"/>
          <w:szCs w:val="28"/>
        </w:rPr>
        <w:t>、</w:t>
      </w:r>
      <w:r>
        <w:rPr>
          <w:rFonts w:ascii="Times New Roman" w:eastAsia="仿宋"/>
          <w:szCs w:val="28"/>
        </w:rPr>
        <w:t>“严禁烟火”、“严禁火料”、“严禁吸烟”等醒目警示标志。</w:t>
      </w:r>
    </w:p>
    <w:p w14:paraId="2286D8AE">
      <w:pPr>
        <w:pStyle w:val="1879"/>
        <w:adjustRightInd/>
        <w:snapToGrid/>
        <w:rPr>
          <w:rFonts w:ascii="Times New Roman" w:eastAsia="仿宋"/>
          <w:szCs w:val="28"/>
        </w:rPr>
      </w:pPr>
      <w:r>
        <w:rPr>
          <w:rFonts w:ascii="Times New Roman" w:eastAsia="仿宋"/>
          <w:szCs w:val="28"/>
        </w:rPr>
        <w:t>（4）加强对职工的劳动保护用品的使用和发放，同时针对危险化学品的特殊性，为职工配备所需用的防护用品和急救用品，如防毒面具、眼镜、过敏药等。</w:t>
      </w:r>
    </w:p>
    <w:p w14:paraId="4783552B">
      <w:pPr>
        <w:pStyle w:val="1879"/>
        <w:adjustRightInd/>
        <w:snapToGrid/>
        <w:rPr>
          <w:rFonts w:ascii="Times New Roman" w:eastAsia="仿宋"/>
          <w:szCs w:val="28"/>
        </w:rPr>
      </w:pPr>
      <w:r>
        <w:rPr>
          <w:rFonts w:ascii="Times New Roman" w:eastAsia="仿宋"/>
          <w:szCs w:val="28"/>
        </w:rPr>
        <w:t>（5）工厂要在醒目位置设立警示牌和安全标语，做到人人皆知，注意防范。</w:t>
      </w:r>
    </w:p>
    <w:p w14:paraId="30FB8FF3">
      <w:pPr>
        <w:keepNext/>
        <w:keepLines/>
        <w:spacing w:before="120" w:after="120" w:line="500" w:lineRule="exact"/>
        <w:outlineLvl w:val="2"/>
        <w:rPr>
          <w:rFonts w:ascii="Times New Roman" w:eastAsia="仿宋"/>
          <w:b/>
          <w:bCs/>
          <w:sz w:val="28"/>
          <w:szCs w:val="32"/>
        </w:rPr>
      </w:pPr>
      <w:r>
        <w:rPr>
          <w:rFonts w:ascii="Times New Roman" w:eastAsia="仿宋"/>
          <w:b/>
          <w:sz w:val="28"/>
          <w:szCs w:val="32"/>
        </w:rPr>
        <w:t>6.</w:t>
      </w:r>
      <w:r>
        <w:rPr>
          <w:rFonts w:hint="eastAsia" w:ascii="Times New Roman" w:eastAsia="仿宋"/>
          <w:b/>
          <w:sz w:val="28"/>
          <w:szCs w:val="32"/>
        </w:rPr>
        <w:t>5</w:t>
      </w:r>
      <w:r>
        <w:rPr>
          <w:rFonts w:ascii="Times New Roman" w:eastAsia="仿宋"/>
          <w:b/>
          <w:sz w:val="28"/>
          <w:szCs w:val="32"/>
        </w:rPr>
        <w:t>.2风险防范措施</w:t>
      </w:r>
    </w:p>
    <w:p w14:paraId="579A81A9">
      <w:pPr>
        <w:autoSpaceDE w:val="0"/>
        <w:autoSpaceDN w:val="0"/>
        <w:spacing w:line="500" w:lineRule="exact"/>
        <w:ind w:firstLine="560" w:firstLineChars="200"/>
        <w:rPr>
          <w:rFonts w:ascii="Times New Roman" w:eastAsia="仿宋"/>
          <w:sz w:val="28"/>
        </w:rPr>
      </w:pPr>
      <w:r>
        <w:rPr>
          <w:rFonts w:ascii="Times New Roman" w:eastAsia="仿宋"/>
          <w:sz w:val="28"/>
        </w:rPr>
        <w:t>本项目为</w:t>
      </w:r>
      <w:r>
        <w:rPr>
          <w:rFonts w:hint="eastAsia" w:ascii="Times New Roman" w:eastAsia="仿宋"/>
          <w:sz w:val="28"/>
        </w:rPr>
        <w:t>新</w:t>
      </w:r>
      <w:r>
        <w:rPr>
          <w:rFonts w:ascii="Times New Roman" w:eastAsia="仿宋"/>
          <w:sz w:val="28"/>
        </w:rPr>
        <w:t>建项目，根据《关于做好生态环境和应急管理部门联动工作的意见》（苏环办</w:t>
      </w:r>
      <w:r>
        <w:rPr>
          <w:rFonts w:hint="eastAsia" w:ascii="Times New Roman" w:eastAsia="仿宋"/>
          <w:sz w:val="28"/>
        </w:rPr>
        <w:t>〔</w:t>
      </w:r>
      <w:r>
        <w:rPr>
          <w:rFonts w:ascii="Times New Roman" w:eastAsia="仿宋"/>
          <w:sz w:val="28"/>
        </w:rPr>
        <w:t>2020</w:t>
      </w:r>
      <w:r>
        <w:rPr>
          <w:rFonts w:hint="eastAsia" w:ascii="Times New Roman" w:eastAsia="仿宋"/>
          <w:sz w:val="28"/>
        </w:rPr>
        <w:t>〕</w:t>
      </w:r>
      <w:r>
        <w:rPr>
          <w:rFonts w:ascii="Times New Roman" w:eastAsia="仿宋"/>
          <w:sz w:val="28"/>
        </w:rPr>
        <w:t>101号）</w:t>
      </w:r>
      <w:r>
        <w:rPr>
          <w:rFonts w:hint="eastAsia" w:ascii="Times New Roman" w:eastAsia="仿宋"/>
          <w:sz w:val="28"/>
        </w:rPr>
        <w:t>、《关于印发</w:t>
      </w:r>
      <w:r>
        <w:rPr>
          <w:rFonts w:ascii="Times New Roman" w:eastAsia="仿宋"/>
          <w:sz w:val="28"/>
        </w:rPr>
        <w:t>&lt;</w:t>
      </w:r>
      <w:r>
        <w:rPr>
          <w:rFonts w:hint="eastAsia" w:ascii="Times New Roman" w:eastAsia="仿宋"/>
          <w:sz w:val="28"/>
        </w:rPr>
        <w:t>企业事业单位突发环境事件应急预案备案管理办法（试行）</w:t>
      </w:r>
      <w:r>
        <w:rPr>
          <w:rFonts w:ascii="Times New Roman" w:eastAsia="仿宋"/>
          <w:sz w:val="28"/>
        </w:rPr>
        <w:t>&gt;</w:t>
      </w:r>
      <w:r>
        <w:rPr>
          <w:rFonts w:hint="eastAsia" w:ascii="Times New Roman" w:eastAsia="仿宋"/>
          <w:sz w:val="28"/>
        </w:rPr>
        <w:t>的通知》</w:t>
      </w:r>
      <w:r>
        <w:rPr>
          <w:rFonts w:ascii="Times New Roman" w:eastAsia="仿宋"/>
          <w:sz w:val="28"/>
        </w:rPr>
        <w:t>(</w:t>
      </w:r>
      <w:r>
        <w:rPr>
          <w:rFonts w:hint="eastAsia" w:ascii="Times New Roman" w:eastAsia="仿宋"/>
          <w:sz w:val="28"/>
        </w:rPr>
        <w:t>环发【</w:t>
      </w:r>
      <w:r>
        <w:rPr>
          <w:rFonts w:ascii="Times New Roman" w:eastAsia="仿宋"/>
          <w:sz w:val="28"/>
        </w:rPr>
        <w:t>2015</w:t>
      </w:r>
      <w:r>
        <w:rPr>
          <w:rFonts w:hint="eastAsia" w:ascii="Times New Roman" w:eastAsia="仿宋"/>
          <w:sz w:val="28"/>
        </w:rPr>
        <w:t>】</w:t>
      </w:r>
      <w:r>
        <w:rPr>
          <w:rFonts w:ascii="Times New Roman" w:eastAsia="仿宋"/>
          <w:sz w:val="28"/>
        </w:rPr>
        <w:t>4</w:t>
      </w:r>
      <w:r>
        <w:rPr>
          <w:rFonts w:hint="eastAsia" w:ascii="Times New Roman" w:eastAsia="仿宋"/>
          <w:sz w:val="28"/>
        </w:rPr>
        <w:t>号</w:t>
      </w:r>
      <w:r>
        <w:rPr>
          <w:rFonts w:ascii="Times New Roman" w:eastAsia="仿宋"/>
          <w:sz w:val="28"/>
        </w:rPr>
        <w:t>)</w:t>
      </w:r>
      <w:r>
        <w:rPr>
          <w:rFonts w:hint="eastAsia" w:ascii="Times New Roman" w:eastAsia="仿宋"/>
          <w:sz w:val="28"/>
        </w:rPr>
        <w:t>中的相关要求</w:t>
      </w:r>
      <w:r>
        <w:rPr>
          <w:rFonts w:ascii="Times New Roman" w:eastAsia="仿宋"/>
          <w:sz w:val="28"/>
        </w:rPr>
        <w:t>，</w:t>
      </w:r>
      <w:r>
        <w:rPr>
          <w:rFonts w:hint="eastAsia" w:ascii="Times New Roman" w:eastAsia="仿宋"/>
          <w:sz w:val="28"/>
        </w:rPr>
        <w:t>企业在项目验收前应编制应急预案，在落实应急预案中的风险防范措施情况下，使本项目的风险得到有效控制；同时</w:t>
      </w:r>
      <w:r>
        <w:rPr>
          <w:rFonts w:ascii="Times New Roman" w:eastAsia="仿宋"/>
          <w:sz w:val="28"/>
        </w:rPr>
        <w:t>应对污水处理、粉尘治理等环境治理设施开展安全风险辨识管控，要健全内部污染防治设施稳定运行和管理责任制度，严格依据标准规范建设环境治理设施，确保环境治理设施安全、稳定、有效运行。</w:t>
      </w:r>
    </w:p>
    <w:p w14:paraId="083956BC">
      <w:pPr>
        <w:keepNext/>
        <w:keepLines/>
        <w:spacing w:before="48" w:beforeLines="20" w:after="48" w:afterLines="20" w:line="500" w:lineRule="exact"/>
        <w:jc w:val="left"/>
        <w:outlineLvl w:val="3"/>
        <w:rPr>
          <w:rFonts w:ascii="Times New Roman" w:eastAsia="仿宋"/>
          <w:b/>
          <w:bCs/>
          <w:sz w:val="28"/>
        </w:rPr>
      </w:pPr>
      <w:r>
        <w:rPr>
          <w:rFonts w:hint="eastAsia" w:ascii="Times New Roman" w:eastAsia="仿宋"/>
          <w:b/>
          <w:bCs/>
          <w:sz w:val="28"/>
        </w:rPr>
        <w:t>6.5.2.1</w:t>
      </w:r>
      <w:r>
        <w:rPr>
          <w:rFonts w:ascii="Times New Roman" w:eastAsia="仿宋"/>
          <w:b/>
          <w:bCs/>
          <w:sz w:val="28"/>
        </w:rPr>
        <w:t>风险源监控</w:t>
      </w:r>
    </w:p>
    <w:p w14:paraId="3C22A6E8">
      <w:pPr>
        <w:spacing w:line="500" w:lineRule="exact"/>
        <w:ind w:firstLine="560" w:firstLineChars="200"/>
        <w:rPr>
          <w:rFonts w:ascii="Times New Roman" w:eastAsia="仿宋"/>
          <w:sz w:val="28"/>
          <w:szCs w:val="28"/>
        </w:rPr>
      </w:pPr>
      <w:r>
        <w:rPr>
          <w:rFonts w:ascii="Times New Roman" w:eastAsia="仿宋"/>
          <w:sz w:val="28"/>
          <w:szCs w:val="28"/>
        </w:rPr>
        <w:t>公司对重点风险源进行辨识，制订管理方案，组织制定有针对性的控制措施，认真做好措施落实工作，建立日常监视和监测制度并予以实施，使风险源始终处于受控状态。</w:t>
      </w:r>
    </w:p>
    <w:p w14:paraId="5143283F">
      <w:pPr>
        <w:spacing w:line="500" w:lineRule="exact"/>
        <w:ind w:firstLine="560" w:firstLineChars="200"/>
        <w:rPr>
          <w:rFonts w:ascii="Times New Roman" w:eastAsia="仿宋"/>
          <w:sz w:val="28"/>
          <w:szCs w:val="28"/>
        </w:rPr>
      </w:pPr>
      <w:r>
        <w:rPr>
          <w:rFonts w:ascii="Times New Roman" w:eastAsia="仿宋"/>
          <w:sz w:val="28"/>
          <w:szCs w:val="28"/>
        </w:rPr>
        <w:t>公司相关风险源监控措施如下：</w:t>
      </w:r>
    </w:p>
    <w:p w14:paraId="52454476">
      <w:pPr>
        <w:spacing w:line="500" w:lineRule="exact"/>
        <w:ind w:firstLine="560" w:firstLineChars="200"/>
        <w:rPr>
          <w:rFonts w:ascii="Times New Roman" w:eastAsia="仿宋"/>
          <w:sz w:val="28"/>
          <w:szCs w:val="28"/>
        </w:rPr>
      </w:pPr>
      <w:r>
        <w:rPr>
          <w:rFonts w:ascii="Times New Roman" w:eastAsia="仿宋"/>
          <w:sz w:val="28"/>
          <w:szCs w:val="28"/>
        </w:rPr>
        <w:t>公司仓库中存放有易燃物料，库内需装有可燃气体报警仪、视频监控设施，并配备灭火器，消防栓等消防设备。厂区配备员工24小时巡查，一旦发生事故能够及时发现、处理。</w:t>
      </w:r>
    </w:p>
    <w:p w14:paraId="0F65C00C">
      <w:pPr>
        <w:spacing w:line="500" w:lineRule="exact"/>
        <w:ind w:firstLine="560" w:firstLineChars="200"/>
        <w:rPr>
          <w:rFonts w:ascii="Times New Roman" w:eastAsia="仿宋"/>
          <w:sz w:val="28"/>
          <w:szCs w:val="28"/>
        </w:rPr>
      </w:pPr>
      <w:r>
        <w:rPr>
          <w:rFonts w:ascii="Times New Roman" w:eastAsia="仿宋"/>
          <w:sz w:val="28"/>
          <w:szCs w:val="28"/>
        </w:rPr>
        <w:t>对于其他风险源（如生产车间、</w:t>
      </w:r>
      <w:r>
        <w:rPr>
          <w:rFonts w:hint="eastAsia" w:ascii="Times New Roman" w:eastAsia="仿宋"/>
          <w:sz w:val="28"/>
          <w:szCs w:val="28"/>
        </w:rPr>
        <w:t>污水处理站</w:t>
      </w:r>
      <w:r>
        <w:rPr>
          <w:rFonts w:ascii="Times New Roman" w:eastAsia="仿宋"/>
          <w:sz w:val="28"/>
          <w:szCs w:val="28"/>
        </w:rPr>
        <w:t>）的监控由各责任单位进行日常的检查，强化制度执行，利用各种形式、各种途径开展员工安全教育培训，提高员工作业风险意识。</w:t>
      </w:r>
    </w:p>
    <w:p w14:paraId="36F20353">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.2.2物料泄漏事故的防范措施</w:t>
      </w:r>
    </w:p>
    <w:p w14:paraId="303C490B">
      <w:pPr>
        <w:spacing w:line="500" w:lineRule="exact"/>
        <w:ind w:firstLine="560" w:firstLineChars="200"/>
        <w:jc w:val="left"/>
        <w:rPr>
          <w:rFonts w:ascii="Times New Roman" w:eastAsia="仿宋"/>
          <w:sz w:val="28"/>
          <w:szCs w:val="21"/>
        </w:rPr>
      </w:pPr>
      <w:r>
        <w:rPr>
          <w:rFonts w:ascii="Times New Roman" w:eastAsia="仿宋"/>
          <w:sz w:val="28"/>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物料泄漏事故的预防：在有易燃易爆物料可能泄漏的区域安装可燃气体探察仪，以便及早发现泄漏、及早处理；</w:t>
      </w:r>
    </w:p>
    <w:p w14:paraId="530B7D17">
      <w:pPr>
        <w:spacing w:line="500" w:lineRule="exact"/>
        <w:ind w:firstLine="560" w:firstLineChars="200"/>
        <w:jc w:val="left"/>
        <w:rPr>
          <w:rFonts w:ascii="Times New Roman" w:eastAsia="仿宋"/>
          <w:sz w:val="28"/>
          <w:szCs w:val="21"/>
        </w:rPr>
      </w:pPr>
      <w:r>
        <w:rPr>
          <w:rFonts w:ascii="Times New Roman" w:eastAsia="仿宋"/>
          <w:sz w:val="28"/>
          <w:szCs w:val="21"/>
        </w:rPr>
        <w:t>另外，建设方应做好以下管理工作：</w:t>
      </w:r>
    </w:p>
    <w:p w14:paraId="08968492">
      <w:pPr>
        <w:spacing w:line="500" w:lineRule="exact"/>
        <w:ind w:firstLine="560" w:firstLineChars="200"/>
        <w:jc w:val="left"/>
        <w:rPr>
          <w:rFonts w:ascii="Times New Roman" w:eastAsia="仿宋"/>
          <w:sz w:val="28"/>
          <w:szCs w:val="21"/>
        </w:rPr>
      </w:pPr>
      <w:r>
        <w:rPr>
          <w:rFonts w:ascii="Times New Roman" w:eastAsia="仿宋"/>
          <w:sz w:val="28"/>
          <w:szCs w:val="21"/>
        </w:rPr>
        <w:t>①严格执行安全和消防规范。厂区内设置环形道路，以利于消防和疏散。</w:t>
      </w:r>
    </w:p>
    <w:p w14:paraId="0E78D888">
      <w:pPr>
        <w:spacing w:line="500" w:lineRule="exact"/>
        <w:ind w:firstLine="560" w:firstLineChars="200"/>
        <w:jc w:val="left"/>
        <w:rPr>
          <w:rFonts w:ascii="Times New Roman" w:eastAsia="仿宋"/>
          <w:sz w:val="28"/>
          <w:szCs w:val="21"/>
        </w:rPr>
      </w:pPr>
      <w:r>
        <w:rPr>
          <w:rFonts w:ascii="Times New Roman" w:eastAsia="仿宋"/>
          <w:sz w:val="28"/>
          <w:szCs w:val="21"/>
        </w:rPr>
        <w:t>②采用露天或敞开框架布置以利通风，避免死角造成有害物质的聚集。</w:t>
      </w:r>
    </w:p>
    <w:p w14:paraId="353F5D14">
      <w:pPr>
        <w:spacing w:line="500" w:lineRule="exact"/>
        <w:ind w:firstLine="560" w:firstLineChars="200"/>
        <w:jc w:val="left"/>
        <w:rPr>
          <w:rFonts w:ascii="Times New Roman" w:eastAsia="仿宋"/>
          <w:sz w:val="28"/>
          <w:szCs w:val="21"/>
        </w:rPr>
      </w:pPr>
      <w:r>
        <w:rPr>
          <w:rFonts w:ascii="Times New Roman" w:eastAsia="仿宋"/>
          <w:sz w:val="28"/>
          <w:szCs w:val="21"/>
        </w:rPr>
        <w:t>③所有排液、排气均集中收集，并进行妥善处理，防止随意流散。</w:t>
      </w:r>
    </w:p>
    <w:p w14:paraId="474F819A">
      <w:pPr>
        <w:spacing w:line="500" w:lineRule="exact"/>
        <w:ind w:firstLine="560" w:firstLineChars="200"/>
        <w:jc w:val="left"/>
        <w:rPr>
          <w:rFonts w:ascii="Times New Roman" w:eastAsia="仿宋"/>
          <w:sz w:val="28"/>
          <w:szCs w:val="21"/>
        </w:rPr>
      </w:pPr>
      <w:r>
        <w:rPr>
          <w:rFonts w:ascii="Times New Roman" w:eastAsia="仿宋"/>
          <w:sz w:val="28"/>
          <w:szCs w:val="21"/>
        </w:rPr>
        <w:t>④应经常对各类阀门进行检查和维修，以保证其严密性和灵活性，对压力计、温度计及各种调节器进行定期检查。</w:t>
      </w:r>
    </w:p>
    <w:p w14:paraId="1D3D21E1">
      <w:pPr>
        <w:spacing w:line="500" w:lineRule="exact"/>
        <w:ind w:firstLine="560" w:firstLineChars="200"/>
        <w:jc w:val="left"/>
        <w:rPr>
          <w:rFonts w:ascii="Times New Roman" w:eastAsia="仿宋"/>
          <w:sz w:val="28"/>
          <w:szCs w:val="21"/>
        </w:rPr>
      </w:pPr>
      <w:r>
        <w:rPr>
          <w:rFonts w:ascii="Times New Roman" w:eastAsia="仿宋"/>
          <w:sz w:val="28"/>
          <w:szCs w:val="21"/>
        </w:rPr>
        <w:t>⑤设置完善的下水道系统，保证各单元泄漏物料能迅速安全集中到泄漏物料事故收集池，以便集中处理。</w:t>
      </w:r>
    </w:p>
    <w:p w14:paraId="18D91D25">
      <w:pPr>
        <w:spacing w:line="500" w:lineRule="exact"/>
        <w:ind w:firstLine="560" w:firstLineChars="200"/>
        <w:rPr>
          <w:rFonts w:ascii="Times New Roman" w:eastAsia="仿宋"/>
          <w:sz w:val="28"/>
          <w:szCs w:val="28"/>
        </w:rPr>
      </w:pPr>
      <w:r>
        <w:rPr>
          <w:rFonts w:ascii="Times New Roman" w:eastAsia="仿宋"/>
          <w:sz w:val="28"/>
          <w:szCs w:val="21"/>
        </w:rPr>
        <w:t>⑥对操作人员进行系统教育，严格按操作规程进行操作，严禁违章作业。加强个人防护，作业岗位应配有防毒面具、防护眼镜及必要的耐酸服、手套和靴子，并定期检查维修，保证使用效果。</w:t>
      </w:r>
    </w:p>
    <w:p w14:paraId="4E59C34F">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.2.3火灾和爆炸事故的防范措施</w:t>
      </w:r>
    </w:p>
    <w:p w14:paraId="30446F8D">
      <w:pPr>
        <w:spacing w:line="500" w:lineRule="exact"/>
        <w:ind w:firstLine="560" w:firstLineChars="200"/>
        <w:rPr>
          <w:rFonts w:ascii="Times New Roman" w:eastAsia="仿宋"/>
          <w:sz w:val="28"/>
          <w:szCs w:val="28"/>
        </w:rPr>
      </w:pPr>
      <w:r>
        <w:rPr>
          <w:rFonts w:ascii="Times New Roman" w:eastAsia="仿宋"/>
          <w:sz w:val="28"/>
          <w:szCs w:val="28"/>
        </w:rPr>
        <w:t>火灾和爆炸事故的防范措施主要是提高企业运行管理水平和装置性能，以及采取有效的防火防爆措施。本项目采取措施如下：</w:t>
      </w:r>
    </w:p>
    <w:p w14:paraId="6D39270B">
      <w:pPr>
        <w:spacing w:line="500" w:lineRule="exact"/>
        <w:ind w:firstLine="560" w:firstLineChars="200"/>
        <w:jc w:val="left"/>
        <w:rPr>
          <w:rFonts w:ascii="Times New Roman" w:eastAsia="仿宋"/>
          <w:sz w:val="28"/>
          <w:szCs w:val="21"/>
        </w:rPr>
      </w:pPr>
      <w:r>
        <w:rPr>
          <w:rFonts w:ascii="Times New Roman" w:eastAsia="仿宋"/>
          <w:sz w:val="28"/>
          <w:szCs w:val="28"/>
        </w:rPr>
        <w:t>①</w:t>
      </w:r>
      <w:r>
        <w:rPr>
          <w:rFonts w:ascii="Times New Roman" w:eastAsia="仿宋"/>
          <w:sz w:val="28"/>
          <w:szCs w:val="21"/>
        </w:rPr>
        <w:t>设备的安全管理：定期对设备进行安全检测，检测内容、时间、人员应有记录保存。安全检测应根据设备的安全性、危险性设定检测频次。</w:t>
      </w:r>
    </w:p>
    <w:p w14:paraId="1198F1A1">
      <w:pPr>
        <w:spacing w:line="500" w:lineRule="exact"/>
        <w:ind w:firstLine="560" w:firstLineChars="200"/>
        <w:jc w:val="left"/>
        <w:rPr>
          <w:rFonts w:ascii="Times New Roman" w:eastAsia="仿宋"/>
          <w:sz w:val="28"/>
          <w:szCs w:val="21"/>
        </w:rPr>
      </w:pPr>
      <w:r>
        <w:rPr>
          <w:rFonts w:ascii="Times New Roman" w:eastAsia="仿宋"/>
          <w:sz w:val="28"/>
          <w:szCs w:val="21"/>
        </w:rPr>
        <w:t>②控制液体物料输送流速，禁止高速输送，减少管道与物料之间摩擦，减少静电产生。在储存和输送系统及辅助设施中，在必要的地方安装安全阀和防超压系统。</w:t>
      </w:r>
    </w:p>
    <w:p w14:paraId="3642A38A">
      <w:pPr>
        <w:spacing w:line="500" w:lineRule="exact"/>
        <w:ind w:firstLine="560" w:firstLineChars="200"/>
        <w:jc w:val="left"/>
        <w:rPr>
          <w:rFonts w:ascii="Times New Roman" w:eastAsia="仿宋"/>
          <w:sz w:val="28"/>
          <w:szCs w:val="21"/>
        </w:rPr>
      </w:pPr>
      <w:r>
        <w:rPr>
          <w:rFonts w:ascii="Times New Roman" w:eastAsia="仿宋"/>
          <w:sz w:val="28"/>
          <w:szCs w:val="21"/>
        </w:rPr>
        <w:t>③在管道以及其他设备上，设置永久性接地装置；在装液体化工物料时防止静电产生，防止操作人员带电作业；在危险操作时，操作人员应使用抗静电工作帽和具有导电性的作业鞋；要有防雷装置，特别防止雷击。</w:t>
      </w:r>
    </w:p>
    <w:p w14:paraId="37FD5A84">
      <w:pPr>
        <w:spacing w:line="500" w:lineRule="exact"/>
        <w:ind w:firstLine="560" w:firstLineChars="200"/>
        <w:jc w:val="left"/>
        <w:rPr>
          <w:rFonts w:ascii="Times New Roman" w:eastAsia="仿宋"/>
          <w:sz w:val="28"/>
          <w:szCs w:val="21"/>
        </w:rPr>
      </w:pPr>
      <w:r>
        <w:rPr>
          <w:rFonts w:ascii="Times New Roman" w:eastAsia="仿宋"/>
          <w:sz w:val="28"/>
          <w:szCs w:val="21"/>
        </w:rPr>
        <w:t>④应加强火源的管理，严禁烟火带入，对设备需进行维修焊接，应经安全部门确认、准许，并有记录。机动车在厂内行驶，须安装阻火器，必要设备安装防火、防爆装置。</w:t>
      </w:r>
    </w:p>
    <w:p w14:paraId="686AE065">
      <w:pPr>
        <w:spacing w:line="500" w:lineRule="exact"/>
        <w:ind w:firstLine="560" w:firstLineChars="200"/>
        <w:jc w:val="left"/>
        <w:rPr>
          <w:rFonts w:ascii="Times New Roman" w:eastAsia="仿宋"/>
          <w:sz w:val="28"/>
          <w:szCs w:val="21"/>
        </w:rPr>
      </w:pPr>
      <w:r>
        <w:rPr>
          <w:rFonts w:ascii="Times New Roman" w:eastAsia="仿宋"/>
          <w:sz w:val="28"/>
          <w:szCs w:val="21"/>
        </w:rPr>
        <w:t>⑤要有完善的安全消防措施。从平面布置上，本厂生产装置区等各功能区之间应按国家消防安全规定，设置足够的安全距离和道路，以便安全疏散和消防。各重点部位设备应设置完善的报警联锁系统、以及水消防系统和灭火器等。在必要的地方分别安装火灾报警仪、有毒气体探测器、感烟或感温探测器等，构成自动报警监测系统，并且对该系统作定期检查。</w:t>
      </w:r>
    </w:p>
    <w:p w14:paraId="42916F96">
      <w:pPr>
        <w:spacing w:line="500" w:lineRule="exact"/>
        <w:ind w:firstLine="560" w:firstLineChars="200"/>
        <w:jc w:val="left"/>
        <w:rPr>
          <w:rFonts w:ascii="Times New Roman" w:eastAsia="仿宋"/>
          <w:sz w:val="28"/>
          <w:szCs w:val="21"/>
        </w:rPr>
      </w:pPr>
      <w:r>
        <w:rPr>
          <w:rFonts w:hint="eastAsia" w:ascii="Times New Roman" w:eastAsia="仿宋"/>
          <w:sz w:val="28"/>
          <w:szCs w:val="21"/>
        </w:rPr>
        <w:t>⑥本项目</w:t>
      </w:r>
      <w:r>
        <w:rPr>
          <w:rFonts w:ascii="Times New Roman" w:eastAsia="仿宋"/>
          <w:sz w:val="28"/>
          <w:szCs w:val="21"/>
        </w:rPr>
        <w:t>铝粉属于爆炸性粉尘。除尘风机防爆等级</w:t>
      </w:r>
      <w:r>
        <w:rPr>
          <w:rFonts w:hint="eastAsia" w:ascii="Times New Roman" w:eastAsia="仿宋"/>
          <w:sz w:val="28"/>
          <w:szCs w:val="21"/>
        </w:rPr>
        <w:t>应</w:t>
      </w:r>
      <w:r>
        <w:rPr>
          <w:rFonts w:ascii="Times New Roman" w:eastAsia="仿宋"/>
          <w:sz w:val="28"/>
          <w:szCs w:val="21"/>
        </w:rPr>
        <w:t>符合规范，管路设计合理、</w:t>
      </w:r>
      <w:r>
        <w:rPr>
          <w:rFonts w:hint="eastAsia" w:ascii="Times New Roman" w:eastAsia="仿宋"/>
          <w:sz w:val="28"/>
          <w:szCs w:val="21"/>
        </w:rPr>
        <w:t>定期</w:t>
      </w:r>
      <w:r>
        <w:rPr>
          <w:rFonts w:ascii="Times New Roman" w:eastAsia="仿宋"/>
          <w:sz w:val="28"/>
          <w:szCs w:val="21"/>
        </w:rPr>
        <w:t>清理</w:t>
      </w:r>
      <w:r>
        <w:rPr>
          <w:rFonts w:hint="eastAsia" w:ascii="Times New Roman" w:eastAsia="仿宋"/>
          <w:sz w:val="28"/>
          <w:szCs w:val="21"/>
        </w:rPr>
        <w:t>积尘</w:t>
      </w:r>
      <w:r>
        <w:rPr>
          <w:rFonts w:ascii="Times New Roman" w:eastAsia="仿宋"/>
          <w:sz w:val="28"/>
          <w:szCs w:val="21"/>
        </w:rPr>
        <w:t>，</w:t>
      </w:r>
      <w:r>
        <w:rPr>
          <w:rFonts w:hint="eastAsia" w:ascii="Times New Roman" w:eastAsia="仿宋"/>
          <w:sz w:val="28"/>
          <w:szCs w:val="21"/>
        </w:rPr>
        <w:t>防止</w:t>
      </w:r>
      <w:r>
        <w:rPr>
          <w:rFonts w:ascii="Times New Roman" w:eastAsia="仿宋"/>
          <w:sz w:val="28"/>
          <w:szCs w:val="21"/>
        </w:rPr>
        <w:t>粉尘浓度达到爆炸极限；除尘设备静电接地、及时清理风管内积尘</w:t>
      </w:r>
      <w:r>
        <w:rPr>
          <w:rFonts w:hint="eastAsia" w:ascii="Times New Roman" w:eastAsia="仿宋"/>
          <w:sz w:val="28"/>
          <w:szCs w:val="21"/>
        </w:rPr>
        <w:t>，</w:t>
      </w:r>
      <w:r>
        <w:rPr>
          <w:rFonts w:ascii="Times New Roman" w:eastAsia="仿宋"/>
          <w:sz w:val="28"/>
          <w:szCs w:val="21"/>
        </w:rPr>
        <w:t>除尘系统内设置泄爆口及时泄爆。</w:t>
      </w:r>
    </w:p>
    <w:p w14:paraId="543BCE20">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.2.4固废风险防范措施</w:t>
      </w:r>
    </w:p>
    <w:p w14:paraId="5DDA75CD">
      <w:pPr>
        <w:spacing w:line="500" w:lineRule="exact"/>
        <w:ind w:firstLine="560" w:firstLineChars="200"/>
        <w:rPr>
          <w:rFonts w:ascii="Times New Roman" w:eastAsia="仿宋"/>
          <w:sz w:val="28"/>
          <w:szCs w:val="28"/>
        </w:rPr>
      </w:pPr>
      <w:r>
        <w:rPr>
          <w:rFonts w:ascii="Times New Roman" w:eastAsia="仿宋"/>
          <w:sz w:val="28"/>
          <w:szCs w:val="28"/>
        </w:rPr>
        <w:t>①固废仓库按照《环境保护图形标志—固体废物贮存（处置场）》（GB15562.2-1995）中的要求设置环境保护图形标志；</w:t>
      </w:r>
    </w:p>
    <w:p w14:paraId="790E0E17">
      <w:pPr>
        <w:spacing w:line="500" w:lineRule="exact"/>
        <w:ind w:firstLine="560" w:firstLineChars="200"/>
        <w:rPr>
          <w:rFonts w:ascii="Times New Roman" w:eastAsia="仿宋"/>
          <w:sz w:val="28"/>
          <w:szCs w:val="28"/>
        </w:rPr>
      </w:pPr>
      <w:r>
        <w:rPr>
          <w:rFonts w:ascii="Times New Roman" w:eastAsia="仿宋"/>
          <w:sz w:val="28"/>
          <w:szCs w:val="28"/>
        </w:rPr>
        <w:t>②加强危废暂存场防雨、防渗漏等风险防范措施，严格做到防火、防风、防雨、防晒、防扬散、防渗漏。</w:t>
      </w:r>
    </w:p>
    <w:p w14:paraId="76C8965C">
      <w:pPr>
        <w:spacing w:line="500" w:lineRule="exact"/>
        <w:ind w:firstLine="560" w:firstLineChars="200"/>
        <w:rPr>
          <w:rFonts w:ascii="Times New Roman" w:eastAsia="仿宋"/>
          <w:sz w:val="28"/>
          <w:szCs w:val="28"/>
        </w:rPr>
      </w:pPr>
      <w:r>
        <w:rPr>
          <w:rFonts w:ascii="Times New Roman" w:eastAsia="仿宋"/>
          <w:sz w:val="28"/>
          <w:szCs w:val="28"/>
        </w:rPr>
        <w:t>③为防止雨水径流进入贮存、处置场内、避免渗滤液量增加和滑坡，贮存、处置场周边需设置导流槽。</w:t>
      </w:r>
    </w:p>
    <w:p w14:paraId="402A7CE8">
      <w:pPr>
        <w:spacing w:line="500" w:lineRule="exact"/>
        <w:ind w:firstLine="560" w:firstLineChars="200"/>
        <w:rPr>
          <w:rFonts w:ascii="Times New Roman" w:eastAsia="仿宋"/>
          <w:sz w:val="28"/>
          <w:szCs w:val="28"/>
        </w:rPr>
      </w:pPr>
      <w:r>
        <w:rPr>
          <w:rFonts w:ascii="Times New Roman" w:eastAsia="仿宋"/>
          <w:sz w:val="28"/>
          <w:szCs w:val="28"/>
        </w:rPr>
        <w:t>④根据《危险废物贮存污染控制标准》中的相关要求，本项目危险废物中含有易燃、有毒性物质，必须进行预处理，使之稳定后贮存，否则，按易燃、易爆危险品贮存；必须将危险废物装入容器内；装载液体、半固体危险废物的容器内须留足够空间，容器顶部与液体表面之间保留100mm以上的空间；盛装危险废物的容器上必须粘贴符合符合标准的标签。</w:t>
      </w:r>
    </w:p>
    <w:p w14:paraId="480A9054">
      <w:pPr>
        <w:spacing w:line="500" w:lineRule="exact"/>
        <w:ind w:firstLine="560" w:firstLineChars="200"/>
        <w:rPr>
          <w:rFonts w:ascii="Times New Roman" w:eastAsia="仿宋"/>
          <w:sz w:val="28"/>
          <w:szCs w:val="28"/>
        </w:rPr>
      </w:pPr>
      <w:r>
        <w:rPr>
          <w:rFonts w:ascii="Times New Roman" w:eastAsia="仿宋"/>
          <w:sz w:val="28"/>
          <w:szCs w:val="28"/>
        </w:rPr>
        <w:t>⑤本项目危废暂存场所内部需增设视频监控设施以及各类消防应急设施；按危险废物的管理规定进行建档、转移登记。固体废物清运过程中，应严格按规范操作，严禁跑、冒、滴、漏，一旦发生泄漏，及时清理，妥善包装后送至指定的固废存放点。</w:t>
      </w:r>
    </w:p>
    <w:p w14:paraId="35587605">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.2.5事故废水风险防范措施</w:t>
      </w:r>
    </w:p>
    <w:p w14:paraId="17B7CC21">
      <w:pPr>
        <w:spacing w:line="500" w:lineRule="exact"/>
        <w:ind w:firstLine="560" w:firstLineChars="200"/>
        <w:rPr>
          <w:rFonts w:ascii="Times New Roman" w:eastAsia="仿宋"/>
          <w:sz w:val="28"/>
          <w:szCs w:val="28"/>
        </w:rPr>
      </w:pPr>
      <w:r>
        <w:rPr>
          <w:rFonts w:ascii="Times New Roman" w:eastAsia="仿宋"/>
          <w:sz w:val="28"/>
          <w:szCs w:val="28"/>
        </w:rPr>
        <w:t>根据</w:t>
      </w:r>
      <w:r>
        <w:rPr>
          <w:rFonts w:ascii="Times New Roman" w:eastAsia="仿宋"/>
          <w:bCs/>
          <w:sz w:val="28"/>
          <w:szCs w:val="28"/>
        </w:rPr>
        <w:t>《事故状态下水体污染的预防和控制规范》（Q/SY 08190-2019）</w:t>
      </w:r>
      <w:r>
        <w:rPr>
          <w:rFonts w:ascii="Times New Roman" w:eastAsia="仿宋"/>
          <w:sz w:val="28"/>
          <w:szCs w:val="28"/>
        </w:rPr>
        <w:t>，本项目针对废水排放采取“单元-厂区-园区/区域”的三级防控措施来杜绝环境风险事故对环境的造成污染事件，将环境风险事故排水及污染物控制在厂区内，环境风险事故排水及污染物控制在排水系统事故池内。</w:t>
      </w:r>
    </w:p>
    <w:p w14:paraId="08AC8B87">
      <w:pPr>
        <w:pStyle w:val="888"/>
        <w:ind w:firstLine="560"/>
        <w:rPr>
          <w:rFonts w:eastAsia="仿宋"/>
        </w:rPr>
      </w:pPr>
      <w:r>
        <w:rPr>
          <w:rFonts w:eastAsia="仿宋"/>
        </w:rPr>
        <w:t>（1）一级防控措施</w:t>
      </w:r>
    </w:p>
    <w:p w14:paraId="08965047">
      <w:pPr>
        <w:pStyle w:val="888"/>
        <w:ind w:firstLine="560"/>
        <w:rPr>
          <w:rFonts w:eastAsia="仿宋"/>
        </w:rPr>
      </w:pPr>
      <w:r>
        <w:rPr>
          <w:rFonts w:eastAsia="仿宋"/>
        </w:rPr>
        <w:t>第一级防控措施是设置在装置区、</w:t>
      </w:r>
      <w:r>
        <w:rPr>
          <w:rFonts w:hint="eastAsia" w:eastAsia="仿宋"/>
        </w:rPr>
        <w:t>油漆间</w:t>
      </w:r>
      <w:r>
        <w:rPr>
          <w:rFonts w:eastAsia="仿宋"/>
        </w:rPr>
        <w:t>、危废储存区，构筑生产过程中环境安全的第一层防控网，使泄漏物料转移到容器或隋性吸附物料中，将泄漏物料控制在生产车间、</w:t>
      </w:r>
      <w:r>
        <w:rPr>
          <w:rFonts w:hint="eastAsia" w:eastAsia="仿宋"/>
        </w:rPr>
        <w:t>油漆仓库</w:t>
      </w:r>
      <w:r>
        <w:rPr>
          <w:rFonts w:eastAsia="仿宋"/>
        </w:rPr>
        <w:t>、危废仓库内部，防止污染雨水和轻微事故泄漏造成的环境污染。</w:t>
      </w:r>
    </w:p>
    <w:p w14:paraId="65D13AC9">
      <w:pPr>
        <w:pStyle w:val="888"/>
        <w:ind w:firstLine="560"/>
        <w:rPr>
          <w:rFonts w:eastAsia="仿宋"/>
        </w:rPr>
      </w:pPr>
      <w:r>
        <w:rPr>
          <w:rFonts w:eastAsia="仿宋"/>
        </w:rPr>
        <w:t>具体措施如下：</w:t>
      </w:r>
    </w:p>
    <w:p w14:paraId="55D8009F">
      <w:pPr>
        <w:pStyle w:val="888"/>
        <w:ind w:firstLine="560"/>
        <w:rPr>
          <w:rFonts w:eastAsia="仿宋"/>
        </w:rPr>
      </w:pPr>
      <w:r>
        <w:rPr>
          <w:rFonts w:eastAsia="仿宋"/>
        </w:rPr>
        <w:t>生产车间地面铺设不发火地坪，配备围档物、吸附材料、灭火器材等应急物资，若发生少量物料泄漏，采用吸附棉或其它惰性吸附材料进行吸附，及时转移进废弃物容器内；若发生大量物料泄漏，采用档板、沙土或砂包进行围档，用应急泵泵入废弃物容器内，并采用吸附材料清理地面。收集的泄漏物及沾染了泄漏物的吸附材料均作为危险废物，委托有资质单位处置。</w:t>
      </w:r>
    </w:p>
    <w:p w14:paraId="60CFFBAC">
      <w:pPr>
        <w:pStyle w:val="888"/>
        <w:ind w:firstLine="560"/>
        <w:rPr>
          <w:rFonts w:eastAsia="仿宋"/>
        </w:rPr>
      </w:pPr>
      <w:r>
        <w:rPr>
          <w:rFonts w:hint="eastAsia" w:eastAsia="仿宋"/>
        </w:rPr>
        <w:t>油漆间</w:t>
      </w:r>
      <w:r>
        <w:rPr>
          <w:rFonts w:eastAsia="仿宋"/>
        </w:rPr>
        <w:t>、危废仓库地面防腐防渗，并铺设不发火地坪，门口设置防溢流坡，库内配备围档物、吸附材料、灭火器材等应急物资。若发生少量危废泄漏，采用吸附棉或其它惰性吸附材料进行吸附，及时转移进废弃物容器内；若发生大量危废泄漏，采用档板、沙土或砂包进行围档，用应急泵泵入废弃物容器内，并采用吸附材料清理地面。收集的泄漏物及沾染了泄漏物的吸附材料均作为危险废物，委托有资质单位处置。</w:t>
      </w:r>
    </w:p>
    <w:p w14:paraId="7C197894">
      <w:pPr>
        <w:pStyle w:val="888"/>
        <w:ind w:firstLine="560"/>
        <w:rPr>
          <w:rFonts w:eastAsia="仿宋"/>
        </w:rPr>
      </w:pPr>
      <w:r>
        <w:rPr>
          <w:rFonts w:eastAsia="仿宋"/>
        </w:rPr>
        <w:t>（2）二级防控措施</w:t>
      </w:r>
    </w:p>
    <w:p w14:paraId="2267C119">
      <w:pPr>
        <w:pStyle w:val="888"/>
        <w:ind w:firstLine="560"/>
        <w:rPr>
          <w:rFonts w:eastAsia="仿宋"/>
        </w:rPr>
      </w:pPr>
      <w:r>
        <w:rPr>
          <w:rFonts w:eastAsia="仿宋"/>
        </w:rPr>
        <w:t>第二级防控措施是在厂区设置事故水暂存容器，切断污染物与外部的通道，将污染物控制在厂内，防止较大事故泄漏物料和消防废水造成环境污染。</w:t>
      </w:r>
    </w:p>
    <w:p w14:paraId="34485AF2">
      <w:pPr>
        <w:pStyle w:val="888"/>
        <w:ind w:firstLine="560"/>
        <w:rPr>
          <w:rFonts w:eastAsia="仿宋"/>
        </w:rPr>
      </w:pPr>
      <w:r>
        <w:rPr>
          <w:rFonts w:eastAsia="仿宋"/>
        </w:rPr>
        <w:t>具体措施如下：</w:t>
      </w:r>
    </w:p>
    <w:p w14:paraId="657DC12A">
      <w:pPr>
        <w:pStyle w:val="888"/>
        <w:ind w:firstLine="560"/>
        <w:rPr>
          <w:rFonts w:eastAsia="仿宋"/>
        </w:rPr>
      </w:pPr>
      <w:r>
        <w:rPr>
          <w:rFonts w:eastAsia="仿宋"/>
        </w:rPr>
        <w:t>厂内设置1座100</w:t>
      </w:r>
      <w:r>
        <w:rPr>
          <w:rFonts w:hint="eastAsia" w:eastAsia="仿宋"/>
        </w:rPr>
        <w:t>m</w:t>
      </w:r>
      <w:r>
        <w:rPr>
          <w:rFonts w:hint="eastAsia" w:eastAsia="仿宋"/>
          <w:vertAlign w:val="superscript"/>
        </w:rPr>
        <w:t>3</w:t>
      </w:r>
      <w:r>
        <w:rPr>
          <w:rFonts w:eastAsia="仿宋"/>
        </w:rPr>
        <w:t>事故应急池，事故应急池可满足事故时消防废水及泄漏物料的存储。事故状态下和下雨初期，关闭雨水排放口的截流阀，打开通往事故池阀门，收集的事故消防水排入厂内事故池</w:t>
      </w:r>
      <w:r>
        <w:rPr>
          <w:rFonts w:hint="eastAsia" w:eastAsia="仿宋"/>
        </w:rPr>
        <w:t>，</w:t>
      </w:r>
      <w:r>
        <w:rPr>
          <w:rFonts w:eastAsia="仿宋"/>
        </w:rPr>
        <w:t>待事故风险解除后，使用临时泵</w:t>
      </w:r>
      <w:r>
        <w:rPr>
          <w:rFonts w:hint="eastAsia" w:eastAsia="仿宋"/>
        </w:rPr>
        <w:t>将事故废水</w:t>
      </w:r>
      <w:r>
        <w:rPr>
          <w:rFonts w:eastAsia="仿宋"/>
        </w:rPr>
        <w:t>输送到厂内污水处理站处理。</w:t>
      </w:r>
    </w:p>
    <w:p w14:paraId="5948994C">
      <w:pPr>
        <w:pStyle w:val="888"/>
        <w:ind w:firstLine="560"/>
        <w:rPr>
          <w:rFonts w:eastAsia="仿宋"/>
        </w:rPr>
      </w:pPr>
      <w:r>
        <w:rPr>
          <w:rFonts w:eastAsia="仿宋"/>
        </w:rPr>
        <w:t>（3）三级防控措施</w:t>
      </w:r>
    </w:p>
    <w:p w14:paraId="2A1E6F24">
      <w:pPr>
        <w:pStyle w:val="888"/>
        <w:ind w:firstLine="560"/>
        <w:rPr>
          <w:rFonts w:eastAsia="仿宋"/>
        </w:rPr>
      </w:pPr>
      <w:r>
        <w:rPr>
          <w:rFonts w:eastAsia="仿宋"/>
        </w:rPr>
        <w:t>第三级防控措施是在进入附近水体的总排放口前设置切断截流措施，将污染物控制在一个区域内，防止重大事故泄漏物料和受污染的消防废水造成地表水污染。</w:t>
      </w:r>
    </w:p>
    <w:p w14:paraId="687E43C7">
      <w:pPr>
        <w:pStyle w:val="888"/>
        <w:ind w:firstLine="560"/>
        <w:rPr>
          <w:rFonts w:eastAsia="仿宋"/>
        </w:rPr>
      </w:pPr>
      <w:r>
        <w:rPr>
          <w:rFonts w:eastAsia="仿宋"/>
        </w:rPr>
        <w:t>具体措施如下：</w:t>
      </w:r>
    </w:p>
    <w:p w14:paraId="1DF3E9EB">
      <w:pPr>
        <w:pStyle w:val="888"/>
        <w:ind w:firstLine="560"/>
        <w:rPr>
          <w:rFonts w:eastAsia="仿宋"/>
        </w:rPr>
      </w:pPr>
      <w:r>
        <w:rPr>
          <w:rFonts w:eastAsia="仿宋"/>
        </w:rPr>
        <w:t>启动Ⅰ级应急响应，第一时间关闭雨水排口阀门、污水排放口阀门，将管网收集的事故废水泵入事故应急池，防止造成环境污染。</w:t>
      </w:r>
    </w:p>
    <w:p w14:paraId="50AA9FFF">
      <w:pPr>
        <w:pStyle w:val="888"/>
        <w:ind w:firstLine="560"/>
        <w:rPr>
          <w:rFonts w:eastAsia="仿宋"/>
        </w:rPr>
      </w:pPr>
      <w:r>
        <w:rPr>
          <w:rFonts w:eastAsia="仿宋"/>
        </w:rPr>
        <w:t>若未及时收集，消防废水或泄漏物料通过雨水管网流到厂外，应上报企业应急管理办公室，同时上报</w:t>
      </w:r>
      <w:r>
        <w:rPr>
          <w:rFonts w:hint="eastAsia" w:eastAsia="仿宋"/>
        </w:rPr>
        <w:t>金坛区</w:t>
      </w:r>
      <w:r>
        <w:rPr>
          <w:rFonts w:eastAsia="仿宋"/>
        </w:rPr>
        <w:t>政府、</w:t>
      </w:r>
      <w:r>
        <w:rPr>
          <w:rFonts w:hint="eastAsia" w:eastAsia="仿宋"/>
        </w:rPr>
        <w:t>金坛</w:t>
      </w:r>
      <w:r>
        <w:rPr>
          <w:rFonts w:eastAsia="仿宋"/>
        </w:rPr>
        <w:t>生态环境局；企业应急指挥部携应急物资赶赴现场进行应急处置，寻求消防、周边企业援助；企业应迅速用堵漏工具对厂区雨水排口进行封堵，构筑围堤、造坑导流、挖坑收容，避免事故废水进入市政雨水管网；就地投加药剂处置，降低危险性；启动应急泵，收集事故废水，利用企业及周边企业事故应急池、槽车或专用收集池等进行暂存。</w:t>
      </w:r>
    </w:p>
    <w:p w14:paraId="6FDC8E7A">
      <w:pPr>
        <w:pStyle w:val="888"/>
        <w:ind w:firstLine="560"/>
        <w:rPr>
          <w:rFonts w:eastAsia="仿宋"/>
        </w:rPr>
      </w:pPr>
      <w:r>
        <w:rPr>
          <w:rFonts w:eastAsia="仿宋"/>
        </w:rPr>
        <w:t>若事故废水不慎进入河流，在污染区上、下游迅速用拦污锁或筑坝拦截污染物，投加活性炭等吸附材料，就地投加药剂处置，或将污染水抽至安全地方处置。</w:t>
      </w:r>
    </w:p>
    <w:p w14:paraId="3349F8DF">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.2.6地下水风险防范措施</w:t>
      </w:r>
    </w:p>
    <w:p w14:paraId="2651B477">
      <w:pPr>
        <w:spacing w:line="500" w:lineRule="exact"/>
        <w:ind w:firstLine="561"/>
        <w:rPr>
          <w:rFonts w:ascii="Times New Roman" w:eastAsia="仿宋"/>
          <w:sz w:val="28"/>
          <w:szCs w:val="28"/>
        </w:rPr>
      </w:pPr>
      <w:r>
        <w:rPr>
          <w:rFonts w:ascii="Times New Roman" w:eastAsia="仿宋"/>
          <w:sz w:val="28"/>
          <w:szCs w:val="28"/>
        </w:rPr>
        <w:t>1、源头控制</w:t>
      </w:r>
    </w:p>
    <w:p w14:paraId="0D9105CE">
      <w:pPr>
        <w:spacing w:line="500" w:lineRule="exact"/>
        <w:ind w:firstLine="560" w:firstLineChars="200"/>
        <w:rPr>
          <w:rFonts w:ascii="Times New Roman" w:eastAsia="仿宋"/>
          <w:sz w:val="28"/>
          <w:szCs w:val="28"/>
        </w:rPr>
      </w:pPr>
      <w:r>
        <w:rPr>
          <w:rFonts w:ascii="Times New Roman" w:eastAsia="仿宋"/>
          <w:sz w:val="28"/>
          <w:szCs w:val="28"/>
        </w:rPr>
        <w:t>为保护地下水环境，采取防控措施从源头控制对地下水的污染。实施清洁生产和循环经济，减少污染物的排放量。从设计、管理各种工艺设备和物料运输管线上，防止和减少污染物的跑冒滴漏，合理布局，减少污染物的泄漏途径。</w:t>
      </w:r>
    </w:p>
    <w:p w14:paraId="5EE8E52A">
      <w:pPr>
        <w:spacing w:line="500" w:lineRule="exact"/>
        <w:ind w:firstLine="560" w:firstLineChars="200"/>
        <w:rPr>
          <w:rFonts w:ascii="Times New Roman" w:eastAsia="仿宋"/>
          <w:sz w:val="28"/>
          <w:szCs w:val="28"/>
        </w:rPr>
      </w:pPr>
      <w:r>
        <w:rPr>
          <w:rFonts w:ascii="Times New Roman" w:eastAsia="仿宋"/>
          <w:sz w:val="28"/>
          <w:szCs w:val="28"/>
        </w:rPr>
        <w:t>主要包括工艺、管道、设备等采取相应措施，防止和降低污染物跑、冒、滴、漏，将污染物泄漏的环境风险事故降到最低程度。</w:t>
      </w:r>
    </w:p>
    <w:p w14:paraId="707FF96B">
      <w:pPr>
        <w:spacing w:line="500" w:lineRule="exact"/>
        <w:ind w:firstLine="561"/>
        <w:rPr>
          <w:rFonts w:ascii="Times New Roman" w:eastAsia="仿宋"/>
          <w:sz w:val="28"/>
          <w:szCs w:val="28"/>
        </w:rPr>
      </w:pPr>
      <w:r>
        <w:rPr>
          <w:rFonts w:ascii="Times New Roman" w:eastAsia="仿宋"/>
          <w:sz w:val="28"/>
          <w:szCs w:val="28"/>
        </w:rPr>
        <w:t>（1）设备、设施的防泄漏措施</w:t>
      </w:r>
    </w:p>
    <w:p w14:paraId="28B7CE22">
      <w:pPr>
        <w:spacing w:line="500" w:lineRule="exact"/>
        <w:ind w:firstLine="561"/>
        <w:rPr>
          <w:rFonts w:ascii="Times New Roman" w:eastAsia="仿宋"/>
          <w:sz w:val="28"/>
          <w:szCs w:val="28"/>
        </w:rPr>
      </w:pPr>
      <w:r>
        <w:rPr>
          <w:rFonts w:ascii="Times New Roman" w:eastAsia="仿宋"/>
          <w:sz w:val="28"/>
          <w:szCs w:val="28"/>
        </w:rPr>
        <w:t>将生产装置区域内易产生泄漏的设备按其物料的物性分类集中布置，对于不同物料性质的区域进行必要的分隔。</w:t>
      </w:r>
    </w:p>
    <w:p w14:paraId="486B5C85">
      <w:pPr>
        <w:spacing w:line="500" w:lineRule="exact"/>
        <w:ind w:firstLine="561"/>
        <w:rPr>
          <w:rFonts w:ascii="Times New Roman" w:eastAsia="仿宋"/>
          <w:sz w:val="28"/>
          <w:szCs w:val="28"/>
        </w:rPr>
      </w:pPr>
      <w:r>
        <w:rPr>
          <w:rFonts w:ascii="Times New Roman" w:eastAsia="仿宋"/>
          <w:sz w:val="28"/>
          <w:szCs w:val="28"/>
        </w:rPr>
        <w:t>对于储存和输送有毒有害介质的设备和管线排液阀门采用双阀，设备及管道排放出的各种含有毒有害介质液体设置专门的废液收集系统加以收集。</w:t>
      </w:r>
    </w:p>
    <w:p w14:paraId="0618DD97">
      <w:pPr>
        <w:spacing w:line="500" w:lineRule="exact"/>
        <w:ind w:firstLine="561"/>
        <w:rPr>
          <w:rFonts w:ascii="Times New Roman" w:eastAsia="仿宋"/>
          <w:sz w:val="28"/>
          <w:szCs w:val="28"/>
        </w:rPr>
      </w:pPr>
      <w:r>
        <w:rPr>
          <w:rFonts w:ascii="Times New Roman" w:eastAsia="仿宋"/>
          <w:sz w:val="28"/>
          <w:szCs w:val="28"/>
        </w:rPr>
        <w:t>对于机、泵基础周边设置废液收集设施，确保泄漏物料统一收集至排放系统。</w:t>
      </w:r>
    </w:p>
    <w:p w14:paraId="727E372F">
      <w:pPr>
        <w:spacing w:line="500" w:lineRule="exact"/>
        <w:ind w:firstLine="561"/>
        <w:rPr>
          <w:rFonts w:ascii="Times New Roman" w:eastAsia="仿宋"/>
          <w:sz w:val="28"/>
          <w:szCs w:val="28"/>
        </w:rPr>
      </w:pPr>
      <w:r>
        <w:rPr>
          <w:rFonts w:ascii="Times New Roman" w:eastAsia="仿宋"/>
          <w:sz w:val="28"/>
          <w:szCs w:val="28"/>
        </w:rPr>
        <w:t>装有毒有害介质设备的设备法兰及接管法兰的密封面和垫片提高密封等级，必要时采用焊接连接。所有设备的液面计及视镜加设保护设施。设备的排净及排空口不采用螺纹密封结构，且不直接排放，搅拌设备的轴封选择适当的密封形式。</w:t>
      </w:r>
    </w:p>
    <w:p w14:paraId="16F4FD59">
      <w:pPr>
        <w:spacing w:line="500" w:lineRule="exact"/>
        <w:ind w:firstLine="561"/>
        <w:rPr>
          <w:rFonts w:ascii="Times New Roman" w:eastAsia="仿宋"/>
          <w:sz w:val="28"/>
          <w:szCs w:val="28"/>
        </w:rPr>
      </w:pPr>
      <w:r>
        <w:rPr>
          <w:rFonts w:ascii="Times New Roman" w:eastAsia="仿宋"/>
          <w:sz w:val="28"/>
          <w:szCs w:val="28"/>
        </w:rPr>
        <w:t>（2）给水、排水的防渗漏措施</w:t>
      </w:r>
    </w:p>
    <w:p w14:paraId="149B9B48">
      <w:pPr>
        <w:spacing w:line="500" w:lineRule="exact"/>
        <w:ind w:firstLine="561"/>
        <w:rPr>
          <w:rFonts w:ascii="Times New Roman" w:eastAsia="仿宋"/>
          <w:sz w:val="28"/>
          <w:szCs w:val="28"/>
        </w:rPr>
      </w:pPr>
      <w:r>
        <w:rPr>
          <w:rFonts w:ascii="Times New Roman" w:eastAsia="仿宋"/>
          <w:sz w:val="28"/>
          <w:szCs w:val="28"/>
        </w:rPr>
        <w:t>完善地表污水和雨水的收集系统，使用过的消防水收集进入事故应急池，事故应急池内收集的废水应分批少量通过泵提升送污水处理厂处理。</w:t>
      </w:r>
    </w:p>
    <w:p w14:paraId="3544567C">
      <w:pPr>
        <w:spacing w:line="500" w:lineRule="exact"/>
        <w:ind w:firstLine="561"/>
        <w:rPr>
          <w:rFonts w:ascii="Times New Roman" w:eastAsia="仿宋"/>
          <w:sz w:val="28"/>
          <w:szCs w:val="28"/>
        </w:rPr>
      </w:pPr>
      <w:r>
        <w:rPr>
          <w:rFonts w:ascii="Times New Roman" w:eastAsia="仿宋"/>
          <w:sz w:val="28"/>
          <w:szCs w:val="28"/>
        </w:rPr>
        <w:t>2、分区防渗措施</w:t>
      </w:r>
    </w:p>
    <w:p w14:paraId="0BF99E7C">
      <w:pPr>
        <w:spacing w:line="500" w:lineRule="exact"/>
        <w:ind w:firstLine="561"/>
        <w:rPr>
          <w:rFonts w:ascii="Times New Roman" w:eastAsia="仿宋"/>
          <w:b/>
          <w:bCs/>
          <w:sz w:val="28"/>
          <w:szCs w:val="28"/>
        </w:rPr>
      </w:pPr>
      <w:r>
        <w:rPr>
          <w:rFonts w:ascii="Times New Roman" w:eastAsia="仿宋"/>
          <w:sz w:val="28"/>
          <w:szCs w:val="28"/>
        </w:rPr>
        <w:t>根据《环境影响评价技术导则地下水环境》中表7“地下水污染防渗分区参照表”，将厂区划分为重点防渗区和一般防渗区，针对不同的区域提出相应的防渗要求，详见6.5章节。</w:t>
      </w:r>
      <w:r>
        <w:rPr>
          <w:rFonts w:hint="eastAsia" w:ascii="Times New Roman" w:eastAsia="仿宋"/>
          <w:b/>
          <w:bCs/>
          <w:sz w:val="28"/>
          <w:szCs w:val="28"/>
        </w:rPr>
        <w:t>厂区分区防渗图见附图6.5-1。</w:t>
      </w:r>
    </w:p>
    <w:p w14:paraId="4023BBF5">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w:t>
      </w:r>
      <w:r>
        <w:rPr>
          <w:rFonts w:hint="eastAsia" w:ascii="Times New Roman" w:eastAsia="仿宋"/>
          <w:b/>
          <w:bCs/>
          <w:sz w:val="28"/>
        </w:rPr>
        <w:t>7 土壤</w:t>
      </w:r>
      <w:r>
        <w:rPr>
          <w:rFonts w:ascii="Times New Roman" w:eastAsia="仿宋"/>
          <w:b/>
          <w:bCs/>
          <w:sz w:val="28"/>
        </w:rPr>
        <w:t>风险防范措施</w:t>
      </w:r>
    </w:p>
    <w:p w14:paraId="245F1CA8">
      <w:pPr>
        <w:spacing w:line="500" w:lineRule="exact"/>
        <w:ind w:firstLine="561"/>
        <w:rPr>
          <w:rFonts w:ascii="Times New Roman" w:eastAsia="仿宋"/>
          <w:sz w:val="28"/>
          <w:szCs w:val="28"/>
        </w:rPr>
      </w:pPr>
      <w:r>
        <w:rPr>
          <w:rFonts w:ascii="Times New Roman" w:eastAsia="仿宋"/>
          <w:sz w:val="28"/>
          <w:szCs w:val="28"/>
        </w:rPr>
        <w:t>一旦发生土壤环境污染事件，企业必须在2小时内将污染情况上报常州市金坛生态环境局，常州市金坛生态环境局组织相关部门进行会商并将会商结果咨询专家咨询组意见，在专家咨询组确认土壤环境污染程度和污染潜势已经达到预案启动条件时，由常州市金坛生态环境局决定预案是否启动。</w:t>
      </w:r>
    </w:p>
    <w:p w14:paraId="22F55C75">
      <w:pPr>
        <w:spacing w:line="500" w:lineRule="exact"/>
        <w:ind w:firstLine="561"/>
        <w:rPr>
          <w:rFonts w:ascii="Times New Roman" w:eastAsia="仿宋"/>
          <w:sz w:val="28"/>
          <w:szCs w:val="28"/>
        </w:rPr>
      </w:pPr>
      <w:r>
        <w:rPr>
          <w:rFonts w:ascii="Times New Roman" w:eastAsia="仿宋"/>
          <w:sz w:val="28"/>
          <w:szCs w:val="28"/>
        </w:rPr>
        <w:t>应急响应启动后，环保、农业、畜牧、国土、林业部门要加强土壤环境质量监测，监测结果及时报告市应急指挥部办公室。</w:t>
      </w:r>
    </w:p>
    <w:p w14:paraId="6C26FF01">
      <w:pPr>
        <w:spacing w:line="500" w:lineRule="exact"/>
        <w:ind w:firstLine="561"/>
        <w:rPr>
          <w:rFonts w:ascii="Times New Roman" w:eastAsia="仿宋"/>
          <w:sz w:val="28"/>
          <w:szCs w:val="28"/>
        </w:rPr>
      </w:pPr>
      <w:r>
        <w:rPr>
          <w:rFonts w:ascii="Times New Roman" w:eastAsia="仿宋"/>
          <w:sz w:val="28"/>
          <w:szCs w:val="28"/>
        </w:rPr>
        <w:t>土壤环境污染事件发生地人民政府应当及时通过广播、电视、网络、报刊等媒体向社会及时、准确、全面发布土壤环境污染事件情况和采取应急措施的有关信息，确保发布信息的准确性和权威性。要正确引导舆论，注重社会效果，防止产生负面影响。</w:t>
      </w:r>
    </w:p>
    <w:p w14:paraId="42C26C19">
      <w:pPr>
        <w:spacing w:line="500" w:lineRule="exact"/>
        <w:ind w:firstLine="561"/>
        <w:rPr>
          <w:rFonts w:ascii="Times New Roman" w:eastAsia="仿宋"/>
          <w:sz w:val="28"/>
          <w:szCs w:val="28"/>
        </w:rPr>
      </w:pPr>
      <w:r>
        <w:rPr>
          <w:rFonts w:ascii="Times New Roman" w:eastAsia="仿宋"/>
          <w:sz w:val="28"/>
          <w:szCs w:val="28"/>
        </w:rPr>
        <w:t>经专家分析评估，土壤环境污染事件相关影响和危害得到控制、消除后，由土壤环境污染事件应急指挥部宣布应急终止。各相关单位根据实际情况终止应急行动，完成应急处理情况的上报与发布，并继续进行跟踪监测。</w:t>
      </w:r>
    </w:p>
    <w:p w14:paraId="6F40DF8E">
      <w:pPr>
        <w:spacing w:line="500" w:lineRule="exact"/>
        <w:ind w:firstLine="561"/>
        <w:rPr>
          <w:rFonts w:ascii="Times New Roman" w:eastAsia="仿宋"/>
          <w:sz w:val="28"/>
          <w:szCs w:val="28"/>
        </w:rPr>
      </w:pPr>
      <w:r>
        <w:rPr>
          <w:rFonts w:ascii="Times New Roman" w:eastAsia="仿宋"/>
          <w:sz w:val="28"/>
          <w:szCs w:val="28"/>
        </w:rPr>
        <w:t>土壤环境污染事件应急指挥部要加大应急行动期间各类应急行动措施执行力度，加大巡查，确保措施有效落实，对未落实措施要求或措施执行不力的，由监察部门予以追究问责。</w:t>
      </w:r>
    </w:p>
    <w:p w14:paraId="37C1459E">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w:t>
      </w:r>
      <w:r>
        <w:rPr>
          <w:rFonts w:hint="eastAsia" w:ascii="Times New Roman" w:eastAsia="仿宋"/>
          <w:b/>
          <w:bCs/>
          <w:sz w:val="28"/>
        </w:rPr>
        <w:t>8</w:t>
      </w:r>
      <w:r>
        <w:rPr>
          <w:rFonts w:ascii="Times New Roman" w:eastAsia="仿宋"/>
          <w:b/>
          <w:bCs/>
          <w:sz w:val="28"/>
        </w:rPr>
        <w:t>环境应急监测</w:t>
      </w:r>
    </w:p>
    <w:p w14:paraId="6FBBE07A">
      <w:pPr>
        <w:spacing w:line="500" w:lineRule="exact"/>
        <w:ind w:firstLine="561"/>
        <w:rPr>
          <w:rFonts w:ascii="Times New Roman" w:eastAsia="仿宋"/>
          <w:sz w:val="28"/>
          <w:szCs w:val="28"/>
        </w:rPr>
      </w:pPr>
      <w:r>
        <w:rPr>
          <w:rFonts w:ascii="Times New Roman" w:eastAsia="仿宋"/>
          <w:sz w:val="28"/>
          <w:szCs w:val="28"/>
        </w:rPr>
        <w:t>根据《突发环境事件应急监测技术规范》（HJ589-2021），公司发生事故时由企业应急指挥部指挥，并委托监测单位进行监测</w:t>
      </w:r>
      <w:r>
        <w:rPr>
          <w:rFonts w:hint="eastAsia" w:ascii="Times New Roman" w:eastAsia="仿宋"/>
          <w:sz w:val="28"/>
          <w:szCs w:val="28"/>
        </w:rPr>
        <w:t>。</w:t>
      </w:r>
    </w:p>
    <w:p w14:paraId="1BB8E139">
      <w:pPr>
        <w:pStyle w:val="1879"/>
        <w:rPr>
          <w:rFonts w:ascii="Times New Roman" w:eastAsia="仿宋"/>
          <w:szCs w:val="28"/>
        </w:rPr>
      </w:pPr>
      <w:r>
        <w:rPr>
          <w:rFonts w:ascii="Times New Roman" w:eastAsia="仿宋"/>
          <w:szCs w:val="28"/>
        </w:rPr>
        <w:t>发生事故以后，立即通知有关环境监测部门。环保监测人员到达现场后，查明液体泄漏后产生的挥发气体浓度和扩散情况，根据当时风向、风速、判断扩散的方向、速度，并对挥发气体下风向扩散区域进行监测，监测情况及时向领导小组报告。必要时根据领导小组决定通知气体扩散区域内的员工撤离或指导采取简易有效的保护措施。</w:t>
      </w:r>
    </w:p>
    <w:p w14:paraId="3C98AB6C">
      <w:pPr>
        <w:pStyle w:val="1879"/>
        <w:rPr>
          <w:rFonts w:ascii="Times New Roman" w:eastAsia="仿宋"/>
          <w:szCs w:val="28"/>
        </w:rPr>
      </w:pPr>
      <w:r>
        <w:rPr>
          <w:rFonts w:ascii="Times New Roman" w:eastAsia="仿宋"/>
          <w:szCs w:val="28"/>
        </w:rPr>
        <w:t>针对项目的具体特点，按不同事故类型，制定各类事故应急环境监测预案，包括污染源监测、厂界环境质量监测和厂外环境质量监测三类，满足事故应急监测的需求。</w:t>
      </w:r>
    </w:p>
    <w:p w14:paraId="0344DCA5">
      <w:pPr>
        <w:pStyle w:val="1879"/>
        <w:rPr>
          <w:rFonts w:ascii="Times New Roman" w:eastAsia="仿宋"/>
          <w:szCs w:val="28"/>
        </w:rPr>
      </w:pPr>
      <w:r>
        <w:rPr>
          <w:rFonts w:ascii="Times New Roman" w:eastAsia="仿宋"/>
          <w:szCs w:val="28"/>
        </w:rPr>
        <w:t>1、初步确定应急监测项目：废气事故排放、物料泄漏事故、火灾事故。</w:t>
      </w:r>
    </w:p>
    <w:p w14:paraId="646D7958">
      <w:pPr>
        <w:pStyle w:val="1879"/>
        <w:rPr>
          <w:rFonts w:ascii="Times New Roman" w:eastAsia="仿宋"/>
          <w:szCs w:val="28"/>
        </w:rPr>
      </w:pPr>
      <w:r>
        <w:rPr>
          <w:rFonts w:ascii="Times New Roman" w:eastAsia="仿宋"/>
          <w:szCs w:val="28"/>
        </w:rPr>
        <w:t>2、确定应急监测对象：监测对象为污染发生区域及扩散区域内的水源。</w:t>
      </w:r>
    </w:p>
    <w:p w14:paraId="224A2255">
      <w:pPr>
        <w:pStyle w:val="1879"/>
        <w:rPr>
          <w:rFonts w:ascii="Times New Roman" w:eastAsia="仿宋"/>
          <w:szCs w:val="28"/>
        </w:rPr>
      </w:pPr>
      <w:r>
        <w:rPr>
          <w:rFonts w:ascii="Times New Roman" w:eastAsia="仿宋"/>
          <w:szCs w:val="28"/>
        </w:rPr>
        <w:t>3、选定监测分析方法：直接检测管法、便携式气相色谱法。</w:t>
      </w:r>
    </w:p>
    <w:p w14:paraId="5818E5EC">
      <w:pPr>
        <w:pStyle w:val="1879"/>
        <w:rPr>
          <w:rFonts w:ascii="Times New Roman" w:eastAsia="仿宋"/>
          <w:szCs w:val="28"/>
        </w:rPr>
      </w:pPr>
      <w:r>
        <w:rPr>
          <w:rFonts w:ascii="Times New Roman" w:eastAsia="仿宋"/>
          <w:szCs w:val="28"/>
        </w:rPr>
        <w:t>4、确定相应的监测仪器和采样设备。</w:t>
      </w:r>
    </w:p>
    <w:p w14:paraId="172452B4">
      <w:pPr>
        <w:pStyle w:val="1879"/>
        <w:rPr>
          <w:rFonts w:ascii="Times New Roman" w:eastAsia="仿宋"/>
          <w:szCs w:val="28"/>
        </w:rPr>
      </w:pPr>
      <w:r>
        <w:rPr>
          <w:rFonts w:ascii="Times New Roman" w:eastAsia="仿宋"/>
          <w:szCs w:val="28"/>
        </w:rPr>
        <w:t>监测仪器和采样设备应由应急监测部门提供，如监测条件不足指挥领导小组应组织协调。</w:t>
      </w:r>
    </w:p>
    <w:p w14:paraId="0F07D50B">
      <w:pPr>
        <w:pStyle w:val="1879"/>
        <w:rPr>
          <w:rFonts w:ascii="Times New Roman" w:eastAsia="仿宋"/>
          <w:szCs w:val="28"/>
        </w:rPr>
      </w:pPr>
      <w:r>
        <w:rPr>
          <w:rFonts w:ascii="Times New Roman" w:eastAsia="仿宋"/>
          <w:szCs w:val="28"/>
        </w:rPr>
        <w:t>5、应急防护范围的划定：监测主要是针对废气处理设施的实效及厂区火灾，在厂界四周布点。</w:t>
      </w:r>
    </w:p>
    <w:p w14:paraId="19D7E8AB">
      <w:pPr>
        <w:pStyle w:val="1879"/>
        <w:rPr>
          <w:rFonts w:ascii="Times New Roman" w:eastAsia="仿宋"/>
          <w:szCs w:val="28"/>
        </w:rPr>
      </w:pPr>
      <w:r>
        <w:rPr>
          <w:rFonts w:ascii="Times New Roman" w:eastAsia="仿宋"/>
          <w:szCs w:val="28"/>
        </w:rPr>
        <w:t>6、采样方法和频次：采用动力采样或气体检测管直接测定。气体检测管直接测定频次为每半小时一次。</w:t>
      </w:r>
    </w:p>
    <w:p w14:paraId="2957A67B">
      <w:pPr>
        <w:pStyle w:val="1879"/>
        <w:rPr>
          <w:rFonts w:ascii="Times New Roman" w:eastAsia="仿宋"/>
          <w:szCs w:val="28"/>
        </w:rPr>
      </w:pPr>
      <w:r>
        <w:rPr>
          <w:rFonts w:ascii="Times New Roman" w:eastAsia="仿宋"/>
          <w:szCs w:val="28"/>
        </w:rPr>
        <w:t xml:space="preserve">7、监测报告 </w:t>
      </w:r>
    </w:p>
    <w:p w14:paraId="45F06A0B">
      <w:pPr>
        <w:pStyle w:val="1879"/>
        <w:rPr>
          <w:rFonts w:ascii="Times New Roman" w:eastAsia="仿宋"/>
          <w:szCs w:val="28"/>
        </w:rPr>
      </w:pPr>
      <w:r>
        <w:rPr>
          <w:rFonts w:ascii="Times New Roman" w:eastAsia="仿宋"/>
          <w:szCs w:val="28"/>
        </w:rPr>
        <w:t>一般要求在到达现场后及时出具第一份监测报告，然后按照污染跟踪监测数据、预测污染迁移强度、速度和影响范围以及主管部门的意见定时编制报告，并报告应急处置小组作为事故处理的技术依据，直至环境污染状况消除。</w:t>
      </w:r>
    </w:p>
    <w:p w14:paraId="41FE32B5">
      <w:pPr>
        <w:pStyle w:val="1879"/>
        <w:rPr>
          <w:rFonts w:ascii="Times New Roman" w:eastAsia="仿宋"/>
          <w:szCs w:val="28"/>
        </w:rPr>
      </w:pPr>
      <w:r>
        <w:rPr>
          <w:rFonts w:ascii="Times New Roman" w:eastAsia="仿宋"/>
          <w:szCs w:val="28"/>
        </w:rPr>
        <w:t>应急监测工作结束后，编写应急监测工作总结并建档，对整个事件发生过程中形成的监测报告进行汇总分析，及时向应急处置小组、相关部门报告，为以后环境污染事故的预警、监测、处理积累经验。</w:t>
      </w:r>
    </w:p>
    <w:p w14:paraId="4186EBAB">
      <w:pPr>
        <w:pStyle w:val="1879"/>
        <w:rPr>
          <w:rFonts w:ascii="Times New Roman" w:eastAsia="仿宋"/>
          <w:szCs w:val="28"/>
        </w:rPr>
      </w:pPr>
      <w:r>
        <w:rPr>
          <w:rFonts w:ascii="Times New Roman" w:eastAsia="仿宋"/>
          <w:szCs w:val="28"/>
        </w:rPr>
        <w:t>8、监测人员的防护和监护措施</w:t>
      </w:r>
    </w:p>
    <w:p w14:paraId="57176556">
      <w:pPr>
        <w:pStyle w:val="1879"/>
        <w:rPr>
          <w:rFonts w:ascii="Times New Roman" w:eastAsia="仿宋"/>
          <w:szCs w:val="28"/>
        </w:rPr>
      </w:pPr>
      <w:r>
        <w:rPr>
          <w:rFonts w:ascii="Times New Roman" w:eastAsia="仿宋"/>
          <w:szCs w:val="28"/>
        </w:rPr>
        <w:t>（1）危险化学品事故发生后，通信警戒组人员根据事故性质、发展趋势，联系当地环保、卫生监督等部门来厂协助进行现场监测。</w:t>
      </w:r>
    </w:p>
    <w:p w14:paraId="3149A3E5">
      <w:pPr>
        <w:pStyle w:val="1879"/>
        <w:rPr>
          <w:rFonts w:ascii="Times New Roman" w:eastAsia="仿宋"/>
          <w:szCs w:val="28"/>
        </w:rPr>
      </w:pPr>
      <w:r>
        <w:rPr>
          <w:rFonts w:ascii="Times New Roman" w:eastAsia="仿宋"/>
          <w:szCs w:val="28"/>
        </w:rPr>
        <w:t>（2）监测人员必须正确佩带好防护用具，进入事故波及区必须登记。监测人员不得单独行动，须2-3人一起进行监测。必须相互间能够联络、监护。可能发生更大事故时应立即撤离监测区域。</w:t>
      </w:r>
    </w:p>
    <w:p w14:paraId="0E423216">
      <w:pPr>
        <w:pStyle w:val="1879"/>
        <w:rPr>
          <w:rFonts w:ascii="Times New Roman" w:eastAsia="仿宋"/>
          <w:szCs w:val="28"/>
        </w:rPr>
      </w:pPr>
      <w:r>
        <w:rPr>
          <w:rFonts w:ascii="Times New Roman" w:eastAsia="仿宋"/>
          <w:szCs w:val="28"/>
        </w:rPr>
        <w:t>事故得到控制，紧急情况解除后，污染事故应急处理人员立即进入现场，配合消防、卫生等部门指导相关人员清除泄漏现场遗留危险物质，消除泄漏对环境产生的影响，同时检测核实没有隐患、空气环境质量达标后，通知被疏散群众返回，恢复正常生产和生活。</w:t>
      </w:r>
    </w:p>
    <w:p w14:paraId="7956157F">
      <w:pPr>
        <w:spacing w:line="500" w:lineRule="exact"/>
        <w:jc w:val="center"/>
        <w:rPr>
          <w:rFonts w:ascii="Times New Roman" w:eastAsia="仿宋"/>
          <w:b/>
        </w:rPr>
      </w:pPr>
      <w:r>
        <w:rPr>
          <w:rFonts w:ascii="Times New Roman" w:eastAsia="仿宋"/>
          <w:b/>
        </w:rPr>
        <w:t>表6.6-1 各环境要素监测频次表</w:t>
      </w:r>
    </w:p>
    <w:tbl>
      <w:tblPr>
        <w:tblStyle w:val="8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8"/>
        <w:gridCol w:w="3140"/>
        <w:gridCol w:w="2071"/>
        <w:gridCol w:w="2093"/>
      </w:tblGrid>
      <w:tr w14:paraId="44E1C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715" w:type="pct"/>
            <w:vAlign w:val="center"/>
          </w:tcPr>
          <w:p w14:paraId="4DCB3686">
            <w:pPr>
              <w:spacing w:line="280" w:lineRule="exact"/>
              <w:jc w:val="center"/>
              <w:rPr>
                <w:rFonts w:ascii="Times New Roman" w:eastAsia="仿宋"/>
                <w:szCs w:val="21"/>
              </w:rPr>
            </w:pPr>
            <w:r>
              <w:rPr>
                <w:rFonts w:ascii="Times New Roman" w:eastAsia="仿宋"/>
                <w:szCs w:val="21"/>
              </w:rPr>
              <w:t>环境要素</w:t>
            </w:r>
          </w:p>
        </w:tc>
        <w:tc>
          <w:tcPr>
            <w:tcW w:w="1842" w:type="pct"/>
            <w:vAlign w:val="center"/>
          </w:tcPr>
          <w:p w14:paraId="70638EF1">
            <w:pPr>
              <w:spacing w:line="280" w:lineRule="exact"/>
              <w:jc w:val="center"/>
              <w:rPr>
                <w:rFonts w:ascii="Times New Roman" w:eastAsia="仿宋"/>
                <w:szCs w:val="21"/>
              </w:rPr>
            </w:pPr>
            <w:r>
              <w:rPr>
                <w:rFonts w:ascii="Times New Roman" w:eastAsia="仿宋"/>
                <w:szCs w:val="21"/>
              </w:rPr>
              <w:t>监测点位</w:t>
            </w:r>
          </w:p>
        </w:tc>
        <w:tc>
          <w:tcPr>
            <w:tcW w:w="1215" w:type="pct"/>
            <w:vAlign w:val="center"/>
          </w:tcPr>
          <w:p w14:paraId="09FB9E30">
            <w:pPr>
              <w:spacing w:line="280" w:lineRule="exact"/>
              <w:jc w:val="center"/>
              <w:rPr>
                <w:rFonts w:ascii="Times New Roman" w:eastAsia="仿宋"/>
                <w:szCs w:val="21"/>
              </w:rPr>
            </w:pPr>
            <w:r>
              <w:rPr>
                <w:rFonts w:ascii="Times New Roman" w:eastAsia="仿宋"/>
                <w:szCs w:val="21"/>
              </w:rPr>
              <w:t>监测因子</w:t>
            </w:r>
          </w:p>
        </w:tc>
        <w:tc>
          <w:tcPr>
            <w:tcW w:w="1228" w:type="pct"/>
            <w:vAlign w:val="center"/>
          </w:tcPr>
          <w:p w14:paraId="06FFEA22">
            <w:pPr>
              <w:spacing w:line="280" w:lineRule="exact"/>
              <w:jc w:val="center"/>
              <w:rPr>
                <w:rFonts w:ascii="Times New Roman" w:eastAsia="仿宋"/>
                <w:szCs w:val="21"/>
              </w:rPr>
            </w:pPr>
            <w:r>
              <w:rPr>
                <w:rFonts w:ascii="Times New Roman" w:eastAsia="仿宋"/>
                <w:szCs w:val="21"/>
              </w:rPr>
              <w:t>监测频次</w:t>
            </w:r>
          </w:p>
        </w:tc>
      </w:tr>
      <w:tr w14:paraId="493A5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6" w:hRule="atLeast"/>
          <w:jc w:val="center"/>
        </w:trPr>
        <w:tc>
          <w:tcPr>
            <w:tcW w:w="715" w:type="pct"/>
            <w:vMerge w:val="restart"/>
            <w:vAlign w:val="center"/>
          </w:tcPr>
          <w:p w14:paraId="64319D41">
            <w:pPr>
              <w:spacing w:line="280" w:lineRule="exact"/>
              <w:jc w:val="center"/>
              <w:rPr>
                <w:rFonts w:ascii="Times New Roman" w:eastAsia="仿宋"/>
                <w:szCs w:val="21"/>
              </w:rPr>
            </w:pPr>
            <w:r>
              <w:rPr>
                <w:rFonts w:ascii="Times New Roman" w:eastAsia="仿宋"/>
                <w:szCs w:val="21"/>
              </w:rPr>
              <w:t>地表水</w:t>
            </w:r>
          </w:p>
        </w:tc>
        <w:tc>
          <w:tcPr>
            <w:tcW w:w="1842" w:type="pct"/>
            <w:vAlign w:val="center"/>
          </w:tcPr>
          <w:p w14:paraId="3053BD84">
            <w:pPr>
              <w:spacing w:line="280" w:lineRule="exact"/>
              <w:jc w:val="center"/>
              <w:rPr>
                <w:rFonts w:ascii="Times New Roman" w:eastAsia="仿宋"/>
                <w:szCs w:val="21"/>
              </w:rPr>
            </w:pPr>
            <w:r>
              <w:rPr>
                <w:rFonts w:ascii="Times New Roman" w:eastAsia="仿宋"/>
                <w:szCs w:val="21"/>
              </w:rPr>
              <w:t>江、河事件发生地上游的对照点（对照断面）</w:t>
            </w:r>
          </w:p>
        </w:tc>
        <w:tc>
          <w:tcPr>
            <w:tcW w:w="1215" w:type="pct"/>
            <w:vMerge w:val="restart"/>
            <w:vAlign w:val="center"/>
          </w:tcPr>
          <w:p w14:paraId="77D14A1F">
            <w:pPr>
              <w:spacing w:line="280" w:lineRule="exact"/>
              <w:jc w:val="center"/>
              <w:rPr>
                <w:rFonts w:ascii="Times New Roman" w:eastAsia="仿宋"/>
                <w:szCs w:val="21"/>
              </w:rPr>
            </w:pPr>
            <w:r>
              <w:rPr>
                <w:rFonts w:ascii="Times New Roman" w:eastAsia="仿宋"/>
                <w:szCs w:val="21"/>
              </w:rPr>
              <w:t>pH、化学需氧量、石油类</w:t>
            </w:r>
          </w:p>
        </w:tc>
        <w:tc>
          <w:tcPr>
            <w:tcW w:w="1228" w:type="pct"/>
            <w:vAlign w:val="center"/>
          </w:tcPr>
          <w:p w14:paraId="733CE2FD">
            <w:pPr>
              <w:spacing w:line="280" w:lineRule="exact"/>
              <w:jc w:val="center"/>
              <w:rPr>
                <w:rFonts w:ascii="Times New Roman" w:eastAsia="仿宋"/>
                <w:szCs w:val="21"/>
              </w:rPr>
            </w:pPr>
            <w:r>
              <w:rPr>
                <w:rFonts w:ascii="Times New Roman" w:eastAsia="仿宋"/>
                <w:szCs w:val="21"/>
              </w:rPr>
              <w:t>1次/应急期间</w:t>
            </w:r>
          </w:p>
        </w:tc>
      </w:tr>
      <w:tr w14:paraId="1BEAF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6" w:hRule="atLeast"/>
          <w:jc w:val="center"/>
        </w:trPr>
        <w:tc>
          <w:tcPr>
            <w:tcW w:w="715" w:type="pct"/>
            <w:vMerge w:val="continue"/>
            <w:vAlign w:val="center"/>
          </w:tcPr>
          <w:p w14:paraId="54B0020F">
            <w:pPr>
              <w:spacing w:line="280" w:lineRule="exact"/>
              <w:jc w:val="center"/>
              <w:rPr>
                <w:rFonts w:ascii="Times New Roman" w:eastAsia="仿宋"/>
                <w:szCs w:val="21"/>
              </w:rPr>
            </w:pPr>
          </w:p>
        </w:tc>
        <w:tc>
          <w:tcPr>
            <w:tcW w:w="1842" w:type="pct"/>
            <w:vAlign w:val="center"/>
          </w:tcPr>
          <w:p w14:paraId="01240DBF">
            <w:pPr>
              <w:spacing w:line="280" w:lineRule="exact"/>
              <w:jc w:val="center"/>
              <w:rPr>
                <w:rFonts w:ascii="Times New Roman" w:eastAsia="仿宋"/>
                <w:szCs w:val="21"/>
              </w:rPr>
            </w:pPr>
            <w:r>
              <w:rPr>
                <w:rFonts w:ascii="Times New Roman" w:eastAsia="仿宋"/>
                <w:szCs w:val="21"/>
              </w:rPr>
              <w:t>江、河在事件发生地、事件发生地下游的混合处（控制断面）</w:t>
            </w:r>
          </w:p>
        </w:tc>
        <w:tc>
          <w:tcPr>
            <w:tcW w:w="1215" w:type="pct"/>
            <w:vMerge w:val="continue"/>
            <w:vAlign w:val="center"/>
          </w:tcPr>
          <w:p w14:paraId="4513295A">
            <w:pPr>
              <w:spacing w:line="280" w:lineRule="exact"/>
              <w:jc w:val="center"/>
              <w:rPr>
                <w:rFonts w:ascii="Times New Roman" w:eastAsia="仿宋"/>
                <w:szCs w:val="21"/>
              </w:rPr>
            </w:pPr>
          </w:p>
        </w:tc>
        <w:tc>
          <w:tcPr>
            <w:tcW w:w="1228" w:type="pct"/>
            <w:vAlign w:val="center"/>
          </w:tcPr>
          <w:p w14:paraId="0CB7F158">
            <w:pPr>
              <w:spacing w:line="280" w:lineRule="exact"/>
              <w:jc w:val="center"/>
              <w:rPr>
                <w:rFonts w:ascii="Times New Roman" w:eastAsia="仿宋"/>
                <w:szCs w:val="21"/>
              </w:rPr>
            </w:pPr>
            <w:r>
              <w:rPr>
                <w:rFonts w:ascii="Times New Roman" w:eastAsia="仿宋"/>
                <w:szCs w:val="21"/>
              </w:rPr>
              <w:t>初始加密监测，视污染物浓度递减</w:t>
            </w:r>
          </w:p>
        </w:tc>
      </w:tr>
      <w:tr w14:paraId="5A9E3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15" w:type="pct"/>
            <w:vMerge w:val="continue"/>
            <w:vAlign w:val="center"/>
          </w:tcPr>
          <w:p w14:paraId="18710703">
            <w:pPr>
              <w:spacing w:line="280" w:lineRule="exact"/>
              <w:jc w:val="center"/>
              <w:rPr>
                <w:rFonts w:ascii="Times New Roman" w:eastAsia="仿宋"/>
                <w:szCs w:val="21"/>
              </w:rPr>
            </w:pPr>
          </w:p>
        </w:tc>
        <w:tc>
          <w:tcPr>
            <w:tcW w:w="1842" w:type="pct"/>
            <w:vAlign w:val="center"/>
          </w:tcPr>
          <w:p w14:paraId="29ABDCCD">
            <w:pPr>
              <w:spacing w:line="280" w:lineRule="exact"/>
              <w:jc w:val="center"/>
              <w:rPr>
                <w:rFonts w:ascii="Times New Roman" w:eastAsia="仿宋"/>
                <w:szCs w:val="21"/>
              </w:rPr>
            </w:pPr>
            <w:r>
              <w:rPr>
                <w:rFonts w:ascii="Times New Roman" w:eastAsia="仿宋"/>
                <w:szCs w:val="21"/>
              </w:rPr>
              <w:t>江、河在事件发生地、事件发生地下游污染物浓度显著下降处（削减断面）</w:t>
            </w:r>
          </w:p>
        </w:tc>
        <w:tc>
          <w:tcPr>
            <w:tcW w:w="1215" w:type="pct"/>
            <w:vMerge w:val="continue"/>
            <w:vAlign w:val="center"/>
          </w:tcPr>
          <w:p w14:paraId="62E59DBD">
            <w:pPr>
              <w:spacing w:line="280" w:lineRule="exact"/>
              <w:jc w:val="center"/>
              <w:rPr>
                <w:rFonts w:ascii="Times New Roman" w:eastAsia="仿宋"/>
                <w:szCs w:val="21"/>
              </w:rPr>
            </w:pPr>
          </w:p>
        </w:tc>
        <w:tc>
          <w:tcPr>
            <w:tcW w:w="1228" w:type="pct"/>
            <w:vAlign w:val="center"/>
          </w:tcPr>
          <w:p w14:paraId="1EEAC402">
            <w:pPr>
              <w:spacing w:line="280" w:lineRule="exact"/>
              <w:jc w:val="center"/>
              <w:rPr>
                <w:rFonts w:ascii="Times New Roman" w:eastAsia="仿宋"/>
                <w:szCs w:val="21"/>
              </w:rPr>
            </w:pPr>
            <w:r>
              <w:rPr>
                <w:rFonts w:ascii="Times New Roman" w:eastAsia="仿宋"/>
                <w:szCs w:val="21"/>
              </w:rPr>
              <w:t>初始加密监测，视污染物浓度递减</w:t>
            </w:r>
          </w:p>
        </w:tc>
      </w:tr>
      <w:tr w14:paraId="4F9F9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15" w:type="pct"/>
            <w:vMerge w:val="restart"/>
            <w:vAlign w:val="center"/>
          </w:tcPr>
          <w:p w14:paraId="2091483F">
            <w:pPr>
              <w:spacing w:line="280" w:lineRule="exact"/>
              <w:jc w:val="center"/>
              <w:rPr>
                <w:rFonts w:ascii="Times New Roman" w:eastAsia="仿宋"/>
                <w:szCs w:val="21"/>
              </w:rPr>
            </w:pPr>
            <w:r>
              <w:rPr>
                <w:rFonts w:ascii="Times New Roman" w:eastAsia="仿宋"/>
                <w:szCs w:val="21"/>
              </w:rPr>
              <w:t>地下水</w:t>
            </w:r>
          </w:p>
        </w:tc>
        <w:tc>
          <w:tcPr>
            <w:tcW w:w="1842" w:type="pct"/>
            <w:vAlign w:val="center"/>
          </w:tcPr>
          <w:p w14:paraId="31908C77">
            <w:pPr>
              <w:spacing w:line="280" w:lineRule="exact"/>
              <w:jc w:val="center"/>
              <w:rPr>
                <w:rFonts w:ascii="Times New Roman" w:eastAsia="仿宋"/>
                <w:szCs w:val="21"/>
              </w:rPr>
            </w:pPr>
            <w:r>
              <w:rPr>
                <w:rFonts w:ascii="Times New Roman" w:eastAsia="仿宋"/>
                <w:szCs w:val="21"/>
              </w:rPr>
              <w:t>地下水流向上游边界处（对照断面）</w:t>
            </w:r>
          </w:p>
        </w:tc>
        <w:tc>
          <w:tcPr>
            <w:tcW w:w="1215" w:type="pct"/>
            <w:vMerge w:val="restart"/>
            <w:vAlign w:val="center"/>
          </w:tcPr>
          <w:p w14:paraId="74947802">
            <w:pPr>
              <w:spacing w:line="280" w:lineRule="exact"/>
              <w:jc w:val="center"/>
              <w:rPr>
                <w:rFonts w:ascii="Times New Roman" w:eastAsia="仿宋"/>
                <w:szCs w:val="21"/>
              </w:rPr>
            </w:pPr>
            <w:r>
              <w:rPr>
                <w:rFonts w:ascii="Times New Roman" w:eastAsia="仿宋"/>
                <w:szCs w:val="21"/>
              </w:rPr>
              <w:t>pH、高锰酸盐指数、砷、镉、铬（六价）、铅、汞</w:t>
            </w:r>
            <w:r>
              <w:rPr>
                <w:rFonts w:hint="eastAsia" w:ascii="Times New Roman" w:eastAsia="仿宋"/>
                <w:szCs w:val="21"/>
              </w:rPr>
              <w:t>、二甲苯</w:t>
            </w:r>
          </w:p>
        </w:tc>
        <w:tc>
          <w:tcPr>
            <w:tcW w:w="1228" w:type="pct"/>
            <w:vAlign w:val="center"/>
          </w:tcPr>
          <w:p w14:paraId="1CC663B0">
            <w:pPr>
              <w:spacing w:line="280" w:lineRule="exact"/>
              <w:jc w:val="center"/>
              <w:rPr>
                <w:rFonts w:ascii="Times New Roman" w:eastAsia="仿宋"/>
                <w:szCs w:val="21"/>
              </w:rPr>
            </w:pPr>
            <w:r>
              <w:rPr>
                <w:rFonts w:ascii="Times New Roman" w:eastAsia="仿宋"/>
                <w:szCs w:val="21"/>
              </w:rPr>
              <w:t>1次/应急期间</w:t>
            </w:r>
          </w:p>
        </w:tc>
      </w:tr>
      <w:tr w14:paraId="66F55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15" w:type="pct"/>
            <w:vMerge w:val="continue"/>
            <w:vAlign w:val="center"/>
          </w:tcPr>
          <w:p w14:paraId="3EB70423">
            <w:pPr>
              <w:spacing w:line="280" w:lineRule="exact"/>
              <w:jc w:val="center"/>
              <w:rPr>
                <w:rFonts w:ascii="Times New Roman" w:eastAsia="仿宋"/>
                <w:szCs w:val="21"/>
              </w:rPr>
            </w:pPr>
          </w:p>
        </w:tc>
        <w:tc>
          <w:tcPr>
            <w:tcW w:w="1842" w:type="pct"/>
            <w:vAlign w:val="center"/>
          </w:tcPr>
          <w:p w14:paraId="1C33AF0A">
            <w:pPr>
              <w:spacing w:line="280" w:lineRule="exact"/>
              <w:jc w:val="center"/>
              <w:rPr>
                <w:rFonts w:ascii="Times New Roman" w:eastAsia="仿宋"/>
                <w:szCs w:val="21"/>
              </w:rPr>
            </w:pPr>
            <w:r>
              <w:rPr>
                <w:rFonts w:ascii="Times New Roman" w:eastAsia="仿宋"/>
                <w:szCs w:val="21"/>
              </w:rPr>
              <w:t>垂直地下水流向点位（控制断面）</w:t>
            </w:r>
          </w:p>
        </w:tc>
        <w:tc>
          <w:tcPr>
            <w:tcW w:w="1215" w:type="pct"/>
            <w:vMerge w:val="continue"/>
            <w:vAlign w:val="center"/>
          </w:tcPr>
          <w:p w14:paraId="51319C96">
            <w:pPr>
              <w:spacing w:line="280" w:lineRule="exact"/>
              <w:jc w:val="center"/>
              <w:rPr>
                <w:rFonts w:ascii="Times New Roman" w:eastAsia="仿宋"/>
                <w:szCs w:val="21"/>
              </w:rPr>
            </w:pPr>
          </w:p>
        </w:tc>
        <w:tc>
          <w:tcPr>
            <w:tcW w:w="1228" w:type="pct"/>
            <w:vAlign w:val="center"/>
          </w:tcPr>
          <w:p w14:paraId="05D9720E">
            <w:pPr>
              <w:spacing w:line="280" w:lineRule="exact"/>
              <w:jc w:val="center"/>
              <w:rPr>
                <w:rFonts w:ascii="Times New Roman" w:eastAsia="仿宋"/>
                <w:szCs w:val="21"/>
              </w:rPr>
            </w:pPr>
            <w:r>
              <w:rPr>
                <w:rFonts w:ascii="Times New Roman" w:eastAsia="仿宋"/>
                <w:szCs w:val="21"/>
              </w:rPr>
              <w:t>初始加密监测，视污染物浓度递减</w:t>
            </w:r>
          </w:p>
        </w:tc>
      </w:tr>
      <w:tr w14:paraId="009BB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15" w:type="pct"/>
            <w:vMerge w:val="continue"/>
            <w:vAlign w:val="center"/>
          </w:tcPr>
          <w:p w14:paraId="26187246">
            <w:pPr>
              <w:spacing w:line="280" w:lineRule="exact"/>
              <w:jc w:val="center"/>
              <w:rPr>
                <w:rFonts w:ascii="Times New Roman" w:eastAsia="仿宋"/>
                <w:szCs w:val="21"/>
              </w:rPr>
            </w:pPr>
          </w:p>
        </w:tc>
        <w:tc>
          <w:tcPr>
            <w:tcW w:w="1842" w:type="pct"/>
            <w:vAlign w:val="center"/>
          </w:tcPr>
          <w:p w14:paraId="4F4F5A98">
            <w:pPr>
              <w:spacing w:line="280" w:lineRule="exact"/>
              <w:jc w:val="center"/>
              <w:rPr>
                <w:rFonts w:ascii="Times New Roman" w:eastAsia="仿宋"/>
                <w:szCs w:val="21"/>
              </w:rPr>
            </w:pPr>
            <w:r>
              <w:rPr>
                <w:rFonts w:ascii="Times New Roman" w:eastAsia="仿宋"/>
                <w:szCs w:val="21"/>
              </w:rPr>
              <w:t>地下水下游点位（削减断面）</w:t>
            </w:r>
          </w:p>
        </w:tc>
        <w:tc>
          <w:tcPr>
            <w:tcW w:w="1215" w:type="pct"/>
            <w:vMerge w:val="continue"/>
            <w:vAlign w:val="center"/>
          </w:tcPr>
          <w:p w14:paraId="43C2FE0A">
            <w:pPr>
              <w:spacing w:line="280" w:lineRule="exact"/>
              <w:jc w:val="center"/>
              <w:rPr>
                <w:rFonts w:ascii="Times New Roman" w:eastAsia="仿宋"/>
                <w:szCs w:val="21"/>
              </w:rPr>
            </w:pPr>
          </w:p>
        </w:tc>
        <w:tc>
          <w:tcPr>
            <w:tcW w:w="1228" w:type="pct"/>
            <w:vAlign w:val="center"/>
          </w:tcPr>
          <w:p w14:paraId="1E59901E">
            <w:pPr>
              <w:spacing w:line="280" w:lineRule="exact"/>
              <w:jc w:val="center"/>
              <w:rPr>
                <w:rFonts w:ascii="Times New Roman" w:eastAsia="仿宋"/>
                <w:szCs w:val="21"/>
              </w:rPr>
            </w:pPr>
            <w:r>
              <w:rPr>
                <w:rFonts w:ascii="Times New Roman" w:eastAsia="仿宋"/>
                <w:szCs w:val="21"/>
              </w:rPr>
              <w:t>初始加密监测，视污染物浓度递减</w:t>
            </w:r>
          </w:p>
        </w:tc>
      </w:tr>
      <w:tr w14:paraId="4DD5F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8" w:hRule="atLeast"/>
          <w:jc w:val="center"/>
        </w:trPr>
        <w:tc>
          <w:tcPr>
            <w:tcW w:w="715" w:type="pct"/>
            <w:vMerge w:val="restart"/>
            <w:vAlign w:val="center"/>
          </w:tcPr>
          <w:p w14:paraId="3D2ADC69">
            <w:pPr>
              <w:spacing w:line="280" w:lineRule="exact"/>
              <w:jc w:val="center"/>
              <w:rPr>
                <w:rFonts w:ascii="Times New Roman" w:eastAsia="仿宋"/>
                <w:szCs w:val="21"/>
              </w:rPr>
            </w:pPr>
            <w:r>
              <w:rPr>
                <w:rFonts w:ascii="Times New Roman" w:eastAsia="仿宋"/>
                <w:szCs w:val="21"/>
              </w:rPr>
              <w:t>大气</w:t>
            </w:r>
          </w:p>
        </w:tc>
        <w:tc>
          <w:tcPr>
            <w:tcW w:w="1842" w:type="pct"/>
            <w:vAlign w:val="center"/>
          </w:tcPr>
          <w:p w14:paraId="7F2DF68B">
            <w:pPr>
              <w:spacing w:line="280" w:lineRule="exact"/>
              <w:jc w:val="center"/>
              <w:rPr>
                <w:rFonts w:ascii="Times New Roman" w:eastAsia="仿宋"/>
                <w:szCs w:val="21"/>
              </w:rPr>
            </w:pPr>
            <w:r>
              <w:rPr>
                <w:rFonts w:ascii="Times New Roman" w:eastAsia="仿宋"/>
                <w:szCs w:val="21"/>
              </w:rPr>
              <w:t>事件发生地上风向对照点</w:t>
            </w:r>
          </w:p>
        </w:tc>
        <w:tc>
          <w:tcPr>
            <w:tcW w:w="1215" w:type="pct"/>
            <w:vMerge w:val="restart"/>
            <w:vAlign w:val="center"/>
          </w:tcPr>
          <w:p w14:paraId="332B7575">
            <w:pPr>
              <w:spacing w:line="280" w:lineRule="exact"/>
              <w:jc w:val="center"/>
              <w:rPr>
                <w:rFonts w:ascii="Times New Roman" w:eastAsia="仿宋"/>
                <w:szCs w:val="21"/>
              </w:rPr>
            </w:pPr>
            <w:r>
              <w:rPr>
                <w:rFonts w:ascii="Times New Roman" w:eastAsia="仿宋"/>
                <w:szCs w:val="21"/>
              </w:rPr>
              <w:t>颗粒物、非甲烷总烃</w:t>
            </w:r>
            <w:r>
              <w:rPr>
                <w:rFonts w:hint="eastAsia" w:ascii="Times New Roman" w:eastAsia="仿宋"/>
                <w:szCs w:val="21"/>
              </w:rPr>
              <w:t>、二甲苯</w:t>
            </w:r>
          </w:p>
        </w:tc>
        <w:tc>
          <w:tcPr>
            <w:tcW w:w="1228" w:type="pct"/>
            <w:vAlign w:val="center"/>
          </w:tcPr>
          <w:p w14:paraId="6E785947">
            <w:pPr>
              <w:spacing w:line="280" w:lineRule="exact"/>
              <w:jc w:val="center"/>
              <w:rPr>
                <w:rFonts w:ascii="Times New Roman" w:eastAsia="仿宋"/>
                <w:szCs w:val="21"/>
              </w:rPr>
            </w:pPr>
            <w:r>
              <w:rPr>
                <w:rFonts w:ascii="Times New Roman" w:eastAsia="仿宋"/>
                <w:szCs w:val="21"/>
              </w:rPr>
              <w:t>2次/应急期间</w:t>
            </w:r>
          </w:p>
        </w:tc>
      </w:tr>
      <w:tr w14:paraId="12756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8" w:hRule="atLeast"/>
          <w:jc w:val="center"/>
        </w:trPr>
        <w:tc>
          <w:tcPr>
            <w:tcW w:w="715" w:type="pct"/>
            <w:vMerge w:val="continue"/>
            <w:vAlign w:val="center"/>
          </w:tcPr>
          <w:p w14:paraId="43B09008">
            <w:pPr>
              <w:spacing w:line="280" w:lineRule="exact"/>
              <w:jc w:val="center"/>
              <w:rPr>
                <w:rFonts w:ascii="Times New Roman" w:eastAsia="仿宋"/>
                <w:szCs w:val="21"/>
              </w:rPr>
            </w:pPr>
          </w:p>
        </w:tc>
        <w:tc>
          <w:tcPr>
            <w:tcW w:w="1842" w:type="pct"/>
            <w:vAlign w:val="center"/>
          </w:tcPr>
          <w:p w14:paraId="7779A2FF">
            <w:pPr>
              <w:spacing w:line="280" w:lineRule="exact"/>
              <w:jc w:val="center"/>
              <w:rPr>
                <w:rFonts w:ascii="Times New Roman" w:eastAsia="仿宋"/>
                <w:szCs w:val="21"/>
              </w:rPr>
            </w:pPr>
            <w:r>
              <w:rPr>
                <w:rFonts w:ascii="Times New Roman" w:eastAsia="仿宋"/>
                <w:szCs w:val="21"/>
              </w:rPr>
              <w:t>事件发生地污染物浓度的最大处</w:t>
            </w:r>
          </w:p>
        </w:tc>
        <w:tc>
          <w:tcPr>
            <w:tcW w:w="1215" w:type="pct"/>
            <w:vMerge w:val="continue"/>
            <w:vAlign w:val="center"/>
          </w:tcPr>
          <w:p w14:paraId="2EBE1FFF">
            <w:pPr>
              <w:spacing w:line="280" w:lineRule="exact"/>
              <w:jc w:val="center"/>
              <w:rPr>
                <w:rFonts w:ascii="Times New Roman" w:eastAsia="仿宋"/>
                <w:szCs w:val="21"/>
              </w:rPr>
            </w:pPr>
          </w:p>
        </w:tc>
        <w:tc>
          <w:tcPr>
            <w:tcW w:w="1228" w:type="pct"/>
            <w:vAlign w:val="center"/>
          </w:tcPr>
          <w:p w14:paraId="3282704D">
            <w:pPr>
              <w:spacing w:line="280" w:lineRule="exact"/>
              <w:jc w:val="center"/>
              <w:rPr>
                <w:rFonts w:ascii="Times New Roman" w:eastAsia="仿宋"/>
                <w:szCs w:val="21"/>
              </w:rPr>
            </w:pPr>
            <w:r>
              <w:rPr>
                <w:rFonts w:ascii="Times New Roman" w:eastAsia="仿宋"/>
                <w:szCs w:val="21"/>
              </w:rPr>
              <w:t>初始加密监测，视污染物浓度递减</w:t>
            </w:r>
          </w:p>
        </w:tc>
      </w:tr>
      <w:tr w14:paraId="2BDC7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4" w:hRule="atLeast"/>
          <w:jc w:val="center"/>
        </w:trPr>
        <w:tc>
          <w:tcPr>
            <w:tcW w:w="715" w:type="pct"/>
            <w:vMerge w:val="continue"/>
            <w:vAlign w:val="center"/>
          </w:tcPr>
          <w:p w14:paraId="24908BD7">
            <w:pPr>
              <w:spacing w:line="280" w:lineRule="exact"/>
              <w:jc w:val="center"/>
              <w:rPr>
                <w:rFonts w:ascii="Times New Roman" w:eastAsia="仿宋"/>
                <w:szCs w:val="21"/>
              </w:rPr>
            </w:pPr>
          </w:p>
        </w:tc>
        <w:tc>
          <w:tcPr>
            <w:tcW w:w="1842" w:type="pct"/>
            <w:vAlign w:val="center"/>
          </w:tcPr>
          <w:p w14:paraId="204CE58A">
            <w:pPr>
              <w:spacing w:line="280" w:lineRule="exact"/>
              <w:jc w:val="center"/>
              <w:rPr>
                <w:rFonts w:ascii="Times New Roman" w:eastAsia="仿宋"/>
                <w:szCs w:val="21"/>
              </w:rPr>
            </w:pPr>
            <w:r>
              <w:rPr>
                <w:rFonts w:ascii="Times New Roman" w:eastAsia="仿宋"/>
                <w:szCs w:val="21"/>
              </w:rPr>
              <w:t>事件发生地最近的居民居住区或其他敏感区</w:t>
            </w:r>
          </w:p>
        </w:tc>
        <w:tc>
          <w:tcPr>
            <w:tcW w:w="1215" w:type="pct"/>
            <w:vMerge w:val="continue"/>
            <w:vAlign w:val="center"/>
          </w:tcPr>
          <w:p w14:paraId="6C91BAEF">
            <w:pPr>
              <w:spacing w:line="280" w:lineRule="exact"/>
              <w:jc w:val="center"/>
              <w:rPr>
                <w:rFonts w:ascii="Times New Roman" w:eastAsia="仿宋"/>
                <w:szCs w:val="21"/>
              </w:rPr>
            </w:pPr>
          </w:p>
        </w:tc>
        <w:tc>
          <w:tcPr>
            <w:tcW w:w="1228" w:type="pct"/>
            <w:vAlign w:val="center"/>
          </w:tcPr>
          <w:p w14:paraId="205787D7">
            <w:pPr>
              <w:spacing w:line="280" w:lineRule="exact"/>
              <w:jc w:val="center"/>
              <w:rPr>
                <w:rFonts w:ascii="Times New Roman" w:eastAsia="仿宋"/>
                <w:szCs w:val="21"/>
              </w:rPr>
            </w:pPr>
            <w:r>
              <w:rPr>
                <w:rFonts w:ascii="Times New Roman" w:eastAsia="仿宋"/>
                <w:szCs w:val="21"/>
              </w:rPr>
              <w:t>初始加密监测，视污染物浓度递减</w:t>
            </w:r>
          </w:p>
        </w:tc>
      </w:tr>
      <w:tr w14:paraId="04A0F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15" w:type="pct"/>
            <w:vMerge w:val="restart"/>
            <w:vAlign w:val="center"/>
          </w:tcPr>
          <w:p w14:paraId="115C5A1E">
            <w:pPr>
              <w:spacing w:line="280" w:lineRule="exact"/>
              <w:jc w:val="center"/>
              <w:rPr>
                <w:rFonts w:ascii="Times New Roman" w:eastAsia="仿宋"/>
                <w:szCs w:val="21"/>
              </w:rPr>
            </w:pPr>
            <w:r>
              <w:rPr>
                <w:rFonts w:ascii="Times New Roman" w:eastAsia="仿宋"/>
                <w:szCs w:val="21"/>
              </w:rPr>
              <w:t>土壤</w:t>
            </w:r>
          </w:p>
        </w:tc>
        <w:tc>
          <w:tcPr>
            <w:tcW w:w="1842" w:type="pct"/>
            <w:vAlign w:val="center"/>
          </w:tcPr>
          <w:p w14:paraId="63CC67C4">
            <w:pPr>
              <w:spacing w:line="280" w:lineRule="exact"/>
              <w:jc w:val="center"/>
              <w:rPr>
                <w:rFonts w:ascii="Times New Roman" w:eastAsia="仿宋"/>
                <w:szCs w:val="21"/>
              </w:rPr>
            </w:pPr>
            <w:r>
              <w:rPr>
                <w:rFonts w:ascii="Times New Roman" w:eastAsia="仿宋"/>
                <w:szCs w:val="21"/>
              </w:rPr>
              <w:t>事件发生地受污染的区域（不少于5个）</w:t>
            </w:r>
          </w:p>
        </w:tc>
        <w:tc>
          <w:tcPr>
            <w:tcW w:w="1215" w:type="pct"/>
            <w:vMerge w:val="restart"/>
            <w:vAlign w:val="center"/>
          </w:tcPr>
          <w:p w14:paraId="183E7D97">
            <w:pPr>
              <w:spacing w:line="280" w:lineRule="exact"/>
              <w:jc w:val="center"/>
              <w:rPr>
                <w:rFonts w:ascii="Times New Roman" w:eastAsia="仿宋"/>
                <w:szCs w:val="21"/>
              </w:rPr>
            </w:pPr>
            <w:r>
              <w:rPr>
                <w:rFonts w:ascii="Times New Roman" w:eastAsia="仿宋"/>
                <w:szCs w:val="21"/>
              </w:rPr>
              <w:t>pH、石油烃（C10-C40）</w:t>
            </w:r>
            <w:r>
              <w:rPr>
                <w:rFonts w:hint="eastAsia" w:ascii="Times New Roman" w:eastAsia="仿宋"/>
                <w:szCs w:val="21"/>
              </w:rPr>
              <w:t>、</w:t>
            </w:r>
            <w:r>
              <w:rPr>
                <w:rFonts w:hint="eastAsia" w:ascii="Times New Roman" w:eastAsia="仿宋"/>
              </w:rPr>
              <w:t>间二甲苯+对二甲苯、邻二甲苯</w:t>
            </w:r>
          </w:p>
        </w:tc>
        <w:tc>
          <w:tcPr>
            <w:tcW w:w="1228" w:type="pct"/>
            <w:vAlign w:val="center"/>
          </w:tcPr>
          <w:p w14:paraId="3B3903CA">
            <w:pPr>
              <w:spacing w:line="280" w:lineRule="exact"/>
              <w:jc w:val="center"/>
              <w:rPr>
                <w:rFonts w:ascii="Times New Roman" w:eastAsia="仿宋"/>
                <w:szCs w:val="21"/>
              </w:rPr>
            </w:pPr>
            <w:r>
              <w:rPr>
                <w:rFonts w:ascii="Times New Roman" w:eastAsia="仿宋"/>
                <w:szCs w:val="21"/>
              </w:rPr>
              <w:t>1次/应急期间</w:t>
            </w:r>
          </w:p>
        </w:tc>
      </w:tr>
      <w:tr w14:paraId="4C14D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715" w:type="pct"/>
            <w:vMerge w:val="continue"/>
            <w:vAlign w:val="center"/>
          </w:tcPr>
          <w:p w14:paraId="128E0498">
            <w:pPr>
              <w:spacing w:line="280" w:lineRule="exact"/>
              <w:jc w:val="center"/>
              <w:rPr>
                <w:rFonts w:ascii="Times New Roman" w:eastAsia="仿宋"/>
                <w:szCs w:val="21"/>
              </w:rPr>
            </w:pPr>
          </w:p>
        </w:tc>
        <w:tc>
          <w:tcPr>
            <w:tcW w:w="1842" w:type="pct"/>
            <w:vAlign w:val="center"/>
          </w:tcPr>
          <w:p w14:paraId="6228A4DF">
            <w:pPr>
              <w:spacing w:line="280" w:lineRule="exact"/>
              <w:jc w:val="center"/>
              <w:rPr>
                <w:rFonts w:ascii="Times New Roman" w:eastAsia="仿宋"/>
                <w:szCs w:val="21"/>
              </w:rPr>
            </w:pPr>
            <w:r>
              <w:rPr>
                <w:rFonts w:ascii="Times New Roman" w:eastAsia="仿宋"/>
                <w:szCs w:val="21"/>
              </w:rPr>
              <w:t>对照点（2-3个）</w:t>
            </w:r>
          </w:p>
        </w:tc>
        <w:tc>
          <w:tcPr>
            <w:tcW w:w="1215" w:type="pct"/>
            <w:vMerge w:val="continue"/>
            <w:vAlign w:val="center"/>
          </w:tcPr>
          <w:p w14:paraId="4AF4B332">
            <w:pPr>
              <w:spacing w:line="280" w:lineRule="exact"/>
              <w:jc w:val="center"/>
              <w:rPr>
                <w:rFonts w:ascii="Times New Roman" w:eastAsia="仿宋"/>
                <w:szCs w:val="21"/>
              </w:rPr>
            </w:pPr>
          </w:p>
        </w:tc>
        <w:tc>
          <w:tcPr>
            <w:tcW w:w="1228" w:type="pct"/>
            <w:vAlign w:val="center"/>
          </w:tcPr>
          <w:p w14:paraId="70E80F97">
            <w:pPr>
              <w:spacing w:line="280" w:lineRule="exact"/>
              <w:jc w:val="center"/>
              <w:rPr>
                <w:rFonts w:ascii="Times New Roman" w:eastAsia="仿宋"/>
                <w:szCs w:val="21"/>
              </w:rPr>
            </w:pPr>
            <w:r>
              <w:rPr>
                <w:rFonts w:ascii="Times New Roman" w:eastAsia="仿宋"/>
                <w:szCs w:val="21"/>
              </w:rPr>
              <w:t>1次/应急期间</w:t>
            </w:r>
          </w:p>
        </w:tc>
      </w:tr>
    </w:tbl>
    <w:p w14:paraId="0D03692B">
      <w:pPr>
        <w:keepNext/>
        <w:keepLines/>
        <w:spacing w:before="48" w:beforeLines="20" w:after="48" w:afterLines="20" w:line="500" w:lineRule="exact"/>
        <w:jc w:val="left"/>
        <w:outlineLvl w:val="3"/>
        <w:rPr>
          <w:rFonts w:ascii="Times New Roman" w:eastAsia="仿宋"/>
          <w:b/>
          <w:bCs/>
          <w:sz w:val="28"/>
        </w:rPr>
      </w:pPr>
      <w:r>
        <w:rPr>
          <w:rFonts w:hint="eastAsia" w:ascii="Times New Roman" w:eastAsia="仿宋"/>
          <w:b/>
          <w:bCs/>
          <w:sz w:val="28"/>
        </w:rPr>
        <w:t>6</w:t>
      </w:r>
      <w:r>
        <w:rPr>
          <w:rFonts w:ascii="Times New Roman" w:eastAsia="仿宋"/>
          <w:b/>
          <w:bCs/>
          <w:sz w:val="28"/>
        </w:rPr>
        <w:t>.</w:t>
      </w:r>
      <w:r>
        <w:rPr>
          <w:rFonts w:hint="eastAsia" w:ascii="Times New Roman" w:eastAsia="仿宋"/>
          <w:b/>
          <w:bCs/>
          <w:sz w:val="28"/>
        </w:rPr>
        <w:t>5</w:t>
      </w:r>
      <w:r>
        <w:rPr>
          <w:rFonts w:ascii="Times New Roman" w:eastAsia="仿宋"/>
          <w:b/>
          <w:bCs/>
          <w:sz w:val="28"/>
        </w:rPr>
        <w:t>.</w:t>
      </w:r>
      <w:r>
        <w:rPr>
          <w:rFonts w:hint="eastAsia" w:ascii="Times New Roman" w:eastAsia="仿宋"/>
          <w:b/>
          <w:bCs/>
          <w:sz w:val="28"/>
        </w:rPr>
        <w:t>2.9标识牌及疏散路线</w:t>
      </w:r>
    </w:p>
    <w:p w14:paraId="569F54C5">
      <w:pPr>
        <w:spacing w:line="500" w:lineRule="exact"/>
        <w:ind w:firstLine="560" w:firstLineChars="200"/>
        <w:jc w:val="left"/>
        <w:rPr>
          <w:rFonts w:ascii="Times New Roman" w:eastAsia="仿宋"/>
          <w:sz w:val="28"/>
          <w:szCs w:val="28"/>
        </w:rPr>
      </w:pPr>
      <w:r>
        <w:rPr>
          <w:rFonts w:hint="eastAsia" w:ascii="Times New Roman" w:eastAsia="仿宋"/>
          <w:sz w:val="28"/>
          <w:szCs w:val="28"/>
        </w:rPr>
        <w:t>本项目建成后企业应当设置应急处置卡及相应标识标牌。应急疏散路线图见附图6.5-2。</w:t>
      </w:r>
    </w:p>
    <w:p w14:paraId="7B566D05">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w:t>
      </w:r>
      <w:r>
        <w:rPr>
          <w:rFonts w:hint="eastAsia" w:ascii="Times New Roman" w:eastAsia="仿宋"/>
          <w:b/>
          <w:bCs/>
          <w:sz w:val="28"/>
        </w:rPr>
        <w:t>10环境应急设施</w:t>
      </w:r>
    </w:p>
    <w:p w14:paraId="44A62499">
      <w:pPr>
        <w:spacing w:line="500" w:lineRule="exact"/>
        <w:ind w:firstLine="560" w:firstLineChars="200"/>
        <w:jc w:val="left"/>
        <w:rPr>
          <w:rFonts w:ascii="Times New Roman" w:eastAsia="仿宋"/>
          <w:sz w:val="28"/>
          <w:szCs w:val="28"/>
        </w:rPr>
      </w:pPr>
      <w:r>
        <w:rPr>
          <w:rFonts w:hint="eastAsia" w:ascii="Times New Roman" w:eastAsia="仿宋"/>
          <w:sz w:val="28"/>
          <w:szCs w:val="28"/>
        </w:rPr>
        <w:t>厂区内生产装置区等各功能区之间按国家消防安全规定，</w:t>
      </w:r>
      <w:r>
        <w:rPr>
          <w:rFonts w:ascii="Times New Roman" w:eastAsia="仿宋"/>
          <w:sz w:val="28"/>
          <w:szCs w:val="21"/>
        </w:rPr>
        <w:t>设置足够的安全距离和道路，以便安全疏散和消防。各重点部位设备应设置完善的报警联锁系统、以及水消防系统和灭火器等</w:t>
      </w:r>
      <w:r>
        <w:rPr>
          <w:rFonts w:hint="eastAsia" w:ascii="Times New Roman" w:eastAsia="仿宋"/>
          <w:sz w:val="28"/>
          <w:szCs w:val="21"/>
        </w:rPr>
        <w:t>，</w:t>
      </w:r>
      <w:r>
        <w:rPr>
          <w:rFonts w:ascii="Times New Roman" w:eastAsia="仿宋"/>
          <w:sz w:val="28"/>
          <w:szCs w:val="21"/>
        </w:rPr>
        <w:t>并且对</w:t>
      </w:r>
      <w:r>
        <w:rPr>
          <w:rFonts w:hint="eastAsia" w:ascii="Times New Roman" w:eastAsia="仿宋"/>
          <w:sz w:val="28"/>
          <w:szCs w:val="21"/>
        </w:rPr>
        <w:t>消防器材</w:t>
      </w:r>
      <w:r>
        <w:rPr>
          <w:rFonts w:hint="eastAsia" w:ascii="Times New Roman" w:eastAsia="仿宋"/>
          <w:sz w:val="28"/>
          <w:szCs w:val="28"/>
        </w:rPr>
        <w:t>作定期检查，确保消防设施及器材均在有效期内。</w:t>
      </w:r>
    </w:p>
    <w:p w14:paraId="77F4D909">
      <w:pPr>
        <w:spacing w:line="500" w:lineRule="exact"/>
        <w:ind w:firstLine="560" w:firstLineChars="200"/>
        <w:jc w:val="left"/>
        <w:rPr>
          <w:rFonts w:ascii="Times New Roman" w:eastAsia="仿宋"/>
          <w:sz w:val="28"/>
          <w:szCs w:val="28"/>
        </w:rPr>
      </w:pPr>
      <w:r>
        <w:rPr>
          <w:rFonts w:hint="eastAsia" w:ascii="Times New Roman" w:eastAsia="仿宋"/>
          <w:sz w:val="28"/>
          <w:szCs w:val="28"/>
        </w:rPr>
        <w:t>本项目依托厂区内已建设的1座容积为</w:t>
      </w:r>
      <w:r>
        <w:rPr>
          <w:rFonts w:ascii="Times New Roman" w:eastAsia="仿宋"/>
          <w:sz w:val="28"/>
          <w:szCs w:val="28"/>
        </w:rPr>
        <w:t>100</w:t>
      </w:r>
      <w:r>
        <w:rPr>
          <w:rFonts w:hint="eastAsia" w:ascii="Times New Roman" w:eastAsia="仿宋"/>
          <w:sz w:val="28"/>
          <w:szCs w:val="28"/>
        </w:rPr>
        <w:t>m</w:t>
      </w:r>
      <w:r>
        <w:rPr>
          <w:rFonts w:hint="eastAsia" w:ascii="Times New Roman" w:eastAsia="仿宋"/>
          <w:sz w:val="28"/>
          <w:szCs w:val="28"/>
          <w:vertAlign w:val="superscript"/>
        </w:rPr>
        <w:t>3</w:t>
      </w:r>
      <w:r>
        <w:rPr>
          <w:rFonts w:hint="eastAsia" w:ascii="Times New Roman" w:eastAsia="仿宋"/>
          <w:sz w:val="28"/>
          <w:szCs w:val="28"/>
        </w:rPr>
        <w:t>的事故应急池，事故应急池设置在地下，已按照建筑防渗设计规范建设，内部按《危险废物贮存污染控制标准》（GB18597-2023)设置防渗层。事故应急池已设置切断装置，并与雨水管网相连，根据5.3.6.7章节计算，事故应急池容积可满足本项目事故废水收集需求。</w:t>
      </w:r>
    </w:p>
    <w:p w14:paraId="2E1DB30A">
      <w:pPr>
        <w:spacing w:line="500" w:lineRule="exact"/>
        <w:ind w:firstLine="560" w:firstLineChars="200"/>
        <w:rPr>
          <w:rFonts w:eastAsia="仿宋"/>
          <w:sz w:val="28"/>
          <w:szCs w:val="22"/>
        </w:rPr>
      </w:pPr>
      <w:r>
        <w:rPr>
          <w:rFonts w:eastAsia="仿宋"/>
          <w:sz w:val="28"/>
          <w:szCs w:val="22"/>
        </w:rPr>
        <w:t>本项目原料存放区域</w:t>
      </w:r>
      <w:r>
        <w:rPr>
          <w:rFonts w:hint="eastAsia" w:eastAsia="仿宋"/>
          <w:sz w:val="28"/>
          <w:szCs w:val="22"/>
        </w:rPr>
        <w:t>、生产装置均</w:t>
      </w:r>
      <w:r>
        <w:rPr>
          <w:rFonts w:eastAsia="仿宋"/>
          <w:sz w:val="28"/>
          <w:szCs w:val="22"/>
        </w:rPr>
        <w:t>位于生产车间内，</w:t>
      </w:r>
      <w:r>
        <w:rPr>
          <w:rFonts w:hint="eastAsia" w:eastAsia="仿宋"/>
          <w:sz w:val="28"/>
          <w:szCs w:val="22"/>
        </w:rPr>
        <w:t>污水处理站不露天建设，且本项目</w:t>
      </w:r>
      <w:r>
        <w:rPr>
          <w:rFonts w:eastAsia="仿宋"/>
          <w:sz w:val="28"/>
          <w:szCs w:val="22"/>
        </w:rPr>
        <w:t>不属于</w:t>
      </w:r>
      <w:r>
        <w:rPr>
          <w:rFonts w:hint="eastAsia" w:eastAsia="仿宋"/>
          <w:sz w:val="28"/>
          <w:szCs w:val="22"/>
        </w:rPr>
        <w:t>化工、</w:t>
      </w:r>
      <w:r>
        <w:rPr>
          <w:rFonts w:eastAsia="仿宋"/>
          <w:sz w:val="28"/>
          <w:szCs w:val="22"/>
        </w:rPr>
        <w:t>电镀、</w:t>
      </w:r>
      <w:r>
        <w:rPr>
          <w:rFonts w:hint="eastAsia" w:eastAsia="仿宋"/>
          <w:sz w:val="28"/>
          <w:szCs w:val="22"/>
        </w:rPr>
        <w:t>原料药</w:t>
      </w:r>
      <w:r>
        <w:rPr>
          <w:rFonts w:eastAsia="仿宋"/>
          <w:sz w:val="28"/>
          <w:szCs w:val="22"/>
        </w:rPr>
        <w:t>制造、</w:t>
      </w:r>
      <w:r>
        <w:rPr>
          <w:rFonts w:hint="eastAsia" w:eastAsia="仿宋"/>
          <w:sz w:val="28"/>
          <w:szCs w:val="22"/>
        </w:rPr>
        <w:t>冶炼、印染重点</w:t>
      </w:r>
      <w:r>
        <w:rPr>
          <w:rFonts w:eastAsia="仿宋"/>
          <w:sz w:val="28"/>
          <w:szCs w:val="22"/>
        </w:rPr>
        <w:t>行业，</w:t>
      </w:r>
      <w:r>
        <w:rPr>
          <w:rFonts w:hint="eastAsia" w:eastAsia="仿宋"/>
          <w:sz w:val="28"/>
          <w:szCs w:val="22"/>
        </w:rPr>
        <w:t>无</w:t>
      </w:r>
      <w:r>
        <w:rPr>
          <w:rFonts w:eastAsia="仿宋"/>
          <w:sz w:val="28"/>
          <w:szCs w:val="22"/>
        </w:rPr>
        <w:t>初期</w:t>
      </w:r>
      <w:r>
        <w:rPr>
          <w:rFonts w:hint="eastAsia" w:eastAsia="仿宋"/>
          <w:sz w:val="28"/>
          <w:szCs w:val="22"/>
        </w:rPr>
        <w:t>雨水</w:t>
      </w:r>
      <w:r>
        <w:rPr>
          <w:rFonts w:eastAsia="仿宋"/>
          <w:sz w:val="28"/>
          <w:szCs w:val="22"/>
        </w:rPr>
        <w:t>收集要求。</w:t>
      </w:r>
    </w:p>
    <w:p w14:paraId="7A47AEDB">
      <w:pPr>
        <w:tabs>
          <w:tab w:val="left" w:pos="6840"/>
        </w:tabs>
        <w:spacing w:line="480" w:lineRule="exact"/>
        <w:ind w:firstLine="556"/>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雨水通过雨水排口排放，厂区</w:t>
      </w:r>
      <w:r>
        <w:rPr>
          <w:rFonts w:ascii="Times New Roman" w:eastAsia="仿宋"/>
          <w:sz w:val="28"/>
          <w:szCs w:val="28"/>
        </w:rPr>
        <w:t>设置雨水排放口</w:t>
      </w:r>
      <w:r>
        <w:rPr>
          <w:rFonts w:hint="eastAsia" w:ascii="Times New Roman" w:eastAsia="仿宋"/>
          <w:sz w:val="28"/>
          <w:szCs w:val="28"/>
        </w:rPr>
        <w:t>1</w:t>
      </w:r>
      <w:r>
        <w:rPr>
          <w:rFonts w:ascii="Times New Roman" w:eastAsia="仿宋"/>
          <w:sz w:val="28"/>
          <w:szCs w:val="28"/>
        </w:rPr>
        <w:t>个</w:t>
      </w:r>
      <w:r>
        <w:rPr>
          <w:rFonts w:hint="eastAsia" w:ascii="Times New Roman" w:eastAsia="仿宋"/>
          <w:sz w:val="28"/>
          <w:szCs w:val="28"/>
        </w:rPr>
        <w:t>，</w:t>
      </w:r>
      <w:r>
        <w:rPr>
          <w:rFonts w:ascii="Times New Roman" w:eastAsia="仿宋"/>
          <w:sz w:val="28"/>
          <w:szCs w:val="28"/>
        </w:rPr>
        <w:t>雨水接管口</w:t>
      </w:r>
      <w:r>
        <w:rPr>
          <w:rFonts w:hint="eastAsia" w:ascii="Times New Roman" w:eastAsia="仿宋"/>
          <w:sz w:val="28"/>
          <w:szCs w:val="28"/>
        </w:rPr>
        <w:t>按要求</w:t>
      </w:r>
      <w:r>
        <w:rPr>
          <w:rFonts w:ascii="Times New Roman" w:eastAsia="仿宋"/>
          <w:sz w:val="28"/>
          <w:szCs w:val="28"/>
        </w:rPr>
        <w:t>设置标志牌，符合“一明显，二合理，三便于”的要求，设置合理，便于采取水样。</w:t>
      </w:r>
    </w:p>
    <w:p w14:paraId="6A305BCA">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.2.1</w:t>
      </w:r>
      <w:r>
        <w:rPr>
          <w:rFonts w:hint="eastAsia" w:ascii="Times New Roman" w:eastAsia="仿宋"/>
          <w:b/>
          <w:bCs/>
          <w:sz w:val="28"/>
        </w:rPr>
        <w:t>1</w:t>
      </w:r>
      <w:r>
        <w:rPr>
          <w:rFonts w:ascii="Times New Roman" w:eastAsia="仿宋"/>
          <w:b/>
          <w:bCs/>
          <w:sz w:val="28"/>
        </w:rPr>
        <w:t>全厂主要风险防范措施</w:t>
      </w:r>
    </w:p>
    <w:p w14:paraId="0E8ECD2D">
      <w:pPr>
        <w:spacing w:line="500" w:lineRule="exact"/>
        <w:ind w:firstLine="560" w:firstLineChars="200"/>
        <w:jc w:val="left"/>
        <w:rPr>
          <w:rFonts w:ascii="Times New Roman" w:eastAsia="仿宋"/>
          <w:sz w:val="28"/>
          <w:szCs w:val="21"/>
        </w:rPr>
      </w:pPr>
      <w:r>
        <w:rPr>
          <w:rFonts w:ascii="Times New Roman" w:eastAsia="仿宋"/>
          <w:sz w:val="28"/>
          <w:szCs w:val="21"/>
        </w:rPr>
        <w:t>本项目主要风险防范及应急措施汇总情况见下表。</w:t>
      </w:r>
    </w:p>
    <w:p w14:paraId="302B28AA">
      <w:pPr>
        <w:tabs>
          <w:tab w:val="left" w:pos="1665"/>
        </w:tabs>
        <w:adjustRightInd w:val="0"/>
        <w:snapToGrid w:val="0"/>
        <w:spacing w:line="500" w:lineRule="exact"/>
        <w:jc w:val="center"/>
        <w:rPr>
          <w:rFonts w:ascii="Times New Roman" w:eastAsia="仿宋"/>
          <w:b/>
          <w:lang w:val="zh-CN"/>
        </w:rPr>
      </w:pPr>
      <w:bookmarkStart w:id="417" w:name="_Ref401101206"/>
      <w:r>
        <w:rPr>
          <w:rFonts w:ascii="Times New Roman" w:eastAsia="仿宋"/>
          <w:b/>
          <w:lang w:val="zh-CN"/>
        </w:rPr>
        <w:t>表</w:t>
      </w:r>
      <w:bookmarkEnd w:id="417"/>
      <w:r>
        <w:rPr>
          <w:rFonts w:ascii="Times New Roman" w:eastAsia="仿宋"/>
          <w:b/>
          <w:lang w:val="zh-CN"/>
        </w:rPr>
        <w:t>6.6-2  本项目主要风险防范及应急措施表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186"/>
        <w:gridCol w:w="1703"/>
        <w:gridCol w:w="4450"/>
      </w:tblGrid>
      <w:tr w14:paraId="55BC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4" w:type="pct"/>
            <w:vAlign w:val="center"/>
          </w:tcPr>
          <w:p w14:paraId="6F02ED31">
            <w:pPr>
              <w:widowControl/>
              <w:adjustRightInd w:val="0"/>
              <w:snapToGrid w:val="0"/>
              <w:jc w:val="center"/>
              <w:rPr>
                <w:rFonts w:ascii="Times New Roman" w:eastAsia="仿宋"/>
                <w:szCs w:val="21"/>
              </w:rPr>
            </w:pPr>
            <w:r>
              <w:rPr>
                <w:rFonts w:ascii="Times New Roman" w:eastAsia="仿宋"/>
                <w:szCs w:val="21"/>
              </w:rPr>
              <w:t>类别</w:t>
            </w:r>
          </w:p>
        </w:tc>
        <w:tc>
          <w:tcPr>
            <w:tcW w:w="696" w:type="pct"/>
            <w:vAlign w:val="center"/>
          </w:tcPr>
          <w:p w14:paraId="771390F9">
            <w:pPr>
              <w:widowControl/>
              <w:adjustRightInd w:val="0"/>
              <w:snapToGrid w:val="0"/>
              <w:jc w:val="center"/>
              <w:rPr>
                <w:rFonts w:ascii="Times New Roman" w:eastAsia="仿宋"/>
                <w:szCs w:val="21"/>
              </w:rPr>
            </w:pPr>
            <w:r>
              <w:rPr>
                <w:rFonts w:ascii="Times New Roman" w:eastAsia="仿宋"/>
                <w:szCs w:val="21"/>
              </w:rPr>
              <w:t>环境风险单元</w:t>
            </w:r>
          </w:p>
        </w:tc>
        <w:tc>
          <w:tcPr>
            <w:tcW w:w="999" w:type="pct"/>
            <w:vAlign w:val="center"/>
          </w:tcPr>
          <w:p w14:paraId="6148203C">
            <w:pPr>
              <w:widowControl/>
              <w:adjustRightInd w:val="0"/>
              <w:snapToGrid w:val="0"/>
              <w:jc w:val="center"/>
              <w:rPr>
                <w:rFonts w:ascii="Times New Roman" w:eastAsia="仿宋"/>
                <w:szCs w:val="21"/>
              </w:rPr>
            </w:pPr>
            <w:r>
              <w:rPr>
                <w:rFonts w:ascii="Times New Roman" w:eastAsia="仿宋"/>
                <w:szCs w:val="21"/>
              </w:rPr>
              <w:t>风险事故</w:t>
            </w:r>
          </w:p>
        </w:tc>
        <w:tc>
          <w:tcPr>
            <w:tcW w:w="2611" w:type="pct"/>
            <w:vAlign w:val="center"/>
          </w:tcPr>
          <w:p w14:paraId="5B149966">
            <w:pPr>
              <w:widowControl/>
              <w:adjustRightInd w:val="0"/>
              <w:snapToGrid w:val="0"/>
              <w:jc w:val="center"/>
              <w:rPr>
                <w:rFonts w:ascii="Times New Roman" w:eastAsia="仿宋"/>
                <w:szCs w:val="21"/>
              </w:rPr>
            </w:pPr>
            <w:r>
              <w:rPr>
                <w:rFonts w:ascii="Times New Roman" w:eastAsia="仿宋"/>
                <w:szCs w:val="21"/>
              </w:rPr>
              <w:t>环境风险防范措施</w:t>
            </w:r>
          </w:p>
        </w:tc>
      </w:tr>
      <w:tr w14:paraId="34D2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14:paraId="45635599">
            <w:pPr>
              <w:widowControl/>
              <w:adjustRightInd w:val="0"/>
              <w:snapToGrid w:val="0"/>
              <w:jc w:val="center"/>
              <w:rPr>
                <w:rFonts w:ascii="Times New Roman" w:eastAsia="仿宋"/>
                <w:szCs w:val="21"/>
              </w:rPr>
            </w:pPr>
            <w:r>
              <w:rPr>
                <w:rFonts w:ascii="Times New Roman" w:eastAsia="仿宋"/>
                <w:szCs w:val="21"/>
              </w:rPr>
              <w:t>生产系统</w:t>
            </w:r>
          </w:p>
        </w:tc>
        <w:tc>
          <w:tcPr>
            <w:tcW w:w="696" w:type="pct"/>
            <w:vAlign w:val="center"/>
          </w:tcPr>
          <w:p w14:paraId="65553D18">
            <w:pPr>
              <w:widowControl/>
              <w:adjustRightInd w:val="0"/>
              <w:snapToGrid w:val="0"/>
              <w:jc w:val="center"/>
              <w:rPr>
                <w:rFonts w:ascii="Times New Roman" w:eastAsia="仿宋"/>
                <w:szCs w:val="21"/>
              </w:rPr>
            </w:pPr>
            <w:r>
              <w:rPr>
                <w:rFonts w:hint="eastAsia" w:ascii="Times New Roman" w:eastAsia="仿宋"/>
                <w:szCs w:val="21"/>
              </w:rPr>
              <w:t>生产车间</w:t>
            </w:r>
          </w:p>
        </w:tc>
        <w:tc>
          <w:tcPr>
            <w:tcW w:w="999" w:type="pct"/>
            <w:vAlign w:val="center"/>
          </w:tcPr>
          <w:p w14:paraId="56735B5A">
            <w:pPr>
              <w:widowControl/>
              <w:adjustRightInd w:val="0"/>
              <w:snapToGrid w:val="0"/>
              <w:jc w:val="center"/>
              <w:rPr>
                <w:rFonts w:ascii="Times New Roman" w:eastAsia="仿宋"/>
                <w:szCs w:val="21"/>
              </w:rPr>
            </w:pPr>
            <w:r>
              <w:rPr>
                <w:rFonts w:ascii="Times New Roman" w:eastAsia="仿宋"/>
                <w:szCs w:val="21"/>
              </w:rPr>
              <w:t>物料泄漏、火灾、爆炸</w:t>
            </w:r>
          </w:p>
        </w:tc>
        <w:tc>
          <w:tcPr>
            <w:tcW w:w="2611" w:type="pct"/>
            <w:vAlign w:val="center"/>
          </w:tcPr>
          <w:p w14:paraId="4EC8511E">
            <w:pPr>
              <w:widowControl/>
              <w:adjustRightInd w:val="0"/>
              <w:snapToGrid w:val="0"/>
              <w:rPr>
                <w:rFonts w:ascii="Times New Roman" w:eastAsia="仿宋"/>
                <w:szCs w:val="21"/>
              </w:rPr>
            </w:pPr>
            <w:r>
              <w:rPr>
                <w:rFonts w:ascii="Times New Roman" w:eastAsia="仿宋"/>
                <w:szCs w:val="21"/>
              </w:rPr>
              <w:t>设灭火器、消防栓</w:t>
            </w:r>
            <w:r>
              <w:rPr>
                <w:rFonts w:hint="eastAsia" w:ascii="Times New Roman" w:eastAsia="仿宋"/>
                <w:szCs w:val="21"/>
              </w:rPr>
              <w:t>，涂装线设置有</w:t>
            </w:r>
            <w:r>
              <w:rPr>
                <w:rFonts w:ascii="Times New Roman" w:eastAsia="仿宋"/>
                <w:szCs w:val="21"/>
              </w:rPr>
              <w:t>可燃气体报警系统</w:t>
            </w:r>
            <w:r>
              <w:rPr>
                <w:rFonts w:hint="eastAsia" w:ascii="Times New Roman" w:eastAsia="仿宋"/>
                <w:szCs w:val="21"/>
              </w:rPr>
              <w:t>等</w:t>
            </w:r>
          </w:p>
        </w:tc>
      </w:tr>
      <w:tr w14:paraId="78E3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14:paraId="25EB507A">
            <w:pPr>
              <w:widowControl/>
              <w:adjustRightInd w:val="0"/>
              <w:snapToGrid w:val="0"/>
              <w:jc w:val="center"/>
              <w:rPr>
                <w:rFonts w:ascii="Times New Roman" w:eastAsia="仿宋"/>
                <w:szCs w:val="21"/>
              </w:rPr>
            </w:pPr>
            <w:r>
              <w:rPr>
                <w:rFonts w:ascii="Times New Roman" w:eastAsia="仿宋"/>
                <w:szCs w:val="21"/>
              </w:rPr>
              <w:t>存储系统</w:t>
            </w:r>
          </w:p>
        </w:tc>
        <w:tc>
          <w:tcPr>
            <w:tcW w:w="696" w:type="pct"/>
            <w:vAlign w:val="center"/>
          </w:tcPr>
          <w:p w14:paraId="62C4247C">
            <w:pPr>
              <w:widowControl/>
              <w:adjustRightInd w:val="0"/>
              <w:snapToGrid w:val="0"/>
              <w:jc w:val="center"/>
              <w:rPr>
                <w:rFonts w:ascii="Times New Roman" w:eastAsia="仿宋"/>
                <w:szCs w:val="21"/>
              </w:rPr>
            </w:pPr>
            <w:r>
              <w:rPr>
                <w:rFonts w:hint="eastAsia" w:ascii="Times New Roman" w:eastAsia="仿宋"/>
                <w:szCs w:val="21"/>
              </w:rPr>
              <w:t>油漆仓库</w:t>
            </w:r>
            <w:r>
              <w:rPr>
                <w:rFonts w:ascii="Times New Roman" w:eastAsia="仿宋"/>
                <w:szCs w:val="21"/>
              </w:rPr>
              <w:t>、</w:t>
            </w:r>
            <w:r>
              <w:rPr>
                <w:rFonts w:hint="eastAsia" w:ascii="Times New Roman" w:eastAsia="仿宋"/>
                <w:szCs w:val="21"/>
              </w:rPr>
              <w:t>仓库</w:t>
            </w:r>
            <w:r>
              <w:rPr>
                <w:rFonts w:ascii="Times New Roman" w:eastAsia="仿宋"/>
                <w:szCs w:val="21"/>
              </w:rPr>
              <w:t>、</w:t>
            </w:r>
            <w:r>
              <w:rPr>
                <w:rFonts w:hint="eastAsia" w:ascii="Times New Roman" w:eastAsia="仿宋"/>
                <w:szCs w:val="21"/>
              </w:rPr>
              <w:t>成品库</w:t>
            </w:r>
          </w:p>
        </w:tc>
        <w:tc>
          <w:tcPr>
            <w:tcW w:w="999" w:type="pct"/>
            <w:vAlign w:val="center"/>
          </w:tcPr>
          <w:p w14:paraId="3516CF69">
            <w:pPr>
              <w:widowControl/>
              <w:adjustRightInd w:val="0"/>
              <w:snapToGrid w:val="0"/>
              <w:jc w:val="center"/>
              <w:rPr>
                <w:rFonts w:ascii="Times New Roman" w:eastAsia="仿宋"/>
                <w:szCs w:val="21"/>
              </w:rPr>
            </w:pPr>
            <w:r>
              <w:rPr>
                <w:rFonts w:ascii="Times New Roman" w:eastAsia="仿宋"/>
                <w:szCs w:val="21"/>
              </w:rPr>
              <w:t>物料泄漏、火灾、爆炸</w:t>
            </w:r>
          </w:p>
        </w:tc>
        <w:tc>
          <w:tcPr>
            <w:tcW w:w="2611" w:type="pct"/>
            <w:vAlign w:val="center"/>
          </w:tcPr>
          <w:p w14:paraId="71624094">
            <w:pPr>
              <w:widowControl/>
              <w:adjustRightInd w:val="0"/>
              <w:snapToGrid w:val="0"/>
              <w:rPr>
                <w:rFonts w:ascii="Times New Roman" w:eastAsia="仿宋"/>
                <w:szCs w:val="21"/>
              </w:rPr>
            </w:pPr>
            <w:r>
              <w:rPr>
                <w:rFonts w:ascii="Times New Roman" w:eastAsia="仿宋"/>
                <w:szCs w:val="21"/>
              </w:rPr>
              <w:t>设</w:t>
            </w:r>
            <w:r>
              <w:rPr>
                <w:rFonts w:hint="eastAsia" w:ascii="Times New Roman" w:eastAsia="仿宋"/>
                <w:szCs w:val="21"/>
              </w:rPr>
              <w:t>灭火器、消防栓、消防黄沙、</w:t>
            </w:r>
            <w:r>
              <w:rPr>
                <w:rFonts w:ascii="Times New Roman" w:eastAsia="仿宋"/>
                <w:szCs w:val="21"/>
              </w:rPr>
              <w:t>可燃气体报警系统</w:t>
            </w:r>
          </w:p>
        </w:tc>
      </w:tr>
      <w:tr w14:paraId="6887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Align w:val="center"/>
          </w:tcPr>
          <w:p w14:paraId="5C6518CF">
            <w:pPr>
              <w:widowControl/>
              <w:adjustRightInd w:val="0"/>
              <w:snapToGrid w:val="0"/>
              <w:jc w:val="center"/>
              <w:rPr>
                <w:rFonts w:ascii="Times New Roman" w:eastAsia="仿宋"/>
                <w:szCs w:val="21"/>
              </w:rPr>
            </w:pPr>
            <w:r>
              <w:rPr>
                <w:rFonts w:ascii="Times New Roman" w:eastAsia="仿宋"/>
                <w:szCs w:val="21"/>
              </w:rPr>
              <w:t>应急工程</w:t>
            </w:r>
          </w:p>
        </w:tc>
        <w:tc>
          <w:tcPr>
            <w:tcW w:w="696" w:type="pct"/>
            <w:vAlign w:val="center"/>
          </w:tcPr>
          <w:p w14:paraId="03A382AB">
            <w:pPr>
              <w:widowControl/>
              <w:adjustRightInd w:val="0"/>
              <w:snapToGrid w:val="0"/>
              <w:jc w:val="center"/>
              <w:rPr>
                <w:rFonts w:ascii="Times New Roman" w:eastAsia="仿宋"/>
                <w:szCs w:val="21"/>
              </w:rPr>
            </w:pPr>
            <w:r>
              <w:rPr>
                <w:rFonts w:ascii="Times New Roman" w:eastAsia="仿宋"/>
                <w:szCs w:val="21"/>
              </w:rPr>
              <w:t>事故应急池</w:t>
            </w:r>
          </w:p>
        </w:tc>
        <w:tc>
          <w:tcPr>
            <w:tcW w:w="999" w:type="pct"/>
            <w:vAlign w:val="center"/>
          </w:tcPr>
          <w:p w14:paraId="19277DDA">
            <w:pPr>
              <w:widowControl/>
              <w:adjustRightInd w:val="0"/>
              <w:snapToGrid w:val="0"/>
              <w:jc w:val="center"/>
              <w:rPr>
                <w:rFonts w:ascii="Times New Roman" w:eastAsia="仿宋"/>
                <w:szCs w:val="21"/>
              </w:rPr>
            </w:pPr>
            <w:r>
              <w:rPr>
                <w:rFonts w:ascii="Times New Roman" w:eastAsia="仿宋"/>
                <w:szCs w:val="21"/>
              </w:rPr>
              <w:t>火灾、爆炸</w:t>
            </w:r>
          </w:p>
        </w:tc>
        <w:tc>
          <w:tcPr>
            <w:tcW w:w="2611" w:type="pct"/>
            <w:vAlign w:val="center"/>
          </w:tcPr>
          <w:p w14:paraId="3AA7A1EE">
            <w:pPr>
              <w:widowControl/>
              <w:adjustRightInd w:val="0"/>
              <w:snapToGrid w:val="0"/>
              <w:rPr>
                <w:rFonts w:ascii="Times New Roman" w:eastAsia="仿宋"/>
                <w:szCs w:val="21"/>
              </w:rPr>
            </w:pPr>
            <w:r>
              <w:rPr>
                <w:rFonts w:hint="eastAsia" w:ascii="Times New Roman" w:eastAsia="仿宋"/>
                <w:szCs w:val="21"/>
              </w:rPr>
              <w:t>厂区设置1座容积为</w:t>
            </w:r>
            <w:r>
              <w:rPr>
                <w:rFonts w:ascii="Times New Roman" w:eastAsia="仿宋"/>
                <w:szCs w:val="21"/>
              </w:rPr>
              <w:t>100</w:t>
            </w:r>
            <w:r>
              <w:rPr>
                <w:rFonts w:hint="eastAsia" w:ascii="Times New Roman" w:eastAsia="仿宋"/>
                <w:szCs w:val="21"/>
              </w:rPr>
              <w:t>m</w:t>
            </w:r>
            <w:r>
              <w:rPr>
                <w:rFonts w:hint="eastAsia" w:ascii="Times New Roman" w:eastAsia="仿宋"/>
                <w:szCs w:val="21"/>
                <w:vertAlign w:val="superscript"/>
              </w:rPr>
              <w:t>3</w:t>
            </w:r>
            <w:r>
              <w:rPr>
                <w:rFonts w:hint="eastAsia" w:ascii="Times New Roman" w:eastAsia="仿宋"/>
                <w:szCs w:val="21"/>
              </w:rPr>
              <w:t>的事故应急池，配备应急泵，</w:t>
            </w:r>
            <w:r>
              <w:rPr>
                <w:rFonts w:ascii="Times New Roman" w:eastAsia="仿宋"/>
                <w:szCs w:val="21"/>
              </w:rPr>
              <w:t>事故应急池可满足事故时消防废水及泄漏物料的存储。事故状态下和下雨初期，关闭雨水排放口的截流阀，打开通往事故池阀门，收集的事故消防水排入厂内事故池</w:t>
            </w:r>
            <w:r>
              <w:rPr>
                <w:rFonts w:hint="eastAsia" w:ascii="Times New Roman" w:eastAsia="仿宋"/>
                <w:szCs w:val="21"/>
              </w:rPr>
              <w:t>，</w:t>
            </w:r>
            <w:r>
              <w:rPr>
                <w:rFonts w:ascii="Times New Roman" w:eastAsia="仿宋"/>
                <w:szCs w:val="21"/>
              </w:rPr>
              <w:t>待事故风险解除后，使用临时泵</w:t>
            </w:r>
            <w:r>
              <w:rPr>
                <w:rFonts w:hint="eastAsia" w:ascii="Times New Roman" w:eastAsia="仿宋"/>
                <w:szCs w:val="21"/>
              </w:rPr>
              <w:t>将事故废水</w:t>
            </w:r>
            <w:r>
              <w:rPr>
                <w:rFonts w:ascii="Times New Roman" w:eastAsia="仿宋"/>
                <w:szCs w:val="21"/>
              </w:rPr>
              <w:t>输送到厂内污水处理站处理。</w:t>
            </w:r>
          </w:p>
        </w:tc>
      </w:tr>
      <w:tr w14:paraId="22A2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restart"/>
            <w:vAlign w:val="center"/>
          </w:tcPr>
          <w:p w14:paraId="0FABC935">
            <w:pPr>
              <w:spacing w:line="280" w:lineRule="exact"/>
              <w:jc w:val="center"/>
              <w:rPr>
                <w:rFonts w:ascii="Times New Roman" w:eastAsia="仿宋"/>
                <w:szCs w:val="21"/>
              </w:rPr>
            </w:pPr>
            <w:r>
              <w:rPr>
                <w:rFonts w:ascii="Times New Roman" w:eastAsia="仿宋"/>
                <w:szCs w:val="21"/>
              </w:rPr>
              <w:t>环保工程</w:t>
            </w:r>
          </w:p>
        </w:tc>
        <w:tc>
          <w:tcPr>
            <w:tcW w:w="696" w:type="pct"/>
            <w:vAlign w:val="center"/>
          </w:tcPr>
          <w:p w14:paraId="2CE6BF14">
            <w:pPr>
              <w:spacing w:line="280" w:lineRule="exact"/>
              <w:jc w:val="center"/>
              <w:rPr>
                <w:rFonts w:ascii="Times New Roman" w:eastAsia="仿宋"/>
                <w:szCs w:val="21"/>
              </w:rPr>
            </w:pPr>
            <w:r>
              <w:rPr>
                <w:rFonts w:ascii="Times New Roman" w:eastAsia="仿宋"/>
                <w:szCs w:val="21"/>
              </w:rPr>
              <w:t>废气处理设施</w:t>
            </w:r>
          </w:p>
        </w:tc>
        <w:tc>
          <w:tcPr>
            <w:tcW w:w="999" w:type="pct"/>
            <w:vAlign w:val="center"/>
          </w:tcPr>
          <w:p w14:paraId="42AFA998">
            <w:pPr>
              <w:widowControl/>
              <w:adjustRightInd w:val="0"/>
              <w:snapToGrid w:val="0"/>
              <w:jc w:val="center"/>
              <w:rPr>
                <w:rFonts w:ascii="Times New Roman" w:eastAsia="仿宋"/>
                <w:szCs w:val="21"/>
              </w:rPr>
            </w:pPr>
            <w:r>
              <w:rPr>
                <w:rFonts w:ascii="Times New Roman" w:eastAsia="仿宋"/>
                <w:szCs w:val="21"/>
              </w:rPr>
              <w:t>废气超标排放</w:t>
            </w:r>
          </w:p>
        </w:tc>
        <w:tc>
          <w:tcPr>
            <w:tcW w:w="2611" w:type="pct"/>
            <w:vAlign w:val="center"/>
          </w:tcPr>
          <w:p w14:paraId="58B9F107">
            <w:pPr>
              <w:spacing w:line="320" w:lineRule="exact"/>
              <w:rPr>
                <w:rFonts w:ascii="Times New Roman" w:eastAsia="仿宋"/>
                <w:szCs w:val="21"/>
              </w:rPr>
            </w:pPr>
            <w:r>
              <w:rPr>
                <w:rFonts w:ascii="Times New Roman" w:eastAsia="仿宋"/>
                <w:szCs w:val="21"/>
              </w:rPr>
              <w:t>①生产工艺废气收集、并进行有效处理；</w:t>
            </w:r>
          </w:p>
          <w:p w14:paraId="4A6F71E6">
            <w:pPr>
              <w:spacing w:line="320" w:lineRule="exact"/>
              <w:rPr>
                <w:rFonts w:ascii="Times New Roman" w:eastAsia="仿宋"/>
                <w:szCs w:val="21"/>
              </w:rPr>
            </w:pPr>
            <w:r>
              <w:rPr>
                <w:rFonts w:ascii="Times New Roman" w:eastAsia="仿宋"/>
                <w:szCs w:val="21"/>
              </w:rPr>
              <w:t>②专人负责对设备的维护保养，挂牌明示，并应建立健全设备台帐，制定设备检修计划；</w:t>
            </w:r>
          </w:p>
          <w:p w14:paraId="7818E0A7">
            <w:pPr>
              <w:spacing w:line="320" w:lineRule="exact"/>
              <w:rPr>
                <w:rFonts w:ascii="Times New Roman" w:eastAsia="仿宋"/>
                <w:szCs w:val="21"/>
              </w:rPr>
            </w:pPr>
            <w:r>
              <w:rPr>
                <w:rFonts w:ascii="Times New Roman" w:eastAsia="仿宋"/>
                <w:szCs w:val="21"/>
              </w:rPr>
              <w:t>③各类设备、泵、风机、管线、阀门、电气控制部位均应按规范设置位号、色标、流向、开关等标志标识及安全警示标识；</w:t>
            </w:r>
          </w:p>
          <w:p w14:paraId="3B718E58">
            <w:pPr>
              <w:spacing w:line="320" w:lineRule="exact"/>
              <w:rPr>
                <w:rFonts w:ascii="Times New Roman" w:eastAsia="仿宋"/>
                <w:szCs w:val="21"/>
              </w:rPr>
            </w:pPr>
            <w:r>
              <w:rPr>
                <w:rFonts w:ascii="Times New Roman" w:eastAsia="仿宋"/>
                <w:szCs w:val="21"/>
              </w:rPr>
              <w:t>④专人管理，视频监控装置。</w:t>
            </w:r>
          </w:p>
          <w:p w14:paraId="247C7DFA">
            <w:pPr>
              <w:spacing w:line="320" w:lineRule="exact"/>
              <w:rPr>
                <w:rFonts w:ascii="Times New Roman" w:eastAsia="仿宋"/>
                <w:szCs w:val="21"/>
              </w:rPr>
            </w:pPr>
            <w:r>
              <w:rPr>
                <w:rFonts w:ascii="Times New Roman" w:eastAsia="仿宋"/>
                <w:szCs w:val="21"/>
              </w:rPr>
              <w:t>⑤</w:t>
            </w:r>
            <w:r>
              <w:rPr>
                <w:rFonts w:hint="eastAsia" w:ascii="Times New Roman" w:eastAsia="仿宋"/>
                <w:szCs w:val="21"/>
              </w:rPr>
              <w:t>按要求定期</w:t>
            </w:r>
            <w:r>
              <w:rPr>
                <w:rFonts w:ascii="Times New Roman" w:eastAsia="仿宋"/>
                <w:szCs w:val="21"/>
              </w:rPr>
              <w:t>监测废气排放情况。</w:t>
            </w:r>
          </w:p>
          <w:p w14:paraId="10B231B5">
            <w:pPr>
              <w:spacing w:line="320" w:lineRule="exact"/>
              <w:rPr>
                <w:rFonts w:ascii="Times New Roman" w:eastAsia="仿宋"/>
                <w:szCs w:val="21"/>
              </w:rPr>
            </w:pPr>
            <w:r>
              <w:rPr>
                <w:rFonts w:ascii="Times New Roman" w:eastAsia="仿宋"/>
                <w:szCs w:val="21"/>
              </w:rPr>
              <w:fldChar w:fldCharType="begin"/>
            </w:r>
            <w:r>
              <w:rPr>
                <w:rFonts w:ascii="Times New Roman" w:eastAsia="仿宋"/>
                <w:szCs w:val="21"/>
              </w:rPr>
              <w:instrText xml:space="preserve"> = 6 \* GB3 </w:instrText>
            </w:r>
            <w:r>
              <w:rPr>
                <w:rFonts w:ascii="Times New Roman" w:eastAsia="仿宋"/>
                <w:szCs w:val="21"/>
              </w:rPr>
              <w:fldChar w:fldCharType="separate"/>
            </w:r>
            <w:r>
              <w:rPr>
                <w:rFonts w:ascii="Times New Roman" w:eastAsia="仿宋"/>
                <w:szCs w:val="21"/>
              </w:rPr>
              <w:t>⑥</w:t>
            </w:r>
            <w:r>
              <w:rPr>
                <w:rFonts w:ascii="Times New Roman" w:eastAsia="仿宋"/>
                <w:szCs w:val="21"/>
              </w:rPr>
              <w:fldChar w:fldCharType="end"/>
            </w:r>
            <w:r>
              <w:rPr>
                <w:rFonts w:ascii="Times New Roman" w:eastAsia="仿宋"/>
                <w:szCs w:val="21"/>
              </w:rPr>
              <w:t>具备自动报警功能，自动停机保护功能。</w:t>
            </w:r>
          </w:p>
          <w:p w14:paraId="21CC8571">
            <w:pPr>
              <w:spacing w:line="320" w:lineRule="exact"/>
              <w:rPr>
                <w:rFonts w:ascii="Times New Roman" w:eastAsia="仿宋"/>
                <w:szCs w:val="21"/>
              </w:rPr>
            </w:pPr>
            <w:r>
              <w:rPr>
                <w:rFonts w:hint="eastAsia" w:ascii="Times New Roman" w:eastAsia="仿宋"/>
                <w:szCs w:val="21"/>
              </w:rPr>
              <w:t>⑦</w:t>
            </w:r>
            <w:r>
              <w:rPr>
                <w:rFonts w:ascii="Times New Roman" w:eastAsia="仿宋"/>
                <w:szCs w:val="21"/>
              </w:rPr>
              <w:t>整体系统（风机，电控柜，电加热等用电设备）都有接地保护和短路保护，并满足要求。</w:t>
            </w:r>
          </w:p>
          <w:p w14:paraId="49172A9B">
            <w:pPr>
              <w:spacing w:line="320" w:lineRule="exact"/>
              <w:rPr>
                <w:rFonts w:ascii="Times New Roman" w:eastAsia="仿宋"/>
                <w:szCs w:val="21"/>
              </w:rPr>
            </w:pPr>
            <w:r>
              <w:rPr>
                <w:rFonts w:hint="eastAsia" w:ascii="Times New Roman" w:eastAsia="仿宋"/>
                <w:szCs w:val="21"/>
              </w:rPr>
              <w:t>⑧在活性炭吸附单元的进口设置了阻火除尘装置，将生产线和处理设备之间的任何危险断开，同时处理废气源中的灰尘，保证废气的洁净度，阻火器应能有效地防止火焰通过。同时催化反应室设置了泄压阀，设备内部压力达到到30-80Kpa 之间时自动泄压。</w:t>
            </w:r>
          </w:p>
        </w:tc>
      </w:tr>
      <w:tr w14:paraId="23B5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vAlign w:val="center"/>
          </w:tcPr>
          <w:p w14:paraId="2B86E958">
            <w:pPr>
              <w:spacing w:line="280" w:lineRule="exact"/>
              <w:jc w:val="center"/>
              <w:rPr>
                <w:rFonts w:ascii="Times New Roman" w:eastAsia="仿宋"/>
                <w:szCs w:val="21"/>
              </w:rPr>
            </w:pPr>
          </w:p>
        </w:tc>
        <w:tc>
          <w:tcPr>
            <w:tcW w:w="696" w:type="pct"/>
            <w:vAlign w:val="center"/>
          </w:tcPr>
          <w:p w14:paraId="09D4987D">
            <w:pPr>
              <w:spacing w:line="280" w:lineRule="exact"/>
              <w:jc w:val="center"/>
              <w:rPr>
                <w:rFonts w:ascii="Times New Roman" w:eastAsia="仿宋"/>
                <w:szCs w:val="21"/>
              </w:rPr>
            </w:pPr>
            <w:r>
              <w:rPr>
                <w:rFonts w:ascii="Times New Roman" w:eastAsia="仿宋"/>
                <w:szCs w:val="21"/>
              </w:rPr>
              <w:t>废水处理站</w:t>
            </w:r>
          </w:p>
        </w:tc>
        <w:tc>
          <w:tcPr>
            <w:tcW w:w="999" w:type="pct"/>
            <w:vAlign w:val="center"/>
          </w:tcPr>
          <w:p w14:paraId="77610DF3">
            <w:pPr>
              <w:widowControl/>
              <w:adjustRightInd w:val="0"/>
              <w:snapToGrid w:val="0"/>
              <w:jc w:val="center"/>
              <w:rPr>
                <w:rFonts w:ascii="Times New Roman" w:eastAsia="仿宋"/>
                <w:szCs w:val="21"/>
              </w:rPr>
            </w:pPr>
            <w:r>
              <w:rPr>
                <w:rFonts w:ascii="Times New Roman" w:eastAsia="仿宋"/>
                <w:szCs w:val="21"/>
              </w:rPr>
              <w:t>废水超标排放</w:t>
            </w:r>
          </w:p>
        </w:tc>
        <w:tc>
          <w:tcPr>
            <w:tcW w:w="2611" w:type="pct"/>
            <w:vAlign w:val="center"/>
          </w:tcPr>
          <w:p w14:paraId="78AD4F4E">
            <w:pPr>
              <w:spacing w:line="320" w:lineRule="exact"/>
              <w:rPr>
                <w:rFonts w:ascii="Times New Roman" w:eastAsia="仿宋"/>
                <w:szCs w:val="21"/>
              </w:rPr>
            </w:pPr>
            <w:r>
              <w:rPr>
                <w:rFonts w:ascii="Times New Roman" w:eastAsia="仿宋"/>
                <w:szCs w:val="21"/>
              </w:rPr>
              <w:t>①专人负责对设备的维护保养，挂牌明示，并应建立健全设备台帐，制定设备检修计划；②各类设备、泵、管线、阀门、电气控制部位均应按规范设置位号、色标、流向、开关等标志标识及安全警示标识；③专人管理，视频监控装置；④加强对于日常运行情况、水质等详细记录，定期检查、维护。</w:t>
            </w:r>
          </w:p>
        </w:tc>
      </w:tr>
      <w:tr w14:paraId="2FDE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vAlign w:val="center"/>
          </w:tcPr>
          <w:p w14:paraId="5A2457BC">
            <w:pPr>
              <w:spacing w:line="280" w:lineRule="exact"/>
              <w:jc w:val="center"/>
              <w:rPr>
                <w:rFonts w:ascii="Times New Roman" w:eastAsia="仿宋"/>
                <w:szCs w:val="21"/>
              </w:rPr>
            </w:pPr>
          </w:p>
        </w:tc>
        <w:tc>
          <w:tcPr>
            <w:tcW w:w="696" w:type="pct"/>
            <w:vAlign w:val="center"/>
          </w:tcPr>
          <w:p w14:paraId="288CBF88">
            <w:pPr>
              <w:spacing w:line="280" w:lineRule="exact"/>
              <w:jc w:val="center"/>
              <w:rPr>
                <w:rFonts w:ascii="Times New Roman" w:eastAsia="仿宋"/>
                <w:szCs w:val="21"/>
              </w:rPr>
            </w:pPr>
            <w:r>
              <w:rPr>
                <w:rFonts w:ascii="Times New Roman" w:eastAsia="仿宋"/>
                <w:szCs w:val="21"/>
              </w:rPr>
              <w:t>危废仓库</w:t>
            </w:r>
          </w:p>
        </w:tc>
        <w:tc>
          <w:tcPr>
            <w:tcW w:w="999" w:type="pct"/>
            <w:vAlign w:val="center"/>
          </w:tcPr>
          <w:p w14:paraId="44F8854F">
            <w:pPr>
              <w:widowControl/>
              <w:adjustRightInd w:val="0"/>
              <w:snapToGrid w:val="0"/>
              <w:jc w:val="center"/>
              <w:rPr>
                <w:rFonts w:ascii="Times New Roman" w:eastAsia="仿宋"/>
                <w:szCs w:val="21"/>
              </w:rPr>
            </w:pPr>
            <w:r>
              <w:rPr>
                <w:rFonts w:ascii="Times New Roman" w:eastAsia="仿宋"/>
                <w:szCs w:val="21"/>
              </w:rPr>
              <w:t>泄漏、火灾、爆炸</w:t>
            </w:r>
          </w:p>
        </w:tc>
        <w:tc>
          <w:tcPr>
            <w:tcW w:w="2611" w:type="pct"/>
            <w:vAlign w:val="center"/>
          </w:tcPr>
          <w:p w14:paraId="38489042">
            <w:pPr>
              <w:spacing w:line="280" w:lineRule="exact"/>
              <w:rPr>
                <w:rFonts w:ascii="Times New Roman" w:eastAsia="仿宋"/>
                <w:szCs w:val="21"/>
              </w:rPr>
            </w:pPr>
            <w:r>
              <w:rPr>
                <w:rFonts w:ascii="Times New Roman" w:eastAsia="仿宋"/>
                <w:szCs w:val="21"/>
              </w:rPr>
              <w:t>①危废仓库采取防渗漏、防腐蚀、防淋溶、防流失措施；</w:t>
            </w:r>
          </w:p>
          <w:p w14:paraId="412AEE68">
            <w:pPr>
              <w:spacing w:line="280" w:lineRule="exact"/>
              <w:rPr>
                <w:rFonts w:ascii="Times New Roman" w:eastAsia="仿宋"/>
                <w:szCs w:val="21"/>
              </w:rPr>
            </w:pPr>
            <w:r>
              <w:rPr>
                <w:rFonts w:ascii="Times New Roman" w:eastAsia="仿宋"/>
                <w:szCs w:val="21"/>
              </w:rPr>
              <w:t>②设置视频监控，标识标牌，发现被盗，立即报告上级主管部门；</w:t>
            </w:r>
          </w:p>
          <w:p w14:paraId="74DB6BF5">
            <w:pPr>
              <w:spacing w:line="280" w:lineRule="exact"/>
              <w:rPr>
                <w:rFonts w:ascii="Times New Roman" w:eastAsia="仿宋"/>
                <w:szCs w:val="21"/>
              </w:rPr>
            </w:pPr>
            <w:r>
              <w:rPr>
                <w:rFonts w:ascii="Times New Roman" w:eastAsia="仿宋"/>
                <w:szCs w:val="21"/>
              </w:rPr>
              <w:t>③分类收集，用密闭、防渗、防漏容器包装，分区暂存；</w:t>
            </w:r>
          </w:p>
          <w:p w14:paraId="195D3D34">
            <w:pPr>
              <w:spacing w:line="280" w:lineRule="exact"/>
              <w:rPr>
                <w:rFonts w:ascii="Times New Roman" w:eastAsia="仿宋"/>
                <w:szCs w:val="21"/>
              </w:rPr>
            </w:pPr>
            <w:r>
              <w:rPr>
                <w:rFonts w:ascii="Times New Roman" w:eastAsia="仿宋"/>
                <w:szCs w:val="21"/>
              </w:rPr>
              <w:t>④公司委派专人管理，做好危险废物名称、来源、数量、入库时间、出库时间、接受单位等记录，危险废物转移时，必须按照规定办理相关转移手续。</w:t>
            </w:r>
          </w:p>
          <w:p w14:paraId="611F4594">
            <w:pPr>
              <w:spacing w:line="280" w:lineRule="exact"/>
              <w:rPr>
                <w:rFonts w:ascii="Times New Roman" w:eastAsia="仿宋"/>
                <w:szCs w:val="21"/>
              </w:rPr>
            </w:pPr>
            <w:r>
              <w:rPr>
                <w:rFonts w:ascii="Times New Roman" w:eastAsia="仿宋"/>
                <w:szCs w:val="21"/>
              </w:rPr>
              <w:fldChar w:fldCharType="begin"/>
            </w:r>
            <w:r>
              <w:rPr>
                <w:rFonts w:ascii="Times New Roman" w:eastAsia="仿宋"/>
                <w:szCs w:val="21"/>
              </w:rPr>
              <w:instrText xml:space="preserve"> = 5 \* GB3 </w:instrText>
            </w:r>
            <w:r>
              <w:rPr>
                <w:rFonts w:ascii="Times New Roman" w:eastAsia="仿宋"/>
                <w:szCs w:val="21"/>
              </w:rPr>
              <w:fldChar w:fldCharType="separate"/>
            </w:r>
            <w:r>
              <w:rPr>
                <w:rFonts w:ascii="Times New Roman" w:eastAsia="仿宋"/>
                <w:szCs w:val="21"/>
              </w:rPr>
              <w:t>⑤</w:t>
            </w:r>
            <w:r>
              <w:rPr>
                <w:rFonts w:ascii="Times New Roman" w:eastAsia="仿宋"/>
                <w:szCs w:val="21"/>
              </w:rPr>
              <w:fldChar w:fldCharType="end"/>
            </w:r>
            <w:r>
              <w:rPr>
                <w:rFonts w:ascii="Times New Roman" w:eastAsia="仿宋"/>
                <w:szCs w:val="21"/>
              </w:rPr>
              <w:t>设置灭火器、可燃气体报警器。</w:t>
            </w:r>
          </w:p>
        </w:tc>
      </w:tr>
    </w:tbl>
    <w:p w14:paraId="41719E8F">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.2.12</w:t>
      </w:r>
      <w:r>
        <w:rPr>
          <w:rFonts w:hint="eastAsia" w:ascii="Times New Roman" w:eastAsia="仿宋"/>
          <w:b/>
          <w:sz w:val="28"/>
          <w:szCs w:val="32"/>
        </w:rPr>
        <w:t>突发环境</w:t>
      </w:r>
      <w:r>
        <w:rPr>
          <w:rFonts w:ascii="Times New Roman" w:eastAsia="仿宋"/>
          <w:b/>
          <w:sz w:val="28"/>
          <w:szCs w:val="32"/>
        </w:rPr>
        <w:t>事件</w:t>
      </w:r>
      <w:r>
        <w:rPr>
          <w:rFonts w:hint="eastAsia" w:ascii="Times New Roman" w:eastAsia="仿宋"/>
          <w:b/>
          <w:sz w:val="28"/>
          <w:szCs w:val="32"/>
        </w:rPr>
        <w:t>隐患排查工作</w:t>
      </w:r>
      <w:r>
        <w:rPr>
          <w:rFonts w:ascii="Times New Roman" w:eastAsia="仿宋"/>
          <w:b/>
          <w:sz w:val="28"/>
          <w:szCs w:val="32"/>
        </w:rPr>
        <w:t>要求</w:t>
      </w:r>
    </w:p>
    <w:p w14:paraId="24B9D859">
      <w:pPr>
        <w:spacing w:line="500" w:lineRule="exact"/>
        <w:ind w:firstLine="560" w:firstLineChars="200"/>
        <w:jc w:val="left"/>
        <w:rPr>
          <w:rFonts w:ascii="Times New Roman" w:eastAsia="仿宋"/>
          <w:sz w:val="28"/>
          <w:szCs w:val="28"/>
        </w:rPr>
      </w:pPr>
      <w:r>
        <w:rPr>
          <w:rFonts w:hint="eastAsia" w:ascii="Times New Roman" w:eastAsia="仿宋"/>
          <w:sz w:val="28"/>
          <w:szCs w:val="28"/>
        </w:rPr>
        <w:t>根据《企业突发环境事件隐患排查和治理工作指南（试行）》等文件要求，企业</w:t>
      </w:r>
      <w:r>
        <w:rPr>
          <w:rFonts w:ascii="Times New Roman" w:eastAsia="仿宋"/>
          <w:sz w:val="28"/>
          <w:szCs w:val="28"/>
        </w:rPr>
        <w:t>将开展突发环境事件隐患排查工作，具体要求如下：</w:t>
      </w:r>
    </w:p>
    <w:p w14:paraId="4ECE7CA7">
      <w:pPr>
        <w:spacing w:line="500" w:lineRule="exact"/>
        <w:ind w:firstLine="560" w:firstLineChars="200"/>
        <w:jc w:val="left"/>
        <w:rPr>
          <w:rFonts w:ascii="Times New Roman" w:eastAsia="仿宋"/>
          <w:sz w:val="28"/>
          <w:szCs w:val="28"/>
        </w:rPr>
      </w:pPr>
      <w:r>
        <w:rPr>
          <w:rFonts w:hint="eastAsia" w:ascii="Times New Roman" w:eastAsia="仿宋"/>
          <w:sz w:val="28"/>
          <w:szCs w:val="28"/>
        </w:rPr>
        <w:t>1、建立完善隐患排查治理管理机构</w:t>
      </w:r>
    </w:p>
    <w:p w14:paraId="7049B2AB">
      <w:pPr>
        <w:spacing w:line="500" w:lineRule="exact"/>
        <w:ind w:firstLine="560" w:firstLineChars="200"/>
        <w:jc w:val="left"/>
        <w:rPr>
          <w:rFonts w:ascii="Times New Roman" w:eastAsia="仿宋"/>
          <w:sz w:val="28"/>
          <w:szCs w:val="28"/>
        </w:rPr>
      </w:pPr>
      <w:r>
        <w:rPr>
          <w:rFonts w:hint="eastAsia" w:ascii="Times New Roman" w:eastAsia="仿宋"/>
          <w:sz w:val="28"/>
          <w:szCs w:val="28"/>
        </w:rPr>
        <w:t>本项目</w:t>
      </w:r>
      <w:r>
        <w:rPr>
          <w:rFonts w:ascii="Times New Roman" w:eastAsia="仿宋"/>
          <w:sz w:val="28"/>
          <w:szCs w:val="28"/>
        </w:rPr>
        <w:t>建成后，</w:t>
      </w:r>
      <w:r>
        <w:rPr>
          <w:rFonts w:hint="eastAsia" w:ascii="Times New Roman" w:eastAsia="仿宋"/>
          <w:sz w:val="28"/>
          <w:szCs w:val="28"/>
        </w:rPr>
        <w:t>企业将建立并完善隐患排查管理机构，配备相应的管理和技术人员。</w:t>
      </w:r>
    </w:p>
    <w:p w14:paraId="4945757E">
      <w:pPr>
        <w:spacing w:line="500" w:lineRule="exact"/>
        <w:ind w:firstLine="560" w:firstLineChars="200"/>
        <w:jc w:val="left"/>
        <w:rPr>
          <w:rFonts w:ascii="Times New Roman" w:eastAsia="仿宋"/>
          <w:sz w:val="28"/>
          <w:szCs w:val="28"/>
        </w:rPr>
      </w:pPr>
      <w:r>
        <w:rPr>
          <w:rFonts w:hint="eastAsia" w:ascii="Times New Roman" w:eastAsia="仿宋"/>
          <w:sz w:val="28"/>
          <w:szCs w:val="28"/>
        </w:rPr>
        <w:t>2、建立隐患排查治理制度</w:t>
      </w:r>
    </w:p>
    <w:p w14:paraId="41FEBD43">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企业应当按照下列要求建立健全隐患排查治理制度：</w:t>
      </w:r>
    </w:p>
    <w:p w14:paraId="2C207A9F">
      <w:pPr>
        <w:spacing w:line="500" w:lineRule="exact"/>
        <w:ind w:firstLine="560" w:firstLineChars="200"/>
        <w:jc w:val="left"/>
        <w:rPr>
          <w:rFonts w:ascii="Times New Roman" w:eastAsia="仿宋"/>
          <w:sz w:val="28"/>
          <w:szCs w:val="28"/>
        </w:rPr>
      </w:pPr>
      <w:r>
        <w:rPr>
          <w:rFonts w:hint="eastAsia" w:ascii="Times New Roman" w:eastAsia="仿宋"/>
          <w:sz w:val="28"/>
          <w:szCs w:val="28"/>
        </w:rPr>
        <w:t>（1）建立隐患排查治理责任制。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建立并落实隐患排查治理岗位责任制。</w:t>
      </w:r>
    </w:p>
    <w:p w14:paraId="1A6DBC30">
      <w:pPr>
        <w:spacing w:line="500" w:lineRule="exact"/>
        <w:ind w:firstLine="560" w:firstLineChars="200"/>
        <w:jc w:val="left"/>
        <w:rPr>
          <w:rFonts w:ascii="Times New Roman" w:eastAsia="仿宋"/>
          <w:sz w:val="28"/>
          <w:szCs w:val="28"/>
        </w:rPr>
      </w:pPr>
      <w:r>
        <w:rPr>
          <w:rFonts w:hint="eastAsia" w:ascii="Times New Roman" w:eastAsia="仿宋"/>
          <w:sz w:val="28"/>
          <w:szCs w:val="28"/>
        </w:rPr>
        <w:t>（2）制定突发环境事件风险防控设施的操作规程和检查、运行、维修与维护等规定，保证资金投入，确保各设施处于正常完好状态。</w:t>
      </w:r>
    </w:p>
    <w:p w14:paraId="343B9ECE">
      <w:pPr>
        <w:spacing w:line="500" w:lineRule="exact"/>
        <w:ind w:firstLine="560" w:firstLineChars="200"/>
        <w:jc w:val="left"/>
        <w:rPr>
          <w:rFonts w:ascii="Times New Roman" w:eastAsia="仿宋"/>
          <w:sz w:val="28"/>
          <w:szCs w:val="28"/>
        </w:rPr>
      </w:pPr>
      <w:r>
        <w:rPr>
          <w:rFonts w:hint="eastAsia" w:ascii="Times New Roman" w:eastAsia="仿宋"/>
          <w:sz w:val="28"/>
          <w:szCs w:val="28"/>
        </w:rPr>
        <w:t>（3）建立自查、自报、自改、自验的隐患排查治理组织实施制度。</w:t>
      </w:r>
    </w:p>
    <w:p w14:paraId="67864087">
      <w:pPr>
        <w:spacing w:line="500" w:lineRule="exact"/>
        <w:ind w:firstLine="560" w:firstLineChars="200"/>
        <w:jc w:val="left"/>
        <w:rPr>
          <w:rFonts w:ascii="Times New Roman" w:eastAsia="仿宋"/>
          <w:sz w:val="28"/>
          <w:szCs w:val="28"/>
        </w:rPr>
      </w:pPr>
      <w:r>
        <w:rPr>
          <w:rFonts w:hint="eastAsia" w:ascii="Times New Roman" w:eastAsia="仿宋"/>
          <w:sz w:val="28"/>
          <w:szCs w:val="28"/>
        </w:rPr>
        <w:t>（4）如实记录隐患排查治理情况，形成档案文件并做好存档。</w:t>
      </w:r>
    </w:p>
    <w:p w14:paraId="0EABA573">
      <w:pPr>
        <w:spacing w:line="500" w:lineRule="exact"/>
        <w:ind w:firstLine="560" w:firstLineChars="200"/>
        <w:jc w:val="left"/>
        <w:rPr>
          <w:rFonts w:ascii="Times New Roman" w:eastAsia="仿宋"/>
          <w:sz w:val="28"/>
          <w:szCs w:val="28"/>
        </w:rPr>
      </w:pPr>
      <w:r>
        <w:rPr>
          <w:rFonts w:hint="eastAsia" w:ascii="Times New Roman" w:eastAsia="仿宋"/>
          <w:sz w:val="28"/>
          <w:szCs w:val="28"/>
        </w:rPr>
        <w:t>（5）及时修订企业突发环境事件应急预案、完善相关突发环境事件风险防控措施。</w:t>
      </w:r>
    </w:p>
    <w:p w14:paraId="7DC05C8B">
      <w:pPr>
        <w:spacing w:line="500" w:lineRule="exact"/>
        <w:ind w:firstLine="560" w:firstLineChars="200"/>
        <w:jc w:val="left"/>
        <w:rPr>
          <w:rFonts w:ascii="Times New Roman" w:eastAsia="仿宋"/>
          <w:sz w:val="28"/>
          <w:szCs w:val="28"/>
        </w:rPr>
      </w:pPr>
      <w:r>
        <w:rPr>
          <w:rFonts w:hint="eastAsia" w:ascii="Times New Roman" w:eastAsia="仿宋"/>
          <w:sz w:val="28"/>
          <w:szCs w:val="28"/>
        </w:rPr>
        <w:t>（6）定期对员工进行隐患排查治理相关知识的宣传和培训。</w:t>
      </w:r>
    </w:p>
    <w:p w14:paraId="77D6C325">
      <w:pPr>
        <w:spacing w:line="500" w:lineRule="exact"/>
        <w:ind w:firstLine="560" w:firstLineChars="200"/>
        <w:jc w:val="left"/>
        <w:rPr>
          <w:rFonts w:ascii="Times New Roman" w:eastAsia="仿宋"/>
          <w:sz w:val="28"/>
          <w:szCs w:val="28"/>
        </w:rPr>
      </w:pPr>
      <w:r>
        <w:rPr>
          <w:rFonts w:hint="eastAsia" w:ascii="Times New Roman" w:eastAsia="仿宋"/>
          <w:sz w:val="28"/>
          <w:szCs w:val="28"/>
        </w:rPr>
        <w:t>（7）有条件的企业应当建立与企业相关信息化管理系统联网的突发环境事件隐患排查治理信息系统。</w:t>
      </w:r>
    </w:p>
    <w:p w14:paraId="3EA69254">
      <w:pPr>
        <w:spacing w:line="500" w:lineRule="exact"/>
        <w:ind w:firstLine="560" w:firstLineChars="200"/>
        <w:jc w:val="left"/>
        <w:rPr>
          <w:rFonts w:ascii="Times New Roman" w:eastAsia="仿宋"/>
          <w:sz w:val="28"/>
          <w:szCs w:val="28"/>
        </w:rPr>
      </w:pPr>
      <w:r>
        <w:rPr>
          <w:rFonts w:hint="eastAsia" w:ascii="Times New Roman" w:eastAsia="仿宋"/>
          <w:sz w:val="28"/>
          <w:szCs w:val="28"/>
        </w:rPr>
        <w:t>3、明确隐患排查方式和频次</w:t>
      </w:r>
    </w:p>
    <w:p w14:paraId="73A7303D">
      <w:pPr>
        <w:spacing w:line="500" w:lineRule="exact"/>
        <w:ind w:firstLine="560" w:firstLineChars="200"/>
        <w:jc w:val="left"/>
        <w:rPr>
          <w:rFonts w:ascii="Times New Roman" w:eastAsia="仿宋"/>
          <w:sz w:val="28"/>
          <w:szCs w:val="28"/>
        </w:rPr>
      </w:pPr>
      <w:r>
        <w:rPr>
          <w:rFonts w:hint="eastAsia" w:ascii="Times New Roman" w:eastAsia="仿宋"/>
          <w:sz w:val="28"/>
          <w:szCs w:val="28"/>
        </w:rPr>
        <w:t>（1）综合考虑企业自身突发环境事件风险等级、生产工况等因素合理制定年度工作计划，企业</w:t>
      </w:r>
      <w:r>
        <w:rPr>
          <w:rFonts w:ascii="Times New Roman" w:eastAsia="仿宋"/>
          <w:sz w:val="28"/>
          <w:szCs w:val="28"/>
        </w:rPr>
        <w:t>将</w:t>
      </w:r>
      <w:r>
        <w:rPr>
          <w:rFonts w:hint="eastAsia" w:ascii="Times New Roman" w:eastAsia="仿宋"/>
          <w:sz w:val="28"/>
          <w:szCs w:val="28"/>
        </w:rPr>
        <w:t>明确排查频次、排查规模、排查项目等内容。</w:t>
      </w:r>
    </w:p>
    <w:p w14:paraId="65A921ED">
      <w:pPr>
        <w:spacing w:line="500" w:lineRule="exact"/>
        <w:ind w:firstLine="560" w:firstLineChars="200"/>
        <w:jc w:val="left"/>
        <w:rPr>
          <w:rFonts w:ascii="Times New Roman" w:eastAsia="仿宋"/>
          <w:sz w:val="28"/>
          <w:szCs w:val="28"/>
        </w:rPr>
      </w:pPr>
      <w:r>
        <w:rPr>
          <w:rFonts w:hint="eastAsia" w:ascii="Times New Roman" w:eastAsia="仿宋"/>
          <w:sz w:val="28"/>
          <w:szCs w:val="28"/>
        </w:rPr>
        <w:t>（2）根据排查频次、排查规模、排查项目不同，排查可分为综合排查、日常排查、专项排查及抽查等方式。企业应建立以日常排查为主的隐患排查工作机制，及时发现并治理隐患。</w:t>
      </w:r>
    </w:p>
    <w:p w14:paraId="7DC34B76">
      <w:pPr>
        <w:spacing w:line="500" w:lineRule="exact"/>
        <w:ind w:firstLine="560" w:firstLineChars="200"/>
        <w:jc w:val="left"/>
        <w:rPr>
          <w:rFonts w:ascii="Times New Roman" w:eastAsia="仿宋"/>
          <w:sz w:val="28"/>
          <w:szCs w:val="28"/>
        </w:rPr>
      </w:pPr>
      <w:r>
        <w:rPr>
          <w:rFonts w:hint="eastAsia" w:ascii="Times New Roman" w:eastAsia="仿宋"/>
          <w:sz w:val="28"/>
          <w:szCs w:val="28"/>
        </w:rPr>
        <w:t>4、隐患排查治理的组织实施</w:t>
      </w:r>
    </w:p>
    <w:p w14:paraId="7D5E5143">
      <w:pPr>
        <w:spacing w:line="500" w:lineRule="exact"/>
        <w:ind w:firstLine="560" w:firstLineChars="200"/>
        <w:jc w:val="left"/>
        <w:rPr>
          <w:rFonts w:ascii="Times New Roman" w:eastAsia="仿宋"/>
          <w:sz w:val="28"/>
          <w:szCs w:val="28"/>
        </w:rPr>
      </w:pPr>
      <w:r>
        <w:rPr>
          <w:rFonts w:hint="eastAsia" w:ascii="Times New Roman" w:eastAsia="仿宋"/>
          <w:sz w:val="28"/>
          <w:szCs w:val="28"/>
        </w:rPr>
        <w:t>（1）自查</w:t>
      </w:r>
    </w:p>
    <w:p w14:paraId="1D10F4E6">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企业根据自身实际制定隐患排查表，包括所有突发环境事件风险防控设施及其具体位置、排查时间、现场排查负责人（签字）、排查项目现状、是否为隐患、可能导致的危害、隐患级别、完成时间等内容。</w:t>
      </w:r>
    </w:p>
    <w:p w14:paraId="316ECB2A">
      <w:pPr>
        <w:spacing w:line="500" w:lineRule="exact"/>
        <w:ind w:firstLine="560" w:firstLineChars="200"/>
        <w:jc w:val="left"/>
        <w:rPr>
          <w:rFonts w:ascii="Times New Roman" w:eastAsia="仿宋"/>
          <w:sz w:val="28"/>
          <w:szCs w:val="28"/>
        </w:rPr>
      </w:pPr>
      <w:r>
        <w:rPr>
          <w:rFonts w:hint="eastAsia" w:ascii="Times New Roman" w:eastAsia="仿宋"/>
          <w:sz w:val="28"/>
          <w:szCs w:val="28"/>
        </w:rPr>
        <w:t>（2）自报</w:t>
      </w:r>
    </w:p>
    <w:p w14:paraId="019450FF">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企业的非管理人员发现隐患应当立即向现场管理人员或者本单位有关负责人报告；管理人员在检查中发现隐患应当向本单位有关负责人报告。接到报告的人员应当及时予以处理。</w:t>
      </w:r>
    </w:p>
    <w:p w14:paraId="0FF3F742">
      <w:pPr>
        <w:spacing w:line="500" w:lineRule="exact"/>
        <w:ind w:firstLine="560" w:firstLineChars="200"/>
        <w:jc w:val="left"/>
        <w:rPr>
          <w:rFonts w:ascii="Times New Roman" w:eastAsia="仿宋"/>
          <w:sz w:val="28"/>
          <w:szCs w:val="28"/>
        </w:rPr>
      </w:pPr>
      <w:r>
        <w:rPr>
          <w:rFonts w:hint="eastAsia" w:ascii="Times New Roman" w:eastAsia="仿宋"/>
          <w:sz w:val="28"/>
          <w:szCs w:val="28"/>
        </w:rPr>
        <w:t>在日常交接班过程中，做好隐患治理情况交接工作；隐患治理过程中，明确每一工作节点的责任人。</w:t>
      </w:r>
    </w:p>
    <w:p w14:paraId="59E6DA6C">
      <w:pPr>
        <w:spacing w:line="500" w:lineRule="exact"/>
        <w:ind w:firstLine="560" w:firstLineChars="200"/>
        <w:jc w:val="left"/>
        <w:rPr>
          <w:rFonts w:ascii="Times New Roman" w:eastAsia="仿宋"/>
          <w:sz w:val="28"/>
          <w:szCs w:val="28"/>
        </w:rPr>
      </w:pPr>
      <w:r>
        <w:rPr>
          <w:rFonts w:hint="eastAsia" w:ascii="Times New Roman" w:eastAsia="仿宋"/>
          <w:sz w:val="28"/>
          <w:szCs w:val="28"/>
        </w:rPr>
        <w:t>（3）自改</w:t>
      </w:r>
    </w:p>
    <w:p w14:paraId="4CCC4ED3">
      <w:pPr>
        <w:spacing w:line="500" w:lineRule="exact"/>
        <w:ind w:firstLine="560" w:firstLineChars="200"/>
        <w:jc w:val="left"/>
        <w:rPr>
          <w:rFonts w:ascii="Times New Roman" w:eastAsia="仿宋"/>
          <w:sz w:val="28"/>
          <w:szCs w:val="28"/>
        </w:rPr>
      </w:pPr>
      <w:r>
        <w:rPr>
          <w:rFonts w:hint="eastAsia" w:ascii="Times New Roman" w:eastAsia="仿宋"/>
          <w:sz w:val="28"/>
          <w:szCs w:val="28"/>
        </w:rPr>
        <w:t>一般隐患必须确定责任人，立即组织治理并确定完成时限，治理完成情况要由企业相关负责人签字确认，予以销号。</w:t>
      </w:r>
    </w:p>
    <w:p w14:paraId="5897B685">
      <w:pPr>
        <w:spacing w:line="500" w:lineRule="exact"/>
        <w:ind w:firstLine="560" w:firstLineChars="200"/>
        <w:jc w:val="left"/>
        <w:rPr>
          <w:rFonts w:ascii="Times New Roman" w:eastAsia="仿宋"/>
          <w:sz w:val="28"/>
          <w:szCs w:val="28"/>
        </w:rPr>
      </w:pPr>
      <w:r>
        <w:rPr>
          <w:rFonts w:hint="eastAsia" w:ascii="Times New Roman" w:eastAsia="仿宋"/>
          <w:sz w:val="28"/>
          <w:szCs w:val="28"/>
        </w:rPr>
        <w:t>重大隐患要制定治理方案，治理方案应包括：治理目标、完成时间和达标要求、治理方法和措施、资金和物资、负责治理的机构和人员责任、治理过程中的风险防控和应急措施或应急预案。重大隐患治理方案应报企业相关负责人签发，抄送企业相关部门落实治理。</w:t>
      </w:r>
    </w:p>
    <w:p w14:paraId="1D06D514">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企业负责人要及时掌握重大隐患治理进度，可指定专门负责人对治理进度进行跟踪监控，对不能按期完成治理的重大隐患，及时发出督办通知，加大治理力度。</w:t>
      </w:r>
    </w:p>
    <w:p w14:paraId="44590224">
      <w:pPr>
        <w:spacing w:line="500" w:lineRule="exact"/>
        <w:ind w:firstLine="560" w:firstLineChars="200"/>
        <w:jc w:val="left"/>
        <w:rPr>
          <w:rFonts w:ascii="Times New Roman" w:eastAsia="仿宋"/>
          <w:sz w:val="28"/>
          <w:szCs w:val="28"/>
        </w:rPr>
      </w:pPr>
      <w:r>
        <w:rPr>
          <w:rFonts w:hint="eastAsia" w:ascii="Times New Roman" w:eastAsia="仿宋"/>
          <w:sz w:val="28"/>
          <w:szCs w:val="28"/>
        </w:rPr>
        <w:t>（4）自验</w:t>
      </w:r>
    </w:p>
    <w:p w14:paraId="675FF42A">
      <w:pPr>
        <w:spacing w:line="500" w:lineRule="exact"/>
        <w:ind w:firstLine="560" w:firstLineChars="200"/>
        <w:jc w:val="left"/>
        <w:rPr>
          <w:rFonts w:ascii="Times New Roman" w:eastAsia="仿宋"/>
          <w:sz w:val="28"/>
          <w:szCs w:val="28"/>
        </w:rPr>
      </w:pPr>
      <w:r>
        <w:rPr>
          <w:rFonts w:hint="eastAsia" w:ascii="Times New Roman" w:eastAsia="仿宋"/>
          <w:sz w:val="28"/>
          <w:szCs w:val="28"/>
        </w:rPr>
        <w:t>重大隐患治理结束后企业组织技术人员和专家对治理效果进行评估和验收，编制重大隐患治理验收报告，由企业相关负责人签字确认，予以销号。</w:t>
      </w:r>
    </w:p>
    <w:p w14:paraId="1B71A6EA">
      <w:pPr>
        <w:spacing w:line="500" w:lineRule="exact"/>
        <w:ind w:firstLine="560" w:firstLineChars="200"/>
        <w:jc w:val="left"/>
        <w:rPr>
          <w:rFonts w:ascii="Times New Roman" w:eastAsia="仿宋"/>
          <w:sz w:val="28"/>
          <w:szCs w:val="28"/>
        </w:rPr>
      </w:pPr>
      <w:r>
        <w:rPr>
          <w:rFonts w:hint="eastAsia" w:ascii="Times New Roman" w:eastAsia="仿宋"/>
          <w:sz w:val="28"/>
          <w:szCs w:val="28"/>
        </w:rPr>
        <w:t>5、加强宣传培训和演练</w:t>
      </w:r>
    </w:p>
    <w:p w14:paraId="322261D0">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将定期针对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p>
    <w:p w14:paraId="013C55A7">
      <w:pPr>
        <w:spacing w:line="500" w:lineRule="exact"/>
        <w:ind w:firstLine="560" w:firstLineChars="200"/>
        <w:jc w:val="left"/>
        <w:rPr>
          <w:rFonts w:ascii="Times New Roman" w:eastAsia="仿宋"/>
          <w:sz w:val="28"/>
          <w:szCs w:val="28"/>
        </w:rPr>
      </w:pPr>
      <w:r>
        <w:rPr>
          <w:rFonts w:hint="eastAsia" w:ascii="Times New Roman" w:eastAsia="仿宋"/>
          <w:sz w:val="28"/>
          <w:szCs w:val="28"/>
        </w:rPr>
        <w:t>6、建立档案</w:t>
      </w:r>
    </w:p>
    <w:p w14:paraId="0C094E16">
      <w:pPr>
        <w:spacing w:line="500" w:lineRule="exact"/>
        <w:ind w:firstLine="560" w:firstLineChars="200"/>
        <w:jc w:val="left"/>
        <w:rPr>
          <w:rFonts w:ascii="Times New Roman" w:eastAsia="仿宋"/>
          <w:sz w:val="28"/>
          <w:szCs w:val="28"/>
        </w:rPr>
      </w:pPr>
      <w:r>
        <w:rPr>
          <w:rFonts w:hint="eastAsia" w:ascii="Times New Roman" w:eastAsia="仿宋"/>
          <w:sz w:val="28"/>
          <w:szCs w:val="28"/>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14:paraId="3BF12845">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.2.1</w:t>
      </w:r>
      <w:r>
        <w:rPr>
          <w:rFonts w:hint="eastAsia" w:ascii="Times New Roman" w:eastAsia="仿宋"/>
          <w:b/>
          <w:bCs/>
          <w:sz w:val="28"/>
        </w:rPr>
        <w:t>3</w:t>
      </w:r>
      <w:r>
        <w:rPr>
          <w:rFonts w:hint="eastAsia" w:ascii="Times New Roman" w:eastAsia="仿宋"/>
          <w:b/>
          <w:sz w:val="28"/>
          <w:szCs w:val="32"/>
        </w:rPr>
        <w:t>事故应急预案</w:t>
      </w:r>
    </w:p>
    <w:p w14:paraId="6FD65832">
      <w:pPr>
        <w:spacing w:line="500" w:lineRule="exact"/>
        <w:ind w:firstLine="560" w:firstLineChars="200"/>
        <w:jc w:val="left"/>
        <w:rPr>
          <w:rFonts w:ascii="Times New Roman" w:eastAsia="仿宋"/>
          <w:sz w:val="28"/>
          <w:szCs w:val="28"/>
        </w:rPr>
      </w:pPr>
      <w:r>
        <w:rPr>
          <w:rFonts w:hint="eastAsia" w:ascii="Times New Roman" w:eastAsia="仿宋"/>
          <w:sz w:val="28"/>
          <w:szCs w:val="28"/>
        </w:rPr>
        <w:t>一、应急预案的编制及修订</w:t>
      </w:r>
    </w:p>
    <w:p w14:paraId="7068AC67">
      <w:pPr>
        <w:spacing w:line="500" w:lineRule="exact"/>
        <w:ind w:firstLine="560" w:firstLineChars="200"/>
        <w:jc w:val="left"/>
        <w:rPr>
          <w:rFonts w:ascii="Times New Roman" w:eastAsia="仿宋"/>
          <w:sz w:val="28"/>
          <w:szCs w:val="28"/>
        </w:rPr>
      </w:pPr>
      <w:r>
        <w:rPr>
          <w:rFonts w:hint="eastAsia" w:ascii="Times New Roman" w:eastAsia="仿宋"/>
          <w:sz w:val="28"/>
          <w:szCs w:val="28"/>
        </w:rPr>
        <w:t>建设单位应按照《企业事业单位突发环境事件应急预案备案管理办法（试行）》（环发[2015]4号）要求，开展环境风险评估，编制应急预案，并报送生态环境主管部门备案。应急预案编制内容包括总则、组织机构及职责、监控预警、信息报告、环境应急监测、环境应急响应、应急终止、事后恢复、保障措施、预案管理等内容。</w:t>
      </w:r>
    </w:p>
    <w:p w14:paraId="41B18A0B">
      <w:pPr>
        <w:spacing w:line="500" w:lineRule="exact"/>
        <w:ind w:firstLine="560" w:firstLineChars="200"/>
        <w:jc w:val="left"/>
        <w:rPr>
          <w:rFonts w:ascii="Times New Roman" w:eastAsia="仿宋"/>
          <w:sz w:val="28"/>
          <w:szCs w:val="28"/>
        </w:rPr>
      </w:pPr>
      <w:r>
        <w:rPr>
          <w:rFonts w:hint="eastAsia" w:ascii="Times New Roman" w:eastAsia="仿宋"/>
          <w:sz w:val="28"/>
          <w:szCs w:val="28"/>
        </w:rPr>
        <w:t>环境应急预案至少每三年修订一次；有下列情形之一的，企事业单位应当及时更新应急预案，进行评审、发布并及时备案。</w:t>
      </w:r>
    </w:p>
    <w:p w14:paraId="632ADB34">
      <w:pPr>
        <w:spacing w:line="500" w:lineRule="exact"/>
        <w:ind w:firstLine="560" w:firstLineChars="200"/>
        <w:jc w:val="left"/>
        <w:rPr>
          <w:rFonts w:ascii="Times New Roman" w:eastAsia="仿宋"/>
          <w:sz w:val="28"/>
          <w:szCs w:val="28"/>
        </w:rPr>
      </w:pPr>
      <w:r>
        <w:rPr>
          <w:rFonts w:hint="eastAsia" w:ascii="Times New Roman" w:eastAsia="仿宋"/>
          <w:sz w:val="28"/>
          <w:szCs w:val="28"/>
        </w:rPr>
        <w:t>①面临的环境风险发生重大变化，需要重新进行环境风险评估的；</w:t>
      </w:r>
    </w:p>
    <w:p w14:paraId="77EE2AE8">
      <w:pPr>
        <w:spacing w:line="500" w:lineRule="exact"/>
        <w:ind w:firstLine="560" w:firstLineChars="200"/>
        <w:jc w:val="left"/>
        <w:rPr>
          <w:rFonts w:ascii="Times New Roman" w:eastAsia="仿宋"/>
          <w:sz w:val="28"/>
          <w:szCs w:val="28"/>
        </w:rPr>
      </w:pPr>
      <w:r>
        <w:rPr>
          <w:rFonts w:hint="eastAsia" w:ascii="Times New Roman" w:eastAsia="仿宋"/>
          <w:sz w:val="28"/>
          <w:szCs w:val="28"/>
        </w:rPr>
        <w:t>②应急管理组织指挥体系与职责发生重大变化的；</w:t>
      </w:r>
    </w:p>
    <w:p w14:paraId="3A71445C">
      <w:pPr>
        <w:spacing w:line="500" w:lineRule="exact"/>
        <w:ind w:firstLine="560" w:firstLineChars="200"/>
        <w:jc w:val="left"/>
        <w:rPr>
          <w:rFonts w:ascii="Times New Roman" w:eastAsia="仿宋"/>
          <w:sz w:val="28"/>
          <w:szCs w:val="28"/>
        </w:rPr>
      </w:pPr>
      <w:r>
        <w:rPr>
          <w:rFonts w:hint="eastAsia" w:ascii="Times New Roman" w:eastAsia="仿宋"/>
          <w:sz w:val="28"/>
          <w:szCs w:val="28"/>
        </w:rPr>
        <w:t>③环境应急监测预警及报告机制、应对流程和措施、应急保障措施发生重大变化的；</w:t>
      </w:r>
    </w:p>
    <w:p w14:paraId="429FB469">
      <w:pPr>
        <w:spacing w:line="500" w:lineRule="exact"/>
        <w:ind w:firstLine="560" w:firstLineChars="200"/>
        <w:jc w:val="left"/>
        <w:rPr>
          <w:rFonts w:ascii="Times New Roman" w:eastAsia="仿宋"/>
          <w:sz w:val="28"/>
          <w:szCs w:val="28"/>
        </w:rPr>
      </w:pPr>
      <w:r>
        <w:rPr>
          <w:rFonts w:hint="eastAsia" w:ascii="Times New Roman" w:eastAsia="仿宋"/>
          <w:sz w:val="28"/>
          <w:szCs w:val="28"/>
        </w:rPr>
        <w:t>④重要应急资源发生重大变化的；</w:t>
      </w:r>
    </w:p>
    <w:p w14:paraId="0C2F7C98">
      <w:pPr>
        <w:spacing w:line="500" w:lineRule="exact"/>
        <w:ind w:firstLine="560" w:firstLineChars="200"/>
        <w:jc w:val="left"/>
        <w:rPr>
          <w:rFonts w:ascii="Times New Roman" w:eastAsia="仿宋"/>
          <w:sz w:val="28"/>
          <w:szCs w:val="28"/>
        </w:rPr>
      </w:pPr>
      <w:r>
        <w:rPr>
          <w:rFonts w:hint="eastAsia" w:ascii="Times New Roman" w:eastAsia="仿宋"/>
          <w:sz w:val="28"/>
          <w:szCs w:val="28"/>
        </w:rPr>
        <w:t>⑤在突发事件实际应对和应急演练中发现问题，需要对环境应急预案作出重大调整的。</w:t>
      </w:r>
    </w:p>
    <w:p w14:paraId="6F9C9BBC">
      <w:pPr>
        <w:spacing w:line="500" w:lineRule="exact"/>
        <w:ind w:firstLine="560" w:firstLineChars="200"/>
        <w:jc w:val="left"/>
        <w:rPr>
          <w:rFonts w:ascii="Times New Roman" w:eastAsia="仿宋"/>
          <w:sz w:val="28"/>
          <w:szCs w:val="28"/>
        </w:rPr>
      </w:pPr>
      <w:r>
        <w:rPr>
          <w:rFonts w:hint="eastAsia" w:ascii="Times New Roman" w:eastAsia="仿宋"/>
          <w:sz w:val="28"/>
          <w:szCs w:val="28"/>
        </w:rPr>
        <w:t>二、应急培训和演练</w:t>
      </w:r>
    </w:p>
    <w:p w14:paraId="7491B578">
      <w:pPr>
        <w:spacing w:line="500" w:lineRule="exact"/>
        <w:ind w:firstLine="560" w:firstLineChars="200"/>
        <w:jc w:val="left"/>
        <w:rPr>
          <w:rFonts w:ascii="Times New Roman" w:eastAsia="仿宋"/>
          <w:sz w:val="28"/>
          <w:szCs w:val="28"/>
        </w:rPr>
      </w:pPr>
      <w:r>
        <w:rPr>
          <w:rFonts w:hint="eastAsia" w:ascii="Times New Roman" w:eastAsia="仿宋"/>
          <w:sz w:val="28"/>
          <w:szCs w:val="28"/>
        </w:rPr>
        <w:t>1、培训内容、方式和频次</w:t>
      </w:r>
    </w:p>
    <w:p w14:paraId="53AAAFE8">
      <w:pPr>
        <w:spacing w:line="500" w:lineRule="exact"/>
        <w:ind w:firstLine="560" w:firstLineChars="200"/>
        <w:jc w:val="left"/>
        <w:rPr>
          <w:rFonts w:ascii="Times New Roman" w:eastAsia="仿宋"/>
          <w:sz w:val="28"/>
          <w:szCs w:val="28"/>
        </w:rPr>
      </w:pPr>
      <w:r>
        <w:rPr>
          <w:rFonts w:hint="eastAsia" w:ascii="Times New Roman" w:eastAsia="仿宋"/>
          <w:sz w:val="28"/>
          <w:szCs w:val="28"/>
        </w:rPr>
        <w:t>（1）应急救援人员的培训</w:t>
      </w:r>
    </w:p>
    <w:p w14:paraId="598A9053">
      <w:pPr>
        <w:spacing w:line="500" w:lineRule="exact"/>
        <w:ind w:firstLine="560" w:firstLineChars="200"/>
        <w:jc w:val="left"/>
        <w:rPr>
          <w:rFonts w:ascii="Times New Roman" w:eastAsia="仿宋"/>
          <w:sz w:val="28"/>
          <w:szCs w:val="28"/>
        </w:rPr>
      </w:pPr>
      <w:r>
        <w:rPr>
          <w:rFonts w:hint="eastAsia" w:ascii="Times New Roman" w:eastAsia="仿宋"/>
          <w:sz w:val="28"/>
          <w:szCs w:val="28"/>
        </w:rPr>
        <w:t>由事故应急救援指挥部组织应急救援组成员、各部门、车间有关人员每年进行二次应急救援培训，分别安排在每年的五月份和十月份。</w:t>
      </w:r>
    </w:p>
    <w:p w14:paraId="0BCE71BA">
      <w:pPr>
        <w:spacing w:line="500" w:lineRule="exact"/>
        <w:ind w:firstLine="560" w:firstLineChars="200"/>
        <w:jc w:val="left"/>
        <w:rPr>
          <w:rFonts w:ascii="Times New Roman" w:eastAsia="仿宋"/>
          <w:sz w:val="28"/>
          <w:szCs w:val="28"/>
        </w:rPr>
      </w:pPr>
      <w:r>
        <w:rPr>
          <w:rFonts w:hint="eastAsia" w:ascii="Times New Roman" w:eastAsia="仿宋"/>
          <w:sz w:val="28"/>
          <w:szCs w:val="28"/>
        </w:rPr>
        <w:t>每年需开展一次事故应急救援演练并作记录。</w:t>
      </w:r>
    </w:p>
    <w:p w14:paraId="658258F1">
      <w:pPr>
        <w:spacing w:line="500" w:lineRule="exact"/>
        <w:ind w:firstLine="560" w:firstLineChars="200"/>
        <w:jc w:val="left"/>
        <w:rPr>
          <w:rFonts w:ascii="Times New Roman" w:eastAsia="仿宋"/>
          <w:sz w:val="28"/>
          <w:szCs w:val="28"/>
        </w:rPr>
      </w:pPr>
      <w:r>
        <w:rPr>
          <w:rFonts w:hint="eastAsia" w:ascii="Times New Roman" w:eastAsia="仿宋"/>
          <w:sz w:val="28"/>
          <w:szCs w:val="28"/>
        </w:rPr>
        <w:t>应急救援演练后进行评审，对不符合项进行整改，并对预案进行修订完善。</w:t>
      </w:r>
    </w:p>
    <w:p w14:paraId="14C2D880">
      <w:pPr>
        <w:spacing w:line="500" w:lineRule="exact"/>
        <w:ind w:firstLine="560" w:firstLineChars="200"/>
        <w:jc w:val="left"/>
        <w:rPr>
          <w:rFonts w:ascii="Times New Roman" w:eastAsia="仿宋"/>
          <w:sz w:val="28"/>
          <w:szCs w:val="28"/>
        </w:rPr>
      </w:pPr>
      <w:r>
        <w:rPr>
          <w:rFonts w:hint="eastAsia" w:ascii="Times New Roman" w:eastAsia="仿宋"/>
          <w:sz w:val="28"/>
          <w:szCs w:val="28"/>
        </w:rPr>
        <w:t>应急救援演练后应及时对应急设备、设施、器材进行添置、更换、维护保养，保持充足、完好有效。</w:t>
      </w:r>
    </w:p>
    <w:p w14:paraId="0FDC6091">
      <w:pPr>
        <w:spacing w:line="500" w:lineRule="exact"/>
        <w:ind w:firstLine="560" w:firstLineChars="200"/>
        <w:jc w:val="left"/>
        <w:rPr>
          <w:rFonts w:ascii="Times New Roman" w:eastAsia="仿宋"/>
          <w:sz w:val="28"/>
          <w:szCs w:val="28"/>
        </w:rPr>
      </w:pPr>
      <w:r>
        <w:rPr>
          <w:rFonts w:hint="eastAsia" w:ascii="Times New Roman" w:eastAsia="仿宋"/>
          <w:sz w:val="28"/>
          <w:szCs w:val="28"/>
        </w:rPr>
        <w:t>（2）员工应急响应培训</w:t>
      </w:r>
    </w:p>
    <w:p w14:paraId="0812A46B">
      <w:pPr>
        <w:spacing w:line="500" w:lineRule="exact"/>
        <w:ind w:firstLine="560" w:firstLineChars="200"/>
        <w:jc w:val="left"/>
        <w:rPr>
          <w:rFonts w:ascii="Times New Roman" w:eastAsia="仿宋"/>
          <w:sz w:val="28"/>
          <w:szCs w:val="28"/>
        </w:rPr>
      </w:pPr>
      <w:r>
        <w:rPr>
          <w:rFonts w:hint="eastAsia" w:ascii="Times New Roman" w:eastAsia="仿宋"/>
          <w:sz w:val="28"/>
          <w:szCs w:val="28"/>
        </w:rPr>
        <w:t>每年一次对本厂全体人员进行应急预案内容培训，组织员工进行应急救援演练或观摩。</w:t>
      </w:r>
    </w:p>
    <w:p w14:paraId="336E69D7">
      <w:pPr>
        <w:spacing w:line="500" w:lineRule="exact"/>
        <w:ind w:firstLine="560" w:firstLineChars="200"/>
        <w:jc w:val="left"/>
        <w:rPr>
          <w:rFonts w:ascii="Times New Roman" w:eastAsia="仿宋"/>
          <w:sz w:val="28"/>
          <w:szCs w:val="28"/>
        </w:rPr>
      </w:pPr>
      <w:r>
        <w:rPr>
          <w:rFonts w:hint="eastAsia" w:ascii="Times New Roman" w:eastAsia="仿宋"/>
          <w:sz w:val="28"/>
          <w:szCs w:val="28"/>
        </w:rPr>
        <w:t>所有员工必须进行消防器材使用训练，使之能熟练使用现场的各种灭火器材。</w:t>
      </w:r>
    </w:p>
    <w:p w14:paraId="22F4FEC6">
      <w:pPr>
        <w:spacing w:line="500" w:lineRule="exact"/>
        <w:ind w:firstLine="560" w:firstLineChars="200"/>
        <w:jc w:val="left"/>
        <w:rPr>
          <w:rFonts w:ascii="Times New Roman" w:eastAsia="仿宋"/>
          <w:sz w:val="28"/>
          <w:szCs w:val="28"/>
        </w:rPr>
      </w:pPr>
      <w:r>
        <w:rPr>
          <w:rFonts w:hint="eastAsia" w:ascii="Times New Roman" w:eastAsia="仿宋"/>
          <w:sz w:val="28"/>
          <w:szCs w:val="28"/>
        </w:rPr>
        <w:t>所有员工必须进行现场防护器材（防毒面具、长管呼吸器或空气呼吸器）使用训练，使之能熟练使用各种器材。</w:t>
      </w:r>
    </w:p>
    <w:p w14:paraId="45078D2C">
      <w:pPr>
        <w:spacing w:line="500" w:lineRule="exact"/>
        <w:ind w:firstLine="560" w:firstLineChars="200"/>
        <w:jc w:val="left"/>
        <w:rPr>
          <w:rFonts w:ascii="Times New Roman" w:eastAsia="仿宋"/>
          <w:sz w:val="28"/>
          <w:szCs w:val="28"/>
        </w:rPr>
      </w:pPr>
      <w:r>
        <w:rPr>
          <w:rFonts w:hint="eastAsia" w:ascii="Times New Roman" w:eastAsia="仿宋"/>
          <w:sz w:val="28"/>
          <w:szCs w:val="28"/>
        </w:rPr>
        <w:t>（3）应急计划区</w:t>
      </w:r>
    </w:p>
    <w:p w14:paraId="4AD9F76C">
      <w:pPr>
        <w:spacing w:line="500" w:lineRule="exact"/>
        <w:ind w:firstLine="560" w:firstLineChars="200"/>
        <w:jc w:val="left"/>
        <w:rPr>
          <w:rFonts w:ascii="Times New Roman" w:eastAsia="仿宋"/>
          <w:sz w:val="28"/>
          <w:szCs w:val="28"/>
        </w:rPr>
      </w:pPr>
      <w:r>
        <w:rPr>
          <w:rFonts w:hint="eastAsia" w:ascii="Times New Roman" w:eastAsia="仿宋"/>
          <w:sz w:val="28"/>
          <w:szCs w:val="28"/>
        </w:rPr>
        <w:t>生产车间、油漆存储间、环境保护目标（办公楼、500m 内其它企业单位等）锁定为危险目标，并于平面图标出危险目标位置，便于事故发生时总体指挥协调。</w:t>
      </w:r>
    </w:p>
    <w:p w14:paraId="097CC6B4">
      <w:pPr>
        <w:spacing w:line="500" w:lineRule="exact"/>
        <w:ind w:firstLine="560" w:firstLineChars="200"/>
        <w:jc w:val="left"/>
        <w:rPr>
          <w:rFonts w:ascii="Times New Roman" w:eastAsia="仿宋"/>
          <w:sz w:val="28"/>
          <w:szCs w:val="28"/>
        </w:rPr>
      </w:pPr>
      <w:r>
        <w:rPr>
          <w:rFonts w:hint="eastAsia" w:ascii="Times New Roman" w:eastAsia="仿宋"/>
          <w:sz w:val="28"/>
          <w:szCs w:val="28"/>
        </w:rPr>
        <w:t>（4）应急组织机构、职责及分工</w:t>
      </w:r>
    </w:p>
    <w:p w14:paraId="57426922">
      <w:pPr>
        <w:spacing w:line="500" w:lineRule="exact"/>
        <w:ind w:firstLine="560" w:firstLineChars="200"/>
        <w:jc w:val="left"/>
        <w:rPr>
          <w:rFonts w:ascii="Times New Roman" w:eastAsia="仿宋"/>
          <w:sz w:val="28"/>
          <w:szCs w:val="28"/>
        </w:rPr>
      </w:pPr>
      <w:r>
        <w:rPr>
          <w:rFonts w:hint="eastAsia" w:ascii="Times New Roman" w:eastAsia="仿宋"/>
          <w:sz w:val="28"/>
          <w:szCs w:val="28"/>
        </w:rPr>
        <w:t>应急组织机构包括工厂组织机构和上级组织机构（救援队伍）。</w:t>
      </w:r>
    </w:p>
    <w:p w14:paraId="1574CDED">
      <w:pPr>
        <w:spacing w:line="500" w:lineRule="exact"/>
        <w:ind w:firstLine="560" w:firstLineChars="200"/>
        <w:jc w:val="left"/>
        <w:rPr>
          <w:rFonts w:ascii="Times New Roman" w:eastAsia="仿宋"/>
          <w:sz w:val="28"/>
          <w:szCs w:val="28"/>
        </w:rPr>
      </w:pPr>
      <w:r>
        <w:rPr>
          <w:rFonts w:hint="eastAsia" w:ascii="Times New Roman" w:eastAsia="仿宋"/>
          <w:sz w:val="28"/>
          <w:szCs w:val="28"/>
        </w:rPr>
        <w:t>①工厂组织机构</w:t>
      </w:r>
    </w:p>
    <w:p w14:paraId="6B42D25A">
      <w:pPr>
        <w:spacing w:line="500" w:lineRule="exact"/>
        <w:ind w:firstLine="560" w:firstLineChars="200"/>
        <w:jc w:val="left"/>
        <w:rPr>
          <w:rFonts w:ascii="Times New Roman" w:eastAsia="仿宋"/>
          <w:sz w:val="28"/>
          <w:szCs w:val="28"/>
        </w:rPr>
      </w:pPr>
      <w:r>
        <w:rPr>
          <w:rFonts w:hint="eastAsia" w:ascii="Times New Roman" w:eastAsia="仿宋"/>
          <w:sz w:val="28"/>
          <w:szCs w:val="28"/>
        </w:rPr>
        <w:t>工厂成立事故应急救援“指挥领导小组”，由厂长、有关副厂长及生产、安全、设备、保卫、卫生、环保等部门领导组成，下设应急救援办公室（设在安全防火处），日常工作由安全防火处兼管。发生重大事故时，以指挥领导小组为基础，即事故应急救援指挥部，厂长任总指挥，有关副厂长任副总指挥，负责全厂应急救援工作的组织和指挥，指挥部设在生产调度室。若厂长和副厂长不在工厂时，由总调度长和安全防火处处长为临时总指挥和副总指挥，全权负责应急救援工作。</w:t>
      </w:r>
    </w:p>
    <w:p w14:paraId="59E36417">
      <w:pPr>
        <w:spacing w:line="500" w:lineRule="exact"/>
        <w:ind w:firstLine="560" w:firstLineChars="200"/>
        <w:jc w:val="left"/>
        <w:rPr>
          <w:rFonts w:ascii="Times New Roman" w:eastAsia="仿宋"/>
          <w:sz w:val="28"/>
          <w:szCs w:val="28"/>
        </w:rPr>
      </w:pPr>
      <w:r>
        <w:rPr>
          <w:rFonts w:hint="eastAsia" w:ascii="Times New Roman" w:eastAsia="仿宋"/>
          <w:sz w:val="28"/>
          <w:szCs w:val="28"/>
        </w:rPr>
        <w:t>②职责及分工</w:t>
      </w:r>
    </w:p>
    <w:p w14:paraId="0DFB8E89">
      <w:pPr>
        <w:spacing w:line="500" w:lineRule="exact"/>
        <w:ind w:firstLine="560" w:firstLineChars="200"/>
        <w:jc w:val="left"/>
        <w:rPr>
          <w:rFonts w:ascii="Times New Roman" w:eastAsia="仿宋"/>
          <w:sz w:val="28"/>
          <w:szCs w:val="28"/>
        </w:rPr>
      </w:pPr>
      <w:r>
        <w:rPr>
          <w:rFonts w:hint="eastAsia" w:ascii="Times New Roman" w:eastAsia="仿宋"/>
          <w:sz w:val="28"/>
          <w:szCs w:val="28"/>
        </w:rPr>
        <w:t>a.指挥机构职责</w:t>
      </w:r>
    </w:p>
    <w:p w14:paraId="3CFBC12F">
      <w:pPr>
        <w:spacing w:line="500" w:lineRule="exact"/>
        <w:ind w:firstLine="560" w:firstLineChars="200"/>
        <w:jc w:val="left"/>
        <w:rPr>
          <w:rFonts w:ascii="Times New Roman" w:eastAsia="仿宋"/>
          <w:sz w:val="28"/>
          <w:szCs w:val="28"/>
        </w:rPr>
      </w:pPr>
      <w:r>
        <w:rPr>
          <w:rFonts w:hint="eastAsia" w:ascii="Times New Roman" w:eastAsia="仿宋"/>
          <w:sz w:val="28"/>
          <w:szCs w:val="28"/>
        </w:rPr>
        <w:t>指挥领导小组：负责本单位“预案”的制定、修订；组建应急救援专业队伍，组织实施和演练；检查督促做好重大事故的预防措施和应急救援的各项准备工作。</w:t>
      </w:r>
    </w:p>
    <w:p w14:paraId="101ED503">
      <w:pPr>
        <w:spacing w:line="500" w:lineRule="exact"/>
        <w:ind w:firstLine="560" w:firstLineChars="200"/>
        <w:jc w:val="left"/>
        <w:rPr>
          <w:rFonts w:ascii="Times New Roman" w:eastAsia="仿宋"/>
          <w:sz w:val="28"/>
          <w:szCs w:val="28"/>
        </w:rPr>
      </w:pPr>
      <w:r>
        <w:rPr>
          <w:rFonts w:hint="eastAsia" w:ascii="Times New Roman" w:eastAsia="仿宋"/>
          <w:sz w:val="28"/>
          <w:szCs w:val="28"/>
        </w:rPr>
        <w:t>指挥部：发生重大事故时，由指挥部发布和解除应急救援命令、信号；组织指挥救援队伍实施救援行动；向上级汇报和向友邻单位通报事故情况，必要时向有关单位发出救援请求；组织事故调查，总结应急救援经验教训。</w:t>
      </w:r>
    </w:p>
    <w:p w14:paraId="396A72A3">
      <w:pPr>
        <w:spacing w:line="500" w:lineRule="exact"/>
        <w:ind w:firstLine="560" w:firstLineChars="200"/>
        <w:jc w:val="left"/>
        <w:rPr>
          <w:rFonts w:ascii="Times New Roman" w:eastAsia="仿宋"/>
          <w:sz w:val="28"/>
          <w:szCs w:val="28"/>
        </w:rPr>
      </w:pPr>
      <w:r>
        <w:rPr>
          <w:rFonts w:hint="eastAsia" w:ascii="Times New Roman" w:eastAsia="仿宋"/>
          <w:sz w:val="28"/>
          <w:szCs w:val="28"/>
        </w:rPr>
        <w:t>b.指挥部人员分工</w:t>
      </w:r>
    </w:p>
    <w:p w14:paraId="19C7C5AE">
      <w:pPr>
        <w:spacing w:line="500" w:lineRule="exact"/>
        <w:ind w:firstLine="560" w:firstLineChars="200"/>
        <w:jc w:val="left"/>
        <w:rPr>
          <w:rFonts w:ascii="Times New Roman" w:eastAsia="仿宋"/>
          <w:sz w:val="28"/>
          <w:szCs w:val="28"/>
        </w:rPr>
      </w:pPr>
      <w:r>
        <w:rPr>
          <w:rFonts w:hint="eastAsia" w:ascii="Times New Roman" w:eastAsia="仿宋"/>
          <w:sz w:val="28"/>
          <w:szCs w:val="28"/>
        </w:rPr>
        <w:t>依据事故危害程度的级别设置分级应急救援组织机构，以岗定人，由各部门领导组成，下设应急救援办公室、日常工作由生产部门兼管。发生重大事故时，以指挥领导小组为基础，立即成立事故应急救援指挥部，刘树廷（安全副总）任总指挥，蒋文勇（部长）任副总指挥，负责全厂应急救援工作的组织和指挥，总指挥不在企业时，可由副总指挥临时任总指挥。</w:t>
      </w:r>
    </w:p>
    <w:p w14:paraId="7A28B12D">
      <w:pPr>
        <w:spacing w:line="500" w:lineRule="exact"/>
        <w:ind w:firstLine="560" w:firstLineChars="200"/>
        <w:jc w:val="left"/>
        <w:rPr>
          <w:rFonts w:ascii="Times New Roman" w:eastAsia="仿宋"/>
          <w:sz w:val="28"/>
          <w:szCs w:val="28"/>
        </w:rPr>
      </w:pPr>
      <w:r>
        <w:rPr>
          <w:rFonts w:hint="eastAsia" w:ascii="Times New Roman" w:eastAsia="仿宋"/>
          <w:sz w:val="28"/>
          <w:szCs w:val="28"/>
        </w:rPr>
        <w:t>各主管单位在接到事故报警后，应迅速组织一个应急救援专业队伍，各救援队伍在做好自身防护的基础上，快速实施救援，控制事故发展，并将伤员救出危险区域和组织群众撤离、疏散，做好危险化学品的清除工作。应急救援队伍组成及主要职责见表6.6-3。</w:t>
      </w:r>
    </w:p>
    <w:p w14:paraId="55C4EF31">
      <w:pPr>
        <w:tabs>
          <w:tab w:val="left" w:pos="1665"/>
        </w:tabs>
        <w:adjustRightInd w:val="0"/>
        <w:snapToGrid w:val="0"/>
        <w:spacing w:line="500" w:lineRule="exact"/>
        <w:jc w:val="center"/>
        <w:rPr>
          <w:rFonts w:ascii="Times New Roman" w:eastAsia="仿宋"/>
          <w:b/>
          <w:lang w:val="zh-CN"/>
        </w:rPr>
      </w:pPr>
      <w:r>
        <w:rPr>
          <w:rFonts w:ascii="Times New Roman" w:eastAsia="仿宋"/>
          <w:b/>
          <w:lang w:val="zh-CN"/>
        </w:rPr>
        <w:t>表</w:t>
      </w:r>
      <w:r>
        <w:rPr>
          <w:rFonts w:hint="eastAsia" w:ascii="Times New Roman" w:eastAsia="仿宋"/>
          <w:b/>
        </w:rPr>
        <w:t>6</w:t>
      </w:r>
      <w:r>
        <w:rPr>
          <w:rFonts w:ascii="Times New Roman" w:eastAsia="仿宋"/>
          <w:b/>
          <w:lang w:val="zh-CN"/>
        </w:rPr>
        <w:t>.6-</w:t>
      </w:r>
      <w:r>
        <w:rPr>
          <w:rFonts w:hint="eastAsia" w:ascii="Times New Roman" w:eastAsia="仿宋"/>
          <w:b/>
        </w:rPr>
        <w:t>3</w:t>
      </w:r>
      <w:r>
        <w:rPr>
          <w:rFonts w:ascii="Times New Roman" w:eastAsia="仿宋"/>
          <w:b/>
          <w:lang w:val="zh-CN"/>
        </w:rPr>
        <w:t xml:space="preserve">  应急救援队伍组成及主要职责表</w:t>
      </w:r>
    </w:p>
    <w:tbl>
      <w:tblPr>
        <w:tblStyle w:val="8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7164"/>
      </w:tblGrid>
      <w:tr w14:paraId="734F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0E14C9FA">
            <w:pPr>
              <w:widowControl/>
              <w:adjustRightInd w:val="0"/>
              <w:snapToGrid w:val="0"/>
              <w:jc w:val="center"/>
              <w:rPr>
                <w:rFonts w:ascii="Times New Roman" w:eastAsia="仿宋"/>
                <w:szCs w:val="21"/>
                <w:lang w:val="zh-CN"/>
              </w:rPr>
            </w:pPr>
            <w:r>
              <w:rPr>
                <w:rFonts w:ascii="Times New Roman" w:eastAsia="仿宋"/>
                <w:szCs w:val="21"/>
                <w:lang w:val="zh-CN"/>
              </w:rPr>
              <w:t>序号</w:t>
            </w:r>
          </w:p>
        </w:tc>
        <w:tc>
          <w:tcPr>
            <w:tcW w:w="1560" w:type="dxa"/>
            <w:vAlign w:val="center"/>
          </w:tcPr>
          <w:p w14:paraId="53DCCB1E">
            <w:pPr>
              <w:widowControl/>
              <w:adjustRightInd w:val="0"/>
              <w:snapToGrid w:val="0"/>
              <w:jc w:val="center"/>
              <w:rPr>
                <w:rFonts w:ascii="Times New Roman" w:eastAsia="仿宋"/>
                <w:szCs w:val="21"/>
                <w:lang w:val="zh-CN"/>
              </w:rPr>
            </w:pPr>
            <w:r>
              <w:rPr>
                <w:rFonts w:ascii="Times New Roman" w:eastAsia="仿宋"/>
                <w:szCs w:val="21"/>
                <w:lang w:val="zh-CN"/>
              </w:rPr>
              <w:t>组成</w:t>
            </w:r>
          </w:p>
        </w:tc>
        <w:tc>
          <w:tcPr>
            <w:tcW w:w="7164" w:type="dxa"/>
            <w:vAlign w:val="center"/>
          </w:tcPr>
          <w:p w14:paraId="06169C31">
            <w:pPr>
              <w:widowControl/>
              <w:adjustRightInd w:val="0"/>
              <w:snapToGrid w:val="0"/>
              <w:jc w:val="center"/>
              <w:rPr>
                <w:rFonts w:ascii="Times New Roman" w:eastAsia="仿宋"/>
                <w:szCs w:val="21"/>
                <w:lang w:val="zh-CN"/>
              </w:rPr>
            </w:pPr>
            <w:r>
              <w:rPr>
                <w:rFonts w:ascii="Times New Roman" w:eastAsia="仿宋"/>
                <w:szCs w:val="21"/>
                <w:lang w:val="zh-CN"/>
              </w:rPr>
              <w:t>主要职责</w:t>
            </w:r>
          </w:p>
        </w:tc>
      </w:tr>
      <w:tr w14:paraId="3845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03DDCC27">
            <w:pPr>
              <w:widowControl/>
              <w:adjustRightInd w:val="0"/>
              <w:snapToGrid w:val="0"/>
              <w:jc w:val="center"/>
              <w:rPr>
                <w:rFonts w:ascii="Times New Roman" w:eastAsia="仿宋"/>
                <w:szCs w:val="21"/>
                <w:lang w:val="zh-CN"/>
              </w:rPr>
            </w:pPr>
            <w:r>
              <w:rPr>
                <w:rFonts w:ascii="Times New Roman" w:eastAsia="仿宋"/>
                <w:szCs w:val="21"/>
                <w:lang w:val="zh-CN"/>
              </w:rPr>
              <w:t>1</w:t>
            </w:r>
          </w:p>
        </w:tc>
        <w:tc>
          <w:tcPr>
            <w:tcW w:w="1560" w:type="dxa"/>
            <w:vAlign w:val="center"/>
          </w:tcPr>
          <w:p w14:paraId="223AECCB">
            <w:pPr>
              <w:widowControl/>
              <w:adjustRightInd w:val="0"/>
              <w:snapToGrid w:val="0"/>
              <w:jc w:val="center"/>
              <w:rPr>
                <w:rFonts w:ascii="Times New Roman" w:eastAsia="仿宋"/>
                <w:szCs w:val="21"/>
                <w:lang w:val="zh-CN"/>
              </w:rPr>
            </w:pPr>
            <w:r>
              <w:rPr>
                <w:rFonts w:ascii="Times New Roman" w:eastAsia="仿宋"/>
                <w:szCs w:val="21"/>
                <w:lang w:val="zh-CN"/>
              </w:rPr>
              <w:t>抢险抢救组</w:t>
            </w:r>
          </w:p>
        </w:tc>
        <w:tc>
          <w:tcPr>
            <w:tcW w:w="7164" w:type="dxa"/>
            <w:vAlign w:val="center"/>
          </w:tcPr>
          <w:p w14:paraId="791C2A57">
            <w:pPr>
              <w:widowControl/>
              <w:adjustRightInd w:val="0"/>
              <w:snapToGrid w:val="0"/>
              <w:jc w:val="center"/>
              <w:rPr>
                <w:rFonts w:ascii="Times New Roman" w:eastAsia="仿宋"/>
                <w:szCs w:val="21"/>
                <w:lang w:val="zh-CN"/>
              </w:rPr>
            </w:pPr>
            <w:r>
              <w:rPr>
                <w:rFonts w:hint="eastAsia" w:ascii="Times New Roman" w:eastAsia="仿宋"/>
                <w:szCs w:val="21"/>
                <w:lang w:val="zh-CN"/>
              </w:rPr>
              <w:t>①</w:t>
            </w:r>
            <w:r>
              <w:rPr>
                <w:rFonts w:ascii="Times New Roman" w:eastAsia="仿宋"/>
                <w:szCs w:val="21"/>
                <w:lang w:val="zh-CN"/>
              </w:rPr>
              <w:t>负责紧急状态下的现场抢救作业；</w:t>
            </w:r>
          </w:p>
          <w:p w14:paraId="331E3B0E">
            <w:pPr>
              <w:widowControl/>
              <w:adjustRightInd w:val="0"/>
              <w:snapToGrid w:val="0"/>
              <w:jc w:val="center"/>
              <w:rPr>
                <w:rFonts w:ascii="Times New Roman" w:eastAsia="仿宋"/>
                <w:szCs w:val="21"/>
                <w:lang w:val="zh-CN"/>
              </w:rPr>
            </w:pPr>
            <w:r>
              <w:rPr>
                <w:rFonts w:hint="eastAsia" w:ascii="Times New Roman" w:eastAsia="仿宋"/>
                <w:szCs w:val="21"/>
                <w:lang w:val="zh-CN"/>
              </w:rPr>
              <w:t>②</w:t>
            </w:r>
            <w:r>
              <w:rPr>
                <w:rFonts w:ascii="Times New Roman" w:eastAsia="仿宋"/>
                <w:szCs w:val="21"/>
                <w:lang w:val="zh-CN"/>
              </w:rPr>
              <w:t>泄漏控制、泄漏物处理；</w:t>
            </w:r>
          </w:p>
          <w:p w14:paraId="44AD38C7">
            <w:pPr>
              <w:widowControl/>
              <w:adjustRightInd w:val="0"/>
              <w:snapToGrid w:val="0"/>
              <w:jc w:val="center"/>
              <w:rPr>
                <w:rFonts w:ascii="Times New Roman" w:eastAsia="仿宋"/>
                <w:szCs w:val="21"/>
                <w:lang w:val="zh-CN"/>
              </w:rPr>
            </w:pPr>
            <w:r>
              <w:rPr>
                <w:rFonts w:hint="eastAsia" w:ascii="Times New Roman" w:eastAsia="仿宋"/>
                <w:szCs w:val="21"/>
                <w:lang w:val="zh-CN"/>
              </w:rPr>
              <w:t>③</w:t>
            </w:r>
            <w:r>
              <w:rPr>
                <w:rFonts w:ascii="Times New Roman" w:eastAsia="仿宋"/>
                <w:szCs w:val="21"/>
                <w:lang w:val="zh-CN"/>
              </w:rPr>
              <w:t>设备抢修作业；</w:t>
            </w:r>
          </w:p>
          <w:p w14:paraId="25B4DDF0">
            <w:pPr>
              <w:widowControl/>
              <w:adjustRightInd w:val="0"/>
              <w:snapToGrid w:val="0"/>
              <w:jc w:val="center"/>
              <w:rPr>
                <w:rFonts w:ascii="Times New Roman" w:eastAsia="仿宋"/>
                <w:szCs w:val="21"/>
                <w:lang w:val="zh-CN"/>
              </w:rPr>
            </w:pPr>
            <w:r>
              <w:rPr>
                <w:rFonts w:hint="eastAsia" w:ascii="Times New Roman" w:eastAsia="仿宋"/>
                <w:szCs w:val="21"/>
                <w:lang w:val="zh-CN"/>
              </w:rPr>
              <w:t>④</w:t>
            </w:r>
            <w:r>
              <w:rPr>
                <w:rFonts w:ascii="Times New Roman" w:eastAsia="仿宋"/>
                <w:szCs w:val="21"/>
                <w:lang w:val="zh-CN"/>
              </w:rPr>
              <w:t>恢复生产的检修作业。</w:t>
            </w:r>
          </w:p>
        </w:tc>
      </w:tr>
      <w:tr w14:paraId="5320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6E7BEC58">
            <w:pPr>
              <w:widowControl/>
              <w:adjustRightInd w:val="0"/>
              <w:snapToGrid w:val="0"/>
              <w:jc w:val="center"/>
              <w:rPr>
                <w:rFonts w:ascii="Times New Roman" w:eastAsia="仿宋"/>
                <w:szCs w:val="21"/>
                <w:lang w:val="zh-CN"/>
              </w:rPr>
            </w:pPr>
            <w:r>
              <w:rPr>
                <w:rFonts w:ascii="Times New Roman" w:eastAsia="仿宋"/>
                <w:szCs w:val="21"/>
                <w:lang w:val="zh-CN"/>
              </w:rPr>
              <w:t>2</w:t>
            </w:r>
          </w:p>
        </w:tc>
        <w:tc>
          <w:tcPr>
            <w:tcW w:w="1560" w:type="dxa"/>
            <w:vAlign w:val="center"/>
          </w:tcPr>
          <w:p w14:paraId="57FFEF86">
            <w:pPr>
              <w:widowControl/>
              <w:adjustRightInd w:val="0"/>
              <w:snapToGrid w:val="0"/>
              <w:jc w:val="center"/>
              <w:rPr>
                <w:rFonts w:ascii="Times New Roman" w:eastAsia="仿宋"/>
                <w:szCs w:val="21"/>
                <w:lang w:val="zh-CN"/>
              </w:rPr>
            </w:pPr>
            <w:r>
              <w:rPr>
                <w:rFonts w:hint="eastAsia" w:ascii="Times New Roman" w:eastAsia="仿宋"/>
                <w:szCs w:val="21"/>
                <w:lang w:val="zh-CN"/>
              </w:rPr>
              <w:t>疏散</w:t>
            </w:r>
            <w:r>
              <w:rPr>
                <w:rFonts w:ascii="Times New Roman" w:eastAsia="仿宋"/>
                <w:szCs w:val="21"/>
                <w:lang w:val="zh-CN"/>
              </w:rPr>
              <w:t>警戒组</w:t>
            </w:r>
          </w:p>
        </w:tc>
        <w:tc>
          <w:tcPr>
            <w:tcW w:w="7164" w:type="dxa"/>
            <w:vAlign w:val="center"/>
          </w:tcPr>
          <w:p w14:paraId="29D52D0B">
            <w:pPr>
              <w:widowControl/>
              <w:adjustRightInd w:val="0"/>
              <w:snapToGrid w:val="0"/>
              <w:jc w:val="center"/>
              <w:rPr>
                <w:rFonts w:ascii="Times New Roman" w:eastAsia="仿宋"/>
                <w:szCs w:val="21"/>
                <w:lang w:val="zh-CN"/>
              </w:rPr>
            </w:pPr>
            <w:r>
              <w:rPr>
                <w:rFonts w:hint="eastAsia" w:ascii="Times New Roman" w:eastAsia="仿宋"/>
                <w:szCs w:val="21"/>
                <w:lang w:val="zh-CN"/>
              </w:rPr>
              <w:t>①</w:t>
            </w:r>
            <w:r>
              <w:rPr>
                <w:rFonts w:ascii="Times New Roman" w:eastAsia="仿宋"/>
                <w:szCs w:val="21"/>
                <w:lang w:val="zh-CN"/>
              </w:rPr>
              <w:t>布置安全警戒，保证现场井然有序；</w:t>
            </w:r>
          </w:p>
          <w:p w14:paraId="65C11871">
            <w:pPr>
              <w:widowControl/>
              <w:adjustRightInd w:val="0"/>
              <w:snapToGrid w:val="0"/>
              <w:jc w:val="center"/>
              <w:rPr>
                <w:rFonts w:ascii="Times New Roman" w:eastAsia="仿宋"/>
                <w:szCs w:val="21"/>
                <w:lang w:val="zh-CN"/>
              </w:rPr>
            </w:pPr>
            <w:r>
              <w:rPr>
                <w:rFonts w:hint="eastAsia" w:ascii="Times New Roman" w:eastAsia="仿宋"/>
                <w:szCs w:val="21"/>
                <w:lang w:val="zh-CN"/>
              </w:rPr>
              <w:t>②</w:t>
            </w:r>
            <w:r>
              <w:rPr>
                <w:rFonts w:ascii="Times New Roman" w:eastAsia="仿宋"/>
                <w:szCs w:val="21"/>
                <w:lang w:val="zh-CN"/>
              </w:rPr>
              <w:t>实行交通管制，保证现场及厂区道路通畅；</w:t>
            </w:r>
          </w:p>
          <w:p w14:paraId="578148F0">
            <w:pPr>
              <w:widowControl/>
              <w:adjustRightInd w:val="0"/>
              <w:snapToGrid w:val="0"/>
              <w:jc w:val="center"/>
              <w:rPr>
                <w:rFonts w:ascii="Times New Roman" w:eastAsia="仿宋"/>
                <w:szCs w:val="21"/>
                <w:lang w:val="zh-CN"/>
              </w:rPr>
            </w:pPr>
            <w:r>
              <w:rPr>
                <w:rFonts w:hint="eastAsia" w:ascii="Times New Roman" w:eastAsia="仿宋"/>
                <w:szCs w:val="21"/>
                <w:lang w:val="zh-CN"/>
              </w:rPr>
              <w:t>③</w:t>
            </w:r>
            <w:r>
              <w:rPr>
                <w:rFonts w:ascii="Times New Roman" w:eastAsia="仿宋"/>
                <w:szCs w:val="21"/>
                <w:lang w:val="zh-CN"/>
              </w:rPr>
              <w:t>加强保卫工作，禁止无关人员、车辆通行。</w:t>
            </w:r>
          </w:p>
        </w:tc>
      </w:tr>
      <w:tr w14:paraId="2C27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23510329">
            <w:pPr>
              <w:widowControl/>
              <w:adjustRightInd w:val="0"/>
              <w:snapToGrid w:val="0"/>
              <w:jc w:val="center"/>
              <w:rPr>
                <w:rFonts w:ascii="Times New Roman" w:eastAsia="仿宋"/>
                <w:szCs w:val="21"/>
                <w:lang w:val="zh-CN"/>
              </w:rPr>
            </w:pPr>
            <w:r>
              <w:rPr>
                <w:rFonts w:ascii="Times New Roman" w:eastAsia="仿宋"/>
                <w:szCs w:val="21"/>
                <w:lang w:val="zh-CN"/>
              </w:rPr>
              <w:t>3</w:t>
            </w:r>
          </w:p>
        </w:tc>
        <w:tc>
          <w:tcPr>
            <w:tcW w:w="1560" w:type="dxa"/>
            <w:vAlign w:val="center"/>
          </w:tcPr>
          <w:p w14:paraId="6687546C">
            <w:pPr>
              <w:widowControl/>
              <w:adjustRightInd w:val="0"/>
              <w:snapToGrid w:val="0"/>
              <w:jc w:val="center"/>
              <w:rPr>
                <w:rFonts w:ascii="Times New Roman" w:eastAsia="仿宋"/>
                <w:szCs w:val="21"/>
                <w:lang w:val="zh-CN"/>
              </w:rPr>
            </w:pPr>
            <w:r>
              <w:rPr>
                <w:rFonts w:hint="eastAsia" w:ascii="Times New Roman" w:eastAsia="仿宋"/>
                <w:szCs w:val="21"/>
                <w:lang w:val="zh-CN"/>
              </w:rPr>
              <w:t>通信联络</w:t>
            </w:r>
            <w:r>
              <w:rPr>
                <w:rFonts w:ascii="Times New Roman" w:eastAsia="仿宋"/>
                <w:szCs w:val="21"/>
                <w:lang w:val="zh-CN"/>
              </w:rPr>
              <w:t>组</w:t>
            </w:r>
          </w:p>
        </w:tc>
        <w:tc>
          <w:tcPr>
            <w:tcW w:w="7164" w:type="dxa"/>
            <w:vAlign w:val="center"/>
          </w:tcPr>
          <w:p w14:paraId="04E11BC1">
            <w:pPr>
              <w:widowControl/>
              <w:adjustRightInd w:val="0"/>
              <w:snapToGrid w:val="0"/>
              <w:jc w:val="center"/>
              <w:rPr>
                <w:rFonts w:ascii="Times New Roman" w:eastAsia="仿宋"/>
                <w:szCs w:val="21"/>
                <w:lang w:val="zh-CN"/>
              </w:rPr>
            </w:pPr>
            <w:r>
              <w:rPr>
                <w:rFonts w:ascii="Times New Roman" w:eastAsia="仿宋"/>
                <w:szCs w:val="21"/>
                <w:lang w:val="zh-CN"/>
              </w:rPr>
              <w:t>负责现场周围人员和器材物资的抢救、疏散工作</w:t>
            </w:r>
          </w:p>
        </w:tc>
      </w:tr>
      <w:tr w14:paraId="4510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38EC369A">
            <w:pPr>
              <w:widowControl/>
              <w:adjustRightInd w:val="0"/>
              <w:snapToGrid w:val="0"/>
              <w:jc w:val="center"/>
              <w:rPr>
                <w:rFonts w:ascii="Times New Roman" w:eastAsia="仿宋"/>
                <w:szCs w:val="21"/>
                <w:lang w:val="zh-CN"/>
              </w:rPr>
            </w:pPr>
            <w:r>
              <w:rPr>
                <w:rFonts w:ascii="Times New Roman" w:eastAsia="仿宋"/>
                <w:szCs w:val="21"/>
                <w:lang w:val="zh-CN"/>
              </w:rPr>
              <w:t>4</w:t>
            </w:r>
          </w:p>
        </w:tc>
        <w:tc>
          <w:tcPr>
            <w:tcW w:w="1560" w:type="dxa"/>
            <w:vAlign w:val="center"/>
          </w:tcPr>
          <w:p w14:paraId="5BFF4826">
            <w:pPr>
              <w:widowControl/>
              <w:adjustRightInd w:val="0"/>
              <w:snapToGrid w:val="0"/>
              <w:jc w:val="center"/>
              <w:rPr>
                <w:rFonts w:ascii="Times New Roman" w:eastAsia="仿宋"/>
                <w:szCs w:val="21"/>
                <w:lang w:val="zh-CN"/>
              </w:rPr>
            </w:pPr>
            <w:r>
              <w:rPr>
                <w:rFonts w:hint="eastAsia" w:ascii="Times New Roman" w:eastAsia="仿宋"/>
                <w:szCs w:val="21"/>
                <w:lang w:val="zh-CN"/>
              </w:rPr>
              <w:t>救护安置</w:t>
            </w:r>
            <w:r>
              <w:rPr>
                <w:rFonts w:ascii="Times New Roman" w:eastAsia="仿宋"/>
                <w:szCs w:val="21"/>
                <w:lang w:val="zh-CN"/>
              </w:rPr>
              <w:t>组</w:t>
            </w:r>
          </w:p>
        </w:tc>
        <w:tc>
          <w:tcPr>
            <w:tcW w:w="7164" w:type="dxa"/>
            <w:vAlign w:val="center"/>
          </w:tcPr>
          <w:p w14:paraId="504F5846">
            <w:pPr>
              <w:widowControl/>
              <w:adjustRightInd w:val="0"/>
              <w:snapToGrid w:val="0"/>
              <w:jc w:val="center"/>
              <w:rPr>
                <w:rFonts w:ascii="Times New Roman" w:eastAsia="仿宋"/>
                <w:szCs w:val="21"/>
                <w:lang w:val="zh-CN"/>
              </w:rPr>
            </w:pPr>
            <w:r>
              <w:rPr>
                <w:rFonts w:hint="eastAsia" w:ascii="Times New Roman" w:eastAsia="仿宋"/>
                <w:szCs w:val="21"/>
                <w:lang w:val="zh-CN"/>
              </w:rPr>
              <w:t>①</w:t>
            </w:r>
            <w:r>
              <w:rPr>
                <w:rFonts w:ascii="Times New Roman" w:eastAsia="仿宋"/>
                <w:szCs w:val="21"/>
                <w:lang w:val="zh-CN"/>
              </w:rPr>
              <w:t>组织救护车辆及医务人员、器材进入指定地点；</w:t>
            </w:r>
          </w:p>
          <w:p w14:paraId="682035AE">
            <w:pPr>
              <w:widowControl/>
              <w:adjustRightInd w:val="0"/>
              <w:snapToGrid w:val="0"/>
              <w:jc w:val="center"/>
              <w:rPr>
                <w:rFonts w:ascii="Times New Roman" w:eastAsia="仿宋"/>
                <w:szCs w:val="21"/>
                <w:lang w:val="zh-CN"/>
              </w:rPr>
            </w:pPr>
            <w:r>
              <w:rPr>
                <w:rFonts w:hint="eastAsia" w:ascii="Times New Roman" w:eastAsia="仿宋"/>
                <w:szCs w:val="21"/>
                <w:lang w:val="zh-CN"/>
              </w:rPr>
              <w:t>②</w:t>
            </w:r>
            <w:r>
              <w:rPr>
                <w:rFonts w:ascii="Times New Roman" w:eastAsia="仿宋"/>
                <w:szCs w:val="21"/>
                <w:lang w:val="zh-CN"/>
              </w:rPr>
              <w:t>组织现场抢救伤员；</w:t>
            </w:r>
          </w:p>
          <w:p w14:paraId="2C1CC3E1">
            <w:pPr>
              <w:widowControl/>
              <w:adjustRightInd w:val="0"/>
              <w:snapToGrid w:val="0"/>
              <w:jc w:val="center"/>
              <w:rPr>
                <w:rFonts w:ascii="Times New Roman" w:eastAsia="仿宋"/>
                <w:szCs w:val="21"/>
                <w:lang w:val="zh-CN"/>
              </w:rPr>
            </w:pPr>
            <w:r>
              <w:rPr>
                <w:rFonts w:hint="eastAsia" w:ascii="Times New Roman" w:eastAsia="仿宋"/>
                <w:szCs w:val="21"/>
                <w:lang w:val="zh-CN"/>
              </w:rPr>
              <w:t>③</w:t>
            </w:r>
            <w:r>
              <w:rPr>
                <w:rFonts w:ascii="Times New Roman" w:eastAsia="仿宋"/>
                <w:szCs w:val="21"/>
                <w:lang w:val="zh-CN"/>
              </w:rPr>
              <w:t>进行防化防毒处理。</w:t>
            </w:r>
          </w:p>
        </w:tc>
      </w:tr>
      <w:tr w14:paraId="501C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Align w:val="center"/>
          </w:tcPr>
          <w:p w14:paraId="5711F53B">
            <w:pPr>
              <w:widowControl/>
              <w:adjustRightInd w:val="0"/>
              <w:snapToGrid w:val="0"/>
              <w:jc w:val="center"/>
              <w:rPr>
                <w:rFonts w:ascii="Times New Roman" w:eastAsia="仿宋"/>
                <w:szCs w:val="21"/>
                <w:lang w:val="zh-CN"/>
              </w:rPr>
            </w:pPr>
            <w:r>
              <w:rPr>
                <w:rFonts w:ascii="Times New Roman" w:eastAsia="仿宋"/>
                <w:szCs w:val="21"/>
                <w:lang w:val="zh-CN"/>
              </w:rPr>
              <w:t>5</w:t>
            </w:r>
          </w:p>
        </w:tc>
        <w:tc>
          <w:tcPr>
            <w:tcW w:w="1560" w:type="dxa"/>
            <w:vAlign w:val="center"/>
          </w:tcPr>
          <w:p w14:paraId="48833D82">
            <w:pPr>
              <w:widowControl/>
              <w:adjustRightInd w:val="0"/>
              <w:snapToGrid w:val="0"/>
              <w:jc w:val="center"/>
              <w:rPr>
                <w:rFonts w:ascii="Times New Roman" w:eastAsia="仿宋"/>
                <w:szCs w:val="21"/>
                <w:lang w:val="zh-CN"/>
              </w:rPr>
            </w:pPr>
            <w:r>
              <w:rPr>
                <w:rFonts w:hint="eastAsia" w:ascii="Times New Roman" w:eastAsia="仿宋"/>
                <w:szCs w:val="21"/>
                <w:lang w:val="zh-CN"/>
              </w:rPr>
              <w:t>后勤保障</w:t>
            </w:r>
            <w:r>
              <w:rPr>
                <w:rFonts w:ascii="Times New Roman" w:eastAsia="仿宋"/>
                <w:szCs w:val="21"/>
                <w:lang w:val="zh-CN"/>
              </w:rPr>
              <w:t>组</w:t>
            </w:r>
          </w:p>
        </w:tc>
        <w:tc>
          <w:tcPr>
            <w:tcW w:w="7164" w:type="dxa"/>
            <w:vAlign w:val="center"/>
          </w:tcPr>
          <w:p w14:paraId="1B1DACF5">
            <w:pPr>
              <w:widowControl/>
              <w:adjustRightInd w:val="0"/>
              <w:snapToGrid w:val="0"/>
              <w:jc w:val="center"/>
              <w:rPr>
                <w:rFonts w:ascii="Times New Roman" w:eastAsia="仿宋"/>
                <w:szCs w:val="21"/>
                <w:lang w:val="zh-CN"/>
              </w:rPr>
            </w:pPr>
            <w:r>
              <w:rPr>
                <w:rFonts w:hint="eastAsia" w:ascii="Times New Roman" w:eastAsia="仿宋"/>
                <w:szCs w:val="21"/>
                <w:lang w:val="zh-CN"/>
              </w:rPr>
              <w:t>①</w:t>
            </w:r>
            <w:r>
              <w:rPr>
                <w:rFonts w:ascii="Times New Roman" w:eastAsia="仿宋"/>
                <w:szCs w:val="21"/>
                <w:lang w:val="zh-CN"/>
              </w:rPr>
              <w:t>通知有关库房准备好沙袋、锨镐、泡沫、水泥等消防物资及劳保用品；</w:t>
            </w:r>
          </w:p>
          <w:p w14:paraId="0A891BB6">
            <w:pPr>
              <w:widowControl/>
              <w:adjustRightInd w:val="0"/>
              <w:snapToGrid w:val="0"/>
              <w:jc w:val="center"/>
              <w:rPr>
                <w:rFonts w:ascii="Times New Roman" w:eastAsia="仿宋"/>
                <w:szCs w:val="21"/>
                <w:lang w:val="zh-CN"/>
              </w:rPr>
            </w:pPr>
            <w:r>
              <w:rPr>
                <w:rFonts w:hint="eastAsia" w:ascii="Times New Roman" w:eastAsia="仿宋"/>
                <w:szCs w:val="21"/>
                <w:lang w:val="zh-CN"/>
              </w:rPr>
              <w:t>②</w:t>
            </w:r>
            <w:r>
              <w:rPr>
                <w:rFonts w:ascii="Times New Roman" w:eastAsia="仿宋"/>
                <w:szCs w:val="21"/>
                <w:lang w:val="zh-CN"/>
              </w:rPr>
              <w:t>备好车辆，将所需物资供应到现场。</w:t>
            </w:r>
          </w:p>
        </w:tc>
      </w:tr>
    </w:tbl>
    <w:p w14:paraId="7AD6D8B7">
      <w:pPr>
        <w:spacing w:line="500" w:lineRule="exact"/>
        <w:ind w:firstLine="560" w:firstLineChars="200"/>
        <w:jc w:val="left"/>
        <w:rPr>
          <w:rFonts w:ascii="Times New Roman" w:eastAsia="仿宋"/>
          <w:sz w:val="28"/>
          <w:szCs w:val="28"/>
        </w:rPr>
      </w:pPr>
      <w:r>
        <w:rPr>
          <w:rFonts w:hint="eastAsia" w:ascii="Times New Roman" w:eastAsia="仿宋"/>
          <w:sz w:val="28"/>
          <w:szCs w:val="28"/>
        </w:rPr>
        <w:t>（5）预案分级响应条件</w:t>
      </w:r>
    </w:p>
    <w:p w14:paraId="732F08E4">
      <w:pPr>
        <w:spacing w:line="500" w:lineRule="exact"/>
        <w:ind w:firstLine="560" w:firstLineChars="200"/>
        <w:jc w:val="left"/>
        <w:rPr>
          <w:rFonts w:ascii="Times New Roman" w:eastAsia="仿宋"/>
          <w:sz w:val="28"/>
          <w:szCs w:val="28"/>
        </w:rPr>
      </w:pPr>
      <w:r>
        <w:rPr>
          <w:rFonts w:hint="eastAsia" w:ascii="Times New Roman" w:eastAsia="仿宋"/>
          <w:sz w:val="28"/>
          <w:szCs w:val="28"/>
        </w:rPr>
        <w:t>当事故发生后，为了迅速、准确做好事故等级预报，减少伤害和损失，首先应确定应急状态类别及报警响应程序。当事故发生后，车间领导小组在积极组织人员进行事故应急处理同时，应立即上报上级指挥中心。由指挥中心根据事故等级确定报警范围。</w:t>
      </w:r>
    </w:p>
    <w:p w14:paraId="1E5E1619">
      <w:pPr>
        <w:spacing w:line="500" w:lineRule="exact"/>
        <w:ind w:firstLine="560" w:firstLineChars="200"/>
        <w:jc w:val="left"/>
        <w:rPr>
          <w:rFonts w:ascii="Times New Roman" w:eastAsia="仿宋"/>
          <w:sz w:val="28"/>
          <w:szCs w:val="28"/>
        </w:rPr>
      </w:pPr>
      <w:r>
        <w:rPr>
          <w:rFonts w:hint="eastAsia" w:ascii="Times New Roman" w:eastAsia="仿宋"/>
          <w:sz w:val="28"/>
          <w:szCs w:val="28"/>
        </w:rPr>
        <w:t>根据事故险情等级可采用三级警报，警报级别视事故伤害影响波及范围而定。</w:t>
      </w:r>
    </w:p>
    <w:p w14:paraId="64D70537">
      <w:pPr>
        <w:spacing w:line="500" w:lineRule="exact"/>
        <w:ind w:firstLine="560" w:firstLineChars="200"/>
        <w:jc w:val="left"/>
        <w:rPr>
          <w:rFonts w:ascii="Times New Roman" w:eastAsia="仿宋"/>
          <w:sz w:val="28"/>
          <w:szCs w:val="28"/>
        </w:rPr>
      </w:pPr>
      <w:r>
        <w:rPr>
          <w:rFonts w:hint="eastAsia" w:ascii="Times New Roman" w:eastAsia="仿宋"/>
          <w:sz w:val="28"/>
          <w:szCs w:val="28"/>
        </w:rPr>
        <w:t>一级报警——如果存放有毒物料容器发生少量的泄漏，且影响扩散范围只限于厂区内，通过抢修或系统临时紧急措施就能很快控制住事故发展及蔓延。</w:t>
      </w:r>
    </w:p>
    <w:p w14:paraId="249E1161">
      <w:pPr>
        <w:spacing w:line="500" w:lineRule="exact"/>
        <w:ind w:firstLine="560" w:firstLineChars="200"/>
        <w:jc w:val="left"/>
        <w:rPr>
          <w:rFonts w:ascii="Times New Roman" w:eastAsia="仿宋"/>
          <w:sz w:val="28"/>
          <w:szCs w:val="28"/>
        </w:rPr>
      </w:pPr>
      <w:r>
        <w:rPr>
          <w:rFonts w:hint="eastAsia" w:ascii="Times New Roman" w:eastAsia="仿宋"/>
          <w:sz w:val="28"/>
          <w:szCs w:val="28"/>
        </w:rPr>
        <w:t>报警范围：主要由车间领导小组负责处理，但首先应向厂级指挥中心汇报。在积极组织抢修的同时，应根据风向，对厂区范围内主要受影响部门及时联系，做好预防措施，并派专人到受影响区域进行观察和组织疏导临时撤离。</w:t>
      </w:r>
    </w:p>
    <w:p w14:paraId="0547EA50">
      <w:pPr>
        <w:spacing w:line="500" w:lineRule="exact"/>
        <w:ind w:firstLine="560" w:firstLineChars="200"/>
        <w:jc w:val="left"/>
        <w:rPr>
          <w:rFonts w:ascii="Times New Roman" w:eastAsia="仿宋"/>
          <w:sz w:val="28"/>
          <w:szCs w:val="28"/>
        </w:rPr>
      </w:pPr>
      <w:r>
        <w:rPr>
          <w:rFonts w:hint="eastAsia" w:ascii="Times New Roman" w:eastAsia="仿宋"/>
          <w:sz w:val="28"/>
          <w:szCs w:val="28"/>
        </w:rPr>
        <w:t>二级报警——当物料容器局部泄漏，且抢修无效，短时间内不能制止时，并根据泄漏点大小预测，仅对厂内及厂界外下风向距离500m内范围产生危害影响，此时可发出二级报警。</w:t>
      </w:r>
    </w:p>
    <w:p w14:paraId="2404C950">
      <w:pPr>
        <w:spacing w:line="500" w:lineRule="exact"/>
        <w:ind w:firstLine="560" w:firstLineChars="200"/>
        <w:jc w:val="left"/>
        <w:rPr>
          <w:rFonts w:ascii="Times New Roman" w:eastAsia="仿宋"/>
          <w:sz w:val="28"/>
          <w:szCs w:val="28"/>
        </w:rPr>
      </w:pPr>
      <w:r>
        <w:rPr>
          <w:rFonts w:hint="eastAsia" w:ascii="Times New Roman" w:eastAsia="仿宋"/>
          <w:sz w:val="28"/>
          <w:szCs w:val="28"/>
        </w:rPr>
        <w:t>报警功能范围：由厂级指挥中心全面指挥，及时通知园区有关部门，迅速通知厂外临近的企业单位，并派出专人深入现场指挥，组织疏散、撤离和防救工作。若发生了人员中毒事故后，指挥中心应该立即与上级主管部门和地方政府联络，请求批示和援助。</w:t>
      </w:r>
    </w:p>
    <w:p w14:paraId="72F45461">
      <w:pPr>
        <w:spacing w:line="500" w:lineRule="exact"/>
        <w:ind w:firstLine="560" w:firstLineChars="200"/>
        <w:jc w:val="left"/>
        <w:rPr>
          <w:rFonts w:ascii="Times New Roman" w:eastAsia="仿宋"/>
          <w:sz w:val="28"/>
          <w:szCs w:val="28"/>
        </w:rPr>
      </w:pPr>
      <w:r>
        <w:rPr>
          <w:rFonts w:hint="eastAsia" w:ascii="Times New Roman" w:eastAsia="仿宋"/>
          <w:sz w:val="28"/>
          <w:szCs w:val="28"/>
        </w:rPr>
        <w:t>三级报警——当物料容器泄漏量比较大，对周围环境影响纵深较广（大于500m半径范围）。</w:t>
      </w:r>
    </w:p>
    <w:p w14:paraId="3E99F60F">
      <w:pPr>
        <w:spacing w:line="500" w:lineRule="exact"/>
        <w:ind w:firstLine="560" w:firstLineChars="200"/>
        <w:jc w:val="left"/>
        <w:rPr>
          <w:rFonts w:ascii="Times New Roman" w:eastAsia="仿宋"/>
          <w:sz w:val="28"/>
          <w:szCs w:val="28"/>
        </w:rPr>
      </w:pPr>
      <w:r>
        <w:rPr>
          <w:rFonts w:hint="eastAsia" w:ascii="Times New Roman" w:eastAsia="仿宋"/>
          <w:sz w:val="28"/>
          <w:szCs w:val="28"/>
        </w:rPr>
        <w:t>报警范围及方式：全面报警，指挥中心发出紧急动员令，协调一切人员和器材、设备、药品等急救物资，积极有效地投入抢修抢救工作，首先保证最大限度地减少人员伤亡。并迅速向园区以至市政府有关部门报告，迅速向周边地区各单位发出警报，向各级主管部门直接请求支援。</w:t>
      </w:r>
    </w:p>
    <w:p w14:paraId="524C226A">
      <w:pPr>
        <w:spacing w:line="500" w:lineRule="exact"/>
        <w:ind w:firstLine="560" w:firstLineChars="200"/>
        <w:jc w:val="left"/>
        <w:rPr>
          <w:rFonts w:ascii="Times New Roman" w:eastAsia="仿宋"/>
          <w:sz w:val="28"/>
          <w:szCs w:val="28"/>
        </w:rPr>
      </w:pPr>
      <w:r>
        <w:rPr>
          <w:rFonts w:hint="eastAsia" w:ascii="Times New Roman" w:eastAsia="仿宋"/>
          <w:sz w:val="28"/>
          <w:szCs w:val="28"/>
        </w:rPr>
        <w:t>（6）应急救援保障</w:t>
      </w:r>
    </w:p>
    <w:p w14:paraId="2ADBB9A6">
      <w:pPr>
        <w:spacing w:line="500" w:lineRule="exact"/>
        <w:ind w:firstLine="560" w:firstLineChars="200"/>
        <w:jc w:val="left"/>
        <w:rPr>
          <w:rFonts w:ascii="Times New Roman" w:eastAsia="仿宋"/>
          <w:sz w:val="28"/>
          <w:szCs w:val="28"/>
        </w:rPr>
      </w:pPr>
      <w:r>
        <w:rPr>
          <w:rFonts w:hint="eastAsia" w:ascii="Times New Roman" w:eastAsia="仿宋"/>
          <w:sz w:val="28"/>
          <w:szCs w:val="28"/>
        </w:rPr>
        <w:t>为保证应急救援工作及时有效，事先必须配备应急和救援的装备器材，并对信号等做出规定。</w:t>
      </w:r>
    </w:p>
    <w:p w14:paraId="223685DE">
      <w:pPr>
        <w:spacing w:line="500" w:lineRule="exact"/>
        <w:ind w:firstLine="560" w:firstLineChars="200"/>
        <w:jc w:val="left"/>
        <w:rPr>
          <w:rFonts w:ascii="Times New Roman" w:eastAsia="仿宋"/>
          <w:sz w:val="28"/>
          <w:szCs w:val="28"/>
        </w:rPr>
      </w:pPr>
      <w:r>
        <w:rPr>
          <w:rFonts w:hint="eastAsia" w:ascii="Times New Roman" w:eastAsia="仿宋"/>
          <w:sz w:val="28"/>
          <w:szCs w:val="28"/>
        </w:rPr>
        <w:t>①企业必须针对危险目标并根据需要，将抢险抢修、个体防护、医疗救援、通讯联络等装备器材配备齐全。平时要专人维护、保管、检验，确保器材始终处于完好状态，保证能有效使用。</w:t>
      </w:r>
    </w:p>
    <w:p w14:paraId="6B3BCE0A">
      <w:pPr>
        <w:spacing w:line="500" w:lineRule="exact"/>
        <w:ind w:firstLine="560" w:firstLineChars="200"/>
        <w:jc w:val="left"/>
        <w:rPr>
          <w:rFonts w:ascii="Times New Roman" w:eastAsia="仿宋"/>
          <w:sz w:val="28"/>
          <w:szCs w:val="28"/>
        </w:rPr>
      </w:pPr>
      <w:r>
        <w:rPr>
          <w:rFonts w:hint="eastAsia" w:ascii="Times New Roman" w:eastAsia="仿宋"/>
          <w:sz w:val="28"/>
          <w:szCs w:val="28"/>
        </w:rPr>
        <w:t>②信号规定：对各种通讯工具、警报及事故信号，平时必须做出明确规定：报警方法、联络号码和信号使用规定要置于明显位置，使每一位值班人员熟练掌握。</w:t>
      </w:r>
    </w:p>
    <w:p w14:paraId="44346745">
      <w:pPr>
        <w:spacing w:line="500" w:lineRule="exact"/>
        <w:ind w:firstLine="560" w:firstLineChars="200"/>
        <w:jc w:val="left"/>
        <w:rPr>
          <w:rFonts w:ascii="Times New Roman" w:eastAsia="仿宋"/>
          <w:sz w:val="28"/>
          <w:szCs w:val="28"/>
        </w:rPr>
      </w:pPr>
      <w:r>
        <w:rPr>
          <w:rFonts w:hint="eastAsia" w:ascii="Times New Roman" w:eastAsia="仿宋"/>
          <w:sz w:val="28"/>
          <w:szCs w:val="28"/>
        </w:rPr>
        <w:t>（7）报警、通讯联络方式</w:t>
      </w:r>
    </w:p>
    <w:p w14:paraId="453431E1">
      <w:pPr>
        <w:spacing w:line="500" w:lineRule="exact"/>
        <w:ind w:firstLine="560" w:firstLineChars="200"/>
        <w:jc w:val="left"/>
        <w:rPr>
          <w:rFonts w:ascii="Times New Roman" w:eastAsia="仿宋"/>
          <w:sz w:val="28"/>
          <w:szCs w:val="28"/>
        </w:rPr>
      </w:pPr>
      <w:r>
        <w:rPr>
          <w:rFonts w:hint="eastAsia" w:ascii="Times New Roman" w:eastAsia="仿宋"/>
          <w:sz w:val="28"/>
          <w:szCs w:val="28"/>
        </w:rPr>
        <w:t>报警通讯方式：厂内救援信号主要使用电话报警。市报警电话：110、市消防：119、市急救：120，报警电话必须显示在厂内明显之处。</w:t>
      </w:r>
    </w:p>
    <w:p w14:paraId="410858A6">
      <w:pPr>
        <w:spacing w:line="500" w:lineRule="exact"/>
        <w:ind w:firstLine="560" w:firstLineChars="200"/>
        <w:jc w:val="left"/>
      </w:pPr>
      <w:r>
        <w:rPr>
          <w:rFonts w:hint="eastAsia" w:ascii="Times New Roman" w:eastAsia="仿宋"/>
          <w:sz w:val="28"/>
          <w:szCs w:val="28"/>
        </w:rPr>
        <w:t>报警通知方式：事故报警的及时与正确是能否及时实施应急救援的关键。当发生突发性危险化学品泄漏或火灾爆炸事故时，事故单位或现场人员，除了积极组织自救外，必须及时将事故向有关部门报告。报警内容应包括事故时间、地点及单位；化学品名称和泄漏量；事故性质（外溢、爆炸、火灾）；危险程度及有无人员伤亡；报警人姓名及联系电话。</w:t>
      </w:r>
    </w:p>
    <w:p w14:paraId="55356981">
      <w:pPr>
        <w:ind w:firstLine="560"/>
        <w:jc w:val="center"/>
        <w:rPr>
          <w:rFonts w:eastAsia="仿宋_GB2312"/>
        </w:rPr>
      </w:pPr>
      <w:r>
        <w:rPr>
          <w:rFonts w:eastAsia="仿宋_GB2312"/>
        </w:rPr>
        <w:drawing>
          <wp:inline distT="0" distB="0" distL="0" distR="0">
            <wp:extent cx="4172585" cy="23260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6" cstate="print">
                      <a:extLst>
                        <a:ext uri="{28A0092B-C50C-407E-A947-70E740481C1C}">
                          <a14:useLocalDpi xmlns:a14="http://schemas.microsoft.com/office/drawing/2010/main" val="0"/>
                        </a:ext>
                      </a:extLst>
                    </a:blip>
                    <a:srcRect r="-536" b="14638"/>
                    <a:stretch>
                      <a:fillRect/>
                    </a:stretch>
                  </pic:blipFill>
                  <pic:spPr>
                    <a:xfrm>
                      <a:off x="0" y="0"/>
                      <a:ext cx="4194161" cy="2338180"/>
                    </a:xfrm>
                    <a:prstGeom prst="rect">
                      <a:avLst/>
                    </a:prstGeom>
                    <a:noFill/>
                    <a:ln>
                      <a:noFill/>
                    </a:ln>
                  </pic:spPr>
                </pic:pic>
              </a:graphicData>
            </a:graphic>
          </wp:inline>
        </w:drawing>
      </w:r>
    </w:p>
    <w:p w14:paraId="6569B8A2">
      <w:pPr>
        <w:spacing w:line="500" w:lineRule="exact"/>
        <w:jc w:val="center"/>
        <w:rPr>
          <w:rFonts w:ascii="Times New Roman" w:eastAsia="仿宋"/>
          <w:b/>
        </w:rPr>
      </w:pPr>
      <w:r>
        <w:rPr>
          <w:rFonts w:hint="eastAsia" w:ascii="Times New Roman" w:eastAsia="仿宋"/>
          <w:b/>
        </w:rPr>
        <w:t>图6.5-1  现场报警与反应系统</w:t>
      </w:r>
    </w:p>
    <w:p w14:paraId="33C1698B">
      <w:pPr>
        <w:spacing w:line="500" w:lineRule="exact"/>
        <w:ind w:firstLine="560" w:firstLineChars="200"/>
        <w:jc w:val="left"/>
        <w:rPr>
          <w:rFonts w:ascii="Times New Roman" w:eastAsia="仿宋"/>
          <w:sz w:val="28"/>
          <w:szCs w:val="28"/>
        </w:rPr>
      </w:pPr>
      <w:r>
        <w:rPr>
          <w:rFonts w:hint="eastAsia" w:ascii="Times New Roman" w:eastAsia="仿宋"/>
          <w:sz w:val="28"/>
          <w:szCs w:val="28"/>
        </w:rPr>
        <w:t>交通保障、管制：根据交通情况，建立警戒区域，危险区边界警戒线，为黄黑带，警戒哨佩戴臂章，救护车鸣灯。事故发生后，应根据化学品泄漏的扩散情况或火焰辐射热所涉及到的范围建立警戒区，警戒区一般设定以事故源为中心，半径由具体泄漏物和泄漏量而定。并在通往事故现场的主要干道上实行交通管制。同时注意以下几点：</w:t>
      </w:r>
    </w:p>
    <w:p w14:paraId="7B61802C">
      <w:pPr>
        <w:spacing w:line="500" w:lineRule="exact"/>
        <w:ind w:firstLine="560" w:firstLineChars="200"/>
        <w:jc w:val="left"/>
        <w:rPr>
          <w:rFonts w:ascii="Times New Roman" w:eastAsia="仿宋"/>
          <w:sz w:val="28"/>
          <w:szCs w:val="28"/>
        </w:rPr>
      </w:pPr>
      <w:r>
        <w:rPr>
          <w:rFonts w:hint="eastAsia" w:ascii="Times New Roman" w:eastAsia="仿宋"/>
          <w:sz w:val="28"/>
          <w:szCs w:val="28"/>
        </w:rPr>
        <w:t>①警戒区域的边界应设警示标志并有专人警戒；</w:t>
      </w:r>
    </w:p>
    <w:p w14:paraId="332B3218">
      <w:pPr>
        <w:spacing w:line="500" w:lineRule="exact"/>
        <w:ind w:firstLine="560" w:firstLineChars="200"/>
        <w:jc w:val="left"/>
        <w:rPr>
          <w:rFonts w:ascii="Times New Roman" w:eastAsia="仿宋"/>
          <w:sz w:val="28"/>
          <w:szCs w:val="28"/>
        </w:rPr>
      </w:pPr>
      <w:r>
        <w:rPr>
          <w:rFonts w:hint="eastAsia" w:ascii="Times New Roman" w:eastAsia="仿宋"/>
          <w:sz w:val="28"/>
          <w:szCs w:val="28"/>
        </w:rPr>
        <w:t>②除消防及应急处理人员外，其它人员禁止进入警戒区；</w:t>
      </w:r>
    </w:p>
    <w:p w14:paraId="1EA9DB80">
      <w:pPr>
        <w:spacing w:line="500" w:lineRule="exact"/>
        <w:ind w:firstLine="560" w:firstLineChars="200"/>
        <w:jc w:val="left"/>
        <w:rPr>
          <w:rFonts w:ascii="Times New Roman" w:eastAsia="仿宋"/>
          <w:sz w:val="28"/>
          <w:szCs w:val="28"/>
        </w:rPr>
      </w:pPr>
      <w:r>
        <w:rPr>
          <w:rFonts w:hint="eastAsia" w:ascii="Times New Roman" w:eastAsia="仿宋"/>
          <w:sz w:val="28"/>
          <w:szCs w:val="28"/>
        </w:rPr>
        <w:t>③泄漏溢出的化学品为易燃品时，区域内应严禁火种。</w:t>
      </w:r>
    </w:p>
    <w:p w14:paraId="56899EA2">
      <w:pPr>
        <w:spacing w:line="500" w:lineRule="exact"/>
        <w:ind w:firstLine="560" w:firstLineChars="200"/>
        <w:jc w:val="left"/>
        <w:rPr>
          <w:rFonts w:ascii="Times New Roman" w:eastAsia="仿宋"/>
          <w:sz w:val="28"/>
          <w:szCs w:val="28"/>
        </w:rPr>
      </w:pPr>
      <w:r>
        <w:rPr>
          <w:rFonts w:hint="eastAsia" w:ascii="Times New Roman" w:eastAsia="仿宋"/>
          <w:sz w:val="28"/>
          <w:szCs w:val="28"/>
        </w:rPr>
        <w:t>（8）应急环境监测、抢险、救援及控制措施</w:t>
      </w:r>
    </w:p>
    <w:p w14:paraId="0A9161E3">
      <w:pPr>
        <w:spacing w:line="500" w:lineRule="exact"/>
        <w:ind w:firstLine="560" w:firstLineChars="200"/>
        <w:jc w:val="left"/>
        <w:rPr>
          <w:rFonts w:ascii="Times New Roman" w:eastAsia="仿宋"/>
          <w:sz w:val="28"/>
          <w:szCs w:val="28"/>
        </w:rPr>
      </w:pPr>
      <w:r>
        <w:rPr>
          <w:rFonts w:hint="eastAsia" w:ascii="Times New Roman" w:eastAsia="仿宋"/>
          <w:sz w:val="28"/>
          <w:szCs w:val="28"/>
        </w:rPr>
        <w:t>由应急指挥中心的应急救援办公室负责，现场指挥部协助其工作，应急救援办公室组织事故调查员核专业队伍对事故现场进行侦察监测，当地环保部门负责对大气（监测因子颗粒物、非甲烷总烃、二甲苯等）、水体（监测因子pH、COD、SS等）、土壤等进行环境及时监测，确定危险区域范围（大气监测点主要布置在事故点下风向居民点，同时在上风向设置一个监测点；在受影响的水体下游500m处设置监测点，如果有敏感水体，加密监测）和危险物质的成分及浓度，对事故造成的环境影响做出正确评估，为指挥人员决策和消除事故污染提供依据。指挥中心根据事故现场情况，判断事故级别，采取相应抢险、救援及控制措施。</w:t>
      </w:r>
    </w:p>
    <w:p w14:paraId="44C1C518">
      <w:pPr>
        <w:tabs>
          <w:tab w:val="left" w:pos="1665"/>
        </w:tabs>
        <w:adjustRightInd w:val="0"/>
        <w:snapToGrid w:val="0"/>
        <w:spacing w:line="500" w:lineRule="exact"/>
        <w:jc w:val="center"/>
        <w:rPr>
          <w:rFonts w:ascii="Times New Roman" w:eastAsia="仿宋"/>
          <w:b/>
          <w:lang w:val="zh-CN"/>
        </w:rPr>
      </w:pPr>
      <w:r>
        <w:rPr>
          <w:rFonts w:hint="eastAsia" w:ascii="Times New Roman" w:eastAsia="仿宋"/>
          <w:b/>
          <w:lang w:val="zh-CN"/>
        </w:rPr>
        <w:t>表</w:t>
      </w:r>
      <w:r>
        <w:rPr>
          <w:rFonts w:hint="eastAsia" w:ascii="Times New Roman" w:eastAsia="仿宋"/>
          <w:b/>
        </w:rPr>
        <w:t>6</w:t>
      </w:r>
      <w:r>
        <w:rPr>
          <w:rFonts w:ascii="Times New Roman" w:eastAsia="仿宋"/>
          <w:b/>
          <w:lang w:val="zh-CN"/>
        </w:rPr>
        <w:t>.6-</w:t>
      </w:r>
      <w:r>
        <w:rPr>
          <w:rFonts w:hint="eastAsia" w:ascii="Times New Roman" w:eastAsia="仿宋"/>
          <w:b/>
        </w:rPr>
        <w:t>4</w:t>
      </w:r>
      <w:r>
        <w:rPr>
          <w:rFonts w:ascii="Times New Roman" w:eastAsia="仿宋"/>
          <w:b/>
          <w:lang w:val="zh-CN"/>
        </w:rPr>
        <w:t xml:space="preserve">  </w:t>
      </w:r>
      <w:r>
        <w:rPr>
          <w:rFonts w:hint="eastAsia" w:ascii="Times New Roman" w:eastAsia="仿宋"/>
          <w:b/>
          <w:lang w:val="zh-CN"/>
        </w:rPr>
        <w:t>事故状态时污染物应急监测方法</w:t>
      </w:r>
    </w:p>
    <w:tbl>
      <w:tblPr>
        <w:tblStyle w:val="87"/>
        <w:tblW w:w="858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95"/>
        <w:gridCol w:w="6887"/>
      </w:tblGrid>
      <w:tr w14:paraId="338C8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1695" w:type="dxa"/>
            <w:vAlign w:val="center"/>
          </w:tcPr>
          <w:p w14:paraId="0CE5EBD7">
            <w:pPr>
              <w:widowControl/>
              <w:adjustRightInd w:val="0"/>
              <w:snapToGrid w:val="0"/>
              <w:jc w:val="center"/>
              <w:rPr>
                <w:rFonts w:ascii="Times New Roman" w:eastAsia="仿宋"/>
                <w:szCs w:val="21"/>
                <w:lang w:val="zh-CN"/>
              </w:rPr>
            </w:pPr>
            <w:r>
              <w:rPr>
                <w:rFonts w:ascii="Times New Roman" w:eastAsia="仿宋"/>
                <w:szCs w:val="21"/>
                <w:lang w:val="zh-CN"/>
              </w:rPr>
              <w:t>污染物</w:t>
            </w:r>
          </w:p>
        </w:tc>
        <w:tc>
          <w:tcPr>
            <w:tcW w:w="6887" w:type="dxa"/>
            <w:vAlign w:val="center"/>
          </w:tcPr>
          <w:p w14:paraId="31BA6A75">
            <w:pPr>
              <w:widowControl/>
              <w:adjustRightInd w:val="0"/>
              <w:snapToGrid w:val="0"/>
              <w:jc w:val="center"/>
              <w:rPr>
                <w:rFonts w:ascii="Times New Roman" w:eastAsia="仿宋"/>
                <w:szCs w:val="21"/>
                <w:lang w:val="zh-CN"/>
              </w:rPr>
            </w:pPr>
            <w:r>
              <w:rPr>
                <w:rFonts w:ascii="Times New Roman" w:eastAsia="仿宋"/>
                <w:szCs w:val="21"/>
                <w:lang w:val="zh-CN"/>
              </w:rPr>
              <w:t>应急监测方法</w:t>
            </w:r>
          </w:p>
        </w:tc>
      </w:tr>
      <w:tr w14:paraId="1BB361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1695" w:type="dxa"/>
            <w:vAlign w:val="center"/>
          </w:tcPr>
          <w:p w14:paraId="636826A3">
            <w:pPr>
              <w:widowControl/>
              <w:adjustRightInd w:val="0"/>
              <w:snapToGrid w:val="0"/>
              <w:jc w:val="center"/>
              <w:rPr>
                <w:rFonts w:ascii="Times New Roman" w:eastAsia="仿宋"/>
                <w:szCs w:val="21"/>
                <w:lang w:val="zh-CN"/>
              </w:rPr>
            </w:pPr>
            <w:r>
              <w:rPr>
                <w:rFonts w:hint="eastAsia" w:ascii="Times New Roman" w:eastAsia="仿宋"/>
                <w:szCs w:val="21"/>
              </w:rPr>
              <w:t>二甲苯</w:t>
            </w:r>
          </w:p>
        </w:tc>
        <w:tc>
          <w:tcPr>
            <w:tcW w:w="6887" w:type="dxa"/>
            <w:vAlign w:val="center"/>
          </w:tcPr>
          <w:p w14:paraId="76F8DA57">
            <w:pPr>
              <w:widowControl/>
              <w:adjustRightInd w:val="0"/>
              <w:snapToGrid w:val="0"/>
              <w:jc w:val="center"/>
              <w:rPr>
                <w:rFonts w:ascii="Times New Roman" w:eastAsia="仿宋"/>
                <w:szCs w:val="21"/>
                <w:lang w:val="zh-CN"/>
              </w:rPr>
            </w:pPr>
            <w:r>
              <w:rPr>
                <w:rFonts w:ascii="Times New Roman" w:eastAsia="仿宋"/>
                <w:szCs w:val="21"/>
                <w:lang w:val="zh-CN"/>
              </w:rPr>
              <w:t>便携式气相色谱法；气体检测管法；气体速测管</w:t>
            </w:r>
          </w:p>
        </w:tc>
      </w:tr>
      <w:tr w14:paraId="46C87A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1695" w:type="dxa"/>
            <w:vAlign w:val="center"/>
          </w:tcPr>
          <w:p w14:paraId="233D34AD">
            <w:pPr>
              <w:widowControl/>
              <w:adjustRightInd w:val="0"/>
              <w:snapToGrid w:val="0"/>
              <w:jc w:val="center"/>
              <w:rPr>
                <w:rFonts w:ascii="Times New Roman" w:eastAsia="仿宋"/>
                <w:szCs w:val="21"/>
                <w:lang w:val="zh-CN"/>
              </w:rPr>
            </w:pPr>
            <w:r>
              <w:rPr>
                <w:rFonts w:hint="eastAsia" w:ascii="Times New Roman" w:eastAsia="仿宋"/>
                <w:szCs w:val="21"/>
                <w:lang w:val="zh-CN"/>
              </w:rPr>
              <w:t>非甲烷总烃</w:t>
            </w:r>
          </w:p>
        </w:tc>
        <w:tc>
          <w:tcPr>
            <w:tcW w:w="6887" w:type="dxa"/>
            <w:vAlign w:val="center"/>
          </w:tcPr>
          <w:p w14:paraId="108D0421">
            <w:pPr>
              <w:widowControl/>
              <w:adjustRightInd w:val="0"/>
              <w:snapToGrid w:val="0"/>
              <w:jc w:val="center"/>
              <w:rPr>
                <w:rFonts w:ascii="Times New Roman" w:eastAsia="仿宋"/>
                <w:szCs w:val="21"/>
                <w:lang w:val="zh-CN"/>
              </w:rPr>
            </w:pPr>
            <w:r>
              <w:rPr>
                <w:rFonts w:ascii="Times New Roman" w:eastAsia="仿宋"/>
                <w:szCs w:val="21"/>
                <w:lang w:val="zh-CN"/>
              </w:rPr>
              <w:t>便携式气相色谱法；气体检测管法；气体速测管</w:t>
            </w:r>
          </w:p>
        </w:tc>
      </w:tr>
      <w:tr w14:paraId="448947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1695" w:type="dxa"/>
            <w:vAlign w:val="center"/>
          </w:tcPr>
          <w:p w14:paraId="51403330">
            <w:pPr>
              <w:widowControl/>
              <w:adjustRightInd w:val="0"/>
              <w:snapToGrid w:val="0"/>
              <w:jc w:val="center"/>
              <w:rPr>
                <w:rFonts w:ascii="Times New Roman" w:eastAsia="仿宋"/>
                <w:szCs w:val="21"/>
                <w:lang w:val="zh-CN"/>
              </w:rPr>
            </w:pPr>
            <w:r>
              <w:rPr>
                <w:rFonts w:ascii="Times New Roman" w:eastAsia="仿宋"/>
                <w:szCs w:val="21"/>
                <w:lang w:val="zh-CN"/>
              </w:rPr>
              <w:t>CO</w:t>
            </w:r>
          </w:p>
        </w:tc>
        <w:tc>
          <w:tcPr>
            <w:tcW w:w="6887" w:type="dxa"/>
            <w:vAlign w:val="center"/>
          </w:tcPr>
          <w:p w14:paraId="564CA0A0">
            <w:pPr>
              <w:widowControl/>
              <w:adjustRightInd w:val="0"/>
              <w:snapToGrid w:val="0"/>
              <w:jc w:val="center"/>
              <w:rPr>
                <w:rFonts w:ascii="Times New Roman" w:eastAsia="仿宋"/>
                <w:szCs w:val="21"/>
                <w:lang w:val="zh-CN"/>
              </w:rPr>
            </w:pPr>
            <w:r>
              <w:rPr>
                <w:rFonts w:ascii="Times New Roman" w:eastAsia="仿宋"/>
                <w:szCs w:val="21"/>
                <w:lang w:val="zh-CN"/>
              </w:rPr>
              <w:t>便携式气体检测仪器：一氧化碳库仑检测仪、红外线一氧化碳检测仪</w:t>
            </w:r>
          </w:p>
          <w:p w14:paraId="38AEE0BC">
            <w:pPr>
              <w:widowControl/>
              <w:adjustRightInd w:val="0"/>
              <w:snapToGrid w:val="0"/>
              <w:jc w:val="center"/>
              <w:rPr>
                <w:rFonts w:ascii="Times New Roman" w:eastAsia="仿宋"/>
                <w:szCs w:val="21"/>
                <w:lang w:val="zh-CN"/>
              </w:rPr>
            </w:pPr>
            <w:r>
              <w:rPr>
                <w:rFonts w:ascii="Times New Roman" w:eastAsia="仿宋"/>
                <w:szCs w:val="21"/>
                <w:lang w:val="zh-CN"/>
              </w:rPr>
              <w:t>常用快速化学分析方法：五氧化二碘比长式检测管法、硫酸钯-钼酸铵比色式检测管法；气体速测管</w:t>
            </w:r>
          </w:p>
        </w:tc>
      </w:tr>
    </w:tbl>
    <w:p w14:paraId="358859F9">
      <w:pPr>
        <w:spacing w:line="500" w:lineRule="exact"/>
        <w:ind w:firstLine="560" w:firstLineChars="200"/>
        <w:jc w:val="left"/>
        <w:rPr>
          <w:rFonts w:ascii="Times New Roman" w:eastAsia="仿宋"/>
          <w:sz w:val="28"/>
          <w:szCs w:val="28"/>
        </w:rPr>
      </w:pPr>
      <w:r>
        <w:rPr>
          <w:rFonts w:hint="eastAsia" w:ascii="Times New Roman" w:eastAsia="仿宋"/>
          <w:sz w:val="28"/>
          <w:szCs w:val="28"/>
        </w:rPr>
        <w:t>①毒害品、腐蚀品泄漏应急处理</w:t>
      </w:r>
    </w:p>
    <w:p w14:paraId="6886399C">
      <w:pPr>
        <w:spacing w:line="500" w:lineRule="exact"/>
        <w:ind w:firstLine="560" w:firstLineChars="200"/>
        <w:jc w:val="left"/>
        <w:rPr>
          <w:rFonts w:ascii="Times New Roman" w:eastAsia="仿宋"/>
          <w:sz w:val="28"/>
          <w:szCs w:val="28"/>
        </w:rPr>
      </w:pPr>
      <w:r>
        <w:rPr>
          <w:rFonts w:hint="eastAsia" w:ascii="Times New Roman" w:eastAsia="仿宋"/>
          <w:sz w:val="28"/>
          <w:szCs w:val="28"/>
        </w:rPr>
        <w:t>毒害品、腐蚀品发生泄漏事故时，一般可采取的应急措施为：</w:t>
      </w:r>
    </w:p>
    <w:p w14:paraId="3B302917">
      <w:pPr>
        <w:spacing w:line="500" w:lineRule="exact"/>
        <w:ind w:firstLine="560" w:firstLineChars="200"/>
        <w:jc w:val="left"/>
        <w:rPr>
          <w:rFonts w:ascii="Times New Roman" w:eastAsia="仿宋"/>
          <w:sz w:val="28"/>
          <w:szCs w:val="28"/>
        </w:rPr>
      </w:pPr>
      <w:r>
        <w:rPr>
          <w:rFonts w:hint="eastAsia" w:ascii="Times New Roman" w:eastAsia="仿宋"/>
          <w:sz w:val="28"/>
          <w:szCs w:val="28"/>
        </w:rPr>
        <w:t>a.迅速撤离泄漏污染区人员至上风处，并进行隔离，严格限制出入；</w:t>
      </w:r>
    </w:p>
    <w:p w14:paraId="79E99C37">
      <w:pPr>
        <w:spacing w:line="500" w:lineRule="exact"/>
        <w:ind w:firstLine="560" w:firstLineChars="200"/>
        <w:jc w:val="left"/>
        <w:rPr>
          <w:rFonts w:ascii="Times New Roman" w:eastAsia="仿宋"/>
          <w:sz w:val="28"/>
          <w:szCs w:val="28"/>
        </w:rPr>
      </w:pPr>
      <w:r>
        <w:rPr>
          <w:rFonts w:hint="eastAsia" w:ascii="Times New Roman" w:eastAsia="仿宋"/>
          <w:sz w:val="28"/>
          <w:szCs w:val="28"/>
        </w:rPr>
        <w:t>b.切断火源，尽可能切断泄漏源，防止进入下水道等限制性空间；</w:t>
      </w:r>
    </w:p>
    <w:p w14:paraId="0FF316C7">
      <w:pPr>
        <w:spacing w:line="500" w:lineRule="exact"/>
        <w:ind w:firstLine="560" w:firstLineChars="200"/>
        <w:jc w:val="left"/>
        <w:rPr>
          <w:rFonts w:ascii="Times New Roman" w:eastAsia="仿宋"/>
          <w:sz w:val="28"/>
          <w:szCs w:val="28"/>
        </w:rPr>
      </w:pPr>
      <w:r>
        <w:rPr>
          <w:rFonts w:hint="eastAsia" w:ascii="Times New Roman" w:eastAsia="仿宋"/>
          <w:sz w:val="28"/>
          <w:szCs w:val="28"/>
        </w:rPr>
        <w:t>c.应急处理人员戴自给式呼吸器，穿消防防护服；</w:t>
      </w:r>
    </w:p>
    <w:p w14:paraId="1C55581F">
      <w:pPr>
        <w:spacing w:line="500" w:lineRule="exact"/>
        <w:ind w:firstLine="560" w:firstLineChars="200"/>
        <w:jc w:val="left"/>
        <w:rPr>
          <w:rFonts w:ascii="Times New Roman" w:eastAsia="仿宋"/>
          <w:sz w:val="28"/>
          <w:szCs w:val="28"/>
        </w:rPr>
      </w:pPr>
      <w:r>
        <w:rPr>
          <w:rFonts w:hint="eastAsia" w:ascii="Times New Roman" w:eastAsia="仿宋"/>
          <w:sz w:val="28"/>
          <w:szCs w:val="28"/>
        </w:rPr>
        <w:t>d.酸性腐蚀品小量泄漏将地面洒上苏打灰，然后用大量水冲洗；</w:t>
      </w:r>
    </w:p>
    <w:p w14:paraId="77CCA6BE">
      <w:pPr>
        <w:spacing w:line="500" w:lineRule="exact"/>
        <w:ind w:firstLine="560" w:firstLineChars="200"/>
        <w:jc w:val="left"/>
        <w:rPr>
          <w:rFonts w:ascii="Times New Roman" w:eastAsia="仿宋"/>
          <w:sz w:val="28"/>
          <w:szCs w:val="28"/>
        </w:rPr>
      </w:pPr>
      <w:r>
        <w:rPr>
          <w:rFonts w:hint="eastAsia" w:ascii="Times New Roman" w:eastAsia="仿宋"/>
          <w:sz w:val="28"/>
          <w:szCs w:val="28"/>
        </w:rPr>
        <w:t>e.酸性腐蚀品大量泄漏采用喷雾状水冷却和稀释蒸气、保护现场人员、把泄漏物稀释成不燃物；</w:t>
      </w:r>
    </w:p>
    <w:p w14:paraId="79CCCAB1">
      <w:pPr>
        <w:spacing w:line="500" w:lineRule="exact"/>
        <w:ind w:firstLine="560" w:firstLineChars="200"/>
        <w:jc w:val="left"/>
        <w:rPr>
          <w:rFonts w:ascii="Times New Roman" w:eastAsia="仿宋"/>
          <w:sz w:val="28"/>
          <w:szCs w:val="28"/>
        </w:rPr>
      </w:pPr>
      <w:r>
        <w:rPr>
          <w:rFonts w:hint="eastAsia" w:ascii="Times New Roman" w:eastAsia="仿宋"/>
          <w:sz w:val="28"/>
          <w:szCs w:val="28"/>
        </w:rPr>
        <w:t>f.用防爆泵转移至槽车或专用收集器内，回收或运至废物处理场所处置；</w:t>
      </w:r>
    </w:p>
    <w:p w14:paraId="67B3FF23">
      <w:pPr>
        <w:spacing w:line="500" w:lineRule="exact"/>
        <w:ind w:firstLine="560" w:firstLineChars="200"/>
        <w:jc w:val="left"/>
        <w:rPr>
          <w:rFonts w:ascii="Times New Roman" w:eastAsia="仿宋"/>
          <w:sz w:val="28"/>
          <w:szCs w:val="28"/>
        </w:rPr>
      </w:pPr>
      <w:r>
        <w:rPr>
          <w:rFonts w:hint="eastAsia" w:ascii="Times New Roman" w:eastAsia="仿宋"/>
          <w:sz w:val="28"/>
          <w:szCs w:val="28"/>
        </w:rPr>
        <w:t>g.对皮肤接触人员应脱去被污染的衣着，用肥皂水和清水彻底冲洗皮肤；眼睛接触人员应提起眼睑，用流动清水或生理盐水冲洗，就医；吸入人员迅速脱离现场至空气新鲜处，保持呼吸道通畅。</w:t>
      </w:r>
    </w:p>
    <w:p w14:paraId="6493456F">
      <w:pPr>
        <w:spacing w:line="500" w:lineRule="exact"/>
        <w:ind w:firstLine="560" w:firstLineChars="200"/>
        <w:jc w:val="left"/>
        <w:rPr>
          <w:rFonts w:ascii="Times New Roman" w:eastAsia="仿宋"/>
          <w:sz w:val="28"/>
          <w:szCs w:val="28"/>
        </w:rPr>
      </w:pPr>
      <w:r>
        <w:rPr>
          <w:rFonts w:hint="eastAsia" w:ascii="Times New Roman" w:eastAsia="仿宋"/>
          <w:sz w:val="28"/>
          <w:szCs w:val="28"/>
        </w:rPr>
        <w:t>②火灾事故应急处理</w:t>
      </w:r>
    </w:p>
    <w:p w14:paraId="78344B13">
      <w:pPr>
        <w:spacing w:line="500" w:lineRule="exact"/>
        <w:ind w:firstLine="560" w:firstLineChars="200"/>
        <w:jc w:val="left"/>
        <w:rPr>
          <w:rFonts w:ascii="Times New Roman" w:eastAsia="仿宋"/>
          <w:sz w:val="28"/>
          <w:szCs w:val="28"/>
        </w:rPr>
      </w:pPr>
      <w:r>
        <w:rPr>
          <w:rFonts w:hint="eastAsia" w:ascii="Times New Roman" w:eastAsia="仿宋"/>
          <w:sz w:val="28"/>
          <w:szCs w:val="28"/>
        </w:rPr>
        <w:t>一旦发生火灾时，做到报警早，并且充分发挥整体组织功能，在人身确保安全的前提下，扑灭初起火灾，将灾害减到最低程度，避免火势扩大殃及周围危险场所，避免造成重大人员伤亡。一般要求如下：</w:t>
      </w:r>
    </w:p>
    <w:p w14:paraId="2866255A">
      <w:pPr>
        <w:spacing w:line="500" w:lineRule="exact"/>
        <w:ind w:firstLine="560" w:firstLineChars="200"/>
        <w:jc w:val="left"/>
        <w:rPr>
          <w:rFonts w:ascii="Times New Roman" w:eastAsia="仿宋"/>
          <w:sz w:val="28"/>
          <w:szCs w:val="28"/>
        </w:rPr>
      </w:pPr>
      <w:r>
        <w:rPr>
          <w:rFonts w:hint="eastAsia" w:ascii="Times New Roman" w:eastAsia="仿宋"/>
          <w:sz w:val="28"/>
          <w:szCs w:val="28"/>
        </w:rPr>
        <w:t>a.现场发生火灾时，全体职工务必保持镇定，大声报告，立刻报警，并迅速担负起抢救工作，不可袖手旁观等待消防人员前来抢救而延误时机；</w:t>
      </w:r>
    </w:p>
    <w:p w14:paraId="2231ABA0">
      <w:pPr>
        <w:spacing w:line="500" w:lineRule="exact"/>
        <w:ind w:firstLine="560" w:firstLineChars="200"/>
        <w:jc w:val="left"/>
        <w:rPr>
          <w:rFonts w:ascii="Times New Roman" w:eastAsia="仿宋"/>
          <w:sz w:val="28"/>
          <w:szCs w:val="28"/>
        </w:rPr>
      </w:pPr>
      <w:r>
        <w:rPr>
          <w:rFonts w:hint="eastAsia" w:ascii="Times New Roman" w:eastAsia="仿宋"/>
          <w:sz w:val="28"/>
          <w:szCs w:val="28"/>
        </w:rPr>
        <w:t>b.迅速切断连接到目标的所有管道阀门；</w:t>
      </w:r>
    </w:p>
    <w:p w14:paraId="021C1FB9">
      <w:pPr>
        <w:spacing w:line="500" w:lineRule="exact"/>
        <w:ind w:firstLine="560" w:firstLineChars="200"/>
        <w:jc w:val="left"/>
        <w:rPr>
          <w:rFonts w:ascii="Times New Roman" w:eastAsia="仿宋"/>
          <w:sz w:val="28"/>
          <w:szCs w:val="28"/>
        </w:rPr>
      </w:pPr>
      <w:r>
        <w:rPr>
          <w:rFonts w:hint="eastAsia" w:ascii="Times New Roman" w:eastAsia="仿宋"/>
          <w:sz w:val="28"/>
          <w:szCs w:val="28"/>
        </w:rPr>
        <w:t>c.应急救援办公室迅速电话通知所有的应急救援队伍人员到车间着火区域上风口集合了解分析情况；</w:t>
      </w:r>
    </w:p>
    <w:p w14:paraId="0E32D6DD">
      <w:pPr>
        <w:spacing w:line="500" w:lineRule="exact"/>
        <w:ind w:firstLine="560" w:firstLineChars="200"/>
        <w:jc w:val="left"/>
        <w:rPr>
          <w:rFonts w:ascii="Times New Roman" w:eastAsia="仿宋"/>
          <w:sz w:val="28"/>
          <w:szCs w:val="28"/>
        </w:rPr>
      </w:pPr>
      <w:r>
        <w:rPr>
          <w:rFonts w:hint="eastAsia" w:ascii="Times New Roman" w:eastAsia="仿宋"/>
          <w:sz w:val="28"/>
          <w:szCs w:val="28"/>
        </w:rPr>
        <w:t>d.扑救时人站在上风位置，顺序前进；</w:t>
      </w:r>
    </w:p>
    <w:p w14:paraId="15D4A8BA">
      <w:pPr>
        <w:spacing w:line="500" w:lineRule="exact"/>
        <w:ind w:firstLine="560" w:firstLineChars="200"/>
        <w:jc w:val="left"/>
        <w:rPr>
          <w:rFonts w:ascii="Times New Roman" w:eastAsia="仿宋"/>
          <w:sz w:val="28"/>
          <w:szCs w:val="28"/>
        </w:rPr>
      </w:pPr>
      <w:r>
        <w:rPr>
          <w:rFonts w:hint="eastAsia" w:ascii="Times New Roman" w:eastAsia="仿宋"/>
          <w:sz w:val="28"/>
          <w:szCs w:val="28"/>
        </w:rPr>
        <w:t>e.当火势趋盛、无法靠自身力量扑救和控制时，职工应立即疏散撤离，并对人员进行清点，留下主控人员对系统进行手动控制，停止系统运行；</w:t>
      </w:r>
    </w:p>
    <w:p w14:paraId="6D0D29FF">
      <w:pPr>
        <w:spacing w:line="500" w:lineRule="exact"/>
        <w:ind w:firstLine="560" w:firstLineChars="200"/>
        <w:jc w:val="left"/>
        <w:rPr>
          <w:rFonts w:ascii="Times New Roman" w:eastAsia="仿宋"/>
          <w:sz w:val="28"/>
          <w:szCs w:val="28"/>
        </w:rPr>
      </w:pPr>
      <w:r>
        <w:rPr>
          <w:rFonts w:hint="eastAsia" w:ascii="Times New Roman" w:eastAsia="仿宋"/>
          <w:sz w:val="28"/>
          <w:szCs w:val="28"/>
        </w:rPr>
        <w:t>f.如情况严重，必要时由总指挥下令公司全部停产，切断所有危险源连接管道，由安全办公室人员带领，各车间、部门负责人负责将所有人员紧急疏散到厂区外安全地带；</w:t>
      </w:r>
    </w:p>
    <w:p w14:paraId="7E140E14">
      <w:pPr>
        <w:spacing w:line="500" w:lineRule="exact"/>
        <w:ind w:firstLine="560" w:firstLineChars="200"/>
        <w:jc w:val="left"/>
        <w:rPr>
          <w:rFonts w:ascii="Times New Roman" w:eastAsia="仿宋"/>
          <w:sz w:val="28"/>
          <w:szCs w:val="28"/>
        </w:rPr>
      </w:pPr>
      <w:r>
        <w:rPr>
          <w:rFonts w:hint="eastAsia" w:ascii="Times New Roman" w:eastAsia="仿宋"/>
          <w:sz w:val="28"/>
          <w:szCs w:val="28"/>
        </w:rPr>
        <w:t>g.由总指挥、副指挥等应急救援人员汇合商量堵漏灭火方案并确定方案；</w:t>
      </w:r>
    </w:p>
    <w:p w14:paraId="3B52F7C3">
      <w:pPr>
        <w:spacing w:line="500" w:lineRule="exact"/>
        <w:ind w:firstLine="560" w:firstLineChars="200"/>
        <w:jc w:val="left"/>
        <w:rPr>
          <w:rFonts w:ascii="Times New Roman" w:eastAsia="仿宋"/>
          <w:sz w:val="28"/>
          <w:szCs w:val="28"/>
        </w:rPr>
      </w:pPr>
      <w:r>
        <w:rPr>
          <w:rFonts w:hint="eastAsia" w:ascii="Times New Roman" w:eastAsia="仿宋"/>
          <w:sz w:val="28"/>
          <w:szCs w:val="28"/>
        </w:rPr>
        <w:t>h.由安全办公室带领厂内消防队人员，根据方案确定人员应站的最佳灭火点，利用已配备的消防水、泡沫灭火系统积极投入到灭火抢险救援工作中，对火源设备进行冷却控制，并将事故现场保护好，以便有关部门对事故原因进行合理的取证和分析；</w:t>
      </w:r>
    </w:p>
    <w:p w14:paraId="1A1F4820">
      <w:pPr>
        <w:spacing w:line="500" w:lineRule="exact"/>
        <w:ind w:firstLine="560" w:firstLineChars="200"/>
        <w:jc w:val="left"/>
        <w:rPr>
          <w:rFonts w:ascii="Times New Roman" w:eastAsia="仿宋"/>
          <w:sz w:val="28"/>
          <w:szCs w:val="28"/>
        </w:rPr>
      </w:pPr>
      <w:r>
        <w:rPr>
          <w:rFonts w:hint="eastAsia" w:ascii="Times New Roman" w:eastAsia="仿宋"/>
          <w:sz w:val="28"/>
          <w:szCs w:val="28"/>
        </w:rPr>
        <w:t>i.如人员力量不足，由总指挥决定通知外援，直至火灭；</w:t>
      </w:r>
    </w:p>
    <w:p w14:paraId="0262CC51">
      <w:pPr>
        <w:spacing w:line="500" w:lineRule="exact"/>
        <w:ind w:firstLine="560" w:firstLineChars="200"/>
        <w:jc w:val="left"/>
        <w:rPr>
          <w:rFonts w:ascii="Times New Roman" w:eastAsia="仿宋"/>
          <w:sz w:val="28"/>
          <w:szCs w:val="28"/>
        </w:rPr>
      </w:pPr>
      <w:r>
        <w:rPr>
          <w:rFonts w:hint="eastAsia" w:ascii="Times New Roman" w:eastAsia="仿宋"/>
          <w:sz w:val="28"/>
          <w:szCs w:val="28"/>
        </w:rPr>
        <w:t>j.由副指挥组织全体应急救援人员和消防人员，对现场进行清理，对人员进行清点。由安全办公室对事故经过进行记录，对事故进行调查报安全生产管理委员会。</w:t>
      </w:r>
    </w:p>
    <w:p w14:paraId="2ACF110B">
      <w:pPr>
        <w:spacing w:line="500" w:lineRule="exact"/>
        <w:ind w:firstLine="560" w:firstLineChars="200"/>
        <w:jc w:val="left"/>
        <w:rPr>
          <w:rFonts w:ascii="Times New Roman" w:eastAsia="仿宋"/>
          <w:sz w:val="28"/>
          <w:szCs w:val="28"/>
        </w:rPr>
      </w:pPr>
      <w:r>
        <w:rPr>
          <w:rFonts w:hint="eastAsia" w:ascii="Times New Roman" w:eastAsia="仿宋"/>
          <w:sz w:val="28"/>
          <w:szCs w:val="28"/>
        </w:rPr>
        <w:t>（7）应急检测、防护措施、清除泄漏措施和器材</w:t>
      </w:r>
    </w:p>
    <w:p w14:paraId="680CB104">
      <w:pPr>
        <w:spacing w:line="500" w:lineRule="exact"/>
        <w:ind w:firstLine="560" w:firstLineChars="200"/>
        <w:jc w:val="left"/>
        <w:rPr>
          <w:rFonts w:ascii="Times New Roman" w:eastAsia="仿宋"/>
          <w:sz w:val="28"/>
          <w:szCs w:val="28"/>
        </w:rPr>
      </w:pPr>
      <w:r>
        <w:rPr>
          <w:rFonts w:hint="eastAsia" w:ascii="Times New Roman" w:eastAsia="仿宋"/>
          <w:sz w:val="28"/>
          <w:szCs w:val="28"/>
        </w:rPr>
        <w:t>事故发生时，本项目现场指挥部应主动负责地对事故现场、邻近区域、防火区域采取紧急措施，防止事故扩大。小量泄漏应及时堵塞或阻止，并用砂土或其它不燃材料吸附或吸收已泄漏物。大量泄漏尽量设法阻止泄漏，并构筑围堤或挖坑收容。对损害区果断采取措施，要力争切断、堵塞、消灭泄漏源，动用备用的防毒设备、器材、药品，降低风险；对事故区伤亡人员进行抢救。</w:t>
      </w:r>
    </w:p>
    <w:p w14:paraId="2C49CBC9">
      <w:pPr>
        <w:spacing w:line="500" w:lineRule="exact"/>
        <w:ind w:firstLine="560" w:firstLineChars="200"/>
        <w:jc w:val="left"/>
        <w:rPr>
          <w:rFonts w:ascii="Times New Roman" w:eastAsia="仿宋"/>
          <w:sz w:val="28"/>
          <w:szCs w:val="28"/>
        </w:rPr>
      </w:pPr>
      <w:r>
        <w:rPr>
          <w:rFonts w:hint="eastAsia" w:ascii="Times New Roman" w:eastAsia="仿宋"/>
          <w:sz w:val="28"/>
          <w:szCs w:val="28"/>
        </w:rPr>
        <w:t>（8）人员紧急撤离、疏散，应急剂量控制、撤离组织计划</w:t>
      </w:r>
    </w:p>
    <w:p w14:paraId="15DF0F73">
      <w:pPr>
        <w:spacing w:line="500" w:lineRule="exact"/>
        <w:ind w:firstLine="560" w:firstLineChars="200"/>
        <w:jc w:val="left"/>
        <w:rPr>
          <w:rFonts w:ascii="Times New Roman" w:eastAsia="仿宋"/>
          <w:sz w:val="28"/>
          <w:szCs w:val="28"/>
        </w:rPr>
      </w:pPr>
      <w:r>
        <w:rPr>
          <w:rFonts w:hint="eastAsia" w:ascii="Times New Roman" w:eastAsia="仿宋"/>
          <w:sz w:val="28"/>
          <w:szCs w:val="28"/>
        </w:rPr>
        <w:t>在发生重大化学事故，可能对厂内外人群安全构成威胁时，必须在指挥部统一指挥下，对与事故应急救援无关的人员进行紧急疏散。企业在最高建筑物上设立“风向标”。疏散的方向、距离和集中地点，必须根据不同事故，做出具体规定，总的原则是疏散安全点处于当时的上风向。对可能威胁到厂外人员安全时，指挥部应立即和地方有关部门联系，引导人员迅速撤离到安全地点。</w:t>
      </w:r>
    </w:p>
    <w:p w14:paraId="2C3B03A2">
      <w:pPr>
        <w:spacing w:line="500" w:lineRule="exact"/>
        <w:ind w:firstLine="560" w:firstLineChars="200"/>
        <w:jc w:val="left"/>
        <w:rPr>
          <w:rFonts w:ascii="Times New Roman" w:eastAsia="仿宋"/>
          <w:sz w:val="28"/>
          <w:szCs w:val="28"/>
        </w:rPr>
      </w:pPr>
      <w:r>
        <w:rPr>
          <w:rFonts w:hint="eastAsia" w:ascii="Times New Roman" w:eastAsia="仿宋"/>
          <w:sz w:val="28"/>
          <w:szCs w:val="28"/>
        </w:rPr>
        <w:t>紧急疏散时应注意：</w:t>
      </w:r>
    </w:p>
    <w:p w14:paraId="4FCD889B">
      <w:pPr>
        <w:spacing w:line="500" w:lineRule="exact"/>
        <w:ind w:firstLine="560" w:firstLineChars="200"/>
        <w:jc w:val="left"/>
        <w:rPr>
          <w:rFonts w:ascii="Times New Roman" w:eastAsia="仿宋"/>
          <w:sz w:val="28"/>
          <w:szCs w:val="28"/>
        </w:rPr>
      </w:pPr>
      <w:r>
        <w:rPr>
          <w:rFonts w:hint="eastAsia" w:ascii="Times New Roman" w:eastAsia="仿宋"/>
          <w:sz w:val="28"/>
          <w:szCs w:val="28"/>
        </w:rPr>
        <w:t>①如事故物质有毒时，需佩戴个体防护用品，并有相应的监护措施；</w:t>
      </w:r>
    </w:p>
    <w:p w14:paraId="519643CB">
      <w:pPr>
        <w:spacing w:line="500" w:lineRule="exact"/>
        <w:ind w:firstLine="560" w:firstLineChars="200"/>
        <w:jc w:val="left"/>
        <w:rPr>
          <w:rFonts w:ascii="Times New Roman" w:eastAsia="仿宋"/>
          <w:sz w:val="28"/>
          <w:szCs w:val="28"/>
        </w:rPr>
      </w:pPr>
      <w:r>
        <w:rPr>
          <w:rFonts w:hint="eastAsia" w:ascii="Times New Roman" w:eastAsia="仿宋"/>
          <w:sz w:val="28"/>
          <w:szCs w:val="28"/>
        </w:rPr>
        <w:t>②应向上风向转移；明确专人引导和护送疏散人员到安全区，并在疏散或撤离路线上设立哨位，指明方向；</w:t>
      </w:r>
    </w:p>
    <w:p w14:paraId="782747F6">
      <w:pPr>
        <w:spacing w:line="500" w:lineRule="exact"/>
        <w:ind w:firstLine="560" w:firstLineChars="200"/>
        <w:jc w:val="left"/>
        <w:rPr>
          <w:rFonts w:ascii="Times New Roman" w:eastAsia="仿宋"/>
          <w:sz w:val="28"/>
          <w:szCs w:val="28"/>
        </w:rPr>
      </w:pPr>
      <w:r>
        <w:rPr>
          <w:rFonts w:hint="eastAsia" w:ascii="Times New Roman" w:eastAsia="仿宋"/>
          <w:sz w:val="28"/>
          <w:szCs w:val="28"/>
        </w:rPr>
        <w:t>③不要在低洼处滞留；</w:t>
      </w:r>
    </w:p>
    <w:p w14:paraId="3219B13A">
      <w:pPr>
        <w:spacing w:line="500" w:lineRule="exact"/>
        <w:ind w:firstLine="560" w:firstLineChars="200"/>
        <w:jc w:val="left"/>
        <w:rPr>
          <w:rFonts w:ascii="Times New Roman" w:eastAsia="仿宋"/>
          <w:sz w:val="28"/>
          <w:szCs w:val="28"/>
        </w:rPr>
      </w:pPr>
      <w:r>
        <w:rPr>
          <w:rFonts w:hint="eastAsia" w:ascii="Times New Roman" w:eastAsia="仿宋"/>
          <w:sz w:val="28"/>
          <w:szCs w:val="28"/>
        </w:rPr>
        <w:t>④要查清是否有人留在污染区与着火区。</w:t>
      </w:r>
    </w:p>
    <w:p w14:paraId="15CB68ED">
      <w:pPr>
        <w:spacing w:line="500" w:lineRule="exact"/>
        <w:ind w:firstLine="560" w:firstLineChars="200"/>
        <w:jc w:val="left"/>
        <w:rPr>
          <w:rFonts w:ascii="Times New Roman" w:eastAsia="仿宋"/>
          <w:sz w:val="28"/>
          <w:szCs w:val="28"/>
        </w:rPr>
      </w:pPr>
      <w:r>
        <w:rPr>
          <w:rFonts w:hint="eastAsia" w:ascii="Times New Roman" w:eastAsia="仿宋"/>
          <w:sz w:val="28"/>
          <w:szCs w:val="28"/>
        </w:rPr>
        <w:t>（9）事故应急救援关闭程序与恢复措施</w:t>
      </w:r>
    </w:p>
    <w:p w14:paraId="6AC760CA">
      <w:pPr>
        <w:spacing w:line="500" w:lineRule="exact"/>
        <w:ind w:firstLine="560" w:firstLineChars="200"/>
        <w:jc w:val="left"/>
        <w:rPr>
          <w:rFonts w:ascii="Times New Roman" w:eastAsia="仿宋"/>
          <w:sz w:val="28"/>
          <w:szCs w:val="28"/>
        </w:rPr>
      </w:pPr>
      <w:r>
        <w:rPr>
          <w:rFonts w:hint="eastAsia" w:ascii="Times New Roman" w:eastAsia="仿宋"/>
          <w:sz w:val="28"/>
          <w:szCs w:val="28"/>
        </w:rPr>
        <w:t>火灾爆炸事故或泄漏事故得以消除，确定事故现场不会有二次事故发生，经检测事故现场和邻近地区环境满足环境功能区要求，不会对人群身体健康造成伤害，事故现场警戒解除，现场应急救援结束，规定应急状态终止。通知邻近区域解除事故警戒，撤离和疏散人员可返回。事故现场进行善后处理，抢修，恢复生产。</w:t>
      </w:r>
    </w:p>
    <w:p w14:paraId="7E1415D2">
      <w:pPr>
        <w:spacing w:line="500" w:lineRule="exact"/>
        <w:ind w:firstLine="560" w:firstLineChars="200"/>
        <w:jc w:val="left"/>
        <w:rPr>
          <w:rFonts w:ascii="Times New Roman" w:eastAsia="仿宋"/>
          <w:sz w:val="28"/>
          <w:szCs w:val="28"/>
        </w:rPr>
      </w:pPr>
      <w:r>
        <w:rPr>
          <w:rFonts w:hint="eastAsia" w:ascii="Times New Roman" w:eastAsia="仿宋"/>
          <w:sz w:val="28"/>
          <w:szCs w:val="28"/>
        </w:rPr>
        <w:t>（10）应急培训计划</w:t>
      </w:r>
    </w:p>
    <w:p w14:paraId="4CFCD056">
      <w:pPr>
        <w:spacing w:line="500" w:lineRule="exact"/>
        <w:ind w:firstLine="560" w:firstLineChars="200"/>
        <w:jc w:val="left"/>
        <w:rPr>
          <w:rFonts w:ascii="Times New Roman" w:eastAsia="仿宋"/>
          <w:sz w:val="28"/>
          <w:szCs w:val="28"/>
        </w:rPr>
      </w:pPr>
      <w:r>
        <w:rPr>
          <w:rFonts w:hint="eastAsia" w:ascii="Times New Roman" w:eastAsia="仿宋"/>
          <w:sz w:val="28"/>
          <w:szCs w:val="28"/>
        </w:rPr>
        <w:t>由应急指挥中心负责，应急救援保障部门组织，安排人员对应急计划定期培训，每两年演练一次，预案两年修订一次，必要时及时修改。本项目相关人员应积极参加该培训及演练。</w:t>
      </w:r>
    </w:p>
    <w:p w14:paraId="10E7D5F2">
      <w:pPr>
        <w:spacing w:line="500" w:lineRule="exact"/>
        <w:ind w:firstLine="560" w:firstLineChars="200"/>
        <w:jc w:val="left"/>
        <w:rPr>
          <w:rFonts w:ascii="Times New Roman" w:eastAsia="仿宋"/>
          <w:sz w:val="28"/>
          <w:szCs w:val="28"/>
        </w:rPr>
      </w:pPr>
      <w:r>
        <w:rPr>
          <w:rFonts w:hint="eastAsia" w:ascii="Times New Roman" w:eastAsia="仿宋"/>
          <w:sz w:val="28"/>
          <w:szCs w:val="28"/>
        </w:rPr>
        <w:t>（11）公众教育和信息</w:t>
      </w:r>
    </w:p>
    <w:p w14:paraId="7D74071D">
      <w:pPr>
        <w:spacing w:line="500" w:lineRule="exact"/>
        <w:ind w:firstLine="560" w:firstLineChars="200"/>
        <w:jc w:val="left"/>
        <w:rPr>
          <w:rFonts w:ascii="Times New Roman" w:eastAsia="仿宋"/>
          <w:sz w:val="28"/>
          <w:szCs w:val="28"/>
        </w:rPr>
      </w:pPr>
      <w:r>
        <w:rPr>
          <w:rFonts w:hint="eastAsia" w:ascii="Times New Roman" w:eastAsia="仿宋"/>
          <w:sz w:val="28"/>
          <w:szCs w:val="28"/>
        </w:rPr>
        <w:t>根据预案内容，由应急指挥中心对工厂临近区域开展卫生宣教，普及防火防毒知识，使人人懂得预防方法。同时与周围民众保持通讯联络渠道的畅通，一旦事故发生时，可及时做好防范措施准备。</w:t>
      </w:r>
    </w:p>
    <w:p w14:paraId="44A5493F">
      <w:pPr>
        <w:spacing w:line="500" w:lineRule="exact"/>
        <w:ind w:firstLine="560" w:firstLineChars="200"/>
        <w:jc w:val="left"/>
        <w:rPr>
          <w:rFonts w:ascii="Times New Roman" w:eastAsia="仿宋"/>
          <w:sz w:val="28"/>
          <w:szCs w:val="28"/>
        </w:rPr>
      </w:pPr>
      <w:r>
        <w:rPr>
          <w:rFonts w:hint="eastAsia" w:ascii="Times New Roman" w:eastAsia="仿宋"/>
          <w:sz w:val="28"/>
          <w:szCs w:val="28"/>
        </w:rPr>
        <w:t>2、培训考核和记录</w:t>
      </w:r>
    </w:p>
    <w:p w14:paraId="05FB3563">
      <w:pPr>
        <w:spacing w:line="500" w:lineRule="exact"/>
        <w:ind w:firstLine="560" w:firstLineChars="200"/>
        <w:jc w:val="left"/>
        <w:rPr>
          <w:rFonts w:ascii="Times New Roman" w:eastAsia="仿宋"/>
          <w:sz w:val="28"/>
          <w:szCs w:val="28"/>
        </w:rPr>
      </w:pPr>
      <w:r>
        <w:rPr>
          <w:rFonts w:hint="eastAsia" w:ascii="Times New Roman" w:eastAsia="仿宋"/>
          <w:sz w:val="28"/>
          <w:szCs w:val="28"/>
        </w:rPr>
        <w:t>对每个员工进行安全知识和消防知识教育后，应进行考试。对员工考核结果应记录备案，考试通过即为合格。考试合格者才能使用，不合格者应继续补习，直到合格为止。</w:t>
      </w:r>
    </w:p>
    <w:p w14:paraId="33E7A2C6">
      <w:pPr>
        <w:spacing w:line="500" w:lineRule="exact"/>
        <w:ind w:firstLine="560" w:firstLineChars="200"/>
        <w:jc w:val="left"/>
        <w:rPr>
          <w:rFonts w:ascii="Times New Roman" w:eastAsia="仿宋"/>
          <w:sz w:val="28"/>
          <w:szCs w:val="28"/>
        </w:rPr>
      </w:pPr>
      <w:r>
        <w:rPr>
          <w:rFonts w:hint="eastAsia" w:ascii="Times New Roman" w:eastAsia="仿宋"/>
          <w:sz w:val="28"/>
          <w:szCs w:val="28"/>
        </w:rPr>
        <w:t>3、演练</w:t>
      </w:r>
    </w:p>
    <w:p w14:paraId="54FDD393">
      <w:pPr>
        <w:spacing w:line="500" w:lineRule="exact"/>
        <w:ind w:firstLine="560" w:firstLineChars="200"/>
        <w:jc w:val="left"/>
        <w:rPr>
          <w:rFonts w:ascii="Times New Roman" w:eastAsia="仿宋"/>
          <w:sz w:val="28"/>
          <w:szCs w:val="28"/>
        </w:rPr>
      </w:pPr>
      <w:r>
        <w:rPr>
          <w:rFonts w:hint="eastAsia" w:ascii="Times New Roman" w:eastAsia="仿宋"/>
          <w:sz w:val="28"/>
          <w:szCs w:val="28"/>
        </w:rPr>
        <w:t>制定每年进行安全教育和培训的计划、应急预案演练的计划付于实施，并建立档案。</w:t>
      </w:r>
    </w:p>
    <w:p w14:paraId="74F61C3C">
      <w:pPr>
        <w:spacing w:line="500" w:lineRule="exact"/>
        <w:ind w:firstLine="560" w:firstLineChars="200"/>
        <w:jc w:val="left"/>
        <w:rPr>
          <w:rFonts w:ascii="Times New Roman" w:eastAsia="仿宋"/>
          <w:sz w:val="28"/>
          <w:szCs w:val="28"/>
        </w:rPr>
      </w:pPr>
      <w:r>
        <w:rPr>
          <w:rFonts w:hint="eastAsia" w:ascii="Times New Roman" w:eastAsia="仿宋"/>
          <w:sz w:val="28"/>
          <w:szCs w:val="28"/>
        </w:rPr>
        <w:t>每年的应急预案演练计划分为火灾事故、毒物泄漏演练计划等。</w:t>
      </w:r>
    </w:p>
    <w:p w14:paraId="4FFA5AEE">
      <w:pPr>
        <w:spacing w:line="500" w:lineRule="exact"/>
        <w:ind w:firstLine="560" w:firstLineChars="200"/>
        <w:jc w:val="left"/>
        <w:rPr>
          <w:rFonts w:ascii="Times New Roman" w:eastAsia="仿宋"/>
          <w:sz w:val="28"/>
          <w:szCs w:val="28"/>
        </w:rPr>
      </w:pPr>
      <w:r>
        <w:rPr>
          <w:rFonts w:hint="eastAsia" w:ascii="Times New Roman" w:eastAsia="仿宋"/>
          <w:sz w:val="28"/>
          <w:szCs w:val="28"/>
        </w:rPr>
        <w:t>（1）演练方式分类：</w:t>
      </w:r>
    </w:p>
    <w:p w14:paraId="14FB6BB4">
      <w:pPr>
        <w:spacing w:line="500" w:lineRule="exact"/>
        <w:ind w:firstLine="560" w:firstLineChars="200"/>
        <w:jc w:val="left"/>
        <w:rPr>
          <w:rFonts w:ascii="Times New Roman" w:eastAsia="仿宋"/>
          <w:sz w:val="28"/>
          <w:szCs w:val="28"/>
        </w:rPr>
      </w:pPr>
      <w:r>
        <w:rPr>
          <w:rFonts w:hint="eastAsia" w:ascii="Times New Roman" w:eastAsia="仿宋"/>
          <w:sz w:val="28"/>
          <w:szCs w:val="28"/>
        </w:rPr>
        <w:t>①组织指挥演练：由指挥部的领导和各专业队负责人分别按应急救援预案要求，以组织指挥的形式组织实施应急救援任务的演练。</w:t>
      </w:r>
    </w:p>
    <w:p w14:paraId="412402D2">
      <w:pPr>
        <w:spacing w:line="500" w:lineRule="exact"/>
        <w:ind w:firstLine="560" w:firstLineChars="200"/>
        <w:jc w:val="left"/>
        <w:rPr>
          <w:rFonts w:ascii="Times New Roman" w:eastAsia="仿宋"/>
          <w:sz w:val="28"/>
          <w:szCs w:val="28"/>
        </w:rPr>
      </w:pPr>
      <w:r>
        <w:rPr>
          <w:rFonts w:hint="eastAsia" w:ascii="Times New Roman" w:eastAsia="仿宋"/>
          <w:sz w:val="28"/>
          <w:szCs w:val="28"/>
        </w:rPr>
        <w:t>②单项演练：由各专业队各自开展的应急救援任务中的单项科目的演练。</w:t>
      </w:r>
    </w:p>
    <w:p w14:paraId="215E23B4">
      <w:pPr>
        <w:spacing w:line="500" w:lineRule="exact"/>
        <w:ind w:firstLine="560" w:firstLineChars="200"/>
        <w:jc w:val="left"/>
        <w:rPr>
          <w:rFonts w:ascii="Times New Roman" w:eastAsia="仿宋"/>
          <w:sz w:val="28"/>
          <w:szCs w:val="28"/>
        </w:rPr>
      </w:pPr>
      <w:r>
        <w:rPr>
          <w:rFonts w:hint="eastAsia" w:ascii="Times New Roman" w:eastAsia="仿宋"/>
          <w:sz w:val="28"/>
          <w:szCs w:val="28"/>
        </w:rPr>
        <w:t>③综合演练：由应急救援指挥部按应急救援预案要求，开展的全面演练。</w:t>
      </w:r>
    </w:p>
    <w:p w14:paraId="1E8E1A14">
      <w:pPr>
        <w:spacing w:line="500" w:lineRule="exact"/>
        <w:ind w:firstLine="560" w:firstLineChars="200"/>
        <w:jc w:val="left"/>
        <w:rPr>
          <w:rFonts w:ascii="Times New Roman" w:eastAsia="仿宋"/>
          <w:sz w:val="28"/>
          <w:szCs w:val="28"/>
        </w:rPr>
      </w:pPr>
      <w:r>
        <w:rPr>
          <w:rFonts w:hint="eastAsia" w:ascii="Times New Roman" w:eastAsia="仿宋"/>
          <w:sz w:val="28"/>
          <w:szCs w:val="28"/>
        </w:rPr>
        <w:t>（2）演练内容：</w:t>
      </w:r>
    </w:p>
    <w:p w14:paraId="2C00E92C">
      <w:pPr>
        <w:spacing w:line="500" w:lineRule="exact"/>
        <w:ind w:firstLine="560" w:firstLineChars="200"/>
        <w:jc w:val="left"/>
        <w:rPr>
          <w:rFonts w:ascii="Times New Roman" w:eastAsia="仿宋"/>
          <w:sz w:val="28"/>
          <w:szCs w:val="28"/>
        </w:rPr>
      </w:pPr>
      <w:r>
        <w:rPr>
          <w:rFonts w:hint="eastAsia" w:ascii="Times New Roman" w:eastAsia="仿宋"/>
          <w:sz w:val="28"/>
          <w:szCs w:val="28"/>
        </w:rPr>
        <w:t>①装置、设备泄漏的应急处置抢险；</w:t>
      </w:r>
    </w:p>
    <w:p w14:paraId="35CC18C1">
      <w:pPr>
        <w:spacing w:line="500" w:lineRule="exact"/>
        <w:ind w:firstLine="560" w:firstLineChars="200"/>
        <w:jc w:val="left"/>
        <w:rPr>
          <w:rFonts w:ascii="Times New Roman" w:eastAsia="仿宋"/>
          <w:sz w:val="28"/>
          <w:szCs w:val="28"/>
        </w:rPr>
      </w:pPr>
      <w:r>
        <w:rPr>
          <w:rFonts w:hint="eastAsia" w:ascii="Times New Roman" w:eastAsia="仿宋"/>
          <w:sz w:val="28"/>
          <w:szCs w:val="28"/>
        </w:rPr>
        <w:t>②通信及报警信号的联络；</w:t>
      </w:r>
    </w:p>
    <w:p w14:paraId="21048F46">
      <w:pPr>
        <w:spacing w:line="500" w:lineRule="exact"/>
        <w:ind w:firstLine="560" w:firstLineChars="200"/>
        <w:jc w:val="left"/>
        <w:rPr>
          <w:rFonts w:ascii="Times New Roman" w:eastAsia="仿宋"/>
          <w:sz w:val="28"/>
          <w:szCs w:val="28"/>
        </w:rPr>
      </w:pPr>
      <w:r>
        <w:rPr>
          <w:rFonts w:hint="eastAsia" w:ascii="Times New Roman" w:eastAsia="仿宋"/>
          <w:sz w:val="28"/>
          <w:szCs w:val="28"/>
        </w:rPr>
        <w:t>③急救及医疗；</w:t>
      </w:r>
    </w:p>
    <w:p w14:paraId="31808720">
      <w:pPr>
        <w:spacing w:line="500" w:lineRule="exact"/>
        <w:ind w:firstLine="560" w:firstLineChars="200"/>
        <w:jc w:val="left"/>
        <w:rPr>
          <w:rFonts w:ascii="Times New Roman" w:eastAsia="仿宋"/>
          <w:sz w:val="28"/>
          <w:szCs w:val="28"/>
        </w:rPr>
      </w:pPr>
      <w:r>
        <w:rPr>
          <w:rFonts w:hint="eastAsia" w:ascii="Times New Roman" w:eastAsia="仿宋"/>
          <w:sz w:val="28"/>
          <w:szCs w:val="28"/>
        </w:rPr>
        <w:t>④消毒及洗消处理；</w:t>
      </w:r>
    </w:p>
    <w:p w14:paraId="4C70A731">
      <w:pPr>
        <w:spacing w:line="500" w:lineRule="exact"/>
        <w:ind w:firstLine="560" w:firstLineChars="200"/>
        <w:jc w:val="left"/>
        <w:rPr>
          <w:rFonts w:ascii="Times New Roman" w:eastAsia="仿宋"/>
          <w:sz w:val="28"/>
          <w:szCs w:val="28"/>
        </w:rPr>
      </w:pPr>
      <w:r>
        <w:rPr>
          <w:rFonts w:hint="eastAsia" w:ascii="Times New Roman" w:eastAsia="仿宋"/>
          <w:sz w:val="28"/>
          <w:szCs w:val="28"/>
        </w:rPr>
        <w:t>⑤染毒空气监测与化验；</w:t>
      </w:r>
    </w:p>
    <w:p w14:paraId="53508575">
      <w:pPr>
        <w:spacing w:line="500" w:lineRule="exact"/>
        <w:ind w:firstLine="560" w:firstLineChars="200"/>
        <w:jc w:val="left"/>
        <w:rPr>
          <w:rFonts w:ascii="Times New Roman" w:eastAsia="仿宋"/>
          <w:sz w:val="28"/>
          <w:szCs w:val="28"/>
        </w:rPr>
      </w:pPr>
      <w:r>
        <w:rPr>
          <w:rFonts w:hint="eastAsia" w:ascii="Times New Roman" w:eastAsia="仿宋"/>
          <w:sz w:val="28"/>
          <w:szCs w:val="28"/>
        </w:rPr>
        <w:t>⑥防护指导，包括专业人员的个人防护及员工的自我防护；</w:t>
      </w:r>
    </w:p>
    <w:p w14:paraId="5AD1E49B">
      <w:pPr>
        <w:spacing w:line="500" w:lineRule="exact"/>
        <w:ind w:firstLine="560" w:firstLineChars="200"/>
        <w:jc w:val="left"/>
        <w:rPr>
          <w:rFonts w:ascii="Times New Roman" w:eastAsia="仿宋"/>
          <w:sz w:val="28"/>
          <w:szCs w:val="28"/>
        </w:rPr>
      </w:pPr>
      <w:r>
        <w:rPr>
          <w:rFonts w:hint="eastAsia" w:ascii="Times New Roman" w:eastAsia="仿宋"/>
          <w:sz w:val="28"/>
          <w:szCs w:val="28"/>
        </w:rPr>
        <w:t>⑦各种标志、设置警戒范围及人员控制；</w:t>
      </w:r>
    </w:p>
    <w:p w14:paraId="4C7D708F">
      <w:pPr>
        <w:spacing w:line="500" w:lineRule="exact"/>
        <w:ind w:firstLine="560" w:firstLineChars="200"/>
        <w:jc w:val="left"/>
        <w:rPr>
          <w:rFonts w:ascii="Times New Roman" w:eastAsia="仿宋"/>
          <w:sz w:val="28"/>
          <w:szCs w:val="28"/>
        </w:rPr>
      </w:pPr>
      <w:r>
        <w:rPr>
          <w:rFonts w:hint="eastAsia" w:ascii="Times New Roman" w:eastAsia="仿宋"/>
          <w:sz w:val="28"/>
          <w:szCs w:val="28"/>
        </w:rPr>
        <w:t>⑧厂内交通控制及管理；</w:t>
      </w:r>
    </w:p>
    <w:p w14:paraId="7C3D808D">
      <w:pPr>
        <w:spacing w:line="500" w:lineRule="exact"/>
        <w:ind w:firstLine="560" w:firstLineChars="200"/>
        <w:jc w:val="left"/>
        <w:rPr>
          <w:rFonts w:ascii="Times New Roman" w:eastAsia="仿宋"/>
          <w:sz w:val="28"/>
          <w:szCs w:val="28"/>
        </w:rPr>
      </w:pPr>
      <w:r>
        <w:rPr>
          <w:rFonts w:hint="eastAsia" w:ascii="Times New Roman" w:eastAsia="仿宋"/>
          <w:sz w:val="28"/>
          <w:szCs w:val="28"/>
        </w:rPr>
        <w:t>⑨泄漏污染区域内人员的疏散撤离及人员清查；</w:t>
      </w:r>
    </w:p>
    <w:p w14:paraId="55F63317">
      <w:pPr>
        <w:spacing w:line="500" w:lineRule="exact"/>
        <w:ind w:firstLine="560" w:firstLineChars="200"/>
        <w:jc w:val="left"/>
        <w:rPr>
          <w:rFonts w:ascii="Times New Roman" w:eastAsia="仿宋"/>
          <w:sz w:val="28"/>
          <w:szCs w:val="28"/>
        </w:rPr>
      </w:pPr>
      <w:r>
        <w:rPr>
          <w:rFonts w:hint="eastAsia" w:ascii="Times New Roman" w:eastAsia="仿宋"/>
          <w:sz w:val="28"/>
          <w:szCs w:val="28"/>
        </w:rPr>
        <w:t>⑩向上级报告情况及向友邻单位通报情况、事故的善后工作。</w:t>
      </w:r>
    </w:p>
    <w:p w14:paraId="483371FB">
      <w:pPr>
        <w:spacing w:line="500" w:lineRule="exact"/>
        <w:ind w:firstLine="560" w:firstLineChars="200"/>
        <w:jc w:val="left"/>
        <w:rPr>
          <w:rFonts w:ascii="Times New Roman" w:eastAsia="仿宋"/>
          <w:sz w:val="28"/>
          <w:szCs w:val="28"/>
        </w:rPr>
      </w:pPr>
      <w:r>
        <w:rPr>
          <w:rFonts w:hint="eastAsia" w:ascii="Times New Roman" w:eastAsia="仿宋"/>
          <w:sz w:val="28"/>
          <w:szCs w:val="28"/>
        </w:rPr>
        <w:t>（3）演练范围与频次：</w:t>
      </w:r>
    </w:p>
    <w:p w14:paraId="24653F35">
      <w:pPr>
        <w:spacing w:line="500" w:lineRule="exact"/>
        <w:ind w:firstLine="560" w:firstLineChars="200"/>
        <w:jc w:val="left"/>
        <w:rPr>
          <w:rFonts w:ascii="Times New Roman" w:eastAsia="仿宋"/>
          <w:sz w:val="28"/>
          <w:szCs w:val="28"/>
        </w:rPr>
      </w:pPr>
      <w:r>
        <w:rPr>
          <w:rFonts w:hint="eastAsia" w:ascii="Times New Roman" w:eastAsia="仿宋"/>
          <w:sz w:val="28"/>
          <w:szCs w:val="28"/>
        </w:rPr>
        <w:t>①组织指挥演练由指挥领导小组副组长每半年组织一次；</w:t>
      </w:r>
    </w:p>
    <w:p w14:paraId="216386A3">
      <w:pPr>
        <w:spacing w:line="500" w:lineRule="exact"/>
        <w:ind w:firstLine="560" w:firstLineChars="200"/>
        <w:jc w:val="left"/>
        <w:rPr>
          <w:rFonts w:ascii="Times New Roman" w:eastAsia="仿宋"/>
          <w:sz w:val="28"/>
          <w:szCs w:val="28"/>
        </w:rPr>
      </w:pPr>
      <w:r>
        <w:rPr>
          <w:rFonts w:hint="eastAsia" w:ascii="Times New Roman" w:eastAsia="仿宋"/>
          <w:sz w:val="28"/>
          <w:szCs w:val="28"/>
        </w:rPr>
        <w:t>②单项演练由安保部每季组织一次；</w:t>
      </w:r>
    </w:p>
    <w:p w14:paraId="6395122C">
      <w:pPr>
        <w:spacing w:line="500" w:lineRule="exact"/>
        <w:ind w:firstLine="560" w:firstLineChars="200"/>
        <w:jc w:val="left"/>
        <w:rPr>
          <w:rFonts w:ascii="Times New Roman" w:eastAsia="仿宋"/>
          <w:sz w:val="28"/>
          <w:szCs w:val="28"/>
        </w:rPr>
      </w:pPr>
      <w:r>
        <w:rPr>
          <w:rFonts w:hint="eastAsia" w:ascii="Times New Roman" w:eastAsia="仿宋"/>
          <w:sz w:val="28"/>
          <w:szCs w:val="28"/>
        </w:rPr>
        <w:t>③综合演练由指挥领导小组组长每年组织一次。</w:t>
      </w:r>
    </w:p>
    <w:p w14:paraId="1D68B5BA">
      <w:pPr>
        <w:keepNext/>
        <w:keepLines/>
        <w:spacing w:before="120" w:after="120" w:line="500" w:lineRule="exact"/>
        <w:outlineLvl w:val="2"/>
        <w:rPr>
          <w:rFonts w:ascii="Times New Roman" w:eastAsia="仿宋"/>
          <w:b/>
          <w:bCs/>
          <w:sz w:val="28"/>
          <w:szCs w:val="32"/>
        </w:rPr>
      </w:pPr>
      <w:r>
        <w:rPr>
          <w:rFonts w:ascii="Times New Roman" w:eastAsia="仿宋"/>
          <w:b/>
          <w:sz w:val="28"/>
          <w:szCs w:val="32"/>
        </w:rPr>
        <w:t>6.</w:t>
      </w:r>
      <w:r>
        <w:rPr>
          <w:rFonts w:hint="eastAsia" w:ascii="Times New Roman" w:eastAsia="仿宋"/>
          <w:b/>
          <w:sz w:val="28"/>
          <w:szCs w:val="32"/>
        </w:rPr>
        <w:t>5</w:t>
      </w:r>
      <w:r>
        <w:rPr>
          <w:rFonts w:ascii="Times New Roman" w:eastAsia="仿宋"/>
          <w:b/>
          <w:sz w:val="28"/>
          <w:szCs w:val="32"/>
        </w:rPr>
        <w:t>.3</w:t>
      </w:r>
      <w:r>
        <w:rPr>
          <w:rFonts w:hint="eastAsia" w:ascii="Times New Roman" w:eastAsia="仿宋"/>
          <w:b/>
          <w:sz w:val="28"/>
          <w:szCs w:val="32"/>
        </w:rPr>
        <w:t>环境</w:t>
      </w:r>
      <w:r>
        <w:rPr>
          <w:rFonts w:ascii="Times New Roman" w:eastAsia="仿宋"/>
          <w:b/>
          <w:sz w:val="28"/>
          <w:szCs w:val="32"/>
        </w:rPr>
        <w:t>应急</w:t>
      </w:r>
      <w:r>
        <w:rPr>
          <w:rFonts w:hint="eastAsia" w:ascii="Times New Roman" w:eastAsia="仿宋"/>
          <w:b/>
          <w:sz w:val="28"/>
          <w:szCs w:val="32"/>
        </w:rPr>
        <w:t>管理制度内容</w:t>
      </w:r>
    </w:p>
    <w:p w14:paraId="7A346FD3">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.3.1</w:t>
      </w:r>
      <w:r>
        <w:rPr>
          <w:rFonts w:hint="eastAsia" w:ascii="Times New Roman" w:eastAsia="仿宋"/>
          <w:b/>
          <w:bCs/>
          <w:sz w:val="28"/>
        </w:rPr>
        <w:t>环境应急管理制度</w:t>
      </w:r>
    </w:p>
    <w:p w14:paraId="3521714C">
      <w:pPr>
        <w:spacing w:line="500" w:lineRule="exact"/>
        <w:ind w:firstLine="560" w:firstLineChars="200"/>
        <w:jc w:val="left"/>
        <w:rPr>
          <w:rFonts w:ascii="Times New Roman" w:eastAsia="仿宋"/>
          <w:sz w:val="28"/>
          <w:szCs w:val="28"/>
        </w:rPr>
      </w:pPr>
      <w:r>
        <w:rPr>
          <w:rFonts w:hint="eastAsia" w:ascii="Times New Roman" w:eastAsia="仿宋"/>
          <w:sz w:val="28"/>
          <w:szCs w:val="28"/>
        </w:rPr>
        <w:t>1、突发环境事件应急预案编制、修订和备案要求</w:t>
      </w:r>
    </w:p>
    <w:p w14:paraId="75973010">
      <w:pPr>
        <w:spacing w:line="500" w:lineRule="exact"/>
        <w:ind w:firstLine="560" w:firstLineChars="200"/>
        <w:jc w:val="left"/>
        <w:rPr>
          <w:rFonts w:ascii="Times New Roman" w:eastAsia="仿宋"/>
          <w:sz w:val="28"/>
          <w:szCs w:val="28"/>
        </w:rPr>
      </w:pPr>
      <w:r>
        <w:rPr>
          <w:rFonts w:hint="eastAsia" w:ascii="Times New Roman" w:eastAsia="仿宋"/>
          <w:sz w:val="28"/>
          <w:szCs w:val="28"/>
        </w:rPr>
        <w:t>事故应急指挥系统是应付紧急事故发生后进行事故救援处理的体系，该系统对事故发生后作出迅速反应，及时处理事故，果断决策，减少事故损失是十分必要的。它包括组织体系、通讯联络、人员救护等方面的内容。</w:t>
      </w:r>
    </w:p>
    <w:p w14:paraId="60111F47">
      <w:pPr>
        <w:spacing w:line="500" w:lineRule="exact"/>
        <w:ind w:firstLine="560" w:firstLineChars="200"/>
        <w:jc w:val="left"/>
        <w:rPr>
          <w:rFonts w:ascii="Times New Roman" w:eastAsia="仿宋"/>
          <w:sz w:val="28"/>
          <w:szCs w:val="28"/>
        </w:rPr>
      </w:pPr>
      <w:r>
        <w:rPr>
          <w:rFonts w:hint="eastAsia" w:ascii="Times New Roman" w:eastAsia="仿宋"/>
          <w:sz w:val="28"/>
          <w:szCs w:val="28"/>
        </w:rPr>
        <w:t>该公司项目生产过程中可能出现的事故类型为物料泄漏事故、火灾及爆炸事故，企业应按《企业事业单位突发环境事件应急预案备案管理办法（试行）》（环发〔2015〕4号）、《关于深入推进环境应急预案规范化管理工作的通知》（苏环办〔2012〕221号）等要求编制环境事故应急预案，并根据企业的实际情况，定期对应急预案进行修订，制定火灾、爆炸和物料泄漏时的应急措施，应急预案应根据《江苏省突发环境事件应急预案编制导则（试行）》相关要求编制，且应报环保主管部门备案。</w:t>
      </w:r>
    </w:p>
    <w:p w14:paraId="02A34102">
      <w:pPr>
        <w:spacing w:line="500" w:lineRule="exact"/>
        <w:ind w:firstLine="560" w:firstLineChars="200"/>
        <w:jc w:val="left"/>
        <w:rPr>
          <w:rFonts w:ascii="Times New Roman" w:eastAsia="仿宋"/>
          <w:sz w:val="28"/>
          <w:szCs w:val="28"/>
        </w:rPr>
      </w:pPr>
      <w:r>
        <w:rPr>
          <w:rFonts w:hint="eastAsia" w:ascii="Times New Roman" w:eastAsia="仿宋"/>
          <w:sz w:val="28"/>
          <w:szCs w:val="28"/>
        </w:rPr>
        <w:t>2、事故状态下的特征污染因子和应急监测能力</w:t>
      </w:r>
    </w:p>
    <w:p w14:paraId="0407F4F4">
      <w:pPr>
        <w:spacing w:line="500" w:lineRule="exact"/>
        <w:ind w:firstLine="560" w:firstLineChars="200"/>
        <w:jc w:val="left"/>
        <w:rPr>
          <w:rFonts w:ascii="Times New Roman" w:eastAsia="仿宋"/>
          <w:sz w:val="28"/>
          <w:szCs w:val="28"/>
        </w:rPr>
      </w:pPr>
      <w:r>
        <w:rPr>
          <w:rFonts w:hint="eastAsia" w:ascii="Times New Roman" w:eastAsia="仿宋"/>
          <w:sz w:val="28"/>
          <w:szCs w:val="28"/>
        </w:rPr>
        <w:t>本企业最大可信事故为原料储存区容器泄漏导致的二甲苯、氢氟酸泄漏事故，以及火灾爆炸</w:t>
      </w:r>
      <w:r>
        <w:rPr>
          <w:rFonts w:ascii="Times New Roman" w:eastAsia="仿宋"/>
          <w:sz w:val="28"/>
          <w:szCs w:val="28"/>
        </w:rPr>
        <w:t>事故时导致的伴生/次生污染物（如未燃烧完全的泄漏物、次生污染物CO、消防废水）对周围环境的影响</w:t>
      </w:r>
      <w:r>
        <w:rPr>
          <w:rFonts w:hint="eastAsia" w:ascii="Times New Roman" w:eastAsia="仿宋"/>
          <w:sz w:val="28"/>
          <w:szCs w:val="28"/>
        </w:rPr>
        <w:t>。</w:t>
      </w:r>
    </w:p>
    <w:p w14:paraId="602F6861">
      <w:pPr>
        <w:spacing w:line="500" w:lineRule="exact"/>
        <w:ind w:firstLine="560" w:firstLineChars="200"/>
        <w:jc w:val="left"/>
        <w:rPr>
          <w:rFonts w:ascii="Times New Roman" w:eastAsia="仿宋"/>
          <w:sz w:val="28"/>
          <w:szCs w:val="28"/>
        </w:rPr>
      </w:pPr>
      <w:r>
        <w:rPr>
          <w:rFonts w:hint="eastAsia" w:ascii="Times New Roman" w:eastAsia="仿宋"/>
          <w:sz w:val="28"/>
          <w:szCs w:val="28"/>
        </w:rPr>
        <w:t>事故状态下立即启动应急监测方案，现场调查组应以最快的速度赶赴现场，初步判定污染物的种类、性质、危害程度及受影响的范围；以最快方式赶赴现场采样监测，负责鉴定、识别污染物的种类、性质、危害程度及受影响的范围;对短期内不能消除降解的污染物进行持续跟踪监测；数据采集分析完毕后进行监测结果数据汇总,审核数据的有效性，制定并上报应急监测报告；若发生大规模泄漏，则应迅速分析应急监测样品，及时向上级承报分析结果。</w:t>
      </w:r>
    </w:p>
    <w:p w14:paraId="7184A3D7">
      <w:pPr>
        <w:spacing w:line="500" w:lineRule="exact"/>
        <w:ind w:firstLine="560" w:firstLineChars="200"/>
        <w:jc w:val="left"/>
        <w:rPr>
          <w:rFonts w:ascii="Times New Roman" w:eastAsia="仿宋"/>
          <w:sz w:val="28"/>
          <w:szCs w:val="28"/>
        </w:rPr>
      </w:pPr>
      <w:r>
        <w:rPr>
          <w:rFonts w:hint="eastAsia" w:ascii="Times New Roman" w:eastAsia="仿宋"/>
          <w:sz w:val="28"/>
          <w:szCs w:val="28"/>
        </w:rPr>
        <w:t>3、突发环境事件隐患排查治理制度</w:t>
      </w:r>
    </w:p>
    <w:p w14:paraId="37A1D3BD">
      <w:pPr>
        <w:spacing w:line="500" w:lineRule="exact"/>
        <w:ind w:firstLine="560" w:firstLineChars="200"/>
        <w:jc w:val="left"/>
        <w:rPr>
          <w:rFonts w:ascii="Times New Roman" w:eastAsia="仿宋"/>
          <w:sz w:val="28"/>
          <w:szCs w:val="28"/>
        </w:rPr>
      </w:pPr>
      <w:r>
        <w:rPr>
          <w:rFonts w:hint="eastAsia" w:ascii="Times New Roman" w:eastAsia="仿宋"/>
          <w:sz w:val="28"/>
          <w:szCs w:val="28"/>
        </w:rPr>
        <w:t>（1）隐患排查内容</w:t>
      </w:r>
    </w:p>
    <w:p w14:paraId="5088C8D3">
      <w:pPr>
        <w:spacing w:line="500" w:lineRule="exact"/>
        <w:ind w:firstLine="560" w:firstLineChars="200"/>
        <w:jc w:val="left"/>
        <w:rPr>
          <w:rFonts w:ascii="Times New Roman" w:eastAsia="仿宋"/>
          <w:sz w:val="28"/>
          <w:szCs w:val="28"/>
        </w:rPr>
      </w:pPr>
      <w:r>
        <w:rPr>
          <w:rFonts w:hint="eastAsia" w:ascii="Times New Roman" w:eastAsia="仿宋"/>
          <w:sz w:val="28"/>
          <w:szCs w:val="28"/>
        </w:rPr>
        <w:t>为深入践行习近平生态文明思想和总体国家安全观的重要论述，按照《突发环境事件应急管理办法》（环保部令第34号）、《省生态环境厅关于加强全省环境应急工作的意见》（苏环发〔2021〕5号）《江苏省突发环境事件隐患排查治理行动工作方案》（苏环办〔2022〕68号）、《企业突发环境事件隐患排查和治理工作指南（试行）》（中华人民共和国环境保护部公告2016年第74号）及2022年全市生态环境保护工作会议要求，企业需从环境应急管理和突发环境事件风险防控措施两大方面排查可能直接导致或次生突发环境事件的隐患。</w:t>
      </w:r>
    </w:p>
    <w:p w14:paraId="69119C7E">
      <w:pPr>
        <w:spacing w:line="500" w:lineRule="exact"/>
        <w:ind w:firstLine="560" w:firstLineChars="200"/>
        <w:jc w:val="left"/>
        <w:rPr>
          <w:rFonts w:ascii="Times New Roman" w:eastAsia="仿宋"/>
          <w:sz w:val="28"/>
          <w:szCs w:val="28"/>
        </w:rPr>
      </w:pPr>
      <w:r>
        <w:rPr>
          <w:rFonts w:hint="eastAsia" w:ascii="Times New Roman" w:eastAsia="仿宋"/>
          <w:sz w:val="28"/>
          <w:szCs w:val="28"/>
        </w:rPr>
        <w:t>（2）突发环境事件隐患排查基本要求</w:t>
      </w:r>
    </w:p>
    <w:p w14:paraId="406A88C1">
      <w:pPr>
        <w:spacing w:line="500" w:lineRule="exact"/>
        <w:ind w:firstLine="560" w:firstLineChars="200"/>
        <w:jc w:val="left"/>
        <w:rPr>
          <w:rFonts w:ascii="Times New Roman" w:eastAsia="仿宋"/>
          <w:sz w:val="28"/>
          <w:szCs w:val="28"/>
        </w:rPr>
      </w:pPr>
      <w:r>
        <w:rPr>
          <w:rFonts w:hint="eastAsia" w:ascii="Times New Roman" w:eastAsia="仿宋"/>
          <w:sz w:val="28"/>
          <w:szCs w:val="28"/>
        </w:rPr>
        <w:t>①建立完善隐患排查治理管理机构</w:t>
      </w:r>
    </w:p>
    <w:p w14:paraId="4A088CE2">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企业应当建立并完善隐患排查管理机构，配备相应的管理和技术人员。</w:t>
      </w:r>
    </w:p>
    <w:p w14:paraId="4D26F1CC">
      <w:pPr>
        <w:spacing w:line="500" w:lineRule="exact"/>
        <w:ind w:firstLine="560" w:firstLineChars="200"/>
        <w:jc w:val="left"/>
        <w:rPr>
          <w:rFonts w:ascii="Times New Roman" w:eastAsia="仿宋"/>
          <w:sz w:val="28"/>
          <w:szCs w:val="28"/>
        </w:rPr>
      </w:pPr>
      <w:r>
        <w:rPr>
          <w:rFonts w:hint="eastAsia" w:ascii="Times New Roman" w:eastAsia="仿宋"/>
          <w:sz w:val="28"/>
          <w:szCs w:val="28"/>
        </w:rPr>
        <w:t>②建立隐患排查治理制度</w:t>
      </w:r>
    </w:p>
    <w:p w14:paraId="7C42EB80">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企业应当按照下列要求建立健全隐患排查治理制度：</w:t>
      </w:r>
    </w:p>
    <w:p w14:paraId="319B27C0">
      <w:pPr>
        <w:spacing w:line="500" w:lineRule="exact"/>
        <w:ind w:firstLine="560" w:firstLineChars="200"/>
        <w:jc w:val="left"/>
        <w:rPr>
          <w:rFonts w:ascii="Times New Roman" w:eastAsia="仿宋"/>
          <w:sz w:val="28"/>
          <w:szCs w:val="28"/>
        </w:rPr>
      </w:pPr>
      <w:r>
        <w:rPr>
          <w:rFonts w:hint="eastAsia" w:ascii="Times New Roman" w:eastAsia="仿宋"/>
          <w:sz w:val="28"/>
          <w:szCs w:val="28"/>
        </w:rPr>
        <w:t>a.建立隐患排查治理责任制。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仓库、危废仓库、装置区划分排查区域，明确每个区域的责任人，逐级建立并落实隐患排查治理岗位责任制。</w:t>
      </w:r>
    </w:p>
    <w:p w14:paraId="4470AB11">
      <w:pPr>
        <w:spacing w:line="500" w:lineRule="exact"/>
        <w:ind w:firstLine="560" w:firstLineChars="200"/>
        <w:jc w:val="left"/>
        <w:rPr>
          <w:rFonts w:ascii="Times New Roman" w:eastAsia="仿宋"/>
          <w:sz w:val="28"/>
          <w:szCs w:val="28"/>
        </w:rPr>
      </w:pPr>
      <w:r>
        <w:rPr>
          <w:rFonts w:hint="eastAsia" w:ascii="Times New Roman" w:eastAsia="仿宋"/>
          <w:sz w:val="28"/>
          <w:szCs w:val="28"/>
        </w:rPr>
        <w:t>b.制定突发环境事件风险防控设施的操作规程和检查、运行、维修与维护等规定，保证资金投入，确保各设施处于正常完好状态。</w:t>
      </w:r>
    </w:p>
    <w:p w14:paraId="72D91B5D">
      <w:pPr>
        <w:spacing w:line="500" w:lineRule="exact"/>
        <w:ind w:firstLine="560" w:firstLineChars="200"/>
        <w:jc w:val="left"/>
        <w:rPr>
          <w:rFonts w:ascii="Times New Roman" w:eastAsia="仿宋"/>
          <w:sz w:val="28"/>
          <w:szCs w:val="28"/>
        </w:rPr>
      </w:pPr>
      <w:r>
        <w:rPr>
          <w:rFonts w:hint="eastAsia" w:ascii="Times New Roman" w:eastAsia="仿宋"/>
          <w:sz w:val="28"/>
          <w:szCs w:val="28"/>
        </w:rPr>
        <w:t>c.建立自查、自报、自改、自验的隐患排查治理组织实施制度。</w:t>
      </w:r>
    </w:p>
    <w:p w14:paraId="4EC4B93D">
      <w:pPr>
        <w:spacing w:line="500" w:lineRule="exact"/>
        <w:ind w:firstLine="560" w:firstLineChars="200"/>
        <w:jc w:val="left"/>
        <w:rPr>
          <w:rFonts w:ascii="Times New Roman" w:eastAsia="仿宋"/>
          <w:sz w:val="28"/>
          <w:szCs w:val="28"/>
        </w:rPr>
      </w:pPr>
      <w:r>
        <w:rPr>
          <w:rFonts w:hint="eastAsia" w:ascii="Times New Roman" w:eastAsia="仿宋"/>
          <w:sz w:val="28"/>
          <w:szCs w:val="28"/>
        </w:rPr>
        <w:t>d.如实记录隐患排查治理情况，形成档案文件并做好存档。</w:t>
      </w:r>
    </w:p>
    <w:p w14:paraId="6F696857">
      <w:pPr>
        <w:spacing w:line="500" w:lineRule="exact"/>
        <w:ind w:firstLine="560" w:firstLineChars="200"/>
        <w:jc w:val="left"/>
        <w:rPr>
          <w:rFonts w:ascii="Times New Roman" w:eastAsia="仿宋"/>
          <w:sz w:val="28"/>
          <w:szCs w:val="28"/>
        </w:rPr>
      </w:pPr>
      <w:r>
        <w:rPr>
          <w:rFonts w:hint="eastAsia" w:ascii="Times New Roman" w:eastAsia="仿宋"/>
          <w:sz w:val="28"/>
          <w:szCs w:val="28"/>
        </w:rPr>
        <w:t>e.及时修订企业突发环境事件应急预案、完善相关突发环境事件风险防控措施。</w:t>
      </w:r>
    </w:p>
    <w:p w14:paraId="14323277">
      <w:pPr>
        <w:spacing w:line="500" w:lineRule="exact"/>
        <w:ind w:firstLine="560" w:firstLineChars="200"/>
        <w:jc w:val="left"/>
        <w:rPr>
          <w:rFonts w:ascii="Times New Roman" w:eastAsia="仿宋"/>
          <w:sz w:val="28"/>
          <w:szCs w:val="28"/>
        </w:rPr>
      </w:pPr>
      <w:r>
        <w:rPr>
          <w:rFonts w:hint="eastAsia" w:ascii="Times New Roman" w:eastAsia="仿宋"/>
          <w:sz w:val="28"/>
          <w:szCs w:val="28"/>
        </w:rPr>
        <w:t>f.定期对员工进行隐患排查治理相关知识的宣传和培训。</w:t>
      </w:r>
    </w:p>
    <w:p w14:paraId="5D5C1975">
      <w:pPr>
        <w:spacing w:line="500" w:lineRule="exact"/>
        <w:ind w:firstLine="560" w:firstLineChars="200"/>
        <w:jc w:val="left"/>
        <w:rPr>
          <w:rFonts w:ascii="Times New Roman" w:eastAsia="仿宋"/>
          <w:sz w:val="28"/>
          <w:szCs w:val="28"/>
        </w:rPr>
      </w:pPr>
      <w:r>
        <w:rPr>
          <w:rFonts w:hint="eastAsia" w:ascii="Times New Roman" w:eastAsia="仿宋"/>
          <w:sz w:val="28"/>
          <w:szCs w:val="28"/>
        </w:rPr>
        <w:t>g.有条件的企业应当建立与企业相关信息化管理系统联网的突发环境事件隐患排查治理信息系统。</w:t>
      </w:r>
    </w:p>
    <w:p w14:paraId="072C1304">
      <w:pPr>
        <w:spacing w:line="500" w:lineRule="exact"/>
        <w:ind w:firstLine="560" w:firstLineChars="200"/>
        <w:jc w:val="left"/>
        <w:rPr>
          <w:rFonts w:ascii="Times New Roman" w:eastAsia="仿宋"/>
          <w:sz w:val="28"/>
          <w:szCs w:val="28"/>
        </w:rPr>
      </w:pPr>
      <w:r>
        <w:rPr>
          <w:rFonts w:hint="eastAsia" w:ascii="Times New Roman" w:eastAsia="仿宋"/>
          <w:sz w:val="28"/>
          <w:szCs w:val="28"/>
        </w:rPr>
        <w:t>③明确隐患排查方式和频次</w:t>
      </w:r>
    </w:p>
    <w:p w14:paraId="01BE3BDF">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企业应当综合考虑企业自身突发环境事件风险等级、生产工况等因素合理制定年度工作计划，明确排查频次、排查规模、排查项目等内容。</w:t>
      </w:r>
    </w:p>
    <w:p w14:paraId="1E6CC445">
      <w:pPr>
        <w:spacing w:line="500" w:lineRule="exact"/>
        <w:ind w:firstLine="560" w:firstLineChars="200"/>
        <w:jc w:val="left"/>
        <w:rPr>
          <w:rFonts w:ascii="Times New Roman" w:eastAsia="仿宋"/>
          <w:sz w:val="28"/>
          <w:szCs w:val="28"/>
        </w:rPr>
      </w:pPr>
      <w:r>
        <w:rPr>
          <w:rFonts w:hint="eastAsia" w:ascii="Times New Roman" w:eastAsia="仿宋"/>
          <w:sz w:val="28"/>
          <w:szCs w:val="28"/>
        </w:rPr>
        <w:t>根据排查频次、排查规模、排查项目不同，排查可分为综合排查、日常排查、专项排查及抽查等方式。企业应建立以日常排查为主的隐患排查工作机制，及时发现并治理隐患。</w:t>
      </w:r>
    </w:p>
    <w:p w14:paraId="4B3EE000">
      <w:pPr>
        <w:spacing w:line="500" w:lineRule="exact"/>
        <w:ind w:firstLine="560" w:firstLineChars="200"/>
        <w:jc w:val="left"/>
        <w:rPr>
          <w:rFonts w:ascii="Times New Roman" w:eastAsia="仿宋"/>
          <w:sz w:val="28"/>
          <w:szCs w:val="28"/>
        </w:rPr>
      </w:pPr>
      <w:r>
        <w:rPr>
          <w:rFonts w:hint="eastAsia" w:ascii="Times New Roman" w:eastAsia="仿宋"/>
          <w:sz w:val="28"/>
          <w:szCs w:val="28"/>
        </w:rPr>
        <w:t>综合排查是指企业以厂区为单位开展全面排查，一年应不少于一次。</w:t>
      </w:r>
    </w:p>
    <w:p w14:paraId="68841EDA">
      <w:pPr>
        <w:spacing w:line="500" w:lineRule="exact"/>
        <w:ind w:firstLine="560" w:firstLineChars="200"/>
        <w:jc w:val="left"/>
        <w:rPr>
          <w:rFonts w:ascii="Times New Roman" w:eastAsia="仿宋"/>
          <w:sz w:val="28"/>
          <w:szCs w:val="28"/>
        </w:rPr>
      </w:pPr>
      <w:r>
        <w:rPr>
          <w:rFonts w:hint="eastAsia" w:ascii="Times New Roman" w:eastAsia="仿宋"/>
          <w:sz w:val="28"/>
          <w:szCs w:val="28"/>
        </w:rPr>
        <w:t>日常排查是指以班组、工段、车间为单位，组织的对单个或几个项目采取日常的、巡视性的排查工作，其频次根据具体排查项目确定。一月应不少于一次。</w:t>
      </w:r>
    </w:p>
    <w:p w14:paraId="2B780E03">
      <w:pPr>
        <w:spacing w:line="500" w:lineRule="exact"/>
        <w:ind w:firstLine="560" w:firstLineChars="200"/>
        <w:jc w:val="left"/>
        <w:rPr>
          <w:rFonts w:ascii="Times New Roman" w:eastAsia="仿宋"/>
          <w:sz w:val="28"/>
          <w:szCs w:val="28"/>
        </w:rPr>
      </w:pPr>
      <w:r>
        <w:rPr>
          <w:rFonts w:hint="eastAsia" w:ascii="Times New Roman" w:eastAsia="仿宋"/>
          <w:sz w:val="28"/>
          <w:szCs w:val="28"/>
        </w:rPr>
        <w:t>专项排查是在特定时间或对特定区域、设备、措施进行的专门性排查。其频次根据实际需要确定。</w:t>
      </w:r>
    </w:p>
    <w:p w14:paraId="4EC64D16">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企业可根据自身管理流程，采取抽查方式排查隐患。</w:t>
      </w:r>
    </w:p>
    <w:p w14:paraId="6B6822E9">
      <w:pPr>
        <w:spacing w:line="500" w:lineRule="exact"/>
        <w:ind w:firstLine="560" w:firstLineChars="200"/>
        <w:jc w:val="left"/>
        <w:rPr>
          <w:rFonts w:ascii="Times New Roman" w:eastAsia="仿宋"/>
          <w:sz w:val="28"/>
          <w:szCs w:val="28"/>
        </w:rPr>
      </w:pPr>
      <w:r>
        <w:rPr>
          <w:rFonts w:hint="eastAsia" w:ascii="Times New Roman" w:eastAsia="仿宋"/>
          <w:sz w:val="28"/>
          <w:szCs w:val="28"/>
        </w:rPr>
        <w:t>在完成年度计划的基础上，当出现下列情况时，应当及时组织隐患排查：出现不符合新颁布、修订的相关法律、法规、标准、产业政策等情况的；企业有新建、改建、扩建项目的；企业突发环境事件风险物质发生重大变化导致突发环境事件风险等级发生变化的；企业管理组织应急指挥体系机构、人员与职责发生重大变化的；企业生产废水系统、雨水系统系统、事故排水系统发生变化的；企业废水总排口、雨水排口与水环境风险受体连接通道发生变化的；企业周边大气和水环境风险受体发生变化的；季节转换或发布气象灾害预警、地质地震灾害预报的；敏感时期、重大节假日或重大活动前；突发环境事件发生后或本地区其他同类企业发生突发环境事件的；发生生产安全事故或自然灾害的；企业停产后恢复生产前。</w:t>
      </w:r>
    </w:p>
    <w:p w14:paraId="05CE49B4">
      <w:pPr>
        <w:spacing w:line="500" w:lineRule="exact"/>
        <w:ind w:firstLine="560" w:firstLineChars="200"/>
        <w:jc w:val="left"/>
        <w:rPr>
          <w:rFonts w:ascii="Times New Roman" w:eastAsia="仿宋"/>
          <w:sz w:val="28"/>
          <w:szCs w:val="28"/>
        </w:rPr>
      </w:pPr>
      <w:r>
        <w:rPr>
          <w:rFonts w:hint="eastAsia" w:ascii="Times New Roman" w:eastAsia="仿宋"/>
          <w:sz w:val="28"/>
          <w:szCs w:val="28"/>
        </w:rPr>
        <w:t>④隐患排查治理的组织实施</w:t>
      </w:r>
    </w:p>
    <w:p w14:paraId="22CAB69D">
      <w:pPr>
        <w:spacing w:line="500" w:lineRule="exact"/>
        <w:ind w:firstLine="560" w:firstLineChars="200"/>
        <w:jc w:val="left"/>
        <w:rPr>
          <w:rFonts w:ascii="Times New Roman" w:eastAsia="仿宋"/>
          <w:sz w:val="28"/>
          <w:szCs w:val="28"/>
        </w:rPr>
      </w:pPr>
      <w:r>
        <w:rPr>
          <w:rFonts w:hint="eastAsia" w:ascii="Times New Roman" w:eastAsia="仿宋"/>
          <w:sz w:val="28"/>
          <w:szCs w:val="28"/>
        </w:rPr>
        <w:t>a.自查。企业根据自身实际制定隐患排查表，包括所有突发环境事件风险防控设施及其具体位置、排查时间、现场排查负责人（签字）、排查项目现状、是否为隐患、可能导致的危害、隐患级别、完成时间等内容。</w:t>
      </w:r>
    </w:p>
    <w:p w14:paraId="291FC401">
      <w:pPr>
        <w:spacing w:line="500" w:lineRule="exact"/>
        <w:ind w:firstLine="560" w:firstLineChars="200"/>
        <w:jc w:val="left"/>
        <w:rPr>
          <w:rFonts w:ascii="Times New Roman" w:eastAsia="仿宋"/>
          <w:sz w:val="28"/>
          <w:szCs w:val="28"/>
        </w:rPr>
      </w:pPr>
      <w:r>
        <w:rPr>
          <w:rFonts w:hint="eastAsia" w:ascii="Times New Roman" w:eastAsia="仿宋"/>
          <w:sz w:val="28"/>
          <w:szCs w:val="28"/>
        </w:rPr>
        <w:t>b.自报。企业的非管理人员发现隐患应当立即向现场管理人员或者本单位有关负责人报告；管理人员在检查中发现隐患应当向本单位有关负责人报告。接到报告的人员应当及时予以处理。</w:t>
      </w:r>
    </w:p>
    <w:p w14:paraId="587DC25B">
      <w:pPr>
        <w:spacing w:line="500" w:lineRule="exact"/>
        <w:ind w:firstLine="560" w:firstLineChars="200"/>
        <w:jc w:val="left"/>
        <w:rPr>
          <w:rFonts w:ascii="Times New Roman" w:eastAsia="仿宋"/>
          <w:sz w:val="28"/>
          <w:szCs w:val="28"/>
        </w:rPr>
      </w:pPr>
      <w:r>
        <w:rPr>
          <w:rFonts w:hint="eastAsia" w:ascii="Times New Roman" w:eastAsia="仿宋"/>
          <w:sz w:val="28"/>
          <w:szCs w:val="28"/>
        </w:rPr>
        <w:t>在日常交接班过程中，做好隐患治理情况交接工作；隐患治理过程中，明确每一工作节点的责任人。</w:t>
      </w:r>
    </w:p>
    <w:p w14:paraId="671CE191">
      <w:pPr>
        <w:spacing w:line="500" w:lineRule="exact"/>
        <w:ind w:firstLine="560" w:firstLineChars="200"/>
        <w:jc w:val="left"/>
        <w:rPr>
          <w:rFonts w:ascii="Times New Roman" w:eastAsia="仿宋"/>
          <w:sz w:val="28"/>
          <w:szCs w:val="28"/>
        </w:rPr>
      </w:pPr>
      <w:r>
        <w:rPr>
          <w:rFonts w:hint="eastAsia" w:ascii="Times New Roman" w:eastAsia="仿宋"/>
          <w:sz w:val="28"/>
          <w:szCs w:val="28"/>
        </w:rPr>
        <w:t>c.自改。一般隐患必须确定责任人，立即组织治理并确定完成时限，治理完成情况要由企业相关负责人签字确认，予以销号。</w:t>
      </w:r>
    </w:p>
    <w:p w14:paraId="355BBE05">
      <w:pPr>
        <w:spacing w:line="500" w:lineRule="exact"/>
        <w:ind w:firstLine="560" w:firstLineChars="200"/>
        <w:jc w:val="left"/>
        <w:rPr>
          <w:rFonts w:ascii="Times New Roman" w:eastAsia="仿宋"/>
          <w:sz w:val="28"/>
          <w:szCs w:val="28"/>
        </w:rPr>
      </w:pPr>
      <w:r>
        <w:rPr>
          <w:rFonts w:hint="eastAsia" w:ascii="Times New Roman" w:eastAsia="仿宋"/>
          <w:sz w:val="28"/>
          <w:szCs w:val="28"/>
        </w:rPr>
        <w:t>重大隐患要制定治理方案，治理方案应包括：治理目标、完成时间和达标要求、治理方法和措施、资金和物资、负责治理的机构和人员责任、治理过程中的风险防控和应急措施或应急预案。重大隐患治理方案应报企业相关负责人签发，抄送企业相关部门落实治理。</w:t>
      </w:r>
    </w:p>
    <w:p w14:paraId="53071B94">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企业负责人要及时掌握重大隐患治理进度，可指定专门负责人对治理进度进行跟踪监控，对不能按期完成治理的重大隐患，及时发出督办通知，加大治理力度。</w:t>
      </w:r>
    </w:p>
    <w:p w14:paraId="1EC8469D">
      <w:pPr>
        <w:spacing w:line="500" w:lineRule="exact"/>
        <w:ind w:firstLine="560" w:firstLineChars="200"/>
        <w:jc w:val="left"/>
        <w:rPr>
          <w:rFonts w:ascii="Times New Roman" w:eastAsia="仿宋"/>
          <w:sz w:val="28"/>
          <w:szCs w:val="28"/>
        </w:rPr>
      </w:pPr>
      <w:r>
        <w:rPr>
          <w:rFonts w:hint="eastAsia" w:ascii="Times New Roman" w:eastAsia="仿宋"/>
          <w:sz w:val="28"/>
          <w:szCs w:val="28"/>
        </w:rPr>
        <w:t>d.自验。重大隐患治理结束后企业应组织技术人员和专家对治理效果进行评估和验收，编制重大隐患治理验收报告，由企业相关负责人签字确认，予以销号。</w:t>
      </w:r>
    </w:p>
    <w:p w14:paraId="49AEB4B0">
      <w:pPr>
        <w:spacing w:line="500" w:lineRule="exact"/>
        <w:ind w:firstLine="560" w:firstLineChars="200"/>
        <w:jc w:val="left"/>
        <w:rPr>
          <w:rFonts w:ascii="Times New Roman" w:eastAsia="仿宋"/>
          <w:sz w:val="28"/>
          <w:szCs w:val="28"/>
        </w:rPr>
      </w:pPr>
      <w:r>
        <w:rPr>
          <w:rFonts w:hint="eastAsia" w:ascii="Times New Roman" w:eastAsia="仿宋"/>
          <w:sz w:val="28"/>
          <w:szCs w:val="28"/>
        </w:rPr>
        <w:t>⑤加强宣传培训和演练</w:t>
      </w:r>
    </w:p>
    <w:p w14:paraId="27C19375">
      <w:pPr>
        <w:spacing w:line="500" w:lineRule="exact"/>
        <w:ind w:firstLine="560" w:firstLineChars="200"/>
        <w:jc w:val="left"/>
        <w:rPr>
          <w:rFonts w:ascii="Times New Roman" w:eastAsia="仿宋"/>
          <w:sz w:val="28"/>
          <w:szCs w:val="28"/>
        </w:rPr>
      </w:pPr>
      <w:r>
        <w:rPr>
          <w:rFonts w:hint="eastAsia" w:ascii="Times New Roman" w:eastAsia="仿宋"/>
          <w:sz w:val="28"/>
          <w:szCs w:val="28"/>
        </w:rPr>
        <w:t>企业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p>
    <w:p w14:paraId="0781B666">
      <w:pPr>
        <w:spacing w:line="500" w:lineRule="exact"/>
        <w:ind w:firstLine="560" w:firstLineChars="200"/>
        <w:jc w:val="left"/>
        <w:rPr>
          <w:rFonts w:ascii="Times New Roman" w:eastAsia="仿宋"/>
          <w:sz w:val="28"/>
          <w:szCs w:val="28"/>
        </w:rPr>
      </w:pPr>
      <w:r>
        <w:rPr>
          <w:rFonts w:hint="eastAsia" w:ascii="Times New Roman" w:eastAsia="仿宋"/>
          <w:sz w:val="28"/>
          <w:szCs w:val="28"/>
        </w:rPr>
        <w:t>⑥建立档案</w:t>
      </w:r>
    </w:p>
    <w:p w14:paraId="6928F4AF">
      <w:pPr>
        <w:spacing w:line="500" w:lineRule="exact"/>
        <w:ind w:firstLine="560" w:firstLineChars="200"/>
        <w:jc w:val="left"/>
        <w:rPr>
          <w:rFonts w:ascii="Times New Roman" w:eastAsia="仿宋"/>
          <w:sz w:val="28"/>
          <w:szCs w:val="28"/>
        </w:rPr>
      </w:pPr>
      <w:r>
        <w:rPr>
          <w:rFonts w:hint="eastAsia" w:ascii="Times New Roman" w:eastAsia="仿宋"/>
          <w:sz w:val="28"/>
          <w:szCs w:val="28"/>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14:paraId="7521627E">
      <w:pPr>
        <w:spacing w:line="500" w:lineRule="exact"/>
        <w:ind w:firstLine="560" w:firstLineChars="200"/>
        <w:jc w:val="left"/>
        <w:rPr>
          <w:rFonts w:ascii="Times New Roman" w:eastAsia="仿宋"/>
          <w:sz w:val="28"/>
          <w:szCs w:val="28"/>
        </w:rPr>
      </w:pPr>
      <w:r>
        <w:rPr>
          <w:rFonts w:hint="eastAsia" w:ascii="Times New Roman" w:eastAsia="仿宋"/>
          <w:sz w:val="28"/>
          <w:szCs w:val="28"/>
        </w:rPr>
        <w:t>（3）隐患排查方式</w:t>
      </w:r>
    </w:p>
    <w:p w14:paraId="2A75C9EC">
      <w:pPr>
        <w:spacing w:line="500" w:lineRule="exact"/>
        <w:ind w:firstLine="560" w:firstLineChars="200"/>
        <w:jc w:val="left"/>
        <w:rPr>
          <w:rFonts w:ascii="Times New Roman" w:eastAsia="仿宋"/>
          <w:sz w:val="28"/>
          <w:szCs w:val="28"/>
        </w:rPr>
      </w:pPr>
      <w:r>
        <w:rPr>
          <w:rFonts w:hint="eastAsia" w:ascii="Times New Roman" w:eastAsia="仿宋"/>
          <w:sz w:val="28"/>
          <w:szCs w:val="28"/>
        </w:rPr>
        <w:t>①定期安全生产检查：经过有计划、有组织、有目的的形式来对施工现场的检查，有深度，能及时发现并解决问题，周期根据企业实际情景，确定每月至少进行一次综合安全大检查。</w:t>
      </w:r>
    </w:p>
    <w:p w14:paraId="0A17A2D9">
      <w:pPr>
        <w:spacing w:line="500" w:lineRule="exact"/>
        <w:ind w:firstLine="560" w:firstLineChars="200"/>
        <w:jc w:val="left"/>
        <w:rPr>
          <w:rFonts w:ascii="Times New Roman" w:eastAsia="仿宋"/>
          <w:sz w:val="28"/>
          <w:szCs w:val="28"/>
        </w:rPr>
      </w:pPr>
      <w:r>
        <w:rPr>
          <w:rFonts w:hint="eastAsia" w:ascii="Times New Roman" w:eastAsia="仿宋"/>
          <w:sz w:val="28"/>
          <w:szCs w:val="28"/>
        </w:rPr>
        <w:t>②经常性安全生产检查：每月采取个别的、日常的巡视方式来对现场生产过程中进行经常性的预防检查，能及时发现隐患并及时消除，保证生产正常进行。企业领导、安全员、班组安全员等不定期下车间检查，并构成记录。</w:t>
      </w:r>
    </w:p>
    <w:p w14:paraId="741B9ADB">
      <w:pPr>
        <w:spacing w:line="500" w:lineRule="exact"/>
        <w:ind w:firstLine="560" w:firstLineChars="200"/>
        <w:jc w:val="left"/>
        <w:rPr>
          <w:rFonts w:ascii="Times New Roman" w:eastAsia="仿宋"/>
          <w:sz w:val="28"/>
          <w:szCs w:val="28"/>
        </w:rPr>
      </w:pPr>
      <w:r>
        <w:rPr>
          <w:rFonts w:hint="eastAsia" w:ascii="Times New Roman" w:eastAsia="仿宋"/>
          <w:sz w:val="28"/>
          <w:szCs w:val="28"/>
        </w:rPr>
        <w:t>③专项区域安全生产检查：对危险较大的在用设备、设施及作业场所环境条件进行日常不定期检查，如危废仓库等。经过检查，发现潜在问题，研究整改对策，及时消除隐患，进行技术改造。本企业每半年应做一次环境保护、消防安全、用电安全专项检查。</w:t>
      </w:r>
    </w:p>
    <w:p w14:paraId="308045F6">
      <w:pPr>
        <w:spacing w:line="500" w:lineRule="exact"/>
        <w:ind w:firstLine="560" w:firstLineChars="200"/>
        <w:jc w:val="left"/>
        <w:rPr>
          <w:rFonts w:ascii="Times New Roman" w:eastAsia="仿宋"/>
          <w:sz w:val="28"/>
          <w:szCs w:val="28"/>
        </w:rPr>
      </w:pPr>
      <w:r>
        <w:rPr>
          <w:rFonts w:hint="eastAsia" w:ascii="Times New Roman" w:eastAsia="仿宋"/>
          <w:sz w:val="28"/>
          <w:szCs w:val="28"/>
        </w:rPr>
        <w:t>4、应急培训及演练</w:t>
      </w:r>
    </w:p>
    <w:p w14:paraId="4C506821">
      <w:pPr>
        <w:spacing w:line="500" w:lineRule="exact"/>
        <w:ind w:firstLine="560" w:firstLineChars="200"/>
        <w:jc w:val="left"/>
        <w:rPr>
          <w:rFonts w:ascii="Times New Roman" w:eastAsia="仿宋"/>
          <w:sz w:val="28"/>
          <w:szCs w:val="28"/>
        </w:rPr>
      </w:pPr>
      <w:bookmarkStart w:id="418" w:name="_Toc104218238"/>
      <w:r>
        <w:rPr>
          <w:rFonts w:hint="eastAsia" w:ascii="Times New Roman" w:eastAsia="仿宋"/>
          <w:sz w:val="28"/>
          <w:szCs w:val="28"/>
        </w:rPr>
        <w:t>（1）培训</w:t>
      </w:r>
      <w:bookmarkEnd w:id="418"/>
    </w:p>
    <w:p w14:paraId="3E2A26DF">
      <w:pPr>
        <w:spacing w:line="500" w:lineRule="exact"/>
        <w:ind w:firstLine="560" w:firstLineChars="200"/>
        <w:jc w:val="left"/>
        <w:rPr>
          <w:rFonts w:ascii="Times New Roman" w:eastAsia="仿宋"/>
          <w:sz w:val="28"/>
          <w:szCs w:val="28"/>
        </w:rPr>
      </w:pPr>
      <w:r>
        <w:rPr>
          <w:rFonts w:hint="eastAsia" w:ascii="Times New Roman" w:eastAsia="仿宋"/>
          <w:sz w:val="28"/>
          <w:szCs w:val="28"/>
        </w:rPr>
        <w:t>工厂员工应进行相关的持续性培训，使员工认识紧急事故的情况下如何阻止这种状况的发生。培训要求每年一次。</w:t>
      </w:r>
    </w:p>
    <w:p w14:paraId="0617D8A8">
      <w:pPr>
        <w:spacing w:line="500" w:lineRule="exact"/>
        <w:ind w:firstLine="560" w:firstLineChars="200"/>
        <w:jc w:val="left"/>
        <w:rPr>
          <w:rFonts w:ascii="Times New Roman" w:eastAsia="仿宋"/>
          <w:sz w:val="28"/>
          <w:szCs w:val="28"/>
        </w:rPr>
      </w:pPr>
      <w:r>
        <w:rPr>
          <w:rFonts w:hint="eastAsia" w:ascii="Times New Roman" w:eastAsia="仿宋"/>
          <w:sz w:val="28"/>
          <w:szCs w:val="28"/>
        </w:rPr>
        <w:t>（2）培训要求</w:t>
      </w:r>
    </w:p>
    <w:p w14:paraId="1768D53E">
      <w:pPr>
        <w:spacing w:line="500" w:lineRule="exact"/>
        <w:ind w:firstLine="560" w:firstLineChars="200"/>
        <w:jc w:val="left"/>
        <w:rPr>
          <w:rFonts w:ascii="Times New Roman" w:eastAsia="仿宋"/>
          <w:sz w:val="28"/>
          <w:szCs w:val="28"/>
        </w:rPr>
      </w:pPr>
      <w:r>
        <w:rPr>
          <w:rFonts w:hint="eastAsia" w:ascii="Times New Roman" w:eastAsia="仿宋"/>
          <w:sz w:val="28"/>
          <w:szCs w:val="28"/>
        </w:rPr>
        <w:t>充分了解自己的工厂紧急事故反应和执行预案和撤离预案中的位置；充分了解现在工厂的危险性的现状；充分了解正确的应急事故预案的通知程序和工作所需的详细操作程序；了解基本危险评估技能；了解基本鉴别和运用的个人保护装备；充分了解正确选择和使用控制和围堵设备的技巧；了解基本排污技能；了解对偶然性化学品事故采取有效措施的方法，尤其是在需要使用呼吸器时的暴露情况下如何处理；了解对非偶然性化学品事故采取有效措施的方法，尤其是在需要使用呼吸器时的暴露情况下如何处理；了解如何使用个人防护设备；了解如何使用灭火器。</w:t>
      </w:r>
    </w:p>
    <w:p w14:paraId="60762BBA">
      <w:pPr>
        <w:spacing w:line="500" w:lineRule="exact"/>
        <w:ind w:firstLine="560" w:firstLineChars="200"/>
        <w:jc w:val="left"/>
        <w:rPr>
          <w:rFonts w:ascii="Times New Roman" w:eastAsia="仿宋"/>
          <w:sz w:val="28"/>
          <w:szCs w:val="28"/>
        </w:rPr>
      </w:pPr>
      <w:r>
        <w:rPr>
          <w:rFonts w:hint="eastAsia" w:ascii="Times New Roman" w:eastAsia="仿宋"/>
          <w:sz w:val="28"/>
          <w:szCs w:val="28"/>
        </w:rPr>
        <w:t>（3）人员培训时间和内容</w:t>
      </w:r>
    </w:p>
    <w:p w14:paraId="24693AAB">
      <w:pPr>
        <w:spacing w:line="500" w:lineRule="exact"/>
        <w:ind w:firstLine="560" w:firstLineChars="200"/>
        <w:jc w:val="left"/>
        <w:rPr>
          <w:rFonts w:ascii="Times New Roman" w:eastAsia="仿宋"/>
          <w:sz w:val="28"/>
          <w:szCs w:val="28"/>
        </w:rPr>
      </w:pPr>
      <w:r>
        <w:rPr>
          <w:rFonts w:hint="eastAsia" w:ascii="Times New Roman" w:eastAsia="仿宋"/>
          <w:sz w:val="28"/>
          <w:szCs w:val="28"/>
        </w:rPr>
        <w:t>①应急救援人员的培训</w:t>
      </w:r>
    </w:p>
    <w:p w14:paraId="63F314B1">
      <w:pPr>
        <w:spacing w:line="500" w:lineRule="exact"/>
        <w:ind w:firstLine="560" w:firstLineChars="200"/>
        <w:jc w:val="left"/>
        <w:rPr>
          <w:rFonts w:ascii="Times New Roman" w:eastAsia="仿宋"/>
          <w:sz w:val="28"/>
          <w:szCs w:val="28"/>
        </w:rPr>
      </w:pPr>
      <w:r>
        <w:rPr>
          <w:rFonts w:hint="eastAsia" w:ascii="Times New Roman" w:eastAsia="仿宋"/>
          <w:sz w:val="28"/>
          <w:szCs w:val="28"/>
        </w:rPr>
        <w:t>由事故应急救援指挥部组织应急救援组成员、各部门有关人员每年进行二次应急救援培训，分别安排在每年的五月份和十月份。</w:t>
      </w:r>
    </w:p>
    <w:p w14:paraId="081D265F">
      <w:pPr>
        <w:spacing w:line="500" w:lineRule="exact"/>
        <w:ind w:firstLine="560" w:firstLineChars="200"/>
        <w:jc w:val="left"/>
        <w:rPr>
          <w:rFonts w:ascii="Times New Roman" w:eastAsia="仿宋"/>
          <w:sz w:val="28"/>
          <w:szCs w:val="28"/>
        </w:rPr>
      </w:pPr>
      <w:r>
        <w:rPr>
          <w:rFonts w:hint="eastAsia" w:ascii="Times New Roman" w:eastAsia="仿宋"/>
          <w:sz w:val="28"/>
          <w:szCs w:val="28"/>
        </w:rPr>
        <w:t>每年需开展一次事故应急救援演练并作记录。</w:t>
      </w:r>
    </w:p>
    <w:p w14:paraId="660AD30D">
      <w:pPr>
        <w:spacing w:line="500" w:lineRule="exact"/>
        <w:ind w:firstLine="560" w:firstLineChars="200"/>
        <w:jc w:val="left"/>
        <w:rPr>
          <w:rFonts w:ascii="Times New Roman" w:eastAsia="仿宋"/>
          <w:sz w:val="28"/>
          <w:szCs w:val="28"/>
        </w:rPr>
      </w:pPr>
      <w:r>
        <w:rPr>
          <w:rFonts w:hint="eastAsia" w:ascii="Times New Roman" w:eastAsia="仿宋"/>
          <w:sz w:val="28"/>
          <w:szCs w:val="28"/>
        </w:rPr>
        <w:t>应急救援演练后进行评审，对不符合项进行整改，并对预案进行修订完善。</w:t>
      </w:r>
    </w:p>
    <w:p w14:paraId="0C22419E">
      <w:pPr>
        <w:spacing w:line="500" w:lineRule="exact"/>
        <w:ind w:firstLine="560" w:firstLineChars="200"/>
        <w:jc w:val="left"/>
        <w:rPr>
          <w:rFonts w:ascii="Times New Roman" w:eastAsia="仿宋"/>
          <w:sz w:val="28"/>
          <w:szCs w:val="28"/>
        </w:rPr>
      </w:pPr>
      <w:r>
        <w:rPr>
          <w:rFonts w:hint="eastAsia" w:ascii="Times New Roman" w:eastAsia="仿宋"/>
          <w:sz w:val="28"/>
          <w:szCs w:val="28"/>
        </w:rPr>
        <w:t>应急救援演练后应及时对应急设备、设施、器材进行添置、更换、维护保养，保持充足、完好有效。</w:t>
      </w:r>
    </w:p>
    <w:p w14:paraId="4055A722">
      <w:pPr>
        <w:spacing w:line="500" w:lineRule="exact"/>
        <w:ind w:firstLine="560" w:firstLineChars="200"/>
        <w:jc w:val="left"/>
        <w:rPr>
          <w:rFonts w:ascii="Times New Roman" w:eastAsia="仿宋"/>
          <w:sz w:val="28"/>
          <w:szCs w:val="28"/>
        </w:rPr>
      </w:pPr>
      <w:r>
        <w:rPr>
          <w:rFonts w:hint="eastAsia" w:ascii="Times New Roman" w:eastAsia="仿宋"/>
          <w:sz w:val="28"/>
          <w:szCs w:val="28"/>
        </w:rPr>
        <w:t>②员工应急响应培训</w:t>
      </w:r>
    </w:p>
    <w:p w14:paraId="6934BB01">
      <w:pPr>
        <w:spacing w:line="500" w:lineRule="exact"/>
        <w:ind w:firstLine="560" w:firstLineChars="200"/>
        <w:jc w:val="left"/>
        <w:rPr>
          <w:rFonts w:ascii="Times New Roman" w:eastAsia="仿宋"/>
          <w:sz w:val="28"/>
          <w:szCs w:val="28"/>
        </w:rPr>
      </w:pPr>
      <w:r>
        <w:rPr>
          <w:rFonts w:hint="eastAsia" w:ascii="Times New Roman" w:eastAsia="仿宋"/>
          <w:sz w:val="28"/>
          <w:szCs w:val="28"/>
        </w:rPr>
        <w:t>每年一次对本厂全体人员进行应急预案内容培训，组织员工进行应急救援演练或观摩。</w:t>
      </w:r>
    </w:p>
    <w:p w14:paraId="03932583">
      <w:pPr>
        <w:spacing w:line="500" w:lineRule="exact"/>
        <w:ind w:firstLine="560" w:firstLineChars="200"/>
        <w:jc w:val="left"/>
        <w:rPr>
          <w:rFonts w:ascii="Times New Roman" w:eastAsia="仿宋"/>
          <w:sz w:val="28"/>
          <w:szCs w:val="28"/>
        </w:rPr>
      </w:pPr>
      <w:r>
        <w:rPr>
          <w:rFonts w:hint="eastAsia" w:ascii="Times New Roman" w:eastAsia="仿宋"/>
          <w:sz w:val="28"/>
          <w:szCs w:val="28"/>
        </w:rPr>
        <w:t>所有员工必须熟悉各种危化品的理化特性知识及现场自救知识，每季度组织培训和考核一次。</w:t>
      </w:r>
    </w:p>
    <w:p w14:paraId="5FA42DCD">
      <w:pPr>
        <w:spacing w:line="500" w:lineRule="exact"/>
        <w:ind w:firstLine="560" w:firstLineChars="200"/>
        <w:jc w:val="left"/>
        <w:rPr>
          <w:rFonts w:ascii="Times New Roman" w:eastAsia="仿宋"/>
          <w:sz w:val="28"/>
          <w:szCs w:val="28"/>
        </w:rPr>
      </w:pPr>
      <w:r>
        <w:rPr>
          <w:rFonts w:hint="eastAsia" w:ascii="Times New Roman" w:eastAsia="仿宋"/>
          <w:sz w:val="28"/>
          <w:szCs w:val="28"/>
        </w:rPr>
        <w:t>所有员工必须进行消防器材使用训练，使之能熟练使用现场的各种灭火器材。</w:t>
      </w:r>
    </w:p>
    <w:p w14:paraId="457E7015">
      <w:pPr>
        <w:spacing w:line="500" w:lineRule="exact"/>
        <w:ind w:firstLine="560" w:firstLineChars="200"/>
        <w:jc w:val="left"/>
        <w:rPr>
          <w:rFonts w:ascii="Times New Roman" w:eastAsia="仿宋"/>
          <w:sz w:val="28"/>
          <w:szCs w:val="28"/>
        </w:rPr>
      </w:pPr>
      <w:r>
        <w:rPr>
          <w:rFonts w:hint="eastAsia" w:ascii="Times New Roman" w:eastAsia="仿宋"/>
          <w:sz w:val="28"/>
          <w:szCs w:val="28"/>
        </w:rPr>
        <w:t>所有员工必须进行现场防护器材（防毒面具、长管呼吸器或空气呼吸器）使用训练，使之能熟练使用各种器材。</w:t>
      </w:r>
    </w:p>
    <w:p w14:paraId="095F302D">
      <w:pPr>
        <w:spacing w:line="500" w:lineRule="exact"/>
        <w:ind w:firstLine="560" w:firstLineChars="200"/>
        <w:jc w:val="left"/>
        <w:rPr>
          <w:rFonts w:ascii="Times New Roman" w:eastAsia="仿宋"/>
          <w:sz w:val="28"/>
          <w:szCs w:val="28"/>
        </w:rPr>
      </w:pPr>
      <w:r>
        <w:rPr>
          <w:rFonts w:hint="eastAsia" w:ascii="Times New Roman" w:eastAsia="仿宋"/>
          <w:sz w:val="28"/>
          <w:szCs w:val="28"/>
        </w:rPr>
        <w:t>5、环境风险防范措施及应急要求</w:t>
      </w:r>
    </w:p>
    <w:p w14:paraId="0286F15B">
      <w:pPr>
        <w:spacing w:line="500" w:lineRule="exact"/>
        <w:ind w:firstLine="560" w:firstLineChars="200"/>
        <w:jc w:val="left"/>
        <w:rPr>
          <w:rFonts w:ascii="Times New Roman" w:eastAsia="仿宋"/>
          <w:sz w:val="28"/>
          <w:szCs w:val="28"/>
        </w:rPr>
      </w:pPr>
      <w:r>
        <w:rPr>
          <w:rFonts w:hint="eastAsia" w:ascii="Times New Roman" w:eastAsia="仿宋"/>
          <w:sz w:val="28"/>
          <w:szCs w:val="28"/>
        </w:rPr>
        <w:t>（1）设计中采用的安全防范措施</w:t>
      </w:r>
    </w:p>
    <w:p w14:paraId="7CB294EF">
      <w:pPr>
        <w:spacing w:line="500" w:lineRule="exact"/>
        <w:ind w:firstLine="560" w:firstLineChars="200"/>
        <w:jc w:val="left"/>
        <w:rPr>
          <w:rFonts w:ascii="Times New Roman" w:eastAsia="仿宋"/>
          <w:sz w:val="28"/>
          <w:szCs w:val="28"/>
        </w:rPr>
      </w:pPr>
      <w:r>
        <w:rPr>
          <w:rFonts w:hint="eastAsia" w:ascii="Times New Roman" w:eastAsia="仿宋"/>
          <w:sz w:val="28"/>
          <w:szCs w:val="28"/>
        </w:rPr>
        <w:t>设计中严格执行国家、行业有关劳动安全卫生的法规和标准规范。</w:t>
      </w:r>
    </w:p>
    <w:p w14:paraId="238409C2">
      <w:pPr>
        <w:spacing w:line="500" w:lineRule="exact"/>
        <w:ind w:firstLine="560" w:firstLineChars="200"/>
        <w:jc w:val="left"/>
        <w:rPr>
          <w:rFonts w:ascii="Times New Roman" w:eastAsia="仿宋"/>
          <w:sz w:val="28"/>
          <w:szCs w:val="28"/>
        </w:rPr>
      </w:pPr>
      <w:r>
        <w:rPr>
          <w:rFonts w:hint="eastAsia" w:ascii="Times New Roman" w:eastAsia="仿宋"/>
          <w:sz w:val="28"/>
          <w:szCs w:val="28"/>
        </w:rPr>
        <w:t>①完善备用电系统。为了防止因停电而造成事故性排放的发生，必须配套完善备用电系统，采用双电路供电，瞬时切换，以保证对生产的正常运行。</w:t>
      </w:r>
    </w:p>
    <w:p w14:paraId="10E00933">
      <w:pPr>
        <w:spacing w:line="500" w:lineRule="exact"/>
        <w:ind w:firstLine="560" w:firstLineChars="200"/>
        <w:jc w:val="left"/>
        <w:rPr>
          <w:rFonts w:ascii="Times New Roman" w:eastAsia="仿宋"/>
          <w:sz w:val="28"/>
          <w:szCs w:val="28"/>
        </w:rPr>
      </w:pPr>
      <w:r>
        <w:rPr>
          <w:rFonts w:hint="eastAsia" w:ascii="Times New Roman" w:eastAsia="仿宋"/>
          <w:sz w:val="28"/>
          <w:szCs w:val="28"/>
        </w:rPr>
        <w:t>②对主要生产工段的装置采用集散控制系统，设置检测点、报警和联锁系统，提高控制水平，减少因手工操作带来的失误，确保生产安全进行。</w:t>
      </w:r>
    </w:p>
    <w:p w14:paraId="4DE92C6F">
      <w:pPr>
        <w:spacing w:line="500" w:lineRule="exact"/>
        <w:ind w:firstLine="560" w:firstLineChars="200"/>
        <w:jc w:val="left"/>
        <w:rPr>
          <w:rFonts w:ascii="Times New Roman" w:eastAsia="仿宋"/>
          <w:sz w:val="28"/>
          <w:szCs w:val="28"/>
        </w:rPr>
      </w:pPr>
      <w:r>
        <w:rPr>
          <w:rFonts w:hint="eastAsia" w:ascii="Times New Roman" w:eastAsia="仿宋"/>
          <w:sz w:val="28"/>
          <w:szCs w:val="28"/>
        </w:rPr>
        <w:t>（2）生产过程中的风险防范措施</w:t>
      </w:r>
    </w:p>
    <w:p w14:paraId="616A7277">
      <w:pPr>
        <w:spacing w:line="500" w:lineRule="exact"/>
        <w:ind w:firstLine="560" w:firstLineChars="200"/>
        <w:jc w:val="left"/>
        <w:rPr>
          <w:rFonts w:ascii="Times New Roman" w:eastAsia="仿宋"/>
          <w:sz w:val="28"/>
          <w:szCs w:val="28"/>
        </w:rPr>
      </w:pPr>
      <w:r>
        <w:rPr>
          <w:rFonts w:hint="eastAsia" w:ascii="Times New Roman" w:eastAsia="仿宋"/>
          <w:sz w:val="28"/>
          <w:szCs w:val="28"/>
        </w:rPr>
        <w:t>①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2F9569F2">
      <w:pPr>
        <w:spacing w:line="500" w:lineRule="exact"/>
        <w:ind w:firstLine="560" w:firstLineChars="200"/>
        <w:jc w:val="left"/>
        <w:rPr>
          <w:rFonts w:ascii="Times New Roman" w:eastAsia="仿宋"/>
          <w:sz w:val="28"/>
          <w:szCs w:val="28"/>
        </w:rPr>
      </w:pPr>
      <w:r>
        <w:rPr>
          <w:rFonts w:hint="eastAsia" w:ascii="Times New Roman" w:eastAsia="仿宋"/>
          <w:sz w:val="28"/>
          <w:szCs w:val="28"/>
        </w:rPr>
        <w:t>②易燃生产装置区、管道等危险区域设置永久性《严禁烟火》标志，按照《工业管路的基本识别色和识别符号》的规定对化工装置刷色和作符号，并涂标志色。</w:t>
      </w:r>
    </w:p>
    <w:p w14:paraId="184194F4">
      <w:pPr>
        <w:spacing w:line="500" w:lineRule="exact"/>
        <w:ind w:firstLine="560" w:firstLineChars="200"/>
        <w:jc w:val="left"/>
        <w:rPr>
          <w:rFonts w:ascii="Times New Roman" w:eastAsia="仿宋"/>
          <w:sz w:val="28"/>
          <w:szCs w:val="28"/>
        </w:rPr>
      </w:pPr>
      <w:r>
        <w:rPr>
          <w:rFonts w:hint="eastAsia" w:ascii="Times New Roman" w:eastAsia="仿宋"/>
          <w:sz w:val="28"/>
          <w:szCs w:val="28"/>
        </w:rPr>
        <w:t>③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02272627">
      <w:pPr>
        <w:spacing w:line="500" w:lineRule="exact"/>
        <w:ind w:firstLine="560" w:firstLineChars="200"/>
        <w:jc w:val="left"/>
        <w:rPr>
          <w:rFonts w:ascii="Times New Roman" w:eastAsia="仿宋"/>
          <w:sz w:val="28"/>
          <w:szCs w:val="28"/>
        </w:rPr>
      </w:pPr>
      <w:r>
        <w:rPr>
          <w:rFonts w:hint="eastAsia" w:ascii="Times New Roman" w:eastAsia="仿宋"/>
          <w:sz w:val="28"/>
          <w:szCs w:val="28"/>
        </w:rPr>
        <w:t>④涉及易挥发有害物质的生产车间和现场原料储存区安装自动报警设备，对具有高危害设备、关键设备设置保险措施，并按规定配备齐全应急救援设施。</w:t>
      </w:r>
    </w:p>
    <w:p w14:paraId="2F6CE837">
      <w:pPr>
        <w:spacing w:line="500" w:lineRule="exact"/>
        <w:ind w:firstLine="560" w:firstLineChars="200"/>
        <w:jc w:val="left"/>
        <w:rPr>
          <w:rFonts w:ascii="Times New Roman" w:eastAsia="仿宋"/>
          <w:sz w:val="28"/>
          <w:szCs w:val="28"/>
        </w:rPr>
      </w:pPr>
      <w:r>
        <w:rPr>
          <w:rFonts w:hint="eastAsia" w:ascii="Times New Roman" w:eastAsia="仿宋"/>
          <w:sz w:val="28"/>
          <w:szCs w:val="28"/>
        </w:rPr>
        <w:t>（3）贮存过程中的风险防范措施</w:t>
      </w:r>
    </w:p>
    <w:p w14:paraId="0988A53F">
      <w:pPr>
        <w:spacing w:line="500" w:lineRule="exact"/>
        <w:ind w:firstLine="560" w:firstLineChars="200"/>
        <w:jc w:val="left"/>
        <w:rPr>
          <w:rFonts w:ascii="Times New Roman" w:eastAsia="仿宋"/>
          <w:sz w:val="28"/>
          <w:szCs w:val="28"/>
        </w:rPr>
      </w:pPr>
      <w:r>
        <w:rPr>
          <w:rFonts w:hint="eastAsia" w:ascii="Times New Roman" w:eastAsia="仿宋"/>
          <w:sz w:val="28"/>
          <w:szCs w:val="28"/>
        </w:rPr>
        <w:t>①易燃危险化学品应储存在阴凉、通风区域内；远离火种、热源和避免阳光直射；配备相应品种和数量消防器材；禁止使用易产生火花的机械设备和工具；要设置“危险”、“禁止烟火”、“防潮”等警示标志。</w:t>
      </w:r>
    </w:p>
    <w:p w14:paraId="59E03437">
      <w:pPr>
        <w:spacing w:line="500" w:lineRule="exact"/>
        <w:ind w:firstLine="560" w:firstLineChars="200"/>
        <w:jc w:val="left"/>
        <w:rPr>
          <w:rFonts w:ascii="Times New Roman" w:eastAsia="仿宋"/>
          <w:sz w:val="28"/>
          <w:szCs w:val="28"/>
        </w:rPr>
      </w:pPr>
      <w:r>
        <w:rPr>
          <w:rFonts w:hint="eastAsia" w:ascii="Times New Roman" w:eastAsia="仿宋"/>
          <w:sz w:val="28"/>
          <w:szCs w:val="28"/>
        </w:rPr>
        <w:t>②各种物料应按其相应堆存规范堆置，禁止堆栈过高，防止滚动。</w:t>
      </w:r>
    </w:p>
    <w:p w14:paraId="7CD0CB65">
      <w:pPr>
        <w:spacing w:line="500" w:lineRule="exact"/>
        <w:ind w:firstLine="560" w:firstLineChars="200"/>
        <w:jc w:val="left"/>
        <w:rPr>
          <w:rFonts w:ascii="Times New Roman" w:eastAsia="仿宋"/>
          <w:sz w:val="28"/>
          <w:szCs w:val="28"/>
        </w:rPr>
      </w:pPr>
      <w:r>
        <w:rPr>
          <w:rFonts w:hint="eastAsia" w:ascii="Times New Roman" w:eastAsia="仿宋"/>
          <w:sz w:val="28"/>
          <w:szCs w:val="28"/>
        </w:rPr>
        <w:t>③仓库和危险废物暂存场所存放危险物质，为防止泄漏造成污染，应在仓库内采用混凝土防渗；危险废物暂存场所必须按照《危险废物贮存污染控制标准》（GB18597-2023）的要求设置。</w:t>
      </w:r>
    </w:p>
    <w:p w14:paraId="0E277063">
      <w:pPr>
        <w:spacing w:line="500" w:lineRule="exact"/>
        <w:ind w:firstLine="560" w:firstLineChars="200"/>
        <w:jc w:val="left"/>
        <w:rPr>
          <w:rFonts w:ascii="Times New Roman" w:eastAsia="仿宋"/>
          <w:sz w:val="28"/>
          <w:szCs w:val="28"/>
        </w:rPr>
      </w:pPr>
      <w:r>
        <w:rPr>
          <w:rFonts w:hint="eastAsia" w:ascii="Times New Roman" w:eastAsia="仿宋"/>
          <w:sz w:val="28"/>
          <w:szCs w:val="28"/>
        </w:rPr>
        <w:t>（4）物料泄漏事故的防范措施</w:t>
      </w:r>
    </w:p>
    <w:p w14:paraId="06EA791A">
      <w:pPr>
        <w:spacing w:line="500" w:lineRule="exact"/>
        <w:ind w:firstLine="560" w:firstLineChars="200"/>
        <w:jc w:val="left"/>
        <w:rPr>
          <w:rFonts w:ascii="Times New Roman" w:eastAsia="仿宋"/>
          <w:sz w:val="28"/>
          <w:szCs w:val="28"/>
        </w:rPr>
      </w:pPr>
      <w:r>
        <w:rPr>
          <w:rFonts w:hint="eastAsia" w:ascii="Times New Roman" w:eastAsia="仿宋"/>
          <w:sz w:val="28"/>
          <w:szCs w:val="28"/>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51AF5D7">
      <w:pPr>
        <w:spacing w:line="500" w:lineRule="exact"/>
        <w:ind w:firstLine="560" w:firstLineChars="200"/>
        <w:jc w:val="left"/>
        <w:rPr>
          <w:rFonts w:ascii="Times New Roman" w:eastAsia="仿宋"/>
          <w:sz w:val="28"/>
          <w:szCs w:val="28"/>
        </w:rPr>
      </w:pPr>
      <w:r>
        <w:rPr>
          <w:rFonts w:hint="eastAsia" w:ascii="Times New Roman" w:eastAsia="仿宋"/>
          <w:sz w:val="28"/>
          <w:szCs w:val="28"/>
        </w:rPr>
        <w:t>①严格执行安全和消防规范。</w:t>
      </w:r>
    </w:p>
    <w:p w14:paraId="03605DED">
      <w:pPr>
        <w:spacing w:line="500" w:lineRule="exact"/>
        <w:ind w:firstLine="560" w:firstLineChars="200"/>
        <w:jc w:val="left"/>
        <w:rPr>
          <w:rFonts w:ascii="Times New Roman" w:eastAsia="仿宋"/>
          <w:sz w:val="28"/>
          <w:szCs w:val="28"/>
        </w:rPr>
      </w:pPr>
      <w:r>
        <w:rPr>
          <w:rFonts w:hint="eastAsia" w:ascii="Times New Roman" w:eastAsia="仿宋"/>
          <w:sz w:val="28"/>
          <w:szCs w:val="28"/>
        </w:rPr>
        <w:t>②应经常对各类阀门进行检查和维修，以保证其严密性和灵活性，对压力计、温度计及各种调节器进行定期检查。</w:t>
      </w:r>
    </w:p>
    <w:p w14:paraId="7B70AA19">
      <w:pPr>
        <w:spacing w:line="500" w:lineRule="exact"/>
        <w:ind w:firstLine="560" w:firstLineChars="200"/>
        <w:jc w:val="left"/>
        <w:rPr>
          <w:rFonts w:ascii="Times New Roman" w:eastAsia="仿宋"/>
          <w:sz w:val="28"/>
          <w:szCs w:val="28"/>
        </w:rPr>
      </w:pPr>
      <w:r>
        <w:rPr>
          <w:rFonts w:hint="eastAsia" w:ascii="Times New Roman" w:eastAsia="仿宋"/>
          <w:sz w:val="28"/>
          <w:szCs w:val="28"/>
        </w:rPr>
        <w:t>③对操作人员进行系统教育，严格按操作规程进行操作，严禁违章作业。加强个人防护，作业岗位应配有防护用品，并定期检查维修，保证使用效果。</w:t>
      </w:r>
    </w:p>
    <w:p w14:paraId="31E1FE87">
      <w:pPr>
        <w:spacing w:line="500" w:lineRule="exact"/>
        <w:ind w:firstLine="560" w:firstLineChars="200"/>
        <w:jc w:val="left"/>
        <w:rPr>
          <w:rFonts w:ascii="Times New Roman" w:eastAsia="仿宋"/>
          <w:sz w:val="28"/>
          <w:szCs w:val="28"/>
        </w:rPr>
      </w:pPr>
      <w:r>
        <w:rPr>
          <w:rFonts w:hint="eastAsia" w:ascii="Times New Roman" w:eastAsia="仿宋"/>
          <w:sz w:val="28"/>
          <w:szCs w:val="28"/>
        </w:rPr>
        <w:t>（5）火灾和爆炸事故的防范措施</w:t>
      </w:r>
    </w:p>
    <w:p w14:paraId="6BCF9F7C">
      <w:pPr>
        <w:spacing w:line="500" w:lineRule="exact"/>
        <w:ind w:firstLine="560" w:firstLineChars="200"/>
        <w:jc w:val="left"/>
        <w:rPr>
          <w:rFonts w:ascii="Times New Roman" w:eastAsia="仿宋"/>
          <w:sz w:val="28"/>
          <w:szCs w:val="28"/>
        </w:rPr>
      </w:pPr>
      <w:r>
        <w:rPr>
          <w:rFonts w:hint="eastAsia" w:ascii="Times New Roman" w:eastAsia="仿宋"/>
          <w:sz w:val="28"/>
          <w:szCs w:val="28"/>
        </w:rPr>
        <w:t>①设备的安全管理：定期对设备进行安全检测，检测内容、时间、人员应有记录保存。安全检测应根据设备的安全性、危险性设定检测频次。</w:t>
      </w:r>
    </w:p>
    <w:p w14:paraId="3E1ABFA7">
      <w:pPr>
        <w:spacing w:line="500" w:lineRule="exact"/>
        <w:ind w:firstLine="560" w:firstLineChars="200"/>
        <w:jc w:val="left"/>
        <w:rPr>
          <w:rFonts w:ascii="Times New Roman" w:eastAsia="仿宋"/>
          <w:sz w:val="28"/>
          <w:szCs w:val="28"/>
        </w:rPr>
      </w:pPr>
      <w:r>
        <w:rPr>
          <w:rFonts w:hint="eastAsia" w:ascii="Times New Roman" w:eastAsia="仿宋"/>
          <w:sz w:val="28"/>
          <w:szCs w:val="28"/>
        </w:rPr>
        <w:t>②在储存和输送系统及辅助设施中，在必要的地方安装安全阀和防超压系统。</w:t>
      </w:r>
    </w:p>
    <w:p w14:paraId="12D72164">
      <w:pPr>
        <w:spacing w:line="500" w:lineRule="exact"/>
        <w:ind w:firstLine="560" w:firstLineChars="200"/>
        <w:jc w:val="left"/>
        <w:rPr>
          <w:rFonts w:ascii="Times New Roman" w:eastAsia="仿宋"/>
          <w:sz w:val="28"/>
          <w:szCs w:val="28"/>
        </w:rPr>
      </w:pPr>
      <w:r>
        <w:rPr>
          <w:rFonts w:hint="eastAsia" w:ascii="Times New Roman" w:eastAsia="仿宋"/>
          <w:sz w:val="28"/>
          <w:szCs w:val="28"/>
        </w:rPr>
        <w:t>③在管道以及其他设备上，设置永久性接地装置；要有防雷装置，特别防止雷击。</w:t>
      </w:r>
    </w:p>
    <w:p w14:paraId="57C7FBDA">
      <w:pPr>
        <w:spacing w:line="500" w:lineRule="exact"/>
        <w:ind w:firstLine="560" w:firstLineChars="200"/>
        <w:jc w:val="left"/>
        <w:rPr>
          <w:rFonts w:ascii="Times New Roman" w:eastAsia="仿宋"/>
          <w:sz w:val="28"/>
          <w:szCs w:val="28"/>
        </w:rPr>
      </w:pPr>
      <w:r>
        <w:rPr>
          <w:rFonts w:hint="eastAsia" w:ascii="Times New Roman" w:eastAsia="仿宋"/>
          <w:sz w:val="28"/>
          <w:szCs w:val="28"/>
        </w:rPr>
        <w:t>④应加强火源的管理，严禁烟火带入，对设备需进行维修焊接，应经安全部门确认、准许，并有记录。</w:t>
      </w:r>
    </w:p>
    <w:p w14:paraId="6127FB82">
      <w:pPr>
        <w:spacing w:line="500" w:lineRule="exact"/>
        <w:ind w:firstLine="560" w:firstLineChars="200"/>
        <w:jc w:val="left"/>
        <w:rPr>
          <w:rFonts w:ascii="Times New Roman" w:eastAsia="仿宋"/>
          <w:sz w:val="28"/>
          <w:szCs w:val="28"/>
        </w:rPr>
      </w:pPr>
      <w:r>
        <w:rPr>
          <w:rFonts w:hint="eastAsia" w:ascii="Times New Roman" w:eastAsia="仿宋"/>
          <w:sz w:val="28"/>
          <w:szCs w:val="28"/>
        </w:rPr>
        <w:t>（6）事故应急对策措施</w:t>
      </w:r>
    </w:p>
    <w:p w14:paraId="024A2336">
      <w:pPr>
        <w:spacing w:line="500" w:lineRule="exact"/>
        <w:ind w:firstLine="560" w:firstLineChars="200"/>
        <w:jc w:val="left"/>
        <w:rPr>
          <w:rFonts w:ascii="Times New Roman" w:eastAsia="仿宋"/>
          <w:sz w:val="28"/>
          <w:szCs w:val="28"/>
        </w:rPr>
      </w:pPr>
      <w:r>
        <w:rPr>
          <w:rFonts w:hint="eastAsia" w:ascii="Times New Roman" w:eastAsia="仿宋"/>
          <w:sz w:val="28"/>
          <w:szCs w:val="28"/>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7BA97E83">
      <w:pPr>
        <w:spacing w:line="500" w:lineRule="exact"/>
        <w:ind w:firstLine="560" w:firstLineChars="200"/>
        <w:jc w:val="left"/>
        <w:rPr>
          <w:rFonts w:ascii="Times New Roman" w:eastAsia="仿宋"/>
          <w:sz w:val="28"/>
          <w:szCs w:val="28"/>
        </w:rPr>
      </w:pPr>
      <w:r>
        <w:rPr>
          <w:rFonts w:hint="eastAsia" w:ascii="Times New Roman" w:eastAsia="仿宋"/>
          <w:sz w:val="28"/>
          <w:szCs w:val="28"/>
        </w:rPr>
        <w:t>（7）企业划拨资金设立应急专项经费，用于应急救援专（兼）职人员的培训以及定期演练等。对经费实施监督管理，除应急工作使用外不得转为它用，保障公司处于应急状态时，应急经费充足并及时到位。</w:t>
      </w:r>
    </w:p>
    <w:p w14:paraId="4C03B065">
      <w:pPr>
        <w:spacing w:line="500" w:lineRule="exact"/>
        <w:ind w:firstLine="560" w:firstLineChars="200"/>
        <w:jc w:val="left"/>
        <w:rPr>
          <w:rFonts w:ascii="Times New Roman" w:eastAsia="仿宋"/>
          <w:sz w:val="28"/>
          <w:szCs w:val="28"/>
        </w:rPr>
      </w:pPr>
      <w:r>
        <w:rPr>
          <w:rFonts w:hint="eastAsia" w:ascii="Times New Roman" w:eastAsia="仿宋"/>
          <w:sz w:val="28"/>
          <w:szCs w:val="28"/>
        </w:rPr>
        <w:t>（8）应急物资装备保障</w:t>
      </w:r>
    </w:p>
    <w:p w14:paraId="21C42442">
      <w:pPr>
        <w:spacing w:line="500" w:lineRule="exact"/>
        <w:ind w:firstLine="560" w:firstLineChars="200"/>
        <w:jc w:val="left"/>
        <w:rPr>
          <w:rFonts w:ascii="Times New Roman" w:eastAsia="仿宋"/>
          <w:sz w:val="28"/>
          <w:szCs w:val="28"/>
        </w:rPr>
      </w:pPr>
      <w:r>
        <w:rPr>
          <w:rFonts w:hint="eastAsia" w:ascii="Times New Roman" w:eastAsia="仿宋"/>
          <w:sz w:val="28"/>
          <w:szCs w:val="28"/>
        </w:rPr>
        <w:t>①建立应急救援设施、设备等储备制度，储备必要的应急物资和装备。</w:t>
      </w:r>
    </w:p>
    <w:p w14:paraId="691EF304">
      <w:pPr>
        <w:spacing w:line="500" w:lineRule="exact"/>
        <w:ind w:firstLine="560" w:firstLineChars="200"/>
        <w:jc w:val="left"/>
        <w:rPr>
          <w:rFonts w:ascii="Times New Roman" w:eastAsia="仿宋"/>
          <w:sz w:val="28"/>
          <w:szCs w:val="28"/>
        </w:rPr>
      </w:pPr>
      <w:r>
        <w:rPr>
          <w:rFonts w:hint="eastAsia" w:ascii="Times New Roman" w:eastAsia="仿宋"/>
          <w:sz w:val="28"/>
          <w:szCs w:val="28"/>
        </w:rPr>
        <w:t>②加强对储备物资的管理，防止储备物资被盗用、挪用、流失和失效，对各类物资及时予以补充和更新，各类应急物资不得随意挪用。</w:t>
      </w:r>
    </w:p>
    <w:p w14:paraId="2C2ADF4F">
      <w:pPr>
        <w:spacing w:line="500" w:lineRule="exact"/>
        <w:ind w:firstLine="560" w:firstLineChars="200"/>
        <w:jc w:val="left"/>
        <w:rPr>
          <w:rFonts w:ascii="Times New Roman" w:eastAsia="仿宋"/>
          <w:sz w:val="28"/>
          <w:szCs w:val="28"/>
        </w:rPr>
      </w:pPr>
      <w:r>
        <w:rPr>
          <w:rFonts w:hint="eastAsia" w:ascii="Times New Roman" w:eastAsia="仿宋"/>
          <w:sz w:val="28"/>
          <w:szCs w:val="28"/>
        </w:rPr>
        <w:t>6、应急处置卡</w:t>
      </w:r>
    </w:p>
    <w:p w14:paraId="233921F5">
      <w:pPr>
        <w:adjustRightInd w:val="0"/>
        <w:snapToGrid w:val="0"/>
        <w:spacing w:line="500" w:lineRule="exact"/>
        <w:ind w:firstLine="482"/>
        <w:jc w:val="center"/>
        <w:rPr>
          <w:rFonts w:ascii="Times New Roman" w:eastAsia="仿宋"/>
          <w:b/>
        </w:rPr>
      </w:pPr>
      <w:r>
        <w:rPr>
          <w:rFonts w:ascii="Times New Roman" w:eastAsia="仿宋"/>
          <w:b/>
        </w:rPr>
        <w:t>表</w:t>
      </w:r>
      <w:r>
        <w:rPr>
          <w:rFonts w:hint="eastAsia" w:ascii="Times New Roman" w:eastAsia="仿宋"/>
          <w:b/>
        </w:rPr>
        <w:t>6.</w:t>
      </w:r>
      <w:r>
        <w:rPr>
          <w:rFonts w:ascii="Times New Roman" w:eastAsia="仿宋"/>
          <w:b/>
        </w:rPr>
        <w:t>5</w:t>
      </w:r>
      <w:r>
        <w:rPr>
          <w:rFonts w:hint="eastAsia" w:ascii="Times New Roman" w:eastAsia="仿宋"/>
          <w:b/>
        </w:rPr>
        <w:t>-1</w:t>
      </w:r>
      <w:r>
        <w:rPr>
          <w:rFonts w:ascii="Times New Roman" w:eastAsia="仿宋"/>
          <w:b/>
        </w:rPr>
        <w:t xml:space="preserve">  公司应急处置卡信息一览表</w:t>
      </w:r>
    </w:p>
    <w:tbl>
      <w:tblPr>
        <w:tblStyle w:val="87"/>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17"/>
        <w:gridCol w:w="6988"/>
      </w:tblGrid>
      <w:tr w14:paraId="49C0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7AEF7EFF">
            <w:pPr>
              <w:pStyle w:val="949"/>
              <w:rPr>
                <w:sz w:val="24"/>
                <w:szCs w:val="21"/>
                <w:lang w:val="zh-CN"/>
              </w:rPr>
            </w:pPr>
            <w:r>
              <w:rPr>
                <w:sz w:val="24"/>
                <w:szCs w:val="21"/>
                <w:lang w:val="zh-CN"/>
              </w:rPr>
              <w:t>序号</w:t>
            </w:r>
          </w:p>
        </w:tc>
        <w:tc>
          <w:tcPr>
            <w:tcW w:w="1417" w:type="dxa"/>
            <w:noWrap/>
            <w:vAlign w:val="center"/>
          </w:tcPr>
          <w:p w14:paraId="15B683FD">
            <w:pPr>
              <w:pStyle w:val="949"/>
              <w:rPr>
                <w:sz w:val="24"/>
                <w:szCs w:val="21"/>
                <w:lang w:val="zh-CN"/>
              </w:rPr>
            </w:pPr>
            <w:r>
              <w:rPr>
                <w:sz w:val="24"/>
                <w:szCs w:val="21"/>
                <w:lang w:val="zh-CN"/>
              </w:rPr>
              <w:t>类别</w:t>
            </w:r>
          </w:p>
        </w:tc>
        <w:tc>
          <w:tcPr>
            <w:tcW w:w="6988" w:type="dxa"/>
            <w:noWrap/>
            <w:vAlign w:val="center"/>
          </w:tcPr>
          <w:p w14:paraId="662B5B07">
            <w:pPr>
              <w:pStyle w:val="949"/>
              <w:rPr>
                <w:sz w:val="24"/>
                <w:szCs w:val="21"/>
                <w:lang w:val="zh-CN"/>
              </w:rPr>
            </w:pPr>
            <w:r>
              <w:rPr>
                <w:sz w:val="24"/>
                <w:szCs w:val="21"/>
                <w:lang w:val="zh-CN"/>
              </w:rPr>
              <w:t>应急处置措施</w:t>
            </w:r>
          </w:p>
        </w:tc>
      </w:tr>
      <w:tr w14:paraId="7085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3" w:type="dxa"/>
            <w:gridSpan w:val="3"/>
            <w:noWrap/>
            <w:vAlign w:val="center"/>
          </w:tcPr>
          <w:p w14:paraId="056A5E88">
            <w:pPr>
              <w:pStyle w:val="949"/>
              <w:rPr>
                <w:sz w:val="24"/>
                <w:szCs w:val="21"/>
                <w:lang w:val="zh-CN"/>
              </w:rPr>
            </w:pPr>
            <w:r>
              <w:rPr>
                <w:sz w:val="24"/>
                <w:szCs w:val="21"/>
                <w:lang w:val="zh-CN"/>
              </w:rPr>
              <w:t>一、常见人员应急处置卡</w:t>
            </w:r>
          </w:p>
        </w:tc>
      </w:tr>
      <w:tr w14:paraId="178F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294E7156">
            <w:pPr>
              <w:pStyle w:val="949"/>
              <w:rPr>
                <w:sz w:val="24"/>
                <w:szCs w:val="21"/>
                <w:lang w:val="zh-CN"/>
              </w:rPr>
            </w:pPr>
            <w:r>
              <w:rPr>
                <w:sz w:val="24"/>
                <w:szCs w:val="21"/>
                <w:lang w:val="zh-CN"/>
              </w:rPr>
              <w:t>1</w:t>
            </w:r>
          </w:p>
        </w:tc>
        <w:tc>
          <w:tcPr>
            <w:tcW w:w="1417" w:type="dxa"/>
            <w:noWrap/>
            <w:vAlign w:val="center"/>
          </w:tcPr>
          <w:p w14:paraId="379370B5">
            <w:pPr>
              <w:pStyle w:val="949"/>
              <w:rPr>
                <w:sz w:val="24"/>
                <w:szCs w:val="21"/>
                <w:lang w:val="zh-CN"/>
              </w:rPr>
            </w:pPr>
            <w:r>
              <w:rPr>
                <w:sz w:val="24"/>
                <w:szCs w:val="21"/>
                <w:lang w:val="zh-CN"/>
              </w:rPr>
              <w:t>应急管理负责人</w:t>
            </w:r>
          </w:p>
        </w:tc>
        <w:tc>
          <w:tcPr>
            <w:tcW w:w="6988" w:type="dxa"/>
            <w:noWrap/>
            <w:vAlign w:val="center"/>
          </w:tcPr>
          <w:p w14:paraId="05DEAA85">
            <w:pPr>
              <w:pStyle w:val="949"/>
              <w:rPr>
                <w:sz w:val="24"/>
                <w:szCs w:val="21"/>
                <w:lang w:val="zh-CN"/>
              </w:rPr>
            </w:pPr>
            <w:r>
              <w:rPr>
                <w:rFonts w:hint="eastAsia"/>
                <w:sz w:val="24"/>
                <w:szCs w:val="21"/>
                <w:lang w:val="zh-CN"/>
              </w:rPr>
              <w:t>①</w:t>
            </w:r>
            <w:r>
              <w:rPr>
                <w:sz w:val="24"/>
                <w:szCs w:val="21"/>
                <w:lang w:val="zh-CN"/>
              </w:rPr>
              <w:t>接到现场报警后，如造成人员伤亡，在一小时将事故情况内上报所在地县级以上安监部门；</w:t>
            </w:r>
            <w:r>
              <w:rPr>
                <w:rFonts w:hint="eastAsia"/>
                <w:sz w:val="24"/>
                <w:szCs w:val="21"/>
                <w:lang w:val="zh-CN"/>
              </w:rPr>
              <w:t>②</w:t>
            </w:r>
            <w:r>
              <w:rPr>
                <w:sz w:val="24"/>
                <w:szCs w:val="21"/>
                <w:lang w:val="zh-CN"/>
              </w:rPr>
              <w:t>当需要启动应急预案后，第一时间下令启动预案，到达现场成立应急指挥部，担任总指挥，通过应急指挥部办公室通知应急指挥部各成员；</w:t>
            </w:r>
            <w:r>
              <w:rPr>
                <w:rFonts w:hint="eastAsia"/>
                <w:sz w:val="24"/>
                <w:szCs w:val="21"/>
                <w:lang w:val="zh-CN"/>
              </w:rPr>
              <w:t>③</w:t>
            </w:r>
            <w:r>
              <w:rPr>
                <w:sz w:val="24"/>
                <w:szCs w:val="21"/>
                <w:lang w:val="zh-CN"/>
              </w:rPr>
              <w:t>根据事故情况，结合各应急指挥部成员意见，指挥应急救援工作；</w:t>
            </w:r>
            <w:r>
              <w:rPr>
                <w:rFonts w:hint="eastAsia"/>
                <w:sz w:val="24"/>
                <w:szCs w:val="21"/>
                <w:lang w:val="zh-CN"/>
              </w:rPr>
              <w:t>④</w:t>
            </w:r>
            <w:r>
              <w:rPr>
                <w:sz w:val="24"/>
                <w:szCs w:val="21"/>
                <w:lang w:val="zh-CN"/>
              </w:rPr>
              <w:t>如判断企业无法独立完成救援工作，立即通过指挥部办公室向上级部门请求外部支援；</w:t>
            </w:r>
            <w:r>
              <w:rPr>
                <w:rFonts w:hint="eastAsia"/>
                <w:sz w:val="24"/>
                <w:szCs w:val="21"/>
                <w:lang w:val="zh-CN"/>
              </w:rPr>
              <w:t>⑤</w:t>
            </w:r>
            <w:r>
              <w:rPr>
                <w:sz w:val="24"/>
                <w:szCs w:val="21"/>
                <w:lang w:val="zh-CN"/>
              </w:rPr>
              <w:t>在上级部门应急指挥部成立后，向其移交指挥权，介绍事故情况，做好后勤保障工作，配合开展救援；</w:t>
            </w:r>
            <w:r>
              <w:rPr>
                <w:rFonts w:hint="eastAsia"/>
                <w:sz w:val="24"/>
                <w:szCs w:val="21"/>
                <w:lang w:val="zh-CN"/>
              </w:rPr>
              <w:t>⑥</w:t>
            </w:r>
            <w:r>
              <w:rPr>
                <w:sz w:val="24"/>
                <w:szCs w:val="21"/>
                <w:lang w:val="zh-CN"/>
              </w:rPr>
              <w:t>组织事故调查处理，抚恤伤亡人员，总结应急工作经验，落实整改措施。</w:t>
            </w:r>
          </w:p>
        </w:tc>
      </w:tr>
      <w:tr w14:paraId="221A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0745CB98">
            <w:pPr>
              <w:pStyle w:val="949"/>
              <w:rPr>
                <w:sz w:val="24"/>
                <w:szCs w:val="21"/>
                <w:lang w:val="zh-CN"/>
              </w:rPr>
            </w:pPr>
            <w:r>
              <w:rPr>
                <w:sz w:val="24"/>
                <w:szCs w:val="21"/>
                <w:lang w:val="zh-CN"/>
              </w:rPr>
              <w:t>2</w:t>
            </w:r>
          </w:p>
        </w:tc>
        <w:tc>
          <w:tcPr>
            <w:tcW w:w="1417" w:type="dxa"/>
            <w:noWrap/>
            <w:vAlign w:val="center"/>
          </w:tcPr>
          <w:p w14:paraId="21DD3502">
            <w:pPr>
              <w:pStyle w:val="949"/>
              <w:rPr>
                <w:sz w:val="24"/>
                <w:szCs w:val="21"/>
                <w:lang w:val="zh-CN"/>
              </w:rPr>
            </w:pPr>
            <w:r>
              <w:rPr>
                <w:sz w:val="24"/>
                <w:szCs w:val="21"/>
                <w:lang w:val="zh-CN"/>
              </w:rPr>
              <w:t>应急救援负责人</w:t>
            </w:r>
          </w:p>
        </w:tc>
        <w:tc>
          <w:tcPr>
            <w:tcW w:w="6988" w:type="dxa"/>
            <w:noWrap/>
            <w:vAlign w:val="center"/>
          </w:tcPr>
          <w:p w14:paraId="72242829">
            <w:pPr>
              <w:pStyle w:val="949"/>
              <w:rPr>
                <w:sz w:val="24"/>
                <w:szCs w:val="21"/>
                <w:lang w:val="zh-CN"/>
              </w:rPr>
            </w:pPr>
            <w:r>
              <w:rPr>
                <w:rFonts w:hint="eastAsia"/>
                <w:sz w:val="24"/>
                <w:szCs w:val="21"/>
                <w:lang w:val="zh-CN"/>
              </w:rPr>
              <w:t>①</w:t>
            </w:r>
            <w:r>
              <w:rPr>
                <w:sz w:val="24"/>
                <w:szCs w:val="21"/>
                <w:lang w:val="zh-CN"/>
              </w:rPr>
              <w:t>接到指挥部办公室通知后，第一时间到达现场参加指挥部，接受总指挥指挥；</w:t>
            </w:r>
            <w:r>
              <w:rPr>
                <w:rFonts w:hint="eastAsia"/>
                <w:sz w:val="24"/>
                <w:szCs w:val="21"/>
                <w:lang w:val="zh-CN"/>
              </w:rPr>
              <w:t>②</w:t>
            </w:r>
            <w:r>
              <w:rPr>
                <w:sz w:val="24"/>
                <w:szCs w:val="21"/>
                <w:lang w:val="zh-CN"/>
              </w:rPr>
              <w:t>电话通知抢险救灾组成员和应急队伍队员到达现场或做好应急准备；</w:t>
            </w:r>
            <w:r>
              <w:rPr>
                <w:rFonts w:hint="eastAsia"/>
                <w:sz w:val="24"/>
                <w:szCs w:val="21"/>
                <w:lang w:val="zh-CN"/>
              </w:rPr>
              <w:t>③</w:t>
            </w:r>
            <w:r>
              <w:rPr>
                <w:sz w:val="24"/>
                <w:szCs w:val="21"/>
                <w:lang w:val="zh-CN"/>
              </w:rPr>
              <w:t>协助总指挥制定事故抢险方案；</w:t>
            </w:r>
            <w:r>
              <w:rPr>
                <w:rFonts w:hint="eastAsia"/>
                <w:sz w:val="24"/>
                <w:szCs w:val="21"/>
                <w:lang w:val="zh-CN"/>
              </w:rPr>
              <w:t>④</w:t>
            </w:r>
            <w:r>
              <w:rPr>
                <w:sz w:val="24"/>
                <w:szCs w:val="21"/>
                <w:lang w:val="zh-CN"/>
              </w:rPr>
              <w:t>在总指挥的指挥下，组织抢险救灾组成员和应急队伍按照应急预案开展事故抢险救援工作；</w:t>
            </w:r>
            <w:r>
              <w:rPr>
                <w:rFonts w:hint="eastAsia"/>
                <w:sz w:val="24"/>
                <w:szCs w:val="21"/>
                <w:lang w:val="zh-CN"/>
              </w:rPr>
              <w:t>⑤</w:t>
            </w:r>
            <w:r>
              <w:rPr>
                <w:sz w:val="24"/>
                <w:szCs w:val="21"/>
                <w:lang w:val="zh-CN"/>
              </w:rPr>
              <w:t>当判断企业层面无法进行救援时，向总指挥提议请求外界支援，并组织人员采取防止事故扩大的冷却、隔离、转移重要物资等先期处置工作；</w:t>
            </w:r>
            <w:r>
              <w:rPr>
                <w:rFonts w:hint="eastAsia"/>
                <w:sz w:val="24"/>
                <w:szCs w:val="21"/>
                <w:lang w:val="zh-CN"/>
              </w:rPr>
              <w:t>⑥</w:t>
            </w:r>
            <w:r>
              <w:rPr>
                <w:sz w:val="24"/>
                <w:szCs w:val="21"/>
                <w:lang w:val="zh-CN"/>
              </w:rPr>
              <w:t>当外界支援力量到达后，组织人员协助其开展事故救援，并做好后勤保障工作；</w:t>
            </w:r>
            <w:r>
              <w:rPr>
                <w:rFonts w:hint="eastAsia"/>
                <w:sz w:val="24"/>
                <w:szCs w:val="21"/>
                <w:lang w:val="zh-CN"/>
              </w:rPr>
              <w:t>⑦</w:t>
            </w:r>
            <w:r>
              <w:rPr>
                <w:sz w:val="24"/>
                <w:szCs w:val="21"/>
                <w:lang w:val="zh-CN"/>
              </w:rPr>
              <w:t>事故救援工作结束后，配合开展善后处理和事故调查工作。</w:t>
            </w:r>
          </w:p>
        </w:tc>
      </w:tr>
      <w:tr w14:paraId="6642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3" w:type="dxa"/>
            <w:gridSpan w:val="3"/>
            <w:noWrap/>
            <w:vAlign w:val="center"/>
          </w:tcPr>
          <w:p w14:paraId="71A02771">
            <w:pPr>
              <w:pStyle w:val="949"/>
              <w:rPr>
                <w:sz w:val="24"/>
                <w:szCs w:val="21"/>
                <w:lang w:val="zh-CN"/>
              </w:rPr>
            </w:pPr>
            <w:r>
              <w:rPr>
                <w:sz w:val="24"/>
                <w:szCs w:val="21"/>
                <w:lang w:val="zh-CN"/>
              </w:rPr>
              <w:t>二、火灾事故应急处置卡</w:t>
            </w:r>
          </w:p>
        </w:tc>
      </w:tr>
      <w:tr w14:paraId="7FA9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249BAE5C">
            <w:pPr>
              <w:pStyle w:val="949"/>
              <w:rPr>
                <w:sz w:val="24"/>
                <w:szCs w:val="21"/>
                <w:lang w:val="zh-CN"/>
              </w:rPr>
            </w:pPr>
            <w:r>
              <w:rPr>
                <w:sz w:val="24"/>
                <w:szCs w:val="21"/>
                <w:lang w:val="zh-CN"/>
              </w:rPr>
              <w:t>3</w:t>
            </w:r>
          </w:p>
        </w:tc>
        <w:tc>
          <w:tcPr>
            <w:tcW w:w="1417" w:type="dxa"/>
            <w:noWrap/>
            <w:vAlign w:val="center"/>
          </w:tcPr>
          <w:p w14:paraId="5B4DAAEF">
            <w:pPr>
              <w:pStyle w:val="949"/>
              <w:rPr>
                <w:sz w:val="24"/>
                <w:szCs w:val="21"/>
                <w:lang w:val="zh-CN"/>
              </w:rPr>
            </w:pPr>
            <w:r>
              <w:rPr>
                <w:sz w:val="24"/>
                <w:szCs w:val="21"/>
                <w:lang w:val="zh-CN"/>
              </w:rPr>
              <w:t>火灾事故</w:t>
            </w:r>
          </w:p>
        </w:tc>
        <w:tc>
          <w:tcPr>
            <w:tcW w:w="6988" w:type="dxa"/>
            <w:noWrap/>
            <w:vAlign w:val="center"/>
          </w:tcPr>
          <w:p w14:paraId="0D4A3E27">
            <w:pPr>
              <w:pStyle w:val="949"/>
              <w:rPr>
                <w:sz w:val="24"/>
                <w:szCs w:val="21"/>
                <w:lang w:val="zh-CN"/>
              </w:rPr>
            </w:pPr>
            <w:r>
              <w:rPr>
                <w:rFonts w:hint="eastAsia"/>
                <w:sz w:val="24"/>
                <w:szCs w:val="21"/>
                <w:lang w:val="zh-CN"/>
              </w:rPr>
              <w:t>①</w:t>
            </w:r>
            <w:r>
              <w:rPr>
                <w:sz w:val="24"/>
                <w:szCs w:val="21"/>
                <w:lang w:val="zh-CN"/>
              </w:rPr>
              <w:t>现场人员发现火灾应立即向上级及周围人报警；</w:t>
            </w:r>
            <w:r>
              <w:rPr>
                <w:rFonts w:hint="eastAsia"/>
                <w:sz w:val="24"/>
                <w:szCs w:val="21"/>
                <w:lang w:val="zh-CN"/>
              </w:rPr>
              <w:t>②</w:t>
            </w:r>
            <w:r>
              <w:rPr>
                <w:sz w:val="24"/>
                <w:szCs w:val="21"/>
                <w:lang w:val="zh-CN"/>
              </w:rPr>
              <w:t>现场管理人员立即通知全部人员展开自救，并安排切断生产电源；</w:t>
            </w:r>
            <w:r>
              <w:rPr>
                <w:rFonts w:hint="eastAsia"/>
                <w:sz w:val="24"/>
                <w:szCs w:val="21"/>
                <w:lang w:val="zh-CN"/>
              </w:rPr>
              <w:t>③</w:t>
            </w:r>
            <w:r>
              <w:rPr>
                <w:sz w:val="24"/>
                <w:szCs w:val="21"/>
                <w:lang w:val="zh-CN"/>
              </w:rPr>
              <w:t>若火势不大，可组织现场人员用水、砂子、干粉、化学灭火器和直接挖去火源等方法灭火。若火灾范围较大或火势太猛，现场人员无力抢救、自身安全受到威胁时，应迅速自救撤离灾区；</w:t>
            </w:r>
            <w:r>
              <w:rPr>
                <w:rFonts w:hint="eastAsia"/>
                <w:sz w:val="24"/>
                <w:szCs w:val="21"/>
                <w:lang w:val="zh-CN"/>
              </w:rPr>
              <w:t>④</w:t>
            </w:r>
            <w:r>
              <w:rPr>
                <w:sz w:val="24"/>
                <w:szCs w:val="21"/>
                <w:lang w:val="zh-CN"/>
              </w:rPr>
              <w:t>灭火时要有充分的水量，应先从火源外围逐渐向火源中心喷射水流，避免高温火源使水分解成氢气和氧气引起爆炸事故，同时防止大量蒸汽伤人；</w:t>
            </w:r>
            <w:r>
              <w:rPr>
                <w:rFonts w:hint="eastAsia"/>
                <w:sz w:val="24"/>
                <w:szCs w:val="21"/>
                <w:lang w:val="zh-CN"/>
              </w:rPr>
              <w:t>⑤</w:t>
            </w:r>
            <w:r>
              <w:rPr>
                <w:sz w:val="24"/>
                <w:szCs w:val="21"/>
                <w:lang w:val="zh-CN"/>
              </w:rPr>
              <w:t>灭火人员应在火源的上风侧灭火，要防止烟气伤人；</w:t>
            </w:r>
            <w:r>
              <w:rPr>
                <w:rFonts w:hint="eastAsia"/>
                <w:sz w:val="24"/>
                <w:szCs w:val="21"/>
                <w:lang w:val="zh-CN"/>
              </w:rPr>
              <w:t>⑥</w:t>
            </w:r>
            <w:r>
              <w:rPr>
                <w:sz w:val="24"/>
                <w:szCs w:val="21"/>
                <w:lang w:val="zh-CN"/>
              </w:rPr>
              <w:t>电气设备着火时，应首先切断电源，在电源切断前，只能使用不导电的灭火器材（如沙子、灭火毯、干粉灭火器）进行灭火。油类火灾禁止用水直接灭火；</w:t>
            </w:r>
            <w:r>
              <w:rPr>
                <w:rFonts w:hint="eastAsia"/>
                <w:sz w:val="24"/>
                <w:szCs w:val="21"/>
                <w:lang w:val="zh-CN"/>
              </w:rPr>
              <w:t>⑦</w:t>
            </w:r>
            <w:r>
              <w:rPr>
                <w:sz w:val="24"/>
                <w:szCs w:val="21"/>
                <w:lang w:val="zh-CN"/>
              </w:rPr>
              <w:t>撤退途中，要关闭身后防火门。通过情况不明门窗时，要注意门后情况，避免大火突然涌入；</w:t>
            </w:r>
            <w:r>
              <w:rPr>
                <w:rFonts w:hint="eastAsia"/>
                <w:sz w:val="24"/>
                <w:szCs w:val="21"/>
                <w:lang w:val="zh-CN"/>
              </w:rPr>
              <w:t>⑧</w:t>
            </w:r>
            <w:r>
              <w:rPr>
                <w:sz w:val="24"/>
                <w:szCs w:val="21"/>
                <w:lang w:val="zh-CN"/>
              </w:rPr>
              <w:t>如遇烟雾大、视线不清或温度高时，则应尽量贴着地板爬行撤退。在高温浓烟的空间撤退还应利用能得到的水，浸湿毛巾、衣物或向身上淋水等办法进行降温，或是利用随身物件等遮挡头部，以防高温烟气侵害；</w:t>
            </w:r>
            <w:r>
              <w:rPr>
                <w:rFonts w:hint="eastAsia"/>
                <w:sz w:val="24"/>
                <w:szCs w:val="21"/>
                <w:lang w:val="zh-CN"/>
              </w:rPr>
              <w:t>⑨</w:t>
            </w:r>
            <w:r>
              <w:rPr>
                <w:sz w:val="24"/>
                <w:szCs w:val="21"/>
                <w:lang w:val="zh-CN"/>
              </w:rPr>
              <w:t>达到安全区域后，现场人员应及时向上级汇报火势情况及殃及区域并清点人数，对伤员进行简单医疗救护，等待救援。</w:t>
            </w:r>
          </w:p>
        </w:tc>
      </w:tr>
      <w:tr w14:paraId="1741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3" w:type="dxa"/>
            <w:gridSpan w:val="3"/>
            <w:noWrap/>
            <w:vAlign w:val="center"/>
          </w:tcPr>
          <w:p w14:paraId="201E7FB7">
            <w:pPr>
              <w:pStyle w:val="949"/>
              <w:rPr>
                <w:sz w:val="24"/>
                <w:szCs w:val="21"/>
                <w:lang w:val="zh-CN"/>
              </w:rPr>
            </w:pPr>
            <w:r>
              <w:rPr>
                <w:sz w:val="24"/>
                <w:szCs w:val="21"/>
                <w:lang w:val="zh-CN"/>
              </w:rPr>
              <w:t>三、常见伤害事故应急处置卡</w:t>
            </w:r>
          </w:p>
        </w:tc>
      </w:tr>
      <w:tr w14:paraId="38F5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46B8314A">
            <w:pPr>
              <w:pStyle w:val="949"/>
              <w:rPr>
                <w:sz w:val="24"/>
                <w:szCs w:val="21"/>
                <w:lang w:val="zh-CN"/>
              </w:rPr>
            </w:pPr>
            <w:r>
              <w:rPr>
                <w:sz w:val="24"/>
                <w:szCs w:val="21"/>
                <w:lang w:val="zh-CN"/>
              </w:rPr>
              <w:t>4</w:t>
            </w:r>
          </w:p>
        </w:tc>
        <w:tc>
          <w:tcPr>
            <w:tcW w:w="1417" w:type="dxa"/>
            <w:noWrap/>
            <w:vAlign w:val="center"/>
          </w:tcPr>
          <w:p w14:paraId="0CB8DB2C">
            <w:pPr>
              <w:pStyle w:val="949"/>
              <w:rPr>
                <w:sz w:val="24"/>
                <w:szCs w:val="21"/>
                <w:lang w:val="zh-CN"/>
              </w:rPr>
            </w:pPr>
            <w:r>
              <w:rPr>
                <w:sz w:val="24"/>
                <w:szCs w:val="21"/>
                <w:lang w:val="zh-CN"/>
              </w:rPr>
              <w:t>轻微损伤</w:t>
            </w:r>
          </w:p>
        </w:tc>
        <w:tc>
          <w:tcPr>
            <w:tcW w:w="6988" w:type="dxa"/>
            <w:noWrap/>
            <w:vAlign w:val="center"/>
          </w:tcPr>
          <w:p w14:paraId="77278ACB">
            <w:pPr>
              <w:pStyle w:val="949"/>
              <w:jc w:val="left"/>
              <w:rPr>
                <w:sz w:val="24"/>
                <w:szCs w:val="21"/>
                <w:lang w:val="zh-CN"/>
              </w:rPr>
            </w:pPr>
            <w:r>
              <w:rPr>
                <w:rFonts w:hint="eastAsia"/>
                <w:sz w:val="24"/>
                <w:szCs w:val="21"/>
                <w:lang w:val="zh-CN"/>
              </w:rPr>
              <w:t>①</w:t>
            </w:r>
            <w:r>
              <w:rPr>
                <w:sz w:val="24"/>
                <w:szCs w:val="21"/>
                <w:lang w:val="zh-CN"/>
              </w:rPr>
              <w:t>立即用消毒剂清洗伤口周围，但要小心勿触及伤口；</w:t>
            </w:r>
          </w:p>
          <w:p w14:paraId="63EC42CF">
            <w:pPr>
              <w:pStyle w:val="949"/>
              <w:jc w:val="left"/>
              <w:rPr>
                <w:sz w:val="24"/>
                <w:szCs w:val="21"/>
                <w:lang w:val="zh-CN"/>
              </w:rPr>
            </w:pPr>
            <w:r>
              <w:rPr>
                <w:rFonts w:hint="eastAsia"/>
                <w:sz w:val="24"/>
                <w:szCs w:val="21"/>
                <w:lang w:val="zh-CN"/>
              </w:rPr>
              <w:t>②</w:t>
            </w:r>
            <w:r>
              <w:rPr>
                <w:sz w:val="24"/>
                <w:szCs w:val="21"/>
                <w:lang w:val="zh-CN"/>
              </w:rPr>
              <w:t>如无消毒药水，可以用清水洗涤伤口，并用消毒纱布遮盖伤口；</w:t>
            </w:r>
          </w:p>
          <w:p w14:paraId="01474A06">
            <w:pPr>
              <w:pStyle w:val="949"/>
              <w:jc w:val="left"/>
              <w:rPr>
                <w:sz w:val="24"/>
                <w:szCs w:val="21"/>
                <w:lang w:val="zh-CN"/>
              </w:rPr>
            </w:pPr>
            <w:r>
              <w:rPr>
                <w:rFonts w:hint="eastAsia"/>
                <w:sz w:val="24"/>
                <w:szCs w:val="21"/>
                <w:lang w:val="zh-CN"/>
              </w:rPr>
              <w:t>③</w:t>
            </w:r>
            <w:r>
              <w:rPr>
                <w:sz w:val="24"/>
                <w:szCs w:val="21"/>
                <w:lang w:val="zh-CN"/>
              </w:rPr>
              <w:t>提醒伤者，若伤口发生红肿或刺痛时，应看医生。</w:t>
            </w:r>
          </w:p>
        </w:tc>
      </w:tr>
      <w:tr w14:paraId="7BD4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26797678">
            <w:pPr>
              <w:pStyle w:val="949"/>
              <w:rPr>
                <w:sz w:val="24"/>
                <w:szCs w:val="21"/>
                <w:lang w:val="zh-CN"/>
              </w:rPr>
            </w:pPr>
            <w:r>
              <w:rPr>
                <w:sz w:val="24"/>
                <w:szCs w:val="21"/>
                <w:lang w:val="zh-CN"/>
              </w:rPr>
              <w:t>5</w:t>
            </w:r>
          </w:p>
        </w:tc>
        <w:tc>
          <w:tcPr>
            <w:tcW w:w="1417" w:type="dxa"/>
            <w:noWrap/>
            <w:vAlign w:val="center"/>
          </w:tcPr>
          <w:p w14:paraId="00172DDE">
            <w:pPr>
              <w:pStyle w:val="949"/>
              <w:rPr>
                <w:sz w:val="24"/>
                <w:szCs w:val="21"/>
                <w:lang w:val="zh-CN"/>
              </w:rPr>
            </w:pPr>
            <w:r>
              <w:rPr>
                <w:sz w:val="24"/>
                <w:szCs w:val="21"/>
                <w:lang w:val="zh-CN"/>
              </w:rPr>
              <w:t>眼睛受伤</w:t>
            </w:r>
          </w:p>
        </w:tc>
        <w:tc>
          <w:tcPr>
            <w:tcW w:w="6988" w:type="dxa"/>
            <w:noWrap/>
            <w:vAlign w:val="center"/>
          </w:tcPr>
          <w:p w14:paraId="4688FC9C">
            <w:pPr>
              <w:pStyle w:val="949"/>
              <w:jc w:val="left"/>
              <w:rPr>
                <w:sz w:val="24"/>
                <w:szCs w:val="21"/>
                <w:lang w:val="zh-CN"/>
              </w:rPr>
            </w:pPr>
            <w:r>
              <w:rPr>
                <w:rFonts w:hint="eastAsia"/>
                <w:sz w:val="24"/>
                <w:szCs w:val="21"/>
                <w:lang w:val="zh-CN"/>
              </w:rPr>
              <w:t>①</w:t>
            </w:r>
            <w:r>
              <w:rPr>
                <w:sz w:val="24"/>
                <w:szCs w:val="21"/>
                <w:lang w:val="zh-CN"/>
              </w:rPr>
              <w:t>化学品入眼，立即用大量清水冲洗眼睛；</w:t>
            </w:r>
          </w:p>
          <w:p w14:paraId="7D334542">
            <w:pPr>
              <w:pStyle w:val="949"/>
              <w:jc w:val="left"/>
              <w:rPr>
                <w:sz w:val="24"/>
                <w:szCs w:val="21"/>
                <w:lang w:val="zh-CN"/>
              </w:rPr>
            </w:pPr>
            <w:r>
              <w:rPr>
                <w:rFonts w:hint="eastAsia"/>
                <w:sz w:val="24"/>
                <w:szCs w:val="21"/>
                <w:lang w:val="zh-CN"/>
              </w:rPr>
              <w:t>②</w:t>
            </w:r>
            <w:r>
              <w:rPr>
                <w:sz w:val="24"/>
                <w:szCs w:val="21"/>
                <w:lang w:val="zh-CN"/>
              </w:rPr>
              <w:t>冲洗时必须将眼睛张开，使水能流过眼球，最少应冲洗30分钟；</w:t>
            </w:r>
          </w:p>
          <w:p w14:paraId="473EA874">
            <w:pPr>
              <w:pStyle w:val="949"/>
              <w:jc w:val="left"/>
              <w:rPr>
                <w:sz w:val="24"/>
                <w:szCs w:val="21"/>
                <w:lang w:val="zh-CN"/>
              </w:rPr>
            </w:pPr>
            <w:r>
              <w:rPr>
                <w:rFonts w:hint="eastAsia"/>
                <w:sz w:val="24"/>
                <w:szCs w:val="21"/>
                <w:lang w:val="zh-CN"/>
              </w:rPr>
              <w:t>③</w:t>
            </w:r>
            <w:r>
              <w:rPr>
                <w:sz w:val="24"/>
                <w:szCs w:val="21"/>
                <w:lang w:val="zh-CN"/>
              </w:rPr>
              <w:t>外物入眼或眼睛被碰伤，用纱布将眼睛轻轻盖着，送伤者到医院。</w:t>
            </w:r>
          </w:p>
        </w:tc>
      </w:tr>
      <w:tr w14:paraId="2EEC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197DDB14">
            <w:pPr>
              <w:pStyle w:val="949"/>
              <w:rPr>
                <w:sz w:val="24"/>
                <w:szCs w:val="21"/>
                <w:lang w:val="zh-CN"/>
              </w:rPr>
            </w:pPr>
            <w:r>
              <w:rPr>
                <w:sz w:val="24"/>
                <w:szCs w:val="21"/>
                <w:lang w:val="zh-CN"/>
              </w:rPr>
              <w:t>6</w:t>
            </w:r>
          </w:p>
        </w:tc>
        <w:tc>
          <w:tcPr>
            <w:tcW w:w="1417" w:type="dxa"/>
            <w:noWrap/>
            <w:vAlign w:val="center"/>
          </w:tcPr>
          <w:p w14:paraId="05C0EB17">
            <w:pPr>
              <w:pStyle w:val="949"/>
              <w:rPr>
                <w:sz w:val="24"/>
                <w:szCs w:val="21"/>
                <w:lang w:val="zh-CN"/>
              </w:rPr>
            </w:pPr>
            <w:r>
              <w:rPr>
                <w:sz w:val="24"/>
                <w:szCs w:val="21"/>
                <w:lang w:val="zh-CN"/>
              </w:rPr>
              <w:t>流血</w:t>
            </w:r>
          </w:p>
        </w:tc>
        <w:tc>
          <w:tcPr>
            <w:tcW w:w="6988" w:type="dxa"/>
            <w:noWrap/>
            <w:vAlign w:val="center"/>
          </w:tcPr>
          <w:p w14:paraId="709A57F2">
            <w:pPr>
              <w:pStyle w:val="949"/>
              <w:jc w:val="left"/>
              <w:rPr>
                <w:sz w:val="24"/>
                <w:szCs w:val="21"/>
                <w:lang w:val="zh-CN"/>
              </w:rPr>
            </w:pPr>
            <w:r>
              <w:rPr>
                <w:rFonts w:hint="eastAsia"/>
                <w:sz w:val="24"/>
                <w:szCs w:val="21"/>
                <w:lang w:val="zh-CN"/>
              </w:rPr>
              <w:t>①</w:t>
            </w:r>
            <w:r>
              <w:rPr>
                <w:sz w:val="24"/>
                <w:szCs w:val="21"/>
                <w:lang w:val="zh-CN"/>
              </w:rPr>
              <w:t>若伤口没有异物，用消毒纱布包扎伤口，并用手紧压该处；</w:t>
            </w:r>
          </w:p>
          <w:p w14:paraId="7CC4DE9D">
            <w:pPr>
              <w:pStyle w:val="949"/>
              <w:jc w:val="left"/>
              <w:rPr>
                <w:sz w:val="24"/>
                <w:szCs w:val="21"/>
                <w:lang w:val="zh-CN"/>
              </w:rPr>
            </w:pPr>
            <w:r>
              <w:rPr>
                <w:rFonts w:hint="eastAsia"/>
                <w:sz w:val="24"/>
                <w:szCs w:val="21"/>
                <w:lang w:val="zh-CN"/>
              </w:rPr>
              <w:t>②</w:t>
            </w:r>
            <w:r>
              <w:rPr>
                <w:sz w:val="24"/>
                <w:szCs w:val="21"/>
                <w:lang w:val="zh-CN"/>
              </w:rPr>
              <w:t>若伤口有异物，在伤口旁施压，包扎前放上敷垫来遮盖伤口包扎，提高支持受伤部位；</w:t>
            </w:r>
          </w:p>
          <w:p w14:paraId="3941061E">
            <w:pPr>
              <w:pStyle w:val="949"/>
              <w:jc w:val="left"/>
              <w:rPr>
                <w:sz w:val="24"/>
                <w:szCs w:val="21"/>
                <w:lang w:val="zh-CN"/>
              </w:rPr>
            </w:pPr>
            <w:r>
              <w:rPr>
                <w:rFonts w:hint="eastAsia"/>
                <w:sz w:val="24"/>
                <w:szCs w:val="21"/>
                <w:lang w:val="zh-CN"/>
              </w:rPr>
              <w:t>③</w:t>
            </w:r>
            <w:r>
              <w:rPr>
                <w:sz w:val="24"/>
                <w:szCs w:val="21"/>
                <w:lang w:val="zh-CN"/>
              </w:rPr>
              <w:t>如严重出血，马上送往就近的医院。</w:t>
            </w:r>
          </w:p>
        </w:tc>
      </w:tr>
      <w:tr w14:paraId="095E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0593A310">
            <w:pPr>
              <w:pStyle w:val="949"/>
              <w:rPr>
                <w:sz w:val="24"/>
                <w:szCs w:val="21"/>
                <w:lang w:val="zh-CN"/>
              </w:rPr>
            </w:pPr>
            <w:r>
              <w:rPr>
                <w:sz w:val="24"/>
                <w:szCs w:val="21"/>
                <w:lang w:val="zh-CN"/>
              </w:rPr>
              <w:t>7</w:t>
            </w:r>
          </w:p>
        </w:tc>
        <w:tc>
          <w:tcPr>
            <w:tcW w:w="1417" w:type="dxa"/>
            <w:noWrap/>
            <w:vAlign w:val="center"/>
          </w:tcPr>
          <w:p w14:paraId="735568EE">
            <w:pPr>
              <w:pStyle w:val="949"/>
              <w:rPr>
                <w:sz w:val="24"/>
                <w:szCs w:val="21"/>
                <w:lang w:val="zh-CN"/>
              </w:rPr>
            </w:pPr>
            <w:r>
              <w:rPr>
                <w:sz w:val="24"/>
                <w:szCs w:val="21"/>
                <w:lang w:val="zh-CN"/>
              </w:rPr>
              <w:t>骨折</w:t>
            </w:r>
          </w:p>
        </w:tc>
        <w:tc>
          <w:tcPr>
            <w:tcW w:w="6988" w:type="dxa"/>
            <w:noWrap/>
            <w:vAlign w:val="center"/>
          </w:tcPr>
          <w:p w14:paraId="194A967A">
            <w:pPr>
              <w:pStyle w:val="949"/>
              <w:jc w:val="left"/>
              <w:rPr>
                <w:sz w:val="24"/>
                <w:szCs w:val="21"/>
                <w:lang w:val="zh-CN"/>
              </w:rPr>
            </w:pPr>
            <w:r>
              <w:rPr>
                <w:rFonts w:hint="eastAsia"/>
                <w:sz w:val="24"/>
                <w:szCs w:val="21"/>
                <w:lang w:val="zh-CN"/>
              </w:rPr>
              <w:t>①</w:t>
            </w:r>
            <w:r>
              <w:rPr>
                <w:sz w:val="24"/>
                <w:szCs w:val="21"/>
                <w:lang w:val="zh-CN"/>
              </w:rPr>
              <w:t>稳定支持受伤部位，不要轻易移动伤者；</w:t>
            </w:r>
          </w:p>
          <w:p w14:paraId="4BF9B0C5">
            <w:pPr>
              <w:pStyle w:val="949"/>
              <w:jc w:val="left"/>
              <w:rPr>
                <w:sz w:val="24"/>
                <w:szCs w:val="21"/>
                <w:lang w:val="zh-CN"/>
              </w:rPr>
            </w:pPr>
            <w:r>
              <w:rPr>
                <w:rFonts w:hint="eastAsia"/>
                <w:sz w:val="24"/>
                <w:szCs w:val="21"/>
                <w:lang w:val="zh-CN"/>
              </w:rPr>
              <w:t>②</w:t>
            </w:r>
            <w:r>
              <w:rPr>
                <w:sz w:val="24"/>
                <w:szCs w:val="21"/>
                <w:lang w:val="zh-CN"/>
              </w:rPr>
              <w:t>用木棍和绳索进行固定，用护垫保护伤者；</w:t>
            </w:r>
          </w:p>
          <w:p w14:paraId="67C05026">
            <w:pPr>
              <w:pStyle w:val="949"/>
              <w:jc w:val="left"/>
              <w:rPr>
                <w:sz w:val="24"/>
                <w:szCs w:val="21"/>
                <w:lang w:val="zh-CN"/>
              </w:rPr>
            </w:pPr>
            <w:r>
              <w:rPr>
                <w:rFonts w:hint="eastAsia"/>
                <w:sz w:val="24"/>
                <w:szCs w:val="21"/>
                <w:lang w:val="zh-CN"/>
              </w:rPr>
              <w:t>③</w:t>
            </w:r>
            <w:r>
              <w:rPr>
                <w:sz w:val="24"/>
                <w:szCs w:val="21"/>
                <w:lang w:val="zh-CN"/>
              </w:rPr>
              <w:t>将伤者送往医院。</w:t>
            </w:r>
          </w:p>
        </w:tc>
      </w:tr>
      <w:tr w14:paraId="535B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4524C76E">
            <w:pPr>
              <w:pStyle w:val="949"/>
              <w:rPr>
                <w:sz w:val="24"/>
                <w:szCs w:val="21"/>
                <w:lang w:val="zh-CN"/>
              </w:rPr>
            </w:pPr>
            <w:r>
              <w:rPr>
                <w:sz w:val="24"/>
                <w:szCs w:val="21"/>
                <w:lang w:val="zh-CN"/>
              </w:rPr>
              <w:t>8</w:t>
            </w:r>
          </w:p>
        </w:tc>
        <w:tc>
          <w:tcPr>
            <w:tcW w:w="1417" w:type="dxa"/>
            <w:noWrap/>
            <w:vAlign w:val="center"/>
          </w:tcPr>
          <w:p w14:paraId="0EDCF999">
            <w:pPr>
              <w:pStyle w:val="949"/>
              <w:rPr>
                <w:sz w:val="24"/>
                <w:szCs w:val="21"/>
                <w:lang w:val="zh-CN"/>
              </w:rPr>
            </w:pPr>
            <w:r>
              <w:rPr>
                <w:sz w:val="24"/>
                <w:szCs w:val="21"/>
                <w:lang w:val="zh-CN"/>
              </w:rPr>
              <w:t>休克</w:t>
            </w:r>
          </w:p>
        </w:tc>
        <w:tc>
          <w:tcPr>
            <w:tcW w:w="6988" w:type="dxa"/>
            <w:noWrap/>
            <w:vAlign w:val="center"/>
          </w:tcPr>
          <w:p w14:paraId="5C5B7B95">
            <w:pPr>
              <w:pStyle w:val="949"/>
              <w:jc w:val="left"/>
              <w:rPr>
                <w:sz w:val="24"/>
                <w:szCs w:val="21"/>
                <w:lang w:val="zh-CN"/>
              </w:rPr>
            </w:pPr>
            <w:r>
              <w:rPr>
                <w:rFonts w:hint="eastAsia"/>
                <w:sz w:val="24"/>
                <w:szCs w:val="21"/>
                <w:lang w:val="zh-CN"/>
              </w:rPr>
              <w:t>①</w:t>
            </w:r>
            <w:r>
              <w:rPr>
                <w:sz w:val="24"/>
                <w:szCs w:val="21"/>
                <w:lang w:val="zh-CN"/>
              </w:rPr>
              <w:t>使伤者平躺着，将他的头部靠低，尽量提高并支持他的足踝；</w:t>
            </w:r>
          </w:p>
          <w:p w14:paraId="7E8DCE41">
            <w:pPr>
              <w:pStyle w:val="949"/>
              <w:jc w:val="left"/>
              <w:rPr>
                <w:sz w:val="24"/>
                <w:szCs w:val="21"/>
                <w:lang w:val="zh-CN"/>
              </w:rPr>
            </w:pPr>
            <w:r>
              <w:rPr>
                <w:rFonts w:hint="eastAsia"/>
                <w:sz w:val="24"/>
                <w:szCs w:val="21"/>
                <w:lang w:val="zh-CN"/>
              </w:rPr>
              <w:t>②</w:t>
            </w:r>
            <w:r>
              <w:rPr>
                <w:sz w:val="24"/>
                <w:szCs w:val="21"/>
                <w:lang w:val="zh-CN"/>
              </w:rPr>
              <w:t>松开伤者的衣领及皮带。</w:t>
            </w:r>
          </w:p>
          <w:p w14:paraId="7F19D1CD">
            <w:pPr>
              <w:pStyle w:val="949"/>
              <w:jc w:val="left"/>
              <w:rPr>
                <w:sz w:val="24"/>
                <w:szCs w:val="21"/>
                <w:lang w:val="zh-CN"/>
              </w:rPr>
            </w:pPr>
            <w:r>
              <w:rPr>
                <w:rFonts w:hint="eastAsia"/>
                <w:sz w:val="24"/>
                <w:szCs w:val="21"/>
                <w:lang w:val="zh-CN"/>
              </w:rPr>
              <w:t>③</w:t>
            </w:r>
            <w:r>
              <w:rPr>
                <w:sz w:val="24"/>
                <w:szCs w:val="21"/>
                <w:lang w:val="zh-CN"/>
              </w:rPr>
              <w:t>切勿给伤者食物、饮料、吸烟，随便移动伤者；</w:t>
            </w:r>
          </w:p>
          <w:p w14:paraId="4B8672E7">
            <w:pPr>
              <w:pStyle w:val="949"/>
              <w:jc w:val="left"/>
              <w:rPr>
                <w:sz w:val="24"/>
                <w:szCs w:val="21"/>
                <w:lang w:val="zh-CN"/>
              </w:rPr>
            </w:pPr>
            <w:r>
              <w:rPr>
                <w:rFonts w:hint="eastAsia"/>
                <w:sz w:val="24"/>
                <w:szCs w:val="21"/>
                <w:lang w:val="zh-CN"/>
              </w:rPr>
              <w:t>④</w:t>
            </w:r>
            <w:r>
              <w:rPr>
                <w:sz w:val="24"/>
                <w:szCs w:val="21"/>
                <w:lang w:val="zh-CN"/>
              </w:rPr>
              <w:t>马上送往就近的医院。</w:t>
            </w:r>
          </w:p>
        </w:tc>
      </w:tr>
      <w:tr w14:paraId="5DB6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1199AC7E">
            <w:pPr>
              <w:pStyle w:val="949"/>
              <w:rPr>
                <w:sz w:val="24"/>
                <w:szCs w:val="21"/>
                <w:lang w:val="zh-CN"/>
              </w:rPr>
            </w:pPr>
            <w:r>
              <w:rPr>
                <w:sz w:val="24"/>
                <w:szCs w:val="21"/>
                <w:lang w:val="zh-CN"/>
              </w:rPr>
              <w:t>9</w:t>
            </w:r>
          </w:p>
        </w:tc>
        <w:tc>
          <w:tcPr>
            <w:tcW w:w="1417" w:type="dxa"/>
            <w:noWrap/>
            <w:vAlign w:val="center"/>
          </w:tcPr>
          <w:p w14:paraId="42D07339">
            <w:pPr>
              <w:pStyle w:val="949"/>
              <w:rPr>
                <w:sz w:val="24"/>
                <w:szCs w:val="21"/>
                <w:lang w:val="zh-CN"/>
              </w:rPr>
            </w:pPr>
            <w:r>
              <w:rPr>
                <w:sz w:val="24"/>
                <w:szCs w:val="21"/>
                <w:lang w:val="zh-CN"/>
              </w:rPr>
              <w:t>处理昏迷的伤者</w:t>
            </w:r>
          </w:p>
        </w:tc>
        <w:tc>
          <w:tcPr>
            <w:tcW w:w="6988" w:type="dxa"/>
            <w:noWrap/>
            <w:vAlign w:val="center"/>
          </w:tcPr>
          <w:p w14:paraId="0D920DCA">
            <w:pPr>
              <w:pStyle w:val="949"/>
              <w:jc w:val="left"/>
              <w:rPr>
                <w:sz w:val="24"/>
                <w:szCs w:val="21"/>
                <w:lang w:val="zh-CN"/>
              </w:rPr>
            </w:pPr>
            <w:r>
              <w:rPr>
                <w:rFonts w:hint="eastAsia"/>
                <w:sz w:val="24"/>
                <w:szCs w:val="21"/>
                <w:lang w:val="zh-CN"/>
              </w:rPr>
              <w:t>①</w:t>
            </w:r>
            <w:r>
              <w:rPr>
                <w:sz w:val="24"/>
                <w:szCs w:val="21"/>
                <w:lang w:val="zh-CN"/>
              </w:rPr>
              <w:t>评估伤者反应，轻摇伤者肩膀，大声清楚向伤者发问，观察反应程度；</w:t>
            </w:r>
          </w:p>
          <w:p w14:paraId="38C96D2A">
            <w:pPr>
              <w:pStyle w:val="949"/>
              <w:jc w:val="left"/>
              <w:rPr>
                <w:sz w:val="24"/>
                <w:szCs w:val="21"/>
                <w:lang w:val="zh-CN"/>
              </w:rPr>
            </w:pPr>
            <w:r>
              <w:rPr>
                <w:rFonts w:hint="eastAsia"/>
                <w:sz w:val="24"/>
                <w:szCs w:val="21"/>
                <w:lang w:val="zh-CN"/>
              </w:rPr>
              <w:t>②</w:t>
            </w:r>
            <w:r>
              <w:rPr>
                <w:sz w:val="24"/>
                <w:szCs w:val="21"/>
                <w:lang w:val="zh-CN"/>
              </w:rPr>
              <w:t>发现伤者无反应，清除伤者鼻咽部位分泌物或异物，保持呼吸道通畅；</w:t>
            </w:r>
          </w:p>
          <w:p w14:paraId="6704114E">
            <w:pPr>
              <w:pStyle w:val="949"/>
              <w:jc w:val="left"/>
              <w:rPr>
                <w:sz w:val="24"/>
                <w:szCs w:val="21"/>
                <w:lang w:val="zh-CN"/>
              </w:rPr>
            </w:pPr>
            <w:r>
              <w:rPr>
                <w:rFonts w:hint="eastAsia"/>
                <w:sz w:val="24"/>
                <w:szCs w:val="21"/>
                <w:lang w:val="zh-CN"/>
              </w:rPr>
              <w:t>③</w:t>
            </w:r>
            <w:r>
              <w:rPr>
                <w:sz w:val="24"/>
                <w:szCs w:val="21"/>
                <w:lang w:val="zh-CN"/>
              </w:rPr>
              <w:t>检查伤者，如出血要马上止血；</w:t>
            </w:r>
          </w:p>
          <w:p w14:paraId="621FB7DE">
            <w:pPr>
              <w:pStyle w:val="949"/>
              <w:jc w:val="left"/>
              <w:rPr>
                <w:sz w:val="24"/>
                <w:szCs w:val="21"/>
                <w:lang w:val="zh-CN"/>
              </w:rPr>
            </w:pPr>
            <w:r>
              <w:rPr>
                <w:rFonts w:hint="eastAsia"/>
                <w:sz w:val="24"/>
                <w:szCs w:val="21"/>
                <w:lang w:val="zh-CN"/>
              </w:rPr>
              <w:t>④</w:t>
            </w:r>
            <w:r>
              <w:rPr>
                <w:sz w:val="24"/>
                <w:szCs w:val="21"/>
                <w:lang w:val="zh-CN"/>
              </w:rPr>
              <w:t>使伤者侧卧位躺下，马上送往就近的医院。</w:t>
            </w:r>
          </w:p>
        </w:tc>
      </w:tr>
      <w:tr w14:paraId="4B1F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6BAB7B81">
            <w:pPr>
              <w:pStyle w:val="949"/>
              <w:rPr>
                <w:sz w:val="24"/>
                <w:szCs w:val="21"/>
                <w:lang w:val="zh-CN"/>
              </w:rPr>
            </w:pPr>
            <w:r>
              <w:rPr>
                <w:sz w:val="24"/>
                <w:szCs w:val="21"/>
                <w:lang w:val="zh-CN"/>
              </w:rPr>
              <w:t>10</w:t>
            </w:r>
          </w:p>
        </w:tc>
        <w:tc>
          <w:tcPr>
            <w:tcW w:w="1417" w:type="dxa"/>
            <w:noWrap/>
            <w:vAlign w:val="center"/>
          </w:tcPr>
          <w:p w14:paraId="67B88551">
            <w:pPr>
              <w:pStyle w:val="949"/>
              <w:rPr>
                <w:sz w:val="24"/>
                <w:szCs w:val="21"/>
                <w:lang w:val="zh-CN"/>
              </w:rPr>
            </w:pPr>
            <w:r>
              <w:rPr>
                <w:sz w:val="24"/>
                <w:szCs w:val="21"/>
                <w:lang w:val="zh-CN"/>
              </w:rPr>
              <w:t>烧伤</w:t>
            </w:r>
          </w:p>
        </w:tc>
        <w:tc>
          <w:tcPr>
            <w:tcW w:w="6988" w:type="dxa"/>
            <w:noWrap/>
            <w:vAlign w:val="center"/>
          </w:tcPr>
          <w:p w14:paraId="66D217B4">
            <w:pPr>
              <w:pStyle w:val="949"/>
              <w:jc w:val="left"/>
              <w:rPr>
                <w:sz w:val="24"/>
                <w:szCs w:val="21"/>
                <w:lang w:val="zh-CN"/>
              </w:rPr>
            </w:pPr>
            <w:r>
              <w:rPr>
                <w:rFonts w:hint="eastAsia"/>
                <w:sz w:val="24"/>
                <w:szCs w:val="21"/>
                <w:lang w:val="zh-CN"/>
              </w:rPr>
              <w:t>①</w:t>
            </w:r>
            <w:r>
              <w:rPr>
                <w:sz w:val="24"/>
                <w:szCs w:val="21"/>
                <w:lang w:val="zh-CN"/>
              </w:rPr>
              <w:t>烧伤，在伤处浇水10分钟，后用消毒纱布遮盖伤处；</w:t>
            </w:r>
          </w:p>
          <w:p w14:paraId="2CE1192A">
            <w:pPr>
              <w:pStyle w:val="949"/>
              <w:jc w:val="left"/>
              <w:rPr>
                <w:sz w:val="24"/>
                <w:szCs w:val="21"/>
                <w:lang w:val="zh-CN"/>
              </w:rPr>
            </w:pPr>
            <w:r>
              <w:rPr>
                <w:rFonts w:hint="eastAsia"/>
                <w:sz w:val="24"/>
                <w:szCs w:val="21"/>
                <w:lang w:val="zh-CN"/>
              </w:rPr>
              <w:t>②</w:t>
            </w:r>
            <w:r>
              <w:rPr>
                <w:sz w:val="24"/>
                <w:szCs w:val="21"/>
                <w:lang w:val="zh-CN"/>
              </w:rPr>
              <w:t>严重烧伤，应立即送伤者到医院。</w:t>
            </w:r>
          </w:p>
          <w:p w14:paraId="410215E8">
            <w:pPr>
              <w:pStyle w:val="949"/>
              <w:jc w:val="left"/>
              <w:rPr>
                <w:sz w:val="24"/>
                <w:szCs w:val="21"/>
                <w:lang w:val="zh-CN"/>
              </w:rPr>
            </w:pPr>
            <w:r>
              <w:rPr>
                <w:rFonts w:hint="eastAsia"/>
                <w:sz w:val="24"/>
                <w:szCs w:val="21"/>
                <w:lang w:val="zh-CN"/>
              </w:rPr>
              <w:t>③</w:t>
            </w:r>
            <w:r>
              <w:rPr>
                <w:sz w:val="24"/>
                <w:szCs w:val="21"/>
                <w:lang w:val="zh-CN"/>
              </w:rPr>
              <w:t>如无法送其去医院，应让其躺下，解开紧束衣服，拨打急救电话。</w:t>
            </w:r>
          </w:p>
        </w:tc>
      </w:tr>
      <w:tr w14:paraId="773A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3" w:type="dxa"/>
            <w:gridSpan w:val="3"/>
            <w:noWrap/>
            <w:vAlign w:val="center"/>
          </w:tcPr>
          <w:p w14:paraId="58A96B84">
            <w:pPr>
              <w:pStyle w:val="949"/>
              <w:rPr>
                <w:sz w:val="24"/>
                <w:szCs w:val="21"/>
                <w:lang w:val="zh-CN"/>
              </w:rPr>
            </w:pPr>
            <w:r>
              <w:rPr>
                <w:sz w:val="24"/>
                <w:szCs w:val="21"/>
                <w:lang w:val="zh-CN"/>
              </w:rPr>
              <w:t>四、</w:t>
            </w:r>
            <w:r>
              <w:rPr>
                <w:rFonts w:hint="eastAsia"/>
                <w:sz w:val="24"/>
                <w:szCs w:val="21"/>
                <w:lang w:val="zh-CN"/>
              </w:rPr>
              <w:t>泄漏</w:t>
            </w:r>
            <w:r>
              <w:rPr>
                <w:sz w:val="24"/>
                <w:szCs w:val="21"/>
                <w:lang w:val="zh-CN"/>
              </w:rPr>
              <w:t>事故应急处置卡</w:t>
            </w:r>
          </w:p>
        </w:tc>
      </w:tr>
      <w:tr w14:paraId="3158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noWrap/>
            <w:vAlign w:val="center"/>
          </w:tcPr>
          <w:p w14:paraId="606EA8E7">
            <w:pPr>
              <w:pStyle w:val="949"/>
              <w:rPr>
                <w:sz w:val="24"/>
                <w:szCs w:val="21"/>
                <w:lang w:val="zh-CN"/>
              </w:rPr>
            </w:pPr>
            <w:r>
              <w:rPr>
                <w:sz w:val="24"/>
                <w:szCs w:val="21"/>
                <w:lang w:val="zh-CN"/>
              </w:rPr>
              <w:t>11</w:t>
            </w:r>
          </w:p>
        </w:tc>
        <w:tc>
          <w:tcPr>
            <w:tcW w:w="1417" w:type="dxa"/>
            <w:noWrap/>
            <w:vAlign w:val="center"/>
          </w:tcPr>
          <w:p w14:paraId="02500EA8">
            <w:pPr>
              <w:pStyle w:val="949"/>
              <w:rPr>
                <w:sz w:val="24"/>
                <w:szCs w:val="21"/>
                <w:lang w:val="zh-CN"/>
              </w:rPr>
            </w:pPr>
            <w:r>
              <w:rPr>
                <w:rFonts w:hint="eastAsia"/>
                <w:sz w:val="24"/>
                <w:szCs w:val="21"/>
                <w:lang w:val="zh-CN"/>
              </w:rPr>
              <w:t>泄漏</w:t>
            </w:r>
            <w:r>
              <w:rPr>
                <w:sz w:val="24"/>
                <w:szCs w:val="21"/>
                <w:lang w:val="zh-CN"/>
              </w:rPr>
              <w:t>事故</w:t>
            </w:r>
          </w:p>
        </w:tc>
        <w:tc>
          <w:tcPr>
            <w:tcW w:w="6988" w:type="dxa"/>
            <w:noWrap/>
            <w:vAlign w:val="center"/>
          </w:tcPr>
          <w:p w14:paraId="1BB9090B">
            <w:pPr>
              <w:pStyle w:val="949"/>
              <w:jc w:val="left"/>
              <w:rPr>
                <w:sz w:val="24"/>
                <w:szCs w:val="21"/>
                <w:lang w:val="zh-CN"/>
              </w:rPr>
            </w:pPr>
            <w:r>
              <w:rPr>
                <w:rFonts w:hint="eastAsia"/>
                <w:sz w:val="24"/>
                <w:szCs w:val="21"/>
                <w:lang w:val="zh-CN"/>
              </w:rPr>
              <w:t>①</w:t>
            </w:r>
            <w:r>
              <w:rPr>
                <w:sz w:val="24"/>
                <w:szCs w:val="21"/>
                <w:lang w:val="zh-CN"/>
              </w:rPr>
              <w:t>一旦发生</w:t>
            </w:r>
            <w:r>
              <w:rPr>
                <w:rFonts w:hint="eastAsia"/>
                <w:sz w:val="24"/>
                <w:szCs w:val="21"/>
                <w:lang w:val="zh-CN"/>
              </w:rPr>
              <w:t>泄漏</w:t>
            </w:r>
            <w:r>
              <w:rPr>
                <w:sz w:val="24"/>
                <w:szCs w:val="21"/>
                <w:lang w:val="zh-CN"/>
              </w:rPr>
              <w:t>环境风险事故，企业应及时报告主管部门，并实施</w:t>
            </w:r>
            <w:r>
              <w:rPr>
                <w:rFonts w:hint="eastAsia"/>
                <w:sz w:val="24"/>
                <w:szCs w:val="21"/>
                <w:lang w:val="zh-CN"/>
              </w:rPr>
              <w:t>泄漏</w:t>
            </w:r>
            <w:r>
              <w:rPr>
                <w:sz w:val="24"/>
                <w:szCs w:val="21"/>
                <w:lang w:val="zh-CN"/>
              </w:rPr>
              <w:t>应急计划，及时进行控制、防护，使事故产生的影响减至最小，最大程度减少对水环境保护目标的影响。</w:t>
            </w:r>
          </w:p>
          <w:p w14:paraId="2DD45BE6">
            <w:pPr>
              <w:pStyle w:val="949"/>
              <w:jc w:val="left"/>
              <w:rPr>
                <w:sz w:val="24"/>
                <w:szCs w:val="21"/>
                <w:lang w:val="zh-CN"/>
              </w:rPr>
            </w:pPr>
            <w:r>
              <w:rPr>
                <w:rFonts w:hint="eastAsia"/>
                <w:sz w:val="24"/>
                <w:szCs w:val="21"/>
                <w:lang w:val="zh-CN"/>
              </w:rPr>
              <w:t>②</w:t>
            </w:r>
            <w:r>
              <w:rPr>
                <w:sz w:val="24"/>
                <w:szCs w:val="21"/>
                <w:lang w:val="zh-CN"/>
              </w:rPr>
              <w:t>相关部门接到污染事故报告后，应根据事故性质、污染程度和救助要求，迅速组织评估应急反应等级，并同时组织力量，调用清污设备实施救援，拟建工程业主应协助有关部门清除污染。</w:t>
            </w:r>
          </w:p>
          <w:p w14:paraId="314107EE">
            <w:pPr>
              <w:pStyle w:val="949"/>
              <w:jc w:val="left"/>
              <w:rPr>
                <w:sz w:val="24"/>
                <w:szCs w:val="21"/>
                <w:lang w:val="zh-CN"/>
              </w:rPr>
            </w:pPr>
            <w:r>
              <w:rPr>
                <w:rFonts w:hint="eastAsia"/>
                <w:sz w:val="24"/>
                <w:szCs w:val="21"/>
                <w:lang w:val="zh-CN"/>
              </w:rPr>
              <w:t>③</w:t>
            </w:r>
            <w:r>
              <w:rPr>
                <w:sz w:val="24"/>
                <w:szCs w:val="21"/>
                <w:lang w:val="zh-CN"/>
              </w:rPr>
              <w:t>企业应同时派出环境专业人员和监测人员到场工作，对水体污染带进行监测和分析，并视情况采取必要的公告、化学处理等措施。</w:t>
            </w:r>
          </w:p>
        </w:tc>
      </w:tr>
    </w:tbl>
    <w:p w14:paraId="1F79E72B">
      <w:pPr>
        <w:keepNext/>
        <w:keepLines/>
        <w:spacing w:before="48" w:beforeLines="20" w:after="48" w:afterLines="20" w:line="500" w:lineRule="exact"/>
        <w:jc w:val="left"/>
        <w:outlineLvl w:val="3"/>
        <w:rPr>
          <w:rFonts w:ascii="Times New Roman" w:eastAsia="仿宋"/>
          <w:b/>
          <w:bCs/>
          <w:sz w:val="28"/>
        </w:rPr>
      </w:pPr>
      <w:r>
        <w:rPr>
          <w:rFonts w:ascii="Times New Roman" w:eastAsia="仿宋"/>
          <w:b/>
          <w:bCs/>
          <w:sz w:val="28"/>
        </w:rPr>
        <w:t>6.</w:t>
      </w:r>
      <w:r>
        <w:rPr>
          <w:rFonts w:hint="eastAsia" w:ascii="Times New Roman" w:eastAsia="仿宋"/>
          <w:b/>
          <w:bCs/>
          <w:sz w:val="28"/>
        </w:rPr>
        <w:t>5</w:t>
      </w:r>
      <w:r>
        <w:rPr>
          <w:rFonts w:ascii="Times New Roman" w:eastAsia="仿宋"/>
          <w:b/>
          <w:bCs/>
          <w:sz w:val="28"/>
        </w:rPr>
        <w:t>.3.2</w:t>
      </w:r>
      <w:r>
        <w:rPr>
          <w:rFonts w:hint="eastAsia" w:ascii="Times New Roman" w:eastAsia="仿宋"/>
          <w:b/>
          <w:bCs/>
          <w:sz w:val="28"/>
        </w:rPr>
        <w:t>风险防范措施联动</w:t>
      </w:r>
    </w:p>
    <w:p w14:paraId="1929DA86">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依据《关于做好生态环境和应急管理部门联动工作的意见》苏环办〔2020〕101号文</w:t>
      </w:r>
      <w:r>
        <w:rPr>
          <w:rFonts w:hint="eastAsia" w:ascii="Times New Roman" w:eastAsia="仿宋"/>
          <w:sz w:val="28"/>
          <w:szCs w:val="22"/>
        </w:rPr>
        <w:t>、《关于进一步加强环保设备设施安全生产工作的通知》（安委办明电[2022]17号）</w:t>
      </w:r>
      <w:r>
        <w:rPr>
          <w:rFonts w:ascii="Times New Roman" w:eastAsia="仿宋"/>
          <w:sz w:val="28"/>
          <w:szCs w:val="22"/>
        </w:rPr>
        <w:t>：</w:t>
      </w:r>
    </w:p>
    <w:p w14:paraId="6E67DA7B">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企业要切实履行好从危险废物产生、收集、贮存、利用、处置等环节各项环保和安全职责；要制定危险废物管理计划并报属地生态环境部门备案。</w:t>
      </w:r>
    </w:p>
    <w:p w14:paraId="348C5545">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企业是各类环境治理设施建设、运行、维护、拆除的责任主体，企业要对本项目的废气处理设施、废水处理设施</w:t>
      </w:r>
      <w:r>
        <w:rPr>
          <w:rFonts w:hint="eastAsia" w:ascii="Times New Roman" w:eastAsia="仿宋"/>
          <w:sz w:val="28"/>
          <w:szCs w:val="22"/>
        </w:rPr>
        <w:t>、危废仓库等环保设施</w:t>
      </w:r>
      <w:r>
        <w:rPr>
          <w:rFonts w:ascii="Times New Roman" w:eastAsia="仿宋"/>
          <w:sz w:val="28"/>
          <w:szCs w:val="22"/>
        </w:rPr>
        <w:t>开展安全风险辨识管控，要健全内部污染防治设施稳定运行和管理责任制度，严格依据标准规范建设环境治理设施，确保环境治理设施安全、稳定、有效运行。</w:t>
      </w:r>
    </w:p>
    <w:p w14:paraId="2393728D">
      <w:pPr>
        <w:adjustRightInd w:val="0"/>
        <w:snapToGrid w:val="0"/>
        <w:spacing w:line="500" w:lineRule="exact"/>
        <w:ind w:firstLine="560" w:firstLineChars="200"/>
        <w:rPr>
          <w:rFonts w:ascii="Times New Roman" w:eastAsia="仿宋"/>
          <w:b/>
          <w:bCs/>
          <w:sz w:val="28"/>
        </w:rPr>
      </w:pPr>
      <w:r>
        <w:rPr>
          <w:rFonts w:ascii="Times New Roman" w:eastAsia="仿宋"/>
          <w:sz w:val="28"/>
          <w:szCs w:val="22"/>
        </w:rPr>
        <w:t>加强生态环境、应急管理部门的联动。</w:t>
      </w:r>
    </w:p>
    <w:p w14:paraId="4A5F8D3A">
      <w:pPr>
        <w:keepNext/>
        <w:keepLines/>
        <w:spacing w:before="48" w:beforeLines="20" w:after="48" w:afterLines="20" w:line="500" w:lineRule="exact"/>
        <w:jc w:val="left"/>
        <w:outlineLvl w:val="3"/>
        <w:rPr>
          <w:rFonts w:ascii="Times New Roman" w:eastAsia="仿宋"/>
          <w:b/>
          <w:bCs/>
          <w:sz w:val="28"/>
        </w:rPr>
      </w:pPr>
      <w:r>
        <w:rPr>
          <w:rFonts w:hint="eastAsia" w:ascii="Times New Roman" w:eastAsia="仿宋"/>
          <w:b/>
          <w:bCs/>
          <w:sz w:val="28"/>
        </w:rPr>
        <w:t>6.5.3.3</w:t>
      </w:r>
      <w:r>
        <w:rPr>
          <w:rFonts w:ascii="Times New Roman" w:eastAsia="仿宋"/>
          <w:b/>
          <w:bCs/>
          <w:sz w:val="28"/>
        </w:rPr>
        <w:t>与园区应急预案的联动</w:t>
      </w:r>
    </w:p>
    <w:p w14:paraId="1D2A18D2">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1、分级响应</w:t>
      </w:r>
    </w:p>
    <w:p w14:paraId="083512BA">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根据企业突发环境污染事件的严重性可分为Ⅰ级（重大）、Ⅱ级（较大）和Ⅲ级（一般）环境事件，依次用红色、橙色和黄色表示。根据事态的发展情况和采取措施的效果，预警级别可以升级、降级或解除。</w:t>
      </w:r>
    </w:p>
    <w:p w14:paraId="44A41155">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Ⅱ级及以下环境事件由企业相关部门自行处置，Ⅰ级事件由企业及</w:t>
      </w:r>
      <w:r>
        <w:rPr>
          <w:rFonts w:hint="eastAsia" w:ascii="Times New Roman" w:eastAsia="仿宋"/>
          <w:sz w:val="28"/>
          <w:szCs w:val="22"/>
        </w:rPr>
        <w:t>金坛</w:t>
      </w:r>
      <w:r>
        <w:rPr>
          <w:rFonts w:ascii="Times New Roman" w:eastAsia="仿宋"/>
          <w:sz w:val="28"/>
          <w:szCs w:val="22"/>
        </w:rPr>
        <w:t>相关部门负责处理。事件超出本级应急处置能力时，请求上一级应急救援指挥机构处理。</w:t>
      </w:r>
    </w:p>
    <w:p w14:paraId="2BC5A83A">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2、分级响应程序</w:t>
      </w:r>
    </w:p>
    <w:p w14:paraId="603D5328">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（1）车间级救援响应</w:t>
      </w:r>
    </w:p>
    <w:p w14:paraId="45DB5ADB">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当厂内</w:t>
      </w:r>
      <w:r>
        <w:rPr>
          <w:rFonts w:hint="eastAsia" w:ascii="Times New Roman" w:eastAsia="仿宋"/>
          <w:sz w:val="28"/>
          <w:szCs w:val="22"/>
        </w:rPr>
        <w:t>涂装及表面处理区域</w:t>
      </w:r>
      <w:r>
        <w:rPr>
          <w:rFonts w:ascii="Times New Roman" w:eastAsia="仿宋"/>
          <w:sz w:val="28"/>
          <w:szCs w:val="22"/>
        </w:rPr>
        <w:t>、</w:t>
      </w:r>
      <w:r>
        <w:rPr>
          <w:rFonts w:hint="eastAsia" w:ascii="Times New Roman" w:eastAsia="仿宋"/>
          <w:sz w:val="28"/>
          <w:szCs w:val="22"/>
        </w:rPr>
        <w:t>油漆仓库、危废仓库</w:t>
      </w:r>
      <w:r>
        <w:rPr>
          <w:rFonts w:ascii="Times New Roman" w:eastAsia="仿宋"/>
          <w:sz w:val="28"/>
          <w:szCs w:val="22"/>
        </w:rPr>
        <w:t>物料发生少量泄漏或废水、废渣因意外泄漏时，岗位操作人员应立即采取相应措施，予以处理。事故得到控制后，向生产主管、值班长、厂部值班人员进行汇报。</w:t>
      </w:r>
    </w:p>
    <w:p w14:paraId="0653415C">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（2）厂级救援响应</w:t>
      </w:r>
    </w:p>
    <w:p w14:paraId="1778C4FA">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当厂内</w:t>
      </w:r>
      <w:r>
        <w:rPr>
          <w:rFonts w:hint="eastAsia" w:ascii="Times New Roman" w:eastAsia="仿宋"/>
          <w:sz w:val="28"/>
          <w:szCs w:val="22"/>
        </w:rPr>
        <w:t>涂装及表面处理区域</w:t>
      </w:r>
      <w:r>
        <w:rPr>
          <w:rFonts w:ascii="Times New Roman" w:eastAsia="仿宋"/>
          <w:sz w:val="28"/>
          <w:szCs w:val="22"/>
        </w:rPr>
        <w:t>、</w:t>
      </w:r>
      <w:r>
        <w:rPr>
          <w:rFonts w:hint="eastAsia" w:ascii="Times New Roman" w:eastAsia="仿宋"/>
          <w:sz w:val="28"/>
          <w:szCs w:val="22"/>
        </w:rPr>
        <w:t>油漆仓库、危废仓库等</w:t>
      </w:r>
      <w:r>
        <w:rPr>
          <w:rFonts w:ascii="Times New Roman" w:eastAsia="仿宋"/>
          <w:sz w:val="28"/>
          <w:szCs w:val="22"/>
        </w:rPr>
        <w:t>物料发生大量泄漏而未起火或车间发生小范围火灾时，岗位操作人员应立即向生产主管、值班长、厂部值班人员汇报并采取相应措施，厂内安全相关人员应立即赶到现场，参与处置行动，防止事故扩大。</w:t>
      </w:r>
    </w:p>
    <w:p w14:paraId="2C216FC1">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（3）请求外部救援响应</w:t>
      </w:r>
    </w:p>
    <w:p w14:paraId="72288E3A">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当厂内</w:t>
      </w:r>
      <w:r>
        <w:rPr>
          <w:rFonts w:hint="eastAsia" w:ascii="Times New Roman" w:eastAsia="仿宋"/>
          <w:sz w:val="28"/>
          <w:szCs w:val="22"/>
        </w:rPr>
        <w:t>涂装及表面处理区域</w:t>
      </w:r>
      <w:r>
        <w:rPr>
          <w:rFonts w:ascii="Times New Roman" w:eastAsia="仿宋"/>
          <w:sz w:val="28"/>
          <w:szCs w:val="22"/>
        </w:rPr>
        <w:t>、</w:t>
      </w:r>
      <w:r>
        <w:rPr>
          <w:rFonts w:hint="eastAsia" w:ascii="Times New Roman" w:eastAsia="仿宋"/>
          <w:sz w:val="28"/>
          <w:szCs w:val="22"/>
        </w:rPr>
        <w:t>油漆仓库、危废仓库等</w:t>
      </w:r>
      <w:r>
        <w:rPr>
          <w:rFonts w:ascii="Times New Roman" w:eastAsia="仿宋"/>
          <w:sz w:val="28"/>
          <w:szCs w:val="22"/>
        </w:rPr>
        <w:t>物料发生火灾、爆炸时，立即通知公司应急救援领导小组成员到达现场，启动公司突发环境事件应急预案，迅速成立应急指挥部，各专业组按各自职责开展应急救援工作。指挥部成员通知各自所在部门，迅速向当地园区环安局等上级领导机关报告事故情况。具体应急响应流程见下图。</w:t>
      </w:r>
    </w:p>
    <w:p w14:paraId="54166EA2">
      <w:pPr>
        <w:adjustRightInd w:val="0"/>
        <w:snapToGrid w:val="0"/>
        <w:spacing w:line="500" w:lineRule="exact"/>
        <w:ind w:firstLine="560" w:firstLineChars="200"/>
        <w:rPr>
          <w:rFonts w:ascii="Times New Roman" w:eastAsia="仿宋"/>
          <w:sz w:val="28"/>
          <w:szCs w:val="22"/>
        </w:rPr>
      </w:pPr>
    </w:p>
    <w:p w14:paraId="31FC355F">
      <w:pPr>
        <w:adjustRightInd w:val="0"/>
        <w:snapToGrid w:val="0"/>
        <w:ind w:firstLine="562" w:firstLineChars="200"/>
        <w:jc w:val="center"/>
        <w:rPr>
          <w:rFonts w:ascii="Times New Roman" w:eastAsia="仿宋"/>
          <w:b/>
          <w:sz w:val="28"/>
          <w:szCs w:val="22"/>
        </w:rPr>
      </w:pPr>
      <w:r>
        <w:rPr>
          <w:rFonts w:hint="eastAsia" w:eastAsia="仿宋"/>
          <w:b/>
          <w:sz w:val="28"/>
          <w:szCs w:val="22"/>
        </w:rPr>
        <w:drawing>
          <wp:inline distT="0" distB="0" distL="0" distR="0">
            <wp:extent cx="4906010" cy="6130290"/>
            <wp:effectExtent l="0" t="0" r="0" b="0"/>
            <wp:docPr id="77" name="图片 38" descr="168629404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descr="16862940482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906010" cy="6130290"/>
                    </a:xfrm>
                    <a:prstGeom prst="rect">
                      <a:avLst/>
                    </a:prstGeom>
                    <a:noFill/>
                    <a:ln>
                      <a:noFill/>
                    </a:ln>
                  </pic:spPr>
                </pic:pic>
              </a:graphicData>
            </a:graphic>
          </wp:inline>
        </w:drawing>
      </w:r>
    </w:p>
    <w:p w14:paraId="6044792D">
      <w:pPr>
        <w:adjustRightInd w:val="0"/>
        <w:snapToGrid w:val="0"/>
        <w:spacing w:line="500" w:lineRule="exact"/>
        <w:jc w:val="center"/>
        <w:rPr>
          <w:rFonts w:ascii="Times New Roman" w:eastAsia="仿宋"/>
          <w:b/>
          <w:sz w:val="28"/>
          <w:szCs w:val="22"/>
        </w:rPr>
      </w:pPr>
      <w:r>
        <w:rPr>
          <w:rFonts w:ascii="Times New Roman" w:eastAsia="仿宋"/>
          <w:b/>
          <w:szCs w:val="22"/>
        </w:rPr>
        <w:t>图6.6-2 突发环境事件应急响应流程图</w:t>
      </w:r>
    </w:p>
    <w:p w14:paraId="0AA2D000">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3</w:t>
      </w:r>
      <w:r>
        <w:rPr>
          <w:rFonts w:ascii="Times New Roman" w:eastAsia="仿宋"/>
          <w:sz w:val="28"/>
          <w:szCs w:val="22"/>
        </w:rPr>
        <w:t>、</w:t>
      </w:r>
      <w:r>
        <w:rPr>
          <w:rFonts w:hint="eastAsia" w:ascii="Times New Roman" w:eastAsia="仿宋"/>
          <w:sz w:val="28"/>
          <w:szCs w:val="22"/>
        </w:rPr>
        <w:t>应急防范措施的衔接</w:t>
      </w:r>
    </w:p>
    <w:p w14:paraId="5E6BBCB7">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（1）应急组织机构、人员的衔接</w:t>
      </w:r>
    </w:p>
    <w:p w14:paraId="06C2C150">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当发生风险事故时，企业通讯联络小组应及时承担起与当地区域或各职能管理部门的应急指挥机构的联系工作，及时将事故发生情况及最新进展向有关部门汇报，并将上级指挥机构的命令及时向厂区应急指挥小组汇报；编制环境污染事故报告，并将报告向上级部门汇报。</w:t>
      </w:r>
    </w:p>
    <w:p w14:paraId="1A8B7692">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（2）预案分级响应的衔接</w:t>
      </w:r>
    </w:p>
    <w:p w14:paraId="1267AF2A">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①</w:t>
      </w:r>
      <w:r>
        <w:rPr>
          <w:rFonts w:ascii="Times New Roman" w:eastAsia="仿宋"/>
          <w:sz w:val="28"/>
          <w:szCs w:val="22"/>
        </w:rPr>
        <w:t>一般污染事故：在污染事故现场处置妥当后，经应急指挥部研究确定后，向</w:t>
      </w:r>
      <w:r>
        <w:rPr>
          <w:rFonts w:hint="eastAsia" w:ascii="Times New Roman" w:eastAsia="仿宋"/>
          <w:sz w:val="28"/>
          <w:szCs w:val="22"/>
        </w:rPr>
        <w:t>朱林现代产业园区办公室</w:t>
      </w:r>
      <w:r>
        <w:rPr>
          <w:rFonts w:ascii="Times New Roman" w:eastAsia="仿宋"/>
          <w:sz w:val="28"/>
          <w:szCs w:val="22"/>
        </w:rPr>
        <w:t>报告处理结果。</w:t>
      </w:r>
    </w:p>
    <w:p w14:paraId="1FB47BFC">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园区</w:t>
      </w:r>
      <w:r>
        <w:rPr>
          <w:rFonts w:ascii="Times New Roman" w:eastAsia="仿宋"/>
          <w:sz w:val="28"/>
          <w:szCs w:val="22"/>
        </w:rPr>
        <w:t>预防工作：预警电话24小时保护畅通。</w:t>
      </w:r>
    </w:p>
    <w:p w14:paraId="36D5C865">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园区</w:t>
      </w:r>
      <w:r>
        <w:rPr>
          <w:rFonts w:ascii="Times New Roman" w:eastAsia="仿宋"/>
          <w:sz w:val="28"/>
          <w:szCs w:val="22"/>
        </w:rPr>
        <w:t>报告与处理：1）突发环境事件责任单位和责任人应在10分钟内向园区应急指挥中心报告，并立即组织人员进行现场救援；2）应急指挥中心确认环境事件后，在半小时内报告环境应急救援指挥部和环境污染事故应急处理领导小组，并视情况向市政府报告。</w:t>
      </w:r>
    </w:p>
    <w:p w14:paraId="7BEA79D3">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园区</w:t>
      </w:r>
      <w:r>
        <w:rPr>
          <w:rFonts w:ascii="Times New Roman" w:eastAsia="仿宋"/>
          <w:sz w:val="28"/>
          <w:szCs w:val="22"/>
        </w:rPr>
        <w:t>预警及措施：有关信息证明突发环境事件即将发生或者发生的可能性增大时，按照相关应急预案执行。进入预警状态后，环境污染事故应急处理领导小组着手以下工作：1）立即启动相关应急预案；2）发布预警公告；3）转移、撤离或者疏散可能受到危害的人员，并进行妥善安置；4）指令各环境应急救援队伍进入应急状态，环境监测部门立即开展应急监测，随时掌握并报告事态进展情况；5）针对突发事件可能造成的危害，封闭、隔离或者限制使用有关场所，中止可能导致危害扩大的行为和活动；6）调集环境应急所需物资和设备，确保应急保障工作。</w:t>
      </w:r>
    </w:p>
    <w:p w14:paraId="6715E96E">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②</w:t>
      </w:r>
      <w:r>
        <w:rPr>
          <w:rFonts w:ascii="Times New Roman" w:eastAsia="仿宋"/>
          <w:sz w:val="28"/>
          <w:szCs w:val="22"/>
        </w:rPr>
        <w:t>较大或严重污染事故：应急指挥部在接到事故报警后，及时向</w:t>
      </w:r>
      <w:r>
        <w:rPr>
          <w:rFonts w:hint="eastAsia" w:ascii="Times New Roman" w:eastAsia="仿宋"/>
          <w:sz w:val="28"/>
          <w:szCs w:val="22"/>
        </w:rPr>
        <w:t>朱林镇</w:t>
      </w:r>
      <w:r>
        <w:rPr>
          <w:rFonts w:ascii="Times New Roman" w:eastAsia="仿宋"/>
          <w:sz w:val="28"/>
          <w:szCs w:val="22"/>
        </w:rPr>
        <w:t>生态环境局报告，并请求支援；</w:t>
      </w:r>
      <w:r>
        <w:rPr>
          <w:rFonts w:hint="eastAsia" w:ascii="Times New Roman" w:eastAsia="仿宋"/>
          <w:sz w:val="28"/>
          <w:szCs w:val="22"/>
        </w:rPr>
        <w:t>朱林镇</w:t>
      </w:r>
      <w:r>
        <w:rPr>
          <w:rFonts w:ascii="Times New Roman" w:eastAsia="仿宋"/>
          <w:sz w:val="28"/>
          <w:szCs w:val="22"/>
        </w:rPr>
        <w:t>生态环境局进行紧急动员，适时启动区域的环境污染事故应急预案，迅速调集救援力量，指挥区内成员单位、相关职能部门，根据应急预案组成各个应急行动小组，按照各自的职责和现场救援具体方案开展抢险救援工作，厂内应急小组听从现场指挥部的领导。现场指挥部同时将有关进展情况向常州市生态环境局汇报；污染事故基本控制稳定后，现场应急指挥部将根据专家意见，迅速调集后援力量展开事故处置工作。现场应急处理结束。</w:t>
      </w:r>
    </w:p>
    <w:p w14:paraId="39F2B4B8">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园区应针对各重大危险源的风险事故进行模拟试验，并要求各企业组织或参与相关实际演习，掌握实战经验的同时，建立事故安全教育；企业内全体人员应了解事故处理程序和要求，了解处理事故的措施和器材的使用方法，一旦出现事故，各就各位处理，控制事故影响。</w:t>
      </w:r>
    </w:p>
    <w:p w14:paraId="6D0E36A8">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加强对各企业负责专员的培训，专员应熟悉企业危险污染源，了解企业和园区应急预案流程，具备应对各类突发污染事故的指挥和调控能力。</w:t>
      </w:r>
    </w:p>
    <w:p w14:paraId="7A21CF79">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定期对已建企业进行风险排查，对在建企业进行监督和指导，各企业必须建有围堰、地沟、事故池等一系列事故应急设施。</w:t>
      </w:r>
    </w:p>
    <w:p w14:paraId="0EA31657">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（3）外部应急救援保障的衔接</w:t>
      </w:r>
    </w:p>
    <w:p w14:paraId="48151563">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①</w:t>
      </w:r>
      <w:r>
        <w:rPr>
          <w:rFonts w:ascii="Times New Roman" w:eastAsia="仿宋"/>
          <w:sz w:val="28"/>
          <w:szCs w:val="22"/>
        </w:rPr>
        <w:t>单位互助体系：建设单位和周边企业建立良好的应急互助关系，在重大事故发生后，相互支援。</w:t>
      </w:r>
    </w:p>
    <w:p w14:paraId="4ECBC2A5">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②</w:t>
      </w:r>
      <w:r>
        <w:rPr>
          <w:rFonts w:ascii="Times New Roman" w:eastAsia="仿宋"/>
          <w:sz w:val="28"/>
          <w:szCs w:val="22"/>
        </w:rPr>
        <w:t>公共援助力量：本单位还可以联系</w:t>
      </w:r>
      <w:r>
        <w:rPr>
          <w:rFonts w:hint="eastAsia" w:ascii="Times New Roman" w:eastAsia="仿宋"/>
          <w:sz w:val="28"/>
          <w:szCs w:val="22"/>
        </w:rPr>
        <w:t>朱林镇</w:t>
      </w:r>
      <w:r>
        <w:rPr>
          <w:rFonts w:ascii="Times New Roman" w:eastAsia="仿宋"/>
          <w:sz w:val="28"/>
          <w:szCs w:val="22"/>
        </w:rPr>
        <w:t>生态环境局</w:t>
      </w:r>
      <w:r>
        <w:rPr>
          <w:rFonts w:hint="eastAsia" w:ascii="Times New Roman" w:eastAsia="仿宋"/>
          <w:sz w:val="28"/>
          <w:szCs w:val="22"/>
        </w:rPr>
        <w:t>、空港产业园办公室、新北</w:t>
      </w:r>
      <w:r>
        <w:rPr>
          <w:rFonts w:ascii="Times New Roman" w:eastAsia="仿宋"/>
          <w:sz w:val="28"/>
          <w:szCs w:val="22"/>
        </w:rPr>
        <w:t>区消防队、医院、公安、交通、安监局以及各相关职能部门，请求救援力量、设备的支持。</w:t>
      </w:r>
    </w:p>
    <w:p w14:paraId="5A2B8168">
      <w:pPr>
        <w:adjustRightInd w:val="0"/>
        <w:snapToGrid w:val="0"/>
        <w:spacing w:line="500" w:lineRule="exact"/>
        <w:ind w:firstLine="560" w:firstLineChars="200"/>
        <w:rPr>
          <w:rFonts w:ascii="Times New Roman" w:eastAsia="仿宋"/>
          <w:sz w:val="28"/>
          <w:szCs w:val="22"/>
        </w:rPr>
      </w:pPr>
      <w:r>
        <w:rPr>
          <w:rFonts w:hint="eastAsia" w:ascii="Times New Roman" w:eastAsia="仿宋"/>
          <w:sz w:val="28"/>
          <w:szCs w:val="22"/>
        </w:rPr>
        <w:t>③</w:t>
      </w:r>
      <w:r>
        <w:rPr>
          <w:rFonts w:ascii="Times New Roman" w:eastAsia="仿宋"/>
          <w:sz w:val="28"/>
          <w:szCs w:val="22"/>
        </w:rPr>
        <w:t>专家援助：本单位建立风险事故救援安全专家库，在紧急情况下，可以联系获取救援支持。</w:t>
      </w:r>
    </w:p>
    <w:p w14:paraId="5FC86D0C">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（4）应急培训计划的衔接</w:t>
      </w:r>
    </w:p>
    <w:p w14:paraId="75108E86">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本单位在开展应急培训计划的同时，还应积极配合</w:t>
      </w:r>
      <w:r>
        <w:rPr>
          <w:rFonts w:hint="eastAsia" w:ascii="Times New Roman" w:eastAsia="仿宋"/>
          <w:sz w:val="28"/>
          <w:szCs w:val="22"/>
        </w:rPr>
        <w:t>朱林镇</w:t>
      </w:r>
      <w:r>
        <w:rPr>
          <w:rFonts w:ascii="Times New Roman" w:eastAsia="仿宋"/>
          <w:sz w:val="28"/>
          <w:szCs w:val="22"/>
        </w:rPr>
        <w:t>生态环境局开展的应急培训计划，在发生风险事故时，及时与</w:t>
      </w:r>
      <w:r>
        <w:rPr>
          <w:rFonts w:hint="eastAsia" w:ascii="Times New Roman" w:eastAsia="仿宋"/>
          <w:sz w:val="28"/>
          <w:szCs w:val="22"/>
        </w:rPr>
        <w:t>朱林镇</w:t>
      </w:r>
      <w:r>
        <w:rPr>
          <w:rFonts w:ascii="Times New Roman" w:eastAsia="仿宋"/>
          <w:sz w:val="28"/>
          <w:szCs w:val="22"/>
        </w:rPr>
        <w:t>应急组织取得联系。</w:t>
      </w:r>
    </w:p>
    <w:p w14:paraId="72B200BA">
      <w:pPr>
        <w:adjustRightInd w:val="0"/>
        <w:snapToGrid w:val="0"/>
        <w:spacing w:line="500" w:lineRule="exact"/>
        <w:ind w:firstLine="560" w:firstLineChars="200"/>
        <w:rPr>
          <w:rFonts w:ascii="Times New Roman" w:eastAsia="仿宋"/>
          <w:sz w:val="28"/>
          <w:szCs w:val="22"/>
        </w:rPr>
      </w:pPr>
      <w:r>
        <w:rPr>
          <w:rFonts w:ascii="Times New Roman" w:eastAsia="仿宋"/>
          <w:sz w:val="28"/>
          <w:szCs w:val="22"/>
        </w:rPr>
        <w:t>（5）公众教育的衔接本单位对附近周边企业职工、公众开展教育、培训时，应加强与周边公众和相关单位的交流，如发生事故，可更好的疏散、防护污染。</w:t>
      </w:r>
    </w:p>
    <w:p w14:paraId="797838C1">
      <w:pPr>
        <w:keepNext/>
        <w:keepLines/>
        <w:spacing w:before="48" w:beforeLines="20" w:after="48" w:afterLines="20" w:line="500" w:lineRule="exact"/>
        <w:jc w:val="left"/>
        <w:outlineLvl w:val="3"/>
        <w:rPr>
          <w:rFonts w:ascii="Times New Roman" w:eastAsia="仿宋"/>
          <w:b/>
          <w:bCs/>
          <w:sz w:val="28"/>
        </w:rPr>
      </w:pPr>
      <w:r>
        <w:rPr>
          <w:rFonts w:hint="eastAsia" w:ascii="Times New Roman" w:eastAsia="仿宋"/>
          <w:b/>
          <w:bCs/>
          <w:sz w:val="28"/>
        </w:rPr>
        <w:t>6.5.3.4</w:t>
      </w:r>
      <w:r>
        <w:rPr>
          <w:rFonts w:ascii="Times New Roman" w:eastAsia="仿宋"/>
          <w:b/>
          <w:bCs/>
          <w:sz w:val="28"/>
        </w:rPr>
        <w:t>与园区</w:t>
      </w:r>
      <w:r>
        <w:rPr>
          <w:rFonts w:hint="eastAsia" w:ascii="Times New Roman" w:eastAsia="仿宋"/>
          <w:b/>
          <w:bCs/>
          <w:sz w:val="28"/>
        </w:rPr>
        <w:t>风险防范措施的衔接</w:t>
      </w:r>
    </w:p>
    <w:p w14:paraId="3D1E5F93">
      <w:pPr>
        <w:spacing w:line="500" w:lineRule="exact"/>
        <w:ind w:firstLine="560" w:firstLineChars="200"/>
        <w:rPr>
          <w:rFonts w:ascii="Times New Roman" w:eastAsia="仿宋"/>
          <w:sz w:val="28"/>
          <w:szCs w:val="28"/>
        </w:rPr>
      </w:pPr>
      <w:r>
        <w:rPr>
          <w:rFonts w:hint="eastAsia" w:ascii="Times New Roman" w:eastAsia="仿宋"/>
          <w:sz w:val="28"/>
          <w:szCs w:val="28"/>
        </w:rPr>
        <w:t>1、园区预防和预警管理措施</w:t>
      </w:r>
    </w:p>
    <w:p w14:paraId="4637E8CC">
      <w:pPr>
        <w:spacing w:line="500" w:lineRule="exact"/>
        <w:ind w:firstLine="560" w:firstLineChars="200"/>
        <w:rPr>
          <w:rFonts w:ascii="Times New Roman" w:eastAsia="仿宋"/>
          <w:sz w:val="28"/>
          <w:szCs w:val="28"/>
        </w:rPr>
      </w:pPr>
      <w:r>
        <w:rPr>
          <w:rFonts w:hint="eastAsia" w:ascii="Times New Roman" w:eastAsia="仿宋"/>
          <w:sz w:val="28"/>
          <w:szCs w:val="28"/>
        </w:rPr>
        <w:t>预防工作：预警电话24小时保护畅通。</w:t>
      </w:r>
    </w:p>
    <w:p w14:paraId="19A0D6CD">
      <w:pPr>
        <w:spacing w:line="500" w:lineRule="exact"/>
        <w:ind w:firstLine="560" w:firstLineChars="200"/>
        <w:rPr>
          <w:rFonts w:ascii="Times New Roman" w:eastAsia="仿宋"/>
          <w:sz w:val="28"/>
          <w:szCs w:val="28"/>
        </w:rPr>
      </w:pPr>
      <w:r>
        <w:rPr>
          <w:rFonts w:hint="eastAsia" w:ascii="Times New Roman" w:eastAsia="仿宋"/>
          <w:sz w:val="28"/>
          <w:szCs w:val="28"/>
        </w:rPr>
        <w:t>报告与处理：①突发环境事件责任单位和责任人应在10分钟内向园区管委会报告，并立即组织人员进行现场救援；②朱林镇人民政府确认环境事件后，在半小时内报告环境应急救援指挥部和环境污染事故应急处理领导小组，并视情况向市政府报告。</w:t>
      </w:r>
    </w:p>
    <w:p w14:paraId="679EDAF7">
      <w:pPr>
        <w:spacing w:line="500" w:lineRule="exact"/>
        <w:ind w:firstLine="560" w:firstLineChars="200"/>
        <w:rPr>
          <w:rFonts w:ascii="Times New Roman" w:eastAsia="仿宋"/>
          <w:sz w:val="28"/>
          <w:szCs w:val="28"/>
        </w:rPr>
      </w:pPr>
      <w:r>
        <w:rPr>
          <w:rFonts w:hint="eastAsia" w:ascii="Times New Roman" w:eastAsia="仿宋"/>
          <w:sz w:val="28"/>
          <w:szCs w:val="28"/>
        </w:rPr>
        <w:t>预警及措施：有关信息证明突发环境事件即将发生或者发生的可能性增大时，按照相关应急预案执行。进入预警状态后，环境污染事故应急处理领导小组着手以下工作：①立即启动相关应急预案；②发布预警公告；③转移、撤离或者疏散可能受到危害的人员，并进行妥善安置；④指令各环境应急救援队伍进入应急状态，环境监测部门立即开展应急监测，随时掌握并报告事态进展情况；⑤针对突发事件可能造成的危害，封闭、隔离或者限制使用有关场所，中止可能导致危害扩大的行为和活动；⑥调集环境应急所需物资和设备，确保应急保障工作。</w:t>
      </w:r>
    </w:p>
    <w:p w14:paraId="1D3FD2E2">
      <w:pPr>
        <w:spacing w:line="500" w:lineRule="exact"/>
        <w:ind w:firstLine="560" w:firstLineChars="200"/>
        <w:rPr>
          <w:rFonts w:ascii="Times New Roman" w:eastAsia="仿宋"/>
          <w:sz w:val="28"/>
          <w:szCs w:val="28"/>
        </w:rPr>
      </w:pPr>
      <w:r>
        <w:rPr>
          <w:rFonts w:hint="eastAsia" w:ascii="Times New Roman" w:eastAsia="仿宋"/>
          <w:sz w:val="28"/>
          <w:szCs w:val="28"/>
        </w:rPr>
        <w:t>2、环境污染事故应急处理</w:t>
      </w:r>
    </w:p>
    <w:p w14:paraId="37F45F87">
      <w:pPr>
        <w:spacing w:line="500" w:lineRule="exact"/>
        <w:ind w:firstLine="560" w:firstLineChars="200"/>
        <w:rPr>
          <w:rFonts w:ascii="Times New Roman" w:eastAsia="仿宋"/>
          <w:sz w:val="28"/>
          <w:szCs w:val="28"/>
        </w:rPr>
      </w:pPr>
      <w:r>
        <w:rPr>
          <w:rFonts w:hint="eastAsia" w:ascii="Times New Roman" w:eastAsia="仿宋"/>
          <w:sz w:val="28"/>
          <w:szCs w:val="28"/>
        </w:rPr>
        <w:t>（1）环境污染事故应急处理领导小组</w:t>
      </w:r>
    </w:p>
    <w:p w14:paraId="537C065A">
      <w:pPr>
        <w:spacing w:line="500" w:lineRule="exact"/>
        <w:ind w:firstLine="560" w:firstLineChars="200"/>
        <w:rPr>
          <w:rFonts w:ascii="Times New Roman" w:eastAsia="仿宋"/>
          <w:sz w:val="28"/>
          <w:szCs w:val="28"/>
        </w:rPr>
      </w:pPr>
      <w:r>
        <w:rPr>
          <w:rFonts w:hint="eastAsia" w:ascii="Times New Roman" w:eastAsia="仿宋"/>
          <w:sz w:val="28"/>
          <w:szCs w:val="28"/>
        </w:rPr>
        <w:t>①提出现场应急行动原则要求；</w:t>
      </w:r>
    </w:p>
    <w:p w14:paraId="39A24DCA">
      <w:pPr>
        <w:spacing w:line="500" w:lineRule="exact"/>
        <w:ind w:firstLine="560" w:firstLineChars="200"/>
        <w:rPr>
          <w:rFonts w:ascii="Times New Roman" w:eastAsia="仿宋"/>
          <w:sz w:val="28"/>
          <w:szCs w:val="28"/>
        </w:rPr>
      </w:pPr>
      <w:r>
        <w:rPr>
          <w:rFonts w:hint="eastAsia" w:ascii="Times New Roman" w:eastAsia="仿宋"/>
          <w:sz w:val="28"/>
          <w:szCs w:val="28"/>
        </w:rPr>
        <w:t>②派出有关专家和人员参与现场应急救援指挥部的应急指挥工作；</w:t>
      </w:r>
    </w:p>
    <w:p w14:paraId="07435037">
      <w:pPr>
        <w:spacing w:line="500" w:lineRule="exact"/>
        <w:ind w:firstLine="560" w:firstLineChars="200"/>
        <w:rPr>
          <w:rFonts w:ascii="Times New Roman" w:eastAsia="仿宋"/>
          <w:sz w:val="28"/>
          <w:szCs w:val="28"/>
        </w:rPr>
      </w:pPr>
      <w:r>
        <w:rPr>
          <w:rFonts w:hint="eastAsia" w:ascii="Times New Roman" w:eastAsia="仿宋"/>
          <w:sz w:val="28"/>
          <w:szCs w:val="28"/>
        </w:rPr>
        <w:t>③协调各级、各专业应急力量实施应急支援行动；</w:t>
      </w:r>
    </w:p>
    <w:p w14:paraId="658AC515">
      <w:pPr>
        <w:spacing w:line="500" w:lineRule="exact"/>
        <w:ind w:firstLine="560" w:firstLineChars="200"/>
        <w:rPr>
          <w:rFonts w:ascii="Times New Roman" w:eastAsia="仿宋"/>
          <w:sz w:val="28"/>
          <w:szCs w:val="28"/>
        </w:rPr>
      </w:pPr>
      <w:r>
        <w:rPr>
          <w:rFonts w:hint="eastAsia" w:ascii="Times New Roman" w:eastAsia="仿宋"/>
          <w:sz w:val="28"/>
          <w:szCs w:val="28"/>
        </w:rPr>
        <w:t>④协调受威胁的周边地区危险源的监控工作；</w:t>
      </w:r>
    </w:p>
    <w:p w14:paraId="15D4953A">
      <w:pPr>
        <w:spacing w:line="500" w:lineRule="exact"/>
        <w:ind w:firstLine="560" w:firstLineChars="200"/>
        <w:rPr>
          <w:rFonts w:ascii="Times New Roman" w:eastAsia="仿宋"/>
          <w:sz w:val="28"/>
          <w:szCs w:val="28"/>
        </w:rPr>
      </w:pPr>
      <w:r>
        <w:rPr>
          <w:rFonts w:hint="eastAsia" w:ascii="Times New Roman" w:eastAsia="仿宋"/>
          <w:sz w:val="28"/>
          <w:szCs w:val="28"/>
        </w:rPr>
        <w:t>⑤协调建立现场警戒区和交通管制区域，确定重点防护区域；</w:t>
      </w:r>
    </w:p>
    <w:p w14:paraId="2A2CFDC0">
      <w:pPr>
        <w:spacing w:line="500" w:lineRule="exact"/>
        <w:ind w:firstLine="560" w:firstLineChars="200"/>
        <w:rPr>
          <w:rFonts w:ascii="Times New Roman" w:eastAsia="仿宋"/>
          <w:sz w:val="28"/>
          <w:szCs w:val="28"/>
        </w:rPr>
      </w:pPr>
      <w:r>
        <w:rPr>
          <w:rFonts w:hint="eastAsia" w:ascii="Times New Roman" w:eastAsia="仿宋"/>
          <w:sz w:val="28"/>
          <w:szCs w:val="28"/>
        </w:rPr>
        <w:t>⑥根据现场监测结果，确定被转移、疏散群众返回时间；</w:t>
      </w:r>
    </w:p>
    <w:p w14:paraId="3FBC0D5B">
      <w:pPr>
        <w:spacing w:line="500" w:lineRule="exact"/>
        <w:ind w:firstLine="560" w:firstLineChars="200"/>
        <w:rPr>
          <w:rFonts w:ascii="Times New Roman" w:eastAsia="仿宋"/>
          <w:sz w:val="28"/>
          <w:szCs w:val="28"/>
        </w:rPr>
      </w:pPr>
      <w:r>
        <w:rPr>
          <w:rFonts w:hint="eastAsia" w:ascii="Times New Roman" w:eastAsia="仿宋"/>
          <w:sz w:val="28"/>
          <w:szCs w:val="28"/>
        </w:rPr>
        <w:t>⑦及时向区政府报告应急行动的进展情况。</w:t>
      </w:r>
    </w:p>
    <w:p w14:paraId="1A2AF8F3">
      <w:pPr>
        <w:spacing w:line="500" w:lineRule="exact"/>
        <w:ind w:firstLine="560" w:firstLineChars="200"/>
        <w:rPr>
          <w:rFonts w:ascii="Times New Roman" w:eastAsia="仿宋"/>
          <w:sz w:val="28"/>
          <w:szCs w:val="28"/>
        </w:rPr>
      </w:pPr>
      <w:r>
        <w:rPr>
          <w:rFonts w:hint="eastAsia" w:ascii="Times New Roman" w:eastAsia="仿宋"/>
          <w:sz w:val="28"/>
          <w:szCs w:val="28"/>
        </w:rPr>
        <w:t>（2）应急监测组</w:t>
      </w:r>
    </w:p>
    <w:p w14:paraId="27CB0C98">
      <w:pPr>
        <w:spacing w:line="500" w:lineRule="exact"/>
        <w:ind w:firstLine="560" w:firstLineChars="200"/>
        <w:rPr>
          <w:rFonts w:ascii="Times New Roman" w:eastAsia="仿宋"/>
          <w:sz w:val="28"/>
          <w:szCs w:val="28"/>
        </w:rPr>
      </w:pPr>
      <w:r>
        <w:rPr>
          <w:rFonts w:hint="eastAsia" w:ascii="Times New Roman" w:eastAsia="仿宋"/>
          <w:sz w:val="28"/>
          <w:szCs w:val="28"/>
        </w:rPr>
        <w:t>①根据突发环境事件污染物的扩散速度和事件发生地的气象和地域特点，确定污染物扩散范围。</w:t>
      </w:r>
    </w:p>
    <w:p w14:paraId="201A94B9">
      <w:pPr>
        <w:spacing w:line="500" w:lineRule="exact"/>
        <w:ind w:firstLine="560" w:firstLineChars="200"/>
        <w:rPr>
          <w:rFonts w:ascii="Times New Roman" w:eastAsia="仿宋"/>
          <w:sz w:val="28"/>
          <w:szCs w:val="28"/>
        </w:rPr>
      </w:pPr>
      <w:r>
        <w:rPr>
          <w:rFonts w:hint="eastAsia" w:ascii="Times New Roman" w:eastAsia="仿宋"/>
          <w:sz w:val="28"/>
          <w:szCs w:val="28"/>
        </w:rPr>
        <w:t>②根据监测结果，综合分析突发环境事件污染变化趋势，并通过专家咨询和讨论的方式，预测并报告突发环境事件的发展情况和污染物的变化情况，作为突发环境事件应急决策的依据。</w:t>
      </w:r>
    </w:p>
    <w:p w14:paraId="52A94465">
      <w:pPr>
        <w:spacing w:line="500" w:lineRule="exact"/>
        <w:ind w:firstLine="560" w:firstLineChars="200"/>
        <w:rPr>
          <w:rFonts w:ascii="Times New Roman" w:eastAsia="仿宋"/>
          <w:sz w:val="28"/>
          <w:szCs w:val="28"/>
        </w:rPr>
      </w:pPr>
      <w:r>
        <w:rPr>
          <w:rFonts w:hint="eastAsia" w:ascii="Times New Roman" w:eastAsia="仿宋"/>
          <w:sz w:val="28"/>
          <w:szCs w:val="28"/>
        </w:rPr>
        <w:t>（3）现场监察组</w:t>
      </w:r>
    </w:p>
    <w:p w14:paraId="673CFA39">
      <w:pPr>
        <w:spacing w:line="500" w:lineRule="exact"/>
        <w:ind w:firstLine="560" w:firstLineChars="200"/>
        <w:rPr>
          <w:rFonts w:ascii="Times New Roman" w:eastAsia="仿宋"/>
          <w:sz w:val="28"/>
          <w:szCs w:val="28"/>
        </w:rPr>
      </w:pPr>
      <w:r>
        <w:rPr>
          <w:rFonts w:hint="eastAsia" w:ascii="Times New Roman" w:eastAsia="仿宋"/>
          <w:sz w:val="28"/>
          <w:szCs w:val="28"/>
        </w:rPr>
        <w:t>接到报警，全体人员要以最快的速度赶赴现场，根据事故现场情况，划定事故现场警戒范围。确定事故现场排放物质类型，提出疏散附近地区人群、切断污染源、控制污染源等建议方案，并协同有关部门组织实施落实，及时展开事故发生原因调查。并根据领导指示，适时向社会、媒体发布事故发生的信息和简况。</w:t>
      </w:r>
    </w:p>
    <w:p w14:paraId="7B7CC75F">
      <w:pPr>
        <w:spacing w:line="500" w:lineRule="exact"/>
        <w:ind w:firstLine="560" w:firstLineChars="200"/>
        <w:rPr>
          <w:rFonts w:ascii="Times New Roman" w:eastAsia="仿宋"/>
          <w:sz w:val="28"/>
          <w:szCs w:val="28"/>
        </w:rPr>
      </w:pPr>
      <w:r>
        <w:rPr>
          <w:rFonts w:hint="eastAsia" w:ascii="Times New Roman" w:eastAsia="仿宋"/>
          <w:sz w:val="28"/>
          <w:szCs w:val="28"/>
        </w:rPr>
        <w:t>（4）事故评估组</w:t>
      </w:r>
    </w:p>
    <w:p w14:paraId="17A40784">
      <w:pPr>
        <w:spacing w:line="500" w:lineRule="exact"/>
        <w:ind w:firstLine="560" w:firstLineChars="200"/>
        <w:rPr>
          <w:rFonts w:ascii="Times New Roman" w:eastAsia="仿宋"/>
          <w:sz w:val="28"/>
          <w:szCs w:val="28"/>
        </w:rPr>
      </w:pPr>
      <w:r>
        <w:rPr>
          <w:rFonts w:hint="eastAsia" w:ascii="Times New Roman" w:eastAsia="仿宋"/>
          <w:sz w:val="28"/>
          <w:szCs w:val="28"/>
        </w:rPr>
        <w:t>当事故发生后，全体人员根据局领导和上级领导的指示要求，参与对事故发生的原因定性等问题研究，配合相关部门对事故损失进行评估认定。</w:t>
      </w:r>
    </w:p>
    <w:p w14:paraId="5710BA57">
      <w:pPr>
        <w:spacing w:line="500" w:lineRule="exact"/>
        <w:ind w:firstLine="560" w:firstLineChars="200"/>
        <w:rPr>
          <w:rFonts w:ascii="Times New Roman" w:eastAsia="仿宋"/>
          <w:sz w:val="28"/>
          <w:szCs w:val="28"/>
        </w:rPr>
      </w:pPr>
      <w:r>
        <w:rPr>
          <w:rFonts w:hint="eastAsia" w:ascii="Times New Roman" w:eastAsia="仿宋"/>
          <w:sz w:val="28"/>
          <w:szCs w:val="28"/>
        </w:rPr>
        <w:t>3、园区对事故后期处理的管理</w:t>
      </w:r>
    </w:p>
    <w:p w14:paraId="42843ECF">
      <w:pPr>
        <w:spacing w:line="500" w:lineRule="exact"/>
        <w:ind w:firstLine="560" w:firstLineChars="200"/>
        <w:rPr>
          <w:rFonts w:ascii="Times New Roman" w:eastAsia="仿宋"/>
          <w:sz w:val="28"/>
          <w:szCs w:val="28"/>
        </w:rPr>
      </w:pPr>
      <w:r>
        <w:rPr>
          <w:rFonts w:hint="eastAsia" w:ascii="Times New Roman" w:eastAsia="仿宋"/>
          <w:sz w:val="28"/>
          <w:szCs w:val="28"/>
        </w:rPr>
        <w:t>园区环境污染事故处理领导小组组织有关专家对受灾范围进行科学评估，提出补偿和对遭受污染的生态环境进行恢复的建议。</w:t>
      </w:r>
    </w:p>
    <w:p w14:paraId="260C49C6">
      <w:pPr>
        <w:spacing w:line="500" w:lineRule="exact"/>
        <w:ind w:firstLine="560" w:firstLineChars="200"/>
        <w:rPr>
          <w:rFonts w:ascii="Times New Roman" w:eastAsia="仿宋"/>
          <w:sz w:val="28"/>
          <w:szCs w:val="28"/>
        </w:rPr>
      </w:pPr>
      <w:r>
        <w:rPr>
          <w:rFonts w:hint="eastAsia" w:ascii="Times New Roman" w:eastAsia="仿宋"/>
          <w:sz w:val="28"/>
          <w:szCs w:val="28"/>
        </w:rPr>
        <w:t>（1）指导有关部门及突发环境事件单位查找事件原因，防止类似问题的重复出现。</w:t>
      </w:r>
    </w:p>
    <w:p w14:paraId="42157555">
      <w:pPr>
        <w:spacing w:line="500" w:lineRule="exact"/>
        <w:ind w:firstLine="560" w:firstLineChars="200"/>
        <w:rPr>
          <w:rFonts w:ascii="Times New Roman" w:eastAsia="仿宋"/>
          <w:sz w:val="28"/>
          <w:szCs w:val="28"/>
        </w:rPr>
      </w:pPr>
      <w:r>
        <w:rPr>
          <w:rFonts w:hint="eastAsia" w:ascii="Times New Roman" w:eastAsia="仿宋"/>
          <w:sz w:val="28"/>
          <w:szCs w:val="28"/>
        </w:rPr>
        <w:t>（2）朱林镇相关部门负责编制重大环境事件总结报告，于应急终止后上报。</w:t>
      </w:r>
    </w:p>
    <w:p w14:paraId="296EFD00">
      <w:pPr>
        <w:spacing w:line="500" w:lineRule="exact"/>
        <w:ind w:firstLine="560" w:firstLineChars="200"/>
        <w:rPr>
          <w:rFonts w:ascii="Times New Roman" w:eastAsia="仿宋"/>
          <w:sz w:val="28"/>
          <w:szCs w:val="28"/>
        </w:rPr>
      </w:pPr>
      <w:r>
        <w:rPr>
          <w:rFonts w:hint="eastAsia" w:ascii="Times New Roman" w:eastAsia="仿宋"/>
          <w:sz w:val="28"/>
          <w:szCs w:val="28"/>
        </w:rPr>
        <w:t>（3）应急过程评价。由环保局组织有关专家，会同朱林镇各相关部门组织实施。</w:t>
      </w:r>
    </w:p>
    <w:p w14:paraId="49C5A086">
      <w:pPr>
        <w:spacing w:line="500" w:lineRule="exact"/>
        <w:ind w:firstLine="560" w:firstLineChars="200"/>
        <w:rPr>
          <w:rFonts w:ascii="Times New Roman" w:eastAsia="仿宋"/>
          <w:sz w:val="28"/>
          <w:szCs w:val="28"/>
        </w:rPr>
      </w:pPr>
      <w:r>
        <w:rPr>
          <w:rFonts w:hint="eastAsia" w:ascii="Times New Roman" w:eastAsia="仿宋"/>
          <w:sz w:val="28"/>
          <w:szCs w:val="28"/>
        </w:rPr>
        <w:t>（4）根据实践经验，组织对应急预案进行评估，并及时修订环境应急预案。</w:t>
      </w:r>
    </w:p>
    <w:p w14:paraId="609FF088">
      <w:pPr>
        <w:spacing w:line="500" w:lineRule="exact"/>
        <w:ind w:firstLine="560" w:firstLineChars="200"/>
        <w:rPr>
          <w:rFonts w:ascii="Times New Roman" w:eastAsia="仿宋"/>
          <w:sz w:val="28"/>
          <w:szCs w:val="28"/>
        </w:rPr>
      </w:pPr>
      <w:r>
        <w:rPr>
          <w:rFonts w:hint="eastAsia" w:ascii="Times New Roman" w:eastAsia="仿宋"/>
          <w:sz w:val="28"/>
          <w:szCs w:val="28"/>
        </w:rPr>
        <w:t>根据朱林现代产业园规划环境影响评价报告书中的内容，目前园区安全防范措施如下：</w:t>
      </w:r>
    </w:p>
    <w:p w14:paraId="0535FABC">
      <w:pPr>
        <w:spacing w:line="500" w:lineRule="exact"/>
        <w:ind w:firstLine="560" w:firstLineChars="200"/>
        <w:rPr>
          <w:rFonts w:ascii="Times New Roman" w:eastAsia="仿宋"/>
          <w:sz w:val="28"/>
          <w:szCs w:val="28"/>
        </w:rPr>
      </w:pPr>
      <w:r>
        <w:rPr>
          <w:rFonts w:hint="eastAsia" w:ascii="Times New Roman" w:eastAsia="仿宋"/>
          <w:sz w:val="28"/>
          <w:szCs w:val="28"/>
        </w:rPr>
        <w:t>①已制定安全生产责任制、各项操作规程、安全技术规程、设备维修技术规程和岗位操作法、设备台帐（包括安全阀、调节阀、压力表等计量器具），并严格执行。已制定和建立安全组织、安全检查、安全教育培训、安全检修、事故调查处理、安全隐患治理、承包商管理等管理制度和台帐，相关规章制度应得到认真贯彻实施。经营单位的主要负责人对本单位的安全生产工作全面负责，对易燃易爆区、易发生泄漏的区域增设醒目的警示标志。</w:t>
      </w:r>
    </w:p>
    <w:p w14:paraId="54F82A90">
      <w:pPr>
        <w:spacing w:line="500" w:lineRule="exact"/>
        <w:ind w:firstLine="560" w:firstLineChars="200"/>
        <w:rPr>
          <w:rFonts w:ascii="Times New Roman" w:eastAsia="仿宋"/>
          <w:sz w:val="28"/>
          <w:szCs w:val="28"/>
        </w:rPr>
      </w:pPr>
      <w:r>
        <w:rPr>
          <w:rFonts w:hint="eastAsia" w:ascii="Times New Roman" w:eastAsia="仿宋"/>
          <w:sz w:val="28"/>
          <w:szCs w:val="28"/>
        </w:rPr>
        <w:t>②对区域内现有企业进行全面分析，对潜在的危险性进行系统分析和评估。加强园区和企业环境风险的日常防范；建立园区危险物质动态数据库。</w:t>
      </w:r>
    </w:p>
    <w:p w14:paraId="4AA1EFAC">
      <w:pPr>
        <w:spacing w:line="500" w:lineRule="exact"/>
        <w:ind w:firstLine="560" w:firstLineChars="200"/>
        <w:rPr>
          <w:rFonts w:ascii="Times New Roman" w:eastAsia="仿宋"/>
          <w:sz w:val="28"/>
          <w:szCs w:val="28"/>
        </w:rPr>
      </w:pPr>
      <w:r>
        <w:rPr>
          <w:rFonts w:hint="eastAsia" w:ascii="Times New Roman" w:eastAsia="仿宋"/>
          <w:sz w:val="28"/>
          <w:szCs w:val="28"/>
        </w:rPr>
        <w:t>③园区内存在环境风险的单位应配备专兼职安全管理人员。</w:t>
      </w:r>
    </w:p>
    <w:p w14:paraId="648CC352">
      <w:pPr>
        <w:spacing w:line="500" w:lineRule="exact"/>
        <w:ind w:firstLine="560" w:firstLineChars="200"/>
        <w:rPr>
          <w:rFonts w:ascii="Times New Roman" w:eastAsia="仿宋"/>
          <w:sz w:val="28"/>
          <w:szCs w:val="28"/>
        </w:rPr>
      </w:pPr>
      <w:r>
        <w:rPr>
          <w:rFonts w:hint="eastAsia" w:ascii="Times New Roman" w:eastAsia="仿宋"/>
          <w:sz w:val="28"/>
          <w:szCs w:val="28"/>
        </w:rPr>
        <w:t>④加强从业人员安全教育和安全技术培训工作，增强职工自我保护意识。</w:t>
      </w:r>
    </w:p>
    <w:p w14:paraId="2B030AD6">
      <w:pPr>
        <w:spacing w:line="500" w:lineRule="exact"/>
        <w:ind w:firstLine="560" w:firstLineChars="200"/>
        <w:rPr>
          <w:rFonts w:ascii="Times New Roman" w:eastAsia="仿宋"/>
          <w:sz w:val="28"/>
          <w:szCs w:val="28"/>
        </w:rPr>
      </w:pPr>
      <w:r>
        <w:rPr>
          <w:rFonts w:hint="eastAsia" w:ascii="Times New Roman" w:eastAsia="仿宋"/>
          <w:sz w:val="28"/>
          <w:szCs w:val="28"/>
        </w:rPr>
        <w:t>⑤编制岗位、重要设备以及操作方法的安全检查表，并定期对照安全检查表进行安全检查，避免因人的不安全行为和物的不安全状态而造成事故。</w:t>
      </w:r>
    </w:p>
    <w:p w14:paraId="2BD9F0C6">
      <w:pPr>
        <w:spacing w:line="500" w:lineRule="exact"/>
        <w:ind w:firstLine="560" w:firstLineChars="200"/>
      </w:pPr>
      <w:r>
        <w:rPr>
          <w:rFonts w:hint="eastAsia" w:ascii="Times New Roman" w:eastAsia="仿宋"/>
          <w:sz w:val="28"/>
          <w:szCs w:val="28"/>
        </w:rPr>
        <w:t>⑥认真执行巡回检查制度，加大巡检频率和对违章的处罚力度，提高巡回检查的有效性，及时整改事故隐患。</w:t>
      </w:r>
    </w:p>
    <w:p w14:paraId="6C8CA345">
      <w:pPr>
        <w:keepNext/>
        <w:keepLines/>
        <w:spacing w:before="120" w:after="120" w:line="500" w:lineRule="exact"/>
        <w:outlineLvl w:val="2"/>
        <w:rPr>
          <w:rFonts w:ascii="Times New Roman" w:eastAsia="仿宋"/>
          <w:b/>
          <w:bCs/>
          <w:sz w:val="28"/>
          <w:szCs w:val="32"/>
        </w:rPr>
      </w:pPr>
      <w:r>
        <w:rPr>
          <w:rFonts w:ascii="Times New Roman" w:eastAsia="仿宋"/>
          <w:b/>
          <w:sz w:val="28"/>
          <w:szCs w:val="32"/>
        </w:rPr>
        <w:t>6.</w:t>
      </w:r>
      <w:r>
        <w:rPr>
          <w:rFonts w:hint="eastAsia" w:ascii="Times New Roman" w:eastAsia="仿宋"/>
          <w:b/>
          <w:sz w:val="28"/>
          <w:szCs w:val="32"/>
        </w:rPr>
        <w:t>5</w:t>
      </w:r>
      <w:r>
        <w:rPr>
          <w:rFonts w:ascii="Times New Roman" w:eastAsia="仿宋"/>
          <w:b/>
          <w:sz w:val="28"/>
          <w:szCs w:val="32"/>
        </w:rPr>
        <w:t>.4风险评价结论</w:t>
      </w:r>
    </w:p>
    <w:p w14:paraId="4D68BB1B">
      <w:pPr>
        <w:spacing w:line="500" w:lineRule="exact"/>
        <w:ind w:firstLine="560" w:firstLineChars="200"/>
        <w:rPr>
          <w:rFonts w:ascii="Times New Roman" w:eastAsia="仿宋"/>
          <w:sz w:val="28"/>
          <w:szCs w:val="28"/>
        </w:rPr>
      </w:pPr>
      <w:r>
        <w:rPr>
          <w:rFonts w:ascii="Times New Roman" w:eastAsia="仿宋"/>
          <w:sz w:val="28"/>
          <w:szCs w:val="28"/>
        </w:rPr>
        <w:t>企业厂区危险物质危险性较低，发生泄漏和火灾爆炸事故对周围环境影响较小，在完善生产管理制度，加强重点风险源监控的基础上，针对企业可能发生的各类事故情形（物料泄漏事故、火灾和爆炸事故）和存在的风险因素（固废、地下水、地表水）设置了相应的风险防范措施，并根据各类事故情形提出了应急预案的原则性要求，明确了企业应急预案和</w:t>
      </w:r>
      <w:r>
        <w:rPr>
          <w:rFonts w:hint="eastAsia" w:ascii="Times New Roman" w:eastAsia="仿宋"/>
          <w:sz w:val="28"/>
          <w:szCs w:val="28"/>
        </w:rPr>
        <w:t>上级</w:t>
      </w:r>
      <w:r>
        <w:rPr>
          <w:rFonts w:ascii="Times New Roman" w:eastAsia="仿宋"/>
          <w:sz w:val="28"/>
          <w:szCs w:val="28"/>
        </w:rPr>
        <w:t>应急预案联动程序，确保一旦发生突发事故，企业能够快速有效的采取措施将污染事故的发生机率降低到最小。综上，企业在严格采取以上措施的情况下，本项目的环境风险可防控。</w:t>
      </w:r>
    </w:p>
    <w:p w14:paraId="212155F6">
      <w:pPr>
        <w:spacing w:line="500" w:lineRule="exact"/>
        <w:ind w:firstLine="560" w:firstLineChars="200"/>
        <w:rPr>
          <w:rFonts w:ascii="Times New Roman" w:eastAsia="仿宋"/>
          <w:sz w:val="28"/>
          <w:szCs w:val="28"/>
        </w:rPr>
        <w:sectPr>
          <w:pgSz w:w="11906" w:h="16838"/>
          <w:pgMar w:top="1440" w:right="1800" w:bottom="1440" w:left="1800" w:header="851" w:footer="992" w:gutter="0"/>
          <w:cols w:space="720" w:num="1"/>
          <w:docGrid w:linePitch="312" w:charSpace="0"/>
        </w:sectPr>
      </w:pPr>
    </w:p>
    <w:p w14:paraId="16E0093C">
      <w:pPr>
        <w:pStyle w:val="5"/>
        <w:numPr>
          <w:ilvl w:val="1"/>
          <w:numId w:val="0"/>
        </w:numPr>
        <w:rPr>
          <w:rFonts w:eastAsia="仿宋"/>
          <w:color w:val="auto"/>
        </w:rPr>
      </w:pPr>
      <w:bookmarkStart w:id="419" w:name="_Toc226537091"/>
      <w:bookmarkStart w:id="420" w:name="_Toc182553830"/>
      <w:r>
        <w:rPr>
          <w:rFonts w:hint="eastAsia" w:eastAsia="仿宋"/>
          <w:color w:val="auto"/>
        </w:rPr>
        <w:t>6.6</w:t>
      </w:r>
      <w:r>
        <w:rPr>
          <w:rFonts w:eastAsia="仿宋"/>
          <w:color w:val="auto"/>
        </w:rPr>
        <w:t>环保措施汇总</w:t>
      </w:r>
      <w:bookmarkEnd w:id="419"/>
      <w:bookmarkEnd w:id="420"/>
    </w:p>
    <w:p w14:paraId="124A1678">
      <w:pPr>
        <w:tabs>
          <w:tab w:val="left" w:pos="1905"/>
        </w:tabs>
        <w:spacing w:line="500" w:lineRule="exact"/>
        <w:ind w:firstLine="560" w:firstLineChars="200"/>
        <w:rPr>
          <w:rFonts w:ascii="Times New Roman" w:eastAsia="仿宋"/>
          <w:sz w:val="28"/>
          <w:szCs w:val="28"/>
        </w:rPr>
      </w:pPr>
      <w:r>
        <w:rPr>
          <w:rFonts w:ascii="Times New Roman" w:eastAsia="仿宋"/>
          <w:sz w:val="28"/>
          <w:szCs w:val="28"/>
        </w:rPr>
        <w:t>环保措施汇总情况见</w:t>
      </w:r>
      <w:r>
        <w:rPr>
          <w:rFonts w:ascii="Times New Roman" w:eastAsia="仿宋"/>
          <w:sz w:val="28"/>
          <w:szCs w:val="28"/>
        </w:rPr>
        <w:fldChar w:fldCharType="begin"/>
      </w:r>
      <w:r>
        <w:rPr>
          <w:rFonts w:ascii="Times New Roman" w:eastAsia="仿宋"/>
          <w:sz w:val="28"/>
          <w:szCs w:val="28"/>
        </w:rPr>
        <w:instrText xml:space="preserve"> REF _Ref326139830 \h  \* MERGEFORMAT </w:instrText>
      </w:r>
      <w:r>
        <w:rPr>
          <w:rFonts w:ascii="Times New Roman" w:eastAsia="仿宋"/>
          <w:sz w:val="28"/>
          <w:szCs w:val="28"/>
        </w:rPr>
        <w:fldChar w:fldCharType="separate"/>
      </w:r>
      <w:r>
        <w:rPr>
          <w:rFonts w:ascii="Times New Roman" w:eastAsia="仿宋"/>
          <w:sz w:val="28"/>
          <w:szCs w:val="28"/>
        </w:rPr>
        <w:t>表6</w:t>
      </w:r>
      <w:r>
        <w:rPr>
          <w:rFonts w:hint="eastAsia" w:ascii="Times New Roman" w:eastAsia="仿宋"/>
          <w:sz w:val="28"/>
          <w:szCs w:val="28"/>
        </w:rPr>
        <w:t>.</w:t>
      </w:r>
      <w:r>
        <w:rPr>
          <w:rFonts w:ascii="Times New Roman" w:eastAsia="仿宋"/>
          <w:sz w:val="28"/>
          <w:szCs w:val="28"/>
        </w:rPr>
        <w:t>6</w:t>
      </w:r>
      <w:r>
        <w:rPr>
          <w:rFonts w:ascii="Times New Roman" w:eastAsia="仿宋"/>
          <w:sz w:val="28"/>
          <w:szCs w:val="28"/>
        </w:rPr>
        <w:noBreakHyphen/>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t>。</w:t>
      </w:r>
      <w:bookmarkStart w:id="421" w:name="_Hlt113028608"/>
      <w:bookmarkEnd w:id="421"/>
    </w:p>
    <w:p w14:paraId="3C1FE1FC">
      <w:pPr>
        <w:pStyle w:val="51"/>
        <w:ind w:firstLine="0" w:firstLineChars="0"/>
        <w:jc w:val="center"/>
        <w:rPr>
          <w:rFonts w:ascii="Times New Roman" w:eastAsia="仿宋"/>
          <w:b/>
          <w:sz w:val="24"/>
        </w:rPr>
      </w:pPr>
      <w:bookmarkStart w:id="422" w:name="_Hlt81032933"/>
      <w:bookmarkEnd w:id="422"/>
      <w:bookmarkStart w:id="423" w:name="_Hlt79898429"/>
      <w:bookmarkEnd w:id="423"/>
      <w:bookmarkStart w:id="424" w:name="_Ref326139830"/>
      <w:r>
        <w:rPr>
          <w:rFonts w:ascii="Times New Roman" w:eastAsia="仿宋"/>
          <w:b/>
          <w:sz w:val="24"/>
        </w:rPr>
        <w:t>表6</w:t>
      </w:r>
      <w:r>
        <w:rPr>
          <w:rFonts w:hint="eastAsia" w:ascii="Times New Roman" w:eastAsia="仿宋"/>
          <w:b/>
          <w:sz w:val="24"/>
        </w:rPr>
        <w:t>.</w:t>
      </w:r>
      <w:r>
        <w:rPr>
          <w:rFonts w:ascii="Times New Roman" w:eastAsia="仿宋"/>
          <w:b/>
          <w:sz w:val="24"/>
        </w:rPr>
        <w:t>6</w:t>
      </w:r>
      <w:r>
        <w:rPr>
          <w:rFonts w:ascii="Times New Roman" w:eastAsia="仿宋"/>
          <w:b/>
          <w:sz w:val="24"/>
        </w:rPr>
        <w:noBreakHyphen/>
      </w:r>
      <w:r>
        <w:rPr>
          <w:rFonts w:ascii="Times New Roman" w:eastAsia="仿宋"/>
          <w:b/>
          <w:sz w:val="24"/>
        </w:rPr>
        <w:fldChar w:fldCharType="begin"/>
      </w:r>
      <w:r>
        <w:rPr>
          <w:rFonts w:ascii="Times New Roman" w:eastAsia="仿宋"/>
          <w:b/>
          <w:sz w:val="24"/>
        </w:rPr>
        <w:instrText xml:space="preserve"> SEQ 表 \* ARABIC \s 2 </w:instrText>
      </w:r>
      <w:r>
        <w:rPr>
          <w:rFonts w:ascii="Times New Roman" w:eastAsia="仿宋"/>
          <w:b/>
          <w:sz w:val="24"/>
        </w:rPr>
        <w:fldChar w:fldCharType="separate"/>
      </w:r>
      <w:r>
        <w:rPr>
          <w:rFonts w:ascii="Times New Roman" w:eastAsia="仿宋"/>
          <w:b/>
          <w:sz w:val="24"/>
        </w:rPr>
        <w:t>1</w:t>
      </w:r>
      <w:r>
        <w:rPr>
          <w:rFonts w:ascii="Times New Roman" w:eastAsia="仿宋"/>
          <w:b/>
          <w:sz w:val="24"/>
        </w:rPr>
        <w:fldChar w:fldCharType="end"/>
      </w:r>
      <w:bookmarkEnd w:id="424"/>
      <w:r>
        <w:rPr>
          <w:rFonts w:ascii="Times New Roman" w:eastAsia="仿宋"/>
          <w:b/>
          <w:sz w:val="24"/>
        </w:rPr>
        <w:t xml:space="preserve"> 环保措施汇总一览表</w:t>
      </w:r>
    </w:p>
    <w:tbl>
      <w:tblPr>
        <w:tblStyle w:val="87"/>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2"/>
        <w:gridCol w:w="508"/>
        <w:gridCol w:w="1747"/>
        <w:gridCol w:w="2362"/>
        <w:gridCol w:w="2859"/>
        <w:gridCol w:w="974"/>
      </w:tblGrid>
      <w:tr w14:paraId="0B20F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Align w:val="center"/>
          </w:tcPr>
          <w:p w14:paraId="59AB50FB">
            <w:pPr>
              <w:spacing w:line="360" w:lineRule="exact"/>
              <w:jc w:val="center"/>
              <w:rPr>
                <w:rFonts w:ascii="Times New Roman" w:eastAsia="仿宋"/>
                <w:szCs w:val="21"/>
                <w:lang w:val="zh-CN"/>
              </w:rPr>
            </w:pPr>
            <w:r>
              <w:rPr>
                <w:rFonts w:hint="eastAsia" w:ascii="Times New Roman" w:eastAsia="仿宋"/>
                <w:szCs w:val="21"/>
                <w:lang w:val="zh-CN"/>
              </w:rPr>
              <w:t>类别</w:t>
            </w:r>
          </w:p>
        </w:tc>
        <w:tc>
          <w:tcPr>
            <w:tcW w:w="963" w:type="pct"/>
            <w:vAlign w:val="center"/>
          </w:tcPr>
          <w:p w14:paraId="23C654C7">
            <w:pPr>
              <w:spacing w:line="360" w:lineRule="exact"/>
              <w:jc w:val="center"/>
              <w:rPr>
                <w:rFonts w:ascii="Times New Roman" w:eastAsia="仿宋"/>
                <w:szCs w:val="21"/>
                <w:lang w:val="zh-CN"/>
              </w:rPr>
            </w:pPr>
            <w:r>
              <w:rPr>
                <w:rFonts w:hint="eastAsia" w:ascii="Times New Roman" w:eastAsia="仿宋"/>
                <w:szCs w:val="21"/>
                <w:lang w:val="zh-CN"/>
              </w:rPr>
              <w:t>污染源</w:t>
            </w:r>
          </w:p>
        </w:tc>
        <w:tc>
          <w:tcPr>
            <w:tcW w:w="1302" w:type="pct"/>
            <w:vAlign w:val="center"/>
          </w:tcPr>
          <w:p w14:paraId="5D4FB68B">
            <w:pPr>
              <w:spacing w:line="360" w:lineRule="exact"/>
              <w:jc w:val="center"/>
              <w:rPr>
                <w:rFonts w:ascii="Times New Roman" w:eastAsia="仿宋"/>
                <w:szCs w:val="21"/>
                <w:lang w:val="zh-CN"/>
              </w:rPr>
            </w:pPr>
            <w:r>
              <w:rPr>
                <w:rFonts w:hint="eastAsia" w:ascii="Times New Roman" w:eastAsia="仿宋"/>
                <w:szCs w:val="21"/>
                <w:lang w:val="zh-CN"/>
              </w:rPr>
              <w:t>污染物名称</w:t>
            </w:r>
          </w:p>
        </w:tc>
        <w:tc>
          <w:tcPr>
            <w:tcW w:w="1576" w:type="pct"/>
            <w:vAlign w:val="center"/>
          </w:tcPr>
          <w:p w14:paraId="241540C0">
            <w:pPr>
              <w:spacing w:line="360" w:lineRule="exact"/>
              <w:jc w:val="center"/>
              <w:rPr>
                <w:rFonts w:ascii="Times New Roman" w:eastAsia="仿宋"/>
                <w:szCs w:val="21"/>
                <w:lang w:val="zh-CN"/>
              </w:rPr>
            </w:pPr>
            <w:r>
              <w:rPr>
                <w:rFonts w:hint="eastAsia" w:ascii="Times New Roman" w:eastAsia="仿宋"/>
                <w:szCs w:val="21"/>
                <w:lang w:val="zh-CN"/>
              </w:rPr>
              <w:t>治理措施</w:t>
            </w:r>
          </w:p>
        </w:tc>
        <w:tc>
          <w:tcPr>
            <w:tcW w:w="536" w:type="pct"/>
            <w:vAlign w:val="center"/>
          </w:tcPr>
          <w:p w14:paraId="3353C9E9">
            <w:pPr>
              <w:spacing w:line="360" w:lineRule="exact"/>
              <w:jc w:val="center"/>
              <w:rPr>
                <w:rFonts w:ascii="Times New Roman" w:eastAsia="仿宋"/>
                <w:szCs w:val="21"/>
                <w:lang w:val="zh-CN"/>
              </w:rPr>
            </w:pPr>
            <w:r>
              <w:rPr>
                <w:rFonts w:hint="eastAsia" w:ascii="Times New Roman" w:eastAsia="仿宋"/>
                <w:szCs w:val="21"/>
                <w:lang w:val="zh-CN"/>
              </w:rPr>
              <w:t>总投资</w:t>
            </w:r>
          </w:p>
          <w:p w14:paraId="2EB41ED4">
            <w:pPr>
              <w:spacing w:line="360" w:lineRule="exact"/>
              <w:jc w:val="center"/>
              <w:rPr>
                <w:rFonts w:ascii="Times New Roman" w:eastAsia="仿宋"/>
                <w:szCs w:val="21"/>
                <w:lang w:val="zh-CN"/>
              </w:rPr>
            </w:pPr>
            <w:r>
              <w:rPr>
                <w:rFonts w:hint="eastAsia" w:ascii="Times New Roman" w:eastAsia="仿宋"/>
                <w:szCs w:val="21"/>
                <w:lang w:val="zh-CN"/>
              </w:rPr>
              <w:t>(万元)</w:t>
            </w:r>
          </w:p>
        </w:tc>
      </w:tr>
      <w:tr w14:paraId="4A1BC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43" w:type="pct"/>
            <w:vMerge w:val="restart"/>
            <w:vAlign w:val="center"/>
          </w:tcPr>
          <w:p w14:paraId="45E32731">
            <w:pPr>
              <w:spacing w:line="360" w:lineRule="exact"/>
              <w:jc w:val="center"/>
              <w:rPr>
                <w:rFonts w:ascii="Times New Roman" w:eastAsia="仿宋"/>
                <w:szCs w:val="21"/>
                <w:lang w:val="zh-CN"/>
              </w:rPr>
            </w:pPr>
            <w:r>
              <w:rPr>
                <w:rFonts w:hint="eastAsia" w:ascii="Times New Roman" w:eastAsia="仿宋"/>
                <w:szCs w:val="21"/>
                <w:lang w:val="zh-CN"/>
              </w:rPr>
              <w:t>废气</w:t>
            </w:r>
          </w:p>
        </w:tc>
        <w:tc>
          <w:tcPr>
            <w:tcW w:w="280" w:type="pct"/>
            <w:vMerge w:val="restart"/>
            <w:vAlign w:val="center"/>
          </w:tcPr>
          <w:p w14:paraId="2C30A5BA">
            <w:pPr>
              <w:spacing w:line="360" w:lineRule="exact"/>
              <w:jc w:val="center"/>
              <w:rPr>
                <w:rFonts w:ascii="Times New Roman" w:eastAsia="仿宋"/>
                <w:szCs w:val="21"/>
                <w:lang w:val="zh-CN"/>
              </w:rPr>
            </w:pPr>
            <w:r>
              <w:rPr>
                <w:rFonts w:hint="eastAsia" w:ascii="Times New Roman" w:eastAsia="仿宋"/>
                <w:szCs w:val="21"/>
                <w:lang w:val="zh-CN"/>
              </w:rPr>
              <w:t>有组织</w:t>
            </w:r>
          </w:p>
        </w:tc>
        <w:tc>
          <w:tcPr>
            <w:tcW w:w="963" w:type="pct"/>
            <w:vAlign w:val="center"/>
          </w:tcPr>
          <w:p w14:paraId="069A5F63">
            <w:pPr>
              <w:spacing w:line="360" w:lineRule="exact"/>
              <w:jc w:val="center"/>
              <w:rPr>
                <w:rFonts w:ascii="Times New Roman" w:eastAsia="仿宋"/>
                <w:szCs w:val="21"/>
              </w:rPr>
            </w:pPr>
            <w:r>
              <w:rPr>
                <w:rFonts w:hint="eastAsia" w:ascii="Times New Roman" w:eastAsia="仿宋"/>
                <w:szCs w:val="21"/>
              </w:rPr>
              <w:t>机加工线</w:t>
            </w:r>
          </w:p>
        </w:tc>
        <w:tc>
          <w:tcPr>
            <w:tcW w:w="1302" w:type="pct"/>
            <w:vAlign w:val="center"/>
          </w:tcPr>
          <w:p w14:paraId="2EAEE8E3">
            <w:pPr>
              <w:spacing w:line="360" w:lineRule="exact"/>
              <w:jc w:val="center"/>
              <w:rPr>
                <w:rFonts w:ascii="Times New Roman" w:eastAsia="仿宋"/>
                <w:szCs w:val="21"/>
                <w:lang w:val="zh-CN"/>
              </w:rPr>
            </w:pPr>
            <w:r>
              <w:rPr>
                <w:rFonts w:hint="eastAsia" w:ascii="Times New Roman" w:eastAsia="仿宋"/>
                <w:szCs w:val="21"/>
              </w:rPr>
              <w:t>颗粒物</w:t>
            </w:r>
          </w:p>
        </w:tc>
        <w:tc>
          <w:tcPr>
            <w:tcW w:w="1576" w:type="pct"/>
            <w:vAlign w:val="center"/>
          </w:tcPr>
          <w:p w14:paraId="0CF6C937">
            <w:pPr>
              <w:spacing w:line="360" w:lineRule="exact"/>
              <w:jc w:val="center"/>
              <w:rPr>
                <w:rFonts w:ascii="Times New Roman" w:eastAsia="仿宋"/>
                <w:szCs w:val="21"/>
              </w:rPr>
            </w:pPr>
            <w:r>
              <w:rPr>
                <w:rFonts w:hint="eastAsia" w:ascii="Times New Roman" w:eastAsia="仿宋"/>
                <w:szCs w:val="21"/>
              </w:rPr>
              <w:t>湿式除尘器</w:t>
            </w:r>
          </w:p>
        </w:tc>
        <w:tc>
          <w:tcPr>
            <w:tcW w:w="536" w:type="pct"/>
            <w:vAlign w:val="center"/>
          </w:tcPr>
          <w:p w14:paraId="33DEC28F">
            <w:pPr>
              <w:spacing w:line="360" w:lineRule="exact"/>
              <w:jc w:val="center"/>
              <w:rPr>
                <w:rFonts w:ascii="Times New Roman" w:eastAsia="仿宋"/>
                <w:szCs w:val="21"/>
                <w:lang w:val="zh-CN"/>
              </w:rPr>
            </w:pPr>
            <w:r>
              <w:rPr>
                <w:rFonts w:hint="eastAsia" w:ascii="Times New Roman" w:eastAsia="仿宋"/>
                <w:szCs w:val="21"/>
              </w:rPr>
              <w:t>2</w:t>
            </w:r>
            <w:r>
              <w:rPr>
                <w:rFonts w:hint="eastAsia" w:ascii="Times New Roman" w:eastAsia="仿宋"/>
                <w:szCs w:val="21"/>
                <w:lang w:val="zh-CN"/>
              </w:rPr>
              <w:t>0</w:t>
            </w:r>
          </w:p>
        </w:tc>
      </w:tr>
      <w:tr w14:paraId="15873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43" w:type="pct"/>
            <w:vMerge w:val="continue"/>
            <w:vAlign w:val="center"/>
          </w:tcPr>
          <w:p w14:paraId="336FEDDC">
            <w:pPr>
              <w:spacing w:line="360" w:lineRule="exact"/>
              <w:jc w:val="center"/>
              <w:rPr>
                <w:rFonts w:ascii="Times New Roman" w:eastAsia="仿宋"/>
                <w:szCs w:val="21"/>
                <w:lang w:val="zh-CN"/>
              </w:rPr>
            </w:pPr>
          </w:p>
        </w:tc>
        <w:tc>
          <w:tcPr>
            <w:tcW w:w="280" w:type="pct"/>
            <w:vMerge w:val="continue"/>
            <w:vAlign w:val="center"/>
          </w:tcPr>
          <w:p w14:paraId="38E68A92">
            <w:pPr>
              <w:spacing w:line="360" w:lineRule="exact"/>
              <w:jc w:val="center"/>
              <w:rPr>
                <w:rFonts w:ascii="Times New Roman" w:eastAsia="仿宋"/>
                <w:szCs w:val="21"/>
                <w:lang w:val="zh-CN"/>
              </w:rPr>
            </w:pPr>
          </w:p>
        </w:tc>
        <w:tc>
          <w:tcPr>
            <w:tcW w:w="963" w:type="pct"/>
            <w:vAlign w:val="center"/>
          </w:tcPr>
          <w:p w14:paraId="38F3A7B9">
            <w:pPr>
              <w:spacing w:line="360" w:lineRule="exact"/>
              <w:jc w:val="center"/>
              <w:rPr>
                <w:rFonts w:ascii="Times New Roman" w:eastAsia="仿宋"/>
                <w:szCs w:val="21"/>
                <w:lang w:val="zh-CN"/>
              </w:rPr>
            </w:pPr>
            <w:r>
              <w:rPr>
                <w:rFonts w:hint="eastAsia" w:ascii="Times New Roman" w:eastAsia="仿宋"/>
                <w:szCs w:val="21"/>
                <w:lang w:val="zh-CN"/>
              </w:rPr>
              <w:t>喷涂线废气</w:t>
            </w:r>
          </w:p>
        </w:tc>
        <w:tc>
          <w:tcPr>
            <w:tcW w:w="1302" w:type="pct"/>
            <w:vAlign w:val="center"/>
          </w:tcPr>
          <w:p w14:paraId="64D4A22F">
            <w:pPr>
              <w:spacing w:line="360" w:lineRule="exact"/>
              <w:jc w:val="center"/>
              <w:rPr>
                <w:rFonts w:ascii="Times New Roman" w:eastAsia="仿宋"/>
                <w:szCs w:val="21"/>
                <w:lang w:val="zh-CN"/>
              </w:rPr>
            </w:pPr>
            <w:r>
              <w:rPr>
                <w:rFonts w:hint="eastAsia" w:ascii="Times New Roman" w:eastAsia="仿宋"/>
                <w:szCs w:val="21"/>
                <w:lang w:val="zh-CN"/>
              </w:rPr>
              <w:t>非甲烷总烃、</w:t>
            </w:r>
            <w:r>
              <w:rPr>
                <w:rFonts w:hint="eastAsia" w:ascii="Times New Roman" w:eastAsia="仿宋"/>
                <w:szCs w:val="21"/>
              </w:rPr>
              <w:t>二甲苯、苯系物、</w:t>
            </w:r>
            <w:r>
              <w:rPr>
                <w:rFonts w:hint="eastAsia" w:ascii="Times New Roman" w:eastAsia="仿宋"/>
                <w:szCs w:val="21"/>
                <w:lang w:val="zh-CN"/>
              </w:rPr>
              <w:t>颗粒物</w:t>
            </w:r>
          </w:p>
        </w:tc>
        <w:tc>
          <w:tcPr>
            <w:tcW w:w="1576" w:type="pct"/>
            <w:vAlign w:val="center"/>
          </w:tcPr>
          <w:p w14:paraId="2420413F">
            <w:pPr>
              <w:spacing w:line="360" w:lineRule="exact"/>
              <w:jc w:val="center"/>
              <w:rPr>
                <w:rFonts w:ascii="Times New Roman" w:eastAsia="仿宋"/>
                <w:szCs w:val="21"/>
              </w:rPr>
            </w:pPr>
            <w:r>
              <w:rPr>
                <w:rFonts w:hint="eastAsia" w:ascii="Times New Roman" w:eastAsia="仿宋"/>
                <w:szCs w:val="21"/>
              </w:rPr>
              <w:t>3套水帘式循环过滤系统+水喷淋+干式过滤器+活性炭吸附脱附+催化燃烧</w:t>
            </w:r>
          </w:p>
        </w:tc>
        <w:tc>
          <w:tcPr>
            <w:tcW w:w="536" w:type="pct"/>
            <w:vAlign w:val="center"/>
          </w:tcPr>
          <w:p w14:paraId="30A4F61D">
            <w:pPr>
              <w:spacing w:line="360" w:lineRule="exact"/>
              <w:jc w:val="center"/>
              <w:rPr>
                <w:rFonts w:ascii="Times New Roman" w:eastAsia="仿宋"/>
                <w:szCs w:val="21"/>
                <w:lang w:val="zh-CN"/>
              </w:rPr>
            </w:pPr>
            <w:r>
              <w:rPr>
                <w:rFonts w:hint="eastAsia" w:ascii="Times New Roman" w:eastAsia="仿宋"/>
                <w:szCs w:val="21"/>
                <w:lang w:val="zh-CN"/>
              </w:rPr>
              <w:t>250</w:t>
            </w:r>
          </w:p>
        </w:tc>
      </w:tr>
      <w:tr w14:paraId="5B774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43" w:type="pct"/>
            <w:vMerge w:val="continue"/>
            <w:vAlign w:val="center"/>
          </w:tcPr>
          <w:p w14:paraId="5697AC46">
            <w:pPr>
              <w:spacing w:line="360" w:lineRule="exact"/>
              <w:jc w:val="center"/>
              <w:rPr>
                <w:rFonts w:ascii="Times New Roman" w:eastAsia="仿宋"/>
                <w:szCs w:val="21"/>
                <w:lang w:val="zh-CN"/>
              </w:rPr>
            </w:pPr>
          </w:p>
        </w:tc>
        <w:tc>
          <w:tcPr>
            <w:tcW w:w="280" w:type="pct"/>
            <w:vMerge w:val="continue"/>
            <w:vAlign w:val="center"/>
          </w:tcPr>
          <w:p w14:paraId="21D785D1">
            <w:pPr>
              <w:spacing w:line="360" w:lineRule="exact"/>
              <w:jc w:val="center"/>
              <w:rPr>
                <w:rFonts w:ascii="Times New Roman" w:eastAsia="仿宋"/>
                <w:szCs w:val="21"/>
                <w:lang w:val="zh-CN"/>
              </w:rPr>
            </w:pPr>
          </w:p>
        </w:tc>
        <w:tc>
          <w:tcPr>
            <w:tcW w:w="963" w:type="pct"/>
            <w:vAlign w:val="center"/>
          </w:tcPr>
          <w:p w14:paraId="36351EFC">
            <w:pPr>
              <w:spacing w:line="360" w:lineRule="exact"/>
              <w:jc w:val="center"/>
              <w:rPr>
                <w:rFonts w:ascii="Times New Roman" w:eastAsia="仿宋"/>
                <w:szCs w:val="21"/>
              </w:rPr>
            </w:pPr>
            <w:r>
              <w:rPr>
                <w:rFonts w:hint="eastAsia" w:ascii="Times New Roman" w:eastAsia="仿宋"/>
                <w:szCs w:val="21"/>
              </w:rPr>
              <w:t>喷塑线</w:t>
            </w:r>
          </w:p>
        </w:tc>
        <w:tc>
          <w:tcPr>
            <w:tcW w:w="1302" w:type="pct"/>
            <w:vAlign w:val="center"/>
          </w:tcPr>
          <w:p w14:paraId="0204C287">
            <w:pPr>
              <w:spacing w:line="360" w:lineRule="exact"/>
              <w:jc w:val="center"/>
              <w:rPr>
                <w:rFonts w:ascii="Times New Roman" w:eastAsia="仿宋"/>
                <w:szCs w:val="21"/>
              </w:rPr>
            </w:pPr>
            <w:r>
              <w:rPr>
                <w:rFonts w:hint="eastAsia" w:ascii="Times New Roman" w:eastAsia="仿宋"/>
                <w:szCs w:val="21"/>
              </w:rPr>
              <w:t>颗粒物</w:t>
            </w:r>
          </w:p>
        </w:tc>
        <w:tc>
          <w:tcPr>
            <w:tcW w:w="1576" w:type="pct"/>
            <w:vAlign w:val="center"/>
          </w:tcPr>
          <w:p w14:paraId="6C9179C8">
            <w:pPr>
              <w:spacing w:line="360" w:lineRule="exact"/>
              <w:jc w:val="center"/>
              <w:rPr>
                <w:rFonts w:ascii="Times New Roman" w:eastAsia="仿宋"/>
                <w:szCs w:val="21"/>
                <w:lang w:val="zh-CN"/>
              </w:rPr>
            </w:pPr>
            <w:r>
              <w:rPr>
                <w:rFonts w:hint="eastAsia" w:ascii="Times New Roman" w:eastAsia="仿宋"/>
                <w:szCs w:val="24"/>
              </w:rPr>
              <w:t>滤筒除尘器</w:t>
            </w:r>
          </w:p>
        </w:tc>
        <w:tc>
          <w:tcPr>
            <w:tcW w:w="536" w:type="pct"/>
            <w:vAlign w:val="center"/>
          </w:tcPr>
          <w:p w14:paraId="7B57EFFB">
            <w:pPr>
              <w:spacing w:line="360" w:lineRule="exact"/>
              <w:jc w:val="center"/>
              <w:rPr>
                <w:rFonts w:ascii="Times New Roman" w:eastAsia="仿宋"/>
                <w:szCs w:val="21"/>
              </w:rPr>
            </w:pPr>
            <w:r>
              <w:rPr>
                <w:rFonts w:hint="eastAsia" w:ascii="Times New Roman" w:eastAsia="仿宋"/>
                <w:szCs w:val="21"/>
              </w:rPr>
              <w:t>10</w:t>
            </w:r>
          </w:p>
        </w:tc>
      </w:tr>
      <w:tr w14:paraId="0D598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43" w:type="pct"/>
            <w:vMerge w:val="continue"/>
            <w:vAlign w:val="center"/>
          </w:tcPr>
          <w:p w14:paraId="767F7C24">
            <w:pPr>
              <w:spacing w:line="360" w:lineRule="exact"/>
              <w:jc w:val="center"/>
              <w:rPr>
                <w:rFonts w:ascii="Times New Roman" w:eastAsia="仿宋"/>
                <w:szCs w:val="21"/>
                <w:lang w:val="zh-CN"/>
              </w:rPr>
            </w:pPr>
          </w:p>
        </w:tc>
        <w:tc>
          <w:tcPr>
            <w:tcW w:w="280" w:type="pct"/>
            <w:vAlign w:val="center"/>
          </w:tcPr>
          <w:p w14:paraId="3D481DDC">
            <w:pPr>
              <w:spacing w:line="360" w:lineRule="exact"/>
              <w:jc w:val="center"/>
              <w:rPr>
                <w:rFonts w:ascii="Times New Roman" w:eastAsia="仿宋"/>
                <w:szCs w:val="21"/>
                <w:lang w:val="zh-CN"/>
              </w:rPr>
            </w:pPr>
            <w:r>
              <w:rPr>
                <w:rFonts w:hint="eastAsia" w:ascii="Times New Roman" w:eastAsia="仿宋"/>
                <w:szCs w:val="21"/>
                <w:lang w:val="zh-CN"/>
              </w:rPr>
              <w:t>无组织</w:t>
            </w:r>
          </w:p>
        </w:tc>
        <w:tc>
          <w:tcPr>
            <w:tcW w:w="963" w:type="pct"/>
            <w:vAlign w:val="center"/>
          </w:tcPr>
          <w:p w14:paraId="32EEA303">
            <w:pPr>
              <w:spacing w:line="360" w:lineRule="exact"/>
              <w:jc w:val="center"/>
              <w:rPr>
                <w:rFonts w:ascii="Times New Roman" w:eastAsia="仿宋"/>
                <w:szCs w:val="21"/>
              </w:rPr>
            </w:pPr>
            <w:r>
              <w:rPr>
                <w:rFonts w:hint="eastAsia" w:ascii="Times New Roman" w:eastAsia="仿宋"/>
                <w:szCs w:val="21"/>
                <w:lang w:val="zh-CN"/>
              </w:rPr>
              <w:t>未捕集工艺废气、</w:t>
            </w:r>
            <w:r>
              <w:rPr>
                <w:rFonts w:hint="eastAsia" w:ascii="Times New Roman" w:eastAsia="仿宋"/>
                <w:szCs w:val="21"/>
              </w:rPr>
              <w:t>焊接烟尘</w:t>
            </w:r>
          </w:p>
        </w:tc>
        <w:tc>
          <w:tcPr>
            <w:tcW w:w="1302" w:type="pct"/>
            <w:vAlign w:val="center"/>
          </w:tcPr>
          <w:p w14:paraId="58A83785">
            <w:pPr>
              <w:spacing w:line="360" w:lineRule="exact"/>
              <w:jc w:val="center"/>
              <w:rPr>
                <w:rFonts w:ascii="Times New Roman" w:eastAsia="仿宋"/>
                <w:szCs w:val="21"/>
                <w:lang w:val="zh-CN"/>
              </w:rPr>
            </w:pPr>
            <w:r>
              <w:rPr>
                <w:rFonts w:hint="eastAsia" w:ascii="Times New Roman" w:eastAsia="仿宋"/>
                <w:szCs w:val="21"/>
                <w:lang w:val="zh-CN"/>
              </w:rPr>
              <w:t>非甲烷总烃、颗粒物</w:t>
            </w:r>
          </w:p>
        </w:tc>
        <w:tc>
          <w:tcPr>
            <w:tcW w:w="1576" w:type="pct"/>
            <w:vAlign w:val="center"/>
          </w:tcPr>
          <w:p w14:paraId="58274BBE">
            <w:pPr>
              <w:spacing w:line="360" w:lineRule="exact"/>
              <w:jc w:val="center"/>
              <w:rPr>
                <w:rFonts w:ascii="Times New Roman" w:eastAsia="仿宋"/>
                <w:szCs w:val="21"/>
                <w:lang w:val="zh-CN"/>
              </w:rPr>
            </w:pPr>
            <w:r>
              <w:rPr>
                <w:rFonts w:hint="eastAsia" w:ascii="Times New Roman" w:eastAsia="仿宋"/>
                <w:szCs w:val="21"/>
                <w:lang w:val="zh-CN"/>
              </w:rPr>
              <w:t>车间无组织排放</w:t>
            </w:r>
          </w:p>
        </w:tc>
        <w:tc>
          <w:tcPr>
            <w:tcW w:w="536" w:type="pct"/>
            <w:vAlign w:val="center"/>
          </w:tcPr>
          <w:p w14:paraId="6E8F3046">
            <w:pPr>
              <w:spacing w:line="360" w:lineRule="exact"/>
              <w:jc w:val="center"/>
              <w:rPr>
                <w:rFonts w:ascii="Times New Roman" w:eastAsia="仿宋"/>
                <w:szCs w:val="21"/>
                <w:lang w:val="zh-CN"/>
              </w:rPr>
            </w:pPr>
            <w:r>
              <w:rPr>
                <w:rFonts w:hint="eastAsia" w:ascii="Times New Roman" w:eastAsia="仿宋"/>
                <w:szCs w:val="21"/>
                <w:lang w:val="zh-CN"/>
              </w:rPr>
              <w:t>/</w:t>
            </w:r>
          </w:p>
        </w:tc>
      </w:tr>
      <w:tr w14:paraId="1AE95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restart"/>
            <w:vAlign w:val="center"/>
          </w:tcPr>
          <w:p w14:paraId="2A11B0A4">
            <w:pPr>
              <w:spacing w:line="360" w:lineRule="exact"/>
              <w:jc w:val="center"/>
              <w:rPr>
                <w:rFonts w:ascii="Times New Roman" w:eastAsia="仿宋"/>
                <w:szCs w:val="21"/>
                <w:lang w:val="zh-CN"/>
              </w:rPr>
            </w:pPr>
            <w:r>
              <w:rPr>
                <w:rFonts w:hint="eastAsia" w:ascii="Times New Roman" w:eastAsia="仿宋"/>
                <w:szCs w:val="21"/>
                <w:lang w:val="zh-CN"/>
              </w:rPr>
              <w:t>废水</w:t>
            </w:r>
          </w:p>
        </w:tc>
        <w:tc>
          <w:tcPr>
            <w:tcW w:w="963" w:type="pct"/>
            <w:vAlign w:val="center"/>
          </w:tcPr>
          <w:p w14:paraId="18E29651">
            <w:pPr>
              <w:spacing w:line="360" w:lineRule="exact"/>
              <w:jc w:val="center"/>
              <w:rPr>
                <w:rFonts w:ascii="Times New Roman" w:eastAsia="仿宋"/>
                <w:szCs w:val="21"/>
                <w:lang w:val="zh-CN"/>
              </w:rPr>
            </w:pPr>
            <w:r>
              <w:rPr>
                <w:rFonts w:hint="eastAsia" w:ascii="Times New Roman" w:eastAsia="仿宋"/>
                <w:szCs w:val="21"/>
                <w:lang w:val="zh-CN"/>
              </w:rPr>
              <w:t>生产废水</w:t>
            </w:r>
          </w:p>
        </w:tc>
        <w:tc>
          <w:tcPr>
            <w:tcW w:w="1302" w:type="pct"/>
            <w:vAlign w:val="center"/>
          </w:tcPr>
          <w:p w14:paraId="7CE2C58F">
            <w:pPr>
              <w:spacing w:line="360" w:lineRule="exact"/>
              <w:jc w:val="center"/>
              <w:rPr>
                <w:rFonts w:ascii="Times New Roman" w:eastAsia="仿宋"/>
                <w:szCs w:val="21"/>
                <w:lang w:val="zh-CN"/>
              </w:rPr>
            </w:pPr>
            <w:r>
              <w:rPr>
                <w:rFonts w:hint="eastAsia" w:ascii="Times New Roman" w:eastAsia="仿宋"/>
                <w:szCs w:val="21"/>
                <w:lang w:val="zh-CN"/>
              </w:rPr>
              <w:t>pH、COD、SS、石油类</w:t>
            </w:r>
          </w:p>
        </w:tc>
        <w:tc>
          <w:tcPr>
            <w:tcW w:w="1576" w:type="pct"/>
            <w:vMerge w:val="restart"/>
            <w:vAlign w:val="center"/>
          </w:tcPr>
          <w:p w14:paraId="48277840">
            <w:pPr>
              <w:spacing w:line="360" w:lineRule="exact"/>
              <w:jc w:val="center"/>
              <w:rPr>
                <w:rFonts w:ascii="Times New Roman" w:eastAsia="仿宋"/>
                <w:szCs w:val="21"/>
                <w:lang w:val="zh-CN"/>
              </w:rPr>
            </w:pPr>
            <w:r>
              <w:rPr>
                <w:rFonts w:hint="eastAsia" w:ascii="Times New Roman" w:eastAsia="仿宋"/>
                <w:szCs w:val="21"/>
                <w:lang w:val="zh-CN"/>
              </w:rPr>
              <w:t>新增管线，</w:t>
            </w:r>
            <w:r>
              <w:rPr>
                <w:rFonts w:hint="eastAsia" w:ascii="Times New Roman" w:eastAsia="仿宋"/>
                <w:szCs w:val="21"/>
              </w:rPr>
              <w:t>新建</w:t>
            </w:r>
            <w:r>
              <w:rPr>
                <w:rFonts w:hint="eastAsia" w:ascii="Times New Roman" w:eastAsia="仿宋"/>
                <w:szCs w:val="21"/>
                <w:lang w:val="zh-CN"/>
              </w:rPr>
              <w:t>污水站处理后接入市政污水管网，接管进</w:t>
            </w:r>
            <w:r>
              <w:rPr>
                <w:rFonts w:hint="eastAsia" w:ascii="Times New Roman" w:eastAsia="仿宋"/>
                <w:szCs w:val="21"/>
              </w:rPr>
              <w:t>直溪</w:t>
            </w:r>
            <w:r>
              <w:rPr>
                <w:rFonts w:hint="eastAsia" w:ascii="Times New Roman" w:eastAsia="仿宋"/>
                <w:szCs w:val="21"/>
                <w:lang w:val="zh-CN"/>
              </w:rPr>
              <w:t>污水处理厂集中处理</w:t>
            </w:r>
          </w:p>
        </w:tc>
        <w:tc>
          <w:tcPr>
            <w:tcW w:w="536" w:type="pct"/>
            <w:vMerge w:val="restart"/>
            <w:vAlign w:val="center"/>
          </w:tcPr>
          <w:p w14:paraId="4DF3A2D9">
            <w:pPr>
              <w:spacing w:line="360" w:lineRule="exact"/>
              <w:jc w:val="center"/>
              <w:rPr>
                <w:rFonts w:ascii="Times New Roman" w:eastAsia="仿宋"/>
                <w:szCs w:val="21"/>
                <w:lang w:val="zh-CN"/>
              </w:rPr>
            </w:pPr>
            <w:r>
              <w:rPr>
                <w:rFonts w:hint="eastAsia" w:ascii="Times New Roman" w:eastAsia="仿宋"/>
                <w:szCs w:val="21"/>
              </w:rPr>
              <w:t>1</w:t>
            </w:r>
            <w:r>
              <w:rPr>
                <w:rFonts w:hint="eastAsia" w:ascii="Times New Roman" w:eastAsia="仿宋"/>
                <w:szCs w:val="21"/>
                <w:lang w:val="zh-CN"/>
              </w:rPr>
              <w:t>00</w:t>
            </w:r>
          </w:p>
        </w:tc>
      </w:tr>
      <w:tr w14:paraId="0FE29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416EC160">
            <w:pPr>
              <w:spacing w:line="360" w:lineRule="exact"/>
              <w:jc w:val="center"/>
              <w:rPr>
                <w:rFonts w:ascii="Times New Roman" w:eastAsia="仿宋"/>
                <w:szCs w:val="21"/>
                <w:lang w:val="zh-CN"/>
              </w:rPr>
            </w:pPr>
          </w:p>
        </w:tc>
        <w:tc>
          <w:tcPr>
            <w:tcW w:w="963" w:type="pct"/>
            <w:vAlign w:val="center"/>
          </w:tcPr>
          <w:p w14:paraId="3B8BA0D7">
            <w:pPr>
              <w:spacing w:line="360" w:lineRule="exact"/>
              <w:jc w:val="center"/>
              <w:rPr>
                <w:rFonts w:ascii="Times New Roman" w:eastAsia="仿宋"/>
                <w:szCs w:val="21"/>
                <w:lang w:val="zh-CN"/>
              </w:rPr>
            </w:pPr>
            <w:r>
              <w:rPr>
                <w:rFonts w:hint="eastAsia" w:ascii="Times New Roman" w:eastAsia="仿宋"/>
                <w:szCs w:val="21"/>
                <w:lang w:val="zh-CN"/>
              </w:rPr>
              <w:t>生活污水</w:t>
            </w:r>
          </w:p>
        </w:tc>
        <w:tc>
          <w:tcPr>
            <w:tcW w:w="1302" w:type="pct"/>
            <w:vAlign w:val="center"/>
          </w:tcPr>
          <w:p w14:paraId="043A33A3">
            <w:pPr>
              <w:spacing w:line="360" w:lineRule="exact"/>
              <w:jc w:val="center"/>
              <w:rPr>
                <w:rFonts w:ascii="Times New Roman" w:eastAsia="仿宋"/>
                <w:szCs w:val="21"/>
                <w:lang w:val="zh-CN"/>
              </w:rPr>
            </w:pPr>
            <w:r>
              <w:rPr>
                <w:rFonts w:hint="eastAsia" w:ascii="Times New Roman" w:eastAsia="仿宋"/>
                <w:szCs w:val="21"/>
                <w:lang w:val="zh-CN"/>
              </w:rPr>
              <w:t>COD、SS、NH</w:t>
            </w:r>
            <w:r>
              <w:rPr>
                <w:rFonts w:hint="eastAsia" w:ascii="Times New Roman" w:eastAsia="仿宋"/>
                <w:szCs w:val="21"/>
                <w:vertAlign w:val="subscript"/>
                <w:lang w:val="zh-CN"/>
              </w:rPr>
              <w:t>3</w:t>
            </w:r>
            <w:r>
              <w:rPr>
                <w:rFonts w:hint="eastAsia" w:ascii="Times New Roman" w:eastAsia="仿宋"/>
                <w:szCs w:val="21"/>
                <w:lang w:val="zh-CN"/>
              </w:rPr>
              <w:t>-N、TP、TN、动植物油</w:t>
            </w:r>
          </w:p>
        </w:tc>
        <w:tc>
          <w:tcPr>
            <w:tcW w:w="1576" w:type="pct"/>
            <w:vMerge w:val="continue"/>
            <w:vAlign w:val="center"/>
          </w:tcPr>
          <w:p w14:paraId="381A1359">
            <w:pPr>
              <w:spacing w:line="360" w:lineRule="exact"/>
              <w:jc w:val="center"/>
              <w:rPr>
                <w:rFonts w:ascii="Times New Roman" w:eastAsia="仿宋"/>
                <w:szCs w:val="21"/>
                <w:lang w:val="zh-CN"/>
              </w:rPr>
            </w:pPr>
          </w:p>
        </w:tc>
        <w:tc>
          <w:tcPr>
            <w:tcW w:w="536" w:type="pct"/>
            <w:vMerge w:val="continue"/>
            <w:vAlign w:val="center"/>
          </w:tcPr>
          <w:p w14:paraId="519BD4F4">
            <w:pPr>
              <w:spacing w:line="360" w:lineRule="exact"/>
              <w:jc w:val="center"/>
              <w:rPr>
                <w:rFonts w:ascii="Times New Roman" w:eastAsia="仿宋"/>
                <w:szCs w:val="21"/>
                <w:lang w:val="zh-CN"/>
              </w:rPr>
            </w:pPr>
          </w:p>
        </w:tc>
      </w:tr>
      <w:tr w14:paraId="19A6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restart"/>
            <w:vAlign w:val="center"/>
          </w:tcPr>
          <w:p w14:paraId="74C00AAD">
            <w:pPr>
              <w:spacing w:line="360" w:lineRule="exact"/>
              <w:jc w:val="center"/>
              <w:rPr>
                <w:rFonts w:ascii="Times New Roman" w:eastAsia="仿宋"/>
                <w:szCs w:val="21"/>
                <w:lang w:val="zh-CN"/>
              </w:rPr>
            </w:pPr>
            <w:r>
              <w:rPr>
                <w:rFonts w:hint="eastAsia" w:ascii="Times New Roman" w:eastAsia="仿宋"/>
                <w:szCs w:val="21"/>
                <w:lang w:val="zh-CN"/>
              </w:rPr>
              <w:t>固废</w:t>
            </w:r>
          </w:p>
        </w:tc>
        <w:tc>
          <w:tcPr>
            <w:tcW w:w="963" w:type="pct"/>
            <w:vAlign w:val="center"/>
          </w:tcPr>
          <w:p w14:paraId="5E02B5A3">
            <w:pPr>
              <w:spacing w:line="360" w:lineRule="exact"/>
              <w:jc w:val="center"/>
              <w:rPr>
                <w:rFonts w:ascii="Times New Roman" w:eastAsia="仿宋"/>
                <w:szCs w:val="21"/>
                <w:lang w:val="zh-CN"/>
              </w:rPr>
            </w:pPr>
            <w:r>
              <w:rPr>
                <w:rFonts w:hint="eastAsia" w:ascii="Times New Roman" w:eastAsia="仿宋"/>
                <w:szCs w:val="21"/>
                <w:lang w:val="zh-CN"/>
              </w:rPr>
              <w:t>危险废物</w:t>
            </w:r>
          </w:p>
        </w:tc>
        <w:tc>
          <w:tcPr>
            <w:tcW w:w="2878" w:type="pct"/>
            <w:gridSpan w:val="2"/>
            <w:vAlign w:val="center"/>
          </w:tcPr>
          <w:p w14:paraId="26ACCDB9">
            <w:pPr>
              <w:spacing w:line="360" w:lineRule="exact"/>
              <w:jc w:val="center"/>
              <w:rPr>
                <w:rFonts w:ascii="Times New Roman" w:eastAsia="仿宋"/>
                <w:szCs w:val="21"/>
                <w:lang w:val="zh-CN"/>
              </w:rPr>
            </w:pPr>
            <w:r>
              <w:rPr>
                <w:rFonts w:hint="eastAsia" w:ascii="Times New Roman" w:eastAsia="仿宋"/>
                <w:szCs w:val="21"/>
              </w:rPr>
              <w:t>新建</w:t>
            </w:r>
            <w:r>
              <w:rPr>
                <w:rFonts w:hint="eastAsia" w:ascii="Times New Roman" w:eastAsia="仿宋"/>
                <w:szCs w:val="21"/>
                <w:lang w:val="zh-CN"/>
              </w:rPr>
              <w:t>1座</w:t>
            </w:r>
            <w:r>
              <w:rPr>
                <w:rFonts w:hint="eastAsia" w:ascii="Times New Roman" w:eastAsia="仿宋"/>
                <w:szCs w:val="21"/>
              </w:rPr>
              <w:t>80</w:t>
            </w:r>
            <w:r>
              <w:rPr>
                <w:rFonts w:hint="eastAsia" w:ascii="Times New Roman" w:eastAsia="仿宋"/>
                <w:szCs w:val="21"/>
                <w:lang w:val="zh-CN"/>
              </w:rPr>
              <w:t>m</w:t>
            </w:r>
            <w:r>
              <w:rPr>
                <w:rFonts w:hint="eastAsia" w:ascii="Times New Roman" w:eastAsia="仿宋"/>
                <w:szCs w:val="21"/>
                <w:vertAlign w:val="superscript"/>
                <w:lang w:val="zh-CN"/>
              </w:rPr>
              <w:t>2</w:t>
            </w:r>
            <w:r>
              <w:rPr>
                <w:rFonts w:hint="eastAsia" w:ascii="Times New Roman" w:eastAsia="仿宋"/>
                <w:szCs w:val="21"/>
                <w:lang w:val="zh-CN"/>
              </w:rPr>
              <w:t>危废仓库，分类收集暂存，委托有资质单位处置</w:t>
            </w:r>
          </w:p>
        </w:tc>
        <w:tc>
          <w:tcPr>
            <w:tcW w:w="536" w:type="pct"/>
            <w:vMerge w:val="restart"/>
            <w:vAlign w:val="center"/>
          </w:tcPr>
          <w:p w14:paraId="0EBD07B2">
            <w:pPr>
              <w:spacing w:line="360" w:lineRule="exact"/>
              <w:jc w:val="center"/>
              <w:rPr>
                <w:rFonts w:ascii="Times New Roman" w:eastAsia="仿宋"/>
                <w:szCs w:val="21"/>
                <w:lang w:val="zh-CN"/>
              </w:rPr>
            </w:pPr>
            <w:r>
              <w:rPr>
                <w:rFonts w:hint="eastAsia" w:ascii="Times New Roman" w:eastAsia="仿宋"/>
                <w:szCs w:val="21"/>
              </w:rPr>
              <w:t>2</w:t>
            </w:r>
            <w:r>
              <w:rPr>
                <w:rFonts w:hint="eastAsia" w:ascii="Times New Roman" w:eastAsia="仿宋"/>
                <w:szCs w:val="21"/>
                <w:lang w:val="zh-CN"/>
              </w:rPr>
              <w:t>0</w:t>
            </w:r>
          </w:p>
        </w:tc>
      </w:tr>
      <w:tr w14:paraId="4B7D4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47F805A7">
            <w:pPr>
              <w:spacing w:line="360" w:lineRule="exact"/>
              <w:jc w:val="center"/>
              <w:rPr>
                <w:rFonts w:ascii="Times New Roman" w:eastAsia="仿宋"/>
                <w:szCs w:val="21"/>
                <w:lang w:val="zh-CN"/>
              </w:rPr>
            </w:pPr>
          </w:p>
        </w:tc>
        <w:tc>
          <w:tcPr>
            <w:tcW w:w="963" w:type="pct"/>
            <w:vAlign w:val="center"/>
          </w:tcPr>
          <w:p w14:paraId="0A6DFBCF">
            <w:pPr>
              <w:spacing w:line="360" w:lineRule="exact"/>
              <w:jc w:val="center"/>
              <w:rPr>
                <w:rFonts w:ascii="Times New Roman" w:eastAsia="仿宋"/>
                <w:szCs w:val="21"/>
                <w:lang w:val="zh-CN"/>
              </w:rPr>
            </w:pPr>
            <w:r>
              <w:rPr>
                <w:rFonts w:hint="eastAsia" w:ascii="Times New Roman" w:eastAsia="仿宋"/>
                <w:szCs w:val="21"/>
                <w:lang w:val="zh-CN"/>
              </w:rPr>
              <w:t>一般固废</w:t>
            </w:r>
          </w:p>
        </w:tc>
        <w:tc>
          <w:tcPr>
            <w:tcW w:w="2878" w:type="pct"/>
            <w:gridSpan w:val="2"/>
            <w:vAlign w:val="center"/>
          </w:tcPr>
          <w:p w14:paraId="5CBE02E5">
            <w:pPr>
              <w:spacing w:line="360" w:lineRule="exact"/>
              <w:jc w:val="center"/>
              <w:rPr>
                <w:rFonts w:ascii="Times New Roman" w:eastAsia="仿宋"/>
                <w:szCs w:val="21"/>
                <w:lang w:val="zh-CN"/>
              </w:rPr>
            </w:pPr>
            <w:r>
              <w:rPr>
                <w:rFonts w:hint="eastAsia" w:ascii="Times New Roman" w:eastAsia="仿宋"/>
                <w:szCs w:val="21"/>
              </w:rPr>
              <w:t>新建</w:t>
            </w:r>
            <w:r>
              <w:rPr>
                <w:rFonts w:hint="eastAsia" w:ascii="Times New Roman" w:eastAsia="仿宋"/>
                <w:szCs w:val="21"/>
                <w:lang w:val="zh-CN"/>
              </w:rPr>
              <w:t>1座</w:t>
            </w:r>
            <w:r>
              <w:rPr>
                <w:rFonts w:hint="eastAsia" w:ascii="Times New Roman" w:eastAsia="仿宋"/>
                <w:szCs w:val="21"/>
              </w:rPr>
              <w:t>4</w:t>
            </w:r>
            <w:r>
              <w:rPr>
                <w:rFonts w:hint="eastAsia" w:ascii="Times New Roman" w:eastAsia="仿宋"/>
                <w:szCs w:val="21"/>
                <w:lang w:val="zh-CN"/>
              </w:rPr>
              <w:t>0m</w:t>
            </w:r>
            <w:r>
              <w:rPr>
                <w:rFonts w:hint="eastAsia" w:ascii="Times New Roman" w:eastAsia="仿宋"/>
                <w:szCs w:val="21"/>
                <w:vertAlign w:val="superscript"/>
                <w:lang w:val="zh-CN"/>
              </w:rPr>
              <w:t>2</w:t>
            </w:r>
            <w:r>
              <w:rPr>
                <w:rFonts w:hint="eastAsia" w:ascii="Times New Roman" w:eastAsia="仿宋"/>
                <w:szCs w:val="21"/>
                <w:lang w:val="zh-CN"/>
              </w:rPr>
              <w:t>一般固废仓库，外售综合处置</w:t>
            </w:r>
          </w:p>
        </w:tc>
        <w:tc>
          <w:tcPr>
            <w:tcW w:w="536" w:type="pct"/>
            <w:vMerge w:val="continue"/>
            <w:vAlign w:val="center"/>
          </w:tcPr>
          <w:p w14:paraId="5FCB3E78">
            <w:pPr>
              <w:spacing w:line="360" w:lineRule="exact"/>
              <w:jc w:val="center"/>
              <w:rPr>
                <w:rFonts w:ascii="Times New Roman" w:eastAsia="仿宋"/>
                <w:szCs w:val="21"/>
                <w:lang w:val="zh-CN"/>
              </w:rPr>
            </w:pPr>
          </w:p>
        </w:tc>
      </w:tr>
      <w:tr w14:paraId="7702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3468AB73">
            <w:pPr>
              <w:spacing w:line="360" w:lineRule="exact"/>
              <w:jc w:val="center"/>
              <w:rPr>
                <w:rFonts w:ascii="Times New Roman" w:eastAsia="仿宋"/>
                <w:szCs w:val="21"/>
                <w:lang w:val="zh-CN"/>
              </w:rPr>
            </w:pPr>
          </w:p>
        </w:tc>
        <w:tc>
          <w:tcPr>
            <w:tcW w:w="963" w:type="pct"/>
            <w:vAlign w:val="center"/>
          </w:tcPr>
          <w:p w14:paraId="48758E62">
            <w:pPr>
              <w:spacing w:line="360" w:lineRule="exact"/>
              <w:jc w:val="center"/>
              <w:rPr>
                <w:rFonts w:ascii="Times New Roman" w:eastAsia="仿宋"/>
                <w:szCs w:val="21"/>
                <w:lang w:val="zh-CN"/>
              </w:rPr>
            </w:pPr>
            <w:r>
              <w:rPr>
                <w:rFonts w:hint="eastAsia" w:ascii="Times New Roman" w:eastAsia="仿宋"/>
                <w:szCs w:val="21"/>
                <w:lang w:val="zh-CN"/>
              </w:rPr>
              <w:t>生活垃圾</w:t>
            </w:r>
          </w:p>
        </w:tc>
        <w:tc>
          <w:tcPr>
            <w:tcW w:w="2878" w:type="pct"/>
            <w:gridSpan w:val="2"/>
            <w:vAlign w:val="center"/>
          </w:tcPr>
          <w:p w14:paraId="6E0654D3">
            <w:pPr>
              <w:spacing w:line="360" w:lineRule="exact"/>
              <w:jc w:val="center"/>
              <w:rPr>
                <w:rFonts w:ascii="Times New Roman" w:eastAsia="仿宋"/>
                <w:szCs w:val="21"/>
                <w:lang w:val="zh-CN"/>
              </w:rPr>
            </w:pPr>
            <w:r>
              <w:rPr>
                <w:rFonts w:hint="eastAsia" w:ascii="Times New Roman" w:eastAsia="仿宋"/>
                <w:szCs w:val="21"/>
                <w:lang w:val="zh-CN"/>
              </w:rPr>
              <w:t>由环卫部门收集</w:t>
            </w:r>
          </w:p>
        </w:tc>
        <w:tc>
          <w:tcPr>
            <w:tcW w:w="536" w:type="pct"/>
            <w:vMerge w:val="continue"/>
            <w:vAlign w:val="center"/>
          </w:tcPr>
          <w:p w14:paraId="1365812D">
            <w:pPr>
              <w:spacing w:line="360" w:lineRule="exact"/>
              <w:jc w:val="center"/>
              <w:rPr>
                <w:rFonts w:ascii="Times New Roman" w:eastAsia="仿宋"/>
                <w:szCs w:val="21"/>
                <w:lang w:val="zh-CN"/>
              </w:rPr>
            </w:pPr>
          </w:p>
        </w:tc>
      </w:tr>
      <w:tr w14:paraId="186A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Align w:val="center"/>
          </w:tcPr>
          <w:p w14:paraId="4A176E69">
            <w:pPr>
              <w:spacing w:line="360" w:lineRule="exact"/>
              <w:jc w:val="center"/>
              <w:rPr>
                <w:rFonts w:ascii="Times New Roman" w:eastAsia="仿宋"/>
                <w:szCs w:val="21"/>
                <w:lang w:val="zh-CN"/>
              </w:rPr>
            </w:pPr>
            <w:r>
              <w:rPr>
                <w:rFonts w:hint="eastAsia" w:ascii="Times New Roman" w:eastAsia="仿宋"/>
                <w:szCs w:val="21"/>
                <w:lang w:val="zh-CN"/>
              </w:rPr>
              <w:t>噪声</w:t>
            </w:r>
          </w:p>
        </w:tc>
        <w:tc>
          <w:tcPr>
            <w:tcW w:w="963" w:type="pct"/>
            <w:vAlign w:val="center"/>
          </w:tcPr>
          <w:p w14:paraId="13D912FF">
            <w:pPr>
              <w:spacing w:line="360" w:lineRule="exact"/>
              <w:jc w:val="center"/>
              <w:rPr>
                <w:rFonts w:ascii="Times New Roman" w:eastAsia="仿宋"/>
                <w:szCs w:val="21"/>
                <w:lang w:val="zh-CN"/>
              </w:rPr>
            </w:pPr>
            <w:r>
              <w:rPr>
                <w:rFonts w:hint="eastAsia" w:ascii="Times New Roman" w:eastAsia="仿宋"/>
                <w:szCs w:val="21"/>
                <w:lang w:val="zh-CN"/>
              </w:rPr>
              <w:t>生产设备、废气处理设施风机等</w:t>
            </w:r>
          </w:p>
        </w:tc>
        <w:tc>
          <w:tcPr>
            <w:tcW w:w="1302" w:type="pct"/>
            <w:vAlign w:val="center"/>
          </w:tcPr>
          <w:p w14:paraId="7BF96F8B">
            <w:pPr>
              <w:spacing w:line="360" w:lineRule="exact"/>
              <w:jc w:val="center"/>
              <w:rPr>
                <w:rFonts w:ascii="Times New Roman" w:eastAsia="仿宋"/>
                <w:szCs w:val="21"/>
                <w:lang w:val="zh-CN"/>
              </w:rPr>
            </w:pPr>
            <w:r>
              <w:rPr>
                <w:rFonts w:hint="eastAsia" w:ascii="Times New Roman" w:eastAsia="仿宋"/>
                <w:szCs w:val="21"/>
                <w:lang w:val="zh-CN"/>
              </w:rPr>
              <w:t>等效连续A声级(Leq)</w:t>
            </w:r>
          </w:p>
        </w:tc>
        <w:tc>
          <w:tcPr>
            <w:tcW w:w="1576" w:type="pct"/>
            <w:vAlign w:val="center"/>
          </w:tcPr>
          <w:p w14:paraId="6AD7ADA3">
            <w:pPr>
              <w:spacing w:line="360" w:lineRule="exact"/>
              <w:jc w:val="center"/>
              <w:rPr>
                <w:rFonts w:ascii="Times New Roman" w:eastAsia="仿宋"/>
                <w:szCs w:val="21"/>
                <w:lang w:val="zh-CN"/>
              </w:rPr>
            </w:pPr>
            <w:r>
              <w:rPr>
                <w:rFonts w:hint="eastAsia" w:ascii="Times New Roman" w:eastAsia="仿宋"/>
                <w:szCs w:val="21"/>
                <w:lang w:val="zh-CN"/>
              </w:rPr>
              <w:t>选用低噪声设备、消音减振、厂房隔声等</w:t>
            </w:r>
          </w:p>
        </w:tc>
        <w:tc>
          <w:tcPr>
            <w:tcW w:w="536" w:type="pct"/>
            <w:vAlign w:val="center"/>
          </w:tcPr>
          <w:p w14:paraId="3089BB15">
            <w:pPr>
              <w:spacing w:line="360" w:lineRule="exact"/>
              <w:jc w:val="center"/>
              <w:rPr>
                <w:rFonts w:ascii="Times New Roman" w:eastAsia="仿宋"/>
                <w:szCs w:val="21"/>
                <w:lang w:val="zh-CN"/>
              </w:rPr>
            </w:pPr>
            <w:r>
              <w:rPr>
                <w:rFonts w:hint="eastAsia" w:ascii="Times New Roman" w:eastAsia="仿宋"/>
                <w:szCs w:val="21"/>
                <w:lang w:val="zh-CN"/>
              </w:rPr>
              <w:t>1</w:t>
            </w:r>
            <w:r>
              <w:rPr>
                <w:rFonts w:hint="eastAsia" w:ascii="Times New Roman" w:eastAsia="仿宋"/>
                <w:szCs w:val="21"/>
              </w:rPr>
              <w:t>5</w:t>
            </w:r>
          </w:p>
        </w:tc>
      </w:tr>
      <w:tr w14:paraId="6A793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restart"/>
            <w:vAlign w:val="center"/>
          </w:tcPr>
          <w:p w14:paraId="5A44977F">
            <w:pPr>
              <w:spacing w:line="360" w:lineRule="exact"/>
              <w:jc w:val="center"/>
              <w:rPr>
                <w:rFonts w:ascii="Times New Roman" w:eastAsia="仿宋"/>
                <w:szCs w:val="21"/>
                <w:lang w:val="zh-CN"/>
              </w:rPr>
            </w:pPr>
            <w:r>
              <w:rPr>
                <w:rFonts w:hint="eastAsia" w:ascii="Times New Roman" w:eastAsia="仿宋"/>
                <w:szCs w:val="21"/>
                <w:lang w:val="zh-CN"/>
              </w:rPr>
              <w:t>地下水、土壤污染</w:t>
            </w:r>
          </w:p>
        </w:tc>
        <w:tc>
          <w:tcPr>
            <w:tcW w:w="3840" w:type="pct"/>
            <w:gridSpan w:val="3"/>
            <w:vAlign w:val="center"/>
          </w:tcPr>
          <w:p w14:paraId="26844A50">
            <w:pPr>
              <w:spacing w:line="360" w:lineRule="exact"/>
              <w:jc w:val="center"/>
              <w:rPr>
                <w:rFonts w:ascii="Times New Roman" w:eastAsia="仿宋"/>
                <w:szCs w:val="21"/>
                <w:lang w:val="zh-CN"/>
              </w:rPr>
            </w:pPr>
            <w:r>
              <w:rPr>
                <w:rFonts w:hint="eastAsia" w:ascii="Times New Roman" w:eastAsia="仿宋"/>
                <w:szCs w:val="21"/>
                <w:lang w:val="zh-CN"/>
              </w:rPr>
              <w:t>新增</w:t>
            </w:r>
            <w:r>
              <w:rPr>
                <w:rFonts w:hint="eastAsia" w:ascii="Times New Roman" w:eastAsia="仿宋"/>
                <w:szCs w:val="21"/>
              </w:rPr>
              <w:t>喷涂区、表面处理区</w:t>
            </w:r>
            <w:r>
              <w:rPr>
                <w:rFonts w:hint="eastAsia" w:ascii="Times New Roman" w:eastAsia="仿宋"/>
                <w:szCs w:val="21"/>
                <w:lang w:val="zh-CN"/>
              </w:rPr>
              <w:t>采取重点防渗措施，等效黏土防渗层Mb≥6.0m，K≤1×10</w:t>
            </w:r>
            <w:r>
              <w:rPr>
                <w:rFonts w:hint="eastAsia" w:ascii="Times New Roman" w:eastAsia="仿宋"/>
                <w:szCs w:val="21"/>
                <w:vertAlign w:val="superscript"/>
                <w:lang w:val="zh-CN"/>
              </w:rPr>
              <w:t>-7</w:t>
            </w:r>
            <w:r>
              <w:rPr>
                <w:rFonts w:hint="eastAsia" w:ascii="Times New Roman" w:eastAsia="仿宋"/>
                <w:szCs w:val="21"/>
                <w:lang w:val="zh-CN"/>
              </w:rPr>
              <w:t>cm/s，危险品库、废水处理设施、危废仓库、事故应急池等</w:t>
            </w:r>
            <w:r>
              <w:rPr>
                <w:rFonts w:hint="eastAsia" w:ascii="Times New Roman" w:eastAsia="仿宋"/>
                <w:szCs w:val="21"/>
              </w:rPr>
              <w:t>新增</w:t>
            </w:r>
            <w:r>
              <w:rPr>
                <w:rFonts w:hint="eastAsia" w:ascii="Times New Roman" w:eastAsia="仿宋"/>
                <w:szCs w:val="21"/>
                <w:lang w:val="zh-CN"/>
              </w:rPr>
              <w:t>防渗漏措施</w:t>
            </w:r>
          </w:p>
        </w:tc>
        <w:tc>
          <w:tcPr>
            <w:tcW w:w="536" w:type="pct"/>
            <w:vMerge w:val="restart"/>
            <w:vAlign w:val="center"/>
          </w:tcPr>
          <w:p w14:paraId="367324D7">
            <w:pPr>
              <w:spacing w:line="360" w:lineRule="exact"/>
              <w:jc w:val="center"/>
              <w:rPr>
                <w:rFonts w:ascii="Times New Roman" w:eastAsia="仿宋"/>
                <w:szCs w:val="21"/>
                <w:lang w:val="zh-CN"/>
              </w:rPr>
            </w:pPr>
            <w:r>
              <w:rPr>
                <w:rFonts w:hint="eastAsia" w:ascii="Times New Roman" w:eastAsia="仿宋"/>
                <w:szCs w:val="21"/>
                <w:lang w:val="zh-CN"/>
              </w:rPr>
              <w:t>10</w:t>
            </w:r>
          </w:p>
        </w:tc>
      </w:tr>
      <w:tr w14:paraId="511A0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2A8B531F">
            <w:pPr>
              <w:spacing w:line="360" w:lineRule="exact"/>
              <w:jc w:val="center"/>
              <w:rPr>
                <w:rFonts w:ascii="Times New Roman" w:eastAsia="仿宋"/>
                <w:szCs w:val="21"/>
                <w:lang w:val="zh-CN"/>
              </w:rPr>
            </w:pPr>
          </w:p>
        </w:tc>
        <w:tc>
          <w:tcPr>
            <w:tcW w:w="3840" w:type="pct"/>
            <w:gridSpan w:val="3"/>
            <w:vAlign w:val="center"/>
          </w:tcPr>
          <w:p w14:paraId="54089EDC">
            <w:pPr>
              <w:spacing w:line="360" w:lineRule="exact"/>
              <w:rPr>
                <w:rFonts w:ascii="Times New Roman" w:eastAsia="仿宋"/>
                <w:szCs w:val="21"/>
                <w:lang w:val="zh-CN"/>
              </w:rPr>
            </w:pPr>
            <w:r>
              <w:rPr>
                <w:rFonts w:hint="eastAsia" w:ascii="Times New Roman" w:eastAsia="仿宋"/>
                <w:szCs w:val="21"/>
              </w:rPr>
              <w:t>机加工</w:t>
            </w:r>
            <w:r>
              <w:rPr>
                <w:rFonts w:hint="eastAsia" w:ascii="Times New Roman" w:eastAsia="仿宋"/>
                <w:szCs w:val="21"/>
                <w:lang w:val="zh-CN"/>
              </w:rPr>
              <w:t>区采取一般防渗措施，等效黏土防渗层Mb≥1.5m，K≤1×10</w:t>
            </w:r>
            <w:r>
              <w:rPr>
                <w:rFonts w:hint="eastAsia" w:ascii="Times New Roman" w:eastAsia="仿宋"/>
                <w:szCs w:val="21"/>
                <w:vertAlign w:val="superscript"/>
                <w:lang w:val="zh-CN"/>
              </w:rPr>
              <w:t>-7</w:t>
            </w:r>
            <w:r>
              <w:rPr>
                <w:rFonts w:hint="eastAsia" w:ascii="Times New Roman" w:eastAsia="仿宋"/>
                <w:szCs w:val="21"/>
                <w:lang w:val="zh-CN"/>
              </w:rPr>
              <w:t>cm/s，原辅料仓库、一般固废仓库等依托现有防渗漏措施</w:t>
            </w:r>
          </w:p>
        </w:tc>
        <w:tc>
          <w:tcPr>
            <w:tcW w:w="536" w:type="pct"/>
            <w:vMerge w:val="continue"/>
            <w:vAlign w:val="center"/>
          </w:tcPr>
          <w:p w14:paraId="1902B664">
            <w:pPr>
              <w:spacing w:line="360" w:lineRule="exact"/>
              <w:jc w:val="center"/>
              <w:rPr>
                <w:rFonts w:ascii="Times New Roman" w:eastAsia="仿宋"/>
                <w:szCs w:val="21"/>
                <w:lang w:val="zh-CN"/>
              </w:rPr>
            </w:pPr>
          </w:p>
        </w:tc>
      </w:tr>
      <w:tr w14:paraId="268DF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Align w:val="center"/>
          </w:tcPr>
          <w:p w14:paraId="30F7841E">
            <w:pPr>
              <w:spacing w:line="360" w:lineRule="exact"/>
              <w:jc w:val="center"/>
              <w:rPr>
                <w:rFonts w:ascii="Times New Roman" w:eastAsia="仿宋"/>
                <w:szCs w:val="21"/>
                <w:lang w:val="zh-CN"/>
              </w:rPr>
            </w:pPr>
            <w:r>
              <w:rPr>
                <w:rFonts w:hint="eastAsia" w:ascii="Times New Roman" w:eastAsia="仿宋"/>
                <w:szCs w:val="21"/>
                <w:lang w:val="zh-CN"/>
              </w:rPr>
              <w:t>环境管理</w:t>
            </w:r>
          </w:p>
        </w:tc>
        <w:tc>
          <w:tcPr>
            <w:tcW w:w="3840" w:type="pct"/>
            <w:gridSpan w:val="3"/>
            <w:vAlign w:val="center"/>
          </w:tcPr>
          <w:p w14:paraId="2D564A4F">
            <w:pPr>
              <w:spacing w:line="360" w:lineRule="exact"/>
              <w:jc w:val="center"/>
              <w:rPr>
                <w:rFonts w:ascii="Times New Roman" w:eastAsia="仿宋"/>
                <w:szCs w:val="21"/>
                <w:lang w:val="zh-CN"/>
              </w:rPr>
            </w:pPr>
            <w:r>
              <w:rPr>
                <w:rFonts w:hint="eastAsia" w:ascii="Times New Roman" w:eastAsia="仿宋"/>
                <w:szCs w:val="21"/>
                <w:lang w:val="zh-CN"/>
              </w:rPr>
              <w:t>制定环境管理制度，委托专业监测机构开展日常环境监测工作，检查监督环保设施的运行、维修和管理情况，开展职工的环保知识教育和组织培训</w:t>
            </w:r>
          </w:p>
        </w:tc>
        <w:tc>
          <w:tcPr>
            <w:tcW w:w="536" w:type="pct"/>
            <w:vAlign w:val="center"/>
          </w:tcPr>
          <w:p w14:paraId="10F19431">
            <w:pPr>
              <w:spacing w:line="360" w:lineRule="exact"/>
              <w:jc w:val="center"/>
              <w:rPr>
                <w:rFonts w:ascii="Times New Roman" w:eastAsia="仿宋"/>
                <w:szCs w:val="21"/>
                <w:lang w:val="zh-CN"/>
              </w:rPr>
            </w:pPr>
            <w:r>
              <w:rPr>
                <w:rFonts w:hint="eastAsia" w:ascii="Times New Roman" w:eastAsia="仿宋"/>
                <w:szCs w:val="21"/>
                <w:lang w:val="zh-CN"/>
              </w:rPr>
              <w:t>10</w:t>
            </w:r>
          </w:p>
        </w:tc>
      </w:tr>
      <w:tr w14:paraId="7023B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Align w:val="center"/>
          </w:tcPr>
          <w:p w14:paraId="32E66087">
            <w:pPr>
              <w:spacing w:line="360" w:lineRule="exact"/>
              <w:jc w:val="center"/>
              <w:rPr>
                <w:rFonts w:ascii="Times New Roman" w:eastAsia="仿宋"/>
                <w:szCs w:val="21"/>
                <w:lang w:val="zh-CN"/>
              </w:rPr>
            </w:pPr>
            <w:r>
              <w:rPr>
                <w:rFonts w:hint="eastAsia" w:ascii="Times New Roman" w:eastAsia="仿宋"/>
                <w:szCs w:val="21"/>
                <w:lang w:val="zh-CN"/>
              </w:rPr>
              <w:t>清污分流、排污口规范化设置</w:t>
            </w:r>
          </w:p>
        </w:tc>
        <w:tc>
          <w:tcPr>
            <w:tcW w:w="3840" w:type="pct"/>
            <w:gridSpan w:val="3"/>
            <w:vAlign w:val="center"/>
          </w:tcPr>
          <w:p w14:paraId="29298F66">
            <w:pPr>
              <w:spacing w:line="360" w:lineRule="exact"/>
              <w:jc w:val="center"/>
              <w:rPr>
                <w:rFonts w:ascii="Times New Roman" w:eastAsia="仿宋"/>
                <w:szCs w:val="21"/>
                <w:lang w:val="zh-CN"/>
              </w:rPr>
            </w:pPr>
            <w:r>
              <w:rPr>
                <w:rFonts w:hint="eastAsia" w:ascii="Times New Roman" w:eastAsia="仿宋"/>
                <w:szCs w:val="21"/>
                <w:lang w:val="zh-CN"/>
              </w:rPr>
              <w:t>依托</w:t>
            </w:r>
            <w:r>
              <w:rPr>
                <w:rFonts w:hint="eastAsia" w:ascii="Times New Roman" w:eastAsia="仿宋"/>
                <w:szCs w:val="21"/>
              </w:rPr>
              <w:t>1</w:t>
            </w:r>
            <w:r>
              <w:rPr>
                <w:rFonts w:hint="eastAsia" w:ascii="Times New Roman" w:eastAsia="仿宋"/>
                <w:szCs w:val="21"/>
                <w:lang w:val="zh-CN"/>
              </w:rPr>
              <w:t>个雨水排放口、1个污水接管口、1处危废仓库、1处一般固废仓库，新建</w:t>
            </w:r>
            <w:r>
              <w:rPr>
                <w:rFonts w:hint="eastAsia" w:ascii="Times New Roman" w:eastAsia="仿宋"/>
                <w:szCs w:val="21"/>
              </w:rPr>
              <w:t>5</w:t>
            </w:r>
            <w:r>
              <w:rPr>
                <w:rFonts w:hint="eastAsia" w:ascii="Times New Roman" w:eastAsia="仿宋"/>
                <w:szCs w:val="21"/>
                <w:lang w:val="zh-CN"/>
              </w:rPr>
              <w:t>个废气排放口，按《江苏省排污口设置及规范化整治管理办法》(苏环控[97]122号)要求，对雨污水排口、废气排口、固定噪声污染源、固废堆场进行规范化设置</w:t>
            </w:r>
          </w:p>
        </w:tc>
        <w:tc>
          <w:tcPr>
            <w:tcW w:w="536" w:type="pct"/>
            <w:vAlign w:val="center"/>
          </w:tcPr>
          <w:p w14:paraId="04DA57AC">
            <w:pPr>
              <w:spacing w:line="360" w:lineRule="exact"/>
              <w:jc w:val="center"/>
              <w:rPr>
                <w:rFonts w:ascii="Times New Roman" w:eastAsia="仿宋"/>
                <w:szCs w:val="21"/>
                <w:lang w:val="zh-CN"/>
              </w:rPr>
            </w:pPr>
            <w:r>
              <w:rPr>
                <w:rFonts w:hint="eastAsia" w:ascii="Times New Roman" w:eastAsia="仿宋"/>
                <w:szCs w:val="21"/>
              </w:rPr>
              <w:t>5</w:t>
            </w:r>
          </w:p>
        </w:tc>
      </w:tr>
      <w:tr w14:paraId="2F341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restart"/>
            <w:vAlign w:val="center"/>
          </w:tcPr>
          <w:p w14:paraId="1879AB1F">
            <w:pPr>
              <w:spacing w:line="360" w:lineRule="exact"/>
              <w:jc w:val="center"/>
              <w:rPr>
                <w:rFonts w:ascii="Times New Roman" w:eastAsia="仿宋"/>
                <w:szCs w:val="21"/>
                <w:lang w:val="zh-CN"/>
              </w:rPr>
            </w:pPr>
            <w:r>
              <w:rPr>
                <w:rFonts w:hint="eastAsia" w:ascii="Times New Roman" w:eastAsia="仿宋"/>
                <w:szCs w:val="21"/>
                <w:lang w:val="zh-CN"/>
              </w:rPr>
              <w:t>风险事故防范</w:t>
            </w:r>
          </w:p>
        </w:tc>
        <w:tc>
          <w:tcPr>
            <w:tcW w:w="3840" w:type="pct"/>
            <w:gridSpan w:val="3"/>
            <w:vAlign w:val="center"/>
          </w:tcPr>
          <w:p w14:paraId="7A3FE78A">
            <w:pPr>
              <w:spacing w:line="360" w:lineRule="exact"/>
              <w:jc w:val="center"/>
              <w:rPr>
                <w:rFonts w:ascii="Times New Roman" w:eastAsia="仿宋"/>
                <w:szCs w:val="21"/>
                <w:lang w:val="zh-CN"/>
              </w:rPr>
            </w:pPr>
            <w:r>
              <w:rPr>
                <w:rFonts w:hint="eastAsia" w:ascii="Times New Roman" w:eastAsia="仿宋"/>
                <w:szCs w:val="21"/>
                <w:lang w:val="zh-CN"/>
              </w:rPr>
              <w:t>按《环办应急[2019]17号》要求配套厂区应急物资及装备</w:t>
            </w:r>
          </w:p>
        </w:tc>
        <w:tc>
          <w:tcPr>
            <w:tcW w:w="536" w:type="pct"/>
            <w:vAlign w:val="center"/>
          </w:tcPr>
          <w:p w14:paraId="0DB0EDFD">
            <w:pPr>
              <w:spacing w:line="360" w:lineRule="exact"/>
              <w:jc w:val="center"/>
              <w:rPr>
                <w:rFonts w:ascii="Times New Roman" w:eastAsia="仿宋"/>
                <w:szCs w:val="21"/>
                <w:lang w:val="zh-CN"/>
              </w:rPr>
            </w:pPr>
            <w:r>
              <w:rPr>
                <w:rFonts w:hint="eastAsia" w:ascii="Times New Roman" w:eastAsia="仿宋"/>
                <w:szCs w:val="21"/>
                <w:lang w:val="zh-CN"/>
              </w:rPr>
              <w:t>7</w:t>
            </w:r>
          </w:p>
        </w:tc>
      </w:tr>
      <w:tr w14:paraId="2A65A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44BFC43F">
            <w:pPr>
              <w:spacing w:line="360" w:lineRule="exact"/>
              <w:jc w:val="center"/>
              <w:rPr>
                <w:rFonts w:ascii="Times New Roman" w:eastAsia="仿宋"/>
                <w:szCs w:val="21"/>
                <w:lang w:val="zh-CN"/>
              </w:rPr>
            </w:pPr>
          </w:p>
        </w:tc>
        <w:tc>
          <w:tcPr>
            <w:tcW w:w="3840" w:type="pct"/>
            <w:gridSpan w:val="3"/>
            <w:vAlign w:val="center"/>
          </w:tcPr>
          <w:p w14:paraId="54989635">
            <w:pPr>
              <w:spacing w:line="360" w:lineRule="exact"/>
              <w:jc w:val="center"/>
              <w:rPr>
                <w:rFonts w:ascii="Times New Roman" w:eastAsia="仿宋"/>
                <w:szCs w:val="21"/>
                <w:lang w:val="zh-CN"/>
              </w:rPr>
            </w:pPr>
            <w:r>
              <w:rPr>
                <w:rFonts w:hint="eastAsia" w:ascii="Times New Roman" w:eastAsia="仿宋"/>
                <w:szCs w:val="21"/>
                <w:lang w:val="zh-CN"/>
              </w:rPr>
              <w:t>依托原有事故应急池（合计</w:t>
            </w:r>
            <w:r>
              <w:rPr>
                <w:rFonts w:hint="eastAsia" w:ascii="Times New Roman" w:eastAsia="仿宋"/>
                <w:szCs w:val="21"/>
              </w:rPr>
              <w:t>100</w:t>
            </w:r>
            <w:r>
              <w:rPr>
                <w:rFonts w:hint="eastAsia" w:ascii="Times New Roman" w:eastAsia="仿宋"/>
                <w:szCs w:val="21"/>
                <w:lang w:val="zh-CN"/>
              </w:rPr>
              <w:t>m</w:t>
            </w:r>
            <w:r>
              <w:rPr>
                <w:rFonts w:hint="eastAsia" w:ascii="Times New Roman" w:eastAsia="仿宋"/>
                <w:szCs w:val="21"/>
                <w:vertAlign w:val="superscript"/>
                <w:lang w:val="zh-CN"/>
              </w:rPr>
              <w:t>3</w:t>
            </w:r>
            <w:r>
              <w:rPr>
                <w:rFonts w:hint="eastAsia" w:ascii="Times New Roman" w:eastAsia="仿宋"/>
                <w:szCs w:val="21"/>
                <w:lang w:val="zh-CN"/>
              </w:rPr>
              <w:t>），尽可能以非动力自流方式收集事故废水，以满足事故状态下收集泄漏物料、污染消防水和污染雨水需要</w:t>
            </w:r>
          </w:p>
        </w:tc>
        <w:tc>
          <w:tcPr>
            <w:tcW w:w="536" w:type="pct"/>
            <w:vAlign w:val="center"/>
          </w:tcPr>
          <w:p w14:paraId="2D7749FA">
            <w:pPr>
              <w:spacing w:line="360" w:lineRule="exact"/>
              <w:jc w:val="center"/>
              <w:rPr>
                <w:rFonts w:ascii="Times New Roman" w:eastAsia="仿宋"/>
                <w:szCs w:val="21"/>
                <w:lang w:val="zh-CN"/>
              </w:rPr>
            </w:pPr>
            <w:r>
              <w:rPr>
                <w:rFonts w:hint="eastAsia" w:ascii="Times New Roman" w:eastAsia="仿宋"/>
                <w:szCs w:val="21"/>
                <w:lang w:val="zh-CN"/>
              </w:rPr>
              <w:t>/</w:t>
            </w:r>
          </w:p>
        </w:tc>
      </w:tr>
      <w:tr w14:paraId="3C7CE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23" w:type="pct"/>
            <w:gridSpan w:val="2"/>
            <w:vMerge w:val="continue"/>
            <w:vAlign w:val="center"/>
          </w:tcPr>
          <w:p w14:paraId="48400E99">
            <w:pPr>
              <w:spacing w:line="360" w:lineRule="exact"/>
              <w:jc w:val="center"/>
              <w:rPr>
                <w:rFonts w:ascii="Times New Roman" w:eastAsia="仿宋"/>
                <w:szCs w:val="21"/>
                <w:lang w:val="zh-CN"/>
              </w:rPr>
            </w:pPr>
          </w:p>
        </w:tc>
        <w:tc>
          <w:tcPr>
            <w:tcW w:w="3840" w:type="pct"/>
            <w:gridSpan w:val="3"/>
            <w:vAlign w:val="center"/>
          </w:tcPr>
          <w:p w14:paraId="67F2D80F">
            <w:pPr>
              <w:spacing w:line="360" w:lineRule="exact"/>
              <w:jc w:val="center"/>
              <w:rPr>
                <w:rFonts w:ascii="Times New Roman" w:eastAsia="仿宋"/>
                <w:szCs w:val="21"/>
                <w:lang w:val="zh-CN"/>
              </w:rPr>
            </w:pPr>
            <w:r>
              <w:rPr>
                <w:rFonts w:hint="eastAsia" w:ascii="Times New Roman" w:eastAsia="仿宋"/>
                <w:szCs w:val="21"/>
                <w:lang w:val="zh-CN"/>
              </w:rPr>
              <w:t>投产前按《企事业单位和工业园区突发环境事件应急预案编制导则》（DB32/T 3795-2020）等相关文件要求制定风险防范措施，编制突发环境事件应急预案，防止发生环境污染事故。</w:t>
            </w:r>
          </w:p>
        </w:tc>
        <w:tc>
          <w:tcPr>
            <w:tcW w:w="536" w:type="pct"/>
            <w:vAlign w:val="center"/>
          </w:tcPr>
          <w:p w14:paraId="6B6E9CE5">
            <w:pPr>
              <w:spacing w:line="360" w:lineRule="exact"/>
              <w:jc w:val="center"/>
              <w:rPr>
                <w:rFonts w:ascii="Times New Roman" w:eastAsia="仿宋"/>
                <w:szCs w:val="21"/>
                <w:lang w:val="zh-CN"/>
              </w:rPr>
            </w:pPr>
            <w:r>
              <w:rPr>
                <w:rFonts w:hint="eastAsia" w:ascii="Times New Roman" w:eastAsia="仿宋"/>
                <w:szCs w:val="21"/>
                <w:lang w:val="zh-CN"/>
              </w:rPr>
              <w:t>3</w:t>
            </w:r>
          </w:p>
        </w:tc>
      </w:tr>
      <w:tr w14:paraId="44372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64" w:type="pct"/>
            <w:gridSpan w:val="5"/>
            <w:vAlign w:val="center"/>
          </w:tcPr>
          <w:p w14:paraId="73C58074">
            <w:pPr>
              <w:spacing w:line="360" w:lineRule="exact"/>
              <w:jc w:val="center"/>
              <w:rPr>
                <w:rFonts w:ascii="Times New Roman" w:eastAsia="仿宋"/>
                <w:szCs w:val="21"/>
                <w:lang w:val="zh-CN"/>
              </w:rPr>
            </w:pPr>
            <w:r>
              <w:rPr>
                <w:rFonts w:hint="eastAsia" w:ascii="Times New Roman" w:eastAsia="仿宋"/>
                <w:szCs w:val="21"/>
                <w:lang w:val="zh-CN"/>
              </w:rPr>
              <w:t>合计</w:t>
            </w:r>
          </w:p>
        </w:tc>
        <w:tc>
          <w:tcPr>
            <w:tcW w:w="536" w:type="pct"/>
            <w:vAlign w:val="center"/>
          </w:tcPr>
          <w:p w14:paraId="5EF3793B">
            <w:pPr>
              <w:spacing w:line="360" w:lineRule="exact"/>
              <w:jc w:val="center"/>
              <w:rPr>
                <w:rFonts w:ascii="Times New Roman" w:eastAsia="仿宋"/>
                <w:szCs w:val="21"/>
              </w:rPr>
            </w:pPr>
            <w:r>
              <w:rPr>
                <w:rFonts w:hint="eastAsia" w:ascii="Times New Roman" w:eastAsia="仿宋"/>
                <w:szCs w:val="21"/>
              </w:rPr>
              <w:t>450</w:t>
            </w:r>
          </w:p>
        </w:tc>
      </w:tr>
    </w:tbl>
    <w:p w14:paraId="5DFC2F4E">
      <w:pPr>
        <w:pStyle w:val="51"/>
        <w:ind w:firstLine="0" w:firstLineChars="0"/>
        <w:jc w:val="center"/>
        <w:rPr>
          <w:rFonts w:ascii="Times New Roman" w:eastAsia="仿宋"/>
          <w:b/>
          <w:sz w:val="24"/>
        </w:rPr>
      </w:pPr>
    </w:p>
    <w:p w14:paraId="246CD631">
      <w:pPr>
        <w:spacing w:line="500" w:lineRule="exact"/>
        <w:rPr>
          <w:rFonts w:ascii="Times New Roman" w:eastAsia="仿宋"/>
          <w:sz w:val="28"/>
          <w:szCs w:val="28"/>
          <w:highlight w:val="yellow"/>
        </w:rPr>
        <w:sectPr>
          <w:pgSz w:w="11906" w:h="16838"/>
          <w:pgMar w:top="1440" w:right="1800" w:bottom="1440" w:left="1800" w:header="851" w:footer="992" w:gutter="0"/>
          <w:cols w:space="720" w:num="1"/>
          <w:docGrid w:linePitch="312" w:charSpace="0"/>
        </w:sectPr>
      </w:pPr>
    </w:p>
    <w:p w14:paraId="07D343A6">
      <w:pPr>
        <w:pStyle w:val="4"/>
        <w:tabs>
          <w:tab w:val="left" w:pos="284"/>
        </w:tabs>
        <w:spacing w:before="120" w:beforeLines="50" w:after="120" w:afterLines="50" w:line="500" w:lineRule="exact"/>
        <w:rPr>
          <w:rFonts w:eastAsia="仿宋"/>
          <w:spacing w:val="6"/>
          <w:sz w:val="36"/>
          <w:szCs w:val="36"/>
        </w:rPr>
      </w:pPr>
      <w:bookmarkStart w:id="425" w:name="_Hlt98841726"/>
      <w:bookmarkEnd w:id="425"/>
      <w:bookmarkStart w:id="426" w:name="_Hlt98841640"/>
      <w:bookmarkEnd w:id="426"/>
      <w:bookmarkStart w:id="427" w:name="_Hlt127766604"/>
      <w:bookmarkEnd w:id="427"/>
      <w:bookmarkStart w:id="428" w:name="_Hlt81032939"/>
      <w:bookmarkEnd w:id="428"/>
      <w:bookmarkStart w:id="429" w:name="_Hlt116036632"/>
      <w:bookmarkEnd w:id="429"/>
      <w:bookmarkStart w:id="430" w:name="_Hlt110672798"/>
      <w:bookmarkEnd w:id="430"/>
      <w:bookmarkStart w:id="431" w:name="_Hlt112679131"/>
      <w:bookmarkEnd w:id="431"/>
      <w:bookmarkStart w:id="432" w:name="_Toc238363495"/>
      <w:bookmarkStart w:id="433" w:name="_Toc113810235"/>
      <w:bookmarkStart w:id="434" w:name="_Toc200708028"/>
      <w:bookmarkStart w:id="435" w:name="_Toc227951104"/>
      <w:bookmarkStart w:id="436" w:name="_Toc182553831"/>
      <w:bookmarkStart w:id="437" w:name="_Toc236536318"/>
      <w:bookmarkStart w:id="438" w:name="_Toc240859425"/>
      <w:bookmarkStart w:id="439" w:name="_Toc170530498"/>
      <w:r>
        <w:rPr>
          <w:rFonts w:hint="eastAsia" w:eastAsia="仿宋"/>
          <w:spacing w:val="6"/>
          <w:sz w:val="36"/>
          <w:szCs w:val="36"/>
        </w:rPr>
        <w:t>7</w:t>
      </w:r>
      <w:r>
        <w:rPr>
          <w:rFonts w:eastAsia="仿宋"/>
          <w:spacing w:val="6"/>
          <w:sz w:val="36"/>
          <w:szCs w:val="36"/>
        </w:rPr>
        <w:t>环境影响经济损益分析</w:t>
      </w:r>
      <w:bookmarkEnd w:id="432"/>
      <w:bookmarkEnd w:id="433"/>
      <w:bookmarkEnd w:id="434"/>
      <w:bookmarkEnd w:id="435"/>
      <w:bookmarkEnd w:id="436"/>
      <w:bookmarkEnd w:id="437"/>
      <w:bookmarkEnd w:id="438"/>
      <w:bookmarkEnd w:id="439"/>
    </w:p>
    <w:p w14:paraId="30EDA31A">
      <w:pPr>
        <w:pStyle w:val="5"/>
        <w:numPr>
          <w:ilvl w:val="0"/>
          <w:numId w:val="0"/>
        </w:numPr>
        <w:rPr>
          <w:rFonts w:eastAsia="仿宋"/>
          <w:color w:val="auto"/>
        </w:rPr>
      </w:pPr>
      <w:bookmarkStart w:id="440" w:name="_Toc97911023"/>
      <w:bookmarkStart w:id="441" w:name="_Toc240859426"/>
      <w:bookmarkStart w:id="442" w:name="_Toc170530499"/>
      <w:bookmarkStart w:id="443" w:name="_Toc182553832"/>
      <w:bookmarkStart w:id="444" w:name="_Toc48125349"/>
      <w:bookmarkStart w:id="445" w:name="_Toc238363496"/>
      <w:bookmarkStart w:id="446" w:name="_Toc200708029"/>
      <w:bookmarkStart w:id="447" w:name="_Toc227951105"/>
      <w:bookmarkStart w:id="448" w:name="_Toc236536319"/>
      <w:bookmarkStart w:id="449" w:name="_Toc113810236"/>
      <w:bookmarkStart w:id="450" w:name="_Toc105743746"/>
      <w:r>
        <w:rPr>
          <w:rFonts w:hint="eastAsia" w:eastAsia="仿宋"/>
          <w:color w:val="auto"/>
        </w:rPr>
        <w:t>7</w:t>
      </w:r>
      <w:r>
        <w:rPr>
          <w:rFonts w:eastAsia="仿宋"/>
          <w:color w:val="auto"/>
        </w:rPr>
        <w:t>.1经济效益分析</w:t>
      </w:r>
      <w:bookmarkEnd w:id="440"/>
      <w:bookmarkEnd w:id="441"/>
      <w:bookmarkEnd w:id="442"/>
      <w:bookmarkEnd w:id="443"/>
      <w:bookmarkEnd w:id="444"/>
      <w:bookmarkEnd w:id="445"/>
      <w:bookmarkEnd w:id="446"/>
      <w:bookmarkEnd w:id="447"/>
      <w:bookmarkEnd w:id="448"/>
      <w:bookmarkEnd w:id="449"/>
      <w:bookmarkEnd w:id="450"/>
    </w:p>
    <w:p w14:paraId="35DB3DF3">
      <w:pPr>
        <w:tabs>
          <w:tab w:val="left" w:pos="6840"/>
        </w:tabs>
        <w:spacing w:line="500" w:lineRule="exact"/>
        <w:ind w:firstLine="560" w:firstLineChars="200"/>
        <w:rPr>
          <w:rFonts w:ascii="Times New Roman" w:eastAsia="仿宋"/>
          <w:sz w:val="28"/>
          <w:szCs w:val="28"/>
        </w:rPr>
      </w:pPr>
      <w:r>
        <w:rPr>
          <w:rFonts w:ascii="Times New Roman" w:eastAsia="仿宋"/>
          <w:sz w:val="28"/>
          <w:szCs w:val="28"/>
        </w:rPr>
        <w:t>本项目总投资</w:t>
      </w:r>
      <w:r>
        <w:rPr>
          <w:rFonts w:hint="eastAsia" w:ascii="Times New Roman" w:eastAsia="仿宋"/>
          <w:sz w:val="28"/>
          <w:szCs w:val="28"/>
        </w:rPr>
        <w:t>30</w:t>
      </w:r>
      <w:r>
        <w:rPr>
          <w:rFonts w:ascii="Times New Roman" w:eastAsia="仿宋"/>
          <w:sz w:val="28"/>
          <w:szCs w:val="28"/>
        </w:rPr>
        <w:t>000万元，年销售收入</w:t>
      </w:r>
      <w:r>
        <w:rPr>
          <w:rFonts w:hint="eastAsia" w:ascii="Times New Roman" w:eastAsia="仿宋"/>
          <w:sz w:val="28"/>
          <w:szCs w:val="28"/>
        </w:rPr>
        <w:t>5</w:t>
      </w:r>
      <w:r>
        <w:rPr>
          <w:rFonts w:ascii="Times New Roman" w:eastAsia="仿宋"/>
          <w:sz w:val="28"/>
          <w:szCs w:val="28"/>
        </w:rPr>
        <w:t>000万元，投产后年均利润总额2000万元，年均税后利润1000万元，能为国家及地方增加相当数量的税收，经济效益显著。</w:t>
      </w:r>
    </w:p>
    <w:p w14:paraId="3C4655FD">
      <w:pPr>
        <w:pStyle w:val="5"/>
        <w:numPr>
          <w:ilvl w:val="0"/>
          <w:numId w:val="0"/>
        </w:numPr>
        <w:rPr>
          <w:rFonts w:eastAsia="仿宋"/>
          <w:color w:val="auto"/>
        </w:rPr>
      </w:pPr>
      <w:bookmarkStart w:id="451" w:name="_Hlt115518807"/>
      <w:bookmarkEnd w:id="451"/>
      <w:bookmarkStart w:id="452" w:name="_Hlt112668834"/>
      <w:bookmarkEnd w:id="452"/>
      <w:bookmarkStart w:id="453" w:name="_Toc227951106"/>
      <w:bookmarkStart w:id="454" w:name="_Toc200708030"/>
      <w:bookmarkStart w:id="455" w:name="_Toc182553833"/>
      <w:bookmarkStart w:id="456" w:name="_Toc170530500"/>
      <w:bookmarkStart w:id="457" w:name="_Toc105743747"/>
      <w:bookmarkStart w:id="458" w:name="_Toc113810237"/>
      <w:bookmarkStart w:id="459" w:name="_Toc236536320"/>
      <w:bookmarkStart w:id="460" w:name="_Toc48125350"/>
      <w:bookmarkStart w:id="461" w:name="_Toc240859427"/>
      <w:bookmarkStart w:id="462" w:name="_Toc97911024"/>
      <w:bookmarkStart w:id="463" w:name="_Toc238363497"/>
      <w:r>
        <w:rPr>
          <w:rFonts w:hint="eastAsia" w:eastAsia="仿宋"/>
          <w:color w:val="auto"/>
        </w:rPr>
        <w:t>7</w:t>
      </w:r>
      <w:r>
        <w:rPr>
          <w:rFonts w:eastAsia="仿宋"/>
          <w:color w:val="auto"/>
        </w:rPr>
        <w:t>.2环境效益分析</w:t>
      </w:r>
      <w:bookmarkEnd w:id="453"/>
      <w:bookmarkEnd w:id="454"/>
      <w:bookmarkEnd w:id="455"/>
      <w:bookmarkEnd w:id="456"/>
      <w:bookmarkEnd w:id="457"/>
      <w:bookmarkEnd w:id="458"/>
      <w:bookmarkEnd w:id="459"/>
      <w:bookmarkEnd w:id="460"/>
      <w:bookmarkEnd w:id="461"/>
      <w:bookmarkEnd w:id="462"/>
      <w:bookmarkEnd w:id="463"/>
      <w:bookmarkStart w:id="464" w:name="_Toc36027690"/>
    </w:p>
    <w:p w14:paraId="07CF101C">
      <w:pPr>
        <w:pStyle w:val="6"/>
        <w:keepLines w:val="0"/>
        <w:tabs>
          <w:tab w:val="left" w:pos="851"/>
        </w:tabs>
        <w:spacing w:before="0" w:after="120" w:afterLines="50" w:line="500" w:lineRule="exact"/>
        <w:rPr>
          <w:rFonts w:ascii="Times New Roman" w:eastAsia="仿宋"/>
          <w:spacing w:val="6"/>
          <w:sz w:val="28"/>
          <w:szCs w:val="20"/>
        </w:rPr>
      </w:pPr>
      <w:bookmarkStart w:id="465" w:name="_Toc200708031"/>
      <w:r>
        <w:rPr>
          <w:rFonts w:hint="eastAsia" w:ascii="Times New Roman" w:eastAsia="仿宋"/>
          <w:spacing w:val="6"/>
          <w:sz w:val="28"/>
          <w:szCs w:val="20"/>
        </w:rPr>
        <w:t>7</w:t>
      </w:r>
      <w:r>
        <w:rPr>
          <w:rFonts w:ascii="Times New Roman" w:eastAsia="仿宋"/>
          <w:spacing w:val="6"/>
          <w:sz w:val="28"/>
          <w:szCs w:val="20"/>
        </w:rPr>
        <w:t>.2.1环保治理投资费用分析</w:t>
      </w:r>
      <w:bookmarkEnd w:id="465"/>
    </w:p>
    <w:bookmarkEnd w:id="464"/>
    <w:p w14:paraId="3AE6E9E8">
      <w:pPr>
        <w:tabs>
          <w:tab w:val="left" w:pos="6840"/>
        </w:tabs>
        <w:spacing w:line="500" w:lineRule="exact"/>
        <w:ind w:firstLine="560" w:firstLineChars="200"/>
        <w:rPr>
          <w:rFonts w:ascii="Times New Roman" w:eastAsia="仿宋"/>
          <w:sz w:val="28"/>
          <w:szCs w:val="28"/>
        </w:rPr>
      </w:pPr>
      <w:r>
        <w:rPr>
          <w:rFonts w:ascii="Times New Roman" w:eastAsia="仿宋"/>
          <w:sz w:val="28"/>
          <w:szCs w:val="28"/>
        </w:rPr>
        <w:t>《建设项目环境保护设计规定》第六十三条指出：“凡属于污染治理和保护环境所需的装置、设备、监测手段和工程设施等均属于环境保护设施”、“凡有环境保护设施的建设项目均应列出环境保护设施的投资概算”。</w:t>
      </w:r>
    </w:p>
    <w:p w14:paraId="76267267">
      <w:pPr>
        <w:tabs>
          <w:tab w:val="left" w:pos="6840"/>
        </w:tabs>
        <w:spacing w:line="500" w:lineRule="exact"/>
        <w:ind w:firstLine="560" w:firstLineChars="200"/>
        <w:rPr>
          <w:rFonts w:ascii="Times New Roman" w:eastAsia="仿宋"/>
          <w:sz w:val="28"/>
          <w:szCs w:val="28"/>
        </w:rPr>
      </w:pPr>
      <w:r>
        <w:rPr>
          <w:rFonts w:ascii="Times New Roman" w:eastAsia="仿宋"/>
          <w:sz w:val="28"/>
          <w:szCs w:val="28"/>
        </w:rPr>
        <w:t>项目环保总投资约</w:t>
      </w:r>
      <w:r>
        <w:rPr>
          <w:rFonts w:hint="eastAsia" w:ascii="Times New Roman" w:eastAsia="仿宋"/>
          <w:sz w:val="28"/>
          <w:szCs w:val="28"/>
        </w:rPr>
        <w:t>450</w:t>
      </w:r>
      <w:r>
        <w:rPr>
          <w:rFonts w:ascii="Times New Roman" w:eastAsia="仿宋"/>
          <w:sz w:val="28"/>
          <w:szCs w:val="28"/>
        </w:rPr>
        <w:t>万元，约占总投资额的</w:t>
      </w:r>
      <w:r>
        <w:rPr>
          <w:rFonts w:hint="eastAsia" w:ascii="Times New Roman" w:eastAsia="仿宋"/>
          <w:sz w:val="28"/>
          <w:szCs w:val="28"/>
        </w:rPr>
        <w:t>1.5</w:t>
      </w:r>
      <w:r>
        <w:rPr>
          <w:rFonts w:ascii="Times New Roman" w:eastAsia="仿宋"/>
          <w:sz w:val="28"/>
          <w:szCs w:val="28"/>
        </w:rPr>
        <w:t>%，包括废气治理、噪声防治措施等相关内容，主要投资内容见表7.2-1。</w:t>
      </w:r>
    </w:p>
    <w:p w14:paraId="24672179">
      <w:pPr>
        <w:tabs>
          <w:tab w:val="left" w:pos="6840"/>
        </w:tabs>
        <w:spacing w:line="500" w:lineRule="exact"/>
        <w:ind w:firstLine="560" w:firstLineChars="200"/>
        <w:rPr>
          <w:rFonts w:ascii="Times New Roman" w:eastAsia="仿宋"/>
          <w:sz w:val="28"/>
          <w:szCs w:val="28"/>
        </w:rPr>
      </w:pPr>
    </w:p>
    <w:p w14:paraId="4AA22AAC">
      <w:pPr>
        <w:tabs>
          <w:tab w:val="left" w:pos="6840"/>
        </w:tabs>
        <w:spacing w:line="500" w:lineRule="exact"/>
        <w:ind w:firstLine="560" w:firstLineChars="200"/>
        <w:rPr>
          <w:rFonts w:ascii="Times New Roman" w:eastAsia="仿宋"/>
          <w:sz w:val="28"/>
          <w:szCs w:val="28"/>
        </w:rPr>
      </w:pPr>
    </w:p>
    <w:p w14:paraId="028987C4">
      <w:pPr>
        <w:tabs>
          <w:tab w:val="left" w:pos="6840"/>
        </w:tabs>
        <w:spacing w:line="500" w:lineRule="exact"/>
        <w:ind w:firstLine="560" w:firstLineChars="200"/>
        <w:rPr>
          <w:rFonts w:ascii="Times New Roman" w:eastAsia="仿宋"/>
          <w:sz w:val="28"/>
          <w:szCs w:val="28"/>
        </w:rPr>
      </w:pPr>
    </w:p>
    <w:p w14:paraId="6BBF60A4">
      <w:pPr>
        <w:tabs>
          <w:tab w:val="left" w:pos="6840"/>
        </w:tabs>
        <w:spacing w:line="500" w:lineRule="exact"/>
        <w:ind w:firstLine="560" w:firstLineChars="200"/>
        <w:rPr>
          <w:rFonts w:ascii="Times New Roman" w:eastAsia="仿宋"/>
          <w:sz w:val="28"/>
          <w:szCs w:val="28"/>
        </w:rPr>
      </w:pPr>
    </w:p>
    <w:p w14:paraId="2A07B9C6">
      <w:pPr>
        <w:tabs>
          <w:tab w:val="left" w:pos="6840"/>
        </w:tabs>
        <w:spacing w:line="500" w:lineRule="exact"/>
        <w:ind w:firstLine="560" w:firstLineChars="200"/>
        <w:rPr>
          <w:rFonts w:ascii="Times New Roman" w:eastAsia="仿宋"/>
          <w:sz w:val="28"/>
          <w:szCs w:val="28"/>
        </w:rPr>
      </w:pPr>
    </w:p>
    <w:p w14:paraId="060AA37C">
      <w:pPr>
        <w:tabs>
          <w:tab w:val="left" w:pos="6840"/>
        </w:tabs>
        <w:spacing w:line="500" w:lineRule="exact"/>
        <w:ind w:firstLine="560" w:firstLineChars="200"/>
        <w:rPr>
          <w:rFonts w:ascii="Times New Roman" w:eastAsia="仿宋"/>
          <w:sz w:val="28"/>
          <w:szCs w:val="28"/>
        </w:rPr>
      </w:pPr>
    </w:p>
    <w:p w14:paraId="78F6767C">
      <w:pPr>
        <w:tabs>
          <w:tab w:val="left" w:pos="6840"/>
        </w:tabs>
        <w:spacing w:line="500" w:lineRule="exact"/>
        <w:ind w:firstLine="560" w:firstLineChars="200"/>
        <w:rPr>
          <w:rFonts w:ascii="Times New Roman" w:eastAsia="仿宋"/>
          <w:sz w:val="28"/>
          <w:szCs w:val="28"/>
        </w:rPr>
      </w:pPr>
    </w:p>
    <w:p w14:paraId="6ADCD851">
      <w:pPr>
        <w:tabs>
          <w:tab w:val="left" w:pos="6840"/>
        </w:tabs>
        <w:spacing w:line="500" w:lineRule="exact"/>
        <w:ind w:firstLine="560" w:firstLineChars="200"/>
        <w:rPr>
          <w:rFonts w:ascii="Times New Roman" w:eastAsia="仿宋"/>
          <w:sz w:val="28"/>
          <w:szCs w:val="28"/>
        </w:rPr>
      </w:pPr>
    </w:p>
    <w:p w14:paraId="243D5149">
      <w:pPr>
        <w:tabs>
          <w:tab w:val="left" w:pos="6840"/>
        </w:tabs>
        <w:spacing w:line="500" w:lineRule="exact"/>
        <w:ind w:firstLine="560" w:firstLineChars="200"/>
        <w:rPr>
          <w:rFonts w:ascii="Times New Roman" w:eastAsia="仿宋"/>
          <w:sz w:val="28"/>
          <w:szCs w:val="28"/>
        </w:rPr>
      </w:pPr>
    </w:p>
    <w:p w14:paraId="32953A39">
      <w:pPr>
        <w:tabs>
          <w:tab w:val="left" w:pos="6840"/>
        </w:tabs>
        <w:spacing w:line="500" w:lineRule="exact"/>
        <w:ind w:firstLine="560" w:firstLineChars="200"/>
        <w:rPr>
          <w:rFonts w:ascii="Times New Roman" w:eastAsia="仿宋"/>
          <w:sz w:val="28"/>
          <w:szCs w:val="28"/>
        </w:rPr>
      </w:pPr>
    </w:p>
    <w:p w14:paraId="2D8D5023">
      <w:pPr>
        <w:tabs>
          <w:tab w:val="left" w:pos="6840"/>
        </w:tabs>
        <w:spacing w:line="500" w:lineRule="exact"/>
        <w:ind w:firstLine="560" w:firstLineChars="200"/>
        <w:rPr>
          <w:rFonts w:ascii="Times New Roman" w:eastAsia="仿宋"/>
          <w:sz w:val="28"/>
          <w:szCs w:val="28"/>
        </w:rPr>
      </w:pPr>
    </w:p>
    <w:p w14:paraId="4E785A18">
      <w:pPr>
        <w:tabs>
          <w:tab w:val="left" w:pos="6840"/>
        </w:tabs>
        <w:spacing w:line="500" w:lineRule="exact"/>
        <w:ind w:firstLine="560" w:firstLineChars="200"/>
        <w:rPr>
          <w:rFonts w:ascii="Times New Roman" w:eastAsia="仿宋"/>
          <w:sz w:val="28"/>
          <w:szCs w:val="28"/>
        </w:rPr>
      </w:pPr>
    </w:p>
    <w:p w14:paraId="17CCDD3F">
      <w:pPr>
        <w:tabs>
          <w:tab w:val="left" w:pos="6840"/>
        </w:tabs>
        <w:spacing w:line="500" w:lineRule="exact"/>
        <w:ind w:firstLine="560" w:firstLineChars="200"/>
        <w:rPr>
          <w:rFonts w:ascii="Times New Roman" w:eastAsia="仿宋"/>
          <w:sz w:val="28"/>
          <w:szCs w:val="28"/>
        </w:rPr>
      </w:pPr>
    </w:p>
    <w:p w14:paraId="117A5919">
      <w:pPr>
        <w:pStyle w:val="51"/>
        <w:ind w:firstLine="0" w:firstLineChars="0"/>
        <w:jc w:val="center"/>
        <w:rPr>
          <w:rFonts w:ascii="Times New Roman" w:eastAsia="仿宋"/>
          <w:b/>
          <w:sz w:val="24"/>
        </w:rPr>
      </w:pPr>
      <w:r>
        <w:rPr>
          <w:rFonts w:ascii="Times New Roman" w:eastAsia="仿宋"/>
          <w:b/>
          <w:sz w:val="24"/>
        </w:rPr>
        <w:t>表7.2-1  环保措施汇总一览表</w:t>
      </w:r>
    </w:p>
    <w:tbl>
      <w:tblPr>
        <w:tblStyle w:val="87"/>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502"/>
        <w:gridCol w:w="2550"/>
        <w:gridCol w:w="1868"/>
        <w:gridCol w:w="1104"/>
        <w:gridCol w:w="1204"/>
      </w:tblGrid>
      <w:tr w14:paraId="7646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240" w:type="dxa"/>
            <w:gridSpan w:val="2"/>
            <w:vAlign w:val="center"/>
          </w:tcPr>
          <w:p w14:paraId="13A3CB47">
            <w:pPr>
              <w:spacing w:line="360" w:lineRule="exact"/>
              <w:jc w:val="center"/>
              <w:rPr>
                <w:rFonts w:ascii="Times New Roman" w:eastAsia="仿宋"/>
                <w:szCs w:val="21"/>
              </w:rPr>
            </w:pPr>
            <w:r>
              <w:rPr>
                <w:rFonts w:ascii="Times New Roman" w:eastAsia="仿宋"/>
                <w:szCs w:val="21"/>
              </w:rPr>
              <w:t>污染类型</w:t>
            </w:r>
          </w:p>
        </w:tc>
        <w:tc>
          <w:tcPr>
            <w:tcW w:w="2550" w:type="dxa"/>
            <w:vAlign w:val="center"/>
          </w:tcPr>
          <w:p w14:paraId="74BEDB78">
            <w:pPr>
              <w:pStyle w:val="22"/>
              <w:spacing w:line="360" w:lineRule="exact"/>
              <w:ind w:firstLine="0" w:firstLineChars="0"/>
              <w:jc w:val="center"/>
              <w:rPr>
                <w:rFonts w:eastAsia="仿宋"/>
                <w:sz w:val="24"/>
                <w:szCs w:val="21"/>
              </w:rPr>
            </w:pPr>
            <w:r>
              <w:rPr>
                <w:rFonts w:eastAsia="仿宋"/>
                <w:sz w:val="24"/>
                <w:szCs w:val="21"/>
              </w:rPr>
              <w:t>环保设施名称</w:t>
            </w:r>
          </w:p>
        </w:tc>
        <w:tc>
          <w:tcPr>
            <w:tcW w:w="1868" w:type="dxa"/>
            <w:vAlign w:val="center"/>
          </w:tcPr>
          <w:p w14:paraId="321F1C7E">
            <w:pPr>
              <w:spacing w:line="360" w:lineRule="exact"/>
              <w:jc w:val="center"/>
              <w:rPr>
                <w:rFonts w:ascii="Times New Roman" w:eastAsia="仿宋"/>
                <w:szCs w:val="21"/>
              </w:rPr>
            </w:pPr>
            <w:r>
              <w:rPr>
                <w:rFonts w:ascii="Times New Roman" w:eastAsia="仿宋"/>
                <w:szCs w:val="21"/>
              </w:rPr>
              <w:t>预期效果</w:t>
            </w:r>
          </w:p>
        </w:tc>
        <w:tc>
          <w:tcPr>
            <w:tcW w:w="1104" w:type="dxa"/>
            <w:vAlign w:val="center"/>
          </w:tcPr>
          <w:p w14:paraId="107DFB4F">
            <w:pPr>
              <w:spacing w:line="360" w:lineRule="exact"/>
              <w:jc w:val="center"/>
              <w:rPr>
                <w:rFonts w:ascii="Times New Roman" w:eastAsia="仿宋"/>
                <w:szCs w:val="21"/>
              </w:rPr>
            </w:pPr>
            <w:r>
              <w:rPr>
                <w:rFonts w:ascii="Times New Roman" w:eastAsia="仿宋"/>
                <w:szCs w:val="21"/>
              </w:rPr>
              <w:t>总投资</w:t>
            </w:r>
          </w:p>
          <w:p w14:paraId="4E2821EF">
            <w:pPr>
              <w:spacing w:line="360" w:lineRule="exact"/>
              <w:jc w:val="center"/>
              <w:rPr>
                <w:rFonts w:ascii="Times New Roman" w:eastAsia="仿宋"/>
                <w:szCs w:val="21"/>
              </w:rPr>
            </w:pPr>
            <w:r>
              <w:rPr>
                <w:rFonts w:ascii="Times New Roman" w:eastAsia="仿宋"/>
                <w:szCs w:val="21"/>
              </w:rPr>
              <w:t>(万元)</w:t>
            </w:r>
          </w:p>
        </w:tc>
        <w:tc>
          <w:tcPr>
            <w:tcW w:w="1204" w:type="dxa"/>
            <w:vAlign w:val="center"/>
          </w:tcPr>
          <w:p w14:paraId="5C97BDD6">
            <w:pPr>
              <w:spacing w:line="360" w:lineRule="exact"/>
              <w:jc w:val="center"/>
              <w:rPr>
                <w:rFonts w:ascii="Times New Roman" w:eastAsia="仿宋"/>
                <w:szCs w:val="21"/>
              </w:rPr>
            </w:pPr>
            <w:r>
              <w:rPr>
                <w:rFonts w:ascii="Times New Roman" w:eastAsia="仿宋"/>
                <w:szCs w:val="21"/>
              </w:rPr>
              <w:t>进度</w:t>
            </w:r>
          </w:p>
        </w:tc>
      </w:tr>
      <w:tr w14:paraId="3411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240" w:type="dxa"/>
            <w:gridSpan w:val="2"/>
            <w:vAlign w:val="center"/>
          </w:tcPr>
          <w:p w14:paraId="6327CACB">
            <w:pPr>
              <w:spacing w:line="360" w:lineRule="exact"/>
              <w:jc w:val="center"/>
              <w:rPr>
                <w:rFonts w:ascii="Times New Roman" w:eastAsia="仿宋"/>
                <w:szCs w:val="21"/>
              </w:rPr>
            </w:pPr>
            <w:r>
              <w:rPr>
                <w:rFonts w:ascii="Times New Roman" w:eastAsia="仿宋"/>
                <w:szCs w:val="21"/>
              </w:rPr>
              <w:t>废水</w:t>
            </w:r>
          </w:p>
        </w:tc>
        <w:tc>
          <w:tcPr>
            <w:tcW w:w="2550" w:type="dxa"/>
            <w:vAlign w:val="center"/>
          </w:tcPr>
          <w:p w14:paraId="7788F78B">
            <w:pPr>
              <w:pStyle w:val="22"/>
              <w:spacing w:line="360" w:lineRule="exact"/>
              <w:ind w:firstLine="0" w:firstLineChars="0"/>
              <w:jc w:val="center"/>
              <w:rPr>
                <w:rFonts w:eastAsia="仿宋"/>
                <w:sz w:val="24"/>
                <w:szCs w:val="21"/>
              </w:rPr>
            </w:pPr>
            <w:r>
              <w:rPr>
                <w:rFonts w:eastAsia="仿宋"/>
                <w:sz w:val="24"/>
                <w:szCs w:val="21"/>
              </w:rPr>
              <w:t>污水预处理站</w:t>
            </w:r>
          </w:p>
          <w:p w14:paraId="0AF78A72">
            <w:pPr>
              <w:pStyle w:val="22"/>
              <w:spacing w:line="360" w:lineRule="exact"/>
              <w:ind w:firstLine="0" w:firstLineChars="0"/>
              <w:jc w:val="center"/>
              <w:rPr>
                <w:rFonts w:eastAsia="仿宋"/>
                <w:sz w:val="24"/>
                <w:szCs w:val="21"/>
              </w:rPr>
            </w:pPr>
            <w:r>
              <w:rPr>
                <w:rFonts w:eastAsia="仿宋"/>
                <w:sz w:val="24"/>
                <w:szCs w:val="21"/>
              </w:rPr>
              <w:t>及配套管线</w:t>
            </w:r>
          </w:p>
        </w:tc>
        <w:tc>
          <w:tcPr>
            <w:tcW w:w="1868" w:type="dxa"/>
            <w:vAlign w:val="center"/>
          </w:tcPr>
          <w:p w14:paraId="476E5398">
            <w:pPr>
              <w:spacing w:line="360" w:lineRule="exact"/>
              <w:jc w:val="center"/>
              <w:rPr>
                <w:rFonts w:ascii="Times New Roman" w:eastAsia="仿宋"/>
                <w:szCs w:val="21"/>
              </w:rPr>
            </w:pPr>
            <w:r>
              <w:rPr>
                <w:rFonts w:ascii="Times New Roman" w:eastAsia="仿宋"/>
                <w:szCs w:val="21"/>
              </w:rPr>
              <w:t>达标</w:t>
            </w:r>
            <w:r>
              <w:rPr>
                <w:rFonts w:hint="eastAsia" w:ascii="Times New Roman" w:eastAsia="仿宋"/>
                <w:szCs w:val="21"/>
                <w:lang w:val="zh-CN"/>
              </w:rPr>
              <w:t>接管进</w:t>
            </w:r>
            <w:r>
              <w:rPr>
                <w:rFonts w:hint="eastAsia" w:ascii="Times New Roman" w:eastAsia="仿宋"/>
                <w:szCs w:val="21"/>
              </w:rPr>
              <w:t>直溪</w:t>
            </w:r>
            <w:r>
              <w:rPr>
                <w:rFonts w:hint="eastAsia" w:ascii="Times New Roman" w:eastAsia="仿宋"/>
                <w:szCs w:val="21"/>
                <w:lang w:val="zh-CN"/>
              </w:rPr>
              <w:t>污水处理厂</w:t>
            </w:r>
          </w:p>
        </w:tc>
        <w:tc>
          <w:tcPr>
            <w:tcW w:w="1104" w:type="dxa"/>
            <w:vAlign w:val="center"/>
          </w:tcPr>
          <w:p w14:paraId="3A1B5750">
            <w:pPr>
              <w:spacing w:line="360" w:lineRule="exact"/>
              <w:jc w:val="center"/>
              <w:rPr>
                <w:rFonts w:ascii="Times New Roman" w:eastAsia="仿宋"/>
                <w:szCs w:val="21"/>
              </w:rPr>
            </w:pPr>
            <w:r>
              <w:rPr>
                <w:rFonts w:hint="eastAsia" w:ascii="Times New Roman" w:eastAsia="仿宋"/>
                <w:szCs w:val="21"/>
              </w:rPr>
              <w:t>95</w:t>
            </w:r>
          </w:p>
        </w:tc>
        <w:tc>
          <w:tcPr>
            <w:tcW w:w="1204" w:type="dxa"/>
            <w:vAlign w:val="center"/>
          </w:tcPr>
          <w:p w14:paraId="3B3876E6">
            <w:pPr>
              <w:spacing w:line="360" w:lineRule="exact"/>
              <w:jc w:val="center"/>
              <w:rPr>
                <w:rFonts w:ascii="Times New Roman" w:eastAsia="仿宋"/>
                <w:szCs w:val="21"/>
              </w:rPr>
            </w:pPr>
            <w:r>
              <w:rPr>
                <w:rFonts w:ascii="Times New Roman" w:eastAsia="仿宋"/>
                <w:szCs w:val="21"/>
              </w:rPr>
              <w:t>与项目建设同时完工</w:t>
            </w:r>
          </w:p>
        </w:tc>
      </w:tr>
      <w:tr w14:paraId="19E4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restart"/>
            <w:vAlign w:val="center"/>
          </w:tcPr>
          <w:p w14:paraId="4D94105D">
            <w:pPr>
              <w:spacing w:line="360" w:lineRule="exact"/>
              <w:jc w:val="center"/>
              <w:rPr>
                <w:rFonts w:ascii="Times New Roman" w:eastAsia="仿宋"/>
                <w:szCs w:val="21"/>
              </w:rPr>
            </w:pPr>
            <w:r>
              <w:rPr>
                <w:rFonts w:ascii="Times New Roman" w:eastAsia="仿宋"/>
                <w:szCs w:val="21"/>
              </w:rPr>
              <w:t>废气</w:t>
            </w:r>
          </w:p>
        </w:tc>
        <w:tc>
          <w:tcPr>
            <w:tcW w:w="1502" w:type="dxa"/>
            <w:vAlign w:val="center"/>
          </w:tcPr>
          <w:p w14:paraId="5EC560FF">
            <w:pPr>
              <w:spacing w:line="360" w:lineRule="exact"/>
              <w:jc w:val="center"/>
              <w:rPr>
                <w:rFonts w:ascii="Times New Roman" w:eastAsia="仿宋"/>
                <w:szCs w:val="21"/>
              </w:rPr>
            </w:pPr>
            <w:r>
              <w:rPr>
                <w:rFonts w:hint="eastAsia" w:ascii="Times New Roman" w:eastAsia="仿宋"/>
                <w:szCs w:val="21"/>
              </w:rPr>
              <w:t>机加工线</w:t>
            </w:r>
          </w:p>
        </w:tc>
        <w:tc>
          <w:tcPr>
            <w:tcW w:w="2550" w:type="dxa"/>
            <w:vAlign w:val="center"/>
          </w:tcPr>
          <w:p w14:paraId="5CB0FD2E">
            <w:pPr>
              <w:spacing w:line="360" w:lineRule="exact"/>
              <w:jc w:val="center"/>
              <w:rPr>
                <w:rFonts w:ascii="Times New Roman" w:eastAsia="仿宋"/>
                <w:szCs w:val="21"/>
              </w:rPr>
            </w:pPr>
            <w:r>
              <w:rPr>
                <w:rFonts w:hint="eastAsia" w:ascii="Times New Roman" w:eastAsia="仿宋"/>
                <w:szCs w:val="21"/>
              </w:rPr>
              <w:t>湿式除尘器</w:t>
            </w:r>
          </w:p>
        </w:tc>
        <w:tc>
          <w:tcPr>
            <w:tcW w:w="1868" w:type="dxa"/>
            <w:vMerge w:val="restart"/>
            <w:vAlign w:val="center"/>
          </w:tcPr>
          <w:p w14:paraId="53AA92A8">
            <w:pPr>
              <w:spacing w:line="360" w:lineRule="exact"/>
              <w:jc w:val="center"/>
              <w:rPr>
                <w:rFonts w:ascii="Times New Roman" w:eastAsia="仿宋"/>
                <w:szCs w:val="21"/>
              </w:rPr>
            </w:pPr>
            <w:r>
              <w:rPr>
                <w:rFonts w:ascii="Times New Roman" w:eastAsia="仿宋"/>
                <w:szCs w:val="21"/>
              </w:rPr>
              <w:t>达标排放</w:t>
            </w:r>
          </w:p>
        </w:tc>
        <w:tc>
          <w:tcPr>
            <w:tcW w:w="1104" w:type="dxa"/>
            <w:vAlign w:val="center"/>
          </w:tcPr>
          <w:p w14:paraId="744AABFE">
            <w:pPr>
              <w:spacing w:line="360" w:lineRule="exact"/>
              <w:jc w:val="center"/>
              <w:rPr>
                <w:rFonts w:ascii="Times New Roman" w:eastAsia="仿宋"/>
                <w:szCs w:val="21"/>
              </w:rPr>
            </w:pPr>
            <w:r>
              <w:rPr>
                <w:rFonts w:hint="eastAsia" w:ascii="Times New Roman" w:eastAsia="仿宋"/>
                <w:szCs w:val="21"/>
              </w:rPr>
              <w:t>20</w:t>
            </w:r>
          </w:p>
        </w:tc>
        <w:tc>
          <w:tcPr>
            <w:tcW w:w="1204" w:type="dxa"/>
            <w:vMerge w:val="restart"/>
            <w:vAlign w:val="center"/>
          </w:tcPr>
          <w:p w14:paraId="172FFCEC">
            <w:pPr>
              <w:spacing w:line="360" w:lineRule="exact"/>
              <w:jc w:val="center"/>
              <w:rPr>
                <w:rFonts w:ascii="Times New Roman" w:eastAsia="仿宋"/>
                <w:szCs w:val="21"/>
              </w:rPr>
            </w:pPr>
            <w:r>
              <w:rPr>
                <w:rFonts w:ascii="Times New Roman" w:eastAsia="仿宋"/>
                <w:szCs w:val="21"/>
              </w:rPr>
              <w:t>与项目建设同时完工</w:t>
            </w:r>
          </w:p>
        </w:tc>
      </w:tr>
      <w:tr w14:paraId="4D6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continue"/>
            <w:vAlign w:val="center"/>
          </w:tcPr>
          <w:p w14:paraId="5407FC90">
            <w:pPr>
              <w:spacing w:line="360" w:lineRule="exact"/>
              <w:jc w:val="center"/>
            </w:pPr>
          </w:p>
        </w:tc>
        <w:tc>
          <w:tcPr>
            <w:tcW w:w="1502" w:type="dxa"/>
            <w:vAlign w:val="center"/>
          </w:tcPr>
          <w:p w14:paraId="299EA43D">
            <w:pPr>
              <w:spacing w:line="360" w:lineRule="exact"/>
              <w:jc w:val="center"/>
              <w:rPr>
                <w:rFonts w:ascii="Times New Roman" w:eastAsia="仿宋"/>
                <w:szCs w:val="21"/>
              </w:rPr>
            </w:pPr>
            <w:r>
              <w:rPr>
                <w:rFonts w:hint="eastAsia" w:ascii="Times New Roman" w:eastAsia="仿宋"/>
                <w:szCs w:val="21"/>
                <w:lang w:val="zh-CN"/>
              </w:rPr>
              <w:t>喷涂线废气</w:t>
            </w:r>
          </w:p>
        </w:tc>
        <w:tc>
          <w:tcPr>
            <w:tcW w:w="2550" w:type="dxa"/>
            <w:vAlign w:val="center"/>
          </w:tcPr>
          <w:p w14:paraId="3E86A578">
            <w:pPr>
              <w:spacing w:line="360" w:lineRule="exact"/>
              <w:jc w:val="center"/>
              <w:rPr>
                <w:rFonts w:ascii="Times New Roman" w:eastAsia="仿宋"/>
                <w:szCs w:val="21"/>
              </w:rPr>
            </w:pPr>
            <w:r>
              <w:rPr>
                <w:rFonts w:hint="eastAsia" w:ascii="Times New Roman" w:eastAsia="仿宋"/>
                <w:szCs w:val="21"/>
              </w:rPr>
              <w:t>3套水帘式循环过滤系统+水喷淋+干式过滤器+活性炭吸附脱附+催化燃烧</w:t>
            </w:r>
          </w:p>
        </w:tc>
        <w:tc>
          <w:tcPr>
            <w:tcW w:w="1868" w:type="dxa"/>
            <w:vMerge w:val="continue"/>
            <w:vAlign w:val="center"/>
          </w:tcPr>
          <w:p w14:paraId="6704A253">
            <w:pPr>
              <w:spacing w:line="360" w:lineRule="exact"/>
              <w:jc w:val="center"/>
              <w:rPr>
                <w:rFonts w:ascii="Times New Roman" w:eastAsia="仿宋"/>
                <w:szCs w:val="21"/>
              </w:rPr>
            </w:pPr>
          </w:p>
        </w:tc>
        <w:tc>
          <w:tcPr>
            <w:tcW w:w="1104" w:type="dxa"/>
            <w:vAlign w:val="center"/>
          </w:tcPr>
          <w:p w14:paraId="7D5D91F5">
            <w:pPr>
              <w:spacing w:line="360" w:lineRule="exact"/>
              <w:jc w:val="center"/>
              <w:rPr>
                <w:rFonts w:ascii="Times New Roman" w:eastAsia="仿宋"/>
                <w:szCs w:val="21"/>
              </w:rPr>
            </w:pPr>
            <w:r>
              <w:rPr>
                <w:rFonts w:hint="eastAsia" w:ascii="Times New Roman" w:eastAsia="仿宋"/>
                <w:szCs w:val="21"/>
              </w:rPr>
              <w:t>250</w:t>
            </w:r>
          </w:p>
        </w:tc>
        <w:tc>
          <w:tcPr>
            <w:tcW w:w="1204" w:type="dxa"/>
            <w:vMerge w:val="continue"/>
            <w:vAlign w:val="center"/>
          </w:tcPr>
          <w:p w14:paraId="1E462D63">
            <w:pPr>
              <w:spacing w:line="360" w:lineRule="exact"/>
              <w:jc w:val="center"/>
              <w:rPr>
                <w:rFonts w:ascii="Times New Roman" w:eastAsia="仿宋"/>
                <w:szCs w:val="21"/>
              </w:rPr>
            </w:pPr>
          </w:p>
        </w:tc>
      </w:tr>
      <w:tr w14:paraId="4D78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continue"/>
            <w:vAlign w:val="center"/>
          </w:tcPr>
          <w:p w14:paraId="7A28E9C1">
            <w:pPr>
              <w:spacing w:line="360" w:lineRule="exact"/>
              <w:jc w:val="center"/>
              <w:rPr>
                <w:rFonts w:ascii="Times New Roman" w:eastAsia="仿宋"/>
                <w:szCs w:val="21"/>
              </w:rPr>
            </w:pPr>
          </w:p>
        </w:tc>
        <w:tc>
          <w:tcPr>
            <w:tcW w:w="1502" w:type="dxa"/>
            <w:vAlign w:val="center"/>
          </w:tcPr>
          <w:p w14:paraId="35EB53AE">
            <w:pPr>
              <w:spacing w:line="360" w:lineRule="exact"/>
              <w:jc w:val="center"/>
              <w:rPr>
                <w:rFonts w:ascii="Times New Roman" w:eastAsia="仿宋"/>
                <w:szCs w:val="21"/>
              </w:rPr>
            </w:pPr>
            <w:r>
              <w:rPr>
                <w:rFonts w:hint="eastAsia" w:ascii="Times New Roman" w:eastAsia="仿宋"/>
                <w:szCs w:val="21"/>
              </w:rPr>
              <w:t>喷塑线</w:t>
            </w:r>
          </w:p>
        </w:tc>
        <w:tc>
          <w:tcPr>
            <w:tcW w:w="2550" w:type="dxa"/>
            <w:vAlign w:val="center"/>
          </w:tcPr>
          <w:p w14:paraId="730CCFE6">
            <w:pPr>
              <w:spacing w:line="360" w:lineRule="exact"/>
              <w:jc w:val="center"/>
              <w:rPr>
                <w:rFonts w:ascii="Times New Roman" w:eastAsia="仿宋"/>
                <w:szCs w:val="21"/>
              </w:rPr>
            </w:pPr>
            <w:r>
              <w:rPr>
                <w:rFonts w:hint="eastAsia" w:ascii="Times New Roman" w:eastAsia="仿宋"/>
                <w:szCs w:val="24"/>
              </w:rPr>
              <w:t>滤筒除尘器</w:t>
            </w:r>
          </w:p>
        </w:tc>
        <w:tc>
          <w:tcPr>
            <w:tcW w:w="1868" w:type="dxa"/>
            <w:vMerge w:val="continue"/>
            <w:vAlign w:val="center"/>
          </w:tcPr>
          <w:p w14:paraId="41BAAB3E">
            <w:pPr>
              <w:spacing w:line="360" w:lineRule="exact"/>
              <w:jc w:val="center"/>
              <w:rPr>
                <w:rFonts w:ascii="Times New Roman" w:eastAsia="仿宋"/>
                <w:szCs w:val="21"/>
              </w:rPr>
            </w:pPr>
          </w:p>
        </w:tc>
        <w:tc>
          <w:tcPr>
            <w:tcW w:w="1104" w:type="dxa"/>
            <w:vAlign w:val="center"/>
          </w:tcPr>
          <w:p w14:paraId="4509019B">
            <w:pPr>
              <w:spacing w:line="360" w:lineRule="exact"/>
              <w:jc w:val="center"/>
              <w:rPr>
                <w:rFonts w:ascii="Times New Roman" w:eastAsia="仿宋"/>
                <w:szCs w:val="21"/>
              </w:rPr>
            </w:pPr>
            <w:r>
              <w:rPr>
                <w:rFonts w:hint="eastAsia" w:ascii="Times New Roman" w:eastAsia="仿宋"/>
                <w:szCs w:val="21"/>
              </w:rPr>
              <w:t>10</w:t>
            </w:r>
          </w:p>
        </w:tc>
        <w:tc>
          <w:tcPr>
            <w:tcW w:w="1204" w:type="dxa"/>
            <w:vMerge w:val="continue"/>
            <w:vAlign w:val="center"/>
          </w:tcPr>
          <w:p w14:paraId="07E95E4D">
            <w:pPr>
              <w:spacing w:line="360" w:lineRule="exact"/>
              <w:jc w:val="center"/>
              <w:rPr>
                <w:rFonts w:ascii="Times New Roman" w:eastAsia="仿宋"/>
                <w:szCs w:val="21"/>
              </w:rPr>
            </w:pPr>
          </w:p>
        </w:tc>
      </w:tr>
      <w:tr w14:paraId="095B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Align w:val="center"/>
          </w:tcPr>
          <w:p w14:paraId="170352A8">
            <w:pPr>
              <w:spacing w:line="360" w:lineRule="exact"/>
              <w:jc w:val="center"/>
              <w:rPr>
                <w:rFonts w:ascii="Times New Roman" w:eastAsia="仿宋"/>
                <w:szCs w:val="21"/>
              </w:rPr>
            </w:pPr>
            <w:r>
              <w:rPr>
                <w:rFonts w:ascii="Times New Roman" w:eastAsia="仿宋"/>
                <w:szCs w:val="21"/>
              </w:rPr>
              <w:t>固废</w:t>
            </w:r>
          </w:p>
        </w:tc>
        <w:tc>
          <w:tcPr>
            <w:tcW w:w="2550" w:type="dxa"/>
            <w:vAlign w:val="center"/>
          </w:tcPr>
          <w:p w14:paraId="1633D6F4">
            <w:pPr>
              <w:spacing w:line="360" w:lineRule="exact"/>
              <w:jc w:val="center"/>
              <w:rPr>
                <w:rFonts w:ascii="Times New Roman" w:eastAsia="仿宋"/>
                <w:szCs w:val="21"/>
              </w:rPr>
            </w:pPr>
            <w:r>
              <w:rPr>
                <w:rFonts w:ascii="Times New Roman" w:eastAsia="仿宋"/>
                <w:szCs w:val="21"/>
              </w:rPr>
              <w:t>临时收集、存放场所，合理处置</w:t>
            </w:r>
          </w:p>
        </w:tc>
        <w:tc>
          <w:tcPr>
            <w:tcW w:w="1868" w:type="dxa"/>
            <w:vAlign w:val="center"/>
          </w:tcPr>
          <w:p w14:paraId="2B0B5573">
            <w:pPr>
              <w:spacing w:line="360" w:lineRule="exact"/>
              <w:jc w:val="center"/>
              <w:rPr>
                <w:rFonts w:ascii="Times New Roman" w:eastAsia="仿宋"/>
                <w:szCs w:val="21"/>
              </w:rPr>
            </w:pPr>
            <w:r>
              <w:rPr>
                <w:rFonts w:ascii="Times New Roman" w:eastAsia="仿宋"/>
                <w:szCs w:val="21"/>
              </w:rPr>
              <w:t>固废场所做到三防“防风、防晒、防雨”，各类固废处置处理率100%，无排放</w:t>
            </w:r>
          </w:p>
        </w:tc>
        <w:tc>
          <w:tcPr>
            <w:tcW w:w="1104" w:type="dxa"/>
            <w:vAlign w:val="center"/>
          </w:tcPr>
          <w:p w14:paraId="57A6BA51">
            <w:pPr>
              <w:spacing w:line="360" w:lineRule="exact"/>
              <w:jc w:val="center"/>
              <w:rPr>
                <w:rFonts w:ascii="Times New Roman" w:eastAsia="仿宋"/>
                <w:szCs w:val="21"/>
              </w:rPr>
            </w:pPr>
            <w:r>
              <w:rPr>
                <w:rFonts w:hint="eastAsia" w:ascii="Times New Roman" w:eastAsia="仿宋"/>
                <w:szCs w:val="21"/>
              </w:rPr>
              <w:t>20</w:t>
            </w:r>
          </w:p>
        </w:tc>
        <w:tc>
          <w:tcPr>
            <w:tcW w:w="1204" w:type="dxa"/>
            <w:vAlign w:val="center"/>
          </w:tcPr>
          <w:p w14:paraId="77360F2D">
            <w:pPr>
              <w:spacing w:line="360" w:lineRule="exact"/>
              <w:jc w:val="center"/>
              <w:rPr>
                <w:rFonts w:ascii="Times New Roman" w:eastAsia="仿宋"/>
                <w:szCs w:val="21"/>
              </w:rPr>
            </w:pPr>
            <w:r>
              <w:rPr>
                <w:rFonts w:hint="eastAsia" w:ascii="Times New Roman" w:eastAsia="仿宋"/>
                <w:szCs w:val="21"/>
              </w:rPr>
              <w:t>新增1座危废仓库、1座一般固废库</w:t>
            </w:r>
          </w:p>
        </w:tc>
      </w:tr>
      <w:tr w14:paraId="76FB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40" w:type="dxa"/>
            <w:gridSpan w:val="2"/>
            <w:vAlign w:val="center"/>
          </w:tcPr>
          <w:p w14:paraId="2721624B">
            <w:pPr>
              <w:spacing w:line="360" w:lineRule="exact"/>
              <w:jc w:val="center"/>
              <w:rPr>
                <w:rFonts w:ascii="Times New Roman" w:eastAsia="仿宋"/>
                <w:szCs w:val="21"/>
              </w:rPr>
            </w:pPr>
            <w:r>
              <w:rPr>
                <w:rFonts w:ascii="Times New Roman" w:eastAsia="仿宋"/>
                <w:szCs w:val="21"/>
              </w:rPr>
              <w:t>噪声</w:t>
            </w:r>
          </w:p>
        </w:tc>
        <w:tc>
          <w:tcPr>
            <w:tcW w:w="2550" w:type="dxa"/>
            <w:vAlign w:val="center"/>
          </w:tcPr>
          <w:p w14:paraId="0C409034">
            <w:pPr>
              <w:spacing w:line="360" w:lineRule="exact"/>
              <w:jc w:val="center"/>
              <w:rPr>
                <w:rFonts w:ascii="Times New Roman" w:eastAsia="仿宋"/>
                <w:szCs w:val="21"/>
              </w:rPr>
            </w:pPr>
            <w:r>
              <w:rPr>
                <w:rFonts w:ascii="Times New Roman" w:eastAsia="仿宋"/>
                <w:szCs w:val="21"/>
              </w:rPr>
              <w:t>隔音、减振设施</w:t>
            </w:r>
          </w:p>
        </w:tc>
        <w:tc>
          <w:tcPr>
            <w:tcW w:w="1868" w:type="dxa"/>
            <w:vAlign w:val="center"/>
          </w:tcPr>
          <w:p w14:paraId="1EF435EA">
            <w:pPr>
              <w:spacing w:line="360" w:lineRule="exact"/>
              <w:jc w:val="center"/>
              <w:rPr>
                <w:rFonts w:ascii="Times New Roman" w:eastAsia="仿宋"/>
                <w:szCs w:val="21"/>
              </w:rPr>
            </w:pPr>
            <w:r>
              <w:rPr>
                <w:rFonts w:ascii="Times New Roman" w:eastAsia="仿宋"/>
                <w:szCs w:val="21"/>
              </w:rPr>
              <w:t>厂界噪声达标</w:t>
            </w:r>
          </w:p>
        </w:tc>
        <w:tc>
          <w:tcPr>
            <w:tcW w:w="1104" w:type="dxa"/>
            <w:vAlign w:val="center"/>
          </w:tcPr>
          <w:p w14:paraId="770E0557">
            <w:pPr>
              <w:spacing w:line="360" w:lineRule="exact"/>
              <w:jc w:val="center"/>
              <w:rPr>
                <w:rFonts w:ascii="Times New Roman" w:eastAsia="仿宋"/>
                <w:szCs w:val="21"/>
              </w:rPr>
            </w:pPr>
            <w:r>
              <w:rPr>
                <w:rFonts w:hint="eastAsia" w:ascii="Times New Roman" w:eastAsia="仿宋"/>
                <w:szCs w:val="21"/>
              </w:rPr>
              <w:t>15</w:t>
            </w:r>
          </w:p>
        </w:tc>
        <w:tc>
          <w:tcPr>
            <w:tcW w:w="1204" w:type="dxa"/>
            <w:vAlign w:val="center"/>
          </w:tcPr>
          <w:p w14:paraId="2E3C0E9C">
            <w:pPr>
              <w:spacing w:line="360" w:lineRule="exact"/>
              <w:jc w:val="center"/>
              <w:rPr>
                <w:rFonts w:ascii="Times New Roman" w:eastAsia="仿宋"/>
                <w:szCs w:val="21"/>
              </w:rPr>
            </w:pPr>
            <w:r>
              <w:rPr>
                <w:rFonts w:ascii="Times New Roman" w:eastAsia="仿宋"/>
                <w:szCs w:val="21"/>
              </w:rPr>
              <w:t>与项目建设同时完工</w:t>
            </w:r>
          </w:p>
        </w:tc>
      </w:tr>
      <w:tr w14:paraId="3E06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40" w:type="dxa"/>
            <w:gridSpan w:val="2"/>
            <w:vAlign w:val="center"/>
          </w:tcPr>
          <w:p w14:paraId="17E55884">
            <w:pPr>
              <w:spacing w:line="360" w:lineRule="exact"/>
              <w:jc w:val="center"/>
              <w:rPr>
                <w:rFonts w:ascii="Times New Roman" w:eastAsia="仿宋"/>
                <w:szCs w:val="21"/>
              </w:rPr>
            </w:pPr>
            <w:r>
              <w:rPr>
                <w:rFonts w:ascii="Times New Roman" w:eastAsia="仿宋"/>
                <w:szCs w:val="21"/>
              </w:rPr>
              <w:t>清污管网分流建设</w:t>
            </w:r>
          </w:p>
        </w:tc>
        <w:tc>
          <w:tcPr>
            <w:tcW w:w="2550" w:type="dxa"/>
            <w:vAlign w:val="center"/>
          </w:tcPr>
          <w:p w14:paraId="447C2895">
            <w:pPr>
              <w:spacing w:line="360" w:lineRule="exact"/>
              <w:jc w:val="center"/>
              <w:rPr>
                <w:rFonts w:ascii="Times New Roman" w:eastAsia="仿宋"/>
                <w:szCs w:val="21"/>
              </w:rPr>
            </w:pPr>
            <w:r>
              <w:rPr>
                <w:rFonts w:ascii="Times New Roman" w:eastAsia="仿宋"/>
                <w:szCs w:val="21"/>
              </w:rPr>
              <w:t>/</w:t>
            </w:r>
          </w:p>
        </w:tc>
        <w:tc>
          <w:tcPr>
            <w:tcW w:w="1868" w:type="dxa"/>
            <w:vAlign w:val="center"/>
          </w:tcPr>
          <w:p w14:paraId="45CCE0E2">
            <w:pPr>
              <w:spacing w:line="360" w:lineRule="exact"/>
              <w:jc w:val="center"/>
              <w:rPr>
                <w:rFonts w:ascii="Times New Roman" w:eastAsia="仿宋"/>
                <w:szCs w:val="21"/>
              </w:rPr>
            </w:pPr>
            <w:r>
              <w:rPr>
                <w:rFonts w:ascii="Times New Roman" w:eastAsia="仿宋"/>
                <w:szCs w:val="21"/>
              </w:rPr>
              <w:t>做到清污分流、完全收集污水</w:t>
            </w:r>
          </w:p>
        </w:tc>
        <w:tc>
          <w:tcPr>
            <w:tcW w:w="1104" w:type="dxa"/>
            <w:vAlign w:val="center"/>
          </w:tcPr>
          <w:p w14:paraId="7581F0AD">
            <w:pPr>
              <w:spacing w:line="360" w:lineRule="exact"/>
              <w:jc w:val="center"/>
              <w:rPr>
                <w:rFonts w:ascii="Times New Roman" w:eastAsia="仿宋"/>
                <w:szCs w:val="21"/>
              </w:rPr>
            </w:pPr>
            <w:r>
              <w:rPr>
                <w:rFonts w:hint="eastAsia" w:ascii="Times New Roman" w:eastAsia="仿宋"/>
                <w:szCs w:val="21"/>
              </w:rPr>
              <w:t>5</w:t>
            </w:r>
          </w:p>
        </w:tc>
        <w:tc>
          <w:tcPr>
            <w:tcW w:w="1204" w:type="dxa"/>
            <w:vAlign w:val="center"/>
          </w:tcPr>
          <w:p w14:paraId="0E61D64D">
            <w:pPr>
              <w:spacing w:line="360" w:lineRule="exact"/>
              <w:jc w:val="center"/>
              <w:rPr>
                <w:rFonts w:ascii="Times New Roman" w:eastAsia="仿宋"/>
                <w:szCs w:val="21"/>
              </w:rPr>
            </w:pPr>
            <w:r>
              <w:rPr>
                <w:rFonts w:ascii="Times New Roman" w:eastAsia="仿宋"/>
                <w:szCs w:val="21"/>
              </w:rPr>
              <w:t>与项目建设同时完工</w:t>
            </w:r>
          </w:p>
        </w:tc>
      </w:tr>
      <w:tr w14:paraId="4EC9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Merge w:val="restart"/>
            <w:vAlign w:val="center"/>
          </w:tcPr>
          <w:p w14:paraId="7587E9B7">
            <w:pPr>
              <w:spacing w:line="360" w:lineRule="exact"/>
              <w:jc w:val="center"/>
              <w:rPr>
                <w:rFonts w:ascii="Times New Roman" w:eastAsia="仿宋"/>
                <w:szCs w:val="21"/>
              </w:rPr>
            </w:pPr>
            <w:r>
              <w:rPr>
                <w:rFonts w:ascii="Times New Roman" w:eastAsia="仿宋"/>
                <w:szCs w:val="21"/>
              </w:rPr>
              <w:t>应急、风险防范</w:t>
            </w:r>
          </w:p>
        </w:tc>
        <w:tc>
          <w:tcPr>
            <w:tcW w:w="2550" w:type="dxa"/>
            <w:vAlign w:val="center"/>
          </w:tcPr>
          <w:p w14:paraId="27BCBF71">
            <w:pPr>
              <w:spacing w:line="360" w:lineRule="exact"/>
              <w:jc w:val="center"/>
              <w:rPr>
                <w:rFonts w:ascii="Times New Roman" w:eastAsia="仿宋"/>
                <w:szCs w:val="21"/>
              </w:rPr>
            </w:pPr>
            <w:r>
              <w:rPr>
                <w:rFonts w:ascii="Times New Roman" w:eastAsia="仿宋"/>
                <w:szCs w:val="21"/>
              </w:rPr>
              <w:t>应急消防措施</w:t>
            </w:r>
          </w:p>
        </w:tc>
        <w:tc>
          <w:tcPr>
            <w:tcW w:w="1868" w:type="dxa"/>
            <w:vAlign w:val="center"/>
          </w:tcPr>
          <w:p w14:paraId="5F4A550F">
            <w:pPr>
              <w:spacing w:line="360" w:lineRule="exact"/>
              <w:jc w:val="center"/>
              <w:rPr>
                <w:rFonts w:ascii="Times New Roman" w:eastAsia="仿宋"/>
                <w:szCs w:val="21"/>
              </w:rPr>
            </w:pPr>
            <w:r>
              <w:rPr>
                <w:rFonts w:ascii="Times New Roman" w:eastAsia="仿宋"/>
                <w:szCs w:val="21"/>
              </w:rPr>
              <w:t>消防栓、灭火器等</w:t>
            </w:r>
          </w:p>
        </w:tc>
        <w:tc>
          <w:tcPr>
            <w:tcW w:w="1104" w:type="dxa"/>
            <w:vAlign w:val="center"/>
          </w:tcPr>
          <w:p w14:paraId="0724F060">
            <w:pPr>
              <w:spacing w:line="360" w:lineRule="exact"/>
              <w:jc w:val="center"/>
              <w:rPr>
                <w:rFonts w:ascii="Times New Roman" w:eastAsia="仿宋"/>
                <w:szCs w:val="21"/>
              </w:rPr>
            </w:pPr>
            <w:r>
              <w:rPr>
                <w:rFonts w:hint="eastAsia" w:ascii="Times New Roman" w:eastAsia="仿宋"/>
                <w:szCs w:val="21"/>
              </w:rPr>
              <w:t>10</w:t>
            </w:r>
          </w:p>
        </w:tc>
        <w:tc>
          <w:tcPr>
            <w:tcW w:w="1204" w:type="dxa"/>
            <w:vAlign w:val="center"/>
          </w:tcPr>
          <w:p w14:paraId="34C3AA5F">
            <w:pPr>
              <w:spacing w:line="360" w:lineRule="exact"/>
              <w:jc w:val="center"/>
              <w:rPr>
                <w:rFonts w:ascii="Times New Roman" w:eastAsia="仿宋"/>
                <w:szCs w:val="21"/>
              </w:rPr>
            </w:pPr>
            <w:r>
              <w:rPr>
                <w:rFonts w:ascii="Times New Roman" w:eastAsia="仿宋"/>
                <w:szCs w:val="21"/>
              </w:rPr>
              <w:t>与项目建设同时完工</w:t>
            </w:r>
          </w:p>
        </w:tc>
      </w:tr>
      <w:tr w14:paraId="3C1F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Merge w:val="continue"/>
            <w:vAlign w:val="center"/>
          </w:tcPr>
          <w:p w14:paraId="3B72D80B">
            <w:pPr>
              <w:spacing w:line="360" w:lineRule="exact"/>
              <w:jc w:val="center"/>
              <w:rPr>
                <w:rFonts w:ascii="Times New Roman" w:eastAsia="仿宋"/>
                <w:szCs w:val="21"/>
              </w:rPr>
            </w:pPr>
          </w:p>
        </w:tc>
        <w:tc>
          <w:tcPr>
            <w:tcW w:w="2550" w:type="dxa"/>
            <w:vAlign w:val="center"/>
          </w:tcPr>
          <w:p w14:paraId="40E43C19">
            <w:pPr>
              <w:spacing w:line="360" w:lineRule="exact"/>
              <w:jc w:val="center"/>
              <w:rPr>
                <w:rFonts w:ascii="Times New Roman" w:eastAsia="仿宋"/>
                <w:szCs w:val="21"/>
              </w:rPr>
            </w:pPr>
            <w:r>
              <w:rPr>
                <w:rFonts w:ascii="Times New Roman" w:eastAsia="仿宋"/>
                <w:szCs w:val="21"/>
              </w:rPr>
              <w:t>事故应急池</w:t>
            </w:r>
          </w:p>
        </w:tc>
        <w:tc>
          <w:tcPr>
            <w:tcW w:w="1868" w:type="dxa"/>
            <w:vAlign w:val="center"/>
          </w:tcPr>
          <w:p w14:paraId="3D942B90">
            <w:pPr>
              <w:spacing w:line="360" w:lineRule="exact"/>
              <w:jc w:val="center"/>
              <w:rPr>
                <w:rFonts w:ascii="Times New Roman" w:eastAsia="仿宋"/>
                <w:szCs w:val="21"/>
              </w:rPr>
            </w:pPr>
            <w:r>
              <w:rPr>
                <w:rFonts w:ascii="Times New Roman" w:eastAsia="仿宋"/>
                <w:szCs w:val="21"/>
              </w:rPr>
              <w:t>1座</w:t>
            </w:r>
            <w:r>
              <w:rPr>
                <w:rFonts w:hint="eastAsia" w:ascii="Times New Roman" w:eastAsia="仿宋"/>
                <w:szCs w:val="21"/>
              </w:rPr>
              <w:t>100m</w:t>
            </w:r>
            <w:r>
              <w:rPr>
                <w:rFonts w:hint="eastAsia" w:ascii="Times New Roman" w:eastAsia="仿宋"/>
                <w:szCs w:val="21"/>
                <w:vertAlign w:val="superscript"/>
              </w:rPr>
              <w:t>3</w:t>
            </w:r>
            <w:r>
              <w:rPr>
                <w:rFonts w:ascii="Times New Roman" w:eastAsia="仿宋"/>
                <w:szCs w:val="21"/>
              </w:rPr>
              <w:t>事故应急池</w:t>
            </w:r>
          </w:p>
        </w:tc>
        <w:tc>
          <w:tcPr>
            <w:tcW w:w="1104" w:type="dxa"/>
            <w:vAlign w:val="center"/>
          </w:tcPr>
          <w:p w14:paraId="24DE9332">
            <w:pPr>
              <w:spacing w:line="360" w:lineRule="exact"/>
              <w:jc w:val="center"/>
              <w:rPr>
                <w:rFonts w:ascii="Times New Roman" w:eastAsia="仿宋"/>
                <w:szCs w:val="21"/>
              </w:rPr>
            </w:pPr>
            <w:r>
              <w:rPr>
                <w:rFonts w:ascii="Times New Roman" w:eastAsia="仿宋"/>
                <w:szCs w:val="21"/>
              </w:rPr>
              <w:t>0</w:t>
            </w:r>
          </w:p>
        </w:tc>
        <w:tc>
          <w:tcPr>
            <w:tcW w:w="1204" w:type="dxa"/>
            <w:vAlign w:val="center"/>
          </w:tcPr>
          <w:p w14:paraId="6D2CBDD4">
            <w:pPr>
              <w:spacing w:line="360" w:lineRule="exact"/>
              <w:jc w:val="center"/>
              <w:rPr>
                <w:rFonts w:ascii="Times New Roman" w:eastAsia="仿宋"/>
                <w:szCs w:val="21"/>
              </w:rPr>
            </w:pPr>
            <w:r>
              <w:rPr>
                <w:rFonts w:ascii="Times New Roman" w:eastAsia="仿宋"/>
                <w:szCs w:val="21"/>
              </w:rPr>
              <w:t>依托原有</w:t>
            </w:r>
          </w:p>
        </w:tc>
      </w:tr>
      <w:tr w14:paraId="7098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Align w:val="center"/>
          </w:tcPr>
          <w:p w14:paraId="4EFCBA58">
            <w:pPr>
              <w:spacing w:line="360" w:lineRule="exact"/>
              <w:jc w:val="center"/>
              <w:rPr>
                <w:rFonts w:ascii="Times New Roman" w:eastAsia="仿宋"/>
                <w:szCs w:val="21"/>
              </w:rPr>
            </w:pPr>
            <w:r>
              <w:rPr>
                <w:rFonts w:ascii="Times New Roman" w:eastAsia="仿宋"/>
                <w:szCs w:val="21"/>
              </w:rPr>
              <w:t>排污口整治等</w:t>
            </w:r>
          </w:p>
        </w:tc>
        <w:tc>
          <w:tcPr>
            <w:tcW w:w="2550" w:type="dxa"/>
            <w:vAlign w:val="center"/>
          </w:tcPr>
          <w:p w14:paraId="754A1ED4">
            <w:pPr>
              <w:spacing w:line="360" w:lineRule="exact"/>
              <w:jc w:val="center"/>
              <w:rPr>
                <w:rFonts w:ascii="Times New Roman" w:eastAsia="仿宋"/>
                <w:szCs w:val="21"/>
              </w:rPr>
            </w:pPr>
            <w:r>
              <w:rPr>
                <w:rFonts w:ascii="Times New Roman" w:eastAsia="仿宋"/>
                <w:szCs w:val="21"/>
              </w:rPr>
              <w:t>规范排污口，设置与排污口相应的环境保护图形标志牌等</w:t>
            </w:r>
          </w:p>
        </w:tc>
        <w:tc>
          <w:tcPr>
            <w:tcW w:w="1868" w:type="dxa"/>
            <w:vAlign w:val="center"/>
          </w:tcPr>
          <w:p w14:paraId="1BDD5D74">
            <w:pPr>
              <w:spacing w:line="360" w:lineRule="exact"/>
              <w:jc w:val="center"/>
              <w:rPr>
                <w:rFonts w:ascii="Times New Roman" w:eastAsia="仿宋"/>
                <w:szCs w:val="21"/>
              </w:rPr>
            </w:pPr>
            <w:r>
              <w:rPr>
                <w:rFonts w:ascii="Times New Roman" w:eastAsia="仿宋"/>
                <w:szCs w:val="21"/>
              </w:rPr>
              <w:t>符合排污口规范</w:t>
            </w:r>
          </w:p>
        </w:tc>
        <w:tc>
          <w:tcPr>
            <w:tcW w:w="1104" w:type="dxa"/>
            <w:vAlign w:val="center"/>
          </w:tcPr>
          <w:p w14:paraId="61C4294A">
            <w:pPr>
              <w:spacing w:line="360" w:lineRule="exact"/>
              <w:jc w:val="center"/>
              <w:rPr>
                <w:rFonts w:ascii="Times New Roman" w:eastAsia="仿宋"/>
                <w:szCs w:val="21"/>
              </w:rPr>
            </w:pPr>
            <w:r>
              <w:rPr>
                <w:rFonts w:hint="eastAsia" w:ascii="Times New Roman" w:eastAsia="仿宋"/>
                <w:szCs w:val="21"/>
              </w:rPr>
              <w:t>5</w:t>
            </w:r>
          </w:p>
        </w:tc>
        <w:tc>
          <w:tcPr>
            <w:tcW w:w="1204" w:type="dxa"/>
            <w:vAlign w:val="center"/>
          </w:tcPr>
          <w:p w14:paraId="7711779A">
            <w:pPr>
              <w:spacing w:line="360" w:lineRule="exact"/>
              <w:jc w:val="center"/>
              <w:rPr>
                <w:rFonts w:ascii="Times New Roman" w:eastAsia="仿宋"/>
                <w:szCs w:val="21"/>
              </w:rPr>
            </w:pPr>
            <w:r>
              <w:rPr>
                <w:rFonts w:ascii="Times New Roman" w:eastAsia="仿宋"/>
                <w:szCs w:val="21"/>
              </w:rPr>
              <w:t>与项目建设同时完工</w:t>
            </w:r>
          </w:p>
        </w:tc>
      </w:tr>
      <w:tr w14:paraId="1238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8" w:type="dxa"/>
            <w:gridSpan w:val="4"/>
            <w:vAlign w:val="center"/>
          </w:tcPr>
          <w:p w14:paraId="40D0C47C">
            <w:pPr>
              <w:spacing w:line="360" w:lineRule="exact"/>
              <w:jc w:val="center"/>
              <w:rPr>
                <w:rFonts w:ascii="Times New Roman" w:eastAsia="仿宋"/>
                <w:szCs w:val="21"/>
              </w:rPr>
            </w:pPr>
            <w:r>
              <w:rPr>
                <w:rFonts w:ascii="Times New Roman" w:eastAsia="仿宋"/>
                <w:szCs w:val="21"/>
              </w:rPr>
              <w:t>合计</w:t>
            </w:r>
          </w:p>
        </w:tc>
        <w:tc>
          <w:tcPr>
            <w:tcW w:w="1104" w:type="dxa"/>
            <w:vAlign w:val="center"/>
          </w:tcPr>
          <w:p w14:paraId="71D7A676">
            <w:pPr>
              <w:spacing w:line="360" w:lineRule="exact"/>
              <w:jc w:val="center"/>
              <w:rPr>
                <w:rFonts w:ascii="Times New Roman" w:eastAsia="仿宋"/>
                <w:szCs w:val="21"/>
              </w:rPr>
            </w:pPr>
            <w:r>
              <w:rPr>
                <w:rFonts w:hint="eastAsia" w:ascii="Times New Roman" w:eastAsia="仿宋"/>
                <w:szCs w:val="21"/>
              </w:rPr>
              <w:t>450</w:t>
            </w:r>
          </w:p>
        </w:tc>
        <w:tc>
          <w:tcPr>
            <w:tcW w:w="1204" w:type="dxa"/>
            <w:vAlign w:val="center"/>
          </w:tcPr>
          <w:p w14:paraId="2929182C">
            <w:pPr>
              <w:spacing w:line="360" w:lineRule="exact"/>
              <w:jc w:val="center"/>
              <w:rPr>
                <w:rFonts w:ascii="Times New Roman" w:eastAsia="仿宋"/>
                <w:szCs w:val="21"/>
              </w:rPr>
            </w:pPr>
          </w:p>
        </w:tc>
      </w:tr>
    </w:tbl>
    <w:p w14:paraId="38228328">
      <w:pPr>
        <w:pStyle w:val="6"/>
        <w:keepLines w:val="0"/>
        <w:tabs>
          <w:tab w:val="left" w:pos="851"/>
        </w:tabs>
        <w:spacing w:before="0" w:after="120" w:afterLines="50" w:line="500" w:lineRule="exact"/>
        <w:rPr>
          <w:rFonts w:ascii="Times New Roman" w:eastAsia="仿宋"/>
          <w:spacing w:val="6"/>
          <w:sz w:val="28"/>
          <w:szCs w:val="20"/>
        </w:rPr>
      </w:pPr>
      <w:r>
        <w:rPr>
          <w:rFonts w:hint="eastAsia" w:ascii="Times New Roman" w:eastAsia="仿宋"/>
          <w:spacing w:val="6"/>
          <w:sz w:val="28"/>
          <w:szCs w:val="20"/>
        </w:rPr>
        <w:t>7</w:t>
      </w:r>
      <w:r>
        <w:rPr>
          <w:rFonts w:ascii="Times New Roman" w:eastAsia="仿宋"/>
          <w:spacing w:val="6"/>
          <w:sz w:val="28"/>
          <w:szCs w:val="20"/>
        </w:rPr>
        <w:t>.2.2预期环境效益</w:t>
      </w:r>
    </w:p>
    <w:p w14:paraId="7BC44CBE">
      <w:pPr>
        <w:spacing w:line="500" w:lineRule="exact"/>
        <w:ind w:firstLine="556"/>
        <w:rPr>
          <w:rFonts w:ascii="Times New Roman" w:eastAsia="仿宋"/>
          <w:sz w:val="28"/>
        </w:rPr>
      </w:pPr>
      <w:r>
        <w:rPr>
          <w:rFonts w:ascii="Times New Roman" w:eastAsia="仿宋"/>
          <w:sz w:val="28"/>
        </w:rPr>
        <w:t>根据项目的环境影响评价及污染防治措施分析，上述环保设施的建成与投入运行，可以满足本项目废气、噪声等达标排放、污染物总量控制及清洁生产的要求，并可以保证企业有良好的生产环境。上述情况表明本项目环保投资可以满足环保设施要求。</w:t>
      </w:r>
    </w:p>
    <w:p w14:paraId="17F4520C">
      <w:pPr>
        <w:pStyle w:val="5"/>
        <w:numPr>
          <w:ilvl w:val="0"/>
          <w:numId w:val="0"/>
        </w:numPr>
        <w:rPr>
          <w:rFonts w:eastAsia="仿宋"/>
          <w:color w:val="auto"/>
        </w:rPr>
      </w:pPr>
      <w:bookmarkStart w:id="466" w:name="_Hlt107118318"/>
      <w:bookmarkEnd w:id="466"/>
      <w:bookmarkStart w:id="467" w:name="_Toc182553834"/>
      <w:bookmarkStart w:id="468" w:name="_Toc48125351"/>
      <w:bookmarkStart w:id="469" w:name="_Toc227951107"/>
      <w:bookmarkStart w:id="470" w:name="_Toc240859428"/>
      <w:bookmarkStart w:id="471" w:name="_Toc97911025"/>
      <w:bookmarkStart w:id="472" w:name="_Toc236536321"/>
      <w:bookmarkStart w:id="473" w:name="_Toc110864188"/>
      <w:bookmarkStart w:id="474" w:name="_Toc238363498"/>
      <w:bookmarkStart w:id="475" w:name="_Toc192428605"/>
      <w:bookmarkStart w:id="476" w:name="_Toc200708037"/>
      <w:r>
        <w:rPr>
          <w:rFonts w:hint="eastAsia" w:eastAsia="仿宋"/>
          <w:color w:val="auto"/>
        </w:rPr>
        <w:t>7</w:t>
      </w:r>
      <w:r>
        <w:rPr>
          <w:rFonts w:eastAsia="仿宋"/>
          <w:color w:val="auto"/>
        </w:rPr>
        <w:t>.3社会效益分析</w:t>
      </w:r>
      <w:bookmarkEnd w:id="467"/>
      <w:bookmarkEnd w:id="468"/>
      <w:bookmarkEnd w:id="469"/>
      <w:bookmarkEnd w:id="470"/>
      <w:bookmarkEnd w:id="471"/>
      <w:bookmarkEnd w:id="472"/>
      <w:bookmarkEnd w:id="473"/>
      <w:bookmarkEnd w:id="474"/>
      <w:bookmarkEnd w:id="475"/>
      <w:bookmarkEnd w:id="476"/>
    </w:p>
    <w:p w14:paraId="0F4BA93A">
      <w:pPr>
        <w:spacing w:line="500" w:lineRule="exact"/>
        <w:ind w:firstLine="556"/>
        <w:rPr>
          <w:rFonts w:ascii="Times New Roman" w:eastAsia="仿宋"/>
          <w:sz w:val="28"/>
        </w:rPr>
      </w:pPr>
      <w:r>
        <w:rPr>
          <w:rFonts w:ascii="Times New Roman" w:eastAsia="仿宋"/>
          <w:sz w:val="28"/>
        </w:rPr>
        <w:t>本项目的建成投产将在以下几个方面产生社会效益：</w:t>
      </w:r>
    </w:p>
    <w:p w14:paraId="498CE505">
      <w:pPr>
        <w:spacing w:line="500" w:lineRule="exact"/>
        <w:ind w:firstLine="556"/>
        <w:rPr>
          <w:rFonts w:ascii="Times New Roman" w:eastAsia="仿宋"/>
          <w:sz w:val="28"/>
        </w:rPr>
      </w:pPr>
      <w:r>
        <w:rPr>
          <w:rFonts w:ascii="Times New Roman" w:eastAsia="仿宋"/>
          <w:sz w:val="28"/>
        </w:rPr>
        <w:t>由于本工程采用先进、合理、可靠的工艺技术和污染治理手段，大大削减了各类污染物的排放量。同时，本工程经济效益良好，除上交国家一定利税外，还能促进本地区相关企业发展，为地方经济发展做出贡献。随着该项目的建成投产，提供了更多工作岗位安排当地居民就业。同时也会增加一些间接就业机会，指该项目的实施推动当地相关行业生产发展，由此而带来的就业机会。它在一定程度上减轻了国家负担，维护了社会安定。</w:t>
      </w:r>
    </w:p>
    <w:p w14:paraId="2A85E6FB">
      <w:pPr>
        <w:spacing w:line="500" w:lineRule="exact"/>
        <w:ind w:firstLine="556"/>
        <w:rPr>
          <w:rFonts w:ascii="Times New Roman" w:eastAsia="仿宋"/>
          <w:sz w:val="28"/>
        </w:rPr>
        <w:sectPr>
          <w:footerReference r:id="rId29" w:type="default"/>
          <w:headerReference r:id="rId28" w:type="even"/>
          <w:footerReference r:id="rId30" w:type="even"/>
          <w:pgSz w:w="11906" w:h="16838"/>
          <w:pgMar w:top="1440" w:right="1800" w:bottom="1440" w:left="1800" w:header="851" w:footer="992" w:gutter="0"/>
          <w:cols w:space="720" w:num="1"/>
          <w:docGrid w:linePitch="312" w:charSpace="0"/>
        </w:sectPr>
      </w:pPr>
      <w:r>
        <w:rPr>
          <w:rFonts w:ascii="Times New Roman" w:eastAsia="仿宋"/>
          <w:sz w:val="28"/>
        </w:rPr>
        <w:t>综上分析，本项目社会效益十分突出。</w:t>
      </w:r>
    </w:p>
    <w:p w14:paraId="30846D67">
      <w:pPr>
        <w:pStyle w:val="4"/>
        <w:tabs>
          <w:tab w:val="left" w:pos="284"/>
        </w:tabs>
        <w:spacing w:before="120" w:beforeLines="50" w:after="120" w:afterLines="50" w:line="500" w:lineRule="exact"/>
        <w:rPr>
          <w:rFonts w:eastAsia="仿宋"/>
          <w:sz w:val="36"/>
          <w:szCs w:val="36"/>
        </w:rPr>
      </w:pPr>
      <w:bookmarkStart w:id="477" w:name="_Toc158425201"/>
      <w:bookmarkStart w:id="478" w:name="_Toc154587902"/>
      <w:bookmarkStart w:id="479" w:name="_Toc168972819"/>
      <w:bookmarkStart w:id="480" w:name="_Toc327388553"/>
      <w:bookmarkStart w:id="481" w:name="_Toc217105373"/>
      <w:bookmarkStart w:id="482" w:name="_Toc154585777"/>
      <w:bookmarkStart w:id="483" w:name="_Toc149147492"/>
      <w:bookmarkStart w:id="484" w:name="_Toc124720396"/>
      <w:bookmarkStart w:id="485" w:name="_Toc169858793"/>
      <w:bookmarkStart w:id="486" w:name="_Toc182553835"/>
      <w:r>
        <w:rPr>
          <w:rFonts w:hint="eastAsia" w:eastAsia="仿宋"/>
          <w:sz w:val="36"/>
          <w:szCs w:val="36"/>
        </w:rPr>
        <w:t>8</w:t>
      </w:r>
      <w:r>
        <w:rPr>
          <w:rFonts w:eastAsia="仿宋"/>
          <w:sz w:val="36"/>
          <w:szCs w:val="36"/>
        </w:rPr>
        <w:t>环境</w:t>
      </w:r>
      <w:bookmarkEnd w:id="477"/>
      <w:bookmarkEnd w:id="478"/>
      <w:bookmarkEnd w:id="479"/>
      <w:bookmarkEnd w:id="480"/>
      <w:bookmarkEnd w:id="481"/>
      <w:bookmarkEnd w:id="482"/>
      <w:bookmarkEnd w:id="483"/>
      <w:bookmarkEnd w:id="484"/>
      <w:bookmarkEnd w:id="485"/>
      <w:r>
        <w:rPr>
          <w:rFonts w:eastAsia="仿宋"/>
          <w:sz w:val="36"/>
          <w:szCs w:val="36"/>
        </w:rPr>
        <w:t>管理与监测计划</w:t>
      </w:r>
      <w:bookmarkEnd w:id="486"/>
    </w:p>
    <w:p w14:paraId="00EF17A3">
      <w:pPr>
        <w:pStyle w:val="5"/>
        <w:numPr>
          <w:ilvl w:val="0"/>
          <w:numId w:val="0"/>
        </w:numPr>
        <w:rPr>
          <w:rFonts w:eastAsia="仿宋"/>
          <w:color w:val="auto"/>
        </w:rPr>
      </w:pPr>
      <w:bookmarkStart w:id="487" w:name="_Toc182553836"/>
      <w:r>
        <w:rPr>
          <w:rFonts w:hint="eastAsia" w:eastAsia="仿宋"/>
          <w:color w:val="auto"/>
        </w:rPr>
        <w:t>8</w:t>
      </w:r>
      <w:r>
        <w:rPr>
          <w:rFonts w:eastAsia="仿宋"/>
          <w:color w:val="auto"/>
        </w:rPr>
        <w:t>.1环境管理</w:t>
      </w:r>
      <w:bookmarkEnd w:id="487"/>
    </w:p>
    <w:p w14:paraId="7F614EB6">
      <w:pPr>
        <w:pStyle w:val="6"/>
        <w:keepLines w:val="0"/>
        <w:tabs>
          <w:tab w:val="left" w:pos="709"/>
        </w:tabs>
        <w:spacing w:before="0" w:after="120" w:afterLines="50" w:line="500" w:lineRule="exact"/>
        <w:rPr>
          <w:rFonts w:ascii="Times New Roman" w:eastAsia="仿宋"/>
          <w:spacing w:val="6"/>
          <w:sz w:val="28"/>
          <w:szCs w:val="20"/>
        </w:rPr>
      </w:pPr>
      <w:r>
        <w:rPr>
          <w:rFonts w:hint="eastAsia" w:ascii="Times New Roman" w:eastAsia="仿宋"/>
          <w:spacing w:val="6"/>
          <w:sz w:val="28"/>
          <w:szCs w:val="20"/>
        </w:rPr>
        <w:t>8</w:t>
      </w:r>
      <w:r>
        <w:rPr>
          <w:rFonts w:ascii="Times New Roman" w:eastAsia="仿宋"/>
          <w:spacing w:val="6"/>
          <w:sz w:val="28"/>
          <w:szCs w:val="20"/>
        </w:rPr>
        <w:t>.1.1环境管理要求</w:t>
      </w:r>
    </w:p>
    <w:p w14:paraId="43152469">
      <w:pPr>
        <w:spacing w:line="500" w:lineRule="exact"/>
        <w:ind w:firstLine="560" w:firstLineChars="200"/>
        <w:rPr>
          <w:rFonts w:ascii="Times New Roman" w:eastAsia="仿宋"/>
          <w:sz w:val="28"/>
        </w:rPr>
      </w:pPr>
      <w:r>
        <w:rPr>
          <w:rFonts w:ascii="Times New Roman" w:eastAsia="仿宋"/>
          <w:sz w:val="28"/>
        </w:rPr>
        <w:t>本项目在营运期期将对周围环境产生一定的影响，因此建设单位应加强环境管理，有关管理要求见下表。</w:t>
      </w:r>
    </w:p>
    <w:p w14:paraId="6E8F2E52">
      <w:pPr>
        <w:spacing w:line="500" w:lineRule="exact"/>
        <w:jc w:val="center"/>
        <w:rPr>
          <w:rFonts w:ascii="Times New Roman" w:eastAsia="仿宋"/>
          <w:b/>
        </w:rPr>
      </w:pPr>
      <w:bookmarkStart w:id="488" w:name="_Ref472458053"/>
      <w:r>
        <w:rPr>
          <w:rFonts w:ascii="Times New Roman" w:eastAsia="仿宋"/>
          <w:b/>
        </w:rPr>
        <w:t>表</w:t>
      </w:r>
      <w:bookmarkEnd w:id="488"/>
      <w:r>
        <w:rPr>
          <w:rFonts w:ascii="Times New Roman" w:eastAsia="仿宋"/>
          <w:b/>
        </w:rPr>
        <w:t>8.1-1   运营期环境管理要求</w:t>
      </w:r>
    </w:p>
    <w:tbl>
      <w:tblPr>
        <w:tblStyle w:val="87"/>
        <w:tblW w:w="56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8101"/>
      </w:tblGrid>
      <w:tr w14:paraId="1377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9" w:type="pct"/>
            <w:vAlign w:val="center"/>
          </w:tcPr>
          <w:p w14:paraId="0C15486C">
            <w:pPr>
              <w:adjustRightInd w:val="0"/>
              <w:snapToGrid w:val="0"/>
              <w:jc w:val="center"/>
              <w:rPr>
                <w:rFonts w:ascii="Times New Roman" w:eastAsia="仿宋"/>
                <w:szCs w:val="21"/>
              </w:rPr>
            </w:pPr>
            <w:r>
              <w:rPr>
                <w:rFonts w:ascii="Times New Roman" w:eastAsia="仿宋"/>
                <w:szCs w:val="21"/>
              </w:rPr>
              <w:t>项目</w:t>
            </w:r>
          </w:p>
        </w:tc>
        <w:tc>
          <w:tcPr>
            <w:tcW w:w="4221" w:type="pct"/>
            <w:vAlign w:val="center"/>
          </w:tcPr>
          <w:p w14:paraId="2C609F20">
            <w:pPr>
              <w:adjustRightInd w:val="0"/>
              <w:snapToGrid w:val="0"/>
              <w:jc w:val="center"/>
              <w:rPr>
                <w:rFonts w:ascii="Times New Roman" w:eastAsia="仿宋"/>
                <w:szCs w:val="21"/>
              </w:rPr>
            </w:pPr>
            <w:r>
              <w:rPr>
                <w:rFonts w:ascii="Times New Roman" w:eastAsia="仿宋"/>
                <w:szCs w:val="21"/>
              </w:rPr>
              <w:t>运营期环境管理要求及内容</w:t>
            </w:r>
          </w:p>
        </w:tc>
      </w:tr>
      <w:tr w14:paraId="0281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1DB82ACE">
            <w:pPr>
              <w:adjustRightInd w:val="0"/>
              <w:snapToGrid w:val="0"/>
              <w:jc w:val="center"/>
              <w:rPr>
                <w:rFonts w:ascii="Times New Roman" w:eastAsia="仿宋"/>
                <w:szCs w:val="21"/>
              </w:rPr>
            </w:pPr>
            <w:r>
              <w:rPr>
                <w:rFonts w:ascii="Times New Roman" w:eastAsia="仿宋"/>
                <w:szCs w:val="21"/>
              </w:rPr>
              <w:t>环境管理措施</w:t>
            </w:r>
          </w:p>
        </w:tc>
        <w:tc>
          <w:tcPr>
            <w:tcW w:w="4221" w:type="pct"/>
            <w:vAlign w:val="center"/>
          </w:tcPr>
          <w:p w14:paraId="10EA1EE6">
            <w:pPr>
              <w:adjustRightInd w:val="0"/>
              <w:snapToGrid w:val="0"/>
              <w:rPr>
                <w:rFonts w:ascii="Times New Roman" w:eastAsia="仿宋"/>
                <w:szCs w:val="21"/>
              </w:rPr>
            </w:pPr>
            <w:r>
              <w:rPr>
                <w:rFonts w:ascii="Times New Roman" w:eastAsia="仿宋"/>
                <w:szCs w:val="21"/>
              </w:rPr>
              <w:t>①设立内部环境保护管理机构，专人负责环境保护工作，实行定岗定员，岗位责任制，负责各生产环节的环境保护管理。</w:t>
            </w:r>
          </w:p>
          <w:p w14:paraId="34ABDA3F">
            <w:pPr>
              <w:adjustRightInd w:val="0"/>
              <w:snapToGrid w:val="0"/>
              <w:rPr>
                <w:rFonts w:ascii="Times New Roman" w:eastAsia="仿宋"/>
                <w:szCs w:val="21"/>
              </w:rPr>
            </w:pPr>
            <w:r>
              <w:rPr>
                <w:rFonts w:ascii="Times New Roman" w:eastAsia="仿宋"/>
                <w:szCs w:val="21"/>
              </w:rPr>
              <w:t>②加强对厂内职工的环保宣传、教育工作，制定厂内生产环境管理规章制度要上墙张贴。③各项环保设施的管理纳入到日常管理工作的范畴，落实责任人、操作人员、维修人员，确保运行经费、设备的备品备件和其他原辅材料完善。</w:t>
            </w:r>
          </w:p>
          <w:p w14:paraId="7C7F1555">
            <w:pPr>
              <w:adjustRightInd w:val="0"/>
              <w:snapToGrid w:val="0"/>
              <w:rPr>
                <w:rFonts w:ascii="Times New Roman" w:eastAsia="仿宋"/>
                <w:szCs w:val="21"/>
              </w:rPr>
            </w:pPr>
            <w:r>
              <w:rPr>
                <w:rFonts w:ascii="Times New Roman" w:eastAsia="仿宋"/>
                <w:szCs w:val="21"/>
              </w:rPr>
              <w:t>④配备1-2名环境管理人员，负责运营期各项环保措施落实、运行情况。</w:t>
            </w:r>
          </w:p>
        </w:tc>
      </w:tr>
      <w:tr w14:paraId="3596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2702C511">
            <w:pPr>
              <w:adjustRightInd w:val="0"/>
              <w:snapToGrid w:val="0"/>
              <w:jc w:val="center"/>
              <w:rPr>
                <w:rFonts w:ascii="Times New Roman" w:eastAsia="仿宋"/>
                <w:szCs w:val="21"/>
              </w:rPr>
            </w:pPr>
            <w:r>
              <w:rPr>
                <w:rFonts w:ascii="Times New Roman" w:eastAsia="仿宋"/>
                <w:szCs w:val="21"/>
              </w:rPr>
              <w:t>废气控制措施</w:t>
            </w:r>
          </w:p>
        </w:tc>
        <w:tc>
          <w:tcPr>
            <w:tcW w:w="4221" w:type="pct"/>
            <w:vAlign w:val="center"/>
          </w:tcPr>
          <w:p w14:paraId="4F3E445C">
            <w:pPr>
              <w:adjustRightInd w:val="0"/>
              <w:snapToGrid w:val="0"/>
              <w:rPr>
                <w:rFonts w:ascii="Times New Roman" w:eastAsia="仿宋"/>
                <w:szCs w:val="21"/>
              </w:rPr>
            </w:pPr>
            <w:r>
              <w:rPr>
                <w:rFonts w:ascii="Times New Roman" w:eastAsia="仿宋"/>
                <w:szCs w:val="21"/>
              </w:rPr>
              <w:t>①按照《江苏省排污口设置及规范化整治管理办法》，建设项目废气排放口，废气排气筒高度应符合国家大气污染物排放标准的有关规定，排气筒均应设置便于采样、监测的采样口和采样监测平台，在排气筒附近地面醒目处设置环保图形标志牌，标明排气筒高度、出口内径、排放污染物种类等。</w:t>
            </w:r>
          </w:p>
          <w:p w14:paraId="58FEBA66">
            <w:pPr>
              <w:adjustRightInd w:val="0"/>
              <w:snapToGrid w:val="0"/>
              <w:rPr>
                <w:rFonts w:ascii="Times New Roman" w:eastAsia="仿宋"/>
                <w:szCs w:val="21"/>
              </w:rPr>
            </w:pPr>
            <w:r>
              <w:rPr>
                <w:rFonts w:ascii="Times New Roman" w:eastAsia="仿宋"/>
                <w:szCs w:val="21"/>
              </w:rPr>
              <w:t>②严格执行安全操作规程和劳动防护制度，建立维检制度，由专人负责定期检查、记录设施情况，定期检修；建立健全岗位责任制、制定正确的操作规程、建立管理台账。</w:t>
            </w:r>
          </w:p>
          <w:p w14:paraId="23CFF97A">
            <w:pPr>
              <w:adjustRightInd w:val="0"/>
              <w:snapToGrid w:val="0"/>
              <w:rPr>
                <w:rFonts w:ascii="Times New Roman" w:eastAsia="仿宋"/>
                <w:szCs w:val="21"/>
              </w:rPr>
            </w:pPr>
            <w:r>
              <w:rPr>
                <w:rFonts w:ascii="Times New Roman" w:eastAsia="仿宋"/>
                <w:szCs w:val="21"/>
              </w:rPr>
              <w:t>③废气净化装置排放口定期进行定期监测。</w:t>
            </w:r>
          </w:p>
          <w:p w14:paraId="2B4B09B1">
            <w:pPr>
              <w:adjustRightInd w:val="0"/>
              <w:snapToGrid w:val="0"/>
              <w:rPr>
                <w:rFonts w:ascii="Times New Roman" w:eastAsia="仿宋"/>
                <w:szCs w:val="21"/>
              </w:rPr>
            </w:pPr>
            <w:r>
              <w:rPr>
                <w:rFonts w:ascii="Times New Roman" w:eastAsia="仿宋"/>
                <w:szCs w:val="21"/>
              </w:rPr>
              <w:t>④在废气产生工段及对应污染防</w:t>
            </w:r>
            <w:r>
              <w:rPr>
                <w:rFonts w:hint="eastAsia" w:ascii="Times New Roman" w:eastAsia="仿宋"/>
                <w:szCs w:val="21"/>
                <w:lang w:eastAsia="zh-CN"/>
              </w:rPr>
              <w:t>治</w:t>
            </w:r>
            <w:r>
              <w:rPr>
                <w:rFonts w:ascii="Times New Roman" w:eastAsia="仿宋"/>
                <w:szCs w:val="21"/>
              </w:rPr>
              <w:t>措施安装电力监控。</w:t>
            </w:r>
          </w:p>
        </w:tc>
      </w:tr>
      <w:tr w14:paraId="21CA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49A13178">
            <w:pPr>
              <w:adjustRightInd w:val="0"/>
              <w:snapToGrid w:val="0"/>
              <w:jc w:val="center"/>
              <w:rPr>
                <w:rFonts w:ascii="Times New Roman" w:eastAsia="仿宋"/>
                <w:szCs w:val="21"/>
              </w:rPr>
            </w:pPr>
            <w:r>
              <w:rPr>
                <w:rFonts w:ascii="Times New Roman" w:eastAsia="仿宋"/>
                <w:szCs w:val="21"/>
              </w:rPr>
              <w:t>噪声控制措施</w:t>
            </w:r>
          </w:p>
        </w:tc>
        <w:tc>
          <w:tcPr>
            <w:tcW w:w="4221" w:type="pct"/>
            <w:vAlign w:val="center"/>
          </w:tcPr>
          <w:p w14:paraId="7929197D">
            <w:pPr>
              <w:adjustRightInd w:val="0"/>
              <w:snapToGrid w:val="0"/>
              <w:rPr>
                <w:rFonts w:ascii="Times New Roman" w:eastAsia="仿宋"/>
                <w:szCs w:val="21"/>
              </w:rPr>
            </w:pPr>
            <w:r>
              <w:rPr>
                <w:rFonts w:ascii="Times New Roman" w:eastAsia="仿宋"/>
                <w:szCs w:val="21"/>
              </w:rPr>
              <w:t>①固定噪声污染源对边界影响最大处，设置噪声监测点，同时设置标志牌。</w:t>
            </w:r>
          </w:p>
          <w:p w14:paraId="4910B7C8">
            <w:pPr>
              <w:adjustRightInd w:val="0"/>
              <w:snapToGrid w:val="0"/>
              <w:rPr>
                <w:rFonts w:ascii="Times New Roman" w:eastAsia="仿宋"/>
                <w:szCs w:val="21"/>
              </w:rPr>
            </w:pPr>
            <w:r>
              <w:rPr>
                <w:rFonts w:ascii="Times New Roman" w:eastAsia="仿宋"/>
                <w:szCs w:val="21"/>
              </w:rPr>
              <w:t>②合理布局，尽可能将噪声设备集中布置、集中管理，在主体建筑设计中，墙体要采取隔声、吸声效果好的建筑材料，采用隔声门窗；并充分利用距离衰减。</w:t>
            </w:r>
          </w:p>
          <w:p w14:paraId="698E0D48">
            <w:pPr>
              <w:adjustRightInd w:val="0"/>
              <w:snapToGrid w:val="0"/>
              <w:rPr>
                <w:rFonts w:ascii="Times New Roman" w:eastAsia="仿宋"/>
                <w:szCs w:val="21"/>
              </w:rPr>
            </w:pPr>
            <w:r>
              <w:rPr>
                <w:rFonts w:ascii="Times New Roman" w:eastAsia="仿宋"/>
                <w:szCs w:val="21"/>
              </w:rPr>
              <w:t>③选用低噪声设备，在设备运行时，加强设备维修与日常保养，使之正常运转。</w:t>
            </w:r>
          </w:p>
          <w:p w14:paraId="650145B1">
            <w:pPr>
              <w:adjustRightInd w:val="0"/>
              <w:snapToGrid w:val="0"/>
              <w:rPr>
                <w:rFonts w:ascii="Times New Roman" w:eastAsia="仿宋"/>
                <w:szCs w:val="21"/>
              </w:rPr>
            </w:pPr>
            <w:r>
              <w:rPr>
                <w:rFonts w:ascii="Times New Roman" w:eastAsia="仿宋"/>
                <w:szCs w:val="21"/>
              </w:rPr>
              <w:t>④较大的噪声源在设备安装时，须对噪声源进行屏蔽、隔声、减振、消声，以控制厂界噪声的达标排放。</w:t>
            </w:r>
          </w:p>
        </w:tc>
      </w:tr>
      <w:tr w14:paraId="65F2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9" w:type="pct"/>
            <w:vAlign w:val="center"/>
          </w:tcPr>
          <w:p w14:paraId="37B7083E">
            <w:pPr>
              <w:adjustRightInd w:val="0"/>
              <w:snapToGrid w:val="0"/>
              <w:jc w:val="center"/>
              <w:rPr>
                <w:rFonts w:ascii="Times New Roman" w:eastAsia="仿宋"/>
                <w:szCs w:val="21"/>
              </w:rPr>
            </w:pPr>
            <w:r>
              <w:rPr>
                <w:rFonts w:ascii="Times New Roman" w:eastAsia="仿宋"/>
                <w:szCs w:val="21"/>
              </w:rPr>
              <w:t>固废处理措施</w:t>
            </w:r>
          </w:p>
        </w:tc>
        <w:tc>
          <w:tcPr>
            <w:tcW w:w="4221" w:type="pct"/>
            <w:vAlign w:val="center"/>
          </w:tcPr>
          <w:p w14:paraId="7F006B9D">
            <w:pPr>
              <w:adjustRightInd w:val="0"/>
              <w:snapToGrid w:val="0"/>
              <w:rPr>
                <w:rFonts w:ascii="Times New Roman" w:eastAsia="仿宋"/>
                <w:szCs w:val="21"/>
              </w:rPr>
            </w:pPr>
            <w:r>
              <w:rPr>
                <w:rFonts w:ascii="Times New Roman" w:eastAsia="仿宋"/>
                <w:szCs w:val="21"/>
              </w:rPr>
              <w:t>①危险废物在厂区暂存，按照《危险废物贮存污染控制标准》(GB18597-2023) 建设，按照《环境保护图形标志—固体废物贮存（处置场）》（GB15562.2-1995）中的要求设置环境保护图形标志。</w:t>
            </w:r>
          </w:p>
          <w:p w14:paraId="4AAE78F0">
            <w:pPr>
              <w:adjustRightInd w:val="0"/>
              <w:snapToGrid w:val="0"/>
              <w:rPr>
                <w:rFonts w:ascii="Times New Roman" w:eastAsia="仿宋"/>
                <w:szCs w:val="21"/>
              </w:rPr>
            </w:pPr>
            <w:r>
              <w:rPr>
                <w:rFonts w:ascii="Times New Roman" w:eastAsia="仿宋"/>
                <w:szCs w:val="21"/>
              </w:rPr>
              <w:t>②项目所有危险废物均委托有资质单位无害化处置，不得给环境带来二次污染；生活垃圾集中收集，及时运出。</w:t>
            </w:r>
          </w:p>
        </w:tc>
      </w:tr>
    </w:tbl>
    <w:p w14:paraId="5E4E8C59">
      <w:pPr>
        <w:pStyle w:val="6"/>
        <w:keepLines w:val="0"/>
        <w:tabs>
          <w:tab w:val="left" w:pos="709"/>
        </w:tabs>
        <w:spacing w:before="0" w:after="0" w:line="500" w:lineRule="exact"/>
        <w:rPr>
          <w:rFonts w:ascii="Times New Roman" w:eastAsia="仿宋"/>
          <w:spacing w:val="6"/>
          <w:sz w:val="28"/>
          <w:szCs w:val="20"/>
        </w:rPr>
      </w:pPr>
      <w:r>
        <w:rPr>
          <w:rFonts w:hint="eastAsia" w:ascii="Times New Roman" w:eastAsia="仿宋"/>
          <w:spacing w:val="6"/>
          <w:sz w:val="28"/>
          <w:szCs w:val="20"/>
        </w:rPr>
        <w:t>8</w:t>
      </w:r>
      <w:r>
        <w:rPr>
          <w:rFonts w:ascii="Times New Roman" w:eastAsia="仿宋"/>
          <w:spacing w:val="6"/>
          <w:sz w:val="28"/>
          <w:szCs w:val="20"/>
        </w:rPr>
        <w:t>.1.2污染物排放管理</w:t>
      </w:r>
    </w:p>
    <w:p w14:paraId="5AC88925">
      <w:pPr>
        <w:spacing w:line="480" w:lineRule="exact"/>
        <w:ind w:firstLine="562" w:firstLineChars="200"/>
        <w:rPr>
          <w:rFonts w:ascii="Times New Roman" w:eastAsia="仿宋"/>
          <w:b/>
          <w:sz w:val="28"/>
        </w:rPr>
      </w:pPr>
      <w:r>
        <w:rPr>
          <w:rFonts w:ascii="Times New Roman" w:eastAsia="仿宋"/>
          <w:b/>
          <w:sz w:val="28"/>
        </w:rPr>
        <w:t>一、总量控制指标</w:t>
      </w:r>
    </w:p>
    <w:p w14:paraId="39CA7F9F">
      <w:pPr>
        <w:spacing w:line="480" w:lineRule="exact"/>
        <w:ind w:firstLine="560" w:firstLineChars="200"/>
        <w:rPr>
          <w:rFonts w:ascii="Times New Roman" w:eastAsia="仿宋"/>
          <w:sz w:val="28"/>
        </w:rPr>
      </w:pPr>
      <w:r>
        <w:rPr>
          <w:rFonts w:ascii="Times New Roman" w:eastAsia="仿宋"/>
          <w:sz w:val="28"/>
        </w:rPr>
        <w:t>根据本项目的排污特点和江苏省污染物排放总量控制要求，确定本项目污染物总量控制因子为：</w:t>
      </w:r>
    </w:p>
    <w:p w14:paraId="78BAC3E9">
      <w:pPr>
        <w:pStyle w:val="47"/>
        <w:tabs>
          <w:tab w:val="clear" w:pos="432"/>
        </w:tabs>
        <w:spacing w:line="500" w:lineRule="exact"/>
        <w:ind w:left="0" w:firstLine="560" w:firstLineChars="200"/>
        <w:rPr>
          <w:rFonts w:ascii="Times New Roman" w:eastAsia="仿宋"/>
          <w:sz w:val="28"/>
          <w:szCs w:val="28"/>
        </w:rPr>
      </w:pPr>
      <w:r>
        <w:rPr>
          <w:rFonts w:ascii="Times New Roman" w:eastAsia="仿宋"/>
          <w:sz w:val="28"/>
          <w:szCs w:val="28"/>
        </w:rPr>
        <w:t>水：COD、NH</w:t>
      </w:r>
      <w:r>
        <w:rPr>
          <w:rFonts w:ascii="Times New Roman" w:eastAsia="仿宋"/>
          <w:sz w:val="28"/>
          <w:szCs w:val="28"/>
          <w:vertAlign w:val="subscript"/>
        </w:rPr>
        <w:t>3</w:t>
      </w:r>
      <w:r>
        <w:rPr>
          <w:rFonts w:ascii="Times New Roman" w:eastAsia="仿宋"/>
          <w:sz w:val="28"/>
          <w:szCs w:val="28"/>
        </w:rPr>
        <w:t>-N</w:t>
      </w:r>
    </w:p>
    <w:p w14:paraId="58CE825C">
      <w:pPr>
        <w:pStyle w:val="47"/>
        <w:tabs>
          <w:tab w:val="clear" w:pos="432"/>
        </w:tabs>
        <w:spacing w:line="500" w:lineRule="exact"/>
        <w:ind w:left="0" w:firstLine="560" w:firstLineChars="200"/>
        <w:rPr>
          <w:rFonts w:ascii="Times New Roman" w:eastAsia="仿宋"/>
          <w:sz w:val="28"/>
          <w:szCs w:val="28"/>
        </w:rPr>
      </w:pPr>
      <w:r>
        <w:rPr>
          <w:rFonts w:ascii="Times New Roman" w:eastAsia="仿宋"/>
          <w:sz w:val="28"/>
          <w:szCs w:val="28"/>
        </w:rPr>
        <w:t>废气：VOCs、颗粒物</w:t>
      </w:r>
      <w:r>
        <w:rPr>
          <w:rFonts w:hint="eastAsia" w:ascii="Times New Roman" w:eastAsia="仿宋"/>
          <w:sz w:val="28"/>
          <w:szCs w:val="28"/>
        </w:rPr>
        <w:t>、二氧化硫、氮氧化物</w:t>
      </w:r>
    </w:p>
    <w:p w14:paraId="35B887F2">
      <w:pPr>
        <w:spacing w:line="480" w:lineRule="exact"/>
        <w:ind w:firstLine="560" w:firstLineChars="200"/>
        <w:rPr>
          <w:rFonts w:ascii="Times New Roman" w:eastAsia="仿宋"/>
          <w:sz w:val="28"/>
        </w:rPr>
      </w:pPr>
      <w:r>
        <w:rPr>
          <w:rFonts w:ascii="Times New Roman" w:eastAsia="仿宋"/>
          <w:sz w:val="28"/>
        </w:rPr>
        <w:t>本项目建成后全厂污染物排放总量见下表。</w:t>
      </w:r>
    </w:p>
    <w:p w14:paraId="211C55D4">
      <w:pPr>
        <w:spacing w:line="480" w:lineRule="exact"/>
        <w:jc w:val="center"/>
        <w:rPr>
          <w:rFonts w:ascii="Times New Roman" w:eastAsia="仿宋"/>
          <w:b/>
        </w:rPr>
        <w:sectPr>
          <w:pgSz w:w="11906" w:h="16838"/>
          <w:pgMar w:top="1440" w:right="1800" w:bottom="1440" w:left="1800" w:header="851" w:footer="992" w:gutter="0"/>
          <w:cols w:space="720" w:num="1"/>
          <w:docGrid w:linePitch="312" w:charSpace="0"/>
        </w:sectPr>
      </w:pPr>
    </w:p>
    <w:p w14:paraId="126F4D4F">
      <w:pPr>
        <w:spacing w:line="480" w:lineRule="exact"/>
        <w:jc w:val="center"/>
        <w:rPr>
          <w:rFonts w:ascii="Times New Roman" w:eastAsia="仿宋"/>
          <w:b/>
        </w:rPr>
      </w:pPr>
      <w:r>
        <w:rPr>
          <w:rFonts w:ascii="Times New Roman" w:eastAsia="仿宋"/>
          <w:b/>
        </w:rPr>
        <w:t>表8.1-2  全厂污染物总量控制指标（t/a）</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780"/>
        <w:gridCol w:w="1164"/>
        <w:gridCol w:w="1349"/>
        <w:gridCol w:w="1642"/>
        <w:gridCol w:w="1722"/>
        <w:gridCol w:w="1718"/>
        <w:gridCol w:w="2201"/>
        <w:gridCol w:w="2482"/>
      </w:tblGrid>
      <w:tr w14:paraId="71DE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73" w:type="dxa"/>
            <w:gridSpan w:val="4"/>
            <w:vMerge w:val="restart"/>
            <w:vAlign w:val="center"/>
          </w:tcPr>
          <w:p w14:paraId="3DEA36F9">
            <w:pPr>
              <w:jc w:val="center"/>
              <w:rPr>
                <w:rFonts w:ascii="Times New Roman" w:eastAsia="仿宋"/>
                <w:szCs w:val="21"/>
              </w:rPr>
            </w:pPr>
            <w:r>
              <w:rPr>
                <w:rFonts w:ascii="Times New Roman" w:eastAsia="仿宋"/>
                <w:szCs w:val="21"/>
              </w:rPr>
              <w:t>污染物名称</w:t>
            </w:r>
          </w:p>
        </w:tc>
        <w:tc>
          <w:tcPr>
            <w:tcW w:w="5082" w:type="dxa"/>
            <w:gridSpan w:val="3"/>
            <w:vAlign w:val="center"/>
          </w:tcPr>
          <w:p w14:paraId="2D44DCB0">
            <w:pPr>
              <w:jc w:val="center"/>
              <w:rPr>
                <w:rFonts w:ascii="Times New Roman" w:eastAsia="仿宋"/>
                <w:szCs w:val="21"/>
              </w:rPr>
            </w:pPr>
            <w:r>
              <w:rPr>
                <w:rFonts w:ascii="Times New Roman" w:eastAsia="仿宋"/>
                <w:szCs w:val="21"/>
              </w:rPr>
              <w:t>本项目</w:t>
            </w:r>
          </w:p>
        </w:tc>
        <w:tc>
          <w:tcPr>
            <w:tcW w:w="2201" w:type="dxa"/>
            <w:vMerge w:val="restart"/>
            <w:vAlign w:val="center"/>
          </w:tcPr>
          <w:p w14:paraId="797A6295">
            <w:pPr>
              <w:jc w:val="center"/>
              <w:rPr>
                <w:rFonts w:ascii="Times New Roman" w:eastAsia="仿宋"/>
                <w:szCs w:val="21"/>
              </w:rPr>
            </w:pPr>
            <w:r>
              <w:rPr>
                <w:rFonts w:ascii="Times New Roman" w:eastAsia="仿宋"/>
                <w:szCs w:val="21"/>
              </w:rPr>
              <w:t>增减量</w:t>
            </w:r>
          </w:p>
        </w:tc>
        <w:tc>
          <w:tcPr>
            <w:tcW w:w="2482" w:type="dxa"/>
            <w:vMerge w:val="restart"/>
            <w:vAlign w:val="center"/>
          </w:tcPr>
          <w:p w14:paraId="6A25009B">
            <w:pPr>
              <w:jc w:val="center"/>
              <w:rPr>
                <w:rFonts w:ascii="Times New Roman" w:eastAsia="仿宋"/>
                <w:szCs w:val="21"/>
              </w:rPr>
            </w:pPr>
            <w:r>
              <w:rPr>
                <w:rFonts w:hint="eastAsia" w:ascii="Times New Roman" w:eastAsia="仿宋"/>
                <w:bCs/>
                <w:szCs w:val="21"/>
              </w:rPr>
              <w:t>最终外排环境量</w:t>
            </w:r>
          </w:p>
        </w:tc>
      </w:tr>
      <w:tr w14:paraId="788A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73" w:type="dxa"/>
            <w:gridSpan w:val="4"/>
            <w:vMerge w:val="continue"/>
            <w:vAlign w:val="center"/>
          </w:tcPr>
          <w:p w14:paraId="010A66E6">
            <w:pPr>
              <w:jc w:val="center"/>
              <w:rPr>
                <w:rFonts w:ascii="Times New Roman" w:eastAsia="仿宋"/>
                <w:szCs w:val="21"/>
              </w:rPr>
            </w:pPr>
          </w:p>
        </w:tc>
        <w:tc>
          <w:tcPr>
            <w:tcW w:w="1642" w:type="dxa"/>
            <w:vAlign w:val="center"/>
          </w:tcPr>
          <w:p w14:paraId="15FC0014">
            <w:pPr>
              <w:jc w:val="center"/>
              <w:rPr>
                <w:rFonts w:ascii="Times New Roman" w:eastAsia="仿宋"/>
                <w:szCs w:val="21"/>
              </w:rPr>
            </w:pPr>
            <w:r>
              <w:rPr>
                <w:rFonts w:ascii="Times New Roman" w:eastAsia="仿宋"/>
                <w:szCs w:val="21"/>
              </w:rPr>
              <w:t>产生量</w:t>
            </w:r>
          </w:p>
        </w:tc>
        <w:tc>
          <w:tcPr>
            <w:tcW w:w="1722" w:type="dxa"/>
            <w:vAlign w:val="center"/>
          </w:tcPr>
          <w:p w14:paraId="7FC0CEED">
            <w:pPr>
              <w:jc w:val="center"/>
              <w:rPr>
                <w:rFonts w:ascii="Times New Roman" w:eastAsia="仿宋"/>
                <w:szCs w:val="21"/>
              </w:rPr>
            </w:pPr>
            <w:r>
              <w:rPr>
                <w:rFonts w:ascii="Times New Roman" w:eastAsia="仿宋"/>
                <w:szCs w:val="21"/>
              </w:rPr>
              <w:t>削减量</w:t>
            </w:r>
          </w:p>
        </w:tc>
        <w:tc>
          <w:tcPr>
            <w:tcW w:w="1718" w:type="dxa"/>
            <w:vAlign w:val="center"/>
          </w:tcPr>
          <w:p w14:paraId="3B2FDB58">
            <w:pPr>
              <w:jc w:val="center"/>
              <w:rPr>
                <w:rFonts w:ascii="Times New Roman" w:eastAsia="仿宋"/>
                <w:szCs w:val="21"/>
              </w:rPr>
            </w:pPr>
            <w:r>
              <w:rPr>
                <w:rFonts w:ascii="Times New Roman" w:eastAsia="仿宋"/>
                <w:szCs w:val="21"/>
              </w:rPr>
              <w:t>排放量</w:t>
            </w:r>
          </w:p>
        </w:tc>
        <w:tc>
          <w:tcPr>
            <w:tcW w:w="2201" w:type="dxa"/>
            <w:vMerge w:val="continue"/>
            <w:vAlign w:val="center"/>
          </w:tcPr>
          <w:p w14:paraId="36AC5285">
            <w:pPr>
              <w:jc w:val="center"/>
              <w:rPr>
                <w:rFonts w:ascii="Times New Roman" w:eastAsia="仿宋"/>
                <w:szCs w:val="21"/>
              </w:rPr>
            </w:pPr>
          </w:p>
        </w:tc>
        <w:tc>
          <w:tcPr>
            <w:tcW w:w="2482" w:type="dxa"/>
            <w:vMerge w:val="continue"/>
            <w:vAlign w:val="center"/>
          </w:tcPr>
          <w:p w14:paraId="0D49C847">
            <w:pPr>
              <w:jc w:val="center"/>
              <w:rPr>
                <w:rFonts w:ascii="Times New Roman" w:eastAsia="仿宋"/>
                <w:szCs w:val="21"/>
              </w:rPr>
            </w:pPr>
          </w:p>
        </w:tc>
      </w:tr>
      <w:tr w14:paraId="67E7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restart"/>
            <w:vAlign w:val="center"/>
          </w:tcPr>
          <w:p w14:paraId="2752E5D0">
            <w:pPr>
              <w:jc w:val="center"/>
              <w:rPr>
                <w:rFonts w:ascii="Times New Roman" w:eastAsia="仿宋"/>
                <w:szCs w:val="21"/>
              </w:rPr>
            </w:pPr>
            <w:r>
              <w:rPr>
                <w:rFonts w:hint="eastAsia" w:ascii="Times New Roman" w:eastAsia="仿宋"/>
                <w:szCs w:val="21"/>
              </w:rPr>
              <w:t>废气</w:t>
            </w:r>
          </w:p>
        </w:tc>
        <w:tc>
          <w:tcPr>
            <w:tcW w:w="780" w:type="dxa"/>
            <w:vMerge w:val="restart"/>
            <w:vAlign w:val="center"/>
          </w:tcPr>
          <w:p w14:paraId="2564262C">
            <w:pPr>
              <w:jc w:val="center"/>
              <w:rPr>
                <w:rFonts w:ascii="Times New Roman" w:eastAsia="仿宋"/>
                <w:szCs w:val="21"/>
              </w:rPr>
            </w:pPr>
            <w:r>
              <w:rPr>
                <w:rFonts w:hint="eastAsia" w:ascii="Times New Roman" w:eastAsia="仿宋"/>
                <w:szCs w:val="21"/>
              </w:rPr>
              <w:t>有组织</w:t>
            </w:r>
          </w:p>
        </w:tc>
        <w:tc>
          <w:tcPr>
            <w:tcW w:w="2513" w:type="dxa"/>
            <w:gridSpan w:val="2"/>
            <w:vAlign w:val="center"/>
          </w:tcPr>
          <w:p w14:paraId="60457873">
            <w:pPr>
              <w:jc w:val="center"/>
              <w:rPr>
                <w:rFonts w:ascii="Times New Roman" w:eastAsia="仿宋"/>
                <w:szCs w:val="21"/>
              </w:rPr>
            </w:pPr>
            <w:r>
              <w:rPr>
                <w:rFonts w:hint="eastAsia" w:ascii="Times New Roman" w:eastAsia="仿宋"/>
                <w:szCs w:val="21"/>
              </w:rPr>
              <w:t>二甲苯</w:t>
            </w:r>
          </w:p>
        </w:tc>
        <w:tc>
          <w:tcPr>
            <w:tcW w:w="1642" w:type="dxa"/>
            <w:vAlign w:val="bottom"/>
          </w:tcPr>
          <w:p w14:paraId="7C298D6E">
            <w:pPr>
              <w:widowControl/>
              <w:jc w:val="center"/>
              <w:rPr>
                <w:rFonts w:ascii="Times New Roman" w:eastAsia="仿宋"/>
                <w:szCs w:val="21"/>
              </w:rPr>
            </w:pPr>
            <w:r>
              <w:rPr>
                <w:rFonts w:hint="eastAsia" w:ascii="Times New Roman" w:eastAsia="仿宋"/>
                <w:szCs w:val="21"/>
              </w:rPr>
              <w:t>16.272</w:t>
            </w:r>
          </w:p>
        </w:tc>
        <w:tc>
          <w:tcPr>
            <w:tcW w:w="1722" w:type="dxa"/>
            <w:vAlign w:val="bottom"/>
          </w:tcPr>
          <w:p w14:paraId="1DD94B9F">
            <w:pPr>
              <w:widowControl/>
              <w:jc w:val="center"/>
              <w:rPr>
                <w:rFonts w:ascii="Times New Roman" w:eastAsia="仿宋"/>
                <w:szCs w:val="21"/>
              </w:rPr>
            </w:pPr>
            <w:r>
              <w:rPr>
                <w:rFonts w:hint="eastAsia" w:ascii="Times New Roman" w:eastAsia="仿宋"/>
                <w:szCs w:val="21"/>
              </w:rPr>
              <w:t>15.462</w:t>
            </w:r>
          </w:p>
        </w:tc>
        <w:tc>
          <w:tcPr>
            <w:tcW w:w="1718" w:type="dxa"/>
            <w:vAlign w:val="bottom"/>
          </w:tcPr>
          <w:p w14:paraId="7E63FAD2">
            <w:pPr>
              <w:widowControl/>
              <w:jc w:val="center"/>
              <w:rPr>
                <w:rFonts w:ascii="Times New Roman" w:eastAsia="仿宋"/>
                <w:szCs w:val="21"/>
              </w:rPr>
            </w:pPr>
            <w:r>
              <w:rPr>
                <w:rFonts w:hint="eastAsia" w:ascii="Times New Roman" w:eastAsia="仿宋"/>
                <w:szCs w:val="21"/>
              </w:rPr>
              <w:t>0.81</w:t>
            </w:r>
          </w:p>
        </w:tc>
        <w:tc>
          <w:tcPr>
            <w:tcW w:w="2201" w:type="dxa"/>
            <w:vAlign w:val="bottom"/>
          </w:tcPr>
          <w:p w14:paraId="5758BAEF">
            <w:pPr>
              <w:widowControl/>
              <w:jc w:val="center"/>
              <w:rPr>
                <w:rFonts w:ascii="Times New Roman" w:eastAsia="仿宋"/>
                <w:szCs w:val="21"/>
              </w:rPr>
            </w:pPr>
            <w:r>
              <w:rPr>
                <w:rFonts w:hint="eastAsia" w:ascii="Times New Roman" w:eastAsia="仿宋"/>
                <w:szCs w:val="21"/>
              </w:rPr>
              <w:t>+0.81</w:t>
            </w:r>
          </w:p>
        </w:tc>
        <w:tc>
          <w:tcPr>
            <w:tcW w:w="2482" w:type="dxa"/>
            <w:vAlign w:val="bottom"/>
          </w:tcPr>
          <w:p w14:paraId="171DBFD5">
            <w:pPr>
              <w:widowControl/>
              <w:jc w:val="center"/>
              <w:rPr>
                <w:rFonts w:ascii="Times New Roman" w:eastAsia="仿宋"/>
                <w:szCs w:val="21"/>
              </w:rPr>
            </w:pPr>
            <w:r>
              <w:rPr>
                <w:rFonts w:hint="eastAsia" w:ascii="Times New Roman" w:eastAsia="仿宋"/>
                <w:szCs w:val="21"/>
              </w:rPr>
              <w:t>+0.81</w:t>
            </w:r>
          </w:p>
        </w:tc>
      </w:tr>
      <w:tr w14:paraId="07D6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38893E3D">
            <w:pPr>
              <w:jc w:val="center"/>
              <w:rPr>
                <w:rFonts w:ascii="Times New Roman" w:eastAsia="仿宋"/>
                <w:szCs w:val="21"/>
              </w:rPr>
            </w:pPr>
          </w:p>
        </w:tc>
        <w:tc>
          <w:tcPr>
            <w:tcW w:w="780" w:type="dxa"/>
            <w:vMerge w:val="continue"/>
            <w:vAlign w:val="center"/>
          </w:tcPr>
          <w:p w14:paraId="770B5BBB">
            <w:pPr>
              <w:jc w:val="center"/>
              <w:rPr>
                <w:rFonts w:ascii="Times New Roman" w:eastAsia="仿宋"/>
                <w:szCs w:val="21"/>
              </w:rPr>
            </w:pPr>
          </w:p>
        </w:tc>
        <w:tc>
          <w:tcPr>
            <w:tcW w:w="2513" w:type="dxa"/>
            <w:gridSpan w:val="2"/>
            <w:vAlign w:val="center"/>
          </w:tcPr>
          <w:p w14:paraId="3FE5AE97">
            <w:pPr>
              <w:jc w:val="center"/>
              <w:rPr>
                <w:rFonts w:ascii="Times New Roman" w:eastAsia="仿宋"/>
                <w:szCs w:val="21"/>
              </w:rPr>
            </w:pPr>
            <w:r>
              <w:rPr>
                <w:rFonts w:hint="eastAsia" w:ascii="Times New Roman" w:eastAsia="仿宋"/>
                <w:szCs w:val="21"/>
              </w:rPr>
              <w:t>苯系物</w:t>
            </w:r>
          </w:p>
        </w:tc>
        <w:tc>
          <w:tcPr>
            <w:tcW w:w="1642" w:type="dxa"/>
            <w:vAlign w:val="bottom"/>
          </w:tcPr>
          <w:p w14:paraId="65ED805A">
            <w:pPr>
              <w:widowControl/>
              <w:jc w:val="center"/>
              <w:rPr>
                <w:rFonts w:ascii="Times New Roman" w:eastAsia="仿宋"/>
                <w:szCs w:val="21"/>
              </w:rPr>
            </w:pPr>
            <w:r>
              <w:rPr>
                <w:rFonts w:hint="eastAsia" w:ascii="Times New Roman" w:eastAsia="仿宋"/>
                <w:szCs w:val="21"/>
              </w:rPr>
              <w:t>16.272</w:t>
            </w:r>
          </w:p>
        </w:tc>
        <w:tc>
          <w:tcPr>
            <w:tcW w:w="1722" w:type="dxa"/>
            <w:vAlign w:val="bottom"/>
          </w:tcPr>
          <w:p w14:paraId="69F51524">
            <w:pPr>
              <w:widowControl/>
              <w:jc w:val="center"/>
              <w:rPr>
                <w:rFonts w:ascii="Times New Roman" w:eastAsia="仿宋"/>
                <w:szCs w:val="21"/>
              </w:rPr>
            </w:pPr>
            <w:r>
              <w:rPr>
                <w:rFonts w:hint="eastAsia" w:ascii="Times New Roman" w:eastAsia="仿宋"/>
                <w:szCs w:val="21"/>
              </w:rPr>
              <w:t>15.462</w:t>
            </w:r>
          </w:p>
        </w:tc>
        <w:tc>
          <w:tcPr>
            <w:tcW w:w="1718" w:type="dxa"/>
            <w:vAlign w:val="bottom"/>
          </w:tcPr>
          <w:p w14:paraId="66AB33A8">
            <w:pPr>
              <w:widowControl/>
              <w:jc w:val="center"/>
              <w:rPr>
                <w:rFonts w:ascii="Times New Roman" w:eastAsia="仿宋"/>
                <w:szCs w:val="21"/>
              </w:rPr>
            </w:pPr>
            <w:r>
              <w:rPr>
                <w:rFonts w:hint="eastAsia" w:ascii="Times New Roman" w:eastAsia="仿宋"/>
                <w:szCs w:val="21"/>
              </w:rPr>
              <w:t>0.81</w:t>
            </w:r>
          </w:p>
        </w:tc>
        <w:tc>
          <w:tcPr>
            <w:tcW w:w="2201" w:type="dxa"/>
            <w:vAlign w:val="bottom"/>
          </w:tcPr>
          <w:p w14:paraId="2AAC3FDF">
            <w:pPr>
              <w:widowControl/>
              <w:jc w:val="center"/>
              <w:rPr>
                <w:rFonts w:ascii="Times New Roman" w:eastAsia="仿宋"/>
                <w:szCs w:val="21"/>
              </w:rPr>
            </w:pPr>
            <w:r>
              <w:rPr>
                <w:rFonts w:hint="eastAsia" w:ascii="Times New Roman" w:eastAsia="仿宋"/>
                <w:szCs w:val="21"/>
              </w:rPr>
              <w:t>+0.81</w:t>
            </w:r>
          </w:p>
        </w:tc>
        <w:tc>
          <w:tcPr>
            <w:tcW w:w="2482" w:type="dxa"/>
            <w:vAlign w:val="bottom"/>
          </w:tcPr>
          <w:p w14:paraId="22E8BF5A">
            <w:pPr>
              <w:widowControl/>
              <w:jc w:val="center"/>
              <w:rPr>
                <w:rFonts w:ascii="Times New Roman" w:eastAsia="仿宋"/>
                <w:szCs w:val="21"/>
              </w:rPr>
            </w:pPr>
            <w:r>
              <w:rPr>
                <w:rFonts w:hint="eastAsia" w:ascii="Times New Roman" w:eastAsia="仿宋"/>
                <w:szCs w:val="21"/>
              </w:rPr>
              <w:t>+0.81</w:t>
            </w:r>
          </w:p>
        </w:tc>
      </w:tr>
      <w:tr w14:paraId="094D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3E9CB442">
            <w:pPr>
              <w:jc w:val="center"/>
              <w:rPr>
                <w:rFonts w:ascii="Times New Roman" w:eastAsia="仿宋"/>
                <w:szCs w:val="21"/>
              </w:rPr>
            </w:pPr>
          </w:p>
        </w:tc>
        <w:tc>
          <w:tcPr>
            <w:tcW w:w="780" w:type="dxa"/>
            <w:vMerge w:val="continue"/>
            <w:vAlign w:val="center"/>
          </w:tcPr>
          <w:p w14:paraId="299429A0">
            <w:pPr>
              <w:jc w:val="center"/>
              <w:rPr>
                <w:rFonts w:ascii="Times New Roman" w:eastAsia="仿宋"/>
                <w:szCs w:val="21"/>
              </w:rPr>
            </w:pPr>
          </w:p>
        </w:tc>
        <w:tc>
          <w:tcPr>
            <w:tcW w:w="2513" w:type="dxa"/>
            <w:gridSpan w:val="2"/>
            <w:vAlign w:val="center"/>
          </w:tcPr>
          <w:p w14:paraId="68C2FF92">
            <w:pPr>
              <w:jc w:val="center"/>
              <w:rPr>
                <w:rFonts w:ascii="Times New Roman" w:eastAsia="仿宋"/>
                <w:szCs w:val="21"/>
              </w:rPr>
            </w:pPr>
            <w:r>
              <w:rPr>
                <w:rFonts w:hint="eastAsia" w:ascii="Times New Roman" w:eastAsia="仿宋"/>
                <w:szCs w:val="21"/>
              </w:rPr>
              <w:t>TVOC</w:t>
            </w:r>
          </w:p>
        </w:tc>
        <w:tc>
          <w:tcPr>
            <w:tcW w:w="1642" w:type="dxa"/>
            <w:vAlign w:val="bottom"/>
          </w:tcPr>
          <w:p w14:paraId="6E8F6C8D">
            <w:pPr>
              <w:widowControl/>
              <w:jc w:val="center"/>
              <w:rPr>
                <w:rFonts w:ascii="Times New Roman" w:eastAsia="仿宋"/>
                <w:szCs w:val="21"/>
              </w:rPr>
            </w:pPr>
            <w:r>
              <w:rPr>
                <w:rFonts w:hint="eastAsia" w:ascii="Times New Roman" w:eastAsia="仿宋"/>
                <w:szCs w:val="21"/>
              </w:rPr>
              <w:t>72.557</w:t>
            </w:r>
          </w:p>
        </w:tc>
        <w:tc>
          <w:tcPr>
            <w:tcW w:w="1722" w:type="dxa"/>
            <w:vAlign w:val="bottom"/>
          </w:tcPr>
          <w:p w14:paraId="51F54EBF">
            <w:pPr>
              <w:jc w:val="center"/>
              <w:rPr>
                <w:rFonts w:ascii="Times New Roman" w:eastAsia="仿宋"/>
                <w:szCs w:val="21"/>
              </w:rPr>
            </w:pPr>
            <w:r>
              <w:rPr>
                <w:rFonts w:hint="eastAsia" w:ascii="Times New Roman" w:eastAsia="仿宋"/>
                <w:szCs w:val="21"/>
              </w:rPr>
              <w:t>68.947</w:t>
            </w:r>
          </w:p>
        </w:tc>
        <w:tc>
          <w:tcPr>
            <w:tcW w:w="1718" w:type="dxa"/>
            <w:vAlign w:val="bottom"/>
          </w:tcPr>
          <w:p w14:paraId="2F1034C1">
            <w:pPr>
              <w:jc w:val="center"/>
              <w:rPr>
                <w:rFonts w:ascii="Times New Roman" w:eastAsia="仿宋"/>
                <w:szCs w:val="21"/>
              </w:rPr>
            </w:pPr>
            <w:r>
              <w:rPr>
                <w:rFonts w:hint="eastAsia" w:ascii="Times New Roman" w:eastAsia="仿宋"/>
                <w:szCs w:val="21"/>
              </w:rPr>
              <w:t>3.61</w:t>
            </w:r>
          </w:p>
        </w:tc>
        <w:tc>
          <w:tcPr>
            <w:tcW w:w="2201" w:type="dxa"/>
            <w:vAlign w:val="bottom"/>
          </w:tcPr>
          <w:p w14:paraId="5EA9C9F8">
            <w:pPr>
              <w:jc w:val="center"/>
              <w:rPr>
                <w:rFonts w:ascii="Times New Roman" w:eastAsia="仿宋"/>
                <w:szCs w:val="21"/>
              </w:rPr>
            </w:pPr>
            <w:r>
              <w:rPr>
                <w:rFonts w:hint="eastAsia" w:ascii="Times New Roman" w:eastAsia="仿宋"/>
                <w:szCs w:val="21"/>
              </w:rPr>
              <w:t>+3.61</w:t>
            </w:r>
          </w:p>
        </w:tc>
        <w:tc>
          <w:tcPr>
            <w:tcW w:w="2482" w:type="dxa"/>
            <w:vAlign w:val="bottom"/>
          </w:tcPr>
          <w:p w14:paraId="3024E1FC">
            <w:pPr>
              <w:jc w:val="center"/>
              <w:rPr>
                <w:rFonts w:ascii="Times New Roman" w:eastAsia="仿宋"/>
                <w:szCs w:val="21"/>
              </w:rPr>
            </w:pPr>
            <w:r>
              <w:rPr>
                <w:rFonts w:hint="eastAsia" w:ascii="Times New Roman" w:eastAsia="仿宋"/>
                <w:szCs w:val="21"/>
              </w:rPr>
              <w:t>+3.61</w:t>
            </w:r>
          </w:p>
        </w:tc>
      </w:tr>
      <w:tr w14:paraId="56D0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34AC2FAB">
            <w:pPr>
              <w:jc w:val="center"/>
              <w:rPr>
                <w:rFonts w:ascii="Times New Roman" w:eastAsia="仿宋"/>
                <w:szCs w:val="21"/>
              </w:rPr>
            </w:pPr>
          </w:p>
        </w:tc>
        <w:tc>
          <w:tcPr>
            <w:tcW w:w="780" w:type="dxa"/>
            <w:vMerge w:val="continue"/>
            <w:vAlign w:val="center"/>
          </w:tcPr>
          <w:p w14:paraId="0B0B1CE1">
            <w:pPr>
              <w:jc w:val="center"/>
              <w:rPr>
                <w:rFonts w:ascii="Times New Roman" w:eastAsia="仿宋"/>
                <w:szCs w:val="21"/>
              </w:rPr>
            </w:pPr>
          </w:p>
        </w:tc>
        <w:tc>
          <w:tcPr>
            <w:tcW w:w="2513" w:type="dxa"/>
            <w:gridSpan w:val="2"/>
            <w:vAlign w:val="center"/>
          </w:tcPr>
          <w:p w14:paraId="343049A9">
            <w:pPr>
              <w:jc w:val="center"/>
              <w:rPr>
                <w:rFonts w:ascii="Times New Roman" w:eastAsia="仿宋"/>
                <w:szCs w:val="21"/>
              </w:rPr>
            </w:pPr>
            <w:r>
              <w:rPr>
                <w:rFonts w:ascii="Times New Roman" w:eastAsia="仿宋"/>
                <w:szCs w:val="21"/>
              </w:rPr>
              <w:t>VOC</w:t>
            </w:r>
            <w:r>
              <w:rPr>
                <w:rFonts w:hint="eastAsia" w:ascii="Times New Roman" w:eastAsia="仿宋"/>
                <w:szCs w:val="21"/>
              </w:rPr>
              <w:t>s（非甲烷总烃）</w:t>
            </w:r>
          </w:p>
        </w:tc>
        <w:tc>
          <w:tcPr>
            <w:tcW w:w="1642" w:type="dxa"/>
            <w:vAlign w:val="bottom"/>
          </w:tcPr>
          <w:p w14:paraId="2F3B97CE">
            <w:pPr>
              <w:widowControl/>
              <w:jc w:val="center"/>
              <w:rPr>
                <w:rFonts w:ascii="Times New Roman" w:eastAsia="仿宋"/>
                <w:szCs w:val="21"/>
              </w:rPr>
            </w:pPr>
            <w:r>
              <w:rPr>
                <w:rFonts w:hint="eastAsia" w:ascii="Times New Roman" w:eastAsia="仿宋"/>
                <w:szCs w:val="21"/>
              </w:rPr>
              <w:t>72.557</w:t>
            </w:r>
          </w:p>
        </w:tc>
        <w:tc>
          <w:tcPr>
            <w:tcW w:w="1722" w:type="dxa"/>
            <w:vAlign w:val="bottom"/>
          </w:tcPr>
          <w:p w14:paraId="64DADAA6">
            <w:pPr>
              <w:jc w:val="center"/>
              <w:rPr>
                <w:rFonts w:ascii="Times New Roman" w:eastAsia="仿宋"/>
                <w:szCs w:val="21"/>
              </w:rPr>
            </w:pPr>
            <w:r>
              <w:rPr>
                <w:rFonts w:hint="eastAsia" w:ascii="Times New Roman" w:eastAsia="仿宋"/>
                <w:szCs w:val="21"/>
              </w:rPr>
              <w:t>68.947</w:t>
            </w:r>
          </w:p>
        </w:tc>
        <w:tc>
          <w:tcPr>
            <w:tcW w:w="1718" w:type="dxa"/>
            <w:vAlign w:val="bottom"/>
          </w:tcPr>
          <w:p w14:paraId="1B10DA0A">
            <w:pPr>
              <w:jc w:val="center"/>
              <w:rPr>
                <w:rFonts w:ascii="Times New Roman" w:eastAsia="仿宋"/>
                <w:szCs w:val="21"/>
              </w:rPr>
            </w:pPr>
            <w:r>
              <w:rPr>
                <w:rFonts w:hint="eastAsia" w:ascii="Times New Roman" w:eastAsia="仿宋"/>
                <w:szCs w:val="21"/>
              </w:rPr>
              <w:t>3.61</w:t>
            </w:r>
          </w:p>
        </w:tc>
        <w:tc>
          <w:tcPr>
            <w:tcW w:w="2201" w:type="dxa"/>
            <w:vAlign w:val="bottom"/>
          </w:tcPr>
          <w:p w14:paraId="1433DBBC">
            <w:pPr>
              <w:jc w:val="center"/>
              <w:rPr>
                <w:rFonts w:ascii="Times New Roman" w:eastAsia="仿宋"/>
                <w:szCs w:val="21"/>
              </w:rPr>
            </w:pPr>
            <w:r>
              <w:rPr>
                <w:rFonts w:hint="eastAsia" w:ascii="Times New Roman" w:eastAsia="仿宋"/>
                <w:szCs w:val="21"/>
              </w:rPr>
              <w:t>+3.61</w:t>
            </w:r>
          </w:p>
        </w:tc>
        <w:tc>
          <w:tcPr>
            <w:tcW w:w="2482" w:type="dxa"/>
            <w:vAlign w:val="bottom"/>
          </w:tcPr>
          <w:p w14:paraId="4D1C256B">
            <w:pPr>
              <w:jc w:val="center"/>
              <w:rPr>
                <w:rFonts w:ascii="Times New Roman" w:eastAsia="仿宋"/>
                <w:szCs w:val="21"/>
              </w:rPr>
            </w:pPr>
            <w:r>
              <w:rPr>
                <w:rFonts w:hint="eastAsia" w:ascii="Times New Roman" w:eastAsia="仿宋"/>
                <w:szCs w:val="21"/>
              </w:rPr>
              <w:t>+3.61</w:t>
            </w:r>
          </w:p>
        </w:tc>
      </w:tr>
      <w:tr w14:paraId="0B21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274D8286">
            <w:pPr>
              <w:jc w:val="center"/>
              <w:rPr>
                <w:rFonts w:ascii="Times New Roman" w:eastAsia="仿宋"/>
                <w:szCs w:val="21"/>
              </w:rPr>
            </w:pPr>
          </w:p>
        </w:tc>
        <w:tc>
          <w:tcPr>
            <w:tcW w:w="780" w:type="dxa"/>
            <w:vMerge w:val="continue"/>
            <w:vAlign w:val="center"/>
          </w:tcPr>
          <w:p w14:paraId="618D17B6">
            <w:pPr>
              <w:jc w:val="center"/>
              <w:rPr>
                <w:rFonts w:ascii="Times New Roman" w:eastAsia="仿宋"/>
                <w:szCs w:val="21"/>
              </w:rPr>
            </w:pPr>
          </w:p>
        </w:tc>
        <w:tc>
          <w:tcPr>
            <w:tcW w:w="2513" w:type="dxa"/>
            <w:gridSpan w:val="2"/>
            <w:vAlign w:val="center"/>
          </w:tcPr>
          <w:p w14:paraId="5F01B738">
            <w:pPr>
              <w:jc w:val="center"/>
              <w:rPr>
                <w:rFonts w:ascii="Times New Roman" w:eastAsia="仿宋"/>
                <w:szCs w:val="21"/>
              </w:rPr>
            </w:pPr>
            <w:r>
              <w:rPr>
                <w:rFonts w:hint="eastAsia" w:ascii="Times New Roman" w:eastAsia="仿宋"/>
                <w:szCs w:val="21"/>
              </w:rPr>
              <w:t>颗粒物</w:t>
            </w:r>
          </w:p>
        </w:tc>
        <w:tc>
          <w:tcPr>
            <w:tcW w:w="1642" w:type="dxa"/>
            <w:vAlign w:val="bottom"/>
          </w:tcPr>
          <w:p w14:paraId="4DE6A9B7">
            <w:pPr>
              <w:widowControl/>
              <w:jc w:val="center"/>
              <w:rPr>
                <w:rFonts w:ascii="Times New Roman" w:eastAsia="仿宋"/>
                <w:szCs w:val="21"/>
              </w:rPr>
            </w:pPr>
            <w:r>
              <w:rPr>
                <w:rFonts w:hint="eastAsia" w:ascii="Times New Roman" w:eastAsia="仿宋"/>
                <w:szCs w:val="21"/>
              </w:rPr>
              <w:t>22.67</w:t>
            </w:r>
          </w:p>
        </w:tc>
        <w:tc>
          <w:tcPr>
            <w:tcW w:w="1722" w:type="dxa"/>
            <w:vAlign w:val="bottom"/>
          </w:tcPr>
          <w:p w14:paraId="662BCDCF">
            <w:pPr>
              <w:jc w:val="center"/>
              <w:rPr>
                <w:rFonts w:ascii="Times New Roman" w:eastAsia="仿宋"/>
                <w:szCs w:val="21"/>
              </w:rPr>
            </w:pPr>
            <w:r>
              <w:rPr>
                <w:rFonts w:hint="eastAsia" w:ascii="Times New Roman" w:eastAsia="仿宋"/>
                <w:szCs w:val="21"/>
              </w:rPr>
              <w:t>21.301</w:t>
            </w:r>
          </w:p>
        </w:tc>
        <w:tc>
          <w:tcPr>
            <w:tcW w:w="1718" w:type="dxa"/>
            <w:vAlign w:val="bottom"/>
          </w:tcPr>
          <w:p w14:paraId="29850DA5">
            <w:pPr>
              <w:jc w:val="center"/>
              <w:rPr>
                <w:rFonts w:ascii="Times New Roman" w:eastAsia="仿宋"/>
                <w:szCs w:val="21"/>
              </w:rPr>
            </w:pPr>
            <w:r>
              <w:rPr>
                <w:rFonts w:hint="eastAsia" w:ascii="Times New Roman" w:eastAsia="仿宋"/>
                <w:szCs w:val="21"/>
              </w:rPr>
              <w:t>1.369</w:t>
            </w:r>
          </w:p>
        </w:tc>
        <w:tc>
          <w:tcPr>
            <w:tcW w:w="2201" w:type="dxa"/>
            <w:vAlign w:val="bottom"/>
          </w:tcPr>
          <w:p w14:paraId="17837BA2">
            <w:pPr>
              <w:jc w:val="center"/>
              <w:rPr>
                <w:rFonts w:ascii="Times New Roman" w:eastAsia="仿宋"/>
                <w:szCs w:val="21"/>
              </w:rPr>
            </w:pPr>
            <w:r>
              <w:rPr>
                <w:rFonts w:hint="eastAsia" w:ascii="Times New Roman" w:eastAsia="仿宋"/>
                <w:szCs w:val="21"/>
              </w:rPr>
              <w:t>+1.369</w:t>
            </w:r>
          </w:p>
        </w:tc>
        <w:tc>
          <w:tcPr>
            <w:tcW w:w="2482" w:type="dxa"/>
            <w:vAlign w:val="bottom"/>
          </w:tcPr>
          <w:p w14:paraId="417BA953">
            <w:pPr>
              <w:jc w:val="center"/>
              <w:rPr>
                <w:rFonts w:ascii="Times New Roman" w:eastAsia="仿宋"/>
                <w:szCs w:val="21"/>
              </w:rPr>
            </w:pPr>
            <w:r>
              <w:rPr>
                <w:rFonts w:hint="eastAsia" w:ascii="Times New Roman" w:eastAsia="仿宋"/>
                <w:szCs w:val="21"/>
              </w:rPr>
              <w:t>+1.369</w:t>
            </w:r>
          </w:p>
        </w:tc>
      </w:tr>
      <w:tr w14:paraId="704E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31DB02F2">
            <w:pPr>
              <w:jc w:val="center"/>
              <w:rPr>
                <w:rFonts w:ascii="Times New Roman" w:eastAsia="仿宋"/>
                <w:szCs w:val="21"/>
              </w:rPr>
            </w:pPr>
          </w:p>
        </w:tc>
        <w:tc>
          <w:tcPr>
            <w:tcW w:w="780" w:type="dxa"/>
            <w:vMerge w:val="continue"/>
            <w:vAlign w:val="center"/>
          </w:tcPr>
          <w:p w14:paraId="63506705">
            <w:pPr>
              <w:jc w:val="center"/>
              <w:rPr>
                <w:rFonts w:ascii="Times New Roman" w:eastAsia="仿宋"/>
                <w:szCs w:val="21"/>
              </w:rPr>
            </w:pPr>
          </w:p>
        </w:tc>
        <w:tc>
          <w:tcPr>
            <w:tcW w:w="2513" w:type="dxa"/>
            <w:gridSpan w:val="2"/>
            <w:vAlign w:val="center"/>
          </w:tcPr>
          <w:p w14:paraId="2DFBD5CD">
            <w:pPr>
              <w:adjustRightInd w:val="0"/>
              <w:snapToGrid w:val="0"/>
              <w:jc w:val="center"/>
              <w:rPr>
                <w:rFonts w:ascii="Times New Roman" w:eastAsia="仿宋"/>
                <w:szCs w:val="21"/>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642" w:type="dxa"/>
            <w:vAlign w:val="bottom"/>
          </w:tcPr>
          <w:p w14:paraId="5815CDC2">
            <w:pPr>
              <w:widowControl/>
              <w:jc w:val="center"/>
              <w:rPr>
                <w:rFonts w:ascii="Times New Roman" w:eastAsia="仿宋"/>
                <w:szCs w:val="21"/>
              </w:rPr>
            </w:pPr>
            <w:r>
              <w:rPr>
                <w:rFonts w:hint="eastAsia" w:ascii="Times New Roman" w:eastAsia="仿宋"/>
                <w:szCs w:val="21"/>
              </w:rPr>
              <w:t>0.025</w:t>
            </w:r>
          </w:p>
        </w:tc>
        <w:tc>
          <w:tcPr>
            <w:tcW w:w="1722" w:type="dxa"/>
            <w:vAlign w:val="bottom"/>
          </w:tcPr>
          <w:p w14:paraId="7EC082C0">
            <w:pPr>
              <w:widowControl/>
              <w:jc w:val="center"/>
              <w:rPr>
                <w:rFonts w:ascii="Times New Roman" w:eastAsia="仿宋"/>
                <w:szCs w:val="21"/>
              </w:rPr>
            </w:pPr>
            <w:r>
              <w:rPr>
                <w:rFonts w:hint="eastAsia" w:ascii="Times New Roman" w:eastAsia="仿宋"/>
                <w:szCs w:val="21"/>
              </w:rPr>
              <w:t>0</w:t>
            </w:r>
          </w:p>
        </w:tc>
        <w:tc>
          <w:tcPr>
            <w:tcW w:w="1718" w:type="dxa"/>
            <w:vAlign w:val="bottom"/>
          </w:tcPr>
          <w:p w14:paraId="7A7A24F9">
            <w:pPr>
              <w:widowControl/>
              <w:jc w:val="center"/>
              <w:rPr>
                <w:rFonts w:ascii="Times New Roman" w:eastAsia="仿宋"/>
                <w:szCs w:val="21"/>
              </w:rPr>
            </w:pPr>
            <w:r>
              <w:rPr>
                <w:rFonts w:hint="eastAsia" w:ascii="Times New Roman" w:eastAsia="仿宋"/>
                <w:szCs w:val="21"/>
              </w:rPr>
              <w:t>0.025</w:t>
            </w:r>
          </w:p>
        </w:tc>
        <w:tc>
          <w:tcPr>
            <w:tcW w:w="2201" w:type="dxa"/>
            <w:vAlign w:val="bottom"/>
          </w:tcPr>
          <w:p w14:paraId="6BDD9871">
            <w:pPr>
              <w:widowControl/>
              <w:jc w:val="center"/>
              <w:rPr>
                <w:rFonts w:ascii="Times New Roman" w:eastAsia="仿宋"/>
                <w:szCs w:val="21"/>
              </w:rPr>
            </w:pPr>
            <w:r>
              <w:rPr>
                <w:rFonts w:hint="eastAsia" w:ascii="Times New Roman" w:eastAsia="仿宋"/>
                <w:szCs w:val="21"/>
              </w:rPr>
              <w:t>+0.025</w:t>
            </w:r>
          </w:p>
        </w:tc>
        <w:tc>
          <w:tcPr>
            <w:tcW w:w="2482" w:type="dxa"/>
            <w:vAlign w:val="bottom"/>
          </w:tcPr>
          <w:p w14:paraId="1018F1C3">
            <w:pPr>
              <w:widowControl/>
              <w:jc w:val="center"/>
              <w:rPr>
                <w:rFonts w:ascii="Times New Roman" w:eastAsia="仿宋"/>
                <w:szCs w:val="21"/>
              </w:rPr>
            </w:pPr>
            <w:r>
              <w:rPr>
                <w:rFonts w:hint="eastAsia" w:ascii="Times New Roman" w:eastAsia="仿宋"/>
                <w:szCs w:val="21"/>
              </w:rPr>
              <w:t>+0.025</w:t>
            </w:r>
          </w:p>
        </w:tc>
      </w:tr>
      <w:tr w14:paraId="4838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3267576A">
            <w:pPr>
              <w:jc w:val="center"/>
              <w:rPr>
                <w:rFonts w:ascii="Times New Roman" w:eastAsia="仿宋"/>
                <w:szCs w:val="21"/>
              </w:rPr>
            </w:pPr>
          </w:p>
        </w:tc>
        <w:tc>
          <w:tcPr>
            <w:tcW w:w="780" w:type="dxa"/>
            <w:vMerge w:val="continue"/>
            <w:vAlign w:val="center"/>
          </w:tcPr>
          <w:p w14:paraId="568D9250">
            <w:pPr>
              <w:jc w:val="center"/>
              <w:rPr>
                <w:rFonts w:ascii="Times New Roman" w:eastAsia="仿宋"/>
                <w:szCs w:val="21"/>
              </w:rPr>
            </w:pPr>
          </w:p>
        </w:tc>
        <w:tc>
          <w:tcPr>
            <w:tcW w:w="2513" w:type="dxa"/>
            <w:gridSpan w:val="2"/>
            <w:vAlign w:val="center"/>
          </w:tcPr>
          <w:p w14:paraId="23056E9A">
            <w:pPr>
              <w:adjustRightInd w:val="0"/>
              <w:snapToGrid w:val="0"/>
              <w:jc w:val="center"/>
              <w:rPr>
                <w:rFonts w:ascii="Times New Roman" w:eastAsia="仿宋"/>
                <w:szCs w:val="21"/>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642" w:type="dxa"/>
            <w:vAlign w:val="bottom"/>
          </w:tcPr>
          <w:p w14:paraId="457E24BB">
            <w:pPr>
              <w:widowControl/>
              <w:jc w:val="center"/>
              <w:rPr>
                <w:rFonts w:ascii="Times New Roman" w:eastAsia="仿宋"/>
                <w:szCs w:val="21"/>
              </w:rPr>
            </w:pPr>
            <w:r>
              <w:rPr>
                <w:rFonts w:ascii="Times New Roman" w:eastAsia="仿宋"/>
                <w:szCs w:val="21"/>
              </w:rPr>
              <w:t>1.12</w:t>
            </w:r>
          </w:p>
        </w:tc>
        <w:tc>
          <w:tcPr>
            <w:tcW w:w="1722" w:type="dxa"/>
            <w:vAlign w:val="bottom"/>
          </w:tcPr>
          <w:p w14:paraId="12D7BBB7">
            <w:pPr>
              <w:widowControl/>
              <w:jc w:val="center"/>
              <w:rPr>
                <w:rFonts w:ascii="Times New Roman" w:eastAsia="仿宋"/>
                <w:szCs w:val="21"/>
              </w:rPr>
            </w:pPr>
            <w:r>
              <w:rPr>
                <w:rFonts w:hint="eastAsia" w:ascii="Times New Roman" w:eastAsia="仿宋"/>
                <w:szCs w:val="21"/>
              </w:rPr>
              <w:t>0</w:t>
            </w:r>
          </w:p>
        </w:tc>
        <w:tc>
          <w:tcPr>
            <w:tcW w:w="1718" w:type="dxa"/>
            <w:vAlign w:val="bottom"/>
          </w:tcPr>
          <w:p w14:paraId="16D0C52A">
            <w:pPr>
              <w:widowControl/>
              <w:jc w:val="center"/>
              <w:rPr>
                <w:rFonts w:ascii="Times New Roman" w:eastAsia="仿宋"/>
                <w:szCs w:val="21"/>
              </w:rPr>
            </w:pPr>
            <w:r>
              <w:rPr>
                <w:rFonts w:ascii="Times New Roman" w:eastAsia="仿宋"/>
                <w:szCs w:val="21"/>
              </w:rPr>
              <w:t>1.12</w:t>
            </w:r>
          </w:p>
        </w:tc>
        <w:tc>
          <w:tcPr>
            <w:tcW w:w="2201" w:type="dxa"/>
            <w:vAlign w:val="bottom"/>
          </w:tcPr>
          <w:p w14:paraId="410A988A">
            <w:pPr>
              <w:widowControl/>
              <w:jc w:val="center"/>
              <w:rPr>
                <w:rFonts w:ascii="Times New Roman" w:eastAsia="仿宋"/>
                <w:szCs w:val="21"/>
              </w:rPr>
            </w:pPr>
            <w:r>
              <w:rPr>
                <w:rFonts w:hint="eastAsia" w:ascii="Times New Roman" w:eastAsia="仿宋"/>
                <w:szCs w:val="21"/>
              </w:rPr>
              <w:t>+</w:t>
            </w:r>
            <w:r>
              <w:rPr>
                <w:rFonts w:ascii="Times New Roman" w:eastAsia="仿宋"/>
                <w:szCs w:val="21"/>
              </w:rPr>
              <w:t>1.12</w:t>
            </w:r>
          </w:p>
        </w:tc>
        <w:tc>
          <w:tcPr>
            <w:tcW w:w="2482" w:type="dxa"/>
            <w:vAlign w:val="bottom"/>
          </w:tcPr>
          <w:p w14:paraId="7DF117B2">
            <w:pPr>
              <w:widowControl/>
              <w:jc w:val="center"/>
              <w:rPr>
                <w:rFonts w:ascii="Times New Roman" w:eastAsia="仿宋"/>
                <w:szCs w:val="21"/>
              </w:rPr>
            </w:pPr>
            <w:r>
              <w:rPr>
                <w:rFonts w:hint="eastAsia" w:ascii="Times New Roman" w:eastAsia="仿宋"/>
                <w:szCs w:val="21"/>
              </w:rPr>
              <w:t>+</w:t>
            </w:r>
            <w:r>
              <w:rPr>
                <w:rFonts w:ascii="Times New Roman" w:eastAsia="仿宋"/>
                <w:szCs w:val="21"/>
              </w:rPr>
              <w:t>1.12</w:t>
            </w:r>
          </w:p>
        </w:tc>
      </w:tr>
      <w:tr w14:paraId="3855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65275E42">
            <w:pPr>
              <w:jc w:val="center"/>
              <w:rPr>
                <w:rFonts w:ascii="Times New Roman" w:eastAsia="仿宋"/>
                <w:szCs w:val="21"/>
              </w:rPr>
            </w:pPr>
          </w:p>
        </w:tc>
        <w:tc>
          <w:tcPr>
            <w:tcW w:w="780" w:type="dxa"/>
            <w:vMerge w:val="restart"/>
            <w:vAlign w:val="center"/>
          </w:tcPr>
          <w:p w14:paraId="03524C6F">
            <w:pPr>
              <w:jc w:val="center"/>
              <w:rPr>
                <w:rFonts w:ascii="Times New Roman" w:eastAsia="仿宋"/>
                <w:szCs w:val="21"/>
              </w:rPr>
            </w:pPr>
            <w:r>
              <w:rPr>
                <w:rFonts w:ascii="Times New Roman" w:eastAsia="仿宋"/>
                <w:szCs w:val="21"/>
              </w:rPr>
              <w:t>无组织</w:t>
            </w:r>
          </w:p>
        </w:tc>
        <w:tc>
          <w:tcPr>
            <w:tcW w:w="2513" w:type="dxa"/>
            <w:gridSpan w:val="2"/>
            <w:shd w:val="clear" w:color="auto" w:fill="auto"/>
            <w:vAlign w:val="center"/>
          </w:tcPr>
          <w:p w14:paraId="4302AC08">
            <w:pPr>
              <w:jc w:val="center"/>
              <w:rPr>
                <w:rFonts w:ascii="Times New Roman" w:eastAsia="仿宋"/>
                <w:szCs w:val="21"/>
              </w:rPr>
            </w:pPr>
            <w:r>
              <w:rPr>
                <w:rFonts w:hint="eastAsia" w:ascii="Times New Roman" w:eastAsia="仿宋"/>
                <w:szCs w:val="21"/>
              </w:rPr>
              <w:t>二甲苯</w:t>
            </w:r>
          </w:p>
        </w:tc>
        <w:tc>
          <w:tcPr>
            <w:tcW w:w="1642" w:type="dxa"/>
            <w:shd w:val="clear" w:color="auto" w:fill="auto"/>
            <w:vAlign w:val="center"/>
          </w:tcPr>
          <w:p w14:paraId="51F00AAB">
            <w:pPr>
              <w:jc w:val="center"/>
              <w:rPr>
                <w:rFonts w:ascii="Times New Roman" w:eastAsia="仿宋"/>
                <w:szCs w:val="21"/>
              </w:rPr>
            </w:pPr>
            <w:r>
              <w:rPr>
                <w:rFonts w:hint="eastAsia" w:ascii="Times New Roman" w:eastAsia="仿宋"/>
                <w:szCs w:val="21"/>
              </w:rPr>
              <w:t>0.088</w:t>
            </w:r>
          </w:p>
        </w:tc>
        <w:tc>
          <w:tcPr>
            <w:tcW w:w="1722" w:type="dxa"/>
            <w:shd w:val="clear" w:color="auto" w:fill="auto"/>
            <w:vAlign w:val="center"/>
          </w:tcPr>
          <w:p w14:paraId="0C75762B">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5C2694B3">
            <w:pPr>
              <w:jc w:val="center"/>
              <w:rPr>
                <w:rFonts w:ascii="Times New Roman" w:eastAsia="仿宋"/>
                <w:szCs w:val="21"/>
              </w:rPr>
            </w:pPr>
            <w:r>
              <w:rPr>
                <w:rFonts w:hint="eastAsia" w:ascii="Times New Roman" w:eastAsia="仿宋"/>
                <w:szCs w:val="21"/>
              </w:rPr>
              <w:t>0.088</w:t>
            </w:r>
          </w:p>
        </w:tc>
        <w:tc>
          <w:tcPr>
            <w:tcW w:w="2201" w:type="dxa"/>
            <w:shd w:val="clear" w:color="auto" w:fill="auto"/>
            <w:vAlign w:val="center"/>
          </w:tcPr>
          <w:p w14:paraId="1B719757">
            <w:pPr>
              <w:jc w:val="center"/>
              <w:rPr>
                <w:rFonts w:ascii="Times New Roman"/>
                <w:szCs w:val="24"/>
              </w:rPr>
            </w:pPr>
            <w:r>
              <w:rPr>
                <w:rFonts w:hint="eastAsia" w:ascii="Times New Roman" w:eastAsia="仿宋"/>
                <w:szCs w:val="21"/>
              </w:rPr>
              <w:t>+0.088</w:t>
            </w:r>
          </w:p>
        </w:tc>
        <w:tc>
          <w:tcPr>
            <w:tcW w:w="2482" w:type="dxa"/>
            <w:shd w:val="clear" w:color="auto" w:fill="auto"/>
            <w:vAlign w:val="center"/>
          </w:tcPr>
          <w:p w14:paraId="2D093DFB">
            <w:pPr>
              <w:jc w:val="center"/>
              <w:rPr>
                <w:rFonts w:ascii="Times New Roman"/>
                <w:szCs w:val="24"/>
              </w:rPr>
            </w:pPr>
            <w:r>
              <w:rPr>
                <w:rFonts w:hint="eastAsia" w:ascii="Times New Roman" w:eastAsia="仿宋"/>
                <w:szCs w:val="21"/>
              </w:rPr>
              <w:t>+0.088</w:t>
            </w:r>
          </w:p>
        </w:tc>
      </w:tr>
      <w:tr w14:paraId="0CD5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623556E3">
            <w:pPr>
              <w:jc w:val="center"/>
              <w:rPr>
                <w:rFonts w:ascii="Times New Roman" w:eastAsia="仿宋"/>
                <w:szCs w:val="21"/>
              </w:rPr>
            </w:pPr>
          </w:p>
        </w:tc>
        <w:tc>
          <w:tcPr>
            <w:tcW w:w="780" w:type="dxa"/>
            <w:vMerge w:val="continue"/>
            <w:vAlign w:val="center"/>
          </w:tcPr>
          <w:p w14:paraId="088F42B1">
            <w:pPr>
              <w:jc w:val="center"/>
              <w:rPr>
                <w:rFonts w:ascii="Times New Roman" w:eastAsia="仿宋"/>
                <w:szCs w:val="21"/>
              </w:rPr>
            </w:pPr>
          </w:p>
        </w:tc>
        <w:tc>
          <w:tcPr>
            <w:tcW w:w="2513" w:type="dxa"/>
            <w:gridSpan w:val="2"/>
            <w:shd w:val="clear" w:color="auto" w:fill="auto"/>
            <w:vAlign w:val="center"/>
          </w:tcPr>
          <w:p w14:paraId="53174BAA">
            <w:pPr>
              <w:jc w:val="center"/>
              <w:rPr>
                <w:rFonts w:ascii="Times New Roman" w:eastAsia="仿宋"/>
                <w:szCs w:val="21"/>
              </w:rPr>
            </w:pPr>
            <w:r>
              <w:rPr>
                <w:rFonts w:hint="eastAsia" w:ascii="Times New Roman" w:eastAsia="仿宋"/>
                <w:szCs w:val="21"/>
              </w:rPr>
              <w:t>苯系物</w:t>
            </w:r>
          </w:p>
        </w:tc>
        <w:tc>
          <w:tcPr>
            <w:tcW w:w="1642" w:type="dxa"/>
            <w:shd w:val="clear" w:color="auto" w:fill="auto"/>
            <w:vAlign w:val="center"/>
          </w:tcPr>
          <w:p w14:paraId="669198EE">
            <w:pPr>
              <w:jc w:val="center"/>
              <w:rPr>
                <w:rFonts w:ascii="Times New Roman" w:eastAsia="仿宋"/>
                <w:szCs w:val="21"/>
              </w:rPr>
            </w:pPr>
            <w:r>
              <w:rPr>
                <w:rFonts w:hint="eastAsia" w:ascii="Times New Roman" w:eastAsia="仿宋"/>
                <w:szCs w:val="21"/>
              </w:rPr>
              <w:t>0.088</w:t>
            </w:r>
          </w:p>
        </w:tc>
        <w:tc>
          <w:tcPr>
            <w:tcW w:w="1722" w:type="dxa"/>
            <w:shd w:val="clear" w:color="auto" w:fill="auto"/>
            <w:vAlign w:val="center"/>
          </w:tcPr>
          <w:p w14:paraId="46AC3EF6">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33C31E48">
            <w:pPr>
              <w:jc w:val="center"/>
              <w:rPr>
                <w:rFonts w:ascii="Times New Roman" w:eastAsia="仿宋"/>
                <w:szCs w:val="21"/>
              </w:rPr>
            </w:pPr>
            <w:r>
              <w:rPr>
                <w:rFonts w:hint="eastAsia" w:ascii="Times New Roman" w:eastAsia="仿宋"/>
                <w:szCs w:val="21"/>
              </w:rPr>
              <w:t>0.088</w:t>
            </w:r>
          </w:p>
        </w:tc>
        <w:tc>
          <w:tcPr>
            <w:tcW w:w="2201" w:type="dxa"/>
            <w:shd w:val="clear" w:color="auto" w:fill="auto"/>
            <w:vAlign w:val="center"/>
          </w:tcPr>
          <w:p w14:paraId="64A1C7AF">
            <w:pPr>
              <w:jc w:val="center"/>
              <w:rPr>
                <w:rFonts w:ascii="Times New Roman"/>
                <w:szCs w:val="24"/>
              </w:rPr>
            </w:pPr>
            <w:r>
              <w:rPr>
                <w:rFonts w:hint="eastAsia" w:ascii="Times New Roman" w:eastAsia="仿宋"/>
                <w:szCs w:val="21"/>
              </w:rPr>
              <w:t>+0.088</w:t>
            </w:r>
          </w:p>
        </w:tc>
        <w:tc>
          <w:tcPr>
            <w:tcW w:w="2482" w:type="dxa"/>
            <w:shd w:val="clear" w:color="auto" w:fill="auto"/>
            <w:vAlign w:val="center"/>
          </w:tcPr>
          <w:p w14:paraId="1FC5EB3A">
            <w:pPr>
              <w:jc w:val="center"/>
              <w:rPr>
                <w:rFonts w:ascii="Times New Roman"/>
                <w:szCs w:val="24"/>
              </w:rPr>
            </w:pPr>
            <w:r>
              <w:rPr>
                <w:rFonts w:hint="eastAsia" w:ascii="Times New Roman" w:eastAsia="仿宋"/>
                <w:szCs w:val="21"/>
              </w:rPr>
              <w:t>+0.088</w:t>
            </w:r>
          </w:p>
        </w:tc>
      </w:tr>
      <w:tr w14:paraId="5E71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65ACEEDE">
            <w:pPr>
              <w:jc w:val="center"/>
              <w:rPr>
                <w:rFonts w:ascii="Times New Roman" w:eastAsia="仿宋"/>
                <w:szCs w:val="21"/>
              </w:rPr>
            </w:pPr>
          </w:p>
        </w:tc>
        <w:tc>
          <w:tcPr>
            <w:tcW w:w="780" w:type="dxa"/>
            <w:vMerge w:val="continue"/>
            <w:vAlign w:val="center"/>
          </w:tcPr>
          <w:p w14:paraId="1D7191E9">
            <w:pPr>
              <w:jc w:val="center"/>
              <w:rPr>
                <w:rFonts w:ascii="Times New Roman" w:eastAsia="仿宋"/>
                <w:szCs w:val="21"/>
              </w:rPr>
            </w:pPr>
          </w:p>
        </w:tc>
        <w:tc>
          <w:tcPr>
            <w:tcW w:w="2513" w:type="dxa"/>
            <w:gridSpan w:val="2"/>
            <w:shd w:val="clear" w:color="auto" w:fill="auto"/>
            <w:vAlign w:val="center"/>
          </w:tcPr>
          <w:p w14:paraId="30C92388">
            <w:pPr>
              <w:jc w:val="center"/>
              <w:rPr>
                <w:rFonts w:ascii="Times New Roman" w:eastAsia="仿宋"/>
                <w:szCs w:val="21"/>
              </w:rPr>
            </w:pPr>
            <w:r>
              <w:rPr>
                <w:rFonts w:ascii="Times New Roman" w:eastAsia="仿宋"/>
                <w:szCs w:val="21"/>
              </w:rPr>
              <w:t>VOC</w:t>
            </w:r>
            <w:r>
              <w:rPr>
                <w:rFonts w:hint="eastAsia" w:ascii="Times New Roman" w:eastAsia="仿宋"/>
                <w:szCs w:val="21"/>
              </w:rPr>
              <w:t>s（非甲烷总烃）</w:t>
            </w:r>
          </w:p>
        </w:tc>
        <w:tc>
          <w:tcPr>
            <w:tcW w:w="1642" w:type="dxa"/>
            <w:shd w:val="clear" w:color="auto" w:fill="auto"/>
            <w:vAlign w:val="center"/>
          </w:tcPr>
          <w:p w14:paraId="17A721E8">
            <w:pPr>
              <w:jc w:val="center"/>
              <w:rPr>
                <w:rFonts w:ascii="Times New Roman" w:eastAsia="仿宋"/>
                <w:szCs w:val="21"/>
              </w:rPr>
            </w:pPr>
            <w:r>
              <w:rPr>
                <w:rFonts w:hint="eastAsia" w:ascii="Times New Roman" w:eastAsia="仿宋"/>
                <w:szCs w:val="21"/>
              </w:rPr>
              <w:t>1.199</w:t>
            </w:r>
          </w:p>
        </w:tc>
        <w:tc>
          <w:tcPr>
            <w:tcW w:w="1722" w:type="dxa"/>
            <w:shd w:val="clear" w:color="auto" w:fill="auto"/>
            <w:vAlign w:val="center"/>
          </w:tcPr>
          <w:p w14:paraId="509CC500">
            <w:pPr>
              <w:jc w:val="center"/>
              <w:rPr>
                <w:rFonts w:ascii="Times New Roman" w:eastAsia="仿宋"/>
                <w:szCs w:val="21"/>
              </w:rPr>
            </w:pPr>
            <w:r>
              <w:rPr>
                <w:rFonts w:hint="eastAsia" w:ascii="Times New Roman" w:eastAsia="仿宋"/>
                <w:szCs w:val="21"/>
              </w:rPr>
              <w:t>0</w:t>
            </w:r>
          </w:p>
        </w:tc>
        <w:tc>
          <w:tcPr>
            <w:tcW w:w="1718" w:type="dxa"/>
            <w:shd w:val="clear" w:color="auto" w:fill="auto"/>
            <w:vAlign w:val="center"/>
          </w:tcPr>
          <w:p w14:paraId="7C2CC277">
            <w:pPr>
              <w:jc w:val="center"/>
              <w:rPr>
                <w:rFonts w:ascii="Times New Roman" w:eastAsia="仿宋"/>
                <w:szCs w:val="21"/>
              </w:rPr>
            </w:pPr>
            <w:r>
              <w:rPr>
                <w:rFonts w:hint="eastAsia" w:ascii="Times New Roman" w:eastAsia="仿宋"/>
                <w:szCs w:val="21"/>
              </w:rPr>
              <w:t>1.199</w:t>
            </w:r>
          </w:p>
        </w:tc>
        <w:tc>
          <w:tcPr>
            <w:tcW w:w="2201" w:type="dxa"/>
            <w:shd w:val="clear" w:color="auto" w:fill="auto"/>
            <w:vAlign w:val="center"/>
          </w:tcPr>
          <w:p w14:paraId="02DDAC39">
            <w:pPr>
              <w:jc w:val="center"/>
              <w:rPr>
                <w:rFonts w:ascii="Times New Roman"/>
                <w:szCs w:val="24"/>
              </w:rPr>
            </w:pPr>
            <w:r>
              <w:rPr>
                <w:rFonts w:hint="eastAsia" w:ascii="Times New Roman" w:eastAsia="仿宋"/>
                <w:szCs w:val="21"/>
              </w:rPr>
              <w:t>+1.199</w:t>
            </w:r>
          </w:p>
        </w:tc>
        <w:tc>
          <w:tcPr>
            <w:tcW w:w="2482" w:type="dxa"/>
            <w:shd w:val="clear" w:color="auto" w:fill="auto"/>
            <w:vAlign w:val="center"/>
          </w:tcPr>
          <w:p w14:paraId="1BEE0098">
            <w:pPr>
              <w:jc w:val="center"/>
              <w:rPr>
                <w:rFonts w:ascii="Times New Roman"/>
                <w:szCs w:val="24"/>
              </w:rPr>
            </w:pPr>
            <w:r>
              <w:rPr>
                <w:rFonts w:hint="eastAsia" w:ascii="Times New Roman" w:eastAsia="仿宋"/>
                <w:szCs w:val="21"/>
              </w:rPr>
              <w:t>+1.199</w:t>
            </w:r>
          </w:p>
        </w:tc>
      </w:tr>
      <w:tr w14:paraId="7095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0" w:type="dxa"/>
            <w:vMerge w:val="continue"/>
            <w:vAlign w:val="center"/>
          </w:tcPr>
          <w:p w14:paraId="6C7614BB">
            <w:pPr>
              <w:jc w:val="center"/>
              <w:rPr>
                <w:rFonts w:ascii="Times New Roman" w:eastAsia="仿宋"/>
                <w:szCs w:val="21"/>
              </w:rPr>
            </w:pPr>
          </w:p>
        </w:tc>
        <w:tc>
          <w:tcPr>
            <w:tcW w:w="780" w:type="dxa"/>
            <w:vMerge w:val="continue"/>
            <w:vAlign w:val="center"/>
          </w:tcPr>
          <w:p w14:paraId="5147BE92">
            <w:pPr>
              <w:jc w:val="center"/>
              <w:rPr>
                <w:rFonts w:ascii="Times New Roman" w:eastAsia="仿宋"/>
                <w:szCs w:val="21"/>
              </w:rPr>
            </w:pPr>
          </w:p>
        </w:tc>
        <w:tc>
          <w:tcPr>
            <w:tcW w:w="2513" w:type="dxa"/>
            <w:gridSpan w:val="2"/>
            <w:shd w:val="clear" w:color="auto" w:fill="auto"/>
            <w:vAlign w:val="center"/>
          </w:tcPr>
          <w:p w14:paraId="41404391">
            <w:pPr>
              <w:jc w:val="center"/>
              <w:rPr>
                <w:rFonts w:ascii="Times New Roman" w:eastAsia="仿宋"/>
                <w:szCs w:val="21"/>
              </w:rPr>
            </w:pPr>
            <w:r>
              <w:rPr>
                <w:rFonts w:hint="eastAsia" w:ascii="Times New Roman" w:eastAsia="仿宋"/>
                <w:szCs w:val="21"/>
              </w:rPr>
              <w:t>颗粒物</w:t>
            </w:r>
          </w:p>
        </w:tc>
        <w:tc>
          <w:tcPr>
            <w:tcW w:w="1642" w:type="dxa"/>
            <w:shd w:val="clear" w:color="auto" w:fill="auto"/>
            <w:vAlign w:val="center"/>
          </w:tcPr>
          <w:p w14:paraId="0FF91AE4">
            <w:pPr>
              <w:jc w:val="center"/>
              <w:rPr>
                <w:rFonts w:ascii="Times New Roman" w:eastAsia="仿宋"/>
                <w:szCs w:val="21"/>
              </w:rPr>
            </w:pPr>
            <w:r>
              <w:rPr>
                <w:rFonts w:hint="eastAsia" w:ascii="Times New Roman" w:eastAsia="仿宋"/>
                <w:szCs w:val="21"/>
              </w:rPr>
              <w:t>0.24</w:t>
            </w:r>
          </w:p>
        </w:tc>
        <w:tc>
          <w:tcPr>
            <w:tcW w:w="1722" w:type="dxa"/>
            <w:shd w:val="clear" w:color="auto" w:fill="auto"/>
            <w:vAlign w:val="center"/>
          </w:tcPr>
          <w:p w14:paraId="3DE30C0A">
            <w:pPr>
              <w:widowControl/>
              <w:jc w:val="center"/>
              <w:textAlignment w:val="center"/>
              <w:rPr>
                <w:rFonts w:ascii="Times New Roman" w:eastAsia="仿宋"/>
                <w:szCs w:val="21"/>
              </w:rPr>
            </w:pPr>
            <w:r>
              <w:rPr>
                <w:rFonts w:hint="eastAsia" w:ascii="Times New Roman" w:eastAsia="仿宋"/>
                <w:szCs w:val="21"/>
              </w:rPr>
              <w:t>0.024</w:t>
            </w:r>
          </w:p>
        </w:tc>
        <w:tc>
          <w:tcPr>
            <w:tcW w:w="1718" w:type="dxa"/>
            <w:shd w:val="clear" w:color="auto" w:fill="auto"/>
            <w:vAlign w:val="center"/>
          </w:tcPr>
          <w:p w14:paraId="7698DC6F">
            <w:pPr>
              <w:jc w:val="center"/>
              <w:rPr>
                <w:rFonts w:ascii="Times New Roman" w:eastAsia="仿宋"/>
                <w:szCs w:val="21"/>
              </w:rPr>
            </w:pPr>
            <w:r>
              <w:rPr>
                <w:rFonts w:hint="eastAsia" w:ascii="Times New Roman" w:eastAsia="仿宋"/>
                <w:szCs w:val="21"/>
              </w:rPr>
              <w:t>0.216</w:t>
            </w:r>
          </w:p>
        </w:tc>
        <w:tc>
          <w:tcPr>
            <w:tcW w:w="2201" w:type="dxa"/>
            <w:shd w:val="clear" w:color="auto" w:fill="auto"/>
            <w:vAlign w:val="center"/>
          </w:tcPr>
          <w:p w14:paraId="31F2558A">
            <w:pPr>
              <w:jc w:val="center"/>
              <w:rPr>
                <w:rFonts w:ascii="Times New Roman"/>
                <w:szCs w:val="24"/>
              </w:rPr>
            </w:pPr>
            <w:r>
              <w:rPr>
                <w:rFonts w:hint="eastAsia" w:ascii="Times New Roman" w:eastAsia="仿宋"/>
                <w:szCs w:val="21"/>
              </w:rPr>
              <w:t>+0.216</w:t>
            </w:r>
          </w:p>
        </w:tc>
        <w:tc>
          <w:tcPr>
            <w:tcW w:w="2482" w:type="dxa"/>
            <w:shd w:val="clear" w:color="auto" w:fill="auto"/>
            <w:vAlign w:val="center"/>
          </w:tcPr>
          <w:p w14:paraId="57F130B8">
            <w:pPr>
              <w:jc w:val="center"/>
              <w:rPr>
                <w:rFonts w:ascii="Times New Roman"/>
                <w:szCs w:val="24"/>
              </w:rPr>
            </w:pPr>
            <w:r>
              <w:rPr>
                <w:rFonts w:hint="eastAsia" w:ascii="Times New Roman" w:eastAsia="仿宋"/>
                <w:szCs w:val="21"/>
              </w:rPr>
              <w:t>+0.216</w:t>
            </w:r>
          </w:p>
        </w:tc>
      </w:tr>
      <w:tr w14:paraId="79EF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restart"/>
            <w:vAlign w:val="center"/>
          </w:tcPr>
          <w:p w14:paraId="44F90BCF">
            <w:pPr>
              <w:jc w:val="center"/>
              <w:rPr>
                <w:rFonts w:ascii="Times New Roman" w:eastAsia="仿宋"/>
                <w:szCs w:val="21"/>
              </w:rPr>
            </w:pPr>
            <w:r>
              <w:rPr>
                <w:rFonts w:ascii="Times New Roman" w:eastAsia="仿宋"/>
                <w:szCs w:val="21"/>
              </w:rPr>
              <w:t>废水</w:t>
            </w:r>
          </w:p>
        </w:tc>
        <w:tc>
          <w:tcPr>
            <w:tcW w:w="1164" w:type="dxa"/>
            <w:vMerge w:val="restart"/>
            <w:vAlign w:val="center"/>
          </w:tcPr>
          <w:p w14:paraId="35459AB9">
            <w:pPr>
              <w:pStyle w:val="170"/>
              <w:rPr>
                <w:rFonts w:ascii="Times New Roman" w:eastAsia="仿宋"/>
                <w:sz w:val="24"/>
                <w:szCs w:val="21"/>
              </w:rPr>
            </w:pPr>
            <w:r>
              <w:rPr>
                <w:rFonts w:hint="eastAsia" w:ascii="Times New Roman" w:eastAsia="仿宋"/>
                <w:sz w:val="24"/>
                <w:szCs w:val="21"/>
              </w:rPr>
              <w:t>生产污水</w:t>
            </w:r>
          </w:p>
        </w:tc>
        <w:tc>
          <w:tcPr>
            <w:tcW w:w="1349" w:type="dxa"/>
            <w:vAlign w:val="center"/>
          </w:tcPr>
          <w:p w14:paraId="0D938A4B">
            <w:pPr>
              <w:pStyle w:val="170"/>
              <w:rPr>
                <w:rFonts w:ascii="Times New Roman" w:eastAsia="仿宋"/>
                <w:sz w:val="24"/>
                <w:szCs w:val="21"/>
              </w:rPr>
            </w:pPr>
            <w:r>
              <w:rPr>
                <w:rFonts w:hint="eastAsia" w:ascii="Times New Roman" w:eastAsia="仿宋"/>
                <w:sz w:val="24"/>
                <w:szCs w:val="21"/>
              </w:rPr>
              <w:t>水量</w:t>
            </w:r>
          </w:p>
        </w:tc>
        <w:tc>
          <w:tcPr>
            <w:tcW w:w="1642" w:type="dxa"/>
            <w:vAlign w:val="center"/>
          </w:tcPr>
          <w:p w14:paraId="748DB156">
            <w:pPr>
              <w:jc w:val="center"/>
              <w:rPr>
                <w:rFonts w:ascii="Times New Roman" w:eastAsia="仿宋"/>
              </w:rPr>
            </w:pPr>
            <w:r>
              <w:rPr>
                <w:rFonts w:hint="eastAsia" w:ascii="Times New Roman" w:eastAsia="仿宋"/>
              </w:rPr>
              <w:t>792.4</w:t>
            </w:r>
          </w:p>
        </w:tc>
        <w:tc>
          <w:tcPr>
            <w:tcW w:w="1722" w:type="dxa"/>
            <w:vAlign w:val="center"/>
          </w:tcPr>
          <w:p w14:paraId="7912281C">
            <w:pPr>
              <w:pStyle w:val="229"/>
              <w:spacing w:line="240" w:lineRule="auto"/>
              <w:rPr>
                <w:rFonts w:eastAsia="仿宋"/>
                <w:sz w:val="24"/>
              </w:rPr>
            </w:pPr>
            <w:r>
              <w:rPr>
                <w:rFonts w:eastAsia="仿宋"/>
                <w:sz w:val="24"/>
              </w:rPr>
              <w:t>0</w:t>
            </w:r>
          </w:p>
        </w:tc>
        <w:tc>
          <w:tcPr>
            <w:tcW w:w="1718" w:type="dxa"/>
            <w:vAlign w:val="center"/>
          </w:tcPr>
          <w:p w14:paraId="07C7DF2D">
            <w:pPr>
              <w:jc w:val="center"/>
              <w:rPr>
                <w:rFonts w:ascii="Times New Roman" w:eastAsia="仿宋"/>
              </w:rPr>
            </w:pPr>
            <w:r>
              <w:rPr>
                <w:rFonts w:hint="eastAsia" w:ascii="Times New Roman" w:eastAsia="仿宋"/>
              </w:rPr>
              <w:t>7</w:t>
            </w:r>
            <w:r>
              <w:rPr>
                <w:rFonts w:ascii="Times New Roman" w:eastAsia="仿宋"/>
              </w:rPr>
              <w:t>92.4</w:t>
            </w:r>
          </w:p>
        </w:tc>
        <w:tc>
          <w:tcPr>
            <w:tcW w:w="2201" w:type="dxa"/>
            <w:shd w:val="clear" w:color="auto" w:fill="auto"/>
            <w:vAlign w:val="center"/>
          </w:tcPr>
          <w:p w14:paraId="3D25BC89">
            <w:pPr>
              <w:jc w:val="center"/>
              <w:rPr>
                <w:rFonts w:ascii="Times New Roman" w:eastAsia="仿宋"/>
              </w:rPr>
            </w:pPr>
            <w:r>
              <w:rPr>
                <w:rFonts w:hint="eastAsia" w:ascii="Times New Roman" w:eastAsia="仿宋"/>
              </w:rPr>
              <w:t>+7</w:t>
            </w:r>
            <w:r>
              <w:rPr>
                <w:rFonts w:ascii="Times New Roman" w:eastAsia="仿宋"/>
              </w:rPr>
              <w:t>92.4</w:t>
            </w:r>
          </w:p>
        </w:tc>
        <w:tc>
          <w:tcPr>
            <w:tcW w:w="2482" w:type="dxa"/>
            <w:vAlign w:val="center"/>
          </w:tcPr>
          <w:p w14:paraId="25430172">
            <w:pPr>
              <w:jc w:val="center"/>
              <w:rPr>
                <w:rFonts w:ascii="Times New Roman" w:eastAsia="仿宋"/>
                <w:szCs w:val="21"/>
              </w:rPr>
            </w:pPr>
            <w:r>
              <w:rPr>
                <w:rFonts w:hint="eastAsia" w:ascii="Times New Roman" w:eastAsia="仿宋"/>
              </w:rPr>
              <w:t>7</w:t>
            </w:r>
            <w:r>
              <w:rPr>
                <w:rFonts w:ascii="Times New Roman" w:eastAsia="仿宋"/>
              </w:rPr>
              <w:t>92.4</w:t>
            </w:r>
          </w:p>
        </w:tc>
      </w:tr>
      <w:tr w14:paraId="0F54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118F16F1">
            <w:pPr>
              <w:jc w:val="center"/>
              <w:rPr>
                <w:rFonts w:ascii="Times New Roman" w:eastAsia="仿宋"/>
                <w:szCs w:val="21"/>
              </w:rPr>
            </w:pPr>
          </w:p>
        </w:tc>
        <w:tc>
          <w:tcPr>
            <w:tcW w:w="1164" w:type="dxa"/>
            <w:vMerge w:val="continue"/>
            <w:vAlign w:val="center"/>
          </w:tcPr>
          <w:p w14:paraId="7F07801D">
            <w:pPr>
              <w:jc w:val="center"/>
              <w:rPr>
                <w:rFonts w:ascii="Times New Roman" w:eastAsia="仿宋"/>
                <w:szCs w:val="21"/>
              </w:rPr>
            </w:pPr>
          </w:p>
        </w:tc>
        <w:tc>
          <w:tcPr>
            <w:tcW w:w="1349" w:type="dxa"/>
            <w:vAlign w:val="center"/>
          </w:tcPr>
          <w:p w14:paraId="6F30FD77">
            <w:pPr>
              <w:jc w:val="center"/>
              <w:rPr>
                <w:rFonts w:ascii="Times New Roman" w:eastAsia="仿宋"/>
                <w:szCs w:val="21"/>
              </w:rPr>
            </w:pPr>
            <w:r>
              <w:rPr>
                <w:rFonts w:ascii="Times New Roman" w:eastAsia="仿宋"/>
                <w:szCs w:val="21"/>
              </w:rPr>
              <w:t>COD</w:t>
            </w:r>
          </w:p>
        </w:tc>
        <w:tc>
          <w:tcPr>
            <w:tcW w:w="1642" w:type="dxa"/>
            <w:vAlign w:val="center"/>
          </w:tcPr>
          <w:p w14:paraId="7228F760">
            <w:pPr>
              <w:jc w:val="center"/>
              <w:rPr>
                <w:rFonts w:ascii="Times New Roman" w:eastAsia="仿宋"/>
              </w:rPr>
            </w:pPr>
            <w:r>
              <w:rPr>
                <w:rFonts w:hint="eastAsia" w:ascii="Times New Roman" w:eastAsia="仿宋"/>
              </w:rPr>
              <w:t>2.312</w:t>
            </w:r>
          </w:p>
        </w:tc>
        <w:tc>
          <w:tcPr>
            <w:tcW w:w="1722" w:type="dxa"/>
            <w:vAlign w:val="center"/>
          </w:tcPr>
          <w:p w14:paraId="4D7ED053">
            <w:pPr>
              <w:widowControl/>
              <w:jc w:val="center"/>
              <w:textAlignment w:val="center"/>
              <w:rPr>
                <w:rFonts w:ascii="Times New Roman" w:eastAsia="仿宋"/>
                <w:szCs w:val="21"/>
              </w:rPr>
            </w:pPr>
            <w:r>
              <w:rPr>
                <w:rFonts w:hint="eastAsia" w:ascii="Times New Roman" w:eastAsia="仿宋"/>
                <w:szCs w:val="21"/>
              </w:rPr>
              <w:t>2</w:t>
            </w:r>
            <w:r>
              <w:rPr>
                <w:rFonts w:ascii="Times New Roman" w:eastAsia="仿宋"/>
                <w:szCs w:val="21"/>
              </w:rPr>
              <w:t>.032</w:t>
            </w:r>
          </w:p>
        </w:tc>
        <w:tc>
          <w:tcPr>
            <w:tcW w:w="1718" w:type="dxa"/>
            <w:vAlign w:val="center"/>
          </w:tcPr>
          <w:p w14:paraId="00C231EF">
            <w:pPr>
              <w:jc w:val="center"/>
              <w:rPr>
                <w:rFonts w:ascii="Times New Roman" w:eastAsia="仿宋"/>
              </w:rPr>
            </w:pPr>
            <w:r>
              <w:rPr>
                <w:rFonts w:hint="eastAsia" w:ascii="Times New Roman" w:eastAsia="仿宋"/>
              </w:rPr>
              <w:t>0.2</w:t>
            </w:r>
            <w:r>
              <w:rPr>
                <w:rFonts w:ascii="Times New Roman" w:eastAsia="仿宋"/>
              </w:rPr>
              <w:t>8</w:t>
            </w:r>
          </w:p>
        </w:tc>
        <w:tc>
          <w:tcPr>
            <w:tcW w:w="2201" w:type="dxa"/>
            <w:shd w:val="clear" w:color="auto" w:fill="auto"/>
            <w:vAlign w:val="center"/>
          </w:tcPr>
          <w:p w14:paraId="69937419">
            <w:pPr>
              <w:jc w:val="center"/>
              <w:rPr>
                <w:rFonts w:ascii="Times New Roman" w:eastAsia="仿宋"/>
              </w:rPr>
            </w:pPr>
            <w:r>
              <w:rPr>
                <w:rFonts w:hint="eastAsia" w:ascii="Times New Roman" w:eastAsia="仿宋"/>
              </w:rPr>
              <w:t>+0.2</w:t>
            </w:r>
            <w:r>
              <w:rPr>
                <w:rFonts w:ascii="Times New Roman" w:eastAsia="仿宋"/>
              </w:rPr>
              <w:t>8</w:t>
            </w:r>
          </w:p>
        </w:tc>
        <w:tc>
          <w:tcPr>
            <w:tcW w:w="2482" w:type="dxa"/>
            <w:vAlign w:val="center"/>
          </w:tcPr>
          <w:p w14:paraId="3C3E0B63">
            <w:pPr>
              <w:jc w:val="center"/>
              <w:rPr>
                <w:rFonts w:ascii="Times New Roman" w:eastAsia="仿宋"/>
                <w:szCs w:val="21"/>
              </w:rPr>
            </w:pPr>
            <w:r>
              <w:rPr>
                <w:rFonts w:hint="eastAsia" w:ascii="Times New Roman" w:eastAsia="仿宋"/>
                <w:szCs w:val="21"/>
              </w:rPr>
              <w:t>0</w:t>
            </w:r>
            <w:r>
              <w:rPr>
                <w:rFonts w:ascii="Times New Roman" w:eastAsia="仿宋"/>
                <w:szCs w:val="21"/>
              </w:rPr>
              <w:t>.04</w:t>
            </w:r>
          </w:p>
        </w:tc>
      </w:tr>
      <w:tr w14:paraId="282E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0480EABC">
            <w:pPr>
              <w:jc w:val="center"/>
              <w:rPr>
                <w:rFonts w:ascii="Times New Roman" w:eastAsia="仿宋"/>
                <w:szCs w:val="21"/>
              </w:rPr>
            </w:pPr>
          </w:p>
        </w:tc>
        <w:tc>
          <w:tcPr>
            <w:tcW w:w="1164" w:type="dxa"/>
            <w:vMerge w:val="continue"/>
            <w:vAlign w:val="center"/>
          </w:tcPr>
          <w:p w14:paraId="21A8BA3C">
            <w:pPr>
              <w:jc w:val="center"/>
              <w:rPr>
                <w:rFonts w:ascii="Times New Roman" w:eastAsia="仿宋"/>
                <w:szCs w:val="21"/>
              </w:rPr>
            </w:pPr>
          </w:p>
        </w:tc>
        <w:tc>
          <w:tcPr>
            <w:tcW w:w="1349" w:type="dxa"/>
            <w:vAlign w:val="center"/>
          </w:tcPr>
          <w:p w14:paraId="1B7F3380">
            <w:pPr>
              <w:jc w:val="center"/>
              <w:rPr>
                <w:rFonts w:ascii="Times New Roman" w:eastAsia="仿宋"/>
                <w:szCs w:val="21"/>
              </w:rPr>
            </w:pPr>
            <w:r>
              <w:rPr>
                <w:rFonts w:ascii="Times New Roman" w:eastAsia="仿宋"/>
                <w:szCs w:val="21"/>
              </w:rPr>
              <w:t>SS</w:t>
            </w:r>
          </w:p>
        </w:tc>
        <w:tc>
          <w:tcPr>
            <w:tcW w:w="1642" w:type="dxa"/>
            <w:vAlign w:val="center"/>
          </w:tcPr>
          <w:p w14:paraId="24CAE0BF">
            <w:pPr>
              <w:jc w:val="center"/>
              <w:rPr>
                <w:rFonts w:ascii="Times New Roman" w:eastAsia="仿宋"/>
              </w:rPr>
            </w:pPr>
            <w:r>
              <w:rPr>
                <w:rFonts w:hint="eastAsia" w:ascii="Times New Roman" w:eastAsia="仿宋"/>
              </w:rPr>
              <w:t>0.766</w:t>
            </w:r>
          </w:p>
        </w:tc>
        <w:tc>
          <w:tcPr>
            <w:tcW w:w="1722" w:type="dxa"/>
            <w:vAlign w:val="center"/>
          </w:tcPr>
          <w:p w14:paraId="26D8A22A">
            <w:pPr>
              <w:widowControl/>
              <w:jc w:val="center"/>
              <w:textAlignment w:val="center"/>
              <w:rPr>
                <w:rFonts w:ascii="Times New Roman" w:eastAsia="仿宋"/>
                <w:szCs w:val="21"/>
              </w:rPr>
            </w:pPr>
            <w:r>
              <w:rPr>
                <w:rFonts w:hint="eastAsia" w:ascii="Times New Roman" w:eastAsia="仿宋"/>
                <w:szCs w:val="21"/>
              </w:rPr>
              <w:t>0</w:t>
            </w:r>
            <w:r>
              <w:rPr>
                <w:rFonts w:ascii="Times New Roman" w:eastAsia="仿宋"/>
                <w:szCs w:val="21"/>
              </w:rPr>
              <w:t>.742</w:t>
            </w:r>
          </w:p>
        </w:tc>
        <w:tc>
          <w:tcPr>
            <w:tcW w:w="1718" w:type="dxa"/>
            <w:vAlign w:val="center"/>
          </w:tcPr>
          <w:p w14:paraId="12E43AEE">
            <w:pPr>
              <w:jc w:val="center"/>
              <w:rPr>
                <w:rFonts w:ascii="Times New Roman" w:eastAsia="仿宋"/>
              </w:rPr>
            </w:pPr>
            <w:r>
              <w:rPr>
                <w:rFonts w:hint="eastAsia" w:ascii="Times New Roman" w:eastAsia="仿宋"/>
              </w:rPr>
              <w:t>0.02</w:t>
            </w:r>
            <w:r>
              <w:rPr>
                <w:rFonts w:ascii="Times New Roman" w:eastAsia="仿宋"/>
              </w:rPr>
              <w:t>4</w:t>
            </w:r>
          </w:p>
        </w:tc>
        <w:tc>
          <w:tcPr>
            <w:tcW w:w="2201" w:type="dxa"/>
            <w:shd w:val="clear" w:color="auto" w:fill="auto"/>
            <w:vAlign w:val="center"/>
          </w:tcPr>
          <w:p w14:paraId="093B52CD">
            <w:pPr>
              <w:jc w:val="center"/>
              <w:rPr>
                <w:rFonts w:ascii="Times New Roman" w:eastAsia="仿宋"/>
              </w:rPr>
            </w:pPr>
            <w:r>
              <w:rPr>
                <w:rFonts w:hint="eastAsia" w:ascii="Times New Roman" w:eastAsia="仿宋"/>
              </w:rPr>
              <w:t>+0.02</w:t>
            </w:r>
            <w:r>
              <w:rPr>
                <w:rFonts w:ascii="Times New Roman" w:eastAsia="仿宋"/>
              </w:rPr>
              <w:t>4</w:t>
            </w:r>
          </w:p>
        </w:tc>
        <w:tc>
          <w:tcPr>
            <w:tcW w:w="2482" w:type="dxa"/>
            <w:vAlign w:val="center"/>
          </w:tcPr>
          <w:p w14:paraId="4526787C">
            <w:pPr>
              <w:jc w:val="center"/>
              <w:rPr>
                <w:rFonts w:ascii="Times New Roman" w:eastAsia="仿宋"/>
                <w:szCs w:val="21"/>
              </w:rPr>
            </w:pPr>
            <w:r>
              <w:rPr>
                <w:rFonts w:hint="eastAsia" w:ascii="Times New Roman" w:eastAsia="仿宋"/>
                <w:szCs w:val="21"/>
              </w:rPr>
              <w:t>0</w:t>
            </w:r>
            <w:r>
              <w:rPr>
                <w:rFonts w:ascii="Times New Roman" w:eastAsia="仿宋"/>
                <w:szCs w:val="21"/>
              </w:rPr>
              <w:t>.008</w:t>
            </w:r>
          </w:p>
        </w:tc>
      </w:tr>
      <w:tr w14:paraId="3E9E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continue"/>
            <w:vAlign w:val="center"/>
          </w:tcPr>
          <w:p w14:paraId="4CCFDF67">
            <w:pPr>
              <w:jc w:val="center"/>
              <w:rPr>
                <w:rFonts w:ascii="Times New Roman" w:eastAsia="仿宋"/>
                <w:szCs w:val="21"/>
                <w:highlight w:val="yellow"/>
              </w:rPr>
            </w:pPr>
          </w:p>
        </w:tc>
        <w:tc>
          <w:tcPr>
            <w:tcW w:w="1164" w:type="dxa"/>
            <w:vMerge w:val="continue"/>
            <w:vAlign w:val="center"/>
          </w:tcPr>
          <w:p w14:paraId="2A4DE72D">
            <w:pPr>
              <w:jc w:val="center"/>
              <w:rPr>
                <w:rFonts w:ascii="Times New Roman" w:eastAsia="仿宋"/>
                <w:szCs w:val="21"/>
              </w:rPr>
            </w:pPr>
          </w:p>
        </w:tc>
        <w:tc>
          <w:tcPr>
            <w:tcW w:w="1349" w:type="dxa"/>
            <w:vAlign w:val="center"/>
          </w:tcPr>
          <w:p w14:paraId="071102B7">
            <w:pPr>
              <w:jc w:val="center"/>
              <w:rPr>
                <w:rFonts w:ascii="Times New Roman" w:eastAsia="仿宋"/>
                <w:szCs w:val="21"/>
              </w:rPr>
            </w:pPr>
            <w:r>
              <w:rPr>
                <w:rFonts w:ascii="Times New Roman" w:eastAsia="仿宋"/>
                <w:szCs w:val="21"/>
              </w:rPr>
              <w:t>石油类</w:t>
            </w:r>
          </w:p>
        </w:tc>
        <w:tc>
          <w:tcPr>
            <w:tcW w:w="1642" w:type="dxa"/>
            <w:vAlign w:val="center"/>
          </w:tcPr>
          <w:p w14:paraId="4748E81F">
            <w:pPr>
              <w:jc w:val="center"/>
              <w:rPr>
                <w:rFonts w:ascii="Times New Roman" w:eastAsia="仿宋"/>
              </w:rPr>
            </w:pPr>
            <w:r>
              <w:rPr>
                <w:rFonts w:hint="eastAsia" w:ascii="Times New Roman" w:eastAsia="仿宋"/>
              </w:rPr>
              <w:t>0.763</w:t>
            </w:r>
          </w:p>
        </w:tc>
        <w:tc>
          <w:tcPr>
            <w:tcW w:w="1722" w:type="dxa"/>
            <w:vAlign w:val="center"/>
          </w:tcPr>
          <w:p w14:paraId="5062B9E5">
            <w:pPr>
              <w:widowControl/>
              <w:jc w:val="center"/>
              <w:textAlignment w:val="center"/>
              <w:rPr>
                <w:rFonts w:ascii="Times New Roman" w:eastAsia="仿宋"/>
                <w:szCs w:val="21"/>
              </w:rPr>
            </w:pPr>
            <w:r>
              <w:rPr>
                <w:rFonts w:hint="eastAsia" w:ascii="Times New Roman" w:eastAsia="仿宋"/>
                <w:szCs w:val="21"/>
              </w:rPr>
              <w:t>0.7</w:t>
            </w:r>
            <w:r>
              <w:rPr>
                <w:rFonts w:ascii="Times New Roman" w:eastAsia="仿宋"/>
                <w:szCs w:val="21"/>
              </w:rPr>
              <w:t>61</w:t>
            </w:r>
          </w:p>
        </w:tc>
        <w:tc>
          <w:tcPr>
            <w:tcW w:w="1718" w:type="dxa"/>
            <w:vAlign w:val="center"/>
          </w:tcPr>
          <w:p w14:paraId="7543C1A6">
            <w:pPr>
              <w:jc w:val="center"/>
              <w:rPr>
                <w:rFonts w:ascii="Times New Roman" w:eastAsia="仿宋"/>
              </w:rPr>
            </w:pPr>
            <w:r>
              <w:rPr>
                <w:rFonts w:hint="eastAsia" w:ascii="Times New Roman" w:eastAsia="仿宋"/>
              </w:rPr>
              <w:t>0.00</w:t>
            </w:r>
            <w:r>
              <w:rPr>
                <w:rFonts w:ascii="Times New Roman" w:eastAsia="仿宋"/>
              </w:rPr>
              <w:t>2</w:t>
            </w:r>
          </w:p>
        </w:tc>
        <w:tc>
          <w:tcPr>
            <w:tcW w:w="2201" w:type="dxa"/>
            <w:shd w:val="clear" w:color="auto" w:fill="auto"/>
            <w:vAlign w:val="center"/>
          </w:tcPr>
          <w:p w14:paraId="2C662FF5">
            <w:pPr>
              <w:jc w:val="center"/>
              <w:rPr>
                <w:rFonts w:ascii="Times New Roman" w:eastAsia="仿宋"/>
              </w:rPr>
            </w:pPr>
            <w:r>
              <w:rPr>
                <w:rFonts w:hint="eastAsia" w:ascii="Times New Roman" w:eastAsia="仿宋"/>
              </w:rPr>
              <w:t>+0.00</w:t>
            </w:r>
            <w:r>
              <w:rPr>
                <w:rFonts w:ascii="Times New Roman" w:eastAsia="仿宋"/>
              </w:rPr>
              <w:t>2</w:t>
            </w:r>
          </w:p>
        </w:tc>
        <w:tc>
          <w:tcPr>
            <w:tcW w:w="2482" w:type="dxa"/>
            <w:vAlign w:val="center"/>
          </w:tcPr>
          <w:p w14:paraId="6AFF715F">
            <w:pPr>
              <w:jc w:val="center"/>
              <w:rPr>
                <w:rFonts w:ascii="Times New Roman" w:eastAsia="仿宋"/>
                <w:szCs w:val="21"/>
              </w:rPr>
            </w:pPr>
            <w:r>
              <w:rPr>
                <w:rFonts w:hint="eastAsia" w:ascii="Times New Roman" w:eastAsia="仿宋"/>
                <w:szCs w:val="21"/>
              </w:rPr>
              <w:t>0</w:t>
            </w:r>
            <w:r>
              <w:rPr>
                <w:rFonts w:ascii="Times New Roman" w:eastAsia="仿宋"/>
                <w:szCs w:val="21"/>
              </w:rPr>
              <w:t>.0008</w:t>
            </w:r>
          </w:p>
        </w:tc>
      </w:tr>
      <w:tr w14:paraId="3647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7322078B">
            <w:pPr>
              <w:jc w:val="center"/>
              <w:rPr>
                <w:rFonts w:ascii="Times New Roman" w:eastAsia="仿宋"/>
                <w:szCs w:val="21"/>
                <w:highlight w:val="yellow"/>
              </w:rPr>
            </w:pPr>
          </w:p>
        </w:tc>
        <w:tc>
          <w:tcPr>
            <w:tcW w:w="1164" w:type="dxa"/>
            <w:vMerge w:val="restart"/>
            <w:vAlign w:val="center"/>
          </w:tcPr>
          <w:p w14:paraId="265529F1">
            <w:pPr>
              <w:jc w:val="center"/>
              <w:rPr>
                <w:rFonts w:ascii="Times New Roman" w:eastAsia="仿宋"/>
                <w:szCs w:val="21"/>
              </w:rPr>
            </w:pPr>
            <w:r>
              <w:rPr>
                <w:rFonts w:hint="eastAsia" w:ascii="Times New Roman" w:eastAsia="仿宋"/>
                <w:szCs w:val="21"/>
              </w:rPr>
              <w:t>生活废水</w:t>
            </w:r>
          </w:p>
        </w:tc>
        <w:tc>
          <w:tcPr>
            <w:tcW w:w="1349" w:type="dxa"/>
            <w:vAlign w:val="center"/>
          </w:tcPr>
          <w:p w14:paraId="151E4D25">
            <w:pPr>
              <w:jc w:val="center"/>
              <w:rPr>
                <w:rFonts w:ascii="Times New Roman" w:eastAsia="仿宋"/>
                <w:szCs w:val="21"/>
              </w:rPr>
            </w:pPr>
            <w:r>
              <w:rPr>
                <w:rFonts w:hint="eastAsia" w:ascii="Times New Roman" w:eastAsia="仿宋"/>
                <w:szCs w:val="21"/>
              </w:rPr>
              <w:t>水量</w:t>
            </w:r>
          </w:p>
        </w:tc>
        <w:tc>
          <w:tcPr>
            <w:tcW w:w="1642" w:type="dxa"/>
            <w:vAlign w:val="center"/>
          </w:tcPr>
          <w:p w14:paraId="19CC8740">
            <w:pPr>
              <w:jc w:val="center"/>
              <w:rPr>
                <w:rFonts w:ascii="Times New Roman" w:eastAsia="仿宋"/>
              </w:rPr>
            </w:pPr>
            <w:r>
              <w:rPr>
                <w:rFonts w:ascii="Times New Roman" w:eastAsia="仿宋"/>
              </w:rPr>
              <w:t>1275</w:t>
            </w:r>
          </w:p>
        </w:tc>
        <w:tc>
          <w:tcPr>
            <w:tcW w:w="1722" w:type="dxa"/>
            <w:vAlign w:val="center"/>
          </w:tcPr>
          <w:p w14:paraId="684ACC5A">
            <w:pPr>
              <w:jc w:val="center"/>
              <w:rPr>
                <w:rFonts w:ascii="Times New Roman" w:eastAsia="仿宋"/>
                <w:szCs w:val="21"/>
              </w:rPr>
            </w:pPr>
            <w:r>
              <w:rPr>
                <w:rFonts w:hint="eastAsia" w:ascii="Times New Roman" w:eastAsia="仿宋"/>
                <w:szCs w:val="21"/>
              </w:rPr>
              <w:t>0</w:t>
            </w:r>
          </w:p>
        </w:tc>
        <w:tc>
          <w:tcPr>
            <w:tcW w:w="1718" w:type="dxa"/>
            <w:vAlign w:val="center"/>
          </w:tcPr>
          <w:p w14:paraId="49525FF7">
            <w:pPr>
              <w:jc w:val="center"/>
              <w:rPr>
                <w:rFonts w:ascii="Times New Roman" w:eastAsia="仿宋"/>
              </w:rPr>
            </w:pPr>
            <w:r>
              <w:rPr>
                <w:rFonts w:ascii="Times New Roman" w:eastAsia="仿宋"/>
              </w:rPr>
              <w:t>1275</w:t>
            </w:r>
          </w:p>
        </w:tc>
        <w:tc>
          <w:tcPr>
            <w:tcW w:w="2201" w:type="dxa"/>
            <w:shd w:val="clear" w:color="auto" w:fill="auto"/>
            <w:vAlign w:val="center"/>
          </w:tcPr>
          <w:p w14:paraId="62C5BA9A">
            <w:pPr>
              <w:jc w:val="center"/>
              <w:rPr>
                <w:rFonts w:ascii="Times New Roman" w:eastAsia="仿宋"/>
              </w:rPr>
            </w:pPr>
            <w:r>
              <w:rPr>
                <w:rFonts w:hint="eastAsia" w:ascii="Times New Roman" w:eastAsia="仿宋"/>
              </w:rPr>
              <w:t>+</w:t>
            </w:r>
            <w:r>
              <w:rPr>
                <w:rFonts w:ascii="Times New Roman" w:eastAsia="仿宋"/>
              </w:rPr>
              <w:t>1275</w:t>
            </w:r>
          </w:p>
        </w:tc>
        <w:tc>
          <w:tcPr>
            <w:tcW w:w="2482" w:type="dxa"/>
            <w:vAlign w:val="center"/>
          </w:tcPr>
          <w:p w14:paraId="0A052E30">
            <w:pPr>
              <w:jc w:val="center"/>
              <w:rPr>
                <w:rFonts w:ascii="Times New Roman" w:eastAsia="仿宋"/>
                <w:szCs w:val="21"/>
              </w:rPr>
            </w:pPr>
            <w:r>
              <w:rPr>
                <w:rFonts w:ascii="Times New Roman" w:eastAsia="仿宋"/>
              </w:rPr>
              <w:t>1275</w:t>
            </w:r>
          </w:p>
        </w:tc>
      </w:tr>
      <w:tr w14:paraId="6B70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05BD7E94">
            <w:pPr>
              <w:jc w:val="center"/>
              <w:rPr>
                <w:rFonts w:ascii="Times New Roman" w:eastAsia="仿宋"/>
                <w:szCs w:val="21"/>
                <w:highlight w:val="yellow"/>
              </w:rPr>
            </w:pPr>
          </w:p>
        </w:tc>
        <w:tc>
          <w:tcPr>
            <w:tcW w:w="1164" w:type="dxa"/>
            <w:vMerge w:val="continue"/>
            <w:vAlign w:val="center"/>
          </w:tcPr>
          <w:p w14:paraId="3928A075">
            <w:pPr>
              <w:jc w:val="center"/>
              <w:rPr>
                <w:rFonts w:ascii="Times New Roman" w:eastAsia="仿宋"/>
                <w:szCs w:val="21"/>
              </w:rPr>
            </w:pPr>
          </w:p>
        </w:tc>
        <w:tc>
          <w:tcPr>
            <w:tcW w:w="1349" w:type="dxa"/>
            <w:vAlign w:val="center"/>
          </w:tcPr>
          <w:p w14:paraId="17D139FA">
            <w:pPr>
              <w:jc w:val="center"/>
              <w:rPr>
                <w:rFonts w:ascii="Times New Roman" w:eastAsia="仿宋"/>
                <w:szCs w:val="21"/>
              </w:rPr>
            </w:pPr>
            <w:r>
              <w:rPr>
                <w:rFonts w:ascii="Times New Roman" w:eastAsia="仿宋"/>
              </w:rPr>
              <w:t>COD</w:t>
            </w:r>
          </w:p>
        </w:tc>
        <w:tc>
          <w:tcPr>
            <w:tcW w:w="1642" w:type="dxa"/>
            <w:vAlign w:val="center"/>
          </w:tcPr>
          <w:p w14:paraId="31EBA3C3">
            <w:pPr>
              <w:jc w:val="center"/>
              <w:rPr>
                <w:rFonts w:ascii="Times New Roman" w:eastAsia="仿宋"/>
              </w:rPr>
            </w:pPr>
            <w:r>
              <w:rPr>
                <w:rFonts w:ascii="Times New Roman" w:eastAsia="仿宋"/>
              </w:rPr>
              <w:t>0.38</w:t>
            </w:r>
          </w:p>
        </w:tc>
        <w:tc>
          <w:tcPr>
            <w:tcW w:w="1722" w:type="dxa"/>
            <w:vAlign w:val="center"/>
          </w:tcPr>
          <w:p w14:paraId="4B92F8FC">
            <w:pPr>
              <w:jc w:val="center"/>
              <w:rPr>
                <w:rFonts w:ascii="Times New Roman" w:eastAsia="仿宋"/>
                <w:szCs w:val="21"/>
              </w:rPr>
            </w:pPr>
            <w:r>
              <w:rPr>
                <w:rFonts w:hint="eastAsia" w:ascii="Times New Roman" w:eastAsia="仿宋"/>
                <w:szCs w:val="21"/>
              </w:rPr>
              <w:t>0</w:t>
            </w:r>
          </w:p>
        </w:tc>
        <w:tc>
          <w:tcPr>
            <w:tcW w:w="1718" w:type="dxa"/>
            <w:vAlign w:val="center"/>
          </w:tcPr>
          <w:p w14:paraId="4AB5BBB5">
            <w:pPr>
              <w:jc w:val="center"/>
              <w:rPr>
                <w:rFonts w:ascii="Times New Roman" w:eastAsia="仿宋"/>
              </w:rPr>
            </w:pPr>
            <w:r>
              <w:rPr>
                <w:rFonts w:ascii="Times New Roman" w:eastAsia="仿宋"/>
              </w:rPr>
              <w:t>0.38</w:t>
            </w:r>
          </w:p>
        </w:tc>
        <w:tc>
          <w:tcPr>
            <w:tcW w:w="2201" w:type="dxa"/>
            <w:shd w:val="clear" w:color="auto" w:fill="auto"/>
            <w:vAlign w:val="center"/>
          </w:tcPr>
          <w:p w14:paraId="6E70A1BA">
            <w:pPr>
              <w:jc w:val="center"/>
              <w:rPr>
                <w:rFonts w:ascii="Times New Roman" w:eastAsia="仿宋"/>
              </w:rPr>
            </w:pPr>
            <w:r>
              <w:rPr>
                <w:rFonts w:ascii="Times New Roman" w:eastAsia="仿宋"/>
              </w:rPr>
              <w:t>+0.38</w:t>
            </w:r>
          </w:p>
        </w:tc>
        <w:tc>
          <w:tcPr>
            <w:tcW w:w="2482" w:type="dxa"/>
            <w:vAlign w:val="center"/>
          </w:tcPr>
          <w:p w14:paraId="56B87D4D">
            <w:pPr>
              <w:jc w:val="center"/>
              <w:rPr>
                <w:rFonts w:ascii="Times New Roman" w:eastAsia="仿宋"/>
                <w:szCs w:val="21"/>
              </w:rPr>
            </w:pPr>
            <w:r>
              <w:rPr>
                <w:rFonts w:hint="eastAsia" w:ascii="Times New Roman" w:eastAsia="仿宋"/>
                <w:szCs w:val="21"/>
              </w:rPr>
              <w:t>0</w:t>
            </w:r>
            <w:r>
              <w:rPr>
                <w:rFonts w:ascii="Times New Roman" w:eastAsia="仿宋"/>
                <w:szCs w:val="21"/>
              </w:rPr>
              <w:t>.06</w:t>
            </w:r>
          </w:p>
        </w:tc>
      </w:tr>
      <w:tr w14:paraId="067B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3B4C5FED">
            <w:pPr>
              <w:jc w:val="center"/>
              <w:rPr>
                <w:rFonts w:ascii="Times New Roman" w:eastAsia="仿宋"/>
                <w:szCs w:val="21"/>
                <w:highlight w:val="yellow"/>
              </w:rPr>
            </w:pPr>
          </w:p>
        </w:tc>
        <w:tc>
          <w:tcPr>
            <w:tcW w:w="1164" w:type="dxa"/>
            <w:vMerge w:val="continue"/>
            <w:vAlign w:val="center"/>
          </w:tcPr>
          <w:p w14:paraId="744083AA">
            <w:pPr>
              <w:jc w:val="center"/>
              <w:rPr>
                <w:rFonts w:ascii="Times New Roman" w:eastAsia="仿宋"/>
                <w:szCs w:val="21"/>
              </w:rPr>
            </w:pPr>
          </w:p>
        </w:tc>
        <w:tc>
          <w:tcPr>
            <w:tcW w:w="1349" w:type="dxa"/>
            <w:vAlign w:val="center"/>
          </w:tcPr>
          <w:p w14:paraId="5DC1E5B5">
            <w:pPr>
              <w:jc w:val="center"/>
              <w:rPr>
                <w:rFonts w:ascii="Times New Roman" w:eastAsia="仿宋"/>
                <w:szCs w:val="21"/>
              </w:rPr>
            </w:pPr>
            <w:r>
              <w:rPr>
                <w:rFonts w:ascii="Times New Roman" w:eastAsia="仿宋"/>
              </w:rPr>
              <w:t>SS</w:t>
            </w:r>
          </w:p>
        </w:tc>
        <w:tc>
          <w:tcPr>
            <w:tcW w:w="1642" w:type="dxa"/>
            <w:vAlign w:val="center"/>
          </w:tcPr>
          <w:p w14:paraId="520D9841">
            <w:pPr>
              <w:jc w:val="center"/>
              <w:rPr>
                <w:rFonts w:ascii="Times New Roman" w:eastAsia="仿宋"/>
              </w:rPr>
            </w:pPr>
            <w:r>
              <w:rPr>
                <w:rFonts w:hint="eastAsia" w:ascii="Times New Roman" w:eastAsia="仿宋"/>
              </w:rPr>
              <w:t>0</w:t>
            </w:r>
            <w:r>
              <w:rPr>
                <w:rFonts w:ascii="Times New Roman" w:eastAsia="仿宋"/>
              </w:rPr>
              <w:t>.26</w:t>
            </w:r>
          </w:p>
        </w:tc>
        <w:tc>
          <w:tcPr>
            <w:tcW w:w="1722" w:type="dxa"/>
            <w:vAlign w:val="center"/>
          </w:tcPr>
          <w:p w14:paraId="6808933C">
            <w:pPr>
              <w:jc w:val="center"/>
              <w:rPr>
                <w:rFonts w:ascii="Times New Roman" w:eastAsia="仿宋"/>
                <w:szCs w:val="21"/>
              </w:rPr>
            </w:pPr>
            <w:r>
              <w:rPr>
                <w:rFonts w:hint="eastAsia" w:ascii="Times New Roman" w:eastAsia="仿宋"/>
                <w:szCs w:val="21"/>
              </w:rPr>
              <w:t>0</w:t>
            </w:r>
          </w:p>
        </w:tc>
        <w:tc>
          <w:tcPr>
            <w:tcW w:w="1718" w:type="dxa"/>
            <w:vAlign w:val="center"/>
          </w:tcPr>
          <w:p w14:paraId="323AED39">
            <w:pPr>
              <w:jc w:val="center"/>
              <w:rPr>
                <w:rFonts w:ascii="Times New Roman" w:eastAsia="仿宋"/>
              </w:rPr>
            </w:pPr>
            <w:r>
              <w:rPr>
                <w:rFonts w:hint="eastAsia" w:ascii="Times New Roman" w:eastAsia="仿宋"/>
              </w:rPr>
              <w:t>0</w:t>
            </w:r>
            <w:r>
              <w:rPr>
                <w:rFonts w:ascii="Times New Roman" w:eastAsia="仿宋"/>
              </w:rPr>
              <w:t>.26</w:t>
            </w:r>
          </w:p>
        </w:tc>
        <w:tc>
          <w:tcPr>
            <w:tcW w:w="2201" w:type="dxa"/>
            <w:shd w:val="clear" w:color="auto" w:fill="auto"/>
            <w:vAlign w:val="center"/>
          </w:tcPr>
          <w:p w14:paraId="1DF88258">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.26</w:t>
            </w:r>
          </w:p>
        </w:tc>
        <w:tc>
          <w:tcPr>
            <w:tcW w:w="2482" w:type="dxa"/>
            <w:vAlign w:val="center"/>
          </w:tcPr>
          <w:p w14:paraId="2BF70B40">
            <w:pPr>
              <w:jc w:val="center"/>
              <w:rPr>
                <w:rFonts w:ascii="Times New Roman" w:eastAsia="仿宋"/>
                <w:szCs w:val="21"/>
              </w:rPr>
            </w:pPr>
            <w:r>
              <w:rPr>
                <w:rFonts w:hint="eastAsia" w:ascii="Times New Roman" w:eastAsia="仿宋"/>
                <w:szCs w:val="21"/>
              </w:rPr>
              <w:t>0</w:t>
            </w:r>
            <w:r>
              <w:rPr>
                <w:rFonts w:ascii="Times New Roman" w:eastAsia="仿宋"/>
                <w:szCs w:val="21"/>
              </w:rPr>
              <w:t>.01</w:t>
            </w:r>
          </w:p>
        </w:tc>
      </w:tr>
      <w:tr w14:paraId="41E4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316BDAD8">
            <w:pPr>
              <w:jc w:val="center"/>
              <w:rPr>
                <w:rFonts w:ascii="Times New Roman" w:eastAsia="仿宋"/>
                <w:szCs w:val="21"/>
                <w:highlight w:val="yellow"/>
              </w:rPr>
            </w:pPr>
          </w:p>
        </w:tc>
        <w:tc>
          <w:tcPr>
            <w:tcW w:w="1164" w:type="dxa"/>
            <w:vMerge w:val="continue"/>
            <w:vAlign w:val="center"/>
          </w:tcPr>
          <w:p w14:paraId="3FC6F6B9">
            <w:pPr>
              <w:jc w:val="center"/>
              <w:rPr>
                <w:rFonts w:ascii="Times New Roman" w:eastAsia="仿宋"/>
                <w:szCs w:val="21"/>
              </w:rPr>
            </w:pPr>
          </w:p>
        </w:tc>
        <w:tc>
          <w:tcPr>
            <w:tcW w:w="1349" w:type="dxa"/>
            <w:vAlign w:val="center"/>
          </w:tcPr>
          <w:p w14:paraId="5A3DBE13">
            <w:pPr>
              <w:jc w:val="center"/>
              <w:rPr>
                <w:rFonts w:ascii="Times New Roman" w:eastAsia="仿宋"/>
                <w:szCs w:val="21"/>
              </w:rPr>
            </w:pPr>
            <w:r>
              <w:rPr>
                <w:rFonts w:ascii="Times New Roman" w:eastAsia="仿宋"/>
              </w:rPr>
              <w:t>NH</w:t>
            </w:r>
            <w:r>
              <w:rPr>
                <w:rFonts w:ascii="Times New Roman" w:eastAsia="仿宋"/>
                <w:vertAlign w:val="subscript"/>
              </w:rPr>
              <w:t>3</w:t>
            </w:r>
            <w:r>
              <w:rPr>
                <w:rFonts w:ascii="Times New Roman" w:eastAsia="仿宋"/>
              </w:rPr>
              <w:t>-N</w:t>
            </w:r>
          </w:p>
        </w:tc>
        <w:tc>
          <w:tcPr>
            <w:tcW w:w="1642" w:type="dxa"/>
            <w:vAlign w:val="center"/>
          </w:tcPr>
          <w:p w14:paraId="4EB4D7F1">
            <w:pPr>
              <w:jc w:val="center"/>
              <w:rPr>
                <w:rFonts w:ascii="Times New Roman" w:eastAsia="仿宋"/>
              </w:rPr>
            </w:pPr>
            <w:r>
              <w:rPr>
                <w:rFonts w:hint="eastAsia" w:ascii="Times New Roman" w:eastAsia="仿宋"/>
              </w:rPr>
              <w:t>0</w:t>
            </w:r>
            <w:r>
              <w:rPr>
                <w:rFonts w:ascii="Times New Roman" w:eastAsia="仿宋"/>
              </w:rPr>
              <w:t>.03</w:t>
            </w:r>
          </w:p>
        </w:tc>
        <w:tc>
          <w:tcPr>
            <w:tcW w:w="1722" w:type="dxa"/>
            <w:vAlign w:val="center"/>
          </w:tcPr>
          <w:p w14:paraId="26FA3AED">
            <w:pPr>
              <w:jc w:val="center"/>
              <w:rPr>
                <w:rFonts w:ascii="Times New Roman" w:eastAsia="仿宋"/>
                <w:szCs w:val="21"/>
              </w:rPr>
            </w:pPr>
            <w:r>
              <w:rPr>
                <w:rFonts w:hint="eastAsia" w:ascii="Times New Roman" w:eastAsia="仿宋"/>
                <w:szCs w:val="21"/>
              </w:rPr>
              <w:t>0</w:t>
            </w:r>
          </w:p>
        </w:tc>
        <w:tc>
          <w:tcPr>
            <w:tcW w:w="1718" w:type="dxa"/>
            <w:vAlign w:val="center"/>
          </w:tcPr>
          <w:p w14:paraId="4927E34D">
            <w:pPr>
              <w:jc w:val="center"/>
              <w:rPr>
                <w:rFonts w:ascii="Times New Roman" w:eastAsia="仿宋"/>
              </w:rPr>
            </w:pPr>
            <w:r>
              <w:rPr>
                <w:rFonts w:hint="eastAsia" w:ascii="Times New Roman" w:eastAsia="仿宋"/>
              </w:rPr>
              <w:t>0</w:t>
            </w:r>
            <w:r>
              <w:rPr>
                <w:rFonts w:ascii="Times New Roman" w:eastAsia="仿宋"/>
              </w:rPr>
              <w:t>.03</w:t>
            </w:r>
          </w:p>
        </w:tc>
        <w:tc>
          <w:tcPr>
            <w:tcW w:w="2201" w:type="dxa"/>
            <w:shd w:val="clear" w:color="auto" w:fill="auto"/>
            <w:vAlign w:val="center"/>
          </w:tcPr>
          <w:p w14:paraId="1D1818DA">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.03</w:t>
            </w:r>
          </w:p>
        </w:tc>
        <w:tc>
          <w:tcPr>
            <w:tcW w:w="2482" w:type="dxa"/>
            <w:vAlign w:val="center"/>
          </w:tcPr>
          <w:p w14:paraId="517E58E5">
            <w:pPr>
              <w:jc w:val="center"/>
              <w:rPr>
                <w:rFonts w:ascii="Times New Roman" w:eastAsia="仿宋"/>
                <w:szCs w:val="21"/>
              </w:rPr>
            </w:pPr>
            <w:r>
              <w:rPr>
                <w:rFonts w:hint="eastAsia" w:ascii="Times New Roman" w:eastAsia="仿宋"/>
                <w:szCs w:val="21"/>
              </w:rPr>
              <w:t>0</w:t>
            </w:r>
            <w:r>
              <w:rPr>
                <w:rFonts w:ascii="Times New Roman" w:eastAsia="仿宋"/>
                <w:szCs w:val="21"/>
              </w:rPr>
              <w:t>.005</w:t>
            </w:r>
          </w:p>
        </w:tc>
      </w:tr>
      <w:tr w14:paraId="38B4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6AE02711">
            <w:pPr>
              <w:jc w:val="center"/>
              <w:rPr>
                <w:rFonts w:ascii="Times New Roman" w:eastAsia="仿宋"/>
                <w:szCs w:val="21"/>
                <w:highlight w:val="yellow"/>
              </w:rPr>
            </w:pPr>
          </w:p>
        </w:tc>
        <w:tc>
          <w:tcPr>
            <w:tcW w:w="1164" w:type="dxa"/>
            <w:vMerge w:val="continue"/>
            <w:vAlign w:val="center"/>
          </w:tcPr>
          <w:p w14:paraId="49ED2A68">
            <w:pPr>
              <w:jc w:val="center"/>
              <w:rPr>
                <w:rFonts w:ascii="Times New Roman" w:eastAsia="仿宋"/>
                <w:szCs w:val="21"/>
              </w:rPr>
            </w:pPr>
          </w:p>
        </w:tc>
        <w:tc>
          <w:tcPr>
            <w:tcW w:w="1349" w:type="dxa"/>
            <w:vAlign w:val="center"/>
          </w:tcPr>
          <w:p w14:paraId="09FD6844">
            <w:pPr>
              <w:jc w:val="center"/>
              <w:rPr>
                <w:rFonts w:ascii="Times New Roman" w:eastAsia="仿宋"/>
                <w:szCs w:val="21"/>
              </w:rPr>
            </w:pPr>
            <w:r>
              <w:rPr>
                <w:rFonts w:hint="eastAsia" w:ascii="Times New Roman" w:eastAsia="仿宋"/>
                <w:szCs w:val="21"/>
              </w:rPr>
              <w:t>TN</w:t>
            </w:r>
          </w:p>
        </w:tc>
        <w:tc>
          <w:tcPr>
            <w:tcW w:w="1642" w:type="dxa"/>
            <w:vAlign w:val="center"/>
          </w:tcPr>
          <w:p w14:paraId="7601A27B">
            <w:pPr>
              <w:jc w:val="center"/>
              <w:rPr>
                <w:rFonts w:ascii="Times New Roman" w:eastAsia="仿宋"/>
              </w:rPr>
            </w:pPr>
            <w:r>
              <w:rPr>
                <w:rFonts w:hint="eastAsia" w:ascii="Times New Roman" w:eastAsia="仿宋"/>
              </w:rPr>
              <w:t>0</w:t>
            </w:r>
            <w:r>
              <w:rPr>
                <w:rFonts w:ascii="Times New Roman" w:eastAsia="仿宋"/>
              </w:rPr>
              <w:t>.04</w:t>
            </w:r>
          </w:p>
        </w:tc>
        <w:tc>
          <w:tcPr>
            <w:tcW w:w="1722" w:type="dxa"/>
            <w:vAlign w:val="center"/>
          </w:tcPr>
          <w:p w14:paraId="21CFA508">
            <w:pPr>
              <w:jc w:val="center"/>
              <w:rPr>
                <w:rFonts w:ascii="Times New Roman" w:eastAsia="仿宋"/>
                <w:szCs w:val="21"/>
              </w:rPr>
            </w:pPr>
            <w:r>
              <w:rPr>
                <w:rFonts w:hint="eastAsia" w:ascii="Times New Roman" w:eastAsia="仿宋"/>
                <w:szCs w:val="21"/>
              </w:rPr>
              <w:t>0</w:t>
            </w:r>
          </w:p>
        </w:tc>
        <w:tc>
          <w:tcPr>
            <w:tcW w:w="1718" w:type="dxa"/>
            <w:vAlign w:val="center"/>
          </w:tcPr>
          <w:p w14:paraId="1E28BA19">
            <w:pPr>
              <w:jc w:val="center"/>
              <w:rPr>
                <w:rFonts w:ascii="Times New Roman" w:eastAsia="仿宋"/>
              </w:rPr>
            </w:pPr>
            <w:r>
              <w:rPr>
                <w:rFonts w:hint="eastAsia" w:ascii="Times New Roman" w:eastAsia="仿宋"/>
              </w:rPr>
              <w:t>0</w:t>
            </w:r>
            <w:r>
              <w:rPr>
                <w:rFonts w:ascii="Times New Roman" w:eastAsia="仿宋"/>
              </w:rPr>
              <w:t>.04</w:t>
            </w:r>
          </w:p>
        </w:tc>
        <w:tc>
          <w:tcPr>
            <w:tcW w:w="2201" w:type="dxa"/>
            <w:shd w:val="clear" w:color="auto" w:fill="auto"/>
            <w:vAlign w:val="center"/>
          </w:tcPr>
          <w:p w14:paraId="17381C59">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.04</w:t>
            </w:r>
          </w:p>
        </w:tc>
        <w:tc>
          <w:tcPr>
            <w:tcW w:w="2482" w:type="dxa"/>
            <w:vAlign w:val="center"/>
          </w:tcPr>
          <w:p w14:paraId="732182A4">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r>
      <w:tr w14:paraId="7B95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399109A5">
            <w:pPr>
              <w:jc w:val="center"/>
              <w:rPr>
                <w:rFonts w:ascii="Times New Roman" w:eastAsia="仿宋"/>
                <w:szCs w:val="21"/>
                <w:highlight w:val="yellow"/>
              </w:rPr>
            </w:pPr>
          </w:p>
        </w:tc>
        <w:tc>
          <w:tcPr>
            <w:tcW w:w="1164" w:type="dxa"/>
            <w:vMerge w:val="continue"/>
            <w:vAlign w:val="center"/>
          </w:tcPr>
          <w:p w14:paraId="29726CBB">
            <w:pPr>
              <w:jc w:val="center"/>
              <w:rPr>
                <w:rFonts w:ascii="Times New Roman" w:eastAsia="仿宋"/>
                <w:szCs w:val="21"/>
              </w:rPr>
            </w:pPr>
          </w:p>
        </w:tc>
        <w:tc>
          <w:tcPr>
            <w:tcW w:w="1349" w:type="dxa"/>
            <w:vAlign w:val="center"/>
          </w:tcPr>
          <w:p w14:paraId="668CF6E7">
            <w:pPr>
              <w:jc w:val="center"/>
              <w:rPr>
                <w:rFonts w:ascii="Times New Roman" w:eastAsia="仿宋"/>
                <w:szCs w:val="21"/>
              </w:rPr>
            </w:pPr>
            <w:r>
              <w:rPr>
                <w:rFonts w:hint="eastAsia" w:ascii="Times New Roman" w:eastAsia="仿宋"/>
                <w:szCs w:val="21"/>
              </w:rPr>
              <w:t>TP</w:t>
            </w:r>
          </w:p>
        </w:tc>
        <w:tc>
          <w:tcPr>
            <w:tcW w:w="1642" w:type="dxa"/>
            <w:vAlign w:val="center"/>
          </w:tcPr>
          <w:p w14:paraId="2B49548D">
            <w:pPr>
              <w:jc w:val="center"/>
              <w:rPr>
                <w:rFonts w:ascii="Times New Roman" w:eastAsia="仿宋"/>
              </w:rPr>
            </w:pPr>
            <w:r>
              <w:rPr>
                <w:rFonts w:hint="eastAsia" w:ascii="Times New Roman" w:eastAsia="仿宋"/>
              </w:rPr>
              <w:t>0.</w:t>
            </w:r>
            <w:r>
              <w:rPr>
                <w:rFonts w:ascii="Times New Roman" w:eastAsia="仿宋"/>
              </w:rPr>
              <w:t>004</w:t>
            </w:r>
          </w:p>
        </w:tc>
        <w:tc>
          <w:tcPr>
            <w:tcW w:w="1722" w:type="dxa"/>
            <w:vAlign w:val="center"/>
          </w:tcPr>
          <w:p w14:paraId="21D425CE">
            <w:pPr>
              <w:jc w:val="center"/>
              <w:rPr>
                <w:rFonts w:ascii="Times New Roman" w:eastAsia="仿宋"/>
                <w:szCs w:val="21"/>
              </w:rPr>
            </w:pPr>
            <w:r>
              <w:rPr>
                <w:rFonts w:hint="eastAsia" w:ascii="Times New Roman" w:eastAsia="仿宋"/>
                <w:szCs w:val="21"/>
              </w:rPr>
              <w:t>0</w:t>
            </w:r>
          </w:p>
        </w:tc>
        <w:tc>
          <w:tcPr>
            <w:tcW w:w="1718" w:type="dxa"/>
            <w:vAlign w:val="center"/>
          </w:tcPr>
          <w:p w14:paraId="657B902B">
            <w:pPr>
              <w:jc w:val="center"/>
              <w:rPr>
                <w:rFonts w:ascii="Times New Roman" w:eastAsia="仿宋"/>
              </w:rPr>
            </w:pPr>
            <w:r>
              <w:rPr>
                <w:rFonts w:hint="eastAsia" w:ascii="Times New Roman" w:eastAsia="仿宋"/>
              </w:rPr>
              <w:t>0.</w:t>
            </w:r>
            <w:r>
              <w:rPr>
                <w:rFonts w:ascii="Times New Roman" w:eastAsia="仿宋"/>
              </w:rPr>
              <w:t>004</w:t>
            </w:r>
          </w:p>
        </w:tc>
        <w:tc>
          <w:tcPr>
            <w:tcW w:w="2201" w:type="dxa"/>
            <w:shd w:val="clear" w:color="auto" w:fill="auto"/>
            <w:vAlign w:val="center"/>
          </w:tcPr>
          <w:p w14:paraId="4C838C4B">
            <w:pPr>
              <w:jc w:val="center"/>
              <w:rPr>
                <w:rFonts w:ascii="Times New Roman" w:eastAsia="仿宋"/>
              </w:rPr>
            </w:pPr>
            <w:r>
              <w:rPr>
                <w:rFonts w:ascii="Times New Roman" w:eastAsia="仿宋"/>
              </w:rPr>
              <w:t>+</w:t>
            </w:r>
            <w:r>
              <w:rPr>
                <w:rFonts w:hint="eastAsia" w:ascii="Times New Roman" w:eastAsia="仿宋"/>
              </w:rPr>
              <w:t>0.</w:t>
            </w:r>
            <w:r>
              <w:rPr>
                <w:rFonts w:ascii="Times New Roman" w:eastAsia="仿宋"/>
              </w:rPr>
              <w:t>004</w:t>
            </w:r>
          </w:p>
        </w:tc>
        <w:tc>
          <w:tcPr>
            <w:tcW w:w="2482" w:type="dxa"/>
            <w:vAlign w:val="center"/>
          </w:tcPr>
          <w:p w14:paraId="76278D6D">
            <w:pPr>
              <w:jc w:val="center"/>
              <w:rPr>
                <w:rFonts w:ascii="Times New Roman" w:eastAsia="仿宋"/>
                <w:szCs w:val="21"/>
              </w:rPr>
            </w:pPr>
            <w:r>
              <w:rPr>
                <w:rFonts w:hint="eastAsia" w:ascii="Times New Roman" w:eastAsia="仿宋"/>
                <w:szCs w:val="21"/>
              </w:rPr>
              <w:t>0</w:t>
            </w:r>
            <w:r>
              <w:rPr>
                <w:rFonts w:ascii="Times New Roman" w:eastAsia="仿宋"/>
                <w:szCs w:val="21"/>
              </w:rPr>
              <w:t>.0006</w:t>
            </w:r>
          </w:p>
        </w:tc>
      </w:tr>
      <w:tr w14:paraId="3D78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356720DF">
            <w:pPr>
              <w:jc w:val="center"/>
              <w:rPr>
                <w:rFonts w:ascii="Times New Roman" w:eastAsia="仿宋"/>
                <w:szCs w:val="21"/>
                <w:highlight w:val="yellow"/>
              </w:rPr>
            </w:pPr>
          </w:p>
        </w:tc>
        <w:tc>
          <w:tcPr>
            <w:tcW w:w="1164" w:type="dxa"/>
            <w:vMerge w:val="continue"/>
            <w:vAlign w:val="center"/>
          </w:tcPr>
          <w:p w14:paraId="5FEF4C1B">
            <w:pPr>
              <w:jc w:val="center"/>
              <w:rPr>
                <w:rFonts w:ascii="Times New Roman" w:eastAsia="仿宋"/>
                <w:szCs w:val="21"/>
              </w:rPr>
            </w:pPr>
          </w:p>
        </w:tc>
        <w:tc>
          <w:tcPr>
            <w:tcW w:w="1349" w:type="dxa"/>
            <w:vAlign w:val="center"/>
          </w:tcPr>
          <w:p w14:paraId="02A592A2">
            <w:pPr>
              <w:jc w:val="center"/>
              <w:rPr>
                <w:rFonts w:ascii="Times New Roman" w:eastAsia="仿宋"/>
                <w:szCs w:val="21"/>
              </w:rPr>
            </w:pPr>
            <w:r>
              <w:rPr>
                <w:rFonts w:hint="eastAsia" w:ascii="Times New Roman" w:eastAsia="仿宋"/>
                <w:szCs w:val="21"/>
              </w:rPr>
              <w:t>动植物油</w:t>
            </w:r>
          </w:p>
        </w:tc>
        <w:tc>
          <w:tcPr>
            <w:tcW w:w="1642" w:type="dxa"/>
            <w:vAlign w:val="center"/>
          </w:tcPr>
          <w:p w14:paraId="4C734DF2">
            <w:pPr>
              <w:jc w:val="center"/>
              <w:rPr>
                <w:rFonts w:ascii="Times New Roman" w:eastAsia="仿宋"/>
              </w:rPr>
            </w:pPr>
            <w:r>
              <w:rPr>
                <w:rFonts w:hint="eastAsia" w:ascii="Times New Roman" w:eastAsia="仿宋"/>
              </w:rPr>
              <w:t>0.</w:t>
            </w:r>
            <w:r>
              <w:rPr>
                <w:rFonts w:ascii="Times New Roman" w:eastAsia="仿宋"/>
              </w:rPr>
              <w:t>08</w:t>
            </w:r>
          </w:p>
        </w:tc>
        <w:tc>
          <w:tcPr>
            <w:tcW w:w="1722" w:type="dxa"/>
            <w:vAlign w:val="center"/>
          </w:tcPr>
          <w:p w14:paraId="1902BCD9">
            <w:pPr>
              <w:jc w:val="center"/>
              <w:rPr>
                <w:rFonts w:ascii="Times New Roman" w:eastAsia="仿宋"/>
                <w:szCs w:val="21"/>
              </w:rPr>
            </w:pPr>
            <w:r>
              <w:rPr>
                <w:rFonts w:hint="eastAsia" w:ascii="Times New Roman" w:eastAsia="仿宋"/>
                <w:szCs w:val="21"/>
              </w:rPr>
              <w:t>0</w:t>
            </w:r>
          </w:p>
        </w:tc>
        <w:tc>
          <w:tcPr>
            <w:tcW w:w="1718" w:type="dxa"/>
            <w:vAlign w:val="center"/>
          </w:tcPr>
          <w:p w14:paraId="53FA235B">
            <w:pPr>
              <w:jc w:val="center"/>
              <w:rPr>
                <w:rFonts w:ascii="Times New Roman" w:eastAsia="仿宋"/>
              </w:rPr>
            </w:pPr>
            <w:r>
              <w:rPr>
                <w:rFonts w:ascii="Times New Roman" w:eastAsia="仿宋"/>
              </w:rPr>
              <w:t>0.08</w:t>
            </w:r>
          </w:p>
        </w:tc>
        <w:tc>
          <w:tcPr>
            <w:tcW w:w="2201" w:type="dxa"/>
            <w:vAlign w:val="center"/>
          </w:tcPr>
          <w:p w14:paraId="464CF61C">
            <w:pPr>
              <w:jc w:val="center"/>
              <w:rPr>
                <w:rFonts w:ascii="Times New Roman" w:eastAsia="仿宋"/>
              </w:rPr>
            </w:pPr>
            <w:r>
              <w:rPr>
                <w:rFonts w:ascii="Times New Roman" w:eastAsia="仿宋"/>
              </w:rPr>
              <w:t>+0.08</w:t>
            </w:r>
          </w:p>
        </w:tc>
        <w:tc>
          <w:tcPr>
            <w:tcW w:w="2482" w:type="dxa"/>
            <w:vAlign w:val="center"/>
          </w:tcPr>
          <w:p w14:paraId="2E912A1D">
            <w:pPr>
              <w:jc w:val="center"/>
              <w:rPr>
                <w:rFonts w:ascii="Times New Roman" w:eastAsia="仿宋"/>
                <w:szCs w:val="21"/>
              </w:rPr>
            </w:pPr>
            <w:r>
              <w:rPr>
                <w:rFonts w:hint="eastAsia" w:ascii="Times New Roman" w:eastAsia="仿宋"/>
                <w:szCs w:val="21"/>
              </w:rPr>
              <w:t>0</w:t>
            </w:r>
            <w:r>
              <w:rPr>
                <w:rFonts w:ascii="Times New Roman" w:eastAsia="仿宋"/>
                <w:szCs w:val="21"/>
              </w:rPr>
              <w:t>.001</w:t>
            </w:r>
          </w:p>
        </w:tc>
      </w:tr>
      <w:tr w14:paraId="4EC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restart"/>
            <w:vAlign w:val="center"/>
          </w:tcPr>
          <w:p w14:paraId="2DF26F28">
            <w:pPr>
              <w:jc w:val="center"/>
              <w:rPr>
                <w:rFonts w:ascii="Times New Roman" w:eastAsia="仿宋"/>
                <w:szCs w:val="21"/>
              </w:rPr>
            </w:pPr>
            <w:r>
              <w:rPr>
                <w:rFonts w:ascii="Times New Roman" w:eastAsia="仿宋"/>
                <w:szCs w:val="21"/>
              </w:rPr>
              <w:t>固废</w:t>
            </w:r>
          </w:p>
        </w:tc>
        <w:tc>
          <w:tcPr>
            <w:tcW w:w="2513" w:type="dxa"/>
            <w:gridSpan w:val="2"/>
            <w:vAlign w:val="center"/>
          </w:tcPr>
          <w:p w14:paraId="106321E7">
            <w:pPr>
              <w:jc w:val="center"/>
              <w:rPr>
                <w:rFonts w:ascii="Times New Roman" w:eastAsia="仿宋"/>
                <w:szCs w:val="21"/>
              </w:rPr>
            </w:pPr>
            <w:r>
              <w:rPr>
                <w:rFonts w:hint="eastAsia" w:ascii="Times New Roman" w:eastAsia="仿宋"/>
                <w:szCs w:val="21"/>
              </w:rPr>
              <w:t>生活垃圾</w:t>
            </w:r>
          </w:p>
        </w:tc>
        <w:tc>
          <w:tcPr>
            <w:tcW w:w="1642" w:type="dxa"/>
            <w:vAlign w:val="center"/>
          </w:tcPr>
          <w:p w14:paraId="123B7A9F">
            <w:pPr>
              <w:jc w:val="center"/>
              <w:rPr>
                <w:rFonts w:ascii="Times New Roman" w:eastAsia="仿宋"/>
                <w:szCs w:val="21"/>
              </w:rPr>
            </w:pPr>
            <w:r>
              <w:rPr>
                <w:rFonts w:hint="eastAsia" w:ascii="Times New Roman" w:eastAsia="仿宋"/>
                <w:szCs w:val="21"/>
              </w:rPr>
              <w:t>22.5</w:t>
            </w:r>
          </w:p>
        </w:tc>
        <w:tc>
          <w:tcPr>
            <w:tcW w:w="1722" w:type="dxa"/>
            <w:vAlign w:val="center"/>
          </w:tcPr>
          <w:p w14:paraId="446DCBA6">
            <w:pPr>
              <w:jc w:val="center"/>
              <w:rPr>
                <w:rFonts w:ascii="Times New Roman" w:eastAsia="仿宋"/>
                <w:szCs w:val="21"/>
              </w:rPr>
            </w:pPr>
            <w:r>
              <w:rPr>
                <w:rFonts w:hint="eastAsia" w:ascii="Times New Roman" w:eastAsia="仿宋"/>
                <w:szCs w:val="21"/>
              </w:rPr>
              <w:t>22.5</w:t>
            </w:r>
          </w:p>
        </w:tc>
        <w:tc>
          <w:tcPr>
            <w:tcW w:w="1718" w:type="dxa"/>
            <w:vAlign w:val="center"/>
          </w:tcPr>
          <w:p w14:paraId="3357BBA1">
            <w:pPr>
              <w:jc w:val="center"/>
              <w:rPr>
                <w:rFonts w:ascii="Times New Roman" w:eastAsia="仿宋"/>
                <w:szCs w:val="21"/>
              </w:rPr>
            </w:pPr>
            <w:r>
              <w:rPr>
                <w:rFonts w:hint="eastAsia" w:ascii="Times New Roman" w:eastAsia="仿宋"/>
                <w:szCs w:val="21"/>
              </w:rPr>
              <w:t>0</w:t>
            </w:r>
          </w:p>
        </w:tc>
        <w:tc>
          <w:tcPr>
            <w:tcW w:w="2201" w:type="dxa"/>
            <w:vAlign w:val="center"/>
          </w:tcPr>
          <w:p w14:paraId="681BA858">
            <w:pPr>
              <w:jc w:val="center"/>
              <w:rPr>
                <w:rFonts w:ascii="Times New Roman" w:eastAsia="仿宋"/>
                <w:szCs w:val="21"/>
              </w:rPr>
            </w:pPr>
            <w:r>
              <w:rPr>
                <w:rFonts w:hint="eastAsia" w:ascii="Times New Roman" w:eastAsia="仿宋"/>
                <w:szCs w:val="21"/>
              </w:rPr>
              <w:t>0</w:t>
            </w:r>
          </w:p>
        </w:tc>
        <w:tc>
          <w:tcPr>
            <w:tcW w:w="2482" w:type="dxa"/>
            <w:vAlign w:val="center"/>
          </w:tcPr>
          <w:p w14:paraId="07958079">
            <w:pPr>
              <w:jc w:val="center"/>
              <w:rPr>
                <w:rFonts w:ascii="Times New Roman" w:eastAsia="仿宋"/>
                <w:szCs w:val="21"/>
              </w:rPr>
            </w:pPr>
            <w:r>
              <w:rPr>
                <w:rFonts w:hint="eastAsia" w:ascii="Times New Roman" w:eastAsia="仿宋"/>
                <w:szCs w:val="21"/>
              </w:rPr>
              <w:t>0</w:t>
            </w:r>
          </w:p>
        </w:tc>
      </w:tr>
      <w:tr w14:paraId="0106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60" w:type="dxa"/>
            <w:gridSpan w:val="2"/>
            <w:vMerge w:val="continue"/>
            <w:vAlign w:val="center"/>
          </w:tcPr>
          <w:p w14:paraId="2B535DEA">
            <w:pPr>
              <w:jc w:val="center"/>
              <w:rPr>
                <w:rFonts w:ascii="Times New Roman" w:eastAsia="仿宋"/>
                <w:szCs w:val="21"/>
              </w:rPr>
            </w:pPr>
          </w:p>
        </w:tc>
        <w:tc>
          <w:tcPr>
            <w:tcW w:w="2513" w:type="dxa"/>
            <w:gridSpan w:val="2"/>
            <w:vAlign w:val="center"/>
          </w:tcPr>
          <w:p w14:paraId="2AD21400">
            <w:pPr>
              <w:jc w:val="center"/>
              <w:rPr>
                <w:rFonts w:ascii="Times New Roman" w:eastAsia="仿宋"/>
                <w:szCs w:val="21"/>
              </w:rPr>
            </w:pPr>
            <w:r>
              <w:rPr>
                <w:rFonts w:ascii="Times New Roman" w:eastAsia="仿宋"/>
                <w:szCs w:val="21"/>
              </w:rPr>
              <w:t>一般固废</w:t>
            </w:r>
          </w:p>
        </w:tc>
        <w:tc>
          <w:tcPr>
            <w:tcW w:w="1642" w:type="dxa"/>
            <w:vAlign w:val="center"/>
          </w:tcPr>
          <w:p w14:paraId="4D0D888A">
            <w:pPr>
              <w:jc w:val="center"/>
              <w:rPr>
                <w:rFonts w:ascii="Times New Roman" w:eastAsia="仿宋"/>
                <w:szCs w:val="21"/>
              </w:rPr>
            </w:pPr>
            <w:r>
              <w:rPr>
                <w:rFonts w:ascii="Times New Roman" w:eastAsia="仿宋"/>
                <w:szCs w:val="21"/>
              </w:rPr>
              <w:t>41.</w:t>
            </w:r>
            <w:r>
              <w:rPr>
                <w:rFonts w:hint="eastAsia" w:ascii="Times New Roman" w:eastAsia="仿宋"/>
                <w:szCs w:val="21"/>
              </w:rPr>
              <w:t>21</w:t>
            </w:r>
            <w:r>
              <w:rPr>
                <w:rFonts w:ascii="Times New Roman" w:eastAsia="仿宋"/>
                <w:szCs w:val="21"/>
              </w:rPr>
              <w:t>4</w:t>
            </w:r>
          </w:p>
        </w:tc>
        <w:tc>
          <w:tcPr>
            <w:tcW w:w="1722" w:type="dxa"/>
            <w:vAlign w:val="center"/>
          </w:tcPr>
          <w:p w14:paraId="3541CE89">
            <w:pPr>
              <w:jc w:val="center"/>
              <w:rPr>
                <w:rFonts w:ascii="Times New Roman" w:eastAsia="仿宋"/>
                <w:szCs w:val="21"/>
              </w:rPr>
            </w:pPr>
            <w:r>
              <w:rPr>
                <w:rFonts w:ascii="Times New Roman" w:eastAsia="仿宋"/>
                <w:szCs w:val="21"/>
              </w:rPr>
              <w:t>41.</w:t>
            </w:r>
            <w:r>
              <w:rPr>
                <w:rFonts w:hint="eastAsia" w:ascii="Times New Roman" w:eastAsia="仿宋"/>
                <w:szCs w:val="21"/>
              </w:rPr>
              <w:t>21</w:t>
            </w:r>
            <w:r>
              <w:rPr>
                <w:rFonts w:ascii="Times New Roman" w:eastAsia="仿宋"/>
                <w:szCs w:val="21"/>
              </w:rPr>
              <w:t>4</w:t>
            </w:r>
          </w:p>
        </w:tc>
        <w:tc>
          <w:tcPr>
            <w:tcW w:w="1718" w:type="dxa"/>
            <w:vAlign w:val="center"/>
          </w:tcPr>
          <w:p w14:paraId="559E3DBC">
            <w:pPr>
              <w:jc w:val="center"/>
              <w:rPr>
                <w:rFonts w:ascii="Times New Roman" w:eastAsia="仿宋"/>
                <w:szCs w:val="21"/>
              </w:rPr>
            </w:pPr>
            <w:r>
              <w:rPr>
                <w:rFonts w:hint="eastAsia" w:ascii="Times New Roman" w:eastAsia="仿宋"/>
                <w:szCs w:val="21"/>
              </w:rPr>
              <w:t>0</w:t>
            </w:r>
          </w:p>
        </w:tc>
        <w:tc>
          <w:tcPr>
            <w:tcW w:w="2201" w:type="dxa"/>
            <w:vAlign w:val="center"/>
          </w:tcPr>
          <w:p w14:paraId="44E62097">
            <w:pPr>
              <w:jc w:val="center"/>
              <w:rPr>
                <w:rFonts w:ascii="Times New Roman" w:eastAsia="仿宋"/>
                <w:szCs w:val="21"/>
              </w:rPr>
            </w:pPr>
            <w:r>
              <w:rPr>
                <w:rFonts w:hint="eastAsia" w:ascii="Times New Roman" w:eastAsia="仿宋"/>
                <w:szCs w:val="21"/>
              </w:rPr>
              <w:t>0</w:t>
            </w:r>
          </w:p>
        </w:tc>
        <w:tc>
          <w:tcPr>
            <w:tcW w:w="2482" w:type="dxa"/>
            <w:vAlign w:val="center"/>
          </w:tcPr>
          <w:p w14:paraId="621F23D7">
            <w:pPr>
              <w:jc w:val="center"/>
              <w:rPr>
                <w:rFonts w:ascii="Times New Roman" w:eastAsia="仿宋"/>
                <w:szCs w:val="21"/>
              </w:rPr>
            </w:pPr>
            <w:r>
              <w:rPr>
                <w:rFonts w:hint="eastAsia" w:ascii="Times New Roman" w:eastAsia="仿宋"/>
                <w:szCs w:val="21"/>
              </w:rPr>
              <w:t>0</w:t>
            </w:r>
          </w:p>
        </w:tc>
      </w:tr>
      <w:tr w14:paraId="581F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gridSpan w:val="2"/>
            <w:vMerge w:val="continue"/>
            <w:vAlign w:val="center"/>
          </w:tcPr>
          <w:p w14:paraId="70B5E475">
            <w:pPr>
              <w:jc w:val="center"/>
              <w:rPr>
                <w:rFonts w:ascii="Times New Roman" w:eastAsia="仿宋"/>
                <w:szCs w:val="21"/>
              </w:rPr>
            </w:pPr>
          </w:p>
        </w:tc>
        <w:tc>
          <w:tcPr>
            <w:tcW w:w="2513" w:type="dxa"/>
            <w:gridSpan w:val="2"/>
            <w:vAlign w:val="center"/>
          </w:tcPr>
          <w:p w14:paraId="0F831917">
            <w:pPr>
              <w:jc w:val="center"/>
              <w:rPr>
                <w:rFonts w:ascii="Times New Roman" w:eastAsia="仿宋"/>
                <w:szCs w:val="21"/>
              </w:rPr>
            </w:pPr>
            <w:r>
              <w:rPr>
                <w:rFonts w:ascii="Times New Roman" w:eastAsia="仿宋"/>
                <w:szCs w:val="21"/>
              </w:rPr>
              <w:t>危险废物</w:t>
            </w:r>
          </w:p>
        </w:tc>
        <w:tc>
          <w:tcPr>
            <w:tcW w:w="1642" w:type="dxa"/>
            <w:vAlign w:val="center"/>
          </w:tcPr>
          <w:p w14:paraId="34CDF0F2">
            <w:pPr>
              <w:jc w:val="center"/>
              <w:rPr>
                <w:rFonts w:ascii="Times New Roman" w:eastAsia="仿宋"/>
                <w:szCs w:val="21"/>
              </w:rPr>
            </w:pPr>
            <w:r>
              <w:rPr>
                <w:rFonts w:hint="eastAsia" w:ascii="Times New Roman" w:eastAsia="仿宋"/>
                <w:szCs w:val="21"/>
              </w:rPr>
              <w:t>1</w:t>
            </w:r>
            <w:r>
              <w:rPr>
                <w:rFonts w:ascii="Times New Roman" w:eastAsia="仿宋"/>
                <w:szCs w:val="21"/>
              </w:rPr>
              <w:t>1</w:t>
            </w:r>
            <w:r>
              <w:rPr>
                <w:rFonts w:hint="eastAsia" w:ascii="Times New Roman" w:eastAsia="仿宋"/>
                <w:szCs w:val="21"/>
              </w:rPr>
              <w:t>8</w:t>
            </w:r>
            <w:r>
              <w:rPr>
                <w:rFonts w:ascii="Times New Roman" w:eastAsia="仿宋"/>
                <w:szCs w:val="21"/>
              </w:rPr>
              <w:t>.5</w:t>
            </w:r>
            <w:r>
              <w:rPr>
                <w:rFonts w:hint="eastAsia" w:ascii="Times New Roman" w:eastAsia="仿宋"/>
                <w:szCs w:val="21"/>
              </w:rPr>
              <w:t>95</w:t>
            </w:r>
          </w:p>
        </w:tc>
        <w:tc>
          <w:tcPr>
            <w:tcW w:w="1722" w:type="dxa"/>
            <w:vAlign w:val="center"/>
          </w:tcPr>
          <w:p w14:paraId="7CFB0F8C">
            <w:pPr>
              <w:jc w:val="center"/>
              <w:rPr>
                <w:rFonts w:ascii="Times New Roman" w:eastAsia="仿宋"/>
                <w:szCs w:val="21"/>
              </w:rPr>
            </w:pPr>
            <w:r>
              <w:rPr>
                <w:rFonts w:hint="eastAsia" w:ascii="Times New Roman" w:eastAsia="仿宋"/>
                <w:szCs w:val="21"/>
              </w:rPr>
              <w:t>1</w:t>
            </w:r>
            <w:r>
              <w:rPr>
                <w:rFonts w:ascii="Times New Roman" w:eastAsia="仿宋"/>
                <w:szCs w:val="21"/>
              </w:rPr>
              <w:t>18.5</w:t>
            </w:r>
            <w:r>
              <w:rPr>
                <w:rFonts w:hint="eastAsia" w:ascii="Times New Roman" w:eastAsia="仿宋"/>
                <w:szCs w:val="21"/>
              </w:rPr>
              <w:t>95</w:t>
            </w:r>
          </w:p>
        </w:tc>
        <w:tc>
          <w:tcPr>
            <w:tcW w:w="1718" w:type="dxa"/>
            <w:vAlign w:val="center"/>
          </w:tcPr>
          <w:p w14:paraId="561AF4EE">
            <w:pPr>
              <w:jc w:val="center"/>
              <w:rPr>
                <w:rFonts w:ascii="Times New Roman" w:eastAsia="仿宋"/>
                <w:szCs w:val="21"/>
              </w:rPr>
            </w:pPr>
            <w:r>
              <w:rPr>
                <w:rFonts w:hint="eastAsia" w:ascii="Times New Roman" w:eastAsia="仿宋"/>
                <w:szCs w:val="21"/>
              </w:rPr>
              <w:t>0</w:t>
            </w:r>
          </w:p>
        </w:tc>
        <w:tc>
          <w:tcPr>
            <w:tcW w:w="2201" w:type="dxa"/>
            <w:vAlign w:val="center"/>
          </w:tcPr>
          <w:p w14:paraId="42429BA3">
            <w:pPr>
              <w:jc w:val="center"/>
              <w:rPr>
                <w:rFonts w:ascii="Times New Roman" w:eastAsia="仿宋"/>
                <w:szCs w:val="21"/>
              </w:rPr>
            </w:pPr>
            <w:r>
              <w:rPr>
                <w:rFonts w:hint="eastAsia" w:ascii="Times New Roman" w:eastAsia="仿宋"/>
                <w:szCs w:val="21"/>
              </w:rPr>
              <w:t>0</w:t>
            </w:r>
          </w:p>
        </w:tc>
        <w:tc>
          <w:tcPr>
            <w:tcW w:w="2482" w:type="dxa"/>
            <w:vAlign w:val="center"/>
          </w:tcPr>
          <w:p w14:paraId="0164EA5A">
            <w:pPr>
              <w:jc w:val="center"/>
              <w:rPr>
                <w:rFonts w:ascii="Times New Roman" w:eastAsia="仿宋"/>
                <w:szCs w:val="21"/>
              </w:rPr>
            </w:pPr>
            <w:r>
              <w:rPr>
                <w:rFonts w:hint="eastAsia" w:ascii="Times New Roman" w:eastAsia="仿宋"/>
                <w:szCs w:val="21"/>
              </w:rPr>
              <w:t>0</w:t>
            </w:r>
          </w:p>
        </w:tc>
      </w:tr>
    </w:tbl>
    <w:p w14:paraId="261030D2">
      <w:pPr>
        <w:pStyle w:val="2"/>
      </w:pPr>
    </w:p>
    <w:p w14:paraId="52339D25">
      <w:pPr>
        <w:snapToGrid w:val="0"/>
        <w:textAlignment w:val="baseline"/>
        <w:rPr>
          <w:rFonts w:ascii="Times New Roman" w:eastAsia="仿宋"/>
          <w:b/>
          <w:szCs w:val="21"/>
        </w:rPr>
        <w:sectPr>
          <w:pgSz w:w="16838" w:h="11906" w:orient="landscape"/>
          <w:pgMar w:top="1797" w:right="1440" w:bottom="1797" w:left="1440" w:header="851" w:footer="992" w:gutter="0"/>
          <w:cols w:space="720" w:num="1"/>
          <w:docGrid w:linePitch="312" w:charSpace="0"/>
        </w:sectPr>
      </w:pPr>
    </w:p>
    <w:p w14:paraId="52C8770A">
      <w:pPr>
        <w:snapToGrid w:val="0"/>
        <w:spacing w:line="500" w:lineRule="exact"/>
        <w:ind w:firstLine="465"/>
        <w:textAlignment w:val="baseline"/>
        <w:rPr>
          <w:rFonts w:ascii="Times New Roman" w:eastAsia="仿宋"/>
          <w:sz w:val="28"/>
          <w:szCs w:val="28"/>
        </w:rPr>
      </w:pPr>
      <w:bookmarkStart w:id="489" w:name="_Hlk132723299"/>
      <w:r>
        <w:rPr>
          <w:rFonts w:ascii="Times New Roman" w:eastAsia="仿宋"/>
          <w:sz w:val="28"/>
          <w:szCs w:val="28"/>
        </w:rPr>
        <w:t>总量平衡途径及方案：</w:t>
      </w:r>
    </w:p>
    <w:p w14:paraId="7E2A21FB">
      <w:pPr>
        <w:autoSpaceDE w:val="0"/>
        <w:autoSpaceDN w:val="0"/>
        <w:spacing w:line="500" w:lineRule="exact"/>
        <w:ind w:firstLine="560" w:firstLineChars="200"/>
        <w:rPr>
          <w:rFonts w:ascii="Times New Roman" w:eastAsia="仿宋"/>
          <w:sz w:val="28"/>
          <w:szCs w:val="28"/>
        </w:rPr>
      </w:pPr>
      <w:r>
        <w:rPr>
          <w:rFonts w:hint="eastAsia" w:ascii="Times New Roman" w:eastAsia="仿宋"/>
          <w:sz w:val="28"/>
          <w:szCs w:val="28"/>
        </w:rPr>
        <w:t>（1）</w:t>
      </w:r>
      <w:r>
        <w:rPr>
          <w:rFonts w:ascii="Times New Roman" w:eastAsia="仿宋"/>
          <w:sz w:val="28"/>
          <w:szCs w:val="28"/>
        </w:rPr>
        <w:t>水污染物</w:t>
      </w:r>
    </w:p>
    <w:p w14:paraId="6B80DEB9">
      <w:pPr>
        <w:spacing w:line="500" w:lineRule="exact"/>
        <w:ind w:firstLine="560" w:firstLineChars="200"/>
        <w:rPr>
          <w:rFonts w:ascii="Times New Roman" w:eastAsia="仿宋"/>
          <w:sz w:val="28"/>
          <w:szCs w:val="28"/>
        </w:rPr>
      </w:pPr>
      <w:r>
        <w:rPr>
          <w:rFonts w:ascii="Times New Roman" w:eastAsia="仿宋"/>
          <w:sz w:val="28"/>
          <w:szCs w:val="28"/>
        </w:rPr>
        <w:t>水污染物总量平衡途径：本项目</w:t>
      </w:r>
      <w:r>
        <w:rPr>
          <w:rFonts w:hint="eastAsia" w:ascii="Times New Roman" w:eastAsia="仿宋"/>
          <w:sz w:val="28"/>
          <w:szCs w:val="28"/>
        </w:rPr>
        <w:t>新增混合</w:t>
      </w:r>
      <w:r>
        <w:rPr>
          <w:rFonts w:ascii="Times New Roman" w:eastAsia="仿宋"/>
          <w:sz w:val="28"/>
          <w:szCs w:val="28"/>
        </w:rPr>
        <w:t>污水排放量2067.4t/a，</w:t>
      </w:r>
      <w:r>
        <w:rPr>
          <w:rFonts w:hint="eastAsia" w:ascii="Times New Roman" w:eastAsia="仿宋"/>
          <w:sz w:val="28"/>
          <w:szCs w:val="28"/>
        </w:rPr>
        <w:t>其中工业废水7</w:t>
      </w:r>
      <w:r>
        <w:rPr>
          <w:rFonts w:ascii="Times New Roman" w:eastAsia="仿宋"/>
          <w:sz w:val="28"/>
          <w:szCs w:val="28"/>
        </w:rPr>
        <w:t>92.4</w:t>
      </w:r>
      <w:r>
        <w:rPr>
          <w:rFonts w:hint="eastAsia" w:ascii="Times New Roman" w:eastAsia="仿宋"/>
          <w:sz w:val="28"/>
          <w:szCs w:val="28"/>
        </w:rPr>
        <w:t>t/a，新增</w:t>
      </w:r>
      <w:r>
        <w:rPr>
          <w:rFonts w:ascii="Times New Roman" w:eastAsia="仿宋"/>
          <w:sz w:val="28"/>
          <w:szCs w:val="28"/>
        </w:rPr>
        <w:t>COD0.04</w:t>
      </w:r>
      <w:r>
        <w:rPr>
          <w:rFonts w:hint="eastAsia" w:ascii="Times New Roman" w:eastAsia="仿宋"/>
          <w:sz w:val="28"/>
          <w:szCs w:val="28"/>
        </w:rPr>
        <w:t>t</w:t>
      </w:r>
      <w:r>
        <w:rPr>
          <w:rFonts w:ascii="Times New Roman" w:eastAsia="仿宋"/>
          <w:sz w:val="28"/>
          <w:szCs w:val="28"/>
        </w:rPr>
        <w:t>/a</w:t>
      </w:r>
      <w:r>
        <w:rPr>
          <w:rFonts w:hint="eastAsia" w:ascii="Times New Roman" w:eastAsia="仿宋"/>
          <w:sz w:val="28"/>
          <w:szCs w:val="28"/>
        </w:rPr>
        <w:t>，</w:t>
      </w:r>
      <w:r>
        <w:rPr>
          <w:rFonts w:ascii="Times New Roman" w:eastAsia="仿宋"/>
          <w:sz w:val="28"/>
          <w:szCs w:val="28"/>
        </w:rPr>
        <w:t>依托</w:t>
      </w:r>
      <w:r>
        <w:rPr>
          <w:rFonts w:hint="eastAsia" w:ascii="Times New Roman" w:eastAsia="仿宋"/>
          <w:sz w:val="28"/>
          <w:szCs w:val="28"/>
        </w:rPr>
        <w:t>厂区</w:t>
      </w:r>
      <w:r>
        <w:rPr>
          <w:rFonts w:ascii="Times New Roman" w:eastAsia="仿宋"/>
          <w:sz w:val="28"/>
          <w:szCs w:val="28"/>
        </w:rPr>
        <w:t>管网接入市政污水管网，排入</w:t>
      </w:r>
      <w:r>
        <w:rPr>
          <w:rFonts w:hint="eastAsia" w:ascii="Times New Roman" w:eastAsia="仿宋"/>
          <w:sz w:val="28"/>
          <w:szCs w:val="28"/>
        </w:rPr>
        <w:t>直溪</w:t>
      </w:r>
      <w:r>
        <w:rPr>
          <w:rFonts w:ascii="Times New Roman" w:eastAsia="仿宋"/>
          <w:sz w:val="28"/>
          <w:szCs w:val="28"/>
        </w:rPr>
        <w:t>污水处理厂处理，</w:t>
      </w:r>
      <w:r>
        <w:rPr>
          <w:rFonts w:hint="eastAsia" w:ascii="Times New Roman" w:eastAsia="仿宋"/>
          <w:sz w:val="28"/>
          <w:szCs w:val="28"/>
        </w:rPr>
        <w:t>工业</w:t>
      </w:r>
      <w:r>
        <w:rPr>
          <w:rFonts w:ascii="Times New Roman" w:eastAsia="仿宋"/>
          <w:sz w:val="28"/>
          <w:szCs w:val="28"/>
        </w:rPr>
        <w:t>废水中各污染物总量在</w:t>
      </w:r>
      <w:r>
        <w:rPr>
          <w:rFonts w:hint="eastAsia" w:ascii="Times New Roman" w:eastAsia="仿宋"/>
          <w:sz w:val="28"/>
          <w:szCs w:val="28"/>
        </w:rPr>
        <w:t>金坛区</w:t>
      </w:r>
      <w:r>
        <w:rPr>
          <w:rFonts w:ascii="Times New Roman" w:eastAsia="仿宋"/>
          <w:sz w:val="28"/>
          <w:szCs w:val="28"/>
        </w:rPr>
        <w:t>内平衡</w:t>
      </w:r>
      <w:r>
        <w:rPr>
          <w:rFonts w:hint="eastAsia" w:ascii="Times New Roman" w:eastAsia="仿宋"/>
          <w:sz w:val="28"/>
          <w:szCs w:val="28"/>
        </w:rPr>
        <w:t>；混合污水各污染物在污水处理厂内平衡</w:t>
      </w:r>
      <w:r>
        <w:rPr>
          <w:rFonts w:ascii="Times New Roman" w:eastAsia="仿宋"/>
          <w:sz w:val="28"/>
          <w:szCs w:val="28"/>
        </w:rPr>
        <w:t>。</w:t>
      </w:r>
    </w:p>
    <w:p w14:paraId="5D227F4B">
      <w:pPr>
        <w:spacing w:line="500" w:lineRule="exact"/>
        <w:ind w:firstLine="560" w:firstLineChars="200"/>
        <w:rPr>
          <w:rFonts w:ascii="Times New Roman" w:eastAsia="仿宋"/>
          <w:sz w:val="28"/>
          <w:szCs w:val="28"/>
        </w:rPr>
      </w:pPr>
      <w:r>
        <w:rPr>
          <w:rFonts w:hint="eastAsia" w:ascii="Times New Roman" w:eastAsia="仿宋"/>
          <w:sz w:val="28"/>
          <w:szCs w:val="28"/>
        </w:rPr>
        <w:t>（2）</w:t>
      </w:r>
      <w:r>
        <w:rPr>
          <w:rFonts w:ascii="Times New Roman" w:eastAsia="仿宋"/>
          <w:sz w:val="28"/>
          <w:szCs w:val="28"/>
        </w:rPr>
        <w:t>大气污染物</w:t>
      </w:r>
    </w:p>
    <w:p w14:paraId="71EDD0AB">
      <w:pPr>
        <w:spacing w:line="500" w:lineRule="exact"/>
        <w:ind w:firstLine="560" w:firstLineChars="200"/>
        <w:rPr>
          <w:rFonts w:ascii="Times New Roman" w:eastAsia="仿宋"/>
          <w:sz w:val="28"/>
          <w:szCs w:val="28"/>
        </w:rPr>
      </w:pPr>
      <w:r>
        <w:rPr>
          <w:rFonts w:ascii="Times New Roman" w:eastAsia="仿宋"/>
          <w:sz w:val="28"/>
          <w:szCs w:val="28"/>
        </w:rPr>
        <w:t>根据《关于加强建设项目烟颗粒物、挥发性有机物准入审核的通知》（苏环办[2014]148号），本项目新增排放颗粒物1.</w:t>
      </w:r>
      <w:r>
        <w:rPr>
          <w:rFonts w:hint="eastAsia" w:ascii="Times New Roman" w:eastAsia="仿宋"/>
          <w:sz w:val="28"/>
          <w:szCs w:val="28"/>
        </w:rPr>
        <w:t>58</w:t>
      </w:r>
      <w:r>
        <w:rPr>
          <w:rFonts w:ascii="Times New Roman" w:eastAsia="仿宋"/>
          <w:sz w:val="28"/>
          <w:szCs w:val="28"/>
        </w:rPr>
        <w:t>5</w:t>
      </w:r>
      <w:r>
        <w:rPr>
          <w:rFonts w:hint="eastAsia" w:ascii="Times New Roman" w:eastAsia="仿宋"/>
          <w:sz w:val="28"/>
          <w:szCs w:val="28"/>
        </w:rPr>
        <w:t>t/a（其中有组织</w:t>
      </w:r>
      <w:r>
        <w:rPr>
          <w:rFonts w:ascii="Times New Roman" w:eastAsia="仿宋"/>
          <w:sz w:val="28"/>
          <w:szCs w:val="28"/>
        </w:rPr>
        <w:t>1.</w:t>
      </w:r>
      <w:r>
        <w:rPr>
          <w:rFonts w:hint="eastAsia" w:ascii="Times New Roman" w:eastAsia="仿宋"/>
          <w:sz w:val="28"/>
          <w:szCs w:val="28"/>
        </w:rPr>
        <w:t>36</w:t>
      </w:r>
      <w:r>
        <w:rPr>
          <w:rFonts w:ascii="Times New Roman" w:eastAsia="仿宋"/>
          <w:sz w:val="28"/>
          <w:szCs w:val="28"/>
        </w:rPr>
        <w:t>9</w:t>
      </w:r>
      <w:r>
        <w:rPr>
          <w:rFonts w:hint="eastAsia" w:ascii="Times New Roman" w:eastAsia="仿宋"/>
          <w:sz w:val="28"/>
          <w:szCs w:val="28"/>
        </w:rPr>
        <w:t>t/a，无组织0.</w:t>
      </w:r>
      <w:r>
        <w:rPr>
          <w:rFonts w:ascii="Times New Roman" w:eastAsia="仿宋"/>
          <w:sz w:val="28"/>
          <w:szCs w:val="28"/>
        </w:rPr>
        <w:t>2</w:t>
      </w:r>
      <w:r>
        <w:rPr>
          <w:rFonts w:hint="eastAsia" w:ascii="Times New Roman" w:eastAsia="仿宋"/>
          <w:sz w:val="28"/>
          <w:szCs w:val="28"/>
        </w:rPr>
        <w:t>16t/a），V</w:t>
      </w:r>
      <w:r>
        <w:rPr>
          <w:rFonts w:ascii="Times New Roman" w:eastAsia="仿宋"/>
          <w:sz w:val="28"/>
          <w:szCs w:val="28"/>
        </w:rPr>
        <w:t>OCs</w:t>
      </w:r>
      <w:r>
        <w:rPr>
          <w:rFonts w:hint="eastAsia" w:ascii="Times New Roman" w:eastAsia="仿宋"/>
          <w:sz w:val="28"/>
          <w:szCs w:val="28"/>
        </w:rPr>
        <w:t>（以非甲烷总烃计）4.809</w:t>
      </w:r>
      <w:r>
        <w:rPr>
          <w:rFonts w:ascii="Times New Roman" w:eastAsia="仿宋"/>
          <w:sz w:val="28"/>
          <w:szCs w:val="28"/>
        </w:rPr>
        <w:t>t/a</w:t>
      </w:r>
      <w:r>
        <w:rPr>
          <w:rFonts w:hint="eastAsia" w:ascii="Times New Roman" w:eastAsia="仿宋"/>
          <w:sz w:val="28"/>
          <w:szCs w:val="28"/>
        </w:rPr>
        <w:t>（其中有组织</w:t>
      </w:r>
      <w:r>
        <w:rPr>
          <w:rFonts w:ascii="Times New Roman" w:eastAsia="仿宋"/>
          <w:sz w:val="28"/>
          <w:szCs w:val="28"/>
        </w:rPr>
        <w:t>3.61</w:t>
      </w:r>
      <w:r>
        <w:rPr>
          <w:rFonts w:hint="eastAsia" w:ascii="Times New Roman" w:eastAsia="仿宋"/>
          <w:sz w:val="28"/>
          <w:szCs w:val="28"/>
        </w:rPr>
        <w:t>t/a，无组织1.199t/a）</w:t>
      </w:r>
      <w:r>
        <w:rPr>
          <w:rFonts w:ascii="Times New Roman" w:eastAsia="仿宋"/>
          <w:sz w:val="28"/>
          <w:szCs w:val="28"/>
        </w:rPr>
        <w:t>，</w:t>
      </w:r>
      <w:r>
        <w:rPr>
          <w:rFonts w:hint="eastAsia" w:ascii="Times New Roman" w:eastAsia="仿宋"/>
          <w:sz w:val="28"/>
          <w:szCs w:val="28"/>
        </w:rPr>
        <w:t>SO</w:t>
      </w:r>
      <w:r>
        <w:rPr>
          <w:rFonts w:hint="eastAsia" w:ascii="Times New Roman" w:eastAsia="仿宋"/>
          <w:sz w:val="28"/>
          <w:szCs w:val="28"/>
          <w:vertAlign w:val="subscript"/>
        </w:rPr>
        <w:t>2</w:t>
      </w:r>
      <w:r>
        <w:rPr>
          <w:rFonts w:hint="eastAsia" w:ascii="Times New Roman" w:eastAsia="仿宋"/>
          <w:sz w:val="28"/>
          <w:szCs w:val="28"/>
        </w:rPr>
        <w:t>0.025t/a、NO</w:t>
      </w:r>
      <w:r>
        <w:rPr>
          <w:rFonts w:hint="eastAsia" w:ascii="Times New Roman" w:eastAsia="仿宋"/>
          <w:sz w:val="28"/>
          <w:szCs w:val="28"/>
          <w:vertAlign w:val="subscript"/>
        </w:rPr>
        <w:t>X</w:t>
      </w:r>
      <w:r>
        <w:rPr>
          <w:rFonts w:ascii="Times New Roman" w:eastAsia="仿宋"/>
          <w:sz w:val="28"/>
          <w:szCs w:val="28"/>
        </w:rPr>
        <w:t>1.12t/a需落实区域减量替代方案</w:t>
      </w:r>
      <w:r>
        <w:rPr>
          <w:rFonts w:hint="eastAsia" w:ascii="Times New Roman" w:eastAsia="仿宋"/>
          <w:sz w:val="28"/>
          <w:szCs w:val="28"/>
        </w:rPr>
        <w:t>，在金坛区内平衡。</w:t>
      </w:r>
    </w:p>
    <w:p w14:paraId="07363021">
      <w:pPr>
        <w:spacing w:line="500" w:lineRule="exact"/>
        <w:ind w:firstLine="560" w:firstLineChars="200"/>
        <w:rPr>
          <w:rFonts w:ascii="Times New Roman" w:eastAsia="仿宋"/>
          <w:sz w:val="28"/>
          <w:szCs w:val="28"/>
        </w:rPr>
      </w:pPr>
      <w:r>
        <w:rPr>
          <w:rFonts w:hint="eastAsia" w:ascii="Times New Roman" w:eastAsia="仿宋"/>
          <w:sz w:val="28"/>
          <w:szCs w:val="28"/>
        </w:rPr>
        <w:t>（3）</w:t>
      </w:r>
      <w:r>
        <w:rPr>
          <w:rFonts w:ascii="Times New Roman" w:eastAsia="仿宋"/>
          <w:sz w:val="28"/>
          <w:szCs w:val="28"/>
        </w:rPr>
        <w:t>固体废物</w:t>
      </w:r>
    </w:p>
    <w:p w14:paraId="554F365B">
      <w:pPr>
        <w:spacing w:line="500" w:lineRule="exact"/>
        <w:ind w:firstLine="560" w:firstLineChars="200"/>
        <w:rPr>
          <w:rFonts w:ascii="Times New Roman" w:eastAsia="仿宋"/>
          <w:sz w:val="28"/>
          <w:szCs w:val="28"/>
        </w:rPr>
      </w:pPr>
      <w:r>
        <w:rPr>
          <w:rFonts w:ascii="Times New Roman" w:eastAsia="仿宋"/>
          <w:sz w:val="28"/>
          <w:szCs w:val="28"/>
        </w:rPr>
        <w:t>本项目固体废物均得到有效处置，实现“零排放”，故企业不单独申请总量指标。</w:t>
      </w:r>
      <w:bookmarkEnd w:id="489"/>
    </w:p>
    <w:p w14:paraId="25A56E06">
      <w:pPr>
        <w:spacing w:line="500" w:lineRule="exact"/>
        <w:ind w:firstLine="560" w:firstLineChars="200"/>
        <w:rPr>
          <w:rFonts w:ascii="Times New Roman" w:eastAsia="仿宋"/>
          <w:sz w:val="28"/>
          <w:szCs w:val="28"/>
        </w:rPr>
      </w:pPr>
      <w:r>
        <w:rPr>
          <w:rFonts w:ascii="Times New Roman" w:eastAsia="仿宋"/>
          <w:sz w:val="28"/>
          <w:szCs w:val="28"/>
        </w:rPr>
        <w:t>本项目建成后应向社会公开的信息内容见表8.1-3。</w:t>
      </w:r>
    </w:p>
    <w:p w14:paraId="474E8E8F">
      <w:pPr>
        <w:spacing w:line="500" w:lineRule="exact"/>
        <w:jc w:val="center"/>
        <w:rPr>
          <w:rFonts w:ascii="Times New Roman" w:eastAsia="仿宋"/>
          <w:b/>
        </w:rPr>
        <w:sectPr>
          <w:pgSz w:w="11906" w:h="16838"/>
          <w:pgMar w:top="1440" w:right="1800" w:bottom="1440" w:left="1800" w:header="851" w:footer="992" w:gutter="0"/>
          <w:cols w:space="720" w:num="1"/>
          <w:docGrid w:linePitch="312" w:charSpace="0"/>
        </w:sectPr>
      </w:pPr>
      <w:bookmarkStart w:id="490" w:name="_Ref472461061"/>
    </w:p>
    <w:p w14:paraId="2C431FE1">
      <w:pPr>
        <w:spacing w:line="500" w:lineRule="exact"/>
        <w:jc w:val="center"/>
        <w:rPr>
          <w:rFonts w:ascii="Times New Roman" w:eastAsia="仿宋"/>
          <w:b/>
        </w:rPr>
      </w:pPr>
      <w:r>
        <w:rPr>
          <w:rFonts w:ascii="Times New Roman" w:eastAsia="仿宋"/>
          <w:b/>
        </w:rPr>
        <w:t>表8.1</w:t>
      </w:r>
      <w:r>
        <w:rPr>
          <w:rFonts w:ascii="Times New Roman" w:eastAsia="仿宋"/>
          <w:b/>
        </w:rPr>
        <w:noBreakHyphen/>
      </w:r>
      <w:bookmarkEnd w:id="490"/>
      <w:r>
        <w:rPr>
          <w:rFonts w:ascii="Times New Roman" w:eastAsia="仿宋"/>
          <w:b/>
        </w:rPr>
        <w:t>3  应向社会公开信息一览表</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2607"/>
        <w:gridCol w:w="2516"/>
        <w:gridCol w:w="3216"/>
        <w:gridCol w:w="2408"/>
        <w:gridCol w:w="1790"/>
      </w:tblGrid>
      <w:tr w14:paraId="17CC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08" w:type="pct"/>
            <w:gridSpan w:val="2"/>
            <w:vAlign w:val="center"/>
          </w:tcPr>
          <w:p w14:paraId="200262C3">
            <w:pPr>
              <w:spacing w:line="360" w:lineRule="exact"/>
              <w:jc w:val="center"/>
              <w:rPr>
                <w:rFonts w:ascii="Times New Roman" w:eastAsia="仿宋"/>
                <w:szCs w:val="21"/>
              </w:rPr>
            </w:pPr>
            <w:r>
              <w:rPr>
                <w:rFonts w:ascii="Times New Roman" w:eastAsia="仿宋"/>
                <w:szCs w:val="21"/>
              </w:rPr>
              <w:t>污染类型</w:t>
            </w:r>
          </w:p>
        </w:tc>
        <w:tc>
          <w:tcPr>
            <w:tcW w:w="935" w:type="pct"/>
            <w:vAlign w:val="center"/>
          </w:tcPr>
          <w:p w14:paraId="5F876489">
            <w:pPr>
              <w:spacing w:line="360" w:lineRule="exact"/>
              <w:jc w:val="center"/>
              <w:rPr>
                <w:rFonts w:ascii="Times New Roman" w:eastAsia="仿宋"/>
                <w:szCs w:val="21"/>
              </w:rPr>
            </w:pPr>
            <w:r>
              <w:rPr>
                <w:rFonts w:hint="eastAsia" w:ascii="Times New Roman" w:eastAsia="仿宋"/>
                <w:szCs w:val="21"/>
              </w:rPr>
              <w:t>污染物名称</w:t>
            </w:r>
          </w:p>
        </w:tc>
        <w:tc>
          <w:tcPr>
            <w:tcW w:w="1195" w:type="pct"/>
            <w:vAlign w:val="center"/>
          </w:tcPr>
          <w:p w14:paraId="62481742">
            <w:pPr>
              <w:pStyle w:val="22"/>
              <w:spacing w:line="360" w:lineRule="exact"/>
              <w:ind w:firstLine="0" w:firstLineChars="0"/>
              <w:jc w:val="center"/>
              <w:rPr>
                <w:rFonts w:eastAsia="仿宋"/>
                <w:sz w:val="24"/>
                <w:szCs w:val="21"/>
              </w:rPr>
            </w:pPr>
            <w:r>
              <w:rPr>
                <w:rFonts w:eastAsia="仿宋"/>
                <w:sz w:val="24"/>
                <w:szCs w:val="21"/>
              </w:rPr>
              <w:t>环保设施名称</w:t>
            </w:r>
          </w:p>
        </w:tc>
        <w:tc>
          <w:tcPr>
            <w:tcW w:w="895" w:type="pct"/>
            <w:vAlign w:val="center"/>
          </w:tcPr>
          <w:p w14:paraId="5AEAEAF7">
            <w:pPr>
              <w:spacing w:line="360" w:lineRule="exact"/>
              <w:jc w:val="center"/>
              <w:rPr>
                <w:rFonts w:ascii="Times New Roman" w:eastAsia="仿宋"/>
                <w:szCs w:val="21"/>
              </w:rPr>
            </w:pPr>
            <w:r>
              <w:rPr>
                <w:rFonts w:ascii="Times New Roman" w:eastAsia="仿宋"/>
                <w:szCs w:val="21"/>
              </w:rPr>
              <w:t>预期效果</w:t>
            </w:r>
          </w:p>
        </w:tc>
        <w:tc>
          <w:tcPr>
            <w:tcW w:w="665" w:type="pct"/>
            <w:vAlign w:val="center"/>
          </w:tcPr>
          <w:p w14:paraId="78972E9D">
            <w:pPr>
              <w:spacing w:line="360" w:lineRule="exact"/>
              <w:jc w:val="center"/>
              <w:rPr>
                <w:rFonts w:ascii="Times New Roman" w:eastAsia="仿宋"/>
                <w:szCs w:val="21"/>
              </w:rPr>
            </w:pPr>
            <w:r>
              <w:rPr>
                <w:rFonts w:ascii="Times New Roman" w:eastAsia="仿宋"/>
                <w:szCs w:val="21"/>
              </w:rPr>
              <w:t>进度</w:t>
            </w:r>
          </w:p>
        </w:tc>
      </w:tr>
      <w:tr w14:paraId="3AF5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08" w:type="pct"/>
            <w:gridSpan w:val="2"/>
            <w:vAlign w:val="center"/>
          </w:tcPr>
          <w:p w14:paraId="1F7B2233">
            <w:pPr>
              <w:spacing w:line="360" w:lineRule="exact"/>
              <w:jc w:val="center"/>
              <w:rPr>
                <w:rFonts w:ascii="Times New Roman" w:eastAsia="仿宋"/>
                <w:szCs w:val="21"/>
              </w:rPr>
            </w:pPr>
            <w:r>
              <w:rPr>
                <w:rFonts w:ascii="Times New Roman" w:eastAsia="仿宋"/>
                <w:szCs w:val="21"/>
              </w:rPr>
              <w:t>废水</w:t>
            </w:r>
          </w:p>
        </w:tc>
        <w:tc>
          <w:tcPr>
            <w:tcW w:w="935" w:type="pct"/>
            <w:vAlign w:val="center"/>
          </w:tcPr>
          <w:p w14:paraId="387B27D7">
            <w:pPr>
              <w:spacing w:line="360" w:lineRule="exact"/>
              <w:jc w:val="center"/>
              <w:rPr>
                <w:rFonts w:ascii="Times New Roman" w:eastAsia="仿宋"/>
                <w:szCs w:val="21"/>
              </w:rPr>
            </w:pPr>
            <w:r>
              <w:rPr>
                <w:rFonts w:hint="eastAsia" w:ascii="Times New Roman" w:eastAsia="仿宋"/>
                <w:szCs w:val="21"/>
              </w:rPr>
              <w:t>COD、SS、NH</w:t>
            </w:r>
            <w:r>
              <w:rPr>
                <w:rFonts w:hint="eastAsia" w:ascii="Times New Roman" w:eastAsia="仿宋"/>
                <w:szCs w:val="21"/>
                <w:vertAlign w:val="subscript"/>
              </w:rPr>
              <w:t>3</w:t>
            </w:r>
            <w:r>
              <w:rPr>
                <w:rFonts w:hint="eastAsia" w:ascii="Times New Roman" w:eastAsia="仿宋"/>
                <w:szCs w:val="21"/>
              </w:rPr>
              <w:t>-N、TP、TN、石油类、动植物油</w:t>
            </w:r>
          </w:p>
        </w:tc>
        <w:tc>
          <w:tcPr>
            <w:tcW w:w="1195" w:type="pct"/>
            <w:vAlign w:val="center"/>
          </w:tcPr>
          <w:p w14:paraId="369B344D">
            <w:pPr>
              <w:pStyle w:val="22"/>
              <w:spacing w:line="360" w:lineRule="exact"/>
              <w:ind w:firstLine="0" w:firstLineChars="0"/>
              <w:jc w:val="center"/>
              <w:rPr>
                <w:rFonts w:eastAsia="仿宋"/>
                <w:sz w:val="24"/>
                <w:szCs w:val="21"/>
              </w:rPr>
            </w:pPr>
            <w:r>
              <w:rPr>
                <w:rFonts w:eastAsia="仿宋"/>
                <w:sz w:val="24"/>
                <w:szCs w:val="21"/>
              </w:rPr>
              <w:t>1座污水预处理站</w:t>
            </w:r>
          </w:p>
          <w:p w14:paraId="0340EDF5">
            <w:pPr>
              <w:pStyle w:val="22"/>
              <w:spacing w:line="360" w:lineRule="exact"/>
              <w:ind w:firstLine="0" w:firstLineChars="0"/>
              <w:jc w:val="center"/>
              <w:rPr>
                <w:rFonts w:eastAsia="仿宋"/>
                <w:sz w:val="24"/>
                <w:szCs w:val="21"/>
              </w:rPr>
            </w:pPr>
            <w:r>
              <w:rPr>
                <w:rFonts w:eastAsia="仿宋"/>
                <w:sz w:val="24"/>
                <w:szCs w:val="21"/>
              </w:rPr>
              <w:t>及配套管线</w:t>
            </w:r>
          </w:p>
        </w:tc>
        <w:tc>
          <w:tcPr>
            <w:tcW w:w="895" w:type="pct"/>
            <w:vAlign w:val="center"/>
          </w:tcPr>
          <w:p w14:paraId="0B650A60">
            <w:pPr>
              <w:spacing w:line="360" w:lineRule="exact"/>
              <w:jc w:val="center"/>
              <w:rPr>
                <w:rFonts w:ascii="Times New Roman" w:eastAsia="仿宋"/>
                <w:szCs w:val="21"/>
              </w:rPr>
            </w:pPr>
            <w:r>
              <w:rPr>
                <w:rFonts w:hint="eastAsia" w:ascii="Times New Roman" w:eastAsia="仿宋"/>
                <w:szCs w:val="21"/>
              </w:rPr>
              <w:t>经厂内污水处理站处理后接管金坛区直溪污水处理厂</w:t>
            </w:r>
          </w:p>
        </w:tc>
        <w:tc>
          <w:tcPr>
            <w:tcW w:w="665" w:type="pct"/>
            <w:vAlign w:val="center"/>
          </w:tcPr>
          <w:p w14:paraId="132D5C55">
            <w:pPr>
              <w:spacing w:line="360" w:lineRule="exact"/>
              <w:jc w:val="center"/>
              <w:rPr>
                <w:rFonts w:ascii="Times New Roman" w:eastAsia="仿宋"/>
                <w:szCs w:val="21"/>
              </w:rPr>
            </w:pPr>
            <w:r>
              <w:rPr>
                <w:rFonts w:hint="eastAsia" w:ascii="Times New Roman" w:eastAsia="仿宋"/>
                <w:szCs w:val="21"/>
              </w:rPr>
              <w:t>新建</w:t>
            </w:r>
          </w:p>
        </w:tc>
      </w:tr>
      <w:tr w14:paraId="7737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restart"/>
            <w:vAlign w:val="center"/>
          </w:tcPr>
          <w:p w14:paraId="4A6E0C6E">
            <w:pPr>
              <w:spacing w:line="360" w:lineRule="exact"/>
              <w:jc w:val="center"/>
              <w:rPr>
                <w:rFonts w:ascii="Times New Roman" w:eastAsia="仿宋"/>
                <w:szCs w:val="21"/>
              </w:rPr>
            </w:pPr>
            <w:r>
              <w:rPr>
                <w:rFonts w:ascii="Times New Roman" w:eastAsia="仿宋"/>
                <w:szCs w:val="21"/>
              </w:rPr>
              <w:t>废气</w:t>
            </w:r>
          </w:p>
        </w:tc>
        <w:tc>
          <w:tcPr>
            <w:tcW w:w="969" w:type="pct"/>
            <w:vAlign w:val="center"/>
          </w:tcPr>
          <w:p w14:paraId="109F5B03">
            <w:pPr>
              <w:rPr>
                <w:rFonts w:ascii="Times New Roman" w:eastAsia="仿宋"/>
                <w:szCs w:val="21"/>
              </w:rPr>
            </w:pPr>
            <w:r>
              <w:rPr>
                <w:rFonts w:hint="eastAsia" w:ascii="Times New Roman" w:eastAsia="仿宋"/>
                <w:szCs w:val="24"/>
              </w:rPr>
              <w:t>机加工粉尘</w:t>
            </w:r>
          </w:p>
        </w:tc>
        <w:tc>
          <w:tcPr>
            <w:tcW w:w="935" w:type="pct"/>
            <w:vAlign w:val="center"/>
          </w:tcPr>
          <w:p w14:paraId="6062F9DC">
            <w:pPr>
              <w:jc w:val="center"/>
              <w:rPr>
                <w:rFonts w:ascii="Times New Roman" w:eastAsia="仿宋"/>
                <w:szCs w:val="21"/>
              </w:rPr>
            </w:pPr>
            <w:r>
              <w:rPr>
                <w:rFonts w:hint="eastAsia" w:ascii="Times New Roman" w:eastAsia="仿宋"/>
                <w:szCs w:val="21"/>
              </w:rPr>
              <w:t>颗粒物</w:t>
            </w:r>
          </w:p>
        </w:tc>
        <w:tc>
          <w:tcPr>
            <w:tcW w:w="1195" w:type="pct"/>
            <w:vAlign w:val="center"/>
          </w:tcPr>
          <w:p w14:paraId="2558897D">
            <w:pPr>
              <w:jc w:val="center"/>
              <w:rPr>
                <w:rFonts w:ascii="Times New Roman" w:eastAsia="仿宋"/>
                <w:szCs w:val="21"/>
              </w:rPr>
            </w:pPr>
            <w:r>
              <w:rPr>
                <w:rFonts w:hint="eastAsia" w:ascii="Times New Roman" w:eastAsia="仿宋"/>
                <w:szCs w:val="21"/>
              </w:rPr>
              <w:t>1套</w:t>
            </w:r>
            <w:r>
              <w:rPr>
                <w:rFonts w:hint="eastAsia" w:ascii="Times New Roman" w:eastAsia="仿宋"/>
                <w:szCs w:val="24"/>
              </w:rPr>
              <w:t>湿式除尘</w:t>
            </w:r>
            <w:r>
              <w:rPr>
                <w:rFonts w:hint="eastAsia" w:ascii="Times New Roman" w:eastAsia="仿宋"/>
                <w:szCs w:val="21"/>
              </w:rPr>
              <w:t>，1根15米高排气筒1#</w:t>
            </w:r>
          </w:p>
        </w:tc>
        <w:tc>
          <w:tcPr>
            <w:tcW w:w="895" w:type="pct"/>
            <w:vMerge w:val="restart"/>
            <w:vAlign w:val="center"/>
          </w:tcPr>
          <w:p w14:paraId="314538A3">
            <w:pPr>
              <w:spacing w:line="360" w:lineRule="exact"/>
              <w:jc w:val="center"/>
              <w:rPr>
                <w:rFonts w:ascii="Times New Roman" w:eastAsia="仿宋"/>
                <w:szCs w:val="21"/>
              </w:rPr>
            </w:pPr>
            <w:r>
              <w:rPr>
                <w:rFonts w:ascii="Times New Roman" w:eastAsia="仿宋"/>
                <w:szCs w:val="21"/>
              </w:rPr>
              <w:t>达标排放</w:t>
            </w:r>
          </w:p>
        </w:tc>
        <w:tc>
          <w:tcPr>
            <w:tcW w:w="665" w:type="pct"/>
            <w:vMerge w:val="restart"/>
            <w:vAlign w:val="center"/>
          </w:tcPr>
          <w:p w14:paraId="3FCDAD25">
            <w:pPr>
              <w:spacing w:line="360" w:lineRule="exact"/>
              <w:jc w:val="center"/>
              <w:rPr>
                <w:rFonts w:ascii="Times New Roman" w:eastAsia="仿宋"/>
                <w:szCs w:val="21"/>
              </w:rPr>
            </w:pPr>
            <w:r>
              <w:rPr>
                <w:rFonts w:hint="eastAsia" w:ascii="Times New Roman" w:eastAsia="仿宋"/>
                <w:szCs w:val="21"/>
              </w:rPr>
              <w:t>新建，</w:t>
            </w:r>
            <w:r>
              <w:rPr>
                <w:rFonts w:ascii="Times New Roman" w:eastAsia="仿宋"/>
                <w:szCs w:val="21"/>
              </w:rPr>
              <w:t>与项目建设同时完工</w:t>
            </w:r>
          </w:p>
        </w:tc>
      </w:tr>
      <w:tr w14:paraId="4BA3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continue"/>
            <w:vAlign w:val="center"/>
          </w:tcPr>
          <w:p w14:paraId="50853928">
            <w:pPr>
              <w:spacing w:line="360" w:lineRule="exact"/>
              <w:jc w:val="center"/>
            </w:pPr>
          </w:p>
        </w:tc>
        <w:tc>
          <w:tcPr>
            <w:tcW w:w="969" w:type="pct"/>
            <w:vAlign w:val="center"/>
          </w:tcPr>
          <w:p w14:paraId="32D55DF6">
            <w:pPr>
              <w:jc w:val="center"/>
              <w:rPr>
                <w:rFonts w:ascii="Times New Roman" w:eastAsia="仿宋"/>
                <w:szCs w:val="21"/>
              </w:rPr>
            </w:pPr>
            <w:r>
              <w:rPr>
                <w:rFonts w:hint="eastAsia" w:ascii="Times New Roman" w:eastAsia="仿宋"/>
                <w:szCs w:val="24"/>
              </w:rPr>
              <w:t>钝化废气、氟碳底漆喷漆废气、氟碳底漆喷漆漆雾、氟碳底漆流平废气、天然气燃烧废气</w:t>
            </w:r>
          </w:p>
        </w:tc>
        <w:tc>
          <w:tcPr>
            <w:tcW w:w="935" w:type="pct"/>
            <w:vAlign w:val="center"/>
          </w:tcPr>
          <w:p w14:paraId="24E7E4FF">
            <w:pPr>
              <w:jc w:val="center"/>
              <w:rPr>
                <w:rFonts w:ascii="Times New Roman" w:eastAsia="仿宋"/>
                <w:szCs w:val="21"/>
              </w:rPr>
            </w:pPr>
            <w:r>
              <w:rPr>
                <w:rFonts w:hint="eastAsia" w:ascii="Times New Roman" w:eastAsia="仿宋"/>
                <w:szCs w:val="21"/>
              </w:rPr>
              <w:t>颗粒物、非甲烷总烃、TVOC、二甲苯、苯系物、二氧化硫、氮氧化物</w:t>
            </w:r>
          </w:p>
        </w:tc>
        <w:tc>
          <w:tcPr>
            <w:tcW w:w="1195" w:type="pct"/>
            <w:vAlign w:val="center"/>
          </w:tcPr>
          <w:p w14:paraId="27F66692">
            <w:pPr>
              <w:jc w:val="center"/>
              <w:rPr>
                <w:rFonts w:ascii="Times New Roman" w:eastAsia="仿宋"/>
                <w:szCs w:val="21"/>
              </w:rPr>
            </w:pPr>
            <w:r>
              <w:rPr>
                <w:rFonts w:hint="eastAsia" w:ascii="Times New Roman" w:eastAsia="仿宋"/>
                <w:szCs w:val="21"/>
              </w:rPr>
              <w:t>1套水帘式循环过滤系统+水喷淋+干式过滤器+活性炭吸附脱附+催化燃烧装置，1根15米高排气筒2#</w:t>
            </w:r>
          </w:p>
        </w:tc>
        <w:tc>
          <w:tcPr>
            <w:tcW w:w="895" w:type="pct"/>
            <w:vMerge w:val="continue"/>
            <w:vAlign w:val="center"/>
          </w:tcPr>
          <w:p w14:paraId="646A0C03">
            <w:pPr>
              <w:spacing w:line="360" w:lineRule="exact"/>
              <w:jc w:val="center"/>
              <w:rPr>
                <w:rFonts w:ascii="Times New Roman" w:eastAsia="仿宋"/>
                <w:szCs w:val="21"/>
              </w:rPr>
            </w:pPr>
          </w:p>
        </w:tc>
        <w:tc>
          <w:tcPr>
            <w:tcW w:w="665" w:type="pct"/>
            <w:vMerge w:val="continue"/>
            <w:vAlign w:val="center"/>
          </w:tcPr>
          <w:p w14:paraId="424B0303">
            <w:pPr>
              <w:spacing w:line="360" w:lineRule="exact"/>
              <w:jc w:val="center"/>
              <w:rPr>
                <w:rFonts w:ascii="Times New Roman" w:eastAsia="仿宋"/>
                <w:szCs w:val="21"/>
              </w:rPr>
            </w:pPr>
          </w:p>
        </w:tc>
      </w:tr>
      <w:tr w14:paraId="258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continue"/>
            <w:vAlign w:val="center"/>
          </w:tcPr>
          <w:p w14:paraId="5E266D95">
            <w:pPr>
              <w:spacing w:line="360" w:lineRule="exact"/>
              <w:jc w:val="center"/>
              <w:rPr>
                <w:rFonts w:ascii="Times New Roman" w:eastAsia="仿宋"/>
                <w:szCs w:val="21"/>
              </w:rPr>
            </w:pPr>
          </w:p>
        </w:tc>
        <w:tc>
          <w:tcPr>
            <w:tcW w:w="969" w:type="pct"/>
            <w:vAlign w:val="center"/>
          </w:tcPr>
          <w:p w14:paraId="047FBBEF">
            <w:pPr>
              <w:jc w:val="center"/>
              <w:rPr>
                <w:rFonts w:ascii="Times New Roman" w:eastAsia="仿宋"/>
                <w:szCs w:val="21"/>
              </w:rPr>
            </w:pPr>
            <w:r>
              <w:rPr>
                <w:rFonts w:hint="eastAsia" w:ascii="Times New Roman" w:eastAsia="仿宋"/>
                <w:szCs w:val="24"/>
              </w:rPr>
              <w:t>氟碳面漆、底漆调漆废气、氟碳面漆喷漆废气、氟碳面漆喷漆漆雾、氟碳面漆流平废气、喷枪清洗废气、危废仓库废气</w:t>
            </w:r>
          </w:p>
        </w:tc>
        <w:tc>
          <w:tcPr>
            <w:tcW w:w="935" w:type="pct"/>
            <w:vAlign w:val="center"/>
          </w:tcPr>
          <w:p w14:paraId="796FDC19">
            <w:pPr>
              <w:jc w:val="center"/>
              <w:rPr>
                <w:rFonts w:ascii="Times New Roman" w:eastAsia="仿宋"/>
                <w:szCs w:val="21"/>
              </w:rPr>
            </w:pPr>
            <w:r>
              <w:rPr>
                <w:rFonts w:hint="eastAsia" w:ascii="Times New Roman" w:eastAsia="仿宋"/>
                <w:szCs w:val="21"/>
              </w:rPr>
              <w:t>颗粒物、非甲烷总烃、TVOC、二甲苯、苯系物、</w:t>
            </w:r>
          </w:p>
        </w:tc>
        <w:tc>
          <w:tcPr>
            <w:tcW w:w="1195" w:type="pct"/>
            <w:vAlign w:val="center"/>
          </w:tcPr>
          <w:p w14:paraId="5D0E1C66">
            <w:pPr>
              <w:jc w:val="center"/>
              <w:rPr>
                <w:rFonts w:ascii="Times New Roman" w:eastAsia="仿宋"/>
                <w:szCs w:val="21"/>
              </w:rPr>
            </w:pPr>
            <w:r>
              <w:rPr>
                <w:rFonts w:hint="eastAsia" w:ascii="Times New Roman" w:eastAsia="仿宋"/>
                <w:szCs w:val="21"/>
              </w:rPr>
              <w:t>1套水帘式循环过滤系统+水喷淋+干式过滤器+活性炭吸附脱附+催化燃烧装置，1根15米高排气筒3#</w:t>
            </w:r>
          </w:p>
        </w:tc>
        <w:tc>
          <w:tcPr>
            <w:tcW w:w="895" w:type="pct"/>
            <w:vMerge w:val="continue"/>
            <w:vAlign w:val="center"/>
          </w:tcPr>
          <w:p w14:paraId="39880B1F">
            <w:pPr>
              <w:spacing w:line="360" w:lineRule="exact"/>
              <w:jc w:val="center"/>
              <w:rPr>
                <w:rFonts w:ascii="Times New Roman" w:eastAsia="仿宋"/>
                <w:szCs w:val="21"/>
              </w:rPr>
            </w:pPr>
          </w:p>
        </w:tc>
        <w:tc>
          <w:tcPr>
            <w:tcW w:w="665" w:type="pct"/>
            <w:vMerge w:val="continue"/>
            <w:vAlign w:val="center"/>
          </w:tcPr>
          <w:p w14:paraId="43439827">
            <w:pPr>
              <w:spacing w:line="360" w:lineRule="exact"/>
              <w:jc w:val="center"/>
              <w:rPr>
                <w:rFonts w:ascii="Times New Roman" w:eastAsia="仿宋"/>
                <w:szCs w:val="21"/>
              </w:rPr>
            </w:pPr>
          </w:p>
        </w:tc>
      </w:tr>
      <w:tr w14:paraId="77B4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continue"/>
            <w:vAlign w:val="center"/>
          </w:tcPr>
          <w:p w14:paraId="4D39BE5F">
            <w:pPr>
              <w:spacing w:line="360" w:lineRule="exact"/>
              <w:jc w:val="center"/>
              <w:rPr>
                <w:rFonts w:ascii="Times New Roman" w:eastAsia="仿宋"/>
                <w:szCs w:val="21"/>
              </w:rPr>
            </w:pPr>
          </w:p>
        </w:tc>
        <w:tc>
          <w:tcPr>
            <w:tcW w:w="969" w:type="pct"/>
            <w:vAlign w:val="center"/>
          </w:tcPr>
          <w:p w14:paraId="4B994AEF">
            <w:pPr>
              <w:jc w:val="center"/>
              <w:rPr>
                <w:rFonts w:ascii="Times New Roman" w:eastAsia="仿宋"/>
                <w:szCs w:val="21"/>
              </w:rPr>
            </w:pPr>
            <w:r>
              <w:rPr>
                <w:rFonts w:hint="eastAsia" w:ascii="Times New Roman" w:eastAsia="仿宋"/>
                <w:szCs w:val="24"/>
              </w:rPr>
              <w:t>固化废气、氟碳面漆烘干废气、氟碳底漆烘干废气、天然气燃烧废气</w:t>
            </w:r>
          </w:p>
        </w:tc>
        <w:tc>
          <w:tcPr>
            <w:tcW w:w="935" w:type="pct"/>
            <w:vAlign w:val="center"/>
          </w:tcPr>
          <w:p w14:paraId="3F6178CB">
            <w:pPr>
              <w:jc w:val="center"/>
              <w:rPr>
                <w:rFonts w:ascii="Times New Roman" w:eastAsia="仿宋"/>
                <w:szCs w:val="21"/>
              </w:rPr>
            </w:pPr>
            <w:r>
              <w:rPr>
                <w:rFonts w:hint="eastAsia" w:ascii="Times New Roman" w:eastAsia="仿宋"/>
                <w:szCs w:val="21"/>
              </w:rPr>
              <w:t>颗粒物、非甲烷总烃、TVOC、二甲苯、苯系物、二氧化硫、氮氧化物</w:t>
            </w:r>
          </w:p>
        </w:tc>
        <w:tc>
          <w:tcPr>
            <w:tcW w:w="1195" w:type="pct"/>
            <w:vAlign w:val="center"/>
          </w:tcPr>
          <w:p w14:paraId="7AB75D1B">
            <w:pPr>
              <w:jc w:val="center"/>
              <w:rPr>
                <w:rFonts w:ascii="Times New Roman" w:eastAsia="仿宋"/>
                <w:szCs w:val="21"/>
              </w:rPr>
            </w:pPr>
            <w:r>
              <w:rPr>
                <w:rFonts w:hint="eastAsia" w:ascii="Times New Roman" w:eastAsia="仿宋"/>
                <w:szCs w:val="21"/>
              </w:rPr>
              <w:t>1套水帘式循环过滤系统+水喷淋+干式过滤器+活性炭吸附脱附+催化燃烧装置，1根15米高排气筒4#</w:t>
            </w:r>
          </w:p>
        </w:tc>
        <w:tc>
          <w:tcPr>
            <w:tcW w:w="895" w:type="pct"/>
            <w:vMerge w:val="continue"/>
            <w:vAlign w:val="center"/>
          </w:tcPr>
          <w:p w14:paraId="1FAA232F">
            <w:pPr>
              <w:spacing w:line="360" w:lineRule="exact"/>
              <w:jc w:val="center"/>
              <w:rPr>
                <w:rFonts w:ascii="Times New Roman" w:eastAsia="仿宋"/>
                <w:szCs w:val="21"/>
              </w:rPr>
            </w:pPr>
          </w:p>
        </w:tc>
        <w:tc>
          <w:tcPr>
            <w:tcW w:w="665" w:type="pct"/>
            <w:vMerge w:val="continue"/>
            <w:vAlign w:val="center"/>
          </w:tcPr>
          <w:p w14:paraId="3B5092FB">
            <w:pPr>
              <w:spacing w:line="360" w:lineRule="exact"/>
              <w:jc w:val="center"/>
              <w:rPr>
                <w:rFonts w:ascii="Times New Roman" w:eastAsia="仿宋"/>
                <w:szCs w:val="21"/>
              </w:rPr>
            </w:pPr>
          </w:p>
        </w:tc>
      </w:tr>
      <w:tr w14:paraId="66A5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continue"/>
            <w:vAlign w:val="center"/>
          </w:tcPr>
          <w:p w14:paraId="78768526">
            <w:pPr>
              <w:spacing w:line="360" w:lineRule="exact"/>
              <w:jc w:val="center"/>
              <w:rPr>
                <w:rFonts w:ascii="Times New Roman" w:eastAsia="仿宋"/>
                <w:szCs w:val="21"/>
              </w:rPr>
            </w:pPr>
          </w:p>
        </w:tc>
        <w:tc>
          <w:tcPr>
            <w:tcW w:w="969" w:type="pct"/>
            <w:vAlign w:val="center"/>
          </w:tcPr>
          <w:p w14:paraId="0C357E93">
            <w:pPr>
              <w:jc w:val="center"/>
              <w:rPr>
                <w:rFonts w:ascii="Times New Roman" w:eastAsia="仿宋"/>
                <w:szCs w:val="21"/>
              </w:rPr>
            </w:pPr>
            <w:r>
              <w:rPr>
                <w:rFonts w:hint="eastAsia" w:ascii="Times New Roman" w:eastAsia="仿宋"/>
                <w:szCs w:val="24"/>
              </w:rPr>
              <w:t>喷塑粉尘</w:t>
            </w:r>
          </w:p>
        </w:tc>
        <w:tc>
          <w:tcPr>
            <w:tcW w:w="935" w:type="pct"/>
            <w:vAlign w:val="center"/>
          </w:tcPr>
          <w:p w14:paraId="374AE778">
            <w:pPr>
              <w:jc w:val="center"/>
              <w:rPr>
                <w:rFonts w:ascii="Times New Roman" w:eastAsia="仿宋"/>
                <w:szCs w:val="21"/>
              </w:rPr>
            </w:pPr>
            <w:r>
              <w:rPr>
                <w:rFonts w:hint="eastAsia" w:ascii="Times New Roman" w:eastAsia="仿宋"/>
                <w:szCs w:val="21"/>
              </w:rPr>
              <w:t>颗粒物</w:t>
            </w:r>
          </w:p>
        </w:tc>
        <w:tc>
          <w:tcPr>
            <w:tcW w:w="1195" w:type="pct"/>
            <w:vAlign w:val="center"/>
          </w:tcPr>
          <w:p w14:paraId="513F844D">
            <w:pPr>
              <w:jc w:val="center"/>
              <w:rPr>
                <w:rFonts w:ascii="Times New Roman" w:eastAsia="仿宋"/>
                <w:szCs w:val="21"/>
              </w:rPr>
            </w:pPr>
            <w:r>
              <w:rPr>
                <w:rFonts w:hint="eastAsia" w:ascii="Times New Roman" w:eastAsia="仿宋"/>
                <w:szCs w:val="21"/>
              </w:rPr>
              <w:t>1套</w:t>
            </w:r>
            <w:r>
              <w:rPr>
                <w:rFonts w:hint="eastAsia" w:ascii="Times New Roman" w:eastAsia="仿宋"/>
                <w:szCs w:val="24"/>
              </w:rPr>
              <w:t>滤筒除尘器</w:t>
            </w:r>
            <w:r>
              <w:rPr>
                <w:rFonts w:hint="eastAsia" w:ascii="Times New Roman" w:eastAsia="仿宋"/>
                <w:szCs w:val="21"/>
              </w:rPr>
              <w:t>，1根15米高排气筒5#</w:t>
            </w:r>
          </w:p>
        </w:tc>
        <w:tc>
          <w:tcPr>
            <w:tcW w:w="895" w:type="pct"/>
            <w:vMerge w:val="continue"/>
            <w:vAlign w:val="center"/>
          </w:tcPr>
          <w:p w14:paraId="1F7CB0C6">
            <w:pPr>
              <w:spacing w:line="360" w:lineRule="exact"/>
              <w:jc w:val="center"/>
              <w:rPr>
                <w:rFonts w:ascii="Times New Roman" w:eastAsia="仿宋"/>
                <w:szCs w:val="21"/>
              </w:rPr>
            </w:pPr>
          </w:p>
        </w:tc>
        <w:tc>
          <w:tcPr>
            <w:tcW w:w="665" w:type="pct"/>
            <w:vMerge w:val="continue"/>
            <w:vAlign w:val="center"/>
          </w:tcPr>
          <w:p w14:paraId="09326299">
            <w:pPr>
              <w:spacing w:line="360" w:lineRule="exact"/>
              <w:jc w:val="center"/>
              <w:rPr>
                <w:rFonts w:ascii="Times New Roman" w:eastAsia="仿宋"/>
                <w:szCs w:val="21"/>
              </w:rPr>
            </w:pPr>
          </w:p>
        </w:tc>
      </w:tr>
      <w:tr w14:paraId="1D10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39" w:type="pct"/>
            <w:vMerge w:val="continue"/>
            <w:vAlign w:val="center"/>
          </w:tcPr>
          <w:p w14:paraId="09C4D883">
            <w:pPr>
              <w:spacing w:line="360" w:lineRule="exact"/>
              <w:jc w:val="center"/>
              <w:rPr>
                <w:rFonts w:ascii="Times New Roman" w:eastAsia="仿宋"/>
                <w:szCs w:val="21"/>
              </w:rPr>
            </w:pPr>
          </w:p>
        </w:tc>
        <w:tc>
          <w:tcPr>
            <w:tcW w:w="969" w:type="pct"/>
            <w:vAlign w:val="center"/>
          </w:tcPr>
          <w:p w14:paraId="5353BF70">
            <w:pPr>
              <w:jc w:val="center"/>
              <w:rPr>
                <w:rFonts w:ascii="Times New Roman" w:eastAsia="仿宋"/>
                <w:szCs w:val="21"/>
              </w:rPr>
            </w:pPr>
            <w:r>
              <w:rPr>
                <w:rFonts w:hint="eastAsia" w:ascii="Times New Roman" w:eastAsia="仿宋"/>
                <w:szCs w:val="21"/>
              </w:rPr>
              <w:t>无组织废气</w:t>
            </w:r>
          </w:p>
        </w:tc>
        <w:tc>
          <w:tcPr>
            <w:tcW w:w="935" w:type="pct"/>
            <w:vAlign w:val="center"/>
          </w:tcPr>
          <w:p w14:paraId="145634AA">
            <w:pPr>
              <w:jc w:val="center"/>
              <w:rPr>
                <w:rFonts w:ascii="Times New Roman" w:eastAsia="仿宋"/>
                <w:szCs w:val="21"/>
              </w:rPr>
            </w:pPr>
            <w:r>
              <w:rPr>
                <w:rFonts w:hint="eastAsia" w:ascii="Times New Roman" w:eastAsia="仿宋"/>
                <w:szCs w:val="21"/>
              </w:rPr>
              <w:t>非甲烷总烃、二甲苯、颗粒物</w:t>
            </w:r>
          </w:p>
        </w:tc>
        <w:tc>
          <w:tcPr>
            <w:tcW w:w="1195" w:type="pct"/>
            <w:vAlign w:val="center"/>
          </w:tcPr>
          <w:p w14:paraId="3C372C7C">
            <w:pPr>
              <w:jc w:val="center"/>
              <w:rPr>
                <w:rFonts w:ascii="Times New Roman" w:eastAsia="仿宋"/>
                <w:szCs w:val="21"/>
              </w:rPr>
            </w:pPr>
            <w:r>
              <w:rPr>
                <w:rFonts w:hint="eastAsia" w:ascii="Times New Roman" w:eastAsia="仿宋"/>
                <w:szCs w:val="21"/>
              </w:rPr>
              <w:t>焊接粉尘通过1套移动式除尘器处理后无组织排放</w:t>
            </w:r>
          </w:p>
        </w:tc>
        <w:tc>
          <w:tcPr>
            <w:tcW w:w="895" w:type="pct"/>
            <w:vMerge w:val="continue"/>
            <w:vAlign w:val="center"/>
          </w:tcPr>
          <w:p w14:paraId="7D9CE99E">
            <w:pPr>
              <w:spacing w:line="360" w:lineRule="exact"/>
              <w:jc w:val="center"/>
              <w:rPr>
                <w:rFonts w:ascii="Times New Roman" w:eastAsia="仿宋"/>
                <w:szCs w:val="21"/>
              </w:rPr>
            </w:pPr>
          </w:p>
        </w:tc>
        <w:tc>
          <w:tcPr>
            <w:tcW w:w="665" w:type="pct"/>
            <w:vAlign w:val="center"/>
          </w:tcPr>
          <w:p w14:paraId="42385EAB">
            <w:pPr>
              <w:spacing w:line="360" w:lineRule="exact"/>
              <w:jc w:val="center"/>
              <w:rPr>
                <w:rFonts w:ascii="Times New Roman" w:eastAsia="仿宋"/>
                <w:szCs w:val="21"/>
              </w:rPr>
            </w:pPr>
            <w:r>
              <w:rPr>
                <w:rFonts w:hint="eastAsia" w:ascii="Times New Roman" w:eastAsia="仿宋"/>
                <w:szCs w:val="21"/>
              </w:rPr>
              <w:t>新建，</w:t>
            </w:r>
            <w:r>
              <w:rPr>
                <w:rFonts w:ascii="Times New Roman" w:eastAsia="仿宋"/>
                <w:szCs w:val="21"/>
              </w:rPr>
              <w:t>与项目建设同时完工</w:t>
            </w:r>
          </w:p>
        </w:tc>
      </w:tr>
      <w:tr w14:paraId="4D2A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pct"/>
            <w:gridSpan w:val="2"/>
            <w:vAlign w:val="center"/>
          </w:tcPr>
          <w:p w14:paraId="27C9A832">
            <w:pPr>
              <w:spacing w:line="360" w:lineRule="exact"/>
              <w:jc w:val="center"/>
              <w:rPr>
                <w:rFonts w:ascii="Times New Roman" w:eastAsia="仿宋"/>
                <w:szCs w:val="21"/>
              </w:rPr>
            </w:pPr>
            <w:r>
              <w:rPr>
                <w:rFonts w:ascii="Times New Roman" w:eastAsia="仿宋"/>
                <w:szCs w:val="21"/>
              </w:rPr>
              <w:t>固废</w:t>
            </w:r>
          </w:p>
        </w:tc>
        <w:tc>
          <w:tcPr>
            <w:tcW w:w="935" w:type="pct"/>
            <w:vAlign w:val="center"/>
          </w:tcPr>
          <w:p w14:paraId="0DB2537A">
            <w:pPr>
              <w:spacing w:line="360" w:lineRule="exact"/>
              <w:jc w:val="center"/>
              <w:rPr>
                <w:rFonts w:ascii="Times New Roman" w:eastAsia="仿宋"/>
                <w:szCs w:val="21"/>
              </w:rPr>
            </w:pPr>
            <w:r>
              <w:rPr>
                <w:rFonts w:hint="eastAsia" w:ascii="Times New Roman" w:eastAsia="仿宋"/>
                <w:szCs w:val="21"/>
              </w:rPr>
              <w:t>废边角料、废塑粉、不合格品、焊渣、废一般包装、不合格品、废滤筒、收集尘、湿渣、钝化废水、水洗废水、水帘废水、废清洗液、漆渣、废包装桶、废机油、废催化剂、污泥、废过滤介质、废过滤棉、废有机溶剂、废手套、</w:t>
            </w:r>
            <w:r>
              <w:rPr>
                <w:rFonts w:ascii="Times New Roman" w:eastAsia="仿宋"/>
                <w:szCs w:val="21"/>
              </w:rPr>
              <w:t>生活垃圾</w:t>
            </w:r>
          </w:p>
        </w:tc>
        <w:tc>
          <w:tcPr>
            <w:tcW w:w="1195" w:type="pct"/>
            <w:vAlign w:val="center"/>
          </w:tcPr>
          <w:p w14:paraId="7BF31780">
            <w:pPr>
              <w:spacing w:line="360" w:lineRule="exact"/>
              <w:jc w:val="center"/>
              <w:rPr>
                <w:rFonts w:ascii="Times New Roman" w:eastAsia="仿宋"/>
                <w:szCs w:val="21"/>
              </w:rPr>
            </w:pPr>
            <w:r>
              <w:rPr>
                <w:rFonts w:ascii="Times New Roman" w:eastAsia="仿宋"/>
                <w:szCs w:val="21"/>
              </w:rPr>
              <w:t>临时收集、存放场所，合理处置</w:t>
            </w:r>
          </w:p>
        </w:tc>
        <w:tc>
          <w:tcPr>
            <w:tcW w:w="895" w:type="pct"/>
            <w:vAlign w:val="center"/>
          </w:tcPr>
          <w:p w14:paraId="70DCD11A">
            <w:pPr>
              <w:spacing w:line="360" w:lineRule="exact"/>
              <w:jc w:val="center"/>
              <w:rPr>
                <w:rFonts w:ascii="Times New Roman" w:eastAsia="仿宋"/>
                <w:szCs w:val="21"/>
              </w:rPr>
            </w:pPr>
            <w:r>
              <w:rPr>
                <w:rFonts w:ascii="Times New Roman" w:eastAsia="仿宋"/>
                <w:szCs w:val="21"/>
              </w:rPr>
              <w:t>固废场所做到三防“防风、防晒、防雨”，各类固废处置处理率100%，无排放</w:t>
            </w:r>
          </w:p>
        </w:tc>
        <w:tc>
          <w:tcPr>
            <w:tcW w:w="665" w:type="pct"/>
            <w:vAlign w:val="center"/>
          </w:tcPr>
          <w:p w14:paraId="07083AD6">
            <w:pPr>
              <w:spacing w:line="360" w:lineRule="exact"/>
              <w:jc w:val="center"/>
              <w:rPr>
                <w:rFonts w:ascii="Times New Roman" w:eastAsia="仿宋"/>
                <w:szCs w:val="21"/>
              </w:rPr>
            </w:pPr>
            <w:r>
              <w:rPr>
                <w:rFonts w:hint="eastAsia" w:ascii="Times New Roman" w:eastAsia="仿宋"/>
                <w:szCs w:val="21"/>
              </w:rPr>
              <w:t>新建1座危废仓库，同时新增1座一般固废仓库</w:t>
            </w:r>
          </w:p>
        </w:tc>
      </w:tr>
      <w:tr w14:paraId="45CD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08" w:type="pct"/>
            <w:gridSpan w:val="2"/>
            <w:vAlign w:val="center"/>
          </w:tcPr>
          <w:p w14:paraId="43CB3051">
            <w:pPr>
              <w:spacing w:line="360" w:lineRule="exact"/>
              <w:jc w:val="center"/>
              <w:rPr>
                <w:rFonts w:ascii="Times New Roman" w:eastAsia="仿宋"/>
                <w:szCs w:val="21"/>
              </w:rPr>
            </w:pPr>
            <w:r>
              <w:rPr>
                <w:rFonts w:ascii="Times New Roman" w:eastAsia="仿宋"/>
                <w:szCs w:val="21"/>
              </w:rPr>
              <w:t>噪声</w:t>
            </w:r>
          </w:p>
        </w:tc>
        <w:tc>
          <w:tcPr>
            <w:tcW w:w="935" w:type="pct"/>
            <w:vAlign w:val="center"/>
          </w:tcPr>
          <w:p w14:paraId="2C6DA1CD">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55C039D7">
            <w:pPr>
              <w:spacing w:line="360" w:lineRule="exact"/>
              <w:jc w:val="center"/>
              <w:rPr>
                <w:rFonts w:ascii="Times New Roman" w:eastAsia="仿宋"/>
                <w:szCs w:val="21"/>
              </w:rPr>
            </w:pPr>
            <w:r>
              <w:rPr>
                <w:rFonts w:ascii="Times New Roman" w:eastAsia="仿宋"/>
                <w:szCs w:val="21"/>
              </w:rPr>
              <w:t>隔音、减振设施</w:t>
            </w:r>
          </w:p>
        </w:tc>
        <w:tc>
          <w:tcPr>
            <w:tcW w:w="895" w:type="pct"/>
            <w:vAlign w:val="center"/>
          </w:tcPr>
          <w:p w14:paraId="4D2AEEC3">
            <w:pPr>
              <w:spacing w:line="360" w:lineRule="exact"/>
              <w:jc w:val="center"/>
              <w:rPr>
                <w:rFonts w:ascii="Times New Roman" w:eastAsia="仿宋"/>
                <w:szCs w:val="21"/>
              </w:rPr>
            </w:pPr>
            <w:r>
              <w:rPr>
                <w:rFonts w:ascii="Times New Roman" w:eastAsia="仿宋"/>
                <w:szCs w:val="21"/>
              </w:rPr>
              <w:t>厂界噪声达标</w:t>
            </w:r>
          </w:p>
        </w:tc>
        <w:tc>
          <w:tcPr>
            <w:tcW w:w="665" w:type="pct"/>
            <w:vAlign w:val="center"/>
          </w:tcPr>
          <w:p w14:paraId="01A28A45">
            <w:pPr>
              <w:spacing w:line="360" w:lineRule="exact"/>
              <w:jc w:val="center"/>
              <w:rPr>
                <w:rFonts w:ascii="Times New Roman" w:eastAsia="仿宋"/>
                <w:szCs w:val="21"/>
              </w:rPr>
            </w:pPr>
            <w:r>
              <w:rPr>
                <w:rFonts w:ascii="Times New Roman" w:eastAsia="仿宋"/>
                <w:szCs w:val="21"/>
              </w:rPr>
              <w:t>与项目建设同时完工</w:t>
            </w:r>
          </w:p>
        </w:tc>
      </w:tr>
      <w:tr w14:paraId="0AC8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08" w:type="pct"/>
            <w:gridSpan w:val="2"/>
            <w:vAlign w:val="center"/>
          </w:tcPr>
          <w:p w14:paraId="6927C6E7">
            <w:pPr>
              <w:spacing w:line="360" w:lineRule="exact"/>
              <w:jc w:val="center"/>
              <w:rPr>
                <w:rFonts w:ascii="Times New Roman" w:eastAsia="仿宋"/>
                <w:szCs w:val="21"/>
              </w:rPr>
            </w:pPr>
            <w:r>
              <w:rPr>
                <w:rFonts w:ascii="Times New Roman" w:eastAsia="仿宋"/>
                <w:szCs w:val="21"/>
              </w:rPr>
              <w:t>绿化</w:t>
            </w:r>
          </w:p>
        </w:tc>
        <w:tc>
          <w:tcPr>
            <w:tcW w:w="935" w:type="pct"/>
            <w:vAlign w:val="center"/>
          </w:tcPr>
          <w:p w14:paraId="4F82DCE6">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1E28D4DB">
            <w:pPr>
              <w:spacing w:line="360" w:lineRule="exact"/>
              <w:jc w:val="center"/>
              <w:rPr>
                <w:rFonts w:ascii="Times New Roman" w:eastAsia="仿宋"/>
                <w:szCs w:val="21"/>
              </w:rPr>
            </w:pPr>
            <w:r>
              <w:rPr>
                <w:rFonts w:ascii="Times New Roman" w:eastAsia="仿宋"/>
                <w:szCs w:val="21"/>
              </w:rPr>
              <w:t>加强厂区绿化，采用集中和分散相结合的方式进行，重点对污水站设绿化隔离带</w:t>
            </w:r>
          </w:p>
        </w:tc>
        <w:tc>
          <w:tcPr>
            <w:tcW w:w="895" w:type="pct"/>
            <w:vAlign w:val="center"/>
          </w:tcPr>
          <w:p w14:paraId="06D33134">
            <w:pPr>
              <w:spacing w:line="360" w:lineRule="exact"/>
              <w:jc w:val="center"/>
              <w:rPr>
                <w:rFonts w:ascii="Times New Roman" w:eastAsia="仿宋"/>
                <w:szCs w:val="21"/>
              </w:rPr>
            </w:pPr>
            <w:r>
              <w:rPr>
                <w:rFonts w:ascii="Times New Roman" w:eastAsia="仿宋"/>
                <w:szCs w:val="21"/>
              </w:rPr>
              <w:t>抗污染、截尘和降噪的作用</w:t>
            </w:r>
          </w:p>
        </w:tc>
        <w:tc>
          <w:tcPr>
            <w:tcW w:w="665" w:type="pct"/>
            <w:vAlign w:val="center"/>
          </w:tcPr>
          <w:p w14:paraId="556799A4">
            <w:pPr>
              <w:spacing w:line="360" w:lineRule="exact"/>
              <w:jc w:val="center"/>
              <w:rPr>
                <w:rFonts w:ascii="Times New Roman" w:eastAsia="仿宋"/>
                <w:szCs w:val="21"/>
              </w:rPr>
            </w:pPr>
            <w:r>
              <w:rPr>
                <w:rFonts w:ascii="Times New Roman" w:eastAsia="仿宋"/>
                <w:szCs w:val="21"/>
              </w:rPr>
              <w:t>依托原有</w:t>
            </w:r>
          </w:p>
        </w:tc>
      </w:tr>
      <w:tr w14:paraId="1F04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08" w:type="pct"/>
            <w:gridSpan w:val="2"/>
            <w:vAlign w:val="center"/>
          </w:tcPr>
          <w:p w14:paraId="5181A093">
            <w:pPr>
              <w:spacing w:line="360" w:lineRule="exact"/>
              <w:jc w:val="center"/>
              <w:rPr>
                <w:rFonts w:ascii="Times New Roman" w:eastAsia="仿宋"/>
                <w:szCs w:val="21"/>
              </w:rPr>
            </w:pPr>
            <w:r>
              <w:rPr>
                <w:rFonts w:ascii="Times New Roman" w:eastAsia="仿宋"/>
                <w:szCs w:val="21"/>
              </w:rPr>
              <w:t>清污管网分流建设</w:t>
            </w:r>
          </w:p>
        </w:tc>
        <w:tc>
          <w:tcPr>
            <w:tcW w:w="935" w:type="pct"/>
            <w:vAlign w:val="center"/>
          </w:tcPr>
          <w:p w14:paraId="0F5541B7">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2930DFC9">
            <w:pPr>
              <w:spacing w:line="360" w:lineRule="exact"/>
              <w:jc w:val="center"/>
              <w:rPr>
                <w:rFonts w:ascii="Times New Roman" w:eastAsia="仿宋"/>
                <w:szCs w:val="21"/>
              </w:rPr>
            </w:pPr>
            <w:r>
              <w:rPr>
                <w:rFonts w:ascii="Times New Roman" w:eastAsia="仿宋"/>
                <w:szCs w:val="21"/>
              </w:rPr>
              <w:t>/</w:t>
            </w:r>
          </w:p>
        </w:tc>
        <w:tc>
          <w:tcPr>
            <w:tcW w:w="895" w:type="pct"/>
            <w:vAlign w:val="center"/>
          </w:tcPr>
          <w:p w14:paraId="36FF338B">
            <w:pPr>
              <w:spacing w:line="360" w:lineRule="exact"/>
              <w:jc w:val="center"/>
              <w:rPr>
                <w:rFonts w:ascii="Times New Roman" w:eastAsia="仿宋"/>
                <w:szCs w:val="21"/>
              </w:rPr>
            </w:pPr>
            <w:r>
              <w:rPr>
                <w:rFonts w:ascii="Times New Roman" w:eastAsia="仿宋"/>
                <w:szCs w:val="21"/>
              </w:rPr>
              <w:t>做到清污分流、完全收集污水</w:t>
            </w:r>
          </w:p>
        </w:tc>
        <w:tc>
          <w:tcPr>
            <w:tcW w:w="665" w:type="pct"/>
            <w:vAlign w:val="center"/>
          </w:tcPr>
          <w:p w14:paraId="19C138EC">
            <w:pPr>
              <w:spacing w:line="360" w:lineRule="exact"/>
              <w:jc w:val="center"/>
              <w:rPr>
                <w:rFonts w:ascii="Times New Roman" w:eastAsia="仿宋"/>
                <w:szCs w:val="21"/>
              </w:rPr>
            </w:pPr>
            <w:r>
              <w:rPr>
                <w:rFonts w:ascii="Times New Roman" w:eastAsia="仿宋"/>
                <w:szCs w:val="21"/>
              </w:rPr>
              <w:t>依托原有</w:t>
            </w:r>
          </w:p>
        </w:tc>
      </w:tr>
      <w:tr w14:paraId="1AFA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pct"/>
            <w:gridSpan w:val="2"/>
            <w:vMerge w:val="restart"/>
            <w:vAlign w:val="center"/>
          </w:tcPr>
          <w:p w14:paraId="4DF350D7">
            <w:pPr>
              <w:spacing w:line="360" w:lineRule="exact"/>
              <w:jc w:val="center"/>
              <w:rPr>
                <w:rFonts w:ascii="Times New Roman" w:eastAsia="仿宋"/>
                <w:szCs w:val="21"/>
              </w:rPr>
            </w:pPr>
            <w:r>
              <w:rPr>
                <w:rFonts w:ascii="Times New Roman" w:eastAsia="仿宋"/>
                <w:szCs w:val="21"/>
              </w:rPr>
              <w:t>应急、风险防范</w:t>
            </w:r>
          </w:p>
        </w:tc>
        <w:tc>
          <w:tcPr>
            <w:tcW w:w="935" w:type="pct"/>
            <w:vAlign w:val="center"/>
          </w:tcPr>
          <w:p w14:paraId="66076EC5">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4591F736">
            <w:pPr>
              <w:spacing w:line="360" w:lineRule="exact"/>
              <w:jc w:val="center"/>
              <w:rPr>
                <w:rFonts w:ascii="Times New Roman" w:eastAsia="仿宋"/>
                <w:szCs w:val="21"/>
              </w:rPr>
            </w:pPr>
            <w:r>
              <w:rPr>
                <w:rFonts w:ascii="Times New Roman" w:eastAsia="仿宋"/>
                <w:szCs w:val="21"/>
              </w:rPr>
              <w:t>应急消防措施</w:t>
            </w:r>
          </w:p>
        </w:tc>
        <w:tc>
          <w:tcPr>
            <w:tcW w:w="895" w:type="pct"/>
            <w:vAlign w:val="center"/>
          </w:tcPr>
          <w:p w14:paraId="60A3E5A2">
            <w:pPr>
              <w:spacing w:line="360" w:lineRule="exact"/>
              <w:jc w:val="center"/>
              <w:rPr>
                <w:rFonts w:ascii="Times New Roman" w:eastAsia="仿宋"/>
                <w:szCs w:val="21"/>
              </w:rPr>
            </w:pPr>
            <w:r>
              <w:rPr>
                <w:rFonts w:ascii="Times New Roman" w:eastAsia="仿宋"/>
                <w:szCs w:val="21"/>
              </w:rPr>
              <w:t>消防栓、灭火器等</w:t>
            </w:r>
          </w:p>
        </w:tc>
        <w:tc>
          <w:tcPr>
            <w:tcW w:w="665" w:type="pct"/>
            <w:vAlign w:val="center"/>
          </w:tcPr>
          <w:p w14:paraId="36938B82">
            <w:pPr>
              <w:spacing w:line="360" w:lineRule="exact"/>
              <w:jc w:val="center"/>
              <w:rPr>
                <w:rFonts w:ascii="Times New Roman" w:eastAsia="仿宋"/>
                <w:szCs w:val="21"/>
              </w:rPr>
            </w:pPr>
            <w:r>
              <w:rPr>
                <w:rFonts w:ascii="Times New Roman" w:eastAsia="仿宋"/>
                <w:szCs w:val="21"/>
              </w:rPr>
              <w:t>依托原有</w:t>
            </w:r>
          </w:p>
        </w:tc>
      </w:tr>
      <w:tr w14:paraId="7B67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pct"/>
            <w:gridSpan w:val="2"/>
            <w:vMerge w:val="continue"/>
            <w:vAlign w:val="center"/>
          </w:tcPr>
          <w:p w14:paraId="7FF14BAB">
            <w:pPr>
              <w:spacing w:line="360" w:lineRule="exact"/>
              <w:jc w:val="center"/>
              <w:rPr>
                <w:rFonts w:ascii="Times New Roman" w:eastAsia="仿宋"/>
                <w:szCs w:val="21"/>
              </w:rPr>
            </w:pPr>
          </w:p>
        </w:tc>
        <w:tc>
          <w:tcPr>
            <w:tcW w:w="935" w:type="pct"/>
            <w:vAlign w:val="center"/>
          </w:tcPr>
          <w:p w14:paraId="6D41BC64">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4ABFBBDA">
            <w:pPr>
              <w:spacing w:line="360" w:lineRule="exact"/>
              <w:jc w:val="center"/>
              <w:rPr>
                <w:rFonts w:ascii="Times New Roman" w:eastAsia="仿宋"/>
                <w:szCs w:val="21"/>
              </w:rPr>
            </w:pPr>
            <w:r>
              <w:rPr>
                <w:rFonts w:ascii="Times New Roman" w:eastAsia="仿宋"/>
                <w:szCs w:val="21"/>
              </w:rPr>
              <w:t>事故应急池</w:t>
            </w:r>
          </w:p>
        </w:tc>
        <w:tc>
          <w:tcPr>
            <w:tcW w:w="895" w:type="pct"/>
            <w:vAlign w:val="center"/>
          </w:tcPr>
          <w:p w14:paraId="2EE496AC">
            <w:pPr>
              <w:spacing w:line="360" w:lineRule="exact"/>
              <w:jc w:val="center"/>
              <w:rPr>
                <w:rFonts w:ascii="Times New Roman" w:eastAsia="仿宋"/>
                <w:szCs w:val="21"/>
              </w:rPr>
            </w:pPr>
            <w:r>
              <w:rPr>
                <w:rFonts w:ascii="Times New Roman" w:eastAsia="仿宋"/>
                <w:szCs w:val="21"/>
              </w:rPr>
              <w:t>1座</w:t>
            </w:r>
            <w:r>
              <w:rPr>
                <w:rFonts w:hint="eastAsia" w:ascii="Times New Roman" w:eastAsia="仿宋"/>
                <w:szCs w:val="21"/>
              </w:rPr>
              <w:t>100m</w:t>
            </w:r>
            <w:r>
              <w:rPr>
                <w:rFonts w:hint="eastAsia" w:ascii="Times New Roman" w:eastAsia="仿宋"/>
                <w:szCs w:val="21"/>
                <w:vertAlign w:val="superscript"/>
              </w:rPr>
              <w:t>3</w:t>
            </w:r>
            <w:r>
              <w:rPr>
                <w:rFonts w:ascii="Times New Roman" w:eastAsia="仿宋"/>
                <w:szCs w:val="21"/>
              </w:rPr>
              <w:t>事故应急池</w:t>
            </w:r>
          </w:p>
        </w:tc>
        <w:tc>
          <w:tcPr>
            <w:tcW w:w="665" w:type="pct"/>
            <w:vAlign w:val="center"/>
          </w:tcPr>
          <w:p w14:paraId="673FFCC3">
            <w:pPr>
              <w:spacing w:line="360" w:lineRule="exact"/>
              <w:jc w:val="center"/>
              <w:rPr>
                <w:rFonts w:ascii="Times New Roman" w:eastAsia="仿宋"/>
                <w:szCs w:val="21"/>
              </w:rPr>
            </w:pPr>
            <w:r>
              <w:rPr>
                <w:rFonts w:ascii="Times New Roman" w:eastAsia="仿宋"/>
                <w:szCs w:val="21"/>
              </w:rPr>
              <w:t>依托原有</w:t>
            </w:r>
          </w:p>
        </w:tc>
      </w:tr>
      <w:tr w14:paraId="3D5E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pct"/>
            <w:gridSpan w:val="2"/>
            <w:vAlign w:val="center"/>
          </w:tcPr>
          <w:p w14:paraId="66CBEE67">
            <w:pPr>
              <w:spacing w:line="360" w:lineRule="exact"/>
              <w:jc w:val="center"/>
              <w:rPr>
                <w:rFonts w:ascii="Times New Roman" w:eastAsia="仿宋"/>
                <w:szCs w:val="21"/>
              </w:rPr>
            </w:pPr>
            <w:r>
              <w:rPr>
                <w:rFonts w:ascii="Times New Roman" w:eastAsia="仿宋"/>
                <w:szCs w:val="21"/>
              </w:rPr>
              <w:t>排污口整治等</w:t>
            </w:r>
          </w:p>
        </w:tc>
        <w:tc>
          <w:tcPr>
            <w:tcW w:w="935" w:type="pct"/>
            <w:vAlign w:val="center"/>
          </w:tcPr>
          <w:p w14:paraId="24F23CC0">
            <w:pPr>
              <w:spacing w:line="360" w:lineRule="exact"/>
              <w:jc w:val="center"/>
              <w:rPr>
                <w:rFonts w:ascii="Times New Roman" w:eastAsia="仿宋"/>
                <w:szCs w:val="21"/>
              </w:rPr>
            </w:pPr>
            <w:r>
              <w:rPr>
                <w:rFonts w:hint="eastAsia" w:ascii="Times New Roman" w:eastAsia="仿宋"/>
                <w:szCs w:val="21"/>
              </w:rPr>
              <w:t>/</w:t>
            </w:r>
          </w:p>
        </w:tc>
        <w:tc>
          <w:tcPr>
            <w:tcW w:w="1195" w:type="pct"/>
            <w:vAlign w:val="center"/>
          </w:tcPr>
          <w:p w14:paraId="7821FE7C">
            <w:pPr>
              <w:spacing w:line="360" w:lineRule="exact"/>
              <w:jc w:val="center"/>
              <w:rPr>
                <w:rFonts w:ascii="Times New Roman" w:eastAsia="仿宋"/>
                <w:szCs w:val="21"/>
              </w:rPr>
            </w:pPr>
            <w:r>
              <w:rPr>
                <w:rFonts w:ascii="Times New Roman" w:eastAsia="仿宋"/>
                <w:szCs w:val="21"/>
              </w:rPr>
              <w:t>规范排污口，设置与排污口相应的环境保护图形标志牌等</w:t>
            </w:r>
          </w:p>
        </w:tc>
        <w:tc>
          <w:tcPr>
            <w:tcW w:w="895" w:type="pct"/>
            <w:vAlign w:val="center"/>
          </w:tcPr>
          <w:p w14:paraId="2BE7D051">
            <w:pPr>
              <w:spacing w:line="360" w:lineRule="exact"/>
              <w:jc w:val="center"/>
              <w:rPr>
                <w:rFonts w:ascii="Times New Roman" w:eastAsia="仿宋"/>
                <w:szCs w:val="21"/>
              </w:rPr>
            </w:pPr>
            <w:r>
              <w:rPr>
                <w:rFonts w:ascii="Times New Roman" w:eastAsia="仿宋"/>
                <w:szCs w:val="21"/>
              </w:rPr>
              <w:t>符合排污口规范</w:t>
            </w:r>
          </w:p>
        </w:tc>
        <w:tc>
          <w:tcPr>
            <w:tcW w:w="665" w:type="pct"/>
            <w:vAlign w:val="center"/>
          </w:tcPr>
          <w:p w14:paraId="169DE671">
            <w:pPr>
              <w:spacing w:line="360" w:lineRule="exact"/>
              <w:jc w:val="center"/>
              <w:rPr>
                <w:rFonts w:ascii="Times New Roman" w:eastAsia="仿宋"/>
                <w:szCs w:val="21"/>
              </w:rPr>
            </w:pPr>
            <w:r>
              <w:rPr>
                <w:rFonts w:ascii="Times New Roman" w:eastAsia="仿宋"/>
                <w:szCs w:val="21"/>
              </w:rPr>
              <w:t>依托原有</w:t>
            </w:r>
            <w:r>
              <w:rPr>
                <w:rFonts w:hint="eastAsia" w:ascii="Times New Roman" w:eastAsia="仿宋"/>
                <w:szCs w:val="21"/>
              </w:rPr>
              <w:t>，规范设置标识牌</w:t>
            </w:r>
          </w:p>
        </w:tc>
      </w:tr>
    </w:tbl>
    <w:p w14:paraId="7BC38237">
      <w:pPr>
        <w:spacing w:line="500" w:lineRule="exact"/>
        <w:jc w:val="center"/>
        <w:rPr>
          <w:rFonts w:ascii="Times New Roman" w:eastAsia="仿宋"/>
          <w:b/>
        </w:rPr>
        <w:sectPr>
          <w:headerReference r:id="rId31" w:type="default"/>
          <w:pgSz w:w="16838" w:h="11906" w:orient="landscape"/>
          <w:pgMar w:top="1440" w:right="1800" w:bottom="1440" w:left="1800" w:header="851" w:footer="992" w:gutter="0"/>
          <w:cols w:space="720" w:num="1"/>
          <w:docGrid w:linePitch="312" w:charSpace="0"/>
        </w:sectPr>
      </w:pPr>
    </w:p>
    <w:p w14:paraId="13C2CE19">
      <w:pPr>
        <w:pStyle w:val="6"/>
        <w:keepLines w:val="0"/>
        <w:tabs>
          <w:tab w:val="left" w:pos="851"/>
        </w:tabs>
        <w:spacing w:before="0" w:after="120" w:afterLines="50" w:line="500" w:lineRule="exact"/>
        <w:rPr>
          <w:rFonts w:ascii="Times New Roman" w:eastAsia="仿宋"/>
          <w:spacing w:val="6"/>
          <w:sz w:val="28"/>
          <w:szCs w:val="20"/>
        </w:rPr>
      </w:pPr>
      <w:bookmarkStart w:id="491" w:name="_Toc446488282"/>
      <w:r>
        <w:rPr>
          <w:rFonts w:hint="eastAsia" w:ascii="Times New Roman" w:eastAsia="仿宋"/>
          <w:spacing w:val="6"/>
          <w:sz w:val="28"/>
          <w:szCs w:val="20"/>
        </w:rPr>
        <w:t>8.1.</w:t>
      </w:r>
      <w:r>
        <w:rPr>
          <w:rFonts w:ascii="Times New Roman" w:eastAsia="仿宋"/>
          <w:spacing w:val="6"/>
          <w:sz w:val="28"/>
          <w:szCs w:val="20"/>
        </w:rPr>
        <w:t>3环境管理</w:t>
      </w:r>
      <w:bookmarkEnd w:id="491"/>
      <w:r>
        <w:rPr>
          <w:rFonts w:ascii="Times New Roman" w:eastAsia="仿宋"/>
          <w:spacing w:val="6"/>
          <w:sz w:val="28"/>
          <w:szCs w:val="20"/>
        </w:rPr>
        <w:t>制度</w:t>
      </w:r>
    </w:p>
    <w:p w14:paraId="10688977">
      <w:pPr>
        <w:snapToGrid w:val="0"/>
        <w:spacing w:line="500" w:lineRule="exact"/>
        <w:ind w:firstLine="465"/>
        <w:textAlignment w:val="baseline"/>
        <w:rPr>
          <w:rFonts w:ascii="Times New Roman" w:eastAsia="仿宋"/>
          <w:sz w:val="28"/>
          <w:szCs w:val="28"/>
        </w:rPr>
      </w:pPr>
      <w:bookmarkStart w:id="492" w:name="_Hlt37156564"/>
      <w:bookmarkEnd w:id="492"/>
      <w:r>
        <w:rPr>
          <w:rFonts w:ascii="Times New Roman" w:eastAsia="仿宋"/>
          <w:sz w:val="28"/>
          <w:szCs w:val="28"/>
        </w:rPr>
        <w:t xml:space="preserve">公司在运行过程，应依据当前环境保护管理要求，分别制定公司内部的环境管理制度： </w:t>
      </w:r>
    </w:p>
    <w:p w14:paraId="6DD97C73">
      <w:pPr>
        <w:snapToGrid w:val="0"/>
        <w:spacing w:line="500" w:lineRule="exact"/>
        <w:ind w:firstLine="465"/>
        <w:textAlignment w:val="baseline"/>
        <w:rPr>
          <w:rFonts w:ascii="Times New Roman" w:eastAsia="仿宋"/>
          <w:sz w:val="28"/>
          <w:szCs w:val="28"/>
        </w:rPr>
      </w:pPr>
      <w:r>
        <w:rPr>
          <w:rFonts w:ascii="Times New Roman" w:eastAsia="仿宋"/>
          <w:sz w:val="28"/>
          <w:szCs w:val="28"/>
        </w:rPr>
        <w:t>（1）环境影响评价制度。公司在新建、改建、扩建相关工程时，应按《中华人民共和国环境影响评价法》要求，委托有资质环评单位开展环境影响评价工作。</w:t>
      </w:r>
    </w:p>
    <w:p w14:paraId="63A8E821">
      <w:pPr>
        <w:snapToGrid w:val="0"/>
        <w:spacing w:line="500" w:lineRule="exact"/>
        <w:ind w:firstLine="560" w:firstLineChars="200"/>
        <w:textAlignment w:val="baseline"/>
        <w:rPr>
          <w:rFonts w:ascii="Times New Roman" w:eastAsia="仿宋"/>
          <w:sz w:val="28"/>
          <w:szCs w:val="28"/>
        </w:rPr>
      </w:pPr>
      <w:r>
        <w:rPr>
          <w:rFonts w:ascii="Times New Roman" w:eastAsia="仿宋"/>
          <w:sz w:val="28"/>
          <w:szCs w:val="28"/>
        </w:rPr>
        <w:t>（2）“三同时”制度。建设项目需要配套建设的环境保护设施，必须与主体工程同时设计、同时施工、同时投产使用；主体工程完工后，其配套建设的环境保护设施必须与主体工程同时投入运行。待建设项目稳定运行后，建设单位应向审批该建设项目环评文件的环境保护行政主管部门，申请该建设项目需要配套建设的环境保护设施竣工验收。</w:t>
      </w:r>
    </w:p>
    <w:p w14:paraId="5EBB8565">
      <w:pPr>
        <w:snapToGrid w:val="0"/>
        <w:spacing w:line="500" w:lineRule="exact"/>
        <w:ind w:firstLine="465"/>
        <w:textAlignment w:val="baseline"/>
        <w:rPr>
          <w:rFonts w:ascii="Times New Roman" w:eastAsia="仿宋"/>
          <w:sz w:val="28"/>
          <w:szCs w:val="28"/>
        </w:rPr>
      </w:pPr>
      <w:r>
        <w:rPr>
          <w:rFonts w:ascii="Times New Roman" w:eastAsia="仿宋"/>
          <w:sz w:val="28"/>
          <w:szCs w:val="28"/>
        </w:rPr>
        <w:t>（3）排污许可证制度。公司投运后，为了控制和减少污染物排放，规范排污许可行为，应按《排污许可证管理条例》规定申请领取排污许可证。</w:t>
      </w:r>
    </w:p>
    <w:p w14:paraId="500BC535">
      <w:pPr>
        <w:snapToGrid w:val="0"/>
        <w:spacing w:line="500" w:lineRule="exact"/>
        <w:ind w:firstLine="465"/>
        <w:textAlignment w:val="baseline"/>
        <w:rPr>
          <w:rFonts w:ascii="Times New Roman" w:eastAsia="仿宋"/>
          <w:sz w:val="28"/>
          <w:szCs w:val="28"/>
        </w:rPr>
      </w:pPr>
      <w:r>
        <w:rPr>
          <w:rFonts w:ascii="Times New Roman" w:eastAsia="仿宋"/>
          <w:sz w:val="28"/>
          <w:szCs w:val="28"/>
        </w:rPr>
        <w:t>（4）排污收费制度。公司运行过程，应依据《排污费征收使用管理条例》等国家法律和有关规定按标准交纳费用；《排污费核定通知》规定，排污者必须于每年的1月15日前向环境监察部门办理排污申报登记手续。</w:t>
      </w:r>
    </w:p>
    <w:p w14:paraId="5D4534A9">
      <w:pPr>
        <w:spacing w:line="500" w:lineRule="exact"/>
        <w:ind w:firstLine="560" w:firstLineChars="200"/>
        <w:rPr>
          <w:rFonts w:ascii="Times New Roman" w:eastAsia="仿宋"/>
          <w:snapToGrid w:val="0"/>
          <w:sz w:val="28"/>
          <w:szCs w:val="28"/>
        </w:rPr>
      </w:pPr>
      <w:r>
        <w:rPr>
          <w:rFonts w:ascii="Times New Roman" w:eastAsia="仿宋"/>
          <w:sz w:val="28"/>
          <w:szCs w:val="28"/>
        </w:rPr>
        <w:t>（5）奖惩制度。公司应设置环境保护奖惩制度，明确相关责任人和职责与权利，并落实《最高人民法院、最高人民检察院关于办理环境污染刑事案件适用法律若干问题的解释》相关要求。</w:t>
      </w:r>
    </w:p>
    <w:p w14:paraId="07C6697F">
      <w:pPr>
        <w:pStyle w:val="6"/>
        <w:keepLines w:val="0"/>
        <w:tabs>
          <w:tab w:val="left" w:pos="851"/>
        </w:tabs>
        <w:spacing w:before="0" w:after="120" w:afterLines="50" w:line="500" w:lineRule="exact"/>
        <w:rPr>
          <w:rFonts w:ascii="Times New Roman" w:eastAsia="仿宋"/>
          <w:spacing w:val="6"/>
          <w:sz w:val="28"/>
          <w:szCs w:val="20"/>
        </w:rPr>
      </w:pPr>
      <w:r>
        <w:rPr>
          <w:rFonts w:hint="eastAsia" w:ascii="Times New Roman" w:eastAsia="仿宋"/>
          <w:spacing w:val="6"/>
          <w:sz w:val="28"/>
          <w:szCs w:val="20"/>
        </w:rPr>
        <w:t>8</w:t>
      </w:r>
      <w:r>
        <w:rPr>
          <w:rFonts w:ascii="Times New Roman" w:eastAsia="仿宋"/>
          <w:spacing w:val="6"/>
          <w:sz w:val="28"/>
          <w:szCs w:val="20"/>
        </w:rPr>
        <w:t>.1.4环境管理机构</w:t>
      </w:r>
    </w:p>
    <w:p w14:paraId="61C13833">
      <w:pPr>
        <w:spacing w:line="500" w:lineRule="exact"/>
        <w:ind w:firstLine="560" w:firstLineChars="200"/>
        <w:rPr>
          <w:rFonts w:ascii="Times New Roman" w:eastAsia="仿宋"/>
          <w:snapToGrid w:val="0"/>
          <w:sz w:val="28"/>
          <w:szCs w:val="28"/>
        </w:rPr>
      </w:pPr>
      <w:bookmarkStart w:id="493" w:name="_Toc170530521"/>
      <w:bookmarkStart w:id="494" w:name="_Toc227951124"/>
      <w:bookmarkStart w:id="495" w:name="_Toc240859439"/>
      <w:bookmarkStart w:id="496" w:name="_Toc33434094"/>
      <w:bookmarkStart w:id="497" w:name="_Toc105743761"/>
      <w:bookmarkStart w:id="498" w:name="_Toc113810251"/>
      <w:bookmarkStart w:id="499" w:name="_Toc200708057"/>
      <w:bookmarkStart w:id="500" w:name="_Toc97911038"/>
      <w:bookmarkStart w:id="501" w:name="_Toc48125369"/>
      <w:bookmarkStart w:id="502" w:name="_Toc236536332"/>
      <w:bookmarkStart w:id="503" w:name="_Toc238363509"/>
      <w:r>
        <w:rPr>
          <w:rFonts w:ascii="Times New Roman" w:eastAsia="仿宋"/>
          <w:snapToGrid w:val="0"/>
          <w:sz w:val="28"/>
          <w:szCs w:val="28"/>
        </w:rPr>
        <w:t>为使本工程项目建设实现全过程“守法合规”，项目投产后，公司法人代表为公司环境行为的第一负责人，成立以负责生产的副总经理分管环保工作、公司EHS部为环境管理具体职能部门，并负责环保治理设施运行管理。</w:t>
      </w:r>
    </w:p>
    <w:p w14:paraId="550D877B">
      <w:pPr>
        <w:spacing w:line="500" w:lineRule="exact"/>
        <w:ind w:firstLine="560" w:firstLineChars="200"/>
        <w:rPr>
          <w:rFonts w:ascii="Times New Roman" w:eastAsia="仿宋"/>
          <w:snapToGrid w:val="0"/>
          <w:sz w:val="28"/>
          <w:szCs w:val="28"/>
        </w:rPr>
      </w:pPr>
      <w:r>
        <w:rPr>
          <w:rFonts w:ascii="Times New Roman" w:eastAsia="仿宋"/>
          <w:snapToGrid w:val="0"/>
          <w:sz w:val="28"/>
          <w:szCs w:val="28"/>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bookmarkEnd w:id="493"/>
      <w:bookmarkEnd w:id="494"/>
      <w:bookmarkEnd w:id="495"/>
      <w:bookmarkEnd w:id="496"/>
      <w:bookmarkEnd w:id="497"/>
      <w:bookmarkEnd w:id="498"/>
      <w:bookmarkEnd w:id="499"/>
      <w:bookmarkEnd w:id="500"/>
      <w:bookmarkEnd w:id="501"/>
      <w:bookmarkEnd w:id="502"/>
      <w:bookmarkEnd w:id="503"/>
    </w:p>
    <w:p w14:paraId="3318977D">
      <w:pPr>
        <w:pStyle w:val="6"/>
        <w:keepLines w:val="0"/>
        <w:tabs>
          <w:tab w:val="left" w:pos="851"/>
        </w:tabs>
        <w:spacing w:before="0" w:after="120" w:afterLines="50" w:line="500" w:lineRule="exact"/>
        <w:rPr>
          <w:rFonts w:ascii="Times New Roman" w:eastAsia="仿宋"/>
          <w:spacing w:val="6"/>
          <w:sz w:val="28"/>
          <w:szCs w:val="20"/>
        </w:rPr>
      </w:pPr>
      <w:bookmarkStart w:id="504" w:name="_Toc446488283"/>
      <w:r>
        <w:rPr>
          <w:rFonts w:hint="eastAsia" w:ascii="Times New Roman" w:eastAsia="仿宋"/>
          <w:spacing w:val="6"/>
          <w:sz w:val="28"/>
          <w:szCs w:val="20"/>
        </w:rPr>
        <w:t>8</w:t>
      </w:r>
      <w:r>
        <w:rPr>
          <w:rFonts w:ascii="Times New Roman" w:eastAsia="仿宋"/>
          <w:spacing w:val="6"/>
          <w:sz w:val="28"/>
          <w:szCs w:val="20"/>
        </w:rPr>
        <w:t>.1.5环境管理</w:t>
      </w:r>
      <w:bookmarkEnd w:id="504"/>
      <w:r>
        <w:rPr>
          <w:rFonts w:ascii="Times New Roman" w:eastAsia="仿宋"/>
          <w:spacing w:val="6"/>
          <w:sz w:val="28"/>
          <w:szCs w:val="20"/>
        </w:rPr>
        <w:t>台账</w:t>
      </w:r>
    </w:p>
    <w:p w14:paraId="021F52A3">
      <w:pPr>
        <w:snapToGrid w:val="0"/>
        <w:spacing w:line="500" w:lineRule="exact"/>
        <w:ind w:firstLine="465"/>
        <w:textAlignment w:val="baseline"/>
        <w:rPr>
          <w:rFonts w:ascii="Times New Roman" w:eastAsia="仿宋"/>
          <w:sz w:val="28"/>
          <w:szCs w:val="28"/>
        </w:rPr>
      </w:pPr>
      <w:r>
        <w:rPr>
          <w:rFonts w:ascii="Times New Roman" w:eastAsia="仿宋"/>
          <w:sz w:val="28"/>
          <w:szCs w:val="28"/>
        </w:rPr>
        <w:t>（1）废气、废水处理设施</w:t>
      </w:r>
    </w:p>
    <w:p w14:paraId="591EA593">
      <w:pPr>
        <w:snapToGrid w:val="0"/>
        <w:spacing w:line="500" w:lineRule="exact"/>
        <w:ind w:firstLine="465"/>
        <w:textAlignment w:val="baseline"/>
        <w:rPr>
          <w:rFonts w:ascii="Times New Roman" w:eastAsia="仿宋"/>
          <w:sz w:val="28"/>
          <w:szCs w:val="28"/>
        </w:rPr>
      </w:pPr>
      <w:r>
        <w:rPr>
          <w:rFonts w:ascii="Times New Roman" w:eastAsia="仿宋"/>
          <w:sz w:val="28"/>
          <w:szCs w:val="28"/>
        </w:rPr>
        <w:t>落实专人负责制度，废气、废水处理设施需由专人维护保养并挂牌明示。做好废气、废水设施的日常运行记录，建立健全管理台帐，了解处理设施的动态信息，确保废气、废水处理设施的正常运行。</w:t>
      </w:r>
    </w:p>
    <w:p w14:paraId="2A4588E9">
      <w:pPr>
        <w:spacing w:line="500" w:lineRule="exact"/>
        <w:ind w:firstLine="555"/>
        <w:rPr>
          <w:rFonts w:ascii="Times New Roman" w:eastAsia="仿宋"/>
          <w:sz w:val="28"/>
          <w:szCs w:val="28"/>
        </w:rPr>
      </w:pPr>
      <w:r>
        <w:rPr>
          <w:rFonts w:ascii="Times New Roman" w:eastAsia="仿宋"/>
          <w:sz w:val="28"/>
          <w:szCs w:val="28"/>
        </w:rPr>
        <w:t>（2）固废规范管理台账</w:t>
      </w:r>
    </w:p>
    <w:p w14:paraId="474DB594">
      <w:pPr>
        <w:spacing w:line="500" w:lineRule="exact"/>
        <w:ind w:firstLine="555"/>
        <w:rPr>
          <w:rFonts w:ascii="Times New Roman" w:eastAsia="仿宋"/>
          <w:sz w:val="28"/>
          <w:szCs w:val="28"/>
        </w:rPr>
      </w:pPr>
      <w:r>
        <w:rPr>
          <w:rFonts w:ascii="Times New Roman" w:eastAsia="仿宋"/>
          <w:sz w:val="28"/>
          <w:szCs w:val="28"/>
        </w:rPr>
        <w:t>公司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14:paraId="7E06835F">
      <w:pPr>
        <w:pStyle w:val="5"/>
        <w:numPr>
          <w:ilvl w:val="0"/>
          <w:numId w:val="0"/>
        </w:numPr>
        <w:rPr>
          <w:rFonts w:eastAsia="仿宋"/>
          <w:color w:val="auto"/>
        </w:rPr>
      </w:pPr>
      <w:bookmarkStart w:id="505" w:name="_Toc182553837"/>
      <w:r>
        <w:rPr>
          <w:rFonts w:hint="eastAsia" w:eastAsia="仿宋"/>
          <w:color w:val="auto"/>
        </w:rPr>
        <w:t>8</w:t>
      </w:r>
      <w:r>
        <w:rPr>
          <w:rFonts w:eastAsia="仿宋"/>
          <w:color w:val="auto"/>
        </w:rPr>
        <w:t>.2污染物排放清单</w:t>
      </w:r>
      <w:bookmarkEnd w:id="505"/>
    </w:p>
    <w:p w14:paraId="2EC3D1B0">
      <w:pPr>
        <w:snapToGrid w:val="0"/>
        <w:spacing w:line="500" w:lineRule="exact"/>
        <w:ind w:firstLine="465"/>
        <w:textAlignment w:val="baseline"/>
        <w:rPr>
          <w:rFonts w:ascii="Times New Roman" w:eastAsia="仿宋"/>
          <w:sz w:val="28"/>
          <w:szCs w:val="28"/>
        </w:rPr>
      </w:pPr>
      <w:r>
        <w:rPr>
          <w:rFonts w:ascii="Times New Roman" w:eastAsia="仿宋"/>
          <w:sz w:val="28"/>
          <w:szCs w:val="28"/>
        </w:rPr>
        <w:t>本项目污染物排放清单如下：</w:t>
      </w:r>
    </w:p>
    <w:p w14:paraId="5E42886C">
      <w:pPr>
        <w:spacing w:line="500" w:lineRule="exact"/>
        <w:jc w:val="center"/>
        <w:rPr>
          <w:rFonts w:ascii="Times New Roman" w:eastAsia="仿宋"/>
          <w:b/>
          <w:bCs/>
        </w:rPr>
        <w:sectPr>
          <w:pgSz w:w="11906" w:h="16838"/>
          <w:pgMar w:top="1843" w:right="1616" w:bottom="1440" w:left="1678" w:header="1191" w:footer="992" w:gutter="0"/>
          <w:cols w:space="720" w:num="1"/>
          <w:docGrid w:linePitch="312" w:charSpace="0"/>
        </w:sectPr>
      </w:pPr>
    </w:p>
    <w:p w14:paraId="64220A5C">
      <w:pPr>
        <w:spacing w:line="500" w:lineRule="exact"/>
        <w:jc w:val="center"/>
        <w:rPr>
          <w:rFonts w:ascii="Times New Roman" w:eastAsia="仿宋"/>
          <w:b/>
          <w:bCs/>
        </w:rPr>
      </w:pPr>
      <w:r>
        <w:rPr>
          <w:rFonts w:ascii="Times New Roman" w:eastAsia="仿宋"/>
          <w:b/>
          <w:bCs/>
        </w:rPr>
        <w:t>表8.2-1  本项目</w:t>
      </w:r>
      <w:r>
        <w:rPr>
          <w:rFonts w:hint="eastAsia" w:ascii="Times New Roman" w:eastAsia="仿宋"/>
          <w:b/>
          <w:bCs/>
        </w:rPr>
        <w:t>建成后</w:t>
      </w:r>
      <w:r>
        <w:rPr>
          <w:rFonts w:ascii="Times New Roman" w:eastAsia="仿宋"/>
          <w:b/>
          <w:bCs/>
        </w:rPr>
        <w:t>污染物排放清单</w:t>
      </w:r>
    </w:p>
    <w:tbl>
      <w:tblPr>
        <w:tblStyle w:val="87"/>
        <w:tblW w:w="14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75" w:type="dxa"/>
        </w:tblCellMar>
      </w:tblPr>
      <w:tblGrid>
        <w:gridCol w:w="571"/>
        <w:gridCol w:w="314"/>
        <w:gridCol w:w="528"/>
        <w:gridCol w:w="1276"/>
        <w:gridCol w:w="1139"/>
        <w:gridCol w:w="1418"/>
        <w:gridCol w:w="2423"/>
        <w:gridCol w:w="1164"/>
        <w:gridCol w:w="1008"/>
        <w:gridCol w:w="891"/>
        <w:gridCol w:w="888"/>
        <w:gridCol w:w="1412"/>
        <w:gridCol w:w="1002"/>
      </w:tblGrid>
      <w:tr w14:paraId="0F81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1413" w:type="dxa"/>
            <w:gridSpan w:val="3"/>
            <w:vMerge w:val="restart"/>
            <w:vAlign w:val="center"/>
          </w:tcPr>
          <w:p w14:paraId="5D7488CC">
            <w:pPr>
              <w:jc w:val="center"/>
              <w:rPr>
                <w:rFonts w:ascii="Times New Roman" w:eastAsia="仿宋"/>
                <w:szCs w:val="21"/>
              </w:rPr>
            </w:pPr>
            <w:r>
              <w:rPr>
                <w:rFonts w:hint="eastAsia" w:ascii="Times New Roman" w:eastAsia="仿宋"/>
                <w:szCs w:val="21"/>
              </w:rPr>
              <w:t>种类</w:t>
            </w:r>
          </w:p>
        </w:tc>
        <w:tc>
          <w:tcPr>
            <w:tcW w:w="1276" w:type="dxa"/>
            <w:vMerge w:val="restart"/>
            <w:vAlign w:val="center"/>
          </w:tcPr>
          <w:p w14:paraId="60FBF79D">
            <w:pPr>
              <w:jc w:val="center"/>
              <w:rPr>
                <w:rFonts w:ascii="Times New Roman" w:eastAsia="仿宋"/>
                <w:szCs w:val="21"/>
              </w:rPr>
            </w:pPr>
            <w:r>
              <w:rPr>
                <w:rFonts w:hint="eastAsia" w:ascii="Times New Roman" w:eastAsia="仿宋"/>
                <w:szCs w:val="21"/>
              </w:rPr>
              <w:t>污染物名称</w:t>
            </w:r>
          </w:p>
        </w:tc>
        <w:tc>
          <w:tcPr>
            <w:tcW w:w="1139" w:type="dxa"/>
            <w:vMerge w:val="restart"/>
            <w:vAlign w:val="center"/>
          </w:tcPr>
          <w:p w14:paraId="64C8E9C4">
            <w:pPr>
              <w:jc w:val="center"/>
              <w:rPr>
                <w:rFonts w:ascii="Times New Roman" w:eastAsia="仿宋"/>
                <w:szCs w:val="21"/>
              </w:rPr>
            </w:pPr>
            <w:r>
              <w:rPr>
                <w:rFonts w:hint="eastAsia" w:ascii="Times New Roman" w:eastAsia="仿宋"/>
                <w:szCs w:val="21"/>
              </w:rPr>
              <w:t>拟采取的环保措施及主要运行参数</w:t>
            </w:r>
          </w:p>
        </w:tc>
        <w:tc>
          <w:tcPr>
            <w:tcW w:w="1418" w:type="dxa"/>
            <w:vMerge w:val="restart"/>
            <w:vAlign w:val="center"/>
          </w:tcPr>
          <w:p w14:paraId="6F891924">
            <w:pPr>
              <w:jc w:val="center"/>
              <w:rPr>
                <w:rFonts w:ascii="Times New Roman" w:eastAsia="仿宋"/>
                <w:szCs w:val="21"/>
              </w:rPr>
            </w:pPr>
            <w:r>
              <w:rPr>
                <w:rFonts w:hint="eastAsia" w:ascii="Times New Roman" w:eastAsia="仿宋"/>
                <w:szCs w:val="21"/>
              </w:rPr>
              <w:t>排放浓度</w:t>
            </w:r>
          </w:p>
        </w:tc>
        <w:tc>
          <w:tcPr>
            <w:tcW w:w="4595" w:type="dxa"/>
            <w:gridSpan w:val="3"/>
            <w:vAlign w:val="center"/>
          </w:tcPr>
          <w:p w14:paraId="0BBCB7D6">
            <w:pPr>
              <w:jc w:val="center"/>
              <w:rPr>
                <w:rFonts w:ascii="Times New Roman" w:eastAsia="仿宋"/>
                <w:szCs w:val="21"/>
              </w:rPr>
            </w:pPr>
            <w:r>
              <w:rPr>
                <w:rFonts w:hint="eastAsia" w:ascii="Times New Roman" w:eastAsia="仿宋"/>
                <w:szCs w:val="21"/>
              </w:rPr>
              <w:t>执行标准</w:t>
            </w:r>
          </w:p>
        </w:tc>
        <w:tc>
          <w:tcPr>
            <w:tcW w:w="1779" w:type="dxa"/>
            <w:gridSpan w:val="2"/>
            <w:vAlign w:val="center"/>
          </w:tcPr>
          <w:p w14:paraId="72A4D6A1">
            <w:pPr>
              <w:jc w:val="center"/>
              <w:rPr>
                <w:rFonts w:ascii="Times New Roman" w:eastAsia="仿宋"/>
                <w:szCs w:val="21"/>
              </w:rPr>
            </w:pPr>
            <w:r>
              <w:rPr>
                <w:rFonts w:hint="eastAsia" w:ascii="Times New Roman" w:eastAsia="仿宋"/>
                <w:szCs w:val="21"/>
              </w:rPr>
              <w:t>排放量t/a</w:t>
            </w:r>
          </w:p>
        </w:tc>
        <w:tc>
          <w:tcPr>
            <w:tcW w:w="2414" w:type="dxa"/>
            <w:gridSpan w:val="2"/>
            <w:vMerge w:val="restart"/>
            <w:vAlign w:val="center"/>
          </w:tcPr>
          <w:p w14:paraId="054CBAEB">
            <w:pPr>
              <w:jc w:val="center"/>
              <w:rPr>
                <w:rFonts w:ascii="Times New Roman" w:eastAsia="仿宋"/>
                <w:szCs w:val="21"/>
              </w:rPr>
            </w:pPr>
            <w:r>
              <w:rPr>
                <w:rFonts w:hint="eastAsia" w:ascii="Times New Roman" w:eastAsia="仿宋"/>
                <w:szCs w:val="21"/>
              </w:rPr>
              <w:t>总量控制t/a</w:t>
            </w:r>
          </w:p>
        </w:tc>
      </w:tr>
      <w:tr w14:paraId="5B62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10" w:hRule="atLeast"/>
          <w:jc w:val="center"/>
        </w:trPr>
        <w:tc>
          <w:tcPr>
            <w:tcW w:w="1413" w:type="dxa"/>
            <w:gridSpan w:val="3"/>
            <w:vMerge w:val="continue"/>
            <w:vAlign w:val="center"/>
          </w:tcPr>
          <w:p w14:paraId="7D58F8AF">
            <w:pPr>
              <w:jc w:val="center"/>
              <w:rPr>
                <w:rFonts w:ascii="Times New Roman" w:eastAsia="仿宋"/>
                <w:szCs w:val="21"/>
              </w:rPr>
            </w:pPr>
          </w:p>
        </w:tc>
        <w:tc>
          <w:tcPr>
            <w:tcW w:w="1276" w:type="dxa"/>
            <w:vMerge w:val="continue"/>
            <w:vAlign w:val="center"/>
          </w:tcPr>
          <w:p w14:paraId="7AB26343">
            <w:pPr>
              <w:jc w:val="center"/>
              <w:rPr>
                <w:rFonts w:ascii="Times New Roman" w:eastAsia="仿宋"/>
                <w:szCs w:val="21"/>
              </w:rPr>
            </w:pPr>
          </w:p>
        </w:tc>
        <w:tc>
          <w:tcPr>
            <w:tcW w:w="1139" w:type="dxa"/>
            <w:vMerge w:val="continue"/>
            <w:vAlign w:val="center"/>
          </w:tcPr>
          <w:p w14:paraId="5B1B2285">
            <w:pPr>
              <w:jc w:val="center"/>
              <w:rPr>
                <w:rFonts w:ascii="Times New Roman" w:eastAsia="仿宋"/>
                <w:szCs w:val="21"/>
              </w:rPr>
            </w:pPr>
          </w:p>
        </w:tc>
        <w:tc>
          <w:tcPr>
            <w:tcW w:w="1418" w:type="dxa"/>
            <w:vMerge w:val="continue"/>
            <w:vAlign w:val="center"/>
          </w:tcPr>
          <w:p w14:paraId="2B320AAD">
            <w:pPr>
              <w:jc w:val="center"/>
              <w:rPr>
                <w:rFonts w:ascii="Times New Roman" w:eastAsia="仿宋"/>
                <w:szCs w:val="21"/>
              </w:rPr>
            </w:pPr>
          </w:p>
        </w:tc>
        <w:tc>
          <w:tcPr>
            <w:tcW w:w="2423" w:type="dxa"/>
            <w:vMerge w:val="restart"/>
            <w:vAlign w:val="center"/>
          </w:tcPr>
          <w:p w14:paraId="2384274C">
            <w:pPr>
              <w:jc w:val="center"/>
              <w:rPr>
                <w:rFonts w:ascii="Times New Roman" w:eastAsia="仿宋"/>
                <w:szCs w:val="21"/>
              </w:rPr>
            </w:pPr>
            <w:r>
              <w:rPr>
                <w:rFonts w:hint="eastAsia" w:ascii="Times New Roman" w:eastAsia="仿宋"/>
                <w:szCs w:val="21"/>
              </w:rPr>
              <w:t>标准名称</w:t>
            </w:r>
          </w:p>
        </w:tc>
        <w:tc>
          <w:tcPr>
            <w:tcW w:w="2172" w:type="dxa"/>
            <w:gridSpan w:val="2"/>
            <w:vAlign w:val="center"/>
          </w:tcPr>
          <w:p w14:paraId="069E70DA">
            <w:pPr>
              <w:jc w:val="center"/>
              <w:rPr>
                <w:rFonts w:ascii="Times New Roman" w:eastAsia="仿宋"/>
                <w:szCs w:val="21"/>
              </w:rPr>
            </w:pPr>
            <w:r>
              <w:rPr>
                <w:rFonts w:hint="eastAsia" w:ascii="Times New Roman" w:eastAsia="仿宋"/>
                <w:szCs w:val="21"/>
              </w:rPr>
              <w:t>标准值</w:t>
            </w:r>
          </w:p>
        </w:tc>
        <w:tc>
          <w:tcPr>
            <w:tcW w:w="891" w:type="dxa"/>
            <w:vMerge w:val="restart"/>
            <w:vAlign w:val="center"/>
          </w:tcPr>
          <w:p w14:paraId="7ACCB191">
            <w:pPr>
              <w:jc w:val="center"/>
              <w:rPr>
                <w:rFonts w:ascii="Times New Roman" w:eastAsia="仿宋"/>
                <w:szCs w:val="21"/>
              </w:rPr>
            </w:pPr>
            <w:r>
              <w:rPr>
                <w:rFonts w:hint="eastAsia" w:ascii="Times New Roman" w:eastAsia="仿宋"/>
                <w:szCs w:val="21"/>
              </w:rPr>
              <w:t>接管量</w:t>
            </w:r>
          </w:p>
        </w:tc>
        <w:tc>
          <w:tcPr>
            <w:tcW w:w="888" w:type="dxa"/>
            <w:vMerge w:val="restart"/>
            <w:vAlign w:val="center"/>
          </w:tcPr>
          <w:p w14:paraId="6F521B9E">
            <w:pPr>
              <w:jc w:val="center"/>
              <w:rPr>
                <w:rFonts w:ascii="Times New Roman" w:eastAsia="仿宋"/>
                <w:szCs w:val="21"/>
              </w:rPr>
            </w:pPr>
            <w:r>
              <w:rPr>
                <w:rFonts w:hint="eastAsia" w:ascii="Times New Roman" w:eastAsia="仿宋"/>
                <w:szCs w:val="21"/>
              </w:rPr>
              <w:t>排入外环境量</w:t>
            </w:r>
          </w:p>
        </w:tc>
        <w:tc>
          <w:tcPr>
            <w:tcW w:w="2414" w:type="dxa"/>
            <w:gridSpan w:val="2"/>
            <w:vMerge w:val="continue"/>
            <w:vAlign w:val="center"/>
          </w:tcPr>
          <w:p w14:paraId="69114DD2">
            <w:pPr>
              <w:jc w:val="center"/>
              <w:rPr>
                <w:rFonts w:ascii="Times New Roman" w:eastAsia="仿宋"/>
                <w:szCs w:val="21"/>
              </w:rPr>
            </w:pPr>
          </w:p>
        </w:tc>
      </w:tr>
      <w:tr w14:paraId="7E3B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53" w:hRule="atLeast"/>
          <w:jc w:val="center"/>
        </w:trPr>
        <w:tc>
          <w:tcPr>
            <w:tcW w:w="1413" w:type="dxa"/>
            <w:gridSpan w:val="3"/>
            <w:vMerge w:val="continue"/>
            <w:vAlign w:val="center"/>
          </w:tcPr>
          <w:p w14:paraId="1CA75143">
            <w:pPr>
              <w:jc w:val="center"/>
              <w:rPr>
                <w:rFonts w:ascii="Times New Roman" w:eastAsia="仿宋"/>
                <w:szCs w:val="21"/>
              </w:rPr>
            </w:pPr>
          </w:p>
        </w:tc>
        <w:tc>
          <w:tcPr>
            <w:tcW w:w="1276" w:type="dxa"/>
            <w:vMerge w:val="continue"/>
            <w:vAlign w:val="center"/>
          </w:tcPr>
          <w:p w14:paraId="0DE7AB3B">
            <w:pPr>
              <w:jc w:val="center"/>
              <w:rPr>
                <w:rFonts w:ascii="Times New Roman" w:eastAsia="仿宋"/>
                <w:szCs w:val="21"/>
              </w:rPr>
            </w:pPr>
          </w:p>
        </w:tc>
        <w:tc>
          <w:tcPr>
            <w:tcW w:w="1139" w:type="dxa"/>
            <w:vMerge w:val="continue"/>
            <w:vAlign w:val="center"/>
          </w:tcPr>
          <w:p w14:paraId="318EC1D1">
            <w:pPr>
              <w:jc w:val="center"/>
              <w:rPr>
                <w:rFonts w:ascii="Times New Roman" w:eastAsia="仿宋"/>
                <w:szCs w:val="21"/>
              </w:rPr>
            </w:pPr>
          </w:p>
        </w:tc>
        <w:tc>
          <w:tcPr>
            <w:tcW w:w="1418" w:type="dxa"/>
            <w:vMerge w:val="continue"/>
            <w:vAlign w:val="center"/>
          </w:tcPr>
          <w:p w14:paraId="3A8C8CAB">
            <w:pPr>
              <w:jc w:val="center"/>
              <w:rPr>
                <w:rFonts w:ascii="Times New Roman" w:eastAsia="仿宋"/>
                <w:szCs w:val="21"/>
              </w:rPr>
            </w:pPr>
          </w:p>
        </w:tc>
        <w:tc>
          <w:tcPr>
            <w:tcW w:w="2423" w:type="dxa"/>
            <w:vMerge w:val="continue"/>
            <w:vAlign w:val="center"/>
          </w:tcPr>
          <w:p w14:paraId="2829CA81">
            <w:pPr>
              <w:jc w:val="center"/>
              <w:rPr>
                <w:rFonts w:ascii="Times New Roman" w:eastAsia="仿宋"/>
                <w:szCs w:val="21"/>
              </w:rPr>
            </w:pPr>
          </w:p>
        </w:tc>
        <w:tc>
          <w:tcPr>
            <w:tcW w:w="1164" w:type="dxa"/>
            <w:vAlign w:val="center"/>
          </w:tcPr>
          <w:p w14:paraId="707F8941">
            <w:pPr>
              <w:jc w:val="center"/>
              <w:rPr>
                <w:rFonts w:ascii="Times New Roman" w:eastAsia="仿宋"/>
                <w:szCs w:val="21"/>
              </w:rPr>
            </w:pPr>
            <w:r>
              <w:rPr>
                <w:rFonts w:hint="eastAsia" w:ascii="Times New Roman" w:eastAsia="仿宋"/>
                <w:szCs w:val="21"/>
              </w:rPr>
              <w:t>浓度</w:t>
            </w:r>
          </w:p>
        </w:tc>
        <w:tc>
          <w:tcPr>
            <w:tcW w:w="1008" w:type="dxa"/>
            <w:vAlign w:val="center"/>
          </w:tcPr>
          <w:p w14:paraId="1D8D5F5D">
            <w:pPr>
              <w:jc w:val="center"/>
              <w:rPr>
                <w:rFonts w:ascii="Times New Roman" w:eastAsia="仿宋"/>
                <w:szCs w:val="21"/>
              </w:rPr>
            </w:pPr>
            <w:r>
              <w:rPr>
                <w:rFonts w:hint="eastAsia" w:ascii="Times New Roman" w:eastAsia="仿宋"/>
                <w:szCs w:val="21"/>
              </w:rPr>
              <w:t>速率</w:t>
            </w:r>
          </w:p>
        </w:tc>
        <w:tc>
          <w:tcPr>
            <w:tcW w:w="891" w:type="dxa"/>
            <w:vMerge w:val="continue"/>
            <w:vAlign w:val="center"/>
          </w:tcPr>
          <w:p w14:paraId="7B475071">
            <w:pPr>
              <w:jc w:val="center"/>
              <w:rPr>
                <w:rFonts w:ascii="Times New Roman" w:eastAsia="仿宋"/>
                <w:szCs w:val="21"/>
              </w:rPr>
            </w:pPr>
          </w:p>
        </w:tc>
        <w:tc>
          <w:tcPr>
            <w:tcW w:w="888" w:type="dxa"/>
            <w:vMerge w:val="continue"/>
            <w:vAlign w:val="center"/>
          </w:tcPr>
          <w:p w14:paraId="283BDDF0">
            <w:pPr>
              <w:jc w:val="center"/>
              <w:rPr>
                <w:rFonts w:ascii="Times New Roman" w:eastAsia="仿宋"/>
                <w:szCs w:val="21"/>
              </w:rPr>
            </w:pPr>
          </w:p>
        </w:tc>
        <w:tc>
          <w:tcPr>
            <w:tcW w:w="1412" w:type="dxa"/>
            <w:vAlign w:val="center"/>
          </w:tcPr>
          <w:p w14:paraId="74D28E5E">
            <w:pPr>
              <w:jc w:val="center"/>
              <w:rPr>
                <w:rFonts w:ascii="Times New Roman" w:eastAsia="仿宋"/>
                <w:szCs w:val="21"/>
              </w:rPr>
            </w:pPr>
            <w:r>
              <w:rPr>
                <w:rFonts w:hint="eastAsia" w:ascii="Times New Roman" w:eastAsia="仿宋"/>
                <w:szCs w:val="21"/>
              </w:rPr>
              <w:t>控制总量</w:t>
            </w:r>
          </w:p>
        </w:tc>
        <w:tc>
          <w:tcPr>
            <w:tcW w:w="1002" w:type="dxa"/>
            <w:vAlign w:val="center"/>
          </w:tcPr>
          <w:p w14:paraId="4A3ECB6D">
            <w:pPr>
              <w:jc w:val="center"/>
              <w:rPr>
                <w:rFonts w:ascii="Times New Roman" w:eastAsia="仿宋"/>
                <w:szCs w:val="21"/>
              </w:rPr>
            </w:pPr>
            <w:r>
              <w:rPr>
                <w:rFonts w:hint="eastAsia" w:ascii="Times New Roman" w:eastAsia="仿宋"/>
                <w:szCs w:val="21"/>
              </w:rPr>
              <w:t>考核总量</w:t>
            </w:r>
          </w:p>
        </w:tc>
      </w:tr>
      <w:tr w14:paraId="0694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restart"/>
            <w:vAlign w:val="center"/>
          </w:tcPr>
          <w:p w14:paraId="77303CE9">
            <w:pPr>
              <w:jc w:val="center"/>
              <w:rPr>
                <w:rFonts w:ascii="Times New Roman" w:eastAsia="仿宋"/>
                <w:szCs w:val="21"/>
              </w:rPr>
            </w:pPr>
            <w:r>
              <w:rPr>
                <w:rFonts w:hint="eastAsia" w:ascii="Times New Roman" w:eastAsia="仿宋"/>
                <w:szCs w:val="21"/>
              </w:rPr>
              <w:t>废水</w:t>
            </w:r>
          </w:p>
        </w:tc>
        <w:tc>
          <w:tcPr>
            <w:tcW w:w="842" w:type="dxa"/>
            <w:gridSpan w:val="2"/>
            <w:vMerge w:val="restart"/>
            <w:vAlign w:val="center"/>
          </w:tcPr>
          <w:p w14:paraId="29418FD2">
            <w:pPr>
              <w:jc w:val="center"/>
              <w:rPr>
                <w:rFonts w:ascii="Times New Roman" w:eastAsia="仿宋"/>
                <w:szCs w:val="21"/>
              </w:rPr>
            </w:pPr>
            <w:r>
              <w:rPr>
                <w:rFonts w:hint="eastAsia" w:ascii="Times New Roman" w:eastAsia="仿宋"/>
                <w:szCs w:val="21"/>
              </w:rPr>
              <w:t>混合废水</w:t>
            </w:r>
          </w:p>
        </w:tc>
        <w:tc>
          <w:tcPr>
            <w:tcW w:w="1276" w:type="dxa"/>
            <w:vAlign w:val="center"/>
          </w:tcPr>
          <w:p w14:paraId="12EEFB7D">
            <w:pPr>
              <w:jc w:val="center"/>
              <w:rPr>
                <w:rFonts w:ascii="Times New Roman" w:eastAsia="仿宋"/>
                <w:szCs w:val="21"/>
              </w:rPr>
            </w:pPr>
            <w:r>
              <w:rPr>
                <w:rFonts w:hint="eastAsia" w:ascii="Times New Roman" w:eastAsia="仿宋"/>
                <w:szCs w:val="21"/>
              </w:rPr>
              <w:t>排水量</w:t>
            </w:r>
          </w:p>
        </w:tc>
        <w:tc>
          <w:tcPr>
            <w:tcW w:w="1139" w:type="dxa"/>
            <w:vMerge w:val="restart"/>
            <w:vAlign w:val="center"/>
          </w:tcPr>
          <w:p w14:paraId="25404A3D">
            <w:pPr>
              <w:jc w:val="center"/>
              <w:rPr>
                <w:rFonts w:ascii="Times New Roman" w:eastAsia="仿宋"/>
                <w:szCs w:val="21"/>
              </w:rPr>
            </w:pPr>
            <w:r>
              <w:rPr>
                <w:rFonts w:hint="eastAsia" w:ascii="Times New Roman" w:eastAsia="仿宋"/>
                <w:szCs w:val="21"/>
              </w:rPr>
              <w:t>pH调节+混凝+絮凝+沉淀+过滤</w:t>
            </w:r>
          </w:p>
        </w:tc>
        <w:tc>
          <w:tcPr>
            <w:tcW w:w="1418" w:type="dxa"/>
            <w:vAlign w:val="center"/>
          </w:tcPr>
          <w:p w14:paraId="6897E533">
            <w:pPr>
              <w:jc w:val="center"/>
              <w:rPr>
                <w:rFonts w:ascii="Times New Roman" w:eastAsia="仿宋"/>
                <w:szCs w:val="21"/>
              </w:rPr>
            </w:pPr>
            <w:r>
              <w:rPr>
                <w:rFonts w:hint="eastAsia" w:ascii="Times New Roman" w:eastAsia="仿宋"/>
                <w:szCs w:val="21"/>
              </w:rPr>
              <w:t>/</w:t>
            </w:r>
          </w:p>
        </w:tc>
        <w:tc>
          <w:tcPr>
            <w:tcW w:w="2423" w:type="dxa"/>
            <w:vMerge w:val="restart"/>
            <w:vAlign w:val="center"/>
          </w:tcPr>
          <w:p w14:paraId="3D1C264C">
            <w:pPr>
              <w:jc w:val="center"/>
              <w:rPr>
                <w:rFonts w:ascii="Times New Roman" w:eastAsia="仿宋"/>
                <w:szCs w:val="21"/>
              </w:rPr>
            </w:pPr>
            <w:r>
              <w:rPr>
                <w:rFonts w:hint="eastAsia" w:ascii="Times New Roman" w:eastAsia="仿宋"/>
                <w:szCs w:val="21"/>
              </w:rPr>
              <w:t>《污水综合排放标准》（GB8978-1996）、《污水排入城镇下水道水质标准》（GB/T 31962-2015）</w:t>
            </w:r>
          </w:p>
        </w:tc>
        <w:tc>
          <w:tcPr>
            <w:tcW w:w="1164" w:type="dxa"/>
            <w:vAlign w:val="center"/>
          </w:tcPr>
          <w:p w14:paraId="608F1122">
            <w:pPr>
              <w:jc w:val="center"/>
              <w:rPr>
                <w:rFonts w:ascii="Times New Roman" w:eastAsia="仿宋"/>
                <w:szCs w:val="21"/>
              </w:rPr>
            </w:pPr>
            <w:r>
              <w:rPr>
                <w:rFonts w:hint="eastAsia" w:ascii="Times New Roman" w:eastAsia="仿宋"/>
                <w:szCs w:val="21"/>
              </w:rPr>
              <w:t>/</w:t>
            </w:r>
          </w:p>
        </w:tc>
        <w:tc>
          <w:tcPr>
            <w:tcW w:w="1008" w:type="dxa"/>
            <w:vAlign w:val="center"/>
          </w:tcPr>
          <w:p w14:paraId="10D251AB">
            <w:pPr>
              <w:jc w:val="center"/>
              <w:rPr>
                <w:rFonts w:ascii="Times New Roman" w:eastAsia="仿宋"/>
                <w:szCs w:val="21"/>
              </w:rPr>
            </w:pPr>
            <w:r>
              <w:rPr>
                <w:rFonts w:hint="eastAsia" w:ascii="Times New Roman" w:eastAsia="仿宋"/>
                <w:szCs w:val="21"/>
              </w:rPr>
              <w:t>/</w:t>
            </w:r>
          </w:p>
        </w:tc>
        <w:tc>
          <w:tcPr>
            <w:tcW w:w="891" w:type="dxa"/>
            <w:vAlign w:val="center"/>
          </w:tcPr>
          <w:p w14:paraId="7BD9BB8E">
            <w:pPr>
              <w:jc w:val="center"/>
              <w:rPr>
                <w:rFonts w:ascii="Times New Roman" w:eastAsia="仿宋"/>
                <w:szCs w:val="21"/>
              </w:rPr>
            </w:pPr>
            <w:r>
              <w:rPr>
                <w:rFonts w:ascii="Times New Roman" w:eastAsia="仿宋"/>
                <w:szCs w:val="21"/>
              </w:rPr>
              <w:t>2067.4</w:t>
            </w:r>
          </w:p>
        </w:tc>
        <w:tc>
          <w:tcPr>
            <w:tcW w:w="888" w:type="dxa"/>
            <w:vAlign w:val="center"/>
          </w:tcPr>
          <w:p w14:paraId="1C9F5187">
            <w:pPr>
              <w:jc w:val="center"/>
              <w:rPr>
                <w:rFonts w:ascii="Times New Roman" w:eastAsia="仿宋"/>
                <w:szCs w:val="21"/>
              </w:rPr>
            </w:pPr>
            <w:r>
              <w:rPr>
                <w:rFonts w:ascii="Times New Roman" w:eastAsia="仿宋"/>
                <w:szCs w:val="21"/>
              </w:rPr>
              <w:t>2067.4</w:t>
            </w:r>
          </w:p>
        </w:tc>
        <w:tc>
          <w:tcPr>
            <w:tcW w:w="1412" w:type="dxa"/>
            <w:vAlign w:val="center"/>
          </w:tcPr>
          <w:p w14:paraId="6B94E151">
            <w:pPr>
              <w:jc w:val="center"/>
              <w:rPr>
                <w:rFonts w:ascii="Times New Roman" w:eastAsia="仿宋"/>
                <w:szCs w:val="21"/>
              </w:rPr>
            </w:pPr>
            <w:r>
              <w:rPr>
                <w:rFonts w:hint="eastAsia" w:ascii="Times New Roman" w:eastAsia="仿宋"/>
                <w:szCs w:val="21"/>
              </w:rPr>
              <w:t>/</w:t>
            </w:r>
          </w:p>
        </w:tc>
        <w:tc>
          <w:tcPr>
            <w:tcW w:w="1002" w:type="dxa"/>
            <w:vAlign w:val="center"/>
          </w:tcPr>
          <w:p w14:paraId="514BAAA8">
            <w:pPr>
              <w:jc w:val="center"/>
              <w:rPr>
                <w:rFonts w:ascii="Times New Roman" w:eastAsia="仿宋"/>
                <w:szCs w:val="21"/>
              </w:rPr>
            </w:pPr>
            <w:r>
              <w:rPr>
                <w:rFonts w:hint="eastAsia" w:ascii="Times New Roman" w:eastAsia="仿宋"/>
                <w:szCs w:val="21"/>
              </w:rPr>
              <w:t>/</w:t>
            </w:r>
          </w:p>
        </w:tc>
      </w:tr>
      <w:tr w14:paraId="459C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42A959D1">
            <w:pPr>
              <w:jc w:val="center"/>
              <w:rPr>
                <w:rFonts w:ascii="Times New Roman" w:eastAsia="仿宋"/>
                <w:szCs w:val="21"/>
              </w:rPr>
            </w:pPr>
          </w:p>
        </w:tc>
        <w:tc>
          <w:tcPr>
            <w:tcW w:w="842" w:type="dxa"/>
            <w:gridSpan w:val="2"/>
            <w:vMerge w:val="continue"/>
            <w:vAlign w:val="center"/>
          </w:tcPr>
          <w:p w14:paraId="2347DAE2">
            <w:pPr>
              <w:jc w:val="center"/>
              <w:rPr>
                <w:rFonts w:ascii="Times New Roman" w:eastAsia="仿宋"/>
                <w:szCs w:val="21"/>
              </w:rPr>
            </w:pPr>
          </w:p>
        </w:tc>
        <w:tc>
          <w:tcPr>
            <w:tcW w:w="1276" w:type="dxa"/>
            <w:vAlign w:val="center"/>
          </w:tcPr>
          <w:p w14:paraId="6398EB0E">
            <w:pPr>
              <w:jc w:val="center"/>
              <w:rPr>
                <w:rFonts w:ascii="Times New Roman" w:eastAsia="仿宋"/>
                <w:szCs w:val="21"/>
              </w:rPr>
            </w:pPr>
            <w:r>
              <w:rPr>
                <w:rFonts w:hint="eastAsia" w:ascii="Times New Roman" w:eastAsia="仿宋"/>
                <w:szCs w:val="21"/>
              </w:rPr>
              <w:t>COD</w:t>
            </w:r>
          </w:p>
        </w:tc>
        <w:tc>
          <w:tcPr>
            <w:tcW w:w="1139" w:type="dxa"/>
            <w:vMerge w:val="continue"/>
            <w:vAlign w:val="center"/>
          </w:tcPr>
          <w:p w14:paraId="2EC05186">
            <w:pPr>
              <w:jc w:val="center"/>
              <w:rPr>
                <w:rFonts w:ascii="Times New Roman" w:eastAsia="仿宋"/>
                <w:szCs w:val="21"/>
              </w:rPr>
            </w:pPr>
          </w:p>
        </w:tc>
        <w:tc>
          <w:tcPr>
            <w:tcW w:w="1418" w:type="dxa"/>
            <w:vAlign w:val="center"/>
          </w:tcPr>
          <w:p w14:paraId="1C0F434D">
            <w:pPr>
              <w:jc w:val="center"/>
              <w:rPr>
                <w:rFonts w:ascii="Times New Roman" w:eastAsia="仿宋"/>
                <w:szCs w:val="21"/>
              </w:rPr>
            </w:pPr>
            <w:r>
              <w:rPr>
                <w:rFonts w:hint="eastAsia" w:ascii="Times New Roman" w:eastAsia="仿宋"/>
                <w:szCs w:val="21"/>
              </w:rPr>
              <w:t>3</w:t>
            </w:r>
            <w:r>
              <w:rPr>
                <w:rFonts w:ascii="Times New Roman" w:eastAsia="仿宋"/>
                <w:szCs w:val="21"/>
              </w:rPr>
              <w:t>19</w:t>
            </w:r>
            <w:r>
              <w:rPr>
                <w:rFonts w:hint="eastAsia" w:ascii="Times New Roman" w:eastAsia="仿宋"/>
                <w:szCs w:val="21"/>
              </w:rPr>
              <w:t>.</w:t>
            </w:r>
            <w:r>
              <w:rPr>
                <w:rFonts w:ascii="Times New Roman" w:eastAsia="仿宋"/>
                <w:szCs w:val="21"/>
              </w:rPr>
              <w:t>24</w:t>
            </w:r>
            <w:r>
              <w:rPr>
                <w:rFonts w:hint="eastAsia" w:ascii="Times New Roman" w:eastAsia="仿宋"/>
                <w:szCs w:val="21"/>
              </w:rPr>
              <w:t xml:space="preserve">mg/L </w:t>
            </w:r>
          </w:p>
        </w:tc>
        <w:tc>
          <w:tcPr>
            <w:tcW w:w="2423" w:type="dxa"/>
            <w:vMerge w:val="continue"/>
            <w:vAlign w:val="center"/>
          </w:tcPr>
          <w:p w14:paraId="6B45A910">
            <w:pPr>
              <w:jc w:val="center"/>
              <w:rPr>
                <w:rFonts w:ascii="Times New Roman" w:eastAsia="仿宋"/>
                <w:szCs w:val="21"/>
              </w:rPr>
            </w:pPr>
          </w:p>
        </w:tc>
        <w:tc>
          <w:tcPr>
            <w:tcW w:w="1164" w:type="dxa"/>
            <w:vAlign w:val="center"/>
          </w:tcPr>
          <w:p w14:paraId="400DD6AA">
            <w:pPr>
              <w:jc w:val="center"/>
              <w:rPr>
                <w:rFonts w:ascii="Times New Roman" w:eastAsia="仿宋"/>
                <w:szCs w:val="21"/>
              </w:rPr>
            </w:pPr>
            <w:r>
              <w:rPr>
                <w:rFonts w:hint="eastAsia" w:ascii="Times New Roman" w:eastAsia="仿宋"/>
                <w:szCs w:val="21"/>
              </w:rPr>
              <w:t>500mg/L</w:t>
            </w:r>
          </w:p>
        </w:tc>
        <w:tc>
          <w:tcPr>
            <w:tcW w:w="1008" w:type="dxa"/>
            <w:vAlign w:val="center"/>
          </w:tcPr>
          <w:p w14:paraId="15A59332">
            <w:pPr>
              <w:jc w:val="center"/>
              <w:rPr>
                <w:rFonts w:ascii="Times New Roman" w:eastAsia="仿宋"/>
                <w:szCs w:val="21"/>
              </w:rPr>
            </w:pPr>
            <w:r>
              <w:rPr>
                <w:rFonts w:hint="eastAsia" w:ascii="Times New Roman" w:eastAsia="仿宋"/>
                <w:szCs w:val="21"/>
              </w:rPr>
              <w:t>/</w:t>
            </w:r>
          </w:p>
        </w:tc>
        <w:tc>
          <w:tcPr>
            <w:tcW w:w="891" w:type="dxa"/>
            <w:vAlign w:val="center"/>
          </w:tcPr>
          <w:p w14:paraId="0E2601D8">
            <w:pPr>
              <w:jc w:val="center"/>
              <w:rPr>
                <w:rFonts w:ascii="Times New Roman" w:eastAsia="仿宋"/>
                <w:szCs w:val="21"/>
              </w:rPr>
            </w:pPr>
            <w:r>
              <w:rPr>
                <w:rFonts w:ascii="Times New Roman" w:eastAsia="仿宋"/>
                <w:szCs w:val="21"/>
              </w:rPr>
              <w:t>0.66</w:t>
            </w:r>
          </w:p>
        </w:tc>
        <w:tc>
          <w:tcPr>
            <w:tcW w:w="888" w:type="dxa"/>
            <w:vAlign w:val="center"/>
          </w:tcPr>
          <w:p w14:paraId="253175BB">
            <w:pPr>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1412" w:type="dxa"/>
            <w:vAlign w:val="center"/>
          </w:tcPr>
          <w:p w14:paraId="0377EC9D">
            <w:pPr>
              <w:jc w:val="center"/>
              <w:rPr>
                <w:rFonts w:ascii="Times New Roman" w:eastAsia="仿宋"/>
                <w:szCs w:val="21"/>
              </w:rPr>
            </w:pPr>
            <w:r>
              <w:rPr>
                <w:rFonts w:hint="eastAsia" w:ascii="Times New Roman" w:eastAsia="仿宋"/>
                <w:szCs w:val="21"/>
              </w:rPr>
              <w:t>0.</w:t>
            </w:r>
            <w:r>
              <w:rPr>
                <w:rFonts w:ascii="Times New Roman" w:eastAsia="仿宋"/>
                <w:szCs w:val="21"/>
              </w:rPr>
              <w:t>1</w:t>
            </w:r>
          </w:p>
        </w:tc>
        <w:tc>
          <w:tcPr>
            <w:tcW w:w="1002" w:type="dxa"/>
            <w:vAlign w:val="center"/>
          </w:tcPr>
          <w:p w14:paraId="0BEA5078">
            <w:pPr>
              <w:jc w:val="center"/>
              <w:rPr>
                <w:rFonts w:ascii="Times New Roman" w:eastAsia="仿宋"/>
                <w:szCs w:val="21"/>
              </w:rPr>
            </w:pPr>
            <w:r>
              <w:rPr>
                <w:rFonts w:hint="eastAsia" w:ascii="Times New Roman" w:eastAsia="仿宋"/>
                <w:szCs w:val="21"/>
              </w:rPr>
              <w:t>/</w:t>
            </w:r>
          </w:p>
        </w:tc>
      </w:tr>
      <w:tr w14:paraId="7297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1491B0F8">
            <w:pPr>
              <w:jc w:val="center"/>
              <w:rPr>
                <w:rFonts w:ascii="Times New Roman" w:eastAsia="仿宋"/>
                <w:szCs w:val="21"/>
              </w:rPr>
            </w:pPr>
          </w:p>
        </w:tc>
        <w:tc>
          <w:tcPr>
            <w:tcW w:w="842" w:type="dxa"/>
            <w:gridSpan w:val="2"/>
            <w:vMerge w:val="continue"/>
            <w:vAlign w:val="center"/>
          </w:tcPr>
          <w:p w14:paraId="6D8BDF3A">
            <w:pPr>
              <w:jc w:val="center"/>
              <w:rPr>
                <w:rFonts w:ascii="Times New Roman" w:eastAsia="仿宋"/>
                <w:szCs w:val="21"/>
              </w:rPr>
            </w:pPr>
          </w:p>
        </w:tc>
        <w:tc>
          <w:tcPr>
            <w:tcW w:w="1276" w:type="dxa"/>
            <w:vAlign w:val="center"/>
          </w:tcPr>
          <w:p w14:paraId="4F240118">
            <w:pPr>
              <w:jc w:val="center"/>
              <w:rPr>
                <w:rFonts w:ascii="Times New Roman" w:eastAsia="仿宋"/>
                <w:szCs w:val="21"/>
              </w:rPr>
            </w:pPr>
            <w:r>
              <w:rPr>
                <w:rFonts w:hint="eastAsia" w:ascii="Times New Roman" w:eastAsia="仿宋"/>
                <w:szCs w:val="21"/>
              </w:rPr>
              <w:t>SS</w:t>
            </w:r>
          </w:p>
        </w:tc>
        <w:tc>
          <w:tcPr>
            <w:tcW w:w="1139" w:type="dxa"/>
            <w:vMerge w:val="continue"/>
            <w:vAlign w:val="center"/>
          </w:tcPr>
          <w:p w14:paraId="33141481">
            <w:pPr>
              <w:jc w:val="center"/>
              <w:rPr>
                <w:rFonts w:ascii="Times New Roman" w:eastAsia="仿宋"/>
                <w:szCs w:val="21"/>
              </w:rPr>
            </w:pPr>
          </w:p>
        </w:tc>
        <w:tc>
          <w:tcPr>
            <w:tcW w:w="1418" w:type="dxa"/>
            <w:vAlign w:val="center"/>
          </w:tcPr>
          <w:p w14:paraId="14F44E7A">
            <w:pPr>
              <w:jc w:val="center"/>
              <w:rPr>
                <w:rFonts w:ascii="Times New Roman" w:eastAsia="仿宋"/>
                <w:szCs w:val="21"/>
              </w:rPr>
            </w:pPr>
            <w:r>
              <w:rPr>
                <w:rFonts w:hint="eastAsia" w:ascii="Times New Roman" w:eastAsia="仿宋"/>
                <w:szCs w:val="21"/>
              </w:rPr>
              <w:t>1</w:t>
            </w:r>
            <w:r>
              <w:rPr>
                <w:rFonts w:ascii="Times New Roman" w:eastAsia="仿宋"/>
                <w:szCs w:val="21"/>
              </w:rPr>
              <w:t>37</w:t>
            </w:r>
            <w:r>
              <w:rPr>
                <w:rFonts w:hint="eastAsia" w:ascii="Times New Roman" w:eastAsia="仿宋"/>
                <w:szCs w:val="21"/>
              </w:rPr>
              <w:t>.</w:t>
            </w:r>
            <w:r>
              <w:rPr>
                <w:rFonts w:ascii="Times New Roman" w:eastAsia="仿宋"/>
                <w:szCs w:val="21"/>
              </w:rPr>
              <w:t>37</w:t>
            </w:r>
            <w:r>
              <w:rPr>
                <w:rFonts w:hint="eastAsia" w:ascii="Times New Roman" w:eastAsia="仿宋"/>
                <w:szCs w:val="21"/>
              </w:rPr>
              <w:t>mg/L</w:t>
            </w:r>
          </w:p>
        </w:tc>
        <w:tc>
          <w:tcPr>
            <w:tcW w:w="2423" w:type="dxa"/>
            <w:vMerge w:val="continue"/>
            <w:vAlign w:val="center"/>
          </w:tcPr>
          <w:p w14:paraId="2C188163">
            <w:pPr>
              <w:jc w:val="center"/>
              <w:rPr>
                <w:rFonts w:ascii="Times New Roman" w:eastAsia="仿宋"/>
                <w:szCs w:val="21"/>
              </w:rPr>
            </w:pPr>
          </w:p>
        </w:tc>
        <w:tc>
          <w:tcPr>
            <w:tcW w:w="1164" w:type="dxa"/>
            <w:vAlign w:val="center"/>
          </w:tcPr>
          <w:p w14:paraId="73B7A3EC">
            <w:pPr>
              <w:jc w:val="center"/>
              <w:rPr>
                <w:rFonts w:ascii="Times New Roman" w:eastAsia="仿宋"/>
                <w:szCs w:val="21"/>
              </w:rPr>
            </w:pPr>
            <w:r>
              <w:rPr>
                <w:rFonts w:hint="eastAsia" w:ascii="Times New Roman" w:eastAsia="仿宋"/>
                <w:szCs w:val="21"/>
              </w:rPr>
              <w:t>400mg/L</w:t>
            </w:r>
          </w:p>
        </w:tc>
        <w:tc>
          <w:tcPr>
            <w:tcW w:w="1008" w:type="dxa"/>
            <w:vAlign w:val="center"/>
          </w:tcPr>
          <w:p w14:paraId="5F255311">
            <w:pPr>
              <w:jc w:val="center"/>
              <w:rPr>
                <w:rFonts w:ascii="Times New Roman" w:eastAsia="仿宋"/>
                <w:szCs w:val="21"/>
              </w:rPr>
            </w:pPr>
            <w:r>
              <w:rPr>
                <w:rFonts w:hint="eastAsia" w:ascii="Times New Roman" w:eastAsia="仿宋"/>
                <w:szCs w:val="21"/>
              </w:rPr>
              <w:t>/</w:t>
            </w:r>
          </w:p>
        </w:tc>
        <w:tc>
          <w:tcPr>
            <w:tcW w:w="891" w:type="dxa"/>
            <w:vAlign w:val="center"/>
          </w:tcPr>
          <w:p w14:paraId="1610853C">
            <w:pPr>
              <w:jc w:val="center"/>
              <w:rPr>
                <w:rFonts w:ascii="Times New Roman" w:eastAsia="仿宋"/>
                <w:szCs w:val="21"/>
              </w:rPr>
            </w:pPr>
            <w:r>
              <w:rPr>
                <w:rFonts w:hint="eastAsia" w:ascii="Times New Roman" w:eastAsia="仿宋"/>
                <w:szCs w:val="21"/>
              </w:rPr>
              <w:t>0</w:t>
            </w:r>
            <w:r>
              <w:rPr>
                <w:rFonts w:ascii="Times New Roman" w:eastAsia="仿宋"/>
                <w:szCs w:val="21"/>
              </w:rPr>
              <w:t>.284</w:t>
            </w:r>
          </w:p>
        </w:tc>
        <w:tc>
          <w:tcPr>
            <w:tcW w:w="888" w:type="dxa"/>
            <w:vAlign w:val="center"/>
          </w:tcPr>
          <w:p w14:paraId="23F8CA17">
            <w:pPr>
              <w:jc w:val="center"/>
              <w:rPr>
                <w:rFonts w:ascii="Times New Roman" w:eastAsia="仿宋"/>
                <w:szCs w:val="21"/>
              </w:rPr>
            </w:pPr>
            <w:r>
              <w:rPr>
                <w:rFonts w:hint="eastAsia" w:ascii="Times New Roman" w:eastAsia="仿宋"/>
                <w:szCs w:val="21"/>
              </w:rPr>
              <w:t>0</w:t>
            </w:r>
            <w:r>
              <w:rPr>
                <w:rFonts w:ascii="Times New Roman" w:eastAsia="仿宋"/>
                <w:szCs w:val="21"/>
              </w:rPr>
              <w:t>.018</w:t>
            </w:r>
          </w:p>
        </w:tc>
        <w:tc>
          <w:tcPr>
            <w:tcW w:w="1412" w:type="dxa"/>
            <w:vAlign w:val="center"/>
          </w:tcPr>
          <w:p w14:paraId="779FD043">
            <w:pPr>
              <w:jc w:val="center"/>
              <w:rPr>
                <w:rFonts w:ascii="Times New Roman" w:eastAsia="仿宋"/>
                <w:szCs w:val="21"/>
              </w:rPr>
            </w:pPr>
            <w:r>
              <w:rPr>
                <w:rFonts w:hint="eastAsia" w:ascii="Times New Roman" w:eastAsia="仿宋"/>
                <w:szCs w:val="21"/>
              </w:rPr>
              <w:t>/</w:t>
            </w:r>
          </w:p>
        </w:tc>
        <w:tc>
          <w:tcPr>
            <w:tcW w:w="1002" w:type="dxa"/>
            <w:vAlign w:val="center"/>
          </w:tcPr>
          <w:p w14:paraId="12939BB9">
            <w:pPr>
              <w:jc w:val="center"/>
              <w:rPr>
                <w:rFonts w:ascii="Times New Roman" w:eastAsia="仿宋"/>
                <w:szCs w:val="21"/>
              </w:rPr>
            </w:pPr>
            <w:r>
              <w:rPr>
                <w:rFonts w:hint="eastAsia" w:ascii="Times New Roman" w:eastAsia="仿宋"/>
                <w:szCs w:val="21"/>
              </w:rPr>
              <w:t>0.0</w:t>
            </w:r>
            <w:r>
              <w:rPr>
                <w:rFonts w:ascii="Times New Roman" w:eastAsia="仿宋"/>
                <w:szCs w:val="21"/>
              </w:rPr>
              <w:t>18</w:t>
            </w:r>
          </w:p>
        </w:tc>
      </w:tr>
      <w:tr w14:paraId="5E83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53DD4A34">
            <w:pPr>
              <w:jc w:val="center"/>
              <w:rPr>
                <w:rFonts w:ascii="Times New Roman" w:eastAsia="仿宋"/>
                <w:szCs w:val="21"/>
              </w:rPr>
            </w:pPr>
          </w:p>
        </w:tc>
        <w:tc>
          <w:tcPr>
            <w:tcW w:w="842" w:type="dxa"/>
            <w:gridSpan w:val="2"/>
            <w:vMerge w:val="continue"/>
            <w:vAlign w:val="center"/>
          </w:tcPr>
          <w:p w14:paraId="0462F9BF">
            <w:pPr>
              <w:jc w:val="center"/>
              <w:rPr>
                <w:rFonts w:ascii="Times New Roman" w:eastAsia="仿宋"/>
                <w:szCs w:val="21"/>
              </w:rPr>
            </w:pPr>
          </w:p>
        </w:tc>
        <w:tc>
          <w:tcPr>
            <w:tcW w:w="1276" w:type="dxa"/>
            <w:vAlign w:val="center"/>
          </w:tcPr>
          <w:p w14:paraId="0A27E733">
            <w:pPr>
              <w:jc w:val="center"/>
              <w:rPr>
                <w:rFonts w:ascii="Times New Roman" w:eastAsia="仿宋"/>
                <w:szCs w:val="21"/>
              </w:rPr>
            </w:pPr>
            <w:r>
              <w:rPr>
                <w:rFonts w:hint="eastAsia" w:ascii="Times New Roman" w:eastAsia="仿宋"/>
                <w:szCs w:val="21"/>
              </w:rPr>
              <w:t>NH</w:t>
            </w:r>
            <w:r>
              <w:rPr>
                <w:rFonts w:hint="eastAsia" w:ascii="Times New Roman" w:eastAsia="仿宋"/>
                <w:szCs w:val="21"/>
                <w:vertAlign w:val="subscript"/>
              </w:rPr>
              <w:t>3</w:t>
            </w:r>
            <w:r>
              <w:rPr>
                <w:rFonts w:hint="eastAsia" w:ascii="Times New Roman" w:eastAsia="仿宋"/>
                <w:szCs w:val="21"/>
              </w:rPr>
              <w:t>-N</w:t>
            </w:r>
          </w:p>
        </w:tc>
        <w:tc>
          <w:tcPr>
            <w:tcW w:w="1139" w:type="dxa"/>
            <w:vMerge w:val="continue"/>
            <w:vAlign w:val="center"/>
          </w:tcPr>
          <w:p w14:paraId="12FDA652">
            <w:pPr>
              <w:jc w:val="center"/>
              <w:rPr>
                <w:rFonts w:ascii="Times New Roman" w:eastAsia="仿宋"/>
                <w:szCs w:val="21"/>
              </w:rPr>
            </w:pPr>
          </w:p>
        </w:tc>
        <w:tc>
          <w:tcPr>
            <w:tcW w:w="1418" w:type="dxa"/>
            <w:vAlign w:val="center"/>
          </w:tcPr>
          <w:p w14:paraId="2FD4D5C1">
            <w:pPr>
              <w:jc w:val="center"/>
              <w:rPr>
                <w:rFonts w:ascii="Times New Roman" w:eastAsia="仿宋"/>
                <w:szCs w:val="21"/>
              </w:rPr>
            </w:pPr>
            <w:r>
              <w:rPr>
                <w:rFonts w:hint="eastAsia" w:ascii="Times New Roman" w:eastAsia="仿宋"/>
                <w:szCs w:val="21"/>
              </w:rPr>
              <w:t>1</w:t>
            </w:r>
            <w:r>
              <w:rPr>
                <w:rFonts w:ascii="Times New Roman" w:eastAsia="仿宋"/>
                <w:szCs w:val="21"/>
              </w:rPr>
              <w:t>4</w:t>
            </w:r>
            <w:r>
              <w:rPr>
                <w:rFonts w:hint="eastAsia" w:ascii="Times New Roman" w:eastAsia="仿宋"/>
                <w:szCs w:val="21"/>
              </w:rPr>
              <w:t>.</w:t>
            </w:r>
            <w:r>
              <w:rPr>
                <w:rFonts w:ascii="Times New Roman" w:eastAsia="仿宋"/>
                <w:szCs w:val="21"/>
              </w:rPr>
              <w:t>51</w:t>
            </w:r>
            <w:r>
              <w:rPr>
                <w:rFonts w:hint="eastAsia" w:ascii="Times New Roman" w:eastAsia="仿宋"/>
                <w:szCs w:val="21"/>
              </w:rPr>
              <w:t>mg/L</w:t>
            </w:r>
          </w:p>
        </w:tc>
        <w:tc>
          <w:tcPr>
            <w:tcW w:w="2423" w:type="dxa"/>
            <w:vMerge w:val="continue"/>
            <w:vAlign w:val="center"/>
          </w:tcPr>
          <w:p w14:paraId="25E7BA31">
            <w:pPr>
              <w:jc w:val="center"/>
              <w:rPr>
                <w:rFonts w:ascii="Times New Roman" w:eastAsia="仿宋"/>
                <w:szCs w:val="21"/>
              </w:rPr>
            </w:pPr>
          </w:p>
        </w:tc>
        <w:tc>
          <w:tcPr>
            <w:tcW w:w="1164" w:type="dxa"/>
            <w:vAlign w:val="center"/>
          </w:tcPr>
          <w:p w14:paraId="5A132A66">
            <w:pPr>
              <w:jc w:val="center"/>
              <w:rPr>
                <w:rFonts w:ascii="Times New Roman" w:eastAsia="仿宋"/>
                <w:szCs w:val="21"/>
              </w:rPr>
            </w:pPr>
            <w:r>
              <w:rPr>
                <w:rFonts w:hint="eastAsia" w:ascii="Times New Roman" w:eastAsia="仿宋"/>
                <w:szCs w:val="21"/>
              </w:rPr>
              <w:t>45mg/L</w:t>
            </w:r>
          </w:p>
        </w:tc>
        <w:tc>
          <w:tcPr>
            <w:tcW w:w="1008" w:type="dxa"/>
            <w:vAlign w:val="center"/>
          </w:tcPr>
          <w:p w14:paraId="29B304D3">
            <w:pPr>
              <w:jc w:val="center"/>
              <w:rPr>
                <w:rFonts w:ascii="Times New Roman" w:eastAsia="仿宋"/>
                <w:szCs w:val="21"/>
              </w:rPr>
            </w:pPr>
            <w:r>
              <w:rPr>
                <w:rFonts w:hint="eastAsia" w:ascii="Times New Roman" w:eastAsia="仿宋"/>
                <w:szCs w:val="21"/>
              </w:rPr>
              <w:t>/</w:t>
            </w:r>
          </w:p>
        </w:tc>
        <w:tc>
          <w:tcPr>
            <w:tcW w:w="891" w:type="dxa"/>
            <w:vAlign w:val="center"/>
          </w:tcPr>
          <w:p w14:paraId="7842EBD6">
            <w:pPr>
              <w:jc w:val="center"/>
              <w:rPr>
                <w:rFonts w:ascii="Times New Roman" w:eastAsia="仿宋"/>
                <w:szCs w:val="21"/>
              </w:rPr>
            </w:pPr>
            <w:r>
              <w:rPr>
                <w:rFonts w:hint="eastAsia" w:ascii="Times New Roman" w:eastAsia="仿宋"/>
                <w:szCs w:val="21"/>
              </w:rPr>
              <w:t>0</w:t>
            </w:r>
            <w:r>
              <w:rPr>
                <w:rFonts w:ascii="Times New Roman" w:eastAsia="仿宋"/>
                <w:szCs w:val="21"/>
              </w:rPr>
              <w:t>.03</w:t>
            </w:r>
          </w:p>
        </w:tc>
        <w:tc>
          <w:tcPr>
            <w:tcW w:w="888" w:type="dxa"/>
            <w:vAlign w:val="center"/>
          </w:tcPr>
          <w:p w14:paraId="0FB0E95B">
            <w:pPr>
              <w:jc w:val="center"/>
              <w:rPr>
                <w:rFonts w:ascii="Times New Roman" w:eastAsia="仿宋"/>
                <w:szCs w:val="21"/>
              </w:rPr>
            </w:pPr>
            <w:r>
              <w:rPr>
                <w:rFonts w:hint="eastAsia" w:ascii="Times New Roman" w:eastAsia="仿宋"/>
                <w:szCs w:val="21"/>
              </w:rPr>
              <w:t>0</w:t>
            </w:r>
            <w:r>
              <w:rPr>
                <w:rFonts w:ascii="Times New Roman" w:eastAsia="仿宋"/>
                <w:szCs w:val="21"/>
              </w:rPr>
              <w:t>.005</w:t>
            </w:r>
          </w:p>
        </w:tc>
        <w:tc>
          <w:tcPr>
            <w:tcW w:w="1412" w:type="dxa"/>
            <w:vAlign w:val="center"/>
          </w:tcPr>
          <w:p w14:paraId="700CB8DE">
            <w:pPr>
              <w:jc w:val="center"/>
              <w:rPr>
                <w:rFonts w:ascii="Times New Roman" w:eastAsia="仿宋"/>
                <w:szCs w:val="21"/>
              </w:rPr>
            </w:pPr>
            <w:r>
              <w:rPr>
                <w:rFonts w:hint="eastAsia" w:ascii="Times New Roman" w:eastAsia="仿宋"/>
                <w:szCs w:val="21"/>
              </w:rPr>
              <w:t>0.0</w:t>
            </w:r>
            <w:r>
              <w:rPr>
                <w:rFonts w:ascii="Times New Roman" w:eastAsia="仿宋"/>
                <w:szCs w:val="21"/>
              </w:rPr>
              <w:t>05</w:t>
            </w:r>
          </w:p>
        </w:tc>
        <w:tc>
          <w:tcPr>
            <w:tcW w:w="1002" w:type="dxa"/>
            <w:vAlign w:val="center"/>
          </w:tcPr>
          <w:p w14:paraId="6D2BA753">
            <w:pPr>
              <w:jc w:val="center"/>
              <w:rPr>
                <w:rFonts w:ascii="Times New Roman" w:eastAsia="仿宋"/>
                <w:szCs w:val="21"/>
              </w:rPr>
            </w:pPr>
            <w:r>
              <w:rPr>
                <w:rFonts w:hint="eastAsia" w:ascii="Times New Roman" w:eastAsia="仿宋"/>
                <w:szCs w:val="21"/>
              </w:rPr>
              <w:t>/</w:t>
            </w:r>
          </w:p>
        </w:tc>
      </w:tr>
      <w:tr w14:paraId="08C8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1EAFB5AC">
            <w:pPr>
              <w:jc w:val="center"/>
              <w:rPr>
                <w:rFonts w:ascii="Times New Roman" w:eastAsia="仿宋"/>
                <w:szCs w:val="21"/>
              </w:rPr>
            </w:pPr>
          </w:p>
        </w:tc>
        <w:tc>
          <w:tcPr>
            <w:tcW w:w="842" w:type="dxa"/>
            <w:gridSpan w:val="2"/>
            <w:vMerge w:val="continue"/>
            <w:vAlign w:val="center"/>
          </w:tcPr>
          <w:p w14:paraId="6A9CF391">
            <w:pPr>
              <w:jc w:val="center"/>
              <w:rPr>
                <w:rFonts w:ascii="Times New Roman" w:eastAsia="仿宋"/>
                <w:szCs w:val="21"/>
              </w:rPr>
            </w:pPr>
          </w:p>
        </w:tc>
        <w:tc>
          <w:tcPr>
            <w:tcW w:w="1276" w:type="dxa"/>
            <w:vAlign w:val="center"/>
          </w:tcPr>
          <w:p w14:paraId="7C1A2DB6">
            <w:pPr>
              <w:jc w:val="center"/>
              <w:rPr>
                <w:rFonts w:ascii="Times New Roman" w:eastAsia="仿宋"/>
                <w:szCs w:val="21"/>
              </w:rPr>
            </w:pPr>
            <w:r>
              <w:rPr>
                <w:rFonts w:hint="eastAsia" w:ascii="Times New Roman" w:eastAsia="仿宋"/>
                <w:szCs w:val="21"/>
              </w:rPr>
              <w:t>TN</w:t>
            </w:r>
          </w:p>
        </w:tc>
        <w:tc>
          <w:tcPr>
            <w:tcW w:w="1139" w:type="dxa"/>
            <w:vMerge w:val="continue"/>
            <w:vAlign w:val="center"/>
          </w:tcPr>
          <w:p w14:paraId="3CEB0FA9">
            <w:pPr>
              <w:jc w:val="center"/>
              <w:rPr>
                <w:rFonts w:ascii="Times New Roman" w:eastAsia="仿宋"/>
                <w:szCs w:val="21"/>
              </w:rPr>
            </w:pPr>
          </w:p>
        </w:tc>
        <w:tc>
          <w:tcPr>
            <w:tcW w:w="1418" w:type="dxa"/>
            <w:vAlign w:val="center"/>
          </w:tcPr>
          <w:p w14:paraId="0C2BDA04">
            <w:pPr>
              <w:jc w:val="center"/>
              <w:rPr>
                <w:rFonts w:ascii="Times New Roman" w:eastAsia="仿宋"/>
                <w:szCs w:val="21"/>
              </w:rPr>
            </w:pPr>
            <w:r>
              <w:rPr>
                <w:rFonts w:ascii="Times New Roman" w:eastAsia="仿宋"/>
                <w:szCs w:val="21"/>
              </w:rPr>
              <w:t>19.34</w:t>
            </w:r>
            <w:r>
              <w:rPr>
                <w:rFonts w:hint="eastAsia" w:ascii="Times New Roman" w:eastAsia="仿宋"/>
                <w:szCs w:val="21"/>
              </w:rPr>
              <w:t xml:space="preserve">mg/L </w:t>
            </w:r>
          </w:p>
        </w:tc>
        <w:tc>
          <w:tcPr>
            <w:tcW w:w="2423" w:type="dxa"/>
            <w:vMerge w:val="continue"/>
            <w:vAlign w:val="center"/>
          </w:tcPr>
          <w:p w14:paraId="4581070C">
            <w:pPr>
              <w:jc w:val="center"/>
              <w:rPr>
                <w:rFonts w:ascii="Times New Roman" w:eastAsia="仿宋"/>
                <w:szCs w:val="21"/>
              </w:rPr>
            </w:pPr>
          </w:p>
        </w:tc>
        <w:tc>
          <w:tcPr>
            <w:tcW w:w="1164" w:type="dxa"/>
            <w:vAlign w:val="center"/>
          </w:tcPr>
          <w:p w14:paraId="5D3EC68A">
            <w:pPr>
              <w:jc w:val="center"/>
              <w:rPr>
                <w:rFonts w:ascii="Times New Roman" w:eastAsia="仿宋"/>
                <w:szCs w:val="21"/>
              </w:rPr>
            </w:pPr>
            <w:r>
              <w:rPr>
                <w:rFonts w:hint="eastAsia" w:ascii="Times New Roman" w:eastAsia="仿宋"/>
                <w:szCs w:val="21"/>
              </w:rPr>
              <w:t>70mg/L</w:t>
            </w:r>
          </w:p>
        </w:tc>
        <w:tc>
          <w:tcPr>
            <w:tcW w:w="1008" w:type="dxa"/>
            <w:vAlign w:val="center"/>
          </w:tcPr>
          <w:p w14:paraId="5843B422">
            <w:pPr>
              <w:jc w:val="center"/>
              <w:rPr>
                <w:rFonts w:ascii="Times New Roman" w:eastAsia="仿宋"/>
                <w:szCs w:val="21"/>
              </w:rPr>
            </w:pPr>
            <w:r>
              <w:rPr>
                <w:rFonts w:hint="eastAsia" w:ascii="Times New Roman" w:eastAsia="仿宋"/>
                <w:szCs w:val="21"/>
              </w:rPr>
              <w:t>/</w:t>
            </w:r>
          </w:p>
        </w:tc>
        <w:tc>
          <w:tcPr>
            <w:tcW w:w="891" w:type="dxa"/>
            <w:vAlign w:val="center"/>
          </w:tcPr>
          <w:p w14:paraId="33DF9353">
            <w:pPr>
              <w:jc w:val="center"/>
              <w:rPr>
                <w:rFonts w:ascii="Times New Roman" w:eastAsia="仿宋"/>
                <w:szCs w:val="21"/>
              </w:rPr>
            </w:pPr>
            <w:r>
              <w:rPr>
                <w:rFonts w:hint="eastAsia" w:ascii="Times New Roman" w:eastAsia="仿宋"/>
                <w:szCs w:val="21"/>
              </w:rPr>
              <w:t>0</w:t>
            </w:r>
            <w:r>
              <w:rPr>
                <w:rFonts w:ascii="Times New Roman" w:eastAsia="仿宋"/>
                <w:szCs w:val="21"/>
              </w:rPr>
              <w:t>.04</w:t>
            </w:r>
          </w:p>
        </w:tc>
        <w:tc>
          <w:tcPr>
            <w:tcW w:w="888" w:type="dxa"/>
            <w:vAlign w:val="center"/>
          </w:tcPr>
          <w:p w14:paraId="6E48192A">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c>
          <w:tcPr>
            <w:tcW w:w="1412" w:type="dxa"/>
            <w:vAlign w:val="center"/>
          </w:tcPr>
          <w:p w14:paraId="2AF36563">
            <w:pPr>
              <w:jc w:val="center"/>
              <w:rPr>
                <w:rFonts w:ascii="Times New Roman" w:eastAsia="仿宋"/>
                <w:szCs w:val="21"/>
              </w:rPr>
            </w:pPr>
            <w:r>
              <w:rPr>
                <w:rFonts w:hint="eastAsia" w:ascii="Times New Roman" w:eastAsia="仿宋"/>
                <w:szCs w:val="21"/>
              </w:rPr>
              <w:t>/</w:t>
            </w:r>
          </w:p>
        </w:tc>
        <w:tc>
          <w:tcPr>
            <w:tcW w:w="1002" w:type="dxa"/>
            <w:vAlign w:val="center"/>
          </w:tcPr>
          <w:p w14:paraId="55404084">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r>
      <w:tr w14:paraId="1306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5A79627E">
            <w:pPr>
              <w:jc w:val="center"/>
              <w:rPr>
                <w:rFonts w:ascii="Times New Roman" w:eastAsia="仿宋"/>
                <w:szCs w:val="21"/>
              </w:rPr>
            </w:pPr>
          </w:p>
        </w:tc>
        <w:tc>
          <w:tcPr>
            <w:tcW w:w="842" w:type="dxa"/>
            <w:gridSpan w:val="2"/>
            <w:vMerge w:val="continue"/>
            <w:vAlign w:val="center"/>
          </w:tcPr>
          <w:p w14:paraId="19C41C8A">
            <w:pPr>
              <w:jc w:val="center"/>
              <w:rPr>
                <w:rFonts w:ascii="Times New Roman" w:eastAsia="仿宋"/>
                <w:szCs w:val="21"/>
              </w:rPr>
            </w:pPr>
          </w:p>
        </w:tc>
        <w:tc>
          <w:tcPr>
            <w:tcW w:w="1276" w:type="dxa"/>
            <w:vAlign w:val="center"/>
          </w:tcPr>
          <w:p w14:paraId="4ADA0CE7">
            <w:pPr>
              <w:jc w:val="center"/>
              <w:rPr>
                <w:rFonts w:ascii="Times New Roman" w:eastAsia="仿宋"/>
                <w:szCs w:val="21"/>
              </w:rPr>
            </w:pPr>
            <w:r>
              <w:rPr>
                <w:rFonts w:hint="eastAsia" w:ascii="Times New Roman" w:eastAsia="仿宋"/>
                <w:szCs w:val="21"/>
              </w:rPr>
              <w:t>TP</w:t>
            </w:r>
          </w:p>
        </w:tc>
        <w:tc>
          <w:tcPr>
            <w:tcW w:w="1139" w:type="dxa"/>
            <w:vMerge w:val="continue"/>
            <w:vAlign w:val="center"/>
          </w:tcPr>
          <w:p w14:paraId="4A03FC22">
            <w:pPr>
              <w:jc w:val="center"/>
              <w:rPr>
                <w:rFonts w:ascii="Times New Roman" w:eastAsia="仿宋"/>
                <w:szCs w:val="21"/>
              </w:rPr>
            </w:pPr>
          </w:p>
        </w:tc>
        <w:tc>
          <w:tcPr>
            <w:tcW w:w="1418" w:type="dxa"/>
            <w:vAlign w:val="center"/>
          </w:tcPr>
          <w:p w14:paraId="48CF1446">
            <w:pPr>
              <w:jc w:val="center"/>
              <w:rPr>
                <w:rFonts w:ascii="Times New Roman" w:eastAsia="仿宋"/>
                <w:szCs w:val="21"/>
              </w:rPr>
            </w:pPr>
            <w:r>
              <w:rPr>
                <w:rFonts w:ascii="Times New Roman" w:eastAsia="仿宋"/>
                <w:szCs w:val="21"/>
              </w:rPr>
              <w:t>1</w:t>
            </w:r>
            <w:r>
              <w:rPr>
                <w:rFonts w:hint="eastAsia" w:ascii="Times New Roman" w:eastAsia="仿宋"/>
                <w:szCs w:val="21"/>
              </w:rPr>
              <w:t>.</w:t>
            </w:r>
            <w:r>
              <w:rPr>
                <w:rFonts w:ascii="Times New Roman" w:eastAsia="仿宋"/>
                <w:szCs w:val="21"/>
              </w:rPr>
              <w:t>93</w:t>
            </w:r>
            <w:r>
              <w:rPr>
                <w:rFonts w:hint="eastAsia" w:ascii="Times New Roman" w:eastAsia="仿宋"/>
                <w:szCs w:val="21"/>
              </w:rPr>
              <w:t>mg/L</w:t>
            </w:r>
          </w:p>
        </w:tc>
        <w:tc>
          <w:tcPr>
            <w:tcW w:w="2423" w:type="dxa"/>
            <w:vMerge w:val="continue"/>
            <w:vAlign w:val="center"/>
          </w:tcPr>
          <w:p w14:paraId="37D4BE0C">
            <w:pPr>
              <w:jc w:val="center"/>
              <w:rPr>
                <w:rFonts w:ascii="Times New Roman" w:eastAsia="仿宋"/>
                <w:szCs w:val="21"/>
              </w:rPr>
            </w:pPr>
          </w:p>
        </w:tc>
        <w:tc>
          <w:tcPr>
            <w:tcW w:w="1164" w:type="dxa"/>
            <w:vAlign w:val="center"/>
          </w:tcPr>
          <w:p w14:paraId="4C6D83CB">
            <w:pPr>
              <w:jc w:val="center"/>
              <w:rPr>
                <w:rFonts w:ascii="Times New Roman" w:eastAsia="仿宋"/>
                <w:szCs w:val="21"/>
              </w:rPr>
            </w:pPr>
            <w:r>
              <w:rPr>
                <w:rFonts w:hint="eastAsia" w:ascii="Times New Roman" w:eastAsia="仿宋"/>
                <w:szCs w:val="21"/>
              </w:rPr>
              <w:t>8mg/L</w:t>
            </w:r>
          </w:p>
        </w:tc>
        <w:tc>
          <w:tcPr>
            <w:tcW w:w="1008" w:type="dxa"/>
            <w:vAlign w:val="center"/>
          </w:tcPr>
          <w:p w14:paraId="7AAE6697">
            <w:pPr>
              <w:jc w:val="center"/>
              <w:rPr>
                <w:rFonts w:ascii="Times New Roman" w:eastAsia="仿宋"/>
                <w:szCs w:val="21"/>
              </w:rPr>
            </w:pPr>
            <w:r>
              <w:rPr>
                <w:rFonts w:hint="eastAsia" w:ascii="Times New Roman" w:eastAsia="仿宋"/>
                <w:szCs w:val="21"/>
              </w:rPr>
              <w:t>/</w:t>
            </w:r>
          </w:p>
        </w:tc>
        <w:tc>
          <w:tcPr>
            <w:tcW w:w="891" w:type="dxa"/>
            <w:vAlign w:val="center"/>
          </w:tcPr>
          <w:p w14:paraId="0FEAB506">
            <w:pPr>
              <w:jc w:val="center"/>
              <w:rPr>
                <w:rFonts w:ascii="Times New Roman" w:eastAsia="仿宋"/>
                <w:szCs w:val="21"/>
              </w:rPr>
            </w:pPr>
            <w:r>
              <w:rPr>
                <w:rFonts w:hint="eastAsia" w:ascii="Times New Roman" w:eastAsia="仿宋"/>
                <w:szCs w:val="21"/>
              </w:rPr>
              <w:t>0</w:t>
            </w:r>
            <w:r>
              <w:rPr>
                <w:rFonts w:ascii="Times New Roman" w:eastAsia="仿宋"/>
                <w:szCs w:val="21"/>
              </w:rPr>
              <w:t>.004</w:t>
            </w:r>
          </w:p>
        </w:tc>
        <w:tc>
          <w:tcPr>
            <w:tcW w:w="888" w:type="dxa"/>
            <w:vAlign w:val="center"/>
          </w:tcPr>
          <w:p w14:paraId="2F4A5398">
            <w:pPr>
              <w:jc w:val="center"/>
              <w:rPr>
                <w:rFonts w:ascii="Times New Roman" w:eastAsia="仿宋"/>
                <w:szCs w:val="21"/>
              </w:rPr>
            </w:pPr>
            <w:r>
              <w:rPr>
                <w:rFonts w:hint="eastAsia" w:ascii="Times New Roman" w:eastAsia="仿宋"/>
                <w:szCs w:val="21"/>
              </w:rPr>
              <w:t>0</w:t>
            </w:r>
            <w:r>
              <w:rPr>
                <w:rFonts w:ascii="Times New Roman" w:eastAsia="仿宋"/>
                <w:szCs w:val="21"/>
              </w:rPr>
              <w:t>.0006</w:t>
            </w:r>
          </w:p>
        </w:tc>
        <w:tc>
          <w:tcPr>
            <w:tcW w:w="1412" w:type="dxa"/>
            <w:vAlign w:val="center"/>
          </w:tcPr>
          <w:p w14:paraId="3A5E40B8">
            <w:pPr>
              <w:jc w:val="center"/>
              <w:rPr>
                <w:rFonts w:ascii="Times New Roman" w:eastAsia="仿宋"/>
                <w:szCs w:val="21"/>
              </w:rPr>
            </w:pPr>
            <w:r>
              <w:rPr>
                <w:rFonts w:hint="eastAsia" w:ascii="Times New Roman" w:eastAsia="仿宋"/>
                <w:szCs w:val="21"/>
              </w:rPr>
              <w:t>/</w:t>
            </w:r>
          </w:p>
        </w:tc>
        <w:tc>
          <w:tcPr>
            <w:tcW w:w="1002" w:type="dxa"/>
            <w:vAlign w:val="center"/>
          </w:tcPr>
          <w:p w14:paraId="1F1A7538">
            <w:pPr>
              <w:jc w:val="center"/>
              <w:rPr>
                <w:rFonts w:ascii="Times New Roman" w:eastAsia="仿宋"/>
                <w:szCs w:val="21"/>
              </w:rPr>
            </w:pPr>
            <w:r>
              <w:rPr>
                <w:rFonts w:hint="eastAsia" w:ascii="Times New Roman" w:eastAsia="仿宋"/>
                <w:szCs w:val="21"/>
              </w:rPr>
              <w:t>0</w:t>
            </w:r>
            <w:r>
              <w:rPr>
                <w:rFonts w:ascii="Times New Roman" w:eastAsia="仿宋"/>
                <w:szCs w:val="21"/>
              </w:rPr>
              <w:t>.0006</w:t>
            </w:r>
          </w:p>
        </w:tc>
      </w:tr>
      <w:tr w14:paraId="729D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5FEAB0FE">
            <w:pPr>
              <w:jc w:val="center"/>
              <w:rPr>
                <w:rFonts w:ascii="Times New Roman" w:eastAsia="仿宋"/>
                <w:szCs w:val="21"/>
              </w:rPr>
            </w:pPr>
          </w:p>
        </w:tc>
        <w:tc>
          <w:tcPr>
            <w:tcW w:w="842" w:type="dxa"/>
            <w:gridSpan w:val="2"/>
            <w:vMerge w:val="continue"/>
            <w:vAlign w:val="center"/>
          </w:tcPr>
          <w:p w14:paraId="79059640">
            <w:pPr>
              <w:jc w:val="center"/>
              <w:rPr>
                <w:rFonts w:ascii="Times New Roman" w:eastAsia="仿宋"/>
                <w:szCs w:val="21"/>
              </w:rPr>
            </w:pPr>
          </w:p>
        </w:tc>
        <w:tc>
          <w:tcPr>
            <w:tcW w:w="1276" w:type="dxa"/>
            <w:vAlign w:val="center"/>
          </w:tcPr>
          <w:p w14:paraId="18BF3289">
            <w:pPr>
              <w:jc w:val="center"/>
              <w:rPr>
                <w:rFonts w:ascii="Times New Roman" w:eastAsia="仿宋"/>
                <w:szCs w:val="21"/>
              </w:rPr>
            </w:pPr>
            <w:r>
              <w:rPr>
                <w:rFonts w:hint="eastAsia" w:ascii="Times New Roman" w:eastAsia="仿宋"/>
                <w:szCs w:val="21"/>
              </w:rPr>
              <w:t>动植物油</w:t>
            </w:r>
          </w:p>
        </w:tc>
        <w:tc>
          <w:tcPr>
            <w:tcW w:w="1139" w:type="dxa"/>
            <w:vMerge w:val="continue"/>
            <w:vAlign w:val="center"/>
          </w:tcPr>
          <w:p w14:paraId="288E82C9">
            <w:pPr>
              <w:jc w:val="center"/>
              <w:rPr>
                <w:rFonts w:ascii="Times New Roman" w:eastAsia="仿宋"/>
                <w:szCs w:val="21"/>
              </w:rPr>
            </w:pPr>
          </w:p>
        </w:tc>
        <w:tc>
          <w:tcPr>
            <w:tcW w:w="1418" w:type="dxa"/>
            <w:vAlign w:val="center"/>
          </w:tcPr>
          <w:p w14:paraId="6B6C7EA2">
            <w:pPr>
              <w:jc w:val="center"/>
              <w:rPr>
                <w:rFonts w:ascii="Times New Roman" w:eastAsia="仿宋"/>
                <w:szCs w:val="21"/>
              </w:rPr>
            </w:pPr>
            <w:r>
              <w:rPr>
                <w:rFonts w:ascii="Times New Roman" w:eastAsia="仿宋"/>
                <w:szCs w:val="21"/>
              </w:rPr>
              <w:t>38.69</w:t>
            </w:r>
            <w:r>
              <w:rPr>
                <w:rFonts w:hint="eastAsia" w:ascii="Times New Roman" w:eastAsia="仿宋"/>
                <w:szCs w:val="21"/>
              </w:rPr>
              <w:t>mg/L</w:t>
            </w:r>
          </w:p>
        </w:tc>
        <w:tc>
          <w:tcPr>
            <w:tcW w:w="2423" w:type="dxa"/>
            <w:vMerge w:val="continue"/>
            <w:vAlign w:val="center"/>
          </w:tcPr>
          <w:p w14:paraId="5B95BC6F">
            <w:pPr>
              <w:jc w:val="center"/>
              <w:rPr>
                <w:rFonts w:ascii="Times New Roman" w:eastAsia="仿宋"/>
                <w:szCs w:val="21"/>
              </w:rPr>
            </w:pPr>
          </w:p>
        </w:tc>
        <w:tc>
          <w:tcPr>
            <w:tcW w:w="1164" w:type="dxa"/>
            <w:vAlign w:val="center"/>
          </w:tcPr>
          <w:p w14:paraId="1A66CAB8">
            <w:pPr>
              <w:jc w:val="center"/>
              <w:rPr>
                <w:rFonts w:ascii="Times New Roman" w:eastAsia="仿宋"/>
                <w:szCs w:val="21"/>
              </w:rPr>
            </w:pPr>
            <w:r>
              <w:rPr>
                <w:rFonts w:hint="eastAsia" w:ascii="Times New Roman" w:eastAsia="仿宋"/>
                <w:szCs w:val="21"/>
              </w:rPr>
              <w:t>100mg/L</w:t>
            </w:r>
          </w:p>
        </w:tc>
        <w:tc>
          <w:tcPr>
            <w:tcW w:w="1008" w:type="dxa"/>
            <w:vAlign w:val="center"/>
          </w:tcPr>
          <w:p w14:paraId="1B987182">
            <w:pPr>
              <w:jc w:val="center"/>
              <w:rPr>
                <w:rFonts w:ascii="Times New Roman" w:eastAsia="仿宋"/>
                <w:szCs w:val="21"/>
              </w:rPr>
            </w:pPr>
            <w:r>
              <w:rPr>
                <w:rFonts w:hint="eastAsia" w:ascii="Times New Roman" w:eastAsia="仿宋"/>
                <w:szCs w:val="21"/>
              </w:rPr>
              <w:t>/</w:t>
            </w:r>
          </w:p>
        </w:tc>
        <w:tc>
          <w:tcPr>
            <w:tcW w:w="891" w:type="dxa"/>
            <w:vAlign w:val="center"/>
          </w:tcPr>
          <w:p w14:paraId="4A6039B2">
            <w:pPr>
              <w:jc w:val="center"/>
              <w:rPr>
                <w:rFonts w:ascii="Times New Roman" w:eastAsia="仿宋"/>
                <w:szCs w:val="21"/>
              </w:rPr>
            </w:pPr>
            <w:r>
              <w:rPr>
                <w:rFonts w:hint="eastAsia" w:ascii="Times New Roman" w:eastAsia="仿宋"/>
                <w:szCs w:val="21"/>
              </w:rPr>
              <w:t>0</w:t>
            </w:r>
            <w:r>
              <w:rPr>
                <w:rFonts w:ascii="Times New Roman" w:eastAsia="仿宋"/>
                <w:szCs w:val="21"/>
              </w:rPr>
              <w:t>.08</w:t>
            </w:r>
          </w:p>
        </w:tc>
        <w:tc>
          <w:tcPr>
            <w:tcW w:w="888" w:type="dxa"/>
            <w:vAlign w:val="center"/>
          </w:tcPr>
          <w:p w14:paraId="6CD9E367">
            <w:pPr>
              <w:jc w:val="center"/>
              <w:rPr>
                <w:rFonts w:ascii="Times New Roman" w:eastAsia="仿宋"/>
                <w:szCs w:val="21"/>
              </w:rPr>
            </w:pPr>
            <w:r>
              <w:rPr>
                <w:rFonts w:hint="eastAsia" w:ascii="Times New Roman" w:eastAsia="仿宋"/>
                <w:szCs w:val="21"/>
              </w:rPr>
              <w:t>0</w:t>
            </w:r>
            <w:r>
              <w:rPr>
                <w:rFonts w:ascii="Times New Roman" w:eastAsia="仿宋"/>
                <w:szCs w:val="21"/>
              </w:rPr>
              <w:t>.001</w:t>
            </w:r>
          </w:p>
        </w:tc>
        <w:tc>
          <w:tcPr>
            <w:tcW w:w="1412" w:type="dxa"/>
            <w:vAlign w:val="center"/>
          </w:tcPr>
          <w:p w14:paraId="65BAF8E3">
            <w:pPr>
              <w:jc w:val="center"/>
              <w:rPr>
                <w:rFonts w:ascii="Times New Roman" w:eastAsia="仿宋"/>
                <w:szCs w:val="21"/>
              </w:rPr>
            </w:pPr>
            <w:r>
              <w:rPr>
                <w:rFonts w:hint="eastAsia" w:ascii="Times New Roman" w:eastAsia="仿宋"/>
                <w:szCs w:val="21"/>
              </w:rPr>
              <w:t>/</w:t>
            </w:r>
          </w:p>
        </w:tc>
        <w:tc>
          <w:tcPr>
            <w:tcW w:w="1002" w:type="dxa"/>
            <w:vAlign w:val="center"/>
          </w:tcPr>
          <w:p w14:paraId="2B1F7D2F">
            <w:pPr>
              <w:jc w:val="center"/>
              <w:rPr>
                <w:rFonts w:ascii="Times New Roman" w:eastAsia="仿宋"/>
                <w:szCs w:val="21"/>
              </w:rPr>
            </w:pPr>
            <w:r>
              <w:rPr>
                <w:rFonts w:hint="eastAsia" w:ascii="Times New Roman" w:eastAsia="仿宋"/>
                <w:szCs w:val="21"/>
              </w:rPr>
              <w:t>0</w:t>
            </w:r>
            <w:r>
              <w:rPr>
                <w:rFonts w:ascii="Times New Roman" w:eastAsia="仿宋"/>
                <w:szCs w:val="21"/>
              </w:rPr>
              <w:t>.001</w:t>
            </w:r>
          </w:p>
        </w:tc>
      </w:tr>
      <w:tr w14:paraId="4047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50" w:hRule="atLeast"/>
          <w:jc w:val="center"/>
        </w:trPr>
        <w:tc>
          <w:tcPr>
            <w:tcW w:w="571" w:type="dxa"/>
            <w:vMerge w:val="continue"/>
            <w:vAlign w:val="center"/>
          </w:tcPr>
          <w:p w14:paraId="0F058311">
            <w:pPr>
              <w:jc w:val="center"/>
              <w:rPr>
                <w:rFonts w:ascii="Times New Roman" w:eastAsia="仿宋"/>
                <w:szCs w:val="21"/>
              </w:rPr>
            </w:pPr>
          </w:p>
        </w:tc>
        <w:tc>
          <w:tcPr>
            <w:tcW w:w="842" w:type="dxa"/>
            <w:gridSpan w:val="2"/>
            <w:vMerge w:val="continue"/>
            <w:vAlign w:val="center"/>
          </w:tcPr>
          <w:p w14:paraId="66547090">
            <w:pPr>
              <w:jc w:val="center"/>
              <w:rPr>
                <w:rFonts w:ascii="Times New Roman" w:eastAsia="仿宋"/>
                <w:szCs w:val="21"/>
              </w:rPr>
            </w:pPr>
          </w:p>
        </w:tc>
        <w:tc>
          <w:tcPr>
            <w:tcW w:w="1276" w:type="dxa"/>
            <w:vAlign w:val="center"/>
          </w:tcPr>
          <w:p w14:paraId="7FF2AE91">
            <w:pPr>
              <w:jc w:val="center"/>
              <w:rPr>
                <w:rFonts w:ascii="Times New Roman" w:eastAsia="仿宋"/>
                <w:szCs w:val="21"/>
              </w:rPr>
            </w:pPr>
            <w:r>
              <w:rPr>
                <w:rFonts w:hint="eastAsia" w:ascii="Times New Roman" w:eastAsia="仿宋"/>
                <w:szCs w:val="21"/>
              </w:rPr>
              <w:t>石油类</w:t>
            </w:r>
          </w:p>
        </w:tc>
        <w:tc>
          <w:tcPr>
            <w:tcW w:w="1139" w:type="dxa"/>
            <w:vMerge w:val="continue"/>
            <w:vAlign w:val="center"/>
          </w:tcPr>
          <w:p w14:paraId="69D9C785">
            <w:pPr>
              <w:jc w:val="center"/>
              <w:rPr>
                <w:rFonts w:ascii="Times New Roman" w:eastAsia="仿宋"/>
                <w:szCs w:val="21"/>
              </w:rPr>
            </w:pPr>
          </w:p>
        </w:tc>
        <w:tc>
          <w:tcPr>
            <w:tcW w:w="1418" w:type="dxa"/>
            <w:vAlign w:val="center"/>
          </w:tcPr>
          <w:p w14:paraId="56A039CC">
            <w:pPr>
              <w:jc w:val="center"/>
              <w:rPr>
                <w:rFonts w:ascii="Times New Roman" w:eastAsia="仿宋"/>
                <w:szCs w:val="21"/>
              </w:rPr>
            </w:pPr>
            <w:r>
              <w:rPr>
                <w:rFonts w:hint="eastAsia" w:ascii="Times New Roman" w:eastAsia="仿宋"/>
                <w:szCs w:val="21"/>
              </w:rPr>
              <w:t>0.</w:t>
            </w:r>
            <w:r>
              <w:rPr>
                <w:rFonts w:ascii="Times New Roman" w:eastAsia="仿宋"/>
                <w:szCs w:val="21"/>
              </w:rPr>
              <w:t>96</w:t>
            </w:r>
            <w:r>
              <w:rPr>
                <w:rFonts w:hint="eastAsia" w:ascii="Times New Roman" w:eastAsia="仿宋"/>
                <w:szCs w:val="21"/>
              </w:rPr>
              <w:t>mg/L</w:t>
            </w:r>
          </w:p>
        </w:tc>
        <w:tc>
          <w:tcPr>
            <w:tcW w:w="2423" w:type="dxa"/>
            <w:vMerge w:val="continue"/>
            <w:vAlign w:val="center"/>
          </w:tcPr>
          <w:p w14:paraId="4B81BBC0">
            <w:pPr>
              <w:jc w:val="center"/>
              <w:rPr>
                <w:rFonts w:ascii="Times New Roman" w:eastAsia="仿宋"/>
                <w:szCs w:val="21"/>
              </w:rPr>
            </w:pPr>
          </w:p>
        </w:tc>
        <w:tc>
          <w:tcPr>
            <w:tcW w:w="1164" w:type="dxa"/>
            <w:vAlign w:val="center"/>
          </w:tcPr>
          <w:p w14:paraId="68D06AA4">
            <w:pPr>
              <w:jc w:val="center"/>
              <w:rPr>
                <w:rFonts w:ascii="Times New Roman" w:eastAsia="仿宋"/>
                <w:szCs w:val="21"/>
              </w:rPr>
            </w:pPr>
            <w:r>
              <w:rPr>
                <w:rFonts w:hint="eastAsia" w:ascii="Times New Roman" w:eastAsia="仿宋"/>
                <w:szCs w:val="21"/>
              </w:rPr>
              <w:t>15mg/L</w:t>
            </w:r>
          </w:p>
        </w:tc>
        <w:tc>
          <w:tcPr>
            <w:tcW w:w="1008" w:type="dxa"/>
            <w:vAlign w:val="center"/>
          </w:tcPr>
          <w:p w14:paraId="6AD1E62A">
            <w:pPr>
              <w:jc w:val="center"/>
              <w:rPr>
                <w:rFonts w:ascii="Times New Roman" w:eastAsia="仿宋"/>
                <w:szCs w:val="21"/>
              </w:rPr>
            </w:pPr>
            <w:r>
              <w:rPr>
                <w:rFonts w:hint="eastAsia" w:ascii="Times New Roman" w:eastAsia="仿宋"/>
                <w:szCs w:val="21"/>
              </w:rPr>
              <w:t>/</w:t>
            </w:r>
          </w:p>
        </w:tc>
        <w:tc>
          <w:tcPr>
            <w:tcW w:w="891" w:type="dxa"/>
            <w:vAlign w:val="center"/>
          </w:tcPr>
          <w:p w14:paraId="45A31633">
            <w:pPr>
              <w:jc w:val="center"/>
              <w:rPr>
                <w:rFonts w:ascii="Times New Roman" w:eastAsia="仿宋"/>
                <w:szCs w:val="21"/>
              </w:rPr>
            </w:pPr>
            <w:r>
              <w:rPr>
                <w:rFonts w:hint="eastAsia" w:ascii="Times New Roman" w:eastAsia="仿宋"/>
                <w:szCs w:val="21"/>
              </w:rPr>
              <w:t>0</w:t>
            </w:r>
            <w:r>
              <w:rPr>
                <w:rFonts w:ascii="Times New Roman" w:eastAsia="仿宋"/>
                <w:szCs w:val="21"/>
              </w:rPr>
              <w:t>.002</w:t>
            </w:r>
          </w:p>
        </w:tc>
        <w:tc>
          <w:tcPr>
            <w:tcW w:w="888" w:type="dxa"/>
            <w:vAlign w:val="center"/>
          </w:tcPr>
          <w:p w14:paraId="47403BC2">
            <w:pPr>
              <w:jc w:val="center"/>
              <w:rPr>
                <w:rFonts w:ascii="Times New Roman" w:eastAsia="仿宋"/>
                <w:szCs w:val="21"/>
              </w:rPr>
            </w:pPr>
            <w:r>
              <w:rPr>
                <w:rFonts w:hint="eastAsia" w:ascii="Times New Roman" w:eastAsia="仿宋"/>
                <w:szCs w:val="21"/>
              </w:rPr>
              <w:t>0</w:t>
            </w:r>
            <w:r>
              <w:rPr>
                <w:rFonts w:ascii="Times New Roman" w:eastAsia="仿宋"/>
                <w:szCs w:val="21"/>
              </w:rPr>
              <w:t>.0008</w:t>
            </w:r>
          </w:p>
        </w:tc>
        <w:tc>
          <w:tcPr>
            <w:tcW w:w="1412" w:type="dxa"/>
            <w:vAlign w:val="center"/>
          </w:tcPr>
          <w:p w14:paraId="3EEAF214">
            <w:pPr>
              <w:jc w:val="center"/>
              <w:rPr>
                <w:rFonts w:ascii="Times New Roman" w:eastAsia="仿宋"/>
                <w:szCs w:val="21"/>
              </w:rPr>
            </w:pPr>
            <w:r>
              <w:rPr>
                <w:rFonts w:hint="eastAsia" w:ascii="Times New Roman" w:eastAsia="仿宋"/>
                <w:szCs w:val="21"/>
              </w:rPr>
              <w:t>/</w:t>
            </w:r>
          </w:p>
        </w:tc>
        <w:tc>
          <w:tcPr>
            <w:tcW w:w="1002" w:type="dxa"/>
            <w:vAlign w:val="center"/>
          </w:tcPr>
          <w:p w14:paraId="705326E8">
            <w:pPr>
              <w:jc w:val="center"/>
              <w:rPr>
                <w:rFonts w:ascii="Times New Roman" w:eastAsia="仿宋"/>
                <w:szCs w:val="21"/>
              </w:rPr>
            </w:pPr>
            <w:r>
              <w:rPr>
                <w:rFonts w:hint="eastAsia" w:ascii="Times New Roman" w:eastAsia="仿宋"/>
                <w:szCs w:val="21"/>
              </w:rPr>
              <w:t>0</w:t>
            </w:r>
            <w:r>
              <w:rPr>
                <w:rFonts w:ascii="Times New Roman" w:eastAsia="仿宋"/>
                <w:szCs w:val="21"/>
              </w:rPr>
              <w:t>.0008</w:t>
            </w:r>
          </w:p>
        </w:tc>
      </w:tr>
      <w:tr w14:paraId="360C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72" w:hRule="atLeast"/>
          <w:jc w:val="center"/>
        </w:trPr>
        <w:tc>
          <w:tcPr>
            <w:tcW w:w="571" w:type="dxa"/>
            <w:vMerge w:val="restart"/>
            <w:vAlign w:val="center"/>
          </w:tcPr>
          <w:p w14:paraId="61CCCE00">
            <w:pPr>
              <w:jc w:val="center"/>
              <w:rPr>
                <w:rFonts w:ascii="Times New Roman" w:eastAsia="仿宋"/>
                <w:szCs w:val="21"/>
              </w:rPr>
            </w:pPr>
            <w:r>
              <w:rPr>
                <w:rFonts w:hint="eastAsia" w:ascii="Times New Roman" w:eastAsia="仿宋"/>
                <w:szCs w:val="21"/>
              </w:rPr>
              <w:t>废气</w:t>
            </w:r>
          </w:p>
        </w:tc>
        <w:tc>
          <w:tcPr>
            <w:tcW w:w="314" w:type="dxa"/>
            <w:vMerge w:val="restart"/>
            <w:vAlign w:val="center"/>
          </w:tcPr>
          <w:p w14:paraId="7CC7818B">
            <w:pPr>
              <w:jc w:val="center"/>
              <w:rPr>
                <w:rFonts w:ascii="Times New Roman" w:eastAsia="仿宋"/>
                <w:szCs w:val="21"/>
              </w:rPr>
            </w:pPr>
            <w:r>
              <w:rPr>
                <w:rFonts w:hint="eastAsia" w:ascii="Times New Roman" w:eastAsia="仿宋"/>
                <w:szCs w:val="21"/>
              </w:rPr>
              <w:t>有组织废气</w:t>
            </w:r>
          </w:p>
        </w:tc>
        <w:tc>
          <w:tcPr>
            <w:tcW w:w="528" w:type="dxa"/>
            <w:vAlign w:val="center"/>
          </w:tcPr>
          <w:p w14:paraId="4299BFF5">
            <w:pPr>
              <w:jc w:val="center"/>
              <w:rPr>
                <w:rFonts w:ascii="Times New Roman" w:eastAsia="仿宋"/>
                <w:szCs w:val="21"/>
              </w:rPr>
            </w:pPr>
            <w:r>
              <w:rPr>
                <w:rFonts w:hint="eastAsia" w:ascii="Times New Roman" w:eastAsia="仿宋"/>
                <w:szCs w:val="21"/>
              </w:rPr>
              <w:t>1#</w:t>
            </w:r>
          </w:p>
        </w:tc>
        <w:tc>
          <w:tcPr>
            <w:tcW w:w="1276" w:type="dxa"/>
            <w:vAlign w:val="center"/>
          </w:tcPr>
          <w:p w14:paraId="1C176587">
            <w:pPr>
              <w:jc w:val="center"/>
              <w:rPr>
                <w:rFonts w:ascii="Times New Roman" w:eastAsia="仿宋"/>
                <w:szCs w:val="21"/>
              </w:rPr>
            </w:pPr>
            <w:r>
              <w:rPr>
                <w:rFonts w:hint="eastAsia" w:ascii="Times New Roman" w:eastAsia="仿宋"/>
                <w:szCs w:val="21"/>
              </w:rPr>
              <w:t>颗粒物</w:t>
            </w:r>
          </w:p>
        </w:tc>
        <w:tc>
          <w:tcPr>
            <w:tcW w:w="1139" w:type="dxa"/>
            <w:vAlign w:val="center"/>
          </w:tcPr>
          <w:p w14:paraId="383B09B8">
            <w:pPr>
              <w:jc w:val="center"/>
              <w:rPr>
                <w:rFonts w:ascii="Times New Roman" w:eastAsia="仿宋"/>
                <w:szCs w:val="21"/>
              </w:rPr>
            </w:pPr>
            <w:r>
              <w:rPr>
                <w:rFonts w:hint="eastAsia" w:ascii="Times New Roman" w:eastAsia="仿宋"/>
                <w:szCs w:val="24"/>
              </w:rPr>
              <w:t>湿式除尘</w:t>
            </w:r>
          </w:p>
        </w:tc>
        <w:tc>
          <w:tcPr>
            <w:tcW w:w="1418" w:type="dxa"/>
            <w:vAlign w:val="center"/>
          </w:tcPr>
          <w:p w14:paraId="5A1C745C">
            <w:pPr>
              <w:jc w:val="center"/>
              <w:rPr>
                <w:rFonts w:ascii="Times New Roman" w:eastAsia="仿宋"/>
                <w:szCs w:val="21"/>
              </w:rPr>
            </w:pPr>
            <w:r>
              <w:rPr>
                <w:rFonts w:ascii="Times New Roman" w:eastAsia="仿宋"/>
                <w:szCs w:val="21"/>
              </w:rPr>
              <w:t>2.5</w:t>
            </w:r>
            <w:r>
              <w:rPr>
                <w:rFonts w:hint="eastAsia" w:ascii="Times New Roman" w:eastAsia="仿宋"/>
                <w:szCs w:val="21"/>
              </w:rPr>
              <w:t>mg/m</w:t>
            </w:r>
            <w:r>
              <w:rPr>
                <w:rFonts w:hint="eastAsia" w:ascii="Times New Roman" w:eastAsia="仿宋"/>
                <w:szCs w:val="21"/>
                <w:vertAlign w:val="superscript"/>
              </w:rPr>
              <w:t>3</w:t>
            </w:r>
          </w:p>
        </w:tc>
        <w:tc>
          <w:tcPr>
            <w:tcW w:w="2423" w:type="dxa"/>
            <w:vAlign w:val="center"/>
          </w:tcPr>
          <w:p w14:paraId="3515FE39">
            <w:pPr>
              <w:jc w:val="center"/>
              <w:rPr>
                <w:rFonts w:ascii="Times New Roman" w:eastAsia="仿宋"/>
                <w:szCs w:val="21"/>
              </w:rPr>
            </w:pPr>
            <w:r>
              <w:rPr>
                <w:rFonts w:hint="eastAsia" w:ascii="Times New Roman" w:eastAsia="仿宋"/>
                <w:szCs w:val="21"/>
              </w:rPr>
              <w:t>《大气污染物综合排放标准》（DB32/4041-2021）</w:t>
            </w:r>
          </w:p>
        </w:tc>
        <w:tc>
          <w:tcPr>
            <w:tcW w:w="1164" w:type="dxa"/>
            <w:vAlign w:val="center"/>
          </w:tcPr>
          <w:p w14:paraId="7B1B5E9C">
            <w:pPr>
              <w:jc w:val="center"/>
              <w:rPr>
                <w:rFonts w:ascii="Times New Roman" w:eastAsia="仿宋"/>
                <w:szCs w:val="21"/>
              </w:rPr>
            </w:pPr>
            <w:r>
              <w:rPr>
                <w:rFonts w:hint="eastAsia" w:ascii="Times New Roman" w:eastAsia="仿宋"/>
                <w:szCs w:val="21"/>
              </w:rPr>
              <w:t>20mg/m</w:t>
            </w:r>
            <w:r>
              <w:rPr>
                <w:rFonts w:hint="eastAsia" w:ascii="Times New Roman" w:eastAsia="仿宋"/>
                <w:szCs w:val="21"/>
                <w:vertAlign w:val="superscript"/>
              </w:rPr>
              <w:t>3</w:t>
            </w:r>
          </w:p>
        </w:tc>
        <w:tc>
          <w:tcPr>
            <w:tcW w:w="1008" w:type="dxa"/>
            <w:vAlign w:val="center"/>
          </w:tcPr>
          <w:p w14:paraId="5F8BCF70">
            <w:pPr>
              <w:jc w:val="center"/>
              <w:rPr>
                <w:rFonts w:ascii="Times New Roman" w:eastAsia="仿宋"/>
                <w:szCs w:val="21"/>
              </w:rPr>
            </w:pPr>
            <w:r>
              <w:rPr>
                <w:rFonts w:hint="eastAsia" w:ascii="Times New Roman" w:eastAsia="仿宋"/>
                <w:szCs w:val="21"/>
              </w:rPr>
              <w:t>1kg/h</w:t>
            </w:r>
          </w:p>
        </w:tc>
        <w:tc>
          <w:tcPr>
            <w:tcW w:w="1779" w:type="dxa"/>
            <w:gridSpan w:val="2"/>
            <w:vAlign w:val="center"/>
          </w:tcPr>
          <w:p w14:paraId="4C206B18">
            <w:pPr>
              <w:jc w:val="center"/>
              <w:rPr>
                <w:rFonts w:ascii="Times New Roman" w:eastAsia="仿宋"/>
                <w:szCs w:val="21"/>
              </w:rPr>
            </w:pPr>
            <w:r>
              <w:rPr>
                <w:rFonts w:ascii="Times New Roman" w:eastAsia="仿宋"/>
                <w:szCs w:val="21"/>
              </w:rPr>
              <w:t>0.</w:t>
            </w:r>
            <w:r>
              <w:rPr>
                <w:rFonts w:hint="eastAsia" w:ascii="Times New Roman" w:eastAsia="仿宋"/>
                <w:szCs w:val="21"/>
              </w:rPr>
              <w:t>1</w:t>
            </w:r>
          </w:p>
        </w:tc>
        <w:tc>
          <w:tcPr>
            <w:tcW w:w="1412" w:type="dxa"/>
            <w:vAlign w:val="center"/>
          </w:tcPr>
          <w:p w14:paraId="64554B94">
            <w:pPr>
              <w:jc w:val="center"/>
              <w:rPr>
                <w:rFonts w:ascii="Times New Roman" w:eastAsia="仿宋"/>
                <w:szCs w:val="21"/>
              </w:rPr>
            </w:pPr>
            <w:r>
              <w:rPr>
                <w:rFonts w:ascii="Times New Roman" w:eastAsia="仿宋"/>
                <w:szCs w:val="21"/>
              </w:rPr>
              <w:t>0.</w:t>
            </w:r>
            <w:r>
              <w:rPr>
                <w:rFonts w:hint="eastAsia" w:ascii="Times New Roman" w:eastAsia="仿宋"/>
                <w:szCs w:val="21"/>
              </w:rPr>
              <w:t>1</w:t>
            </w:r>
          </w:p>
        </w:tc>
        <w:tc>
          <w:tcPr>
            <w:tcW w:w="1002" w:type="dxa"/>
            <w:vAlign w:val="center"/>
          </w:tcPr>
          <w:p w14:paraId="025A1473">
            <w:pPr>
              <w:jc w:val="center"/>
              <w:rPr>
                <w:rFonts w:ascii="Times New Roman" w:eastAsia="仿宋"/>
                <w:szCs w:val="21"/>
              </w:rPr>
            </w:pPr>
            <w:r>
              <w:rPr>
                <w:rFonts w:hint="eastAsia" w:ascii="Times New Roman" w:eastAsia="仿宋"/>
                <w:szCs w:val="21"/>
              </w:rPr>
              <w:t>/</w:t>
            </w:r>
          </w:p>
        </w:tc>
      </w:tr>
      <w:tr w14:paraId="3AAE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6" w:hRule="atLeast"/>
          <w:jc w:val="center"/>
        </w:trPr>
        <w:tc>
          <w:tcPr>
            <w:tcW w:w="571" w:type="dxa"/>
            <w:vMerge w:val="continue"/>
            <w:vAlign w:val="center"/>
          </w:tcPr>
          <w:p w14:paraId="6AFC1A79">
            <w:pPr>
              <w:jc w:val="center"/>
              <w:rPr>
                <w:rFonts w:ascii="Times New Roman" w:eastAsia="仿宋"/>
                <w:szCs w:val="21"/>
              </w:rPr>
            </w:pPr>
          </w:p>
        </w:tc>
        <w:tc>
          <w:tcPr>
            <w:tcW w:w="314" w:type="dxa"/>
            <w:vMerge w:val="continue"/>
            <w:vAlign w:val="center"/>
          </w:tcPr>
          <w:p w14:paraId="2FECA709">
            <w:pPr>
              <w:jc w:val="center"/>
              <w:rPr>
                <w:rFonts w:ascii="Times New Roman" w:eastAsia="仿宋"/>
                <w:szCs w:val="21"/>
              </w:rPr>
            </w:pPr>
          </w:p>
        </w:tc>
        <w:tc>
          <w:tcPr>
            <w:tcW w:w="528" w:type="dxa"/>
            <w:vMerge w:val="restart"/>
            <w:vAlign w:val="center"/>
          </w:tcPr>
          <w:p w14:paraId="13971AFF">
            <w:pPr>
              <w:jc w:val="center"/>
              <w:rPr>
                <w:rFonts w:ascii="Times New Roman" w:eastAsia="仿宋"/>
                <w:szCs w:val="21"/>
              </w:rPr>
            </w:pPr>
            <w:r>
              <w:rPr>
                <w:rFonts w:hint="eastAsia" w:ascii="Times New Roman" w:eastAsia="仿宋"/>
                <w:szCs w:val="21"/>
              </w:rPr>
              <w:t xml:space="preserve">2# </w:t>
            </w:r>
          </w:p>
        </w:tc>
        <w:tc>
          <w:tcPr>
            <w:tcW w:w="1276" w:type="dxa"/>
            <w:vAlign w:val="center"/>
          </w:tcPr>
          <w:p w14:paraId="206A4007">
            <w:pPr>
              <w:jc w:val="center"/>
              <w:rPr>
                <w:rFonts w:ascii="Times New Roman" w:eastAsia="仿宋"/>
                <w:szCs w:val="21"/>
              </w:rPr>
            </w:pPr>
            <w:r>
              <w:rPr>
                <w:rFonts w:hint="eastAsia" w:ascii="Times New Roman" w:eastAsia="仿宋"/>
                <w:szCs w:val="21"/>
              </w:rPr>
              <w:t>非甲烷总烃</w:t>
            </w:r>
          </w:p>
        </w:tc>
        <w:tc>
          <w:tcPr>
            <w:tcW w:w="1139" w:type="dxa"/>
            <w:vMerge w:val="restart"/>
            <w:vAlign w:val="center"/>
          </w:tcPr>
          <w:p w14:paraId="105003D5">
            <w:pPr>
              <w:jc w:val="center"/>
              <w:rPr>
                <w:rFonts w:ascii="Times New Roman" w:eastAsia="仿宋"/>
                <w:szCs w:val="21"/>
              </w:rPr>
            </w:pPr>
            <w:r>
              <w:rPr>
                <w:rFonts w:hint="eastAsia" w:ascii="Times New Roman" w:eastAsia="仿宋"/>
                <w:szCs w:val="21"/>
              </w:rPr>
              <w:t>水帘喷漆房+洗气除雾塔+干式过滤+分子筛吸附脱附+催化燃烧装置</w:t>
            </w:r>
          </w:p>
        </w:tc>
        <w:tc>
          <w:tcPr>
            <w:tcW w:w="1418" w:type="dxa"/>
            <w:vAlign w:val="center"/>
          </w:tcPr>
          <w:p w14:paraId="58FF40D7">
            <w:pPr>
              <w:jc w:val="center"/>
              <w:rPr>
                <w:rFonts w:ascii="Times New Roman" w:eastAsia="仿宋"/>
                <w:szCs w:val="21"/>
              </w:rPr>
            </w:pPr>
            <w:r>
              <w:rPr>
                <w:rFonts w:ascii="Times New Roman" w:eastAsia="仿宋"/>
                <w:szCs w:val="21"/>
              </w:rPr>
              <w:t>6.92</w:t>
            </w:r>
            <w:r>
              <w:rPr>
                <w:rFonts w:hint="eastAsia" w:ascii="Times New Roman" w:eastAsia="仿宋"/>
                <w:szCs w:val="21"/>
              </w:rPr>
              <w:t>mg/m</w:t>
            </w:r>
            <w:r>
              <w:rPr>
                <w:rFonts w:hint="eastAsia" w:ascii="Times New Roman" w:eastAsia="仿宋"/>
                <w:szCs w:val="21"/>
                <w:vertAlign w:val="superscript"/>
              </w:rPr>
              <w:t>3</w:t>
            </w:r>
          </w:p>
        </w:tc>
        <w:tc>
          <w:tcPr>
            <w:tcW w:w="2423" w:type="dxa"/>
            <w:vMerge w:val="restart"/>
            <w:vAlign w:val="center"/>
          </w:tcPr>
          <w:p w14:paraId="76A24285">
            <w:pPr>
              <w:jc w:val="center"/>
              <w:rPr>
                <w:rFonts w:ascii="Times New Roman" w:eastAsia="仿宋"/>
                <w:szCs w:val="21"/>
              </w:rPr>
            </w:pPr>
            <w:r>
              <w:rPr>
                <w:rFonts w:hint="eastAsia" w:ascii="Times New Roman" w:eastAsia="仿宋"/>
                <w:szCs w:val="21"/>
              </w:rPr>
              <w:t>《表面涂装（汽车零部件）大气污染物排放标准》（DB 32/3966-2021）表1 相关限值</w:t>
            </w:r>
          </w:p>
        </w:tc>
        <w:tc>
          <w:tcPr>
            <w:tcW w:w="1164" w:type="dxa"/>
            <w:vAlign w:val="center"/>
          </w:tcPr>
          <w:p w14:paraId="2B638968">
            <w:pPr>
              <w:jc w:val="center"/>
              <w:rPr>
                <w:rFonts w:ascii="Times New Roman" w:eastAsia="仿宋"/>
                <w:szCs w:val="21"/>
              </w:rPr>
            </w:pPr>
            <w:r>
              <w:rPr>
                <w:rFonts w:hint="eastAsia" w:ascii="Times New Roman" w:eastAsia="仿宋"/>
                <w:szCs w:val="21"/>
              </w:rPr>
              <w:t>40mg/m</w:t>
            </w:r>
            <w:r>
              <w:rPr>
                <w:rFonts w:hint="eastAsia" w:ascii="Times New Roman" w:eastAsia="仿宋"/>
                <w:szCs w:val="21"/>
                <w:vertAlign w:val="superscript"/>
              </w:rPr>
              <w:t>3</w:t>
            </w:r>
          </w:p>
        </w:tc>
        <w:tc>
          <w:tcPr>
            <w:tcW w:w="1008" w:type="dxa"/>
            <w:vAlign w:val="center"/>
          </w:tcPr>
          <w:p w14:paraId="629929B6">
            <w:pPr>
              <w:jc w:val="center"/>
              <w:rPr>
                <w:rFonts w:ascii="Times New Roman" w:eastAsia="仿宋"/>
                <w:szCs w:val="21"/>
              </w:rPr>
            </w:pPr>
            <w:r>
              <w:rPr>
                <w:rFonts w:hint="eastAsia" w:ascii="Times New Roman" w:eastAsia="仿宋"/>
                <w:szCs w:val="21"/>
              </w:rPr>
              <w:t>1.8kg/h</w:t>
            </w:r>
          </w:p>
        </w:tc>
        <w:tc>
          <w:tcPr>
            <w:tcW w:w="1779" w:type="dxa"/>
            <w:gridSpan w:val="2"/>
            <w:vAlign w:val="center"/>
          </w:tcPr>
          <w:p w14:paraId="22F1A821">
            <w:pPr>
              <w:jc w:val="center"/>
              <w:rPr>
                <w:rFonts w:ascii="Times New Roman" w:eastAsia="仿宋"/>
                <w:szCs w:val="21"/>
              </w:rPr>
            </w:pPr>
            <w:r>
              <w:rPr>
                <w:rFonts w:ascii="Times New Roman" w:eastAsia="仿宋"/>
                <w:szCs w:val="21"/>
              </w:rPr>
              <w:t>0.85</w:t>
            </w:r>
          </w:p>
        </w:tc>
        <w:tc>
          <w:tcPr>
            <w:tcW w:w="1412" w:type="dxa"/>
            <w:vAlign w:val="center"/>
          </w:tcPr>
          <w:p w14:paraId="773DADE8">
            <w:pPr>
              <w:jc w:val="center"/>
              <w:rPr>
                <w:rFonts w:ascii="Times New Roman" w:eastAsia="仿宋"/>
                <w:szCs w:val="21"/>
              </w:rPr>
            </w:pPr>
            <w:r>
              <w:rPr>
                <w:rFonts w:ascii="Times New Roman" w:eastAsia="仿宋"/>
                <w:szCs w:val="21"/>
              </w:rPr>
              <w:t>0.85</w:t>
            </w:r>
          </w:p>
        </w:tc>
        <w:tc>
          <w:tcPr>
            <w:tcW w:w="1002" w:type="dxa"/>
            <w:vMerge w:val="restart"/>
            <w:vAlign w:val="center"/>
          </w:tcPr>
          <w:p w14:paraId="135D36E4">
            <w:pPr>
              <w:jc w:val="center"/>
              <w:rPr>
                <w:rFonts w:ascii="Times New Roman" w:eastAsia="仿宋"/>
                <w:szCs w:val="21"/>
              </w:rPr>
            </w:pPr>
            <w:r>
              <w:rPr>
                <w:rFonts w:hint="eastAsia" w:ascii="Times New Roman" w:eastAsia="仿宋"/>
                <w:szCs w:val="21"/>
              </w:rPr>
              <w:t>/</w:t>
            </w:r>
          </w:p>
        </w:tc>
      </w:tr>
      <w:tr w14:paraId="7A54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90" w:hRule="atLeast"/>
          <w:jc w:val="center"/>
        </w:trPr>
        <w:tc>
          <w:tcPr>
            <w:tcW w:w="571" w:type="dxa"/>
            <w:vMerge w:val="continue"/>
            <w:vAlign w:val="center"/>
          </w:tcPr>
          <w:p w14:paraId="2AD9FFE6">
            <w:pPr>
              <w:jc w:val="center"/>
              <w:rPr>
                <w:rFonts w:ascii="Times New Roman" w:eastAsia="仿宋"/>
                <w:szCs w:val="21"/>
              </w:rPr>
            </w:pPr>
          </w:p>
        </w:tc>
        <w:tc>
          <w:tcPr>
            <w:tcW w:w="314" w:type="dxa"/>
            <w:vMerge w:val="continue"/>
            <w:vAlign w:val="center"/>
          </w:tcPr>
          <w:p w14:paraId="1F7337D6">
            <w:pPr>
              <w:jc w:val="center"/>
              <w:rPr>
                <w:rFonts w:ascii="Times New Roman" w:eastAsia="仿宋"/>
                <w:szCs w:val="21"/>
              </w:rPr>
            </w:pPr>
          </w:p>
        </w:tc>
        <w:tc>
          <w:tcPr>
            <w:tcW w:w="528" w:type="dxa"/>
            <w:vMerge w:val="continue"/>
            <w:vAlign w:val="center"/>
          </w:tcPr>
          <w:p w14:paraId="5C6E196B">
            <w:pPr>
              <w:jc w:val="center"/>
              <w:rPr>
                <w:rFonts w:ascii="Times New Roman" w:eastAsia="仿宋"/>
                <w:szCs w:val="21"/>
              </w:rPr>
            </w:pPr>
          </w:p>
        </w:tc>
        <w:tc>
          <w:tcPr>
            <w:tcW w:w="1276" w:type="dxa"/>
            <w:vAlign w:val="center"/>
          </w:tcPr>
          <w:p w14:paraId="719B7D7B">
            <w:pPr>
              <w:jc w:val="center"/>
              <w:rPr>
                <w:rFonts w:ascii="Times New Roman" w:eastAsia="仿宋"/>
                <w:szCs w:val="21"/>
              </w:rPr>
            </w:pPr>
            <w:r>
              <w:rPr>
                <w:rFonts w:hint="eastAsia" w:ascii="Times New Roman" w:eastAsia="仿宋"/>
                <w:szCs w:val="21"/>
              </w:rPr>
              <w:t>TVOC</w:t>
            </w:r>
          </w:p>
        </w:tc>
        <w:tc>
          <w:tcPr>
            <w:tcW w:w="1139" w:type="dxa"/>
            <w:vMerge w:val="continue"/>
            <w:vAlign w:val="center"/>
          </w:tcPr>
          <w:p w14:paraId="65AD0FB3">
            <w:pPr>
              <w:jc w:val="center"/>
              <w:rPr>
                <w:rFonts w:ascii="Times New Roman" w:eastAsia="仿宋"/>
                <w:szCs w:val="21"/>
              </w:rPr>
            </w:pPr>
          </w:p>
        </w:tc>
        <w:tc>
          <w:tcPr>
            <w:tcW w:w="1418" w:type="dxa"/>
            <w:vAlign w:val="center"/>
          </w:tcPr>
          <w:p w14:paraId="056F20F1">
            <w:pPr>
              <w:jc w:val="center"/>
              <w:rPr>
                <w:rFonts w:ascii="Times New Roman" w:eastAsia="仿宋"/>
                <w:szCs w:val="21"/>
              </w:rPr>
            </w:pPr>
            <w:r>
              <w:rPr>
                <w:rFonts w:ascii="Times New Roman" w:eastAsia="仿宋"/>
                <w:szCs w:val="21"/>
              </w:rPr>
              <w:t>6.92</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51790EFA">
            <w:pPr>
              <w:jc w:val="center"/>
              <w:rPr>
                <w:rFonts w:ascii="Times New Roman" w:eastAsia="仿宋"/>
                <w:szCs w:val="21"/>
              </w:rPr>
            </w:pPr>
          </w:p>
        </w:tc>
        <w:tc>
          <w:tcPr>
            <w:tcW w:w="1164" w:type="dxa"/>
            <w:vAlign w:val="center"/>
          </w:tcPr>
          <w:p w14:paraId="6A36435D">
            <w:pPr>
              <w:jc w:val="center"/>
              <w:rPr>
                <w:rFonts w:ascii="Times New Roman" w:eastAsia="仿宋"/>
                <w:szCs w:val="21"/>
              </w:rPr>
            </w:pPr>
            <w:r>
              <w:rPr>
                <w:rFonts w:hint="eastAsia" w:ascii="Times New Roman" w:eastAsia="仿宋"/>
                <w:szCs w:val="21"/>
              </w:rPr>
              <w:t>60mg/m</w:t>
            </w:r>
            <w:r>
              <w:rPr>
                <w:rFonts w:hint="eastAsia" w:ascii="Times New Roman" w:eastAsia="仿宋"/>
                <w:szCs w:val="21"/>
                <w:vertAlign w:val="superscript"/>
              </w:rPr>
              <w:t>3</w:t>
            </w:r>
          </w:p>
        </w:tc>
        <w:tc>
          <w:tcPr>
            <w:tcW w:w="1008" w:type="dxa"/>
            <w:vAlign w:val="center"/>
          </w:tcPr>
          <w:p w14:paraId="0AC8A058">
            <w:pPr>
              <w:jc w:val="center"/>
              <w:rPr>
                <w:rFonts w:ascii="Times New Roman" w:eastAsia="仿宋"/>
                <w:szCs w:val="21"/>
              </w:rPr>
            </w:pPr>
            <w:r>
              <w:rPr>
                <w:rFonts w:hint="eastAsia" w:ascii="Times New Roman" w:eastAsia="仿宋"/>
                <w:szCs w:val="21"/>
              </w:rPr>
              <w:t>2kg/h</w:t>
            </w:r>
          </w:p>
        </w:tc>
        <w:tc>
          <w:tcPr>
            <w:tcW w:w="1779" w:type="dxa"/>
            <w:gridSpan w:val="2"/>
            <w:vAlign w:val="center"/>
          </w:tcPr>
          <w:p w14:paraId="7A60C367">
            <w:pPr>
              <w:jc w:val="center"/>
              <w:rPr>
                <w:rFonts w:ascii="Times New Roman" w:eastAsia="仿宋"/>
                <w:szCs w:val="21"/>
              </w:rPr>
            </w:pPr>
            <w:r>
              <w:rPr>
                <w:rFonts w:ascii="Times New Roman" w:eastAsia="仿宋"/>
                <w:szCs w:val="21"/>
              </w:rPr>
              <w:t>0.85</w:t>
            </w:r>
          </w:p>
        </w:tc>
        <w:tc>
          <w:tcPr>
            <w:tcW w:w="1412" w:type="dxa"/>
            <w:vAlign w:val="center"/>
          </w:tcPr>
          <w:p w14:paraId="27CCDAB1">
            <w:pPr>
              <w:jc w:val="center"/>
              <w:rPr>
                <w:rFonts w:ascii="Times New Roman" w:eastAsia="仿宋"/>
                <w:szCs w:val="21"/>
              </w:rPr>
            </w:pPr>
            <w:r>
              <w:rPr>
                <w:rFonts w:ascii="Times New Roman" w:eastAsia="仿宋"/>
                <w:szCs w:val="21"/>
              </w:rPr>
              <w:t>0.85</w:t>
            </w:r>
          </w:p>
        </w:tc>
        <w:tc>
          <w:tcPr>
            <w:tcW w:w="1002" w:type="dxa"/>
            <w:vMerge w:val="continue"/>
            <w:vAlign w:val="center"/>
          </w:tcPr>
          <w:p w14:paraId="19B4F743">
            <w:pPr>
              <w:jc w:val="center"/>
              <w:rPr>
                <w:rFonts w:ascii="Times New Roman" w:eastAsia="仿宋"/>
                <w:szCs w:val="21"/>
              </w:rPr>
            </w:pPr>
          </w:p>
        </w:tc>
      </w:tr>
      <w:tr w14:paraId="1D34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90" w:hRule="atLeast"/>
          <w:jc w:val="center"/>
        </w:trPr>
        <w:tc>
          <w:tcPr>
            <w:tcW w:w="571" w:type="dxa"/>
            <w:vMerge w:val="continue"/>
            <w:vAlign w:val="center"/>
          </w:tcPr>
          <w:p w14:paraId="614F6D74">
            <w:pPr>
              <w:jc w:val="center"/>
              <w:rPr>
                <w:rFonts w:ascii="Times New Roman" w:eastAsia="仿宋"/>
                <w:szCs w:val="21"/>
              </w:rPr>
            </w:pPr>
          </w:p>
        </w:tc>
        <w:tc>
          <w:tcPr>
            <w:tcW w:w="314" w:type="dxa"/>
            <w:vMerge w:val="continue"/>
            <w:vAlign w:val="center"/>
          </w:tcPr>
          <w:p w14:paraId="4EEC9AA9">
            <w:pPr>
              <w:jc w:val="center"/>
              <w:rPr>
                <w:rFonts w:ascii="Times New Roman" w:eastAsia="仿宋"/>
                <w:szCs w:val="21"/>
              </w:rPr>
            </w:pPr>
          </w:p>
        </w:tc>
        <w:tc>
          <w:tcPr>
            <w:tcW w:w="528" w:type="dxa"/>
            <w:vMerge w:val="continue"/>
            <w:vAlign w:val="center"/>
          </w:tcPr>
          <w:p w14:paraId="525E87BA">
            <w:pPr>
              <w:jc w:val="center"/>
              <w:rPr>
                <w:rFonts w:ascii="Times New Roman" w:eastAsia="仿宋"/>
                <w:szCs w:val="21"/>
              </w:rPr>
            </w:pPr>
          </w:p>
        </w:tc>
        <w:tc>
          <w:tcPr>
            <w:tcW w:w="1276" w:type="dxa"/>
            <w:shd w:val="clear" w:color="auto" w:fill="auto"/>
            <w:vAlign w:val="center"/>
          </w:tcPr>
          <w:p w14:paraId="37A3CD60">
            <w:pPr>
              <w:jc w:val="center"/>
              <w:rPr>
                <w:rFonts w:ascii="Times New Roman" w:eastAsia="仿宋"/>
                <w:szCs w:val="21"/>
              </w:rPr>
            </w:pPr>
            <w:r>
              <w:rPr>
                <w:rFonts w:hint="eastAsia" w:ascii="Times New Roman" w:eastAsia="仿宋"/>
                <w:szCs w:val="21"/>
              </w:rPr>
              <w:t>二甲苯</w:t>
            </w:r>
          </w:p>
        </w:tc>
        <w:tc>
          <w:tcPr>
            <w:tcW w:w="1139" w:type="dxa"/>
            <w:vMerge w:val="continue"/>
            <w:vAlign w:val="center"/>
          </w:tcPr>
          <w:p w14:paraId="41209A50">
            <w:pPr>
              <w:jc w:val="center"/>
              <w:rPr>
                <w:rFonts w:ascii="Times New Roman" w:eastAsia="仿宋"/>
                <w:szCs w:val="21"/>
              </w:rPr>
            </w:pPr>
          </w:p>
        </w:tc>
        <w:tc>
          <w:tcPr>
            <w:tcW w:w="1418" w:type="dxa"/>
            <w:vAlign w:val="center"/>
          </w:tcPr>
          <w:p w14:paraId="27D1933E">
            <w:pPr>
              <w:jc w:val="center"/>
              <w:rPr>
                <w:rFonts w:ascii="Times New Roman" w:eastAsia="仿宋"/>
                <w:szCs w:val="21"/>
              </w:rPr>
            </w:pPr>
            <w:r>
              <w:rPr>
                <w:rFonts w:ascii="Times New Roman" w:eastAsia="仿宋"/>
                <w:szCs w:val="21"/>
              </w:rPr>
              <w:t>1.15</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5B1D716E">
            <w:pPr>
              <w:jc w:val="center"/>
              <w:rPr>
                <w:rFonts w:ascii="Times New Roman" w:eastAsia="仿宋"/>
                <w:szCs w:val="21"/>
              </w:rPr>
            </w:pPr>
          </w:p>
        </w:tc>
        <w:tc>
          <w:tcPr>
            <w:tcW w:w="1164" w:type="dxa"/>
            <w:vAlign w:val="center"/>
          </w:tcPr>
          <w:p w14:paraId="18AE0987">
            <w:pPr>
              <w:jc w:val="center"/>
              <w:rPr>
                <w:rFonts w:ascii="Times New Roman" w:eastAsia="仿宋"/>
                <w:szCs w:val="21"/>
              </w:rPr>
            </w:pPr>
            <w:r>
              <w:rPr>
                <w:rFonts w:hint="eastAsia" w:ascii="Times New Roman" w:eastAsia="仿宋"/>
                <w:szCs w:val="21"/>
              </w:rPr>
              <w:t>15mg/m</w:t>
            </w:r>
            <w:r>
              <w:rPr>
                <w:rFonts w:hint="eastAsia" w:ascii="Times New Roman" w:eastAsia="仿宋"/>
                <w:szCs w:val="21"/>
                <w:vertAlign w:val="superscript"/>
              </w:rPr>
              <w:t>3</w:t>
            </w:r>
          </w:p>
        </w:tc>
        <w:tc>
          <w:tcPr>
            <w:tcW w:w="1008" w:type="dxa"/>
            <w:vAlign w:val="center"/>
          </w:tcPr>
          <w:p w14:paraId="492E0252">
            <w:pPr>
              <w:jc w:val="center"/>
              <w:rPr>
                <w:rFonts w:ascii="Times New Roman" w:eastAsia="仿宋"/>
                <w:szCs w:val="21"/>
              </w:rPr>
            </w:pPr>
            <w:r>
              <w:rPr>
                <w:rFonts w:hint="eastAsia" w:ascii="Times New Roman" w:eastAsia="仿宋"/>
                <w:szCs w:val="21"/>
              </w:rPr>
              <w:t>0.8kg/h</w:t>
            </w:r>
          </w:p>
        </w:tc>
        <w:tc>
          <w:tcPr>
            <w:tcW w:w="1779" w:type="dxa"/>
            <w:gridSpan w:val="2"/>
            <w:vAlign w:val="center"/>
          </w:tcPr>
          <w:p w14:paraId="309B6B5C">
            <w:pPr>
              <w:jc w:val="center"/>
              <w:rPr>
                <w:rFonts w:ascii="Times New Roman" w:eastAsia="仿宋"/>
                <w:szCs w:val="21"/>
              </w:rPr>
            </w:pPr>
            <w:r>
              <w:rPr>
                <w:rFonts w:hint="eastAsia" w:ascii="Times New Roman" w:eastAsia="仿宋"/>
                <w:szCs w:val="21"/>
              </w:rPr>
              <w:t>0.</w:t>
            </w:r>
            <w:r>
              <w:rPr>
                <w:rFonts w:ascii="Times New Roman" w:eastAsia="仿宋"/>
                <w:szCs w:val="21"/>
              </w:rPr>
              <w:t>13</w:t>
            </w:r>
          </w:p>
        </w:tc>
        <w:tc>
          <w:tcPr>
            <w:tcW w:w="1412" w:type="dxa"/>
            <w:vAlign w:val="center"/>
          </w:tcPr>
          <w:p w14:paraId="28A4AC1F">
            <w:pPr>
              <w:jc w:val="center"/>
              <w:rPr>
                <w:rFonts w:ascii="Times New Roman" w:eastAsia="仿宋"/>
                <w:szCs w:val="21"/>
              </w:rPr>
            </w:pPr>
            <w:r>
              <w:rPr>
                <w:rFonts w:hint="eastAsia" w:ascii="Times New Roman" w:eastAsia="仿宋"/>
                <w:szCs w:val="21"/>
              </w:rPr>
              <w:t>0.</w:t>
            </w:r>
            <w:r>
              <w:rPr>
                <w:rFonts w:ascii="Times New Roman" w:eastAsia="仿宋"/>
                <w:szCs w:val="21"/>
              </w:rPr>
              <w:t>13</w:t>
            </w:r>
          </w:p>
        </w:tc>
        <w:tc>
          <w:tcPr>
            <w:tcW w:w="1002" w:type="dxa"/>
            <w:vMerge w:val="continue"/>
            <w:vAlign w:val="center"/>
          </w:tcPr>
          <w:p w14:paraId="7CF1D2E2">
            <w:pPr>
              <w:jc w:val="center"/>
              <w:rPr>
                <w:rFonts w:ascii="Times New Roman" w:eastAsia="仿宋"/>
                <w:szCs w:val="21"/>
              </w:rPr>
            </w:pPr>
          </w:p>
        </w:tc>
      </w:tr>
      <w:tr w14:paraId="34FB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90" w:hRule="atLeast"/>
          <w:jc w:val="center"/>
        </w:trPr>
        <w:tc>
          <w:tcPr>
            <w:tcW w:w="571" w:type="dxa"/>
            <w:vMerge w:val="continue"/>
            <w:vAlign w:val="center"/>
          </w:tcPr>
          <w:p w14:paraId="438B802F">
            <w:pPr>
              <w:jc w:val="center"/>
              <w:rPr>
                <w:rFonts w:ascii="Times New Roman" w:eastAsia="仿宋"/>
                <w:szCs w:val="21"/>
              </w:rPr>
            </w:pPr>
          </w:p>
        </w:tc>
        <w:tc>
          <w:tcPr>
            <w:tcW w:w="314" w:type="dxa"/>
            <w:vMerge w:val="continue"/>
            <w:vAlign w:val="center"/>
          </w:tcPr>
          <w:p w14:paraId="2C2EE973">
            <w:pPr>
              <w:jc w:val="center"/>
              <w:rPr>
                <w:rFonts w:ascii="Times New Roman" w:eastAsia="仿宋"/>
                <w:szCs w:val="21"/>
              </w:rPr>
            </w:pPr>
          </w:p>
        </w:tc>
        <w:tc>
          <w:tcPr>
            <w:tcW w:w="528" w:type="dxa"/>
            <w:vMerge w:val="continue"/>
            <w:vAlign w:val="center"/>
          </w:tcPr>
          <w:p w14:paraId="2B221286">
            <w:pPr>
              <w:jc w:val="center"/>
              <w:rPr>
                <w:rFonts w:ascii="Times New Roman" w:eastAsia="仿宋"/>
                <w:szCs w:val="21"/>
              </w:rPr>
            </w:pPr>
          </w:p>
        </w:tc>
        <w:tc>
          <w:tcPr>
            <w:tcW w:w="1276" w:type="dxa"/>
            <w:shd w:val="clear" w:color="auto" w:fill="auto"/>
            <w:vAlign w:val="center"/>
          </w:tcPr>
          <w:p w14:paraId="08945C6B">
            <w:pPr>
              <w:jc w:val="center"/>
              <w:rPr>
                <w:rFonts w:ascii="Times New Roman" w:eastAsia="仿宋"/>
                <w:szCs w:val="21"/>
              </w:rPr>
            </w:pPr>
            <w:r>
              <w:rPr>
                <w:rFonts w:hint="eastAsia" w:ascii="Times New Roman" w:eastAsia="仿宋"/>
                <w:szCs w:val="21"/>
              </w:rPr>
              <w:t>苯系物</w:t>
            </w:r>
          </w:p>
        </w:tc>
        <w:tc>
          <w:tcPr>
            <w:tcW w:w="1139" w:type="dxa"/>
            <w:vMerge w:val="continue"/>
            <w:vAlign w:val="center"/>
          </w:tcPr>
          <w:p w14:paraId="18FB2D10">
            <w:pPr>
              <w:jc w:val="center"/>
              <w:rPr>
                <w:rFonts w:ascii="Times New Roman" w:eastAsia="仿宋"/>
                <w:szCs w:val="21"/>
              </w:rPr>
            </w:pPr>
          </w:p>
        </w:tc>
        <w:tc>
          <w:tcPr>
            <w:tcW w:w="1418" w:type="dxa"/>
            <w:vAlign w:val="center"/>
          </w:tcPr>
          <w:p w14:paraId="4CA10FA5">
            <w:pPr>
              <w:jc w:val="center"/>
              <w:rPr>
                <w:rFonts w:ascii="Times New Roman" w:eastAsia="仿宋"/>
                <w:szCs w:val="21"/>
              </w:rPr>
            </w:pPr>
            <w:r>
              <w:rPr>
                <w:rFonts w:ascii="Times New Roman" w:eastAsia="仿宋"/>
                <w:szCs w:val="21"/>
              </w:rPr>
              <w:t>1.15</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6272DA7A">
            <w:pPr>
              <w:jc w:val="center"/>
              <w:rPr>
                <w:rFonts w:ascii="Times New Roman" w:eastAsia="仿宋"/>
                <w:szCs w:val="21"/>
              </w:rPr>
            </w:pPr>
          </w:p>
        </w:tc>
        <w:tc>
          <w:tcPr>
            <w:tcW w:w="1164" w:type="dxa"/>
            <w:vAlign w:val="center"/>
          </w:tcPr>
          <w:p w14:paraId="585543A9">
            <w:pPr>
              <w:jc w:val="center"/>
              <w:rPr>
                <w:rFonts w:ascii="Times New Roman" w:eastAsia="仿宋"/>
                <w:szCs w:val="21"/>
              </w:rPr>
            </w:pPr>
            <w:r>
              <w:rPr>
                <w:rFonts w:ascii="Times New Roman" w:eastAsia="仿宋"/>
                <w:szCs w:val="21"/>
              </w:rPr>
              <w:t>20</w:t>
            </w:r>
            <w:r>
              <w:rPr>
                <w:rFonts w:hint="eastAsia" w:ascii="Times New Roman" w:eastAsia="仿宋"/>
                <w:szCs w:val="21"/>
              </w:rPr>
              <w:t>mg/m</w:t>
            </w:r>
            <w:r>
              <w:rPr>
                <w:rFonts w:hint="eastAsia" w:ascii="Times New Roman" w:eastAsia="仿宋"/>
                <w:szCs w:val="21"/>
                <w:vertAlign w:val="superscript"/>
              </w:rPr>
              <w:t>3</w:t>
            </w:r>
          </w:p>
        </w:tc>
        <w:tc>
          <w:tcPr>
            <w:tcW w:w="1008" w:type="dxa"/>
            <w:vAlign w:val="center"/>
          </w:tcPr>
          <w:p w14:paraId="63DF88AB">
            <w:pPr>
              <w:jc w:val="center"/>
              <w:rPr>
                <w:rFonts w:ascii="Times New Roman" w:eastAsia="仿宋"/>
                <w:szCs w:val="21"/>
              </w:rPr>
            </w:pPr>
            <w:r>
              <w:rPr>
                <w:rFonts w:ascii="Times New Roman" w:eastAsia="仿宋"/>
                <w:szCs w:val="21"/>
              </w:rPr>
              <w:t>1.0</w:t>
            </w:r>
            <w:r>
              <w:rPr>
                <w:rFonts w:hint="eastAsia" w:ascii="Times New Roman" w:eastAsia="仿宋"/>
                <w:szCs w:val="21"/>
              </w:rPr>
              <w:t>kg/h</w:t>
            </w:r>
          </w:p>
        </w:tc>
        <w:tc>
          <w:tcPr>
            <w:tcW w:w="1779" w:type="dxa"/>
            <w:gridSpan w:val="2"/>
            <w:vAlign w:val="center"/>
          </w:tcPr>
          <w:p w14:paraId="1537665C">
            <w:pPr>
              <w:jc w:val="center"/>
              <w:rPr>
                <w:rFonts w:ascii="Times New Roman" w:eastAsia="仿宋"/>
                <w:szCs w:val="21"/>
              </w:rPr>
            </w:pPr>
            <w:r>
              <w:rPr>
                <w:rFonts w:hint="eastAsia" w:ascii="Times New Roman" w:eastAsia="仿宋"/>
                <w:szCs w:val="21"/>
              </w:rPr>
              <w:t>0.</w:t>
            </w:r>
            <w:r>
              <w:rPr>
                <w:rFonts w:ascii="Times New Roman" w:eastAsia="仿宋"/>
                <w:szCs w:val="21"/>
              </w:rPr>
              <w:t>13</w:t>
            </w:r>
          </w:p>
        </w:tc>
        <w:tc>
          <w:tcPr>
            <w:tcW w:w="1412" w:type="dxa"/>
            <w:vAlign w:val="center"/>
          </w:tcPr>
          <w:p w14:paraId="1A00E161">
            <w:pPr>
              <w:jc w:val="center"/>
              <w:rPr>
                <w:rFonts w:ascii="Times New Roman" w:eastAsia="仿宋"/>
                <w:szCs w:val="21"/>
              </w:rPr>
            </w:pPr>
            <w:r>
              <w:rPr>
                <w:rFonts w:hint="eastAsia" w:ascii="Times New Roman" w:eastAsia="仿宋"/>
                <w:szCs w:val="21"/>
              </w:rPr>
              <w:t>0.</w:t>
            </w:r>
            <w:r>
              <w:rPr>
                <w:rFonts w:ascii="Times New Roman" w:eastAsia="仿宋"/>
                <w:szCs w:val="21"/>
              </w:rPr>
              <w:t>13</w:t>
            </w:r>
          </w:p>
        </w:tc>
        <w:tc>
          <w:tcPr>
            <w:tcW w:w="1002" w:type="dxa"/>
            <w:vMerge w:val="continue"/>
            <w:vAlign w:val="center"/>
          </w:tcPr>
          <w:p w14:paraId="2600CEA9">
            <w:pPr>
              <w:jc w:val="center"/>
              <w:rPr>
                <w:rFonts w:ascii="Times New Roman" w:eastAsia="仿宋"/>
                <w:szCs w:val="21"/>
              </w:rPr>
            </w:pPr>
          </w:p>
        </w:tc>
      </w:tr>
      <w:tr w14:paraId="22FD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90" w:hRule="atLeast"/>
          <w:jc w:val="center"/>
        </w:trPr>
        <w:tc>
          <w:tcPr>
            <w:tcW w:w="571" w:type="dxa"/>
            <w:vMerge w:val="continue"/>
            <w:vAlign w:val="center"/>
          </w:tcPr>
          <w:p w14:paraId="6C7F4B9B">
            <w:pPr>
              <w:jc w:val="center"/>
              <w:rPr>
                <w:rFonts w:ascii="Times New Roman" w:eastAsia="仿宋"/>
                <w:szCs w:val="21"/>
              </w:rPr>
            </w:pPr>
          </w:p>
        </w:tc>
        <w:tc>
          <w:tcPr>
            <w:tcW w:w="314" w:type="dxa"/>
            <w:vMerge w:val="continue"/>
            <w:vAlign w:val="center"/>
          </w:tcPr>
          <w:p w14:paraId="5ECDC7EB">
            <w:pPr>
              <w:jc w:val="center"/>
              <w:rPr>
                <w:rFonts w:ascii="Times New Roman" w:eastAsia="仿宋"/>
                <w:szCs w:val="21"/>
              </w:rPr>
            </w:pPr>
          </w:p>
        </w:tc>
        <w:tc>
          <w:tcPr>
            <w:tcW w:w="528" w:type="dxa"/>
            <w:vMerge w:val="continue"/>
            <w:vAlign w:val="center"/>
          </w:tcPr>
          <w:p w14:paraId="5C5B5FF2">
            <w:pPr>
              <w:jc w:val="center"/>
              <w:rPr>
                <w:rFonts w:ascii="Times New Roman" w:eastAsia="仿宋"/>
                <w:szCs w:val="21"/>
              </w:rPr>
            </w:pPr>
          </w:p>
        </w:tc>
        <w:tc>
          <w:tcPr>
            <w:tcW w:w="1276" w:type="dxa"/>
            <w:shd w:val="clear" w:color="auto" w:fill="auto"/>
            <w:vAlign w:val="center"/>
          </w:tcPr>
          <w:p w14:paraId="489ED20F">
            <w:pPr>
              <w:jc w:val="center"/>
              <w:rPr>
                <w:rFonts w:ascii="Times New Roman" w:eastAsia="仿宋"/>
                <w:szCs w:val="21"/>
              </w:rPr>
            </w:pPr>
            <w:r>
              <w:rPr>
                <w:rFonts w:hint="eastAsia" w:ascii="Times New Roman" w:eastAsia="仿宋"/>
                <w:szCs w:val="21"/>
              </w:rPr>
              <w:t>颗粒物</w:t>
            </w:r>
          </w:p>
        </w:tc>
        <w:tc>
          <w:tcPr>
            <w:tcW w:w="1139" w:type="dxa"/>
            <w:vMerge w:val="continue"/>
            <w:vAlign w:val="center"/>
          </w:tcPr>
          <w:p w14:paraId="321B17FE">
            <w:pPr>
              <w:jc w:val="center"/>
              <w:rPr>
                <w:rFonts w:ascii="Times New Roman" w:eastAsia="仿宋"/>
                <w:szCs w:val="21"/>
              </w:rPr>
            </w:pPr>
          </w:p>
        </w:tc>
        <w:tc>
          <w:tcPr>
            <w:tcW w:w="1418" w:type="dxa"/>
            <w:vAlign w:val="center"/>
          </w:tcPr>
          <w:p w14:paraId="6F762FB8">
            <w:pPr>
              <w:jc w:val="center"/>
              <w:rPr>
                <w:rFonts w:ascii="Times New Roman" w:eastAsia="仿宋"/>
                <w:szCs w:val="21"/>
              </w:rPr>
            </w:pPr>
            <w:r>
              <w:rPr>
                <w:rFonts w:ascii="Times New Roman" w:eastAsia="仿宋"/>
                <w:szCs w:val="21"/>
              </w:rPr>
              <w:t>1.54</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51C012EF">
            <w:pPr>
              <w:jc w:val="center"/>
              <w:rPr>
                <w:rFonts w:ascii="Times New Roman" w:eastAsia="仿宋"/>
                <w:szCs w:val="21"/>
              </w:rPr>
            </w:pPr>
          </w:p>
        </w:tc>
        <w:tc>
          <w:tcPr>
            <w:tcW w:w="1164" w:type="dxa"/>
            <w:vAlign w:val="center"/>
          </w:tcPr>
          <w:p w14:paraId="0F74C58C">
            <w:pPr>
              <w:jc w:val="center"/>
              <w:rPr>
                <w:rFonts w:ascii="Times New Roman" w:eastAsia="仿宋"/>
                <w:szCs w:val="21"/>
              </w:rPr>
            </w:pPr>
            <w:r>
              <w:rPr>
                <w:rFonts w:hint="eastAsia" w:ascii="Times New Roman" w:eastAsia="仿宋"/>
                <w:szCs w:val="21"/>
              </w:rPr>
              <w:t>10mg/m</w:t>
            </w:r>
            <w:r>
              <w:rPr>
                <w:rFonts w:hint="eastAsia" w:ascii="Times New Roman" w:eastAsia="仿宋"/>
                <w:szCs w:val="21"/>
                <w:vertAlign w:val="superscript"/>
              </w:rPr>
              <w:t>3</w:t>
            </w:r>
          </w:p>
        </w:tc>
        <w:tc>
          <w:tcPr>
            <w:tcW w:w="1008" w:type="dxa"/>
            <w:vAlign w:val="center"/>
          </w:tcPr>
          <w:p w14:paraId="1F7D2345">
            <w:pPr>
              <w:jc w:val="center"/>
              <w:rPr>
                <w:rFonts w:ascii="Times New Roman" w:eastAsia="仿宋"/>
                <w:szCs w:val="21"/>
              </w:rPr>
            </w:pPr>
            <w:r>
              <w:rPr>
                <w:rFonts w:hint="eastAsia" w:ascii="Times New Roman" w:eastAsia="仿宋"/>
                <w:szCs w:val="21"/>
              </w:rPr>
              <w:t>0.6kg/h</w:t>
            </w:r>
          </w:p>
        </w:tc>
        <w:tc>
          <w:tcPr>
            <w:tcW w:w="1779" w:type="dxa"/>
            <w:gridSpan w:val="2"/>
            <w:vAlign w:val="center"/>
          </w:tcPr>
          <w:p w14:paraId="6F843526">
            <w:pPr>
              <w:jc w:val="center"/>
              <w:rPr>
                <w:rFonts w:ascii="Times New Roman" w:eastAsia="仿宋"/>
                <w:szCs w:val="21"/>
              </w:rPr>
            </w:pPr>
            <w:r>
              <w:rPr>
                <w:rFonts w:hint="eastAsia" w:ascii="Times New Roman" w:eastAsia="仿宋"/>
                <w:szCs w:val="21"/>
              </w:rPr>
              <w:t>0.</w:t>
            </w:r>
            <w:r>
              <w:rPr>
                <w:rFonts w:ascii="Times New Roman" w:eastAsia="仿宋"/>
                <w:szCs w:val="21"/>
              </w:rPr>
              <w:t>213</w:t>
            </w:r>
          </w:p>
        </w:tc>
        <w:tc>
          <w:tcPr>
            <w:tcW w:w="1412" w:type="dxa"/>
            <w:vAlign w:val="center"/>
          </w:tcPr>
          <w:p w14:paraId="2E4C6519">
            <w:pPr>
              <w:jc w:val="center"/>
              <w:rPr>
                <w:rFonts w:ascii="Times New Roman" w:eastAsia="仿宋"/>
                <w:szCs w:val="21"/>
              </w:rPr>
            </w:pPr>
            <w:r>
              <w:rPr>
                <w:rFonts w:hint="eastAsia" w:ascii="Times New Roman" w:eastAsia="仿宋"/>
                <w:szCs w:val="21"/>
              </w:rPr>
              <w:t>0.</w:t>
            </w:r>
            <w:r>
              <w:rPr>
                <w:rFonts w:ascii="Times New Roman" w:eastAsia="仿宋"/>
                <w:szCs w:val="21"/>
              </w:rPr>
              <w:t>213</w:t>
            </w:r>
          </w:p>
        </w:tc>
        <w:tc>
          <w:tcPr>
            <w:tcW w:w="1002" w:type="dxa"/>
            <w:vMerge w:val="continue"/>
            <w:vAlign w:val="center"/>
          </w:tcPr>
          <w:p w14:paraId="7F671EFC">
            <w:pPr>
              <w:jc w:val="center"/>
              <w:rPr>
                <w:rFonts w:ascii="Times New Roman" w:eastAsia="仿宋"/>
                <w:szCs w:val="21"/>
              </w:rPr>
            </w:pPr>
          </w:p>
        </w:tc>
      </w:tr>
      <w:tr w14:paraId="4F7B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90" w:hRule="atLeast"/>
          <w:jc w:val="center"/>
        </w:trPr>
        <w:tc>
          <w:tcPr>
            <w:tcW w:w="571" w:type="dxa"/>
            <w:vMerge w:val="continue"/>
            <w:vAlign w:val="center"/>
          </w:tcPr>
          <w:p w14:paraId="2F4956E9">
            <w:pPr>
              <w:jc w:val="center"/>
              <w:rPr>
                <w:rFonts w:ascii="Times New Roman" w:eastAsia="仿宋"/>
                <w:szCs w:val="21"/>
              </w:rPr>
            </w:pPr>
          </w:p>
        </w:tc>
        <w:tc>
          <w:tcPr>
            <w:tcW w:w="314" w:type="dxa"/>
            <w:vMerge w:val="continue"/>
            <w:vAlign w:val="center"/>
          </w:tcPr>
          <w:p w14:paraId="277EA593">
            <w:pPr>
              <w:jc w:val="center"/>
              <w:rPr>
                <w:rFonts w:ascii="Times New Roman" w:eastAsia="仿宋"/>
                <w:szCs w:val="21"/>
              </w:rPr>
            </w:pPr>
          </w:p>
        </w:tc>
        <w:tc>
          <w:tcPr>
            <w:tcW w:w="528" w:type="dxa"/>
            <w:vMerge w:val="continue"/>
            <w:vAlign w:val="center"/>
          </w:tcPr>
          <w:p w14:paraId="5B5C7F66">
            <w:pPr>
              <w:jc w:val="center"/>
              <w:rPr>
                <w:rFonts w:ascii="Times New Roman" w:eastAsia="仿宋"/>
                <w:szCs w:val="21"/>
              </w:rPr>
            </w:pPr>
          </w:p>
        </w:tc>
        <w:tc>
          <w:tcPr>
            <w:tcW w:w="1276" w:type="dxa"/>
            <w:vAlign w:val="center"/>
          </w:tcPr>
          <w:p w14:paraId="1F7E7352">
            <w:pPr>
              <w:adjustRightInd w:val="0"/>
              <w:snapToGrid w:val="0"/>
              <w:jc w:val="center"/>
              <w:rPr>
                <w:rFonts w:ascii="Times New Roman" w:eastAsia="仿宋"/>
                <w:szCs w:val="21"/>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139" w:type="dxa"/>
            <w:vMerge w:val="continue"/>
            <w:vAlign w:val="center"/>
          </w:tcPr>
          <w:p w14:paraId="479767AC">
            <w:pPr>
              <w:jc w:val="center"/>
              <w:rPr>
                <w:rFonts w:ascii="Times New Roman" w:eastAsia="仿宋"/>
                <w:szCs w:val="21"/>
              </w:rPr>
            </w:pPr>
          </w:p>
        </w:tc>
        <w:tc>
          <w:tcPr>
            <w:tcW w:w="1418" w:type="dxa"/>
            <w:vAlign w:val="center"/>
          </w:tcPr>
          <w:p w14:paraId="78929874">
            <w:pPr>
              <w:widowControl/>
              <w:jc w:val="center"/>
              <w:textAlignment w:val="center"/>
              <w:rPr>
                <w:rFonts w:ascii="Times New Roman" w:eastAsia="仿宋"/>
                <w:szCs w:val="21"/>
              </w:rPr>
            </w:pPr>
            <w:r>
              <w:rPr>
                <w:rFonts w:hint="eastAsia" w:ascii="Times New Roman" w:eastAsia="仿宋"/>
                <w:szCs w:val="24"/>
              </w:rPr>
              <w:t>0.04</w:t>
            </w:r>
            <w:r>
              <w:rPr>
                <w:rFonts w:hint="eastAsia" w:ascii="Times New Roman" w:eastAsia="仿宋"/>
                <w:szCs w:val="21"/>
              </w:rPr>
              <w:t>mg/m</w:t>
            </w:r>
            <w:r>
              <w:rPr>
                <w:rFonts w:hint="eastAsia" w:ascii="Times New Roman" w:eastAsia="仿宋"/>
                <w:szCs w:val="21"/>
                <w:vertAlign w:val="superscript"/>
              </w:rPr>
              <w:t>3</w:t>
            </w:r>
          </w:p>
        </w:tc>
        <w:tc>
          <w:tcPr>
            <w:tcW w:w="2423" w:type="dxa"/>
            <w:vMerge w:val="restart"/>
            <w:vAlign w:val="center"/>
          </w:tcPr>
          <w:p w14:paraId="2E43E7E4">
            <w:pPr>
              <w:jc w:val="center"/>
              <w:rPr>
                <w:rFonts w:ascii="Times New Roman" w:eastAsia="仿宋"/>
                <w:szCs w:val="21"/>
              </w:rPr>
            </w:pPr>
            <w:r>
              <w:rPr>
                <w:rFonts w:hint="eastAsia" w:ascii="Times New Roman" w:eastAsia="仿宋"/>
                <w:szCs w:val="21"/>
              </w:rPr>
              <w:t>《工业炉窑大气污染物排放标准》（DB 32/3728-2020）表1相关限值</w:t>
            </w:r>
          </w:p>
        </w:tc>
        <w:tc>
          <w:tcPr>
            <w:tcW w:w="1164" w:type="dxa"/>
            <w:vAlign w:val="center"/>
          </w:tcPr>
          <w:p w14:paraId="7E1E4320">
            <w:pPr>
              <w:jc w:val="center"/>
              <w:rPr>
                <w:rFonts w:ascii="Times New Roman" w:eastAsia="仿宋"/>
                <w:szCs w:val="21"/>
              </w:rPr>
            </w:pPr>
            <w:r>
              <w:rPr>
                <w:rFonts w:hint="eastAsia" w:ascii="Times New Roman" w:eastAsia="仿宋"/>
                <w:szCs w:val="21"/>
              </w:rPr>
              <w:t>80mg/m</w:t>
            </w:r>
            <w:r>
              <w:rPr>
                <w:rFonts w:hint="eastAsia" w:ascii="Times New Roman" w:eastAsia="仿宋"/>
                <w:szCs w:val="21"/>
                <w:vertAlign w:val="superscript"/>
              </w:rPr>
              <w:t>3</w:t>
            </w:r>
          </w:p>
        </w:tc>
        <w:tc>
          <w:tcPr>
            <w:tcW w:w="1008" w:type="dxa"/>
            <w:vAlign w:val="center"/>
          </w:tcPr>
          <w:p w14:paraId="414C91F8">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4B434192">
            <w:pPr>
              <w:jc w:val="center"/>
              <w:rPr>
                <w:rFonts w:ascii="Times New Roman" w:eastAsia="仿宋"/>
                <w:szCs w:val="21"/>
              </w:rPr>
            </w:pPr>
            <w:r>
              <w:rPr>
                <w:rFonts w:hint="eastAsia" w:ascii="Times New Roman" w:eastAsia="仿宋"/>
                <w:szCs w:val="21"/>
              </w:rPr>
              <w:t>0.005</w:t>
            </w:r>
          </w:p>
        </w:tc>
        <w:tc>
          <w:tcPr>
            <w:tcW w:w="1412" w:type="dxa"/>
            <w:vAlign w:val="center"/>
          </w:tcPr>
          <w:p w14:paraId="2041F58F">
            <w:pPr>
              <w:jc w:val="center"/>
              <w:rPr>
                <w:rFonts w:ascii="Times New Roman" w:eastAsia="仿宋"/>
                <w:szCs w:val="21"/>
              </w:rPr>
            </w:pPr>
            <w:r>
              <w:rPr>
                <w:rFonts w:hint="eastAsia" w:ascii="Times New Roman" w:eastAsia="仿宋"/>
                <w:szCs w:val="21"/>
              </w:rPr>
              <w:t>0.005</w:t>
            </w:r>
          </w:p>
        </w:tc>
        <w:tc>
          <w:tcPr>
            <w:tcW w:w="1002" w:type="dxa"/>
            <w:vMerge w:val="continue"/>
            <w:vAlign w:val="center"/>
          </w:tcPr>
          <w:p w14:paraId="33B0842A">
            <w:pPr>
              <w:jc w:val="center"/>
              <w:rPr>
                <w:rFonts w:ascii="Times New Roman" w:eastAsia="仿宋"/>
                <w:szCs w:val="21"/>
              </w:rPr>
            </w:pPr>
          </w:p>
        </w:tc>
      </w:tr>
      <w:tr w14:paraId="267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46CD73CF">
            <w:pPr>
              <w:jc w:val="center"/>
              <w:rPr>
                <w:rFonts w:ascii="Times New Roman" w:eastAsia="仿宋"/>
                <w:szCs w:val="21"/>
              </w:rPr>
            </w:pPr>
          </w:p>
        </w:tc>
        <w:tc>
          <w:tcPr>
            <w:tcW w:w="314" w:type="dxa"/>
            <w:vMerge w:val="continue"/>
            <w:vAlign w:val="center"/>
          </w:tcPr>
          <w:p w14:paraId="0FC66C6C">
            <w:pPr>
              <w:jc w:val="center"/>
              <w:rPr>
                <w:rFonts w:ascii="Times New Roman" w:eastAsia="仿宋"/>
                <w:szCs w:val="21"/>
              </w:rPr>
            </w:pPr>
          </w:p>
        </w:tc>
        <w:tc>
          <w:tcPr>
            <w:tcW w:w="528" w:type="dxa"/>
            <w:vMerge w:val="continue"/>
            <w:vAlign w:val="center"/>
          </w:tcPr>
          <w:p w14:paraId="46CFBC97">
            <w:pPr>
              <w:jc w:val="center"/>
              <w:rPr>
                <w:rFonts w:ascii="Times New Roman" w:eastAsia="仿宋"/>
                <w:szCs w:val="21"/>
              </w:rPr>
            </w:pPr>
          </w:p>
        </w:tc>
        <w:tc>
          <w:tcPr>
            <w:tcW w:w="1276" w:type="dxa"/>
            <w:vAlign w:val="center"/>
          </w:tcPr>
          <w:p w14:paraId="21E93AE9">
            <w:pPr>
              <w:adjustRightInd w:val="0"/>
              <w:snapToGrid w:val="0"/>
              <w:jc w:val="center"/>
              <w:rPr>
                <w:rFonts w:ascii="Times New Roman" w:eastAsia="仿宋"/>
                <w:szCs w:val="21"/>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139" w:type="dxa"/>
            <w:vMerge w:val="continue"/>
            <w:vAlign w:val="center"/>
          </w:tcPr>
          <w:p w14:paraId="5512B34D">
            <w:pPr>
              <w:jc w:val="center"/>
              <w:rPr>
                <w:rFonts w:ascii="Times New Roman" w:eastAsia="仿宋"/>
                <w:szCs w:val="21"/>
              </w:rPr>
            </w:pPr>
          </w:p>
        </w:tc>
        <w:tc>
          <w:tcPr>
            <w:tcW w:w="1418" w:type="dxa"/>
            <w:vAlign w:val="center"/>
          </w:tcPr>
          <w:p w14:paraId="7634A873">
            <w:pPr>
              <w:widowControl/>
              <w:jc w:val="center"/>
              <w:textAlignment w:val="center"/>
              <w:rPr>
                <w:rFonts w:ascii="Times New Roman" w:eastAsia="仿宋"/>
                <w:szCs w:val="21"/>
              </w:rPr>
            </w:pPr>
            <w:r>
              <w:rPr>
                <w:rFonts w:ascii="Times New Roman" w:eastAsia="仿宋"/>
                <w:szCs w:val="24"/>
              </w:rPr>
              <w:t>1.76</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7114FF18">
            <w:pPr>
              <w:jc w:val="center"/>
              <w:rPr>
                <w:rFonts w:ascii="Times New Roman" w:eastAsia="仿宋"/>
                <w:szCs w:val="21"/>
              </w:rPr>
            </w:pPr>
          </w:p>
        </w:tc>
        <w:tc>
          <w:tcPr>
            <w:tcW w:w="1164" w:type="dxa"/>
            <w:vAlign w:val="center"/>
          </w:tcPr>
          <w:p w14:paraId="689428AF">
            <w:pPr>
              <w:jc w:val="center"/>
              <w:rPr>
                <w:rFonts w:ascii="Times New Roman" w:eastAsia="仿宋"/>
                <w:szCs w:val="21"/>
              </w:rPr>
            </w:pPr>
            <w:r>
              <w:rPr>
                <w:rFonts w:hint="eastAsia" w:ascii="Times New Roman" w:eastAsia="仿宋"/>
                <w:szCs w:val="21"/>
              </w:rPr>
              <w:t>180mg/m</w:t>
            </w:r>
            <w:r>
              <w:rPr>
                <w:rFonts w:hint="eastAsia" w:ascii="Times New Roman" w:eastAsia="仿宋"/>
                <w:szCs w:val="21"/>
                <w:vertAlign w:val="superscript"/>
              </w:rPr>
              <w:t>3</w:t>
            </w:r>
          </w:p>
        </w:tc>
        <w:tc>
          <w:tcPr>
            <w:tcW w:w="1008" w:type="dxa"/>
            <w:vAlign w:val="center"/>
          </w:tcPr>
          <w:p w14:paraId="68DEB1B9">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247E6FD0">
            <w:pPr>
              <w:jc w:val="center"/>
              <w:rPr>
                <w:rFonts w:ascii="Times New Roman" w:eastAsia="仿宋"/>
                <w:szCs w:val="21"/>
              </w:rPr>
            </w:pPr>
            <w:r>
              <w:rPr>
                <w:rFonts w:hint="eastAsia" w:ascii="Times New Roman" w:eastAsia="仿宋"/>
                <w:szCs w:val="21"/>
              </w:rPr>
              <w:t>0.</w:t>
            </w:r>
            <w:r>
              <w:rPr>
                <w:rFonts w:ascii="Times New Roman" w:eastAsia="仿宋"/>
                <w:szCs w:val="21"/>
              </w:rPr>
              <w:t>224</w:t>
            </w:r>
          </w:p>
        </w:tc>
        <w:tc>
          <w:tcPr>
            <w:tcW w:w="1412" w:type="dxa"/>
            <w:vAlign w:val="center"/>
          </w:tcPr>
          <w:p w14:paraId="3E3EE78A">
            <w:pPr>
              <w:jc w:val="center"/>
              <w:rPr>
                <w:rFonts w:ascii="Times New Roman" w:eastAsia="仿宋"/>
                <w:szCs w:val="21"/>
              </w:rPr>
            </w:pPr>
            <w:r>
              <w:rPr>
                <w:rFonts w:hint="eastAsia" w:ascii="Times New Roman" w:eastAsia="仿宋"/>
                <w:szCs w:val="21"/>
              </w:rPr>
              <w:t>0.</w:t>
            </w:r>
            <w:r>
              <w:rPr>
                <w:rFonts w:ascii="Times New Roman" w:eastAsia="仿宋"/>
                <w:szCs w:val="21"/>
              </w:rPr>
              <w:t>224</w:t>
            </w:r>
          </w:p>
        </w:tc>
        <w:tc>
          <w:tcPr>
            <w:tcW w:w="1002" w:type="dxa"/>
            <w:vMerge w:val="continue"/>
            <w:vAlign w:val="center"/>
          </w:tcPr>
          <w:p w14:paraId="49F5A0F6">
            <w:pPr>
              <w:jc w:val="center"/>
              <w:rPr>
                <w:rFonts w:ascii="Times New Roman" w:eastAsia="仿宋"/>
                <w:szCs w:val="21"/>
              </w:rPr>
            </w:pPr>
          </w:p>
        </w:tc>
      </w:tr>
      <w:tr w14:paraId="4C24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4C8EF089">
            <w:pPr>
              <w:jc w:val="center"/>
              <w:rPr>
                <w:rFonts w:ascii="Times New Roman" w:eastAsia="仿宋"/>
                <w:szCs w:val="21"/>
              </w:rPr>
            </w:pPr>
          </w:p>
        </w:tc>
        <w:tc>
          <w:tcPr>
            <w:tcW w:w="314" w:type="dxa"/>
            <w:vMerge w:val="continue"/>
            <w:vAlign w:val="center"/>
          </w:tcPr>
          <w:p w14:paraId="5E59B1D2">
            <w:pPr>
              <w:jc w:val="center"/>
              <w:rPr>
                <w:rFonts w:ascii="Times New Roman" w:eastAsia="仿宋"/>
                <w:szCs w:val="21"/>
              </w:rPr>
            </w:pPr>
          </w:p>
        </w:tc>
        <w:tc>
          <w:tcPr>
            <w:tcW w:w="528" w:type="dxa"/>
            <w:vMerge w:val="restart"/>
            <w:vAlign w:val="center"/>
          </w:tcPr>
          <w:p w14:paraId="340AB577">
            <w:pPr>
              <w:jc w:val="center"/>
              <w:rPr>
                <w:rFonts w:ascii="Times New Roman" w:eastAsia="仿宋"/>
                <w:szCs w:val="21"/>
              </w:rPr>
            </w:pPr>
            <w:r>
              <w:rPr>
                <w:rFonts w:hint="eastAsia" w:ascii="Times New Roman" w:eastAsia="仿宋"/>
                <w:szCs w:val="21"/>
              </w:rPr>
              <w:t>3#</w:t>
            </w:r>
          </w:p>
        </w:tc>
        <w:tc>
          <w:tcPr>
            <w:tcW w:w="1276" w:type="dxa"/>
            <w:vAlign w:val="center"/>
          </w:tcPr>
          <w:p w14:paraId="1DDDF39F">
            <w:pPr>
              <w:jc w:val="center"/>
              <w:rPr>
                <w:rFonts w:ascii="Times New Roman" w:eastAsia="仿宋"/>
                <w:szCs w:val="24"/>
              </w:rPr>
            </w:pPr>
            <w:r>
              <w:rPr>
                <w:rFonts w:hint="eastAsia" w:ascii="Times New Roman" w:eastAsia="仿宋"/>
                <w:szCs w:val="21"/>
              </w:rPr>
              <w:t>非甲烷总烃</w:t>
            </w:r>
          </w:p>
        </w:tc>
        <w:tc>
          <w:tcPr>
            <w:tcW w:w="1139" w:type="dxa"/>
            <w:vMerge w:val="restart"/>
            <w:vAlign w:val="center"/>
          </w:tcPr>
          <w:p w14:paraId="111851F6">
            <w:pPr>
              <w:jc w:val="center"/>
              <w:rPr>
                <w:rFonts w:ascii="Times New Roman" w:eastAsia="仿宋"/>
                <w:szCs w:val="21"/>
              </w:rPr>
            </w:pPr>
            <w:r>
              <w:rPr>
                <w:rFonts w:hint="eastAsia" w:ascii="Times New Roman" w:eastAsia="仿宋"/>
                <w:szCs w:val="21"/>
              </w:rPr>
              <w:t>水帘喷漆房+洗气除雾塔+干式过滤+分子筛吸附脱附+催化燃烧装置</w:t>
            </w:r>
          </w:p>
        </w:tc>
        <w:tc>
          <w:tcPr>
            <w:tcW w:w="1418" w:type="dxa"/>
            <w:vAlign w:val="center"/>
          </w:tcPr>
          <w:p w14:paraId="47F96DC6">
            <w:pPr>
              <w:widowControl/>
              <w:jc w:val="center"/>
              <w:textAlignment w:val="center"/>
              <w:rPr>
                <w:rFonts w:ascii="Times New Roman" w:eastAsia="仿宋"/>
                <w:szCs w:val="24"/>
              </w:rPr>
            </w:pPr>
            <w:r>
              <w:rPr>
                <w:rFonts w:ascii="Times New Roman" w:eastAsia="仿宋"/>
                <w:szCs w:val="21"/>
              </w:rPr>
              <w:t>6.43</w:t>
            </w:r>
            <w:r>
              <w:rPr>
                <w:rFonts w:hint="eastAsia" w:ascii="Times New Roman" w:eastAsia="仿宋"/>
                <w:szCs w:val="21"/>
              </w:rPr>
              <w:t>mg/m</w:t>
            </w:r>
            <w:r>
              <w:rPr>
                <w:rFonts w:hint="eastAsia" w:ascii="Times New Roman" w:eastAsia="仿宋"/>
                <w:szCs w:val="21"/>
                <w:vertAlign w:val="superscript"/>
              </w:rPr>
              <w:t>3</w:t>
            </w:r>
          </w:p>
        </w:tc>
        <w:tc>
          <w:tcPr>
            <w:tcW w:w="2423" w:type="dxa"/>
            <w:vMerge w:val="restart"/>
            <w:vAlign w:val="center"/>
          </w:tcPr>
          <w:p w14:paraId="63334B51">
            <w:pPr>
              <w:jc w:val="center"/>
              <w:rPr>
                <w:rFonts w:ascii="Times New Roman" w:eastAsia="仿宋"/>
                <w:szCs w:val="21"/>
              </w:rPr>
            </w:pPr>
            <w:r>
              <w:rPr>
                <w:rFonts w:hint="eastAsia" w:ascii="Times New Roman" w:eastAsia="仿宋"/>
                <w:szCs w:val="21"/>
              </w:rPr>
              <w:t>《表面涂装（汽车零部件）大气污染物排放标准》（DB 32/3966-2021）表1 相关限值</w:t>
            </w:r>
          </w:p>
        </w:tc>
        <w:tc>
          <w:tcPr>
            <w:tcW w:w="1164" w:type="dxa"/>
            <w:vAlign w:val="center"/>
          </w:tcPr>
          <w:p w14:paraId="1AB4B141">
            <w:pPr>
              <w:jc w:val="center"/>
              <w:rPr>
                <w:rFonts w:ascii="Times New Roman" w:eastAsia="仿宋"/>
                <w:szCs w:val="21"/>
              </w:rPr>
            </w:pPr>
            <w:r>
              <w:rPr>
                <w:rFonts w:hint="eastAsia" w:ascii="Times New Roman" w:eastAsia="仿宋"/>
                <w:szCs w:val="21"/>
              </w:rPr>
              <w:t>40mg/m</w:t>
            </w:r>
            <w:r>
              <w:rPr>
                <w:rFonts w:hint="eastAsia" w:ascii="Times New Roman" w:eastAsia="仿宋"/>
                <w:szCs w:val="21"/>
                <w:vertAlign w:val="superscript"/>
              </w:rPr>
              <w:t>3</w:t>
            </w:r>
          </w:p>
        </w:tc>
        <w:tc>
          <w:tcPr>
            <w:tcW w:w="1008" w:type="dxa"/>
            <w:vAlign w:val="center"/>
          </w:tcPr>
          <w:p w14:paraId="266E16A6">
            <w:pPr>
              <w:jc w:val="center"/>
              <w:rPr>
                <w:rFonts w:ascii="Times New Roman" w:eastAsia="仿宋"/>
                <w:szCs w:val="21"/>
              </w:rPr>
            </w:pPr>
            <w:r>
              <w:rPr>
                <w:rFonts w:hint="eastAsia" w:ascii="Times New Roman" w:eastAsia="仿宋"/>
                <w:szCs w:val="21"/>
              </w:rPr>
              <w:t>1.8kg/h</w:t>
            </w:r>
          </w:p>
        </w:tc>
        <w:tc>
          <w:tcPr>
            <w:tcW w:w="1779" w:type="dxa"/>
            <w:gridSpan w:val="2"/>
            <w:vAlign w:val="center"/>
          </w:tcPr>
          <w:p w14:paraId="2C2133A6">
            <w:pPr>
              <w:jc w:val="center"/>
              <w:rPr>
                <w:rFonts w:ascii="Times New Roman" w:eastAsia="仿宋"/>
                <w:szCs w:val="21"/>
              </w:rPr>
            </w:pPr>
            <w:r>
              <w:rPr>
                <w:rFonts w:hint="eastAsia" w:ascii="Times New Roman" w:eastAsia="仿宋"/>
                <w:szCs w:val="21"/>
              </w:rPr>
              <w:t>0</w:t>
            </w:r>
            <w:r>
              <w:rPr>
                <w:rFonts w:ascii="Times New Roman" w:eastAsia="仿宋"/>
                <w:szCs w:val="21"/>
              </w:rPr>
              <w:t>.84</w:t>
            </w:r>
          </w:p>
        </w:tc>
        <w:tc>
          <w:tcPr>
            <w:tcW w:w="1412" w:type="dxa"/>
            <w:vAlign w:val="center"/>
          </w:tcPr>
          <w:p w14:paraId="6C618D0E">
            <w:pPr>
              <w:jc w:val="center"/>
              <w:rPr>
                <w:rFonts w:ascii="Times New Roman" w:eastAsia="仿宋"/>
                <w:szCs w:val="21"/>
              </w:rPr>
            </w:pPr>
            <w:r>
              <w:rPr>
                <w:rFonts w:hint="eastAsia" w:ascii="Times New Roman" w:eastAsia="仿宋"/>
                <w:szCs w:val="21"/>
              </w:rPr>
              <w:t>0</w:t>
            </w:r>
            <w:r>
              <w:rPr>
                <w:rFonts w:ascii="Times New Roman" w:eastAsia="仿宋"/>
                <w:szCs w:val="21"/>
              </w:rPr>
              <w:t>.84</w:t>
            </w:r>
          </w:p>
        </w:tc>
        <w:tc>
          <w:tcPr>
            <w:tcW w:w="1002" w:type="dxa"/>
            <w:vMerge w:val="restart"/>
            <w:vAlign w:val="center"/>
          </w:tcPr>
          <w:p w14:paraId="0B30E5B7">
            <w:pPr>
              <w:jc w:val="center"/>
              <w:rPr>
                <w:rFonts w:ascii="Times New Roman" w:eastAsia="仿宋"/>
                <w:szCs w:val="21"/>
              </w:rPr>
            </w:pPr>
            <w:r>
              <w:rPr>
                <w:rFonts w:hint="eastAsia" w:ascii="Times New Roman" w:eastAsia="仿宋"/>
                <w:szCs w:val="21"/>
              </w:rPr>
              <w:t>/</w:t>
            </w:r>
          </w:p>
        </w:tc>
      </w:tr>
      <w:tr w14:paraId="7519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6D0AC7C8">
            <w:pPr>
              <w:jc w:val="center"/>
              <w:rPr>
                <w:rFonts w:ascii="Times New Roman" w:eastAsia="仿宋"/>
                <w:szCs w:val="21"/>
              </w:rPr>
            </w:pPr>
          </w:p>
        </w:tc>
        <w:tc>
          <w:tcPr>
            <w:tcW w:w="314" w:type="dxa"/>
            <w:vMerge w:val="continue"/>
            <w:vAlign w:val="center"/>
          </w:tcPr>
          <w:p w14:paraId="11929901">
            <w:pPr>
              <w:jc w:val="center"/>
              <w:rPr>
                <w:rFonts w:ascii="Times New Roman" w:eastAsia="仿宋"/>
                <w:szCs w:val="21"/>
              </w:rPr>
            </w:pPr>
          </w:p>
        </w:tc>
        <w:tc>
          <w:tcPr>
            <w:tcW w:w="528" w:type="dxa"/>
            <w:vMerge w:val="continue"/>
            <w:vAlign w:val="center"/>
          </w:tcPr>
          <w:p w14:paraId="19982949">
            <w:pPr>
              <w:jc w:val="center"/>
              <w:rPr>
                <w:rFonts w:ascii="Times New Roman" w:eastAsia="仿宋"/>
                <w:szCs w:val="21"/>
              </w:rPr>
            </w:pPr>
          </w:p>
        </w:tc>
        <w:tc>
          <w:tcPr>
            <w:tcW w:w="1276" w:type="dxa"/>
            <w:vAlign w:val="center"/>
          </w:tcPr>
          <w:p w14:paraId="5E6AD075">
            <w:pPr>
              <w:jc w:val="center"/>
              <w:rPr>
                <w:rFonts w:ascii="Times New Roman" w:eastAsia="仿宋"/>
                <w:szCs w:val="24"/>
              </w:rPr>
            </w:pPr>
            <w:r>
              <w:rPr>
                <w:rFonts w:hint="eastAsia" w:ascii="Times New Roman" w:eastAsia="仿宋"/>
                <w:szCs w:val="21"/>
              </w:rPr>
              <w:t>TVOC</w:t>
            </w:r>
          </w:p>
        </w:tc>
        <w:tc>
          <w:tcPr>
            <w:tcW w:w="1139" w:type="dxa"/>
            <w:vMerge w:val="continue"/>
            <w:vAlign w:val="center"/>
          </w:tcPr>
          <w:p w14:paraId="1F7D1BF1">
            <w:pPr>
              <w:jc w:val="center"/>
              <w:rPr>
                <w:rFonts w:ascii="Times New Roman" w:eastAsia="仿宋"/>
                <w:szCs w:val="21"/>
              </w:rPr>
            </w:pPr>
          </w:p>
        </w:tc>
        <w:tc>
          <w:tcPr>
            <w:tcW w:w="1418" w:type="dxa"/>
            <w:vAlign w:val="center"/>
          </w:tcPr>
          <w:p w14:paraId="15C3170E">
            <w:pPr>
              <w:widowControl/>
              <w:jc w:val="center"/>
              <w:textAlignment w:val="center"/>
              <w:rPr>
                <w:rFonts w:ascii="Times New Roman" w:eastAsia="仿宋"/>
                <w:szCs w:val="24"/>
              </w:rPr>
            </w:pPr>
            <w:r>
              <w:rPr>
                <w:rFonts w:ascii="Times New Roman" w:eastAsia="仿宋"/>
                <w:szCs w:val="21"/>
              </w:rPr>
              <w:t>6.43</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3C558AB4">
            <w:pPr>
              <w:jc w:val="center"/>
              <w:rPr>
                <w:rFonts w:ascii="Times New Roman" w:eastAsia="仿宋"/>
                <w:szCs w:val="21"/>
              </w:rPr>
            </w:pPr>
          </w:p>
        </w:tc>
        <w:tc>
          <w:tcPr>
            <w:tcW w:w="1164" w:type="dxa"/>
            <w:vAlign w:val="center"/>
          </w:tcPr>
          <w:p w14:paraId="6F708185">
            <w:pPr>
              <w:jc w:val="center"/>
              <w:rPr>
                <w:rFonts w:ascii="Times New Roman" w:eastAsia="仿宋"/>
                <w:szCs w:val="21"/>
              </w:rPr>
            </w:pPr>
            <w:r>
              <w:rPr>
                <w:rFonts w:hint="eastAsia" w:ascii="Times New Roman" w:eastAsia="仿宋"/>
                <w:szCs w:val="21"/>
              </w:rPr>
              <w:t>60mg/m</w:t>
            </w:r>
            <w:r>
              <w:rPr>
                <w:rFonts w:hint="eastAsia" w:ascii="Times New Roman" w:eastAsia="仿宋"/>
                <w:szCs w:val="21"/>
                <w:vertAlign w:val="superscript"/>
              </w:rPr>
              <w:t>3</w:t>
            </w:r>
          </w:p>
        </w:tc>
        <w:tc>
          <w:tcPr>
            <w:tcW w:w="1008" w:type="dxa"/>
            <w:vAlign w:val="center"/>
          </w:tcPr>
          <w:p w14:paraId="57471E37">
            <w:pPr>
              <w:jc w:val="center"/>
              <w:rPr>
                <w:rFonts w:ascii="Times New Roman" w:eastAsia="仿宋"/>
                <w:szCs w:val="21"/>
              </w:rPr>
            </w:pPr>
            <w:r>
              <w:rPr>
                <w:rFonts w:hint="eastAsia" w:ascii="Times New Roman" w:eastAsia="仿宋"/>
                <w:szCs w:val="21"/>
              </w:rPr>
              <w:t>2kg/h</w:t>
            </w:r>
          </w:p>
        </w:tc>
        <w:tc>
          <w:tcPr>
            <w:tcW w:w="1779" w:type="dxa"/>
            <w:gridSpan w:val="2"/>
            <w:vAlign w:val="center"/>
          </w:tcPr>
          <w:p w14:paraId="556DC164">
            <w:pPr>
              <w:jc w:val="center"/>
              <w:rPr>
                <w:rFonts w:ascii="Times New Roman" w:eastAsia="仿宋"/>
                <w:szCs w:val="21"/>
              </w:rPr>
            </w:pPr>
            <w:r>
              <w:rPr>
                <w:rFonts w:hint="eastAsia" w:ascii="Times New Roman" w:eastAsia="仿宋"/>
                <w:szCs w:val="21"/>
              </w:rPr>
              <w:t>0</w:t>
            </w:r>
            <w:r>
              <w:rPr>
                <w:rFonts w:ascii="Times New Roman" w:eastAsia="仿宋"/>
                <w:szCs w:val="21"/>
              </w:rPr>
              <w:t>.84</w:t>
            </w:r>
          </w:p>
        </w:tc>
        <w:tc>
          <w:tcPr>
            <w:tcW w:w="1412" w:type="dxa"/>
            <w:vAlign w:val="center"/>
          </w:tcPr>
          <w:p w14:paraId="62F7EE12">
            <w:pPr>
              <w:jc w:val="center"/>
              <w:rPr>
                <w:rFonts w:ascii="Times New Roman" w:eastAsia="仿宋"/>
                <w:szCs w:val="21"/>
              </w:rPr>
            </w:pPr>
            <w:r>
              <w:rPr>
                <w:rFonts w:hint="eastAsia" w:ascii="Times New Roman" w:eastAsia="仿宋"/>
                <w:szCs w:val="21"/>
              </w:rPr>
              <w:t>0</w:t>
            </w:r>
            <w:r>
              <w:rPr>
                <w:rFonts w:ascii="Times New Roman" w:eastAsia="仿宋"/>
                <w:szCs w:val="21"/>
              </w:rPr>
              <w:t>.84</w:t>
            </w:r>
          </w:p>
        </w:tc>
        <w:tc>
          <w:tcPr>
            <w:tcW w:w="1002" w:type="dxa"/>
            <w:vMerge w:val="continue"/>
            <w:vAlign w:val="center"/>
          </w:tcPr>
          <w:p w14:paraId="051B56A6">
            <w:pPr>
              <w:jc w:val="center"/>
              <w:rPr>
                <w:rFonts w:ascii="Times New Roman" w:eastAsia="仿宋"/>
                <w:szCs w:val="21"/>
              </w:rPr>
            </w:pPr>
          </w:p>
        </w:tc>
      </w:tr>
      <w:tr w14:paraId="155A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3BD57B33">
            <w:pPr>
              <w:jc w:val="center"/>
              <w:rPr>
                <w:rFonts w:ascii="Times New Roman" w:eastAsia="仿宋"/>
                <w:szCs w:val="21"/>
              </w:rPr>
            </w:pPr>
          </w:p>
        </w:tc>
        <w:tc>
          <w:tcPr>
            <w:tcW w:w="314" w:type="dxa"/>
            <w:vMerge w:val="continue"/>
            <w:vAlign w:val="center"/>
          </w:tcPr>
          <w:p w14:paraId="62D13699">
            <w:pPr>
              <w:jc w:val="center"/>
              <w:rPr>
                <w:rFonts w:ascii="Times New Roman" w:eastAsia="仿宋"/>
                <w:szCs w:val="21"/>
              </w:rPr>
            </w:pPr>
          </w:p>
        </w:tc>
        <w:tc>
          <w:tcPr>
            <w:tcW w:w="528" w:type="dxa"/>
            <w:vMerge w:val="continue"/>
            <w:vAlign w:val="center"/>
          </w:tcPr>
          <w:p w14:paraId="7F6781C8">
            <w:pPr>
              <w:jc w:val="center"/>
              <w:rPr>
                <w:rFonts w:ascii="Times New Roman" w:eastAsia="仿宋"/>
                <w:szCs w:val="21"/>
              </w:rPr>
            </w:pPr>
          </w:p>
        </w:tc>
        <w:tc>
          <w:tcPr>
            <w:tcW w:w="1276" w:type="dxa"/>
            <w:vAlign w:val="center"/>
          </w:tcPr>
          <w:p w14:paraId="59D07857">
            <w:pPr>
              <w:jc w:val="center"/>
              <w:rPr>
                <w:rFonts w:ascii="Times New Roman" w:eastAsia="仿宋"/>
                <w:szCs w:val="24"/>
              </w:rPr>
            </w:pPr>
            <w:r>
              <w:rPr>
                <w:rFonts w:hint="eastAsia" w:ascii="Times New Roman" w:eastAsia="仿宋"/>
                <w:szCs w:val="21"/>
              </w:rPr>
              <w:t>二甲苯</w:t>
            </w:r>
          </w:p>
        </w:tc>
        <w:tc>
          <w:tcPr>
            <w:tcW w:w="1139" w:type="dxa"/>
            <w:vMerge w:val="continue"/>
            <w:vAlign w:val="center"/>
          </w:tcPr>
          <w:p w14:paraId="444BC302">
            <w:pPr>
              <w:jc w:val="center"/>
              <w:rPr>
                <w:rFonts w:ascii="Times New Roman" w:eastAsia="仿宋"/>
                <w:szCs w:val="21"/>
              </w:rPr>
            </w:pPr>
          </w:p>
        </w:tc>
        <w:tc>
          <w:tcPr>
            <w:tcW w:w="1418" w:type="dxa"/>
            <w:vAlign w:val="center"/>
          </w:tcPr>
          <w:p w14:paraId="63B0D740">
            <w:pPr>
              <w:widowControl/>
              <w:jc w:val="center"/>
              <w:textAlignment w:val="center"/>
              <w:rPr>
                <w:rFonts w:ascii="Times New Roman" w:eastAsia="仿宋"/>
                <w:szCs w:val="24"/>
              </w:rPr>
            </w:pPr>
            <w:r>
              <w:rPr>
                <w:rFonts w:hint="eastAsia" w:ascii="Times New Roman" w:eastAsia="仿宋"/>
                <w:szCs w:val="24"/>
              </w:rPr>
              <w:t>1.43</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43078534">
            <w:pPr>
              <w:jc w:val="center"/>
              <w:rPr>
                <w:rFonts w:ascii="Times New Roman" w:eastAsia="仿宋"/>
                <w:szCs w:val="21"/>
              </w:rPr>
            </w:pPr>
          </w:p>
        </w:tc>
        <w:tc>
          <w:tcPr>
            <w:tcW w:w="1164" w:type="dxa"/>
            <w:vAlign w:val="center"/>
          </w:tcPr>
          <w:p w14:paraId="124E9174">
            <w:pPr>
              <w:jc w:val="center"/>
              <w:rPr>
                <w:rFonts w:ascii="Times New Roman" w:eastAsia="仿宋"/>
                <w:szCs w:val="21"/>
              </w:rPr>
            </w:pPr>
            <w:r>
              <w:rPr>
                <w:rFonts w:hint="eastAsia" w:ascii="Times New Roman" w:eastAsia="仿宋"/>
                <w:szCs w:val="21"/>
              </w:rPr>
              <w:t>15mg/m</w:t>
            </w:r>
            <w:r>
              <w:rPr>
                <w:rFonts w:hint="eastAsia" w:ascii="Times New Roman" w:eastAsia="仿宋"/>
                <w:szCs w:val="21"/>
                <w:vertAlign w:val="superscript"/>
              </w:rPr>
              <w:t>3</w:t>
            </w:r>
          </w:p>
        </w:tc>
        <w:tc>
          <w:tcPr>
            <w:tcW w:w="1008" w:type="dxa"/>
            <w:vAlign w:val="center"/>
          </w:tcPr>
          <w:p w14:paraId="39B6E974">
            <w:pPr>
              <w:jc w:val="center"/>
              <w:rPr>
                <w:rFonts w:ascii="Times New Roman" w:eastAsia="仿宋"/>
                <w:szCs w:val="21"/>
              </w:rPr>
            </w:pPr>
            <w:r>
              <w:rPr>
                <w:rFonts w:hint="eastAsia" w:ascii="Times New Roman" w:eastAsia="仿宋"/>
                <w:szCs w:val="21"/>
              </w:rPr>
              <w:t>0.8kg/h</w:t>
            </w:r>
          </w:p>
        </w:tc>
        <w:tc>
          <w:tcPr>
            <w:tcW w:w="1779" w:type="dxa"/>
            <w:gridSpan w:val="2"/>
            <w:vAlign w:val="center"/>
          </w:tcPr>
          <w:p w14:paraId="62EA5017">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412" w:type="dxa"/>
            <w:vAlign w:val="center"/>
          </w:tcPr>
          <w:p w14:paraId="0FC1E25F">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002" w:type="dxa"/>
            <w:vMerge w:val="continue"/>
            <w:vAlign w:val="center"/>
          </w:tcPr>
          <w:p w14:paraId="20ED260F">
            <w:pPr>
              <w:jc w:val="center"/>
              <w:rPr>
                <w:rFonts w:ascii="Times New Roman" w:eastAsia="仿宋"/>
                <w:szCs w:val="21"/>
              </w:rPr>
            </w:pPr>
          </w:p>
        </w:tc>
      </w:tr>
      <w:tr w14:paraId="4F78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08BBF1AB">
            <w:pPr>
              <w:jc w:val="center"/>
              <w:rPr>
                <w:rFonts w:ascii="Times New Roman" w:eastAsia="仿宋"/>
                <w:szCs w:val="21"/>
              </w:rPr>
            </w:pPr>
          </w:p>
        </w:tc>
        <w:tc>
          <w:tcPr>
            <w:tcW w:w="314" w:type="dxa"/>
            <w:vMerge w:val="continue"/>
            <w:vAlign w:val="center"/>
          </w:tcPr>
          <w:p w14:paraId="66DB2A21">
            <w:pPr>
              <w:jc w:val="center"/>
              <w:rPr>
                <w:rFonts w:ascii="Times New Roman" w:eastAsia="仿宋"/>
                <w:szCs w:val="21"/>
              </w:rPr>
            </w:pPr>
          </w:p>
        </w:tc>
        <w:tc>
          <w:tcPr>
            <w:tcW w:w="528" w:type="dxa"/>
            <w:vMerge w:val="continue"/>
            <w:vAlign w:val="center"/>
          </w:tcPr>
          <w:p w14:paraId="195E1246">
            <w:pPr>
              <w:jc w:val="center"/>
              <w:rPr>
                <w:rFonts w:ascii="Times New Roman" w:eastAsia="仿宋"/>
                <w:szCs w:val="21"/>
              </w:rPr>
            </w:pPr>
          </w:p>
        </w:tc>
        <w:tc>
          <w:tcPr>
            <w:tcW w:w="1276" w:type="dxa"/>
            <w:vAlign w:val="center"/>
          </w:tcPr>
          <w:p w14:paraId="49DD2175">
            <w:pPr>
              <w:jc w:val="center"/>
              <w:rPr>
                <w:rFonts w:ascii="Times New Roman" w:eastAsia="仿宋"/>
                <w:szCs w:val="21"/>
              </w:rPr>
            </w:pPr>
            <w:r>
              <w:rPr>
                <w:rFonts w:hint="eastAsia" w:ascii="Times New Roman" w:eastAsia="仿宋"/>
                <w:szCs w:val="21"/>
              </w:rPr>
              <w:t>苯系物</w:t>
            </w:r>
          </w:p>
        </w:tc>
        <w:tc>
          <w:tcPr>
            <w:tcW w:w="1139" w:type="dxa"/>
            <w:vMerge w:val="continue"/>
            <w:vAlign w:val="center"/>
          </w:tcPr>
          <w:p w14:paraId="51917AB4">
            <w:pPr>
              <w:jc w:val="center"/>
              <w:rPr>
                <w:rFonts w:ascii="Times New Roman" w:eastAsia="仿宋"/>
                <w:szCs w:val="21"/>
              </w:rPr>
            </w:pPr>
          </w:p>
        </w:tc>
        <w:tc>
          <w:tcPr>
            <w:tcW w:w="1418" w:type="dxa"/>
            <w:vAlign w:val="center"/>
          </w:tcPr>
          <w:p w14:paraId="02E6C93C">
            <w:pPr>
              <w:widowControl/>
              <w:jc w:val="center"/>
              <w:textAlignment w:val="center"/>
              <w:rPr>
                <w:rFonts w:ascii="Times New Roman" w:eastAsia="仿宋"/>
                <w:szCs w:val="24"/>
              </w:rPr>
            </w:pPr>
            <w:r>
              <w:rPr>
                <w:rFonts w:hint="eastAsia" w:ascii="Times New Roman" w:eastAsia="仿宋"/>
                <w:szCs w:val="24"/>
              </w:rPr>
              <w:t>1.43</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45A70DFD">
            <w:pPr>
              <w:jc w:val="center"/>
              <w:rPr>
                <w:rFonts w:ascii="Times New Roman" w:eastAsia="仿宋"/>
                <w:szCs w:val="21"/>
              </w:rPr>
            </w:pPr>
          </w:p>
        </w:tc>
        <w:tc>
          <w:tcPr>
            <w:tcW w:w="1164" w:type="dxa"/>
            <w:vAlign w:val="center"/>
          </w:tcPr>
          <w:p w14:paraId="5EA12D84">
            <w:pPr>
              <w:jc w:val="center"/>
              <w:rPr>
                <w:rFonts w:ascii="Times New Roman" w:eastAsia="仿宋"/>
                <w:szCs w:val="21"/>
              </w:rPr>
            </w:pPr>
            <w:r>
              <w:rPr>
                <w:rFonts w:ascii="Times New Roman" w:eastAsia="仿宋"/>
                <w:szCs w:val="21"/>
              </w:rPr>
              <w:t>20</w:t>
            </w:r>
            <w:r>
              <w:rPr>
                <w:rFonts w:hint="eastAsia" w:ascii="Times New Roman" w:eastAsia="仿宋"/>
                <w:szCs w:val="21"/>
              </w:rPr>
              <w:t>mg/m</w:t>
            </w:r>
            <w:r>
              <w:rPr>
                <w:rFonts w:hint="eastAsia" w:ascii="Times New Roman" w:eastAsia="仿宋"/>
                <w:szCs w:val="21"/>
                <w:vertAlign w:val="superscript"/>
              </w:rPr>
              <w:t>3</w:t>
            </w:r>
          </w:p>
        </w:tc>
        <w:tc>
          <w:tcPr>
            <w:tcW w:w="1008" w:type="dxa"/>
            <w:vAlign w:val="center"/>
          </w:tcPr>
          <w:p w14:paraId="3EA7A9FD">
            <w:pPr>
              <w:jc w:val="center"/>
              <w:rPr>
                <w:rFonts w:ascii="Times New Roman" w:eastAsia="仿宋"/>
                <w:szCs w:val="21"/>
              </w:rPr>
            </w:pPr>
            <w:r>
              <w:rPr>
                <w:rFonts w:ascii="Times New Roman" w:eastAsia="仿宋"/>
                <w:szCs w:val="21"/>
              </w:rPr>
              <w:t>1.0</w:t>
            </w:r>
            <w:r>
              <w:rPr>
                <w:rFonts w:hint="eastAsia" w:ascii="Times New Roman" w:eastAsia="仿宋"/>
                <w:szCs w:val="21"/>
              </w:rPr>
              <w:t>kg/h</w:t>
            </w:r>
          </w:p>
        </w:tc>
        <w:tc>
          <w:tcPr>
            <w:tcW w:w="1779" w:type="dxa"/>
            <w:gridSpan w:val="2"/>
            <w:vAlign w:val="center"/>
          </w:tcPr>
          <w:p w14:paraId="2129EAC4">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412" w:type="dxa"/>
            <w:vAlign w:val="center"/>
          </w:tcPr>
          <w:p w14:paraId="2B616D0B">
            <w:pPr>
              <w:jc w:val="center"/>
              <w:rPr>
                <w:rFonts w:ascii="Times New Roman" w:eastAsia="仿宋"/>
                <w:szCs w:val="21"/>
              </w:rPr>
            </w:pPr>
            <w:r>
              <w:rPr>
                <w:rFonts w:hint="eastAsia" w:ascii="Times New Roman" w:eastAsia="仿宋"/>
                <w:szCs w:val="21"/>
              </w:rPr>
              <w:t>0</w:t>
            </w:r>
            <w:r>
              <w:rPr>
                <w:rFonts w:ascii="Times New Roman" w:eastAsia="仿宋"/>
                <w:szCs w:val="21"/>
              </w:rPr>
              <w:t>.19</w:t>
            </w:r>
          </w:p>
        </w:tc>
        <w:tc>
          <w:tcPr>
            <w:tcW w:w="1002" w:type="dxa"/>
            <w:vMerge w:val="continue"/>
            <w:vAlign w:val="center"/>
          </w:tcPr>
          <w:p w14:paraId="1787084F">
            <w:pPr>
              <w:jc w:val="center"/>
              <w:rPr>
                <w:rFonts w:ascii="Times New Roman" w:eastAsia="仿宋"/>
                <w:szCs w:val="21"/>
              </w:rPr>
            </w:pPr>
          </w:p>
        </w:tc>
      </w:tr>
      <w:tr w14:paraId="3CC3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1B6F1CA0">
            <w:pPr>
              <w:jc w:val="center"/>
              <w:rPr>
                <w:rFonts w:ascii="Times New Roman" w:eastAsia="仿宋"/>
                <w:szCs w:val="21"/>
              </w:rPr>
            </w:pPr>
          </w:p>
        </w:tc>
        <w:tc>
          <w:tcPr>
            <w:tcW w:w="314" w:type="dxa"/>
            <w:vMerge w:val="continue"/>
            <w:vAlign w:val="center"/>
          </w:tcPr>
          <w:p w14:paraId="7F10452D">
            <w:pPr>
              <w:jc w:val="center"/>
              <w:rPr>
                <w:rFonts w:ascii="Times New Roman" w:eastAsia="仿宋"/>
                <w:szCs w:val="21"/>
              </w:rPr>
            </w:pPr>
          </w:p>
        </w:tc>
        <w:tc>
          <w:tcPr>
            <w:tcW w:w="528" w:type="dxa"/>
            <w:vMerge w:val="continue"/>
            <w:vAlign w:val="center"/>
          </w:tcPr>
          <w:p w14:paraId="3E8A082A">
            <w:pPr>
              <w:jc w:val="center"/>
              <w:rPr>
                <w:rFonts w:ascii="Times New Roman" w:eastAsia="仿宋"/>
                <w:szCs w:val="21"/>
              </w:rPr>
            </w:pPr>
          </w:p>
        </w:tc>
        <w:tc>
          <w:tcPr>
            <w:tcW w:w="1276" w:type="dxa"/>
            <w:vAlign w:val="center"/>
          </w:tcPr>
          <w:p w14:paraId="28496961">
            <w:pPr>
              <w:jc w:val="center"/>
              <w:rPr>
                <w:rFonts w:ascii="Times New Roman" w:eastAsia="仿宋"/>
                <w:szCs w:val="24"/>
              </w:rPr>
            </w:pPr>
            <w:r>
              <w:rPr>
                <w:rFonts w:hint="eastAsia" w:ascii="Times New Roman" w:eastAsia="仿宋"/>
                <w:szCs w:val="21"/>
              </w:rPr>
              <w:t>颗粒物</w:t>
            </w:r>
          </w:p>
        </w:tc>
        <w:tc>
          <w:tcPr>
            <w:tcW w:w="1139" w:type="dxa"/>
            <w:vMerge w:val="continue"/>
            <w:vAlign w:val="center"/>
          </w:tcPr>
          <w:p w14:paraId="0AAA65C1">
            <w:pPr>
              <w:jc w:val="center"/>
              <w:rPr>
                <w:rFonts w:ascii="Times New Roman" w:eastAsia="仿宋"/>
                <w:szCs w:val="21"/>
              </w:rPr>
            </w:pPr>
          </w:p>
        </w:tc>
        <w:tc>
          <w:tcPr>
            <w:tcW w:w="1418" w:type="dxa"/>
            <w:vAlign w:val="center"/>
          </w:tcPr>
          <w:p w14:paraId="36C082C6">
            <w:pPr>
              <w:widowControl/>
              <w:jc w:val="center"/>
              <w:textAlignment w:val="center"/>
              <w:rPr>
                <w:rFonts w:ascii="Times New Roman" w:eastAsia="仿宋"/>
                <w:szCs w:val="24"/>
              </w:rPr>
            </w:pPr>
            <w:r>
              <w:rPr>
                <w:rFonts w:hint="eastAsia" w:ascii="Times New Roman" w:eastAsia="仿宋"/>
                <w:szCs w:val="24"/>
              </w:rPr>
              <w:t>1.79</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265C47A4">
            <w:pPr>
              <w:jc w:val="center"/>
              <w:rPr>
                <w:rFonts w:ascii="Times New Roman" w:eastAsia="仿宋"/>
                <w:szCs w:val="21"/>
              </w:rPr>
            </w:pPr>
          </w:p>
        </w:tc>
        <w:tc>
          <w:tcPr>
            <w:tcW w:w="1164" w:type="dxa"/>
            <w:vAlign w:val="center"/>
          </w:tcPr>
          <w:p w14:paraId="20FE4D7D">
            <w:pPr>
              <w:jc w:val="center"/>
              <w:rPr>
                <w:rFonts w:ascii="Times New Roman" w:eastAsia="仿宋"/>
                <w:szCs w:val="21"/>
              </w:rPr>
            </w:pPr>
            <w:r>
              <w:rPr>
                <w:rFonts w:hint="eastAsia" w:ascii="Times New Roman" w:eastAsia="仿宋"/>
                <w:szCs w:val="21"/>
              </w:rPr>
              <w:t>10mg/m</w:t>
            </w:r>
            <w:r>
              <w:rPr>
                <w:rFonts w:hint="eastAsia" w:ascii="Times New Roman" w:eastAsia="仿宋"/>
                <w:szCs w:val="21"/>
                <w:vertAlign w:val="superscript"/>
              </w:rPr>
              <w:t>3</w:t>
            </w:r>
          </w:p>
        </w:tc>
        <w:tc>
          <w:tcPr>
            <w:tcW w:w="1008" w:type="dxa"/>
            <w:vAlign w:val="center"/>
          </w:tcPr>
          <w:p w14:paraId="19A58A12">
            <w:pPr>
              <w:jc w:val="center"/>
              <w:rPr>
                <w:rFonts w:ascii="Times New Roman" w:eastAsia="仿宋"/>
                <w:szCs w:val="21"/>
              </w:rPr>
            </w:pPr>
            <w:r>
              <w:rPr>
                <w:rFonts w:hint="eastAsia" w:ascii="Times New Roman" w:eastAsia="仿宋"/>
                <w:szCs w:val="21"/>
              </w:rPr>
              <w:t>0.6kg/h</w:t>
            </w:r>
          </w:p>
        </w:tc>
        <w:tc>
          <w:tcPr>
            <w:tcW w:w="1779" w:type="dxa"/>
            <w:gridSpan w:val="2"/>
            <w:vAlign w:val="center"/>
          </w:tcPr>
          <w:p w14:paraId="1384D56F">
            <w:pPr>
              <w:jc w:val="center"/>
              <w:rPr>
                <w:rFonts w:ascii="Times New Roman" w:eastAsia="仿宋"/>
                <w:szCs w:val="21"/>
              </w:rPr>
            </w:pPr>
            <w:r>
              <w:rPr>
                <w:rFonts w:hint="eastAsia" w:ascii="Times New Roman" w:eastAsia="仿宋"/>
                <w:szCs w:val="21"/>
              </w:rPr>
              <w:t>0.</w:t>
            </w:r>
            <w:r>
              <w:rPr>
                <w:rFonts w:ascii="Times New Roman" w:eastAsia="仿宋"/>
                <w:szCs w:val="21"/>
              </w:rPr>
              <w:t>25</w:t>
            </w:r>
          </w:p>
        </w:tc>
        <w:tc>
          <w:tcPr>
            <w:tcW w:w="1412" w:type="dxa"/>
            <w:vAlign w:val="center"/>
          </w:tcPr>
          <w:p w14:paraId="409D6DC2">
            <w:pPr>
              <w:jc w:val="center"/>
              <w:rPr>
                <w:rFonts w:ascii="Times New Roman" w:eastAsia="仿宋"/>
                <w:szCs w:val="21"/>
              </w:rPr>
            </w:pPr>
            <w:r>
              <w:rPr>
                <w:rFonts w:hint="eastAsia" w:ascii="Times New Roman" w:eastAsia="仿宋"/>
                <w:szCs w:val="21"/>
              </w:rPr>
              <w:t>0.</w:t>
            </w:r>
            <w:r>
              <w:rPr>
                <w:rFonts w:ascii="Times New Roman" w:eastAsia="仿宋"/>
                <w:szCs w:val="21"/>
              </w:rPr>
              <w:t>25</w:t>
            </w:r>
          </w:p>
        </w:tc>
        <w:tc>
          <w:tcPr>
            <w:tcW w:w="1002" w:type="dxa"/>
            <w:vMerge w:val="continue"/>
            <w:vAlign w:val="center"/>
          </w:tcPr>
          <w:p w14:paraId="1FDF9FCB">
            <w:pPr>
              <w:jc w:val="center"/>
              <w:rPr>
                <w:rFonts w:ascii="Times New Roman" w:eastAsia="仿宋"/>
                <w:szCs w:val="21"/>
              </w:rPr>
            </w:pPr>
          </w:p>
        </w:tc>
      </w:tr>
      <w:tr w14:paraId="0E6F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18038440">
            <w:pPr>
              <w:jc w:val="center"/>
              <w:rPr>
                <w:rFonts w:ascii="Times New Roman" w:eastAsia="仿宋"/>
                <w:szCs w:val="21"/>
              </w:rPr>
            </w:pPr>
          </w:p>
        </w:tc>
        <w:tc>
          <w:tcPr>
            <w:tcW w:w="314" w:type="dxa"/>
            <w:vMerge w:val="continue"/>
            <w:vAlign w:val="center"/>
          </w:tcPr>
          <w:p w14:paraId="617D73BC">
            <w:pPr>
              <w:jc w:val="center"/>
              <w:rPr>
                <w:rFonts w:ascii="Times New Roman" w:eastAsia="仿宋"/>
                <w:szCs w:val="21"/>
              </w:rPr>
            </w:pPr>
          </w:p>
        </w:tc>
        <w:tc>
          <w:tcPr>
            <w:tcW w:w="528" w:type="dxa"/>
            <w:vMerge w:val="restart"/>
            <w:vAlign w:val="center"/>
          </w:tcPr>
          <w:p w14:paraId="53F49B08">
            <w:pPr>
              <w:jc w:val="center"/>
              <w:rPr>
                <w:rFonts w:ascii="Times New Roman" w:eastAsia="仿宋"/>
                <w:szCs w:val="21"/>
              </w:rPr>
            </w:pPr>
            <w:r>
              <w:rPr>
                <w:rFonts w:hint="eastAsia" w:ascii="Times New Roman" w:eastAsia="仿宋"/>
                <w:szCs w:val="21"/>
              </w:rPr>
              <w:t>4#</w:t>
            </w:r>
          </w:p>
        </w:tc>
        <w:tc>
          <w:tcPr>
            <w:tcW w:w="1276" w:type="dxa"/>
            <w:vAlign w:val="center"/>
          </w:tcPr>
          <w:p w14:paraId="5115C3CD">
            <w:pPr>
              <w:jc w:val="center"/>
              <w:rPr>
                <w:rFonts w:ascii="Times New Roman" w:eastAsia="仿宋"/>
                <w:szCs w:val="21"/>
              </w:rPr>
            </w:pPr>
            <w:r>
              <w:rPr>
                <w:rFonts w:hint="eastAsia" w:ascii="Times New Roman" w:eastAsia="仿宋"/>
                <w:szCs w:val="21"/>
              </w:rPr>
              <w:t>非甲烷总烃</w:t>
            </w:r>
          </w:p>
        </w:tc>
        <w:tc>
          <w:tcPr>
            <w:tcW w:w="1139" w:type="dxa"/>
            <w:vMerge w:val="restart"/>
            <w:vAlign w:val="center"/>
          </w:tcPr>
          <w:p w14:paraId="3CEB0DD0">
            <w:pPr>
              <w:jc w:val="center"/>
              <w:rPr>
                <w:rFonts w:ascii="Times New Roman" w:eastAsia="仿宋"/>
                <w:szCs w:val="21"/>
              </w:rPr>
            </w:pPr>
            <w:r>
              <w:rPr>
                <w:rFonts w:hint="eastAsia" w:ascii="Times New Roman" w:eastAsia="仿宋"/>
                <w:szCs w:val="21"/>
              </w:rPr>
              <w:t>水帘喷漆房+洗气除雾塔+干式过滤+分子筛吸附脱附+催化燃烧装置</w:t>
            </w:r>
          </w:p>
        </w:tc>
        <w:tc>
          <w:tcPr>
            <w:tcW w:w="1418" w:type="dxa"/>
            <w:vAlign w:val="center"/>
          </w:tcPr>
          <w:p w14:paraId="14B0D317">
            <w:pPr>
              <w:widowControl/>
              <w:jc w:val="center"/>
              <w:textAlignment w:val="center"/>
              <w:rPr>
                <w:rFonts w:ascii="Times New Roman" w:eastAsia="仿宋"/>
                <w:szCs w:val="24"/>
              </w:rPr>
            </w:pPr>
            <w:r>
              <w:rPr>
                <w:rFonts w:ascii="Times New Roman" w:eastAsia="仿宋"/>
                <w:szCs w:val="24"/>
              </w:rPr>
              <w:t>19.05</w:t>
            </w:r>
            <w:r>
              <w:rPr>
                <w:rFonts w:hint="eastAsia" w:ascii="Times New Roman" w:eastAsia="仿宋"/>
                <w:szCs w:val="21"/>
              </w:rPr>
              <w:t>mg/m</w:t>
            </w:r>
            <w:r>
              <w:rPr>
                <w:rFonts w:hint="eastAsia" w:ascii="Times New Roman" w:eastAsia="仿宋"/>
                <w:szCs w:val="21"/>
                <w:vertAlign w:val="superscript"/>
              </w:rPr>
              <w:t>3</w:t>
            </w:r>
          </w:p>
        </w:tc>
        <w:tc>
          <w:tcPr>
            <w:tcW w:w="2423" w:type="dxa"/>
            <w:vMerge w:val="restart"/>
            <w:vAlign w:val="center"/>
          </w:tcPr>
          <w:p w14:paraId="085F7FB3">
            <w:pPr>
              <w:jc w:val="center"/>
              <w:rPr>
                <w:rFonts w:ascii="Times New Roman" w:eastAsia="仿宋"/>
                <w:szCs w:val="21"/>
              </w:rPr>
            </w:pPr>
            <w:r>
              <w:rPr>
                <w:rFonts w:hint="eastAsia" w:ascii="Times New Roman" w:eastAsia="仿宋"/>
                <w:szCs w:val="21"/>
              </w:rPr>
              <w:t>《表面涂装（汽车零部件）大气污染物排放标准》（DB 32/3966-2021）表1 相关限值</w:t>
            </w:r>
          </w:p>
        </w:tc>
        <w:tc>
          <w:tcPr>
            <w:tcW w:w="1164" w:type="dxa"/>
            <w:vAlign w:val="center"/>
          </w:tcPr>
          <w:p w14:paraId="6E171E95">
            <w:pPr>
              <w:jc w:val="center"/>
              <w:rPr>
                <w:rFonts w:ascii="Times New Roman" w:eastAsia="仿宋"/>
                <w:szCs w:val="21"/>
              </w:rPr>
            </w:pPr>
            <w:r>
              <w:rPr>
                <w:rFonts w:hint="eastAsia" w:ascii="Times New Roman" w:eastAsia="仿宋"/>
                <w:szCs w:val="21"/>
              </w:rPr>
              <w:t>40mg/m</w:t>
            </w:r>
            <w:r>
              <w:rPr>
                <w:rFonts w:hint="eastAsia" w:ascii="Times New Roman" w:eastAsia="仿宋"/>
                <w:szCs w:val="21"/>
                <w:vertAlign w:val="superscript"/>
              </w:rPr>
              <w:t>3</w:t>
            </w:r>
          </w:p>
        </w:tc>
        <w:tc>
          <w:tcPr>
            <w:tcW w:w="1008" w:type="dxa"/>
            <w:vAlign w:val="center"/>
          </w:tcPr>
          <w:p w14:paraId="295277D2">
            <w:pPr>
              <w:jc w:val="center"/>
              <w:rPr>
                <w:rFonts w:ascii="Times New Roman" w:eastAsia="仿宋"/>
                <w:szCs w:val="21"/>
              </w:rPr>
            </w:pPr>
            <w:r>
              <w:rPr>
                <w:rFonts w:hint="eastAsia" w:ascii="Times New Roman" w:eastAsia="仿宋"/>
                <w:szCs w:val="21"/>
              </w:rPr>
              <w:t>1.8kg/h</w:t>
            </w:r>
          </w:p>
        </w:tc>
        <w:tc>
          <w:tcPr>
            <w:tcW w:w="1779" w:type="dxa"/>
            <w:gridSpan w:val="2"/>
            <w:vAlign w:val="center"/>
          </w:tcPr>
          <w:p w14:paraId="4F24D9AD">
            <w:pPr>
              <w:jc w:val="center"/>
              <w:rPr>
                <w:rFonts w:ascii="Times New Roman" w:eastAsia="仿宋"/>
                <w:szCs w:val="21"/>
              </w:rPr>
            </w:pPr>
            <w:r>
              <w:rPr>
                <w:rFonts w:hint="eastAsia" w:ascii="Times New Roman" w:eastAsia="仿宋"/>
                <w:szCs w:val="21"/>
              </w:rPr>
              <w:t>1</w:t>
            </w:r>
            <w:r>
              <w:rPr>
                <w:rFonts w:ascii="Times New Roman" w:eastAsia="仿宋"/>
                <w:szCs w:val="21"/>
              </w:rPr>
              <w:t>.92</w:t>
            </w:r>
          </w:p>
        </w:tc>
        <w:tc>
          <w:tcPr>
            <w:tcW w:w="1412" w:type="dxa"/>
            <w:vAlign w:val="center"/>
          </w:tcPr>
          <w:p w14:paraId="53BB1B5C">
            <w:pPr>
              <w:jc w:val="center"/>
              <w:rPr>
                <w:rFonts w:ascii="Times New Roman" w:eastAsia="仿宋"/>
                <w:szCs w:val="21"/>
              </w:rPr>
            </w:pPr>
            <w:r>
              <w:rPr>
                <w:rFonts w:hint="eastAsia" w:ascii="Times New Roman" w:eastAsia="仿宋"/>
                <w:szCs w:val="21"/>
              </w:rPr>
              <w:t>1</w:t>
            </w:r>
            <w:r>
              <w:rPr>
                <w:rFonts w:ascii="Times New Roman" w:eastAsia="仿宋"/>
                <w:szCs w:val="21"/>
              </w:rPr>
              <w:t>.92</w:t>
            </w:r>
          </w:p>
        </w:tc>
        <w:tc>
          <w:tcPr>
            <w:tcW w:w="1002" w:type="dxa"/>
            <w:vMerge w:val="restart"/>
            <w:vAlign w:val="center"/>
          </w:tcPr>
          <w:p w14:paraId="07292503">
            <w:pPr>
              <w:jc w:val="center"/>
              <w:rPr>
                <w:rFonts w:ascii="Times New Roman" w:eastAsia="仿宋"/>
                <w:szCs w:val="21"/>
              </w:rPr>
            </w:pPr>
            <w:r>
              <w:rPr>
                <w:rFonts w:hint="eastAsia" w:ascii="Times New Roman" w:eastAsia="仿宋"/>
                <w:szCs w:val="21"/>
              </w:rPr>
              <w:t>/</w:t>
            </w:r>
          </w:p>
        </w:tc>
      </w:tr>
      <w:tr w14:paraId="3508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5165273D">
            <w:pPr>
              <w:jc w:val="center"/>
              <w:rPr>
                <w:rFonts w:ascii="Times New Roman" w:eastAsia="仿宋"/>
                <w:szCs w:val="21"/>
              </w:rPr>
            </w:pPr>
          </w:p>
        </w:tc>
        <w:tc>
          <w:tcPr>
            <w:tcW w:w="314" w:type="dxa"/>
            <w:vMerge w:val="continue"/>
            <w:vAlign w:val="center"/>
          </w:tcPr>
          <w:p w14:paraId="044E7B72">
            <w:pPr>
              <w:jc w:val="center"/>
              <w:rPr>
                <w:rFonts w:ascii="Times New Roman" w:eastAsia="仿宋"/>
                <w:szCs w:val="21"/>
              </w:rPr>
            </w:pPr>
          </w:p>
        </w:tc>
        <w:tc>
          <w:tcPr>
            <w:tcW w:w="528" w:type="dxa"/>
            <w:vMerge w:val="continue"/>
            <w:vAlign w:val="center"/>
          </w:tcPr>
          <w:p w14:paraId="6F3AF3C4">
            <w:pPr>
              <w:jc w:val="center"/>
              <w:rPr>
                <w:rFonts w:ascii="Times New Roman" w:eastAsia="仿宋"/>
                <w:szCs w:val="21"/>
              </w:rPr>
            </w:pPr>
          </w:p>
        </w:tc>
        <w:tc>
          <w:tcPr>
            <w:tcW w:w="1276" w:type="dxa"/>
            <w:vAlign w:val="center"/>
          </w:tcPr>
          <w:p w14:paraId="6F66271F">
            <w:pPr>
              <w:jc w:val="center"/>
              <w:rPr>
                <w:rFonts w:ascii="Times New Roman" w:eastAsia="仿宋"/>
                <w:szCs w:val="21"/>
              </w:rPr>
            </w:pPr>
            <w:r>
              <w:rPr>
                <w:rFonts w:hint="eastAsia" w:ascii="Times New Roman" w:eastAsia="仿宋"/>
                <w:szCs w:val="21"/>
              </w:rPr>
              <w:t>TVOC</w:t>
            </w:r>
          </w:p>
        </w:tc>
        <w:tc>
          <w:tcPr>
            <w:tcW w:w="1139" w:type="dxa"/>
            <w:vMerge w:val="continue"/>
            <w:vAlign w:val="center"/>
          </w:tcPr>
          <w:p w14:paraId="17D4095F">
            <w:pPr>
              <w:jc w:val="center"/>
              <w:rPr>
                <w:rFonts w:ascii="Times New Roman" w:eastAsia="仿宋"/>
                <w:szCs w:val="21"/>
              </w:rPr>
            </w:pPr>
          </w:p>
        </w:tc>
        <w:tc>
          <w:tcPr>
            <w:tcW w:w="1418" w:type="dxa"/>
            <w:vAlign w:val="center"/>
          </w:tcPr>
          <w:p w14:paraId="22EC0451">
            <w:pPr>
              <w:widowControl/>
              <w:jc w:val="center"/>
              <w:textAlignment w:val="center"/>
              <w:rPr>
                <w:rFonts w:ascii="Times New Roman" w:eastAsia="仿宋"/>
                <w:szCs w:val="24"/>
              </w:rPr>
            </w:pPr>
            <w:r>
              <w:rPr>
                <w:rFonts w:ascii="Times New Roman" w:eastAsia="仿宋"/>
                <w:szCs w:val="24"/>
              </w:rPr>
              <w:t>19.05</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62BE2BA3">
            <w:pPr>
              <w:jc w:val="center"/>
              <w:rPr>
                <w:rFonts w:ascii="Times New Roman" w:eastAsia="仿宋"/>
                <w:szCs w:val="21"/>
              </w:rPr>
            </w:pPr>
          </w:p>
        </w:tc>
        <w:tc>
          <w:tcPr>
            <w:tcW w:w="1164" w:type="dxa"/>
            <w:vAlign w:val="center"/>
          </w:tcPr>
          <w:p w14:paraId="41C284F7">
            <w:pPr>
              <w:jc w:val="center"/>
              <w:rPr>
                <w:rFonts w:ascii="Times New Roman" w:eastAsia="仿宋"/>
                <w:szCs w:val="21"/>
              </w:rPr>
            </w:pPr>
            <w:r>
              <w:rPr>
                <w:rFonts w:hint="eastAsia" w:ascii="Times New Roman" w:eastAsia="仿宋"/>
                <w:szCs w:val="21"/>
              </w:rPr>
              <w:t>60mg/m</w:t>
            </w:r>
            <w:r>
              <w:rPr>
                <w:rFonts w:hint="eastAsia" w:ascii="Times New Roman" w:eastAsia="仿宋"/>
                <w:szCs w:val="21"/>
                <w:vertAlign w:val="superscript"/>
              </w:rPr>
              <w:t>3</w:t>
            </w:r>
          </w:p>
        </w:tc>
        <w:tc>
          <w:tcPr>
            <w:tcW w:w="1008" w:type="dxa"/>
            <w:vAlign w:val="center"/>
          </w:tcPr>
          <w:p w14:paraId="71902903">
            <w:pPr>
              <w:jc w:val="center"/>
              <w:rPr>
                <w:rFonts w:ascii="Times New Roman" w:eastAsia="仿宋"/>
                <w:szCs w:val="21"/>
              </w:rPr>
            </w:pPr>
            <w:r>
              <w:rPr>
                <w:rFonts w:hint="eastAsia" w:ascii="Times New Roman" w:eastAsia="仿宋"/>
                <w:szCs w:val="21"/>
              </w:rPr>
              <w:t>2kg/h</w:t>
            </w:r>
          </w:p>
        </w:tc>
        <w:tc>
          <w:tcPr>
            <w:tcW w:w="1779" w:type="dxa"/>
            <w:gridSpan w:val="2"/>
            <w:vAlign w:val="center"/>
          </w:tcPr>
          <w:p w14:paraId="00CE9018">
            <w:pPr>
              <w:jc w:val="center"/>
              <w:rPr>
                <w:rFonts w:ascii="Times New Roman" w:eastAsia="仿宋"/>
                <w:szCs w:val="21"/>
              </w:rPr>
            </w:pPr>
            <w:r>
              <w:rPr>
                <w:rFonts w:hint="eastAsia" w:ascii="Times New Roman" w:eastAsia="仿宋"/>
                <w:szCs w:val="21"/>
              </w:rPr>
              <w:t>1</w:t>
            </w:r>
            <w:r>
              <w:rPr>
                <w:rFonts w:ascii="Times New Roman" w:eastAsia="仿宋"/>
                <w:szCs w:val="21"/>
              </w:rPr>
              <w:t>.92</w:t>
            </w:r>
          </w:p>
        </w:tc>
        <w:tc>
          <w:tcPr>
            <w:tcW w:w="1412" w:type="dxa"/>
            <w:vAlign w:val="center"/>
          </w:tcPr>
          <w:p w14:paraId="0DAEFA18">
            <w:pPr>
              <w:jc w:val="center"/>
              <w:rPr>
                <w:rFonts w:ascii="Times New Roman" w:eastAsia="仿宋"/>
                <w:szCs w:val="21"/>
              </w:rPr>
            </w:pPr>
            <w:r>
              <w:rPr>
                <w:rFonts w:hint="eastAsia" w:ascii="Times New Roman" w:eastAsia="仿宋"/>
                <w:szCs w:val="21"/>
              </w:rPr>
              <w:t>1</w:t>
            </w:r>
            <w:r>
              <w:rPr>
                <w:rFonts w:ascii="Times New Roman" w:eastAsia="仿宋"/>
                <w:szCs w:val="21"/>
              </w:rPr>
              <w:t>.92</w:t>
            </w:r>
          </w:p>
        </w:tc>
        <w:tc>
          <w:tcPr>
            <w:tcW w:w="1002" w:type="dxa"/>
            <w:vMerge w:val="continue"/>
            <w:vAlign w:val="center"/>
          </w:tcPr>
          <w:p w14:paraId="2F0E8465">
            <w:pPr>
              <w:jc w:val="center"/>
              <w:rPr>
                <w:rFonts w:ascii="Times New Roman" w:eastAsia="仿宋"/>
                <w:szCs w:val="21"/>
              </w:rPr>
            </w:pPr>
          </w:p>
        </w:tc>
      </w:tr>
      <w:tr w14:paraId="7DA2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37F72D53">
            <w:pPr>
              <w:jc w:val="center"/>
              <w:rPr>
                <w:rFonts w:ascii="Times New Roman" w:eastAsia="仿宋"/>
                <w:szCs w:val="21"/>
              </w:rPr>
            </w:pPr>
          </w:p>
        </w:tc>
        <w:tc>
          <w:tcPr>
            <w:tcW w:w="314" w:type="dxa"/>
            <w:vMerge w:val="continue"/>
            <w:vAlign w:val="center"/>
          </w:tcPr>
          <w:p w14:paraId="2FF1496A">
            <w:pPr>
              <w:jc w:val="center"/>
              <w:rPr>
                <w:rFonts w:ascii="Times New Roman" w:eastAsia="仿宋"/>
                <w:szCs w:val="21"/>
              </w:rPr>
            </w:pPr>
          </w:p>
        </w:tc>
        <w:tc>
          <w:tcPr>
            <w:tcW w:w="528" w:type="dxa"/>
            <w:vMerge w:val="continue"/>
            <w:vAlign w:val="center"/>
          </w:tcPr>
          <w:p w14:paraId="0A38F721">
            <w:pPr>
              <w:jc w:val="center"/>
              <w:rPr>
                <w:rFonts w:ascii="Times New Roman" w:eastAsia="仿宋"/>
                <w:szCs w:val="21"/>
              </w:rPr>
            </w:pPr>
          </w:p>
        </w:tc>
        <w:tc>
          <w:tcPr>
            <w:tcW w:w="1276" w:type="dxa"/>
            <w:vAlign w:val="center"/>
          </w:tcPr>
          <w:p w14:paraId="3AD73FD3">
            <w:pPr>
              <w:jc w:val="center"/>
              <w:rPr>
                <w:rFonts w:ascii="Times New Roman" w:eastAsia="仿宋"/>
                <w:szCs w:val="21"/>
              </w:rPr>
            </w:pPr>
            <w:r>
              <w:rPr>
                <w:rFonts w:hint="eastAsia" w:ascii="Times New Roman" w:eastAsia="仿宋"/>
                <w:szCs w:val="21"/>
              </w:rPr>
              <w:t>二甲苯</w:t>
            </w:r>
          </w:p>
        </w:tc>
        <w:tc>
          <w:tcPr>
            <w:tcW w:w="1139" w:type="dxa"/>
            <w:vMerge w:val="continue"/>
            <w:vAlign w:val="center"/>
          </w:tcPr>
          <w:p w14:paraId="4AA5B554">
            <w:pPr>
              <w:jc w:val="center"/>
              <w:rPr>
                <w:rFonts w:ascii="Times New Roman" w:eastAsia="仿宋"/>
                <w:szCs w:val="21"/>
              </w:rPr>
            </w:pPr>
          </w:p>
        </w:tc>
        <w:tc>
          <w:tcPr>
            <w:tcW w:w="1418" w:type="dxa"/>
            <w:vAlign w:val="center"/>
          </w:tcPr>
          <w:p w14:paraId="6C35788D">
            <w:pPr>
              <w:widowControl/>
              <w:jc w:val="center"/>
              <w:textAlignment w:val="center"/>
              <w:rPr>
                <w:rFonts w:ascii="Times New Roman" w:eastAsia="仿宋"/>
                <w:szCs w:val="24"/>
              </w:rPr>
            </w:pPr>
            <w:r>
              <w:rPr>
                <w:rFonts w:ascii="Times New Roman" w:eastAsia="仿宋"/>
                <w:szCs w:val="24"/>
              </w:rPr>
              <w:t>4.76</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293D159E">
            <w:pPr>
              <w:jc w:val="center"/>
              <w:rPr>
                <w:rFonts w:ascii="Times New Roman" w:eastAsia="仿宋"/>
                <w:szCs w:val="21"/>
              </w:rPr>
            </w:pPr>
          </w:p>
        </w:tc>
        <w:tc>
          <w:tcPr>
            <w:tcW w:w="1164" w:type="dxa"/>
            <w:vAlign w:val="center"/>
          </w:tcPr>
          <w:p w14:paraId="50C34460">
            <w:pPr>
              <w:jc w:val="center"/>
              <w:rPr>
                <w:rFonts w:ascii="Times New Roman" w:eastAsia="仿宋"/>
                <w:szCs w:val="21"/>
              </w:rPr>
            </w:pPr>
            <w:r>
              <w:rPr>
                <w:rFonts w:hint="eastAsia" w:ascii="Times New Roman" w:eastAsia="仿宋"/>
                <w:szCs w:val="21"/>
              </w:rPr>
              <w:t>15mg/m</w:t>
            </w:r>
            <w:r>
              <w:rPr>
                <w:rFonts w:hint="eastAsia" w:ascii="Times New Roman" w:eastAsia="仿宋"/>
                <w:szCs w:val="21"/>
                <w:vertAlign w:val="superscript"/>
              </w:rPr>
              <w:t>3</w:t>
            </w:r>
          </w:p>
        </w:tc>
        <w:tc>
          <w:tcPr>
            <w:tcW w:w="1008" w:type="dxa"/>
            <w:vAlign w:val="center"/>
          </w:tcPr>
          <w:p w14:paraId="387E07FC">
            <w:pPr>
              <w:jc w:val="center"/>
              <w:rPr>
                <w:rFonts w:ascii="Times New Roman" w:eastAsia="仿宋"/>
                <w:szCs w:val="21"/>
              </w:rPr>
            </w:pPr>
            <w:r>
              <w:rPr>
                <w:rFonts w:hint="eastAsia" w:ascii="Times New Roman" w:eastAsia="仿宋"/>
                <w:szCs w:val="21"/>
              </w:rPr>
              <w:t>0.8kg/h</w:t>
            </w:r>
          </w:p>
        </w:tc>
        <w:tc>
          <w:tcPr>
            <w:tcW w:w="1779" w:type="dxa"/>
            <w:gridSpan w:val="2"/>
            <w:vAlign w:val="center"/>
          </w:tcPr>
          <w:p w14:paraId="1EDB6019">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412" w:type="dxa"/>
            <w:vAlign w:val="center"/>
          </w:tcPr>
          <w:p w14:paraId="603A6AAE">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002" w:type="dxa"/>
            <w:vMerge w:val="continue"/>
            <w:vAlign w:val="center"/>
          </w:tcPr>
          <w:p w14:paraId="6329BA3C">
            <w:pPr>
              <w:jc w:val="center"/>
              <w:rPr>
                <w:rFonts w:ascii="Times New Roman" w:eastAsia="仿宋"/>
                <w:szCs w:val="21"/>
              </w:rPr>
            </w:pPr>
          </w:p>
        </w:tc>
      </w:tr>
      <w:tr w14:paraId="3049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5A277EB6">
            <w:pPr>
              <w:jc w:val="center"/>
              <w:rPr>
                <w:rFonts w:ascii="Times New Roman" w:eastAsia="仿宋"/>
                <w:szCs w:val="21"/>
              </w:rPr>
            </w:pPr>
          </w:p>
        </w:tc>
        <w:tc>
          <w:tcPr>
            <w:tcW w:w="314" w:type="dxa"/>
            <w:vMerge w:val="continue"/>
            <w:vAlign w:val="center"/>
          </w:tcPr>
          <w:p w14:paraId="6ED5A47F">
            <w:pPr>
              <w:jc w:val="center"/>
              <w:rPr>
                <w:rFonts w:ascii="Times New Roman" w:eastAsia="仿宋"/>
                <w:szCs w:val="21"/>
              </w:rPr>
            </w:pPr>
          </w:p>
        </w:tc>
        <w:tc>
          <w:tcPr>
            <w:tcW w:w="528" w:type="dxa"/>
            <w:vMerge w:val="continue"/>
            <w:vAlign w:val="center"/>
          </w:tcPr>
          <w:p w14:paraId="48548C61">
            <w:pPr>
              <w:jc w:val="center"/>
              <w:rPr>
                <w:rFonts w:ascii="Times New Roman" w:eastAsia="仿宋"/>
                <w:szCs w:val="21"/>
              </w:rPr>
            </w:pPr>
          </w:p>
        </w:tc>
        <w:tc>
          <w:tcPr>
            <w:tcW w:w="1276" w:type="dxa"/>
            <w:vAlign w:val="center"/>
          </w:tcPr>
          <w:p w14:paraId="01B57EE1">
            <w:pPr>
              <w:jc w:val="center"/>
              <w:rPr>
                <w:rFonts w:ascii="Times New Roman" w:eastAsia="仿宋"/>
                <w:szCs w:val="21"/>
              </w:rPr>
            </w:pPr>
            <w:r>
              <w:rPr>
                <w:rFonts w:hint="eastAsia" w:ascii="Times New Roman" w:eastAsia="仿宋"/>
                <w:szCs w:val="21"/>
              </w:rPr>
              <w:t>苯系物</w:t>
            </w:r>
          </w:p>
        </w:tc>
        <w:tc>
          <w:tcPr>
            <w:tcW w:w="1139" w:type="dxa"/>
            <w:vMerge w:val="continue"/>
            <w:vAlign w:val="center"/>
          </w:tcPr>
          <w:p w14:paraId="50C6BAA0">
            <w:pPr>
              <w:jc w:val="center"/>
              <w:rPr>
                <w:rFonts w:ascii="Times New Roman" w:eastAsia="仿宋"/>
                <w:szCs w:val="21"/>
              </w:rPr>
            </w:pPr>
          </w:p>
        </w:tc>
        <w:tc>
          <w:tcPr>
            <w:tcW w:w="1418" w:type="dxa"/>
            <w:vAlign w:val="center"/>
          </w:tcPr>
          <w:p w14:paraId="5B5A3833">
            <w:pPr>
              <w:widowControl/>
              <w:jc w:val="center"/>
              <w:textAlignment w:val="center"/>
              <w:rPr>
                <w:rFonts w:ascii="Times New Roman" w:eastAsia="仿宋"/>
                <w:szCs w:val="24"/>
              </w:rPr>
            </w:pPr>
            <w:r>
              <w:rPr>
                <w:rFonts w:ascii="Times New Roman" w:eastAsia="仿宋"/>
                <w:szCs w:val="24"/>
              </w:rPr>
              <w:t>4.76</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42430B52">
            <w:pPr>
              <w:jc w:val="center"/>
              <w:rPr>
                <w:rFonts w:ascii="Times New Roman" w:eastAsia="仿宋"/>
                <w:szCs w:val="21"/>
              </w:rPr>
            </w:pPr>
          </w:p>
        </w:tc>
        <w:tc>
          <w:tcPr>
            <w:tcW w:w="1164" w:type="dxa"/>
            <w:vAlign w:val="center"/>
          </w:tcPr>
          <w:p w14:paraId="2C1BC338">
            <w:pPr>
              <w:jc w:val="center"/>
              <w:rPr>
                <w:rFonts w:ascii="Times New Roman" w:eastAsia="仿宋"/>
                <w:szCs w:val="21"/>
              </w:rPr>
            </w:pPr>
            <w:r>
              <w:rPr>
                <w:rFonts w:hint="eastAsia" w:ascii="Times New Roman" w:eastAsia="仿宋"/>
                <w:szCs w:val="21"/>
              </w:rPr>
              <w:t>20mg/m</w:t>
            </w:r>
            <w:r>
              <w:rPr>
                <w:rFonts w:hint="eastAsia" w:ascii="Times New Roman" w:eastAsia="仿宋"/>
                <w:szCs w:val="21"/>
                <w:vertAlign w:val="superscript"/>
              </w:rPr>
              <w:t>3</w:t>
            </w:r>
          </w:p>
        </w:tc>
        <w:tc>
          <w:tcPr>
            <w:tcW w:w="1008" w:type="dxa"/>
            <w:vAlign w:val="center"/>
          </w:tcPr>
          <w:p w14:paraId="5E9BB67E">
            <w:pPr>
              <w:jc w:val="center"/>
              <w:rPr>
                <w:rFonts w:ascii="Times New Roman" w:eastAsia="仿宋"/>
                <w:szCs w:val="21"/>
              </w:rPr>
            </w:pPr>
            <w:r>
              <w:rPr>
                <w:rFonts w:ascii="Times New Roman" w:eastAsia="仿宋"/>
                <w:szCs w:val="21"/>
              </w:rPr>
              <w:t>1.0</w:t>
            </w:r>
            <w:r>
              <w:rPr>
                <w:rFonts w:hint="eastAsia" w:ascii="Times New Roman" w:eastAsia="仿宋"/>
                <w:szCs w:val="21"/>
              </w:rPr>
              <w:t>kg/h</w:t>
            </w:r>
          </w:p>
        </w:tc>
        <w:tc>
          <w:tcPr>
            <w:tcW w:w="1779" w:type="dxa"/>
            <w:gridSpan w:val="2"/>
            <w:vAlign w:val="center"/>
          </w:tcPr>
          <w:p w14:paraId="069F4C01">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412" w:type="dxa"/>
            <w:vAlign w:val="center"/>
          </w:tcPr>
          <w:p w14:paraId="68BBA7BB">
            <w:pPr>
              <w:jc w:val="center"/>
              <w:rPr>
                <w:rFonts w:ascii="Times New Roman" w:eastAsia="仿宋"/>
                <w:szCs w:val="21"/>
              </w:rPr>
            </w:pPr>
            <w:r>
              <w:rPr>
                <w:rFonts w:hint="eastAsia" w:ascii="Times New Roman" w:eastAsia="仿宋"/>
                <w:szCs w:val="21"/>
              </w:rPr>
              <w:t>0.</w:t>
            </w:r>
            <w:r>
              <w:rPr>
                <w:rFonts w:ascii="Times New Roman" w:eastAsia="仿宋"/>
                <w:szCs w:val="21"/>
              </w:rPr>
              <w:t>49</w:t>
            </w:r>
          </w:p>
        </w:tc>
        <w:tc>
          <w:tcPr>
            <w:tcW w:w="1002" w:type="dxa"/>
            <w:vMerge w:val="continue"/>
            <w:vAlign w:val="center"/>
          </w:tcPr>
          <w:p w14:paraId="71F4983A">
            <w:pPr>
              <w:jc w:val="center"/>
              <w:rPr>
                <w:rFonts w:ascii="Times New Roman" w:eastAsia="仿宋"/>
                <w:szCs w:val="21"/>
              </w:rPr>
            </w:pPr>
          </w:p>
        </w:tc>
      </w:tr>
      <w:tr w14:paraId="4AA2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44EE74C1">
            <w:pPr>
              <w:jc w:val="center"/>
              <w:rPr>
                <w:rFonts w:ascii="Times New Roman" w:eastAsia="仿宋"/>
                <w:szCs w:val="21"/>
              </w:rPr>
            </w:pPr>
          </w:p>
        </w:tc>
        <w:tc>
          <w:tcPr>
            <w:tcW w:w="314" w:type="dxa"/>
            <w:vMerge w:val="continue"/>
            <w:vAlign w:val="center"/>
          </w:tcPr>
          <w:p w14:paraId="421F1038">
            <w:pPr>
              <w:jc w:val="center"/>
              <w:rPr>
                <w:rFonts w:ascii="Times New Roman" w:eastAsia="仿宋"/>
                <w:szCs w:val="21"/>
              </w:rPr>
            </w:pPr>
          </w:p>
        </w:tc>
        <w:tc>
          <w:tcPr>
            <w:tcW w:w="528" w:type="dxa"/>
            <w:vMerge w:val="continue"/>
            <w:vAlign w:val="center"/>
          </w:tcPr>
          <w:p w14:paraId="413AE0FB">
            <w:pPr>
              <w:jc w:val="center"/>
              <w:rPr>
                <w:rFonts w:ascii="Times New Roman" w:eastAsia="仿宋"/>
                <w:szCs w:val="21"/>
              </w:rPr>
            </w:pPr>
          </w:p>
        </w:tc>
        <w:tc>
          <w:tcPr>
            <w:tcW w:w="1276" w:type="dxa"/>
            <w:vAlign w:val="center"/>
          </w:tcPr>
          <w:p w14:paraId="0C27B519">
            <w:pPr>
              <w:jc w:val="center"/>
              <w:rPr>
                <w:rFonts w:ascii="Times New Roman" w:eastAsia="仿宋"/>
                <w:szCs w:val="21"/>
              </w:rPr>
            </w:pPr>
            <w:r>
              <w:rPr>
                <w:rFonts w:hint="eastAsia" w:ascii="Times New Roman" w:eastAsia="仿宋"/>
                <w:szCs w:val="21"/>
              </w:rPr>
              <w:t>颗粒物</w:t>
            </w:r>
          </w:p>
        </w:tc>
        <w:tc>
          <w:tcPr>
            <w:tcW w:w="1139" w:type="dxa"/>
            <w:vMerge w:val="continue"/>
            <w:vAlign w:val="center"/>
          </w:tcPr>
          <w:p w14:paraId="1D0C9FC7">
            <w:pPr>
              <w:jc w:val="center"/>
              <w:rPr>
                <w:rFonts w:ascii="Times New Roman" w:eastAsia="仿宋"/>
                <w:szCs w:val="21"/>
              </w:rPr>
            </w:pPr>
          </w:p>
        </w:tc>
        <w:tc>
          <w:tcPr>
            <w:tcW w:w="1418" w:type="dxa"/>
            <w:vAlign w:val="center"/>
          </w:tcPr>
          <w:p w14:paraId="3D061826">
            <w:pPr>
              <w:widowControl/>
              <w:jc w:val="center"/>
              <w:textAlignment w:val="center"/>
              <w:rPr>
                <w:rFonts w:ascii="Times New Roman" w:eastAsia="仿宋"/>
                <w:szCs w:val="24"/>
              </w:rPr>
            </w:pPr>
            <w:r>
              <w:rPr>
                <w:rFonts w:hint="eastAsia" w:ascii="Times New Roman" w:eastAsia="仿宋"/>
                <w:szCs w:val="24"/>
              </w:rPr>
              <w:t>1.34</w:t>
            </w:r>
            <w:r>
              <w:rPr>
                <w:rFonts w:hint="eastAsia" w:ascii="Times New Roman" w:eastAsia="仿宋"/>
                <w:szCs w:val="21"/>
              </w:rPr>
              <w:t xml:space="preserve"> mg/m</w:t>
            </w:r>
            <w:r>
              <w:rPr>
                <w:rFonts w:hint="eastAsia" w:ascii="Times New Roman" w:eastAsia="仿宋"/>
                <w:szCs w:val="21"/>
                <w:vertAlign w:val="superscript"/>
              </w:rPr>
              <w:t>3</w:t>
            </w:r>
          </w:p>
        </w:tc>
        <w:tc>
          <w:tcPr>
            <w:tcW w:w="2423" w:type="dxa"/>
            <w:vMerge w:val="continue"/>
            <w:vAlign w:val="center"/>
          </w:tcPr>
          <w:p w14:paraId="65DF8C0C">
            <w:pPr>
              <w:jc w:val="center"/>
              <w:rPr>
                <w:rFonts w:ascii="Times New Roman" w:eastAsia="仿宋"/>
                <w:szCs w:val="21"/>
              </w:rPr>
            </w:pPr>
          </w:p>
        </w:tc>
        <w:tc>
          <w:tcPr>
            <w:tcW w:w="1164" w:type="dxa"/>
            <w:vAlign w:val="center"/>
          </w:tcPr>
          <w:p w14:paraId="0AF26B38">
            <w:pPr>
              <w:jc w:val="center"/>
              <w:rPr>
                <w:rFonts w:ascii="Times New Roman" w:eastAsia="仿宋"/>
                <w:szCs w:val="21"/>
              </w:rPr>
            </w:pPr>
            <w:r>
              <w:rPr>
                <w:rFonts w:hint="eastAsia" w:ascii="Times New Roman" w:eastAsia="仿宋"/>
                <w:szCs w:val="21"/>
              </w:rPr>
              <w:t>10mg/m</w:t>
            </w:r>
            <w:r>
              <w:rPr>
                <w:rFonts w:hint="eastAsia" w:ascii="Times New Roman" w:eastAsia="仿宋"/>
                <w:szCs w:val="21"/>
                <w:vertAlign w:val="superscript"/>
              </w:rPr>
              <w:t>3</w:t>
            </w:r>
          </w:p>
        </w:tc>
        <w:tc>
          <w:tcPr>
            <w:tcW w:w="1008" w:type="dxa"/>
            <w:vAlign w:val="center"/>
          </w:tcPr>
          <w:p w14:paraId="3E2F73F3">
            <w:pPr>
              <w:jc w:val="center"/>
              <w:rPr>
                <w:rFonts w:ascii="Times New Roman" w:eastAsia="仿宋"/>
                <w:szCs w:val="21"/>
              </w:rPr>
            </w:pPr>
            <w:r>
              <w:rPr>
                <w:rFonts w:hint="eastAsia" w:ascii="Times New Roman" w:eastAsia="仿宋"/>
                <w:szCs w:val="21"/>
              </w:rPr>
              <w:t>0.6kg/h</w:t>
            </w:r>
          </w:p>
        </w:tc>
        <w:tc>
          <w:tcPr>
            <w:tcW w:w="1779" w:type="dxa"/>
            <w:gridSpan w:val="2"/>
            <w:vAlign w:val="center"/>
          </w:tcPr>
          <w:p w14:paraId="2AD00DFB">
            <w:pPr>
              <w:jc w:val="center"/>
              <w:rPr>
                <w:rFonts w:ascii="Times New Roman" w:eastAsia="仿宋"/>
                <w:szCs w:val="21"/>
              </w:rPr>
            </w:pPr>
            <w:r>
              <w:rPr>
                <w:rFonts w:hint="eastAsia" w:ascii="Times New Roman" w:eastAsia="仿宋"/>
                <w:szCs w:val="21"/>
              </w:rPr>
              <w:t>0.1</w:t>
            </w:r>
            <w:r>
              <w:rPr>
                <w:rFonts w:ascii="Times New Roman" w:eastAsia="仿宋"/>
                <w:szCs w:val="21"/>
              </w:rPr>
              <w:t>36</w:t>
            </w:r>
          </w:p>
        </w:tc>
        <w:tc>
          <w:tcPr>
            <w:tcW w:w="1412" w:type="dxa"/>
            <w:vAlign w:val="center"/>
          </w:tcPr>
          <w:p w14:paraId="0D7065CE">
            <w:pPr>
              <w:jc w:val="center"/>
              <w:rPr>
                <w:rFonts w:ascii="Times New Roman" w:eastAsia="仿宋"/>
                <w:szCs w:val="21"/>
              </w:rPr>
            </w:pPr>
            <w:r>
              <w:rPr>
                <w:rFonts w:hint="eastAsia" w:ascii="Times New Roman" w:eastAsia="仿宋"/>
                <w:szCs w:val="21"/>
              </w:rPr>
              <w:t>0.1</w:t>
            </w:r>
            <w:r>
              <w:rPr>
                <w:rFonts w:ascii="Times New Roman" w:eastAsia="仿宋"/>
                <w:szCs w:val="21"/>
              </w:rPr>
              <w:t>36</w:t>
            </w:r>
          </w:p>
        </w:tc>
        <w:tc>
          <w:tcPr>
            <w:tcW w:w="1002" w:type="dxa"/>
            <w:vMerge w:val="continue"/>
            <w:vAlign w:val="center"/>
          </w:tcPr>
          <w:p w14:paraId="21CCD4E1">
            <w:pPr>
              <w:jc w:val="center"/>
              <w:rPr>
                <w:rFonts w:ascii="Times New Roman" w:eastAsia="仿宋"/>
                <w:szCs w:val="21"/>
              </w:rPr>
            </w:pPr>
          </w:p>
        </w:tc>
      </w:tr>
      <w:tr w14:paraId="2111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6431F29B">
            <w:pPr>
              <w:jc w:val="center"/>
              <w:rPr>
                <w:rFonts w:ascii="Times New Roman" w:eastAsia="仿宋"/>
                <w:szCs w:val="21"/>
              </w:rPr>
            </w:pPr>
          </w:p>
        </w:tc>
        <w:tc>
          <w:tcPr>
            <w:tcW w:w="314" w:type="dxa"/>
            <w:vMerge w:val="continue"/>
            <w:vAlign w:val="center"/>
          </w:tcPr>
          <w:p w14:paraId="212194A9">
            <w:pPr>
              <w:jc w:val="center"/>
              <w:rPr>
                <w:rFonts w:ascii="Times New Roman" w:eastAsia="仿宋"/>
                <w:szCs w:val="21"/>
              </w:rPr>
            </w:pPr>
          </w:p>
        </w:tc>
        <w:tc>
          <w:tcPr>
            <w:tcW w:w="528" w:type="dxa"/>
            <w:vMerge w:val="continue"/>
            <w:vAlign w:val="center"/>
          </w:tcPr>
          <w:p w14:paraId="3E2CA295">
            <w:pPr>
              <w:jc w:val="center"/>
              <w:rPr>
                <w:rFonts w:ascii="Times New Roman" w:eastAsia="仿宋"/>
                <w:szCs w:val="21"/>
              </w:rPr>
            </w:pPr>
          </w:p>
        </w:tc>
        <w:tc>
          <w:tcPr>
            <w:tcW w:w="1276" w:type="dxa"/>
            <w:vAlign w:val="center"/>
          </w:tcPr>
          <w:p w14:paraId="2983074A">
            <w:pPr>
              <w:adjustRightInd w:val="0"/>
              <w:snapToGrid w:val="0"/>
              <w:jc w:val="center"/>
              <w:rPr>
                <w:rFonts w:ascii="Times New Roman" w:eastAsia="仿宋"/>
                <w:szCs w:val="21"/>
              </w:rPr>
            </w:pPr>
            <w:r>
              <w:rPr>
                <w:rFonts w:hint="eastAsia" w:ascii="Times New Roman" w:eastAsia="仿宋"/>
                <w:szCs w:val="24"/>
              </w:rPr>
              <w:t>S</w:t>
            </w:r>
            <w:r>
              <w:rPr>
                <w:rFonts w:ascii="Times New Roman" w:eastAsia="仿宋"/>
                <w:szCs w:val="24"/>
              </w:rPr>
              <w:t>O</w:t>
            </w:r>
            <w:r>
              <w:rPr>
                <w:rFonts w:ascii="Times New Roman" w:eastAsia="仿宋"/>
                <w:szCs w:val="24"/>
                <w:vertAlign w:val="subscript"/>
              </w:rPr>
              <w:t>2</w:t>
            </w:r>
          </w:p>
        </w:tc>
        <w:tc>
          <w:tcPr>
            <w:tcW w:w="1139" w:type="dxa"/>
            <w:vMerge w:val="continue"/>
            <w:vAlign w:val="center"/>
          </w:tcPr>
          <w:p w14:paraId="66928E39">
            <w:pPr>
              <w:jc w:val="center"/>
              <w:rPr>
                <w:rFonts w:ascii="Times New Roman" w:eastAsia="仿宋"/>
                <w:szCs w:val="21"/>
              </w:rPr>
            </w:pPr>
          </w:p>
        </w:tc>
        <w:tc>
          <w:tcPr>
            <w:tcW w:w="1418" w:type="dxa"/>
            <w:vAlign w:val="center"/>
          </w:tcPr>
          <w:p w14:paraId="0013BEB2">
            <w:pPr>
              <w:widowControl/>
              <w:jc w:val="center"/>
              <w:textAlignment w:val="center"/>
              <w:rPr>
                <w:rFonts w:ascii="Times New Roman" w:eastAsia="仿宋"/>
                <w:szCs w:val="24"/>
              </w:rPr>
            </w:pPr>
            <w:r>
              <w:rPr>
                <w:rFonts w:hint="eastAsia" w:ascii="Times New Roman" w:eastAsia="仿宋"/>
                <w:szCs w:val="24"/>
              </w:rPr>
              <w:t>0.2</w:t>
            </w:r>
            <w:r>
              <w:rPr>
                <w:rFonts w:hint="eastAsia" w:ascii="Times New Roman" w:eastAsia="仿宋"/>
                <w:szCs w:val="21"/>
              </w:rPr>
              <w:t xml:space="preserve"> mg/m</w:t>
            </w:r>
            <w:r>
              <w:rPr>
                <w:rFonts w:hint="eastAsia" w:ascii="Times New Roman" w:eastAsia="仿宋"/>
                <w:szCs w:val="21"/>
                <w:vertAlign w:val="superscript"/>
              </w:rPr>
              <w:t>3</w:t>
            </w:r>
          </w:p>
        </w:tc>
        <w:tc>
          <w:tcPr>
            <w:tcW w:w="2423" w:type="dxa"/>
            <w:vMerge w:val="restart"/>
            <w:vAlign w:val="center"/>
          </w:tcPr>
          <w:p w14:paraId="0D4CC280">
            <w:pPr>
              <w:jc w:val="center"/>
              <w:rPr>
                <w:rFonts w:ascii="Times New Roman" w:eastAsia="仿宋"/>
                <w:szCs w:val="21"/>
              </w:rPr>
            </w:pPr>
            <w:r>
              <w:rPr>
                <w:rFonts w:hint="eastAsia" w:ascii="Times New Roman" w:eastAsia="仿宋"/>
                <w:szCs w:val="21"/>
              </w:rPr>
              <w:t>《工业炉窑大气污染物排放标准》（DB 32/3728-2020）表1相关限值</w:t>
            </w:r>
          </w:p>
        </w:tc>
        <w:tc>
          <w:tcPr>
            <w:tcW w:w="1164" w:type="dxa"/>
            <w:vAlign w:val="center"/>
          </w:tcPr>
          <w:p w14:paraId="02E0CDA1">
            <w:pPr>
              <w:jc w:val="center"/>
              <w:rPr>
                <w:rFonts w:ascii="Times New Roman" w:eastAsia="仿宋"/>
                <w:szCs w:val="21"/>
              </w:rPr>
            </w:pPr>
            <w:r>
              <w:rPr>
                <w:rFonts w:hint="eastAsia" w:ascii="Times New Roman" w:eastAsia="仿宋"/>
                <w:szCs w:val="21"/>
              </w:rPr>
              <w:t>80mg/m</w:t>
            </w:r>
            <w:r>
              <w:rPr>
                <w:rFonts w:hint="eastAsia" w:ascii="Times New Roman" w:eastAsia="仿宋"/>
                <w:szCs w:val="21"/>
                <w:vertAlign w:val="superscript"/>
              </w:rPr>
              <w:t>3</w:t>
            </w:r>
          </w:p>
        </w:tc>
        <w:tc>
          <w:tcPr>
            <w:tcW w:w="1008" w:type="dxa"/>
            <w:vAlign w:val="center"/>
          </w:tcPr>
          <w:p w14:paraId="15B2BD9E">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397F16BD">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c>
          <w:tcPr>
            <w:tcW w:w="1412" w:type="dxa"/>
            <w:vAlign w:val="center"/>
          </w:tcPr>
          <w:p w14:paraId="658FE737">
            <w:pPr>
              <w:jc w:val="center"/>
              <w:rPr>
                <w:rFonts w:ascii="Times New Roman" w:eastAsia="仿宋"/>
                <w:szCs w:val="21"/>
              </w:rPr>
            </w:pPr>
            <w:r>
              <w:rPr>
                <w:rFonts w:hint="eastAsia" w:ascii="Times New Roman" w:eastAsia="仿宋"/>
                <w:szCs w:val="21"/>
              </w:rPr>
              <w:t>0.</w:t>
            </w:r>
            <w:r>
              <w:rPr>
                <w:rFonts w:ascii="Times New Roman" w:eastAsia="仿宋"/>
                <w:szCs w:val="21"/>
              </w:rPr>
              <w:t>02</w:t>
            </w:r>
          </w:p>
        </w:tc>
        <w:tc>
          <w:tcPr>
            <w:tcW w:w="1002" w:type="dxa"/>
            <w:vMerge w:val="continue"/>
            <w:vAlign w:val="center"/>
          </w:tcPr>
          <w:p w14:paraId="14B10B70">
            <w:pPr>
              <w:jc w:val="center"/>
              <w:rPr>
                <w:rFonts w:ascii="Times New Roman" w:eastAsia="仿宋"/>
                <w:szCs w:val="21"/>
              </w:rPr>
            </w:pPr>
          </w:p>
        </w:tc>
      </w:tr>
      <w:tr w14:paraId="63F4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10CA5337">
            <w:pPr>
              <w:jc w:val="center"/>
              <w:rPr>
                <w:rFonts w:ascii="Times New Roman" w:eastAsia="仿宋"/>
                <w:szCs w:val="21"/>
              </w:rPr>
            </w:pPr>
          </w:p>
        </w:tc>
        <w:tc>
          <w:tcPr>
            <w:tcW w:w="314" w:type="dxa"/>
            <w:vMerge w:val="continue"/>
            <w:vAlign w:val="center"/>
          </w:tcPr>
          <w:p w14:paraId="1E7B18A9">
            <w:pPr>
              <w:jc w:val="center"/>
              <w:rPr>
                <w:rFonts w:ascii="Times New Roman" w:eastAsia="仿宋"/>
                <w:szCs w:val="21"/>
              </w:rPr>
            </w:pPr>
          </w:p>
        </w:tc>
        <w:tc>
          <w:tcPr>
            <w:tcW w:w="528" w:type="dxa"/>
            <w:vMerge w:val="continue"/>
            <w:vAlign w:val="center"/>
          </w:tcPr>
          <w:p w14:paraId="1232C50A">
            <w:pPr>
              <w:jc w:val="center"/>
              <w:rPr>
                <w:rFonts w:ascii="Times New Roman" w:eastAsia="仿宋"/>
                <w:szCs w:val="21"/>
              </w:rPr>
            </w:pPr>
          </w:p>
        </w:tc>
        <w:tc>
          <w:tcPr>
            <w:tcW w:w="1276" w:type="dxa"/>
            <w:vAlign w:val="center"/>
          </w:tcPr>
          <w:p w14:paraId="5C431709">
            <w:pPr>
              <w:adjustRightInd w:val="0"/>
              <w:snapToGrid w:val="0"/>
              <w:jc w:val="center"/>
              <w:rPr>
                <w:rFonts w:ascii="Times New Roman" w:eastAsia="仿宋"/>
                <w:szCs w:val="21"/>
              </w:rPr>
            </w:pPr>
            <w:r>
              <w:rPr>
                <w:rFonts w:hint="eastAsia" w:ascii="Times New Roman" w:eastAsia="仿宋"/>
                <w:szCs w:val="24"/>
              </w:rPr>
              <w:t>N</w:t>
            </w:r>
            <w:r>
              <w:rPr>
                <w:rFonts w:ascii="Times New Roman" w:eastAsia="仿宋"/>
                <w:szCs w:val="24"/>
              </w:rPr>
              <w:t>O</w:t>
            </w:r>
            <w:r>
              <w:rPr>
                <w:rFonts w:ascii="Times New Roman" w:eastAsia="仿宋"/>
                <w:szCs w:val="24"/>
                <w:vertAlign w:val="subscript"/>
              </w:rPr>
              <w:t>X</w:t>
            </w:r>
          </w:p>
        </w:tc>
        <w:tc>
          <w:tcPr>
            <w:tcW w:w="1139" w:type="dxa"/>
            <w:vMerge w:val="continue"/>
            <w:vAlign w:val="center"/>
          </w:tcPr>
          <w:p w14:paraId="72655B68">
            <w:pPr>
              <w:jc w:val="center"/>
              <w:rPr>
                <w:rFonts w:ascii="Times New Roman" w:eastAsia="仿宋"/>
                <w:szCs w:val="21"/>
              </w:rPr>
            </w:pPr>
          </w:p>
        </w:tc>
        <w:tc>
          <w:tcPr>
            <w:tcW w:w="1418" w:type="dxa"/>
            <w:vAlign w:val="center"/>
          </w:tcPr>
          <w:p w14:paraId="0EC7BE17">
            <w:pPr>
              <w:widowControl/>
              <w:jc w:val="center"/>
              <w:textAlignment w:val="center"/>
              <w:rPr>
                <w:rFonts w:ascii="Times New Roman" w:eastAsia="仿宋"/>
                <w:szCs w:val="24"/>
              </w:rPr>
            </w:pPr>
            <w:r>
              <w:rPr>
                <w:rFonts w:ascii="Times New Roman" w:eastAsia="仿宋"/>
                <w:szCs w:val="24"/>
              </w:rPr>
              <w:t>9.5</w:t>
            </w:r>
            <w:r>
              <w:rPr>
                <w:rFonts w:hint="eastAsia" w:ascii="Times New Roman" w:eastAsia="仿宋"/>
                <w:szCs w:val="21"/>
              </w:rPr>
              <w:t>mg/m</w:t>
            </w:r>
            <w:r>
              <w:rPr>
                <w:rFonts w:hint="eastAsia" w:ascii="Times New Roman" w:eastAsia="仿宋"/>
                <w:szCs w:val="21"/>
                <w:vertAlign w:val="superscript"/>
              </w:rPr>
              <w:t>3</w:t>
            </w:r>
          </w:p>
        </w:tc>
        <w:tc>
          <w:tcPr>
            <w:tcW w:w="2423" w:type="dxa"/>
            <w:vMerge w:val="continue"/>
            <w:vAlign w:val="center"/>
          </w:tcPr>
          <w:p w14:paraId="4BA715E4">
            <w:pPr>
              <w:jc w:val="center"/>
              <w:rPr>
                <w:rFonts w:ascii="Times New Roman" w:eastAsia="仿宋"/>
                <w:szCs w:val="21"/>
              </w:rPr>
            </w:pPr>
          </w:p>
        </w:tc>
        <w:tc>
          <w:tcPr>
            <w:tcW w:w="1164" w:type="dxa"/>
            <w:vAlign w:val="center"/>
          </w:tcPr>
          <w:p w14:paraId="422DCCAC">
            <w:pPr>
              <w:jc w:val="center"/>
              <w:rPr>
                <w:rFonts w:ascii="Times New Roman" w:eastAsia="仿宋"/>
                <w:szCs w:val="21"/>
              </w:rPr>
            </w:pPr>
            <w:r>
              <w:rPr>
                <w:rFonts w:hint="eastAsia" w:ascii="Times New Roman" w:eastAsia="仿宋"/>
                <w:szCs w:val="21"/>
              </w:rPr>
              <w:t>180mg/m</w:t>
            </w:r>
            <w:r>
              <w:rPr>
                <w:rFonts w:hint="eastAsia" w:ascii="Times New Roman" w:eastAsia="仿宋"/>
                <w:szCs w:val="21"/>
                <w:vertAlign w:val="superscript"/>
              </w:rPr>
              <w:t>3</w:t>
            </w:r>
          </w:p>
        </w:tc>
        <w:tc>
          <w:tcPr>
            <w:tcW w:w="1008" w:type="dxa"/>
            <w:vAlign w:val="center"/>
          </w:tcPr>
          <w:p w14:paraId="3989FB41">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7D414F28">
            <w:pPr>
              <w:jc w:val="center"/>
              <w:rPr>
                <w:rFonts w:ascii="Times New Roman" w:eastAsia="仿宋"/>
                <w:szCs w:val="21"/>
              </w:rPr>
            </w:pPr>
            <w:r>
              <w:rPr>
                <w:rFonts w:hint="eastAsia" w:ascii="Times New Roman" w:eastAsia="仿宋"/>
                <w:szCs w:val="21"/>
              </w:rPr>
              <w:t>0</w:t>
            </w:r>
            <w:r>
              <w:rPr>
                <w:rFonts w:ascii="Times New Roman" w:eastAsia="仿宋"/>
                <w:szCs w:val="21"/>
              </w:rPr>
              <w:t>.896</w:t>
            </w:r>
          </w:p>
        </w:tc>
        <w:tc>
          <w:tcPr>
            <w:tcW w:w="1412" w:type="dxa"/>
            <w:vAlign w:val="center"/>
          </w:tcPr>
          <w:p w14:paraId="313D14B3">
            <w:pPr>
              <w:jc w:val="center"/>
              <w:rPr>
                <w:rFonts w:ascii="Times New Roman" w:eastAsia="仿宋"/>
                <w:szCs w:val="21"/>
              </w:rPr>
            </w:pPr>
            <w:r>
              <w:rPr>
                <w:rFonts w:hint="eastAsia" w:ascii="Times New Roman" w:eastAsia="仿宋"/>
                <w:szCs w:val="21"/>
              </w:rPr>
              <w:t>0</w:t>
            </w:r>
            <w:r>
              <w:rPr>
                <w:rFonts w:ascii="Times New Roman" w:eastAsia="仿宋"/>
                <w:szCs w:val="21"/>
              </w:rPr>
              <w:t>.896</w:t>
            </w:r>
          </w:p>
        </w:tc>
        <w:tc>
          <w:tcPr>
            <w:tcW w:w="1002" w:type="dxa"/>
            <w:vMerge w:val="continue"/>
            <w:vAlign w:val="center"/>
          </w:tcPr>
          <w:p w14:paraId="74CDFF6D">
            <w:pPr>
              <w:jc w:val="center"/>
              <w:rPr>
                <w:rFonts w:ascii="Times New Roman" w:eastAsia="仿宋"/>
                <w:szCs w:val="21"/>
              </w:rPr>
            </w:pPr>
          </w:p>
        </w:tc>
      </w:tr>
      <w:tr w14:paraId="5C37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194" w:hRule="atLeast"/>
          <w:jc w:val="center"/>
        </w:trPr>
        <w:tc>
          <w:tcPr>
            <w:tcW w:w="571" w:type="dxa"/>
            <w:vMerge w:val="continue"/>
            <w:vAlign w:val="center"/>
          </w:tcPr>
          <w:p w14:paraId="59E75928">
            <w:pPr>
              <w:jc w:val="center"/>
              <w:rPr>
                <w:rFonts w:ascii="Times New Roman" w:eastAsia="仿宋"/>
                <w:szCs w:val="21"/>
              </w:rPr>
            </w:pPr>
          </w:p>
        </w:tc>
        <w:tc>
          <w:tcPr>
            <w:tcW w:w="314" w:type="dxa"/>
            <w:vMerge w:val="continue"/>
            <w:vAlign w:val="center"/>
          </w:tcPr>
          <w:p w14:paraId="12290462">
            <w:pPr>
              <w:jc w:val="center"/>
              <w:rPr>
                <w:rFonts w:ascii="Times New Roman" w:eastAsia="仿宋"/>
                <w:szCs w:val="21"/>
              </w:rPr>
            </w:pPr>
          </w:p>
        </w:tc>
        <w:tc>
          <w:tcPr>
            <w:tcW w:w="528" w:type="dxa"/>
            <w:vAlign w:val="center"/>
          </w:tcPr>
          <w:p w14:paraId="66205AC3">
            <w:pPr>
              <w:jc w:val="center"/>
              <w:rPr>
                <w:rFonts w:ascii="Times New Roman" w:eastAsia="仿宋"/>
                <w:szCs w:val="21"/>
              </w:rPr>
            </w:pPr>
            <w:r>
              <w:rPr>
                <w:rFonts w:hint="eastAsia" w:ascii="Times New Roman" w:eastAsia="仿宋"/>
                <w:szCs w:val="21"/>
              </w:rPr>
              <w:t>5#</w:t>
            </w:r>
          </w:p>
        </w:tc>
        <w:tc>
          <w:tcPr>
            <w:tcW w:w="1276" w:type="dxa"/>
            <w:vAlign w:val="center"/>
          </w:tcPr>
          <w:p w14:paraId="208EC720">
            <w:pPr>
              <w:adjustRightInd w:val="0"/>
              <w:snapToGrid w:val="0"/>
              <w:jc w:val="center"/>
              <w:rPr>
                <w:rFonts w:ascii="Times New Roman" w:eastAsia="仿宋"/>
                <w:szCs w:val="24"/>
              </w:rPr>
            </w:pPr>
            <w:r>
              <w:rPr>
                <w:rFonts w:hint="eastAsia" w:ascii="Times New Roman" w:eastAsia="仿宋"/>
                <w:szCs w:val="21"/>
              </w:rPr>
              <w:t>颗粒物</w:t>
            </w:r>
          </w:p>
        </w:tc>
        <w:tc>
          <w:tcPr>
            <w:tcW w:w="1139" w:type="dxa"/>
            <w:vAlign w:val="center"/>
          </w:tcPr>
          <w:p w14:paraId="6FDD0BB7">
            <w:pPr>
              <w:jc w:val="center"/>
              <w:rPr>
                <w:rFonts w:ascii="Times New Roman" w:eastAsia="仿宋"/>
                <w:szCs w:val="21"/>
              </w:rPr>
            </w:pPr>
            <w:r>
              <w:rPr>
                <w:rFonts w:hint="eastAsia" w:ascii="Times New Roman" w:eastAsia="仿宋"/>
                <w:szCs w:val="24"/>
              </w:rPr>
              <w:t>滤筒除尘器</w:t>
            </w:r>
          </w:p>
        </w:tc>
        <w:tc>
          <w:tcPr>
            <w:tcW w:w="1418" w:type="dxa"/>
            <w:vAlign w:val="center"/>
          </w:tcPr>
          <w:p w14:paraId="445FB0A0">
            <w:pPr>
              <w:widowControl/>
              <w:jc w:val="center"/>
              <w:textAlignment w:val="center"/>
              <w:rPr>
                <w:rFonts w:ascii="Times New Roman" w:eastAsia="仿宋"/>
                <w:szCs w:val="24"/>
              </w:rPr>
            </w:pPr>
            <w:r>
              <w:rPr>
                <w:rFonts w:ascii="Times New Roman" w:eastAsia="仿宋"/>
                <w:szCs w:val="21"/>
              </w:rPr>
              <w:t>7</w:t>
            </w:r>
            <w:r>
              <w:rPr>
                <w:rFonts w:hint="eastAsia" w:ascii="Times New Roman" w:eastAsia="仿宋"/>
                <w:szCs w:val="21"/>
              </w:rPr>
              <w:t>mg/m</w:t>
            </w:r>
          </w:p>
        </w:tc>
        <w:tc>
          <w:tcPr>
            <w:tcW w:w="2423" w:type="dxa"/>
            <w:vAlign w:val="center"/>
          </w:tcPr>
          <w:p w14:paraId="222A6989">
            <w:pPr>
              <w:jc w:val="center"/>
              <w:rPr>
                <w:rFonts w:ascii="Times New Roman" w:eastAsia="仿宋"/>
                <w:szCs w:val="21"/>
              </w:rPr>
            </w:pPr>
            <w:r>
              <w:rPr>
                <w:rFonts w:hint="eastAsia" w:ascii="Times New Roman" w:eastAsia="仿宋"/>
                <w:szCs w:val="21"/>
              </w:rPr>
              <w:t>《大气污染物综合排放标准》(DB32/4041-2021)表1相关限值</w:t>
            </w:r>
          </w:p>
        </w:tc>
        <w:tc>
          <w:tcPr>
            <w:tcW w:w="1164" w:type="dxa"/>
            <w:vAlign w:val="center"/>
          </w:tcPr>
          <w:p w14:paraId="1FE33CC5">
            <w:pPr>
              <w:jc w:val="center"/>
              <w:rPr>
                <w:rFonts w:ascii="Times New Roman" w:eastAsia="仿宋"/>
                <w:szCs w:val="21"/>
              </w:rPr>
            </w:pPr>
            <w:r>
              <w:rPr>
                <w:rFonts w:ascii="Times New Roman" w:eastAsia="仿宋"/>
                <w:szCs w:val="21"/>
              </w:rPr>
              <w:t>1</w:t>
            </w:r>
            <w:r>
              <w:rPr>
                <w:rFonts w:hint="eastAsia" w:ascii="Times New Roman" w:eastAsia="仿宋"/>
                <w:szCs w:val="21"/>
              </w:rPr>
              <w:t>0mg/m</w:t>
            </w:r>
            <w:r>
              <w:rPr>
                <w:rFonts w:hint="eastAsia" w:ascii="Times New Roman" w:eastAsia="仿宋"/>
                <w:szCs w:val="21"/>
                <w:vertAlign w:val="superscript"/>
              </w:rPr>
              <w:t>3</w:t>
            </w:r>
          </w:p>
        </w:tc>
        <w:tc>
          <w:tcPr>
            <w:tcW w:w="1008" w:type="dxa"/>
            <w:vAlign w:val="center"/>
          </w:tcPr>
          <w:p w14:paraId="10A080B6">
            <w:pPr>
              <w:jc w:val="center"/>
              <w:rPr>
                <w:rFonts w:ascii="Times New Roman" w:eastAsia="仿宋"/>
                <w:szCs w:val="21"/>
              </w:rPr>
            </w:pPr>
            <w:r>
              <w:rPr>
                <w:rFonts w:ascii="Times New Roman" w:eastAsia="仿宋"/>
                <w:szCs w:val="21"/>
              </w:rPr>
              <w:t>0.6</w:t>
            </w:r>
            <w:r>
              <w:rPr>
                <w:rFonts w:hint="eastAsia" w:ascii="Times New Roman" w:eastAsia="仿宋"/>
                <w:szCs w:val="21"/>
              </w:rPr>
              <w:t>kg/h</w:t>
            </w:r>
          </w:p>
        </w:tc>
        <w:tc>
          <w:tcPr>
            <w:tcW w:w="1779" w:type="dxa"/>
            <w:gridSpan w:val="2"/>
            <w:vAlign w:val="center"/>
          </w:tcPr>
          <w:p w14:paraId="4AAE8F13">
            <w:pPr>
              <w:jc w:val="center"/>
              <w:rPr>
                <w:rFonts w:ascii="Times New Roman" w:eastAsia="仿宋"/>
                <w:szCs w:val="21"/>
              </w:rPr>
            </w:pPr>
            <w:r>
              <w:rPr>
                <w:rFonts w:hint="eastAsia" w:ascii="Times New Roman" w:eastAsia="仿宋"/>
                <w:szCs w:val="21"/>
              </w:rPr>
              <w:t>0.67</w:t>
            </w:r>
          </w:p>
        </w:tc>
        <w:tc>
          <w:tcPr>
            <w:tcW w:w="1412" w:type="dxa"/>
            <w:vAlign w:val="center"/>
          </w:tcPr>
          <w:p w14:paraId="1502FDDE">
            <w:pPr>
              <w:jc w:val="center"/>
              <w:rPr>
                <w:rFonts w:ascii="Times New Roman" w:eastAsia="仿宋"/>
                <w:szCs w:val="21"/>
              </w:rPr>
            </w:pPr>
            <w:r>
              <w:rPr>
                <w:rFonts w:hint="eastAsia" w:ascii="Times New Roman" w:eastAsia="仿宋"/>
                <w:szCs w:val="21"/>
              </w:rPr>
              <w:t>0.67</w:t>
            </w:r>
          </w:p>
        </w:tc>
        <w:tc>
          <w:tcPr>
            <w:tcW w:w="1002" w:type="dxa"/>
            <w:vAlign w:val="center"/>
          </w:tcPr>
          <w:p w14:paraId="1B4B3F74">
            <w:pPr>
              <w:jc w:val="center"/>
              <w:rPr>
                <w:rFonts w:ascii="Times New Roman" w:eastAsia="仿宋"/>
                <w:szCs w:val="21"/>
              </w:rPr>
            </w:pPr>
            <w:r>
              <w:rPr>
                <w:rFonts w:hint="eastAsia" w:ascii="Times New Roman" w:eastAsia="仿宋"/>
                <w:szCs w:val="21"/>
              </w:rPr>
              <w:t>/</w:t>
            </w:r>
          </w:p>
        </w:tc>
      </w:tr>
      <w:tr w14:paraId="4F45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62" w:hRule="atLeast"/>
          <w:jc w:val="center"/>
        </w:trPr>
        <w:tc>
          <w:tcPr>
            <w:tcW w:w="571" w:type="dxa"/>
            <w:vMerge w:val="continue"/>
            <w:vAlign w:val="center"/>
          </w:tcPr>
          <w:p w14:paraId="038BAE77">
            <w:pPr>
              <w:jc w:val="center"/>
              <w:rPr>
                <w:rFonts w:ascii="Times New Roman" w:eastAsia="仿宋"/>
                <w:szCs w:val="21"/>
              </w:rPr>
            </w:pPr>
          </w:p>
        </w:tc>
        <w:tc>
          <w:tcPr>
            <w:tcW w:w="842" w:type="dxa"/>
            <w:gridSpan w:val="2"/>
            <w:vMerge w:val="restart"/>
            <w:vAlign w:val="center"/>
          </w:tcPr>
          <w:p w14:paraId="5228B266">
            <w:pPr>
              <w:jc w:val="center"/>
              <w:rPr>
                <w:rFonts w:ascii="Times New Roman" w:eastAsia="仿宋"/>
                <w:szCs w:val="21"/>
              </w:rPr>
            </w:pPr>
            <w:r>
              <w:rPr>
                <w:rFonts w:hint="eastAsia" w:ascii="Times New Roman" w:eastAsia="仿宋"/>
                <w:szCs w:val="21"/>
              </w:rPr>
              <w:t>无组织</w:t>
            </w:r>
          </w:p>
          <w:p w14:paraId="5F83583B">
            <w:pPr>
              <w:jc w:val="center"/>
              <w:rPr>
                <w:rFonts w:ascii="Times New Roman" w:eastAsia="仿宋"/>
                <w:szCs w:val="21"/>
              </w:rPr>
            </w:pPr>
            <w:r>
              <w:rPr>
                <w:rFonts w:hint="eastAsia" w:ascii="Times New Roman" w:eastAsia="仿宋"/>
                <w:szCs w:val="21"/>
              </w:rPr>
              <w:t>废气</w:t>
            </w:r>
          </w:p>
        </w:tc>
        <w:tc>
          <w:tcPr>
            <w:tcW w:w="1276" w:type="dxa"/>
            <w:vAlign w:val="center"/>
          </w:tcPr>
          <w:p w14:paraId="3976DB72">
            <w:pPr>
              <w:jc w:val="center"/>
              <w:rPr>
                <w:rFonts w:ascii="Times New Roman" w:eastAsia="仿宋"/>
                <w:szCs w:val="21"/>
              </w:rPr>
            </w:pPr>
            <w:r>
              <w:rPr>
                <w:rFonts w:hint="eastAsia" w:ascii="Times New Roman" w:eastAsia="仿宋"/>
                <w:szCs w:val="21"/>
              </w:rPr>
              <w:t>颗粒物</w:t>
            </w:r>
          </w:p>
        </w:tc>
        <w:tc>
          <w:tcPr>
            <w:tcW w:w="1139" w:type="dxa"/>
            <w:vMerge w:val="restart"/>
            <w:vAlign w:val="center"/>
          </w:tcPr>
          <w:p w14:paraId="0E35725E">
            <w:pPr>
              <w:jc w:val="center"/>
              <w:rPr>
                <w:rFonts w:ascii="Times New Roman" w:eastAsia="仿宋"/>
                <w:szCs w:val="21"/>
              </w:rPr>
            </w:pPr>
            <w:r>
              <w:rPr>
                <w:rFonts w:hint="eastAsia" w:ascii="Times New Roman" w:eastAsia="仿宋"/>
                <w:szCs w:val="21"/>
              </w:rPr>
              <w:t>/</w:t>
            </w:r>
          </w:p>
        </w:tc>
        <w:tc>
          <w:tcPr>
            <w:tcW w:w="1418" w:type="dxa"/>
            <w:vMerge w:val="restart"/>
            <w:vAlign w:val="center"/>
          </w:tcPr>
          <w:p w14:paraId="6CF29DA5">
            <w:pPr>
              <w:jc w:val="center"/>
              <w:rPr>
                <w:rFonts w:ascii="Times New Roman" w:eastAsia="仿宋"/>
                <w:szCs w:val="21"/>
              </w:rPr>
            </w:pPr>
            <w:r>
              <w:rPr>
                <w:rFonts w:hint="eastAsia" w:ascii="Times New Roman" w:eastAsia="仿宋"/>
                <w:szCs w:val="21"/>
              </w:rPr>
              <w:t>/</w:t>
            </w:r>
          </w:p>
        </w:tc>
        <w:tc>
          <w:tcPr>
            <w:tcW w:w="2423" w:type="dxa"/>
            <w:vMerge w:val="restart"/>
            <w:vAlign w:val="center"/>
          </w:tcPr>
          <w:p w14:paraId="657AC5B5">
            <w:pPr>
              <w:jc w:val="center"/>
              <w:rPr>
                <w:rFonts w:ascii="Times New Roman" w:eastAsia="仿宋"/>
                <w:szCs w:val="21"/>
              </w:rPr>
            </w:pPr>
            <w:r>
              <w:rPr>
                <w:rFonts w:hint="eastAsia" w:ascii="Times New Roman" w:eastAsia="仿宋"/>
                <w:szCs w:val="21"/>
              </w:rPr>
              <w:t>《大气污染物综合排放标准》（DB32/4041-2021）、《表面涂装（汽车零部件）大气污染物排放标准》（DB 32/3966-2021）表2相关限值</w:t>
            </w:r>
          </w:p>
        </w:tc>
        <w:tc>
          <w:tcPr>
            <w:tcW w:w="1164" w:type="dxa"/>
            <w:tcBorders>
              <w:top w:val="single" w:color="000000" w:sz="4" w:space="0"/>
              <w:left w:val="single" w:color="000000" w:sz="4" w:space="0"/>
              <w:right w:val="single" w:color="000000" w:sz="4" w:space="0"/>
            </w:tcBorders>
            <w:vAlign w:val="center"/>
          </w:tcPr>
          <w:p w14:paraId="0D526959">
            <w:pPr>
              <w:jc w:val="center"/>
              <w:rPr>
                <w:rFonts w:ascii="Times New Roman" w:eastAsia="仿宋"/>
                <w:szCs w:val="21"/>
              </w:rPr>
            </w:pPr>
            <w:r>
              <w:rPr>
                <w:rFonts w:hint="eastAsia" w:ascii="Times New Roman" w:eastAsia="仿宋"/>
                <w:szCs w:val="21"/>
              </w:rPr>
              <w:t>0.5mg/m</w:t>
            </w:r>
            <w:r>
              <w:rPr>
                <w:rFonts w:hint="eastAsia" w:ascii="Times New Roman" w:eastAsia="仿宋"/>
                <w:szCs w:val="21"/>
                <w:vertAlign w:val="superscript"/>
              </w:rPr>
              <w:t>3</w:t>
            </w:r>
          </w:p>
        </w:tc>
        <w:tc>
          <w:tcPr>
            <w:tcW w:w="1008" w:type="dxa"/>
            <w:tcBorders>
              <w:top w:val="single" w:color="000000" w:sz="4" w:space="0"/>
              <w:left w:val="single" w:color="000000" w:sz="4" w:space="0"/>
              <w:right w:val="single" w:color="000000" w:sz="4" w:space="0"/>
            </w:tcBorders>
            <w:vAlign w:val="center"/>
          </w:tcPr>
          <w:p w14:paraId="2175850E">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76E24E8B">
            <w:pPr>
              <w:jc w:val="center"/>
              <w:rPr>
                <w:rFonts w:ascii="Times New Roman" w:eastAsia="仿宋"/>
                <w:szCs w:val="21"/>
              </w:rPr>
            </w:pPr>
            <w:r>
              <w:rPr>
                <w:rFonts w:hint="eastAsia" w:ascii="Times New Roman" w:eastAsia="仿宋"/>
                <w:szCs w:val="21"/>
              </w:rPr>
              <w:t>0.216</w:t>
            </w:r>
          </w:p>
        </w:tc>
        <w:tc>
          <w:tcPr>
            <w:tcW w:w="1412" w:type="dxa"/>
            <w:vAlign w:val="center"/>
          </w:tcPr>
          <w:p w14:paraId="3810D1CF">
            <w:pPr>
              <w:jc w:val="center"/>
              <w:rPr>
                <w:rFonts w:ascii="Times New Roman" w:eastAsia="仿宋"/>
                <w:szCs w:val="21"/>
              </w:rPr>
            </w:pPr>
            <w:r>
              <w:rPr>
                <w:rFonts w:hint="eastAsia" w:ascii="Times New Roman" w:eastAsia="仿宋"/>
                <w:szCs w:val="21"/>
              </w:rPr>
              <w:t>0.216</w:t>
            </w:r>
          </w:p>
        </w:tc>
        <w:tc>
          <w:tcPr>
            <w:tcW w:w="1002" w:type="dxa"/>
            <w:vMerge w:val="restart"/>
            <w:vAlign w:val="center"/>
          </w:tcPr>
          <w:p w14:paraId="57C89B85">
            <w:pPr>
              <w:jc w:val="center"/>
              <w:rPr>
                <w:rFonts w:ascii="Times New Roman" w:eastAsia="仿宋"/>
                <w:szCs w:val="21"/>
              </w:rPr>
            </w:pPr>
            <w:r>
              <w:rPr>
                <w:rFonts w:hint="eastAsia" w:ascii="Times New Roman" w:eastAsia="仿宋"/>
                <w:szCs w:val="21"/>
              </w:rPr>
              <w:t>/</w:t>
            </w:r>
          </w:p>
        </w:tc>
      </w:tr>
      <w:tr w14:paraId="451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62" w:hRule="atLeast"/>
          <w:jc w:val="center"/>
        </w:trPr>
        <w:tc>
          <w:tcPr>
            <w:tcW w:w="571" w:type="dxa"/>
            <w:vMerge w:val="continue"/>
            <w:vAlign w:val="center"/>
          </w:tcPr>
          <w:p w14:paraId="5A8200FE">
            <w:pPr>
              <w:jc w:val="center"/>
              <w:rPr>
                <w:rFonts w:ascii="Times New Roman" w:eastAsia="仿宋"/>
                <w:szCs w:val="21"/>
              </w:rPr>
            </w:pPr>
          </w:p>
        </w:tc>
        <w:tc>
          <w:tcPr>
            <w:tcW w:w="842" w:type="dxa"/>
            <w:gridSpan w:val="2"/>
            <w:vMerge w:val="continue"/>
            <w:vAlign w:val="center"/>
          </w:tcPr>
          <w:p w14:paraId="75B8ACFB">
            <w:pPr>
              <w:jc w:val="center"/>
              <w:rPr>
                <w:rFonts w:ascii="Times New Roman" w:eastAsia="仿宋"/>
                <w:szCs w:val="21"/>
              </w:rPr>
            </w:pPr>
          </w:p>
        </w:tc>
        <w:tc>
          <w:tcPr>
            <w:tcW w:w="1276" w:type="dxa"/>
            <w:vAlign w:val="center"/>
          </w:tcPr>
          <w:p w14:paraId="03F4FB65">
            <w:pPr>
              <w:jc w:val="center"/>
              <w:rPr>
                <w:rFonts w:ascii="Times New Roman" w:eastAsia="仿宋"/>
                <w:szCs w:val="21"/>
              </w:rPr>
            </w:pPr>
            <w:r>
              <w:rPr>
                <w:rFonts w:hint="eastAsia" w:ascii="Times New Roman" w:eastAsia="仿宋"/>
                <w:szCs w:val="21"/>
              </w:rPr>
              <w:t>二甲苯</w:t>
            </w:r>
          </w:p>
        </w:tc>
        <w:tc>
          <w:tcPr>
            <w:tcW w:w="1139" w:type="dxa"/>
            <w:vMerge w:val="continue"/>
            <w:vAlign w:val="center"/>
          </w:tcPr>
          <w:p w14:paraId="50F757A8">
            <w:pPr>
              <w:jc w:val="center"/>
              <w:rPr>
                <w:rFonts w:ascii="Times New Roman" w:eastAsia="仿宋"/>
                <w:szCs w:val="21"/>
              </w:rPr>
            </w:pPr>
          </w:p>
        </w:tc>
        <w:tc>
          <w:tcPr>
            <w:tcW w:w="1418" w:type="dxa"/>
            <w:vMerge w:val="continue"/>
            <w:vAlign w:val="center"/>
          </w:tcPr>
          <w:p w14:paraId="7255DF38">
            <w:pPr>
              <w:jc w:val="center"/>
              <w:rPr>
                <w:rFonts w:ascii="Times New Roman" w:eastAsia="仿宋"/>
                <w:szCs w:val="21"/>
              </w:rPr>
            </w:pPr>
          </w:p>
        </w:tc>
        <w:tc>
          <w:tcPr>
            <w:tcW w:w="2423" w:type="dxa"/>
            <w:vMerge w:val="continue"/>
            <w:vAlign w:val="center"/>
          </w:tcPr>
          <w:p w14:paraId="4B98A558">
            <w:pPr>
              <w:jc w:val="center"/>
              <w:rPr>
                <w:rFonts w:ascii="Times New Roman" w:eastAsia="仿宋"/>
                <w:szCs w:val="21"/>
              </w:rPr>
            </w:pPr>
          </w:p>
        </w:tc>
        <w:tc>
          <w:tcPr>
            <w:tcW w:w="1164" w:type="dxa"/>
            <w:tcBorders>
              <w:top w:val="single" w:color="000000" w:sz="4" w:space="0"/>
              <w:left w:val="single" w:color="000000" w:sz="4" w:space="0"/>
              <w:right w:val="single" w:color="000000" w:sz="4" w:space="0"/>
            </w:tcBorders>
            <w:vAlign w:val="center"/>
          </w:tcPr>
          <w:p w14:paraId="5B9342F3">
            <w:pPr>
              <w:jc w:val="center"/>
              <w:rPr>
                <w:rFonts w:ascii="Times New Roman" w:eastAsia="仿宋"/>
                <w:szCs w:val="21"/>
              </w:rPr>
            </w:pPr>
            <w:r>
              <w:rPr>
                <w:rFonts w:hint="eastAsia" w:ascii="Times New Roman" w:eastAsia="仿宋"/>
                <w:szCs w:val="21"/>
              </w:rPr>
              <w:t>0.2mg/m</w:t>
            </w:r>
            <w:r>
              <w:rPr>
                <w:rFonts w:hint="eastAsia" w:ascii="Times New Roman" w:eastAsia="仿宋"/>
                <w:szCs w:val="21"/>
                <w:vertAlign w:val="superscript"/>
              </w:rPr>
              <w:t>3</w:t>
            </w:r>
          </w:p>
        </w:tc>
        <w:tc>
          <w:tcPr>
            <w:tcW w:w="1008" w:type="dxa"/>
            <w:tcBorders>
              <w:top w:val="single" w:color="000000" w:sz="4" w:space="0"/>
              <w:left w:val="single" w:color="000000" w:sz="4" w:space="0"/>
              <w:right w:val="single" w:color="000000" w:sz="4" w:space="0"/>
            </w:tcBorders>
            <w:vAlign w:val="center"/>
          </w:tcPr>
          <w:p w14:paraId="5B90D43D">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61CF525F">
            <w:pPr>
              <w:jc w:val="center"/>
              <w:rPr>
                <w:rFonts w:ascii="Times New Roman" w:eastAsia="仿宋"/>
                <w:szCs w:val="21"/>
              </w:rPr>
            </w:pPr>
            <w:r>
              <w:rPr>
                <w:rFonts w:hint="eastAsia" w:ascii="Times New Roman" w:eastAsia="仿宋"/>
                <w:szCs w:val="21"/>
              </w:rPr>
              <w:t>0.163</w:t>
            </w:r>
          </w:p>
        </w:tc>
        <w:tc>
          <w:tcPr>
            <w:tcW w:w="1412" w:type="dxa"/>
            <w:vAlign w:val="center"/>
          </w:tcPr>
          <w:p w14:paraId="3334B572">
            <w:pPr>
              <w:jc w:val="center"/>
              <w:rPr>
                <w:rFonts w:ascii="Times New Roman" w:eastAsia="仿宋"/>
                <w:szCs w:val="21"/>
              </w:rPr>
            </w:pPr>
            <w:r>
              <w:rPr>
                <w:rFonts w:hint="eastAsia" w:ascii="Times New Roman" w:eastAsia="仿宋"/>
                <w:szCs w:val="21"/>
              </w:rPr>
              <w:t>0.163</w:t>
            </w:r>
          </w:p>
        </w:tc>
        <w:tc>
          <w:tcPr>
            <w:tcW w:w="1002" w:type="dxa"/>
            <w:vMerge w:val="continue"/>
            <w:vAlign w:val="center"/>
          </w:tcPr>
          <w:p w14:paraId="5A6A7AB4">
            <w:pPr>
              <w:jc w:val="center"/>
              <w:rPr>
                <w:rFonts w:ascii="Times New Roman" w:eastAsia="仿宋"/>
                <w:szCs w:val="21"/>
              </w:rPr>
            </w:pPr>
          </w:p>
        </w:tc>
      </w:tr>
      <w:tr w14:paraId="3D89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62" w:hRule="atLeast"/>
          <w:jc w:val="center"/>
        </w:trPr>
        <w:tc>
          <w:tcPr>
            <w:tcW w:w="571" w:type="dxa"/>
            <w:vMerge w:val="continue"/>
            <w:vAlign w:val="center"/>
          </w:tcPr>
          <w:p w14:paraId="56C895C2">
            <w:pPr>
              <w:jc w:val="center"/>
              <w:rPr>
                <w:rFonts w:ascii="Times New Roman" w:eastAsia="仿宋"/>
                <w:szCs w:val="21"/>
              </w:rPr>
            </w:pPr>
          </w:p>
        </w:tc>
        <w:tc>
          <w:tcPr>
            <w:tcW w:w="842" w:type="dxa"/>
            <w:gridSpan w:val="2"/>
            <w:vMerge w:val="continue"/>
            <w:vAlign w:val="center"/>
          </w:tcPr>
          <w:p w14:paraId="53741D3E">
            <w:pPr>
              <w:jc w:val="center"/>
              <w:rPr>
                <w:rFonts w:ascii="Times New Roman" w:eastAsia="仿宋"/>
                <w:szCs w:val="21"/>
              </w:rPr>
            </w:pPr>
          </w:p>
        </w:tc>
        <w:tc>
          <w:tcPr>
            <w:tcW w:w="1276" w:type="dxa"/>
            <w:vAlign w:val="center"/>
          </w:tcPr>
          <w:p w14:paraId="47ACF00F">
            <w:pPr>
              <w:jc w:val="center"/>
              <w:rPr>
                <w:rFonts w:ascii="Times New Roman" w:eastAsia="仿宋"/>
                <w:szCs w:val="21"/>
              </w:rPr>
            </w:pPr>
            <w:r>
              <w:rPr>
                <w:rFonts w:hint="eastAsia" w:ascii="Times New Roman" w:eastAsia="仿宋"/>
                <w:szCs w:val="21"/>
              </w:rPr>
              <w:t>苯系物</w:t>
            </w:r>
          </w:p>
        </w:tc>
        <w:tc>
          <w:tcPr>
            <w:tcW w:w="1139" w:type="dxa"/>
            <w:vMerge w:val="continue"/>
            <w:vAlign w:val="center"/>
          </w:tcPr>
          <w:p w14:paraId="12E205A8">
            <w:pPr>
              <w:jc w:val="center"/>
              <w:rPr>
                <w:rFonts w:ascii="Times New Roman" w:eastAsia="仿宋"/>
                <w:szCs w:val="21"/>
              </w:rPr>
            </w:pPr>
          </w:p>
        </w:tc>
        <w:tc>
          <w:tcPr>
            <w:tcW w:w="1418" w:type="dxa"/>
            <w:vMerge w:val="continue"/>
            <w:vAlign w:val="center"/>
          </w:tcPr>
          <w:p w14:paraId="0EE941B7">
            <w:pPr>
              <w:jc w:val="center"/>
              <w:rPr>
                <w:rFonts w:ascii="Times New Roman" w:eastAsia="仿宋"/>
                <w:szCs w:val="21"/>
              </w:rPr>
            </w:pPr>
          </w:p>
        </w:tc>
        <w:tc>
          <w:tcPr>
            <w:tcW w:w="2423" w:type="dxa"/>
            <w:vMerge w:val="continue"/>
            <w:vAlign w:val="center"/>
          </w:tcPr>
          <w:p w14:paraId="599522D3">
            <w:pPr>
              <w:jc w:val="center"/>
              <w:rPr>
                <w:rFonts w:ascii="Times New Roman" w:eastAsia="仿宋"/>
                <w:szCs w:val="21"/>
              </w:rPr>
            </w:pPr>
          </w:p>
        </w:tc>
        <w:tc>
          <w:tcPr>
            <w:tcW w:w="1164" w:type="dxa"/>
            <w:tcBorders>
              <w:top w:val="single" w:color="000000" w:sz="4" w:space="0"/>
              <w:left w:val="single" w:color="000000" w:sz="4" w:space="0"/>
              <w:right w:val="single" w:color="000000" w:sz="4" w:space="0"/>
            </w:tcBorders>
            <w:vAlign w:val="center"/>
          </w:tcPr>
          <w:p w14:paraId="3E5087CB">
            <w:pPr>
              <w:jc w:val="center"/>
              <w:rPr>
                <w:rFonts w:ascii="Times New Roman" w:eastAsia="仿宋"/>
                <w:szCs w:val="21"/>
              </w:rPr>
            </w:pPr>
            <w:r>
              <w:rPr>
                <w:rFonts w:hint="eastAsia" w:ascii="Times New Roman" w:eastAsia="仿宋"/>
                <w:szCs w:val="21"/>
              </w:rPr>
              <w:t>0.</w:t>
            </w:r>
            <w:r>
              <w:rPr>
                <w:rFonts w:ascii="Times New Roman" w:eastAsia="仿宋"/>
                <w:szCs w:val="21"/>
              </w:rPr>
              <w:t>4</w:t>
            </w:r>
            <w:r>
              <w:rPr>
                <w:rFonts w:hint="eastAsia" w:ascii="Times New Roman" w:eastAsia="仿宋"/>
                <w:szCs w:val="21"/>
              </w:rPr>
              <w:t>mg/m</w:t>
            </w:r>
            <w:r>
              <w:rPr>
                <w:rFonts w:hint="eastAsia" w:ascii="Times New Roman" w:eastAsia="仿宋"/>
                <w:szCs w:val="21"/>
                <w:vertAlign w:val="superscript"/>
              </w:rPr>
              <w:t>3</w:t>
            </w:r>
          </w:p>
        </w:tc>
        <w:tc>
          <w:tcPr>
            <w:tcW w:w="1008" w:type="dxa"/>
            <w:tcBorders>
              <w:top w:val="single" w:color="000000" w:sz="4" w:space="0"/>
              <w:left w:val="single" w:color="000000" w:sz="4" w:space="0"/>
              <w:right w:val="single" w:color="000000" w:sz="4" w:space="0"/>
            </w:tcBorders>
            <w:vAlign w:val="center"/>
          </w:tcPr>
          <w:p w14:paraId="19C483A2">
            <w:pPr>
              <w:jc w:val="center"/>
              <w:rPr>
                <w:rFonts w:ascii="Times New Roman" w:eastAsia="仿宋"/>
                <w:szCs w:val="21"/>
              </w:rPr>
            </w:pPr>
            <w:r>
              <w:rPr>
                <w:rFonts w:hint="eastAsia" w:ascii="Times New Roman" w:eastAsia="仿宋"/>
                <w:szCs w:val="21"/>
              </w:rPr>
              <w:t>/</w:t>
            </w:r>
          </w:p>
        </w:tc>
        <w:tc>
          <w:tcPr>
            <w:tcW w:w="1779" w:type="dxa"/>
            <w:gridSpan w:val="2"/>
            <w:vAlign w:val="center"/>
          </w:tcPr>
          <w:p w14:paraId="2E3FAB8B">
            <w:pPr>
              <w:jc w:val="center"/>
              <w:rPr>
                <w:rFonts w:ascii="Times New Roman" w:eastAsia="仿宋"/>
                <w:szCs w:val="21"/>
              </w:rPr>
            </w:pPr>
            <w:r>
              <w:rPr>
                <w:rFonts w:hint="eastAsia" w:ascii="Times New Roman" w:eastAsia="仿宋"/>
                <w:szCs w:val="21"/>
              </w:rPr>
              <w:t>0.163</w:t>
            </w:r>
          </w:p>
        </w:tc>
        <w:tc>
          <w:tcPr>
            <w:tcW w:w="1412" w:type="dxa"/>
            <w:vAlign w:val="center"/>
          </w:tcPr>
          <w:p w14:paraId="213A6C8F">
            <w:pPr>
              <w:jc w:val="center"/>
              <w:rPr>
                <w:rFonts w:ascii="Times New Roman" w:eastAsia="仿宋"/>
                <w:szCs w:val="21"/>
              </w:rPr>
            </w:pPr>
            <w:r>
              <w:rPr>
                <w:rFonts w:hint="eastAsia" w:ascii="Times New Roman" w:eastAsia="仿宋"/>
                <w:szCs w:val="21"/>
              </w:rPr>
              <w:t>0.163</w:t>
            </w:r>
          </w:p>
        </w:tc>
        <w:tc>
          <w:tcPr>
            <w:tcW w:w="1002" w:type="dxa"/>
            <w:vMerge w:val="continue"/>
            <w:vAlign w:val="center"/>
          </w:tcPr>
          <w:p w14:paraId="737D484A">
            <w:pPr>
              <w:jc w:val="center"/>
              <w:rPr>
                <w:rFonts w:ascii="Times New Roman" w:eastAsia="仿宋"/>
                <w:szCs w:val="21"/>
              </w:rPr>
            </w:pPr>
          </w:p>
        </w:tc>
      </w:tr>
      <w:tr w14:paraId="00A9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62" w:hRule="atLeast"/>
          <w:jc w:val="center"/>
        </w:trPr>
        <w:tc>
          <w:tcPr>
            <w:tcW w:w="571" w:type="dxa"/>
            <w:vMerge w:val="continue"/>
            <w:vAlign w:val="center"/>
          </w:tcPr>
          <w:p w14:paraId="073D0762">
            <w:pPr>
              <w:jc w:val="center"/>
              <w:rPr>
                <w:rFonts w:ascii="Times New Roman" w:eastAsia="仿宋"/>
                <w:szCs w:val="21"/>
              </w:rPr>
            </w:pPr>
          </w:p>
        </w:tc>
        <w:tc>
          <w:tcPr>
            <w:tcW w:w="842" w:type="dxa"/>
            <w:gridSpan w:val="2"/>
            <w:vMerge w:val="continue"/>
            <w:vAlign w:val="center"/>
          </w:tcPr>
          <w:p w14:paraId="2255061B">
            <w:pPr>
              <w:jc w:val="center"/>
              <w:rPr>
                <w:rFonts w:ascii="Times New Roman" w:eastAsia="仿宋"/>
                <w:szCs w:val="21"/>
              </w:rPr>
            </w:pPr>
          </w:p>
        </w:tc>
        <w:tc>
          <w:tcPr>
            <w:tcW w:w="1276" w:type="dxa"/>
            <w:vMerge w:val="restart"/>
            <w:vAlign w:val="center"/>
          </w:tcPr>
          <w:p w14:paraId="456B99F9">
            <w:pPr>
              <w:jc w:val="center"/>
              <w:rPr>
                <w:rFonts w:ascii="Times New Roman" w:eastAsia="仿宋"/>
                <w:szCs w:val="21"/>
              </w:rPr>
            </w:pPr>
            <w:r>
              <w:rPr>
                <w:rFonts w:hint="eastAsia" w:ascii="Times New Roman" w:eastAsia="仿宋"/>
                <w:szCs w:val="21"/>
              </w:rPr>
              <w:t>非甲烷总烃</w:t>
            </w:r>
          </w:p>
        </w:tc>
        <w:tc>
          <w:tcPr>
            <w:tcW w:w="1139" w:type="dxa"/>
            <w:vMerge w:val="continue"/>
            <w:vAlign w:val="center"/>
          </w:tcPr>
          <w:p w14:paraId="7B714E6A">
            <w:pPr>
              <w:jc w:val="center"/>
              <w:rPr>
                <w:rFonts w:ascii="Times New Roman" w:eastAsia="仿宋"/>
                <w:szCs w:val="21"/>
              </w:rPr>
            </w:pPr>
          </w:p>
        </w:tc>
        <w:tc>
          <w:tcPr>
            <w:tcW w:w="1418" w:type="dxa"/>
            <w:vMerge w:val="continue"/>
            <w:vAlign w:val="center"/>
          </w:tcPr>
          <w:p w14:paraId="08BB8400">
            <w:pPr>
              <w:jc w:val="center"/>
              <w:rPr>
                <w:rFonts w:ascii="Times New Roman" w:eastAsia="仿宋"/>
                <w:szCs w:val="21"/>
              </w:rPr>
            </w:pPr>
          </w:p>
        </w:tc>
        <w:tc>
          <w:tcPr>
            <w:tcW w:w="2423" w:type="dxa"/>
            <w:vMerge w:val="continue"/>
            <w:vAlign w:val="center"/>
          </w:tcPr>
          <w:p w14:paraId="40F52C5C">
            <w:pPr>
              <w:jc w:val="center"/>
              <w:rPr>
                <w:rFonts w:ascii="Times New Roman" w:eastAsia="仿宋"/>
                <w:szCs w:val="21"/>
              </w:rPr>
            </w:pPr>
          </w:p>
        </w:tc>
        <w:tc>
          <w:tcPr>
            <w:tcW w:w="1164" w:type="dxa"/>
            <w:tcBorders>
              <w:top w:val="single" w:color="000000" w:sz="4" w:space="0"/>
              <w:left w:val="single" w:color="000000" w:sz="4" w:space="0"/>
              <w:right w:val="single" w:color="000000" w:sz="4" w:space="0"/>
            </w:tcBorders>
            <w:vAlign w:val="center"/>
          </w:tcPr>
          <w:p w14:paraId="162963BA">
            <w:pPr>
              <w:jc w:val="center"/>
              <w:rPr>
                <w:rFonts w:ascii="Times New Roman" w:eastAsia="仿宋"/>
                <w:szCs w:val="21"/>
              </w:rPr>
            </w:pPr>
            <w:r>
              <w:rPr>
                <w:rFonts w:hint="eastAsia" w:ascii="Times New Roman" w:eastAsia="仿宋"/>
                <w:szCs w:val="21"/>
              </w:rPr>
              <w:t>4.0mg/m</w:t>
            </w:r>
            <w:r>
              <w:rPr>
                <w:rFonts w:hint="eastAsia" w:ascii="Times New Roman" w:eastAsia="仿宋"/>
                <w:szCs w:val="21"/>
                <w:vertAlign w:val="superscript"/>
              </w:rPr>
              <w:t>3</w:t>
            </w:r>
            <w:r>
              <w:rPr>
                <w:rFonts w:hint="eastAsia" w:ascii="Times New Roman" w:eastAsia="仿宋"/>
                <w:szCs w:val="21"/>
              </w:rPr>
              <w:t>（厂界）</w:t>
            </w:r>
          </w:p>
        </w:tc>
        <w:tc>
          <w:tcPr>
            <w:tcW w:w="1008" w:type="dxa"/>
            <w:tcBorders>
              <w:top w:val="single" w:color="000000" w:sz="4" w:space="0"/>
              <w:left w:val="single" w:color="000000" w:sz="4" w:space="0"/>
              <w:right w:val="single" w:color="000000" w:sz="4" w:space="0"/>
            </w:tcBorders>
            <w:vAlign w:val="center"/>
          </w:tcPr>
          <w:p w14:paraId="59604F23">
            <w:pPr>
              <w:jc w:val="center"/>
              <w:rPr>
                <w:rFonts w:ascii="Times New Roman" w:eastAsia="仿宋"/>
                <w:szCs w:val="21"/>
              </w:rPr>
            </w:pPr>
            <w:r>
              <w:rPr>
                <w:rFonts w:hint="eastAsia" w:ascii="Times New Roman" w:eastAsia="仿宋"/>
                <w:szCs w:val="21"/>
              </w:rPr>
              <w:t>/</w:t>
            </w:r>
          </w:p>
        </w:tc>
        <w:tc>
          <w:tcPr>
            <w:tcW w:w="1779" w:type="dxa"/>
            <w:gridSpan w:val="2"/>
            <w:vMerge w:val="restart"/>
            <w:vAlign w:val="center"/>
          </w:tcPr>
          <w:p w14:paraId="702DE134">
            <w:pPr>
              <w:jc w:val="center"/>
              <w:rPr>
                <w:rFonts w:ascii="Times New Roman" w:eastAsia="仿宋"/>
                <w:szCs w:val="21"/>
              </w:rPr>
            </w:pPr>
            <w:r>
              <w:rPr>
                <w:rFonts w:hint="eastAsia" w:ascii="Times New Roman" w:eastAsia="仿宋"/>
                <w:szCs w:val="21"/>
              </w:rPr>
              <w:t>1.199</w:t>
            </w:r>
          </w:p>
        </w:tc>
        <w:tc>
          <w:tcPr>
            <w:tcW w:w="1412" w:type="dxa"/>
            <w:vMerge w:val="restart"/>
            <w:vAlign w:val="center"/>
          </w:tcPr>
          <w:p w14:paraId="3A7BAFD2">
            <w:pPr>
              <w:jc w:val="center"/>
              <w:rPr>
                <w:rFonts w:ascii="Times New Roman" w:eastAsia="仿宋"/>
                <w:szCs w:val="21"/>
              </w:rPr>
            </w:pPr>
            <w:r>
              <w:rPr>
                <w:rFonts w:hint="eastAsia" w:ascii="Times New Roman" w:eastAsia="仿宋"/>
                <w:szCs w:val="21"/>
              </w:rPr>
              <w:t>1.199</w:t>
            </w:r>
          </w:p>
        </w:tc>
        <w:tc>
          <w:tcPr>
            <w:tcW w:w="1002" w:type="dxa"/>
            <w:vMerge w:val="continue"/>
            <w:vAlign w:val="center"/>
          </w:tcPr>
          <w:p w14:paraId="64849465">
            <w:pPr>
              <w:jc w:val="center"/>
              <w:rPr>
                <w:rFonts w:ascii="Times New Roman" w:eastAsia="仿宋"/>
                <w:szCs w:val="21"/>
              </w:rPr>
            </w:pPr>
          </w:p>
        </w:tc>
      </w:tr>
      <w:tr w14:paraId="17D7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780" w:hRule="atLeast"/>
          <w:jc w:val="center"/>
        </w:trPr>
        <w:tc>
          <w:tcPr>
            <w:tcW w:w="571" w:type="dxa"/>
            <w:vMerge w:val="continue"/>
            <w:vAlign w:val="center"/>
          </w:tcPr>
          <w:p w14:paraId="05F8D275">
            <w:pPr>
              <w:jc w:val="center"/>
              <w:rPr>
                <w:rFonts w:ascii="Times New Roman" w:eastAsia="仿宋"/>
                <w:szCs w:val="21"/>
              </w:rPr>
            </w:pPr>
          </w:p>
        </w:tc>
        <w:tc>
          <w:tcPr>
            <w:tcW w:w="842" w:type="dxa"/>
            <w:gridSpan w:val="2"/>
            <w:vMerge w:val="continue"/>
            <w:vAlign w:val="center"/>
          </w:tcPr>
          <w:p w14:paraId="2EAA5435">
            <w:pPr>
              <w:jc w:val="center"/>
              <w:rPr>
                <w:rFonts w:ascii="Times New Roman" w:eastAsia="仿宋"/>
                <w:szCs w:val="21"/>
              </w:rPr>
            </w:pPr>
          </w:p>
        </w:tc>
        <w:tc>
          <w:tcPr>
            <w:tcW w:w="1276" w:type="dxa"/>
            <w:vMerge w:val="continue"/>
            <w:vAlign w:val="center"/>
          </w:tcPr>
          <w:p w14:paraId="665290EE">
            <w:pPr>
              <w:jc w:val="center"/>
              <w:rPr>
                <w:rFonts w:ascii="Times New Roman" w:eastAsia="仿宋"/>
                <w:szCs w:val="21"/>
              </w:rPr>
            </w:pPr>
          </w:p>
        </w:tc>
        <w:tc>
          <w:tcPr>
            <w:tcW w:w="1139" w:type="dxa"/>
            <w:vMerge w:val="continue"/>
            <w:vAlign w:val="center"/>
          </w:tcPr>
          <w:p w14:paraId="783938A0">
            <w:pPr>
              <w:jc w:val="center"/>
              <w:rPr>
                <w:rFonts w:ascii="Times New Roman" w:eastAsia="仿宋"/>
                <w:szCs w:val="21"/>
              </w:rPr>
            </w:pPr>
          </w:p>
        </w:tc>
        <w:tc>
          <w:tcPr>
            <w:tcW w:w="1418" w:type="dxa"/>
            <w:vMerge w:val="continue"/>
            <w:vAlign w:val="center"/>
          </w:tcPr>
          <w:p w14:paraId="528D9D11">
            <w:pPr>
              <w:jc w:val="center"/>
              <w:rPr>
                <w:rFonts w:ascii="Times New Roman" w:eastAsia="仿宋"/>
                <w:szCs w:val="21"/>
              </w:rPr>
            </w:pPr>
          </w:p>
        </w:tc>
        <w:tc>
          <w:tcPr>
            <w:tcW w:w="2423" w:type="dxa"/>
            <w:vMerge w:val="continue"/>
            <w:vAlign w:val="center"/>
          </w:tcPr>
          <w:p w14:paraId="471CBFD7">
            <w:pPr>
              <w:jc w:val="center"/>
              <w:rPr>
                <w:rFonts w:ascii="Times New Roman" w:eastAsia="仿宋"/>
                <w:szCs w:val="21"/>
              </w:rPr>
            </w:pPr>
          </w:p>
        </w:tc>
        <w:tc>
          <w:tcPr>
            <w:tcW w:w="1164" w:type="dxa"/>
            <w:tcBorders>
              <w:left w:val="single" w:color="000000" w:sz="4" w:space="0"/>
              <w:right w:val="single" w:color="000000" w:sz="4" w:space="0"/>
            </w:tcBorders>
            <w:vAlign w:val="center"/>
          </w:tcPr>
          <w:p w14:paraId="7DE8A388">
            <w:pPr>
              <w:jc w:val="center"/>
              <w:rPr>
                <w:rFonts w:ascii="Times New Roman" w:eastAsia="仿宋"/>
                <w:szCs w:val="21"/>
              </w:rPr>
            </w:pPr>
            <w:r>
              <w:rPr>
                <w:rFonts w:hint="eastAsia" w:ascii="Times New Roman" w:eastAsia="仿宋"/>
                <w:szCs w:val="21"/>
              </w:rPr>
              <w:t>6.0mg/m</w:t>
            </w:r>
            <w:r>
              <w:rPr>
                <w:rFonts w:hint="eastAsia" w:ascii="Times New Roman" w:eastAsia="仿宋"/>
                <w:szCs w:val="21"/>
                <w:vertAlign w:val="superscript"/>
              </w:rPr>
              <w:t>3</w:t>
            </w:r>
            <w:r>
              <w:rPr>
                <w:rFonts w:hint="eastAsia" w:ascii="Times New Roman" w:eastAsia="仿宋"/>
                <w:szCs w:val="21"/>
              </w:rPr>
              <w:t>（厂内）</w:t>
            </w:r>
          </w:p>
        </w:tc>
        <w:tc>
          <w:tcPr>
            <w:tcW w:w="1008" w:type="dxa"/>
            <w:tcBorders>
              <w:left w:val="single" w:color="000000" w:sz="4" w:space="0"/>
              <w:right w:val="single" w:color="000000" w:sz="4" w:space="0"/>
            </w:tcBorders>
            <w:vAlign w:val="center"/>
          </w:tcPr>
          <w:p w14:paraId="008E36B6">
            <w:pPr>
              <w:jc w:val="center"/>
              <w:rPr>
                <w:rFonts w:ascii="Times New Roman" w:eastAsia="仿宋"/>
                <w:szCs w:val="21"/>
              </w:rPr>
            </w:pPr>
            <w:r>
              <w:rPr>
                <w:rFonts w:hint="eastAsia" w:ascii="Times New Roman" w:eastAsia="仿宋"/>
                <w:szCs w:val="21"/>
              </w:rPr>
              <w:t>/</w:t>
            </w:r>
          </w:p>
        </w:tc>
        <w:tc>
          <w:tcPr>
            <w:tcW w:w="1779" w:type="dxa"/>
            <w:gridSpan w:val="2"/>
            <w:vMerge w:val="continue"/>
            <w:vAlign w:val="center"/>
          </w:tcPr>
          <w:p w14:paraId="27FF1980">
            <w:pPr>
              <w:jc w:val="center"/>
              <w:rPr>
                <w:rFonts w:ascii="Times New Roman" w:eastAsia="仿宋"/>
                <w:szCs w:val="21"/>
              </w:rPr>
            </w:pPr>
          </w:p>
        </w:tc>
        <w:tc>
          <w:tcPr>
            <w:tcW w:w="1412" w:type="dxa"/>
            <w:vMerge w:val="continue"/>
            <w:vAlign w:val="center"/>
          </w:tcPr>
          <w:p w14:paraId="124A3F73">
            <w:pPr>
              <w:jc w:val="center"/>
              <w:rPr>
                <w:rFonts w:ascii="Times New Roman" w:eastAsia="仿宋"/>
                <w:szCs w:val="21"/>
              </w:rPr>
            </w:pPr>
          </w:p>
        </w:tc>
        <w:tc>
          <w:tcPr>
            <w:tcW w:w="1002" w:type="dxa"/>
            <w:vMerge w:val="continue"/>
            <w:vAlign w:val="center"/>
          </w:tcPr>
          <w:p w14:paraId="2FD671E8">
            <w:pPr>
              <w:jc w:val="center"/>
              <w:rPr>
                <w:rFonts w:ascii="Times New Roman" w:eastAsia="仿宋"/>
                <w:szCs w:val="21"/>
              </w:rPr>
            </w:pPr>
          </w:p>
        </w:tc>
      </w:tr>
      <w:tr w14:paraId="312C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634" w:hRule="atLeast"/>
          <w:jc w:val="center"/>
        </w:trPr>
        <w:tc>
          <w:tcPr>
            <w:tcW w:w="1413" w:type="dxa"/>
            <w:gridSpan w:val="3"/>
            <w:vAlign w:val="center"/>
          </w:tcPr>
          <w:p w14:paraId="73CF99B9">
            <w:pPr>
              <w:jc w:val="center"/>
              <w:rPr>
                <w:rFonts w:ascii="Times New Roman" w:eastAsia="仿宋"/>
                <w:szCs w:val="21"/>
              </w:rPr>
            </w:pPr>
            <w:r>
              <w:rPr>
                <w:rFonts w:hint="eastAsia" w:ascii="Times New Roman" w:eastAsia="仿宋"/>
                <w:szCs w:val="21"/>
              </w:rPr>
              <w:t>噪声</w:t>
            </w:r>
          </w:p>
        </w:tc>
        <w:tc>
          <w:tcPr>
            <w:tcW w:w="1276" w:type="dxa"/>
            <w:vAlign w:val="center"/>
          </w:tcPr>
          <w:p w14:paraId="0F3DC238">
            <w:pPr>
              <w:jc w:val="center"/>
              <w:rPr>
                <w:rFonts w:ascii="Times New Roman" w:eastAsia="仿宋"/>
                <w:szCs w:val="21"/>
              </w:rPr>
            </w:pPr>
            <w:r>
              <w:rPr>
                <w:rFonts w:hint="eastAsia" w:ascii="Times New Roman" w:eastAsia="仿宋"/>
                <w:szCs w:val="21"/>
              </w:rPr>
              <w:t>LAeq</w:t>
            </w:r>
          </w:p>
        </w:tc>
        <w:tc>
          <w:tcPr>
            <w:tcW w:w="1139" w:type="dxa"/>
            <w:vAlign w:val="center"/>
          </w:tcPr>
          <w:p w14:paraId="1EB893C6">
            <w:pPr>
              <w:jc w:val="center"/>
              <w:rPr>
                <w:rFonts w:ascii="Times New Roman" w:eastAsia="仿宋"/>
                <w:szCs w:val="21"/>
              </w:rPr>
            </w:pPr>
            <w:r>
              <w:rPr>
                <w:rFonts w:hint="eastAsia" w:ascii="Times New Roman" w:eastAsia="仿宋"/>
                <w:szCs w:val="21"/>
              </w:rPr>
              <w:t>常规隔声措施</w:t>
            </w:r>
          </w:p>
        </w:tc>
        <w:tc>
          <w:tcPr>
            <w:tcW w:w="1418" w:type="dxa"/>
            <w:vAlign w:val="center"/>
          </w:tcPr>
          <w:p w14:paraId="6AC57D5E">
            <w:pPr>
              <w:jc w:val="center"/>
              <w:rPr>
                <w:rFonts w:ascii="Times New Roman" w:eastAsia="仿宋"/>
                <w:szCs w:val="21"/>
              </w:rPr>
            </w:pPr>
            <w:r>
              <w:rPr>
                <w:rFonts w:hint="eastAsia" w:ascii="Times New Roman" w:eastAsia="仿宋"/>
                <w:szCs w:val="21"/>
              </w:rPr>
              <w:t>/</w:t>
            </w:r>
          </w:p>
        </w:tc>
        <w:tc>
          <w:tcPr>
            <w:tcW w:w="2423" w:type="dxa"/>
            <w:vAlign w:val="center"/>
          </w:tcPr>
          <w:p w14:paraId="4DDAB479">
            <w:pPr>
              <w:jc w:val="center"/>
              <w:rPr>
                <w:rFonts w:ascii="Times New Roman" w:eastAsia="仿宋"/>
                <w:szCs w:val="21"/>
              </w:rPr>
            </w:pPr>
            <w:r>
              <w:rPr>
                <w:rFonts w:hint="eastAsia" w:ascii="Times New Roman" w:eastAsia="仿宋"/>
                <w:szCs w:val="21"/>
              </w:rPr>
              <w:t>《工业企业厂界环境噪声排放标准》(GB12348-2008)</w:t>
            </w:r>
          </w:p>
        </w:tc>
        <w:tc>
          <w:tcPr>
            <w:tcW w:w="2172" w:type="dxa"/>
            <w:gridSpan w:val="2"/>
            <w:vAlign w:val="center"/>
          </w:tcPr>
          <w:p w14:paraId="56DDEA77">
            <w:pPr>
              <w:jc w:val="center"/>
              <w:rPr>
                <w:rFonts w:ascii="Times New Roman" w:eastAsia="仿宋"/>
                <w:szCs w:val="21"/>
              </w:rPr>
            </w:pPr>
            <w:r>
              <w:rPr>
                <w:rFonts w:hint="eastAsia" w:ascii="Times New Roman" w:eastAsia="仿宋"/>
                <w:szCs w:val="21"/>
              </w:rPr>
              <w:t>东、南、西、北厂界：昼65dB（A）、夜55dB（A）</w:t>
            </w:r>
          </w:p>
        </w:tc>
        <w:tc>
          <w:tcPr>
            <w:tcW w:w="1779" w:type="dxa"/>
            <w:gridSpan w:val="2"/>
            <w:vAlign w:val="center"/>
          </w:tcPr>
          <w:p w14:paraId="492A71B1">
            <w:pPr>
              <w:jc w:val="center"/>
              <w:rPr>
                <w:rFonts w:ascii="Times New Roman" w:eastAsia="仿宋"/>
                <w:szCs w:val="21"/>
              </w:rPr>
            </w:pPr>
            <w:r>
              <w:rPr>
                <w:rFonts w:hint="eastAsia" w:ascii="Times New Roman" w:eastAsia="仿宋"/>
                <w:szCs w:val="21"/>
              </w:rPr>
              <w:t>/</w:t>
            </w:r>
          </w:p>
        </w:tc>
        <w:tc>
          <w:tcPr>
            <w:tcW w:w="1412" w:type="dxa"/>
            <w:vAlign w:val="center"/>
          </w:tcPr>
          <w:p w14:paraId="4867E69F">
            <w:pPr>
              <w:jc w:val="center"/>
              <w:rPr>
                <w:rFonts w:ascii="Times New Roman" w:eastAsia="仿宋"/>
                <w:szCs w:val="21"/>
              </w:rPr>
            </w:pPr>
            <w:r>
              <w:rPr>
                <w:rFonts w:hint="eastAsia" w:ascii="Times New Roman" w:eastAsia="仿宋"/>
                <w:szCs w:val="21"/>
              </w:rPr>
              <w:t>/</w:t>
            </w:r>
          </w:p>
        </w:tc>
        <w:tc>
          <w:tcPr>
            <w:tcW w:w="1002" w:type="dxa"/>
            <w:vAlign w:val="center"/>
          </w:tcPr>
          <w:p w14:paraId="5C74829A">
            <w:pPr>
              <w:jc w:val="center"/>
              <w:rPr>
                <w:rFonts w:ascii="Times New Roman" w:eastAsia="仿宋"/>
                <w:szCs w:val="21"/>
              </w:rPr>
            </w:pPr>
            <w:r>
              <w:rPr>
                <w:rFonts w:hint="eastAsia" w:ascii="Times New Roman" w:eastAsia="仿宋"/>
                <w:szCs w:val="21"/>
              </w:rPr>
              <w:t>/</w:t>
            </w:r>
          </w:p>
        </w:tc>
      </w:tr>
      <w:tr w14:paraId="40A1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48" w:hRule="atLeast"/>
          <w:jc w:val="center"/>
        </w:trPr>
        <w:tc>
          <w:tcPr>
            <w:tcW w:w="1413" w:type="dxa"/>
            <w:gridSpan w:val="3"/>
            <w:vMerge w:val="restart"/>
            <w:vAlign w:val="center"/>
          </w:tcPr>
          <w:p w14:paraId="344D7EF2">
            <w:pPr>
              <w:jc w:val="center"/>
              <w:rPr>
                <w:rFonts w:ascii="Times New Roman" w:eastAsia="仿宋"/>
                <w:szCs w:val="21"/>
              </w:rPr>
            </w:pPr>
            <w:r>
              <w:rPr>
                <w:rFonts w:hint="eastAsia" w:ascii="Times New Roman" w:eastAsia="仿宋"/>
                <w:szCs w:val="21"/>
              </w:rPr>
              <w:t>固废</w:t>
            </w:r>
          </w:p>
        </w:tc>
        <w:tc>
          <w:tcPr>
            <w:tcW w:w="1276" w:type="dxa"/>
            <w:vAlign w:val="center"/>
          </w:tcPr>
          <w:p w14:paraId="4256A6CC">
            <w:pPr>
              <w:jc w:val="center"/>
              <w:rPr>
                <w:rFonts w:ascii="Times New Roman" w:eastAsia="仿宋"/>
                <w:szCs w:val="21"/>
              </w:rPr>
            </w:pPr>
            <w:r>
              <w:rPr>
                <w:rFonts w:hint="eastAsia" w:ascii="Times New Roman" w:eastAsia="仿宋"/>
                <w:szCs w:val="21"/>
              </w:rPr>
              <w:t>一般固废</w:t>
            </w:r>
          </w:p>
        </w:tc>
        <w:tc>
          <w:tcPr>
            <w:tcW w:w="1139" w:type="dxa"/>
            <w:vAlign w:val="center"/>
          </w:tcPr>
          <w:p w14:paraId="78879144">
            <w:pPr>
              <w:jc w:val="center"/>
              <w:rPr>
                <w:rFonts w:ascii="Times New Roman" w:eastAsia="仿宋"/>
                <w:szCs w:val="21"/>
              </w:rPr>
            </w:pPr>
            <w:r>
              <w:rPr>
                <w:rFonts w:hint="eastAsia" w:ascii="Times New Roman" w:eastAsia="仿宋"/>
                <w:szCs w:val="21"/>
              </w:rPr>
              <w:t>一般固废贮存堆场</w:t>
            </w:r>
          </w:p>
        </w:tc>
        <w:tc>
          <w:tcPr>
            <w:tcW w:w="1418" w:type="dxa"/>
            <w:vAlign w:val="center"/>
          </w:tcPr>
          <w:p w14:paraId="0BB4E068">
            <w:pPr>
              <w:jc w:val="center"/>
              <w:rPr>
                <w:rFonts w:ascii="Times New Roman" w:eastAsia="仿宋"/>
                <w:szCs w:val="21"/>
              </w:rPr>
            </w:pPr>
            <w:r>
              <w:rPr>
                <w:rFonts w:hint="eastAsia" w:ascii="Times New Roman" w:eastAsia="仿宋"/>
                <w:szCs w:val="21"/>
              </w:rPr>
              <w:t>产生量</w:t>
            </w:r>
            <w:r>
              <w:rPr>
                <w:rFonts w:ascii="Times New Roman" w:eastAsia="仿宋"/>
                <w:szCs w:val="21"/>
              </w:rPr>
              <w:t>41.</w:t>
            </w:r>
            <w:r>
              <w:rPr>
                <w:rFonts w:hint="eastAsia" w:ascii="Times New Roman" w:eastAsia="仿宋"/>
                <w:szCs w:val="21"/>
              </w:rPr>
              <w:t>214t/a</w:t>
            </w:r>
          </w:p>
        </w:tc>
        <w:tc>
          <w:tcPr>
            <w:tcW w:w="4595" w:type="dxa"/>
            <w:gridSpan w:val="3"/>
            <w:vMerge w:val="restart"/>
            <w:vAlign w:val="center"/>
          </w:tcPr>
          <w:p w14:paraId="66A73027">
            <w:pPr>
              <w:jc w:val="center"/>
              <w:rPr>
                <w:rFonts w:ascii="Times New Roman" w:eastAsia="仿宋"/>
                <w:szCs w:val="21"/>
              </w:rPr>
            </w:pPr>
            <w:r>
              <w:rPr>
                <w:rFonts w:hint="eastAsia" w:ascii="Times New Roman" w:eastAsia="仿宋"/>
                <w:szCs w:val="21"/>
              </w:rPr>
              <w:t>防渗漏，零排放，不造成二次污染</w:t>
            </w:r>
          </w:p>
        </w:tc>
        <w:tc>
          <w:tcPr>
            <w:tcW w:w="1779" w:type="dxa"/>
            <w:gridSpan w:val="2"/>
            <w:vAlign w:val="center"/>
          </w:tcPr>
          <w:p w14:paraId="30256F19">
            <w:pPr>
              <w:jc w:val="center"/>
              <w:rPr>
                <w:rFonts w:ascii="Times New Roman" w:eastAsia="仿宋"/>
                <w:szCs w:val="21"/>
              </w:rPr>
            </w:pPr>
            <w:r>
              <w:rPr>
                <w:rFonts w:hint="eastAsia" w:ascii="Times New Roman" w:eastAsia="仿宋"/>
                <w:szCs w:val="21"/>
              </w:rPr>
              <w:t>0</w:t>
            </w:r>
          </w:p>
        </w:tc>
        <w:tc>
          <w:tcPr>
            <w:tcW w:w="1412" w:type="dxa"/>
            <w:vAlign w:val="center"/>
          </w:tcPr>
          <w:p w14:paraId="286A9B66">
            <w:pPr>
              <w:jc w:val="center"/>
              <w:rPr>
                <w:rFonts w:ascii="Times New Roman" w:eastAsia="仿宋"/>
                <w:szCs w:val="21"/>
              </w:rPr>
            </w:pPr>
            <w:r>
              <w:rPr>
                <w:rFonts w:hint="eastAsia" w:ascii="Times New Roman" w:eastAsia="仿宋"/>
                <w:szCs w:val="21"/>
              </w:rPr>
              <w:t>/</w:t>
            </w:r>
          </w:p>
        </w:tc>
        <w:tc>
          <w:tcPr>
            <w:tcW w:w="1002" w:type="dxa"/>
            <w:vAlign w:val="center"/>
          </w:tcPr>
          <w:p w14:paraId="01EBC5A1">
            <w:pPr>
              <w:jc w:val="center"/>
              <w:rPr>
                <w:rFonts w:ascii="Times New Roman" w:eastAsia="仿宋"/>
                <w:szCs w:val="21"/>
              </w:rPr>
            </w:pPr>
            <w:r>
              <w:rPr>
                <w:rFonts w:hint="eastAsia" w:ascii="Times New Roman" w:eastAsia="仿宋"/>
                <w:szCs w:val="21"/>
              </w:rPr>
              <w:t>/</w:t>
            </w:r>
          </w:p>
        </w:tc>
      </w:tr>
      <w:tr w14:paraId="03AA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75" w:type="dxa"/>
          </w:tblCellMar>
        </w:tblPrEx>
        <w:trPr>
          <w:trHeight w:val="348" w:hRule="atLeast"/>
          <w:jc w:val="center"/>
        </w:trPr>
        <w:tc>
          <w:tcPr>
            <w:tcW w:w="1413" w:type="dxa"/>
            <w:gridSpan w:val="3"/>
            <w:vMerge w:val="continue"/>
            <w:vAlign w:val="center"/>
          </w:tcPr>
          <w:p w14:paraId="129A7639">
            <w:pPr>
              <w:jc w:val="center"/>
              <w:rPr>
                <w:rFonts w:ascii="Times New Roman" w:eastAsia="仿宋"/>
                <w:szCs w:val="21"/>
              </w:rPr>
            </w:pPr>
          </w:p>
        </w:tc>
        <w:tc>
          <w:tcPr>
            <w:tcW w:w="1276" w:type="dxa"/>
            <w:vAlign w:val="center"/>
          </w:tcPr>
          <w:p w14:paraId="239586B5">
            <w:pPr>
              <w:jc w:val="center"/>
              <w:rPr>
                <w:rFonts w:ascii="Times New Roman" w:eastAsia="仿宋"/>
                <w:szCs w:val="21"/>
              </w:rPr>
            </w:pPr>
            <w:r>
              <w:rPr>
                <w:rFonts w:hint="eastAsia" w:ascii="Times New Roman" w:eastAsia="仿宋"/>
                <w:szCs w:val="21"/>
              </w:rPr>
              <w:t>危险固废</w:t>
            </w:r>
          </w:p>
        </w:tc>
        <w:tc>
          <w:tcPr>
            <w:tcW w:w="1139" w:type="dxa"/>
            <w:vAlign w:val="center"/>
          </w:tcPr>
          <w:p w14:paraId="3FFC3364">
            <w:pPr>
              <w:jc w:val="center"/>
              <w:rPr>
                <w:rFonts w:ascii="Times New Roman" w:eastAsia="仿宋"/>
                <w:szCs w:val="21"/>
              </w:rPr>
            </w:pPr>
            <w:r>
              <w:rPr>
                <w:rFonts w:hint="eastAsia" w:ascii="Times New Roman" w:eastAsia="仿宋"/>
                <w:szCs w:val="21"/>
              </w:rPr>
              <w:t>危废贮存堆场合理处理处置</w:t>
            </w:r>
          </w:p>
        </w:tc>
        <w:tc>
          <w:tcPr>
            <w:tcW w:w="1418" w:type="dxa"/>
            <w:vAlign w:val="center"/>
          </w:tcPr>
          <w:p w14:paraId="514C9D02">
            <w:pPr>
              <w:jc w:val="center"/>
              <w:rPr>
                <w:rFonts w:ascii="Times New Roman" w:eastAsia="仿宋"/>
                <w:szCs w:val="21"/>
              </w:rPr>
            </w:pPr>
            <w:r>
              <w:rPr>
                <w:rFonts w:hint="eastAsia" w:ascii="Times New Roman" w:eastAsia="仿宋"/>
                <w:szCs w:val="21"/>
              </w:rPr>
              <w:t>产生量1</w:t>
            </w:r>
            <w:r>
              <w:rPr>
                <w:rFonts w:ascii="Times New Roman" w:eastAsia="仿宋"/>
                <w:szCs w:val="21"/>
              </w:rPr>
              <w:t>1</w:t>
            </w:r>
            <w:r>
              <w:rPr>
                <w:rFonts w:hint="eastAsia" w:ascii="Times New Roman" w:eastAsia="仿宋"/>
                <w:szCs w:val="21"/>
              </w:rPr>
              <w:t>8</w:t>
            </w:r>
            <w:r>
              <w:rPr>
                <w:rFonts w:ascii="Times New Roman" w:eastAsia="仿宋"/>
                <w:szCs w:val="21"/>
              </w:rPr>
              <w:t>.5</w:t>
            </w:r>
            <w:r>
              <w:rPr>
                <w:rFonts w:hint="eastAsia" w:ascii="Times New Roman" w:eastAsia="仿宋"/>
                <w:szCs w:val="21"/>
              </w:rPr>
              <w:t>95t/a</w:t>
            </w:r>
          </w:p>
        </w:tc>
        <w:tc>
          <w:tcPr>
            <w:tcW w:w="4595" w:type="dxa"/>
            <w:gridSpan w:val="3"/>
            <w:vMerge w:val="continue"/>
            <w:vAlign w:val="center"/>
          </w:tcPr>
          <w:p w14:paraId="717DB7D1">
            <w:pPr>
              <w:jc w:val="center"/>
              <w:rPr>
                <w:rFonts w:ascii="Times New Roman" w:eastAsia="仿宋"/>
                <w:szCs w:val="21"/>
              </w:rPr>
            </w:pPr>
          </w:p>
        </w:tc>
        <w:tc>
          <w:tcPr>
            <w:tcW w:w="1779" w:type="dxa"/>
            <w:gridSpan w:val="2"/>
            <w:vAlign w:val="center"/>
          </w:tcPr>
          <w:p w14:paraId="2FDB9C58">
            <w:pPr>
              <w:jc w:val="center"/>
              <w:rPr>
                <w:rFonts w:ascii="Times New Roman" w:eastAsia="仿宋"/>
                <w:szCs w:val="21"/>
              </w:rPr>
            </w:pPr>
            <w:r>
              <w:rPr>
                <w:rFonts w:hint="eastAsia" w:ascii="Times New Roman" w:eastAsia="仿宋"/>
                <w:szCs w:val="21"/>
              </w:rPr>
              <w:t>0</w:t>
            </w:r>
          </w:p>
        </w:tc>
        <w:tc>
          <w:tcPr>
            <w:tcW w:w="1412" w:type="dxa"/>
            <w:vAlign w:val="center"/>
          </w:tcPr>
          <w:p w14:paraId="6918F83D">
            <w:pPr>
              <w:jc w:val="center"/>
              <w:rPr>
                <w:rFonts w:ascii="Times New Roman" w:eastAsia="仿宋"/>
                <w:szCs w:val="21"/>
              </w:rPr>
            </w:pPr>
            <w:r>
              <w:rPr>
                <w:rFonts w:hint="eastAsia" w:ascii="Times New Roman" w:eastAsia="仿宋"/>
                <w:szCs w:val="21"/>
              </w:rPr>
              <w:t>/</w:t>
            </w:r>
          </w:p>
        </w:tc>
        <w:tc>
          <w:tcPr>
            <w:tcW w:w="1002" w:type="dxa"/>
            <w:vAlign w:val="center"/>
          </w:tcPr>
          <w:p w14:paraId="246A1D52">
            <w:pPr>
              <w:jc w:val="center"/>
              <w:rPr>
                <w:rFonts w:ascii="Times New Roman" w:eastAsia="仿宋"/>
                <w:szCs w:val="21"/>
              </w:rPr>
            </w:pPr>
            <w:r>
              <w:rPr>
                <w:rFonts w:hint="eastAsia" w:ascii="Times New Roman" w:eastAsia="仿宋"/>
                <w:szCs w:val="21"/>
              </w:rPr>
              <w:t>/</w:t>
            </w:r>
          </w:p>
        </w:tc>
      </w:tr>
    </w:tbl>
    <w:p w14:paraId="33A0403A">
      <w:pPr>
        <w:pStyle w:val="74"/>
        <w:rPr>
          <w:rFonts w:ascii="Times New Roman" w:eastAsia="仿宋"/>
          <w:b/>
          <w:bCs/>
        </w:rPr>
      </w:pPr>
    </w:p>
    <w:p w14:paraId="50EDBD9F">
      <w:pPr>
        <w:pStyle w:val="168"/>
        <w:ind w:firstLine="0" w:firstLineChars="0"/>
        <w:jc w:val="both"/>
        <w:rPr>
          <w:rFonts w:ascii="Times New Roman" w:eastAsia="仿宋"/>
        </w:rPr>
      </w:pPr>
    </w:p>
    <w:p w14:paraId="0EC4DCB6">
      <w:pPr>
        <w:snapToGrid w:val="0"/>
        <w:spacing w:line="500" w:lineRule="exact"/>
        <w:textAlignment w:val="baseline"/>
        <w:rPr>
          <w:rFonts w:ascii="Times New Roman" w:eastAsia="仿宋"/>
          <w:sz w:val="28"/>
          <w:szCs w:val="28"/>
        </w:rPr>
        <w:sectPr>
          <w:pgSz w:w="16838" w:h="11906" w:orient="landscape"/>
          <w:pgMar w:top="1678" w:right="1843" w:bottom="1616" w:left="1440" w:header="1191" w:footer="992" w:gutter="0"/>
          <w:cols w:space="720" w:num="1"/>
          <w:docGrid w:linePitch="312" w:charSpace="0"/>
        </w:sectPr>
      </w:pPr>
    </w:p>
    <w:p w14:paraId="5E3828F0">
      <w:pPr>
        <w:pStyle w:val="5"/>
        <w:numPr>
          <w:ilvl w:val="0"/>
          <w:numId w:val="0"/>
        </w:numPr>
        <w:rPr>
          <w:rFonts w:eastAsia="仿宋"/>
          <w:color w:val="auto"/>
        </w:rPr>
      </w:pPr>
      <w:bookmarkStart w:id="506" w:name="_Toc446488284"/>
      <w:bookmarkStart w:id="507" w:name="_Toc472510533"/>
      <w:bookmarkStart w:id="508" w:name="_Toc109663194"/>
      <w:bookmarkStart w:id="509" w:name="_Toc182553838"/>
      <w:bookmarkStart w:id="510" w:name="_Toc48320304"/>
      <w:bookmarkStart w:id="511" w:name="_Toc469058912"/>
      <w:bookmarkStart w:id="512" w:name="_Toc396212014"/>
      <w:r>
        <w:rPr>
          <w:rFonts w:hint="eastAsia" w:eastAsia="仿宋"/>
          <w:color w:val="auto"/>
        </w:rPr>
        <w:t>8</w:t>
      </w:r>
      <w:r>
        <w:rPr>
          <w:rFonts w:eastAsia="仿宋"/>
          <w:color w:val="auto"/>
        </w:rPr>
        <w:t>.3监测</w:t>
      </w:r>
      <w:bookmarkEnd w:id="506"/>
      <w:r>
        <w:rPr>
          <w:rFonts w:eastAsia="仿宋"/>
          <w:color w:val="auto"/>
        </w:rPr>
        <w:t>计划</w:t>
      </w:r>
      <w:bookmarkEnd w:id="507"/>
      <w:bookmarkEnd w:id="508"/>
      <w:bookmarkEnd w:id="509"/>
      <w:bookmarkEnd w:id="510"/>
    </w:p>
    <w:p w14:paraId="06888911">
      <w:pPr>
        <w:pStyle w:val="6"/>
        <w:keepLines w:val="0"/>
        <w:tabs>
          <w:tab w:val="left" w:pos="851"/>
        </w:tabs>
        <w:spacing w:before="0" w:after="120" w:afterLines="50" w:line="500" w:lineRule="exact"/>
        <w:rPr>
          <w:rFonts w:ascii="Times New Roman" w:eastAsia="仿宋"/>
          <w:spacing w:val="6"/>
          <w:sz w:val="28"/>
          <w:szCs w:val="20"/>
        </w:rPr>
      </w:pPr>
      <w:bookmarkStart w:id="513" w:name="_Toc200708063"/>
      <w:r>
        <w:rPr>
          <w:rFonts w:hint="eastAsia" w:ascii="Times New Roman" w:eastAsia="仿宋"/>
          <w:spacing w:val="6"/>
          <w:sz w:val="28"/>
          <w:szCs w:val="20"/>
        </w:rPr>
        <w:t>8</w:t>
      </w:r>
      <w:r>
        <w:rPr>
          <w:rFonts w:ascii="Times New Roman" w:eastAsia="仿宋"/>
          <w:spacing w:val="6"/>
          <w:sz w:val="28"/>
          <w:szCs w:val="20"/>
        </w:rPr>
        <w:t>.3.1验收监测</w:t>
      </w:r>
    </w:p>
    <w:p w14:paraId="284E9F7A">
      <w:pPr>
        <w:snapToGrid w:val="0"/>
        <w:spacing w:line="500" w:lineRule="exact"/>
        <w:ind w:firstLine="465"/>
        <w:textAlignment w:val="baseline"/>
        <w:rPr>
          <w:rFonts w:ascii="Times New Roman" w:eastAsia="仿宋"/>
          <w:sz w:val="28"/>
          <w:szCs w:val="28"/>
        </w:rPr>
      </w:pPr>
      <w:r>
        <w:rPr>
          <w:rFonts w:ascii="Times New Roman" w:eastAsia="仿宋"/>
          <w:sz w:val="28"/>
          <w:szCs w:val="28"/>
        </w:rPr>
        <w:t>项目投运后，公司应按“三同时”验收程序委托环境监测机构开展建设项目环保“三同时”设施竣工验收监测，具体监测方案由监测机构根据《关于建设项目环境保护设施竣工验收监测管理有关问题的通知》（环发〔2000〕38号）确定，验收监测报告作为环保主管部门进行“三同时”验收的依据。</w:t>
      </w:r>
    </w:p>
    <w:p w14:paraId="0BCAC714">
      <w:pPr>
        <w:pStyle w:val="6"/>
        <w:keepLines w:val="0"/>
        <w:tabs>
          <w:tab w:val="left" w:pos="851"/>
        </w:tabs>
        <w:spacing w:before="0" w:after="120" w:afterLines="50" w:line="500" w:lineRule="exact"/>
        <w:rPr>
          <w:rFonts w:ascii="Times New Roman" w:eastAsia="仿宋"/>
          <w:spacing w:val="6"/>
          <w:sz w:val="28"/>
          <w:szCs w:val="20"/>
        </w:rPr>
      </w:pPr>
      <w:r>
        <w:rPr>
          <w:rFonts w:hint="eastAsia" w:ascii="Times New Roman" w:eastAsia="仿宋"/>
          <w:spacing w:val="6"/>
          <w:sz w:val="28"/>
          <w:szCs w:val="20"/>
        </w:rPr>
        <w:t>8</w:t>
      </w:r>
      <w:r>
        <w:rPr>
          <w:rFonts w:ascii="Times New Roman" w:eastAsia="仿宋"/>
          <w:spacing w:val="6"/>
          <w:sz w:val="28"/>
          <w:szCs w:val="20"/>
        </w:rPr>
        <w:t>.3.2污染源监测计划</w:t>
      </w:r>
    </w:p>
    <w:p w14:paraId="4AA775A7">
      <w:pPr>
        <w:snapToGrid w:val="0"/>
        <w:spacing w:line="500" w:lineRule="exact"/>
        <w:ind w:firstLine="465"/>
        <w:textAlignment w:val="baseline"/>
        <w:rPr>
          <w:rFonts w:ascii="Times New Roman" w:eastAsia="仿宋"/>
          <w:sz w:val="28"/>
          <w:szCs w:val="28"/>
        </w:rPr>
      </w:pPr>
      <w:r>
        <w:rPr>
          <w:rFonts w:ascii="Times New Roman" w:eastAsia="仿宋"/>
          <w:sz w:val="28"/>
          <w:szCs w:val="28"/>
        </w:rPr>
        <w:t>本根据《江苏省排放水污染物许可证管理办法》（省人民政府令[2011]74号）、《排污单位自行监测技术指南 总则》（HJ819- 2017）、《排污单位自行监测技术指南 涂装（HJ 1086—2020）》等文件要求，排污单位应按照规定对污染物排放情况进行监测，因此，除了环保主管部门的监督监测外，公司还应开展常规监测，以了解污染物达标排放情况。</w:t>
      </w:r>
    </w:p>
    <w:p w14:paraId="16F90452">
      <w:pPr>
        <w:snapToGrid w:val="0"/>
        <w:spacing w:line="500" w:lineRule="exact"/>
        <w:ind w:firstLine="465"/>
        <w:textAlignment w:val="baseline"/>
        <w:rPr>
          <w:rFonts w:ascii="Times New Roman" w:eastAsia="仿宋"/>
          <w:sz w:val="28"/>
          <w:szCs w:val="28"/>
        </w:rPr>
      </w:pPr>
      <w:r>
        <w:rPr>
          <w:rFonts w:ascii="Times New Roman" w:eastAsia="仿宋"/>
          <w:sz w:val="28"/>
          <w:szCs w:val="28"/>
        </w:rPr>
        <w:t>营运期的污染源监测内容应符合实际生产现状，公司在制度监测计划应充分考虑各类污染物排放情况，监测结果作为上报依据报当地环境保护主管部门。</w:t>
      </w:r>
    </w:p>
    <w:p w14:paraId="7A4D1896">
      <w:pPr>
        <w:snapToGrid w:val="0"/>
        <w:spacing w:line="500" w:lineRule="exact"/>
        <w:ind w:firstLine="465"/>
        <w:textAlignment w:val="baseline"/>
        <w:rPr>
          <w:rFonts w:ascii="Times New Roman" w:eastAsia="仿宋"/>
          <w:sz w:val="28"/>
          <w:szCs w:val="28"/>
        </w:rPr>
      </w:pPr>
      <w:r>
        <w:rPr>
          <w:rFonts w:ascii="Times New Roman" w:eastAsia="仿宋"/>
          <w:sz w:val="28"/>
          <w:szCs w:val="28"/>
        </w:rPr>
        <w:t>本项目污染源监测计划见下表。</w:t>
      </w:r>
    </w:p>
    <w:p w14:paraId="54447C63">
      <w:pPr>
        <w:spacing w:line="500" w:lineRule="exact"/>
        <w:jc w:val="center"/>
        <w:rPr>
          <w:rFonts w:ascii="Times New Roman" w:eastAsia="仿宋"/>
          <w:b/>
        </w:rPr>
      </w:pPr>
      <w:r>
        <w:rPr>
          <w:rFonts w:ascii="Times New Roman" w:eastAsia="仿宋"/>
          <w:b/>
        </w:rPr>
        <w:br w:type="page"/>
      </w:r>
      <w:r>
        <w:rPr>
          <w:rFonts w:ascii="Times New Roman" w:eastAsia="仿宋"/>
          <w:b/>
        </w:rPr>
        <w:t>表8.3-1   污染源监测计划</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501"/>
        <w:gridCol w:w="3665"/>
        <w:gridCol w:w="1678"/>
        <w:gridCol w:w="1065"/>
      </w:tblGrid>
      <w:tr w14:paraId="5442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3B01FCCD">
            <w:pPr>
              <w:tabs>
                <w:tab w:val="left" w:pos="6840"/>
              </w:tabs>
              <w:adjustRightInd w:val="0"/>
              <w:snapToGrid w:val="0"/>
              <w:jc w:val="center"/>
              <w:rPr>
                <w:rFonts w:ascii="Times New Roman" w:eastAsia="仿宋"/>
                <w:szCs w:val="24"/>
              </w:rPr>
            </w:pPr>
            <w:r>
              <w:rPr>
                <w:rFonts w:ascii="Times New Roman" w:eastAsia="仿宋"/>
                <w:szCs w:val="24"/>
              </w:rPr>
              <w:t>类别</w:t>
            </w:r>
          </w:p>
        </w:tc>
        <w:tc>
          <w:tcPr>
            <w:tcW w:w="850" w:type="pct"/>
            <w:vAlign w:val="center"/>
          </w:tcPr>
          <w:p w14:paraId="2063847B">
            <w:pPr>
              <w:tabs>
                <w:tab w:val="left" w:pos="6840"/>
              </w:tabs>
              <w:adjustRightInd w:val="0"/>
              <w:snapToGrid w:val="0"/>
              <w:jc w:val="center"/>
              <w:rPr>
                <w:rFonts w:ascii="Times New Roman" w:eastAsia="仿宋"/>
                <w:szCs w:val="24"/>
              </w:rPr>
            </w:pPr>
            <w:r>
              <w:rPr>
                <w:rFonts w:ascii="Times New Roman" w:eastAsia="仿宋"/>
                <w:szCs w:val="24"/>
              </w:rPr>
              <w:t>监测位置</w:t>
            </w:r>
          </w:p>
        </w:tc>
        <w:tc>
          <w:tcPr>
            <w:tcW w:w="2075" w:type="pct"/>
            <w:vAlign w:val="center"/>
          </w:tcPr>
          <w:p w14:paraId="6067B223">
            <w:pPr>
              <w:tabs>
                <w:tab w:val="left" w:pos="6840"/>
              </w:tabs>
              <w:adjustRightInd w:val="0"/>
              <w:snapToGrid w:val="0"/>
              <w:jc w:val="center"/>
              <w:rPr>
                <w:rFonts w:ascii="Times New Roman" w:eastAsia="仿宋"/>
                <w:szCs w:val="24"/>
              </w:rPr>
            </w:pPr>
            <w:r>
              <w:rPr>
                <w:rFonts w:ascii="Times New Roman" w:eastAsia="仿宋"/>
                <w:szCs w:val="24"/>
              </w:rPr>
              <w:t>监测项目</w:t>
            </w:r>
          </w:p>
        </w:tc>
        <w:tc>
          <w:tcPr>
            <w:tcW w:w="950" w:type="pct"/>
            <w:vAlign w:val="center"/>
          </w:tcPr>
          <w:p w14:paraId="54FC7D3C">
            <w:pPr>
              <w:tabs>
                <w:tab w:val="left" w:pos="6840"/>
              </w:tabs>
              <w:adjustRightInd w:val="0"/>
              <w:snapToGrid w:val="0"/>
              <w:jc w:val="center"/>
              <w:rPr>
                <w:rFonts w:ascii="Times New Roman" w:eastAsia="仿宋"/>
                <w:szCs w:val="24"/>
              </w:rPr>
            </w:pPr>
            <w:r>
              <w:rPr>
                <w:rFonts w:ascii="Times New Roman" w:eastAsia="仿宋"/>
                <w:szCs w:val="24"/>
              </w:rPr>
              <w:t>监测频率</w:t>
            </w:r>
          </w:p>
        </w:tc>
        <w:tc>
          <w:tcPr>
            <w:tcW w:w="603" w:type="pct"/>
            <w:vAlign w:val="center"/>
          </w:tcPr>
          <w:p w14:paraId="22FEFCD3">
            <w:pPr>
              <w:tabs>
                <w:tab w:val="left" w:pos="6840"/>
              </w:tabs>
              <w:adjustRightInd w:val="0"/>
              <w:snapToGrid w:val="0"/>
              <w:jc w:val="center"/>
              <w:rPr>
                <w:rFonts w:ascii="Times New Roman" w:eastAsia="仿宋"/>
                <w:szCs w:val="24"/>
              </w:rPr>
            </w:pPr>
            <w:r>
              <w:rPr>
                <w:rFonts w:ascii="Times New Roman" w:eastAsia="仿宋"/>
                <w:szCs w:val="24"/>
              </w:rPr>
              <w:t>监测单位</w:t>
            </w:r>
          </w:p>
        </w:tc>
      </w:tr>
      <w:tr w14:paraId="16A5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21" w:type="pct"/>
            <w:vMerge w:val="restart"/>
            <w:vAlign w:val="center"/>
          </w:tcPr>
          <w:p w14:paraId="539E3F85">
            <w:pPr>
              <w:tabs>
                <w:tab w:val="left" w:pos="6840"/>
              </w:tabs>
              <w:adjustRightInd w:val="0"/>
              <w:snapToGrid w:val="0"/>
              <w:jc w:val="center"/>
              <w:rPr>
                <w:rFonts w:ascii="Times New Roman" w:eastAsia="仿宋"/>
                <w:szCs w:val="24"/>
              </w:rPr>
            </w:pPr>
            <w:r>
              <w:rPr>
                <w:rFonts w:ascii="Times New Roman" w:eastAsia="仿宋"/>
                <w:szCs w:val="24"/>
              </w:rPr>
              <w:t>废水</w:t>
            </w:r>
          </w:p>
        </w:tc>
        <w:tc>
          <w:tcPr>
            <w:tcW w:w="850" w:type="pct"/>
            <w:vAlign w:val="center"/>
          </w:tcPr>
          <w:p w14:paraId="53DA62D3">
            <w:pPr>
              <w:tabs>
                <w:tab w:val="left" w:pos="6840"/>
              </w:tabs>
              <w:adjustRightInd w:val="0"/>
              <w:snapToGrid w:val="0"/>
              <w:jc w:val="center"/>
              <w:rPr>
                <w:rFonts w:ascii="Times New Roman" w:eastAsia="仿宋"/>
                <w:szCs w:val="24"/>
              </w:rPr>
            </w:pPr>
            <w:r>
              <w:rPr>
                <w:rFonts w:hint="eastAsia" w:ascii="Times New Roman" w:eastAsia="仿宋"/>
                <w:szCs w:val="24"/>
              </w:rPr>
              <w:t>生活</w:t>
            </w:r>
            <w:r>
              <w:rPr>
                <w:rFonts w:ascii="Times New Roman" w:eastAsia="仿宋"/>
                <w:szCs w:val="24"/>
              </w:rPr>
              <w:t>污水接管总排口</w:t>
            </w:r>
          </w:p>
        </w:tc>
        <w:tc>
          <w:tcPr>
            <w:tcW w:w="2075" w:type="pct"/>
            <w:vAlign w:val="center"/>
          </w:tcPr>
          <w:p w14:paraId="1B49F6EC">
            <w:pPr>
              <w:tabs>
                <w:tab w:val="left" w:pos="6840"/>
              </w:tabs>
              <w:adjustRightInd w:val="0"/>
              <w:snapToGrid w:val="0"/>
              <w:jc w:val="center"/>
              <w:rPr>
                <w:rFonts w:ascii="Times New Roman" w:eastAsia="仿宋"/>
                <w:szCs w:val="24"/>
              </w:rPr>
            </w:pPr>
            <w:r>
              <w:rPr>
                <w:rFonts w:hint="eastAsia" w:ascii="Times New Roman" w:eastAsia="仿宋"/>
                <w:szCs w:val="24"/>
              </w:rPr>
              <w:t>p</w:t>
            </w:r>
            <w:r>
              <w:rPr>
                <w:rFonts w:ascii="Times New Roman" w:eastAsia="仿宋"/>
                <w:szCs w:val="24"/>
              </w:rPr>
              <w:t>H</w:t>
            </w:r>
            <w:r>
              <w:rPr>
                <w:rFonts w:hint="eastAsia" w:ascii="Times New Roman" w:eastAsia="仿宋"/>
                <w:szCs w:val="24"/>
              </w:rPr>
              <w:t>、</w:t>
            </w:r>
            <w:r>
              <w:rPr>
                <w:rFonts w:ascii="Times New Roman" w:eastAsia="仿宋"/>
                <w:szCs w:val="24"/>
              </w:rPr>
              <w:t>COD、NH</w:t>
            </w:r>
            <w:r>
              <w:rPr>
                <w:rFonts w:ascii="Times New Roman" w:eastAsia="仿宋"/>
                <w:szCs w:val="24"/>
                <w:vertAlign w:val="subscript"/>
              </w:rPr>
              <w:t>3</w:t>
            </w:r>
            <w:r>
              <w:rPr>
                <w:rFonts w:ascii="Times New Roman" w:eastAsia="仿宋"/>
                <w:szCs w:val="24"/>
              </w:rPr>
              <w:t>-N、TP</w:t>
            </w:r>
            <w:r>
              <w:rPr>
                <w:rFonts w:hint="eastAsia" w:ascii="Times New Roman" w:eastAsia="仿宋"/>
                <w:szCs w:val="24"/>
              </w:rPr>
              <w:t>、T</w:t>
            </w:r>
            <w:r>
              <w:rPr>
                <w:rFonts w:ascii="Times New Roman" w:eastAsia="仿宋"/>
                <w:szCs w:val="24"/>
              </w:rPr>
              <w:t>N</w:t>
            </w:r>
            <w:r>
              <w:rPr>
                <w:rFonts w:hint="eastAsia" w:ascii="Times New Roman" w:eastAsia="仿宋"/>
                <w:szCs w:val="24"/>
              </w:rPr>
              <w:t>、S</w:t>
            </w:r>
            <w:r>
              <w:rPr>
                <w:rFonts w:ascii="Times New Roman" w:eastAsia="仿宋"/>
                <w:szCs w:val="24"/>
              </w:rPr>
              <w:t>S</w:t>
            </w:r>
            <w:r>
              <w:rPr>
                <w:rFonts w:hint="eastAsia" w:ascii="Times New Roman" w:eastAsia="仿宋"/>
                <w:szCs w:val="24"/>
              </w:rPr>
              <w:t>、动植物油</w:t>
            </w:r>
          </w:p>
        </w:tc>
        <w:tc>
          <w:tcPr>
            <w:tcW w:w="950" w:type="pct"/>
            <w:vAlign w:val="center"/>
          </w:tcPr>
          <w:p w14:paraId="384AA0A7">
            <w:pPr>
              <w:tabs>
                <w:tab w:val="left" w:pos="6840"/>
              </w:tabs>
              <w:adjustRightInd w:val="0"/>
              <w:snapToGrid w:val="0"/>
              <w:jc w:val="center"/>
              <w:rPr>
                <w:rFonts w:ascii="Times New Roman" w:eastAsia="仿宋"/>
                <w:szCs w:val="24"/>
              </w:rPr>
            </w:pPr>
            <w:r>
              <w:rPr>
                <w:rFonts w:ascii="Times New Roman" w:eastAsia="仿宋"/>
                <w:szCs w:val="24"/>
              </w:rPr>
              <w:t>每季度监测一次</w:t>
            </w:r>
          </w:p>
        </w:tc>
        <w:tc>
          <w:tcPr>
            <w:tcW w:w="603" w:type="pct"/>
            <w:vMerge w:val="restart"/>
            <w:vAlign w:val="center"/>
          </w:tcPr>
          <w:p w14:paraId="2BF0764A">
            <w:pPr>
              <w:tabs>
                <w:tab w:val="left" w:pos="6840"/>
              </w:tabs>
              <w:adjustRightInd w:val="0"/>
              <w:snapToGrid w:val="0"/>
              <w:jc w:val="center"/>
              <w:rPr>
                <w:rFonts w:ascii="Times New Roman" w:eastAsia="仿宋"/>
                <w:szCs w:val="24"/>
              </w:rPr>
            </w:pPr>
            <w:r>
              <w:rPr>
                <w:rFonts w:ascii="Times New Roman" w:eastAsia="仿宋"/>
                <w:szCs w:val="24"/>
              </w:rPr>
              <w:t>有资质的环境监测单位</w:t>
            </w:r>
          </w:p>
        </w:tc>
      </w:tr>
      <w:tr w14:paraId="3B6F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21" w:type="pct"/>
            <w:vMerge w:val="continue"/>
            <w:vAlign w:val="center"/>
          </w:tcPr>
          <w:p w14:paraId="2D1D9E59">
            <w:pPr>
              <w:tabs>
                <w:tab w:val="left" w:pos="6840"/>
              </w:tabs>
              <w:adjustRightInd w:val="0"/>
              <w:snapToGrid w:val="0"/>
              <w:jc w:val="center"/>
              <w:rPr>
                <w:rFonts w:ascii="Times New Roman" w:eastAsia="仿宋"/>
                <w:szCs w:val="24"/>
              </w:rPr>
            </w:pPr>
          </w:p>
        </w:tc>
        <w:tc>
          <w:tcPr>
            <w:tcW w:w="850" w:type="pct"/>
            <w:vAlign w:val="center"/>
          </w:tcPr>
          <w:p w14:paraId="3B4015CF">
            <w:pPr>
              <w:tabs>
                <w:tab w:val="left" w:pos="6840"/>
              </w:tabs>
              <w:adjustRightInd w:val="0"/>
              <w:snapToGrid w:val="0"/>
              <w:jc w:val="center"/>
              <w:rPr>
                <w:rFonts w:ascii="Times New Roman" w:eastAsia="仿宋"/>
                <w:szCs w:val="24"/>
              </w:rPr>
            </w:pPr>
            <w:r>
              <w:rPr>
                <w:rFonts w:hint="eastAsia" w:ascii="Times New Roman" w:eastAsia="仿宋"/>
                <w:szCs w:val="24"/>
              </w:rPr>
              <w:t>污水处理站出口</w:t>
            </w:r>
          </w:p>
        </w:tc>
        <w:tc>
          <w:tcPr>
            <w:tcW w:w="2075" w:type="pct"/>
            <w:vAlign w:val="center"/>
          </w:tcPr>
          <w:p w14:paraId="083BBB0E">
            <w:pPr>
              <w:tabs>
                <w:tab w:val="left" w:pos="6840"/>
              </w:tabs>
              <w:adjustRightInd w:val="0"/>
              <w:snapToGrid w:val="0"/>
              <w:jc w:val="center"/>
              <w:rPr>
                <w:rFonts w:ascii="Times New Roman" w:eastAsia="仿宋"/>
                <w:szCs w:val="24"/>
              </w:rPr>
            </w:pPr>
            <w:r>
              <w:rPr>
                <w:rFonts w:hint="eastAsia" w:ascii="Times New Roman" w:eastAsia="仿宋"/>
                <w:szCs w:val="24"/>
              </w:rPr>
              <w:t>p</w:t>
            </w:r>
            <w:r>
              <w:rPr>
                <w:rFonts w:ascii="Times New Roman" w:eastAsia="仿宋"/>
                <w:szCs w:val="24"/>
              </w:rPr>
              <w:t>H</w:t>
            </w:r>
            <w:r>
              <w:rPr>
                <w:rFonts w:hint="eastAsia" w:ascii="Times New Roman" w:eastAsia="仿宋"/>
                <w:szCs w:val="24"/>
              </w:rPr>
              <w:t>、COD、SS、石油类</w:t>
            </w:r>
          </w:p>
        </w:tc>
        <w:tc>
          <w:tcPr>
            <w:tcW w:w="950" w:type="pct"/>
            <w:vAlign w:val="center"/>
          </w:tcPr>
          <w:p w14:paraId="00A41C83">
            <w:pPr>
              <w:tabs>
                <w:tab w:val="left" w:pos="6840"/>
              </w:tabs>
              <w:adjustRightInd w:val="0"/>
              <w:snapToGrid w:val="0"/>
              <w:jc w:val="center"/>
              <w:rPr>
                <w:rFonts w:ascii="Times New Roman" w:eastAsia="仿宋"/>
                <w:szCs w:val="24"/>
              </w:rPr>
            </w:pPr>
            <w:r>
              <w:rPr>
                <w:rFonts w:hint="eastAsia" w:ascii="Times New Roman" w:eastAsia="仿宋"/>
                <w:szCs w:val="24"/>
              </w:rPr>
              <w:t>每</w:t>
            </w:r>
            <w:r>
              <w:rPr>
                <w:rFonts w:ascii="Times New Roman" w:eastAsia="仿宋"/>
                <w:szCs w:val="24"/>
              </w:rPr>
              <w:t>季度</w:t>
            </w:r>
            <w:r>
              <w:rPr>
                <w:rFonts w:hint="eastAsia" w:ascii="Times New Roman" w:eastAsia="仿宋"/>
                <w:szCs w:val="24"/>
              </w:rPr>
              <w:t>监测一次</w:t>
            </w:r>
          </w:p>
        </w:tc>
        <w:tc>
          <w:tcPr>
            <w:tcW w:w="603" w:type="pct"/>
            <w:vMerge w:val="continue"/>
            <w:vAlign w:val="center"/>
          </w:tcPr>
          <w:p w14:paraId="01CBFC8F">
            <w:pPr>
              <w:tabs>
                <w:tab w:val="left" w:pos="6840"/>
              </w:tabs>
              <w:adjustRightInd w:val="0"/>
              <w:snapToGrid w:val="0"/>
              <w:jc w:val="center"/>
              <w:rPr>
                <w:rFonts w:ascii="Times New Roman" w:eastAsia="仿宋"/>
                <w:szCs w:val="24"/>
              </w:rPr>
            </w:pPr>
          </w:p>
        </w:tc>
      </w:tr>
      <w:tr w14:paraId="7E45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21" w:type="pct"/>
            <w:vMerge w:val="continue"/>
            <w:vAlign w:val="center"/>
          </w:tcPr>
          <w:p w14:paraId="2DEFFFAA">
            <w:pPr>
              <w:tabs>
                <w:tab w:val="left" w:pos="6840"/>
              </w:tabs>
              <w:adjustRightInd w:val="0"/>
              <w:snapToGrid w:val="0"/>
              <w:jc w:val="center"/>
              <w:rPr>
                <w:rFonts w:ascii="Times New Roman" w:eastAsia="仿宋"/>
                <w:szCs w:val="24"/>
              </w:rPr>
            </w:pPr>
          </w:p>
        </w:tc>
        <w:tc>
          <w:tcPr>
            <w:tcW w:w="850" w:type="pct"/>
            <w:vAlign w:val="center"/>
          </w:tcPr>
          <w:p w14:paraId="19D2CBEB">
            <w:pPr>
              <w:tabs>
                <w:tab w:val="left" w:pos="6840"/>
              </w:tabs>
              <w:adjustRightInd w:val="0"/>
              <w:snapToGrid w:val="0"/>
              <w:jc w:val="center"/>
              <w:rPr>
                <w:rFonts w:ascii="Times New Roman" w:eastAsia="仿宋"/>
                <w:szCs w:val="24"/>
              </w:rPr>
            </w:pPr>
            <w:r>
              <w:rPr>
                <w:rFonts w:hint="eastAsia" w:ascii="Times New Roman" w:eastAsia="仿宋"/>
                <w:szCs w:val="24"/>
              </w:rPr>
              <w:t>污水总排口</w:t>
            </w:r>
          </w:p>
        </w:tc>
        <w:tc>
          <w:tcPr>
            <w:tcW w:w="2075" w:type="pct"/>
            <w:vAlign w:val="center"/>
          </w:tcPr>
          <w:p w14:paraId="6F0AEF8A">
            <w:pPr>
              <w:tabs>
                <w:tab w:val="left" w:pos="6840"/>
              </w:tabs>
              <w:adjustRightInd w:val="0"/>
              <w:snapToGrid w:val="0"/>
              <w:jc w:val="center"/>
              <w:rPr>
                <w:rFonts w:ascii="Times New Roman" w:eastAsia="仿宋"/>
                <w:szCs w:val="24"/>
              </w:rPr>
            </w:pPr>
            <w:r>
              <w:rPr>
                <w:rFonts w:hint="eastAsia" w:ascii="Times New Roman" w:eastAsia="仿宋"/>
                <w:szCs w:val="24"/>
              </w:rPr>
              <w:t>p</w:t>
            </w:r>
            <w:r>
              <w:rPr>
                <w:rFonts w:ascii="Times New Roman" w:eastAsia="仿宋"/>
                <w:szCs w:val="24"/>
              </w:rPr>
              <w:t>H</w:t>
            </w:r>
            <w:r>
              <w:rPr>
                <w:rFonts w:hint="eastAsia" w:ascii="Times New Roman" w:eastAsia="仿宋"/>
                <w:szCs w:val="24"/>
              </w:rPr>
              <w:t>、</w:t>
            </w:r>
            <w:r>
              <w:rPr>
                <w:rFonts w:ascii="Times New Roman" w:eastAsia="仿宋"/>
                <w:szCs w:val="24"/>
              </w:rPr>
              <w:t>COD、NH</w:t>
            </w:r>
            <w:r>
              <w:rPr>
                <w:rFonts w:ascii="Times New Roman" w:eastAsia="仿宋"/>
                <w:szCs w:val="24"/>
                <w:vertAlign w:val="subscript"/>
              </w:rPr>
              <w:t>3</w:t>
            </w:r>
            <w:r>
              <w:rPr>
                <w:rFonts w:ascii="Times New Roman" w:eastAsia="仿宋"/>
                <w:szCs w:val="24"/>
              </w:rPr>
              <w:t>-N、TP</w:t>
            </w:r>
            <w:r>
              <w:rPr>
                <w:rFonts w:hint="eastAsia" w:ascii="Times New Roman" w:eastAsia="仿宋"/>
                <w:szCs w:val="24"/>
              </w:rPr>
              <w:t>、T</w:t>
            </w:r>
            <w:r>
              <w:rPr>
                <w:rFonts w:ascii="Times New Roman" w:eastAsia="仿宋"/>
                <w:szCs w:val="24"/>
              </w:rPr>
              <w:t>N</w:t>
            </w:r>
            <w:r>
              <w:rPr>
                <w:rFonts w:hint="eastAsia" w:ascii="Times New Roman" w:eastAsia="仿宋"/>
                <w:szCs w:val="24"/>
              </w:rPr>
              <w:t>、S</w:t>
            </w:r>
            <w:r>
              <w:rPr>
                <w:rFonts w:ascii="Times New Roman" w:eastAsia="仿宋"/>
                <w:szCs w:val="24"/>
              </w:rPr>
              <w:t>S</w:t>
            </w:r>
            <w:r>
              <w:rPr>
                <w:rFonts w:hint="eastAsia" w:ascii="Times New Roman" w:eastAsia="仿宋"/>
                <w:szCs w:val="24"/>
              </w:rPr>
              <w:t>、动植物油、石油类</w:t>
            </w:r>
          </w:p>
        </w:tc>
        <w:tc>
          <w:tcPr>
            <w:tcW w:w="950" w:type="pct"/>
            <w:vAlign w:val="center"/>
          </w:tcPr>
          <w:p w14:paraId="6301D779">
            <w:pPr>
              <w:tabs>
                <w:tab w:val="left" w:pos="6840"/>
              </w:tabs>
              <w:adjustRightInd w:val="0"/>
              <w:snapToGrid w:val="0"/>
              <w:jc w:val="center"/>
              <w:rPr>
                <w:rFonts w:ascii="Times New Roman" w:eastAsia="仿宋"/>
                <w:szCs w:val="24"/>
              </w:rPr>
            </w:pPr>
            <w:r>
              <w:rPr>
                <w:rFonts w:hint="eastAsia" w:ascii="Times New Roman" w:eastAsia="仿宋"/>
                <w:szCs w:val="24"/>
              </w:rPr>
              <w:t>每</w:t>
            </w:r>
            <w:r>
              <w:rPr>
                <w:rFonts w:ascii="Times New Roman" w:eastAsia="仿宋"/>
                <w:szCs w:val="24"/>
              </w:rPr>
              <w:t>半年监测一次</w:t>
            </w:r>
          </w:p>
        </w:tc>
        <w:tc>
          <w:tcPr>
            <w:tcW w:w="603" w:type="pct"/>
            <w:vMerge w:val="continue"/>
            <w:vAlign w:val="center"/>
          </w:tcPr>
          <w:p w14:paraId="7B8B4C16">
            <w:pPr>
              <w:tabs>
                <w:tab w:val="left" w:pos="6840"/>
              </w:tabs>
              <w:adjustRightInd w:val="0"/>
              <w:snapToGrid w:val="0"/>
              <w:jc w:val="center"/>
              <w:rPr>
                <w:rFonts w:ascii="Times New Roman" w:eastAsia="仿宋"/>
                <w:szCs w:val="24"/>
              </w:rPr>
            </w:pPr>
          </w:p>
        </w:tc>
      </w:tr>
      <w:tr w14:paraId="5486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21" w:type="pct"/>
            <w:vMerge w:val="continue"/>
            <w:vAlign w:val="center"/>
          </w:tcPr>
          <w:p w14:paraId="7513D60C">
            <w:pPr>
              <w:tabs>
                <w:tab w:val="left" w:pos="6840"/>
              </w:tabs>
              <w:adjustRightInd w:val="0"/>
              <w:snapToGrid w:val="0"/>
              <w:jc w:val="center"/>
              <w:rPr>
                <w:rFonts w:ascii="Times New Roman" w:eastAsia="仿宋"/>
                <w:szCs w:val="24"/>
              </w:rPr>
            </w:pPr>
          </w:p>
        </w:tc>
        <w:tc>
          <w:tcPr>
            <w:tcW w:w="850" w:type="pct"/>
            <w:vAlign w:val="center"/>
          </w:tcPr>
          <w:p w14:paraId="3D7AC8DE">
            <w:pPr>
              <w:tabs>
                <w:tab w:val="left" w:pos="6840"/>
              </w:tabs>
              <w:adjustRightInd w:val="0"/>
              <w:snapToGrid w:val="0"/>
              <w:jc w:val="center"/>
              <w:rPr>
                <w:rFonts w:ascii="Times New Roman" w:eastAsia="仿宋"/>
                <w:szCs w:val="24"/>
              </w:rPr>
            </w:pPr>
            <w:r>
              <w:rPr>
                <w:rFonts w:hint="eastAsia" w:ascii="Times New Roman" w:eastAsia="仿宋"/>
                <w:szCs w:val="24"/>
              </w:rPr>
              <w:t>雨水排口</w:t>
            </w:r>
          </w:p>
        </w:tc>
        <w:tc>
          <w:tcPr>
            <w:tcW w:w="2075" w:type="pct"/>
            <w:vAlign w:val="center"/>
          </w:tcPr>
          <w:p w14:paraId="5018020F">
            <w:pPr>
              <w:tabs>
                <w:tab w:val="left" w:pos="6840"/>
              </w:tabs>
              <w:adjustRightInd w:val="0"/>
              <w:snapToGrid w:val="0"/>
              <w:jc w:val="center"/>
              <w:rPr>
                <w:rFonts w:ascii="Times New Roman" w:eastAsia="仿宋"/>
                <w:szCs w:val="24"/>
              </w:rPr>
            </w:pPr>
            <w:r>
              <w:rPr>
                <w:rFonts w:hint="eastAsia" w:ascii="Times New Roman" w:eastAsia="仿宋"/>
                <w:szCs w:val="24"/>
              </w:rPr>
              <w:t>p</w:t>
            </w:r>
            <w:r>
              <w:rPr>
                <w:rFonts w:ascii="Times New Roman" w:eastAsia="仿宋"/>
                <w:szCs w:val="24"/>
              </w:rPr>
              <w:t>H</w:t>
            </w:r>
            <w:r>
              <w:rPr>
                <w:rFonts w:hint="eastAsia" w:ascii="Times New Roman" w:eastAsia="仿宋"/>
                <w:szCs w:val="24"/>
              </w:rPr>
              <w:t>、C</w:t>
            </w:r>
            <w:r>
              <w:rPr>
                <w:rFonts w:ascii="Times New Roman" w:eastAsia="仿宋"/>
                <w:szCs w:val="24"/>
              </w:rPr>
              <w:t>OD</w:t>
            </w:r>
            <w:r>
              <w:rPr>
                <w:rFonts w:hint="eastAsia" w:ascii="Times New Roman" w:eastAsia="仿宋"/>
                <w:szCs w:val="24"/>
              </w:rPr>
              <w:t>、S</w:t>
            </w:r>
            <w:r>
              <w:rPr>
                <w:rFonts w:ascii="Times New Roman" w:eastAsia="仿宋"/>
                <w:szCs w:val="24"/>
              </w:rPr>
              <w:t>S</w:t>
            </w:r>
          </w:p>
        </w:tc>
        <w:tc>
          <w:tcPr>
            <w:tcW w:w="950" w:type="pct"/>
            <w:vAlign w:val="center"/>
          </w:tcPr>
          <w:p w14:paraId="35168920">
            <w:pPr>
              <w:tabs>
                <w:tab w:val="left" w:pos="6840"/>
              </w:tabs>
              <w:adjustRightInd w:val="0"/>
              <w:snapToGrid w:val="0"/>
              <w:jc w:val="center"/>
              <w:rPr>
                <w:rFonts w:ascii="Times New Roman" w:eastAsia="仿宋"/>
                <w:szCs w:val="24"/>
              </w:rPr>
            </w:pPr>
            <w:r>
              <w:rPr>
                <w:rFonts w:hint="eastAsia" w:ascii="Times New Roman" w:eastAsia="仿宋"/>
                <w:szCs w:val="24"/>
              </w:rPr>
              <w:t>每月监测一次</w:t>
            </w:r>
          </w:p>
        </w:tc>
        <w:tc>
          <w:tcPr>
            <w:tcW w:w="603" w:type="pct"/>
            <w:vMerge w:val="continue"/>
            <w:vAlign w:val="center"/>
          </w:tcPr>
          <w:p w14:paraId="79201A8E">
            <w:pPr>
              <w:tabs>
                <w:tab w:val="left" w:pos="6840"/>
              </w:tabs>
              <w:adjustRightInd w:val="0"/>
              <w:snapToGrid w:val="0"/>
              <w:jc w:val="center"/>
              <w:rPr>
                <w:rFonts w:ascii="Times New Roman" w:eastAsia="仿宋"/>
                <w:szCs w:val="24"/>
              </w:rPr>
            </w:pPr>
          </w:p>
        </w:tc>
      </w:tr>
      <w:tr w14:paraId="6B7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21" w:type="pct"/>
            <w:vMerge w:val="restart"/>
            <w:vAlign w:val="center"/>
          </w:tcPr>
          <w:p w14:paraId="3A3013DE">
            <w:pPr>
              <w:tabs>
                <w:tab w:val="left" w:pos="6840"/>
              </w:tabs>
              <w:adjustRightInd w:val="0"/>
              <w:snapToGrid w:val="0"/>
              <w:jc w:val="center"/>
              <w:rPr>
                <w:rFonts w:ascii="Times New Roman" w:eastAsia="仿宋"/>
                <w:szCs w:val="24"/>
              </w:rPr>
            </w:pPr>
            <w:r>
              <w:rPr>
                <w:rFonts w:ascii="Times New Roman" w:eastAsia="仿宋"/>
                <w:szCs w:val="24"/>
              </w:rPr>
              <w:t>废气</w:t>
            </w:r>
          </w:p>
        </w:tc>
        <w:tc>
          <w:tcPr>
            <w:tcW w:w="850" w:type="pct"/>
            <w:vAlign w:val="center"/>
          </w:tcPr>
          <w:p w14:paraId="56A0194F">
            <w:pPr>
              <w:tabs>
                <w:tab w:val="left" w:pos="6840"/>
              </w:tabs>
              <w:adjustRightInd w:val="0"/>
              <w:snapToGrid w:val="0"/>
              <w:jc w:val="center"/>
              <w:rPr>
                <w:rFonts w:ascii="Times New Roman" w:eastAsia="仿宋"/>
                <w:szCs w:val="24"/>
              </w:rPr>
            </w:pPr>
            <w:r>
              <w:rPr>
                <w:rFonts w:ascii="Times New Roman" w:eastAsia="仿宋"/>
                <w:szCs w:val="24"/>
              </w:rPr>
              <w:t>厂界</w:t>
            </w:r>
          </w:p>
        </w:tc>
        <w:tc>
          <w:tcPr>
            <w:tcW w:w="2075" w:type="pct"/>
            <w:vAlign w:val="center"/>
          </w:tcPr>
          <w:p w14:paraId="13CDDA20">
            <w:pPr>
              <w:adjustRightInd w:val="0"/>
              <w:snapToGrid w:val="0"/>
              <w:jc w:val="center"/>
              <w:rPr>
                <w:rFonts w:ascii="Times New Roman" w:eastAsia="仿宋"/>
                <w:szCs w:val="24"/>
              </w:rPr>
            </w:pPr>
            <w:r>
              <w:rPr>
                <w:rFonts w:ascii="Times New Roman" w:eastAsia="仿宋"/>
                <w:szCs w:val="24"/>
              </w:rPr>
              <w:t>非甲烷总烃</w:t>
            </w:r>
            <w:r>
              <w:rPr>
                <w:rFonts w:hint="eastAsia" w:ascii="Times New Roman" w:eastAsia="仿宋"/>
                <w:szCs w:val="24"/>
              </w:rPr>
              <w:t>、二甲苯、苯系物、颗粒物</w:t>
            </w:r>
          </w:p>
        </w:tc>
        <w:tc>
          <w:tcPr>
            <w:tcW w:w="950" w:type="pct"/>
            <w:vAlign w:val="center"/>
          </w:tcPr>
          <w:p w14:paraId="25FEC395">
            <w:pPr>
              <w:adjustRightInd w:val="0"/>
              <w:snapToGrid w:val="0"/>
              <w:jc w:val="center"/>
              <w:rPr>
                <w:rFonts w:ascii="Times New Roman" w:eastAsia="仿宋"/>
                <w:szCs w:val="24"/>
              </w:rPr>
            </w:pPr>
            <w:r>
              <w:rPr>
                <w:rFonts w:hint="eastAsia" w:ascii="Times New Roman" w:eastAsia="仿宋"/>
                <w:szCs w:val="24"/>
              </w:rPr>
              <w:t>每</w:t>
            </w:r>
            <w:r>
              <w:rPr>
                <w:rFonts w:ascii="Times New Roman" w:eastAsia="仿宋"/>
                <w:szCs w:val="24"/>
              </w:rPr>
              <w:t>半年监测一次</w:t>
            </w:r>
          </w:p>
        </w:tc>
        <w:tc>
          <w:tcPr>
            <w:tcW w:w="603" w:type="pct"/>
            <w:vMerge w:val="continue"/>
            <w:vAlign w:val="center"/>
          </w:tcPr>
          <w:p w14:paraId="57A5B147">
            <w:pPr>
              <w:tabs>
                <w:tab w:val="left" w:pos="6840"/>
              </w:tabs>
              <w:adjustRightInd w:val="0"/>
              <w:snapToGrid w:val="0"/>
              <w:jc w:val="center"/>
              <w:rPr>
                <w:rFonts w:ascii="Times New Roman" w:eastAsia="仿宋"/>
                <w:szCs w:val="24"/>
              </w:rPr>
            </w:pPr>
          </w:p>
        </w:tc>
      </w:tr>
      <w:tr w14:paraId="38A4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21" w:type="pct"/>
            <w:vMerge w:val="continue"/>
            <w:vAlign w:val="center"/>
          </w:tcPr>
          <w:p w14:paraId="5A96C68D">
            <w:pPr>
              <w:tabs>
                <w:tab w:val="left" w:pos="6840"/>
              </w:tabs>
              <w:adjustRightInd w:val="0"/>
              <w:snapToGrid w:val="0"/>
              <w:jc w:val="center"/>
              <w:rPr>
                <w:rFonts w:ascii="Times New Roman" w:eastAsia="仿宋"/>
                <w:szCs w:val="24"/>
              </w:rPr>
            </w:pPr>
          </w:p>
        </w:tc>
        <w:tc>
          <w:tcPr>
            <w:tcW w:w="850" w:type="pct"/>
            <w:vAlign w:val="center"/>
          </w:tcPr>
          <w:p w14:paraId="0D272AFF">
            <w:pPr>
              <w:tabs>
                <w:tab w:val="left" w:pos="6840"/>
              </w:tabs>
              <w:adjustRightInd w:val="0"/>
              <w:snapToGrid w:val="0"/>
              <w:jc w:val="center"/>
              <w:rPr>
                <w:rFonts w:ascii="Times New Roman" w:eastAsia="仿宋"/>
                <w:szCs w:val="24"/>
              </w:rPr>
            </w:pPr>
            <w:r>
              <w:rPr>
                <w:rFonts w:hint="eastAsia" w:ascii="Times New Roman" w:eastAsia="仿宋"/>
                <w:szCs w:val="24"/>
              </w:rPr>
              <w:t>厂区内</w:t>
            </w:r>
          </w:p>
        </w:tc>
        <w:tc>
          <w:tcPr>
            <w:tcW w:w="2075" w:type="pct"/>
            <w:vAlign w:val="center"/>
          </w:tcPr>
          <w:p w14:paraId="65F52F47">
            <w:pPr>
              <w:adjustRightInd w:val="0"/>
              <w:snapToGrid w:val="0"/>
              <w:jc w:val="center"/>
              <w:rPr>
                <w:rFonts w:ascii="Times New Roman" w:eastAsia="仿宋"/>
                <w:szCs w:val="24"/>
              </w:rPr>
            </w:pPr>
            <w:r>
              <w:rPr>
                <w:rFonts w:hint="eastAsia" w:ascii="Times New Roman" w:eastAsia="仿宋"/>
                <w:szCs w:val="24"/>
              </w:rPr>
              <w:t>非甲烷总烃</w:t>
            </w:r>
          </w:p>
        </w:tc>
        <w:tc>
          <w:tcPr>
            <w:tcW w:w="950" w:type="pct"/>
            <w:vAlign w:val="center"/>
          </w:tcPr>
          <w:p w14:paraId="0CE1CAEE">
            <w:pPr>
              <w:adjustRightInd w:val="0"/>
              <w:snapToGrid w:val="0"/>
              <w:jc w:val="center"/>
              <w:rPr>
                <w:rFonts w:ascii="Times New Roman" w:eastAsia="仿宋"/>
                <w:szCs w:val="24"/>
              </w:rPr>
            </w:pPr>
            <w:r>
              <w:rPr>
                <w:rFonts w:hint="eastAsia" w:ascii="Times New Roman" w:eastAsia="仿宋"/>
                <w:szCs w:val="24"/>
              </w:rPr>
              <w:t>每</w:t>
            </w:r>
            <w:r>
              <w:rPr>
                <w:rFonts w:ascii="Times New Roman" w:eastAsia="仿宋"/>
                <w:szCs w:val="24"/>
              </w:rPr>
              <w:t>半年监测一次</w:t>
            </w:r>
          </w:p>
        </w:tc>
        <w:tc>
          <w:tcPr>
            <w:tcW w:w="603" w:type="pct"/>
            <w:vMerge w:val="continue"/>
            <w:vAlign w:val="center"/>
          </w:tcPr>
          <w:p w14:paraId="574FBB46">
            <w:pPr>
              <w:tabs>
                <w:tab w:val="left" w:pos="6840"/>
              </w:tabs>
              <w:adjustRightInd w:val="0"/>
              <w:snapToGrid w:val="0"/>
              <w:jc w:val="center"/>
              <w:rPr>
                <w:rFonts w:ascii="Times New Roman" w:eastAsia="仿宋"/>
                <w:szCs w:val="24"/>
              </w:rPr>
            </w:pPr>
          </w:p>
        </w:tc>
      </w:tr>
      <w:tr w14:paraId="2F1E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1" w:type="pct"/>
            <w:vMerge w:val="continue"/>
            <w:vAlign w:val="center"/>
          </w:tcPr>
          <w:p w14:paraId="50F87B9E">
            <w:pPr>
              <w:tabs>
                <w:tab w:val="left" w:pos="6840"/>
              </w:tabs>
              <w:adjustRightInd w:val="0"/>
              <w:snapToGrid w:val="0"/>
              <w:jc w:val="center"/>
              <w:rPr>
                <w:rFonts w:ascii="Times New Roman" w:eastAsia="仿宋"/>
                <w:szCs w:val="24"/>
              </w:rPr>
            </w:pPr>
          </w:p>
        </w:tc>
        <w:tc>
          <w:tcPr>
            <w:tcW w:w="850" w:type="pct"/>
            <w:vAlign w:val="center"/>
          </w:tcPr>
          <w:p w14:paraId="68378A55">
            <w:pPr>
              <w:adjustRightInd w:val="0"/>
              <w:snapToGrid w:val="0"/>
              <w:jc w:val="center"/>
              <w:rPr>
                <w:rFonts w:ascii="Times New Roman" w:eastAsia="仿宋"/>
                <w:szCs w:val="24"/>
              </w:rPr>
            </w:pPr>
            <w:r>
              <w:rPr>
                <w:rFonts w:ascii="Times New Roman" w:eastAsia="仿宋"/>
                <w:szCs w:val="24"/>
              </w:rPr>
              <w:t>1#</w:t>
            </w:r>
            <w:r>
              <w:rPr>
                <w:rFonts w:hint="eastAsia" w:ascii="Times New Roman" w:eastAsia="仿宋"/>
                <w:szCs w:val="24"/>
              </w:rPr>
              <w:t>排气筒</w:t>
            </w:r>
          </w:p>
        </w:tc>
        <w:tc>
          <w:tcPr>
            <w:tcW w:w="2075" w:type="pct"/>
            <w:vAlign w:val="center"/>
          </w:tcPr>
          <w:p w14:paraId="2A5C2993">
            <w:pPr>
              <w:spacing w:line="240" w:lineRule="exact"/>
              <w:jc w:val="center"/>
              <w:rPr>
                <w:rFonts w:ascii="Times New Roman" w:eastAsia="仿宋"/>
                <w:szCs w:val="24"/>
              </w:rPr>
            </w:pPr>
            <w:r>
              <w:rPr>
                <w:rFonts w:ascii="Times New Roman" w:eastAsia="仿宋"/>
                <w:szCs w:val="24"/>
              </w:rPr>
              <w:t>颗粒物</w:t>
            </w:r>
          </w:p>
        </w:tc>
        <w:tc>
          <w:tcPr>
            <w:tcW w:w="950" w:type="pct"/>
            <w:vAlign w:val="center"/>
          </w:tcPr>
          <w:p w14:paraId="67A33DA9">
            <w:pPr>
              <w:jc w:val="center"/>
              <w:rPr>
                <w:rFonts w:ascii="Times New Roman" w:eastAsia="仿宋"/>
                <w:szCs w:val="24"/>
              </w:rPr>
            </w:pPr>
            <w:r>
              <w:rPr>
                <w:rFonts w:hint="eastAsia" w:ascii="Times New Roman" w:eastAsia="仿宋"/>
                <w:szCs w:val="24"/>
              </w:rPr>
              <w:t>每半年监测一次</w:t>
            </w:r>
          </w:p>
        </w:tc>
        <w:tc>
          <w:tcPr>
            <w:tcW w:w="603" w:type="pct"/>
            <w:vMerge w:val="continue"/>
            <w:vAlign w:val="center"/>
          </w:tcPr>
          <w:p w14:paraId="374FECC8">
            <w:pPr>
              <w:tabs>
                <w:tab w:val="left" w:pos="6840"/>
              </w:tabs>
              <w:adjustRightInd w:val="0"/>
              <w:snapToGrid w:val="0"/>
              <w:jc w:val="center"/>
              <w:rPr>
                <w:rFonts w:ascii="Times New Roman" w:eastAsia="仿宋"/>
                <w:szCs w:val="24"/>
              </w:rPr>
            </w:pPr>
          </w:p>
        </w:tc>
      </w:tr>
      <w:tr w14:paraId="25F5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21" w:type="pct"/>
            <w:vMerge w:val="continue"/>
            <w:vAlign w:val="center"/>
          </w:tcPr>
          <w:p w14:paraId="6F858607">
            <w:pPr>
              <w:tabs>
                <w:tab w:val="left" w:pos="6840"/>
              </w:tabs>
              <w:adjustRightInd w:val="0"/>
              <w:snapToGrid w:val="0"/>
              <w:jc w:val="center"/>
              <w:rPr>
                <w:rFonts w:ascii="Times New Roman" w:eastAsia="仿宋"/>
                <w:szCs w:val="24"/>
              </w:rPr>
            </w:pPr>
          </w:p>
        </w:tc>
        <w:tc>
          <w:tcPr>
            <w:tcW w:w="850" w:type="pct"/>
            <w:vAlign w:val="center"/>
          </w:tcPr>
          <w:p w14:paraId="464146DC">
            <w:pPr>
              <w:adjustRightInd w:val="0"/>
              <w:snapToGrid w:val="0"/>
              <w:jc w:val="center"/>
              <w:rPr>
                <w:rFonts w:ascii="Times New Roman" w:eastAsia="仿宋"/>
                <w:szCs w:val="24"/>
              </w:rPr>
            </w:pPr>
            <w:r>
              <w:rPr>
                <w:rFonts w:ascii="Times New Roman" w:eastAsia="仿宋"/>
                <w:szCs w:val="24"/>
              </w:rPr>
              <w:t>2#</w:t>
            </w:r>
            <w:r>
              <w:rPr>
                <w:rFonts w:hint="eastAsia" w:ascii="Times New Roman" w:eastAsia="仿宋"/>
                <w:szCs w:val="24"/>
              </w:rPr>
              <w:t>排气筒</w:t>
            </w:r>
          </w:p>
        </w:tc>
        <w:tc>
          <w:tcPr>
            <w:tcW w:w="2075" w:type="pct"/>
            <w:vAlign w:val="center"/>
          </w:tcPr>
          <w:p w14:paraId="0FBDF2FA">
            <w:pPr>
              <w:spacing w:line="240" w:lineRule="exact"/>
              <w:jc w:val="center"/>
              <w:rPr>
                <w:rFonts w:ascii="Times New Roman" w:eastAsia="仿宋"/>
                <w:szCs w:val="24"/>
              </w:rPr>
            </w:pPr>
            <w:r>
              <w:rPr>
                <w:rFonts w:ascii="Times New Roman" w:eastAsia="仿宋"/>
                <w:szCs w:val="24"/>
              </w:rPr>
              <w:t>非甲烷总烃</w:t>
            </w:r>
            <w:r>
              <w:rPr>
                <w:rFonts w:hint="eastAsia" w:ascii="Times New Roman" w:eastAsia="仿宋"/>
                <w:szCs w:val="24"/>
              </w:rPr>
              <w:t>、TVOC、</w:t>
            </w:r>
            <w:r>
              <w:rPr>
                <w:rFonts w:ascii="Times New Roman" w:eastAsia="仿宋"/>
                <w:szCs w:val="24"/>
              </w:rPr>
              <w:t>颗粒物</w:t>
            </w:r>
            <w:r>
              <w:rPr>
                <w:rFonts w:hint="eastAsia" w:ascii="Times New Roman" w:eastAsia="仿宋"/>
                <w:szCs w:val="24"/>
              </w:rPr>
              <w:t>、二甲苯和甲苯、苯系物、SO</w:t>
            </w:r>
            <w:r>
              <w:rPr>
                <w:rFonts w:hint="eastAsia" w:ascii="Times New Roman" w:eastAsia="仿宋"/>
                <w:szCs w:val="24"/>
                <w:vertAlign w:val="subscript"/>
              </w:rPr>
              <w:t>2</w:t>
            </w:r>
            <w:r>
              <w:rPr>
                <w:rFonts w:hint="eastAsia" w:ascii="Times New Roman" w:eastAsia="仿宋"/>
                <w:szCs w:val="24"/>
              </w:rPr>
              <w:t>、NO</w:t>
            </w:r>
            <w:r>
              <w:rPr>
                <w:rFonts w:hint="eastAsia" w:ascii="Times New Roman" w:eastAsia="仿宋"/>
                <w:szCs w:val="24"/>
                <w:vertAlign w:val="subscript"/>
              </w:rPr>
              <w:t>X，</w:t>
            </w:r>
            <w:r>
              <w:rPr>
                <w:rFonts w:hint="eastAsia" w:ascii="Times New Roman" w:eastAsia="仿宋"/>
                <w:szCs w:val="24"/>
              </w:rPr>
              <w:t>其中SO</w:t>
            </w:r>
            <w:r>
              <w:rPr>
                <w:rFonts w:hint="eastAsia" w:ascii="Times New Roman" w:eastAsia="仿宋"/>
                <w:szCs w:val="24"/>
                <w:vertAlign w:val="subscript"/>
              </w:rPr>
              <w:t>2</w:t>
            </w:r>
            <w:r>
              <w:rPr>
                <w:rFonts w:hint="eastAsia" w:ascii="Times New Roman" w:eastAsia="仿宋"/>
                <w:szCs w:val="24"/>
              </w:rPr>
              <w:t>、NO</w:t>
            </w:r>
            <w:r>
              <w:rPr>
                <w:rFonts w:hint="eastAsia" w:ascii="Times New Roman" w:eastAsia="仿宋"/>
                <w:szCs w:val="24"/>
                <w:vertAlign w:val="subscript"/>
              </w:rPr>
              <w:t>X</w:t>
            </w:r>
            <w:r>
              <w:rPr>
                <w:rFonts w:hint="eastAsia" w:ascii="Times New Roman" w:eastAsia="仿宋"/>
                <w:szCs w:val="24"/>
              </w:rPr>
              <w:t>在进入催化燃烧装置之前进行采样</w:t>
            </w:r>
          </w:p>
        </w:tc>
        <w:tc>
          <w:tcPr>
            <w:tcW w:w="950" w:type="pct"/>
            <w:vAlign w:val="center"/>
          </w:tcPr>
          <w:p w14:paraId="5842D8A7">
            <w:pPr>
              <w:jc w:val="center"/>
              <w:rPr>
                <w:rFonts w:ascii="Times New Roman" w:eastAsia="仿宋"/>
                <w:szCs w:val="24"/>
              </w:rPr>
            </w:pPr>
            <w:r>
              <w:rPr>
                <w:rFonts w:hint="eastAsia" w:ascii="Times New Roman" w:eastAsia="仿宋"/>
                <w:szCs w:val="24"/>
              </w:rPr>
              <w:t>每半年监测一次</w:t>
            </w:r>
          </w:p>
        </w:tc>
        <w:tc>
          <w:tcPr>
            <w:tcW w:w="603" w:type="pct"/>
            <w:vMerge w:val="continue"/>
            <w:vAlign w:val="center"/>
          </w:tcPr>
          <w:p w14:paraId="7AAE902F">
            <w:pPr>
              <w:tabs>
                <w:tab w:val="left" w:pos="6840"/>
              </w:tabs>
              <w:adjustRightInd w:val="0"/>
              <w:snapToGrid w:val="0"/>
              <w:jc w:val="center"/>
              <w:rPr>
                <w:rFonts w:ascii="Times New Roman" w:eastAsia="仿宋"/>
                <w:szCs w:val="24"/>
              </w:rPr>
            </w:pPr>
          </w:p>
        </w:tc>
      </w:tr>
      <w:tr w14:paraId="69B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21" w:type="pct"/>
            <w:vMerge w:val="continue"/>
            <w:vAlign w:val="center"/>
          </w:tcPr>
          <w:p w14:paraId="3577CA27">
            <w:pPr>
              <w:tabs>
                <w:tab w:val="left" w:pos="6840"/>
              </w:tabs>
              <w:adjustRightInd w:val="0"/>
              <w:snapToGrid w:val="0"/>
              <w:jc w:val="center"/>
              <w:rPr>
                <w:rFonts w:ascii="Times New Roman" w:eastAsia="仿宋"/>
                <w:szCs w:val="24"/>
              </w:rPr>
            </w:pPr>
          </w:p>
        </w:tc>
        <w:tc>
          <w:tcPr>
            <w:tcW w:w="850" w:type="pct"/>
            <w:vAlign w:val="center"/>
          </w:tcPr>
          <w:p w14:paraId="2B7BC738">
            <w:pPr>
              <w:adjustRightInd w:val="0"/>
              <w:snapToGrid w:val="0"/>
              <w:jc w:val="center"/>
              <w:rPr>
                <w:rFonts w:ascii="Times New Roman" w:eastAsia="仿宋"/>
                <w:szCs w:val="24"/>
              </w:rPr>
            </w:pPr>
            <w:r>
              <w:rPr>
                <w:rFonts w:hint="eastAsia" w:ascii="Times New Roman" w:eastAsia="仿宋"/>
                <w:szCs w:val="24"/>
              </w:rPr>
              <w:t>3</w:t>
            </w:r>
            <w:r>
              <w:rPr>
                <w:rFonts w:ascii="Times New Roman" w:eastAsia="仿宋"/>
                <w:szCs w:val="24"/>
              </w:rPr>
              <w:t>#</w:t>
            </w:r>
            <w:r>
              <w:rPr>
                <w:rFonts w:hint="eastAsia" w:ascii="Times New Roman" w:eastAsia="仿宋"/>
                <w:szCs w:val="24"/>
              </w:rPr>
              <w:t>排气筒</w:t>
            </w:r>
          </w:p>
        </w:tc>
        <w:tc>
          <w:tcPr>
            <w:tcW w:w="2075" w:type="pct"/>
            <w:vAlign w:val="center"/>
          </w:tcPr>
          <w:p w14:paraId="587D5177">
            <w:pPr>
              <w:spacing w:line="240" w:lineRule="exact"/>
              <w:jc w:val="center"/>
              <w:rPr>
                <w:rFonts w:ascii="Times New Roman" w:eastAsia="仿宋"/>
                <w:szCs w:val="24"/>
              </w:rPr>
            </w:pPr>
            <w:r>
              <w:rPr>
                <w:rFonts w:ascii="Times New Roman" w:eastAsia="仿宋"/>
                <w:szCs w:val="24"/>
              </w:rPr>
              <w:t>非甲烷总烃</w:t>
            </w:r>
            <w:r>
              <w:rPr>
                <w:rFonts w:hint="eastAsia" w:ascii="Times New Roman" w:eastAsia="仿宋"/>
                <w:szCs w:val="24"/>
              </w:rPr>
              <w:t>、TVOC、</w:t>
            </w:r>
            <w:r>
              <w:rPr>
                <w:rFonts w:ascii="Times New Roman" w:eastAsia="仿宋"/>
                <w:szCs w:val="24"/>
              </w:rPr>
              <w:t>颗粒物</w:t>
            </w:r>
            <w:r>
              <w:rPr>
                <w:rFonts w:hint="eastAsia" w:ascii="Times New Roman" w:eastAsia="仿宋"/>
                <w:szCs w:val="24"/>
              </w:rPr>
              <w:t>、二甲苯、苯系物、</w:t>
            </w:r>
          </w:p>
        </w:tc>
        <w:tc>
          <w:tcPr>
            <w:tcW w:w="950" w:type="pct"/>
            <w:vAlign w:val="center"/>
          </w:tcPr>
          <w:p w14:paraId="5D266C32">
            <w:pPr>
              <w:jc w:val="center"/>
              <w:rPr>
                <w:rFonts w:ascii="Times New Roman" w:eastAsia="仿宋"/>
                <w:szCs w:val="24"/>
              </w:rPr>
            </w:pPr>
            <w:r>
              <w:rPr>
                <w:rFonts w:hint="eastAsia" w:ascii="Times New Roman" w:eastAsia="仿宋"/>
                <w:szCs w:val="24"/>
              </w:rPr>
              <w:t>每半年监测一次</w:t>
            </w:r>
          </w:p>
        </w:tc>
        <w:tc>
          <w:tcPr>
            <w:tcW w:w="603" w:type="pct"/>
            <w:vMerge w:val="continue"/>
            <w:vAlign w:val="center"/>
          </w:tcPr>
          <w:p w14:paraId="2EEEC844">
            <w:pPr>
              <w:tabs>
                <w:tab w:val="left" w:pos="6840"/>
              </w:tabs>
              <w:adjustRightInd w:val="0"/>
              <w:snapToGrid w:val="0"/>
              <w:jc w:val="center"/>
              <w:rPr>
                <w:rFonts w:ascii="Times New Roman" w:eastAsia="仿宋"/>
                <w:szCs w:val="24"/>
              </w:rPr>
            </w:pPr>
          </w:p>
        </w:tc>
      </w:tr>
      <w:tr w14:paraId="756A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21" w:type="pct"/>
            <w:vMerge w:val="continue"/>
            <w:vAlign w:val="center"/>
          </w:tcPr>
          <w:p w14:paraId="1C7E0EAE">
            <w:pPr>
              <w:tabs>
                <w:tab w:val="left" w:pos="6840"/>
              </w:tabs>
              <w:adjustRightInd w:val="0"/>
              <w:snapToGrid w:val="0"/>
              <w:jc w:val="center"/>
              <w:rPr>
                <w:rFonts w:ascii="Times New Roman" w:eastAsia="仿宋"/>
                <w:szCs w:val="24"/>
              </w:rPr>
            </w:pPr>
          </w:p>
        </w:tc>
        <w:tc>
          <w:tcPr>
            <w:tcW w:w="850" w:type="pct"/>
            <w:vAlign w:val="center"/>
          </w:tcPr>
          <w:p w14:paraId="3BC962B8">
            <w:pPr>
              <w:adjustRightInd w:val="0"/>
              <w:snapToGrid w:val="0"/>
              <w:jc w:val="center"/>
              <w:rPr>
                <w:rFonts w:ascii="Times New Roman" w:eastAsia="仿宋"/>
                <w:szCs w:val="24"/>
              </w:rPr>
            </w:pPr>
            <w:r>
              <w:rPr>
                <w:rFonts w:hint="eastAsia" w:ascii="Times New Roman" w:eastAsia="仿宋"/>
                <w:szCs w:val="24"/>
              </w:rPr>
              <w:t>4</w:t>
            </w:r>
            <w:r>
              <w:rPr>
                <w:rFonts w:ascii="Times New Roman" w:eastAsia="仿宋"/>
                <w:szCs w:val="24"/>
              </w:rPr>
              <w:t>#</w:t>
            </w:r>
            <w:r>
              <w:rPr>
                <w:rFonts w:hint="eastAsia" w:ascii="Times New Roman" w:eastAsia="仿宋"/>
                <w:szCs w:val="24"/>
              </w:rPr>
              <w:t>排气筒</w:t>
            </w:r>
          </w:p>
        </w:tc>
        <w:tc>
          <w:tcPr>
            <w:tcW w:w="2075" w:type="pct"/>
            <w:vAlign w:val="center"/>
          </w:tcPr>
          <w:p w14:paraId="0C937DF7">
            <w:pPr>
              <w:spacing w:line="240" w:lineRule="exact"/>
              <w:jc w:val="center"/>
              <w:rPr>
                <w:rFonts w:ascii="Times New Roman" w:eastAsia="仿宋"/>
                <w:szCs w:val="24"/>
              </w:rPr>
            </w:pPr>
            <w:r>
              <w:rPr>
                <w:rFonts w:ascii="Times New Roman" w:eastAsia="仿宋"/>
                <w:szCs w:val="24"/>
              </w:rPr>
              <w:t>非甲烷总烃</w:t>
            </w:r>
            <w:r>
              <w:rPr>
                <w:rFonts w:hint="eastAsia" w:ascii="Times New Roman" w:eastAsia="仿宋"/>
                <w:szCs w:val="24"/>
              </w:rPr>
              <w:t>、TVOC、</w:t>
            </w:r>
            <w:r>
              <w:rPr>
                <w:rFonts w:ascii="Times New Roman" w:eastAsia="仿宋"/>
                <w:szCs w:val="24"/>
              </w:rPr>
              <w:t>颗粒物</w:t>
            </w:r>
            <w:r>
              <w:rPr>
                <w:rFonts w:hint="eastAsia" w:ascii="Times New Roman" w:eastAsia="仿宋"/>
                <w:szCs w:val="24"/>
              </w:rPr>
              <w:t>、二甲苯和甲苯、苯系物、SO</w:t>
            </w:r>
            <w:r>
              <w:rPr>
                <w:rFonts w:hint="eastAsia" w:ascii="Times New Roman" w:eastAsia="仿宋"/>
                <w:szCs w:val="24"/>
                <w:vertAlign w:val="subscript"/>
              </w:rPr>
              <w:t>2</w:t>
            </w:r>
            <w:r>
              <w:rPr>
                <w:rFonts w:hint="eastAsia" w:ascii="Times New Roman" w:eastAsia="仿宋"/>
                <w:szCs w:val="24"/>
              </w:rPr>
              <w:t>、NO</w:t>
            </w:r>
            <w:r>
              <w:rPr>
                <w:rFonts w:hint="eastAsia" w:ascii="Times New Roman" w:eastAsia="仿宋"/>
                <w:szCs w:val="24"/>
                <w:vertAlign w:val="subscript"/>
              </w:rPr>
              <w:t>X，</w:t>
            </w:r>
            <w:r>
              <w:rPr>
                <w:rFonts w:hint="eastAsia" w:ascii="Times New Roman" w:eastAsia="仿宋"/>
                <w:szCs w:val="24"/>
              </w:rPr>
              <w:t>其中SO</w:t>
            </w:r>
            <w:r>
              <w:rPr>
                <w:rFonts w:hint="eastAsia" w:ascii="Times New Roman" w:eastAsia="仿宋"/>
                <w:szCs w:val="24"/>
                <w:vertAlign w:val="subscript"/>
              </w:rPr>
              <w:t>2</w:t>
            </w:r>
            <w:r>
              <w:rPr>
                <w:rFonts w:hint="eastAsia" w:ascii="Times New Roman" w:eastAsia="仿宋"/>
                <w:szCs w:val="24"/>
              </w:rPr>
              <w:t>、NO</w:t>
            </w:r>
            <w:r>
              <w:rPr>
                <w:rFonts w:hint="eastAsia" w:ascii="Times New Roman" w:eastAsia="仿宋"/>
                <w:szCs w:val="24"/>
                <w:vertAlign w:val="subscript"/>
              </w:rPr>
              <w:t>X</w:t>
            </w:r>
            <w:r>
              <w:rPr>
                <w:rFonts w:hint="eastAsia" w:ascii="Times New Roman" w:eastAsia="仿宋"/>
                <w:szCs w:val="24"/>
              </w:rPr>
              <w:t>在进入催化燃烧装置之前进行采样</w:t>
            </w:r>
          </w:p>
        </w:tc>
        <w:tc>
          <w:tcPr>
            <w:tcW w:w="950" w:type="pct"/>
            <w:vAlign w:val="center"/>
          </w:tcPr>
          <w:p w14:paraId="600030E8">
            <w:pPr>
              <w:jc w:val="center"/>
              <w:rPr>
                <w:rFonts w:ascii="Times New Roman" w:eastAsia="仿宋"/>
                <w:szCs w:val="24"/>
              </w:rPr>
            </w:pPr>
            <w:r>
              <w:rPr>
                <w:rFonts w:hint="eastAsia" w:ascii="Times New Roman" w:eastAsia="仿宋"/>
                <w:szCs w:val="24"/>
              </w:rPr>
              <w:t>每半年监测一次</w:t>
            </w:r>
          </w:p>
        </w:tc>
        <w:tc>
          <w:tcPr>
            <w:tcW w:w="603" w:type="pct"/>
            <w:vMerge w:val="continue"/>
            <w:vAlign w:val="center"/>
          </w:tcPr>
          <w:p w14:paraId="2E3816DA">
            <w:pPr>
              <w:tabs>
                <w:tab w:val="left" w:pos="6840"/>
              </w:tabs>
              <w:adjustRightInd w:val="0"/>
              <w:snapToGrid w:val="0"/>
              <w:jc w:val="center"/>
              <w:rPr>
                <w:rFonts w:ascii="Times New Roman" w:eastAsia="仿宋"/>
                <w:szCs w:val="24"/>
              </w:rPr>
            </w:pPr>
          </w:p>
        </w:tc>
      </w:tr>
      <w:tr w14:paraId="7853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21" w:type="pct"/>
            <w:vMerge w:val="continue"/>
            <w:vAlign w:val="center"/>
          </w:tcPr>
          <w:p w14:paraId="7028FBF1">
            <w:pPr>
              <w:tabs>
                <w:tab w:val="left" w:pos="6840"/>
              </w:tabs>
              <w:adjustRightInd w:val="0"/>
              <w:snapToGrid w:val="0"/>
              <w:jc w:val="center"/>
              <w:rPr>
                <w:rFonts w:ascii="Times New Roman" w:eastAsia="仿宋"/>
                <w:szCs w:val="24"/>
              </w:rPr>
            </w:pPr>
          </w:p>
        </w:tc>
        <w:tc>
          <w:tcPr>
            <w:tcW w:w="850" w:type="pct"/>
            <w:vAlign w:val="center"/>
          </w:tcPr>
          <w:p w14:paraId="6DD2C57E">
            <w:pPr>
              <w:adjustRightInd w:val="0"/>
              <w:snapToGrid w:val="0"/>
              <w:jc w:val="center"/>
              <w:rPr>
                <w:rFonts w:ascii="Times New Roman" w:eastAsia="仿宋"/>
                <w:szCs w:val="24"/>
              </w:rPr>
            </w:pPr>
            <w:r>
              <w:rPr>
                <w:rFonts w:hint="eastAsia" w:ascii="Times New Roman" w:eastAsia="仿宋"/>
                <w:szCs w:val="24"/>
              </w:rPr>
              <w:t>5</w:t>
            </w:r>
            <w:r>
              <w:rPr>
                <w:rFonts w:ascii="Times New Roman" w:eastAsia="仿宋"/>
                <w:szCs w:val="24"/>
              </w:rPr>
              <w:t>#</w:t>
            </w:r>
            <w:r>
              <w:rPr>
                <w:rFonts w:hint="eastAsia" w:ascii="Times New Roman" w:eastAsia="仿宋"/>
                <w:szCs w:val="24"/>
              </w:rPr>
              <w:t>排气筒</w:t>
            </w:r>
          </w:p>
        </w:tc>
        <w:tc>
          <w:tcPr>
            <w:tcW w:w="2075" w:type="pct"/>
            <w:vAlign w:val="center"/>
          </w:tcPr>
          <w:p w14:paraId="3DF3192C">
            <w:pPr>
              <w:spacing w:line="240" w:lineRule="exact"/>
              <w:jc w:val="center"/>
              <w:rPr>
                <w:rFonts w:ascii="Times New Roman" w:eastAsia="仿宋"/>
                <w:szCs w:val="24"/>
              </w:rPr>
            </w:pPr>
            <w:r>
              <w:rPr>
                <w:rFonts w:hint="eastAsia" w:ascii="Times New Roman" w:eastAsia="仿宋"/>
                <w:szCs w:val="24"/>
              </w:rPr>
              <w:t>颗粒物</w:t>
            </w:r>
          </w:p>
        </w:tc>
        <w:tc>
          <w:tcPr>
            <w:tcW w:w="950" w:type="pct"/>
            <w:vAlign w:val="center"/>
          </w:tcPr>
          <w:p w14:paraId="76903A03">
            <w:pPr>
              <w:jc w:val="center"/>
              <w:rPr>
                <w:rFonts w:ascii="Times New Roman" w:eastAsia="仿宋"/>
                <w:szCs w:val="24"/>
              </w:rPr>
            </w:pPr>
            <w:r>
              <w:rPr>
                <w:rFonts w:hint="eastAsia" w:ascii="Times New Roman" w:eastAsia="仿宋"/>
                <w:szCs w:val="24"/>
              </w:rPr>
              <w:t>每半年监测一次</w:t>
            </w:r>
          </w:p>
        </w:tc>
        <w:tc>
          <w:tcPr>
            <w:tcW w:w="603" w:type="pct"/>
            <w:vMerge w:val="continue"/>
            <w:vAlign w:val="center"/>
          </w:tcPr>
          <w:p w14:paraId="5AA2D29F">
            <w:pPr>
              <w:tabs>
                <w:tab w:val="left" w:pos="6840"/>
              </w:tabs>
              <w:adjustRightInd w:val="0"/>
              <w:snapToGrid w:val="0"/>
              <w:jc w:val="center"/>
              <w:rPr>
                <w:rFonts w:ascii="Times New Roman" w:eastAsia="仿宋"/>
                <w:szCs w:val="24"/>
              </w:rPr>
            </w:pPr>
          </w:p>
        </w:tc>
      </w:tr>
      <w:tr w14:paraId="65F5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37C1A6CF">
            <w:pPr>
              <w:tabs>
                <w:tab w:val="left" w:pos="6840"/>
              </w:tabs>
              <w:adjustRightInd w:val="0"/>
              <w:snapToGrid w:val="0"/>
              <w:jc w:val="center"/>
              <w:rPr>
                <w:rFonts w:ascii="Times New Roman" w:eastAsia="仿宋"/>
                <w:szCs w:val="24"/>
              </w:rPr>
            </w:pPr>
            <w:r>
              <w:rPr>
                <w:rFonts w:ascii="Times New Roman" w:eastAsia="仿宋"/>
                <w:szCs w:val="24"/>
              </w:rPr>
              <w:t>噪声</w:t>
            </w:r>
          </w:p>
        </w:tc>
        <w:tc>
          <w:tcPr>
            <w:tcW w:w="850" w:type="pct"/>
            <w:vAlign w:val="center"/>
          </w:tcPr>
          <w:p w14:paraId="514F3844">
            <w:pPr>
              <w:tabs>
                <w:tab w:val="left" w:pos="6840"/>
              </w:tabs>
              <w:adjustRightInd w:val="0"/>
              <w:snapToGrid w:val="0"/>
              <w:jc w:val="center"/>
              <w:rPr>
                <w:rFonts w:ascii="Times New Roman" w:eastAsia="仿宋"/>
                <w:szCs w:val="24"/>
              </w:rPr>
            </w:pPr>
            <w:r>
              <w:rPr>
                <w:rFonts w:ascii="Times New Roman" w:eastAsia="仿宋"/>
                <w:szCs w:val="24"/>
              </w:rPr>
              <w:t>厂界</w:t>
            </w:r>
          </w:p>
        </w:tc>
        <w:tc>
          <w:tcPr>
            <w:tcW w:w="2075" w:type="pct"/>
            <w:vAlign w:val="center"/>
          </w:tcPr>
          <w:p w14:paraId="5031F948">
            <w:pPr>
              <w:tabs>
                <w:tab w:val="left" w:pos="6840"/>
              </w:tabs>
              <w:adjustRightInd w:val="0"/>
              <w:snapToGrid w:val="0"/>
              <w:jc w:val="center"/>
              <w:rPr>
                <w:rFonts w:ascii="Times New Roman" w:eastAsia="仿宋"/>
                <w:szCs w:val="24"/>
              </w:rPr>
            </w:pPr>
            <w:r>
              <w:rPr>
                <w:rFonts w:ascii="Times New Roman" w:eastAsia="仿宋"/>
                <w:szCs w:val="24"/>
              </w:rPr>
              <w:t>连续等效A声级</w:t>
            </w:r>
          </w:p>
        </w:tc>
        <w:tc>
          <w:tcPr>
            <w:tcW w:w="950" w:type="pct"/>
            <w:vAlign w:val="center"/>
          </w:tcPr>
          <w:p w14:paraId="4D96C77D">
            <w:pPr>
              <w:adjustRightInd w:val="0"/>
              <w:snapToGrid w:val="0"/>
              <w:jc w:val="center"/>
              <w:rPr>
                <w:rFonts w:ascii="Times New Roman" w:eastAsia="仿宋"/>
                <w:szCs w:val="24"/>
              </w:rPr>
            </w:pPr>
            <w:r>
              <w:rPr>
                <w:rFonts w:ascii="Times New Roman" w:eastAsia="仿宋"/>
                <w:szCs w:val="24"/>
              </w:rPr>
              <w:t>每季度监测一次</w:t>
            </w:r>
          </w:p>
        </w:tc>
        <w:tc>
          <w:tcPr>
            <w:tcW w:w="603" w:type="pct"/>
            <w:vMerge w:val="continue"/>
            <w:vAlign w:val="center"/>
          </w:tcPr>
          <w:p w14:paraId="1D942F70">
            <w:pPr>
              <w:tabs>
                <w:tab w:val="left" w:pos="6840"/>
              </w:tabs>
              <w:adjustRightInd w:val="0"/>
              <w:snapToGrid w:val="0"/>
              <w:jc w:val="center"/>
              <w:rPr>
                <w:rFonts w:ascii="Times New Roman" w:eastAsia="仿宋"/>
                <w:szCs w:val="24"/>
              </w:rPr>
            </w:pPr>
          </w:p>
        </w:tc>
      </w:tr>
    </w:tbl>
    <w:p w14:paraId="0A6C01BB">
      <w:pPr>
        <w:rPr>
          <w:szCs w:val="28"/>
        </w:rPr>
      </w:pPr>
      <w:r>
        <w:rPr>
          <w:rFonts w:ascii="Times New Roman" w:eastAsia="仿宋"/>
          <w:szCs w:val="21"/>
        </w:rPr>
        <w:t>注：</w:t>
      </w:r>
      <w:r>
        <w:rPr>
          <w:rFonts w:hint="eastAsia" w:ascii="Times New Roman" w:eastAsia="仿宋"/>
          <w:szCs w:val="21"/>
        </w:rPr>
        <w:t>①</w:t>
      </w:r>
      <w:r>
        <w:rPr>
          <w:rFonts w:ascii="Times New Roman" w:eastAsia="仿宋"/>
          <w:szCs w:val="21"/>
        </w:rPr>
        <w:t>雨水排放口有流动水排放时按日监测。若监测一年无异常情况，可放宽至每季度开展一次监测；</w:t>
      </w:r>
      <w:r>
        <w:rPr>
          <w:rFonts w:hint="eastAsia" w:ascii="Times New Roman" w:eastAsia="仿宋"/>
          <w:szCs w:val="21"/>
          <w:lang w:eastAsia="ja-JP"/>
        </w:rPr>
        <w:t>②</w:t>
      </w:r>
      <w:r>
        <w:rPr>
          <w:rFonts w:ascii="Times New Roman" w:eastAsia="仿宋"/>
          <w:szCs w:val="21"/>
        </w:rPr>
        <w:t>上表监测频次作为参考，待申领排污许可证后，优先执行排污许可技术规范监测频次。</w:t>
      </w:r>
    </w:p>
    <w:p w14:paraId="4C5CCD9E">
      <w:pPr>
        <w:tabs>
          <w:tab w:val="left" w:pos="405"/>
        </w:tabs>
        <w:rPr>
          <w:rFonts w:ascii="Times New Roman" w:eastAsia="仿宋"/>
          <w:b/>
        </w:rPr>
      </w:pPr>
    </w:p>
    <w:p w14:paraId="4F04D8DC">
      <w:pPr>
        <w:tabs>
          <w:tab w:val="left" w:pos="405"/>
        </w:tabs>
        <w:rPr>
          <w:rFonts w:ascii="Times New Roman" w:eastAsia="仿宋"/>
        </w:rPr>
        <w:sectPr>
          <w:pgSz w:w="11907" w:h="16839"/>
          <w:pgMar w:top="1843" w:right="1616" w:bottom="1440" w:left="1678" w:header="1191" w:footer="992" w:gutter="0"/>
          <w:cols w:space="720" w:num="1"/>
          <w:docGrid w:linePitch="312" w:charSpace="0"/>
        </w:sectPr>
      </w:pPr>
      <w:r>
        <w:rPr>
          <w:rFonts w:ascii="Times New Roman" w:eastAsia="仿宋"/>
        </w:rPr>
        <w:tab/>
      </w:r>
    </w:p>
    <w:bookmarkEnd w:id="513"/>
    <w:p w14:paraId="2101BC24">
      <w:pPr>
        <w:pStyle w:val="5"/>
        <w:numPr>
          <w:ilvl w:val="0"/>
          <w:numId w:val="0"/>
        </w:numPr>
        <w:rPr>
          <w:rFonts w:eastAsia="仿宋"/>
          <w:color w:val="auto"/>
        </w:rPr>
      </w:pPr>
      <w:bookmarkStart w:id="514" w:name="_Toc48320305"/>
      <w:bookmarkStart w:id="515" w:name="_Toc109663195"/>
      <w:bookmarkStart w:id="516" w:name="_Toc182553839"/>
      <w:r>
        <w:rPr>
          <w:rFonts w:hint="eastAsia" w:eastAsia="仿宋"/>
          <w:color w:val="auto"/>
        </w:rPr>
        <w:t>8.4</w:t>
      </w:r>
      <w:r>
        <w:rPr>
          <w:rFonts w:eastAsia="仿宋"/>
          <w:color w:val="auto"/>
        </w:rPr>
        <w:t>信息公开</w:t>
      </w:r>
      <w:bookmarkEnd w:id="514"/>
      <w:bookmarkEnd w:id="515"/>
      <w:bookmarkEnd w:id="516"/>
    </w:p>
    <w:p w14:paraId="203B5DD5">
      <w:pPr>
        <w:tabs>
          <w:tab w:val="left" w:pos="6840"/>
        </w:tabs>
        <w:spacing w:line="500" w:lineRule="exact"/>
        <w:ind w:firstLine="560" w:firstLineChars="200"/>
        <w:rPr>
          <w:rFonts w:ascii="Times New Roman" w:eastAsia="仿宋"/>
          <w:bCs/>
          <w:sz w:val="28"/>
        </w:rPr>
      </w:pPr>
      <w:r>
        <w:rPr>
          <w:rFonts w:ascii="Times New Roman" w:eastAsia="仿宋"/>
          <w:bCs/>
          <w:sz w:val="28"/>
        </w:rPr>
        <w:t>对照《企业事业单位环境信息公开办法》的要求，企业应当按照强制公开和自愿公开相结合的原则，及时、如实地公开其环境信息：</w:t>
      </w:r>
    </w:p>
    <w:p w14:paraId="0E31EE48">
      <w:pPr>
        <w:tabs>
          <w:tab w:val="left" w:pos="6840"/>
        </w:tabs>
        <w:spacing w:line="500" w:lineRule="exact"/>
        <w:ind w:firstLine="560" w:firstLineChars="200"/>
        <w:rPr>
          <w:rFonts w:ascii="Times New Roman" w:eastAsia="仿宋"/>
          <w:bCs/>
          <w:sz w:val="28"/>
        </w:rPr>
      </w:pPr>
      <w:r>
        <w:rPr>
          <w:rFonts w:ascii="Times New Roman" w:eastAsia="仿宋"/>
          <w:bCs/>
          <w:sz w:val="28"/>
        </w:rPr>
        <w:t>1、基础信息：包括单位名称、组织机构代码、法定代表人、生产地址、联系方式，以及生产经营和管理服务的主要内容、产品及规模；</w:t>
      </w:r>
    </w:p>
    <w:p w14:paraId="0C1694C0">
      <w:pPr>
        <w:tabs>
          <w:tab w:val="left" w:pos="6840"/>
        </w:tabs>
        <w:spacing w:line="500" w:lineRule="exact"/>
        <w:ind w:firstLine="560" w:firstLineChars="200"/>
        <w:rPr>
          <w:rFonts w:ascii="Times New Roman" w:eastAsia="仿宋"/>
          <w:bCs/>
          <w:sz w:val="28"/>
        </w:rPr>
      </w:pPr>
      <w:r>
        <w:rPr>
          <w:rFonts w:ascii="Times New Roman" w:eastAsia="仿宋"/>
          <w:bCs/>
          <w:sz w:val="28"/>
        </w:rPr>
        <w:t>2、排污信息：包括主要污染物及特征污染物的名称、排放方式、排放口数量和分布情况、排放浓度和总量、超标情况，以及执行的污染物排放标准、核定的排放总量；</w:t>
      </w:r>
    </w:p>
    <w:p w14:paraId="370778D9">
      <w:pPr>
        <w:tabs>
          <w:tab w:val="left" w:pos="6840"/>
        </w:tabs>
        <w:spacing w:line="500" w:lineRule="exact"/>
        <w:ind w:firstLine="560" w:firstLineChars="200"/>
        <w:rPr>
          <w:rFonts w:ascii="Times New Roman" w:eastAsia="仿宋"/>
          <w:bCs/>
          <w:sz w:val="28"/>
        </w:rPr>
      </w:pPr>
      <w:r>
        <w:rPr>
          <w:rFonts w:ascii="Times New Roman" w:eastAsia="仿宋"/>
          <w:bCs/>
          <w:sz w:val="28"/>
        </w:rPr>
        <w:t>3、防治污染设施的建设和运行情况；</w:t>
      </w:r>
    </w:p>
    <w:p w14:paraId="21960FDD">
      <w:pPr>
        <w:tabs>
          <w:tab w:val="left" w:pos="6840"/>
        </w:tabs>
        <w:spacing w:line="500" w:lineRule="exact"/>
        <w:ind w:firstLine="560" w:firstLineChars="200"/>
        <w:rPr>
          <w:rFonts w:ascii="Times New Roman" w:eastAsia="仿宋"/>
          <w:bCs/>
          <w:sz w:val="28"/>
        </w:rPr>
      </w:pPr>
      <w:r>
        <w:rPr>
          <w:rFonts w:ascii="Times New Roman" w:eastAsia="仿宋"/>
          <w:bCs/>
          <w:sz w:val="28"/>
        </w:rPr>
        <w:t>4、建设项目环境影响评价及其他环境保护行政许可情况；</w:t>
      </w:r>
    </w:p>
    <w:p w14:paraId="72EFBA44">
      <w:pPr>
        <w:tabs>
          <w:tab w:val="left" w:pos="6840"/>
        </w:tabs>
        <w:spacing w:line="500" w:lineRule="exact"/>
        <w:ind w:firstLine="560" w:firstLineChars="200"/>
        <w:rPr>
          <w:rFonts w:ascii="Times New Roman" w:eastAsia="仿宋"/>
          <w:bCs/>
          <w:sz w:val="28"/>
        </w:rPr>
      </w:pPr>
      <w:r>
        <w:rPr>
          <w:rFonts w:ascii="Times New Roman" w:eastAsia="仿宋"/>
          <w:bCs/>
          <w:sz w:val="28"/>
        </w:rPr>
        <w:t>5、突发环境事件应急预案；</w:t>
      </w:r>
    </w:p>
    <w:p w14:paraId="2A416D68">
      <w:pPr>
        <w:tabs>
          <w:tab w:val="left" w:pos="6840"/>
        </w:tabs>
        <w:spacing w:line="500" w:lineRule="exact"/>
        <w:ind w:firstLine="560" w:firstLineChars="200"/>
        <w:rPr>
          <w:rFonts w:ascii="Times New Roman" w:eastAsia="仿宋"/>
          <w:bCs/>
          <w:sz w:val="28"/>
        </w:rPr>
      </w:pPr>
      <w:r>
        <w:rPr>
          <w:rFonts w:ascii="Times New Roman" w:eastAsia="仿宋"/>
          <w:bCs/>
          <w:sz w:val="28"/>
        </w:rPr>
        <w:t>6、其他应当公开的环境信息。</w:t>
      </w:r>
    </w:p>
    <w:p w14:paraId="7A4951C8">
      <w:pPr>
        <w:spacing w:line="500" w:lineRule="exact"/>
        <w:jc w:val="center"/>
        <w:rPr>
          <w:rFonts w:ascii="Times New Roman" w:eastAsia="仿宋"/>
          <w:b/>
        </w:rPr>
      </w:pPr>
      <w:r>
        <w:rPr>
          <w:rFonts w:ascii="Times New Roman" w:eastAsia="仿宋"/>
          <w:b/>
        </w:rPr>
        <w:t>表8.4-1   本项目社会公开信息内容一览表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6176"/>
      </w:tblGrid>
      <w:tr w14:paraId="5717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6" w:type="dxa"/>
            <w:vAlign w:val="center"/>
          </w:tcPr>
          <w:p w14:paraId="76F97382">
            <w:pPr>
              <w:tabs>
                <w:tab w:val="left" w:pos="6840"/>
              </w:tabs>
              <w:adjustRightInd w:val="0"/>
              <w:snapToGrid w:val="0"/>
              <w:jc w:val="center"/>
              <w:rPr>
                <w:rFonts w:ascii="Times New Roman" w:eastAsia="仿宋"/>
                <w:szCs w:val="24"/>
              </w:rPr>
            </w:pPr>
            <w:r>
              <w:rPr>
                <w:rFonts w:ascii="Times New Roman" w:eastAsia="仿宋"/>
                <w:szCs w:val="24"/>
              </w:rPr>
              <w:t>向社会信息公开要求</w:t>
            </w:r>
          </w:p>
        </w:tc>
        <w:tc>
          <w:tcPr>
            <w:tcW w:w="6176" w:type="dxa"/>
            <w:vAlign w:val="center"/>
          </w:tcPr>
          <w:p w14:paraId="05C9E284">
            <w:pPr>
              <w:tabs>
                <w:tab w:val="left" w:pos="6840"/>
              </w:tabs>
              <w:adjustRightInd w:val="0"/>
              <w:snapToGrid w:val="0"/>
              <w:jc w:val="center"/>
              <w:rPr>
                <w:rFonts w:ascii="Times New Roman" w:eastAsia="仿宋"/>
                <w:szCs w:val="24"/>
              </w:rPr>
            </w:pPr>
            <w:r>
              <w:rPr>
                <w:rFonts w:ascii="Times New Roman" w:eastAsia="仿宋"/>
                <w:szCs w:val="24"/>
              </w:rPr>
              <w:t>信息公开内容</w:t>
            </w:r>
          </w:p>
        </w:tc>
      </w:tr>
      <w:tr w14:paraId="5814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6" w:type="dxa"/>
            <w:vAlign w:val="center"/>
          </w:tcPr>
          <w:p w14:paraId="003F8F90">
            <w:pPr>
              <w:spacing w:line="320" w:lineRule="exact"/>
              <w:jc w:val="center"/>
              <w:rPr>
                <w:rFonts w:ascii="Times New Roman" w:eastAsia="仿宋"/>
                <w:b/>
                <w:szCs w:val="21"/>
              </w:rPr>
            </w:pPr>
            <w:r>
              <w:rPr>
                <w:rFonts w:ascii="Times New Roman" w:eastAsia="仿宋"/>
                <w:szCs w:val="21"/>
              </w:rPr>
              <w:t>根据《环境信息公开办法(试行)》要求向社会公开相关企业信息</w:t>
            </w:r>
          </w:p>
        </w:tc>
        <w:tc>
          <w:tcPr>
            <w:tcW w:w="6176" w:type="dxa"/>
          </w:tcPr>
          <w:p w14:paraId="634F51ED">
            <w:pPr>
              <w:widowControl/>
              <w:spacing w:line="320" w:lineRule="exact"/>
              <w:rPr>
                <w:rFonts w:ascii="Times New Roman" w:eastAsia="仿宋"/>
                <w:bCs/>
                <w:szCs w:val="21"/>
              </w:rPr>
            </w:pPr>
            <w:r>
              <w:rPr>
                <w:rFonts w:ascii="Times New Roman" w:eastAsia="仿宋"/>
                <w:bCs/>
                <w:szCs w:val="21"/>
              </w:rPr>
              <w:t>1、项目名称：</w:t>
            </w:r>
            <w:r>
              <w:rPr>
                <w:rFonts w:hint="eastAsia" w:ascii="Times New Roman" w:eastAsia="仿宋"/>
                <w:bCs/>
                <w:szCs w:val="21"/>
              </w:rPr>
              <w:t>新建年产新能源汽车铝单板8</w:t>
            </w:r>
            <w:r>
              <w:rPr>
                <w:rFonts w:ascii="Times New Roman" w:eastAsia="仿宋"/>
                <w:bCs/>
                <w:szCs w:val="21"/>
              </w:rPr>
              <w:t>0</w:t>
            </w:r>
            <w:r>
              <w:rPr>
                <w:rFonts w:hint="eastAsia" w:ascii="Times New Roman" w:eastAsia="仿宋"/>
                <w:bCs/>
                <w:szCs w:val="21"/>
              </w:rPr>
              <w:t>万平方米</w:t>
            </w:r>
            <w:r>
              <w:rPr>
                <w:rFonts w:ascii="Times New Roman" w:eastAsia="仿宋"/>
                <w:bCs/>
                <w:szCs w:val="21"/>
              </w:rPr>
              <w:t>项目</w:t>
            </w:r>
          </w:p>
          <w:p w14:paraId="196DA2B5">
            <w:pPr>
              <w:widowControl/>
              <w:spacing w:line="320" w:lineRule="exact"/>
              <w:rPr>
                <w:rFonts w:ascii="Times New Roman" w:eastAsia="仿宋"/>
                <w:bCs/>
                <w:spacing w:val="-4"/>
              </w:rPr>
            </w:pPr>
            <w:r>
              <w:rPr>
                <w:rFonts w:hint="eastAsia" w:ascii="Times New Roman" w:eastAsia="仿宋"/>
                <w:bCs/>
                <w:spacing w:val="-4"/>
              </w:rPr>
              <w:t>概</w:t>
            </w:r>
            <w:r>
              <w:rPr>
                <w:rFonts w:hint="eastAsia" w:ascii="Times New Roman" w:eastAsia="仿宋"/>
                <w:bCs/>
                <w:szCs w:val="21"/>
              </w:rPr>
              <w:t>要：</w:t>
            </w:r>
            <w:r>
              <w:rPr>
                <w:rFonts w:ascii="Times New Roman" w:eastAsia="仿宋"/>
                <w:bCs/>
                <w:szCs w:val="21"/>
              </w:rPr>
              <w:t>为满足市场需求和公司壮大需要，江苏新莱亿智能科技有限公司投资30000万元于上述地址，</w:t>
            </w:r>
            <w:r>
              <w:rPr>
                <w:rFonts w:hint="eastAsia" w:ascii="Times New Roman" w:eastAsia="仿宋"/>
                <w:bCs/>
                <w:szCs w:val="21"/>
              </w:rPr>
              <w:t>利用现有厂房16557.02平方米，购置雕刻机、冲床、表面处理线、涂装线等设备，项目建成后可达到年产新能源汽车铝单板80万平方米的生产能力。</w:t>
            </w:r>
          </w:p>
          <w:p w14:paraId="302B24A8">
            <w:pPr>
              <w:widowControl/>
              <w:spacing w:line="320" w:lineRule="exact"/>
              <w:rPr>
                <w:rFonts w:ascii="Times New Roman" w:eastAsia="仿宋"/>
                <w:bCs/>
                <w:szCs w:val="21"/>
              </w:rPr>
            </w:pPr>
            <w:r>
              <w:rPr>
                <w:rFonts w:ascii="Times New Roman" w:eastAsia="仿宋"/>
                <w:bCs/>
                <w:szCs w:val="21"/>
              </w:rPr>
              <w:t>2、本项目工程及环境保护情况</w:t>
            </w:r>
          </w:p>
          <w:p w14:paraId="16BC2C71">
            <w:pPr>
              <w:widowControl/>
              <w:spacing w:line="320" w:lineRule="exact"/>
              <w:rPr>
                <w:rFonts w:ascii="Times New Roman" w:eastAsia="仿宋"/>
                <w:bCs/>
                <w:szCs w:val="21"/>
              </w:rPr>
            </w:pPr>
            <w:r>
              <w:rPr>
                <w:rFonts w:ascii="Times New Roman" w:eastAsia="仿宋"/>
                <w:bCs/>
                <w:szCs w:val="21"/>
              </w:rPr>
              <w:t>（1）废气</w:t>
            </w:r>
          </w:p>
          <w:p w14:paraId="43E8AF1B">
            <w:pPr>
              <w:widowControl/>
              <w:spacing w:line="320" w:lineRule="exact"/>
              <w:rPr>
                <w:rFonts w:ascii="Times New Roman" w:eastAsia="仿宋"/>
                <w:bCs/>
                <w:szCs w:val="21"/>
              </w:rPr>
            </w:pPr>
            <w:r>
              <w:rPr>
                <w:rFonts w:hint="eastAsia" w:ascii="Times New Roman" w:eastAsia="仿宋"/>
                <w:bCs/>
                <w:szCs w:val="21"/>
              </w:rPr>
              <w:t>a</w:t>
            </w:r>
            <w:r>
              <w:rPr>
                <w:rFonts w:ascii="Times New Roman" w:eastAsia="仿宋"/>
                <w:bCs/>
                <w:szCs w:val="21"/>
              </w:rPr>
              <w:t>、</w:t>
            </w:r>
            <w:r>
              <w:rPr>
                <w:rFonts w:hint="eastAsia" w:ascii="Times New Roman" w:eastAsia="仿宋"/>
                <w:bCs/>
                <w:szCs w:val="21"/>
              </w:rPr>
              <w:t>打磨产生的粉尘在密闭的抛丸室内收集后送入1套“湿式除尘装置处理”后，通过</w:t>
            </w:r>
            <w:r>
              <w:rPr>
                <w:rFonts w:ascii="Times New Roman" w:eastAsia="仿宋"/>
                <w:bCs/>
                <w:szCs w:val="21"/>
              </w:rPr>
              <w:t>1根15m高排气筒1#排放</w:t>
            </w:r>
            <w:r>
              <w:rPr>
                <w:rFonts w:hint="eastAsia" w:ascii="Times New Roman" w:eastAsia="仿宋"/>
                <w:bCs/>
                <w:szCs w:val="21"/>
              </w:rPr>
              <w:t>。</w:t>
            </w:r>
          </w:p>
          <w:p w14:paraId="7BB8A5A0">
            <w:pPr>
              <w:widowControl/>
              <w:spacing w:line="320" w:lineRule="exact"/>
              <w:rPr>
                <w:rFonts w:ascii="Times New Roman" w:eastAsia="仿宋"/>
                <w:bCs/>
                <w:szCs w:val="21"/>
              </w:rPr>
            </w:pPr>
            <w:r>
              <w:rPr>
                <w:rFonts w:hint="eastAsia" w:ascii="Times New Roman" w:eastAsia="仿宋"/>
                <w:bCs/>
                <w:szCs w:val="21"/>
              </w:rPr>
              <w:t>b、钝化废气、氟碳底漆喷漆废气、氟碳底漆喷漆漆雾、氟碳底漆流平废气经密闭空间整体换风收集后送入1套“1号水帘式循环过滤系统+水喷淋+干式过滤器+催化燃烧”处理后与天然气燃烧产生的废气合并通过1</w:t>
            </w:r>
            <w:r>
              <w:rPr>
                <w:rFonts w:ascii="Times New Roman" w:eastAsia="仿宋"/>
                <w:bCs/>
                <w:szCs w:val="21"/>
              </w:rPr>
              <w:t>根15m高排气筒</w:t>
            </w:r>
            <w:r>
              <w:rPr>
                <w:rFonts w:hint="eastAsia" w:ascii="Times New Roman" w:eastAsia="仿宋"/>
                <w:bCs/>
                <w:szCs w:val="21"/>
              </w:rPr>
              <w:t>2</w:t>
            </w:r>
            <w:r>
              <w:rPr>
                <w:rFonts w:ascii="Times New Roman" w:eastAsia="仿宋"/>
                <w:bCs/>
                <w:szCs w:val="21"/>
              </w:rPr>
              <w:t>#排放</w:t>
            </w:r>
            <w:r>
              <w:rPr>
                <w:rFonts w:hint="eastAsia" w:ascii="Times New Roman" w:eastAsia="仿宋"/>
                <w:bCs/>
                <w:szCs w:val="21"/>
              </w:rPr>
              <w:t>。</w:t>
            </w:r>
          </w:p>
          <w:p w14:paraId="72774AF1">
            <w:pPr>
              <w:widowControl/>
              <w:spacing w:line="320" w:lineRule="exact"/>
              <w:rPr>
                <w:rFonts w:ascii="Times New Roman" w:eastAsia="仿宋"/>
                <w:bCs/>
                <w:szCs w:val="21"/>
              </w:rPr>
            </w:pPr>
            <w:r>
              <w:rPr>
                <w:rFonts w:hint="eastAsia" w:ascii="Times New Roman" w:eastAsia="仿宋"/>
                <w:bCs/>
                <w:szCs w:val="21"/>
              </w:rPr>
              <w:t>c、氟碳面漆、底漆调漆废气、氟碳面漆喷漆废气、氟碳面漆喷漆漆雾、氟碳面漆流平废气、喷枪清洗废气经密闭空间整体换风收集后通过1套“2号水帘式循环过滤系统+水喷淋+干式过滤器+催化燃烧”后，通过1</w:t>
            </w:r>
            <w:r>
              <w:rPr>
                <w:rFonts w:ascii="Times New Roman" w:eastAsia="仿宋"/>
                <w:bCs/>
                <w:szCs w:val="21"/>
              </w:rPr>
              <w:t>根15m高排气筒</w:t>
            </w:r>
            <w:r>
              <w:rPr>
                <w:rFonts w:hint="eastAsia" w:ascii="Times New Roman" w:eastAsia="仿宋"/>
                <w:bCs/>
                <w:szCs w:val="21"/>
              </w:rPr>
              <w:t>3</w:t>
            </w:r>
            <w:r>
              <w:rPr>
                <w:rFonts w:ascii="Times New Roman" w:eastAsia="仿宋"/>
                <w:bCs/>
                <w:szCs w:val="21"/>
              </w:rPr>
              <w:t>#排放</w:t>
            </w:r>
            <w:r>
              <w:rPr>
                <w:rFonts w:hint="eastAsia" w:ascii="Times New Roman" w:eastAsia="仿宋"/>
                <w:bCs/>
                <w:szCs w:val="21"/>
              </w:rPr>
              <w:t>。</w:t>
            </w:r>
          </w:p>
          <w:p w14:paraId="19369F3E">
            <w:pPr>
              <w:widowControl/>
              <w:spacing w:line="320" w:lineRule="exact"/>
              <w:rPr>
                <w:rFonts w:ascii="Times New Roman" w:eastAsia="仿宋"/>
                <w:bCs/>
                <w:szCs w:val="21"/>
              </w:rPr>
            </w:pPr>
            <w:r>
              <w:rPr>
                <w:rFonts w:hint="eastAsia" w:ascii="Times New Roman" w:eastAsia="仿宋"/>
                <w:bCs/>
                <w:szCs w:val="21"/>
              </w:rPr>
              <w:t>d、固化废气、氟碳面漆烘干废气、氟碳底漆烘干废气经密闭空间整体换风收集后通过1套“</w:t>
            </w:r>
            <w:r>
              <w:rPr>
                <w:rFonts w:ascii="Times New Roman" w:eastAsia="仿宋"/>
                <w:bCs/>
                <w:szCs w:val="21"/>
              </w:rPr>
              <w:t>3</w:t>
            </w:r>
            <w:r>
              <w:rPr>
                <w:rFonts w:hint="eastAsia" w:ascii="Times New Roman" w:eastAsia="仿宋"/>
                <w:bCs/>
                <w:szCs w:val="21"/>
              </w:rPr>
              <w:t>号水帘式循环过滤系统+水喷淋+干式过滤器+催化燃烧”处理后与天然气燃烧产生的废气合并通过1</w:t>
            </w:r>
            <w:r>
              <w:rPr>
                <w:rFonts w:ascii="Times New Roman" w:eastAsia="仿宋"/>
                <w:bCs/>
                <w:szCs w:val="21"/>
              </w:rPr>
              <w:t>根15m高排气筒4#排放</w:t>
            </w:r>
            <w:r>
              <w:rPr>
                <w:rFonts w:hint="eastAsia" w:ascii="Times New Roman" w:eastAsia="仿宋"/>
                <w:bCs/>
                <w:szCs w:val="21"/>
              </w:rPr>
              <w:t>。</w:t>
            </w:r>
          </w:p>
          <w:p w14:paraId="03A3680A">
            <w:pPr>
              <w:widowControl/>
              <w:spacing w:line="320" w:lineRule="exact"/>
              <w:rPr>
                <w:rFonts w:ascii="Times New Roman" w:eastAsia="仿宋"/>
                <w:bCs/>
                <w:szCs w:val="21"/>
              </w:rPr>
            </w:pPr>
            <w:r>
              <w:rPr>
                <w:rFonts w:hint="eastAsia" w:ascii="Times New Roman" w:eastAsia="仿宋"/>
                <w:bCs/>
                <w:szCs w:val="21"/>
              </w:rPr>
              <w:t>e、喷塑粉尘通过集气罩收集后送入1套“滤筒过滤除尘器”处置，最终通过1</w:t>
            </w:r>
            <w:r>
              <w:rPr>
                <w:rFonts w:ascii="Times New Roman" w:eastAsia="仿宋"/>
                <w:bCs/>
                <w:szCs w:val="21"/>
              </w:rPr>
              <w:t>根15m高排气筒</w:t>
            </w:r>
            <w:r>
              <w:rPr>
                <w:rFonts w:hint="eastAsia" w:ascii="Times New Roman" w:eastAsia="仿宋"/>
                <w:bCs/>
                <w:szCs w:val="21"/>
              </w:rPr>
              <w:t>5</w:t>
            </w:r>
            <w:r>
              <w:rPr>
                <w:rFonts w:ascii="Times New Roman" w:eastAsia="仿宋"/>
                <w:bCs/>
                <w:szCs w:val="21"/>
              </w:rPr>
              <w:t>#排放</w:t>
            </w:r>
            <w:r>
              <w:rPr>
                <w:rFonts w:hint="eastAsia" w:ascii="Times New Roman" w:eastAsia="仿宋"/>
                <w:bCs/>
                <w:szCs w:val="21"/>
              </w:rPr>
              <w:t>。</w:t>
            </w:r>
          </w:p>
          <w:p w14:paraId="1D322EF9">
            <w:pPr>
              <w:widowControl/>
              <w:spacing w:line="320" w:lineRule="exact"/>
              <w:rPr>
                <w:rFonts w:ascii="Times New Roman" w:eastAsia="仿宋"/>
                <w:bCs/>
                <w:spacing w:val="-4"/>
              </w:rPr>
            </w:pPr>
            <w:r>
              <w:rPr>
                <w:rFonts w:hint="eastAsia" w:ascii="Times New Roman" w:eastAsia="仿宋"/>
                <w:bCs/>
                <w:spacing w:val="-4"/>
              </w:rPr>
              <w:t>（2）废水</w:t>
            </w:r>
          </w:p>
          <w:p w14:paraId="37DEEBBE">
            <w:pPr>
              <w:widowControl/>
              <w:spacing w:line="320" w:lineRule="exact"/>
              <w:rPr>
                <w:rFonts w:ascii="Times New Roman" w:eastAsia="仿宋"/>
                <w:bCs/>
                <w:spacing w:val="-4"/>
              </w:rPr>
            </w:pPr>
            <w:r>
              <w:rPr>
                <w:rFonts w:ascii="Times New Roman" w:eastAsia="仿宋"/>
                <w:bCs/>
                <w:spacing w:val="-4"/>
              </w:rPr>
              <w:t>本项目建成后厂内产生的</w:t>
            </w:r>
            <w:r>
              <w:rPr>
                <w:rFonts w:hint="eastAsia" w:ascii="Times New Roman" w:eastAsia="仿宋"/>
                <w:bCs/>
                <w:spacing w:val="-4"/>
              </w:rPr>
              <w:t>生产废水（包括脱脂清洗废水、水洗废水）均进入厂区污水处理站处理后与生活污水</w:t>
            </w:r>
            <w:r>
              <w:rPr>
                <w:rFonts w:ascii="Times New Roman" w:eastAsia="仿宋"/>
                <w:bCs/>
                <w:spacing w:val="-4"/>
              </w:rPr>
              <w:t>接入市政污水管网，进</w:t>
            </w:r>
            <w:r>
              <w:rPr>
                <w:rFonts w:hint="eastAsia" w:ascii="Times New Roman" w:eastAsia="仿宋"/>
                <w:bCs/>
                <w:spacing w:val="-4"/>
              </w:rPr>
              <w:t>金坛区直溪污水处理厂</w:t>
            </w:r>
            <w:r>
              <w:rPr>
                <w:rFonts w:ascii="Times New Roman" w:eastAsia="仿宋"/>
                <w:bCs/>
                <w:spacing w:val="-4"/>
              </w:rPr>
              <w:t>处理</w:t>
            </w:r>
            <w:r>
              <w:rPr>
                <w:rFonts w:hint="eastAsia" w:ascii="Times New Roman" w:eastAsia="仿宋"/>
                <w:bCs/>
                <w:spacing w:val="-4"/>
              </w:rPr>
              <w:t>。</w:t>
            </w:r>
          </w:p>
          <w:p w14:paraId="3EF41C6C">
            <w:pPr>
              <w:widowControl/>
              <w:spacing w:line="320" w:lineRule="exact"/>
              <w:rPr>
                <w:rFonts w:ascii="Times New Roman" w:eastAsia="仿宋"/>
                <w:bCs/>
                <w:szCs w:val="21"/>
              </w:rPr>
            </w:pPr>
            <w:r>
              <w:rPr>
                <w:rFonts w:ascii="Times New Roman" w:eastAsia="仿宋"/>
                <w:bCs/>
                <w:szCs w:val="21"/>
              </w:rPr>
              <w:t>（3）噪声</w:t>
            </w:r>
          </w:p>
          <w:p w14:paraId="18488CA7">
            <w:pPr>
              <w:widowControl/>
              <w:spacing w:line="320" w:lineRule="exact"/>
              <w:rPr>
                <w:rFonts w:ascii="Times New Roman" w:eastAsia="仿宋"/>
                <w:bCs/>
                <w:szCs w:val="21"/>
              </w:rPr>
            </w:pPr>
            <w:r>
              <w:rPr>
                <w:rFonts w:ascii="Times New Roman" w:eastAsia="仿宋"/>
                <w:bCs/>
                <w:szCs w:val="21"/>
              </w:rPr>
              <w:t>东、南、西</w:t>
            </w:r>
            <w:r>
              <w:rPr>
                <w:rFonts w:hint="eastAsia" w:ascii="Times New Roman" w:eastAsia="仿宋"/>
                <w:bCs/>
                <w:szCs w:val="21"/>
              </w:rPr>
              <w:t>、北</w:t>
            </w:r>
            <w:r>
              <w:rPr>
                <w:rFonts w:ascii="Times New Roman" w:eastAsia="仿宋"/>
                <w:bCs/>
                <w:szCs w:val="21"/>
              </w:rPr>
              <w:t>厂界昼、夜间噪声均符合《工业企业厂界环境噪声排放标准》（GB12348-2008）3类标准。</w:t>
            </w:r>
          </w:p>
          <w:p w14:paraId="28602370">
            <w:pPr>
              <w:widowControl/>
              <w:spacing w:line="320" w:lineRule="exact"/>
              <w:rPr>
                <w:rFonts w:ascii="Times New Roman" w:eastAsia="仿宋"/>
                <w:bCs/>
                <w:szCs w:val="21"/>
              </w:rPr>
            </w:pPr>
            <w:r>
              <w:rPr>
                <w:rFonts w:ascii="Times New Roman" w:eastAsia="仿宋"/>
                <w:bCs/>
                <w:szCs w:val="21"/>
              </w:rPr>
              <w:t>（4）固废</w:t>
            </w:r>
          </w:p>
          <w:p w14:paraId="34EF04CA">
            <w:pPr>
              <w:widowControl/>
              <w:spacing w:line="320" w:lineRule="exact"/>
              <w:rPr>
                <w:rFonts w:ascii="Times New Roman" w:eastAsia="仿宋"/>
                <w:bCs/>
                <w:szCs w:val="21"/>
              </w:rPr>
            </w:pPr>
            <w:r>
              <w:rPr>
                <w:rFonts w:ascii="Times New Roman" w:eastAsia="仿宋"/>
                <w:bCs/>
                <w:szCs w:val="21"/>
              </w:rPr>
              <w:t>危险废物委托有资质单位处置；一般固废外售综合利用；生活垃圾由环卫部门收集。</w:t>
            </w:r>
          </w:p>
        </w:tc>
      </w:tr>
      <w:bookmarkEnd w:id="511"/>
      <w:bookmarkEnd w:id="512"/>
    </w:tbl>
    <w:p w14:paraId="7A9C360A">
      <w:pPr>
        <w:pStyle w:val="5"/>
        <w:numPr>
          <w:ilvl w:val="0"/>
          <w:numId w:val="0"/>
        </w:numPr>
        <w:rPr>
          <w:rFonts w:eastAsia="仿宋"/>
          <w:color w:val="auto"/>
        </w:rPr>
      </w:pPr>
      <w:bookmarkStart w:id="517" w:name="_Toc48320306"/>
      <w:bookmarkStart w:id="518" w:name="_Toc182553840"/>
      <w:bookmarkStart w:id="519" w:name="_Toc109663196"/>
      <w:r>
        <w:rPr>
          <w:rFonts w:hint="eastAsia" w:eastAsia="仿宋"/>
          <w:color w:val="auto"/>
        </w:rPr>
        <w:t>8.5</w:t>
      </w:r>
      <w:r>
        <w:rPr>
          <w:rFonts w:eastAsia="仿宋"/>
          <w:color w:val="auto"/>
        </w:rPr>
        <w:t>排污口规范化整治</w:t>
      </w:r>
      <w:bookmarkEnd w:id="517"/>
      <w:bookmarkEnd w:id="518"/>
      <w:bookmarkEnd w:id="519"/>
    </w:p>
    <w:p w14:paraId="7DB5F6C1">
      <w:pPr>
        <w:tabs>
          <w:tab w:val="left" w:pos="6840"/>
        </w:tabs>
        <w:spacing w:line="480" w:lineRule="exact"/>
        <w:ind w:firstLine="556"/>
        <w:rPr>
          <w:rFonts w:ascii="Times New Roman" w:eastAsia="仿宋"/>
          <w:sz w:val="28"/>
          <w:szCs w:val="28"/>
        </w:rPr>
      </w:pPr>
      <w:r>
        <w:rPr>
          <w:rFonts w:ascii="Times New Roman" w:eastAsia="仿宋"/>
          <w:sz w:val="28"/>
          <w:szCs w:val="28"/>
        </w:rPr>
        <w:t>按《江苏省排污口设置及规范化整治管理办法》[苏环控（97）122号]要求，该建设项目废水排放口、废气烟囱、固定噪声源扰民处、固废堆放处必须进行规范化设置。</w:t>
      </w:r>
    </w:p>
    <w:p w14:paraId="50B8FE60">
      <w:pPr>
        <w:spacing w:line="500" w:lineRule="exact"/>
        <w:ind w:firstLine="560" w:firstLineChars="200"/>
        <w:rPr>
          <w:rFonts w:ascii="Times New Roman" w:eastAsia="仿宋"/>
          <w:sz w:val="28"/>
          <w:szCs w:val="28"/>
        </w:rPr>
      </w:pPr>
      <w:bookmarkStart w:id="520" w:name="_Toc109663197"/>
      <w:bookmarkStart w:id="521" w:name="_Toc48320307"/>
      <w:r>
        <w:rPr>
          <w:rFonts w:ascii="Times New Roman" w:eastAsia="仿宋"/>
          <w:sz w:val="28"/>
          <w:szCs w:val="28"/>
        </w:rPr>
        <w:t>（1）规范废气排放设置。本项目共</w:t>
      </w:r>
      <w:r>
        <w:rPr>
          <w:rFonts w:hint="eastAsia" w:ascii="Times New Roman" w:eastAsia="仿宋"/>
          <w:sz w:val="28"/>
          <w:szCs w:val="28"/>
        </w:rPr>
        <w:t>新增</w:t>
      </w:r>
      <w:r>
        <w:rPr>
          <w:rFonts w:ascii="Times New Roman" w:eastAsia="仿宋"/>
          <w:sz w:val="28"/>
          <w:szCs w:val="28"/>
        </w:rPr>
        <w:t>5根排气筒，应设置便于采样、监测的采样口和采样监测平台，废气排放口处应设置醒目环境保护图形标志牌。</w:t>
      </w:r>
    </w:p>
    <w:p w14:paraId="38957588">
      <w:pPr>
        <w:spacing w:line="500" w:lineRule="exact"/>
        <w:ind w:firstLine="560" w:firstLineChars="200"/>
        <w:rPr>
          <w:rFonts w:ascii="Times New Roman" w:eastAsia="仿宋"/>
          <w:sz w:val="28"/>
          <w:szCs w:val="28"/>
        </w:rPr>
      </w:pPr>
      <w:r>
        <w:rPr>
          <w:rFonts w:ascii="Times New Roman" w:eastAsia="仿宋"/>
          <w:sz w:val="28"/>
          <w:szCs w:val="28"/>
        </w:rPr>
        <w:t>（2）规范废水排放口设置。本项目废水排放口排放处设置明显的标志牌、公示废水排污口的基本信息和监督管理单位信息。废水排污口设置单位应对规范化排污口、监测点、阀门、标志牌、计量和监控设备开展日常维护，保证有关设施的正常运行。</w:t>
      </w:r>
    </w:p>
    <w:p w14:paraId="2F13D071">
      <w:pPr>
        <w:spacing w:line="500" w:lineRule="exact"/>
        <w:ind w:firstLine="560" w:firstLineChars="200"/>
        <w:rPr>
          <w:rFonts w:ascii="Times New Roman" w:eastAsia="仿宋"/>
          <w:sz w:val="28"/>
          <w:szCs w:val="28"/>
        </w:rPr>
      </w:pPr>
      <w:r>
        <w:rPr>
          <w:rFonts w:ascii="Times New Roman" w:eastAsia="仿宋"/>
          <w:sz w:val="28"/>
          <w:szCs w:val="28"/>
        </w:rPr>
        <w:t>（3）规范各类固废厂内贮存。本项目所配套的用于储存危险废物的危废仓库应按《危险废物贮存污染控制标准》（GB18597-2023）的相关环保要求设置。危废仓库应在醒目处设置标志牌，并进行防渗漏、防扬散、防流失处理。</w:t>
      </w:r>
    </w:p>
    <w:p w14:paraId="7ED4E0E5">
      <w:pPr>
        <w:spacing w:line="500" w:lineRule="exact"/>
        <w:ind w:firstLine="560" w:firstLineChars="200"/>
        <w:rPr>
          <w:rFonts w:ascii="Times New Roman" w:eastAsia="仿宋"/>
          <w:sz w:val="28"/>
          <w:szCs w:val="28"/>
        </w:rPr>
      </w:pPr>
      <w:r>
        <w:rPr>
          <w:rFonts w:ascii="Times New Roman" w:eastAsia="仿宋"/>
          <w:sz w:val="28"/>
          <w:szCs w:val="28"/>
        </w:rPr>
        <w:t>厂内规范化排污口标识牌的设置要求：厂内规范化排污口必须按照国家标准《环境保护图形标志》（GB15562.2-1995）的规定，设置提示性环境保护图形标志牌。环境保护图形标志牌设置位置应距污染物排放口或采样点较近且醒目处，并能长久保留。设置高度一般为：标志牌上缘距离地面2米。环境保护图形标志牌的辅助标志上，需要填写的栏目，应由环境保护部门统一组织填写，要求字迹工整，字的颜色与标志牌颜色要总体协调。</w:t>
      </w:r>
    </w:p>
    <w:p w14:paraId="5977B09D">
      <w:pPr>
        <w:spacing w:line="500" w:lineRule="exact"/>
        <w:ind w:firstLine="560" w:firstLineChars="200"/>
        <w:rPr>
          <w:rFonts w:ascii="Times New Roman" w:eastAsia="仿宋"/>
          <w:sz w:val="28"/>
          <w:szCs w:val="28"/>
        </w:rPr>
      </w:pPr>
      <w:r>
        <w:rPr>
          <w:rFonts w:ascii="Times New Roman" w:eastAsia="仿宋"/>
          <w:sz w:val="28"/>
          <w:szCs w:val="28"/>
        </w:rPr>
        <w:t>另外，根据《江苏省重点行业工业企业雨水排放环境管理办法（试行）》（苏污防攻坚指办〔2023〕71号）中要求，建设单位应做好以下维护管理：</w:t>
      </w:r>
    </w:p>
    <w:p w14:paraId="1CE5B4ED">
      <w:pPr>
        <w:spacing w:line="500" w:lineRule="exact"/>
        <w:ind w:firstLine="560" w:firstLineChars="200"/>
        <w:rPr>
          <w:rFonts w:ascii="Times New Roman" w:eastAsia="仿宋"/>
          <w:sz w:val="28"/>
          <w:szCs w:val="28"/>
        </w:rPr>
      </w:pPr>
      <w:r>
        <w:rPr>
          <w:rFonts w:ascii="Times New Roman" w:eastAsia="仿宋"/>
          <w:sz w:val="28"/>
          <w:szCs w:val="28"/>
        </w:rPr>
        <w:t>（1）工业企业雨水排口应纳入环评及排污许可管理。企业应在排污许可证上载明雨水排放口数量和位置、排放（回用）方式、监测计划等信息。</w:t>
      </w:r>
    </w:p>
    <w:p w14:paraId="56312AFE">
      <w:pPr>
        <w:spacing w:line="500" w:lineRule="exact"/>
        <w:ind w:firstLine="560" w:firstLineChars="200"/>
        <w:rPr>
          <w:rFonts w:ascii="Times New Roman" w:eastAsia="仿宋"/>
          <w:sz w:val="28"/>
          <w:szCs w:val="28"/>
        </w:rPr>
      </w:pPr>
      <w:r>
        <w:rPr>
          <w:rFonts w:ascii="Times New Roman" w:eastAsia="仿宋"/>
          <w:sz w:val="28"/>
          <w:szCs w:val="28"/>
        </w:rPr>
        <w:t>（2）工业企业应定期开展雨水收集系统日常检查与维护，及时清理淤泥和杂物，确保设施无堵塞、无渗漏、无破损，确保不发生污水与雨水管网错接、混接、乱接等现象，严禁将生活垃圾、固体废弃物、高浓度废液等暂存、蓄积或倾倒在雨水沟渠。</w:t>
      </w:r>
    </w:p>
    <w:p w14:paraId="5EBAAE9C">
      <w:pPr>
        <w:spacing w:line="500" w:lineRule="exact"/>
        <w:ind w:firstLine="560" w:firstLineChars="200"/>
        <w:rPr>
          <w:rFonts w:ascii="Times New Roman" w:eastAsia="仿宋"/>
          <w:sz w:val="28"/>
          <w:szCs w:val="28"/>
        </w:rPr>
      </w:pPr>
      <w:r>
        <w:rPr>
          <w:rFonts w:ascii="Times New Roman" w:eastAsia="仿宋"/>
          <w:sz w:val="28"/>
          <w:szCs w:val="28"/>
        </w:rPr>
        <w:t>（3）工业企业应加强视频监控设备或水质在线监控设备的运维和联网管理，记录并妥善保存雨水监测、设施运营等台账资料，接受相关管理部门监督检查和非现场执法监管。</w:t>
      </w:r>
    </w:p>
    <w:p w14:paraId="6259BE0A">
      <w:pPr>
        <w:spacing w:line="500" w:lineRule="exact"/>
        <w:ind w:firstLine="560" w:firstLineChars="200"/>
        <w:rPr>
          <w:rFonts w:ascii="Times New Roman" w:eastAsia="仿宋"/>
          <w:sz w:val="28"/>
          <w:szCs w:val="28"/>
        </w:rPr>
      </w:pPr>
      <w:r>
        <w:rPr>
          <w:rFonts w:ascii="Times New Roman" w:eastAsia="仿宋"/>
          <w:sz w:val="28"/>
          <w:szCs w:val="28"/>
        </w:rPr>
        <w:t>（4）工业企业雨水排水管网图，应纳入企业环境信息公开管理内容，主动接受社会公众监督。</w:t>
      </w:r>
    </w:p>
    <w:p w14:paraId="61623B69">
      <w:pPr>
        <w:spacing w:line="500" w:lineRule="exact"/>
        <w:ind w:firstLine="560" w:firstLineChars="200"/>
        <w:rPr>
          <w:rFonts w:ascii="Times New Roman" w:eastAsia="仿宋"/>
          <w:sz w:val="28"/>
          <w:szCs w:val="28"/>
        </w:rPr>
      </w:pPr>
      <w:r>
        <w:rPr>
          <w:rFonts w:ascii="Times New Roman" w:eastAsia="仿宋"/>
          <w:sz w:val="28"/>
          <w:szCs w:val="28"/>
        </w:rPr>
        <w:t>（5）工业企业应建立明确的雨水排放口管理制度和操作规程，并张贴上墙，开展日常操作演练，避免人为误操作等引发环境污染事故。</w:t>
      </w:r>
    </w:p>
    <w:p w14:paraId="0B874466">
      <w:pPr>
        <w:spacing w:line="500" w:lineRule="exact"/>
        <w:ind w:firstLine="560" w:firstLineChars="200"/>
        <w:rPr>
          <w:rFonts w:ascii="Times New Roman" w:eastAsia="仿宋"/>
          <w:sz w:val="28"/>
          <w:szCs w:val="28"/>
        </w:rPr>
      </w:pPr>
      <w:r>
        <w:rPr>
          <w:rFonts w:ascii="Times New Roman" w:eastAsia="仿宋"/>
          <w:sz w:val="28"/>
          <w:szCs w:val="28"/>
        </w:rPr>
        <w:t>（6）雨水排放口无雨时排水，或降雨时排水出现污染物浓度异常，甚至超过《污水综合排放标准》或行业水污染物排放标准，经检查核实，企业应依法承担超标排污责任，或涉嫌以不正当运行治理设施、利用雨水排放口排污等方式逃避监管相应的法律责任。</w:t>
      </w:r>
    </w:p>
    <w:p w14:paraId="66C30882">
      <w:pPr>
        <w:spacing w:line="500" w:lineRule="exact"/>
        <w:ind w:firstLine="560" w:firstLineChars="200"/>
        <w:rPr>
          <w:rFonts w:ascii="Times New Roman" w:eastAsia="仿宋"/>
          <w:sz w:val="28"/>
          <w:szCs w:val="28"/>
        </w:rPr>
      </w:pPr>
      <w:r>
        <w:rPr>
          <w:rFonts w:ascii="Times New Roman" w:eastAsia="仿宋"/>
          <w:sz w:val="28"/>
          <w:szCs w:val="28"/>
        </w:rPr>
        <w:t>（7）企业发生水污染事故，未及时启动应急预案或采取相应的防范措施，造成污染物从雨水排放口排放的，应承担涉嫌过失或故意行为相应的法律责任。</w:t>
      </w:r>
    </w:p>
    <w:p w14:paraId="25A800DF">
      <w:pPr>
        <w:keepNext/>
        <w:keepLines/>
        <w:tabs>
          <w:tab w:val="left" w:pos="0"/>
          <w:tab w:val="left" w:pos="426"/>
        </w:tabs>
        <w:spacing w:before="120" w:beforeLines="50" w:after="120" w:afterLines="50" w:line="500" w:lineRule="exact"/>
        <w:outlineLvl w:val="1"/>
        <w:rPr>
          <w:rFonts w:ascii="Times New Roman" w:eastAsia="仿宋"/>
          <w:b/>
          <w:spacing w:val="6"/>
          <w:sz w:val="30"/>
          <w:szCs w:val="30"/>
        </w:rPr>
      </w:pPr>
      <w:bookmarkStart w:id="522" w:name="_Toc182553841"/>
      <w:r>
        <w:rPr>
          <w:rFonts w:ascii="Times New Roman" w:eastAsia="仿宋"/>
          <w:b/>
          <w:spacing w:val="6"/>
          <w:sz w:val="30"/>
          <w:szCs w:val="30"/>
        </w:rPr>
        <w:t>8.6“三同时”验收一览表</w:t>
      </w:r>
      <w:bookmarkEnd w:id="520"/>
      <w:bookmarkEnd w:id="521"/>
      <w:bookmarkEnd w:id="522"/>
    </w:p>
    <w:p w14:paraId="5CB74EDC">
      <w:pPr>
        <w:spacing w:line="500" w:lineRule="exact"/>
        <w:ind w:firstLine="560" w:firstLineChars="200"/>
        <w:rPr>
          <w:rFonts w:ascii="Times New Roman" w:eastAsia="仿宋"/>
          <w:sz w:val="28"/>
          <w:szCs w:val="28"/>
        </w:rPr>
      </w:pPr>
      <w:r>
        <w:rPr>
          <w:rFonts w:ascii="Times New Roman" w:eastAsia="仿宋"/>
          <w:sz w:val="28"/>
          <w:szCs w:val="28"/>
        </w:rPr>
        <w:t>根据《中华人民共和国环境保护法》规定，建设项目污染防治设施必须与主体工程同时设计、同时施工、同时投入运行，而污染防治设施建设“三同时”验收是严格控制新污染源和污染物排放总量、遏制环境恶化趋势的有力措施。建设项目竣工后，建设单位应当按照国务院环境保护行政主管部门规定的标准和程序，对配套建设的环境保护设施进行验收，编制验收报告。</w:t>
      </w:r>
    </w:p>
    <w:p w14:paraId="16328C59">
      <w:pPr>
        <w:spacing w:line="500" w:lineRule="exact"/>
        <w:ind w:firstLine="560" w:firstLineChars="200"/>
        <w:rPr>
          <w:rFonts w:ascii="Times New Roman" w:eastAsia="仿宋"/>
          <w:sz w:val="28"/>
          <w:szCs w:val="28"/>
        </w:rPr>
      </w:pPr>
      <w:r>
        <w:rPr>
          <w:rFonts w:ascii="Times New Roman" w:eastAsia="仿宋"/>
          <w:sz w:val="28"/>
          <w:szCs w:val="28"/>
        </w:rPr>
        <w:t>项目建成后，“三同时”验收一览表如下表8.6-1所示。</w:t>
      </w:r>
    </w:p>
    <w:p w14:paraId="1696A123">
      <w:pPr>
        <w:spacing w:line="500" w:lineRule="exact"/>
        <w:jc w:val="center"/>
        <w:rPr>
          <w:rFonts w:ascii="Times New Roman" w:eastAsia="仿宋"/>
          <w:b/>
        </w:rPr>
      </w:pPr>
      <w:r>
        <w:rPr>
          <w:rFonts w:ascii="Times New Roman" w:eastAsia="仿宋"/>
          <w:b/>
        </w:rPr>
        <w:br w:type="page"/>
      </w:r>
      <w:r>
        <w:rPr>
          <w:rFonts w:ascii="Times New Roman" w:eastAsia="仿宋"/>
          <w:b/>
        </w:rPr>
        <w:t>表8.6-1   “三同时”验收一览表</w:t>
      </w:r>
    </w:p>
    <w:tbl>
      <w:tblPr>
        <w:tblStyle w:val="87"/>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502"/>
        <w:gridCol w:w="2550"/>
        <w:gridCol w:w="1868"/>
        <w:gridCol w:w="1104"/>
        <w:gridCol w:w="1204"/>
      </w:tblGrid>
      <w:tr w14:paraId="10E3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240" w:type="dxa"/>
            <w:gridSpan w:val="2"/>
            <w:vAlign w:val="center"/>
          </w:tcPr>
          <w:p w14:paraId="7F2DF543">
            <w:pPr>
              <w:spacing w:line="360" w:lineRule="exact"/>
              <w:jc w:val="center"/>
              <w:rPr>
                <w:rFonts w:ascii="Times New Roman" w:eastAsia="仿宋"/>
                <w:szCs w:val="21"/>
              </w:rPr>
            </w:pPr>
            <w:r>
              <w:rPr>
                <w:rFonts w:ascii="Times New Roman" w:eastAsia="仿宋"/>
                <w:szCs w:val="21"/>
              </w:rPr>
              <w:t>污染类型</w:t>
            </w:r>
          </w:p>
        </w:tc>
        <w:tc>
          <w:tcPr>
            <w:tcW w:w="2550" w:type="dxa"/>
            <w:vAlign w:val="center"/>
          </w:tcPr>
          <w:p w14:paraId="22C113F8">
            <w:pPr>
              <w:pStyle w:val="22"/>
              <w:spacing w:line="360" w:lineRule="exact"/>
              <w:ind w:firstLine="0" w:firstLineChars="0"/>
              <w:jc w:val="center"/>
              <w:rPr>
                <w:rFonts w:eastAsia="仿宋"/>
                <w:sz w:val="24"/>
                <w:szCs w:val="21"/>
              </w:rPr>
            </w:pPr>
            <w:r>
              <w:rPr>
                <w:rFonts w:eastAsia="仿宋"/>
                <w:sz w:val="24"/>
                <w:szCs w:val="21"/>
              </w:rPr>
              <w:t>环保设施名称</w:t>
            </w:r>
          </w:p>
        </w:tc>
        <w:tc>
          <w:tcPr>
            <w:tcW w:w="1868" w:type="dxa"/>
            <w:vAlign w:val="center"/>
          </w:tcPr>
          <w:p w14:paraId="5D94F446">
            <w:pPr>
              <w:spacing w:line="360" w:lineRule="exact"/>
              <w:jc w:val="center"/>
              <w:rPr>
                <w:rFonts w:ascii="Times New Roman" w:eastAsia="仿宋"/>
                <w:szCs w:val="21"/>
              </w:rPr>
            </w:pPr>
            <w:r>
              <w:rPr>
                <w:rFonts w:ascii="Times New Roman" w:eastAsia="仿宋"/>
                <w:szCs w:val="21"/>
              </w:rPr>
              <w:t>预期效果</w:t>
            </w:r>
          </w:p>
        </w:tc>
        <w:tc>
          <w:tcPr>
            <w:tcW w:w="1104" w:type="dxa"/>
            <w:vAlign w:val="center"/>
          </w:tcPr>
          <w:p w14:paraId="32D4098F">
            <w:pPr>
              <w:spacing w:line="360" w:lineRule="exact"/>
              <w:jc w:val="center"/>
              <w:rPr>
                <w:rFonts w:ascii="Times New Roman" w:eastAsia="仿宋"/>
                <w:szCs w:val="21"/>
              </w:rPr>
            </w:pPr>
            <w:r>
              <w:rPr>
                <w:rFonts w:ascii="Times New Roman" w:eastAsia="仿宋"/>
                <w:szCs w:val="21"/>
              </w:rPr>
              <w:t>总投资</w:t>
            </w:r>
          </w:p>
          <w:p w14:paraId="657F4A8F">
            <w:pPr>
              <w:spacing w:line="360" w:lineRule="exact"/>
              <w:jc w:val="center"/>
              <w:rPr>
                <w:rFonts w:ascii="Times New Roman" w:eastAsia="仿宋"/>
                <w:szCs w:val="21"/>
              </w:rPr>
            </w:pPr>
            <w:r>
              <w:rPr>
                <w:rFonts w:ascii="Times New Roman" w:eastAsia="仿宋"/>
                <w:szCs w:val="21"/>
              </w:rPr>
              <w:t>(万元)</w:t>
            </w:r>
          </w:p>
        </w:tc>
        <w:tc>
          <w:tcPr>
            <w:tcW w:w="1204" w:type="dxa"/>
            <w:vAlign w:val="center"/>
          </w:tcPr>
          <w:p w14:paraId="3462E3B7">
            <w:pPr>
              <w:spacing w:line="360" w:lineRule="exact"/>
              <w:jc w:val="center"/>
              <w:rPr>
                <w:rFonts w:ascii="Times New Roman" w:eastAsia="仿宋"/>
                <w:szCs w:val="21"/>
              </w:rPr>
            </w:pPr>
            <w:r>
              <w:rPr>
                <w:rFonts w:ascii="Times New Roman" w:eastAsia="仿宋"/>
                <w:szCs w:val="21"/>
              </w:rPr>
              <w:t>进度</w:t>
            </w:r>
          </w:p>
        </w:tc>
      </w:tr>
      <w:tr w14:paraId="78CD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240" w:type="dxa"/>
            <w:gridSpan w:val="2"/>
            <w:vAlign w:val="center"/>
          </w:tcPr>
          <w:p w14:paraId="20FF9D2A">
            <w:pPr>
              <w:spacing w:line="360" w:lineRule="exact"/>
              <w:jc w:val="center"/>
              <w:rPr>
                <w:rFonts w:ascii="Times New Roman" w:eastAsia="仿宋"/>
                <w:szCs w:val="21"/>
              </w:rPr>
            </w:pPr>
            <w:r>
              <w:rPr>
                <w:rFonts w:ascii="Times New Roman" w:eastAsia="仿宋"/>
                <w:szCs w:val="21"/>
              </w:rPr>
              <w:t>废水</w:t>
            </w:r>
          </w:p>
        </w:tc>
        <w:tc>
          <w:tcPr>
            <w:tcW w:w="2550" w:type="dxa"/>
            <w:vAlign w:val="center"/>
          </w:tcPr>
          <w:p w14:paraId="250BB504">
            <w:pPr>
              <w:pStyle w:val="22"/>
              <w:spacing w:line="360" w:lineRule="exact"/>
              <w:ind w:firstLine="0" w:firstLineChars="0"/>
              <w:jc w:val="center"/>
              <w:rPr>
                <w:rFonts w:eastAsia="仿宋"/>
                <w:sz w:val="24"/>
                <w:szCs w:val="21"/>
              </w:rPr>
            </w:pPr>
            <w:r>
              <w:rPr>
                <w:rFonts w:eastAsia="仿宋"/>
                <w:sz w:val="24"/>
                <w:szCs w:val="21"/>
              </w:rPr>
              <w:t>污水预处理站</w:t>
            </w:r>
          </w:p>
          <w:p w14:paraId="78F9B617">
            <w:pPr>
              <w:pStyle w:val="22"/>
              <w:spacing w:line="360" w:lineRule="exact"/>
              <w:ind w:firstLine="0" w:firstLineChars="0"/>
              <w:jc w:val="center"/>
              <w:rPr>
                <w:rFonts w:eastAsia="仿宋"/>
                <w:sz w:val="24"/>
                <w:szCs w:val="21"/>
              </w:rPr>
            </w:pPr>
            <w:r>
              <w:rPr>
                <w:rFonts w:eastAsia="仿宋"/>
                <w:sz w:val="24"/>
                <w:szCs w:val="21"/>
              </w:rPr>
              <w:t>及配套管线</w:t>
            </w:r>
          </w:p>
        </w:tc>
        <w:tc>
          <w:tcPr>
            <w:tcW w:w="1868" w:type="dxa"/>
            <w:vAlign w:val="center"/>
          </w:tcPr>
          <w:p w14:paraId="364E0D3E">
            <w:pPr>
              <w:spacing w:line="360" w:lineRule="exact"/>
              <w:jc w:val="center"/>
              <w:rPr>
                <w:rFonts w:ascii="Times New Roman" w:eastAsia="仿宋"/>
                <w:szCs w:val="21"/>
              </w:rPr>
            </w:pPr>
            <w:r>
              <w:rPr>
                <w:rFonts w:ascii="Times New Roman" w:eastAsia="仿宋"/>
                <w:szCs w:val="21"/>
              </w:rPr>
              <w:t>达标</w:t>
            </w:r>
            <w:r>
              <w:rPr>
                <w:rFonts w:hint="eastAsia" w:ascii="Times New Roman" w:eastAsia="仿宋"/>
                <w:szCs w:val="21"/>
                <w:lang w:val="zh-CN"/>
              </w:rPr>
              <w:t>接管进</w:t>
            </w:r>
            <w:r>
              <w:rPr>
                <w:rFonts w:hint="eastAsia" w:ascii="Times New Roman" w:eastAsia="仿宋"/>
                <w:szCs w:val="21"/>
              </w:rPr>
              <w:t>直溪</w:t>
            </w:r>
            <w:r>
              <w:rPr>
                <w:rFonts w:hint="eastAsia" w:ascii="Times New Roman" w:eastAsia="仿宋"/>
                <w:szCs w:val="21"/>
                <w:lang w:val="zh-CN"/>
              </w:rPr>
              <w:t>污水处理厂</w:t>
            </w:r>
          </w:p>
        </w:tc>
        <w:tc>
          <w:tcPr>
            <w:tcW w:w="1104" w:type="dxa"/>
            <w:vAlign w:val="center"/>
          </w:tcPr>
          <w:p w14:paraId="2A784F28">
            <w:pPr>
              <w:spacing w:line="360" w:lineRule="exact"/>
              <w:jc w:val="center"/>
              <w:rPr>
                <w:rFonts w:ascii="Times New Roman" w:eastAsia="仿宋"/>
                <w:szCs w:val="21"/>
              </w:rPr>
            </w:pPr>
            <w:r>
              <w:rPr>
                <w:rFonts w:hint="eastAsia" w:ascii="Times New Roman" w:eastAsia="仿宋"/>
                <w:szCs w:val="21"/>
              </w:rPr>
              <w:t>95</w:t>
            </w:r>
          </w:p>
        </w:tc>
        <w:tc>
          <w:tcPr>
            <w:tcW w:w="1204" w:type="dxa"/>
            <w:vAlign w:val="center"/>
          </w:tcPr>
          <w:p w14:paraId="25FE96FD">
            <w:pPr>
              <w:spacing w:line="360" w:lineRule="exact"/>
              <w:jc w:val="center"/>
              <w:rPr>
                <w:rFonts w:ascii="Times New Roman" w:eastAsia="仿宋"/>
                <w:szCs w:val="21"/>
              </w:rPr>
            </w:pPr>
            <w:r>
              <w:rPr>
                <w:rFonts w:ascii="Times New Roman" w:eastAsia="仿宋"/>
                <w:szCs w:val="21"/>
              </w:rPr>
              <w:t>与项目建设同时完工</w:t>
            </w:r>
          </w:p>
        </w:tc>
      </w:tr>
      <w:tr w14:paraId="0838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restart"/>
            <w:vAlign w:val="center"/>
          </w:tcPr>
          <w:p w14:paraId="75CD7AE5">
            <w:pPr>
              <w:spacing w:line="360" w:lineRule="exact"/>
              <w:jc w:val="center"/>
              <w:rPr>
                <w:rFonts w:ascii="Times New Roman" w:eastAsia="仿宋"/>
                <w:szCs w:val="21"/>
              </w:rPr>
            </w:pPr>
            <w:r>
              <w:rPr>
                <w:rFonts w:ascii="Times New Roman" w:eastAsia="仿宋"/>
                <w:szCs w:val="21"/>
              </w:rPr>
              <w:t>废气</w:t>
            </w:r>
          </w:p>
        </w:tc>
        <w:tc>
          <w:tcPr>
            <w:tcW w:w="1502" w:type="dxa"/>
            <w:vAlign w:val="center"/>
          </w:tcPr>
          <w:p w14:paraId="2E1F201C">
            <w:pPr>
              <w:spacing w:line="360" w:lineRule="exact"/>
              <w:jc w:val="center"/>
              <w:rPr>
                <w:rFonts w:ascii="Times New Roman" w:eastAsia="仿宋"/>
                <w:szCs w:val="21"/>
              </w:rPr>
            </w:pPr>
            <w:r>
              <w:rPr>
                <w:rFonts w:hint="eastAsia" w:ascii="Times New Roman" w:eastAsia="仿宋"/>
                <w:szCs w:val="21"/>
              </w:rPr>
              <w:t>机加工线</w:t>
            </w:r>
          </w:p>
        </w:tc>
        <w:tc>
          <w:tcPr>
            <w:tcW w:w="2550" w:type="dxa"/>
            <w:vAlign w:val="center"/>
          </w:tcPr>
          <w:p w14:paraId="6FBB448D">
            <w:pPr>
              <w:spacing w:line="360" w:lineRule="exact"/>
              <w:jc w:val="center"/>
              <w:rPr>
                <w:rFonts w:ascii="Times New Roman" w:eastAsia="仿宋"/>
                <w:szCs w:val="21"/>
              </w:rPr>
            </w:pPr>
            <w:r>
              <w:rPr>
                <w:rFonts w:hint="eastAsia" w:ascii="Times New Roman" w:eastAsia="仿宋"/>
                <w:szCs w:val="21"/>
              </w:rPr>
              <w:t>湿式除尘器</w:t>
            </w:r>
          </w:p>
        </w:tc>
        <w:tc>
          <w:tcPr>
            <w:tcW w:w="1868" w:type="dxa"/>
            <w:vMerge w:val="restart"/>
            <w:vAlign w:val="center"/>
          </w:tcPr>
          <w:p w14:paraId="7885C340">
            <w:pPr>
              <w:spacing w:line="360" w:lineRule="exact"/>
              <w:jc w:val="center"/>
              <w:rPr>
                <w:rFonts w:ascii="Times New Roman" w:eastAsia="仿宋"/>
                <w:szCs w:val="21"/>
              </w:rPr>
            </w:pPr>
            <w:r>
              <w:rPr>
                <w:rFonts w:ascii="Times New Roman" w:eastAsia="仿宋"/>
                <w:szCs w:val="21"/>
              </w:rPr>
              <w:t>达标排放</w:t>
            </w:r>
          </w:p>
        </w:tc>
        <w:tc>
          <w:tcPr>
            <w:tcW w:w="1104" w:type="dxa"/>
            <w:vAlign w:val="center"/>
          </w:tcPr>
          <w:p w14:paraId="7131EA58">
            <w:pPr>
              <w:spacing w:line="360" w:lineRule="exact"/>
              <w:jc w:val="center"/>
              <w:rPr>
                <w:rFonts w:ascii="Times New Roman" w:eastAsia="仿宋"/>
                <w:szCs w:val="21"/>
              </w:rPr>
            </w:pPr>
            <w:r>
              <w:rPr>
                <w:rFonts w:hint="eastAsia" w:ascii="Times New Roman" w:eastAsia="仿宋"/>
                <w:szCs w:val="21"/>
              </w:rPr>
              <w:t>20</w:t>
            </w:r>
          </w:p>
        </w:tc>
        <w:tc>
          <w:tcPr>
            <w:tcW w:w="1204" w:type="dxa"/>
            <w:vMerge w:val="restart"/>
            <w:vAlign w:val="center"/>
          </w:tcPr>
          <w:p w14:paraId="233C51E4">
            <w:pPr>
              <w:spacing w:line="360" w:lineRule="exact"/>
              <w:jc w:val="center"/>
              <w:rPr>
                <w:rFonts w:ascii="Times New Roman" w:eastAsia="仿宋"/>
                <w:szCs w:val="21"/>
              </w:rPr>
            </w:pPr>
            <w:r>
              <w:rPr>
                <w:rFonts w:ascii="Times New Roman" w:eastAsia="仿宋"/>
                <w:szCs w:val="21"/>
              </w:rPr>
              <w:t>与项目建设同时完工</w:t>
            </w:r>
          </w:p>
        </w:tc>
      </w:tr>
      <w:tr w14:paraId="3E51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continue"/>
            <w:vAlign w:val="center"/>
          </w:tcPr>
          <w:p w14:paraId="7D0BBC56">
            <w:pPr>
              <w:spacing w:line="360" w:lineRule="exact"/>
              <w:jc w:val="center"/>
            </w:pPr>
          </w:p>
        </w:tc>
        <w:tc>
          <w:tcPr>
            <w:tcW w:w="1502" w:type="dxa"/>
            <w:vAlign w:val="center"/>
          </w:tcPr>
          <w:p w14:paraId="31AE40D8">
            <w:pPr>
              <w:spacing w:line="360" w:lineRule="exact"/>
              <w:jc w:val="center"/>
              <w:rPr>
                <w:rFonts w:ascii="Times New Roman" w:eastAsia="仿宋"/>
                <w:szCs w:val="21"/>
              </w:rPr>
            </w:pPr>
            <w:r>
              <w:rPr>
                <w:rFonts w:hint="eastAsia" w:ascii="Times New Roman" w:eastAsia="仿宋"/>
                <w:szCs w:val="21"/>
                <w:lang w:val="zh-CN"/>
              </w:rPr>
              <w:t>喷涂线废气</w:t>
            </w:r>
          </w:p>
        </w:tc>
        <w:tc>
          <w:tcPr>
            <w:tcW w:w="2550" w:type="dxa"/>
            <w:vAlign w:val="center"/>
          </w:tcPr>
          <w:p w14:paraId="339ED993">
            <w:pPr>
              <w:spacing w:line="360" w:lineRule="exact"/>
              <w:jc w:val="center"/>
              <w:rPr>
                <w:rFonts w:ascii="Times New Roman" w:eastAsia="仿宋"/>
                <w:szCs w:val="21"/>
              </w:rPr>
            </w:pPr>
            <w:r>
              <w:rPr>
                <w:rFonts w:hint="eastAsia" w:ascii="Times New Roman" w:eastAsia="仿宋"/>
                <w:szCs w:val="21"/>
              </w:rPr>
              <w:t>3套水帘式循环过滤系统+水喷淋+干式过滤器+活性炭吸附脱附+催化燃烧</w:t>
            </w:r>
          </w:p>
        </w:tc>
        <w:tc>
          <w:tcPr>
            <w:tcW w:w="1868" w:type="dxa"/>
            <w:vMerge w:val="continue"/>
            <w:vAlign w:val="center"/>
          </w:tcPr>
          <w:p w14:paraId="7CBC8FC0">
            <w:pPr>
              <w:spacing w:line="360" w:lineRule="exact"/>
              <w:jc w:val="center"/>
              <w:rPr>
                <w:rFonts w:ascii="Times New Roman" w:eastAsia="仿宋"/>
                <w:szCs w:val="21"/>
              </w:rPr>
            </w:pPr>
          </w:p>
        </w:tc>
        <w:tc>
          <w:tcPr>
            <w:tcW w:w="1104" w:type="dxa"/>
            <w:vAlign w:val="center"/>
          </w:tcPr>
          <w:p w14:paraId="7AF7638E">
            <w:pPr>
              <w:spacing w:line="360" w:lineRule="exact"/>
              <w:jc w:val="center"/>
              <w:rPr>
                <w:rFonts w:ascii="Times New Roman" w:eastAsia="仿宋"/>
                <w:szCs w:val="21"/>
              </w:rPr>
            </w:pPr>
            <w:r>
              <w:rPr>
                <w:rFonts w:hint="eastAsia" w:ascii="Times New Roman" w:eastAsia="仿宋"/>
                <w:szCs w:val="21"/>
              </w:rPr>
              <w:t>250</w:t>
            </w:r>
          </w:p>
        </w:tc>
        <w:tc>
          <w:tcPr>
            <w:tcW w:w="1204" w:type="dxa"/>
            <w:vMerge w:val="continue"/>
            <w:vAlign w:val="center"/>
          </w:tcPr>
          <w:p w14:paraId="7089FAAD">
            <w:pPr>
              <w:spacing w:line="360" w:lineRule="exact"/>
              <w:jc w:val="center"/>
              <w:rPr>
                <w:rFonts w:ascii="Times New Roman" w:eastAsia="仿宋"/>
                <w:szCs w:val="21"/>
              </w:rPr>
            </w:pPr>
          </w:p>
        </w:tc>
      </w:tr>
      <w:tr w14:paraId="1EF8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38" w:type="dxa"/>
            <w:vMerge w:val="continue"/>
            <w:vAlign w:val="center"/>
          </w:tcPr>
          <w:p w14:paraId="14355E45">
            <w:pPr>
              <w:spacing w:line="360" w:lineRule="exact"/>
              <w:jc w:val="center"/>
              <w:rPr>
                <w:rFonts w:ascii="Times New Roman" w:eastAsia="仿宋"/>
                <w:szCs w:val="21"/>
              </w:rPr>
            </w:pPr>
          </w:p>
        </w:tc>
        <w:tc>
          <w:tcPr>
            <w:tcW w:w="1502" w:type="dxa"/>
            <w:vAlign w:val="center"/>
          </w:tcPr>
          <w:p w14:paraId="7D43E7EA">
            <w:pPr>
              <w:spacing w:line="360" w:lineRule="exact"/>
              <w:jc w:val="center"/>
              <w:rPr>
                <w:rFonts w:ascii="Times New Roman" w:eastAsia="仿宋"/>
                <w:szCs w:val="21"/>
              </w:rPr>
            </w:pPr>
            <w:r>
              <w:rPr>
                <w:rFonts w:hint="eastAsia" w:ascii="Times New Roman" w:eastAsia="仿宋"/>
                <w:szCs w:val="21"/>
              </w:rPr>
              <w:t>喷塑线</w:t>
            </w:r>
          </w:p>
        </w:tc>
        <w:tc>
          <w:tcPr>
            <w:tcW w:w="2550" w:type="dxa"/>
            <w:vAlign w:val="center"/>
          </w:tcPr>
          <w:p w14:paraId="2F1633BF">
            <w:pPr>
              <w:spacing w:line="360" w:lineRule="exact"/>
              <w:jc w:val="center"/>
              <w:rPr>
                <w:rFonts w:ascii="Times New Roman" w:eastAsia="仿宋"/>
                <w:szCs w:val="21"/>
              </w:rPr>
            </w:pPr>
            <w:r>
              <w:rPr>
                <w:rFonts w:hint="eastAsia" w:ascii="Times New Roman" w:eastAsia="仿宋"/>
                <w:szCs w:val="24"/>
              </w:rPr>
              <w:t>滤筒除尘器</w:t>
            </w:r>
          </w:p>
        </w:tc>
        <w:tc>
          <w:tcPr>
            <w:tcW w:w="1868" w:type="dxa"/>
            <w:vMerge w:val="continue"/>
            <w:vAlign w:val="center"/>
          </w:tcPr>
          <w:p w14:paraId="298A0A86">
            <w:pPr>
              <w:spacing w:line="360" w:lineRule="exact"/>
              <w:jc w:val="center"/>
              <w:rPr>
                <w:rFonts w:ascii="Times New Roman" w:eastAsia="仿宋"/>
                <w:szCs w:val="21"/>
              </w:rPr>
            </w:pPr>
          </w:p>
        </w:tc>
        <w:tc>
          <w:tcPr>
            <w:tcW w:w="1104" w:type="dxa"/>
            <w:vAlign w:val="center"/>
          </w:tcPr>
          <w:p w14:paraId="6A91E068">
            <w:pPr>
              <w:spacing w:line="360" w:lineRule="exact"/>
              <w:jc w:val="center"/>
              <w:rPr>
                <w:rFonts w:ascii="Times New Roman" w:eastAsia="仿宋"/>
                <w:szCs w:val="21"/>
              </w:rPr>
            </w:pPr>
            <w:r>
              <w:rPr>
                <w:rFonts w:hint="eastAsia" w:ascii="Times New Roman" w:eastAsia="仿宋"/>
                <w:szCs w:val="21"/>
              </w:rPr>
              <w:t>10</w:t>
            </w:r>
          </w:p>
        </w:tc>
        <w:tc>
          <w:tcPr>
            <w:tcW w:w="1204" w:type="dxa"/>
            <w:vMerge w:val="continue"/>
            <w:vAlign w:val="center"/>
          </w:tcPr>
          <w:p w14:paraId="4F3CAE12">
            <w:pPr>
              <w:spacing w:line="360" w:lineRule="exact"/>
              <w:jc w:val="center"/>
              <w:rPr>
                <w:rFonts w:ascii="Times New Roman" w:eastAsia="仿宋"/>
                <w:szCs w:val="21"/>
              </w:rPr>
            </w:pPr>
          </w:p>
        </w:tc>
      </w:tr>
      <w:tr w14:paraId="29FF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Align w:val="center"/>
          </w:tcPr>
          <w:p w14:paraId="6A7FA8A3">
            <w:pPr>
              <w:spacing w:line="360" w:lineRule="exact"/>
              <w:jc w:val="center"/>
              <w:rPr>
                <w:rFonts w:ascii="Times New Roman" w:eastAsia="仿宋"/>
                <w:szCs w:val="21"/>
              </w:rPr>
            </w:pPr>
            <w:r>
              <w:rPr>
                <w:rFonts w:ascii="Times New Roman" w:eastAsia="仿宋"/>
                <w:szCs w:val="21"/>
              </w:rPr>
              <w:t>固废</w:t>
            </w:r>
          </w:p>
        </w:tc>
        <w:tc>
          <w:tcPr>
            <w:tcW w:w="2550" w:type="dxa"/>
            <w:vAlign w:val="center"/>
          </w:tcPr>
          <w:p w14:paraId="0A93F2B4">
            <w:pPr>
              <w:spacing w:line="360" w:lineRule="exact"/>
              <w:jc w:val="center"/>
              <w:rPr>
                <w:rFonts w:ascii="Times New Roman" w:eastAsia="仿宋"/>
                <w:szCs w:val="21"/>
              </w:rPr>
            </w:pPr>
            <w:r>
              <w:rPr>
                <w:rFonts w:ascii="Times New Roman" w:eastAsia="仿宋"/>
                <w:szCs w:val="21"/>
              </w:rPr>
              <w:t>临时收集、存放场所，合理处置</w:t>
            </w:r>
          </w:p>
        </w:tc>
        <w:tc>
          <w:tcPr>
            <w:tcW w:w="1868" w:type="dxa"/>
            <w:vAlign w:val="center"/>
          </w:tcPr>
          <w:p w14:paraId="48A1E9CF">
            <w:pPr>
              <w:spacing w:line="360" w:lineRule="exact"/>
              <w:jc w:val="center"/>
              <w:rPr>
                <w:rFonts w:ascii="Times New Roman" w:eastAsia="仿宋"/>
                <w:szCs w:val="21"/>
              </w:rPr>
            </w:pPr>
            <w:r>
              <w:rPr>
                <w:rFonts w:ascii="Times New Roman" w:eastAsia="仿宋"/>
                <w:szCs w:val="21"/>
              </w:rPr>
              <w:t>固废场所做到三防“防风、防晒、防雨”，各类固废处置处理率100%，无排放</w:t>
            </w:r>
          </w:p>
        </w:tc>
        <w:tc>
          <w:tcPr>
            <w:tcW w:w="1104" w:type="dxa"/>
            <w:vAlign w:val="center"/>
          </w:tcPr>
          <w:p w14:paraId="228DC411">
            <w:pPr>
              <w:spacing w:line="360" w:lineRule="exact"/>
              <w:jc w:val="center"/>
              <w:rPr>
                <w:rFonts w:ascii="Times New Roman" w:eastAsia="仿宋"/>
                <w:szCs w:val="21"/>
              </w:rPr>
            </w:pPr>
            <w:r>
              <w:rPr>
                <w:rFonts w:hint="eastAsia" w:ascii="Times New Roman" w:eastAsia="仿宋"/>
                <w:szCs w:val="21"/>
              </w:rPr>
              <w:t>20</w:t>
            </w:r>
          </w:p>
        </w:tc>
        <w:tc>
          <w:tcPr>
            <w:tcW w:w="1204" w:type="dxa"/>
            <w:vAlign w:val="center"/>
          </w:tcPr>
          <w:p w14:paraId="2BE8D9F3">
            <w:pPr>
              <w:spacing w:line="360" w:lineRule="exact"/>
              <w:jc w:val="center"/>
              <w:rPr>
                <w:rFonts w:ascii="Times New Roman" w:eastAsia="仿宋"/>
                <w:szCs w:val="21"/>
              </w:rPr>
            </w:pPr>
            <w:r>
              <w:rPr>
                <w:rFonts w:hint="eastAsia" w:ascii="Times New Roman" w:eastAsia="仿宋"/>
                <w:szCs w:val="21"/>
              </w:rPr>
              <w:t>新增1座危废仓库、1座一般固废库</w:t>
            </w:r>
          </w:p>
        </w:tc>
      </w:tr>
      <w:tr w14:paraId="613D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40" w:type="dxa"/>
            <w:gridSpan w:val="2"/>
            <w:vAlign w:val="center"/>
          </w:tcPr>
          <w:p w14:paraId="23115901">
            <w:pPr>
              <w:spacing w:line="360" w:lineRule="exact"/>
              <w:jc w:val="center"/>
              <w:rPr>
                <w:rFonts w:ascii="Times New Roman" w:eastAsia="仿宋"/>
                <w:szCs w:val="21"/>
              </w:rPr>
            </w:pPr>
            <w:r>
              <w:rPr>
                <w:rFonts w:ascii="Times New Roman" w:eastAsia="仿宋"/>
                <w:szCs w:val="21"/>
              </w:rPr>
              <w:t>噪声</w:t>
            </w:r>
          </w:p>
        </w:tc>
        <w:tc>
          <w:tcPr>
            <w:tcW w:w="2550" w:type="dxa"/>
            <w:vAlign w:val="center"/>
          </w:tcPr>
          <w:p w14:paraId="40B35690">
            <w:pPr>
              <w:spacing w:line="360" w:lineRule="exact"/>
              <w:jc w:val="center"/>
              <w:rPr>
                <w:rFonts w:ascii="Times New Roman" w:eastAsia="仿宋"/>
                <w:szCs w:val="21"/>
              </w:rPr>
            </w:pPr>
            <w:r>
              <w:rPr>
                <w:rFonts w:ascii="Times New Roman" w:eastAsia="仿宋"/>
                <w:szCs w:val="21"/>
              </w:rPr>
              <w:t>隔音、减振设施</w:t>
            </w:r>
          </w:p>
        </w:tc>
        <w:tc>
          <w:tcPr>
            <w:tcW w:w="1868" w:type="dxa"/>
            <w:vAlign w:val="center"/>
          </w:tcPr>
          <w:p w14:paraId="16746932">
            <w:pPr>
              <w:spacing w:line="360" w:lineRule="exact"/>
              <w:jc w:val="center"/>
              <w:rPr>
                <w:rFonts w:ascii="Times New Roman" w:eastAsia="仿宋"/>
                <w:szCs w:val="21"/>
              </w:rPr>
            </w:pPr>
            <w:r>
              <w:rPr>
                <w:rFonts w:ascii="Times New Roman" w:eastAsia="仿宋"/>
                <w:szCs w:val="21"/>
              </w:rPr>
              <w:t>厂界噪声达标</w:t>
            </w:r>
          </w:p>
        </w:tc>
        <w:tc>
          <w:tcPr>
            <w:tcW w:w="1104" w:type="dxa"/>
            <w:vAlign w:val="center"/>
          </w:tcPr>
          <w:p w14:paraId="76597E04">
            <w:pPr>
              <w:spacing w:line="360" w:lineRule="exact"/>
              <w:jc w:val="center"/>
              <w:rPr>
                <w:rFonts w:ascii="Times New Roman" w:eastAsia="仿宋"/>
                <w:szCs w:val="21"/>
              </w:rPr>
            </w:pPr>
            <w:r>
              <w:rPr>
                <w:rFonts w:hint="eastAsia" w:ascii="Times New Roman" w:eastAsia="仿宋"/>
                <w:szCs w:val="21"/>
              </w:rPr>
              <w:t>15</w:t>
            </w:r>
          </w:p>
        </w:tc>
        <w:tc>
          <w:tcPr>
            <w:tcW w:w="1204" w:type="dxa"/>
            <w:vAlign w:val="center"/>
          </w:tcPr>
          <w:p w14:paraId="2B60BCAF">
            <w:pPr>
              <w:spacing w:line="360" w:lineRule="exact"/>
              <w:jc w:val="center"/>
              <w:rPr>
                <w:rFonts w:ascii="Times New Roman" w:eastAsia="仿宋"/>
                <w:szCs w:val="21"/>
              </w:rPr>
            </w:pPr>
            <w:r>
              <w:rPr>
                <w:rFonts w:ascii="Times New Roman" w:eastAsia="仿宋"/>
                <w:szCs w:val="21"/>
              </w:rPr>
              <w:t>与项目建设同时完工</w:t>
            </w:r>
          </w:p>
        </w:tc>
      </w:tr>
      <w:tr w14:paraId="707F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40" w:type="dxa"/>
            <w:gridSpan w:val="2"/>
            <w:vAlign w:val="center"/>
          </w:tcPr>
          <w:p w14:paraId="760C4BC2">
            <w:pPr>
              <w:spacing w:line="360" w:lineRule="exact"/>
              <w:jc w:val="center"/>
              <w:rPr>
                <w:rFonts w:ascii="Times New Roman" w:eastAsia="仿宋"/>
                <w:szCs w:val="21"/>
              </w:rPr>
            </w:pPr>
            <w:r>
              <w:rPr>
                <w:rFonts w:ascii="Times New Roman" w:eastAsia="仿宋"/>
                <w:szCs w:val="21"/>
              </w:rPr>
              <w:t>清污管网分流建设</w:t>
            </w:r>
          </w:p>
        </w:tc>
        <w:tc>
          <w:tcPr>
            <w:tcW w:w="2550" w:type="dxa"/>
            <w:vAlign w:val="center"/>
          </w:tcPr>
          <w:p w14:paraId="1C712CAD">
            <w:pPr>
              <w:spacing w:line="360" w:lineRule="exact"/>
              <w:jc w:val="center"/>
              <w:rPr>
                <w:rFonts w:ascii="Times New Roman" w:eastAsia="仿宋"/>
                <w:szCs w:val="21"/>
              </w:rPr>
            </w:pPr>
            <w:r>
              <w:rPr>
                <w:rFonts w:ascii="Times New Roman" w:eastAsia="仿宋"/>
                <w:szCs w:val="21"/>
              </w:rPr>
              <w:t>/</w:t>
            </w:r>
          </w:p>
        </w:tc>
        <w:tc>
          <w:tcPr>
            <w:tcW w:w="1868" w:type="dxa"/>
            <w:vAlign w:val="center"/>
          </w:tcPr>
          <w:p w14:paraId="075A13CA">
            <w:pPr>
              <w:spacing w:line="360" w:lineRule="exact"/>
              <w:jc w:val="center"/>
              <w:rPr>
                <w:rFonts w:ascii="Times New Roman" w:eastAsia="仿宋"/>
                <w:szCs w:val="21"/>
              </w:rPr>
            </w:pPr>
            <w:r>
              <w:rPr>
                <w:rFonts w:ascii="Times New Roman" w:eastAsia="仿宋"/>
                <w:szCs w:val="21"/>
              </w:rPr>
              <w:t>做到清污分流、完全收集污水</w:t>
            </w:r>
          </w:p>
        </w:tc>
        <w:tc>
          <w:tcPr>
            <w:tcW w:w="1104" w:type="dxa"/>
            <w:vAlign w:val="center"/>
          </w:tcPr>
          <w:p w14:paraId="58F5565C">
            <w:pPr>
              <w:spacing w:line="360" w:lineRule="exact"/>
              <w:jc w:val="center"/>
              <w:rPr>
                <w:rFonts w:ascii="Times New Roman" w:eastAsia="仿宋"/>
                <w:szCs w:val="21"/>
              </w:rPr>
            </w:pPr>
            <w:r>
              <w:rPr>
                <w:rFonts w:hint="eastAsia" w:ascii="Times New Roman" w:eastAsia="仿宋"/>
                <w:szCs w:val="21"/>
              </w:rPr>
              <w:t>5</w:t>
            </w:r>
          </w:p>
        </w:tc>
        <w:tc>
          <w:tcPr>
            <w:tcW w:w="1204" w:type="dxa"/>
            <w:vAlign w:val="center"/>
          </w:tcPr>
          <w:p w14:paraId="3B5BF3E7">
            <w:pPr>
              <w:spacing w:line="360" w:lineRule="exact"/>
              <w:jc w:val="center"/>
              <w:rPr>
                <w:rFonts w:ascii="Times New Roman" w:eastAsia="仿宋"/>
                <w:szCs w:val="21"/>
              </w:rPr>
            </w:pPr>
            <w:r>
              <w:rPr>
                <w:rFonts w:ascii="Times New Roman" w:eastAsia="仿宋"/>
                <w:szCs w:val="21"/>
              </w:rPr>
              <w:t>与项目建设同时完工</w:t>
            </w:r>
          </w:p>
        </w:tc>
      </w:tr>
      <w:tr w14:paraId="615E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Merge w:val="restart"/>
            <w:vAlign w:val="center"/>
          </w:tcPr>
          <w:p w14:paraId="46E42B65">
            <w:pPr>
              <w:spacing w:line="360" w:lineRule="exact"/>
              <w:jc w:val="center"/>
              <w:rPr>
                <w:rFonts w:ascii="Times New Roman" w:eastAsia="仿宋"/>
                <w:szCs w:val="21"/>
              </w:rPr>
            </w:pPr>
            <w:r>
              <w:rPr>
                <w:rFonts w:ascii="Times New Roman" w:eastAsia="仿宋"/>
                <w:szCs w:val="21"/>
              </w:rPr>
              <w:t>应急、风险防范</w:t>
            </w:r>
          </w:p>
        </w:tc>
        <w:tc>
          <w:tcPr>
            <w:tcW w:w="2550" w:type="dxa"/>
            <w:vAlign w:val="center"/>
          </w:tcPr>
          <w:p w14:paraId="7C4CD73C">
            <w:pPr>
              <w:spacing w:line="360" w:lineRule="exact"/>
              <w:jc w:val="center"/>
              <w:rPr>
                <w:rFonts w:ascii="Times New Roman" w:eastAsia="仿宋"/>
                <w:szCs w:val="21"/>
              </w:rPr>
            </w:pPr>
            <w:r>
              <w:rPr>
                <w:rFonts w:ascii="Times New Roman" w:eastAsia="仿宋"/>
                <w:szCs w:val="21"/>
              </w:rPr>
              <w:t>应急消防措施</w:t>
            </w:r>
          </w:p>
        </w:tc>
        <w:tc>
          <w:tcPr>
            <w:tcW w:w="1868" w:type="dxa"/>
            <w:vAlign w:val="center"/>
          </w:tcPr>
          <w:p w14:paraId="56E2BD97">
            <w:pPr>
              <w:spacing w:line="360" w:lineRule="exact"/>
              <w:jc w:val="center"/>
              <w:rPr>
                <w:rFonts w:ascii="Times New Roman" w:eastAsia="仿宋"/>
                <w:szCs w:val="21"/>
              </w:rPr>
            </w:pPr>
            <w:r>
              <w:rPr>
                <w:rFonts w:ascii="Times New Roman" w:eastAsia="仿宋"/>
                <w:szCs w:val="21"/>
              </w:rPr>
              <w:t>消防栓、灭火器等</w:t>
            </w:r>
          </w:p>
        </w:tc>
        <w:tc>
          <w:tcPr>
            <w:tcW w:w="1104" w:type="dxa"/>
            <w:vAlign w:val="center"/>
          </w:tcPr>
          <w:p w14:paraId="48D44D71">
            <w:pPr>
              <w:spacing w:line="360" w:lineRule="exact"/>
              <w:jc w:val="center"/>
              <w:rPr>
                <w:rFonts w:ascii="Times New Roman" w:eastAsia="仿宋"/>
                <w:szCs w:val="21"/>
              </w:rPr>
            </w:pPr>
            <w:r>
              <w:rPr>
                <w:rFonts w:hint="eastAsia" w:ascii="Times New Roman" w:eastAsia="仿宋"/>
                <w:szCs w:val="21"/>
              </w:rPr>
              <w:t>10</w:t>
            </w:r>
          </w:p>
        </w:tc>
        <w:tc>
          <w:tcPr>
            <w:tcW w:w="1204" w:type="dxa"/>
            <w:vAlign w:val="center"/>
          </w:tcPr>
          <w:p w14:paraId="589D45D8">
            <w:pPr>
              <w:spacing w:line="360" w:lineRule="exact"/>
              <w:jc w:val="center"/>
              <w:rPr>
                <w:rFonts w:ascii="Times New Roman" w:eastAsia="仿宋"/>
                <w:szCs w:val="21"/>
              </w:rPr>
            </w:pPr>
            <w:r>
              <w:rPr>
                <w:rFonts w:ascii="Times New Roman" w:eastAsia="仿宋"/>
                <w:szCs w:val="21"/>
              </w:rPr>
              <w:t>与项目建设同时完工</w:t>
            </w:r>
          </w:p>
        </w:tc>
      </w:tr>
      <w:tr w14:paraId="66DD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Merge w:val="continue"/>
            <w:vAlign w:val="center"/>
          </w:tcPr>
          <w:p w14:paraId="5A6F0588">
            <w:pPr>
              <w:spacing w:line="360" w:lineRule="exact"/>
              <w:jc w:val="center"/>
              <w:rPr>
                <w:rFonts w:ascii="Times New Roman" w:eastAsia="仿宋"/>
                <w:szCs w:val="21"/>
              </w:rPr>
            </w:pPr>
          </w:p>
        </w:tc>
        <w:tc>
          <w:tcPr>
            <w:tcW w:w="2550" w:type="dxa"/>
            <w:vAlign w:val="center"/>
          </w:tcPr>
          <w:p w14:paraId="6FB2015D">
            <w:pPr>
              <w:spacing w:line="360" w:lineRule="exact"/>
              <w:jc w:val="center"/>
              <w:rPr>
                <w:rFonts w:ascii="Times New Roman" w:eastAsia="仿宋"/>
                <w:szCs w:val="21"/>
              </w:rPr>
            </w:pPr>
            <w:r>
              <w:rPr>
                <w:rFonts w:ascii="Times New Roman" w:eastAsia="仿宋"/>
                <w:szCs w:val="21"/>
              </w:rPr>
              <w:t>事故应急池</w:t>
            </w:r>
          </w:p>
        </w:tc>
        <w:tc>
          <w:tcPr>
            <w:tcW w:w="1868" w:type="dxa"/>
            <w:vAlign w:val="center"/>
          </w:tcPr>
          <w:p w14:paraId="33E289AC">
            <w:pPr>
              <w:spacing w:line="360" w:lineRule="exact"/>
              <w:jc w:val="center"/>
              <w:rPr>
                <w:rFonts w:ascii="Times New Roman" w:eastAsia="仿宋"/>
                <w:szCs w:val="21"/>
              </w:rPr>
            </w:pPr>
            <w:r>
              <w:rPr>
                <w:rFonts w:ascii="Times New Roman" w:eastAsia="仿宋"/>
                <w:szCs w:val="21"/>
              </w:rPr>
              <w:t>1座</w:t>
            </w:r>
            <w:r>
              <w:rPr>
                <w:rFonts w:hint="eastAsia" w:ascii="Times New Roman" w:eastAsia="仿宋"/>
                <w:szCs w:val="21"/>
              </w:rPr>
              <w:t>100m</w:t>
            </w:r>
            <w:r>
              <w:rPr>
                <w:rFonts w:hint="eastAsia" w:ascii="Times New Roman" w:eastAsia="仿宋"/>
                <w:szCs w:val="21"/>
                <w:vertAlign w:val="superscript"/>
              </w:rPr>
              <w:t>3</w:t>
            </w:r>
            <w:r>
              <w:rPr>
                <w:rFonts w:ascii="Times New Roman" w:eastAsia="仿宋"/>
                <w:szCs w:val="21"/>
              </w:rPr>
              <w:t>事故应急池</w:t>
            </w:r>
          </w:p>
        </w:tc>
        <w:tc>
          <w:tcPr>
            <w:tcW w:w="1104" w:type="dxa"/>
            <w:vAlign w:val="center"/>
          </w:tcPr>
          <w:p w14:paraId="60A4B6FF">
            <w:pPr>
              <w:spacing w:line="360" w:lineRule="exact"/>
              <w:jc w:val="center"/>
              <w:rPr>
                <w:rFonts w:ascii="Times New Roman" w:eastAsia="仿宋"/>
                <w:szCs w:val="21"/>
              </w:rPr>
            </w:pPr>
            <w:r>
              <w:rPr>
                <w:rFonts w:ascii="Times New Roman" w:eastAsia="仿宋"/>
                <w:szCs w:val="21"/>
              </w:rPr>
              <w:t>0</w:t>
            </w:r>
          </w:p>
        </w:tc>
        <w:tc>
          <w:tcPr>
            <w:tcW w:w="1204" w:type="dxa"/>
            <w:vAlign w:val="center"/>
          </w:tcPr>
          <w:p w14:paraId="630B3C15">
            <w:pPr>
              <w:spacing w:line="360" w:lineRule="exact"/>
              <w:jc w:val="center"/>
              <w:rPr>
                <w:rFonts w:ascii="Times New Roman" w:eastAsia="仿宋"/>
                <w:szCs w:val="21"/>
              </w:rPr>
            </w:pPr>
            <w:r>
              <w:rPr>
                <w:rFonts w:ascii="Times New Roman" w:eastAsia="仿宋"/>
                <w:szCs w:val="21"/>
              </w:rPr>
              <w:t>依托原有</w:t>
            </w:r>
          </w:p>
        </w:tc>
      </w:tr>
      <w:tr w14:paraId="3FB3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0" w:type="dxa"/>
            <w:gridSpan w:val="2"/>
            <w:vAlign w:val="center"/>
          </w:tcPr>
          <w:p w14:paraId="0ABB8A33">
            <w:pPr>
              <w:spacing w:line="360" w:lineRule="exact"/>
              <w:jc w:val="center"/>
              <w:rPr>
                <w:rFonts w:ascii="Times New Roman" w:eastAsia="仿宋"/>
                <w:szCs w:val="21"/>
              </w:rPr>
            </w:pPr>
            <w:r>
              <w:rPr>
                <w:rFonts w:ascii="Times New Roman" w:eastAsia="仿宋"/>
                <w:szCs w:val="21"/>
              </w:rPr>
              <w:t>排污口整治等</w:t>
            </w:r>
          </w:p>
        </w:tc>
        <w:tc>
          <w:tcPr>
            <w:tcW w:w="2550" w:type="dxa"/>
            <w:vAlign w:val="center"/>
          </w:tcPr>
          <w:p w14:paraId="70F9F877">
            <w:pPr>
              <w:spacing w:line="360" w:lineRule="exact"/>
              <w:jc w:val="center"/>
              <w:rPr>
                <w:rFonts w:ascii="Times New Roman" w:eastAsia="仿宋"/>
                <w:szCs w:val="21"/>
              </w:rPr>
            </w:pPr>
            <w:r>
              <w:rPr>
                <w:rFonts w:ascii="Times New Roman" w:eastAsia="仿宋"/>
                <w:szCs w:val="21"/>
              </w:rPr>
              <w:t>规范排污口，设置与排污口相应的环境保护图形标志牌等</w:t>
            </w:r>
          </w:p>
        </w:tc>
        <w:tc>
          <w:tcPr>
            <w:tcW w:w="1868" w:type="dxa"/>
            <w:vAlign w:val="center"/>
          </w:tcPr>
          <w:p w14:paraId="595C290B">
            <w:pPr>
              <w:spacing w:line="360" w:lineRule="exact"/>
              <w:jc w:val="center"/>
              <w:rPr>
                <w:rFonts w:ascii="Times New Roman" w:eastAsia="仿宋"/>
                <w:szCs w:val="21"/>
              </w:rPr>
            </w:pPr>
            <w:r>
              <w:rPr>
                <w:rFonts w:ascii="Times New Roman" w:eastAsia="仿宋"/>
                <w:szCs w:val="21"/>
              </w:rPr>
              <w:t>符合排污口规范</w:t>
            </w:r>
          </w:p>
        </w:tc>
        <w:tc>
          <w:tcPr>
            <w:tcW w:w="1104" w:type="dxa"/>
            <w:vAlign w:val="center"/>
          </w:tcPr>
          <w:p w14:paraId="4AD2FA23">
            <w:pPr>
              <w:spacing w:line="360" w:lineRule="exact"/>
              <w:jc w:val="center"/>
              <w:rPr>
                <w:rFonts w:ascii="Times New Roman" w:eastAsia="仿宋"/>
                <w:szCs w:val="21"/>
              </w:rPr>
            </w:pPr>
            <w:r>
              <w:rPr>
                <w:rFonts w:hint="eastAsia" w:ascii="Times New Roman" w:eastAsia="仿宋"/>
                <w:szCs w:val="21"/>
              </w:rPr>
              <w:t>5</w:t>
            </w:r>
          </w:p>
        </w:tc>
        <w:tc>
          <w:tcPr>
            <w:tcW w:w="1204" w:type="dxa"/>
            <w:vAlign w:val="center"/>
          </w:tcPr>
          <w:p w14:paraId="29EEC272">
            <w:pPr>
              <w:spacing w:line="360" w:lineRule="exact"/>
              <w:jc w:val="center"/>
              <w:rPr>
                <w:rFonts w:ascii="Times New Roman" w:eastAsia="仿宋"/>
                <w:szCs w:val="21"/>
              </w:rPr>
            </w:pPr>
            <w:r>
              <w:rPr>
                <w:rFonts w:ascii="Times New Roman" w:eastAsia="仿宋"/>
                <w:szCs w:val="21"/>
              </w:rPr>
              <w:t>与项目建设同时完工</w:t>
            </w:r>
          </w:p>
        </w:tc>
      </w:tr>
      <w:tr w14:paraId="7578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8" w:type="dxa"/>
            <w:gridSpan w:val="4"/>
            <w:vAlign w:val="center"/>
          </w:tcPr>
          <w:p w14:paraId="2376A0AF">
            <w:pPr>
              <w:spacing w:line="360" w:lineRule="exact"/>
              <w:jc w:val="center"/>
              <w:rPr>
                <w:rFonts w:ascii="Times New Roman" w:eastAsia="仿宋"/>
                <w:szCs w:val="21"/>
              </w:rPr>
            </w:pPr>
            <w:r>
              <w:rPr>
                <w:rFonts w:ascii="Times New Roman" w:eastAsia="仿宋"/>
                <w:szCs w:val="21"/>
              </w:rPr>
              <w:t>合计</w:t>
            </w:r>
          </w:p>
        </w:tc>
        <w:tc>
          <w:tcPr>
            <w:tcW w:w="1104" w:type="dxa"/>
            <w:vAlign w:val="center"/>
          </w:tcPr>
          <w:p w14:paraId="37EAF330">
            <w:pPr>
              <w:spacing w:line="360" w:lineRule="exact"/>
              <w:jc w:val="center"/>
              <w:rPr>
                <w:rFonts w:ascii="Times New Roman" w:eastAsia="仿宋"/>
                <w:szCs w:val="21"/>
              </w:rPr>
            </w:pPr>
            <w:r>
              <w:rPr>
                <w:rFonts w:hint="eastAsia" w:ascii="Times New Roman" w:eastAsia="仿宋"/>
                <w:szCs w:val="21"/>
              </w:rPr>
              <w:t>450</w:t>
            </w:r>
          </w:p>
        </w:tc>
        <w:tc>
          <w:tcPr>
            <w:tcW w:w="1204" w:type="dxa"/>
            <w:vAlign w:val="center"/>
          </w:tcPr>
          <w:p w14:paraId="7AC8F247">
            <w:pPr>
              <w:spacing w:line="360" w:lineRule="exact"/>
              <w:jc w:val="center"/>
              <w:rPr>
                <w:rFonts w:ascii="Times New Roman" w:eastAsia="仿宋"/>
                <w:szCs w:val="21"/>
              </w:rPr>
            </w:pPr>
            <w:r>
              <w:rPr>
                <w:rFonts w:hint="eastAsia" w:ascii="Times New Roman" w:eastAsia="仿宋"/>
                <w:szCs w:val="21"/>
              </w:rPr>
              <w:t>/</w:t>
            </w:r>
          </w:p>
        </w:tc>
      </w:tr>
    </w:tbl>
    <w:p w14:paraId="36AF5F05">
      <w:pPr>
        <w:pStyle w:val="2"/>
      </w:pPr>
    </w:p>
    <w:p w14:paraId="364BCE56">
      <w:pPr>
        <w:sectPr>
          <w:pgSz w:w="11906" w:h="16838"/>
          <w:pgMar w:top="1843" w:right="1616" w:bottom="1440" w:left="1678" w:header="1191" w:footer="992" w:gutter="0"/>
          <w:cols w:space="720" w:num="1"/>
          <w:docGrid w:linePitch="312" w:charSpace="0"/>
        </w:sectPr>
      </w:pPr>
    </w:p>
    <w:p w14:paraId="4DDBA672">
      <w:pPr>
        <w:pStyle w:val="4"/>
        <w:tabs>
          <w:tab w:val="left" w:pos="284"/>
        </w:tabs>
        <w:spacing w:before="120" w:beforeLines="50" w:after="120" w:afterLines="50" w:line="500" w:lineRule="exact"/>
        <w:rPr>
          <w:rFonts w:eastAsia="仿宋"/>
          <w:spacing w:val="6"/>
          <w:sz w:val="32"/>
          <w:szCs w:val="20"/>
        </w:rPr>
      </w:pPr>
      <w:bookmarkStart w:id="523" w:name="_Toc170530528"/>
      <w:bookmarkStart w:id="524" w:name="_Toc105743763"/>
      <w:bookmarkStart w:id="525" w:name="_Toc47795468"/>
      <w:bookmarkStart w:id="526" w:name="_Toc236536334"/>
      <w:bookmarkStart w:id="527" w:name="_Toc60807984"/>
      <w:bookmarkStart w:id="528" w:name="_Toc76214249"/>
      <w:bookmarkStart w:id="529" w:name="_Toc57537648"/>
      <w:bookmarkStart w:id="530" w:name="_Toc200708069"/>
      <w:bookmarkStart w:id="531" w:name="_Toc182553842"/>
      <w:bookmarkStart w:id="532" w:name="_Toc238363511"/>
      <w:bookmarkStart w:id="533" w:name="_Toc97911040"/>
      <w:bookmarkStart w:id="534" w:name="_Toc240859441"/>
      <w:bookmarkStart w:id="535" w:name="_Toc227951126"/>
      <w:bookmarkStart w:id="536" w:name="_Toc113810256"/>
      <w:r>
        <w:rPr>
          <w:rFonts w:hint="eastAsia" w:eastAsia="仿宋"/>
          <w:spacing w:val="6"/>
          <w:sz w:val="32"/>
          <w:szCs w:val="20"/>
        </w:rPr>
        <w:t>9</w:t>
      </w:r>
      <w:r>
        <w:rPr>
          <w:rFonts w:eastAsia="仿宋"/>
          <w:spacing w:val="6"/>
          <w:sz w:val="32"/>
          <w:szCs w:val="20"/>
        </w:rPr>
        <w:t>环境影响评价结论</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16C57251">
      <w:pPr>
        <w:pStyle w:val="5"/>
        <w:numPr>
          <w:ilvl w:val="0"/>
          <w:numId w:val="0"/>
        </w:numPr>
        <w:rPr>
          <w:rFonts w:eastAsia="仿宋"/>
          <w:color w:val="auto"/>
        </w:rPr>
      </w:pPr>
      <w:bookmarkStart w:id="537" w:name="_Toc182553843"/>
      <w:r>
        <w:rPr>
          <w:rFonts w:hint="eastAsia" w:eastAsia="仿宋"/>
          <w:color w:val="auto"/>
        </w:rPr>
        <w:t>9</w:t>
      </w:r>
      <w:r>
        <w:rPr>
          <w:rFonts w:eastAsia="仿宋"/>
          <w:color w:val="auto"/>
        </w:rPr>
        <w:t>.1建设概况</w:t>
      </w:r>
      <w:bookmarkEnd w:id="537"/>
    </w:p>
    <w:p w14:paraId="30AEBA41">
      <w:pPr>
        <w:spacing w:line="500" w:lineRule="exact"/>
        <w:ind w:firstLine="560" w:firstLineChars="200"/>
        <w:rPr>
          <w:rFonts w:ascii="Times New Roman" w:eastAsia="仿宋"/>
          <w:bCs/>
          <w:sz w:val="28"/>
          <w:szCs w:val="28"/>
        </w:rPr>
      </w:pPr>
      <w:r>
        <w:rPr>
          <w:rFonts w:ascii="Times New Roman" w:eastAsia="仿宋"/>
          <w:bCs/>
          <w:sz w:val="28"/>
          <w:szCs w:val="28"/>
        </w:rPr>
        <w:t>江苏新莱亿智能科技有限公司成立于2023年5月16日，注册地位于常州市金坛区朱林镇永兴路68号，经营范围包括</w:t>
      </w:r>
      <w:r>
        <w:rPr>
          <w:rFonts w:hint="eastAsia" w:ascii="Times New Roman" w:eastAsia="仿宋"/>
          <w:bCs/>
          <w:sz w:val="28"/>
          <w:szCs w:val="28"/>
        </w:rPr>
        <w:t>机械设备销售，机械设备研发，专用设备制造(不含许可类专业设备制造)，普通机械设备安装服务等</w:t>
      </w:r>
      <w:r>
        <w:rPr>
          <w:rFonts w:ascii="Times New Roman" w:eastAsia="仿宋"/>
          <w:bCs/>
          <w:sz w:val="28"/>
          <w:szCs w:val="28"/>
        </w:rPr>
        <w:t>。</w:t>
      </w:r>
    </w:p>
    <w:p w14:paraId="634AB481">
      <w:pPr>
        <w:pStyle w:val="29"/>
        <w:spacing w:line="500" w:lineRule="exact"/>
        <w:ind w:firstLine="560" w:firstLineChars="200"/>
        <w:rPr>
          <w:rFonts w:eastAsia="仿宋"/>
          <w:bCs/>
          <w:sz w:val="28"/>
          <w:szCs w:val="28"/>
        </w:rPr>
      </w:pPr>
      <w:r>
        <w:rPr>
          <w:rFonts w:eastAsia="仿宋"/>
          <w:bCs/>
          <w:sz w:val="28"/>
          <w:szCs w:val="28"/>
        </w:rPr>
        <w:t>为满足市场需求和公司壮大需要，江苏新莱亿智能科技有限公司投资30000万元于上述地址，</w:t>
      </w:r>
      <w:r>
        <w:rPr>
          <w:rFonts w:hint="eastAsia" w:eastAsia="仿宋"/>
          <w:bCs/>
          <w:sz w:val="28"/>
          <w:szCs w:val="28"/>
        </w:rPr>
        <w:t>利用现有厂房16557.02平方米，购置雕刻机、冲床、表面处理线、涂装线等设备，项目建成后可达到年产新能源汽车铝单板80万平方米的生产能力。</w:t>
      </w:r>
    </w:p>
    <w:p w14:paraId="2CBF172F">
      <w:pPr>
        <w:pStyle w:val="5"/>
        <w:numPr>
          <w:ilvl w:val="0"/>
          <w:numId w:val="0"/>
        </w:numPr>
        <w:rPr>
          <w:rFonts w:eastAsia="仿宋"/>
          <w:color w:val="auto"/>
        </w:rPr>
      </w:pPr>
      <w:bookmarkStart w:id="538" w:name="_Toc182553844"/>
      <w:r>
        <w:rPr>
          <w:rFonts w:hint="eastAsia" w:eastAsia="仿宋"/>
          <w:color w:val="auto"/>
        </w:rPr>
        <w:t>9</w:t>
      </w:r>
      <w:r>
        <w:rPr>
          <w:rFonts w:eastAsia="仿宋"/>
          <w:color w:val="auto"/>
        </w:rPr>
        <w:t>.2环境质量现状</w:t>
      </w:r>
      <w:bookmarkEnd w:id="538"/>
    </w:p>
    <w:p w14:paraId="2B706BC0">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（1）大气环境质量现状</w:t>
      </w:r>
    </w:p>
    <w:p w14:paraId="00237B14">
      <w:pPr>
        <w:autoSpaceDE w:val="0"/>
        <w:autoSpaceDN w:val="0"/>
        <w:spacing w:line="480" w:lineRule="exact"/>
        <w:ind w:firstLine="560" w:firstLineChars="200"/>
        <w:rPr>
          <w:rFonts w:ascii="Times New Roman" w:eastAsia="仿宋"/>
          <w:snapToGrid w:val="0"/>
          <w:sz w:val="28"/>
          <w:szCs w:val="28"/>
        </w:rPr>
      </w:pPr>
      <w:r>
        <w:rPr>
          <w:rFonts w:ascii="Times New Roman" w:eastAsia="仿宋"/>
          <w:bCs/>
          <w:sz w:val="28"/>
          <w:szCs w:val="28"/>
        </w:rPr>
        <w:t>从环境质量报告书监测结果来看，项目所在地大气环境为不达标区，</w:t>
      </w:r>
      <w:r>
        <w:rPr>
          <w:rFonts w:hint="eastAsia" w:ascii="Times New Roman" w:eastAsia="仿宋"/>
          <w:bCs/>
          <w:sz w:val="28"/>
          <w:szCs w:val="28"/>
        </w:rPr>
        <w:t>从</w:t>
      </w:r>
      <w:r>
        <w:rPr>
          <w:rFonts w:ascii="Times New Roman" w:eastAsia="仿宋"/>
          <w:bCs/>
          <w:sz w:val="28"/>
          <w:szCs w:val="28"/>
        </w:rPr>
        <w:t>现状监测结果来看，</w:t>
      </w:r>
      <w:r>
        <w:rPr>
          <w:rFonts w:ascii="Times New Roman" w:eastAsia="仿宋"/>
          <w:sz w:val="28"/>
          <w:szCs w:val="28"/>
        </w:rPr>
        <w:t>非甲烷总烃一次浓度满足《</w:t>
      </w:r>
      <w:r>
        <w:rPr>
          <w:rFonts w:ascii="Times New Roman" w:eastAsia="仿宋"/>
          <w:bCs/>
          <w:sz w:val="28"/>
          <w:szCs w:val="28"/>
        </w:rPr>
        <w:t>大气污染物综合排放标准</w:t>
      </w:r>
      <w:r>
        <w:rPr>
          <w:rFonts w:ascii="Times New Roman" w:eastAsia="仿宋"/>
          <w:sz w:val="28"/>
          <w:szCs w:val="28"/>
        </w:rPr>
        <w:t>》</w:t>
      </w:r>
      <w:r>
        <w:rPr>
          <w:rFonts w:ascii="Times New Roman" w:eastAsia="仿宋"/>
          <w:bCs/>
          <w:sz w:val="28"/>
          <w:szCs w:val="28"/>
        </w:rPr>
        <w:t>详解中推荐值</w:t>
      </w:r>
      <w:r>
        <w:rPr>
          <w:rFonts w:hint="eastAsia" w:ascii="Times New Roman" w:eastAsia="仿宋"/>
          <w:bCs/>
          <w:sz w:val="28"/>
          <w:szCs w:val="28"/>
        </w:rPr>
        <w:t>，二甲苯浓度满足《环境影响评价技术导则 大气环境》（HJ2.2-2018）附录D中参考限值</w:t>
      </w:r>
      <w:r>
        <w:rPr>
          <w:rFonts w:ascii="Times New Roman" w:eastAsia="仿宋"/>
          <w:bCs/>
          <w:sz w:val="28"/>
          <w:szCs w:val="28"/>
        </w:rPr>
        <w:t>。</w:t>
      </w:r>
    </w:p>
    <w:p w14:paraId="23C3BDDA">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（2）水环境质量现状</w:t>
      </w:r>
    </w:p>
    <w:p w14:paraId="03EB4B79">
      <w:pPr>
        <w:autoSpaceDE w:val="0"/>
        <w:autoSpaceDN w:val="0"/>
        <w:spacing w:line="480" w:lineRule="exact"/>
        <w:ind w:firstLine="560" w:firstLineChars="200"/>
        <w:rPr>
          <w:rFonts w:ascii="Times New Roman" w:eastAsia="仿宋"/>
          <w:sz w:val="28"/>
          <w:szCs w:val="28"/>
        </w:rPr>
      </w:pPr>
      <w:r>
        <w:rPr>
          <w:rFonts w:ascii="Times New Roman" w:eastAsia="仿宋"/>
          <w:bCs/>
          <w:sz w:val="28"/>
          <w:szCs w:val="28"/>
        </w:rPr>
        <w:t>根据现状监测结果可知，</w:t>
      </w:r>
      <w:r>
        <w:rPr>
          <w:rFonts w:hint="eastAsia" w:ascii="Times New Roman" w:eastAsia="仿宋"/>
          <w:bCs/>
          <w:sz w:val="28"/>
          <w:szCs w:val="28"/>
        </w:rPr>
        <w:t>通济河</w:t>
      </w:r>
      <w:r>
        <w:rPr>
          <w:rFonts w:ascii="Times New Roman" w:eastAsia="仿宋"/>
          <w:bCs/>
          <w:sz w:val="28"/>
          <w:szCs w:val="28"/>
        </w:rPr>
        <w:t>的各监测断面均符合《地表水环境质量标准》（GB3838-2002）中的</w:t>
      </w:r>
      <w:r>
        <w:rPr>
          <w:rFonts w:ascii="Times New Roman" w:eastAsia="仿宋"/>
          <w:sz w:val="28"/>
          <w:szCs w:val="28"/>
        </w:rPr>
        <w:t>Ⅳ</w:t>
      </w:r>
      <w:r>
        <w:rPr>
          <w:rFonts w:ascii="Times New Roman" w:eastAsia="仿宋"/>
          <w:bCs/>
          <w:sz w:val="28"/>
          <w:szCs w:val="28"/>
        </w:rPr>
        <w:t>类水标准。</w:t>
      </w:r>
    </w:p>
    <w:p w14:paraId="5C1719FD">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（3）噪声环境质量现状</w:t>
      </w:r>
    </w:p>
    <w:p w14:paraId="1BF79D86">
      <w:pPr>
        <w:autoSpaceDE w:val="0"/>
        <w:autoSpaceDN w:val="0"/>
        <w:spacing w:line="480" w:lineRule="exact"/>
        <w:ind w:firstLine="560" w:firstLineChars="200"/>
        <w:rPr>
          <w:rFonts w:ascii="Times New Roman" w:eastAsia="仿宋"/>
          <w:snapToGrid w:val="0"/>
          <w:sz w:val="28"/>
          <w:szCs w:val="28"/>
        </w:rPr>
      </w:pPr>
      <w:r>
        <w:rPr>
          <w:rFonts w:ascii="Times New Roman" w:eastAsia="仿宋"/>
          <w:bCs/>
          <w:sz w:val="28"/>
          <w:szCs w:val="28"/>
        </w:rPr>
        <w:t>监测结果表明，</w:t>
      </w:r>
      <w:r>
        <w:rPr>
          <w:rFonts w:ascii="Times New Roman" w:eastAsia="仿宋"/>
          <w:sz w:val="28"/>
        </w:rPr>
        <w:t>各厂界昼夜间噪声均符合</w:t>
      </w:r>
      <w:r>
        <w:rPr>
          <w:rFonts w:ascii="Times New Roman" w:eastAsia="仿宋"/>
          <w:sz w:val="28"/>
          <w:szCs w:val="28"/>
        </w:rPr>
        <w:t>《声环境质量标准》（GB12348-2008）中3类标准</w:t>
      </w:r>
      <w:r>
        <w:rPr>
          <w:rFonts w:ascii="Times New Roman" w:eastAsia="仿宋"/>
          <w:snapToGrid w:val="0"/>
          <w:sz w:val="28"/>
          <w:szCs w:val="28"/>
        </w:rPr>
        <w:t>。</w:t>
      </w:r>
    </w:p>
    <w:p w14:paraId="269CBBAA">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（4）地下水环境质量现状</w:t>
      </w:r>
    </w:p>
    <w:p w14:paraId="3D95C2E9">
      <w:pPr>
        <w:spacing w:line="500" w:lineRule="exact"/>
        <w:ind w:firstLine="560" w:firstLineChars="200"/>
        <w:rPr>
          <w:rFonts w:ascii="Times New Roman" w:eastAsia="仿宋"/>
          <w:sz w:val="28"/>
        </w:rPr>
      </w:pPr>
      <w:r>
        <w:rPr>
          <w:rFonts w:ascii="Times New Roman" w:eastAsia="仿宋"/>
          <w:snapToGrid w:val="0"/>
          <w:sz w:val="28"/>
          <w:szCs w:val="28"/>
        </w:rPr>
        <w:t>从地下水监测评价结果可知</w:t>
      </w:r>
      <w:r>
        <w:rPr>
          <w:rFonts w:ascii="Times New Roman" w:eastAsia="仿宋"/>
          <w:sz w:val="28"/>
          <w:szCs w:val="28"/>
        </w:rPr>
        <w:t>，目前该区域地下水中除</w:t>
      </w:r>
      <w:r>
        <w:rPr>
          <w:rFonts w:hint="eastAsia" w:ascii="Times New Roman" w:eastAsia="仿宋"/>
          <w:sz w:val="28"/>
          <w:szCs w:val="28"/>
        </w:rPr>
        <w:t>DI、D2点硝酸根、D1、D2、D3点</w:t>
      </w:r>
      <w:r>
        <w:rPr>
          <w:rFonts w:ascii="Times New Roman" w:eastAsia="仿宋"/>
          <w:sz w:val="28"/>
          <w:szCs w:val="28"/>
        </w:rPr>
        <w:t>总大肠杆菌符合《地下水质量标准》（GB/T14848-2017）中的Ⅴ类标准，其余因子均符合Ⅳ类及以上标准。</w:t>
      </w:r>
    </w:p>
    <w:p w14:paraId="3079CF57">
      <w:pPr>
        <w:spacing w:line="500" w:lineRule="exact"/>
        <w:ind w:firstLine="560" w:firstLineChars="200"/>
        <w:rPr>
          <w:rFonts w:ascii="Times New Roman" w:eastAsia="仿宋"/>
          <w:sz w:val="28"/>
        </w:rPr>
      </w:pPr>
      <w:r>
        <w:rPr>
          <w:rFonts w:ascii="Times New Roman" w:eastAsia="仿宋"/>
          <w:sz w:val="28"/>
          <w:szCs w:val="28"/>
        </w:rPr>
        <w:t>。</w:t>
      </w:r>
    </w:p>
    <w:p w14:paraId="0A2D7E76">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（5）土壤环境质量现状</w:t>
      </w:r>
    </w:p>
    <w:p w14:paraId="46D864DA">
      <w:pPr>
        <w:spacing w:line="480" w:lineRule="exact"/>
        <w:ind w:firstLine="555"/>
        <w:rPr>
          <w:rFonts w:ascii="Times New Roman" w:eastAsia="仿宋"/>
          <w:snapToGrid w:val="0"/>
          <w:sz w:val="28"/>
          <w:szCs w:val="28"/>
        </w:rPr>
      </w:pPr>
      <w:r>
        <w:rPr>
          <w:rFonts w:ascii="Times New Roman" w:eastAsia="仿宋"/>
          <w:bCs/>
          <w:sz w:val="28"/>
          <w:szCs w:val="28"/>
        </w:rPr>
        <w:t>根据监测结果，该区域</w:t>
      </w:r>
      <w:r>
        <w:rPr>
          <w:rFonts w:ascii="Times New Roman" w:eastAsia="仿宋"/>
          <w:sz w:val="28"/>
          <w:szCs w:val="28"/>
        </w:rPr>
        <w:t>所测各项土壤指标均</w:t>
      </w:r>
      <w:r>
        <w:rPr>
          <w:rFonts w:hint="eastAsia" w:ascii="Times New Roman" w:eastAsia="仿宋"/>
          <w:sz w:val="28"/>
          <w:szCs w:val="28"/>
        </w:rPr>
        <w:t>低于</w:t>
      </w:r>
      <w:r>
        <w:rPr>
          <w:rFonts w:ascii="Times New Roman" w:eastAsia="仿宋"/>
          <w:sz w:val="28"/>
          <w:szCs w:val="28"/>
        </w:rPr>
        <w:t>国家《土壤环境质量建设用地土壤污染风险管控标准（试行）》(GB36600-2018)中第二类用地</w:t>
      </w:r>
      <w:r>
        <w:rPr>
          <w:rFonts w:hint="eastAsia" w:ascii="Times New Roman" w:eastAsia="仿宋"/>
          <w:sz w:val="28"/>
          <w:szCs w:val="28"/>
        </w:rPr>
        <w:t>土壤污染风险筛选值</w:t>
      </w:r>
      <w:r>
        <w:rPr>
          <w:rFonts w:ascii="Times New Roman" w:eastAsia="仿宋"/>
          <w:sz w:val="28"/>
          <w:szCs w:val="28"/>
        </w:rPr>
        <w:t>。</w:t>
      </w:r>
    </w:p>
    <w:p w14:paraId="12CC5B3C">
      <w:pPr>
        <w:pStyle w:val="5"/>
        <w:numPr>
          <w:ilvl w:val="0"/>
          <w:numId w:val="0"/>
        </w:numPr>
        <w:rPr>
          <w:rFonts w:eastAsia="仿宋"/>
          <w:color w:val="auto"/>
        </w:rPr>
      </w:pPr>
      <w:bookmarkStart w:id="539" w:name="_Toc182553845"/>
      <w:r>
        <w:rPr>
          <w:rFonts w:hint="eastAsia" w:eastAsia="仿宋"/>
          <w:color w:val="auto"/>
        </w:rPr>
        <w:t>9</w:t>
      </w:r>
      <w:r>
        <w:rPr>
          <w:rFonts w:eastAsia="仿宋"/>
          <w:color w:val="auto"/>
        </w:rPr>
        <w:t>.3污染物排放情况</w:t>
      </w:r>
      <w:bookmarkEnd w:id="539"/>
    </w:p>
    <w:p w14:paraId="71BC3060">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（1）废气</w:t>
      </w:r>
    </w:p>
    <w:p w14:paraId="690DD35F">
      <w:pPr>
        <w:autoSpaceDE w:val="0"/>
        <w:autoSpaceDN w:val="0"/>
        <w:spacing w:line="480" w:lineRule="exact"/>
        <w:ind w:firstLine="560" w:firstLineChars="200"/>
        <w:rPr>
          <w:rFonts w:ascii="Times New Roman" w:eastAsia="仿宋"/>
          <w:snapToGrid w:val="0"/>
          <w:sz w:val="28"/>
          <w:szCs w:val="28"/>
        </w:rPr>
      </w:pPr>
      <w:r>
        <w:rPr>
          <w:rFonts w:ascii="Times New Roman" w:eastAsia="仿宋"/>
          <w:sz w:val="28"/>
          <w:szCs w:val="28"/>
        </w:rPr>
        <w:t>本项目废气通过采取有效的治理措施后能够达标排放，无组织废气厂界达标。全厂不设大气环境防护距离，</w:t>
      </w:r>
      <w:r>
        <w:rPr>
          <w:rFonts w:hint="eastAsia" w:ascii="Times New Roman" w:eastAsia="仿宋"/>
          <w:sz w:val="28"/>
          <w:szCs w:val="28"/>
        </w:rPr>
        <w:t>本项目</w:t>
      </w:r>
      <w:r>
        <w:rPr>
          <w:rFonts w:ascii="Times New Roman" w:eastAsia="仿宋"/>
          <w:sz w:val="28"/>
          <w:szCs w:val="28"/>
        </w:rPr>
        <w:t>的卫生防护距离为</w:t>
      </w:r>
      <w:r>
        <w:rPr>
          <w:rFonts w:hint="eastAsia" w:ascii="Times New Roman" w:eastAsia="仿宋"/>
          <w:sz w:val="28"/>
          <w:szCs w:val="28"/>
        </w:rPr>
        <w:t>1号、2号、4号钣金车间边界外扩50米范围、3号喷涂车间外扩100米范围形成的最大包络线</w:t>
      </w:r>
      <w:r>
        <w:rPr>
          <w:rFonts w:ascii="Times New Roman" w:eastAsia="仿宋"/>
          <w:sz w:val="28"/>
          <w:szCs w:val="28"/>
        </w:rPr>
        <w:t>区域。在此范围内无居民点等环境敏感目标，今后也不得新建各类居民点和环境保护目标。</w:t>
      </w:r>
    </w:p>
    <w:p w14:paraId="30027B1C">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（2）废水</w:t>
      </w:r>
    </w:p>
    <w:p w14:paraId="3D0651BB">
      <w:pPr>
        <w:spacing w:line="480"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生产废水（包括脱脂清洗废水、水洗槽废水）进入厂区污水处理站处理后与生活污水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处理，尾水排入</w:t>
      </w:r>
      <w:r>
        <w:rPr>
          <w:rFonts w:hint="eastAsia" w:ascii="Times New Roman" w:eastAsia="仿宋"/>
          <w:sz w:val="28"/>
          <w:szCs w:val="28"/>
        </w:rPr>
        <w:t>通济河</w:t>
      </w:r>
      <w:r>
        <w:rPr>
          <w:rFonts w:ascii="Times New Roman" w:eastAsia="仿宋"/>
          <w:sz w:val="28"/>
          <w:szCs w:val="28"/>
        </w:rPr>
        <w:t>。</w:t>
      </w:r>
    </w:p>
    <w:p w14:paraId="3E8804EB">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（3）噪声</w:t>
      </w:r>
    </w:p>
    <w:p w14:paraId="2F1268CA">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经采取报告中提出的各种噪声治理措施，同时对项目设备采取原环评中的噪声治理措施并保证设备正常运转的前提下，项目厂界噪声可以达到</w:t>
      </w:r>
      <w:r>
        <w:rPr>
          <w:rFonts w:ascii="Times New Roman" w:eastAsia="仿宋"/>
          <w:sz w:val="28"/>
        </w:rPr>
        <w:t>《</w:t>
      </w:r>
      <w:r>
        <w:rPr>
          <w:rFonts w:ascii="Times New Roman" w:eastAsia="仿宋"/>
          <w:sz w:val="28"/>
          <w:szCs w:val="28"/>
        </w:rPr>
        <w:t>工业企业厂界环境噪声排放标准》（GB12348-2008）中3类标准</w:t>
      </w:r>
      <w:r>
        <w:rPr>
          <w:rFonts w:ascii="Times New Roman" w:eastAsia="仿宋"/>
          <w:snapToGrid w:val="0"/>
          <w:sz w:val="28"/>
          <w:szCs w:val="28"/>
        </w:rPr>
        <w:t>。</w:t>
      </w:r>
    </w:p>
    <w:p w14:paraId="6DECDCFB">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（4）固体废物</w:t>
      </w:r>
    </w:p>
    <w:p w14:paraId="671677C9">
      <w:pPr>
        <w:spacing w:line="480" w:lineRule="exact"/>
        <w:ind w:firstLine="555"/>
        <w:rPr>
          <w:rFonts w:ascii="Times New Roman" w:eastAsia="仿宋"/>
          <w:snapToGrid w:val="0"/>
          <w:sz w:val="28"/>
          <w:szCs w:val="28"/>
        </w:rPr>
      </w:pPr>
      <w:r>
        <w:rPr>
          <w:rFonts w:ascii="Times New Roman" w:eastAsia="仿宋"/>
          <w:bCs/>
          <w:sz w:val="28"/>
          <w:szCs w:val="28"/>
        </w:rPr>
        <w:t>本项目产生的</w:t>
      </w:r>
      <w:r>
        <w:rPr>
          <w:rFonts w:hint="eastAsia" w:ascii="Times New Roman" w:eastAsia="仿宋"/>
          <w:bCs/>
          <w:sz w:val="28"/>
          <w:szCs w:val="28"/>
        </w:rPr>
        <w:t>废边角料、不合格品、焊渣、废塑粉、废一般包装、不合格品、废滤筒、收集尘、湿渣均外售综合利用；钝化废水、水洗废水、水帘废水、废清洗液、漆渣、废包装桶、废机油、废催化剂、污泥、废过滤介质、废过滤棉、废有机溶剂、废手套均</w:t>
      </w:r>
      <w:r>
        <w:rPr>
          <w:rFonts w:ascii="Times New Roman" w:eastAsia="仿宋"/>
          <w:bCs/>
          <w:sz w:val="28"/>
          <w:szCs w:val="28"/>
        </w:rPr>
        <w:t>委托有资质单位处置</w:t>
      </w:r>
      <w:r>
        <w:rPr>
          <w:rFonts w:hint="eastAsia" w:ascii="Times New Roman" w:eastAsia="仿宋"/>
          <w:bCs/>
          <w:sz w:val="28"/>
          <w:szCs w:val="28"/>
        </w:rPr>
        <w:t>；</w:t>
      </w:r>
      <w:r>
        <w:rPr>
          <w:rFonts w:ascii="Times New Roman" w:eastAsia="仿宋"/>
          <w:bCs/>
          <w:sz w:val="28"/>
          <w:szCs w:val="28"/>
        </w:rPr>
        <w:t>生活垃圾委托环卫部门清运</w:t>
      </w:r>
      <w:r>
        <w:rPr>
          <w:rFonts w:ascii="Times New Roman" w:eastAsia="仿宋"/>
          <w:kern w:val="44"/>
          <w:sz w:val="28"/>
          <w:szCs w:val="28"/>
        </w:rPr>
        <w:t>。</w:t>
      </w:r>
    </w:p>
    <w:p w14:paraId="48286942">
      <w:pPr>
        <w:pStyle w:val="5"/>
        <w:numPr>
          <w:ilvl w:val="0"/>
          <w:numId w:val="0"/>
        </w:numPr>
        <w:rPr>
          <w:rFonts w:eastAsia="仿宋"/>
          <w:color w:val="auto"/>
        </w:rPr>
      </w:pPr>
      <w:bookmarkStart w:id="540" w:name="_Toc182553846"/>
      <w:r>
        <w:rPr>
          <w:rFonts w:hint="eastAsia" w:eastAsia="仿宋"/>
          <w:color w:val="auto"/>
        </w:rPr>
        <w:t>9</w:t>
      </w:r>
      <w:r>
        <w:rPr>
          <w:rFonts w:eastAsia="仿宋"/>
          <w:color w:val="auto"/>
        </w:rPr>
        <w:t>.4主要环境影响</w:t>
      </w:r>
      <w:bookmarkEnd w:id="540"/>
    </w:p>
    <w:p w14:paraId="4429BC1F">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（1）大气环境影响分析</w:t>
      </w:r>
    </w:p>
    <w:p w14:paraId="4E64BDC6">
      <w:pPr>
        <w:autoSpaceDE w:val="0"/>
        <w:autoSpaceDN w:val="0"/>
        <w:spacing w:line="480" w:lineRule="exact"/>
        <w:ind w:firstLine="560" w:firstLineChars="200"/>
        <w:rPr>
          <w:rFonts w:ascii="Times New Roman" w:eastAsia="仿宋"/>
          <w:sz w:val="28"/>
          <w:szCs w:val="28"/>
        </w:rPr>
      </w:pPr>
      <w:r>
        <w:rPr>
          <w:rFonts w:ascii="Times New Roman" w:eastAsia="仿宋"/>
          <w:sz w:val="28"/>
          <w:szCs w:val="28"/>
        </w:rPr>
        <w:t>根据大气环境影响分析，项目有组织排放的大气污染物对周围环境的影响较小，周围环境基本能够维持现状，满足《环境空气质量标准》（GB3095-2012）二级标准、《大气污染物综合排放标准详解》选用标准</w:t>
      </w:r>
      <w:r>
        <w:rPr>
          <w:rFonts w:hint="eastAsia" w:ascii="Times New Roman" w:eastAsia="仿宋"/>
          <w:sz w:val="28"/>
          <w:szCs w:val="28"/>
        </w:rPr>
        <w:t>、《环境影响评价技术导则 大气环境》（HJ2.2-2018）附录D标准限值。</w:t>
      </w:r>
    </w:p>
    <w:p w14:paraId="16BB21FD">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（2）地表水环境影响分析</w:t>
      </w:r>
    </w:p>
    <w:p w14:paraId="7FF38F2F">
      <w:pPr>
        <w:spacing w:line="500" w:lineRule="exact"/>
        <w:ind w:firstLine="560" w:firstLineChars="200"/>
        <w:rPr>
          <w:rFonts w:ascii="Times New Roman" w:eastAsia="仿宋"/>
          <w:sz w:val="28"/>
          <w:szCs w:val="28"/>
        </w:rPr>
      </w:pPr>
      <w:r>
        <w:rPr>
          <w:rFonts w:ascii="Times New Roman" w:eastAsia="仿宋"/>
          <w:sz w:val="28"/>
          <w:szCs w:val="28"/>
        </w:rPr>
        <w:t>本项目</w:t>
      </w:r>
      <w:r>
        <w:rPr>
          <w:rFonts w:hint="eastAsia" w:ascii="Times New Roman" w:eastAsia="仿宋"/>
          <w:sz w:val="28"/>
          <w:szCs w:val="28"/>
        </w:rPr>
        <w:t>生产废水（包括脱脂清洗废水、水洗槽废水）进入厂区污水处理站处理后与生活污水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处理，尾水排入</w:t>
      </w:r>
      <w:r>
        <w:rPr>
          <w:rFonts w:hint="eastAsia" w:ascii="Times New Roman" w:eastAsia="仿宋"/>
          <w:sz w:val="28"/>
          <w:szCs w:val="28"/>
        </w:rPr>
        <w:t>通济河，</w:t>
      </w:r>
      <w:r>
        <w:rPr>
          <w:rFonts w:ascii="Times New Roman" w:eastAsia="仿宋"/>
          <w:bCs/>
          <w:sz w:val="28"/>
          <w:szCs w:val="28"/>
        </w:rPr>
        <w:t>本项目所排放污水对项目附近地表水水体无直接影响。</w:t>
      </w:r>
    </w:p>
    <w:p w14:paraId="0359E3ED">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（3）噪声环境影响分析</w:t>
      </w:r>
    </w:p>
    <w:p w14:paraId="1135D0EC">
      <w:pPr>
        <w:autoSpaceDE w:val="0"/>
        <w:autoSpaceDN w:val="0"/>
        <w:spacing w:line="480" w:lineRule="exact"/>
        <w:ind w:firstLine="560" w:firstLineChars="200"/>
        <w:rPr>
          <w:rFonts w:ascii="Times New Roman" w:eastAsia="仿宋"/>
          <w:snapToGrid w:val="0"/>
          <w:sz w:val="28"/>
          <w:szCs w:val="28"/>
        </w:rPr>
      </w:pPr>
      <w:r>
        <w:rPr>
          <w:rFonts w:ascii="Times New Roman" w:eastAsia="仿宋"/>
          <w:sz w:val="28"/>
          <w:szCs w:val="28"/>
        </w:rPr>
        <w:t>本项目噪声经过预测，</w:t>
      </w:r>
      <w:r>
        <w:rPr>
          <w:rFonts w:ascii="Times New Roman" w:eastAsia="仿宋"/>
          <w:sz w:val="28"/>
        </w:rPr>
        <w:t>各厂界昼、夜间噪声预测值均符合《</w:t>
      </w:r>
      <w:r>
        <w:rPr>
          <w:rFonts w:ascii="Times New Roman" w:eastAsia="仿宋"/>
          <w:sz w:val="28"/>
          <w:szCs w:val="28"/>
        </w:rPr>
        <w:t>工业企业厂界环境噪声排放标准》（GB12348-2008）中3类</w:t>
      </w:r>
      <w:r>
        <w:rPr>
          <w:rFonts w:hint="eastAsia" w:ascii="Times New Roman" w:eastAsia="仿宋"/>
          <w:sz w:val="28"/>
          <w:szCs w:val="28"/>
        </w:rPr>
        <w:t>标准</w:t>
      </w:r>
      <w:r>
        <w:rPr>
          <w:rFonts w:ascii="Times New Roman" w:eastAsia="仿宋"/>
          <w:snapToGrid w:val="0"/>
          <w:sz w:val="28"/>
          <w:szCs w:val="28"/>
        </w:rPr>
        <w:t>。</w:t>
      </w:r>
    </w:p>
    <w:p w14:paraId="71ECF7BD">
      <w:pPr>
        <w:autoSpaceDE w:val="0"/>
        <w:autoSpaceDN w:val="0"/>
        <w:spacing w:line="480" w:lineRule="exact"/>
        <w:ind w:firstLine="560" w:firstLineChars="200"/>
        <w:rPr>
          <w:rFonts w:ascii="Times New Roman" w:eastAsia="仿宋"/>
          <w:snapToGrid w:val="0"/>
          <w:sz w:val="28"/>
          <w:szCs w:val="28"/>
        </w:rPr>
      </w:pPr>
      <w:r>
        <w:rPr>
          <w:rFonts w:ascii="Times New Roman" w:eastAsia="仿宋"/>
          <w:snapToGrid w:val="0"/>
          <w:sz w:val="28"/>
          <w:szCs w:val="28"/>
        </w:rPr>
        <w:t>（4）固体废物环境影响分析</w:t>
      </w:r>
    </w:p>
    <w:p w14:paraId="6B78BA0A">
      <w:pPr>
        <w:spacing w:line="480" w:lineRule="exact"/>
        <w:ind w:firstLine="555"/>
        <w:rPr>
          <w:rFonts w:ascii="Times New Roman" w:eastAsia="仿宋"/>
          <w:snapToGrid w:val="0"/>
          <w:sz w:val="28"/>
          <w:szCs w:val="28"/>
        </w:rPr>
      </w:pPr>
      <w:r>
        <w:rPr>
          <w:rFonts w:ascii="Times New Roman" w:eastAsia="仿宋"/>
          <w:sz w:val="28"/>
        </w:rPr>
        <w:t>本项目产生的固废处理处置率100%，不会对周围环境产生二次影响。</w:t>
      </w:r>
    </w:p>
    <w:p w14:paraId="6C18B9E5">
      <w:pPr>
        <w:pStyle w:val="5"/>
        <w:numPr>
          <w:ilvl w:val="0"/>
          <w:numId w:val="0"/>
        </w:numPr>
        <w:rPr>
          <w:rFonts w:eastAsia="仿宋"/>
          <w:color w:val="auto"/>
        </w:rPr>
      </w:pPr>
      <w:bookmarkStart w:id="541" w:name="_Toc182553847"/>
      <w:r>
        <w:rPr>
          <w:rFonts w:hint="eastAsia" w:eastAsia="仿宋"/>
          <w:color w:val="auto"/>
        </w:rPr>
        <w:t>9</w:t>
      </w:r>
      <w:r>
        <w:rPr>
          <w:rFonts w:eastAsia="仿宋"/>
          <w:color w:val="auto"/>
        </w:rPr>
        <w:t>.5公众意见采纳情况</w:t>
      </w:r>
      <w:bookmarkEnd w:id="541"/>
    </w:p>
    <w:p w14:paraId="1A63019E">
      <w:pPr>
        <w:spacing w:line="500" w:lineRule="exact"/>
        <w:ind w:firstLine="561"/>
        <w:rPr>
          <w:rFonts w:ascii="Times New Roman" w:eastAsia="仿宋"/>
          <w:snapToGrid w:val="0"/>
          <w:sz w:val="28"/>
          <w:szCs w:val="28"/>
          <w:highlight w:val="yellow"/>
        </w:rPr>
      </w:pPr>
      <w:r>
        <w:rPr>
          <w:rFonts w:ascii="Times New Roman" w:eastAsia="仿宋"/>
          <w:sz w:val="28"/>
          <w:szCs w:val="28"/>
        </w:rPr>
        <w:t>按照《环境影响评价公众参与暂行办法》的规定，本次公众参与以公开公正为原则，公众参与的形式主要有网上公示、发放公众参与调查表。对于公众提出的“建设单位应按相关环保法律法规办理环保手续，做好环保工作；“三废”治理达标排放，减少对周围环境的污染，做到厂界无异味；严格执行环保“三同时”制度，接受公众的监督”等意见；建设方表示采纳。在今后项目实施过程中充分考虑“三废”的有效收集处理，加强日常管理确保污染物稳定达标排放，最大限度地降低对周围环境的影响。</w:t>
      </w:r>
    </w:p>
    <w:p w14:paraId="773C4C2B">
      <w:pPr>
        <w:pStyle w:val="5"/>
        <w:numPr>
          <w:ilvl w:val="0"/>
          <w:numId w:val="0"/>
        </w:numPr>
        <w:rPr>
          <w:rFonts w:eastAsia="仿宋"/>
          <w:color w:val="auto"/>
        </w:rPr>
      </w:pPr>
      <w:bookmarkStart w:id="542" w:name="_Toc182553848"/>
      <w:r>
        <w:rPr>
          <w:rFonts w:hint="eastAsia" w:eastAsia="仿宋"/>
          <w:color w:val="auto"/>
        </w:rPr>
        <w:t>9</w:t>
      </w:r>
      <w:r>
        <w:rPr>
          <w:rFonts w:eastAsia="仿宋"/>
          <w:color w:val="auto"/>
        </w:rPr>
        <w:t>.6环境保护措施</w:t>
      </w:r>
      <w:bookmarkEnd w:id="542"/>
    </w:p>
    <w:p w14:paraId="355C8F09">
      <w:pPr>
        <w:spacing w:line="500" w:lineRule="exact"/>
        <w:ind w:firstLine="561"/>
        <w:rPr>
          <w:rFonts w:ascii="Times New Roman" w:eastAsia="仿宋"/>
          <w:snapToGrid w:val="0"/>
          <w:sz w:val="28"/>
          <w:szCs w:val="28"/>
        </w:rPr>
      </w:pPr>
      <w:r>
        <w:rPr>
          <w:rFonts w:ascii="Times New Roman" w:eastAsia="仿宋"/>
          <w:snapToGrid w:val="0"/>
          <w:sz w:val="28"/>
          <w:szCs w:val="28"/>
        </w:rPr>
        <w:t>（1）废气</w:t>
      </w:r>
    </w:p>
    <w:p w14:paraId="5F0A3E20">
      <w:pPr>
        <w:spacing w:line="500" w:lineRule="exact"/>
        <w:ind w:firstLine="561"/>
        <w:rPr>
          <w:rFonts w:ascii="Times New Roman" w:eastAsia="仿宋"/>
          <w:snapToGrid w:val="0"/>
          <w:sz w:val="28"/>
          <w:szCs w:val="28"/>
        </w:rPr>
      </w:pPr>
      <w:r>
        <w:rPr>
          <w:rFonts w:ascii="Times New Roman" w:eastAsia="仿宋"/>
          <w:snapToGrid w:val="0"/>
          <w:sz w:val="28"/>
          <w:szCs w:val="28"/>
        </w:rPr>
        <w:t>1、</w:t>
      </w:r>
      <w:r>
        <w:rPr>
          <w:rFonts w:hint="eastAsia" w:ascii="Times New Roman" w:eastAsia="仿宋"/>
          <w:snapToGrid w:val="0"/>
          <w:sz w:val="28"/>
          <w:szCs w:val="28"/>
        </w:rPr>
        <w:t>打磨产生的粉尘在密闭的抛丸室内收集后送入1套“湿式除尘装置处理”后，通过</w:t>
      </w:r>
      <w:r>
        <w:rPr>
          <w:rFonts w:ascii="Times New Roman" w:eastAsia="仿宋"/>
          <w:snapToGrid w:val="0"/>
          <w:sz w:val="28"/>
          <w:szCs w:val="28"/>
        </w:rPr>
        <w:t>1根15m高排气筒1#排放</w:t>
      </w:r>
      <w:r>
        <w:rPr>
          <w:rFonts w:hint="eastAsia" w:ascii="Times New Roman" w:eastAsia="仿宋"/>
          <w:snapToGrid w:val="0"/>
          <w:sz w:val="28"/>
          <w:szCs w:val="28"/>
        </w:rPr>
        <w:t>。</w:t>
      </w:r>
    </w:p>
    <w:p w14:paraId="3C5C875C">
      <w:pPr>
        <w:spacing w:line="500" w:lineRule="exact"/>
        <w:ind w:firstLine="561"/>
        <w:rPr>
          <w:rFonts w:ascii="Times New Roman" w:eastAsia="仿宋"/>
          <w:snapToGrid w:val="0"/>
          <w:sz w:val="28"/>
          <w:szCs w:val="28"/>
        </w:rPr>
      </w:pPr>
      <w:r>
        <w:rPr>
          <w:rFonts w:ascii="Times New Roman" w:eastAsia="仿宋"/>
          <w:snapToGrid w:val="0"/>
          <w:sz w:val="28"/>
          <w:szCs w:val="28"/>
        </w:rPr>
        <w:t>2</w:t>
      </w:r>
      <w:r>
        <w:rPr>
          <w:rFonts w:hint="eastAsia" w:ascii="Times New Roman" w:eastAsia="仿宋"/>
          <w:snapToGrid w:val="0"/>
          <w:sz w:val="28"/>
          <w:szCs w:val="28"/>
        </w:rPr>
        <w:t>、钝化废气、氟碳底漆喷漆废气、氟碳底漆喷漆漆雾、氟碳底漆流平废气经密闭空间整体换风收集后送入1套“1号水帘式循环过滤系统+水喷淋+干式过滤器+三级活性炭吸附脱附+催化燃烧装置”处理后与天然气燃烧产生的废气合并通过1</w:t>
      </w:r>
      <w:r>
        <w:rPr>
          <w:rFonts w:ascii="Times New Roman" w:eastAsia="仿宋"/>
          <w:snapToGrid w:val="0"/>
          <w:sz w:val="28"/>
          <w:szCs w:val="28"/>
        </w:rPr>
        <w:t>根15m高排气筒</w:t>
      </w:r>
      <w:r>
        <w:rPr>
          <w:rFonts w:hint="eastAsia" w:ascii="Times New Roman" w:eastAsia="仿宋"/>
          <w:snapToGrid w:val="0"/>
          <w:sz w:val="28"/>
          <w:szCs w:val="28"/>
        </w:rPr>
        <w:t>2</w:t>
      </w:r>
      <w:r>
        <w:rPr>
          <w:rFonts w:ascii="Times New Roman" w:eastAsia="仿宋"/>
          <w:snapToGrid w:val="0"/>
          <w:sz w:val="28"/>
          <w:szCs w:val="28"/>
        </w:rPr>
        <w:t>#排放</w:t>
      </w:r>
      <w:r>
        <w:rPr>
          <w:rFonts w:hint="eastAsia" w:ascii="Times New Roman" w:eastAsia="仿宋"/>
          <w:snapToGrid w:val="0"/>
          <w:sz w:val="28"/>
          <w:szCs w:val="28"/>
        </w:rPr>
        <w:t>。</w:t>
      </w:r>
    </w:p>
    <w:p w14:paraId="05C19B11">
      <w:pPr>
        <w:spacing w:line="500" w:lineRule="exact"/>
        <w:ind w:firstLine="561"/>
        <w:rPr>
          <w:rFonts w:ascii="Times New Roman" w:eastAsia="仿宋"/>
          <w:snapToGrid w:val="0"/>
          <w:sz w:val="28"/>
          <w:szCs w:val="28"/>
        </w:rPr>
      </w:pPr>
      <w:r>
        <w:rPr>
          <w:rFonts w:ascii="Times New Roman" w:eastAsia="仿宋"/>
          <w:snapToGrid w:val="0"/>
          <w:sz w:val="28"/>
          <w:szCs w:val="28"/>
        </w:rPr>
        <w:t>3</w:t>
      </w:r>
      <w:r>
        <w:rPr>
          <w:rFonts w:hint="eastAsia" w:ascii="Times New Roman" w:eastAsia="仿宋"/>
          <w:snapToGrid w:val="0"/>
          <w:sz w:val="28"/>
          <w:szCs w:val="28"/>
        </w:rPr>
        <w:t>、氟碳面漆、底漆调漆废气、氟碳面漆喷漆废气、氟碳面漆喷漆漆雾、氟碳面漆流平废气、喷枪清洗废气经密闭空间整体换风收集后通过1套“2号水帘式循环过滤系统+水喷淋+干式过滤器+三级活性炭吸附脱附+催化燃烧装置”后，通过1</w:t>
      </w:r>
      <w:r>
        <w:rPr>
          <w:rFonts w:ascii="Times New Roman" w:eastAsia="仿宋"/>
          <w:snapToGrid w:val="0"/>
          <w:sz w:val="28"/>
          <w:szCs w:val="28"/>
        </w:rPr>
        <w:t>根15m高排气筒</w:t>
      </w:r>
      <w:r>
        <w:rPr>
          <w:rFonts w:hint="eastAsia" w:ascii="Times New Roman" w:eastAsia="仿宋"/>
          <w:snapToGrid w:val="0"/>
          <w:sz w:val="28"/>
          <w:szCs w:val="28"/>
        </w:rPr>
        <w:t>3</w:t>
      </w:r>
      <w:r>
        <w:rPr>
          <w:rFonts w:ascii="Times New Roman" w:eastAsia="仿宋"/>
          <w:snapToGrid w:val="0"/>
          <w:sz w:val="28"/>
          <w:szCs w:val="28"/>
        </w:rPr>
        <w:t>#排放</w:t>
      </w:r>
      <w:r>
        <w:rPr>
          <w:rFonts w:hint="eastAsia" w:ascii="Times New Roman" w:eastAsia="仿宋"/>
          <w:snapToGrid w:val="0"/>
          <w:sz w:val="28"/>
          <w:szCs w:val="28"/>
        </w:rPr>
        <w:t>。</w:t>
      </w:r>
    </w:p>
    <w:p w14:paraId="7A764599">
      <w:pPr>
        <w:spacing w:line="500" w:lineRule="exact"/>
        <w:ind w:firstLine="561"/>
        <w:rPr>
          <w:rFonts w:ascii="Times New Roman" w:eastAsia="仿宋"/>
          <w:snapToGrid w:val="0"/>
          <w:sz w:val="28"/>
          <w:szCs w:val="28"/>
        </w:rPr>
      </w:pPr>
      <w:r>
        <w:rPr>
          <w:rFonts w:ascii="Times New Roman" w:eastAsia="仿宋"/>
          <w:snapToGrid w:val="0"/>
          <w:sz w:val="28"/>
          <w:szCs w:val="28"/>
        </w:rPr>
        <w:t>4</w:t>
      </w:r>
      <w:r>
        <w:rPr>
          <w:rFonts w:hint="eastAsia" w:ascii="Times New Roman" w:eastAsia="仿宋"/>
          <w:snapToGrid w:val="0"/>
          <w:sz w:val="28"/>
          <w:szCs w:val="28"/>
        </w:rPr>
        <w:t>、固化废气、氟碳面漆烘干废气、氟碳底漆烘干废气经密闭空间整体换风收集后通过1套“</w:t>
      </w:r>
      <w:r>
        <w:rPr>
          <w:rFonts w:ascii="Times New Roman" w:eastAsia="仿宋"/>
          <w:snapToGrid w:val="0"/>
          <w:sz w:val="28"/>
          <w:szCs w:val="28"/>
        </w:rPr>
        <w:t>3</w:t>
      </w:r>
      <w:r>
        <w:rPr>
          <w:rFonts w:hint="eastAsia" w:ascii="Times New Roman" w:eastAsia="仿宋"/>
          <w:snapToGrid w:val="0"/>
          <w:sz w:val="28"/>
          <w:szCs w:val="28"/>
        </w:rPr>
        <w:t>号水帘式循环过滤系统+水喷淋+干式过滤器+三级活性炭吸附脱附+催化燃烧装置”处理后与天然气燃烧产生的废气合并通过1</w:t>
      </w:r>
      <w:r>
        <w:rPr>
          <w:rFonts w:ascii="Times New Roman" w:eastAsia="仿宋"/>
          <w:snapToGrid w:val="0"/>
          <w:sz w:val="28"/>
          <w:szCs w:val="28"/>
        </w:rPr>
        <w:t>根15m高排气筒4#排放</w:t>
      </w:r>
      <w:r>
        <w:rPr>
          <w:rFonts w:hint="eastAsia" w:ascii="Times New Roman" w:eastAsia="仿宋"/>
          <w:snapToGrid w:val="0"/>
          <w:sz w:val="28"/>
          <w:szCs w:val="28"/>
        </w:rPr>
        <w:t>。</w:t>
      </w:r>
    </w:p>
    <w:p w14:paraId="01057D7B">
      <w:pPr>
        <w:spacing w:line="500" w:lineRule="exact"/>
        <w:ind w:firstLine="561"/>
        <w:rPr>
          <w:rFonts w:ascii="Times New Roman" w:eastAsia="仿宋"/>
          <w:snapToGrid w:val="0"/>
          <w:sz w:val="28"/>
          <w:szCs w:val="28"/>
        </w:rPr>
      </w:pPr>
      <w:r>
        <w:rPr>
          <w:rFonts w:ascii="Times New Roman" w:eastAsia="仿宋"/>
          <w:snapToGrid w:val="0"/>
          <w:sz w:val="28"/>
          <w:szCs w:val="28"/>
        </w:rPr>
        <w:t>5</w:t>
      </w:r>
      <w:r>
        <w:rPr>
          <w:rFonts w:hint="eastAsia" w:ascii="Times New Roman" w:eastAsia="仿宋"/>
          <w:snapToGrid w:val="0"/>
          <w:sz w:val="28"/>
          <w:szCs w:val="28"/>
        </w:rPr>
        <w:t>、喷塑粉尘通过集气罩收集后送入1套“滤筒过滤除尘器”处置，最终通过1</w:t>
      </w:r>
      <w:r>
        <w:rPr>
          <w:rFonts w:ascii="Times New Roman" w:eastAsia="仿宋"/>
          <w:snapToGrid w:val="0"/>
          <w:sz w:val="28"/>
          <w:szCs w:val="28"/>
        </w:rPr>
        <w:t>根15m高排气筒</w:t>
      </w:r>
      <w:r>
        <w:rPr>
          <w:rFonts w:hint="eastAsia" w:ascii="Times New Roman" w:eastAsia="仿宋"/>
          <w:snapToGrid w:val="0"/>
          <w:sz w:val="28"/>
          <w:szCs w:val="28"/>
        </w:rPr>
        <w:t>5</w:t>
      </w:r>
      <w:r>
        <w:rPr>
          <w:rFonts w:ascii="Times New Roman" w:eastAsia="仿宋"/>
          <w:snapToGrid w:val="0"/>
          <w:sz w:val="28"/>
          <w:szCs w:val="28"/>
        </w:rPr>
        <w:t>#排放</w:t>
      </w:r>
      <w:r>
        <w:rPr>
          <w:rFonts w:hint="eastAsia" w:ascii="Times New Roman" w:eastAsia="仿宋"/>
          <w:snapToGrid w:val="0"/>
          <w:sz w:val="28"/>
          <w:szCs w:val="28"/>
        </w:rPr>
        <w:t>。</w:t>
      </w:r>
    </w:p>
    <w:p w14:paraId="60BE652E">
      <w:pPr>
        <w:spacing w:line="500" w:lineRule="exact"/>
        <w:ind w:firstLine="561"/>
        <w:rPr>
          <w:rFonts w:ascii="Times New Roman" w:eastAsia="仿宋"/>
          <w:snapToGrid w:val="0"/>
          <w:sz w:val="28"/>
          <w:szCs w:val="28"/>
        </w:rPr>
      </w:pPr>
      <w:r>
        <w:rPr>
          <w:rFonts w:ascii="Times New Roman" w:eastAsia="仿宋"/>
          <w:snapToGrid w:val="0"/>
          <w:sz w:val="28"/>
          <w:szCs w:val="28"/>
        </w:rPr>
        <w:t>（2）废水</w:t>
      </w:r>
    </w:p>
    <w:p w14:paraId="411999D9">
      <w:pPr>
        <w:spacing w:line="500" w:lineRule="exact"/>
        <w:ind w:firstLine="561"/>
        <w:rPr>
          <w:rFonts w:ascii="Times New Roman" w:eastAsia="仿宋"/>
          <w:snapToGrid w:val="0"/>
          <w:sz w:val="28"/>
          <w:szCs w:val="28"/>
        </w:rPr>
      </w:pPr>
      <w:r>
        <w:rPr>
          <w:rFonts w:ascii="Times New Roman" w:eastAsia="仿宋"/>
          <w:sz w:val="28"/>
          <w:szCs w:val="28"/>
        </w:rPr>
        <w:t>本项目建成后厂内产生的</w:t>
      </w:r>
      <w:r>
        <w:rPr>
          <w:rFonts w:hint="eastAsia" w:ascii="Times New Roman" w:eastAsia="仿宋"/>
          <w:sz w:val="28"/>
          <w:szCs w:val="28"/>
        </w:rPr>
        <w:t>生产废水（包括脱脂清洗废水、水洗废水）均进入厂区污水处理站处理后与生活污水</w:t>
      </w:r>
      <w:r>
        <w:rPr>
          <w:rFonts w:ascii="Times New Roman" w:eastAsia="仿宋"/>
          <w:sz w:val="28"/>
          <w:szCs w:val="28"/>
        </w:rPr>
        <w:t>接入市政污水管网，进</w:t>
      </w:r>
      <w:r>
        <w:rPr>
          <w:rFonts w:hint="eastAsia" w:ascii="Times New Roman" w:eastAsia="仿宋"/>
          <w:sz w:val="28"/>
          <w:szCs w:val="28"/>
        </w:rPr>
        <w:t>金坛区直溪污水处理厂</w:t>
      </w:r>
      <w:r>
        <w:rPr>
          <w:rFonts w:ascii="Times New Roman" w:eastAsia="仿宋"/>
          <w:sz w:val="28"/>
          <w:szCs w:val="28"/>
        </w:rPr>
        <w:t>处理，尾水排入</w:t>
      </w:r>
      <w:r>
        <w:rPr>
          <w:rFonts w:hint="eastAsia" w:ascii="Times New Roman" w:eastAsia="仿宋"/>
          <w:sz w:val="28"/>
          <w:szCs w:val="28"/>
        </w:rPr>
        <w:t>通济河</w:t>
      </w:r>
      <w:r>
        <w:rPr>
          <w:rFonts w:ascii="Times New Roman" w:eastAsia="仿宋"/>
          <w:sz w:val="28"/>
          <w:szCs w:val="28"/>
        </w:rPr>
        <w:t>。</w:t>
      </w:r>
    </w:p>
    <w:p w14:paraId="6445F865">
      <w:pPr>
        <w:spacing w:line="500" w:lineRule="exact"/>
        <w:ind w:firstLine="561"/>
        <w:rPr>
          <w:rFonts w:ascii="Times New Roman" w:eastAsia="仿宋"/>
          <w:snapToGrid w:val="0"/>
          <w:sz w:val="28"/>
          <w:szCs w:val="28"/>
        </w:rPr>
      </w:pPr>
      <w:r>
        <w:rPr>
          <w:rFonts w:ascii="Times New Roman" w:eastAsia="仿宋"/>
          <w:snapToGrid w:val="0"/>
          <w:sz w:val="28"/>
          <w:szCs w:val="28"/>
        </w:rPr>
        <w:t>（3）噪声</w:t>
      </w:r>
    </w:p>
    <w:p w14:paraId="40B9B822">
      <w:pPr>
        <w:spacing w:line="500" w:lineRule="exact"/>
        <w:ind w:firstLine="561"/>
        <w:rPr>
          <w:rFonts w:ascii="Times New Roman" w:eastAsia="仿宋"/>
          <w:snapToGrid w:val="0"/>
          <w:sz w:val="28"/>
          <w:szCs w:val="28"/>
          <w:highlight w:val="yellow"/>
        </w:rPr>
      </w:pPr>
      <w:r>
        <w:rPr>
          <w:rFonts w:ascii="Times New Roman" w:eastAsia="仿宋"/>
          <w:snapToGrid w:val="0"/>
          <w:sz w:val="28"/>
          <w:szCs w:val="28"/>
        </w:rPr>
        <w:t>本项目选用低噪声设备，通过采取隔声、减振、厂房屏蔽、距离衰减、绿化等措施有效降低噪声设备对厂界的影响，实现厂界噪声达标排放。</w:t>
      </w:r>
    </w:p>
    <w:p w14:paraId="268ADE6F">
      <w:pPr>
        <w:spacing w:line="500" w:lineRule="exact"/>
        <w:ind w:firstLine="561"/>
        <w:rPr>
          <w:rFonts w:ascii="Times New Roman" w:eastAsia="仿宋"/>
          <w:snapToGrid w:val="0"/>
          <w:sz w:val="28"/>
          <w:szCs w:val="28"/>
        </w:rPr>
      </w:pPr>
      <w:r>
        <w:rPr>
          <w:rFonts w:ascii="Times New Roman" w:eastAsia="仿宋"/>
          <w:snapToGrid w:val="0"/>
          <w:sz w:val="28"/>
          <w:szCs w:val="28"/>
        </w:rPr>
        <w:t>（4）固废</w:t>
      </w:r>
    </w:p>
    <w:p w14:paraId="2BDC3A0C">
      <w:pPr>
        <w:spacing w:line="480" w:lineRule="exact"/>
        <w:ind w:firstLine="555"/>
        <w:rPr>
          <w:rFonts w:ascii="Times New Roman" w:eastAsia="仿宋"/>
          <w:snapToGrid w:val="0"/>
          <w:sz w:val="28"/>
          <w:szCs w:val="28"/>
        </w:rPr>
      </w:pPr>
      <w:r>
        <w:rPr>
          <w:rFonts w:ascii="Times New Roman" w:eastAsia="仿宋"/>
          <w:bCs/>
          <w:sz w:val="28"/>
          <w:szCs w:val="28"/>
        </w:rPr>
        <w:t>本项目产生的</w:t>
      </w:r>
      <w:r>
        <w:rPr>
          <w:rFonts w:hint="eastAsia" w:ascii="Times New Roman" w:eastAsia="仿宋"/>
          <w:bCs/>
          <w:sz w:val="28"/>
          <w:szCs w:val="28"/>
        </w:rPr>
        <w:t>废边角料、不合格品、焊渣、废塑粉、废一般包装、不合格品、废滤筒、收集尘、湿渣均外售综合利用；钝化废水、水洗废水、水帘废水、废清洗液、漆渣、废包装桶、废机油、废催化剂、污泥、废过滤介质、废过滤棉、废有机溶剂、废手套均</w:t>
      </w:r>
      <w:r>
        <w:rPr>
          <w:rFonts w:ascii="Times New Roman" w:eastAsia="仿宋"/>
          <w:bCs/>
          <w:sz w:val="28"/>
          <w:szCs w:val="28"/>
        </w:rPr>
        <w:t>委托有资质单位处置</w:t>
      </w:r>
      <w:r>
        <w:rPr>
          <w:rFonts w:hint="eastAsia" w:ascii="Times New Roman" w:eastAsia="仿宋"/>
          <w:bCs/>
          <w:sz w:val="28"/>
          <w:szCs w:val="28"/>
        </w:rPr>
        <w:t>；</w:t>
      </w:r>
      <w:r>
        <w:rPr>
          <w:rFonts w:ascii="Times New Roman" w:eastAsia="仿宋"/>
          <w:bCs/>
          <w:sz w:val="28"/>
          <w:szCs w:val="28"/>
        </w:rPr>
        <w:t>生活垃圾委托环卫部门清运</w:t>
      </w:r>
      <w:r>
        <w:rPr>
          <w:rFonts w:ascii="Times New Roman" w:eastAsia="仿宋"/>
          <w:kern w:val="44"/>
          <w:sz w:val="28"/>
          <w:szCs w:val="28"/>
        </w:rPr>
        <w:t>。</w:t>
      </w:r>
    </w:p>
    <w:p w14:paraId="46070216">
      <w:pPr>
        <w:pStyle w:val="5"/>
        <w:numPr>
          <w:ilvl w:val="0"/>
          <w:numId w:val="0"/>
        </w:numPr>
        <w:rPr>
          <w:rFonts w:eastAsia="仿宋"/>
          <w:color w:val="auto"/>
        </w:rPr>
      </w:pPr>
      <w:bookmarkStart w:id="543" w:name="_Toc182553849"/>
      <w:r>
        <w:rPr>
          <w:rFonts w:hint="eastAsia" w:eastAsia="仿宋"/>
          <w:color w:val="auto"/>
        </w:rPr>
        <w:t>9</w:t>
      </w:r>
      <w:r>
        <w:rPr>
          <w:rFonts w:eastAsia="仿宋"/>
          <w:color w:val="auto"/>
        </w:rPr>
        <w:t>.7环境经济损益分析</w:t>
      </w:r>
      <w:bookmarkEnd w:id="543"/>
    </w:p>
    <w:p w14:paraId="3C8E8AA0">
      <w:pPr>
        <w:spacing w:line="500" w:lineRule="exact"/>
        <w:ind w:firstLine="561"/>
        <w:rPr>
          <w:rFonts w:ascii="Times New Roman" w:eastAsia="仿宋"/>
          <w:sz w:val="28"/>
          <w:szCs w:val="28"/>
        </w:rPr>
      </w:pPr>
      <w:r>
        <w:rPr>
          <w:rFonts w:ascii="Times New Roman" w:eastAsia="仿宋"/>
          <w:sz w:val="28"/>
        </w:rPr>
        <w:t>本项目总投资3</w:t>
      </w:r>
      <w:r>
        <w:rPr>
          <w:rFonts w:hint="eastAsia" w:ascii="Times New Roman" w:eastAsia="仿宋"/>
          <w:sz w:val="28"/>
        </w:rPr>
        <w:t>0</w:t>
      </w:r>
      <w:r>
        <w:rPr>
          <w:rFonts w:ascii="Times New Roman" w:eastAsia="仿宋"/>
          <w:sz w:val="28"/>
        </w:rPr>
        <w:t>000万元，年销售收入</w:t>
      </w:r>
      <w:r>
        <w:rPr>
          <w:rFonts w:hint="eastAsia" w:ascii="Times New Roman" w:eastAsia="仿宋"/>
          <w:sz w:val="28"/>
        </w:rPr>
        <w:t>5</w:t>
      </w:r>
      <w:r>
        <w:rPr>
          <w:rFonts w:ascii="Times New Roman" w:eastAsia="仿宋"/>
          <w:sz w:val="28"/>
        </w:rPr>
        <w:t>000万元，投产后年均利润总额2000万元，年均税后利润1000万元，</w:t>
      </w:r>
      <w:r>
        <w:rPr>
          <w:rFonts w:ascii="Times New Roman" w:eastAsia="仿宋"/>
          <w:sz w:val="28"/>
          <w:szCs w:val="28"/>
        </w:rPr>
        <w:t>本项目的建设对环境影响较小，不会降低当地环境质量。根据分析，项目采取的废气、废气、噪声、固废等污染治理设施，可达到有效控制污染和保护环境的目的。因此，本项目的建设经济效益、环境效益较好。</w:t>
      </w:r>
    </w:p>
    <w:p w14:paraId="7BDC404F">
      <w:pPr>
        <w:pStyle w:val="5"/>
        <w:numPr>
          <w:ilvl w:val="0"/>
          <w:numId w:val="0"/>
        </w:numPr>
        <w:rPr>
          <w:rFonts w:eastAsia="仿宋"/>
          <w:color w:val="auto"/>
        </w:rPr>
      </w:pPr>
      <w:bookmarkStart w:id="544" w:name="_Toc182553850"/>
      <w:r>
        <w:rPr>
          <w:rFonts w:hint="eastAsia" w:eastAsia="仿宋"/>
          <w:color w:val="auto"/>
        </w:rPr>
        <w:t>9</w:t>
      </w:r>
      <w:r>
        <w:rPr>
          <w:rFonts w:eastAsia="仿宋"/>
          <w:color w:val="auto"/>
        </w:rPr>
        <w:t>.8环境管理与监测计划</w:t>
      </w:r>
      <w:bookmarkEnd w:id="544"/>
    </w:p>
    <w:p w14:paraId="291CA954">
      <w:pPr>
        <w:spacing w:line="500" w:lineRule="exact"/>
        <w:ind w:firstLine="561"/>
        <w:rPr>
          <w:rFonts w:ascii="Times New Roman" w:eastAsia="仿宋"/>
          <w:snapToGrid w:val="0"/>
          <w:sz w:val="28"/>
          <w:szCs w:val="28"/>
          <w:highlight w:val="yellow"/>
        </w:rPr>
      </w:pPr>
      <w:r>
        <w:rPr>
          <w:rFonts w:ascii="Times New Roman" w:eastAsia="仿宋"/>
          <w:sz w:val="28"/>
          <w:szCs w:val="28"/>
        </w:rPr>
        <w:t>本项目拟严格按照本报告所列的监测管理与监测计划要求，将污染损害将至最低。</w:t>
      </w:r>
    </w:p>
    <w:p w14:paraId="4A268582">
      <w:pPr>
        <w:pStyle w:val="5"/>
        <w:numPr>
          <w:ilvl w:val="0"/>
          <w:numId w:val="0"/>
        </w:numPr>
        <w:rPr>
          <w:rFonts w:eastAsia="仿宋"/>
          <w:color w:val="auto"/>
        </w:rPr>
      </w:pPr>
      <w:bookmarkStart w:id="545" w:name="_Toc182553851"/>
      <w:r>
        <w:rPr>
          <w:rFonts w:hint="eastAsia" w:eastAsia="仿宋"/>
          <w:color w:val="auto"/>
        </w:rPr>
        <w:t>9</w:t>
      </w:r>
      <w:r>
        <w:rPr>
          <w:rFonts w:eastAsia="仿宋"/>
          <w:color w:val="auto"/>
        </w:rPr>
        <w:t>.9总结论</w:t>
      </w:r>
      <w:bookmarkEnd w:id="545"/>
    </w:p>
    <w:p w14:paraId="1A410BE1">
      <w:pPr>
        <w:spacing w:line="500" w:lineRule="exact"/>
        <w:ind w:firstLine="561"/>
        <w:rPr>
          <w:rFonts w:ascii="Times New Roman" w:eastAsia="仿宋"/>
          <w:snapToGrid w:val="0"/>
          <w:sz w:val="28"/>
          <w:szCs w:val="28"/>
        </w:rPr>
      </w:pPr>
      <w:bookmarkStart w:id="546" w:name="_Hlt110997589"/>
      <w:bookmarkEnd w:id="546"/>
      <w:bookmarkStart w:id="547" w:name="_Hlt107117296"/>
      <w:bookmarkEnd w:id="547"/>
      <w:bookmarkStart w:id="548" w:name="_Hlt107117273"/>
      <w:bookmarkEnd w:id="548"/>
      <w:bookmarkStart w:id="549" w:name="_Hlt110864218"/>
      <w:bookmarkEnd w:id="549"/>
      <w:bookmarkStart w:id="550" w:name="_Hlt107082548"/>
      <w:bookmarkEnd w:id="550"/>
      <w:r>
        <w:rPr>
          <w:rFonts w:ascii="Times New Roman" w:eastAsia="仿宋"/>
          <w:snapToGrid w:val="0"/>
          <w:sz w:val="28"/>
          <w:szCs w:val="28"/>
        </w:rPr>
        <w:t>本项目选址于</w:t>
      </w:r>
      <w:r>
        <w:rPr>
          <w:rFonts w:hint="eastAsia" w:ascii="Times New Roman" w:eastAsia="仿宋"/>
          <w:sz w:val="28"/>
          <w:szCs w:val="28"/>
        </w:rPr>
        <w:t>金坛区朱林镇永兴路68号，</w:t>
      </w:r>
      <w:r>
        <w:rPr>
          <w:rFonts w:ascii="Times New Roman" w:eastAsia="仿宋"/>
          <w:snapToGrid w:val="0"/>
          <w:sz w:val="28"/>
          <w:szCs w:val="28"/>
        </w:rPr>
        <w:t>符合区域评价中产业定位和土地使用原则。项目符合国家产业政策，项目采取各项污染防治措施后能做到各类污染物稳定达标排放，污染物排放不会改变周围环境功能类别，污染物排放总量可在</w:t>
      </w:r>
      <w:r>
        <w:rPr>
          <w:rFonts w:hint="eastAsia" w:ascii="Times New Roman" w:eastAsia="仿宋"/>
          <w:snapToGrid w:val="0"/>
          <w:sz w:val="28"/>
          <w:szCs w:val="28"/>
        </w:rPr>
        <w:t>金坛区</w:t>
      </w:r>
      <w:r>
        <w:rPr>
          <w:rFonts w:ascii="Times New Roman" w:eastAsia="仿宋"/>
          <w:snapToGrid w:val="0"/>
          <w:sz w:val="28"/>
          <w:szCs w:val="28"/>
        </w:rPr>
        <w:t>内平衡解决。在加强监控、建立风险防范措施，并制定切实可行的应急预案的情况下，本项目的环境风险是可以接受的。</w:t>
      </w:r>
    </w:p>
    <w:p w14:paraId="1386DAB8">
      <w:pPr>
        <w:spacing w:line="500" w:lineRule="exact"/>
        <w:ind w:firstLine="561"/>
        <w:rPr>
          <w:rFonts w:ascii="Times New Roman" w:eastAsia="仿宋"/>
          <w:b/>
          <w:sz w:val="28"/>
          <w:szCs w:val="28"/>
        </w:rPr>
      </w:pPr>
      <w:r>
        <w:rPr>
          <w:rFonts w:ascii="Times New Roman" w:eastAsia="仿宋"/>
          <w:snapToGrid w:val="0"/>
          <w:sz w:val="28"/>
          <w:szCs w:val="28"/>
        </w:rPr>
        <w:t>综上，在落实本报告书提出的各项环保措施要求，严格执行环保“三同时”的前提下，从环保角度分析，本项目建设具备环境可行性。</w:t>
      </w:r>
    </w:p>
    <w:sectPr>
      <w:headerReference r:id="rId32"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Book Antiqua">
    <w:altName w:val="Segoe Print"/>
    <w:panose1 w:val="00000000000000000000"/>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Tms Rmn">
    <w:altName w:val="Segoe Print"/>
    <w:panose1 w:val="02020603040505020304"/>
    <w:charset w:val="00"/>
    <w:family w:val="roman"/>
    <w:pitch w:val="default"/>
    <w:sig w:usb0="00000000" w:usb1="00000000" w:usb2="00000000" w:usb3="00000000" w:csb0="00000001"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
    <w:altName w:val="Times New Roman"/>
    <w:panose1 w:val="00000000000000000000"/>
    <w:charset w:val="00"/>
    <w:family w:val="swiss"/>
    <w:pitch w:val="default"/>
    <w:sig w:usb0="00000000" w:usb1="00000000" w:usb2="00000000" w:usb3="00000000" w:csb0="00000001" w:csb1="00000000"/>
  </w:font>
  <w:font w:name="Arial Narrow">
    <w:altName w:val="Arial"/>
    <w:panose1 w:val="00000000000000000000"/>
    <w:charset w:val="00"/>
    <w:family w:val="swiss"/>
    <w:pitch w:val="default"/>
    <w:sig w:usb0="00000000" w:usb1="00000000" w:usb2="00000000" w:usb3="00000000" w:csb0="2000009F" w:csb1="DFD70000"/>
  </w:font>
  <w:font w:name="Arial Black">
    <w:panose1 w:val="020B0A04020102020204"/>
    <w:charset w:val="00"/>
    <w:family w:val="swiss"/>
    <w:pitch w:val="default"/>
    <w:sig w:usb0="00000287" w:usb1="00000000" w:usb2="00000000" w:usb3="00000000" w:csb0="2000009F" w:csb1="DFD70000"/>
  </w:font>
  <w:font w:name="StempelGaramond Roman">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Plotter">
    <w:altName w:val="Tahoma"/>
    <w:panose1 w:val="00000000000000000000"/>
    <w:charset w:val="00"/>
    <w:family w:val="roman"/>
    <w:pitch w:val="default"/>
    <w:sig w:usb0="00000000" w:usb1="00000000" w:usb2="0000006E" w:usb3="00000000" w:csb0="81632469" w:csb1="BFF7D18D"/>
  </w:font>
  <w:font w:name="GB2312">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 w:name="·s²Ó©úÅé">
    <w:altName w:val="MingLiU"/>
    <w:panose1 w:val="00000000000000000000"/>
    <w:charset w:val="88"/>
    <w:family w:val="auto"/>
    <w:pitch w:val="default"/>
    <w:sig w:usb0="00000000" w:usb1="00000000" w:usb2="00000010" w:usb3="00000000" w:csb0="00100000" w:csb1="00000000"/>
  </w:font>
  <w:font w:name="MingLiU">
    <w:panose1 w:val="02020509000000000000"/>
    <w:charset w:val="88"/>
    <w:family w:val="modern"/>
    <w:pitch w:val="default"/>
    <w:sig w:usb0="A00002FF" w:usb1="28CFFCFA" w:usb2="00000016" w:usb3="00000000" w:csb0="00100001" w:csb1="00000000"/>
  </w:font>
  <w:font w:name="文鼎CS大宋">
    <w:altName w:val="黑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CommercialPi BT">
    <w:altName w:val="Symbol"/>
    <w:panose1 w:val="05020102010206080802"/>
    <w:charset w:val="02"/>
    <w:family w:val="roman"/>
    <w:pitch w:val="default"/>
    <w:sig w:usb0="00000000" w:usb1="00000000" w:usb2="00000000" w:usb3="00000000" w:csb0="8000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华文细黑">
    <w:altName w:val="微软雅黑"/>
    <w:panose1 w:val="02010600040101010101"/>
    <w:charset w:val="86"/>
    <w:family w:val="auto"/>
    <w:pitch w:val="default"/>
    <w:sig w:usb0="00000000" w:usb1="00000000" w:usb2="00000010" w:usb3="00000000" w:csb0="0004009F" w:csb1="00000000"/>
  </w:font>
  <w:font w:name="Gulim">
    <w:panose1 w:val="020B0600000101010101"/>
    <w:charset w:val="81"/>
    <w:family w:val="swiss"/>
    <w:pitch w:val="default"/>
    <w:sig w:usb0="B00002AF" w:usb1="69D77CFB" w:usb2="00000030" w:usb3="00000000" w:csb0="4008009F" w:csb1="DFD70000"/>
  </w:font>
  <w:font w:name="MS Mincho">
    <w:panose1 w:val="02020609040205080304"/>
    <w:charset w:val="80"/>
    <w:family w:val="modern"/>
    <w:pitch w:val="default"/>
    <w:sig w:usb0="E00002FF" w:usb1="6AC7FDFB" w:usb2="00000012" w:usb3="00000000" w:csb0="4002009F" w:csb1="DFD70000"/>
  </w:font>
  <w:font w:name="华文楷体">
    <w:altName w:val="楷体_GB2312"/>
    <w:panose1 w:val="00000000000000000000"/>
    <w:charset w:val="86"/>
    <w:family w:val="auto"/>
    <w:pitch w:val="default"/>
    <w:sig w:usb0="00000000" w:usb1="00000000" w:usb2="00000000" w:usb3="00000000" w:csb0="0004009F" w:csb1="DFD70000"/>
  </w:font>
  <w:font w:name="Bodoni MT Condensed">
    <w:altName w:val="Segoe Print"/>
    <w:panose1 w:val="00000000000000000000"/>
    <w:charset w:val="00"/>
    <w:family w:val="roman"/>
    <w:pitch w:val="default"/>
    <w:sig w:usb0="00000000" w:usb1="00000000" w:usb2="00000000" w:usb3="00000000" w:csb0="2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Century">
    <w:altName w:val="Nyala"/>
    <w:panose1 w:val="02040603050705020303"/>
    <w:charset w:val="00"/>
    <w:family w:val="roman"/>
    <w:pitch w:val="default"/>
    <w:sig w:usb0="00000000" w:usb1="00000000" w:usb2="00000000" w:usb3="00000000" w:csb0="2000009F" w:csb1="DFD70000"/>
  </w:font>
  <w:font w:name="Nyala">
    <w:panose1 w:val="02000504070300020003"/>
    <w:charset w:val="00"/>
    <w:family w:val="auto"/>
    <w:pitch w:val="default"/>
    <w:sig w:usb0="A000006F" w:usb1="00000000" w:usb2="00000800" w:usb3="00000000" w:csb0="00000093" w:csb1="00000000"/>
  </w:font>
  <w:font w:name="PMingLiU">
    <w:panose1 w:val="02020500000000000000"/>
    <w:charset w:val="88"/>
    <w:family w:val="roman"/>
    <w:pitch w:val="default"/>
    <w:sig w:usb0="A00002FF" w:usb1="28CFFCFA"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華康粗黑體">
    <w:altName w:val="Microsoft JhengHei"/>
    <w:panose1 w:val="00000000000000000000"/>
    <w:charset w:val="88"/>
    <w:family w:val="modern"/>
    <w:pitch w:val="default"/>
    <w:sig w:usb0="00000000" w:usb1="00000000" w:usb2="00000016" w:usb3="00000000" w:csb0="00100000" w:csb1="00000000"/>
  </w:font>
  <w:font w:name="Bookman Old Style">
    <w:altName w:val="Segoe Print"/>
    <w:panose1 w:val="00000000000000000000"/>
    <w:charset w:val="00"/>
    <w:family w:val="roman"/>
    <w:pitch w:val="default"/>
    <w:sig w:usb0="00000000" w:usb1="00000000" w:usb2="00000000" w:usb3="00000000" w:csb0="2000009F" w:csb1="DFD70000"/>
  </w:font>
  <w:font w:name="华文行楷">
    <w:altName w:val="微软雅黑"/>
    <w:panose1 w:val="00000000000000000000"/>
    <w:charset w:val="86"/>
    <w:family w:val="auto"/>
    <w:pitch w:val="default"/>
    <w:sig w:usb0="00000000" w:usb1="00000000" w:usb2="00000000" w:usb3="00000000" w:csb0="00040000" w:csb1="00000000"/>
  </w:font>
  <w:font w:name="華康中明體">
    <w:altName w:val="Arial"/>
    <w:panose1 w:val="00000000000000000000"/>
    <w:charset w:val="00"/>
    <w:family w:val="modern"/>
    <w:pitch w:val="default"/>
    <w:sig w:usb0="00000000" w:usb1="00000000" w:usb2="00000000" w:usb3="00000000" w:csb0="00000000" w:csb1="00000000"/>
  </w:font>
  <w:font w:name="Angsana New">
    <w:panose1 w:val="02020603050405020304"/>
    <w:charset w:val="00"/>
    <w:family w:val="roman"/>
    <w:pitch w:val="default"/>
    <w:sig w:usb0="81000003" w:usb1="00000000" w:usb2="00000000" w:usb3="00000000" w:csb0="00010001" w:csb1="00000000"/>
  </w:font>
  <w:font w:name="DFKai-SB">
    <w:panose1 w:val="03000509000000000000"/>
    <w:charset w:val="88"/>
    <w:family w:val="script"/>
    <w:pitch w:val="default"/>
    <w:sig w:usb0="00000003" w:usb1="082E0000" w:usb2="00000016" w:usb3="00000000" w:csb0="00100001" w:csb1="00000000"/>
  </w:font>
  <w:font w:name="Alaska">
    <w:altName w:val="Lucida Sans Unicode"/>
    <w:panose1 w:val="00000000000000000000"/>
    <w:charset w:val="00"/>
    <w:family w:val="swiss"/>
    <w:pitch w:val="default"/>
    <w:sig w:usb0="00000000" w:usb1="00000000"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modern"/>
    <w:pitch w:val="default"/>
    <w:sig w:usb0="800002BF" w:usb1="38CF7CFA" w:usb2="00000016" w:usb3="00000000" w:csb0="00040001" w:csb1="00000000"/>
  </w:font>
  <w:font w:name="方正宋三简体">
    <w:altName w:val="宋体"/>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5B5A5">
    <w:pPr>
      <w:pStyle w:val="55"/>
      <w:jc w:val="center"/>
    </w:pPr>
    <w:r>
      <w:fldChar w:fldCharType="begin"/>
    </w:r>
    <w:r>
      <w:instrText xml:space="preserve"> PAGE   \* MERGEFORMAT </w:instrText>
    </w:r>
    <w:r>
      <w:fldChar w:fldCharType="separate"/>
    </w:r>
    <w:r>
      <w:rPr>
        <w:lang w:val="zh-CN"/>
      </w:rPr>
      <w:t>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E763">
    <w:pPr>
      <w:pStyle w:val="196"/>
      <w:ind w:right="360"/>
      <w:jc w:val="center"/>
      <w:rPr>
        <w:rStyle w:val="97"/>
        <w:sz w:val="18"/>
        <w:szCs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187</w:t>
    </w:r>
    <w:r>
      <w:rPr>
        <w:rStyle w:val="97"/>
        <w:sz w:val="18"/>
        <w:szCs w:val="18"/>
      </w:rPr>
      <w:fldChar w:fldCharType="end"/>
    </w:r>
  </w:p>
  <w:p w14:paraId="23AA724D">
    <w:pPr>
      <w:pStyle w:val="196"/>
      <w:ind w:right="360"/>
      <w:jc w:val="right"/>
      <w:rPr>
        <w:sz w:val="18"/>
      </w:rPr>
    </w:pPr>
    <w:r>
      <w:rPr>
        <w:rFonts w:hint="eastAsia" w:ascii="仿宋_GB2312" w:eastAsia="仿宋_GB2312"/>
        <w:sz w:val="21"/>
        <w:szCs w:val="21"/>
      </w:rPr>
      <w:t>江苏龙环环境科技有限公司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4BC3">
    <w:pPr>
      <w:pStyle w:val="55"/>
      <w:jc w:val="center"/>
    </w:pPr>
    <w:r>
      <w:fldChar w:fldCharType="begin"/>
    </w:r>
    <w:r>
      <w:instrText xml:space="preserve"> PAGE   \* MERGEFORMAT </w:instrText>
    </w:r>
    <w:r>
      <w:fldChar w:fldCharType="separate"/>
    </w:r>
    <w:r>
      <w:rPr>
        <w:lang w:val="zh-CN"/>
      </w:rPr>
      <w:t>189</w:t>
    </w:r>
    <w:r>
      <w:fldChar w:fldCharType="end"/>
    </w:r>
  </w:p>
  <w:p w14:paraId="22211348">
    <w:pPr>
      <w:pStyle w:val="55"/>
      <w:jc w:val="right"/>
      <w:rPr>
        <w:rFonts w:ascii="楷体_GB2312" w:eastAsia="楷体_GB2312"/>
      </w:rPr>
    </w:pPr>
    <w:r>
      <w:rPr>
        <w:rFonts w:hint="eastAsia" w:ascii="仿宋_GB2312" w:eastAsia="仿宋_GB2312"/>
        <w:sz w:val="21"/>
        <w:szCs w:val="21"/>
      </w:rPr>
      <w:t>江苏龙环环境科技有限公司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D7E79">
    <w:pPr>
      <w:pStyle w:val="55"/>
      <w:framePr w:wrap="around" w:vAnchor="text" w:hAnchor="margin" w:xAlign="center" w:y="1"/>
      <w:rPr>
        <w:rStyle w:val="97"/>
      </w:rPr>
    </w:pPr>
    <w:r>
      <w:rPr>
        <w:rStyle w:val="97"/>
      </w:rPr>
      <w:fldChar w:fldCharType="begin"/>
    </w:r>
    <w:r>
      <w:rPr>
        <w:rStyle w:val="97"/>
      </w:rPr>
      <w:instrText xml:space="preserve">PAGE  </w:instrText>
    </w:r>
    <w:r>
      <w:rPr>
        <w:rStyle w:val="97"/>
      </w:rPr>
      <w:fldChar w:fldCharType="separate"/>
    </w:r>
    <w:r>
      <w:rPr>
        <w:rStyle w:val="97"/>
      </w:rPr>
      <w:t>233</w:t>
    </w:r>
    <w:r>
      <w:rPr>
        <w:rStyle w:val="97"/>
      </w:rPr>
      <w:fldChar w:fldCharType="end"/>
    </w:r>
  </w:p>
  <w:p w14:paraId="266B328C">
    <w:pPr>
      <w:pStyle w:val="55"/>
      <w:ind w:firstLine="360"/>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AA92A">
    <w:pPr>
      <w:pStyle w:val="55"/>
      <w:adjustRightInd w:val="0"/>
      <w:jc w:val="center"/>
    </w:pPr>
    <w:r>
      <w:rPr>
        <w:rStyle w:val="97"/>
      </w:rPr>
      <w:fldChar w:fldCharType="begin"/>
    </w:r>
    <w:r>
      <w:rPr>
        <w:rStyle w:val="97"/>
      </w:rPr>
      <w:instrText xml:space="preserve">PAGE  </w:instrText>
    </w:r>
    <w:r>
      <w:rPr>
        <w:rStyle w:val="97"/>
      </w:rPr>
      <w:fldChar w:fldCharType="separate"/>
    </w:r>
    <w:r>
      <w:rPr>
        <w:rStyle w:val="97"/>
      </w:rPr>
      <w:t>150</w:t>
    </w:r>
    <w:r>
      <w:rPr>
        <w:rStyle w:val="9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3370C">
    <w:pPr>
      <w:pStyle w:val="55"/>
      <w:adjustRightInd w:val="0"/>
      <w:jc w:val="center"/>
    </w:pPr>
    <w:r>
      <w:rPr>
        <w:rStyle w:val="97"/>
      </w:rPr>
      <w:fldChar w:fldCharType="begin"/>
    </w:r>
    <w:r>
      <w:rPr>
        <w:rStyle w:val="97"/>
      </w:rPr>
      <w:instrText xml:space="preserve">PAGE  </w:instrText>
    </w:r>
    <w:r>
      <w:rPr>
        <w:rStyle w:val="97"/>
      </w:rPr>
      <w:fldChar w:fldCharType="separate"/>
    </w:r>
    <w:r>
      <w:rPr>
        <w:rStyle w:val="97"/>
      </w:rPr>
      <w:t>120</w:t>
    </w:r>
    <w:r>
      <w:rPr>
        <w:rStyle w:val="97"/>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FBFD">
    <w:pPr>
      <w:pStyle w:val="55"/>
      <w:jc w:val="center"/>
      <w:rPr>
        <w:rFonts w:ascii="楷体_GB2312" w:eastAsia="楷体_GB2312"/>
      </w:rPr>
    </w:pPr>
    <w:r>
      <w:fldChar w:fldCharType="begin"/>
    </w:r>
    <w:r>
      <w:instrText xml:space="preserve"> PAGE   \* MERGEFORMAT </w:instrText>
    </w:r>
    <w:r>
      <w:fldChar w:fldCharType="separate"/>
    </w:r>
    <w:r>
      <w:rPr>
        <w:lang w:val="zh-CN"/>
      </w:rPr>
      <w:t>260</w:t>
    </w:r>
    <w:r>
      <w:rPr>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A3B78">
    <w:pPr>
      <w:pStyle w:val="55"/>
      <w:framePr w:wrap="around" w:vAnchor="text" w:hAnchor="margin" w:xAlign="center" w:y="1"/>
      <w:rPr>
        <w:rStyle w:val="97"/>
      </w:rPr>
    </w:pPr>
    <w:r>
      <w:rPr>
        <w:rStyle w:val="97"/>
      </w:rPr>
      <w:fldChar w:fldCharType="begin"/>
    </w:r>
    <w:r>
      <w:rPr>
        <w:rStyle w:val="97"/>
      </w:rPr>
      <w:instrText xml:space="preserve">PAGE  </w:instrText>
    </w:r>
    <w:r>
      <w:rPr>
        <w:rStyle w:val="97"/>
      </w:rPr>
      <w:fldChar w:fldCharType="separate"/>
    </w:r>
    <w:r>
      <w:rPr>
        <w:rStyle w:val="97"/>
      </w:rPr>
      <w:t>289</w:t>
    </w:r>
    <w:r>
      <w:rPr>
        <w:rStyle w:val="97"/>
      </w:rPr>
      <w:fldChar w:fldCharType="end"/>
    </w:r>
  </w:p>
  <w:p w14:paraId="6905D0F2"/>
  <w:p w14:paraId="57136ECB">
    <w:pPr>
      <w:jc w:val="right"/>
    </w:pPr>
    <w:r>
      <w:rPr>
        <w:rFonts w:hint="eastAsia" w:ascii="仿宋_GB2312" w:eastAsia="仿宋_GB2312"/>
        <w:szCs w:val="21"/>
      </w:rPr>
      <w:t>江苏龙环环境科技有限公司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AE0FF">
    <w:pPr>
      <w:framePr w:wrap="around" w:vAnchor="text" w:hAnchor="margin" w:xAlign="center" w:y="1"/>
      <w:rPr>
        <w:rStyle w:val="105"/>
      </w:rPr>
    </w:pPr>
    <w:r>
      <w:rPr>
        <w:rStyle w:val="105"/>
      </w:rPr>
      <w:fldChar w:fldCharType="begin"/>
    </w:r>
    <w:r>
      <w:rPr>
        <w:rStyle w:val="105"/>
      </w:rPr>
      <w:instrText xml:space="preserve">PAGE  </w:instrText>
    </w:r>
    <w:r>
      <w:rPr>
        <w:rStyle w:val="105"/>
      </w:rPr>
      <w:fldChar w:fldCharType="end"/>
    </w:r>
  </w:p>
  <w:p w14:paraId="48BCC8CD"/>
  <w:p w14:paraId="445EF7F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2C5D7">
    <w:pPr>
      <w:pStyle w:val="55"/>
      <w:framePr w:wrap="around" w:vAnchor="text" w:hAnchor="margin" w:xAlign="center" w:y="1"/>
      <w:rPr>
        <w:rStyle w:val="97"/>
      </w:rPr>
    </w:pPr>
    <w:r>
      <w:rPr>
        <w:rStyle w:val="97"/>
      </w:rPr>
      <w:fldChar w:fldCharType="begin"/>
    </w:r>
    <w:r>
      <w:rPr>
        <w:rStyle w:val="97"/>
      </w:rPr>
      <w:instrText xml:space="preserve">PAGE  </w:instrText>
    </w:r>
    <w:r>
      <w:rPr>
        <w:rStyle w:val="97"/>
      </w:rPr>
      <w:fldChar w:fldCharType="separate"/>
    </w:r>
    <w:r>
      <w:rPr>
        <w:rStyle w:val="97"/>
      </w:rPr>
      <w:t>450</w:t>
    </w:r>
    <w:r>
      <w:rPr>
        <w:rStyle w:val="97"/>
      </w:rPr>
      <w:fldChar w:fldCharType="end"/>
    </w:r>
  </w:p>
  <w:p w14:paraId="5B07217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A21D4">
    <w:pPr>
      <w:pStyle w:val="55"/>
      <w:tabs>
        <w:tab w:val="right" w:pos="15026"/>
      </w:tabs>
      <w:ind w:left="6930" w:hanging="6930" w:hangingChars="3850"/>
      <w:jc w:val="center"/>
      <w:rPr>
        <w:rStyle w:val="97"/>
      </w:rPr>
    </w:pPr>
    <w:r>
      <w:rPr>
        <w:rStyle w:val="97"/>
      </w:rPr>
      <w:fldChar w:fldCharType="begin"/>
    </w:r>
    <w:r>
      <w:rPr>
        <w:rStyle w:val="97"/>
      </w:rPr>
      <w:instrText xml:space="preserve"> PAGE </w:instrText>
    </w:r>
    <w:r>
      <w:rPr>
        <w:rStyle w:val="97"/>
      </w:rPr>
      <w:fldChar w:fldCharType="separate"/>
    </w:r>
    <w:r>
      <w:rPr>
        <w:rStyle w:val="97"/>
      </w:rPr>
      <w:t>479</w:t>
    </w:r>
    <w:r>
      <w:rPr>
        <w:rStyle w:val="97"/>
      </w:rPr>
      <w:fldChar w:fldCharType="end"/>
    </w:r>
  </w:p>
  <w:p w14:paraId="3A169219">
    <w:pPr>
      <w:pStyle w:val="55"/>
      <w:tabs>
        <w:tab w:val="right" w:pos="15026"/>
      </w:tabs>
      <w:ind w:left="8085" w:hanging="8085" w:hangingChars="3850"/>
      <w:jc w:val="right"/>
    </w:pPr>
    <w:r>
      <w:rPr>
        <w:rFonts w:hint="eastAsia" w:ascii="仿宋_GB2312" w:eastAsia="仿宋_GB2312"/>
        <w:sz w:val="21"/>
        <w:szCs w:val="21"/>
      </w:rPr>
      <w:t>江苏龙环环境科技有限公司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3D27">
    <w:pPr>
      <w:pStyle w:val="55"/>
      <w:jc w:val="center"/>
    </w:pPr>
    <w:r>
      <w:fldChar w:fldCharType="begin"/>
    </w:r>
    <w:r>
      <w:instrText xml:space="preserve"> PAGE   \* MERGEFORMAT </w:instrText>
    </w:r>
    <w:r>
      <w:fldChar w:fldCharType="separate"/>
    </w:r>
    <w:r>
      <w:rPr>
        <w:lang w:val="zh-CN"/>
      </w:rPr>
      <w:t>12</w:t>
    </w:r>
    <w:r>
      <w:fldChar w:fldCharType="end"/>
    </w:r>
  </w:p>
  <w:p w14:paraId="0FA2CD67">
    <w:pPr>
      <w:pStyle w:val="55"/>
      <w:jc w:val="right"/>
      <w:rPr>
        <w:rFonts w:ascii="楷体_GB2312" w:eastAsia="楷体_GB2312"/>
      </w:rPr>
    </w:pPr>
    <w:r>
      <w:rPr>
        <w:rFonts w:hint="eastAsia" w:ascii="仿宋_GB2312" w:eastAsia="仿宋_GB2312"/>
        <w:sz w:val="21"/>
        <w:szCs w:val="21"/>
      </w:rPr>
      <w:t>江苏龙环环境科技有限公司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4F45C">
    <w:pPr>
      <w:pStyle w:val="55"/>
      <w:adjustRightInd w:val="0"/>
      <w:jc w:val="center"/>
    </w:pPr>
    <w:r>
      <w:rPr>
        <w:rStyle w:val="97"/>
      </w:rPr>
      <w:fldChar w:fldCharType="begin"/>
    </w:r>
    <w:r>
      <w:rPr>
        <w:rStyle w:val="97"/>
      </w:rPr>
      <w:instrText xml:space="preserve">PAGE  </w:instrText>
    </w:r>
    <w:r>
      <w:rPr>
        <w:rStyle w:val="97"/>
      </w:rPr>
      <w:fldChar w:fldCharType="separate"/>
    </w:r>
    <w:r>
      <w:rPr>
        <w:rStyle w:val="97"/>
      </w:rPr>
      <w:t>244</w:t>
    </w:r>
    <w:r>
      <w:rPr>
        <w:rStyle w:val="9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6C914">
    <w:pPr>
      <w:pStyle w:val="55"/>
      <w:adjustRightInd w:val="0"/>
      <w:jc w:val="center"/>
    </w:pPr>
    <w:r>
      <w:rPr>
        <w:rStyle w:val="97"/>
      </w:rPr>
      <w:fldChar w:fldCharType="begin"/>
    </w:r>
    <w:r>
      <w:rPr>
        <w:rStyle w:val="97"/>
      </w:rPr>
      <w:instrText xml:space="preserve">PAGE  </w:instrText>
    </w:r>
    <w:r>
      <w:rPr>
        <w:rStyle w:val="97"/>
      </w:rPr>
      <w:fldChar w:fldCharType="separate"/>
    </w:r>
    <w:r>
      <w:rPr>
        <w:rStyle w:val="97"/>
      </w:rPr>
      <w:t>2</w:t>
    </w:r>
    <w:r>
      <w:rPr>
        <w:rStyle w:val="9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244C">
    <w:pPr>
      <w:pStyle w:val="55"/>
      <w:jc w:val="center"/>
    </w:pPr>
    <w:r>
      <w:fldChar w:fldCharType="begin"/>
    </w:r>
    <w:r>
      <w:instrText xml:space="preserve"> PAGE   \* MERGEFORMAT </w:instrText>
    </w:r>
    <w:r>
      <w:fldChar w:fldCharType="separate"/>
    </w:r>
    <w:r>
      <w:rPr>
        <w:lang w:val="zh-CN"/>
      </w:rPr>
      <w:t>129</w:t>
    </w:r>
    <w:r>
      <w:fldChar w:fldCharType="end"/>
    </w:r>
  </w:p>
  <w:p w14:paraId="10C13AFD">
    <w:pPr>
      <w:pStyle w:val="55"/>
      <w:jc w:val="right"/>
    </w:pPr>
    <w:r>
      <w:rPr>
        <w:rFonts w:hint="eastAsia" w:ascii="仿宋_GB2312" w:eastAsia="仿宋_GB2312"/>
        <w:sz w:val="21"/>
        <w:szCs w:val="21"/>
      </w:rPr>
      <w:t>江苏龙环环境科技有限公司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9404D">
    <w:pPr>
      <w:pStyle w:val="55"/>
      <w:jc w:val="center"/>
    </w:pPr>
    <w:r>
      <w:fldChar w:fldCharType="begin"/>
    </w:r>
    <w:r>
      <w:instrText xml:space="preserve"> PAGE   \* MERGEFORMAT </w:instrText>
    </w:r>
    <w:r>
      <w:fldChar w:fldCharType="separate"/>
    </w:r>
    <w:r>
      <w:rPr>
        <w:lang w:val="zh-CN"/>
      </w:rPr>
      <w:t>131</w:t>
    </w:r>
    <w:r>
      <w:fldChar w:fldCharType="end"/>
    </w:r>
  </w:p>
  <w:p w14:paraId="5BD4E5A4">
    <w:pPr>
      <w:pStyle w:val="55"/>
      <w:jc w:val="right"/>
    </w:pPr>
    <w:r>
      <w:rPr>
        <w:rFonts w:hint="eastAsia" w:ascii="仿宋_GB2312" w:eastAsia="仿宋_GB2312"/>
        <w:sz w:val="21"/>
        <w:szCs w:val="21"/>
      </w:rPr>
      <w:t>江苏龙环环境科技有限公司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A1AA">
    <w:pPr>
      <w:pStyle w:val="55"/>
      <w:jc w:val="center"/>
    </w:pPr>
    <w:r>
      <w:fldChar w:fldCharType="begin"/>
    </w:r>
    <w:r>
      <w:instrText xml:space="preserve"> PAGE   \* MERGEFORMAT </w:instrText>
    </w:r>
    <w:r>
      <w:fldChar w:fldCharType="separate"/>
    </w:r>
    <w:r>
      <w:rPr>
        <w:lang w:val="zh-CN"/>
      </w:rPr>
      <w:t>158</w:t>
    </w:r>
    <w:r>
      <w:fldChar w:fldCharType="end"/>
    </w:r>
  </w:p>
  <w:p w14:paraId="5EBB7273">
    <w:pPr>
      <w:pStyle w:val="55"/>
      <w:jc w:val="right"/>
    </w:pPr>
    <w:r>
      <w:rPr>
        <w:rFonts w:hint="eastAsia" w:ascii="仿宋_GB2312" w:eastAsia="仿宋_GB2312"/>
        <w:sz w:val="21"/>
        <w:szCs w:val="21"/>
      </w:rPr>
      <w:t>江苏龙环环境科技有限公司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27D5D">
    <w:pPr>
      <w:pStyle w:val="55"/>
      <w:jc w:val="center"/>
    </w:pPr>
    <w:r>
      <w:fldChar w:fldCharType="begin"/>
    </w:r>
    <w:r>
      <w:instrText xml:space="preserve"> PAGE   \* MERGEFORMAT </w:instrText>
    </w:r>
    <w:r>
      <w:fldChar w:fldCharType="separate"/>
    </w:r>
    <w:r>
      <w:rPr>
        <w:lang w:val="zh-CN"/>
      </w:rPr>
      <w:t>174</w:t>
    </w:r>
    <w:r>
      <w:fldChar w:fldCharType="end"/>
    </w:r>
  </w:p>
  <w:p w14:paraId="7B3F458A">
    <w:pPr>
      <w:pStyle w:val="55"/>
      <w:jc w:val="right"/>
    </w:pPr>
    <w:r>
      <w:rPr>
        <w:rFonts w:hint="eastAsia" w:ascii="仿宋_GB2312" w:eastAsia="仿宋_GB2312"/>
        <w:sz w:val="21"/>
        <w:szCs w:val="21"/>
      </w:rPr>
      <w:t>江苏龙环环境科技有限公司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92A6">
    <w:pPr>
      <w:pStyle w:val="196"/>
      <w:ind w:right="360"/>
      <w:jc w:val="center"/>
      <w:rPr>
        <w:rStyle w:val="97"/>
        <w:sz w:val="18"/>
        <w:szCs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177</w:t>
    </w:r>
    <w:r>
      <w:rPr>
        <w:rStyle w:val="97"/>
        <w:sz w:val="18"/>
        <w:szCs w:val="18"/>
      </w:rPr>
      <w:fldChar w:fldCharType="end"/>
    </w:r>
  </w:p>
  <w:p w14:paraId="5B0223F3">
    <w:pPr>
      <w:pStyle w:val="196"/>
      <w:ind w:right="360"/>
      <w:jc w:val="right"/>
      <w:rPr>
        <w:sz w:val="18"/>
      </w:rPr>
    </w:pPr>
    <w:r>
      <w:rPr>
        <w:rFonts w:hint="eastAsia" w:ascii="仿宋_GB2312" w:eastAsia="仿宋_GB2312"/>
        <w:sz w:val="21"/>
        <w:szCs w:val="21"/>
      </w:rPr>
      <w:t>江苏龙环环境科技有限公司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9864A">
    <w:pPr>
      <w:pStyle w:val="196"/>
      <w:ind w:right="360"/>
      <w:jc w:val="center"/>
      <w:rPr>
        <w:sz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180</w:t>
    </w:r>
    <w:r>
      <w:rPr>
        <w:rStyle w:val="97"/>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66FD8">
    <w:pPr>
      <w:pStyle w:val="57"/>
      <w:rPr>
        <w:rFonts w:eastAsia="仿宋_GB2312"/>
      </w:rPr>
    </w:pPr>
    <w:r>
      <w:rPr>
        <w:rFonts w:hint="eastAsia" w:eastAsia="仿宋_GB2312"/>
      </w:rPr>
      <w:t>新建</w:t>
    </w:r>
    <w:r>
      <w:rPr>
        <w:rFonts w:eastAsia="仿宋_GB2312"/>
      </w:rPr>
      <w:t>新能源汽车铝</w:t>
    </w:r>
    <w:r>
      <w:rPr>
        <w:rFonts w:hint="eastAsia" w:eastAsia="仿宋_GB2312"/>
      </w:rPr>
      <w:t>单板80万平方米</w:t>
    </w:r>
    <w:r>
      <w:rPr>
        <w:rFonts w:eastAsia="仿宋_GB2312"/>
      </w:rPr>
      <w:t xml:space="preserve">项目环境影响报告书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C1FFA">
    <w:pPr>
      <w:pStyle w:val="57"/>
    </w:pPr>
    <w:r>
      <w:rPr>
        <w:rFonts w:hint="eastAsia" w:eastAsia="楷体_GB2312"/>
      </w:rPr>
      <w:t>富德（常州）能源化工发展有限公司年产30万吨聚丙烯项目                  15 结论和建议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870F1">
    <w:pPr>
      <w:pStyle w:val="57"/>
      <w:rPr>
        <w:rFonts w:ascii="仿宋_GB2312" w:eastAsia="仿宋_GB2312"/>
      </w:rPr>
    </w:pPr>
    <w:r>
      <w:rPr>
        <w:rFonts w:hint="eastAsia" w:ascii="仿宋_GB2312" w:eastAsia="仿宋_GB2312"/>
      </w:rPr>
      <w:t>新建年产新能源汽车铝单板80万平方米项目环境影响报告书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A98FA">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6C79B">
    <w:pPr>
      <w:pStyle w:val="57"/>
    </w:pPr>
    <w:r>
      <w:rPr>
        <w:rFonts w:hint="eastAsia" w:ascii="仿宋_GB2312" w:eastAsia="仿宋_GB2312"/>
      </w:rPr>
      <w:t>新建年产新能源汽车铝单板80万平方米项目环境影响报告书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3F8C2">
    <w:pPr>
      <w:pStyle w:val="57"/>
      <w:rPr>
        <w:rFonts w:eastAsia="仿宋"/>
        <w:w w:val="90"/>
        <w:szCs w:val="28"/>
      </w:rPr>
    </w:pPr>
    <w:r>
      <w:rPr>
        <w:rFonts w:hint="eastAsia" w:ascii="仿宋_GB2312" w:eastAsia="仿宋_GB2312"/>
      </w:rPr>
      <w:t>新建年产新能源汽车铝单板80万平方米项目环境影响报告书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4B1BF">
    <w:pPr>
      <w:pStyle w:val="57"/>
    </w:pPr>
    <w:r>
      <w:rPr>
        <w:rFonts w:hint="eastAsia" w:ascii="仿宋_GB2312" w:eastAsia="仿宋_GB2312"/>
      </w:rPr>
      <w:t>新建年产新能源汽车铝单板8</w:t>
    </w:r>
    <w:r>
      <w:rPr>
        <w:rFonts w:ascii="仿宋_GB2312" w:eastAsia="仿宋_GB2312"/>
      </w:rPr>
      <w:t>0</w:t>
    </w:r>
    <w:r>
      <w:rPr>
        <w:rFonts w:hint="eastAsia" w:ascii="仿宋_GB2312" w:eastAsia="仿宋_GB2312"/>
      </w:rPr>
      <w:t>万平方米项目环境影响报告书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48A8E">
    <w:pPr>
      <w:pStyle w:val="57"/>
    </w:pPr>
    <w:r>
      <w:rPr>
        <w:rFonts w:hint="eastAsia" w:eastAsia="楷体_GB2312"/>
      </w:rPr>
      <w:t>江苏扬瑞新材料有限公司年产7万吨功能涂料项目                           7环境影响经济损益分析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143C">
    <w:pPr>
      <w:pStyle w:val="57"/>
    </w:pPr>
    <w:r>
      <w:rPr>
        <w:rFonts w:hint="eastAsia" w:eastAsia="楷体_GB2312"/>
      </w:rPr>
      <w:t>富德（常州）能源化工发展有限公司年产30万吨聚丙烯项目      12 环境监控及环保管理计划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E75D">
    <w:pPr>
      <w:pStyle w:val="57"/>
    </w:pPr>
    <w:r>
      <w:rPr>
        <w:rFonts w:hint="eastAsia" w:ascii="仿宋_GB2312" w:eastAsia="仿宋_GB2312"/>
      </w:rPr>
      <w:t>新建年产新能源汽车铝单板80万平方米项目环境影响报告书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297C2"/>
    <w:multiLevelType w:val="singleLevel"/>
    <w:tmpl w:val="CFB297C2"/>
    <w:lvl w:ilvl="0" w:tentative="0">
      <w:start w:val="1"/>
      <w:numFmt w:val="decimal"/>
      <w:suff w:val="nothing"/>
      <w:lvlText w:val="（%1）"/>
      <w:lvlJc w:val="left"/>
    </w:lvl>
  </w:abstractNum>
  <w:abstractNum w:abstractNumId="1">
    <w:nsid w:val="035D370C"/>
    <w:multiLevelType w:val="multilevel"/>
    <w:tmpl w:val="035D370C"/>
    <w:lvl w:ilvl="0" w:tentative="0">
      <w:start w:val="1"/>
      <w:numFmt w:val="decimalEnclosedCircle"/>
      <w:lvlText w:val="%1"/>
      <w:lvlJc w:val="left"/>
      <w:pPr>
        <w:ind w:left="920" w:hanging="360"/>
      </w:pPr>
      <w:rPr>
        <w:rFonts w:hint="default" w:ascii="宋体" w:hAnsi="宋体" w:eastAsia="宋体"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DE24578"/>
    <w:multiLevelType w:val="multilevel"/>
    <w:tmpl w:val="0DE24578"/>
    <w:lvl w:ilvl="0" w:tentative="0">
      <w:start w:val="1"/>
      <w:numFmt w:val="decimal"/>
      <w:lvlText w:val="%1."/>
      <w:lvlJc w:val="left"/>
      <w:pPr>
        <w:tabs>
          <w:tab w:val="left" w:pos="720"/>
        </w:tabs>
        <w:ind w:left="720" w:hanging="360"/>
      </w:pPr>
    </w:lvl>
    <w:lvl w:ilvl="1" w:tentative="0">
      <w:start w:val="1"/>
      <w:numFmt w:val="bullet"/>
      <w:pStyle w:val="394"/>
      <w:lvlText w:val=""/>
      <w:lvlJc w:val="left"/>
      <w:pPr>
        <w:tabs>
          <w:tab w:val="left" w:pos="1437"/>
        </w:tabs>
        <w:ind w:left="1437" w:hanging="357"/>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13E1577B"/>
    <w:multiLevelType w:val="multilevel"/>
    <w:tmpl w:val="13E1577B"/>
    <w:lvl w:ilvl="0" w:tentative="0">
      <w:start w:val="1"/>
      <w:numFmt w:val="decimal"/>
      <w:lvlText w:val="%1"/>
      <w:lvlJc w:val="left"/>
      <w:pPr>
        <w:ind w:left="425" w:hanging="425"/>
      </w:pPr>
      <w:rPr>
        <w:sz w:val="36"/>
        <w:szCs w:val="36"/>
      </w:rPr>
    </w:lvl>
    <w:lvl w:ilvl="1" w:tentative="0">
      <w:start w:val="1"/>
      <w:numFmt w:val="decimal"/>
      <w:pStyle w:val="5"/>
      <w:lvlText w:val="%1.%2"/>
      <w:lvlJc w:val="left"/>
      <w:pPr>
        <w:ind w:left="993" w:hanging="567"/>
      </w:pPr>
      <w:rPr>
        <w:lang w:val="en-US"/>
      </w:rPr>
    </w:lvl>
    <w:lvl w:ilvl="2" w:tentative="0">
      <w:start w:val="1"/>
      <w:numFmt w:val="decimal"/>
      <w:lvlText w:val="%1.%2.%3"/>
      <w:lvlJc w:val="left"/>
      <w:pPr>
        <w:ind w:left="567" w:hanging="567"/>
      </w:pPr>
      <w:rPr>
        <w:b/>
        <w:sz w:val="30"/>
        <w:szCs w:val="30"/>
      </w:rPr>
    </w:lvl>
    <w:lvl w:ilvl="3" w:tentative="0">
      <w:start w:val="1"/>
      <w:numFmt w:val="decimal"/>
      <w:lvlText w:val="%1.%2.%3.%4"/>
      <w:lvlJc w:val="left"/>
      <w:pPr>
        <w:ind w:left="708" w:hanging="708"/>
      </w:pPr>
      <w:rPr>
        <w:rFonts w:hint="default" w:ascii="Times New Roman" w:hAnsi="Times New Roman" w:eastAsia="仿宋_GB2312" w:cs="Times New Roman"/>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21915D5D"/>
    <w:multiLevelType w:val="multilevel"/>
    <w:tmpl w:val="21915D5D"/>
    <w:lvl w:ilvl="0" w:tentative="0">
      <w:start w:val="1"/>
      <w:numFmt w:val="bullet"/>
      <w:pStyle w:val="386"/>
      <w:lvlText w:val=""/>
      <w:lvlJc w:val="left"/>
      <w:pPr>
        <w:tabs>
          <w:tab w:val="left" w:pos="360"/>
        </w:tabs>
        <w:ind w:left="357" w:hanging="357"/>
      </w:pPr>
      <w:rPr>
        <w:rFonts w:hint="default" w:ascii="Symbol" w:hAnsi="Symbol"/>
        <w:position w:val="0"/>
      </w:rPr>
    </w:lvl>
    <w:lvl w:ilvl="1" w:tentative="0">
      <w:start w:val="1"/>
      <w:numFmt w:val="bullet"/>
      <w:lvlText w:val=""/>
      <w:lvlJc w:val="left"/>
      <w:pPr>
        <w:tabs>
          <w:tab w:val="left" w:pos="720"/>
        </w:tabs>
        <w:ind w:left="720" w:hanging="363"/>
      </w:pPr>
      <w:rPr>
        <w:rFonts w:hint="default" w:ascii="Symbol" w:hAnsi="Symbol"/>
      </w:rPr>
    </w:lvl>
    <w:lvl w:ilvl="2" w:tentative="0">
      <w:start w:val="1"/>
      <w:numFmt w:val="bullet"/>
      <w:lvlText w:val=""/>
      <w:lvlJc w:val="left"/>
      <w:pPr>
        <w:tabs>
          <w:tab w:val="left" w:pos="1077"/>
        </w:tabs>
        <w:ind w:left="1077" w:hanging="357"/>
      </w:pPr>
      <w:rPr>
        <w:rFonts w:hint="default" w:ascii="Symbol" w:hAnsi="Symbol"/>
      </w:rPr>
    </w:lvl>
    <w:lvl w:ilvl="3" w:tentative="0">
      <w:start w:val="1"/>
      <w:numFmt w:val="none"/>
      <w:suff w:val="nothing"/>
      <w:lvlText w:val=""/>
      <w:lvlJc w:val="left"/>
      <w:pPr>
        <w:ind w:left="0" w:firstLine="0"/>
      </w:pPr>
      <w:rPr>
        <w:rFonts w:hint="default"/>
      </w:rPr>
    </w:lvl>
    <w:lvl w:ilvl="4" w:tentative="0">
      <w:start w:val="1"/>
      <w:numFmt w:val="none"/>
      <w:suff w:val="nothing"/>
      <w:lvlText w:val=""/>
      <w:lvlJc w:val="left"/>
      <w:pPr>
        <w:ind w:left="0" w:firstLine="0"/>
      </w:pPr>
      <w:rPr>
        <w:rFonts w:hint="default"/>
      </w:rPr>
    </w:lvl>
    <w:lvl w:ilvl="5" w:tentative="0">
      <w:start w:val="1"/>
      <w:numFmt w:val="none"/>
      <w:suff w:val="nothing"/>
      <w:lvlText w:val=""/>
      <w:lvlJc w:val="left"/>
      <w:pPr>
        <w:ind w:left="0" w:firstLine="0"/>
      </w:pPr>
      <w:rPr>
        <w:rFonts w:hint="default"/>
      </w:rPr>
    </w:lvl>
    <w:lvl w:ilvl="6" w:tentative="0">
      <w:start w:val="1"/>
      <w:numFmt w:val="none"/>
      <w:suff w:val="nothing"/>
      <w:lvlText w:val=""/>
      <w:lvlJc w:val="left"/>
      <w:pPr>
        <w:ind w:left="0" w:firstLine="0"/>
      </w:pPr>
      <w:rPr>
        <w:rFonts w:hint="default"/>
      </w:rPr>
    </w:lvl>
    <w:lvl w:ilvl="7" w:tentative="0">
      <w:start w:val="1"/>
      <w:numFmt w:val="none"/>
      <w:suff w:val="nothing"/>
      <w:lvlText w:val=""/>
      <w:lvlJc w:val="left"/>
      <w:pPr>
        <w:ind w:left="0" w:firstLine="0"/>
      </w:pPr>
      <w:rPr>
        <w:rFonts w:hint="default"/>
      </w:rPr>
    </w:lvl>
    <w:lvl w:ilvl="8" w:tentative="0">
      <w:start w:val="1"/>
      <w:numFmt w:val="none"/>
      <w:suff w:val="nothing"/>
      <w:lvlText w:val=""/>
      <w:lvlJc w:val="left"/>
      <w:pPr>
        <w:ind w:left="0" w:firstLine="0"/>
      </w:pPr>
      <w:rPr>
        <w:rFonts w:hint="default"/>
      </w:rPr>
    </w:lvl>
  </w:abstractNum>
  <w:abstractNum w:abstractNumId="5">
    <w:nsid w:val="2733117F"/>
    <w:multiLevelType w:val="multilevel"/>
    <w:tmpl w:val="2733117F"/>
    <w:lvl w:ilvl="0" w:tentative="0">
      <w:start w:val="1"/>
      <w:numFmt w:val="decimal"/>
      <w:pStyle w:val="315"/>
      <w:lvlText w:val="%1"/>
      <w:lvlJc w:val="left"/>
      <w:pPr>
        <w:tabs>
          <w:tab w:val="left" w:pos="432"/>
        </w:tabs>
        <w:ind w:left="432" w:hanging="432"/>
      </w:pPr>
      <w:rPr>
        <w:rFonts w:hint="eastAsia"/>
      </w:rPr>
    </w:lvl>
    <w:lvl w:ilvl="1" w:tentative="0">
      <w:start w:val="1"/>
      <w:numFmt w:val="decimal"/>
      <w:pStyle w:val="316"/>
      <w:lvlText w:val="%1.%2"/>
      <w:lvlJc w:val="left"/>
      <w:pPr>
        <w:tabs>
          <w:tab w:val="left" w:pos="720"/>
        </w:tabs>
        <w:ind w:left="397" w:hanging="397"/>
      </w:pPr>
      <w:rPr>
        <w:rFonts w:hint="eastAsia" w:eastAsia="仿宋_GB2312"/>
      </w:rPr>
    </w:lvl>
    <w:lvl w:ilvl="2" w:tentative="0">
      <w:start w:val="1"/>
      <w:numFmt w:val="decimal"/>
      <w:pStyle w:val="317"/>
      <w:lvlText w:val="%1.%2.%3"/>
      <w:lvlJc w:val="left"/>
      <w:pPr>
        <w:tabs>
          <w:tab w:val="left" w:pos="1021"/>
        </w:tabs>
        <w:ind w:left="1021" w:hanging="1021"/>
      </w:pPr>
      <w:rPr>
        <w:rFonts w:hint="default" w:ascii="Times New Roman" w:hAnsi="Times New Roman" w:eastAsia="宋体"/>
        <w:b/>
        <w:i w:val="0"/>
        <w:sz w:val="24"/>
        <w:szCs w:val="24"/>
      </w:rPr>
    </w:lvl>
    <w:lvl w:ilvl="3" w:tentative="0">
      <w:start w:val="1"/>
      <w:numFmt w:val="decimal"/>
      <w:pStyle w:val="318"/>
      <w:lvlText w:val="%1.%2.%3.%4"/>
      <w:lvlJc w:val="left"/>
      <w:pPr>
        <w:tabs>
          <w:tab w:val="left" w:pos="1247"/>
        </w:tabs>
        <w:ind w:left="964" w:hanging="964"/>
      </w:pPr>
      <w:rPr>
        <w:rFonts w:hint="default" w:ascii="Times New Roman" w:hAnsi="Times New Roman" w:eastAsia="宋体"/>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3A9D4FB6"/>
    <w:multiLevelType w:val="singleLevel"/>
    <w:tmpl w:val="3A9D4FB6"/>
    <w:lvl w:ilvl="0" w:tentative="0">
      <w:start w:val="1"/>
      <w:numFmt w:val="decimal"/>
      <w:pStyle w:val="157"/>
      <w:lvlText w:val="%1."/>
      <w:lvlJc w:val="left"/>
      <w:pPr>
        <w:tabs>
          <w:tab w:val="left" w:pos="2040"/>
        </w:tabs>
        <w:ind w:left="2040" w:hanging="360"/>
      </w:pPr>
    </w:lvl>
  </w:abstractNum>
  <w:abstractNum w:abstractNumId="7">
    <w:nsid w:val="6008A79A"/>
    <w:multiLevelType w:val="singleLevel"/>
    <w:tmpl w:val="6008A79A"/>
    <w:lvl w:ilvl="0" w:tentative="0">
      <w:start w:val="1"/>
      <w:numFmt w:val="chineseCounting"/>
      <w:suff w:val="nothing"/>
      <w:lvlText w:val="%1、"/>
      <w:lvlJc w:val="left"/>
      <w:rPr>
        <w:rFonts w:hint="eastAsia"/>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3MmYzMmY3M2FiNTAzYjY1NmIyZWJkODY0NDgyZmEifQ=="/>
  </w:docVars>
  <w:rsids>
    <w:rsidRoot w:val="00172A27"/>
    <w:rsid w:val="0000155A"/>
    <w:rsid w:val="000017E9"/>
    <w:rsid w:val="00001BF8"/>
    <w:rsid w:val="00001CA9"/>
    <w:rsid w:val="000021AD"/>
    <w:rsid w:val="00002403"/>
    <w:rsid w:val="00002731"/>
    <w:rsid w:val="000028DD"/>
    <w:rsid w:val="00002A37"/>
    <w:rsid w:val="00002B33"/>
    <w:rsid w:val="00002D9E"/>
    <w:rsid w:val="00002F87"/>
    <w:rsid w:val="000032C5"/>
    <w:rsid w:val="000035E6"/>
    <w:rsid w:val="000036C3"/>
    <w:rsid w:val="00003A25"/>
    <w:rsid w:val="00004014"/>
    <w:rsid w:val="0000403E"/>
    <w:rsid w:val="00004297"/>
    <w:rsid w:val="00004BC2"/>
    <w:rsid w:val="00004C43"/>
    <w:rsid w:val="00004DF8"/>
    <w:rsid w:val="00004F5D"/>
    <w:rsid w:val="000054E8"/>
    <w:rsid w:val="000056F9"/>
    <w:rsid w:val="0000586F"/>
    <w:rsid w:val="000059E1"/>
    <w:rsid w:val="00005F4C"/>
    <w:rsid w:val="00006984"/>
    <w:rsid w:val="000069E7"/>
    <w:rsid w:val="00006C8B"/>
    <w:rsid w:val="00006DFE"/>
    <w:rsid w:val="00007A49"/>
    <w:rsid w:val="00007ED3"/>
    <w:rsid w:val="00007FF4"/>
    <w:rsid w:val="0001020C"/>
    <w:rsid w:val="000103DE"/>
    <w:rsid w:val="00010445"/>
    <w:rsid w:val="000107C6"/>
    <w:rsid w:val="00010815"/>
    <w:rsid w:val="000108B2"/>
    <w:rsid w:val="00010B7A"/>
    <w:rsid w:val="00011917"/>
    <w:rsid w:val="00011BBF"/>
    <w:rsid w:val="000120D7"/>
    <w:rsid w:val="0001212D"/>
    <w:rsid w:val="00012877"/>
    <w:rsid w:val="00014111"/>
    <w:rsid w:val="000143E8"/>
    <w:rsid w:val="00014409"/>
    <w:rsid w:val="0001486D"/>
    <w:rsid w:val="000149D0"/>
    <w:rsid w:val="00014B2E"/>
    <w:rsid w:val="00015108"/>
    <w:rsid w:val="000154A4"/>
    <w:rsid w:val="00015619"/>
    <w:rsid w:val="00015CFF"/>
    <w:rsid w:val="00015E0F"/>
    <w:rsid w:val="000160AE"/>
    <w:rsid w:val="0001689C"/>
    <w:rsid w:val="00016A30"/>
    <w:rsid w:val="00016D30"/>
    <w:rsid w:val="000171A3"/>
    <w:rsid w:val="00017BC7"/>
    <w:rsid w:val="00017DAF"/>
    <w:rsid w:val="00020413"/>
    <w:rsid w:val="000206B4"/>
    <w:rsid w:val="0002095E"/>
    <w:rsid w:val="000209B5"/>
    <w:rsid w:val="00020D46"/>
    <w:rsid w:val="00020E58"/>
    <w:rsid w:val="00020EE1"/>
    <w:rsid w:val="00021924"/>
    <w:rsid w:val="00021B53"/>
    <w:rsid w:val="000221C2"/>
    <w:rsid w:val="000225CB"/>
    <w:rsid w:val="00022C25"/>
    <w:rsid w:val="00022D7F"/>
    <w:rsid w:val="00022D87"/>
    <w:rsid w:val="00022F13"/>
    <w:rsid w:val="0002328F"/>
    <w:rsid w:val="00023457"/>
    <w:rsid w:val="00023988"/>
    <w:rsid w:val="00023EFD"/>
    <w:rsid w:val="00023F35"/>
    <w:rsid w:val="000246B8"/>
    <w:rsid w:val="0002488E"/>
    <w:rsid w:val="00024D9B"/>
    <w:rsid w:val="00024E50"/>
    <w:rsid w:val="00024F6E"/>
    <w:rsid w:val="00025006"/>
    <w:rsid w:val="000256BA"/>
    <w:rsid w:val="000256D0"/>
    <w:rsid w:val="00025C6C"/>
    <w:rsid w:val="00025C6D"/>
    <w:rsid w:val="000260CA"/>
    <w:rsid w:val="000267AD"/>
    <w:rsid w:val="0002688C"/>
    <w:rsid w:val="000268DF"/>
    <w:rsid w:val="00026B55"/>
    <w:rsid w:val="00026B78"/>
    <w:rsid w:val="00026ED0"/>
    <w:rsid w:val="000270C7"/>
    <w:rsid w:val="000272A0"/>
    <w:rsid w:val="00027394"/>
    <w:rsid w:val="000275A8"/>
    <w:rsid w:val="0002794B"/>
    <w:rsid w:val="00027AE3"/>
    <w:rsid w:val="00027B27"/>
    <w:rsid w:val="00027C2E"/>
    <w:rsid w:val="00027CEB"/>
    <w:rsid w:val="00027D33"/>
    <w:rsid w:val="00027DAD"/>
    <w:rsid w:val="00027E10"/>
    <w:rsid w:val="000302A8"/>
    <w:rsid w:val="000307F4"/>
    <w:rsid w:val="00030CEC"/>
    <w:rsid w:val="000310EF"/>
    <w:rsid w:val="0003122F"/>
    <w:rsid w:val="00031A59"/>
    <w:rsid w:val="00031F42"/>
    <w:rsid w:val="00032174"/>
    <w:rsid w:val="000323D3"/>
    <w:rsid w:val="00032483"/>
    <w:rsid w:val="00032553"/>
    <w:rsid w:val="00032D86"/>
    <w:rsid w:val="00032D9C"/>
    <w:rsid w:val="00033213"/>
    <w:rsid w:val="00033605"/>
    <w:rsid w:val="00033CF4"/>
    <w:rsid w:val="00033F96"/>
    <w:rsid w:val="0003435D"/>
    <w:rsid w:val="00034368"/>
    <w:rsid w:val="00034E12"/>
    <w:rsid w:val="000351A3"/>
    <w:rsid w:val="0003544D"/>
    <w:rsid w:val="0003564F"/>
    <w:rsid w:val="00035BBE"/>
    <w:rsid w:val="00035C75"/>
    <w:rsid w:val="0003619F"/>
    <w:rsid w:val="0003622F"/>
    <w:rsid w:val="00036423"/>
    <w:rsid w:val="00036460"/>
    <w:rsid w:val="00036EAF"/>
    <w:rsid w:val="0003706A"/>
    <w:rsid w:val="0003731E"/>
    <w:rsid w:val="000375E5"/>
    <w:rsid w:val="000379A7"/>
    <w:rsid w:val="000379CD"/>
    <w:rsid w:val="00037CDC"/>
    <w:rsid w:val="00037CFB"/>
    <w:rsid w:val="00037DD0"/>
    <w:rsid w:val="00037E96"/>
    <w:rsid w:val="00040710"/>
    <w:rsid w:val="00040971"/>
    <w:rsid w:val="00040B85"/>
    <w:rsid w:val="00040C16"/>
    <w:rsid w:val="00040CC5"/>
    <w:rsid w:val="00040E88"/>
    <w:rsid w:val="00040EE3"/>
    <w:rsid w:val="00041557"/>
    <w:rsid w:val="00041B06"/>
    <w:rsid w:val="00042491"/>
    <w:rsid w:val="00042905"/>
    <w:rsid w:val="0004300F"/>
    <w:rsid w:val="00043595"/>
    <w:rsid w:val="000437C4"/>
    <w:rsid w:val="00043832"/>
    <w:rsid w:val="00043D90"/>
    <w:rsid w:val="00043EFC"/>
    <w:rsid w:val="00044331"/>
    <w:rsid w:val="00044468"/>
    <w:rsid w:val="00044AB9"/>
    <w:rsid w:val="0004503B"/>
    <w:rsid w:val="00045043"/>
    <w:rsid w:val="00045544"/>
    <w:rsid w:val="0004563B"/>
    <w:rsid w:val="00045656"/>
    <w:rsid w:val="0004584C"/>
    <w:rsid w:val="0004587E"/>
    <w:rsid w:val="00045D0A"/>
    <w:rsid w:val="00045F36"/>
    <w:rsid w:val="00045FBD"/>
    <w:rsid w:val="0004603E"/>
    <w:rsid w:val="0004656C"/>
    <w:rsid w:val="00046697"/>
    <w:rsid w:val="000467B6"/>
    <w:rsid w:val="0004687B"/>
    <w:rsid w:val="0004709F"/>
    <w:rsid w:val="000470FE"/>
    <w:rsid w:val="00047150"/>
    <w:rsid w:val="000477E8"/>
    <w:rsid w:val="000477E9"/>
    <w:rsid w:val="00050364"/>
    <w:rsid w:val="00050417"/>
    <w:rsid w:val="00050630"/>
    <w:rsid w:val="0005088C"/>
    <w:rsid w:val="00050B2E"/>
    <w:rsid w:val="00050B69"/>
    <w:rsid w:val="00050B98"/>
    <w:rsid w:val="00051049"/>
    <w:rsid w:val="00051640"/>
    <w:rsid w:val="00051DC9"/>
    <w:rsid w:val="000526ED"/>
    <w:rsid w:val="0005272D"/>
    <w:rsid w:val="00052918"/>
    <w:rsid w:val="00052CEF"/>
    <w:rsid w:val="00052F9D"/>
    <w:rsid w:val="000532A0"/>
    <w:rsid w:val="000535BB"/>
    <w:rsid w:val="000536EE"/>
    <w:rsid w:val="00053C1D"/>
    <w:rsid w:val="00053C3D"/>
    <w:rsid w:val="00054094"/>
    <w:rsid w:val="00054907"/>
    <w:rsid w:val="0005493B"/>
    <w:rsid w:val="0005499E"/>
    <w:rsid w:val="000549A3"/>
    <w:rsid w:val="00054CE2"/>
    <w:rsid w:val="00054CE3"/>
    <w:rsid w:val="00054F87"/>
    <w:rsid w:val="00055214"/>
    <w:rsid w:val="0005521E"/>
    <w:rsid w:val="000553D4"/>
    <w:rsid w:val="0005578F"/>
    <w:rsid w:val="00055861"/>
    <w:rsid w:val="00055F7D"/>
    <w:rsid w:val="000562D6"/>
    <w:rsid w:val="00056588"/>
    <w:rsid w:val="00056B6D"/>
    <w:rsid w:val="00056C81"/>
    <w:rsid w:val="00056CA8"/>
    <w:rsid w:val="00056CDC"/>
    <w:rsid w:val="00056E46"/>
    <w:rsid w:val="0005707E"/>
    <w:rsid w:val="00057E55"/>
    <w:rsid w:val="000602BF"/>
    <w:rsid w:val="000606B9"/>
    <w:rsid w:val="00060C9C"/>
    <w:rsid w:val="000617C5"/>
    <w:rsid w:val="00061E59"/>
    <w:rsid w:val="00062155"/>
    <w:rsid w:val="000624AA"/>
    <w:rsid w:val="00062676"/>
    <w:rsid w:val="00062A1A"/>
    <w:rsid w:val="00062EDA"/>
    <w:rsid w:val="0006322C"/>
    <w:rsid w:val="00063EF9"/>
    <w:rsid w:val="00064232"/>
    <w:rsid w:val="000645C7"/>
    <w:rsid w:val="00064ACD"/>
    <w:rsid w:val="00064B47"/>
    <w:rsid w:val="00064C50"/>
    <w:rsid w:val="00064E49"/>
    <w:rsid w:val="00064EC3"/>
    <w:rsid w:val="00065AFF"/>
    <w:rsid w:val="00065B96"/>
    <w:rsid w:val="00065C40"/>
    <w:rsid w:val="00065DDC"/>
    <w:rsid w:val="00065F28"/>
    <w:rsid w:val="00065F66"/>
    <w:rsid w:val="00066050"/>
    <w:rsid w:val="00066422"/>
    <w:rsid w:val="00066CB5"/>
    <w:rsid w:val="00066CF9"/>
    <w:rsid w:val="00066D2F"/>
    <w:rsid w:val="00066E53"/>
    <w:rsid w:val="00066E7E"/>
    <w:rsid w:val="000673F6"/>
    <w:rsid w:val="00067494"/>
    <w:rsid w:val="00067917"/>
    <w:rsid w:val="00067968"/>
    <w:rsid w:val="000702C7"/>
    <w:rsid w:val="000702D3"/>
    <w:rsid w:val="00070565"/>
    <w:rsid w:val="00070718"/>
    <w:rsid w:val="000709B5"/>
    <w:rsid w:val="00070B16"/>
    <w:rsid w:val="00070D55"/>
    <w:rsid w:val="00070E6E"/>
    <w:rsid w:val="00070FEE"/>
    <w:rsid w:val="00071021"/>
    <w:rsid w:val="00071601"/>
    <w:rsid w:val="000716B9"/>
    <w:rsid w:val="0007184B"/>
    <w:rsid w:val="00071944"/>
    <w:rsid w:val="00071E77"/>
    <w:rsid w:val="00071EA9"/>
    <w:rsid w:val="0007217F"/>
    <w:rsid w:val="00072353"/>
    <w:rsid w:val="00072514"/>
    <w:rsid w:val="00072628"/>
    <w:rsid w:val="00072B44"/>
    <w:rsid w:val="0007316D"/>
    <w:rsid w:val="00073371"/>
    <w:rsid w:val="00073CCA"/>
    <w:rsid w:val="000741B2"/>
    <w:rsid w:val="0007450F"/>
    <w:rsid w:val="000745B8"/>
    <w:rsid w:val="00074739"/>
    <w:rsid w:val="0007492D"/>
    <w:rsid w:val="00074940"/>
    <w:rsid w:val="00074AA2"/>
    <w:rsid w:val="00074CCD"/>
    <w:rsid w:val="00075568"/>
    <w:rsid w:val="00075B43"/>
    <w:rsid w:val="00075F53"/>
    <w:rsid w:val="00076055"/>
    <w:rsid w:val="0007635A"/>
    <w:rsid w:val="000766E9"/>
    <w:rsid w:val="000767F9"/>
    <w:rsid w:val="0007692C"/>
    <w:rsid w:val="00076A62"/>
    <w:rsid w:val="00076DF0"/>
    <w:rsid w:val="00076E8D"/>
    <w:rsid w:val="000772E6"/>
    <w:rsid w:val="000775DF"/>
    <w:rsid w:val="000803E9"/>
    <w:rsid w:val="00080644"/>
    <w:rsid w:val="00080BD7"/>
    <w:rsid w:val="0008117E"/>
    <w:rsid w:val="0008160A"/>
    <w:rsid w:val="00081BC2"/>
    <w:rsid w:val="0008203B"/>
    <w:rsid w:val="000820E2"/>
    <w:rsid w:val="000822A5"/>
    <w:rsid w:val="0008246D"/>
    <w:rsid w:val="000824B0"/>
    <w:rsid w:val="00082852"/>
    <w:rsid w:val="00082C40"/>
    <w:rsid w:val="00082D21"/>
    <w:rsid w:val="00083011"/>
    <w:rsid w:val="0008311D"/>
    <w:rsid w:val="000834FF"/>
    <w:rsid w:val="000835EA"/>
    <w:rsid w:val="00083DC1"/>
    <w:rsid w:val="0008443C"/>
    <w:rsid w:val="000849AA"/>
    <w:rsid w:val="00084AC8"/>
    <w:rsid w:val="00084EFF"/>
    <w:rsid w:val="0008558D"/>
    <w:rsid w:val="000855E6"/>
    <w:rsid w:val="00085806"/>
    <w:rsid w:val="000858F9"/>
    <w:rsid w:val="00085BCE"/>
    <w:rsid w:val="00086777"/>
    <w:rsid w:val="00086E33"/>
    <w:rsid w:val="00086F66"/>
    <w:rsid w:val="00086F8B"/>
    <w:rsid w:val="000876D0"/>
    <w:rsid w:val="00087CCA"/>
    <w:rsid w:val="0009021C"/>
    <w:rsid w:val="000902E9"/>
    <w:rsid w:val="000903F4"/>
    <w:rsid w:val="0009045D"/>
    <w:rsid w:val="000909B6"/>
    <w:rsid w:val="00091790"/>
    <w:rsid w:val="000918F4"/>
    <w:rsid w:val="00091CA6"/>
    <w:rsid w:val="00091E80"/>
    <w:rsid w:val="000921FF"/>
    <w:rsid w:val="00092545"/>
    <w:rsid w:val="00092630"/>
    <w:rsid w:val="000926C1"/>
    <w:rsid w:val="00092BCC"/>
    <w:rsid w:val="00092FD4"/>
    <w:rsid w:val="000934D4"/>
    <w:rsid w:val="00093562"/>
    <w:rsid w:val="000935E7"/>
    <w:rsid w:val="000936BF"/>
    <w:rsid w:val="0009404D"/>
    <w:rsid w:val="000942F3"/>
    <w:rsid w:val="0009435D"/>
    <w:rsid w:val="000949D1"/>
    <w:rsid w:val="0009551B"/>
    <w:rsid w:val="000955E4"/>
    <w:rsid w:val="00095739"/>
    <w:rsid w:val="00095A01"/>
    <w:rsid w:val="00095CE8"/>
    <w:rsid w:val="000965FE"/>
    <w:rsid w:val="000969F1"/>
    <w:rsid w:val="00096A7D"/>
    <w:rsid w:val="00096C92"/>
    <w:rsid w:val="0009724A"/>
    <w:rsid w:val="0009751B"/>
    <w:rsid w:val="000977C5"/>
    <w:rsid w:val="000978D7"/>
    <w:rsid w:val="00097AA8"/>
    <w:rsid w:val="00097C7A"/>
    <w:rsid w:val="000A076F"/>
    <w:rsid w:val="000A080D"/>
    <w:rsid w:val="000A0A66"/>
    <w:rsid w:val="000A0B4B"/>
    <w:rsid w:val="000A10D8"/>
    <w:rsid w:val="000A1598"/>
    <w:rsid w:val="000A1849"/>
    <w:rsid w:val="000A185E"/>
    <w:rsid w:val="000A1CE4"/>
    <w:rsid w:val="000A2111"/>
    <w:rsid w:val="000A2426"/>
    <w:rsid w:val="000A2FF7"/>
    <w:rsid w:val="000A3130"/>
    <w:rsid w:val="000A3CEF"/>
    <w:rsid w:val="000A3EB3"/>
    <w:rsid w:val="000A4178"/>
    <w:rsid w:val="000A422D"/>
    <w:rsid w:val="000A4315"/>
    <w:rsid w:val="000A4326"/>
    <w:rsid w:val="000A4576"/>
    <w:rsid w:val="000A4AA9"/>
    <w:rsid w:val="000A51F6"/>
    <w:rsid w:val="000A53D8"/>
    <w:rsid w:val="000A632D"/>
    <w:rsid w:val="000A6449"/>
    <w:rsid w:val="000A65CE"/>
    <w:rsid w:val="000A683A"/>
    <w:rsid w:val="000A6A37"/>
    <w:rsid w:val="000A6EA6"/>
    <w:rsid w:val="000A77CA"/>
    <w:rsid w:val="000A7DAF"/>
    <w:rsid w:val="000B0150"/>
    <w:rsid w:val="000B0173"/>
    <w:rsid w:val="000B0A4F"/>
    <w:rsid w:val="000B0BC7"/>
    <w:rsid w:val="000B0E34"/>
    <w:rsid w:val="000B117C"/>
    <w:rsid w:val="000B131A"/>
    <w:rsid w:val="000B179F"/>
    <w:rsid w:val="000B196C"/>
    <w:rsid w:val="000B1A62"/>
    <w:rsid w:val="000B1A9A"/>
    <w:rsid w:val="000B1B3B"/>
    <w:rsid w:val="000B1CB0"/>
    <w:rsid w:val="000B1D69"/>
    <w:rsid w:val="000B1FCE"/>
    <w:rsid w:val="000B229A"/>
    <w:rsid w:val="000B24A3"/>
    <w:rsid w:val="000B28FE"/>
    <w:rsid w:val="000B2B74"/>
    <w:rsid w:val="000B2E0C"/>
    <w:rsid w:val="000B2EDD"/>
    <w:rsid w:val="000B3576"/>
    <w:rsid w:val="000B3F16"/>
    <w:rsid w:val="000B40B3"/>
    <w:rsid w:val="000B4572"/>
    <w:rsid w:val="000B46FB"/>
    <w:rsid w:val="000B5099"/>
    <w:rsid w:val="000B511C"/>
    <w:rsid w:val="000B51E8"/>
    <w:rsid w:val="000B5415"/>
    <w:rsid w:val="000B556F"/>
    <w:rsid w:val="000B5ADB"/>
    <w:rsid w:val="000B5B95"/>
    <w:rsid w:val="000B5EC1"/>
    <w:rsid w:val="000B7303"/>
    <w:rsid w:val="000B796F"/>
    <w:rsid w:val="000B798A"/>
    <w:rsid w:val="000B798D"/>
    <w:rsid w:val="000B7B07"/>
    <w:rsid w:val="000C0086"/>
    <w:rsid w:val="000C0092"/>
    <w:rsid w:val="000C01AE"/>
    <w:rsid w:val="000C0703"/>
    <w:rsid w:val="000C099F"/>
    <w:rsid w:val="000C0A38"/>
    <w:rsid w:val="000C11F5"/>
    <w:rsid w:val="000C153C"/>
    <w:rsid w:val="000C1904"/>
    <w:rsid w:val="000C196C"/>
    <w:rsid w:val="000C1D32"/>
    <w:rsid w:val="000C26E1"/>
    <w:rsid w:val="000C2AF0"/>
    <w:rsid w:val="000C3092"/>
    <w:rsid w:val="000C311C"/>
    <w:rsid w:val="000C3538"/>
    <w:rsid w:val="000C3B02"/>
    <w:rsid w:val="000C40D2"/>
    <w:rsid w:val="000C4A43"/>
    <w:rsid w:val="000C4DF5"/>
    <w:rsid w:val="000C583C"/>
    <w:rsid w:val="000C5AF1"/>
    <w:rsid w:val="000C5DE3"/>
    <w:rsid w:val="000C5E07"/>
    <w:rsid w:val="000C5F58"/>
    <w:rsid w:val="000C6317"/>
    <w:rsid w:val="000C66CE"/>
    <w:rsid w:val="000C6956"/>
    <w:rsid w:val="000C731C"/>
    <w:rsid w:val="000C7334"/>
    <w:rsid w:val="000C783E"/>
    <w:rsid w:val="000C7D21"/>
    <w:rsid w:val="000C7E66"/>
    <w:rsid w:val="000D04B0"/>
    <w:rsid w:val="000D12BE"/>
    <w:rsid w:val="000D1585"/>
    <w:rsid w:val="000D1E82"/>
    <w:rsid w:val="000D22B4"/>
    <w:rsid w:val="000D2567"/>
    <w:rsid w:val="000D29FA"/>
    <w:rsid w:val="000D2FD4"/>
    <w:rsid w:val="000D329D"/>
    <w:rsid w:val="000D32A3"/>
    <w:rsid w:val="000D33B0"/>
    <w:rsid w:val="000D350F"/>
    <w:rsid w:val="000D3512"/>
    <w:rsid w:val="000D3D20"/>
    <w:rsid w:val="000D3D52"/>
    <w:rsid w:val="000D40F2"/>
    <w:rsid w:val="000D4DED"/>
    <w:rsid w:val="000D4E42"/>
    <w:rsid w:val="000D5423"/>
    <w:rsid w:val="000D55C2"/>
    <w:rsid w:val="000D5F2D"/>
    <w:rsid w:val="000D6181"/>
    <w:rsid w:val="000D619E"/>
    <w:rsid w:val="000D63B6"/>
    <w:rsid w:val="000D6A4D"/>
    <w:rsid w:val="000D6B0E"/>
    <w:rsid w:val="000D6D99"/>
    <w:rsid w:val="000D6FF4"/>
    <w:rsid w:val="000D7020"/>
    <w:rsid w:val="000D739D"/>
    <w:rsid w:val="000E01A6"/>
    <w:rsid w:val="000E020D"/>
    <w:rsid w:val="000E048B"/>
    <w:rsid w:val="000E05BA"/>
    <w:rsid w:val="000E091B"/>
    <w:rsid w:val="000E1058"/>
    <w:rsid w:val="000E118D"/>
    <w:rsid w:val="000E1B5C"/>
    <w:rsid w:val="000E1B8D"/>
    <w:rsid w:val="000E1EB9"/>
    <w:rsid w:val="000E1F43"/>
    <w:rsid w:val="000E1F6F"/>
    <w:rsid w:val="000E1FC6"/>
    <w:rsid w:val="000E2AC9"/>
    <w:rsid w:val="000E2B40"/>
    <w:rsid w:val="000E2D0D"/>
    <w:rsid w:val="000E2E03"/>
    <w:rsid w:val="000E2EBC"/>
    <w:rsid w:val="000E30FC"/>
    <w:rsid w:val="000E3417"/>
    <w:rsid w:val="000E401E"/>
    <w:rsid w:val="000E40E3"/>
    <w:rsid w:val="000E4636"/>
    <w:rsid w:val="000E4789"/>
    <w:rsid w:val="000E498E"/>
    <w:rsid w:val="000E5010"/>
    <w:rsid w:val="000E5288"/>
    <w:rsid w:val="000E5A18"/>
    <w:rsid w:val="000E5F1F"/>
    <w:rsid w:val="000E6757"/>
    <w:rsid w:val="000E6810"/>
    <w:rsid w:val="000E6F7C"/>
    <w:rsid w:val="000E756B"/>
    <w:rsid w:val="000F022B"/>
    <w:rsid w:val="000F0261"/>
    <w:rsid w:val="000F0964"/>
    <w:rsid w:val="000F0A01"/>
    <w:rsid w:val="000F193C"/>
    <w:rsid w:val="000F1961"/>
    <w:rsid w:val="000F1BC8"/>
    <w:rsid w:val="000F1C9C"/>
    <w:rsid w:val="000F1E57"/>
    <w:rsid w:val="000F1EF0"/>
    <w:rsid w:val="000F21B6"/>
    <w:rsid w:val="000F2360"/>
    <w:rsid w:val="000F25D9"/>
    <w:rsid w:val="000F2A0C"/>
    <w:rsid w:val="000F2CE1"/>
    <w:rsid w:val="000F3020"/>
    <w:rsid w:val="000F3068"/>
    <w:rsid w:val="000F3B23"/>
    <w:rsid w:val="000F3ED8"/>
    <w:rsid w:val="000F4602"/>
    <w:rsid w:val="000F4912"/>
    <w:rsid w:val="000F49E2"/>
    <w:rsid w:val="000F4A2C"/>
    <w:rsid w:val="000F4A5B"/>
    <w:rsid w:val="000F4DF5"/>
    <w:rsid w:val="000F5021"/>
    <w:rsid w:val="000F5551"/>
    <w:rsid w:val="000F5747"/>
    <w:rsid w:val="000F5958"/>
    <w:rsid w:val="000F6185"/>
    <w:rsid w:val="000F64A3"/>
    <w:rsid w:val="000F6781"/>
    <w:rsid w:val="000F6B8D"/>
    <w:rsid w:val="000F6FEA"/>
    <w:rsid w:val="000F75F3"/>
    <w:rsid w:val="000F7945"/>
    <w:rsid w:val="000F7AF7"/>
    <w:rsid w:val="000F7C1E"/>
    <w:rsid w:val="000F7C65"/>
    <w:rsid w:val="000F7C9A"/>
    <w:rsid w:val="000F7CEA"/>
    <w:rsid w:val="00100144"/>
    <w:rsid w:val="00100991"/>
    <w:rsid w:val="001009AD"/>
    <w:rsid w:val="00100B69"/>
    <w:rsid w:val="0010117B"/>
    <w:rsid w:val="001011B0"/>
    <w:rsid w:val="00101467"/>
    <w:rsid w:val="001017F3"/>
    <w:rsid w:val="00101969"/>
    <w:rsid w:val="00101C77"/>
    <w:rsid w:val="00101CEC"/>
    <w:rsid w:val="00102218"/>
    <w:rsid w:val="0010221E"/>
    <w:rsid w:val="0010235E"/>
    <w:rsid w:val="00102830"/>
    <w:rsid w:val="0010299E"/>
    <w:rsid w:val="00102E66"/>
    <w:rsid w:val="00103369"/>
    <w:rsid w:val="001033EB"/>
    <w:rsid w:val="00103547"/>
    <w:rsid w:val="001039C3"/>
    <w:rsid w:val="001039F2"/>
    <w:rsid w:val="0010460D"/>
    <w:rsid w:val="00104B1F"/>
    <w:rsid w:val="00104E9F"/>
    <w:rsid w:val="0010508A"/>
    <w:rsid w:val="001051FC"/>
    <w:rsid w:val="001054B7"/>
    <w:rsid w:val="00105654"/>
    <w:rsid w:val="00105AA2"/>
    <w:rsid w:val="00105CA1"/>
    <w:rsid w:val="001060C4"/>
    <w:rsid w:val="0010651C"/>
    <w:rsid w:val="00106F81"/>
    <w:rsid w:val="0010702E"/>
    <w:rsid w:val="001075CE"/>
    <w:rsid w:val="00107606"/>
    <w:rsid w:val="00107936"/>
    <w:rsid w:val="00107CCE"/>
    <w:rsid w:val="00110586"/>
    <w:rsid w:val="001106F0"/>
    <w:rsid w:val="00110810"/>
    <w:rsid w:val="00110938"/>
    <w:rsid w:val="00110F84"/>
    <w:rsid w:val="0011103A"/>
    <w:rsid w:val="001114CC"/>
    <w:rsid w:val="00112198"/>
    <w:rsid w:val="0011282F"/>
    <w:rsid w:val="00112A3B"/>
    <w:rsid w:val="00112BFD"/>
    <w:rsid w:val="00112C96"/>
    <w:rsid w:val="00112FE1"/>
    <w:rsid w:val="0011349A"/>
    <w:rsid w:val="001134D9"/>
    <w:rsid w:val="00113A03"/>
    <w:rsid w:val="00113BF4"/>
    <w:rsid w:val="00114361"/>
    <w:rsid w:val="00114424"/>
    <w:rsid w:val="00114823"/>
    <w:rsid w:val="00114CB1"/>
    <w:rsid w:val="00114F11"/>
    <w:rsid w:val="00114F3B"/>
    <w:rsid w:val="00114F7E"/>
    <w:rsid w:val="001150A9"/>
    <w:rsid w:val="0011519A"/>
    <w:rsid w:val="0011525B"/>
    <w:rsid w:val="00115540"/>
    <w:rsid w:val="0011583C"/>
    <w:rsid w:val="0011585B"/>
    <w:rsid w:val="00115DB5"/>
    <w:rsid w:val="0011609C"/>
    <w:rsid w:val="00116BC9"/>
    <w:rsid w:val="00116E57"/>
    <w:rsid w:val="0011731E"/>
    <w:rsid w:val="001176CC"/>
    <w:rsid w:val="001177EB"/>
    <w:rsid w:val="00117FE3"/>
    <w:rsid w:val="00120B72"/>
    <w:rsid w:val="00120C40"/>
    <w:rsid w:val="001211AD"/>
    <w:rsid w:val="0012131A"/>
    <w:rsid w:val="00121425"/>
    <w:rsid w:val="00121509"/>
    <w:rsid w:val="00122284"/>
    <w:rsid w:val="0012244E"/>
    <w:rsid w:val="00122BF5"/>
    <w:rsid w:val="00123158"/>
    <w:rsid w:val="00123539"/>
    <w:rsid w:val="0012365B"/>
    <w:rsid w:val="001236ED"/>
    <w:rsid w:val="00123916"/>
    <w:rsid w:val="00123E79"/>
    <w:rsid w:val="00123E8B"/>
    <w:rsid w:val="00123EE9"/>
    <w:rsid w:val="00123F6A"/>
    <w:rsid w:val="00124151"/>
    <w:rsid w:val="0012425F"/>
    <w:rsid w:val="00124559"/>
    <w:rsid w:val="001248FA"/>
    <w:rsid w:val="00124CE6"/>
    <w:rsid w:val="00124FCD"/>
    <w:rsid w:val="001252C4"/>
    <w:rsid w:val="00125467"/>
    <w:rsid w:val="0012552C"/>
    <w:rsid w:val="001256DF"/>
    <w:rsid w:val="001257D7"/>
    <w:rsid w:val="001259DF"/>
    <w:rsid w:val="00126134"/>
    <w:rsid w:val="00126141"/>
    <w:rsid w:val="001262CD"/>
    <w:rsid w:val="0012687A"/>
    <w:rsid w:val="001268DC"/>
    <w:rsid w:val="0012691D"/>
    <w:rsid w:val="00126924"/>
    <w:rsid w:val="00126E49"/>
    <w:rsid w:val="0012731F"/>
    <w:rsid w:val="00127429"/>
    <w:rsid w:val="00127831"/>
    <w:rsid w:val="001278AB"/>
    <w:rsid w:val="00127A71"/>
    <w:rsid w:val="00130262"/>
    <w:rsid w:val="00130463"/>
    <w:rsid w:val="00130534"/>
    <w:rsid w:val="00130EC5"/>
    <w:rsid w:val="001315B7"/>
    <w:rsid w:val="00131A82"/>
    <w:rsid w:val="00132024"/>
    <w:rsid w:val="0013252C"/>
    <w:rsid w:val="001329C6"/>
    <w:rsid w:val="00132AD4"/>
    <w:rsid w:val="00132D53"/>
    <w:rsid w:val="00133061"/>
    <w:rsid w:val="00133513"/>
    <w:rsid w:val="00133710"/>
    <w:rsid w:val="00133747"/>
    <w:rsid w:val="001337F2"/>
    <w:rsid w:val="00133836"/>
    <w:rsid w:val="00133CDB"/>
    <w:rsid w:val="00133CF0"/>
    <w:rsid w:val="001344DA"/>
    <w:rsid w:val="001346E5"/>
    <w:rsid w:val="0013476A"/>
    <w:rsid w:val="00134F73"/>
    <w:rsid w:val="0013566A"/>
    <w:rsid w:val="0013593A"/>
    <w:rsid w:val="00135D68"/>
    <w:rsid w:val="00135F1D"/>
    <w:rsid w:val="00136157"/>
    <w:rsid w:val="00136435"/>
    <w:rsid w:val="001368B0"/>
    <w:rsid w:val="00136965"/>
    <w:rsid w:val="001369B3"/>
    <w:rsid w:val="00136B55"/>
    <w:rsid w:val="00136C10"/>
    <w:rsid w:val="00137086"/>
    <w:rsid w:val="001373DD"/>
    <w:rsid w:val="00137507"/>
    <w:rsid w:val="00137801"/>
    <w:rsid w:val="0013796D"/>
    <w:rsid w:val="001379B4"/>
    <w:rsid w:val="00137C33"/>
    <w:rsid w:val="00137C74"/>
    <w:rsid w:val="001402F1"/>
    <w:rsid w:val="001411B6"/>
    <w:rsid w:val="0014144D"/>
    <w:rsid w:val="0014154E"/>
    <w:rsid w:val="00141D52"/>
    <w:rsid w:val="00141F34"/>
    <w:rsid w:val="00142956"/>
    <w:rsid w:val="00142C40"/>
    <w:rsid w:val="00142D9A"/>
    <w:rsid w:val="00142ED4"/>
    <w:rsid w:val="001432D7"/>
    <w:rsid w:val="00143679"/>
    <w:rsid w:val="00143A7A"/>
    <w:rsid w:val="00143AA3"/>
    <w:rsid w:val="00143C1A"/>
    <w:rsid w:val="00143C3C"/>
    <w:rsid w:val="00143EBE"/>
    <w:rsid w:val="001441EB"/>
    <w:rsid w:val="001443E7"/>
    <w:rsid w:val="00144843"/>
    <w:rsid w:val="00144C14"/>
    <w:rsid w:val="00144DAD"/>
    <w:rsid w:val="00144F43"/>
    <w:rsid w:val="001453F0"/>
    <w:rsid w:val="001455BA"/>
    <w:rsid w:val="001455F4"/>
    <w:rsid w:val="001459D3"/>
    <w:rsid w:val="00145B9B"/>
    <w:rsid w:val="00145E44"/>
    <w:rsid w:val="0014636D"/>
    <w:rsid w:val="00146503"/>
    <w:rsid w:val="0014704A"/>
    <w:rsid w:val="00147843"/>
    <w:rsid w:val="001478D8"/>
    <w:rsid w:val="00147A5C"/>
    <w:rsid w:val="00147CEA"/>
    <w:rsid w:val="001504D5"/>
    <w:rsid w:val="001506A3"/>
    <w:rsid w:val="001508F5"/>
    <w:rsid w:val="00151346"/>
    <w:rsid w:val="0015137D"/>
    <w:rsid w:val="001513E2"/>
    <w:rsid w:val="00151C93"/>
    <w:rsid w:val="00151D61"/>
    <w:rsid w:val="0015227F"/>
    <w:rsid w:val="001527E2"/>
    <w:rsid w:val="00152AF7"/>
    <w:rsid w:val="00153073"/>
    <w:rsid w:val="00153257"/>
    <w:rsid w:val="00153FBE"/>
    <w:rsid w:val="00154401"/>
    <w:rsid w:val="001545FC"/>
    <w:rsid w:val="00154682"/>
    <w:rsid w:val="0015488D"/>
    <w:rsid w:val="001548A2"/>
    <w:rsid w:val="00154AB5"/>
    <w:rsid w:val="00154D48"/>
    <w:rsid w:val="001554DC"/>
    <w:rsid w:val="00155648"/>
    <w:rsid w:val="001560C8"/>
    <w:rsid w:val="00156268"/>
    <w:rsid w:val="00156866"/>
    <w:rsid w:val="0015756A"/>
    <w:rsid w:val="00157A6A"/>
    <w:rsid w:val="00157C29"/>
    <w:rsid w:val="00157C7B"/>
    <w:rsid w:val="00157D52"/>
    <w:rsid w:val="00157F66"/>
    <w:rsid w:val="00157F7A"/>
    <w:rsid w:val="00160826"/>
    <w:rsid w:val="001609A7"/>
    <w:rsid w:val="001610DE"/>
    <w:rsid w:val="001611C2"/>
    <w:rsid w:val="00161B6F"/>
    <w:rsid w:val="00161C6A"/>
    <w:rsid w:val="001622F5"/>
    <w:rsid w:val="001626D4"/>
    <w:rsid w:val="00162BBF"/>
    <w:rsid w:val="00162E4C"/>
    <w:rsid w:val="00163357"/>
    <w:rsid w:val="00163EEB"/>
    <w:rsid w:val="00164428"/>
    <w:rsid w:val="001645A0"/>
    <w:rsid w:val="00164869"/>
    <w:rsid w:val="00164CBA"/>
    <w:rsid w:val="00165130"/>
    <w:rsid w:val="0016537F"/>
    <w:rsid w:val="001658FC"/>
    <w:rsid w:val="001659D7"/>
    <w:rsid w:val="00165C38"/>
    <w:rsid w:val="00166506"/>
    <w:rsid w:val="00166616"/>
    <w:rsid w:val="0016684C"/>
    <w:rsid w:val="00166F9D"/>
    <w:rsid w:val="00167658"/>
    <w:rsid w:val="001678F5"/>
    <w:rsid w:val="00167B11"/>
    <w:rsid w:val="00167E57"/>
    <w:rsid w:val="00167F8B"/>
    <w:rsid w:val="00167FC8"/>
    <w:rsid w:val="00170198"/>
    <w:rsid w:val="0017019E"/>
    <w:rsid w:val="001701AA"/>
    <w:rsid w:val="001705E8"/>
    <w:rsid w:val="00170F11"/>
    <w:rsid w:val="00170F37"/>
    <w:rsid w:val="0017174E"/>
    <w:rsid w:val="00171A14"/>
    <w:rsid w:val="00171DB7"/>
    <w:rsid w:val="00171E20"/>
    <w:rsid w:val="00171FFD"/>
    <w:rsid w:val="0017220E"/>
    <w:rsid w:val="001722DB"/>
    <w:rsid w:val="0017240D"/>
    <w:rsid w:val="001725A0"/>
    <w:rsid w:val="00172730"/>
    <w:rsid w:val="001727DF"/>
    <w:rsid w:val="0017284D"/>
    <w:rsid w:val="001728F8"/>
    <w:rsid w:val="00172904"/>
    <w:rsid w:val="00172A27"/>
    <w:rsid w:val="001737E3"/>
    <w:rsid w:val="00173BDC"/>
    <w:rsid w:val="00173C01"/>
    <w:rsid w:val="00173C28"/>
    <w:rsid w:val="001745BC"/>
    <w:rsid w:val="00174823"/>
    <w:rsid w:val="00174B59"/>
    <w:rsid w:val="00174DE6"/>
    <w:rsid w:val="00175457"/>
    <w:rsid w:val="001759BD"/>
    <w:rsid w:val="00175D9F"/>
    <w:rsid w:val="0017685D"/>
    <w:rsid w:val="00176DA8"/>
    <w:rsid w:val="00177107"/>
    <w:rsid w:val="00177675"/>
    <w:rsid w:val="00177B6F"/>
    <w:rsid w:val="00177E9A"/>
    <w:rsid w:val="00180213"/>
    <w:rsid w:val="00180279"/>
    <w:rsid w:val="0018042E"/>
    <w:rsid w:val="001805A9"/>
    <w:rsid w:val="00180658"/>
    <w:rsid w:val="00181088"/>
    <w:rsid w:val="001812CB"/>
    <w:rsid w:val="001813F0"/>
    <w:rsid w:val="00181401"/>
    <w:rsid w:val="001814A9"/>
    <w:rsid w:val="001815B2"/>
    <w:rsid w:val="0018205A"/>
    <w:rsid w:val="00182435"/>
    <w:rsid w:val="001827C9"/>
    <w:rsid w:val="00182BBD"/>
    <w:rsid w:val="00182BC0"/>
    <w:rsid w:val="00182C89"/>
    <w:rsid w:val="001832A0"/>
    <w:rsid w:val="00183C76"/>
    <w:rsid w:val="00183D16"/>
    <w:rsid w:val="00183F21"/>
    <w:rsid w:val="00184413"/>
    <w:rsid w:val="00184C45"/>
    <w:rsid w:val="00185587"/>
    <w:rsid w:val="00185716"/>
    <w:rsid w:val="00185BDD"/>
    <w:rsid w:val="00185EFD"/>
    <w:rsid w:val="0018612E"/>
    <w:rsid w:val="00186790"/>
    <w:rsid w:val="0018708E"/>
    <w:rsid w:val="001872A8"/>
    <w:rsid w:val="001872BE"/>
    <w:rsid w:val="0018763C"/>
    <w:rsid w:val="00187818"/>
    <w:rsid w:val="00187913"/>
    <w:rsid w:val="00187BE6"/>
    <w:rsid w:val="00187EBF"/>
    <w:rsid w:val="00187FAA"/>
    <w:rsid w:val="00190154"/>
    <w:rsid w:val="00190503"/>
    <w:rsid w:val="00190748"/>
    <w:rsid w:val="00190ADE"/>
    <w:rsid w:val="00190CD2"/>
    <w:rsid w:val="00190D51"/>
    <w:rsid w:val="00190DE1"/>
    <w:rsid w:val="00190F08"/>
    <w:rsid w:val="00190FCB"/>
    <w:rsid w:val="00191283"/>
    <w:rsid w:val="001914FA"/>
    <w:rsid w:val="001916CE"/>
    <w:rsid w:val="00191705"/>
    <w:rsid w:val="001919B3"/>
    <w:rsid w:val="00191B79"/>
    <w:rsid w:val="00191CDE"/>
    <w:rsid w:val="00191DB0"/>
    <w:rsid w:val="00191FCD"/>
    <w:rsid w:val="001922C6"/>
    <w:rsid w:val="00192B23"/>
    <w:rsid w:val="00193338"/>
    <w:rsid w:val="001942A8"/>
    <w:rsid w:val="00194540"/>
    <w:rsid w:val="0019499F"/>
    <w:rsid w:val="00195411"/>
    <w:rsid w:val="00195E31"/>
    <w:rsid w:val="00195FED"/>
    <w:rsid w:val="0019604A"/>
    <w:rsid w:val="00196706"/>
    <w:rsid w:val="00196759"/>
    <w:rsid w:val="00196E6A"/>
    <w:rsid w:val="001973EA"/>
    <w:rsid w:val="00197515"/>
    <w:rsid w:val="001976A9"/>
    <w:rsid w:val="001977B0"/>
    <w:rsid w:val="00197A43"/>
    <w:rsid w:val="00197E79"/>
    <w:rsid w:val="00197F3C"/>
    <w:rsid w:val="00197FCE"/>
    <w:rsid w:val="001A0242"/>
    <w:rsid w:val="001A05FF"/>
    <w:rsid w:val="001A075E"/>
    <w:rsid w:val="001A09D6"/>
    <w:rsid w:val="001A14CF"/>
    <w:rsid w:val="001A19AE"/>
    <w:rsid w:val="001A1AC3"/>
    <w:rsid w:val="001A1B16"/>
    <w:rsid w:val="001A23A6"/>
    <w:rsid w:val="001A23F7"/>
    <w:rsid w:val="001A29A5"/>
    <w:rsid w:val="001A3072"/>
    <w:rsid w:val="001A3B07"/>
    <w:rsid w:val="001A457F"/>
    <w:rsid w:val="001A4BF0"/>
    <w:rsid w:val="001A4C26"/>
    <w:rsid w:val="001A587E"/>
    <w:rsid w:val="001A59FC"/>
    <w:rsid w:val="001A5D75"/>
    <w:rsid w:val="001A5E64"/>
    <w:rsid w:val="001A5FEF"/>
    <w:rsid w:val="001A6B76"/>
    <w:rsid w:val="001A6B8B"/>
    <w:rsid w:val="001A6B91"/>
    <w:rsid w:val="001A6EEA"/>
    <w:rsid w:val="001A6FD6"/>
    <w:rsid w:val="001A7693"/>
    <w:rsid w:val="001A7712"/>
    <w:rsid w:val="001A77BE"/>
    <w:rsid w:val="001A7CBF"/>
    <w:rsid w:val="001A7DBA"/>
    <w:rsid w:val="001A7DDF"/>
    <w:rsid w:val="001B0059"/>
    <w:rsid w:val="001B10E7"/>
    <w:rsid w:val="001B13F1"/>
    <w:rsid w:val="001B2055"/>
    <w:rsid w:val="001B2191"/>
    <w:rsid w:val="001B25C9"/>
    <w:rsid w:val="001B2A32"/>
    <w:rsid w:val="001B2CB0"/>
    <w:rsid w:val="001B2EA6"/>
    <w:rsid w:val="001B340C"/>
    <w:rsid w:val="001B3502"/>
    <w:rsid w:val="001B3A2C"/>
    <w:rsid w:val="001B409C"/>
    <w:rsid w:val="001B481B"/>
    <w:rsid w:val="001B4985"/>
    <w:rsid w:val="001B4D86"/>
    <w:rsid w:val="001B4DB7"/>
    <w:rsid w:val="001B4DE1"/>
    <w:rsid w:val="001B53C5"/>
    <w:rsid w:val="001B540C"/>
    <w:rsid w:val="001B5479"/>
    <w:rsid w:val="001B59F4"/>
    <w:rsid w:val="001B5DC9"/>
    <w:rsid w:val="001B66C2"/>
    <w:rsid w:val="001B66FC"/>
    <w:rsid w:val="001B675A"/>
    <w:rsid w:val="001B6E7D"/>
    <w:rsid w:val="001C030F"/>
    <w:rsid w:val="001C11D8"/>
    <w:rsid w:val="001C172E"/>
    <w:rsid w:val="001C1742"/>
    <w:rsid w:val="001C1773"/>
    <w:rsid w:val="001C26DD"/>
    <w:rsid w:val="001C2885"/>
    <w:rsid w:val="001C2ADF"/>
    <w:rsid w:val="001C2C8E"/>
    <w:rsid w:val="001C2D63"/>
    <w:rsid w:val="001C3285"/>
    <w:rsid w:val="001C3319"/>
    <w:rsid w:val="001C39E5"/>
    <w:rsid w:val="001C42E5"/>
    <w:rsid w:val="001C450F"/>
    <w:rsid w:val="001C4A27"/>
    <w:rsid w:val="001C548F"/>
    <w:rsid w:val="001C55A8"/>
    <w:rsid w:val="001C55FE"/>
    <w:rsid w:val="001C5A45"/>
    <w:rsid w:val="001C5D00"/>
    <w:rsid w:val="001C6149"/>
    <w:rsid w:val="001C61C5"/>
    <w:rsid w:val="001C6857"/>
    <w:rsid w:val="001C6A94"/>
    <w:rsid w:val="001C6EC9"/>
    <w:rsid w:val="001C70D6"/>
    <w:rsid w:val="001C73B3"/>
    <w:rsid w:val="001C73D8"/>
    <w:rsid w:val="001C7529"/>
    <w:rsid w:val="001C7721"/>
    <w:rsid w:val="001C796A"/>
    <w:rsid w:val="001C7DD2"/>
    <w:rsid w:val="001C7F95"/>
    <w:rsid w:val="001D0330"/>
    <w:rsid w:val="001D0700"/>
    <w:rsid w:val="001D0B14"/>
    <w:rsid w:val="001D0C9D"/>
    <w:rsid w:val="001D10AF"/>
    <w:rsid w:val="001D19F3"/>
    <w:rsid w:val="001D1A0D"/>
    <w:rsid w:val="001D1A8B"/>
    <w:rsid w:val="001D1AB5"/>
    <w:rsid w:val="001D1D55"/>
    <w:rsid w:val="001D1F15"/>
    <w:rsid w:val="001D2837"/>
    <w:rsid w:val="001D28AB"/>
    <w:rsid w:val="001D2D58"/>
    <w:rsid w:val="001D2DA1"/>
    <w:rsid w:val="001D308B"/>
    <w:rsid w:val="001D33CE"/>
    <w:rsid w:val="001D350F"/>
    <w:rsid w:val="001D3D62"/>
    <w:rsid w:val="001D3EA1"/>
    <w:rsid w:val="001D3F99"/>
    <w:rsid w:val="001D4089"/>
    <w:rsid w:val="001D5315"/>
    <w:rsid w:val="001D5D2D"/>
    <w:rsid w:val="001D5DC3"/>
    <w:rsid w:val="001D6180"/>
    <w:rsid w:val="001D624C"/>
    <w:rsid w:val="001D6A0B"/>
    <w:rsid w:val="001D6B74"/>
    <w:rsid w:val="001D6C33"/>
    <w:rsid w:val="001D6D55"/>
    <w:rsid w:val="001D6FD6"/>
    <w:rsid w:val="001D6FE0"/>
    <w:rsid w:val="001D7169"/>
    <w:rsid w:val="001D71B8"/>
    <w:rsid w:val="001D7271"/>
    <w:rsid w:val="001D74F4"/>
    <w:rsid w:val="001D7F8E"/>
    <w:rsid w:val="001E0073"/>
    <w:rsid w:val="001E09F7"/>
    <w:rsid w:val="001E0A53"/>
    <w:rsid w:val="001E0C21"/>
    <w:rsid w:val="001E1824"/>
    <w:rsid w:val="001E1BC7"/>
    <w:rsid w:val="001E26CA"/>
    <w:rsid w:val="001E3779"/>
    <w:rsid w:val="001E3A47"/>
    <w:rsid w:val="001E3EB8"/>
    <w:rsid w:val="001E4204"/>
    <w:rsid w:val="001E42FC"/>
    <w:rsid w:val="001E47BE"/>
    <w:rsid w:val="001E4A32"/>
    <w:rsid w:val="001E4A66"/>
    <w:rsid w:val="001E4C53"/>
    <w:rsid w:val="001E4C74"/>
    <w:rsid w:val="001E4E86"/>
    <w:rsid w:val="001E5120"/>
    <w:rsid w:val="001E53E4"/>
    <w:rsid w:val="001E56DE"/>
    <w:rsid w:val="001E65B4"/>
    <w:rsid w:val="001E65D0"/>
    <w:rsid w:val="001E665D"/>
    <w:rsid w:val="001E67DE"/>
    <w:rsid w:val="001E6863"/>
    <w:rsid w:val="001E6C2B"/>
    <w:rsid w:val="001E6EA7"/>
    <w:rsid w:val="001F1265"/>
    <w:rsid w:val="001F167F"/>
    <w:rsid w:val="001F187B"/>
    <w:rsid w:val="001F19DC"/>
    <w:rsid w:val="001F1D5B"/>
    <w:rsid w:val="001F1F2B"/>
    <w:rsid w:val="001F20BE"/>
    <w:rsid w:val="001F221A"/>
    <w:rsid w:val="001F28E7"/>
    <w:rsid w:val="001F2992"/>
    <w:rsid w:val="001F2A52"/>
    <w:rsid w:val="001F2BDB"/>
    <w:rsid w:val="001F2D3C"/>
    <w:rsid w:val="001F307B"/>
    <w:rsid w:val="001F3116"/>
    <w:rsid w:val="001F317F"/>
    <w:rsid w:val="001F344C"/>
    <w:rsid w:val="001F36AF"/>
    <w:rsid w:val="001F3A47"/>
    <w:rsid w:val="001F3AE1"/>
    <w:rsid w:val="001F3BA1"/>
    <w:rsid w:val="001F3D74"/>
    <w:rsid w:val="001F4299"/>
    <w:rsid w:val="001F5212"/>
    <w:rsid w:val="001F545D"/>
    <w:rsid w:val="001F554E"/>
    <w:rsid w:val="001F563E"/>
    <w:rsid w:val="001F59B5"/>
    <w:rsid w:val="001F5C01"/>
    <w:rsid w:val="001F5CAC"/>
    <w:rsid w:val="001F6841"/>
    <w:rsid w:val="001F6E27"/>
    <w:rsid w:val="001F7747"/>
    <w:rsid w:val="001F7C11"/>
    <w:rsid w:val="001F7C48"/>
    <w:rsid w:val="00200173"/>
    <w:rsid w:val="002003F6"/>
    <w:rsid w:val="00200430"/>
    <w:rsid w:val="002005C3"/>
    <w:rsid w:val="00200960"/>
    <w:rsid w:val="00200EF3"/>
    <w:rsid w:val="00201232"/>
    <w:rsid w:val="002015B7"/>
    <w:rsid w:val="00201E8B"/>
    <w:rsid w:val="00202154"/>
    <w:rsid w:val="00202586"/>
    <w:rsid w:val="002025D1"/>
    <w:rsid w:val="00202D47"/>
    <w:rsid w:val="00203098"/>
    <w:rsid w:val="00203EF5"/>
    <w:rsid w:val="002047AE"/>
    <w:rsid w:val="00204E32"/>
    <w:rsid w:val="0020558D"/>
    <w:rsid w:val="0020569F"/>
    <w:rsid w:val="002057BB"/>
    <w:rsid w:val="002062A4"/>
    <w:rsid w:val="00206631"/>
    <w:rsid w:val="002068B4"/>
    <w:rsid w:val="002068DD"/>
    <w:rsid w:val="0020699C"/>
    <w:rsid w:val="00206CA6"/>
    <w:rsid w:val="00207765"/>
    <w:rsid w:val="0020779C"/>
    <w:rsid w:val="00207DD9"/>
    <w:rsid w:val="00210411"/>
    <w:rsid w:val="00210479"/>
    <w:rsid w:val="00210B50"/>
    <w:rsid w:val="00210CF4"/>
    <w:rsid w:val="00210D4D"/>
    <w:rsid w:val="0021106A"/>
    <w:rsid w:val="0021164F"/>
    <w:rsid w:val="00211A34"/>
    <w:rsid w:val="00212139"/>
    <w:rsid w:val="00212269"/>
    <w:rsid w:val="002122FC"/>
    <w:rsid w:val="0021263F"/>
    <w:rsid w:val="002128E1"/>
    <w:rsid w:val="00212B6D"/>
    <w:rsid w:val="00213047"/>
    <w:rsid w:val="002131B0"/>
    <w:rsid w:val="002136C6"/>
    <w:rsid w:val="00213737"/>
    <w:rsid w:val="00213CF1"/>
    <w:rsid w:val="00213D71"/>
    <w:rsid w:val="0021429B"/>
    <w:rsid w:val="002149FA"/>
    <w:rsid w:val="00214A9E"/>
    <w:rsid w:val="00215075"/>
    <w:rsid w:val="00215B8E"/>
    <w:rsid w:val="00215D3C"/>
    <w:rsid w:val="00216189"/>
    <w:rsid w:val="0021618F"/>
    <w:rsid w:val="00216455"/>
    <w:rsid w:val="00216683"/>
    <w:rsid w:val="0021681C"/>
    <w:rsid w:val="00216DEB"/>
    <w:rsid w:val="00216E59"/>
    <w:rsid w:val="00217457"/>
    <w:rsid w:val="0021762E"/>
    <w:rsid w:val="002177C9"/>
    <w:rsid w:val="00217C9D"/>
    <w:rsid w:val="00220A9B"/>
    <w:rsid w:val="00220DBD"/>
    <w:rsid w:val="00220DD6"/>
    <w:rsid w:val="00220E9E"/>
    <w:rsid w:val="002213EE"/>
    <w:rsid w:val="0022162B"/>
    <w:rsid w:val="002218E0"/>
    <w:rsid w:val="002219BD"/>
    <w:rsid w:val="00221F22"/>
    <w:rsid w:val="002221A8"/>
    <w:rsid w:val="00222493"/>
    <w:rsid w:val="00222B42"/>
    <w:rsid w:val="00222C23"/>
    <w:rsid w:val="00222EB0"/>
    <w:rsid w:val="00222FC9"/>
    <w:rsid w:val="00222FEF"/>
    <w:rsid w:val="00223385"/>
    <w:rsid w:val="00223543"/>
    <w:rsid w:val="00224089"/>
    <w:rsid w:val="00224282"/>
    <w:rsid w:val="00224A6A"/>
    <w:rsid w:val="00224BB9"/>
    <w:rsid w:val="00224EE2"/>
    <w:rsid w:val="00225462"/>
    <w:rsid w:val="00225A01"/>
    <w:rsid w:val="00225CED"/>
    <w:rsid w:val="00225DA3"/>
    <w:rsid w:val="0022645A"/>
    <w:rsid w:val="00226662"/>
    <w:rsid w:val="00226A20"/>
    <w:rsid w:val="00226A92"/>
    <w:rsid w:val="00226E3E"/>
    <w:rsid w:val="0022736C"/>
    <w:rsid w:val="002273E9"/>
    <w:rsid w:val="002274A7"/>
    <w:rsid w:val="002276EE"/>
    <w:rsid w:val="00227DF8"/>
    <w:rsid w:val="0023098C"/>
    <w:rsid w:val="00230BB0"/>
    <w:rsid w:val="00230E3F"/>
    <w:rsid w:val="00230E8C"/>
    <w:rsid w:val="0023103F"/>
    <w:rsid w:val="002311DE"/>
    <w:rsid w:val="002314EC"/>
    <w:rsid w:val="002319A7"/>
    <w:rsid w:val="00231CA0"/>
    <w:rsid w:val="00231CD0"/>
    <w:rsid w:val="00231DA3"/>
    <w:rsid w:val="00231FFE"/>
    <w:rsid w:val="00232294"/>
    <w:rsid w:val="00232FD5"/>
    <w:rsid w:val="0023303C"/>
    <w:rsid w:val="002332CA"/>
    <w:rsid w:val="00233501"/>
    <w:rsid w:val="00233622"/>
    <w:rsid w:val="00233814"/>
    <w:rsid w:val="00233AAA"/>
    <w:rsid w:val="00233DCA"/>
    <w:rsid w:val="0023450D"/>
    <w:rsid w:val="0023476B"/>
    <w:rsid w:val="00234A58"/>
    <w:rsid w:val="00234A6F"/>
    <w:rsid w:val="00234A73"/>
    <w:rsid w:val="00234BC8"/>
    <w:rsid w:val="00234FBC"/>
    <w:rsid w:val="00235024"/>
    <w:rsid w:val="0023530C"/>
    <w:rsid w:val="002354C3"/>
    <w:rsid w:val="0023630D"/>
    <w:rsid w:val="00236884"/>
    <w:rsid w:val="00236C87"/>
    <w:rsid w:val="00236DD0"/>
    <w:rsid w:val="002373A1"/>
    <w:rsid w:val="00237EB4"/>
    <w:rsid w:val="00240232"/>
    <w:rsid w:val="00240932"/>
    <w:rsid w:val="00241851"/>
    <w:rsid w:val="002421ED"/>
    <w:rsid w:val="0024288D"/>
    <w:rsid w:val="00242D77"/>
    <w:rsid w:val="00242F50"/>
    <w:rsid w:val="00243360"/>
    <w:rsid w:val="0024363E"/>
    <w:rsid w:val="002439A8"/>
    <w:rsid w:val="002441C5"/>
    <w:rsid w:val="002444CE"/>
    <w:rsid w:val="00244698"/>
    <w:rsid w:val="00244853"/>
    <w:rsid w:val="0024533C"/>
    <w:rsid w:val="002456DE"/>
    <w:rsid w:val="002458A5"/>
    <w:rsid w:val="002458D0"/>
    <w:rsid w:val="00245E28"/>
    <w:rsid w:val="0024602C"/>
    <w:rsid w:val="00246080"/>
    <w:rsid w:val="00246D29"/>
    <w:rsid w:val="00246E20"/>
    <w:rsid w:val="00246F12"/>
    <w:rsid w:val="0024745B"/>
    <w:rsid w:val="00247488"/>
    <w:rsid w:val="00247558"/>
    <w:rsid w:val="002501C6"/>
    <w:rsid w:val="00250449"/>
    <w:rsid w:val="0025124A"/>
    <w:rsid w:val="00251407"/>
    <w:rsid w:val="002514F1"/>
    <w:rsid w:val="00251681"/>
    <w:rsid w:val="002516C8"/>
    <w:rsid w:val="00251C65"/>
    <w:rsid w:val="00251ECB"/>
    <w:rsid w:val="00252135"/>
    <w:rsid w:val="0025263D"/>
    <w:rsid w:val="00253274"/>
    <w:rsid w:val="00253663"/>
    <w:rsid w:val="0025366B"/>
    <w:rsid w:val="002537A4"/>
    <w:rsid w:val="00253EEE"/>
    <w:rsid w:val="00253FCC"/>
    <w:rsid w:val="00254233"/>
    <w:rsid w:val="0025496B"/>
    <w:rsid w:val="00254CB3"/>
    <w:rsid w:val="00255253"/>
    <w:rsid w:val="002552D3"/>
    <w:rsid w:val="00255BE1"/>
    <w:rsid w:val="00255C51"/>
    <w:rsid w:val="00255CEC"/>
    <w:rsid w:val="00255D99"/>
    <w:rsid w:val="002560B8"/>
    <w:rsid w:val="0025671B"/>
    <w:rsid w:val="0025761A"/>
    <w:rsid w:val="002578A1"/>
    <w:rsid w:val="00257A2D"/>
    <w:rsid w:val="00257B20"/>
    <w:rsid w:val="00257F1A"/>
    <w:rsid w:val="00260238"/>
    <w:rsid w:val="00260873"/>
    <w:rsid w:val="00260CEC"/>
    <w:rsid w:val="00261B21"/>
    <w:rsid w:val="00261D3A"/>
    <w:rsid w:val="002620A5"/>
    <w:rsid w:val="002623C9"/>
    <w:rsid w:val="0026261C"/>
    <w:rsid w:val="00263359"/>
    <w:rsid w:val="00263740"/>
    <w:rsid w:val="00263890"/>
    <w:rsid w:val="00263F92"/>
    <w:rsid w:val="00263FA2"/>
    <w:rsid w:val="0026422C"/>
    <w:rsid w:val="00264254"/>
    <w:rsid w:val="002646C1"/>
    <w:rsid w:val="00265775"/>
    <w:rsid w:val="00265DA2"/>
    <w:rsid w:val="00265E04"/>
    <w:rsid w:val="00265F60"/>
    <w:rsid w:val="00266800"/>
    <w:rsid w:val="00266F5E"/>
    <w:rsid w:val="00266FB8"/>
    <w:rsid w:val="002670FF"/>
    <w:rsid w:val="00267921"/>
    <w:rsid w:val="002700AB"/>
    <w:rsid w:val="002701EE"/>
    <w:rsid w:val="0027028F"/>
    <w:rsid w:val="00270E2F"/>
    <w:rsid w:val="00271160"/>
    <w:rsid w:val="00272416"/>
    <w:rsid w:val="002728A3"/>
    <w:rsid w:val="00272C61"/>
    <w:rsid w:val="00272CF0"/>
    <w:rsid w:val="00272D79"/>
    <w:rsid w:val="00272DE5"/>
    <w:rsid w:val="00272E0A"/>
    <w:rsid w:val="0027308B"/>
    <w:rsid w:val="0027371E"/>
    <w:rsid w:val="00273B9C"/>
    <w:rsid w:val="00273F22"/>
    <w:rsid w:val="002747E1"/>
    <w:rsid w:val="0027528E"/>
    <w:rsid w:val="002752B2"/>
    <w:rsid w:val="0027572D"/>
    <w:rsid w:val="00275820"/>
    <w:rsid w:val="0027622A"/>
    <w:rsid w:val="00276786"/>
    <w:rsid w:val="00276F08"/>
    <w:rsid w:val="00276FC7"/>
    <w:rsid w:val="0027786A"/>
    <w:rsid w:val="002779E4"/>
    <w:rsid w:val="00277B62"/>
    <w:rsid w:val="00277DE3"/>
    <w:rsid w:val="00277F7B"/>
    <w:rsid w:val="0028035B"/>
    <w:rsid w:val="002805AB"/>
    <w:rsid w:val="002806C4"/>
    <w:rsid w:val="00280C66"/>
    <w:rsid w:val="00280DEB"/>
    <w:rsid w:val="00280F35"/>
    <w:rsid w:val="00280FD6"/>
    <w:rsid w:val="002813FC"/>
    <w:rsid w:val="00281935"/>
    <w:rsid w:val="00281CD1"/>
    <w:rsid w:val="00282829"/>
    <w:rsid w:val="00282927"/>
    <w:rsid w:val="00282A51"/>
    <w:rsid w:val="00283036"/>
    <w:rsid w:val="002830A6"/>
    <w:rsid w:val="002831CF"/>
    <w:rsid w:val="00283215"/>
    <w:rsid w:val="00283397"/>
    <w:rsid w:val="00283691"/>
    <w:rsid w:val="002837CA"/>
    <w:rsid w:val="00283981"/>
    <w:rsid w:val="0028416C"/>
    <w:rsid w:val="00284CAD"/>
    <w:rsid w:val="00284CCA"/>
    <w:rsid w:val="00284F0E"/>
    <w:rsid w:val="00285046"/>
    <w:rsid w:val="0028514D"/>
    <w:rsid w:val="00286194"/>
    <w:rsid w:val="00287189"/>
    <w:rsid w:val="002876DD"/>
    <w:rsid w:val="00287952"/>
    <w:rsid w:val="00287CDF"/>
    <w:rsid w:val="002903DF"/>
    <w:rsid w:val="002906B3"/>
    <w:rsid w:val="00290CD0"/>
    <w:rsid w:val="0029109A"/>
    <w:rsid w:val="00291E34"/>
    <w:rsid w:val="0029208C"/>
    <w:rsid w:val="002921C8"/>
    <w:rsid w:val="002922A5"/>
    <w:rsid w:val="0029268C"/>
    <w:rsid w:val="00292CC2"/>
    <w:rsid w:val="00292D32"/>
    <w:rsid w:val="00292E77"/>
    <w:rsid w:val="0029322F"/>
    <w:rsid w:val="0029382A"/>
    <w:rsid w:val="002938EE"/>
    <w:rsid w:val="002939C5"/>
    <w:rsid w:val="00293C47"/>
    <w:rsid w:val="00293F8B"/>
    <w:rsid w:val="0029424E"/>
    <w:rsid w:val="0029475E"/>
    <w:rsid w:val="00294900"/>
    <w:rsid w:val="00294A5C"/>
    <w:rsid w:val="00295149"/>
    <w:rsid w:val="002953B1"/>
    <w:rsid w:val="0029547E"/>
    <w:rsid w:val="00295660"/>
    <w:rsid w:val="002959F2"/>
    <w:rsid w:val="00295B64"/>
    <w:rsid w:val="00295C2F"/>
    <w:rsid w:val="00295DDE"/>
    <w:rsid w:val="00296631"/>
    <w:rsid w:val="00296AF3"/>
    <w:rsid w:val="00296C1D"/>
    <w:rsid w:val="00296F3A"/>
    <w:rsid w:val="0029710D"/>
    <w:rsid w:val="002971B8"/>
    <w:rsid w:val="00297741"/>
    <w:rsid w:val="0029774E"/>
    <w:rsid w:val="0029777B"/>
    <w:rsid w:val="00297896"/>
    <w:rsid w:val="002A0441"/>
    <w:rsid w:val="002A04A6"/>
    <w:rsid w:val="002A0513"/>
    <w:rsid w:val="002A0B46"/>
    <w:rsid w:val="002A0D09"/>
    <w:rsid w:val="002A0E6E"/>
    <w:rsid w:val="002A112C"/>
    <w:rsid w:val="002A15B3"/>
    <w:rsid w:val="002A21F0"/>
    <w:rsid w:val="002A2378"/>
    <w:rsid w:val="002A27F1"/>
    <w:rsid w:val="002A304A"/>
    <w:rsid w:val="002A327C"/>
    <w:rsid w:val="002A36D3"/>
    <w:rsid w:val="002A3A60"/>
    <w:rsid w:val="002A3C55"/>
    <w:rsid w:val="002A424F"/>
    <w:rsid w:val="002A4526"/>
    <w:rsid w:val="002A479B"/>
    <w:rsid w:val="002A4D73"/>
    <w:rsid w:val="002A4DE8"/>
    <w:rsid w:val="002A58A6"/>
    <w:rsid w:val="002A5944"/>
    <w:rsid w:val="002A5B7D"/>
    <w:rsid w:val="002A5EF0"/>
    <w:rsid w:val="002A6992"/>
    <w:rsid w:val="002A69EA"/>
    <w:rsid w:val="002A6A17"/>
    <w:rsid w:val="002A73EB"/>
    <w:rsid w:val="002A789F"/>
    <w:rsid w:val="002A7A38"/>
    <w:rsid w:val="002B046F"/>
    <w:rsid w:val="002B10FF"/>
    <w:rsid w:val="002B144C"/>
    <w:rsid w:val="002B1585"/>
    <w:rsid w:val="002B18FA"/>
    <w:rsid w:val="002B1A86"/>
    <w:rsid w:val="002B205E"/>
    <w:rsid w:val="002B2240"/>
    <w:rsid w:val="002B2253"/>
    <w:rsid w:val="002B24BB"/>
    <w:rsid w:val="002B2642"/>
    <w:rsid w:val="002B2AF0"/>
    <w:rsid w:val="002B2C4D"/>
    <w:rsid w:val="002B2EE0"/>
    <w:rsid w:val="002B2FA9"/>
    <w:rsid w:val="002B33AF"/>
    <w:rsid w:val="002B33E3"/>
    <w:rsid w:val="002B37DB"/>
    <w:rsid w:val="002B39AF"/>
    <w:rsid w:val="002B3A83"/>
    <w:rsid w:val="002B3BD1"/>
    <w:rsid w:val="002B4037"/>
    <w:rsid w:val="002B4605"/>
    <w:rsid w:val="002B4C22"/>
    <w:rsid w:val="002B4CCA"/>
    <w:rsid w:val="002B5407"/>
    <w:rsid w:val="002B587D"/>
    <w:rsid w:val="002B5965"/>
    <w:rsid w:val="002B59B4"/>
    <w:rsid w:val="002B5A2A"/>
    <w:rsid w:val="002B5FD1"/>
    <w:rsid w:val="002B6140"/>
    <w:rsid w:val="002B61D6"/>
    <w:rsid w:val="002B658F"/>
    <w:rsid w:val="002B668C"/>
    <w:rsid w:val="002B6916"/>
    <w:rsid w:val="002B6AD0"/>
    <w:rsid w:val="002B6D8F"/>
    <w:rsid w:val="002B7195"/>
    <w:rsid w:val="002C0178"/>
    <w:rsid w:val="002C04F4"/>
    <w:rsid w:val="002C0F7F"/>
    <w:rsid w:val="002C1546"/>
    <w:rsid w:val="002C158A"/>
    <w:rsid w:val="002C15CF"/>
    <w:rsid w:val="002C16EA"/>
    <w:rsid w:val="002C1770"/>
    <w:rsid w:val="002C1CFC"/>
    <w:rsid w:val="002C1D4E"/>
    <w:rsid w:val="002C1DB7"/>
    <w:rsid w:val="002C206A"/>
    <w:rsid w:val="002C2200"/>
    <w:rsid w:val="002C2304"/>
    <w:rsid w:val="002C23D5"/>
    <w:rsid w:val="002C24DD"/>
    <w:rsid w:val="002C2B63"/>
    <w:rsid w:val="002C2F18"/>
    <w:rsid w:val="002C3547"/>
    <w:rsid w:val="002C3658"/>
    <w:rsid w:val="002C3A34"/>
    <w:rsid w:val="002C3A93"/>
    <w:rsid w:val="002C3AE2"/>
    <w:rsid w:val="002C3DCC"/>
    <w:rsid w:val="002C41DE"/>
    <w:rsid w:val="002C4279"/>
    <w:rsid w:val="002C458B"/>
    <w:rsid w:val="002C46CA"/>
    <w:rsid w:val="002C4C4E"/>
    <w:rsid w:val="002C4C97"/>
    <w:rsid w:val="002C4DF8"/>
    <w:rsid w:val="002C54BD"/>
    <w:rsid w:val="002C54FA"/>
    <w:rsid w:val="002C5517"/>
    <w:rsid w:val="002C5921"/>
    <w:rsid w:val="002C5974"/>
    <w:rsid w:val="002C5E9A"/>
    <w:rsid w:val="002C6A27"/>
    <w:rsid w:val="002C732B"/>
    <w:rsid w:val="002C7541"/>
    <w:rsid w:val="002C7EF0"/>
    <w:rsid w:val="002D0070"/>
    <w:rsid w:val="002D032A"/>
    <w:rsid w:val="002D1764"/>
    <w:rsid w:val="002D1838"/>
    <w:rsid w:val="002D1C66"/>
    <w:rsid w:val="002D1E14"/>
    <w:rsid w:val="002D2CFC"/>
    <w:rsid w:val="002D2DE9"/>
    <w:rsid w:val="002D311B"/>
    <w:rsid w:val="002D328C"/>
    <w:rsid w:val="002D37EA"/>
    <w:rsid w:val="002D3DAA"/>
    <w:rsid w:val="002D4110"/>
    <w:rsid w:val="002D47A1"/>
    <w:rsid w:val="002D4814"/>
    <w:rsid w:val="002D49EB"/>
    <w:rsid w:val="002D4B47"/>
    <w:rsid w:val="002D4D05"/>
    <w:rsid w:val="002D4DF0"/>
    <w:rsid w:val="002D54E0"/>
    <w:rsid w:val="002D5504"/>
    <w:rsid w:val="002D55F9"/>
    <w:rsid w:val="002D5D56"/>
    <w:rsid w:val="002D62D7"/>
    <w:rsid w:val="002D66B1"/>
    <w:rsid w:val="002D6EC7"/>
    <w:rsid w:val="002D7012"/>
    <w:rsid w:val="002D708C"/>
    <w:rsid w:val="002D728A"/>
    <w:rsid w:val="002D729B"/>
    <w:rsid w:val="002D768D"/>
    <w:rsid w:val="002D7754"/>
    <w:rsid w:val="002D7C53"/>
    <w:rsid w:val="002D7FE2"/>
    <w:rsid w:val="002E0058"/>
    <w:rsid w:val="002E0340"/>
    <w:rsid w:val="002E060A"/>
    <w:rsid w:val="002E0BCD"/>
    <w:rsid w:val="002E0C5A"/>
    <w:rsid w:val="002E0F94"/>
    <w:rsid w:val="002E0FC5"/>
    <w:rsid w:val="002E10A2"/>
    <w:rsid w:val="002E16AB"/>
    <w:rsid w:val="002E1EAC"/>
    <w:rsid w:val="002E1EF0"/>
    <w:rsid w:val="002E204F"/>
    <w:rsid w:val="002E229C"/>
    <w:rsid w:val="002E2769"/>
    <w:rsid w:val="002E2812"/>
    <w:rsid w:val="002E2EE2"/>
    <w:rsid w:val="002E31AD"/>
    <w:rsid w:val="002E36A4"/>
    <w:rsid w:val="002E372A"/>
    <w:rsid w:val="002E3CB4"/>
    <w:rsid w:val="002E3CDF"/>
    <w:rsid w:val="002E3E81"/>
    <w:rsid w:val="002E4063"/>
    <w:rsid w:val="002E40FF"/>
    <w:rsid w:val="002E421F"/>
    <w:rsid w:val="002E43A0"/>
    <w:rsid w:val="002E4664"/>
    <w:rsid w:val="002E4A42"/>
    <w:rsid w:val="002E4F6C"/>
    <w:rsid w:val="002E56E7"/>
    <w:rsid w:val="002E5A7B"/>
    <w:rsid w:val="002E5B0D"/>
    <w:rsid w:val="002E5B63"/>
    <w:rsid w:val="002E5CAF"/>
    <w:rsid w:val="002E5CF3"/>
    <w:rsid w:val="002E63DF"/>
    <w:rsid w:val="002E6792"/>
    <w:rsid w:val="002E6C5A"/>
    <w:rsid w:val="002E6E6F"/>
    <w:rsid w:val="002E6F57"/>
    <w:rsid w:val="002E7AEB"/>
    <w:rsid w:val="002F0165"/>
    <w:rsid w:val="002F0314"/>
    <w:rsid w:val="002F04D2"/>
    <w:rsid w:val="002F07F6"/>
    <w:rsid w:val="002F0873"/>
    <w:rsid w:val="002F0A95"/>
    <w:rsid w:val="002F0AA4"/>
    <w:rsid w:val="002F0B60"/>
    <w:rsid w:val="002F0B77"/>
    <w:rsid w:val="002F1393"/>
    <w:rsid w:val="002F1655"/>
    <w:rsid w:val="002F1732"/>
    <w:rsid w:val="002F2060"/>
    <w:rsid w:val="002F24E1"/>
    <w:rsid w:val="002F254A"/>
    <w:rsid w:val="002F2C32"/>
    <w:rsid w:val="002F2D26"/>
    <w:rsid w:val="002F2EEE"/>
    <w:rsid w:val="002F39DF"/>
    <w:rsid w:val="002F3DBF"/>
    <w:rsid w:val="002F3E18"/>
    <w:rsid w:val="002F4209"/>
    <w:rsid w:val="002F4258"/>
    <w:rsid w:val="002F4593"/>
    <w:rsid w:val="002F47B6"/>
    <w:rsid w:val="002F4E37"/>
    <w:rsid w:val="002F53D0"/>
    <w:rsid w:val="002F57E7"/>
    <w:rsid w:val="002F584F"/>
    <w:rsid w:val="002F5DEF"/>
    <w:rsid w:val="002F5F9F"/>
    <w:rsid w:val="002F626A"/>
    <w:rsid w:val="002F6E20"/>
    <w:rsid w:val="002F7087"/>
    <w:rsid w:val="002F70D9"/>
    <w:rsid w:val="002F73C5"/>
    <w:rsid w:val="002F74EE"/>
    <w:rsid w:val="002F7618"/>
    <w:rsid w:val="002F773F"/>
    <w:rsid w:val="002F7780"/>
    <w:rsid w:val="002F77BC"/>
    <w:rsid w:val="003005E0"/>
    <w:rsid w:val="0030068F"/>
    <w:rsid w:val="0030092D"/>
    <w:rsid w:val="00300C23"/>
    <w:rsid w:val="003012DB"/>
    <w:rsid w:val="00301766"/>
    <w:rsid w:val="00301ADB"/>
    <w:rsid w:val="00301E30"/>
    <w:rsid w:val="0030239B"/>
    <w:rsid w:val="003025DD"/>
    <w:rsid w:val="00302A8D"/>
    <w:rsid w:val="00302E3D"/>
    <w:rsid w:val="00302E8D"/>
    <w:rsid w:val="0030308F"/>
    <w:rsid w:val="00303158"/>
    <w:rsid w:val="003031BF"/>
    <w:rsid w:val="0030358A"/>
    <w:rsid w:val="003035EF"/>
    <w:rsid w:val="00303BAB"/>
    <w:rsid w:val="00303DF9"/>
    <w:rsid w:val="00304500"/>
    <w:rsid w:val="0030468B"/>
    <w:rsid w:val="003049FD"/>
    <w:rsid w:val="00304BD2"/>
    <w:rsid w:val="003050EE"/>
    <w:rsid w:val="003051A5"/>
    <w:rsid w:val="0030529E"/>
    <w:rsid w:val="003052CB"/>
    <w:rsid w:val="003058E9"/>
    <w:rsid w:val="00305F09"/>
    <w:rsid w:val="003060F7"/>
    <w:rsid w:val="00306162"/>
    <w:rsid w:val="003062A7"/>
    <w:rsid w:val="00306A6F"/>
    <w:rsid w:val="00306B62"/>
    <w:rsid w:val="0030701C"/>
    <w:rsid w:val="0030708B"/>
    <w:rsid w:val="00307372"/>
    <w:rsid w:val="00307E06"/>
    <w:rsid w:val="003105D8"/>
    <w:rsid w:val="00311125"/>
    <w:rsid w:val="0031189C"/>
    <w:rsid w:val="003119DB"/>
    <w:rsid w:val="00311AD6"/>
    <w:rsid w:val="0031242C"/>
    <w:rsid w:val="00312E85"/>
    <w:rsid w:val="00312F8B"/>
    <w:rsid w:val="00313235"/>
    <w:rsid w:val="00313308"/>
    <w:rsid w:val="003133C7"/>
    <w:rsid w:val="003135D9"/>
    <w:rsid w:val="003140F0"/>
    <w:rsid w:val="00314AA7"/>
    <w:rsid w:val="00314ABC"/>
    <w:rsid w:val="00314C6A"/>
    <w:rsid w:val="00314C8D"/>
    <w:rsid w:val="00315009"/>
    <w:rsid w:val="0031515C"/>
    <w:rsid w:val="003153AE"/>
    <w:rsid w:val="0031553C"/>
    <w:rsid w:val="0031555C"/>
    <w:rsid w:val="0031585D"/>
    <w:rsid w:val="003159AF"/>
    <w:rsid w:val="00315A88"/>
    <w:rsid w:val="00315E96"/>
    <w:rsid w:val="00316203"/>
    <w:rsid w:val="003162AF"/>
    <w:rsid w:val="0031662A"/>
    <w:rsid w:val="00316964"/>
    <w:rsid w:val="00316D79"/>
    <w:rsid w:val="00317A1D"/>
    <w:rsid w:val="00317B18"/>
    <w:rsid w:val="00317B6F"/>
    <w:rsid w:val="003203A8"/>
    <w:rsid w:val="003205F0"/>
    <w:rsid w:val="00320D01"/>
    <w:rsid w:val="00320D7B"/>
    <w:rsid w:val="00320DAA"/>
    <w:rsid w:val="00320E17"/>
    <w:rsid w:val="0032126A"/>
    <w:rsid w:val="00321412"/>
    <w:rsid w:val="00321784"/>
    <w:rsid w:val="003217D2"/>
    <w:rsid w:val="00321A6F"/>
    <w:rsid w:val="00321BBD"/>
    <w:rsid w:val="00322075"/>
    <w:rsid w:val="0032208E"/>
    <w:rsid w:val="003225E2"/>
    <w:rsid w:val="00322855"/>
    <w:rsid w:val="003231FF"/>
    <w:rsid w:val="00323440"/>
    <w:rsid w:val="00323C79"/>
    <w:rsid w:val="0032422D"/>
    <w:rsid w:val="003243BF"/>
    <w:rsid w:val="00324A90"/>
    <w:rsid w:val="00325064"/>
    <w:rsid w:val="00325642"/>
    <w:rsid w:val="00325828"/>
    <w:rsid w:val="00325B01"/>
    <w:rsid w:val="00325F89"/>
    <w:rsid w:val="00325FB2"/>
    <w:rsid w:val="00326D9F"/>
    <w:rsid w:val="00327745"/>
    <w:rsid w:val="003278FC"/>
    <w:rsid w:val="00327E0E"/>
    <w:rsid w:val="00327FA6"/>
    <w:rsid w:val="00330B7B"/>
    <w:rsid w:val="00330D11"/>
    <w:rsid w:val="00330EC0"/>
    <w:rsid w:val="00331676"/>
    <w:rsid w:val="00331774"/>
    <w:rsid w:val="0033180E"/>
    <w:rsid w:val="00331A9E"/>
    <w:rsid w:val="00331DC9"/>
    <w:rsid w:val="00331F6D"/>
    <w:rsid w:val="0033256C"/>
    <w:rsid w:val="00332682"/>
    <w:rsid w:val="00332684"/>
    <w:rsid w:val="00332B5F"/>
    <w:rsid w:val="00332BE4"/>
    <w:rsid w:val="003330E3"/>
    <w:rsid w:val="0033388E"/>
    <w:rsid w:val="003338AA"/>
    <w:rsid w:val="00333BC7"/>
    <w:rsid w:val="00334173"/>
    <w:rsid w:val="003342F9"/>
    <w:rsid w:val="00334AD6"/>
    <w:rsid w:val="00334D1A"/>
    <w:rsid w:val="00335103"/>
    <w:rsid w:val="003357E8"/>
    <w:rsid w:val="003362D2"/>
    <w:rsid w:val="00336414"/>
    <w:rsid w:val="00336646"/>
    <w:rsid w:val="003366A3"/>
    <w:rsid w:val="00337077"/>
    <w:rsid w:val="003370E9"/>
    <w:rsid w:val="0033731C"/>
    <w:rsid w:val="003375EB"/>
    <w:rsid w:val="00337654"/>
    <w:rsid w:val="00337B3B"/>
    <w:rsid w:val="00340FCC"/>
    <w:rsid w:val="00341636"/>
    <w:rsid w:val="0034171F"/>
    <w:rsid w:val="00341A40"/>
    <w:rsid w:val="00341CA2"/>
    <w:rsid w:val="0034269C"/>
    <w:rsid w:val="00342AE9"/>
    <w:rsid w:val="003432B4"/>
    <w:rsid w:val="00343545"/>
    <w:rsid w:val="00343A4C"/>
    <w:rsid w:val="00343DDA"/>
    <w:rsid w:val="003440B7"/>
    <w:rsid w:val="00344CBC"/>
    <w:rsid w:val="00344D3B"/>
    <w:rsid w:val="00344DE2"/>
    <w:rsid w:val="00345154"/>
    <w:rsid w:val="0034525D"/>
    <w:rsid w:val="0034535F"/>
    <w:rsid w:val="003456F1"/>
    <w:rsid w:val="00345A8C"/>
    <w:rsid w:val="00345AA3"/>
    <w:rsid w:val="00345ACD"/>
    <w:rsid w:val="00345B56"/>
    <w:rsid w:val="00346173"/>
    <w:rsid w:val="00346506"/>
    <w:rsid w:val="003466CB"/>
    <w:rsid w:val="00346A2F"/>
    <w:rsid w:val="00346E3A"/>
    <w:rsid w:val="00346FB2"/>
    <w:rsid w:val="003500D9"/>
    <w:rsid w:val="00350D0E"/>
    <w:rsid w:val="00350F00"/>
    <w:rsid w:val="00351209"/>
    <w:rsid w:val="0035139C"/>
    <w:rsid w:val="00351488"/>
    <w:rsid w:val="0035154F"/>
    <w:rsid w:val="00351562"/>
    <w:rsid w:val="003516FD"/>
    <w:rsid w:val="00351820"/>
    <w:rsid w:val="00351A3D"/>
    <w:rsid w:val="00352571"/>
    <w:rsid w:val="003526C1"/>
    <w:rsid w:val="003526E6"/>
    <w:rsid w:val="00352A67"/>
    <w:rsid w:val="00352D33"/>
    <w:rsid w:val="00352DA3"/>
    <w:rsid w:val="00352DD8"/>
    <w:rsid w:val="0035338B"/>
    <w:rsid w:val="0035370F"/>
    <w:rsid w:val="00353950"/>
    <w:rsid w:val="00353B65"/>
    <w:rsid w:val="00354002"/>
    <w:rsid w:val="00354038"/>
    <w:rsid w:val="00354174"/>
    <w:rsid w:val="0035470C"/>
    <w:rsid w:val="00354879"/>
    <w:rsid w:val="00354929"/>
    <w:rsid w:val="00354F3D"/>
    <w:rsid w:val="00355024"/>
    <w:rsid w:val="003551D5"/>
    <w:rsid w:val="00355548"/>
    <w:rsid w:val="003557AB"/>
    <w:rsid w:val="00355CD9"/>
    <w:rsid w:val="00356526"/>
    <w:rsid w:val="0035684A"/>
    <w:rsid w:val="00356EEA"/>
    <w:rsid w:val="0035705D"/>
    <w:rsid w:val="00357408"/>
    <w:rsid w:val="00357424"/>
    <w:rsid w:val="0035769C"/>
    <w:rsid w:val="00357991"/>
    <w:rsid w:val="00357AFD"/>
    <w:rsid w:val="00357F44"/>
    <w:rsid w:val="00360295"/>
    <w:rsid w:val="00360575"/>
    <w:rsid w:val="0036058B"/>
    <w:rsid w:val="00360894"/>
    <w:rsid w:val="00360A07"/>
    <w:rsid w:val="00361543"/>
    <w:rsid w:val="00361BB2"/>
    <w:rsid w:val="00361F99"/>
    <w:rsid w:val="0036218E"/>
    <w:rsid w:val="00362507"/>
    <w:rsid w:val="003625B3"/>
    <w:rsid w:val="00362976"/>
    <w:rsid w:val="00362AD8"/>
    <w:rsid w:val="003633A0"/>
    <w:rsid w:val="003638DD"/>
    <w:rsid w:val="00363BED"/>
    <w:rsid w:val="00364095"/>
    <w:rsid w:val="003641D3"/>
    <w:rsid w:val="00364545"/>
    <w:rsid w:val="003647BC"/>
    <w:rsid w:val="00364DD1"/>
    <w:rsid w:val="00364F93"/>
    <w:rsid w:val="00365399"/>
    <w:rsid w:val="003653FC"/>
    <w:rsid w:val="003658BD"/>
    <w:rsid w:val="00365A8D"/>
    <w:rsid w:val="0036629B"/>
    <w:rsid w:val="00366613"/>
    <w:rsid w:val="003671B1"/>
    <w:rsid w:val="003673AB"/>
    <w:rsid w:val="003674B0"/>
    <w:rsid w:val="0036760D"/>
    <w:rsid w:val="00367CAC"/>
    <w:rsid w:val="00367D86"/>
    <w:rsid w:val="00367EB7"/>
    <w:rsid w:val="00370054"/>
    <w:rsid w:val="003701B2"/>
    <w:rsid w:val="00370553"/>
    <w:rsid w:val="00370725"/>
    <w:rsid w:val="00370B56"/>
    <w:rsid w:val="00370D2A"/>
    <w:rsid w:val="00370E28"/>
    <w:rsid w:val="00370EEE"/>
    <w:rsid w:val="00370EF9"/>
    <w:rsid w:val="00371022"/>
    <w:rsid w:val="00371045"/>
    <w:rsid w:val="00371104"/>
    <w:rsid w:val="0037112A"/>
    <w:rsid w:val="0037117F"/>
    <w:rsid w:val="00371A39"/>
    <w:rsid w:val="00371D34"/>
    <w:rsid w:val="00371DAE"/>
    <w:rsid w:val="00371DBB"/>
    <w:rsid w:val="00372125"/>
    <w:rsid w:val="003723B1"/>
    <w:rsid w:val="0037249A"/>
    <w:rsid w:val="00372687"/>
    <w:rsid w:val="00372698"/>
    <w:rsid w:val="003726A1"/>
    <w:rsid w:val="00372705"/>
    <w:rsid w:val="00372AC6"/>
    <w:rsid w:val="00372C17"/>
    <w:rsid w:val="00372D55"/>
    <w:rsid w:val="003732EC"/>
    <w:rsid w:val="003736A3"/>
    <w:rsid w:val="0037474F"/>
    <w:rsid w:val="00374778"/>
    <w:rsid w:val="00374D5D"/>
    <w:rsid w:val="00374FB3"/>
    <w:rsid w:val="00375035"/>
    <w:rsid w:val="003759EF"/>
    <w:rsid w:val="00375B76"/>
    <w:rsid w:val="00375D49"/>
    <w:rsid w:val="00376122"/>
    <w:rsid w:val="00376293"/>
    <w:rsid w:val="0037711B"/>
    <w:rsid w:val="00377673"/>
    <w:rsid w:val="003776EE"/>
    <w:rsid w:val="00377849"/>
    <w:rsid w:val="00377E71"/>
    <w:rsid w:val="00380331"/>
    <w:rsid w:val="00380AF5"/>
    <w:rsid w:val="00380BF4"/>
    <w:rsid w:val="00380E4F"/>
    <w:rsid w:val="003811DF"/>
    <w:rsid w:val="00381BD5"/>
    <w:rsid w:val="00381C99"/>
    <w:rsid w:val="00381D17"/>
    <w:rsid w:val="003822E8"/>
    <w:rsid w:val="00382451"/>
    <w:rsid w:val="003824A0"/>
    <w:rsid w:val="00382AAD"/>
    <w:rsid w:val="00382B26"/>
    <w:rsid w:val="00382B4B"/>
    <w:rsid w:val="00382CE3"/>
    <w:rsid w:val="00382CE7"/>
    <w:rsid w:val="00383100"/>
    <w:rsid w:val="003833FE"/>
    <w:rsid w:val="003845D0"/>
    <w:rsid w:val="00384891"/>
    <w:rsid w:val="00384E57"/>
    <w:rsid w:val="003851A2"/>
    <w:rsid w:val="00385AD2"/>
    <w:rsid w:val="00385DD8"/>
    <w:rsid w:val="00386BCD"/>
    <w:rsid w:val="00386DBB"/>
    <w:rsid w:val="00386E07"/>
    <w:rsid w:val="003870BB"/>
    <w:rsid w:val="003870D3"/>
    <w:rsid w:val="00387369"/>
    <w:rsid w:val="00387634"/>
    <w:rsid w:val="003876B8"/>
    <w:rsid w:val="00390F29"/>
    <w:rsid w:val="00390F5B"/>
    <w:rsid w:val="0039147C"/>
    <w:rsid w:val="003917F2"/>
    <w:rsid w:val="003918A9"/>
    <w:rsid w:val="0039293D"/>
    <w:rsid w:val="00392A65"/>
    <w:rsid w:val="00392E4F"/>
    <w:rsid w:val="00393197"/>
    <w:rsid w:val="003932C7"/>
    <w:rsid w:val="00393732"/>
    <w:rsid w:val="003939C6"/>
    <w:rsid w:val="003939CA"/>
    <w:rsid w:val="00394085"/>
    <w:rsid w:val="0039469B"/>
    <w:rsid w:val="00395C02"/>
    <w:rsid w:val="00395C1B"/>
    <w:rsid w:val="00395C24"/>
    <w:rsid w:val="00395E43"/>
    <w:rsid w:val="00396396"/>
    <w:rsid w:val="00396781"/>
    <w:rsid w:val="00396AD2"/>
    <w:rsid w:val="003972A2"/>
    <w:rsid w:val="00397BD4"/>
    <w:rsid w:val="00397C17"/>
    <w:rsid w:val="003A0021"/>
    <w:rsid w:val="003A063B"/>
    <w:rsid w:val="003A08DE"/>
    <w:rsid w:val="003A09DF"/>
    <w:rsid w:val="003A0C03"/>
    <w:rsid w:val="003A18EF"/>
    <w:rsid w:val="003A1962"/>
    <w:rsid w:val="003A1986"/>
    <w:rsid w:val="003A224D"/>
    <w:rsid w:val="003A3426"/>
    <w:rsid w:val="003A3599"/>
    <w:rsid w:val="003A362D"/>
    <w:rsid w:val="003A3D1B"/>
    <w:rsid w:val="003A41F6"/>
    <w:rsid w:val="003A441B"/>
    <w:rsid w:val="003A4583"/>
    <w:rsid w:val="003A4F74"/>
    <w:rsid w:val="003A5409"/>
    <w:rsid w:val="003A566B"/>
    <w:rsid w:val="003A5688"/>
    <w:rsid w:val="003A570B"/>
    <w:rsid w:val="003A5B10"/>
    <w:rsid w:val="003A6072"/>
    <w:rsid w:val="003A612E"/>
    <w:rsid w:val="003A6C82"/>
    <w:rsid w:val="003A706D"/>
    <w:rsid w:val="003A7AE7"/>
    <w:rsid w:val="003A7B48"/>
    <w:rsid w:val="003A7C98"/>
    <w:rsid w:val="003A7E9D"/>
    <w:rsid w:val="003B0115"/>
    <w:rsid w:val="003B0185"/>
    <w:rsid w:val="003B04E6"/>
    <w:rsid w:val="003B05F6"/>
    <w:rsid w:val="003B0CE0"/>
    <w:rsid w:val="003B0D5B"/>
    <w:rsid w:val="003B1389"/>
    <w:rsid w:val="003B14C3"/>
    <w:rsid w:val="003B17BE"/>
    <w:rsid w:val="003B1D2A"/>
    <w:rsid w:val="003B24D2"/>
    <w:rsid w:val="003B2830"/>
    <w:rsid w:val="003B2CFA"/>
    <w:rsid w:val="003B382E"/>
    <w:rsid w:val="003B3D3E"/>
    <w:rsid w:val="003B425D"/>
    <w:rsid w:val="003B42E5"/>
    <w:rsid w:val="003B46A5"/>
    <w:rsid w:val="003B47CA"/>
    <w:rsid w:val="003B480F"/>
    <w:rsid w:val="003B4B82"/>
    <w:rsid w:val="003B4F6D"/>
    <w:rsid w:val="003B54B2"/>
    <w:rsid w:val="003B5A93"/>
    <w:rsid w:val="003B60A2"/>
    <w:rsid w:val="003B63FD"/>
    <w:rsid w:val="003B64D8"/>
    <w:rsid w:val="003B69BF"/>
    <w:rsid w:val="003B6B31"/>
    <w:rsid w:val="003B6F5F"/>
    <w:rsid w:val="003B7018"/>
    <w:rsid w:val="003C00EB"/>
    <w:rsid w:val="003C0729"/>
    <w:rsid w:val="003C0E8E"/>
    <w:rsid w:val="003C1375"/>
    <w:rsid w:val="003C13B7"/>
    <w:rsid w:val="003C15A6"/>
    <w:rsid w:val="003C1A7A"/>
    <w:rsid w:val="003C1BD2"/>
    <w:rsid w:val="003C1D5F"/>
    <w:rsid w:val="003C1E8E"/>
    <w:rsid w:val="003C2004"/>
    <w:rsid w:val="003C296B"/>
    <w:rsid w:val="003C29F8"/>
    <w:rsid w:val="003C2B97"/>
    <w:rsid w:val="003C2BAF"/>
    <w:rsid w:val="003C2CBC"/>
    <w:rsid w:val="003C2FE4"/>
    <w:rsid w:val="003C2FF6"/>
    <w:rsid w:val="003C338C"/>
    <w:rsid w:val="003C34C9"/>
    <w:rsid w:val="003C4297"/>
    <w:rsid w:val="003C43A4"/>
    <w:rsid w:val="003C490C"/>
    <w:rsid w:val="003C4BD3"/>
    <w:rsid w:val="003C55C9"/>
    <w:rsid w:val="003C59B5"/>
    <w:rsid w:val="003C5FD2"/>
    <w:rsid w:val="003C6352"/>
    <w:rsid w:val="003C6955"/>
    <w:rsid w:val="003C6F50"/>
    <w:rsid w:val="003C6FBA"/>
    <w:rsid w:val="003C7405"/>
    <w:rsid w:val="003C7A34"/>
    <w:rsid w:val="003C7D2B"/>
    <w:rsid w:val="003D00FA"/>
    <w:rsid w:val="003D06CF"/>
    <w:rsid w:val="003D10CE"/>
    <w:rsid w:val="003D1503"/>
    <w:rsid w:val="003D1FC7"/>
    <w:rsid w:val="003D21DC"/>
    <w:rsid w:val="003D21E3"/>
    <w:rsid w:val="003D225A"/>
    <w:rsid w:val="003D2A36"/>
    <w:rsid w:val="003D312A"/>
    <w:rsid w:val="003D32D0"/>
    <w:rsid w:val="003D3626"/>
    <w:rsid w:val="003D38F8"/>
    <w:rsid w:val="003D3935"/>
    <w:rsid w:val="003D3DC1"/>
    <w:rsid w:val="003D4305"/>
    <w:rsid w:val="003D44BA"/>
    <w:rsid w:val="003D490C"/>
    <w:rsid w:val="003D49EC"/>
    <w:rsid w:val="003D4DB6"/>
    <w:rsid w:val="003D4E1E"/>
    <w:rsid w:val="003D52F5"/>
    <w:rsid w:val="003D56B4"/>
    <w:rsid w:val="003D5ACA"/>
    <w:rsid w:val="003D66EF"/>
    <w:rsid w:val="003D6795"/>
    <w:rsid w:val="003D6A85"/>
    <w:rsid w:val="003D6B2D"/>
    <w:rsid w:val="003D7097"/>
    <w:rsid w:val="003D71F2"/>
    <w:rsid w:val="003D7561"/>
    <w:rsid w:val="003D75FC"/>
    <w:rsid w:val="003D7812"/>
    <w:rsid w:val="003D7906"/>
    <w:rsid w:val="003E0016"/>
    <w:rsid w:val="003E1018"/>
    <w:rsid w:val="003E1485"/>
    <w:rsid w:val="003E1623"/>
    <w:rsid w:val="003E1A4E"/>
    <w:rsid w:val="003E1A95"/>
    <w:rsid w:val="003E1BB8"/>
    <w:rsid w:val="003E2201"/>
    <w:rsid w:val="003E2651"/>
    <w:rsid w:val="003E27D1"/>
    <w:rsid w:val="003E28AA"/>
    <w:rsid w:val="003E2ACE"/>
    <w:rsid w:val="003E2D39"/>
    <w:rsid w:val="003E2E0A"/>
    <w:rsid w:val="003E2F86"/>
    <w:rsid w:val="003E3F63"/>
    <w:rsid w:val="003E407E"/>
    <w:rsid w:val="003E448B"/>
    <w:rsid w:val="003E4676"/>
    <w:rsid w:val="003E4BB1"/>
    <w:rsid w:val="003E4FB6"/>
    <w:rsid w:val="003E5697"/>
    <w:rsid w:val="003E5845"/>
    <w:rsid w:val="003E6429"/>
    <w:rsid w:val="003E6DA7"/>
    <w:rsid w:val="003E6DF8"/>
    <w:rsid w:val="003E6E64"/>
    <w:rsid w:val="003E711B"/>
    <w:rsid w:val="003E7364"/>
    <w:rsid w:val="003E76B2"/>
    <w:rsid w:val="003E76E2"/>
    <w:rsid w:val="003F00B9"/>
    <w:rsid w:val="003F138C"/>
    <w:rsid w:val="003F219A"/>
    <w:rsid w:val="003F300E"/>
    <w:rsid w:val="003F3540"/>
    <w:rsid w:val="003F3CC4"/>
    <w:rsid w:val="003F41E1"/>
    <w:rsid w:val="003F4E2F"/>
    <w:rsid w:val="003F5092"/>
    <w:rsid w:val="003F52BF"/>
    <w:rsid w:val="003F55B3"/>
    <w:rsid w:val="003F5632"/>
    <w:rsid w:val="003F584E"/>
    <w:rsid w:val="003F5852"/>
    <w:rsid w:val="003F5BA6"/>
    <w:rsid w:val="003F5F58"/>
    <w:rsid w:val="003F5F98"/>
    <w:rsid w:val="003F61A6"/>
    <w:rsid w:val="003F62DC"/>
    <w:rsid w:val="003F6723"/>
    <w:rsid w:val="003F6989"/>
    <w:rsid w:val="003F6DCA"/>
    <w:rsid w:val="003F6E1C"/>
    <w:rsid w:val="003F714B"/>
    <w:rsid w:val="003F71A0"/>
    <w:rsid w:val="003F71BD"/>
    <w:rsid w:val="003F7E37"/>
    <w:rsid w:val="003F7F9A"/>
    <w:rsid w:val="004001D4"/>
    <w:rsid w:val="0040026F"/>
    <w:rsid w:val="004004CA"/>
    <w:rsid w:val="0040061E"/>
    <w:rsid w:val="0040067F"/>
    <w:rsid w:val="00400803"/>
    <w:rsid w:val="004008A4"/>
    <w:rsid w:val="00401597"/>
    <w:rsid w:val="004021B0"/>
    <w:rsid w:val="00402338"/>
    <w:rsid w:val="0040237A"/>
    <w:rsid w:val="0040248C"/>
    <w:rsid w:val="0040254E"/>
    <w:rsid w:val="004027D4"/>
    <w:rsid w:val="00402BAE"/>
    <w:rsid w:val="00402BC3"/>
    <w:rsid w:val="004030FF"/>
    <w:rsid w:val="00403786"/>
    <w:rsid w:val="00403CC3"/>
    <w:rsid w:val="00403F0D"/>
    <w:rsid w:val="00403FED"/>
    <w:rsid w:val="004041E1"/>
    <w:rsid w:val="0040446D"/>
    <w:rsid w:val="00404493"/>
    <w:rsid w:val="004045A5"/>
    <w:rsid w:val="00404CAB"/>
    <w:rsid w:val="00405356"/>
    <w:rsid w:val="00405496"/>
    <w:rsid w:val="00405516"/>
    <w:rsid w:val="00405593"/>
    <w:rsid w:val="00405E56"/>
    <w:rsid w:val="00405E90"/>
    <w:rsid w:val="004061DE"/>
    <w:rsid w:val="004063DA"/>
    <w:rsid w:val="00406407"/>
    <w:rsid w:val="00406CEE"/>
    <w:rsid w:val="004074B4"/>
    <w:rsid w:val="004074C5"/>
    <w:rsid w:val="004100CF"/>
    <w:rsid w:val="004103D7"/>
    <w:rsid w:val="0041053A"/>
    <w:rsid w:val="00410640"/>
    <w:rsid w:val="00410E3D"/>
    <w:rsid w:val="00410EB6"/>
    <w:rsid w:val="00411EFE"/>
    <w:rsid w:val="00412181"/>
    <w:rsid w:val="0041232C"/>
    <w:rsid w:val="004126D9"/>
    <w:rsid w:val="004128A1"/>
    <w:rsid w:val="00412A06"/>
    <w:rsid w:val="00412E92"/>
    <w:rsid w:val="004130A8"/>
    <w:rsid w:val="0041319E"/>
    <w:rsid w:val="00413336"/>
    <w:rsid w:val="004134FB"/>
    <w:rsid w:val="00413607"/>
    <w:rsid w:val="004136AD"/>
    <w:rsid w:val="00413961"/>
    <w:rsid w:val="00413EF0"/>
    <w:rsid w:val="00414067"/>
    <w:rsid w:val="004144F6"/>
    <w:rsid w:val="00414E10"/>
    <w:rsid w:val="00414F62"/>
    <w:rsid w:val="00415249"/>
    <w:rsid w:val="004157FC"/>
    <w:rsid w:val="0041586E"/>
    <w:rsid w:val="00415932"/>
    <w:rsid w:val="00415A61"/>
    <w:rsid w:val="004162E9"/>
    <w:rsid w:val="00416491"/>
    <w:rsid w:val="004167D3"/>
    <w:rsid w:val="00416D76"/>
    <w:rsid w:val="00416E43"/>
    <w:rsid w:val="004179AF"/>
    <w:rsid w:val="004179B9"/>
    <w:rsid w:val="00417DD3"/>
    <w:rsid w:val="00417E18"/>
    <w:rsid w:val="00420A15"/>
    <w:rsid w:val="0042112A"/>
    <w:rsid w:val="004218A7"/>
    <w:rsid w:val="00421923"/>
    <w:rsid w:val="004219C5"/>
    <w:rsid w:val="00421E9E"/>
    <w:rsid w:val="00421EBD"/>
    <w:rsid w:val="0042202B"/>
    <w:rsid w:val="0042238B"/>
    <w:rsid w:val="004226A0"/>
    <w:rsid w:val="00422E41"/>
    <w:rsid w:val="00422FC1"/>
    <w:rsid w:val="0042306F"/>
    <w:rsid w:val="004230B9"/>
    <w:rsid w:val="00423585"/>
    <w:rsid w:val="00423CF8"/>
    <w:rsid w:val="00423D10"/>
    <w:rsid w:val="00424288"/>
    <w:rsid w:val="00424401"/>
    <w:rsid w:val="00424786"/>
    <w:rsid w:val="00424873"/>
    <w:rsid w:val="00424992"/>
    <w:rsid w:val="00424CD8"/>
    <w:rsid w:val="0042596E"/>
    <w:rsid w:val="00425E55"/>
    <w:rsid w:val="00425F0A"/>
    <w:rsid w:val="00426D0B"/>
    <w:rsid w:val="00426E33"/>
    <w:rsid w:val="00427651"/>
    <w:rsid w:val="004279E1"/>
    <w:rsid w:val="00427CD8"/>
    <w:rsid w:val="00427D8A"/>
    <w:rsid w:val="0043006B"/>
    <w:rsid w:val="0043045F"/>
    <w:rsid w:val="00430581"/>
    <w:rsid w:val="004307D7"/>
    <w:rsid w:val="004310C9"/>
    <w:rsid w:val="0043111F"/>
    <w:rsid w:val="00431829"/>
    <w:rsid w:val="00432615"/>
    <w:rsid w:val="004326BE"/>
    <w:rsid w:val="0043282B"/>
    <w:rsid w:val="0043326E"/>
    <w:rsid w:val="00433AF2"/>
    <w:rsid w:val="00433DF2"/>
    <w:rsid w:val="004344E0"/>
    <w:rsid w:val="00434506"/>
    <w:rsid w:val="00434580"/>
    <w:rsid w:val="004349CF"/>
    <w:rsid w:val="00434A05"/>
    <w:rsid w:val="00434A25"/>
    <w:rsid w:val="00434FBF"/>
    <w:rsid w:val="004350C1"/>
    <w:rsid w:val="00435278"/>
    <w:rsid w:val="00435399"/>
    <w:rsid w:val="0043571D"/>
    <w:rsid w:val="00435E3F"/>
    <w:rsid w:val="00436490"/>
    <w:rsid w:val="00436494"/>
    <w:rsid w:val="00436630"/>
    <w:rsid w:val="00436E52"/>
    <w:rsid w:val="0043724D"/>
    <w:rsid w:val="00437297"/>
    <w:rsid w:val="004372B2"/>
    <w:rsid w:val="00437843"/>
    <w:rsid w:val="004403DA"/>
    <w:rsid w:val="004403E5"/>
    <w:rsid w:val="004406A4"/>
    <w:rsid w:val="00440B48"/>
    <w:rsid w:val="00441418"/>
    <w:rsid w:val="00441B54"/>
    <w:rsid w:val="00441DC6"/>
    <w:rsid w:val="004420A6"/>
    <w:rsid w:val="0044227D"/>
    <w:rsid w:val="00442577"/>
    <w:rsid w:val="004425FE"/>
    <w:rsid w:val="00442627"/>
    <w:rsid w:val="004428DD"/>
    <w:rsid w:val="00442EBF"/>
    <w:rsid w:val="004435F3"/>
    <w:rsid w:val="004438D1"/>
    <w:rsid w:val="00443A1A"/>
    <w:rsid w:val="00444F1F"/>
    <w:rsid w:val="0044503F"/>
    <w:rsid w:val="004455D7"/>
    <w:rsid w:val="004458DC"/>
    <w:rsid w:val="00445BC6"/>
    <w:rsid w:val="00445F1B"/>
    <w:rsid w:val="00446619"/>
    <w:rsid w:val="0044733E"/>
    <w:rsid w:val="004474FE"/>
    <w:rsid w:val="00447A7B"/>
    <w:rsid w:val="00447B24"/>
    <w:rsid w:val="00447F6F"/>
    <w:rsid w:val="00450078"/>
    <w:rsid w:val="00450195"/>
    <w:rsid w:val="0045028B"/>
    <w:rsid w:val="004502E2"/>
    <w:rsid w:val="0045089B"/>
    <w:rsid w:val="00450AD4"/>
    <w:rsid w:val="00450CEC"/>
    <w:rsid w:val="00450D41"/>
    <w:rsid w:val="00450DCA"/>
    <w:rsid w:val="00450F95"/>
    <w:rsid w:val="00451053"/>
    <w:rsid w:val="0045131C"/>
    <w:rsid w:val="00451729"/>
    <w:rsid w:val="004519C6"/>
    <w:rsid w:val="00451E58"/>
    <w:rsid w:val="004522BD"/>
    <w:rsid w:val="00452781"/>
    <w:rsid w:val="00452825"/>
    <w:rsid w:val="004540EA"/>
    <w:rsid w:val="0045447B"/>
    <w:rsid w:val="004548A4"/>
    <w:rsid w:val="00454A5A"/>
    <w:rsid w:val="00454BD1"/>
    <w:rsid w:val="00454EA0"/>
    <w:rsid w:val="004551DF"/>
    <w:rsid w:val="0045580B"/>
    <w:rsid w:val="004559BA"/>
    <w:rsid w:val="004561BC"/>
    <w:rsid w:val="004562BB"/>
    <w:rsid w:val="004569B1"/>
    <w:rsid w:val="00456DED"/>
    <w:rsid w:val="00456FDC"/>
    <w:rsid w:val="00457636"/>
    <w:rsid w:val="0045781D"/>
    <w:rsid w:val="00457C36"/>
    <w:rsid w:val="00457E15"/>
    <w:rsid w:val="0046030E"/>
    <w:rsid w:val="00461B71"/>
    <w:rsid w:val="00461F0F"/>
    <w:rsid w:val="0046208D"/>
    <w:rsid w:val="00462115"/>
    <w:rsid w:val="004621DA"/>
    <w:rsid w:val="00462293"/>
    <w:rsid w:val="0046250B"/>
    <w:rsid w:val="004626FF"/>
    <w:rsid w:val="00462746"/>
    <w:rsid w:val="004627DB"/>
    <w:rsid w:val="00462BA9"/>
    <w:rsid w:val="00462C20"/>
    <w:rsid w:val="00462C2C"/>
    <w:rsid w:val="00462C37"/>
    <w:rsid w:val="00462F45"/>
    <w:rsid w:val="00463129"/>
    <w:rsid w:val="004648BA"/>
    <w:rsid w:val="004653C4"/>
    <w:rsid w:val="0046620A"/>
    <w:rsid w:val="004666BC"/>
    <w:rsid w:val="0046691D"/>
    <w:rsid w:val="00466A9D"/>
    <w:rsid w:val="00466B52"/>
    <w:rsid w:val="00466C18"/>
    <w:rsid w:val="0046708C"/>
    <w:rsid w:val="004672DD"/>
    <w:rsid w:val="0046787F"/>
    <w:rsid w:val="00467D7E"/>
    <w:rsid w:val="00467F0A"/>
    <w:rsid w:val="0047020C"/>
    <w:rsid w:val="00470358"/>
    <w:rsid w:val="0047040C"/>
    <w:rsid w:val="00470DD0"/>
    <w:rsid w:val="00471015"/>
    <w:rsid w:val="0047128A"/>
    <w:rsid w:val="00471C67"/>
    <w:rsid w:val="00472122"/>
    <w:rsid w:val="004727A2"/>
    <w:rsid w:val="004727AC"/>
    <w:rsid w:val="00472F5C"/>
    <w:rsid w:val="004732D8"/>
    <w:rsid w:val="0047394F"/>
    <w:rsid w:val="00473EF3"/>
    <w:rsid w:val="00473F41"/>
    <w:rsid w:val="004746DC"/>
    <w:rsid w:val="00474AFF"/>
    <w:rsid w:val="00474DA6"/>
    <w:rsid w:val="00474DFB"/>
    <w:rsid w:val="00474F07"/>
    <w:rsid w:val="004751D5"/>
    <w:rsid w:val="00475258"/>
    <w:rsid w:val="004753EE"/>
    <w:rsid w:val="0047551A"/>
    <w:rsid w:val="004757E2"/>
    <w:rsid w:val="00475840"/>
    <w:rsid w:val="00475942"/>
    <w:rsid w:val="004759C1"/>
    <w:rsid w:val="00475F21"/>
    <w:rsid w:val="00476009"/>
    <w:rsid w:val="00476745"/>
    <w:rsid w:val="00476889"/>
    <w:rsid w:val="00476A78"/>
    <w:rsid w:val="004771B2"/>
    <w:rsid w:val="004772F1"/>
    <w:rsid w:val="00477355"/>
    <w:rsid w:val="0047757D"/>
    <w:rsid w:val="00477F89"/>
    <w:rsid w:val="004803AA"/>
    <w:rsid w:val="00480413"/>
    <w:rsid w:val="004804D6"/>
    <w:rsid w:val="004806B7"/>
    <w:rsid w:val="0048095C"/>
    <w:rsid w:val="00480974"/>
    <w:rsid w:val="00481211"/>
    <w:rsid w:val="00481562"/>
    <w:rsid w:val="004815B7"/>
    <w:rsid w:val="00481794"/>
    <w:rsid w:val="00481CA1"/>
    <w:rsid w:val="00482165"/>
    <w:rsid w:val="004822CC"/>
    <w:rsid w:val="0048282B"/>
    <w:rsid w:val="0048284F"/>
    <w:rsid w:val="00482B89"/>
    <w:rsid w:val="00482C29"/>
    <w:rsid w:val="00482FA7"/>
    <w:rsid w:val="00483352"/>
    <w:rsid w:val="004836A5"/>
    <w:rsid w:val="00483777"/>
    <w:rsid w:val="00483A09"/>
    <w:rsid w:val="00483AE9"/>
    <w:rsid w:val="00483E33"/>
    <w:rsid w:val="0048454A"/>
    <w:rsid w:val="00484A9B"/>
    <w:rsid w:val="00484B42"/>
    <w:rsid w:val="0048547F"/>
    <w:rsid w:val="00485584"/>
    <w:rsid w:val="00485712"/>
    <w:rsid w:val="00485E95"/>
    <w:rsid w:val="00486964"/>
    <w:rsid w:val="00486A22"/>
    <w:rsid w:val="00486EBA"/>
    <w:rsid w:val="0048722B"/>
    <w:rsid w:val="0048736E"/>
    <w:rsid w:val="00487E32"/>
    <w:rsid w:val="00487F7C"/>
    <w:rsid w:val="0049018C"/>
    <w:rsid w:val="0049045B"/>
    <w:rsid w:val="0049064B"/>
    <w:rsid w:val="0049082B"/>
    <w:rsid w:val="004908D2"/>
    <w:rsid w:val="00491381"/>
    <w:rsid w:val="004916C6"/>
    <w:rsid w:val="00491ECF"/>
    <w:rsid w:val="0049210D"/>
    <w:rsid w:val="0049262D"/>
    <w:rsid w:val="0049276C"/>
    <w:rsid w:val="00492BD4"/>
    <w:rsid w:val="00492CAD"/>
    <w:rsid w:val="004932EE"/>
    <w:rsid w:val="00493996"/>
    <w:rsid w:val="004939E4"/>
    <w:rsid w:val="00493D65"/>
    <w:rsid w:val="004942C3"/>
    <w:rsid w:val="00494996"/>
    <w:rsid w:val="00494CB6"/>
    <w:rsid w:val="00494CE1"/>
    <w:rsid w:val="00494DBC"/>
    <w:rsid w:val="00494F0B"/>
    <w:rsid w:val="0049535A"/>
    <w:rsid w:val="004955DD"/>
    <w:rsid w:val="0049565D"/>
    <w:rsid w:val="00495A1D"/>
    <w:rsid w:val="00495EB4"/>
    <w:rsid w:val="00496495"/>
    <w:rsid w:val="0049657A"/>
    <w:rsid w:val="00496A87"/>
    <w:rsid w:val="00496FD7"/>
    <w:rsid w:val="00497576"/>
    <w:rsid w:val="00497D56"/>
    <w:rsid w:val="004A03EC"/>
    <w:rsid w:val="004A0BD8"/>
    <w:rsid w:val="004A1698"/>
    <w:rsid w:val="004A1925"/>
    <w:rsid w:val="004A1B7F"/>
    <w:rsid w:val="004A26C2"/>
    <w:rsid w:val="004A2F08"/>
    <w:rsid w:val="004A359C"/>
    <w:rsid w:val="004A3A1F"/>
    <w:rsid w:val="004A3CAE"/>
    <w:rsid w:val="004A41C4"/>
    <w:rsid w:val="004A4654"/>
    <w:rsid w:val="004A473D"/>
    <w:rsid w:val="004A4C8E"/>
    <w:rsid w:val="004A4D9A"/>
    <w:rsid w:val="004A4D9F"/>
    <w:rsid w:val="004A5964"/>
    <w:rsid w:val="004A62C4"/>
    <w:rsid w:val="004A6A30"/>
    <w:rsid w:val="004A6DC0"/>
    <w:rsid w:val="004A6F94"/>
    <w:rsid w:val="004A6FDB"/>
    <w:rsid w:val="004A7172"/>
    <w:rsid w:val="004A7380"/>
    <w:rsid w:val="004A7B8B"/>
    <w:rsid w:val="004A7CA8"/>
    <w:rsid w:val="004B0160"/>
    <w:rsid w:val="004B01E2"/>
    <w:rsid w:val="004B04E8"/>
    <w:rsid w:val="004B07E7"/>
    <w:rsid w:val="004B0A6E"/>
    <w:rsid w:val="004B0D10"/>
    <w:rsid w:val="004B0DA9"/>
    <w:rsid w:val="004B11AA"/>
    <w:rsid w:val="004B12C1"/>
    <w:rsid w:val="004B15D6"/>
    <w:rsid w:val="004B1C68"/>
    <w:rsid w:val="004B1CD9"/>
    <w:rsid w:val="004B1DB2"/>
    <w:rsid w:val="004B21DD"/>
    <w:rsid w:val="004B256E"/>
    <w:rsid w:val="004B2AC3"/>
    <w:rsid w:val="004B2CAA"/>
    <w:rsid w:val="004B31F2"/>
    <w:rsid w:val="004B36A4"/>
    <w:rsid w:val="004B3FA1"/>
    <w:rsid w:val="004B4356"/>
    <w:rsid w:val="004B57C6"/>
    <w:rsid w:val="004B5BAA"/>
    <w:rsid w:val="004B60F8"/>
    <w:rsid w:val="004B6550"/>
    <w:rsid w:val="004B699D"/>
    <w:rsid w:val="004B6C9C"/>
    <w:rsid w:val="004B6F0B"/>
    <w:rsid w:val="004B7013"/>
    <w:rsid w:val="004B7220"/>
    <w:rsid w:val="004B72A2"/>
    <w:rsid w:val="004B780E"/>
    <w:rsid w:val="004B7F1C"/>
    <w:rsid w:val="004C0B23"/>
    <w:rsid w:val="004C1419"/>
    <w:rsid w:val="004C173A"/>
    <w:rsid w:val="004C18FD"/>
    <w:rsid w:val="004C27EC"/>
    <w:rsid w:val="004C28F2"/>
    <w:rsid w:val="004C3125"/>
    <w:rsid w:val="004C3514"/>
    <w:rsid w:val="004C3679"/>
    <w:rsid w:val="004C37BA"/>
    <w:rsid w:val="004C387A"/>
    <w:rsid w:val="004C39CC"/>
    <w:rsid w:val="004C3C59"/>
    <w:rsid w:val="004C3D09"/>
    <w:rsid w:val="004C43D2"/>
    <w:rsid w:val="004C456B"/>
    <w:rsid w:val="004C4BCA"/>
    <w:rsid w:val="004C4E22"/>
    <w:rsid w:val="004C53CE"/>
    <w:rsid w:val="004C55C9"/>
    <w:rsid w:val="004C5B69"/>
    <w:rsid w:val="004C6405"/>
    <w:rsid w:val="004C6C07"/>
    <w:rsid w:val="004C6D78"/>
    <w:rsid w:val="004C6E09"/>
    <w:rsid w:val="004C6F72"/>
    <w:rsid w:val="004C7A07"/>
    <w:rsid w:val="004C7C69"/>
    <w:rsid w:val="004C7ECD"/>
    <w:rsid w:val="004D066A"/>
    <w:rsid w:val="004D1285"/>
    <w:rsid w:val="004D137B"/>
    <w:rsid w:val="004D190E"/>
    <w:rsid w:val="004D1AED"/>
    <w:rsid w:val="004D1D94"/>
    <w:rsid w:val="004D1E86"/>
    <w:rsid w:val="004D1EC9"/>
    <w:rsid w:val="004D229B"/>
    <w:rsid w:val="004D22B9"/>
    <w:rsid w:val="004D2D21"/>
    <w:rsid w:val="004D2D4D"/>
    <w:rsid w:val="004D3005"/>
    <w:rsid w:val="004D3754"/>
    <w:rsid w:val="004D37D7"/>
    <w:rsid w:val="004D3B91"/>
    <w:rsid w:val="004D3D29"/>
    <w:rsid w:val="004D4E7D"/>
    <w:rsid w:val="004D5155"/>
    <w:rsid w:val="004D52EC"/>
    <w:rsid w:val="004D52F4"/>
    <w:rsid w:val="004D5624"/>
    <w:rsid w:val="004D5777"/>
    <w:rsid w:val="004D5E1C"/>
    <w:rsid w:val="004D649F"/>
    <w:rsid w:val="004D66AE"/>
    <w:rsid w:val="004D6B1B"/>
    <w:rsid w:val="004D6B4D"/>
    <w:rsid w:val="004D6D47"/>
    <w:rsid w:val="004D6D5A"/>
    <w:rsid w:val="004D6D8A"/>
    <w:rsid w:val="004D6E7C"/>
    <w:rsid w:val="004D7784"/>
    <w:rsid w:val="004D7822"/>
    <w:rsid w:val="004D7E74"/>
    <w:rsid w:val="004D7E7D"/>
    <w:rsid w:val="004E01E7"/>
    <w:rsid w:val="004E03B9"/>
    <w:rsid w:val="004E0AF8"/>
    <w:rsid w:val="004E0B13"/>
    <w:rsid w:val="004E1010"/>
    <w:rsid w:val="004E1305"/>
    <w:rsid w:val="004E1360"/>
    <w:rsid w:val="004E1C74"/>
    <w:rsid w:val="004E2083"/>
    <w:rsid w:val="004E2832"/>
    <w:rsid w:val="004E3C8F"/>
    <w:rsid w:val="004E3D14"/>
    <w:rsid w:val="004E402B"/>
    <w:rsid w:val="004E42E3"/>
    <w:rsid w:val="004E4DDF"/>
    <w:rsid w:val="004E4E55"/>
    <w:rsid w:val="004E4F7A"/>
    <w:rsid w:val="004E501C"/>
    <w:rsid w:val="004E508A"/>
    <w:rsid w:val="004E508B"/>
    <w:rsid w:val="004E5269"/>
    <w:rsid w:val="004E5933"/>
    <w:rsid w:val="004E59B8"/>
    <w:rsid w:val="004E5CB6"/>
    <w:rsid w:val="004E6AAC"/>
    <w:rsid w:val="004E6C68"/>
    <w:rsid w:val="004E6D89"/>
    <w:rsid w:val="004E70AD"/>
    <w:rsid w:val="004E71C2"/>
    <w:rsid w:val="004E75BB"/>
    <w:rsid w:val="004E7949"/>
    <w:rsid w:val="004E7A87"/>
    <w:rsid w:val="004F0103"/>
    <w:rsid w:val="004F0A58"/>
    <w:rsid w:val="004F1528"/>
    <w:rsid w:val="004F1637"/>
    <w:rsid w:val="004F1778"/>
    <w:rsid w:val="004F1BCF"/>
    <w:rsid w:val="004F1D16"/>
    <w:rsid w:val="004F1EEC"/>
    <w:rsid w:val="004F29CE"/>
    <w:rsid w:val="004F29F1"/>
    <w:rsid w:val="004F2F7B"/>
    <w:rsid w:val="004F3258"/>
    <w:rsid w:val="004F3A11"/>
    <w:rsid w:val="004F3A4B"/>
    <w:rsid w:val="004F3AEF"/>
    <w:rsid w:val="004F3B64"/>
    <w:rsid w:val="004F3CA9"/>
    <w:rsid w:val="004F433F"/>
    <w:rsid w:val="004F48C9"/>
    <w:rsid w:val="004F48F1"/>
    <w:rsid w:val="004F4E3B"/>
    <w:rsid w:val="004F5D65"/>
    <w:rsid w:val="004F5DBB"/>
    <w:rsid w:val="004F60F6"/>
    <w:rsid w:val="004F6646"/>
    <w:rsid w:val="004F7246"/>
    <w:rsid w:val="004F74F5"/>
    <w:rsid w:val="004F7745"/>
    <w:rsid w:val="004F7AFF"/>
    <w:rsid w:val="004F7E15"/>
    <w:rsid w:val="004F7EF9"/>
    <w:rsid w:val="005005F8"/>
    <w:rsid w:val="005007FB"/>
    <w:rsid w:val="005009CE"/>
    <w:rsid w:val="00500C43"/>
    <w:rsid w:val="00500E51"/>
    <w:rsid w:val="00501289"/>
    <w:rsid w:val="005016D7"/>
    <w:rsid w:val="005017E9"/>
    <w:rsid w:val="00501C9C"/>
    <w:rsid w:val="00501E16"/>
    <w:rsid w:val="00501EC1"/>
    <w:rsid w:val="005020FB"/>
    <w:rsid w:val="005025E9"/>
    <w:rsid w:val="00502AD2"/>
    <w:rsid w:val="00502F3B"/>
    <w:rsid w:val="00502F4F"/>
    <w:rsid w:val="00503315"/>
    <w:rsid w:val="00503A64"/>
    <w:rsid w:val="00503D84"/>
    <w:rsid w:val="00503FFC"/>
    <w:rsid w:val="00504028"/>
    <w:rsid w:val="0050412C"/>
    <w:rsid w:val="00504531"/>
    <w:rsid w:val="00504564"/>
    <w:rsid w:val="00504604"/>
    <w:rsid w:val="00504690"/>
    <w:rsid w:val="005049F2"/>
    <w:rsid w:val="00504B9E"/>
    <w:rsid w:val="00504CCA"/>
    <w:rsid w:val="00505320"/>
    <w:rsid w:val="00505544"/>
    <w:rsid w:val="00505780"/>
    <w:rsid w:val="00505B24"/>
    <w:rsid w:val="00505D30"/>
    <w:rsid w:val="0050632C"/>
    <w:rsid w:val="005063A7"/>
    <w:rsid w:val="00506421"/>
    <w:rsid w:val="005066F5"/>
    <w:rsid w:val="00506B94"/>
    <w:rsid w:val="00506D0F"/>
    <w:rsid w:val="00506E5C"/>
    <w:rsid w:val="00506E63"/>
    <w:rsid w:val="00506F55"/>
    <w:rsid w:val="00507A3A"/>
    <w:rsid w:val="00507FF8"/>
    <w:rsid w:val="0051010E"/>
    <w:rsid w:val="00510CD3"/>
    <w:rsid w:val="00510DBC"/>
    <w:rsid w:val="00510DD8"/>
    <w:rsid w:val="00510EB4"/>
    <w:rsid w:val="00510F82"/>
    <w:rsid w:val="00511219"/>
    <w:rsid w:val="005112C6"/>
    <w:rsid w:val="00511897"/>
    <w:rsid w:val="005118B7"/>
    <w:rsid w:val="00511D14"/>
    <w:rsid w:val="00511DE2"/>
    <w:rsid w:val="00511E28"/>
    <w:rsid w:val="005120B2"/>
    <w:rsid w:val="0051235E"/>
    <w:rsid w:val="0051263A"/>
    <w:rsid w:val="0051274F"/>
    <w:rsid w:val="005129AE"/>
    <w:rsid w:val="00512A35"/>
    <w:rsid w:val="005133FE"/>
    <w:rsid w:val="00513D70"/>
    <w:rsid w:val="005142BE"/>
    <w:rsid w:val="005144EE"/>
    <w:rsid w:val="005150DE"/>
    <w:rsid w:val="00515931"/>
    <w:rsid w:val="00516828"/>
    <w:rsid w:val="00517AE4"/>
    <w:rsid w:val="00517D0F"/>
    <w:rsid w:val="00520114"/>
    <w:rsid w:val="00520178"/>
    <w:rsid w:val="00520283"/>
    <w:rsid w:val="00520932"/>
    <w:rsid w:val="00520D3F"/>
    <w:rsid w:val="00520DDB"/>
    <w:rsid w:val="00521644"/>
    <w:rsid w:val="005216D3"/>
    <w:rsid w:val="00521703"/>
    <w:rsid w:val="00521D9B"/>
    <w:rsid w:val="0052208E"/>
    <w:rsid w:val="0052222B"/>
    <w:rsid w:val="005222B8"/>
    <w:rsid w:val="005223AA"/>
    <w:rsid w:val="00522491"/>
    <w:rsid w:val="0052261F"/>
    <w:rsid w:val="00522DCF"/>
    <w:rsid w:val="00522FDA"/>
    <w:rsid w:val="0052324C"/>
    <w:rsid w:val="00523791"/>
    <w:rsid w:val="005239C3"/>
    <w:rsid w:val="00523B7D"/>
    <w:rsid w:val="00523DD8"/>
    <w:rsid w:val="00523E9C"/>
    <w:rsid w:val="00523ED6"/>
    <w:rsid w:val="00524028"/>
    <w:rsid w:val="005247E7"/>
    <w:rsid w:val="0052507C"/>
    <w:rsid w:val="005253ED"/>
    <w:rsid w:val="00525531"/>
    <w:rsid w:val="00525AEC"/>
    <w:rsid w:val="00525EC1"/>
    <w:rsid w:val="00525FC5"/>
    <w:rsid w:val="00526045"/>
    <w:rsid w:val="005260CC"/>
    <w:rsid w:val="0052614A"/>
    <w:rsid w:val="00526476"/>
    <w:rsid w:val="005268F2"/>
    <w:rsid w:val="00526992"/>
    <w:rsid w:val="00526A6E"/>
    <w:rsid w:val="00526BF7"/>
    <w:rsid w:val="005272CE"/>
    <w:rsid w:val="005272F0"/>
    <w:rsid w:val="005274A2"/>
    <w:rsid w:val="0052756F"/>
    <w:rsid w:val="00527811"/>
    <w:rsid w:val="00527BE1"/>
    <w:rsid w:val="00530189"/>
    <w:rsid w:val="00530A43"/>
    <w:rsid w:val="00530D08"/>
    <w:rsid w:val="00530D87"/>
    <w:rsid w:val="00530E08"/>
    <w:rsid w:val="005311E1"/>
    <w:rsid w:val="00531564"/>
    <w:rsid w:val="005315CB"/>
    <w:rsid w:val="005319F4"/>
    <w:rsid w:val="00531E5C"/>
    <w:rsid w:val="005327D1"/>
    <w:rsid w:val="00532957"/>
    <w:rsid w:val="00532AE8"/>
    <w:rsid w:val="00532B18"/>
    <w:rsid w:val="00532D23"/>
    <w:rsid w:val="00532D3F"/>
    <w:rsid w:val="00532ECC"/>
    <w:rsid w:val="0053339B"/>
    <w:rsid w:val="0053348F"/>
    <w:rsid w:val="005342DF"/>
    <w:rsid w:val="00534A9F"/>
    <w:rsid w:val="00534ADA"/>
    <w:rsid w:val="00534B6A"/>
    <w:rsid w:val="00534D16"/>
    <w:rsid w:val="00535451"/>
    <w:rsid w:val="005354CD"/>
    <w:rsid w:val="00535678"/>
    <w:rsid w:val="005357E7"/>
    <w:rsid w:val="00535A82"/>
    <w:rsid w:val="00535EA7"/>
    <w:rsid w:val="005360C7"/>
    <w:rsid w:val="005367A6"/>
    <w:rsid w:val="00536B97"/>
    <w:rsid w:val="0053706D"/>
    <w:rsid w:val="00537129"/>
    <w:rsid w:val="00537814"/>
    <w:rsid w:val="00537D96"/>
    <w:rsid w:val="00537E64"/>
    <w:rsid w:val="00540076"/>
    <w:rsid w:val="00540152"/>
    <w:rsid w:val="0054021E"/>
    <w:rsid w:val="00540501"/>
    <w:rsid w:val="005407D7"/>
    <w:rsid w:val="00540CAD"/>
    <w:rsid w:val="0054185C"/>
    <w:rsid w:val="005418EF"/>
    <w:rsid w:val="00541B0A"/>
    <w:rsid w:val="00541B3D"/>
    <w:rsid w:val="00541CA2"/>
    <w:rsid w:val="00541D88"/>
    <w:rsid w:val="00541F73"/>
    <w:rsid w:val="00542641"/>
    <w:rsid w:val="0054273E"/>
    <w:rsid w:val="00542DD0"/>
    <w:rsid w:val="005433BF"/>
    <w:rsid w:val="005437CC"/>
    <w:rsid w:val="005440D5"/>
    <w:rsid w:val="00544452"/>
    <w:rsid w:val="00544BDD"/>
    <w:rsid w:val="00545026"/>
    <w:rsid w:val="00545B15"/>
    <w:rsid w:val="005465DB"/>
    <w:rsid w:val="00546B2E"/>
    <w:rsid w:val="00546D1D"/>
    <w:rsid w:val="00546FA2"/>
    <w:rsid w:val="00547A69"/>
    <w:rsid w:val="00547EDC"/>
    <w:rsid w:val="0055019F"/>
    <w:rsid w:val="005501E0"/>
    <w:rsid w:val="0055073D"/>
    <w:rsid w:val="00550FBE"/>
    <w:rsid w:val="00550FEE"/>
    <w:rsid w:val="0055118D"/>
    <w:rsid w:val="005513F2"/>
    <w:rsid w:val="00551413"/>
    <w:rsid w:val="00551439"/>
    <w:rsid w:val="005517AD"/>
    <w:rsid w:val="005517E1"/>
    <w:rsid w:val="00551D7A"/>
    <w:rsid w:val="005523AD"/>
    <w:rsid w:val="00552903"/>
    <w:rsid w:val="00552AA8"/>
    <w:rsid w:val="00552F72"/>
    <w:rsid w:val="00553225"/>
    <w:rsid w:val="005537FD"/>
    <w:rsid w:val="00553A41"/>
    <w:rsid w:val="0055457E"/>
    <w:rsid w:val="00554735"/>
    <w:rsid w:val="00554CDC"/>
    <w:rsid w:val="005551B0"/>
    <w:rsid w:val="00555546"/>
    <w:rsid w:val="00555657"/>
    <w:rsid w:val="0055582F"/>
    <w:rsid w:val="0055589D"/>
    <w:rsid w:val="00555A1D"/>
    <w:rsid w:val="00555DC3"/>
    <w:rsid w:val="005563B0"/>
    <w:rsid w:val="00556533"/>
    <w:rsid w:val="00556A6C"/>
    <w:rsid w:val="00556F55"/>
    <w:rsid w:val="0055706F"/>
    <w:rsid w:val="00557536"/>
    <w:rsid w:val="005607C3"/>
    <w:rsid w:val="005609AB"/>
    <w:rsid w:val="00560D30"/>
    <w:rsid w:val="00561703"/>
    <w:rsid w:val="00561B68"/>
    <w:rsid w:val="00562381"/>
    <w:rsid w:val="0056281C"/>
    <w:rsid w:val="0056296E"/>
    <w:rsid w:val="00562AF1"/>
    <w:rsid w:val="00562EE3"/>
    <w:rsid w:val="00562FD2"/>
    <w:rsid w:val="00563621"/>
    <w:rsid w:val="005637CF"/>
    <w:rsid w:val="00563B51"/>
    <w:rsid w:val="00563DB5"/>
    <w:rsid w:val="005640B9"/>
    <w:rsid w:val="0056466B"/>
    <w:rsid w:val="00564926"/>
    <w:rsid w:val="00564F1B"/>
    <w:rsid w:val="00565544"/>
    <w:rsid w:val="00565B69"/>
    <w:rsid w:val="00565DD2"/>
    <w:rsid w:val="00566259"/>
    <w:rsid w:val="0056634E"/>
    <w:rsid w:val="0056648F"/>
    <w:rsid w:val="00566591"/>
    <w:rsid w:val="00566697"/>
    <w:rsid w:val="00566774"/>
    <w:rsid w:val="00566930"/>
    <w:rsid w:val="0056710F"/>
    <w:rsid w:val="005671F8"/>
    <w:rsid w:val="005679A1"/>
    <w:rsid w:val="00567F0F"/>
    <w:rsid w:val="005701C2"/>
    <w:rsid w:val="0057028E"/>
    <w:rsid w:val="0057076A"/>
    <w:rsid w:val="00570DAA"/>
    <w:rsid w:val="00570F78"/>
    <w:rsid w:val="005713E7"/>
    <w:rsid w:val="005715AA"/>
    <w:rsid w:val="0057165B"/>
    <w:rsid w:val="00571BEF"/>
    <w:rsid w:val="005724BB"/>
    <w:rsid w:val="005728FB"/>
    <w:rsid w:val="00572A44"/>
    <w:rsid w:val="00572BF3"/>
    <w:rsid w:val="00572D84"/>
    <w:rsid w:val="00572E05"/>
    <w:rsid w:val="0057331C"/>
    <w:rsid w:val="005736A6"/>
    <w:rsid w:val="00574049"/>
    <w:rsid w:val="005741C3"/>
    <w:rsid w:val="005742E4"/>
    <w:rsid w:val="00574486"/>
    <w:rsid w:val="005744A3"/>
    <w:rsid w:val="005744FA"/>
    <w:rsid w:val="005745C1"/>
    <w:rsid w:val="00574829"/>
    <w:rsid w:val="0057490B"/>
    <w:rsid w:val="00574953"/>
    <w:rsid w:val="0057499A"/>
    <w:rsid w:val="00574BA1"/>
    <w:rsid w:val="00574BBA"/>
    <w:rsid w:val="00574BC1"/>
    <w:rsid w:val="00574BCE"/>
    <w:rsid w:val="00574F2C"/>
    <w:rsid w:val="005758F9"/>
    <w:rsid w:val="00575947"/>
    <w:rsid w:val="00575B4A"/>
    <w:rsid w:val="00576388"/>
    <w:rsid w:val="005767AB"/>
    <w:rsid w:val="0057694A"/>
    <w:rsid w:val="00576D1F"/>
    <w:rsid w:val="005774CA"/>
    <w:rsid w:val="005779FE"/>
    <w:rsid w:val="00577BC7"/>
    <w:rsid w:val="00577D44"/>
    <w:rsid w:val="00577E79"/>
    <w:rsid w:val="00577EAB"/>
    <w:rsid w:val="00580EDD"/>
    <w:rsid w:val="00581032"/>
    <w:rsid w:val="005817E7"/>
    <w:rsid w:val="00582231"/>
    <w:rsid w:val="0058252B"/>
    <w:rsid w:val="005829C5"/>
    <w:rsid w:val="00583009"/>
    <w:rsid w:val="00583455"/>
    <w:rsid w:val="00583839"/>
    <w:rsid w:val="00583ACB"/>
    <w:rsid w:val="00583B07"/>
    <w:rsid w:val="00583BBD"/>
    <w:rsid w:val="005840F0"/>
    <w:rsid w:val="0058497D"/>
    <w:rsid w:val="00584F7F"/>
    <w:rsid w:val="00585588"/>
    <w:rsid w:val="00585B55"/>
    <w:rsid w:val="00585CCD"/>
    <w:rsid w:val="00585F0A"/>
    <w:rsid w:val="00585F16"/>
    <w:rsid w:val="00586271"/>
    <w:rsid w:val="005864DC"/>
    <w:rsid w:val="00586B4A"/>
    <w:rsid w:val="0058726D"/>
    <w:rsid w:val="0058777C"/>
    <w:rsid w:val="005878B3"/>
    <w:rsid w:val="00587C53"/>
    <w:rsid w:val="00587F66"/>
    <w:rsid w:val="005900B8"/>
    <w:rsid w:val="0059033A"/>
    <w:rsid w:val="00590461"/>
    <w:rsid w:val="005905FC"/>
    <w:rsid w:val="00590894"/>
    <w:rsid w:val="00590A26"/>
    <w:rsid w:val="00591FBF"/>
    <w:rsid w:val="00592812"/>
    <w:rsid w:val="00592B20"/>
    <w:rsid w:val="00592DA4"/>
    <w:rsid w:val="005941B9"/>
    <w:rsid w:val="005941CE"/>
    <w:rsid w:val="005944DD"/>
    <w:rsid w:val="00594532"/>
    <w:rsid w:val="005946AC"/>
    <w:rsid w:val="00594810"/>
    <w:rsid w:val="00594B04"/>
    <w:rsid w:val="00594E88"/>
    <w:rsid w:val="005950D4"/>
    <w:rsid w:val="005950D9"/>
    <w:rsid w:val="0059575D"/>
    <w:rsid w:val="00595D79"/>
    <w:rsid w:val="00596321"/>
    <w:rsid w:val="005964AC"/>
    <w:rsid w:val="00596785"/>
    <w:rsid w:val="0059683D"/>
    <w:rsid w:val="00596AC4"/>
    <w:rsid w:val="00596BFB"/>
    <w:rsid w:val="00597092"/>
    <w:rsid w:val="00597461"/>
    <w:rsid w:val="00597E07"/>
    <w:rsid w:val="00597F84"/>
    <w:rsid w:val="005A00BD"/>
    <w:rsid w:val="005A0271"/>
    <w:rsid w:val="005A0B53"/>
    <w:rsid w:val="005A1509"/>
    <w:rsid w:val="005A1616"/>
    <w:rsid w:val="005A185C"/>
    <w:rsid w:val="005A1A55"/>
    <w:rsid w:val="005A1A58"/>
    <w:rsid w:val="005A1B26"/>
    <w:rsid w:val="005A1E1A"/>
    <w:rsid w:val="005A2175"/>
    <w:rsid w:val="005A2495"/>
    <w:rsid w:val="005A2656"/>
    <w:rsid w:val="005A2A46"/>
    <w:rsid w:val="005A2EAD"/>
    <w:rsid w:val="005A3762"/>
    <w:rsid w:val="005A3786"/>
    <w:rsid w:val="005A411F"/>
    <w:rsid w:val="005A418E"/>
    <w:rsid w:val="005A4270"/>
    <w:rsid w:val="005A4A8A"/>
    <w:rsid w:val="005A4DBE"/>
    <w:rsid w:val="005A4EC9"/>
    <w:rsid w:val="005A58FE"/>
    <w:rsid w:val="005A5A2A"/>
    <w:rsid w:val="005A6363"/>
    <w:rsid w:val="005A644C"/>
    <w:rsid w:val="005A6805"/>
    <w:rsid w:val="005A6A16"/>
    <w:rsid w:val="005A6A6F"/>
    <w:rsid w:val="005A70DF"/>
    <w:rsid w:val="005A7927"/>
    <w:rsid w:val="005A7953"/>
    <w:rsid w:val="005B007B"/>
    <w:rsid w:val="005B02E1"/>
    <w:rsid w:val="005B0403"/>
    <w:rsid w:val="005B04FB"/>
    <w:rsid w:val="005B0848"/>
    <w:rsid w:val="005B089A"/>
    <w:rsid w:val="005B106A"/>
    <w:rsid w:val="005B1C92"/>
    <w:rsid w:val="005B1D54"/>
    <w:rsid w:val="005B2BF2"/>
    <w:rsid w:val="005B302E"/>
    <w:rsid w:val="005B3045"/>
    <w:rsid w:val="005B3505"/>
    <w:rsid w:val="005B3744"/>
    <w:rsid w:val="005B37C7"/>
    <w:rsid w:val="005B3B0B"/>
    <w:rsid w:val="005B3F8B"/>
    <w:rsid w:val="005B45B4"/>
    <w:rsid w:val="005B47A3"/>
    <w:rsid w:val="005B52D4"/>
    <w:rsid w:val="005B565F"/>
    <w:rsid w:val="005B5821"/>
    <w:rsid w:val="005B586B"/>
    <w:rsid w:val="005B594F"/>
    <w:rsid w:val="005B5995"/>
    <w:rsid w:val="005B63B9"/>
    <w:rsid w:val="005B65AB"/>
    <w:rsid w:val="005B6D9F"/>
    <w:rsid w:val="005B7A2A"/>
    <w:rsid w:val="005C01EA"/>
    <w:rsid w:val="005C0693"/>
    <w:rsid w:val="005C0720"/>
    <w:rsid w:val="005C09EC"/>
    <w:rsid w:val="005C0CB1"/>
    <w:rsid w:val="005C10E2"/>
    <w:rsid w:val="005C1226"/>
    <w:rsid w:val="005C154B"/>
    <w:rsid w:val="005C176F"/>
    <w:rsid w:val="005C1F6C"/>
    <w:rsid w:val="005C2361"/>
    <w:rsid w:val="005C2375"/>
    <w:rsid w:val="005C2815"/>
    <w:rsid w:val="005C2887"/>
    <w:rsid w:val="005C3262"/>
    <w:rsid w:val="005C3453"/>
    <w:rsid w:val="005C360B"/>
    <w:rsid w:val="005C39B7"/>
    <w:rsid w:val="005C3A5F"/>
    <w:rsid w:val="005C3AEF"/>
    <w:rsid w:val="005C3B13"/>
    <w:rsid w:val="005C3C2E"/>
    <w:rsid w:val="005C3D30"/>
    <w:rsid w:val="005C3F22"/>
    <w:rsid w:val="005C44AD"/>
    <w:rsid w:val="005C45A7"/>
    <w:rsid w:val="005C59D2"/>
    <w:rsid w:val="005C6A27"/>
    <w:rsid w:val="005C6DDF"/>
    <w:rsid w:val="005C73AA"/>
    <w:rsid w:val="005C760D"/>
    <w:rsid w:val="005C763D"/>
    <w:rsid w:val="005C7758"/>
    <w:rsid w:val="005C78A6"/>
    <w:rsid w:val="005C7B36"/>
    <w:rsid w:val="005C7EB8"/>
    <w:rsid w:val="005C7FA8"/>
    <w:rsid w:val="005D033D"/>
    <w:rsid w:val="005D06D2"/>
    <w:rsid w:val="005D0724"/>
    <w:rsid w:val="005D07FA"/>
    <w:rsid w:val="005D08CD"/>
    <w:rsid w:val="005D0AEE"/>
    <w:rsid w:val="005D11CB"/>
    <w:rsid w:val="005D127E"/>
    <w:rsid w:val="005D1A6F"/>
    <w:rsid w:val="005D1F7F"/>
    <w:rsid w:val="005D2216"/>
    <w:rsid w:val="005D36D7"/>
    <w:rsid w:val="005D3F9F"/>
    <w:rsid w:val="005D5033"/>
    <w:rsid w:val="005D512C"/>
    <w:rsid w:val="005D5306"/>
    <w:rsid w:val="005D5639"/>
    <w:rsid w:val="005D5B7F"/>
    <w:rsid w:val="005D5C6D"/>
    <w:rsid w:val="005D5FF0"/>
    <w:rsid w:val="005D6223"/>
    <w:rsid w:val="005D637C"/>
    <w:rsid w:val="005D6509"/>
    <w:rsid w:val="005D650E"/>
    <w:rsid w:val="005D6613"/>
    <w:rsid w:val="005D66E8"/>
    <w:rsid w:val="005D6743"/>
    <w:rsid w:val="005D6C5E"/>
    <w:rsid w:val="005D6F5F"/>
    <w:rsid w:val="005D6FEB"/>
    <w:rsid w:val="005D77A6"/>
    <w:rsid w:val="005D7A1D"/>
    <w:rsid w:val="005D7A4B"/>
    <w:rsid w:val="005D7E32"/>
    <w:rsid w:val="005E0060"/>
    <w:rsid w:val="005E0491"/>
    <w:rsid w:val="005E097E"/>
    <w:rsid w:val="005E0F1B"/>
    <w:rsid w:val="005E10D2"/>
    <w:rsid w:val="005E14BC"/>
    <w:rsid w:val="005E18F1"/>
    <w:rsid w:val="005E1DF8"/>
    <w:rsid w:val="005E1E4A"/>
    <w:rsid w:val="005E1F36"/>
    <w:rsid w:val="005E22D7"/>
    <w:rsid w:val="005E26E0"/>
    <w:rsid w:val="005E2790"/>
    <w:rsid w:val="005E3024"/>
    <w:rsid w:val="005E34D4"/>
    <w:rsid w:val="005E360B"/>
    <w:rsid w:val="005E3929"/>
    <w:rsid w:val="005E4433"/>
    <w:rsid w:val="005E443E"/>
    <w:rsid w:val="005E4886"/>
    <w:rsid w:val="005E4F17"/>
    <w:rsid w:val="005E4F2D"/>
    <w:rsid w:val="005E5292"/>
    <w:rsid w:val="005E52CC"/>
    <w:rsid w:val="005E5475"/>
    <w:rsid w:val="005E54DB"/>
    <w:rsid w:val="005E6011"/>
    <w:rsid w:val="005E626D"/>
    <w:rsid w:val="005E62E2"/>
    <w:rsid w:val="005E64E2"/>
    <w:rsid w:val="005E665F"/>
    <w:rsid w:val="005E691A"/>
    <w:rsid w:val="005E7162"/>
    <w:rsid w:val="005E7448"/>
    <w:rsid w:val="005E7455"/>
    <w:rsid w:val="005E7A76"/>
    <w:rsid w:val="005E7F3E"/>
    <w:rsid w:val="005F0000"/>
    <w:rsid w:val="005F00DF"/>
    <w:rsid w:val="005F024B"/>
    <w:rsid w:val="005F0789"/>
    <w:rsid w:val="005F14A6"/>
    <w:rsid w:val="005F15F1"/>
    <w:rsid w:val="005F1B2F"/>
    <w:rsid w:val="005F207A"/>
    <w:rsid w:val="005F28FA"/>
    <w:rsid w:val="005F297F"/>
    <w:rsid w:val="005F2E77"/>
    <w:rsid w:val="005F2E9C"/>
    <w:rsid w:val="005F2F72"/>
    <w:rsid w:val="005F2FB4"/>
    <w:rsid w:val="005F32CA"/>
    <w:rsid w:val="005F371F"/>
    <w:rsid w:val="005F3C3B"/>
    <w:rsid w:val="005F3F8B"/>
    <w:rsid w:val="005F40CE"/>
    <w:rsid w:val="005F4797"/>
    <w:rsid w:val="005F4E92"/>
    <w:rsid w:val="005F4F2D"/>
    <w:rsid w:val="005F4F84"/>
    <w:rsid w:val="005F5012"/>
    <w:rsid w:val="005F5201"/>
    <w:rsid w:val="005F538A"/>
    <w:rsid w:val="005F539F"/>
    <w:rsid w:val="005F56FD"/>
    <w:rsid w:val="005F5711"/>
    <w:rsid w:val="005F5803"/>
    <w:rsid w:val="005F5C6D"/>
    <w:rsid w:val="005F5FCE"/>
    <w:rsid w:val="005F6187"/>
    <w:rsid w:val="005F6825"/>
    <w:rsid w:val="005F68D7"/>
    <w:rsid w:val="005F68F9"/>
    <w:rsid w:val="005F6912"/>
    <w:rsid w:val="005F6BFD"/>
    <w:rsid w:val="005F6D37"/>
    <w:rsid w:val="005F6E5B"/>
    <w:rsid w:val="005F714A"/>
    <w:rsid w:val="005F7513"/>
    <w:rsid w:val="005F79C6"/>
    <w:rsid w:val="005F7CE0"/>
    <w:rsid w:val="005F7EFE"/>
    <w:rsid w:val="00600102"/>
    <w:rsid w:val="0060094F"/>
    <w:rsid w:val="0060097B"/>
    <w:rsid w:val="00600A2A"/>
    <w:rsid w:val="00601180"/>
    <w:rsid w:val="00601183"/>
    <w:rsid w:val="00601501"/>
    <w:rsid w:val="00601925"/>
    <w:rsid w:val="00602203"/>
    <w:rsid w:val="00602431"/>
    <w:rsid w:val="0060285B"/>
    <w:rsid w:val="00602B07"/>
    <w:rsid w:val="00602F19"/>
    <w:rsid w:val="00602FA3"/>
    <w:rsid w:val="00603067"/>
    <w:rsid w:val="00603D03"/>
    <w:rsid w:val="00603D63"/>
    <w:rsid w:val="00603FD1"/>
    <w:rsid w:val="00604107"/>
    <w:rsid w:val="006047BE"/>
    <w:rsid w:val="006049EB"/>
    <w:rsid w:val="00604B4C"/>
    <w:rsid w:val="00604B64"/>
    <w:rsid w:val="00604C11"/>
    <w:rsid w:val="0060539F"/>
    <w:rsid w:val="006058A3"/>
    <w:rsid w:val="00606053"/>
    <w:rsid w:val="0060623C"/>
    <w:rsid w:val="006062DB"/>
    <w:rsid w:val="00606B7B"/>
    <w:rsid w:val="00606D47"/>
    <w:rsid w:val="00606FE8"/>
    <w:rsid w:val="0060702A"/>
    <w:rsid w:val="00607B6D"/>
    <w:rsid w:val="00607BAF"/>
    <w:rsid w:val="00607DE3"/>
    <w:rsid w:val="00610214"/>
    <w:rsid w:val="00610326"/>
    <w:rsid w:val="0061054F"/>
    <w:rsid w:val="0061058A"/>
    <w:rsid w:val="0061070B"/>
    <w:rsid w:val="00610E3B"/>
    <w:rsid w:val="00610EC6"/>
    <w:rsid w:val="0061245E"/>
    <w:rsid w:val="00612CF6"/>
    <w:rsid w:val="00612DDF"/>
    <w:rsid w:val="00613061"/>
    <w:rsid w:val="00613721"/>
    <w:rsid w:val="0061426D"/>
    <w:rsid w:val="0061434D"/>
    <w:rsid w:val="00614863"/>
    <w:rsid w:val="006149BE"/>
    <w:rsid w:val="00614C4C"/>
    <w:rsid w:val="00614C64"/>
    <w:rsid w:val="00614D31"/>
    <w:rsid w:val="00614F4B"/>
    <w:rsid w:val="006150A2"/>
    <w:rsid w:val="00615443"/>
    <w:rsid w:val="006155FE"/>
    <w:rsid w:val="00616AB0"/>
    <w:rsid w:val="00616D55"/>
    <w:rsid w:val="00616DAC"/>
    <w:rsid w:val="0061750C"/>
    <w:rsid w:val="00617598"/>
    <w:rsid w:val="006175A8"/>
    <w:rsid w:val="00617648"/>
    <w:rsid w:val="00617884"/>
    <w:rsid w:val="00617CB3"/>
    <w:rsid w:val="00617F4E"/>
    <w:rsid w:val="00620106"/>
    <w:rsid w:val="006203F8"/>
    <w:rsid w:val="006205E2"/>
    <w:rsid w:val="00620BEE"/>
    <w:rsid w:val="00620C8F"/>
    <w:rsid w:val="00621769"/>
    <w:rsid w:val="0062209D"/>
    <w:rsid w:val="00622DA2"/>
    <w:rsid w:val="00622DCF"/>
    <w:rsid w:val="00622E93"/>
    <w:rsid w:val="00622F05"/>
    <w:rsid w:val="006238FD"/>
    <w:rsid w:val="00623A46"/>
    <w:rsid w:val="00623DBA"/>
    <w:rsid w:val="00623DEC"/>
    <w:rsid w:val="00624142"/>
    <w:rsid w:val="00624A53"/>
    <w:rsid w:val="00624ECB"/>
    <w:rsid w:val="00624FD3"/>
    <w:rsid w:val="00625178"/>
    <w:rsid w:val="006251C2"/>
    <w:rsid w:val="006256A5"/>
    <w:rsid w:val="006257A0"/>
    <w:rsid w:val="00625DF2"/>
    <w:rsid w:val="0062601E"/>
    <w:rsid w:val="00626225"/>
    <w:rsid w:val="006266AA"/>
    <w:rsid w:val="0062671A"/>
    <w:rsid w:val="00626745"/>
    <w:rsid w:val="0062683D"/>
    <w:rsid w:val="00627035"/>
    <w:rsid w:val="0062718A"/>
    <w:rsid w:val="00627614"/>
    <w:rsid w:val="006277DE"/>
    <w:rsid w:val="0062786B"/>
    <w:rsid w:val="00627BF1"/>
    <w:rsid w:val="00627F93"/>
    <w:rsid w:val="0063070F"/>
    <w:rsid w:val="006308F1"/>
    <w:rsid w:val="0063106B"/>
    <w:rsid w:val="00631BC9"/>
    <w:rsid w:val="00631F8B"/>
    <w:rsid w:val="006324B5"/>
    <w:rsid w:val="00633684"/>
    <w:rsid w:val="006338DC"/>
    <w:rsid w:val="00634923"/>
    <w:rsid w:val="00634E09"/>
    <w:rsid w:val="0063579B"/>
    <w:rsid w:val="006357EC"/>
    <w:rsid w:val="00635C6C"/>
    <w:rsid w:val="00635F0C"/>
    <w:rsid w:val="00636496"/>
    <w:rsid w:val="006368BD"/>
    <w:rsid w:val="00636B32"/>
    <w:rsid w:val="00636DC1"/>
    <w:rsid w:val="00636F0D"/>
    <w:rsid w:val="00637444"/>
    <w:rsid w:val="006375F9"/>
    <w:rsid w:val="0063761D"/>
    <w:rsid w:val="00637844"/>
    <w:rsid w:val="00637D3A"/>
    <w:rsid w:val="0064017D"/>
    <w:rsid w:val="006401AE"/>
    <w:rsid w:val="0064020F"/>
    <w:rsid w:val="006407C4"/>
    <w:rsid w:val="00640A43"/>
    <w:rsid w:val="00640B23"/>
    <w:rsid w:val="00640BB0"/>
    <w:rsid w:val="00640CA1"/>
    <w:rsid w:val="00640CDF"/>
    <w:rsid w:val="006415A3"/>
    <w:rsid w:val="00641922"/>
    <w:rsid w:val="006419D0"/>
    <w:rsid w:val="00642162"/>
    <w:rsid w:val="00642964"/>
    <w:rsid w:val="00642F78"/>
    <w:rsid w:val="006439D8"/>
    <w:rsid w:val="00643F92"/>
    <w:rsid w:val="006447CA"/>
    <w:rsid w:val="00644F36"/>
    <w:rsid w:val="0064517A"/>
    <w:rsid w:val="00645225"/>
    <w:rsid w:val="0064561F"/>
    <w:rsid w:val="006458E5"/>
    <w:rsid w:val="00645D10"/>
    <w:rsid w:val="00646661"/>
    <w:rsid w:val="00646856"/>
    <w:rsid w:val="00646C83"/>
    <w:rsid w:val="006472F7"/>
    <w:rsid w:val="006475FC"/>
    <w:rsid w:val="00647F5C"/>
    <w:rsid w:val="00650107"/>
    <w:rsid w:val="0065012F"/>
    <w:rsid w:val="006502D0"/>
    <w:rsid w:val="00650B33"/>
    <w:rsid w:val="00650C39"/>
    <w:rsid w:val="0065127D"/>
    <w:rsid w:val="006517E4"/>
    <w:rsid w:val="00651E63"/>
    <w:rsid w:val="006523A0"/>
    <w:rsid w:val="00652872"/>
    <w:rsid w:val="00652931"/>
    <w:rsid w:val="00652ABC"/>
    <w:rsid w:val="00652BDF"/>
    <w:rsid w:val="00652C2F"/>
    <w:rsid w:val="00652CC7"/>
    <w:rsid w:val="0065307A"/>
    <w:rsid w:val="0065315C"/>
    <w:rsid w:val="0065341D"/>
    <w:rsid w:val="00653717"/>
    <w:rsid w:val="00654192"/>
    <w:rsid w:val="0065427A"/>
    <w:rsid w:val="00654BD4"/>
    <w:rsid w:val="00654D9E"/>
    <w:rsid w:val="0065554E"/>
    <w:rsid w:val="00655B86"/>
    <w:rsid w:val="00656F5D"/>
    <w:rsid w:val="00657539"/>
    <w:rsid w:val="006576F0"/>
    <w:rsid w:val="00657AAA"/>
    <w:rsid w:val="00657B55"/>
    <w:rsid w:val="00657D54"/>
    <w:rsid w:val="00660134"/>
    <w:rsid w:val="006601C5"/>
    <w:rsid w:val="0066027E"/>
    <w:rsid w:val="00660575"/>
    <w:rsid w:val="006608CC"/>
    <w:rsid w:val="00660AD6"/>
    <w:rsid w:val="00660BD7"/>
    <w:rsid w:val="00660C1E"/>
    <w:rsid w:val="00660DDA"/>
    <w:rsid w:val="00660F44"/>
    <w:rsid w:val="006611DE"/>
    <w:rsid w:val="0066137F"/>
    <w:rsid w:val="00662361"/>
    <w:rsid w:val="00662675"/>
    <w:rsid w:val="006626A3"/>
    <w:rsid w:val="006628C9"/>
    <w:rsid w:val="00662F35"/>
    <w:rsid w:val="006636E5"/>
    <w:rsid w:val="00665A2E"/>
    <w:rsid w:val="00665DCF"/>
    <w:rsid w:val="00665E8D"/>
    <w:rsid w:val="006665DD"/>
    <w:rsid w:val="0066668A"/>
    <w:rsid w:val="006668D1"/>
    <w:rsid w:val="006668D7"/>
    <w:rsid w:val="00666E35"/>
    <w:rsid w:val="00666F62"/>
    <w:rsid w:val="00666F8D"/>
    <w:rsid w:val="00667170"/>
    <w:rsid w:val="006679B8"/>
    <w:rsid w:val="00670160"/>
    <w:rsid w:val="00670484"/>
    <w:rsid w:val="00670795"/>
    <w:rsid w:val="006708D1"/>
    <w:rsid w:val="00670927"/>
    <w:rsid w:val="006709C1"/>
    <w:rsid w:val="00670D02"/>
    <w:rsid w:val="006719A4"/>
    <w:rsid w:val="00673381"/>
    <w:rsid w:val="006733A8"/>
    <w:rsid w:val="00673408"/>
    <w:rsid w:val="006735BB"/>
    <w:rsid w:val="00673B01"/>
    <w:rsid w:val="00673BED"/>
    <w:rsid w:val="00673E06"/>
    <w:rsid w:val="0067448F"/>
    <w:rsid w:val="0067467E"/>
    <w:rsid w:val="00674B4C"/>
    <w:rsid w:val="0067562E"/>
    <w:rsid w:val="00675962"/>
    <w:rsid w:val="0067599C"/>
    <w:rsid w:val="006759B5"/>
    <w:rsid w:val="00676833"/>
    <w:rsid w:val="00676B81"/>
    <w:rsid w:val="00676CAC"/>
    <w:rsid w:val="00676DA5"/>
    <w:rsid w:val="006770C2"/>
    <w:rsid w:val="006770CD"/>
    <w:rsid w:val="006775E1"/>
    <w:rsid w:val="00680295"/>
    <w:rsid w:val="0068083E"/>
    <w:rsid w:val="00680B95"/>
    <w:rsid w:val="00680C44"/>
    <w:rsid w:val="00680D3C"/>
    <w:rsid w:val="006813F3"/>
    <w:rsid w:val="0068153D"/>
    <w:rsid w:val="00681B0D"/>
    <w:rsid w:val="00681C89"/>
    <w:rsid w:val="00681EC3"/>
    <w:rsid w:val="006821E0"/>
    <w:rsid w:val="006824F1"/>
    <w:rsid w:val="0068257C"/>
    <w:rsid w:val="00682872"/>
    <w:rsid w:val="006829FD"/>
    <w:rsid w:val="00682B0A"/>
    <w:rsid w:val="00682C13"/>
    <w:rsid w:val="00682FC6"/>
    <w:rsid w:val="00683630"/>
    <w:rsid w:val="00683861"/>
    <w:rsid w:val="006841CD"/>
    <w:rsid w:val="006842EA"/>
    <w:rsid w:val="0068464E"/>
    <w:rsid w:val="00685543"/>
    <w:rsid w:val="00685927"/>
    <w:rsid w:val="00685D53"/>
    <w:rsid w:val="00686850"/>
    <w:rsid w:val="00686A27"/>
    <w:rsid w:val="00686E13"/>
    <w:rsid w:val="00686EEA"/>
    <w:rsid w:val="0068709B"/>
    <w:rsid w:val="00687479"/>
    <w:rsid w:val="00687D4A"/>
    <w:rsid w:val="00687FF6"/>
    <w:rsid w:val="006900B2"/>
    <w:rsid w:val="006900CD"/>
    <w:rsid w:val="006904F8"/>
    <w:rsid w:val="006905AE"/>
    <w:rsid w:val="00690ACF"/>
    <w:rsid w:val="00690EF2"/>
    <w:rsid w:val="00691155"/>
    <w:rsid w:val="00691396"/>
    <w:rsid w:val="0069179B"/>
    <w:rsid w:val="00691844"/>
    <w:rsid w:val="006919B2"/>
    <w:rsid w:val="00691EF6"/>
    <w:rsid w:val="00692316"/>
    <w:rsid w:val="00692331"/>
    <w:rsid w:val="0069242A"/>
    <w:rsid w:val="006926BB"/>
    <w:rsid w:val="00692DDD"/>
    <w:rsid w:val="006934E8"/>
    <w:rsid w:val="006939E7"/>
    <w:rsid w:val="00693CF3"/>
    <w:rsid w:val="00694D72"/>
    <w:rsid w:val="006952CF"/>
    <w:rsid w:val="00695490"/>
    <w:rsid w:val="00695737"/>
    <w:rsid w:val="0069612D"/>
    <w:rsid w:val="0069666C"/>
    <w:rsid w:val="0069670E"/>
    <w:rsid w:val="0069682A"/>
    <w:rsid w:val="0069699E"/>
    <w:rsid w:val="00696BB4"/>
    <w:rsid w:val="006971CB"/>
    <w:rsid w:val="006974CE"/>
    <w:rsid w:val="006976F0"/>
    <w:rsid w:val="006977FF"/>
    <w:rsid w:val="00697D8B"/>
    <w:rsid w:val="00697DA1"/>
    <w:rsid w:val="00697DCE"/>
    <w:rsid w:val="00697E39"/>
    <w:rsid w:val="00697F10"/>
    <w:rsid w:val="006A017A"/>
    <w:rsid w:val="006A0C59"/>
    <w:rsid w:val="006A0FFC"/>
    <w:rsid w:val="006A12E4"/>
    <w:rsid w:val="006A1565"/>
    <w:rsid w:val="006A159E"/>
    <w:rsid w:val="006A165F"/>
    <w:rsid w:val="006A1762"/>
    <w:rsid w:val="006A1F10"/>
    <w:rsid w:val="006A2237"/>
    <w:rsid w:val="006A251D"/>
    <w:rsid w:val="006A25C8"/>
    <w:rsid w:val="006A2AA7"/>
    <w:rsid w:val="006A2D0F"/>
    <w:rsid w:val="006A32DA"/>
    <w:rsid w:val="006A32DF"/>
    <w:rsid w:val="006A33E0"/>
    <w:rsid w:val="006A34AF"/>
    <w:rsid w:val="006A34E0"/>
    <w:rsid w:val="006A3AF8"/>
    <w:rsid w:val="006A3E19"/>
    <w:rsid w:val="006A3FE0"/>
    <w:rsid w:val="006A41DE"/>
    <w:rsid w:val="006A43EC"/>
    <w:rsid w:val="006A4559"/>
    <w:rsid w:val="006A4592"/>
    <w:rsid w:val="006A45C9"/>
    <w:rsid w:val="006A48CA"/>
    <w:rsid w:val="006A4AE4"/>
    <w:rsid w:val="006A5152"/>
    <w:rsid w:val="006A53E7"/>
    <w:rsid w:val="006A57C6"/>
    <w:rsid w:val="006A5DBE"/>
    <w:rsid w:val="006A5E7A"/>
    <w:rsid w:val="006A5F86"/>
    <w:rsid w:val="006A5FF7"/>
    <w:rsid w:val="006A69C4"/>
    <w:rsid w:val="006A6BE0"/>
    <w:rsid w:val="006A7230"/>
    <w:rsid w:val="006A7872"/>
    <w:rsid w:val="006A7905"/>
    <w:rsid w:val="006A7C15"/>
    <w:rsid w:val="006A7E9B"/>
    <w:rsid w:val="006B0054"/>
    <w:rsid w:val="006B0169"/>
    <w:rsid w:val="006B049F"/>
    <w:rsid w:val="006B08D3"/>
    <w:rsid w:val="006B189B"/>
    <w:rsid w:val="006B1B50"/>
    <w:rsid w:val="006B1CBA"/>
    <w:rsid w:val="006B1DF8"/>
    <w:rsid w:val="006B1EE1"/>
    <w:rsid w:val="006B1F13"/>
    <w:rsid w:val="006B1FE2"/>
    <w:rsid w:val="006B20C1"/>
    <w:rsid w:val="006B285D"/>
    <w:rsid w:val="006B2A47"/>
    <w:rsid w:val="006B2C3F"/>
    <w:rsid w:val="006B2EF7"/>
    <w:rsid w:val="006B3027"/>
    <w:rsid w:val="006B39F0"/>
    <w:rsid w:val="006B3CA0"/>
    <w:rsid w:val="006B3E1F"/>
    <w:rsid w:val="006B42CC"/>
    <w:rsid w:val="006B4631"/>
    <w:rsid w:val="006B4A4E"/>
    <w:rsid w:val="006B4A9A"/>
    <w:rsid w:val="006B4B29"/>
    <w:rsid w:val="006B4D65"/>
    <w:rsid w:val="006B4E83"/>
    <w:rsid w:val="006B5534"/>
    <w:rsid w:val="006B5D8A"/>
    <w:rsid w:val="006B5DC3"/>
    <w:rsid w:val="006B5E37"/>
    <w:rsid w:val="006B5FED"/>
    <w:rsid w:val="006B61C5"/>
    <w:rsid w:val="006B6416"/>
    <w:rsid w:val="006B650E"/>
    <w:rsid w:val="006B6FC5"/>
    <w:rsid w:val="006B70BC"/>
    <w:rsid w:val="006B7251"/>
    <w:rsid w:val="006B79CA"/>
    <w:rsid w:val="006B7E15"/>
    <w:rsid w:val="006C0337"/>
    <w:rsid w:val="006C03D2"/>
    <w:rsid w:val="006C089B"/>
    <w:rsid w:val="006C0A24"/>
    <w:rsid w:val="006C0BC7"/>
    <w:rsid w:val="006C10E6"/>
    <w:rsid w:val="006C13BE"/>
    <w:rsid w:val="006C14B1"/>
    <w:rsid w:val="006C1514"/>
    <w:rsid w:val="006C151C"/>
    <w:rsid w:val="006C187D"/>
    <w:rsid w:val="006C18CD"/>
    <w:rsid w:val="006C1E47"/>
    <w:rsid w:val="006C204F"/>
    <w:rsid w:val="006C2786"/>
    <w:rsid w:val="006C2BFF"/>
    <w:rsid w:val="006C2C85"/>
    <w:rsid w:val="006C2FFB"/>
    <w:rsid w:val="006C30B0"/>
    <w:rsid w:val="006C39BD"/>
    <w:rsid w:val="006C40DB"/>
    <w:rsid w:val="006C4257"/>
    <w:rsid w:val="006C493C"/>
    <w:rsid w:val="006C4C2F"/>
    <w:rsid w:val="006C4E78"/>
    <w:rsid w:val="006C5710"/>
    <w:rsid w:val="006C63EA"/>
    <w:rsid w:val="006C68D3"/>
    <w:rsid w:val="006C737C"/>
    <w:rsid w:val="006C7629"/>
    <w:rsid w:val="006C7801"/>
    <w:rsid w:val="006C7954"/>
    <w:rsid w:val="006C7B7D"/>
    <w:rsid w:val="006C7D5B"/>
    <w:rsid w:val="006D03F7"/>
    <w:rsid w:val="006D0576"/>
    <w:rsid w:val="006D0E2C"/>
    <w:rsid w:val="006D1072"/>
    <w:rsid w:val="006D1611"/>
    <w:rsid w:val="006D1BCA"/>
    <w:rsid w:val="006D1E26"/>
    <w:rsid w:val="006D1EC6"/>
    <w:rsid w:val="006D2893"/>
    <w:rsid w:val="006D2E73"/>
    <w:rsid w:val="006D3AAB"/>
    <w:rsid w:val="006D3CC8"/>
    <w:rsid w:val="006D3E5E"/>
    <w:rsid w:val="006D43A4"/>
    <w:rsid w:val="006D4486"/>
    <w:rsid w:val="006D47EC"/>
    <w:rsid w:val="006D4A66"/>
    <w:rsid w:val="006D4E3C"/>
    <w:rsid w:val="006D4F7A"/>
    <w:rsid w:val="006D50DF"/>
    <w:rsid w:val="006D542B"/>
    <w:rsid w:val="006D5760"/>
    <w:rsid w:val="006D583A"/>
    <w:rsid w:val="006D65F3"/>
    <w:rsid w:val="006D69D4"/>
    <w:rsid w:val="006D70AE"/>
    <w:rsid w:val="006D754E"/>
    <w:rsid w:val="006D7F82"/>
    <w:rsid w:val="006E0844"/>
    <w:rsid w:val="006E0C87"/>
    <w:rsid w:val="006E138E"/>
    <w:rsid w:val="006E16F0"/>
    <w:rsid w:val="006E18A7"/>
    <w:rsid w:val="006E1F40"/>
    <w:rsid w:val="006E1F5A"/>
    <w:rsid w:val="006E20AB"/>
    <w:rsid w:val="006E2172"/>
    <w:rsid w:val="006E22B0"/>
    <w:rsid w:val="006E22B6"/>
    <w:rsid w:val="006E245B"/>
    <w:rsid w:val="006E2920"/>
    <w:rsid w:val="006E29E8"/>
    <w:rsid w:val="006E2B58"/>
    <w:rsid w:val="006E2E30"/>
    <w:rsid w:val="006E2F84"/>
    <w:rsid w:val="006E366F"/>
    <w:rsid w:val="006E3B30"/>
    <w:rsid w:val="006E3E32"/>
    <w:rsid w:val="006E419F"/>
    <w:rsid w:val="006E42D8"/>
    <w:rsid w:val="006E4468"/>
    <w:rsid w:val="006E4476"/>
    <w:rsid w:val="006E459A"/>
    <w:rsid w:val="006E498E"/>
    <w:rsid w:val="006E4A8D"/>
    <w:rsid w:val="006E4B80"/>
    <w:rsid w:val="006E4BE9"/>
    <w:rsid w:val="006E511C"/>
    <w:rsid w:val="006E52F0"/>
    <w:rsid w:val="006E58C0"/>
    <w:rsid w:val="006E5BEB"/>
    <w:rsid w:val="006E6600"/>
    <w:rsid w:val="006E6671"/>
    <w:rsid w:val="006E66BD"/>
    <w:rsid w:val="006E6A4F"/>
    <w:rsid w:val="006E7257"/>
    <w:rsid w:val="006E79AD"/>
    <w:rsid w:val="006E7AA0"/>
    <w:rsid w:val="006E7AE4"/>
    <w:rsid w:val="006E7BAF"/>
    <w:rsid w:val="006E7D1D"/>
    <w:rsid w:val="006F00E5"/>
    <w:rsid w:val="006F0FA1"/>
    <w:rsid w:val="006F119B"/>
    <w:rsid w:val="006F145C"/>
    <w:rsid w:val="006F1708"/>
    <w:rsid w:val="006F1A54"/>
    <w:rsid w:val="006F1C8F"/>
    <w:rsid w:val="006F21D7"/>
    <w:rsid w:val="006F2317"/>
    <w:rsid w:val="006F274D"/>
    <w:rsid w:val="006F2AA0"/>
    <w:rsid w:val="006F2B2D"/>
    <w:rsid w:val="006F2F7C"/>
    <w:rsid w:val="006F3213"/>
    <w:rsid w:val="006F3AF7"/>
    <w:rsid w:val="006F3D73"/>
    <w:rsid w:val="006F451D"/>
    <w:rsid w:val="006F5033"/>
    <w:rsid w:val="006F5126"/>
    <w:rsid w:val="006F5E56"/>
    <w:rsid w:val="006F6329"/>
    <w:rsid w:val="006F6431"/>
    <w:rsid w:val="006F677D"/>
    <w:rsid w:val="006F67D8"/>
    <w:rsid w:val="006F69AA"/>
    <w:rsid w:val="006F6B46"/>
    <w:rsid w:val="006F6DFB"/>
    <w:rsid w:val="006F78EF"/>
    <w:rsid w:val="006F7C68"/>
    <w:rsid w:val="006F7E49"/>
    <w:rsid w:val="00700ADF"/>
    <w:rsid w:val="00700FDE"/>
    <w:rsid w:val="00701144"/>
    <w:rsid w:val="00701422"/>
    <w:rsid w:val="0070174B"/>
    <w:rsid w:val="00701E40"/>
    <w:rsid w:val="00701F9B"/>
    <w:rsid w:val="0070204B"/>
    <w:rsid w:val="00702450"/>
    <w:rsid w:val="00702688"/>
    <w:rsid w:val="00702E3B"/>
    <w:rsid w:val="00702E56"/>
    <w:rsid w:val="00702F68"/>
    <w:rsid w:val="00703306"/>
    <w:rsid w:val="0070388F"/>
    <w:rsid w:val="00703A22"/>
    <w:rsid w:val="00703CD1"/>
    <w:rsid w:val="007040B5"/>
    <w:rsid w:val="007044C9"/>
    <w:rsid w:val="00704CFB"/>
    <w:rsid w:val="00705667"/>
    <w:rsid w:val="0070573E"/>
    <w:rsid w:val="0070588D"/>
    <w:rsid w:val="00705A13"/>
    <w:rsid w:val="00705B99"/>
    <w:rsid w:val="007061DA"/>
    <w:rsid w:val="00706531"/>
    <w:rsid w:val="0070668C"/>
    <w:rsid w:val="00706793"/>
    <w:rsid w:val="007068CF"/>
    <w:rsid w:val="00706E52"/>
    <w:rsid w:val="00706F38"/>
    <w:rsid w:val="00707172"/>
    <w:rsid w:val="00707B52"/>
    <w:rsid w:val="00707E80"/>
    <w:rsid w:val="00710000"/>
    <w:rsid w:val="00710952"/>
    <w:rsid w:val="00710D77"/>
    <w:rsid w:val="0071139E"/>
    <w:rsid w:val="00711452"/>
    <w:rsid w:val="00711545"/>
    <w:rsid w:val="00711B1D"/>
    <w:rsid w:val="00711D3B"/>
    <w:rsid w:val="00711F6D"/>
    <w:rsid w:val="007120FC"/>
    <w:rsid w:val="00713380"/>
    <w:rsid w:val="00713696"/>
    <w:rsid w:val="0071381A"/>
    <w:rsid w:val="00713D60"/>
    <w:rsid w:val="00713FB6"/>
    <w:rsid w:val="00714104"/>
    <w:rsid w:val="00714316"/>
    <w:rsid w:val="00714591"/>
    <w:rsid w:val="00714B70"/>
    <w:rsid w:val="00714D3C"/>
    <w:rsid w:val="00715067"/>
    <w:rsid w:val="0071509B"/>
    <w:rsid w:val="00715D18"/>
    <w:rsid w:val="00715D2F"/>
    <w:rsid w:val="00715FFF"/>
    <w:rsid w:val="0071604A"/>
    <w:rsid w:val="00716109"/>
    <w:rsid w:val="0071625C"/>
    <w:rsid w:val="007163B5"/>
    <w:rsid w:val="00716920"/>
    <w:rsid w:val="00716CE7"/>
    <w:rsid w:val="00716EFF"/>
    <w:rsid w:val="00717209"/>
    <w:rsid w:val="00717226"/>
    <w:rsid w:val="00717456"/>
    <w:rsid w:val="007179B5"/>
    <w:rsid w:val="007204F1"/>
    <w:rsid w:val="0072051F"/>
    <w:rsid w:val="007207FE"/>
    <w:rsid w:val="00720C5A"/>
    <w:rsid w:val="00720D01"/>
    <w:rsid w:val="00721636"/>
    <w:rsid w:val="00721AFF"/>
    <w:rsid w:val="00721CE6"/>
    <w:rsid w:val="00721CFC"/>
    <w:rsid w:val="00722114"/>
    <w:rsid w:val="00722364"/>
    <w:rsid w:val="00722E5D"/>
    <w:rsid w:val="00722FE0"/>
    <w:rsid w:val="007234EA"/>
    <w:rsid w:val="00723E1C"/>
    <w:rsid w:val="00724786"/>
    <w:rsid w:val="00725147"/>
    <w:rsid w:val="00725215"/>
    <w:rsid w:val="007255D4"/>
    <w:rsid w:val="007256D3"/>
    <w:rsid w:val="00725747"/>
    <w:rsid w:val="00725AE5"/>
    <w:rsid w:val="00725D62"/>
    <w:rsid w:val="00725E99"/>
    <w:rsid w:val="00725F99"/>
    <w:rsid w:val="0072603F"/>
    <w:rsid w:val="00726206"/>
    <w:rsid w:val="007263B5"/>
    <w:rsid w:val="00726542"/>
    <w:rsid w:val="007274D8"/>
    <w:rsid w:val="00727AA4"/>
    <w:rsid w:val="00727B74"/>
    <w:rsid w:val="00727B9D"/>
    <w:rsid w:val="0073010C"/>
    <w:rsid w:val="00731072"/>
    <w:rsid w:val="0073131F"/>
    <w:rsid w:val="007315E9"/>
    <w:rsid w:val="00731621"/>
    <w:rsid w:val="007318AC"/>
    <w:rsid w:val="00731922"/>
    <w:rsid w:val="00731994"/>
    <w:rsid w:val="0073284B"/>
    <w:rsid w:val="00732EB5"/>
    <w:rsid w:val="00733548"/>
    <w:rsid w:val="007335E2"/>
    <w:rsid w:val="0073376D"/>
    <w:rsid w:val="007337B3"/>
    <w:rsid w:val="00733942"/>
    <w:rsid w:val="0073396C"/>
    <w:rsid w:val="00733975"/>
    <w:rsid w:val="00733BCF"/>
    <w:rsid w:val="007340B8"/>
    <w:rsid w:val="007345B0"/>
    <w:rsid w:val="00734DE7"/>
    <w:rsid w:val="00735CCF"/>
    <w:rsid w:val="007363CA"/>
    <w:rsid w:val="0073640A"/>
    <w:rsid w:val="00736715"/>
    <w:rsid w:val="007369C3"/>
    <w:rsid w:val="00736D98"/>
    <w:rsid w:val="00737140"/>
    <w:rsid w:val="0073790A"/>
    <w:rsid w:val="00737A4D"/>
    <w:rsid w:val="00737C8F"/>
    <w:rsid w:val="00737E7C"/>
    <w:rsid w:val="00737F76"/>
    <w:rsid w:val="0074056F"/>
    <w:rsid w:val="00740618"/>
    <w:rsid w:val="007408FD"/>
    <w:rsid w:val="00740900"/>
    <w:rsid w:val="00740DED"/>
    <w:rsid w:val="00741667"/>
    <w:rsid w:val="007418EB"/>
    <w:rsid w:val="00741F56"/>
    <w:rsid w:val="007423E6"/>
    <w:rsid w:val="00742623"/>
    <w:rsid w:val="00742B05"/>
    <w:rsid w:val="00742B2F"/>
    <w:rsid w:val="00742BA5"/>
    <w:rsid w:val="00743397"/>
    <w:rsid w:val="00743839"/>
    <w:rsid w:val="00743A59"/>
    <w:rsid w:val="00743B97"/>
    <w:rsid w:val="00743C71"/>
    <w:rsid w:val="00743E5B"/>
    <w:rsid w:val="00743EA2"/>
    <w:rsid w:val="00744035"/>
    <w:rsid w:val="007442C8"/>
    <w:rsid w:val="00744427"/>
    <w:rsid w:val="00744625"/>
    <w:rsid w:val="0074506F"/>
    <w:rsid w:val="0074549A"/>
    <w:rsid w:val="00745559"/>
    <w:rsid w:val="00745EE7"/>
    <w:rsid w:val="0074612E"/>
    <w:rsid w:val="0074663F"/>
    <w:rsid w:val="007467A7"/>
    <w:rsid w:val="00747096"/>
    <w:rsid w:val="0074719C"/>
    <w:rsid w:val="007471F4"/>
    <w:rsid w:val="00747747"/>
    <w:rsid w:val="00747B5E"/>
    <w:rsid w:val="00750141"/>
    <w:rsid w:val="0075077E"/>
    <w:rsid w:val="00750A5D"/>
    <w:rsid w:val="00750AFE"/>
    <w:rsid w:val="00750B19"/>
    <w:rsid w:val="00750DCF"/>
    <w:rsid w:val="00750ECB"/>
    <w:rsid w:val="00751156"/>
    <w:rsid w:val="007512DF"/>
    <w:rsid w:val="0075140A"/>
    <w:rsid w:val="0075167D"/>
    <w:rsid w:val="00751B3B"/>
    <w:rsid w:val="00751CB8"/>
    <w:rsid w:val="0075211A"/>
    <w:rsid w:val="00752296"/>
    <w:rsid w:val="0075233E"/>
    <w:rsid w:val="00752458"/>
    <w:rsid w:val="00752553"/>
    <w:rsid w:val="0075280B"/>
    <w:rsid w:val="00752886"/>
    <w:rsid w:val="0075289A"/>
    <w:rsid w:val="00752F18"/>
    <w:rsid w:val="007531CB"/>
    <w:rsid w:val="00753503"/>
    <w:rsid w:val="00753B8A"/>
    <w:rsid w:val="00753E3F"/>
    <w:rsid w:val="00754293"/>
    <w:rsid w:val="007543D5"/>
    <w:rsid w:val="00754568"/>
    <w:rsid w:val="00754996"/>
    <w:rsid w:val="00754AA5"/>
    <w:rsid w:val="00754CC8"/>
    <w:rsid w:val="00754DF7"/>
    <w:rsid w:val="007550A2"/>
    <w:rsid w:val="00755214"/>
    <w:rsid w:val="007553A9"/>
    <w:rsid w:val="00755796"/>
    <w:rsid w:val="00755A1D"/>
    <w:rsid w:val="00755C22"/>
    <w:rsid w:val="007560F5"/>
    <w:rsid w:val="00756405"/>
    <w:rsid w:val="0075665C"/>
    <w:rsid w:val="00756CB0"/>
    <w:rsid w:val="00756FD1"/>
    <w:rsid w:val="00757263"/>
    <w:rsid w:val="007572BB"/>
    <w:rsid w:val="00757953"/>
    <w:rsid w:val="00757D6E"/>
    <w:rsid w:val="00760047"/>
    <w:rsid w:val="0076010D"/>
    <w:rsid w:val="00760885"/>
    <w:rsid w:val="00760A0E"/>
    <w:rsid w:val="00760B39"/>
    <w:rsid w:val="007614B4"/>
    <w:rsid w:val="0076172E"/>
    <w:rsid w:val="00761EC4"/>
    <w:rsid w:val="007626B0"/>
    <w:rsid w:val="00762922"/>
    <w:rsid w:val="007629FF"/>
    <w:rsid w:val="00762B09"/>
    <w:rsid w:val="00762C54"/>
    <w:rsid w:val="00762FB5"/>
    <w:rsid w:val="007635F2"/>
    <w:rsid w:val="00763B4E"/>
    <w:rsid w:val="00763D02"/>
    <w:rsid w:val="007644FB"/>
    <w:rsid w:val="007647F7"/>
    <w:rsid w:val="00764C27"/>
    <w:rsid w:val="00764C35"/>
    <w:rsid w:val="00764E23"/>
    <w:rsid w:val="0076524E"/>
    <w:rsid w:val="00765287"/>
    <w:rsid w:val="0076577F"/>
    <w:rsid w:val="00765854"/>
    <w:rsid w:val="00765B8F"/>
    <w:rsid w:val="0076679D"/>
    <w:rsid w:val="00766DE1"/>
    <w:rsid w:val="007671C1"/>
    <w:rsid w:val="00767503"/>
    <w:rsid w:val="00767A32"/>
    <w:rsid w:val="00770398"/>
    <w:rsid w:val="00770498"/>
    <w:rsid w:val="00770FDF"/>
    <w:rsid w:val="0077123C"/>
    <w:rsid w:val="0077148C"/>
    <w:rsid w:val="007714A1"/>
    <w:rsid w:val="007715F7"/>
    <w:rsid w:val="00771F82"/>
    <w:rsid w:val="0077275C"/>
    <w:rsid w:val="0077278B"/>
    <w:rsid w:val="00772828"/>
    <w:rsid w:val="0077301F"/>
    <w:rsid w:val="007738BE"/>
    <w:rsid w:val="00773AAC"/>
    <w:rsid w:val="007741DE"/>
    <w:rsid w:val="00774589"/>
    <w:rsid w:val="007746E5"/>
    <w:rsid w:val="00774943"/>
    <w:rsid w:val="00774B44"/>
    <w:rsid w:val="00774D53"/>
    <w:rsid w:val="0077577F"/>
    <w:rsid w:val="00775A80"/>
    <w:rsid w:val="00776392"/>
    <w:rsid w:val="00776402"/>
    <w:rsid w:val="00776718"/>
    <w:rsid w:val="00776777"/>
    <w:rsid w:val="007769C1"/>
    <w:rsid w:val="00776CF2"/>
    <w:rsid w:val="007772F3"/>
    <w:rsid w:val="0077747A"/>
    <w:rsid w:val="0077764B"/>
    <w:rsid w:val="00777B0C"/>
    <w:rsid w:val="00777CF6"/>
    <w:rsid w:val="00780010"/>
    <w:rsid w:val="007801A0"/>
    <w:rsid w:val="0078065C"/>
    <w:rsid w:val="007806F6"/>
    <w:rsid w:val="00780F62"/>
    <w:rsid w:val="0078124E"/>
    <w:rsid w:val="007816DC"/>
    <w:rsid w:val="0078179B"/>
    <w:rsid w:val="00781893"/>
    <w:rsid w:val="007818FC"/>
    <w:rsid w:val="00781A57"/>
    <w:rsid w:val="00781B82"/>
    <w:rsid w:val="00781C74"/>
    <w:rsid w:val="00781F44"/>
    <w:rsid w:val="007821A5"/>
    <w:rsid w:val="00782227"/>
    <w:rsid w:val="007825ED"/>
    <w:rsid w:val="00782720"/>
    <w:rsid w:val="00782AFA"/>
    <w:rsid w:val="00782B14"/>
    <w:rsid w:val="00782E39"/>
    <w:rsid w:val="00782F7A"/>
    <w:rsid w:val="00783527"/>
    <w:rsid w:val="00783791"/>
    <w:rsid w:val="00783A63"/>
    <w:rsid w:val="00783BDC"/>
    <w:rsid w:val="00783D9C"/>
    <w:rsid w:val="00784106"/>
    <w:rsid w:val="00784178"/>
    <w:rsid w:val="007844A1"/>
    <w:rsid w:val="00784C65"/>
    <w:rsid w:val="00784EC5"/>
    <w:rsid w:val="0078513C"/>
    <w:rsid w:val="007852B1"/>
    <w:rsid w:val="00785EF9"/>
    <w:rsid w:val="00786856"/>
    <w:rsid w:val="00786929"/>
    <w:rsid w:val="00786C08"/>
    <w:rsid w:val="00786DCD"/>
    <w:rsid w:val="00786FC2"/>
    <w:rsid w:val="007871A2"/>
    <w:rsid w:val="007872B6"/>
    <w:rsid w:val="00787410"/>
    <w:rsid w:val="00787586"/>
    <w:rsid w:val="00787596"/>
    <w:rsid w:val="00787BC8"/>
    <w:rsid w:val="00787D6C"/>
    <w:rsid w:val="0079040F"/>
    <w:rsid w:val="007907DC"/>
    <w:rsid w:val="00790D67"/>
    <w:rsid w:val="00791029"/>
    <w:rsid w:val="00791166"/>
    <w:rsid w:val="007912CA"/>
    <w:rsid w:val="007916F5"/>
    <w:rsid w:val="0079176B"/>
    <w:rsid w:val="00791784"/>
    <w:rsid w:val="00791A72"/>
    <w:rsid w:val="00791B92"/>
    <w:rsid w:val="00791DB4"/>
    <w:rsid w:val="0079209D"/>
    <w:rsid w:val="007922A4"/>
    <w:rsid w:val="00792308"/>
    <w:rsid w:val="00792354"/>
    <w:rsid w:val="0079241C"/>
    <w:rsid w:val="0079269D"/>
    <w:rsid w:val="00792899"/>
    <w:rsid w:val="00792FDD"/>
    <w:rsid w:val="00793020"/>
    <w:rsid w:val="0079306D"/>
    <w:rsid w:val="0079369D"/>
    <w:rsid w:val="00793B2D"/>
    <w:rsid w:val="00793C10"/>
    <w:rsid w:val="00793E3C"/>
    <w:rsid w:val="00793E97"/>
    <w:rsid w:val="00794363"/>
    <w:rsid w:val="00794B15"/>
    <w:rsid w:val="0079526F"/>
    <w:rsid w:val="00795349"/>
    <w:rsid w:val="00795377"/>
    <w:rsid w:val="0079542B"/>
    <w:rsid w:val="007956DE"/>
    <w:rsid w:val="00795E06"/>
    <w:rsid w:val="00795F4F"/>
    <w:rsid w:val="00796038"/>
    <w:rsid w:val="00796241"/>
    <w:rsid w:val="007969BC"/>
    <w:rsid w:val="00797224"/>
    <w:rsid w:val="007977E9"/>
    <w:rsid w:val="00797BC3"/>
    <w:rsid w:val="00797C11"/>
    <w:rsid w:val="00797DF4"/>
    <w:rsid w:val="007A010C"/>
    <w:rsid w:val="007A157A"/>
    <w:rsid w:val="007A16EA"/>
    <w:rsid w:val="007A1727"/>
    <w:rsid w:val="007A1772"/>
    <w:rsid w:val="007A191B"/>
    <w:rsid w:val="007A1967"/>
    <w:rsid w:val="007A1C7C"/>
    <w:rsid w:val="007A2212"/>
    <w:rsid w:val="007A2785"/>
    <w:rsid w:val="007A2B26"/>
    <w:rsid w:val="007A2E32"/>
    <w:rsid w:val="007A2F05"/>
    <w:rsid w:val="007A2F41"/>
    <w:rsid w:val="007A32ED"/>
    <w:rsid w:val="007A348C"/>
    <w:rsid w:val="007A3831"/>
    <w:rsid w:val="007A38FA"/>
    <w:rsid w:val="007A3CD4"/>
    <w:rsid w:val="007A428F"/>
    <w:rsid w:val="007A46FE"/>
    <w:rsid w:val="007A4784"/>
    <w:rsid w:val="007A484E"/>
    <w:rsid w:val="007A50D1"/>
    <w:rsid w:val="007A5253"/>
    <w:rsid w:val="007A5989"/>
    <w:rsid w:val="007A5AB9"/>
    <w:rsid w:val="007A5CB6"/>
    <w:rsid w:val="007A5EA9"/>
    <w:rsid w:val="007A648C"/>
    <w:rsid w:val="007A6565"/>
    <w:rsid w:val="007A721B"/>
    <w:rsid w:val="007A76D1"/>
    <w:rsid w:val="007A76EF"/>
    <w:rsid w:val="007A792C"/>
    <w:rsid w:val="007A79F7"/>
    <w:rsid w:val="007A7A01"/>
    <w:rsid w:val="007A7A78"/>
    <w:rsid w:val="007A7A84"/>
    <w:rsid w:val="007A7E96"/>
    <w:rsid w:val="007B0DE6"/>
    <w:rsid w:val="007B0FDA"/>
    <w:rsid w:val="007B146E"/>
    <w:rsid w:val="007B1576"/>
    <w:rsid w:val="007B1E11"/>
    <w:rsid w:val="007B202D"/>
    <w:rsid w:val="007B25AC"/>
    <w:rsid w:val="007B25D1"/>
    <w:rsid w:val="007B2613"/>
    <w:rsid w:val="007B3171"/>
    <w:rsid w:val="007B355C"/>
    <w:rsid w:val="007B3C06"/>
    <w:rsid w:val="007B3D22"/>
    <w:rsid w:val="007B42DD"/>
    <w:rsid w:val="007B443F"/>
    <w:rsid w:val="007B476E"/>
    <w:rsid w:val="007B4A1D"/>
    <w:rsid w:val="007B4CED"/>
    <w:rsid w:val="007B4D52"/>
    <w:rsid w:val="007B4D66"/>
    <w:rsid w:val="007B5401"/>
    <w:rsid w:val="007B5560"/>
    <w:rsid w:val="007B5566"/>
    <w:rsid w:val="007B58DD"/>
    <w:rsid w:val="007B5C60"/>
    <w:rsid w:val="007B5EFA"/>
    <w:rsid w:val="007B607A"/>
    <w:rsid w:val="007B63D3"/>
    <w:rsid w:val="007B681E"/>
    <w:rsid w:val="007B68DD"/>
    <w:rsid w:val="007B6AEF"/>
    <w:rsid w:val="007B73ED"/>
    <w:rsid w:val="007C0042"/>
    <w:rsid w:val="007C00EE"/>
    <w:rsid w:val="007C0339"/>
    <w:rsid w:val="007C0494"/>
    <w:rsid w:val="007C06AE"/>
    <w:rsid w:val="007C093F"/>
    <w:rsid w:val="007C0AC4"/>
    <w:rsid w:val="007C0D4C"/>
    <w:rsid w:val="007C126B"/>
    <w:rsid w:val="007C1349"/>
    <w:rsid w:val="007C15F8"/>
    <w:rsid w:val="007C1811"/>
    <w:rsid w:val="007C2354"/>
    <w:rsid w:val="007C25F0"/>
    <w:rsid w:val="007C2820"/>
    <w:rsid w:val="007C2F24"/>
    <w:rsid w:val="007C3193"/>
    <w:rsid w:val="007C3252"/>
    <w:rsid w:val="007C3297"/>
    <w:rsid w:val="007C34F5"/>
    <w:rsid w:val="007C3792"/>
    <w:rsid w:val="007C3F5A"/>
    <w:rsid w:val="007C3FCA"/>
    <w:rsid w:val="007C4272"/>
    <w:rsid w:val="007C4755"/>
    <w:rsid w:val="007C4B12"/>
    <w:rsid w:val="007C5692"/>
    <w:rsid w:val="007C59F1"/>
    <w:rsid w:val="007C5B50"/>
    <w:rsid w:val="007C61E0"/>
    <w:rsid w:val="007C675C"/>
    <w:rsid w:val="007C6CD5"/>
    <w:rsid w:val="007C6CEB"/>
    <w:rsid w:val="007C6FB1"/>
    <w:rsid w:val="007C70EB"/>
    <w:rsid w:val="007C7534"/>
    <w:rsid w:val="007C7585"/>
    <w:rsid w:val="007C7615"/>
    <w:rsid w:val="007C77AE"/>
    <w:rsid w:val="007C78B5"/>
    <w:rsid w:val="007C7CEF"/>
    <w:rsid w:val="007C7D2D"/>
    <w:rsid w:val="007C7DBC"/>
    <w:rsid w:val="007D03E7"/>
    <w:rsid w:val="007D0A4B"/>
    <w:rsid w:val="007D0BBE"/>
    <w:rsid w:val="007D0C24"/>
    <w:rsid w:val="007D0C51"/>
    <w:rsid w:val="007D0CA3"/>
    <w:rsid w:val="007D0EEA"/>
    <w:rsid w:val="007D1095"/>
    <w:rsid w:val="007D16F3"/>
    <w:rsid w:val="007D1A6E"/>
    <w:rsid w:val="007D1DFE"/>
    <w:rsid w:val="007D2DDD"/>
    <w:rsid w:val="007D2E51"/>
    <w:rsid w:val="007D4123"/>
    <w:rsid w:val="007D424B"/>
    <w:rsid w:val="007D471A"/>
    <w:rsid w:val="007D48FB"/>
    <w:rsid w:val="007D50CC"/>
    <w:rsid w:val="007D560C"/>
    <w:rsid w:val="007D5AF6"/>
    <w:rsid w:val="007D5E28"/>
    <w:rsid w:val="007D60AC"/>
    <w:rsid w:val="007D6649"/>
    <w:rsid w:val="007D665E"/>
    <w:rsid w:val="007D732F"/>
    <w:rsid w:val="007D7493"/>
    <w:rsid w:val="007D7C8B"/>
    <w:rsid w:val="007D7E81"/>
    <w:rsid w:val="007D7FC5"/>
    <w:rsid w:val="007E08C4"/>
    <w:rsid w:val="007E08E5"/>
    <w:rsid w:val="007E0A32"/>
    <w:rsid w:val="007E0BD7"/>
    <w:rsid w:val="007E0BE2"/>
    <w:rsid w:val="007E0D5C"/>
    <w:rsid w:val="007E0D61"/>
    <w:rsid w:val="007E0D63"/>
    <w:rsid w:val="007E0E68"/>
    <w:rsid w:val="007E0E84"/>
    <w:rsid w:val="007E112A"/>
    <w:rsid w:val="007E1837"/>
    <w:rsid w:val="007E19FC"/>
    <w:rsid w:val="007E1A3F"/>
    <w:rsid w:val="007E2B1F"/>
    <w:rsid w:val="007E2D4B"/>
    <w:rsid w:val="007E309B"/>
    <w:rsid w:val="007E32DB"/>
    <w:rsid w:val="007E34DB"/>
    <w:rsid w:val="007E3737"/>
    <w:rsid w:val="007E385F"/>
    <w:rsid w:val="007E3B9A"/>
    <w:rsid w:val="007E4147"/>
    <w:rsid w:val="007E417A"/>
    <w:rsid w:val="007E45C7"/>
    <w:rsid w:val="007E4689"/>
    <w:rsid w:val="007E4812"/>
    <w:rsid w:val="007E4E39"/>
    <w:rsid w:val="007E5057"/>
    <w:rsid w:val="007E568D"/>
    <w:rsid w:val="007E5C19"/>
    <w:rsid w:val="007E62B9"/>
    <w:rsid w:val="007E6414"/>
    <w:rsid w:val="007E6914"/>
    <w:rsid w:val="007E6B52"/>
    <w:rsid w:val="007E7017"/>
    <w:rsid w:val="007E742D"/>
    <w:rsid w:val="007E79AA"/>
    <w:rsid w:val="007E7B2C"/>
    <w:rsid w:val="007E7E2D"/>
    <w:rsid w:val="007E7F06"/>
    <w:rsid w:val="007E7F31"/>
    <w:rsid w:val="007E7FFD"/>
    <w:rsid w:val="007F04EC"/>
    <w:rsid w:val="007F067B"/>
    <w:rsid w:val="007F0E53"/>
    <w:rsid w:val="007F0F8A"/>
    <w:rsid w:val="007F11A5"/>
    <w:rsid w:val="007F1250"/>
    <w:rsid w:val="007F1300"/>
    <w:rsid w:val="007F1325"/>
    <w:rsid w:val="007F1349"/>
    <w:rsid w:val="007F156C"/>
    <w:rsid w:val="007F184E"/>
    <w:rsid w:val="007F18A3"/>
    <w:rsid w:val="007F19CC"/>
    <w:rsid w:val="007F1A23"/>
    <w:rsid w:val="007F1E58"/>
    <w:rsid w:val="007F23B5"/>
    <w:rsid w:val="007F23BB"/>
    <w:rsid w:val="007F277B"/>
    <w:rsid w:val="007F2F1A"/>
    <w:rsid w:val="007F3A10"/>
    <w:rsid w:val="007F3AF5"/>
    <w:rsid w:val="007F4E8B"/>
    <w:rsid w:val="007F504F"/>
    <w:rsid w:val="007F576F"/>
    <w:rsid w:val="007F596A"/>
    <w:rsid w:val="007F60CB"/>
    <w:rsid w:val="007F6432"/>
    <w:rsid w:val="007F6C2C"/>
    <w:rsid w:val="007F70A9"/>
    <w:rsid w:val="007F713D"/>
    <w:rsid w:val="007F7413"/>
    <w:rsid w:val="007F75C6"/>
    <w:rsid w:val="007F76DC"/>
    <w:rsid w:val="007F7A04"/>
    <w:rsid w:val="007F7D5E"/>
    <w:rsid w:val="007F7DD9"/>
    <w:rsid w:val="007F7E1B"/>
    <w:rsid w:val="007F7FFB"/>
    <w:rsid w:val="008000A1"/>
    <w:rsid w:val="00800236"/>
    <w:rsid w:val="008006FF"/>
    <w:rsid w:val="00800835"/>
    <w:rsid w:val="008009D0"/>
    <w:rsid w:val="00800ABE"/>
    <w:rsid w:val="00800C96"/>
    <w:rsid w:val="00800D44"/>
    <w:rsid w:val="00801297"/>
    <w:rsid w:val="00801318"/>
    <w:rsid w:val="008019B5"/>
    <w:rsid w:val="008020AA"/>
    <w:rsid w:val="00802200"/>
    <w:rsid w:val="008029E0"/>
    <w:rsid w:val="008029E6"/>
    <w:rsid w:val="00802B79"/>
    <w:rsid w:val="00803048"/>
    <w:rsid w:val="0080350B"/>
    <w:rsid w:val="008037A9"/>
    <w:rsid w:val="008037E2"/>
    <w:rsid w:val="00803932"/>
    <w:rsid w:val="00803BAA"/>
    <w:rsid w:val="00803E10"/>
    <w:rsid w:val="00803F11"/>
    <w:rsid w:val="008043D6"/>
    <w:rsid w:val="00804814"/>
    <w:rsid w:val="00804CF8"/>
    <w:rsid w:val="00804D27"/>
    <w:rsid w:val="00805017"/>
    <w:rsid w:val="0080534B"/>
    <w:rsid w:val="00805674"/>
    <w:rsid w:val="00805752"/>
    <w:rsid w:val="0080578F"/>
    <w:rsid w:val="00805D30"/>
    <w:rsid w:val="00805F9D"/>
    <w:rsid w:val="00806853"/>
    <w:rsid w:val="00806BA7"/>
    <w:rsid w:val="00806DD3"/>
    <w:rsid w:val="00806E55"/>
    <w:rsid w:val="00807BD9"/>
    <w:rsid w:val="00807EBD"/>
    <w:rsid w:val="008101AA"/>
    <w:rsid w:val="008105B3"/>
    <w:rsid w:val="008106AD"/>
    <w:rsid w:val="008106BD"/>
    <w:rsid w:val="00810736"/>
    <w:rsid w:val="00810817"/>
    <w:rsid w:val="0081095B"/>
    <w:rsid w:val="00811353"/>
    <w:rsid w:val="00811A0D"/>
    <w:rsid w:val="00811DD4"/>
    <w:rsid w:val="00811FA6"/>
    <w:rsid w:val="00812C1E"/>
    <w:rsid w:val="008134D1"/>
    <w:rsid w:val="00813597"/>
    <w:rsid w:val="00813753"/>
    <w:rsid w:val="00813AA0"/>
    <w:rsid w:val="008141A2"/>
    <w:rsid w:val="008141D3"/>
    <w:rsid w:val="00814662"/>
    <w:rsid w:val="0081467B"/>
    <w:rsid w:val="008147DC"/>
    <w:rsid w:val="00814942"/>
    <w:rsid w:val="008152BD"/>
    <w:rsid w:val="008153D4"/>
    <w:rsid w:val="0081543A"/>
    <w:rsid w:val="008155B4"/>
    <w:rsid w:val="008159A4"/>
    <w:rsid w:val="00815BC9"/>
    <w:rsid w:val="00815D34"/>
    <w:rsid w:val="00815FA2"/>
    <w:rsid w:val="008161DC"/>
    <w:rsid w:val="00816656"/>
    <w:rsid w:val="008168E1"/>
    <w:rsid w:val="00816CBE"/>
    <w:rsid w:val="00816E79"/>
    <w:rsid w:val="00817555"/>
    <w:rsid w:val="00817A07"/>
    <w:rsid w:val="00817AE9"/>
    <w:rsid w:val="00817EA6"/>
    <w:rsid w:val="00817F67"/>
    <w:rsid w:val="00820714"/>
    <w:rsid w:val="008208D6"/>
    <w:rsid w:val="00820B89"/>
    <w:rsid w:val="00820D2D"/>
    <w:rsid w:val="00820F29"/>
    <w:rsid w:val="00821303"/>
    <w:rsid w:val="0082133A"/>
    <w:rsid w:val="0082162A"/>
    <w:rsid w:val="00821E0A"/>
    <w:rsid w:val="008220AB"/>
    <w:rsid w:val="00822A4E"/>
    <w:rsid w:val="008230BB"/>
    <w:rsid w:val="008234C6"/>
    <w:rsid w:val="00823761"/>
    <w:rsid w:val="00823783"/>
    <w:rsid w:val="00823B15"/>
    <w:rsid w:val="00823BBA"/>
    <w:rsid w:val="0082417A"/>
    <w:rsid w:val="00824228"/>
    <w:rsid w:val="0082438A"/>
    <w:rsid w:val="00824AB3"/>
    <w:rsid w:val="00824C52"/>
    <w:rsid w:val="00824DD4"/>
    <w:rsid w:val="00824E9C"/>
    <w:rsid w:val="00824FEE"/>
    <w:rsid w:val="008251A6"/>
    <w:rsid w:val="00825276"/>
    <w:rsid w:val="008258F6"/>
    <w:rsid w:val="00825E08"/>
    <w:rsid w:val="00825EF0"/>
    <w:rsid w:val="00826056"/>
    <w:rsid w:val="008261A8"/>
    <w:rsid w:val="00826632"/>
    <w:rsid w:val="00826708"/>
    <w:rsid w:val="00826A07"/>
    <w:rsid w:val="008270EF"/>
    <w:rsid w:val="008274AE"/>
    <w:rsid w:val="00827E8A"/>
    <w:rsid w:val="00827F49"/>
    <w:rsid w:val="008301B4"/>
    <w:rsid w:val="00830853"/>
    <w:rsid w:val="00830C13"/>
    <w:rsid w:val="00830CD2"/>
    <w:rsid w:val="008311F6"/>
    <w:rsid w:val="00831269"/>
    <w:rsid w:val="00831764"/>
    <w:rsid w:val="008319F8"/>
    <w:rsid w:val="00831E5A"/>
    <w:rsid w:val="0083227A"/>
    <w:rsid w:val="00832441"/>
    <w:rsid w:val="00832524"/>
    <w:rsid w:val="0083272B"/>
    <w:rsid w:val="008328A6"/>
    <w:rsid w:val="0083291B"/>
    <w:rsid w:val="0083355B"/>
    <w:rsid w:val="00833A51"/>
    <w:rsid w:val="00833D2C"/>
    <w:rsid w:val="00833E30"/>
    <w:rsid w:val="00834522"/>
    <w:rsid w:val="00834682"/>
    <w:rsid w:val="0083563D"/>
    <w:rsid w:val="008357B2"/>
    <w:rsid w:val="00835B1C"/>
    <w:rsid w:val="00835CDB"/>
    <w:rsid w:val="00835E45"/>
    <w:rsid w:val="00835FA3"/>
    <w:rsid w:val="008365E3"/>
    <w:rsid w:val="0083696E"/>
    <w:rsid w:val="00837425"/>
    <w:rsid w:val="00837C73"/>
    <w:rsid w:val="00837C9F"/>
    <w:rsid w:val="00840117"/>
    <w:rsid w:val="00841524"/>
    <w:rsid w:val="0084156B"/>
    <w:rsid w:val="008416C8"/>
    <w:rsid w:val="008418BE"/>
    <w:rsid w:val="0084190E"/>
    <w:rsid w:val="0084196E"/>
    <w:rsid w:val="0084201A"/>
    <w:rsid w:val="00842022"/>
    <w:rsid w:val="008426BB"/>
    <w:rsid w:val="00842DAA"/>
    <w:rsid w:val="008432A5"/>
    <w:rsid w:val="008432EA"/>
    <w:rsid w:val="008433EE"/>
    <w:rsid w:val="008435F5"/>
    <w:rsid w:val="00843B1E"/>
    <w:rsid w:val="00843BB7"/>
    <w:rsid w:val="00843C83"/>
    <w:rsid w:val="00844327"/>
    <w:rsid w:val="008443A8"/>
    <w:rsid w:val="00844514"/>
    <w:rsid w:val="008445AE"/>
    <w:rsid w:val="00844B85"/>
    <w:rsid w:val="00844C06"/>
    <w:rsid w:val="00845596"/>
    <w:rsid w:val="0084559E"/>
    <w:rsid w:val="0084593F"/>
    <w:rsid w:val="00845AA0"/>
    <w:rsid w:val="00845C3C"/>
    <w:rsid w:val="00845CAC"/>
    <w:rsid w:val="00845F77"/>
    <w:rsid w:val="00846556"/>
    <w:rsid w:val="00846791"/>
    <w:rsid w:val="00846ECC"/>
    <w:rsid w:val="008471A5"/>
    <w:rsid w:val="008476F2"/>
    <w:rsid w:val="008476FA"/>
    <w:rsid w:val="00847E54"/>
    <w:rsid w:val="00850072"/>
    <w:rsid w:val="008504C4"/>
    <w:rsid w:val="0085067D"/>
    <w:rsid w:val="00850848"/>
    <w:rsid w:val="00850F08"/>
    <w:rsid w:val="00851825"/>
    <w:rsid w:val="00851C32"/>
    <w:rsid w:val="00851E56"/>
    <w:rsid w:val="008524A5"/>
    <w:rsid w:val="008525BE"/>
    <w:rsid w:val="0085293A"/>
    <w:rsid w:val="00852C7F"/>
    <w:rsid w:val="00852E49"/>
    <w:rsid w:val="00853571"/>
    <w:rsid w:val="00853766"/>
    <w:rsid w:val="008539A3"/>
    <w:rsid w:val="00853A30"/>
    <w:rsid w:val="00853C64"/>
    <w:rsid w:val="00853EEC"/>
    <w:rsid w:val="008541CD"/>
    <w:rsid w:val="00854318"/>
    <w:rsid w:val="00854FFB"/>
    <w:rsid w:val="0085502B"/>
    <w:rsid w:val="0085572A"/>
    <w:rsid w:val="00855B90"/>
    <w:rsid w:val="00855C28"/>
    <w:rsid w:val="00855E0B"/>
    <w:rsid w:val="008560FB"/>
    <w:rsid w:val="0085615C"/>
    <w:rsid w:val="0085635D"/>
    <w:rsid w:val="0085687C"/>
    <w:rsid w:val="00856AAD"/>
    <w:rsid w:val="00856B71"/>
    <w:rsid w:val="00856C7D"/>
    <w:rsid w:val="008572EF"/>
    <w:rsid w:val="00857EC5"/>
    <w:rsid w:val="00857F51"/>
    <w:rsid w:val="008601A6"/>
    <w:rsid w:val="008602EA"/>
    <w:rsid w:val="008608FE"/>
    <w:rsid w:val="008609AE"/>
    <w:rsid w:val="00860B14"/>
    <w:rsid w:val="00860F90"/>
    <w:rsid w:val="00861520"/>
    <w:rsid w:val="008617D6"/>
    <w:rsid w:val="00861D5B"/>
    <w:rsid w:val="0086290E"/>
    <w:rsid w:val="00862C11"/>
    <w:rsid w:val="00862C28"/>
    <w:rsid w:val="00862E6C"/>
    <w:rsid w:val="0086314C"/>
    <w:rsid w:val="00863298"/>
    <w:rsid w:val="008633EB"/>
    <w:rsid w:val="00863882"/>
    <w:rsid w:val="00863CF4"/>
    <w:rsid w:val="00864217"/>
    <w:rsid w:val="00864389"/>
    <w:rsid w:val="0086487F"/>
    <w:rsid w:val="0086495C"/>
    <w:rsid w:val="00864A78"/>
    <w:rsid w:val="00864C1F"/>
    <w:rsid w:val="00864F74"/>
    <w:rsid w:val="008651DA"/>
    <w:rsid w:val="00865393"/>
    <w:rsid w:val="008653C7"/>
    <w:rsid w:val="008655DD"/>
    <w:rsid w:val="00865ECF"/>
    <w:rsid w:val="00866219"/>
    <w:rsid w:val="00866221"/>
    <w:rsid w:val="00866509"/>
    <w:rsid w:val="008666D7"/>
    <w:rsid w:val="00866941"/>
    <w:rsid w:val="00866983"/>
    <w:rsid w:val="00866F88"/>
    <w:rsid w:val="008677E3"/>
    <w:rsid w:val="008678D0"/>
    <w:rsid w:val="008678ED"/>
    <w:rsid w:val="00867A63"/>
    <w:rsid w:val="00867F38"/>
    <w:rsid w:val="008706CA"/>
    <w:rsid w:val="00870B2A"/>
    <w:rsid w:val="0087177F"/>
    <w:rsid w:val="00871883"/>
    <w:rsid w:val="008719B9"/>
    <w:rsid w:val="00871DC4"/>
    <w:rsid w:val="008720E1"/>
    <w:rsid w:val="008721CC"/>
    <w:rsid w:val="008723B2"/>
    <w:rsid w:val="0087269B"/>
    <w:rsid w:val="00872AB5"/>
    <w:rsid w:val="008732BE"/>
    <w:rsid w:val="00873948"/>
    <w:rsid w:val="00873BC3"/>
    <w:rsid w:val="00874091"/>
    <w:rsid w:val="008747E7"/>
    <w:rsid w:val="00874833"/>
    <w:rsid w:val="0087489C"/>
    <w:rsid w:val="00874968"/>
    <w:rsid w:val="00874C3A"/>
    <w:rsid w:val="00874CED"/>
    <w:rsid w:val="00874E3B"/>
    <w:rsid w:val="00874F5A"/>
    <w:rsid w:val="00875C18"/>
    <w:rsid w:val="00875F50"/>
    <w:rsid w:val="00875FAE"/>
    <w:rsid w:val="00876B3E"/>
    <w:rsid w:val="00876DEC"/>
    <w:rsid w:val="008773AF"/>
    <w:rsid w:val="00877461"/>
    <w:rsid w:val="008778A7"/>
    <w:rsid w:val="00877CD4"/>
    <w:rsid w:val="008809C8"/>
    <w:rsid w:val="008817AC"/>
    <w:rsid w:val="00882993"/>
    <w:rsid w:val="008829EA"/>
    <w:rsid w:val="008830D4"/>
    <w:rsid w:val="0088378F"/>
    <w:rsid w:val="0088381D"/>
    <w:rsid w:val="00883A85"/>
    <w:rsid w:val="00884168"/>
    <w:rsid w:val="008843F6"/>
    <w:rsid w:val="00884540"/>
    <w:rsid w:val="0088480C"/>
    <w:rsid w:val="0088492F"/>
    <w:rsid w:val="0088505D"/>
    <w:rsid w:val="00885626"/>
    <w:rsid w:val="008857D7"/>
    <w:rsid w:val="008858C2"/>
    <w:rsid w:val="0088591F"/>
    <w:rsid w:val="008859DA"/>
    <w:rsid w:val="00885B9B"/>
    <w:rsid w:val="00885D0B"/>
    <w:rsid w:val="00885E32"/>
    <w:rsid w:val="00885EA0"/>
    <w:rsid w:val="008863C9"/>
    <w:rsid w:val="00886AD6"/>
    <w:rsid w:val="00886BAB"/>
    <w:rsid w:val="0088762A"/>
    <w:rsid w:val="00887C7D"/>
    <w:rsid w:val="00887D41"/>
    <w:rsid w:val="00887E87"/>
    <w:rsid w:val="00890316"/>
    <w:rsid w:val="00890325"/>
    <w:rsid w:val="008906A3"/>
    <w:rsid w:val="00890766"/>
    <w:rsid w:val="00890D37"/>
    <w:rsid w:val="00890EC3"/>
    <w:rsid w:val="00890F01"/>
    <w:rsid w:val="00890F52"/>
    <w:rsid w:val="00890F81"/>
    <w:rsid w:val="00890FD5"/>
    <w:rsid w:val="008910C3"/>
    <w:rsid w:val="008910ED"/>
    <w:rsid w:val="00891168"/>
    <w:rsid w:val="0089131E"/>
    <w:rsid w:val="0089141E"/>
    <w:rsid w:val="008914A1"/>
    <w:rsid w:val="00891F56"/>
    <w:rsid w:val="008922C5"/>
    <w:rsid w:val="0089235D"/>
    <w:rsid w:val="008932EB"/>
    <w:rsid w:val="00893476"/>
    <w:rsid w:val="00893A72"/>
    <w:rsid w:val="00893C31"/>
    <w:rsid w:val="00893C6D"/>
    <w:rsid w:val="00893D09"/>
    <w:rsid w:val="008946D3"/>
    <w:rsid w:val="00894836"/>
    <w:rsid w:val="008948C6"/>
    <w:rsid w:val="00894A88"/>
    <w:rsid w:val="00894C19"/>
    <w:rsid w:val="00894DDF"/>
    <w:rsid w:val="00895244"/>
    <w:rsid w:val="00895363"/>
    <w:rsid w:val="008953BF"/>
    <w:rsid w:val="008956F8"/>
    <w:rsid w:val="00896246"/>
    <w:rsid w:val="00896511"/>
    <w:rsid w:val="00896881"/>
    <w:rsid w:val="00896B88"/>
    <w:rsid w:val="00896BDB"/>
    <w:rsid w:val="00896DBD"/>
    <w:rsid w:val="00896F45"/>
    <w:rsid w:val="00896FF9"/>
    <w:rsid w:val="00897071"/>
    <w:rsid w:val="008970FC"/>
    <w:rsid w:val="00897342"/>
    <w:rsid w:val="0089779D"/>
    <w:rsid w:val="008977AE"/>
    <w:rsid w:val="0089781E"/>
    <w:rsid w:val="00897899"/>
    <w:rsid w:val="008A02AB"/>
    <w:rsid w:val="008A0443"/>
    <w:rsid w:val="008A058B"/>
    <w:rsid w:val="008A0684"/>
    <w:rsid w:val="008A0692"/>
    <w:rsid w:val="008A0A8D"/>
    <w:rsid w:val="008A0C12"/>
    <w:rsid w:val="008A16AE"/>
    <w:rsid w:val="008A1AFA"/>
    <w:rsid w:val="008A1E15"/>
    <w:rsid w:val="008A1E68"/>
    <w:rsid w:val="008A1EBD"/>
    <w:rsid w:val="008A1EE0"/>
    <w:rsid w:val="008A21BA"/>
    <w:rsid w:val="008A21F3"/>
    <w:rsid w:val="008A22CB"/>
    <w:rsid w:val="008A26E2"/>
    <w:rsid w:val="008A28EB"/>
    <w:rsid w:val="008A2B41"/>
    <w:rsid w:val="008A3151"/>
    <w:rsid w:val="008A345A"/>
    <w:rsid w:val="008A38F9"/>
    <w:rsid w:val="008A3CC1"/>
    <w:rsid w:val="008A42A6"/>
    <w:rsid w:val="008A477B"/>
    <w:rsid w:val="008A4D4F"/>
    <w:rsid w:val="008A4D8F"/>
    <w:rsid w:val="008A4EBC"/>
    <w:rsid w:val="008A5426"/>
    <w:rsid w:val="008A5789"/>
    <w:rsid w:val="008A580A"/>
    <w:rsid w:val="008A582D"/>
    <w:rsid w:val="008A5A5F"/>
    <w:rsid w:val="008A5B21"/>
    <w:rsid w:val="008A5C6C"/>
    <w:rsid w:val="008A5EEE"/>
    <w:rsid w:val="008A61DA"/>
    <w:rsid w:val="008A62E3"/>
    <w:rsid w:val="008A63A2"/>
    <w:rsid w:val="008A677B"/>
    <w:rsid w:val="008A69A3"/>
    <w:rsid w:val="008A6AFD"/>
    <w:rsid w:val="008A6E3C"/>
    <w:rsid w:val="008A7291"/>
    <w:rsid w:val="008A75DF"/>
    <w:rsid w:val="008A7EF1"/>
    <w:rsid w:val="008B0223"/>
    <w:rsid w:val="008B0697"/>
    <w:rsid w:val="008B08F1"/>
    <w:rsid w:val="008B0FE9"/>
    <w:rsid w:val="008B1003"/>
    <w:rsid w:val="008B107E"/>
    <w:rsid w:val="008B1157"/>
    <w:rsid w:val="008B1E84"/>
    <w:rsid w:val="008B1FDB"/>
    <w:rsid w:val="008B241A"/>
    <w:rsid w:val="008B3000"/>
    <w:rsid w:val="008B31B9"/>
    <w:rsid w:val="008B332C"/>
    <w:rsid w:val="008B3B0A"/>
    <w:rsid w:val="008B3BFC"/>
    <w:rsid w:val="008B3EA0"/>
    <w:rsid w:val="008B44F6"/>
    <w:rsid w:val="008B4588"/>
    <w:rsid w:val="008B47C2"/>
    <w:rsid w:val="008B492B"/>
    <w:rsid w:val="008B4A3C"/>
    <w:rsid w:val="008B4AB2"/>
    <w:rsid w:val="008B4BA9"/>
    <w:rsid w:val="008B4EFD"/>
    <w:rsid w:val="008B520B"/>
    <w:rsid w:val="008B52EE"/>
    <w:rsid w:val="008B5557"/>
    <w:rsid w:val="008B5812"/>
    <w:rsid w:val="008B5DF9"/>
    <w:rsid w:val="008B6029"/>
    <w:rsid w:val="008B6288"/>
    <w:rsid w:val="008B62FF"/>
    <w:rsid w:val="008B6535"/>
    <w:rsid w:val="008B691D"/>
    <w:rsid w:val="008B6D2E"/>
    <w:rsid w:val="008B6E92"/>
    <w:rsid w:val="008B6FD8"/>
    <w:rsid w:val="008B7136"/>
    <w:rsid w:val="008B749F"/>
    <w:rsid w:val="008B7632"/>
    <w:rsid w:val="008B79B9"/>
    <w:rsid w:val="008B7FDB"/>
    <w:rsid w:val="008C0617"/>
    <w:rsid w:val="008C077E"/>
    <w:rsid w:val="008C09F8"/>
    <w:rsid w:val="008C131E"/>
    <w:rsid w:val="008C141D"/>
    <w:rsid w:val="008C1C38"/>
    <w:rsid w:val="008C22D0"/>
    <w:rsid w:val="008C2726"/>
    <w:rsid w:val="008C29AA"/>
    <w:rsid w:val="008C2CD6"/>
    <w:rsid w:val="008C3137"/>
    <w:rsid w:val="008C31A9"/>
    <w:rsid w:val="008C31CF"/>
    <w:rsid w:val="008C370D"/>
    <w:rsid w:val="008C3A9E"/>
    <w:rsid w:val="008C3BD0"/>
    <w:rsid w:val="008C4688"/>
    <w:rsid w:val="008C4EAE"/>
    <w:rsid w:val="008C5D76"/>
    <w:rsid w:val="008C5F9D"/>
    <w:rsid w:val="008C6568"/>
    <w:rsid w:val="008C6631"/>
    <w:rsid w:val="008C66D4"/>
    <w:rsid w:val="008C686E"/>
    <w:rsid w:val="008C6E98"/>
    <w:rsid w:val="008C73BC"/>
    <w:rsid w:val="008C73F3"/>
    <w:rsid w:val="008C75AC"/>
    <w:rsid w:val="008C75FE"/>
    <w:rsid w:val="008C7897"/>
    <w:rsid w:val="008D06DA"/>
    <w:rsid w:val="008D0A16"/>
    <w:rsid w:val="008D0B61"/>
    <w:rsid w:val="008D0CB8"/>
    <w:rsid w:val="008D1659"/>
    <w:rsid w:val="008D1CE4"/>
    <w:rsid w:val="008D1EB6"/>
    <w:rsid w:val="008D24AE"/>
    <w:rsid w:val="008D27D1"/>
    <w:rsid w:val="008D29E4"/>
    <w:rsid w:val="008D2E21"/>
    <w:rsid w:val="008D319D"/>
    <w:rsid w:val="008D32AC"/>
    <w:rsid w:val="008D33FE"/>
    <w:rsid w:val="008D3654"/>
    <w:rsid w:val="008D38B5"/>
    <w:rsid w:val="008D41ED"/>
    <w:rsid w:val="008D4767"/>
    <w:rsid w:val="008D4A05"/>
    <w:rsid w:val="008D4B30"/>
    <w:rsid w:val="008D4E5A"/>
    <w:rsid w:val="008D4F06"/>
    <w:rsid w:val="008D4F3F"/>
    <w:rsid w:val="008D5379"/>
    <w:rsid w:val="008D54C7"/>
    <w:rsid w:val="008D569E"/>
    <w:rsid w:val="008D5972"/>
    <w:rsid w:val="008D5C78"/>
    <w:rsid w:val="008D5F76"/>
    <w:rsid w:val="008D6072"/>
    <w:rsid w:val="008D60D1"/>
    <w:rsid w:val="008D6173"/>
    <w:rsid w:val="008D672A"/>
    <w:rsid w:val="008D6D3B"/>
    <w:rsid w:val="008D6FC0"/>
    <w:rsid w:val="008D7D2E"/>
    <w:rsid w:val="008D7D48"/>
    <w:rsid w:val="008D7EDA"/>
    <w:rsid w:val="008D7F87"/>
    <w:rsid w:val="008E0116"/>
    <w:rsid w:val="008E0909"/>
    <w:rsid w:val="008E1483"/>
    <w:rsid w:val="008E16DC"/>
    <w:rsid w:val="008E176C"/>
    <w:rsid w:val="008E1893"/>
    <w:rsid w:val="008E18C5"/>
    <w:rsid w:val="008E1ECC"/>
    <w:rsid w:val="008E1EDD"/>
    <w:rsid w:val="008E2130"/>
    <w:rsid w:val="008E22D3"/>
    <w:rsid w:val="008E2568"/>
    <w:rsid w:val="008E2934"/>
    <w:rsid w:val="008E2990"/>
    <w:rsid w:val="008E2E5B"/>
    <w:rsid w:val="008E30AB"/>
    <w:rsid w:val="008E3203"/>
    <w:rsid w:val="008E32ED"/>
    <w:rsid w:val="008E3900"/>
    <w:rsid w:val="008E39DF"/>
    <w:rsid w:val="008E3A6A"/>
    <w:rsid w:val="008E4173"/>
    <w:rsid w:val="008E4503"/>
    <w:rsid w:val="008E4639"/>
    <w:rsid w:val="008E4B11"/>
    <w:rsid w:val="008E510D"/>
    <w:rsid w:val="008E5280"/>
    <w:rsid w:val="008E56D8"/>
    <w:rsid w:val="008E5BB5"/>
    <w:rsid w:val="008E5C91"/>
    <w:rsid w:val="008E5EBC"/>
    <w:rsid w:val="008E66D1"/>
    <w:rsid w:val="008E6F07"/>
    <w:rsid w:val="008E6F13"/>
    <w:rsid w:val="008E722B"/>
    <w:rsid w:val="008E759C"/>
    <w:rsid w:val="008E76DB"/>
    <w:rsid w:val="008E773E"/>
    <w:rsid w:val="008E7B6D"/>
    <w:rsid w:val="008E7B86"/>
    <w:rsid w:val="008E7C42"/>
    <w:rsid w:val="008E7DDD"/>
    <w:rsid w:val="008E7F12"/>
    <w:rsid w:val="008F04DA"/>
    <w:rsid w:val="008F0564"/>
    <w:rsid w:val="008F0B54"/>
    <w:rsid w:val="008F0D31"/>
    <w:rsid w:val="008F0ECD"/>
    <w:rsid w:val="008F1097"/>
    <w:rsid w:val="008F1D00"/>
    <w:rsid w:val="008F209A"/>
    <w:rsid w:val="008F2192"/>
    <w:rsid w:val="008F272A"/>
    <w:rsid w:val="008F2A0E"/>
    <w:rsid w:val="008F2A3D"/>
    <w:rsid w:val="008F2C27"/>
    <w:rsid w:val="008F2D3C"/>
    <w:rsid w:val="008F2D71"/>
    <w:rsid w:val="008F2DC2"/>
    <w:rsid w:val="008F2E26"/>
    <w:rsid w:val="008F2F01"/>
    <w:rsid w:val="008F320F"/>
    <w:rsid w:val="008F3223"/>
    <w:rsid w:val="008F3838"/>
    <w:rsid w:val="008F38DA"/>
    <w:rsid w:val="008F39C9"/>
    <w:rsid w:val="008F3B82"/>
    <w:rsid w:val="008F460D"/>
    <w:rsid w:val="008F50A2"/>
    <w:rsid w:val="008F554E"/>
    <w:rsid w:val="008F5791"/>
    <w:rsid w:val="008F588E"/>
    <w:rsid w:val="008F58CF"/>
    <w:rsid w:val="008F5CA9"/>
    <w:rsid w:val="008F5E02"/>
    <w:rsid w:val="008F633D"/>
    <w:rsid w:val="008F63A2"/>
    <w:rsid w:val="008F6814"/>
    <w:rsid w:val="008F6991"/>
    <w:rsid w:val="008F7020"/>
    <w:rsid w:val="008F7156"/>
    <w:rsid w:val="008F7563"/>
    <w:rsid w:val="008F77B0"/>
    <w:rsid w:val="008F79E3"/>
    <w:rsid w:val="008F7A1A"/>
    <w:rsid w:val="008F7BA7"/>
    <w:rsid w:val="008F7C13"/>
    <w:rsid w:val="008F7C86"/>
    <w:rsid w:val="009007C5"/>
    <w:rsid w:val="00900841"/>
    <w:rsid w:val="00900C92"/>
    <w:rsid w:val="00901231"/>
    <w:rsid w:val="009014FC"/>
    <w:rsid w:val="0090163A"/>
    <w:rsid w:val="009017A6"/>
    <w:rsid w:val="00901804"/>
    <w:rsid w:val="00901C7E"/>
    <w:rsid w:val="00901D8F"/>
    <w:rsid w:val="009022E4"/>
    <w:rsid w:val="009023DD"/>
    <w:rsid w:val="00902427"/>
    <w:rsid w:val="009024E5"/>
    <w:rsid w:val="009025D9"/>
    <w:rsid w:val="009029CC"/>
    <w:rsid w:val="00902A29"/>
    <w:rsid w:val="00903306"/>
    <w:rsid w:val="00903864"/>
    <w:rsid w:val="009038BC"/>
    <w:rsid w:val="00903B16"/>
    <w:rsid w:val="00903B27"/>
    <w:rsid w:val="00903CE9"/>
    <w:rsid w:val="00903D14"/>
    <w:rsid w:val="00903F5E"/>
    <w:rsid w:val="009041DB"/>
    <w:rsid w:val="009042F0"/>
    <w:rsid w:val="0090471D"/>
    <w:rsid w:val="00904D10"/>
    <w:rsid w:val="00904E74"/>
    <w:rsid w:val="009054DA"/>
    <w:rsid w:val="009056A9"/>
    <w:rsid w:val="00905972"/>
    <w:rsid w:val="00905A7B"/>
    <w:rsid w:val="00905D06"/>
    <w:rsid w:val="009067CE"/>
    <w:rsid w:val="00906C1A"/>
    <w:rsid w:val="00906C6E"/>
    <w:rsid w:val="0090700D"/>
    <w:rsid w:val="0090793D"/>
    <w:rsid w:val="00907A20"/>
    <w:rsid w:val="00907E3E"/>
    <w:rsid w:val="00910038"/>
    <w:rsid w:val="0091053B"/>
    <w:rsid w:val="00910892"/>
    <w:rsid w:val="00910897"/>
    <w:rsid w:val="00910943"/>
    <w:rsid w:val="00911232"/>
    <w:rsid w:val="009115D7"/>
    <w:rsid w:val="0091186D"/>
    <w:rsid w:val="00911AEC"/>
    <w:rsid w:val="00911E96"/>
    <w:rsid w:val="00911EC9"/>
    <w:rsid w:val="00912300"/>
    <w:rsid w:val="009124D1"/>
    <w:rsid w:val="009128C9"/>
    <w:rsid w:val="009128CF"/>
    <w:rsid w:val="00912BA3"/>
    <w:rsid w:val="00912EF1"/>
    <w:rsid w:val="00913481"/>
    <w:rsid w:val="00913894"/>
    <w:rsid w:val="00913DC3"/>
    <w:rsid w:val="009141E3"/>
    <w:rsid w:val="0091498A"/>
    <w:rsid w:val="00914B5F"/>
    <w:rsid w:val="00914E0B"/>
    <w:rsid w:val="00914EFB"/>
    <w:rsid w:val="009153B9"/>
    <w:rsid w:val="00915593"/>
    <w:rsid w:val="00915767"/>
    <w:rsid w:val="00915AF6"/>
    <w:rsid w:val="009160BA"/>
    <w:rsid w:val="009161B1"/>
    <w:rsid w:val="009163A4"/>
    <w:rsid w:val="00916709"/>
    <w:rsid w:val="00916717"/>
    <w:rsid w:val="00916A70"/>
    <w:rsid w:val="00916B6F"/>
    <w:rsid w:val="00916E1D"/>
    <w:rsid w:val="00916FDD"/>
    <w:rsid w:val="00917101"/>
    <w:rsid w:val="0091719C"/>
    <w:rsid w:val="0091772D"/>
    <w:rsid w:val="0091792D"/>
    <w:rsid w:val="00917D4F"/>
    <w:rsid w:val="00917DC6"/>
    <w:rsid w:val="0092043B"/>
    <w:rsid w:val="009207B7"/>
    <w:rsid w:val="009208F7"/>
    <w:rsid w:val="00920D50"/>
    <w:rsid w:val="009210E5"/>
    <w:rsid w:val="009210F2"/>
    <w:rsid w:val="00921336"/>
    <w:rsid w:val="009214B1"/>
    <w:rsid w:val="00921E1E"/>
    <w:rsid w:val="009220BD"/>
    <w:rsid w:val="0092234A"/>
    <w:rsid w:val="009224CE"/>
    <w:rsid w:val="009226A1"/>
    <w:rsid w:val="009226AD"/>
    <w:rsid w:val="00922A20"/>
    <w:rsid w:val="00922B3A"/>
    <w:rsid w:val="00922C33"/>
    <w:rsid w:val="00922C8E"/>
    <w:rsid w:val="00922F6B"/>
    <w:rsid w:val="00922FB9"/>
    <w:rsid w:val="009230B2"/>
    <w:rsid w:val="009230C1"/>
    <w:rsid w:val="00923194"/>
    <w:rsid w:val="009235B1"/>
    <w:rsid w:val="0092367F"/>
    <w:rsid w:val="00923B61"/>
    <w:rsid w:val="00923C01"/>
    <w:rsid w:val="00923CE5"/>
    <w:rsid w:val="00923CF2"/>
    <w:rsid w:val="00924036"/>
    <w:rsid w:val="00924AC6"/>
    <w:rsid w:val="00924CB6"/>
    <w:rsid w:val="00924E29"/>
    <w:rsid w:val="00925192"/>
    <w:rsid w:val="00925741"/>
    <w:rsid w:val="00925907"/>
    <w:rsid w:val="00925952"/>
    <w:rsid w:val="00925DBE"/>
    <w:rsid w:val="00925E5D"/>
    <w:rsid w:val="00926263"/>
    <w:rsid w:val="00926A73"/>
    <w:rsid w:val="00926A7C"/>
    <w:rsid w:val="00926F3D"/>
    <w:rsid w:val="0092747A"/>
    <w:rsid w:val="009277C5"/>
    <w:rsid w:val="00927812"/>
    <w:rsid w:val="009279C5"/>
    <w:rsid w:val="00927ECF"/>
    <w:rsid w:val="00927FD9"/>
    <w:rsid w:val="00930524"/>
    <w:rsid w:val="00930557"/>
    <w:rsid w:val="00930721"/>
    <w:rsid w:val="009307BB"/>
    <w:rsid w:val="00930DB8"/>
    <w:rsid w:val="00930DFC"/>
    <w:rsid w:val="00931369"/>
    <w:rsid w:val="00931A3F"/>
    <w:rsid w:val="00931A6A"/>
    <w:rsid w:val="00931AEB"/>
    <w:rsid w:val="00931D86"/>
    <w:rsid w:val="00931FC2"/>
    <w:rsid w:val="009320B0"/>
    <w:rsid w:val="0093246D"/>
    <w:rsid w:val="009327F3"/>
    <w:rsid w:val="00932889"/>
    <w:rsid w:val="00932B17"/>
    <w:rsid w:val="00932CEC"/>
    <w:rsid w:val="00932DAE"/>
    <w:rsid w:val="00932E39"/>
    <w:rsid w:val="00933190"/>
    <w:rsid w:val="0093322B"/>
    <w:rsid w:val="00933BE4"/>
    <w:rsid w:val="00934275"/>
    <w:rsid w:val="009342B9"/>
    <w:rsid w:val="00934622"/>
    <w:rsid w:val="00934832"/>
    <w:rsid w:val="00934B1A"/>
    <w:rsid w:val="00934B59"/>
    <w:rsid w:val="00934C4F"/>
    <w:rsid w:val="00934DC6"/>
    <w:rsid w:val="00934F58"/>
    <w:rsid w:val="009354AF"/>
    <w:rsid w:val="009355B5"/>
    <w:rsid w:val="009355B7"/>
    <w:rsid w:val="00935622"/>
    <w:rsid w:val="0093563F"/>
    <w:rsid w:val="00935C9F"/>
    <w:rsid w:val="00935E1C"/>
    <w:rsid w:val="00935ECE"/>
    <w:rsid w:val="00935F62"/>
    <w:rsid w:val="00936005"/>
    <w:rsid w:val="009360AF"/>
    <w:rsid w:val="00936276"/>
    <w:rsid w:val="009368CF"/>
    <w:rsid w:val="009368EB"/>
    <w:rsid w:val="00937008"/>
    <w:rsid w:val="00937093"/>
    <w:rsid w:val="009370A5"/>
    <w:rsid w:val="0093764B"/>
    <w:rsid w:val="009376D2"/>
    <w:rsid w:val="00937C90"/>
    <w:rsid w:val="00940D52"/>
    <w:rsid w:val="00940E70"/>
    <w:rsid w:val="00941376"/>
    <w:rsid w:val="0094140A"/>
    <w:rsid w:val="00941603"/>
    <w:rsid w:val="009417A3"/>
    <w:rsid w:val="00941971"/>
    <w:rsid w:val="0094199E"/>
    <w:rsid w:val="00941EEA"/>
    <w:rsid w:val="00941F4F"/>
    <w:rsid w:val="0094218E"/>
    <w:rsid w:val="009422D4"/>
    <w:rsid w:val="00942667"/>
    <w:rsid w:val="00942671"/>
    <w:rsid w:val="00943119"/>
    <w:rsid w:val="0094316A"/>
    <w:rsid w:val="0094339B"/>
    <w:rsid w:val="009434D3"/>
    <w:rsid w:val="00943730"/>
    <w:rsid w:val="00943A57"/>
    <w:rsid w:val="009440A2"/>
    <w:rsid w:val="009444C8"/>
    <w:rsid w:val="00944A24"/>
    <w:rsid w:val="00944A41"/>
    <w:rsid w:val="00944A6B"/>
    <w:rsid w:val="00944F60"/>
    <w:rsid w:val="0094573B"/>
    <w:rsid w:val="00945903"/>
    <w:rsid w:val="00945915"/>
    <w:rsid w:val="00945BA4"/>
    <w:rsid w:val="00945BC7"/>
    <w:rsid w:val="00945BE8"/>
    <w:rsid w:val="00945C46"/>
    <w:rsid w:val="00945C6B"/>
    <w:rsid w:val="00946791"/>
    <w:rsid w:val="00946E41"/>
    <w:rsid w:val="009474A2"/>
    <w:rsid w:val="009474DA"/>
    <w:rsid w:val="00947521"/>
    <w:rsid w:val="00947BB1"/>
    <w:rsid w:val="00947D88"/>
    <w:rsid w:val="0095034A"/>
    <w:rsid w:val="009504F3"/>
    <w:rsid w:val="0095071D"/>
    <w:rsid w:val="00950819"/>
    <w:rsid w:val="0095084D"/>
    <w:rsid w:val="00950A7D"/>
    <w:rsid w:val="00950FA8"/>
    <w:rsid w:val="0095192D"/>
    <w:rsid w:val="009519AD"/>
    <w:rsid w:val="00951A57"/>
    <w:rsid w:val="00951D92"/>
    <w:rsid w:val="00952330"/>
    <w:rsid w:val="009527EE"/>
    <w:rsid w:val="00952938"/>
    <w:rsid w:val="009529D5"/>
    <w:rsid w:val="00952C20"/>
    <w:rsid w:val="00952CAE"/>
    <w:rsid w:val="00952EE6"/>
    <w:rsid w:val="0095303D"/>
    <w:rsid w:val="0095308C"/>
    <w:rsid w:val="0095320C"/>
    <w:rsid w:val="00953234"/>
    <w:rsid w:val="0095390D"/>
    <w:rsid w:val="0095395E"/>
    <w:rsid w:val="00953A3F"/>
    <w:rsid w:val="00953D7A"/>
    <w:rsid w:val="009542CB"/>
    <w:rsid w:val="009542DD"/>
    <w:rsid w:val="00954473"/>
    <w:rsid w:val="009545E1"/>
    <w:rsid w:val="00954A5B"/>
    <w:rsid w:val="00954AA1"/>
    <w:rsid w:val="00954C24"/>
    <w:rsid w:val="00954EAA"/>
    <w:rsid w:val="00954EDF"/>
    <w:rsid w:val="00954F3E"/>
    <w:rsid w:val="00954FBD"/>
    <w:rsid w:val="0095528B"/>
    <w:rsid w:val="009552D7"/>
    <w:rsid w:val="0095533E"/>
    <w:rsid w:val="00955761"/>
    <w:rsid w:val="00955933"/>
    <w:rsid w:val="00955A2D"/>
    <w:rsid w:val="00955F23"/>
    <w:rsid w:val="00956C78"/>
    <w:rsid w:val="00957045"/>
    <w:rsid w:val="00957169"/>
    <w:rsid w:val="00957426"/>
    <w:rsid w:val="00957BFB"/>
    <w:rsid w:val="00957E89"/>
    <w:rsid w:val="00960053"/>
    <w:rsid w:val="009603B0"/>
    <w:rsid w:val="0096059F"/>
    <w:rsid w:val="00960A0F"/>
    <w:rsid w:val="00960DB9"/>
    <w:rsid w:val="0096116F"/>
    <w:rsid w:val="0096185F"/>
    <w:rsid w:val="00961ADF"/>
    <w:rsid w:val="00961C6A"/>
    <w:rsid w:val="009625D3"/>
    <w:rsid w:val="00962A58"/>
    <w:rsid w:val="009639B1"/>
    <w:rsid w:val="00963D52"/>
    <w:rsid w:val="00963EEC"/>
    <w:rsid w:val="009640D2"/>
    <w:rsid w:val="00964191"/>
    <w:rsid w:val="00964410"/>
    <w:rsid w:val="00964440"/>
    <w:rsid w:val="00964D03"/>
    <w:rsid w:val="00964D20"/>
    <w:rsid w:val="00964EF2"/>
    <w:rsid w:val="00965262"/>
    <w:rsid w:val="009652D5"/>
    <w:rsid w:val="0096549D"/>
    <w:rsid w:val="00965E1A"/>
    <w:rsid w:val="00966881"/>
    <w:rsid w:val="00966C44"/>
    <w:rsid w:val="00967341"/>
    <w:rsid w:val="009677A7"/>
    <w:rsid w:val="00967A5E"/>
    <w:rsid w:val="00967B34"/>
    <w:rsid w:val="00967E9B"/>
    <w:rsid w:val="00970050"/>
    <w:rsid w:val="00970406"/>
    <w:rsid w:val="00970A61"/>
    <w:rsid w:val="00970DB4"/>
    <w:rsid w:val="00970DEB"/>
    <w:rsid w:val="00971629"/>
    <w:rsid w:val="00971971"/>
    <w:rsid w:val="00971C72"/>
    <w:rsid w:val="00971DAE"/>
    <w:rsid w:val="00971ED6"/>
    <w:rsid w:val="00972036"/>
    <w:rsid w:val="0097231A"/>
    <w:rsid w:val="009723FB"/>
    <w:rsid w:val="009727DF"/>
    <w:rsid w:val="00972E61"/>
    <w:rsid w:val="009730F9"/>
    <w:rsid w:val="00973178"/>
    <w:rsid w:val="00973233"/>
    <w:rsid w:val="00973665"/>
    <w:rsid w:val="00973B6F"/>
    <w:rsid w:val="009740A2"/>
    <w:rsid w:val="0097410D"/>
    <w:rsid w:val="0097431E"/>
    <w:rsid w:val="00974693"/>
    <w:rsid w:val="009748F2"/>
    <w:rsid w:val="00974980"/>
    <w:rsid w:val="00974AA7"/>
    <w:rsid w:val="00974CA6"/>
    <w:rsid w:val="009750DF"/>
    <w:rsid w:val="009755A5"/>
    <w:rsid w:val="00975A68"/>
    <w:rsid w:val="00975F4D"/>
    <w:rsid w:val="00976225"/>
    <w:rsid w:val="00976C0E"/>
    <w:rsid w:val="00976FE0"/>
    <w:rsid w:val="0097720A"/>
    <w:rsid w:val="00977778"/>
    <w:rsid w:val="009777A8"/>
    <w:rsid w:val="00977CF7"/>
    <w:rsid w:val="00977E39"/>
    <w:rsid w:val="00977F7F"/>
    <w:rsid w:val="009808A7"/>
    <w:rsid w:val="009808CC"/>
    <w:rsid w:val="0098130E"/>
    <w:rsid w:val="00981EC9"/>
    <w:rsid w:val="00982053"/>
    <w:rsid w:val="00982106"/>
    <w:rsid w:val="0098222F"/>
    <w:rsid w:val="009822AC"/>
    <w:rsid w:val="0098241D"/>
    <w:rsid w:val="00982727"/>
    <w:rsid w:val="009828A9"/>
    <w:rsid w:val="00982A8B"/>
    <w:rsid w:val="00982BA0"/>
    <w:rsid w:val="00982FB6"/>
    <w:rsid w:val="009832CC"/>
    <w:rsid w:val="009832DB"/>
    <w:rsid w:val="00983BA7"/>
    <w:rsid w:val="00983BD6"/>
    <w:rsid w:val="00984AE8"/>
    <w:rsid w:val="00984E7B"/>
    <w:rsid w:val="00984EBE"/>
    <w:rsid w:val="00985779"/>
    <w:rsid w:val="00985AD5"/>
    <w:rsid w:val="00985CB1"/>
    <w:rsid w:val="00985F17"/>
    <w:rsid w:val="009863EF"/>
    <w:rsid w:val="009866A2"/>
    <w:rsid w:val="00986A47"/>
    <w:rsid w:val="00986E65"/>
    <w:rsid w:val="00986EA5"/>
    <w:rsid w:val="009871C5"/>
    <w:rsid w:val="00987256"/>
    <w:rsid w:val="009873BB"/>
    <w:rsid w:val="0098740A"/>
    <w:rsid w:val="0098742A"/>
    <w:rsid w:val="009874DC"/>
    <w:rsid w:val="00990178"/>
    <w:rsid w:val="0099046F"/>
    <w:rsid w:val="00990567"/>
    <w:rsid w:val="009905A6"/>
    <w:rsid w:val="00990AA8"/>
    <w:rsid w:val="00990D0B"/>
    <w:rsid w:val="00990E78"/>
    <w:rsid w:val="009910A0"/>
    <w:rsid w:val="0099154A"/>
    <w:rsid w:val="00991865"/>
    <w:rsid w:val="0099192F"/>
    <w:rsid w:val="00991B84"/>
    <w:rsid w:val="00992107"/>
    <w:rsid w:val="00992B0C"/>
    <w:rsid w:val="00992CD6"/>
    <w:rsid w:val="00993593"/>
    <w:rsid w:val="00994006"/>
    <w:rsid w:val="00994122"/>
    <w:rsid w:val="00994536"/>
    <w:rsid w:val="009945D6"/>
    <w:rsid w:val="0099483B"/>
    <w:rsid w:val="009948BC"/>
    <w:rsid w:val="00994BAE"/>
    <w:rsid w:val="00995247"/>
    <w:rsid w:val="009953C7"/>
    <w:rsid w:val="00995461"/>
    <w:rsid w:val="009956E7"/>
    <w:rsid w:val="009959F7"/>
    <w:rsid w:val="00995ADA"/>
    <w:rsid w:val="0099666C"/>
    <w:rsid w:val="00996826"/>
    <w:rsid w:val="00996869"/>
    <w:rsid w:val="009969D3"/>
    <w:rsid w:val="00997A5C"/>
    <w:rsid w:val="00997B9E"/>
    <w:rsid w:val="009A01DA"/>
    <w:rsid w:val="009A086B"/>
    <w:rsid w:val="009A0944"/>
    <w:rsid w:val="009A0F03"/>
    <w:rsid w:val="009A1F73"/>
    <w:rsid w:val="009A202B"/>
    <w:rsid w:val="009A208C"/>
    <w:rsid w:val="009A22D9"/>
    <w:rsid w:val="009A245F"/>
    <w:rsid w:val="009A2A53"/>
    <w:rsid w:val="009A2FF9"/>
    <w:rsid w:val="009A380C"/>
    <w:rsid w:val="009A3D4D"/>
    <w:rsid w:val="009A3F2E"/>
    <w:rsid w:val="009A451D"/>
    <w:rsid w:val="009A4707"/>
    <w:rsid w:val="009A486A"/>
    <w:rsid w:val="009A4C05"/>
    <w:rsid w:val="009A50A7"/>
    <w:rsid w:val="009A51A2"/>
    <w:rsid w:val="009A5411"/>
    <w:rsid w:val="009A5BD9"/>
    <w:rsid w:val="009A61C4"/>
    <w:rsid w:val="009A62B8"/>
    <w:rsid w:val="009A6679"/>
    <w:rsid w:val="009A6E1C"/>
    <w:rsid w:val="009A75C4"/>
    <w:rsid w:val="009A7904"/>
    <w:rsid w:val="009A7A4C"/>
    <w:rsid w:val="009B05EB"/>
    <w:rsid w:val="009B0676"/>
    <w:rsid w:val="009B0A8A"/>
    <w:rsid w:val="009B0AA2"/>
    <w:rsid w:val="009B0F3E"/>
    <w:rsid w:val="009B1210"/>
    <w:rsid w:val="009B20FA"/>
    <w:rsid w:val="009B25FB"/>
    <w:rsid w:val="009B26A0"/>
    <w:rsid w:val="009B2FE5"/>
    <w:rsid w:val="009B332D"/>
    <w:rsid w:val="009B3467"/>
    <w:rsid w:val="009B36BF"/>
    <w:rsid w:val="009B3895"/>
    <w:rsid w:val="009B418B"/>
    <w:rsid w:val="009B42C5"/>
    <w:rsid w:val="009B452C"/>
    <w:rsid w:val="009B45CB"/>
    <w:rsid w:val="009B4DC8"/>
    <w:rsid w:val="009B506E"/>
    <w:rsid w:val="009B50C6"/>
    <w:rsid w:val="009B524F"/>
    <w:rsid w:val="009B5A41"/>
    <w:rsid w:val="009B5AB1"/>
    <w:rsid w:val="009B5BE2"/>
    <w:rsid w:val="009B61AB"/>
    <w:rsid w:val="009B6460"/>
    <w:rsid w:val="009B6473"/>
    <w:rsid w:val="009B6537"/>
    <w:rsid w:val="009B6842"/>
    <w:rsid w:val="009B6A77"/>
    <w:rsid w:val="009B6E2E"/>
    <w:rsid w:val="009B71B4"/>
    <w:rsid w:val="009B72FE"/>
    <w:rsid w:val="009B7628"/>
    <w:rsid w:val="009B7B0C"/>
    <w:rsid w:val="009B7B60"/>
    <w:rsid w:val="009C01B5"/>
    <w:rsid w:val="009C03D5"/>
    <w:rsid w:val="009C050E"/>
    <w:rsid w:val="009C075B"/>
    <w:rsid w:val="009C0795"/>
    <w:rsid w:val="009C0F37"/>
    <w:rsid w:val="009C129B"/>
    <w:rsid w:val="009C1652"/>
    <w:rsid w:val="009C1AAF"/>
    <w:rsid w:val="009C1B3E"/>
    <w:rsid w:val="009C1D84"/>
    <w:rsid w:val="009C1FBD"/>
    <w:rsid w:val="009C20F4"/>
    <w:rsid w:val="009C22CA"/>
    <w:rsid w:val="009C235F"/>
    <w:rsid w:val="009C23C8"/>
    <w:rsid w:val="009C2761"/>
    <w:rsid w:val="009C2C2E"/>
    <w:rsid w:val="009C31FA"/>
    <w:rsid w:val="009C3731"/>
    <w:rsid w:val="009C3DC1"/>
    <w:rsid w:val="009C482B"/>
    <w:rsid w:val="009C492F"/>
    <w:rsid w:val="009C4BD8"/>
    <w:rsid w:val="009C54AA"/>
    <w:rsid w:val="009C57E2"/>
    <w:rsid w:val="009C5BE0"/>
    <w:rsid w:val="009C5D52"/>
    <w:rsid w:val="009C60AD"/>
    <w:rsid w:val="009C656D"/>
    <w:rsid w:val="009C6E3E"/>
    <w:rsid w:val="009C6E9B"/>
    <w:rsid w:val="009C6F0C"/>
    <w:rsid w:val="009C760C"/>
    <w:rsid w:val="009C7894"/>
    <w:rsid w:val="009C793A"/>
    <w:rsid w:val="009D0089"/>
    <w:rsid w:val="009D06EF"/>
    <w:rsid w:val="009D0EA5"/>
    <w:rsid w:val="009D190F"/>
    <w:rsid w:val="009D1FDD"/>
    <w:rsid w:val="009D201B"/>
    <w:rsid w:val="009D2055"/>
    <w:rsid w:val="009D259D"/>
    <w:rsid w:val="009D25C6"/>
    <w:rsid w:val="009D2995"/>
    <w:rsid w:val="009D2EB8"/>
    <w:rsid w:val="009D2F70"/>
    <w:rsid w:val="009D317C"/>
    <w:rsid w:val="009D3184"/>
    <w:rsid w:val="009D348C"/>
    <w:rsid w:val="009D36D6"/>
    <w:rsid w:val="009D3ADF"/>
    <w:rsid w:val="009D3B60"/>
    <w:rsid w:val="009D4062"/>
    <w:rsid w:val="009D43EA"/>
    <w:rsid w:val="009D489B"/>
    <w:rsid w:val="009D490F"/>
    <w:rsid w:val="009D4AB5"/>
    <w:rsid w:val="009D4BD8"/>
    <w:rsid w:val="009D4DA9"/>
    <w:rsid w:val="009D4DC7"/>
    <w:rsid w:val="009D56FF"/>
    <w:rsid w:val="009D5B61"/>
    <w:rsid w:val="009D5DDE"/>
    <w:rsid w:val="009D628F"/>
    <w:rsid w:val="009D62DE"/>
    <w:rsid w:val="009D6829"/>
    <w:rsid w:val="009D6917"/>
    <w:rsid w:val="009D6FBD"/>
    <w:rsid w:val="009D7062"/>
    <w:rsid w:val="009D70CC"/>
    <w:rsid w:val="009D710C"/>
    <w:rsid w:val="009D718A"/>
    <w:rsid w:val="009D7208"/>
    <w:rsid w:val="009D722E"/>
    <w:rsid w:val="009D7314"/>
    <w:rsid w:val="009D7FCD"/>
    <w:rsid w:val="009E01C2"/>
    <w:rsid w:val="009E0494"/>
    <w:rsid w:val="009E04FD"/>
    <w:rsid w:val="009E0ED7"/>
    <w:rsid w:val="009E12C5"/>
    <w:rsid w:val="009E134F"/>
    <w:rsid w:val="009E154A"/>
    <w:rsid w:val="009E15EC"/>
    <w:rsid w:val="009E169D"/>
    <w:rsid w:val="009E18ED"/>
    <w:rsid w:val="009E235D"/>
    <w:rsid w:val="009E27D3"/>
    <w:rsid w:val="009E2D7B"/>
    <w:rsid w:val="009E3083"/>
    <w:rsid w:val="009E335F"/>
    <w:rsid w:val="009E3438"/>
    <w:rsid w:val="009E34E3"/>
    <w:rsid w:val="009E369D"/>
    <w:rsid w:val="009E3D59"/>
    <w:rsid w:val="009E3E57"/>
    <w:rsid w:val="009E4A07"/>
    <w:rsid w:val="009E4D3F"/>
    <w:rsid w:val="009E5451"/>
    <w:rsid w:val="009E59BF"/>
    <w:rsid w:val="009E5DCB"/>
    <w:rsid w:val="009E5F9E"/>
    <w:rsid w:val="009E6495"/>
    <w:rsid w:val="009E6AA1"/>
    <w:rsid w:val="009E6BEA"/>
    <w:rsid w:val="009E6EF3"/>
    <w:rsid w:val="009E783F"/>
    <w:rsid w:val="009E7897"/>
    <w:rsid w:val="009E7CC6"/>
    <w:rsid w:val="009E7CD7"/>
    <w:rsid w:val="009E7D15"/>
    <w:rsid w:val="009F0023"/>
    <w:rsid w:val="009F01AD"/>
    <w:rsid w:val="009F0668"/>
    <w:rsid w:val="009F0882"/>
    <w:rsid w:val="009F0ABC"/>
    <w:rsid w:val="009F0D5A"/>
    <w:rsid w:val="009F0DCC"/>
    <w:rsid w:val="009F0F44"/>
    <w:rsid w:val="009F1087"/>
    <w:rsid w:val="009F116E"/>
    <w:rsid w:val="009F1499"/>
    <w:rsid w:val="009F1C01"/>
    <w:rsid w:val="009F21BE"/>
    <w:rsid w:val="009F22A6"/>
    <w:rsid w:val="009F2606"/>
    <w:rsid w:val="009F2777"/>
    <w:rsid w:val="009F2846"/>
    <w:rsid w:val="009F2A2C"/>
    <w:rsid w:val="009F2F8C"/>
    <w:rsid w:val="009F330B"/>
    <w:rsid w:val="009F35D5"/>
    <w:rsid w:val="009F3D91"/>
    <w:rsid w:val="009F4651"/>
    <w:rsid w:val="009F488F"/>
    <w:rsid w:val="009F528D"/>
    <w:rsid w:val="009F5BF9"/>
    <w:rsid w:val="009F6429"/>
    <w:rsid w:val="009F652A"/>
    <w:rsid w:val="009F6BD9"/>
    <w:rsid w:val="009F6E6B"/>
    <w:rsid w:val="009F6EDE"/>
    <w:rsid w:val="009F6FE4"/>
    <w:rsid w:val="009F7293"/>
    <w:rsid w:val="009F742B"/>
    <w:rsid w:val="009F74F7"/>
    <w:rsid w:val="009F7EAD"/>
    <w:rsid w:val="009F7ED7"/>
    <w:rsid w:val="009F7F9C"/>
    <w:rsid w:val="00A00095"/>
    <w:rsid w:val="00A002E3"/>
    <w:rsid w:val="00A003E6"/>
    <w:rsid w:val="00A00511"/>
    <w:rsid w:val="00A0087C"/>
    <w:rsid w:val="00A017D6"/>
    <w:rsid w:val="00A018DB"/>
    <w:rsid w:val="00A01D03"/>
    <w:rsid w:val="00A01D58"/>
    <w:rsid w:val="00A0239B"/>
    <w:rsid w:val="00A0278C"/>
    <w:rsid w:val="00A02B7F"/>
    <w:rsid w:val="00A02BB1"/>
    <w:rsid w:val="00A032EE"/>
    <w:rsid w:val="00A038BF"/>
    <w:rsid w:val="00A03D63"/>
    <w:rsid w:val="00A03F6F"/>
    <w:rsid w:val="00A040AA"/>
    <w:rsid w:val="00A041D8"/>
    <w:rsid w:val="00A04329"/>
    <w:rsid w:val="00A04630"/>
    <w:rsid w:val="00A04B75"/>
    <w:rsid w:val="00A050F6"/>
    <w:rsid w:val="00A052CC"/>
    <w:rsid w:val="00A05674"/>
    <w:rsid w:val="00A05765"/>
    <w:rsid w:val="00A05F31"/>
    <w:rsid w:val="00A06503"/>
    <w:rsid w:val="00A068DB"/>
    <w:rsid w:val="00A07090"/>
    <w:rsid w:val="00A0709D"/>
    <w:rsid w:val="00A070FD"/>
    <w:rsid w:val="00A07428"/>
    <w:rsid w:val="00A0743A"/>
    <w:rsid w:val="00A0785A"/>
    <w:rsid w:val="00A07BD1"/>
    <w:rsid w:val="00A10621"/>
    <w:rsid w:val="00A10836"/>
    <w:rsid w:val="00A10D4E"/>
    <w:rsid w:val="00A10E25"/>
    <w:rsid w:val="00A1138A"/>
    <w:rsid w:val="00A113C0"/>
    <w:rsid w:val="00A11523"/>
    <w:rsid w:val="00A115B9"/>
    <w:rsid w:val="00A11B06"/>
    <w:rsid w:val="00A1243C"/>
    <w:rsid w:val="00A12C59"/>
    <w:rsid w:val="00A131E1"/>
    <w:rsid w:val="00A137F4"/>
    <w:rsid w:val="00A13A23"/>
    <w:rsid w:val="00A13B09"/>
    <w:rsid w:val="00A13F7A"/>
    <w:rsid w:val="00A1403D"/>
    <w:rsid w:val="00A14210"/>
    <w:rsid w:val="00A14791"/>
    <w:rsid w:val="00A150A5"/>
    <w:rsid w:val="00A154EF"/>
    <w:rsid w:val="00A157CD"/>
    <w:rsid w:val="00A15EB0"/>
    <w:rsid w:val="00A1652E"/>
    <w:rsid w:val="00A16806"/>
    <w:rsid w:val="00A16CE0"/>
    <w:rsid w:val="00A16D73"/>
    <w:rsid w:val="00A16F7D"/>
    <w:rsid w:val="00A16FD7"/>
    <w:rsid w:val="00A170FC"/>
    <w:rsid w:val="00A17109"/>
    <w:rsid w:val="00A17637"/>
    <w:rsid w:val="00A1763A"/>
    <w:rsid w:val="00A17943"/>
    <w:rsid w:val="00A17DFE"/>
    <w:rsid w:val="00A17F39"/>
    <w:rsid w:val="00A17FCA"/>
    <w:rsid w:val="00A20083"/>
    <w:rsid w:val="00A2014E"/>
    <w:rsid w:val="00A20287"/>
    <w:rsid w:val="00A204EF"/>
    <w:rsid w:val="00A20C77"/>
    <w:rsid w:val="00A2106D"/>
    <w:rsid w:val="00A21408"/>
    <w:rsid w:val="00A217F4"/>
    <w:rsid w:val="00A2180C"/>
    <w:rsid w:val="00A21B48"/>
    <w:rsid w:val="00A22766"/>
    <w:rsid w:val="00A22FD2"/>
    <w:rsid w:val="00A23032"/>
    <w:rsid w:val="00A23401"/>
    <w:rsid w:val="00A2347F"/>
    <w:rsid w:val="00A23743"/>
    <w:rsid w:val="00A237D6"/>
    <w:rsid w:val="00A23A04"/>
    <w:rsid w:val="00A23FD2"/>
    <w:rsid w:val="00A24476"/>
    <w:rsid w:val="00A24C9A"/>
    <w:rsid w:val="00A25781"/>
    <w:rsid w:val="00A25813"/>
    <w:rsid w:val="00A26016"/>
    <w:rsid w:val="00A260A0"/>
    <w:rsid w:val="00A2685A"/>
    <w:rsid w:val="00A26CAB"/>
    <w:rsid w:val="00A27311"/>
    <w:rsid w:val="00A2772D"/>
    <w:rsid w:val="00A27755"/>
    <w:rsid w:val="00A27CDB"/>
    <w:rsid w:val="00A27E80"/>
    <w:rsid w:val="00A30030"/>
    <w:rsid w:val="00A3053B"/>
    <w:rsid w:val="00A3089D"/>
    <w:rsid w:val="00A30B03"/>
    <w:rsid w:val="00A30B15"/>
    <w:rsid w:val="00A312CE"/>
    <w:rsid w:val="00A31394"/>
    <w:rsid w:val="00A31ABD"/>
    <w:rsid w:val="00A31B7A"/>
    <w:rsid w:val="00A3206F"/>
    <w:rsid w:val="00A321D8"/>
    <w:rsid w:val="00A3232A"/>
    <w:rsid w:val="00A329B0"/>
    <w:rsid w:val="00A32AD7"/>
    <w:rsid w:val="00A330C0"/>
    <w:rsid w:val="00A33122"/>
    <w:rsid w:val="00A33175"/>
    <w:rsid w:val="00A33233"/>
    <w:rsid w:val="00A334B7"/>
    <w:rsid w:val="00A33E73"/>
    <w:rsid w:val="00A33F9F"/>
    <w:rsid w:val="00A341E3"/>
    <w:rsid w:val="00A348A8"/>
    <w:rsid w:val="00A34CE9"/>
    <w:rsid w:val="00A34D2F"/>
    <w:rsid w:val="00A35043"/>
    <w:rsid w:val="00A35212"/>
    <w:rsid w:val="00A353D4"/>
    <w:rsid w:val="00A356CF"/>
    <w:rsid w:val="00A35818"/>
    <w:rsid w:val="00A3608B"/>
    <w:rsid w:val="00A3612A"/>
    <w:rsid w:val="00A36428"/>
    <w:rsid w:val="00A364AE"/>
    <w:rsid w:val="00A36543"/>
    <w:rsid w:val="00A36917"/>
    <w:rsid w:val="00A36939"/>
    <w:rsid w:val="00A36B05"/>
    <w:rsid w:val="00A36E3A"/>
    <w:rsid w:val="00A370DE"/>
    <w:rsid w:val="00A37105"/>
    <w:rsid w:val="00A377AC"/>
    <w:rsid w:val="00A377D7"/>
    <w:rsid w:val="00A37A73"/>
    <w:rsid w:val="00A37B17"/>
    <w:rsid w:val="00A37CD9"/>
    <w:rsid w:val="00A40743"/>
    <w:rsid w:val="00A4087C"/>
    <w:rsid w:val="00A40D7F"/>
    <w:rsid w:val="00A4120B"/>
    <w:rsid w:val="00A41E50"/>
    <w:rsid w:val="00A42526"/>
    <w:rsid w:val="00A425CF"/>
    <w:rsid w:val="00A4262E"/>
    <w:rsid w:val="00A42979"/>
    <w:rsid w:val="00A43082"/>
    <w:rsid w:val="00A44589"/>
    <w:rsid w:val="00A44A8C"/>
    <w:rsid w:val="00A44F20"/>
    <w:rsid w:val="00A45031"/>
    <w:rsid w:val="00A45534"/>
    <w:rsid w:val="00A45658"/>
    <w:rsid w:val="00A45A85"/>
    <w:rsid w:val="00A45C67"/>
    <w:rsid w:val="00A45CCD"/>
    <w:rsid w:val="00A45E3E"/>
    <w:rsid w:val="00A45F40"/>
    <w:rsid w:val="00A462CE"/>
    <w:rsid w:val="00A463D9"/>
    <w:rsid w:val="00A46E51"/>
    <w:rsid w:val="00A47520"/>
    <w:rsid w:val="00A47540"/>
    <w:rsid w:val="00A477C7"/>
    <w:rsid w:val="00A47DE7"/>
    <w:rsid w:val="00A47E29"/>
    <w:rsid w:val="00A47E77"/>
    <w:rsid w:val="00A47E7F"/>
    <w:rsid w:val="00A50030"/>
    <w:rsid w:val="00A5042B"/>
    <w:rsid w:val="00A50A49"/>
    <w:rsid w:val="00A50EEC"/>
    <w:rsid w:val="00A50F44"/>
    <w:rsid w:val="00A51007"/>
    <w:rsid w:val="00A51858"/>
    <w:rsid w:val="00A51860"/>
    <w:rsid w:val="00A51E48"/>
    <w:rsid w:val="00A51E6F"/>
    <w:rsid w:val="00A51F68"/>
    <w:rsid w:val="00A527C8"/>
    <w:rsid w:val="00A52A7D"/>
    <w:rsid w:val="00A53078"/>
    <w:rsid w:val="00A53617"/>
    <w:rsid w:val="00A537E0"/>
    <w:rsid w:val="00A5381C"/>
    <w:rsid w:val="00A53989"/>
    <w:rsid w:val="00A539D6"/>
    <w:rsid w:val="00A53C42"/>
    <w:rsid w:val="00A53DBA"/>
    <w:rsid w:val="00A53E46"/>
    <w:rsid w:val="00A54293"/>
    <w:rsid w:val="00A544B1"/>
    <w:rsid w:val="00A54D93"/>
    <w:rsid w:val="00A55985"/>
    <w:rsid w:val="00A559A1"/>
    <w:rsid w:val="00A559D4"/>
    <w:rsid w:val="00A55CC7"/>
    <w:rsid w:val="00A55F7E"/>
    <w:rsid w:val="00A5650C"/>
    <w:rsid w:val="00A56588"/>
    <w:rsid w:val="00A56805"/>
    <w:rsid w:val="00A5680E"/>
    <w:rsid w:val="00A56D17"/>
    <w:rsid w:val="00A56D1A"/>
    <w:rsid w:val="00A56F20"/>
    <w:rsid w:val="00A572EE"/>
    <w:rsid w:val="00A57B22"/>
    <w:rsid w:val="00A57C0E"/>
    <w:rsid w:val="00A57CB2"/>
    <w:rsid w:val="00A57EE8"/>
    <w:rsid w:val="00A60079"/>
    <w:rsid w:val="00A6038B"/>
    <w:rsid w:val="00A60643"/>
    <w:rsid w:val="00A60D08"/>
    <w:rsid w:val="00A60DEC"/>
    <w:rsid w:val="00A60E2C"/>
    <w:rsid w:val="00A61CF5"/>
    <w:rsid w:val="00A61D49"/>
    <w:rsid w:val="00A62020"/>
    <w:rsid w:val="00A62061"/>
    <w:rsid w:val="00A62D7D"/>
    <w:rsid w:val="00A62DC5"/>
    <w:rsid w:val="00A62F58"/>
    <w:rsid w:val="00A62F60"/>
    <w:rsid w:val="00A6305A"/>
    <w:rsid w:val="00A63671"/>
    <w:rsid w:val="00A63922"/>
    <w:rsid w:val="00A63A1B"/>
    <w:rsid w:val="00A63AF7"/>
    <w:rsid w:val="00A63B1F"/>
    <w:rsid w:val="00A63EE2"/>
    <w:rsid w:val="00A641D9"/>
    <w:rsid w:val="00A64344"/>
    <w:rsid w:val="00A64E54"/>
    <w:rsid w:val="00A64FD7"/>
    <w:rsid w:val="00A6589B"/>
    <w:rsid w:val="00A65BC7"/>
    <w:rsid w:val="00A65EC3"/>
    <w:rsid w:val="00A65F7B"/>
    <w:rsid w:val="00A66990"/>
    <w:rsid w:val="00A66BB3"/>
    <w:rsid w:val="00A66BD0"/>
    <w:rsid w:val="00A66EBF"/>
    <w:rsid w:val="00A66F63"/>
    <w:rsid w:val="00A67BD1"/>
    <w:rsid w:val="00A67FE1"/>
    <w:rsid w:val="00A7035A"/>
    <w:rsid w:val="00A70C77"/>
    <w:rsid w:val="00A70E96"/>
    <w:rsid w:val="00A70FBC"/>
    <w:rsid w:val="00A7126F"/>
    <w:rsid w:val="00A717F6"/>
    <w:rsid w:val="00A71873"/>
    <w:rsid w:val="00A71E99"/>
    <w:rsid w:val="00A7218E"/>
    <w:rsid w:val="00A72E49"/>
    <w:rsid w:val="00A73798"/>
    <w:rsid w:val="00A73AC1"/>
    <w:rsid w:val="00A73FA1"/>
    <w:rsid w:val="00A73FFE"/>
    <w:rsid w:val="00A740D0"/>
    <w:rsid w:val="00A744E9"/>
    <w:rsid w:val="00A745C6"/>
    <w:rsid w:val="00A74A45"/>
    <w:rsid w:val="00A74FB7"/>
    <w:rsid w:val="00A754DC"/>
    <w:rsid w:val="00A757BB"/>
    <w:rsid w:val="00A758BF"/>
    <w:rsid w:val="00A75910"/>
    <w:rsid w:val="00A75D92"/>
    <w:rsid w:val="00A75DA6"/>
    <w:rsid w:val="00A769AD"/>
    <w:rsid w:val="00A76C6A"/>
    <w:rsid w:val="00A76F64"/>
    <w:rsid w:val="00A774BD"/>
    <w:rsid w:val="00A80C0C"/>
    <w:rsid w:val="00A80C9A"/>
    <w:rsid w:val="00A80CCA"/>
    <w:rsid w:val="00A81100"/>
    <w:rsid w:val="00A81273"/>
    <w:rsid w:val="00A81302"/>
    <w:rsid w:val="00A814EC"/>
    <w:rsid w:val="00A815D5"/>
    <w:rsid w:val="00A816D4"/>
    <w:rsid w:val="00A817AB"/>
    <w:rsid w:val="00A81BB5"/>
    <w:rsid w:val="00A81BED"/>
    <w:rsid w:val="00A81D3A"/>
    <w:rsid w:val="00A8237C"/>
    <w:rsid w:val="00A82BFA"/>
    <w:rsid w:val="00A82C28"/>
    <w:rsid w:val="00A82EC7"/>
    <w:rsid w:val="00A82F0A"/>
    <w:rsid w:val="00A832B8"/>
    <w:rsid w:val="00A84177"/>
    <w:rsid w:val="00A84186"/>
    <w:rsid w:val="00A843C4"/>
    <w:rsid w:val="00A844D3"/>
    <w:rsid w:val="00A8501E"/>
    <w:rsid w:val="00A8528E"/>
    <w:rsid w:val="00A855F6"/>
    <w:rsid w:val="00A85872"/>
    <w:rsid w:val="00A85A57"/>
    <w:rsid w:val="00A85E80"/>
    <w:rsid w:val="00A8620D"/>
    <w:rsid w:val="00A86D0D"/>
    <w:rsid w:val="00A86F09"/>
    <w:rsid w:val="00A87117"/>
    <w:rsid w:val="00A87709"/>
    <w:rsid w:val="00A8792B"/>
    <w:rsid w:val="00A87EE1"/>
    <w:rsid w:val="00A90013"/>
    <w:rsid w:val="00A903A1"/>
    <w:rsid w:val="00A905C0"/>
    <w:rsid w:val="00A909FA"/>
    <w:rsid w:val="00A90C84"/>
    <w:rsid w:val="00A90DB2"/>
    <w:rsid w:val="00A91321"/>
    <w:rsid w:val="00A91472"/>
    <w:rsid w:val="00A914A9"/>
    <w:rsid w:val="00A917B3"/>
    <w:rsid w:val="00A91A1C"/>
    <w:rsid w:val="00A91C7C"/>
    <w:rsid w:val="00A91F2C"/>
    <w:rsid w:val="00A91FFF"/>
    <w:rsid w:val="00A925C5"/>
    <w:rsid w:val="00A92C0D"/>
    <w:rsid w:val="00A93462"/>
    <w:rsid w:val="00A939DB"/>
    <w:rsid w:val="00A93AF3"/>
    <w:rsid w:val="00A93D26"/>
    <w:rsid w:val="00A93D9B"/>
    <w:rsid w:val="00A940E9"/>
    <w:rsid w:val="00A9433F"/>
    <w:rsid w:val="00A94488"/>
    <w:rsid w:val="00A94E4E"/>
    <w:rsid w:val="00A94E76"/>
    <w:rsid w:val="00A94EB4"/>
    <w:rsid w:val="00A94F61"/>
    <w:rsid w:val="00A94FF8"/>
    <w:rsid w:val="00A95044"/>
    <w:rsid w:val="00A95066"/>
    <w:rsid w:val="00A955FA"/>
    <w:rsid w:val="00A95A63"/>
    <w:rsid w:val="00A95C9E"/>
    <w:rsid w:val="00A95DA9"/>
    <w:rsid w:val="00A960E5"/>
    <w:rsid w:val="00A963F9"/>
    <w:rsid w:val="00A9646A"/>
    <w:rsid w:val="00A9689D"/>
    <w:rsid w:val="00A97A66"/>
    <w:rsid w:val="00A97E63"/>
    <w:rsid w:val="00AA0093"/>
    <w:rsid w:val="00AA01C5"/>
    <w:rsid w:val="00AA03E0"/>
    <w:rsid w:val="00AA0485"/>
    <w:rsid w:val="00AA0D76"/>
    <w:rsid w:val="00AA1106"/>
    <w:rsid w:val="00AA1168"/>
    <w:rsid w:val="00AA13D3"/>
    <w:rsid w:val="00AA1615"/>
    <w:rsid w:val="00AA1889"/>
    <w:rsid w:val="00AA1F41"/>
    <w:rsid w:val="00AA2517"/>
    <w:rsid w:val="00AA25D1"/>
    <w:rsid w:val="00AA2674"/>
    <w:rsid w:val="00AA2CFA"/>
    <w:rsid w:val="00AA358E"/>
    <w:rsid w:val="00AA3FD4"/>
    <w:rsid w:val="00AA430A"/>
    <w:rsid w:val="00AA4D68"/>
    <w:rsid w:val="00AA529B"/>
    <w:rsid w:val="00AA5607"/>
    <w:rsid w:val="00AA56AD"/>
    <w:rsid w:val="00AA5AED"/>
    <w:rsid w:val="00AA6187"/>
    <w:rsid w:val="00AA61AF"/>
    <w:rsid w:val="00AA6BE1"/>
    <w:rsid w:val="00AA6CC0"/>
    <w:rsid w:val="00AA6E3A"/>
    <w:rsid w:val="00AA715E"/>
    <w:rsid w:val="00AA7265"/>
    <w:rsid w:val="00AA769D"/>
    <w:rsid w:val="00AA7B6B"/>
    <w:rsid w:val="00AA7ED8"/>
    <w:rsid w:val="00AB0241"/>
    <w:rsid w:val="00AB0245"/>
    <w:rsid w:val="00AB06D4"/>
    <w:rsid w:val="00AB0BB0"/>
    <w:rsid w:val="00AB1823"/>
    <w:rsid w:val="00AB1CFD"/>
    <w:rsid w:val="00AB1E95"/>
    <w:rsid w:val="00AB1F18"/>
    <w:rsid w:val="00AB2078"/>
    <w:rsid w:val="00AB2098"/>
    <w:rsid w:val="00AB2343"/>
    <w:rsid w:val="00AB28F8"/>
    <w:rsid w:val="00AB2B4A"/>
    <w:rsid w:val="00AB2C45"/>
    <w:rsid w:val="00AB2FFC"/>
    <w:rsid w:val="00AB3050"/>
    <w:rsid w:val="00AB3203"/>
    <w:rsid w:val="00AB32B7"/>
    <w:rsid w:val="00AB3C3A"/>
    <w:rsid w:val="00AB3D15"/>
    <w:rsid w:val="00AB427E"/>
    <w:rsid w:val="00AB4404"/>
    <w:rsid w:val="00AB4552"/>
    <w:rsid w:val="00AB4780"/>
    <w:rsid w:val="00AB4BF8"/>
    <w:rsid w:val="00AB4C19"/>
    <w:rsid w:val="00AB4C9B"/>
    <w:rsid w:val="00AB4EBD"/>
    <w:rsid w:val="00AB4FB1"/>
    <w:rsid w:val="00AB5307"/>
    <w:rsid w:val="00AB530D"/>
    <w:rsid w:val="00AB58E7"/>
    <w:rsid w:val="00AB5A95"/>
    <w:rsid w:val="00AB5D20"/>
    <w:rsid w:val="00AB63A2"/>
    <w:rsid w:val="00AB66F1"/>
    <w:rsid w:val="00AB6850"/>
    <w:rsid w:val="00AB6B19"/>
    <w:rsid w:val="00AB7626"/>
    <w:rsid w:val="00AB7D2B"/>
    <w:rsid w:val="00AC0159"/>
    <w:rsid w:val="00AC02AF"/>
    <w:rsid w:val="00AC02D5"/>
    <w:rsid w:val="00AC02E2"/>
    <w:rsid w:val="00AC03E1"/>
    <w:rsid w:val="00AC0641"/>
    <w:rsid w:val="00AC09EA"/>
    <w:rsid w:val="00AC14C8"/>
    <w:rsid w:val="00AC1CAB"/>
    <w:rsid w:val="00AC1EB7"/>
    <w:rsid w:val="00AC1FE8"/>
    <w:rsid w:val="00AC2886"/>
    <w:rsid w:val="00AC2D89"/>
    <w:rsid w:val="00AC2F91"/>
    <w:rsid w:val="00AC3551"/>
    <w:rsid w:val="00AC3E33"/>
    <w:rsid w:val="00AC40ED"/>
    <w:rsid w:val="00AC41E2"/>
    <w:rsid w:val="00AC49A0"/>
    <w:rsid w:val="00AC4A77"/>
    <w:rsid w:val="00AC4B9B"/>
    <w:rsid w:val="00AC4C81"/>
    <w:rsid w:val="00AC4E6E"/>
    <w:rsid w:val="00AC4FD9"/>
    <w:rsid w:val="00AC502E"/>
    <w:rsid w:val="00AC5A7F"/>
    <w:rsid w:val="00AC61D9"/>
    <w:rsid w:val="00AC63F5"/>
    <w:rsid w:val="00AC6640"/>
    <w:rsid w:val="00AC6733"/>
    <w:rsid w:val="00AC69AE"/>
    <w:rsid w:val="00AC6D06"/>
    <w:rsid w:val="00AC6D5C"/>
    <w:rsid w:val="00AC6DAB"/>
    <w:rsid w:val="00AC7247"/>
    <w:rsid w:val="00AC7480"/>
    <w:rsid w:val="00AC7493"/>
    <w:rsid w:val="00AC788F"/>
    <w:rsid w:val="00AC7DD5"/>
    <w:rsid w:val="00AD0C6A"/>
    <w:rsid w:val="00AD0D43"/>
    <w:rsid w:val="00AD0F11"/>
    <w:rsid w:val="00AD1104"/>
    <w:rsid w:val="00AD1B2E"/>
    <w:rsid w:val="00AD2022"/>
    <w:rsid w:val="00AD20F5"/>
    <w:rsid w:val="00AD2318"/>
    <w:rsid w:val="00AD240A"/>
    <w:rsid w:val="00AD2683"/>
    <w:rsid w:val="00AD2B65"/>
    <w:rsid w:val="00AD2E1A"/>
    <w:rsid w:val="00AD2FE6"/>
    <w:rsid w:val="00AD3003"/>
    <w:rsid w:val="00AD33DC"/>
    <w:rsid w:val="00AD36B5"/>
    <w:rsid w:val="00AD37B1"/>
    <w:rsid w:val="00AD3B5E"/>
    <w:rsid w:val="00AD3B77"/>
    <w:rsid w:val="00AD3E84"/>
    <w:rsid w:val="00AD4B1E"/>
    <w:rsid w:val="00AD4C42"/>
    <w:rsid w:val="00AD4DC9"/>
    <w:rsid w:val="00AD4DF4"/>
    <w:rsid w:val="00AD526D"/>
    <w:rsid w:val="00AD52D3"/>
    <w:rsid w:val="00AD53AB"/>
    <w:rsid w:val="00AD5E48"/>
    <w:rsid w:val="00AD6221"/>
    <w:rsid w:val="00AD65C2"/>
    <w:rsid w:val="00AD66D0"/>
    <w:rsid w:val="00AD676F"/>
    <w:rsid w:val="00AD69FB"/>
    <w:rsid w:val="00AD6EED"/>
    <w:rsid w:val="00AD7A1D"/>
    <w:rsid w:val="00AD7D56"/>
    <w:rsid w:val="00AD7E95"/>
    <w:rsid w:val="00AD7F0A"/>
    <w:rsid w:val="00AE03B8"/>
    <w:rsid w:val="00AE05EA"/>
    <w:rsid w:val="00AE077E"/>
    <w:rsid w:val="00AE0E42"/>
    <w:rsid w:val="00AE0ECC"/>
    <w:rsid w:val="00AE0F0D"/>
    <w:rsid w:val="00AE1312"/>
    <w:rsid w:val="00AE1455"/>
    <w:rsid w:val="00AE1CE3"/>
    <w:rsid w:val="00AE218D"/>
    <w:rsid w:val="00AE2A08"/>
    <w:rsid w:val="00AE2B0D"/>
    <w:rsid w:val="00AE2BC5"/>
    <w:rsid w:val="00AE2BE4"/>
    <w:rsid w:val="00AE2F57"/>
    <w:rsid w:val="00AE2FFE"/>
    <w:rsid w:val="00AE31DC"/>
    <w:rsid w:val="00AE33FB"/>
    <w:rsid w:val="00AE3DCF"/>
    <w:rsid w:val="00AE3E13"/>
    <w:rsid w:val="00AE467F"/>
    <w:rsid w:val="00AE47E9"/>
    <w:rsid w:val="00AE4A99"/>
    <w:rsid w:val="00AE4D58"/>
    <w:rsid w:val="00AE4D64"/>
    <w:rsid w:val="00AE4DB8"/>
    <w:rsid w:val="00AE53F9"/>
    <w:rsid w:val="00AE579D"/>
    <w:rsid w:val="00AE5900"/>
    <w:rsid w:val="00AE5EED"/>
    <w:rsid w:val="00AE5F82"/>
    <w:rsid w:val="00AE6097"/>
    <w:rsid w:val="00AE6378"/>
    <w:rsid w:val="00AE638C"/>
    <w:rsid w:val="00AE66E6"/>
    <w:rsid w:val="00AE69DC"/>
    <w:rsid w:val="00AE6F0E"/>
    <w:rsid w:val="00AE7120"/>
    <w:rsid w:val="00AE7446"/>
    <w:rsid w:val="00AE74D7"/>
    <w:rsid w:val="00AE771A"/>
    <w:rsid w:val="00AE7A1E"/>
    <w:rsid w:val="00AE7A72"/>
    <w:rsid w:val="00AE7CC9"/>
    <w:rsid w:val="00AF0ECC"/>
    <w:rsid w:val="00AF128F"/>
    <w:rsid w:val="00AF13FC"/>
    <w:rsid w:val="00AF171F"/>
    <w:rsid w:val="00AF1B37"/>
    <w:rsid w:val="00AF1C91"/>
    <w:rsid w:val="00AF1E02"/>
    <w:rsid w:val="00AF1ED4"/>
    <w:rsid w:val="00AF2765"/>
    <w:rsid w:val="00AF29DF"/>
    <w:rsid w:val="00AF2D2D"/>
    <w:rsid w:val="00AF2DA3"/>
    <w:rsid w:val="00AF2FB3"/>
    <w:rsid w:val="00AF3310"/>
    <w:rsid w:val="00AF3759"/>
    <w:rsid w:val="00AF398F"/>
    <w:rsid w:val="00AF43FC"/>
    <w:rsid w:val="00AF450F"/>
    <w:rsid w:val="00AF45CF"/>
    <w:rsid w:val="00AF48DF"/>
    <w:rsid w:val="00AF5D35"/>
    <w:rsid w:val="00AF5DE5"/>
    <w:rsid w:val="00AF6239"/>
    <w:rsid w:val="00AF6604"/>
    <w:rsid w:val="00AF6A3B"/>
    <w:rsid w:val="00AF6AAB"/>
    <w:rsid w:val="00AF723F"/>
    <w:rsid w:val="00AF79C9"/>
    <w:rsid w:val="00AF7BF1"/>
    <w:rsid w:val="00B00001"/>
    <w:rsid w:val="00B002AB"/>
    <w:rsid w:val="00B0049D"/>
    <w:rsid w:val="00B00630"/>
    <w:rsid w:val="00B00746"/>
    <w:rsid w:val="00B013E2"/>
    <w:rsid w:val="00B01417"/>
    <w:rsid w:val="00B01C3E"/>
    <w:rsid w:val="00B01C82"/>
    <w:rsid w:val="00B02165"/>
    <w:rsid w:val="00B025B8"/>
    <w:rsid w:val="00B02902"/>
    <w:rsid w:val="00B02917"/>
    <w:rsid w:val="00B02BFC"/>
    <w:rsid w:val="00B035BC"/>
    <w:rsid w:val="00B037B1"/>
    <w:rsid w:val="00B03D1A"/>
    <w:rsid w:val="00B04054"/>
    <w:rsid w:val="00B04148"/>
    <w:rsid w:val="00B047FC"/>
    <w:rsid w:val="00B0493B"/>
    <w:rsid w:val="00B04A2A"/>
    <w:rsid w:val="00B04AD1"/>
    <w:rsid w:val="00B04E9F"/>
    <w:rsid w:val="00B0551C"/>
    <w:rsid w:val="00B05854"/>
    <w:rsid w:val="00B058B7"/>
    <w:rsid w:val="00B05A3E"/>
    <w:rsid w:val="00B05AD7"/>
    <w:rsid w:val="00B05B07"/>
    <w:rsid w:val="00B0602A"/>
    <w:rsid w:val="00B06178"/>
    <w:rsid w:val="00B06986"/>
    <w:rsid w:val="00B0746C"/>
    <w:rsid w:val="00B0781B"/>
    <w:rsid w:val="00B07909"/>
    <w:rsid w:val="00B079CA"/>
    <w:rsid w:val="00B079D6"/>
    <w:rsid w:val="00B07AEC"/>
    <w:rsid w:val="00B07C27"/>
    <w:rsid w:val="00B07EEC"/>
    <w:rsid w:val="00B105BA"/>
    <w:rsid w:val="00B10664"/>
    <w:rsid w:val="00B10906"/>
    <w:rsid w:val="00B10EAB"/>
    <w:rsid w:val="00B10F83"/>
    <w:rsid w:val="00B110DE"/>
    <w:rsid w:val="00B11538"/>
    <w:rsid w:val="00B11722"/>
    <w:rsid w:val="00B117FC"/>
    <w:rsid w:val="00B11C8D"/>
    <w:rsid w:val="00B11EAC"/>
    <w:rsid w:val="00B12052"/>
    <w:rsid w:val="00B120FC"/>
    <w:rsid w:val="00B12314"/>
    <w:rsid w:val="00B128B7"/>
    <w:rsid w:val="00B1318F"/>
    <w:rsid w:val="00B13718"/>
    <w:rsid w:val="00B13867"/>
    <w:rsid w:val="00B1392D"/>
    <w:rsid w:val="00B13E58"/>
    <w:rsid w:val="00B13E76"/>
    <w:rsid w:val="00B141AA"/>
    <w:rsid w:val="00B143A5"/>
    <w:rsid w:val="00B14C0B"/>
    <w:rsid w:val="00B14CA8"/>
    <w:rsid w:val="00B14DA8"/>
    <w:rsid w:val="00B14E18"/>
    <w:rsid w:val="00B150D8"/>
    <w:rsid w:val="00B157C3"/>
    <w:rsid w:val="00B15A2E"/>
    <w:rsid w:val="00B1606D"/>
    <w:rsid w:val="00B16119"/>
    <w:rsid w:val="00B174A2"/>
    <w:rsid w:val="00B17655"/>
    <w:rsid w:val="00B2034E"/>
    <w:rsid w:val="00B20444"/>
    <w:rsid w:val="00B20ACD"/>
    <w:rsid w:val="00B20D29"/>
    <w:rsid w:val="00B21108"/>
    <w:rsid w:val="00B219AC"/>
    <w:rsid w:val="00B21D5E"/>
    <w:rsid w:val="00B21DF7"/>
    <w:rsid w:val="00B225CD"/>
    <w:rsid w:val="00B22A90"/>
    <w:rsid w:val="00B22BBE"/>
    <w:rsid w:val="00B2300A"/>
    <w:rsid w:val="00B2310C"/>
    <w:rsid w:val="00B231B8"/>
    <w:rsid w:val="00B23C0E"/>
    <w:rsid w:val="00B23CDA"/>
    <w:rsid w:val="00B24200"/>
    <w:rsid w:val="00B24BC8"/>
    <w:rsid w:val="00B25263"/>
    <w:rsid w:val="00B25C97"/>
    <w:rsid w:val="00B25E4F"/>
    <w:rsid w:val="00B2620D"/>
    <w:rsid w:val="00B265AF"/>
    <w:rsid w:val="00B2681B"/>
    <w:rsid w:val="00B26A50"/>
    <w:rsid w:val="00B26C38"/>
    <w:rsid w:val="00B2749C"/>
    <w:rsid w:val="00B275B9"/>
    <w:rsid w:val="00B276B7"/>
    <w:rsid w:val="00B27EA8"/>
    <w:rsid w:val="00B27F5D"/>
    <w:rsid w:val="00B3076E"/>
    <w:rsid w:val="00B31334"/>
    <w:rsid w:val="00B313B1"/>
    <w:rsid w:val="00B32096"/>
    <w:rsid w:val="00B32607"/>
    <w:rsid w:val="00B32C81"/>
    <w:rsid w:val="00B32CB2"/>
    <w:rsid w:val="00B32E56"/>
    <w:rsid w:val="00B33415"/>
    <w:rsid w:val="00B33929"/>
    <w:rsid w:val="00B33CBF"/>
    <w:rsid w:val="00B345F1"/>
    <w:rsid w:val="00B346E9"/>
    <w:rsid w:val="00B348CD"/>
    <w:rsid w:val="00B34B1B"/>
    <w:rsid w:val="00B34E65"/>
    <w:rsid w:val="00B35878"/>
    <w:rsid w:val="00B35A39"/>
    <w:rsid w:val="00B35B4A"/>
    <w:rsid w:val="00B36003"/>
    <w:rsid w:val="00B36374"/>
    <w:rsid w:val="00B36AEA"/>
    <w:rsid w:val="00B376B5"/>
    <w:rsid w:val="00B37A98"/>
    <w:rsid w:val="00B37B97"/>
    <w:rsid w:val="00B40477"/>
    <w:rsid w:val="00B408E6"/>
    <w:rsid w:val="00B40CCE"/>
    <w:rsid w:val="00B410AB"/>
    <w:rsid w:val="00B41181"/>
    <w:rsid w:val="00B4132D"/>
    <w:rsid w:val="00B41482"/>
    <w:rsid w:val="00B41AC9"/>
    <w:rsid w:val="00B41F0A"/>
    <w:rsid w:val="00B420D5"/>
    <w:rsid w:val="00B422A8"/>
    <w:rsid w:val="00B422ED"/>
    <w:rsid w:val="00B42321"/>
    <w:rsid w:val="00B42674"/>
    <w:rsid w:val="00B42899"/>
    <w:rsid w:val="00B43088"/>
    <w:rsid w:val="00B430B8"/>
    <w:rsid w:val="00B431DE"/>
    <w:rsid w:val="00B4341E"/>
    <w:rsid w:val="00B43A87"/>
    <w:rsid w:val="00B43EB3"/>
    <w:rsid w:val="00B44E68"/>
    <w:rsid w:val="00B44E9B"/>
    <w:rsid w:val="00B44EC2"/>
    <w:rsid w:val="00B44F16"/>
    <w:rsid w:val="00B45531"/>
    <w:rsid w:val="00B4571D"/>
    <w:rsid w:val="00B459E9"/>
    <w:rsid w:val="00B45A25"/>
    <w:rsid w:val="00B45A5A"/>
    <w:rsid w:val="00B46872"/>
    <w:rsid w:val="00B46973"/>
    <w:rsid w:val="00B46D96"/>
    <w:rsid w:val="00B47073"/>
    <w:rsid w:val="00B47107"/>
    <w:rsid w:val="00B472C0"/>
    <w:rsid w:val="00B4754E"/>
    <w:rsid w:val="00B475D0"/>
    <w:rsid w:val="00B4775A"/>
    <w:rsid w:val="00B47858"/>
    <w:rsid w:val="00B47CD8"/>
    <w:rsid w:val="00B47FE0"/>
    <w:rsid w:val="00B50267"/>
    <w:rsid w:val="00B507DE"/>
    <w:rsid w:val="00B509D7"/>
    <w:rsid w:val="00B51267"/>
    <w:rsid w:val="00B5149B"/>
    <w:rsid w:val="00B5157B"/>
    <w:rsid w:val="00B51660"/>
    <w:rsid w:val="00B520FA"/>
    <w:rsid w:val="00B5269A"/>
    <w:rsid w:val="00B52A84"/>
    <w:rsid w:val="00B52D9D"/>
    <w:rsid w:val="00B53591"/>
    <w:rsid w:val="00B53904"/>
    <w:rsid w:val="00B539EC"/>
    <w:rsid w:val="00B53B30"/>
    <w:rsid w:val="00B542BA"/>
    <w:rsid w:val="00B542BF"/>
    <w:rsid w:val="00B55090"/>
    <w:rsid w:val="00B552C0"/>
    <w:rsid w:val="00B5549E"/>
    <w:rsid w:val="00B554AF"/>
    <w:rsid w:val="00B560B9"/>
    <w:rsid w:val="00B5657A"/>
    <w:rsid w:val="00B565EA"/>
    <w:rsid w:val="00B56C59"/>
    <w:rsid w:val="00B570D4"/>
    <w:rsid w:val="00B570ED"/>
    <w:rsid w:val="00B57159"/>
    <w:rsid w:val="00B57695"/>
    <w:rsid w:val="00B5791D"/>
    <w:rsid w:val="00B57F60"/>
    <w:rsid w:val="00B57FA8"/>
    <w:rsid w:val="00B6006D"/>
    <w:rsid w:val="00B6029A"/>
    <w:rsid w:val="00B6063C"/>
    <w:rsid w:val="00B608DE"/>
    <w:rsid w:val="00B60B32"/>
    <w:rsid w:val="00B60E31"/>
    <w:rsid w:val="00B60EB3"/>
    <w:rsid w:val="00B60F12"/>
    <w:rsid w:val="00B61000"/>
    <w:rsid w:val="00B6129D"/>
    <w:rsid w:val="00B612FC"/>
    <w:rsid w:val="00B61AE4"/>
    <w:rsid w:val="00B62120"/>
    <w:rsid w:val="00B621E9"/>
    <w:rsid w:val="00B62349"/>
    <w:rsid w:val="00B62EDF"/>
    <w:rsid w:val="00B632C3"/>
    <w:rsid w:val="00B63BEC"/>
    <w:rsid w:val="00B63D52"/>
    <w:rsid w:val="00B63E35"/>
    <w:rsid w:val="00B63F32"/>
    <w:rsid w:val="00B63F40"/>
    <w:rsid w:val="00B63F65"/>
    <w:rsid w:val="00B63FF7"/>
    <w:rsid w:val="00B640EF"/>
    <w:rsid w:val="00B64166"/>
    <w:rsid w:val="00B64F35"/>
    <w:rsid w:val="00B65693"/>
    <w:rsid w:val="00B65B3F"/>
    <w:rsid w:val="00B65C9B"/>
    <w:rsid w:val="00B65D3A"/>
    <w:rsid w:val="00B66ABE"/>
    <w:rsid w:val="00B66BAF"/>
    <w:rsid w:val="00B66E43"/>
    <w:rsid w:val="00B66E60"/>
    <w:rsid w:val="00B66F2D"/>
    <w:rsid w:val="00B671DB"/>
    <w:rsid w:val="00B67A2B"/>
    <w:rsid w:val="00B67B38"/>
    <w:rsid w:val="00B67F81"/>
    <w:rsid w:val="00B701EE"/>
    <w:rsid w:val="00B71292"/>
    <w:rsid w:val="00B71339"/>
    <w:rsid w:val="00B716CA"/>
    <w:rsid w:val="00B716EC"/>
    <w:rsid w:val="00B71783"/>
    <w:rsid w:val="00B718EB"/>
    <w:rsid w:val="00B71966"/>
    <w:rsid w:val="00B7289E"/>
    <w:rsid w:val="00B72BC0"/>
    <w:rsid w:val="00B72BE8"/>
    <w:rsid w:val="00B72E46"/>
    <w:rsid w:val="00B73435"/>
    <w:rsid w:val="00B735E9"/>
    <w:rsid w:val="00B736CB"/>
    <w:rsid w:val="00B73ABA"/>
    <w:rsid w:val="00B73BCA"/>
    <w:rsid w:val="00B7409F"/>
    <w:rsid w:val="00B74249"/>
    <w:rsid w:val="00B74D51"/>
    <w:rsid w:val="00B75246"/>
    <w:rsid w:val="00B75284"/>
    <w:rsid w:val="00B754D8"/>
    <w:rsid w:val="00B756B1"/>
    <w:rsid w:val="00B756BC"/>
    <w:rsid w:val="00B75B05"/>
    <w:rsid w:val="00B75C8A"/>
    <w:rsid w:val="00B75D0B"/>
    <w:rsid w:val="00B76846"/>
    <w:rsid w:val="00B7691D"/>
    <w:rsid w:val="00B76A1B"/>
    <w:rsid w:val="00B76B2D"/>
    <w:rsid w:val="00B76BC1"/>
    <w:rsid w:val="00B76F62"/>
    <w:rsid w:val="00B77303"/>
    <w:rsid w:val="00B774E8"/>
    <w:rsid w:val="00B77638"/>
    <w:rsid w:val="00B7765F"/>
    <w:rsid w:val="00B77824"/>
    <w:rsid w:val="00B77B42"/>
    <w:rsid w:val="00B77FAF"/>
    <w:rsid w:val="00B80058"/>
    <w:rsid w:val="00B805D8"/>
    <w:rsid w:val="00B80B6D"/>
    <w:rsid w:val="00B80C87"/>
    <w:rsid w:val="00B80D5E"/>
    <w:rsid w:val="00B80EDD"/>
    <w:rsid w:val="00B814A7"/>
    <w:rsid w:val="00B816BB"/>
    <w:rsid w:val="00B81780"/>
    <w:rsid w:val="00B81FD1"/>
    <w:rsid w:val="00B821CC"/>
    <w:rsid w:val="00B826E0"/>
    <w:rsid w:val="00B8278E"/>
    <w:rsid w:val="00B82A51"/>
    <w:rsid w:val="00B83000"/>
    <w:rsid w:val="00B830E3"/>
    <w:rsid w:val="00B8348E"/>
    <w:rsid w:val="00B8380E"/>
    <w:rsid w:val="00B83A85"/>
    <w:rsid w:val="00B83B03"/>
    <w:rsid w:val="00B83D68"/>
    <w:rsid w:val="00B84743"/>
    <w:rsid w:val="00B84AF8"/>
    <w:rsid w:val="00B85031"/>
    <w:rsid w:val="00B85082"/>
    <w:rsid w:val="00B852FC"/>
    <w:rsid w:val="00B85440"/>
    <w:rsid w:val="00B85A82"/>
    <w:rsid w:val="00B85B33"/>
    <w:rsid w:val="00B85F84"/>
    <w:rsid w:val="00B86897"/>
    <w:rsid w:val="00B86AF3"/>
    <w:rsid w:val="00B8711B"/>
    <w:rsid w:val="00B87185"/>
    <w:rsid w:val="00B87513"/>
    <w:rsid w:val="00B87B01"/>
    <w:rsid w:val="00B87CA9"/>
    <w:rsid w:val="00B9007E"/>
    <w:rsid w:val="00B909F7"/>
    <w:rsid w:val="00B92498"/>
    <w:rsid w:val="00B92859"/>
    <w:rsid w:val="00B92926"/>
    <w:rsid w:val="00B92BAC"/>
    <w:rsid w:val="00B9316F"/>
    <w:rsid w:val="00B931E4"/>
    <w:rsid w:val="00B93293"/>
    <w:rsid w:val="00B93364"/>
    <w:rsid w:val="00B93722"/>
    <w:rsid w:val="00B93780"/>
    <w:rsid w:val="00B93B8F"/>
    <w:rsid w:val="00B93EE5"/>
    <w:rsid w:val="00B93F4E"/>
    <w:rsid w:val="00B944F9"/>
    <w:rsid w:val="00B94613"/>
    <w:rsid w:val="00B94C93"/>
    <w:rsid w:val="00B94DB2"/>
    <w:rsid w:val="00B950C5"/>
    <w:rsid w:val="00B95B76"/>
    <w:rsid w:val="00B95BE7"/>
    <w:rsid w:val="00B962DF"/>
    <w:rsid w:val="00B96FF4"/>
    <w:rsid w:val="00B97154"/>
    <w:rsid w:val="00B971C8"/>
    <w:rsid w:val="00B972CB"/>
    <w:rsid w:val="00B97328"/>
    <w:rsid w:val="00B97AB4"/>
    <w:rsid w:val="00B97AF5"/>
    <w:rsid w:val="00B97BEC"/>
    <w:rsid w:val="00B97D02"/>
    <w:rsid w:val="00B97F18"/>
    <w:rsid w:val="00BA01D4"/>
    <w:rsid w:val="00BA08AC"/>
    <w:rsid w:val="00BA0D4E"/>
    <w:rsid w:val="00BA1486"/>
    <w:rsid w:val="00BA1542"/>
    <w:rsid w:val="00BA15B1"/>
    <w:rsid w:val="00BA18CD"/>
    <w:rsid w:val="00BA18FD"/>
    <w:rsid w:val="00BA1971"/>
    <w:rsid w:val="00BA1D82"/>
    <w:rsid w:val="00BA1DF4"/>
    <w:rsid w:val="00BA1EDB"/>
    <w:rsid w:val="00BA2337"/>
    <w:rsid w:val="00BA2B4B"/>
    <w:rsid w:val="00BA2CAB"/>
    <w:rsid w:val="00BA3121"/>
    <w:rsid w:val="00BA3150"/>
    <w:rsid w:val="00BA315A"/>
    <w:rsid w:val="00BA3665"/>
    <w:rsid w:val="00BA369A"/>
    <w:rsid w:val="00BA3C46"/>
    <w:rsid w:val="00BA3E25"/>
    <w:rsid w:val="00BA41ED"/>
    <w:rsid w:val="00BA438D"/>
    <w:rsid w:val="00BA4810"/>
    <w:rsid w:val="00BA4BE1"/>
    <w:rsid w:val="00BA4E3F"/>
    <w:rsid w:val="00BA52D0"/>
    <w:rsid w:val="00BA546D"/>
    <w:rsid w:val="00BA54A8"/>
    <w:rsid w:val="00BA5505"/>
    <w:rsid w:val="00BA5AE7"/>
    <w:rsid w:val="00BA6338"/>
    <w:rsid w:val="00BA68B9"/>
    <w:rsid w:val="00BA6A3E"/>
    <w:rsid w:val="00BA6C9E"/>
    <w:rsid w:val="00BA6DF2"/>
    <w:rsid w:val="00BA6E9C"/>
    <w:rsid w:val="00BA6EFD"/>
    <w:rsid w:val="00BA76A8"/>
    <w:rsid w:val="00BA7DE2"/>
    <w:rsid w:val="00BB01B1"/>
    <w:rsid w:val="00BB0810"/>
    <w:rsid w:val="00BB099D"/>
    <w:rsid w:val="00BB09E9"/>
    <w:rsid w:val="00BB0BB4"/>
    <w:rsid w:val="00BB0CEE"/>
    <w:rsid w:val="00BB0E5E"/>
    <w:rsid w:val="00BB0E63"/>
    <w:rsid w:val="00BB1568"/>
    <w:rsid w:val="00BB16B7"/>
    <w:rsid w:val="00BB1AAB"/>
    <w:rsid w:val="00BB1B88"/>
    <w:rsid w:val="00BB1EA5"/>
    <w:rsid w:val="00BB213E"/>
    <w:rsid w:val="00BB253B"/>
    <w:rsid w:val="00BB2B9A"/>
    <w:rsid w:val="00BB2BF3"/>
    <w:rsid w:val="00BB2C3D"/>
    <w:rsid w:val="00BB2E51"/>
    <w:rsid w:val="00BB3071"/>
    <w:rsid w:val="00BB30F9"/>
    <w:rsid w:val="00BB3332"/>
    <w:rsid w:val="00BB344B"/>
    <w:rsid w:val="00BB3452"/>
    <w:rsid w:val="00BB3DC7"/>
    <w:rsid w:val="00BB3F2A"/>
    <w:rsid w:val="00BB4080"/>
    <w:rsid w:val="00BB44C7"/>
    <w:rsid w:val="00BB4633"/>
    <w:rsid w:val="00BB468A"/>
    <w:rsid w:val="00BB494D"/>
    <w:rsid w:val="00BB4A0B"/>
    <w:rsid w:val="00BB4A2D"/>
    <w:rsid w:val="00BB4AD4"/>
    <w:rsid w:val="00BB51B3"/>
    <w:rsid w:val="00BB560A"/>
    <w:rsid w:val="00BB5937"/>
    <w:rsid w:val="00BB5A03"/>
    <w:rsid w:val="00BB6A83"/>
    <w:rsid w:val="00BB6A8F"/>
    <w:rsid w:val="00BB6B17"/>
    <w:rsid w:val="00BB6B18"/>
    <w:rsid w:val="00BB6D91"/>
    <w:rsid w:val="00BB6E58"/>
    <w:rsid w:val="00BB710C"/>
    <w:rsid w:val="00BB71D4"/>
    <w:rsid w:val="00BB7312"/>
    <w:rsid w:val="00BB7446"/>
    <w:rsid w:val="00BB7995"/>
    <w:rsid w:val="00BB7A42"/>
    <w:rsid w:val="00BB7A84"/>
    <w:rsid w:val="00BB7D06"/>
    <w:rsid w:val="00BC0212"/>
    <w:rsid w:val="00BC05EE"/>
    <w:rsid w:val="00BC06C0"/>
    <w:rsid w:val="00BC06DC"/>
    <w:rsid w:val="00BC0781"/>
    <w:rsid w:val="00BC09E4"/>
    <w:rsid w:val="00BC0B39"/>
    <w:rsid w:val="00BC0BA3"/>
    <w:rsid w:val="00BC0F02"/>
    <w:rsid w:val="00BC104E"/>
    <w:rsid w:val="00BC175A"/>
    <w:rsid w:val="00BC1E84"/>
    <w:rsid w:val="00BC1ED5"/>
    <w:rsid w:val="00BC1F41"/>
    <w:rsid w:val="00BC1F42"/>
    <w:rsid w:val="00BC2439"/>
    <w:rsid w:val="00BC2829"/>
    <w:rsid w:val="00BC310A"/>
    <w:rsid w:val="00BC3187"/>
    <w:rsid w:val="00BC34C2"/>
    <w:rsid w:val="00BC37A8"/>
    <w:rsid w:val="00BC38A0"/>
    <w:rsid w:val="00BC3C44"/>
    <w:rsid w:val="00BC3D3C"/>
    <w:rsid w:val="00BC3DDC"/>
    <w:rsid w:val="00BC44AB"/>
    <w:rsid w:val="00BC4FD0"/>
    <w:rsid w:val="00BC53D6"/>
    <w:rsid w:val="00BC5F6D"/>
    <w:rsid w:val="00BC6923"/>
    <w:rsid w:val="00BC6954"/>
    <w:rsid w:val="00BC6A96"/>
    <w:rsid w:val="00BC6AD7"/>
    <w:rsid w:val="00BC6C21"/>
    <w:rsid w:val="00BC713F"/>
    <w:rsid w:val="00BC7745"/>
    <w:rsid w:val="00BC7976"/>
    <w:rsid w:val="00BC7AEC"/>
    <w:rsid w:val="00BC7D01"/>
    <w:rsid w:val="00BC7E8B"/>
    <w:rsid w:val="00BC7FB6"/>
    <w:rsid w:val="00BD0015"/>
    <w:rsid w:val="00BD0046"/>
    <w:rsid w:val="00BD0247"/>
    <w:rsid w:val="00BD0284"/>
    <w:rsid w:val="00BD0463"/>
    <w:rsid w:val="00BD0498"/>
    <w:rsid w:val="00BD0887"/>
    <w:rsid w:val="00BD0A02"/>
    <w:rsid w:val="00BD0BAE"/>
    <w:rsid w:val="00BD0C26"/>
    <w:rsid w:val="00BD0EFE"/>
    <w:rsid w:val="00BD0F22"/>
    <w:rsid w:val="00BD0F94"/>
    <w:rsid w:val="00BD1036"/>
    <w:rsid w:val="00BD108A"/>
    <w:rsid w:val="00BD1222"/>
    <w:rsid w:val="00BD1B7C"/>
    <w:rsid w:val="00BD1BA6"/>
    <w:rsid w:val="00BD209C"/>
    <w:rsid w:val="00BD29BA"/>
    <w:rsid w:val="00BD2EAC"/>
    <w:rsid w:val="00BD2ECB"/>
    <w:rsid w:val="00BD32B7"/>
    <w:rsid w:val="00BD33C6"/>
    <w:rsid w:val="00BD3851"/>
    <w:rsid w:val="00BD3DA8"/>
    <w:rsid w:val="00BD404A"/>
    <w:rsid w:val="00BD43EE"/>
    <w:rsid w:val="00BD495B"/>
    <w:rsid w:val="00BD4CE0"/>
    <w:rsid w:val="00BD4D3C"/>
    <w:rsid w:val="00BD51E2"/>
    <w:rsid w:val="00BD5231"/>
    <w:rsid w:val="00BD5270"/>
    <w:rsid w:val="00BD58F0"/>
    <w:rsid w:val="00BD5FBF"/>
    <w:rsid w:val="00BD5FFF"/>
    <w:rsid w:val="00BD63D7"/>
    <w:rsid w:val="00BD63ED"/>
    <w:rsid w:val="00BD6B30"/>
    <w:rsid w:val="00BD6EC0"/>
    <w:rsid w:val="00BD6ED0"/>
    <w:rsid w:val="00BD73B5"/>
    <w:rsid w:val="00BD73C5"/>
    <w:rsid w:val="00BD749B"/>
    <w:rsid w:val="00BD7D50"/>
    <w:rsid w:val="00BD7FBF"/>
    <w:rsid w:val="00BE0097"/>
    <w:rsid w:val="00BE0212"/>
    <w:rsid w:val="00BE0402"/>
    <w:rsid w:val="00BE0693"/>
    <w:rsid w:val="00BE07D5"/>
    <w:rsid w:val="00BE0D18"/>
    <w:rsid w:val="00BE1991"/>
    <w:rsid w:val="00BE1CBC"/>
    <w:rsid w:val="00BE1DC6"/>
    <w:rsid w:val="00BE1DEB"/>
    <w:rsid w:val="00BE1E3E"/>
    <w:rsid w:val="00BE1EE9"/>
    <w:rsid w:val="00BE2440"/>
    <w:rsid w:val="00BE2C5C"/>
    <w:rsid w:val="00BE2FB3"/>
    <w:rsid w:val="00BE307D"/>
    <w:rsid w:val="00BE323E"/>
    <w:rsid w:val="00BE355A"/>
    <w:rsid w:val="00BE35BC"/>
    <w:rsid w:val="00BE35C4"/>
    <w:rsid w:val="00BE364C"/>
    <w:rsid w:val="00BE39A4"/>
    <w:rsid w:val="00BE3E25"/>
    <w:rsid w:val="00BE4021"/>
    <w:rsid w:val="00BE40C4"/>
    <w:rsid w:val="00BE456B"/>
    <w:rsid w:val="00BE45E9"/>
    <w:rsid w:val="00BE4624"/>
    <w:rsid w:val="00BE4741"/>
    <w:rsid w:val="00BE4A2C"/>
    <w:rsid w:val="00BE4E5E"/>
    <w:rsid w:val="00BE4EC9"/>
    <w:rsid w:val="00BE5319"/>
    <w:rsid w:val="00BE5793"/>
    <w:rsid w:val="00BE57BD"/>
    <w:rsid w:val="00BE592B"/>
    <w:rsid w:val="00BE5F9E"/>
    <w:rsid w:val="00BE61F2"/>
    <w:rsid w:val="00BE64EC"/>
    <w:rsid w:val="00BE67C9"/>
    <w:rsid w:val="00BE6FC6"/>
    <w:rsid w:val="00BE70D4"/>
    <w:rsid w:val="00BE722C"/>
    <w:rsid w:val="00BE7462"/>
    <w:rsid w:val="00BE7B7C"/>
    <w:rsid w:val="00BE7DD0"/>
    <w:rsid w:val="00BE7EB0"/>
    <w:rsid w:val="00BF00E0"/>
    <w:rsid w:val="00BF046B"/>
    <w:rsid w:val="00BF0BD7"/>
    <w:rsid w:val="00BF0C1D"/>
    <w:rsid w:val="00BF0D4F"/>
    <w:rsid w:val="00BF1215"/>
    <w:rsid w:val="00BF1288"/>
    <w:rsid w:val="00BF1563"/>
    <w:rsid w:val="00BF1A74"/>
    <w:rsid w:val="00BF1DFF"/>
    <w:rsid w:val="00BF1FC5"/>
    <w:rsid w:val="00BF20DA"/>
    <w:rsid w:val="00BF259E"/>
    <w:rsid w:val="00BF25E3"/>
    <w:rsid w:val="00BF2959"/>
    <w:rsid w:val="00BF2BED"/>
    <w:rsid w:val="00BF323B"/>
    <w:rsid w:val="00BF33D7"/>
    <w:rsid w:val="00BF352D"/>
    <w:rsid w:val="00BF4226"/>
    <w:rsid w:val="00BF4788"/>
    <w:rsid w:val="00BF4885"/>
    <w:rsid w:val="00BF4BDF"/>
    <w:rsid w:val="00BF562F"/>
    <w:rsid w:val="00BF5648"/>
    <w:rsid w:val="00BF5A1E"/>
    <w:rsid w:val="00BF5E41"/>
    <w:rsid w:val="00BF6161"/>
    <w:rsid w:val="00BF62A3"/>
    <w:rsid w:val="00BF696D"/>
    <w:rsid w:val="00BF6AF7"/>
    <w:rsid w:val="00BF6D8B"/>
    <w:rsid w:val="00BF7421"/>
    <w:rsid w:val="00C001D5"/>
    <w:rsid w:val="00C0022C"/>
    <w:rsid w:val="00C00332"/>
    <w:rsid w:val="00C00361"/>
    <w:rsid w:val="00C00501"/>
    <w:rsid w:val="00C00C68"/>
    <w:rsid w:val="00C01FC9"/>
    <w:rsid w:val="00C021B1"/>
    <w:rsid w:val="00C023C1"/>
    <w:rsid w:val="00C02533"/>
    <w:rsid w:val="00C02982"/>
    <w:rsid w:val="00C02A6F"/>
    <w:rsid w:val="00C02A83"/>
    <w:rsid w:val="00C02A8A"/>
    <w:rsid w:val="00C02AA2"/>
    <w:rsid w:val="00C02B77"/>
    <w:rsid w:val="00C035E1"/>
    <w:rsid w:val="00C03DD2"/>
    <w:rsid w:val="00C04301"/>
    <w:rsid w:val="00C045F8"/>
    <w:rsid w:val="00C04DAE"/>
    <w:rsid w:val="00C0530B"/>
    <w:rsid w:val="00C05573"/>
    <w:rsid w:val="00C05609"/>
    <w:rsid w:val="00C05862"/>
    <w:rsid w:val="00C05BBA"/>
    <w:rsid w:val="00C05C47"/>
    <w:rsid w:val="00C05F41"/>
    <w:rsid w:val="00C0650B"/>
    <w:rsid w:val="00C06B9E"/>
    <w:rsid w:val="00C06BF3"/>
    <w:rsid w:val="00C06FCD"/>
    <w:rsid w:val="00C077E4"/>
    <w:rsid w:val="00C07944"/>
    <w:rsid w:val="00C07DD1"/>
    <w:rsid w:val="00C07ED6"/>
    <w:rsid w:val="00C07EED"/>
    <w:rsid w:val="00C10497"/>
    <w:rsid w:val="00C107FA"/>
    <w:rsid w:val="00C10899"/>
    <w:rsid w:val="00C1097B"/>
    <w:rsid w:val="00C10A45"/>
    <w:rsid w:val="00C10F47"/>
    <w:rsid w:val="00C10FD6"/>
    <w:rsid w:val="00C110C8"/>
    <w:rsid w:val="00C114A8"/>
    <w:rsid w:val="00C11DFF"/>
    <w:rsid w:val="00C122C3"/>
    <w:rsid w:val="00C123F0"/>
    <w:rsid w:val="00C12478"/>
    <w:rsid w:val="00C127B7"/>
    <w:rsid w:val="00C127BE"/>
    <w:rsid w:val="00C12A18"/>
    <w:rsid w:val="00C12C2C"/>
    <w:rsid w:val="00C13B3F"/>
    <w:rsid w:val="00C13C08"/>
    <w:rsid w:val="00C13C88"/>
    <w:rsid w:val="00C14709"/>
    <w:rsid w:val="00C14770"/>
    <w:rsid w:val="00C14A17"/>
    <w:rsid w:val="00C14A29"/>
    <w:rsid w:val="00C14C3C"/>
    <w:rsid w:val="00C14E73"/>
    <w:rsid w:val="00C1512B"/>
    <w:rsid w:val="00C151E1"/>
    <w:rsid w:val="00C154E4"/>
    <w:rsid w:val="00C1555B"/>
    <w:rsid w:val="00C15656"/>
    <w:rsid w:val="00C156F8"/>
    <w:rsid w:val="00C15A0D"/>
    <w:rsid w:val="00C15D88"/>
    <w:rsid w:val="00C160B3"/>
    <w:rsid w:val="00C16212"/>
    <w:rsid w:val="00C162AC"/>
    <w:rsid w:val="00C16AFF"/>
    <w:rsid w:val="00C17760"/>
    <w:rsid w:val="00C17BE5"/>
    <w:rsid w:val="00C17C1A"/>
    <w:rsid w:val="00C2014C"/>
    <w:rsid w:val="00C20457"/>
    <w:rsid w:val="00C205C3"/>
    <w:rsid w:val="00C20884"/>
    <w:rsid w:val="00C20C04"/>
    <w:rsid w:val="00C20CD5"/>
    <w:rsid w:val="00C2116A"/>
    <w:rsid w:val="00C214BD"/>
    <w:rsid w:val="00C21F72"/>
    <w:rsid w:val="00C220C5"/>
    <w:rsid w:val="00C22544"/>
    <w:rsid w:val="00C2301C"/>
    <w:rsid w:val="00C231F4"/>
    <w:rsid w:val="00C23584"/>
    <w:rsid w:val="00C23EEF"/>
    <w:rsid w:val="00C243B0"/>
    <w:rsid w:val="00C24646"/>
    <w:rsid w:val="00C2467C"/>
    <w:rsid w:val="00C2474A"/>
    <w:rsid w:val="00C24911"/>
    <w:rsid w:val="00C24E52"/>
    <w:rsid w:val="00C25058"/>
    <w:rsid w:val="00C25CBE"/>
    <w:rsid w:val="00C25D95"/>
    <w:rsid w:val="00C26507"/>
    <w:rsid w:val="00C2652A"/>
    <w:rsid w:val="00C26763"/>
    <w:rsid w:val="00C26834"/>
    <w:rsid w:val="00C26D08"/>
    <w:rsid w:val="00C26FDB"/>
    <w:rsid w:val="00C27199"/>
    <w:rsid w:val="00C30CBF"/>
    <w:rsid w:val="00C30CF7"/>
    <w:rsid w:val="00C30E99"/>
    <w:rsid w:val="00C312FE"/>
    <w:rsid w:val="00C31303"/>
    <w:rsid w:val="00C317FE"/>
    <w:rsid w:val="00C31DDA"/>
    <w:rsid w:val="00C31FBA"/>
    <w:rsid w:val="00C32064"/>
    <w:rsid w:val="00C3212F"/>
    <w:rsid w:val="00C3299C"/>
    <w:rsid w:val="00C32F52"/>
    <w:rsid w:val="00C33418"/>
    <w:rsid w:val="00C338E5"/>
    <w:rsid w:val="00C338F5"/>
    <w:rsid w:val="00C33A22"/>
    <w:rsid w:val="00C33B47"/>
    <w:rsid w:val="00C33BD7"/>
    <w:rsid w:val="00C33C0E"/>
    <w:rsid w:val="00C34172"/>
    <w:rsid w:val="00C341F6"/>
    <w:rsid w:val="00C342B5"/>
    <w:rsid w:val="00C345C5"/>
    <w:rsid w:val="00C354EF"/>
    <w:rsid w:val="00C35968"/>
    <w:rsid w:val="00C35E28"/>
    <w:rsid w:val="00C361CC"/>
    <w:rsid w:val="00C36674"/>
    <w:rsid w:val="00C36710"/>
    <w:rsid w:val="00C36895"/>
    <w:rsid w:val="00C36A49"/>
    <w:rsid w:val="00C36FA4"/>
    <w:rsid w:val="00C37496"/>
    <w:rsid w:val="00C40111"/>
    <w:rsid w:val="00C4031F"/>
    <w:rsid w:val="00C404BC"/>
    <w:rsid w:val="00C40717"/>
    <w:rsid w:val="00C407F3"/>
    <w:rsid w:val="00C40C10"/>
    <w:rsid w:val="00C40D61"/>
    <w:rsid w:val="00C40EE0"/>
    <w:rsid w:val="00C41CFD"/>
    <w:rsid w:val="00C41DC4"/>
    <w:rsid w:val="00C41E94"/>
    <w:rsid w:val="00C420AD"/>
    <w:rsid w:val="00C4211E"/>
    <w:rsid w:val="00C42122"/>
    <w:rsid w:val="00C4243B"/>
    <w:rsid w:val="00C42697"/>
    <w:rsid w:val="00C42922"/>
    <w:rsid w:val="00C42B82"/>
    <w:rsid w:val="00C4359A"/>
    <w:rsid w:val="00C435B4"/>
    <w:rsid w:val="00C43994"/>
    <w:rsid w:val="00C439AE"/>
    <w:rsid w:val="00C43C83"/>
    <w:rsid w:val="00C43E33"/>
    <w:rsid w:val="00C4401A"/>
    <w:rsid w:val="00C444EE"/>
    <w:rsid w:val="00C44ECD"/>
    <w:rsid w:val="00C450C1"/>
    <w:rsid w:val="00C450D5"/>
    <w:rsid w:val="00C45233"/>
    <w:rsid w:val="00C45305"/>
    <w:rsid w:val="00C45788"/>
    <w:rsid w:val="00C45B6E"/>
    <w:rsid w:val="00C45ED3"/>
    <w:rsid w:val="00C4611E"/>
    <w:rsid w:val="00C46783"/>
    <w:rsid w:val="00C46988"/>
    <w:rsid w:val="00C469B9"/>
    <w:rsid w:val="00C476BC"/>
    <w:rsid w:val="00C477A6"/>
    <w:rsid w:val="00C47B5A"/>
    <w:rsid w:val="00C500DA"/>
    <w:rsid w:val="00C50200"/>
    <w:rsid w:val="00C503A1"/>
    <w:rsid w:val="00C508DD"/>
    <w:rsid w:val="00C50B46"/>
    <w:rsid w:val="00C50BCA"/>
    <w:rsid w:val="00C50CEE"/>
    <w:rsid w:val="00C50D76"/>
    <w:rsid w:val="00C512D4"/>
    <w:rsid w:val="00C51615"/>
    <w:rsid w:val="00C51F3C"/>
    <w:rsid w:val="00C521D5"/>
    <w:rsid w:val="00C5233E"/>
    <w:rsid w:val="00C524E2"/>
    <w:rsid w:val="00C52568"/>
    <w:rsid w:val="00C526FE"/>
    <w:rsid w:val="00C52B66"/>
    <w:rsid w:val="00C52BDD"/>
    <w:rsid w:val="00C52E3F"/>
    <w:rsid w:val="00C52F3D"/>
    <w:rsid w:val="00C531BD"/>
    <w:rsid w:val="00C539FE"/>
    <w:rsid w:val="00C544C1"/>
    <w:rsid w:val="00C54731"/>
    <w:rsid w:val="00C54A99"/>
    <w:rsid w:val="00C558A1"/>
    <w:rsid w:val="00C55C77"/>
    <w:rsid w:val="00C55ED6"/>
    <w:rsid w:val="00C56E0B"/>
    <w:rsid w:val="00C576FC"/>
    <w:rsid w:val="00C57B35"/>
    <w:rsid w:val="00C57E02"/>
    <w:rsid w:val="00C57FB9"/>
    <w:rsid w:val="00C6050C"/>
    <w:rsid w:val="00C605A6"/>
    <w:rsid w:val="00C60B22"/>
    <w:rsid w:val="00C60C07"/>
    <w:rsid w:val="00C61020"/>
    <w:rsid w:val="00C61241"/>
    <w:rsid w:val="00C61398"/>
    <w:rsid w:val="00C61518"/>
    <w:rsid w:val="00C61668"/>
    <w:rsid w:val="00C61826"/>
    <w:rsid w:val="00C624CC"/>
    <w:rsid w:val="00C62553"/>
    <w:rsid w:val="00C62952"/>
    <w:rsid w:val="00C62A8C"/>
    <w:rsid w:val="00C63325"/>
    <w:rsid w:val="00C63D4E"/>
    <w:rsid w:val="00C64292"/>
    <w:rsid w:val="00C644D1"/>
    <w:rsid w:val="00C6451F"/>
    <w:rsid w:val="00C64871"/>
    <w:rsid w:val="00C64E85"/>
    <w:rsid w:val="00C64F11"/>
    <w:rsid w:val="00C6509D"/>
    <w:rsid w:val="00C6558A"/>
    <w:rsid w:val="00C664E4"/>
    <w:rsid w:val="00C668BF"/>
    <w:rsid w:val="00C66C7D"/>
    <w:rsid w:val="00C66E8F"/>
    <w:rsid w:val="00C67492"/>
    <w:rsid w:val="00C67C19"/>
    <w:rsid w:val="00C70889"/>
    <w:rsid w:val="00C70904"/>
    <w:rsid w:val="00C70A57"/>
    <w:rsid w:val="00C70BAD"/>
    <w:rsid w:val="00C70D47"/>
    <w:rsid w:val="00C7113D"/>
    <w:rsid w:val="00C7154C"/>
    <w:rsid w:val="00C71669"/>
    <w:rsid w:val="00C71760"/>
    <w:rsid w:val="00C71DF9"/>
    <w:rsid w:val="00C71F2D"/>
    <w:rsid w:val="00C723AC"/>
    <w:rsid w:val="00C728E1"/>
    <w:rsid w:val="00C72D61"/>
    <w:rsid w:val="00C72EEE"/>
    <w:rsid w:val="00C73041"/>
    <w:rsid w:val="00C738F3"/>
    <w:rsid w:val="00C739E5"/>
    <w:rsid w:val="00C73B37"/>
    <w:rsid w:val="00C73DC7"/>
    <w:rsid w:val="00C743CE"/>
    <w:rsid w:val="00C7490F"/>
    <w:rsid w:val="00C74F1C"/>
    <w:rsid w:val="00C7526B"/>
    <w:rsid w:val="00C75484"/>
    <w:rsid w:val="00C7573E"/>
    <w:rsid w:val="00C75F30"/>
    <w:rsid w:val="00C7600B"/>
    <w:rsid w:val="00C7638B"/>
    <w:rsid w:val="00C769EC"/>
    <w:rsid w:val="00C76BF3"/>
    <w:rsid w:val="00C7729C"/>
    <w:rsid w:val="00C77434"/>
    <w:rsid w:val="00C77EC8"/>
    <w:rsid w:val="00C803A7"/>
    <w:rsid w:val="00C81910"/>
    <w:rsid w:val="00C81C34"/>
    <w:rsid w:val="00C81F98"/>
    <w:rsid w:val="00C82098"/>
    <w:rsid w:val="00C82B54"/>
    <w:rsid w:val="00C82E44"/>
    <w:rsid w:val="00C82F17"/>
    <w:rsid w:val="00C8327C"/>
    <w:rsid w:val="00C83D07"/>
    <w:rsid w:val="00C83ED4"/>
    <w:rsid w:val="00C8406A"/>
    <w:rsid w:val="00C8500A"/>
    <w:rsid w:val="00C85AAB"/>
    <w:rsid w:val="00C85BA4"/>
    <w:rsid w:val="00C85E87"/>
    <w:rsid w:val="00C860E8"/>
    <w:rsid w:val="00C8614C"/>
    <w:rsid w:val="00C86341"/>
    <w:rsid w:val="00C86578"/>
    <w:rsid w:val="00C865A7"/>
    <w:rsid w:val="00C86745"/>
    <w:rsid w:val="00C867DE"/>
    <w:rsid w:val="00C8694C"/>
    <w:rsid w:val="00C8734F"/>
    <w:rsid w:val="00C87D56"/>
    <w:rsid w:val="00C90205"/>
    <w:rsid w:val="00C905F7"/>
    <w:rsid w:val="00C90E4B"/>
    <w:rsid w:val="00C9140C"/>
    <w:rsid w:val="00C91603"/>
    <w:rsid w:val="00C91E5E"/>
    <w:rsid w:val="00C922D0"/>
    <w:rsid w:val="00C9257A"/>
    <w:rsid w:val="00C927A0"/>
    <w:rsid w:val="00C9323A"/>
    <w:rsid w:val="00C93360"/>
    <w:rsid w:val="00C93A00"/>
    <w:rsid w:val="00C93BDF"/>
    <w:rsid w:val="00C94364"/>
    <w:rsid w:val="00C94563"/>
    <w:rsid w:val="00C946B7"/>
    <w:rsid w:val="00C94721"/>
    <w:rsid w:val="00C94A22"/>
    <w:rsid w:val="00C94A8C"/>
    <w:rsid w:val="00C94AD5"/>
    <w:rsid w:val="00C94C69"/>
    <w:rsid w:val="00C94C87"/>
    <w:rsid w:val="00C94FF6"/>
    <w:rsid w:val="00C95415"/>
    <w:rsid w:val="00C95A9B"/>
    <w:rsid w:val="00C95F7C"/>
    <w:rsid w:val="00C96361"/>
    <w:rsid w:val="00C963E8"/>
    <w:rsid w:val="00C96D9F"/>
    <w:rsid w:val="00C96E29"/>
    <w:rsid w:val="00C96F8B"/>
    <w:rsid w:val="00C97026"/>
    <w:rsid w:val="00C977DC"/>
    <w:rsid w:val="00C97ACE"/>
    <w:rsid w:val="00CA032E"/>
    <w:rsid w:val="00CA05F5"/>
    <w:rsid w:val="00CA0896"/>
    <w:rsid w:val="00CA08AA"/>
    <w:rsid w:val="00CA0A53"/>
    <w:rsid w:val="00CA0B58"/>
    <w:rsid w:val="00CA13A3"/>
    <w:rsid w:val="00CA1640"/>
    <w:rsid w:val="00CA18D2"/>
    <w:rsid w:val="00CA1B77"/>
    <w:rsid w:val="00CA278F"/>
    <w:rsid w:val="00CA2E26"/>
    <w:rsid w:val="00CA305F"/>
    <w:rsid w:val="00CA3555"/>
    <w:rsid w:val="00CA3DCC"/>
    <w:rsid w:val="00CA3E86"/>
    <w:rsid w:val="00CA3FE7"/>
    <w:rsid w:val="00CA48DE"/>
    <w:rsid w:val="00CA4938"/>
    <w:rsid w:val="00CA4B57"/>
    <w:rsid w:val="00CA4C77"/>
    <w:rsid w:val="00CA4CF8"/>
    <w:rsid w:val="00CA50DE"/>
    <w:rsid w:val="00CA52A5"/>
    <w:rsid w:val="00CA5433"/>
    <w:rsid w:val="00CA59CA"/>
    <w:rsid w:val="00CA5C1E"/>
    <w:rsid w:val="00CA5CF8"/>
    <w:rsid w:val="00CA5EB8"/>
    <w:rsid w:val="00CA6054"/>
    <w:rsid w:val="00CA6307"/>
    <w:rsid w:val="00CA64C8"/>
    <w:rsid w:val="00CA64FD"/>
    <w:rsid w:val="00CA7158"/>
    <w:rsid w:val="00CA7593"/>
    <w:rsid w:val="00CA79BD"/>
    <w:rsid w:val="00CA7B5D"/>
    <w:rsid w:val="00CA7B9D"/>
    <w:rsid w:val="00CB0276"/>
    <w:rsid w:val="00CB0701"/>
    <w:rsid w:val="00CB0CB1"/>
    <w:rsid w:val="00CB1229"/>
    <w:rsid w:val="00CB130F"/>
    <w:rsid w:val="00CB1537"/>
    <w:rsid w:val="00CB1AD9"/>
    <w:rsid w:val="00CB1B74"/>
    <w:rsid w:val="00CB1D2E"/>
    <w:rsid w:val="00CB216F"/>
    <w:rsid w:val="00CB227F"/>
    <w:rsid w:val="00CB286D"/>
    <w:rsid w:val="00CB2D3C"/>
    <w:rsid w:val="00CB2D40"/>
    <w:rsid w:val="00CB30A3"/>
    <w:rsid w:val="00CB36EF"/>
    <w:rsid w:val="00CB3A67"/>
    <w:rsid w:val="00CB3D4A"/>
    <w:rsid w:val="00CB3DD0"/>
    <w:rsid w:val="00CB3FE8"/>
    <w:rsid w:val="00CB4379"/>
    <w:rsid w:val="00CB4752"/>
    <w:rsid w:val="00CB4CA8"/>
    <w:rsid w:val="00CB4DE4"/>
    <w:rsid w:val="00CB4DEE"/>
    <w:rsid w:val="00CB583D"/>
    <w:rsid w:val="00CB58FB"/>
    <w:rsid w:val="00CB5C9D"/>
    <w:rsid w:val="00CB666B"/>
    <w:rsid w:val="00CB6AF4"/>
    <w:rsid w:val="00CB6B88"/>
    <w:rsid w:val="00CB6F7F"/>
    <w:rsid w:val="00CB72BA"/>
    <w:rsid w:val="00CB754B"/>
    <w:rsid w:val="00CB75A9"/>
    <w:rsid w:val="00CB7AA4"/>
    <w:rsid w:val="00CB7AD5"/>
    <w:rsid w:val="00CC00AB"/>
    <w:rsid w:val="00CC07F0"/>
    <w:rsid w:val="00CC0ACD"/>
    <w:rsid w:val="00CC0BEA"/>
    <w:rsid w:val="00CC0D32"/>
    <w:rsid w:val="00CC11FB"/>
    <w:rsid w:val="00CC12DB"/>
    <w:rsid w:val="00CC1BD4"/>
    <w:rsid w:val="00CC1F03"/>
    <w:rsid w:val="00CC1F9A"/>
    <w:rsid w:val="00CC205F"/>
    <w:rsid w:val="00CC2737"/>
    <w:rsid w:val="00CC2A5F"/>
    <w:rsid w:val="00CC2F03"/>
    <w:rsid w:val="00CC2F3D"/>
    <w:rsid w:val="00CC312B"/>
    <w:rsid w:val="00CC3496"/>
    <w:rsid w:val="00CC3C39"/>
    <w:rsid w:val="00CC3DCD"/>
    <w:rsid w:val="00CC3F2E"/>
    <w:rsid w:val="00CC42DA"/>
    <w:rsid w:val="00CC4513"/>
    <w:rsid w:val="00CC4B39"/>
    <w:rsid w:val="00CC4C24"/>
    <w:rsid w:val="00CC4DCD"/>
    <w:rsid w:val="00CC4E4F"/>
    <w:rsid w:val="00CC53CE"/>
    <w:rsid w:val="00CC57F7"/>
    <w:rsid w:val="00CC5953"/>
    <w:rsid w:val="00CC5B12"/>
    <w:rsid w:val="00CC6099"/>
    <w:rsid w:val="00CC640F"/>
    <w:rsid w:val="00CC6496"/>
    <w:rsid w:val="00CC69E8"/>
    <w:rsid w:val="00CC6B3F"/>
    <w:rsid w:val="00CC6F81"/>
    <w:rsid w:val="00CC7A10"/>
    <w:rsid w:val="00CC7D18"/>
    <w:rsid w:val="00CD023E"/>
    <w:rsid w:val="00CD031D"/>
    <w:rsid w:val="00CD0527"/>
    <w:rsid w:val="00CD0EF4"/>
    <w:rsid w:val="00CD160B"/>
    <w:rsid w:val="00CD174C"/>
    <w:rsid w:val="00CD1C67"/>
    <w:rsid w:val="00CD1D9B"/>
    <w:rsid w:val="00CD20C5"/>
    <w:rsid w:val="00CD256D"/>
    <w:rsid w:val="00CD2628"/>
    <w:rsid w:val="00CD2ED6"/>
    <w:rsid w:val="00CD3002"/>
    <w:rsid w:val="00CD31E6"/>
    <w:rsid w:val="00CD33E5"/>
    <w:rsid w:val="00CD341C"/>
    <w:rsid w:val="00CD3468"/>
    <w:rsid w:val="00CD3B48"/>
    <w:rsid w:val="00CD436F"/>
    <w:rsid w:val="00CD4385"/>
    <w:rsid w:val="00CD440C"/>
    <w:rsid w:val="00CD44BE"/>
    <w:rsid w:val="00CD46E9"/>
    <w:rsid w:val="00CD4754"/>
    <w:rsid w:val="00CD49DF"/>
    <w:rsid w:val="00CD4B47"/>
    <w:rsid w:val="00CD4EE6"/>
    <w:rsid w:val="00CD5F8C"/>
    <w:rsid w:val="00CD5FBD"/>
    <w:rsid w:val="00CD629C"/>
    <w:rsid w:val="00CD6CF8"/>
    <w:rsid w:val="00CD7828"/>
    <w:rsid w:val="00CD7BF7"/>
    <w:rsid w:val="00CD7C2A"/>
    <w:rsid w:val="00CD7E95"/>
    <w:rsid w:val="00CE0224"/>
    <w:rsid w:val="00CE04DB"/>
    <w:rsid w:val="00CE0C61"/>
    <w:rsid w:val="00CE1501"/>
    <w:rsid w:val="00CE1841"/>
    <w:rsid w:val="00CE190B"/>
    <w:rsid w:val="00CE193A"/>
    <w:rsid w:val="00CE1A1D"/>
    <w:rsid w:val="00CE26A0"/>
    <w:rsid w:val="00CE2997"/>
    <w:rsid w:val="00CE2A79"/>
    <w:rsid w:val="00CE363E"/>
    <w:rsid w:val="00CE37A5"/>
    <w:rsid w:val="00CE3978"/>
    <w:rsid w:val="00CE3E6F"/>
    <w:rsid w:val="00CE4143"/>
    <w:rsid w:val="00CE44D5"/>
    <w:rsid w:val="00CE46E0"/>
    <w:rsid w:val="00CE4824"/>
    <w:rsid w:val="00CE4C21"/>
    <w:rsid w:val="00CE4DA2"/>
    <w:rsid w:val="00CE4EE8"/>
    <w:rsid w:val="00CE5EB8"/>
    <w:rsid w:val="00CE62C3"/>
    <w:rsid w:val="00CE63DD"/>
    <w:rsid w:val="00CE6445"/>
    <w:rsid w:val="00CE71B9"/>
    <w:rsid w:val="00CE729A"/>
    <w:rsid w:val="00CE72FD"/>
    <w:rsid w:val="00CE7388"/>
    <w:rsid w:val="00CE74A2"/>
    <w:rsid w:val="00CE7E9D"/>
    <w:rsid w:val="00CE7F5C"/>
    <w:rsid w:val="00CE7F5E"/>
    <w:rsid w:val="00CF0043"/>
    <w:rsid w:val="00CF0624"/>
    <w:rsid w:val="00CF0879"/>
    <w:rsid w:val="00CF0DC0"/>
    <w:rsid w:val="00CF0F94"/>
    <w:rsid w:val="00CF2444"/>
    <w:rsid w:val="00CF2481"/>
    <w:rsid w:val="00CF2637"/>
    <w:rsid w:val="00CF29B4"/>
    <w:rsid w:val="00CF2DA2"/>
    <w:rsid w:val="00CF2E87"/>
    <w:rsid w:val="00CF3032"/>
    <w:rsid w:val="00CF39E1"/>
    <w:rsid w:val="00CF4224"/>
    <w:rsid w:val="00CF469F"/>
    <w:rsid w:val="00CF4C43"/>
    <w:rsid w:val="00CF519F"/>
    <w:rsid w:val="00CF543D"/>
    <w:rsid w:val="00CF546F"/>
    <w:rsid w:val="00CF5D9E"/>
    <w:rsid w:val="00CF613F"/>
    <w:rsid w:val="00CF6567"/>
    <w:rsid w:val="00CF65BC"/>
    <w:rsid w:val="00CF6AC4"/>
    <w:rsid w:val="00CF71FB"/>
    <w:rsid w:val="00CF730B"/>
    <w:rsid w:val="00CF750A"/>
    <w:rsid w:val="00CF7538"/>
    <w:rsid w:val="00CF7549"/>
    <w:rsid w:val="00CF79F2"/>
    <w:rsid w:val="00CF7C09"/>
    <w:rsid w:val="00CF7DCA"/>
    <w:rsid w:val="00D00212"/>
    <w:rsid w:val="00D00294"/>
    <w:rsid w:val="00D0040A"/>
    <w:rsid w:val="00D0066A"/>
    <w:rsid w:val="00D0076A"/>
    <w:rsid w:val="00D009A5"/>
    <w:rsid w:val="00D01208"/>
    <w:rsid w:val="00D013A1"/>
    <w:rsid w:val="00D013BD"/>
    <w:rsid w:val="00D01628"/>
    <w:rsid w:val="00D01AFA"/>
    <w:rsid w:val="00D0202C"/>
    <w:rsid w:val="00D023C4"/>
    <w:rsid w:val="00D0282B"/>
    <w:rsid w:val="00D029B5"/>
    <w:rsid w:val="00D031E4"/>
    <w:rsid w:val="00D0324E"/>
    <w:rsid w:val="00D03269"/>
    <w:rsid w:val="00D0326D"/>
    <w:rsid w:val="00D0344B"/>
    <w:rsid w:val="00D03B85"/>
    <w:rsid w:val="00D03C6F"/>
    <w:rsid w:val="00D040F6"/>
    <w:rsid w:val="00D04696"/>
    <w:rsid w:val="00D04C8A"/>
    <w:rsid w:val="00D05025"/>
    <w:rsid w:val="00D0532F"/>
    <w:rsid w:val="00D055E9"/>
    <w:rsid w:val="00D056C6"/>
    <w:rsid w:val="00D059B6"/>
    <w:rsid w:val="00D059CE"/>
    <w:rsid w:val="00D05AEA"/>
    <w:rsid w:val="00D062AC"/>
    <w:rsid w:val="00D06342"/>
    <w:rsid w:val="00D06D7A"/>
    <w:rsid w:val="00D06F48"/>
    <w:rsid w:val="00D070BC"/>
    <w:rsid w:val="00D0712C"/>
    <w:rsid w:val="00D073FC"/>
    <w:rsid w:val="00D07587"/>
    <w:rsid w:val="00D07612"/>
    <w:rsid w:val="00D0779C"/>
    <w:rsid w:val="00D07A76"/>
    <w:rsid w:val="00D07F68"/>
    <w:rsid w:val="00D10115"/>
    <w:rsid w:val="00D10441"/>
    <w:rsid w:val="00D10CC9"/>
    <w:rsid w:val="00D110BA"/>
    <w:rsid w:val="00D114D2"/>
    <w:rsid w:val="00D11BDD"/>
    <w:rsid w:val="00D11DCA"/>
    <w:rsid w:val="00D1245E"/>
    <w:rsid w:val="00D12513"/>
    <w:rsid w:val="00D12CB8"/>
    <w:rsid w:val="00D148F8"/>
    <w:rsid w:val="00D14D67"/>
    <w:rsid w:val="00D15145"/>
    <w:rsid w:val="00D1541F"/>
    <w:rsid w:val="00D15A89"/>
    <w:rsid w:val="00D15C0B"/>
    <w:rsid w:val="00D15FCB"/>
    <w:rsid w:val="00D16347"/>
    <w:rsid w:val="00D16394"/>
    <w:rsid w:val="00D163F9"/>
    <w:rsid w:val="00D167DC"/>
    <w:rsid w:val="00D16852"/>
    <w:rsid w:val="00D16C56"/>
    <w:rsid w:val="00D172E5"/>
    <w:rsid w:val="00D178D2"/>
    <w:rsid w:val="00D201AF"/>
    <w:rsid w:val="00D2050F"/>
    <w:rsid w:val="00D205AD"/>
    <w:rsid w:val="00D209A5"/>
    <w:rsid w:val="00D20BC6"/>
    <w:rsid w:val="00D21109"/>
    <w:rsid w:val="00D21331"/>
    <w:rsid w:val="00D21AEB"/>
    <w:rsid w:val="00D2296A"/>
    <w:rsid w:val="00D22BE9"/>
    <w:rsid w:val="00D22D91"/>
    <w:rsid w:val="00D22E7A"/>
    <w:rsid w:val="00D23447"/>
    <w:rsid w:val="00D23823"/>
    <w:rsid w:val="00D23897"/>
    <w:rsid w:val="00D242FC"/>
    <w:rsid w:val="00D245A5"/>
    <w:rsid w:val="00D245C4"/>
    <w:rsid w:val="00D246B3"/>
    <w:rsid w:val="00D24818"/>
    <w:rsid w:val="00D24982"/>
    <w:rsid w:val="00D2515B"/>
    <w:rsid w:val="00D254F4"/>
    <w:rsid w:val="00D255B2"/>
    <w:rsid w:val="00D256B4"/>
    <w:rsid w:val="00D25E31"/>
    <w:rsid w:val="00D26124"/>
    <w:rsid w:val="00D26348"/>
    <w:rsid w:val="00D2637B"/>
    <w:rsid w:val="00D263CC"/>
    <w:rsid w:val="00D26436"/>
    <w:rsid w:val="00D268F7"/>
    <w:rsid w:val="00D26CA2"/>
    <w:rsid w:val="00D27549"/>
    <w:rsid w:val="00D307F3"/>
    <w:rsid w:val="00D3133D"/>
    <w:rsid w:val="00D31E9B"/>
    <w:rsid w:val="00D31F1B"/>
    <w:rsid w:val="00D3216B"/>
    <w:rsid w:val="00D32A94"/>
    <w:rsid w:val="00D33E88"/>
    <w:rsid w:val="00D33FDC"/>
    <w:rsid w:val="00D3436F"/>
    <w:rsid w:val="00D349B1"/>
    <w:rsid w:val="00D34D02"/>
    <w:rsid w:val="00D34FFD"/>
    <w:rsid w:val="00D35362"/>
    <w:rsid w:val="00D353F5"/>
    <w:rsid w:val="00D35C6A"/>
    <w:rsid w:val="00D3633E"/>
    <w:rsid w:val="00D36574"/>
    <w:rsid w:val="00D37565"/>
    <w:rsid w:val="00D3766E"/>
    <w:rsid w:val="00D377C6"/>
    <w:rsid w:val="00D37827"/>
    <w:rsid w:val="00D37D8B"/>
    <w:rsid w:val="00D4066C"/>
    <w:rsid w:val="00D406A1"/>
    <w:rsid w:val="00D40AB2"/>
    <w:rsid w:val="00D40B79"/>
    <w:rsid w:val="00D40E75"/>
    <w:rsid w:val="00D40ED3"/>
    <w:rsid w:val="00D4105B"/>
    <w:rsid w:val="00D417AE"/>
    <w:rsid w:val="00D417F9"/>
    <w:rsid w:val="00D41813"/>
    <w:rsid w:val="00D41C3F"/>
    <w:rsid w:val="00D41E51"/>
    <w:rsid w:val="00D41EB0"/>
    <w:rsid w:val="00D4291B"/>
    <w:rsid w:val="00D4348A"/>
    <w:rsid w:val="00D43589"/>
    <w:rsid w:val="00D43594"/>
    <w:rsid w:val="00D4389C"/>
    <w:rsid w:val="00D43BB6"/>
    <w:rsid w:val="00D43E77"/>
    <w:rsid w:val="00D44304"/>
    <w:rsid w:val="00D4435A"/>
    <w:rsid w:val="00D44619"/>
    <w:rsid w:val="00D4552D"/>
    <w:rsid w:val="00D455E2"/>
    <w:rsid w:val="00D45BC9"/>
    <w:rsid w:val="00D46917"/>
    <w:rsid w:val="00D46E40"/>
    <w:rsid w:val="00D4712F"/>
    <w:rsid w:val="00D47252"/>
    <w:rsid w:val="00D472A8"/>
    <w:rsid w:val="00D47909"/>
    <w:rsid w:val="00D47A66"/>
    <w:rsid w:val="00D47A80"/>
    <w:rsid w:val="00D47C63"/>
    <w:rsid w:val="00D501C7"/>
    <w:rsid w:val="00D501DD"/>
    <w:rsid w:val="00D50D96"/>
    <w:rsid w:val="00D51131"/>
    <w:rsid w:val="00D51319"/>
    <w:rsid w:val="00D51367"/>
    <w:rsid w:val="00D513CD"/>
    <w:rsid w:val="00D51956"/>
    <w:rsid w:val="00D51DC0"/>
    <w:rsid w:val="00D51E4E"/>
    <w:rsid w:val="00D51F9A"/>
    <w:rsid w:val="00D5221B"/>
    <w:rsid w:val="00D52546"/>
    <w:rsid w:val="00D526E4"/>
    <w:rsid w:val="00D528AF"/>
    <w:rsid w:val="00D52918"/>
    <w:rsid w:val="00D52BB1"/>
    <w:rsid w:val="00D53601"/>
    <w:rsid w:val="00D53703"/>
    <w:rsid w:val="00D53AEC"/>
    <w:rsid w:val="00D542EF"/>
    <w:rsid w:val="00D544BD"/>
    <w:rsid w:val="00D545B7"/>
    <w:rsid w:val="00D54652"/>
    <w:rsid w:val="00D54CC1"/>
    <w:rsid w:val="00D54D35"/>
    <w:rsid w:val="00D55664"/>
    <w:rsid w:val="00D55AED"/>
    <w:rsid w:val="00D561F4"/>
    <w:rsid w:val="00D562E5"/>
    <w:rsid w:val="00D564BF"/>
    <w:rsid w:val="00D568E8"/>
    <w:rsid w:val="00D569B1"/>
    <w:rsid w:val="00D57039"/>
    <w:rsid w:val="00D57059"/>
    <w:rsid w:val="00D5716E"/>
    <w:rsid w:val="00D5719F"/>
    <w:rsid w:val="00D5783B"/>
    <w:rsid w:val="00D57C75"/>
    <w:rsid w:val="00D57FD3"/>
    <w:rsid w:val="00D6026A"/>
    <w:rsid w:val="00D602AF"/>
    <w:rsid w:val="00D6065D"/>
    <w:rsid w:val="00D606B8"/>
    <w:rsid w:val="00D6076F"/>
    <w:rsid w:val="00D607D5"/>
    <w:rsid w:val="00D6093E"/>
    <w:rsid w:val="00D60B02"/>
    <w:rsid w:val="00D60F95"/>
    <w:rsid w:val="00D61063"/>
    <w:rsid w:val="00D61085"/>
    <w:rsid w:val="00D6133F"/>
    <w:rsid w:val="00D61B46"/>
    <w:rsid w:val="00D62199"/>
    <w:rsid w:val="00D623D8"/>
    <w:rsid w:val="00D62AD4"/>
    <w:rsid w:val="00D62BD5"/>
    <w:rsid w:val="00D63032"/>
    <w:rsid w:val="00D63649"/>
    <w:rsid w:val="00D63720"/>
    <w:rsid w:val="00D637F1"/>
    <w:rsid w:val="00D639A8"/>
    <w:rsid w:val="00D63E4F"/>
    <w:rsid w:val="00D64A83"/>
    <w:rsid w:val="00D65092"/>
    <w:rsid w:val="00D653F9"/>
    <w:rsid w:val="00D654C8"/>
    <w:rsid w:val="00D656DE"/>
    <w:rsid w:val="00D6577E"/>
    <w:rsid w:val="00D65D46"/>
    <w:rsid w:val="00D65EA7"/>
    <w:rsid w:val="00D6616E"/>
    <w:rsid w:val="00D66340"/>
    <w:rsid w:val="00D6639D"/>
    <w:rsid w:val="00D66E99"/>
    <w:rsid w:val="00D673B1"/>
    <w:rsid w:val="00D67F0B"/>
    <w:rsid w:val="00D67FDD"/>
    <w:rsid w:val="00D702EB"/>
    <w:rsid w:val="00D70372"/>
    <w:rsid w:val="00D70631"/>
    <w:rsid w:val="00D70890"/>
    <w:rsid w:val="00D71124"/>
    <w:rsid w:val="00D715D7"/>
    <w:rsid w:val="00D71811"/>
    <w:rsid w:val="00D71863"/>
    <w:rsid w:val="00D71AB3"/>
    <w:rsid w:val="00D71CB1"/>
    <w:rsid w:val="00D71CEE"/>
    <w:rsid w:val="00D71D65"/>
    <w:rsid w:val="00D71D99"/>
    <w:rsid w:val="00D71EBC"/>
    <w:rsid w:val="00D720F2"/>
    <w:rsid w:val="00D722E5"/>
    <w:rsid w:val="00D7252A"/>
    <w:rsid w:val="00D726CC"/>
    <w:rsid w:val="00D7297F"/>
    <w:rsid w:val="00D72C68"/>
    <w:rsid w:val="00D74287"/>
    <w:rsid w:val="00D74479"/>
    <w:rsid w:val="00D7451E"/>
    <w:rsid w:val="00D74A97"/>
    <w:rsid w:val="00D74E4F"/>
    <w:rsid w:val="00D74EC5"/>
    <w:rsid w:val="00D7543C"/>
    <w:rsid w:val="00D75D00"/>
    <w:rsid w:val="00D75FF2"/>
    <w:rsid w:val="00D76386"/>
    <w:rsid w:val="00D7643E"/>
    <w:rsid w:val="00D76589"/>
    <w:rsid w:val="00D76C69"/>
    <w:rsid w:val="00D774D2"/>
    <w:rsid w:val="00D77880"/>
    <w:rsid w:val="00D77ABD"/>
    <w:rsid w:val="00D77EBC"/>
    <w:rsid w:val="00D807B3"/>
    <w:rsid w:val="00D80928"/>
    <w:rsid w:val="00D80F98"/>
    <w:rsid w:val="00D81196"/>
    <w:rsid w:val="00D81A0E"/>
    <w:rsid w:val="00D81AA4"/>
    <w:rsid w:val="00D8208E"/>
    <w:rsid w:val="00D82296"/>
    <w:rsid w:val="00D82ADB"/>
    <w:rsid w:val="00D82C53"/>
    <w:rsid w:val="00D82DBF"/>
    <w:rsid w:val="00D8300A"/>
    <w:rsid w:val="00D831D5"/>
    <w:rsid w:val="00D83695"/>
    <w:rsid w:val="00D83D54"/>
    <w:rsid w:val="00D843C0"/>
    <w:rsid w:val="00D84496"/>
    <w:rsid w:val="00D844D7"/>
    <w:rsid w:val="00D84733"/>
    <w:rsid w:val="00D849B2"/>
    <w:rsid w:val="00D858AD"/>
    <w:rsid w:val="00D85FC4"/>
    <w:rsid w:val="00D86064"/>
    <w:rsid w:val="00D8625A"/>
    <w:rsid w:val="00D862CF"/>
    <w:rsid w:val="00D8702B"/>
    <w:rsid w:val="00D872FE"/>
    <w:rsid w:val="00D87C61"/>
    <w:rsid w:val="00D900A5"/>
    <w:rsid w:val="00D90780"/>
    <w:rsid w:val="00D913ED"/>
    <w:rsid w:val="00D92826"/>
    <w:rsid w:val="00D93224"/>
    <w:rsid w:val="00D9329D"/>
    <w:rsid w:val="00D93448"/>
    <w:rsid w:val="00D9380F"/>
    <w:rsid w:val="00D93CBB"/>
    <w:rsid w:val="00D940A5"/>
    <w:rsid w:val="00D943AA"/>
    <w:rsid w:val="00D94888"/>
    <w:rsid w:val="00D94E41"/>
    <w:rsid w:val="00D94EAB"/>
    <w:rsid w:val="00D95172"/>
    <w:rsid w:val="00D951AB"/>
    <w:rsid w:val="00D95240"/>
    <w:rsid w:val="00D9530C"/>
    <w:rsid w:val="00D95788"/>
    <w:rsid w:val="00D95A70"/>
    <w:rsid w:val="00D965DA"/>
    <w:rsid w:val="00D96735"/>
    <w:rsid w:val="00D96833"/>
    <w:rsid w:val="00D96AEF"/>
    <w:rsid w:val="00D96D02"/>
    <w:rsid w:val="00D97112"/>
    <w:rsid w:val="00D97131"/>
    <w:rsid w:val="00D979C4"/>
    <w:rsid w:val="00D97A50"/>
    <w:rsid w:val="00DA0B4D"/>
    <w:rsid w:val="00DA0C0E"/>
    <w:rsid w:val="00DA0EB4"/>
    <w:rsid w:val="00DA154C"/>
    <w:rsid w:val="00DA17F1"/>
    <w:rsid w:val="00DA1869"/>
    <w:rsid w:val="00DA1DFC"/>
    <w:rsid w:val="00DA1E50"/>
    <w:rsid w:val="00DA1F98"/>
    <w:rsid w:val="00DA28D4"/>
    <w:rsid w:val="00DA2953"/>
    <w:rsid w:val="00DA2F64"/>
    <w:rsid w:val="00DA314F"/>
    <w:rsid w:val="00DA330F"/>
    <w:rsid w:val="00DA3551"/>
    <w:rsid w:val="00DA3B46"/>
    <w:rsid w:val="00DA4191"/>
    <w:rsid w:val="00DA448A"/>
    <w:rsid w:val="00DA4C57"/>
    <w:rsid w:val="00DA53EE"/>
    <w:rsid w:val="00DA61BF"/>
    <w:rsid w:val="00DA63D8"/>
    <w:rsid w:val="00DA6410"/>
    <w:rsid w:val="00DA6459"/>
    <w:rsid w:val="00DA676B"/>
    <w:rsid w:val="00DA6A82"/>
    <w:rsid w:val="00DA710B"/>
    <w:rsid w:val="00DA73F5"/>
    <w:rsid w:val="00DA7402"/>
    <w:rsid w:val="00DA769D"/>
    <w:rsid w:val="00DA7729"/>
    <w:rsid w:val="00DA791D"/>
    <w:rsid w:val="00DB0397"/>
    <w:rsid w:val="00DB08D9"/>
    <w:rsid w:val="00DB0BCC"/>
    <w:rsid w:val="00DB0FE8"/>
    <w:rsid w:val="00DB108D"/>
    <w:rsid w:val="00DB1205"/>
    <w:rsid w:val="00DB128B"/>
    <w:rsid w:val="00DB136C"/>
    <w:rsid w:val="00DB13D6"/>
    <w:rsid w:val="00DB1532"/>
    <w:rsid w:val="00DB1586"/>
    <w:rsid w:val="00DB164E"/>
    <w:rsid w:val="00DB210B"/>
    <w:rsid w:val="00DB2792"/>
    <w:rsid w:val="00DB2AEB"/>
    <w:rsid w:val="00DB2BB4"/>
    <w:rsid w:val="00DB2EBE"/>
    <w:rsid w:val="00DB322D"/>
    <w:rsid w:val="00DB3314"/>
    <w:rsid w:val="00DB3B19"/>
    <w:rsid w:val="00DB3EF7"/>
    <w:rsid w:val="00DB3F01"/>
    <w:rsid w:val="00DB3FAC"/>
    <w:rsid w:val="00DB3FD0"/>
    <w:rsid w:val="00DB4135"/>
    <w:rsid w:val="00DB422C"/>
    <w:rsid w:val="00DB4436"/>
    <w:rsid w:val="00DB4637"/>
    <w:rsid w:val="00DB505E"/>
    <w:rsid w:val="00DB5361"/>
    <w:rsid w:val="00DB552C"/>
    <w:rsid w:val="00DB676F"/>
    <w:rsid w:val="00DB6C56"/>
    <w:rsid w:val="00DB6DF8"/>
    <w:rsid w:val="00DB6EBE"/>
    <w:rsid w:val="00DB7931"/>
    <w:rsid w:val="00DB79D0"/>
    <w:rsid w:val="00DB7A61"/>
    <w:rsid w:val="00DB7C7F"/>
    <w:rsid w:val="00DC01B8"/>
    <w:rsid w:val="00DC01BE"/>
    <w:rsid w:val="00DC066F"/>
    <w:rsid w:val="00DC08F6"/>
    <w:rsid w:val="00DC0A74"/>
    <w:rsid w:val="00DC0B1D"/>
    <w:rsid w:val="00DC0E4D"/>
    <w:rsid w:val="00DC0F91"/>
    <w:rsid w:val="00DC17F4"/>
    <w:rsid w:val="00DC19B6"/>
    <w:rsid w:val="00DC1BD8"/>
    <w:rsid w:val="00DC2962"/>
    <w:rsid w:val="00DC2988"/>
    <w:rsid w:val="00DC2BBF"/>
    <w:rsid w:val="00DC2D69"/>
    <w:rsid w:val="00DC3034"/>
    <w:rsid w:val="00DC311E"/>
    <w:rsid w:val="00DC39D3"/>
    <w:rsid w:val="00DC3B18"/>
    <w:rsid w:val="00DC3DBC"/>
    <w:rsid w:val="00DC41A4"/>
    <w:rsid w:val="00DC4581"/>
    <w:rsid w:val="00DC4B85"/>
    <w:rsid w:val="00DC502D"/>
    <w:rsid w:val="00DC530D"/>
    <w:rsid w:val="00DC576C"/>
    <w:rsid w:val="00DC6069"/>
    <w:rsid w:val="00DC6388"/>
    <w:rsid w:val="00DC68A2"/>
    <w:rsid w:val="00DC6A81"/>
    <w:rsid w:val="00DC6FC1"/>
    <w:rsid w:val="00DC7020"/>
    <w:rsid w:val="00DC7110"/>
    <w:rsid w:val="00DC713B"/>
    <w:rsid w:val="00DC754A"/>
    <w:rsid w:val="00DC7879"/>
    <w:rsid w:val="00DC7898"/>
    <w:rsid w:val="00DC7B66"/>
    <w:rsid w:val="00DC7E58"/>
    <w:rsid w:val="00DD025F"/>
    <w:rsid w:val="00DD0308"/>
    <w:rsid w:val="00DD0489"/>
    <w:rsid w:val="00DD0B41"/>
    <w:rsid w:val="00DD0B9F"/>
    <w:rsid w:val="00DD15FA"/>
    <w:rsid w:val="00DD1D42"/>
    <w:rsid w:val="00DD1E87"/>
    <w:rsid w:val="00DD1EFC"/>
    <w:rsid w:val="00DD2010"/>
    <w:rsid w:val="00DD2097"/>
    <w:rsid w:val="00DD2108"/>
    <w:rsid w:val="00DD2BB5"/>
    <w:rsid w:val="00DD2D22"/>
    <w:rsid w:val="00DD2DAB"/>
    <w:rsid w:val="00DD2E2E"/>
    <w:rsid w:val="00DD34B6"/>
    <w:rsid w:val="00DD3CB2"/>
    <w:rsid w:val="00DD4304"/>
    <w:rsid w:val="00DD4AE2"/>
    <w:rsid w:val="00DD5007"/>
    <w:rsid w:val="00DD554F"/>
    <w:rsid w:val="00DD565A"/>
    <w:rsid w:val="00DD5A39"/>
    <w:rsid w:val="00DD5C15"/>
    <w:rsid w:val="00DD5F22"/>
    <w:rsid w:val="00DD606C"/>
    <w:rsid w:val="00DD6080"/>
    <w:rsid w:val="00DD634E"/>
    <w:rsid w:val="00DD6553"/>
    <w:rsid w:val="00DD6683"/>
    <w:rsid w:val="00DD6725"/>
    <w:rsid w:val="00DD68A7"/>
    <w:rsid w:val="00DD6A34"/>
    <w:rsid w:val="00DD6D28"/>
    <w:rsid w:val="00DD7827"/>
    <w:rsid w:val="00DD7B9F"/>
    <w:rsid w:val="00DE0307"/>
    <w:rsid w:val="00DE0435"/>
    <w:rsid w:val="00DE058E"/>
    <w:rsid w:val="00DE05DC"/>
    <w:rsid w:val="00DE06CD"/>
    <w:rsid w:val="00DE0ABC"/>
    <w:rsid w:val="00DE0AF5"/>
    <w:rsid w:val="00DE0F93"/>
    <w:rsid w:val="00DE1009"/>
    <w:rsid w:val="00DE1063"/>
    <w:rsid w:val="00DE12D6"/>
    <w:rsid w:val="00DE17DA"/>
    <w:rsid w:val="00DE2009"/>
    <w:rsid w:val="00DE25B9"/>
    <w:rsid w:val="00DE2985"/>
    <w:rsid w:val="00DE2B3F"/>
    <w:rsid w:val="00DE2F0C"/>
    <w:rsid w:val="00DE2F50"/>
    <w:rsid w:val="00DE3946"/>
    <w:rsid w:val="00DE3A37"/>
    <w:rsid w:val="00DE3CE1"/>
    <w:rsid w:val="00DE4861"/>
    <w:rsid w:val="00DE50DA"/>
    <w:rsid w:val="00DE5441"/>
    <w:rsid w:val="00DE556A"/>
    <w:rsid w:val="00DE55E9"/>
    <w:rsid w:val="00DE56EB"/>
    <w:rsid w:val="00DE5802"/>
    <w:rsid w:val="00DE5821"/>
    <w:rsid w:val="00DE5835"/>
    <w:rsid w:val="00DE5B3E"/>
    <w:rsid w:val="00DE5D0C"/>
    <w:rsid w:val="00DE6100"/>
    <w:rsid w:val="00DE625C"/>
    <w:rsid w:val="00DE64D7"/>
    <w:rsid w:val="00DE6D15"/>
    <w:rsid w:val="00DE6DAF"/>
    <w:rsid w:val="00DE7021"/>
    <w:rsid w:val="00DE72E0"/>
    <w:rsid w:val="00DE76BF"/>
    <w:rsid w:val="00DE7776"/>
    <w:rsid w:val="00DE79C8"/>
    <w:rsid w:val="00DE7A37"/>
    <w:rsid w:val="00DF0740"/>
    <w:rsid w:val="00DF09D7"/>
    <w:rsid w:val="00DF177D"/>
    <w:rsid w:val="00DF17E1"/>
    <w:rsid w:val="00DF1E18"/>
    <w:rsid w:val="00DF2220"/>
    <w:rsid w:val="00DF24AB"/>
    <w:rsid w:val="00DF2805"/>
    <w:rsid w:val="00DF2884"/>
    <w:rsid w:val="00DF288C"/>
    <w:rsid w:val="00DF2AF5"/>
    <w:rsid w:val="00DF31E3"/>
    <w:rsid w:val="00DF3E05"/>
    <w:rsid w:val="00DF40C5"/>
    <w:rsid w:val="00DF4328"/>
    <w:rsid w:val="00DF4B82"/>
    <w:rsid w:val="00DF4B98"/>
    <w:rsid w:val="00DF4D38"/>
    <w:rsid w:val="00DF4DF6"/>
    <w:rsid w:val="00DF52F8"/>
    <w:rsid w:val="00DF54F1"/>
    <w:rsid w:val="00DF5A7B"/>
    <w:rsid w:val="00DF5CE6"/>
    <w:rsid w:val="00DF604B"/>
    <w:rsid w:val="00DF6213"/>
    <w:rsid w:val="00DF624F"/>
    <w:rsid w:val="00DF6A2B"/>
    <w:rsid w:val="00DF7403"/>
    <w:rsid w:val="00DF76F3"/>
    <w:rsid w:val="00DF79E9"/>
    <w:rsid w:val="00DF7A50"/>
    <w:rsid w:val="00DF7A77"/>
    <w:rsid w:val="00DF7AE4"/>
    <w:rsid w:val="00DF7C53"/>
    <w:rsid w:val="00DF7DD3"/>
    <w:rsid w:val="00E0176F"/>
    <w:rsid w:val="00E018DA"/>
    <w:rsid w:val="00E01908"/>
    <w:rsid w:val="00E0197D"/>
    <w:rsid w:val="00E01C9E"/>
    <w:rsid w:val="00E01F6A"/>
    <w:rsid w:val="00E0215A"/>
    <w:rsid w:val="00E02AA4"/>
    <w:rsid w:val="00E033F6"/>
    <w:rsid w:val="00E035DF"/>
    <w:rsid w:val="00E03C3C"/>
    <w:rsid w:val="00E03DF3"/>
    <w:rsid w:val="00E0403A"/>
    <w:rsid w:val="00E04738"/>
    <w:rsid w:val="00E04805"/>
    <w:rsid w:val="00E0505A"/>
    <w:rsid w:val="00E054AE"/>
    <w:rsid w:val="00E0599D"/>
    <w:rsid w:val="00E059C0"/>
    <w:rsid w:val="00E05AD8"/>
    <w:rsid w:val="00E06135"/>
    <w:rsid w:val="00E0688D"/>
    <w:rsid w:val="00E06AAB"/>
    <w:rsid w:val="00E070E1"/>
    <w:rsid w:val="00E0714C"/>
    <w:rsid w:val="00E07198"/>
    <w:rsid w:val="00E0722E"/>
    <w:rsid w:val="00E0724C"/>
    <w:rsid w:val="00E073A6"/>
    <w:rsid w:val="00E0743C"/>
    <w:rsid w:val="00E07514"/>
    <w:rsid w:val="00E07B93"/>
    <w:rsid w:val="00E07D17"/>
    <w:rsid w:val="00E1010F"/>
    <w:rsid w:val="00E10245"/>
    <w:rsid w:val="00E10329"/>
    <w:rsid w:val="00E1036C"/>
    <w:rsid w:val="00E10A61"/>
    <w:rsid w:val="00E10ACA"/>
    <w:rsid w:val="00E10C3B"/>
    <w:rsid w:val="00E11170"/>
    <w:rsid w:val="00E11381"/>
    <w:rsid w:val="00E114E2"/>
    <w:rsid w:val="00E1180A"/>
    <w:rsid w:val="00E119B6"/>
    <w:rsid w:val="00E11C71"/>
    <w:rsid w:val="00E126AD"/>
    <w:rsid w:val="00E12818"/>
    <w:rsid w:val="00E12ADE"/>
    <w:rsid w:val="00E12CEC"/>
    <w:rsid w:val="00E12DCA"/>
    <w:rsid w:val="00E1351B"/>
    <w:rsid w:val="00E137EC"/>
    <w:rsid w:val="00E13B90"/>
    <w:rsid w:val="00E14358"/>
    <w:rsid w:val="00E14849"/>
    <w:rsid w:val="00E14936"/>
    <w:rsid w:val="00E14B97"/>
    <w:rsid w:val="00E1529B"/>
    <w:rsid w:val="00E15599"/>
    <w:rsid w:val="00E155E0"/>
    <w:rsid w:val="00E159CF"/>
    <w:rsid w:val="00E15B2D"/>
    <w:rsid w:val="00E16111"/>
    <w:rsid w:val="00E163C2"/>
    <w:rsid w:val="00E16442"/>
    <w:rsid w:val="00E1653A"/>
    <w:rsid w:val="00E168A0"/>
    <w:rsid w:val="00E16B18"/>
    <w:rsid w:val="00E16C8B"/>
    <w:rsid w:val="00E173E3"/>
    <w:rsid w:val="00E174AE"/>
    <w:rsid w:val="00E17FEA"/>
    <w:rsid w:val="00E200DD"/>
    <w:rsid w:val="00E20618"/>
    <w:rsid w:val="00E2071B"/>
    <w:rsid w:val="00E20BC1"/>
    <w:rsid w:val="00E20CD6"/>
    <w:rsid w:val="00E211D0"/>
    <w:rsid w:val="00E2120F"/>
    <w:rsid w:val="00E2147C"/>
    <w:rsid w:val="00E221C4"/>
    <w:rsid w:val="00E22393"/>
    <w:rsid w:val="00E224F0"/>
    <w:rsid w:val="00E2288D"/>
    <w:rsid w:val="00E22951"/>
    <w:rsid w:val="00E229D1"/>
    <w:rsid w:val="00E22B50"/>
    <w:rsid w:val="00E22E3D"/>
    <w:rsid w:val="00E22F64"/>
    <w:rsid w:val="00E22F91"/>
    <w:rsid w:val="00E2306D"/>
    <w:rsid w:val="00E2365C"/>
    <w:rsid w:val="00E23B8B"/>
    <w:rsid w:val="00E244E0"/>
    <w:rsid w:val="00E24A16"/>
    <w:rsid w:val="00E24A8B"/>
    <w:rsid w:val="00E24C45"/>
    <w:rsid w:val="00E24DAE"/>
    <w:rsid w:val="00E24FC5"/>
    <w:rsid w:val="00E25F02"/>
    <w:rsid w:val="00E260F1"/>
    <w:rsid w:val="00E2615C"/>
    <w:rsid w:val="00E26A1C"/>
    <w:rsid w:val="00E26B8E"/>
    <w:rsid w:val="00E26C36"/>
    <w:rsid w:val="00E26F25"/>
    <w:rsid w:val="00E2703E"/>
    <w:rsid w:val="00E277F3"/>
    <w:rsid w:val="00E27CE7"/>
    <w:rsid w:val="00E27D87"/>
    <w:rsid w:val="00E27EDA"/>
    <w:rsid w:val="00E3011C"/>
    <w:rsid w:val="00E30346"/>
    <w:rsid w:val="00E30627"/>
    <w:rsid w:val="00E30A79"/>
    <w:rsid w:val="00E30D6D"/>
    <w:rsid w:val="00E31219"/>
    <w:rsid w:val="00E313D2"/>
    <w:rsid w:val="00E31A3B"/>
    <w:rsid w:val="00E31B3E"/>
    <w:rsid w:val="00E32196"/>
    <w:rsid w:val="00E32314"/>
    <w:rsid w:val="00E32A85"/>
    <w:rsid w:val="00E32AAD"/>
    <w:rsid w:val="00E32AD4"/>
    <w:rsid w:val="00E32B66"/>
    <w:rsid w:val="00E32E78"/>
    <w:rsid w:val="00E331BA"/>
    <w:rsid w:val="00E33784"/>
    <w:rsid w:val="00E33A2B"/>
    <w:rsid w:val="00E33CEA"/>
    <w:rsid w:val="00E346A9"/>
    <w:rsid w:val="00E347DE"/>
    <w:rsid w:val="00E34907"/>
    <w:rsid w:val="00E3495D"/>
    <w:rsid w:val="00E349EE"/>
    <w:rsid w:val="00E35063"/>
    <w:rsid w:val="00E353AE"/>
    <w:rsid w:val="00E35791"/>
    <w:rsid w:val="00E3579D"/>
    <w:rsid w:val="00E35BBB"/>
    <w:rsid w:val="00E35FE3"/>
    <w:rsid w:val="00E36EC0"/>
    <w:rsid w:val="00E371E4"/>
    <w:rsid w:val="00E37400"/>
    <w:rsid w:val="00E37623"/>
    <w:rsid w:val="00E37917"/>
    <w:rsid w:val="00E37F0A"/>
    <w:rsid w:val="00E37FCC"/>
    <w:rsid w:val="00E405C0"/>
    <w:rsid w:val="00E407D1"/>
    <w:rsid w:val="00E40ABA"/>
    <w:rsid w:val="00E40DBA"/>
    <w:rsid w:val="00E40FD4"/>
    <w:rsid w:val="00E4102D"/>
    <w:rsid w:val="00E4105F"/>
    <w:rsid w:val="00E41806"/>
    <w:rsid w:val="00E41858"/>
    <w:rsid w:val="00E41E7B"/>
    <w:rsid w:val="00E420A6"/>
    <w:rsid w:val="00E421BA"/>
    <w:rsid w:val="00E422D9"/>
    <w:rsid w:val="00E42823"/>
    <w:rsid w:val="00E429EF"/>
    <w:rsid w:val="00E42F40"/>
    <w:rsid w:val="00E42F65"/>
    <w:rsid w:val="00E4336D"/>
    <w:rsid w:val="00E434BA"/>
    <w:rsid w:val="00E438E2"/>
    <w:rsid w:val="00E438F1"/>
    <w:rsid w:val="00E43F2C"/>
    <w:rsid w:val="00E43FE2"/>
    <w:rsid w:val="00E445EA"/>
    <w:rsid w:val="00E44A4D"/>
    <w:rsid w:val="00E44B6F"/>
    <w:rsid w:val="00E44C49"/>
    <w:rsid w:val="00E44CEC"/>
    <w:rsid w:val="00E44DB2"/>
    <w:rsid w:val="00E44DBD"/>
    <w:rsid w:val="00E44E80"/>
    <w:rsid w:val="00E45555"/>
    <w:rsid w:val="00E45ACF"/>
    <w:rsid w:val="00E45C7F"/>
    <w:rsid w:val="00E45D00"/>
    <w:rsid w:val="00E45D80"/>
    <w:rsid w:val="00E4607A"/>
    <w:rsid w:val="00E462F4"/>
    <w:rsid w:val="00E4647A"/>
    <w:rsid w:val="00E46499"/>
    <w:rsid w:val="00E465DA"/>
    <w:rsid w:val="00E46C3D"/>
    <w:rsid w:val="00E46C57"/>
    <w:rsid w:val="00E46DC2"/>
    <w:rsid w:val="00E472E2"/>
    <w:rsid w:val="00E4792A"/>
    <w:rsid w:val="00E479A2"/>
    <w:rsid w:val="00E47ACC"/>
    <w:rsid w:val="00E503AF"/>
    <w:rsid w:val="00E50527"/>
    <w:rsid w:val="00E505E1"/>
    <w:rsid w:val="00E5068A"/>
    <w:rsid w:val="00E509DF"/>
    <w:rsid w:val="00E50BE9"/>
    <w:rsid w:val="00E513C4"/>
    <w:rsid w:val="00E517E1"/>
    <w:rsid w:val="00E51846"/>
    <w:rsid w:val="00E51C67"/>
    <w:rsid w:val="00E51C92"/>
    <w:rsid w:val="00E529BC"/>
    <w:rsid w:val="00E529FA"/>
    <w:rsid w:val="00E52D93"/>
    <w:rsid w:val="00E52F9C"/>
    <w:rsid w:val="00E530E2"/>
    <w:rsid w:val="00E531B1"/>
    <w:rsid w:val="00E53202"/>
    <w:rsid w:val="00E532DE"/>
    <w:rsid w:val="00E538CF"/>
    <w:rsid w:val="00E53B4E"/>
    <w:rsid w:val="00E5445D"/>
    <w:rsid w:val="00E54B22"/>
    <w:rsid w:val="00E54B4B"/>
    <w:rsid w:val="00E54F3C"/>
    <w:rsid w:val="00E55156"/>
    <w:rsid w:val="00E55616"/>
    <w:rsid w:val="00E556CE"/>
    <w:rsid w:val="00E557E2"/>
    <w:rsid w:val="00E558AD"/>
    <w:rsid w:val="00E559D1"/>
    <w:rsid w:val="00E55D29"/>
    <w:rsid w:val="00E55D90"/>
    <w:rsid w:val="00E55DE3"/>
    <w:rsid w:val="00E562D5"/>
    <w:rsid w:val="00E565F4"/>
    <w:rsid w:val="00E56B54"/>
    <w:rsid w:val="00E570B9"/>
    <w:rsid w:val="00E5737D"/>
    <w:rsid w:val="00E57EAB"/>
    <w:rsid w:val="00E60097"/>
    <w:rsid w:val="00E607ED"/>
    <w:rsid w:val="00E60C7B"/>
    <w:rsid w:val="00E61595"/>
    <w:rsid w:val="00E61701"/>
    <w:rsid w:val="00E61710"/>
    <w:rsid w:val="00E61CEB"/>
    <w:rsid w:val="00E61DF6"/>
    <w:rsid w:val="00E62287"/>
    <w:rsid w:val="00E627FC"/>
    <w:rsid w:val="00E628F2"/>
    <w:rsid w:val="00E62B34"/>
    <w:rsid w:val="00E62FF5"/>
    <w:rsid w:val="00E632DE"/>
    <w:rsid w:val="00E634AE"/>
    <w:rsid w:val="00E6351A"/>
    <w:rsid w:val="00E635FA"/>
    <w:rsid w:val="00E6371E"/>
    <w:rsid w:val="00E63D7D"/>
    <w:rsid w:val="00E64C03"/>
    <w:rsid w:val="00E64CD7"/>
    <w:rsid w:val="00E6542A"/>
    <w:rsid w:val="00E658C9"/>
    <w:rsid w:val="00E65A7E"/>
    <w:rsid w:val="00E65BBB"/>
    <w:rsid w:val="00E65E00"/>
    <w:rsid w:val="00E6618D"/>
    <w:rsid w:val="00E668F8"/>
    <w:rsid w:val="00E66B50"/>
    <w:rsid w:val="00E66DE9"/>
    <w:rsid w:val="00E66E89"/>
    <w:rsid w:val="00E6733F"/>
    <w:rsid w:val="00E67998"/>
    <w:rsid w:val="00E70733"/>
    <w:rsid w:val="00E70770"/>
    <w:rsid w:val="00E70BB7"/>
    <w:rsid w:val="00E70E8C"/>
    <w:rsid w:val="00E71453"/>
    <w:rsid w:val="00E71B66"/>
    <w:rsid w:val="00E71BCF"/>
    <w:rsid w:val="00E71E02"/>
    <w:rsid w:val="00E72148"/>
    <w:rsid w:val="00E726E5"/>
    <w:rsid w:val="00E7297F"/>
    <w:rsid w:val="00E72C4C"/>
    <w:rsid w:val="00E72DD0"/>
    <w:rsid w:val="00E731BC"/>
    <w:rsid w:val="00E7369D"/>
    <w:rsid w:val="00E73C2C"/>
    <w:rsid w:val="00E73EFE"/>
    <w:rsid w:val="00E73F56"/>
    <w:rsid w:val="00E7404C"/>
    <w:rsid w:val="00E74450"/>
    <w:rsid w:val="00E744A7"/>
    <w:rsid w:val="00E7473F"/>
    <w:rsid w:val="00E74A28"/>
    <w:rsid w:val="00E74C01"/>
    <w:rsid w:val="00E74E72"/>
    <w:rsid w:val="00E75239"/>
    <w:rsid w:val="00E7523D"/>
    <w:rsid w:val="00E754F3"/>
    <w:rsid w:val="00E75591"/>
    <w:rsid w:val="00E7559A"/>
    <w:rsid w:val="00E75B4B"/>
    <w:rsid w:val="00E75F5A"/>
    <w:rsid w:val="00E767E1"/>
    <w:rsid w:val="00E76F38"/>
    <w:rsid w:val="00E76F4B"/>
    <w:rsid w:val="00E77651"/>
    <w:rsid w:val="00E7790E"/>
    <w:rsid w:val="00E77B22"/>
    <w:rsid w:val="00E77C28"/>
    <w:rsid w:val="00E80037"/>
    <w:rsid w:val="00E8009F"/>
    <w:rsid w:val="00E803DC"/>
    <w:rsid w:val="00E805C6"/>
    <w:rsid w:val="00E80876"/>
    <w:rsid w:val="00E80A97"/>
    <w:rsid w:val="00E80E70"/>
    <w:rsid w:val="00E8103E"/>
    <w:rsid w:val="00E81278"/>
    <w:rsid w:val="00E81517"/>
    <w:rsid w:val="00E81843"/>
    <w:rsid w:val="00E82E5F"/>
    <w:rsid w:val="00E8335D"/>
    <w:rsid w:val="00E8383C"/>
    <w:rsid w:val="00E839FC"/>
    <w:rsid w:val="00E83CC2"/>
    <w:rsid w:val="00E840B1"/>
    <w:rsid w:val="00E845C3"/>
    <w:rsid w:val="00E84A2C"/>
    <w:rsid w:val="00E84DB0"/>
    <w:rsid w:val="00E85BC3"/>
    <w:rsid w:val="00E868C5"/>
    <w:rsid w:val="00E86B27"/>
    <w:rsid w:val="00E8706E"/>
    <w:rsid w:val="00E8710E"/>
    <w:rsid w:val="00E87734"/>
    <w:rsid w:val="00E87EEF"/>
    <w:rsid w:val="00E9033A"/>
    <w:rsid w:val="00E904D9"/>
    <w:rsid w:val="00E90ABA"/>
    <w:rsid w:val="00E91375"/>
    <w:rsid w:val="00E9156F"/>
    <w:rsid w:val="00E919B7"/>
    <w:rsid w:val="00E91C38"/>
    <w:rsid w:val="00E92579"/>
    <w:rsid w:val="00E9282C"/>
    <w:rsid w:val="00E92942"/>
    <w:rsid w:val="00E92CB1"/>
    <w:rsid w:val="00E93779"/>
    <w:rsid w:val="00E93E24"/>
    <w:rsid w:val="00E940DC"/>
    <w:rsid w:val="00E9430A"/>
    <w:rsid w:val="00E9489F"/>
    <w:rsid w:val="00E94A1E"/>
    <w:rsid w:val="00E94A63"/>
    <w:rsid w:val="00E94DF5"/>
    <w:rsid w:val="00E94ED5"/>
    <w:rsid w:val="00E95000"/>
    <w:rsid w:val="00E9505A"/>
    <w:rsid w:val="00E95274"/>
    <w:rsid w:val="00E953D4"/>
    <w:rsid w:val="00E95592"/>
    <w:rsid w:val="00E95842"/>
    <w:rsid w:val="00E95AC5"/>
    <w:rsid w:val="00E95B2E"/>
    <w:rsid w:val="00E95C9E"/>
    <w:rsid w:val="00E95F77"/>
    <w:rsid w:val="00E96328"/>
    <w:rsid w:val="00E96334"/>
    <w:rsid w:val="00E96382"/>
    <w:rsid w:val="00E965F9"/>
    <w:rsid w:val="00E96A84"/>
    <w:rsid w:val="00E96B19"/>
    <w:rsid w:val="00E970DD"/>
    <w:rsid w:val="00EA05AA"/>
    <w:rsid w:val="00EA05EE"/>
    <w:rsid w:val="00EA0692"/>
    <w:rsid w:val="00EA06E0"/>
    <w:rsid w:val="00EA0906"/>
    <w:rsid w:val="00EA0E0D"/>
    <w:rsid w:val="00EA0E4C"/>
    <w:rsid w:val="00EA12ED"/>
    <w:rsid w:val="00EA2091"/>
    <w:rsid w:val="00EA227E"/>
    <w:rsid w:val="00EA2328"/>
    <w:rsid w:val="00EA2335"/>
    <w:rsid w:val="00EA262C"/>
    <w:rsid w:val="00EA28D0"/>
    <w:rsid w:val="00EA2DD3"/>
    <w:rsid w:val="00EA2F10"/>
    <w:rsid w:val="00EA3168"/>
    <w:rsid w:val="00EA3263"/>
    <w:rsid w:val="00EA3415"/>
    <w:rsid w:val="00EA345F"/>
    <w:rsid w:val="00EA39FB"/>
    <w:rsid w:val="00EA3B19"/>
    <w:rsid w:val="00EA3F40"/>
    <w:rsid w:val="00EA4182"/>
    <w:rsid w:val="00EA4589"/>
    <w:rsid w:val="00EA536E"/>
    <w:rsid w:val="00EA5684"/>
    <w:rsid w:val="00EA5AD4"/>
    <w:rsid w:val="00EA5BE3"/>
    <w:rsid w:val="00EA6262"/>
    <w:rsid w:val="00EA65D7"/>
    <w:rsid w:val="00EA6865"/>
    <w:rsid w:val="00EA718B"/>
    <w:rsid w:val="00EA735E"/>
    <w:rsid w:val="00EA7660"/>
    <w:rsid w:val="00EA77C1"/>
    <w:rsid w:val="00EA7BF2"/>
    <w:rsid w:val="00EA7EB8"/>
    <w:rsid w:val="00EB0577"/>
    <w:rsid w:val="00EB071E"/>
    <w:rsid w:val="00EB0766"/>
    <w:rsid w:val="00EB153F"/>
    <w:rsid w:val="00EB180B"/>
    <w:rsid w:val="00EB1AD8"/>
    <w:rsid w:val="00EB1CE2"/>
    <w:rsid w:val="00EB1D96"/>
    <w:rsid w:val="00EB303F"/>
    <w:rsid w:val="00EB37C2"/>
    <w:rsid w:val="00EB392A"/>
    <w:rsid w:val="00EB3AFC"/>
    <w:rsid w:val="00EB3BD9"/>
    <w:rsid w:val="00EB420B"/>
    <w:rsid w:val="00EB4255"/>
    <w:rsid w:val="00EB46CE"/>
    <w:rsid w:val="00EB49D0"/>
    <w:rsid w:val="00EB4B1A"/>
    <w:rsid w:val="00EB50F6"/>
    <w:rsid w:val="00EB575F"/>
    <w:rsid w:val="00EB59E2"/>
    <w:rsid w:val="00EB5B24"/>
    <w:rsid w:val="00EB5F5A"/>
    <w:rsid w:val="00EB604C"/>
    <w:rsid w:val="00EB633A"/>
    <w:rsid w:val="00EB65F6"/>
    <w:rsid w:val="00EB68B1"/>
    <w:rsid w:val="00EB69E3"/>
    <w:rsid w:val="00EB6B90"/>
    <w:rsid w:val="00EB7098"/>
    <w:rsid w:val="00EB762C"/>
    <w:rsid w:val="00EB7A8A"/>
    <w:rsid w:val="00EB7EEF"/>
    <w:rsid w:val="00EC00EC"/>
    <w:rsid w:val="00EC0A14"/>
    <w:rsid w:val="00EC0E76"/>
    <w:rsid w:val="00EC0F11"/>
    <w:rsid w:val="00EC10A7"/>
    <w:rsid w:val="00EC10F7"/>
    <w:rsid w:val="00EC1AA5"/>
    <w:rsid w:val="00EC2CA2"/>
    <w:rsid w:val="00EC33CF"/>
    <w:rsid w:val="00EC3470"/>
    <w:rsid w:val="00EC3D9C"/>
    <w:rsid w:val="00EC433A"/>
    <w:rsid w:val="00EC4524"/>
    <w:rsid w:val="00EC4630"/>
    <w:rsid w:val="00EC4950"/>
    <w:rsid w:val="00EC4C0D"/>
    <w:rsid w:val="00EC5414"/>
    <w:rsid w:val="00EC5AB7"/>
    <w:rsid w:val="00EC5B1A"/>
    <w:rsid w:val="00EC5C5A"/>
    <w:rsid w:val="00EC64F0"/>
    <w:rsid w:val="00EC67F0"/>
    <w:rsid w:val="00EC6CCF"/>
    <w:rsid w:val="00EC6F0C"/>
    <w:rsid w:val="00EC71A1"/>
    <w:rsid w:val="00EC78C8"/>
    <w:rsid w:val="00EC78F9"/>
    <w:rsid w:val="00EC7946"/>
    <w:rsid w:val="00EC7BC9"/>
    <w:rsid w:val="00EC7EF5"/>
    <w:rsid w:val="00ED0074"/>
    <w:rsid w:val="00ED0374"/>
    <w:rsid w:val="00ED0483"/>
    <w:rsid w:val="00ED09BD"/>
    <w:rsid w:val="00ED10FB"/>
    <w:rsid w:val="00ED1279"/>
    <w:rsid w:val="00ED151A"/>
    <w:rsid w:val="00ED17C8"/>
    <w:rsid w:val="00ED198B"/>
    <w:rsid w:val="00ED2306"/>
    <w:rsid w:val="00ED2774"/>
    <w:rsid w:val="00ED2944"/>
    <w:rsid w:val="00ED30CD"/>
    <w:rsid w:val="00ED32A8"/>
    <w:rsid w:val="00ED3901"/>
    <w:rsid w:val="00ED39CC"/>
    <w:rsid w:val="00ED3BD5"/>
    <w:rsid w:val="00ED3CE1"/>
    <w:rsid w:val="00ED409E"/>
    <w:rsid w:val="00ED41E9"/>
    <w:rsid w:val="00ED43A4"/>
    <w:rsid w:val="00ED47D9"/>
    <w:rsid w:val="00ED4BF2"/>
    <w:rsid w:val="00ED4D03"/>
    <w:rsid w:val="00ED5162"/>
    <w:rsid w:val="00ED524B"/>
    <w:rsid w:val="00ED5310"/>
    <w:rsid w:val="00ED5392"/>
    <w:rsid w:val="00ED5CFD"/>
    <w:rsid w:val="00ED6008"/>
    <w:rsid w:val="00ED610C"/>
    <w:rsid w:val="00ED634B"/>
    <w:rsid w:val="00ED66B6"/>
    <w:rsid w:val="00ED6709"/>
    <w:rsid w:val="00ED695A"/>
    <w:rsid w:val="00ED6B29"/>
    <w:rsid w:val="00ED6B92"/>
    <w:rsid w:val="00ED6D6B"/>
    <w:rsid w:val="00ED6E76"/>
    <w:rsid w:val="00ED6F34"/>
    <w:rsid w:val="00ED7388"/>
    <w:rsid w:val="00ED7AFF"/>
    <w:rsid w:val="00EE041F"/>
    <w:rsid w:val="00EE07D8"/>
    <w:rsid w:val="00EE0A85"/>
    <w:rsid w:val="00EE0C64"/>
    <w:rsid w:val="00EE1281"/>
    <w:rsid w:val="00EE204F"/>
    <w:rsid w:val="00EE20A4"/>
    <w:rsid w:val="00EE2102"/>
    <w:rsid w:val="00EE224E"/>
    <w:rsid w:val="00EE23BD"/>
    <w:rsid w:val="00EE23E9"/>
    <w:rsid w:val="00EE27A1"/>
    <w:rsid w:val="00EE2C2D"/>
    <w:rsid w:val="00EE2E73"/>
    <w:rsid w:val="00EE2EE9"/>
    <w:rsid w:val="00EE33D3"/>
    <w:rsid w:val="00EE4204"/>
    <w:rsid w:val="00EE4498"/>
    <w:rsid w:val="00EE45DD"/>
    <w:rsid w:val="00EE45F2"/>
    <w:rsid w:val="00EE4B80"/>
    <w:rsid w:val="00EE5627"/>
    <w:rsid w:val="00EE5703"/>
    <w:rsid w:val="00EE575A"/>
    <w:rsid w:val="00EE6181"/>
    <w:rsid w:val="00EE667A"/>
    <w:rsid w:val="00EE6789"/>
    <w:rsid w:val="00EE6956"/>
    <w:rsid w:val="00EE6E53"/>
    <w:rsid w:val="00EE721D"/>
    <w:rsid w:val="00EE7412"/>
    <w:rsid w:val="00EE7898"/>
    <w:rsid w:val="00EE7BA7"/>
    <w:rsid w:val="00EE7BCD"/>
    <w:rsid w:val="00EF0103"/>
    <w:rsid w:val="00EF025A"/>
    <w:rsid w:val="00EF025E"/>
    <w:rsid w:val="00EF0529"/>
    <w:rsid w:val="00EF08D0"/>
    <w:rsid w:val="00EF0B82"/>
    <w:rsid w:val="00EF0DE5"/>
    <w:rsid w:val="00EF0E4E"/>
    <w:rsid w:val="00EF1E5E"/>
    <w:rsid w:val="00EF20ED"/>
    <w:rsid w:val="00EF2A6E"/>
    <w:rsid w:val="00EF2DE8"/>
    <w:rsid w:val="00EF32AC"/>
    <w:rsid w:val="00EF3588"/>
    <w:rsid w:val="00EF3635"/>
    <w:rsid w:val="00EF367D"/>
    <w:rsid w:val="00EF36A4"/>
    <w:rsid w:val="00EF3CB9"/>
    <w:rsid w:val="00EF4E6B"/>
    <w:rsid w:val="00EF5033"/>
    <w:rsid w:val="00EF5AD6"/>
    <w:rsid w:val="00EF5FD7"/>
    <w:rsid w:val="00EF6045"/>
    <w:rsid w:val="00EF641E"/>
    <w:rsid w:val="00EF6484"/>
    <w:rsid w:val="00EF6626"/>
    <w:rsid w:val="00EF6937"/>
    <w:rsid w:val="00EF6F30"/>
    <w:rsid w:val="00EF7882"/>
    <w:rsid w:val="00EF7DE3"/>
    <w:rsid w:val="00F001B7"/>
    <w:rsid w:val="00F00305"/>
    <w:rsid w:val="00F003FC"/>
    <w:rsid w:val="00F004FB"/>
    <w:rsid w:val="00F00768"/>
    <w:rsid w:val="00F00890"/>
    <w:rsid w:val="00F0099A"/>
    <w:rsid w:val="00F009F2"/>
    <w:rsid w:val="00F00BF7"/>
    <w:rsid w:val="00F00C34"/>
    <w:rsid w:val="00F00C56"/>
    <w:rsid w:val="00F00FD0"/>
    <w:rsid w:val="00F0102C"/>
    <w:rsid w:val="00F01073"/>
    <w:rsid w:val="00F01149"/>
    <w:rsid w:val="00F01314"/>
    <w:rsid w:val="00F0165D"/>
    <w:rsid w:val="00F01AFE"/>
    <w:rsid w:val="00F02302"/>
    <w:rsid w:val="00F02316"/>
    <w:rsid w:val="00F02364"/>
    <w:rsid w:val="00F02412"/>
    <w:rsid w:val="00F027B6"/>
    <w:rsid w:val="00F02939"/>
    <w:rsid w:val="00F02F73"/>
    <w:rsid w:val="00F036B0"/>
    <w:rsid w:val="00F038D7"/>
    <w:rsid w:val="00F03B29"/>
    <w:rsid w:val="00F04307"/>
    <w:rsid w:val="00F04320"/>
    <w:rsid w:val="00F04884"/>
    <w:rsid w:val="00F05557"/>
    <w:rsid w:val="00F057EC"/>
    <w:rsid w:val="00F0597A"/>
    <w:rsid w:val="00F06202"/>
    <w:rsid w:val="00F0637B"/>
    <w:rsid w:val="00F067EE"/>
    <w:rsid w:val="00F06B4F"/>
    <w:rsid w:val="00F06D25"/>
    <w:rsid w:val="00F070ED"/>
    <w:rsid w:val="00F0772F"/>
    <w:rsid w:val="00F079AE"/>
    <w:rsid w:val="00F10487"/>
    <w:rsid w:val="00F10C29"/>
    <w:rsid w:val="00F110AD"/>
    <w:rsid w:val="00F11392"/>
    <w:rsid w:val="00F1196F"/>
    <w:rsid w:val="00F12225"/>
    <w:rsid w:val="00F12538"/>
    <w:rsid w:val="00F1286B"/>
    <w:rsid w:val="00F12979"/>
    <w:rsid w:val="00F12C08"/>
    <w:rsid w:val="00F12CB7"/>
    <w:rsid w:val="00F130A6"/>
    <w:rsid w:val="00F13D79"/>
    <w:rsid w:val="00F1433B"/>
    <w:rsid w:val="00F146E2"/>
    <w:rsid w:val="00F14948"/>
    <w:rsid w:val="00F14ABC"/>
    <w:rsid w:val="00F1512B"/>
    <w:rsid w:val="00F15496"/>
    <w:rsid w:val="00F1550A"/>
    <w:rsid w:val="00F1561D"/>
    <w:rsid w:val="00F1614F"/>
    <w:rsid w:val="00F163EB"/>
    <w:rsid w:val="00F16468"/>
    <w:rsid w:val="00F16A1C"/>
    <w:rsid w:val="00F170F6"/>
    <w:rsid w:val="00F172E4"/>
    <w:rsid w:val="00F1734E"/>
    <w:rsid w:val="00F17C9E"/>
    <w:rsid w:val="00F20AB7"/>
    <w:rsid w:val="00F20EDC"/>
    <w:rsid w:val="00F211C3"/>
    <w:rsid w:val="00F216D3"/>
    <w:rsid w:val="00F21FEA"/>
    <w:rsid w:val="00F2208A"/>
    <w:rsid w:val="00F221A1"/>
    <w:rsid w:val="00F227B2"/>
    <w:rsid w:val="00F22CDB"/>
    <w:rsid w:val="00F23614"/>
    <w:rsid w:val="00F237C2"/>
    <w:rsid w:val="00F23A05"/>
    <w:rsid w:val="00F23A32"/>
    <w:rsid w:val="00F25173"/>
    <w:rsid w:val="00F25679"/>
    <w:rsid w:val="00F25882"/>
    <w:rsid w:val="00F25D65"/>
    <w:rsid w:val="00F25D8B"/>
    <w:rsid w:val="00F261B3"/>
    <w:rsid w:val="00F265E9"/>
    <w:rsid w:val="00F269A8"/>
    <w:rsid w:val="00F26C11"/>
    <w:rsid w:val="00F26C27"/>
    <w:rsid w:val="00F271E4"/>
    <w:rsid w:val="00F2764C"/>
    <w:rsid w:val="00F27E92"/>
    <w:rsid w:val="00F30229"/>
    <w:rsid w:val="00F3036F"/>
    <w:rsid w:val="00F30433"/>
    <w:rsid w:val="00F304ED"/>
    <w:rsid w:val="00F30881"/>
    <w:rsid w:val="00F30984"/>
    <w:rsid w:val="00F30C3B"/>
    <w:rsid w:val="00F30CD5"/>
    <w:rsid w:val="00F30D39"/>
    <w:rsid w:val="00F317AD"/>
    <w:rsid w:val="00F32514"/>
    <w:rsid w:val="00F32B43"/>
    <w:rsid w:val="00F32CE4"/>
    <w:rsid w:val="00F33364"/>
    <w:rsid w:val="00F333B7"/>
    <w:rsid w:val="00F336A7"/>
    <w:rsid w:val="00F33A7B"/>
    <w:rsid w:val="00F34253"/>
    <w:rsid w:val="00F34879"/>
    <w:rsid w:val="00F34B36"/>
    <w:rsid w:val="00F3523F"/>
    <w:rsid w:val="00F35925"/>
    <w:rsid w:val="00F3597E"/>
    <w:rsid w:val="00F35B89"/>
    <w:rsid w:val="00F35F42"/>
    <w:rsid w:val="00F3634D"/>
    <w:rsid w:val="00F36646"/>
    <w:rsid w:val="00F3665B"/>
    <w:rsid w:val="00F36BE1"/>
    <w:rsid w:val="00F36DCA"/>
    <w:rsid w:val="00F3732C"/>
    <w:rsid w:val="00F3749E"/>
    <w:rsid w:val="00F374A9"/>
    <w:rsid w:val="00F3782D"/>
    <w:rsid w:val="00F37C13"/>
    <w:rsid w:val="00F37C90"/>
    <w:rsid w:val="00F37EA2"/>
    <w:rsid w:val="00F400CF"/>
    <w:rsid w:val="00F40748"/>
    <w:rsid w:val="00F4091C"/>
    <w:rsid w:val="00F40E8C"/>
    <w:rsid w:val="00F414C1"/>
    <w:rsid w:val="00F4163C"/>
    <w:rsid w:val="00F4163D"/>
    <w:rsid w:val="00F418EA"/>
    <w:rsid w:val="00F419C1"/>
    <w:rsid w:val="00F41F3E"/>
    <w:rsid w:val="00F420DC"/>
    <w:rsid w:val="00F42229"/>
    <w:rsid w:val="00F422BC"/>
    <w:rsid w:val="00F4235D"/>
    <w:rsid w:val="00F423BC"/>
    <w:rsid w:val="00F42647"/>
    <w:rsid w:val="00F42ABC"/>
    <w:rsid w:val="00F42B94"/>
    <w:rsid w:val="00F42C1D"/>
    <w:rsid w:val="00F4366B"/>
    <w:rsid w:val="00F43921"/>
    <w:rsid w:val="00F43A06"/>
    <w:rsid w:val="00F43B46"/>
    <w:rsid w:val="00F43C00"/>
    <w:rsid w:val="00F44001"/>
    <w:rsid w:val="00F4410D"/>
    <w:rsid w:val="00F4478C"/>
    <w:rsid w:val="00F44CF1"/>
    <w:rsid w:val="00F44E66"/>
    <w:rsid w:val="00F44EC6"/>
    <w:rsid w:val="00F45034"/>
    <w:rsid w:val="00F45AA1"/>
    <w:rsid w:val="00F45AC0"/>
    <w:rsid w:val="00F45C4C"/>
    <w:rsid w:val="00F462C5"/>
    <w:rsid w:val="00F46421"/>
    <w:rsid w:val="00F46BB9"/>
    <w:rsid w:val="00F46EB5"/>
    <w:rsid w:val="00F47960"/>
    <w:rsid w:val="00F47BE3"/>
    <w:rsid w:val="00F47BF1"/>
    <w:rsid w:val="00F47D56"/>
    <w:rsid w:val="00F5076B"/>
    <w:rsid w:val="00F50C40"/>
    <w:rsid w:val="00F51553"/>
    <w:rsid w:val="00F5166A"/>
    <w:rsid w:val="00F517F4"/>
    <w:rsid w:val="00F51D25"/>
    <w:rsid w:val="00F51F64"/>
    <w:rsid w:val="00F52104"/>
    <w:rsid w:val="00F52276"/>
    <w:rsid w:val="00F52A81"/>
    <w:rsid w:val="00F52BC6"/>
    <w:rsid w:val="00F52DBB"/>
    <w:rsid w:val="00F52FCD"/>
    <w:rsid w:val="00F530BA"/>
    <w:rsid w:val="00F53B31"/>
    <w:rsid w:val="00F53BE4"/>
    <w:rsid w:val="00F54293"/>
    <w:rsid w:val="00F5433A"/>
    <w:rsid w:val="00F54504"/>
    <w:rsid w:val="00F545F4"/>
    <w:rsid w:val="00F5472C"/>
    <w:rsid w:val="00F5486B"/>
    <w:rsid w:val="00F54F6F"/>
    <w:rsid w:val="00F54F94"/>
    <w:rsid w:val="00F554E4"/>
    <w:rsid w:val="00F557A2"/>
    <w:rsid w:val="00F55940"/>
    <w:rsid w:val="00F55BE4"/>
    <w:rsid w:val="00F561B1"/>
    <w:rsid w:val="00F564D6"/>
    <w:rsid w:val="00F56C4E"/>
    <w:rsid w:val="00F56EC9"/>
    <w:rsid w:val="00F577F4"/>
    <w:rsid w:val="00F57A4D"/>
    <w:rsid w:val="00F607B7"/>
    <w:rsid w:val="00F6155B"/>
    <w:rsid w:val="00F61946"/>
    <w:rsid w:val="00F61A3E"/>
    <w:rsid w:val="00F61F23"/>
    <w:rsid w:val="00F627A5"/>
    <w:rsid w:val="00F62A45"/>
    <w:rsid w:val="00F63048"/>
    <w:rsid w:val="00F63E92"/>
    <w:rsid w:val="00F646D8"/>
    <w:rsid w:val="00F64788"/>
    <w:rsid w:val="00F64CFA"/>
    <w:rsid w:val="00F64D1D"/>
    <w:rsid w:val="00F65129"/>
    <w:rsid w:val="00F652E5"/>
    <w:rsid w:val="00F65457"/>
    <w:rsid w:val="00F654C8"/>
    <w:rsid w:val="00F65C36"/>
    <w:rsid w:val="00F66422"/>
    <w:rsid w:val="00F6658E"/>
    <w:rsid w:val="00F668C3"/>
    <w:rsid w:val="00F66AEE"/>
    <w:rsid w:val="00F66E00"/>
    <w:rsid w:val="00F66F5D"/>
    <w:rsid w:val="00F67599"/>
    <w:rsid w:val="00F70D01"/>
    <w:rsid w:val="00F70E11"/>
    <w:rsid w:val="00F70EDC"/>
    <w:rsid w:val="00F71370"/>
    <w:rsid w:val="00F71616"/>
    <w:rsid w:val="00F7199A"/>
    <w:rsid w:val="00F71BD1"/>
    <w:rsid w:val="00F72756"/>
    <w:rsid w:val="00F72F84"/>
    <w:rsid w:val="00F73E78"/>
    <w:rsid w:val="00F73F20"/>
    <w:rsid w:val="00F74172"/>
    <w:rsid w:val="00F74ADA"/>
    <w:rsid w:val="00F74B71"/>
    <w:rsid w:val="00F74CD1"/>
    <w:rsid w:val="00F74EA2"/>
    <w:rsid w:val="00F753B2"/>
    <w:rsid w:val="00F75414"/>
    <w:rsid w:val="00F7549E"/>
    <w:rsid w:val="00F7573E"/>
    <w:rsid w:val="00F75A2E"/>
    <w:rsid w:val="00F76171"/>
    <w:rsid w:val="00F763DF"/>
    <w:rsid w:val="00F7645A"/>
    <w:rsid w:val="00F76594"/>
    <w:rsid w:val="00F7667F"/>
    <w:rsid w:val="00F76A93"/>
    <w:rsid w:val="00F76FB9"/>
    <w:rsid w:val="00F77105"/>
    <w:rsid w:val="00F77749"/>
    <w:rsid w:val="00F77B22"/>
    <w:rsid w:val="00F77B9C"/>
    <w:rsid w:val="00F8012C"/>
    <w:rsid w:val="00F801FF"/>
    <w:rsid w:val="00F80C89"/>
    <w:rsid w:val="00F80EA3"/>
    <w:rsid w:val="00F80F32"/>
    <w:rsid w:val="00F8130B"/>
    <w:rsid w:val="00F814C0"/>
    <w:rsid w:val="00F81507"/>
    <w:rsid w:val="00F816F3"/>
    <w:rsid w:val="00F81859"/>
    <w:rsid w:val="00F81C13"/>
    <w:rsid w:val="00F81CC8"/>
    <w:rsid w:val="00F81FD4"/>
    <w:rsid w:val="00F8217B"/>
    <w:rsid w:val="00F8296F"/>
    <w:rsid w:val="00F82E9C"/>
    <w:rsid w:val="00F82FC0"/>
    <w:rsid w:val="00F831C2"/>
    <w:rsid w:val="00F833CB"/>
    <w:rsid w:val="00F83490"/>
    <w:rsid w:val="00F837BC"/>
    <w:rsid w:val="00F83F6D"/>
    <w:rsid w:val="00F84248"/>
    <w:rsid w:val="00F84287"/>
    <w:rsid w:val="00F844F3"/>
    <w:rsid w:val="00F847C8"/>
    <w:rsid w:val="00F8483B"/>
    <w:rsid w:val="00F8484F"/>
    <w:rsid w:val="00F84A25"/>
    <w:rsid w:val="00F85258"/>
    <w:rsid w:val="00F855F1"/>
    <w:rsid w:val="00F85EF3"/>
    <w:rsid w:val="00F86353"/>
    <w:rsid w:val="00F867F9"/>
    <w:rsid w:val="00F870FB"/>
    <w:rsid w:val="00F874AD"/>
    <w:rsid w:val="00F87602"/>
    <w:rsid w:val="00F879F0"/>
    <w:rsid w:val="00F87CD3"/>
    <w:rsid w:val="00F87CDA"/>
    <w:rsid w:val="00F90199"/>
    <w:rsid w:val="00F90397"/>
    <w:rsid w:val="00F90546"/>
    <w:rsid w:val="00F905C0"/>
    <w:rsid w:val="00F90A44"/>
    <w:rsid w:val="00F90AA9"/>
    <w:rsid w:val="00F91425"/>
    <w:rsid w:val="00F91DD1"/>
    <w:rsid w:val="00F91E2F"/>
    <w:rsid w:val="00F91F47"/>
    <w:rsid w:val="00F91FA9"/>
    <w:rsid w:val="00F923EA"/>
    <w:rsid w:val="00F9283E"/>
    <w:rsid w:val="00F92E53"/>
    <w:rsid w:val="00F92FDD"/>
    <w:rsid w:val="00F93127"/>
    <w:rsid w:val="00F93641"/>
    <w:rsid w:val="00F937EF"/>
    <w:rsid w:val="00F938DA"/>
    <w:rsid w:val="00F93917"/>
    <w:rsid w:val="00F93C3A"/>
    <w:rsid w:val="00F93E06"/>
    <w:rsid w:val="00F9404D"/>
    <w:rsid w:val="00F942D3"/>
    <w:rsid w:val="00F94470"/>
    <w:rsid w:val="00F94CA8"/>
    <w:rsid w:val="00F94DD2"/>
    <w:rsid w:val="00F94DFE"/>
    <w:rsid w:val="00F94F60"/>
    <w:rsid w:val="00F94FF3"/>
    <w:rsid w:val="00F95422"/>
    <w:rsid w:val="00F955BF"/>
    <w:rsid w:val="00F95802"/>
    <w:rsid w:val="00F95894"/>
    <w:rsid w:val="00F958B4"/>
    <w:rsid w:val="00F95C0C"/>
    <w:rsid w:val="00F95E41"/>
    <w:rsid w:val="00F96302"/>
    <w:rsid w:val="00F969A1"/>
    <w:rsid w:val="00F96DE8"/>
    <w:rsid w:val="00F96E10"/>
    <w:rsid w:val="00F9717B"/>
    <w:rsid w:val="00F971C2"/>
    <w:rsid w:val="00F97B3E"/>
    <w:rsid w:val="00FA0094"/>
    <w:rsid w:val="00FA0455"/>
    <w:rsid w:val="00FA0A26"/>
    <w:rsid w:val="00FA10BB"/>
    <w:rsid w:val="00FA14D6"/>
    <w:rsid w:val="00FA15F3"/>
    <w:rsid w:val="00FA1728"/>
    <w:rsid w:val="00FA1893"/>
    <w:rsid w:val="00FA1C8A"/>
    <w:rsid w:val="00FA2012"/>
    <w:rsid w:val="00FA2296"/>
    <w:rsid w:val="00FA282D"/>
    <w:rsid w:val="00FA286F"/>
    <w:rsid w:val="00FA295B"/>
    <w:rsid w:val="00FA29C9"/>
    <w:rsid w:val="00FA2C56"/>
    <w:rsid w:val="00FA2DCE"/>
    <w:rsid w:val="00FA3352"/>
    <w:rsid w:val="00FA34D8"/>
    <w:rsid w:val="00FA394E"/>
    <w:rsid w:val="00FA3CB6"/>
    <w:rsid w:val="00FA3E93"/>
    <w:rsid w:val="00FA4179"/>
    <w:rsid w:val="00FA42C7"/>
    <w:rsid w:val="00FA47C1"/>
    <w:rsid w:val="00FA4A5C"/>
    <w:rsid w:val="00FA4E3D"/>
    <w:rsid w:val="00FA5524"/>
    <w:rsid w:val="00FA5852"/>
    <w:rsid w:val="00FA5A1E"/>
    <w:rsid w:val="00FA5F36"/>
    <w:rsid w:val="00FA6076"/>
    <w:rsid w:val="00FA67C7"/>
    <w:rsid w:val="00FA6A89"/>
    <w:rsid w:val="00FA712C"/>
    <w:rsid w:val="00FA78A0"/>
    <w:rsid w:val="00FA7C2C"/>
    <w:rsid w:val="00FA7CC1"/>
    <w:rsid w:val="00FB030E"/>
    <w:rsid w:val="00FB06ED"/>
    <w:rsid w:val="00FB085C"/>
    <w:rsid w:val="00FB0C4E"/>
    <w:rsid w:val="00FB0CDD"/>
    <w:rsid w:val="00FB0FFF"/>
    <w:rsid w:val="00FB132E"/>
    <w:rsid w:val="00FB1782"/>
    <w:rsid w:val="00FB2501"/>
    <w:rsid w:val="00FB27A2"/>
    <w:rsid w:val="00FB2AC3"/>
    <w:rsid w:val="00FB2F91"/>
    <w:rsid w:val="00FB3147"/>
    <w:rsid w:val="00FB33AD"/>
    <w:rsid w:val="00FB3456"/>
    <w:rsid w:val="00FB3852"/>
    <w:rsid w:val="00FB3C8C"/>
    <w:rsid w:val="00FB3DAC"/>
    <w:rsid w:val="00FB3ED9"/>
    <w:rsid w:val="00FB45C3"/>
    <w:rsid w:val="00FB4690"/>
    <w:rsid w:val="00FB4A15"/>
    <w:rsid w:val="00FB4CAE"/>
    <w:rsid w:val="00FB507E"/>
    <w:rsid w:val="00FB5155"/>
    <w:rsid w:val="00FB51B5"/>
    <w:rsid w:val="00FB5216"/>
    <w:rsid w:val="00FB5225"/>
    <w:rsid w:val="00FB52F7"/>
    <w:rsid w:val="00FB53E4"/>
    <w:rsid w:val="00FB58B3"/>
    <w:rsid w:val="00FB5E54"/>
    <w:rsid w:val="00FB5F8C"/>
    <w:rsid w:val="00FB5F98"/>
    <w:rsid w:val="00FB60ED"/>
    <w:rsid w:val="00FB61B9"/>
    <w:rsid w:val="00FB670B"/>
    <w:rsid w:val="00FB67AB"/>
    <w:rsid w:val="00FB6904"/>
    <w:rsid w:val="00FB6CFD"/>
    <w:rsid w:val="00FB7E1B"/>
    <w:rsid w:val="00FC02D7"/>
    <w:rsid w:val="00FC0DED"/>
    <w:rsid w:val="00FC0EB7"/>
    <w:rsid w:val="00FC1085"/>
    <w:rsid w:val="00FC17A4"/>
    <w:rsid w:val="00FC1DD3"/>
    <w:rsid w:val="00FC2F34"/>
    <w:rsid w:val="00FC304A"/>
    <w:rsid w:val="00FC3344"/>
    <w:rsid w:val="00FC35F7"/>
    <w:rsid w:val="00FC369D"/>
    <w:rsid w:val="00FC3733"/>
    <w:rsid w:val="00FC3E5C"/>
    <w:rsid w:val="00FC3EC3"/>
    <w:rsid w:val="00FC4597"/>
    <w:rsid w:val="00FC45D3"/>
    <w:rsid w:val="00FC4801"/>
    <w:rsid w:val="00FC4862"/>
    <w:rsid w:val="00FC4E8C"/>
    <w:rsid w:val="00FC4FAB"/>
    <w:rsid w:val="00FC517C"/>
    <w:rsid w:val="00FC51BE"/>
    <w:rsid w:val="00FC5392"/>
    <w:rsid w:val="00FC53CE"/>
    <w:rsid w:val="00FC5504"/>
    <w:rsid w:val="00FC559C"/>
    <w:rsid w:val="00FC617D"/>
    <w:rsid w:val="00FC618E"/>
    <w:rsid w:val="00FC6240"/>
    <w:rsid w:val="00FC64DB"/>
    <w:rsid w:val="00FC6F0B"/>
    <w:rsid w:val="00FC734E"/>
    <w:rsid w:val="00FC7496"/>
    <w:rsid w:val="00FC74E5"/>
    <w:rsid w:val="00FC78A5"/>
    <w:rsid w:val="00FC7C42"/>
    <w:rsid w:val="00FD0157"/>
    <w:rsid w:val="00FD069E"/>
    <w:rsid w:val="00FD0D53"/>
    <w:rsid w:val="00FD19D2"/>
    <w:rsid w:val="00FD1C80"/>
    <w:rsid w:val="00FD1D4F"/>
    <w:rsid w:val="00FD1FA6"/>
    <w:rsid w:val="00FD20F3"/>
    <w:rsid w:val="00FD2300"/>
    <w:rsid w:val="00FD2552"/>
    <w:rsid w:val="00FD2A62"/>
    <w:rsid w:val="00FD2AF7"/>
    <w:rsid w:val="00FD2BD7"/>
    <w:rsid w:val="00FD2C6C"/>
    <w:rsid w:val="00FD313B"/>
    <w:rsid w:val="00FD34A2"/>
    <w:rsid w:val="00FD35CC"/>
    <w:rsid w:val="00FD37EF"/>
    <w:rsid w:val="00FD3E83"/>
    <w:rsid w:val="00FD5098"/>
    <w:rsid w:val="00FD5208"/>
    <w:rsid w:val="00FD5341"/>
    <w:rsid w:val="00FD55A9"/>
    <w:rsid w:val="00FD5697"/>
    <w:rsid w:val="00FD58BF"/>
    <w:rsid w:val="00FD5C18"/>
    <w:rsid w:val="00FD6667"/>
    <w:rsid w:val="00FD6C29"/>
    <w:rsid w:val="00FD6C73"/>
    <w:rsid w:val="00FD6E5E"/>
    <w:rsid w:val="00FD6FE3"/>
    <w:rsid w:val="00FD7599"/>
    <w:rsid w:val="00FD7602"/>
    <w:rsid w:val="00FD76CF"/>
    <w:rsid w:val="00FD76D0"/>
    <w:rsid w:val="00FD7760"/>
    <w:rsid w:val="00FD7787"/>
    <w:rsid w:val="00FD7E9F"/>
    <w:rsid w:val="00FD7FDD"/>
    <w:rsid w:val="00FE069E"/>
    <w:rsid w:val="00FE09F4"/>
    <w:rsid w:val="00FE19F7"/>
    <w:rsid w:val="00FE1C02"/>
    <w:rsid w:val="00FE1E1A"/>
    <w:rsid w:val="00FE1F29"/>
    <w:rsid w:val="00FE20E4"/>
    <w:rsid w:val="00FE2252"/>
    <w:rsid w:val="00FE2B30"/>
    <w:rsid w:val="00FE2D82"/>
    <w:rsid w:val="00FE3049"/>
    <w:rsid w:val="00FE307D"/>
    <w:rsid w:val="00FE32C9"/>
    <w:rsid w:val="00FE4ABE"/>
    <w:rsid w:val="00FE4E20"/>
    <w:rsid w:val="00FE510D"/>
    <w:rsid w:val="00FE5693"/>
    <w:rsid w:val="00FE57F9"/>
    <w:rsid w:val="00FE583D"/>
    <w:rsid w:val="00FE626F"/>
    <w:rsid w:val="00FE63D8"/>
    <w:rsid w:val="00FE6455"/>
    <w:rsid w:val="00FE64B4"/>
    <w:rsid w:val="00FE6A81"/>
    <w:rsid w:val="00FE72C3"/>
    <w:rsid w:val="00FF0454"/>
    <w:rsid w:val="00FF11D0"/>
    <w:rsid w:val="00FF13AF"/>
    <w:rsid w:val="00FF1572"/>
    <w:rsid w:val="00FF1611"/>
    <w:rsid w:val="00FF1E83"/>
    <w:rsid w:val="00FF1F02"/>
    <w:rsid w:val="00FF2043"/>
    <w:rsid w:val="00FF2376"/>
    <w:rsid w:val="00FF24A7"/>
    <w:rsid w:val="00FF28B9"/>
    <w:rsid w:val="00FF30E2"/>
    <w:rsid w:val="00FF31AE"/>
    <w:rsid w:val="00FF3571"/>
    <w:rsid w:val="00FF36BB"/>
    <w:rsid w:val="00FF36C7"/>
    <w:rsid w:val="00FF38AA"/>
    <w:rsid w:val="00FF3DAA"/>
    <w:rsid w:val="00FF40A0"/>
    <w:rsid w:val="00FF42C6"/>
    <w:rsid w:val="00FF44FA"/>
    <w:rsid w:val="00FF46E4"/>
    <w:rsid w:val="00FF496C"/>
    <w:rsid w:val="00FF4B1E"/>
    <w:rsid w:val="00FF4E1C"/>
    <w:rsid w:val="00FF4F9B"/>
    <w:rsid w:val="00FF52BD"/>
    <w:rsid w:val="00FF545D"/>
    <w:rsid w:val="00FF580B"/>
    <w:rsid w:val="00FF595E"/>
    <w:rsid w:val="00FF5C58"/>
    <w:rsid w:val="00FF5CA1"/>
    <w:rsid w:val="00FF6074"/>
    <w:rsid w:val="00FF61B9"/>
    <w:rsid w:val="00FF625F"/>
    <w:rsid w:val="00FF65B0"/>
    <w:rsid w:val="00FF65DB"/>
    <w:rsid w:val="00FF6892"/>
    <w:rsid w:val="00FF6BBE"/>
    <w:rsid w:val="00FF6BE6"/>
    <w:rsid w:val="00FF6BE7"/>
    <w:rsid w:val="00FF6C69"/>
    <w:rsid w:val="00FF6D1D"/>
    <w:rsid w:val="00FF7233"/>
    <w:rsid w:val="00FF73E1"/>
    <w:rsid w:val="00FF7675"/>
    <w:rsid w:val="00FF77F8"/>
    <w:rsid w:val="00FF786F"/>
    <w:rsid w:val="00FF7A30"/>
    <w:rsid w:val="00FF7A84"/>
    <w:rsid w:val="00FF7CE3"/>
    <w:rsid w:val="01677F24"/>
    <w:rsid w:val="01F67EB3"/>
    <w:rsid w:val="020F53B9"/>
    <w:rsid w:val="022B2165"/>
    <w:rsid w:val="023159EB"/>
    <w:rsid w:val="026C137A"/>
    <w:rsid w:val="0327106A"/>
    <w:rsid w:val="03420DF0"/>
    <w:rsid w:val="03B64756"/>
    <w:rsid w:val="03C3105A"/>
    <w:rsid w:val="04857B1A"/>
    <w:rsid w:val="04A725F8"/>
    <w:rsid w:val="04DF3E4E"/>
    <w:rsid w:val="051758E2"/>
    <w:rsid w:val="0534627A"/>
    <w:rsid w:val="054B4901"/>
    <w:rsid w:val="05CA098C"/>
    <w:rsid w:val="060B0154"/>
    <w:rsid w:val="06764F33"/>
    <w:rsid w:val="07787DB5"/>
    <w:rsid w:val="07990616"/>
    <w:rsid w:val="08112ADE"/>
    <w:rsid w:val="0854453D"/>
    <w:rsid w:val="0958005D"/>
    <w:rsid w:val="096118A0"/>
    <w:rsid w:val="09893401"/>
    <w:rsid w:val="0A17299E"/>
    <w:rsid w:val="0A3B364D"/>
    <w:rsid w:val="0A700A4D"/>
    <w:rsid w:val="0A9A7FC2"/>
    <w:rsid w:val="0ABC5101"/>
    <w:rsid w:val="0B1E45F6"/>
    <w:rsid w:val="0B52745A"/>
    <w:rsid w:val="0B687FB9"/>
    <w:rsid w:val="0D0520A7"/>
    <w:rsid w:val="0D191ADB"/>
    <w:rsid w:val="0D703BC7"/>
    <w:rsid w:val="0DCB57F3"/>
    <w:rsid w:val="0DF810DC"/>
    <w:rsid w:val="0E6C1D65"/>
    <w:rsid w:val="0EB8686F"/>
    <w:rsid w:val="0FED54E5"/>
    <w:rsid w:val="108D3635"/>
    <w:rsid w:val="109D0E1E"/>
    <w:rsid w:val="118E6A73"/>
    <w:rsid w:val="11CB2EF5"/>
    <w:rsid w:val="11E76B9E"/>
    <w:rsid w:val="12241BED"/>
    <w:rsid w:val="12663979"/>
    <w:rsid w:val="127D37B1"/>
    <w:rsid w:val="1322685A"/>
    <w:rsid w:val="13535F07"/>
    <w:rsid w:val="13684041"/>
    <w:rsid w:val="144B5E64"/>
    <w:rsid w:val="154276D1"/>
    <w:rsid w:val="15631252"/>
    <w:rsid w:val="156E795D"/>
    <w:rsid w:val="15A74185"/>
    <w:rsid w:val="166A2E47"/>
    <w:rsid w:val="17173351"/>
    <w:rsid w:val="17397F9D"/>
    <w:rsid w:val="17437A56"/>
    <w:rsid w:val="17984446"/>
    <w:rsid w:val="17DB3BD7"/>
    <w:rsid w:val="18196D0F"/>
    <w:rsid w:val="183A07EC"/>
    <w:rsid w:val="186D0C38"/>
    <w:rsid w:val="18944412"/>
    <w:rsid w:val="1896419F"/>
    <w:rsid w:val="18E86AC6"/>
    <w:rsid w:val="191E7030"/>
    <w:rsid w:val="192A5572"/>
    <w:rsid w:val="1996234C"/>
    <w:rsid w:val="19A44117"/>
    <w:rsid w:val="19A525DB"/>
    <w:rsid w:val="1A1D3B99"/>
    <w:rsid w:val="1AA11864"/>
    <w:rsid w:val="1AB23A71"/>
    <w:rsid w:val="1BBA3A78"/>
    <w:rsid w:val="1BD20576"/>
    <w:rsid w:val="1C1D13BE"/>
    <w:rsid w:val="1C501D57"/>
    <w:rsid w:val="1C5718FE"/>
    <w:rsid w:val="1CA02AD9"/>
    <w:rsid w:val="1CA1545A"/>
    <w:rsid w:val="1D235265"/>
    <w:rsid w:val="1D4E4F63"/>
    <w:rsid w:val="1DA04055"/>
    <w:rsid w:val="1DC31454"/>
    <w:rsid w:val="1E976832"/>
    <w:rsid w:val="1EFF124F"/>
    <w:rsid w:val="20284CFC"/>
    <w:rsid w:val="20FA51C8"/>
    <w:rsid w:val="21311468"/>
    <w:rsid w:val="21B329CA"/>
    <w:rsid w:val="21CB000F"/>
    <w:rsid w:val="23264FFC"/>
    <w:rsid w:val="23A514E0"/>
    <w:rsid w:val="23DF24DF"/>
    <w:rsid w:val="24420368"/>
    <w:rsid w:val="249827DE"/>
    <w:rsid w:val="24F46A34"/>
    <w:rsid w:val="250D3AE3"/>
    <w:rsid w:val="268854CE"/>
    <w:rsid w:val="26AB5479"/>
    <w:rsid w:val="27010A05"/>
    <w:rsid w:val="276A0705"/>
    <w:rsid w:val="27730611"/>
    <w:rsid w:val="278C389C"/>
    <w:rsid w:val="27CE0CA3"/>
    <w:rsid w:val="27FF723F"/>
    <w:rsid w:val="28921CE0"/>
    <w:rsid w:val="28D472A8"/>
    <w:rsid w:val="28D63020"/>
    <w:rsid w:val="29961A42"/>
    <w:rsid w:val="2A1F19BF"/>
    <w:rsid w:val="2B0858F6"/>
    <w:rsid w:val="2B1C2B35"/>
    <w:rsid w:val="2B4A46C5"/>
    <w:rsid w:val="2B62658A"/>
    <w:rsid w:val="2C4B600D"/>
    <w:rsid w:val="2C73502A"/>
    <w:rsid w:val="2D57066C"/>
    <w:rsid w:val="2D7B23E8"/>
    <w:rsid w:val="2DA83E6E"/>
    <w:rsid w:val="2E0440C7"/>
    <w:rsid w:val="2E326C19"/>
    <w:rsid w:val="2EAB408E"/>
    <w:rsid w:val="2F382AC1"/>
    <w:rsid w:val="2F662C24"/>
    <w:rsid w:val="30C65115"/>
    <w:rsid w:val="312F4132"/>
    <w:rsid w:val="31A10583"/>
    <w:rsid w:val="31CB71A9"/>
    <w:rsid w:val="33097F7E"/>
    <w:rsid w:val="335C4C76"/>
    <w:rsid w:val="33A07E3D"/>
    <w:rsid w:val="33B94E73"/>
    <w:rsid w:val="33ED294C"/>
    <w:rsid w:val="3417779A"/>
    <w:rsid w:val="344F7527"/>
    <w:rsid w:val="34833930"/>
    <w:rsid w:val="3487466D"/>
    <w:rsid w:val="34A2170C"/>
    <w:rsid w:val="352D3F1F"/>
    <w:rsid w:val="364D2C89"/>
    <w:rsid w:val="36642426"/>
    <w:rsid w:val="367C0B05"/>
    <w:rsid w:val="368132AE"/>
    <w:rsid w:val="36ED3E82"/>
    <w:rsid w:val="37252AAE"/>
    <w:rsid w:val="373553B6"/>
    <w:rsid w:val="37F27B04"/>
    <w:rsid w:val="382A77BD"/>
    <w:rsid w:val="38D14665"/>
    <w:rsid w:val="390909A6"/>
    <w:rsid w:val="39232625"/>
    <w:rsid w:val="3A6A5B18"/>
    <w:rsid w:val="3A712BA9"/>
    <w:rsid w:val="3ADC220C"/>
    <w:rsid w:val="3B163750"/>
    <w:rsid w:val="3B4007CD"/>
    <w:rsid w:val="3B845C62"/>
    <w:rsid w:val="3BD00E7F"/>
    <w:rsid w:val="3BE15B0C"/>
    <w:rsid w:val="3C0637C5"/>
    <w:rsid w:val="3C3420E0"/>
    <w:rsid w:val="3CE56FEF"/>
    <w:rsid w:val="3CED307E"/>
    <w:rsid w:val="3DCD5CCE"/>
    <w:rsid w:val="3E5A0416"/>
    <w:rsid w:val="3F93166E"/>
    <w:rsid w:val="3FAF6DB6"/>
    <w:rsid w:val="3FEC6CC2"/>
    <w:rsid w:val="3FF40672"/>
    <w:rsid w:val="40271EBB"/>
    <w:rsid w:val="408F3CC9"/>
    <w:rsid w:val="40F854CF"/>
    <w:rsid w:val="413E130B"/>
    <w:rsid w:val="4166412C"/>
    <w:rsid w:val="416A3795"/>
    <w:rsid w:val="416C5C40"/>
    <w:rsid w:val="41C1797D"/>
    <w:rsid w:val="421C50AB"/>
    <w:rsid w:val="42C10AD0"/>
    <w:rsid w:val="42F464B6"/>
    <w:rsid w:val="443647EA"/>
    <w:rsid w:val="445A14C7"/>
    <w:rsid w:val="446A1D47"/>
    <w:rsid w:val="44BB7E66"/>
    <w:rsid w:val="45182440"/>
    <w:rsid w:val="45186ECD"/>
    <w:rsid w:val="456E14E0"/>
    <w:rsid w:val="45A57BAB"/>
    <w:rsid w:val="463265D2"/>
    <w:rsid w:val="46CF0C80"/>
    <w:rsid w:val="46D77A2B"/>
    <w:rsid w:val="46E26BDC"/>
    <w:rsid w:val="4706523C"/>
    <w:rsid w:val="47463880"/>
    <w:rsid w:val="481E59F2"/>
    <w:rsid w:val="484E6C6C"/>
    <w:rsid w:val="48B975CC"/>
    <w:rsid w:val="48BD2809"/>
    <w:rsid w:val="48D2515B"/>
    <w:rsid w:val="48FB6625"/>
    <w:rsid w:val="496B7641"/>
    <w:rsid w:val="4972249A"/>
    <w:rsid w:val="49D547D7"/>
    <w:rsid w:val="4A145A42"/>
    <w:rsid w:val="4A4C3502"/>
    <w:rsid w:val="4A4F47E3"/>
    <w:rsid w:val="4A712751"/>
    <w:rsid w:val="4AC040D9"/>
    <w:rsid w:val="4B116C7E"/>
    <w:rsid w:val="4B31217F"/>
    <w:rsid w:val="4B4B33FB"/>
    <w:rsid w:val="4B590544"/>
    <w:rsid w:val="4B776206"/>
    <w:rsid w:val="4C1A445A"/>
    <w:rsid w:val="4C1F7514"/>
    <w:rsid w:val="4C4B40CC"/>
    <w:rsid w:val="4CC23477"/>
    <w:rsid w:val="4D1B0752"/>
    <w:rsid w:val="4D793EA0"/>
    <w:rsid w:val="4DB05881"/>
    <w:rsid w:val="4E756BD2"/>
    <w:rsid w:val="4EF83441"/>
    <w:rsid w:val="4F1D1BE9"/>
    <w:rsid w:val="4F6E54B1"/>
    <w:rsid w:val="4F813109"/>
    <w:rsid w:val="4FFA033D"/>
    <w:rsid w:val="50C10C3F"/>
    <w:rsid w:val="50F336E1"/>
    <w:rsid w:val="50F419E6"/>
    <w:rsid w:val="5106163D"/>
    <w:rsid w:val="5190500A"/>
    <w:rsid w:val="51D35A9F"/>
    <w:rsid w:val="51DB638D"/>
    <w:rsid w:val="51E6290C"/>
    <w:rsid w:val="522F508B"/>
    <w:rsid w:val="52474E57"/>
    <w:rsid w:val="526B1AAE"/>
    <w:rsid w:val="52A946E6"/>
    <w:rsid w:val="52B76435"/>
    <w:rsid w:val="531B4AC6"/>
    <w:rsid w:val="53373E0C"/>
    <w:rsid w:val="535C15F2"/>
    <w:rsid w:val="53D17E49"/>
    <w:rsid w:val="542F4B12"/>
    <w:rsid w:val="549F02C9"/>
    <w:rsid w:val="54D5526E"/>
    <w:rsid w:val="55393E6B"/>
    <w:rsid w:val="553D661F"/>
    <w:rsid w:val="55E34DE2"/>
    <w:rsid w:val="567009A3"/>
    <w:rsid w:val="56A41E92"/>
    <w:rsid w:val="56D00513"/>
    <w:rsid w:val="56E37C5F"/>
    <w:rsid w:val="5732388C"/>
    <w:rsid w:val="57516E8C"/>
    <w:rsid w:val="57541431"/>
    <w:rsid w:val="57723665"/>
    <w:rsid w:val="57A40461"/>
    <w:rsid w:val="57CA446B"/>
    <w:rsid w:val="58113D88"/>
    <w:rsid w:val="58690C49"/>
    <w:rsid w:val="58E97B77"/>
    <w:rsid w:val="59B755BD"/>
    <w:rsid w:val="59F32E22"/>
    <w:rsid w:val="5A0112AA"/>
    <w:rsid w:val="5A150D00"/>
    <w:rsid w:val="5A94788B"/>
    <w:rsid w:val="5ACC1547"/>
    <w:rsid w:val="5AF26C17"/>
    <w:rsid w:val="5B4648FD"/>
    <w:rsid w:val="5B544E5A"/>
    <w:rsid w:val="5B8B25C7"/>
    <w:rsid w:val="5BA61855"/>
    <w:rsid w:val="5BED7410"/>
    <w:rsid w:val="5C5A237A"/>
    <w:rsid w:val="5C8411C1"/>
    <w:rsid w:val="5C9F3159"/>
    <w:rsid w:val="5CD32E70"/>
    <w:rsid w:val="5CDA23D8"/>
    <w:rsid w:val="5D5164E3"/>
    <w:rsid w:val="5D6F3ADE"/>
    <w:rsid w:val="5DA15519"/>
    <w:rsid w:val="5DAB685F"/>
    <w:rsid w:val="5E6F0574"/>
    <w:rsid w:val="5F162A42"/>
    <w:rsid w:val="5F4D1F54"/>
    <w:rsid w:val="5FA77235"/>
    <w:rsid w:val="5FD137B8"/>
    <w:rsid w:val="5FD155D3"/>
    <w:rsid w:val="60076892"/>
    <w:rsid w:val="6051147C"/>
    <w:rsid w:val="605D1277"/>
    <w:rsid w:val="60992C7A"/>
    <w:rsid w:val="60FE18FE"/>
    <w:rsid w:val="6171304A"/>
    <w:rsid w:val="61B256D1"/>
    <w:rsid w:val="61B304AB"/>
    <w:rsid w:val="62663EF9"/>
    <w:rsid w:val="626E4CBF"/>
    <w:rsid w:val="63283C1D"/>
    <w:rsid w:val="635A392B"/>
    <w:rsid w:val="635F212D"/>
    <w:rsid w:val="63AF071E"/>
    <w:rsid w:val="63C0233E"/>
    <w:rsid w:val="640412EC"/>
    <w:rsid w:val="64685204"/>
    <w:rsid w:val="648F0488"/>
    <w:rsid w:val="64C30941"/>
    <w:rsid w:val="64F4734D"/>
    <w:rsid w:val="65444892"/>
    <w:rsid w:val="667052A4"/>
    <w:rsid w:val="66B8515D"/>
    <w:rsid w:val="66D954AE"/>
    <w:rsid w:val="671C14B7"/>
    <w:rsid w:val="67256946"/>
    <w:rsid w:val="67CA2D06"/>
    <w:rsid w:val="68251963"/>
    <w:rsid w:val="6864388A"/>
    <w:rsid w:val="68CE729D"/>
    <w:rsid w:val="69324331"/>
    <w:rsid w:val="69D038E1"/>
    <w:rsid w:val="69D2546E"/>
    <w:rsid w:val="6A2448BB"/>
    <w:rsid w:val="6A306200"/>
    <w:rsid w:val="6A4563DB"/>
    <w:rsid w:val="6AD246EE"/>
    <w:rsid w:val="6B026E6B"/>
    <w:rsid w:val="6B1B7FB2"/>
    <w:rsid w:val="6B264A3A"/>
    <w:rsid w:val="6B747DB3"/>
    <w:rsid w:val="6BD707B9"/>
    <w:rsid w:val="6C1A7D65"/>
    <w:rsid w:val="6C6121CE"/>
    <w:rsid w:val="6C9C3206"/>
    <w:rsid w:val="6CBD0567"/>
    <w:rsid w:val="6CFA1963"/>
    <w:rsid w:val="6D501315"/>
    <w:rsid w:val="6D9B34BE"/>
    <w:rsid w:val="6DCF05C0"/>
    <w:rsid w:val="6E1D2124"/>
    <w:rsid w:val="6EDC22EC"/>
    <w:rsid w:val="6EE53787"/>
    <w:rsid w:val="6F421346"/>
    <w:rsid w:val="6F596054"/>
    <w:rsid w:val="6F90498D"/>
    <w:rsid w:val="6FC41F27"/>
    <w:rsid w:val="6FE16A9D"/>
    <w:rsid w:val="70425E72"/>
    <w:rsid w:val="70FD4787"/>
    <w:rsid w:val="71943E17"/>
    <w:rsid w:val="71AC61ED"/>
    <w:rsid w:val="71CB471D"/>
    <w:rsid w:val="71ED1E0E"/>
    <w:rsid w:val="721D483F"/>
    <w:rsid w:val="722B2755"/>
    <w:rsid w:val="723E16F7"/>
    <w:rsid w:val="72431153"/>
    <w:rsid w:val="729C42F5"/>
    <w:rsid w:val="72A66B8C"/>
    <w:rsid w:val="732B7092"/>
    <w:rsid w:val="73A60EDF"/>
    <w:rsid w:val="73A6383A"/>
    <w:rsid w:val="73FB2F08"/>
    <w:rsid w:val="745324B7"/>
    <w:rsid w:val="75112062"/>
    <w:rsid w:val="751932A0"/>
    <w:rsid w:val="75BA40DC"/>
    <w:rsid w:val="76326989"/>
    <w:rsid w:val="76B737A6"/>
    <w:rsid w:val="774249AA"/>
    <w:rsid w:val="776963DA"/>
    <w:rsid w:val="77CF03FD"/>
    <w:rsid w:val="77F9553F"/>
    <w:rsid w:val="78BF76EC"/>
    <w:rsid w:val="78EB0CF9"/>
    <w:rsid w:val="7926662F"/>
    <w:rsid w:val="79480ECC"/>
    <w:rsid w:val="79BB034F"/>
    <w:rsid w:val="7B08081A"/>
    <w:rsid w:val="7B1F3B1D"/>
    <w:rsid w:val="7B224B8E"/>
    <w:rsid w:val="7B503B39"/>
    <w:rsid w:val="7B933138"/>
    <w:rsid w:val="7BE72B47"/>
    <w:rsid w:val="7C1431AF"/>
    <w:rsid w:val="7D5C74DF"/>
    <w:rsid w:val="7D6F4422"/>
    <w:rsid w:val="7D95010E"/>
    <w:rsid w:val="7E0E34ED"/>
    <w:rsid w:val="7E170003"/>
    <w:rsid w:val="7E793787"/>
    <w:rsid w:val="7EB73BBE"/>
    <w:rsid w:val="7EB97C47"/>
    <w:rsid w:val="7EBF392D"/>
    <w:rsid w:val="7EEF72D1"/>
    <w:rsid w:val="7F0674FD"/>
    <w:rsid w:val="7F3E0CBD"/>
    <w:rsid w:val="7F4559D0"/>
    <w:rsid w:val="7F7B314F"/>
    <w:rsid w:val="7FDD2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99" w:semiHidden="0" w:name="page number"/>
    <w:lsdException w:qFormat="1" w:uiPriority="99" w:semiHidden="0" w:name="endnote reference"/>
    <w:lsdException w:qFormat="1" w:uiPriority="99"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99"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4">
    <w:name w:val="heading 1"/>
    <w:basedOn w:val="1"/>
    <w:next w:val="1"/>
    <w:link w:val="113"/>
    <w:qFormat/>
    <w:uiPriority w:val="0"/>
    <w:pPr>
      <w:keepNext/>
      <w:keepLines/>
      <w:spacing w:before="340" w:after="330" w:line="578" w:lineRule="auto"/>
      <w:outlineLvl w:val="0"/>
    </w:pPr>
    <w:rPr>
      <w:rFonts w:ascii="Times New Roman"/>
      <w:b/>
      <w:bCs/>
      <w:kern w:val="44"/>
      <w:sz w:val="44"/>
      <w:szCs w:val="44"/>
    </w:rPr>
  </w:style>
  <w:style w:type="paragraph" w:styleId="5">
    <w:name w:val="heading 2"/>
    <w:basedOn w:val="1"/>
    <w:next w:val="1"/>
    <w:link w:val="114"/>
    <w:qFormat/>
    <w:uiPriority w:val="0"/>
    <w:pPr>
      <w:keepNext/>
      <w:keepLines/>
      <w:numPr>
        <w:ilvl w:val="1"/>
        <w:numId w:val="1"/>
      </w:numPr>
      <w:tabs>
        <w:tab w:val="left" w:pos="0"/>
        <w:tab w:val="left" w:pos="426"/>
      </w:tabs>
      <w:spacing w:before="120" w:beforeLines="50" w:after="120" w:afterLines="50" w:line="500" w:lineRule="exact"/>
      <w:outlineLvl w:val="1"/>
    </w:pPr>
    <w:rPr>
      <w:rFonts w:ascii="Times New Roman" w:eastAsia="仿宋_GB2312"/>
      <w:b/>
      <w:color w:val="000000"/>
      <w:spacing w:val="6"/>
      <w:sz w:val="30"/>
      <w:szCs w:val="30"/>
    </w:rPr>
  </w:style>
  <w:style w:type="paragraph" w:styleId="6">
    <w:name w:val="heading 3"/>
    <w:basedOn w:val="1"/>
    <w:next w:val="1"/>
    <w:qFormat/>
    <w:uiPriority w:val="99"/>
    <w:pPr>
      <w:keepNext/>
      <w:keepLines/>
      <w:spacing w:before="260" w:after="260" w:line="416" w:lineRule="auto"/>
      <w:outlineLvl w:val="2"/>
    </w:pPr>
    <w:rPr>
      <w:b/>
      <w:bCs/>
      <w:sz w:val="32"/>
      <w:szCs w:val="32"/>
    </w:rPr>
  </w:style>
  <w:style w:type="paragraph" w:styleId="7">
    <w:name w:val="heading 4"/>
    <w:basedOn w:val="1"/>
    <w:next w:val="1"/>
    <w:link w:val="115"/>
    <w:qFormat/>
    <w:uiPriority w:val="0"/>
    <w:pPr>
      <w:keepNext/>
      <w:keepLines/>
      <w:spacing w:line="500" w:lineRule="exact"/>
      <w:outlineLvl w:val="3"/>
    </w:pPr>
    <w:rPr>
      <w:rFonts w:ascii="仿宋_GB2312" w:hAnsi="Arial" w:eastAsia="仿宋_GB2312"/>
      <w:bCs/>
      <w:kern w:val="2"/>
      <w:sz w:val="28"/>
      <w:szCs w:val="28"/>
    </w:rPr>
  </w:style>
  <w:style w:type="paragraph" w:styleId="8">
    <w:name w:val="heading 5"/>
    <w:basedOn w:val="1"/>
    <w:next w:val="1"/>
    <w:link w:val="116"/>
    <w:qFormat/>
    <w:uiPriority w:val="0"/>
    <w:pPr>
      <w:keepNext/>
      <w:keepLines/>
      <w:spacing w:before="280" w:after="290" w:line="376" w:lineRule="atLeast"/>
      <w:outlineLvl w:val="4"/>
    </w:pPr>
    <w:rPr>
      <w:rFonts w:ascii="仿宋_GB2312" w:eastAsia="仿宋_GB2312"/>
      <w:b/>
      <w:bCs/>
      <w:kern w:val="2"/>
      <w:sz w:val="28"/>
      <w:szCs w:val="28"/>
    </w:rPr>
  </w:style>
  <w:style w:type="paragraph" w:styleId="9">
    <w:name w:val="heading 6"/>
    <w:basedOn w:val="1"/>
    <w:next w:val="1"/>
    <w:link w:val="117"/>
    <w:qFormat/>
    <w:uiPriority w:val="0"/>
    <w:pPr>
      <w:keepNext/>
      <w:keepLines/>
      <w:spacing w:before="240" w:after="64" w:line="320" w:lineRule="atLeast"/>
      <w:outlineLvl w:val="5"/>
    </w:pPr>
    <w:rPr>
      <w:rFonts w:ascii="Arial" w:hAnsi="Arial" w:eastAsia="黑体"/>
      <w:b/>
      <w:bCs/>
      <w:kern w:val="2"/>
      <w:sz w:val="28"/>
      <w:szCs w:val="24"/>
    </w:rPr>
  </w:style>
  <w:style w:type="paragraph" w:styleId="10">
    <w:name w:val="heading 7"/>
    <w:basedOn w:val="1"/>
    <w:next w:val="1"/>
    <w:link w:val="118"/>
    <w:qFormat/>
    <w:uiPriority w:val="0"/>
    <w:pPr>
      <w:keepNext/>
      <w:keepLines/>
      <w:spacing w:before="240" w:after="64" w:line="320" w:lineRule="atLeast"/>
      <w:outlineLvl w:val="6"/>
    </w:pPr>
    <w:rPr>
      <w:rFonts w:ascii="仿宋_GB2312" w:eastAsia="仿宋_GB2312"/>
      <w:b/>
      <w:bCs/>
      <w:kern w:val="2"/>
      <w:sz w:val="28"/>
      <w:szCs w:val="24"/>
    </w:rPr>
  </w:style>
  <w:style w:type="paragraph" w:styleId="11">
    <w:name w:val="heading 8"/>
    <w:basedOn w:val="1"/>
    <w:next w:val="1"/>
    <w:link w:val="119"/>
    <w:qFormat/>
    <w:uiPriority w:val="0"/>
    <w:pPr>
      <w:keepNext/>
      <w:keepLines/>
      <w:spacing w:before="240" w:after="64" w:line="320" w:lineRule="atLeast"/>
      <w:outlineLvl w:val="7"/>
    </w:pPr>
    <w:rPr>
      <w:rFonts w:ascii="Arial" w:hAnsi="Arial" w:eastAsia="黑体"/>
      <w:kern w:val="2"/>
      <w:sz w:val="28"/>
      <w:szCs w:val="24"/>
    </w:rPr>
  </w:style>
  <w:style w:type="paragraph" w:styleId="12">
    <w:name w:val="heading 9"/>
    <w:basedOn w:val="1"/>
    <w:next w:val="1"/>
    <w:link w:val="120"/>
    <w:qFormat/>
    <w:uiPriority w:val="0"/>
    <w:pPr>
      <w:keepNext/>
      <w:keepLines/>
      <w:spacing w:before="240" w:after="64" w:line="320" w:lineRule="atLeast"/>
      <w:outlineLvl w:val="8"/>
    </w:pPr>
    <w:rPr>
      <w:rFonts w:ascii="Arial" w:hAnsi="Arial" w:eastAsia="黑体"/>
      <w:kern w:val="2"/>
      <w:sz w:val="21"/>
      <w:szCs w:val="21"/>
    </w:rPr>
  </w:style>
  <w:style w:type="character" w:default="1" w:styleId="94">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51"/>
    <w:qFormat/>
    <w:uiPriority w:val="0"/>
    <w:pPr>
      <w:spacing w:before="60"/>
      <w:ind w:left="0" w:leftChars="0" w:firstLine="210"/>
    </w:pPr>
    <w:rPr>
      <w:sz w:val="18"/>
    </w:rPr>
  </w:style>
  <w:style w:type="paragraph" w:styleId="3">
    <w:name w:val="Body Text Indent"/>
    <w:basedOn w:val="1"/>
    <w:link w:val="130"/>
    <w:qFormat/>
    <w:uiPriority w:val="0"/>
    <w:pPr>
      <w:spacing w:after="120"/>
      <w:ind w:left="420" w:leftChars="200"/>
    </w:pPr>
    <w:rPr>
      <w:rFonts w:ascii="Times New Roman"/>
      <w:kern w:val="2"/>
      <w:sz w:val="21"/>
      <w:szCs w:val="24"/>
    </w:rPr>
  </w:style>
  <w:style w:type="paragraph" w:styleId="13">
    <w:name w:val="List 3"/>
    <w:basedOn w:val="1"/>
    <w:qFormat/>
    <w:uiPriority w:val="0"/>
    <w:pPr>
      <w:spacing w:before="60"/>
      <w:ind w:left="1260" w:hanging="420"/>
    </w:pPr>
    <w:rPr>
      <w:rFonts w:ascii="Arial" w:hAnsi="Arial" w:eastAsia="仿宋_GB2312"/>
    </w:rPr>
  </w:style>
  <w:style w:type="paragraph" w:styleId="14">
    <w:name w:val="toc 7"/>
    <w:basedOn w:val="1"/>
    <w:next w:val="1"/>
    <w:qFormat/>
    <w:uiPriority w:val="0"/>
    <w:pPr>
      <w:ind w:left="1260"/>
      <w:jc w:val="left"/>
    </w:pPr>
    <w:rPr>
      <w:sz w:val="18"/>
      <w:szCs w:val="18"/>
    </w:rPr>
  </w:style>
  <w:style w:type="paragraph" w:styleId="15">
    <w:name w:val="List Number 2"/>
    <w:basedOn w:val="1"/>
    <w:qFormat/>
    <w:uiPriority w:val="0"/>
    <w:pPr>
      <w:tabs>
        <w:tab w:val="left" w:pos="360"/>
      </w:tabs>
      <w:ind w:left="360" w:hanging="360"/>
    </w:pPr>
  </w:style>
  <w:style w:type="paragraph" w:styleId="16">
    <w:name w:val="table of authorities"/>
    <w:basedOn w:val="1"/>
    <w:next w:val="1"/>
    <w:qFormat/>
    <w:uiPriority w:val="0"/>
    <w:pPr>
      <w:ind w:left="210" w:hanging="210"/>
      <w:jc w:val="left"/>
    </w:pPr>
  </w:style>
  <w:style w:type="paragraph" w:styleId="17">
    <w:name w:val="Note Heading"/>
    <w:basedOn w:val="1"/>
    <w:next w:val="1"/>
    <w:link w:val="121"/>
    <w:qFormat/>
    <w:uiPriority w:val="0"/>
    <w:pPr>
      <w:jc w:val="center"/>
    </w:pPr>
    <w:rPr>
      <w:rFonts w:ascii="Times New Roman"/>
      <w:kern w:val="2"/>
      <w:sz w:val="21"/>
      <w:szCs w:val="24"/>
    </w:rPr>
  </w:style>
  <w:style w:type="paragraph" w:styleId="18">
    <w:name w:val="List Bullet 4"/>
    <w:basedOn w:val="1"/>
    <w:qFormat/>
    <w:uiPriority w:val="0"/>
    <w:pPr>
      <w:tabs>
        <w:tab w:val="left" w:pos="435"/>
      </w:tabs>
      <w:ind w:left="435" w:hanging="435"/>
    </w:pPr>
  </w:style>
  <w:style w:type="paragraph" w:styleId="19">
    <w:name w:val="index 8"/>
    <w:basedOn w:val="1"/>
    <w:next w:val="1"/>
    <w:qFormat/>
    <w:uiPriority w:val="0"/>
    <w:pPr>
      <w:ind w:left="1400" w:leftChars="1400"/>
    </w:pPr>
  </w:style>
  <w:style w:type="paragraph" w:styleId="20">
    <w:name w:val="E-mail Signature"/>
    <w:basedOn w:val="1"/>
    <w:link w:val="122"/>
    <w:qFormat/>
    <w:uiPriority w:val="0"/>
    <w:pPr>
      <w:spacing w:before="60"/>
      <w:ind w:firstLine="482"/>
    </w:pPr>
    <w:rPr>
      <w:rFonts w:ascii="Arial" w:hAnsi="Arial" w:eastAsia="仿宋_GB2312"/>
    </w:rPr>
  </w:style>
  <w:style w:type="paragraph" w:styleId="21">
    <w:name w:val="List Number"/>
    <w:basedOn w:val="1"/>
    <w:qFormat/>
    <w:uiPriority w:val="0"/>
    <w:pPr>
      <w:tabs>
        <w:tab w:val="left" w:pos="360"/>
      </w:tabs>
      <w:ind w:left="360" w:hanging="360" w:hangingChars="200"/>
    </w:pPr>
  </w:style>
  <w:style w:type="paragraph" w:styleId="22">
    <w:name w:val="Normal Indent"/>
    <w:basedOn w:val="1"/>
    <w:link w:val="123"/>
    <w:qFormat/>
    <w:uiPriority w:val="0"/>
    <w:pPr>
      <w:ind w:firstLine="420" w:firstLineChars="200"/>
    </w:pPr>
    <w:rPr>
      <w:rFonts w:ascii="Times New Roman"/>
      <w:kern w:val="2"/>
      <w:sz w:val="21"/>
      <w:szCs w:val="24"/>
    </w:rPr>
  </w:style>
  <w:style w:type="paragraph" w:styleId="23">
    <w:name w:val="caption"/>
    <w:basedOn w:val="1"/>
    <w:next w:val="1"/>
    <w:link w:val="124"/>
    <w:qFormat/>
    <w:uiPriority w:val="0"/>
    <w:pPr>
      <w:tabs>
        <w:tab w:val="left" w:pos="7380"/>
      </w:tabs>
      <w:overflowPunct w:val="0"/>
      <w:spacing w:before="152" w:after="160" w:afterLines="100"/>
      <w:jc w:val="left"/>
    </w:pPr>
    <w:rPr>
      <w:rFonts w:ascii="Arial" w:hAnsi="Arial" w:eastAsia="黑体" w:cs="Arial"/>
      <w:kern w:val="2"/>
      <w:sz w:val="20"/>
    </w:rPr>
  </w:style>
  <w:style w:type="paragraph" w:styleId="24">
    <w:name w:val="index 5"/>
    <w:basedOn w:val="1"/>
    <w:next w:val="1"/>
    <w:qFormat/>
    <w:uiPriority w:val="0"/>
    <w:pPr>
      <w:ind w:left="800" w:leftChars="800"/>
    </w:pPr>
  </w:style>
  <w:style w:type="paragraph" w:styleId="25">
    <w:name w:val="List Bullet"/>
    <w:basedOn w:val="1"/>
    <w:qFormat/>
    <w:uiPriority w:val="0"/>
    <w:pPr>
      <w:tabs>
        <w:tab w:val="left" w:pos="1140"/>
      </w:tabs>
      <w:ind w:left="1140" w:hanging="720"/>
    </w:pPr>
  </w:style>
  <w:style w:type="paragraph" w:styleId="26">
    <w:name w:val="envelope address"/>
    <w:basedOn w:val="1"/>
    <w:qFormat/>
    <w:uiPriority w:val="0"/>
    <w:pPr>
      <w:framePr w:w="7920" w:h="1980" w:hRule="exact" w:hSpace="180" w:wrap="auto"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sz w:val="22"/>
      <w:lang w:val="en-GB"/>
    </w:rPr>
  </w:style>
  <w:style w:type="paragraph" w:styleId="27">
    <w:name w:val="Document Map"/>
    <w:basedOn w:val="1"/>
    <w:link w:val="125"/>
    <w:qFormat/>
    <w:uiPriority w:val="0"/>
    <w:pPr>
      <w:shd w:val="clear" w:color="auto" w:fill="000080"/>
    </w:pPr>
    <w:rPr>
      <w:rFonts w:ascii="Times New Roman"/>
      <w:kern w:val="2"/>
      <w:sz w:val="21"/>
      <w:szCs w:val="24"/>
    </w:rPr>
  </w:style>
  <w:style w:type="paragraph" w:styleId="28">
    <w:name w:val="toa heading"/>
    <w:basedOn w:val="1"/>
    <w:next w:val="1"/>
    <w:qFormat/>
    <w:uiPriority w:val="0"/>
    <w:pPr>
      <w:spacing w:before="120" w:after="120"/>
      <w:jc w:val="left"/>
    </w:pPr>
    <w:rPr>
      <w:u w:val="single"/>
    </w:rPr>
  </w:style>
  <w:style w:type="paragraph" w:styleId="29">
    <w:name w:val="annotation text"/>
    <w:basedOn w:val="1"/>
    <w:link w:val="126"/>
    <w:qFormat/>
    <w:uiPriority w:val="0"/>
    <w:pPr>
      <w:adjustRightInd w:val="0"/>
      <w:spacing w:line="360" w:lineRule="atLeast"/>
      <w:jc w:val="left"/>
      <w:textAlignment w:val="baseline"/>
    </w:pPr>
    <w:rPr>
      <w:rFonts w:ascii="Times New Roman"/>
    </w:rPr>
  </w:style>
  <w:style w:type="paragraph" w:styleId="30">
    <w:name w:val="index 6"/>
    <w:basedOn w:val="1"/>
    <w:next w:val="1"/>
    <w:qFormat/>
    <w:uiPriority w:val="0"/>
    <w:pPr>
      <w:ind w:left="1000" w:leftChars="1000"/>
    </w:pPr>
  </w:style>
  <w:style w:type="paragraph" w:styleId="31">
    <w:name w:val="Salutation"/>
    <w:basedOn w:val="1"/>
    <w:next w:val="1"/>
    <w:link w:val="127"/>
    <w:qFormat/>
    <w:uiPriority w:val="0"/>
    <w:pPr>
      <w:spacing w:before="60"/>
      <w:ind w:firstLine="482"/>
    </w:pPr>
    <w:rPr>
      <w:rFonts w:ascii="Arial" w:hAnsi="Arial" w:eastAsia="仿宋_GB2312"/>
    </w:rPr>
  </w:style>
  <w:style w:type="paragraph" w:styleId="32">
    <w:name w:val="Body Text 3"/>
    <w:basedOn w:val="1"/>
    <w:link w:val="128"/>
    <w:qFormat/>
    <w:uiPriority w:val="0"/>
    <w:pPr>
      <w:spacing w:after="120"/>
    </w:pPr>
    <w:rPr>
      <w:rFonts w:ascii="Times New Roman"/>
      <w:kern w:val="2"/>
      <w:sz w:val="16"/>
      <w:szCs w:val="16"/>
    </w:rPr>
  </w:style>
  <w:style w:type="paragraph" w:styleId="33">
    <w:name w:val="Closing"/>
    <w:basedOn w:val="1"/>
    <w:link w:val="129"/>
    <w:qFormat/>
    <w:uiPriority w:val="0"/>
    <w:pPr>
      <w:spacing w:before="60"/>
      <w:ind w:left="4320" w:firstLine="482"/>
    </w:pPr>
    <w:rPr>
      <w:rFonts w:ascii="Arial" w:hAnsi="Arial" w:eastAsia="仿宋_GB2312"/>
    </w:rPr>
  </w:style>
  <w:style w:type="paragraph" w:styleId="34">
    <w:name w:val="List Bullet 3"/>
    <w:basedOn w:val="1"/>
    <w:qFormat/>
    <w:uiPriority w:val="0"/>
    <w:pPr>
      <w:spacing w:before="50" w:line="500" w:lineRule="exact"/>
      <w:ind w:left="180"/>
    </w:pPr>
    <w:rPr>
      <w:spacing w:val="6"/>
      <w:sz w:val="28"/>
    </w:rPr>
  </w:style>
  <w:style w:type="paragraph" w:styleId="35">
    <w:name w:val="Body Text"/>
    <w:basedOn w:val="1"/>
    <w:link w:val="112"/>
    <w:qFormat/>
    <w:uiPriority w:val="0"/>
    <w:pPr>
      <w:spacing w:after="120"/>
    </w:pPr>
    <w:rPr>
      <w:rFonts w:ascii="Times New Roman"/>
      <w:kern w:val="2"/>
      <w:sz w:val="21"/>
      <w:szCs w:val="24"/>
    </w:rPr>
  </w:style>
  <w:style w:type="paragraph" w:styleId="36">
    <w:name w:val="List Number 3"/>
    <w:basedOn w:val="1"/>
    <w:qFormat/>
    <w:uiPriority w:val="0"/>
    <w:pPr>
      <w:tabs>
        <w:tab w:val="left" w:pos="1200"/>
        <w:tab w:val="left" w:pos="3240"/>
      </w:tabs>
      <w:ind w:left="1200" w:hanging="360"/>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before="60" w:after="120"/>
      <w:ind w:left="420" w:firstLine="482"/>
    </w:pPr>
    <w:rPr>
      <w:rFonts w:ascii="Arial" w:hAnsi="Arial" w:eastAsia="仿宋_GB2312"/>
    </w:rPr>
  </w:style>
  <w:style w:type="paragraph" w:styleId="39">
    <w:name w:val="Block Text"/>
    <w:basedOn w:val="1"/>
    <w:qFormat/>
    <w:uiPriority w:val="0"/>
    <w:pPr>
      <w:spacing w:after="120"/>
      <w:ind w:left="1440" w:leftChars="700" w:right="700" w:rightChars="700"/>
    </w:pPr>
  </w:style>
  <w:style w:type="paragraph" w:styleId="40">
    <w:name w:val="List Bullet 2"/>
    <w:basedOn w:val="1"/>
    <w:qFormat/>
    <w:uiPriority w:val="0"/>
    <w:pPr>
      <w:widowControl/>
      <w:overflowPunct w:val="0"/>
      <w:autoSpaceDE w:val="0"/>
      <w:autoSpaceDN w:val="0"/>
      <w:adjustRightInd w:val="0"/>
      <w:spacing w:line="264" w:lineRule="auto"/>
      <w:ind w:left="720" w:hanging="360"/>
      <w:jc w:val="left"/>
      <w:textAlignment w:val="baseline"/>
    </w:pPr>
    <w:rPr>
      <w:rFonts w:ascii="Book Antiqua" w:hAnsi="Book Antiqua"/>
      <w:sz w:val="22"/>
      <w:lang w:val="en-GB"/>
    </w:rPr>
  </w:style>
  <w:style w:type="paragraph" w:styleId="41">
    <w:name w:val="HTML Address"/>
    <w:basedOn w:val="1"/>
    <w:link w:val="131"/>
    <w:qFormat/>
    <w:uiPriority w:val="0"/>
    <w:pPr>
      <w:spacing w:before="60"/>
      <w:ind w:firstLine="482"/>
    </w:pPr>
    <w:rPr>
      <w:rFonts w:ascii="Arial" w:hAnsi="Arial" w:eastAsia="仿宋_GB2312"/>
      <w:i/>
      <w:iCs/>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840"/>
      <w:jc w:val="left"/>
    </w:pPr>
    <w:rPr>
      <w:sz w:val="18"/>
      <w:szCs w:val="18"/>
    </w:rPr>
  </w:style>
  <w:style w:type="paragraph" w:styleId="44">
    <w:name w:val="toc 3"/>
    <w:basedOn w:val="1"/>
    <w:next w:val="1"/>
    <w:qFormat/>
    <w:uiPriority w:val="39"/>
    <w:pPr>
      <w:ind w:left="420"/>
      <w:jc w:val="left"/>
    </w:pPr>
    <w:rPr>
      <w:i/>
      <w:iCs/>
      <w:sz w:val="20"/>
    </w:rPr>
  </w:style>
  <w:style w:type="paragraph" w:styleId="45">
    <w:name w:val="Plain Text"/>
    <w:basedOn w:val="1"/>
    <w:link w:val="132"/>
    <w:qFormat/>
    <w:uiPriority w:val="0"/>
    <w:rPr>
      <w:rFonts w:hAnsi="Courier New" w:cs="Courier New"/>
      <w:kern w:val="2"/>
      <w:sz w:val="21"/>
      <w:szCs w:val="21"/>
    </w:rPr>
  </w:style>
  <w:style w:type="paragraph" w:styleId="46">
    <w:name w:val="List Bullet 5"/>
    <w:basedOn w:val="1"/>
    <w:qFormat/>
    <w:uiPriority w:val="99"/>
    <w:pPr>
      <w:tabs>
        <w:tab w:val="left" w:pos="1260"/>
      </w:tabs>
      <w:ind w:left="1260" w:hanging="720"/>
    </w:pPr>
  </w:style>
  <w:style w:type="paragraph" w:styleId="47">
    <w:name w:val="List Number 4"/>
    <w:basedOn w:val="1"/>
    <w:qFormat/>
    <w:uiPriority w:val="0"/>
    <w:pPr>
      <w:tabs>
        <w:tab w:val="left" w:pos="432"/>
      </w:tabs>
      <w:ind w:left="432" w:hanging="432"/>
    </w:pPr>
  </w:style>
  <w:style w:type="paragraph" w:styleId="48">
    <w:name w:val="toc 8"/>
    <w:basedOn w:val="1"/>
    <w:next w:val="1"/>
    <w:qFormat/>
    <w:uiPriority w:val="0"/>
    <w:pPr>
      <w:ind w:left="1470"/>
      <w:jc w:val="left"/>
    </w:pPr>
    <w:rPr>
      <w:sz w:val="18"/>
      <w:szCs w:val="18"/>
    </w:rPr>
  </w:style>
  <w:style w:type="paragraph" w:styleId="49">
    <w:name w:val="index 3"/>
    <w:basedOn w:val="1"/>
    <w:next w:val="1"/>
    <w:qFormat/>
    <w:uiPriority w:val="0"/>
    <w:pPr>
      <w:ind w:left="400" w:leftChars="400"/>
    </w:pPr>
  </w:style>
  <w:style w:type="paragraph" w:styleId="50">
    <w:name w:val="Date"/>
    <w:basedOn w:val="1"/>
    <w:next w:val="1"/>
    <w:link w:val="133"/>
    <w:qFormat/>
    <w:uiPriority w:val="0"/>
    <w:pPr>
      <w:adjustRightInd w:val="0"/>
      <w:spacing w:line="360" w:lineRule="atLeast"/>
      <w:ind w:left="100" w:leftChars="2500"/>
      <w:jc w:val="left"/>
      <w:textAlignment w:val="baseline"/>
    </w:pPr>
    <w:rPr>
      <w:rFonts w:ascii="Times New Roman"/>
      <w:kern w:val="2"/>
      <w:sz w:val="21"/>
    </w:rPr>
  </w:style>
  <w:style w:type="paragraph" w:styleId="51">
    <w:name w:val="Body Text Indent 2"/>
    <w:basedOn w:val="1"/>
    <w:link w:val="134"/>
    <w:qFormat/>
    <w:uiPriority w:val="0"/>
    <w:pPr>
      <w:spacing w:line="500" w:lineRule="exact"/>
      <w:ind w:firstLine="560" w:firstLineChars="200"/>
    </w:pPr>
    <w:rPr>
      <w:rFonts w:ascii="仿宋_GB2312" w:eastAsia="仿宋_GB2312"/>
      <w:kern w:val="2"/>
      <w:sz w:val="28"/>
    </w:rPr>
  </w:style>
  <w:style w:type="paragraph" w:styleId="52">
    <w:name w:val="endnote text"/>
    <w:basedOn w:val="1"/>
    <w:link w:val="135"/>
    <w:unhideWhenUsed/>
    <w:qFormat/>
    <w:uiPriority w:val="99"/>
    <w:pPr>
      <w:snapToGrid w:val="0"/>
      <w:spacing w:line="500" w:lineRule="exact"/>
      <w:ind w:firstLine="200" w:firstLineChars="200"/>
      <w:jc w:val="left"/>
    </w:pPr>
    <w:rPr>
      <w:rFonts w:ascii="仿宋_GB2312" w:hAnsi="仿宋_GB2312" w:eastAsia="仿宋_GB2312"/>
      <w:kern w:val="2"/>
      <w:sz w:val="28"/>
      <w:szCs w:val="21"/>
    </w:rPr>
  </w:style>
  <w:style w:type="paragraph" w:styleId="53">
    <w:name w:val="List Continue 5"/>
    <w:basedOn w:val="1"/>
    <w:qFormat/>
    <w:uiPriority w:val="0"/>
    <w:pPr>
      <w:spacing w:before="60" w:after="120"/>
      <w:ind w:left="2100" w:firstLine="482"/>
    </w:pPr>
    <w:rPr>
      <w:rFonts w:ascii="Arial" w:hAnsi="Arial" w:eastAsia="仿宋_GB2312"/>
    </w:rPr>
  </w:style>
  <w:style w:type="paragraph" w:styleId="54">
    <w:name w:val="Balloon Text"/>
    <w:basedOn w:val="1"/>
    <w:link w:val="136"/>
    <w:qFormat/>
    <w:uiPriority w:val="0"/>
    <w:rPr>
      <w:rFonts w:ascii="Times New Roman"/>
      <w:kern w:val="2"/>
      <w:sz w:val="18"/>
      <w:szCs w:val="18"/>
    </w:rPr>
  </w:style>
  <w:style w:type="paragraph" w:styleId="55">
    <w:name w:val="footer"/>
    <w:basedOn w:val="1"/>
    <w:link w:val="137"/>
    <w:qFormat/>
    <w:uiPriority w:val="99"/>
    <w:pPr>
      <w:tabs>
        <w:tab w:val="center" w:pos="4153"/>
        <w:tab w:val="right" w:pos="8306"/>
      </w:tabs>
      <w:snapToGrid w:val="0"/>
      <w:jc w:val="left"/>
    </w:pPr>
    <w:rPr>
      <w:rFonts w:ascii="Times New Roman"/>
      <w:kern w:val="2"/>
      <w:sz w:val="18"/>
      <w:szCs w:val="18"/>
    </w:rPr>
  </w:style>
  <w:style w:type="paragraph" w:styleId="56">
    <w:name w:val="envelope return"/>
    <w:basedOn w:val="1"/>
    <w:qFormat/>
    <w:uiPriority w:val="0"/>
    <w:pPr>
      <w:snapToGrid w:val="0"/>
      <w:spacing w:before="60"/>
      <w:ind w:firstLine="482"/>
    </w:pPr>
    <w:rPr>
      <w:rFonts w:ascii="Arial" w:hAnsi="Arial" w:eastAsia="仿宋_GB2312" w:cs="Arial"/>
    </w:rPr>
  </w:style>
  <w:style w:type="paragraph" w:styleId="57">
    <w:name w:val="header"/>
    <w:basedOn w:val="1"/>
    <w:link w:val="138"/>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58">
    <w:name w:val="Signature"/>
    <w:basedOn w:val="1"/>
    <w:link w:val="139"/>
    <w:qFormat/>
    <w:uiPriority w:val="0"/>
    <w:pPr>
      <w:spacing w:before="60"/>
      <w:ind w:left="4320" w:firstLine="482"/>
    </w:pPr>
    <w:rPr>
      <w:rFonts w:ascii="Arial" w:hAnsi="Arial" w:eastAsia="仿宋_GB2312"/>
    </w:rPr>
  </w:style>
  <w:style w:type="paragraph" w:styleId="59">
    <w:name w:val="toc 1"/>
    <w:basedOn w:val="1"/>
    <w:next w:val="1"/>
    <w:qFormat/>
    <w:uiPriority w:val="39"/>
    <w:pPr>
      <w:tabs>
        <w:tab w:val="left" w:pos="284"/>
        <w:tab w:val="left" w:pos="630"/>
        <w:tab w:val="right" w:leader="dot" w:pos="8302"/>
      </w:tabs>
      <w:snapToGrid w:val="0"/>
      <w:spacing w:before="120" w:after="120"/>
      <w:jc w:val="center"/>
    </w:pPr>
    <w:rPr>
      <w:rFonts w:eastAsia="仿宋_GB2312"/>
      <w:b/>
      <w:bCs/>
    </w:rPr>
  </w:style>
  <w:style w:type="paragraph" w:styleId="60">
    <w:name w:val="List Continue 4"/>
    <w:basedOn w:val="1"/>
    <w:qFormat/>
    <w:uiPriority w:val="0"/>
    <w:pPr>
      <w:spacing w:before="60" w:after="120"/>
      <w:ind w:left="1680" w:firstLine="482"/>
    </w:pPr>
    <w:rPr>
      <w:rFonts w:ascii="Arial" w:hAnsi="Arial" w:eastAsia="仿宋_GB2312"/>
    </w:rPr>
  </w:style>
  <w:style w:type="paragraph" w:styleId="61">
    <w:name w:val="toc 4"/>
    <w:basedOn w:val="1"/>
    <w:next w:val="1"/>
    <w:qFormat/>
    <w:uiPriority w:val="0"/>
    <w:pPr>
      <w:ind w:left="630"/>
      <w:jc w:val="left"/>
    </w:pPr>
    <w:rPr>
      <w:sz w:val="18"/>
      <w:szCs w:val="18"/>
    </w:rPr>
  </w:style>
  <w:style w:type="paragraph" w:styleId="62">
    <w:name w:val="index heading"/>
    <w:basedOn w:val="1"/>
    <w:next w:val="63"/>
    <w:qFormat/>
    <w:uiPriority w:val="0"/>
  </w:style>
  <w:style w:type="paragraph" w:styleId="63">
    <w:name w:val="index 1"/>
    <w:basedOn w:val="1"/>
    <w:next w:val="1"/>
    <w:qFormat/>
    <w:uiPriority w:val="0"/>
    <w:pPr>
      <w:spacing w:line="400" w:lineRule="exact"/>
      <w:ind w:firstLine="461" w:firstLineChars="192"/>
    </w:pPr>
    <w:rPr>
      <w:bCs/>
      <w:color w:val="000000"/>
    </w:rPr>
  </w:style>
  <w:style w:type="paragraph" w:styleId="64">
    <w:name w:val="Subtitle"/>
    <w:basedOn w:val="1"/>
    <w:link w:val="140"/>
    <w:qFormat/>
    <w:uiPriority w:val="0"/>
    <w:pPr>
      <w:spacing w:before="240" w:after="60" w:line="312" w:lineRule="auto"/>
      <w:ind w:firstLine="482"/>
      <w:jc w:val="center"/>
      <w:outlineLvl w:val="1"/>
    </w:pPr>
    <w:rPr>
      <w:rFonts w:ascii="Arial" w:hAnsi="Arial" w:eastAsia="仿宋_GB2312"/>
      <w:b/>
      <w:bCs/>
      <w:kern w:val="28"/>
      <w:sz w:val="32"/>
      <w:szCs w:val="32"/>
    </w:rPr>
  </w:style>
  <w:style w:type="paragraph" w:styleId="65">
    <w:name w:val="List Number 5"/>
    <w:basedOn w:val="1"/>
    <w:qFormat/>
    <w:uiPriority w:val="0"/>
    <w:pPr>
      <w:tabs>
        <w:tab w:val="left" w:pos="2040"/>
      </w:tabs>
      <w:ind w:left="2040" w:hanging="360"/>
    </w:pPr>
  </w:style>
  <w:style w:type="paragraph" w:styleId="66">
    <w:name w:val="List"/>
    <w:basedOn w:val="1"/>
    <w:link w:val="141"/>
    <w:qFormat/>
    <w:uiPriority w:val="0"/>
    <w:pPr>
      <w:spacing w:line="360" w:lineRule="exact"/>
      <w:jc w:val="center"/>
    </w:pPr>
    <w:rPr>
      <w:rFonts w:ascii="仿宋_GB2312" w:eastAsia="仿宋_GB2312"/>
      <w:kern w:val="2"/>
    </w:rPr>
  </w:style>
  <w:style w:type="paragraph" w:styleId="67">
    <w:name w:val="footnote text"/>
    <w:basedOn w:val="1"/>
    <w:next w:val="1"/>
    <w:link w:val="142"/>
    <w:qFormat/>
    <w:uiPriority w:val="0"/>
    <w:pPr>
      <w:autoSpaceDE w:val="0"/>
      <w:autoSpaceDN w:val="0"/>
      <w:adjustRightInd w:val="0"/>
      <w:jc w:val="left"/>
    </w:pPr>
    <w:rPr>
      <w:rFonts w:ascii="Times New Roman"/>
      <w:sz w:val="20"/>
      <w:szCs w:val="24"/>
    </w:rPr>
  </w:style>
  <w:style w:type="paragraph" w:styleId="68">
    <w:name w:val="toc 6"/>
    <w:basedOn w:val="1"/>
    <w:next w:val="1"/>
    <w:qFormat/>
    <w:uiPriority w:val="0"/>
    <w:pPr>
      <w:ind w:left="1050"/>
      <w:jc w:val="left"/>
    </w:pPr>
    <w:rPr>
      <w:sz w:val="18"/>
      <w:szCs w:val="18"/>
    </w:rPr>
  </w:style>
  <w:style w:type="paragraph" w:styleId="69">
    <w:name w:val="List 5"/>
    <w:basedOn w:val="1"/>
    <w:qFormat/>
    <w:uiPriority w:val="0"/>
    <w:pPr>
      <w:spacing w:before="60"/>
      <w:ind w:left="2100" w:hanging="420"/>
    </w:pPr>
    <w:rPr>
      <w:rFonts w:ascii="Arial" w:hAnsi="Arial" w:eastAsia="仿宋_GB2312"/>
    </w:rPr>
  </w:style>
  <w:style w:type="paragraph" w:styleId="70">
    <w:name w:val="Body Text Indent 3"/>
    <w:basedOn w:val="1"/>
    <w:link w:val="143"/>
    <w:qFormat/>
    <w:uiPriority w:val="0"/>
    <w:pPr>
      <w:spacing w:after="120"/>
      <w:ind w:left="420" w:leftChars="200"/>
    </w:pPr>
    <w:rPr>
      <w:rFonts w:ascii="Times New Roman"/>
      <w:kern w:val="2"/>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spacing w:after="120" w:line="500" w:lineRule="exact"/>
      <w:jc w:val="center"/>
    </w:pPr>
    <w:rPr>
      <w:rFonts w:ascii="仿宋_GB2312" w:eastAsia="仿宋_GB2312"/>
      <w:sz w:val="28"/>
    </w:rPr>
  </w:style>
  <w:style w:type="paragraph" w:styleId="74">
    <w:name w:val="toc 2"/>
    <w:basedOn w:val="1"/>
    <w:next w:val="1"/>
    <w:qFormat/>
    <w:uiPriority w:val="39"/>
    <w:pPr>
      <w:tabs>
        <w:tab w:val="left" w:pos="567"/>
        <w:tab w:val="left" w:pos="630"/>
        <w:tab w:val="right" w:leader="dot" w:pos="8302"/>
      </w:tabs>
      <w:ind w:left="210"/>
      <w:jc w:val="left"/>
    </w:pPr>
    <w:rPr>
      <w:smallCaps/>
      <w:sz w:val="20"/>
    </w:rPr>
  </w:style>
  <w:style w:type="paragraph" w:styleId="75">
    <w:name w:val="toc 9"/>
    <w:basedOn w:val="1"/>
    <w:next w:val="1"/>
    <w:qFormat/>
    <w:uiPriority w:val="0"/>
    <w:pPr>
      <w:ind w:left="1680"/>
      <w:jc w:val="left"/>
    </w:pPr>
    <w:rPr>
      <w:sz w:val="18"/>
      <w:szCs w:val="18"/>
    </w:rPr>
  </w:style>
  <w:style w:type="paragraph" w:styleId="76">
    <w:name w:val="Body Text 2"/>
    <w:basedOn w:val="1"/>
    <w:link w:val="144"/>
    <w:qFormat/>
    <w:uiPriority w:val="0"/>
    <w:pPr>
      <w:spacing w:after="120" w:line="480" w:lineRule="auto"/>
    </w:pPr>
    <w:rPr>
      <w:rFonts w:ascii="Times New Roman"/>
      <w:kern w:val="2"/>
      <w:sz w:val="21"/>
      <w:szCs w:val="24"/>
    </w:rPr>
  </w:style>
  <w:style w:type="paragraph" w:styleId="77">
    <w:name w:val="List 4"/>
    <w:basedOn w:val="1"/>
    <w:qFormat/>
    <w:uiPriority w:val="0"/>
    <w:pPr>
      <w:spacing w:before="60"/>
      <w:ind w:left="1680" w:hanging="420"/>
    </w:pPr>
    <w:rPr>
      <w:rFonts w:ascii="Arial" w:hAnsi="Arial" w:eastAsia="仿宋_GB2312"/>
    </w:rPr>
  </w:style>
  <w:style w:type="paragraph" w:styleId="78">
    <w:name w:val="List Continue 2"/>
    <w:basedOn w:val="1"/>
    <w:qFormat/>
    <w:uiPriority w:val="0"/>
    <w:pPr>
      <w:spacing w:before="60" w:after="120"/>
      <w:ind w:left="840" w:firstLine="482"/>
    </w:pPr>
    <w:rPr>
      <w:rFonts w:ascii="Arial" w:hAnsi="Arial" w:eastAsia="仿宋_GB2312"/>
    </w:rPr>
  </w:style>
  <w:style w:type="paragraph" w:styleId="79">
    <w:name w:val="Message Header"/>
    <w:basedOn w:val="1"/>
    <w:link w:val="145"/>
    <w:qFormat/>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rPr>
  </w:style>
  <w:style w:type="paragraph" w:styleId="80">
    <w:name w:val="HTML Preformatted"/>
    <w:basedOn w:val="1"/>
    <w:link w:val="146"/>
    <w:qFormat/>
    <w:uiPriority w:val="99"/>
    <w:rPr>
      <w:rFonts w:ascii="Courier New" w:hAnsi="Courier New"/>
      <w:kern w:val="2"/>
      <w:sz w:val="20"/>
    </w:rPr>
  </w:style>
  <w:style w:type="paragraph" w:styleId="81">
    <w:name w:val="Normal (Web)"/>
    <w:basedOn w:val="1"/>
    <w:link w:val="147"/>
    <w:qFormat/>
    <w:uiPriority w:val="0"/>
    <w:rPr>
      <w:rFonts w:ascii="Times New Roman"/>
      <w:kern w:val="2"/>
      <w:szCs w:val="24"/>
    </w:rPr>
  </w:style>
  <w:style w:type="paragraph" w:styleId="82">
    <w:name w:val="List Continue 3"/>
    <w:basedOn w:val="1"/>
    <w:qFormat/>
    <w:uiPriority w:val="0"/>
    <w:pPr>
      <w:spacing w:before="60" w:after="120"/>
      <w:ind w:left="1260" w:firstLine="482"/>
    </w:pPr>
    <w:rPr>
      <w:rFonts w:ascii="Arial" w:hAnsi="Arial" w:eastAsia="仿宋_GB2312"/>
    </w:rPr>
  </w:style>
  <w:style w:type="paragraph" w:styleId="83">
    <w:name w:val="index 2"/>
    <w:basedOn w:val="1"/>
    <w:next w:val="1"/>
    <w:qFormat/>
    <w:uiPriority w:val="0"/>
    <w:pPr>
      <w:ind w:left="200" w:leftChars="200"/>
    </w:pPr>
  </w:style>
  <w:style w:type="paragraph" w:styleId="84">
    <w:name w:val="Title"/>
    <w:basedOn w:val="1"/>
    <w:link w:val="148"/>
    <w:qFormat/>
    <w:uiPriority w:val="0"/>
    <w:pPr>
      <w:spacing w:before="240" w:after="60"/>
      <w:jc w:val="center"/>
      <w:outlineLvl w:val="0"/>
    </w:pPr>
    <w:rPr>
      <w:rFonts w:ascii="Arial" w:hAnsi="Arial"/>
      <w:b/>
      <w:bCs/>
      <w:kern w:val="2"/>
      <w:sz w:val="32"/>
      <w:szCs w:val="32"/>
    </w:rPr>
  </w:style>
  <w:style w:type="paragraph" w:styleId="85">
    <w:name w:val="annotation subject"/>
    <w:basedOn w:val="29"/>
    <w:next w:val="29"/>
    <w:link w:val="149"/>
    <w:qFormat/>
    <w:uiPriority w:val="0"/>
    <w:pPr>
      <w:adjustRightInd/>
      <w:spacing w:line="240" w:lineRule="auto"/>
      <w:textAlignment w:val="auto"/>
    </w:pPr>
    <w:rPr>
      <w:b/>
      <w:bCs/>
      <w:kern w:val="2"/>
      <w:sz w:val="21"/>
      <w:szCs w:val="24"/>
    </w:rPr>
  </w:style>
  <w:style w:type="paragraph" w:styleId="86">
    <w:name w:val="Body Text First Indent"/>
    <w:basedOn w:val="35"/>
    <w:link w:val="150"/>
    <w:qFormat/>
    <w:uiPriority w:val="0"/>
    <w:pPr>
      <w:spacing w:line="500" w:lineRule="exact"/>
      <w:ind w:firstLine="420" w:firstLineChars="100"/>
    </w:pPr>
    <w:rPr>
      <w:rFonts w:eastAsia="仿宋_GB2312"/>
      <w:sz w:val="28"/>
    </w:rPr>
  </w:style>
  <w:style w:type="table" w:styleId="88">
    <w:name w:val="Table Grid"/>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lassic 1"/>
    <w:basedOn w:val="87"/>
    <w:qFormat/>
    <w:uiPriority w:val="0"/>
    <w:pPr>
      <w:widowControl w:val="0"/>
      <w:adjustRightInd w:val="0"/>
      <w:spacing w:line="312" w:lineRule="atLeast"/>
      <w:jc w:val="both"/>
      <w:textAlignment w:val="baseline"/>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1">
    <w:name w:val="Table Simple 1"/>
    <w:basedOn w:val="87"/>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2">
    <w:name w:val="Table Grid 1"/>
    <w:basedOn w:val="8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Professional"/>
    <w:basedOn w:val="87"/>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5">
    <w:name w:val="Strong"/>
    <w:qFormat/>
    <w:uiPriority w:val="0"/>
    <w:rPr>
      <w:b/>
      <w:bCs/>
    </w:rPr>
  </w:style>
  <w:style w:type="character" w:styleId="96">
    <w:name w:val="endnote reference"/>
    <w:unhideWhenUsed/>
    <w:qFormat/>
    <w:uiPriority w:val="99"/>
    <w:rPr>
      <w:vertAlign w:val="superscript"/>
    </w:rPr>
  </w:style>
  <w:style w:type="character" w:styleId="97">
    <w:name w:val="page number"/>
    <w:qFormat/>
    <w:uiPriority w:val="99"/>
  </w:style>
  <w:style w:type="character" w:styleId="98">
    <w:name w:val="FollowedHyperlink"/>
    <w:qFormat/>
    <w:uiPriority w:val="99"/>
    <w:rPr>
      <w:color w:val="800080"/>
      <w:u w:val="single"/>
    </w:rPr>
  </w:style>
  <w:style w:type="character" w:styleId="99">
    <w:name w:val="Emphasis"/>
    <w:qFormat/>
    <w:uiPriority w:val="20"/>
    <w:rPr>
      <w:color w:val="CC0000"/>
    </w:rPr>
  </w:style>
  <w:style w:type="character" w:styleId="100">
    <w:name w:val="line number"/>
    <w:qFormat/>
    <w:uiPriority w:val="0"/>
  </w:style>
  <w:style w:type="character" w:styleId="101">
    <w:name w:val="HTML Definition"/>
    <w:qFormat/>
    <w:uiPriority w:val="0"/>
    <w:rPr>
      <w:rFonts w:ascii="黑体" w:hAnsi="Arial" w:eastAsia="华文中宋" w:cs="宋体"/>
      <w:i/>
      <w:iCs/>
      <w:kern w:val="2"/>
      <w:sz w:val="44"/>
      <w:szCs w:val="44"/>
      <w:lang w:val="en-US" w:eastAsia="zh-CN" w:bidi="ar-SA"/>
    </w:rPr>
  </w:style>
  <w:style w:type="character" w:styleId="102">
    <w:name w:val="HTML Typewriter"/>
    <w:qFormat/>
    <w:uiPriority w:val="0"/>
    <w:rPr>
      <w:rFonts w:ascii="宋体" w:hAnsi="宋体" w:eastAsia="宋体" w:cs="宋体"/>
      <w:sz w:val="18"/>
      <w:szCs w:val="18"/>
    </w:rPr>
  </w:style>
  <w:style w:type="character" w:styleId="103">
    <w:name w:val="HTML Acronym"/>
    <w:qFormat/>
    <w:uiPriority w:val="0"/>
    <w:rPr>
      <w:rFonts w:ascii="黑体" w:hAnsi="Arial" w:eastAsia="华文中宋" w:cs="宋体"/>
      <w:kern w:val="2"/>
      <w:sz w:val="44"/>
      <w:szCs w:val="44"/>
      <w:lang w:val="en-US" w:eastAsia="zh-CN" w:bidi="ar-SA"/>
    </w:rPr>
  </w:style>
  <w:style w:type="character" w:styleId="104">
    <w:name w:val="HTML Variable"/>
    <w:qFormat/>
    <w:uiPriority w:val="0"/>
    <w:rPr>
      <w:rFonts w:ascii="黑体" w:hAnsi="Arial" w:eastAsia="华文中宋" w:cs="宋体"/>
      <w:i/>
      <w:iCs/>
      <w:kern w:val="2"/>
      <w:sz w:val="44"/>
      <w:szCs w:val="44"/>
      <w:lang w:val="en-US" w:eastAsia="zh-CN" w:bidi="ar-SA"/>
    </w:rPr>
  </w:style>
  <w:style w:type="character" w:styleId="105">
    <w:name w:val="Hyperlink"/>
    <w:qFormat/>
    <w:uiPriority w:val="99"/>
    <w:rPr>
      <w:color w:val="0000FF"/>
      <w:u w:val="single"/>
    </w:rPr>
  </w:style>
  <w:style w:type="character" w:styleId="106">
    <w:name w:val="HTML Code"/>
    <w:qFormat/>
    <w:uiPriority w:val="0"/>
    <w:rPr>
      <w:rFonts w:ascii="黑体" w:hAnsi="Courier New" w:eastAsia="黑体" w:cs="Courier New"/>
      <w:sz w:val="24"/>
      <w:szCs w:val="24"/>
    </w:rPr>
  </w:style>
  <w:style w:type="character" w:styleId="107">
    <w:name w:val="annotation reference"/>
    <w:qFormat/>
    <w:uiPriority w:val="99"/>
    <w:rPr>
      <w:sz w:val="21"/>
      <w:szCs w:val="21"/>
    </w:rPr>
  </w:style>
  <w:style w:type="character" w:styleId="108">
    <w:name w:val="HTML Cite"/>
    <w:qFormat/>
    <w:uiPriority w:val="0"/>
    <w:rPr>
      <w:rFonts w:ascii="黑体" w:hAnsi="Arial" w:eastAsia="华文中宋" w:cs="宋体"/>
      <w:i/>
      <w:iCs/>
      <w:kern w:val="2"/>
      <w:sz w:val="44"/>
      <w:szCs w:val="44"/>
      <w:lang w:val="en-US" w:eastAsia="zh-CN" w:bidi="ar-SA"/>
    </w:rPr>
  </w:style>
  <w:style w:type="character" w:styleId="109">
    <w:name w:val="footnote reference"/>
    <w:qFormat/>
    <w:uiPriority w:val="0"/>
    <w:rPr>
      <w:vertAlign w:val="superscript"/>
    </w:rPr>
  </w:style>
  <w:style w:type="character" w:styleId="110">
    <w:name w:val="HTML Keyboard"/>
    <w:qFormat/>
    <w:uiPriority w:val="0"/>
    <w:rPr>
      <w:rFonts w:ascii="Courier New" w:hAnsi="Courier New" w:eastAsia="华文中宋" w:cs="Courier New"/>
      <w:kern w:val="2"/>
      <w:sz w:val="20"/>
      <w:szCs w:val="20"/>
      <w:lang w:val="en-US" w:eastAsia="zh-CN" w:bidi="ar-SA"/>
    </w:rPr>
  </w:style>
  <w:style w:type="character" w:styleId="111">
    <w:name w:val="HTML Sample"/>
    <w:qFormat/>
    <w:uiPriority w:val="0"/>
    <w:rPr>
      <w:rFonts w:ascii="Courier New" w:hAnsi="Courier New"/>
    </w:rPr>
  </w:style>
  <w:style w:type="character" w:customStyle="1" w:styleId="112">
    <w:name w:val="正文文本 字符"/>
    <w:link w:val="35"/>
    <w:qFormat/>
    <w:uiPriority w:val="0"/>
    <w:rPr>
      <w:rFonts w:eastAsia="宋体"/>
      <w:kern w:val="2"/>
      <w:sz w:val="21"/>
      <w:szCs w:val="24"/>
      <w:lang w:val="en-US" w:eastAsia="zh-CN" w:bidi="ar-SA"/>
    </w:rPr>
  </w:style>
  <w:style w:type="character" w:customStyle="1" w:styleId="113">
    <w:name w:val="标题 1 字符1"/>
    <w:link w:val="4"/>
    <w:qFormat/>
    <w:uiPriority w:val="0"/>
    <w:rPr>
      <w:rFonts w:eastAsia="宋体"/>
      <w:b/>
      <w:bCs/>
      <w:kern w:val="44"/>
      <w:sz w:val="44"/>
      <w:szCs w:val="44"/>
      <w:lang w:val="en-US" w:eastAsia="zh-CN" w:bidi="ar-SA"/>
    </w:rPr>
  </w:style>
  <w:style w:type="character" w:customStyle="1" w:styleId="114">
    <w:name w:val="标题 2 字符"/>
    <w:link w:val="5"/>
    <w:qFormat/>
    <w:uiPriority w:val="0"/>
    <w:rPr>
      <w:rFonts w:eastAsia="仿宋_GB2312"/>
      <w:b/>
      <w:color w:val="000000"/>
      <w:spacing w:val="6"/>
      <w:sz w:val="30"/>
      <w:szCs w:val="30"/>
    </w:rPr>
  </w:style>
  <w:style w:type="character" w:customStyle="1" w:styleId="115">
    <w:name w:val="标题 4 字符"/>
    <w:link w:val="7"/>
    <w:qFormat/>
    <w:uiPriority w:val="0"/>
    <w:rPr>
      <w:rFonts w:ascii="仿宋_GB2312" w:hAnsi="Arial" w:eastAsia="仿宋_GB2312"/>
      <w:bCs/>
      <w:kern w:val="2"/>
      <w:sz w:val="28"/>
      <w:szCs w:val="28"/>
      <w:lang w:val="en-US" w:eastAsia="zh-CN" w:bidi="ar-SA"/>
    </w:rPr>
  </w:style>
  <w:style w:type="character" w:customStyle="1" w:styleId="116">
    <w:name w:val="标题 5 字符"/>
    <w:link w:val="8"/>
    <w:qFormat/>
    <w:uiPriority w:val="0"/>
    <w:rPr>
      <w:rFonts w:ascii="仿宋_GB2312" w:eastAsia="仿宋_GB2312"/>
      <w:b/>
      <w:bCs/>
      <w:kern w:val="2"/>
      <w:sz w:val="28"/>
      <w:szCs w:val="28"/>
    </w:rPr>
  </w:style>
  <w:style w:type="character" w:customStyle="1" w:styleId="117">
    <w:name w:val="标题 6 字符"/>
    <w:link w:val="9"/>
    <w:qFormat/>
    <w:uiPriority w:val="0"/>
    <w:rPr>
      <w:rFonts w:ascii="Arial" w:hAnsi="Arial" w:eastAsia="黑体"/>
      <w:b/>
      <w:bCs/>
      <w:kern w:val="2"/>
      <w:sz w:val="28"/>
      <w:szCs w:val="24"/>
    </w:rPr>
  </w:style>
  <w:style w:type="character" w:customStyle="1" w:styleId="118">
    <w:name w:val="标题 7 字符"/>
    <w:link w:val="10"/>
    <w:qFormat/>
    <w:uiPriority w:val="0"/>
    <w:rPr>
      <w:rFonts w:ascii="仿宋_GB2312" w:eastAsia="仿宋_GB2312"/>
      <w:b/>
      <w:bCs/>
      <w:kern w:val="2"/>
      <w:sz w:val="28"/>
      <w:szCs w:val="24"/>
    </w:rPr>
  </w:style>
  <w:style w:type="character" w:customStyle="1" w:styleId="119">
    <w:name w:val="标题 8 字符"/>
    <w:link w:val="11"/>
    <w:qFormat/>
    <w:uiPriority w:val="0"/>
    <w:rPr>
      <w:rFonts w:ascii="Arial" w:hAnsi="Arial" w:eastAsia="黑体"/>
      <w:kern w:val="2"/>
      <w:sz w:val="28"/>
      <w:szCs w:val="24"/>
    </w:rPr>
  </w:style>
  <w:style w:type="character" w:customStyle="1" w:styleId="120">
    <w:name w:val="标题 9 字符"/>
    <w:link w:val="12"/>
    <w:qFormat/>
    <w:uiPriority w:val="0"/>
    <w:rPr>
      <w:rFonts w:ascii="Arial" w:hAnsi="Arial" w:eastAsia="黑体"/>
      <w:kern w:val="2"/>
      <w:sz w:val="21"/>
      <w:szCs w:val="21"/>
    </w:rPr>
  </w:style>
  <w:style w:type="character" w:customStyle="1" w:styleId="121">
    <w:name w:val="注释标题 字符"/>
    <w:link w:val="17"/>
    <w:qFormat/>
    <w:uiPriority w:val="0"/>
    <w:rPr>
      <w:kern w:val="2"/>
      <w:sz w:val="21"/>
      <w:szCs w:val="24"/>
    </w:rPr>
  </w:style>
  <w:style w:type="character" w:customStyle="1" w:styleId="122">
    <w:name w:val="电子邮件签名 字符"/>
    <w:link w:val="20"/>
    <w:qFormat/>
    <w:uiPriority w:val="0"/>
    <w:rPr>
      <w:rFonts w:ascii="Arial" w:hAnsi="Arial" w:eastAsia="仿宋_GB2312"/>
      <w:sz w:val="24"/>
    </w:rPr>
  </w:style>
  <w:style w:type="character" w:customStyle="1" w:styleId="123">
    <w:name w:val="正文缩进 字符"/>
    <w:link w:val="22"/>
    <w:qFormat/>
    <w:uiPriority w:val="0"/>
    <w:rPr>
      <w:rFonts w:eastAsia="宋体"/>
      <w:kern w:val="2"/>
      <w:sz w:val="21"/>
      <w:szCs w:val="24"/>
      <w:lang w:val="en-US" w:eastAsia="zh-CN" w:bidi="ar-SA"/>
    </w:rPr>
  </w:style>
  <w:style w:type="character" w:customStyle="1" w:styleId="124">
    <w:name w:val="题注 字符"/>
    <w:link w:val="23"/>
    <w:qFormat/>
    <w:uiPriority w:val="0"/>
    <w:rPr>
      <w:rFonts w:ascii="Arial" w:hAnsi="Arial" w:eastAsia="黑体" w:cs="Arial"/>
      <w:kern w:val="2"/>
      <w:lang w:val="en-US" w:eastAsia="zh-CN" w:bidi="ar-SA"/>
    </w:rPr>
  </w:style>
  <w:style w:type="character" w:customStyle="1" w:styleId="125">
    <w:name w:val="文档结构图 字符"/>
    <w:link w:val="27"/>
    <w:qFormat/>
    <w:uiPriority w:val="0"/>
    <w:rPr>
      <w:kern w:val="2"/>
      <w:sz w:val="21"/>
      <w:szCs w:val="24"/>
      <w:shd w:val="clear" w:color="auto" w:fill="000080"/>
    </w:rPr>
  </w:style>
  <w:style w:type="character" w:customStyle="1" w:styleId="126">
    <w:name w:val="批注文字 字符"/>
    <w:link w:val="29"/>
    <w:qFormat/>
    <w:uiPriority w:val="0"/>
    <w:rPr>
      <w:sz w:val="24"/>
    </w:rPr>
  </w:style>
  <w:style w:type="character" w:customStyle="1" w:styleId="127">
    <w:name w:val="称呼 字符"/>
    <w:link w:val="31"/>
    <w:qFormat/>
    <w:uiPriority w:val="0"/>
    <w:rPr>
      <w:rFonts w:ascii="Arial" w:hAnsi="Arial" w:eastAsia="仿宋_GB2312"/>
      <w:sz w:val="24"/>
    </w:rPr>
  </w:style>
  <w:style w:type="character" w:customStyle="1" w:styleId="128">
    <w:name w:val="正文文本 3 字符"/>
    <w:link w:val="32"/>
    <w:qFormat/>
    <w:uiPriority w:val="0"/>
    <w:rPr>
      <w:kern w:val="2"/>
      <w:sz w:val="16"/>
      <w:szCs w:val="16"/>
    </w:rPr>
  </w:style>
  <w:style w:type="character" w:customStyle="1" w:styleId="129">
    <w:name w:val="结束语 字符"/>
    <w:link w:val="33"/>
    <w:qFormat/>
    <w:uiPriority w:val="0"/>
    <w:rPr>
      <w:rFonts w:ascii="Arial" w:hAnsi="Arial" w:eastAsia="仿宋_GB2312"/>
      <w:sz w:val="24"/>
    </w:rPr>
  </w:style>
  <w:style w:type="character" w:customStyle="1" w:styleId="130">
    <w:name w:val="正文文本缩进 字符"/>
    <w:link w:val="3"/>
    <w:qFormat/>
    <w:uiPriority w:val="0"/>
    <w:rPr>
      <w:rFonts w:eastAsia="宋体"/>
      <w:kern w:val="2"/>
      <w:sz w:val="21"/>
      <w:szCs w:val="24"/>
      <w:lang w:val="en-US" w:eastAsia="zh-CN" w:bidi="ar-SA"/>
    </w:rPr>
  </w:style>
  <w:style w:type="character" w:customStyle="1" w:styleId="131">
    <w:name w:val="HTML 地址 字符"/>
    <w:link w:val="41"/>
    <w:qFormat/>
    <w:uiPriority w:val="0"/>
    <w:rPr>
      <w:rFonts w:ascii="Arial" w:hAnsi="Arial" w:eastAsia="仿宋_GB2312"/>
      <w:i/>
      <w:iCs/>
      <w:sz w:val="24"/>
    </w:rPr>
  </w:style>
  <w:style w:type="character" w:customStyle="1" w:styleId="132">
    <w:name w:val="纯文本 字符"/>
    <w:link w:val="45"/>
    <w:qFormat/>
    <w:uiPriority w:val="0"/>
    <w:rPr>
      <w:rFonts w:ascii="宋体" w:hAnsi="Courier New" w:eastAsia="宋体" w:cs="Courier New"/>
      <w:kern w:val="2"/>
      <w:sz w:val="21"/>
      <w:szCs w:val="21"/>
      <w:lang w:val="en-US" w:eastAsia="zh-CN" w:bidi="ar-SA"/>
    </w:rPr>
  </w:style>
  <w:style w:type="character" w:customStyle="1" w:styleId="133">
    <w:name w:val="日期 字符1"/>
    <w:link w:val="50"/>
    <w:qFormat/>
    <w:uiPriority w:val="0"/>
    <w:rPr>
      <w:kern w:val="2"/>
      <w:sz w:val="21"/>
    </w:rPr>
  </w:style>
  <w:style w:type="character" w:customStyle="1" w:styleId="134">
    <w:name w:val="正文文本缩进 2 字符"/>
    <w:link w:val="51"/>
    <w:qFormat/>
    <w:uiPriority w:val="0"/>
    <w:rPr>
      <w:rFonts w:ascii="仿宋_GB2312" w:eastAsia="仿宋_GB2312"/>
      <w:kern w:val="2"/>
      <w:sz w:val="28"/>
      <w:lang w:val="en-US" w:eastAsia="zh-CN" w:bidi="ar-SA"/>
    </w:rPr>
  </w:style>
  <w:style w:type="character" w:customStyle="1" w:styleId="135">
    <w:name w:val="尾注文本 字符"/>
    <w:link w:val="52"/>
    <w:qFormat/>
    <w:uiPriority w:val="99"/>
    <w:rPr>
      <w:rFonts w:ascii="仿宋_GB2312" w:hAnsi="仿宋_GB2312" w:eastAsia="仿宋_GB2312"/>
      <w:kern w:val="2"/>
      <w:sz w:val="28"/>
      <w:szCs w:val="21"/>
    </w:rPr>
  </w:style>
  <w:style w:type="character" w:customStyle="1" w:styleId="136">
    <w:name w:val="批注框文本 字符"/>
    <w:link w:val="54"/>
    <w:qFormat/>
    <w:uiPriority w:val="0"/>
    <w:rPr>
      <w:kern w:val="2"/>
      <w:sz w:val="18"/>
      <w:szCs w:val="18"/>
    </w:rPr>
  </w:style>
  <w:style w:type="character" w:customStyle="1" w:styleId="137">
    <w:name w:val="页脚 字符"/>
    <w:link w:val="55"/>
    <w:qFormat/>
    <w:uiPriority w:val="99"/>
    <w:rPr>
      <w:kern w:val="2"/>
      <w:sz w:val="18"/>
      <w:szCs w:val="18"/>
    </w:rPr>
  </w:style>
  <w:style w:type="character" w:customStyle="1" w:styleId="138">
    <w:name w:val="页眉 字符"/>
    <w:link w:val="57"/>
    <w:qFormat/>
    <w:uiPriority w:val="0"/>
    <w:rPr>
      <w:kern w:val="2"/>
      <w:sz w:val="18"/>
      <w:szCs w:val="18"/>
    </w:rPr>
  </w:style>
  <w:style w:type="character" w:customStyle="1" w:styleId="139">
    <w:name w:val="签名 字符"/>
    <w:link w:val="58"/>
    <w:qFormat/>
    <w:uiPriority w:val="0"/>
    <w:rPr>
      <w:rFonts w:ascii="Arial" w:hAnsi="Arial" w:eastAsia="仿宋_GB2312"/>
      <w:sz w:val="24"/>
    </w:rPr>
  </w:style>
  <w:style w:type="character" w:customStyle="1" w:styleId="140">
    <w:name w:val="副标题 字符"/>
    <w:link w:val="64"/>
    <w:qFormat/>
    <w:uiPriority w:val="0"/>
    <w:rPr>
      <w:rFonts w:ascii="Arial" w:hAnsi="Arial" w:eastAsia="仿宋_GB2312" w:cs="Arial"/>
      <w:b/>
      <w:bCs/>
      <w:kern w:val="28"/>
      <w:sz w:val="32"/>
      <w:szCs w:val="32"/>
    </w:rPr>
  </w:style>
  <w:style w:type="character" w:customStyle="1" w:styleId="141">
    <w:name w:val="列表 字符"/>
    <w:link w:val="66"/>
    <w:qFormat/>
    <w:uiPriority w:val="0"/>
    <w:rPr>
      <w:rFonts w:ascii="仿宋_GB2312" w:eastAsia="仿宋_GB2312"/>
      <w:kern w:val="2"/>
      <w:sz w:val="24"/>
    </w:rPr>
  </w:style>
  <w:style w:type="character" w:customStyle="1" w:styleId="142">
    <w:name w:val="脚注文本 字符"/>
    <w:link w:val="67"/>
    <w:qFormat/>
    <w:uiPriority w:val="0"/>
    <w:rPr>
      <w:szCs w:val="24"/>
    </w:rPr>
  </w:style>
  <w:style w:type="character" w:customStyle="1" w:styleId="143">
    <w:name w:val="正文文本缩进 3 字符"/>
    <w:link w:val="70"/>
    <w:qFormat/>
    <w:uiPriority w:val="0"/>
    <w:rPr>
      <w:kern w:val="2"/>
      <w:sz w:val="16"/>
      <w:szCs w:val="16"/>
    </w:rPr>
  </w:style>
  <w:style w:type="character" w:customStyle="1" w:styleId="144">
    <w:name w:val="正文文本 2 字符"/>
    <w:link w:val="76"/>
    <w:qFormat/>
    <w:uiPriority w:val="0"/>
    <w:rPr>
      <w:kern w:val="2"/>
      <w:sz w:val="21"/>
      <w:szCs w:val="24"/>
    </w:rPr>
  </w:style>
  <w:style w:type="character" w:customStyle="1" w:styleId="145">
    <w:name w:val="信息标题 字符"/>
    <w:link w:val="79"/>
    <w:qFormat/>
    <w:uiPriority w:val="0"/>
    <w:rPr>
      <w:rFonts w:ascii="Arial" w:hAnsi="Arial" w:eastAsia="仿宋_GB2312" w:cs="Arial"/>
      <w:sz w:val="24"/>
      <w:shd w:val="pct20" w:color="auto" w:fill="auto"/>
    </w:rPr>
  </w:style>
  <w:style w:type="character" w:customStyle="1" w:styleId="146">
    <w:name w:val="HTML 预设格式 字符"/>
    <w:link w:val="80"/>
    <w:qFormat/>
    <w:uiPriority w:val="99"/>
    <w:rPr>
      <w:rFonts w:ascii="Courier New" w:hAnsi="Courier New" w:cs="Courier New"/>
      <w:kern w:val="2"/>
    </w:rPr>
  </w:style>
  <w:style w:type="character" w:customStyle="1" w:styleId="147">
    <w:name w:val="普通(网站) 字符"/>
    <w:link w:val="81"/>
    <w:qFormat/>
    <w:uiPriority w:val="0"/>
    <w:rPr>
      <w:kern w:val="2"/>
      <w:sz w:val="24"/>
      <w:szCs w:val="24"/>
    </w:rPr>
  </w:style>
  <w:style w:type="character" w:customStyle="1" w:styleId="148">
    <w:name w:val="标题 字符"/>
    <w:link w:val="84"/>
    <w:qFormat/>
    <w:uiPriority w:val="0"/>
    <w:rPr>
      <w:rFonts w:ascii="Arial" w:hAnsi="Arial" w:cs="Arial"/>
      <w:b/>
      <w:bCs/>
      <w:kern w:val="2"/>
      <w:sz w:val="32"/>
      <w:szCs w:val="32"/>
    </w:rPr>
  </w:style>
  <w:style w:type="character" w:customStyle="1" w:styleId="149">
    <w:name w:val="批注主题 字符"/>
    <w:link w:val="85"/>
    <w:qFormat/>
    <w:uiPriority w:val="0"/>
    <w:rPr>
      <w:b/>
      <w:bCs/>
      <w:kern w:val="2"/>
      <w:sz w:val="21"/>
      <w:szCs w:val="24"/>
    </w:rPr>
  </w:style>
  <w:style w:type="character" w:customStyle="1" w:styleId="150">
    <w:name w:val="正文首行缩进 字符"/>
    <w:link w:val="86"/>
    <w:qFormat/>
    <w:uiPriority w:val="0"/>
    <w:rPr>
      <w:rFonts w:eastAsia="仿宋_GB2312"/>
      <w:kern w:val="2"/>
      <w:sz w:val="28"/>
      <w:szCs w:val="24"/>
    </w:rPr>
  </w:style>
  <w:style w:type="character" w:customStyle="1" w:styleId="151">
    <w:name w:val="正文首行缩进 2 字符"/>
    <w:link w:val="2"/>
    <w:qFormat/>
    <w:uiPriority w:val="0"/>
    <w:rPr>
      <w:rFonts w:eastAsia="宋体"/>
      <w:kern w:val="2"/>
      <w:sz w:val="18"/>
      <w:szCs w:val="24"/>
      <w:lang w:val="en-US" w:eastAsia="zh-CN" w:bidi="ar-SA"/>
    </w:rPr>
  </w:style>
  <w:style w:type="character" w:customStyle="1" w:styleId="152">
    <w:name w:val="标题 1 字符"/>
    <w:qFormat/>
    <w:uiPriority w:val="0"/>
    <w:rPr>
      <w:rFonts w:eastAsia="宋体"/>
      <w:b/>
      <w:bCs/>
      <w:kern w:val="44"/>
      <w:sz w:val="44"/>
      <w:szCs w:val="44"/>
      <w:lang w:val="en-US" w:eastAsia="zh-CN" w:bidi="ar-SA"/>
    </w:rPr>
  </w:style>
  <w:style w:type="character" w:customStyle="1" w:styleId="153">
    <w:name w:val="日期 字符"/>
    <w:qFormat/>
    <w:uiPriority w:val="0"/>
    <w:rPr>
      <w:rFonts w:ascii="宋体"/>
      <w:sz w:val="24"/>
    </w:rPr>
  </w:style>
  <w:style w:type="table" w:customStyle="1" w:styleId="154">
    <w:name w:val="表格样式1"/>
    <w:basedOn w:val="89"/>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Pr>
    <w:tcPr>
      <w:vAlign w:val="center"/>
    </w:tc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55">
    <w:name w:val="喜欢的"/>
    <w:basedOn w:val="91"/>
    <w:qFormat/>
    <w:uiPriority w:val="0"/>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6">
    <w:name w:val="最普通"/>
    <w:basedOn w:val="92"/>
    <w:qFormat/>
    <w:uiPriority w:val="0"/>
    <w:pPr>
      <w:spacing w:line="500" w:lineRule="exact"/>
    </w:pPr>
    <w:tcPr>
      <w:shd w:val="clear" w:color="auto" w:fill="auto"/>
      <w:vAlign w:val="center"/>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57">
    <w:name w:val="Bullet"/>
    <w:basedOn w:val="1"/>
    <w:qFormat/>
    <w:uiPriority w:val="0"/>
    <w:pPr>
      <w:widowControl/>
      <w:numPr>
        <w:ilvl w:val="0"/>
        <w:numId w:val="2"/>
      </w:numPr>
      <w:spacing w:after="60" w:line="300" w:lineRule="atLeast"/>
    </w:pPr>
    <w:rPr>
      <w:sz w:val="22"/>
    </w:rPr>
  </w:style>
  <w:style w:type="paragraph" w:customStyle="1" w:styleId="158">
    <w:name w:val="xl54"/>
    <w:basedOn w:val="1"/>
    <w:qFormat/>
    <w:uiPriority w:val="0"/>
    <w:pPr>
      <w:widowControl/>
      <w:pBdr>
        <w:right w:val="single" w:color="auto" w:sz="4" w:space="0"/>
      </w:pBdr>
      <w:spacing w:before="100" w:after="100"/>
      <w:jc w:val="center"/>
      <w:textAlignment w:val="center"/>
    </w:pPr>
    <w:rPr>
      <w:rFonts w:hAnsi="宋体"/>
    </w:rPr>
  </w:style>
  <w:style w:type="paragraph" w:customStyle="1" w:styleId="159">
    <w:name w:val="样式1"/>
    <w:basedOn w:val="1"/>
    <w:link w:val="160"/>
    <w:qFormat/>
    <w:uiPriority w:val="0"/>
    <w:pPr>
      <w:tabs>
        <w:tab w:val="left" w:pos="1021"/>
        <w:tab w:val="left" w:pos="2040"/>
      </w:tabs>
      <w:adjustRightInd w:val="0"/>
      <w:snapToGrid w:val="0"/>
      <w:spacing w:line="560" w:lineRule="atLeast"/>
      <w:ind w:left="2040" w:leftChars="800" w:hanging="360" w:hangingChars="200"/>
    </w:pPr>
    <w:rPr>
      <w:rFonts w:ascii="仿宋_GB2312" w:eastAsia="仿宋_GB2312"/>
      <w:kern w:val="2"/>
      <w:sz w:val="28"/>
    </w:rPr>
  </w:style>
  <w:style w:type="character" w:customStyle="1" w:styleId="160">
    <w:name w:val="样式1 Char"/>
    <w:link w:val="159"/>
    <w:qFormat/>
    <w:uiPriority w:val="0"/>
    <w:rPr>
      <w:rFonts w:ascii="仿宋_GB2312" w:eastAsia="仿宋_GB2312"/>
      <w:kern w:val="2"/>
      <w:sz w:val="28"/>
    </w:rPr>
  </w:style>
  <w:style w:type="paragraph" w:customStyle="1" w:styleId="161">
    <w:name w:val="样式7"/>
    <w:basedOn w:val="4"/>
    <w:qFormat/>
    <w:uiPriority w:val="0"/>
    <w:pPr>
      <w:tabs>
        <w:tab w:val="left" w:pos="1124"/>
      </w:tabs>
      <w:adjustRightInd w:val="0"/>
      <w:snapToGrid w:val="0"/>
      <w:spacing w:before="480" w:beforeLines="200" w:after="480" w:afterLines="200" w:line="240" w:lineRule="exact"/>
      <w:ind w:left="2039" w:leftChars="800" w:hanging="359" w:hangingChars="171"/>
    </w:pPr>
    <w:rPr>
      <w:rFonts w:eastAsia="黑体"/>
      <w:b w:val="0"/>
      <w:bCs w:val="0"/>
      <w:color w:val="000000"/>
      <w:sz w:val="30"/>
    </w:rPr>
  </w:style>
  <w:style w:type="paragraph" w:customStyle="1" w:styleId="162">
    <w:name w:val="表格文字"/>
    <w:basedOn w:val="1"/>
    <w:link w:val="163"/>
    <w:qFormat/>
    <w:uiPriority w:val="0"/>
    <w:pPr>
      <w:tabs>
        <w:tab w:val="center" w:pos="4153"/>
        <w:tab w:val="right" w:pos="8306"/>
      </w:tabs>
      <w:adjustRightInd w:val="0"/>
      <w:snapToGrid w:val="0"/>
      <w:jc w:val="center"/>
    </w:pPr>
    <w:rPr>
      <w:rFonts w:ascii="Times New Roman" w:eastAsia="仿宋_GB2312"/>
      <w:kern w:val="2"/>
      <w:sz w:val="21"/>
      <w:szCs w:val="21"/>
    </w:rPr>
  </w:style>
  <w:style w:type="character" w:customStyle="1" w:styleId="163">
    <w:name w:val="表格文字 Char"/>
    <w:link w:val="162"/>
    <w:qFormat/>
    <w:locked/>
    <w:uiPriority w:val="0"/>
    <w:rPr>
      <w:rFonts w:eastAsia="仿宋_GB2312"/>
      <w:kern w:val="2"/>
      <w:sz w:val="21"/>
      <w:szCs w:val="21"/>
    </w:rPr>
  </w:style>
  <w:style w:type="paragraph" w:customStyle="1" w:styleId="164">
    <w:name w:val="表题格式"/>
    <w:basedOn w:val="1"/>
    <w:qFormat/>
    <w:uiPriority w:val="0"/>
    <w:pPr>
      <w:overflowPunct w:val="0"/>
      <w:adjustRightInd w:val="0"/>
      <w:snapToGrid w:val="0"/>
      <w:spacing w:line="360" w:lineRule="auto"/>
      <w:jc w:val="center"/>
      <w:textAlignment w:val="center"/>
    </w:pPr>
    <w:rPr>
      <w:rFonts w:ascii="仿宋_GB2312" w:eastAsia="仿宋_GB2312"/>
      <w:b/>
      <w:snapToGrid w:val="0"/>
      <w:sz w:val="30"/>
    </w:rPr>
  </w:style>
  <w:style w:type="character" w:customStyle="1" w:styleId="165">
    <w:name w:val="标题 1 Char Char Char Char"/>
    <w:qFormat/>
    <w:uiPriority w:val="0"/>
    <w:rPr>
      <w:rFonts w:eastAsia="宋体"/>
      <w:kern w:val="44"/>
      <w:sz w:val="44"/>
      <w:szCs w:val="44"/>
    </w:rPr>
  </w:style>
  <w:style w:type="paragraph" w:customStyle="1" w:styleId="166">
    <w:name w:val="表格"/>
    <w:basedOn w:val="1"/>
    <w:link w:val="167"/>
    <w:qFormat/>
    <w:uiPriority w:val="0"/>
    <w:pPr>
      <w:adjustRightInd w:val="0"/>
      <w:snapToGrid w:val="0"/>
      <w:spacing w:before="20" w:beforeLines="20"/>
      <w:jc w:val="center"/>
    </w:pPr>
    <w:rPr>
      <w:rFonts w:ascii="Times New Roman"/>
      <w:snapToGrid w:val="0"/>
      <w:kern w:val="21"/>
      <w:sz w:val="21"/>
      <w:szCs w:val="24"/>
    </w:rPr>
  </w:style>
  <w:style w:type="character" w:customStyle="1" w:styleId="167">
    <w:name w:val="表格 Char"/>
    <w:link w:val="166"/>
    <w:qFormat/>
    <w:uiPriority w:val="0"/>
    <w:rPr>
      <w:snapToGrid w:val="0"/>
      <w:kern w:val="21"/>
      <w:sz w:val="21"/>
      <w:szCs w:val="24"/>
    </w:rPr>
  </w:style>
  <w:style w:type="paragraph" w:customStyle="1" w:styleId="168">
    <w:name w:val="表标题"/>
    <w:basedOn w:val="1"/>
    <w:link w:val="169"/>
    <w:qFormat/>
    <w:uiPriority w:val="0"/>
    <w:pPr>
      <w:spacing w:line="500" w:lineRule="exact"/>
      <w:ind w:firstLine="482" w:firstLineChars="200"/>
      <w:jc w:val="center"/>
    </w:pPr>
    <w:rPr>
      <w:rFonts w:ascii="仿宋_GB2312" w:eastAsia="仿宋_GB2312"/>
      <w:b/>
      <w:bCs/>
      <w:kern w:val="2"/>
      <w:szCs w:val="24"/>
    </w:rPr>
  </w:style>
  <w:style w:type="character" w:customStyle="1" w:styleId="169">
    <w:name w:val="表标题 Char"/>
    <w:link w:val="168"/>
    <w:qFormat/>
    <w:locked/>
    <w:uiPriority w:val="0"/>
    <w:rPr>
      <w:rFonts w:ascii="仿宋_GB2312" w:eastAsia="仿宋_GB2312"/>
      <w:b/>
      <w:bCs/>
      <w:kern w:val="2"/>
      <w:sz w:val="24"/>
      <w:szCs w:val="24"/>
      <w:lang w:val="en-US" w:eastAsia="zh-CN" w:bidi="ar-SA"/>
    </w:rPr>
  </w:style>
  <w:style w:type="paragraph" w:customStyle="1" w:styleId="170">
    <w:name w:val="图表文字"/>
    <w:basedOn w:val="1"/>
    <w:link w:val="171"/>
    <w:qFormat/>
    <w:uiPriority w:val="0"/>
    <w:pPr>
      <w:jc w:val="center"/>
    </w:pPr>
    <w:rPr>
      <w:rFonts w:ascii="仿宋_GB2312" w:eastAsia="仿宋_GB2312"/>
      <w:kern w:val="2"/>
      <w:sz w:val="21"/>
      <w:szCs w:val="24"/>
    </w:rPr>
  </w:style>
  <w:style w:type="character" w:customStyle="1" w:styleId="171">
    <w:name w:val="图表文字 Char"/>
    <w:link w:val="170"/>
    <w:qFormat/>
    <w:uiPriority w:val="0"/>
    <w:rPr>
      <w:rFonts w:ascii="仿宋_GB2312" w:eastAsia="仿宋_GB2312"/>
      <w:kern w:val="2"/>
      <w:sz w:val="21"/>
      <w:szCs w:val="24"/>
      <w:lang w:val="en-US" w:eastAsia="zh-CN" w:bidi="ar-SA"/>
    </w:rPr>
  </w:style>
  <w:style w:type="paragraph" w:customStyle="1" w:styleId="172">
    <w:name w:val="xl2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rPr>
  </w:style>
  <w:style w:type="paragraph" w:customStyle="1" w:styleId="173">
    <w:name w:val="文本"/>
    <w:basedOn w:val="1"/>
    <w:link w:val="174"/>
    <w:qFormat/>
    <w:uiPriority w:val="0"/>
    <w:pPr>
      <w:tabs>
        <w:tab w:val="right" w:leader="dot" w:pos="8296"/>
      </w:tabs>
      <w:adjustRightInd w:val="0"/>
      <w:snapToGrid w:val="0"/>
      <w:spacing w:before="20" w:beforeLines="20"/>
      <w:jc w:val="center"/>
    </w:pPr>
    <w:rPr>
      <w:rFonts w:hAnsi="宋体"/>
      <w:kern w:val="21"/>
      <w:sz w:val="21"/>
      <w:szCs w:val="24"/>
    </w:rPr>
  </w:style>
  <w:style w:type="character" w:customStyle="1" w:styleId="174">
    <w:name w:val="文本 Char Char"/>
    <w:link w:val="173"/>
    <w:qFormat/>
    <w:uiPriority w:val="0"/>
    <w:rPr>
      <w:rFonts w:ascii="宋体" w:hAnsi="宋体"/>
      <w:snapToGrid/>
      <w:kern w:val="21"/>
      <w:sz w:val="21"/>
      <w:szCs w:val="24"/>
      <w:lang w:val="en-US" w:eastAsia="zh-CN"/>
    </w:rPr>
  </w:style>
  <w:style w:type="paragraph" w:customStyle="1" w:styleId="175">
    <w:name w:val="Date1"/>
    <w:basedOn w:val="1"/>
    <w:next w:val="1"/>
    <w:qFormat/>
    <w:uiPriority w:val="0"/>
    <w:pPr>
      <w:adjustRightInd w:val="0"/>
      <w:textAlignment w:val="baseline"/>
    </w:pPr>
  </w:style>
  <w:style w:type="paragraph" w:customStyle="1" w:styleId="176">
    <w:name w:val="我的样式（正文）"/>
    <w:basedOn w:val="1"/>
    <w:qFormat/>
    <w:uiPriority w:val="0"/>
    <w:pPr>
      <w:spacing w:line="440" w:lineRule="exact"/>
    </w:pPr>
    <w:rPr>
      <w:sz w:val="28"/>
    </w:rPr>
  </w:style>
  <w:style w:type="paragraph" w:customStyle="1" w:styleId="177">
    <w:name w:val="Plain Text2"/>
    <w:basedOn w:val="1"/>
    <w:qFormat/>
    <w:uiPriority w:val="0"/>
    <w:pPr>
      <w:autoSpaceDE w:val="0"/>
      <w:autoSpaceDN w:val="0"/>
      <w:adjustRightInd w:val="0"/>
      <w:textAlignment w:val="baseline"/>
    </w:pPr>
    <w:rPr>
      <w:rFonts w:hAnsi="Tms Rmn"/>
    </w:rPr>
  </w:style>
  <w:style w:type="paragraph" w:customStyle="1" w:styleId="178">
    <w:name w:val="Char"/>
    <w:basedOn w:val="1"/>
    <w:qFormat/>
    <w:uiPriority w:val="0"/>
  </w:style>
  <w:style w:type="paragraph" w:customStyle="1" w:styleId="179">
    <w:name w:val="Char Char Char Char Char Char Char Char Char Char"/>
    <w:basedOn w:val="1"/>
    <w:qFormat/>
    <w:uiPriority w:val="0"/>
    <w:rPr>
      <w:rFonts w:ascii="黑体" w:hAnsi="黑体" w:eastAsia="黑体"/>
      <w:b/>
      <w:spacing w:val="10"/>
      <w:kern w:val="44"/>
      <w:sz w:val="28"/>
    </w:rPr>
  </w:style>
  <w:style w:type="paragraph" w:customStyle="1" w:styleId="180">
    <w:name w:val="新正文"/>
    <w:basedOn w:val="1"/>
    <w:link w:val="181"/>
    <w:qFormat/>
    <w:uiPriority w:val="0"/>
    <w:pPr>
      <w:spacing w:line="500" w:lineRule="exact"/>
      <w:ind w:firstLine="482"/>
    </w:pPr>
    <w:rPr>
      <w:rFonts w:ascii="仿宋_GB2312" w:eastAsia="仿宋_GB2312"/>
      <w:bCs/>
      <w:sz w:val="28"/>
    </w:rPr>
  </w:style>
  <w:style w:type="character" w:customStyle="1" w:styleId="181">
    <w:name w:val="新正文 Char"/>
    <w:link w:val="180"/>
    <w:qFormat/>
    <w:uiPriority w:val="0"/>
    <w:rPr>
      <w:rFonts w:ascii="仿宋_GB2312" w:eastAsia="仿宋_GB2312"/>
      <w:bCs/>
      <w:sz w:val="28"/>
      <w:lang w:val="en-US" w:eastAsia="zh-CN" w:bidi="ar-SA"/>
    </w:rPr>
  </w:style>
  <w:style w:type="paragraph" w:customStyle="1" w:styleId="182">
    <w:name w:val="正文01"/>
    <w:basedOn w:val="1"/>
    <w:link w:val="183"/>
    <w:qFormat/>
    <w:uiPriority w:val="0"/>
    <w:pPr>
      <w:spacing w:before="60" w:line="440" w:lineRule="exact"/>
      <w:ind w:firstLine="200" w:firstLineChars="200"/>
    </w:pPr>
    <w:rPr>
      <w:rFonts w:ascii="Times New Roman"/>
    </w:rPr>
  </w:style>
  <w:style w:type="character" w:customStyle="1" w:styleId="183">
    <w:name w:val="正文01 Char"/>
    <w:link w:val="182"/>
    <w:qFormat/>
    <w:locked/>
    <w:uiPriority w:val="0"/>
    <w:rPr>
      <w:sz w:val="24"/>
    </w:rPr>
  </w:style>
  <w:style w:type="paragraph" w:customStyle="1" w:styleId="184">
    <w:name w:val="三级标题"/>
    <w:basedOn w:val="84"/>
    <w:link w:val="185"/>
    <w:qFormat/>
    <w:uiPriority w:val="0"/>
    <w:pPr>
      <w:spacing w:before="260" w:after="0" w:line="460" w:lineRule="exact"/>
      <w:jc w:val="both"/>
      <w:outlineLvl w:val="2"/>
    </w:pPr>
    <w:rPr>
      <w:rFonts w:ascii="Times New Roman" w:hAnsi="Times New Roman"/>
      <w:sz w:val="24"/>
      <w:szCs w:val="24"/>
    </w:rPr>
  </w:style>
  <w:style w:type="character" w:customStyle="1" w:styleId="185">
    <w:name w:val="三级标题 Char"/>
    <w:link w:val="184"/>
    <w:qFormat/>
    <w:uiPriority w:val="0"/>
    <w:rPr>
      <w:b/>
      <w:bCs/>
      <w:sz w:val="24"/>
      <w:szCs w:val="24"/>
    </w:rPr>
  </w:style>
  <w:style w:type="paragraph" w:customStyle="1" w:styleId="186">
    <w:name w:val="表格正文"/>
    <w:basedOn w:val="1"/>
    <w:qFormat/>
    <w:uiPriority w:val="0"/>
    <w:pPr>
      <w:spacing w:line="360" w:lineRule="exact"/>
      <w:jc w:val="center"/>
    </w:pPr>
  </w:style>
  <w:style w:type="paragraph" w:customStyle="1" w:styleId="187">
    <w:name w:val="表格下方正文"/>
    <w:basedOn w:val="1"/>
    <w:qFormat/>
    <w:uiPriority w:val="0"/>
    <w:pPr>
      <w:spacing w:before="260" w:line="440" w:lineRule="exact"/>
      <w:ind w:firstLine="200" w:firstLineChars="200"/>
    </w:pPr>
  </w:style>
  <w:style w:type="paragraph" w:customStyle="1" w:styleId="188">
    <w:name w:val="注释"/>
    <w:basedOn w:val="1"/>
    <w:qFormat/>
    <w:uiPriority w:val="0"/>
    <w:pPr>
      <w:spacing w:before="60" w:line="360" w:lineRule="exact"/>
      <w:ind w:firstLine="200" w:firstLineChars="200"/>
    </w:pPr>
    <w:rPr>
      <w:szCs w:val="21"/>
    </w:rPr>
  </w:style>
  <w:style w:type="paragraph" w:customStyle="1" w:styleId="189">
    <w:name w:val="默认段落字体 Para Char Char Char Char"/>
    <w:basedOn w:val="1"/>
    <w:qFormat/>
    <w:uiPriority w:val="0"/>
  </w:style>
  <w:style w:type="paragraph" w:customStyle="1" w:styleId="190">
    <w:name w:val="表题"/>
    <w:next w:val="166"/>
    <w:qFormat/>
    <w:uiPriority w:val="0"/>
    <w:pPr>
      <w:spacing w:before="50" w:beforeLines="50" w:after="120" w:line="400" w:lineRule="exact"/>
      <w:jc w:val="center"/>
    </w:pPr>
    <w:rPr>
      <w:rFonts w:ascii="Times New Roman" w:hAnsi="Times New Roman" w:eastAsia="仿宋_GB2312" w:cs="Times New Roman"/>
      <w:b/>
      <w:sz w:val="28"/>
      <w:lang w:val="en-US" w:eastAsia="zh-CN" w:bidi="ar-SA"/>
    </w:rPr>
  </w:style>
  <w:style w:type="paragraph" w:customStyle="1" w:styleId="191">
    <w:name w:val="广西炼油"/>
    <w:basedOn w:val="1"/>
    <w:qFormat/>
    <w:uiPriority w:val="0"/>
    <w:pPr>
      <w:spacing w:before="5" w:beforeLines="5" w:line="360" w:lineRule="auto"/>
      <w:ind w:firstLine="480"/>
    </w:pPr>
    <w:rPr>
      <w:rFonts w:hAnsi="宋体"/>
      <w:szCs w:val="28"/>
    </w:rPr>
  </w:style>
  <w:style w:type="paragraph" w:customStyle="1" w:styleId="192">
    <w:name w:val="表样式1"/>
    <w:basedOn w:val="1"/>
    <w:qFormat/>
    <w:uiPriority w:val="0"/>
    <w:pPr>
      <w:spacing w:line="360" w:lineRule="auto"/>
      <w:jc w:val="center"/>
    </w:pPr>
    <w:rPr>
      <w:rFonts w:hAnsi="宋体" w:cs="宋体"/>
      <w:color w:val="000000"/>
      <w:szCs w:val="21"/>
    </w:rPr>
  </w:style>
  <w:style w:type="paragraph" w:customStyle="1" w:styleId="193">
    <w:name w:val="Char Char Char"/>
    <w:basedOn w:val="1"/>
    <w:qFormat/>
    <w:uiPriority w:val="0"/>
  </w:style>
  <w:style w:type="paragraph" w:customStyle="1" w:styleId="194">
    <w:name w:val="标题3"/>
    <w:basedOn w:val="35"/>
    <w:next w:val="35"/>
    <w:qFormat/>
    <w:uiPriority w:val="0"/>
    <w:pPr>
      <w:spacing w:after="0" w:line="520" w:lineRule="exact"/>
    </w:pPr>
    <w:rPr>
      <w:rFonts w:ascii="宋体" w:hAnsi="宋体" w:cs="Arial"/>
      <w:bCs/>
      <w:sz w:val="24"/>
    </w:rPr>
  </w:style>
  <w:style w:type="paragraph" w:customStyle="1" w:styleId="195">
    <w:name w:val="ST20_1"/>
    <w:basedOn w:val="1"/>
    <w:qFormat/>
    <w:uiPriority w:val="0"/>
    <w:pPr>
      <w:autoSpaceDE w:val="0"/>
      <w:autoSpaceDN w:val="0"/>
      <w:adjustRightInd w:val="0"/>
      <w:spacing w:line="312" w:lineRule="atLeast"/>
      <w:jc w:val="center"/>
      <w:textAlignment w:val="baseline"/>
    </w:pPr>
    <w:rPr>
      <w:rFonts w:hAnsi="Tms Rmn"/>
    </w:rPr>
  </w:style>
  <w:style w:type="paragraph" w:customStyle="1" w:styleId="196">
    <w:name w:val="Body Text 21"/>
    <w:basedOn w:val="1"/>
    <w:link w:val="197"/>
    <w:qFormat/>
    <w:uiPriority w:val="0"/>
    <w:pPr>
      <w:adjustRightInd w:val="0"/>
      <w:textAlignment w:val="baseline"/>
    </w:pPr>
    <w:rPr>
      <w:rFonts w:ascii="Times New Roman"/>
      <w:kern w:val="2"/>
    </w:rPr>
  </w:style>
  <w:style w:type="character" w:customStyle="1" w:styleId="197">
    <w:name w:val="Body Text 21 Char Char"/>
    <w:link w:val="196"/>
    <w:qFormat/>
    <w:uiPriority w:val="0"/>
    <w:rPr>
      <w:kern w:val="2"/>
      <w:sz w:val="24"/>
    </w:rPr>
  </w:style>
  <w:style w:type="character" w:customStyle="1" w:styleId="198">
    <w:name w:val="javascript"/>
    <w:qFormat/>
    <w:uiPriority w:val="0"/>
  </w:style>
  <w:style w:type="paragraph" w:customStyle="1" w:styleId="199">
    <w:name w:val="图文字"/>
    <w:basedOn w:val="1"/>
    <w:qFormat/>
    <w:uiPriority w:val="0"/>
    <w:pPr>
      <w:spacing w:line="280" w:lineRule="exact"/>
      <w:jc w:val="center"/>
    </w:pPr>
    <w:rPr>
      <w:rFonts w:hAnsi="宋体"/>
    </w:rPr>
  </w:style>
  <w:style w:type="paragraph" w:customStyle="1" w:styleId="200">
    <w:name w:val="图标题"/>
    <w:basedOn w:val="1"/>
    <w:qFormat/>
    <w:uiPriority w:val="0"/>
    <w:pPr>
      <w:framePr w:hSpace="181" w:vSpace="181" w:wrap="around" w:vAnchor="text" w:hAnchor="text" w:y="1"/>
      <w:spacing w:line="260" w:lineRule="exact"/>
      <w:jc w:val="center"/>
    </w:pPr>
    <w:rPr>
      <w:b/>
      <w:bCs/>
    </w:rPr>
  </w:style>
  <w:style w:type="paragraph" w:customStyle="1" w:styleId="201">
    <w:name w:val="正文缩进2"/>
    <w:basedOn w:val="1"/>
    <w:qFormat/>
    <w:uiPriority w:val="0"/>
    <w:pPr>
      <w:spacing w:line="500" w:lineRule="exact"/>
      <w:ind w:firstLine="200" w:firstLineChars="200"/>
    </w:pPr>
  </w:style>
  <w:style w:type="character" w:customStyle="1" w:styleId="202">
    <w:name w:val="common1"/>
    <w:qFormat/>
    <w:uiPriority w:val="0"/>
    <w:rPr>
      <w:sz w:val="18"/>
      <w:szCs w:val="18"/>
    </w:rPr>
  </w:style>
  <w:style w:type="paragraph" w:customStyle="1" w:styleId="203">
    <w:name w:val="首行缩进"/>
    <w:basedOn w:val="1"/>
    <w:link w:val="204"/>
    <w:qFormat/>
    <w:uiPriority w:val="0"/>
    <w:pPr>
      <w:spacing w:line="360" w:lineRule="auto"/>
      <w:ind w:firstLine="480" w:firstLineChars="200"/>
    </w:pPr>
    <w:rPr>
      <w:rFonts w:ascii="Times New Roman"/>
      <w:kern w:val="2"/>
      <w:szCs w:val="24"/>
    </w:rPr>
  </w:style>
  <w:style w:type="character" w:customStyle="1" w:styleId="204">
    <w:name w:val="首行缩进 Char"/>
    <w:link w:val="203"/>
    <w:qFormat/>
    <w:uiPriority w:val="0"/>
    <w:rPr>
      <w:kern w:val="2"/>
      <w:sz w:val="24"/>
      <w:szCs w:val="24"/>
    </w:rPr>
  </w:style>
  <w:style w:type="paragraph" w:customStyle="1" w:styleId="205">
    <w:name w:val="表文字"/>
    <w:basedOn w:val="1"/>
    <w:link w:val="206"/>
    <w:qFormat/>
    <w:uiPriority w:val="0"/>
    <w:pPr>
      <w:widowControl/>
      <w:jc w:val="center"/>
    </w:pPr>
    <w:rPr>
      <w:rFonts w:ascii="Times New Roman"/>
      <w:sz w:val="21"/>
      <w:szCs w:val="21"/>
    </w:rPr>
  </w:style>
  <w:style w:type="character" w:customStyle="1" w:styleId="206">
    <w:name w:val="表文字 Char Char"/>
    <w:link w:val="205"/>
    <w:qFormat/>
    <w:uiPriority w:val="0"/>
    <w:rPr>
      <w:sz w:val="21"/>
      <w:szCs w:val="21"/>
    </w:rPr>
  </w:style>
  <w:style w:type="paragraph" w:customStyle="1" w:styleId="207">
    <w:name w:val="xl"/>
    <w:basedOn w:val="1"/>
    <w:qFormat/>
    <w:uiPriority w:val="0"/>
    <w:pPr>
      <w:widowControl/>
      <w:spacing w:before="100" w:beforeAutospacing="1" w:after="100" w:afterAutospacing="1"/>
      <w:jc w:val="left"/>
    </w:pPr>
    <w:rPr>
      <w:rFonts w:hint="eastAsia" w:ascii="隶书" w:hAnsi="Arial Unicode MS" w:eastAsia="隶书"/>
      <w:color w:val="008000"/>
      <w:sz w:val="36"/>
      <w:szCs w:val="36"/>
    </w:rPr>
  </w:style>
  <w:style w:type="paragraph" w:customStyle="1" w:styleId="208">
    <w:name w:val="纯文本1"/>
    <w:basedOn w:val="1"/>
    <w:qFormat/>
    <w:uiPriority w:val="0"/>
    <w:pPr>
      <w:autoSpaceDE w:val="0"/>
      <w:autoSpaceDN w:val="0"/>
      <w:adjustRightInd w:val="0"/>
      <w:textAlignment w:val="baseline"/>
    </w:pPr>
    <w:rPr>
      <w:rFonts w:hAnsi="Tms Rmn"/>
    </w:rPr>
  </w:style>
  <w:style w:type="paragraph" w:customStyle="1" w:styleId="209">
    <w:name w:val="标题正4"/>
    <w:basedOn w:val="1"/>
    <w:qFormat/>
    <w:uiPriority w:val="0"/>
    <w:pPr>
      <w:spacing w:line="280" w:lineRule="exact"/>
      <w:jc w:val="center"/>
    </w:pPr>
    <w:rPr>
      <w:rFonts w:hAnsi="宋体"/>
      <w:color w:val="000000"/>
    </w:rPr>
  </w:style>
  <w:style w:type="paragraph" w:customStyle="1" w:styleId="210">
    <w:name w:val="普通 (Web)"/>
    <w:basedOn w:val="1"/>
    <w:next w:val="1"/>
    <w:qFormat/>
    <w:uiPriority w:val="0"/>
    <w:pPr>
      <w:autoSpaceDE w:val="0"/>
      <w:autoSpaceDN w:val="0"/>
      <w:adjustRightInd w:val="0"/>
      <w:spacing w:before="100" w:after="100"/>
      <w:jc w:val="left"/>
    </w:pPr>
  </w:style>
  <w:style w:type="paragraph" w:customStyle="1" w:styleId="211">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rPr>
  </w:style>
  <w:style w:type="paragraph" w:customStyle="1" w:styleId="212">
    <w:name w:val="缩进"/>
    <w:basedOn w:val="1"/>
    <w:link w:val="213"/>
    <w:qFormat/>
    <w:uiPriority w:val="0"/>
    <w:pPr>
      <w:autoSpaceDE w:val="0"/>
      <w:autoSpaceDN w:val="0"/>
      <w:adjustRightInd w:val="0"/>
      <w:spacing w:line="400" w:lineRule="atLeast"/>
      <w:ind w:firstLine="425"/>
      <w:textAlignment w:val="baseline"/>
    </w:pPr>
    <w:rPr>
      <w:rFonts w:ascii="Times New Roman"/>
      <w:kern w:val="2"/>
    </w:rPr>
  </w:style>
  <w:style w:type="character" w:customStyle="1" w:styleId="213">
    <w:name w:val="缩进 Char"/>
    <w:link w:val="212"/>
    <w:qFormat/>
    <w:uiPriority w:val="0"/>
    <w:rPr>
      <w:rFonts w:eastAsia="宋体"/>
      <w:kern w:val="2"/>
      <w:sz w:val="24"/>
      <w:lang w:val="en-US" w:eastAsia="zh-CN" w:bidi="ar-SA"/>
    </w:rPr>
  </w:style>
  <w:style w:type="paragraph" w:customStyle="1" w:styleId="214">
    <w:name w:val="图文框"/>
    <w:basedOn w:val="1"/>
    <w:qFormat/>
    <w:uiPriority w:val="0"/>
    <w:pPr>
      <w:spacing w:line="360" w:lineRule="exact"/>
      <w:jc w:val="center"/>
    </w:pPr>
    <w:rPr>
      <w:rFonts w:hAnsi="宋体"/>
      <w:color w:val="000000"/>
      <w:szCs w:val="21"/>
    </w:rPr>
  </w:style>
  <w:style w:type="character" w:customStyle="1" w:styleId="215">
    <w:name w:val="nine-11"/>
    <w:qFormat/>
    <w:uiPriority w:val="0"/>
    <w:rPr>
      <w:rFonts w:hint="default"/>
      <w:sz w:val="18"/>
      <w:szCs w:val="18"/>
    </w:rPr>
  </w:style>
  <w:style w:type="paragraph" w:customStyle="1" w:styleId="216">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rPr>
  </w:style>
  <w:style w:type="paragraph" w:customStyle="1" w:styleId="217">
    <w:name w:val="小四宋居中1.0"/>
    <w:basedOn w:val="1"/>
    <w:next w:val="1"/>
    <w:qFormat/>
    <w:uiPriority w:val="0"/>
    <w:pPr>
      <w:jc w:val="center"/>
    </w:pPr>
    <w:rPr>
      <w:rFonts w:ascii="仿宋_GB2312" w:eastAsia="仿宋_GB2312"/>
    </w:rPr>
  </w:style>
  <w:style w:type="character" w:customStyle="1" w:styleId="218">
    <w:name w:val="style41"/>
    <w:qFormat/>
    <w:uiPriority w:val="0"/>
    <w:rPr>
      <w:b/>
      <w:bCs/>
      <w:color w:val="000000"/>
    </w:rPr>
  </w:style>
  <w:style w:type="character" w:customStyle="1" w:styleId="219">
    <w:name w:val="title-blue1"/>
    <w:qFormat/>
    <w:uiPriority w:val="0"/>
    <w:rPr>
      <w:rFonts w:hint="eastAsia" w:ascii="幼圆" w:eastAsia="幼圆"/>
      <w:b/>
      <w:bCs/>
      <w:color w:val="009FFF"/>
      <w:spacing w:val="75"/>
      <w:sz w:val="24"/>
      <w:szCs w:val="24"/>
    </w:rPr>
  </w:style>
  <w:style w:type="character" w:customStyle="1" w:styleId="220">
    <w:name w:val="正文（首行缩进两字） Char Char1"/>
    <w:qFormat/>
    <w:uiPriority w:val="0"/>
    <w:rPr>
      <w:rFonts w:ascii="仿宋_GB2312" w:eastAsia="仿宋_GB2312"/>
      <w:kern w:val="2"/>
      <w:sz w:val="28"/>
      <w:szCs w:val="24"/>
      <w:lang w:val="en-US" w:eastAsia="zh-CN" w:bidi="ar-SA"/>
    </w:rPr>
  </w:style>
  <w:style w:type="paragraph" w:customStyle="1" w:styleId="221">
    <w:name w:val="样式2"/>
    <w:basedOn w:val="1"/>
    <w:qFormat/>
    <w:uiPriority w:val="0"/>
    <w:pPr>
      <w:adjustRightInd w:val="0"/>
      <w:snapToGrid w:val="0"/>
      <w:spacing w:before="48" w:beforeLines="20" w:after="48" w:afterLines="20"/>
      <w:ind w:left="-109" w:leftChars="-53" w:hanging="2"/>
      <w:jc w:val="center"/>
    </w:pPr>
    <w:rPr>
      <w:rFonts w:hAnsi="宋体"/>
      <w:color w:val="000000"/>
    </w:rPr>
  </w:style>
  <w:style w:type="paragraph" w:customStyle="1" w:styleId="222">
    <w:name w:val="1 Char Char Char Char Char Char Char Char Char Char Char Char Char Char Char Char Char Char Char"/>
    <w:basedOn w:val="1"/>
    <w:qFormat/>
    <w:uiPriority w:val="0"/>
    <w:pPr>
      <w:adjustRightInd w:val="0"/>
      <w:spacing w:line="360" w:lineRule="auto"/>
    </w:pPr>
  </w:style>
  <w:style w:type="paragraph" w:customStyle="1" w:styleId="223">
    <w:name w:val="Char Char Char Char Char Char"/>
    <w:basedOn w:val="1"/>
    <w:qFormat/>
    <w:uiPriority w:val="0"/>
    <w:rPr>
      <w:szCs w:val="21"/>
    </w:rPr>
  </w:style>
  <w:style w:type="paragraph" w:customStyle="1" w:styleId="224">
    <w:name w:val="三级条标题"/>
    <w:basedOn w:val="1"/>
    <w:next w:val="1"/>
    <w:qFormat/>
    <w:uiPriority w:val="0"/>
    <w:pPr>
      <w:widowControl/>
      <w:tabs>
        <w:tab w:val="left" w:pos="2040"/>
        <w:tab w:val="left" w:pos="2160"/>
        <w:tab w:val="left" w:pos="2580"/>
      </w:tabs>
      <w:ind w:left="3600" w:hanging="360"/>
      <w:outlineLvl w:val="4"/>
    </w:pPr>
    <w:rPr>
      <w:rFonts w:ascii="黑体" w:eastAsia="黑体"/>
      <w:szCs w:val="21"/>
    </w:rPr>
  </w:style>
  <w:style w:type="paragraph" w:customStyle="1" w:styleId="225">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sz w:val="28"/>
      <w:szCs w:val="28"/>
    </w:rPr>
  </w:style>
  <w:style w:type="character" w:customStyle="1" w:styleId="226">
    <w:name w:val="表格标题 Char1"/>
    <w:qFormat/>
    <w:uiPriority w:val="0"/>
    <w:rPr>
      <w:rFonts w:eastAsia="宋体"/>
      <w:kern w:val="2"/>
      <w:sz w:val="21"/>
      <w:lang w:val="en-US" w:eastAsia="zh-CN" w:bidi="ar-SA"/>
    </w:rPr>
  </w:style>
  <w:style w:type="paragraph" w:customStyle="1" w:styleId="227">
    <w:name w:val="4"/>
    <w:basedOn w:val="1"/>
    <w:next w:val="51"/>
    <w:qFormat/>
    <w:uiPriority w:val="0"/>
    <w:pPr>
      <w:spacing w:line="500" w:lineRule="exact"/>
      <w:ind w:firstLine="560"/>
    </w:pPr>
    <w:rPr>
      <w:rFonts w:ascii="仿宋_GB2312" w:eastAsia="仿宋_GB2312"/>
      <w:color w:val="000000"/>
      <w:sz w:val="28"/>
    </w:rPr>
  </w:style>
  <w:style w:type="character" w:customStyle="1" w:styleId="228">
    <w:name w:val="表格标题2"/>
    <w:qFormat/>
    <w:uiPriority w:val="0"/>
    <w:rPr>
      <w:rFonts w:eastAsia="宋体"/>
      <w:kern w:val="2"/>
      <w:sz w:val="21"/>
      <w:lang w:val="en-US" w:eastAsia="zh-CN" w:bidi="ar-SA"/>
    </w:rPr>
  </w:style>
  <w:style w:type="paragraph" w:customStyle="1" w:styleId="229">
    <w:name w:val="报告书表格"/>
    <w:basedOn w:val="1"/>
    <w:link w:val="230"/>
    <w:qFormat/>
    <w:uiPriority w:val="0"/>
    <w:pPr>
      <w:adjustRightInd w:val="0"/>
      <w:spacing w:line="400" w:lineRule="exact"/>
      <w:jc w:val="center"/>
      <w:textAlignment w:val="baseline"/>
    </w:pPr>
    <w:rPr>
      <w:rFonts w:ascii="Times New Roman"/>
      <w:sz w:val="21"/>
      <w:szCs w:val="21"/>
    </w:rPr>
  </w:style>
  <w:style w:type="character" w:customStyle="1" w:styleId="230">
    <w:name w:val="报告书表格 Char"/>
    <w:link w:val="229"/>
    <w:qFormat/>
    <w:uiPriority w:val="0"/>
    <w:rPr>
      <w:sz w:val="21"/>
      <w:szCs w:val="21"/>
    </w:rPr>
  </w:style>
  <w:style w:type="paragraph" w:customStyle="1" w:styleId="231">
    <w:name w:val="表头"/>
    <w:basedOn w:val="1"/>
    <w:link w:val="232"/>
    <w:qFormat/>
    <w:uiPriority w:val="0"/>
    <w:pPr>
      <w:adjustRightInd w:val="0"/>
      <w:snapToGrid w:val="0"/>
      <w:spacing w:line="320" w:lineRule="atLeast"/>
      <w:jc w:val="center"/>
      <w:textAlignment w:val="baseline"/>
    </w:pPr>
    <w:rPr>
      <w:rFonts w:ascii="Times New Roman" w:eastAsia="黑体"/>
      <w:spacing w:val="-10"/>
      <w:sz w:val="21"/>
    </w:rPr>
  </w:style>
  <w:style w:type="character" w:customStyle="1" w:styleId="232">
    <w:name w:val="表头 Char"/>
    <w:link w:val="231"/>
    <w:qFormat/>
    <w:uiPriority w:val="0"/>
    <w:rPr>
      <w:rFonts w:eastAsia="黑体"/>
      <w:spacing w:val="-10"/>
      <w:sz w:val="21"/>
      <w:lang w:val="en-US" w:eastAsia="zh-CN" w:bidi="ar-SA"/>
    </w:rPr>
  </w:style>
  <w:style w:type="paragraph" w:customStyle="1" w:styleId="233">
    <w:name w:val="表蕊"/>
    <w:basedOn w:val="1"/>
    <w:link w:val="234"/>
    <w:qFormat/>
    <w:uiPriority w:val="0"/>
    <w:pPr>
      <w:adjustRightInd w:val="0"/>
      <w:spacing w:line="320" w:lineRule="atLeast"/>
      <w:jc w:val="left"/>
      <w:textAlignment w:val="baseline"/>
    </w:pPr>
    <w:rPr>
      <w:rFonts w:ascii="Times New Roman" w:eastAsia="楷体_GB2312"/>
      <w:spacing w:val="-10"/>
      <w:sz w:val="21"/>
    </w:rPr>
  </w:style>
  <w:style w:type="character" w:customStyle="1" w:styleId="234">
    <w:name w:val="表蕊 Char1"/>
    <w:link w:val="233"/>
    <w:qFormat/>
    <w:uiPriority w:val="0"/>
    <w:rPr>
      <w:rFonts w:eastAsia="楷体_GB2312"/>
      <w:spacing w:val="-10"/>
      <w:sz w:val="21"/>
      <w:lang w:val="en-US" w:eastAsia="zh-CN" w:bidi="ar-SA"/>
    </w:rPr>
  </w:style>
  <w:style w:type="paragraph" w:customStyle="1" w:styleId="235">
    <w:name w:val="正文B"/>
    <w:basedOn w:val="1"/>
    <w:link w:val="236"/>
    <w:qFormat/>
    <w:uiPriority w:val="0"/>
    <w:pPr>
      <w:adjustRightInd w:val="0"/>
      <w:spacing w:line="390" w:lineRule="exact"/>
      <w:ind w:firstLine="601"/>
      <w:textAlignment w:val="baseline"/>
    </w:pPr>
    <w:rPr>
      <w:rFonts w:ascii="Times New Roman" w:eastAsia="楷体_GB2312"/>
      <w:spacing w:val="8"/>
      <w:sz w:val="28"/>
    </w:rPr>
  </w:style>
  <w:style w:type="character" w:customStyle="1" w:styleId="236">
    <w:name w:val="正文B Char"/>
    <w:link w:val="235"/>
    <w:qFormat/>
    <w:uiPriority w:val="0"/>
    <w:rPr>
      <w:rFonts w:eastAsia="楷体_GB2312"/>
      <w:spacing w:val="8"/>
      <w:sz w:val="28"/>
      <w:lang w:val="en-US" w:eastAsia="zh-CN" w:bidi="ar-SA"/>
    </w:rPr>
  </w:style>
  <w:style w:type="character" w:customStyle="1" w:styleId="237">
    <w:name w:val="标题 1 Char1"/>
    <w:qFormat/>
    <w:uiPriority w:val="0"/>
    <w:rPr>
      <w:rFonts w:eastAsia="宋体"/>
      <w:b/>
      <w:bCs/>
      <w:kern w:val="44"/>
      <w:sz w:val="44"/>
      <w:szCs w:val="44"/>
      <w:lang w:val="en-US" w:eastAsia="zh-CN" w:bidi="ar-SA"/>
    </w:rPr>
  </w:style>
  <w:style w:type="character" w:customStyle="1" w:styleId="238">
    <w:name w:val="unnamed91"/>
    <w:qFormat/>
    <w:uiPriority w:val="0"/>
    <w:rPr>
      <w:rFonts w:hint="eastAsia" w:ascii="宋体" w:hAnsi="宋体" w:eastAsia="宋体"/>
      <w:color w:val="000000"/>
      <w:sz w:val="18"/>
      <w:szCs w:val="18"/>
      <w:u w:val="none"/>
    </w:rPr>
  </w:style>
  <w:style w:type="paragraph" w:customStyle="1" w:styleId="239">
    <w:name w:val="正文格式"/>
    <w:basedOn w:val="1"/>
    <w:link w:val="240"/>
    <w:qFormat/>
    <w:uiPriority w:val="0"/>
    <w:pPr>
      <w:spacing w:line="360" w:lineRule="auto"/>
      <w:ind w:firstLine="482"/>
    </w:pPr>
    <w:rPr>
      <w:rFonts w:cs="宋体"/>
      <w:kern w:val="2"/>
      <w:szCs w:val="24"/>
    </w:rPr>
  </w:style>
  <w:style w:type="character" w:customStyle="1" w:styleId="240">
    <w:name w:val="正文格式 Char"/>
    <w:link w:val="239"/>
    <w:qFormat/>
    <w:uiPriority w:val="0"/>
    <w:rPr>
      <w:rFonts w:ascii="宋体" w:eastAsia="宋体" w:cs="宋体"/>
      <w:kern w:val="2"/>
      <w:sz w:val="24"/>
      <w:szCs w:val="24"/>
      <w:lang w:val="en-US" w:eastAsia="zh-CN" w:bidi="ar-SA"/>
    </w:rPr>
  </w:style>
  <w:style w:type="paragraph" w:customStyle="1" w:styleId="241">
    <w:name w:val="报告 Char"/>
    <w:basedOn w:val="1"/>
    <w:qFormat/>
    <w:uiPriority w:val="0"/>
    <w:pPr>
      <w:adjustRightInd w:val="0"/>
      <w:spacing w:line="360" w:lineRule="auto"/>
      <w:ind w:firstLine="505"/>
      <w:textAlignment w:val="baseline"/>
    </w:pPr>
  </w:style>
  <w:style w:type="paragraph" w:customStyle="1" w:styleId="242">
    <w:name w:val="样式 标题 3 + 黑色 Char Char Char Char"/>
    <w:basedOn w:val="6"/>
    <w:qFormat/>
    <w:uiPriority w:val="0"/>
    <w:pPr>
      <w:keepNext w:val="0"/>
      <w:keepLines w:val="0"/>
      <w:tabs>
        <w:tab w:val="left" w:pos="993"/>
        <w:tab w:val="left" w:pos="1260"/>
      </w:tabs>
      <w:adjustRightInd w:val="0"/>
      <w:snapToGrid w:val="0"/>
      <w:spacing w:before="0" w:after="0" w:line="500" w:lineRule="exact"/>
      <w:outlineLvl w:val="9"/>
    </w:pPr>
    <w:rPr>
      <w:b w:val="0"/>
      <w:color w:val="000000"/>
      <w:sz w:val="28"/>
    </w:rPr>
  </w:style>
  <w:style w:type="paragraph" w:customStyle="1" w:styleId="243">
    <w:name w:val="报告 Char Char Char"/>
    <w:basedOn w:val="1"/>
    <w:link w:val="244"/>
    <w:qFormat/>
    <w:uiPriority w:val="0"/>
    <w:pPr>
      <w:adjustRightInd w:val="0"/>
      <w:spacing w:line="360" w:lineRule="auto"/>
      <w:ind w:firstLine="505"/>
      <w:textAlignment w:val="baseline"/>
    </w:pPr>
    <w:rPr>
      <w:rFonts w:ascii="Times New Roman"/>
      <w:kern w:val="2"/>
      <w:szCs w:val="24"/>
    </w:rPr>
  </w:style>
  <w:style w:type="character" w:customStyle="1" w:styleId="244">
    <w:name w:val="报告 Char Char Char Char"/>
    <w:link w:val="243"/>
    <w:qFormat/>
    <w:uiPriority w:val="0"/>
    <w:rPr>
      <w:rFonts w:eastAsia="宋体"/>
      <w:kern w:val="2"/>
      <w:sz w:val="24"/>
      <w:szCs w:val="24"/>
      <w:lang w:val="en-US" w:eastAsia="zh-CN" w:bidi="ar-SA"/>
    </w:rPr>
  </w:style>
  <w:style w:type="paragraph" w:customStyle="1" w:styleId="245">
    <w:name w:val="表格1"/>
    <w:basedOn w:val="45"/>
    <w:qFormat/>
    <w:uiPriority w:val="0"/>
    <w:pPr>
      <w:spacing w:line="340" w:lineRule="exact"/>
      <w:jc w:val="center"/>
    </w:pPr>
    <w:rPr>
      <w:rFonts w:hAnsi="Times New Roman" w:cs="Times New Roman"/>
      <w:sz w:val="18"/>
      <w:szCs w:val="20"/>
    </w:rPr>
  </w:style>
  <w:style w:type="paragraph" w:customStyle="1" w:styleId="246">
    <w:name w:val="正文文字"/>
    <w:basedOn w:val="1"/>
    <w:qFormat/>
    <w:uiPriority w:val="0"/>
    <w:pPr>
      <w:snapToGrid w:val="0"/>
      <w:spacing w:before="156" w:beforeLines="50" w:line="312" w:lineRule="auto"/>
      <w:ind w:firstLine="540" w:firstLineChars="225"/>
    </w:pPr>
    <w:rPr>
      <w:rFonts w:ascii="Arial" w:hAnsi="Arial" w:eastAsia="仿宋_GB2312" w:cs="Arial"/>
      <w:bCs/>
      <w:lang w:val="de-DE"/>
    </w:rPr>
  </w:style>
  <w:style w:type="paragraph" w:customStyle="1" w:styleId="247">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48">
    <w:name w:val="报告表格"/>
    <w:basedOn w:val="1"/>
    <w:link w:val="249"/>
    <w:qFormat/>
    <w:uiPriority w:val="0"/>
    <w:pPr>
      <w:autoSpaceDE w:val="0"/>
      <w:autoSpaceDN w:val="0"/>
      <w:adjustRightInd w:val="0"/>
      <w:spacing w:line="300" w:lineRule="exact"/>
      <w:jc w:val="center"/>
      <w:textAlignment w:val="bottom"/>
    </w:pPr>
    <w:rPr>
      <w:rFonts w:hAnsi="宋体"/>
      <w:sz w:val="21"/>
      <w:szCs w:val="21"/>
    </w:rPr>
  </w:style>
  <w:style w:type="character" w:customStyle="1" w:styleId="249">
    <w:name w:val="报告表格 Char"/>
    <w:link w:val="248"/>
    <w:qFormat/>
    <w:uiPriority w:val="0"/>
    <w:rPr>
      <w:rFonts w:ascii="宋体" w:hAnsi="宋体"/>
      <w:sz w:val="21"/>
      <w:szCs w:val="21"/>
    </w:rPr>
  </w:style>
  <w:style w:type="paragraph" w:customStyle="1" w:styleId="250">
    <w:name w:val="Char4 Char Char Char Char Char Char Char Char Char Char Char Char Char Char Char Char Char1 Char"/>
    <w:basedOn w:val="1"/>
    <w:qFormat/>
    <w:uiPriority w:val="0"/>
    <w:pPr>
      <w:spacing w:line="240" w:lineRule="exact"/>
      <w:ind w:firstLine="200" w:firstLineChars="200"/>
    </w:pPr>
    <w:rPr>
      <w:sz w:val="28"/>
      <w:szCs w:val="28"/>
    </w:rPr>
  </w:style>
  <w:style w:type="paragraph" w:customStyle="1" w:styleId="251">
    <w:name w:val="正文(首行缩进)"/>
    <w:basedOn w:val="1"/>
    <w:qFormat/>
    <w:uiPriority w:val="0"/>
    <w:pPr>
      <w:spacing w:line="500" w:lineRule="exact"/>
      <w:ind w:firstLine="480" w:firstLineChars="200"/>
    </w:pPr>
    <w:rPr>
      <w:rFonts w:hAnsi="宋体"/>
      <w:snapToGrid w:val="0"/>
    </w:rPr>
  </w:style>
  <w:style w:type="paragraph" w:customStyle="1" w:styleId="252">
    <w:name w:val="正文格式 Char Char Char2"/>
    <w:basedOn w:val="1"/>
    <w:link w:val="253"/>
    <w:qFormat/>
    <w:uiPriority w:val="0"/>
    <w:pPr>
      <w:spacing w:line="360" w:lineRule="auto"/>
      <w:ind w:firstLine="482"/>
    </w:pPr>
    <w:rPr>
      <w:rFonts w:cs="宋体"/>
      <w:kern w:val="2"/>
      <w:szCs w:val="24"/>
    </w:rPr>
  </w:style>
  <w:style w:type="character" w:customStyle="1" w:styleId="253">
    <w:name w:val="正文格式 Char Char Char2 Char"/>
    <w:link w:val="252"/>
    <w:qFormat/>
    <w:uiPriority w:val="0"/>
    <w:rPr>
      <w:rFonts w:ascii="宋体" w:eastAsia="宋体" w:cs="宋体"/>
      <w:kern w:val="2"/>
      <w:sz w:val="24"/>
      <w:szCs w:val="24"/>
      <w:lang w:val="en-US" w:eastAsia="zh-CN" w:bidi="ar-SA"/>
    </w:rPr>
  </w:style>
  <w:style w:type="paragraph" w:customStyle="1" w:styleId="254">
    <w:name w:val="Char Char Char Char Char Char Char Char Char1 Char Char Char Char"/>
    <w:basedOn w:val="1"/>
    <w:qFormat/>
    <w:uiPriority w:val="0"/>
    <w:rPr>
      <w:szCs w:val="21"/>
    </w:rPr>
  </w:style>
  <w:style w:type="paragraph" w:customStyle="1" w:styleId="255">
    <w:name w:val="文1"/>
    <w:basedOn w:val="1"/>
    <w:qFormat/>
    <w:uiPriority w:val="0"/>
    <w:pPr>
      <w:snapToGrid w:val="0"/>
      <w:spacing w:line="360" w:lineRule="auto"/>
      <w:ind w:firstLine="567"/>
    </w:pPr>
    <w:rPr>
      <w:rFonts w:ascii="Arial" w:hAnsi="Arial" w:eastAsia="幼圆"/>
    </w:rPr>
  </w:style>
  <w:style w:type="paragraph" w:customStyle="1" w:styleId="256">
    <w:name w:val="Char Char Char Char"/>
    <w:basedOn w:val="27"/>
    <w:qFormat/>
    <w:uiPriority w:val="0"/>
    <w:pPr>
      <w:widowControl/>
      <w:adjustRightInd w:val="0"/>
      <w:snapToGrid w:val="0"/>
      <w:spacing w:line="360" w:lineRule="auto"/>
      <w:jc w:val="left"/>
    </w:pPr>
    <w:rPr>
      <w:rFonts w:ascii="Tahoma" w:hAnsi="Tahoma" w:cs="宋体"/>
      <w:kern w:val="0"/>
      <w:sz w:val="24"/>
    </w:rPr>
  </w:style>
  <w:style w:type="paragraph" w:customStyle="1" w:styleId="257">
    <w:name w:val="Char Char Char1 Char Char Char1 Char Char Char1 Char"/>
    <w:basedOn w:val="1"/>
    <w:qFormat/>
    <w:uiPriority w:val="0"/>
    <w:pPr>
      <w:spacing w:line="400" w:lineRule="exact"/>
      <w:ind w:firstLine="200" w:firstLineChars="200"/>
    </w:pPr>
    <w:rPr>
      <w:sz w:val="28"/>
      <w:szCs w:val="28"/>
    </w:rPr>
  </w:style>
  <w:style w:type="paragraph" w:customStyle="1" w:styleId="258">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sz w:val="20"/>
    </w:rPr>
  </w:style>
  <w:style w:type="paragraph" w:customStyle="1" w:styleId="259">
    <w:name w:val="xl36"/>
    <w:basedOn w:val="1"/>
    <w:qFormat/>
    <w:uiPriority w:val="0"/>
    <w:pPr>
      <w:widowControl/>
      <w:spacing w:before="100" w:beforeAutospacing="1" w:after="100" w:afterAutospacing="1"/>
      <w:jc w:val="center"/>
    </w:pPr>
    <w:rPr>
      <w:rFonts w:ascii="楷体_GB2312" w:hAnsi="Arial Unicode MS" w:eastAsia="楷体_GB2312" w:cs="楷体_GB2312"/>
      <w:b/>
      <w:bCs/>
      <w:sz w:val="28"/>
      <w:szCs w:val="28"/>
    </w:rPr>
  </w:style>
  <w:style w:type="paragraph" w:customStyle="1" w:styleId="260">
    <w:name w:val="样式 标题 2节第一章 标题 2Heading 2 HiddenHeading 2 CCBSheading 2H2...1"/>
    <w:basedOn w:val="5"/>
    <w:qFormat/>
    <w:uiPriority w:val="0"/>
    <w:rPr>
      <w:rFonts w:ascii="宋体" w:hAnsi="宋体" w:eastAsia="宋体"/>
      <w:bCs/>
      <w:color w:val="FF0000"/>
      <w:sz w:val="28"/>
      <w:szCs w:val="28"/>
    </w:rPr>
  </w:style>
  <w:style w:type="paragraph" w:customStyle="1" w:styleId="261">
    <w:name w:val="标准"/>
    <w:basedOn w:val="1"/>
    <w:qFormat/>
    <w:uiPriority w:val="0"/>
    <w:pPr>
      <w:adjustRightInd w:val="0"/>
      <w:spacing w:line="312" w:lineRule="atLeast"/>
      <w:jc w:val="center"/>
      <w:textAlignment w:val="baseline"/>
    </w:pPr>
  </w:style>
  <w:style w:type="paragraph" w:customStyle="1" w:styleId="262">
    <w:name w:val="正文001"/>
    <w:basedOn w:val="1"/>
    <w:link w:val="263"/>
    <w:qFormat/>
    <w:uiPriority w:val="0"/>
    <w:pPr>
      <w:spacing w:before="60" w:line="420" w:lineRule="exact"/>
      <w:ind w:firstLine="482"/>
    </w:pPr>
    <w:rPr>
      <w:rFonts w:ascii="Times New Roman"/>
      <w:kern w:val="2"/>
      <w:szCs w:val="24"/>
    </w:rPr>
  </w:style>
  <w:style w:type="character" w:customStyle="1" w:styleId="263">
    <w:name w:val="正文001 Char Char"/>
    <w:link w:val="262"/>
    <w:qFormat/>
    <w:uiPriority w:val="0"/>
    <w:rPr>
      <w:kern w:val="2"/>
      <w:sz w:val="24"/>
      <w:szCs w:val="24"/>
    </w:rPr>
  </w:style>
  <w:style w:type="paragraph" w:customStyle="1" w:styleId="264">
    <w:name w:val="表格001"/>
    <w:basedOn w:val="1"/>
    <w:qFormat/>
    <w:uiPriority w:val="0"/>
    <w:pPr>
      <w:jc w:val="center"/>
    </w:pPr>
    <w:rPr>
      <w:szCs w:val="21"/>
    </w:rPr>
  </w:style>
  <w:style w:type="character" w:customStyle="1" w:styleId="265">
    <w:name w:val="fsl1"/>
    <w:qFormat/>
    <w:uiPriority w:val="0"/>
    <w:rPr>
      <w:rFonts w:ascii="黑体" w:hAnsi="黑体" w:eastAsia="黑体"/>
      <w:b/>
      <w:color w:val="0082C6"/>
      <w:spacing w:val="10"/>
      <w:kern w:val="44"/>
      <w:sz w:val="21"/>
      <w:szCs w:val="21"/>
      <w:lang w:val="en-US" w:eastAsia="zh-CN" w:bidi="ar-SA"/>
    </w:rPr>
  </w:style>
  <w:style w:type="paragraph" w:customStyle="1" w:styleId="266">
    <w:name w:val="表头样式1"/>
    <w:basedOn w:val="1"/>
    <w:qFormat/>
    <w:uiPriority w:val="0"/>
    <w:pPr>
      <w:autoSpaceDE w:val="0"/>
      <w:autoSpaceDN w:val="0"/>
      <w:adjustRightInd w:val="0"/>
      <w:snapToGrid w:val="0"/>
      <w:spacing w:before="62" w:beforeLines="20" w:after="62" w:afterLines="20" w:line="360" w:lineRule="auto"/>
      <w:ind w:firstLine="480" w:firstLineChars="200"/>
      <w:jc w:val="center"/>
    </w:pPr>
    <w:rPr>
      <w:rFonts w:ascii="黑体" w:hAnsi="宋体" w:eastAsia="黑体"/>
    </w:rPr>
  </w:style>
  <w:style w:type="paragraph" w:customStyle="1" w:styleId="267">
    <w:name w:val="表样式1.1"/>
    <w:basedOn w:val="1"/>
    <w:qFormat/>
    <w:uiPriority w:val="0"/>
    <w:pPr>
      <w:autoSpaceDE w:val="0"/>
      <w:autoSpaceDN w:val="0"/>
      <w:adjustRightInd w:val="0"/>
      <w:snapToGrid w:val="0"/>
      <w:spacing w:line="374" w:lineRule="exact"/>
      <w:jc w:val="center"/>
    </w:pPr>
    <w:rPr>
      <w:rFonts w:hAnsi="宋体" w:cs="宋体"/>
      <w:bCs/>
      <w:color w:val="000000"/>
      <w:szCs w:val="21"/>
    </w:rPr>
  </w:style>
  <w:style w:type="paragraph" w:customStyle="1" w:styleId="268">
    <w:name w:val="标题003"/>
    <w:basedOn w:val="1"/>
    <w:qFormat/>
    <w:uiPriority w:val="0"/>
    <w:pPr>
      <w:spacing w:before="120" w:line="440" w:lineRule="exact"/>
      <w:outlineLvl w:val="2"/>
    </w:pPr>
    <w:rPr>
      <w:b/>
      <w:sz w:val="27"/>
    </w:rPr>
  </w:style>
  <w:style w:type="paragraph" w:customStyle="1" w:styleId="269">
    <w:name w:val="标题002"/>
    <w:basedOn w:val="1"/>
    <w:qFormat/>
    <w:uiPriority w:val="0"/>
    <w:pPr>
      <w:spacing w:before="160" w:line="480" w:lineRule="exact"/>
      <w:outlineLvl w:val="1"/>
    </w:pPr>
    <w:rPr>
      <w:b/>
      <w:sz w:val="28"/>
    </w:rPr>
  </w:style>
  <w:style w:type="paragraph" w:customStyle="1" w:styleId="270">
    <w:name w:val="标题004"/>
    <w:basedOn w:val="262"/>
    <w:qFormat/>
    <w:uiPriority w:val="0"/>
    <w:pPr>
      <w:ind w:firstLine="0"/>
      <w:outlineLvl w:val="3"/>
    </w:pPr>
    <w:rPr>
      <w:b/>
      <w:szCs w:val="20"/>
    </w:rPr>
  </w:style>
  <w:style w:type="paragraph" w:customStyle="1" w:styleId="271">
    <w:name w:val="xl28"/>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272">
    <w:name w:val="样式6"/>
    <w:basedOn w:val="1"/>
    <w:link w:val="273"/>
    <w:qFormat/>
    <w:uiPriority w:val="0"/>
    <w:pPr>
      <w:tabs>
        <w:tab w:val="left" w:pos="1092"/>
        <w:tab w:val="left" w:pos="1260"/>
      </w:tabs>
      <w:adjustRightInd w:val="0"/>
      <w:snapToGrid w:val="0"/>
      <w:spacing w:before="50" w:beforeLines="50" w:after="50" w:afterLines="50" w:line="360" w:lineRule="auto"/>
      <w:ind w:left="1260" w:hanging="720"/>
      <w:jc w:val="left"/>
      <w:outlineLvl w:val="2"/>
    </w:pPr>
    <w:rPr>
      <w:rFonts w:ascii="Times New Roman"/>
      <w:kern w:val="2"/>
      <w:szCs w:val="24"/>
    </w:rPr>
  </w:style>
  <w:style w:type="character" w:customStyle="1" w:styleId="273">
    <w:name w:val="样式6 Char Char"/>
    <w:link w:val="272"/>
    <w:qFormat/>
    <w:uiPriority w:val="0"/>
    <w:rPr>
      <w:kern w:val="2"/>
      <w:sz w:val="24"/>
      <w:szCs w:val="24"/>
    </w:rPr>
  </w:style>
  <w:style w:type="paragraph" w:customStyle="1" w:styleId="274">
    <w:name w:val="样式 标题 31.1.1标题 3 + Times New Roman 自动设置 段前: 0.2 行 段后: 0.2 行"/>
    <w:basedOn w:val="6"/>
    <w:qFormat/>
    <w:uiPriority w:val="0"/>
    <w:pPr>
      <w:autoSpaceDE w:val="0"/>
      <w:autoSpaceDN w:val="0"/>
      <w:adjustRightInd w:val="0"/>
      <w:spacing w:before="62" w:beforeLines="20" w:after="62" w:afterLines="20" w:line="360" w:lineRule="auto"/>
      <w:jc w:val="left"/>
    </w:pPr>
    <w:rPr>
      <w:sz w:val="24"/>
      <w:szCs w:val="20"/>
    </w:rPr>
  </w:style>
  <w:style w:type="paragraph" w:customStyle="1" w:styleId="275">
    <w:name w:val="条题"/>
    <w:basedOn w:val="1"/>
    <w:qFormat/>
    <w:uiPriority w:val="0"/>
    <w:pPr>
      <w:tabs>
        <w:tab w:val="left" w:pos="1278"/>
      </w:tabs>
      <w:spacing w:line="480" w:lineRule="exact"/>
      <w:ind w:right="278" w:firstLine="480" w:firstLineChars="200"/>
    </w:pPr>
    <w:rPr>
      <w:rFonts w:hAnsi="宋体"/>
    </w:rPr>
  </w:style>
  <w:style w:type="paragraph" w:customStyle="1" w:styleId="276">
    <w:name w:val="样式3"/>
    <w:qFormat/>
    <w:uiPriority w:val="0"/>
    <w:pPr>
      <w:spacing w:line="280" w:lineRule="exact"/>
    </w:pPr>
    <w:rPr>
      <w:rFonts w:ascii="宋体" w:hAnsi="宋体" w:eastAsia="宋体" w:cs="Times New Roman"/>
      <w:b/>
      <w:sz w:val="21"/>
      <w:lang w:val="en-US" w:eastAsia="zh-CN" w:bidi="ar-SA"/>
    </w:rPr>
  </w:style>
  <w:style w:type="paragraph" w:customStyle="1" w:styleId="277">
    <w:name w:val="正文1"/>
    <w:basedOn w:val="1"/>
    <w:qFormat/>
    <w:uiPriority w:val="0"/>
  </w:style>
  <w:style w:type="paragraph" w:customStyle="1" w:styleId="278">
    <w:name w:val="样式 标题 2标题 2 Char标2h2H2标题21.1标题 2 + Times New Roman"/>
    <w:basedOn w:val="5"/>
    <w:qFormat/>
    <w:uiPriority w:val="0"/>
    <w:pPr>
      <w:autoSpaceDE w:val="0"/>
      <w:autoSpaceDN w:val="0"/>
      <w:adjustRightInd w:val="0"/>
      <w:spacing w:before="200" w:after="163"/>
      <w:jc w:val="center"/>
    </w:pPr>
    <w:rPr>
      <w:b w:val="0"/>
      <w:bCs/>
      <w:color w:val="FF0000"/>
      <w:sz w:val="28"/>
      <w:szCs w:val="28"/>
    </w:rPr>
  </w:style>
  <w:style w:type="paragraph" w:customStyle="1" w:styleId="279">
    <w:name w:val="Char Char Char Char1"/>
    <w:basedOn w:val="1"/>
    <w:qFormat/>
    <w:uiPriority w:val="0"/>
    <w:rPr>
      <w:szCs w:val="21"/>
    </w:rPr>
  </w:style>
  <w:style w:type="paragraph" w:customStyle="1" w:styleId="280">
    <w:name w:val="标题001"/>
    <w:basedOn w:val="1"/>
    <w:qFormat/>
    <w:uiPriority w:val="0"/>
    <w:pPr>
      <w:spacing w:before="60" w:line="480" w:lineRule="exact"/>
      <w:outlineLvl w:val="0"/>
    </w:pPr>
    <w:rPr>
      <w:b/>
      <w:bCs/>
      <w:sz w:val="32"/>
      <w:szCs w:val="32"/>
    </w:rPr>
  </w:style>
  <w:style w:type="paragraph" w:customStyle="1" w:styleId="281">
    <w:name w:val="wangjunbo.bullet"/>
    <w:basedOn w:val="1"/>
    <w:qFormat/>
    <w:uiPriority w:val="0"/>
    <w:pPr>
      <w:jc w:val="center"/>
    </w:pPr>
    <w:rPr>
      <w:rFonts w:hAnsi="宋体"/>
    </w:rPr>
  </w:style>
  <w:style w:type="paragraph" w:customStyle="1" w:styleId="282">
    <w:name w:val="样式 首行缩进:  2 字符"/>
    <w:basedOn w:val="1"/>
    <w:qFormat/>
    <w:uiPriority w:val="0"/>
    <w:pPr>
      <w:spacing w:line="360" w:lineRule="auto"/>
      <w:ind w:firstLine="560" w:firstLineChars="200"/>
    </w:pPr>
    <w:rPr>
      <w:rFonts w:ascii="仿宋_GB2312"/>
      <w:sz w:val="28"/>
    </w:rPr>
  </w:style>
  <w:style w:type="paragraph" w:customStyle="1" w:styleId="283">
    <w:name w:val="环评正文"/>
    <w:basedOn w:val="50"/>
    <w:link w:val="284"/>
    <w:qFormat/>
    <w:uiPriority w:val="0"/>
    <w:pPr>
      <w:adjustRightInd/>
      <w:spacing w:line="500" w:lineRule="exact"/>
      <w:ind w:left="0" w:leftChars="0" w:firstLine="560" w:firstLineChars="200"/>
      <w:jc w:val="both"/>
      <w:textAlignment w:val="auto"/>
    </w:pPr>
    <w:rPr>
      <w:rFonts w:ascii="仿宋_GB2312" w:eastAsia="仿宋_GB2312"/>
      <w:sz w:val="28"/>
    </w:rPr>
  </w:style>
  <w:style w:type="character" w:customStyle="1" w:styleId="284">
    <w:name w:val="环评正文 Char Char"/>
    <w:link w:val="283"/>
    <w:qFormat/>
    <w:uiPriority w:val="0"/>
    <w:rPr>
      <w:rFonts w:ascii="仿宋_GB2312" w:eastAsia="仿宋_GB2312"/>
      <w:kern w:val="2"/>
      <w:sz w:val="28"/>
    </w:rPr>
  </w:style>
  <w:style w:type="paragraph" w:customStyle="1" w:styleId="285">
    <w:name w:val="正文（行首缩进2字）"/>
    <w:basedOn w:val="1"/>
    <w:link w:val="286"/>
    <w:qFormat/>
    <w:uiPriority w:val="0"/>
    <w:pPr>
      <w:spacing w:line="360" w:lineRule="auto"/>
      <w:ind w:firstLine="200" w:firstLineChars="200"/>
    </w:pPr>
    <w:rPr>
      <w:rFonts w:ascii="Times New Roman"/>
      <w:kern w:val="2"/>
      <w:sz w:val="28"/>
      <w:szCs w:val="24"/>
    </w:rPr>
  </w:style>
  <w:style w:type="character" w:customStyle="1" w:styleId="286">
    <w:name w:val="正文（行首缩进2字） Char"/>
    <w:link w:val="285"/>
    <w:qFormat/>
    <w:uiPriority w:val="0"/>
    <w:rPr>
      <w:kern w:val="2"/>
      <w:sz w:val="28"/>
      <w:szCs w:val="24"/>
    </w:rPr>
  </w:style>
  <w:style w:type="paragraph" w:customStyle="1" w:styleId="287">
    <w:name w:val="Plain Text1"/>
    <w:basedOn w:val="1"/>
    <w:qFormat/>
    <w:uiPriority w:val="0"/>
    <w:pPr>
      <w:adjustRightInd w:val="0"/>
    </w:pPr>
    <w:rPr>
      <w:rFonts w:hint="eastAsia" w:hAnsi="Courier New"/>
    </w:rPr>
  </w:style>
  <w:style w:type="paragraph" w:customStyle="1" w:styleId="288">
    <w:name w:val="文本框"/>
    <w:basedOn w:val="1"/>
    <w:next w:val="1"/>
    <w:qFormat/>
    <w:uiPriority w:val="0"/>
    <w:pPr>
      <w:widowControl/>
      <w:spacing w:line="320" w:lineRule="exact"/>
      <w:ind w:firstLine="200" w:firstLineChars="200"/>
      <w:jc w:val="center"/>
    </w:pPr>
    <w:rPr>
      <w:rFonts w:ascii="仿宋_GB2312" w:eastAsia="仿宋_GB2312"/>
    </w:rPr>
  </w:style>
  <w:style w:type="paragraph" w:customStyle="1" w:styleId="289">
    <w:name w:val="二级无标题条"/>
    <w:basedOn w:val="1"/>
    <w:qFormat/>
    <w:uiPriority w:val="0"/>
  </w:style>
  <w:style w:type="paragraph" w:customStyle="1" w:styleId="290">
    <w:name w:val="报告"/>
    <w:basedOn w:val="1"/>
    <w:link w:val="291"/>
    <w:qFormat/>
    <w:uiPriority w:val="0"/>
    <w:pPr>
      <w:adjustRightInd w:val="0"/>
      <w:spacing w:line="360" w:lineRule="auto"/>
      <w:ind w:firstLine="505"/>
      <w:textAlignment w:val="center"/>
    </w:pPr>
    <w:rPr>
      <w:rFonts w:ascii="TimesNewRoman" w:hAnsi="TimesNewRoman"/>
    </w:rPr>
  </w:style>
  <w:style w:type="character" w:customStyle="1" w:styleId="291">
    <w:name w:val="报告 Char Char"/>
    <w:link w:val="290"/>
    <w:qFormat/>
    <w:uiPriority w:val="0"/>
    <w:rPr>
      <w:rFonts w:ascii="TimesNewRoman" w:hAnsi="TimesNewRoman"/>
      <w:sz w:val="24"/>
    </w:rPr>
  </w:style>
  <w:style w:type="paragraph" w:customStyle="1" w:styleId="292">
    <w:name w:val="图表标题"/>
    <w:basedOn w:val="290"/>
    <w:next w:val="248"/>
    <w:qFormat/>
    <w:uiPriority w:val="0"/>
    <w:pPr>
      <w:snapToGrid w:val="0"/>
      <w:spacing w:line="240" w:lineRule="auto"/>
      <w:ind w:firstLine="0"/>
      <w:jc w:val="center"/>
      <w:textAlignment w:val="baseline"/>
    </w:pPr>
    <w:rPr>
      <w:rFonts w:ascii="Arial" w:hAnsi="Arial" w:cs="Arial"/>
      <w:b/>
    </w:rPr>
  </w:style>
  <w:style w:type="paragraph" w:customStyle="1" w:styleId="293">
    <w:name w:val="表内文字"/>
    <w:basedOn w:val="1"/>
    <w:qFormat/>
    <w:uiPriority w:val="0"/>
    <w:pPr>
      <w:adjustRightInd w:val="0"/>
      <w:spacing w:line="400" w:lineRule="exact"/>
      <w:jc w:val="center"/>
      <w:textAlignment w:val="baseline"/>
    </w:pPr>
    <w:rPr>
      <w:snapToGrid w:val="0"/>
      <w:kern w:val="24"/>
      <w:szCs w:val="21"/>
    </w:rPr>
  </w:style>
  <w:style w:type="paragraph" w:customStyle="1" w:styleId="294">
    <w:name w:val="Char11111"/>
    <w:basedOn w:val="1"/>
    <w:qFormat/>
    <w:uiPriority w:val="0"/>
    <w:pPr>
      <w:spacing w:before="50" w:beforeLines="50" w:after="50" w:afterLines="50" w:line="500" w:lineRule="exact"/>
    </w:pPr>
    <w:rPr>
      <w:sz w:val="28"/>
      <w:szCs w:val="28"/>
    </w:rPr>
  </w:style>
  <w:style w:type="paragraph" w:customStyle="1" w:styleId="295">
    <w:name w:val="正文段落"/>
    <w:basedOn w:val="1"/>
    <w:qFormat/>
    <w:uiPriority w:val="0"/>
    <w:pPr>
      <w:autoSpaceDE w:val="0"/>
      <w:autoSpaceDN w:val="0"/>
      <w:adjustRightInd w:val="0"/>
      <w:spacing w:line="500" w:lineRule="exact"/>
      <w:ind w:firstLine="200" w:firstLineChars="200"/>
      <w:textAlignment w:val="baseline"/>
    </w:pPr>
    <w:rPr>
      <w:rFonts w:hAnsi="Tms Rmn" w:eastAsia="仿宋_GB2312"/>
      <w:sz w:val="28"/>
    </w:rPr>
  </w:style>
  <w:style w:type="paragraph" w:customStyle="1" w:styleId="296">
    <w:name w:val="样式 标题 3条标题1.1.1条标题1.1.11条标题1.1.12条标题1.1.13条标题1.1.111条标题1.1..."/>
    <w:basedOn w:val="6"/>
    <w:qFormat/>
    <w:uiPriority w:val="0"/>
    <w:pPr>
      <w:spacing w:before="0" w:after="0" w:line="500" w:lineRule="exact"/>
    </w:pPr>
    <w:rPr>
      <w:rFonts w:hAnsi="宋体" w:cs="宋体"/>
      <w:bCs w:val="0"/>
      <w:sz w:val="28"/>
      <w:szCs w:val="20"/>
    </w:rPr>
  </w:style>
  <w:style w:type="paragraph" w:customStyle="1" w:styleId="297">
    <w:name w:val="样式 标题 3条标题1.1.1条标题1.1.11条标题1.1.12条标题1.1.13条标题1.1.111条标题1.1...1"/>
    <w:basedOn w:val="6"/>
    <w:qFormat/>
    <w:uiPriority w:val="0"/>
    <w:pPr>
      <w:spacing w:before="0" w:after="0" w:line="500" w:lineRule="exact"/>
    </w:pPr>
    <w:rPr>
      <w:rFonts w:hAnsi="宋体" w:cs="宋体"/>
      <w:bCs w:val="0"/>
      <w:sz w:val="28"/>
      <w:szCs w:val="20"/>
    </w:rPr>
  </w:style>
  <w:style w:type="paragraph" w:customStyle="1" w:styleId="298">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szCs w:val="21"/>
    </w:rPr>
  </w:style>
  <w:style w:type="paragraph" w:customStyle="1" w:styleId="299">
    <w:name w:val="样式 标题 3 + 11 磅 蓝色"/>
    <w:basedOn w:val="6"/>
    <w:qFormat/>
    <w:uiPriority w:val="0"/>
    <w:pPr>
      <w:autoSpaceDE w:val="0"/>
      <w:autoSpaceDN w:val="0"/>
      <w:adjustRightInd w:val="0"/>
      <w:snapToGrid w:val="0"/>
      <w:spacing w:before="0" w:after="0" w:line="500" w:lineRule="exact"/>
      <w:jc w:val="left"/>
      <w:textAlignment w:val="baseline"/>
    </w:pPr>
    <w:rPr>
      <w:rFonts w:hAnsi="宋体"/>
      <w:b w:val="0"/>
      <w:snapToGrid w:val="0"/>
      <w:color w:val="0000FF"/>
      <w:sz w:val="28"/>
      <w:szCs w:val="28"/>
    </w:rPr>
  </w:style>
  <w:style w:type="paragraph" w:customStyle="1" w:styleId="300">
    <w:name w:val="3级标题"/>
    <w:basedOn w:val="1"/>
    <w:qFormat/>
    <w:uiPriority w:val="0"/>
    <w:pPr>
      <w:keepNext/>
      <w:keepLines/>
      <w:adjustRightInd w:val="0"/>
      <w:snapToGrid w:val="0"/>
      <w:spacing w:before="80" w:after="80" w:line="400" w:lineRule="exact"/>
      <w:outlineLvl w:val="2"/>
    </w:pPr>
    <w:rPr>
      <w:b/>
      <w:color w:val="000000"/>
      <w:szCs w:val="28"/>
    </w:rPr>
  </w:style>
  <w:style w:type="paragraph" w:customStyle="1" w:styleId="301">
    <w:name w:val="样式 正文缩进正文缩进 Char正文缩进1 Char正文缩进1正文（首行缩进两字） Char正文缩进 Char Cha..."/>
    <w:basedOn w:val="22"/>
    <w:qFormat/>
    <w:uiPriority w:val="0"/>
    <w:pPr>
      <w:spacing w:before="156" w:beforeLines="50" w:line="360" w:lineRule="auto"/>
      <w:ind w:firstLine="567" w:firstLineChars="0"/>
      <w:jc w:val="left"/>
    </w:pPr>
    <w:rPr>
      <w:rFonts w:cs="宋体"/>
      <w:sz w:val="24"/>
      <w:szCs w:val="20"/>
    </w:rPr>
  </w:style>
  <w:style w:type="paragraph" w:customStyle="1" w:styleId="302">
    <w:name w:val="样式 图表"/>
    <w:basedOn w:val="1"/>
    <w:qFormat/>
    <w:uiPriority w:val="0"/>
    <w:pPr>
      <w:adjustRightInd w:val="0"/>
      <w:spacing w:line="360" w:lineRule="auto"/>
      <w:jc w:val="center"/>
      <w:textAlignment w:val="baseline"/>
    </w:pPr>
    <w:rPr>
      <w:b/>
      <w:bCs/>
    </w:rPr>
  </w:style>
  <w:style w:type="paragraph" w:customStyle="1" w:styleId="303">
    <w:name w:val="普通表格1"/>
    <w:basedOn w:val="45"/>
    <w:qFormat/>
    <w:uiPriority w:val="0"/>
    <w:pPr>
      <w:snapToGrid w:val="0"/>
      <w:spacing w:line="380" w:lineRule="exact"/>
    </w:pPr>
    <w:rPr>
      <w:rFonts w:ascii="Times New Roman" w:hAnsi="Times New Roman" w:cs="Times New Roman"/>
      <w:sz w:val="24"/>
      <w:szCs w:val="24"/>
    </w:rPr>
  </w:style>
  <w:style w:type="paragraph" w:customStyle="1" w:styleId="304">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rPr>
  </w:style>
  <w:style w:type="paragraph" w:customStyle="1" w:styleId="305">
    <w:name w:val="样式 正文文本缩进 + 左侧:  0.95 厘米 首行缩进:  0.63 厘米"/>
    <w:basedOn w:val="3"/>
    <w:qFormat/>
    <w:uiPriority w:val="0"/>
    <w:pPr>
      <w:spacing w:after="0" w:line="480" w:lineRule="exact"/>
      <w:ind w:left="0" w:leftChars="0" w:firstLine="480" w:firstLineChars="200"/>
    </w:pPr>
    <w:rPr>
      <w:rFonts w:ascii="宋体" w:hAnsi="宋体"/>
      <w:color w:val="000000"/>
      <w:sz w:val="24"/>
    </w:rPr>
  </w:style>
  <w:style w:type="paragraph" w:customStyle="1" w:styleId="306">
    <w:name w:val="Char Char Char1 Char"/>
    <w:basedOn w:val="1"/>
    <w:qFormat/>
    <w:uiPriority w:val="0"/>
  </w:style>
  <w:style w:type="paragraph" w:customStyle="1" w:styleId="307">
    <w:name w:val="Char Char Char Char Char Char Char"/>
    <w:basedOn w:val="1"/>
    <w:qFormat/>
    <w:uiPriority w:val="0"/>
  </w:style>
  <w:style w:type="paragraph" w:customStyle="1" w:styleId="308">
    <w:name w:val="Char Char Char1 Char Char Char Char"/>
    <w:basedOn w:val="1"/>
    <w:qFormat/>
    <w:uiPriority w:val="0"/>
  </w:style>
  <w:style w:type="paragraph" w:customStyle="1" w:styleId="309">
    <w:name w:val="Char Char Char Char Char Char Char Char Char Char Char Char Char Char Char Char"/>
    <w:basedOn w:val="1"/>
    <w:qFormat/>
    <w:uiPriority w:val="0"/>
  </w:style>
  <w:style w:type="paragraph" w:customStyle="1" w:styleId="310">
    <w:name w:val="Char Char Char Char Char Char Char Char Char Char11"/>
    <w:basedOn w:val="1"/>
    <w:qFormat/>
    <w:uiPriority w:val="0"/>
  </w:style>
  <w:style w:type="character" w:customStyle="1" w:styleId="311">
    <w:name w:val="h31"/>
    <w:qFormat/>
    <w:uiPriority w:val="0"/>
    <w:rPr>
      <w:rFonts w:ascii="黑体" w:hAnsi="黑体" w:eastAsia="黑体"/>
      <w:b/>
      <w:spacing w:val="10"/>
      <w:kern w:val="44"/>
      <w:sz w:val="28"/>
      <w:szCs w:val="28"/>
      <w:lang w:val="en-US" w:eastAsia="zh-CN" w:bidi="ar-SA"/>
    </w:rPr>
  </w:style>
  <w:style w:type="paragraph" w:customStyle="1" w:styleId="312">
    <w:name w:val="默认段落字体 Para Char"/>
    <w:basedOn w:val="1"/>
    <w:qFormat/>
    <w:uiPriority w:val="0"/>
  </w:style>
  <w:style w:type="paragraph" w:customStyle="1" w:styleId="313">
    <w:name w:val="样式 段前: 0.1 行 段后: 0.1 行"/>
    <w:basedOn w:val="1"/>
    <w:qFormat/>
    <w:uiPriority w:val="0"/>
    <w:pPr>
      <w:adjustRightInd w:val="0"/>
      <w:snapToGrid w:val="0"/>
      <w:spacing w:line="300" w:lineRule="auto"/>
      <w:ind w:firstLine="499"/>
      <w:textAlignment w:val="baseline"/>
    </w:pPr>
    <w:rPr>
      <w:rFonts w:cs="宋体"/>
      <w:snapToGrid w:val="0"/>
    </w:rPr>
  </w:style>
  <w:style w:type="paragraph" w:customStyle="1" w:styleId="314">
    <w:name w:val="Char Char Char Char Char Char Char Char Char Char Char Char Char Char Char Char Char Char Char Char Char Char Char Char Char Char Char Char Char Char2 Char Char Char Char Char Char Char"/>
    <w:basedOn w:val="1"/>
    <w:qFormat/>
    <w:uiPriority w:val="0"/>
  </w:style>
  <w:style w:type="paragraph" w:customStyle="1" w:styleId="315">
    <w:name w:val="样式 标题 1 + (中文) 宋体 小三 行距: 多倍行距 1.35 字行"/>
    <w:basedOn w:val="4"/>
    <w:qFormat/>
    <w:uiPriority w:val="0"/>
    <w:pPr>
      <w:numPr>
        <w:ilvl w:val="0"/>
        <w:numId w:val="3"/>
      </w:numPr>
      <w:snapToGrid w:val="0"/>
      <w:spacing w:before="360" w:beforeLines="150" w:after="360" w:afterLines="150" w:line="300" w:lineRule="auto"/>
    </w:pPr>
    <w:rPr>
      <w:rFonts w:hAnsi="宋体"/>
      <w:color w:val="FF0000"/>
      <w:sz w:val="32"/>
      <w:szCs w:val="32"/>
    </w:rPr>
  </w:style>
  <w:style w:type="paragraph" w:customStyle="1" w:styleId="316">
    <w:name w:val="样式 样式 标题 2节 + (西文) Times New Roman (中文) 宋体 四号 段前: 0.5 行 段后: 0......"/>
    <w:basedOn w:val="1"/>
    <w:qFormat/>
    <w:uiPriority w:val="0"/>
    <w:pPr>
      <w:keepNext/>
      <w:keepLines/>
      <w:numPr>
        <w:ilvl w:val="1"/>
        <w:numId w:val="3"/>
      </w:numPr>
      <w:adjustRightInd w:val="0"/>
      <w:snapToGrid w:val="0"/>
      <w:spacing w:before="216" w:beforeLines="90" w:after="216" w:afterLines="90" w:line="300" w:lineRule="auto"/>
      <w:outlineLvl w:val="1"/>
    </w:pPr>
    <w:rPr>
      <w:rFonts w:hAnsi="宋体"/>
      <w:b/>
      <w:bCs/>
      <w:color w:val="FF0000"/>
      <w:sz w:val="28"/>
      <w:szCs w:val="28"/>
    </w:rPr>
  </w:style>
  <w:style w:type="paragraph" w:customStyle="1" w:styleId="317">
    <w:name w:val="样式 标题 3 + (西文) Times New Roman (中文) 宋体 小四 加粗"/>
    <w:basedOn w:val="6"/>
    <w:qFormat/>
    <w:uiPriority w:val="0"/>
    <w:pPr>
      <w:numPr>
        <w:ilvl w:val="2"/>
        <w:numId w:val="3"/>
      </w:numPr>
      <w:adjustRightInd w:val="0"/>
      <w:snapToGrid w:val="0"/>
      <w:spacing w:before="120" w:beforeLines="50" w:after="120" w:afterLines="50" w:line="360" w:lineRule="auto"/>
      <w:jc w:val="left"/>
    </w:pPr>
    <w:rPr>
      <w:rFonts w:hAnsi="宋体"/>
      <w:snapToGrid w:val="0"/>
      <w:color w:val="FF0000"/>
      <w:sz w:val="24"/>
      <w:szCs w:val="24"/>
    </w:rPr>
  </w:style>
  <w:style w:type="paragraph" w:customStyle="1" w:styleId="318">
    <w:name w:val="样式 标题 4 + (西文) Times New Roman (中文) 宋体 小四"/>
    <w:basedOn w:val="7"/>
    <w:qFormat/>
    <w:uiPriority w:val="0"/>
    <w:pPr>
      <w:numPr>
        <w:ilvl w:val="3"/>
        <w:numId w:val="3"/>
      </w:numPr>
      <w:snapToGrid w:val="0"/>
      <w:spacing w:before="78" w:beforeLines="25" w:after="78" w:afterLines="25" w:line="360" w:lineRule="auto"/>
    </w:pPr>
    <w:rPr>
      <w:rFonts w:ascii="幼圆" w:hAnsi="Times New Roman" w:eastAsia="幼圆"/>
      <w:bCs w:val="0"/>
      <w:color w:val="0000FF"/>
      <w:sz w:val="24"/>
      <w:szCs w:val="24"/>
    </w:rPr>
  </w:style>
  <w:style w:type="paragraph" w:customStyle="1" w:styleId="319">
    <w:name w:val="表格内容1"/>
    <w:basedOn w:val="1"/>
    <w:qFormat/>
    <w:uiPriority w:val="0"/>
    <w:pPr>
      <w:adjustRightInd w:val="0"/>
      <w:snapToGrid w:val="0"/>
      <w:jc w:val="center"/>
    </w:pPr>
    <w:rPr>
      <w:snapToGrid w:val="0"/>
    </w:rPr>
  </w:style>
  <w:style w:type="paragraph" w:customStyle="1" w:styleId="320">
    <w:name w:val="表题1"/>
    <w:basedOn w:val="1"/>
    <w:link w:val="321"/>
    <w:qFormat/>
    <w:uiPriority w:val="0"/>
    <w:pPr>
      <w:adjustRightInd w:val="0"/>
      <w:snapToGrid w:val="0"/>
      <w:spacing w:line="300" w:lineRule="auto"/>
      <w:jc w:val="center"/>
      <w:textAlignment w:val="baseline"/>
    </w:pPr>
    <w:rPr>
      <w:rFonts w:ascii="Times New Roman"/>
    </w:rPr>
  </w:style>
  <w:style w:type="character" w:customStyle="1" w:styleId="321">
    <w:name w:val="表题1 Char Char"/>
    <w:link w:val="320"/>
    <w:qFormat/>
    <w:uiPriority w:val="0"/>
    <w:rPr>
      <w:snapToGrid/>
      <w:sz w:val="24"/>
    </w:rPr>
  </w:style>
  <w:style w:type="paragraph" w:customStyle="1" w:styleId="322">
    <w:name w:val="XYF1"/>
    <w:basedOn w:val="1"/>
    <w:link w:val="323"/>
    <w:qFormat/>
    <w:uiPriority w:val="0"/>
    <w:pPr>
      <w:tabs>
        <w:tab w:val="left" w:pos="1080"/>
      </w:tabs>
      <w:spacing w:line="440" w:lineRule="exact"/>
      <w:ind w:firstLine="195" w:firstLineChars="195"/>
    </w:pPr>
    <w:rPr>
      <w:rFonts w:ascii="Times New Roman"/>
      <w:kern w:val="2"/>
      <w:szCs w:val="24"/>
    </w:rPr>
  </w:style>
  <w:style w:type="character" w:customStyle="1" w:styleId="323">
    <w:name w:val="XYF1 Char"/>
    <w:link w:val="322"/>
    <w:qFormat/>
    <w:uiPriority w:val="0"/>
    <w:rPr>
      <w:kern w:val="2"/>
      <w:sz w:val="24"/>
      <w:szCs w:val="24"/>
    </w:rPr>
  </w:style>
  <w:style w:type="character" w:customStyle="1" w:styleId="324">
    <w:name w:val="正文缩进4 Char"/>
    <w:link w:val="325"/>
    <w:qFormat/>
    <w:uiPriority w:val="0"/>
    <w:rPr>
      <w:rFonts w:ascii="仿宋_GB2312" w:eastAsia="仿宋_GB2312"/>
      <w:kern w:val="2"/>
      <w:sz w:val="28"/>
      <w:lang w:val="en-US" w:eastAsia="zh-CN" w:bidi="ar-SA"/>
    </w:rPr>
  </w:style>
  <w:style w:type="paragraph" w:customStyle="1" w:styleId="325">
    <w:name w:val="正文缩进4"/>
    <w:basedOn w:val="1"/>
    <w:link w:val="324"/>
    <w:qFormat/>
    <w:uiPriority w:val="0"/>
    <w:pPr>
      <w:spacing w:line="500" w:lineRule="exact"/>
      <w:ind w:firstLine="560" w:firstLineChars="200"/>
    </w:pPr>
    <w:rPr>
      <w:rFonts w:ascii="仿宋_GB2312" w:eastAsia="仿宋_GB2312"/>
      <w:kern w:val="2"/>
      <w:sz w:val="28"/>
    </w:rPr>
  </w:style>
  <w:style w:type="paragraph" w:customStyle="1" w:styleId="326">
    <w:name w:val="表格03"/>
    <w:basedOn w:val="1"/>
    <w:qFormat/>
    <w:uiPriority w:val="0"/>
    <w:pPr>
      <w:spacing w:line="400" w:lineRule="exact"/>
      <w:jc w:val="center"/>
    </w:pPr>
    <w:rPr>
      <w:color w:val="000000"/>
    </w:rPr>
  </w:style>
  <w:style w:type="paragraph" w:customStyle="1" w:styleId="327">
    <w:name w:val="表格的文字"/>
    <w:basedOn w:val="1"/>
    <w:link w:val="328"/>
    <w:qFormat/>
    <w:uiPriority w:val="0"/>
    <w:pPr>
      <w:spacing w:line="300" w:lineRule="exact"/>
      <w:jc w:val="center"/>
    </w:pPr>
    <w:rPr>
      <w:rFonts w:ascii="Times New Roman"/>
      <w:sz w:val="20"/>
    </w:rPr>
  </w:style>
  <w:style w:type="character" w:customStyle="1" w:styleId="328">
    <w:name w:val="表格的文字 Char"/>
    <w:link w:val="327"/>
    <w:qFormat/>
    <w:uiPriority w:val="0"/>
    <w:rPr>
      <w:lang w:val="en-US" w:eastAsia="zh-CN" w:bidi="ar-SA"/>
    </w:rPr>
  </w:style>
  <w:style w:type="paragraph" w:customStyle="1" w:styleId="329">
    <w:name w:val="图框文字"/>
    <w:basedOn w:val="1"/>
    <w:qFormat/>
    <w:uiPriority w:val="0"/>
    <w:pPr>
      <w:jc w:val="center"/>
      <w:textAlignment w:val="center"/>
    </w:pPr>
  </w:style>
  <w:style w:type="table" w:customStyle="1" w:styleId="330">
    <w:name w:val="表格样式11"/>
    <w:basedOn w:val="87"/>
    <w:qFormat/>
    <w:uiPriority w:val="0"/>
    <w:rPr>
      <w:rFonts w:eastAsia="楷体_GB2312"/>
    </w:rPr>
    <w:tblPr>
      <w:tblBorders>
        <w:top w:val="single" w:color="auto" w:sz="12" w:space="0"/>
        <w:bottom w:val="single" w:color="auto" w:sz="12" w:space="0"/>
        <w:insideH w:val="single" w:color="auto" w:sz="2" w:space="0"/>
        <w:insideV w:val="single" w:color="auto" w:sz="2" w:space="0"/>
      </w:tblBorders>
    </w:tblPr>
  </w:style>
  <w:style w:type="paragraph" w:customStyle="1" w:styleId="331">
    <w:name w:val="表内字体"/>
    <w:basedOn w:val="1"/>
    <w:qFormat/>
    <w:uiPriority w:val="0"/>
    <w:pPr>
      <w:jc w:val="center"/>
    </w:pPr>
    <w:rPr>
      <w:rFonts w:hAnsi="宋体"/>
    </w:rPr>
  </w:style>
  <w:style w:type="character" w:customStyle="1" w:styleId="332">
    <w:name w:val="style6"/>
    <w:qFormat/>
    <w:uiPriority w:val="0"/>
  </w:style>
  <w:style w:type="paragraph" w:customStyle="1" w:styleId="333">
    <w:name w:val="样式4"/>
    <w:basedOn w:val="35"/>
    <w:qFormat/>
    <w:uiPriority w:val="0"/>
    <w:pPr>
      <w:spacing w:after="0"/>
      <w:ind w:firstLine="560"/>
    </w:pPr>
    <w:rPr>
      <w:rFonts w:ascii="宋体" w:hAnsi="宋体"/>
      <w:color w:val="000000"/>
      <w:kern w:val="0"/>
      <w:sz w:val="28"/>
      <w:szCs w:val="20"/>
    </w:rPr>
  </w:style>
  <w:style w:type="paragraph" w:customStyle="1" w:styleId="334">
    <w:name w:val="文本居中"/>
    <w:basedOn w:val="1"/>
    <w:qFormat/>
    <w:uiPriority w:val="0"/>
    <w:pPr>
      <w:adjustRightInd w:val="0"/>
      <w:spacing w:line="360" w:lineRule="auto"/>
      <w:jc w:val="center"/>
    </w:pPr>
    <w:rPr>
      <w:sz w:val="28"/>
    </w:rPr>
  </w:style>
  <w:style w:type="paragraph" w:customStyle="1" w:styleId="335">
    <w:name w:val="样式10"/>
    <w:basedOn w:val="170"/>
    <w:qFormat/>
    <w:uiPriority w:val="0"/>
    <w:pPr>
      <w:adjustRightInd w:val="0"/>
      <w:textAlignment w:val="baseline"/>
    </w:pPr>
    <w:rPr>
      <w:rFonts w:hAnsi="宋体"/>
      <w:color w:val="FF0000"/>
      <w:szCs w:val="20"/>
    </w:rPr>
  </w:style>
  <w:style w:type="paragraph" w:customStyle="1" w:styleId="336">
    <w:name w:val="样式 标题 1 + 两端对齐"/>
    <w:basedOn w:val="4"/>
    <w:qFormat/>
    <w:uiPriority w:val="0"/>
    <w:pPr>
      <w:keepNext w:val="0"/>
      <w:keepLines w:val="0"/>
      <w:pageBreakBefore/>
      <w:widowControl/>
      <w:tabs>
        <w:tab w:val="left" w:pos="420"/>
      </w:tabs>
      <w:adjustRightInd w:val="0"/>
      <w:snapToGrid w:val="0"/>
      <w:spacing w:before="0" w:after="0" w:line="300" w:lineRule="auto"/>
      <w:jc w:val="center"/>
    </w:pPr>
    <w:rPr>
      <w:rFonts w:ascii="仿宋_GB2312" w:eastAsia="仿宋_GB2312"/>
      <w:b w:val="0"/>
      <w:bCs w:val="0"/>
      <w:snapToGrid w:val="0"/>
      <w:kern w:val="0"/>
      <w:sz w:val="32"/>
      <w:szCs w:val="20"/>
    </w:rPr>
  </w:style>
  <w:style w:type="paragraph" w:customStyle="1" w:styleId="337">
    <w:name w:val="表头文字"/>
    <w:basedOn w:val="1"/>
    <w:qFormat/>
    <w:uiPriority w:val="0"/>
    <w:pPr>
      <w:spacing w:line="360" w:lineRule="auto"/>
      <w:jc w:val="center"/>
    </w:pPr>
    <w:rPr>
      <w:rFonts w:eastAsia="楷体_GB2312"/>
      <w:b/>
    </w:rPr>
  </w:style>
  <w:style w:type="paragraph" w:customStyle="1" w:styleId="338">
    <w:name w:val="正文文本缩进1"/>
    <w:basedOn w:val="1"/>
    <w:qFormat/>
    <w:uiPriority w:val="0"/>
    <w:pPr>
      <w:adjustRightInd w:val="0"/>
      <w:spacing w:after="120" w:line="360" w:lineRule="auto"/>
      <w:ind w:left="420" w:leftChars="200" w:firstLine="200" w:firstLineChars="200"/>
      <w:textAlignment w:val="baseline"/>
    </w:pPr>
  </w:style>
  <w:style w:type="paragraph" w:customStyle="1" w:styleId="339">
    <w:name w:val="表字"/>
    <w:basedOn w:val="1"/>
    <w:qFormat/>
    <w:uiPriority w:val="0"/>
    <w:pPr>
      <w:jc w:val="center"/>
    </w:pPr>
  </w:style>
  <w:style w:type="paragraph" w:customStyle="1" w:styleId="340">
    <w:name w:val="正文缩进1"/>
    <w:basedOn w:val="1"/>
    <w:qFormat/>
    <w:uiPriority w:val="0"/>
    <w:pPr>
      <w:adjustRightInd w:val="0"/>
      <w:ind w:firstLine="420" w:firstLineChars="200"/>
      <w:textAlignment w:val="baseline"/>
    </w:pPr>
    <w:rPr>
      <w:rFonts w:hint="eastAsia" w:hAnsi="宋体"/>
    </w:rPr>
  </w:style>
  <w:style w:type="paragraph" w:customStyle="1" w:styleId="341">
    <w:name w:val="五号表格"/>
    <w:next w:val="1"/>
    <w:qFormat/>
    <w:uiPriority w:val="0"/>
    <w:rPr>
      <w:rFonts w:ascii="宋体" w:hAnsi="Times New Roman" w:eastAsia="宋体" w:cs="Times New Roman"/>
      <w:sz w:val="21"/>
      <w:lang w:val="en-US" w:eastAsia="zh-CN" w:bidi="ar-SA"/>
    </w:rPr>
  </w:style>
  <w:style w:type="paragraph" w:customStyle="1" w:styleId="342">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sz w:val="28"/>
    </w:rPr>
  </w:style>
  <w:style w:type="paragraph" w:customStyle="1" w:styleId="343">
    <w:name w:val="正文居中"/>
    <w:basedOn w:val="59"/>
    <w:qFormat/>
    <w:uiPriority w:val="0"/>
    <w:pPr>
      <w:adjustRightInd w:val="0"/>
      <w:spacing w:before="0" w:after="0" w:line="360" w:lineRule="auto"/>
    </w:pPr>
    <w:rPr>
      <w:rFonts w:hAnsi="Arial"/>
      <w:b w:val="0"/>
      <w:bCs w:val="0"/>
      <w:sz w:val="28"/>
    </w:rPr>
  </w:style>
  <w:style w:type="paragraph" w:customStyle="1" w:styleId="344">
    <w:name w:val="五号字表格"/>
    <w:basedOn w:val="245"/>
    <w:qFormat/>
    <w:uiPriority w:val="0"/>
    <w:pPr>
      <w:adjustRightInd w:val="0"/>
      <w:spacing w:line="240" w:lineRule="auto"/>
      <w:textAlignment w:val="baseline"/>
    </w:pPr>
    <w:rPr>
      <w:kern w:val="0"/>
      <w:sz w:val="21"/>
    </w:rPr>
  </w:style>
  <w:style w:type="paragraph" w:customStyle="1" w:styleId="345">
    <w:name w:val="表1"/>
    <w:basedOn w:val="1"/>
    <w:qFormat/>
    <w:uiPriority w:val="0"/>
    <w:pPr>
      <w:jc w:val="center"/>
    </w:pPr>
    <w:rPr>
      <w:rFonts w:hAnsi="宋体"/>
      <w:color w:val="00000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hint="eastAsia" w:hAnsi="宋体"/>
      <w:color w:val="000000"/>
      <w:sz w:val="28"/>
    </w:rPr>
  </w:style>
  <w:style w:type="paragraph" w:customStyle="1" w:styleId="347">
    <w:name w:val="注"/>
    <w:basedOn w:val="1"/>
    <w:next w:val="1"/>
    <w:qFormat/>
    <w:uiPriority w:val="0"/>
    <w:pPr>
      <w:widowControl/>
      <w:spacing w:before="60" w:after="60" w:line="312" w:lineRule="auto"/>
    </w:pPr>
    <w:rPr>
      <w:rFonts w:eastAsia="黑体"/>
    </w:rPr>
  </w:style>
  <w:style w:type="paragraph" w:customStyle="1" w:styleId="348">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rPr>
  </w:style>
  <w:style w:type="paragraph" w:customStyle="1" w:styleId="349">
    <w:name w:val="默认段落字体 Para Char Char Char Char Char Char Char Char Char Char Char Char Char"/>
    <w:basedOn w:val="1"/>
    <w:qFormat/>
    <w:uiPriority w:val="0"/>
  </w:style>
  <w:style w:type="paragraph" w:customStyle="1" w:styleId="350">
    <w:name w:val="表格文字居中 Char"/>
    <w:basedOn w:val="86"/>
    <w:qFormat/>
    <w:uiPriority w:val="0"/>
    <w:pPr>
      <w:keepNext/>
      <w:tabs>
        <w:tab w:val="left" w:pos="628"/>
        <w:tab w:val="left" w:pos="1727"/>
        <w:tab w:val="left" w:pos="1884"/>
        <w:tab w:val="left" w:pos="2660"/>
        <w:tab w:val="left" w:pos="5460"/>
      </w:tabs>
      <w:spacing w:before="100" w:beforeAutospacing="1" w:after="0" w:line="240" w:lineRule="auto"/>
      <w:ind w:firstLine="0" w:firstLineChars="0"/>
      <w:jc w:val="center"/>
    </w:pPr>
    <w:rPr>
      <w:rFonts w:ascii="宋体" w:eastAsia="宋体"/>
      <w:color w:val="000000"/>
      <w:kern w:val="0"/>
      <w:sz w:val="24"/>
      <w:szCs w:val="20"/>
    </w:rPr>
  </w:style>
  <w:style w:type="paragraph" w:customStyle="1" w:styleId="351">
    <w:name w:val="p6"/>
    <w:basedOn w:val="1"/>
    <w:qFormat/>
    <w:uiPriority w:val="0"/>
    <w:pPr>
      <w:tabs>
        <w:tab w:val="left" w:pos="4720"/>
      </w:tabs>
      <w:spacing w:line="240" w:lineRule="atLeast"/>
      <w:ind w:left="3280"/>
      <w:jc w:val="left"/>
    </w:pPr>
    <w:rPr>
      <w:rFonts w:ascii="Arial" w:hAnsi="Arial"/>
      <w:snapToGrid w:val="0"/>
      <w:lang w:eastAsia="en-US"/>
    </w:rPr>
  </w:style>
  <w:style w:type="paragraph" w:customStyle="1" w:styleId="352">
    <w:name w:val="文本框文字格式"/>
    <w:basedOn w:val="1"/>
    <w:qFormat/>
    <w:uiPriority w:val="0"/>
    <w:pPr>
      <w:jc w:val="center"/>
    </w:pPr>
  </w:style>
  <w:style w:type="paragraph" w:customStyle="1" w:styleId="353">
    <w:name w:val="居中正文"/>
    <w:basedOn w:val="86"/>
    <w:qFormat/>
    <w:uiPriority w:val="0"/>
    <w:pPr>
      <w:adjustRightInd w:val="0"/>
      <w:spacing w:before="120" w:after="0" w:line="360" w:lineRule="auto"/>
      <w:ind w:firstLine="0" w:firstLineChars="0"/>
      <w:jc w:val="center"/>
    </w:pPr>
    <w:rPr>
      <w:rFonts w:ascii="宋体" w:eastAsia="宋体"/>
      <w:kern w:val="28"/>
      <w:sz w:val="24"/>
    </w:rPr>
  </w:style>
  <w:style w:type="paragraph" w:customStyle="1" w:styleId="35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355">
    <w:name w:val="一级条标题"/>
    <w:basedOn w:val="4"/>
    <w:next w:val="1"/>
    <w:qFormat/>
    <w:uiPriority w:val="0"/>
    <w:pPr>
      <w:keepNext w:val="0"/>
      <w:keepLines w:val="0"/>
      <w:widowControl/>
      <w:spacing w:before="0" w:after="0" w:line="240" w:lineRule="auto"/>
      <w:outlineLvl w:val="2"/>
    </w:pPr>
    <w:rPr>
      <w:rFonts w:ascii="黑体" w:eastAsia="黑体"/>
      <w:b w:val="0"/>
      <w:bCs w:val="0"/>
      <w:kern w:val="0"/>
      <w:sz w:val="21"/>
      <w:szCs w:val="21"/>
    </w:rPr>
  </w:style>
  <w:style w:type="paragraph" w:customStyle="1" w:styleId="356">
    <w:name w:val="二级条标题"/>
    <w:basedOn w:val="355"/>
    <w:next w:val="1"/>
    <w:qFormat/>
    <w:uiPriority w:val="0"/>
    <w:pPr>
      <w:ind w:left="864" w:hanging="864"/>
      <w:outlineLvl w:val="3"/>
    </w:pPr>
  </w:style>
  <w:style w:type="paragraph" w:customStyle="1" w:styleId="357">
    <w:name w:val="五级条标题"/>
    <w:basedOn w:val="1"/>
    <w:next w:val="1"/>
    <w:qFormat/>
    <w:uiPriority w:val="0"/>
    <w:pPr>
      <w:widowControl/>
      <w:tabs>
        <w:tab w:val="left" w:pos="2040"/>
      </w:tabs>
      <w:ind w:left="2040" w:leftChars="800" w:hanging="360" w:hangingChars="200"/>
      <w:outlineLvl w:val="6"/>
    </w:pPr>
    <w:rPr>
      <w:rFonts w:ascii="黑体" w:eastAsia="黑体"/>
      <w:szCs w:val="21"/>
    </w:rPr>
  </w:style>
  <w:style w:type="table" w:customStyle="1" w:styleId="358">
    <w:name w:val="网格型1"/>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
    <w:name w:val="网格型2"/>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
    <w:name w:val="网格型3"/>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
    <w:name w:val="网格型4"/>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2">
    <w:name w:val="main-11"/>
    <w:qFormat/>
    <w:uiPriority w:val="0"/>
  </w:style>
  <w:style w:type="character" w:customStyle="1" w:styleId="363">
    <w:name w:val="px141"/>
    <w:qFormat/>
    <w:uiPriority w:val="0"/>
    <w:rPr>
      <w:rFonts w:hint="default"/>
      <w:sz w:val="21"/>
      <w:szCs w:val="21"/>
    </w:rPr>
  </w:style>
  <w:style w:type="paragraph" w:customStyle="1" w:styleId="364">
    <w:name w:val="5 Char"/>
    <w:basedOn w:val="1"/>
    <w:qFormat/>
    <w:uiPriority w:val="0"/>
  </w:style>
  <w:style w:type="character" w:customStyle="1" w:styleId="365">
    <w:name w:val="big1"/>
    <w:qFormat/>
    <w:uiPriority w:val="0"/>
    <w:rPr>
      <w:rFonts w:hint="default"/>
      <w:sz w:val="28"/>
      <w:szCs w:val="28"/>
    </w:rPr>
  </w:style>
  <w:style w:type="paragraph" w:customStyle="1" w:styleId="366">
    <w:name w:val="小3黑中"/>
    <w:basedOn w:val="8"/>
    <w:qFormat/>
    <w:uiPriority w:val="0"/>
    <w:pPr>
      <w:spacing w:before="0" w:after="0" w:line="240" w:lineRule="auto"/>
      <w:jc w:val="center"/>
      <w:outlineLvl w:val="9"/>
    </w:pPr>
    <w:rPr>
      <w:rFonts w:hAnsi="宋体"/>
      <w:b w:val="0"/>
      <w:sz w:val="24"/>
      <w:szCs w:val="24"/>
    </w:rPr>
  </w:style>
  <w:style w:type="table" w:customStyle="1" w:styleId="367">
    <w:name w:val="喜欢的1"/>
    <w:basedOn w:val="91"/>
    <w:qFormat/>
    <w:uiPriority w:val="0"/>
    <w:tblPr>
      <w:tblBorders>
        <w:insideH w:val="single" w:color="008000" w:sz="4" w:space="0"/>
        <w:insideV w:val="single" w:color="008000" w:sz="4" w:space="0"/>
      </w:tblBorders>
    </w:tblPr>
    <w:tcPr>
      <w:shd w:val="clear" w:color="auto" w:fill="FFFFFF"/>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8">
    <w:name w:val="网格型 11"/>
    <w:basedOn w:val="87"/>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9">
    <w:name w:val="网格型 111"/>
    <w:basedOn w:val="8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0">
    <w:name w:val="最普通1"/>
    <w:basedOn w:val="92"/>
    <w:qFormat/>
    <w:uiPriority w:val="0"/>
    <w:pPr>
      <w:spacing w:line="500" w:lineRule="exact"/>
    </w:pPr>
    <w:tcPr>
      <w:shd w:val="clear" w:color="auto" w:fill="auto"/>
      <w:vAlign w:val="center"/>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371">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sz w:val="22"/>
      <w:lang w:val="en-GB"/>
    </w:rPr>
  </w:style>
  <w:style w:type="paragraph" w:customStyle="1" w:styleId="372">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sz w:val="36"/>
      <w:lang w:val="en-GB"/>
    </w:rPr>
  </w:style>
  <w:style w:type="paragraph" w:customStyle="1" w:styleId="373">
    <w:name w:val="CoverClientName"/>
    <w:basedOn w:val="1"/>
    <w:next w:val="1"/>
    <w:qFormat/>
    <w:uiPriority w:val="0"/>
    <w:pPr>
      <w:widowControl/>
      <w:overflowPunct w:val="0"/>
      <w:autoSpaceDE w:val="0"/>
      <w:autoSpaceDN w:val="0"/>
      <w:adjustRightInd w:val="0"/>
      <w:spacing w:after="480" w:line="264" w:lineRule="auto"/>
      <w:jc w:val="left"/>
      <w:textAlignment w:val="baseline"/>
    </w:pPr>
    <w:rPr>
      <w:rFonts w:ascii="Book Antiqua" w:hAnsi="Book Antiqua"/>
      <w:sz w:val="22"/>
      <w:lang w:val="en-GB"/>
    </w:rPr>
  </w:style>
  <w:style w:type="paragraph" w:customStyle="1" w:styleId="374">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sz w:val="22"/>
      <w:lang w:val="en-GB"/>
    </w:rPr>
  </w:style>
  <w:style w:type="paragraph" w:customStyle="1" w:styleId="375">
    <w:name w:val="CoverMainTitle"/>
    <w:basedOn w:val="1"/>
    <w:next w:val="1"/>
    <w:qFormat/>
    <w:uiPriority w:val="0"/>
    <w:pPr>
      <w:widowControl/>
      <w:overflowPunct w:val="0"/>
      <w:autoSpaceDE w:val="0"/>
      <w:autoSpaceDN w:val="0"/>
      <w:adjustRightInd w:val="0"/>
      <w:spacing w:before="480" w:line="264" w:lineRule="auto"/>
      <w:jc w:val="left"/>
      <w:textAlignment w:val="baseline"/>
    </w:pPr>
    <w:rPr>
      <w:rFonts w:ascii="Book Antiqua" w:hAnsi="Book Antiqua"/>
      <w:sz w:val="28"/>
      <w:lang w:val="en-GB"/>
    </w:rPr>
  </w:style>
  <w:style w:type="paragraph" w:customStyle="1" w:styleId="376">
    <w:name w:val="CoverReverseHeader"/>
    <w:basedOn w:val="1"/>
    <w:next w:val="373"/>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lang w:val="en-GB"/>
    </w:rPr>
  </w:style>
  <w:style w:type="paragraph" w:customStyle="1" w:styleId="377">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sz w:val="18"/>
      <w:lang w:val="en-GB"/>
    </w:rPr>
  </w:style>
  <w:style w:type="paragraph" w:customStyle="1" w:styleId="378">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i/>
      <w:sz w:val="22"/>
      <w:lang w:val="en-GB"/>
    </w:rPr>
  </w:style>
  <w:style w:type="paragraph" w:customStyle="1" w:styleId="379">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sz w:val="22"/>
      <w:lang w:val="en-GB"/>
    </w:rPr>
  </w:style>
  <w:style w:type="paragraph" w:customStyle="1" w:styleId="380">
    <w:name w:val="OtherHeader"/>
    <w:basedOn w:val="57"/>
    <w:next w:val="1"/>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kern w:val="0"/>
      <w:sz w:val="22"/>
      <w:szCs w:val="20"/>
      <w:lang w:val="en-GB"/>
    </w:rPr>
  </w:style>
  <w:style w:type="paragraph" w:customStyle="1" w:styleId="381">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sz w:val="18"/>
      <w:lang w:val="en-GB"/>
    </w:rPr>
  </w:style>
  <w:style w:type="paragraph" w:customStyle="1" w:styleId="382">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i/>
      <w:sz w:val="22"/>
      <w:lang w:val="en-GB"/>
    </w:rPr>
  </w:style>
  <w:style w:type="character" w:customStyle="1" w:styleId="383">
    <w:name w:val="XFootNote"/>
    <w:qFormat/>
    <w:uiPriority w:val="0"/>
    <w:rPr>
      <w:rFonts w:ascii="Book Antiqua" w:hAnsi="Book Antiqua"/>
      <w:position w:val="6"/>
      <w:sz w:val="14"/>
      <w:vertAlign w:val="baseline"/>
    </w:rPr>
  </w:style>
  <w:style w:type="character" w:customStyle="1" w:styleId="384">
    <w:name w:val="XFootNoteText"/>
    <w:qFormat/>
    <w:uiPriority w:val="0"/>
    <w:rPr>
      <w:rFonts w:ascii="Book Antiqua" w:hAnsi="Book Antiqua"/>
      <w:position w:val="0"/>
      <w:sz w:val="14"/>
      <w:vertAlign w:val="baseline"/>
    </w:rPr>
  </w:style>
  <w:style w:type="paragraph" w:customStyle="1" w:styleId="385">
    <w:name w:val="ERMBullets"/>
    <w:basedOn w:val="1"/>
    <w:qFormat/>
    <w:uiPriority w:val="0"/>
    <w:pPr>
      <w:widowControl/>
      <w:tabs>
        <w:tab w:val="left" w:pos="432"/>
      </w:tabs>
      <w:overflowPunct w:val="0"/>
      <w:autoSpaceDE w:val="0"/>
      <w:autoSpaceDN w:val="0"/>
      <w:adjustRightInd w:val="0"/>
      <w:spacing w:line="264" w:lineRule="auto"/>
      <w:ind w:left="432" w:hanging="432"/>
      <w:jc w:val="left"/>
      <w:textAlignment w:val="baseline"/>
    </w:pPr>
    <w:rPr>
      <w:rFonts w:ascii="Book Antiqua" w:hAnsi="Book Antiqua"/>
      <w:sz w:val="22"/>
      <w:lang w:val="en-GB"/>
    </w:rPr>
  </w:style>
  <w:style w:type="paragraph" w:customStyle="1" w:styleId="386">
    <w:name w:val="Style Heading 3§1.1.1.H3标题 3zym条标题1.1.1标题 3 Charh3level_3PI...1"/>
    <w:basedOn w:val="6"/>
    <w:qFormat/>
    <w:uiPriority w:val="0"/>
    <w:pPr>
      <w:widowControl/>
      <w:numPr>
        <w:ilvl w:val="0"/>
        <w:numId w:val="4"/>
      </w:numPr>
      <w:tabs>
        <w:tab w:val="left" w:pos="-1418"/>
        <w:tab w:val="left" w:pos="0"/>
        <w:tab w:val="clear" w:pos="360"/>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i/>
      <w:iCs/>
      <w:kern w:val="28"/>
      <w:sz w:val="24"/>
      <w:szCs w:val="24"/>
    </w:rPr>
  </w:style>
  <w:style w:type="paragraph" w:customStyle="1" w:styleId="387">
    <w:name w:val="Style Heading 2§1.1§1.1.H21标题 2 Char Char节标题 1.1（一）Underrub...3"/>
    <w:basedOn w:val="5"/>
    <w:qFormat/>
    <w:uiPriority w:val="0"/>
    <w:pPr>
      <w:widowControl/>
      <w:tabs>
        <w:tab w:val="left" w:pos="-1418"/>
        <w:tab w:val="left" w:pos="432"/>
        <w:tab w:val="left" w:pos="780"/>
        <w:tab w:val="left" w:pos="2835"/>
        <w:tab w:val="clear" w:pos="426"/>
      </w:tabs>
      <w:overflowPunct w:val="0"/>
      <w:autoSpaceDE w:val="0"/>
      <w:autoSpaceDN w:val="0"/>
      <w:adjustRightInd w:val="0"/>
      <w:spacing w:before="0" w:beforeLines="0" w:after="260" w:line="264" w:lineRule="auto"/>
      <w:ind w:left="780" w:leftChars="200" w:hanging="1411" w:hangingChars="200"/>
      <w:jc w:val="left"/>
      <w:textAlignment w:val="baseline"/>
    </w:pPr>
    <w:rPr>
      <w:rFonts w:ascii="Book Antiqua" w:hAnsi="Book Antiqua" w:eastAsia="宋体"/>
      <w:i/>
      <w:iCs/>
      <w:smallCaps/>
      <w:color w:val="auto"/>
      <w:kern w:val="28"/>
      <w:sz w:val="24"/>
      <w:szCs w:val="24"/>
    </w:rPr>
  </w:style>
  <w:style w:type="paragraph" w:customStyle="1" w:styleId="388">
    <w:name w:val="报告1"/>
    <w:basedOn w:val="290"/>
    <w:qFormat/>
    <w:uiPriority w:val="0"/>
    <w:pPr>
      <w:ind w:firstLine="0"/>
      <w:textAlignment w:val="baseline"/>
    </w:pPr>
    <w:rPr>
      <w:rFonts w:ascii="Times New Roman" w:hAnsi="Times New Roman"/>
      <w:kern w:val="24"/>
    </w:rPr>
  </w:style>
  <w:style w:type="paragraph" w:customStyle="1" w:styleId="389">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b/>
      <w:bCs/>
      <w:sz w:val="20"/>
      <w:lang w:eastAsia="en-US"/>
    </w:rPr>
  </w:style>
  <w:style w:type="paragraph" w:customStyle="1" w:styleId="390">
    <w:name w:val="河石管道 表头"/>
    <w:qFormat/>
    <w:uiPriority w:val="0"/>
    <w:pPr>
      <w:jc w:val="center"/>
    </w:pPr>
    <w:rPr>
      <w:rFonts w:ascii="Times New Roman" w:hAnsi="Times New Roman" w:eastAsia="宋体" w:cs="Times New Roman"/>
      <w:b/>
      <w:bCs/>
      <w:sz w:val="18"/>
      <w:lang w:val="en-US" w:eastAsia="zh-CN" w:bidi="ar-SA"/>
    </w:rPr>
  </w:style>
  <w:style w:type="paragraph" w:customStyle="1" w:styleId="391">
    <w:name w:val="样式 样式 左侧:  2 字符 + 首行缩进:  2 字符 Char"/>
    <w:basedOn w:val="1"/>
    <w:qFormat/>
    <w:uiPriority w:val="0"/>
    <w:pPr>
      <w:tabs>
        <w:tab w:val="left" w:pos="540"/>
      </w:tabs>
      <w:spacing w:line="360" w:lineRule="auto"/>
      <w:ind w:firstLine="478" w:firstLineChars="199"/>
    </w:pPr>
    <w:rPr>
      <w:rFonts w:hAnsi="宋体"/>
      <w:bCs/>
    </w:rPr>
  </w:style>
  <w:style w:type="paragraph" w:customStyle="1" w:styleId="392">
    <w:name w:val="Erm bullut"/>
    <w:basedOn w:val="1"/>
    <w:qFormat/>
    <w:uiPriority w:val="0"/>
    <w:pPr>
      <w:widowControl/>
      <w:tabs>
        <w:tab w:val="left" w:pos="840"/>
      </w:tabs>
      <w:overflowPunct w:val="0"/>
      <w:autoSpaceDE w:val="0"/>
      <w:autoSpaceDN w:val="0"/>
      <w:adjustRightInd w:val="0"/>
      <w:spacing w:line="264" w:lineRule="auto"/>
      <w:ind w:left="840" w:hanging="420"/>
      <w:jc w:val="left"/>
      <w:textAlignment w:val="baseline"/>
    </w:pPr>
    <w:rPr>
      <w:rFonts w:ascii="Book Antiqua" w:hAnsi="Book Antiqua"/>
      <w:sz w:val="22"/>
      <w:lang w:val="en-GB"/>
    </w:rPr>
  </w:style>
  <w:style w:type="character" w:customStyle="1" w:styleId="393">
    <w:name w:val="报告表正文 Char"/>
    <w:qFormat/>
    <w:locked/>
    <w:uiPriority w:val="0"/>
    <w:rPr>
      <w:rFonts w:ascii="宋体" w:hAnsi="宋体" w:eastAsia="宋体"/>
      <w:sz w:val="24"/>
      <w:lang w:val="en-US" w:eastAsia="zh-CN" w:bidi="ar-SA"/>
    </w:rPr>
  </w:style>
  <w:style w:type="paragraph" w:customStyle="1" w:styleId="394">
    <w:name w:val="报告表正文"/>
    <w:basedOn w:val="1"/>
    <w:link w:val="395"/>
    <w:qFormat/>
    <w:uiPriority w:val="0"/>
    <w:pPr>
      <w:numPr>
        <w:ilvl w:val="1"/>
        <w:numId w:val="5"/>
      </w:numPr>
      <w:tabs>
        <w:tab w:val="clear" w:pos="1437"/>
      </w:tabs>
      <w:adjustRightInd w:val="0"/>
      <w:spacing w:line="312" w:lineRule="auto"/>
      <w:ind w:left="113" w:right="113" w:firstLine="482"/>
    </w:pPr>
    <w:rPr>
      <w:rFonts w:hAnsi="宋体"/>
    </w:rPr>
  </w:style>
  <w:style w:type="character" w:customStyle="1" w:styleId="395">
    <w:name w:val="报告表正文 Char Char"/>
    <w:link w:val="394"/>
    <w:qFormat/>
    <w:uiPriority w:val="0"/>
    <w:rPr>
      <w:rFonts w:ascii="宋体" w:hAnsi="宋体"/>
      <w:sz w:val="24"/>
    </w:rPr>
  </w:style>
  <w:style w:type="paragraph" w:customStyle="1" w:styleId="396">
    <w:name w:val="ScopeBody"/>
    <w:basedOn w:val="1"/>
    <w:qFormat/>
    <w:uiPriority w:val="0"/>
    <w:pPr>
      <w:tabs>
        <w:tab w:val="left" w:pos="360"/>
        <w:tab w:val="left" w:pos="720"/>
        <w:tab w:val="left" w:pos="1080"/>
        <w:tab w:val="left" w:pos="1440"/>
        <w:tab w:val="left" w:pos="1800"/>
        <w:tab w:val="left" w:pos="2160"/>
        <w:tab w:val="left" w:pos="2520"/>
        <w:tab w:val="left" w:pos="2880"/>
      </w:tabs>
      <w:suppressAutoHyphens/>
      <w:spacing w:after="120"/>
      <w:ind w:left="864"/>
      <w:jc w:val="left"/>
    </w:pPr>
    <w:rPr>
      <w:snapToGrid w:val="0"/>
      <w:sz w:val="22"/>
      <w:lang w:eastAsia="en-US"/>
    </w:rPr>
  </w:style>
  <w:style w:type="paragraph" w:customStyle="1" w:styleId="397">
    <w:name w:val="Body Text Indent1"/>
    <w:basedOn w:val="1"/>
    <w:qFormat/>
    <w:uiPriority w:val="0"/>
    <w:pPr>
      <w:spacing w:after="120" w:line="360" w:lineRule="auto"/>
      <w:ind w:left="420" w:leftChars="200" w:firstLine="200" w:firstLineChars="200"/>
    </w:pPr>
  </w:style>
  <w:style w:type="character" w:customStyle="1" w:styleId="398">
    <w:name w:val="纯文本2"/>
    <w:qFormat/>
    <w:uiPriority w:val="0"/>
    <w:rPr>
      <w:rFonts w:ascii="宋体" w:hAnsi="Courier New" w:eastAsia="宋体" w:cs="Courier New"/>
      <w:kern w:val="2"/>
      <w:sz w:val="21"/>
      <w:szCs w:val="21"/>
      <w:lang w:val="en-US" w:eastAsia="zh-CN" w:bidi="ar-SA"/>
    </w:rPr>
  </w:style>
  <w:style w:type="paragraph" w:customStyle="1" w:styleId="399">
    <w:name w:val="正文-使用"/>
    <w:basedOn w:val="1"/>
    <w:qFormat/>
    <w:uiPriority w:val="0"/>
    <w:pPr>
      <w:adjustRightInd w:val="0"/>
      <w:snapToGrid w:val="0"/>
      <w:spacing w:line="360" w:lineRule="auto"/>
      <w:ind w:firstLine="482"/>
    </w:pPr>
  </w:style>
  <w:style w:type="paragraph" w:customStyle="1" w:styleId="400">
    <w:name w:val="正文 + 六号"/>
    <w:basedOn w:val="1"/>
    <w:qFormat/>
    <w:uiPriority w:val="0"/>
    <w:pPr>
      <w:overflowPunct w:val="0"/>
      <w:autoSpaceDE w:val="0"/>
      <w:autoSpaceDN w:val="0"/>
      <w:adjustRightInd w:val="0"/>
      <w:spacing w:line="264" w:lineRule="auto"/>
      <w:jc w:val="distribute"/>
      <w:textAlignment w:val="baseline"/>
    </w:pPr>
    <w:rPr>
      <w:rFonts w:ascii="Book Antiqua" w:hAnsi="Book Antiqua"/>
      <w:spacing w:val="630"/>
      <w:sz w:val="15"/>
      <w:szCs w:val="15"/>
      <w:lang w:val="en-GB"/>
    </w:rPr>
  </w:style>
  <w:style w:type="paragraph" w:customStyle="1" w:styleId="401">
    <w:name w:val="表格文字（居中）"/>
    <w:basedOn w:val="1"/>
    <w:qFormat/>
    <w:uiPriority w:val="0"/>
    <w:pPr>
      <w:jc w:val="center"/>
    </w:pPr>
    <w:rPr>
      <w:szCs w:val="21"/>
    </w:rPr>
  </w:style>
  <w:style w:type="character" w:customStyle="1" w:styleId="402">
    <w:name w:val="正文1 Char1"/>
    <w:qFormat/>
    <w:uiPriority w:val="0"/>
    <w:rPr>
      <w:rFonts w:eastAsia="宋体"/>
      <w:snapToGrid w:val="0"/>
      <w:sz w:val="24"/>
      <w:szCs w:val="24"/>
      <w:lang w:val="en-US" w:eastAsia="zh-CN" w:bidi="ar-SA"/>
    </w:rPr>
  </w:style>
  <w:style w:type="paragraph" w:customStyle="1" w:styleId="403">
    <w:name w:val="Style Heading 2§1.1§1.1.H21标题 2 Char Char节标题 1.1（一）Underrub..."/>
    <w:basedOn w:val="5"/>
    <w:qFormat/>
    <w:uiPriority w:val="0"/>
    <w:pPr>
      <w:widowControl/>
      <w:numPr>
        <w:numId w:val="0"/>
      </w:numPr>
      <w:tabs>
        <w:tab w:val="left" w:pos="-1418"/>
        <w:tab w:val="left" w:pos="780"/>
        <w:tab w:val="left" w:pos="2835"/>
      </w:tabs>
      <w:overflowPunct w:val="0"/>
      <w:autoSpaceDE w:val="0"/>
      <w:autoSpaceDN w:val="0"/>
      <w:adjustRightInd w:val="0"/>
      <w:spacing w:before="0" w:beforeLines="0" w:after="260" w:line="264" w:lineRule="auto"/>
      <w:ind w:left="-1411" w:leftChars="200" w:hanging="1411" w:hangingChars="200"/>
      <w:jc w:val="left"/>
      <w:textAlignment w:val="baseline"/>
    </w:pPr>
    <w:rPr>
      <w:rFonts w:ascii="Book Antiqua" w:hAnsi="Book Antiqua" w:eastAsia="宋体"/>
      <w:i/>
      <w:iCs/>
      <w:smallCaps/>
      <w:color w:val="auto"/>
      <w:kern w:val="28"/>
      <w:sz w:val="24"/>
      <w:szCs w:val="24"/>
    </w:rPr>
  </w:style>
  <w:style w:type="paragraph" w:customStyle="1" w:styleId="404">
    <w:name w:val="Style Heading 2§1.1§1.1.H21标题 2 Char Char节标题 1.1（一）Underrub...1"/>
    <w:basedOn w:val="5"/>
    <w:qFormat/>
    <w:uiPriority w:val="0"/>
    <w:pPr>
      <w:widowControl/>
      <w:numPr>
        <w:numId w:val="0"/>
      </w:numPr>
      <w:tabs>
        <w:tab w:val="left" w:pos="-1418"/>
        <w:tab w:val="left" w:pos="780"/>
        <w:tab w:val="left" w:pos="2835"/>
      </w:tabs>
      <w:overflowPunct w:val="0"/>
      <w:autoSpaceDE w:val="0"/>
      <w:autoSpaceDN w:val="0"/>
      <w:adjustRightInd w:val="0"/>
      <w:spacing w:before="0" w:beforeLines="0" w:after="260" w:line="264" w:lineRule="auto"/>
      <w:ind w:left="780" w:leftChars="200" w:hanging="1411" w:hangingChars="200"/>
      <w:jc w:val="left"/>
      <w:textAlignment w:val="baseline"/>
    </w:pPr>
    <w:rPr>
      <w:rFonts w:ascii="Book Antiqua" w:hAnsi="Book Antiqua" w:eastAsia="宋体"/>
      <w:i/>
      <w:iCs/>
      <w:smallCaps/>
      <w:color w:val="auto"/>
      <w:kern w:val="28"/>
      <w:sz w:val="24"/>
      <w:szCs w:val="24"/>
    </w:rPr>
  </w:style>
  <w:style w:type="paragraph" w:customStyle="1" w:styleId="405">
    <w:name w:val="Style Heading 3§1.1.1.H3标题 3zym条标题1.1.1标题 3 Charh3level_3PI..."/>
    <w:basedOn w:val="6"/>
    <w:qFormat/>
    <w:uiPriority w:val="0"/>
    <w:pPr>
      <w:widowControl/>
      <w:tabs>
        <w:tab w:val="left" w:pos="-1418"/>
        <w:tab w:val="left" w:pos="0"/>
      </w:tabs>
      <w:overflowPunct w:val="0"/>
      <w:autoSpaceDE w:val="0"/>
      <w:autoSpaceDN w:val="0"/>
      <w:adjustRightInd w:val="0"/>
      <w:spacing w:before="0" w:line="264" w:lineRule="auto"/>
      <w:ind w:left="780" w:leftChars="200" w:hanging="360" w:hangingChars="200"/>
      <w:jc w:val="left"/>
      <w:textAlignment w:val="baseline"/>
    </w:pPr>
    <w:rPr>
      <w:rFonts w:ascii="Book Antiqua" w:hAnsi="Book Antiqua"/>
      <w:iCs/>
      <w:kern w:val="28"/>
      <w:sz w:val="24"/>
      <w:szCs w:val="24"/>
    </w:rPr>
  </w:style>
  <w:style w:type="paragraph" w:customStyle="1" w:styleId="406">
    <w:name w:val="Style Heading 2§1.1§1.1.H21标题 2 Char Char节标题 1.1（一）Underrub...2"/>
    <w:basedOn w:val="5"/>
    <w:qFormat/>
    <w:uiPriority w:val="0"/>
    <w:pPr>
      <w:widowControl/>
      <w:numPr>
        <w:numId w:val="0"/>
      </w:numPr>
      <w:tabs>
        <w:tab w:val="left" w:pos="-1418"/>
        <w:tab w:val="left" w:pos="780"/>
        <w:tab w:val="left" w:pos="2835"/>
      </w:tabs>
      <w:overflowPunct w:val="0"/>
      <w:autoSpaceDE w:val="0"/>
      <w:autoSpaceDN w:val="0"/>
      <w:adjustRightInd w:val="0"/>
      <w:spacing w:before="0" w:beforeLines="0" w:after="260" w:line="264" w:lineRule="auto"/>
      <w:ind w:left="780" w:leftChars="200" w:hanging="1411" w:hangingChars="200"/>
      <w:jc w:val="left"/>
      <w:textAlignment w:val="baseline"/>
    </w:pPr>
    <w:rPr>
      <w:rFonts w:ascii="Book Antiqua" w:hAnsi="Book Antiqua" w:eastAsia="宋体"/>
      <w:i/>
      <w:iCs/>
      <w:smallCaps/>
      <w:color w:val="auto"/>
      <w:kern w:val="28"/>
      <w:sz w:val="24"/>
      <w:szCs w:val="24"/>
    </w:rPr>
  </w:style>
  <w:style w:type="paragraph" w:customStyle="1" w:styleId="407">
    <w:name w:val="河石管道 表格正文"/>
    <w:qFormat/>
    <w:uiPriority w:val="0"/>
    <w:pPr>
      <w:jc w:val="center"/>
    </w:pPr>
    <w:rPr>
      <w:rFonts w:ascii="Times New Roman" w:hAnsi="Times New Roman" w:eastAsia="宋体" w:cs="Times New Roman"/>
      <w:kern w:val="2"/>
      <w:sz w:val="18"/>
      <w:lang w:val="en-US" w:eastAsia="zh-CN" w:bidi="ar-SA"/>
    </w:rPr>
  </w:style>
  <w:style w:type="paragraph" w:customStyle="1" w:styleId="408">
    <w:name w:val="表文左对齐"/>
    <w:basedOn w:val="1"/>
    <w:qFormat/>
    <w:uiPriority w:val="0"/>
    <w:pPr>
      <w:jc w:val="left"/>
    </w:pPr>
    <w:rPr>
      <w:rFonts w:eastAsia="仿宋_GB2312"/>
      <w:b/>
      <w:bCs/>
    </w:rPr>
  </w:style>
  <w:style w:type="paragraph" w:customStyle="1" w:styleId="409">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kern w:val="2"/>
      <w:sz w:val="18"/>
      <w:szCs w:val="21"/>
      <w:lang w:val="en-US" w:eastAsia="zh-CN" w:bidi="ar-SA"/>
    </w:rPr>
  </w:style>
  <w:style w:type="character" w:customStyle="1" w:styleId="410">
    <w:name w:val="Small"/>
    <w:qFormat/>
    <w:uiPriority w:val="0"/>
    <w:rPr>
      <w:rFonts w:ascii="Times New Roman" w:hAnsi="Times New Roman" w:cs="Times New Roman"/>
      <w:sz w:val="18"/>
      <w:szCs w:val="18"/>
      <w:lang w:val="en-US"/>
    </w:rPr>
  </w:style>
  <w:style w:type="paragraph" w:customStyle="1" w:styleId="411">
    <w:name w:val="bullet 1"/>
    <w:basedOn w:val="1"/>
    <w:qFormat/>
    <w:uiPriority w:val="0"/>
    <w:pPr>
      <w:widowControl/>
      <w:tabs>
        <w:tab w:val="left" w:pos="980"/>
      </w:tabs>
      <w:overflowPunct w:val="0"/>
      <w:autoSpaceDE w:val="0"/>
      <w:autoSpaceDN w:val="0"/>
      <w:adjustRightInd w:val="0"/>
      <w:spacing w:line="264" w:lineRule="auto"/>
      <w:ind w:left="980" w:hanging="420"/>
      <w:jc w:val="left"/>
      <w:textAlignment w:val="baseline"/>
    </w:pPr>
    <w:rPr>
      <w:rFonts w:ascii="Book Antiqua" w:hAnsi="Book Antiqua"/>
      <w:sz w:val="22"/>
      <w:lang w:val="en-GB"/>
    </w:rPr>
  </w:style>
  <w:style w:type="table" w:customStyle="1" w:styleId="412">
    <w:name w:val="表格样式12"/>
    <w:basedOn w:val="87"/>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Pr>
    <w:tcPr>
      <w:vAlign w:val="center"/>
    </w:tcPr>
  </w:style>
  <w:style w:type="character" w:customStyle="1" w:styleId="413">
    <w:name w:val="目录 1 Char"/>
    <w:qFormat/>
    <w:uiPriority w:val="39"/>
    <w:rPr>
      <w:rFonts w:eastAsia="宋体"/>
      <w:b/>
      <w:bCs/>
      <w:caps/>
      <w:kern w:val="2"/>
      <w:sz w:val="24"/>
      <w:szCs w:val="24"/>
      <w:lang w:val="en-US" w:eastAsia="zh-CN" w:bidi="ar-SA"/>
    </w:rPr>
  </w:style>
  <w:style w:type="paragraph" w:customStyle="1" w:styleId="414">
    <w:name w:val="小四表文左齐"/>
    <w:basedOn w:val="1"/>
    <w:qFormat/>
    <w:uiPriority w:val="0"/>
    <w:pPr>
      <w:jc w:val="center"/>
    </w:pPr>
    <w:rPr>
      <w:rFonts w:hAnsi="Arial Black"/>
    </w:rPr>
  </w:style>
  <w:style w:type="paragraph" w:customStyle="1" w:styleId="415">
    <w:name w:val="浅色网格 - 强调文字颜色 31"/>
    <w:basedOn w:val="1"/>
    <w:qFormat/>
    <w:uiPriority w:val="34"/>
    <w:pPr>
      <w:ind w:firstLine="420" w:firstLineChars="200"/>
    </w:pPr>
  </w:style>
  <w:style w:type="paragraph" w:customStyle="1" w:styleId="416">
    <w:name w:val="表格文字 -maoli"/>
    <w:basedOn w:val="1"/>
    <w:qFormat/>
    <w:uiPriority w:val="0"/>
    <w:pPr>
      <w:framePr w:wrap="around" w:vAnchor="text" w:hAnchor="text" w:y="1"/>
      <w:widowControl/>
      <w:snapToGrid w:val="0"/>
      <w:spacing w:line="320" w:lineRule="exact"/>
      <w:jc w:val="center"/>
    </w:pPr>
    <w:rPr>
      <w:rFonts w:ascii="楷体_GB2312" w:hAnsi="宋体" w:eastAsia="楷体_GB2312" w:cs="宋体"/>
    </w:rPr>
  </w:style>
  <w:style w:type="paragraph" w:customStyle="1" w:styleId="417">
    <w:name w:val="文本框文字"/>
    <w:basedOn w:val="1"/>
    <w:qFormat/>
    <w:uiPriority w:val="0"/>
    <w:pPr>
      <w:framePr w:hSpace="181" w:vSpace="181" w:wrap="around" w:vAnchor="page" w:hAnchor="page" w:xAlign="center" w:yAlign="center"/>
      <w:adjustRightInd w:val="0"/>
      <w:snapToGrid w:val="0"/>
      <w:spacing w:line="240" w:lineRule="exact"/>
      <w:jc w:val="center"/>
      <w:textAlignment w:val="center"/>
    </w:pPr>
    <w:rPr>
      <w:snapToGrid w:val="0"/>
    </w:rPr>
  </w:style>
  <w:style w:type="character" w:customStyle="1" w:styleId="418">
    <w:name w:val="grame"/>
    <w:qFormat/>
    <w:uiPriority w:val="0"/>
  </w:style>
  <w:style w:type="character" w:customStyle="1" w:styleId="419">
    <w:name w:val="Char2"/>
    <w:qFormat/>
    <w:uiPriority w:val="0"/>
    <w:rPr>
      <w:rFonts w:ascii="黑体" w:eastAsia="黑体"/>
      <w:kern w:val="44"/>
      <w:sz w:val="44"/>
      <w:lang w:val="en-US" w:eastAsia="zh-CN" w:bidi="ar-SA"/>
    </w:rPr>
  </w:style>
  <w:style w:type="paragraph" w:customStyle="1" w:styleId="420">
    <w:name w:val="font5"/>
    <w:basedOn w:val="1"/>
    <w:qFormat/>
    <w:uiPriority w:val="0"/>
    <w:pPr>
      <w:widowControl/>
      <w:spacing w:before="100" w:beforeAutospacing="1" w:after="100" w:afterAutospacing="1"/>
      <w:jc w:val="left"/>
    </w:pPr>
    <w:rPr>
      <w:rFonts w:hAnsi="宋体" w:cs="宋体"/>
      <w:sz w:val="18"/>
      <w:szCs w:val="18"/>
    </w:rPr>
  </w:style>
  <w:style w:type="paragraph" w:customStyle="1" w:styleId="421">
    <w:name w:val="font6"/>
    <w:basedOn w:val="1"/>
    <w:qFormat/>
    <w:uiPriority w:val="0"/>
    <w:pPr>
      <w:widowControl/>
      <w:spacing w:before="100" w:beforeAutospacing="1" w:after="100" w:afterAutospacing="1"/>
      <w:jc w:val="left"/>
    </w:pPr>
    <w:rPr>
      <w:rFonts w:hAnsi="宋体" w:cs="宋体"/>
      <w:sz w:val="18"/>
      <w:szCs w:val="18"/>
    </w:rPr>
  </w:style>
  <w:style w:type="paragraph" w:customStyle="1" w:styleId="422">
    <w:name w:val="font7"/>
    <w:basedOn w:val="1"/>
    <w:qFormat/>
    <w:uiPriority w:val="0"/>
    <w:pPr>
      <w:widowControl/>
      <w:spacing w:before="100" w:beforeAutospacing="1" w:after="100" w:afterAutospacing="1"/>
      <w:jc w:val="left"/>
    </w:pPr>
    <w:rPr>
      <w:color w:val="000000"/>
      <w:szCs w:val="21"/>
    </w:rPr>
  </w:style>
  <w:style w:type="paragraph" w:customStyle="1" w:styleId="423">
    <w:name w:val="font8"/>
    <w:basedOn w:val="1"/>
    <w:qFormat/>
    <w:uiPriority w:val="0"/>
    <w:pPr>
      <w:widowControl/>
      <w:spacing w:before="100" w:beforeAutospacing="1" w:after="100" w:afterAutospacing="1"/>
      <w:jc w:val="left"/>
    </w:pPr>
    <w:rPr>
      <w:rFonts w:hAnsi="宋体" w:cs="宋体"/>
      <w:color w:val="000000"/>
      <w:szCs w:val="21"/>
    </w:rPr>
  </w:style>
  <w:style w:type="paragraph" w:customStyle="1" w:styleId="424">
    <w:name w:val="font9"/>
    <w:basedOn w:val="1"/>
    <w:qFormat/>
    <w:uiPriority w:val="0"/>
    <w:pPr>
      <w:widowControl/>
      <w:spacing w:before="100" w:beforeAutospacing="1" w:after="100" w:afterAutospacing="1"/>
      <w:jc w:val="left"/>
    </w:pPr>
    <w:rPr>
      <w:rFonts w:hAnsi="宋体" w:cs="宋体"/>
      <w:color w:val="000000"/>
      <w:szCs w:val="21"/>
    </w:rPr>
  </w:style>
  <w:style w:type="paragraph" w:customStyle="1" w:styleId="425">
    <w:name w:val="font10"/>
    <w:basedOn w:val="1"/>
    <w:qFormat/>
    <w:uiPriority w:val="0"/>
    <w:pPr>
      <w:widowControl/>
      <w:spacing w:before="100" w:beforeAutospacing="1" w:after="100" w:afterAutospacing="1"/>
      <w:jc w:val="left"/>
    </w:pPr>
    <w:rPr>
      <w:rFonts w:hAnsi="宋体" w:cs="宋体"/>
      <w:color w:val="000000"/>
      <w:szCs w:val="21"/>
    </w:rPr>
  </w:style>
  <w:style w:type="paragraph" w:customStyle="1" w:styleId="426">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szCs w:val="21"/>
    </w:rPr>
  </w:style>
  <w:style w:type="paragraph" w:customStyle="1" w:styleId="42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Cs w:val="21"/>
    </w:rPr>
  </w:style>
  <w:style w:type="paragraph" w:customStyle="1" w:styleId="42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szCs w:val="21"/>
    </w:rPr>
  </w:style>
  <w:style w:type="paragraph" w:customStyle="1" w:styleId="429">
    <w:name w:val="xl66"/>
    <w:basedOn w:val="1"/>
    <w:qFormat/>
    <w:uiPriority w:val="0"/>
    <w:pPr>
      <w:widowControl/>
      <w:pBdr>
        <w:left w:val="single" w:color="auto" w:sz="4" w:space="0"/>
        <w:right w:val="single" w:color="auto" w:sz="4" w:space="0"/>
      </w:pBdr>
      <w:spacing w:before="100" w:beforeAutospacing="1" w:after="100" w:afterAutospacing="1"/>
      <w:jc w:val="center"/>
    </w:pPr>
    <w:rPr>
      <w:rFonts w:hAnsi="宋体" w:cs="宋体"/>
      <w:szCs w:val="21"/>
    </w:rPr>
  </w:style>
  <w:style w:type="paragraph" w:customStyle="1" w:styleId="430">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szCs w:val="21"/>
    </w:rPr>
  </w:style>
  <w:style w:type="paragraph" w:customStyle="1" w:styleId="431">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szCs w:val="21"/>
    </w:rPr>
  </w:style>
  <w:style w:type="paragraph" w:customStyle="1" w:styleId="432">
    <w:name w:val="xl69"/>
    <w:basedOn w:val="1"/>
    <w:qFormat/>
    <w:uiPriority w:val="0"/>
    <w:pPr>
      <w:widowControl/>
      <w:pBdr>
        <w:left w:val="single" w:color="auto" w:sz="4" w:space="0"/>
        <w:right w:val="single" w:color="auto" w:sz="4" w:space="0"/>
      </w:pBdr>
      <w:spacing w:before="100" w:beforeAutospacing="1" w:after="100" w:afterAutospacing="1"/>
      <w:jc w:val="center"/>
    </w:pPr>
    <w:rPr>
      <w:rFonts w:ascii="黑体" w:hAnsi="宋体" w:eastAsia="黑体" w:cs="宋体"/>
      <w:szCs w:val="21"/>
    </w:rPr>
  </w:style>
  <w:style w:type="paragraph" w:customStyle="1" w:styleId="433">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szCs w:val="21"/>
    </w:rPr>
  </w:style>
  <w:style w:type="paragraph" w:customStyle="1" w:styleId="43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color w:val="000000"/>
      <w:szCs w:val="21"/>
    </w:rPr>
  </w:style>
  <w:style w:type="paragraph" w:customStyle="1" w:styleId="43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Cs w:val="21"/>
    </w:rPr>
  </w:style>
  <w:style w:type="paragraph" w:customStyle="1" w:styleId="43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000000"/>
      <w:szCs w:val="21"/>
    </w:rPr>
  </w:style>
  <w:style w:type="paragraph" w:customStyle="1" w:styleId="43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hAnsi="宋体" w:cs="宋体"/>
      <w:color w:val="000000"/>
      <w:szCs w:val="21"/>
    </w:rPr>
  </w:style>
  <w:style w:type="paragraph" w:customStyle="1" w:styleId="438">
    <w:name w:val="xl75"/>
    <w:basedOn w:val="1"/>
    <w:qFormat/>
    <w:uiPriority w:val="0"/>
    <w:pPr>
      <w:widowControl/>
      <w:spacing w:before="100" w:beforeAutospacing="1" w:after="100" w:afterAutospacing="1"/>
      <w:jc w:val="center"/>
    </w:pPr>
    <w:rPr>
      <w:rFonts w:hAnsi="宋体" w:cs="宋体"/>
      <w:szCs w:val="21"/>
    </w:rPr>
  </w:style>
  <w:style w:type="paragraph" w:customStyle="1" w:styleId="439">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szCs w:val="21"/>
    </w:rPr>
  </w:style>
  <w:style w:type="paragraph" w:customStyle="1" w:styleId="440">
    <w:name w:val="Char Char Char2"/>
    <w:basedOn w:val="1"/>
    <w:qFormat/>
    <w:uiPriority w:val="0"/>
  </w:style>
  <w:style w:type="paragraph" w:customStyle="1" w:styleId="441">
    <w:name w:val="Char Char Char Char Char Char11"/>
    <w:basedOn w:val="1"/>
    <w:qFormat/>
    <w:uiPriority w:val="0"/>
    <w:rPr>
      <w:szCs w:val="21"/>
    </w:rPr>
  </w:style>
  <w:style w:type="paragraph" w:customStyle="1" w:styleId="442">
    <w:name w:val="Char4 Char Char Char Char Char Char Char Char Char Char Char Char Char Char Char Char Char1 Char Char Char Char Char Char1 Char Char Char Char Char Char Char Char Char Char Char Char Char Char Char Char11"/>
    <w:basedOn w:val="1"/>
    <w:qFormat/>
    <w:uiPriority w:val="0"/>
    <w:pPr>
      <w:spacing w:line="240" w:lineRule="exact"/>
      <w:ind w:firstLine="200" w:firstLineChars="200"/>
    </w:pPr>
    <w:rPr>
      <w:sz w:val="28"/>
      <w:szCs w:val="28"/>
    </w:rPr>
  </w:style>
  <w:style w:type="paragraph" w:customStyle="1" w:styleId="443">
    <w:name w:val="Char Char Char Char Char Char Char Char Char1 Char Char Char Char11"/>
    <w:basedOn w:val="1"/>
    <w:qFormat/>
    <w:uiPriority w:val="0"/>
    <w:rPr>
      <w:szCs w:val="21"/>
    </w:rPr>
  </w:style>
  <w:style w:type="paragraph" w:customStyle="1" w:styleId="444">
    <w:name w:val="Char Char Char Char2"/>
    <w:basedOn w:val="1"/>
    <w:qFormat/>
    <w:uiPriority w:val="0"/>
    <w:rPr>
      <w:szCs w:val="21"/>
    </w:rPr>
  </w:style>
  <w:style w:type="paragraph" w:customStyle="1" w:styleId="445">
    <w:name w:val="Char1"/>
    <w:basedOn w:val="1"/>
    <w:qFormat/>
    <w:uiPriority w:val="0"/>
    <w:pPr>
      <w:spacing w:beforeLines="50" w:afterLines="50" w:line="500" w:lineRule="exact"/>
    </w:pPr>
    <w:rPr>
      <w:sz w:val="28"/>
      <w:szCs w:val="28"/>
    </w:rPr>
  </w:style>
  <w:style w:type="paragraph" w:customStyle="1" w:styleId="446">
    <w:name w:val="Char Char Char1 Char11"/>
    <w:basedOn w:val="1"/>
    <w:qFormat/>
    <w:uiPriority w:val="0"/>
  </w:style>
  <w:style w:type="paragraph" w:customStyle="1" w:styleId="447">
    <w:name w:val="Char Char Char Char Char Char Char1"/>
    <w:basedOn w:val="1"/>
    <w:qFormat/>
    <w:uiPriority w:val="0"/>
  </w:style>
  <w:style w:type="paragraph" w:customStyle="1" w:styleId="448">
    <w:name w:val="Char Char Char1 Char Char Char Char11"/>
    <w:basedOn w:val="1"/>
    <w:qFormat/>
    <w:uiPriority w:val="0"/>
  </w:style>
  <w:style w:type="paragraph" w:customStyle="1" w:styleId="449">
    <w:name w:val="Char Char Char Char Char Char Char Char Char Char Char Char Char Char Char Char11"/>
    <w:basedOn w:val="1"/>
    <w:qFormat/>
    <w:uiPriority w:val="0"/>
  </w:style>
  <w:style w:type="paragraph" w:customStyle="1" w:styleId="450">
    <w:name w:val="Char Char Char Char Char Char Char Char Char Char1"/>
    <w:basedOn w:val="1"/>
    <w:qFormat/>
    <w:uiPriority w:val="0"/>
  </w:style>
  <w:style w:type="paragraph" w:customStyle="1" w:styleId="451">
    <w:name w:val="Char Char Char Char Char Char Char Char Char Char Char Char Char Char Char Char Char Char Char Char Char Char Char Char Char Char Char Char Char Char2 Char Char Char Char Char Char Char11"/>
    <w:basedOn w:val="1"/>
    <w:qFormat/>
    <w:uiPriority w:val="0"/>
  </w:style>
  <w:style w:type="paragraph" w:customStyle="1" w:styleId="452">
    <w:name w:val="正文文本缩进111"/>
    <w:basedOn w:val="1"/>
    <w:qFormat/>
    <w:uiPriority w:val="0"/>
    <w:pPr>
      <w:adjustRightInd w:val="0"/>
      <w:spacing w:after="120" w:line="360" w:lineRule="auto"/>
      <w:ind w:left="420" w:leftChars="200" w:firstLine="200" w:firstLineChars="200"/>
      <w:textAlignment w:val="baseline"/>
    </w:pPr>
  </w:style>
  <w:style w:type="paragraph" w:customStyle="1" w:styleId="453">
    <w:name w:val="正文缩进3"/>
    <w:basedOn w:val="1"/>
    <w:qFormat/>
    <w:uiPriority w:val="0"/>
    <w:pPr>
      <w:adjustRightInd w:val="0"/>
      <w:ind w:firstLine="420" w:firstLineChars="200"/>
      <w:textAlignment w:val="baseline"/>
    </w:pPr>
    <w:rPr>
      <w:rFonts w:hint="eastAsia" w:hAnsi="宋体"/>
    </w:rPr>
  </w:style>
  <w:style w:type="paragraph" w:customStyle="1" w:styleId="454">
    <w:name w:val="正文文字 3"/>
    <w:basedOn w:val="1"/>
    <w:qFormat/>
    <w:uiPriority w:val="0"/>
    <w:pPr>
      <w:jc w:val="center"/>
    </w:pPr>
    <w:rPr>
      <w:szCs w:val="21"/>
    </w:rPr>
  </w:style>
  <w:style w:type="paragraph" w:customStyle="1" w:styleId="455">
    <w:name w:val="p0"/>
    <w:basedOn w:val="1"/>
    <w:qFormat/>
    <w:uiPriority w:val="0"/>
    <w:pPr>
      <w:widowControl/>
      <w:spacing w:before="100" w:after="100" w:line="240" w:lineRule="atLeast"/>
    </w:pPr>
    <w:rPr>
      <w:rFonts w:ascii="Calibri" w:hAnsi="Calibri" w:cs="宋体"/>
      <w:szCs w:val="21"/>
    </w:rPr>
  </w:style>
  <w:style w:type="paragraph" w:customStyle="1" w:styleId="456">
    <w:name w:val="font11"/>
    <w:basedOn w:val="1"/>
    <w:qFormat/>
    <w:uiPriority w:val="0"/>
    <w:pPr>
      <w:widowControl/>
      <w:spacing w:before="100" w:beforeAutospacing="1" w:after="100" w:afterAutospacing="1"/>
      <w:jc w:val="left"/>
    </w:pPr>
    <w:rPr>
      <w:rFonts w:ascii="仿宋_GB2312" w:hAnsi="宋体" w:eastAsia="仿宋_GB2312" w:cs="宋体"/>
      <w:color w:val="000000"/>
      <w:szCs w:val="21"/>
    </w:rPr>
  </w:style>
  <w:style w:type="paragraph" w:customStyle="1" w:styleId="457">
    <w:name w:val="font12"/>
    <w:basedOn w:val="1"/>
    <w:qFormat/>
    <w:uiPriority w:val="0"/>
    <w:pPr>
      <w:widowControl/>
      <w:spacing w:before="100" w:beforeAutospacing="1" w:after="100" w:afterAutospacing="1"/>
      <w:jc w:val="left"/>
    </w:pPr>
    <w:rPr>
      <w:color w:val="000000"/>
      <w:szCs w:val="21"/>
    </w:rPr>
  </w:style>
  <w:style w:type="paragraph" w:customStyle="1" w:styleId="458">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color w:val="000000"/>
      <w:szCs w:val="21"/>
    </w:rPr>
  </w:style>
  <w:style w:type="paragraph" w:customStyle="1" w:styleId="4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szCs w:val="21"/>
    </w:rPr>
  </w:style>
  <w:style w:type="paragraph" w:customStyle="1" w:styleId="460">
    <w:name w:val="xl79"/>
    <w:basedOn w:val="1"/>
    <w:qFormat/>
    <w:uiPriority w:val="0"/>
    <w:pPr>
      <w:widowControl/>
      <w:spacing w:before="100" w:beforeAutospacing="1" w:after="100" w:afterAutospacing="1"/>
      <w:jc w:val="left"/>
    </w:pPr>
    <w:rPr>
      <w:szCs w:val="21"/>
    </w:rPr>
  </w:style>
  <w:style w:type="paragraph" w:customStyle="1" w:styleId="46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Cs w:val="21"/>
    </w:rPr>
  </w:style>
  <w:style w:type="paragraph" w:customStyle="1" w:styleId="46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46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46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46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szCs w:val="21"/>
    </w:rPr>
  </w:style>
  <w:style w:type="paragraph" w:customStyle="1" w:styleId="4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szCs w:val="21"/>
    </w:rPr>
  </w:style>
  <w:style w:type="paragraph" w:customStyle="1" w:styleId="46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Cs w:val="21"/>
    </w:rPr>
  </w:style>
  <w:style w:type="paragraph" w:customStyle="1" w:styleId="46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szCs w:val="21"/>
    </w:rPr>
  </w:style>
  <w:style w:type="paragraph" w:customStyle="1" w:styleId="46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Cs w:val="21"/>
    </w:rPr>
  </w:style>
  <w:style w:type="paragraph" w:customStyle="1" w:styleId="47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Cs w:val="21"/>
    </w:rPr>
  </w:style>
  <w:style w:type="paragraph" w:customStyle="1" w:styleId="471">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szCs w:val="21"/>
    </w:rPr>
  </w:style>
  <w:style w:type="paragraph" w:customStyle="1" w:styleId="47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47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rPr>
  </w:style>
  <w:style w:type="paragraph" w:customStyle="1" w:styleId="47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rPr>
  </w:style>
  <w:style w:type="paragraph" w:customStyle="1" w:styleId="47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color w:val="000000"/>
      <w:szCs w:val="21"/>
    </w:rPr>
  </w:style>
  <w:style w:type="paragraph" w:customStyle="1" w:styleId="47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szCs w:val="21"/>
    </w:rPr>
  </w:style>
  <w:style w:type="paragraph" w:customStyle="1" w:styleId="47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rPr>
  </w:style>
  <w:style w:type="character" w:customStyle="1" w:styleId="478">
    <w:name w:val="标题 3 Char"/>
    <w:qFormat/>
    <w:uiPriority w:val="0"/>
    <w:rPr>
      <w:rFonts w:eastAsia="仿宋_GB2312"/>
      <w:kern w:val="44"/>
      <w:sz w:val="28"/>
      <w:szCs w:val="32"/>
      <w:lang w:val="en-US" w:eastAsia="zh-CN" w:bidi="ar-SA"/>
    </w:rPr>
  </w:style>
  <w:style w:type="table" w:customStyle="1" w:styleId="479">
    <w:name w:val="maoli"/>
    <w:basedOn w:val="87"/>
    <w:qFormat/>
    <w:uiPriority w:val="0"/>
    <w:rPr>
      <w:rFonts w:eastAsia="仿宋_GB2312"/>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480">
    <w:name w:val="font13"/>
    <w:basedOn w:val="1"/>
    <w:qFormat/>
    <w:uiPriority w:val="0"/>
    <w:pPr>
      <w:widowControl/>
      <w:spacing w:before="100" w:beforeAutospacing="1" w:after="100" w:afterAutospacing="1"/>
      <w:jc w:val="left"/>
    </w:pPr>
    <w:rPr>
      <w:rFonts w:ascii="仿宋_GB2312" w:hAnsi="宋体" w:eastAsia="仿宋_GB2312" w:cs="宋体"/>
      <w:b/>
      <w:bCs/>
      <w:color w:val="000000"/>
      <w:szCs w:val="21"/>
    </w:rPr>
  </w:style>
  <w:style w:type="paragraph" w:customStyle="1" w:styleId="48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rPr>
  </w:style>
  <w:style w:type="paragraph" w:customStyle="1" w:styleId="48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Cs w:val="21"/>
    </w:rPr>
  </w:style>
  <w:style w:type="paragraph" w:customStyle="1" w:styleId="483">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szCs w:val="21"/>
    </w:rPr>
  </w:style>
  <w:style w:type="paragraph" w:customStyle="1" w:styleId="484">
    <w:name w:val="xl83"/>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szCs w:val="21"/>
    </w:rPr>
  </w:style>
  <w:style w:type="paragraph" w:customStyle="1" w:styleId="485">
    <w:name w:val="xl84"/>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szCs w:val="21"/>
    </w:rPr>
  </w:style>
  <w:style w:type="paragraph" w:customStyle="1" w:styleId="48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48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8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Cs w:val="21"/>
    </w:rPr>
  </w:style>
  <w:style w:type="paragraph" w:customStyle="1" w:styleId="48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Cs w:val="21"/>
    </w:rPr>
  </w:style>
  <w:style w:type="paragraph" w:customStyle="1" w:styleId="49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szCs w:val="21"/>
    </w:rPr>
  </w:style>
  <w:style w:type="paragraph" w:customStyle="1" w:styleId="491">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Cs w:val="21"/>
    </w:rPr>
  </w:style>
  <w:style w:type="paragraph" w:customStyle="1" w:styleId="492">
    <w:name w:val="低行距图表文字"/>
    <w:basedOn w:val="170"/>
    <w:qFormat/>
    <w:uiPriority w:val="0"/>
    <w:pPr>
      <w:widowControl/>
      <w:spacing w:line="240" w:lineRule="exact"/>
    </w:pPr>
    <w:rPr>
      <w:rFonts w:hAnsi="仿宋_GB2312" w:cs="宋体"/>
      <w:kern w:val="0"/>
    </w:rPr>
  </w:style>
  <w:style w:type="paragraph" w:customStyle="1" w:styleId="493">
    <w:name w:val="reader-word-layer"/>
    <w:basedOn w:val="1"/>
    <w:qFormat/>
    <w:uiPriority w:val="0"/>
    <w:pPr>
      <w:widowControl/>
      <w:spacing w:before="100" w:beforeAutospacing="1" w:after="100" w:afterAutospacing="1"/>
      <w:jc w:val="left"/>
    </w:pPr>
    <w:rPr>
      <w:rFonts w:hAnsi="宋体" w:cs="宋体"/>
    </w:rPr>
  </w:style>
  <w:style w:type="paragraph" w:customStyle="1" w:styleId="494">
    <w:name w:val="List Paragraph1"/>
    <w:basedOn w:val="1"/>
    <w:qFormat/>
    <w:uiPriority w:val="0"/>
    <w:pPr>
      <w:ind w:firstLine="420" w:firstLineChars="200"/>
    </w:pPr>
    <w:rPr>
      <w:rFonts w:ascii="Calibri" w:hAnsi="Calibri"/>
      <w:szCs w:val="22"/>
    </w:rPr>
  </w:style>
  <w:style w:type="character" w:customStyle="1" w:styleId="495">
    <w:name w:val="页眉zxl Char"/>
    <w:qFormat/>
    <w:uiPriority w:val="99"/>
    <w:rPr>
      <w:rFonts w:eastAsia="宋体"/>
      <w:kern w:val="2"/>
      <w:sz w:val="18"/>
      <w:szCs w:val="18"/>
      <w:lang w:val="en-US" w:eastAsia="zh-CN" w:bidi="ar-SA"/>
    </w:rPr>
  </w:style>
  <w:style w:type="paragraph" w:customStyle="1" w:styleId="496">
    <w:name w:val="表－居中列"/>
    <w:basedOn w:val="1"/>
    <w:link w:val="497"/>
    <w:qFormat/>
    <w:uiPriority w:val="0"/>
    <w:pPr>
      <w:suppressLineNumbers/>
      <w:suppressAutoHyphens/>
      <w:snapToGrid w:val="0"/>
      <w:spacing w:before="60" w:after="60"/>
      <w:jc w:val="left"/>
    </w:pPr>
    <w:rPr>
      <w:rFonts w:ascii="Times New Roman"/>
      <w:sz w:val="21"/>
      <w:szCs w:val="21"/>
      <w:lang w:eastAsia="ja-JP"/>
    </w:rPr>
  </w:style>
  <w:style w:type="character" w:customStyle="1" w:styleId="497">
    <w:name w:val="表－居中列 Char"/>
    <w:link w:val="496"/>
    <w:qFormat/>
    <w:uiPriority w:val="0"/>
    <w:rPr>
      <w:rFonts w:cs="Arial"/>
      <w:sz w:val="21"/>
      <w:szCs w:val="21"/>
      <w:lang w:eastAsia="ja-JP"/>
    </w:rPr>
  </w:style>
  <w:style w:type="paragraph" w:customStyle="1" w:styleId="498">
    <w:name w:val="Body Text Ind"/>
    <w:basedOn w:val="1"/>
    <w:qFormat/>
    <w:uiPriority w:val="0"/>
    <w:pPr>
      <w:adjustRightInd w:val="0"/>
      <w:spacing w:line="300" w:lineRule="auto"/>
      <w:ind w:firstLine="540"/>
      <w:jc w:val="left"/>
      <w:textAlignment w:val="baseline"/>
    </w:pPr>
    <w:rPr>
      <w:snapToGrid w:val="0"/>
      <w:kern w:val="28"/>
      <w:sz w:val="28"/>
      <w:szCs w:val="28"/>
    </w:rPr>
  </w:style>
  <w:style w:type="paragraph" w:customStyle="1" w:styleId="499">
    <w:name w:val="样式 标题 3标题 3zymH3条标题1.1.1 + 楷体_GB2312 段前: 6 磅 段后: 6 磅 行距: 固..."/>
    <w:basedOn w:val="6"/>
    <w:qFormat/>
    <w:uiPriority w:val="0"/>
    <w:pPr>
      <w:tabs>
        <w:tab w:val="left" w:pos="720"/>
      </w:tabs>
      <w:spacing w:before="120" w:after="120" w:line="240" w:lineRule="auto"/>
      <w:ind w:left="720" w:hanging="720"/>
    </w:pPr>
    <w:rPr>
      <w:rFonts w:ascii="仿宋_GB2312" w:hAnsi="宋体" w:eastAsia="仿宋_GB2312" w:cs="宋体"/>
      <w:sz w:val="28"/>
      <w:szCs w:val="20"/>
    </w:rPr>
  </w:style>
  <w:style w:type="paragraph" w:customStyle="1" w:styleId="500">
    <w:name w:val="Char12111"/>
    <w:basedOn w:val="1"/>
    <w:qFormat/>
    <w:uiPriority w:val="0"/>
    <w:pPr>
      <w:snapToGrid w:val="0"/>
      <w:spacing w:line="360" w:lineRule="auto"/>
      <w:ind w:firstLine="200" w:firstLineChars="200"/>
    </w:pPr>
    <w:rPr>
      <w:rFonts w:eastAsia="仿宋_GB2312"/>
    </w:rPr>
  </w:style>
  <w:style w:type="paragraph" w:customStyle="1" w:styleId="501">
    <w:name w:val="样式 (西文) Arial (中文) 仿宋_GB2312 四号 黑色 首行缩进:  0.85 厘米 行距: 多倍行距 ..."/>
    <w:basedOn w:val="1"/>
    <w:qFormat/>
    <w:uiPriority w:val="0"/>
    <w:pPr>
      <w:widowControl/>
      <w:spacing w:line="480" w:lineRule="auto"/>
      <w:ind w:firstLine="480"/>
      <w:jc w:val="left"/>
    </w:pPr>
    <w:rPr>
      <w:rFonts w:ascii="Arial" w:hAnsi="Arial" w:eastAsia="仿宋_GB2312" w:cs="宋体"/>
      <w:color w:val="000000"/>
      <w:sz w:val="28"/>
    </w:rPr>
  </w:style>
  <w:style w:type="paragraph" w:customStyle="1" w:styleId="502">
    <w:name w:val="谏壁标题4(chen)"/>
    <w:basedOn w:val="1"/>
    <w:qFormat/>
    <w:uiPriority w:val="0"/>
    <w:pPr>
      <w:widowControl/>
      <w:snapToGrid w:val="0"/>
      <w:spacing w:before="50" w:beforeLines="50" w:line="360" w:lineRule="auto"/>
      <w:ind w:firstLine="200" w:firstLineChars="200"/>
      <w:jc w:val="left"/>
    </w:pPr>
    <w:rPr>
      <w:rFonts w:hAnsi="宋体" w:eastAsia="楷体_GB2312" w:cs="宋体"/>
      <w:sz w:val="28"/>
    </w:rPr>
  </w:style>
  <w:style w:type="paragraph" w:customStyle="1" w:styleId="503">
    <w:name w:val="正文文本1"/>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paragraph" w:customStyle="1" w:styleId="504">
    <w:name w:val="样式 题注 + 楷体_GB2312"/>
    <w:basedOn w:val="23"/>
    <w:next w:val="170"/>
    <w:link w:val="505"/>
    <w:qFormat/>
    <w:uiPriority w:val="0"/>
    <w:pPr>
      <w:keepNext/>
      <w:widowControl/>
      <w:tabs>
        <w:tab w:val="clear" w:pos="7380"/>
      </w:tabs>
      <w:overflowPunct/>
      <w:spacing w:before="0" w:after="0" w:afterLines="0" w:line="580" w:lineRule="exact"/>
      <w:jc w:val="center"/>
    </w:pPr>
    <w:rPr>
      <w:rFonts w:ascii="楷体_GB2312" w:hAnsi="楷体_GB2312" w:eastAsia="楷体_GB2312" w:cs="Times New Roman"/>
      <w:b/>
      <w:bCs/>
      <w:sz w:val="21"/>
      <w:szCs w:val="21"/>
    </w:rPr>
  </w:style>
  <w:style w:type="character" w:customStyle="1" w:styleId="505">
    <w:name w:val="样式 题注 + 楷体_GB2312 Char"/>
    <w:link w:val="504"/>
    <w:qFormat/>
    <w:uiPriority w:val="0"/>
    <w:rPr>
      <w:rFonts w:ascii="楷体_GB2312" w:hAnsi="楷体_GB2312" w:eastAsia="楷体_GB2312"/>
      <w:b/>
      <w:bCs/>
      <w:sz w:val="21"/>
      <w:szCs w:val="21"/>
    </w:rPr>
  </w:style>
  <w:style w:type="paragraph" w:customStyle="1" w:styleId="506">
    <w:name w:val="样式 题注 + 左"/>
    <w:basedOn w:val="23"/>
    <w:qFormat/>
    <w:uiPriority w:val="0"/>
    <w:pPr>
      <w:keepNext/>
      <w:widowControl/>
      <w:tabs>
        <w:tab w:val="clear" w:pos="7380"/>
      </w:tabs>
      <w:overflowPunct/>
      <w:spacing w:before="0" w:after="0" w:afterLines="0" w:line="580" w:lineRule="exact"/>
      <w:jc w:val="center"/>
    </w:pPr>
    <w:rPr>
      <w:rFonts w:ascii="仿宋_GB2312" w:hAnsi="Times New Roman" w:eastAsia="仿宋_GB2312" w:cs="宋体"/>
      <w:b/>
      <w:bCs/>
      <w:kern w:val="0"/>
      <w:sz w:val="21"/>
    </w:rPr>
  </w:style>
  <w:style w:type="paragraph" w:customStyle="1" w:styleId="507">
    <w:name w:val="样式 表格文字 + 行距: 固定值 16 磅"/>
    <w:basedOn w:val="162"/>
    <w:qFormat/>
    <w:uiPriority w:val="0"/>
    <w:pPr>
      <w:tabs>
        <w:tab w:val="clear" w:pos="4153"/>
        <w:tab w:val="clear" w:pos="8306"/>
      </w:tabs>
      <w:adjustRightInd/>
      <w:snapToGrid/>
      <w:spacing w:line="320" w:lineRule="exact"/>
    </w:pPr>
    <w:rPr>
      <w:rFonts w:ascii="楷体_GB2312" w:eastAsia="楷体_GB2312" w:cs="宋体"/>
      <w:szCs w:val="20"/>
    </w:rPr>
  </w:style>
  <w:style w:type="paragraph" w:customStyle="1" w:styleId="508">
    <w:name w:val="样式 正文文本缩进 2 + 左侧:  0 厘米 行距: 1.5 倍行距"/>
    <w:basedOn w:val="51"/>
    <w:qFormat/>
    <w:uiPriority w:val="0"/>
    <w:pPr>
      <w:widowControl/>
      <w:jc w:val="left"/>
    </w:pPr>
    <w:rPr>
      <w:rFonts w:ascii="楷体_GB2312" w:hAnsi="宋体" w:eastAsia="楷体_GB2312" w:cs="宋体"/>
      <w:kern w:val="0"/>
      <w:szCs w:val="28"/>
    </w:rPr>
  </w:style>
  <w:style w:type="paragraph" w:customStyle="1" w:styleId="509">
    <w:name w:val="样式 四号 行距: 固定值 25 磅"/>
    <w:basedOn w:val="1"/>
    <w:qFormat/>
    <w:uiPriority w:val="0"/>
    <w:pPr>
      <w:widowControl/>
      <w:spacing w:line="500" w:lineRule="exact"/>
      <w:ind w:firstLine="200" w:firstLineChars="200"/>
      <w:jc w:val="left"/>
    </w:pPr>
    <w:rPr>
      <w:rFonts w:hAnsi="宋体" w:eastAsia="楷体_GB2312" w:cs="宋体"/>
      <w:sz w:val="28"/>
    </w:rPr>
  </w:style>
  <w:style w:type="character" w:customStyle="1" w:styleId="510">
    <w:name w:val="part"/>
    <w:qFormat/>
    <w:uiPriority w:val="0"/>
  </w:style>
  <w:style w:type="paragraph" w:customStyle="1" w:styleId="51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12">
    <w:name w:val="样式 样式 左侧:  2 字符 + 首行缩进:  2 字符"/>
    <w:basedOn w:val="1"/>
    <w:qFormat/>
    <w:uiPriority w:val="0"/>
    <w:pPr>
      <w:widowControl/>
      <w:spacing w:line="360" w:lineRule="auto"/>
      <w:ind w:firstLine="480" w:firstLineChars="200"/>
      <w:jc w:val="left"/>
    </w:pPr>
    <w:rPr>
      <w:rFonts w:hAnsi="宋体" w:cs="宋体"/>
    </w:rPr>
  </w:style>
  <w:style w:type="character" w:customStyle="1" w:styleId="513">
    <w:name w:val="title-blue"/>
    <w:qFormat/>
    <w:uiPriority w:val="0"/>
  </w:style>
  <w:style w:type="character" w:customStyle="1" w:styleId="514">
    <w:name w:val="style1"/>
    <w:qFormat/>
    <w:uiPriority w:val="0"/>
  </w:style>
  <w:style w:type="character" w:customStyle="1" w:styleId="515">
    <w:name w:val="font9black"/>
    <w:qFormat/>
    <w:uiPriority w:val="0"/>
  </w:style>
  <w:style w:type="character" w:customStyle="1" w:styleId="516">
    <w:name w:val="style11"/>
    <w:qFormat/>
    <w:uiPriority w:val="0"/>
    <w:rPr>
      <w:b/>
      <w:bCs/>
      <w:sz w:val="24"/>
      <w:szCs w:val="24"/>
    </w:rPr>
  </w:style>
  <w:style w:type="paragraph" w:customStyle="1" w:styleId="517">
    <w:name w:val="表格内文字"/>
    <w:basedOn w:val="1"/>
    <w:link w:val="518"/>
    <w:qFormat/>
    <w:uiPriority w:val="0"/>
    <w:pPr>
      <w:spacing w:before="100" w:after="100" w:line="320" w:lineRule="exact"/>
      <w:jc w:val="center"/>
    </w:pPr>
    <w:rPr>
      <w:rFonts w:ascii="Times New Roman"/>
      <w:spacing w:val="10"/>
      <w:kern w:val="2"/>
    </w:rPr>
  </w:style>
  <w:style w:type="character" w:customStyle="1" w:styleId="518">
    <w:name w:val="表格内文字 Char Char"/>
    <w:link w:val="517"/>
    <w:qFormat/>
    <w:uiPriority w:val="0"/>
    <w:rPr>
      <w:spacing w:val="10"/>
      <w:kern w:val="2"/>
      <w:sz w:val="24"/>
    </w:rPr>
  </w:style>
  <w:style w:type="paragraph" w:customStyle="1" w:styleId="519">
    <w:name w:val="xl22"/>
    <w:basedOn w:val="1"/>
    <w:qFormat/>
    <w:uiPriority w:val="0"/>
    <w:pPr>
      <w:widowControl/>
      <w:pBdr>
        <w:bottom w:val="single" w:color="auto" w:sz="4" w:space="0"/>
        <w:right w:val="single" w:color="auto" w:sz="4" w:space="0"/>
      </w:pBdr>
      <w:spacing w:before="100" w:after="100"/>
      <w:jc w:val="center"/>
    </w:pPr>
    <w:rPr>
      <w:rFonts w:hAnsi="宋体"/>
    </w:rPr>
  </w:style>
  <w:style w:type="paragraph" w:customStyle="1" w:styleId="520">
    <w:name w:val="xl27"/>
    <w:basedOn w:val="1"/>
    <w:qFormat/>
    <w:uiPriority w:val="0"/>
    <w:pPr>
      <w:widowControl/>
      <w:pBdr>
        <w:bottom w:val="single" w:color="auto" w:sz="12" w:space="0"/>
      </w:pBdr>
      <w:spacing w:before="100" w:after="100"/>
      <w:jc w:val="center"/>
    </w:pPr>
    <w:rPr>
      <w:rFonts w:hAnsi="宋体"/>
    </w:rPr>
  </w:style>
  <w:style w:type="paragraph" w:customStyle="1" w:styleId="521">
    <w:name w:val="btx4"/>
    <w:basedOn w:val="1"/>
    <w:qFormat/>
    <w:uiPriority w:val="0"/>
    <w:pPr>
      <w:widowControl/>
      <w:spacing w:before="100" w:beforeAutospacing="1" w:after="100" w:afterAutospacing="1" w:line="320" w:lineRule="atLeast"/>
      <w:jc w:val="left"/>
    </w:pPr>
    <w:rPr>
      <w:rFonts w:ascii="黑体" w:hAnsi="宋体" w:eastAsia="黑体" w:cs="宋体"/>
    </w:rPr>
  </w:style>
  <w:style w:type="paragraph" w:customStyle="1" w:styleId="522">
    <w:name w:val="a01"/>
    <w:basedOn w:val="1"/>
    <w:qFormat/>
    <w:uiPriority w:val="0"/>
    <w:pPr>
      <w:widowControl/>
      <w:spacing w:before="100" w:beforeAutospacing="1" w:after="100" w:afterAutospacing="1"/>
      <w:jc w:val="left"/>
    </w:pPr>
    <w:rPr>
      <w:rFonts w:hAnsi="宋体" w:cs="宋体"/>
    </w:rPr>
  </w:style>
  <w:style w:type="paragraph" w:customStyle="1" w:styleId="523">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Arial Unicode MS"/>
    </w:rPr>
  </w:style>
  <w:style w:type="paragraph" w:customStyle="1" w:styleId="524">
    <w:name w:val="xl4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sz w:val="20"/>
    </w:rPr>
  </w:style>
  <w:style w:type="paragraph" w:customStyle="1" w:styleId="525">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rPr>
  </w:style>
  <w:style w:type="paragraph" w:customStyle="1" w:styleId="52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rPr>
  </w:style>
  <w:style w:type="paragraph" w:customStyle="1" w:styleId="527">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rPr>
  </w:style>
  <w:style w:type="paragraph" w:customStyle="1" w:styleId="528">
    <w:name w:val="xl4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sz w:val="20"/>
    </w:rPr>
  </w:style>
  <w:style w:type="paragraph" w:customStyle="1" w:styleId="529">
    <w:name w:val="xl44"/>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sz w:val="20"/>
    </w:rPr>
  </w:style>
  <w:style w:type="paragraph" w:customStyle="1" w:styleId="53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sz w:val="20"/>
    </w:rPr>
  </w:style>
  <w:style w:type="paragraph" w:customStyle="1" w:styleId="531">
    <w:name w:val="xl4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sz w:val="20"/>
    </w:rPr>
  </w:style>
  <w:style w:type="paragraph" w:customStyle="1" w:styleId="532">
    <w:name w:val="xl3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Arial Unicode MS" w:eastAsia="楷体_GB2312"/>
      <w:sz w:val="20"/>
    </w:rPr>
  </w:style>
  <w:style w:type="paragraph" w:customStyle="1" w:styleId="533">
    <w:name w:val="xl3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楷体_GB2312" w:hAnsi="Arial Unicode MS" w:eastAsia="楷体_GB2312"/>
      <w:sz w:val="20"/>
    </w:rPr>
  </w:style>
  <w:style w:type="paragraph" w:customStyle="1" w:styleId="534">
    <w:name w:val="MTDisplayEquation"/>
    <w:basedOn w:val="1"/>
    <w:qFormat/>
    <w:uiPriority w:val="0"/>
    <w:pPr>
      <w:tabs>
        <w:tab w:val="center" w:pos="4880"/>
        <w:tab w:val="right" w:pos="9740"/>
      </w:tabs>
      <w:jc w:val="center"/>
    </w:pPr>
    <w:rPr>
      <w:rFonts w:hAnsi="宋体"/>
      <w:b/>
      <w:sz w:val="28"/>
    </w:rPr>
  </w:style>
  <w:style w:type="paragraph" w:customStyle="1" w:styleId="535">
    <w:name w:val="样式 标题 2H21标题 2 Char Char节标题 1.1（一）Underrubrik1prop2Headi..."/>
    <w:basedOn w:val="5"/>
    <w:qFormat/>
    <w:uiPriority w:val="0"/>
    <w:pPr>
      <w:widowControl/>
      <w:numPr>
        <w:ilvl w:val="0"/>
        <w:numId w:val="0"/>
      </w:numPr>
      <w:tabs>
        <w:tab w:val="left" w:pos="1395"/>
        <w:tab w:val="clear" w:pos="0"/>
      </w:tabs>
      <w:spacing w:beforeLines="0" w:afterLines="0"/>
      <w:ind w:left="578" w:hanging="578"/>
      <w:jc w:val="left"/>
    </w:pPr>
    <w:rPr>
      <w:rFonts w:ascii="楷体_GB2312" w:hAnsi="楷体_GB2312" w:eastAsia="楷体_GB2312" w:cs="宋体"/>
      <w:bCs/>
      <w:color w:val="auto"/>
      <w:spacing w:val="20"/>
      <w:szCs w:val="32"/>
    </w:rPr>
  </w:style>
  <w:style w:type="paragraph" w:customStyle="1" w:styleId="536">
    <w:name w:val="样式110"/>
    <w:basedOn w:val="329"/>
    <w:qFormat/>
    <w:uiPriority w:val="0"/>
    <w:pPr>
      <w:adjustRightInd w:val="0"/>
    </w:pPr>
    <w:rPr>
      <w:szCs w:val="24"/>
    </w:rPr>
  </w:style>
  <w:style w:type="paragraph" w:customStyle="1" w:styleId="537">
    <w:name w:val="样式 标题 4H4CharbulletblbbPIM 4h4Heading Four款标题1.1.1.1Fa..."/>
    <w:basedOn w:val="7"/>
    <w:qFormat/>
    <w:uiPriority w:val="0"/>
    <w:pPr>
      <w:widowControl/>
      <w:spacing w:before="60" w:after="60"/>
      <w:jc w:val="left"/>
    </w:pPr>
    <w:rPr>
      <w:rFonts w:ascii="楷体_GB2312" w:hAnsi="楷体_GB2312" w:eastAsia="楷体_GB2312" w:cs="宋体"/>
      <w:b/>
      <w:color w:val="0000FF"/>
      <w:kern w:val="0"/>
    </w:rPr>
  </w:style>
  <w:style w:type="paragraph" w:customStyle="1" w:styleId="538">
    <w:name w:val="xl45"/>
    <w:basedOn w:val="1"/>
    <w:qFormat/>
    <w:uiPriority w:val="0"/>
    <w:pPr>
      <w:widowControl/>
      <w:pBdr>
        <w:bottom w:val="single" w:color="auto" w:sz="8" w:space="0"/>
        <w:right w:val="single" w:color="auto" w:sz="8" w:space="0"/>
      </w:pBdr>
      <w:spacing w:before="100" w:beforeAutospacing="1" w:after="100" w:afterAutospacing="1"/>
      <w:jc w:val="center"/>
    </w:pPr>
    <w:rPr>
      <w:rFonts w:ascii="楷体_GB2312" w:hAnsi="宋体" w:eastAsia="楷体_GB2312" w:cs="宋体"/>
      <w:color w:val="000000"/>
      <w:szCs w:val="21"/>
    </w:rPr>
  </w:style>
  <w:style w:type="paragraph" w:customStyle="1" w:styleId="539">
    <w:name w:val="xl4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楷体_GB2312" w:hAnsi="宋体" w:eastAsia="楷体_GB2312" w:cs="宋体"/>
      <w:szCs w:val="21"/>
    </w:rPr>
  </w:style>
  <w:style w:type="paragraph" w:customStyle="1" w:styleId="540">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hAnsi="宋体" w:cs="宋体"/>
    </w:rPr>
  </w:style>
  <w:style w:type="character" w:customStyle="1" w:styleId="541">
    <w:name w:val="Char Char1"/>
    <w:qFormat/>
    <w:uiPriority w:val="0"/>
    <w:rPr>
      <w:rFonts w:ascii="楷体_GB2312" w:hAnsi="Arial" w:eastAsia="楷体_GB2312" w:cs="Arial"/>
      <w:b/>
      <w:sz w:val="21"/>
      <w:szCs w:val="21"/>
      <w:lang w:val="en-US" w:eastAsia="zh-CN" w:bidi="ar-SA"/>
    </w:rPr>
  </w:style>
  <w:style w:type="paragraph" w:customStyle="1" w:styleId="542">
    <w:name w:val="xl49"/>
    <w:basedOn w:val="1"/>
    <w:qFormat/>
    <w:uiPriority w:val="0"/>
    <w:pPr>
      <w:widowControl/>
      <w:pBdr>
        <w:left w:val="single" w:color="auto" w:sz="8" w:space="0"/>
        <w:bottom w:val="single" w:color="auto" w:sz="8" w:space="0"/>
        <w:right w:val="single" w:color="auto" w:sz="4" w:space="0"/>
      </w:pBdr>
      <w:spacing w:before="100" w:beforeAutospacing="1" w:after="100" w:afterAutospacing="1"/>
      <w:jc w:val="left"/>
      <w:textAlignment w:val="top"/>
    </w:pPr>
    <w:rPr>
      <w:rFonts w:ascii="楷体_GB2312" w:hAnsi="宋体" w:eastAsia="楷体_GB2312" w:cs="宋体"/>
      <w:szCs w:val="21"/>
    </w:rPr>
  </w:style>
  <w:style w:type="paragraph" w:customStyle="1" w:styleId="543">
    <w:name w:val="xl50"/>
    <w:basedOn w:val="1"/>
    <w:qFormat/>
    <w:uiPriority w:val="0"/>
    <w:pPr>
      <w:widowControl/>
      <w:pBdr>
        <w:left w:val="single" w:color="auto" w:sz="8" w:space="0"/>
        <w:right w:val="single" w:color="auto" w:sz="4" w:space="0"/>
      </w:pBdr>
      <w:spacing w:before="100" w:beforeAutospacing="1" w:after="100" w:afterAutospacing="1"/>
      <w:jc w:val="center"/>
    </w:pPr>
    <w:rPr>
      <w:rFonts w:ascii="楷体_GB2312" w:hAnsi="宋体" w:eastAsia="楷体_GB2312" w:cs="宋体"/>
      <w:szCs w:val="21"/>
    </w:rPr>
  </w:style>
  <w:style w:type="paragraph" w:customStyle="1" w:styleId="544">
    <w:name w:val="xl51"/>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szCs w:val="21"/>
    </w:rPr>
  </w:style>
  <w:style w:type="paragraph" w:customStyle="1" w:styleId="545">
    <w:name w:val="xl52"/>
    <w:basedOn w:val="1"/>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szCs w:val="21"/>
    </w:rPr>
  </w:style>
  <w:style w:type="paragraph" w:customStyle="1" w:styleId="546">
    <w:name w:val="xl53"/>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top"/>
    </w:pPr>
    <w:rPr>
      <w:rFonts w:ascii="楷体_GB2312" w:hAnsi="宋体" w:eastAsia="楷体_GB2312" w:cs="宋体"/>
      <w:szCs w:val="21"/>
    </w:rPr>
  </w:style>
  <w:style w:type="paragraph" w:customStyle="1" w:styleId="547">
    <w:name w:val="xl55"/>
    <w:basedOn w:val="1"/>
    <w:qFormat/>
    <w:uiPriority w:val="0"/>
    <w:pPr>
      <w:widowControl/>
      <w:pBdr>
        <w:left w:val="single" w:color="auto" w:sz="8" w:space="0"/>
        <w:right w:val="single" w:color="auto" w:sz="4" w:space="0"/>
      </w:pBdr>
      <w:spacing w:before="100" w:beforeAutospacing="1" w:after="100" w:afterAutospacing="1"/>
      <w:jc w:val="left"/>
      <w:textAlignment w:val="top"/>
    </w:pPr>
    <w:rPr>
      <w:rFonts w:ascii="楷体_GB2312" w:hAnsi="宋体" w:eastAsia="楷体_GB2312" w:cs="宋体"/>
      <w:szCs w:val="21"/>
    </w:rPr>
  </w:style>
  <w:style w:type="paragraph" w:customStyle="1" w:styleId="548">
    <w:name w:val="xl56"/>
    <w:basedOn w:val="1"/>
    <w:qFormat/>
    <w:uiPriority w:val="0"/>
    <w:pPr>
      <w:widowControl/>
      <w:pBdr>
        <w:top w:val="single" w:color="auto" w:sz="8" w:space="0"/>
        <w:right w:val="single" w:color="auto" w:sz="4" w:space="0"/>
      </w:pBdr>
      <w:spacing w:before="100" w:beforeAutospacing="1" w:after="100" w:afterAutospacing="1"/>
      <w:jc w:val="left"/>
      <w:textAlignment w:val="top"/>
    </w:pPr>
    <w:rPr>
      <w:rFonts w:ascii="楷体_GB2312" w:hAnsi="宋体" w:eastAsia="楷体_GB2312" w:cs="宋体"/>
      <w:szCs w:val="21"/>
    </w:rPr>
  </w:style>
  <w:style w:type="paragraph" w:customStyle="1" w:styleId="549">
    <w:name w:val="xl57"/>
    <w:basedOn w:val="1"/>
    <w:qFormat/>
    <w:uiPriority w:val="0"/>
    <w:pPr>
      <w:widowControl/>
      <w:pBdr>
        <w:right w:val="single" w:color="auto" w:sz="4" w:space="0"/>
      </w:pBdr>
      <w:spacing w:before="100" w:beforeAutospacing="1" w:after="100" w:afterAutospacing="1"/>
      <w:jc w:val="left"/>
      <w:textAlignment w:val="top"/>
    </w:pPr>
    <w:rPr>
      <w:rFonts w:ascii="楷体_GB2312" w:hAnsi="宋体" w:eastAsia="楷体_GB2312" w:cs="宋体"/>
      <w:szCs w:val="21"/>
    </w:rPr>
  </w:style>
  <w:style w:type="paragraph" w:customStyle="1" w:styleId="550">
    <w:name w:val="xl58"/>
    <w:basedOn w:val="1"/>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szCs w:val="21"/>
    </w:rPr>
  </w:style>
  <w:style w:type="paragraph" w:customStyle="1" w:styleId="551">
    <w:name w:val="xl59"/>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pPr>
    <w:rPr>
      <w:rFonts w:ascii="楷体_GB2312" w:hAnsi="宋体" w:eastAsia="楷体_GB2312" w:cs="宋体"/>
      <w:szCs w:val="21"/>
    </w:rPr>
  </w:style>
  <w:style w:type="paragraph" w:customStyle="1" w:styleId="552">
    <w:name w:val="xl6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top"/>
    </w:pPr>
    <w:rPr>
      <w:rFonts w:ascii="楷体_GB2312" w:hAnsi="宋体" w:eastAsia="楷体_GB2312" w:cs="宋体"/>
      <w:szCs w:val="21"/>
    </w:rPr>
  </w:style>
  <w:style w:type="paragraph" w:customStyle="1" w:styleId="553">
    <w:name w:val="xl61"/>
    <w:basedOn w:val="1"/>
    <w:qFormat/>
    <w:uiPriority w:val="0"/>
    <w:pPr>
      <w:widowControl/>
      <w:pBdr>
        <w:right w:val="single" w:color="auto" w:sz="8" w:space="0"/>
      </w:pBdr>
      <w:spacing w:before="100" w:beforeAutospacing="1" w:after="100" w:afterAutospacing="1"/>
      <w:jc w:val="center"/>
    </w:pPr>
    <w:rPr>
      <w:rFonts w:ascii="楷体_GB2312" w:hAnsi="宋体" w:eastAsia="楷体_GB2312" w:cs="宋体"/>
      <w:szCs w:val="21"/>
    </w:rPr>
  </w:style>
  <w:style w:type="paragraph" w:customStyle="1" w:styleId="554">
    <w:name w:val="xl62"/>
    <w:basedOn w:val="1"/>
    <w:qFormat/>
    <w:uiPriority w:val="0"/>
    <w:pPr>
      <w:widowControl/>
      <w:pBdr>
        <w:top w:val="single" w:color="auto" w:sz="8" w:space="0"/>
      </w:pBdr>
      <w:spacing w:before="100" w:beforeAutospacing="1" w:after="100" w:afterAutospacing="1"/>
      <w:jc w:val="center"/>
    </w:pPr>
    <w:rPr>
      <w:rFonts w:ascii="楷体_GB2312" w:hAnsi="宋体" w:eastAsia="楷体_GB2312" w:cs="宋体"/>
      <w:szCs w:val="21"/>
    </w:rPr>
  </w:style>
  <w:style w:type="character" w:customStyle="1" w:styleId="555">
    <w:name w:val="Char Char2"/>
    <w:qFormat/>
    <w:uiPriority w:val="0"/>
    <w:rPr>
      <w:rFonts w:ascii="Arial" w:hAnsi="Arial" w:eastAsia="楷体_GB2312" w:cs="Arial"/>
      <w:b/>
      <w:sz w:val="24"/>
      <w:lang w:val="en-US" w:eastAsia="zh-CN" w:bidi="ar-SA"/>
    </w:rPr>
  </w:style>
  <w:style w:type="paragraph" w:customStyle="1" w:styleId="556">
    <w:name w:val="proposal"/>
    <w:basedOn w:val="1"/>
    <w:qFormat/>
    <w:uiPriority w:val="0"/>
    <w:pPr>
      <w:widowControl/>
      <w:autoSpaceDE w:val="0"/>
      <w:autoSpaceDN w:val="0"/>
      <w:spacing w:line="300" w:lineRule="auto"/>
      <w:ind w:left="1440" w:hanging="1440"/>
    </w:pPr>
    <w:rPr>
      <w:lang w:val="en-GB" w:eastAsia="en-GB"/>
    </w:rPr>
  </w:style>
  <w:style w:type="character" w:customStyle="1" w:styleId="557">
    <w:name w:val="apple-style-span"/>
    <w:qFormat/>
    <w:uiPriority w:val="0"/>
  </w:style>
  <w:style w:type="character" w:customStyle="1" w:styleId="558">
    <w:name w:val="题注 Char1"/>
    <w:qFormat/>
    <w:uiPriority w:val="0"/>
    <w:rPr>
      <w:rFonts w:ascii="Arial" w:hAnsi="Arial" w:eastAsia="楷体_GB2312" w:cs="Arial"/>
      <w:b/>
      <w:sz w:val="24"/>
      <w:lang w:val="en-US" w:eastAsia="zh-CN" w:bidi="ar-SA"/>
    </w:rPr>
  </w:style>
  <w:style w:type="character" w:customStyle="1" w:styleId="559">
    <w:name w:val="apple-converted-space"/>
    <w:qFormat/>
    <w:uiPriority w:val="0"/>
  </w:style>
  <w:style w:type="paragraph" w:customStyle="1" w:styleId="560">
    <w:name w:val="Char1 Char Char Char Char Char1 Char"/>
    <w:basedOn w:val="1"/>
    <w:semiHidden/>
    <w:qFormat/>
    <w:uiPriority w:val="0"/>
    <w:rPr>
      <w:szCs w:val="21"/>
    </w:rPr>
  </w:style>
  <w:style w:type="character" w:customStyle="1" w:styleId="561">
    <w:name w:val="trans"/>
    <w:qFormat/>
    <w:uiPriority w:val="0"/>
  </w:style>
  <w:style w:type="character" w:customStyle="1" w:styleId="562">
    <w:name w:val="reflink plainlinks nourlexpansion"/>
    <w:qFormat/>
    <w:uiPriority w:val="0"/>
  </w:style>
  <w:style w:type="character" w:customStyle="1" w:styleId="563">
    <w:name w:val="Char Char6"/>
    <w:qFormat/>
    <w:uiPriority w:val="0"/>
    <w:rPr>
      <w:rFonts w:eastAsia="宋体"/>
      <w:kern w:val="2"/>
      <w:sz w:val="24"/>
      <w:lang w:val="en-US" w:eastAsia="zh-CN" w:bidi="ar-SA"/>
    </w:rPr>
  </w:style>
  <w:style w:type="paragraph" w:customStyle="1" w:styleId="564">
    <w:name w:val="目录标题"/>
    <w:basedOn w:val="22"/>
    <w:qFormat/>
    <w:uiPriority w:val="0"/>
    <w:pPr>
      <w:tabs>
        <w:tab w:val="right" w:leader="dot" w:pos="8296"/>
      </w:tabs>
      <w:spacing w:line="440" w:lineRule="exact"/>
      <w:ind w:firstLine="482"/>
      <w:jc w:val="center"/>
    </w:pPr>
    <w:rPr>
      <w:rFonts w:ascii="宋体" w:hAnsi="宋体"/>
      <w:b/>
      <w:sz w:val="32"/>
    </w:rPr>
  </w:style>
  <w:style w:type="paragraph" w:customStyle="1" w:styleId="565">
    <w:name w:val="样式 楷体_GB2312 居中"/>
    <w:basedOn w:val="1"/>
    <w:qFormat/>
    <w:uiPriority w:val="0"/>
    <w:pPr>
      <w:spacing w:line="360" w:lineRule="auto"/>
      <w:jc w:val="center"/>
    </w:pPr>
    <w:rPr>
      <w:rFonts w:ascii="楷体_GB2312" w:eastAsia="楷体_GB2312"/>
    </w:rPr>
  </w:style>
  <w:style w:type="character" w:customStyle="1" w:styleId="566">
    <w:name w:val="style7"/>
    <w:qFormat/>
    <w:uiPriority w:val="0"/>
  </w:style>
  <w:style w:type="character" w:customStyle="1" w:styleId="567">
    <w:name w:val="unnamed11"/>
    <w:qFormat/>
    <w:uiPriority w:val="0"/>
    <w:rPr>
      <w:b/>
      <w:bCs/>
      <w:color w:val="3366CC"/>
      <w:sz w:val="21"/>
      <w:szCs w:val="21"/>
    </w:rPr>
  </w:style>
  <w:style w:type="character" w:customStyle="1" w:styleId="568">
    <w:name w:val="标题1"/>
    <w:qFormat/>
    <w:uiPriority w:val="0"/>
  </w:style>
  <w:style w:type="paragraph" w:customStyle="1" w:styleId="569">
    <w:name w:val="IDC A-Head (2nd Line)"/>
    <w:basedOn w:val="1"/>
    <w:next w:val="1"/>
    <w:qFormat/>
    <w:uiPriority w:val="0"/>
    <w:pPr>
      <w:widowControl/>
      <w:tabs>
        <w:tab w:val="left" w:pos="425"/>
      </w:tabs>
      <w:ind w:left="425" w:hanging="425"/>
      <w:jc w:val="center"/>
    </w:pPr>
    <w:rPr>
      <w:caps/>
    </w:rPr>
  </w:style>
  <w:style w:type="paragraph" w:customStyle="1" w:styleId="570">
    <w:name w:val="四级条标题"/>
    <w:basedOn w:val="224"/>
    <w:next w:val="1"/>
    <w:qFormat/>
    <w:uiPriority w:val="0"/>
    <w:pPr>
      <w:tabs>
        <w:tab w:val="left" w:pos="360"/>
        <w:tab w:val="clear" w:pos="2160"/>
        <w:tab w:val="clear" w:pos="2580"/>
      </w:tabs>
      <w:outlineLvl w:val="5"/>
    </w:pPr>
    <w:rPr>
      <w:szCs w:val="20"/>
    </w:rPr>
  </w:style>
  <w:style w:type="paragraph" w:customStyle="1" w:styleId="571">
    <w:name w:val="表格编号"/>
    <w:basedOn w:val="1"/>
    <w:next w:val="1"/>
    <w:qFormat/>
    <w:uiPriority w:val="0"/>
    <w:pPr>
      <w:spacing w:before="300" w:after="200"/>
      <w:ind w:left="964" w:hanging="425"/>
      <w:jc w:val="center"/>
    </w:pPr>
  </w:style>
  <w:style w:type="paragraph" w:customStyle="1" w:styleId="572">
    <w:name w:val="wj12"/>
    <w:basedOn w:val="1"/>
    <w:qFormat/>
    <w:uiPriority w:val="0"/>
    <w:pPr>
      <w:widowControl/>
      <w:spacing w:before="100" w:beforeAutospacing="1" w:after="100" w:afterAutospacing="1"/>
      <w:jc w:val="left"/>
    </w:pPr>
    <w:rPr>
      <w:rFonts w:hAnsi="宋体" w:cs="宋体"/>
      <w:sz w:val="18"/>
      <w:szCs w:val="18"/>
    </w:rPr>
  </w:style>
  <w:style w:type="paragraph" w:customStyle="1" w:styleId="573">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74">
    <w:name w:val="1表格"/>
    <w:basedOn w:val="1"/>
    <w:qFormat/>
    <w:uiPriority w:val="0"/>
    <w:pPr>
      <w:adjustRightInd w:val="0"/>
      <w:snapToGrid w:val="0"/>
      <w:jc w:val="center"/>
      <w:textAlignment w:val="baseline"/>
    </w:pPr>
    <w:rPr>
      <w:rFonts w:hAnsi="宋体" w:cs="宋体"/>
      <w:spacing w:val="4"/>
    </w:rPr>
  </w:style>
  <w:style w:type="paragraph" w:customStyle="1" w:styleId="575">
    <w:name w:val="_Style 1"/>
    <w:basedOn w:val="1"/>
    <w:next w:val="22"/>
    <w:qFormat/>
    <w:uiPriority w:val="0"/>
    <w:pPr>
      <w:adjustRightInd w:val="0"/>
      <w:spacing w:line="288" w:lineRule="auto"/>
      <w:ind w:firstLine="480"/>
      <w:textAlignment w:val="baseline"/>
    </w:pPr>
    <w:rPr>
      <w:rFonts w:hAnsi="宋体" w:cs="宋体"/>
    </w:rPr>
  </w:style>
  <w:style w:type="paragraph" w:customStyle="1" w:styleId="576">
    <w:name w:val="新正文样式"/>
    <w:basedOn w:val="1"/>
    <w:qFormat/>
    <w:uiPriority w:val="0"/>
    <w:pPr>
      <w:tabs>
        <w:tab w:val="left" w:pos="567"/>
      </w:tabs>
      <w:spacing w:line="360" w:lineRule="auto"/>
      <w:ind w:firstLine="567"/>
    </w:pPr>
    <w:rPr>
      <w:spacing w:val="20"/>
    </w:rPr>
  </w:style>
  <w:style w:type="paragraph" w:customStyle="1" w:styleId="577">
    <w:name w:val="宏福4"/>
    <w:basedOn w:val="1"/>
    <w:qFormat/>
    <w:uiPriority w:val="0"/>
    <w:pPr>
      <w:adjustRightInd w:val="0"/>
      <w:spacing w:line="400" w:lineRule="atLeast"/>
      <w:ind w:firstLine="567"/>
      <w:jc w:val="left"/>
      <w:textAlignment w:val="baseline"/>
    </w:pPr>
    <w:rPr>
      <w:sz w:val="28"/>
      <w:szCs w:val="28"/>
    </w:rPr>
  </w:style>
  <w:style w:type="character" w:customStyle="1" w:styleId="578">
    <w:name w:val="style191"/>
    <w:qFormat/>
    <w:uiPriority w:val="0"/>
    <w:rPr>
      <w:b/>
      <w:bCs/>
      <w:color w:val="FF0000"/>
    </w:rPr>
  </w:style>
  <w:style w:type="paragraph" w:customStyle="1" w:styleId="579">
    <w:name w:val="项目编号"/>
    <w:basedOn w:val="1"/>
    <w:next w:val="1"/>
    <w:qFormat/>
    <w:uiPriority w:val="0"/>
    <w:pPr>
      <w:spacing w:before="120" w:after="120" w:line="360" w:lineRule="auto"/>
    </w:pPr>
  </w:style>
  <w:style w:type="paragraph" w:customStyle="1" w:styleId="580">
    <w:name w:val="表序号"/>
    <w:basedOn w:val="8"/>
    <w:qFormat/>
    <w:uiPriority w:val="0"/>
    <w:pPr>
      <w:tabs>
        <w:tab w:val="left" w:pos="3093"/>
      </w:tabs>
      <w:spacing w:before="0" w:after="0" w:line="360" w:lineRule="auto"/>
      <w:ind w:left="3093" w:hanging="420"/>
      <w:jc w:val="center"/>
    </w:pPr>
    <w:rPr>
      <w:rFonts w:ascii="宋体" w:hAnsi="Arial" w:eastAsia="宋体"/>
      <w:bCs w:val="0"/>
      <w:sz w:val="24"/>
      <w:szCs w:val="20"/>
    </w:rPr>
  </w:style>
  <w:style w:type="paragraph" w:customStyle="1" w:styleId="581">
    <w:name w:val="图编号"/>
    <w:basedOn w:val="162"/>
    <w:qFormat/>
    <w:uiPriority w:val="0"/>
    <w:pPr>
      <w:tabs>
        <w:tab w:val="left" w:pos="432"/>
        <w:tab w:val="left" w:pos="763"/>
        <w:tab w:val="clear" w:pos="4153"/>
        <w:tab w:val="clear" w:pos="8306"/>
      </w:tabs>
      <w:adjustRightInd/>
      <w:snapToGrid/>
      <w:spacing w:before="300" w:after="300" w:line="360" w:lineRule="auto"/>
      <w:ind w:firstLine="403"/>
    </w:pPr>
    <w:rPr>
      <w:rFonts w:eastAsia="宋体"/>
      <w:sz w:val="24"/>
      <w:szCs w:val="20"/>
    </w:rPr>
  </w:style>
  <w:style w:type="paragraph" w:customStyle="1" w:styleId="582">
    <w:name w:val="表格内容"/>
    <w:basedOn w:val="1"/>
    <w:link w:val="583"/>
    <w:qFormat/>
    <w:uiPriority w:val="0"/>
    <w:pPr>
      <w:overflowPunct w:val="0"/>
      <w:adjustRightInd w:val="0"/>
      <w:spacing w:before="40" w:after="60" w:line="200" w:lineRule="atLeast"/>
      <w:textAlignment w:val="baseline"/>
    </w:pPr>
    <w:rPr>
      <w:rFonts w:ascii="Arial" w:hAnsi="Arial" w:eastAsia="仿宋_GB2312"/>
    </w:rPr>
  </w:style>
  <w:style w:type="character" w:customStyle="1" w:styleId="583">
    <w:name w:val="表格内容 Char Char Char"/>
    <w:link w:val="582"/>
    <w:qFormat/>
    <w:uiPriority w:val="0"/>
    <w:rPr>
      <w:rFonts w:ascii="Arial" w:hAnsi="Arial" w:eastAsia="仿宋_GB2312"/>
      <w:sz w:val="24"/>
      <w:lang w:val="en-US" w:eastAsia="zh-CN"/>
    </w:rPr>
  </w:style>
  <w:style w:type="paragraph" w:customStyle="1" w:styleId="584">
    <w:name w:val="表"/>
    <w:basedOn w:val="1"/>
    <w:next w:val="66"/>
    <w:qFormat/>
    <w:uiPriority w:val="0"/>
    <w:pPr>
      <w:jc w:val="center"/>
    </w:pPr>
    <w:rPr>
      <w:rFonts w:hAnsi="Arial Black"/>
      <w:kern w:val="21"/>
    </w:rPr>
  </w:style>
  <w:style w:type="paragraph" w:customStyle="1" w:styleId="585">
    <w:name w:val="公式"/>
    <w:qFormat/>
    <w:uiPriority w:val="0"/>
    <w:pPr>
      <w:jc w:val="center"/>
    </w:pPr>
    <w:rPr>
      <w:rFonts w:ascii="Times New Roman" w:hAnsi="Times New Roman" w:eastAsia="宋体" w:cs="Times New Roman"/>
      <w:sz w:val="28"/>
      <w:lang w:val="en-US" w:eastAsia="zh-CN" w:bidi="ar-SA"/>
    </w:rPr>
  </w:style>
  <w:style w:type="paragraph" w:customStyle="1" w:styleId="586">
    <w:name w:val="公式样式1"/>
    <w:basedOn w:val="1"/>
    <w:qFormat/>
    <w:uiPriority w:val="0"/>
    <w:pPr>
      <w:spacing w:line="360" w:lineRule="auto"/>
      <w:ind w:firstLine="235" w:firstLineChars="100"/>
    </w:pPr>
    <w:rPr>
      <w:rFonts w:hAnsi="Arial Black"/>
    </w:rPr>
  </w:style>
  <w:style w:type="paragraph" w:customStyle="1" w:styleId="587">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588">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589">
    <w:name w:val="paragragh1"/>
    <w:qFormat/>
    <w:uiPriority w:val="0"/>
    <w:rPr>
      <w:color w:val="004040"/>
      <w:sz w:val="21"/>
      <w:szCs w:val="21"/>
    </w:rPr>
  </w:style>
  <w:style w:type="paragraph" w:customStyle="1" w:styleId="590">
    <w:name w:val="cdb"/>
    <w:basedOn w:val="1"/>
    <w:qFormat/>
    <w:uiPriority w:val="0"/>
    <w:pPr>
      <w:spacing w:before="120"/>
      <w:ind w:left="851" w:firstLine="482"/>
    </w:pPr>
  </w:style>
  <w:style w:type="paragraph" w:customStyle="1" w:styleId="591">
    <w:name w:val="font0"/>
    <w:basedOn w:val="1"/>
    <w:qFormat/>
    <w:uiPriority w:val="0"/>
    <w:pPr>
      <w:widowControl/>
      <w:spacing w:before="100" w:beforeAutospacing="1" w:after="100" w:afterAutospacing="1"/>
      <w:jc w:val="left"/>
    </w:pPr>
    <w:rPr>
      <w:rFonts w:hint="eastAsia" w:hAnsi="宋体"/>
    </w:rPr>
  </w:style>
  <w:style w:type="paragraph" w:customStyle="1" w:styleId="592">
    <w:name w:val="xl10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sz w:val="12"/>
      <w:szCs w:val="12"/>
    </w:rPr>
  </w:style>
  <w:style w:type="paragraph" w:customStyle="1" w:styleId="593">
    <w:name w:val="xl109"/>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594">
    <w:name w:val="xl11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rPr>
  </w:style>
  <w:style w:type="paragraph" w:customStyle="1" w:styleId="595">
    <w:name w:val="xl111"/>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596">
    <w:name w:val="xl112"/>
    <w:basedOn w:val="1"/>
    <w:qFormat/>
    <w:uiPriority w:val="0"/>
    <w:pPr>
      <w:widowControl/>
      <w:pBdr>
        <w:right w:val="single" w:color="auto" w:sz="8" w:space="0"/>
      </w:pBdr>
      <w:spacing w:before="100" w:beforeAutospacing="1" w:after="100" w:afterAutospacing="1"/>
      <w:jc w:val="left"/>
    </w:pPr>
    <w:rPr>
      <w:rFonts w:ascii="Arial Unicode MS" w:hAnsi="Arial Unicode MS"/>
      <w:sz w:val="16"/>
      <w:szCs w:val="16"/>
    </w:rPr>
  </w:style>
  <w:style w:type="paragraph" w:customStyle="1" w:styleId="597">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sz w:val="16"/>
      <w:szCs w:val="16"/>
    </w:rPr>
  </w:style>
  <w:style w:type="paragraph" w:customStyle="1" w:styleId="598">
    <w:name w:val="xl114"/>
    <w:basedOn w:val="1"/>
    <w:qFormat/>
    <w:uiPriority w:val="0"/>
    <w:pPr>
      <w:widowControl/>
      <w:pBdr>
        <w:left w:val="single" w:color="auto" w:sz="8" w:space="0"/>
      </w:pBdr>
      <w:spacing w:before="100" w:beforeAutospacing="1" w:after="100" w:afterAutospacing="1"/>
      <w:jc w:val="left"/>
    </w:pPr>
    <w:rPr>
      <w:rFonts w:ascii="Arial Unicode MS" w:hAnsi="Arial Unicode MS"/>
      <w:sz w:val="16"/>
      <w:szCs w:val="16"/>
    </w:rPr>
  </w:style>
  <w:style w:type="paragraph" w:customStyle="1" w:styleId="599">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sz w:val="16"/>
      <w:szCs w:val="16"/>
    </w:rPr>
  </w:style>
  <w:style w:type="paragraph" w:customStyle="1" w:styleId="600">
    <w:name w:val="xl117"/>
    <w:basedOn w:val="1"/>
    <w:qFormat/>
    <w:uiPriority w:val="0"/>
    <w:pPr>
      <w:widowControl/>
      <w:pBdr>
        <w:left w:val="single" w:color="auto" w:sz="8" w:space="0"/>
      </w:pBdr>
      <w:spacing w:before="100" w:beforeAutospacing="1" w:after="100" w:afterAutospacing="1"/>
      <w:jc w:val="left"/>
    </w:pPr>
    <w:rPr>
      <w:rFonts w:ascii="Arial Unicode MS" w:hAnsi="Arial Unicode MS"/>
    </w:rPr>
  </w:style>
  <w:style w:type="paragraph" w:customStyle="1" w:styleId="601">
    <w:name w:val="xl11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sz w:val="12"/>
      <w:szCs w:val="12"/>
    </w:rPr>
  </w:style>
  <w:style w:type="paragraph" w:customStyle="1" w:styleId="602">
    <w:name w:val="xl119"/>
    <w:basedOn w:val="1"/>
    <w:qFormat/>
    <w:uiPriority w:val="0"/>
    <w:pPr>
      <w:widowControl/>
      <w:spacing w:before="100" w:beforeAutospacing="1" w:after="100" w:afterAutospacing="1"/>
      <w:jc w:val="center"/>
      <w:textAlignment w:val="center"/>
    </w:pPr>
    <w:rPr>
      <w:rFonts w:ascii="Arial Unicode MS" w:hAnsi="Arial Unicode MS"/>
      <w:sz w:val="16"/>
      <w:szCs w:val="16"/>
    </w:rPr>
  </w:style>
  <w:style w:type="paragraph" w:customStyle="1" w:styleId="603">
    <w:name w:val="xl120"/>
    <w:basedOn w:val="1"/>
    <w:qFormat/>
    <w:uiPriority w:val="0"/>
    <w:pPr>
      <w:widowControl/>
      <w:spacing w:before="100" w:beforeAutospacing="1" w:after="100" w:afterAutospacing="1"/>
      <w:jc w:val="left"/>
      <w:textAlignment w:val="center"/>
    </w:pPr>
    <w:rPr>
      <w:rFonts w:ascii="Arial Unicode MS" w:hAnsi="Arial Unicode MS"/>
      <w:sz w:val="12"/>
      <w:szCs w:val="12"/>
    </w:rPr>
  </w:style>
  <w:style w:type="paragraph" w:customStyle="1" w:styleId="604">
    <w:name w:val="xl121"/>
    <w:basedOn w:val="1"/>
    <w:qFormat/>
    <w:uiPriority w:val="0"/>
    <w:pPr>
      <w:widowControl/>
      <w:spacing w:before="100" w:beforeAutospacing="1" w:after="100" w:afterAutospacing="1"/>
      <w:jc w:val="left"/>
    </w:pPr>
    <w:rPr>
      <w:rFonts w:ascii="Arial Unicode MS" w:hAnsi="Arial Unicode MS"/>
      <w:sz w:val="16"/>
      <w:szCs w:val="16"/>
    </w:rPr>
  </w:style>
  <w:style w:type="paragraph" w:customStyle="1" w:styleId="605">
    <w:name w:val="xl12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06">
    <w:name w:val="xl123"/>
    <w:basedOn w:val="1"/>
    <w:qFormat/>
    <w:uiPriority w:val="0"/>
    <w:pPr>
      <w:widowControl/>
      <w:pBdr>
        <w:top w:val="single" w:color="auto" w:sz="8" w:space="0"/>
      </w:pBdr>
      <w:spacing w:before="100" w:beforeAutospacing="1" w:after="100" w:afterAutospacing="1"/>
      <w:jc w:val="left"/>
    </w:pPr>
    <w:rPr>
      <w:rFonts w:ascii="Arial Unicode MS" w:hAnsi="Arial Unicode MS"/>
      <w:sz w:val="16"/>
      <w:szCs w:val="16"/>
    </w:rPr>
  </w:style>
  <w:style w:type="paragraph" w:customStyle="1" w:styleId="607">
    <w:name w:val="xl124"/>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sz w:val="16"/>
      <w:szCs w:val="16"/>
    </w:rPr>
  </w:style>
  <w:style w:type="paragraph" w:customStyle="1" w:styleId="608">
    <w:name w:val="xl125"/>
    <w:basedOn w:val="1"/>
    <w:qFormat/>
    <w:uiPriority w:val="0"/>
    <w:pPr>
      <w:widowControl/>
      <w:spacing w:before="100" w:beforeAutospacing="1" w:after="100" w:afterAutospacing="1"/>
      <w:jc w:val="left"/>
      <w:textAlignment w:val="center"/>
    </w:pPr>
    <w:rPr>
      <w:rFonts w:ascii="Arial Unicode MS" w:hAnsi="Arial Unicode MS"/>
      <w:sz w:val="16"/>
      <w:szCs w:val="16"/>
    </w:rPr>
  </w:style>
  <w:style w:type="paragraph" w:customStyle="1" w:styleId="609">
    <w:name w:val="xl126"/>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sz w:val="16"/>
      <w:szCs w:val="16"/>
    </w:rPr>
  </w:style>
  <w:style w:type="paragraph" w:customStyle="1" w:styleId="610">
    <w:name w:val="xl12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11">
    <w:name w:val="xl12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sz w:val="12"/>
      <w:szCs w:val="12"/>
    </w:rPr>
  </w:style>
  <w:style w:type="paragraph" w:customStyle="1" w:styleId="612">
    <w:name w:val="xl129"/>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13">
    <w:name w:val="xl13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14">
    <w:name w:val="xl131"/>
    <w:basedOn w:val="1"/>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rPr>
  </w:style>
  <w:style w:type="paragraph" w:customStyle="1" w:styleId="615">
    <w:name w:val="xl132"/>
    <w:basedOn w:val="1"/>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sz w:val="16"/>
      <w:szCs w:val="16"/>
    </w:rPr>
  </w:style>
  <w:style w:type="paragraph" w:customStyle="1" w:styleId="616">
    <w:name w:val="xl133"/>
    <w:basedOn w:val="1"/>
    <w:qFormat/>
    <w:uiPriority w:val="0"/>
    <w:pPr>
      <w:widowControl/>
      <w:pBdr>
        <w:right w:val="single" w:color="auto" w:sz="4" w:space="0"/>
      </w:pBdr>
      <w:spacing w:before="100" w:beforeAutospacing="1" w:after="100" w:afterAutospacing="1"/>
      <w:jc w:val="center"/>
    </w:pPr>
    <w:rPr>
      <w:rFonts w:ascii="Arial Unicode MS" w:hAnsi="Arial Unicode MS"/>
      <w:sz w:val="12"/>
      <w:szCs w:val="12"/>
    </w:rPr>
  </w:style>
  <w:style w:type="paragraph" w:customStyle="1" w:styleId="617">
    <w:name w:val="xl134"/>
    <w:basedOn w:val="1"/>
    <w:qFormat/>
    <w:uiPriority w:val="0"/>
    <w:pPr>
      <w:widowControl/>
      <w:spacing w:before="100" w:beforeAutospacing="1" w:after="100" w:afterAutospacing="1"/>
      <w:jc w:val="left"/>
    </w:pPr>
    <w:rPr>
      <w:rFonts w:ascii="Arial Unicode MS" w:hAnsi="Arial Unicode MS"/>
      <w:sz w:val="20"/>
    </w:rPr>
  </w:style>
  <w:style w:type="paragraph" w:customStyle="1" w:styleId="618">
    <w:name w:val="xl135"/>
    <w:basedOn w:val="1"/>
    <w:qFormat/>
    <w:uiPriority w:val="0"/>
    <w:pPr>
      <w:widowControl/>
      <w:spacing w:before="100" w:beforeAutospacing="1" w:after="100" w:afterAutospacing="1"/>
      <w:jc w:val="center"/>
    </w:pPr>
    <w:rPr>
      <w:rFonts w:ascii="Arial Unicode MS" w:hAnsi="Arial Unicode MS"/>
      <w:sz w:val="16"/>
      <w:szCs w:val="16"/>
    </w:rPr>
  </w:style>
  <w:style w:type="paragraph" w:customStyle="1" w:styleId="619">
    <w:name w:val="xl136"/>
    <w:basedOn w:val="1"/>
    <w:qFormat/>
    <w:uiPriority w:val="0"/>
    <w:pPr>
      <w:widowControl/>
      <w:spacing w:before="100" w:beforeAutospacing="1" w:after="100" w:afterAutospacing="1"/>
      <w:jc w:val="left"/>
    </w:pPr>
    <w:rPr>
      <w:rFonts w:ascii="Arial Unicode MS" w:hAnsi="Arial Unicode MS"/>
      <w:sz w:val="12"/>
      <w:szCs w:val="12"/>
    </w:rPr>
  </w:style>
  <w:style w:type="paragraph" w:customStyle="1" w:styleId="620">
    <w:name w:val="xl137"/>
    <w:basedOn w:val="1"/>
    <w:qFormat/>
    <w:uiPriority w:val="0"/>
    <w:pPr>
      <w:widowControl/>
      <w:pBdr>
        <w:bottom w:val="single" w:color="auto" w:sz="8" w:space="0"/>
      </w:pBdr>
      <w:spacing w:before="100" w:beforeAutospacing="1" w:after="100" w:afterAutospacing="1"/>
      <w:jc w:val="left"/>
    </w:pPr>
    <w:rPr>
      <w:rFonts w:ascii="Arial Unicode MS" w:hAnsi="Arial Unicode MS"/>
      <w:sz w:val="12"/>
      <w:szCs w:val="12"/>
    </w:rPr>
  </w:style>
  <w:style w:type="paragraph" w:customStyle="1" w:styleId="621">
    <w:name w:val="xl138"/>
    <w:basedOn w:val="1"/>
    <w:qFormat/>
    <w:uiPriority w:val="0"/>
    <w:pPr>
      <w:widowControl/>
      <w:pBdr>
        <w:left w:val="single" w:color="auto" w:sz="4" w:space="0"/>
        <w:bottom w:val="single" w:color="auto" w:sz="8" w:space="0"/>
      </w:pBdr>
      <w:spacing w:before="100" w:beforeAutospacing="1" w:after="100" w:afterAutospacing="1"/>
      <w:jc w:val="center"/>
      <w:textAlignment w:val="center"/>
    </w:pPr>
    <w:rPr>
      <w:sz w:val="12"/>
      <w:szCs w:val="12"/>
    </w:rPr>
  </w:style>
  <w:style w:type="paragraph" w:customStyle="1" w:styleId="622">
    <w:name w:val="xl139"/>
    <w:basedOn w:val="1"/>
    <w:qFormat/>
    <w:uiPriority w:val="0"/>
    <w:pPr>
      <w:widowControl/>
      <w:spacing w:before="100" w:beforeAutospacing="1" w:after="100" w:afterAutospacing="1"/>
      <w:jc w:val="center"/>
      <w:textAlignment w:val="center"/>
    </w:pPr>
    <w:rPr>
      <w:rFonts w:ascii="Arial Unicode MS" w:hAnsi="Arial Unicode MS"/>
      <w:sz w:val="16"/>
      <w:szCs w:val="16"/>
    </w:rPr>
  </w:style>
  <w:style w:type="paragraph" w:customStyle="1" w:styleId="623">
    <w:name w:val="xl140"/>
    <w:basedOn w:val="1"/>
    <w:qFormat/>
    <w:uiPriority w:val="0"/>
    <w:pPr>
      <w:widowControl/>
      <w:spacing w:before="100" w:beforeAutospacing="1" w:after="100" w:afterAutospacing="1"/>
      <w:jc w:val="center"/>
      <w:textAlignment w:val="center"/>
    </w:pPr>
    <w:rPr>
      <w:rFonts w:ascii="Arial Unicode MS" w:hAnsi="Arial Unicode MS"/>
      <w:sz w:val="16"/>
      <w:szCs w:val="16"/>
    </w:rPr>
  </w:style>
  <w:style w:type="paragraph" w:customStyle="1" w:styleId="624">
    <w:name w:val="xl141"/>
    <w:basedOn w:val="1"/>
    <w:qFormat/>
    <w:uiPriority w:val="0"/>
    <w:pPr>
      <w:widowControl/>
      <w:spacing w:before="100" w:beforeAutospacing="1" w:after="100" w:afterAutospacing="1"/>
      <w:jc w:val="left"/>
    </w:pPr>
    <w:rPr>
      <w:rFonts w:ascii="Arial Unicode MS" w:hAnsi="Arial Unicode MS"/>
      <w:sz w:val="16"/>
      <w:szCs w:val="16"/>
    </w:rPr>
  </w:style>
  <w:style w:type="paragraph" w:customStyle="1" w:styleId="625">
    <w:name w:val="xl14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26">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27">
    <w:name w:val="xl144"/>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sz w:val="16"/>
      <w:szCs w:val="16"/>
    </w:rPr>
  </w:style>
  <w:style w:type="paragraph" w:customStyle="1" w:styleId="628">
    <w:name w:val="xl145"/>
    <w:basedOn w:val="1"/>
    <w:qFormat/>
    <w:uiPriority w:val="0"/>
    <w:pPr>
      <w:widowControl/>
      <w:spacing w:before="100" w:beforeAutospacing="1" w:after="100" w:afterAutospacing="1"/>
      <w:jc w:val="left"/>
    </w:pPr>
    <w:rPr>
      <w:rFonts w:ascii="Arial Unicode MS" w:hAnsi="Arial Unicode MS"/>
      <w:sz w:val="16"/>
      <w:szCs w:val="16"/>
    </w:rPr>
  </w:style>
  <w:style w:type="paragraph" w:customStyle="1" w:styleId="629">
    <w:name w:val="xl146"/>
    <w:basedOn w:val="1"/>
    <w:qFormat/>
    <w:uiPriority w:val="0"/>
    <w:pPr>
      <w:widowControl/>
      <w:spacing w:before="100" w:beforeAutospacing="1" w:after="100" w:afterAutospacing="1"/>
      <w:jc w:val="left"/>
    </w:pPr>
    <w:rPr>
      <w:rFonts w:ascii="Arial Unicode MS" w:hAnsi="Arial Unicode MS"/>
      <w:sz w:val="16"/>
      <w:szCs w:val="16"/>
    </w:rPr>
  </w:style>
  <w:style w:type="paragraph" w:customStyle="1" w:styleId="630">
    <w:name w:val="xl147"/>
    <w:basedOn w:val="1"/>
    <w:qFormat/>
    <w:uiPriority w:val="0"/>
    <w:pPr>
      <w:widowControl/>
      <w:spacing w:before="100" w:beforeAutospacing="1" w:after="100" w:afterAutospacing="1"/>
      <w:jc w:val="center"/>
    </w:pPr>
    <w:rPr>
      <w:rFonts w:ascii="Arial Unicode MS" w:hAnsi="Arial Unicode MS"/>
    </w:rPr>
  </w:style>
  <w:style w:type="paragraph" w:customStyle="1" w:styleId="631">
    <w:name w:val="xl148"/>
    <w:basedOn w:val="1"/>
    <w:qFormat/>
    <w:uiPriority w:val="0"/>
    <w:pPr>
      <w:widowControl/>
      <w:pBdr>
        <w:bottom w:val="single" w:color="auto" w:sz="8" w:space="0"/>
      </w:pBdr>
      <w:spacing w:before="100" w:beforeAutospacing="1" w:after="100" w:afterAutospacing="1"/>
      <w:jc w:val="left"/>
    </w:pPr>
    <w:rPr>
      <w:rFonts w:ascii="Arial Unicode MS" w:hAnsi="Arial Unicode MS"/>
    </w:rPr>
  </w:style>
  <w:style w:type="paragraph" w:customStyle="1" w:styleId="632">
    <w:name w:val="xl149"/>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rPr>
  </w:style>
  <w:style w:type="paragraph" w:customStyle="1" w:styleId="633">
    <w:name w:val="xl150"/>
    <w:basedOn w:val="1"/>
    <w:qFormat/>
    <w:uiPriority w:val="0"/>
    <w:pPr>
      <w:widowControl/>
      <w:pBdr>
        <w:bottom w:val="single" w:color="auto" w:sz="8" w:space="0"/>
      </w:pBdr>
      <w:spacing w:before="100" w:beforeAutospacing="1" w:after="100" w:afterAutospacing="1"/>
      <w:jc w:val="left"/>
    </w:pPr>
    <w:rPr>
      <w:rFonts w:ascii="Arial Unicode MS" w:hAnsi="Arial Unicode MS"/>
      <w:sz w:val="16"/>
      <w:szCs w:val="16"/>
    </w:rPr>
  </w:style>
  <w:style w:type="paragraph" w:customStyle="1" w:styleId="634">
    <w:name w:val="xl151"/>
    <w:basedOn w:val="1"/>
    <w:qFormat/>
    <w:uiPriority w:val="0"/>
    <w:pPr>
      <w:widowControl/>
      <w:spacing w:before="100" w:beforeAutospacing="1" w:after="100" w:afterAutospacing="1"/>
      <w:jc w:val="left"/>
    </w:pPr>
    <w:rPr>
      <w:sz w:val="16"/>
      <w:szCs w:val="16"/>
    </w:rPr>
  </w:style>
  <w:style w:type="paragraph" w:customStyle="1" w:styleId="635">
    <w:name w:val="xl152"/>
    <w:basedOn w:val="1"/>
    <w:qFormat/>
    <w:uiPriority w:val="0"/>
    <w:pPr>
      <w:widowControl/>
      <w:spacing w:before="100" w:beforeAutospacing="1" w:after="100" w:afterAutospacing="1"/>
      <w:jc w:val="left"/>
      <w:textAlignment w:val="center"/>
    </w:pPr>
    <w:rPr>
      <w:rFonts w:ascii="Arial Unicode MS" w:hAnsi="Arial Unicode MS"/>
      <w:sz w:val="16"/>
      <w:szCs w:val="16"/>
    </w:rPr>
  </w:style>
  <w:style w:type="paragraph" w:customStyle="1" w:styleId="636">
    <w:name w:val="xl153"/>
    <w:basedOn w:val="1"/>
    <w:qFormat/>
    <w:uiPriority w:val="0"/>
    <w:pPr>
      <w:widowControl/>
      <w:spacing w:before="100" w:beforeAutospacing="1" w:after="100" w:afterAutospacing="1"/>
      <w:jc w:val="center"/>
      <w:textAlignment w:val="center"/>
    </w:pPr>
    <w:rPr>
      <w:rFonts w:ascii="Arial Unicode MS" w:hAnsi="Arial Unicode MS"/>
      <w:sz w:val="16"/>
      <w:szCs w:val="16"/>
    </w:rPr>
  </w:style>
  <w:style w:type="paragraph" w:customStyle="1" w:styleId="637">
    <w:name w:val="xl154"/>
    <w:basedOn w:val="1"/>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sz w:val="12"/>
      <w:szCs w:val="12"/>
    </w:rPr>
  </w:style>
  <w:style w:type="paragraph" w:customStyle="1" w:styleId="638">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sz w:val="20"/>
    </w:rPr>
  </w:style>
  <w:style w:type="paragraph" w:customStyle="1" w:styleId="639">
    <w:name w:val="xl15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sz w:val="20"/>
    </w:rPr>
  </w:style>
  <w:style w:type="paragraph" w:customStyle="1" w:styleId="640">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sz w:val="20"/>
    </w:rPr>
  </w:style>
  <w:style w:type="paragraph" w:customStyle="1" w:styleId="641">
    <w:name w:val="xl158"/>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sz w:val="16"/>
      <w:szCs w:val="16"/>
    </w:rPr>
  </w:style>
  <w:style w:type="paragraph" w:customStyle="1" w:styleId="642">
    <w:name w:val="xl159"/>
    <w:basedOn w:val="1"/>
    <w:qFormat/>
    <w:uiPriority w:val="0"/>
    <w:pPr>
      <w:widowControl/>
      <w:pBdr>
        <w:right w:val="single" w:color="auto" w:sz="4" w:space="0"/>
      </w:pBdr>
      <w:spacing w:before="100" w:beforeAutospacing="1" w:after="100" w:afterAutospacing="1"/>
      <w:jc w:val="left"/>
    </w:pPr>
    <w:rPr>
      <w:rFonts w:ascii="Arial Unicode MS" w:hAnsi="Arial Unicode MS"/>
    </w:rPr>
  </w:style>
  <w:style w:type="paragraph" w:customStyle="1" w:styleId="643">
    <w:name w:val="xl160"/>
    <w:basedOn w:val="1"/>
    <w:qFormat/>
    <w:uiPriority w:val="0"/>
    <w:pPr>
      <w:widowControl/>
      <w:spacing w:before="100" w:beforeAutospacing="1" w:after="100" w:afterAutospacing="1"/>
      <w:jc w:val="center"/>
      <w:textAlignment w:val="center"/>
    </w:pPr>
    <w:rPr>
      <w:rFonts w:ascii="Arial Unicode MS" w:hAnsi="Arial Unicode MS"/>
    </w:rPr>
  </w:style>
  <w:style w:type="paragraph" w:customStyle="1" w:styleId="644">
    <w:name w:val="xl161"/>
    <w:basedOn w:val="1"/>
    <w:qFormat/>
    <w:uiPriority w:val="0"/>
    <w:pPr>
      <w:widowControl/>
      <w:spacing w:before="100" w:beforeAutospacing="1" w:after="100" w:afterAutospacing="1"/>
      <w:jc w:val="center"/>
      <w:textAlignment w:val="center"/>
    </w:pPr>
    <w:rPr>
      <w:rFonts w:ascii="Arial Unicode MS" w:hAnsi="Arial Unicode MS"/>
    </w:rPr>
  </w:style>
  <w:style w:type="paragraph" w:customStyle="1" w:styleId="645">
    <w:name w:val="xl162"/>
    <w:basedOn w:val="1"/>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rPr>
  </w:style>
  <w:style w:type="paragraph" w:customStyle="1" w:styleId="646">
    <w:name w:val="xl163"/>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rPr>
  </w:style>
  <w:style w:type="paragraph" w:customStyle="1" w:styleId="647">
    <w:name w:val="xl164"/>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rPr>
  </w:style>
  <w:style w:type="paragraph" w:customStyle="1" w:styleId="648">
    <w:name w:val="xl165"/>
    <w:basedOn w:val="1"/>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rPr>
  </w:style>
  <w:style w:type="paragraph" w:customStyle="1" w:styleId="649">
    <w:name w:val="xl166"/>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rPr>
  </w:style>
  <w:style w:type="paragraph" w:customStyle="1" w:styleId="650">
    <w:name w:val="xl167"/>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rPr>
  </w:style>
  <w:style w:type="paragraph" w:customStyle="1" w:styleId="651">
    <w:name w:val="xl168"/>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rPr>
  </w:style>
  <w:style w:type="paragraph" w:customStyle="1" w:styleId="652">
    <w:name w:val="xl169"/>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rPr>
  </w:style>
  <w:style w:type="paragraph" w:customStyle="1" w:styleId="653">
    <w:name w:val="xl170"/>
    <w:basedOn w:val="1"/>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rPr>
  </w:style>
  <w:style w:type="paragraph" w:customStyle="1" w:styleId="654">
    <w:name w:val="xl17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rPr>
  </w:style>
  <w:style w:type="paragraph" w:customStyle="1" w:styleId="655">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rPr>
  </w:style>
  <w:style w:type="paragraph" w:customStyle="1" w:styleId="656">
    <w:name w:val="xl173"/>
    <w:basedOn w:val="1"/>
    <w:qFormat/>
    <w:uiPriority w:val="0"/>
    <w:pPr>
      <w:widowControl/>
      <w:spacing w:before="100" w:beforeAutospacing="1" w:after="100" w:afterAutospacing="1"/>
      <w:jc w:val="center"/>
      <w:textAlignment w:val="center"/>
    </w:pPr>
    <w:rPr>
      <w:rFonts w:ascii="Arial Unicode MS" w:hAnsi="Arial Unicode MS"/>
    </w:rPr>
  </w:style>
  <w:style w:type="paragraph" w:customStyle="1" w:styleId="657">
    <w:name w:val="xl174"/>
    <w:basedOn w:val="1"/>
    <w:qFormat/>
    <w:uiPriority w:val="0"/>
    <w:pPr>
      <w:widowControl/>
      <w:spacing w:before="100" w:beforeAutospacing="1" w:after="100" w:afterAutospacing="1"/>
      <w:jc w:val="center"/>
    </w:pPr>
    <w:rPr>
      <w:rFonts w:ascii="Arial Unicode MS" w:hAnsi="Arial Unicode MS"/>
      <w:sz w:val="16"/>
      <w:szCs w:val="16"/>
    </w:rPr>
  </w:style>
  <w:style w:type="paragraph" w:customStyle="1" w:styleId="658">
    <w:name w:val="xl175"/>
    <w:basedOn w:val="1"/>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rPr>
  </w:style>
  <w:style w:type="paragraph" w:customStyle="1" w:styleId="659">
    <w:name w:val="xl176"/>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rPr>
  </w:style>
  <w:style w:type="paragraph" w:customStyle="1" w:styleId="660">
    <w:name w:val="xl177"/>
    <w:basedOn w:val="1"/>
    <w:qFormat/>
    <w:uiPriority w:val="0"/>
    <w:pPr>
      <w:widowControl/>
      <w:pBdr>
        <w:left w:val="single" w:color="auto" w:sz="4" w:space="0"/>
      </w:pBdr>
      <w:spacing w:before="100" w:beforeAutospacing="1" w:after="100" w:afterAutospacing="1"/>
      <w:jc w:val="center"/>
    </w:pPr>
    <w:rPr>
      <w:rFonts w:ascii="Arial Unicode MS" w:hAnsi="Arial Unicode MS"/>
      <w:sz w:val="12"/>
      <w:szCs w:val="12"/>
    </w:rPr>
  </w:style>
  <w:style w:type="paragraph" w:customStyle="1" w:styleId="661">
    <w:name w:val="xl178"/>
    <w:basedOn w:val="1"/>
    <w:qFormat/>
    <w:uiPriority w:val="0"/>
    <w:pPr>
      <w:widowControl/>
      <w:spacing w:before="100" w:beforeAutospacing="1" w:after="100" w:afterAutospacing="1"/>
      <w:jc w:val="center"/>
    </w:pPr>
    <w:rPr>
      <w:rFonts w:ascii="Arial Unicode MS" w:hAnsi="Arial Unicode MS"/>
      <w:sz w:val="12"/>
      <w:szCs w:val="12"/>
    </w:rPr>
  </w:style>
  <w:style w:type="paragraph" w:customStyle="1" w:styleId="662">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63">
    <w:name w:val="xl18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64">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65">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rPr>
  </w:style>
  <w:style w:type="paragraph" w:customStyle="1" w:styleId="666">
    <w:name w:val="xl1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67">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68">
    <w:name w:val="xl185"/>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sz w:val="12"/>
      <w:szCs w:val="12"/>
    </w:rPr>
  </w:style>
  <w:style w:type="paragraph" w:customStyle="1" w:styleId="669">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sz w:val="16"/>
      <w:szCs w:val="16"/>
    </w:rPr>
  </w:style>
  <w:style w:type="paragraph" w:customStyle="1" w:styleId="670">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rPr>
  </w:style>
  <w:style w:type="paragraph" w:customStyle="1" w:styleId="671">
    <w:name w:val="xl188"/>
    <w:basedOn w:val="1"/>
    <w:qFormat/>
    <w:uiPriority w:val="0"/>
    <w:pPr>
      <w:widowControl/>
      <w:spacing w:before="100" w:beforeAutospacing="1" w:after="100" w:afterAutospacing="1"/>
      <w:jc w:val="left"/>
      <w:textAlignment w:val="center"/>
    </w:pPr>
    <w:rPr>
      <w:sz w:val="12"/>
      <w:szCs w:val="12"/>
    </w:rPr>
  </w:style>
  <w:style w:type="paragraph" w:customStyle="1" w:styleId="672">
    <w:name w:val="xl189"/>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rPr>
  </w:style>
  <w:style w:type="paragraph" w:customStyle="1" w:styleId="673">
    <w:name w:val="xl190"/>
    <w:basedOn w:val="1"/>
    <w:qFormat/>
    <w:uiPriority w:val="0"/>
    <w:pPr>
      <w:widowControl/>
      <w:pBdr>
        <w:top w:val="single" w:color="auto" w:sz="12" w:space="0"/>
      </w:pBdr>
      <w:spacing w:before="100" w:beforeAutospacing="1" w:after="100" w:afterAutospacing="1"/>
      <w:jc w:val="left"/>
      <w:textAlignment w:val="center"/>
    </w:pPr>
    <w:rPr>
      <w:rFonts w:ascii="Arial Unicode MS" w:hAnsi="Arial Unicode MS"/>
      <w:sz w:val="12"/>
      <w:szCs w:val="12"/>
    </w:rPr>
  </w:style>
  <w:style w:type="paragraph" w:customStyle="1" w:styleId="674">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75">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sz w:val="16"/>
      <w:szCs w:val="16"/>
    </w:rPr>
  </w:style>
  <w:style w:type="paragraph" w:customStyle="1" w:styleId="676">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sz w:val="16"/>
      <w:szCs w:val="16"/>
    </w:rPr>
  </w:style>
  <w:style w:type="paragraph" w:customStyle="1" w:styleId="677">
    <w:name w:val="xl194"/>
    <w:basedOn w:val="1"/>
    <w:qFormat/>
    <w:uiPriority w:val="0"/>
    <w:pPr>
      <w:widowControl/>
      <w:spacing w:before="100" w:beforeAutospacing="1" w:after="100" w:afterAutospacing="1"/>
      <w:jc w:val="center"/>
    </w:pPr>
    <w:rPr>
      <w:sz w:val="16"/>
      <w:szCs w:val="16"/>
    </w:rPr>
  </w:style>
  <w:style w:type="paragraph" w:customStyle="1" w:styleId="678">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rPr>
  </w:style>
  <w:style w:type="paragraph" w:customStyle="1" w:styleId="679">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rPr>
  </w:style>
  <w:style w:type="paragraph" w:customStyle="1" w:styleId="680">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rPr>
  </w:style>
  <w:style w:type="paragraph" w:customStyle="1" w:styleId="681">
    <w:name w:val="xl198"/>
    <w:basedOn w:val="1"/>
    <w:qFormat/>
    <w:uiPriority w:val="0"/>
    <w:pPr>
      <w:widowControl/>
      <w:pBdr>
        <w:bottom w:val="single" w:color="auto" w:sz="8" w:space="0"/>
      </w:pBdr>
      <w:spacing w:before="100" w:beforeAutospacing="1" w:after="100" w:afterAutospacing="1"/>
      <w:jc w:val="center"/>
    </w:pPr>
    <w:rPr>
      <w:rFonts w:ascii="Arial Unicode MS" w:hAnsi="Arial Unicode MS"/>
      <w:sz w:val="16"/>
      <w:szCs w:val="16"/>
    </w:rPr>
  </w:style>
  <w:style w:type="character" w:customStyle="1" w:styleId="682">
    <w:name w:val="css-text3"/>
    <w:qFormat/>
    <w:uiPriority w:val="0"/>
  </w:style>
  <w:style w:type="paragraph" w:customStyle="1" w:styleId="683">
    <w:name w:val="style12"/>
    <w:basedOn w:val="1"/>
    <w:qFormat/>
    <w:uiPriority w:val="0"/>
    <w:pPr>
      <w:widowControl/>
      <w:spacing w:before="100" w:beforeAutospacing="1" w:after="100" w:afterAutospacing="1"/>
      <w:jc w:val="left"/>
    </w:pPr>
    <w:rPr>
      <w:rFonts w:ascii="Arial" w:hAnsi="Arial" w:cs="Arial"/>
      <w:color w:val="666666"/>
      <w:sz w:val="18"/>
      <w:szCs w:val="18"/>
    </w:rPr>
  </w:style>
  <w:style w:type="paragraph" w:customStyle="1" w:styleId="684">
    <w:name w:val="图框"/>
    <w:basedOn w:val="1"/>
    <w:qFormat/>
    <w:uiPriority w:val="0"/>
    <w:pPr>
      <w:jc w:val="center"/>
    </w:pPr>
    <w:rPr>
      <w:szCs w:val="15"/>
    </w:rPr>
  </w:style>
  <w:style w:type="paragraph" w:customStyle="1" w:styleId="685">
    <w:name w:val="图注"/>
    <w:basedOn w:val="1"/>
    <w:next w:val="1"/>
    <w:qFormat/>
    <w:uiPriority w:val="0"/>
    <w:pPr>
      <w:spacing w:before="120" w:line="320" w:lineRule="atLeast"/>
      <w:ind w:left="7" w:leftChars="-27" w:hanging="72" w:hangingChars="30"/>
      <w:jc w:val="center"/>
    </w:pPr>
    <w:rPr>
      <w:rFonts w:hAnsi="宋体"/>
      <w:bCs/>
      <w:color w:val="000000"/>
    </w:rPr>
  </w:style>
  <w:style w:type="paragraph" w:customStyle="1" w:styleId="686">
    <w:name w:val="h"/>
    <w:basedOn w:val="1"/>
    <w:qFormat/>
    <w:uiPriority w:val="0"/>
    <w:pPr>
      <w:spacing w:before="60"/>
      <w:ind w:firstLine="482"/>
    </w:pPr>
    <w:rPr>
      <w:rFonts w:ascii="Arial" w:hAnsi="Arial" w:eastAsia="仿宋_GB2312"/>
    </w:rPr>
  </w:style>
  <w:style w:type="paragraph" w:customStyle="1" w:styleId="687">
    <w:name w:val="heading"/>
    <w:basedOn w:val="1"/>
    <w:next w:val="1"/>
    <w:qFormat/>
    <w:uiPriority w:val="0"/>
    <w:pPr>
      <w:keepNext/>
      <w:keepLines/>
      <w:tabs>
        <w:tab w:val="left" w:pos="576"/>
      </w:tabs>
      <w:spacing w:line="360" w:lineRule="auto"/>
      <w:ind w:left="576"/>
      <w:outlineLvl w:val="1"/>
    </w:pPr>
    <w:rPr>
      <w:rFonts w:hAnsi="Arial Black" w:cs="宋体"/>
    </w:rPr>
  </w:style>
  <w:style w:type="character" w:customStyle="1" w:styleId="688">
    <w:name w:val="content1"/>
    <w:qFormat/>
    <w:uiPriority w:val="0"/>
    <w:rPr>
      <w:sz w:val="20"/>
      <w:szCs w:val="20"/>
    </w:rPr>
  </w:style>
  <w:style w:type="paragraph" w:customStyle="1" w:styleId="689">
    <w:name w:val="封面"/>
    <w:basedOn w:val="1"/>
    <w:qFormat/>
    <w:uiPriority w:val="0"/>
    <w:pPr>
      <w:adjustRightInd w:val="0"/>
      <w:spacing w:before="60" w:line="360" w:lineRule="auto"/>
      <w:ind w:firstLine="482"/>
      <w:jc w:val="center"/>
      <w:textAlignment w:val="baseline"/>
    </w:pPr>
    <w:rPr>
      <w:rFonts w:ascii="Arial" w:hAnsi="Arial" w:eastAsia="仿宋_GB2312"/>
      <w:b/>
      <w:sz w:val="30"/>
    </w:rPr>
  </w:style>
  <w:style w:type="paragraph" w:customStyle="1" w:styleId="690">
    <w:name w:val="项目段落"/>
    <w:basedOn w:val="1"/>
    <w:qFormat/>
    <w:uiPriority w:val="0"/>
    <w:pPr>
      <w:spacing w:before="60" w:line="360" w:lineRule="auto"/>
      <w:ind w:left="476" w:firstLine="482"/>
    </w:pPr>
    <w:rPr>
      <w:rFonts w:ascii="Arial" w:hAnsi="Arial" w:eastAsia="仿宋_GB2312"/>
    </w:rPr>
  </w:style>
  <w:style w:type="paragraph" w:customStyle="1" w:styleId="691">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692">
    <w:name w:val="样式"/>
    <w:basedOn w:val="1"/>
    <w:next w:val="1"/>
    <w:qFormat/>
    <w:uiPriority w:val="0"/>
    <w:pPr>
      <w:ind w:firstLine="420"/>
    </w:pPr>
    <w:rPr>
      <w:rFonts w:hAnsi="Arial Black" w:cs="宋体"/>
    </w:rPr>
  </w:style>
  <w:style w:type="paragraph" w:customStyle="1" w:styleId="693">
    <w:name w:val="样式8"/>
    <w:basedOn w:val="1"/>
    <w:next w:val="1"/>
    <w:qFormat/>
    <w:uiPriority w:val="0"/>
    <w:pPr>
      <w:ind w:firstLine="420"/>
    </w:pPr>
    <w:rPr>
      <w:rFonts w:hAnsi="Arial Black" w:cs="宋体"/>
    </w:rPr>
  </w:style>
  <w:style w:type="paragraph" w:customStyle="1" w:styleId="694">
    <w:name w:val="样式a"/>
    <w:basedOn w:val="1"/>
    <w:qFormat/>
    <w:uiPriority w:val="0"/>
    <w:pPr>
      <w:adjustRightInd w:val="0"/>
      <w:snapToGrid w:val="0"/>
      <w:spacing w:line="420" w:lineRule="exact"/>
      <w:ind w:firstLine="200" w:firstLineChars="200"/>
      <w:textAlignment w:val="baseline"/>
    </w:pPr>
  </w:style>
  <w:style w:type="paragraph" w:customStyle="1" w:styleId="695">
    <w:name w:val="样式5"/>
    <w:basedOn w:val="35"/>
    <w:qFormat/>
    <w:uiPriority w:val="0"/>
    <w:pPr>
      <w:spacing w:after="0"/>
      <w:ind w:right="-105" w:rightChars="-50"/>
      <w:jc w:val="center"/>
    </w:pPr>
    <w:rPr>
      <w:rFonts w:ascii="宋体" w:cs="宋体"/>
      <w:szCs w:val="21"/>
    </w:rPr>
  </w:style>
  <w:style w:type="character" w:customStyle="1" w:styleId="696">
    <w:name w:val="标题3 Char"/>
    <w:qFormat/>
    <w:uiPriority w:val="0"/>
    <w:rPr>
      <w:rFonts w:eastAsia="黑体"/>
      <w:kern w:val="2"/>
      <w:sz w:val="24"/>
      <w:szCs w:val="24"/>
      <w:lang w:val="en-US" w:eastAsia="zh-CN"/>
    </w:rPr>
  </w:style>
  <w:style w:type="paragraph" w:customStyle="1" w:styleId="697">
    <w:name w:val="表居中（中文）"/>
    <w:basedOn w:val="1"/>
    <w:qFormat/>
    <w:uiPriority w:val="0"/>
    <w:pPr>
      <w:adjustRightInd w:val="0"/>
      <w:spacing w:line="380" w:lineRule="atLeast"/>
      <w:jc w:val="center"/>
      <w:textAlignment w:val="baseline"/>
    </w:pPr>
    <w:rPr>
      <w:rFonts w:eastAsia="楷体_GB2312"/>
    </w:rPr>
  </w:style>
  <w:style w:type="paragraph" w:customStyle="1" w:styleId="698">
    <w:name w:val="6"/>
    <w:basedOn w:val="1"/>
    <w:next w:val="76"/>
    <w:qFormat/>
    <w:uiPriority w:val="0"/>
    <w:pPr>
      <w:spacing w:after="120" w:line="480" w:lineRule="auto"/>
    </w:pPr>
  </w:style>
  <w:style w:type="character" w:customStyle="1" w:styleId="699">
    <w:name w:val="16p"/>
    <w:qFormat/>
    <w:uiPriority w:val="0"/>
  </w:style>
  <w:style w:type="character" w:customStyle="1" w:styleId="700">
    <w:name w:val="show"/>
    <w:qFormat/>
    <w:uiPriority w:val="0"/>
  </w:style>
  <w:style w:type="paragraph" w:customStyle="1" w:styleId="701">
    <w:name w:val="文件名称"/>
    <w:basedOn w:val="1"/>
    <w:next w:val="1"/>
    <w:qFormat/>
    <w:uiPriority w:val="0"/>
    <w:pPr>
      <w:spacing w:before="100" w:beforeLines="100"/>
      <w:jc w:val="center"/>
    </w:pPr>
    <w:rPr>
      <w:rFonts w:ascii="黑体" w:eastAsia="黑体"/>
      <w:sz w:val="84"/>
      <w:szCs w:val="84"/>
    </w:rPr>
  </w:style>
  <w:style w:type="paragraph" w:customStyle="1" w:styleId="702">
    <w:name w:val="参加人员"/>
    <w:basedOn w:val="1"/>
    <w:qFormat/>
    <w:uiPriority w:val="0"/>
    <w:rPr>
      <w:szCs w:val="28"/>
    </w:rPr>
  </w:style>
  <w:style w:type="character" w:customStyle="1" w:styleId="703">
    <w:name w:val="e91"/>
    <w:qFormat/>
    <w:uiPriority w:val="0"/>
    <w:rPr>
      <w:rFonts w:hint="default" w:ascii="Arial" w:hAnsi="Arial" w:cs="Arial"/>
      <w:sz w:val="21"/>
      <w:szCs w:val="21"/>
    </w:rPr>
  </w:style>
  <w:style w:type="paragraph" w:customStyle="1" w:styleId="704">
    <w:name w:val="项目名称"/>
    <w:basedOn w:val="1"/>
    <w:next w:val="1"/>
    <w:qFormat/>
    <w:uiPriority w:val="0"/>
    <w:pPr>
      <w:spacing w:line="800" w:lineRule="atLeast"/>
      <w:jc w:val="center"/>
      <w:outlineLvl w:val="0"/>
    </w:pPr>
    <w:rPr>
      <w:rFonts w:ascii="黑体" w:eastAsia="黑体"/>
      <w:sz w:val="52"/>
      <w:szCs w:val="52"/>
    </w:rPr>
  </w:style>
  <w:style w:type="paragraph" w:customStyle="1" w:styleId="705">
    <w:name w:val="单位名称"/>
    <w:basedOn w:val="1"/>
    <w:next w:val="1"/>
    <w:qFormat/>
    <w:uiPriority w:val="0"/>
    <w:pPr>
      <w:jc w:val="center"/>
    </w:pPr>
    <w:rPr>
      <w:sz w:val="44"/>
      <w:szCs w:val="44"/>
    </w:rPr>
  </w:style>
  <w:style w:type="paragraph" w:customStyle="1" w:styleId="706">
    <w:name w:val="文件册号"/>
    <w:basedOn w:val="1"/>
    <w:next w:val="1"/>
    <w:qFormat/>
    <w:uiPriority w:val="0"/>
    <w:pPr>
      <w:spacing w:line="800" w:lineRule="atLeast"/>
      <w:jc w:val="center"/>
    </w:pPr>
    <w:rPr>
      <w:sz w:val="52"/>
      <w:szCs w:val="52"/>
    </w:rPr>
  </w:style>
  <w:style w:type="paragraph" w:customStyle="1" w:styleId="707">
    <w:name w:val="文件编号"/>
    <w:basedOn w:val="1"/>
    <w:next w:val="1"/>
    <w:qFormat/>
    <w:uiPriority w:val="0"/>
    <w:pPr>
      <w:jc w:val="center"/>
    </w:pPr>
    <w:rPr>
      <w:rFonts w:ascii="黑体" w:eastAsia="黑体"/>
      <w:sz w:val="44"/>
      <w:szCs w:val="44"/>
    </w:rPr>
  </w:style>
  <w:style w:type="paragraph" w:customStyle="1" w:styleId="708">
    <w:name w:val="主要负责人"/>
    <w:basedOn w:val="1"/>
    <w:next w:val="1"/>
    <w:qFormat/>
    <w:uiPriority w:val="0"/>
    <w:pPr>
      <w:jc w:val="center"/>
    </w:pPr>
    <w:rPr>
      <w:sz w:val="36"/>
      <w:szCs w:val="36"/>
    </w:rPr>
  </w:style>
  <w:style w:type="paragraph" w:customStyle="1" w:styleId="709">
    <w:name w:val="参加人员名单"/>
    <w:basedOn w:val="1"/>
    <w:next w:val="1"/>
    <w:qFormat/>
    <w:uiPriority w:val="0"/>
    <w:pPr>
      <w:jc w:val="center"/>
      <w:outlineLvl w:val="0"/>
    </w:pPr>
    <w:rPr>
      <w:sz w:val="32"/>
      <w:szCs w:val="32"/>
    </w:rPr>
  </w:style>
  <w:style w:type="paragraph" w:customStyle="1" w:styleId="710">
    <w:name w:val="标号正文"/>
    <w:basedOn w:val="1"/>
    <w:next w:val="1"/>
    <w:qFormat/>
    <w:uiPriority w:val="0"/>
    <w:pPr>
      <w:tabs>
        <w:tab w:val="left" w:pos="765"/>
      </w:tabs>
      <w:overflowPunct w:val="0"/>
      <w:snapToGrid w:val="0"/>
      <w:spacing w:line="480" w:lineRule="exact"/>
      <w:ind w:left="765" w:hanging="765"/>
      <w:jc w:val="left"/>
    </w:pPr>
    <w:rPr>
      <w:rFonts w:ascii="Arial" w:hAnsi="Arial" w:eastAsia="仿宋_GB2312"/>
      <w:sz w:val="28"/>
    </w:rPr>
  </w:style>
  <w:style w:type="character" w:customStyle="1" w:styleId="711">
    <w:name w:val="标题 Char"/>
    <w:qFormat/>
    <w:uiPriority w:val="0"/>
    <w:rPr>
      <w:rFonts w:ascii="Arial" w:hAnsi="Arial" w:eastAsia="宋体" w:cs="Arial"/>
      <w:b/>
      <w:bCs/>
      <w:sz w:val="32"/>
      <w:szCs w:val="32"/>
      <w:lang w:val="en-US" w:eastAsia="zh-CN" w:bidi="ar-SA"/>
    </w:rPr>
  </w:style>
  <w:style w:type="character" w:customStyle="1" w:styleId="712">
    <w:name w:val="font141"/>
    <w:qFormat/>
    <w:uiPriority w:val="0"/>
    <w:rPr>
      <w:rFonts w:hint="default"/>
      <w:color w:val="000000"/>
    </w:rPr>
  </w:style>
  <w:style w:type="character" w:customStyle="1" w:styleId="713">
    <w:name w:val="unnamed1"/>
    <w:qFormat/>
    <w:uiPriority w:val="0"/>
  </w:style>
  <w:style w:type="paragraph" w:customStyle="1" w:styleId="714">
    <w:name w:val="页眉左"/>
    <w:basedOn w:val="57"/>
    <w:qFormat/>
    <w:uiPriority w:val="0"/>
    <w:pPr>
      <w:pBdr>
        <w:bottom w:val="none" w:color="auto" w:sz="0" w:space="0"/>
      </w:pBdr>
      <w:adjustRightInd w:val="0"/>
      <w:snapToGrid/>
      <w:spacing w:before="60" w:after="60" w:line="240" w:lineRule="atLeast"/>
      <w:jc w:val="left"/>
      <w:textAlignment w:val="baseline"/>
    </w:pPr>
    <w:rPr>
      <w:kern w:val="0"/>
      <w:sz w:val="22"/>
      <w:szCs w:val="20"/>
      <w:lang w:val="en-GB"/>
    </w:rPr>
  </w:style>
  <w:style w:type="paragraph" w:customStyle="1" w:styleId="715">
    <w:name w:val="宏福3"/>
    <w:basedOn w:val="6"/>
    <w:qFormat/>
    <w:uiPriority w:val="0"/>
    <w:pPr>
      <w:snapToGrid w:val="0"/>
      <w:spacing w:before="240" w:after="0" w:line="240" w:lineRule="auto"/>
    </w:pPr>
    <w:rPr>
      <w:b w:val="0"/>
      <w:bCs w:val="0"/>
      <w:sz w:val="28"/>
      <w:szCs w:val="20"/>
    </w:rPr>
  </w:style>
  <w:style w:type="paragraph" w:customStyle="1" w:styleId="716">
    <w:name w:val="宏福正文-2"/>
    <w:basedOn w:val="86"/>
    <w:qFormat/>
    <w:uiPriority w:val="0"/>
    <w:pPr>
      <w:snapToGrid w:val="0"/>
      <w:spacing w:before="240" w:after="0" w:line="400" w:lineRule="atLeast"/>
      <w:ind w:firstLine="567" w:firstLineChars="0"/>
    </w:pPr>
    <w:rPr>
      <w:rFonts w:eastAsia="宋体"/>
      <w:szCs w:val="20"/>
    </w:rPr>
  </w:style>
  <w:style w:type="character" w:customStyle="1" w:styleId="717">
    <w:name w:val="f241"/>
    <w:qFormat/>
    <w:uiPriority w:val="0"/>
    <w:rPr>
      <w:sz w:val="36"/>
      <w:szCs w:val="36"/>
    </w:rPr>
  </w:style>
  <w:style w:type="character" w:customStyle="1" w:styleId="718">
    <w:name w:val="pccs1"/>
    <w:qFormat/>
    <w:uiPriority w:val="0"/>
    <w:rPr>
      <w:sz w:val="18"/>
      <w:szCs w:val="18"/>
    </w:rPr>
  </w:style>
  <w:style w:type="character" w:customStyle="1" w:styleId="719">
    <w:name w:val="t_tag"/>
    <w:qFormat/>
    <w:uiPriority w:val="0"/>
  </w:style>
  <w:style w:type="paragraph" w:customStyle="1" w:styleId="720">
    <w:name w:val="Char Char Char Char Char Char Char Char Char1 Char Char Char Char Char Char Char Char1 Char Char Char"/>
    <w:basedOn w:val="1"/>
    <w:qFormat/>
    <w:uiPriority w:val="0"/>
    <w:pPr>
      <w:snapToGrid w:val="0"/>
      <w:spacing w:line="360" w:lineRule="auto"/>
      <w:ind w:firstLine="200" w:firstLineChars="200"/>
    </w:pPr>
    <w:rPr>
      <w:rFonts w:eastAsia="仿宋_GB2312"/>
    </w:rPr>
  </w:style>
  <w:style w:type="paragraph" w:customStyle="1" w:styleId="721">
    <w:name w:val="样式 标题 2 + 段前: 0 磅"/>
    <w:basedOn w:val="5"/>
    <w:qFormat/>
    <w:uiPriority w:val="0"/>
    <w:pPr>
      <w:numPr>
        <w:ilvl w:val="0"/>
        <w:numId w:val="0"/>
      </w:numPr>
      <w:tabs>
        <w:tab w:val="clear" w:pos="0"/>
      </w:tabs>
      <w:spacing w:before="0" w:beforeLines="0" w:afterLines="0" w:line="520" w:lineRule="exact"/>
    </w:pPr>
    <w:rPr>
      <w:rFonts w:ascii="Arial" w:hAnsi="Arial" w:eastAsia="宋体" w:cs="宋体"/>
      <w:bCs/>
      <w:color w:val="auto"/>
      <w:spacing w:val="0"/>
      <w:kern w:val="2"/>
      <w:sz w:val="24"/>
      <w:szCs w:val="20"/>
    </w:rPr>
  </w:style>
  <w:style w:type="paragraph" w:customStyle="1" w:styleId="722">
    <w:name w:val="小四表文居中"/>
    <w:qFormat/>
    <w:uiPriority w:val="0"/>
    <w:pPr>
      <w:widowControl w:val="0"/>
      <w:jc w:val="center"/>
    </w:pPr>
    <w:rPr>
      <w:rFonts w:ascii="Times New Roman" w:hAnsi="Times New Roman" w:eastAsia="宋体" w:cs="Times New Roman"/>
      <w:color w:val="000000"/>
      <w:kern w:val="2"/>
      <w:sz w:val="21"/>
      <w:szCs w:val="21"/>
      <w:lang w:val="en-US" w:eastAsia="zh-CN" w:bidi="ar-SA"/>
    </w:rPr>
  </w:style>
  <w:style w:type="character" w:customStyle="1" w:styleId="723">
    <w:name w:val="Char Char7"/>
    <w:qFormat/>
    <w:uiPriority w:val="0"/>
    <w:rPr>
      <w:rFonts w:eastAsia="宋体"/>
      <w:kern w:val="2"/>
      <w:sz w:val="21"/>
      <w:szCs w:val="24"/>
      <w:lang w:val="en-US" w:eastAsia="zh-CN" w:bidi="ar-SA"/>
    </w:rPr>
  </w:style>
  <w:style w:type="character" w:customStyle="1" w:styleId="724">
    <w:name w:val="Char Char10"/>
    <w:qFormat/>
    <w:uiPriority w:val="0"/>
    <w:rPr>
      <w:rFonts w:eastAsia="宋体"/>
      <w:kern w:val="2"/>
      <w:sz w:val="21"/>
      <w:szCs w:val="24"/>
      <w:lang w:val="en-US" w:eastAsia="zh-CN" w:bidi="ar-SA"/>
    </w:rPr>
  </w:style>
  <w:style w:type="table" w:customStyle="1" w:styleId="725">
    <w:name w:val="环评格式"/>
    <w:basedOn w:val="154"/>
    <w:qFormat/>
    <w:uiPriority w:val="0"/>
    <w:tblPr>
      <w:jc w:val="center"/>
      <w:tblBorders>
        <w:right w:val="single" w:color="auto" w:sz="2" w:space="0"/>
      </w:tblBorders>
    </w:tblPr>
    <w:trPr>
      <w:jc w:val="center"/>
    </w:t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character" w:customStyle="1" w:styleId="726">
    <w:name w:val="Char Char5"/>
    <w:qFormat/>
    <w:uiPriority w:val="0"/>
    <w:rPr>
      <w:rFonts w:ascii="宋体" w:hAnsi="Courier New" w:eastAsia="宋体"/>
      <w:kern w:val="2"/>
      <w:sz w:val="21"/>
      <w:lang w:val="en-US" w:eastAsia="zh-CN" w:bidi="ar-SA"/>
    </w:rPr>
  </w:style>
  <w:style w:type="paragraph" w:customStyle="1" w:styleId="727">
    <w:name w:val="正文改动"/>
    <w:basedOn w:val="1"/>
    <w:qFormat/>
    <w:uiPriority w:val="0"/>
    <w:rPr>
      <w:color w:val="0000FF"/>
    </w:rPr>
  </w:style>
  <w:style w:type="character" w:customStyle="1" w:styleId="728">
    <w:name w:val="unnamed2"/>
    <w:qFormat/>
    <w:uiPriority w:val="0"/>
  </w:style>
  <w:style w:type="paragraph" w:customStyle="1" w:styleId="729">
    <w:name w:val="样式 正文"/>
    <w:basedOn w:val="1"/>
    <w:qFormat/>
    <w:uiPriority w:val="0"/>
    <w:pPr>
      <w:spacing w:line="360" w:lineRule="auto"/>
      <w:ind w:firstLine="200" w:firstLineChars="200"/>
    </w:pPr>
    <w:rPr>
      <w:rFonts w:hAnsi="宋体" w:cs="宋体"/>
      <w:color w:val="000000"/>
      <w:sz w:val="28"/>
      <w:szCs w:val="28"/>
    </w:rPr>
  </w:style>
  <w:style w:type="character" w:customStyle="1" w:styleId="730">
    <w:name w:val="b2 Char"/>
    <w:qFormat/>
    <w:uiPriority w:val="0"/>
    <w:rPr>
      <w:rFonts w:ascii="Arial" w:hAnsi="Arial" w:eastAsia="黑体" w:cs="Times New Roman"/>
      <w:b/>
      <w:bCs/>
      <w:kern w:val="0"/>
      <w:sz w:val="30"/>
      <w:szCs w:val="32"/>
    </w:rPr>
  </w:style>
  <w:style w:type="character" w:customStyle="1" w:styleId="731">
    <w:name w:val="Char Char18"/>
    <w:qFormat/>
    <w:uiPriority w:val="0"/>
    <w:rPr>
      <w:rFonts w:ascii="宋体" w:hAnsi="宋体" w:eastAsia="宋体" w:cs="Times New Roman"/>
      <w:color w:val="800000"/>
      <w:kern w:val="0"/>
      <w:sz w:val="28"/>
      <w:szCs w:val="20"/>
    </w:rPr>
  </w:style>
  <w:style w:type="paragraph" w:customStyle="1" w:styleId="732">
    <w:name w:val="正文表头"/>
    <w:basedOn w:val="1"/>
    <w:next w:val="1"/>
    <w:qFormat/>
    <w:uiPriority w:val="0"/>
    <w:pPr>
      <w:keepNext/>
      <w:tabs>
        <w:tab w:val="center" w:pos="4253"/>
        <w:tab w:val="center" w:pos="6804"/>
        <w:tab w:val="right" w:pos="8505"/>
      </w:tabs>
      <w:overflowPunct w:val="0"/>
      <w:adjustRightInd w:val="0"/>
      <w:spacing w:before="120" w:line="360" w:lineRule="auto"/>
      <w:jc w:val="center"/>
      <w:textAlignment w:val="baseline"/>
    </w:pPr>
    <w:rPr>
      <w:rFonts w:eastAsia="黑体"/>
      <w:sz w:val="28"/>
    </w:rPr>
  </w:style>
  <w:style w:type="character" w:customStyle="1" w:styleId="733">
    <w:name w:val="Char Char Char1 Char Char"/>
    <w:qFormat/>
    <w:uiPriority w:val="0"/>
    <w:rPr>
      <w:rFonts w:ascii="Times New Roman" w:hAnsi="Times New Roman" w:eastAsia="宋体" w:cs="Times New Roman"/>
      <w:kern w:val="0"/>
      <w:sz w:val="18"/>
      <w:szCs w:val="18"/>
    </w:rPr>
  </w:style>
  <w:style w:type="character" w:customStyle="1" w:styleId="734">
    <w:name w:val="正文文字缩进 Char Char"/>
    <w:qFormat/>
    <w:uiPriority w:val="0"/>
    <w:rPr>
      <w:rFonts w:ascii="Times New Roman" w:hAnsi="Times New Roman" w:eastAsia="宋体" w:cs="Times New Roman"/>
      <w:sz w:val="28"/>
      <w:szCs w:val="24"/>
    </w:rPr>
  </w:style>
  <w:style w:type="paragraph" w:customStyle="1" w:styleId="735">
    <w:name w:val="标4"/>
    <w:basedOn w:val="736"/>
    <w:qFormat/>
    <w:uiPriority w:val="0"/>
    <w:pPr>
      <w:tabs>
        <w:tab w:val="left" w:pos="360"/>
        <w:tab w:val="left" w:pos="578"/>
        <w:tab w:val="left" w:pos="1021"/>
        <w:tab w:val="left" w:pos="1275"/>
        <w:tab w:val="left" w:pos="1418"/>
        <w:tab w:val="center" w:pos="6804"/>
        <w:tab w:val="right" w:pos="7371"/>
      </w:tabs>
      <w:ind w:left="0" w:firstLine="0"/>
    </w:pPr>
  </w:style>
  <w:style w:type="paragraph" w:customStyle="1" w:styleId="736">
    <w:name w:val="标3"/>
    <w:basedOn w:val="6"/>
    <w:next w:val="45"/>
    <w:qFormat/>
    <w:uiPriority w:val="0"/>
    <w:pPr>
      <w:tabs>
        <w:tab w:val="left" w:pos="578"/>
        <w:tab w:val="left" w:pos="1418"/>
        <w:tab w:val="center" w:pos="6804"/>
        <w:tab w:val="right" w:pos="7371"/>
      </w:tabs>
      <w:overflowPunct w:val="0"/>
      <w:spacing w:before="0" w:after="0" w:line="500" w:lineRule="exact"/>
      <w:ind w:left="1418" w:hanging="567"/>
      <w:textAlignment w:val="baseline"/>
    </w:pPr>
    <w:rPr>
      <w:rFonts w:hAnsi="宋体"/>
      <w:b w:val="0"/>
      <w:color w:val="0000FF"/>
      <w:sz w:val="28"/>
      <w:szCs w:val="20"/>
    </w:rPr>
  </w:style>
  <w:style w:type="character" w:customStyle="1" w:styleId="737">
    <w:name w:val="Char Char11"/>
    <w:semiHidden/>
    <w:qFormat/>
    <w:uiPriority w:val="0"/>
    <w:rPr>
      <w:rFonts w:ascii="Times New Roman" w:hAnsi="Times New Roman" w:eastAsia="宋体" w:cs="Times New Roman"/>
      <w:kern w:val="0"/>
      <w:sz w:val="24"/>
      <w:szCs w:val="24"/>
    </w:rPr>
  </w:style>
  <w:style w:type="paragraph" w:customStyle="1" w:styleId="738">
    <w:name w:val="Standard"/>
    <w:basedOn w:val="1"/>
    <w:next w:val="1"/>
    <w:qFormat/>
    <w:uiPriority w:val="0"/>
    <w:pPr>
      <w:autoSpaceDE w:val="0"/>
      <w:autoSpaceDN w:val="0"/>
      <w:adjustRightInd w:val="0"/>
      <w:jc w:val="left"/>
    </w:pPr>
    <w:rPr>
      <w:rFonts w:ascii="Arial" w:hAnsi="Arial" w:cs="Arial"/>
    </w:rPr>
  </w:style>
  <w:style w:type="character" w:customStyle="1" w:styleId="739">
    <w:name w:val="正文（首行缩进两字） Char Char Char Char Char Char Char Char Char Char Char Char Char Char Char Char Char Char Char Char Char Char Char Char Char Char Char Char Char Char Char Char Char Char Char Char Char Char Char Char1"/>
    <w:qFormat/>
    <w:uiPriority w:val="0"/>
    <w:rPr>
      <w:rFonts w:eastAsia="宋体"/>
      <w:sz w:val="24"/>
      <w:lang w:val="en-US" w:eastAsia="zh-CN" w:bidi="ar-SA"/>
    </w:rPr>
  </w:style>
  <w:style w:type="paragraph" w:customStyle="1" w:styleId="740">
    <w:name w:val="标2"/>
    <w:basedOn w:val="5"/>
    <w:next w:val="45"/>
    <w:qFormat/>
    <w:uiPriority w:val="0"/>
    <w:pPr>
      <w:numPr>
        <w:ilvl w:val="0"/>
        <w:numId w:val="0"/>
      </w:numPr>
      <w:tabs>
        <w:tab w:val="left" w:pos="992"/>
        <w:tab w:val="center" w:pos="6804"/>
        <w:tab w:val="right" w:pos="7371"/>
        <w:tab w:val="clear" w:pos="0"/>
      </w:tabs>
      <w:overflowPunct w:val="0"/>
      <w:adjustRightInd w:val="0"/>
      <w:spacing w:before="0" w:beforeLines="0" w:after="0" w:afterLines="0"/>
      <w:ind w:left="992" w:hanging="567"/>
      <w:jc w:val="left"/>
      <w:textAlignment w:val="baseline"/>
    </w:pPr>
    <w:rPr>
      <w:rFonts w:ascii="Arial" w:hAnsi="Arial" w:eastAsia="黑体"/>
      <w:color w:val="auto"/>
      <w:spacing w:val="0"/>
      <w:sz w:val="28"/>
      <w:szCs w:val="20"/>
    </w:rPr>
  </w:style>
  <w:style w:type="paragraph" w:customStyle="1" w:styleId="741">
    <w:name w:val="13"/>
    <w:basedOn w:val="1"/>
    <w:next w:val="3"/>
    <w:qFormat/>
    <w:uiPriority w:val="0"/>
    <w:pPr>
      <w:ind w:firstLine="538" w:firstLineChars="192"/>
    </w:pPr>
    <w:rPr>
      <w:rFonts w:hAnsi="宋体"/>
      <w:sz w:val="28"/>
    </w:rPr>
  </w:style>
  <w:style w:type="paragraph" w:customStyle="1" w:styleId="742">
    <w:name w:val="Default Text:1"/>
    <w:basedOn w:val="1"/>
    <w:qFormat/>
    <w:uiPriority w:val="0"/>
    <w:pPr>
      <w:widowControl/>
      <w:overflowPunct w:val="0"/>
      <w:autoSpaceDE w:val="0"/>
      <w:autoSpaceDN w:val="0"/>
      <w:adjustRightInd w:val="0"/>
      <w:jc w:val="left"/>
      <w:textAlignment w:val="baseline"/>
    </w:pPr>
  </w:style>
  <w:style w:type="paragraph" w:customStyle="1" w:styleId="743">
    <w:name w:val="表格头"/>
    <w:qFormat/>
    <w:uiPriority w:val="0"/>
    <w:pPr>
      <w:spacing w:before="120" w:after="120" w:line="480" w:lineRule="atLeast"/>
      <w:jc w:val="center"/>
    </w:pPr>
    <w:rPr>
      <w:rFonts w:ascii="Times New Roman" w:hAnsi="Times New Roman" w:eastAsia="宋体" w:cs="Times New Roman"/>
      <w:sz w:val="24"/>
      <w:lang w:val="en-US" w:eastAsia="zh-CN" w:bidi="ar-SA"/>
    </w:rPr>
  </w:style>
  <w:style w:type="character" w:customStyle="1" w:styleId="744">
    <w:name w:val="n41"/>
    <w:qFormat/>
    <w:uiPriority w:val="0"/>
    <w:rPr>
      <w:color w:val="000099"/>
      <w:sz w:val="18"/>
      <w:szCs w:val="18"/>
      <w:u w:val="none"/>
    </w:rPr>
  </w:style>
  <w:style w:type="paragraph" w:customStyle="1" w:styleId="745">
    <w:name w:val="5"/>
    <w:basedOn w:val="1"/>
    <w:next w:val="51"/>
    <w:qFormat/>
    <w:uiPriority w:val="0"/>
    <w:pPr>
      <w:spacing w:line="360" w:lineRule="auto"/>
      <w:ind w:firstLine="525"/>
    </w:pPr>
  </w:style>
  <w:style w:type="character" w:customStyle="1" w:styleId="746">
    <w:name w:val="nors1"/>
    <w:qFormat/>
    <w:uiPriority w:val="0"/>
    <w:rPr>
      <w:rFonts w:ascii="宋体" w:hAnsi="宋体" w:eastAsia="宋体"/>
      <w:sz w:val="21"/>
    </w:rPr>
  </w:style>
  <w:style w:type="character" w:customStyle="1" w:styleId="747">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748">
    <w:name w:val="标题 Char Char Char Char Char Char Char Char Char Char Char Char Char Char Char Char Char Char Char Char Char Char Char Char Char1"/>
    <w:qFormat/>
    <w:uiPriority w:val="0"/>
    <w:rPr>
      <w:rFonts w:ascii="Times New Roman" w:hAnsi="Times New Roman" w:eastAsia="黑体" w:cs="Times New Roman"/>
      <w:sz w:val="32"/>
      <w:szCs w:val="24"/>
    </w:rPr>
  </w:style>
  <w:style w:type="character" w:customStyle="1" w:styleId="749">
    <w:name w:val="标题 Char Char Char Char Char Char Char Char Char Char Char Char Char Char Char Char Char Char Char Char Char Char Char Char Char"/>
    <w:qFormat/>
    <w:uiPriority w:val="0"/>
    <w:rPr>
      <w:rFonts w:eastAsia="黑体"/>
      <w:kern w:val="2"/>
      <w:sz w:val="32"/>
      <w:szCs w:val="24"/>
      <w:lang w:val="en-US" w:eastAsia="zh-CN" w:bidi="ar-SA"/>
    </w:rPr>
  </w:style>
  <w:style w:type="character" w:customStyle="1" w:styleId="750">
    <w:name w:val="tpc_content1"/>
    <w:qFormat/>
    <w:uiPriority w:val="0"/>
    <w:rPr>
      <w:sz w:val="20"/>
      <w:szCs w:val="20"/>
    </w:rPr>
  </w:style>
  <w:style w:type="character" w:customStyle="1" w:styleId="751">
    <w:name w:val="tpc_title1"/>
    <w:qFormat/>
    <w:uiPriority w:val="0"/>
    <w:rPr>
      <w:b/>
      <w:bCs/>
      <w:sz w:val="18"/>
      <w:szCs w:val="18"/>
    </w:rPr>
  </w:style>
  <w:style w:type="paragraph" w:customStyle="1" w:styleId="752">
    <w:name w:val="image_subtitle"/>
    <w:basedOn w:val="1"/>
    <w:qFormat/>
    <w:uiPriority w:val="0"/>
    <w:pPr>
      <w:widowControl/>
      <w:jc w:val="left"/>
    </w:pPr>
    <w:rPr>
      <w:rFonts w:hAnsi="宋体" w:cs="宋体"/>
      <w:sz w:val="15"/>
      <w:szCs w:val="15"/>
    </w:rPr>
  </w:style>
  <w:style w:type="character" w:customStyle="1" w:styleId="753">
    <w:name w:val="red1"/>
    <w:qFormat/>
    <w:uiPriority w:val="0"/>
    <w:rPr>
      <w:color w:val="FF3300"/>
    </w:rPr>
  </w:style>
  <w:style w:type="paragraph" w:customStyle="1" w:styleId="754">
    <w:name w:val="标准中文版式_正文"/>
    <w:basedOn w:val="1"/>
    <w:qFormat/>
    <w:uiPriority w:val="0"/>
    <w:pPr>
      <w:spacing w:before="30" w:line="360" w:lineRule="auto"/>
    </w:pPr>
    <w:rPr>
      <w:rFonts w:ascii="Arial" w:hAnsi="Arial"/>
    </w:rPr>
  </w:style>
  <w:style w:type="paragraph" w:customStyle="1" w:styleId="755">
    <w:name w:val="正文文字3"/>
    <w:basedOn w:val="1"/>
    <w:qFormat/>
    <w:uiPriority w:val="0"/>
    <w:pPr>
      <w:spacing w:before="60" w:after="60" w:line="500" w:lineRule="exact"/>
      <w:ind w:left="1021" w:firstLine="567"/>
    </w:pPr>
    <w:rPr>
      <w:sz w:val="28"/>
    </w:rPr>
  </w:style>
  <w:style w:type="paragraph" w:customStyle="1" w:styleId="756">
    <w:name w:val="myfont9new"/>
    <w:basedOn w:val="1"/>
    <w:qFormat/>
    <w:uiPriority w:val="0"/>
    <w:pPr>
      <w:widowControl/>
      <w:spacing w:before="100" w:beforeAutospacing="1" w:after="100" w:afterAutospacing="1"/>
      <w:jc w:val="left"/>
    </w:pPr>
    <w:rPr>
      <w:rFonts w:hAnsi="宋体"/>
    </w:rPr>
  </w:style>
  <w:style w:type="character" w:customStyle="1" w:styleId="757">
    <w:name w:val="maintext"/>
    <w:qFormat/>
    <w:uiPriority w:val="0"/>
  </w:style>
  <w:style w:type="paragraph" w:customStyle="1" w:styleId="758">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59">
    <w:name w:val="首消息标题"/>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before="0" w:after="40" w:line="440" w:lineRule="atLeast"/>
      <w:ind w:left="0" w:firstLine="0"/>
      <w:jc w:val="left"/>
    </w:pPr>
    <w:rPr>
      <w:rFonts w:eastAsia="宋体"/>
      <w:spacing w:val="-5"/>
      <w:sz w:val="21"/>
      <w:lang w:bidi="he-IL"/>
    </w:rPr>
  </w:style>
  <w:style w:type="character" w:customStyle="1" w:styleId="760">
    <w:name w:val="消息标题标签"/>
    <w:qFormat/>
    <w:uiPriority w:val="0"/>
    <w:rPr>
      <w:rFonts w:ascii="Arial Black" w:hAnsi="Arial Black" w:eastAsia="黑体"/>
      <w:b/>
      <w:sz w:val="18"/>
      <w:lang w:eastAsia="zh-CN"/>
    </w:rPr>
  </w:style>
  <w:style w:type="paragraph" w:customStyle="1" w:styleId="761">
    <w:name w:val="文档标签"/>
    <w:basedOn w:val="1"/>
    <w:qFormat/>
    <w:uiPriority w:val="0"/>
    <w:pPr>
      <w:keepNext/>
      <w:keepLines/>
      <w:widowControl/>
      <w:spacing w:before="400" w:after="120" w:line="240" w:lineRule="atLeast"/>
      <w:jc w:val="left"/>
    </w:pPr>
    <w:rPr>
      <w:rFonts w:ascii="Arial Black" w:hAnsi="Arial Black"/>
      <w:spacing w:val="-100"/>
      <w:kern w:val="28"/>
      <w:sz w:val="108"/>
      <w:lang w:bidi="he-IL"/>
    </w:rPr>
  </w:style>
  <w:style w:type="character" w:customStyle="1" w:styleId="762">
    <w:name w:val="头 Char Char"/>
    <w:qFormat/>
    <w:uiPriority w:val="0"/>
    <w:rPr>
      <w:rFonts w:ascii="宋体" w:hAnsi="宋体" w:eastAsia="宋体"/>
      <w:b/>
      <w:bCs/>
      <w:color w:val="0000FF"/>
      <w:sz w:val="28"/>
      <w:lang w:val="en-US" w:eastAsia="zh-CN" w:bidi="ar-SA"/>
    </w:rPr>
  </w:style>
  <w:style w:type="paragraph" w:customStyle="1" w:styleId="763">
    <w:name w:val="表注"/>
    <w:link w:val="764"/>
    <w:qFormat/>
    <w:uiPriority w:val="0"/>
    <w:pPr>
      <w:adjustRightInd w:val="0"/>
    </w:pPr>
    <w:rPr>
      <w:rFonts w:ascii="Times New Roman" w:hAnsi="Times New Roman" w:eastAsia="宋体" w:cs="Times New Roman"/>
      <w:kern w:val="15"/>
      <w:sz w:val="15"/>
      <w:lang w:val="en-US" w:eastAsia="zh-CN" w:bidi="ar-SA"/>
    </w:rPr>
  </w:style>
  <w:style w:type="character" w:customStyle="1" w:styleId="764">
    <w:name w:val="表注 Char Char"/>
    <w:link w:val="763"/>
    <w:qFormat/>
    <w:uiPriority w:val="0"/>
    <w:rPr>
      <w:kern w:val="15"/>
      <w:sz w:val="15"/>
      <w:lang w:val="en-US" w:eastAsia="zh-CN" w:bidi="ar-SA"/>
    </w:rPr>
  </w:style>
  <w:style w:type="paragraph" w:customStyle="1" w:styleId="765">
    <w:name w:val="7"/>
    <w:basedOn w:val="1"/>
    <w:next w:val="3"/>
    <w:qFormat/>
    <w:uiPriority w:val="0"/>
    <w:pPr>
      <w:ind w:firstLine="538" w:firstLineChars="192"/>
    </w:pPr>
    <w:rPr>
      <w:rFonts w:hAnsi="宋体"/>
      <w:sz w:val="28"/>
    </w:rPr>
  </w:style>
  <w:style w:type="character" w:customStyle="1" w:styleId="766">
    <w:name w:val="carboy"/>
    <w:qFormat/>
    <w:uiPriority w:val="0"/>
  </w:style>
  <w:style w:type="character" w:customStyle="1" w:styleId="767">
    <w:name w:val="12h"/>
    <w:qFormat/>
    <w:uiPriority w:val="0"/>
  </w:style>
  <w:style w:type="character" w:customStyle="1" w:styleId="768">
    <w:name w:val="unnamed21"/>
    <w:qFormat/>
    <w:uiPriority w:val="0"/>
    <w:rPr>
      <w:color w:val="000000"/>
    </w:rPr>
  </w:style>
  <w:style w:type="paragraph" w:customStyle="1" w:styleId="769">
    <w:name w:val="说明1"/>
    <w:basedOn w:val="1"/>
    <w:qFormat/>
    <w:uiPriority w:val="0"/>
    <w:pPr>
      <w:keepLines/>
      <w:widowControl/>
      <w:suppressLineNumbers/>
      <w:suppressAutoHyphens/>
      <w:spacing w:before="60" w:after="60" w:line="320" w:lineRule="atLeast"/>
    </w:pPr>
    <w:rPr>
      <w:kern w:val="21"/>
    </w:rPr>
  </w:style>
  <w:style w:type="paragraph" w:customStyle="1" w:styleId="770">
    <w:name w:val="p9"/>
    <w:basedOn w:val="1"/>
    <w:qFormat/>
    <w:uiPriority w:val="0"/>
    <w:pPr>
      <w:widowControl/>
      <w:spacing w:before="100" w:beforeAutospacing="1" w:after="100" w:afterAutospacing="1" w:line="432" w:lineRule="auto"/>
      <w:jc w:val="left"/>
    </w:pPr>
    <w:rPr>
      <w:rFonts w:ascii="ˎ̥" w:hAnsi="ˎ̥" w:cs="宋体"/>
      <w:color w:val="000000"/>
      <w:sz w:val="18"/>
      <w:szCs w:val="18"/>
    </w:rPr>
  </w:style>
  <w:style w:type="paragraph" w:customStyle="1" w:styleId="771">
    <w:name w:val="12"/>
    <w:basedOn w:val="1"/>
    <w:next w:val="45"/>
    <w:qFormat/>
    <w:uiPriority w:val="0"/>
    <w:pPr>
      <w:widowControl/>
      <w:jc w:val="left"/>
    </w:pPr>
    <w:rPr>
      <w:rFonts w:ascii="Arial" w:hAnsi="Arial" w:eastAsia="Times"/>
      <w:lang w:eastAsia="en-US"/>
    </w:rPr>
  </w:style>
  <w:style w:type="character" w:customStyle="1" w:styleId="772">
    <w:name w:val="text3"/>
    <w:qFormat/>
    <w:uiPriority w:val="0"/>
    <w:rPr>
      <w:rFonts w:hint="default" w:ascii="ˎ̥" w:hAnsi="ˎ̥"/>
      <w:color w:val="000000"/>
      <w:sz w:val="12"/>
      <w:szCs w:val="12"/>
    </w:rPr>
  </w:style>
  <w:style w:type="character" w:customStyle="1" w:styleId="773">
    <w:name w:val="正文（首行缩进两字） Char Char Char Char Char Char Char Char Char Char Char Char Char Char Char Char Char Char Char Char Char Char Char Char Char Char Char Char Char Char Char Char Char Char Char Char Char Char Char Char Char Char"/>
    <w:qFormat/>
    <w:uiPriority w:val="0"/>
    <w:rPr>
      <w:rFonts w:eastAsia="宋体"/>
      <w:sz w:val="24"/>
      <w:lang w:val="en-US" w:eastAsia="zh-CN" w:bidi="ar-SA"/>
    </w:rPr>
  </w:style>
  <w:style w:type="paragraph" w:customStyle="1" w:styleId="774">
    <w:name w:val="11"/>
    <w:basedOn w:val="1"/>
    <w:next w:val="3"/>
    <w:qFormat/>
    <w:uiPriority w:val="0"/>
    <w:pPr>
      <w:spacing w:line="360" w:lineRule="auto"/>
      <w:ind w:firstLine="500"/>
    </w:pPr>
    <w:rPr>
      <w:rFonts w:ascii="Plotter" w:hAnsi="Plotter"/>
    </w:rPr>
  </w:style>
  <w:style w:type="paragraph" w:customStyle="1" w:styleId="775">
    <w:name w:val="10"/>
    <w:basedOn w:val="1"/>
    <w:next w:val="35"/>
    <w:qFormat/>
    <w:uiPriority w:val="0"/>
    <w:pPr>
      <w:spacing w:after="120"/>
    </w:pPr>
  </w:style>
  <w:style w:type="character" w:customStyle="1" w:styleId="776">
    <w:name w:val="font1"/>
    <w:qFormat/>
    <w:uiPriority w:val="0"/>
    <w:rPr>
      <w:rFonts w:hint="default" w:ascii="GB2312" w:hAnsi="GB2312"/>
      <w:sz w:val="18"/>
      <w:szCs w:val="18"/>
    </w:rPr>
  </w:style>
  <w:style w:type="character" w:customStyle="1" w:styleId="777">
    <w:name w:val="s14zong1"/>
    <w:qFormat/>
    <w:uiPriority w:val="0"/>
    <w:rPr>
      <w:rFonts w:hint="eastAsia" w:ascii="宋体" w:hAnsi="宋体" w:eastAsia="宋体"/>
      <w:color w:val="663333"/>
      <w:sz w:val="21"/>
      <w:szCs w:val="21"/>
    </w:rPr>
  </w:style>
  <w:style w:type="character" w:customStyle="1" w:styleId="778">
    <w:name w:val="标题 Char Char Char Char Char Char Char Char"/>
    <w:qFormat/>
    <w:uiPriority w:val="0"/>
    <w:rPr>
      <w:rFonts w:eastAsia="黑体"/>
      <w:kern w:val="2"/>
      <w:sz w:val="32"/>
      <w:szCs w:val="24"/>
      <w:lang w:val="en-US" w:eastAsia="zh-CN" w:bidi="ar-SA"/>
    </w:rPr>
  </w:style>
  <w:style w:type="character" w:customStyle="1" w:styleId="779">
    <w:name w:val="black12px1"/>
    <w:qFormat/>
    <w:uiPriority w:val="0"/>
    <w:rPr>
      <w:rFonts w:hint="default" w:ascii="ˎ̥" w:hAnsi="ˎ̥"/>
      <w:color w:val="000000"/>
      <w:sz w:val="18"/>
      <w:szCs w:val="18"/>
    </w:rPr>
  </w:style>
  <w:style w:type="paragraph" w:customStyle="1" w:styleId="780">
    <w:name w:val="9"/>
    <w:basedOn w:val="1"/>
    <w:next w:val="35"/>
    <w:qFormat/>
    <w:uiPriority w:val="0"/>
    <w:rPr>
      <w:sz w:val="28"/>
    </w:rPr>
  </w:style>
  <w:style w:type="paragraph" w:customStyle="1" w:styleId="781">
    <w:name w:val="8"/>
    <w:basedOn w:val="1"/>
    <w:next w:val="51"/>
    <w:qFormat/>
    <w:uiPriority w:val="0"/>
    <w:pPr>
      <w:widowControl/>
      <w:spacing w:line="360" w:lineRule="auto"/>
      <w:ind w:firstLine="560"/>
      <w:jc w:val="left"/>
    </w:pPr>
    <w:rPr>
      <w:sz w:val="28"/>
    </w:rPr>
  </w:style>
  <w:style w:type="character" w:customStyle="1" w:styleId="782">
    <w:name w:val="样式 正文 Char"/>
    <w:qFormat/>
    <w:uiPriority w:val="0"/>
    <w:rPr>
      <w:rFonts w:ascii="宋体" w:hAnsi="宋体" w:eastAsia="宋体" w:cs="宋体"/>
      <w:color w:val="000000"/>
      <w:kern w:val="2"/>
      <w:sz w:val="28"/>
      <w:szCs w:val="28"/>
      <w:lang w:val="en-US" w:eastAsia="zh-CN" w:bidi="ar-SA"/>
    </w:rPr>
  </w:style>
  <w:style w:type="paragraph" w:customStyle="1" w:styleId="783">
    <w:name w:val="样式 标题1"/>
    <w:basedOn w:val="729"/>
    <w:qFormat/>
    <w:uiPriority w:val="0"/>
    <w:pPr>
      <w:tabs>
        <w:tab w:val="left" w:pos="0"/>
      </w:tabs>
      <w:ind w:firstLine="0" w:firstLineChars="0"/>
      <w:outlineLvl w:val="0"/>
    </w:pPr>
    <w:rPr>
      <w:b/>
    </w:rPr>
  </w:style>
  <w:style w:type="paragraph" w:customStyle="1" w:styleId="784">
    <w:name w:val="样式 标题2"/>
    <w:basedOn w:val="729"/>
    <w:qFormat/>
    <w:uiPriority w:val="0"/>
    <w:pPr>
      <w:tabs>
        <w:tab w:val="left" w:pos="0"/>
      </w:tabs>
      <w:ind w:firstLine="0" w:firstLineChars="0"/>
      <w:outlineLvl w:val="1"/>
    </w:pPr>
    <w:rPr>
      <w:b/>
    </w:rPr>
  </w:style>
  <w:style w:type="paragraph" w:customStyle="1" w:styleId="785">
    <w:name w:val="样式 标题3"/>
    <w:basedOn w:val="729"/>
    <w:qFormat/>
    <w:uiPriority w:val="0"/>
    <w:pPr>
      <w:tabs>
        <w:tab w:val="left" w:pos="0"/>
      </w:tabs>
      <w:ind w:firstLine="0" w:firstLineChars="0"/>
      <w:outlineLvl w:val="2"/>
    </w:pPr>
    <w:rPr>
      <w:b/>
    </w:rPr>
  </w:style>
  <w:style w:type="paragraph" w:customStyle="1" w:styleId="786">
    <w:name w:val="样式 标题4"/>
    <w:basedOn w:val="729"/>
    <w:qFormat/>
    <w:uiPriority w:val="0"/>
    <w:pPr>
      <w:tabs>
        <w:tab w:val="left" w:pos="0"/>
      </w:tabs>
      <w:ind w:firstLine="0" w:firstLineChars="0"/>
      <w:outlineLvl w:val="3"/>
    </w:pPr>
    <w:rPr>
      <w:rFonts w:hAnsi="Times New Roman"/>
    </w:rPr>
  </w:style>
  <w:style w:type="paragraph" w:customStyle="1" w:styleId="787">
    <w:name w:val="10 Char Char Char Char Char Char Char"/>
    <w:basedOn w:val="1"/>
    <w:qFormat/>
    <w:uiPriority w:val="0"/>
    <w:rPr>
      <w:szCs w:val="21"/>
    </w:rPr>
  </w:style>
  <w:style w:type="paragraph" w:customStyle="1" w:styleId="788">
    <w:name w:val="样式 表格文字"/>
    <w:basedOn w:val="729"/>
    <w:qFormat/>
    <w:uiPriority w:val="0"/>
    <w:pPr>
      <w:spacing w:before="25" w:beforeLines="25" w:after="25" w:afterLines="25" w:line="240" w:lineRule="auto"/>
      <w:ind w:firstLine="0" w:firstLineChars="0"/>
    </w:pPr>
    <w:rPr>
      <w:sz w:val="24"/>
      <w:szCs w:val="24"/>
    </w:rPr>
  </w:style>
  <w:style w:type="paragraph" w:customStyle="1" w:styleId="789">
    <w:name w:val="样式 表格文字 Char + 段前: 0.5 行"/>
    <w:basedOn w:val="1"/>
    <w:qFormat/>
    <w:uiPriority w:val="0"/>
    <w:pPr>
      <w:spacing w:before="156" w:beforeLines="50"/>
      <w:jc w:val="center"/>
    </w:pPr>
  </w:style>
  <w:style w:type="paragraph" w:customStyle="1" w:styleId="790">
    <w:name w:val="Char9"/>
    <w:basedOn w:val="1"/>
    <w:qFormat/>
    <w:uiPriority w:val="0"/>
    <w:rPr>
      <w:szCs w:val="21"/>
    </w:rPr>
  </w:style>
  <w:style w:type="character" w:customStyle="1" w:styleId="791">
    <w:name w:val="style21"/>
    <w:qFormat/>
    <w:uiPriority w:val="0"/>
    <w:rPr>
      <w:b/>
      <w:color w:val="993300"/>
      <w:sz w:val="27"/>
    </w:rPr>
  </w:style>
  <w:style w:type="paragraph" w:customStyle="1" w:styleId="792">
    <w:name w:val="样式 样式 标题3 + 小四"/>
    <w:basedOn w:val="785"/>
    <w:qFormat/>
    <w:uiPriority w:val="0"/>
    <w:pPr>
      <w:tabs>
        <w:tab w:val="left" w:pos="1418"/>
        <w:tab w:val="clear" w:pos="0"/>
      </w:tabs>
      <w:ind w:left="1418" w:hanging="567"/>
    </w:pPr>
    <w:rPr>
      <w:bCs/>
      <w:sz w:val="24"/>
    </w:rPr>
  </w:style>
  <w:style w:type="character" w:customStyle="1" w:styleId="793">
    <w:name w:val="正文文字缩进 2 Char Char"/>
    <w:qFormat/>
    <w:uiPriority w:val="0"/>
    <w:rPr>
      <w:rFonts w:eastAsia="宋体"/>
      <w:sz w:val="28"/>
      <w:szCs w:val="24"/>
      <w:lang w:val="en-US" w:eastAsia="zh-CN" w:bidi="ar-SA"/>
    </w:rPr>
  </w:style>
  <w:style w:type="paragraph" w:customStyle="1" w:styleId="794">
    <w:name w:val="样式15"/>
    <w:basedOn w:val="1"/>
    <w:qFormat/>
    <w:uiPriority w:val="0"/>
    <w:pPr>
      <w:shd w:val="clear" w:color="auto" w:fill="FFFFFF"/>
      <w:adjustRightInd w:val="0"/>
      <w:jc w:val="center"/>
      <w:textAlignment w:val="baseline"/>
    </w:pPr>
    <w:rPr>
      <w:rFonts w:ascii="仿宋_GB2312" w:hAnsi="宋体" w:eastAsia="仿宋_GB2312"/>
    </w:rPr>
  </w:style>
  <w:style w:type="character" w:customStyle="1" w:styleId="795">
    <w:name w:val="1) Char"/>
    <w:qFormat/>
    <w:uiPriority w:val="0"/>
    <w:rPr>
      <w:rFonts w:ascii="仿宋_GB2312" w:hAnsi="宋体" w:eastAsia="仿宋_GB2312" w:cs="宋体"/>
      <w:color w:val="FF0000"/>
      <w:sz w:val="28"/>
      <w:szCs w:val="24"/>
    </w:rPr>
  </w:style>
  <w:style w:type="character" w:customStyle="1" w:styleId="796">
    <w:name w:val="无节 Char"/>
    <w:qFormat/>
    <w:uiPriority w:val="0"/>
    <w:rPr>
      <w:rFonts w:ascii="Arial" w:hAnsi="Arial" w:eastAsia="黑体"/>
      <w:b/>
      <w:bCs/>
      <w:sz w:val="24"/>
      <w:szCs w:val="24"/>
    </w:rPr>
  </w:style>
  <w:style w:type="character" w:customStyle="1" w:styleId="797">
    <w:name w:val="标题 7 表 Char"/>
    <w:qFormat/>
    <w:uiPriority w:val="0"/>
    <w:rPr>
      <w:rFonts w:ascii="宋体" w:hAnsi="宋体" w:cs="宋体"/>
      <w:b/>
      <w:bCs/>
      <w:sz w:val="24"/>
      <w:szCs w:val="24"/>
    </w:rPr>
  </w:style>
  <w:style w:type="character" w:customStyle="1" w:styleId="798">
    <w:name w:val="无节款 Char"/>
    <w:qFormat/>
    <w:uiPriority w:val="0"/>
    <w:rPr>
      <w:rFonts w:ascii="Arial" w:hAnsi="Arial" w:eastAsia="黑体"/>
      <w:sz w:val="24"/>
      <w:szCs w:val="24"/>
    </w:rPr>
  </w:style>
  <w:style w:type="character" w:customStyle="1" w:styleId="799">
    <w:name w:val="h9 Char"/>
    <w:qFormat/>
    <w:uiPriority w:val="0"/>
    <w:rPr>
      <w:rFonts w:ascii="Arial" w:hAnsi="Arial" w:eastAsia="黑体"/>
      <w:sz w:val="21"/>
      <w:szCs w:val="21"/>
    </w:rPr>
  </w:style>
  <w:style w:type="character" w:customStyle="1" w:styleId="800">
    <w:name w:val="标题周 Char"/>
    <w:qFormat/>
    <w:uiPriority w:val="0"/>
    <w:rPr>
      <w:rFonts w:ascii="Arial" w:hAnsi="Arial" w:eastAsia="黑体" w:cs="Arial"/>
      <w:b/>
      <w:bCs/>
      <w:sz w:val="32"/>
      <w:szCs w:val="32"/>
      <w:lang w:val="en-US" w:eastAsia="zh-CN" w:bidi="ar-SA"/>
    </w:rPr>
  </w:style>
  <w:style w:type="character" w:customStyle="1" w:styleId="801">
    <w:name w:val="环评正文文字缩进（江东模板） Char"/>
    <w:qFormat/>
    <w:uiPriority w:val="0"/>
    <w:rPr>
      <w:rFonts w:ascii="宋体" w:hAnsi="宋体" w:eastAsia="仿宋_GB2312" w:cs="宋体"/>
      <w:sz w:val="24"/>
      <w:lang w:val="en-US" w:eastAsia="zh-CN" w:bidi="ar-SA"/>
    </w:rPr>
  </w:style>
  <w:style w:type="paragraph" w:customStyle="1" w:styleId="802">
    <w:name w:val="Char Char Char Char Char Char Char Char Char1 Char Char Char Char1"/>
    <w:basedOn w:val="1"/>
    <w:qFormat/>
    <w:uiPriority w:val="0"/>
    <w:pPr>
      <w:widowControl/>
      <w:jc w:val="left"/>
    </w:pPr>
    <w:rPr>
      <w:rFonts w:hAnsi="宋体" w:cs="宋体"/>
      <w:szCs w:val="21"/>
    </w:rPr>
  </w:style>
  <w:style w:type="character" w:customStyle="1" w:styleId="803">
    <w:name w:val="Char Char21111"/>
    <w:qFormat/>
    <w:uiPriority w:val="0"/>
    <w:rPr>
      <w:rFonts w:ascii="Arial" w:hAnsi="Arial" w:eastAsia="楷体_GB2312" w:cs="Arial"/>
      <w:b/>
      <w:sz w:val="24"/>
      <w:lang w:val="en-US" w:eastAsia="zh-CN" w:bidi="ar-SA"/>
    </w:rPr>
  </w:style>
  <w:style w:type="paragraph" w:customStyle="1" w:styleId="804">
    <w:name w:val="Char1 Char Char Char Char Char1 Char111"/>
    <w:basedOn w:val="1"/>
    <w:qFormat/>
    <w:uiPriority w:val="0"/>
    <w:rPr>
      <w:szCs w:val="21"/>
    </w:rPr>
  </w:style>
  <w:style w:type="character" w:customStyle="1" w:styleId="805">
    <w:name w:val="Char Char6111"/>
    <w:qFormat/>
    <w:uiPriority w:val="0"/>
    <w:rPr>
      <w:rFonts w:eastAsia="宋体"/>
      <w:kern w:val="2"/>
      <w:sz w:val="24"/>
      <w:lang w:val="en-US" w:eastAsia="zh-CN" w:bidi="ar-SA"/>
    </w:rPr>
  </w:style>
  <w:style w:type="character" w:customStyle="1" w:styleId="806">
    <w:name w:val="Char Char Char Char Char Char Char11"/>
    <w:link w:val="807"/>
    <w:qFormat/>
    <w:locked/>
    <w:uiPriority w:val="0"/>
    <w:rPr>
      <w:rFonts w:ascii="宋体" w:hAnsi="宋体"/>
      <w:kern w:val="2"/>
      <w:sz w:val="24"/>
      <w:szCs w:val="24"/>
    </w:rPr>
  </w:style>
  <w:style w:type="paragraph" w:customStyle="1" w:styleId="807">
    <w:name w:val="Char Char Char Char Char Char1"/>
    <w:basedOn w:val="1"/>
    <w:link w:val="806"/>
    <w:qFormat/>
    <w:uiPriority w:val="0"/>
    <w:rPr>
      <w:rFonts w:hAnsi="宋体"/>
      <w:kern w:val="2"/>
      <w:szCs w:val="24"/>
    </w:rPr>
  </w:style>
  <w:style w:type="paragraph" w:customStyle="1" w:styleId="808">
    <w:name w:val="Char Char Char Char Char Char Char Char Char1 Char Char Char Char Char Char Char Char1 Char Char Char11"/>
    <w:basedOn w:val="1"/>
    <w:qFormat/>
    <w:uiPriority w:val="0"/>
    <w:pPr>
      <w:snapToGrid w:val="0"/>
      <w:spacing w:line="360" w:lineRule="auto"/>
      <w:ind w:firstLine="200" w:firstLineChars="200"/>
    </w:pPr>
    <w:rPr>
      <w:rFonts w:eastAsia="仿宋_GB2312"/>
    </w:rPr>
  </w:style>
  <w:style w:type="character" w:customStyle="1" w:styleId="809">
    <w:name w:val="Char Char711"/>
    <w:qFormat/>
    <w:uiPriority w:val="0"/>
    <w:rPr>
      <w:rFonts w:eastAsia="宋体"/>
      <w:kern w:val="2"/>
      <w:sz w:val="21"/>
      <w:szCs w:val="24"/>
      <w:lang w:val="en-US" w:eastAsia="zh-CN" w:bidi="ar-SA"/>
    </w:rPr>
  </w:style>
  <w:style w:type="character" w:customStyle="1" w:styleId="810">
    <w:name w:val="Char Char1011"/>
    <w:qFormat/>
    <w:uiPriority w:val="0"/>
    <w:rPr>
      <w:rFonts w:eastAsia="宋体"/>
      <w:kern w:val="2"/>
      <w:sz w:val="21"/>
      <w:szCs w:val="24"/>
      <w:lang w:val="en-US" w:eastAsia="zh-CN" w:bidi="ar-SA"/>
    </w:rPr>
  </w:style>
  <w:style w:type="character" w:customStyle="1" w:styleId="811">
    <w:name w:val="Char Char5111"/>
    <w:qFormat/>
    <w:uiPriority w:val="0"/>
    <w:rPr>
      <w:rFonts w:ascii="宋体" w:hAnsi="Courier New" w:eastAsia="宋体"/>
      <w:kern w:val="2"/>
      <w:sz w:val="21"/>
      <w:lang w:val="en-US" w:eastAsia="zh-CN" w:bidi="ar-SA"/>
    </w:rPr>
  </w:style>
  <w:style w:type="character" w:customStyle="1" w:styleId="812">
    <w:name w:val="Char Char1811"/>
    <w:qFormat/>
    <w:uiPriority w:val="0"/>
    <w:rPr>
      <w:rFonts w:ascii="宋体" w:hAnsi="宋体" w:eastAsia="宋体" w:cs="Times New Roman"/>
      <w:color w:val="800000"/>
      <w:kern w:val="0"/>
      <w:sz w:val="28"/>
      <w:szCs w:val="20"/>
    </w:rPr>
  </w:style>
  <w:style w:type="character" w:customStyle="1" w:styleId="813">
    <w:name w:val="Char Char Char1 Char Char11"/>
    <w:qFormat/>
    <w:uiPriority w:val="0"/>
    <w:rPr>
      <w:rFonts w:ascii="Times New Roman" w:hAnsi="Times New Roman" w:eastAsia="宋体" w:cs="Times New Roman"/>
      <w:kern w:val="0"/>
      <w:sz w:val="18"/>
      <w:szCs w:val="18"/>
    </w:rPr>
  </w:style>
  <w:style w:type="character" w:customStyle="1" w:styleId="814">
    <w:name w:val="Char Char11111"/>
    <w:qFormat/>
    <w:uiPriority w:val="0"/>
    <w:rPr>
      <w:rFonts w:ascii="Times New Roman" w:hAnsi="Times New Roman" w:eastAsia="宋体" w:cs="Times New Roman"/>
      <w:kern w:val="0"/>
      <w:sz w:val="24"/>
      <w:szCs w:val="24"/>
    </w:rPr>
  </w:style>
  <w:style w:type="character" w:customStyle="1" w:styleId="815">
    <w:name w:val="标题 1 Char Char Char Char Char Char Char Char Char Char Char Char Char Char Char Char Char Char Char Char Char Char Char Char Char Char Char Char Char Char Char Char Char Char Char Char Char Char Char Char Char Char Char Char Char Char Char Char Char11"/>
    <w:qFormat/>
    <w:uiPriority w:val="0"/>
    <w:rPr>
      <w:rFonts w:ascii="黑体" w:hAnsi="Arial Unicode MS" w:eastAsia="黑体"/>
      <w:kern w:val="44"/>
      <w:sz w:val="28"/>
      <w:szCs w:val="28"/>
      <w:lang w:val="en-US" w:eastAsia="zh-CN" w:bidi="ar-SA"/>
    </w:rPr>
  </w:style>
  <w:style w:type="paragraph" w:customStyle="1" w:styleId="816">
    <w:name w:val="正文211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17">
    <w:name w:val="Char9111"/>
    <w:basedOn w:val="1"/>
    <w:qFormat/>
    <w:uiPriority w:val="0"/>
    <w:rPr>
      <w:szCs w:val="21"/>
    </w:rPr>
  </w:style>
  <w:style w:type="character" w:customStyle="1" w:styleId="818">
    <w:name w:val="headline-content2"/>
    <w:qFormat/>
    <w:uiPriority w:val="0"/>
  </w:style>
  <w:style w:type="character" w:customStyle="1" w:styleId="819">
    <w:name w:val="正文文字 Char2"/>
    <w:qFormat/>
    <w:uiPriority w:val="0"/>
    <w:rPr>
      <w:rFonts w:ascii="宋体" w:hAnsi="宋体" w:eastAsia="宋体" w:cs="宋体"/>
      <w:spacing w:val="6"/>
      <w:sz w:val="24"/>
      <w:lang w:val="en-US" w:eastAsia="zh-CN" w:bidi="ar-SA"/>
    </w:rPr>
  </w:style>
  <w:style w:type="character" w:customStyle="1" w:styleId="820">
    <w:name w:val="标题周 Char1"/>
    <w:qFormat/>
    <w:uiPriority w:val="0"/>
    <w:rPr>
      <w:rFonts w:ascii="Arial" w:hAnsi="Arial" w:eastAsia="黑体" w:cs="Arial"/>
      <w:b/>
      <w:bCs/>
      <w:sz w:val="32"/>
      <w:szCs w:val="32"/>
      <w:lang w:val="en-US" w:eastAsia="zh-CN" w:bidi="ar-SA"/>
    </w:rPr>
  </w:style>
  <w:style w:type="character" w:customStyle="1" w:styleId="821">
    <w:name w:val="1) Char1"/>
    <w:qFormat/>
    <w:uiPriority w:val="0"/>
    <w:rPr>
      <w:rFonts w:ascii="仿宋_GB2312" w:hAnsi="宋体" w:eastAsia="仿宋_GB2312" w:cs="宋体"/>
      <w:color w:val="FF0000"/>
      <w:sz w:val="28"/>
      <w:szCs w:val="24"/>
      <w:lang w:val="en-US" w:eastAsia="zh-CN" w:bidi="ar-SA"/>
    </w:rPr>
  </w:style>
  <w:style w:type="character" w:customStyle="1" w:styleId="822">
    <w:name w:val="无节 Char1"/>
    <w:qFormat/>
    <w:uiPriority w:val="0"/>
    <w:rPr>
      <w:rFonts w:ascii="Arial" w:hAnsi="Arial" w:eastAsia="黑体"/>
      <w:b/>
      <w:bCs/>
      <w:sz w:val="24"/>
      <w:szCs w:val="24"/>
      <w:lang w:val="en-US" w:eastAsia="zh-CN" w:bidi="ar-SA"/>
    </w:rPr>
  </w:style>
  <w:style w:type="character" w:customStyle="1" w:styleId="823">
    <w:name w:val="标题 7 表 Char1"/>
    <w:qFormat/>
    <w:uiPriority w:val="0"/>
    <w:rPr>
      <w:rFonts w:ascii="宋体" w:hAnsi="宋体" w:eastAsia="宋体" w:cs="宋体"/>
      <w:b/>
      <w:bCs/>
      <w:sz w:val="24"/>
      <w:szCs w:val="24"/>
      <w:lang w:val="en-US" w:eastAsia="zh-CN" w:bidi="ar-SA"/>
    </w:rPr>
  </w:style>
  <w:style w:type="character" w:customStyle="1" w:styleId="824">
    <w:name w:val="无节款 Char1"/>
    <w:qFormat/>
    <w:uiPriority w:val="0"/>
    <w:rPr>
      <w:rFonts w:ascii="Arial" w:hAnsi="Arial" w:eastAsia="黑体"/>
      <w:sz w:val="24"/>
      <w:szCs w:val="24"/>
      <w:lang w:val="en-US" w:eastAsia="zh-CN" w:bidi="ar-SA"/>
    </w:rPr>
  </w:style>
  <w:style w:type="character" w:customStyle="1" w:styleId="825">
    <w:name w:val="h9 Char1"/>
    <w:qFormat/>
    <w:uiPriority w:val="0"/>
    <w:rPr>
      <w:rFonts w:ascii="Arial" w:hAnsi="Arial" w:eastAsia="黑体"/>
      <w:sz w:val="21"/>
      <w:szCs w:val="21"/>
      <w:lang w:val="en-US" w:eastAsia="zh-CN" w:bidi="ar-SA"/>
    </w:rPr>
  </w:style>
  <w:style w:type="character" w:customStyle="1" w:styleId="826">
    <w:name w:val="环评正文文字缩进（江东模板） Char1"/>
    <w:qFormat/>
    <w:uiPriority w:val="0"/>
    <w:rPr>
      <w:rFonts w:ascii="宋体" w:hAnsi="宋体" w:eastAsia="仿宋_GB2312" w:cs="宋体"/>
      <w:sz w:val="24"/>
      <w:lang w:val="en-US" w:eastAsia="zh-CN" w:bidi="ar-SA"/>
    </w:rPr>
  </w:style>
  <w:style w:type="character" w:customStyle="1" w:styleId="827">
    <w:name w:val="环评正文文字缩进（江东模板） Char2"/>
    <w:qFormat/>
    <w:uiPriority w:val="0"/>
    <w:rPr>
      <w:rFonts w:ascii="宋体" w:hAnsi="宋体" w:eastAsia="仿宋_GB2312" w:cs="宋体"/>
      <w:sz w:val="24"/>
      <w:lang w:val="en-US" w:eastAsia="zh-CN" w:bidi="ar-SA"/>
    </w:rPr>
  </w:style>
  <w:style w:type="paragraph" w:customStyle="1" w:styleId="828">
    <w:name w:val="font14"/>
    <w:basedOn w:val="1"/>
    <w:qFormat/>
    <w:uiPriority w:val="0"/>
    <w:pPr>
      <w:widowControl/>
      <w:spacing w:before="100" w:beforeAutospacing="1" w:after="100" w:afterAutospacing="1"/>
      <w:jc w:val="left"/>
    </w:pPr>
    <w:rPr>
      <w:rFonts w:ascii="仿宋_GB2312" w:hAnsi="宋体" w:eastAsia="仿宋_GB2312" w:cs="宋体"/>
      <w:color w:val="000000"/>
      <w:sz w:val="20"/>
    </w:rPr>
  </w:style>
  <w:style w:type="character" w:customStyle="1" w:styleId="829">
    <w:name w:val="zw1"/>
    <w:qFormat/>
    <w:uiPriority w:val="0"/>
    <w:rPr>
      <w:rFonts w:hint="eastAsia" w:ascii="宋体" w:hAnsi="宋体" w:eastAsia="宋体"/>
      <w:sz w:val="22"/>
      <w:szCs w:val="22"/>
    </w:rPr>
  </w:style>
  <w:style w:type="paragraph" w:customStyle="1" w:styleId="830">
    <w:name w:val="zw"/>
    <w:basedOn w:val="1"/>
    <w:qFormat/>
    <w:uiPriority w:val="0"/>
    <w:pPr>
      <w:widowControl/>
      <w:spacing w:before="100" w:beforeAutospacing="1" w:after="100" w:afterAutospacing="1" w:line="440" w:lineRule="atLeast"/>
      <w:jc w:val="left"/>
    </w:pPr>
    <w:rPr>
      <w:rFonts w:hAnsi="宋体" w:cs="宋体"/>
      <w:sz w:val="22"/>
      <w:szCs w:val="22"/>
    </w:rPr>
  </w:style>
  <w:style w:type="paragraph" w:customStyle="1" w:styleId="831">
    <w:name w:val="目录标题1"/>
    <w:basedOn w:val="4"/>
    <w:next w:val="1"/>
    <w:unhideWhenUsed/>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832">
    <w:name w:val="value"/>
    <w:qFormat/>
    <w:uiPriority w:val="0"/>
  </w:style>
  <w:style w:type="character" w:customStyle="1" w:styleId="833">
    <w:name w:val="Char Char4"/>
    <w:semiHidden/>
    <w:qFormat/>
    <w:uiPriority w:val="0"/>
    <w:rPr>
      <w:kern w:val="2"/>
      <w:sz w:val="18"/>
      <w:szCs w:val="18"/>
    </w:rPr>
  </w:style>
  <w:style w:type="paragraph" w:customStyle="1" w:styleId="834">
    <w:name w:val="font15"/>
    <w:basedOn w:val="1"/>
    <w:qFormat/>
    <w:uiPriority w:val="0"/>
    <w:pPr>
      <w:widowControl/>
      <w:spacing w:before="100" w:beforeAutospacing="1" w:after="100" w:afterAutospacing="1"/>
      <w:jc w:val="left"/>
    </w:pPr>
    <w:rPr>
      <w:b/>
      <w:bCs/>
      <w:color w:val="000000"/>
      <w:sz w:val="20"/>
    </w:rPr>
  </w:style>
  <w:style w:type="character" w:customStyle="1" w:styleId="835">
    <w:name w:val="图表文字 Char Char"/>
    <w:qFormat/>
    <w:uiPriority w:val="0"/>
    <w:rPr>
      <w:rFonts w:ascii="仿宋_GB2312" w:hAnsi="宋体" w:eastAsia="仿宋_GB2312" w:cs="宋体"/>
      <w:kern w:val="0"/>
      <w:sz w:val="24"/>
      <w:szCs w:val="24"/>
    </w:rPr>
  </w:style>
  <w:style w:type="paragraph" w:customStyle="1" w:styleId="836">
    <w:name w:val="报告样式4"/>
    <w:basedOn w:val="22"/>
    <w:qFormat/>
    <w:uiPriority w:val="0"/>
    <w:pPr>
      <w:spacing w:line="360" w:lineRule="auto"/>
      <w:ind w:firstLine="480"/>
    </w:pPr>
    <w:rPr>
      <w:bCs/>
      <w:sz w:val="24"/>
      <w:szCs w:val="22"/>
    </w:rPr>
  </w:style>
  <w:style w:type="character" w:customStyle="1" w:styleId="837">
    <w:name w:val="headline-content"/>
    <w:qFormat/>
    <w:uiPriority w:val="0"/>
  </w:style>
  <w:style w:type="paragraph" w:customStyle="1" w:styleId="838">
    <w:name w:val="列出段落1"/>
    <w:basedOn w:val="1"/>
    <w:qFormat/>
    <w:uiPriority w:val="34"/>
    <w:pPr>
      <w:ind w:firstLine="420" w:firstLineChars="200"/>
    </w:pPr>
  </w:style>
  <w:style w:type="character" w:customStyle="1" w:styleId="839">
    <w:name w:val="TBT Char"/>
    <w:link w:val="840"/>
    <w:qFormat/>
    <w:uiPriority w:val="0"/>
    <w:rPr>
      <w:b/>
      <w:kern w:val="2"/>
      <w:sz w:val="24"/>
      <w:szCs w:val="24"/>
    </w:rPr>
  </w:style>
  <w:style w:type="paragraph" w:customStyle="1" w:styleId="840">
    <w:name w:val="TBT"/>
    <w:basedOn w:val="1"/>
    <w:link w:val="839"/>
    <w:qFormat/>
    <w:uiPriority w:val="0"/>
    <w:pPr>
      <w:spacing w:line="500" w:lineRule="exact"/>
      <w:ind w:firstLine="482" w:firstLineChars="200"/>
      <w:jc w:val="center"/>
    </w:pPr>
    <w:rPr>
      <w:rFonts w:ascii="Times New Roman"/>
      <w:b/>
      <w:kern w:val="2"/>
      <w:szCs w:val="24"/>
    </w:rPr>
  </w:style>
  <w:style w:type="character" w:customStyle="1" w:styleId="841">
    <w:name w:val="ZW Char"/>
    <w:link w:val="842"/>
    <w:qFormat/>
    <w:uiPriority w:val="0"/>
    <w:rPr>
      <w:rFonts w:cs="宋体"/>
      <w:kern w:val="2"/>
      <w:sz w:val="24"/>
      <w:szCs w:val="24"/>
    </w:rPr>
  </w:style>
  <w:style w:type="paragraph" w:customStyle="1" w:styleId="842">
    <w:name w:val="ZW"/>
    <w:basedOn w:val="1"/>
    <w:link w:val="841"/>
    <w:qFormat/>
    <w:uiPriority w:val="0"/>
    <w:pPr>
      <w:spacing w:line="500" w:lineRule="exact"/>
      <w:ind w:firstLine="480" w:firstLineChars="200"/>
    </w:pPr>
    <w:rPr>
      <w:rFonts w:ascii="Times New Roman"/>
      <w:kern w:val="2"/>
      <w:szCs w:val="24"/>
    </w:rPr>
  </w:style>
  <w:style w:type="character" w:customStyle="1" w:styleId="843">
    <w:name w:val="TB Char"/>
    <w:link w:val="844"/>
    <w:qFormat/>
    <w:uiPriority w:val="0"/>
    <w:rPr>
      <w:kern w:val="2"/>
      <w:sz w:val="21"/>
      <w:szCs w:val="21"/>
    </w:rPr>
  </w:style>
  <w:style w:type="paragraph" w:customStyle="1" w:styleId="844">
    <w:name w:val="TB"/>
    <w:basedOn w:val="1"/>
    <w:link w:val="843"/>
    <w:qFormat/>
    <w:uiPriority w:val="0"/>
    <w:pPr>
      <w:adjustRightInd w:val="0"/>
      <w:snapToGrid w:val="0"/>
      <w:spacing w:line="240" w:lineRule="exact"/>
      <w:jc w:val="center"/>
    </w:pPr>
    <w:rPr>
      <w:rFonts w:ascii="Times New Roman"/>
      <w:kern w:val="2"/>
      <w:sz w:val="21"/>
      <w:szCs w:val="21"/>
    </w:rPr>
  </w:style>
  <w:style w:type="paragraph" w:customStyle="1" w:styleId="845">
    <w:name w:val="_Style 78"/>
    <w:basedOn w:val="1"/>
    <w:qFormat/>
    <w:uiPriority w:val="0"/>
  </w:style>
  <w:style w:type="paragraph" w:customStyle="1" w:styleId="846">
    <w:name w:val="Char Char Char3"/>
    <w:basedOn w:val="1"/>
    <w:qFormat/>
    <w:uiPriority w:val="0"/>
  </w:style>
  <w:style w:type="paragraph" w:customStyle="1" w:styleId="847">
    <w:name w:val="Char Char Char Char3"/>
    <w:basedOn w:val="1"/>
    <w:qFormat/>
    <w:uiPriority w:val="0"/>
    <w:rPr>
      <w:szCs w:val="21"/>
    </w:rPr>
  </w:style>
  <w:style w:type="paragraph" w:customStyle="1" w:styleId="848">
    <w:name w:val="Char4"/>
    <w:basedOn w:val="1"/>
    <w:qFormat/>
    <w:uiPriority w:val="0"/>
    <w:pPr>
      <w:spacing w:before="50" w:beforeLines="50" w:after="50" w:afterLines="50" w:line="500" w:lineRule="exact"/>
    </w:pPr>
    <w:rPr>
      <w:sz w:val="28"/>
      <w:szCs w:val="28"/>
    </w:rPr>
  </w:style>
  <w:style w:type="paragraph" w:customStyle="1" w:styleId="849">
    <w:name w:val="Char Char Char Char Char Char Char Char Char Char2"/>
    <w:basedOn w:val="1"/>
    <w:qFormat/>
    <w:uiPriority w:val="0"/>
  </w:style>
  <w:style w:type="paragraph" w:customStyle="1" w:styleId="850">
    <w:name w:val="Char Char Char Char Char Char2"/>
    <w:basedOn w:val="1"/>
    <w:qFormat/>
    <w:uiPriority w:val="0"/>
    <w:rPr>
      <w:szCs w:val="21"/>
    </w:rPr>
  </w:style>
  <w:style w:type="paragraph" w:customStyle="1" w:styleId="851">
    <w:name w:val="Char4 Char Char Char Char Char Char Char Char Char Char Char Char Char Char Char Char Char1 Char Char Char Char Char Char1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852">
    <w:name w:val="Char Char Char Char Char Char Char Char Char1 Char Char Char Char2"/>
    <w:basedOn w:val="1"/>
    <w:qFormat/>
    <w:uiPriority w:val="0"/>
    <w:rPr>
      <w:szCs w:val="21"/>
    </w:rPr>
  </w:style>
  <w:style w:type="paragraph" w:customStyle="1" w:styleId="853">
    <w:name w:val="Char Char Char1 Char1"/>
    <w:basedOn w:val="1"/>
    <w:qFormat/>
    <w:uiPriority w:val="0"/>
  </w:style>
  <w:style w:type="paragraph" w:customStyle="1" w:styleId="854">
    <w:name w:val="Char Char Char Char Char Char Char2"/>
    <w:basedOn w:val="1"/>
    <w:qFormat/>
    <w:uiPriority w:val="0"/>
  </w:style>
  <w:style w:type="paragraph" w:customStyle="1" w:styleId="855">
    <w:name w:val="Char Char Char1 Char Char Char Char1"/>
    <w:basedOn w:val="1"/>
    <w:qFormat/>
    <w:uiPriority w:val="0"/>
  </w:style>
  <w:style w:type="paragraph" w:customStyle="1" w:styleId="856">
    <w:name w:val="Char Char Char Char Char Char Char Char Char Char Char Char Char Char Char Char1"/>
    <w:basedOn w:val="1"/>
    <w:qFormat/>
    <w:uiPriority w:val="0"/>
  </w:style>
  <w:style w:type="paragraph" w:customStyle="1" w:styleId="857">
    <w:name w:val="Char Char Char Char Char Char Char Char Char Char Char Char Char Char Char Char Char Char Char Char Char Char Char Char Char Char Char Char Char Char2 Char Char Char Char Char Char Char1"/>
    <w:basedOn w:val="1"/>
    <w:qFormat/>
    <w:uiPriority w:val="0"/>
  </w:style>
  <w:style w:type="paragraph" w:customStyle="1" w:styleId="858">
    <w:name w:val="正文文本缩进11"/>
    <w:basedOn w:val="1"/>
    <w:qFormat/>
    <w:uiPriority w:val="0"/>
    <w:pPr>
      <w:adjustRightInd w:val="0"/>
      <w:spacing w:after="120" w:line="360" w:lineRule="auto"/>
      <w:ind w:left="420" w:leftChars="200" w:firstLine="200" w:firstLineChars="200"/>
      <w:textAlignment w:val="baseline"/>
    </w:pPr>
  </w:style>
  <w:style w:type="paragraph" w:customStyle="1" w:styleId="859">
    <w:name w:val="正文缩进31"/>
    <w:basedOn w:val="1"/>
    <w:qFormat/>
    <w:uiPriority w:val="0"/>
    <w:pPr>
      <w:adjustRightInd w:val="0"/>
      <w:ind w:firstLine="420" w:firstLineChars="200"/>
      <w:textAlignment w:val="baseline"/>
    </w:pPr>
    <w:rPr>
      <w:rFonts w:hint="eastAsia" w:hAnsi="宋体"/>
    </w:rPr>
  </w:style>
  <w:style w:type="paragraph" w:customStyle="1" w:styleId="860">
    <w:name w:val="Char11"/>
    <w:basedOn w:val="1"/>
    <w:qFormat/>
    <w:uiPriority w:val="0"/>
    <w:pPr>
      <w:snapToGrid w:val="0"/>
      <w:spacing w:line="360" w:lineRule="auto"/>
      <w:ind w:firstLine="200" w:firstLineChars="200"/>
    </w:pPr>
    <w:rPr>
      <w:rFonts w:eastAsia="仿宋_GB2312"/>
    </w:rPr>
  </w:style>
  <w:style w:type="paragraph" w:customStyle="1" w:styleId="861">
    <w:name w:val="正文文本2"/>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character" w:customStyle="1" w:styleId="862">
    <w:name w:val="Char Char12151"/>
    <w:qFormat/>
    <w:uiPriority w:val="0"/>
    <w:rPr>
      <w:rFonts w:ascii="楷体_GB2312" w:hAnsi="Arial" w:eastAsia="楷体_GB2312" w:cs="Arial"/>
      <w:b/>
      <w:sz w:val="21"/>
      <w:szCs w:val="21"/>
      <w:lang w:val="en-US" w:eastAsia="zh-CN" w:bidi="ar-SA"/>
    </w:rPr>
  </w:style>
  <w:style w:type="character" w:customStyle="1" w:styleId="863">
    <w:name w:val="标题5"/>
    <w:qFormat/>
    <w:uiPriority w:val="0"/>
  </w:style>
  <w:style w:type="character" w:customStyle="1" w:styleId="864">
    <w:name w:val="Char Char21"/>
    <w:qFormat/>
    <w:uiPriority w:val="0"/>
    <w:rPr>
      <w:rFonts w:ascii="Arial" w:hAnsi="Arial" w:eastAsia="楷体_GB2312" w:cs="Arial"/>
      <w:b/>
      <w:sz w:val="24"/>
      <w:lang w:val="en-US" w:eastAsia="zh-CN" w:bidi="ar-SA"/>
    </w:rPr>
  </w:style>
  <w:style w:type="paragraph" w:customStyle="1" w:styleId="865">
    <w:name w:val="Char1 Char Char Char Char Char1 Char1"/>
    <w:basedOn w:val="1"/>
    <w:qFormat/>
    <w:uiPriority w:val="0"/>
    <w:rPr>
      <w:szCs w:val="21"/>
    </w:rPr>
  </w:style>
  <w:style w:type="character" w:customStyle="1" w:styleId="866">
    <w:name w:val="Char Char61"/>
    <w:qFormat/>
    <w:uiPriority w:val="0"/>
    <w:rPr>
      <w:rFonts w:eastAsia="宋体"/>
      <w:kern w:val="2"/>
      <w:sz w:val="24"/>
      <w:lang w:val="en-US" w:eastAsia="zh-CN" w:bidi="ar-SA"/>
    </w:rPr>
  </w:style>
  <w:style w:type="paragraph" w:customStyle="1" w:styleId="867">
    <w:name w:val="Char Char Char Char Char Char Char Char Char1 Char Char Char Char Char Char Char Char1 Char Char Char1"/>
    <w:basedOn w:val="1"/>
    <w:qFormat/>
    <w:uiPriority w:val="0"/>
    <w:pPr>
      <w:snapToGrid w:val="0"/>
      <w:spacing w:line="360" w:lineRule="auto"/>
      <w:ind w:firstLine="200" w:firstLineChars="200"/>
    </w:pPr>
    <w:rPr>
      <w:rFonts w:eastAsia="仿宋_GB2312"/>
    </w:rPr>
  </w:style>
  <w:style w:type="character" w:customStyle="1" w:styleId="868">
    <w:name w:val="Char Char71"/>
    <w:qFormat/>
    <w:uiPriority w:val="0"/>
    <w:rPr>
      <w:rFonts w:eastAsia="宋体"/>
      <w:kern w:val="2"/>
      <w:sz w:val="21"/>
      <w:szCs w:val="24"/>
      <w:lang w:val="en-US" w:eastAsia="zh-CN" w:bidi="ar-SA"/>
    </w:rPr>
  </w:style>
  <w:style w:type="character" w:customStyle="1" w:styleId="869">
    <w:name w:val="Char Char101"/>
    <w:qFormat/>
    <w:uiPriority w:val="0"/>
    <w:rPr>
      <w:rFonts w:eastAsia="宋体"/>
      <w:kern w:val="2"/>
      <w:sz w:val="21"/>
      <w:szCs w:val="24"/>
      <w:lang w:val="en-US" w:eastAsia="zh-CN" w:bidi="ar-SA"/>
    </w:rPr>
  </w:style>
  <w:style w:type="character" w:customStyle="1" w:styleId="870">
    <w:name w:val="Char Char51"/>
    <w:qFormat/>
    <w:uiPriority w:val="0"/>
    <w:rPr>
      <w:rFonts w:ascii="宋体" w:hAnsi="Courier New" w:eastAsia="宋体"/>
      <w:kern w:val="2"/>
      <w:sz w:val="21"/>
      <w:lang w:val="en-US" w:eastAsia="zh-CN" w:bidi="ar-SA"/>
    </w:rPr>
  </w:style>
  <w:style w:type="character" w:customStyle="1" w:styleId="871">
    <w:name w:val="Char Char181"/>
    <w:qFormat/>
    <w:uiPriority w:val="0"/>
    <w:rPr>
      <w:rFonts w:ascii="宋体" w:hAnsi="宋体" w:eastAsia="宋体" w:cs="Times New Roman"/>
      <w:color w:val="800000"/>
      <w:kern w:val="0"/>
      <w:sz w:val="28"/>
      <w:szCs w:val="20"/>
    </w:rPr>
  </w:style>
  <w:style w:type="character" w:customStyle="1" w:styleId="872">
    <w:name w:val="Char Char Char1 Char Char1"/>
    <w:qFormat/>
    <w:uiPriority w:val="0"/>
    <w:rPr>
      <w:rFonts w:ascii="Times New Roman" w:hAnsi="Times New Roman" w:eastAsia="宋体" w:cs="Times New Roman"/>
      <w:kern w:val="0"/>
      <w:sz w:val="18"/>
      <w:szCs w:val="18"/>
    </w:rPr>
  </w:style>
  <w:style w:type="character" w:customStyle="1" w:styleId="873">
    <w:name w:val="Char Char111"/>
    <w:qFormat/>
    <w:uiPriority w:val="0"/>
    <w:rPr>
      <w:rFonts w:ascii="Times New Roman" w:hAnsi="Times New Roman" w:eastAsia="宋体" w:cs="Times New Roman"/>
      <w:kern w:val="0"/>
      <w:sz w:val="24"/>
      <w:szCs w:val="24"/>
    </w:rPr>
  </w:style>
  <w:style w:type="character" w:customStyle="1" w:styleId="874">
    <w:name w:val="标题 1 Char Char Char Char Char Char Char Char Char Char Char Char Char Char Char Char Char Char Char Char Char Char Char Char Char Char Char Char Char Char Char Char Char Char Char Char Char Char Char Char Char Char Char Char Char Char Char Char Char1"/>
    <w:qFormat/>
    <w:uiPriority w:val="0"/>
    <w:rPr>
      <w:rFonts w:ascii="黑体" w:hAnsi="Arial Unicode MS" w:eastAsia="黑体"/>
      <w:kern w:val="44"/>
      <w:sz w:val="28"/>
      <w:szCs w:val="28"/>
      <w:lang w:val="en-US" w:eastAsia="zh-CN" w:bidi="ar-SA"/>
    </w:rPr>
  </w:style>
  <w:style w:type="paragraph" w:customStyle="1" w:styleId="875">
    <w:name w:val="正文2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76">
    <w:name w:val="Char91"/>
    <w:basedOn w:val="1"/>
    <w:qFormat/>
    <w:uiPriority w:val="0"/>
    <w:rPr>
      <w:szCs w:val="21"/>
    </w:rPr>
  </w:style>
  <w:style w:type="character" w:customStyle="1" w:styleId="877">
    <w:name w:val="Char Char4111"/>
    <w:qFormat/>
    <w:uiPriority w:val="0"/>
    <w:rPr>
      <w:kern w:val="2"/>
      <w:sz w:val="18"/>
      <w:szCs w:val="18"/>
    </w:rPr>
  </w:style>
  <w:style w:type="paragraph" w:customStyle="1" w:styleId="878">
    <w:name w:val="列出段落11"/>
    <w:basedOn w:val="1"/>
    <w:qFormat/>
    <w:uiPriority w:val="0"/>
    <w:pPr>
      <w:ind w:firstLine="420" w:firstLineChars="200"/>
    </w:pPr>
  </w:style>
  <w:style w:type="paragraph" w:customStyle="1" w:styleId="879">
    <w:name w:val="表格式"/>
    <w:basedOn w:val="66"/>
    <w:qFormat/>
    <w:uiPriority w:val="0"/>
    <w:pPr>
      <w:spacing w:line="400" w:lineRule="exact"/>
    </w:pPr>
    <w:rPr>
      <w:rFonts w:ascii="宋体" w:eastAsia="宋体"/>
      <w:sz w:val="21"/>
    </w:rPr>
  </w:style>
  <w:style w:type="character" w:customStyle="1" w:styleId="880">
    <w:name w:val="H4 Char2"/>
    <w:qFormat/>
    <w:uiPriority w:val="0"/>
    <w:rPr>
      <w:rFonts w:ascii="Arial" w:hAnsi="Arial" w:eastAsia="黑体"/>
      <w:b/>
      <w:bCs/>
      <w:kern w:val="2"/>
      <w:sz w:val="28"/>
      <w:szCs w:val="28"/>
      <w:lang w:val="en-US" w:eastAsia="zh-CN" w:bidi="ar-SA"/>
    </w:rPr>
  </w:style>
  <w:style w:type="paragraph" w:customStyle="1" w:styleId="881">
    <w:name w:val="中等深浅网格 2 - 强调文字颜色 11"/>
    <w:link w:val="882"/>
    <w:qFormat/>
    <w:uiPriority w:val="1"/>
    <w:rPr>
      <w:rFonts w:ascii="Calibri" w:hAnsi="Calibri" w:eastAsia="宋体" w:cs="Times New Roman"/>
      <w:sz w:val="22"/>
      <w:szCs w:val="22"/>
      <w:lang w:val="en-US" w:eastAsia="zh-CN" w:bidi="ar-SA"/>
    </w:rPr>
  </w:style>
  <w:style w:type="character" w:customStyle="1" w:styleId="882">
    <w:name w:val="中等深浅网格 2 - 强调文字颜色 1 Char"/>
    <w:link w:val="881"/>
    <w:qFormat/>
    <w:uiPriority w:val="1"/>
    <w:rPr>
      <w:rFonts w:ascii="Calibri" w:hAnsi="Calibri"/>
      <w:sz w:val="22"/>
      <w:szCs w:val="22"/>
      <w:lang w:bidi="ar-SA"/>
    </w:rPr>
  </w:style>
  <w:style w:type="paragraph" w:customStyle="1" w:styleId="883">
    <w:name w:val="1标题"/>
    <w:basedOn w:val="1"/>
    <w:link w:val="884"/>
    <w:qFormat/>
    <w:uiPriority w:val="0"/>
    <w:pPr>
      <w:spacing w:line="500" w:lineRule="exact"/>
    </w:pPr>
    <w:rPr>
      <w:rFonts w:ascii="Times New Roman" w:eastAsia="仿宋_GB2312"/>
      <w:b/>
      <w:kern w:val="2"/>
      <w:sz w:val="32"/>
      <w:szCs w:val="32"/>
    </w:rPr>
  </w:style>
  <w:style w:type="character" w:customStyle="1" w:styleId="884">
    <w:name w:val="1标题 Char"/>
    <w:link w:val="883"/>
    <w:qFormat/>
    <w:uiPriority w:val="0"/>
    <w:rPr>
      <w:rFonts w:eastAsia="仿宋_GB2312"/>
      <w:b/>
      <w:kern w:val="2"/>
      <w:sz w:val="32"/>
      <w:szCs w:val="32"/>
    </w:rPr>
  </w:style>
  <w:style w:type="paragraph" w:customStyle="1" w:styleId="885">
    <w:name w:val="1.1标题"/>
    <w:basedOn w:val="1"/>
    <w:link w:val="886"/>
    <w:qFormat/>
    <w:uiPriority w:val="0"/>
    <w:pPr>
      <w:spacing w:line="500" w:lineRule="exact"/>
      <w:outlineLvl w:val="0"/>
    </w:pPr>
    <w:rPr>
      <w:rFonts w:ascii="Times New Roman" w:eastAsia="仿宋_GB2312"/>
      <w:b/>
      <w:sz w:val="30"/>
      <w:szCs w:val="30"/>
    </w:rPr>
  </w:style>
  <w:style w:type="character" w:customStyle="1" w:styleId="886">
    <w:name w:val="1.1标题 Char"/>
    <w:link w:val="885"/>
    <w:qFormat/>
    <w:uiPriority w:val="0"/>
    <w:rPr>
      <w:rFonts w:eastAsia="仿宋_GB2312"/>
      <w:b/>
      <w:sz w:val="30"/>
      <w:szCs w:val="30"/>
    </w:rPr>
  </w:style>
  <w:style w:type="paragraph" w:customStyle="1" w:styleId="887">
    <w:name w:val="1.1.1 小标题1"/>
    <w:basedOn w:val="1"/>
    <w:next w:val="888"/>
    <w:link w:val="889"/>
    <w:qFormat/>
    <w:uiPriority w:val="0"/>
    <w:pPr>
      <w:keepNext/>
      <w:keepLines/>
      <w:spacing w:before="20" w:after="20"/>
      <w:ind w:right="100"/>
      <w:outlineLvl w:val="2"/>
    </w:pPr>
    <w:rPr>
      <w:rFonts w:ascii="Times New Roman" w:eastAsia="仿宋_GB2312"/>
      <w:b/>
      <w:bCs/>
      <w:kern w:val="2"/>
      <w:sz w:val="28"/>
      <w:szCs w:val="28"/>
    </w:rPr>
  </w:style>
  <w:style w:type="paragraph" w:customStyle="1" w:styleId="888">
    <w:name w:val="1正文"/>
    <w:basedOn w:val="1"/>
    <w:link w:val="890"/>
    <w:qFormat/>
    <w:uiPriority w:val="0"/>
    <w:pPr>
      <w:spacing w:line="500" w:lineRule="exact"/>
      <w:ind w:firstLine="200" w:firstLineChars="200"/>
    </w:pPr>
    <w:rPr>
      <w:rFonts w:ascii="Times New Roman" w:eastAsia="仿宋_GB2312"/>
      <w:kern w:val="2"/>
      <w:sz w:val="28"/>
      <w:szCs w:val="24"/>
    </w:rPr>
  </w:style>
  <w:style w:type="character" w:customStyle="1" w:styleId="889">
    <w:name w:val="1.1.1 小标题1 Char"/>
    <w:link w:val="887"/>
    <w:qFormat/>
    <w:uiPriority w:val="0"/>
    <w:rPr>
      <w:rFonts w:eastAsia="仿宋_GB2312"/>
      <w:b/>
      <w:bCs/>
      <w:kern w:val="2"/>
      <w:sz w:val="28"/>
      <w:szCs w:val="28"/>
    </w:rPr>
  </w:style>
  <w:style w:type="character" w:customStyle="1" w:styleId="890">
    <w:name w:val="1正文 Char"/>
    <w:link w:val="888"/>
    <w:qFormat/>
    <w:uiPriority w:val="0"/>
    <w:rPr>
      <w:rFonts w:eastAsia="仿宋_GB2312"/>
      <w:kern w:val="2"/>
      <w:sz w:val="28"/>
      <w:szCs w:val="24"/>
    </w:rPr>
  </w:style>
  <w:style w:type="paragraph" w:customStyle="1" w:styleId="891">
    <w:name w:val="+正文"/>
    <w:basedOn w:val="1"/>
    <w:link w:val="892"/>
    <w:qFormat/>
    <w:uiPriority w:val="0"/>
    <w:pPr>
      <w:spacing w:line="360" w:lineRule="auto"/>
      <w:ind w:firstLine="200" w:firstLineChars="200"/>
    </w:pPr>
    <w:rPr>
      <w:rFonts w:ascii="Times New Roman" w:hAnsi="宋体"/>
      <w:kern w:val="2"/>
      <w:sz w:val="28"/>
      <w:szCs w:val="28"/>
    </w:rPr>
  </w:style>
  <w:style w:type="character" w:customStyle="1" w:styleId="892">
    <w:name w:val="+正文 Char"/>
    <w:link w:val="891"/>
    <w:qFormat/>
    <w:uiPriority w:val="0"/>
    <w:rPr>
      <w:rFonts w:hAnsi="宋体"/>
      <w:kern w:val="2"/>
      <w:sz w:val="28"/>
      <w:szCs w:val="28"/>
    </w:rPr>
  </w:style>
  <w:style w:type="character" w:customStyle="1" w:styleId="893">
    <w:name w:val="content"/>
    <w:qFormat/>
    <w:uiPriority w:val="0"/>
  </w:style>
  <w:style w:type="paragraph" w:customStyle="1" w:styleId="894">
    <w:name w:val="样式-正文cx"/>
    <w:basedOn w:val="1"/>
    <w:link w:val="895"/>
    <w:qFormat/>
    <w:uiPriority w:val="0"/>
    <w:pPr>
      <w:spacing w:line="500" w:lineRule="exact"/>
      <w:ind w:firstLine="560" w:firstLineChars="200"/>
    </w:pPr>
    <w:rPr>
      <w:rFonts w:ascii="Times New Roman" w:eastAsia="仿宋"/>
      <w:bCs/>
      <w:color w:val="0000FF"/>
      <w:kern w:val="2"/>
      <w:sz w:val="28"/>
      <w:szCs w:val="28"/>
    </w:rPr>
  </w:style>
  <w:style w:type="character" w:customStyle="1" w:styleId="895">
    <w:name w:val="样式-正文cx Char"/>
    <w:link w:val="894"/>
    <w:qFormat/>
    <w:uiPriority w:val="0"/>
    <w:rPr>
      <w:rFonts w:eastAsia="仿宋"/>
      <w:bCs/>
      <w:color w:val="0000FF"/>
      <w:kern w:val="2"/>
      <w:sz w:val="28"/>
      <w:szCs w:val="28"/>
    </w:rPr>
  </w:style>
  <w:style w:type="paragraph" w:customStyle="1" w:styleId="896">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character" w:customStyle="1" w:styleId="897">
    <w:name w:val="H4 Char Char"/>
    <w:qFormat/>
    <w:uiPriority w:val="0"/>
    <w:rPr>
      <w:rFonts w:eastAsia="楷体_GB2312"/>
      <w:b/>
      <w:color w:val="000000"/>
      <w:kern w:val="2"/>
      <w:sz w:val="28"/>
      <w:szCs w:val="28"/>
      <w:lang w:val="en-US" w:eastAsia="zh-CN" w:bidi="ar-SA"/>
    </w:rPr>
  </w:style>
  <w:style w:type="character" w:customStyle="1" w:styleId="898">
    <w:name w:val="标题 2 Char1 Char Char"/>
    <w:qFormat/>
    <w:uiPriority w:val="0"/>
    <w:rPr>
      <w:rFonts w:ascii="仿宋_GB2312" w:hAnsi="Arial" w:eastAsia="仿宋_GB2312"/>
      <w:b/>
      <w:bCs/>
      <w:kern w:val="2"/>
      <w:sz w:val="28"/>
      <w:szCs w:val="32"/>
      <w:lang w:val="en-US" w:eastAsia="zh-CN" w:bidi="ar-SA"/>
    </w:rPr>
  </w:style>
  <w:style w:type="character" w:customStyle="1" w:styleId="899">
    <w:name w:val="正文文本2 Char"/>
    <w:qFormat/>
    <w:uiPriority w:val="0"/>
    <w:rPr>
      <w:kern w:val="2"/>
      <w:sz w:val="28"/>
      <w:szCs w:val="24"/>
    </w:rPr>
  </w:style>
  <w:style w:type="paragraph" w:customStyle="1" w:styleId="900">
    <w:name w:val="工艺题目"/>
    <w:basedOn w:val="1"/>
    <w:qFormat/>
    <w:uiPriority w:val="0"/>
    <w:pPr>
      <w:adjustRightInd w:val="0"/>
      <w:snapToGrid w:val="0"/>
      <w:spacing w:line="360" w:lineRule="auto"/>
    </w:pPr>
    <w:rPr>
      <w:b/>
      <w:sz w:val="28"/>
    </w:rPr>
  </w:style>
  <w:style w:type="character" w:customStyle="1" w:styleId="901">
    <w:name w:val="图表注 Char"/>
    <w:qFormat/>
    <w:uiPriority w:val="0"/>
    <w:rPr>
      <w:rFonts w:ascii="宋体" w:hAnsi="Arial" w:eastAsia="宋体" w:cs="Arial"/>
      <w:kern w:val="2"/>
      <w:sz w:val="24"/>
      <w:szCs w:val="21"/>
      <w:lang w:val="en-US" w:eastAsia="zh-CN" w:bidi="ar-SA"/>
    </w:rPr>
  </w:style>
  <w:style w:type="character" w:customStyle="1" w:styleId="902">
    <w:name w:val="f12_0000_1"/>
    <w:qFormat/>
    <w:uiPriority w:val="0"/>
  </w:style>
  <w:style w:type="paragraph" w:customStyle="1" w:styleId="903">
    <w:name w:val="reader-word-layer reader-word-s9-12"/>
    <w:basedOn w:val="1"/>
    <w:qFormat/>
    <w:uiPriority w:val="0"/>
    <w:pPr>
      <w:widowControl/>
      <w:spacing w:before="100" w:beforeAutospacing="1" w:after="100" w:afterAutospacing="1"/>
      <w:jc w:val="left"/>
    </w:pPr>
    <w:rPr>
      <w:rFonts w:hAnsi="宋体" w:cs="宋体"/>
    </w:rPr>
  </w:style>
  <w:style w:type="paragraph" w:customStyle="1" w:styleId="904">
    <w:name w:val="图标名样式"/>
    <w:basedOn w:val="1"/>
    <w:link w:val="905"/>
    <w:qFormat/>
    <w:uiPriority w:val="0"/>
    <w:pPr>
      <w:spacing w:line="360" w:lineRule="auto"/>
      <w:jc w:val="center"/>
    </w:pPr>
    <w:rPr>
      <w:rFonts w:ascii="Times New Roman" w:eastAsia="黑体"/>
      <w:kern w:val="2"/>
      <w:szCs w:val="21"/>
    </w:rPr>
  </w:style>
  <w:style w:type="character" w:customStyle="1" w:styleId="905">
    <w:name w:val="图标名样式 Char"/>
    <w:link w:val="904"/>
    <w:qFormat/>
    <w:uiPriority w:val="0"/>
    <w:rPr>
      <w:rFonts w:eastAsia="黑体"/>
      <w:kern w:val="2"/>
      <w:sz w:val="24"/>
      <w:szCs w:val="21"/>
    </w:rPr>
  </w:style>
  <w:style w:type="character" w:customStyle="1" w:styleId="906">
    <w:name w:val="正文B Char Char"/>
    <w:qFormat/>
    <w:uiPriority w:val="0"/>
    <w:rPr>
      <w:rFonts w:eastAsia="楷体_GB2312"/>
      <w:spacing w:val="8"/>
      <w:sz w:val="28"/>
      <w:lang w:val="en-US" w:eastAsia="zh-CN" w:bidi="ar-SA"/>
    </w:rPr>
  </w:style>
  <w:style w:type="paragraph" w:customStyle="1" w:styleId="907">
    <w:name w:val="文字"/>
    <w:basedOn w:val="1"/>
    <w:link w:val="908"/>
    <w:qFormat/>
    <w:uiPriority w:val="0"/>
    <w:pPr>
      <w:widowControl/>
      <w:spacing w:after="120" w:afterLines="50" w:line="360" w:lineRule="auto"/>
      <w:ind w:firstLine="420"/>
    </w:pPr>
    <w:rPr>
      <w:rFonts w:ascii="Times New Roman"/>
      <w:szCs w:val="24"/>
    </w:rPr>
  </w:style>
  <w:style w:type="character" w:customStyle="1" w:styleId="908">
    <w:name w:val="文字 Char"/>
    <w:link w:val="907"/>
    <w:qFormat/>
    <w:uiPriority w:val="0"/>
    <w:rPr>
      <w:sz w:val="24"/>
      <w:szCs w:val="24"/>
    </w:rPr>
  </w:style>
  <w:style w:type="paragraph" w:customStyle="1" w:styleId="909">
    <w:name w:val="报告正文"/>
    <w:basedOn w:val="1"/>
    <w:qFormat/>
    <w:uiPriority w:val="0"/>
    <w:pPr>
      <w:tabs>
        <w:tab w:val="left" w:pos="0"/>
      </w:tabs>
      <w:spacing w:line="360" w:lineRule="auto"/>
      <w:ind w:firstLine="200" w:firstLineChars="200"/>
    </w:pPr>
    <w:rPr>
      <w:color w:val="000000"/>
    </w:rPr>
  </w:style>
  <w:style w:type="paragraph" w:customStyle="1" w:styleId="910">
    <w:name w:val="正文文本缩进2"/>
    <w:basedOn w:val="1"/>
    <w:qFormat/>
    <w:uiPriority w:val="0"/>
    <w:pPr>
      <w:adjustRightInd w:val="0"/>
      <w:spacing w:after="120" w:line="360" w:lineRule="auto"/>
      <w:ind w:left="420" w:leftChars="200" w:firstLine="200" w:firstLineChars="200"/>
      <w:textAlignment w:val="baseline"/>
    </w:pPr>
  </w:style>
  <w:style w:type="character" w:customStyle="1" w:styleId="911">
    <w:name w:val="description"/>
    <w:qFormat/>
    <w:uiPriority w:val="0"/>
  </w:style>
  <w:style w:type="paragraph" w:customStyle="1" w:styleId="912">
    <w:name w:val="默认段落字体 Para Char Char"/>
    <w:basedOn w:val="1"/>
    <w:qFormat/>
    <w:uiPriority w:val="0"/>
    <w:pPr>
      <w:spacing w:line="240" w:lineRule="atLeast"/>
      <w:ind w:left="420" w:firstLine="420"/>
    </w:pPr>
  </w:style>
  <w:style w:type="paragraph" w:customStyle="1" w:styleId="913">
    <w:name w:val="pa-3"/>
    <w:basedOn w:val="1"/>
    <w:qFormat/>
    <w:uiPriority w:val="0"/>
    <w:pPr>
      <w:widowControl/>
      <w:spacing w:before="150" w:after="150"/>
      <w:jc w:val="left"/>
    </w:pPr>
    <w:rPr>
      <w:rFonts w:hAnsi="宋体" w:cs="宋体"/>
    </w:rPr>
  </w:style>
  <w:style w:type="character" w:customStyle="1" w:styleId="914">
    <w:name w:val="ca-1"/>
    <w:qFormat/>
    <w:uiPriority w:val="0"/>
  </w:style>
  <w:style w:type="paragraph" w:customStyle="1" w:styleId="915">
    <w:name w:val="纯文本11"/>
    <w:basedOn w:val="1"/>
    <w:qFormat/>
    <w:uiPriority w:val="0"/>
    <w:pPr>
      <w:autoSpaceDE w:val="0"/>
      <w:autoSpaceDN w:val="0"/>
      <w:adjustRightInd w:val="0"/>
      <w:textAlignment w:val="baseline"/>
    </w:pPr>
    <w:rPr>
      <w:rFonts w:hAnsi="Tms Rmn"/>
    </w:rPr>
  </w:style>
  <w:style w:type="character" w:customStyle="1" w:styleId="916">
    <w:name w:val="Char Char9"/>
    <w:qFormat/>
    <w:uiPriority w:val="0"/>
    <w:rPr>
      <w:kern w:val="2"/>
      <w:sz w:val="18"/>
      <w:szCs w:val="18"/>
    </w:rPr>
  </w:style>
  <w:style w:type="paragraph" w:customStyle="1" w:styleId="917">
    <w:name w:val="标题-3"/>
    <w:basedOn w:val="6"/>
    <w:qFormat/>
    <w:uiPriority w:val="0"/>
    <w:pPr>
      <w:snapToGrid w:val="0"/>
      <w:spacing w:before="120" w:beforeLines="50" w:after="120" w:afterLines="50" w:line="360" w:lineRule="auto"/>
    </w:pPr>
    <w:rPr>
      <w:sz w:val="24"/>
      <w:szCs w:val="24"/>
    </w:rPr>
  </w:style>
  <w:style w:type="paragraph" w:customStyle="1" w:styleId="918">
    <w:name w:val="标题-4"/>
    <w:basedOn w:val="7"/>
    <w:link w:val="919"/>
    <w:qFormat/>
    <w:uiPriority w:val="0"/>
    <w:pPr>
      <w:adjustRightInd w:val="0"/>
      <w:snapToGrid w:val="0"/>
      <w:spacing w:beforeLines="50" w:line="360" w:lineRule="auto"/>
      <w:ind w:left="842"/>
      <w:textAlignment w:val="baseline"/>
    </w:pPr>
    <w:rPr>
      <w:rFonts w:ascii="Arial" w:eastAsia="宋体"/>
      <w:b/>
      <w:bCs w:val="0"/>
      <w:sz w:val="24"/>
      <w:szCs w:val="24"/>
    </w:rPr>
  </w:style>
  <w:style w:type="character" w:customStyle="1" w:styleId="919">
    <w:name w:val="标题-4 Char"/>
    <w:link w:val="918"/>
    <w:qFormat/>
    <w:uiPriority w:val="0"/>
    <w:rPr>
      <w:rFonts w:ascii="Arial" w:hAnsi="Arial"/>
      <w:b/>
      <w:kern w:val="2"/>
      <w:sz w:val="24"/>
      <w:szCs w:val="24"/>
    </w:rPr>
  </w:style>
  <w:style w:type="character" w:customStyle="1" w:styleId="920">
    <w:name w:val="表格内文字 Char"/>
    <w:qFormat/>
    <w:uiPriority w:val="0"/>
    <w:rPr>
      <w:spacing w:val="10"/>
      <w:kern w:val="2"/>
      <w:sz w:val="24"/>
    </w:rPr>
  </w:style>
  <w:style w:type="paragraph" w:customStyle="1" w:styleId="921">
    <w:name w:val="样式 报告 + Times New Roman Char Char Char Char Char Char Char Char Char Char Char Char Char Char Char Char"/>
    <w:basedOn w:val="290"/>
    <w:link w:val="922"/>
    <w:qFormat/>
    <w:uiPriority w:val="0"/>
    <w:pPr>
      <w:spacing w:line="500" w:lineRule="exact"/>
    </w:pPr>
    <w:rPr>
      <w:rFonts w:ascii="Times New Roman" w:hAnsi="Times New Roman"/>
      <w:kern w:val="2"/>
      <w:sz w:val="28"/>
      <w:szCs w:val="28"/>
    </w:rPr>
  </w:style>
  <w:style w:type="character" w:customStyle="1" w:styleId="922">
    <w:name w:val="样式 报告 + Times New Roman Char Char Char Char Char Char Char Char Char Char Char Char Char Char Char Char Char"/>
    <w:link w:val="921"/>
    <w:qFormat/>
    <w:uiPriority w:val="0"/>
    <w:rPr>
      <w:kern w:val="2"/>
      <w:sz w:val="28"/>
      <w:szCs w:val="28"/>
    </w:rPr>
  </w:style>
  <w:style w:type="paragraph" w:customStyle="1" w:styleId="923">
    <w:name w:val="样式 标题 3 + 黑色 Char Char Char Char Char Char Char Char Char"/>
    <w:basedOn w:val="6"/>
    <w:link w:val="924"/>
    <w:qFormat/>
    <w:uiPriority w:val="0"/>
    <w:pPr>
      <w:keepNext w:val="0"/>
      <w:keepLines w:val="0"/>
      <w:tabs>
        <w:tab w:val="left" w:pos="993"/>
        <w:tab w:val="left" w:pos="1260"/>
      </w:tabs>
      <w:adjustRightInd w:val="0"/>
      <w:snapToGrid w:val="0"/>
      <w:spacing w:before="120" w:beforeLines="50" w:after="120" w:afterLines="50" w:line="500" w:lineRule="exact"/>
      <w:ind w:firstLine="538" w:firstLineChars="192"/>
      <w:outlineLvl w:val="9"/>
    </w:pPr>
    <w:rPr>
      <w:rFonts w:ascii="Times New Roman"/>
      <w:b w:val="0"/>
      <w:bCs w:val="0"/>
      <w:kern w:val="2"/>
      <w:sz w:val="30"/>
      <w:szCs w:val="30"/>
    </w:rPr>
  </w:style>
  <w:style w:type="character" w:customStyle="1" w:styleId="924">
    <w:name w:val="样式 标题 3 + 黑色 Char Char Char Char Char Char Char Char Char Char"/>
    <w:link w:val="923"/>
    <w:qFormat/>
    <w:uiPriority w:val="0"/>
    <w:rPr>
      <w:kern w:val="2"/>
      <w:sz w:val="30"/>
      <w:szCs w:val="30"/>
    </w:rPr>
  </w:style>
  <w:style w:type="character" w:customStyle="1" w:styleId="925">
    <w:name w:val="环评正文文字缩进（江东模板） Char Char"/>
    <w:qFormat/>
    <w:uiPriority w:val="0"/>
    <w:rPr>
      <w:rFonts w:eastAsia="宋体"/>
      <w:kern w:val="2"/>
      <w:sz w:val="24"/>
      <w:szCs w:val="24"/>
      <w:lang w:val="en-US" w:eastAsia="zh-CN" w:bidi="ar-SA"/>
    </w:rPr>
  </w:style>
  <w:style w:type="paragraph" w:customStyle="1" w:styleId="926">
    <w:name w:val="z-窗体顶端1"/>
    <w:basedOn w:val="1"/>
    <w:next w:val="1"/>
    <w:link w:val="927"/>
    <w:qFormat/>
    <w:uiPriority w:val="0"/>
    <w:pPr>
      <w:widowControl/>
      <w:pBdr>
        <w:bottom w:val="single" w:color="auto" w:sz="6" w:space="1"/>
      </w:pBdr>
      <w:jc w:val="center"/>
    </w:pPr>
    <w:rPr>
      <w:rFonts w:ascii="Arial" w:hAnsi="Arial"/>
      <w:vanish/>
      <w:sz w:val="16"/>
      <w:szCs w:val="16"/>
    </w:rPr>
  </w:style>
  <w:style w:type="character" w:customStyle="1" w:styleId="927">
    <w:name w:val="z-窗体顶端 字符"/>
    <w:link w:val="926"/>
    <w:qFormat/>
    <w:uiPriority w:val="0"/>
    <w:rPr>
      <w:rFonts w:ascii="Arial" w:hAnsi="Arial"/>
      <w:vanish/>
      <w:sz w:val="16"/>
      <w:szCs w:val="16"/>
    </w:rPr>
  </w:style>
  <w:style w:type="paragraph" w:customStyle="1" w:styleId="928">
    <w:name w:val="z-窗体底端1"/>
    <w:basedOn w:val="1"/>
    <w:next w:val="1"/>
    <w:link w:val="929"/>
    <w:qFormat/>
    <w:uiPriority w:val="0"/>
    <w:pPr>
      <w:widowControl/>
      <w:pBdr>
        <w:top w:val="single" w:color="auto" w:sz="6" w:space="1"/>
      </w:pBdr>
      <w:jc w:val="center"/>
    </w:pPr>
    <w:rPr>
      <w:rFonts w:ascii="Arial" w:hAnsi="Arial"/>
      <w:vanish/>
      <w:sz w:val="16"/>
      <w:szCs w:val="16"/>
    </w:rPr>
  </w:style>
  <w:style w:type="character" w:customStyle="1" w:styleId="929">
    <w:name w:val="z-窗体底端 字符"/>
    <w:link w:val="928"/>
    <w:qFormat/>
    <w:uiPriority w:val="0"/>
    <w:rPr>
      <w:rFonts w:ascii="Arial" w:hAnsi="Arial"/>
      <w:vanish/>
      <w:sz w:val="16"/>
      <w:szCs w:val="16"/>
    </w:rPr>
  </w:style>
  <w:style w:type="paragraph" w:customStyle="1" w:styleId="930">
    <w:name w:val="表图头"/>
    <w:basedOn w:val="1"/>
    <w:link w:val="931"/>
    <w:qFormat/>
    <w:uiPriority w:val="0"/>
    <w:pPr>
      <w:spacing w:line="360" w:lineRule="auto"/>
      <w:ind w:firstLine="480" w:firstLineChars="200"/>
      <w:jc w:val="center"/>
    </w:pPr>
    <w:rPr>
      <w:rFonts w:ascii="Times New Roman" w:eastAsia="华文中宋"/>
      <w:b/>
      <w:kern w:val="2"/>
      <w:szCs w:val="24"/>
    </w:rPr>
  </w:style>
  <w:style w:type="character" w:customStyle="1" w:styleId="931">
    <w:name w:val="表图头 Char"/>
    <w:link w:val="930"/>
    <w:qFormat/>
    <w:uiPriority w:val="0"/>
    <w:rPr>
      <w:rFonts w:eastAsia="华文中宋"/>
      <w:b/>
      <w:kern w:val="2"/>
      <w:sz w:val="24"/>
      <w:szCs w:val="24"/>
    </w:rPr>
  </w:style>
  <w:style w:type="paragraph" w:customStyle="1" w:styleId="932">
    <w:name w:val="pa-15"/>
    <w:basedOn w:val="1"/>
    <w:qFormat/>
    <w:uiPriority w:val="0"/>
    <w:pPr>
      <w:widowControl/>
      <w:spacing w:before="150" w:after="150"/>
      <w:jc w:val="left"/>
    </w:pPr>
    <w:rPr>
      <w:rFonts w:hAnsi="宋体" w:cs="宋体"/>
    </w:rPr>
  </w:style>
  <w:style w:type="character" w:customStyle="1" w:styleId="933">
    <w:name w:val="ca-13"/>
    <w:qFormat/>
    <w:uiPriority w:val="0"/>
  </w:style>
  <w:style w:type="paragraph" w:customStyle="1" w:styleId="934">
    <w:name w:val="pa-21"/>
    <w:basedOn w:val="1"/>
    <w:qFormat/>
    <w:uiPriority w:val="0"/>
    <w:pPr>
      <w:widowControl/>
      <w:spacing w:before="150" w:after="150"/>
      <w:jc w:val="left"/>
    </w:pPr>
    <w:rPr>
      <w:rFonts w:hAnsi="宋体" w:cs="宋体"/>
    </w:rPr>
  </w:style>
  <w:style w:type="character" w:customStyle="1" w:styleId="935">
    <w:name w:val="ca-15"/>
    <w:qFormat/>
    <w:uiPriority w:val="0"/>
  </w:style>
  <w:style w:type="paragraph" w:customStyle="1" w:styleId="936">
    <w:name w:val="pa-8"/>
    <w:basedOn w:val="1"/>
    <w:qFormat/>
    <w:uiPriority w:val="0"/>
    <w:pPr>
      <w:widowControl/>
      <w:spacing w:before="150" w:after="150"/>
      <w:jc w:val="left"/>
    </w:pPr>
    <w:rPr>
      <w:rFonts w:hAnsi="宋体" w:cs="宋体"/>
    </w:rPr>
  </w:style>
  <w:style w:type="paragraph" w:customStyle="1" w:styleId="937">
    <w:name w:val="pa-22"/>
    <w:basedOn w:val="1"/>
    <w:qFormat/>
    <w:uiPriority w:val="0"/>
    <w:pPr>
      <w:widowControl/>
      <w:spacing w:before="150" w:after="150"/>
      <w:jc w:val="left"/>
    </w:pPr>
    <w:rPr>
      <w:rFonts w:hAnsi="宋体" w:cs="宋体"/>
    </w:rPr>
  </w:style>
  <w:style w:type="paragraph" w:customStyle="1" w:styleId="938">
    <w:name w:val="pa-23"/>
    <w:basedOn w:val="1"/>
    <w:qFormat/>
    <w:uiPriority w:val="0"/>
    <w:pPr>
      <w:widowControl/>
      <w:spacing w:before="150" w:after="150"/>
      <w:jc w:val="left"/>
    </w:pPr>
    <w:rPr>
      <w:rFonts w:hAnsi="宋体" w:cs="宋体"/>
    </w:rPr>
  </w:style>
  <w:style w:type="paragraph" w:customStyle="1" w:styleId="939">
    <w:name w:val="Char1 Char Char Char Char Char 字元 字元"/>
    <w:basedOn w:val="1"/>
    <w:qFormat/>
    <w:uiPriority w:val="0"/>
    <w:rPr>
      <w:szCs w:val="21"/>
    </w:rPr>
  </w:style>
  <w:style w:type="character" w:customStyle="1" w:styleId="940">
    <w:name w:val="doc-desc-all"/>
    <w:qFormat/>
    <w:uiPriority w:val="0"/>
  </w:style>
  <w:style w:type="paragraph" w:customStyle="1" w:styleId="941">
    <w:name w:val="表蕊居中"/>
    <w:link w:val="942"/>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character" w:customStyle="1" w:styleId="942">
    <w:name w:val="表蕊居中 Char"/>
    <w:link w:val="941"/>
    <w:qFormat/>
    <w:uiPriority w:val="0"/>
    <w:rPr>
      <w:spacing w:val="8"/>
      <w:sz w:val="21"/>
      <w:szCs w:val="28"/>
      <w:lang w:bidi="ar-SA"/>
    </w:rPr>
  </w:style>
  <w:style w:type="character" w:customStyle="1" w:styleId="943">
    <w:name w:val="so-ask-best"/>
    <w:qFormat/>
    <w:uiPriority w:val="0"/>
  </w:style>
  <w:style w:type="paragraph" w:customStyle="1" w:styleId="944">
    <w:name w:val="Definition Term"/>
    <w:basedOn w:val="1"/>
    <w:next w:val="1"/>
    <w:qFormat/>
    <w:uiPriority w:val="99"/>
    <w:pPr>
      <w:autoSpaceDE w:val="0"/>
      <w:autoSpaceDN w:val="0"/>
      <w:adjustRightInd w:val="0"/>
      <w:jc w:val="left"/>
    </w:pPr>
  </w:style>
  <w:style w:type="character" w:customStyle="1" w:styleId="945">
    <w:name w:val="标题2 Char"/>
    <w:qFormat/>
    <w:locked/>
    <w:uiPriority w:val="0"/>
    <w:rPr>
      <w:rFonts w:ascii="方正楷体_GBK" w:eastAsia="方正楷体_GBK"/>
      <w:sz w:val="32"/>
    </w:rPr>
  </w:style>
  <w:style w:type="paragraph" w:customStyle="1" w:styleId="946">
    <w:name w:val="评价正文"/>
    <w:basedOn w:val="1"/>
    <w:qFormat/>
    <w:uiPriority w:val="0"/>
    <w:pPr>
      <w:tabs>
        <w:tab w:val="left" w:pos="0"/>
      </w:tabs>
      <w:spacing w:line="480" w:lineRule="exact"/>
      <w:ind w:firstLine="200" w:firstLineChars="200"/>
    </w:pPr>
    <w:rPr>
      <w:rFonts w:hAnsi="宋体" w:eastAsia="仿宋_GB2312" w:cs="黑体"/>
      <w:sz w:val="28"/>
      <w:szCs w:val="21"/>
    </w:rPr>
  </w:style>
  <w:style w:type="paragraph" w:customStyle="1" w:styleId="947">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948">
    <w:name w:val="表内 字符"/>
    <w:link w:val="949"/>
    <w:qFormat/>
    <w:uiPriority w:val="0"/>
    <w:rPr>
      <w:rFonts w:eastAsia="仿宋"/>
      <w:kern w:val="2"/>
      <w:sz w:val="21"/>
      <w:szCs w:val="24"/>
    </w:rPr>
  </w:style>
  <w:style w:type="paragraph" w:customStyle="1" w:styleId="949">
    <w:name w:val="表内"/>
    <w:basedOn w:val="1"/>
    <w:link w:val="948"/>
    <w:qFormat/>
    <w:uiPriority w:val="0"/>
    <w:pPr>
      <w:widowControl/>
      <w:jc w:val="center"/>
    </w:pPr>
    <w:rPr>
      <w:rFonts w:ascii="Times New Roman" w:eastAsia="仿宋"/>
      <w:kern w:val="2"/>
      <w:sz w:val="21"/>
      <w:szCs w:val="24"/>
    </w:rPr>
  </w:style>
  <w:style w:type="paragraph" w:customStyle="1" w:styleId="950">
    <w:name w:val="Char Char Char4"/>
    <w:basedOn w:val="1"/>
    <w:qFormat/>
    <w:uiPriority w:val="0"/>
  </w:style>
  <w:style w:type="paragraph" w:customStyle="1" w:styleId="951">
    <w:name w:val="Char Char Char Char6"/>
    <w:basedOn w:val="1"/>
    <w:qFormat/>
    <w:uiPriority w:val="0"/>
    <w:rPr>
      <w:szCs w:val="21"/>
    </w:rPr>
  </w:style>
  <w:style w:type="paragraph" w:customStyle="1" w:styleId="952">
    <w:name w:val="Char28"/>
    <w:basedOn w:val="1"/>
    <w:qFormat/>
    <w:uiPriority w:val="0"/>
    <w:pPr>
      <w:spacing w:beforeLines="50" w:afterLines="50" w:line="500" w:lineRule="exact"/>
    </w:pPr>
    <w:rPr>
      <w:sz w:val="28"/>
      <w:szCs w:val="28"/>
    </w:rPr>
  </w:style>
  <w:style w:type="paragraph" w:customStyle="1" w:styleId="953">
    <w:name w:val="Char Char Char Char Char Char Char Char Char Char4"/>
    <w:basedOn w:val="1"/>
    <w:qFormat/>
    <w:uiPriority w:val="0"/>
  </w:style>
  <w:style w:type="paragraph" w:styleId="954">
    <w:name w:val="List Paragraph"/>
    <w:basedOn w:val="1"/>
    <w:qFormat/>
    <w:uiPriority w:val="34"/>
    <w:pPr>
      <w:ind w:firstLine="420" w:firstLineChars="200"/>
    </w:pPr>
  </w:style>
  <w:style w:type="paragraph" w:customStyle="1" w:styleId="955">
    <w:name w:val="Char Char Char Char Char Char6"/>
    <w:basedOn w:val="1"/>
    <w:qFormat/>
    <w:uiPriority w:val="0"/>
    <w:rPr>
      <w:szCs w:val="21"/>
    </w:rPr>
  </w:style>
  <w:style w:type="paragraph" w:customStyle="1" w:styleId="956">
    <w:name w:val="Char4 Char Char Char Char Char Char Char Char Char Char Char Char Char Char Char Char Char1 Char Char Char Char Char Char1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957">
    <w:name w:val="Char Char Char Char Char Char Char Char Char1 Char Char Char Char4"/>
    <w:basedOn w:val="1"/>
    <w:qFormat/>
    <w:uiPriority w:val="0"/>
    <w:rPr>
      <w:szCs w:val="21"/>
    </w:rPr>
  </w:style>
  <w:style w:type="paragraph" w:customStyle="1" w:styleId="958">
    <w:name w:val="Char Char Char1 Char6"/>
    <w:basedOn w:val="1"/>
    <w:qFormat/>
    <w:uiPriority w:val="0"/>
  </w:style>
  <w:style w:type="paragraph" w:customStyle="1" w:styleId="959">
    <w:name w:val="Char Char Char Char Char Char Char29"/>
    <w:basedOn w:val="1"/>
    <w:qFormat/>
    <w:uiPriority w:val="0"/>
  </w:style>
  <w:style w:type="paragraph" w:customStyle="1" w:styleId="960">
    <w:name w:val="Char Char Char1 Char Char Char Char3"/>
    <w:basedOn w:val="1"/>
    <w:qFormat/>
    <w:uiPriority w:val="0"/>
  </w:style>
  <w:style w:type="paragraph" w:customStyle="1" w:styleId="961">
    <w:name w:val="Char Char Char Char Char Char Char Char Char Char Char Char Char Char Char Char3"/>
    <w:basedOn w:val="1"/>
    <w:qFormat/>
    <w:uiPriority w:val="0"/>
  </w:style>
  <w:style w:type="paragraph" w:customStyle="1" w:styleId="962">
    <w:name w:val="Char Char Char Char Char Char Char Char Char Char Char Char Char Char Char Char Char Char Char Char Char Char Char Char Char Char Char Char Char Char2 Char Char Char Char Char Char Char7"/>
    <w:basedOn w:val="1"/>
    <w:qFormat/>
    <w:uiPriority w:val="0"/>
  </w:style>
  <w:style w:type="paragraph" w:customStyle="1" w:styleId="963">
    <w:name w:val="正文文本缩进12"/>
    <w:basedOn w:val="1"/>
    <w:qFormat/>
    <w:uiPriority w:val="0"/>
    <w:pPr>
      <w:adjustRightInd w:val="0"/>
      <w:spacing w:after="120" w:line="360" w:lineRule="auto"/>
      <w:ind w:left="420" w:leftChars="200" w:firstLine="200" w:firstLineChars="200"/>
      <w:textAlignment w:val="baseline"/>
    </w:pPr>
  </w:style>
  <w:style w:type="paragraph" w:customStyle="1" w:styleId="964">
    <w:name w:val="正文缩进32"/>
    <w:basedOn w:val="1"/>
    <w:qFormat/>
    <w:uiPriority w:val="0"/>
    <w:pPr>
      <w:adjustRightInd w:val="0"/>
      <w:ind w:firstLine="420" w:firstLineChars="200"/>
      <w:textAlignment w:val="baseline"/>
    </w:pPr>
    <w:rPr>
      <w:rFonts w:hint="eastAsia" w:hAnsi="宋体"/>
    </w:rPr>
  </w:style>
  <w:style w:type="paragraph" w:customStyle="1" w:styleId="965">
    <w:name w:val="Char130"/>
    <w:basedOn w:val="1"/>
    <w:qFormat/>
    <w:uiPriority w:val="0"/>
    <w:pPr>
      <w:snapToGrid w:val="0"/>
      <w:spacing w:line="360" w:lineRule="auto"/>
      <w:ind w:firstLine="200" w:firstLineChars="200"/>
    </w:pPr>
    <w:rPr>
      <w:rFonts w:eastAsia="仿宋_GB2312"/>
    </w:rPr>
  </w:style>
  <w:style w:type="character" w:customStyle="1" w:styleId="966">
    <w:name w:val="Char Char24"/>
    <w:qFormat/>
    <w:uiPriority w:val="0"/>
    <w:rPr>
      <w:rFonts w:ascii="Arial" w:hAnsi="Arial" w:eastAsia="楷体_GB2312" w:cs="Arial"/>
      <w:b/>
      <w:sz w:val="24"/>
      <w:lang w:val="en-US" w:eastAsia="zh-CN" w:bidi="ar-SA"/>
    </w:rPr>
  </w:style>
  <w:style w:type="paragraph" w:customStyle="1" w:styleId="967">
    <w:name w:val="Char1 Char Char Char Char Char1 Char3"/>
    <w:basedOn w:val="1"/>
    <w:semiHidden/>
    <w:qFormat/>
    <w:uiPriority w:val="0"/>
    <w:rPr>
      <w:szCs w:val="21"/>
    </w:rPr>
  </w:style>
  <w:style w:type="character" w:customStyle="1" w:styleId="968">
    <w:name w:val="Char Char627"/>
    <w:qFormat/>
    <w:uiPriority w:val="0"/>
    <w:rPr>
      <w:rFonts w:eastAsia="宋体"/>
      <w:kern w:val="2"/>
      <w:sz w:val="24"/>
      <w:lang w:val="en-US" w:eastAsia="zh-CN" w:bidi="ar-SA"/>
    </w:rPr>
  </w:style>
  <w:style w:type="paragraph" w:customStyle="1" w:styleId="969">
    <w:name w:val="Char Char Char Char Char Char Char Char Char1 Char Char Char Char Char Char Char Char1 Char Char Char4"/>
    <w:basedOn w:val="1"/>
    <w:qFormat/>
    <w:uiPriority w:val="0"/>
    <w:pPr>
      <w:snapToGrid w:val="0"/>
      <w:spacing w:line="360" w:lineRule="auto"/>
      <w:ind w:firstLine="200" w:firstLineChars="200"/>
    </w:pPr>
    <w:rPr>
      <w:rFonts w:eastAsia="仿宋_GB2312"/>
    </w:rPr>
  </w:style>
  <w:style w:type="character" w:customStyle="1" w:styleId="970">
    <w:name w:val="Char Char73"/>
    <w:qFormat/>
    <w:uiPriority w:val="0"/>
    <w:rPr>
      <w:rFonts w:eastAsia="宋体"/>
      <w:kern w:val="2"/>
      <w:sz w:val="21"/>
      <w:szCs w:val="24"/>
      <w:lang w:val="en-US" w:eastAsia="zh-CN" w:bidi="ar-SA"/>
    </w:rPr>
  </w:style>
  <w:style w:type="character" w:customStyle="1" w:styleId="971">
    <w:name w:val="Char Char104"/>
    <w:qFormat/>
    <w:uiPriority w:val="0"/>
    <w:rPr>
      <w:rFonts w:eastAsia="宋体"/>
      <w:kern w:val="2"/>
      <w:sz w:val="21"/>
      <w:szCs w:val="24"/>
      <w:lang w:val="en-US" w:eastAsia="zh-CN" w:bidi="ar-SA"/>
    </w:rPr>
  </w:style>
  <w:style w:type="character" w:customStyle="1" w:styleId="972">
    <w:name w:val="Char Char520"/>
    <w:qFormat/>
    <w:uiPriority w:val="0"/>
    <w:rPr>
      <w:rFonts w:ascii="宋体" w:hAnsi="Courier New" w:eastAsia="宋体"/>
      <w:kern w:val="2"/>
      <w:sz w:val="21"/>
      <w:lang w:val="en-US" w:eastAsia="zh-CN" w:bidi="ar-SA"/>
    </w:rPr>
  </w:style>
  <w:style w:type="character" w:customStyle="1" w:styleId="973">
    <w:name w:val="Char Char183"/>
    <w:qFormat/>
    <w:uiPriority w:val="0"/>
    <w:rPr>
      <w:rFonts w:ascii="宋体" w:hAnsi="宋体" w:eastAsia="宋体" w:cs="Times New Roman"/>
      <w:color w:val="800000"/>
      <w:kern w:val="0"/>
      <w:sz w:val="28"/>
      <w:szCs w:val="20"/>
    </w:rPr>
  </w:style>
  <w:style w:type="character" w:customStyle="1" w:styleId="974">
    <w:name w:val="Char Char Char1 Char Char3"/>
    <w:qFormat/>
    <w:uiPriority w:val="0"/>
    <w:rPr>
      <w:rFonts w:ascii="Times New Roman" w:hAnsi="Times New Roman" w:eastAsia="宋体" w:cs="Times New Roman"/>
      <w:kern w:val="0"/>
      <w:sz w:val="18"/>
      <w:szCs w:val="18"/>
    </w:rPr>
  </w:style>
  <w:style w:type="character" w:customStyle="1" w:styleId="975">
    <w:name w:val="Char Char1127"/>
    <w:qFormat/>
    <w:uiPriority w:val="0"/>
    <w:rPr>
      <w:rFonts w:ascii="Times New Roman" w:hAnsi="Times New Roman" w:eastAsia="宋体" w:cs="Times New Roman"/>
      <w:kern w:val="0"/>
      <w:sz w:val="24"/>
      <w:szCs w:val="24"/>
    </w:rPr>
  </w:style>
  <w:style w:type="character" w:customStyle="1" w:styleId="976">
    <w:name w:val="标题 1 Char Char Char Char Char Char Char Char Char Char Char Char Char Char Char Char Char Char Char Char Char Char Char Char Char Char Char Char Char Char Char Char Char Char Char Char Char Char Char Char Char Char Char Char Char Char Char Char Char3"/>
    <w:qFormat/>
    <w:uiPriority w:val="0"/>
    <w:rPr>
      <w:rFonts w:ascii="黑体" w:hAnsi="Arial Unicode MS" w:eastAsia="黑体"/>
      <w:kern w:val="44"/>
      <w:sz w:val="28"/>
      <w:szCs w:val="28"/>
      <w:lang w:val="en-US" w:eastAsia="zh-CN" w:bidi="ar-SA"/>
    </w:rPr>
  </w:style>
  <w:style w:type="paragraph" w:customStyle="1" w:styleId="977">
    <w:name w:val="正文2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978">
    <w:name w:val="Char96"/>
    <w:basedOn w:val="1"/>
    <w:qFormat/>
    <w:uiPriority w:val="0"/>
    <w:rPr>
      <w:szCs w:val="21"/>
    </w:rPr>
  </w:style>
  <w:style w:type="paragraph" w:customStyle="1" w:styleId="979">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80">
    <w:name w:val="列出段落12"/>
    <w:basedOn w:val="1"/>
    <w:qFormat/>
    <w:uiPriority w:val="0"/>
    <w:pPr>
      <w:ind w:firstLine="420" w:firstLineChars="200"/>
    </w:pPr>
  </w:style>
  <w:style w:type="paragraph" w:customStyle="1" w:styleId="981">
    <w:name w:val="正文文本21"/>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character" w:customStyle="1" w:styleId="982">
    <w:name w:val="Char Char15"/>
    <w:qFormat/>
    <w:uiPriority w:val="0"/>
    <w:rPr>
      <w:rFonts w:ascii="楷体_GB2312" w:hAnsi="Arial" w:eastAsia="楷体_GB2312" w:cs="Arial"/>
      <w:b/>
      <w:sz w:val="21"/>
      <w:szCs w:val="21"/>
      <w:lang w:val="en-US" w:eastAsia="zh-CN" w:bidi="ar-SA"/>
    </w:rPr>
  </w:style>
  <w:style w:type="character" w:customStyle="1" w:styleId="983">
    <w:name w:val="标题51"/>
    <w:qFormat/>
    <w:uiPriority w:val="0"/>
  </w:style>
  <w:style w:type="character" w:customStyle="1" w:styleId="984">
    <w:name w:val="Char Char422"/>
    <w:qFormat/>
    <w:uiPriority w:val="0"/>
    <w:rPr>
      <w:kern w:val="2"/>
      <w:sz w:val="18"/>
      <w:szCs w:val="18"/>
    </w:rPr>
  </w:style>
  <w:style w:type="paragraph" w:styleId="985">
    <w:name w:val="No Spacing"/>
    <w:link w:val="986"/>
    <w:qFormat/>
    <w:uiPriority w:val="1"/>
    <w:rPr>
      <w:rFonts w:ascii="Calibri" w:hAnsi="Calibri" w:eastAsia="宋体" w:cs="Times New Roman"/>
      <w:sz w:val="22"/>
      <w:szCs w:val="22"/>
      <w:lang w:val="en-US" w:eastAsia="zh-CN" w:bidi="ar-SA"/>
    </w:rPr>
  </w:style>
  <w:style w:type="character" w:customStyle="1" w:styleId="986">
    <w:name w:val="无间隔 字符"/>
    <w:link w:val="985"/>
    <w:qFormat/>
    <w:uiPriority w:val="1"/>
    <w:rPr>
      <w:rFonts w:ascii="Calibri" w:hAnsi="Calibri"/>
      <w:sz w:val="22"/>
      <w:szCs w:val="22"/>
      <w:lang w:bidi="ar-SA"/>
    </w:rPr>
  </w:style>
  <w:style w:type="paragraph" w:customStyle="1" w:styleId="987">
    <w:name w:val="Char7"/>
    <w:basedOn w:val="1"/>
    <w:qFormat/>
    <w:uiPriority w:val="0"/>
  </w:style>
  <w:style w:type="paragraph" w:customStyle="1" w:styleId="988">
    <w:name w:val="正文文本3"/>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US" w:eastAsia="zh-CN" w:bidi="ar-SA"/>
    </w:rPr>
  </w:style>
  <w:style w:type="paragraph" w:customStyle="1" w:styleId="989">
    <w:name w:val="Char Char Char Char Char Char Char Char Char Char Char Char Char Char Char Char Char Char Char Char Char Char Char Char Char Char Char Char Char Char2 Char Char Char Char Char Char Char3"/>
    <w:basedOn w:val="1"/>
    <w:qFormat/>
    <w:uiPriority w:val="0"/>
    <w:pPr>
      <w:widowControl/>
      <w:jc w:val="left"/>
    </w:pPr>
    <w:rPr>
      <w:rFonts w:hAnsi="宋体" w:cs="宋体"/>
    </w:rPr>
  </w:style>
  <w:style w:type="paragraph" w:customStyle="1" w:styleId="990">
    <w:name w:val="Char16"/>
    <w:basedOn w:val="1"/>
    <w:qFormat/>
    <w:uiPriority w:val="0"/>
    <w:pPr>
      <w:snapToGrid w:val="0"/>
      <w:spacing w:line="360" w:lineRule="auto"/>
      <w:ind w:firstLine="200" w:firstLineChars="200"/>
    </w:pPr>
    <w:rPr>
      <w:rFonts w:eastAsia="仿宋_GB2312"/>
    </w:rPr>
  </w:style>
  <w:style w:type="paragraph" w:customStyle="1" w:styleId="991">
    <w:name w:val="Char Char Char Char Char Char Char Char Char1 Char Char Char Char Char Char Char Char1 Char Char Char2"/>
    <w:basedOn w:val="1"/>
    <w:qFormat/>
    <w:uiPriority w:val="0"/>
    <w:pPr>
      <w:snapToGrid w:val="0"/>
      <w:spacing w:line="360" w:lineRule="auto"/>
      <w:ind w:firstLine="200" w:firstLineChars="200"/>
    </w:pPr>
    <w:rPr>
      <w:rFonts w:eastAsia="仿宋_GB2312"/>
    </w:rPr>
  </w:style>
  <w:style w:type="paragraph" w:customStyle="1" w:styleId="992">
    <w:name w:val="Char6"/>
    <w:basedOn w:val="1"/>
    <w:qFormat/>
    <w:uiPriority w:val="0"/>
    <w:pPr>
      <w:adjustRightInd w:val="0"/>
      <w:spacing w:line="360" w:lineRule="auto"/>
    </w:pPr>
  </w:style>
  <w:style w:type="paragraph" w:customStyle="1" w:styleId="993">
    <w:name w:val="Char5"/>
    <w:basedOn w:val="1"/>
    <w:qFormat/>
    <w:uiPriority w:val="0"/>
    <w:pPr>
      <w:adjustRightInd w:val="0"/>
      <w:spacing w:line="360" w:lineRule="auto"/>
    </w:pPr>
  </w:style>
  <w:style w:type="paragraph" w:customStyle="1" w:styleId="994">
    <w:name w:val="main"/>
    <w:basedOn w:val="1"/>
    <w:qFormat/>
    <w:uiPriority w:val="0"/>
    <w:pPr>
      <w:widowControl/>
      <w:spacing w:before="100" w:beforeAutospacing="1" w:after="100" w:afterAutospacing="1"/>
      <w:jc w:val="left"/>
    </w:pPr>
    <w:rPr>
      <w:rFonts w:hAnsi="宋体" w:cs="宋体"/>
      <w:color w:val="000000"/>
    </w:rPr>
  </w:style>
  <w:style w:type="paragraph" w:customStyle="1" w:styleId="995">
    <w:name w:val="表后文"/>
    <w:basedOn w:val="1"/>
    <w:qFormat/>
    <w:uiPriority w:val="0"/>
    <w:pPr>
      <w:adjustRightInd w:val="0"/>
      <w:spacing w:before="120" w:line="400" w:lineRule="exact"/>
      <w:ind w:firstLine="601"/>
      <w:textAlignment w:val="baseline"/>
    </w:pPr>
    <w:rPr>
      <w:rFonts w:eastAsia="楷体_GB2312"/>
      <w:spacing w:val="8"/>
      <w:sz w:val="28"/>
    </w:rPr>
  </w:style>
  <w:style w:type="paragraph" w:customStyle="1" w:styleId="996">
    <w:name w:val="样式111"/>
    <w:basedOn w:val="352"/>
    <w:qFormat/>
    <w:uiPriority w:val="0"/>
    <w:rPr>
      <w:sz w:val="21"/>
      <w:szCs w:val="24"/>
    </w:rPr>
  </w:style>
  <w:style w:type="paragraph" w:customStyle="1" w:styleId="997">
    <w:name w:val="框图"/>
    <w:basedOn w:val="1"/>
    <w:qFormat/>
    <w:uiPriority w:val="0"/>
    <w:pPr>
      <w:adjustRightInd w:val="0"/>
      <w:snapToGrid w:val="0"/>
      <w:ind w:left="2" w:leftChars="-38" w:right="-106" w:rightChars="-38" w:hanging="108" w:hangingChars="54"/>
      <w:jc w:val="center"/>
    </w:pPr>
    <w:rPr>
      <w:rFonts w:ascii="仿宋_GB2312" w:eastAsia="仿宋_GB2312"/>
      <w:sz w:val="20"/>
    </w:rPr>
  </w:style>
  <w:style w:type="paragraph" w:customStyle="1" w:styleId="998">
    <w:name w:val="纯文本3"/>
    <w:basedOn w:val="1"/>
    <w:qFormat/>
    <w:uiPriority w:val="0"/>
    <w:pPr>
      <w:adjustRightInd w:val="0"/>
      <w:textAlignment w:val="baseline"/>
    </w:pPr>
    <w:rPr>
      <w:rFonts w:hAnsi="Courier New"/>
    </w:rPr>
  </w:style>
  <w:style w:type="paragraph" w:customStyle="1" w:styleId="999">
    <w:name w:val="正文文本 21"/>
    <w:basedOn w:val="1"/>
    <w:qFormat/>
    <w:uiPriority w:val="0"/>
    <w:pPr>
      <w:autoSpaceDE w:val="0"/>
      <w:autoSpaceDN w:val="0"/>
      <w:adjustRightInd w:val="0"/>
      <w:spacing w:line="360" w:lineRule="atLeast"/>
      <w:ind w:firstLine="425"/>
      <w:textAlignment w:val="baseline"/>
    </w:pPr>
    <w:rPr>
      <w:rFonts w:hAnsi="Tms Rmn"/>
      <w:sz w:val="28"/>
    </w:rPr>
  </w:style>
  <w:style w:type="paragraph" w:customStyle="1" w:styleId="1000">
    <w:name w:val="正文-1"/>
    <w:basedOn w:val="1"/>
    <w:qFormat/>
    <w:uiPriority w:val="0"/>
    <w:pPr>
      <w:adjustRightInd w:val="0"/>
      <w:spacing w:line="440" w:lineRule="exact"/>
      <w:ind w:firstLine="200" w:firstLineChars="200"/>
    </w:pPr>
  </w:style>
  <w:style w:type="paragraph" w:customStyle="1" w:styleId="1001">
    <w:name w:val="表中文字"/>
    <w:basedOn w:val="1"/>
    <w:link w:val="1002"/>
    <w:qFormat/>
    <w:uiPriority w:val="0"/>
    <w:pPr>
      <w:snapToGrid w:val="0"/>
    </w:pPr>
    <w:rPr>
      <w:rFonts w:ascii="Times New Roman"/>
      <w:kern w:val="2"/>
      <w:sz w:val="21"/>
    </w:rPr>
  </w:style>
  <w:style w:type="character" w:customStyle="1" w:styleId="1002">
    <w:name w:val="表中文字 Char2"/>
    <w:link w:val="1001"/>
    <w:qFormat/>
    <w:uiPriority w:val="0"/>
    <w:rPr>
      <w:kern w:val="2"/>
      <w:sz w:val="21"/>
    </w:rPr>
  </w:style>
  <w:style w:type="paragraph" w:customStyle="1" w:styleId="1003">
    <w:name w:val="正文缩进5"/>
    <w:basedOn w:val="1"/>
    <w:qFormat/>
    <w:uiPriority w:val="0"/>
    <w:pPr>
      <w:adjustRightInd w:val="0"/>
      <w:ind w:firstLine="420" w:firstLineChars="200"/>
      <w:textAlignment w:val="baseline"/>
    </w:pPr>
    <w:rPr>
      <w:rFonts w:hint="eastAsia" w:hAnsi="宋体"/>
    </w:rPr>
  </w:style>
  <w:style w:type="paragraph" w:customStyle="1" w:styleId="1004">
    <w:name w:val="TOC 标题1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005">
    <w:name w:val="Char Char Char Char Char Char Char Char Char Char Char Char Char Char Char Char Char Char Char Char Char Char Char Char Char Char Char Char Char Char2 Char Char Char Char Char Char Char2"/>
    <w:basedOn w:val="1"/>
    <w:qFormat/>
    <w:uiPriority w:val="0"/>
    <w:pPr>
      <w:widowControl/>
      <w:jc w:val="left"/>
    </w:pPr>
    <w:rPr>
      <w:rFonts w:hAnsi="宋体" w:cs="宋体"/>
    </w:rPr>
  </w:style>
  <w:style w:type="paragraph" w:customStyle="1" w:styleId="1006">
    <w:name w:val="正文缩进6"/>
    <w:basedOn w:val="1"/>
    <w:qFormat/>
    <w:uiPriority w:val="0"/>
    <w:pPr>
      <w:adjustRightInd w:val="0"/>
      <w:ind w:firstLine="420" w:firstLineChars="200"/>
      <w:textAlignment w:val="baseline"/>
    </w:pPr>
    <w:rPr>
      <w:rFonts w:hint="eastAsia" w:hAnsi="宋体"/>
    </w:rPr>
  </w:style>
  <w:style w:type="paragraph" w:customStyle="1" w:styleId="1007">
    <w:name w:val="Char12"/>
    <w:basedOn w:val="1"/>
    <w:qFormat/>
    <w:uiPriority w:val="0"/>
    <w:pPr>
      <w:snapToGrid w:val="0"/>
      <w:spacing w:line="360" w:lineRule="auto"/>
      <w:ind w:firstLine="200" w:firstLineChars="200"/>
    </w:pPr>
    <w:rPr>
      <w:rFonts w:eastAsia="仿宋_GB2312"/>
    </w:rPr>
  </w:style>
  <w:style w:type="paragraph" w:customStyle="1" w:styleId="1008">
    <w:name w:val="Char15"/>
    <w:basedOn w:val="1"/>
    <w:qFormat/>
    <w:uiPriority w:val="0"/>
    <w:pPr>
      <w:snapToGrid w:val="0"/>
      <w:spacing w:line="360" w:lineRule="auto"/>
      <w:ind w:firstLine="200" w:firstLineChars="200"/>
    </w:pPr>
    <w:rPr>
      <w:rFonts w:eastAsia="仿宋_GB2312"/>
    </w:rPr>
  </w:style>
  <w:style w:type="paragraph" w:customStyle="1" w:styleId="1009">
    <w:name w:val="Char14"/>
    <w:basedOn w:val="1"/>
    <w:qFormat/>
    <w:uiPriority w:val="0"/>
    <w:pPr>
      <w:snapToGrid w:val="0"/>
      <w:spacing w:line="360" w:lineRule="auto"/>
      <w:ind w:firstLine="200" w:firstLineChars="200"/>
    </w:pPr>
    <w:rPr>
      <w:rFonts w:eastAsia="仿宋_GB2312"/>
    </w:rPr>
  </w:style>
  <w:style w:type="paragraph" w:customStyle="1" w:styleId="1010">
    <w:name w:val="Char13"/>
    <w:basedOn w:val="1"/>
    <w:qFormat/>
    <w:uiPriority w:val="0"/>
    <w:pPr>
      <w:snapToGrid w:val="0"/>
      <w:spacing w:line="360" w:lineRule="auto"/>
      <w:ind w:firstLine="200" w:firstLineChars="200"/>
    </w:pPr>
    <w:rPr>
      <w:rFonts w:eastAsia="仿宋_GB2312"/>
    </w:rPr>
  </w:style>
  <w:style w:type="paragraph" w:customStyle="1" w:styleId="1011">
    <w:name w:val="T3"/>
    <w:basedOn w:val="1"/>
    <w:qFormat/>
    <w:uiPriority w:val="0"/>
    <w:pPr>
      <w:tabs>
        <w:tab w:val="left" w:pos="1410"/>
        <w:tab w:val="left" w:pos="2523"/>
      </w:tabs>
      <w:adjustRightInd w:val="0"/>
      <w:spacing w:before="60" w:line="288" w:lineRule="auto"/>
      <w:textAlignment w:val="baseline"/>
    </w:pPr>
    <w:rPr>
      <w:spacing w:val="16"/>
      <w:kern w:val="20"/>
      <w:sz w:val="28"/>
    </w:rPr>
  </w:style>
  <w:style w:type="paragraph" w:customStyle="1" w:styleId="1012">
    <w:name w:val="封面落款"/>
    <w:basedOn w:val="1"/>
    <w:qFormat/>
    <w:uiPriority w:val="0"/>
    <w:pPr>
      <w:tabs>
        <w:tab w:val="left" w:pos="1134"/>
        <w:tab w:val="right" w:pos="7371"/>
      </w:tabs>
      <w:overflowPunct w:val="0"/>
      <w:adjustRightInd w:val="0"/>
      <w:spacing w:line="360" w:lineRule="auto"/>
      <w:jc w:val="center"/>
    </w:pPr>
    <w:rPr>
      <w:rFonts w:eastAsia="黑体"/>
      <w:color w:val="0000FF"/>
      <w:spacing w:val="20"/>
      <w:sz w:val="32"/>
    </w:rPr>
  </w:style>
  <w:style w:type="paragraph" w:customStyle="1" w:styleId="1013">
    <w:name w:val="封面标题"/>
    <w:basedOn w:val="1"/>
    <w:next w:val="1012"/>
    <w:qFormat/>
    <w:uiPriority w:val="0"/>
    <w:pPr>
      <w:tabs>
        <w:tab w:val="left" w:pos="1134"/>
        <w:tab w:val="right" w:pos="7371"/>
      </w:tabs>
      <w:overflowPunct w:val="0"/>
      <w:adjustRightInd w:val="0"/>
      <w:spacing w:line="360" w:lineRule="auto"/>
      <w:jc w:val="center"/>
    </w:pPr>
    <w:rPr>
      <w:rFonts w:ascii="Arial" w:eastAsia="黑体"/>
      <w:color w:val="FF0000"/>
      <w:spacing w:val="20"/>
      <w:kern w:val="52"/>
      <w:sz w:val="52"/>
    </w:rPr>
  </w:style>
  <w:style w:type="paragraph" w:customStyle="1" w:styleId="1014">
    <w:name w:val="表内字"/>
    <w:qFormat/>
    <w:uiPriority w:val="0"/>
    <w:pPr>
      <w:widowControl w:val="0"/>
      <w:adjustRightInd w:val="0"/>
      <w:snapToGrid w:val="0"/>
    </w:pPr>
    <w:rPr>
      <w:rFonts w:ascii="宋体" w:hAnsi="宋体" w:eastAsia="宋体" w:cs="Times New Roman"/>
      <w:color w:val="000000"/>
      <w:kern w:val="2"/>
      <w:sz w:val="21"/>
      <w:szCs w:val="18"/>
      <w:lang w:val="en-US" w:eastAsia="zh-CN" w:bidi="ar-SA"/>
    </w:rPr>
  </w:style>
  <w:style w:type="paragraph" w:customStyle="1" w:styleId="1015">
    <w:name w:val="biao7-5"/>
    <w:basedOn w:val="12"/>
    <w:qFormat/>
    <w:uiPriority w:val="0"/>
    <w:pPr>
      <w:widowControl/>
      <w:tabs>
        <w:tab w:val="left" w:pos="600"/>
      </w:tabs>
      <w:autoSpaceDE w:val="0"/>
      <w:autoSpaceDN w:val="0"/>
      <w:snapToGrid w:val="0"/>
      <w:spacing w:before="60" w:after="0" w:line="312" w:lineRule="auto"/>
      <w:jc w:val="center"/>
      <w:textAlignment w:val="bottom"/>
      <w:outlineLvl w:val="9"/>
    </w:pPr>
    <w:rPr>
      <w:rFonts w:ascii="Times New Roman" w:hAnsi="Times New Roman" w:eastAsia="宋体"/>
      <w:kern w:val="0"/>
      <w:szCs w:val="20"/>
    </w:rPr>
  </w:style>
  <w:style w:type="paragraph" w:customStyle="1" w:styleId="1016">
    <w:name w:val="正文表格"/>
    <w:basedOn w:val="1"/>
    <w:qFormat/>
    <w:uiPriority w:val="0"/>
    <w:pPr>
      <w:keepNext/>
      <w:keepLines/>
      <w:overflowPunct w:val="0"/>
      <w:adjustRightInd w:val="0"/>
      <w:spacing w:before="80"/>
      <w:jc w:val="center"/>
      <w:textAlignment w:val="bottom"/>
    </w:pPr>
    <w:rPr>
      <w:sz w:val="28"/>
    </w:rPr>
  </w:style>
  <w:style w:type="paragraph" w:customStyle="1" w:styleId="1017">
    <w:name w:val="样式－表"/>
    <w:basedOn w:val="1"/>
    <w:qFormat/>
    <w:uiPriority w:val="0"/>
    <w:pPr>
      <w:adjustRightInd w:val="0"/>
      <w:snapToGrid w:val="0"/>
      <w:spacing w:before="62"/>
      <w:jc w:val="center"/>
    </w:pPr>
    <w:rPr>
      <w:snapToGrid w:val="0"/>
      <w:color w:val="000000"/>
    </w:rPr>
  </w:style>
  <w:style w:type="paragraph" w:customStyle="1" w:styleId="1018">
    <w:name w:val="表第一列"/>
    <w:basedOn w:val="86"/>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olor w:val="000000"/>
      <w:spacing w:val="-4"/>
      <w:sz w:val="21"/>
      <w:szCs w:val="20"/>
    </w:rPr>
  </w:style>
  <w:style w:type="paragraph" w:customStyle="1" w:styleId="1019">
    <w:name w:val="高表内"/>
    <w:basedOn w:val="45"/>
    <w:qFormat/>
    <w:uiPriority w:val="0"/>
    <w:pPr>
      <w:autoSpaceDE w:val="0"/>
      <w:adjustRightInd w:val="0"/>
      <w:snapToGrid w:val="0"/>
      <w:jc w:val="center"/>
      <w:textAlignment w:val="baseline"/>
    </w:pPr>
    <w:rPr>
      <w:rFonts w:ascii="Arial" w:hAnsi="Arial" w:eastAsia="楷体_GB2312" w:cs="Times New Roman"/>
      <w:sz w:val="24"/>
      <w:szCs w:val="20"/>
    </w:rPr>
  </w:style>
  <w:style w:type="paragraph" w:customStyle="1" w:styleId="1020">
    <w:name w:val="Checkboxes"/>
    <w:basedOn w:val="1"/>
    <w:qFormat/>
    <w:uiPriority w:val="0"/>
    <w:pPr>
      <w:widowControl/>
      <w:spacing w:before="360" w:after="360"/>
      <w:jc w:val="left"/>
    </w:pPr>
  </w:style>
  <w:style w:type="paragraph" w:customStyle="1" w:styleId="1021">
    <w:name w:val="表小4"/>
    <w:basedOn w:val="1"/>
    <w:qFormat/>
    <w:uiPriority w:val="0"/>
    <w:pPr>
      <w:tabs>
        <w:tab w:val="left" w:pos="0"/>
        <w:tab w:val="left" w:pos="2619"/>
      </w:tabs>
      <w:adjustRightInd w:val="0"/>
      <w:spacing w:line="0" w:lineRule="atLeast"/>
      <w:jc w:val="center"/>
    </w:pPr>
    <w:rPr>
      <w:rFonts w:hAnsi="宋体"/>
      <w:sz w:val="28"/>
    </w:rPr>
  </w:style>
  <w:style w:type="paragraph" w:customStyle="1" w:styleId="1022">
    <w:name w:val="c"/>
    <w:link w:val="1023"/>
    <w:qFormat/>
    <w:uiPriority w:val="0"/>
    <w:pPr>
      <w:widowControl w:val="0"/>
      <w:autoSpaceDE w:val="0"/>
      <w:autoSpaceDN w:val="0"/>
      <w:adjustRightInd w:val="0"/>
      <w:jc w:val="both"/>
    </w:pPr>
    <w:rPr>
      <w:rFonts w:ascii="Arial" w:hAnsi="Arial" w:eastAsia="宋体" w:cs="Times New Roman"/>
      <w:kern w:val="2"/>
      <w:sz w:val="24"/>
      <w:szCs w:val="18"/>
      <w:lang w:val="en-US" w:eastAsia="zh-CN" w:bidi="ar-SA"/>
    </w:rPr>
  </w:style>
  <w:style w:type="character" w:customStyle="1" w:styleId="1023">
    <w:name w:val="c Char1"/>
    <w:link w:val="1022"/>
    <w:qFormat/>
    <w:uiPriority w:val="0"/>
    <w:rPr>
      <w:rFonts w:ascii="Arial" w:hAnsi="Arial"/>
      <w:kern w:val="2"/>
      <w:sz w:val="24"/>
      <w:szCs w:val="18"/>
      <w:lang w:bidi="ar-SA"/>
    </w:rPr>
  </w:style>
  <w:style w:type="paragraph" w:customStyle="1" w:styleId="1024">
    <w:name w:val="表格文字自调"/>
    <w:basedOn w:val="45"/>
    <w:qFormat/>
    <w:uiPriority w:val="0"/>
    <w:rPr>
      <w:rFonts w:ascii="Times New Roman" w:hAnsi="Times New Roman"/>
    </w:rPr>
  </w:style>
  <w:style w:type="paragraph" w:customStyle="1" w:styleId="1025">
    <w:name w:val="表标"/>
    <w:basedOn w:val="1"/>
    <w:next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200" w:firstLineChars="200"/>
      <w:jc w:val="right"/>
      <w:textAlignment w:val="baseline"/>
    </w:pPr>
    <w:rPr>
      <w:rFonts w:ascii="黑体" w:hAnsi="宋体" w:eastAsia="黑体"/>
    </w:rPr>
  </w:style>
  <w:style w:type="paragraph" w:customStyle="1" w:styleId="1026">
    <w:name w:val="样式 小四 黑色 首行缩进:  0.36 厘米 行距: 1.5 倍行距"/>
    <w:basedOn w:val="1"/>
    <w:qFormat/>
    <w:uiPriority w:val="0"/>
    <w:pPr>
      <w:spacing w:line="360" w:lineRule="auto"/>
    </w:pPr>
    <w:rPr>
      <w:color w:val="000000"/>
    </w:rPr>
  </w:style>
  <w:style w:type="paragraph" w:customStyle="1" w:styleId="1027">
    <w:name w:val="可研"/>
    <w:basedOn w:val="59"/>
    <w:qFormat/>
    <w:uiPriority w:val="0"/>
    <w:pPr>
      <w:tabs>
        <w:tab w:val="right" w:leader="dot" w:pos="9345"/>
        <w:tab w:val="right" w:leader="dot" w:pos="9628"/>
        <w:tab w:val="clear" w:pos="284"/>
        <w:tab w:val="clear" w:pos="630"/>
        <w:tab w:val="clear" w:pos="8302"/>
      </w:tabs>
      <w:snapToGrid/>
      <w:spacing w:before="0" w:after="0" w:line="360" w:lineRule="auto"/>
      <w:jc w:val="left"/>
    </w:pPr>
    <w:rPr>
      <w:rFonts w:ascii="黑体" w:eastAsia="黑体"/>
      <w:caps/>
      <w:sz w:val="32"/>
      <w:szCs w:val="28"/>
    </w:rPr>
  </w:style>
  <w:style w:type="paragraph" w:customStyle="1" w:styleId="1028">
    <w:name w:val="Char1 Char Char Char"/>
    <w:basedOn w:val="1"/>
    <w:qFormat/>
    <w:uiPriority w:val="0"/>
  </w:style>
  <w:style w:type="paragraph" w:customStyle="1" w:styleId="1029">
    <w:name w:val="样式 标题 2 + 宋体 居中"/>
    <w:basedOn w:val="5"/>
    <w:qFormat/>
    <w:uiPriority w:val="0"/>
    <w:pPr>
      <w:numPr>
        <w:numId w:val="0"/>
      </w:numPr>
      <w:tabs>
        <w:tab w:val="clear" w:pos="0"/>
        <w:tab w:val="clear" w:pos="426"/>
      </w:tabs>
      <w:adjustRightInd w:val="0"/>
      <w:snapToGrid w:val="0"/>
      <w:spacing w:before="260" w:afterLines="0" w:line="360" w:lineRule="auto"/>
      <w:jc w:val="center"/>
    </w:pPr>
    <w:rPr>
      <w:rFonts w:ascii="宋体" w:hAnsi="宋体" w:eastAsia="黑体" w:cs="宋体"/>
      <w:b w:val="0"/>
      <w:bCs/>
      <w:color w:val="auto"/>
      <w:spacing w:val="0"/>
      <w:kern w:val="2"/>
      <w:sz w:val="24"/>
      <w:szCs w:val="20"/>
    </w:rPr>
  </w:style>
  <w:style w:type="paragraph" w:customStyle="1" w:styleId="1030">
    <w:name w:val="表格文字居中"/>
    <w:basedOn w:val="1"/>
    <w:next w:val="86"/>
    <w:qFormat/>
    <w:uiPriority w:val="0"/>
    <w:pPr>
      <w:keepNext/>
      <w:tabs>
        <w:tab w:val="left" w:pos="628"/>
        <w:tab w:val="left" w:pos="1727"/>
        <w:tab w:val="left" w:pos="1884"/>
      </w:tabs>
      <w:adjustRightInd w:val="0"/>
      <w:snapToGrid w:val="0"/>
    </w:pPr>
    <w:rPr>
      <w:rFonts w:hAnsi="宋体" w:cs="Arial"/>
      <w:bCs/>
      <w:color w:val="000000"/>
      <w:szCs w:val="21"/>
    </w:rPr>
  </w:style>
  <w:style w:type="paragraph" w:customStyle="1" w:styleId="1031">
    <w:name w:val=":("/>
    <w:link w:val="1032"/>
    <w:qFormat/>
    <w:uiPriority w:val="0"/>
    <w:pPr>
      <w:widowControl w:val="0"/>
      <w:adjustRightInd w:val="0"/>
      <w:spacing w:line="312" w:lineRule="atLeast"/>
      <w:jc w:val="both"/>
      <w:textAlignment w:val="baseline"/>
    </w:pPr>
    <w:rPr>
      <w:rFonts w:ascii="Times New Roman" w:hAnsi="Times New Roman" w:eastAsia="·s²Ó©úÅé" w:cs="Times New Roman"/>
      <w:kern w:val="2"/>
      <w:sz w:val="21"/>
      <w:szCs w:val="18"/>
      <w:lang w:val="en-US" w:eastAsia="zh-CN" w:bidi="ar-SA"/>
    </w:rPr>
  </w:style>
  <w:style w:type="character" w:customStyle="1" w:styleId="1032">
    <w:name w:val=":( Char"/>
    <w:link w:val="1031"/>
    <w:qFormat/>
    <w:uiPriority w:val="0"/>
    <w:rPr>
      <w:rFonts w:eastAsia="·s²Ó©úÅé"/>
      <w:kern w:val="2"/>
      <w:sz w:val="21"/>
      <w:szCs w:val="18"/>
      <w:lang w:bidi="ar-SA"/>
    </w:rPr>
  </w:style>
  <w:style w:type="paragraph" w:customStyle="1" w:styleId="1033">
    <w:name w:val="样式 (中文) 楷体_GB2312 四号 首行缩进:  0.99 厘米"/>
    <w:basedOn w:val="1"/>
    <w:qFormat/>
    <w:uiPriority w:val="0"/>
    <w:pPr>
      <w:ind w:firstLine="560"/>
    </w:pPr>
    <w:rPr>
      <w:rFonts w:eastAsia="楷体_GB2312" w:cs="宋体"/>
      <w:spacing w:val="6"/>
      <w:sz w:val="28"/>
    </w:rPr>
  </w:style>
  <w:style w:type="paragraph" w:customStyle="1" w:styleId="1034">
    <w:name w:val="样式 样式 表格标题 + 首行缩进:  2 字符 + 仿宋_GB2312 四号 加粗"/>
    <w:basedOn w:val="1"/>
    <w:qFormat/>
    <w:uiPriority w:val="0"/>
    <w:pPr>
      <w:adjustRightInd w:val="0"/>
      <w:spacing w:before="120" w:line="360" w:lineRule="auto"/>
      <w:ind w:firstLine="480" w:firstLineChars="200"/>
      <w:jc w:val="center"/>
      <w:textAlignment w:val="baseline"/>
    </w:pPr>
    <w:rPr>
      <w:rFonts w:eastAsia="文鼎CS大宋" w:cs="宋体"/>
      <w:bCs/>
    </w:rPr>
  </w:style>
  <w:style w:type="paragraph" w:customStyle="1" w:styleId="1035">
    <w:name w:val="样式 小四 加粗 居中"/>
    <w:basedOn w:val="1"/>
    <w:qFormat/>
    <w:uiPriority w:val="0"/>
    <w:pPr>
      <w:jc w:val="center"/>
    </w:pPr>
    <w:rPr>
      <w:rFonts w:eastAsia="楷体_GB2312" w:cs="宋体"/>
      <w:bCs/>
      <w:szCs w:val="21"/>
    </w:rPr>
  </w:style>
  <w:style w:type="paragraph" w:customStyle="1" w:styleId="1036">
    <w:name w:val="样式 样式 样式 样式 样式 样式 样式 样式 首行缩进:  2 字符 + 首行缩进:  2 字符2 + 仿宋_GB2312 行...1"/>
    <w:basedOn w:val="1"/>
    <w:qFormat/>
    <w:uiPriority w:val="0"/>
    <w:pPr>
      <w:spacing w:line="520" w:lineRule="exact"/>
      <w:ind w:firstLine="200" w:firstLineChars="200"/>
    </w:pPr>
    <w:rPr>
      <w:rFonts w:eastAsia="楷体_GB2312"/>
      <w:spacing w:val="14"/>
      <w:sz w:val="28"/>
    </w:rPr>
  </w:style>
  <w:style w:type="paragraph" w:customStyle="1" w:styleId="1037">
    <w:name w:val="样式 楷体_GB2312 四号 黑色"/>
    <w:basedOn w:val="1"/>
    <w:qFormat/>
    <w:uiPriority w:val="0"/>
    <w:pPr>
      <w:spacing w:line="560" w:lineRule="exact"/>
      <w:ind w:firstLine="200" w:firstLineChars="200"/>
    </w:pPr>
    <w:rPr>
      <w:rFonts w:eastAsia="楷体_GB2312"/>
      <w:color w:val="000000"/>
      <w:sz w:val="28"/>
    </w:rPr>
  </w:style>
  <w:style w:type="paragraph" w:customStyle="1" w:styleId="1038">
    <w:name w:val="Char17"/>
    <w:basedOn w:val="1"/>
    <w:qFormat/>
    <w:uiPriority w:val="0"/>
    <w:pPr>
      <w:snapToGrid w:val="0"/>
      <w:spacing w:line="360" w:lineRule="auto"/>
      <w:ind w:firstLine="200" w:firstLineChars="200"/>
    </w:pPr>
    <w:rPr>
      <w:rFonts w:eastAsia="仿宋_GB2312"/>
    </w:rPr>
  </w:style>
  <w:style w:type="paragraph" w:customStyle="1" w:styleId="1039">
    <w:name w:val="Char Char Char Char Char Char Char Char Char Char Char Char Char Char Char Char Char Char Char Char Char Char Char Char Char Char Char Char Char Char2 Char Char Char Char Char Char Char4"/>
    <w:basedOn w:val="1"/>
    <w:qFormat/>
    <w:uiPriority w:val="0"/>
  </w:style>
  <w:style w:type="paragraph" w:customStyle="1" w:styleId="10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41">
    <w:name w:val="Char Char Char Char Char Char3"/>
    <w:basedOn w:val="1"/>
    <w:link w:val="1042"/>
    <w:qFormat/>
    <w:uiPriority w:val="0"/>
    <w:rPr>
      <w:rFonts w:ascii="Times New Roman"/>
      <w:kern w:val="2"/>
      <w:szCs w:val="24"/>
    </w:rPr>
  </w:style>
  <w:style w:type="character" w:customStyle="1" w:styleId="1042">
    <w:name w:val="Char Char Char Char Char Char Char3"/>
    <w:link w:val="1041"/>
    <w:qFormat/>
    <w:uiPriority w:val="0"/>
    <w:rPr>
      <w:kern w:val="2"/>
      <w:sz w:val="24"/>
      <w:szCs w:val="24"/>
    </w:rPr>
  </w:style>
  <w:style w:type="paragraph" w:customStyle="1" w:styleId="1043">
    <w:name w:val="Char10"/>
    <w:basedOn w:val="1"/>
    <w:qFormat/>
    <w:uiPriority w:val="0"/>
  </w:style>
  <w:style w:type="paragraph" w:customStyle="1" w:styleId="1044">
    <w:name w:val="正文文本缩进3"/>
    <w:basedOn w:val="1"/>
    <w:qFormat/>
    <w:uiPriority w:val="0"/>
    <w:pPr>
      <w:adjustRightInd w:val="0"/>
      <w:spacing w:after="120" w:line="360" w:lineRule="auto"/>
      <w:ind w:left="420" w:leftChars="200" w:firstLine="200" w:firstLineChars="200"/>
      <w:textAlignment w:val="baseline"/>
    </w:pPr>
  </w:style>
  <w:style w:type="paragraph" w:customStyle="1" w:styleId="1045">
    <w:name w:val="XYF表格"/>
    <w:basedOn w:val="322"/>
    <w:qFormat/>
    <w:uiPriority w:val="0"/>
    <w:pPr>
      <w:ind w:firstLine="0" w:firstLineChars="0"/>
    </w:pPr>
  </w:style>
  <w:style w:type="paragraph" w:customStyle="1" w:styleId="1046">
    <w:name w:val="环标2"/>
    <w:basedOn w:val="5"/>
    <w:qFormat/>
    <w:uiPriority w:val="0"/>
    <w:pPr>
      <w:numPr>
        <w:numId w:val="0"/>
      </w:numPr>
      <w:tabs>
        <w:tab w:val="left" w:pos="540"/>
        <w:tab w:val="clear" w:pos="0"/>
        <w:tab w:val="clear" w:pos="426"/>
      </w:tabs>
      <w:suppressAutoHyphens/>
      <w:adjustRightInd w:val="0"/>
      <w:spacing w:beforeLines="0" w:afterLines="0" w:line="312" w:lineRule="atLeast"/>
      <w:jc w:val="center"/>
      <w:textAlignment w:val="baseline"/>
      <w:outlineLvl w:val="9"/>
    </w:pPr>
    <w:rPr>
      <w:rFonts w:ascii="仿宋_GB2312" w:hAnsi="Arial"/>
      <w:b w:val="0"/>
      <w:color w:val="auto"/>
      <w:spacing w:val="0"/>
      <w:sz w:val="28"/>
      <w:szCs w:val="20"/>
    </w:rPr>
  </w:style>
  <w:style w:type="paragraph" w:customStyle="1" w:styleId="1047">
    <w:name w:val="附件表格文字"/>
    <w:basedOn w:val="1"/>
    <w:qFormat/>
    <w:uiPriority w:val="0"/>
    <w:pPr>
      <w:snapToGrid w:val="0"/>
      <w:jc w:val="center"/>
    </w:pPr>
    <w:rPr>
      <w:rFonts w:ascii="仿宋_GB2312" w:hAnsi="Arial" w:eastAsia="仿宋_GB2312" w:cs="Arial"/>
      <w:sz w:val="28"/>
      <w:szCs w:val="28"/>
    </w:rPr>
  </w:style>
  <w:style w:type="paragraph" w:customStyle="1" w:styleId="1048">
    <w:name w:val="Char18"/>
    <w:basedOn w:val="1"/>
    <w:qFormat/>
    <w:uiPriority w:val="0"/>
    <w:pPr>
      <w:snapToGrid w:val="0"/>
      <w:spacing w:line="360" w:lineRule="auto"/>
      <w:ind w:firstLine="200" w:firstLineChars="200"/>
    </w:pPr>
    <w:rPr>
      <w:rFonts w:eastAsia="仿宋_GB2312"/>
    </w:rPr>
  </w:style>
  <w:style w:type="paragraph" w:customStyle="1" w:styleId="1049">
    <w:name w:val="Char Char Char1 Char4"/>
    <w:basedOn w:val="1"/>
    <w:qFormat/>
    <w:uiPriority w:val="0"/>
  </w:style>
  <w:style w:type="paragraph" w:customStyle="1" w:styleId="1050">
    <w:name w:val="样式 左侧:  2 字符"/>
    <w:basedOn w:val="1"/>
    <w:qFormat/>
    <w:uiPriority w:val="0"/>
    <w:pPr>
      <w:spacing w:line="560" w:lineRule="exact"/>
    </w:pPr>
    <w:rPr>
      <w:rFonts w:cs="宋体"/>
      <w:sz w:val="28"/>
    </w:rPr>
  </w:style>
  <w:style w:type="paragraph" w:customStyle="1" w:styleId="1051">
    <w:name w:val="普通(网站)1"/>
    <w:basedOn w:val="1"/>
    <w:link w:val="1052"/>
    <w:qFormat/>
    <w:uiPriority w:val="0"/>
    <w:rPr>
      <w:rFonts w:ascii="Times New Roman"/>
      <w:kern w:val="2"/>
      <w:szCs w:val="24"/>
    </w:rPr>
  </w:style>
  <w:style w:type="character" w:customStyle="1" w:styleId="1052">
    <w:name w:val="普通(网站)1 Char"/>
    <w:link w:val="1051"/>
    <w:qFormat/>
    <w:uiPriority w:val="0"/>
    <w:rPr>
      <w:kern w:val="2"/>
      <w:sz w:val="24"/>
      <w:szCs w:val="24"/>
    </w:rPr>
  </w:style>
  <w:style w:type="paragraph" w:customStyle="1" w:styleId="1053">
    <w:name w:val="简单回函地址"/>
    <w:basedOn w:val="1"/>
    <w:qFormat/>
    <w:uiPriority w:val="0"/>
  </w:style>
  <w:style w:type="paragraph" w:customStyle="1" w:styleId="1054">
    <w:name w:val="普通(网站)2"/>
    <w:basedOn w:val="1"/>
    <w:qFormat/>
    <w:uiPriority w:val="0"/>
  </w:style>
  <w:style w:type="paragraph" w:customStyle="1" w:styleId="1055">
    <w:name w:val="样式 标题 21.1标题 21.1标题2标题 2 Char节_Heading 2. (1.1)§1.1.§1...."/>
    <w:basedOn w:val="5"/>
    <w:qFormat/>
    <w:uiPriority w:val="0"/>
    <w:pPr>
      <w:numPr>
        <w:numId w:val="0"/>
      </w:numPr>
      <w:tabs>
        <w:tab w:val="clear" w:pos="0"/>
        <w:tab w:val="clear" w:pos="426"/>
      </w:tabs>
      <w:spacing w:beforeLines="0" w:afterLines="0" w:line="360" w:lineRule="auto"/>
      <w:jc w:val="center"/>
    </w:pPr>
    <w:rPr>
      <w:rFonts w:ascii="楷体_GB2312" w:hAnsi="宋体" w:eastAsia="楷体_GB2312"/>
      <w:b w:val="0"/>
      <w:bCs/>
      <w:color w:val="auto"/>
      <w:spacing w:val="-2"/>
      <w:sz w:val="32"/>
      <w:szCs w:val="32"/>
    </w:rPr>
  </w:style>
  <w:style w:type="paragraph" w:customStyle="1" w:styleId="1056">
    <w:name w:val="Char8"/>
    <w:basedOn w:val="1"/>
    <w:qFormat/>
    <w:uiPriority w:val="0"/>
  </w:style>
  <w:style w:type="paragraph" w:customStyle="1" w:styleId="1057">
    <w:name w:val="SCIDI标题4"/>
    <w:basedOn w:val="7"/>
    <w:qFormat/>
    <w:uiPriority w:val="0"/>
    <w:pPr>
      <w:adjustRightInd w:val="0"/>
      <w:spacing w:line="360" w:lineRule="auto"/>
      <w:ind w:firstLine="538" w:firstLineChars="192"/>
      <w:textAlignment w:val="baseline"/>
      <w:outlineLvl w:val="9"/>
    </w:pPr>
    <w:rPr>
      <w:rFonts w:ascii="Times New Roman" w:hAnsi="宋体" w:eastAsia="宋体"/>
      <w:bCs w:val="0"/>
      <w:kern w:val="0"/>
    </w:rPr>
  </w:style>
  <w:style w:type="paragraph" w:customStyle="1" w:styleId="1058">
    <w:name w:val="样式 小四 行距: 1.5 倍行距"/>
    <w:basedOn w:val="1"/>
    <w:qFormat/>
    <w:uiPriority w:val="0"/>
    <w:pPr>
      <w:spacing w:line="360" w:lineRule="auto"/>
    </w:pPr>
  </w:style>
  <w:style w:type="paragraph" w:customStyle="1" w:styleId="1059">
    <w:name w:val="Char Char Char Char4"/>
    <w:basedOn w:val="1"/>
    <w:qFormat/>
    <w:uiPriority w:val="0"/>
  </w:style>
  <w:style w:type="paragraph" w:customStyle="1" w:styleId="1060">
    <w:name w:val="样式 XYF1 + 宋体"/>
    <w:basedOn w:val="322"/>
    <w:qFormat/>
    <w:uiPriority w:val="0"/>
    <w:pPr>
      <w:spacing w:line="480" w:lineRule="exact"/>
      <w:ind w:firstLine="200" w:firstLineChars="200"/>
    </w:pPr>
    <w:rPr>
      <w:rFonts w:ascii="宋体" w:hAnsi="宋体" w:cs="宋体"/>
      <w:sz w:val="28"/>
      <w:szCs w:val="20"/>
    </w:rPr>
  </w:style>
  <w:style w:type="paragraph" w:customStyle="1" w:styleId="1061">
    <w:name w:val="样式 正文缩进 + 宋体 段后: 6 磅 行距: 单倍行距"/>
    <w:basedOn w:val="22"/>
    <w:qFormat/>
    <w:uiPriority w:val="0"/>
    <w:pPr>
      <w:widowControl/>
      <w:spacing w:after="120" w:line="300" w:lineRule="auto"/>
      <w:ind w:firstLine="200"/>
      <w:jc w:val="left"/>
    </w:pPr>
    <w:rPr>
      <w:rFonts w:ascii="宋体" w:hAnsi="宋体" w:cs="宋体"/>
      <w:color w:val="000000"/>
      <w:sz w:val="24"/>
      <w:szCs w:val="20"/>
    </w:rPr>
  </w:style>
  <w:style w:type="paragraph" w:customStyle="1" w:styleId="1062">
    <w:name w:val="33333"/>
    <w:basedOn w:val="1"/>
    <w:link w:val="1063"/>
    <w:qFormat/>
    <w:uiPriority w:val="0"/>
    <w:pPr>
      <w:spacing w:line="440" w:lineRule="exact"/>
      <w:ind w:firstLine="480" w:firstLineChars="200"/>
    </w:pPr>
    <w:rPr>
      <w:rFonts w:ascii="Arial" w:hAnsi="宋体"/>
      <w:kern w:val="2"/>
    </w:rPr>
  </w:style>
  <w:style w:type="character" w:customStyle="1" w:styleId="1063">
    <w:name w:val="33333 Char"/>
    <w:link w:val="1062"/>
    <w:qFormat/>
    <w:uiPriority w:val="0"/>
    <w:rPr>
      <w:rFonts w:ascii="Arial" w:hAnsi="宋体"/>
      <w:kern w:val="2"/>
      <w:sz w:val="24"/>
    </w:rPr>
  </w:style>
  <w:style w:type="paragraph" w:customStyle="1" w:styleId="1064">
    <w:name w:val="样式 表内容 + 居中 行距: 固定值 14 磅"/>
    <w:basedOn w:val="1"/>
    <w:link w:val="1065"/>
    <w:qFormat/>
    <w:uiPriority w:val="0"/>
    <w:pPr>
      <w:adjustRightInd w:val="0"/>
      <w:snapToGrid w:val="0"/>
      <w:spacing w:line="280" w:lineRule="exact"/>
      <w:jc w:val="center"/>
      <w:textAlignment w:val="bottom"/>
    </w:pPr>
    <w:rPr>
      <w:rFonts w:ascii="Times New Roman" w:eastAsia="楷体_GB2312"/>
      <w:sz w:val="21"/>
    </w:rPr>
  </w:style>
  <w:style w:type="character" w:customStyle="1" w:styleId="1065">
    <w:name w:val="样式 表内容 + 居中 行距: 固定值 14 磅 Char"/>
    <w:link w:val="1064"/>
    <w:qFormat/>
    <w:uiPriority w:val="0"/>
    <w:rPr>
      <w:rFonts w:eastAsia="楷体_GB2312"/>
      <w:sz w:val="21"/>
    </w:rPr>
  </w:style>
  <w:style w:type="paragraph" w:customStyle="1" w:styleId="1066">
    <w:name w:val="Char Char Char1 Char3"/>
    <w:basedOn w:val="1"/>
    <w:qFormat/>
    <w:uiPriority w:val="0"/>
  </w:style>
  <w:style w:type="paragraph" w:customStyle="1" w:styleId="1067">
    <w:name w:val="Char Char Char1 Char2"/>
    <w:basedOn w:val="1"/>
    <w:qFormat/>
    <w:uiPriority w:val="0"/>
  </w:style>
  <w:style w:type="paragraph" w:customStyle="1" w:styleId="1068">
    <w:name w:val="Char110"/>
    <w:basedOn w:val="1"/>
    <w:qFormat/>
    <w:uiPriority w:val="0"/>
    <w:pPr>
      <w:snapToGrid w:val="0"/>
      <w:spacing w:line="360" w:lineRule="auto"/>
      <w:ind w:firstLine="200" w:firstLineChars="200"/>
    </w:pPr>
    <w:rPr>
      <w:rFonts w:eastAsia="仿宋_GB2312"/>
    </w:rPr>
  </w:style>
  <w:style w:type="paragraph" w:customStyle="1" w:styleId="1069">
    <w:name w:val="Char19"/>
    <w:basedOn w:val="1"/>
    <w:qFormat/>
    <w:uiPriority w:val="0"/>
    <w:pPr>
      <w:snapToGrid w:val="0"/>
      <w:spacing w:line="360" w:lineRule="auto"/>
      <w:ind w:firstLine="200" w:firstLineChars="200"/>
    </w:pPr>
    <w:rPr>
      <w:rFonts w:eastAsia="仿宋_GB2312"/>
    </w:rPr>
  </w:style>
  <w:style w:type="paragraph" w:customStyle="1" w:styleId="1070">
    <w:name w:val="样式 表文字 + 仿宋_GB2312 首行缩进:  0.99 厘米 行距: 固定值 15 磅"/>
    <w:basedOn w:val="1"/>
    <w:qFormat/>
    <w:uiPriority w:val="0"/>
    <w:pPr>
      <w:widowControl/>
      <w:spacing w:line="240" w:lineRule="atLeast"/>
      <w:jc w:val="center"/>
    </w:pPr>
    <w:rPr>
      <w:rFonts w:ascii="仿宋_GB2312" w:hAnsi="宋体" w:eastAsia="仿宋_GB2312" w:cs="宋体"/>
    </w:rPr>
  </w:style>
  <w:style w:type="paragraph" w:customStyle="1" w:styleId="1071">
    <w:name w:val="正文文本缩进4"/>
    <w:basedOn w:val="1"/>
    <w:qFormat/>
    <w:uiPriority w:val="0"/>
    <w:pPr>
      <w:adjustRightInd w:val="0"/>
      <w:spacing w:after="120" w:line="360" w:lineRule="auto"/>
      <w:ind w:left="420" w:leftChars="200" w:firstLine="200" w:firstLineChars="200"/>
      <w:textAlignment w:val="baseline"/>
    </w:pPr>
  </w:style>
  <w:style w:type="paragraph" w:customStyle="1" w:styleId="1072">
    <w:name w:val="列出段落2"/>
    <w:basedOn w:val="1"/>
    <w:qFormat/>
    <w:uiPriority w:val="34"/>
    <w:pPr>
      <w:ind w:firstLine="420" w:firstLineChars="200"/>
    </w:pPr>
  </w:style>
  <w:style w:type="paragraph" w:customStyle="1" w:styleId="1073">
    <w:name w:val="日期1"/>
    <w:basedOn w:val="1"/>
    <w:next w:val="1"/>
    <w:qFormat/>
    <w:uiPriority w:val="0"/>
    <w:pPr>
      <w:ind w:left="100" w:leftChars="2500"/>
    </w:pPr>
    <w:rPr>
      <w:rFonts w:hAnsi="宋体"/>
    </w:rPr>
  </w:style>
  <w:style w:type="paragraph" w:customStyle="1" w:styleId="1074">
    <w:name w:val="正文缩进7"/>
    <w:basedOn w:val="1"/>
    <w:qFormat/>
    <w:uiPriority w:val="0"/>
    <w:pPr>
      <w:spacing w:beforeLines="50" w:afterLines="50" w:line="360" w:lineRule="auto"/>
      <w:ind w:firstLine="200" w:firstLineChars="200"/>
    </w:pPr>
  </w:style>
  <w:style w:type="paragraph" w:customStyle="1" w:styleId="1075">
    <w:name w:val="正文文本缩进 31"/>
    <w:basedOn w:val="1"/>
    <w:qFormat/>
    <w:uiPriority w:val="0"/>
    <w:pPr>
      <w:spacing w:line="360" w:lineRule="auto"/>
      <w:ind w:firstLine="480"/>
    </w:pPr>
    <w:rPr>
      <w:rFonts w:ascii="华文仿宋" w:hAnsi="华文仿宋" w:eastAsia="华文仿宋"/>
      <w:color w:val="000000"/>
    </w:rPr>
  </w:style>
  <w:style w:type="paragraph" w:customStyle="1" w:styleId="1076">
    <w:name w:val="环表头"/>
    <w:basedOn w:val="1"/>
    <w:next w:val="1"/>
    <w:link w:val="1077"/>
    <w:qFormat/>
    <w:uiPriority w:val="0"/>
    <w:pPr>
      <w:widowControl/>
      <w:suppressAutoHyphens/>
      <w:adjustRightInd w:val="0"/>
      <w:spacing w:line="560" w:lineRule="exact"/>
      <w:jc w:val="center"/>
      <w:textAlignment w:val="baseline"/>
    </w:pPr>
    <w:rPr>
      <w:rFonts w:ascii="仿宋_GB2312" w:hAnsi="宋体" w:eastAsia="仿宋_GB2312"/>
      <w:b/>
      <w:sz w:val="21"/>
      <w:szCs w:val="21"/>
    </w:rPr>
  </w:style>
  <w:style w:type="character" w:customStyle="1" w:styleId="1077">
    <w:name w:val="环表头 Char Char"/>
    <w:link w:val="1076"/>
    <w:qFormat/>
    <w:uiPriority w:val="0"/>
    <w:rPr>
      <w:rFonts w:ascii="仿宋_GB2312" w:hAnsi="宋体" w:eastAsia="仿宋_GB2312"/>
      <w:b/>
      <w:sz w:val="21"/>
      <w:szCs w:val="21"/>
    </w:rPr>
  </w:style>
  <w:style w:type="paragraph" w:customStyle="1" w:styleId="1078">
    <w:name w:val="文档结构图1"/>
    <w:basedOn w:val="1"/>
    <w:qFormat/>
    <w:uiPriority w:val="0"/>
    <w:pPr>
      <w:shd w:val="clear" w:color="auto" w:fill="000080"/>
    </w:pPr>
    <w:rPr>
      <w:shd w:val="clear" w:color="auto" w:fill="000080"/>
    </w:rPr>
  </w:style>
  <w:style w:type="paragraph" w:customStyle="1" w:styleId="1079">
    <w:name w:val="列表2"/>
    <w:basedOn w:val="1"/>
    <w:qFormat/>
    <w:uiPriority w:val="0"/>
    <w:pPr>
      <w:spacing w:line="320" w:lineRule="exact"/>
      <w:jc w:val="center"/>
    </w:pPr>
    <w:rPr>
      <w:rFonts w:ascii="仿宋_GB2312" w:eastAsia="仿宋_GB2312"/>
    </w:rPr>
  </w:style>
  <w:style w:type="paragraph" w:customStyle="1" w:styleId="1080">
    <w:name w:val="正文文本 22"/>
    <w:basedOn w:val="1"/>
    <w:qFormat/>
    <w:uiPriority w:val="0"/>
    <w:pPr>
      <w:spacing w:after="120" w:line="480" w:lineRule="auto"/>
    </w:pPr>
  </w:style>
  <w:style w:type="paragraph" w:customStyle="1" w:styleId="1081">
    <w:name w:val="样式 样式 标题 3 + 四号 + 四号"/>
    <w:basedOn w:val="1082"/>
    <w:qFormat/>
    <w:uiPriority w:val="0"/>
    <w:pPr>
      <w:tabs>
        <w:tab w:val="left" w:pos="1170"/>
      </w:tabs>
    </w:pPr>
  </w:style>
  <w:style w:type="paragraph" w:customStyle="1" w:styleId="1082">
    <w:name w:val="样式 标题 3 + 四号"/>
    <w:basedOn w:val="6"/>
    <w:qFormat/>
    <w:uiPriority w:val="0"/>
    <w:pPr>
      <w:tabs>
        <w:tab w:val="left" w:pos="1170"/>
      </w:tabs>
      <w:spacing w:beforeLines="30" w:afterLines="30" w:line="415" w:lineRule="auto"/>
    </w:pPr>
    <w:rPr>
      <w:rFonts w:hAnsi="宋体"/>
      <w:sz w:val="28"/>
      <w:szCs w:val="28"/>
    </w:rPr>
  </w:style>
  <w:style w:type="paragraph" w:customStyle="1" w:styleId="1083">
    <w:name w:val="正文文本缩进 21"/>
    <w:basedOn w:val="1"/>
    <w:qFormat/>
    <w:uiPriority w:val="0"/>
    <w:pPr>
      <w:spacing w:line="500" w:lineRule="exact"/>
      <w:ind w:firstLine="567"/>
    </w:pPr>
    <w:rPr>
      <w:rFonts w:ascii="仿宋_GB2312" w:eastAsia="仿宋_GB2312"/>
      <w:sz w:val="28"/>
    </w:rPr>
  </w:style>
  <w:style w:type="paragraph" w:customStyle="1" w:styleId="1084">
    <w:name w:val="批注主题1"/>
    <w:basedOn w:val="29"/>
    <w:next w:val="29"/>
    <w:qFormat/>
    <w:uiPriority w:val="0"/>
    <w:pPr>
      <w:widowControl/>
      <w:adjustRightInd/>
      <w:spacing w:line="240" w:lineRule="auto"/>
      <w:textAlignment w:val="auto"/>
    </w:pPr>
    <w:rPr>
      <w:b/>
      <w:bCs/>
      <w:szCs w:val="24"/>
    </w:rPr>
  </w:style>
  <w:style w:type="paragraph" w:customStyle="1" w:styleId="1085">
    <w:name w:val="样式 标题 2 + (符号) Times New Roman"/>
    <w:basedOn w:val="5"/>
    <w:link w:val="1086"/>
    <w:qFormat/>
    <w:uiPriority w:val="0"/>
    <w:pPr>
      <w:numPr>
        <w:numId w:val="0"/>
      </w:numPr>
      <w:tabs>
        <w:tab w:val="clear" w:pos="0"/>
        <w:tab w:val="clear" w:pos="426"/>
      </w:tabs>
      <w:spacing w:beforeLines="100" w:after="260" w:line="560" w:lineRule="exact"/>
    </w:pPr>
    <w:rPr>
      <w:rFonts w:hAnsi="宋体" w:eastAsia="宋体"/>
      <w:bCs/>
      <w:color w:val="auto"/>
      <w:spacing w:val="0"/>
      <w:sz w:val="28"/>
      <w:szCs w:val="28"/>
    </w:rPr>
  </w:style>
  <w:style w:type="character" w:customStyle="1" w:styleId="1086">
    <w:name w:val="样式 标题 2 + (符号) Times New Roman Char Char"/>
    <w:link w:val="1085"/>
    <w:qFormat/>
    <w:uiPriority w:val="0"/>
    <w:rPr>
      <w:rFonts w:ascii="宋体" w:hAnsi="宋体"/>
      <w:b/>
      <w:bCs/>
      <w:sz w:val="28"/>
      <w:szCs w:val="28"/>
    </w:rPr>
  </w:style>
  <w:style w:type="paragraph" w:customStyle="1" w:styleId="1087">
    <w:name w:val="Char Char Char Char Char Char Char Char Char"/>
    <w:basedOn w:val="1"/>
    <w:qFormat/>
    <w:uiPriority w:val="0"/>
    <w:pPr>
      <w:snapToGrid w:val="0"/>
    </w:pPr>
    <w:rPr>
      <w:rFonts w:ascii="Tahoma" w:hAnsi="Tahoma"/>
    </w:rPr>
  </w:style>
  <w:style w:type="paragraph" w:customStyle="1" w:styleId="1088">
    <w:name w:val="样式 标题 5 + 段前: 0.5 行"/>
    <w:basedOn w:val="8"/>
    <w:qFormat/>
    <w:uiPriority w:val="0"/>
    <w:pPr>
      <w:spacing w:before="156" w:afterLines="50" w:line="240" w:lineRule="auto"/>
    </w:pPr>
    <w:rPr>
      <w:rFonts w:ascii="黑体" w:hAnsi="黑体" w:eastAsia="黑体" w:cs="宋体"/>
      <w:szCs w:val="20"/>
    </w:rPr>
  </w:style>
  <w:style w:type="paragraph" w:customStyle="1" w:styleId="1089">
    <w:name w:val="样式 标题 2 + (西文) Times New Roman"/>
    <w:basedOn w:val="5"/>
    <w:qFormat/>
    <w:uiPriority w:val="0"/>
    <w:pPr>
      <w:numPr>
        <w:numId w:val="0"/>
      </w:numPr>
      <w:tabs>
        <w:tab w:val="clear" w:pos="0"/>
        <w:tab w:val="clear" w:pos="426"/>
      </w:tabs>
      <w:spacing w:beforeLines="100" w:after="260" w:line="360" w:lineRule="auto"/>
    </w:pPr>
    <w:rPr>
      <w:rFonts w:eastAsia="黑体"/>
      <w:bCs/>
      <w:color w:val="auto"/>
      <w:spacing w:val="0"/>
      <w:kern w:val="2"/>
      <w:sz w:val="28"/>
      <w:szCs w:val="28"/>
    </w:rPr>
  </w:style>
  <w:style w:type="paragraph" w:customStyle="1" w:styleId="1090">
    <w:name w:val="普通(网站)3"/>
    <w:basedOn w:val="1"/>
    <w:qFormat/>
    <w:uiPriority w:val="0"/>
    <w:pPr>
      <w:widowControl/>
      <w:spacing w:before="100" w:beforeAutospacing="1" w:after="100" w:afterAutospacing="1"/>
      <w:jc w:val="left"/>
    </w:pPr>
    <w:rPr>
      <w:rFonts w:hAnsi="宋体" w:cs="宋体"/>
      <w:color w:val="000000"/>
    </w:rPr>
  </w:style>
  <w:style w:type="paragraph" w:customStyle="1" w:styleId="1091">
    <w:name w:val="Char Char1 Char Char Char Char Char Char"/>
    <w:basedOn w:val="1"/>
    <w:qFormat/>
    <w:uiPriority w:val="0"/>
    <w:pPr>
      <w:widowControl/>
      <w:spacing w:after="160" w:line="240" w:lineRule="exact"/>
      <w:jc w:val="left"/>
    </w:pPr>
    <w:rPr>
      <w:rFonts w:hAnsi="宋体"/>
      <w:szCs w:val="21"/>
      <w:lang w:eastAsia="en-US"/>
    </w:rPr>
  </w:style>
  <w:style w:type="paragraph" w:customStyle="1" w:styleId="1092">
    <w:name w:val="zheng"/>
    <w:basedOn w:val="1"/>
    <w:link w:val="1093"/>
    <w:qFormat/>
    <w:uiPriority w:val="0"/>
    <w:pPr>
      <w:spacing w:line="440" w:lineRule="exact"/>
      <w:ind w:firstLine="480" w:firstLineChars="200"/>
    </w:pPr>
    <w:rPr>
      <w:rFonts w:ascii="Times New Roman"/>
      <w:szCs w:val="24"/>
    </w:rPr>
  </w:style>
  <w:style w:type="character" w:customStyle="1" w:styleId="1093">
    <w:name w:val="zheng Char Char"/>
    <w:link w:val="1092"/>
    <w:qFormat/>
    <w:uiPriority w:val="0"/>
    <w:rPr>
      <w:sz w:val="24"/>
      <w:szCs w:val="24"/>
    </w:rPr>
  </w:style>
  <w:style w:type="character" w:customStyle="1" w:styleId="1094">
    <w:name w:val="表格 Char Char Char"/>
    <w:qFormat/>
    <w:uiPriority w:val="0"/>
    <w:rPr>
      <w:rFonts w:ascii="楷体_GB2312" w:hAnsi="楷体_GB2312" w:eastAsia="楷体_GB2312" w:cs="宋体"/>
      <w:b/>
      <w:sz w:val="21"/>
      <w:szCs w:val="24"/>
      <w:lang w:val="en-US" w:eastAsia="zh-CN" w:bidi="ar-SA"/>
    </w:rPr>
  </w:style>
  <w:style w:type="character" w:customStyle="1" w:styleId="1095">
    <w:name w:val="main-1"/>
    <w:qFormat/>
    <w:uiPriority w:val="0"/>
  </w:style>
  <w:style w:type="character" w:customStyle="1" w:styleId="1096">
    <w:name w:val="text_new"/>
    <w:qFormat/>
    <w:uiPriority w:val="0"/>
  </w:style>
  <w:style w:type="character" w:customStyle="1" w:styleId="1097">
    <w:name w:val="正文 Char"/>
    <w:qFormat/>
    <w:uiPriority w:val="0"/>
    <w:rPr>
      <w:rFonts w:ascii="仿宋_GB2312" w:hAnsi="宋体" w:eastAsia="仿宋_GB2312"/>
      <w:color w:val="000000"/>
      <w:kern w:val="2"/>
      <w:sz w:val="28"/>
      <w:szCs w:val="24"/>
      <w:lang w:val="en-US" w:eastAsia="zh-CN" w:bidi="ar-SA"/>
    </w:rPr>
  </w:style>
  <w:style w:type="character" w:customStyle="1" w:styleId="1098">
    <w:name w:val="标题 12"/>
    <w:qFormat/>
    <w:uiPriority w:val="0"/>
    <w:rPr>
      <w:rFonts w:ascii="黑体" w:eastAsia="黑体"/>
      <w:kern w:val="44"/>
      <w:sz w:val="44"/>
      <w:lang w:val="en-US" w:eastAsia="zh-CN" w:bidi="ar-SA"/>
    </w:rPr>
  </w:style>
  <w:style w:type="character" w:customStyle="1" w:styleId="1099">
    <w:name w:val="标题 21"/>
    <w:qFormat/>
    <w:uiPriority w:val="0"/>
    <w:rPr>
      <w:rFonts w:ascii="黑体" w:hAnsi="Arial" w:eastAsia="黑体"/>
      <w:kern w:val="2"/>
      <w:sz w:val="36"/>
      <w:szCs w:val="32"/>
      <w:lang w:val="en-US" w:eastAsia="zh-CN" w:bidi="ar-SA"/>
    </w:rPr>
  </w:style>
  <w:style w:type="character" w:customStyle="1" w:styleId="1100">
    <w:name w:val="zjgblk1"/>
    <w:qFormat/>
    <w:uiPriority w:val="0"/>
    <w:rPr>
      <w:rFonts w:hint="default"/>
      <w:color w:val="000000"/>
      <w:spacing w:val="336"/>
      <w:sz w:val="18"/>
      <w:szCs w:val="18"/>
      <w:u w:val="none"/>
    </w:rPr>
  </w:style>
  <w:style w:type="character" w:customStyle="1" w:styleId="1101">
    <w:name w:val="c121"/>
    <w:qFormat/>
    <w:uiPriority w:val="0"/>
    <w:rPr>
      <w:color w:val="666666"/>
      <w:sz w:val="18"/>
      <w:szCs w:val="18"/>
      <w:u w:val="none"/>
    </w:rPr>
  </w:style>
  <w:style w:type="character" w:customStyle="1" w:styleId="1102">
    <w:name w:val="dectext1"/>
    <w:qFormat/>
    <w:uiPriority w:val="0"/>
    <w:rPr>
      <w:rFonts w:hint="eastAsia" w:ascii="宋体" w:hAnsi="宋体" w:eastAsia="宋体"/>
      <w:color w:val="333333"/>
      <w:sz w:val="21"/>
      <w:szCs w:val="21"/>
      <w:u w:val="none"/>
    </w:rPr>
  </w:style>
  <w:style w:type="character" w:customStyle="1" w:styleId="1103">
    <w:name w:val="xiaozhiti1"/>
    <w:qFormat/>
    <w:uiPriority w:val="0"/>
    <w:rPr>
      <w:sz w:val="18"/>
      <w:szCs w:val="18"/>
    </w:rPr>
  </w:style>
  <w:style w:type="character" w:customStyle="1" w:styleId="1104">
    <w:name w:val="sub_title1"/>
    <w:qFormat/>
    <w:uiPriority w:val="0"/>
    <w:rPr>
      <w:rFonts w:hint="default"/>
      <w:color w:val="FF6600"/>
      <w:sz w:val="21"/>
      <w:szCs w:val="21"/>
    </w:rPr>
  </w:style>
  <w:style w:type="character" w:customStyle="1" w:styleId="1105">
    <w:name w:val="word131"/>
    <w:qFormat/>
    <w:uiPriority w:val="0"/>
    <w:rPr>
      <w:rFonts w:hint="default" w:ascii="ˎ̥" w:hAnsi="ˎ̥"/>
      <w:color w:val="000000"/>
      <w:sz w:val="20"/>
      <w:szCs w:val="20"/>
      <w:u w:val="none"/>
    </w:rPr>
  </w:style>
  <w:style w:type="character" w:customStyle="1" w:styleId="1106">
    <w:name w:val="title41"/>
    <w:qFormat/>
    <w:uiPriority w:val="0"/>
    <w:rPr>
      <w:rFonts w:hint="eastAsia" w:ascii="宋体" w:hAnsi="宋体" w:eastAsia="宋体"/>
      <w:color w:val="FF6600"/>
      <w:sz w:val="36"/>
      <w:szCs w:val="36"/>
    </w:rPr>
  </w:style>
  <w:style w:type="character" w:customStyle="1" w:styleId="1107">
    <w:name w:val="表题 Char"/>
    <w:qFormat/>
    <w:uiPriority w:val="0"/>
    <w:rPr>
      <w:rFonts w:cs="新宋体"/>
      <w:lang w:val="en-US"/>
    </w:rPr>
  </w:style>
  <w:style w:type="character" w:customStyle="1" w:styleId="1108">
    <w:name w:val="样式 样式 样式 样式 样式 样式 样式 样式 首行缩进:  2 字符 + 首行缩进:  2 字符2 + 仿宋_GB2312 行...1 Char"/>
    <w:qFormat/>
    <w:uiPriority w:val="0"/>
    <w:rPr>
      <w:rFonts w:eastAsia="楷体_GB2312"/>
      <w:spacing w:val="14"/>
      <w:sz w:val="28"/>
      <w:lang w:val="en-US" w:eastAsia="zh-CN" w:bidi="ar-SA"/>
    </w:rPr>
  </w:style>
  <w:style w:type="character" w:customStyle="1" w:styleId="1109">
    <w:name w:val="xl58 Char"/>
    <w:qFormat/>
    <w:uiPriority w:val="0"/>
    <w:rPr>
      <w:rFonts w:ascii="黑体" w:hAnsi="Arial Unicode MS" w:eastAsia="黑体"/>
      <w:sz w:val="22"/>
      <w:szCs w:val="22"/>
      <w:lang w:val="en-US" w:eastAsia="zh-CN" w:bidi="ar-SA"/>
    </w:rPr>
  </w:style>
  <w:style w:type="character" w:customStyle="1" w:styleId="1110">
    <w:name w:val="desctext1"/>
    <w:qFormat/>
    <w:uiPriority w:val="0"/>
    <w:rPr>
      <w:spacing w:val="15"/>
      <w:sz w:val="18"/>
      <w:szCs w:val="18"/>
    </w:rPr>
  </w:style>
  <w:style w:type="character" w:customStyle="1" w:styleId="1111">
    <w:name w:val="px14"/>
    <w:qFormat/>
    <w:uiPriority w:val="0"/>
  </w:style>
  <w:style w:type="character" w:customStyle="1" w:styleId="1112">
    <w:name w:val="jianjun"/>
    <w:qFormat/>
    <w:uiPriority w:val="0"/>
  </w:style>
  <w:style w:type="character" w:customStyle="1" w:styleId="1113">
    <w:name w:val="bbc1"/>
    <w:qFormat/>
    <w:uiPriority w:val="0"/>
  </w:style>
  <w:style w:type="character" w:customStyle="1" w:styleId="1114">
    <w:name w:val="linehei1"/>
    <w:qFormat/>
    <w:uiPriority w:val="0"/>
    <w:rPr>
      <w:color w:val="00519C"/>
      <w:sz w:val="18"/>
      <w:szCs w:val="18"/>
      <w:u w:val="none"/>
    </w:rPr>
  </w:style>
  <w:style w:type="character" w:customStyle="1" w:styleId="1115">
    <w:name w:val="title31"/>
    <w:qFormat/>
    <w:uiPriority w:val="0"/>
    <w:rPr>
      <w:rFonts w:hint="eastAsia" w:ascii="宋体" w:hAnsi="宋体" w:eastAsia="宋体"/>
      <w:color w:val="000000"/>
      <w:sz w:val="23"/>
      <w:szCs w:val="23"/>
    </w:rPr>
  </w:style>
  <w:style w:type="character" w:customStyle="1" w:styleId="1116">
    <w:name w:val="title21"/>
    <w:qFormat/>
    <w:uiPriority w:val="0"/>
    <w:rPr>
      <w:rFonts w:hint="eastAsia" w:ascii="黑体" w:eastAsia="黑体"/>
      <w:b/>
      <w:bCs/>
      <w:sz w:val="27"/>
      <w:szCs w:val="27"/>
    </w:rPr>
  </w:style>
  <w:style w:type="character" w:customStyle="1" w:styleId="1117">
    <w:name w:val="htd01"/>
    <w:qFormat/>
    <w:uiPriority w:val="0"/>
    <w:rPr>
      <w:spacing w:val="240"/>
    </w:rPr>
  </w:style>
  <w:style w:type="character" w:customStyle="1" w:styleId="1118">
    <w:name w:val="表格文字 Char Char"/>
    <w:qFormat/>
    <w:uiPriority w:val="0"/>
    <w:rPr>
      <w:rFonts w:ascii="仿宋_GB2312" w:hAnsi="Arial Black" w:eastAsia="仿宋_GB2312"/>
      <w:kern w:val="44"/>
      <w:sz w:val="24"/>
      <w:lang w:val="en-US" w:eastAsia="zh-CN" w:bidi="ar-SA"/>
    </w:rPr>
  </w:style>
  <w:style w:type="character" w:customStyle="1" w:styleId="1119">
    <w:name w:val="Char Char41"/>
    <w:qFormat/>
    <w:uiPriority w:val="0"/>
    <w:rPr>
      <w:rFonts w:eastAsia="宋体"/>
      <w:kern w:val="2"/>
      <w:sz w:val="21"/>
      <w:szCs w:val="24"/>
      <w:lang w:val="en-US" w:eastAsia="zh-CN" w:bidi="ar-SA"/>
    </w:rPr>
  </w:style>
  <w:style w:type="character" w:customStyle="1" w:styleId="1120">
    <w:name w:val="content_size_131"/>
    <w:qFormat/>
    <w:uiPriority w:val="0"/>
    <w:rPr>
      <w:sz w:val="20"/>
      <w:szCs w:val="20"/>
    </w:rPr>
  </w:style>
  <w:style w:type="character" w:customStyle="1" w:styleId="1121">
    <w:name w:val="f14bb style2"/>
    <w:qFormat/>
    <w:uiPriority w:val="0"/>
  </w:style>
  <w:style w:type="character" w:customStyle="1" w:styleId="1122">
    <w:name w:val="javascript1"/>
    <w:qFormat/>
    <w:uiPriority w:val="0"/>
    <w:rPr>
      <w:rFonts w:hint="default" w:ascii="Tahoma" w:hAnsi="Tahoma" w:cs="Tahoma"/>
      <w:sz w:val="18"/>
      <w:szCs w:val="18"/>
    </w:rPr>
  </w:style>
  <w:style w:type="character" w:customStyle="1" w:styleId="1123">
    <w:name w:val="表格的文字 Char Char"/>
    <w:qFormat/>
    <w:uiPriority w:val="0"/>
    <w:rPr>
      <w:rFonts w:ascii="仿宋_GB2312" w:eastAsia="仿宋_GB2312"/>
      <w:bCs/>
      <w:kern w:val="2"/>
      <w:sz w:val="21"/>
      <w:szCs w:val="24"/>
      <w:lang w:val="en-US" w:eastAsia="zh-CN" w:bidi="ar-SA"/>
    </w:rPr>
  </w:style>
  <w:style w:type="character" w:customStyle="1" w:styleId="1124">
    <w:name w:val="报告表格 Char Char"/>
    <w:qFormat/>
    <w:uiPriority w:val="0"/>
    <w:rPr>
      <w:rFonts w:ascii="Times New Roman" w:hAnsi="Times New Roman" w:eastAsia="宋体" w:cs="Times New Roman"/>
      <w:kern w:val="0"/>
      <w:sz w:val="18"/>
      <w:szCs w:val="18"/>
    </w:rPr>
  </w:style>
  <w:style w:type="character" w:customStyle="1" w:styleId="1125">
    <w:name w:val="页码1"/>
    <w:qFormat/>
    <w:uiPriority w:val="0"/>
  </w:style>
  <w:style w:type="character" w:customStyle="1" w:styleId="1126">
    <w:name w:val="正文缩进 Char3"/>
    <w:qFormat/>
    <w:uiPriority w:val="0"/>
    <w:rPr>
      <w:rFonts w:eastAsia="宋体"/>
      <w:kern w:val="2"/>
      <w:sz w:val="21"/>
      <w:szCs w:val="24"/>
      <w:lang w:val="en-US" w:eastAsia="zh-CN"/>
    </w:rPr>
  </w:style>
  <w:style w:type="character" w:customStyle="1" w:styleId="1127">
    <w:name w:val="ca-2"/>
    <w:qFormat/>
    <w:uiPriority w:val="0"/>
  </w:style>
  <w:style w:type="character" w:customStyle="1" w:styleId="1128">
    <w:name w:val="批注主题 Char1"/>
    <w:qFormat/>
    <w:uiPriority w:val="99"/>
    <w:rPr>
      <w:rFonts w:ascii="Times New Roman" w:hAnsi="Times New Roman" w:eastAsia="宋体" w:cs="Times New Roman"/>
      <w:b/>
      <w:bCs/>
      <w:szCs w:val="24"/>
    </w:rPr>
  </w:style>
  <w:style w:type="character" w:customStyle="1" w:styleId="1129">
    <w:name w:val="批注文字 Char1"/>
    <w:qFormat/>
    <w:uiPriority w:val="99"/>
    <w:rPr>
      <w:rFonts w:ascii="Times New Roman" w:hAnsi="Times New Roman" w:eastAsia="宋体" w:cs="Times New Roman"/>
      <w:szCs w:val="24"/>
    </w:rPr>
  </w:style>
  <w:style w:type="character" w:customStyle="1" w:styleId="1130">
    <w:name w:val="word1"/>
    <w:qFormat/>
    <w:uiPriority w:val="0"/>
    <w:rPr>
      <w:rFonts w:hint="default" w:ascii="ˎ̥" w:hAnsi="ˎ̥"/>
      <w:sz w:val="23"/>
      <w:szCs w:val="23"/>
      <w:u w:val="none"/>
    </w:rPr>
  </w:style>
  <w:style w:type="character" w:customStyle="1" w:styleId="1131">
    <w:name w:val="文档结构图 Char1"/>
    <w:qFormat/>
    <w:uiPriority w:val="99"/>
    <w:rPr>
      <w:rFonts w:ascii="宋体"/>
      <w:kern w:val="2"/>
      <w:sz w:val="18"/>
      <w:szCs w:val="18"/>
    </w:rPr>
  </w:style>
  <w:style w:type="paragraph" w:customStyle="1" w:styleId="1132">
    <w:name w:val="Char Char1 Char Char Char1 Char"/>
    <w:basedOn w:val="1"/>
    <w:qFormat/>
    <w:uiPriority w:val="0"/>
    <w:pPr>
      <w:adjustRightInd w:val="0"/>
      <w:spacing w:line="360" w:lineRule="auto"/>
    </w:pPr>
  </w:style>
  <w:style w:type="paragraph" w:customStyle="1" w:styleId="1133">
    <w:name w:val="列出段落3"/>
    <w:basedOn w:val="1"/>
    <w:qFormat/>
    <w:uiPriority w:val="99"/>
    <w:pPr>
      <w:ind w:firstLine="420" w:firstLineChars="200"/>
    </w:pPr>
    <w:rPr>
      <w:rFonts w:ascii="Calibri" w:hAnsi="Calibri"/>
      <w:szCs w:val="22"/>
    </w:rPr>
  </w:style>
  <w:style w:type="paragraph" w:customStyle="1" w:styleId="1134">
    <w:name w:val="标题 41"/>
    <w:basedOn w:val="1"/>
    <w:qFormat/>
    <w:uiPriority w:val="0"/>
    <w:pPr>
      <w:spacing w:line="500" w:lineRule="exact"/>
      <w:jc w:val="left"/>
    </w:pPr>
    <w:rPr>
      <w:rFonts w:ascii="仿宋_GB2312" w:hAnsi="仿宋_GB2312" w:eastAsia="仿宋_GB2312"/>
      <w:sz w:val="28"/>
      <w:szCs w:val="21"/>
    </w:rPr>
  </w:style>
  <w:style w:type="table" w:customStyle="1" w:styleId="1135">
    <w:name w:val="图表样式-HX"/>
    <w:basedOn w:val="87"/>
    <w:qFormat/>
    <w:uiPriority w:val="99"/>
    <w:rPr>
      <w:rFonts w:ascii="仿宋_GB2312" w:eastAsia="仿宋_GB2312"/>
    </w:rPr>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paragraph" w:customStyle="1" w:styleId="1136">
    <w:name w:val="TOC 标题2"/>
    <w:basedOn w:val="4"/>
    <w:next w:val="1"/>
    <w:qFormat/>
    <w:uiPriority w:val="0"/>
    <w:pPr>
      <w:widowControl/>
      <w:spacing w:before="480" w:after="0" w:line="276" w:lineRule="auto"/>
      <w:jc w:val="left"/>
      <w:outlineLvl w:val="9"/>
    </w:pPr>
    <w:rPr>
      <w:rFonts w:ascii="Cambria" w:hAnsi="Cambria"/>
      <w:color w:val="365F91"/>
      <w:kern w:val="0"/>
      <w:sz w:val="32"/>
      <w:szCs w:val="28"/>
    </w:rPr>
  </w:style>
  <w:style w:type="table" w:customStyle="1" w:styleId="1137">
    <w:name w:val="灰度表格122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8">
    <w:name w:val="9 Char Char Char7 Char"/>
    <w:basedOn w:val="1"/>
    <w:qFormat/>
    <w:uiPriority w:val="0"/>
    <w:pPr>
      <w:spacing w:line="240" w:lineRule="exact"/>
      <w:ind w:firstLine="200" w:firstLineChars="200"/>
    </w:pPr>
    <w:rPr>
      <w:sz w:val="28"/>
      <w:szCs w:val="28"/>
    </w:rPr>
  </w:style>
  <w:style w:type="paragraph" w:customStyle="1" w:styleId="1139">
    <w:name w:val="样式 标题4 + (中文) 宋体"/>
    <w:basedOn w:val="22"/>
    <w:next w:val="35"/>
    <w:link w:val="1140"/>
    <w:qFormat/>
    <w:uiPriority w:val="0"/>
    <w:pPr>
      <w:keepNext/>
      <w:keepLines/>
      <w:spacing w:line="480" w:lineRule="exact"/>
      <w:ind w:firstLine="0" w:firstLineChars="0"/>
      <w:outlineLvl w:val="3"/>
    </w:pPr>
    <w:rPr>
      <w:rFonts w:eastAsia="Times New Roman"/>
      <w:b/>
      <w:bCs/>
      <w:sz w:val="30"/>
      <w:szCs w:val="32"/>
    </w:rPr>
  </w:style>
  <w:style w:type="character" w:customStyle="1" w:styleId="1140">
    <w:name w:val="样式 标题4 + (中文) 宋体 Char"/>
    <w:link w:val="1139"/>
    <w:qFormat/>
    <w:uiPriority w:val="0"/>
    <w:rPr>
      <w:rFonts w:eastAsia="Times New Roman"/>
      <w:b/>
      <w:bCs/>
      <w:kern w:val="2"/>
      <w:sz w:val="30"/>
      <w:szCs w:val="32"/>
    </w:rPr>
  </w:style>
  <w:style w:type="paragraph" w:customStyle="1" w:styleId="1141">
    <w:name w:val="Char111"/>
    <w:basedOn w:val="1"/>
    <w:qFormat/>
    <w:uiPriority w:val="0"/>
    <w:pPr>
      <w:snapToGrid w:val="0"/>
      <w:spacing w:line="360" w:lineRule="auto"/>
      <w:ind w:firstLine="200" w:firstLineChars="200"/>
    </w:pPr>
    <w:rPr>
      <w:rFonts w:eastAsia="仿宋_GB2312"/>
    </w:rPr>
  </w:style>
  <w:style w:type="paragraph" w:customStyle="1" w:styleId="1142">
    <w:name w:val="Char32"/>
    <w:basedOn w:val="1"/>
    <w:qFormat/>
    <w:uiPriority w:val="0"/>
    <w:pPr>
      <w:widowControl/>
      <w:spacing w:line="360" w:lineRule="auto"/>
    </w:pPr>
    <w:rPr>
      <w:rFonts w:cs="宋体"/>
      <w:color w:val="000000"/>
    </w:rPr>
  </w:style>
  <w:style w:type="paragraph" w:customStyle="1" w:styleId="1143">
    <w:name w:val="Char2 Char Char Char Char Char Char"/>
    <w:basedOn w:val="1"/>
    <w:qFormat/>
    <w:uiPriority w:val="0"/>
  </w:style>
  <w:style w:type="paragraph" w:customStyle="1" w:styleId="1144">
    <w:name w:val="其他发布部门"/>
    <w:basedOn w:val="1"/>
    <w:qFormat/>
    <w:uiPriority w:val="0"/>
    <w:pPr>
      <w:widowControl/>
      <w:spacing w:line="0" w:lineRule="atLeast"/>
      <w:jc w:val="center"/>
    </w:pPr>
    <w:rPr>
      <w:rFonts w:ascii="黑体" w:eastAsia="黑体"/>
      <w:spacing w:val="20"/>
      <w:w w:val="135"/>
      <w:sz w:val="28"/>
    </w:rPr>
  </w:style>
  <w:style w:type="character" w:customStyle="1" w:styleId="1145">
    <w:name w:val="图内文字－小五 Char Char"/>
    <w:link w:val="1146"/>
    <w:qFormat/>
    <w:uiPriority w:val="0"/>
    <w:rPr>
      <w:sz w:val="18"/>
    </w:rPr>
  </w:style>
  <w:style w:type="paragraph" w:customStyle="1" w:styleId="1146">
    <w:name w:val="图内文字－小五"/>
    <w:basedOn w:val="1"/>
    <w:link w:val="1145"/>
    <w:qFormat/>
    <w:uiPriority w:val="0"/>
    <w:pPr>
      <w:spacing w:line="240" w:lineRule="exact"/>
    </w:pPr>
    <w:rPr>
      <w:rFonts w:ascii="Times New Roman"/>
      <w:sz w:val="18"/>
    </w:rPr>
  </w:style>
  <w:style w:type="paragraph" w:customStyle="1" w:styleId="1147">
    <w:name w:val="Char Char1 Char"/>
    <w:basedOn w:val="1"/>
    <w:qFormat/>
    <w:uiPriority w:val="0"/>
    <w:rPr>
      <w:szCs w:val="21"/>
    </w:rPr>
  </w:style>
  <w:style w:type="table" w:customStyle="1" w:styleId="1148">
    <w:name w:val="黄桥表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黄桥表2"/>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黄桥表3"/>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
    <w:name w:val="灰度表格1222"/>
    <w:basedOn w:val="87"/>
    <w:qFormat/>
    <w:uiPriority w:val="0"/>
    <w:pPr>
      <w:jc w:val="center"/>
    </w:pPr>
    <w:rPr>
      <w:rFonts w:eastAsia="仿宋_GB2312"/>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cPr>
      <w:vAlign w:val="center"/>
    </w:tcPr>
  </w:style>
  <w:style w:type="table" w:customStyle="1" w:styleId="1152">
    <w:name w:val="maoli1"/>
    <w:basedOn w:val="87"/>
    <w:qFormat/>
    <w:uiPriority w:val="0"/>
    <w:rPr>
      <w:rFonts w:eastAsia="仿宋_GB2312"/>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153">
    <w:name w:val="Char Char1 Char Char Char1 Char1"/>
    <w:basedOn w:val="1"/>
    <w:qFormat/>
    <w:uiPriority w:val="0"/>
    <w:pPr>
      <w:adjustRightInd w:val="0"/>
      <w:spacing w:line="360" w:lineRule="auto"/>
    </w:pPr>
  </w:style>
  <w:style w:type="paragraph" w:customStyle="1" w:styleId="1154">
    <w:name w:val="修订11"/>
    <w:qFormat/>
    <w:uiPriority w:val="99"/>
    <w:rPr>
      <w:rFonts w:ascii="仿宋_GB2312" w:hAnsi="仿宋_GB2312" w:eastAsia="仿宋_GB2312" w:cs="Times New Roman"/>
      <w:kern w:val="2"/>
      <w:sz w:val="28"/>
      <w:szCs w:val="21"/>
      <w:lang w:val="en-US" w:eastAsia="zh-CN" w:bidi="ar-SA"/>
    </w:rPr>
  </w:style>
  <w:style w:type="character" w:customStyle="1" w:styleId="1155">
    <w:name w:val="标题 3 Char1"/>
    <w:qFormat/>
    <w:uiPriority w:val="0"/>
    <w:rPr>
      <w:rFonts w:ascii="宋体" w:hAnsi="Times New Roman" w:eastAsia="宋体" w:cs="Times New Roman"/>
      <w:b/>
      <w:bCs/>
      <w:sz w:val="28"/>
      <w:szCs w:val="32"/>
    </w:rPr>
  </w:style>
  <w:style w:type="paragraph" w:customStyle="1" w:styleId="1156">
    <w:name w:val="样式11"/>
    <w:basedOn w:val="170"/>
    <w:qFormat/>
    <w:uiPriority w:val="0"/>
    <w:pPr>
      <w:adjustRightInd w:val="0"/>
      <w:textAlignment w:val="baseline"/>
    </w:pPr>
    <w:rPr>
      <w:rFonts w:hAnsi="宋体"/>
      <w:color w:val="000000"/>
      <w:kern w:val="0"/>
      <w:sz w:val="24"/>
    </w:rPr>
  </w:style>
  <w:style w:type="paragraph" w:customStyle="1" w:styleId="1157">
    <w:name w:val="样式9"/>
    <w:basedOn w:val="329"/>
    <w:qFormat/>
    <w:uiPriority w:val="0"/>
    <w:pPr>
      <w:adjustRightInd w:val="0"/>
    </w:pPr>
    <w:rPr>
      <w:rFonts w:hAnsi="宋体" w:cs="Arial"/>
      <w:color w:val="FF0000"/>
      <w:szCs w:val="24"/>
    </w:rPr>
  </w:style>
  <w:style w:type="paragraph" w:customStyle="1" w:styleId="1158">
    <w:name w:val="样式12"/>
    <w:basedOn w:val="329"/>
    <w:qFormat/>
    <w:uiPriority w:val="0"/>
    <w:pPr>
      <w:adjustRightInd w:val="0"/>
    </w:pPr>
    <w:rPr>
      <w:rFonts w:ascii="仿宋_GB2312" w:hAnsi="宋体" w:eastAsia="仿宋_GB2312"/>
      <w:b/>
      <w:color w:val="FF0000"/>
      <w:szCs w:val="30"/>
    </w:rPr>
  </w:style>
  <w:style w:type="paragraph" w:customStyle="1" w:styleId="1159">
    <w:name w:val="样式13"/>
    <w:basedOn w:val="1"/>
    <w:next w:val="32"/>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1160">
    <w:name w:val="样式14"/>
    <w:basedOn w:val="170"/>
    <w:qFormat/>
    <w:uiPriority w:val="0"/>
    <w:pPr>
      <w:adjustRightInd w:val="0"/>
      <w:textAlignment w:val="baseline"/>
    </w:pPr>
    <w:rPr>
      <w:rFonts w:hAnsi="宋体"/>
      <w:bCs/>
      <w:kern w:val="0"/>
      <w:sz w:val="24"/>
      <w:szCs w:val="20"/>
    </w:rPr>
  </w:style>
  <w:style w:type="paragraph" w:customStyle="1" w:styleId="1161">
    <w:name w:val="样式16"/>
    <w:basedOn w:val="1"/>
    <w:link w:val="1162"/>
    <w:qFormat/>
    <w:uiPriority w:val="0"/>
    <w:pPr>
      <w:spacing w:line="500" w:lineRule="exact"/>
      <w:jc w:val="left"/>
    </w:pPr>
    <w:rPr>
      <w:rFonts w:ascii="仿宋_GB2312" w:hAnsi="仿宋_GB2312" w:eastAsia="仿宋_GB2312"/>
      <w:kern w:val="2"/>
      <w:sz w:val="21"/>
      <w:szCs w:val="21"/>
    </w:rPr>
  </w:style>
  <w:style w:type="character" w:customStyle="1" w:styleId="1162">
    <w:name w:val="样式16 Char"/>
    <w:link w:val="1161"/>
    <w:qFormat/>
    <w:uiPriority w:val="0"/>
    <w:rPr>
      <w:rFonts w:ascii="仿宋_GB2312" w:hAnsi="仿宋_GB2312" w:eastAsia="仿宋_GB2312"/>
      <w:kern w:val="2"/>
      <w:sz w:val="21"/>
      <w:szCs w:val="21"/>
    </w:rPr>
  </w:style>
  <w:style w:type="paragraph" w:customStyle="1" w:styleId="1163">
    <w:name w:val="表格 1"/>
    <w:basedOn w:val="1"/>
    <w:link w:val="1164"/>
    <w:qFormat/>
    <w:uiPriority w:val="0"/>
    <w:pPr>
      <w:spacing w:line="320" w:lineRule="exact"/>
      <w:jc w:val="center"/>
    </w:pPr>
    <w:rPr>
      <w:rFonts w:ascii="仿宋_GB2312" w:hAnsi="仿宋_GB2312" w:eastAsia="仿宋_GB2312"/>
      <w:kern w:val="2"/>
      <w:sz w:val="21"/>
      <w:szCs w:val="21"/>
    </w:rPr>
  </w:style>
  <w:style w:type="character" w:customStyle="1" w:styleId="1164">
    <w:name w:val="表格 1 Char"/>
    <w:link w:val="1163"/>
    <w:qFormat/>
    <w:uiPriority w:val="0"/>
    <w:rPr>
      <w:rFonts w:ascii="仿宋_GB2312" w:hAnsi="仿宋_GB2312" w:eastAsia="仿宋_GB2312"/>
      <w:kern w:val="2"/>
      <w:sz w:val="21"/>
      <w:szCs w:val="21"/>
    </w:rPr>
  </w:style>
  <w:style w:type="table" w:customStyle="1" w:styleId="1165">
    <w:name w:val="黄桥表4"/>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66">
    <w:name w:val="article1"/>
    <w:qFormat/>
    <w:uiPriority w:val="0"/>
    <w:rPr>
      <w:b/>
      <w:bCs/>
      <w:smallCaps/>
      <w:color w:val="FF0000"/>
      <w:sz w:val="43"/>
      <w:szCs w:val="43"/>
    </w:rPr>
  </w:style>
  <w:style w:type="character" w:customStyle="1" w:styleId="1167">
    <w:name w:val="zhenwen141"/>
    <w:qFormat/>
    <w:uiPriority w:val="0"/>
    <w:rPr>
      <w:rFonts w:hint="default" w:ascii="ˎ̥" w:hAnsi="ˎ̥"/>
      <w:sz w:val="21"/>
      <w:szCs w:val="21"/>
    </w:rPr>
  </w:style>
  <w:style w:type="character" w:customStyle="1" w:styleId="1168">
    <w:name w:val="keyword"/>
    <w:qFormat/>
    <w:uiPriority w:val="0"/>
  </w:style>
  <w:style w:type="character" w:customStyle="1" w:styleId="1169">
    <w:name w:val="style71"/>
    <w:qFormat/>
    <w:uiPriority w:val="0"/>
    <w:rPr>
      <w:color w:val="000000"/>
    </w:rPr>
  </w:style>
  <w:style w:type="character" w:customStyle="1" w:styleId="1170">
    <w:name w:val="large1"/>
    <w:qFormat/>
    <w:uiPriority w:val="0"/>
    <w:rPr>
      <w:sz w:val="22"/>
      <w:szCs w:val="22"/>
    </w:rPr>
  </w:style>
  <w:style w:type="paragraph" w:customStyle="1" w:styleId="1171">
    <w:name w:val="Char Char Char Char Char Char Char Char"/>
    <w:basedOn w:val="1"/>
    <w:qFormat/>
    <w:uiPriority w:val="0"/>
    <w:pPr>
      <w:widowControl/>
      <w:spacing w:after="160" w:line="240" w:lineRule="exact"/>
      <w:jc w:val="left"/>
    </w:pPr>
    <w:rPr>
      <w:rFonts w:ascii="Verdana" w:hAnsi="Verdana"/>
      <w:sz w:val="20"/>
      <w:lang w:eastAsia="en-US"/>
    </w:rPr>
  </w:style>
  <w:style w:type="paragraph" w:customStyle="1" w:styleId="1172">
    <w:name w:val="样式 列表"/>
    <w:basedOn w:val="66"/>
    <w:qFormat/>
    <w:uiPriority w:val="0"/>
    <w:pPr>
      <w:spacing w:line="280" w:lineRule="exact"/>
    </w:pPr>
    <w:rPr>
      <w:rFonts w:ascii="Times New Roman" w:eastAsia="方正仿宋_GBK" w:cs="宋体"/>
      <w:sz w:val="21"/>
    </w:rPr>
  </w:style>
  <w:style w:type="paragraph" w:customStyle="1" w:styleId="1173">
    <w:name w:val="样式 样式 样式 样式 标题 2 + 段前: 0.25 行 段后: 0.25 行 + 段前: 0.25 行 段后: 0.25 行..."/>
    <w:basedOn w:val="1"/>
    <w:qFormat/>
    <w:uiPriority w:val="0"/>
    <w:pPr>
      <w:keepNext/>
      <w:keepLines/>
      <w:tabs>
        <w:tab w:val="left" w:pos="1080"/>
      </w:tabs>
      <w:adjustRightInd w:val="0"/>
      <w:snapToGrid w:val="0"/>
      <w:spacing w:beforeLines="25" w:afterLines="25" w:line="360" w:lineRule="auto"/>
      <w:jc w:val="left"/>
      <w:outlineLvl w:val="1"/>
    </w:pPr>
    <w:rPr>
      <w:b/>
      <w:bCs/>
    </w:rPr>
  </w:style>
  <w:style w:type="paragraph" w:customStyle="1" w:styleId="1174">
    <w:name w:val="样式 样式 标题 1 + 段前: 1.5 行 段后: 1.5 行 行距: 多倍行距 1.25 字行 + 段前: 0.5 行 段..."/>
    <w:basedOn w:val="1"/>
    <w:qFormat/>
    <w:uiPriority w:val="0"/>
    <w:pPr>
      <w:keepNext/>
      <w:keepLines/>
      <w:tabs>
        <w:tab w:val="left" w:pos="720"/>
      </w:tabs>
      <w:snapToGrid w:val="0"/>
      <w:spacing w:beforeLines="50" w:afterLines="50" w:line="360" w:lineRule="auto"/>
      <w:ind w:left="431" w:hanging="431"/>
      <w:jc w:val="left"/>
      <w:outlineLvl w:val="0"/>
    </w:pPr>
    <w:rPr>
      <w:b/>
      <w:bCs/>
      <w:kern w:val="44"/>
      <w:sz w:val="28"/>
    </w:rPr>
  </w:style>
  <w:style w:type="paragraph" w:customStyle="1" w:styleId="1175">
    <w:name w:val="Char20"/>
    <w:basedOn w:val="1"/>
    <w:qFormat/>
    <w:uiPriority w:val="0"/>
  </w:style>
  <w:style w:type="paragraph" w:customStyle="1" w:styleId="1176">
    <w:name w:val="默认段落字体 Para Char Char Char Char Char Char Char"/>
    <w:basedOn w:val="1"/>
    <w:qFormat/>
    <w:uiPriority w:val="0"/>
  </w:style>
  <w:style w:type="character" w:customStyle="1" w:styleId="1177">
    <w:name w:val="textcontents"/>
    <w:qFormat/>
    <w:uiPriority w:val="0"/>
  </w:style>
  <w:style w:type="paragraph" w:customStyle="1" w:styleId="1178">
    <w:name w:val="f12"/>
    <w:basedOn w:val="1"/>
    <w:qFormat/>
    <w:uiPriority w:val="0"/>
    <w:pPr>
      <w:widowControl/>
      <w:spacing w:before="100" w:beforeAutospacing="1" w:after="100" w:afterAutospacing="1" w:line="360" w:lineRule="auto"/>
      <w:jc w:val="left"/>
    </w:pPr>
    <w:rPr>
      <w:rFonts w:hAnsi="宋体" w:cs="宋体"/>
    </w:rPr>
  </w:style>
  <w:style w:type="paragraph" w:customStyle="1" w:styleId="1179">
    <w:name w:val="Char Char Char Char Char Char Char4"/>
    <w:basedOn w:val="1"/>
    <w:qFormat/>
    <w:uiPriority w:val="0"/>
  </w:style>
  <w:style w:type="paragraph" w:customStyle="1" w:styleId="1180">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181">
    <w:name w:val="样式 样式 首行缩进:  2 字符 + 首行缩进:  2 字符2"/>
    <w:basedOn w:val="1"/>
    <w:link w:val="1182"/>
    <w:qFormat/>
    <w:uiPriority w:val="0"/>
    <w:pPr>
      <w:spacing w:line="440" w:lineRule="exact"/>
      <w:ind w:firstLine="584" w:firstLineChars="200"/>
    </w:pPr>
    <w:rPr>
      <w:rFonts w:ascii="Times New Roman" w:eastAsia="楷体_GB2312"/>
      <w:spacing w:val="6"/>
      <w:sz w:val="28"/>
    </w:rPr>
  </w:style>
  <w:style w:type="character" w:customStyle="1" w:styleId="1182">
    <w:name w:val="样式 样式 首行缩进:  2 字符 + 首行缩进:  2 字符2 Char"/>
    <w:link w:val="1181"/>
    <w:qFormat/>
    <w:uiPriority w:val="0"/>
    <w:rPr>
      <w:rFonts w:eastAsia="楷体_GB2312"/>
      <w:spacing w:val="6"/>
      <w:sz w:val="28"/>
    </w:rPr>
  </w:style>
  <w:style w:type="paragraph" w:customStyle="1" w:styleId="1183">
    <w:name w:val="pic-info"/>
    <w:basedOn w:val="1"/>
    <w:qFormat/>
    <w:uiPriority w:val="0"/>
    <w:pPr>
      <w:widowControl/>
      <w:spacing w:before="100" w:beforeAutospacing="1" w:after="100" w:afterAutospacing="1"/>
      <w:jc w:val="left"/>
    </w:pPr>
    <w:rPr>
      <w:rFonts w:hAnsi="宋体" w:cs="宋体"/>
    </w:rPr>
  </w:style>
  <w:style w:type="paragraph" w:customStyle="1" w:styleId="1184">
    <w:name w:val="样式 标题 2 + Times New Roman"/>
    <w:basedOn w:val="5"/>
    <w:link w:val="1185"/>
    <w:qFormat/>
    <w:uiPriority w:val="0"/>
    <w:pPr>
      <w:numPr>
        <w:ilvl w:val="0"/>
        <w:numId w:val="0"/>
      </w:numPr>
      <w:tabs>
        <w:tab w:val="clear" w:pos="0"/>
        <w:tab w:val="clear" w:pos="426"/>
      </w:tabs>
      <w:spacing w:before="260" w:afterLines="0" w:line="360" w:lineRule="auto"/>
    </w:pPr>
    <w:rPr>
      <w:rFonts w:eastAsia="Times New Roman"/>
      <w:bCs/>
      <w:color w:val="auto"/>
      <w:spacing w:val="0"/>
      <w:kern w:val="2"/>
      <w:szCs w:val="32"/>
    </w:rPr>
  </w:style>
  <w:style w:type="character" w:customStyle="1" w:styleId="1185">
    <w:name w:val="样式 标题 2 + Times New Roman Char"/>
    <w:link w:val="1184"/>
    <w:qFormat/>
    <w:uiPriority w:val="0"/>
    <w:rPr>
      <w:rFonts w:eastAsia="Times New Roman"/>
      <w:b/>
      <w:bCs/>
      <w:kern w:val="2"/>
      <w:sz w:val="30"/>
      <w:szCs w:val="32"/>
    </w:rPr>
  </w:style>
  <w:style w:type="character" w:customStyle="1" w:styleId="1186">
    <w:name w:val="Char Char62"/>
    <w:qFormat/>
    <w:uiPriority w:val="0"/>
    <w:rPr>
      <w:rFonts w:ascii="宋体" w:eastAsia="宋体"/>
      <w:color w:val="000000"/>
      <w:kern w:val="2"/>
      <w:sz w:val="24"/>
      <w:szCs w:val="28"/>
      <w:lang w:val="zh-CN" w:eastAsia="zh-CN" w:bidi="ar-SA"/>
    </w:rPr>
  </w:style>
  <w:style w:type="table" w:customStyle="1" w:styleId="1187">
    <w:name w:val="灰度表格1223"/>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8">
    <w:name w:val="网格型881"/>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89">
    <w:name w:val="Char2 Char Char Char Char Char Char1"/>
    <w:basedOn w:val="1"/>
    <w:qFormat/>
    <w:uiPriority w:val="0"/>
  </w:style>
  <w:style w:type="character" w:customStyle="1" w:styleId="1190">
    <w:name w:val="批注框文本 Char Char"/>
    <w:link w:val="1191"/>
    <w:qFormat/>
    <w:uiPriority w:val="0"/>
    <w:rPr>
      <w:sz w:val="18"/>
    </w:rPr>
  </w:style>
  <w:style w:type="paragraph" w:customStyle="1" w:styleId="1191">
    <w:name w:val="批注框文本1"/>
    <w:basedOn w:val="1"/>
    <w:link w:val="1190"/>
    <w:qFormat/>
    <w:uiPriority w:val="0"/>
    <w:rPr>
      <w:rFonts w:ascii="Times New Roman"/>
      <w:sz w:val="18"/>
    </w:rPr>
  </w:style>
  <w:style w:type="paragraph" w:customStyle="1" w:styleId="1192">
    <w:name w:val="样式 标题 1章标题 1H1Section HeadHeader1h11st levell1Heading 0..."/>
    <w:basedOn w:val="4"/>
    <w:qFormat/>
    <w:uiPriority w:val="0"/>
    <w:pPr>
      <w:keepLines w:val="0"/>
      <w:tabs>
        <w:tab w:val="left" w:pos="425"/>
      </w:tabs>
      <w:spacing w:before="0" w:after="0" w:line="500" w:lineRule="exact"/>
      <w:ind w:left="425" w:hanging="425"/>
      <w:jc w:val="left"/>
    </w:pPr>
    <w:rPr>
      <w:rFonts w:cs="宋体"/>
      <w:b w:val="0"/>
      <w:bCs w:val="0"/>
      <w:color w:val="000000"/>
      <w:kern w:val="2"/>
      <w:sz w:val="28"/>
      <w:szCs w:val="20"/>
    </w:rPr>
  </w:style>
  <w:style w:type="paragraph" w:customStyle="1" w:styleId="1193">
    <w:name w:val="Char Char Char Char Char Char Char Char Char Char Char Char Char Char Char Char Char Char Char Char Char Char Char Char Char Char Char Char Char Char2 Char Char Char Char Char Char Char5"/>
    <w:basedOn w:val="1"/>
    <w:qFormat/>
    <w:uiPriority w:val="0"/>
  </w:style>
  <w:style w:type="paragraph" w:customStyle="1" w:styleId="1194">
    <w:name w:val="Char Char Char Char Char Char4"/>
    <w:basedOn w:val="1"/>
    <w:qFormat/>
    <w:uiPriority w:val="0"/>
  </w:style>
  <w:style w:type="paragraph" w:customStyle="1" w:styleId="1195">
    <w:name w:val="正文文本缩进5"/>
    <w:basedOn w:val="1"/>
    <w:qFormat/>
    <w:uiPriority w:val="0"/>
    <w:pPr>
      <w:adjustRightInd w:val="0"/>
      <w:spacing w:after="120" w:line="360" w:lineRule="auto"/>
      <w:ind w:left="420" w:leftChars="200" w:firstLine="200" w:firstLineChars="200"/>
      <w:textAlignment w:val="baseline"/>
    </w:pPr>
  </w:style>
  <w:style w:type="paragraph" w:customStyle="1" w:styleId="1196">
    <w:name w:val="样式 居中 首行缩进:  2 字符 行距: 固定值 18 磅"/>
    <w:basedOn w:val="1"/>
    <w:qFormat/>
    <w:uiPriority w:val="0"/>
    <w:pPr>
      <w:spacing w:line="240" w:lineRule="atLeast"/>
      <w:jc w:val="center"/>
    </w:pPr>
    <w:rPr>
      <w:rFonts w:ascii="仿宋_GB2312" w:hAnsi="仿宋_GB2312" w:eastAsia="仿宋_GB2312" w:cs="宋体"/>
      <w:color w:val="000000"/>
    </w:rPr>
  </w:style>
  <w:style w:type="table" w:customStyle="1" w:styleId="1197">
    <w:name w:val="灰度表格1224"/>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98">
    <w:name w:val="灰度表格1225"/>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99">
    <w:name w:val="灰度表格1226"/>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00">
    <w:name w:val="新正文 Char Char"/>
    <w:qFormat/>
    <w:uiPriority w:val="0"/>
    <w:rPr>
      <w:rFonts w:ascii="仿宋_GB2312" w:eastAsia="仿宋_GB2312"/>
      <w:bCs/>
      <w:sz w:val="28"/>
      <w:lang w:val="en-US" w:eastAsia="zh-CN" w:bidi="ar-SA"/>
    </w:rPr>
  </w:style>
  <w:style w:type="paragraph" w:customStyle="1" w:styleId="1201">
    <w:name w:val="表头（仿宋 小四）"/>
    <w:basedOn w:val="1"/>
    <w:link w:val="1202"/>
    <w:qFormat/>
    <w:uiPriority w:val="0"/>
    <w:pPr>
      <w:spacing w:line="520" w:lineRule="exact"/>
      <w:jc w:val="center"/>
    </w:pPr>
    <w:rPr>
      <w:rFonts w:ascii="仿宋_GB2312" w:hAnsi="宋体" w:eastAsia="仿宋_GB2312"/>
      <w:color w:val="000000"/>
    </w:rPr>
  </w:style>
  <w:style w:type="character" w:customStyle="1" w:styleId="1202">
    <w:name w:val="表头（仿宋 小四） Char"/>
    <w:link w:val="1201"/>
    <w:qFormat/>
    <w:uiPriority w:val="0"/>
    <w:rPr>
      <w:rFonts w:ascii="仿宋_GB2312" w:hAnsi="宋体" w:eastAsia="仿宋_GB2312"/>
      <w:color w:val="000000"/>
      <w:sz w:val="24"/>
    </w:rPr>
  </w:style>
  <w:style w:type="paragraph" w:customStyle="1" w:styleId="1203">
    <w:name w:val="a表头"/>
    <w:basedOn w:val="1"/>
    <w:qFormat/>
    <w:uiPriority w:val="0"/>
    <w:pPr>
      <w:widowControl/>
      <w:adjustRightInd w:val="0"/>
      <w:snapToGrid w:val="0"/>
      <w:jc w:val="center"/>
    </w:pPr>
    <w:rPr>
      <w:rFonts w:hAnsi="宋体"/>
      <w:b/>
      <w:spacing w:val="5"/>
      <w:szCs w:val="21"/>
    </w:rPr>
  </w:style>
  <w:style w:type="character" w:customStyle="1" w:styleId="1204">
    <w:name w:val="正文01 Char Char"/>
    <w:qFormat/>
    <w:uiPriority w:val="0"/>
    <w:rPr>
      <w:sz w:val="24"/>
    </w:rPr>
  </w:style>
  <w:style w:type="paragraph" w:customStyle="1" w:styleId="1205">
    <w:name w:val="Char21"/>
    <w:basedOn w:val="1"/>
    <w:qFormat/>
    <w:uiPriority w:val="0"/>
  </w:style>
  <w:style w:type="paragraph" w:customStyle="1" w:styleId="1206">
    <w:name w:val="Char Char Char5"/>
    <w:basedOn w:val="1"/>
    <w:qFormat/>
    <w:uiPriority w:val="0"/>
  </w:style>
  <w:style w:type="paragraph" w:customStyle="1" w:styleId="1207">
    <w:name w:val="14"/>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08">
    <w:name w:val="纯文本4"/>
    <w:basedOn w:val="1"/>
    <w:qFormat/>
    <w:uiPriority w:val="0"/>
    <w:pPr>
      <w:autoSpaceDE w:val="0"/>
      <w:autoSpaceDN w:val="0"/>
      <w:adjustRightInd w:val="0"/>
      <w:textAlignment w:val="baseline"/>
    </w:pPr>
    <w:rPr>
      <w:rFonts w:hAnsi="Tms Rmn"/>
    </w:rPr>
  </w:style>
  <w:style w:type="paragraph" w:customStyle="1" w:styleId="1209">
    <w:name w:val="Char Char Char Char Char Char5"/>
    <w:basedOn w:val="1"/>
    <w:qFormat/>
    <w:uiPriority w:val="0"/>
    <w:rPr>
      <w:szCs w:val="21"/>
    </w:rPr>
  </w:style>
  <w:style w:type="paragraph" w:customStyle="1" w:styleId="1210">
    <w:name w:val="Char4 Char Char Char Char Char Char Char Char Char Char Char Char Char Char Char Char Char1 Char Char Char Char Char Char1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211">
    <w:name w:val="Char Char Char Char Char Char Char Char Char1 Char Char Char Char3"/>
    <w:basedOn w:val="1"/>
    <w:qFormat/>
    <w:uiPriority w:val="0"/>
    <w:rPr>
      <w:szCs w:val="21"/>
    </w:rPr>
  </w:style>
  <w:style w:type="paragraph" w:customStyle="1" w:styleId="1212">
    <w:name w:val="Char Char Char Char5"/>
    <w:basedOn w:val="1"/>
    <w:qFormat/>
    <w:uiPriority w:val="0"/>
    <w:rPr>
      <w:szCs w:val="21"/>
    </w:rPr>
  </w:style>
  <w:style w:type="paragraph" w:customStyle="1" w:styleId="1213">
    <w:name w:val="Char Char Char1 Char5"/>
    <w:basedOn w:val="1"/>
    <w:qFormat/>
    <w:uiPriority w:val="0"/>
  </w:style>
  <w:style w:type="paragraph" w:customStyle="1" w:styleId="1214">
    <w:name w:val="Char Char Char Char Char Char Char15"/>
    <w:basedOn w:val="1"/>
    <w:qFormat/>
    <w:uiPriority w:val="0"/>
  </w:style>
  <w:style w:type="paragraph" w:customStyle="1" w:styleId="1215">
    <w:name w:val="Char Char Char1 Char Char Char Char2"/>
    <w:basedOn w:val="1"/>
    <w:qFormat/>
    <w:uiPriority w:val="0"/>
  </w:style>
  <w:style w:type="paragraph" w:customStyle="1" w:styleId="1216">
    <w:name w:val="Char Char Char Char Char Char Char Char Char Char Char Char Char Char Char Char2"/>
    <w:basedOn w:val="1"/>
    <w:qFormat/>
    <w:uiPriority w:val="0"/>
  </w:style>
  <w:style w:type="paragraph" w:customStyle="1" w:styleId="1217">
    <w:name w:val="Char Char Char Char Char Char Char Char Char Char3"/>
    <w:basedOn w:val="1"/>
    <w:qFormat/>
    <w:uiPriority w:val="0"/>
  </w:style>
  <w:style w:type="paragraph" w:customStyle="1" w:styleId="1218">
    <w:name w:val="Char Char Char Char Char Char Char Char Char Char Char Char Char Char Char Char Char Char Char Char Char Char Char Char Char Char Char Char Char Char2 Char Char Char Char Char Char Char6"/>
    <w:basedOn w:val="1"/>
    <w:qFormat/>
    <w:uiPriority w:val="0"/>
  </w:style>
  <w:style w:type="paragraph" w:customStyle="1" w:styleId="1219">
    <w:name w:val="正文文本缩进6"/>
    <w:basedOn w:val="1"/>
    <w:qFormat/>
    <w:uiPriority w:val="0"/>
    <w:pPr>
      <w:adjustRightInd w:val="0"/>
      <w:spacing w:after="120" w:line="360" w:lineRule="auto"/>
      <w:ind w:left="420" w:leftChars="200" w:firstLine="200" w:firstLineChars="200"/>
      <w:textAlignment w:val="baseline"/>
    </w:pPr>
  </w:style>
  <w:style w:type="paragraph" w:customStyle="1" w:styleId="1220">
    <w:name w:val="正文缩进8"/>
    <w:basedOn w:val="1"/>
    <w:qFormat/>
    <w:uiPriority w:val="0"/>
    <w:pPr>
      <w:adjustRightInd w:val="0"/>
      <w:ind w:firstLine="420" w:firstLineChars="200"/>
      <w:textAlignment w:val="baseline"/>
    </w:pPr>
    <w:rPr>
      <w:rFonts w:hint="eastAsia" w:hAnsi="宋体"/>
    </w:rPr>
  </w:style>
  <w:style w:type="paragraph" w:customStyle="1" w:styleId="1221">
    <w:name w:val="列出段落4"/>
    <w:basedOn w:val="1"/>
    <w:qFormat/>
    <w:uiPriority w:val="0"/>
    <w:pPr>
      <w:ind w:firstLine="420" w:firstLineChars="200"/>
    </w:pPr>
    <w:rPr>
      <w:rFonts w:ascii="Calibri" w:hAnsi="Calibri"/>
      <w:szCs w:val="22"/>
    </w:rPr>
  </w:style>
  <w:style w:type="paragraph" w:customStyle="1" w:styleId="1222">
    <w:name w:val="Char125"/>
    <w:basedOn w:val="1"/>
    <w:qFormat/>
    <w:uiPriority w:val="0"/>
    <w:pPr>
      <w:snapToGrid w:val="0"/>
      <w:spacing w:line="360" w:lineRule="auto"/>
      <w:ind w:firstLine="200" w:firstLineChars="200"/>
    </w:pPr>
    <w:rPr>
      <w:rFonts w:eastAsia="仿宋_GB2312"/>
    </w:rPr>
  </w:style>
  <w:style w:type="paragraph" w:customStyle="1" w:styleId="1223">
    <w:name w:val="Char Char1 Char2"/>
    <w:basedOn w:val="1"/>
    <w:qFormat/>
    <w:uiPriority w:val="0"/>
  </w:style>
  <w:style w:type="character" w:customStyle="1" w:styleId="1224">
    <w:name w:val="样式 正文 +"/>
    <w:qFormat/>
    <w:uiPriority w:val="0"/>
    <w:rPr>
      <w:rFonts w:eastAsia="宋体"/>
      <w:kern w:val="0"/>
      <w:sz w:val="28"/>
      <w:szCs w:val="28"/>
    </w:rPr>
  </w:style>
  <w:style w:type="paragraph" w:customStyle="1" w:styleId="1225">
    <w:name w:val="样式11111"/>
    <w:basedOn w:val="37"/>
    <w:qFormat/>
    <w:uiPriority w:val="0"/>
    <w:pPr>
      <w:spacing w:line="300" w:lineRule="exact"/>
      <w:ind w:left="0" w:leftChars="0" w:firstLine="0" w:firstLineChars="0"/>
    </w:pPr>
    <w:rPr>
      <w:rFonts w:hAnsi="宋体"/>
      <w:szCs w:val="21"/>
    </w:rPr>
  </w:style>
  <w:style w:type="paragraph" w:customStyle="1" w:styleId="1226">
    <w:name w:val="正文文本4"/>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character" w:customStyle="1" w:styleId="1227">
    <w:name w:val="Char Char14"/>
    <w:qFormat/>
    <w:uiPriority w:val="0"/>
    <w:rPr>
      <w:rFonts w:ascii="楷体_GB2312" w:hAnsi="Arial" w:eastAsia="楷体_GB2312" w:cs="Arial"/>
      <w:b/>
      <w:sz w:val="21"/>
      <w:szCs w:val="21"/>
      <w:lang w:val="en-US" w:eastAsia="zh-CN" w:bidi="ar-SA"/>
    </w:rPr>
  </w:style>
  <w:style w:type="character" w:customStyle="1" w:styleId="1228">
    <w:name w:val="Char Char23"/>
    <w:qFormat/>
    <w:uiPriority w:val="0"/>
    <w:rPr>
      <w:rFonts w:ascii="Arial" w:hAnsi="Arial" w:eastAsia="楷体_GB2312" w:cs="Arial"/>
      <w:b/>
      <w:sz w:val="24"/>
      <w:lang w:val="en-US" w:eastAsia="zh-CN" w:bidi="ar-SA"/>
    </w:rPr>
  </w:style>
  <w:style w:type="paragraph" w:customStyle="1" w:styleId="1229">
    <w:name w:val="Char1 Char Char Char Char Char1 Char2"/>
    <w:basedOn w:val="1"/>
    <w:qFormat/>
    <w:uiPriority w:val="0"/>
    <w:rPr>
      <w:szCs w:val="21"/>
    </w:rPr>
  </w:style>
  <w:style w:type="character" w:customStyle="1" w:styleId="1230">
    <w:name w:val="Char Char626"/>
    <w:qFormat/>
    <w:uiPriority w:val="0"/>
    <w:rPr>
      <w:rFonts w:eastAsia="宋体"/>
      <w:kern w:val="2"/>
      <w:sz w:val="24"/>
      <w:lang w:val="en-US" w:eastAsia="zh-CN" w:bidi="ar-SA"/>
    </w:rPr>
  </w:style>
  <w:style w:type="character" w:customStyle="1" w:styleId="1231">
    <w:name w:val="标题6"/>
    <w:qFormat/>
    <w:uiPriority w:val="0"/>
  </w:style>
  <w:style w:type="paragraph" w:customStyle="1" w:styleId="1232">
    <w:name w:val="Char Char Char Char Char Char Char Char Char1 Char Char Char Char Char Char Char Char1 Char Char Char3"/>
    <w:basedOn w:val="1"/>
    <w:qFormat/>
    <w:uiPriority w:val="0"/>
    <w:pPr>
      <w:snapToGrid w:val="0"/>
      <w:spacing w:line="360" w:lineRule="auto"/>
      <w:ind w:firstLine="200" w:firstLineChars="200"/>
    </w:pPr>
    <w:rPr>
      <w:rFonts w:eastAsia="仿宋_GB2312"/>
    </w:rPr>
  </w:style>
  <w:style w:type="character" w:customStyle="1" w:styleId="1233">
    <w:name w:val="Char Char72"/>
    <w:qFormat/>
    <w:uiPriority w:val="0"/>
    <w:rPr>
      <w:rFonts w:eastAsia="宋体"/>
      <w:kern w:val="2"/>
      <w:sz w:val="21"/>
      <w:szCs w:val="24"/>
      <w:lang w:val="en-US" w:eastAsia="zh-CN" w:bidi="ar-SA"/>
    </w:rPr>
  </w:style>
  <w:style w:type="character" w:customStyle="1" w:styleId="1234">
    <w:name w:val="Char Char103"/>
    <w:qFormat/>
    <w:uiPriority w:val="0"/>
    <w:rPr>
      <w:rFonts w:eastAsia="宋体"/>
      <w:kern w:val="2"/>
      <w:sz w:val="21"/>
      <w:szCs w:val="24"/>
      <w:lang w:val="en-US" w:eastAsia="zh-CN" w:bidi="ar-SA"/>
    </w:rPr>
  </w:style>
  <w:style w:type="character" w:customStyle="1" w:styleId="1235">
    <w:name w:val="Char Char519"/>
    <w:qFormat/>
    <w:uiPriority w:val="0"/>
    <w:rPr>
      <w:rFonts w:ascii="宋体" w:hAnsi="Courier New" w:eastAsia="宋体"/>
      <w:kern w:val="2"/>
      <w:sz w:val="21"/>
      <w:lang w:val="en-US" w:eastAsia="zh-CN" w:bidi="ar-SA"/>
    </w:rPr>
  </w:style>
  <w:style w:type="character" w:customStyle="1" w:styleId="1236">
    <w:name w:val="Char Char182"/>
    <w:qFormat/>
    <w:uiPriority w:val="0"/>
    <w:rPr>
      <w:rFonts w:ascii="宋体" w:hAnsi="宋体" w:eastAsia="宋体" w:cs="Times New Roman"/>
      <w:color w:val="800000"/>
      <w:kern w:val="0"/>
      <w:sz w:val="28"/>
      <w:szCs w:val="20"/>
    </w:rPr>
  </w:style>
  <w:style w:type="character" w:customStyle="1" w:styleId="1237">
    <w:name w:val="Char Char Char1 Char Char2"/>
    <w:qFormat/>
    <w:uiPriority w:val="0"/>
    <w:rPr>
      <w:rFonts w:ascii="Times New Roman" w:hAnsi="Times New Roman" w:eastAsia="宋体" w:cs="Times New Roman"/>
      <w:kern w:val="0"/>
      <w:sz w:val="18"/>
      <w:szCs w:val="18"/>
    </w:rPr>
  </w:style>
  <w:style w:type="character" w:customStyle="1" w:styleId="1238">
    <w:name w:val="Char Char1126"/>
    <w:qFormat/>
    <w:uiPriority w:val="0"/>
    <w:rPr>
      <w:rFonts w:ascii="Times New Roman" w:hAnsi="Times New Roman" w:eastAsia="宋体" w:cs="Times New Roman"/>
      <w:kern w:val="0"/>
      <w:sz w:val="24"/>
      <w:szCs w:val="24"/>
    </w:rPr>
  </w:style>
  <w:style w:type="character" w:customStyle="1" w:styleId="1239">
    <w:name w:val="标题 1 Char Char Char Char Char Char Char Char Char Char Char Char Char Char Char Char Char Char Char Char Char Char Char Char Char Char Char Char Char Char Char Char Char Char Char Char Char Char Char Char Char Char Char Char Char Char Char Char Char2"/>
    <w:qFormat/>
    <w:uiPriority w:val="0"/>
    <w:rPr>
      <w:rFonts w:ascii="黑体" w:hAnsi="Arial Unicode MS" w:eastAsia="黑体"/>
      <w:kern w:val="44"/>
      <w:sz w:val="28"/>
      <w:szCs w:val="28"/>
      <w:lang w:val="en-US" w:eastAsia="zh-CN" w:bidi="ar-SA"/>
    </w:rPr>
  </w:style>
  <w:style w:type="paragraph" w:customStyle="1" w:styleId="1240">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241">
    <w:name w:val="Char95"/>
    <w:basedOn w:val="1"/>
    <w:qFormat/>
    <w:uiPriority w:val="0"/>
    <w:rPr>
      <w:szCs w:val="21"/>
    </w:rPr>
  </w:style>
  <w:style w:type="character" w:customStyle="1" w:styleId="1242">
    <w:name w:val="unnamed3"/>
    <w:qFormat/>
    <w:uiPriority w:val="0"/>
  </w:style>
  <w:style w:type="paragraph" w:customStyle="1" w:styleId="1243">
    <w:name w:val="已访问的超链接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44">
    <w:name w:val="表头编号 Char Char Char Char"/>
    <w:link w:val="1245"/>
    <w:qFormat/>
    <w:uiPriority w:val="0"/>
    <w:rPr>
      <w:b/>
      <w:color w:val="000000"/>
      <w:spacing w:val="-2"/>
    </w:rPr>
  </w:style>
  <w:style w:type="paragraph" w:customStyle="1" w:styleId="1245">
    <w:name w:val="表头编号 Char"/>
    <w:basedOn w:val="1"/>
    <w:link w:val="1244"/>
    <w:qFormat/>
    <w:uiPriority w:val="0"/>
    <w:pPr>
      <w:snapToGrid w:val="0"/>
      <w:spacing w:line="240" w:lineRule="atLeast"/>
      <w:ind w:left="498" w:hanging="498" w:hangingChars="200"/>
      <w:jc w:val="right"/>
    </w:pPr>
    <w:rPr>
      <w:rFonts w:ascii="Times New Roman"/>
      <w:b/>
      <w:color w:val="000000"/>
      <w:spacing w:val="-2"/>
      <w:sz w:val="20"/>
    </w:rPr>
  </w:style>
  <w:style w:type="character" w:customStyle="1" w:styleId="1246">
    <w:name w:val="题注 Char513"/>
    <w:qFormat/>
    <w:uiPriority w:val="0"/>
    <w:rPr>
      <w:rFonts w:ascii="黑体" w:hAnsi="Arial" w:eastAsia="黑体" w:cs="Arial"/>
      <w:b/>
    </w:rPr>
  </w:style>
  <w:style w:type="character" w:customStyle="1" w:styleId="1247">
    <w:name w:val="Char Char55"/>
    <w:qFormat/>
    <w:uiPriority w:val="0"/>
    <w:rPr>
      <w:rFonts w:ascii="黑体" w:hAnsi="宋体" w:eastAsia="黑体"/>
      <w:bCs/>
      <w:kern w:val="2"/>
      <w:sz w:val="28"/>
      <w:szCs w:val="28"/>
      <w:lang w:val="en-US" w:eastAsia="zh-CN" w:bidi="ar-SA"/>
    </w:rPr>
  </w:style>
  <w:style w:type="character" w:customStyle="1" w:styleId="1248">
    <w:name w:val="Char Char512"/>
    <w:qFormat/>
    <w:uiPriority w:val="0"/>
    <w:rPr>
      <w:rFonts w:ascii="黑体" w:hAnsi="宋体" w:eastAsia="黑体"/>
      <w:bCs/>
      <w:kern w:val="2"/>
      <w:sz w:val="28"/>
      <w:szCs w:val="28"/>
      <w:lang w:val="en-US" w:eastAsia="zh-CN" w:bidi="ar-SA"/>
    </w:rPr>
  </w:style>
  <w:style w:type="character" w:customStyle="1" w:styleId="1249">
    <w:name w:val="图表题 Char1"/>
    <w:qFormat/>
    <w:uiPriority w:val="0"/>
    <w:rPr>
      <w:rFonts w:ascii="黑体" w:hAnsi="宋体" w:eastAsia="黑体" w:cs="宋体"/>
      <w:b/>
      <w:bCs/>
      <w:kern w:val="2"/>
      <w:sz w:val="24"/>
      <w:szCs w:val="24"/>
      <w:lang w:val="en-US" w:eastAsia="zh-CN" w:bidi="ar-SA"/>
    </w:rPr>
  </w:style>
  <w:style w:type="character" w:customStyle="1" w:styleId="1250">
    <w:name w:val="Char Char42"/>
    <w:qFormat/>
    <w:uiPriority w:val="0"/>
    <w:rPr>
      <w:rFonts w:ascii="黑体" w:hAnsi="Arial" w:eastAsia="黑体"/>
      <w:b/>
      <w:bCs/>
      <w:kern w:val="2"/>
      <w:sz w:val="30"/>
      <w:szCs w:val="30"/>
      <w:lang w:val="en-US" w:eastAsia="zh-CN" w:bidi="ar-SA"/>
    </w:rPr>
  </w:style>
  <w:style w:type="character" w:customStyle="1" w:styleId="1251">
    <w:name w:val="Char Char623"/>
    <w:qFormat/>
    <w:uiPriority w:val="0"/>
    <w:rPr>
      <w:rFonts w:ascii="黑体" w:eastAsia="黑体"/>
      <w:b/>
      <w:bCs/>
      <w:kern w:val="2"/>
      <w:sz w:val="28"/>
      <w:szCs w:val="28"/>
      <w:lang w:val="en-US" w:eastAsia="zh-CN" w:bidi="ar-SA"/>
    </w:rPr>
  </w:style>
  <w:style w:type="character" w:customStyle="1" w:styleId="1252">
    <w:name w:val="纯文本 Char11"/>
    <w:qFormat/>
    <w:uiPriority w:val="0"/>
    <w:rPr>
      <w:rFonts w:ascii="宋体" w:hAnsi="Courier New" w:eastAsia="宋体" w:cs="Courier New"/>
      <w:kern w:val="2"/>
      <w:sz w:val="21"/>
      <w:szCs w:val="21"/>
      <w:lang w:val="en-US" w:eastAsia="zh-CN" w:bidi="ar-SA"/>
    </w:rPr>
  </w:style>
  <w:style w:type="character" w:customStyle="1" w:styleId="1253">
    <w:name w:val="表内5 Char4"/>
    <w:qFormat/>
    <w:uiPriority w:val="0"/>
    <w:rPr>
      <w:rFonts w:ascii="宋体" w:hAnsi="宋体" w:eastAsia="宋体" w:cs="Times New Roman"/>
      <w:kern w:val="2"/>
      <w:sz w:val="24"/>
      <w:szCs w:val="21"/>
      <w:lang w:val="en-US" w:eastAsia="zh-CN" w:bidi="ar-SA"/>
    </w:rPr>
  </w:style>
  <w:style w:type="character" w:customStyle="1" w:styleId="1254">
    <w:name w:val="段1 Char"/>
    <w:qFormat/>
    <w:uiPriority w:val="0"/>
    <w:rPr>
      <w:rFonts w:ascii="仿宋_GB2312" w:eastAsia="仿宋_GB2312"/>
      <w:kern w:val="2"/>
      <w:sz w:val="28"/>
      <w:szCs w:val="24"/>
      <w:lang w:val="en-US" w:eastAsia="zh-CN" w:bidi="ar-SA"/>
    </w:rPr>
  </w:style>
  <w:style w:type="character" w:customStyle="1" w:styleId="1255">
    <w:name w:val="Char Char1110"/>
    <w:qFormat/>
    <w:uiPriority w:val="0"/>
    <w:rPr>
      <w:rFonts w:ascii="黑体" w:hAnsi="Arial" w:eastAsia="黑体"/>
      <w:bCs/>
      <w:kern w:val="2"/>
      <w:sz w:val="30"/>
      <w:szCs w:val="30"/>
      <w:lang w:val="en-US" w:eastAsia="zh-CN" w:bidi="ar-SA"/>
    </w:rPr>
  </w:style>
  <w:style w:type="character" w:customStyle="1" w:styleId="1256">
    <w:name w:val="Char Char419"/>
    <w:qFormat/>
    <w:uiPriority w:val="0"/>
    <w:rPr>
      <w:rFonts w:ascii="黑体" w:hAnsi="Arial" w:eastAsia="黑体"/>
      <w:b/>
      <w:bCs/>
      <w:kern w:val="2"/>
      <w:sz w:val="30"/>
      <w:szCs w:val="30"/>
      <w:lang w:val="en-US" w:eastAsia="zh-CN" w:bidi="ar-SA"/>
    </w:rPr>
  </w:style>
  <w:style w:type="character" w:customStyle="1" w:styleId="1257">
    <w:name w:val="批注框文本 Char2"/>
    <w:qFormat/>
    <w:uiPriority w:val="0"/>
    <w:rPr>
      <w:rFonts w:eastAsia="宋体"/>
      <w:kern w:val="2"/>
      <w:sz w:val="18"/>
      <w:szCs w:val="18"/>
      <w:lang w:val="en-US" w:eastAsia="zh-CN" w:bidi="ar-SA"/>
    </w:rPr>
  </w:style>
  <w:style w:type="character" w:customStyle="1" w:styleId="1258">
    <w:name w:val="图表题 Char Char"/>
    <w:qFormat/>
    <w:uiPriority w:val="0"/>
    <w:rPr>
      <w:rFonts w:ascii="黑体" w:hAnsi="宋体" w:eastAsia="黑体"/>
      <w:b/>
      <w:bCs/>
      <w:kern w:val="2"/>
      <w:sz w:val="24"/>
      <w:szCs w:val="24"/>
    </w:rPr>
  </w:style>
  <w:style w:type="character" w:customStyle="1" w:styleId="1259">
    <w:name w:val="正文斜体 Char12"/>
    <w:qFormat/>
    <w:uiPriority w:val="0"/>
    <w:rPr>
      <w:rFonts w:ascii="宋体" w:hAnsi="宋体" w:eastAsia="宋体" w:cs="Times New Roman"/>
      <w:i/>
      <w:iCs/>
      <w:kern w:val="2"/>
      <w:sz w:val="24"/>
      <w:szCs w:val="24"/>
      <w:lang w:val="en-US" w:eastAsia="zh-CN" w:bidi="ar-SA"/>
    </w:rPr>
  </w:style>
  <w:style w:type="character" w:customStyle="1" w:styleId="1260">
    <w:name w:val="Char Char622"/>
    <w:qFormat/>
    <w:uiPriority w:val="0"/>
    <w:rPr>
      <w:rFonts w:ascii="黑体" w:eastAsia="黑体"/>
      <w:b/>
      <w:bCs/>
      <w:kern w:val="2"/>
      <w:sz w:val="28"/>
      <w:szCs w:val="28"/>
      <w:lang w:val="en-US" w:eastAsia="zh-CN" w:bidi="ar-SA"/>
    </w:rPr>
  </w:style>
  <w:style w:type="character" w:customStyle="1" w:styleId="1261">
    <w:name w:val="表题1 Char63"/>
    <w:qFormat/>
    <w:uiPriority w:val="0"/>
    <w:rPr>
      <w:rFonts w:ascii="黑体" w:hAnsi="Arial" w:eastAsia="黑体" w:cs="Arial"/>
      <w:b/>
      <w:kern w:val="2"/>
      <w:sz w:val="24"/>
      <w:szCs w:val="24"/>
      <w:lang w:val="en-US" w:eastAsia="zh-CN" w:bidi="ar-SA"/>
    </w:rPr>
  </w:style>
  <w:style w:type="character" w:customStyle="1" w:styleId="1262">
    <w:name w:val="正文修改 Char1413"/>
    <w:qFormat/>
    <w:uiPriority w:val="0"/>
  </w:style>
  <w:style w:type="character" w:customStyle="1" w:styleId="1263">
    <w:name w:val="燕山正文 Char1"/>
    <w:link w:val="1264"/>
    <w:qFormat/>
    <w:uiPriority w:val="0"/>
    <w:rPr>
      <w:rFonts w:ascii="宋体"/>
      <w:sz w:val="24"/>
      <w:szCs w:val="24"/>
    </w:rPr>
  </w:style>
  <w:style w:type="paragraph" w:customStyle="1" w:styleId="1264">
    <w:name w:val="燕山正文"/>
    <w:basedOn w:val="1"/>
    <w:link w:val="1263"/>
    <w:qFormat/>
    <w:uiPriority w:val="0"/>
    <w:pPr>
      <w:tabs>
        <w:tab w:val="left" w:pos="4680"/>
      </w:tabs>
      <w:adjustRightInd w:val="0"/>
      <w:snapToGrid w:val="0"/>
      <w:spacing w:line="480" w:lineRule="exact"/>
    </w:pPr>
    <w:rPr>
      <w:szCs w:val="24"/>
    </w:rPr>
  </w:style>
  <w:style w:type="character" w:customStyle="1" w:styleId="1265">
    <w:name w:val="样式 标题 3 + 黑体 小四 左侧:  0.86 厘米 首行缩进:  0 厘米 Char Char Char Char Char Char Char"/>
    <w:link w:val="1266"/>
    <w:qFormat/>
    <w:uiPriority w:val="0"/>
    <w:rPr>
      <w:rFonts w:ascii="黑体" w:eastAsia="黑体"/>
      <w:b/>
      <w:bCs/>
      <w:color w:val="000000"/>
      <w:sz w:val="24"/>
      <w:szCs w:val="24"/>
      <w:lang w:val="en-GB"/>
    </w:rPr>
  </w:style>
  <w:style w:type="paragraph" w:customStyle="1" w:styleId="1266">
    <w:name w:val="样式 标题 3 + 黑体 小四 左侧:  0.86 厘米 首行缩进:  0 厘米 Char"/>
    <w:basedOn w:val="6"/>
    <w:link w:val="1265"/>
    <w:qFormat/>
    <w:uiPriority w:val="0"/>
    <w:pPr>
      <w:keepLines w:val="0"/>
      <w:tabs>
        <w:tab w:val="left" w:pos="233"/>
      </w:tabs>
      <w:spacing w:before="0" w:after="0" w:line="360" w:lineRule="auto"/>
      <w:ind w:left="233"/>
      <w:jc w:val="left"/>
    </w:pPr>
    <w:rPr>
      <w:rFonts w:ascii="黑体" w:eastAsia="黑体"/>
      <w:color w:val="000000"/>
      <w:sz w:val="24"/>
      <w:szCs w:val="24"/>
      <w:lang w:val="en-GB"/>
    </w:rPr>
  </w:style>
  <w:style w:type="character" w:customStyle="1" w:styleId="1267">
    <w:name w:val="infodetail1"/>
    <w:qFormat/>
    <w:uiPriority w:val="0"/>
    <w:rPr>
      <w:rFonts w:hint="default" w:ascii="ˎ̥" w:hAnsi="ˎ̥"/>
      <w:color w:val="000000"/>
      <w:sz w:val="22"/>
      <w:szCs w:val="22"/>
      <w:u w:val="none"/>
    </w:rPr>
  </w:style>
  <w:style w:type="character" w:customStyle="1" w:styleId="1268">
    <w:name w:val="标题 2 Char5"/>
    <w:qFormat/>
    <w:uiPriority w:val="0"/>
    <w:rPr>
      <w:rFonts w:ascii="黑体" w:hAnsi="Arial" w:eastAsia="黑体"/>
      <w:bCs/>
      <w:kern w:val="2"/>
      <w:sz w:val="30"/>
      <w:szCs w:val="30"/>
      <w:lang w:val="en-US" w:eastAsia="zh-CN" w:bidi="ar-SA"/>
    </w:rPr>
  </w:style>
  <w:style w:type="character" w:customStyle="1" w:styleId="1269">
    <w:name w:val="正文修改 Char1311"/>
    <w:qFormat/>
    <w:uiPriority w:val="0"/>
    <w:rPr>
      <w:rFonts w:ascii="宋体" w:hAnsi="宋体" w:eastAsia="宋体" w:cs="宋体"/>
      <w:color w:val="000000"/>
      <w:kern w:val="2"/>
      <w:sz w:val="24"/>
      <w:szCs w:val="24"/>
      <w:lang w:val="en-US" w:eastAsia="zh-CN" w:bidi="ar-SA"/>
    </w:rPr>
  </w:style>
  <w:style w:type="character" w:customStyle="1" w:styleId="1270">
    <w:name w:val="题注 Char511"/>
    <w:qFormat/>
    <w:uiPriority w:val="0"/>
    <w:rPr>
      <w:rFonts w:ascii="黑体" w:hAnsi="Arial" w:eastAsia="黑体" w:cs="Arial"/>
      <w:b/>
      <w:kern w:val="2"/>
      <w:sz w:val="24"/>
      <w:szCs w:val="24"/>
      <w:lang w:val="en-US" w:eastAsia="zh-CN" w:bidi="ar-SA"/>
    </w:rPr>
  </w:style>
  <w:style w:type="character" w:customStyle="1" w:styleId="1271">
    <w:name w:val="Char Char415"/>
    <w:qFormat/>
    <w:uiPriority w:val="0"/>
    <w:rPr>
      <w:rFonts w:ascii="黑体" w:hAnsi="Arial" w:eastAsia="黑体"/>
      <w:b/>
      <w:bCs/>
      <w:kern w:val="2"/>
      <w:sz w:val="30"/>
      <w:szCs w:val="30"/>
      <w:lang w:val="en-US" w:eastAsia="zh-CN" w:bidi="ar-SA"/>
    </w:rPr>
  </w:style>
  <w:style w:type="character" w:customStyle="1" w:styleId="1272">
    <w:name w:val="p141"/>
    <w:qFormat/>
    <w:uiPriority w:val="0"/>
    <w:rPr>
      <w:rFonts w:eastAsia="宋体"/>
      <w:kern w:val="2"/>
      <w:sz w:val="23"/>
      <w:szCs w:val="23"/>
      <w:u w:val="none"/>
      <w:lang w:val="en-US" w:eastAsia="zh-CN" w:bidi="ar-SA"/>
    </w:rPr>
  </w:style>
  <w:style w:type="character" w:customStyle="1" w:styleId="1273">
    <w:name w:val="批注框文本2 Char2"/>
    <w:qFormat/>
    <w:uiPriority w:val="99"/>
    <w:rPr>
      <w:rFonts w:eastAsia="宋体"/>
      <w:kern w:val="2"/>
      <w:sz w:val="18"/>
      <w:szCs w:val="18"/>
      <w:lang w:val="en-US" w:eastAsia="zh-CN" w:bidi="ar-SA"/>
    </w:rPr>
  </w:style>
  <w:style w:type="character" w:customStyle="1" w:styleId="1274">
    <w:name w:val="正文文本缩进 3 Char5"/>
    <w:qFormat/>
    <w:uiPriority w:val="0"/>
    <w:rPr>
      <w:rFonts w:ascii="Times New Roman" w:hAnsi="Times New Roman" w:eastAsia="宋体" w:cs="Times New Roman"/>
      <w:kern w:val="2"/>
      <w:sz w:val="16"/>
      <w:szCs w:val="16"/>
      <w:lang w:val="en-US" w:eastAsia="zh-CN" w:bidi="ar-SA"/>
    </w:rPr>
  </w:style>
  <w:style w:type="character" w:customStyle="1" w:styleId="1275">
    <w:name w:val="标题正文黑 Char11"/>
    <w:qFormat/>
    <w:uiPriority w:val="0"/>
    <w:rPr>
      <w:rFonts w:ascii="黑体" w:eastAsia="黑体"/>
      <w:kern w:val="2"/>
      <w:sz w:val="28"/>
      <w:szCs w:val="28"/>
      <w:lang w:val="en-US" w:eastAsia="zh-CN" w:bidi="ar-SA"/>
    </w:rPr>
  </w:style>
  <w:style w:type="character" w:customStyle="1" w:styleId="1276">
    <w:name w:val="批注框文本 Char11"/>
    <w:qFormat/>
    <w:uiPriority w:val="0"/>
    <w:rPr>
      <w:rFonts w:eastAsia="宋体"/>
      <w:kern w:val="2"/>
      <w:sz w:val="18"/>
      <w:szCs w:val="18"/>
      <w:lang w:val="en-US" w:eastAsia="zh-CN" w:bidi="ar-SA"/>
    </w:rPr>
  </w:style>
  <w:style w:type="character" w:customStyle="1" w:styleId="1277">
    <w:name w:val="样式 报告 + Times New Roman Char Char1"/>
    <w:qFormat/>
    <w:uiPriority w:val="0"/>
    <w:rPr>
      <w:rFonts w:eastAsia="宋体"/>
      <w:kern w:val="2"/>
      <w:sz w:val="28"/>
      <w:szCs w:val="28"/>
      <w:lang w:val="en-US" w:eastAsia="zh-CN" w:bidi="ar-SA"/>
    </w:rPr>
  </w:style>
  <w:style w:type="character" w:customStyle="1" w:styleId="1278">
    <w:name w:val="Char Char48"/>
    <w:qFormat/>
    <w:uiPriority w:val="0"/>
    <w:rPr>
      <w:rFonts w:ascii="黑体" w:hAnsi="Arial" w:eastAsia="黑体"/>
      <w:b/>
      <w:bCs/>
      <w:kern w:val="2"/>
      <w:sz w:val="30"/>
      <w:szCs w:val="30"/>
      <w:lang w:val="en-US" w:eastAsia="zh-CN" w:bidi="ar-SA"/>
    </w:rPr>
  </w:style>
  <w:style w:type="character" w:customStyle="1" w:styleId="1279">
    <w:name w:val="Char Char2112"/>
    <w:qFormat/>
    <w:uiPriority w:val="0"/>
    <w:rPr>
      <w:rFonts w:ascii="黑体" w:eastAsia="宋体"/>
      <w:kern w:val="2"/>
      <w:sz w:val="16"/>
      <w:szCs w:val="16"/>
      <w:lang w:val="en-US" w:eastAsia="zh-CN" w:bidi="ar-SA"/>
    </w:rPr>
  </w:style>
  <w:style w:type="character" w:customStyle="1" w:styleId="1280">
    <w:name w:val="小五 Char Char Char Char"/>
    <w:qFormat/>
    <w:uiPriority w:val="0"/>
    <w:rPr>
      <w:rFonts w:ascii="宋体" w:hAnsi="宋体"/>
      <w:kern w:val="2"/>
      <w:sz w:val="21"/>
      <w:szCs w:val="21"/>
      <w:lang w:val="en-US" w:eastAsia="zh-CN" w:bidi="ar-SA"/>
    </w:rPr>
  </w:style>
  <w:style w:type="character" w:customStyle="1" w:styleId="1281">
    <w:name w:val="样式 正文缩进 + 宋体 黑色 Char1"/>
    <w:qFormat/>
    <w:uiPriority w:val="0"/>
    <w:rPr>
      <w:rFonts w:ascii="宋体" w:hAnsi="宋体" w:eastAsia="宋体"/>
      <w:color w:val="000000"/>
      <w:kern w:val="2"/>
      <w:sz w:val="24"/>
      <w:szCs w:val="24"/>
      <w:lang w:val="en-US" w:eastAsia="zh-CN" w:bidi="ar-SA"/>
    </w:rPr>
  </w:style>
  <w:style w:type="character" w:customStyle="1" w:styleId="1282">
    <w:name w:val="题注 Char111"/>
    <w:qFormat/>
    <w:uiPriority w:val="0"/>
    <w:rPr>
      <w:rFonts w:ascii="黑体" w:hAnsi="Arial" w:eastAsia="黑体" w:cs="Arial"/>
      <w:b/>
      <w:kern w:val="2"/>
      <w:sz w:val="24"/>
      <w:szCs w:val="24"/>
      <w:lang w:val="en-US" w:eastAsia="zh-CN" w:bidi="ar-SA"/>
    </w:rPr>
  </w:style>
  <w:style w:type="character" w:customStyle="1" w:styleId="1283">
    <w:name w:val="题注 Char31"/>
    <w:qFormat/>
    <w:uiPriority w:val="0"/>
    <w:rPr>
      <w:rFonts w:ascii="黑体" w:hAnsi="Arial" w:eastAsia="黑体" w:cs="Arial"/>
      <w:b/>
      <w:kern w:val="2"/>
      <w:sz w:val="24"/>
      <w:szCs w:val="24"/>
      <w:lang w:val="en-US" w:eastAsia="zh-CN" w:bidi="ar-SA"/>
    </w:rPr>
  </w:style>
  <w:style w:type="character" w:customStyle="1" w:styleId="1284">
    <w:name w:val="wz14"/>
    <w:qFormat/>
    <w:uiPriority w:val="0"/>
  </w:style>
  <w:style w:type="character" w:customStyle="1" w:styleId="1285">
    <w:name w:val="Char Char128"/>
    <w:qFormat/>
    <w:uiPriority w:val="0"/>
    <w:rPr>
      <w:rFonts w:ascii="黑体" w:hAnsi="Arial" w:eastAsia="黑体"/>
      <w:b/>
      <w:bCs/>
      <w:kern w:val="2"/>
      <w:sz w:val="30"/>
      <w:szCs w:val="30"/>
      <w:lang w:val="en-US" w:eastAsia="zh-CN" w:bidi="ar-SA"/>
    </w:rPr>
  </w:style>
  <w:style w:type="character" w:customStyle="1" w:styleId="1286">
    <w:name w:val="rightsubhead1"/>
    <w:qFormat/>
    <w:uiPriority w:val="0"/>
    <w:rPr>
      <w:rFonts w:hint="default" w:ascii="Arial" w:hAnsi="Arial" w:cs="Arial"/>
      <w:color w:val="333333"/>
      <w:sz w:val="20"/>
      <w:szCs w:val="20"/>
    </w:rPr>
  </w:style>
  <w:style w:type="character" w:customStyle="1" w:styleId="1287">
    <w:name w:val="正文缩进 Char41"/>
    <w:qFormat/>
    <w:uiPriority w:val="0"/>
    <w:rPr>
      <w:rFonts w:ascii="宋体" w:hAnsi="宋体" w:eastAsia="宋体" w:cs="宋体"/>
      <w:color w:val="000000"/>
      <w:kern w:val="2"/>
      <w:sz w:val="24"/>
      <w:szCs w:val="24"/>
      <w:lang w:val="en-US" w:eastAsia="zh-CN" w:bidi="ar-SA"/>
    </w:rPr>
  </w:style>
  <w:style w:type="character" w:customStyle="1" w:styleId="1288">
    <w:name w:val="正文2 Char"/>
    <w:qFormat/>
    <w:uiPriority w:val="0"/>
    <w:rPr>
      <w:rFonts w:eastAsia="宋体"/>
      <w:color w:val="000000"/>
      <w:kern w:val="2"/>
      <w:sz w:val="28"/>
      <w:szCs w:val="24"/>
      <w:lang w:val="en-US" w:eastAsia="zh-CN" w:bidi="ar-SA"/>
    </w:rPr>
  </w:style>
  <w:style w:type="character" w:customStyle="1" w:styleId="1289">
    <w:name w:val="表题1 Char43"/>
    <w:qFormat/>
    <w:uiPriority w:val="0"/>
    <w:rPr>
      <w:rFonts w:ascii="黑体" w:hAnsi="Arial" w:eastAsia="黑体" w:cs="Arial"/>
      <w:b/>
      <w:kern w:val="2"/>
      <w:sz w:val="24"/>
      <w:szCs w:val="24"/>
      <w:lang w:val="en-US" w:eastAsia="zh-CN" w:bidi="ar-SA"/>
    </w:rPr>
  </w:style>
  <w:style w:type="character" w:customStyle="1" w:styleId="1290">
    <w:name w:val="p9l1"/>
    <w:qFormat/>
    <w:uiPriority w:val="0"/>
    <w:rPr>
      <w:sz w:val="18"/>
      <w:szCs w:val="18"/>
      <w:u w:val="none"/>
    </w:rPr>
  </w:style>
  <w:style w:type="character" w:customStyle="1" w:styleId="1291">
    <w:name w:val="Char Char1111"/>
    <w:qFormat/>
    <w:uiPriority w:val="0"/>
    <w:rPr>
      <w:rFonts w:ascii="黑体" w:hAnsi="Arial" w:eastAsia="黑体"/>
      <w:bCs/>
      <w:kern w:val="2"/>
      <w:sz w:val="30"/>
      <w:szCs w:val="30"/>
      <w:lang w:val="en-US" w:eastAsia="zh-CN" w:bidi="ar-SA"/>
    </w:rPr>
  </w:style>
  <w:style w:type="character" w:customStyle="1" w:styleId="1292">
    <w:name w:val="edri-A title Char1 Char Char"/>
    <w:qFormat/>
    <w:uiPriority w:val="0"/>
    <w:rPr>
      <w:rFonts w:eastAsia="宋体" w:cs="CommercialPi BT"/>
      <w:bCs/>
      <w:sz w:val="24"/>
      <w:szCs w:val="24"/>
      <w:lang w:val="en-US" w:eastAsia="zh-CN" w:bidi="ar-SA"/>
    </w:rPr>
  </w:style>
  <w:style w:type="character" w:customStyle="1" w:styleId="1293">
    <w:name w:val="正文缩进 Char7"/>
    <w:qFormat/>
    <w:uiPriority w:val="0"/>
    <w:rPr>
      <w:rFonts w:ascii="宋体" w:hAnsi="宋体" w:eastAsia="宋体"/>
      <w:kern w:val="2"/>
      <w:sz w:val="24"/>
      <w:szCs w:val="24"/>
      <w:lang w:val="en-US" w:eastAsia="zh-CN" w:bidi="ar-SA"/>
    </w:rPr>
  </w:style>
  <w:style w:type="character" w:customStyle="1" w:styleId="1294">
    <w:name w:val="Char Char1214"/>
    <w:qFormat/>
    <w:uiPriority w:val="0"/>
    <w:rPr>
      <w:rFonts w:ascii="黑体" w:hAnsi="Arial" w:eastAsia="黑体"/>
      <w:b/>
      <w:bCs/>
      <w:kern w:val="2"/>
      <w:sz w:val="30"/>
      <w:szCs w:val="30"/>
      <w:lang w:val="en-US" w:eastAsia="zh-CN" w:bidi="ar-SA"/>
    </w:rPr>
  </w:style>
  <w:style w:type="character" w:customStyle="1" w:styleId="1295">
    <w:name w:val="Char Char311"/>
    <w:qFormat/>
    <w:uiPriority w:val="0"/>
    <w:rPr>
      <w:rFonts w:ascii="黑体" w:hAnsi="宋体" w:eastAsia="黑体"/>
      <w:b/>
      <w:bCs/>
      <w:kern w:val="2"/>
      <w:sz w:val="28"/>
      <w:szCs w:val="28"/>
      <w:lang w:val="en-US" w:eastAsia="zh-CN" w:bidi="ar-SA"/>
    </w:rPr>
  </w:style>
  <w:style w:type="character" w:customStyle="1" w:styleId="1296">
    <w:name w:val="第三层条 Char3"/>
    <w:qFormat/>
    <w:uiPriority w:val="0"/>
    <w:rPr>
      <w:rFonts w:eastAsia="宋体"/>
      <w:spacing w:val="5"/>
      <w:kern w:val="2"/>
      <w:sz w:val="28"/>
      <w:lang w:val="en-US" w:eastAsia="zh-CN" w:bidi="ar-SA"/>
    </w:rPr>
  </w:style>
  <w:style w:type="character" w:customStyle="1" w:styleId="1297">
    <w:name w:val="表题 Char41"/>
    <w:qFormat/>
    <w:uiPriority w:val="0"/>
    <w:rPr>
      <w:rFonts w:ascii="黑体" w:hAnsi="Arial" w:eastAsia="黑体" w:cs="Arial"/>
      <w:b/>
      <w:kern w:val="2"/>
      <w:sz w:val="24"/>
      <w:szCs w:val="24"/>
      <w:lang w:val="en-US" w:eastAsia="zh-CN" w:bidi="ar-SA"/>
    </w:rPr>
  </w:style>
  <w:style w:type="character" w:customStyle="1" w:styleId="1298">
    <w:name w:val="postbody1"/>
    <w:qFormat/>
    <w:uiPriority w:val="0"/>
    <w:rPr>
      <w:rFonts w:ascii="黑体" w:hAnsi="Arial" w:eastAsia="华文中宋" w:cs="宋体"/>
      <w:kern w:val="2"/>
      <w:sz w:val="18"/>
      <w:szCs w:val="18"/>
      <w:lang w:val="en-US" w:eastAsia="zh-CN" w:bidi="ar-SA"/>
    </w:rPr>
  </w:style>
  <w:style w:type="character" w:customStyle="1" w:styleId="1299">
    <w:name w:val="test1"/>
    <w:qFormat/>
    <w:uiPriority w:val="0"/>
    <w:rPr>
      <w:rFonts w:hint="default" w:ascii="ˎ̥" w:hAnsi="ˎ̥"/>
      <w:color w:val="000000"/>
      <w:sz w:val="23"/>
      <w:szCs w:val="23"/>
      <w:u w:val="none"/>
    </w:rPr>
  </w:style>
  <w:style w:type="character" w:customStyle="1" w:styleId="1300">
    <w:name w:val="a51"/>
    <w:qFormat/>
    <w:uiPriority w:val="0"/>
    <w:rPr>
      <w:color w:val="000000"/>
      <w:sz w:val="21"/>
      <w:szCs w:val="21"/>
      <w:u w:val="none"/>
    </w:rPr>
  </w:style>
  <w:style w:type="character" w:customStyle="1" w:styleId="1301">
    <w:name w:val="表中文字 Char27"/>
    <w:qFormat/>
    <w:uiPriority w:val="0"/>
    <w:rPr>
      <w:rFonts w:ascii="宋体" w:hAnsi="Times New Roman" w:eastAsia="宋体" w:cs="Times New Roman"/>
      <w:kern w:val="0"/>
      <w:sz w:val="24"/>
      <w:szCs w:val="21"/>
      <w:lang w:val="en-US" w:eastAsia="zh-CN" w:bidi="ar-SA"/>
    </w:rPr>
  </w:style>
  <w:style w:type="character" w:customStyle="1" w:styleId="1302">
    <w:name w:val="正文格式 Char9"/>
    <w:qFormat/>
    <w:uiPriority w:val="0"/>
    <w:rPr>
      <w:rFonts w:ascii="宋体" w:hAnsi="宋体" w:eastAsia="宋体"/>
      <w:kern w:val="2"/>
      <w:sz w:val="24"/>
      <w:szCs w:val="24"/>
      <w:lang w:val="en-US" w:eastAsia="zh-CN" w:bidi="ar-SA"/>
    </w:rPr>
  </w:style>
  <w:style w:type="character" w:customStyle="1" w:styleId="1303">
    <w:name w:val="标题 5 Char2"/>
    <w:qFormat/>
    <w:uiPriority w:val="0"/>
    <w:rPr>
      <w:rFonts w:ascii="Times New Roman" w:hAnsi="Times New Roman" w:eastAsia="宋体" w:cs="Times New Roman"/>
      <w:b/>
      <w:bCs/>
      <w:kern w:val="2"/>
      <w:sz w:val="28"/>
      <w:szCs w:val="28"/>
      <w:lang w:val="en-US" w:eastAsia="zh-CN" w:bidi="ar-SA"/>
    </w:rPr>
  </w:style>
  <w:style w:type="character" w:customStyle="1" w:styleId="1304">
    <w:name w:val="h Char Char"/>
    <w:qFormat/>
    <w:uiPriority w:val="0"/>
    <w:rPr>
      <w:rFonts w:eastAsia="宋体"/>
      <w:kern w:val="2"/>
      <w:sz w:val="18"/>
      <w:szCs w:val="18"/>
      <w:lang w:val="en-US" w:eastAsia="zh-CN" w:bidi="ar-SA"/>
    </w:rPr>
  </w:style>
  <w:style w:type="character" w:customStyle="1" w:styleId="1305">
    <w:name w:val="f14b1"/>
    <w:qFormat/>
    <w:uiPriority w:val="0"/>
    <w:rPr>
      <w:b/>
      <w:bCs/>
      <w:sz w:val="21"/>
      <w:szCs w:val="21"/>
    </w:rPr>
  </w:style>
  <w:style w:type="character" w:customStyle="1" w:styleId="1306">
    <w:name w:val="Char Char1217"/>
    <w:qFormat/>
    <w:uiPriority w:val="0"/>
    <w:rPr>
      <w:rFonts w:ascii="黑体" w:hAnsi="Arial" w:eastAsia="黑体"/>
      <w:b/>
      <w:bCs/>
      <w:kern w:val="2"/>
      <w:sz w:val="30"/>
      <w:szCs w:val="30"/>
      <w:lang w:val="en-US" w:eastAsia="zh-CN" w:bidi="ar-SA"/>
    </w:rPr>
  </w:style>
  <w:style w:type="character" w:customStyle="1" w:styleId="1307">
    <w:name w:val="标题 7 Char1"/>
    <w:qFormat/>
    <w:uiPriority w:val="9"/>
    <w:rPr>
      <w:rFonts w:eastAsia="宋体"/>
      <w:b/>
      <w:bCs/>
      <w:kern w:val="2"/>
      <w:sz w:val="24"/>
      <w:szCs w:val="24"/>
      <w:lang w:val="en-US" w:eastAsia="zh-CN" w:bidi="ar-SA"/>
    </w:rPr>
  </w:style>
  <w:style w:type="character" w:customStyle="1" w:styleId="1308">
    <w:name w:val="题注 Char11"/>
    <w:qFormat/>
    <w:uiPriority w:val="0"/>
    <w:rPr>
      <w:rFonts w:ascii="黑体" w:hAnsi="Arial" w:eastAsia="黑体" w:cs="Arial"/>
      <w:b/>
      <w:kern w:val="2"/>
      <w:sz w:val="24"/>
      <w:szCs w:val="24"/>
      <w:lang w:val="en-US" w:eastAsia="zh-CN" w:bidi="ar-SA"/>
    </w:rPr>
  </w:style>
  <w:style w:type="character" w:customStyle="1" w:styleId="1309">
    <w:name w:val="Char Char37"/>
    <w:qFormat/>
    <w:uiPriority w:val="0"/>
    <w:rPr>
      <w:rFonts w:ascii="黑体" w:hAnsi="宋体" w:eastAsia="黑体"/>
      <w:b/>
      <w:bCs/>
      <w:kern w:val="2"/>
      <w:sz w:val="28"/>
      <w:szCs w:val="28"/>
      <w:lang w:val="en-US" w:eastAsia="zh-CN" w:bidi="ar-SA"/>
    </w:rPr>
  </w:style>
  <w:style w:type="character" w:customStyle="1" w:styleId="1310">
    <w:name w:val="普通文字 Char34"/>
    <w:qFormat/>
    <w:uiPriority w:val="0"/>
    <w:rPr>
      <w:rFonts w:ascii="宋体" w:hAnsi="Courier New" w:eastAsia="宋体" w:cs="Courier New"/>
      <w:kern w:val="2"/>
      <w:sz w:val="21"/>
      <w:szCs w:val="21"/>
      <w:lang w:val="en-US" w:eastAsia="zh-CN" w:bidi="ar-SA"/>
    </w:rPr>
  </w:style>
  <w:style w:type="character" w:customStyle="1" w:styleId="1311">
    <w:name w:val="style201"/>
    <w:qFormat/>
    <w:uiPriority w:val="0"/>
    <w:rPr>
      <w:color w:val="000000"/>
      <w:sz w:val="24"/>
      <w:szCs w:val="24"/>
    </w:rPr>
  </w:style>
  <w:style w:type="character" w:customStyle="1" w:styleId="1312">
    <w:name w:val="图表题 Char2"/>
    <w:qFormat/>
    <w:uiPriority w:val="0"/>
    <w:rPr>
      <w:rFonts w:ascii="黑体" w:hAnsi="宋体" w:eastAsia="黑体" w:cs="宋体"/>
      <w:b/>
      <w:bCs/>
      <w:kern w:val="2"/>
      <w:sz w:val="24"/>
      <w:szCs w:val="24"/>
      <w:lang w:val="en-US" w:eastAsia="zh-CN" w:bidi="ar-SA"/>
    </w:rPr>
  </w:style>
  <w:style w:type="character" w:customStyle="1" w:styleId="1313">
    <w:name w:val="标题4 Char4"/>
    <w:qFormat/>
    <w:uiPriority w:val="0"/>
    <w:rPr>
      <w:rFonts w:ascii="黑体" w:hAnsi="Arial" w:eastAsia="黑体" w:cs="Times New Roman"/>
      <w:b/>
      <w:bCs/>
      <w:kern w:val="2"/>
      <w:sz w:val="24"/>
      <w:szCs w:val="28"/>
      <w:lang w:val="en-US" w:eastAsia="zh-CN" w:bidi="ar-SA"/>
    </w:rPr>
  </w:style>
  <w:style w:type="character" w:customStyle="1" w:styleId="1314">
    <w:name w:val="题注 Char22"/>
    <w:qFormat/>
    <w:uiPriority w:val="0"/>
    <w:rPr>
      <w:rFonts w:ascii="黑体" w:hAnsi="Arial" w:eastAsia="黑体" w:cs="Arial"/>
      <w:b/>
      <w:kern w:val="2"/>
      <w:sz w:val="24"/>
      <w:szCs w:val="24"/>
      <w:lang w:val="en-US" w:eastAsia="zh-CN" w:bidi="ar-SA"/>
    </w:rPr>
  </w:style>
  <w:style w:type="character" w:customStyle="1" w:styleId="1315">
    <w:name w:val="ourfont31"/>
    <w:qFormat/>
    <w:uiPriority w:val="0"/>
    <w:rPr>
      <w:rFonts w:eastAsia="宋体"/>
      <w:spacing w:val="20"/>
      <w:kern w:val="2"/>
      <w:sz w:val="21"/>
      <w:szCs w:val="21"/>
      <w:lang w:val="en-US" w:eastAsia="zh-CN" w:bidi="ar-SA"/>
    </w:rPr>
  </w:style>
  <w:style w:type="character" w:customStyle="1" w:styleId="1316">
    <w:name w:val="题注 Char23"/>
    <w:qFormat/>
    <w:uiPriority w:val="0"/>
    <w:rPr>
      <w:rFonts w:ascii="黑体" w:hAnsi="Arial" w:eastAsia="黑体" w:cs="Arial"/>
      <w:b/>
      <w:kern w:val="2"/>
      <w:sz w:val="24"/>
      <w:szCs w:val="24"/>
      <w:lang w:val="en-US" w:eastAsia="zh-CN" w:bidi="ar-SA"/>
    </w:rPr>
  </w:style>
  <w:style w:type="character" w:customStyle="1" w:styleId="1317">
    <w:name w:val="Char Char1213"/>
    <w:qFormat/>
    <w:uiPriority w:val="0"/>
    <w:rPr>
      <w:rFonts w:ascii="黑体" w:hAnsi="Arial" w:eastAsia="黑体"/>
      <w:b/>
      <w:bCs/>
      <w:kern w:val="2"/>
      <w:sz w:val="30"/>
      <w:szCs w:val="30"/>
      <w:lang w:val="en-US" w:eastAsia="zh-CN" w:bidi="ar-SA"/>
    </w:rPr>
  </w:style>
  <w:style w:type="character" w:customStyle="1" w:styleId="1318">
    <w:name w:val="论文正文 Char Char"/>
    <w:qFormat/>
    <w:uiPriority w:val="0"/>
    <w:rPr>
      <w:rFonts w:ascii="宋体" w:hAnsi="宋体" w:eastAsia="宋体"/>
      <w:kern w:val="2"/>
      <w:sz w:val="21"/>
      <w:szCs w:val="21"/>
      <w:lang w:val="en-US" w:eastAsia="zh-CN" w:bidi="ar-SA"/>
    </w:rPr>
  </w:style>
  <w:style w:type="character" w:customStyle="1" w:styleId="1319">
    <w:name w:val="题2 Char Char"/>
    <w:link w:val="1320"/>
    <w:qFormat/>
    <w:uiPriority w:val="0"/>
    <w:rPr>
      <w:rFonts w:ascii="Arial" w:hAnsi="Arial"/>
      <w:b/>
      <w:bCs/>
      <w:sz w:val="30"/>
      <w:szCs w:val="30"/>
    </w:rPr>
  </w:style>
  <w:style w:type="paragraph" w:customStyle="1" w:styleId="1320">
    <w:name w:val="题2"/>
    <w:basedOn w:val="84"/>
    <w:link w:val="1319"/>
    <w:qFormat/>
    <w:uiPriority w:val="0"/>
    <w:pPr>
      <w:adjustRightInd w:val="0"/>
      <w:snapToGrid w:val="0"/>
      <w:spacing w:before="120" w:after="120" w:line="360" w:lineRule="auto"/>
      <w:jc w:val="left"/>
      <w:outlineLvl w:val="1"/>
    </w:pPr>
    <w:rPr>
      <w:sz w:val="30"/>
      <w:szCs w:val="30"/>
    </w:rPr>
  </w:style>
  <w:style w:type="character" w:customStyle="1" w:styleId="1321">
    <w:name w:val="Char Char518"/>
    <w:qFormat/>
    <w:uiPriority w:val="0"/>
    <w:rPr>
      <w:rFonts w:ascii="黑体" w:hAnsi="宋体" w:eastAsia="黑体"/>
      <w:bCs/>
      <w:kern w:val="2"/>
      <w:sz w:val="28"/>
      <w:szCs w:val="28"/>
      <w:lang w:val="en-US" w:eastAsia="zh-CN" w:bidi="ar-SA"/>
    </w:rPr>
  </w:style>
  <w:style w:type="character" w:customStyle="1" w:styleId="1322">
    <w:name w:val="表题1 Char4"/>
    <w:qFormat/>
    <w:uiPriority w:val="0"/>
    <w:rPr>
      <w:rFonts w:ascii="黑体" w:hAnsi="Arial" w:eastAsia="黑体" w:cs="Arial"/>
      <w:b/>
      <w:kern w:val="2"/>
      <w:sz w:val="24"/>
      <w:szCs w:val="24"/>
      <w:lang w:val="en-US" w:eastAsia="zh-CN" w:bidi="ar-SA"/>
    </w:rPr>
  </w:style>
  <w:style w:type="character" w:customStyle="1" w:styleId="1323">
    <w:name w:val="标题2 Char9"/>
    <w:qFormat/>
    <w:uiPriority w:val="0"/>
    <w:rPr>
      <w:rFonts w:ascii="宋体" w:hAnsi="宋体" w:eastAsia="宋体" w:cs="宋体"/>
      <w:color w:val="000000"/>
      <w:kern w:val="2"/>
      <w:sz w:val="24"/>
      <w:szCs w:val="24"/>
      <w:lang w:val="en-US" w:eastAsia="zh-CN" w:bidi="ar-SA"/>
    </w:rPr>
  </w:style>
  <w:style w:type="character" w:customStyle="1" w:styleId="1324">
    <w:name w:val="头 Char"/>
    <w:qFormat/>
    <w:uiPriority w:val="0"/>
    <w:rPr>
      <w:rFonts w:eastAsia="宋体"/>
      <w:b/>
      <w:bCs/>
      <w:kern w:val="32"/>
      <w:sz w:val="30"/>
      <w:lang w:val="en-US" w:eastAsia="zh-CN" w:bidi="ar-SA"/>
    </w:rPr>
  </w:style>
  <w:style w:type="character" w:customStyle="1" w:styleId="1325">
    <w:name w:val="题注 Char41"/>
    <w:qFormat/>
    <w:uiPriority w:val="0"/>
    <w:rPr>
      <w:rFonts w:ascii="黑体" w:hAnsi="Arial" w:eastAsia="黑体" w:cs="Arial"/>
      <w:b/>
      <w:kern w:val="2"/>
      <w:sz w:val="24"/>
      <w:szCs w:val="24"/>
      <w:lang w:val="en-US" w:eastAsia="zh-CN" w:bidi="ar-SA"/>
    </w:rPr>
  </w:style>
  <w:style w:type="character" w:customStyle="1" w:styleId="1326">
    <w:name w:val="标题2 Char12"/>
    <w:qFormat/>
    <w:uiPriority w:val="0"/>
    <w:rPr>
      <w:rFonts w:ascii="宋体" w:hAnsi="宋体" w:eastAsia="宋体" w:cs="宋体"/>
      <w:color w:val="000000"/>
      <w:kern w:val="2"/>
      <w:sz w:val="24"/>
      <w:szCs w:val="24"/>
      <w:lang w:val="en-US" w:eastAsia="zh-CN" w:bidi="ar-SA"/>
    </w:rPr>
  </w:style>
  <w:style w:type="character" w:customStyle="1" w:styleId="1327">
    <w:name w:val="新正文 Char Char Char2"/>
    <w:qFormat/>
    <w:uiPriority w:val="0"/>
    <w:rPr>
      <w:rFonts w:ascii="仿宋_GB2312" w:eastAsia="仿宋_GB2312"/>
      <w:bCs/>
      <w:kern w:val="2"/>
      <w:sz w:val="28"/>
      <w:szCs w:val="24"/>
      <w:lang w:val="en-US" w:eastAsia="zh-CN" w:bidi="ar-SA"/>
    </w:rPr>
  </w:style>
  <w:style w:type="character" w:customStyle="1" w:styleId="1328">
    <w:name w:val="谏壁chen表格内文字 Char Char Char Char Char"/>
    <w:qFormat/>
    <w:uiPriority w:val="0"/>
    <w:rPr>
      <w:rFonts w:eastAsia="宋体"/>
      <w:kern w:val="2"/>
      <w:sz w:val="21"/>
      <w:szCs w:val="21"/>
      <w:lang w:val="en-US" w:eastAsia="zh-CN" w:bidi="ar-SA"/>
    </w:rPr>
  </w:style>
  <w:style w:type="character" w:customStyle="1" w:styleId="1329">
    <w:name w:val="正文首行缩进 2 Char11"/>
    <w:qFormat/>
    <w:uiPriority w:val="0"/>
    <w:rPr>
      <w:rFonts w:eastAsia="宋体"/>
      <w:kern w:val="2"/>
      <w:sz w:val="21"/>
      <w:szCs w:val="18"/>
      <w:lang w:val="en-US" w:eastAsia="zh-CN" w:bidi="ar-SA"/>
    </w:rPr>
  </w:style>
  <w:style w:type="character" w:customStyle="1" w:styleId="1330">
    <w:name w:val="Char Char126"/>
    <w:qFormat/>
    <w:uiPriority w:val="0"/>
    <w:rPr>
      <w:rFonts w:ascii="黑体" w:hAnsi="Arial" w:eastAsia="黑体"/>
      <w:b/>
      <w:bCs/>
      <w:kern w:val="2"/>
      <w:sz w:val="30"/>
      <w:szCs w:val="30"/>
      <w:lang w:val="en-US" w:eastAsia="zh-CN" w:bidi="ar-SA"/>
    </w:rPr>
  </w:style>
  <w:style w:type="character" w:customStyle="1" w:styleId="1331">
    <w:name w:val="样式 表格内字体 + Char1"/>
    <w:qFormat/>
    <w:uiPriority w:val="0"/>
    <w:rPr>
      <w:rFonts w:ascii="宋体" w:hAnsi="宋体" w:eastAsia="宋体"/>
      <w:kern w:val="2"/>
      <w:sz w:val="21"/>
      <w:szCs w:val="24"/>
      <w:lang w:val="en-US" w:eastAsia="zh-CN" w:bidi="ar-SA"/>
    </w:rPr>
  </w:style>
  <w:style w:type="character" w:customStyle="1" w:styleId="1332">
    <w:name w:val="infofont1"/>
    <w:qFormat/>
    <w:uiPriority w:val="0"/>
    <w:rPr>
      <w:rFonts w:hint="default" w:eastAsia="華康中楷體"/>
      <w:color w:val="000000"/>
      <w:sz w:val="22"/>
      <w:szCs w:val="22"/>
      <w:u w:val="none"/>
      <w:lang w:val="en-US" w:eastAsia="en-US" w:bidi="ar-SA"/>
    </w:rPr>
  </w:style>
  <w:style w:type="character" w:customStyle="1" w:styleId="1333">
    <w:name w:val="页脚 Char11"/>
    <w:qFormat/>
    <w:uiPriority w:val="0"/>
    <w:rPr>
      <w:rFonts w:eastAsia="宋体"/>
      <w:kern w:val="2"/>
      <w:sz w:val="18"/>
      <w:szCs w:val="18"/>
      <w:lang w:val="en-US" w:eastAsia="zh-CN" w:bidi="ar-SA"/>
    </w:rPr>
  </w:style>
  <w:style w:type="character" w:customStyle="1" w:styleId="1334">
    <w:name w:val="章节 Char5"/>
    <w:qFormat/>
    <w:uiPriority w:val="0"/>
    <w:rPr>
      <w:rFonts w:ascii="楷体_GB2312" w:eastAsia="楷体_GB2312"/>
      <w:b/>
      <w:kern w:val="44"/>
      <w:sz w:val="30"/>
      <w:szCs w:val="24"/>
      <w:lang w:val="en-US" w:eastAsia="zh-CN" w:bidi="ar-SA"/>
    </w:rPr>
  </w:style>
  <w:style w:type="character" w:customStyle="1" w:styleId="1335">
    <w:name w:val="表格 Char Char Char Char Char Char"/>
    <w:qFormat/>
    <w:uiPriority w:val="0"/>
    <w:rPr>
      <w:rFonts w:ascii="Arial" w:hAnsi="Arial" w:eastAsia="华文细黑"/>
      <w:kern w:val="2"/>
      <w:sz w:val="21"/>
      <w:szCs w:val="30"/>
      <w:lang w:val="en-US" w:eastAsia="zh-CN" w:bidi="ar-SA"/>
    </w:rPr>
  </w:style>
  <w:style w:type="character" w:customStyle="1" w:styleId="1336">
    <w:name w:val="表格内容 Char3"/>
    <w:qFormat/>
    <w:uiPriority w:val="0"/>
    <w:rPr>
      <w:rFonts w:ascii="Times New Roman" w:hAnsi="Times New Roman" w:eastAsia="宋体" w:cs="Times New Roman"/>
      <w:kern w:val="2"/>
      <w:sz w:val="24"/>
      <w:szCs w:val="21"/>
      <w:lang w:val="en-US" w:eastAsia="zh-CN" w:bidi="ar-SA"/>
    </w:rPr>
  </w:style>
  <w:style w:type="character" w:customStyle="1" w:styleId="1337">
    <w:name w:val="表中文字 Char3"/>
    <w:qFormat/>
    <w:uiPriority w:val="0"/>
    <w:rPr>
      <w:rFonts w:ascii="Arial" w:hAnsi="Arial" w:eastAsia="宋体"/>
      <w:kern w:val="2"/>
      <w:sz w:val="24"/>
      <w:szCs w:val="24"/>
      <w:lang w:val="en-US" w:eastAsia="zh-TW" w:bidi="ar-SA"/>
    </w:rPr>
  </w:style>
  <w:style w:type="character" w:customStyle="1" w:styleId="1338">
    <w:name w:val="chen正文字体11 Char Char"/>
    <w:qFormat/>
    <w:uiPriority w:val="0"/>
    <w:rPr>
      <w:color w:val="000000"/>
      <w:kern w:val="2"/>
      <w:sz w:val="24"/>
    </w:rPr>
  </w:style>
  <w:style w:type="character" w:customStyle="1" w:styleId="1339">
    <w:name w:val="H23 Char1"/>
    <w:qFormat/>
    <w:uiPriority w:val="0"/>
    <w:rPr>
      <w:rFonts w:ascii="仿宋_GB2312" w:eastAsia="仿宋_GB2312"/>
      <w:b/>
      <w:kern w:val="2"/>
      <w:sz w:val="28"/>
      <w:lang w:val="en-US" w:eastAsia="zh-CN" w:bidi="ar-SA"/>
    </w:rPr>
  </w:style>
  <w:style w:type="character" w:customStyle="1" w:styleId="1340">
    <w:name w:val="表中文字 Char24"/>
    <w:qFormat/>
    <w:uiPriority w:val="0"/>
    <w:rPr>
      <w:rFonts w:ascii="宋体" w:eastAsia="宋体"/>
      <w:kern w:val="2"/>
      <w:sz w:val="21"/>
      <w:szCs w:val="21"/>
      <w:lang w:val="en-US" w:eastAsia="zh-CN" w:bidi="ar-SA"/>
    </w:rPr>
  </w:style>
  <w:style w:type="character" w:customStyle="1" w:styleId="1341">
    <w:name w:val="正文缩进 Char71"/>
    <w:qFormat/>
    <w:uiPriority w:val="0"/>
    <w:rPr>
      <w:rFonts w:ascii="宋体" w:hAnsi="宋体" w:eastAsia="宋体"/>
      <w:kern w:val="2"/>
      <w:sz w:val="24"/>
      <w:szCs w:val="24"/>
      <w:lang w:val="en-US" w:eastAsia="zh-CN" w:bidi="ar-SA"/>
    </w:rPr>
  </w:style>
  <w:style w:type="character" w:customStyle="1" w:styleId="1342">
    <w:name w:val="福建正文缩进 Char Char"/>
    <w:link w:val="1343"/>
    <w:qFormat/>
    <w:uiPriority w:val="0"/>
    <w:rPr>
      <w:rFonts w:ascii="宋体" w:hAnsi="宋体"/>
      <w:color w:val="000000"/>
      <w:sz w:val="24"/>
      <w:szCs w:val="24"/>
    </w:rPr>
  </w:style>
  <w:style w:type="paragraph" w:customStyle="1" w:styleId="1343">
    <w:name w:val="福建正文缩进"/>
    <w:basedOn w:val="22"/>
    <w:link w:val="1342"/>
    <w:qFormat/>
    <w:uiPriority w:val="0"/>
    <w:pPr>
      <w:widowControl/>
      <w:tabs>
        <w:tab w:val="left" w:pos="5837"/>
      </w:tabs>
      <w:adjustRightInd w:val="0"/>
      <w:snapToGrid w:val="0"/>
      <w:spacing w:line="480" w:lineRule="exact"/>
      <w:ind w:firstLine="0" w:firstLineChars="0"/>
    </w:pPr>
    <w:rPr>
      <w:rFonts w:hAnsi="宋体"/>
      <w:color w:val="000000"/>
    </w:rPr>
  </w:style>
  <w:style w:type="character" w:customStyle="1" w:styleId="1344">
    <w:name w:val="正文文本缩进 3 Char21"/>
    <w:qFormat/>
    <w:uiPriority w:val="0"/>
    <w:rPr>
      <w:rFonts w:eastAsia="宋体"/>
      <w:kern w:val="2"/>
      <w:sz w:val="16"/>
      <w:szCs w:val="16"/>
      <w:lang w:val="en-US" w:eastAsia="zh-CN" w:bidi="ar-SA"/>
    </w:rPr>
  </w:style>
  <w:style w:type="character" w:customStyle="1" w:styleId="1345">
    <w:name w:val="hhcwt正文 Char Char Char Char Char"/>
    <w:qFormat/>
    <w:uiPriority w:val="0"/>
    <w:rPr>
      <w:rFonts w:eastAsia="宋体" w:cs="宋体"/>
      <w:kern w:val="2"/>
      <w:sz w:val="24"/>
      <w:lang w:val="en-US" w:eastAsia="zh-CN" w:bidi="ar-SA"/>
    </w:rPr>
  </w:style>
  <w:style w:type="character" w:customStyle="1" w:styleId="1346">
    <w:name w:val="正文缩进 Char14"/>
    <w:qFormat/>
    <w:uiPriority w:val="0"/>
    <w:rPr>
      <w:rFonts w:ascii="宋体" w:hAnsi="宋体" w:eastAsia="宋体" w:cs="宋体"/>
      <w:color w:val="000000"/>
      <w:kern w:val="2"/>
      <w:sz w:val="24"/>
      <w:szCs w:val="24"/>
      <w:lang w:val="en-US" w:eastAsia="zh-CN" w:bidi="ar-SA"/>
    </w:rPr>
  </w:style>
  <w:style w:type="character" w:customStyle="1" w:styleId="1347">
    <w:name w:val="表格文字 Char Char2"/>
    <w:qFormat/>
    <w:uiPriority w:val="0"/>
    <w:rPr>
      <w:rFonts w:ascii="宋体" w:hAnsi="宋体" w:eastAsia="仿宋_GB2312" w:cs="宋体"/>
      <w:sz w:val="21"/>
      <w:szCs w:val="21"/>
      <w:lang w:val="en-US" w:eastAsia="zh-CN" w:bidi="ar-SA"/>
    </w:rPr>
  </w:style>
  <w:style w:type="character" w:customStyle="1" w:styleId="1348">
    <w:name w:val="正文修改 Char134"/>
    <w:qFormat/>
    <w:uiPriority w:val="0"/>
    <w:rPr>
      <w:rFonts w:ascii="宋体" w:hAnsi="宋体" w:eastAsia="宋体" w:cs="宋体"/>
      <w:color w:val="000000"/>
      <w:kern w:val="2"/>
      <w:sz w:val="24"/>
      <w:szCs w:val="24"/>
      <w:lang w:val="en-US" w:eastAsia="zh-CN" w:bidi="ar-SA"/>
    </w:rPr>
  </w:style>
  <w:style w:type="character" w:customStyle="1" w:styleId="1349">
    <w:name w:val="正文修改 Char15"/>
    <w:qFormat/>
    <w:uiPriority w:val="0"/>
    <w:rPr>
      <w:rFonts w:ascii="宋体" w:hAnsi="宋体" w:eastAsia="宋体" w:cs="宋体"/>
      <w:color w:val="000000"/>
      <w:kern w:val="2"/>
      <w:sz w:val="24"/>
      <w:szCs w:val="24"/>
      <w:lang w:val="en-US" w:eastAsia="zh-CN" w:bidi="ar-SA"/>
    </w:rPr>
  </w:style>
  <w:style w:type="character" w:customStyle="1" w:styleId="1350">
    <w:name w:val="Char Char1123"/>
    <w:qFormat/>
    <w:uiPriority w:val="0"/>
    <w:rPr>
      <w:rFonts w:ascii="黑体" w:hAnsi="Arial" w:eastAsia="黑体"/>
      <w:bCs/>
      <w:kern w:val="2"/>
      <w:sz w:val="30"/>
      <w:szCs w:val="30"/>
      <w:lang w:val="en-US" w:eastAsia="zh-CN" w:bidi="ar-SA"/>
    </w:rPr>
  </w:style>
  <w:style w:type="character" w:customStyle="1" w:styleId="1351">
    <w:name w:val="Char Char214"/>
    <w:qFormat/>
    <w:uiPriority w:val="0"/>
    <w:rPr>
      <w:rFonts w:ascii="黑体" w:eastAsia="宋体"/>
      <w:kern w:val="2"/>
      <w:sz w:val="16"/>
      <w:szCs w:val="16"/>
      <w:lang w:val="en-US" w:eastAsia="zh-CN" w:bidi="ar-SA"/>
    </w:rPr>
  </w:style>
  <w:style w:type="character" w:customStyle="1" w:styleId="1352">
    <w:name w:val="表内5 Char2"/>
    <w:qFormat/>
    <w:uiPriority w:val="0"/>
    <w:rPr>
      <w:rFonts w:ascii="宋体" w:hAnsi="宋体" w:eastAsia="宋体" w:cs="宋体"/>
      <w:kern w:val="2"/>
      <w:sz w:val="21"/>
      <w:szCs w:val="24"/>
      <w:lang w:val="en-US" w:eastAsia="zh-CN" w:bidi="ar-SA"/>
    </w:rPr>
  </w:style>
  <w:style w:type="character" w:customStyle="1" w:styleId="1353">
    <w:name w:val="样式 标题 3 + (西文) Times New Roman (中文) 宋体 Char Char"/>
    <w:link w:val="1354"/>
    <w:qFormat/>
    <w:uiPriority w:val="0"/>
    <w:rPr>
      <w:sz w:val="28"/>
      <w:szCs w:val="24"/>
    </w:rPr>
  </w:style>
  <w:style w:type="paragraph" w:customStyle="1" w:styleId="1354">
    <w:name w:val="样式 标题 3 + (西文) Times New Roman (中文) 宋体"/>
    <w:basedOn w:val="6"/>
    <w:link w:val="1353"/>
    <w:qFormat/>
    <w:uiPriority w:val="0"/>
    <w:pPr>
      <w:keepNext w:val="0"/>
      <w:keepLines w:val="0"/>
      <w:tabs>
        <w:tab w:val="left" w:pos="233"/>
        <w:tab w:val="left" w:pos="1260"/>
        <w:tab w:val="left" w:pos="1560"/>
      </w:tabs>
      <w:spacing w:beforeLines="20" w:afterLines="20" w:line="560" w:lineRule="atLeast"/>
      <w:ind w:left="233"/>
    </w:pPr>
    <w:rPr>
      <w:rFonts w:ascii="Times New Roman"/>
      <w:b w:val="0"/>
      <w:bCs w:val="0"/>
      <w:sz w:val="28"/>
      <w:szCs w:val="24"/>
    </w:rPr>
  </w:style>
  <w:style w:type="character" w:customStyle="1" w:styleId="1355">
    <w:name w:val="Char Char1115"/>
    <w:qFormat/>
    <w:uiPriority w:val="0"/>
    <w:rPr>
      <w:rFonts w:ascii="黑体" w:hAnsi="Arial" w:eastAsia="黑体"/>
      <w:bCs/>
      <w:kern w:val="2"/>
      <w:sz w:val="30"/>
      <w:szCs w:val="30"/>
      <w:lang w:val="en-US" w:eastAsia="zh-CN" w:bidi="ar-SA"/>
    </w:rPr>
  </w:style>
  <w:style w:type="character" w:customStyle="1" w:styleId="1356">
    <w:name w:val="图题注 Char Char"/>
    <w:link w:val="1357"/>
    <w:qFormat/>
    <w:uiPriority w:val="0"/>
    <w:rPr>
      <w:rFonts w:ascii="黑体" w:hAnsi="Arial" w:eastAsia="黑体"/>
      <w:b/>
      <w:bCs/>
      <w:sz w:val="24"/>
      <w:szCs w:val="24"/>
    </w:rPr>
  </w:style>
  <w:style w:type="paragraph" w:customStyle="1" w:styleId="1357">
    <w:name w:val="图题注"/>
    <w:basedOn w:val="23"/>
    <w:link w:val="1356"/>
    <w:qFormat/>
    <w:uiPriority w:val="0"/>
    <w:pPr>
      <w:tabs>
        <w:tab w:val="clear" w:pos="7380"/>
      </w:tabs>
      <w:overflowPunct/>
      <w:spacing w:before="0" w:after="0" w:afterLines="0"/>
      <w:jc w:val="center"/>
    </w:pPr>
    <w:rPr>
      <w:rFonts w:ascii="黑体" w:cs="Times New Roman"/>
      <w:b/>
      <w:bCs/>
      <w:sz w:val="24"/>
      <w:szCs w:val="24"/>
    </w:rPr>
  </w:style>
  <w:style w:type="character" w:customStyle="1" w:styleId="1358">
    <w:name w:val="题注 Char8"/>
    <w:qFormat/>
    <w:uiPriority w:val="0"/>
    <w:rPr>
      <w:rFonts w:ascii="黑体" w:hAnsi="Arial" w:eastAsia="黑体" w:cs="Arial"/>
      <w:b/>
      <w:kern w:val="2"/>
      <w:sz w:val="24"/>
      <w:szCs w:val="24"/>
      <w:lang w:val="en-US" w:eastAsia="zh-CN" w:bidi="ar-SA"/>
    </w:rPr>
  </w:style>
  <w:style w:type="character" w:customStyle="1" w:styleId="1359">
    <w:name w:val="正文(首行缩进)宋旭峰 Char Char"/>
    <w:link w:val="1360"/>
    <w:qFormat/>
    <w:uiPriority w:val="0"/>
    <w:rPr>
      <w:rFonts w:ascii="楷体_GB2312" w:hAnsi="宋体" w:eastAsia="楷体_GB2312"/>
      <w:sz w:val="28"/>
      <w:szCs w:val="28"/>
    </w:rPr>
  </w:style>
  <w:style w:type="paragraph" w:customStyle="1" w:styleId="1360">
    <w:name w:val="正文(首行缩进)宋旭峰"/>
    <w:basedOn w:val="22"/>
    <w:link w:val="1359"/>
    <w:qFormat/>
    <w:uiPriority w:val="0"/>
    <w:pPr>
      <w:spacing w:line="500" w:lineRule="exact"/>
      <w:ind w:firstLine="560"/>
    </w:pPr>
    <w:rPr>
      <w:rFonts w:ascii="楷体_GB2312" w:hAnsi="宋体" w:eastAsia="楷体_GB2312"/>
      <w:sz w:val="28"/>
      <w:szCs w:val="28"/>
    </w:rPr>
  </w:style>
  <w:style w:type="character" w:customStyle="1" w:styleId="1361">
    <w:name w:val="样式 黑色1"/>
    <w:qFormat/>
    <w:uiPriority w:val="0"/>
    <w:rPr>
      <w:rFonts w:eastAsia="宋体"/>
      <w:color w:val="auto"/>
      <w:kern w:val="2"/>
      <w:sz w:val="24"/>
      <w:szCs w:val="24"/>
      <w:lang w:val="en-US" w:eastAsia="zh-CN" w:bidi="ar-SA"/>
    </w:rPr>
  </w:style>
  <w:style w:type="character" w:customStyle="1" w:styleId="1362">
    <w:name w:val="正文修改 Char1313"/>
    <w:qFormat/>
    <w:uiPriority w:val="0"/>
    <w:rPr>
      <w:rFonts w:ascii="宋体" w:hAnsi="宋体" w:eastAsia="宋体" w:cs="宋体"/>
      <w:color w:val="000000"/>
      <w:kern w:val="2"/>
      <w:sz w:val="24"/>
      <w:szCs w:val="24"/>
      <w:lang w:val="en-US" w:eastAsia="zh-CN" w:bidi="ar-SA"/>
    </w:rPr>
  </w:style>
  <w:style w:type="character" w:customStyle="1" w:styleId="1363">
    <w:name w:val="正文文本缩进 3 Char4"/>
    <w:qFormat/>
    <w:uiPriority w:val="0"/>
    <w:rPr>
      <w:rFonts w:eastAsia="宋体"/>
      <w:kern w:val="2"/>
      <w:sz w:val="16"/>
      <w:szCs w:val="16"/>
      <w:lang w:val="en-US" w:eastAsia="zh-CN" w:bidi="ar-SA"/>
    </w:rPr>
  </w:style>
  <w:style w:type="character" w:customStyle="1" w:styleId="1364">
    <w:name w:val="章节 Char3"/>
    <w:qFormat/>
    <w:uiPriority w:val="0"/>
    <w:rPr>
      <w:rFonts w:ascii="楷体_GB2312" w:eastAsia="楷体_GB2312"/>
      <w:b/>
      <w:kern w:val="44"/>
      <w:sz w:val="30"/>
      <w:lang w:val="en-US" w:eastAsia="zh-CN" w:bidi="ar-SA"/>
    </w:rPr>
  </w:style>
  <w:style w:type="character" w:customStyle="1" w:styleId="1365">
    <w:name w:val="正文格式 Char Char1 Char Char"/>
    <w:qFormat/>
    <w:uiPriority w:val="0"/>
    <w:rPr>
      <w:rFonts w:ascii="宋体" w:eastAsia="宋体" w:cs="宋体"/>
      <w:kern w:val="2"/>
      <w:sz w:val="24"/>
      <w:szCs w:val="24"/>
      <w:lang w:val="en-US" w:eastAsia="zh-CN" w:bidi="ar-SA"/>
    </w:rPr>
  </w:style>
  <w:style w:type="character" w:customStyle="1" w:styleId="1366">
    <w:name w:val="页脚 Char2"/>
    <w:qFormat/>
    <w:uiPriority w:val="0"/>
    <w:rPr>
      <w:rFonts w:ascii="Times New Roman" w:hAnsi="Times New Roman" w:eastAsia="宋体" w:cs="Times New Roman"/>
      <w:kern w:val="2"/>
      <w:sz w:val="18"/>
      <w:szCs w:val="18"/>
      <w:lang w:val="en-US" w:eastAsia="zh-CN" w:bidi="ar-SA"/>
    </w:rPr>
  </w:style>
  <w:style w:type="character" w:customStyle="1" w:styleId="1367">
    <w:name w:val="标题 3 Char91"/>
    <w:qFormat/>
    <w:uiPriority w:val="0"/>
    <w:rPr>
      <w:rFonts w:ascii="黑体" w:hAnsi="宋体" w:eastAsia="黑体" w:cs="Times New Roman"/>
      <w:b/>
      <w:bCs/>
      <w:kern w:val="2"/>
      <w:sz w:val="28"/>
      <w:szCs w:val="28"/>
      <w:lang w:val="en-US" w:eastAsia="zh-CN" w:bidi="ar-SA"/>
    </w:rPr>
  </w:style>
  <w:style w:type="character" w:customStyle="1" w:styleId="1368">
    <w:name w:val="表题1 Char11"/>
    <w:qFormat/>
    <w:uiPriority w:val="0"/>
    <w:rPr>
      <w:rFonts w:hAnsi="Arial" w:eastAsia="宋体" w:cs="Arial"/>
      <w:kern w:val="2"/>
      <w:sz w:val="24"/>
      <w:szCs w:val="24"/>
      <w:lang w:val="en-US" w:eastAsia="zh-CN" w:bidi="ar-SA"/>
    </w:rPr>
  </w:style>
  <w:style w:type="character" w:customStyle="1" w:styleId="1369">
    <w:name w:val="Char Char613"/>
    <w:qFormat/>
    <w:uiPriority w:val="0"/>
    <w:rPr>
      <w:rFonts w:ascii="黑体" w:eastAsia="黑体"/>
      <w:b/>
      <w:bCs/>
      <w:kern w:val="2"/>
      <w:sz w:val="28"/>
      <w:szCs w:val="28"/>
      <w:lang w:val="en-US" w:eastAsia="zh-CN" w:bidi="ar-SA"/>
    </w:rPr>
  </w:style>
  <w:style w:type="character" w:customStyle="1" w:styleId="1370">
    <w:name w:val="Char2 Char Char1"/>
    <w:qFormat/>
    <w:uiPriority w:val="0"/>
    <w:rPr>
      <w:rFonts w:eastAsia="宋体"/>
      <w:kern w:val="2"/>
      <w:sz w:val="18"/>
      <w:szCs w:val="18"/>
      <w:lang w:val="en-US" w:eastAsia="zh-CN" w:bidi="ar-SA"/>
    </w:rPr>
  </w:style>
  <w:style w:type="character" w:customStyle="1" w:styleId="1371">
    <w:name w:val="文档结构图 Char3"/>
    <w:qFormat/>
    <w:uiPriority w:val="0"/>
    <w:rPr>
      <w:rFonts w:eastAsia="宋体"/>
      <w:kern w:val="2"/>
      <w:sz w:val="21"/>
      <w:szCs w:val="24"/>
      <w:shd w:val="clear" w:color="auto" w:fill="000080"/>
      <w:lang w:val="en-US" w:eastAsia="zh-CN" w:bidi="ar-SA"/>
    </w:rPr>
  </w:style>
  <w:style w:type="character" w:customStyle="1" w:styleId="1372">
    <w:name w:val="环正文 Char4"/>
    <w:qFormat/>
    <w:uiPriority w:val="0"/>
    <w:rPr>
      <w:rFonts w:eastAsia="仿宋_GB2312"/>
      <w:color w:val="FF0000"/>
      <w:sz w:val="28"/>
      <w:szCs w:val="28"/>
      <w:lang w:val="en-US" w:eastAsia="zh-CN" w:bidi="ar-SA"/>
    </w:rPr>
  </w:style>
  <w:style w:type="character" w:customStyle="1" w:styleId="1373">
    <w:name w:val="表题1 Char8"/>
    <w:qFormat/>
    <w:uiPriority w:val="0"/>
    <w:rPr>
      <w:rFonts w:ascii="黑体" w:hAnsi="Arial" w:eastAsia="黑体" w:cs="Arial"/>
      <w:b/>
      <w:kern w:val="2"/>
      <w:sz w:val="24"/>
      <w:szCs w:val="24"/>
      <w:lang w:val="en-US" w:eastAsia="zh-CN" w:bidi="ar-SA"/>
    </w:rPr>
  </w:style>
  <w:style w:type="character" w:customStyle="1" w:styleId="1374">
    <w:name w:val="燕山正文 Char151"/>
    <w:qFormat/>
    <w:uiPriority w:val="0"/>
    <w:rPr>
      <w:rFonts w:ascii="宋体" w:eastAsia="宋体" w:cs="宋体"/>
      <w:kern w:val="2"/>
      <w:sz w:val="24"/>
      <w:szCs w:val="24"/>
      <w:lang w:val="en-US" w:eastAsia="zh-CN" w:bidi="ar-SA"/>
    </w:rPr>
  </w:style>
  <w:style w:type="character" w:customStyle="1" w:styleId="1375">
    <w:name w:val="表中文字 Char241"/>
    <w:qFormat/>
    <w:uiPriority w:val="0"/>
    <w:rPr>
      <w:rFonts w:ascii="宋体" w:eastAsia="宋体"/>
      <w:kern w:val="2"/>
      <w:sz w:val="21"/>
      <w:szCs w:val="21"/>
      <w:lang w:val="en-US" w:eastAsia="zh-CN" w:bidi="ar-SA"/>
    </w:rPr>
  </w:style>
  <w:style w:type="character" w:customStyle="1" w:styleId="1376">
    <w:name w:val="Char Char218"/>
    <w:qFormat/>
    <w:uiPriority w:val="0"/>
    <w:rPr>
      <w:rFonts w:ascii="黑体" w:eastAsia="宋体"/>
      <w:kern w:val="2"/>
      <w:sz w:val="16"/>
      <w:szCs w:val="16"/>
      <w:lang w:val="en-US" w:eastAsia="zh-CN" w:bidi="ar-SA"/>
    </w:rPr>
  </w:style>
  <w:style w:type="character" w:customStyle="1" w:styleId="1377">
    <w:name w:val="Char Char32"/>
    <w:qFormat/>
    <w:uiPriority w:val="0"/>
    <w:rPr>
      <w:rFonts w:ascii="黑体" w:hAnsi="宋体" w:eastAsia="黑体"/>
      <w:b/>
      <w:bCs/>
      <w:kern w:val="2"/>
      <w:sz w:val="28"/>
      <w:szCs w:val="28"/>
      <w:lang w:val="en-US" w:eastAsia="zh-CN" w:bidi="ar-SA"/>
    </w:rPr>
  </w:style>
  <w:style w:type="character" w:customStyle="1" w:styleId="1378">
    <w:name w:val="正文首行缩进 Char Char Char Char Char Char Char"/>
    <w:qFormat/>
    <w:uiPriority w:val="0"/>
    <w:rPr>
      <w:rFonts w:eastAsia="宋体"/>
      <w:kern w:val="2"/>
      <w:sz w:val="21"/>
      <w:szCs w:val="24"/>
      <w:lang w:val="en-US" w:eastAsia="zh-CN" w:bidi="ar-SA"/>
    </w:rPr>
  </w:style>
  <w:style w:type="character" w:customStyle="1" w:styleId="1379">
    <w:name w:val="二级项 Char3"/>
    <w:qFormat/>
    <w:uiPriority w:val="0"/>
    <w:rPr>
      <w:rFonts w:ascii="Arial" w:hAnsi="Arial" w:eastAsia="黑体"/>
      <w:b/>
      <w:bCs/>
      <w:kern w:val="2"/>
      <w:sz w:val="24"/>
      <w:szCs w:val="24"/>
      <w:lang w:val="en-US" w:eastAsia="zh-CN" w:bidi="ar-SA"/>
    </w:rPr>
  </w:style>
  <w:style w:type="character" w:customStyle="1" w:styleId="1380">
    <w:name w:val="Char Char617"/>
    <w:qFormat/>
    <w:uiPriority w:val="0"/>
    <w:rPr>
      <w:rFonts w:ascii="黑体" w:eastAsia="黑体"/>
      <w:b/>
      <w:bCs/>
      <w:kern w:val="2"/>
      <w:sz w:val="28"/>
      <w:szCs w:val="28"/>
      <w:lang w:val="en-US" w:eastAsia="zh-CN" w:bidi="ar-SA"/>
    </w:rPr>
  </w:style>
  <w:style w:type="character" w:customStyle="1" w:styleId="1381">
    <w:name w:val="正文格式 Char13"/>
    <w:qFormat/>
    <w:uiPriority w:val="0"/>
    <w:rPr>
      <w:rFonts w:ascii="宋体" w:hAnsi="宋体" w:eastAsia="宋体"/>
      <w:kern w:val="2"/>
      <w:sz w:val="24"/>
      <w:szCs w:val="24"/>
      <w:lang w:val="en-US" w:eastAsia="zh-CN" w:bidi="ar-SA"/>
    </w:rPr>
  </w:style>
  <w:style w:type="character" w:customStyle="1" w:styleId="1382">
    <w:name w:val="第一层条 Char3"/>
    <w:qFormat/>
    <w:uiPriority w:val="0"/>
    <w:rPr>
      <w:rFonts w:ascii="仿宋_GB2312" w:eastAsia="仿宋_GB2312"/>
      <w:b/>
      <w:kern w:val="2"/>
      <w:sz w:val="28"/>
      <w:lang w:val="en-US" w:eastAsia="zh-CN" w:bidi="ar-SA"/>
    </w:rPr>
  </w:style>
  <w:style w:type="character" w:customStyle="1" w:styleId="1383">
    <w:name w:val="正文格式 Char Char Char Char Char Char Char"/>
    <w:qFormat/>
    <w:uiPriority w:val="0"/>
    <w:rPr>
      <w:rFonts w:ascii="宋体" w:eastAsia="宋体" w:cs="宋体"/>
      <w:kern w:val="2"/>
      <w:sz w:val="24"/>
      <w:szCs w:val="24"/>
      <w:lang w:val="en-US" w:eastAsia="zh-CN" w:bidi="ar-SA"/>
    </w:rPr>
  </w:style>
  <w:style w:type="character" w:customStyle="1" w:styleId="1384">
    <w:name w:val="表格文字 Char Char Char Char"/>
    <w:qFormat/>
    <w:uiPriority w:val="0"/>
    <w:rPr>
      <w:color w:val="000000"/>
      <w:sz w:val="21"/>
      <w:szCs w:val="24"/>
    </w:rPr>
  </w:style>
  <w:style w:type="character" w:customStyle="1" w:styleId="1385">
    <w:name w:val="表题1 Char62"/>
    <w:qFormat/>
    <w:uiPriority w:val="0"/>
    <w:rPr>
      <w:rFonts w:ascii="黑体" w:hAnsi="Arial" w:eastAsia="黑体" w:cs="Arial"/>
      <w:b/>
      <w:kern w:val="2"/>
      <w:sz w:val="24"/>
      <w:szCs w:val="24"/>
      <w:lang w:val="en-US" w:eastAsia="zh-CN" w:bidi="ar-SA"/>
    </w:rPr>
  </w:style>
  <w:style w:type="character" w:customStyle="1" w:styleId="1386">
    <w:name w:val="福建正文缩进 Char11"/>
    <w:qFormat/>
    <w:uiPriority w:val="0"/>
    <w:rPr>
      <w:rFonts w:ascii="宋体" w:eastAsia="宋体"/>
      <w:kern w:val="2"/>
      <w:sz w:val="24"/>
      <w:szCs w:val="24"/>
      <w:lang w:val="en-US" w:eastAsia="zh-CN" w:bidi="ar-SA"/>
    </w:rPr>
  </w:style>
  <w:style w:type="character" w:customStyle="1" w:styleId="1387">
    <w:name w:val="批注框文本 Char41"/>
    <w:qFormat/>
    <w:uiPriority w:val="0"/>
    <w:rPr>
      <w:rFonts w:eastAsia="宋体"/>
      <w:kern w:val="2"/>
      <w:sz w:val="18"/>
      <w:szCs w:val="18"/>
      <w:lang w:val="en-US" w:eastAsia="zh-CN" w:bidi="ar-SA"/>
    </w:rPr>
  </w:style>
  <w:style w:type="character" w:customStyle="1" w:styleId="1388">
    <w:name w:val="font_141"/>
    <w:qFormat/>
    <w:uiPriority w:val="0"/>
    <w:rPr>
      <w:rFonts w:hint="default" w:ascii="ˎ̥" w:hAnsi="ˎ̥"/>
      <w:sz w:val="21"/>
    </w:rPr>
  </w:style>
  <w:style w:type="character" w:customStyle="1" w:styleId="1389">
    <w:name w:val="正文15 Char Char"/>
    <w:link w:val="1390"/>
    <w:qFormat/>
    <w:uiPriority w:val="0"/>
    <w:rPr>
      <w:sz w:val="28"/>
      <w:szCs w:val="28"/>
    </w:rPr>
  </w:style>
  <w:style w:type="paragraph" w:customStyle="1" w:styleId="1390">
    <w:name w:val="正文15"/>
    <w:basedOn w:val="1"/>
    <w:link w:val="1389"/>
    <w:qFormat/>
    <w:uiPriority w:val="0"/>
    <w:pPr>
      <w:overflowPunct w:val="0"/>
      <w:topLinePunct/>
      <w:snapToGrid w:val="0"/>
      <w:spacing w:line="360" w:lineRule="auto"/>
      <w:ind w:firstLine="567"/>
    </w:pPr>
    <w:rPr>
      <w:rFonts w:ascii="Times New Roman"/>
      <w:sz w:val="28"/>
      <w:szCs w:val="28"/>
    </w:rPr>
  </w:style>
  <w:style w:type="character" w:customStyle="1" w:styleId="1391">
    <w:name w:val="正文格式 Char3"/>
    <w:qFormat/>
    <w:uiPriority w:val="0"/>
    <w:rPr>
      <w:rFonts w:ascii="宋体" w:hAnsi="宋体" w:eastAsia="宋体"/>
      <w:kern w:val="2"/>
      <w:sz w:val="24"/>
      <w:szCs w:val="24"/>
      <w:lang w:val="en-US" w:eastAsia="zh-CN" w:bidi="ar-SA"/>
    </w:rPr>
  </w:style>
  <w:style w:type="character" w:customStyle="1" w:styleId="1392">
    <w:name w:val="Char Char315"/>
    <w:qFormat/>
    <w:uiPriority w:val="0"/>
    <w:rPr>
      <w:rFonts w:ascii="黑体" w:hAnsi="宋体" w:eastAsia="黑体"/>
      <w:b/>
      <w:bCs/>
      <w:kern w:val="2"/>
      <w:sz w:val="28"/>
      <w:szCs w:val="28"/>
      <w:lang w:val="en-US" w:eastAsia="zh-CN" w:bidi="ar-SA"/>
    </w:rPr>
  </w:style>
  <w:style w:type="character" w:customStyle="1" w:styleId="1393">
    <w:name w:val="题注 Char113"/>
    <w:qFormat/>
    <w:uiPriority w:val="0"/>
    <w:rPr>
      <w:rFonts w:ascii="黑体" w:hAnsi="Arial" w:eastAsia="黑体" w:cs="Arial"/>
      <w:b/>
      <w:kern w:val="2"/>
      <w:sz w:val="24"/>
      <w:szCs w:val="24"/>
      <w:lang w:val="en-US" w:eastAsia="zh-CN" w:bidi="ar-SA"/>
    </w:rPr>
  </w:style>
  <w:style w:type="character" w:customStyle="1" w:styleId="1394">
    <w:name w:val="样式 标题 3小标题小节标题H3h33rd level第二层条标题4标题 3 Char标题 3 Char Ch... Char Char Char2"/>
    <w:qFormat/>
    <w:uiPriority w:val="0"/>
    <w:rPr>
      <w:rFonts w:ascii="Arial" w:hAnsi="Arial" w:eastAsia="宋体"/>
      <w:b/>
      <w:bCs/>
      <w:kern w:val="32"/>
      <w:sz w:val="32"/>
      <w:szCs w:val="32"/>
      <w:lang w:val="en-US" w:eastAsia="zh-CN" w:bidi="ar-SA"/>
    </w:rPr>
  </w:style>
  <w:style w:type="character" w:customStyle="1" w:styleId="1395">
    <w:name w:val="标题 9 Char11"/>
    <w:qFormat/>
    <w:uiPriority w:val="0"/>
    <w:rPr>
      <w:rFonts w:ascii="Arial" w:hAnsi="Arial" w:eastAsia="黑体"/>
      <w:kern w:val="2"/>
      <w:sz w:val="21"/>
      <w:szCs w:val="21"/>
      <w:lang w:val="en-US" w:eastAsia="zh-CN" w:bidi="ar-SA"/>
    </w:rPr>
  </w:style>
  <w:style w:type="character" w:customStyle="1" w:styleId="1396">
    <w:name w:val="正文修改 Char141"/>
    <w:qFormat/>
    <w:uiPriority w:val="0"/>
  </w:style>
  <w:style w:type="character" w:customStyle="1" w:styleId="1397">
    <w:name w:val="正文首行缩进 Char1"/>
    <w:qFormat/>
    <w:uiPriority w:val="0"/>
    <w:rPr>
      <w:rFonts w:eastAsia="宋体"/>
      <w:kern w:val="2"/>
      <w:sz w:val="21"/>
      <w:szCs w:val="24"/>
      <w:lang w:val="en-US" w:eastAsia="zh-CN" w:bidi="ar-SA"/>
    </w:rPr>
  </w:style>
  <w:style w:type="character" w:customStyle="1" w:styleId="1398">
    <w:name w:val="标题 2 Char21"/>
    <w:qFormat/>
    <w:uiPriority w:val="0"/>
    <w:rPr>
      <w:rFonts w:ascii="黑体" w:hAnsi="Arial" w:eastAsia="黑体"/>
      <w:b/>
      <w:bCs/>
      <w:kern w:val="2"/>
      <w:sz w:val="30"/>
      <w:szCs w:val="30"/>
      <w:lang w:val="en-US" w:eastAsia="zh-CN" w:bidi="ar-SA"/>
    </w:rPr>
  </w:style>
  <w:style w:type="character" w:customStyle="1" w:styleId="1399">
    <w:name w:val="环评正文 Char11"/>
    <w:qFormat/>
    <w:uiPriority w:val="0"/>
    <w:rPr>
      <w:rFonts w:eastAsia="宋体"/>
      <w:bCs/>
      <w:kern w:val="2"/>
      <w:sz w:val="24"/>
      <w:szCs w:val="24"/>
      <w:lang w:val="en-US" w:eastAsia="zh-CN" w:bidi="ar-SA"/>
    </w:rPr>
  </w:style>
  <w:style w:type="character" w:customStyle="1" w:styleId="1400">
    <w:name w:val="标题 2 Char51"/>
    <w:qFormat/>
    <w:uiPriority w:val="0"/>
    <w:rPr>
      <w:rFonts w:ascii="黑体" w:hAnsi="Arial" w:eastAsia="黑体"/>
      <w:bCs/>
      <w:kern w:val="2"/>
      <w:sz w:val="30"/>
      <w:szCs w:val="30"/>
      <w:lang w:val="en-US" w:eastAsia="zh-CN" w:bidi="ar-SA"/>
    </w:rPr>
  </w:style>
  <w:style w:type="character" w:customStyle="1" w:styleId="1401">
    <w:name w:val="表格文字 Char Char1"/>
    <w:qFormat/>
    <w:uiPriority w:val="0"/>
    <w:rPr>
      <w:rFonts w:ascii="宋体" w:hAnsi="宋体" w:eastAsia="仿宋_GB2312" w:cs="宋体"/>
      <w:sz w:val="21"/>
      <w:szCs w:val="21"/>
      <w:lang w:val="en-US" w:eastAsia="zh-CN" w:bidi="ar-SA"/>
    </w:rPr>
  </w:style>
  <w:style w:type="character" w:customStyle="1" w:styleId="1402">
    <w:name w:val="Char Char510"/>
    <w:qFormat/>
    <w:uiPriority w:val="0"/>
    <w:rPr>
      <w:rFonts w:ascii="黑体" w:hAnsi="宋体" w:eastAsia="黑体"/>
      <w:bCs/>
      <w:kern w:val="2"/>
      <w:sz w:val="28"/>
      <w:szCs w:val="28"/>
      <w:lang w:val="en-US" w:eastAsia="zh-CN" w:bidi="ar-SA"/>
    </w:rPr>
  </w:style>
  <w:style w:type="character" w:customStyle="1" w:styleId="1403">
    <w:name w:val="表中文字 Char26"/>
    <w:qFormat/>
    <w:uiPriority w:val="0"/>
    <w:rPr>
      <w:rFonts w:ascii="宋体" w:eastAsia="宋体"/>
      <w:kern w:val="2"/>
      <w:sz w:val="21"/>
      <w:szCs w:val="21"/>
      <w:lang w:val="en-US" w:eastAsia="zh-CN" w:bidi="ar-SA"/>
    </w:rPr>
  </w:style>
  <w:style w:type="character" w:customStyle="1" w:styleId="1404">
    <w:name w:val="正文修改 Char1112"/>
    <w:qFormat/>
    <w:uiPriority w:val="0"/>
    <w:rPr>
      <w:rFonts w:ascii="宋体" w:hAnsi="宋体" w:eastAsia="宋体" w:cs="宋体"/>
      <w:color w:val="000000"/>
      <w:kern w:val="2"/>
      <w:sz w:val="24"/>
      <w:szCs w:val="24"/>
      <w:lang w:val="en-US" w:eastAsia="zh-CN" w:bidi="ar-SA"/>
    </w:rPr>
  </w:style>
  <w:style w:type="character" w:customStyle="1" w:styleId="1405">
    <w:name w:val="表题1 Char412"/>
    <w:qFormat/>
    <w:uiPriority w:val="0"/>
    <w:rPr>
      <w:rFonts w:ascii="黑体" w:hAnsi="Arial" w:eastAsia="黑体" w:cs="Arial"/>
      <w:b/>
      <w:kern w:val="2"/>
      <w:sz w:val="24"/>
      <w:szCs w:val="24"/>
      <w:lang w:val="en-US" w:eastAsia="zh-CN" w:bidi="ar-SA"/>
    </w:rPr>
  </w:style>
  <w:style w:type="character" w:customStyle="1" w:styleId="1406">
    <w:name w:val="题注 Char213"/>
    <w:qFormat/>
    <w:uiPriority w:val="0"/>
    <w:rPr>
      <w:rFonts w:ascii="黑体" w:hAnsi="Arial" w:eastAsia="黑体" w:cs="Arial"/>
      <w:b/>
      <w:kern w:val="2"/>
      <w:sz w:val="24"/>
      <w:szCs w:val="24"/>
      <w:lang w:val="en-US" w:eastAsia="zh-CN" w:bidi="ar-SA"/>
    </w:rPr>
  </w:style>
  <w:style w:type="character" w:customStyle="1" w:styleId="1407">
    <w:name w:val="样式 加宽量  0.4 磅"/>
    <w:qFormat/>
    <w:uiPriority w:val="0"/>
    <w:rPr>
      <w:spacing w:val="8"/>
    </w:rPr>
  </w:style>
  <w:style w:type="character" w:customStyle="1" w:styleId="1408">
    <w:name w:val="题注 Char63"/>
    <w:qFormat/>
    <w:uiPriority w:val="0"/>
    <w:rPr>
      <w:rFonts w:ascii="黑体" w:hAnsi="Arial" w:eastAsia="黑体" w:cs="Arial"/>
      <w:b/>
      <w:kern w:val="2"/>
      <w:sz w:val="24"/>
      <w:szCs w:val="24"/>
      <w:lang w:val="en-US" w:eastAsia="zh-CN" w:bidi="ar-SA"/>
    </w:rPr>
  </w:style>
  <w:style w:type="character" w:customStyle="1" w:styleId="1409">
    <w:name w:val="bltxt1"/>
    <w:qFormat/>
    <w:uiPriority w:val="0"/>
    <w:rPr>
      <w:color w:val="000000"/>
      <w:sz w:val="18"/>
      <w:szCs w:val="18"/>
      <w:u w:val="none"/>
    </w:rPr>
  </w:style>
  <w:style w:type="character" w:customStyle="1" w:styleId="1410">
    <w:name w:val="表题1 Char1"/>
    <w:qFormat/>
    <w:uiPriority w:val="0"/>
    <w:rPr>
      <w:rFonts w:ascii="黑体" w:hAnsi="Arial" w:eastAsia="黑体" w:cs="Arial"/>
      <w:kern w:val="2"/>
      <w:sz w:val="24"/>
      <w:szCs w:val="24"/>
      <w:lang w:val="en-US" w:eastAsia="zh-CN" w:bidi="ar-SA"/>
    </w:rPr>
  </w:style>
  <w:style w:type="character" w:customStyle="1" w:styleId="1411">
    <w:name w:val="样式 正文文本 + (中文) 黑体 红色 Char Char Char Char Char2"/>
    <w:qFormat/>
    <w:uiPriority w:val="0"/>
    <w:rPr>
      <w:rFonts w:eastAsia="黑体"/>
      <w:snapToGrid w:val="0"/>
      <w:color w:val="FF0000"/>
      <w:kern w:val="2"/>
      <w:sz w:val="24"/>
      <w:szCs w:val="24"/>
      <w:lang w:val="en-US" w:eastAsia="zh-CN" w:bidi="ar-SA"/>
    </w:rPr>
  </w:style>
  <w:style w:type="character" w:customStyle="1" w:styleId="1412">
    <w:name w:val="燕山正文 Char18"/>
    <w:qFormat/>
    <w:uiPriority w:val="0"/>
    <w:rPr>
      <w:rFonts w:ascii="宋体" w:eastAsia="宋体" w:cs="宋体"/>
      <w:kern w:val="2"/>
      <w:sz w:val="24"/>
      <w:szCs w:val="24"/>
      <w:lang w:val="en-US" w:eastAsia="zh-CN" w:bidi="ar-SA"/>
    </w:rPr>
  </w:style>
  <w:style w:type="character" w:customStyle="1" w:styleId="1413">
    <w:name w:val="Char Char216"/>
    <w:qFormat/>
    <w:uiPriority w:val="0"/>
    <w:rPr>
      <w:rFonts w:ascii="黑体" w:eastAsia="宋体"/>
      <w:kern w:val="2"/>
      <w:sz w:val="16"/>
      <w:szCs w:val="16"/>
      <w:lang w:val="en-US" w:eastAsia="zh-CN" w:bidi="ar-SA"/>
    </w:rPr>
  </w:style>
  <w:style w:type="character" w:customStyle="1" w:styleId="1414">
    <w:name w:val="正文首行缩进 2 Char12"/>
    <w:qFormat/>
    <w:uiPriority w:val="0"/>
    <w:rPr>
      <w:rFonts w:eastAsia="宋体"/>
      <w:kern w:val="2"/>
      <w:sz w:val="21"/>
      <w:szCs w:val="18"/>
      <w:lang w:val="en-US" w:eastAsia="zh-CN" w:bidi="ar-SA"/>
    </w:rPr>
  </w:style>
  <w:style w:type="character" w:customStyle="1" w:styleId="1415">
    <w:name w:val="表题1 Char72"/>
    <w:qFormat/>
    <w:uiPriority w:val="0"/>
    <w:rPr>
      <w:rFonts w:ascii="黑体" w:hAnsi="Arial" w:eastAsia="黑体" w:cs="Arial"/>
      <w:b/>
      <w:kern w:val="2"/>
      <w:sz w:val="24"/>
      <w:szCs w:val="24"/>
      <w:lang w:val="en-US" w:eastAsia="zh-CN" w:bidi="ar-SA"/>
    </w:rPr>
  </w:style>
  <w:style w:type="character" w:customStyle="1" w:styleId="1416">
    <w:name w:val="style61"/>
    <w:qFormat/>
    <w:uiPriority w:val="0"/>
    <w:rPr>
      <w:color w:val="666666"/>
      <w:sz w:val="20"/>
      <w:szCs w:val="20"/>
    </w:rPr>
  </w:style>
  <w:style w:type="character" w:customStyle="1" w:styleId="1417">
    <w:name w:val="正文文字缩进 2 Char Char Char Char"/>
    <w:qFormat/>
    <w:uiPriority w:val="0"/>
    <w:rPr>
      <w:rFonts w:ascii="宋体" w:hAnsi="宋体" w:eastAsia="宋体"/>
      <w:kern w:val="2"/>
      <w:sz w:val="24"/>
      <w:szCs w:val="24"/>
      <w:lang w:val="en-US" w:eastAsia="zh-CN" w:bidi="ar-SA"/>
    </w:rPr>
  </w:style>
  <w:style w:type="character" w:customStyle="1" w:styleId="1418">
    <w:name w:val="表题1 Char73"/>
    <w:qFormat/>
    <w:uiPriority w:val="0"/>
    <w:rPr>
      <w:rFonts w:ascii="黑体" w:hAnsi="Arial" w:eastAsia="黑体" w:cs="Arial"/>
      <w:b/>
      <w:kern w:val="2"/>
      <w:sz w:val="24"/>
      <w:szCs w:val="24"/>
      <w:lang w:val="en-US" w:eastAsia="zh-CN" w:bidi="ar-SA"/>
    </w:rPr>
  </w:style>
  <w:style w:type="character" w:customStyle="1" w:styleId="1419">
    <w:name w:val="Char Char420"/>
    <w:qFormat/>
    <w:uiPriority w:val="0"/>
    <w:rPr>
      <w:rFonts w:ascii="黑体" w:hAnsi="Arial" w:eastAsia="黑体"/>
      <w:b/>
      <w:bCs/>
      <w:kern w:val="2"/>
      <w:sz w:val="30"/>
      <w:szCs w:val="30"/>
      <w:lang w:val="en-US" w:eastAsia="zh-CN" w:bidi="ar-SA"/>
    </w:rPr>
  </w:style>
  <w:style w:type="character" w:customStyle="1" w:styleId="1420">
    <w:name w:val="正文斜体 Char2"/>
    <w:qFormat/>
    <w:uiPriority w:val="0"/>
    <w:rPr>
      <w:rFonts w:ascii="宋体" w:hAnsi="宋体" w:eastAsia="宋体" w:cs="宋体"/>
      <w:i/>
      <w:iCs/>
      <w:kern w:val="2"/>
      <w:sz w:val="24"/>
      <w:szCs w:val="24"/>
      <w:lang w:val="en-US" w:eastAsia="zh-CN" w:bidi="ar-SA"/>
    </w:rPr>
  </w:style>
  <w:style w:type="character" w:customStyle="1" w:styleId="1421">
    <w:name w:val="正文修改 Char122"/>
    <w:qFormat/>
    <w:uiPriority w:val="0"/>
    <w:rPr>
      <w:rFonts w:ascii="宋体" w:hAnsi="宋体" w:eastAsia="宋体" w:cs="宋体"/>
      <w:color w:val="000000"/>
      <w:kern w:val="2"/>
      <w:sz w:val="24"/>
      <w:szCs w:val="24"/>
      <w:lang w:val="en-US" w:eastAsia="zh-CN" w:bidi="ar-SA"/>
    </w:rPr>
  </w:style>
  <w:style w:type="character" w:customStyle="1" w:styleId="1422">
    <w:name w:val="标题 2 Char4"/>
    <w:qFormat/>
    <w:uiPriority w:val="0"/>
    <w:rPr>
      <w:rFonts w:ascii="黑体" w:hAnsi="Arial" w:eastAsia="黑体" w:cs="Times New Roman"/>
      <w:bCs/>
      <w:kern w:val="2"/>
      <w:sz w:val="30"/>
      <w:szCs w:val="30"/>
      <w:lang w:val="en-US" w:eastAsia="zh-CN" w:bidi="ar-SA"/>
    </w:rPr>
  </w:style>
  <w:style w:type="character" w:customStyle="1" w:styleId="1423">
    <w:name w:val="沥青表 Char Char"/>
    <w:qFormat/>
    <w:uiPriority w:val="0"/>
    <w:rPr>
      <w:rFonts w:eastAsia="宋体"/>
      <w:bCs/>
      <w:spacing w:val="10"/>
      <w:sz w:val="21"/>
      <w:szCs w:val="21"/>
      <w:lang w:val="en-US" w:eastAsia="zh-CN" w:bidi="ar-SA"/>
    </w:rPr>
  </w:style>
  <w:style w:type="character" w:customStyle="1" w:styleId="1424">
    <w:name w:val="正文样式 Char1"/>
    <w:qFormat/>
    <w:uiPriority w:val="0"/>
    <w:rPr>
      <w:rFonts w:ascii="宋体" w:hAnsi="宋体" w:eastAsia="宋体"/>
      <w:kern w:val="2"/>
      <w:sz w:val="24"/>
      <w:szCs w:val="24"/>
      <w:lang w:val="en-US" w:eastAsia="zh-CN" w:bidi="ar-SA"/>
    </w:rPr>
  </w:style>
  <w:style w:type="character" w:customStyle="1" w:styleId="1425">
    <w:name w:val="燕山正文 Char121"/>
    <w:qFormat/>
    <w:uiPriority w:val="0"/>
    <w:rPr>
      <w:rFonts w:ascii="宋体" w:eastAsia="宋体" w:cs="宋体"/>
      <w:kern w:val="2"/>
      <w:sz w:val="24"/>
      <w:szCs w:val="24"/>
      <w:lang w:val="en-US" w:eastAsia="zh-CN" w:bidi="ar-SA"/>
    </w:rPr>
  </w:style>
  <w:style w:type="character" w:customStyle="1" w:styleId="1426">
    <w:name w:val="正文修改 Char142"/>
    <w:qFormat/>
    <w:uiPriority w:val="0"/>
  </w:style>
  <w:style w:type="character" w:customStyle="1" w:styleId="1427">
    <w:name w:val="表格内字体 Char2"/>
    <w:qFormat/>
    <w:uiPriority w:val="0"/>
    <w:rPr>
      <w:rFonts w:ascii="宋体" w:hAnsi="宋体" w:eastAsia="宋体"/>
      <w:kern w:val="2"/>
      <w:sz w:val="21"/>
      <w:szCs w:val="24"/>
      <w:lang w:val="en-US" w:eastAsia="zh-CN" w:bidi="ar-SA"/>
    </w:rPr>
  </w:style>
  <w:style w:type="character" w:customStyle="1" w:styleId="1428">
    <w:name w:val="m_b21"/>
    <w:qFormat/>
    <w:uiPriority w:val="0"/>
    <w:rPr>
      <w:b/>
      <w:bCs/>
      <w:sz w:val="26"/>
      <w:szCs w:val="26"/>
    </w:rPr>
  </w:style>
  <w:style w:type="character" w:customStyle="1" w:styleId="1429">
    <w:name w:val="正文修改 Char1"/>
    <w:link w:val="1430"/>
    <w:qFormat/>
    <w:uiPriority w:val="0"/>
    <w:rPr>
      <w:rFonts w:ascii="宋体" w:hAnsi="宋体"/>
      <w:color w:val="000000"/>
      <w:sz w:val="24"/>
      <w:szCs w:val="24"/>
    </w:rPr>
  </w:style>
  <w:style w:type="paragraph" w:customStyle="1" w:styleId="1430">
    <w:name w:val="正文修改"/>
    <w:basedOn w:val="1264"/>
    <w:link w:val="1429"/>
    <w:qFormat/>
    <w:uiPriority w:val="0"/>
    <w:rPr>
      <w:rFonts w:hAnsi="宋体"/>
      <w:color w:val="000000"/>
    </w:rPr>
  </w:style>
  <w:style w:type="character" w:customStyle="1" w:styleId="1431">
    <w:name w:val="通舟正文 Char Char"/>
    <w:link w:val="1432"/>
    <w:qFormat/>
    <w:uiPriority w:val="0"/>
    <w:rPr>
      <w:rFonts w:eastAsia="仿宋_GB2312" w:cs="宋体"/>
      <w:sz w:val="28"/>
    </w:rPr>
  </w:style>
  <w:style w:type="paragraph" w:customStyle="1" w:styleId="1432">
    <w:name w:val="通舟正文"/>
    <w:basedOn w:val="1"/>
    <w:link w:val="1431"/>
    <w:qFormat/>
    <w:uiPriority w:val="0"/>
    <w:pPr>
      <w:widowControl/>
      <w:spacing w:beforeLines="50" w:line="440" w:lineRule="exact"/>
      <w:ind w:firstLine="200" w:firstLineChars="200"/>
      <w:jc w:val="left"/>
    </w:pPr>
    <w:rPr>
      <w:rFonts w:ascii="Times New Roman" w:eastAsia="仿宋_GB2312"/>
      <w:sz w:val="28"/>
    </w:rPr>
  </w:style>
  <w:style w:type="character" w:customStyle="1" w:styleId="1433">
    <w:name w:val="标题4 Char11"/>
    <w:qFormat/>
    <w:uiPriority w:val="0"/>
    <w:rPr>
      <w:rFonts w:ascii="黑体" w:hAnsi="Arial" w:eastAsia="黑体" w:cs="Times New Roman"/>
      <w:b/>
      <w:bCs/>
      <w:kern w:val="2"/>
      <w:sz w:val="24"/>
      <w:szCs w:val="28"/>
      <w:lang w:val="en-US" w:eastAsia="zh-CN" w:bidi="ar-SA"/>
    </w:rPr>
  </w:style>
  <w:style w:type="character" w:customStyle="1" w:styleId="1434">
    <w:name w:val="节 Char13"/>
    <w:qFormat/>
    <w:uiPriority w:val="0"/>
    <w:rPr>
      <w:rFonts w:ascii="黑体" w:hAnsi="Arial" w:eastAsia="黑体"/>
      <w:bCs/>
      <w:kern w:val="2"/>
      <w:sz w:val="30"/>
      <w:szCs w:val="30"/>
      <w:lang w:val="en-US" w:eastAsia="zh-CN" w:bidi="ar-SA"/>
    </w:rPr>
  </w:style>
  <w:style w:type="character" w:customStyle="1" w:styleId="1435">
    <w:name w:val="Char Char118"/>
    <w:qFormat/>
    <w:uiPriority w:val="0"/>
    <w:rPr>
      <w:rFonts w:ascii="黑体" w:hAnsi="Arial" w:eastAsia="黑体"/>
      <w:b/>
      <w:bCs/>
      <w:kern w:val="2"/>
      <w:sz w:val="30"/>
      <w:szCs w:val="30"/>
      <w:lang w:val="en-US" w:eastAsia="zh-CN" w:bidi="ar-SA"/>
    </w:rPr>
  </w:style>
  <w:style w:type="character" w:customStyle="1" w:styleId="1436">
    <w:name w:val="表格标题2 Char Char"/>
    <w:qFormat/>
    <w:uiPriority w:val="0"/>
    <w:rPr>
      <w:rFonts w:ascii="Arial" w:hAnsi="Arial"/>
      <w:kern w:val="2"/>
      <w:sz w:val="28"/>
      <w:szCs w:val="24"/>
    </w:rPr>
  </w:style>
  <w:style w:type="character" w:customStyle="1" w:styleId="1437">
    <w:name w:val="Char Char1113"/>
    <w:qFormat/>
    <w:uiPriority w:val="0"/>
    <w:rPr>
      <w:rFonts w:ascii="黑体" w:hAnsi="Arial" w:eastAsia="黑体"/>
      <w:bCs/>
      <w:kern w:val="2"/>
      <w:sz w:val="30"/>
      <w:szCs w:val="30"/>
      <w:lang w:val="en-US" w:eastAsia="zh-CN" w:bidi="ar-SA"/>
    </w:rPr>
  </w:style>
  <w:style w:type="character" w:customStyle="1" w:styleId="1438">
    <w:name w:val="标题 3 Char31"/>
    <w:qFormat/>
    <w:uiPriority w:val="0"/>
    <w:rPr>
      <w:rFonts w:ascii="黑体" w:hAnsi="宋体" w:eastAsia="黑体"/>
      <w:b/>
      <w:bCs/>
      <w:kern w:val="2"/>
      <w:sz w:val="28"/>
      <w:szCs w:val="28"/>
      <w:lang w:val="en-US" w:eastAsia="zh-CN" w:bidi="ar-SA"/>
    </w:rPr>
  </w:style>
  <w:style w:type="character" w:customStyle="1" w:styleId="1439">
    <w:name w:val="正文缩进 Char61"/>
    <w:qFormat/>
    <w:uiPriority w:val="0"/>
    <w:rPr>
      <w:rFonts w:ascii="宋体" w:hAnsi="宋体" w:eastAsia="宋体"/>
      <w:kern w:val="2"/>
      <w:sz w:val="24"/>
      <w:szCs w:val="24"/>
      <w:lang w:val="en-US" w:eastAsia="zh-CN" w:bidi="ar-SA"/>
    </w:rPr>
  </w:style>
  <w:style w:type="character" w:customStyle="1" w:styleId="1440">
    <w:name w:val="标题 3 Char3"/>
    <w:qFormat/>
    <w:uiPriority w:val="0"/>
    <w:rPr>
      <w:rFonts w:ascii="黑体" w:hAnsi="宋体" w:eastAsia="黑体"/>
      <w:b/>
      <w:bCs/>
      <w:kern w:val="2"/>
      <w:sz w:val="28"/>
      <w:szCs w:val="28"/>
      <w:lang w:val="en-US" w:eastAsia="zh-CN" w:bidi="ar-SA"/>
    </w:rPr>
  </w:style>
  <w:style w:type="character" w:customStyle="1" w:styleId="1441">
    <w:name w:val="俺的正文 Char Char"/>
    <w:link w:val="1442"/>
    <w:qFormat/>
    <w:uiPriority w:val="0"/>
    <w:rPr>
      <w:sz w:val="24"/>
      <w:szCs w:val="24"/>
    </w:rPr>
  </w:style>
  <w:style w:type="paragraph" w:customStyle="1" w:styleId="1442">
    <w:name w:val="俺的正文"/>
    <w:basedOn w:val="1"/>
    <w:link w:val="1441"/>
    <w:qFormat/>
    <w:uiPriority w:val="0"/>
    <w:pPr>
      <w:pBdr>
        <w:top w:val="single" w:color="auto" w:sz="4" w:space="1"/>
      </w:pBdr>
      <w:spacing w:line="460" w:lineRule="exact"/>
      <w:ind w:firstLine="200" w:firstLineChars="200"/>
    </w:pPr>
    <w:rPr>
      <w:rFonts w:ascii="Times New Roman"/>
      <w:szCs w:val="24"/>
    </w:rPr>
  </w:style>
  <w:style w:type="character" w:customStyle="1" w:styleId="1443">
    <w:name w:val="Char Char Char21"/>
    <w:qFormat/>
    <w:uiPriority w:val="0"/>
    <w:rPr>
      <w:rFonts w:eastAsia="宋体"/>
      <w:kern w:val="2"/>
      <w:sz w:val="21"/>
      <w:szCs w:val="24"/>
      <w:lang w:val="en-US" w:eastAsia="zh-CN" w:bidi="ar-SA"/>
    </w:rPr>
  </w:style>
  <w:style w:type="character" w:customStyle="1" w:styleId="1444">
    <w:name w:val="题注 Char7"/>
    <w:qFormat/>
    <w:uiPriority w:val="0"/>
    <w:rPr>
      <w:rFonts w:ascii="黑体" w:hAnsi="Arial" w:eastAsia="黑体" w:cs="Arial"/>
      <w:b/>
      <w:kern w:val="2"/>
      <w:sz w:val="24"/>
      <w:szCs w:val="24"/>
      <w:lang w:val="en-US" w:eastAsia="zh-CN" w:bidi="ar-SA"/>
    </w:rPr>
  </w:style>
  <w:style w:type="character" w:customStyle="1" w:styleId="1445">
    <w:name w:val="样式 标题 3 + 左侧:  0 厘米 首行缩进:  0 厘米 Char Char Char1"/>
    <w:qFormat/>
    <w:uiPriority w:val="0"/>
    <w:rPr>
      <w:rFonts w:eastAsia="宋体"/>
      <w:b/>
      <w:bCs/>
      <w:kern w:val="32"/>
      <w:sz w:val="32"/>
      <w:szCs w:val="32"/>
      <w:lang w:val="en-US" w:eastAsia="zh-CN" w:bidi="ar-SA"/>
    </w:rPr>
  </w:style>
  <w:style w:type="character" w:customStyle="1" w:styleId="1446">
    <w:name w:val="谏壁chen表格内文字 Char Char"/>
    <w:qFormat/>
    <w:uiPriority w:val="0"/>
    <w:rPr>
      <w:kern w:val="2"/>
      <w:sz w:val="21"/>
      <w:szCs w:val="21"/>
    </w:rPr>
  </w:style>
  <w:style w:type="character" w:customStyle="1" w:styleId="1447">
    <w:name w:val="Char Char1118"/>
    <w:qFormat/>
    <w:uiPriority w:val="0"/>
    <w:rPr>
      <w:rFonts w:ascii="黑体" w:hAnsi="Arial" w:eastAsia="黑体"/>
      <w:bCs/>
      <w:kern w:val="2"/>
      <w:sz w:val="30"/>
      <w:szCs w:val="30"/>
      <w:lang w:val="en-US" w:eastAsia="zh-CN" w:bidi="ar-SA"/>
    </w:rPr>
  </w:style>
  <w:style w:type="character" w:customStyle="1" w:styleId="1448">
    <w:name w:val="正文修改 Char114"/>
    <w:qFormat/>
    <w:uiPriority w:val="0"/>
    <w:rPr>
      <w:rFonts w:ascii="宋体" w:hAnsi="宋体" w:eastAsia="宋体" w:cs="宋体"/>
      <w:color w:val="000000"/>
      <w:kern w:val="2"/>
      <w:sz w:val="24"/>
      <w:szCs w:val="24"/>
      <w:lang w:val="en-US" w:eastAsia="zh-CN" w:bidi="ar-SA"/>
    </w:rPr>
  </w:style>
  <w:style w:type="character" w:customStyle="1" w:styleId="1449">
    <w:name w:val="Char Char611"/>
    <w:qFormat/>
    <w:uiPriority w:val="0"/>
    <w:rPr>
      <w:rFonts w:ascii="黑体" w:eastAsia="黑体"/>
      <w:b/>
      <w:bCs/>
      <w:kern w:val="2"/>
      <w:sz w:val="28"/>
      <w:szCs w:val="28"/>
      <w:lang w:val="en-US" w:eastAsia="zh-CN" w:bidi="ar-SA"/>
    </w:rPr>
  </w:style>
  <w:style w:type="character" w:customStyle="1" w:styleId="1450">
    <w:name w:val="正文文本缩进 Char3"/>
    <w:qFormat/>
    <w:uiPriority w:val="0"/>
    <w:rPr>
      <w:rFonts w:ascii="宋体" w:hAnsi="宋体" w:eastAsia="宋体" w:cs="宋体"/>
      <w:color w:val="000000"/>
      <w:kern w:val="2"/>
      <w:sz w:val="24"/>
      <w:szCs w:val="24"/>
      <w:lang w:val="en-US" w:eastAsia="zh-CN" w:bidi="ar-SA"/>
    </w:rPr>
  </w:style>
  <w:style w:type="character" w:customStyle="1" w:styleId="1451">
    <w:name w:val="表格内容 Char1"/>
    <w:qFormat/>
    <w:uiPriority w:val="0"/>
    <w:rPr>
      <w:rFonts w:eastAsia="宋体"/>
      <w:kern w:val="2"/>
      <w:sz w:val="21"/>
      <w:szCs w:val="21"/>
      <w:lang w:val="en-US" w:eastAsia="zh-CN" w:bidi="ar-SA"/>
    </w:rPr>
  </w:style>
  <w:style w:type="character" w:customStyle="1" w:styleId="1452">
    <w:name w:val="第二层条 Char3"/>
    <w:qFormat/>
    <w:uiPriority w:val="0"/>
    <w:rPr>
      <w:rFonts w:ascii="Arial" w:hAnsi="Arial" w:eastAsia="黑体"/>
      <w:sz w:val="24"/>
      <w:lang w:val="en-US" w:eastAsia="zh-CN" w:bidi="ar-SA"/>
    </w:rPr>
  </w:style>
  <w:style w:type="character" w:customStyle="1" w:styleId="1453">
    <w:name w:val="样式 标题 3 + 黑色 Char Char Char Char Char Char1"/>
    <w:qFormat/>
    <w:uiPriority w:val="0"/>
    <w:rPr>
      <w:rFonts w:eastAsia="宋体"/>
      <w:b/>
      <w:bCs/>
      <w:color w:val="000000"/>
      <w:kern w:val="2"/>
      <w:sz w:val="28"/>
      <w:szCs w:val="32"/>
      <w:lang w:val="en-US" w:eastAsia="zh-CN" w:bidi="ar-SA"/>
    </w:rPr>
  </w:style>
  <w:style w:type="character" w:customStyle="1" w:styleId="1454">
    <w:name w:val="Char Char6110"/>
    <w:qFormat/>
    <w:uiPriority w:val="0"/>
    <w:rPr>
      <w:rFonts w:ascii="黑体" w:eastAsia="黑体"/>
      <w:b/>
      <w:bCs/>
      <w:kern w:val="2"/>
      <w:sz w:val="28"/>
      <w:szCs w:val="28"/>
      <w:lang w:val="en-US" w:eastAsia="zh-CN" w:bidi="ar-SA"/>
    </w:rPr>
  </w:style>
  <w:style w:type="character" w:customStyle="1" w:styleId="1455">
    <w:name w:val="正文修改 Char143"/>
    <w:qFormat/>
    <w:uiPriority w:val="0"/>
    <w:rPr>
      <w:rFonts w:ascii="宋体" w:hAnsi="Times New Roman" w:eastAsia="宋体" w:cs="宋体"/>
      <w:kern w:val="2"/>
      <w:sz w:val="24"/>
      <w:szCs w:val="24"/>
      <w:lang w:val="en-US" w:eastAsia="zh-CN" w:bidi="ar-SA"/>
    </w:rPr>
  </w:style>
  <w:style w:type="character" w:customStyle="1" w:styleId="1456">
    <w:name w:val="正文修改 Char133"/>
    <w:qFormat/>
    <w:uiPriority w:val="0"/>
    <w:rPr>
      <w:rFonts w:ascii="宋体" w:hAnsi="宋体" w:eastAsia="宋体" w:cs="宋体"/>
      <w:color w:val="000000"/>
      <w:kern w:val="2"/>
      <w:sz w:val="24"/>
      <w:szCs w:val="24"/>
      <w:lang w:val="en-US" w:eastAsia="zh-CN" w:bidi="ar-SA"/>
    </w:rPr>
  </w:style>
  <w:style w:type="character" w:customStyle="1" w:styleId="1457">
    <w:name w:val="标题正文黑 Char2"/>
    <w:qFormat/>
    <w:uiPriority w:val="0"/>
    <w:rPr>
      <w:rFonts w:ascii="黑体" w:eastAsia="黑体"/>
      <w:kern w:val="2"/>
      <w:sz w:val="28"/>
      <w:szCs w:val="28"/>
      <w:lang w:val="en-US" w:eastAsia="zh-CN" w:bidi="ar-SA"/>
    </w:rPr>
  </w:style>
  <w:style w:type="character" w:customStyle="1" w:styleId="1458">
    <w:name w:val="报告 Char Char Char2"/>
    <w:qFormat/>
    <w:uiPriority w:val="0"/>
    <w:rPr>
      <w:rFonts w:eastAsia="宋体"/>
      <w:kern w:val="2"/>
      <w:sz w:val="24"/>
      <w:szCs w:val="24"/>
      <w:lang w:val="en-US" w:eastAsia="zh-CN" w:bidi="ar-SA"/>
    </w:rPr>
  </w:style>
  <w:style w:type="character" w:customStyle="1" w:styleId="1459">
    <w:name w:val="样式 标题 2节 + 宋体 左 Char Char"/>
    <w:qFormat/>
    <w:uiPriority w:val="0"/>
    <w:rPr>
      <w:rFonts w:ascii="宋体" w:hAnsi="宋体"/>
      <w:b/>
      <w:bCs/>
      <w:kern w:val="2"/>
      <w:sz w:val="28"/>
      <w:szCs w:val="24"/>
    </w:rPr>
  </w:style>
  <w:style w:type="character" w:customStyle="1" w:styleId="1460">
    <w:name w:val="Char Char317"/>
    <w:qFormat/>
    <w:uiPriority w:val="0"/>
    <w:rPr>
      <w:rFonts w:ascii="黑体" w:hAnsi="宋体" w:eastAsia="黑体"/>
      <w:b/>
      <w:bCs/>
      <w:kern w:val="2"/>
      <w:sz w:val="28"/>
      <w:szCs w:val="28"/>
      <w:lang w:val="en-US" w:eastAsia="zh-CN" w:bidi="ar-SA"/>
    </w:rPr>
  </w:style>
  <w:style w:type="character" w:customStyle="1" w:styleId="1461">
    <w:name w:val="正文修改 Char1113"/>
    <w:qFormat/>
    <w:uiPriority w:val="0"/>
    <w:rPr>
      <w:rFonts w:ascii="宋体" w:hAnsi="宋体" w:eastAsia="宋体" w:cs="宋体"/>
      <w:color w:val="000000"/>
      <w:kern w:val="2"/>
      <w:sz w:val="24"/>
      <w:szCs w:val="24"/>
      <w:lang w:val="en-US" w:eastAsia="zh-CN" w:bidi="ar-SA"/>
    </w:rPr>
  </w:style>
  <w:style w:type="character" w:customStyle="1" w:styleId="1462">
    <w:name w:val="题注 Char54"/>
    <w:qFormat/>
    <w:uiPriority w:val="0"/>
    <w:rPr>
      <w:rFonts w:ascii="黑体" w:hAnsi="Arial" w:eastAsia="黑体" w:cs="Arial"/>
      <w:b/>
      <w:kern w:val="2"/>
      <w:sz w:val="24"/>
      <w:szCs w:val="24"/>
      <w:lang w:val="en-US" w:eastAsia="zh-CN" w:bidi="ar-SA"/>
    </w:rPr>
  </w:style>
  <w:style w:type="character" w:customStyle="1" w:styleId="1463">
    <w:name w:val="Char Char44"/>
    <w:qFormat/>
    <w:uiPriority w:val="0"/>
    <w:rPr>
      <w:rFonts w:ascii="黑体" w:hAnsi="Arial" w:eastAsia="黑体"/>
      <w:b/>
      <w:bCs/>
      <w:kern w:val="2"/>
      <w:sz w:val="30"/>
      <w:szCs w:val="30"/>
      <w:lang w:val="en-US" w:eastAsia="zh-CN" w:bidi="ar-SA"/>
    </w:rPr>
  </w:style>
  <w:style w:type="character" w:customStyle="1" w:styleId="1464">
    <w:name w:val="题注 Char34"/>
    <w:qFormat/>
    <w:uiPriority w:val="0"/>
    <w:rPr>
      <w:rFonts w:ascii="黑体" w:hAnsi="Arial" w:eastAsia="黑体" w:cs="Arial"/>
      <w:b/>
      <w:kern w:val="2"/>
      <w:sz w:val="24"/>
      <w:szCs w:val="24"/>
      <w:lang w:val="en-US" w:eastAsia="zh-CN" w:bidi="ar-SA"/>
    </w:rPr>
  </w:style>
  <w:style w:type="character" w:customStyle="1" w:styleId="1465">
    <w:name w:val="表格小四 Char Char"/>
    <w:link w:val="1466"/>
    <w:qFormat/>
    <w:uiPriority w:val="0"/>
    <w:rPr>
      <w:rFonts w:ascii="宋体" w:hAnsi="宋体"/>
      <w:sz w:val="24"/>
      <w:szCs w:val="24"/>
    </w:rPr>
  </w:style>
  <w:style w:type="paragraph" w:customStyle="1" w:styleId="1466">
    <w:name w:val="表格小四"/>
    <w:basedOn w:val="1"/>
    <w:link w:val="1465"/>
    <w:qFormat/>
    <w:uiPriority w:val="0"/>
    <w:pPr>
      <w:adjustRightInd w:val="0"/>
      <w:snapToGrid w:val="0"/>
      <w:spacing w:line="480" w:lineRule="exact"/>
    </w:pPr>
    <w:rPr>
      <w:rFonts w:hAnsi="宋体"/>
      <w:szCs w:val="24"/>
    </w:rPr>
  </w:style>
  <w:style w:type="character" w:customStyle="1" w:styleId="1467">
    <w:name w:val="11p1"/>
    <w:qFormat/>
    <w:uiPriority w:val="0"/>
    <w:rPr>
      <w:sz w:val="21"/>
      <w:szCs w:val="21"/>
    </w:rPr>
  </w:style>
  <w:style w:type="character" w:customStyle="1" w:styleId="1468">
    <w:name w:val="河石1 Char14"/>
    <w:qFormat/>
    <w:uiPriority w:val="0"/>
    <w:rPr>
      <w:rFonts w:ascii="黑体" w:hAnsi="宋体" w:eastAsia="黑体"/>
      <w:bCs/>
      <w:kern w:val="44"/>
      <w:sz w:val="32"/>
      <w:szCs w:val="32"/>
      <w:lang w:val="en-US" w:eastAsia="zh-CN" w:bidi="ar-SA"/>
    </w:rPr>
  </w:style>
  <w:style w:type="character" w:customStyle="1" w:styleId="1469">
    <w:name w:val="标题 2 Char7"/>
    <w:qFormat/>
    <w:uiPriority w:val="0"/>
    <w:rPr>
      <w:rFonts w:ascii="黑体" w:hAnsi="Arial" w:eastAsia="黑体" w:cs="Times New Roman"/>
      <w:bCs/>
      <w:kern w:val="2"/>
      <w:sz w:val="30"/>
      <w:szCs w:val="30"/>
      <w:lang w:val="en-US" w:eastAsia="zh-CN" w:bidi="ar-SA"/>
    </w:rPr>
  </w:style>
  <w:style w:type="character" w:customStyle="1" w:styleId="1470">
    <w:name w:val="环表头 Char2"/>
    <w:qFormat/>
    <w:uiPriority w:val="0"/>
  </w:style>
  <w:style w:type="character" w:customStyle="1" w:styleId="1471">
    <w:name w:val="正文缩进 Char4"/>
    <w:qFormat/>
    <w:uiPriority w:val="0"/>
    <w:rPr>
      <w:rFonts w:ascii="宋体" w:hAnsi="宋体" w:eastAsia="宋体" w:cs="宋体"/>
      <w:color w:val="000000"/>
      <w:kern w:val="2"/>
      <w:sz w:val="24"/>
      <w:szCs w:val="24"/>
      <w:lang w:val="en-US" w:eastAsia="zh-CN" w:bidi="ar-SA"/>
    </w:rPr>
  </w:style>
  <w:style w:type="character" w:customStyle="1" w:styleId="1472">
    <w:name w:val="普通 (Web) Char Char"/>
    <w:qFormat/>
    <w:uiPriority w:val="0"/>
    <w:rPr>
      <w:rFonts w:ascii="宋体" w:hAnsi="宋体" w:eastAsia="宋体"/>
      <w:sz w:val="24"/>
      <w:lang w:val="en-US" w:eastAsia="zh-CN"/>
    </w:rPr>
  </w:style>
  <w:style w:type="character" w:customStyle="1" w:styleId="1473">
    <w:name w:val="stit16_g1"/>
    <w:qFormat/>
    <w:uiPriority w:val="0"/>
    <w:rPr>
      <w:rFonts w:hint="eastAsia" w:ascii="Gulim" w:hAnsi="Gulim" w:eastAsia="Gulim"/>
      <w:color w:val="1425D0"/>
      <w:sz w:val="16"/>
      <w:szCs w:val="16"/>
    </w:rPr>
  </w:style>
  <w:style w:type="character" w:customStyle="1" w:styleId="1474">
    <w:name w:val="Char Char616"/>
    <w:qFormat/>
    <w:uiPriority w:val="0"/>
    <w:rPr>
      <w:rFonts w:ascii="黑体" w:eastAsia="黑体"/>
      <w:b/>
      <w:bCs/>
      <w:kern w:val="2"/>
      <w:sz w:val="28"/>
      <w:szCs w:val="28"/>
      <w:lang w:val="en-US" w:eastAsia="zh-CN" w:bidi="ar-SA"/>
    </w:rPr>
  </w:style>
  <w:style w:type="character" w:customStyle="1" w:styleId="1475">
    <w:name w:val="燕山正文 Char111"/>
    <w:qFormat/>
    <w:uiPriority w:val="0"/>
    <w:rPr>
      <w:rFonts w:ascii="宋体" w:eastAsia="宋体" w:cs="宋体"/>
      <w:kern w:val="2"/>
      <w:sz w:val="24"/>
      <w:szCs w:val="24"/>
      <w:lang w:val="en-US" w:eastAsia="zh-CN" w:bidi="ar-SA"/>
    </w:rPr>
  </w:style>
  <w:style w:type="character" w:customStyle="1" w:styleId="1476">
    <w:name w:val="图题注 Char3"/>
    <w:qFormat/>
    <w:uiPriority w:val="0"/>
    <w:rPr>
      <w:rFonts w:ascii="黑体" w:hAnsi="Arial" w:eastAsia="黑体" w:cs="宋体"/>
      <w:b/>
      <w:bCs/>
      <w:kern w:val="2"/>
      <w:sz w:val="24"/>
      <w:szCs w:val="24"/>
      <w:lang w:val="en-US" w:eastAsia="zh-CN" w:bidi="ar-SA"/>
    </w:rPr>
  </w:style>
  <w:style w:type="character" w:customStyle="1" w:styleId="1477">
    <w:name w:val="章节 Char2"/>
    <w:qFormat/>
    <w:uiPriority w:val="0"/>
    <w:rPr>
      <w:rFonts w:ascii="楷体_GB2312" w:eastAsia="楷体_GB2312"/>
      <w:b/>
      <w:kern w:val="44"/>
      <w:sz w:val="30"/>
      <w:lang w:val="en-US" w:eastAsia="zh-CN" w:bidi="ar-SA"/>
    </w:rPr>
  </w:style>
  <w:style w:type="character" w:customStyle="1" w:styleId="1478">
    <w:name w:val="表格文本 Char Char"/>
    <w:qFormat/>
    <w:uiPriority w:val="0"/>
    <w:rPr>
      <w:rFonts w:ascii="Arial" w:hAnsi="Arial"/>
      <w:kern w:val="2"/>
      <w:sz w:val="21"/>
      <w:szCs w:val="24"/>
    </w:rPr>
  </w:style>
  <w:style w:type="character" w:customStyle="1" w:styleId="1479">
    <w:name w:val="燕山正文 Char141"/>
    <w:qFormat/>
    <w:uiPriority w:val="0"/>
    <w:rPr>
      <w:rFonts w:ascii="宋体" w:eastAsia="宋体" w:cs="宋体"/>
      <w:kern w:val="2"/>
      <w:sz w:val="24"/>
      <w:szCs w:val="24"/>
      <w:lang w:val="en-US" w:eastAsia="zh-CN" w:bidi="ar-SA"/>
    </w:rPr>
  </w:style>
  <w:style w:type="character" w:customStyle="1" w:styleId="1480">
    <w:name w:val="环评正文 Char3"/>
    <w:qFormat/>
    <w:uiPriority w:val="0"/>
    <w:rPr>
      <w:rFonts w:ascii="Times New Roman" w:hAnsi="Times New Roman" w:eastAsia="宋体" w:cs="Times New Roman"/>
      <w:bCs/>
      <w:kern w:val="2"/>
      <w:sz w:val="24"/>
      <w:szCs w:val="24"/>
      <w:lang w:val="en-US" w:eastAsia="zh-CN" w:bidi="ar-SA"/>
    </w:rPr>
  </w:style>
  <w:style w:type="character" w:customStyle="1" w:styleId="1481">
    <w:name w:val="正文缩进 Char6"/>
    <w:qFormat/>
    <w:uiPriority w:val="0"/>
    <w:rPr>
      <w:rFonts w:ascii="宋体" w:hAnsi="宋体" w:eastAsia="宋体"/>
      <w:kern w:val="2"/>
      <w:sz w:val="24"/>
      <w:szCs w:val="24"/>
      <w:lang w:val="en-US" w:eastAsia="zh-CN" w:bidi="ar-SA"/>
    </w:rPr>
  </w:style>
  <w:style w:type="character" w:customStyle="1" w:styleId="1482">
    <w:name w:val="标题 2 Char3"/>
    <w:qFormat/>
    <w:uiPriority w:val="0"/>
    <w:rPr>
      <w:rFonts w:ascii="黑体" w:hAnsi="Arial" w:eastAsia="黑体"/>
      <w:bCs/>
      <w:kern w:val="2"/>
      <w:sz w:val="30"/>
      <w:szCs w:val="30"/>
      <w:lang w:val="en-US" w:eastAsia="zh-CN" w:bidi="ar-SA"/>
    </w:rPr>
  </w:style>
  <w:style w:type="character" w:customStyle="1" w:styleId="1483">
    <w:name w:val="标题 4 Char2 Char"/>
    <w:qFormat/>
    <w:uiPriority w:val="9"/>
    <w:rPr>
      <w:rFonts w:ascii="Arial" w:hAnsi="Arial" w:eastAsia="黑体"/>
      <w:b/>
      <w:bCs/>
      <w:kern w:val="2"/>
      <w:sz w:val="28"/>
      <w:szCs w:val="28"/>
      <w:lang w:val="en-US" w:eastAsia="zh-CN" w:bidi="ar-SA"/>
    </w:rPr>
  </w:style>
  <w:style w:type="character" w:customStyle="1" w:styleId="1484">
    <w:name w:val="沥青正文 Char"/>
    <w:qFormat/>
    <w:uiPriority w:val="0"/>
    <w:rPr>
      <w:rFonts w:eastAsia="宋体"/>
      <w:kern w:val="2"/>
      <w:sz w:val="24"/>
      <w:szCs w:val="24"/>
      <w:lang w:val="en-US" w:eastAsia="zh-CN" w:bidi="ar-SA"/>
    </w:rPr>
  </w:style>
  <w:style w:type="character" w:customStyle="1" w:styleId="1485">
    <w:name w:val="批注框文本 Char21"/>
    <w:qFormat/>
    <w:uiPriority w:val="0"/>
    <w:rPr>
      <w:rFonts w:eastAsia="宋体"/>
      <w:kern w:val="2"/>
      <w:sz w:val="18"/>
      <w:szCs w:val="18"/>
      <w:lang w:val="en-US" w:eastAsia="zh-CN" w:bidi="ar-SA"/>
    </w:rPr>
  </w:style>
  <w:style w:type="character" w:customStyle="1" w:styleId="1486">
    <w:name w:val="标准 Char Char"/>
    <w:qFormat/>
    <w:uiPriority w:val="0"/>
    <w:rPr>
      <w:rFonts w:ascii="宋体" w:eastAsia="宋体"/>
      <w:sz w:val="28"/>
      <w:lang w:val="en-US" w:eastAsia="zh-CN" w:bidi="ar-SA"/>
    </w:rPr>
  </w:style>
  <w:style w:type="character" w:customStyle="1" w:styleId="1487">
    <w:name w:val="正文缩进 Ch Char"/>
    <w:qFormat/>
    <w:uiPriority w:val="0"/>
    <w:rPr>
      <w:rFonts w:eastAsia="宋体"/>
      <w:kern w:val="2"/>
      <w:sz w:val="21"/>
      <w:lang w:val="en-US" w:eastAsia="zh-CN" w:bidi="ar-SA"/>
    </w:rPr>
  </w:style>
  <w:style w:type="character" w:customStyle="1" w:styleId="1488">
    <w:name w:val="正文修改 Char16"/>
    <w:qFormat/>
    <w:uiPriority w:val="0"/>
    <w:rPr>
      <w:rFonts w:ascii="宋体" w:hAnsi="宋体" w:eastAsia="宋体" w:cs="宋体"/>
      <w:color w:val="000000"/>
      <w:kern w:val="2"/>
      <w:sz w:val="24"/>
      <w:szCs w:val="24"/>
      <w:lang w:val="en-US" w:eastAsia="zh-CN" w:bidi="ar-SA"/>
    </w:rPr>
  </w:style>
  <w:style w:type="character" w:customStyle="1" w:styleId="1489">
    <w:name w:val="copy2"/>
    <w:qFormat/>
    <w:uiPriority w:val="0"/>
    <w:rPr>
      <w:rFonts w:hint="eastAsia" w:ascii="宋体" w:hAnsi="宋体" w:eastAsia="宋体"/>
      <w:spacing w:val="24"/>
      <w:sz w:val="15"/>
      <w:szCs w:val="15"/>
    </w:rPr>
  </w:style>
  <w:style w:type="character" w:customStyle="1" w:styleId="1490">
    <w:name w:val="样式 正文文本 + (中文) 黑体 红色 Char Char Char Char Char Char Char"/>
    <w:qFormat/>
    <w:uiPriority w:val="0"/>
    <w:rPr>
      <w:rFonts w:eastAsia="黑体"/>
      <w:snapToGrid w:val="0"/>
      <w:color w:val="FF0000"/>
      <w:kern w:val="2"/>
      <w:sz w:val="24"/>
      <w:szCs w:val="24"/>
    </w:rPr>
  </w:style>
  <w:style w:type="character" w:customStyle="1" w:styleId="1491">
    <w:name w:val="Char Char516"/>
    <w:qFormat/>
    <w:uiPriority w:val="0"/>
    <w:rPr>
      <w:rFonts w:ascii="黑体" w:hAnsi="宋体" w:eastAsia="黑体"/>
      <w:bCs/>
      <w:kern w:val="2"/>
      <w:sz w:val="28"/>
      <w:szCs w:val="28"/>
      <w:lang w:val="en-US" w:eastAsia="zh-CN" w:bidi="ar-SA"/>
    </w:rPr>
  </w:style>
  <w:style w:type="character" w:customStyle="1" w:styleId="1492">
    <w:name w:val="Char Char35"/>
    <w:qFormat/>
    <w:uiPriority w:val="0"/>
    <w:rPr>
      <w:rFonts w:ascii="黑体" w:hAnsi="宋体" w:eastAsia="黑体"/>
      <w:b/>
      <w:bCs/>
      <w:kern w:val="2"/>
      <w:sz w:val="28"/>
      <w:szCs w:val="28"/>
      <w:lang w:val="en-US" w:eastAsia="zh-CN" w:bidi="ar-SA"/>
    </w:rPr>
  </w:style>
  <w:style w:type="character" w:customStyle="1" w:styleId="1493">
    <w:name w:val="Char Char312"/>
    <w:qFormat/>
    <w:uiPriority w:val="0"/>
    <w:rPr>
      <w:rFonts w:ascii="黑体" w:hAnsi="宋体" w:eastAsia="黑体"/>
      <w:b/>
      <w:bCs/>
      <w:kern w:val="2"/>
      <w:sz w:val="28"/>
      <w:szCs w:val="28"/>
      <w:lang w:val="en-US" w:eastAsia="zh-CN" w:bidi="ar-SA"/>
    </w:rPr>
  </w:style>
  <w:style w:type="character" w:customStyle="1" w:styleId="1494">
    <w:name w:val="Char Char1121"/>
    <w:qFormat/>
    <w:uiPriority w:val="0"/>
    <w:rPr>
      <w:rFonts w:ascii="黑体" w:hAnsi="Arial" w:eastAsia="黑体"/>
      <w:bCs/>
      <w:kern w:val="2"/>
      <w:sz w:val="30"/>
      <w:szCs w:val="30"/>
      <w:lang w:val="en-US" w:eastAsia="zh-CN" w:bidi="ar-SA"/>
    </w:rPr>
  </w:style>
  <w:style w:type="character" w:customStyle="1" w:styleId="1495">
    <w:name w:val="样式 表内小5 + 黑体 加粗 倾斜 下划线 Char51"/>
    <w:qFormat/>
    <w:uiPriority w:val="0"/>
    <w:rPr>
      <w:rFonts w:ascii="黑体" w:hAnsi="黑体" w:eastAsia="黑体"/>
      <w:b/>
      <w:bCs/>
      <w:i/>
      <w:iCs/>
      <w:kern w:val="2"/>
      <w:sz w:val="18"/>
      <w:szCs w:val="24"/>
      <w:u w:val="single"/>
      <w:lang w:val="en-US" w:eastAsia="zh-CN" w:bidi="ar-SA"/>
    </w:rPr>
  </w:style>
  <w:style w:type="character" w:customStyle="1" w:styleId="1496">
    <w:name w:val="标准文本 首行缩进: 2 字符 行距: 单倍 Char Char Char Char Char"/>
    <w:qFormat/>
    <w:uiPriority w:val="0"/>
    <w:rPr>
      <w:rFonts w:eastAsia="宋体"/>
      <w:kern w:val="2"/>
      <w:sz w:val="24"/>
      <w:szCs w:val="24"/>
      <w:lang w:val="en-US" w:eastAsia="zh-CN" w:bidi="ar-SA"/>
    </w:rPr>
  </w:style>
  <w:style w:type="character" w:customStyle="1" w:styleId="1497">
    <w:name w:val="p101"/>
    <w:qFormat/>
    <w:uiPriority w:val="0"/>
    <w:rPr>
      <w:rFonts w:hint="default" w:ascii="Verdana" w:hAnsi="Verdana"/>
      <w:sz w:val="21"/>
      <w:szCs w:val="21"/>
      <w:u w:val="none"/>
    </w:rPr>
  </w:style>
  <w:style w:type="character" w:customStyle="1" w:styleId="1498">
    <w:name w:val="Char Char57"/>
    <w:qFormat/>
    <w:uiPriority w:val="0"/>
    <w:rPr>
      <w:rFonts w:ascii="黑体" w:hAnsi="宋体" w:eastAsia="黑体"/>
      <w:bCs/>
      <w:kern w:val="2"/>
      <w:sz w:val="28"/>
      <w:szCs w:val="28"/>
      <w:lang w:val="en-US" w:eastAsia="zh-CN" w:bidi="ar-SA"/>
    </w:rPr>
  </w:style>
  <w:style w:type="character" w:customStyle="1" w:styleId="1499">
    <w:name w:val="正文缩进 Char32"/>
    <w:qFormat/>
    <w:uiPriority w:val="0"/>
    <w:rPr>
      <w:rFonts w:ascii="宋体" w:hAnsi="宋体" w:eastAsia="宋体" w:cs="宋体"/>
      <w:color w:val="000000"/>
      <w:kern w:val="0"/>
      <w:sz w:val="24"/>
      <w:szCs w:val="24"/>
      <w:lang w:val="en-US" w:eastAsia="zh-CN" w:bidi="ar-SA"/>
    </w:rPr>
  </w:style>
  <w:style w:type="character" w:customStyle="1" w:styleId="1500">
    <w:name w:val="表题1 Char611"/>
    <w:qFormat/>
    <w:uiPriority w:val="0"/>
    <w:rPr>
      <w:rFonts w:ascii="黑体" w:hAnsi="Arial" w:eastAsia="黑体" w:cs="Arial"/>
      <w:b/>
      <w:kern w:val="2"/>
      <w:sz w:val="24"/>
      <w:szCs w:val="24"/>
      <w:lang w:val="en-US" w:eastAsia="zh-CN" w:bidi="ar-SA"/>
    </w:rPr>
  </w:style>
  <w:style w:type="character" w:customStyle="1" w:styleId="1501">
    <w:name w:val="chang正文 Char Char"/>
    <w:link w:val="1502"/>
    <w:qFormat/>
    <w:uiPriority w:val="0"/>
    <w:rPr>
      <w:sz w:val="24"/>
      <w:szCs w:val="24"/>
    </w:rPr>
  </w:style>
  <w:style w:type="paragraph" w:customStyle="1" w:styleId="1502">
    <w:name w:val="chang正文"/>
    <w:basedOn w:val="1"/>
    <w:link w:val="1501"/>
    <w:qFormat/>
    <w:uiPriority w:val="0"/>
    <w:pPr>
      <w:spacing w:line="360" w:lineRule="auto"/>
      <w:ind w:firstLine="200" w:firstLineChars="200"/>
    </w:pPr>
    <w:rPr>
      <w:rFonts w:ascii="Times New Roman"/>
      <w:szCs w:val="24"/>
    </w:rPr>
  </w:style>
  <w:style w:type="character" w:customStyle="1" w:styleId="1503">
    <w:name w:val="样式 正文文本 + 红色 Char Char Char Char Char2"/>
    <w:qFormat/>
    <w:uiPriority w:val="0"/>
    <w:rPr>
      <w:rFonts w:eastAsia="仿宋_GB2312"/>
      <w:snapToGrid w:val="0"/>
      <w:color w:val="FF0000"/>
      <w:kern w:val="2"/>
      <w:sz w:val="24"/>
      <w:szCs w:val="24"/>
      <w:lang w:val="en-US" w:eastAsia="zh-CN" w:bidi="ar-SA"/>
    </w:rPr>
  </w:style>
  <w:style w:type="character" w:customStyle="1" w:styleId="1504">
    <w:name w:val="样式 标题 3 + 黑体 小四 左侧:  0.86 厘米 首行缩进:  0 厘米 Char Char Char2"/>
    <w:qFormat/>
    <w:uiPriority w:val="0"/>
    <w:rPr>
      <w:rFonts w:ascii="黑体" w:eastAsia="黑体"/>
      <w:b/>
      <w:bCs/>
      <w:color w:val="000000"/>
      <w:kern w:val="2"/>
      <w:sz w:val="24"/>
      <w:szCs w:val="24"/>
      <w:lang w:val="en-GB" w:eastAsia="zh-CN" w:bidi="ar-SA"/>
    </w:rPr>
  </w:style>
  <w:style w:type="character" w:customStyle="1" w:styleId="1505">
    <w:name w:val="正文文本 3 Char11"/>
    <w:qFormat/>
    <w:uiPriority w:val="0"/>
    <w:rPr>
      <w:rFonts w:eastAsia="宋体"/>
      <w:kern w:val="2"/>
      <w:sz w:val="16"/>
      <w:szCs w:val="16"/>
      <w:lang w:val="en-US" w:eastAsia="zh-CN" w:bidi="ar-SA"/>
    </w:rPr>
  </w:style>
  <w:style w:type="character" w:customStyle="1" w:styleId="1506">
    <w:name w:val="正文斜体 Char4"/>
    <w:qFormat/>
    <w:uiPriority w:val="0"/>
    <w:rPr>
      <w:rFonts w:ascii="宋体" w:hAnsi="宋体" w:eastAsia="宋体" w:cs="宋体"/>
      <w:i/>
      <w:iCs/>
      <w:kern w:val="2"/>
      <w:sz w:val="24"/>
      <w:szCs w:val="24"/>
      <w:lang w:val="en-US" w:eastAsia="zh-CN" w:bidi="ar-SA"/>
    </w:rPr>
  </w:style>
  <w:style w:type="character" w:customStyle="1" w:styleId="1507">
    <w:name w:val="样式 表格内字体 + Char2"/>
    <w:qFormat/>
    <w:uiPriority w:val="0"/>
    <w:rPr>
      <w:rFonts w:ascii="宋体" w:hAnsi="宋体" w:eastAsia="宋体"/>
      <w:kern w:val="2"/>
      <w:sz w:val="21"/>
      <w:szCs w:val="24"/>
      <w:lang w:val="en-US" w:eastAsia="zh-CN" w:bidi="ar-SA"/>
    </w:rPr>
  </w:style>
  <w:style w:type="character" w:customStyle="1" w:styleId="1508">
    <w:name w:val="表题1 Char10"/>
    <w:qFormat/>
    <w:uiPriority w:val="0"/>
    <w:rPr>
      <w:rFonts w:hAnsi="Arial" w:eastAsia="宋体" w:cs="Arial"/>
      <w:kern w:val="2"/>
      <w:sz w:val="24"/>
      <w:szCs w:val="24"/>
      <w:lang w:val="en-US" w:eastAsia="zh-CN" w:bidi="ar-SA"/>
    </w:rPr>
  </w:style>
  <w:style w:type="character" w:customStyle="1" w:styleId="1509">
    <w:name w:val="正文修改 Char1411"/>
    <w:qFormat/>
    <w:uiPriority w:val="0"/>
  </w:style>
  <w:style w:type="character" w:customStyle="1" w:styleId="1510">
    <w:name w:val="Char Char63"/>
    <w:qFormat/>
    <w:uiPriority w:val="0"/>
    <w:rPr>
      <w:rFonts w:ascii="黑体" w:eastAsia="黑体"/>
      <w:b/>
      <w:bCs/>
      <w:kern w:val="2"/>
      <w:sz w:val="28"/>
      <w:szCs w:val="28"/>
      <w:lang w:val="en-US" w:eastAsia="zh-CN" w:bidi="ar-SA"/>
    </w:rPr>
  </w:style>
  <w:style w:type="character" w:customStyle="1" w:styleId="1511">
    <w:name w:val="表格 Char Char"/>
    <w:qFormat/>
    <w:uiPriority w:val="0"/>
    <w:rPr>
      <w:rFonts w:ascii="Arial" w:hAnsi="Arial" w:eastAsia="华文细黑"/>
      <w:kern w:val="2"/>
      <w:sz w:val="21"/>
      <w:szCs w:val="30"/>
      <w:lang w:val="en-US" w:eastAsia="zh-CN" w:bidi="ar-SA"/>
    </w:rPr>
  </w:style>
  <w:style w:type="character" w:customStyle="1" w:styleId="1512">
    <w:name w:val="text1"/>
    <w:qFormat/>
    <w:uiPriority w:val="0"/>
    <w:rPr>
      <w:rFonts w:hint="default" w:ascii="ˎ̥" w:hAnsi="ˎ̥" w:eastAsia="宋体"/>
      <w:color w:val="000000"/>
      <w:kern w:val="2"/>
      <w:sz w:val="18"/>
      <w:szCs w:val="18"/>
      <w:u w:val="none"/>
      <w:lang w:val="en-US" w:eastAsia="zh-CN" w:bidi="ar-SA"/>
    </w:rPr>
  </w:style>
  <w:style w:type="character" w:customStyle="1" w:styleId="1513">
    <w:name w:val="Char Char53"/>
    <w:qFormat/>
    <w:uiPriority w:val="0"/>
    <w:rPr>
      <w:rFonts w:ascii="黑体" w:hAnsi="宋体" w:eastAsia="黑体"/>
      <w:bCs/>
      <w:kern w:val="2"/>
      <w:sz w:val="28"/>
      <w:szCs w:val="28"/>
      <w:lang w:val="en-US" w:eastAsia="zh-CN" w:bidi="ar-SA"/>
    </w:rPr>
  </w:style>
  <w:style w:type="character" w:customStyle="1" w:styleId="1514">
    <w:name w:val="表中文字 Char231"/>
    <w:qFormat/>
    <w:uiPriority w:val="0"/>
    <w:rPr>
      <w:rFonts w:ascii="宋体" w:eastAsia="宋体"/>
      <w:kern w:val="2"/>
      <w:sz w:val="21"/>
      <w:szCs w:val="21"/>
      <w:lang w:val="en-US" w:eastAsia="zh-CN" w:bidi="ar-SA"/>
    </w:rPr>
  </w:style>
  <w:style w:type="character" w:customStyle="1" w:styleId="1515">
    <w:name w:val="TOm"/>
    <w:qFormat/>
    <w:uiPriority w:val="0"/>
    <w:rPr>
      <w:rFonts w:ascii="Arial" w:hAnsi="Arial" w:eastAsia="MS Mincho"/>
      <w:spacing w:val="0"/>
      <w:position w:val="0"/>
      <w:sz w:val="20"/>
    </w:rPr>
  </w:style>
  <w:style w:type="character" w:customStyle="1" w:styleId="1516">
    <w:name w:val="样式 样式 样式 宋体 小四 行距: 多倍行距 1.4 字行2 + 黑色 + Times New Roman1 Char Char"/>
    <w:link w:val="1517"/>
    <w:qFormat/>
    <w:uiPriority w:val="0"/>
    <w:rPr>
      <w:color w:val="000000"/>
      <w:sz w:val="24"/>
    </w:rPr>
  </w:style>
  <w:style w:type="paragraph" w:customStyle="1" w:styleId="1517">
    <w:name w:val="样式 样式 样式 宋体 小四 行距: 多倍行距 1.4 字行2 + 黑色 + Times New Roman1"/>
    <w:basedOn w:val="1"/>
    <w:link w:val="1516"/>
    <w:qFormat/>
    <w:uiPriority w:val="0"/>
    <w:pPr>
      <w:spacing w:line="360" w:lineRule="auto"/>
      <w:ind w:firstLine="200" w:firstLineChars="200"/>
    </w:pPr>
    <w:rPr>
      <w:rFonts w:ascii="Times New Roman"/>
      <w:color w:val="000000"/>
    </w:rPr>
  </w:style>
  <w:style w:type="character" w:customStyle="1" w:styleId="1518">
    <w:name w:val="Char Char1210"/>
    <w:qFormat/>
    <w:uiPriority w:val="0"/>
    <w:rPr>
      <w:rFonts w:ascii="黑体" w:hAnsi="Arial" w:eastAsia="黑体"/>
      <w:b/>
      <w:bCs/>
      <w:kern w:val="2"/>
      <w:sz w:val="30"/>
      <w:szCs w:val="30"/>
      <w:lang w:val="en-US" w:eastAsia="zh-CN" w:bidi="ar-SA"/>
    </w:rPr>
  </w:style>
  <w:style w:type="character" w:customStyle="1" w:styleId="1519">
    <w:name w:val="样式 正文缩进 + 宋体 黑色 Char Char"/>
    <w:link w:val="1520"/>
    <w:qFormat/>
    <w:uiPriority w:val="0"/>
    <w:rPr>
      <w:rFonts w:ascii="宋体" w:hAnsi="宋体"/>
      <w:color w:val="000000"/>
      <w:sz w:val="24"/>
      <w:szCs w:val="24"/>
    </w:rPr>
  </w:style>
  <w:style w:type="paragraph" w:customStyle="1" w:styleId="1520">
    <w:name w:val="样式 正文缩进 + 宋体 黑色"/>
    <w:basedOn w:val="22"/>
    <w:link w:val="1519"/>
    <w:qFormat/>
    <w:uiPriority w:val="0"/>
    <w:pPr>
      <w:spacing w:line="360" w:lineRule="auto"/>
      <w:ind w:firstLine="200"/>
      <w:jc w:val="left"/>
    </w:pPr>
    <w:rPr>
      <w:rFonts w:hAnsi="宋体"/>
      <w:color w:val="000000"/>
    </w:rPr>
  </w:style>
  <w:style w:type="character" w:customStyle="1" w:styleId="1521">
    <w:name w:val="正文斜体 Char13"/>
    <w:qFormat/>
    <w:uiPriority w:val="0"/>
    <w:rPr>
      <w:rFonts w:hAnsi="宋体"/>
      <w:i/>
      <w:iCs/>
    </w:rPr>
  </w:style>
  <w:style w:type="character" w:customStyle="1" w:styleId="1522">
    <w:name w:val="正文图 Char Char Char Char"/>
    <w:link w:val="1523"/>
    <w:qFormat/>
    <w:uiPriority w:val="0"/>
    <w:rPr>
      <w:rFonts w:ascii="宋体" w:hAnsi="宋体"/>
      <w:sz w:val="24"/>
      <w:szCs w:val="28"/>
    </w:rPr>
  </w:style>
  <w:style w:type="paragraph" w:customStyle="1" w:styleId="1523">
    <w:name w:val="正文图 Char"/>
    <w:basedOn w:val="1"/>
    <w:link w:val="1522"/>
    <w:qFormat/>
    <w:uiPriority w:val="0"/>
    <w:pPr>
      <w:adjustRightInd w:val="0"/>
      <w:snapToGrid w:val="0"/>
      <w:jc w:val="center"/>
      <w:textAlignment w:val="baseline"/>
    </w:pPr>
    <w:rPr>
      <w:rFonts w:hAnsi="宋体"/>
      <w:szCs w:val="28"/>
    </w:rPr>
  </w:style>
  <w:style w:type="character" w:customStyle="1" w:styleId="1524">
    <w:name w:val="题1 Char Char"/>
    <w:link w:val="1525"/>
    <w:qFormat/>
    <w:uiPriority w:val="0"/>
    <w:rPr>
      <w:rFonts w:cs="Arial"/>
      <w:b/>
      <w:bCs/>
      <w:sz w:val="32"/>
      <w:szCs w:val="32"/>
    </w:rPr>
  </w:style>
  <w:style w:type="paragraph" w:customStyle="1" w:styleId="1525">
    <w:name w:val="题1"/>
    <w:basedOn w:val="84"/>
    <w:link w:val="1524"/>
    <w:qFormat/>
    <w:uiPriority w:val="0"/>
    <w:pPr>
      <w:adjustRightInd w:val="0"/>
      <w:snapToGrid w:val="0"/>
      <w:spacing w:before="120" w:after="120" w:line="360" w:lineRule="auto"/>
      <w:jc w:val="left"/>
    </w:pPr>
    <w:rPr>
      <w:rFonts w:ascii="Times New Roman" w:hAnsi="Times New Roman"/>
    </w:rPr>
  </w:style>
  <w:style w:type="character" w:customStyle="1" w:styleId="1526">
    <w:name w:val="标题 2 Char Char1"/>
    <w:qFormat/>
    <w:uiPriority w:val="0"/>
    <w:rPr>
      <w:rFonts w:ascii="仿宋_GB2312" w:hAnsi="Arial" w:eastAsia="仿宋_GB2312"/>
      <w:b/>
      <w:bCs/>
      <w:kern w:val="2"/>
      <w:sz w:val="28"/>
      <w:szCs w:val="32"/>
      <w:lang w:val="en-US" w:eastAsia="zh-CN" w:bidi="ar-SA"/>
    </w:rPr>
  </w:style>
  <w:style w:type="character" w:customStyle="1" w:styleId="1527">
    <w:name w:val="Char Char2115"/>
    <w:qFormat/>
    <w:uiPriority w:val="0"/>
    <w:rPr>
      <w:rFonts w:ascii="黑体" w:eastAsia="宋体"/>
      <w:kern w:val="2"/>
      <w:sz w:val="16"/>
      <w:szCs w:val="16"/>
      <w:lang w:val="en-US" w:eastAsia="zh-CN" w:bidi="ar-SA"/>
    </w:rPr>
  </w:style>
  <w:style w:type="character" w:customStyle="1" w:styleId="1528">
    <w:name w:val="正文修改 Char1412"/>
    <w:qFormat/>
    <w:uiPriority w:val="0"/>
    <w:rPr>
      <w:rFonts w:ascii="宋体" w:hAnsi="Times New Roman" w:eastAsia="宋体" w:cs="宋体"/>
      <w:kern w:val="2"/>
      <w:sz w:val="24"/>
      <w:szCs w:val="24"/>
      <w:lang w:val="en-US" w:eastAsia="zh-CN" w:bidi="ar-SA"/>
    </w:rPr>
  </w:style>
  <w:style w:type="character" w:customStyle="1" w:styleId="1529">
    <w:name w:val="标题 3 Char2"/>
    <w:qFormat/>
    <w:uiPriority w:val="0"/>
    <w:rPr>
      <w:rFonts w:ascii="黑体" w:hAnsi="宋体" w:eastAsia="黑体"/>
      <w:b/>
      <w:bCs/>
      <w:kern w:val="2"/>
      <w:sz w:val="28"/>
      <w:szCs w:val="28"/>
      <w:lang w:val="en-US" w:eastAsia="zh-CN" w:bidi="ar-SA"/>
    </w:rPr>
  </w:style>
  <w:style w:type="character" w:customStyle="1" w:styleId="1530">
    <w:name w:val="Char Char43"/>
    <w:qFormat/>
    <w:uiPriority w:val="0"/>
    <w:rPr>
      <w:rFonts w:ascii="黑体" w:hAnsi="Arial" w:eastAsia="黑体"/>
      <w:b/>
      <w:bCs/>
      <w:kern w:val="2"/>
      <w:sz w:val="30"/>
      <w:szCs w:val="30"/>
      <w:lang w:val="en-US" w:eastAsia="zh-CN" w:bidi="ar-SA"/>
    </w:rPr>
  </w:style>
  <w:style w:type="character" w:customStyle="1" w:styleId="1531">
    <w:name w:val="表格文字 Char Char3"/>
    <w:qFormat/>
    <w:uiPriority w:val="0"/>
    <w:rPr>
      <w:rFonts w:ascii="宋体" w:hAnsi="宋体" w:eastAsia="仿宋_GB2312" w:cs="宋体"/>
      <w:sz w:val="21"/>
      <w:szCs w:val="21"/>
      <w:lang w:val="en-US" w:eastAsia="zh-CN" w:bidi="ar-SA"/>
    </w:rPr>
  </w:style>
  <w:style w:type="character" w:customStyle="1" w:styleId="1532">
    <w:name w:val="正文文本缩进 3 Char31"/>
    <w:qFormat/>
    <w:uiPriority w:val="0"/>
    <w:rPr>
      <w:rFonts w:eastAsia="宋体"/>
      <w:kern w:val="2"/>
      <w:sz w:val="16"/>
      <w:szCs w:val="16"/>
      <w:lang w:val="en-US" w:eastAsia="zh-CN" w:bidi="ar-SA"/>
    </w:rPr>
  </w:style>
  <w:style w:type="character" w:customStyle="1" w:styleId="1533">
    <w:name w:val="Char Char34"/>
    <w:qFormat/>
    <w:uiPriority w:val="0"/>
    <w:rPr>
      <w:rFonts w:ascii="黑体" w:hAnsi="宋体" w:eastAsia="黑体"/>
      <w:b/>
      <w:bCs/>
      <w:kern w:val="2"/>
      <w:sz w:val="28"/>
      <w:szCs w:val="28"/>
      <w:lang w:val="en-US" w:eastAsia="zh-CN" w:bidi="ar-SA"/>
    </w:rPr>
  </w:style>
  <w:style w:type="character" w:customStyle="1" w:styleId="1534">
    <w:name w:val="题注 Char112"/>
    <w:qFormat/>
    <w:uiPriority w:val="0"/>
    <w:rPr>
      <w:rFonts w:ascii="黑体" w:hAnsi="Arial" w:eastAsia="黑体" w:cs="Arial"/>
      <w:b/>
      <w:kern w:val="2"/>
      <w:sz w:val="24"/>
      <w:szCs w:val="24"/>
      <w:lang w:val="en-US" w:eastAsia="zh-CN" w:bidi="ar-SA"/>
    </w:rPr>
  </w:style>
  <w:style w:type="character" w:customStyle="1" w:styleId="1535">
    <w:name w:val="样式 表内小5 + 黑体 加粗 倾斜 下划线 Char2"/>
    <w:qFormat/>
    <w:uiPriority w:val="0"/>
    <w:rPr>
      <w:rFonts w:ascii="黑体" w:hAnsi="黑体" w:eastAsia="黑体"/>
      <w:b/>
      <w:bCs/>
      <w:i/>
      <w:iCs/>
      <w:kern w:val="2"/>
      <w:sz w:val="18"/>
      <w:szCs w:val="24"/>
      <w:u w:val="single"/>
      <w:lang w:val="en-US" w:eastAsia="zh-CN" w:bidi="ar-SA"/>
    </w:rPr>
  </w:style>
  <w:style w:type="character" w:customStyle="1" w:styleId="1536">
    <w:name w:val="报告 Char Char Char1"/>
    <w:qFormat/>
    <w:uiPriority w:val="0"/>
    <w:rPr>
      <w:rFonts w:eastAsia="宋体"/>
      <w:kern w:val="2"/>
      <w:sz w:val="24"/>
      <w:szCs w:val="24"/>
      <w:lang w:val="en-US" w:eastAsia="zh-CN" w:bidi="ar-SA"/>
    </w:rPr>
  </w:style>
  <w:style w:type="character" w:customStyle="1" w:styleId="1537">
    <w:name w:val="样式 报告 + Times New Roman Char Char Char"/>
    <w:link w:val="1538"/>
    <w:qFormat/>
    <w:uiPriority w:val="0"/>
    <w:rPr>
      <w:sz w:val="28"/>
      <w:szCs w:val="28"/>
    </w:rPr>
  </w:style>
  <w:style w:type="paragraph" w:customStyle="1" w:styleId="1538">
    <w:name w:val="样式 报告 + Times New Roman"/>
    <w:basedOn w:val="290"/>
    <w:link w:val="1537"/>
    <w:qFormat/>
    <w:uiPriority w:val="0"/>
    <w:pPr>
      <w:spacing w:line="500" w:lineRule="exact"/>
    </w:pPr>
    <w:rPr>
      <w:rFonts w:ascii="Times New Roman" w:hAnsi="Times New Roman"/>
      <w:sz w:val="28"/>
      <w:szCs w:val="28"/>
    </w:rPr>
  </w:style>
  <w:style w:type="character" w:customStyle="1" w:styleId="1539">
    <w:name w:val="Char Char1117"/>
    <w:qFormat/>
    <w:uiPriority w:val="0"/>
    <w:rPr>
      <w:rFonts w:ascii="黑体" w:hAnsi="Arial" w:eastAsia="黑体"/>
      <w:bCs/>
      <w:kern w:val="2"/>
      <w:sz w:val="30"/>
      <w:szCs w:val="30"/>
      <w:lang w:val="en-US" w:eastAsia="zh-CN" w:bidi="ar-SA"/>
    </w:rPr>
  </w:style>
  <w:style w:type="character" w:customStyle="1" w:styleId="1540">
    <w:name w:val="Char Char39"/>
    <w:qFormat/>
    <w:uiPriority w:val="0"/>
    <w:rPr>
      <w:rFonts w:ascii="黑体" w:hAnsi="宋体" w:eastAsia="黑体"/>
      <w:b/>
      <w:bCs/>
      <w:kern w:val="2"/>
      <w:sz w:val="28"/>
      <w:szCs w:val="28"/>
      <w:lang w:val="en-US" w:eastAsia="zh-CN" w:bidi="ar-SA"/>
    </w:rPr>
  </w:style>
  <w:style w:type="character" w:customStyle="1" w:styleId="1541">
    <w:name w:val="三级标题 Char23"/>
    <w:qFormat/>
    <w:uiPriority w:val="0"/>
    <w:rPr>
      <w:rFonts w:ascii="黑体" w:hAnsi="宋体" w:eastAsia="黑体"/>
      <w:bCs/>
      <w:kern w:val="2"/>
      <w:sz w:val="28"/>
      <w:szCs w:val="28"/>
      <w:lang w:val="en-US" w:eastAsia="zh-CN" w:bidi="ar-SA"/>
    </w:rPr>
  </w:style>
  <w:style w:type="character" w:customStyle="1" w:styleId="1542">
    <w:name w:val="title1"/>
    <w:qFormat/>
    <w:uiPriority w:val="0"/>
    <w:rPr>
      <w:b/>
      <w:bCs/>
      <w:color w:val="336699"/>
      <w:sz w:val="24"/>
      <w:szCs w:val="24"/>
    </w:rPr>
  </w:style>
  <w:style w:type="character" w:customStyle="1" w:styleId="1543">
    <w:name w:val="样式 报告 + Times New Roman Char Char"/>
    <w:qFormat/>
    <w:uiPriority w:val="0"/>
    <w:rPr>
      <w:rFonts w:eastAsia="宋体"/>
      <w:kern w:val="2"/>
      <w:sz w:val="28"/>
      <w:szCs w:val="28"/>
      <w:lang w:val="en-US" w:eastAsia="zh-CN" w:bidi="ar-SA"/>
    </w:rPr>
  </w:style>
  <w:style w:type="character" w:customStyle="1" w:styleId="1544">
    <w:name w:val="批注框文本 Char5"/>
    <w:qFormat/>
    <w:uiPriority w:val="0"/>
    <w:rPr>
      <w:rFonts w:eastAsia="宋体"/>
      <w:kern w:val="2"/>
      <w:sz w:val="18"/>
      <w:szCs w:val="18"/>
      <w:lang w:val="en-US" w:eastAsia="zh-CN" w:bidi="ar-SA"/>
    </w:rPr>
  </w:style>
  <w:style w:type="character" w:customStyle="1" w:styleId="1545">
    <w:name w:val="图题 Char1"/>
    <w:qFormat/>
    <w:uiPriority w:val="0"/>
    <w:rPr>
      <w:rFonts w:ascii="黑体" w:hAnsi="宋体" w:eastAsia="黑体" w:cs="宋体"/>
      <w:b/>
      <w:bCs/>
      <w:kern w:val="2"/>
      <w:sz w:val="24"/>
      <w:szCs w:val="24"/>
      <w:lang w:val="en-US" w:eastAsia="zh-CN" w:bidi="ar-SA"/>
    </w:rPr>
  </w:style>
  <w:style w:type="character" w:customStyle="1" w:styleId="1546">
    <w:name w:val="表中文字 Char4"/>
    <w:qFormat/>
    <w:uiPriority w:val="0"/>
    <w:rPr>
      <w:rFonts w:ascii="Arial" w:hAnsi="Arial" w:eastAsia="宋体" w:cs="Times New Roman"/>
      <w:kern w:val="0"/>
      <w:sz w:val="20"/>
      <w:szCs w:val="24"/>
      <w:lang w:val="en-US" w:eastAsia="zh-TW" w:bidi="ar-SA"/>
    </w:rPr>
  </w:style>
  <w:style w:type="character" w:customStyle="1" w:styleId="1547">
    <w:name w:val="图题 Char2"/>
    <w:qFormat/>
    <w:uiPriority w:val="0"/>
    <w:rPr>
      <w:rFonts w:ascii="黑体" w:hAnsi="宋体" w:eastAsia="黑体" w:cs="宋体"/>
      <w:b/>
      <w:bCs/>
      <w:kern w:val="2"/>
      <w:sz w:val="24"/>
      <w:szCs w:val="24"/>
      <w:lang w:val="en-US" w:eastAsia="zh-CN" w:bidi="ar-SA"/>
    </w:rPr>
  </w:style>
  <w:style w:type="character" w:customStyle="1" w:styleId="1548">
    <w:name w:val="样式 表内小5 + 黑体 加粗 倾斜 下划线 Char5"/>
    <w:qFormat/>
    <w:uiPriority w:val="0"/>
    <w:rPr>
      <w:rFonts w:ascii="黑体" w:hAnsi="黑体" w:eastAsia="黑体"/>
      <w:b/>
      <w:bCs/>
      <w:i/>
      <w:iCs/>
      <w:kern w:val="2"/>
      <w:sz w:val="18"/>
      <w:szCs w:val="24"/>
      <w:u w:val="single"/>
      <w:lang w:val="en-US" w:eastAsia="zh-CN" w:bidi="ar-SA"/>
    </w:rPr>
  </w:style>
  <w:style w:type="character" w:customStyle="1" w:styleId="1549">
    <w:name w:val="MC SYSTEM"/>
    <w:qFormat/>
    <w:uiPriority w:val="0"/>
    <w:rPr>
      <w:rFonts w:ascii="Arial" w:hAnsi="Arial" w:eastAsia="宋体" w:cs="Arial"/>
      <w:color w:val="000080"/>
      <w:sz w:val="18"/>
      <w:szCs w:val="20"/>
    </w:rPr>
  </w:style>
  <w:style w:type="character" w:customStyle="1" w:styleId="1550">
    <w:name w:val="hhcwt正文 Char Char"/>
    <w:link w:val="1551"/>
    <w:qFormat/>
    <w:uiPriority w:val="0"/>
    <w:rPr>
      <w:rFonts w:cs="宋体"/>
      <w:sz w:val="24"/>
      <w:szCs w:val="24"/>
    </w:rPr>
  </w:style>
  <w:style w:type="paragraph" w:customStyle="1" w:styleId="1551">
    <w:name w:val="hhcwt正文"/>
    <w:basedOn w:val="1"/>
    <w:link w:val="1550"/>
    <w:qFormat/>
    <w:uiPriority w:val="0"/>
    <w:pPr>
      <w:spacing w:line="360" w:lineRule="auto"/>
      <w:ind w:firstLine="480" w:firstLineChars="200"/>
    </w:pPr>
    <w:rPr>
      <w:rFonts w:ascii="Times New Roman"/>
      <w:szCs w:val="24"/>
    </w:rPr>
  </w:style>
  <w:style w:type="character" w:customStyle="1" w:styleId="1552">
    <w:name w:val="标题 2 Char31"/>
    <w:qFormat/>
    <w:uiPriority w:val="0"/>
    <w:rPr>
      <w:rFonts w:ascii="黑体" w:hAnsi="Arial" w:eastAsia="黑体"/>
      <w:bCs/>
      <w:kern w:val="2"/>
      <w:sz w:val="30"/>
      <w:szCs w:val="30"/>
      <w:lang w:val="en-US" w:eastAsia="zh-CN" w:bidi="ar-SA"/>
    </w:rPr>
  </w:style>
  <w:style w:type="character" w:customStyle="1" w:styleId="1553">
    <w:name w:val="表中文字 Char221"/>
    <w:qFormat/>
    <w:uiPriority w:val="0"/>
    <w:rPr>
      <w:rFonts w:ascii="宋体" w:eastAsia="宋体"/>
      <w:kern w:val="2"/>
      <w:sz w:val="21"/>
      <w:szCs w:val="21"/>
      <w:lang w:val="en-US" w:eastAsia="zh-CN" w:bidi="ar-SA"/>
    </w:rPr>
  </w:style>
  <w:style w:type="character" w:customStyle="1" w:styleId="1554">
    <w:name w:val="正文首行缩进 2 Char2"/>
    <w:qFormat/>
    <w:uiPriority w:val="0"/>
    <w:rPr>
      <w:rFonts w:eastAsia="宋体"/>
      <w:kern w:val="2"/>
      <w:sz w:val="21"/>
      <w:szCs w:val="18"/>
      <w:lang w:val="en-US" w:eastAsia="zh-CN" w:bidi="ar-SA"/>
    </w:rPr>
  </w:style>
  <w:style w:type="character" w:customStyle="1" w:styleId="1555">
    <w:name w:val="题注 Char13"/>
    <w:qFormat/>
    <w:uiPriority w:val="0"/>
    <w:rPr>
      <w:rFonts w:ascii="黑体" w:hAnsi="Arial" w:eastAsia="黑体" w:cs="Arial"/>
      <w:b/>
      <w:kern w:val="2"/>
      <w:sz w:val="24"/>
      <w:szCs w:val="24"/>
      <w:lang w:val="en-US" w:eastAsia="zh-CN" w:bidi="ar-SA"/>
    </w:rPr>
  </w:style>
  <w:style w:type="character" w:customStyle="1" w:styleId="1556">
    <w:name w:val="注 Char3"/>
    <w:qFormat/>
    <w:uiPriority w:val="0"/>
    <w:rPr>
      <w:rFonts w:ascii="Arial" w:hAnsi="Arial" w:eastAsia="黑体"/>
      <w:kern w:val="2"/>
      <w:sz w:val="24"/>
      <w:szCs w:val="24"/>
      <w:lang w:val="en-US" w:eastAsia="zh-CN" w:bidi="ar-SA"/>
    </w:rPr>
  </w:style>
  <w:style w:type="character" w:customStyle="1" w:styleId="1557">
    <w:name w:val="标准文本 首行缩进: 2 字符 行距: 单倍 Char Char2"/>
    <w:qFormat/>
    <w:uiPriority w:val="0"/>
    <w:rPr>
      <w:rFonts w:eastAsia="宋体"/>
      <w:kern w:val="2"/>
      <w:sz w:val="24"/>
      <w:szCs w:val="24"/>
      <w:lang w:val="en-US" w:eastAsia="zh-CN" w:bidi="ar-SA"/>
    </w:rPr>
  </w:style>
  <w:style w:type="character" w:customStyle="1" w:styleId="1558">
    <w:name w:val="谏壁chen表格内文字 Char Char Char2"/>
    <w:qFormat/>
    <w:uiPriority w:val="0"/>
    <w:rPr>
      <w:rFonts w:eastAsia="宋体"/>
      <w:kern w:val="2"/>
      <w:sz w:val="21"/>
      <w:szCs w:val="21"/>
      <w:lang w:val="en-US" w:eastAsia="zh-CN" w:bidi="ar-SA"/>
    </w:rPr>
  </w:style>
  <w:style w:type="character" w:customStyle="1" w:styleId="1559">
    <w:name w:val="正文29 Char Char"/>
    <w:link w:val="1560"/>
    <w:qFormat/>
    <w:uiPriority w:val="0"/>
    <w:rPr>
      <w:sz w:val="28"/>
      <w:szCs w:val="28"/>
    </w:rPr>
  </w:style>
  <w:style w:type="paragraph" w:customStyle="1" w:styleId="1560">
    <w:name w:val="正文29"/>
    <w:basedOn w:val="1"/>
    <w:link w:val="1559"/>
    <w:qFormat/>
    <w:uiPriority w:val="0"/>
    <w:pPr>
      <w:topLinePunct/>
      <w:snapToGrid w:val="0"/>
      <w:spacing w:line="580" w:lineRule="exact"/>
      <w:ind w:firstLine="567"/>
    </w:pPr>
    <w:rPr>
      <w:rFonts w:ascii="Times New Roman"/>
      <w:sz w:val="28"/>
      <w:szCs w:val="28"/>
    </w:rPr>
  </w:style>
  <w:style w:type="character" w:customStyle="1" w:styleId="1561">
    <w:name w:val="Char Char38"/>
    <w:qFormat/>
    <w:uiPriority w:val="0"/>
    <w:rPr>
      <w:rFonts w:ascii="黑体" w:hAnsi="宋体" w:eastAsia="黑体"/>
      <w:b/>
      <w:bCs/>
      <w:kern w:val="2"/>
      <w:sz w:val="28"/>
      <w:szCs w:val="28"/>
      <w:lang w:val="en-US" w:eastAsia="zh-CN" w:bidi="ar-SA"/>
    </w:rPr>
  </w:style>
  <w:style w:type="character" w:customStyle="1" w:styleId="1562">
    <w:name w:val="题注 Char21"/>
    <w:qFormat/>
    <w:uiPriority w:val="0"/>
    <w:rPr>
      <w:rFonts w:ascii="黑体" w:hAnsi="Arial" w:eastAsia="黑体" w:cs="Arial"/>
      <w:b/>
      <w:kern w:val="2"/>
      <w:sz w:val="24"/>
      <w:szCs w:val="24"/>
      <w:lang w:val="en-US" w:eastAsia="zh-CN" w:bidi="ar-SA"/>
    </w:rPr>
  </w:style>
  <w:style w:type="character" w:customStyle="1" w:styleId="1563">
    <w:name w:val="Char Char1131"/>
    <w:qFormat/>
    <w:uiPriority w:val="0"/>
    <w:rPr>
      <w:rFonts w:ascii="黑体" w:hAnsi="Arial" w:eastAsia="黑体"/>
      <w:bCs/>
      <w:kern w:val="2"/>
      <w:sz w:val="30"/>
      <w:szCs w:val="30"/>
      <w:lang w:val="en-US" w:eastAsia="zh-CN" w:bidi="ar-SA"/>
    </w:rPr>
  </w:style>
  <w:style w:type="character" w:customStyle="1" w:styleId="1564">
    <w:name w:val="表中文字 Char Char"/>
    <w:link w:val="1565"/>
    <w:qFormat/>
    <w:uiPriority w:val="0"/>
    <w:rPr>
      <w:rFonts w:ascii="Arial" w:hAnsi="Arial"/>
      <w:szCs w:val="24"/>
      <w:lang w:eastAsia="zh-TW"/>
    </w:rPr>
  </w:style>
  <w:style w:type="paragraph" w:customStyle="1" w:styleId="1565">
    <w:name w:val="表中文字4"/>
    <w:basedOn w:val="1"/>
    <w:link w:val="1564"/>
    <w:qFormat/>
    <w:uiPriority w:val="0"/>
    <w:pPr>
      <w:snapToGrid w:val="0"/>
      <w:spacing w:line="340" w:lineRule="exact"/>
      <w:ind w:firstLine="480" w:firstLineChars="200"/>
      <w:jc w:val="center"/>
    </w:pPr>
    <w:rPr>
      <w:rFonts w:ascii="Arial" w:hAnsi="Arial"/>
      <w:sz w:val="20"/>
      <w:szCs w:val="24"/>
      <w:lang w:eastAsia="zh-TW"/>
    </w:rPr>
  </w:style>
  <w:style w:type="character" w:customStyle="1" w:styleId="1566">
    <w:name w:val="Char Char Char1 Char Char Char Char Char Char Char Char Char Char Char Char Char Char Char Char Char1"/>
    <w:qFormat/>
    <w:uiPriority w:val="0"/>
    <w:rPr>
      <w:rFonts w:eastAsia="宋体"/>
      <w:kern w:val="2"/>
      <w:sz w:val="28"/>
      <w:szCs w:val="28"/>
      <w:lang w:val="en-US" w:eastAsia="zh-CN" w:bidi="ar-SA"/>
    </w:rPr>
  </w:style>
  <w:style w:type="character" w:customStyle="1" w:styleId="1567">
    <w:name w:val="亚行正文 Char Char"/>
    <w:link w:val="1568"/>
    <w:qFormat/>
    <w:uiPriority w:val="0"/>
    <w:rPr>
      <w:sz w:val="24"/>
      <w:szCs w:val="24"/>
    </w:rPr>
  </w:style>
  <w:style w:type="paragraph" w:customStyle="1" w:styleId="1568">
    <w:name w:val="亚行正文"/>
    <w:basedOn w:val="1"/>
    <w:link w:val="1567"/>
    <w:qFormat/>
    <w:uiPriority w:val="0"/>
    <w:pPr>
      <w:spacing w:line="480" w:lineRule="exact"/>
      <w:ind w:firstLine="480" w:firstLineChars="200"/>
    </w:pPr>
    <w:rPr>
      <w:rFonts w:ascii="Times New Roman"/>
      <w:szCs w:val="24"/>
    </w:rPr>
  </w:style>
  <w:style w:type="character" w:customStyle="1" w:styleId="1569">
    <w:name w:val="图题 Char11"/>
    <w:qFormat/>
    <w:uiPriority w:val="0"/>
    <w:rPr>
      <w:rFonts w:ascii="黑体" w:hAnsi="宋体" w:eastAsia="黑体" w:cs="宋体"/>
      <w:b/>
      <w:bCs/>
      <w:kern w:val="2"/>
      <w:sz w:val="24"/>
      <w:szCs w:val="24"/>
      <w:lang w:val="en-US" w:eastAsia="zh-CN" w:bidi="ar-SA"/>
    </w:rPr>
  </w:style>
  <w:style w:type="character" w:customStyle="1" w:styleId="1570">
    <w:name w:val="重点"/>
    <w:qFormat/>
    <w:uiPriority w:val="0"/>
    <w:rPr>
      <w:i/>
    </w:rPr>
  </w:style>
  <w:style w:type="character" w:customStyle="1" w:styleId="1571">
    <w:name w:val="题注 Char311"/>
    <w:qFormat/>
    <w:uiPriority w:val="0"/>
    <w:rPr>
      <w:rFonts w:ascii="黑体" w:hAnsi="Arial" w:eastAsia="黑体" w:cs="Arial"/>
      <w:b/>
      <w:kern w:val="2"/>
      <w:sz w:val="24"/>
      <w:szCs w:val="24"/>
      <w:lang w:val="en-US" w:eastAsia="zh-CN" w:bidi="ar-SA"/>
    </w:rPr>
  </w:style>
  <w:style w:type="character" w:customStyle="1" w:styleId="1572">
    <w:name w:val="标题 9 Char1"/>
    <w:qFormat/>
    <w:uiPriority w:val="9"/>
    <w:rPr>
      <w:rFonts w:ascii="Arial" w:hAnsi="Arial" w:eastAsia="黑体"/>
      <w:kern w:val="2"/>
      <w:sz w:val="21"/>
      <w:szCs w:val="21"/>
      <w:lang w:val="en-US" w:eastAsia="zh-CN" w:bidi="ar-SA"/>
    </w:rPr>
  </w:style>
  <w:style w:type="character" w:customStyle="1" w:styleId="1573">
    <w:name w:val="样式 仿宋_GB2312 四号"/>
    <w:qFormat/>
    <w:uiPriority w:val="0"/>
    <w:rPr>
      <w:rFonts w:ascii="仿宋_GB2312" w:hAnsi="仿宋_GB2312" w:eastAsia="仿宋_GB2312"/>
      <w:sz w:val="24"/>
    </w:rPr>
  </w:style>
  <w:style w:type="character" w:customStyle="1" w:styleId="1574">
    <w:name w:val="表题1 Char64"/>
    <w:qFormat/>
    <w:uiPriority w:val="0"/>
    <w:rPr>
      <w:rFonts w:ascii="黑体" w:hAnsi="Arial" w:eastAsia="黑体" w:cs="Arial"/>
      <w:b/>
      <w:kern w:val="2"/>
      <w:sz w:val="24"/>
      <w:szCs w:val="24"/>
      <w:lang w:val="en-US" w:eastAsia="zh-CN" w:bidi="ar-SA"/>
    </w:rPr>
  </w:style>
  <w:style w:type="character" w:customStyle="1" w:styleId="1575">
    <w:name w:val="环评正文 Char4"/>
    <w:qFormat/>
    <w:uiPriority w:val="0"/>
    <w:rPr>
      <w:rFonts w:eastAsia="宋体"/>
      <w:bCs/>
      <w:kern w:val="2"/>
      <w:sz w:val="24"/>
      <w:szCs w:val="24"/>
      <w:lang w:val="en-US" w:eastAsia="zh-CN" w:bidi="ar-SA"/>
    </w:rPr>
  </w:style>
  <w:style w:type="character" w:customStyle="1" w:styleId="1576">
    <w:name w:val="表题1 Char12"/>
    <w:qFormat/>
    <w:uiPriority w:val="0"/>
    <w:rPr>
      <w:rFonts w:hAnsi="Arial" w:eastAsia="宋体" w:cs="Arial"/>
      <w:kern w:val="2"/>
      <w:sz w:val="24"/>
      <w:szCs w:val="24"/>
      <w:lang w:val="en-US" w:eastAsia="zh-CN" w:bidi="ar-SA"/>
    </w:rPr>
  </w:style>
  <w:style w:type="character" w:customStyle="1" w:styleId="1577">
    <w:name w:val="Char Char Char1 Char Char Char Char Char Char Char Char Char Char Char Char Char Char Char Char Char Char Char Char"/>
    <w:qFormat/>
    <w:uiPriority w:val="0"/>
    <w:rPr>
      <w:rFonts w:eastAsia="宋体"/>
      <w:kern w:val="2"/>
      <w:sz w:val="28"/>
      <w:szCs w:val="28"/>
      <w:lang w:val="en-US" w:eastAsia="zh-CN" w:bidi="ar-SA"/>
    </w:rPr>
  </w:style>
  <w:style w:type="character" w:customStyle="1" w:styleId="1578">
    <w:name w:val="题3 Char Char"/>
    <w:link w:val="1579"/>
    <w:qFormat/>
    <w:uiPriority w:val="0"/>
    <w:rPr>
      <w:rFonts w:ascii="Arial" w:hAnsi="Arial"/>
      <w:b/>
      <w:bCs/>
      <w:sz w:val="28"/>
      <w:szCs w:val="28"/>
    </w:rPr>
  </w:style>
  <w:style w:type="paragraph" w:customStyle="1" w:styleId="1579">
    <w:name w:val="题3"/>
    <w:basedOn w:val="84"/>
    <w:link w:val="1578"/>
    <w:qFormat/>
    <w:uiPriority w:val="0"/>
    <w:pPr>
      <w:adjustRightInd w:val="0"/>
      <w:snapToGrid w:val="0"/>
      <w:spacing w:before="120" w:after="120" w:line="360" w:lineRule="auto"/>
      <w:jc w:val="left"/>
      <w:outlineLvl w:val="2"/>
    </w:pPr>
    <w:rPr>
      <w:sz w:val="28"/>
      <w:szCs w:val="28"/>
    </w:rPr>
  </w:style>
  <w:style w:type="character" w:customStyle="1" w:styleId="1580">
    <w:name w:val="样式 正文缩进 + 宋体 黑色 Char11"/>
    <w:qFormat/>
    <w:uiPriority w:val="0"/>
    <w:rPr>
      <w:rFonts w:ascii="宋体" w:hAnsi="宋体" w:eastAsia="宋体"/>
      <w:color w:val="000000"/>
      <w:kern w:val="2"/>
      <w:sz w:val="24"/>
      <w:szCs w:val="24"/>
      <w:lang w:val="en-US" w:eastAsia="zh-CN" w:bidi="ar-SA"/>
    </w:rPr>
  </w:style>
  <w:style w:type="character" w:customStyle="1" w:styleId="1581">
    <w:name w:val="标准文本 首行缩进: 2 字符 行距: 单倍 Char Char1"/>
    <w:qFormat/>
    <w:uiPriority w:val="0"/>
    <w:rPr>
      <w:rFonts w:eastAsia="宋体"/>
      <w:kern w:val="2"/>
      <w:sz w:val="24"/>
      <w:szCs w:val="24"/>
      <w:lang w:val="en-US" w:eastAsia="zh-CN" w:bidi="ar-SA"/>
    </w:rPr>
  </w:style>
  <w:style w:type="character" w:customStyle="1" w:styleId="1582">
    <w:name w:val="样式 标题 3 + 黑体 小四 左侧:  0.86 厘米 首行缩进:  0 厘米 Char Char Char1"/>
    <w:qFormat/>
    <w:uiPriority w:val="0"/>
    <w:rPr>
      <w:rFonts w:ascii="黑体" w:eastAsia="黑体"/>
      <w:b/>
      <w:bCs/>
      <w:color w:val="000000"/>
      <w:kern w:val="2"/>
      <w:sz w:val="24"/>
      <w:szCs w:val="24"/>
      <w:lang w:val="en-GB" w:eastAsia="zh-CN" w:bidi="ar-SA"/>
    </w:rPr>
  </w:style>
  <w:style w:type="character" w:customStyle="1" w:styleId="1583">
    <w:name w:val="A正文 Char11"/>
    <w:qFormat/>
    <w:uiPriority w:val="0"/>
    <w:rPr>
      <w:rFonts w:eastAsia="仿宋_GB2312"/>
      <w:kern w:val="2"/>
      <w:sz w:val="24"/>
      <w:szCs w:val="24"/>
      <w:lang w:val="en-US" w:eastAsia="zh-CN" w:bidi="ar-SA"/>
    </w:rPr>
  </w:style>
  <w:style w:type="character" w:customStyle="1" w:styleId="1584">
    <w:name w:val="Char Char22"/>
    <w:qFormat/>
    <w:uiPriority w:val="0"/>
    <w:rPr>
      <w:rFonts w:ascii="黑体" w:eastAsia="黑体"/>
      <w:b/>
      <w:bCs/>
      <w:kern w:val="2"/>
      <w:sz w:val="28"/>
      <w:szCs w:val="28"/>
      <w:lang w:val="en-US" w:eastAsia="zh-CN" w:bidi="ar-SA"/>
    </w:rPr>
  </w:style>
  <w:style w:type="character" w:customStyle="1" w:styleId="1585">
    <w:name w:val="表内5 Char1"/>
    <w:qFormat/>
    <w:uiPriority w:val="0"/>
    <w:rPr>
      <w:rFonts w:ascii="宋体" w:hAnsi="宋体" w:eastAsia="宋体" w:cs="Times New Roman"/>
      <w:kern w:val="2"/>
      <w:sz w:val="24"/>
      <w:szCs w:val="24"/>
      <w:lang w:val="en-US" w:eastAsia="zh-CN" w:bidi="ar-SA"/>
    </w:rPr>
  </w:style>
  <w:style w:type="character" w:customStyle="1" w:styleId="1586">
    <w:name w:val="标题 6 Char1"/>
    <w:qFormat/>
    <w:uiPriority w:val="9"/>
    <w:rPr>
      <w:rFonts w:ascii="Arial" w:hAnsi="Arial" w:eastAsia="黑体"/>
      <w:b/>
      <w:bCs/>
      <w:kern w:val="2"/>
      <w:sz w:val="24"/>
      <w:szCs w:val="24"/>
      <w:lang w:val="en-US" w:eastAsia="zh-CN" w:bidi="ar-SA"/>
    </w:rPr>
  </w:style>
  <w:style w:type="character" w:customStyle="1" w:styleId="1587">
    <w:name w:val="正文修改 Char14"/>
    <w:qFormat/>
    <w:uiPriority w:val="0"/>
  </w:style>
  <w:style w:type="character" w:customStyle="1" w:styleId="1588">
    <w:name w:val="b14-1-no1"/>
    <w:qFormat/>
    <w:uiPriority w:val="0"/>
    <w:rPr>
      <w:rFonts w:hint="default"/>
      <w:color w:val="2E2E2E"/>
      <w:sz w:val="20"/>
      <w:szCs w:val="20"/>
      <w:u w:val="none"/>
    </w:rPr>
  </w:style>
  <w:style w:type="character" w:customStyle="1" w:styleId="1589">
    <w:name w:val="Char Char624"/>
    <w:qFormat/>
    <w:uiPriority w:val="0"/>
    <w:rPr>
      <w:rFonts w:ascii="黑体" w:eastAsia="黑体"/>
      <w:b/>
      <w:bCs/>
      <w:kern w:val="2"/>
      <w:sz w:val="28"/>
      <w:szCs w:val="28"/>
      <w:lang w:val="en-US" w:eastAsia="zh-CN" w:bidi="ar-SA"/>
    </w:rPr>
  </w:style>
  <w:style w:type="character" w:customStyle="1" w:styleId="1590">
    <w:name w:val="正文修改 Char124"/>
    <w:qFormat/>
    <w:uiPriority w:val="0"/>
    <w:rPr>
      <w:rFonts w:ascii="宋体" w:hAnsi="宋体" w:eastAsia="宋体" w:cs="宋体"/>
      <w:color w:val="000000"/>
      <w:kern w:val="2"/>
      <w:sz w:val="24"/>
      <w:szCs w:val="24"/>
      <w:lang w:val="en-US" w:eastAsia="zh-CN" w:bidi="ar-SA"/>
    </w:rPr>
  </w:style>
  <w:style w:type="character" w:customStyle="1" w:styleId="1591">
    <w:name w:val="标题4 Char3"/>
    <w:qFormat/>
    <w:uiPriority w:val="0"/>
    <w:rPr>
      <w:rFonts w:ascii="黑体" w:hAnsi="Arial" w:eastAsia="黑体" w:cs="Times New Roman"/>
      <w:b/>
      <w:bCs/>
      <w:kern w:val="2"/>
      <w:sz w:val="24"/>
      <w:szCs w:val="28"/>
      <w:lang w:val="en-US" w:eastAsia="zh-CN" w:bidi="ar-SA"/>
    </w:rPr>
  </w:style>
  <w:style w:type="character" w:customStyle="1" w:styleId="1592">
    <w:name w:val="正文2 Char Char2"/>
    <w:qFormat/>
    <w:uiPriority w:val="0"/>
    <w:rPr>
      <w:rFonts w:eastAsia="仿宋_GB2312"/>
      <w:kern w:val="2"/>
      <w:sz w:val="24"/>
      <w:szCs w:val="24"/>
      <w:lang w:val="en-US" w:eastAsia="zh-CN" w:bidi="ar-SA"/>
    </w:rPr>
  </w:style>
  <w:style w:type="character" w:customStyle="1" w:styleId="1593">
    <w:name w:val="正文修改 Char153"/>
    <w:qFormat/>
    <w:uiPriority w:val="0"/>
    <w:rPr>
      <w:rFonts w:ascii="宋体" w:hAnsi="宋体" w:eastAsia="宋体" w:cs="宋体"/>
      <w:color w:val="000000"/>
      <w:kern w:val="2"/>
      <w:sz w:val="24"/>
      <w:szCs w:val="24"/>
      <w:lang w:val="en-US" w:eastAsia="zh-CN" w:bidi="ar-SA"/>
    </w:rPr>
  </w:style>
  <w:style w:type="character" w:customStyle="1" w:styleId="1594">
    <w:name w:val="Char Char1125"/>
    <w:qFormat/>
    <w:uiPriority w:val="0"/>
    <w:rPr>
      <w:rFonts w:ascii="黑体" w:hAnsi="Arial" w:eastAsia="黑体"/>
      <w:bCs/>
      <w:kern w:val="2"/>
      <w:sz w:val="30"/>
      <w:szCs w:val="30"/>
      <w:lang w:val="en-US" w:eastAsia="zh-CN" w:bidi="ar-SA"/>
    </w:rPr>
  </w:style>
  <w:style w:type="character" w:customStyle="1" w:styleId="1595">
    <w:name w:val="Char Char49"/>
    <w:qFormat/>
    <w:uiPriority w:val="0"/>
    <w:rPr>
      <w:rFonts w:ascii="黑体" w:hAnsi="Arial" w:eastAsia="黑体"/>
      <w:b/>
      <w:bCs/>
      <w:kern w:val="2"/>
      <w:sz w:val="30"/>
      <w:szCs w:val="30"/>
      <w:lang w:val="en-US" w:eastAsia="zh-CN" w:bidi="ar-SA"/>
    </w:rPr>
  </w:style>
  <w:style w:type="character" w:customStyle="1" w:styleId="1596">
    <w:name w:val="正文格式 Char51"/>
    <w:qFormat/>
    <w:uiPriority w:val="0"/>
    <w:rPr>
      <w:rFonts w:ascii="宋体" w:hAnsi="宋体" w:eastAsia="宋体"/>
      <w:kern w:val="2"/>
      <w:sz w:val="24"/>
      <w:szCs w:val="24"/>
      <w:lang w:val="en-US" w:eastAsia="zh-CN" w:bidi="ar-SA"/>
    </w:rPr>
  </w:style>
  <w:style w:type="character" w:customStyle="1" w:styleId="1597">
    <w:name w:val="正文修改 Char132"/>
    <w:qFormat/>
    <w:uiPriority w:val="0"/>
    <w:rPr>
      <w:rFonts w:ascii="宋体" w:hAnsi="宋体" w:eastAsia="宋体" w:cs="宋体"/>
      <w:color w:val="000000"/>
      <w:kern w:val="2"/>
      <w:sz w:val="24"/>
      <w:szCs w:val="24"/>
      <w:lang w:val="en-US" w:eastAsia="zh-CN" w:bidi="ar-SA"/>
    </w:rPr>
  </w:style>
  <w:style w:type="character" w:customStyle="1" w:styleId="1598">
    <w:name w:val="Char Char619"/>
    <w:qFormat/>
    <w:uiPriority w:val="0"/>
    <w:rPr>
      <w:rFonts w:ascii="黑体" w:eastAsia="黑体"/>
      <w:b/>
      <w:bCs/>
      <w:kern w:val="2"/>
      <w:sz w:val="28"/>
      <w:szCs w:val="28"/>
      <w:lang w:val="en-US" w:eastAsia="zh-CN" w:bidi="ar-SA"/>
    </w:rPr>
  </w:style>
  <w:style w:type="character" w:customStyle="1" w:styleId="1599">
    <w:name w:val="样式 表内小5 + 黑体 加粗 倾斜 下划线 Char Char"/>
    <w:link w:val="1600"/>
    <w:qFormat/>
    <w:uiPriority w:val="0"/>
    <w:rPr>
      <w:rFonts w:ascii="黑体" w:hAnsi="黑体" w:eastAsia="黑体"/>
      <w:b/>
      <w:bCs/>
      <w:i/>
      <w:iCs/>
      <w:sz w:val="18"/>
      <w:szCs w:val="24"/>
      <w:u w:val="single"/>
    </w:rPr>
  </w:style>
  <w:style w:type="paragraph" w:customStyle="1" w:styleId="1600">
    <w:name w:val="样式 表内小5 + 黑体 加粗 倾斜 下划线"/>
    <w:basedOn w:val="1"/>
    <w:link w:val="1599"/>
    <w:qFormat/>
    <w:uiPriority w:val="0"/>
    <w:pPr>
      <w:adjustRightInd w:val="0"/>
      <w:snapToGrid w:val="0"/>
      <w:spacing w:line="300" w:lineRule="auto"/>
      <w:jc w:val="left"/>
    </w:pPr>
    <w:rPr>
      <w:rFonts w:ascii="黑体" w:hAnsi="黑体" w:eastAsia="黑体"/>
      <w:b/>
      <w:bCs/>
      <w:i/>
      <w:iCs/>
      <w:sz w:val="18"/>
      <w:szCs w:val="24"/>
      <w:u w:val="single"/>
    </w:rPr>
  </w:style>
  <w:style w:type="character" w:customStyle="1" w:styleId="1601">
    <w:name w:val="正文斜体 Char11"/>
    <w:qFormat/>
    <w:uiPriority w:val="0"/>
    <w:rPr>
      <w:rFonts w:ascii="宋体" w:hAnsi="宋体" w:eastAsia="宋体" w:cs="宋体"/>
      <w:i/>
      <w:iCs/>
      <w:kern w:val="2"/>
      <w:sz w:val="24"/>
      <w:szCs w:val="24"/>
      <w:lang w:val="en-US" w:eastAsia="zh-CN" w:bidi="ar-SA"/>
    </w:rPr>
  </w:style>
  <w:style w:type="character" w:customStyle="1" w:styleId="1602">
    <w:name w:val="表头编号 Char1"/>
    <w:link w:val="1603"/>
    <w:qFormat/>
    <w:uiPriority w:val="0"/>
    <w:rPr>
      <w:b/>
      <w:color w:val="000000"/>
      <w:spacing w:val="-2"/>
      <w:sz w:val="18"/>
    </w:rPr>
  </w:style>
  <w:style w:type="paragraph" w:customStyle="1" w:styleId="1603">
    <w:name w:val="表头编号"/>
    <w:basedOn w:val="1"/>
    <w:link w:val="1602"/>
    <w:qFormat/>
    <w:uiPriority w:val="0"/>
    <w:pPr>
      <w:snapToGrid w:val="0"/>
      <w:spacing w:line="240" w:lineRule="atLeast"/>
      <w:jc w:val="right"/>
    </w:pPr>
    <w:rPr>
      <w:rFonts w:ascii="Times New Roman"/>
      <w:b/>
      <w:color w:val="000000"/>
      <w:spacing w:val="-2"/>
      <w:sz w:val="18"/>
    </w:rPr>
  </w:style>
  <w:style w:type="character" w:customStyle="1" w:styleId="1604">
    <w:name w:val="Char Char123"/>
    <w:qFormat/>
    <w:uiPriority w:val="0"/>
    <w:rPr>
      <w:rFonts w:ascii="黑体" w:hAnsi="Arial" w:eastAsia="黑体"/>
      <w:b/>
      <w:bCs/>
      <w:kern w:val="2"/>
      <w:sz w:val="30"/>
      <w:szCs w:val="30"/>
      <w:lang w:val="en-US" w:eastAsia="zh-CN" w:bidi="ar-SA"/>
    </w:rPr>
  </w:style>
  <w:style w:type="character" w:customStyle="1" w:styleId="1605">
    <w:name w:val="Char Char66"/>
    <w:qFormat/>
    <w:uiPriority w:val="0"/>
    <w:rPr>
      <w:rFonts w:ascii="黑体" w:eastAsia="黑体"/>
      <w:b/>
      <w:bCs/>
      <w:kern w:val="2"/>
      <w:sz w:val="28"/>
      <w:szCs w:val="28"/>
      <w:lang w:val="en-US" w:eastAsia="zh-CN" w:bidi="ar-SA"/>
    </w:rPr>
  </w:style>
  <w:style w:type="character" w:customStyle="1" w:styleId="1606">
    <w:name w:val="表题 Char4"/>
    <w:qFormat/>
    <w:uiPriority w:val="0"/>
    <w:rPr>
      <w:rFonts w:ascii="黑体" w:hAnsi="Arial" w:eastAsia="黑体" w:cs="Arial"/>
      <w:b/>
      <w:kern w:val="2"/>
      <w:sz w:val="24"/>
      <w:szCs w:val="24"/>
      <w:lang w:val="en-US" w:eastAsia="zh-CN" w:bidi="ar-SA"/>
    </w:rPr>
  </w:style>
  <w:style w:type="character" w:customStyle="1" w:styleId="1607">
    <w:name w:val="图题 Char Char"/>
    <w:link w:val="1608"/>
    <w:qFormat/>
    <w:uiPriority w:val="0"/>
    <w:rPr>
      <w:rFonts w:ascii="黑体" w:hAnsi="宋体" w:eastAsia="黑体"/>
      <w:b/>
      <w:bCs/>
      <w:sz w:val="24"/>
      <w:szCs w:val="24"/>
    </w:rPr>
  </w:style>
  <w:style w:type="paragraph" w:customStyle="1" w:styleId="1608">
    <w:name w:val="图题6"/>
    <w:basedOn w:val="239"/>
    <w:next w:val="239"/>
    <w:link w:val="1607"/>
    <w:qFormat/>
    <w:uiPriority w:val="0"/>
    <w:pPr>
      <w:ind w:firstLine="0"/>
      <w:jc w:val="center"/>
    </w:pPr>
    <w:rPr>
      <w:rFonts w:ascii="黑体" w:hAnsi="宋体" w:eastAsia="黑体" w:cs="Times New Roman"/>
      <w:b/>
      <w:bCs/>
    </w:rPr>
  </w:style>
  <w:style w:type="character" w:customStyle="1" w:styleId="1609">
    <w:name w:val="richtextmngstyle1"/>
    <w:qFormat/>
    <w:uiPriority w:val="0"/>
    <w:rPr>
      <w:color w:val="000000"/>
      <w:spacing w:val="15"/>
      <w:sz w:val="21"/>
      <w:szCs w:val="21"/>
      <w:u w:val="none"/>
    </w:rPr>
  </w:style>
  <w:style w:type="character" w:customStyle="1" w:styleId="1610">
    <w:name w:val="Char Char47"/>
    <w:qFormat/>
    <w:uiPriority w:val="0"/>
    <w:rPr>
      <w:rFonts w:ascii="黑体" w:hAnsi="Arial" w:eastAsia="黑体"/>
      <w:b/>
      <w:bCs/>
      <w:kern w:val="2"/>
      <w:sz w:val="30"/>
      <w:szCs w:val="30"/>
      <w:lang w:val="en-US" w:eastAsia="zh-CN" w:bidi="ar-SA"/>
    </w:rPr>
  </w:style>
  <w:style w:type="character" w:customStyle="1" w:styleId="1611">
    <w:name w:val="样式 表内小5 + 黑体 加粗 倾斜 下划线 Char4"/>
    <w:qFormat/>
    <w:uiPriority w:val="0"/>
    <w:rPr>
      <w:rFonts w:ascii="黑体" w:hAnsi="黑体" w:eastAsia="黑体"/>
      <w:b/>
      <w:bCs/>
      <w:i/>
      <w:iCs/>
      <w:kern w:val="2"/>
      <w:sz w:val="18"/>
      <w:szCs w:val="24"/>
      <w:u w:val="single"/>
      <w:lang w:val="en-US" w:eastAsia="zh-CN" w:bidi="ar-SA"/>
    </w:rPr>
  </w:style>
  <w:style w:type="character" w:customStyle="1" w:styleId="1612">
    <w:name w:val="标题 2 Char1 Char"/>
    <w:qFormat/>
    <w:uiPriority w:val="0"/>
    <w:rPr>
      <w:rFonts w:ascii="黑体" w:hAnsi="Arial" w:eastAsia="黑体"/>
      <w:b/>
      <w:bCs/>
      <w:kern w:val="2"/>
      <w:sz w:val="30"/>
      <w:szCs w:val="30"/>
      <w:lang w:val="en-US" w:eastAsia="zh-CN" w:bidi="ar-SA"/>
    </w:rPr>
  </w:style>
  <w:style w:type="character" w:customStyle="1" w:styleId="1613">
    <w:name w:val="页脚 Char3"/>
    <w:qFormat/>
    <w:uiPriority w:val="0"/>
    <w:rPr>
      <w:rFonts w:eastAsia="宋体"/>
      <w:kern w:val="2"/>
      <w:sz w:val="18"/>
      <w:szCs w:val="18"/>
      <w:lang w:val="en-US" w:eastAsia="zh-CN" w:bidi="ar-SA"/>
    </w:rPr>
  </w:style>
  <w:style w:type="character" w:customStyle="1" w:styleId="1614">
    <w:name w:val="正文格式 Char71"/>
    <w:qFormat/>
    <w:uiPriority w:val="0"/>
    <w:rPr>
      <w:rFonts w:ascii="宋体" w:hAnsi="宋体" w:eastAsia="宋体"/>
      <w:kern w:val="2"/>
      <w:sz w:val="24"/>
      <w:szCs w:val="24"/>
      <w:lang w:val="en-US" w:eastAsia="zh-CN" w:bidi="ar-SA"/>
    </w:rPr>
  </w:style>
  <w:style w:type="character" w:customStyle="1" w:styleId="1615">
    <w:name w:val="表格内容 Char Char"/>
    <w:qFormat/>
    <w:uiPriority w:val="0"/>
    <w:rPr>
      <w:rFonts w:eastAsia="宋体"/>
      <w:kern w:val="2"/>
      <w:sz w:val="21"/>
      <w:szCs w:val="21"/>
      <w:lang w:val="en-US" w:eastAsia="zh-CN" w:bidi="ar-SA"/>
    </w:rPr>
  </w:style>
  <w:style w:type="character" w:customStyle="1" w:styleId="1616">
    <w:name w:val="Char Char2114"/>
    <w:qFormat/>
    <w:uiPriority w:val="0"/>
    <w:rPr>
      <w:rFonts w:ascii="黑体" w:eastAsia="宋体"/>
      <w:kern w:val="2"/>
      <w:sz w:val="16"/>
      <w:szCs w:val="16"/>
      <w:lang w:val="en-US" w:eastAsia="zh-CN" w:bidi="ar-SA"/>
    </w:rPr>
  </w:style>
  <w:style w:type="character" w:customStyle="1" w:styleId="1617">
    <w:name w:val="Char Char11110"/>
    <w:qFormat/>
    <w:uiPriority w:val="0"/>
    <w:rPr>
      <w:rFonts w:ascii="黑体" w:hAnsi="Arial" w:eastAsia="黑体"/>
      <w:bCs/>
      <w:kern w:val="2"/>
      <w:sz w:val="30"/>
      <w:szCs w:val="30"/>
      <w:lang w:val="en-US" w:eastAsia="zh-CN" w:bidi="ar-SA"/>
    </w:rPr>
  </w:style>
  <w:style w:type="character" w:customStyle="1" w:styleId="1618">
    <w:name w:val="Char Char115"/>
    <w:qFormat/>
    <w:uiPriority w:val="0"/>
    <w:rPr>
      <w:rFonts w:ascii="黑体" w:hAnsi="Arial" w:eastAsia="黑体"/>
      <w:bCs/>
      <w:kern w:val="2"/>
      <w:sz w:val="30"/>
      <w:szCs w:val="30"/>
      <w:lang w:val="en-US" w:eastAsia="zh-CN" w:bidi="ar-SA"/>
    </w:rPr>
  </w:style>
  <w:style w:type="character" w:customStyle="1" w:styleId="1619">
    <w:name w:val="正文修改 Char111"/>
    <w:qFormat/>
    <w:uiPriority w:val="0"/>
    <w:rPr>
      <w:rFonts w:ascii="宋体" w:hAnsi="宋体" w:eastAsia="宋体" w:cs="宋体"/>
      <w:color w:val="000000"/>
      <w:kern w:val="2"/>
      <w:sz w:val="24"/>
      <w:szCs w:val="24"/>
      <w:lang w:val="en-US" w:eastAsia="zh-CN" w:bidi="ar-SA"/>
    </w:rPr>
  </w:style>
  <w:style w:type="character" w:customStyle="1" w:styleId="1620">
    <w:name w:val="zi41"/>
    <w:qFormat/>
    <w:uiPriority w:val="0"/>
    <w:rPr>
      <w:color w:val="FFFFFF"/>
      <w:sz w:val="24"/>
      <w:szCs w:val="24"/>
    </w:rPr>
  </w:style>
  <w:style w:type="character" w:customStyle="1" w:styleId="1621">
    <w:name w:val="汇报材料正文 Char Char"/>
    <w:link w:val="1622"/>
    <w:qFormat/>
    <w:uiPriority w:val="0"/>
    <w:rPr>
      <w:rFonts w:ascii="宋体" w:cs="宋体"/>
      <w:bCs/>
      <w:spacing w:val="16"/>
      <w:sz w:val="24"/>
    </w:rPr>
  </w:style>
  <w:style w:type="paragraph" w:customStyle="1" w:styleId="1622">
    <w:name w:val="汇报材料正文"/>
    <w:basedOn w:val="1"/>
    <w:link w:val="1621"/>
    <w:qFormat/>
    <w:uiPriority w:val="0"/>
    <w:pPr>
      <w:adjustRightInd w:val="0"/>
      <w:snapToGrid w:val="0"/>
      <w:spacing w:line="360" w:lineRule="auto"/>
      <w:ind w:firstLine="530" w:firstLineChars="200"/>
      <w:jc w:val="left"/>
    </w:pPr>
    <w:rPr>
      <w:bCs/>
      <w:spacing w:val="16"/>
    </w:rPr>
  </w:style>
  <w:style w:type="character" w:customStyle="1" w:styleId="1623">
    <w:name w:val="正文格式 Char41"/>
    <w:qFormat/>
    <w:uiPriority w:val="0"/>
    <w:rPr>
      <w:rFonts w:ascii="宋体" w:hAnsi="宋体" w:eastAsia="宋体"/>
      <w:kern w:val="2"/>
      <w:sz w:val="24"/>
      <w:szCs w:val="24"/>
      <w:lang w:val="en-US" w:eastAsia="zh-CN" w:bidi="ar-SA"/>
    </w:rPr>
  </w:style>
  <w:style w:type="character" w:customStyle="1" w:styleId="1624">
    <w:name w:val="正文文本 Char21"/>
    <w:qFormat/>
    <w:uiPriority w:val="0"/>
    <w:rPr>
      <w:rFonts w:eastAsia="宋体"/>
      <w:kern w:val="2"/>
      <w:sz w:val="21"/>
      <w:szCs w:val="24"/>
      <w:lang w:val="en-US" w:eastAsia="zh-CN" w:bidi="ar-SA"/>
    </w:rPr>
  </w:style>
  <w:style w:type="character" w:customStyle="1" w:styleId="1625">
    <w:name w:val="重点引导"/>
    <w:qFormat/>
    <w:uiPriority w:val="0"/>
    <w:rPr>
      <w:b/>
      <w:i/>
    </w:rPr>
  </w:style>
  <w:style w:type="character" w:customStyle="1" w:styleId="1626">
    <w:name w:val="表格内字体 Char4"/>
    <w:qFormat/>
    <w:uiPriority w:val="0"/>
    <w:rPr>
      <w:rFonts w:ascii="宋体" w:hAnsi="宋体" w:eastAsia="宋体"/>
      <w:kern w:val="2"/>
      <w:sz w:val="21"/>
      <w:szCs w:val="24"/>
      <w:lang w:val="en-US" w:eastAsia="zh-CN" w:bidi="ar-SA"/>
    </w:rPr>
  </w:style>
  <w:style w:type="character" w:customStyle="1" w:styleId="1627">
    <w:name w:val="环标3 Char Char"/>
    <w:qFormat/>
    <w:uiPriority w:val="0"/>
    <w:rPr>
      <w:rFonts w:ascii="宋体" w:hAnsi="宋体"/>
      <w:b/>
      <w:bCs/>
      <w:kern w:val="2"/>
      <w:sz w:val="28"/>
      <w:szCs w:val="28"/>
    </w:rPr>
  </w:style>
  <w:style w:type="character" w:customStyle="1" w:styleId="1628">
    <w:name w:val="9 Char Char Char Char"/>
    <w:qFormat/>
    <w:uiPriority w:val="0"/>
    <w:rPr>
      <w:rFonts w:eastAsia="宋体"/>
      <w:kern w:val="2"/>
      <w:sz w:val="28"/>
      <w:szCs w:val="28"/>
      <w:lang w:val="en-US" w:eastAsia="zh-CN" w:bidi="ar-SA"/>
    </w:rPr>
  </w:style>
  <w:style w:type="character" w:customStyle="1" w:styleId="1629">
    <w:name w:val="Char Char1124"/>
    <w:qFormat/>
    <w:uiPriority w:val="0"/>
    <w:rPr>
      <w:rFonts w:ascii="黑体" w:hAnsi="Arial" w:eastAsia="黑体"/>
      <w:bCs/>
      <w:kern w:val="2"/>
      <w:sz w:val="30"/>
      <w:szCs w:val="30"/>
      <w:lang w:val="en-US" w:eastAsia="zh-CN" w:bidi="ar-SA"/>
    </w:rPr>
  </w:style>
  <w:style w:type="character" w:customStyle="1" w:styleId="1630">
    <w:name w:val="图题注 Char2"/>
    <w:qFormat/>
    <w:uiPriority w:val="0"/>
    <w:rPr>
      <w:rFonts w:ascii="黑体" w:hAnsi="Arial" w:eastAsia="黑体" w:cs="宋体"/>
      <w:b/>
      <w:bCs/>
      <w:kern w:val="2"/>
      <w:sz w:val="24"/>
      <w:szCs w:val="24"/>
      <w:lang w:val="en-US" w:eastAsia="zh-CN" w:bidi="ar-SA"/>
    </w:rPr>
  </w:style>
  <w:style w:type="character" w:customStyle="1" w:styleId="1631">
    <w:name w:val="正文文本缩进 2 Char3"/>
    <w:qFormat/>
    <w:uiPriority w:val="0"/>
    <w:rPr>
      <w:rFonts w:ascii="Times New Roman" w:hAnsi="Times New Roman" w:eastAsia="宋体" w:cs="Times New Roman"/>
      <w:kern w:val="2"/>
      <w:sz w:val="24"/>
      <w:szCs w:val="24"/>
      <w:lang w:val="en-US" w:eastAsia="zh-CN" w:bidi="ar-SA"/>
    </w:rPr>
  </w:style>
  <w:style w:type="character" w:customStyle="1" w:styleId="1632">
    <w:name w:val="表中文字 Char23"/>
    <w:qFormat/>
    <w:uiPriority w:val="0"/>
    <w:rPr>
      <w:rFonts w:ascii="宋体" w:eastAsia="宋体"/>
      <w:kern w:val="2"/>
      <w:sz w:val="21"/>
      <w:szCs w:val="21"/>
      <w:lang w:val="en-US" w:eastAsia="zh-CN" w:bidi="ar-SA"/>
    </w:rPr>
  </w:style>
  <w:style w:type="character" w:customStyle="1" w:styleId="1633">
    <w:name w:val="attach-title1"/>
    <w:qFormat/>
    <w:uiPriority w:val="0"/>
    <w:rPr>
      <w:b/>
      <w:bCs/>
      <w:color w:val="008080"/>
      <w:sz w:val="27"/>
      <w:szCs w:val="27"/>
    </w:rPr>
  </w:style>
  <w:style w:type="character" w:customStyle="1" w:styleId="1634">
    <w:name w:val="上标"/>
    <w:qFormat/>
    <w:uiPriority w:val="0"/>
    <w:rPr>
      <w:spacing w:val="0"/>
      <w:position w:val="7"/>
      <w:sz w:val="21"/>
    </w:rPr>
  </w:style>
  <w:style w:type="character" w:customStyle="1" w:styleId="1635">
    <w:name w:val="正文格式 Char21"/>
    <w:qFormat/>
    <w:uiPriority w:val="0"/>
    <w:rPr>
      <w:rFonts w:ascii="宋体" w:hAnsi="宋体" w:eastAsia="宋体"/>
      <w:kern w:val="2"/>
      <w:sz w:val="24"/>
      <w:szCs w:val="24"/>
      <w:lang w:val="en-US" w:eastAsia="zh-CN" w:bidi="ar-SA"/>
    </w:rPr>
  </w:style>
  <w:style w:type="character" w:customStyle="1" w:styleId="1636">
    <w:name w:val="样式 表内小5 + 黑体 加粗 倾斜 下划线 Char52"/>
    <w:qFormat/>
    <w:uiPriority w:val="0"/>
    <w:rPr>
      <w:rFonts w:ascii="黑体" w:hAnsi="黑体" w:eastAsia="黑体"/>
      <w:b/>
      <w:bCs/>
      <w:i/>
      <w:iCs/>
      <w:kern w:val="2"/>
      <w:sz w:val="18"/>
      <w:szCs w:val="24"/>
      <w:u w:val="single"/>
      <w:lang w:val="en-US" w:eastAsia="zh-CN" w:bidi="ar-SA"/>
    </w:rPr>
  </w:style>
  <w:style w:type="character" w:customStyle="1" w:styleId="1637">
    <w:name w:val="标题 3 Char13"/>
    <w:qFormat/>
    <w:uiPriority w:val="0"/>
    <w:rPr>
      <w:rFonts w:ascii="黑体" w:hAnsi="宋体" w:eastAsia="黑体"/>
      <w:b/>
      <w:bCs/>
      <w:kern w:val="2"/>
      <w:sz w:val="28"/>
      <w:szCs w:val="28"/>
      <w:lang w:val="en-US" w:eastAsia="zh-CN" w:bidi="ar-SA"/>
    </w:rPr>
  </w:style>
  <w:style w:type="character" w:customStyle="1" w:styleId="1638">
    <w:name w:val="正文斜体 Char1"/>
    <w:qFormat/>
    <w:uiPriority w:val="0"/>
    <w:rPr>
      <w:rFonts w:ascii="宋体" w:hAnsi="宋体" w:eastAsia="宋体" w:cs="宋体"/>
      <w:i/>
      <w:iCs/>
      <w:kern w:val="2"/>
      <w:sz w:val="24"/>
      <w:szCs w:val="24"/>
      <w:lang w:val="en-US" w:eastAsia="zh-CN" w:bidi="ar-SA"/>
    </w:rPr>
  </w:style>
  <w:style w:type="character" w:customStyle="1" w:styleId="1639">
    <w:name w:val="T标题3级 Char Char"/>
    <w:link w:val="1640"/>
    <w:qFormat/>
    <w:uiPriority w:val="0"/>
    <w:rPr>
      <w:rFonts w:ascii="宋体" w:hAnsi="宋体"/>
      <w:bCs/>
      <w:kern w:val="24"/>
      <w:sz w:val="28"/>
      <w:szCs w:val="28"/>
    </w:rPr>
  </w:style>
  <w:style w:type="paragraph" w:customStyle="1" w:styleId="1640">
    <w:name w:val="T标题3级"/>
    <w:basedOn w:val="6"/>
    <w:next w:val="1"/>
    <w:link w:val="1639"/>
    <w:qFormat/>
    <w:uiPriority w:val="0"/>
    <w:pPr>
      <w:widowControl/>
      <w:tabs>
        <w:tab w:val="left" w:pos="233"/>
      </w:tabs>
      <w:overflowPunct w:val="0"/>
      <w:spacing w:beforeLines="50" w:afterLines="50" w:line="360" w:lineRule="auto"/>
      <w:ind w:left="2100" w:hanging="420"/>
      <w:jc w:val="left"/>
      <w:textAlignment w:val="baseline"/>
    </w:pPr>
    <w:rPr>
      <w:rFonts w:hAnsi="宋体"/>
      <w:b w:val="0"/>
      <w:kern w:val="24"/>
      <w:sz w:val="28"/>
      <w:szCs w:val="28"/>
    </w:rPr>
  </w:style>
  <w:style w:type="character" w:customStyle="1" w:styleId="1641">
    <w:name w:val="Char Char313"/>
    <w:qFormat/>
    <w:uiPriority w:val="0"/>
    <w:rPr>
      <w:rFonts w:ascii="黑体" w:hAnsi="宋体" w:eastAsia="黑体"/>
      <w:b/>
      <w:bCs/>
      <w:kern w:val="2"/>
      <w:sz w:val="28"/>
      <w:szCs w:val="28"/>
      <w:lang w:val="en-US" w:eastAsia="zh-CN" w:bidi="ar-SA"/>
    </w:rPr>
  </w:style>
  <w:style w:type="character" w:customStyle="1" w:styleId="1642">
    <w:name w:val="正文缩进 Char121"/>
    <w:qFormat/>
    <w:uiPriority w:val="0"/>
    <w:rPr>
      <w:rFonts w:ascii="宋体" w:hAnsi="宋体" w:eastAsia="宋体" w:cs="宋体"/>
      <w:color w:val="000000"/>
      <w:kern w:val="2"/>
      <w:sz w:val="24"/>
      <w:szCs w:val="24"/>
      <w:lang w:val="en-US" w:eastAsia="zh-CN" w:bidi="ar-SA"/>
    </w:rPr>
  </w:style>
  <w:style w:type="character" w:customStyle="1" w:styleId="1643">
    <w:name w:val="A正文 Char4"/>
    <w:qFormat/>
    <w:uiPriority w:val="0"/>
    <w:rPr>
      <w:rFonts w:eastAsia="仿宋_GB2312"/>
      <w:kern w:val="2"/>
      <w:sz w:val="24"/>
      <w:szCs w:val="24"/>
      <w:lang w:val="en-US" w:eastAsia="zh-CN" w:bidi="ar-SA"/>
    </w:rPr>
  </w:style>
  <w:style w:type="character" w:customStyle="1" w:styleId="1644">
    <w:name w:val="燕山正文 Char14"/>
    <w:qFormat/>
    <w:uiPriority w:val="0"/>
    <w:rPr>
      <w:rFonts w:ascii="宋体" w:eastAsia="宋体" w:cs="宋体"/>
      <w:kern w:val="2"/>
      <w:sz w:val="24"/>
      <w:szCs w:val="24"/>
      <w:lang w:val="en-US" w:eastAsia="zh-CN" w:bidi="ar-SA"/>
    </w:rPr>
  </w:style>
  <w:style w:type="character" w:customStyle="1" w:styleId="1645">
    <w:name w:val="正文修改 Char144"/>
    <w:qFormat/>
    <w:uiPriority w:val="0"/>
  </w:style>
  <w:style w:type="character" w:customStyle="1" w:styleId="1646">
    <w:name w:val="Char Char213"/>
    <w:qFormat/>
    <w:uiPriority w:val="0"/>
    <w:rPr>
      <w:rFonts w:ascii="黑体" w:eastAsia="宋体"/>
      <w:kern w:val="2"/>
      <w:sz w:val="16"/>
      <w:szCs w:val="16"/>
      <w:lang w:val="en-US" w:eastAsia="zh-CN" w:bidi="ar-SA"/>
    </w:rPr>
  </w:style>
  <w:style w:type="character" w:customStyle="1" w:styleId="1647">
    <w:name w:val="正文修改 Char12"/>
    <w:qFormat/>
    <w:uiPriority w:val="0"/>
    <w:rPr>
      <w:rFonts w:ascii="宋体" w:hAnsi="宋体" w:eastAsia="宋体" w:cs="宋体"/>
      <w:color w:val="000000"/>
      <w:kern w:val="2"/>
      <w:sz w:val="24"/>
      <w:szCs w:val="24"/>
      <w:lang w:val="en-US" w:eastAsia="zh-CN" w:bidi="ar-SA"/>
    </w:rPr>
  </w:style>
  <w:style w:type="character" w:customStyle="1" w:styleId="1648">
    <w:name w:val="正文格式 Char Char"/>
    <w:qFormat/>
    <w:uiPriority w:val="0"/>
    <w:rPr>
      <w:rFonts w:ascii="宋体" w:eastAsia="宋体" w:cs="宋体"/>
      <w:kern w:val="2"/>
      <w:sz w:val="24"/>
      <w:szCs w:val="24"/>
      <w:lang w:val="en-US" w:eastAsia="zh-CN" w:bidi="ar-SA"/>
    </w:rPr>
  </w:style>
  <w:style w:type="character" w:customStyle="1" w:styleId="1649">
    <w:name w:val="Char Char316"/>
    <w:qFormat/>
    <w:uiPriority w:val="0"/>
    <w:rPr>
      <w:rFonts w:ascii="黑体" w:hAnsi="宋体" w:eastAsia="黑体"/>
      <w:b/>
      <w:bCs/>
      <w:kern w:val="2"/>
      <w:sz w:val="28"/>
      <w:szCs w:val="28"/>
      <w:lang w:val="en-US" w:eastAsia="zh-CN" w:bidi="ar-SA"/>
    </w:rPr>
  </w:style>
  <w:style w:type="character" w:customStyle="1" w:styleId="1650">
    <w:name w:val="Char Char69"/>
    <w:qFormat/>
    <w:uiPriority w:val="0"/>
    <w:rPr>
      <w:rFonts w:ascii="黑体" w:eastAsia="黑体"/>
      <w:b/>
      <w:bCs/>
      <w:kern w:val="2"/>
      <w:sz w:val="28"/>
      <w:szCs w:val="28"/>
      <w:lang w:val="en-US" w:eastAsia="zh-CN" w:bidi="ar-SA"/>
    </w:rPr>
  </w:style>
  <w:style w:type="character" w:customStyle="1" w:styleId="1651">
    <w:name w:val="正文格式 Char6"/>
    <w:qFormat/>
    <w:uiPriority w:val="0"/>
    <w:rPr>
      <w:rFonts w:ascii="宋体" w:hAnsi="宋体" w:eastAsia="宋体" w:cs="Times New Roman"/>
      <w:kern w:val="2"/>
      <w:sz w:val="24"/>
      <w:szCs w:val="24"/>
      <w:lang w:val="en-US" w:eastAsia="zh-CN" w:bidi="ar-SA"/>
    </w:rPr>
  </w:style>
  <w:style w:type="character" w:customStyle="1" w:styleId="1652">
    <w:name w:val="正文格式 Char5"/>
    <w:qFormat/>
    <w:uiPriority w:val="0"/>
    <w:rPr>
      <w:rFonts w:ascii="宋体" w:hAnsi="宋体" w:eastAsia="宋体"/>
      <w:kern w:val="2"/>
      <w:sz w:val="24"/>
      <w:szCs w:val="24"/>
      <w:lang w:val="en-US" w:eastAsia="zh-CN" w:bidi="ar-SA"/>
    </w:rPr>
  </w:style>
  <w:style w:type="character" w:customStyle="1" w:styleId="1653">
    <w:name w:val="m11"/>
    <w:qFormat/>
    <w:uiPriority w:val="0"/>
    <w:rPr>
      <w:sz w:val="24"/>
      <w:szCs w:val="24"/>
    </w:rPr>
  </w:style>
  <w:style w:type="character" w:customStyle="1" w:styleId="1654">
    <w:name w:val="表内5 Char5"/>
    <w:qFormat/>
    <w:uiPriority w:val="0"/>
    <w:rPr>
      <w:rFonts w:ascii="宋体" w:hAnsi="宋体" w:eastAsia="宋体" w:cs="Times New Roman"/>
      <w:kern w:val="2"/>
      <w:sz w:val="24"/>
      <w:szCs w:val="24"/>
      <w:lang w:val="en-US" w:eastAsia="zh-CN" w:bidi="ar-SA"/>
    </w:rPr>
  </w:style>
  <w:style w:type="character" w:customStyle="1" w:styleId="1655">
    <w:name w:val="Char Char33"/>
    <w:qFormat/>
    <w:uiPriority w:val="0"/>
    <w:rPr>
      <w:rFonts w:ascii="黑体" w:hAnsi="宋体" w:eastAsia="黑体"/>
      <w:b/>
      <w:bCs/>
      <w:kern w:val="2"/>
      <w:sz w:val="28"/>
      <w:szCs w:val="28"/>
      <w:lang w:val="en-US" w:eastAsia="zh-CN" w:bidi="ar-SA"/>
    </w:rPr>
  </w:style>
  <w:style w:type="character" w:customStyle="1" w:styleId="1656">
    <w:name w:val="燕山正文 Char16"/>
    <w:qFormat/>
    <w:uiPriority w:val="0"/>
    <w:rPr>
      <w:rFonts w:ascii="宋体" w:eastAsia="宋体" w:cs="宋体"/>
      <w:kern w:val="2"/>
      <w:sz w:val="24"/>
      <w:szCs w:val="24"/>
      <w:lang w:val="en-US" w:eastAsia="zh-CN" w:bidi="ar-SA"/>
    </w:rPr>
  </w:style>
  <w:style w:type="character" w:customStyle="1" w:styleId="1657">
    <w:name w:val="题注 Char3"/>
    <w:qFormat/>
    <w:uiPriority w:val="0"/>
    <w:rPr>
      <w:rFonts w:ascii="黑体" w:hAnsi="Arial" w:eastAsia="黑体" w:cs="Arial"/>
      <w:b/>
      <w:kern w:val="2"/>
      <w:sz w:val="24"/>
      <w:szCs w:val="24"/>
      <w:lang w:val="en-US" w:eastAsia="zh-CN" w:bidi="ar-SA"/>
    </w:rPr>
  </w:style>
  <w:style w:type="character" w:customStyle="1" w:styleId="1658">
    <w:name w:val="样式 标题 3小标题小节标题H3h33rd level第二层条标题4标题 3 Char标题 3 Char Ch... Char Char Char1"/>
    <w:qFormat/>
    <w:uiPriority w:val="0"/>
    <w:rPr>
      <w:rFonts w:ascii="Arial" w:hAnsi="Arial" w:eastAsia="宋体"/>
      <w:b/>
      <w:bCs/>
      <w:kern w:val="32"/>
      <w:sz w:val="32"/>
      <w:szCs w:val="32"/>
      <w:lang w:val="en-US" w:eastAsia="zh-CN" w:bidi="ar-SA"/>
    </w:rPr>
  </w:style>
  <w:style w:type="character" w:customStyle="1" w:styleId="1659">
    <w:name w:val="txt1"/>
    <w:qFormat/>
    <w:uiPriority w:val="0"/>
    <w:rPr>
      <w:spacing w:val="15"/>
      <w:sz w:val="18"/>
      <w:szCs w:val="18"/>
    </w:rPr>
  </w:style>
  <w:style w:type="character" w:customStyle="1" w:styleId="1660">
    <w:name w:val="Char Char314"/>
    <w:qFormat/>
    <w:uiPriority w:val="0"/>
    <w:rPr>
      <w:rFonts w:ascii="黑体" w:hAnsi="宋体" w:eastAsia="黑体"/>
      <w:b/>
      <w:bCs/>
      <w:kern w:val="2"/>
      <w:sz w:val="28"/>
      <w:szCs w:val="28"/>
      <w:lang w:val="en-US" w:eastAsia="zh-CN" w:bidi="ar-SA"/>
    </w:rPr>
  </w:style>
  <w:style w:type="character" w:customStyle="1" w:styleId="1661">
    <w:name w:val="Char Char414"/>
    <w:qFormat/>
    <w:uiPriority w:val="0"/>
    <w:rPr>
      <w:rFonts w:ascii="黑体" w:hAnsi="Arial" w:eastAsia="黑体"/>
      <w:b/>
      <w:bCs/>
      <w:kern w:val="2"/>
      <w:sz w:val="30"/>
      <w:szCs w:val="30"/>
      <w:lang w:val="en-US" w:eastAsia="zh-CN" w:bidi="ar-SA"/>
    </w:rPr>
  </w:style>
  <w:style w:type="character" w:customStyle="1" w:styleId="1662">
    <w:name w:val="Char Char68"/>
    <w:qFormat/>
    <w:uiPriority w:val="0"/>
    <w:rPr>
      <w:rFonts w:ascii="黑体" w:eastAsia="黑体"/>
      <w:b/>
      <w:bCs/>
      <w:kern w:val="2"/>
      <w:sz w:val="28"/>
      <w:szCs w:val="28"/>
      <w:lang w:val="en-US" w:eastAsia="zh-CN" w:bidi="ar-SA"/>
    </w:rPr>
  </w:style>
  <w:style w:type="character" w:customStyle="1" w:styleId="1663">
    <w:name w:val="正文修改 Char113"/>
    <w:qFormat/>
    <w:uiPriority w:val="0"/>
    <w:rPr>
      <w:rFonts w:ascii="宋体" w:hAnsi="宋体" w:eastAsia="宋体" w:cs="宋体"/>
      <w:color w:val="000000"/>
      <w:kern w:val="2"/>
      <w:sz w:val="24"/>
      <w:szCs w:val="24"/>
      <w:lang w:val="en-US" w:eastAsia="zh-CN" w:bidi="ar-SA"/>
    </w:rPr>
  </w:style>
  <w:style w:type="character" w:customStyle="1" w:styleId="1664">
    <w:name w:val="Char Char102"/>
    <w:qFormat/>
    <w:uiPriority w:val="0"/>
    <w:rPr>
      <w:rFonts w:ascii="宋体" w:hAnsi="宋体" w:eastAsia="宋体" w:cs="宋体"/>
      <w:color w:val="000000"/>
      <w:kern w:val="2"/>
      <w:sz w:val="24"/>
      <w:szCs w:val="24"/>
      <w:lang w:val="en-US" w:eastAsia="zh-CN" w:bidi="ar-SA"/>
    </w:rPr>
  </w:style>
  <w:style w:type="character" w:customStyle="1" w:styleId="1665">
    <w:name w:val="hhcwt标题3 Char Char"/>
    <w:link w:val="1666"/>
    <w:qFormat/>
    <w:uiPriority w:val="0"/>
    <w:rPr>
      <w:rFonts w:eastAsia="楷体_GB2312"/>
      <w:bCs/>
      <w:sz w:val="28"/>
    </w:rPr>
  </w:style>
  <w:style w:type="paragraph" w:customStyle="1" w:styleId="1666">
    <w:name w:val="hhcwt标题3"/>
    <w:basedOn w:val="1"/>
    <w:link w:val="1665"/>
    <w:qFormat/>
    <w:uiPriority w:val="0"/>
    <w:pPr>
      <w:keepNext/>
      <w:keepLines/>
      <w:spacing w:line="336" w:lineRule="auto"/>
      <w:outlineLvl w:val="2"/>
    </w:pPr>
    <w:rPr>
      <w:rFonts w:ascii="Times New Roman" w:eastAsia="楷体_GB2312"/>
      <w:bCs/>
      <w:sz w:val="28"/>
    </w:rPr>
  </w:style>
  <w:style w:type="character" w:customStyle="1" w:styleId="1667">
    <w:name w:val="文档结构图 Char21"/>
    <w:qFormat/>
    <w:uiPriority w:val="0"/>
    <w:rPr>
      <w:rFonts w:eastAsia="宋体"/>
      <w:kern w:val="2"/>
      <w:sz w:val="21"/>
      <w:szCs w:val="24"/>
      <w:shd w:val="clear" w:color="auto" w:fill="000080"/>
      <w:lang w:val="en-US" w:eastAsia="zh-CN" w:bidi="ar-SA"/>
    </w:rPr>
  </w:style>
  <w:style w:type="character" w:customStyle="1" w:styleId="1668">
    <w:name w:val="表中文字 Char251"/>
    <w:qFormat/>
    <w:uiPriority w:val="0"/>
    <w:rPr>
      <w:rFonts w:ascii="宋体" w:eastAsia="宋体"/>
      <w:kern w:val="2"/>
      <w:sz w:val="21"/>
      <w:szCs w:val="21"/>
      <w:lang w:val="en-US" w:eastAsia="zh-CN" w:bidi="ar-SA"/>
    </w:rPr>
  </w:style>
  <w:style w:type="character" w:customStyle="1" w:styleId="1669">
    <w:name w:val="正文修改 Char1211"/>
    <w:qFormat/>
    <w:uiPriority w:val="0"/>
    <w:rPr>
      <w:rFonts w:ascii="宋体" w:hAnsi="宋体" w:eastAsia="宋体" w:cs="宋体"/>
      <w:color w:val="000000"/>
      <w:kern w:val="2"/>
      <w:sz w:val="24"/>
      <w:szCs w:val="24"/>
      <w:lang w:val="en-US" w:eastAsia="zh-CN" w:bidi="ar-SA"/>
    </w:rPr>
  </w:style>
  <w:style w:type="character" w:customStyle="1" w:styleId="1670">
    <w:name w:val="表题1 Char2"/>
    <w:qFormat/>
    <w:uiPriority w:val="0"/>
    <w:rPr>
      <w:rFonts w:hAnsi="Arial" w:eastAsia="宋体" w:cs="Arial"/>
      <w:kern w:val="2"/>
      <w:sz w:val="24"/>
      <w:szCs w:val="24"/>
      <w:lang w:val="en-US" w:eastAsia="zh-CN" w:bidi="ar-SA"/>
    </w:rPr>
  </w:style>
  <w:style w:type="character" w:customStyle="1" w:styleId="1671">
    <w:name w:val="样式 标题 3 + 黑色 Char Char Char Char Char Char2"/>
    <w:qFormat/>
    <w:uiPriority w:val="0"/>
    <w:rPr>
      <w:rFonts w:eastAsia="宋体"/>
      <w:b/>
      <w:bCs/>
      <w:color w:val="000000"/>
      <w:kern w:val="2"/>
      <w:sz w:val="28"/>
      <w:szCs w:val="32"/>
      <w:lang w:val="en-US" w:eastAsia="zh-CN" w:bidi="ar-SA"/>
    </w:rPr>
  </w:style>
  <w:style w:type="character" w:customStyle="1" w:styleId="1672">
    <w:name w:val="样式41"/>
    <w:qFormat/>
    <w:uiPriority w:val="0"/>
    <w:rPr>
      <w:color w:val="313D42"/>
    </w:rPr>
  </w:style>
  <w:style w:type="character" w:customStyle="1" w:styleId="1673">
    <w:name w:val="新正文 Char Char Char Char Char Char"/>
    <w:qFormat/>
    <w:uiPriority w:val="0"/>
    <w:rPr>
      <w:rFonts w:ascii="仿宋_GB2312" w:eastAsia="仿宋_GB2312"/>
      <w:bCs/>
      <w:sz w:val="28"/>
      <w:lang w:val="en-US" w:eastAsia="zh-CN" w:bidi="ar-SA"/>
    </w:rPr>
  </w:style>
  <w:style w:type="character" w:customStyle="1" w:styleId="1674">
    <w:name w:val="Char Char411"/>
    <w:qFormat/>
    <w:uiPriority w:val="0"/>
    <w:rPr>
      <w:rFonts w:ascii="黑体" w:hAnsi="Arial" w:eastAsia="黑体"/>
      <w:b/>
      <w:bCs/>
      <w:kern w:val="2"/>
      <w:sz w:val="30"/>
      <w:szCs w:val="30"/>
      <w:lang w:val="en-US" w:eastAsia="zh-CN" w:bidi="ar-SA"/>
    </w:rPr>
  </w:style>
  <w:style w:type="character" w:customStyle="1" w:styleId="1675">
    <w:name w:val="Char Char612"/>
    <w:qFormat/>
    <w:uiPriority w:val="0"/>
    <w:rPr>
      <w:rFonts w:ascii="黑体" w:eastAsia="黑体"/>
      <w:b/>
      <w:bCs/>
      <w:kern w:val="2"/>
      <w:sz w:val="28"/>
      <w:szCs w:val="28"/>
      <w:lang w:val="en-US" w:eastAsia="zh-CN" w:bidi="ar-SA"/>
    </w:rPr>
  </w:style>
  <w:style w:type="character" w:customStyle="1" w:styleId="1676">
    <w:name w:val="批注框文本 Char6"/>
    <w:qFormat/>
    <w:uiPriority w:val="0"/>
    <w:rPr>
      <w:rFonts w:eastAsia="宋体"/>
      <w:kern w:val="2"/>
      <w:sz w:val="18"/>
      <w:szCs w:val="18"/>
      <w:lang w:val="en-US" w:eastAsia="zh-CN" w:bidi="ar-SA"/>
    </w:rPr>
  </w:style>
  <w:style w:type="character" w:customStyle="1" w:styleId="1677">
    <w:name w:val="正文缩进 Char21"/>
    <w:qFormat/>
    <w:uiPriority w:val="0"/>
    <w:rPr>
      <w:rFonts w:ascii="宋体" w:hAnsi="宋体" w:eastAsia="宋体" w:cs="宋体"/>
      <w:color w:val="000000"/>
      <w:kern w:val="2"/>
      <w:sz w:val="24"/>
      <w:szCs w:val="24"/>
      <w:lang w:val="en-US" w:eastAsia="zh-CN" w:bidi="ar-SA"/>
    </w:rPr>
  </w:style>
  <w:style w:type="character" w:customStyle="1" w:styleId="1678">
    <w:name w:val="表题1 Char7"/>
    <w:qFormat/>
    <w:uiPriority w:val="0"/>
    <w:rPr>
      <w:rFonts w:ascii="黑体" w:hAnsi="Arial" w:eastAsia="黑体" w:cs="Arial"/>
      <w:b/>
      <w:kern w:val="2"/>
      <w:sz w:val="24"/>
      <w:szCs w:val="24"/>
      <w:lang w:val="en-US" w:eastAsia="zh-CN" w:bidi="ar-SA"/>
    </w:rPr>
  </w:style>
  <w:style w:type="character" w:customStyle="1" w:styleId="1679">
    <w:name w:val="正文格式 Char81"/>
    <w:qFormat/>
    <w:uiPriority w:val="0"/>
    <w:rPr>
      <w:rFonts w:ascii="宋体" w:hAnsi="宋体" w:eastAsia="宋体"/>
      <w:kern w:val="2"/>
      <w:sz w:val="24"/>
      <w:szCs w:val="24"/>
      <w:lang w:val="en-US" w:eastAsia="zh-CN" w:bidi="ar-SA"/>
    </w:rPr>
  </w:style>
  <w:style w:type="character" w:customStyle="1" w:styleId="1680">
    <w:name w:val="A正文 Char1"/>
    <w:qFormat/>
    <w:uiPriority w:val="0"/>
    <w:rPr>
      <w:rFonts w:eastAsia="仿宋_GB2312"/>
      <w:kern w:val="2"/>
      <w:sz w:val="24"/>
      <w:szCs w:val="24"/>
      <w:lang w:val="en-US" w:eastAsia="zh-CN" w:bidi="ar-SA"/>
    </w:rPr>
  </w:style>
  <w:style w:type="character" w:customStyle="1" w:styleId="1681">
    <w:name w:val="正文修改 Char121"/>
    <w:qFormat/>
    <w:uiPriority w:val="0"/>
    <w:rPr>
      <w:rFonts w:ascii="宋体" w:hAnsi="宋体" w:eastAsia="宋体" w:cs="宋体"/>
      <w:color w:val="000000"/>
      <w:kern w:val="2"/>
      <w:sz w:val="24"/>
      <w:szCs w:val="24"/>
      <w:lang w:val="en-US" w:eastAsia="zh-CN" w:bidi="ar-SA"/>
    </w:rPr>
  </w:style>
  <w:style w:type="character" w:customStyle="1" w:styleId="1682">
    <w:name w:val="表格内字体 Char7"/>
    <w:qFormat/>
    <w:uiPriority w:val="0"/>
    <w:rPr>
      <w:rFonts w:ascii="宋体" w:hAnsi="宋体" w:eastAsia="宋体"/>
      <w:kern w:val="2"/>
      <w:sz w:val="21"/>
      <w:szCs w:val="24"/>
      <w:lang w:val="en-US" w:eastAsia="zh-CN" w:bidi="ar-SA"/>
    </w:rPr>
  </w:style>
  <w:style w:type="character" w:customStyle="1" w:styleId="1683">
    <w:name w:val="图题 Char4"/>
    <w:qFormat/>
    <w:uiPriority w:val="0"/>
    <w:rPr>
      <w:rFonts w:ascii="黑体" w:hAnsi="宋体" w:eastAsia="黑体" w:cs="宋体"/>
      <w:b/>
      <w:bCs/>
      <w:kern w:val="2"/>
      <w:sz w:val="24"/>
      <w:szCs w:val="24"/>
      <w:lang w:val="en-US" w:eastAsia="zh-CN" w:bidi="ar-SA"/>
    </w:rPr>
  </w:style>
  <w:style w:type="character" w:customStyle="1" w:styleId="1684">
    <w:name w:val="Char Char417"/>
    <w:qFormat/>
    <w:uiPriority w:val="0"/>
    <w:rPr>
      <w:rFonts w:ascii="黑体" w:hAnsi="Arial" w:eastAsia="黑体"/>
      <w:b/>
      <w:bCs/>
      <w:kern w:val="2"/>
      <w:sz w:val="30"/>
      <w:szCs w:val="30"/>
      <w:lang w:val="en-US" w:eastAsia="zh-CN" w:bidi="ar-SA"/>
    </w:rPr>
  </w:style>
  <w:style w:type="character" w:customStyle="1" w:styleId="1685">
    <w:name w:val="正文格式 Char91"/>
    <w:qFormat/>
    <w:uiPriority w:val="0"/>
    <w:rPr>
      <w:rFonts w:ascii="宋体" w:hAnsi="宋体" w:eastAsia="宋体"/>
      <w:kern w:val="2"/>
      <w:sz w:val="24"/>
      <w:szCs w:val="24"/>
      <w:lang w:val="en-US" w:eastAsia="zh-CN" w:bidi="ar-SA"/>
    </w:rPr>
  </w:style>
  <w:style w:type="character" w:customStyle="1" w:styleId="1686">
    <w:name w:val="样式 表内小5 + 黑体 加粗 倾斜 下划线 Char3"/>
    <w:qFormat/>
    <w:uiPriority w:val="0"/>
    <w:rPr>
      <w:rFonts w:ascii="黑体" w:hAnsi="黑体" w:eastAsia="黑体" w:cs="Times New Roman"/>
      <w:b/>
      <w:bCs/>
      <w:i/>
      <w:iCs/>
      <w:kern w:val="2"/>
      <w:sz w:val="18"/>
      <w:szCs w:val="24"/>
      <w:u w:val="single"/>
      <w:lang w:val="en-US" w:eastAsia="zh-CN" w:bidi="ar-SA"/>
    </w:rPr>
  </w:style>
  <w:style w:type="character" w:customStyle="1" w:styleId="1687">
    <w:name w:val="Char Char1112"/>
    <w:qFormat/>
    <w:uiPriority w:val="0"/>
    <w:rPr>
      <w:rFonts w:ascii="黑体" w:hAnsi="Arial" w:eastAsia="黑体"/>
      <w:bCs/>
      <w:kern w:val="2"/>
      <w:sz w:val="30"/>
      <w:szCs w:val="30"/>
      <w:lang w:val="en-US" w:eastAsia="zh-CN" w:bidi="ar-SA"/>
    </w:rPr>
  </w:style>
  <w:style w:type="character" w:customStyle="1" w:styleId="1688">
    <w:name w:val="样式 表格内字体 + Char4"/>
    <w:qFormat/>
    <w:uiPriority w:val="0"/>
    <w:rPr>
      <w:rFonts w:ascii="宋体" w:hAnsi="宋体" w:eastAsia="宋体"/>
      <w:kern w:val="2"/>
      <w:sz w:val="21"/>
      <w:szCs w:val="24"/>
      <w:lang w:val="en-US" w:eastAsia="zh-CN" w:bidi="ar-SA"/>
    </w:rPr>
  </w:style>
  <w:style w:type="character" w:customStyle="1" w:styleId="1689">
    <w:name w:val="表格内字体 Char81"/>
    <w:qFormat/>
    <w:uiPriority w:val="0"/>
    <w:rPr>
      <w:rFonts w:ascii="宋体" w:hAnsi="宋体" w:eastAsia="宋体"/>
      <w:kern w:val="2"/>
      <w:sz w:val="21"/>
      <w:szCs w:val="24"/>
      <w:lang w:val="en-US" w:eastAsia="zh-CN" w:bidi="ar-SA"/>
    </w:rPr>
  </w:style>
  <w:style w:type="character" w:customStyle="1" w:styleId="1690">
    <w:name w:val="Char Char2117"/>
    <w:qFormat/>
    <w:uiPriority w:val="0"/>
    <w:rPr>
      <w:rFonts w:ascii="黑体" w:eastAsia="宋体"/>
      <w:kern w:val="2"/>
      <w:sz w:val="16"/>
      <w:szCs w:val="16"/>
      <w:lang w:val="en-US" w:eastAsia="zh-CN" w:bidi="ar-SA"/>
    </w:rPr>
  </w:style>
  <w:style w:type="character" w:customStyle="1" w:styleId="1691">
    <w:name w:val="Char Char631"/>
    <w:qFormat/>
    <w:uiPriority w:val="0"/>
    <w:rPr>
      <w:rFonts w:ascii="黑体" w:eastAsia="黑体"/>
      <w:b/>
      <w:bCs/>
      <w:kern w:val="2"/>
      <w:sz w:val="28"/>
      <w:szCs w:val="28"/>
      <w:lang w:val="en-US" w:eastAsia="zh-CN" w:bidi="ar-SA"/>
    </w:rPr>
  </w:style>
  <w:style w:type="character" w:customStyle="1" w:styleId="1692">
    <w:name w:val="标题 32"/>
    <w:qFormat/>
    <w:uiPriority w:val="0"/>
    <w:rPr>
      <w:rFonts w:eastAsia="Arial Unicode MS"/>
      <w:b/>
      <w:bCs/>
      <w:kern w:val="2"/>
      <w:sz w:val="32"/>
      <w:szCs w:val="32"/>
      <w:lang w:val="en-US" w:eastAsia="zh-CN" w:bidi="ar-SA"/>
    </w:rPr>
  </w:style>
  <w:style w:type="character" w:customStyle="1" w:styleId="1693">
    <w:name w:val="p15"/>
    <w:qFormat/>
    <w:uiPriority w:val="0"/>
  </w:style>
  <w:style w:type="character" w:customStyle="1" w:styleId="1694">
    <w:name w:val="yw正文文本缩进 Char Char"/>
    <w:link w:val="1695"/>
    <w:qFormat/>
    <w:uiPriority w:val="0"/>
    <w:rPr>
      <w:rFonts w:eastAsia="仿宋_GB2312" w:cs="宋体"/>
      <w:sz w:val="24"/>
    </w:rPr>
  </w:style>
  <w:style w:type="paragraph" w:customStyle="1" w:styleId="1695">
    <w:name w:val="yw正文文本缩进"/>
    <w:basedOn w:val="1"/>
    <w:link w:val="1694"/>
    <w:qFormat/>
    <w:uiPriority w:val="0"/>
    <w:pPr>
      <w:widowControl/>
      <w:overflowPunct w:val="0"/>
      <w:autoSpaceDE w:val="0"/>
      <w:autoSpaceDN w:val="0"/>
      <w:adjustRightInd w:val="0"/>
      <w:snapToGrid w:val="0"/>
      <w:spacing w:line="360" w:lineRule="auto"/>
      <w:ind w:firstLine="200" w:firstLineChars="200"/>
      <w:textAlignment w:val="baseline"/>
    </w:pPr>
    <w:rPr>
      <w:rFonts w:ascii="Times New Roman" w:eastAsia="仿宋_GB2312"/>
    </w:rPr>
  </w:style>
  <w:style w:type="character" w:customStyle="1" w:styleId="1696">
    <w:name w:val="表中文字 Char25"/>
    <w:qFormat/>
    <w:uiPriority w:val="0"/>
    <w:rPr>
      <w:rFonts w:ascii="宋体" w:eastAsia="宋体"/>
      <w:kern w:val="2"/>
      <w:sz w:val="21"/>
      <w:szCs w:val="21"/>
      <w:lang w:val="en-US" w:eastAsia="zh-CN" w:bidi="ar-SA"/>
    </w:rPr>
  </w:style>
  <w:style w:type="character" w:customStyle="1" w:styleId="1697">
    <w:name w:val="标题正文黑 Char"/>
    <w:qFormat/>
    <w:uiPriority w:val="0"/>
    <w:rPr>
      <w:rFonts w:ascii="黑体" w:eastAsia="黑体"/>
      <w:kern w:val="2"/>
      <w:sz w:val="28"/>
      <w:szCs w:val="28"/>
      <w:lang w:val="en-US" w:eastAsia="zh-CN" w:bidi="ar-SA"/>
    </w:rPr>
  </w:style>
  <w:style w:type="character" w:customStyle="1" w:styleId="1698">
    <w:name w:val="Char Char1211"/>
    <w:qFormat/>
    <w:uiPriority w:val="0"/>
    <w:rPr>
      <w:rFonts w:ascii="黑体" w:hAnsi="Arial" w:eastAsia="黑体"/>
      <w:b/>
      <w:bCs/>
      <w:kern w:val="2"/>
      <w:sz w:val="30"/>
      <w:szCs w:val="30"/>
      <w:lang w:val="en-US" w:eastAsia="zh-CN" w:bidi="ar-SA"/>
    </w:rPr>
  </w:style>
  <w:style w:type="character" w:customStyle="1" w:styleId="1699">
    <w:name w:val="正文内容 Char Char"/>
    <w:qFormat/>
    <w:uiPriority w:val="0"/>
    <w:rPr>
      <w:rFonts w:eastAsia="宋体"/>
      <w:kern w:val="2"/>
      <w:sz w:val="24"/>
      <w:szCs w:val="24"/>
      <w:lang w:val="en-US" w:eastAsia="zh-CN" w:bidi="ar-SA"/>
    </w:rPr>
  </w:style>
  <w:style w:type="character" w:customStyle="1" w:styleId="1700">
    <w:name w:val="正文修改 Char152"/>
    <w:qFormat/>
    <w:uiPriority w:val="0"/>
    <w:rPr>
      <w:rFonts w:ascii="宋体" w:hAnsi="宋体" w:eastAsia="宋体" w:cs="宋体"/>
      <w:color w:val="000000"/>
      <w:kern w:val="2"/>
      <w:sz w:val="24"/>
      <w:szCs w:val="24"/>
      <w:lang w:val="en-US" w:eastAsia="zh-CN" w:bidi="ar-SA"/>
    </w:rPr>
  </w:style>
  <w:style w:type="character" w:customStyle="1" w:styleId="1701">
    <w:name w:val="Char Char113"/>
    <w:qFormat/>
    <w:uiPriority w:val="0"/>
    <w:rPr>
      <w:rFonts w:ascii="黑体" w:hAnsi="Arial" w:eastAsia="黑体"/>
      <w:bCs/>
      <w:kern w:val="2"/>
      <w:sz w:val="30"/>
      <w:szCs w:val="30"/>
      <w:lang w:val="en-US" w:eastAsia="zh-CN" w:bidi="ar-SA"/>
    </w:rPr>
  </w:style>
  <w:style w:type="character" w:customStyle="1" w:styleId="1702">
    <w:name w:val="第一层条 Char7"/>
    <w:qFormat/>
    <w:uiPriority w:val="0"/>
    <w:rPr>
      <w:rFonts w:ascii="仿宋_GB2312" w:eastAsia="仿宋_GB2312"/>
      <w:b/>
      <w:kern w:val="2"/>
      <w:sz w:val="28"/>
      <w:lang w:val="en-US" w:eastAsia="zh-CN" w:bidi="ar-SA"/>
    </w:rPr>
  </w:style>
  <w:style w:type="character" w:customStyle="1" w:styleId="1703">
    <w:name w:val="正文缩进 Ch Char1"/>
    <w:qFormat/>
    <w:uiPriority w:val="0"/>
    <w:rPr>
      <w:rFonts w:eastAsia="宋体"/>
      <w:kern w:val="2"/>
      <w:sz w:val="21"/>
      <w:lang w:val="en-US" w:eastAsia="zh-CN" w:bidi="ar-SA"/>
    </w:rPr>
  </w:style>
  <w:style w:type="character" w:customStyle="1" w:styleId="1704">
    <w:name w:val="正文格式 Char Char Char Char1"/>
    <w:qFormat/>
    <w:uiPriority w:val="0"/>
    <w:rPr>
      <w:rFonts w:ascii="宋体" w:eastAsia="宋体" w:cs="宋体"/>
      <w:kern w:val="2"/>
      <w:sz w:val="24"/>
      <w:szCs w:val="24"/>
      <w:lang w:val="en-US" w:eastAsia="zh-CN" w:bidi="ar-SA"/>
    </w:rPr>
  </w:style>
  <w:style w:type="character" w:customStyle="1" w:styleId="1705">
    <w:name w:val="Char Char318"/>
    <w:qFormat/>
    <w:uiPriority w:val="0"/>
    <w:rPr>
      <w:rFonts w:ascii="黑体" w:hAnsi="宋体" w:eastAsia="黑体"/>
      <w:b/>
      <w:bCs/>
      <w:kern w:val="2"/>
      <w:sz w:val="28"/>
      <w:szCs w:val="28"/>
      <w:lang w:val="en-US" w:eastAsia="zh-CN" w:bidi="ar-SA"/>
    </w:rPr>
  </w:style>
  <w:style w:type="character" w:customStyle="1" w:styleId="1706">
    <w:name w:val="Char Char418"/>
    <w:qFormat/>
    <w:uiPriority w:val="0"/>
    <w:rPr>
      <w:rFonts w:ascii="黑体" w:hAnsi="Arial" w:eastAsia="黑体"/>
      <w:b/>
      <w:bCs/>
      <w:kern w:val="2"/>
      <w:sz w:val="30"/>
      <w:szCs w:val="30"/>
      <w:lang w:val="en-US" w:eastAsia="zh-CN" w:bidi="ar-SA"/>
    </w:rPr>
  </w:style>
  <w:style w:type="character" w:customStyle="1" w:styleId="1707">
    <w:name w:val="标题正文黑 Char1"/>
    <w:qFormat/>
    <w:uiPriority w:val="0"/>
    <w:rPr>
      <w:rFonts w:ascii="黑体" w:eastAsia="黑体"/>
      <w:kern w:val="2"/>
      <w:sz w:val="28"/>
      <w:szCs w:val="28"/>
      <w:lang w:val="en-US" w:eastAsia="zh-CN" w:bidi="ar-SA"/>
    </w:rPr>
  </w:style>
  <w:style w:type="character" w:customStyle="1" w:styleId="1708">
    <w:name w:val="表题1 Char612"/>
    <w:qFormat/>
    <w:uiPriority w:val="0"/>
    <w:rPr>
      <w:rFonts w:ascii="黑体" w:hAnsi="Arial" w:eastAsia="黑体" w:cs="Arial"/>
      <w:b/>
      <w:kern w:val="2"/>
      <w:sz w:val="24"/>
      <w:szCs w:val="24"/>
      <w:lang w:val="en-US" w:eastAsia="zh-CN" w:bidi="ar-SA"/>
    </w:rPr>
  </w:style>
  <w:style w:type="character" w:customStyle="1" w:styleId="1709">
    <w:name w:val="head121"/>
    <w:qFormat/>
    <w:uiPriority w:val="0"/>
    <w:rPr>
      <w:rFonts w:eastAsia="宋体"/>
      <w:kern w:val="2"/>
      <w:sz w:val="22"/>
      <w:szCs w:val="22"/>
      <w:lang w:val="en-US" w:eastAsia="zh-CN" w:bidi="ar-SA"/>
    </w:rPr>
  </w:style>
  <w:style w:type="character" w:customStyle="1" w:styleId="1710">
    <w:name w:val="表题1 Char3"/>
    <w:qFormat/>
    <w:uiPriority w:val="0"/>
    <w:rPr>
      <w:rFonts w:ascii="黑体" w:hAnsi="Arial" w:eastAsia="黑体" w:cs="Arial"/>
      <w:b/>
      <w:kern w:val="2"/>
      <w:sz w:val="24"/>
      <w:szCs w:val="24"/>
      <w:lang w:val="en-US" w:eastAsia="zh-CN" w:bidi="ar-SA"/>
    </w:rPr>
  </w:style>
  <w:style w:type="character" w:customStyle="1" w:styleId="1711">
    <w:name w:val="燕山正文 Char12"/>
    <w:qFormat/>
    <w:uiPriority w:val="0"/>
    <w:rPr>
      <w:rFonts w:ascii="宋体" w:eastAsia="宋体" w:cs="宋体"/>
      <w:kern w:val="2"/>
      <w:sz w:val="24"/>
      <w:szCs w:val="24"/>
      <w:lang w:val="en-US" w:eastAsia="zh-CN" w:bidi="ar-SA"/>
    </w:rPr>
  </w:style>
  <w:style w:type="character" w:customStyle="1" w:styleId="1712">
    <w:name w:val="样式正文 Char Char"/>
    <w:link w:val="1713"/>
    <w:qFormat/>
    <w:uiPriority w:val="0"/>
    <w:rPr>
      <w:sz w:val="24"/>
      <w:szCs w:val="24"/>
    </w:rPr>
  </w:style>
  <w:style w:type="paragraph" w:customStyle="1" w:styleId="1713">
    <w:name w:val="样式正文"/>
    <w:basedOn w:val="1"/>
    <w:link w:val="1712"/>
    <w:qFormat/>
    <w:uiPriority w:val="0"/>
    <w:pPr>
      <w:spacing w:line="400" w:lineRule="exact"/>
      <w:ind w:firstLine="200" w:firstLineChars="200"/>
    </w:pPr>
    <w:rPr>
      <w:rFonts w:ascii="Times New Roman"/>
      <w:szCs w:val="24"/>
    </w:rPr>
  </w:style>
  <w:style w:type="character" w:customStyle="1" w:styleId="1714">
    <w:name w:val="Char Char513"/>
    <w:qFormat/>
    <w:uiPriority w:val="0"/>
    <w:rPr>
      <w:rFonts w:ascii="黑体" w:hAnsi="宋体" w:eastAsia="黑体"/>
      <w:bCs/>
      <w:kern w:val="2"/>
      <w:sz w:val="28"/>
      <w:szCs w:val="28"/>
      <w:lang w:val="en-US" w:eastAsia="zh-CN" w:bidi="ar-SA"/>
    </w:rPr>
  </w:style>
  <w:style w:type="character" w:customStyle="1" w:styleId="1715">
    <w:name w:val="题注 Char62"/>
    <w:qFormat/>
    <w:uiPriority w:val="0"/>
    <w:rPr>
      <w:rFonts w:ascii="黑体" w:hAnsi="Arial" w:eastAsia="黑体" w:cs="Arial"/>
      <w:b/>
      <w:kern w:val="2"/>
      <w:sz w:val="24"/>
      <w:szCs w:val="24"/>
      <w:lang w:val="en-US" w:eastAsia="zh-CN" w:bidi="ar-SA"/>
    </w:rPr>
  </w:style>
  <w:style w:type="character" w:customStyle="1" w:styleId="1716">
    <w:name w:val="A正文 Char3"/>
    <w:qFormat/>
    <w:uiPriority w:val="0"/>
    <w:rPr>
      <w:rFonts w:ascii="Times New Roman" w:hAnsi="Times New Roman" w:eastAsia="仿宋_GB2312" w:cs="Times New Roman"/>
      <w:kern w:val="0"/>
      <w:sz w:val="24"/>
      <w:szCs w:val="24"/>
      <w:lang w:val="en-US" w:eastAsia="zh-CN" w:bidi="ar-SA"/>
    </w:rPr>
  </w:style>
  <w:style w:type="character" w:customStyle="1" w:styleId="1717">
    <w:name w:val="题注 Char32"/>
    <w:qFormat/>
    <w:uiPriority w:val="0"/>
    <w:rPr>
      <w:rFonts w:ascii="黑体" w:hAnsi="Arial" w:eastAsia="黑体" w:cs="Arial"/>
      <w:b/>
      <w:kern w:val="2"/>
      <w:sz w:val="24"/>
      <w:szCs w:val="24"/>
      <w:lang w:val="en-US" w:eastAsia="zh-CN" w:bidi="ar-SA"/>
    </w:rPr>
  </w:style>
  <w:style w:type="character" w:customStyle="1" w:styleId="1718">
    <w:name w:val="第一层条 Char1"/>
    <w:qFormat/>
    <w:uiPriority w:val="9"/>
    <w:rPr>
      <w:rFonts w:ascii="仿宋_GB2312" w:eastAsia="仿宋_GB2312"/>
      <w:b/>
      <w:kern w:val="2"/>
      <w:sz w:val="28"/>
      <w:lang w:val="en-US" w:eastAsia="zh-CN" w:bidi="ar-SA"/>
    </w:rPr>
  </w:style>
  <w:style w:type="character" w:customStyle="1" w:styleId="1719">
    <w:name w:val="标题 3 Char111"/>
    <w:qFormat/>
    <w:uiPriority w:val="0"/>
    <w:rPr>
      <w:rFonts w:ascii="黑体" w:hAnsi="宋体" w:eastAsia="黑体"/>
      <w:b/>
      <w:bCs/>
      <w:kern w:val="2"/>
      <w:sz w:val="28"/>
      <w:szCs w:val="28"/>
      <w:lang w:val="en-US" w:eastAsia="zh-CN" w:bidi="ar-SA"/>
    </w:rPr>
  </w:style>
  <w:style w:type="character" w:customStyle="1" w:styleId="1720">
    <w:name w:val="表格内字体 Char5"/>
    <w:qFormat/>
    <w:uiPriority w:val="0"/>
    <w:rPr>
      <w:rFonts w:ascii="宋体" w:hAnsi="宋体" w:eastAsia="宋体"/>
      <w:kern w:val="2"/>
      <w:sz w:val="21"/>
      <w:szCs w:val="24"/>
      <w:lang w:val="en-US" w:eastAsia="zh-CN" w:bidi="ar-SA"/>
    </w:rPr>
  </w:style>
  <w:style w:type="character" w:customStyle="1" w:styleId="1721">
    <w:name w:val="Char Char215"/>
    <w:qFormat/>
    <w:uiPriority w:val="0"/>
    <w:rPr>
      <w:rFonts w:ascii="黑体" w:eastAsia="宋体"/>
      <w:kern w:val="2"/>
      <w:sz w:val="16"/>
      <w:szCs w:val="16"/>
      <w:lang w:val="en-US" w:eastAsia="zh-CN" w:bidi="ar-SA"/>
    </w:rPr>
  </w:style>
  <w:style w:type="character" w:customStyle="1" w:styleId="1722">
    <w:name w:val="Char Char129"/>
    <w:qFormat/>
    <w:uiPriority w:val="0"/>
    <w:rPr>
      <w:rFonts w:ascii="黑体" w:hAnsi="Arial" w:eastAsia="黑体"/>
      <w:b/>
      <w:bCs/>
      <w:kern w:val="2"/>
      <w:sz w:val="30"/>
      <w:szCs w:val="30"/>
      <w:lang w:val="en-US" w:eastAsia="zh-CN" w:bidi="ar-SA"/>
    </w:rPr>
  </w:style>
  <w:style w:type="character" w:customStyle="1" w:styleId="1723">
    <w:name w:val="干标题(a) Char3"/>
    <w:qFormat/>
    <w:uiPriority w:val="0"/>
    <w:rPr>
      <w:rFonts w:ascii="Arial" w:hAnsi="Arial" w:eastAsia="黑体"/>
      <w:kern w:val="2"/>
      <w:sz w:val="21"/>
      <w:szCs w:val="21"/>
      <w:lang w:val="en-US" w:eastAsia="zh-CN" w:bidi="ar-SA"/>
    </w:rPr>
  </w:style>
  <w:style w:type="character" w:customStyle="1" w:styleId="1724">
    <w:name w:val="文档结构图 Char4"/>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1725">
    <w:name w:val="Char Char621"/>
    <w:qFormat/>
    <w:uiPriority w:val="0"/>
    <w:rPr>
      <w:rFonts w:ascii="黑体" w:eastAsia="黑体"/>
      <w:b/>
      <w:bCs/>
      <w:kern w:val="2"/>
      <w:sz w:val="28"/>
      <w:szCs w:val="28"/>
      <w:lang w:val="en-US" w:eastAsia="zh-CN" w:bidi="ar-SA"/>
    </w:rPr>
  </w:style>
  <w:style w:type="character" w:customStyle="1" w:styleId="1726">
    <w:name w:val="黑体标题 Char Char"/>
    <w:link w:val="1727"/>
    <w:qFormat/>
    <w:uiPriority w:val="0"/>
    <w:rPr>
      <w:rFonts w:ascii="宋体" w:hAnsi="宋体"/>
      <w:sz w:val="28"/>
    </w:rPr>
  </w:style>
  <w:style w:type="paragraph" w:customStyle="1" w:styleId="1727">
    <w:name w:val="黑体标题"/>
    <w:basedOn w:val="1"/>
    <w:link w:val="1726"/>
    <w:qFormat/>
    <w:uiPriority w:val="0"/>
    <w:pPr>
      <w:spacing w:line="500" w:lineRule="exact"/>
      <w:ind w:firstLine="560" w:firstLineChars="200"/>
    </w:pPr>
    <w:rPr>
      <w:rFonts w:hAnsi="宋体"/>
      <w:sz w:val="28"/>
    </w:rPr>
  </w:style>
  <w:style w:type="character" w:customStyle="1" w:styleId="1728">
    <w:name w:val="样式 报告 + Times New Roman Char Char2"/>
    <w:qFormat/>
    <w:uiPriority w:val="0"/>
    <w:rPr>
      <w:rFonts w:eastAsia="宋体"/>
      <w:kern w:val="2"/>
      <w:sz w:val="28"/>
      <w:szCs w:val="28"/>
      <w:lang w:val="en-US" w:eastAsia="zh-CN" w:bidi="ar-SA"/>
    </w:rPr>
  </w:style>
  <w:style w:type="character" w:customStyle="1" w:styleId="1729">
    <w:name w:val="标题 7 Char11"/>
    <w:qFormat/>
    <w:uiPriority w:val="0"/>
    <w:rPr>
      <w:rFonts w:eastAsia="宋体"/>
      <w:b/>
      <w:bCs/>
      <w:kern w:val="2"/>
      <w:sz w:val="24"/>
      <w:szCs w:val="24"/>
      <w:lang w:val="en-US" w:eastAsia="zh-CN" w:bidi="ar-SA"/>
    </w:rPr>
  </w:style>
  <w:style w:type="character" w:customStyle="1" w:styleId="1730">
    <w:name w:val="标题 4 Char21"/>
    <w:qFormat/>
    <w:uiPriority w:val="0"/>
    <w:rPr>
      <w:rFonts w:ascii="黑体" w:hAnsi="Arial" w:eastAsia="黑体"/>
      <w:b/>
      <w:bCs/>
      <w:kern w:val="2"/>
      <w:sz w:val="24"/>
      <w:szCs w:val="24"/>
      <w:lang w:val="en-US" w:eastAsia="zh-CN" w:bidi="ar-SA"/>
    </w:rPr>
  </w:style>
  <w:style w:type="character" w:customStyle="1" w:styleId="1731">
    <w:name w:val="标题 5 Char11"/>
    <w:qFormat/>
    <w:uiPriority w:val="0"/>
    <w:rPr>
      <w:rFonts w:ascii="宋体" w:hAnsi="宋体" w:eastAsia="宋体" w:cs="宋体"/>
      <w:b/>
      <w:bCs/>
      <w:kern w:val="2"/>
      <w:sz w:val="28"/>
      <w:szCs w:val="28"/>
      <w:lang w:val="en-US" w:eastAsia="zh-CN" w:bidi="ar-SA"/>
    </w:rPr>
  </w:style>
  <w:style w:type="character" w:customStyle="1" w:styleId="1732">
    <w:name w:val="正文修改 Char13"/>
    <w:qFormat/>
    <w:uiPriority w:val="0"/>
    <w:rPr>
      <w:rFonts w:ascii="宋体" w:hAnsi="宋体" w:eastAsia="宋体" w:cs="宋体"/>
      <w:color w:val="000000"/>
      <w:kern w:val="2"/>
      <w:sz w:val="24"/>
      <w:szCs w:val="24"/>
      <w:lang w:val="en-US" w:eastAsia="zh-CN" w:bidi="ar-SA"/>
    </w:rPr>
  </w:style>
  <w:style w:type="character" w:customStyle="1" w:styleId="1733">
    <w:name w:val="表中文字 Char22"/>
    <w:qFormat/>
    <w:uiPriority w:val="0"/>
    <w:rPr>
      <w:rFonts w:ascii="宋体" w:eastAsia="宋体"/>
      <w:kern w:val="2"/>
      <w:sz w:val="21"/>
      <w:szCs w:val="21"/>
      <w:lang w:val="en-US" w:eastAsia="zh-CN" w:bidi="ar-SA"/>
    </w:rPr>
  </w:style>
  <w:style w:type="character" w:customStyle="1" w:styleId="1734">
    <w:name w:val="正文格式 Char31"/>
    <w:qFormat/>
    <w:uiPriority w:val="0"/>
    <w:rPr>
      <w:rFonts w:ascii="宋体" w:hAnsi="宋体" w:eastAsia="宋体"/>
      <w:kern w:val="2"/>
      <w:sz w:val="24"/>
      <w:szCs w:val="24"/>
      <w:lang w:val="en-US" w:eastAsia="zh-CN" w:bidi="ar-SA"/>
    </w:rPr>
  </w:style>
  <w:style w:type="character" w:customStyle="1" w:styleId="1735">
    <w:name w:val="Char Char1212"/>
    <w:qFormat/>
    <w:uiPriority w:val="0"/>
    <w:rPr>
      <w:rFonts w:ascii="黑体" w:hAnsi="Arial" w:eastAsia="黑体"/>
      <w:b/>
      <w:bCs/>
      <w:kern w:val="2"/>
      <w:sz w:val="30"/>
      <w:szCs w:val="30"/>
      <w:lang w:val="en-US" w:eastAsia="zh-CN" w:bidi="ar-SA"/>
    </w:rPr>
  </w:style>
  <w:style w:type="character" w:customStyle="1" w:styleId="1736">
    <w:name w:val="表格内容 Char2"/>
    <w:qFormat/>
    <w:uiPriority w:val="0"/>
    <w:rPr>
      <w:rFonts w:eastAsia="宋体"/>
      <w:kern w:val="2"/>
      <w:sz w:val="21"/>
      <w:szCs w:val="21"/>
      <w:lang w:val="en-US" w:eastAsia="zh-CN" w:bidi="ar-SA"/>
    </w:rPr>
  </w:style>
  <w:style w:type="character" w:customStyle="1" w:styleId="1737">
    <w:name w:val="环评正文 Char2"/>
    <w:qFormat/>
    <w:uiPriority w:val="0"/>
    <w:rPr>
      <w:rFonts w:eastAsia="宋体"/>
      <w:bCs/>
      <w:kern w:val="2"/>
      <w:sz w:val="24"/>
      <w:szCs w:val="24"/>
      <w:lang w:val="en-US" w:eastAsia="zh-CN" w:bidi="ar-SA"/>
    </w:rPr>
  </w:style>
  <w:style w:type="character" w:customStyle="1" w:styleId="1738">
    <w:name w:val="题注 Char12"/>
    <w:qFormat/>
    <w:uiPriority w:val="0"/>
    <w:rPr>
      <w:rFonts w:ascii="黑体" w:hAnsi="Arial" w:eastAsia="黑体" w:cs="Arial"/>
      <w:b/>
      <w:kern w:val="2"/>
      <w:sz w:val="24"/>
      <w:szCs w:val="24"/>
      <w:lang w:val="en-US" w:eastAsia="zh-CN" w:bidi="ar-SA"/>
    </w:rPr>
  </w:style>
  <w:style w:type="character" w:customStyle="1" w:styleId="1739">
    <w:name w:val="f91"/>
    <w:qFormat/>
    <w:uiPriority w:val="0"/>
    <w:rPr>
      <w:sz w:val="18"/>
      <w:szCs w:val="18"/>
      <w:u w:val="none"/>
    </w:rPr>
  </w:style>
  <w:style w:type="character" w:customStyle="1" w:styleId="1740">
    <w:name w:val="正文1.5倍行距 Char1"/>
    <w:link w:val="1741"/>
    <w:qFormat/>
    <w:uiPriority w:val="0"/>
    <w:rPr>
      <w:snapToGrid w:val="0"/>
      <w:sz w:val="28"/>
      <w:szCs w:val="28"/>
      <w:lang w:val="en-US" w:eastAsia="zh-CN" w:bidi="ar-SA"/>
    </w:rPr>
  </w:style>
  <w:style w:type="paragraph" w:customStyle="1" w:styleId="1741">
    <w:name w:val="正文1.5倍行距"/>
    <w:link w:val="1740"/>
    <w:qFormat/>
    <w:uiPriority w:val="0"/>
    <w:pPr>
      <w:adjustRightInd w:val="0"/>
      <w:snapToGrid w:val="0"/>
      <w:spacing w:line="500" w:lineRule="exact"/>
      <w:ind w:firstLine="560" w:firstLineChars="200"/>
      <w:jc w:val="both"/>
    </w:pPr>
    <w:rPr>
      <w:rFonts w:ascii="Times New Roman" w:hAnsi="Times New Roman" w:eastAsia="宋体" w:cs="Times New Roman"/>
      <w:snapToGrid w:val="0"/>
      <w:sz w:val="28"/>
      <w:szCs w:val="28"/>
      <w:lang w:val="en-US" w:eastAsia="zh-CN" w:bidi="ar-SA"/>
    </w:rPr>
  </w:style>
  <w:style w:type="character" w:customStyle="1" w:styleId="1742">
    <w:name w:val="Char Char410"/>
    <w:qFormat/>
    <w:uiPriority w:val="0"/>
    <w:rPr>
      <w:rFonts w:ascii="黑体" w:hAnsi="Arial" w:eastAsia="黑体"/>
      <w:b/>
      <w:bCs/>
      <w:kern w:val="2"/>
      <w:sz w:val="30"/>
      <w:szCs w:val="30"/>
      <w:lang w:val="en-US" w:eastAsia="zh-CN" w:bidi="ar-SA"/>
    </w:rPr>
  </w:style>
  <w:style w:type="character" w:customStyle="1" w:styleId="1743">
    <w:name w:val="页眉 Char11"/>
    <w:qFormat/>
    <w:uiPriority w:val="0"/>
    <w:rPr>
      <w:rFonts w:eastAsia="宋体"/>
      <w:kern w:val="2"/>
      <w:sz w:val="18"/>
      <w:szCs w:val="18"/>
      <w:lang w:val="en-US" w:eastAsia="zh-CN" w:bidi="ar-SA"/>
    </w:rPr>
  </w:style>
  <w:style w:type="character" w:customStyle="1" w:styleId="1744">
    <w:name w:val="Char Char618"/>
    <w:qFormat/>
    <w:uiPriority w:val="0"/>
    <w:rPr>
      <w:rFonts w:ascii="黑体" w:eastAsia="黑体"/>
      <w:b/>
      <w:bCs/>
      <w:kern w:val="2"/>
      <w:sz w:val="28"/>
      <w:szCs w:val="28"/>
      <w:lang w:val="en-US" w:eastAsia="zh-CN" w:bidi="ar-SA"/>
    </w:rPr>
  </w:style>
  <w:style w:type="character" w:customStyle="1" w:styleId="1745">
    <w:name w:val="标题 3 Char15"/>
    <w:qFormat/>
    <w:uiPriority w:val="0"/>
    <w:rPr>
      <w:rFonts w:hAnsi="宋体" w:eastAsia="宋体"/>
      <w:bCs/>
      <w:kern w:val="2"/>
      <w:sz w:val="28"/>
      <w:szCs w:val="28"/>
      <w:lang w:val="en-US" w:eastAsia="zh-CN" w:bidi="ar-SA"/>
    </w:rPr>
  </w:style>
  <w:style w:type="character" w:customStyle="1" w:styleId="1746">
    <w:name w:val="图表 Char Char"/>
    <w:qFormat/>
    <w:uiPriority w:val="0"/>
    <w:rPr>
      <w:rFonts w:ascii="宋体" w:hAnsi="宋体"/>
      <w:kern w:val="10"/>
      <w:sz w:val="21"/>
      <w:szCs w:val="21"/>
      <w:lang w:val="en-US" w:eastAsia="zh-CN" w:bidi="ar-SA"/>
    </w:rPr>
  </w:style>
  <w:style w:type="character" w:customStyle="1" w:styleId="1747">
    <w:name w:val="Char Char65"/>
    <w:qFormat/>
    <w:uiPriority w:val="0"/>
    <w:rPr>
      <w:rFonts w:ascii="黑体" w:eastAsia="黑体"/>
      <w:b/>
      <w:bCs/>
      <w:kern w:val="2"/>
      <w:sz w:val="28"/>
      <w:szCs w:val="28"/>
      <w:lang w:val="en-US" w:eastAsia="zh-CN" w:bidi="ar-SA"/>
    </w:rPr>
  </w:style>
  <w:style w:type="character" w:customStyle="1" w:styleId="1748">
    <w:name w:val="样式 样式 样式 宋体 小四 行距: 多倍行距 1.4 字行2 + 黑色 + Times New Roman2 Char Char"/>
    <w:link w:val="1749"/>
    <w:qFormat/>
    <w:uiPriority w:val="0"/>
    <w:rPr>
      <w:rFonts w:cs="宋体"/>
    </w:rPr>
  </w:style>
  <w:style w:type="paragraph" w:customStyle="1" w:styleId="1749">
    <w:name w:val="样式 样式 样式 宋体 小四 行距: 多倍行距 1.4 字行2 + 黑色 + Times New Roman2"/>
    <w:basedOn w:val="1750"/>
    <w:link w:val="1748"/>
    <w:qFormat/>
    <w:uiPriority w:val="0"/>
    <w:pPr>
      <w:spacing w:line="360" w:lineRule="auto"/>
      <w:ind w:firstLine="200"/>
    </w:pPr>
    <w:rPr>
      <w:rFonts w:ascii="Times New Roman" w:hAnsi="Times New Roman"/>
      <w:color w:val="auto"/>
      <w:sz w:val="20"/>
      <w:szCs w:val="20"/>
    </w:rPr>
  </w:style>
  <w:style w:type="paragraph" w:customStyle="1" w:styleId="1750">
    <w:name w:val="样式 样式 宋体 小四 行距: 多倍行距 1.4 字行2 + 黑色"/>
    <w:basedOn w:val="1"/>
    <w:link w:val="1751"/>
    <w:qFormat/>
    <w:uiPriority w:val="0"/>
    <w:pPr>
      <w:spacing w:line="336" w:lineRule="auto"/>
      <w:ind w:firstLine="480" w:firstLineChars="200"/>
    </w:pPr>
    <w:rPr>
      <w:rFonts w:hAnsi="宋体"/>
      <w:color w:val="000000"/>
      <w:szCs w:val="24"/>
    </w:rPr>
  </w:style>
  <w:style w:type="character" w:customStyle="1" w:styleId="1751">
    <w:name w:val="样式 样式 宋体 小四 行距: 多倍行距 1.4 字行2 + 黑色 Char Char"/>
    <w:link w:val="1750"/>
    <w:qFormat/>
    <w:uiPriority w:val="0"/>
    <w:rPr>
      <w:rFonts w:ascii="宋体" w:hAnsi="宋体" w:cs="宋体"/>
      <w:color w:val="000000"/>
      <w:sz w:val="24"/>
      <w:szCs w:val="24"/>
    </w:rPr>
  </w:style>
  <w:style w:type="character" w:customStyle="1" w:styleId="1752">
    <w:name w:val="表中文字 Char28"/>
    <w:qFormat/>
    <w:uiPriority w:val="0"/>
    <w:rPr>
      <w:rFonts w:ascii="宋体" w:eastAsia="宋体"/>
      <w:kern w:val="2"/>
      <w:sz w:val="21"/>
      <w:szCs w:val="21"/>
      <w:lang w:val="en-US" w:eastAsia="zh-CN" w:bidi="ar-SA"/>
    </w:rPr>
  </w:style>
  <w:style w:type="character" w:customStyle="1" w:styleId="1753">
    <w:name w:val="标题 2 Char6"/>
    <w:qFormat/>
    <w:uiPriority w:val="0"/>
    <w:rPr>
      <w:rFonts w:ascii="黑体" w:hAnsi="Arial" w:eastAsia="黑体"/>
      <w:b/>
      <w:bCs/>
      <w:kern w:val="2"/>
      <w:sz w:val="30"/>
      <w:szCs w:val="30"/>
      <w:lang w:val="en-US" w:eastAsia="zh-CN" w:bidi="ar-SA"/>
    </w:rPr>
  </w:style>
  <w:style w:type="character" w:customStyle="1" w:styleId="1754">
    <w:name w:val="样式 标题 3小标题小节标题标题3H3h33rd level第二层条标题4 + Arial Char Char1"/>
    <w:qFormat/>
    <w:uiPriority w:val="0"/>
    <w:rPr>
      <w:rFonts w:eastAsia="宋体"/>
      <w:b/>
      <w:bCs/>
      <w:kern w:val="32"/>
      <w:sz w:val="30"/>
      <w:szCs w:val="24"/>
      <w:lang w:val="en-US" w:eastAsia="zh-CN" w:bidi="ar-SA"/>
    </w:rPr>
  </w:style>
  <w:style w:type="character" w:customStyle="1" w:styleId="1755">
    <w:name w:val="样式 标题 3 + 华文中宋 小三 段前: 6 磅 段后: 6 磅 行距: 多倍行距 1.4 字行 Char Char"/>
    <w:qFormat/>
    <w:uiPriority w:val="0"/>
    <w:rPr>
      <w:rFonts w:ascii="楷体_GB2312" w:hAnsi="华文中宋" w:eastAsia="楷体_GB2312" w:cs="宋体"/>
      <w:b/>
      <w:bCs/>
      <w:kern w:val="2"/>
      <w:sz w:val="30"/>
      <w:szCs w:val="32"/>
      <w:lang w:val="en-US" w:eastAsia="zh-CN" w:bidi="ar-SA"/>
    </w:rPr>
  </w:style>
  <w:style w:type="character" w:customStyle="1" w:styleId="1756">
    <w:name w:val="hhcwt正文 Char Char Char2"/>
    <w:qFormat/>
    <w:uiPriority w:val="0"/>
    <w:rPr>
      <w:rFonts w:eastAsia="宋体" w:cs="宋体"/>
      <w:kern w:val="2"/>
      <w:sz w:val="24"/>
      <w:szCs w:val="24"/>
      <w:lang w:val="en-US" w:eastAsia="zh-CN" w:bidi="ar-SA"/>
    </w:rPr>
  </w:style>
  <w:style w:type="character" w:customStyle="1" w:styleId="1757">
    <w:name w:val="表格内字体 Char71"/>
    <w:qFormat/>
    <w:uiPriority w:val="0"/>
    <w:rPr>
      <w:rFonts w:ascii="宋体" w:hAnsi="宋体" w:eastAsia="宋体"/>
      <w:kern w:val="2"/>
      <w:sz w:val="21"/>
      <w:szCs w:val="24"/>
      <w:lang w:val="en-US" w:eastAsia="zh-CN" w:bidi="ar-SA"/>
    </w:rPr>
  </w:style>
  <w:style w:type="character" w:customStyle="1" w:styleId="1758">
    <w:name w:val="emailstyle544"/>
    <w:qFormat/>
    <w:uiPriority w:val="0"/>
    <w:rPr>
      <w:rFonts w:hint="default" w:ascii="Arial" w:hAnsi="Arial" w:eastAsia="宋体" w:cs="Arial"/>
      <w:color w:val="000080"/>
      <w:sz w:val="18"/>
      <w:szCs w:val="20"/>
    </w:rPr>
  </w:style>
  <w:style w:type="character" w:customStyle="1" w:styleId="1759">
    <w:name w:val="m_b11"/>
    <w:qFormat/>
    <w:uiPriority w:val="0"/>
    <w:rPr>
      <w:b/>
      <w:bCs/>
      <w:sz w:val="24"/>
      <w:szCs w:val="24"/>
    </w:rPr>
  </w:style>
  <w:style w:type="character" w:customStyle="1" w:styleId="1760">
    <w:name w:val="表题1 Char61"/>
    <w:qFormat/>
    <w:uiPriority w:val="0"/>
    <w:rPr>
      <w:rFonts w:ascii="黑体" w:hAnsi="Arial" w:eastAsia="黑体" w:cs="Arial"/>
      <w:b/>
      <w:kern w:val="2"/>
      <w:sz w:val="24"/>
      <w:szCs w:val="24"/>
      <w:lang w:val="en-US" w:eastAsia="zh-CN" w:bidi="ar-SA"/>
    </w:rPr>
  </w:style>
  <w:style w:type="character" w:customStyle="1" w:styleId="1761">
    <w:name w:val="Char Char52"/>
    <w:qFormat/>
    <w:uiPriority w:val="0"/>
    <w:rPr>
      <w:rFonts w:ascii="黑体" w:hAnsi="宋体" w:eastAsia="黑体"/>
      <w:bCs/>
      <w:kern w:val="2"/>
      <w:sz w:val="28"/>
      <w:szCs w:val="28"/>
      <w:lang w:val="en-US" w:eastAsia="zh-CN" w:bidi="ar-SA"/>
    </w:rPr>
  </w:style>
  <w:style w:type="character" w:customStyle="1" w:styleId="1762">
    <w:name w:val="正文1-1 Char Char"/>
    <w:link w:val="1763"/>
    <w:qFormat/>
    <w:uiPriority w:val="0"/>
    <w:rPr>
      <w:rFonts w:ascii="宋体" w:hAnsi="宋体" w:eastAsia="仿宋_GB2312"/>
      <w:sz w:val="28"/>
      <w:szCs w:val="24"/>
    </w:rPr>
  </w:style>
  <w:style w:type="paragraph" w:customStyle="1" w:styleId="1763">
    <w:name w:val="正文1-1"/>
    <w:basedOn w:val="1"/>
    <w:link w:val="1762"/>
    <w:qFormat/>
    <w:uiPriority w:val="0"/>
    <w:pPr>
      <w:widowControl/>
      <w:snapToGrid w:val="0"/>
      <w:spacing w:line="360" w:lineRule="auto"/>
      <w:ind w:firstLine="200" w:firstLineChars="200"/>
      <w:jc w:val="left"/>
    </w:pPr>
    <w:rPr>
      <w:rFonts w:hAnsi="宋体" w:eastAsia="仿宋_GB2312"/>
      <w:sz w:val="28"/>
      <w:szCs w:val="24"/>
    </w:rPr>
  </w:style>
  <w:style w:type="character" w:customStyle="1" w:styleId="1764">
    <w:name w:val="正文文本缩进 3 Char11"/>
    <w:qFormat/>
    <w:uiPriority w:val="0"/>
    <w:rPr>
      <w:rFonts w:eastAsia="宋体"/>
      <w:kern w:val="2"/>
      <w:sz w:val="16"/>
      <w:szCs w:val="16"/>
      <w:lang w:val="en-US" w:eastAsia="zh-CN" w:bidi="ar-SA"/>
    </w:rPr>
  </w:style>
  <w:style w:type="character" w:customStyle="1" w:styleId="1765">
    <w:name w:val="题注 Char14"/>
    <w:qFormat/>
    <w:uiPriority w:val="0"/>
    <w:rPr>
      <w:rFonts w:ascii="黑体" w:hAnsi="Arial" w:eastAsia="黑体" w:cs="Arial"/>
      <w:b/>
      <w:kern w:val="2"/>
      <w:sz w:val="24"/>
      <w:szCs w:val="24"/>
      <w:lang w:val="en-US" w:eastAsia="zh-CN" w:bidi="ar-SA"/>
    </w:rPr>
  </w:style>
  <w:style w:type="character" w:customStyle="1" w:styleId="1766">
    <w:name w:val="正文文本 3 Char3"/>
    <w:qFormat/>
    <w:uiPriority w:val="0"/>
    <w:rPr>
      <w:rFonts w:ascii="Times New Roman" w:hAnsi="Times New Roman" w:eastAsia="宋体" w:cs="Times New Roman"/>
      <w:kern w:val="2"/>
      <w:sz w:val="16"/>
      <w:szCs w:val="16"/>
      <w:lang w:val="en-US" w:eastAsia="zh-CN" w:bidi="ar-SA"/>
    </w:rPr>
  </w:style>
  <w:style w:type="character" w:customStyle="1" w:styleId="1767">
    <w:name w:val="正文文本缩进 Char2"/>
    <w:qFormat/>
    <w:uiPriority w:val="0"/>
    <w:rPr>
      <w:rFonts w:ascii="宋体" w:hAnsi="宋体" w:eastAsia="宋体" w:cs="宋体"/>
      <w:color w:val="000000"/>
      <w:kern w:val="2"/>
      <w:sz w:val="24"/>
      <w:szCs w:val="24"/>
      <w:lang w:val="en-US" w:eastAsia="zh-CN" w:bidi="ar-SA"/>
    </w:rPr>
  </w:style>
  <w:style w:type="character" w:customStyle="1" w:styleId="1768">
    <w:name w:val="样式 宋体 四号 加粗"/>
    <w:qFormat/>
    <w:uiPriority w:val="0"/>
    <w:rPr>
      <w:rFonts w:ascii="宋体" w:hAnsi="宋体"/>
      <w:b/>
      <w:bCs/>
      <w:sz w:val="28"/>
    </w:rPr>
  </w:style>
  <w:style w:type="character" w:customStyle="1" w:styleId="1769">
    <w:name w:val="word16b1"/>
    <w:qFormat/>
    <w:uiPriority w:val="0"/>
    <w:rPr>
      <w:rFonts w:hint="default" w:ascii="Arial" w:hAnsi="Arial" w:eastAsia="華康中楷體" w:cs="Arial"/>
      <w:b/>
      <w:bCs/>
      <w:spacing w:val="15"/>
      <w:sz w:val="24"/>
      <w:szCs w:val="24"/>
      <w:lang w:val="en-US" w:eastAsia="en-US" w:bidi="ar-SA"/>
    </w:rPr>
  </w:style>
  <w:style w:type="character" w:customStyle="1" w:styleId="1770">
    <w:name w:val="标题 1 Char5"/>
    <w:qFormat/>
    <w:uiPriority w:val="0"/>
    <w:rPr>
      <w:rFonts w:ascii="黑体" w:hAnsi="宋体" w:eastAsia="黑体" w:cs="Times New Roman"/>
      <w:bCs/>
      <w:kern w:val="44"/>
      <w:sz w:val="32"/>
      <w:szCs w:val="32"/>
      <w:lang w:val="en-US" w:eastAsia="zh-CN" w:bidi="ar-SA"/>
    </w:rPr>
  </w:style>
  <w:style w:type="character" w:customStyle="1" w:styleId="1771">
    <w:name w:val="Char Char219"/>
    <w:qFormat/>
    <w:uiPriority w:val="0"/>
    <w:rPr>
      <w:rFonts w:ascii="黑体" w:eastAsia="宋体"/>
      <w:kern w:val="2"/>
      <w:sz w:val="16"/>
      <w:szCs w:val="16"/>
      <w:lang w:val="en-US" w:eastAsia="zh-CN" w:bidi="ar-SA"/>
    </w:rPr>
  </w:style>
  <w:style w:type="character" w:customStyle="1" w:styleId="1772">
    <w:name w:val="河石1 Char21"/>
    <w:qFormat/>
    <w:uiPriority w:val="0"/>
    <w:rPr>
      <w:rFonts w:ascii="黑体" w:hAnsi="宋体" w:eastAsia="黑体" w:cs="Times New Roman"/>
      <w:bCs/>
      <w:kern w:val="44"/>
      <w:sz w:val="32"/>
      <w:szCs w:val="32"/>
      <w:lang w:val="en-US" w:eastAsia="zh-CN" w:bidi="ar-SA"/>
    </w:rPr>
  </w:style>
  <w:style w:type="character" w:customStyle="1" w:styleId="1773">
    <w:name w:val="批注框文本 Char4"/>
    <w:qFormat/>
    <w:uiPriority w:val="0"/>
    <w:rPr>
      <w:rFonts w:eastAsia="宋体"/>
      <w:kern w:val="2"/>
      <w:sz w:val="18"/>
      <w:szCs w:val="18"/>
      <w:lang w:val="en-US" w:eastAsia="zh-CN" w:bidi="ar-SA"/>
    </w:rPr>
  </w:style>
  <w:style w:type="character" w:customStyle="1" w:styleId="1774">
    <w:name w:val="t3"/>
    <w:qFormat/>
    <w:uiPriority w:val="0"/>
  </w:style>
  <w:style w:type="character" w:customStyle="1" w:styleId="1775">
    <w:name w:val="标题 6 Char11"/>
    <w:qFormat/>
    <w:uiPriority w:val="0"/>
    <w:rPr>
      <w:rFonts w:ascii="Arial" w:hAnsi="Arial" w:eastAsia="黑体"/>
      <w:b/>
      <w:bCs/>
      <w:kern w:val="2"/>
      <w:sz w:val="24"/>
      <w:szCs w:val="24"/>
      <w:lang w:val="en-US" w:eastAsia="zh-CN" w:bidi="ar-SA"/>
    </w:rPr>
  </w:style>
  <w:style w:type="character" w:customStyle="1" w:styleId="1776">
    <w:name w:val="正文文本 Char4"/>
    <w:qFormat/>
    <w:uiPriority w:val="0"/>
    <w:rPr>
      <w:rFonts w:ascii="Times New Roman" w:hAnsi="Times New Roman" w:eastAsia="宋体" w:cs="Times New Roman"/>
      <w:kern w:val="2"/>
      <w:sz w:val="24"/>
      <w:szCs w:val="24"/>
      <w:lang w:val="en-US" w:eastAsia="zh-CN" w:bidi="ar-SA"/>
    </w:rPr>
  </w:style>
  <w:style w:type="character" w:customStyle="1" w:styleId="1777">
    <w:name w:val="表题1 Char411"/>
    <w:qFormat/>
    <w:uiPriority w:val="0"/>
    <w:rPr>
      <w:rFonts w:ascii="黑体" w:hAnsi="Arial" w:eastAsia="黑体" w:cs="Arial"/>
      <w:b/>
      <w:kern w:val="2"/>
      <w:sz w:val="24"/>
      <w:szCs w:val="24"/>
      <w:lang w:val="en-US" w:eastAsia="zh-CN" w:bidi="ar-SA"/>
    </w:rPr>
  </w:style>
  <w:style w:type="character" w:customStyle="1" w:styleId="1778">
    <w:name w:val="Char Char122"/>
    <w:qFormat/>
    <w:uiPriority w:val="0"/>
    <w:rPr>
      <w:rFonts w:ascii="黑体" w:hAnsi="Arial" w:eastAsia="黑体"/>
      <w:b/>
      <w:bCs/>
      <w:kern w:val="2"/>
      <w:sz w:val="30"/>
      <w:szCs w:val="30"/>
      <w:lang w:val="en-US" w:eastAsia="zh-CN" w:bidi="ar-SA"/>
    </w:rPr>
  </w:style>
  <w:style w:type="character" w:customStyle="1" w:styleId="1779">
    <w:name w:val="Char Char1119"/>
    <w:qFormat/>
    <w:uiPriority w:val="0"/>
    <w:rPr>
      <w:rFonts w:ascii="黑体" w:hAnsi="Arial" w:eastAsia="黑体"/>
      <w:bCs/>
      <w:kern w:val="2"/>
      <w:sz w:val="30"/>
      <w:szCs w:val="30"/>
      <w:lang w:val="en-US" w:eastAsia="zh-CN" w:bidi="ar-SA"/>
    </w:rPr>
  </w:style>
  <w:style w:type="character" w:customStyle="1" w:styleId="1780">
    <w:name w:val="占位符文本1"/>
    <w:qFormat/>
    <w:uiPriority w:val="0"/>
    <w:rPr>
      <w:rFonts w:eastAsia="宋体"/>
      <w:color w:val="808080"/>
      <w:kern w:val="2"/>
      <w:sz w:val="24"/>
      <w:szCs w:val="24"/>
      <w:lang w:val="en-US" w:eastAsia="zh-CN" w:bidi="ar-SA"/>
    </w:rPr>
  </w:style>
  <w:style w:type="character" w:customStyle="1" w:styleId="1781">
    <w:name w:val="Char Char625"/>
    <w:qFormat/>
    <w:uiPriority w:val="0"/>
    <w:rPr>
      <w:rFonts w:ascii="黑体" w:eastAsia="黑体"/>
      <w:b/>
      <w:bCs/>
      <w:kern w:val="2"/>
      <w:sz w:val="28"/>
      <w:szCs w:val="28"/>
      <w:lang w:val="en-US" w:eastAsia="zh-CN" w:bidi="ar-SA"/>
    </w:rPr>
  </w:style>
  <w:style w:type="character" w:customStyle="1" w:styleId="1782">
    <w:name w:val="Char Char217"/>
    <w:qFormat/>
    <w:uiPriority w:val="0"/>
    <w:rPr>
      <w:rFonts w:ascii="黑体" w:eastAsia="宋体"/>
      <w:kern w:val="2"/>
      <w:sz w:val="16"/>
      <w:szCs w:val="16"/>
      <w:lang w:val="en-US" w:eastAsia="zh-CN" w:bidi="ar-SA"/>
    </w:rPr>
  </w:style>
  <w:style w:type="character" w:customStyle="1" w:styleId="1783">
    <w:name w:val="Char Char81"/>
    <w:qFormat/>
    <w:uiPriority w:val="0"/>
    <w:rPr>
      <w:rFonts w:eastAsia="宋体"/>
      <w:kern w:val="2"/>
      <w:sz w:val="16"/>
      <w:szCs w:val="16"/>
      <w:lang w:val="en-US" w:eastAsia="zh-CN" w:bidi="ar-SA"/>
    </w:rPr>
  </w:style>
  <w:style w:type="character" w:customStyle="1" w:styleId="1784">
    <w:name w:val="正文修改 Char1312"/>
    <w:qFormat/>
    <w:uiPriority w:val="0"/>
    <w:rPr>
      <w:rFonts w:ascii="宋体" w:hAnsi="宋体" w:eastAsia="宋体" w:cs="宋体"/>
      <w:color w:val="000000"/>
      <w:kern w:val="2"/>
      <w:sz w:val="24"/>
      <w:szCs w:val="24"/>
      <w:lang w:val="en-US" w:eastAsia="zh-CN" w:bidi="ar-SA"/>
    </w:rPr>
  </w:style>
  <w:style w:type="character" w:customStyle="1" w:styleId="1785">
    <w:name w:val="标题1 Char Char"/>
    <w:qFormat/>
    <w:uiPriority w:val="0"/>
    <w:rPr>
      <w:rFonts w:eastAsia="宋体"/>
      <w:b/>
      <w:bCs/>
      <w:kern w:val="44"/>
      <w:sz w:val="28"/>
      <w:szCs w:val="44"/>
      <w:lang w:val="en-US" w:eastAsia="zh-CN" w:bidi="ar-SA"/>
    </w:rPr>
  </w:style>
  <w:style w:type="character" w:customStyle="1" w:styleId="1786">
    <w:name w:val="我的标题 2 Char"/>
    <w:qFormat/>
    <w:uiPriority w:val="0"/>
    <w:rPr>
      <w:rFonts w:ascii="Arial" w:hAnsi="Arial" w:eastAsia="黑体"/>
      <w:b/>
      <w:bCs/>
      <w:kern w:val="2"/>
      <w:sz w:val="24"/>
      <w:szCs w:val="32"/>
      <w:lang w:val="en-US" w:eastAsia="zh-CN" w:bidi="ar-SA"/>
    </w:rPr>
  </w:style>
  <w:style w:type="character" w:customStyle="1" w:styleId="1787">
    <w:name w:val="Char Char615"/>
    <w:qFormat/>
    <w:uiPriority w:val="0"/>
    <w:rPr>
      <w:rFonts w:ascii="黑体" w:eastAsia="黑体"/>
      <w:b/>
      <w:bCs/>
      <w:kern w:val="2"/>
      <w:sz w:val="28"/>
      <w:szCs w:val="28"/>
      <w:lang w:val="en-US" w:eastAsia="zh-CN" w:bidi="ar-SA"/>
    </w:rPr>
  </w:style>
  <w:style w:type="character" w:customStyle="1" w:styleId="1788">
    <w:name w:val="正文格式 Char61"/>
    <w:qFormat/>
    <w:uiPriority w:val="0"/>
    <w:rPr>
      <w:rFonts w:ascii="宋体" w:hAnsi="宋体" w:eastAsia="宋体" w:cs="Times New Roman"/>
      <w:kern w:val="2"/>
      <w:sz w:val="24"/>
      <w:szCs w:val="24"/>
      <w:lang w:val="en-US" w:eastAsia="zh-CN" w:bidi="ar-SA"/>
    </w:rPr>
  </w:style>
  <w:style w:type="character" w:customStyle="1" w:styleId="1789">
    <w:name w:val="小五 Char Char Char1"/>
    <w:qFormat/>
    <w:uiPriority w:val="0"/>
    <w:rPr>
      <w:rFonts w:ascii="宋体" w:hAnsi="宋体" w:eastAsia="宋体"/>
      <w:kern w:val="2"/>
      <w:sz w:val="21"/>
      <w:szCs w:val="21"/>
      <w:lang w:val="en-US" w:eastAsia="zh-CN" w:bidi="ar-SA"/>
    </w:rPr>
  </w:style>
  <w:style w:type="character" w:customStyle="1" w:styleId="1790">
    <w:name w:val="正文格式 Char12"/>
    <w:qFormat/>
    <w:uiPriority w:val="0"/>
    <w:rPr>
      <w:rFonts w:ascii="宋体" w:hAnsi="宋体" w:eastAsia="宋体" w:cs="Times New Roman"/>
      <w:kern w:val="2"/>
      <w:sz w:val="24"/>
      <w:szCs w:val="24"/>
      <w:lang w:val="en-US" w:eastAsia="zh-CN" w:bidi="ar-SA"/>
    </w:rPr>
  </w:style>
  <w:style w:type="character" w:customStyle="1" w:styleId="1791">
    <w:name w:val="环评正文 Char1"/>
    <w:qFormat/>
    <w:uiPriority w:val="0"/>
    <w:rPr>
      <w:rFonts w:eastAsia="宋体"/>
      <w:bCs/>
      <w:kern w:val="2"/>
      <w:sz w:val="24"/>
      <w:szCs w:val="24"/>
      <w:lang w:val="en-US" w:eastAsia="zh-CN" w:bidi="ar-SA"/>
    </w:rPr>
  </w:style>
  <w:style w:type="character" w:customStyle="1" w:styleId="1792">
    <w:name w:val="f3"/>
    <w:qFormat/>
    <w:uiPriority w:val="0"/>
  </w:style>
  <w:style w:type="character" w:customStyle="1" w:styleId="1793">
    <w:name w:val="表中文字 Char211"/>
    <w:qFormat/>
    <w:uiPriority w:val="0"/>
    <w:rPr>
      <w:rFonts w:ascii="宋体" w:eastAsia="宋体"/>
      <w:kern w:val="2"/>
      <w:sz w:val="21"/>
      <w:szCs w:val="21"/>
      <w:lang w:val="en-US" w:eastAsia="zh-CN" w:bidi="ar-SA"/>
    </w:rPr>
  </w:style>
  <w:style w:type="character" w:customStyle="1" w:styleId="1794">
    <w:name w:val="批注框文本 Char7"/>
    <w:qFormat/>
    <w:uiPriority w:val="0"/>
    <w:rPr>
      <w:rFonts w:ascii="Times New Roman" w:hAnsi="Times New Roman" w:eastAsia="宋体" w:cs="Times New Roman"/>
      <w:kern w:val="2"/>
      <w:sz w:val="18"/>
      <w:szCs w:val="18"/>
      <w:lang w:val="en-US" w:eastAsia="zh-CN" w:bidi="ar-SA"/>
    </w:rPr>
  </w:style>
  <w:style w:type="character" w:customStyle="1" w:styleId="1795">
    <w:name w:val="middle1"/>
    <w:qFormat/>
    <w:uiPriority w:val="0"/>
    <w:rPr>
      <w:sz w:val="22"/>
      <w:szCs w:val="22"/>
    </w:rPr>
  </w:style>
  <w:style w:type="character" w:customStyle="1" w:styleId="1796">
    <w:name w:val="样式 标题 2节标题标题21.1H2h2第一层条4.1二级标题标题 lxb2二级标题 Char表标题单位... Char Char"/>
    <w:qFormat/>
    <w:uiPriority w:val="0"/>
    <w:rPr>
      <w:rFonts w:eastAsia="宋体" w:cs="Arial"/>
      <w:b/>
      <w:kern w:val="32"/>
      <w:sz w:val="28"/>
      <w:szCs w:val="28"/>
      <w:lang w:val="en-US" w:eastAsia="zh-CN" w:bidi="ar-SA"/>
    </w:rPr>
  </w:style>
  <w:style w:type="character" w:customStyle="1" w:styleId="1797">
    <w:name w:val="style4"/>
    <w:qFormat/>
    <w:uiPriority w:val="0"/>
  </w:style>
  <w:style w:type="character" w:customStyle="1" w:styleId="1798">
    <w:name w:val="chen 正文字体 Char Char"/>
    <w:link w:val="1799"/>
    <w:qFormat/>
    <w:uiPriority w:val="0"/>
  </w:style>
  <w:style w:type="paragraph" w:customStyle="1" w:styleId="1799">
    <w:name w:val="chen 正文字体"/>
    <w:basedOn w:val="1"/>
    <w:link w:val="1798"/>
    <w:qFormat/>
    <w:uiPriority w:val="0"/>
    <w:pPr>
      <w:spacing w:line="360" w:lineRule="auto"/>
      <w:ind w:firstLine="200" w:firstLineChars="200"/>
    </w:pPr>
    <w:rPr>
      <w:sz w:val="20"/>
    </w:rPr>
  </w:style>
  <w:style w:type="character" w:customStyle="1" w:styleId="1800">
    <w:name w:val="表格内容 Char4"/>
    <w:qFormat/>
    <w:uiPriority w:val="0"/>
    <w:rPr>
      <w:rFonts w:eastAsia="宋体"/>
      <w:kern w:val="2"/>
      <w:sz w:val="21"/>
      <w:szCs w:val="21"/>
      <w:lang w:val="en-US" w:eastAsia="zh-CN" w:bidi="ar-SA"/>
    </w:rPr>
  </w:style>
  <w:style w:type="character" w:customStyle="1" w:styleId="1801">
    <w:name w:val="Char Char514"/>
    <w:qFormat/>
    <w:uiPriority w:val="0"/>
    <w:rPr>
      <w:rFonts w:ascii="黑体" w:hAnsi="宋体" w:eastAsia="黑体"/>
      <w:bCs/>
      <w:kern w:val="2"/>
      <w:sz w:val="28"/>
      <w:szCs w:val="28"/>
      <w:lang w:val="en-US" w:eastAsia="zh-CN" w:bidi="ar-SA"/>
    </w:rPr>
  </w:style>
  <w:style w:type="character" w:customStyle="1" w:styleId="1802">
    <w:name w:val="Char Char1218"/>
    <w:qFormat/>
    <w:uiPriority w:val="0"/>
    <w:rPr>
      <w:rFonts w:ascii="黑体" w:hAnsi="Arial" w:eastAsia="黑体"/>
      <w:b/>
      <w:bCs/>
      <w:kern w:val="2"/>
      <w:sz w:val="30"/>
      <w:szCs w:val="30"/>
      <w:lang w:val="en-US" w:eastAsia="zh-CN" w:bidi="ar-SA"/>
    </w:rPr>
  </w:style>
  <w:style w:type="character" w:customStyle="1" w:styleId="1803">
    <w:name w:val="福建正文缩进 Char2"/>
    <w:qFormat/>
    <w:uiPriority w:val="0"/>
    <w:rPr>
      <w:rFonts w:ascii="宋体" w:hAnsi="宋体" w:eastAsia="宋体" w:cs="宋体"/>
      <w:color w:val="000000"/>
      <w:kern w:val="2"/>
      <w:sz w:val="24"/>
      <w:szCs w:val="24"/>
      <w:lang w:val="en-US" w:eastAsia="zh-CN" w:bidi="ar-SA"/>
    </w:rPr>
  </w:style>
  <w:style w:type="character" w:customStyle="1" w:styleId="1804">
    <w:name w:val="正文文本 3 Char1"/>
    <w:qFormat/>
    <w:uiPriority w:val="0"/>
    <w:rPr>
      <w:rFonts w:eastAsia="宋体"/>
      <w:kern w:val="2"/>
      <w:sz w:val="16"/>
      <w:szCs w:val="16"/>
      <w:lang w:val="en-US" w:eastAsia="zh-CN" w:bidi="ar-SA"/>
    </w:rPr>
  </w:style>
  <w:style w:type="character" w:customStyle="1" w:styleId="1805">
    <w:name w:val="样式 标题 3小标题小节标题标题3H3h33rd level第二层条标题4 + Arial Char Char Char Char Char"/>
    <w:qFormat/>
    <w:uiPriority w:val="0"/>
    <w:rPr>
      <w:rFonts w:eastAsia="宋体"/>
      <w:b/>
      <w:bCs/>
      <w:kern w:val="32"/>
      <w:sz w:val="30"/>
      <w:lang w:val="en-US" w:eastAsia="zh-CN" w:bidi="ar-SA"/>
    </w:rPr>
  </w:style>
  <w:style w:type="character" w:customStyle="1" w:styleId="1806">
    <w:name w:val="样式 标题 3 + 黑体 小四 左侧:  0.86 厘米 首行缩进:  0 厘米 Char Char Char Char Char Char"/>
    <w:qFormat/>
    <w:uiPriority w:val="0"/>
    <w:rPr>
      <w:rFonts w:ascii="黑体" w:eastAsia="黑体"/>
      <w:b/>
      <w:bCs/>
      <w:color w:val="000000"/>
      <w:kern w:val="2"/>
      <w:sz w:val="24"/>
      <w:szCs w:val="24"/>
      <w:lang w:val="en-GB" w:eastAsia="zh-CN" w:bidi="ar-SA"/>
    </w:rPr>
  </w:style>
  <w:style w:type="character" w:customStyle="1" w:styleId="1807">
    <w:name w:val="hhcwt标题1 Char Char"/>
    <w:link w:val="1808"/>
    <w:qFormat/>
    <w:uiPriority w:val="0"/>
    <w:rPr>
      <w:rFonts w:eastAsia="黑体"/>
      <w:kern w:val="44"/>
      <w:sz w:val="36"/>
      <w:lang w:val="zh-CN"/>
    </w:rPr>
  </w:style>
  <w:style w:type="paragraph" w:customStyle="1" w:styleId="1808">
    <w:name w:val="hhcwt标题1"/>
    <w:basedOn w:val="1"/>
    <w:link w:val="1807"/>
    <w:qFormat/>
    <w:uiPriority w:val="0"/>
    <w:pPr>
      <w:keepNext/>
      <w:keepLines/>
      <w:autoSpaceDE w:val="0"/>
      <w:autoSpaceDN w:val="0"/>
      <w:adjustRightInd w:val="0"/>
      <w:spacing w:before="120" w:after="120" w:line="336" w:lineRule="auto"/>
      <w:outlineLvl w:val="0"/>
    </w:pPr>
    <w:rPr>
      <w:rFonts w:ascii="Times New Roman" w:eastAsia="黑体"/>
      <w:kern w:val="44"/>
      <w:sz w:val="36"/>
      <w:lang w:val="zh-CN"/>
    </w:rPr>
  </w:style>
  <w:style w:type="character" w:customStyle="1" w:styleId="1809">
    <w:name w:val="p16"/>
    <w:qFormat/>
    <w:uiPriority w:val="0"/>
  </w:style>
  <w:style w:type="character" w:customStyle="1" w:styleId="1810">
    <w:name w:val="表题 Char9"/>
    <w:qFormat/>
    <w:uiPriority w:val="0"/>
    <w:rPr>
      <w:rFonts w:ascii="黑体" w:hAnsi="Arial" w:eastAsia="黑体" w:cs="Arial"/>
      <w:b/>
      <w:kern w:val="2"/>
      <w:sz w:val="24"/>
      <w:szCs w:val="24"/>
      <w:lang w:val="en-US" w:eastAsia="zh-CN" w:bidi="ar-SA"/>
    </w:rPr>
  </w:style>
  <w:style w:type="character" w:customStyle="1" w:styleId="1811">
    <w:name w:val="题注 Char212"/>
    <w:qFormat/>
    <w:uiPriority w:val="0"/>
    <w:rPr>
      <w:rFonts w:ascii="黑体" w:hAnsi="Arial" w:eastAsia="黑体" w:cs="Arial"/>
      <w:b/>
      <w:kern w:val="2"/>
      <w:sz w:val="24"/>
      <w:szCs w:val="24"/>
      <w:lang w:val="en-US" w:eastAsia="zh-CN" w:bidi="ar-SA"/>
    </w:rPr>
  </w:style>
  <w:style w:type="character" w:customStyle="1" w:styleId="1812">
    <w:name w:val="正文文字 Char Char Char Char Char11"/>
    <w:qFormat/>
    <w:uiPriority w:val="0"/>
    <w:rPr>
      <w:rFonts w:eastAsia="宋体"/>
      <w:kern w:val="2"/>
      <w:sz w:val="21"/>
      <w:szCs w:val="24"/>
      <w:lang w:val="en-US" w:eastAsia="zh-CN" w:bidi="ar-SA"/>
    </w:rPr>
  </w:style>
  <w:style w:type="character" w:customStyle="1" w:styleId="1813">
    <w:name w:val="Char Char2116"/>
    <w:qFormat/>
    <w:uiPriority w:val="0"/>
    <w:rPr>
      <w:rFonts w:ascii="黑体" w:eastAsia="宋体"/>
      <w:kern w:val="2"/>
      <w:sz w:val="16"/>
      <w:szCs w:val="16"/>
      <w:lang w:val="en-US" w:eastAsia="zh-CN" w:bidi="ar-SA"/>
    </w:rPr>
  </w:style>
  <w:style w:type="character" w:customStyle="1" w:styleId="1814">
    <w:name w:val="hhcwt标题4 Char Char"/>
    <w:link w:val="1815"/>
    <w:qFormat/>
    <w:uiPriority w:val="0"/>
    <w:rPr>
      <w:bCs/>
      <w:sz w:val="24"/>
    </w:rPr>
  </w:style>
  <w:style w:type="paragraph" w:customStyle="1" w:styleId="1815">
    <w:name w:val="hhcwt标题4"/>
    <w:basedOn w:val="7"/>
    <w:link w:val="1814"/>
    <w:qFormat/>
    <w:uiPriority w:val="0"/>
    <w:pPr>
      <w:spacing w:line="360" w:lineRule="auto"/>
    </w:pPr>
    <w:rPr>
      <w:rFonts w:ascii="Times New Roman" w:hAnsi="Times New Roman" w:eastAsia="宋体"/>
      <w:sz w:val="24"/>
      <w:szCs w:val="20"/>
    </w:rPr>
  </w:style>
  <w:style w:type="character" w:customStyle="1" w:styleId="1816">
    <w:name w:val="Char Char2119"/>
    <w:qFormat/>
    <w:uiPriority w:val="0"/>
    <w:rPr>
      <w:rFonts w:eastAsia="宋体"/>
      <w:kern w:val="2"/>
      <w:sz w:val="18"/>
      <w:lang w:val="en-US" w:eastAsia="zh-CN" w:bidi="ar-SA"/>
    </w:rPr>
  </w:style>
  <w:style w:type="character" w:customStyle="1" w:styleId="1817">
    <w:name w:val="Char Char1216"/>
    <w:qFormat/>
    <w:uiPriority w:val="0"/>
    <w:rPr>
      <w:rFonts w:ascii="黑体" w:hAnsi="Arial" w:eastAsia="黑体"/>
      <w:b/>
      <w:bCs/>
      <w:kern w:val="2"/>
      <w:sz w:val="30"/>
      <w:szCs w:val="30"/>
      <w:lang w:val="en-US" w:eastAsia="zh-CN" w:bidi="ar-SA"/>
    </w:rPr>
  </w:style>
  <w:style w:type="character" w:customStyle="1" w:styleId="1818">
    <w:name w:val="表格内字体 Char51"/>
    <w:qFormat/>
    <w:uiPriority w:val="0"/>
    <w:rPr>
      <w:rFonts w:ascii="宋体" w:hAnsi="宋体" w:eastAsia="宋体"/>
      <w:kern w:val="2"/>
      <w:sz w:val="21"/>
      <w:szCs w:val="24"/>
      <w:lang w:val="en-US" w:eastAsia="zh-CN" w:bidi="ar-SA"/>
    </w:rPr>
  </w:style>
  <w:style w:type="character" w:customStyle="1" w:styleId="1819">
    <w:name w:val="表题1 Char111"/>
    <w:qFormat/>
    <w:uiPriority w:val="0"/>
    <w:rPr>
      <w:rFonts w:hAnsi="Arial" w:eastAsia="宋体" w:cs="Arial"/>
      <w:kern w:val="2"/>
      <w:sz w:val="24"/>
      <w:szCs w:val="24"/>
      <w:lang w:val="en-US" w:eastAsia="zh-CN" w:bidi="ar-SA"/>
    </w:rPr>
  </w:style>
  <w:style w:type="character" w:customStyle="1" w:styleId="1820">
    <w:name w:val="标题 3 Char12"/>
    <w:qFormat/>
    <w:uiPriority w:val="0"/>
    <w:rPr>
      <w:rFonts w:ascii="黑体" w:hAnsi="宋体" w:eastAsia="黑体"/>
      <w:b/>
      <w:bCs/>
      <w:kern w:val="2"/>
      <w:sz w:val="28"/>
      <w:szCs w:val="28"/>
      <w:lang w:val="en-US" w:eastAsia="zh-CN" w:bidi="ar-SA"/>
    </w:rPr>
  </w:style>
  <w:style w:type="character" w:customStyle="1" w:styleId="1821">
    <w:name w:val="正文修改 Char11"/>
    <w:qFormat/>
    <w:uiPriority w:val="0"/>
    <w:rPr>
      <w:rFonts w:ascii="宋体" w:hAnsi="宋体" w:eastAsia="宋体" w:cs="宋体"/>
      <w:color w:val="000000"/>
      <w:kern w:val="2"/>
      <w:sz w:val="24"/>
      <w:szCs w:val="24"/>
      <w:lang w:val="en-US" w:eastAsia="zh-CN" w:bidi="ar-SA"/>
    </w:rPr>
  </w:style>
  <w:style w:type="character" w:customStyle="1" w:styleId="1822">
    <w:name w:val="text31"/>
    <w:qFormat/>
    <w:uiPriority w:val="0"/>
    <w:rPr>
      <w:rFonts w:hint="eastAsia" w:ascii="宋体" w:hAnsi="宋体" w:eastAsia="宋体"/>
      <w:color w:val="673434"/>
      <w:kern w:val="2"/>
      <w:sz w:val="22"/>
      <w:szCs w:val="22"/>
      <w:u w:val="none"/>
      <w:lang w:val="en-US" w:eastAsia="zh-CN" w:bidi="ar-SA"/>
    </w:rPr>
  </w:style>
  <w:style w:type="character" w:customStyle="1" w:styleId="1823">
    <w:name w:val="Char Char127"/>
    <w:qFormat/>
    <w:uiPriority w:val="0"/>
    <w:rPr>
      <w:rFonts w:ascii="黑体" w:hAnsi="Arial" w:eastAsia="黑体"/>
      <w:b/>
      <w:bCs/>
      <w:kern w:val="2"/>
      <w:sz w:val="30"/>
      <w:szCs w:val="30"/>
      <w:lang w:val="en-US" w:eastAsia="zh-CN" w:bidi="ar-SA"/>
    </w:rPr>
  </w:style>
  <w:style w:type="character" w:styleId="1824">
    <w:name w:val="Placeholder Text"/>
    <w:qFormat/>
    <w:uiPriority w:val="99"/>
    <w:rPr>
      <w:rFonts w:eastAsia="宋体"/>
      <w:color w:val="808080"/>
      <w:kern w:val="2"/>
      <w:sz w:val="24"/>
      <w:szCs w:val="24"/>
      <w:lang w:val="en-US" w:eastAsia="zh-CN" w:bidi="ar-SA"/>
    </w:rPr>
  </w:style>
  <w:style w:type="character" w:customStyle="1" w:styleId="1825">
    <w:name w:val="大港正文 Char Char"/>
    <w:link w:val="1826"/>
    <w:qFormat/>
    <w:uiPriority w:val="0"/>
    <w:rPr>
      <w:rFonts w:ascii="宋体" w:hAnsi="宋体"/>
      <w:sz w:val="24"/>
      <w:szCs w:val="24"/>
    </w:rPr>
  </w:style>
  <w:style w:type="paragraph" w:customStyle="1" w:styleId="1826">
    <w:name w:val="大港正文"/>
    <w:basedOn w:val="1"/>
    <w:next w:val="1"/>
    <w:link w:val="1825"/>
    <w:qFormat/>
    <w:uiPriority w:val="0"/>
    <w:pPr>
      <w:adjustRightInd w:val="0"/>
      <w:snapToGrid w:val="0"/>
      <w:spacing w:line="360" w:lineRule="auto"/>
      <w:ind w:firstLine="540" w:firstLineChars="225"/>
    </w:pPr>
    <w:rPr>
      <w:rFonts w:hAnsi="宋体"/>
      <w:szCs w:val="24"/>
    </w:rPr>
  </w:style>
  <w:style w:type="character" w:customStyle="1" w:styleId="1827">
    <w:name w:val="表格 Char Char Char1"/>
    <w:qFormat/>
    <w:uiPriority w:val="0"/>
    <w:rPr>
      <w:rFonts w:ascii="Arial" w:hAnsi="Arial" w:eastAsia="华文细黑"/>
      <w:kern w:val="2"/>
      <w:sz w:val="21"/>
      <w:szCs w:val="30"/>
      <w:lang w:val="en-US" w:eastAsia="zh-CN" w:bidi="ar-SA"/>
    </w:rPr>
  </w:style>
  <w:style w:type="character" w:customStyle="1" w:styleId="1828">
    <w:name w:val="标题 2 Char11"/>
    <w:qFormat/>
    <w:uiPriority w:val="0"/>
    <w:rPr>
      <w:rFonts w:hAnsi="Arial" w:eastAsia="宋体"/>
      <w:bCs/>
      <w:kern w:val="2"/>
      <w:sz w:val="30"/>
      <w:szCs w:val="30"/>
      <w:lang w:val="en-US" w:eastAsia="zh-CN" w:bidi="ar-SA"/>
    </w:rPr>
  </w:style>
  <w:style w:type="character" w:customStyle="1" w:styleId="1829">
    <w:name w:val="ln1"/>
    <w:qFormat/>
    <w:uiPriority w:val="0"/>
    <w:rPr>
      <w:rFonts w:hint="default"/>
      <w:color w:val="000000"/>
      <w:sz w:val="28"/>
      <w:szCs w:val="28"/>
      <w:u w:val="none"/>
    </w:rPr>
  </w:style>
  <w:style w:type="character" w:customStyle="1" w:styleId="1830">
    <w:name w:val="标题 3 Char121"/>
    <w:qFormat/>
    <w:uiPriority w:val="0"/>
    <w:rPr>
      <w:rFonts w:ascii="黑体" w:hAnsi="宋体" w:eastAsia="黑体"/>
      <w:b/>
      <w:bCs/>
      <w:kern w:val="2"/>
      <w:sz w:val="28"/>
      <w:szCs w:val="28"/>
      <w:lang w:val="en-US" w:eastAsia="zh-CN" w:bidi="ar-SA"/>
    </w:rPr>
  </w:style>
  <w:style w:type="character" w:customStyle="1" w:styleId="1831">
    <w:name w:val="表格内字体 Char61"/>
    <w:qFormat/>
    <w:uiPriority w:val="0"/>
    <w:rPr>
      <w:rFonts w:ascii="宋体" w:hAnsi="宋体" w:eastAsia="宋体" w:cs="Times New Roman"/>
      <w:kern w:val="2"/>
      <w:sz w:val="24"/>
      <w:szCs w:val="24"/>
      <w:lang w:val="en-US" w:eastAsia="zh-CN" w:bidi="ar-SA"/>
    </w:rPr>
  </w:style>
  <w:style w:type="character" w:customStyle="1" w:styleId="1832">
    <w:name w:val="Char Char31"/>
    <w:qFormat/>
    <w:uiPriority w:val="0"/>
    <w:rPr>
      <w:rFonts w:ascii="黑体" w:hAnsi="宋体" w:eastAsia="黑体"/>
      <w:b/>
      <w:bCs/>
      <w:kern w:val="2"/>
      <w:sz w:val="28"/>
      <w:szCs w:val="28"/>
      <w:lang w:val="en-US" w:eastAsia="zh-CN" w:bidi="ar-SA"/>
    </w:rPr>
  </w:style>
  <w:style w:type="character" w:customStyle="1" w:styleId="1833">
    <w:name w:val="题注 Char5"/>
    <w:qFormat/>
    <w:uiPriority w:val="0"/>
    <w:rPr>
      <w:rFonts w:ascii="黑体" w:hAnsi="Arial" w:eastAsia="黑体" w:cs="Arial"/>
      <w:b/>
      <w:kern w:val="2"/>
      <w:sz w:val="24"/>
      <w:szCs w:val="24"/>
      <w:lang w:val="en-US" w:eastAsia="zh-CN" w:bidi="ar-SA"/>
    </w:rPr>
  </w:style>
  <w:style w:type="character" w:customStyle="1" w:styleId="1834">
    <w:name w:val="小标 Char1"/>
    <w:qFormat/>
    <w:uiPriority w:val="0"/>
    <w:rPr>
      <w:rFonts w:eastAsia="Arial Unicode MS"/>
      <w:b/>
      <w:bCs/>
      <w:kern w:val="2"/>
      <w:sz w:val="32"/>
      <w:szCs w:val="32"/>
      <w:lang w:val="en-US" w:eastAsia="zh-CN" w:bidi="ar-SA"/>
    </w:rPr>
  </w:style>
  <w:style w:type="character" w:customStyle="1" w:styleId="1835">
    <w:name w:val="Char Char114"/>
    <w:qFormat/>
    <w:uiPriority w:val="0"/>
    <w:rPr>
      <w:rFonts w:ascii="黑体" w:hAnsi="Arial" w:eastAsia="黑体"/>
      <w:bCs/>
      <w:kern w:val="2"/>
      <w:sz w:val="30"/>
      <w:szCs w:val="30"/>
      <w:lang w:val="en-US" w:eastAsia="zh-CN" w:bidi="ar-SA"/>
    </w:rPr>
  </w:style>
  <w:style w:type="character" w:customStyle="1" w:styleId="1836">
    <w:name w:val="无效格式 Char"/>
    <w:qFormat/>
    <w:uiPriority w:val="9"/>
    <w:rPr>
      <w:rFonts w:ascii="黑体" w:hAnsi="Arial" w:eastAsia="黑体"/>
      <w:b/>
      <w:bCs/>
      <w:kern w:val="2"/>
      <w:sz w:val="24"/>
      <w:szCs w:val="24"/>
      <w:lang w:val="en-US" w:eastAsia="zh-CN" w:bidi="ar-SA"/>
    </w:rPr>
  </w:style>
  <w:style w:type="character" w:customStyle="1" w:styleId="1837">
    <w:name w:val="图题 Char3"/>
    <w:qFormat/>
    <w:uiPriority w:val="0"/>
    <w:rPr>
      <w:rFonts w:ascii="黑体" w:hAnsi="宋体" w:eastAsia="黑体" w:cs="宋体"/>
      <w:b/>
      <w:bCs/>
      <w:kern w:val="2"/>
      <w:sz w:val="24"/>
      <w:szCs w:val="24"/>
      <w:lang w:val="en-US" w:eastAsia="zh-CN" w:bidi="ar-SA"/>
    </w:rPr>
  </w:style>
  <w:style w:type="character" w:customStyle="1" w:styleId="1838">
    <w:name w:val="正文修改 Char17"/>
    <w:qFormat/>
    <w:uiPriority w:val="0"/>
    <w:rPr>
      <w:rFonts w:ascii="宋体" w:hAnsi="宋体" w:eastAsia="宋体" w:cs="宋体"/>
      <w:color w:val="000000"/>
      <w:kern w:val="2"/>
      <w:sz w:val="24"/>
      <w:szCs w:val="24"/>
      <w:lang w:val="en-US" w:eastAsia="zh-CN" w:bidi="ar-SA"/>
    </w:rPr>
  </w:style>
  <w:style w:type="character" w:customStyle="1" w:styleId="1839">
    <w:name w:val="Char Char517"/>
    <w:qFormat/>
    <w:uiPriority w:val="0"/>
    <w:rPr>
      <w:rFonts w:ascii="黑体" w:hAnsi="宋体" w:eastAsia="黑体"/>
      <w:bCs/>
      <w:kern w:val="2"/>
      <w:sz w:val="28"/>
      <w:szCs w:val="28"/>
      <w:lang w:val="en-US" w:eastAsia="zh-CN" w:bidi="ar-SA"/>
    </w:rPr>
  </w:style>
  <w:style w:type="character" w:customStyle="1" w:styleId="1840">
    <w:name w:val="图表题 Char13"/>
    <w:qFormat/>
    <w:uiPriority w:val="0"/>
    <w:rPr>
      <w:rFonts w:ascii="黑体" w:hAnsi="宋体" w:eastAsia="黑体"/>
      <w:b/>
      <w:bCs/>
    </w:rPr>
  </w:style>
  <w:style w:type="character" w:customStyle="1" w:styleId="1841">
    <w:name w:val="Char Char46"/>
    <w:qFormat/>
    <w:uiPriority w:val="0"/>
    <w:rPr>
      <w:rFonts w:ascii="黑体" w:hAnsi="Arial" w:eastAsia="黑体"/>
      <w:b/>
      <w:bCs/>
      <w:kern w:val="2"/>
      <w:sz w:val="30"/>
      <w:szCs w:val="30"/>
      <w:lang w:val="en-US" w:eastAsia="zh-CN" w:bidi="ar-SA"/>
    </w:rPr>
  </w:style>
  <w:style w:type="character" w:customStyle="1" w:styleId="1842">
    <w:name w:val="表格内字体 Char31"/>
    <w:qFormat/>
    <w:uiPriority w:val="0"/>
    <w:rPr>
      <w:rFonts w:ascii="宋体" w:hAnsi="宋体" w:eastAsia="宋体"/>
      <w:kern w:val="2"/>
      <w:sz w:val="21"/>
      <w:szCs w:val="24"/>
      <w:lang w:val="en-US" w:eastAsia="zh-CN" w:bidi="ar-SA"/>
    </w:rPr>
  </w:style>
  <w:style w:type="character" w:customStyle="1" w:styleId="1843">
    <w:name w:val="标题 2 Char Char11"/>
    <w:qFormat/>
    <w:uiPriority w:val="0"/>
    <w:rPr>
      <w:rFonts w:ascii="黑体" w:hAnsi="Arial" w:eastAsia="黑体"/>
      <w:bCs/>
      <w:kern w:val="2"/>
      <w:sz w:val="30"/>
      <w:szCs w:val="30"/>
      <w:lang w:val="en-US" w:eastAsia="zh-CN" w:bidi="ar-SA"/>
    </w:rPr>
  </w:style>
  <w:style w:type="character" w:customStyle="1" w:styleId="1844">
    <w:name w:val="表格内字体 Char3"/>
    <w:qFormat/>
    <w:uiPriority w:val="0"/>
    <w:rPr>
      <w:rFonts w:ascii="宋体" w:hAnsi="宋体" w:eastAsia="宋体"/>
      <w:kern w:val="2"/>
      <w:sz w:val="21"/>
      <w:szCs w:val="24"/>
      <w:lang w:val="en-US" w:eastAsia="zh-CN" w:bidi="ar-SA"/>
    </w:rPr>
  </w:style>
  <w:style w:type="character" w:customStyle="1" w:styleId="1845">
    <w:name w:val="正文格式 Char2"/>
    <w:qFormat/>
    <w:uiPriority w:val="0"/>
    <w:rPr>
      <w:rFonts w:ascii="宋体" w:hAnsi="宋体" w:eastAsia="宋体"/>
      <w:kern w:val="2"/>
      <w:sz w:val="24"/>
      <w:szCs w:val="24"/>
      <w:lang w:val="en-US" w:eastAsia="zh-CN" w:bidi="ar-SA"/>
    </w:rPr>
  </w:style>
  <w:style w:type="character" w:customStyle="1" w:styleId="1846">
    <w:name w:val="标题 8 Char1"/>
    <w:qFormat/>
    <w:uiPriority w:val="9"/>
    <w:rPr>
      <w:rFonts w:ascii="Arial" w:hAnsi="Arial" w:eastAsia="黑体"/>
      <w:kern w:val="2"/>
      <w:sz w:val="24"/>
      <w:szCs w:val="24"/>
      <w:lang w:val="en-US" w:eastAsia="zh-CN" w:bidi="ar-SA"/>
    </w:rPr>
  </w:style>
  <w:style w:type="character" w:customStyle="1" w:styleId="1847">
    <w:name w:val="样式 正文缩进 + 宋体 黑色 Char2"/>
    <w:qFormat/>
    <w:uiPriority w:val="0"/>
    <w:rPr>
      <w:rFonts w:ascii="宋体" w:hAnsi="宋体" w:eastAsia="宋体"/>
      <w:color w:val="000000"/>
      <w:kern w:val="2"/>
      <w:sz w:val="24"/>
      <w:szCs w:val="24"/>
      <w:lang w:val="en-US" w:eastAsia="zh-CN" w:bidi="ar-SA"/>
    </w:rPr>
  </w:style>
  <w:style w:type="character" w:customStyle="1" w:styleId="1848">
    <w:name w:val="正文修改 Char112"/>
    <w:qFormat/>
    <w:uiPriority w:val="0"/>
    <w:rPr>
      <w:rFonts w:ascii="宋体" w:hAnsi="宋体" w:eastAsia="宋体" w:cs="宋体"/>
      <w:color w:val="000000"/>
      <w:kern w:val="2"/>
      <w:sz w:val="24"/>
      <w:szCs w:val="24"/>
      <w:lang w:val="en-US" w:eastAsia="zh-CN" w:bidi="ar-SA"/>
    </w:rPr>
  </w:style>
  <w:style w:type="character" w:customStyle="1" w:styleId="1849">
    <w:name w:val="正文斜体 Char Char"/>
    <w:link w:val="1850"/>
    <w:qFormat/>
    <w:uiPriority w:val="0"/>
    <w:rPr>
      <w:rFonts w:ascii="宋体" w:hAnsi="宋体"/>
      <w:i/>
      <w:iCs/>
      <w:sz w:val="24"/>
      <w:szCs w:val="24"/>
    </w:rPr>
  </w:style>
  <w:style w:type="paragraph" w:customStyle="1" w:styleId="1850">
    <w:name w:val="正文斜体"/>
    <w:basedOn w:val="239"/>
    <w:next w:val="239"/>
    <w:link w:val="1849"/>
    <w:qFormat/>
    <w:uiPriority w:val="0"/>
    <w:rPr>
      <w:rFonts w:hAnsi="宋体" w:cs="Times New Roman"/>
      <w:i/>
      <w:iCs/>
    </w:rPr>
  </w:style>
  <w:style w:type="character" w:customStyle="1" w:styleId="1851">
    <w:name w:val="样式 正文文本 + 红色 Char Char Char Char Char1"/>
    <w:qFormat/>
    <w:uiPriority w:val="0"/>
    <w:rPr>
      <w:rFonts w:eastAsia="仿宋_GB2312"/>
      <w:snapToGrid w:val="0"/>
      <w:color w:val="FF0000"/>
      <w:kern w:val="2"/>
      <w:sz w:val="24"/>
      <w:szCs w:val="24"/>
      <w:lang w:val="en-US" w:eastAsia="zh-CN" w:bidi="ar-SA"/>
    </w:rPr>
  </w:style>
  <w:style w:type="character" w:customStyle="1" w:styleId="1852">
    <w:name w:val="Char Char1114"/>
    <w:qFormat/>
    <w:uiPriority w:val="0"/>
    <w:rPr>
      <w:rFonts w:ascii="黑体" w:hAnsi="Arial" w:eastAsia="黑体"/>
      <w:bCs/>
      <w:kern w:val="2"/>
      <w:sz w:val="30"/>
      <w:szCs w:val="30"/>
      <w:lang w:val="en-US" w:eastAsia="zh-CN" w:bidi="ar-SA"/>
    </w:rPr>
  </w:style>
  <w:style w:type="character" w:customStyle="1" w:styleId="1853">
    <w:name w:val="Char Char1122"/>
    <w:qFormat/>
    <w:uiPriority w:val="0"/>
    <w:rPr>
      <w:rFonts w:ascii="黑体" w:hAnsi="Arial" w:eastAsia="黑体"/>
      <w:bCs/>
      <w:kern w:val="2"/>
      <w:sz w:val="30"/>
      <w:szCs w:val="30"/>
      <w:lang w:val="en-US" w:eastAsia="zh-CN" w:bidi="ar-SA"/>
    </w:rPr>
  </w:style>
  <w:style w:type="character" w:customStyle="1" w:styleId="1854">
    <w:name w:val="标题 3 Char21"/>
    <w:qFormat/>
    <w:uiPriority w:val="0"/>
    <w:rPr>
      <w:rFonts w:ascii="黑体" w:hAnsi="宋体" w:eastAsia="黑体"/>
      <w:b/>
      <w:bCs/>
      <w:kern w:val="2"/>
      <w:sz w:val="28"/>
      <w:szCs w:val="28"/>
      <w:lang w:val="en-US" w:eastAsia="zh-CN" w:bidi="ar-SA"/>
    </w:rPr>
  </w:style>
  <w:style w:type="character" w:customStyle="1" w:styleId="1855">
    <w:name w:val="正文首行缩进 2 Char3"/>
    <w:qFormat/>
    <w:uiPriority w:val="0"/>
    <w:rPr>
      <w:rFonts w:ascii="Times New Roman" w:hAnsi="Times New Roman" w:eastAsia="宋体" w:cs="Times New Roman"/>
      <w:kern w:val="2"/>
      <w:sz w:val="28"/>
      <w:szCs w:val="18"/>
      <w:lang w:val="en-US" w:eastAsia="zh-CN" w:bidi="ar-SA"/>
    </w:rPr>
  </w:style>
  <w:style w:type="character" w:customStyle="1" w:styleId="1856">
    <w:name w:val="图表题 Char3"/>
    <w:qFormat/>
    <w:uiPriority w:val="0"/>
    <w:rPr>
      <w:rFonts w:ascii="黑体" w:hAnsi="宋体" w:eastAsia="黑体" w:cs="宋体"/>
      <w:b/>
      <w:bCs/>
      <w:kern w:val="2"/>
      <w:sz w:val="24"/>
      <w:szCs w:val="24"/>
      <w:lang w:val="en-US" w:eastAsia="zh-CN" w:bidi="ar-SA"/>
    </w:rPr>
  </w:style>
  <w:style w:type="character" w:customStyle="1" w:styleId="1857">
    <w:name w:val="孙普文字 Char Char"/>
    <w:qFormat/>
    <w:uiPriority w:val="0"/>
    <w:rPr>
      <w:rFonts w:ascii="宋体" w:hAnsi="Courier New" w:eastAsia="宋体"/>
      <w:kern w:val="2"/>
      <w:sz w:val="21"/>
      <w:lang w:val="en-US" w:eastAsia="zh-CN" w:bidi="ar-SA"/>
    </w:rPr>
  </w:style>
  <w:style w:type="character" w:customStyle="1" w:styleId="1858">
    <w:name w:val="正文格式 Char11"/>
    <w:qFormat/>
    <w:uiPriority w:val="0"/>
    <w:rPr>
      <w:rFonts w:ascii="宋体" w:hAnsi="宋体" w:eastAsia="宋体"/>
      <w:kern w:val="2"/>
      <w:sz w:val="24"/>
      <w:szCs w:val="24"/>
      <w:lang w:val="en-US" w:eastAsia="zh-CN" w:bidi="ar-SA"/>
    </w:rPr>
  </w:style>
  <w:style w:type="character" w:customStyle="1" w:styleId="1859">
    <w:name w:val="正文文本缩进 3 Char3"/>
    <w:qFormat/>
    <w:uiPriority w:val="0"/>
    <w:rPr>
      <w:rFonts w:eastAsia="宋体"/>
      <w:kern w:val="2"/>
      <w:sz w:val="16"/>
      <w:szCs w:val="16"/>
      <w:lang w:val="en-US" w:eastAsia="zh-CN" w:bidi="ar-SA"/>
    </w:rPr>
  </w:style>
  <w:style w:type="character" w:customStyle="1" w:styleId="1860">
    <w:name w:val="p14"/>
    <w:qFormat/>
    <w:uiPriority w:val="0"/>
  </w:style>
  <w:style w:type="character" w:customStyle="1" w:styleId="1861">
    <w:name w:val="Char Char2118"/>
    <w:qFormat/>
    <w:uiPriority w:val="0"/>
    <w:rPr>
      <w:rFonts w:ascii="黑体" w:eastAsia="宋体"/>
      <w:kern w:val="2"/>
      <w:sz w:val="16"/>
      <w:szCs w:val="16"/>
      <w:lang w:val="en-US" w:eastAsia="zh-CN" w:bidi="ar-SA"/>
    </w:rPr>
  </w:style>
  <w:style w:type="character" w:customStyle="1" w:styleId="1862">
    <w:name w:val="Char Char116"/>
    <w:qFormat/>
    <w:uiPriority w:val="0"/>
    <w:rPr>
      <w:rFonts w:ascii="黑体" w:hAnsi="Arial" w:eastAsia="黑体"/>
      <w:bCs/>
      <w:kern w:val="2"/>
      <w:sz w:val="30"/>
      <w:szCs w:val="30"/>
      <w:lang w:val="en-US" w:eastAsia="zh-CN" w:bidi="ar-SA"/>
    </w:rPr>
  </w:style>
  <w:style w:type="character" w:customStyle="1" w:styleId="1863">
    <w:name w:val="表格内字体 Char10"/>
    <w:qFormat/>
    <w:uiPriority w:val="0"/>
    <w:rPr>
      <w:rFonts w:ascii="宋体" w:hAnsi="宋体" w:eastAsia="宋体" w:cs="Times New Roman"/>
      <w:kern w:val="2"/>
      <w:sz w:val="24"/>
      <w:szCs w:val="21"/>
      <w:lang w:val="en-US" w:eastAsia="zh-CN" w:bidi="ar-SA"/>
    </w:rPr>
  </w:style>
  <w:style w:type="character" w:customStyle="1" w:styleId="1864">
    <w:name w:val="正文修改 Char1212"/>
    <w:qFormat/>
    <w:uiPriority w:val="0"/>
    <w:rPr>
      <w:rFonts w:ascii="宋体" w:hAnsi="宋体" w:eastAsia="宋体" w:cs="宋体"/>
      <w:color w:val="000000"/>
      <w:kern w:val="2"/>
      <w:sz w:val="24"/>
      <w:szCs w:val="24"/>
      <w:lang w:val="en-US" w:eastAsia="zh-CN" w:bidi="ar-SA"/>
    </w:rPr>
  </w:style>
  <w:style w:type="character" w:customStyle="1" w:styleId="1865">
    <w:name w:val="正文格式 Char Char Char1"/>
    <w:qFormat/>
    <w:uiPriority w:val="0"/>
    <w:rPr>
      <w:rFonts w:ascii="宋体" w:eastAsia="宋体" w:cs="宋体"/>
      <w:kern w:val="2"/>
      <w:sz w:val="24"/>
      <w:szCs w:val="24"/>
      <w:lang w:val="en-US" w:eastAsia="zh-CN" w:bidi="ar-SA"/>
    </w:rPr>
  </w:style>
  <w:style w:type="character" w:customStyle="1" w:styleId="1866">
    <w:name w:val="表题1 Char413"/>
    <w:qFormat/>
    <w:uiPriority w:val="0"/>
    <w:rPr>
      <w:rFonts w:ascii="黑体" w:hAnsi="Arial" w:eastAsia="黑体" w:cs="Arial"/>
      <w:b/>
      <w:kern w:val="2"/>
      <w:sz w:val="24"/>
      <w:szCs w:val="24"/>
      <w:lang w:val="en-US" w:eastAsia="zh-CN" w:bidi="ar-SA"/>
    </w:rPr>
  </w:style>
  <w:style w:type="character" w:customStyle="1" w:styleId="1867">
    <w:name w:val="报告正文 Char1"/>
    <w:qFormat/>
    <w:uiPriority w:val="0"/>
    <w:rPr>
      <w:rFonts w:eastAsia="宋体"/>
      <w:kern w:val="2"/>
      <w:sz w:val="24"/>
      <w:lang w:val="en-US" w:eastAsia="zh-CN" w:bidi="ar-SA"/>
    </w:rPr>
  </w:style>
  <w:style w:type="character" w:customStyle="1" w:styleId="1868">
    <w:name w:val="表内5 Char11"/>
    <w:qFormat/>
    <w:uiPriority w:val="0"/>
    <w:rPr>
      <w:rFonts w:ascii="宋体" w:hAnsi="宋体" w:eastAsia="宋体" w:cs="Times New Roman"/>
      <w:kern w:val="2"/>
      <w:sz w:val="24"/>
      <w:szCs w:val="24"/>
      <w:lang w:val="en-US" w:eastAsia="zh-CN" w:bidi="ar-SA"/>
    </w:rPr>
  </w:style>
  <w:style w:type="character" w:customStyle="1" w:styleId="1869">
    <w:name w:val="正文缩进 Char111"/>
    <w:qFormat/>
    <w:uiPriority w:val="0"/>
    <w:rPr>
      <w:rFonts w:ascii="宋体" w:hAnsi="宋体" w:eastAsia="宋体" w:cs="宋体"/>
      <w:color w:val="000000"/>
      <w:kern w:val="2"/>
      <w:sz w:val="24"/>
      <w:szCs w:val="24"/>
      <w:lang w:val="en-US" w:eastAsia="zh-CN" w:bidi="ar-SA"/>
    </w:rPr>
  </w:style>
  <w:style w:type="character" w:customStyle="1" w:styleId="1870">
    <w:name w:val="样式 表格内字体 + Char Char"/>
    <w:qFormat/>
    <w:uiPriority w:val="0"/>
    <w:rPr>
      <w:rFonts w:ascii="宋体" w:hAnsi="宋体"/>
      <w:sz w:val="21"/>
      <w:szCs w:val="24"/>
    </w:rPr>
  </w:style>
  <w:style w:type="character" w:customStyle="1" w:styleId="1871">
    <w:name w:val="报告书表格 Char Char"/>
    <w:qFormat/>
    <w:uiPriority w:val="0"/>
    <w:rPr>
      <w:rFonts w:eastAsia="仿宋_GB2312"/>
      <w:sz w:val="24"/>
    </w:rPr>
  </w:style>
  <w:style w:type="character" w:customStyle="1" w:styleId="1872">
    <w:name w:val="标题2 Char21"/>
    <w:qFormat/>
    <w:uiPriority w:val="0"/>
    <w:rPr>
      <w:rFonts w:ascii="宋体" w:hAnsi="宋体" w:eastAsia="宋体" w:cs="宋体"/>
      <w:color w:val="000000"/>
      <w:kern w:val="2"/>
      <w:sz w:val="24"/>
      <w:szCs w:val="24"/>
      <w:lang w:val="en-US" w:eastAsia="zh-CN" w:bidi="ar-SA"/>
    </w:rPr>
  </w:style>
  <w:style w:type="character" w:customStyle="1" w:styleId="1873">
    <w:name w:val="Char Char64"/>
    <w:qFormat/>
    <w:uiPriority w:val="0"/>
    <w:rPr>
      <w:rFonts w:ascii="黑体" w:eastAsia="黑体"/>
      <w:b/>
      <w:bCs/>
      <w:kern w:val="2"/>
      <w:sz w:val="28"/>
      <w:szCs w:val="28"/>
      <w:lang w:val="en-US" w:eastAsia="zh-CN" w:bidi="ar-SA"/>
    </w:rPr>
  </w:style>
  <w:style w:type="character" w:customStyle="1" w:styleId="1874">
    <w:name w:val="燕山正文 Char11"/>
    <w:qFormat/>
    <w:uiPriority w:val="0"/>
    <w:rPr>
      <w:rFonts w:ascii="宋体" w:eastAsia="宋体" w:cs="宋体"/>
      <w:kern w:val="2"/>
      <w:sz w:val="24"/>
      <w:szCs w:val="24"/>
      <w:lang w:val="en-US" w:eastAsia="zh-CN" w:bidi="ar-SA"/>
    </w:rPr>
  </w:style>
  <w:style w:type="character" w:customStyle="1" w:styleId="1875">
    <w:name w:val="正文格式 Char7"/>
    <w:qFormat/>
    <w:uiPriority w:val="0"/>
    <w:rPr>
      <w:rFonts w:ascii="宋体" w:hAnsi="宋体" w:eastAsia="宋体"/>
      <w:kern w:val="2"/>
      <w:sz w:val="24"/>
      <w:szCs w:val="24"/>
      <w:lang w:val="en-US" w:eastAsia="zh-CN" w:bidi="ar-SA"/>
    </w:rPr>
  </w:style>
  <w:style w:type="character" w:customStyle="1" w:styleId="1876">
    <w:name w:val="A正文 Char Char"/>
    <w:link w:val="1877"/>
    <w:qFormat/>
    <w:uiPriority w:val="0"/>
    <w:rPr>
      <w:rFonts w:eastAsia="仿宋_GB2312"/>
      <w:sz w:val="24"/>
      <w:szCs w:val="24"/>
    </w:rPr>
  </w:style>
  <w:style w:type="paragraph" w:customStyle="1" w:styleId="1877">
    <w:name w:val="A正文"/>
    <w:basedOn w:val="1"/>
    <w:link w:val="1876"/>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eastAsia="仿宋_GB2312"/>
      <w:szCs w:val="24"/>
    </w:rPr>
  </w:style>
  <w:style w:type="character" w:customStyle="1" w:styleId="1878">
    <w:name w:val="环正文 Char1"/>
    <w:link w:val="1879"/>
    <w:qFormat/>
    <w:uiPriority w:val="0"/>
    <w:rPr>
      <w:rFonts w:ascii="仿宋_GB2312" w:eastAsia="仿宋_GB2312"/>
      <w:sz w:val="28"/>
      <w:szCs w:val="24"/>
    </w:rPr>
  </w:style>
  <w:style w:type="paragraph" w:customStyle="1" w:styleId="1879">
    <w:name w:val="环正文"/>
    <w:basedOn w:val="1"/>
    <w:link w:val="1878"/>
    <w:qFormat/>
    <w:uiPriority w:val="0"/>
    <w:pPr>
      <w:widowControl/>
      <w:suppressAutoHyphens/>
      <w:adjustRightInd w:val="0"/>
      <w:snapToGrid w:val="0"/>
      <w:spacing w:line="500" w:lineRule="exact"/>
      <w:ind w:firstLine="560" w:firstLineChars="200"/>
      <w:textAlignment w:val="baseline"/>
    </w:pPr>
    <w:rPr>
      <w:rFonts w:ascii="仿宋_GB2312" w:eastAsia="仿宋_GB2312"/>
      <w:sz w:val="28"/>
      <w:szCs w:val="24"/>
    </w:rPr>
  </w:style>
  <w:style w:type="character" w:customStyle="1" w:styleId="1880">
    <w:name w:val="正文格式 Char8"/>
    <w:qFormat/>
    <w:uiPriority w:val="0"/>
    <w:rPr>
      <w:rFonts w:ascii="宋体" w:hAnsi="宋体" w:eastAsia="宋体"/>
      <w:kern w:val="2"/>
      <w:sz w:val="24"/>
      <w:szCs w:val="24"/>
      <w:lang w:val="en-US" w:eastAsia="zh-CN" w:bidi="ar-SA"/>
    </w:rPr>
  </w:style>
  <w:style w:type="character" w:customStyle="1" w:styleId="1881">
    <w:name w:val="样式 正文缩进 + 宋体 黑色 Char4"/>
    <w:qFormat/>
    <w:uiPriority w:val="0"/>
    <w:rPr>
      <w:rFonts w:ascii="宋体" w:hAnsi="宋体" w:eastAsia="宋体"/>
      <w:color w:val="000000"/>
      <w:kern w:val="2"/>
      <w:sz w:val="24"/>
      <w:szCs w:val="24"/>
      <w:lang w:val="en-US" w:eastAsia="zh-CN" w:bidi="ar-SA"/>
    </w:rPr>
  </w:style>
  <w:style w:type="character" w:customStyle="1" w:styleId="1882">
    <w:name w:val="Char Char212"/>
    <w:qFormat/>
    <w:uiPriority w:val="0"/>
    <w:rPr>
      <w:rFonts w:ascii="黑体" w:eastAsia="宋体"/>
      <w:kern w:val="2"/>
      <w:sz w:val="16"/>
      <w:szCs w:val="16"/>
      <w:lang w:val="en-US" w:eastAsia="zh-CN" w:bidi="ar-SA"/>
    </w:rPr>
  </w:style>
  <w:style w:type="character" w:customStyle="1" w:styleId="1883">
    <w:name w:val="Char Char12"/>
    <w:qFormat/>
    <w:uiPriority w:val="0"/>
    <w:rPr>
      <w:rFonts w:ascii="黑体" w:hAnsi="Arial" w:eastAsia="黑体"/>
      <w:b/>
      <w:bCs/>
      <w:kern w:val="2"/>
      <w:sz w:val="30"/>
      <w:szCs w:val="30"/>
      <w:lang w:val="en-US" w:eastAsia="zh-CN" w:bidi="ar-SA"/>
    </w:rPr>
  </w:style>
  <w:style w:type="character" w:customStyle="1" w:styleId="1884">
    <w:name w:val="heighlight"/>
    <w:qFormat/>
    <w:uiPriority w:val="0"/>
  </w:style>
  <w:style w:type="character" w:customStyle="1" w:styleId="1885">
    <w:name w:val="表中文字 Char11"/>
    <w:qFormat/>
    <w:uiPriority w:val="0"/>
    <w:rPr>
      <w:rFonts w:ascii="Arial" w:hAnsi="Arial" w:eastAsia="宋体"/>
      <w:kern w:val="2"/>
      <w:sz w:val="24"/>
      <w:szCs w:val="24"/>
      <w:lang w:val="en-US" w:eastAsia="zh-TW" w:bidi="ar-SA"/>
    </w:rPr>
  </w:style>
  <w:style w:type="character" w:customStyle="1" w:styleId="1886">
    <w:name w:val="Char Char416"/>
    <w:qFormat/>
    <w:uiPriority w:val="0"/>
    <w:rPr>
      <w:rFonts w:ascii="黑体" w:hAnsi="Arial" w:eastAsia="黑体"/>
      <w:b/>
      <w:bCs/>
      <w:kern w:val="2"/>
      <w:sz w:val="30"/>
      <w:szCs w:val="30"/>
      <w:lang w:val="en-US" w:eastAsia="zh-CN" w:bidi="ar-SA"/>
    </w:rPr>
  </w:style>
  <w:style w:type="character" w:customStyle="1" w:styleId="1887">
    <w:name w:val="正文文本缩进 2 Char2"/>
    <w:qFormat/>
    <w:uiPriority w:val="0"/>
    <w:rPr>
      <w:rFonts w:eastAsia="宋体"/>
      <w:kern w:val="2"/>
      <w:sz w:val="21"/>
      <w:szCs w:val="24"/>
      <w:lang w:val="en-US" w:eastAsia="zh-CN" w:bidi="ar-SA"/>
    </w:rPr>
  </w:style>
  <w:style w:type="character" w:customStyle="1" w:styleId="1888">
    <w:name w:val="第一层条 Char4"/>
    <w:qFormat/>
    <w:uiPriority w:val="0"/>
    <w:rPr>
      <w:rFonts w:ascii="仿宋_GB2312" w:eastAsia="仿宋_GB2312"/>
      <w:b/>
      <w:kern w:val="2"/>
      <w:sz w:val="28"/>
      <w:lang w:val="en-US" w:eastAsia="zh-CN" w:bidi="ar-SA"/>
    </w:rPr>
  </w:style>
  <w:style w:type="character" w:customStyle="1" w:styleId="1889">
    <w:name w:val="图题注 Char1"/>
    <w:qFormat/>
    <w:uiPriority w:val="0"/>
    <w:rPr>
      <w:rFonts w:ascii="黑体" w:hAnsi="Arial" w:eastAsia="黑体" w:cs="宋体"/>
      <w:b/>
      <w:bCs/>
      <w:kern w:val="2"/>
      <w:sz w:val="24"/>
      <w:szCs w:val="24"/>
      <w:lang w:val="en-US" w:eastAsia="zh-CN" w:bidi="ar-SA"/>
    </w:rPr>
  </w:style>
  <w:style w:type="character" w:customStyle="1" w:styleId="1890">
    <w:name w:val="Char Char211"/>
    <w:qFormat/>
    <w:uiPriority w:val="0"/>
    <w:rPr>
      <w:rFonts w:ascii="黑体" w:eastAsia="宋体"/>
      <w:kern w:val="2"/>
      <w:sz w:val="16"/>
      <w:szCs w:val="16"/>
      <w:lang w:val="en-US" w:eastAsia="zh-CN" w:bidi="ar-SA"/>
    </w:rPr>
  </w:style>
  <w:style w:type="character" w:customStyle="1" w:styleId="1891">
    <w:name w:val="表题1 Char6"/>
    <w:qFormat/>
    <w:uiPriority w:val="0"/>
    <w:rPr>
      <w:rFonts w:ascii="黑体" w:hAnsi="Arial" w:eastAsia="黑体" w:cs="Arial"/>
      <w:b/>
      <w:kern w:val="2"/>
      <w:sz w:val="24"/>
      <w:szCs w:val="24"/>
      <w:lang w:val="en-US" w:eastAsia="zh-CN" w:bidi="ar-SA"/>
    </w:rPr>
  </w:style>
  <w:style w:type="character" w:customStyle="1" w:styleId="1892">
    <w:name w:val="正文2 Char Char Char Char"/>
    <w:qFormat/>
    <w:uiPriority w:val="0"/>
    <w:rPr>
      <w:rFonts w:eastAsia="仿宋_GB2312"/>
      <w:kern w:val="2"/>
      <w:sz w:val="24"/>
      <w:szCs w:val="24"/>
      <w:lang w:val="en-US" w:eastAsia="zh-CN" w:bidi="ar-SA"/>
    </w:rPr>
  </w:style>
  <w:style w:type="character" w:customStyle="1" w:styleId="1893">
    <w:name w:val="Char Char117"/>
    <w:qFormat/>
    <w:uiPriority w:val="0"/>
    <w:rPr>
      <w:rFonts w:ascii="黑体" w:hAnsi="Arial" w:eastAsia="黑体"/>
      <w:bCs/>
      <w:kern w:val="2"/>
      <w:sz w:val="30"/>
      <w:szCs w:val="30"/>
      <w:lang w:val="en-US" w:eastAsia="zh-CN" w:bidi="ar-SA"/>
    </w:rPr>
  </w:style>
  <w:style w:type="character" w:customStyle="1" w:styleId="1894">
    <w:name w:val="表题1 Char44"/>
    <w:qFormat/>
    <w:uiPriority w:val="0"/>
    <w:rPr>
      <w:rFonts w:ascii="黑体" w:hAnsi="Arial" w:eastAsia="黑体" w:cs="Arial"/>
      <w:b/>
      <w:kern w:val="2"/>
      <w:sz w:val="24"/>
      <w:szCs w:val="24"/>
      <w:lang w:val="en-US" w:eastAsia="zh-CN" w:bidi="ar-SA"/>
    </w:rPr>
  </w:style>
  <w:style w:type="character" w:customStyle="1" w:styleId="1895">
    <w:name w:val="纯文本 Char3"/>
    <w:qFormat/>
    <w:uiPriority w:val="0"/>
    <w:rPr>
      <w:rFonts w:ascii="宋体" w:hAnsi="Courier New" w:eastAsia="宋体" w:cs="Courier New"/>
      <w:kern w:val="2"/>
      <w:sz w:val="24"/>
      <w:szCs w:val="21"/>
      <w:lang w:val="en-US" w:eastAsia="zh-CN" w:bidi="ar-SA"/>
    </w:rPr>
  </w:style>
  <w:style w:type="character" w:customStyle="1" w:styleId="1896">
    <w:name w:val="表中文字 Char1"/>
    <w:qFormat/>
    <w:uiPriority w:val="0"/>
    <w:rPr>
      <w:rFonts w:ascii="Arial" w:hAnsi="Arial" w:eastAsia="宋体"/>
      <w:kern w:val="2"/>
      <w:sz w:val="24"/>
      <w:szCs w:val="24"/>
      <w:lang w:val="en-US" w:eastAsia="zh-TW" w:bidi="ar-SA"/>
    </w:rPr>
  </w:style>
  <w:style w:type="character" w:customStyle="1" w:styleId="1897">
    <w:name w:val="正文修改 Char131"/>
    <w:qFormat/>
    <w:uiPriority w:val="0"/>
    <w:rPr>
      <w:rFonts w:ascii="宋体" w:hAnsi="宋体" w:eastAsia="宋体" w:cs="宋体"/>
      <w:color w:val="000000"/>
      <w:kern w:val="2"/>
      <w:sz w:val="24"/>
      <w:szCs w:val="24"/>
      <w:lang w:val="en-US" w:eastAsia="zh-CN" w:bidi="ar-SA"/>
    </w:rPr>
  </w:style>
  <w:style w:type="character" w:customStyle="1" w:styleId="1898">
    <w:name w:val="样式 标题 3 + 黑色 Char Char Char Char Char Char Char Char Char Char Char"/>
    <w:qFormat/>
    <w:uiPriority w:val="0"/>
    <w:rPr>
      <w:rFonts w:ascii="宋体" w:hAnsi="宋体" w:eastAsia="宋体"/>
      <w:b/>
      <w:bCs/>
      <w:kern w:val="2"/>
      <w:sz w:val="28"/>
      <w:szCs w:val="28"/>
      <w:lang w:val="en-US" w:eastAsia="zh-CN" w:bidi="ar-SA"/>
    </w:rPr>
  </w:style>
  <w:style w:type="character" w:customStyle="1" w:styleId="1899">
    <w:name w:val="表格内字体 Char21"/>
    <w:qFormat/>
    <w:uiPriority w:val="0"/>
    <w:rPr>
      <w:rFonts w:ascii="宋体" w:hAnsi="宋体" w:eastAsia="宋体"/>
      <w:kern w:val="2"/>
      <w:sz w:val="21"/>
      <w:szCs w:val="24"/>
      <w:lang w:val="en-US" w:eastAsia="zh-CN" w:bidi="ar-SA"/>
    </w:rPr>
  </w:style>
  <w:style w:type="character" w:customStyle="1" w:styleId="1900">
    <w:name w:val="图题注 Char11"/>
    <w:qFormat/>
    <w:uiPriority w:val="0"/>
    <w:rPr>
      <w:rFonts w:ascii="黑体" w:hAnsi="Arial" w:eastAsia="黑体" w:cs="宋体"/>
      <w:b/>
      <w:bCs/>
      <w:kern w:val="2"/>
      <w:sz w:val="24"/>
      <w:szCs w:val="24"/>
      <w:lang w:val="en-US" w:eastAsia="zh-CN" w:bidi="ar-SA"/>
    </w:rPr>
  </w:style>
  <w:style w:type="character" w:customStyle="1" w:styleId="1901">
    <w:name w:val="Char Char54"/>
    <w:qFormat/>
    <w:uiPriority w:val="0"/>
    <w:rPr>
      <w:rFonts w:ascii="黑体" w:hAnsi="宋体" w:eastAsia="黑体"/>
      <w:bCs/>
      <w:kern w:val="2"/>
      <w:sz w:val="28"/>
      <w:szCs w:val="28"/>
      <w:lang w:val="en-US" w:eastAsia="zh-CN" w:bidi="ar-SA"/>
    </w:rPr>
  </w:style>
  <w:style w:type="character" w:customStyle="1" w:styleId="1902">
    <w:name w:val="Char Char45"/>
    <w:qFormat/>
    <w:uiPriority w:val="0"/>
    <w:rPr>
      <w:rFonts w:ascii="黑体" w:hAnsi="Arial" w:eastAsia="黑体"/>
      <w:b/>
      <w:bCs/>
      <w:kern w:val="2"/>
      <w:sz w:val="30"/>
      <w:szCs w:val="30"/>
      <w:lang w:val="en-US" w:eastAsia="zh-CN" w:bidi="ar-SA"/>
    </w:rPr>
  </w:style>
  <w:style w:type="character" w:customStyle="1" w:styleId="1903">
    <w:name w:val="新正文 Char Char Char1"/>
    <w:qFormat/>
    <w:uiPriority w:val="0"/>
    <w:rPr>
      <w:rFonts w:ascii="仿宋_GB2312" w:eastAsia="仿宋_GB2312"/>
      <w:bCs/>
      <w:kern w:val="2"/>
      <w:sz w:val="28"/>
      <w:szCs w:val="24"/>
      <w:lang w:val="en-US" w:eastAsia="zh-CN" w:bidi="ar-SA"/>
    </w:rPr>
  </w:style>
  <w:style w:type="character" w:customStyle="1" w:styleId="1904">
    <w:name w:val="样式 标题 2节 + 宋体 左 Char Char1"/>
    <w:qFormat/>
    <w:uiPriority w:val="0"/>
    <w:rPr>
      <w:rFonts w:ascii="宋体" w:hAnsi="宋体" w:eastAsia="宋体" w:cs="宋体"/>
      <w:b/>
      <w:bCs/>
      <w:kern w:val="2"/>
      <w:sz w:val="28"/>
      <w:szCs w:val="24"/>
      <w:lang w:val="en-US" w:eastAsia="zh-CN" w:bidi="ar-SA"/>
    </w:rPr>
  </w:style>
  <w:style w:type="character" w:customStyle="1" w:styleId="1905">
    <w:name w:val="标题 4 Char3"/>
    <w:qFormat/>
    <w:uiPriority w:val="0"/>
    <w:rPr>
      <w:rFonts w:ascii="Arial" w:hAnsi="Arial" w:eastAsia="黑体"/>
      <w:b/>
      <w:bCs/>
      <w:kern w:val="2"/>
      <w:sz w:val="28"/>
      <w:szCs w:val="28"/>
      <w:lang w:val="en-US" w:eastAsia="zh-CN" w:bidi="ar-SA"/>
    </w:rPr>
  </w:style>
  <w:style w:type="character" w:customStyle="1" w:styleId="1906">
    <w:name w:val="标题 3 Char Char111"/>
    <w:qFormat/>
    <w:uiPriority w:val="0"/>
    <w:rPr>
      <w:rFonts w:ascii="黑体" w:hAnsi="宋体" w:eastAsia="黑体"/>
      <w:bCs/>
      <w:kern w:val="2"/>
      <w:sz w:val="28"/>
      <w:szCs w:val="28"/>
      <w:lang w:val="en-US" w:eastAsia="zh-CN" w:bidi="ar-SA"/>
    </w:rPr>
  </w:style>
  <w:style w:type="character" w:customStyle="1" w:styleId="1907">
    <w:name w:val="Char Char67"/>
    <w:qFormat/>
    <w:uiPriority w:val="0"/>
    <w:rPr>
      <w:rFonts w:eastAsia="宋体"/>
      <w:b/>
      <w:bCs/>
      <w:kern w:val="2"/>
      <w:sz w:val="28"/>
      <w:szCs w:val="28"/>
      <w:lang w:val="en-US" w:eastAsia="zh-CN" w:bidi="ar-SA"/>
    </w:rPr>
  </w:style>
  <w:style w:type="character" w:customStyle="1" w:styleId="1908">
    <w:name w:val="样式 报告表格 + 小四 Char Char"/>
    <w:link w:val="1909"/>
    <w:qFormat/>
    <w:uiPriority w:val="0"/>
    <w:rPr>
      <w:szCs w:val="21"/>
    </w:rPr>
  </w:style>
  <w:style w:type="paragraph" w:customStyle="1" w:styleId="1909">
    <w:name w:val="样式 报告表格 + 小四"/>
    <w:basedOn w:val="248"/>
    <w:link w:val="1908"/>
    <w:qFormat/>
    <w:uiPriority w:val="0"/>
    <w:pPr>
      <w:spacing w:line="400" w:lineRule="exact"/>
    </w:pPr>
    <w:rPr>
      <w:rFonts w:ascii="Times New Roman" w:hAnsi="Times New Roman"/>
      <w:sz w:val="20"/>
    </w:rPr>
  </w:style>
  <w:style w:type="character" w:customStyle="1" w:styleId="1910">
    <w:name w:val="表格 Char Char Char2"/>
    <w:qFormat/>
    <w:uiPriority w:val="0"/>
    <w:rPr>
      <w:rFonts w:ascii="Arial" w:hAnsi="Arial" w:eastAsia="华文细黑"/>
      <w:kern w:val="2"/>
      <w:sz w:val="21"/>
      <w:szCs w:val="30"/>
      <w:lang w:val="en-US" w:eastAsia="zh-CN" w:bidi="ar-SA"/>
    </w:rPr>
  </w:style>
  <w:style w:type="character" w:customStyle="1" w:styleId="1911">
    <w:name w:val="Char Char2111"/>
    <w:qFormat/>
    <w:uiPriority w:val="0"/>
    <w:rPr>
      <w:rFonts w:ascii="黑体" w:eastAsia="宋体"/>
      <w:kern w:val="2"/>
      <w:sz w:val="16"/>
      <w:szCs w:val="16"/>
      <w:lang w:val="en-US" w:eastAsia="zh-CN" w:bidi="ar-SA"/>
    </w:rPr>
  </w:style>
  <w:style w:type="character" w:customStyle="1" w:styleId="1912">
    <w:name w:val="表中文字 Char5"/>
    <w:qFormat/>
    <w:uiPriority w:val="0"/>
    <w:rPr>
      <w:rFonts w:ascii="Arial" w:hAnsi="Arial" w:eastAsia="宋体"/>
      <w:kern w:val="2"/>
      <w:sz w:val="24"/>
      <w:szCs w:val="24"/>
      <w:lang w:val="en-US" w:eastAsia="zh-TW" w:bidi="ar-SA"/>
    </w:rPr>
  </w:style>
  <w:style w:type="character" w:customStyle="1" w:styleId="1913">
    <w:name w:val="福建正文缩进 Char1"/>
    <w:qFormat/>
    <w:uiPriority w:val="0"/>
    <w:rPr>
      <w:rFonts w:ascii="宋体" w:eastAsia="宋体"/>
      <w:kern w:val="2"/>
      <w:sz w:val="24"/>
      <w:szCs w:val="24"/>
      <w:lang w:val="en-US" w:eastAsia="zh-CN" w:bidi="ar-SA"/>
    </w:rPr>
  </w:style>
  <w:style w:type="character" w:customStyle="1" w:styleId="1914">
    <w:name w:val="表格内字体 Char6"/>
    <w:qFormat/>
    <w:uiPriority w:val="0"/>
    <w:rPr>
      <w:rFonts w:ascii="宋体" w:hAnsi="宋体" w:eastAsia="宋体" w:cs="Times New Roman"/>
      <w:kern w:val="2"/>
      <w:sz w:val="24"/>
      <w:szCs w:val="24"/>
      <w:lang w:val="en-US" w:eastAsia="zh-CN" w:bidi="ar-SA"/>
    </w:rPr>
  </w:style>
  <w:style w:type="character" w:customStyle="1" w:styleId="1915">
    <w:name w:val="正文首行缩进 2 Char1"/>
    <w:qFormat/>
    <w:uiPriority w:val="0"/>
    <w:rPr>
      <w:rFonts w:eastAsia="宋体"/>
      <w:kern w:val="2"/>
      <w:sz w:val="21"/>
      <w:szCs w:val="18"/>
      <w:lang w:val="en-US" w:eastAsia="zh-CN" w:bidi="ar-SA"/>
    </w:rPr>
  </w:style>
  <w:style w:type="character" w:customStyle="1" w:styleId="1916">
    <w:name w:val="样式 标题 3 + 黑色 Char Char Char Char Char"/>
    <w:qFormat/>
    <w:uiPriority w:val="0"/>
    <w:rPr>
      <w:rFonts w:eastAsia="宋体"/>
      <w:b/>
      <w:bCs/>
      <w:color w:val="000000"/>
      <w:kern w:val="2"/>
      <w:sz w:val="28"/>
      <w:szCs w:val="32"/>
      <w:lang w:val="en-US" w:eastAsia="zh-CN" w:bidi="ar-SA"/>
    </w:rPr>
  </w:style>
  <w:style w:type="character" w:customStyle="1" w:styleId="1917">
    <w:name w:val="hhcwt表头 Char Char"/>
    <w:link w:val="1918"/>
    <w:qFormat/>
    <w:uiPriority w:val="0"/>
    <w:rPr>
      <w:rFonts w:ascii="楷体_GB2312" w:eastAsia="楷体_GB2312"/>
      <w:b/>
      <w:bCs/>
      <w:sz w:val="24"/>
    </w:rPr>
  </w:style>
  <w:style w:type="paragraph" w:customStyle="1" w:styleId="1918">
    <w:name w:val="hhcwt表头"/>
    <w:basedOn w:val="1"/>
    <w:link w:val="1917"/>
    <w:qFormat/>
    <w:uiPriority w:val="0"/>
    <w:pPr>
      <w:spacing w:after="120" w:line="500" w:lineRule="exact"/>
      <w:jc w:val="center"/>
    </w:pPr>
    <w:rPr>
      <w:rFonts w:ascii="楷体_GB2312" w:eastAsia="楷体_GB2312"/>
      <w:b/>
      <w:bCs/>
    </w:rPr>
  </w:style>
  <w:style w:type="character" w:customStyle="1" w:styleId="1919">
    <w:name w:val="Char Char124"/>
    <w:qFormat/>
    <w:uiPriority w:val="0"/>
    <w:rPr>
      <w:rFonts w:ascii="黑体" w:hAnsi="Arial" w:eastAsia="黑体"/>
      <w:b/>
      <w:bCs/>
      <w:kern w:val="2"/>
      <w:sz w:val="30"/>
      <w:szCs w:val="30"/>
      <w:lang w:val="en-US" w:eastAsia="zh-CN" w:bidi="ar-SA"/>
    </w:rPr>
  </w:style>
  <w:style w:type="character" w:customStyle="1" w:styleId="1920">
    <w:name w:val="black1"/>
    <w:qFormat/>
    <w:uiPriority w:val="0"/>
    <w:rPr>
      <w:rFonts w:eastAsia="宋体"/>
      <w:color w:val="000000"/>
      <w:kern w:val="2"/>
      <w:sz w:val="18"/>
      <w:szCs w:val="18"/>
      <w:u w:val="none"/>
      <w:lang w:val="en-US" w:eastAsia="zh-CN" w:bidi="ar-SA"/>
    </w:rPr>
  </w:style>
  <w:style w:type="character" w:customStyle="1" w:styleId="1921">
    <w:name w:val="页脚 Char4"/>
    <w:qFormat/>
    <w:uiPriority w:val="0"/>
    <w:rPr>
      <w:rFonts w:ascii="Times New Roman" w:hAnsi="Times New Roman" w:eastAsia="宋体" w:cs="Times New Roman"/>
      <w:kern w:val="2"/>
      <w:sz w:val="18"/>
      <w:szCs w:val="18"/>
      <w:lang w:val="en-US" w:eastAsia="zh-CN" w:bidi="ar-SA"/>
    </w:rPr>
  </w:style>
  <w:style w:type="character" w:customStyle="1" w:styleId="1922">
    <w:name w:val="样式 正文文本 + (中文) 黑体 红色 Char Char Char Char Char Char Char Char"/>
    <w:qFormat/>
    <w:uiPriority w:val="0"/>
    <w:rPr>
      <w:rFonts w:eastAsia="黑体"/>
      <w:snapToGrid w:val="0"/>
      <w:color w:val="FF0000"/>
      <w:sz w:val="24"/>
      <w:szCs w:val="24"/>
      <w:lang w:val="en-US" w:eastAsia="zh-CN" w:bidi="ar-SA"/>
    </w:rPr>
  </w:style>
  <w:style w:type="character" w:customStyle="1" w:styleId="1923">
    <w:name w:val="谏壁正文chen Char Char Char Char Char"/>
    <w:qFormat/>
    <w:uiPriority w:val="0"/>
    <w:rPr>
      <w:rFonts w:eastAsia="宋体"/>
      <w:kern w:val="2"/>
      <w:sz w:val="24"/>
      <w:szCs w:val="24"/>
      <w:lang w:val="en-US" w:eastAsia="zh-CN" w:bidi="ar-SA"/>
    </w:rPr>
  </w:style>
  <w:style w:type="character" w:customStyle="1" w:styleId="1924">
    <w:name w:val="表格 Char Char Char Char Char"/>
    <w:qFormat/>
    <w:uiPriority w:val="0"/>
    <w:rPr>
      <w:sz w:val="28"/>
    </w:rPr>
  </w:style>
  <w:style w:type="character" w:customStyle="1" w:styleId="1925">
    <w:name w:val="Char Char1120"/>
    <w:qFormat/>
    <w:uiPriority w:val="0"/>
    <w:rPr>
      <w:rFonts w:ascii="黑体" w:hAnsi="Arial" w:eastAsia="黑体"/>
      <w:bCs/>
      <w:kern w:val="2"/>
      <w:sz w:val="30"/>
      <w:szCs w:val="30"/>
      <w:lang w:val="en-US" w:eastAsia="zh-CN" w:bidi="ar-SA"/>
    </w:rPr>
  </w:style>
  <w:style w:type="character" w:customStyle="1" w:styleId="1926">
    <w:name w:val="批注框文本 Char51"/>
    <w:qFormat/>
    <w:uiPriority w:val="0"/>
    <w:rPr>
      <w:rFonts w:eastAsia="宋体"/>
      <w:kern w:val="2"/>
      <w:sz w:val="18"/>
      <w:szCs w:val="18"/>
      <w:lang w:val="en-US" w:eastAsia="zh-CN" w:bidi="ar-SA"/>
    </w:rPr>
  </w:style>
  <w:style w:type="character" w:customStyle="1" w:styleId="1927">
    <w:name w:val="样式 表格内字体 + Char11"/>
    <w:qFormat/>
    <w:uiPriority w:val="0"/>
    <w:rPr>
      <w:rFonts w:ascii="宋体" w:hAnsi="宋体" w:eastAsia="宋体"/>
      <w:kern w:val="2"/>
      <w:sz w:val="21"/>
      <w:szCs w:val="24"/>
      <w:lang w:val="en-US" w:eastAsia="zh-CN" w:bidi="ar-SA"/>
    </w:rPr>
  </w:style>
  <w:style w:type="character" w:customStyle="1" w:styleId="1928">
    <w:name w:val="正文格式 Char10"/>
    <w:qFormat/>
    <w:uiPriority w:val="0"/>
    <w:rPr>
      <w:rFonts w:ascii="宋体" w:hAnsi="宋体" w:eastAsia="宋体"/>
      <w:kern w:val="2"/>
      <w:sz w:val="24"/>
      <w:szCs w:val="24"/>
      <w:lang w:val="en-US" w:eastAsia="zh-CN" w:bidi="ar-SA"/>
    </w:rPr>
  </w:style>
  <w:style w:type="character" w:customStyle="1" w:styleId="1929">
    <w:name w:val="Char Char Char1 Char Char Char Char Char Char Char Char Char Char Char Char Char Char Char Char Char2"/>
    <w:qFormat/>
    <w:uiPriority w:val="0"/>
    <w:rPr>
      <w:rFonts w:eastAsia="宋体"/>
      <w:kern w:val="2"/>
      <w:sz w:val="28"/>
      <w:szCs w:val="28"/>
      <w:lang w:val="en-US" w:eastAsia="zh-CN" w:bidi="ar-SA"/>
    </w:rPr>
  </w:style>
  <w:style w:type="character" w:customStyle="1" w:styleId="1930">
    <w:name w:val="标题 2 Char Char2"/>
    <w:qFormat/>
    <w:uiPriority w:val="0"/>
    <w:rPr>
      <w:rFonts w:ascii="仿宋_GB2312" w:hAnsi="Arial" w:eastAsia="仿宋_GB2312"/>
      <w:b/>
      <w:bCs/>
      <w:kern w:val="2"/>
      <w:sz w:val="28"/>
      <w:szCs w:val="32"/>
      <w:lang w:val="en-US" w:eastAsia="zh-CN" w:bidi="ar-SA"/>
    </w:rPr>
  </w:style>
  <w:style w:type="character" w:customStyle="1" w:styleId="1931">
    <w:name w:val="我的样式（正文） Char Char"/>
    <w:qFormat/>
    <w:uiPriority w:val="0"/>
    <w:rPr>
      <w:rFonts w:ascii="宋体" w:hAnsi="华文楷体" w:eastAsia="宋体" w:cs="宋体"/>
      <w:kern w:val="2"/>
      <w:sz w:val="24"/>
      <w:szCs w:val="24"/>
      <w:lang w:val="en-US" w:eastAsia="zh-CN" w:bidi="ar-SA"/>
    </w:rPr>
  </w:style>
  <w:style w:type="character" w:customStyle="1" w:styleId="1932">
    <w:name w:val="样式 标题 3 + 左侧:  0 厘米 首行缩进:  0 厘米 Char Char Char2"/>
    <w:qFormat/>
    <w:uiPriority w:val="0"/>
    <w:rPr>
      <w:rFonts w:eastAsia="宋体"/>
      <w:b/>
      <w:bCs/>
      <w:kern w:val="32"/>
      <w:sz w:val="32"/>
      <w:szCs w:val="32"/>
      <w:lang w:val="en-US" w:eastAsia="zh-CN" w:bidi="ar-SA"/>
    </w:rPr>
  </w:style>
  <w:style w:type="character" w:customStyle="1" w:styleId="1933">
    <w:name w:val="图表题 Char12"/>
    <w:qFormat/>
    <w:uiPriority w:val="0"/>
    <w:rPr>
      <w:rFonts w:ascii="黑体" w:hAnsi="宋体" w:eastAsia="黑体" w:cs="宋体"/>
      <w:b/>
      <w:bCs/>
      <w:kern w:val="2"/>
      <w:sz w:val="24"/>
      <w:szCs w:val="24"/>
      <w:lang w:val="en-US" w:eastAsia="zh-CN" w:bidi="ar-SA"/>
    </w:rPr>
  </w:style>
  <w:style w:type="character" w:customStyle="1" w:styleId="1934">
    <w:name w:val="批注框文本 Char1"/>
    <w:qFormat/>
    <w:uiPriority w:val="99"/>
    <w:rPr>
      <w:rFonts w:eastAsia="宋体"/>
      <w:kern w:val="2"/>
      <w:sz w:val="18"/>
      <w:szCs w:val="18"/>
      <w:lang w:val="en-US" w:eastAsia="zh-CN" w:bidi="ar-SA"/>
    </w:rPr>
  </w:style>
  <w:style w:type="character" w:customStyle="1" w:styleId="1935">
    <w:name w:val="标题2 Char11"/>
    <w:qFormat/>
    <w:uiPriority w:val="0"/>
    <w:rPr>
      <w:rFonts w:ascii="宋体" w:hAnsi="宋体" w:eastAsia="宋体" w:cs="宋体"/>
      <w:color w:val="000000"/>
      <w:kern w:val="2"/>
      <w:sz w:val="24"/>
      <w:szCs w:val="24"/>
      <w:lang w:val="en-US" w:eastAsia="zh-CN" w:bidi="ar-SA"/>
    </w:rPr>
  </w:style>
  <w:style w:type="character" w:customStyle="1" w:styleId="1936">
    <w:name w:val="标准正文 Char Char Char Char"/>
    <w:link w:val="1937"/>
    <w:qFormat/>
    <w:uiPriority w:val="0"/>
    <w:rPr>
      <w:sz w:val="28"/>
      <w:szCs w:val="28"/>
    </w:rPr>
  </w:style>
  <w:style w:type="paragraph" w:customStyle="1" w:styleId="1937">
    <w:name w:val="标准正文 Char Char"/>
    <w:basedOn w:val="1"/>
    <w:link w:val="1936"/>
    <w:qFormat/>
    <w:uiPriority w:val="0"/>
    <w:pPr>
      <w:spacing w:line="360" w:lineRule="auto"/>
      <w:ind w:firstLine="200" w:firstLineChars="200"/>
      <w:jc w:val="left"/>
    </w:pPr>
    <w:rPr>
      <w:rFonts w:ascii="Times New Roman"/>
      <w:sz w:val="28"/>
      <w:szCs w:val="28"/>
    </w:rPr>
  </w:style>
  <w:style w:type="character" w:customStyle="1" w:styleId="1938">
    <w:name w:val="Char Char310"/>
    <w:qFormat/>
    <w:uiPriority w:val="0"/>
    <w:rPr>
      <w:rFonts w:ascii="黑体" w:hAnsi="宋体" w:eastAsia="黑体"/>
      <w:b/>
      <w:bCs/>
      <w:kern w:val="2"/>
      <w:sz w:val="28"/>
      <w:szCs w:val="28"/>
      <w:lang w:val="en-US" w:eastAsia="zh-CN" w:bidi="ar-SA"/>
    </w:rPr>
  </w:style>
  <w:style w:type="character" w:customStyle="1" w:styleId="1939">
    <w:name w:val="正文修改 Char123"/>
    <w:qFormat/>
    <w:uiPriority w:val="0"/>
    <w:rPr>
      <w:rFonts w:ascii="宋体" w:hAnsi="宋体" w:eastAsia="宋体" w:cs="宋体"/>
      <w:color w:val="000000"/>
      <w:kern w:val="2"/>
      <w:sz w:val="24"/>
      <w:szCs w:val="24"/>
      <w:lang w:val="en-US" w:eastAsia="zh-CN" w:bidi="ar-SA"/>
    </w:rPr>
  </w:style>
  <w:style w:type="character" w:customStyle="1" w:styleId="1940">
    <w:name w:val="燕山正文 Char131"/>
    <w:qFormat/>
    <w:uiPriority w:val="0"/>
    <w:rPr>
      <w:rFonts w:ascii="宋体" w:eastAsia="宋体" w:cs="宋体"/>
      <w:kern w:val="2"/>
      <w:sz w:val="24"/>
      <w:szCs w:val="24"/>
      <w:lang w:val="en-US" w:eastAsia="zh-CN" w:bidi="ar-SA"/>
    </w:rPr>
  </w:style>
  <w:style w:type="character" w:customStyle="1" w:styleId="1941">
    <w:name w:val="样式 表格内字体 + Char12"/>
    <w:qFormat/>
    <w:uiPriority w:val="0"/>
    <w:rPr>
      <w:rFonts w:ascii="宋体" w:hAnsi="宋体" w:eastAsia="宋体" w:cs="Times New Roman"/>
      <w:kern w:val="2"/>
      <w:sz w:val="21"/>
      <w:szCs w:val="24"/>
      <w:lang w:val="en-US" w:eastAsia="zh-CN" w:bidi="ar-SA"/>
    </w:rPr>
  </w:style>
  <w:style w:type="character" w:customStyle="1" w:styleId="1942">
    <w:name w:val="表格题注 Char"/>
    <w:qFormat/>
    <w:uiPriority w:val="0"/>
    <w:rPr>
      <w:rFonts w:ascii="宋体" w:hAnsi="宋体" w:eastAsia="宋体" w:cs="宋体"/>
      <w:snapToGrid w:val="0"/>
      <w:kern w:val="24"/>
      <w:sz w:val="24"/>
      <w:szCs w:val="24"/>
      <w:lang w:val="en-US" w:eastAsia="zh-CN" w:bidi="ar-SA"/>
    </w:rPr>
  </w:style>
  <w:style w:type="character" w:customStyle="1" w:styleId="1943">
    <w:name w:val="燕山正文 Char17"/>
    <w:qFormat/>
    <w:uiPriority w:val="0"/>
    <w:rPr>
      <w:rFonts w:ascii="宋体" w:hAnsi="Times New Roman" w:eastAsia="宋体" w:cs="宋体"/>
      <w:kern w:val="2"/>
      <w:sz w:val="24"/>
      <w:szCs w:val="24"/>
      <w:lang w:val="en-US" w:eastAsia="zh-CN" w:bidi="ar-SA"/>
    </w:rPr>
  </w:style>
  <w:style w:type="character" w:customStyle="1" w:styleId="1944">
    <w:name w:val="标题 3 Char101"/>
    <w:qFormat/>
    <w:uiPriority w:val="0"/>
    <w:rPr>
      <w:rFonts w:ascii="黑体" w:hAnsi="宋体" w:eastAsia="黑体"/>
      <w:b/>
      <w:bCs/>
      <w:kern w:val="2"/>
      <w:sz w:val="28"/>
      <w:szCs w:val="28"/>
      <w:lang w:val="en-US" w:eastAsia="zh-CN" w:bidi="ar-SA"/>
    </w:rPr>
  </w:style>
  <w:style w:type="character" w:customStyle="1" w:styleId="1945">
    <w:name w:val="图表题 Char4"/>
    <w:qFormat/>
    <w:uiPriority w:val="0"/>
    <w:rPr>
      <w:rFonts w:ascii="黑体" w:hAnsi="宋体" w:eastAsia="黑体" w:cs="宋体"/>
      <w:b/>
      <w:bCs/>
      <w:kern w:val="2"/>
      <w:sz w:val="24"/>
      <w:szCs w:val="24"/>
      <w:lang w:val="en-US" w:eastAsia="zh-CN" w:bidi="ar-SA"/>
    </w:rPr>
  </w:style>
  <w:style w:type="character" w:customStyle="1" w:styleId="1946">
    <w:name w:val="Char Char515"/>
    <w:qFormat/>
    <w:uiPriority w:val="0"/>
    <w:rPr>
      <w:rFonts w:ascii="黑体" w:hAnsi="宋体" w:eastAsia="黑体"/>
      <w:bCs/>
      <w:kern w:val="2"/>
      <w:sz w:val="28"/>
      <w:szCs w:val="28"/>
      <w:lang w:val="en-US" w:eastAsia="zh-CN" w:bidi="ar-SA"/>
    </w:rPr>
  </w:style>
  <w:style w:type="character" w:customStyle="1" w:styleId="1947">
    <w:name w:val="正文格式 Char1"/>
    <w:qFormat/>
    <w:uiPriority w:val="0"/>
    <w:rPr>
      <w:rFonts w:ascii="宋体" w:hAnsi="宋体" w:eastAsia="宋体"/>
      <w:kern w:val="2"/>
      <w:sz w:val="24"/>
      <w:szCs w:val="24"/>
      <w:lang w:val="en-US" w:eastAsia="zh-CN" w:bidi="ar-SA"/>
    </w:rPr>
  </w:style>
  <w:style w:type="character" w:customStyle="1" w:styleId="1948">
    <w:name w:val="样式 报告 + Times New Roman Char Char Char Char Char Char Char Char"/>
    <w:qFormat/>
    <w:uiPriority w:val="0"/>
    <w:rPr>
      <w:rFonts w:eastAsia="宋体"/>
      <w:sz w:val="28"/>
      <w:szCs w:val="28"/>
      <w:lang w:val="en-US" w:eastAsia="zh-CN" w:bidi="ar-SA"/>
    </w:rPr>
  </w:style>
  <w:style w:type="character" w:customStyle="1" w:styleId="1949">
    <w:name w:val="work4"/>
    <w:qFormat/>
    <w:uiPriority w:val="0"/>
    <w:rPr>
      <w:sz w:val="18"/>
      <w:szCs w:val="18"/>
      <w:u w:val="none"/>
    </w:rPr>
  </w:style>
  <w:style w:type="character" w:customStyle="1" w:styleId="1950">
    <w:name w:val="样式 报告正文 + 首行缩进:  2 字符 Char Char"/>
    <w:link w:val="1951"/>
    <w:qFormat/>
    <w:uiPriority w:val="0"/>
    <w:rPr>
      <w:sz w:val="24"/>
    </w:rPr>
  </w:style>
  <w:style w:type="paragraph" w:customStyle="1" w:styleId="1951">
    <w:name w:val="样式 报告正文 + 首行缩进:  2 字符"/>
    <w:basedOn w:val="1"/>
    <w:link w:val="1950"/>
    <w:qFormat/>
    <w:uiPriority w:val="0"/>
    <w:pPr>
      <w:autoSpaceDE w:val="0"/>
      <w:autoSpaceDN w:val="0"/>
      <w:spacing w:line="360" w:lineRule="auto"/>
      <w:ind w:firstLine="200" w:firstLineChars="200"/>
    </w:pPr>
    <w:rPr>
      <w:rFonts w:ascii="Times New Roman"/>
    </w:rPr>
  </w:style>
  <w:style w:type="character" w:customStyle="1" w:styleId="1952">
    <w:name w:val="表格正文 Char Char"/>
    <w:qFormat/>
    <w:uiPriority w:val="0"/>
    <w:rPr>
      <w:rFonts w:eastAsia="宋体"/>
      <w:kern w:val="2"/>
      <w:sz w:val="24"/>
      <w:lang w:val="en-US" w:eastAsia="zh-CN"/>
    </w:rPr>
  </w:style>
  <w:style w:type="character" w:customStyle="1" w:styleId="1953">
    <w:name w:val="正文缩进 Char131"/>
    <w:qFormat/>
    <w:uiPriority w:val="0"/>
    <w:rPr>
      <w:rFonts w:ascii="宋体" w:hAnsi="宋体" w:eastAsia="宋体" w:cs="宋体"/>
      <w:color w:val="000000"/>
      <w:kern w:val="2"/>
      <w:sz w:val="24"/>
      <w:szCs w:val="24"/>
      <w:lang w:val="en-US" w:eastAsia="zh-CN" w:bidi="ar-SA"/>
    </w:rPr>
  </w:style>
  <w:style w:type="character" w:customStyle="1" w:styleId="1954">
    <w:name w:val="表题1 Char71"/>
    <w:qFormat/>
    <w:uiPriority w:val="0"/>
    <w:rPr>
      <w:rFonts w:ascii="黑体" w:hAnsi="Arial" w:eastAsia="黑体" w:cs="Arial"/>
      <w:b/>
      <w:kern w:val="2"/>
      <w:sz w:val="24"/>
      <w:szCs w:val="24"/>
      <w:lang w:val="en-US" w:eastAsia="zh-CN" w:bidi="ar-SA"/>
    </w:rPr>
  </w:style>
  <w:style w:type="character" w:customStyle="1" w:styleId="1955">
    <w:name w:val="题注 Char313"/>
    <w:qFormat/>
    <w:uiPriority w:val="0"/>
    <w:rPr>
      <w:rFonts w:ascii="黑体" w:hAnsi="Arial" w:eastAsia="黑体" w:cs="Arial"/>
      <w:b/>
      <w:kern w:val="2"/>
      <w:sz w:val="24"/>
      <w:szCs w:val="24"/>
      <w:lang w:val="en-US" w:eastAsia="zh-CN" w:bidi="ar-SA"/>
    </w:rPr>
  </w:style>
  <w:style w:type="character" w:customStyle="1" w:styleId="1956">
    <w:name w:val="表格文字 Char Char Char"/>
    <w:qFormat/>
    <w:uiPriority w:val="0"/>
    <w:rPr>
      <w:rFonts w:ascii="仿宋_GB2312" w:hAnsi="Arial Black" w:eastAsia="仿宋_GB2312"/>
      <w:kern w:val="44"/>
      <w:sz w:val="24"/>
      <w:lang w:val="en-US" w:eastAsia="zh-CN" w:bidi="ar-SA"/>
    </w:rPr>
  </w:style>
  <w:style w:type="character" w:customStyle="1" w:styleId="1957">
    <w:name w:val="正文文字 Char Char Char Char Char"/>
    <w:qFormat/>
    <w:uiPriority w:val="0"/>
    <w:rPr>
      <w:rFonts w:eastAsia="仿宋_GB2312"/>
      <w:kern w:val="2"/>
      <w:sz w:val="28"/>
      <w:szCs w:val="24"/>
      <w:lang w:val="en-US" w:eastAsia="zh-CN" w:bidi="ar-SA"/>
    </w:rPr>
  </w:style>
  <w:style w:type="character" w:customStyle="1" w:styleId="1958">
    <w:name w:val="Char Char119"/>
    <w:qFormat/>
    <w:uiPriority w:val="0"/>
    <w:rPr>
      <w:rFonts w:ascii="黑体" w:hAnsi="Arial" w:eastAsia="黑体"/>
      <w:bCs/>
      <w:kern w:val="2"/>
      <w:sz w:val="30"/>
      <w:szCs w:val="30"/>
      <w:lang w:val="en-US" w:eastAsia="zh-CN" w:bidi="ar-SA"/>
    </w:rPr>
  </w:style>
  <w:style w:type="character" w:customStyle="1" w:styleId="1959">
    <w:name w:val="正文修改 Char1111"/>
    <w:qFormat/>
    <w:uiPriority w:val="0"/>
    <w:rPr>
      <w:rFonts w:ascii="宋体" w:hAnsi="宋体" w:eastAsia="宋体" w:cs="宋体"/>
      <w:color w:val="000000"/>
      <w:kern w:val="2"/>
      <w:sz w:val="24"/>
      <w:szCs w:val="24"/>
      <w:lang w:val="en-US" w:eastAsia="zh-CN" w:bidi="ar-SA"/>
    </w:rPr>
  </w:style>
  <w:style w:type="character" w:customStyle="1" w:styleId="1960">
    <w:name w:val="题注 Char52"/>
    <w:qFormat/>
    <w:uiPriority w:val="0"/>
    <w:rPr>
      <w:rFonts w:ascii="黑体" w:hAnsi="Arial" w:eastAsia="黑体" w:cs="Arial"/>
      <w:b/>
      <w:kern w:val="2"/>
      <w:sz w:val="24"/>
      <w:szCs w:val="24"/>
      <w:lang w:val="en-US" w:eastAsia="zh-CN" w:bidi="ar-SA"/>
    </w:rPr>
  </w:style>
  <w:style w:type="character" w:customStyle="1" w:styleId="1961">
    <w:name w:val="样式 表内小5 + 黑体 加粗 倾斜 下划线 Char1"/>
    <w:qFormat/>
    <w:uiPriority w:val="0"/>
    <w:rPr>
      <w:rFonts w:ascii="黑体" w:hAnsi="黑体" w:eastAsia="黑体"/>
      <w:b/>
      <w:bCs/>
      <w:i/>
      <w:iCs/>
      <w:kern w:val="2"/>
      <w:sz w:val="18"/>
      <w:szCs w:val="24"/>
      <w:u w:val="single"/>
      <w:lang w:val="en-US" w:eastAsia="zh-CN" w:bidi="ar-SA"/>
    </w:rPr>
  </w:style>
  <w:style w:type="character" w:customStyle="1" w:styleId="1962">
    <w:name w:val="三级标题 Char2"/>
    <w:qFormat/>
    <w:uiPriority w:val="0"/>
    <w:rPr>
      <w:rFonts w:ascii="黑体" w:hAnsi="宋体" w:eastAsia="黑体"/>
      <w:b/>
      <w:bCs/>
      <w:kern w:val="2"/>
      <w:sz w:val="28"/>
      <w:szCs w:val="28"/>
      <w:lang w:val="en-US" w:eastAsia="zh-CN" w:bidi="ar-SA"/>
    </w:rPr>
  </w:style>
  <w:style w:type="character" w:customStyle="1" w:styleId="1963">
    <w:name w:val="正文图 Char Char1"/>
    <w:qFormat/>
    <w:uiPriority w:val="0"/>
    <w:rPr>
      <w:rFonts w:ascii="宋体" w:eastAsia="宋体"/>
      <w:sz w:val="24"/>
      <w:lang w:val="en-US" w:eastAsia="zh-CN" w:bidi="ar-SA"/>
    </w:rPr>
  </w:style>
  <w:style w:type="character" w:customStyle="1" w:styleId="1964">
    <w:name w:val="Char Char125"/>
    <w:qFormat/>
    <w:uiPriority w:val="0"/>
    <w:rPr>
      <w:rFonts w:ascii="黑体" w:hAnsi="Arial" w:eastAsia="黑体"/>
      <w:b/>
      <w:bCs/>
      <w:kern w:val="2"/>
      <w:sz w:val="30"/>
      <w:szCs w:val="30"/>
      <w:lang w:val="en-US" w:eastAsia="zh-CN" w:bidi="ar-SA"/>
    </w:rPr>
  </w:style>
  <w:style w:type="character" w:customStyle="1" w:styleId="1965">
    <w:name w:val="表格内字体 Char Char"/>
    <w:link w:val="1966"/>
    <w:qFormat/>
    <w:uiPriority w:val="0"/>
    <w:rPr>
      <w:rFonts w:ascii="宋体" w:hAnsi="宋体"/>
      <w:szCs w:val="21"/>
    </w:rPr>
  </w:style>
  <w:style w:type="paragraph" w:customStyle="1" w:styleId="1966">
    <w:name w:val="表格内字体"/>
    <w:basedOn w:val="1"/>
    <w:next w:val="76"/>
    <w:link w:val="1965"/>
    <w:qFormat/>
    <w:uiPriority w:val="0"/>
    <w:pPr>
      <w:jc w:val="center"/>
    </w:pPr>
    <w:rPr>
      <w:rFonts w:hAnsi="宋体"/>
      <w:sz w:val="20"/>
      <w:szCs w:val="21"/>
    </w:rPr>
  </w:style>
  <w:style w:type="character" w:customStyle="1" w:styleId="1967">
    <w:name w:val="河石1 Char22"/>
    <w:qFormat/>
    <w:uiPriority w:val="0"/>
    <w:rPr>
      <w:rFonts w:ascii="黑体" w:hAnsi="宋体" w:eastAsia="黑体" w:cs="Times New Roman"/>
      <w:bCs/>
      <w:kern w:val="44"/>
      <w:sz w:val="32"/>
      <w:szCs w:val="32"/>
      <w:lang w:val="en-US" w:eastAsia="zh-CN" w:bidi="ar-SA"/>
    </w:rPr>
  </w:style>
  <w:style w:type="character" w:customStyle="1" w:styleId="1968">
    <w:name w:val="题注 Char53"/>
    <w:qFormat/>
    <w:uiPriority w:val="0"/>
    <w:rPr>
      <w:rFonts w:ascii="黑体" w:hAnsi="Arial" w:eastAsia="黑体" w:cs="Arial"/>
      <w:b/>
      <w:kern w:val="2"/>
      <w:sz w:val="24"/>
      <w:szCs w:val="24"/>
      <w:lang w:val="en-US" w:eastAsia="zh-CN" w:bidi="ar-SA"/>
    </w:rPr>
  </w:style>
  <w:style w:type="character" w:customStyle="1" w:styleId="1969">
    <w:name w:val="A正文 Char2"/>
    <w:qFormat/>
    <w:uiPriority w:val="0"/>
    <w:rPr>
      <w:rFonts w:eastAsia="仿宋_GB2312"/>
      <w:kern w:val="2"/>
      <w:sz w:val="24"/>
      <w:szCs w:val="24"/>
      <w:lang w:val="en-US" w:eastAsia="zh-CN" w:bidi="ar-SA"/>
    </w:rPr>
  </w:style>
  <w:style w:type="character" w:customStyle="1" w:styleId="1970">
    <w:name w:val="样式 标题 3小标题小节标题标题3H3h33rd level第二层条标题4 + Arial Char Char2"/>
    <w:qFormat/>
    <w:uiPriority w:val="0"/>
    <w:rPr>
      <w:rFonts w:eastAsia="宋体"/>
      <w:b/>
      <w:bCs/>
      <w:kern w:val="32"/>
      <w:sz w:val="30"/>
      <w:szCs w:val="24"/>
      <w:lang w:val="en-US" w:eastAsia="zh-CN" w:bidi="ar-SA"/>
    </w:rPr>
  </w:style>
  <w:style w:type="character" w:customStyle="1" w:styleId="1971">
    <w:name w:val="Char3 Char Char1"/>
    <w:qFormat/>
    <w:uiPriority w:val="0"/>
    <w:rPr>
      <w:rFonts w:eastAsia="宋体"/>
      <w:kern w:val="2"/>
      <w:sz w:val="18"/>
      <w:lang w:val="en-US" w:eastAsia="zh-CN" w:bidi="ar-SA"/>
    </w:rPr>
  </w:style>
  <w:style w:type="character" w:customStyle="1" w:styleId="1972">
    <w:name w:val="p21"/>
    <w:qFormat/>
    <w:uiPriority w:val="0"/>
    <w:rPr>
      <w:rFonts w:hint="default"/>
      <w:color w:val="0000A0"/>
    </w:rPr>
  </w:style>
  <w:style w:type="character" w:customStyle="1" w:styleId="1973">
    <w:name w:val="正文正文正文 1.5 倍行距 Char Char"/>
    <w:link w:val="1974"/>
    <w:qFormat/>
    <w:uiPriority w:val="0"/>
    <w:rPr>
      <w:rFonts w:ascii="宋体" w:hAnsi="宋体" w:cs="宋体"/>
      <w:sz w:val="24"/>
    </w:rPr>
  </w:style>
  <w:style w:type="paragraph" w:customStyle="1" w:styleId="1974">
    <w:name w:val="正文正文正文 1.5 倍行距"/>
    <w:basedOn w:val="1"/>
    <w:link w:val="1973"/>
    <w:qFormat/>
    <w:uiPriority w:val="0"/>
    <w:pPr>
      <w:spacing w:line="360" w:lineRule="auto"/>
      <w:ind w:firstLine="480" w:firstLineChars="200"/>
    </w:pPr>
    <w:rPr>
      <w:rFonts w:hAnsi="宋体"/>
    </w:rPr>
  </w:style>
  <w:style w:type="character" w:customStyle="1" w:styleId="1975">
    <w:name w:val="谏壁正文chen Char Char Char2"/>
    <w:qFormat/>
    <w:uiPriority w:val="0"/>
    <w:rPr>
      <w:rFonts w:eastAsia="宋体"/>
      <w:kern w:val="2"/>
      <w:sz w:val="24"/>
      <w:szCs w:val="24"/>
      <w:lang w:val="en-US" w:eastAsia="zh-CN" w:bidi="ar-SA"/>
    </w:rPr>
  </w:style>
  <w:style w:type="character" w:customStyle="1" w:styleId="1976">
    <w:name w:val="Head 3 Char"/>
    <w:qFormat/>
    <w:uiPriority w:val="0"/>
    <w:rPr>
      <w:rFonts w:hAnsi="宋体" w:eastAsia="宋体"/>
      <w:bCs/>
      <w:kern w:val="2"/>
      <w:sz w:val="28"/>
      <w:szCs w:val="28"/>
      <w:lang w:val="en-US" w:eastAsia="zh-CN" w:bidi="ar-SA"/>
    </w:rPr>
  </w:style>
  <w:style w:type="character" w:customStyle="1" w:styleId="1977">
    <w:name w:val="样式 标题 3小标题小节标题标题3H3h33rd level第二层条标题4 + Arial Char Char Char Char"/>
    <w:link w:val="1978"/>
    <w:qFormat/>
    <w:uiPriority w:val="0"/>
    <w:rPr>
      <w:rFonts w:ascii="Arial" w:hAnsi="Arial"/>
      <w:b/>
      <w:bCs/>
      <w:color w:val="000000"/>
      <w:sz w:val="30"/>
      <w:szCs w:val="30"/>
    </w:rPr>
  </w:style>
  <w:style w:type="paragraph" w:customStyle="1" w:styleId="1978">
    <w:name w:val="样式 标题 3小标题小节标题标题3H3h33rd level第二层条标题4 + Arial"/>
    <w:basedOn w:val="6"/>
    <w:link w:val="1977"/>
    <w:qFormat/>
    <w:uiPriority w:val="0"/>
    <w:pPr>
      <w:tabs>
        <w:tab w:val="left" w:pos="233"/>
        <w:tab w:val="left" w:pos="993"/>
        <w:tab w:val="left" w:pos="1050"/>
      </w:tabs>
      <w:adjustRightInd w:val="0"/>
      <w:spacing w:before="0" w:after="0" w:line="360" w:lineRule="auto"/>
      <w:ind w:left="851" w:hanging="851"/>
      <w:textAlignment w:val="baseline"/>
    </w:pPr>
    <w:rPr>
      <w:rFonts w:ascii="Arial" w:hAnsi="Arial"/>
      <w:color w:val="000000"/>
      <w:sz w:val="30"/>
      <w:szCs w:val="30"/>
    </w:rPr>
  </w:style>
  <w:style w:type="character" w:customStyle="1" w:styleId="1979">
    <w:name w:val="F文字-上标"/>
    <w:qFormat/>
    <w:uiPriority w:val="0"/>
    <w:rPr>
      <w:rFonts w:ascii="Bodoni MT Condensed" w:hAnsi="Bodoni MT Condensed" w:eastAsia="宋体"/>
      <w:sz w:val="24"/>
      <w:szCs w:val="24"/>
      <w:vertAlign w:val="superscript"/>
    </w:rPr>
  </w:style>
  <w:style w:type="character" w:customStyle="1" w:styleId="1980">
    <w:name w:val="题注 Char33"/>
    <w:qFormat/>
    <w:uiPriority w:val="0"/>
    <w:rPr>
      <w:rFonts w:ascii="黑体" w:hAnsi="Arial" w:eastAsia="黑体" w:cs="Arial"/>
      <w:b/>
      <w:kern w:val="2"/>
      <w:sz w:val="24"/>
      <w:szCs w:val="24"/>
      <w:lang w:val="en-US" w:eastAsia="zh-CN" w:bidi="ar-SA"/>
    </w:rPr>
  </w:style>
  <w:style w:type="character" w:customStyle="1" w:styleId="1981">
    <w:name w:val="正文修改 Char18"/>
    <w:qFormat/>
    <w:uiPriority w:val="0"/>
    <w:rPr>
      <w:rFonts w:ascii="宋体" w:hAnsi="宋体" w:eastAsia="宋体" w:cs="宋体"/>
      <w:color w:val="000000"/>
      <w:kern w:val="2"/>
      <w:sz w:val="24"/>
      <w:szCs w:val="24"/>
      <w:lang w:val="en-US" w:eastAsia="zh-CN" w:bidi="ar-SA"/>
    </w:rPr>
  </w:style>
  <w:style w:type="character" w:customStyle="1" w:styleId="1982">
    <w:name w:val="表格内字体 Char9"/>
    <w:qFormat/>
    <w:uiPriority w:val="0"/>
    <w:rPr>
      <w:rFonts w:ascii="宋体" w:hAnsi="宋体" w:eastAsia="宋体"/>
      <w:kern w:val="2"/>
      <w:sz w:val="21"/>
      <w:szCs w:val="24"/>
      <w:lang w:val="en-US" w:eastAsia="zh-CN" w:bidi="ar-SA"/>
    </w:rPr>
  </w:style>
  <w:style w:type="character" w:customStyle="1" w:styleId="1983">
    <w:name w:val="正文格式 Char4"/>
    <w:qFormat/>
    <w:uiPriority w:val="0"/>
    <w:rPr>
      <w:rFonts w:ascii="宋体" w:hAnsi="宋体" w:eastAsia="宋体"/>
      <w:kern w:val="2"/>
      <w:sz w:val="24"/>
      <w:szCs w:val="24"/>
      <w:lang w:val="en-US" w:eastAsia="zh-CN" w:bidi="ar-SA"/>
    </w:rPr>
  </w:style>
  <w:style w:type="character" w:customStyle="1" w:styleId="1984">
    <w:name w:val="Char Char121"/>
    <w:qFormat/>
    <w:uiPriority w:val="0"/>
    <w:rPr>
      <w:rFonts w:ascii="黑体" w:hAnsi="Arial" w:eastAsia="黑体"/>
      <w:b/>
      <w:bCs/>
      <w:kern w:val="2"/>
      <w:sz w:val="30"/>
      <w:szCs w:val="30"/>
      <w:lang w:val="en-US" w:eastAsia="zh-CN" w:bidi="ar-SA"/>
    </w:rPr>
  </w:style>
  <w:style w:type="character" w:customStyle="1" w:styleId="1985">
    <w:name w:val="题注 Char24"/>
    <w:qFormat/>
    <w:uiPriority w:val="0"/>
    <w:rPr>
      <w:rFonts w:ascii="黑体" w:hAnsi="Arial" w:eastAsia="黑体" w:cs="Arial"/>
      <w:b/>
      <w:kern w:val="2"/>
      <w:sz w:val="24"/>
      <w:szCs w:val="24"/>
      <w:lang w:val="en-US" w:eastAsia="zh-CN" w:bidi="ar-SA"/>
    </w:rPr>
  </w:style>
  <w:style w:type="character" w:customStyle="1" w:styleId="1986">
    <w:name w:val="未命名11"/>
    <w:qFormat/>
    <w:uiPriority w:val="0"/>
    <w:rPr>
      <w:rFonts w:hint="eastAsia" w:ascii="宋体" w:hAnsi="宋体" w:eastAsia="宋体"/>
      <w:sz w:val="18"/>
      <w:szCs w:val="18"/>
    </w:rPr>
  </w:style>
  <w:style w:type="character" w:customStyle="1" w:styleId="1987">
    <w:name w:val="标题 2 Char41"/>
    <w:qFormat/>
    <w:uiPriority w:val="0"/>
    <w:rPr>
      <w:rFonts w:ascii="黑体" w:hAnsi="Arial" w:eastAsia="黑体" w:cs="Times New Roman"/>
      <w:bCs/>
      <w:kern w:val="2"/>
      <w:sz w:val="30"/>
      <w:szCs w:val="30"/>
      <w:lang w:val="en-US" w:eastAsia="zh-CN" w:bidi="ar-SA"/>
    </w:rPr>
  </w:style>
  <w:style w:type="character" w:customStyle="1" w:styleId="1988">
    <w:name w:val="标题 3 Char14"/>
    <w:qFormat/>
    <w:uiPriority w:val="0"/>
    <w:rPr>
      <w:rFonts w:ascii="黑体" w:hAnsi="宋体" w:eastAsia="黑体" w:cs="Times New Roman"/>
      <w:b/>
      <w:bCs/>
      <w:kern w:val="2"/>
      <w:sz w:val="28"/>
      <w:szCs w:val="28"/>
      <w:lang w:val="en-US" w:eastAsia="zh-CN" w:bidi="ar-SA"/>
    </w:rPr>
  </w:style>
  <w:style w:type="character" w:customStyle="1" w:styleId="1989">
    <w:name w:val="题注 Char211"/>
    <w:qFormat/>
    <w:uiPriority w:val="0"/>
    <w:rPr>
      <w:rFonts w:ascii="黑体" w:hAnsi="Arial" w:eastAsia="黑体" w:cs="Arial"/>
      <w:b/>
      <w:kern w:val="2"/>
      <w:sz w:val="24"/>
      <w:szCs w:val="24"/>
      <w:lang w:val="en-US" w:eastAsia="zh-CN" w:bidi="ar-SA"/>
    </w:rPr>
  </w:style>
  <w:style w:type="character" w:customStyle="1" w:styleId="1990">
    <w:name w:val="sect 1.23 Char"/>
    <w:qFormat/>
    <w:uiPriority w:val="0"/>
    <w:rPr>
      <w:rFonts w:ascii="仿宋_GB2312" w:eastAsia="仿宋_GB2312"/>
      <w:b/>
      <w:kern w:val="2"/>
      <w:sz w:val="28"/>
      <w:lang w:val="en-US" w:eastAsia="zh-CN" w:bidi="ar-SA"/>
    </w:rPr>
  </w:style>
  <w:style w:type="character" w:customStyle="1" w:styleId="1991">
    <w:name w:val="chen表头1 Char Char"/>
    <w:qFormat/>
    <w:uiPriority w:val="0"/>
    <w:rPr>
      <w:rFonts w:eastAsia="楷体_GB2312"/>
      <w:b/>
      <w:sz w:val="24"/>
    </w:rPr>
  </w:style>
  <w:style w:type="character" w:customStyle="1" w:styleId="1992">
    <w:name w:val="正文修改 Char1213"/>
    <w:qFormat/>
    <w:uiPriority w:val="0"/>
    <w:rPr>
      <w:rFonts w:ascii="宋体" w:hAnsi="宋体" w:eastAsia="宋体" w:cs="宋体"/>
      <w:color w:val="000000"/>
      <w:kern w:val="2"/>
      <w:sz w:val="24"/>
      <w:szCs w:val="24"/>
      <w:lang w:val="en-US" w:eastAsia="zh-CN" w:bidi="ar-SA"/>
    </w:rPr>
  </w:style>
  <w:style w:type="character" w:customStyle="1" w:styleId="1993">
    <w:name w:val="Char Char413"/>
    <w:qFormat/>
    <w:uiPriority w:val="0"/>
    <w:rPr>
      <w:rFonts w:ascii="黑体" w:hAnsi="Arial" w:eastAsia="黑体"/>
      <w:b/>
      <w:bCs/>
      <w:kern w:val="2"/>
      <w:sz w:val="30"/>
      <w:szCs w:val="30"/>
      <w:lang w:val="en-US" w:eastAsia="zh-CN" w:bidi="ar-SA"/>
    </w:rPr>
  </w:style>
  <w:style w:type="character" w:customStyle="1" w:styleId="1994">
    <w:name w:val="Char Char614"/>
    <w:qFormat/>
    <w:uiPriority w:val="0"/>
    <w:rPr>
      <w:rFonts w:ascii="黑体" w:eastAsia="黑体"/>
      <w:b/>
      <w:bCs/>
      <w:kern w:val="2"/>
      <w:sz w:val="28"/>
      <w:szCs w:val="28"/>
      <w:lang w:val="en-US" w:eastAsia="zh-CN" w:bidi="ar-SA"/>
    </w:rPr>
  </w:style>
  <w:style w:type="character" w:customStyle="1" w:styleId="1995">
    <w:name w:val="表题1 Char41"/>
    <w:qFormat/>
    <w:uiPriority w:val="0"/>
    <w:rPr>
      <w:rFonts w:ascii="黑体" w:hAnsi="Arial" w:eastAsia="黑体" w:cs="Arial"/>
      <w:b/>
      <w:kern w:val="2"/>
      <w:sz w:val="24"/>
      <w:szCs w:val="24"/>
      <w:lang w:val="en-US" w:eastAsia="zh-CN" w:bidi="ar-SA"/>
    </w:rPr>
  </w:style>
  <w:style w:type="character" w:customStyle="1" w:styleId="1996">
    <w:name w:val="s11"/>
    <w:qFormat/>
    <w:uiPriority w:val="0"/>
    <w:rPr>
      <w:color w:val="000000"/>
      <w:sz w:val="20"/>
      <w:szCs w:val="20"/>
      <w:u w:val="none"/>
    </w:rPr>
  </w:style>
  <w:style w:type="character" w:customStyle="1" w:styleId="1997">
    <w:name w:val="标准文本 首行缩进: 2 字符 行距: 单倍 Char Char Char Char"/>
    <w:qFormat/>
    <w:uiPriority w:val="0"/>
    <w:rPr>
      <w:kern w:val="2"/>
      <w:sz w:val="24"/>
      <w:szCs w:val="24"/>
    </w:rPr>
  </w:style>
  <w:style w:type="character" w:customStyle="1" w:styleId="1998">
    <w:name w:val="表图标题 Char Char"/>
    <w:qFormat/>
    <w:uiPriority w:val="0"/>
    <w:rPr>
      <w:b/>
      <w:bCs/>
      <w:sz w:val="24"/>
      <w:szCs w:val="24"/>
    </w:rPr>
  </w:style>
  <w:style w:type="character" w:customStyle="1" w:styleId="1999">
    <w:name w:val="表内5 Char21"/>
    <w:qFormat/>
    <w:uiPriority w:val="0"/>
    <w:rPr>
      <w:rFonts w:ascii="宋体" w:hAnsi="宋体" w:eastAsia="宋体" w:cs="宋体"/>
      <w:kern w:val="2"/>
      <w:sz w:val="21"/>
      <w:szCs w:val="24"/>
      <w:lang w:val="en-US" w:eastAsia="zh-CN" w:bidi="ar-SA"/>
    </w:rPr>
  </w:style>
  <w:style w:type="character" w:customStyle="1" w:styleId="2000">
    <w:name w:val="表格内字体 Char11"/>
    <w:qFormat/>
    <w:uiPriority w:val="0"/>
    <w:rPr>
      <w:rFonts w:ascii="宋体" w:hAnsi="宋体" w:eastAsia="宋体"/>
      <w:kern w:val="2"/>
      <w:sz w:val="21"/>
      <w:szCs w:val="24"/>
      <w:lang w:val="en-US" w:eastAsia="zh-CN" w:bidi="ar-SA"/>
    </w:rPr>
  </w:style>
  <w:style w:type="character" w:customStyle="1" w:styleId="2001">
    <w:name w:val="样式 表内小5 + 黑体 加粗 倾斜 下划线 Char511"/>
    <w:qFormat/>
    <w:uiPriority w:val="0"/>
    <w:rPr>
      <w:rFonts w:ascii="黑体" w:hAnsi="黑体" w:eastAsia="黑体"/>
      <w:b/>
      <w:bCs/>
      <w:i/>
      <w:iCs/>
      <w:kern w:val="2"/>
      <w:sz w:val="18"/>
      <w:szCs w:val="24"/>
      <w:u w:val="single"/>
      <w:lang w:val="en-US" w:eastAsia="zh-CN" w:bidi="ar-SA"/>
    </w:rPr>
  </w:style>
  <w:style w:type="character" w:customStyle="1" w:styleId="2002">
    <w:name w:val="hhcwt正文 Char Char Char1"/>
    <w:qFormat/>
    <w:uiPriority w:val="0"/>
    <w:rPr>
      <w:rFonts w:eastAsia="宋体" w:cs="宋体"/>
      <w:kern w:val="2"/>
      <w:sz w:val="24"/>
      <w:szCs w:val="24"/>
      <w:lang w:val="en-US" w:eastAsia="zh-CN" w:bidi="ar-SA"/>
    </w:rPr>
  </w:style>
  <w:style w:type="character" w:customStyle="1" w:styleId="2003">
    <w:name w:val="样式1 Char Char"/>
    <w:qFormat/>
    <w:uiPriority w:val="0"/>
    <w:rPr>
      <w:rFonts w:ascii="仿宋_GB2312" w:eastAsia="仿宋_GB2312"/>
      <w:kern w:val="2"/>
      <w:sz w:val="28"/>
    </w:rPr>
  </w:style>
  <w:style w:type="character" w:customStyle="1" w:styleId="2004">
    <w:name w:val="标题 3 Char Char12"/>
    <w:qFormat/>
    <w:uiPriority w:val="0"/>
    <w:rPr>
      <w:rFonts w:ascii="黑体" w:hAnsi="宋体" w:eastAsia="黑体"/>
      <w:b/>
      <w:bCs/>
      <w:kern w:val="2"/>
      <w:sz w:val="28"/>
      <w:szCs w:val="28"/>
      <w:lang w:val="en-US" w:eastAsia="zh-CN" w:bidi="ar-SA"/>
    </w:rPr>
  </w:style>
  <w:style w:type="character" w:customStyle="1" w:styleId="2005">
    <w:name w:val="谏壁正文chen Char Char Char1"/>
    <w:qFormat/>
    <w:uiPriority w:val="0"/>
    <w:rPr>
      <w:rFonts w:eastAsia="宋体"/>
      <w:kern w:val="2"/>
      <w:sz w:val="24"/>
      <w:szCs w:val="24"/>
      <w:lang w:val="en-US" w:eastAsia="zh-CN" w:bidi="ar-SA"/>
    </w:rPr>
  </w:style>
  <w:style w:type="character" w:customStyle="1" w:styleId="2006">
    <w:name w:val="表格题 Char Char"/>
    <w:link w:val="2007"/>
    <w:qFormat/>
    <w:uiPriority w:val="0"/>
    <w:rPr>
      <w:rFonts w:ascii="宋体" w:hAnsi="Courier New" w:eastAsia="黑体"/>
      <w:sz w:val="24"/>
    </w:rPr>
  </w:style>
  <w:style w:type="paragraph" w:customStyle="1" w:styleId="2007">
    <w:name w:val="表格题"/>
    <w:basedOn w:val="45"/>
    <w:link w:val="2006"/>
    <w:qFormat/>
    <w:uiPriority w:val="0"/>
    <w:pPr>
      <w:ind w:firstLine="200" w:firstLineChars="200"/>
    </w:pPr>
    <w:rPr>
      <w:rFonts w:eastAsia="黑体" w:cs="Times New Roman"/>
      <w:szCs w:val="20"/>
    </w:rPr>
  </w:style>
  <w:style w:type="character" w:customStyle="1" w:styleId="2008">
    <w:name w:val="Char Char620"/>
    <w:qFormat/>
    <w:uiPriority w:val="0"/>
    <w:rPr>
      <w:rFonts w:ascii="黑体" w:eastAsia="黑体"/>
      <w:b/>
      <w:bCs/>
      <w:kern w:val="2"/>
      <w:sz w:val="28"/>
      <w:szCs w:val="28"/>
      <w:lang w:val="en-US" w:eastAsia="zh-CN" w:bidi="ar-SA"/>
    </w:rPr>
  </w:style>
  <w:style w:type="character" w:customStyle="1" w:styleId="2009">
    <w:name w:val="批注框文本 Char3"/>
    <w:qFormat/>
    <w:uiPriority w:val="0"/>
    <w:rPr>
      <w:rFonts w:ascii="Times New Roman" w:hAnsi="Times New Roman" w:eastAsia="宋体" w:cs="Times New Roman"/>
      <w:kern w:val="2"/>
      <w:sz w:val="18"/>
      <w:szCs w:val="18"/>
      <w:lang w:val="en-US" w:eastAsia="zh-CN" w:bidi="ar-SA"/>
    </w:rPr>
  </w:style>
  <w:style w:type="character" w:customStyle="1" w:styleId="2010">
    <w:name w:val="燕山正文 Char13"/>
    <w:qFormat/>
    <w:uiPriority w:val="0"/>
    <w:rPr>
      <w:rFonts w:ascii="宋体" w:eastAsia="宋体" w:cs="宋体"/>
      <w:kern w:val="2"/>
      <w:sz w:val="24"/>
      <w:szCs w:val="24"/>
      <w:lang w:val="en-US" w:eastAsia="zh-CN" w:bidi="ar-SA"/>
    </w:rPr>
  </w:style>
  <w:style w:type="character" w:customStyle="1" w:styleId="2011">
    <w:name w:val="Char Char Char1 Char Char Char Char Char Char Char Char Char Char Char Char Char Char Char Char Char Char Char"/>
    <w:link w:val="2012"/>
    <w:qFormat/>
    <w:uiPriority w:val="0"/>
    <w:rPr>
      <w:sz w:val="28"/>
      <w:szCs w:val="28"/>
    </w:rPr>
  </w:style>
  <w:style w:type="paragraph" w:customStyle="1" w:styleId="2012">
    <w:name w:val="Char Char Char1 Char Char Char Char Char Char Char Char Char Char Char Char Char Char Char1"/>
    <w:basedOn w:val="1"/>
    <w:link w:val="2011"/>
    <w:qFormat/>
    <w:uiPriority w:val="0"/>
    <w:pPr>
      <w:spacing w:line="240" w:lineRule="exact"/>
      <w:ind w:firstLine="200" w:firstLineChars="200"/>
    </w:pPr>
    <w:rPr>
      <w:rFonts w:ascii="Times New Roman"/>
      <w:sz w:val="28"/>
      <w:szCs w:val="28"/>
    </w:rPr>
  </w:style>
  <w:style w:type="character" w:customStyle="1" w:styleId="2013">
    <w:name w:val="谏壁正文chen Char Char"/>
    <w:link w:val="2014"/>
    <w:qFormat/>
    <w:uiPriority w:val="0"/>
    <w:rPr>
      <w:sz w:val="24"/>
      <w:szCs w:val="24"/>
    </w:rPr>
  </w:style>
  <w:style w:type="paragraph" w:customStyle="1" w:styleId="2014">
    <w:name w:val="谏壁正文chen"/>
    <w:basedOn w:val="1"/>
    <w:link w:val="2013"/>
    <w:qFormat/>
    <w:uiPriority w:val="0"/>
    <w:pPr>
      <w:spacing w:line="360" w:lineRule="auto"/>
      <w:ind w:firstLine="200" w:firstLineChars="200"/>
    </w:pPr>
    <w:rPr>
      <w:rFonts w:ascii="Times New Roman"/>
      <w:szCs w:val="24"/>
    </w:rPr>
  </w:style>
  <w:style w:type="character" w:customStyle="1" w:styleId="2015">
    <w:name w:val="福建正文缩进 Char4"/>
    <w:qFormat/>
    <w:uiPriority w:val="0"/>
    <w:rPr>
      <w:rFonts w:ascii="宋体" w:hAnsi="宋体" w:eastAsia="宋体" w:cs="宋体"/>
      <w:color w:val="000000"/>
      <w:kern w:val="2"/>
      <w:sz w:val="24"/>
      <w:szCs w:val="24"/>
      <w:lang w:val="en-US" w:eastAsia="zh-CN" w:bidi="ar-SA"/>
    </w:rPr>
  </w:style>
  <w:style w:type="character" w:customStyle="1" w:styleId="2016">
    <w:name w:val="正文斜体 Char3"/>
    <w:qFormat/>
    <w:uiPriority w:val="0"/>
    <w:rPr>
      <w:rFonts w:ascii="宋体" w:hAnsi="宋体" w:eastAsia="宋体" w:cs="Times New Roman"/>
      <w:i/>
      <w:iCs/>
      <w:kern w:val="2"/>
      <w:sz w:val="24"/>
      <w:szCs w:val="24"/>
      <w:lang w:val="en-US" w:eastAsia="zh-CN" w:bidi="ar-SA"/>
    </w:rPr>
  </w:style>
  <w:style w:type="character" w:customStyle="1" w:styleId="2017">
    <w:name w:val="标题 3 Char11"/>
    <w:qFormat/>
    <w:uiPriority w:val="0"/>
    <w:rPr>
      <w:rFonts w:ascii="黑体" w:hAnsi="宋体" w:eastAsia="黑体"/>
      <w:b/>
      <w:bCs/>
      <w:kern w:val="2"/>
      <w:sz w:val="28"/>
      <w:szCs w:val="28"/>
      <w:lang w:val="en-US" w:eastAsia="zh-CN" w:bidi="ar-SA"/>
    </w:rPr>
  </w:style>
  <w:style w:type="character" w:customStyle="1" w:styleId="2018">
    <w:name w:val="正文文本 3 Char2"/>
    <w:qFormat/>
    <w:uiPriority w:val="0"/>
    <w:rPr>
      <w:rFonts w:eastAsia="宋体"/>
      <w:kern w:val="2"/>
      <w:sz w:val="16"/>
      <w:szCs w:val="16"/>
      <w:lang w:val="en-US" w:eastAsia="zh-CN" w:bidi="ar-SA"/>
    </w:rPr>
  </w:style>
  <w:style w:type="character" w:customStyle="1" w:styleId="2019">
    <w:name w:val="批注框文本 Char31"/>
    <w:qFormat/>
    <w:uiPriority w:val="0"/>
    <w:rPr>
      <w:rFonts w:ascii="Times New Roman" w:hAnsi="Times New Roman" w:eastAsia="宋体" w:cs="Times New Roman"/>
      <w:kern w:val="2"/>
      <w:sz w:val="18"/>
      <w:szCs w:val="18"/>
      <w:lang w:val="en-US" w:eastAsia="zh-CN" w:bidi="ar-SA"/>
    </w:rPr>
  </w:style>
  <w:style w:type="character" w:customStyle="1" w:styleId="2020">
    <w:name w:val="Char Char Char1 Char Char Char Char Char Char Char Char Char Char Char Char Char Char Char Char Char Char Char1"/>
    <w:qFormat/>
    <w:uiPriority w:val="0"/>
    <w:rPr>
      <w:rFonts w:ascii="宋体" w:hAnsi="宋体" w:eastAsia="宋体"/>
      <w:kern w:val="2"/>
      <w:sz w:val="28"/>
      <w:szCs w:val="28"/>
      <w:lang w:val="en-US" w:eastAsia="zh-CN" w:bidi="ar-SA"/>
    </w:rPr>
  </w:style>
  <w:style w:type="character" w:customStyle="1" w:styleId="2021">
    <w:name w:val="文档结构图 Char2"/>
    <w:qFormat/>
    <w:uiPriority w:val="0"/>
    <w:rPr>
      <w:rFonts w:eastAsia="宋体"/>
      <w:kern w:val="2"/>
      <w:sz w:val="21"/>
      <w:szCs w:val="24"/>
      <w:shd w:val="clear" w:color="auto" w:fill="000080"/>
      <w:lang w:val="en-US" w:eastAsia="zh-CN" w:bidi="ar-SA"/>
    </w:rPr>
  </w:style>
  <w:style w:type="character" w:customStyle="1" w:styleId="2022">
    <w:name w:val="燕山正文 Char15"/>
    <w:qFormat/>
    <w:uiPriority w:val="0"/>
    <w:rPr>
      <w:rFonts w:ascii="宋体" w:eastAsia="宋体" w:cs="宋体"/>
      <w:kern w:val="2"/>
      <w:sz w:val="24"/>
      <w:szCs w:val="24"/>
      <w:lang w:val="en-US" w:eastAsia="zh-CN" w:bidi="ar-SA"/>
    </w:rPr>
  </w:style>
  <w:style w:type="character" w:customStyle="1" w:styleId="2023">
    <w:name w:val="样式 报告 + Times New Roman Char Char Char Char Char Char Char Char Char Char Char Char Char Char Char Char Char Char"/>
    <w:qFormat/>
    <w:uiPriority w:val="0"/>
    <w:rPr>
      <w:rFonts w:eastAsia="宋体"/>
      <w:kern w:val="2"/>
      <w:sz w:val="28"/>
      <w:szCs w:val="28"/>
      <w:lang w:val="en-US" w:eastAsia="zh-CN" w:bidi="ar-SA"/>
    </w:rPr>
  </w:style>
  <w:style w:type="character" w:customStyle="1" w:styleId="2024">
    <w:name w:val="文档结构图 Char11"/>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025">
    <w:name w:val="Char Char36"/>
    <w:qFormat/>
    <w:uiPriority w:val="0"/>
    <w:rPr>
      <w:rFonts w:ascii="黑体" w:hAnsi="宋体" w:eastAsia="黑体"/>
      <w:b/>
      <w:bCs/>
      <w:kern w:val="2"/>
      <w:sz w:val="28"/>
      <w:szCs w:val="28"/>
      <w:lang w:val="en-US" w:eastAsia="zh-CN" w:bidi="ar-SA"/>
    </w:rPr>
  </w:style>
  <w:style w:type="character" w:customStyle="1" w:styleId="2026">
    <w:name w:val="题注 Char512"/>
    <w:qFormat/>
    <w:uiPriority w:val="0"/>
    <w:rPr>
      <w:rFonts w:ascii="黑体" w:hAnsi="Arial" w:eastAsia="黑体" w:cs="Arial"/>
      <w:b/>
      <w:kern w:val="2"/>
      <w:sz w:val="24"/>
      <w:szCs w:val="24"/>
      <w:lang w:val="en-US" w:eastAsia="zh-CN" w:bidi="ar-SA"/>
    </w:rPr>
  </w:style>
  <w:style w:type="character" w:customStyle="1" w:styleId="2027">
    <w:name w:val="正文修改 Char151"/>
    <w:qFormat/>
    <w:uiPriority w:val="0"/>
    <w:rPr>
      <w:rFonts w:ascii="宋体" w:hAnsi="宋体" w:eastAsia="宋体" w:cs="宋体"/>
      <w:color w:val="000000"/>
      <w:kern w:val="2"/>
      <w:sz w:val="24"/>
      <w:szCs w:val="24"/>
      <w:lang w:val="en-US" w:eastAsia="zh-CN" w:bidi="ar-SA"/>
    </w:rPr>
  </w:style>
  <w:style w:type="character" w:customStyle="1" w:styleId="2028">
    <w:name w:val="表内5 Char3"/>
    <w:qFormat/>
    <w:uiPriority w:val="0"/>
    <w:rPr>
      <w:rFonts w:ascii="宋体" w:hAnsi="宋体" w:eastAsia="宋体" w:cs="Times New Roman"/>
      <w:kern w:val="2"/>
      <w:sz w:val="24"/>
      <w:szCs w:val="24"/>
      <w:lang w:val="en-US" w:eastAsia="zh-CN" w:bidi="ar-SA"/>
    </w:rPr>
  </w:style>
  <w:style w:type="character" w:customStyle="1" w:styleId="2029">
    <w:name w:val="正文格式 Char Char Char2 Char Char"/>
    <w:qFormat/>
    <w:uiPriority w:val="0"/>
    <w:rPr>
      <w:rFonts w:ascii="宋体" w:eastAsia="宋体" w:cs="宋体"/>
      <w:kern w:val="2"/>
      <w:sz w:val="24"/>
      <w:szCs w:val="24"/>
      <w:lang w:val="en-US" w:eastAsia="zh-CN" w:bidi="ar-SA"/>
    </w:rPr>
  </w:style>
  <w:style w:type="character" w:customStyle="1" w:styleId="2030">
    <w:name w:val="正文2 Char Char1"/>
    <w:qFormat/>
    <w:uiPriority w:val="0"/>
    <w:rPr>
      <w:rFonts w:eastAsia="仿宋_GB2312"/>
      <w:kern w:val="2"/>
      <w:sz w:val="24"/>
      <w:szCs w:val="24"/>
      <w:lang w:val="en-US" w:eastAsia="zh-CN" w:bidi="ar-SA"/>
    </w:rPr>
  </w:style>
  <w:style w:type="character" w:customStyle="1" w:styleId="2031">
    <w:name w:val="题注 Char6"/>
    <w:qFormat/>
    <w:uiPriority w:val="0"/>
    <w:rPr>
      <w:rFonts w:ascii="黑体" w:hAnsi="Arial" w:eastAsia="黑体" w:cs="Arial"/>
      <w:b/>
      <w:kern w:val="2"/>
      <w:sz w:val="24"/>
      <w:szCs w:val="24"/>
      <w:lang w:val="en-US" w:eastAsia="zh-CN" w:bidi="ar-SA"/>
    </w:rPr>
  </w:style>
  <w:style w:type="character" w:customStyle="1" w:styleId="2032">
    <w:name w:val="Char Char1215"/>
    <w:qFormat/>
    <w:uiPriority w:val="0"/>
    <w:rPr>
      <w:rFonts w:ascii="黑体" w:hAnsi="Arial" w:eastAsia="黑体"/>
      <w:b/>
      <w:bCs/>
      <w:kern w:val="2"/>
      <w:sz w:val="30"/>
      <w:szCs w:val="30"/>
      <w:lang w:val="en-US" w:eastAsia="zh-CN" w:bidi="ar-SA"/>
    </w:rPr>
  </w:style>
  <w:style w:type="character" w:customStyle="1" w:styleId="2033">
    <w:name w:val="表题1 Char31"/>
    <w:qFormat/>
    <w:uiPriority w:val="0"/>
    <w:rPr>
      <w:rFonts w:ascii="黑体" w:hAnsi="Arial" w:eastAsia="黑体" w:cs="Arial"/>
      <w:b/>
      <w:kern w:val="2"/>
      <w:sz w:val="24"/>
      <w:szCs w:val="24"/>
      <w:lang w:val="en-US" w:eastAsia="zh-CN" w:bidi="ar-SA"/>
    </w:rPr>
  </w:style>
  <w:style w:type="character" w:customStyle="1" w:styleId="2034">
    <w:name w:val="表题1 Char21"/>
    <w:qFormat/>
    <w:uiPriority w:val="0"/>
    <w:rPr>
      <w:rFonts w:hAnsi="Arial" w:eastAsia="宋体" w:cs="Arial"/>
      <w:kern w:val="2"/>
      <w:sz w:val="24"/>
      <w:szCs w:val="24"/>
      <w:lang w:val="en-US" w:eastAsia="zh-CN" w:bidi="ar-SA"/>
    </w:rPr>
  </w:style>
  <w:style w:type="character" w:customStyle="1" w:styleId="2035">
    <w:name w:val="样式 正文文本 + (中文) 黑体 红色 Char Char Char Char Char1"/>
    <w:qFormat/>
    <w:uiPriority w:val="0"/>
    <w:rPr>
      <w:rFonts w:eastAsia="黑体"/>
      <w:snapToGrid w:val="0"/>
      <w:color w:val="FF0000"/>
      <w:kern w:val="2"/>
      <w:sz w:val="24"/>
      <w:szCs w:val="24"/>
      <w:lang w:val="en-US" w:eastAsia="zh-CN" w:bidi="ar-SA"/>
    </w:rPr>
  </w:style>
  <w:style w:type="character" w:customStyle="1" w:styleId="2036">
    <w:name w:val="样式 标题 3 + 左侧:  0 厘米 首行缩进:  0 厘米 Char Char Char Char"/>
    <w:link w:val="2037"/>
    <w:qFormat/>
    <w:uiPriority w:val="0"/>
    <w:rPr>
      <w:b/>
      <w:bCs/>
      <w:kern w:val="32"/>
      <w:sz w:val="32"/>
      <w:szCs w:val="32"/>
    </w:rPr>
  </w:style>
  <w:style w:type="paragraph" w:customStyle="1" w:styleId="2037">
    <w:name w:val="样式 标题 3 + 左侧:  0 厘米 首行缩进:  0 厘米 Char"/>
    <w:basedOn w:val="6"/>
    <w:link w:val="2036"/>
    <w:qFormat/>
    <w:uiPriority w:val="0"/>
    <w:pPr>
      <w:tabs>
        <w:tab w:val="left" w:pos="233"/>
        <w:tab w:val="left" w:pos="709"/>
        <w:tab w:val="left" w:pos="993"/>
      </w:tabs>
      <w:adjustRightInd w:val="0"/>
      <w:spacing w:before="0" w:after="60" w:line="500" w:lineRule="exact"/>
      <w:ind w:left="709" w:hanging="709"/>
      <w:jc w:val="left"/>
      <w:textAlignment w:val="baseline"/>
    </w:pPr>
    <w:rPr>
      <w:rFonts w:ascii="Times New Roman"/>
      <w:kern w:val="32"/>
    </w:rPr>
  </w:style>
  <w:style w:type="character" w:customStyle="1" w:styleId="2038">
    <w:name w:val="文章正文 Char Char"/>
    <w:link w:val="2039"/>
    <w:qFormat/>
    <w:uiPriority w:val="0"/>
    <w:rPr>
      <w:rFonts w:eastAsia="仿宋_GB2312"/>
      <w:sz w:val="28"/>
      <w:szCs w:val="24"/>
    </w:rPr>
  </w:style>
  <w:style w:type="paragraph" w:customStyle="1" w:styleId="2039">
    <w:name w:val="文章正文"/>
    <w:basedOn w:val="1"/>
    <w:link w:val="2038"/>
    <w:qFormat/>
    <w:uiPriority w:val="0"/>
    <w:pPr>
      <w:spacing w:line="360" w:lineRule="auto"/>
      <w:ind w:firstLine="200" w:firstLineChars="200"/>
      <w:jc w:val="left"/>
    </w:pPr>
    <w:rPr>
      <w:rFonts w:ascii="Times New Roman" w:eastAsia="仿宋_GB2312"/>
      <w:sz w:val="28"/>
      <w:szCs w:val="24"/>
    </w:rPr>
  </w:style>
  <w:style w:type="character" w:customStyle="1" w:styleId="2040">
    <w:name w:val="样式 表格内字体 + Char3"/>
    <w:qFormat/>
    <w:uiPriority w:val="0"/>
    <w:rPr>
      <w:rFonts w:ascii="宋体" w:hAnsi="宋体" w:eastAsia="宋体" w:cs="Times New Roman"/>
      <w:kern w:val="0"/>
      <w:sz w:val="21"/>
      <w:szCs w:val="24"/>
      <w:lang w:val="en-US" w:eastAsia="zh-CN" w:bidi="ar-SA"/>
    </w:rPr>
  </w:style>
  <w:style w:type="character" w:customStyle="1" w:styleId="2041">
    <w:name w:val="表题1 Char9"/>
    <w:qFormat/>
    <w:uiPriority w:val="0"/>
    <w:rPr>
      <w:rFonts w:ascii="黑体" w:hAnsi="Arial" w:eastAsia="黑体" w:cs="Arial"/>
      <w:b/>
      <w:kern w:val="2"/>
      <w:sz w:val="24"/>
      <w:szCs w:val="24"/>
      <w:lang w:val="en-US" w:eastAsia="zh-CN" w:bidi="ar-SA"/>
    </w:rPr>
  </w:style>
  <w:style w:type="character" w:customStyle="1" w:styleId="2042">
    <w:name w:val="Char Char412"/>
    <w:qFormat/>
    <w:uiPriority w:val="0"/>
    <w:rPr>
      <w:rFonts w:ascii="黑体" w:hAnsi="Arial" w:eastAsia="黑体"/>
      <w:b/>
      <w:bCs/>
      <w:kern w:val="2"/>
      <w:sz w:val="30"/>
      <w:szCs w:val="30"/>
      <w:lang w:val="en-US" w:eastAsia="zh-CN" w:bidi="ar-SA"/>
    </w:rPr>
  </w:style>
  <w:style w:type="character" w:customStyle="1" w:styleId="2043">
    <w:name w:val="样式 报告 + Times New Roman Char Char Char Char Char Char Char Char Char Char Char Char"/>
    <w:qFormat/>
    <w:uiPriority w:val="0"/>
    <w:rPr>
      <w:rFonts w:eastAsia="宋体"/>
      <w:sz w:val="28"/>
      <w:szCs w:val="28"/>
      <w:lang w:val="en-US" w:eastAsia="zh-CN" w:bidi="ar-SA"/>
    </w:rPr>
  </w:style>
  <w:style w:type="character" w:customStyle="1" w:styleId="2044">
    <w:name w:val="下标"/>
    <w:qFormat/>
    <w:uiPriority w:val="0"/>
    <w:rPr>
      <w:rFonts w:ascii="Times New Roman" w:hAnsi="Times New Roman" w:eastAsia="宋体"/>
      <w:spacing w:val="0"/>
      <w:position w:val="-7"/>
      <w:sz w:val="18"/>
    </w:rPr>
  </w:style>
  <w:style w:type="character" w:customStyle="1" w:styleId="2045">
    <w:name w:val="Char Char2113"/>
    <w:qFormat/>
    <w:uiPriority w:val="0"/>
    <w:rPr>
      <w:rFonts w:ascii="黑体" w:eastAsia="宋体"/>
      <w:kern w:val="2"/>
      <w:sz w:val="16"/>
      <w:szCs w:val="16"/>
      <w:lang w:val="en-US" w:eastAsia="zh-CN" w:bidi="ar-SA"/>
    </w:rPr>
  </w:style>
  <w:style w:type="character" w:customStyle="1" w:styleId="2046">
    <w:name w:val="Char Char511"/>
    <w:qFormat/>
    <w:uiPriority w:val="0"/>
    <w:rPr>
      <w:rFonts w:ascii="黑体" w:hAnsi="宋体" w:eastAsia="黑体"/>
      <w:bCs/>
      <w:kern w:val="2"/>
      <w:sz w:val="28"/>
      <w:szCs w:val="28"/>
      <w:lang w:val="en-US" w:eastAsia="zh-CN" w:bidi="ar-SA"/>
    </w:rPr>
  </w:style>
  <w:style w:type="character" w:customStyle="1" w:styleId="2047">
    <w:name w:val="题注 Char51"/>
    <w:qFormat/>
    <w:uiPriority w:val="0"/>
    <w:rPr>
      <w:rFonts w:ascii="黑体" w:hAnsi="Arial" w:eastAsia="黑体" w:cs="Arial"/>
      <w:b/>
      <w:kern w:val="2"/>
      <w:sz w:val="24"/>
      <w:szCs w:val="24"/>
      <w:lang w:val="en-US" w:eastAsia="zh-CN" w:bidi="ar-SA"/>
    </w:rPr>
  </w:style>
  <w:style w:type="character" w:customStyle="1" w:styleId="2048">
    <w:name w:val="style131"/>
    <w:qFormat/>
    <w:uiPriority w:val="0"/>
    <w:rPr>
      <w:rFonts w:ascii="宋体" w:hAnsi="宋体" w:eastAsia="楷体_GB2312" w:cs="宋体"/>
      <w:b/>
      <w:bCs/>
      <w:kern w:val="2"/>
      <w:sz w:val="18"/>
      <w:szCs w:val="18"/>
      <w:lang w:val="en-US" w:eastAsia="zh-CN" w:bidi="ar-SA"/>
    </w:rPr>
  </w:style>
  <w:style w:type="character" w:customStyle="1" w:styleId="2049">
    <w:name w:val="info"/>
    <w:qFormat/>
    <w:uiPriority w:val="0"/>
  </w:style>
  <w:style w:type="character" w:customStyle="1" w:styleId="2050">
    <w:name w:val="第一层条 Char2"/>
    <w:qFormat/>
    <w:uiPriority w:val="0"/>
    <w:rPr>
      <w:rFonts w:ascii="仿宋_GB2312" w:eastAsia="仿宋_GB2312"/>
      <w:b/>
      <w:kern w:val="2"/>
      <w:sz w:val="28"/>
      <w:lang w:val="en-US" w:eastAsia="zh-CN" w:bidi="ar-SA"/>
    </w:rPr>
  </w:style>
  <w:style w:type="character" w:customStyle="1" w:styleId="2051">
    <w:name w:val="图题注 Char4"/>
    <w:qFormat/>
    <w:uiPriority w:val="0"/>
    <w:rPr>
      <w:rFonts w:ascii="黑体" w:hAnsi="Arial" w:eastAsia="黑体" w:cs="宋体"/>
      <w:b/>
      <w:bCs/>
      <w:kern w:val="2"/>
      <w:sz w:val="24"/>
      <w:szCs w:val="24"/>
      <w:lang w:val="en-US" w:eastAsia="zh-CN" w:bidi="ar-SA"/>
    </w:rPr>
  </w:style>
  <w:style w:type="character" w:customStyle="1" w:styleId="2052">
    <w:name w:val="河石管道4 Char4"/>
    <w:qFormat/>
    <w:uiPriority w:val="0"/>
    <w:rPr>
      <w:rFonts w:ascii="黑体" w:hAnsi="Arial" w:eastAsia="黑体"/>
      <w:bCs/>
      <w:kern w:val="2"/>
      <w:sz w:val="24"/>
      <w:szCs w:val="24"/>
      <w:lang w:val="en-US" w:eastAsia="zh-CN" w:bidi="ar-SA"/>
    </w:rPr>
  </w:style>
  <w:style w:type="character" w:customStyle="1" w:styleId="2053">
    <w:name w:val="谏壁chen表格内文字 Char Char Char1"/>
    <w:qFormat/>
    <w:uiPriority w:val="0"/>
    <w:rPr>
      <w:rFonts w:eastAsia="宋体"/>
      <w:kern w:val="2"/>
      <w:sz w:val="21"/>
      <w:szCs w:val="21"/>
      <w:lang w:val="en-US" w:eastAsia="zh-CN" w:bidi="ar-SA"/>
    </w:rPr>
  </w:style>
  <w:style w:type="character" w:customStyle="1" w:styleId="2054">
    <w:name w:val="无级项 Char3"/>
    <w:qFormat/>
    <w:uiPriority w:val="0"/>
    <w:rPr>
      <w:rFonts w:eastAsia="宋体"/>
      <w:b/>
      <w:bCs/>
      <w:kern w:val="2"/>
      <w:sz w:val="24"/>
      <w:szCs w:val="24"/>
      <w:lang w:val="en-US" w:eastAsia="zh-CN" w:bidi="ar-SA"/>
    </w:rPr>
  </w:style>
  <w:style w:type="character" w:customStyle="1" w:styleId="2055">
    <w:name w:val="text_14px1"/>
    <w:qFormat/>
    <w:uiPriority w:val="0"/>
    <w:rPr>
      <w:color w:val="000000"/>
      <w:sz w:val="21"/>
      <w:szCs w:val="21"/>
    </w:rPr>
  </w:style>
  <w:style w:type="character" w:customStyle="1" w:styleId="2056">
    <w:name w:val="样式 正文文本 + 红色 Char Char Char Char Char Char Char Char"/>
    <w:qFormat/>
    <w:uiPriority w:val="0"/>
    <w:rPr>
      <w:rFonts w:eastAsia="仿宋_GB2312"/>
      <w:snapToGrid w:val="0"/>
      <w:color w:val="FF0000"/>
      <w:sz w:val="24"/>
      <w:szCs w:val="24"/>
      <w:lang w:val="en-US" w:eastAsia="zh-CN" w:bidi="ar-SA"/>
    </w:rPr>
  </w:style>
  <w:style w:type="character" w:customStyle="1" w:styleId="2057">
    <w:name w:val="样式 表内小5 + 黑体 加粗 倾斜 下划线 Char11"/>
    <w:qFormat/>
    <w:uiPriority w:val="0"/>
    <w:rPr>
      <w:rFonts w:ascii="黑体" w:hAnsi="黑体" w:eastAsia="黑体"/>
      <w:b/>
      <w:bCs/>
      <w:i/>
      <w:iCs/>
      <w:kern w:val="2"/>
      <w:sz w:val="18"/>
      <w:szCs w:val="24"/>
      <w:u w:val="single"/>
      <w:lang w:val="en-US" w:eastAsia="zh-CN" w:bidi="ar-SA"/>
    </w:rPr>
  </w:style>
  <w:style w:type="character" w:customStyle="1" w:styleId="2058">
    <w:name w:val="Char Char59"/>
    <w:qFormat/>
    <w:uiPriority w:val="0"/>
    <w:rPr>
      <w:rFonts w:ascii="黑体" w:hAnsi="宋体" w:eastAsia="黑体"/>
      <w:bCs/>
      <w:kern w:val="2"/>
      <w:sz w:val="28"/>
      <w:szCs w:val="28"/>
      <w:lang w:val="en-US" w:eastAsia="zh-CN" w:bidi="ar-SA"/>
    </w:rPr>
  </w:style>
  <w:style w:type="character" w:customStyle="1" w:styleId="2059">
    <w:name w:val="表题1 Char42"/>
    <w:qFormat/>
    <w:uiPriority w:val="0"/>
    <w:rPr>
      <w:rFonts w:ascii="黑体" w:hAnsi="Arial" w:eastAsia="黑体" w:cs="Arial"/>
      <w:b/>
      <w:kern w:val="2"/>
      <w:sz w:val="24"/>
      <w:szCs w:val="24"/>
      <w:lang w:val="en-US" w:eastAsia="zh-CN" w:bidi="ar-SA"/>
    </w:rPr>
  </w:style>
  <w:style w:type="character" w:customStyle="1" w:styleId="2060">
    <w:name w:val="正文首行缩进 Char2"/>
    <w:qFormat/>
    <w:uiPriority w:val="0"/>
    <w:rPr>
      <w:rFonts w:eastAsia="宋体"/>
      <w:kern w:val="2"/>
      <w:sz w:val="24"/>
      <w:szCs w:val="24"/>
      <w:lang w:val="en-US" w:eastAsia="zh-CN" w:bidi="ar-SA"/>
    </w:rPr>
  </w:style>
  <w:style w:type="character" w:customStyle="1" w:styleId="2061">
    <w:name w:val="图表题 Char11"/>
    <w:qFormat/>
    <w:uiPriority w:val="0"/>
    <w:rPr>
      <w:rFonts w:ascii="黑体" w:hAnsi="宋体" w:eastAsia="黑体" w:cs="宋体"/>
      <w:b/>
      <w:bCs/>
      <w:kern w:val="2"/>
      <w:sz w:val="24"/>
      <w:szCs w:val="24"/>
      <w:lang w:val="en-US" w:eastAsia="zh-CN" w:bidi="ar-SA"/>
    </w:rPr>
  </w:style>
  <w:style w:type="character" w:customStyle="1" w:styleId="2062">
    <w:name w:val="样式 正文缩进 + 宋体 黑色 Char3"/>
    <w:qFormat/>
    <w:uiPriority w:val="0"/>
    <w:rPr>
      <w:rFonts w:ascii="宋体" w:hAnsi="宋体" w:eastAsia="宋体" w:cs="Times New Roman"/>
      <w:color w:val="000000"/>
      <w:kern w:val="2"/>
      <w:sz w:val="24"/>
      <w:szCs w:val="24"/>
      <w:lang w:val="en-US" w:eastAsia="zh-CN" w:bidi="ar-SA"/>
    </w:rPr>
  </w:style>
  <w:style w:type="character" w:customStyle="1" w:styleId="2063">
    <w:name w:val="Char Char13"/>
    <w:qFormat/>
    <w:uiPriority w:val="0"/>
    <w:rPr>
      <w:rFonts w:ascii="黑体" w:hAnsi="Arial" w:eastAsia="黑体"/>
      <w:b/>
      <w:bCs/>
      <w:kern w:val="2"/>
      <w:sz w:val="30"/>
      <w:szCs w:val="30"/>
      <w:lang w:val="en-US" w:eastAsia="zh-CN" w:bidi="ar-SA"/>
    </w:rPr>
  </w:style>
  <w:style w:type="character" w:customStyle="1" w:styleId="2064">
    <w:name w:val="Char Char Char1 Char Char Char Char Char Char Char Char Char Char Char Char Char Char Char Char Char21"/>
    <w:qFormat/>
    <w:uiPriority w:val="0"/>
    <w:rPr>
      <w:rFonts w:hint="eastAsia" w:ascii="宋体" w:hAnsi="宋体" w:eastAsia="宋体"/>
      <w:kern w:val="2"/>
      <w:sz w:val="28"/>
      <w:szCs w:val="28"/>
      <w:lang w:val="en-US" w:eastAsia="zh-CN" w:bidi="ar-SA"/>
    </w:rPr>
  </w:style>
  <w:style w:type="character" w:customStyle="1" w:styleId="2065">
    <w:name w:val="Char Char421"/>
    <w:qFormat/>
    <w:uiPriority w:val="0"/>
    <w:rPr>
      <w:rFonts w:ascii="仿宋_GB2312" w:hAnsi="宋体" w:eastAsia="仿宋_GB2312"/>
      <w:kern w:val="2"/>
      <w:sz w:val="28"/>
      <w:szCs w:val="28"/>
      <w:lang w:val="en-US" w:eastAsia="zh-CN" w:bidi="ar-SA"/>
    </w:rPr>
  </w:style>
  <w:style w:type="character" w:customStyle="1" w:styleId="2066">
    <w:name w:val="标题 8 Char11"/>
    <w:qFormat/>
    <w:uiPriority w:val="0"/>
    <w:rPr>
      <w:rFonts w:ascii="Arial" w:hAnsi="Arial" w:eastAsia="黑体"/>
      <w:kern w:val="2"/>
      <w:sz w:val="24"/>
      <w:szCs w:val="24"/>
      <w:lang w:val="en-US" w:eastAsia="zh-CN" w:bidi="ar-SA"/>
    </w:rPr>
  </w:style>
  <w:style w:type="character" w:customStyle="1" w:styleId="2067">
    <w:name w:val="题注 Char312"/>
    <w:qFormat/>
    <w:uiPriority w:val="0"/>
    <w:rPr>
      <w:rFonts w:ascii="黑体" w:hAnsi="Arial" w:eastAsia="黑体" w:cs="Arial"/>
      <w:b/>
      <w:kern w:val="2"/>
      <w:sz w:val="24"/>
      <w:szCs w:val="24"/>
      <w:lang w:val="en-US" w:eastAsia="zh-CN" w:bidi="ar-SA"/>
    </w:rPr>
  </w:style>
  <w:style w:type="character" w:customStyle="1" w:styleId="2068">
    <w:name w:val="第一层条 Char6"/>
    <w:qFormat/>
    <w:uiPriority w:val="0"/>
    <w:rPr>
      <w:rFonts w:ascii="仿宋_GB2312" w:eastAsia="仿宋_GB2312"/>
      <w:b/>
      <w:kern w:val="2"/>
      <w:sz w:val="28"/>
      <w:lang w:val="en-US" w:eastAsia="zh-CN" w:bidi="ar-SA"/>
    </w:rPr>
  </w:style>
  <w:style w:type="character" w:customStyle="1" w:styleId="2069">
    <w:name w:val="表题1 Char613"/>
    <w:qFormat/>
    <w:uiPriority w:val="0"/>
    <w:rPr>
      <w:rFonts w:ascii="黑体" w:hAnsi="Arial" w:eastAsia="黑体" w:cs="Arial"/>
      <w:b/>
      <w:kern w:val="2"/>
      <w:sz w:val="24"/>
      <w:szCs w:val="24"/>
      <w:lang w:val="en-US" w:eastAsia="zh-CN" w:bidi="ar-SA"/>
    </w:rPr>
  </w:style>
  <w:style w:type="character" w:customStyle="1" w:styleId="2070">
    <w:name w:val="Char Char Char1 Char Char Char Char Char Char Char Char Char Char Char Char Char Char Char Char Char11"/>
    <w:qFormat/>
    <w:uiPriority w:val="0"/>
    <w:rPr>
      <w:rFonts w:hint="eastAsia" w:ascii="宋体" w:hAnsi="宋体" w:eastAsia="宋体"/>
      <w:kern w:val="2"/>
      <w:sz w:val="28"/>
      <w:szCs w:val="28"/>
      <w:lang w:val="en-US" w:eastAsia="zh-CN" w:bidi="ar-SA"/>
    </w:rPr>
  </w:style>
  <w:style w:type="character" w:customStyle="1" w:styleId="2071">
    <w:name w:val="正文首行缩进 Char3"/>
    <w:qFormat/>
    <w:uiPriority w:val="0"/>
    <w:rPr>
      <w:rFonts w:ascii="Times New Roman" w:hAnsi="Times New Roman" w:eastAsia="宋体" w:cs="Times New Roman"/>
      <w:kern w:val="2"/>
      <w:sz w:val="21"/>
      <w:szCs w:val="24"/>
      <w:lang w:val="en-US" w:eastAsia="zh-CN" w:bidi="ar-SA"/>
    </w:rPr>
  </w:style>
  <w:style w:type="character" w:customStyle="1" w:styleId="2072">
    <w:name w:val="Char Char91"/>
    <w:qFormat/>
    <w:uiPriority w:val="0"/>
    <w:rPr>
      <w:rFonts w:eastAsia="宋体"/>
      <w:kern w:val="2"/>
      <w:sz w:val="21"/>
      <w:szCs w:val="24"/>
      <w:shd w:val="clear" w:color="auto" w:fill="000080"/>
      <w:lang w:val="en-US" w:eastAsia="zh-CN" w:bidi="ar-SA"/>
    </w:rPr>
  </w:style>
  <w:style w:type="character" w:customStyle="1" w:styleId="2073">
    <w:name w:val="表格内字体 Char41"/>
    <w:qFormat/>
    <w:uiPriority w:val="0"/>
    <w:rPr>
      <w:rFonts w:ascii="宋体" w:hAnsi="宋体" w:eastAsia="宋体"/>
      <w:kern w:val="2"/>
      <w:sz w:val="21"/>
      <w:szCs w:val="24"/>
      <w:lang w:val="en-US" w:eastAsia="zh-CN" w:bidi="ar-SA"/>
    </w:rPr>
  </w:style>
  <w:style w:type="character" w:customStyle="1" w:styleId="2074">
    <w:name w:val="表格内字体 Char8"/>
    <w:qFormat/>
    <w:uiPriority w:val="0"/>
    <w:rPr>
      <w:rFonts w:ascii="宋体" w:hAnsi="宋体" w:eastAsia="宋体"/>
      <w:kern w:val="2"/>
      <w:sz w:val="21"/>
      <w:szCs w:val="24"/>
      <w:lang w:val="en-US" w:eastAsia="zh-CN" w:bidi="ar-SA"/>
    </w:rPr>
  </w:style>
  <w:style w:type="character" w:customStyle="1" w:styleId="2075">
    <w:name w:val="Char Char112"/>
    <w:qFormat/>
    <w:uiPriority w:val="0"/>
    <w:rPr>
      <w:rFonts w:ascii="黑体" w:hAnsi="Arial" w:eastAsia="黑体"/>
      <w:bCs/>
      <w:kern w:val="2"/>
      <w:sz w:val="30"/>
      <w:szCs w:val="30"/>
      <w:lang w:val="en-US" w:eastAsia="zh-CN" w:bidi="ar-SA"/>
    </w:rPr>
  </w:style>
  <w:style w:type="character" w:customStyle="1" w:styleId="2076">
    <w:name w:val="表格内字体 Char1"/>
    <w:qFormat/>
    <w:uiPriority w:val="0"/>
    <w:rPr>
      <w:rFonts w:ascii="宋体" w:hAnsi="宋体" w:eastAsia="宋体"/>
      <w:kern w:val="2"/>
      <w:sz w:val="21"/>
      <w:szCs w:val="24"/>
      <w:lang w:val="en-US" w:eastAsia="zh-CN" w:bidi="ar-SA"/>
    </w:rPr>
  </w:style>
  <w:style w:type="character" w:customStyle="1" w:styleId="2077">
    <w:name w:val="报告 Char Char Char Char Char"/>
    <w:qFormat/>
    <w:uiPriority w:val="0"/>
    <w:rPr>
      <w:kern w:val="2"/>
      <w:sz w:val="24"/>
      <w:szCs w:val="24"/>
    </w:rPr>
  </w:style>
  <w:style w:type="character" w:customStyle="1" w:styleId="2078">
    <w:name w:val="正文格式 Char101"/>
    <w:qFormat/>
    <w:uiPriority w:val="0"/>
    <w:rPr>
      <w:rFonts w:ascii="宋体" w:hAnsi="宋体" w:eastAsia="宋体"/>
      <w:kern w:val="2"/>
      <w:sz w:val="24"/>
      <w:szCs w:val="24"/>
      <w:lang w:val="en-US" w:eastAsia="zh-CN" w:bidi="ar-SA"/>
    </w:rPr>
  </w:style>
  <w:style w:type="character" w:customStyle="1" w:styleId="2079">
    <w:name w:val="表格内字体 Char12"/>
    <w:qFormat/>
    <w:uiPriority w:val="0"/>
    <w:rPr>
      <w:rFonts w:ascii="宋体" w:hAnsi="宋体" w:eastAsia="宋体"/>
      <w:kern w:val="2"/>
      <w:sz w:val="21"/>
      <w:szCs w:val="24"/>
      <w:lang w:val="en-US" w:eastAsia="zh-CN" w:bidi="ar-SA"/>
    </w:rPr>
  </w:style>
  <w:style w:type="character" w:customStyle="1" w:styleId="2080">
    <w:name w:val="Char Char610"/>
    <w:qFormat/>
    <w:uiPriority w:val="0"/>
    <w:rPr>
      <w:rFonts w:ascii="黑体" w:eastAsia="黑体"/>
      <w:b/>
      <w:bCs/>
      <w:kern w:val="2"/>
      <w:sz w:val="28"/>
      <w:szCs w:val="28"/>
      <w:lang w:val="en-US" w:eastAsia="zh-CN" w:bidi="ar-SA"/>
    </w:rPr>
  </w:style>
  <w:style w:type="character" w:customStyle="1" w:styleId="2081">
    <w:name w:val="题注 Char61"/>
    <w:qFormat/>
    <w:uiPriority w:val="0"/>
    <w:rPr>
      <w:rFonts w:ascii="黑体" w:hAnsi="Arial" w:eastAsia="黑体" w:cs="Arial"/>
      <w:b/>
      <w:kern w:val="2"/>
      <w:sz w:val="24"/>
      <w:szCs w:val="24"/>
      <w:lang w:val="en-US" w:eastAsia="zh-CN" w:bidi="ar-SA"/>
    </w:rPr>
  </w:style>
  <w:style w:type="character" w:customStyle="1" w:styleId="2082">
    <w:name w:val="正文-2 Char Char"/>
    <w:link w:val="2083"/>
    <w:qFormat/>
    <w:uiPriority w:val="0"/>
    <w:rPr>
      <w:sz w:val="24"/>
      <w:szCs w:val="24"/>
      <w:lang w:val="en-US" w:eastAsia="zh-CN" w:bidi="ar-SA"/>
    </w:rPr>
  </w:style>
  <w:style w:type="paragraph" w:customStyle="1" w:styleId="2083">
    <w:name w:val="正文-2"/>
    <w:link w:val="2082"/>
    <w:qFormat/>
    <w:uiPriority w:val="0"/>
    <w:pPr>
      <w:widowControl w:val="0"/>
      <w:spacing w:line="440" w:lineRule="exact"/>
      <w:ind w:firstLine="480" w:firstLineChars="200"/>
      <w:jc w:val="both"/>
    </w:pPr>
    <w:rPr>
      <w:rFonts w:ascii="Times New Roman" w:hAnsi="Times New Roman" w:eastAsia="宋体" w:cs="Times New Roman"/>
      <w:sz w:val="24"/>
      <w:szCs w:val="24"/>
      <w:lang w:val="en-US" w:eastAsia="zh-CN" w:bidi="ar-SA"/>
    </w:rPr>
  </w:style>
  <w:style w:type="character" w:customStyle="1" w:styleId="2084">
    <w:name w:val="HTS 1 Char"/>
    <w:qFormat/>
    <w:uiPriority w:val="0"/>
    <w:rPr>
      <w:rFonts w:ascii="楷体_GB2312" w:eastAsia="楷体_GB2312"/>
      <w:b/>
      <w:kern w:val="44"/>
      <w:sz w:val="30"/>
      <w:lang w:val="en-US" w:eastAsia="zh-CN" w:bidi="ar-SA"/>
    </w:rPr>
  </w:style>
  <w:style w:type="character" w:customStyle="1" w:styleId="2085">
    <w:name w:val="Char Char2110"/>
    <w:qFormat/>
    <w:uiPriority w:val="0"/>
    <w:rPr>
      <w:rFonts w:ascii="黑体" w:eastAsia="宋体"/>
      <w:kern w:val="2"/>
      <w:sz w:val="16"/>
      <w:szCs w:val="16"/>
      <w:lang w:val="en-US" w:eastAsia="zh-CN" w:bidi="ar-SA"/>
    </w:rPr>
  </w:style>
  <w:style w:type="character" w:customStyle="1" w:styleId="2086">
    <w:name w:val="Char Char58"/>
    <w:qFormat/>
    <w:uiPriority w:val="0"/>
    <w:rPr>
      <w:rFonts w:ascii="黑体" w:hAnsi="宋体" w:eastAsia="黑体"/>
      <w:bCs/>
      <w:kern w:val="2"/>
      <w:sz w:val="28"/>
      <w:szCs w:val="28"/>
      <w:lang w:val="en-US" w:eastAsia="zh-CN" w:bidi="ar-SA"/>
    </w:rPr>
  </w:style>
  <w:style w:type="character" w:customStyle="1" w:styleId="2087">
    <w:name w:val="样式 表格内字体 + Char13"/>
    <w:qFormat/>
    <w:uiPriority w:val="0"/>
    <w:rPr>
      <w:szCs w:val="24"/>
    </w:rPr>
  </w:style>
  <w:style w:type="character" w:customStyle="1" w:styleId="2088">
    <w:name w:val="正文文本缩进 3 Char2"/>
    <w:qFormat/>
    <w:uiPriority w:val="0"/>
    <w:rPr>
      <w:rFonts w:eastAsia="宋体"/>
      <w:kern w:val="2"/>
      <w:sz w:val="16"/>
      <w:szCs w:val="16"/>
      <w:lang w:val="en-US" w:eastAsia="zh-CN" w:bidi="ar-SA"/>
    </w:rPr>
  </w:style>
  <w:style w:type="character" w:customStyle="1" w:styleId="2089">
    <w:name w:val="表内5 Char Char"/>
    <w:link w:val="2090"/>
    <w:qFormat/>
    <w:uiPriority w:val="0"/>
    <w:rPr>
      <w:rFonts w:ascii="宋体" w:hAnsi="宋体"/>
    </w:rPr>
  </w:style>
  <w:style w:type="paragraph" w:customStyle="1" w:styleId="2090">
    <w:name w:val="表内51"/>
    <w:basedOn w:val="1"/>
    <w:link w:val="2089"/>
    <w:qFormat/>
    <w:uiPriority w:val="0"/>
    <w:pPr>
      <w:adjustRightInd w:val="0"/>
      <w:snapToGrid w:val="0"/>
      <w:jc w:val="center"/>
    </w:pPr>
    <w:rPr>
      <w:rFonts w:hAnsi="宋体"/>
      <w:sz w:val="20"/>
    </w:rPr>
  </w:style>
  <w:style w:type="character" w:customStyle="1" w:styleId="2091">
    <w:name w:val="bz-content1"/>
    <w:qFormat/>
    <w:uiPriority w:val="0"/>
  </w:style>
  <w:style w:type="character" w:customStyle="1" w:styleId="2092">
    <w:name w:val="样式 标题 3小标题小节标题H3h33rd level第二层条标题4标题 3 Char标题 3 Char Ch... Char Char"/>
    <w:qFormat/>
    <w:uiPriority w:val="0"/>
    <w:rPr>
      <w:rFonts w:ascii="Arial" w:hAnsi="Arial"/>
      <w:b/>
      <w:bCs/>
      <w:kern w:val="32"/>
      <w:sz w:val="32"/>
      <w:szCs w:val="32"/>
    </w:rPr>
  </w:style>
  <w:style w:type="character" w:customStyle="1" w:styleId="2093">
    <w:name w:val="H23 Char Char"/>
    <w:qFormat/>
    <w:uiPriority w:val="0"/>
    <w:rPr>
      <w:rFonts w:ascii="仿宋_GB2312" w:eastAsia="仿宋_GB2312"/>
      <w:b/>
      <w:kern w:val="2"/>
      <w:sz w:val="28"/>
      <w:lang w:val="en-US" w:eastAsia="zh-CN" w:bidi="ar-SA"/>
    </w:rPr>
  </w:style>
  <w:style w:type="character" w:customStyle="1" w:styleId="2094">
    <w:name w:val="Char Char25"/>
    <w:qFormat/>
    <w:uiPriority w:val="0"/>
    <w:rPr>
      <w:kern w:val="2"/>
      <w:sz w:val="18"/>
      <w:szCs w:val="18"/>
    </w:rPr>
  </w:style>
  <w:style w:type="character" w:customStyle="1" w:styleId="2095">
    <w:name w:val="福建正文缩进 Char3"/>
    <w:qFormat/>
    <w:uiPriority w:val="0"/>
    <w:rPr>
      <w:rFonts w:ascii="宋体" w:hAnsi="宋体" w:eastAsia="宋体" w:cs="宋体"/>
      <w:color w:val="000000"/>
      <w:kern w:val="0"/>
      <w:sz w:val="24"/>
      <w:szCs w:val="24"/>
      <w:lang w:val="en-US" w:eastAsia="zh-CN" w:bidi="ar-SA"/>
    </w:rPr>
  </w:style>
  <w:style w:type="character" w:customStyle="1" w:styleId="2096">
    <w:name w:val="Char Char56"/>
    <w:qFormat/>
    <w:uiPriority w:val="0"/>
    <w:rPr>
      <w:rFonts w:ascii="黑体" w:hAnsi="宋体" w:eastAsia="黑体"/>
      <w:bCs/>
      <w:kern w:val="2"/>
      <w:sz w:val="28"/>
      <w:szCs w:val="28"/>
      <w:lang w:val="en-US" w:eastAsia="zh-CN" w:bidi="ar-SA"/>
    </w:rPr>
  </w:style>
  <w:style w:type="character" w:customStyle="1" w:styleId="2097">
    <w:name w:val="列表 Char Char Char"/>
    <w:qFormat/>
    <w:uiPriority w:val="0"/>
    <w:rPr>
      <w:rFonts w:eastAsia="宋体"/>
      <w:sz w:val="21"/>
      <w:szCs w:val="21"/>
      <w:lang w:val="en-US" w:eastAsia="zh-CN" w:bidi="ar-SA"/>
    </w:rPr>
  </w:style>
  <w:style w:type="character" w:customStyle="1" w:styleId="2098">
    <w:name w:val="Char Char1116"/>
    <w:qFormat/>
    <w:uiPriority w:val="0"/>
    <w:rPr>
      <w:rFonts w:ascii="黑体" w:hAnsi="Arial" w:eastAsia="黑体"/>
      <w:bCs/>
      <w:kern w:val="2"/>
      <w:sz w:val="30"/>
      <w:szCs w:val="30"/>
      <w:lang w:val="en-US" w:eastAsia="zh-CN" w:bidi="ar-SA"/>
    </w:rPr>
  </w:style>
  <w:style w:type="character" w:customStyle="1" w:styleId="2099">
    <w:name w:val="正文格式 Char14"/>
    <w:qFormat/>
    <w:uiPriority w:val="0"/>
    <w:rPr>
      <w:rFonts w:ascii="宋体" w:hAnsi="宋体" w:eastAsia="宋体"/>
      <w:kern w:val="2"/>
      <w:sz w:val="24"/>
      <w:szCs w:val="24"/>
      <w:lang w:val="en-US" w:eastAsia="zh-CN" w:bidi="ar-SA"/>
    </w:rPr>
  </w:style>
  <w:style w:type="character" w:customStyle="1" w:styleId="2100">
    <w:name w:val="表中文字 Char21"/>
    <w:qFormat/>
    <w:uiPriority w:val="0"/>
    <w:rPr>
      <w:rFonts w:ascii="宋体" w:eastAsia="宋体"/>
      <w:kern w:val="2"/>
      <w:sz w:val="21"/>
      <w:szCs w:val="21"/>
      <w:lang w:val="en-US" w:eastAsia="zh-CN" w:bidi="ar-SA"/>
    </w:rPr>
  </w:style>
  <w:style w:type="character" w:customStyle="1" w:styleId="2101">
    <w:name w:val="样式 黑色"/>
    <w:qFormat/>
    <w:uiPriority w:val="0"/>
    <w:rPr>
      <w:rFonts w:eastAsia="宋体"/>
      <w:color w:val="auto"/>
      <w:kern w:val="2"/>
      <w:sz w:val="24"/>
      <w:szCs w:val="24"/>
      <w:lang w:val="en-US" w:eastAsia="zh-CN" w:bidi="ar-SA"/>
    </w:rPr>
  </w:style>
  <w:style w:type="character" w:customStyle="1" w:styleId="2102">
    <w:name w:val="样式 标题 3小标题小节标题H3h33rd level第二层条标题4标题 3 Char标题 3 Char Ch... Char Char Char Char Char"/>
    <w:qFormat/>
    <w:uiPriority w:val="0"/>
    <w:rPr>
      <w:rFonts w:ascii="Arial" w:hAnsi="Arial" w:eastAsia="宋体"/>
      <w:b/>
      <w:bCs/>
      <w:kern w:val="32"/>
      <w:sz w:val="32"/>
      <w:szCs w:val="32"/>
      <w:lang w:val="en-US" w:eastAsia="zh-CN" w:bidi="ar-SA"/>
    </w:rPr>
  </w:style>
  <w:style w:type="character" w:customStyle="1" w:styleId="2103">
    <w:name w:val="z1"/>
    <w:qFormat/>
    <w:uiPriority w:val="0"/>
    <w:rPr>
      <w:rFonts w:eastAsia="宋体"/>
      <w:kern w:val="2"/>
      <w:sz w:val="18"/>
      <w:szCs w:val="18"/>
      <w:lang w:val="en-US" w:eastAsia="zh-CN" w:bidi="ar-SA"/>
    </w:rPr>
  </w:style>
  <w:style w:type="character" w:customStyle="1" w:styleId="2104">
    <w:name w:val="pt91"/>
    <w:qFormat/>
    <w:uiPriority w:val="0"/>
    <w:rPr>
      <w:color w:val="000000"/>
      <w:sz w:val="18"/>
      <w:szCs w:val="18"/>
      <w:u w:val="none"/>
    </w:rPr>
  </w:style>
  <w:style w:type="character" w:customStyle="1" w:styleId="2105">
    <w:name w:val="标题 1 Char4"/>
    <w:qFormat/>
    <w:uiPriority w:val="0"/>
    <w:rPr>
      <w:rFonts w:ascii="黑体" w:hAnsi="宋体" w:eastAsia="黑体"/>
      <w:b/>
      <w:bCs/>
      <w:kern w:val="44"/>
      <w:sz w:val="32"/>
      <w:szCs w:val="32"/>
      <w:lang w:val="en-US" w:eastAsia="zh-CN" w:bidi="ar-SA"/>
    </w:rPr>
  </w:style>
  <w:style w:type="character" w:customStyle="1" w:styleId="2106">
    <w:name w:val="样式 正文文本 + 红色 Char Char Char Char Char Char Char Char Char"/>
    <w:link w:val="2107"/>
    <w:qFormat/>
    <w:uiPriority w:val="0"/>
    <w:rPr>
      <w:rFonts w:eastAsia="仿宋_GB2312"/>
      <w:color w:val="FF0000"/>
      <w:sz w:val="24"/>
      <w:szCs w:val="24"/>
    </w:rPr>
  </w:style>
  <w:style w:type="paragraph" w:customStyle="1" w:styleId="2107">
    <w:name w:val="样式 正文文本 + 红色 Char Char Char"/>
    <w:basedOn w:val="1"/>
    <w:link w:val="2106"/>
    <w:qFormat/>
    <w:uiPriority w:val="0"/>
    <w:pPr>
      <w:adjustRightInd w:val="0"/>
      <w:snapToGrid w:val="0"/>
      <w:spacing w:before="60" w:after="60" w:line="264" w:lineRule="auto"/>
      <w:ind w:firstLine="200" w:firstLineChars="200"/>
      <w:textAlignment w:val="baseline"/>
    </w:pPr>
    <w:rPr>
      <w:rFonts w:ascii="Times New Roman" w:eastAsia="仿宋_GB2312"/>
      <w:color w:val="FF0000"/>
      <w:szCs w:val="24"/>
    </w:rPr>
  </w:style>
  <w:style w:type="paragraph" w:customStyle="1" w:styleId="2108">
    <w:name w:val="Char Char Char Char Char Char Char32"/>
    <w:basedOn w:val="1"/>
    <w:qFormat/>
    <w:uiPriority w:val="0"/>
  </w:style>
  <w:style w:type="paragraph" w:customStyle="1" w:styleId="2109">
    <w:name w:val="默认段落字体 Para Char Char Char Char512"/>
    <w:basedOn w:val="1"/>
    <w:qFormat/>
    <w:uiPriority w:val="0"/>
  </w:style>
  <w:style w:type="paragraph" w:customStyle="1" w:styleId="2110">
    <w:name w:val="图题43"/>
    <w:basedOn w:val="239"/>
    <w:next w:val="239"/>
    <w:qFormat/>
    <w:uiPriority w:val="0"/>
    <w:pPr>
      <w:ind w:firstLine="0"/>
      <w:jc w:val="center"/>
    </w:pPr>
    <w:rPr>
      <w:rFonts w:ascii="黑体" w:hAnsi="宋体" w:eastAsia="黑体"/>
      <w:b/>
      <w:bCs/>
    </w:rPr>
  </w:style>
  <w:style w:type="paragraph" w:customStyle="1" w:styleId="2111">
    <w:name w:val="Char315"/>
    <w:basedOn w:val="1"/>
    <w:qFormat/>
    <w:uiPriority w:val="0"/>
    <w:pPr>
      <w:ind w:left="-48"/>
    </w:pPr>
  </w:style>
  <w:style w:type="paragraph" w:customStyle="1" w:styleId="2112">
    <w:name w:val="正文.5"/>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13">
    <w:name w:val="图题712"/>
    <w:basedOn w:val="239"/>
    <w:next w:val="239"/>
    <w:qFormat/>
    <w:uiPriority w:val="0"/>
    <w:pPr>
      <w:ind w:firstLine="0"/>
      <w:jc w:val="center"/>
    </w:pPr>
    <w:rPr>
      <w:rFonts w:ascii="黑体" w:hAnsi="宋体" w:eastAsia="黑体"/>
      <w:b/>
      <w:bCs/>
    </w:rPr>
  </w:style>
  <w:style w:type="paragraph" w:customStyle="1" w:styleId="2114">
    <w:name w:val="环表"/>
    <w:basedOn w:val="1"/>
    <w:qFormat/>
    <w:uiPriority w:val="0"/>
    <w:pPr>
      <w:widowControl/>
      <w:tabs>
        <w:tab w:val="left" w:pos="5094"/>
      </w:tabs>
      <w:adjustRightInd w:val="0"/>
      <w:spacing w:before="120" w:after="120" w:line="312" w:lineRule="atLeast"/>
      <w:ind w:right="29"/>
      <w:jc w:val="center"/>
      <w:textAlignment w:val="baseline"/>
    </w:pPr>
    <w:rPr>
      <w:rFonts w:ascii="仿宋_GB2312" w:hAnsi="Courier New" w:eastAsia="仿宋_GB2312"/>
    </w:rPr>
  </w:style>
  <w:style w:type="paragraph" w:customStyle="1" w:styleId="2115">
    <w:name w:val="Char Char1 Char Char Char1 Char Char Char Char Char Char Char Char Char Char Char Char"/>
    <w:basedOn w:val="1"/>
    <w:qFormat/>
    <w:uiPriority w:val="0"/>
  </w:style>
  <w:style w:type="paragraph" w:customStyle="1" w:styleId="2116">
    <w:name w:val="默认段落字体 Para Char Char Char Char113"/>
    <w:basedOn w:val="1"/>
    <w:qFormat/>
    <w:uiPriority w:val="0"/>
  </w:style>
  <w:style w:type="paragraph" w:customStyle="1" w:styleId="2117">
    <w:name w:val="表格内字体83"/>
    <w:basedOn w:val="239"/>
    <w:next w:val="239"/>
    <w:qFormat/>
    <w:uiPriority w:val="0"/>
    <w:pPr>
      <w:spacing w:line="240" w:lineRule="auto"/>
      <w:ind w:firstLine="0"/>
      <w:jc w:val="center"/>
    </w:pPr>
    <w:rPr>
      <w:rFonts w:hAnsi="宋体"/>
      <w:sz w:val="21"/>
    </w:rPr>
  </w:style>
  <w:style w:type="paragraph" w:customStyle="1" w:styleId="2118">
    <w:name w:val="表中文字31"/>
    <w:basedOn w:val="1"/>
    <w:qFormat/>
    <w:uiPriority w:val="0"/>
    <w:pPr>
      <w:widowControl/>
      <w:spacing w:line="240" w:lineRule="atLeast"/>
      <w:ind w:left="-24" w:leftChars="-10" w:right="-48" w:rightChars="-20"/>
      <w:jc w:val="center"/>
    </w:pPr>
    <w:rPr>
      <w:szCs w:val="21"/>
    </w:rPr>
  </w:style>
  <w:style w:type="character" w:customStyle="1" w:styleId="2119">
    <w:name w:val="尾注文本 Char1"/>
    <w:qFormat/>
    <w:uiPriority w:val="0"/>
    <w:rPr>
      <w:kern w:val="2"/>
      <w:sz w:val="21"/>
      <w:szCs w:val="24"/>
    </w:rPr>
  </w:style>
  <w:style w:type="paragraph" w:customStyle="1" w:styleId="2120">
    <w:name w:val="Char412"/>
    <w:basedOn w:val="1"/>
    <w:qFormat/>
    <w:uiPriority w:val="0"/>
    <w:pPr>
      <w:ind w:left="-48"/>
    </w:pPr>
  </w:style>
  <w:style w:type="paragraph" w:customStyle="1" w:styleId="2121">
    <w:name w:val="前言正文"/>
    <w:basedOn w:val="2122"/>
    <w:qFormat/>
    <w:uiPriority w:val="0"/>
    <w:pPr>
      <w:adjustRightInd w:val="0"/>
      <w:spacing w:before="156"/>
      <w:jc w:val="both"/>
      <w:textAlignment w:val="baseline"/>
    </w:pPr>
    <w:rPr>
      <w:rFonts w:eastAsia="楷体_GB2312"/>
      <w:szCs w:val="20"/>
    </w:rPr>
  </w:style>
  <w:style w:type="paragraph" w:customStyle="1" w:styleId="2122">
    <w:name w:val="白洋淀"/>
    <w:basedOn w:val="1442"/>
    <w:qFormat/>
    <w:uiPriority w:val="0"/>
    <w:pPr>
      <w:spacing w:line="360" w:lineRule="auto"/>
      <w:ind w:firstLine="480"/>
      <w:jc w:val="left"/>
    </w:pPr>
    <w:rPr>
      <w:rFonts w:ascii="Calibri" w:hAnsi="Calibri" w:cs="宋体"/>
    </w:rPr>
  </w:style>
  <w:style w:type="paragraph" w:customStyle="1" w:styleId="2123">
    <w:name w:val="ｲﾝﾃﾞﾝﾄ-2"/>
    <w:basedOn w:val="1"/>
    <w:qFormat/>
    <w:uiPriority w:val="0"/>
    <w:pPr>
      <w:spacing w:line="360" w:lineRule="atLeast"/>
      <w:ind w:left="737"/>
    </w:pPr>
    <w:rPr>
      <w:rFonts w:ascii="MS Gothic" w:hAnsi="Century" w:eastAsia="MS Gothic"/>
      <w:lang w:eastAsia="ja-JP"/>
    </w:rPr>
  </w:style>
  <w:style w:type="paragraph" w:customStyle="1" w:styleId="2124">
    <w:name w:val="表内小5中"/>
    <w:basedOn w:val="1"/>
    <w:qFormat/>
    <w:uiPriority w:val="0"/>
    <w:pPr>
      <w:adjustRightInd w:val="0"/>
      <w:snapToGrid w:val="0"/>
      <w:jc w:val="center"/>
    </w:pPr>
    <w:rPr>
      <w:rFonts w:hAnsi="宋体"/>
      <w:sz w:val="18"/>
    </w:rPr>
  </w:style>
  <w:style w:type="paragraph" w:customStyle="1" w:styleId="2125">
    <w:name w:val="表内5中413"/>
    <w:basedOn w:val="1"/>
    <w:qFormat/>
    <w:uiPriority w:val="0"/>
    <w:pPr>
      <w:adjustRightInd w:val="0"/>
      <w:snapToGrid w:val="0"/>
      <w:jc w:val="center"/>
    </w:pPr>
    <w:rPr>
      <w:bCs/>
    </w:rPr>
  </w:style>
  <w:style w:type="paragraph" w:customStyle="1" w:styleId="2126">
    <w:name w:val="9 Char Char Char6"/>
    <w:basedOn w:val="1"/>
    <w:qFormat/>
    <w:uiPriority w:val="0"/>
    <w:pPr>
      <w:spacing w:line="240" w:lineRule="exact"/>
      <w:ind w:firstLine="200" w:firstLineChars="200"/>
    </w:pPr>
    <w:rPr>
      <w:sz w:val="28"/>
      <w:szCs w:val="28"/>
    </w:rPr>
  </w:style>
  <w:style w:type="paragraph" w:customStyle="1" w:styleId="2127">
    <w:name w:val="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128">
    <w:name w:val="Char152"/>
    <w:basedOn w:val="1"/>
    <w:qFormat/>
    <w:uiPriority w:val="0"/>
    <w:pPr>
      <w:adjustRightInd w:val="0"/>
      <w:snapToGrid w:val="0"/>
      <w:spacing w:beforeLines="50" w:line="360" w:lineRule="auto"/>
    </w:pPr>
    <w:rPr>
      <w:rFonts w:ascii="黑体" w:eastAsia="黑体"/>
      <w:sz w:val="32"/>
      <w:szCs w:val="32"/>
    </w:rPr>
  </w:style>
  <w:style w:type="paragraph" w:customStyle="1" w:styleId="2129">
    <w:name w:val="表内511"/>
    <w:basedOn w:val="1"/>
    <w:qFormat/>
    <w:uiPriority w:val="0"/>
    <w:pPr>
      <w:adjustRightInd w:val="0"/>
      <w:snapToGrid w:val="0"/>
      <w:jc w:val="center"/>
    </w:pPr>
    <w:rPr>
      <w:rFonts w:hAnsi="宋体"/>
      <w:sz w:val="20"/>
    </w:rPr>
  </w:style>
  <w:style w:type="paragraph" w:customStyle="1" w:styleId="2130">
    <w:name w:val="图题25"/>
    <w:basedOn w:val="239"/>
    <w:next w:val="239"/>
    <w:qFormat/>
    <w:uiPriority w:val="0"/>
    <w:pPr>
      <w:ind w:firstLine="0"/>
      <w:jc w:val="center"/>
    </w:pPr>
    <w:rPr>
      <w:rFonts w:ascii="黑体" w:hAnsi="宋体" w:eastAsia="黑体"/>
      <w:b/>
      <w:bCs/>
    </w:rPr>
  </w:style>
  <w:style w:type="paragraph" w:customStyle="1" w:styleId="2131">
    <w:name w:val="样式 标题 4无效格式无效格式1河石管道4H4H41小小节河石管道41H42H411小小节1河石管道42...23"/>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2132">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33">
    <w:name w:val="Char Char Char Char Char Char Char2110"/>
    <w:basedOn w:val="1"/>
    <w:qFormat/>
    <w:uiPriority w:val="0"/>
  </w:style>
  <w:style w:type="paragraph" w:customStyle="1" w:styleId="2134">
    <w:name w:val="表格内容3"/>
    <w:qFormat/>
    <w:uiPriority w:val="0"/>
    <w:pPr>
      <w:jc w:val="center"/>
    </w:pPr>
    <w:rPr>
      <w:rFonts w:ascii="Times New Roman" w:hAnsi="Times New Roman" w:eastAsia="宋体" w:cs="Times New Roman"/>
      <w:kern w:val="2"/>
      <w:sz w:val="21"/>
      <w:szCs w:val="21"/>
      <w:lang w:val="en-US" w:eastAsia="zh-CN" w:bidi="ar-SA"/>
    </w:rPr>
  </w:style>
  <w:style w:type="paragraph" w:customStyle="1" w:styleId="2135">
    <w:name w:val="默认段落字体 Para Char8"/>
    <w:basedOn w:val="1"/>
    <w:qFormat/>
    <w:uiPriority w:val="0"/>
    <w:pPr>
      <w:spacing w:line="360" w:lineRule="auto"/>
      <w:ind w:firstLine="200" w:firstLineChars="200"/>
    </w:pPr>
    <w:rPr>
      <w:rFonts w:hAnsi="宋体" w:cs="宋体"/>
    </w:rPr>
  </w:style>
  <w:style w:type="paragraph" w:customStyle="1" w:styleId="2136">
    <w:name w:val="正文-标准"/>
    <w:basedOn w:val="1"/>
    <w:qFormat/>
    <w:uiPriority w:val="0"/>
    <w:pPr>
      <w:spacing w:line="500" w:lineRule="exact"/>
      <w:ind w:firstLine="200" w:firstLineChars="200"/>
    </w:pPr>
  </w:style>
  <w:style w:type="paragraph" w:customStyle="1" w:styleId="2137">
    <w:name w:val="Char Char Char Char Char Char Char Char Char Char Char Char1"/>
    <w:basedOn w:val="1"/>
    <w:qFormat/>
    <w:uiPriority w:val="0"/>
    <w:pPr>
      <w:spacing w:line="240" w:lineRule="exact"/>
      <w:ind w:firstLine="200" w:firstLineChars="200"/>
    </w:pPr>
    <w:rPr>
      <w:sz w:val="28"/>
      <w:szCs w:val="28"/>
    </w:rPr>
  </w:style>
  <w:style w:type="paragraph" w:customStyle="1" w:styleId="2138">
    <w:name w:val="正文格式313"/>
    <w:basedOn w:val="1"/>
    <w:qFormat/>
    <w:uiPriority w:val="0"/>
    <w:pPr>
      <w:spacing w:line="360" w:lineRule="auto"/>
      <w:ind w:firstLine="482"/>
    </w:pPr>
    <w:rPr>
      <w:rFonts w:hAnsi="宋体"/>
    </w:rPr>
  </w:style>
  <w:style w:type="paragraph" w:customStyle="1" w:styleId="2139">
    <w:name w:val="Char Char Char1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140">
    <w:name w:val="表内文字小2134"/>
    <w:basedOn w:val="1"/>
    <w:qFormat/>
    <w:uiPriority w:val="0"/>
    <w:pPr>
      <w:adjustRightInd w:val="0"/>
      <w:snapToGrid w:val="0"/>
      <w:jc w:val="center"/>
      <w:textAlignment w:val="baseline"/>
    </w:pPr>
    <w:rPr>
      <w:rFonts w:hAnsi="Times"/>
      <w:bCs/>
      <w:color w:val="000000"/>
    </w:rPr>
  </w:style>
  <w:style w:type="paragraph" w:customStyle="1" w:styleId="2141">
    <w:name w:val="表内文字小3143"/>
    <w:basedOn w:val="1"/>
    <w:qFormat/>
    <w:uiPriority w:val="0"/>
    <w:pPr>
      <w:adjustRightInd w:val="0"/>
      <w:snapToGrid w:val="0"/>
      <w:jc w:val="center"/>
    </w:pPr>
    <w:rPr>
      <w:rFonts w:hAnsi="Times" w:cs="宋体"/>
      <w:bCs/>
      <w:color w:val="003366"/>
    </w:rPr>
  </w:style>
  <w:style w:type="paragraph" w:customStyle="1" w:styleId="2142">
    <w:name w:val="正文格式2111"/>
    <w:basedOn w:val="1"/>
    <w:qFormat/>
    <w:uiPriority w:val="0"/>
    <w:pPr>
      <w:spacing w:line="360" w:lineRule="auto"/>
      <w:ind w:firstLine="482"/>
    </w:pPr>
    <w:rPr>
      <w:rFonts w:hAnsi="宋体"/>
    </w:rPr>
  </w:style>
  <w:style w:type="paragraph" w:customStyle="1" w:styleId="2143">
    <w:name w:val="正文修改53"/>
    <w:basedOn w:val="1264"/>
    <w:qFormat/>
    <w:uiPriority w:val="0"/>
    <w:rPr>
      <w:rFonts w:hAnsi="宋体"/>
      <w:color w:val="000000"/>
    </w:rPr>
  </w:style>
  <w:style w:type="paragraph" w:customStyle="1" w:styleId="2144">
    <w:name w:val="表题311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145">
    <w:name w:val="图文文字"/>
    <w:qFormat/>
    <w:uiPriority w:val="0"/>
    <w:pPr>
      <w:jc w:val="center"/>
    </w:pPr>
    <w:rPr>
      <w:rFonts w:ascii="Times New Roman" w:hAnsi="Times New Roman" w:eastAsia="宋体" w:cs="Times New Roman"/>
      <w:sz w:val="21"/>
      <w:lang w:val="en-US" w:eastAsia="zh-CN" w:bidi="ar-SA"/>
    </w:rPr>
  </w:style>
  <w:style w:type="paragraph" w:customStyle="1" w:styleId="2146">
    <w:name w:val="Char Char Char Char Char Char Char40"/>
    <w:basedOn w:val="1"/>
    <w:qFormat/>
    <w:uiPriority w:val="0"/>
  </w:style>
  <w:style w:type="paragraph" w:customStyle="1" w:styleId="2147">
    <w:name w:val="Char4 Char Char Char Char Char Char Char Char Char Char Char Char Char Char Char Char Char1 Char Char Char Char Char Char1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148">
    <w:name w:val="表格3"/>
    <w:basedOn w:val="1"/>
    <w:next w:val="1"/>
    <w:qFormat/>
    <w:uiPriority w:val="0"/>
    <w:pPr>
      <w:adjustRightInd w:val="0"/>
      <w:jc w:val="center"/>
      <w:textAlignment w:val="baseline"/>
    </w:pPr>
  </w:style>
  <w:style w:type="paragraph" w:customStyle="1" w:styleId="2149">
    <w:name w:val="备注文字"/>
    <w:basedOn w:val="1"/>
    <w:qFormat/>
    <w:uiPriority w:val="0"/>
    <w:pPr>
      <w:pBdr>
        <w:top w:val="single" w:color="auto" w:sz="4" w:space="1"/>
      </w:pBdr>
      <w:adjustRightInd w:val="0"/>
      <w:spacing w:line="240" w:lineRule="atLeast"/>
      <w:textAlignment w:val="baseline"/>
    </w:pPr>
    <w:rPr>
      <w:rFonts w:eastAsia="楷体_GB2312" w:cs="宋体"/>
      <w:szCs w:val="21"/>
    </w:rPr>
  </w:style>
  <w:style w:type="paragraph" w:customStyle="1" w:styleId="2150">
    <w:name w:val="Char Char Char Char Char Char Char13"/>
    <w:basedOn w:val="1"/>
    <w:qFormat/>
    <w:uiPriority w:val="0"/>
  </w:style>
  <w:style w:type="paragraph" w:customStyle="1" w:styleId="2151">
    <w:name w:val="表中文字33"/>
    <w:basedOn w:val="1"/>
    <w:qFormat/>
    <w:uiPriority w:val="0"/>
    <w:pPr>
      <w:widowControl/>
      <w:spacing w:line="240" w:lineRule="atLeast"/>
      <w:ind w:left="-24" w:leftChars="-10" w:right="-48" w:rightChars="-20"/>
      <w:jc w:val="center"/>
    </w:pPr>
    <w:rPr>
      <w:szCs w:val="21"/>
    </w:rPr>
  </w:style>
  <w:style w:type="paragraph" w:customStyle="1" w:styleId="2152">
    <w:name w:val="ENUM"/>
    <w:basedOn w:val="1"/>
    <w:qFormat/>
    <w:uiPriority w:val="0"/>
    <w:pPr>
      <w:widowControl/>
      <w:tabs>
        <w:tab w:val="left" w:pos="1324"/>
        <w:tab w:val="left" w:pos="1418"/>
      </w:tabs>
      <w:spacing w:before="60" w:after="60"/>
      <w:ind w:left="1418" w:hanging="284" w:firstLineChars="200"/>
    </w:pPr>
    <w:rPr>
      <w:rFonts w:ascii="Arial" w:hAnsi="Arial"/>
      <w:sz w:val="22"/>
      <w:lang w:val="en-GB"/>
    </w:rPr>
  </w:style>
  <w:style w:type="paragraph" w:customStyle="1" w:styleId="2153">
    <w:name w:val="表格标题8"/>
    <w:basedOn w:val="82"/>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2154">
    <w:name w:val="黑体三号1"/>
    <w:basedOn w:val="239"/>
    <w:qFormat/>
    <w:uiPriority w:val="0"/>
    <w:pPr>
      <w:jc w:val="center"/>
    </w:pPr>
    <w:rPr>
      <w:rFonts w:ascii="黑体" w:hAnsi="宋体" w:eastAsia="黑体"/>
      <w:b/>
      <w:bCs/>
      <w:sz w:val="32"/>
      <w:szCs w:val="20"/>
    </w:rPr>
  </w:style>
  <w:style w:type="paragraph" w:customStyle="1" w:styleId="2155">
    <w:name w:val="附件21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156">
    <w:name w:val="黑体三号34"/>
    <w:basedOn w:val="239"/>
    <w:qFormat/>
    <w:uiPriority w:val="0"/>
    <w:pPr>
      <w:jc w:val="center"/>
    </w:pPr>
    <w:rPr>
      <w:rFonts w:ascii="黑体" w:hAnsi="宋体" w:eastAsia="黑体"/>
      <w:b/>
      <w:bCs/>
      <w:sz w:val="32"/>
      <w:szCs w:val="20"/>
    </w:rPr>
  </w:style>
  <w:style w:type="paragraph" w:customStyle="1" w:styleId="2157">
    <w:name w:val="Char420"/>
    <w:basedOn w:val="1"/>
    <w:qFormat/>
    <w:uiPriority w:val="0"/>
    <w:pPr>
      <w:ind w:left="-48"/>
    </w:pPr>
  </w:style>
  <w:style w:type="paragraph" w:customStyle="1" w:styleId="2158">
    <w:name w:val="表内容"/>
    <w:basedOn w:val="1"/>
    <w:qFormat/>
    <w:uiPriority w:val="0"/>
    <w:pPr>
      <w:ind w:firstLine="200" w:firstLineChars="200"/>
    </w:pPr>
    <w:rPr>
      <w:rFonts w:hAnsi="宋体"/>
    </w:rPr>
  </w:style>
  <w:style w:type="paragraph" w:customStyle="1" w:styleId="2159">
    <w:name w:val="图表名"/>
    <w:basedOn w:val="1"/>
    <w:next w:val="1"/>
    <w:qFormat/>
    <w:uiPriority w:val="0"/>
    <w:pPr>
      <w:widowControl/>
      <w:suppressAutoHyphens/>
      <w:overflowPunct w:val="0"/>
      <w:topLinePunct/>
      <w:autoSpaceDE w:val="0"/>
      <w:autoSpaceDN w:val="0"/>
      <w:adjustRightInd w:val="0"/>
      <w:snapToGrid w:val="0"/>
      <w:spacing w:line="300" w:lineRule="auto"/>
      <w:jc w:val="center"/>
    </w:pPr>
    <w:rPr>
      <w:rFonts w:ascii="黑体" w:hAnsi="宋体" w:eastAsia="黑体"/>
      <w:color w:val="000000"/>
      <w:szCs w:val="28"/>
    </w:rPr>
  </w:style>
  <w:style w:type="paragraph" w:customStyle="1" w:styleId="2160">
    <w:name w:val="黑体三号7"/>
    <w:basedOn w:val="239"/>
    <w:qFormat/>
    <w:uiPriority w:val="0"/>
    <w:pPr>
      <w:jc w:val="center"/>
    </w:pPr>
    <w:rPr>
      <w:rFonts w:ascii="黑体" w:hAnsi="宋体" w:eastAsia="黑体"/>
      <w:b/>
      <w:bCs/>
      <w:sz w:val="32"/>
      <w:szCs w:val="20"/>
    </w:rPr>
  </w:style>
  <w:style w:type="paragraph" w:customStyle="1" w:styleId="2161">
    <w:name w:val="Char217"/>
    <w:basedOn w:val="1"/>
    <w:qFormat/>
    <w:uiPriority w:val="0"/>
    <w:pPr>
      <w:ind w:left="-48"/>
    </w:pPr>
  </w:style>
  <w:style w:type="paragraph" w:customStyle="1" w:styleId="2162">
    <w:name w:val="表中文字8"/>
    <w:basedOn w:val="1"/>
    <w:qFormat/>
    <w:uiPriority w:val="0"/>
    <w:pPr>
      <w:widowControl/>
      <w:spacing w:line="240" w:lineRule="atLeast"/>
      <w:ind w:left="-24" w:leftChars="-10" w:right="-48" w:rightChars="-20"/>
      <w:jc w:val="center"/>
    </w:pPr>
    <w:rPr>
      <w:szCs w:val="21"/>
    </w:rPr>
  </w:style>
  <w:style w:type="paragraph" w:customStyle="1" w:styleId="2163">
    <w:name w:val="Char317"/>
    <w:basedOn w:val="1"/>
    <w:qFormat/>
    <w:uiPriority w:val="0"/>
    <w:pPr>
      <w:ind w:left="-48"/>
    </w:pPr>
  </w:style>
  <w:style w:type="paragraph" w:customStyle="1" w:styleId="2164">
    <w:name w:val="样式 表格文字 + 小四"/>
    <w:basedOn w:val="162"/>
    <w:qFormat/>
    <w:uiPriority w:val="0"/>
    <w:pPr>
      <w:tabs>
        <w:tab w:val="clear" w:pos="4153"/>
        <w:tab w:val="clear" w:pos="8306"/>
      </w:tabs>
      <w:autoSpaceDE w:val="0"/>
      <w:autoSpaceDN w:val="0"/>
      <w:snapToGrid/>
      <w:textAlignment w:val="baseline"/>
    </w:pPr>
    <w:rPr>
      <w:rFonts w:eastAsia="宋体"/>
      <w:color w:val="000000"/>
      <w:kern w:val="0"/>
      <w:sz w:val="24"/>
      <w:szCs w:val="20"/>
    </w:rPr>
  </w:style>
  <w:style w:type="paragraph" w:customStyle="1" w:styleId="2165">
    <w:name w:val="样式 表格内字体1 +11"/>
    <w:basedOn w:val="2166"/>
    <w:next w:val="1966"/>
    <w:qFormat/>
    <w:uiPriority w:val="0"/>
    <w:rPr>
      <w:rFonts w:hAnsi="Times New Roman"/>
      <w:szCs w:val="20"/>
    </w:rPr>
  </w:style>
  <w:style w:type="paragraph" w:customStyle="1" w:styleId="2166">
    <w:name w:val="表格内字体1"/>
    <w:basedOn w:val="239"/>
    <w:next w:val="239"/>
    <w:qFormat/>
    <w:uiPriority w:val="0"/>
    <w:pPr>
      <w:spacing w:line="240" w:lineRule="auto"/>
      <w:ind w:firstLine="0"/>
      <w:jc w:val="center"/>
    </w:pPr>
    <w:rPr>
      <w:rFonts w:hAnsi="宋体"/>
      <w:sz w:val="21"/>
    </w:rPr>
  </w:style>
  <w:style w:type="paragraph" w:customStyle="1" w:styleId="2167">
    <w:name w:val="标题4316"/>
    <w:basedOn w:val="1"/>
    <w:qFormat/>
    <w:uiPriority w:val="0"/>
    <w:pPr>
      <w:adjustRightInd w:val="0"/>
      <w:snapToGrid w:val="0"/>
      <w:spacing w:line="480" w:lineRule="exact"/>
      <w:jc w:val="center"/>
    </w:pPr>
    <w:rPr>
      <w:rFonts w:hAnsi="宋体" w:cs="宋体"/>
    </w:rPr>
  </w:style>
  <w:style w:type="paragraph" w:customStyle="1" w:styleId="2168">
    <w:name w:val="表头8"/>
    <w:basedOn w:val="1"/>
    <w:qFormat/>
    <w:uiPriority w:val="0"/>
    <w:pPr>
      <w:tabs>
        <w:tab w:val="left" w:pos="360"/>
        <w:tab w:val="left" w:pos="1728"/>
        <w:tab w:val="left" w:pos="2866"/>
      </w:tabs>
      <w:adjustRightInd w:val="0"/>
      <w:snapToGrid w:val="0"/>
      <w:spacing w:beforeLines="100" w:afterLines="50" w:line="240" w:lineRule="atLeast"/>
      <w:ind w:left="845" w:hanging="425"/>
    </w:pPr>
    <w:rPr>
      <w:b/>
      <w:color w:val="000000"/>
    </w:rPr>
  </w:style>
  <w:style w:type="paragraph" w:customStyle="1" w:styleId="2169">
    <w:name w:val="Char83"/>
    <w:basedOn w:val="1"/>
    <w:qFormat/>
    <w:uiPriority w:val="0"/>
    <w:pPr>
      <w:ind w:left="-48"/>
    </w:pPr>
  </w:style>
  <w:style w:type="paragraph" w:customStyle="1" w:styleId="2170">
    <w:name w:val="默认段落字体 Para Char Char Char Char53"/>
    <w:basedOn w:val="1"/>
    <w:qFormat/>
    <w:uiPriority w:val="0"/>
  </w:style>
  <w:style w:type="paragraph" w:customStyle="1" w:styleId="2171">
    <w:name w:val="燕山正文33"/>
    <w:basedOn w:val="1"/>
    <w:qFormat/>
    <w:uiPriority w:val="0"/>
    <w:pPr>
      <w:tabs>
        <w:tab w:val="left" w:pos="4680"/>
      </w:tabs>
      <w:adjustRightInd w:val="0"/>
      <w:snapToGrid w:val="0"/>
      <w:spacing w:line="480" w:lineRule="exact"/>
    </w:pPr>
    <w:rPr>
      <w:rFonts w:cs="宋体"/>
    </w:rPr>
  </w:style>
  <w:style w:type="paragraph" w:customStyle="1" w:styleId="2172">
    <w:name w:val="表格内字体123"/>
    <w:basedOn w:val="239"/>
    <w:next w:val="239"/>
    <w:qFormat/>
    <w:uiPriority w:val="0"/>
    <w:pPr>
      <w:spacing w:line="240" w:lineRule="auto"/>
      <w:ind w:firstLine="0"/>
      <w:jc w:val="center"/>
    </w:pPr>
    <w:rPr>
      <w:rFonts w:hAnsi="宋体"/>
      <w:sz w:val="21"/>
    </w:rPr>
  </w:style>
  <w:style w:type="paragraph" w:customStyle="1" w:styleId="2173">
    <w:name w:val="样式 表格内字体1 +4"/>
    <w:basedOn w:val="2166"/>
    <w:next w:val="1966"/>
    <w:qFormat/>
    <w:uiPriority w:val="0"/>
    <w:rPr>
      <w:rFonts w:hAnsi="Times New Roman"/>
      <w:szCs w:val="20"/>
    </w:rPr>
  </w:style>
  <w:style w:type="paragraph" w:customStyle="1" w:styleId="2174">
    <w:name w:val="表格小4居中"/>
    <w:basedOn w:val="1"/>
    <w:qFormat/>
    <w:uiPriority w:val="0"/>
    <w:pPr>
      <w:adjustRightInd w:val="0"/>
      <w:snapToGrid w:val="0"/>
      <w:spacing w:before="60" w:after="60" w:line="320" w:lineRule="atLeast"/>
      <w:jc w:val="center"/>
    </w:pPr>
    <w:rPr>
      <w:rFonts w:cs="宋体"/>
    </w:rPr>
  </w:style>
  <w:style w:type="paragraph" w:customStyle="1" w:styleId="2175">
    <w:name w:val="Char Char1 Char Char Char Char Char Char Char Char Char Char"/>
    <w:basedOn w:val="1"/>
    <w:qFormat/>
    <w:uiPriority w:val="0"/>
    <w:pPr>
      <w:widowControl/>
      <w:spacing w:line="560" w:lineRule="exact"/>
      <w:ind w:firstLine="200" w:firstLineChars="200"/>
      <w:jc w:val="left"/>
    </w:pPr>
    <w:rPr>
      <w:rFonts w:ascii="仿宋_GB2312" w:eastAsia="仿宋_GB2312"/>
      <w:sz w:val="28"/>
      <w:lang w:val="zh-CN"/>
    </w:rPr>
  </w:style>
  <w:style w:type="paragraph" w:customStyle="1" w:styleId="2176">
    <w:name w:val="黑体三号412"/>
    <w:basedOn w:val="239"/>
    <w:qFormat/>
    <w:uiPriority w:val="0"/>
    <w:pPr>
      <w:jc w:val="center"/>
    </w:pPr>
    <w:rPr>
      <w:rFonts w:ascii="黑体" w:hAnsi="宋体" w:eastAsia="黑体"/>
      <w:b/>
      <w:bCs/>
      <w:sz w:val="32"/>
      <w:szCs w:val="20"/>
    </w:rPr>
  </w:style>
  <w:style w:type="paragraph" w:customStyle="1" w:styleId="2177">
    <w:name w:val="Char1 Char Char Char Char Char Char Char Char Char1 Char Char Char Char Char"/>
    <w:basedOn w:val="1"/>
    <w:qFormat/>
    <w:uiPriority w:val="0"/>
    <w:pPr>
      <w:widowControl/>
      <w:spacing w:before="100" w:beforeAutospacing="1" w:after="100" w:afterAutospacing="1"/>
      <w:ind w:firstLine="200" w:firstLineChars="200"/>
      <w:jc w:val="left"/>
    </w:pPr>
    <w:rPr>
      <w:rFonts w:ascii="Verdana" w:hAnsi="Verdana" w:eastAsia="仿宋_GB2312"/>
      <w:sz w:val="20"/>
      <w:szCs w:val="21"/>
      <w:lang w:eastAsia="en-US"/>
    </w:rPr>
  </w:style>
  <w:style w:type="paragraph" w:customStyle="1" w:styleId="2178">
    <w:name w:val="Char Char Char Char Char Char Char131"/>
    <w:basedOn w:val="1"/>
    <w:qFormat/>
    <w:uiPriority w:val="0"/>
  </w:style>
  <w:style w:type="paragraph" w:customStyle="1" w:styleId="2179">
    <w:name w:val="內文 (Web)"/>
    <w:basedOn w:val="247"/>
    <w:next w:val="247"/>
    <w:qFormat/>
    <w:uiPriority w:val="0"/>
    <w:pPr>
      <w:spacing w:before="100" w:after="100"/>
    </w:pPr>
    <w:rPr>
      <w:rFonts w:ascii="PMingLiU" w:eastAsia="PMingLiU" w:cs="Times New Roman"/>
      <w:color w:val="auto"/>
    </w:rPr>
  </w:style>
  <w:style w:type="paragraph" w:customStyle="1" w:styleId="2180">
    <w:name w:val="表内5322"/>
    <w:basedOn w:val="1"/>
    <w:qFormat/>
    <w:uiPriority w:val="0"/>
    <w:pPr>
      <w:adjustRightInd w:val="0"/>
      <w:snapToGrid w:val="0"/>
      <w:spacing w:line="300" w:lineRule="auto"/>
      <w:jc w:val="left"/>
    </w:pPr>
  </w:style>
  <w:style w:type="paragraph" w:customStyle="1" w:styleId="2181">
    <w:name w:val="Char70"/>
    <w:basedOn w:val="1"/>
    <w:qFormat/>
    <w:uiPriority w:val="0"/>
    <w:pPr>
      <w:ind w:left="-48"/>
    </w:pPr>
  </w:style>
  <w:style w:type="paragraph" w:customStyle="1" w:styleId="2182">
    <w:name w:val="样式 样式7 + 左侧:  4 字符"/>
    <w:basedOn w:val="161"/>
    <w:qFormat/>
    <w:uiPriority w:val="0"/>
    <w:pPr>
      <w:keepNext w:val="0"/>
      <w:keepLines w:val="0"/>
      <w:tabs>
        <w:tab w:val="left" w:pos="2040"/>
        <w:tab w:val="right" w:leader="dot" w:pos="8296"/>
        <w:tab w:val="clear" w:pos="1124"/>
      </w:tabs>
      <w:spacing w:before="340" w:beforeLines="0" w:after="330" w:afterLines="0" w:line="240" w:lineRule="auto"/>
      <w:ind w:left="200" w:leftChars="200" w:hanging="200" w:hangingChars="200"/>
      <w:jc w:val="center"/>
      <w:outlineLvl w:val="9"/>
    </w:pPr>
    <w:rPr>
      <w:rFonts w:ascii="宋体" w:hAnsi="宋体" w:eastAsia="宋体" w:cs="宋体"/>
      <w:smallCaps/>
      <w:color w:val="auto"/>
      <w:kern w:val="2"/>
      <w:sz w:val="20"/>
      <w:szCs w:val="20"/>
    </w:rPr>
  </w:style>
  <w:style w:type="paragraph" w:customStyle="1" w:styleId="2183">
    <w:name w:val="c1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184">
    <w:name w:val="Char Char2 Char Char Char Char41"/>
    <w:basedOn w:val="1"/>
    <w:qFormat/>
    <w:uiPriority w:val="0"/>
  </w:style>
  <w:style w:type="paragraph" w:customStyle="1" w:styleId="2185">
    <w:name w:val="生物中文名"/>
    <w:basedOn w:val="1"/>
    <w:qFormat/>
    <w:uiPriority w:val="0"/>
    <w:pPr>
      <w:adjustRightInd w:val="0"/>
      <w:snapToGrid w:val="0"/>
      <w:spacing w:line="240" w:lineRule="exact"/>
      <w:ind w:firstLine="200" w:firstLineChars="200"/>
    </w:pPr>
    <w:rPr>
      <w:color w:val="000000"/>
    </w:rPr>
  </w:style>
  <w:style w:type="paragraph" w:customStyle="1" w:styleId="2186">
    <w:name w:val="lz正文"/>
    <w:basedOn w:val="1"/>
    <w:qFormat/>
    <w:uiPriority w:val="0"/>
    <w:pPr>
      <w:adjustRightInd w:val="0"/>
      <w:snapToGrid w:val="0"/>
      <w:spacing w:line="360" w:lineRule="auto"/>
      <w:ind w:firstLine="480" w:firstLineChars="200"/>
    </w:pPr>
    <w:rPr>
      <w:rFonts w:ascii="仿宋_GB2312" w:hAnsi="宋体" w:eastAsia="仿宋_GB2312"/>
      <w:sz w:val="28"/>
      <w:szCs w:val="28"/>
    </w:rPr>
  </w:style>
  <w:style w:type="paragraph" w:customStyle="1" w:styleId="2187">
    <w:name w:val="燕山正文51"/>
    <w:basedOn w:val="1"/>
    <w:qFormat/>
    <w:uiPriority w:val="0"/>
    <w:pPr>
      <w:tabs>
        <w:tab w:val="left" w:pos="4680"/>
      </w:tabs>
      <w:adjustRightInd w:val="0"/>
      <w:snapToGrid w:val="0"/>
      <w:spacing w:line="480" w:lineRule="exact"/>
    </w:pPr>
    <w:rPr>
      <w:rFonts w:cs="宋体"/>
    </w:rPr>
  </w:style>
  <w:style w:type="paragraph" w:customStyle="1" w:styleId="2188">
    <w:name w:val="默认段落字体 Para Char Char Char Char311"/>
    <w:basedOn w:val="1"/>
    <w:qFormat/>
    <w:uiPriority w:val="0"/>
  </w:style>
  <w:style w:type="paragraph" w:customStyle="1" w:styleId="2189">
    <w:name w:val="表题3121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190">
    <w:name w:val="图题82"/>
    <w:basedOn w:val="239"/>
    <w:next w:val="239"/>
    <w:qFormat/>
    <w:uiPriority w:val="0"/>
    <w:pPr>
      <w:ind w:firstLine="0"/>
      <w:jc w:val="center"/>
    </w:pPr>
    <w:rPr>
      <w:rFonts w:ascii="黑体" w:hAnsi="宋体" w:eastAsia="黑体"/>
      <w:b/>
      <w:bCs/>
    </w:rPr>
  </w:style>
  <w:style w:type="paragraph" w:customStyle="1" w:styleId="2191">
    <w:name w:val="图片"/>
    <w:basedOn w:val="1"/>
    <w:next w:val="23"/>
    <w:qFormat/>
    <w:uiPriority w:val="0"/>
    <w:pPr>
      <w:keepNext/>
      <w:widowControl/>
      <w:overflowPunct w:val="0"/>
      <w:autoSpaceDE w:val="0"/>
      <w:autoSpaceDN w:val="0"/>
      <w:adjustRightInd w:val="0"/>
      <w:spacing w:before="120" w:after="240"/>
      <w:jc w:val="center"/>
      <w:textAlignment w:val="baseline"/>
    </w:pPr>
    <w:rPr>
      <w:sz w:val="20"/>
    </w:rPr>
  </w:style>
  <w:style w:type="paragraph" w:customStyle="1" w:styleId="2192">
    <w:name w:val="样式411"/>
    <w:basedOn w:val="35"/>
    <w:qFormat/>
    <w:uiPriority w:val="0"/>
    <w:pPr>
      <w:tabs>
        <w:tab w:val="left" w:pos="1820"/>
      </w:tabs>
      <w:snapToGrid w:val="0"/>
      <w:spacing w:after="0" w:line="240" w:lineRule="atLeast"/>
      <w:jc w:val="center"/>
    </w:pPr>
    <w:rPr>
      <w:rFonts w:eastAsia="幼圆"/>
      <w:kern w:val="0"/>
      <w:szCs w:val="20"/>
    </w:rPr>
  </w:style>
  <w:style w:type="paragraph" w:customStyle="1" w:styleId="2193">
    <w:name w:val="样式 样式 样式 标题 4 + 段前: 0.5 行 段后: 0.5 行 + 段前: 0.5 行 段后: 0.5 行5 + 段前:..."/>
    <w:basedOn w:val="2194"/>
    <w:qFormat/>
    <w:uiPriority w:val="0"/>
  </w:style>
  <w:style w:type="paragraph" w:customStyle="1" w:styleId="2194">
    <w:name w:val="样式 样式 标题 4 + 段前: 0.5 行 段后: 0.5 行 + 段前: 0.5 行 段后: 0.5 行5"/>
    <w:basedOn w:val="2195"/>
    <w:qFormat/>
    <w:uiPriority w:val="0"/>
  </w:style>
  <w:style w:type="paragraph" w:customStyle="1" w:styleId="2195">
    <w:name w:val="样式 标题 4 + 段前: 0.5 行 段后: 0.5 行"/>
    <w:basedOn w:val="7"/>
    <w:qFormat/>
    <w:uiPriority w:val="0"/>
    <w:pPr>
      <w:spacing w:beforeLines="50" w:afterLines="50" w:line="480" w:lineRule="exact"/>
    </w:pPr>
    <w:rPr>
      <w:rFonts w:ascii="楷体_GB2312" w:hAnsi="Times New Roman" w:eastAsia="楷体_GB2312" w:cs="宋体"/>
      <w:color w:val="000000"/>
      <w:spacing w:val="-6"/>
      <w:kern w:val="44"/>
      <w:sz w:val="24"/>
      <w:szCs w:val="20"/>
    </w:rPr>
  </w:style>
  <w:style w:type="paragraph" w:customStyle="1" w:styleId="2196">
    <w:name w:val="pvc1.1"/>
    <w:basedOn w:val="5"/>
    <w:next w:val="5"/>
    <w:qFormat/>
    <w:uiPriority w:val="0"/>
    <w:pPr>
      <w:numPr>
        <w:ilvl w:val="0"/>
        <w:numId w:val="0"/>
      </w:numPr>
      <w:tabs>
        <w:tab w:val="left" w:pos="315"/>
        <w:tab w:val="left" w:pos="576"/>
        <w:tab w:val="left" w:pos="768"/>
        <w:tab w:val="clear" w:pos="0"/>
        <w:tab w:val="clear" w:pos="426"/>
      </w:tabs>
      <w:adjustRightInd w:val="0"/>
      <w:spacing w:beforeLines="100" w:afterLines="100" w:line="324" w:lineRule="auto"/>
      <w:ind w:left="576" w:hanging="576"/>
    </w:pPr>
    <w:rPr>
      <w:rFonts w:ascii="黑体" w:eastAsia="华文中宋" w:cs="宋体"/>
      <w:b w:val="0"/>
      <w:color w:val="auto"/>
      <w:spacing w:val="0"/>
      <w:kern w:val="2"/>
      <w:sz w:val="44"/>
      <w:szCs w:val="44"/>
    </w:rPr>
  </w:style>
  <w:style w:type="paragraph" w:customStyle="1" w:styleId="2197">
    <w:name w:val="黑体三号211"/>
    <w:basedOn w:val="239"/>
    <w:qFormat/>
    <w:uiPriority w:val="0"/>
    <w:pPr>
      <w:jc w:val="center"/>
    </w:pPr>
    <w:rPr>
      <w:rFonts w:ascii="黑体" w:hAnsi="宋体" w:eastAsia="黑体"/>
      <w:b/>
      <w:bCs/>
      <w:sz w:val="32"/>
      <w:szCs w:val="20"/>
    </w:rPr>
  </w:style>
  <w:style w:type="paragraph" w:customStyle="1" w:styleId="2198">
    <w:name w:val="Print- From: To: Subject: Date:"/>
    <w:basedOn w:val="1"/>
    <w:qFormat/>
    <w:uiPriority w:val="0"/>
    <w:pPr>
      <w:pBdr>
        <w:top w:val="single" w:color="auto" w:sz="4" w:space="1"/>
        <w:left w:val="single" w:color="auto" w:sz="18" w:space="1"/>
      </w:pBdr>
      <w:adjustRightInd w:val="0"/>
      <w:spacing w:line="360" w:lineRule="atLeast"/>
      <w:jc w:val="left"/>
      <w:textAlignment w:val="baseline"/>
    </w:pPr>
    <w:rPr>
      <w:rFonts w:eastAsia="PMingLiU"/>
      <w:lang w:eastAsia="zh-TW"/>
    </w:rPr>
  </w:style>
  <w:style w:type="paragraph" w:customStyle="1" w:styleId="2199">
    <w:name w:val="表内541213"/>
    <w:basedOn w:val="1"/>
    <w:qFormat/>
    <w:uiPriority w:val="0"/>
    <w:pPr>
      <w:adjustRightInd w:val="0"/>
      <w:snapToGrid w:val="0"/>
      <w:spacing w:line="300" w:lineRule="auto"/>
      <w:jc w:val="center"/>
    </w:pPr>
    <w:rPr>
      <w:rFonts w:hAnsi="宋体" w:cs="宋体"/>
    </w:rPr>
  </w:style>
  <w:style w:type="paragraph" w:customStyle="1" w:styleId="2200">
    <w:name w:val="默认段落字体 Para Char Char Char Char42"/>
    <w:basedOn w:val="1"/>
    <w:qFormat/>
    <w:uiPriority w:val="0"/>
  </w:style>
  <w:style w:type="paragraph" w:customStyle="1" w:styleId="2201">
    <w:name w:val="奇数页脚注"/>
    <w:basedOn w:val="55"/>
    <w:qFormat/>
    <w:uiPriority w:val="0"/>
    <w:pPr>
      <w:keepLines/>
      <w:widowControl/>
      <w:tabs>
        <w:tab w:val="center" w:pos="7200"/>
        <w:tab w:val="right" w:pos="14400"/>
        <w:tab w:val="clear" w:pos="4153"/>
        <w:tab w:val="clear" w:pos="8306"/>
      </w:tabs>
      <w:overflowPunct w:val="0"/>
      <w:autoSpaceDE w:val="0"/>
      <w:autoSpaceDN w:val="0"/>
      <w:adjustRightInd w:val="0"/>
      <w:snapToGrid/>
      <w:jc w:val="center"/>
      <w:textAlignment w:val="baseline"/>
    </w:pPr>
    <w:rPr>
      <w:spacing w:val="80"/>
      <w:kern w:val="0"/>
      <w:sz w:val="20"/>
      <w:szCs w:val="24"/>
    </w:rPr>
  </w:style>
  <w:style w:type="paragraph" w:customStyle="1" w:styleId="2202">
    <w:name w:val="CM29"/>
    <w:basedOn w:val="1"/>
    <w:next w:val="1"/>
    <w:qFormat/>
    <w:uiPriority w:val="0"/>
    <w:pPr>
      <w:autoSpaceDE w:val="0"/>
      <w:autoSpaceDN w:val="0"/>
      <w:adjustRightInd w:val="0"/>
      <w:spacing w:line="468" w:lineRule="atLeast"/>
      <w:jc w:val="left"/>
    </w:pPr>
    <w:rPr>
      <w:rFonts w:ascii="黑体" w:eastAsia="黑体"/>
      <w:szCs w:val="28"/>
    </w:rPr>
  </w:style>
  <w:style w:type="paragraph" w:customStyle="1" w:styleId="2203">
    <w:name w:val="样式 标题 4无效格式无效格式1河石管道4H4H41小小节河石管道41H42H411小小节1河石管道42...2"/>
    <w:basedOn w:val="7"/>
    <w:qFormat/>
    <w:uiPriority w:val="0"/>
    <w:pPr>
      <w:adjustRightInd w:val="0"/>
      <w:snapToGrid w:val="0"/>
      <w:spacing w:line="360" w:lineRule="auto"/>
      <w:ind w:left="1404" w:hanging="864"/>
    </w:pPr>
    <w:rPr>
      <w:rFonts w:ascii="黑体" w:eastAsia="黑体"/>
      <w:bCs w:val="0"/>
      <w:sz w:val="24"/>
      <w:szCs w:val="24"/>
    </w:rPr>
  </w:style>
  <w:style w:type="paragraph" w:customStyle="1" w:styleId="2204">
    <w:name w:val="表内小四中"/>
    <w:basedOn w:val="1"/>
    <w:qFormat/>
    <w:uiPriority w:val="0"/>
    <w:pPr>
      <w:adjustRightInd w:val="0"/>
      <w:snapToGrid w:val="0"/>
      <w:ind w:left="-131" w:right="-132"/>
      <w:jc w:val="center"/>
      <w:textAlignment w:val="baseline"/>
    </w:pPr>
  </w:style>
  <w:style w:type="paragraph" w:customStyle="1" w:styleId="2205">
    <w:name w:val="样式 标题 1 + 黑体 段前: 15 磅 段后: 15 磅 行距: 单倍行距"/>
    <w:basedOn w:val="4"/>
    <w:qFormat/>
    <w:uiPriority w:val="0"/>
    <w:pPr>
      <w:tabs>
        <w:tab w:val="left" w:pos="1794"/>
        <w:tab w:val="left" w:pos="2040"/>
      </w:tabs>
      <w:adjustRightInd w:val="0"/>
      <w:snapToGrid w:val="0"/>
      <w:spacing w:beforeLines="100" w:afterLines="100" w:line="240" w:lineRule="auto"/>
      <w:ind w:left="2040" w:leftChars="800" w:hanging="360" w:hangingChars="200"/>
      <w:jc w:val="center"/>
    </w:pPr>
    <w:rPr>
      <w:rFonts w:ascii="仿宋_GB2312" w:hAnsi="黑体" w:eastAsia="黑体" w:cs="宋体"/>
      <w:szCs w:val="20"/>
    </w:rPr>
  </w:style>
  <w:style w:type="paragraph" w:customStyle="1" w:styleId="2206">
    <w:name w:val="xl2413"/>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2207">
    <w:name w:val="Char Char2 Char Char Char Char"/>
    <w:basedOn w:val="1"/>
    <w:qFormat/>
    <w:uiPriority w:val="0"/>
  </w:style>
  <w:style w:type="paragraph" w:customStyle="1" w:styleId="2208">
    <w:name w:val="表格内字体711"/>
    <w:basedOn w:val="239"/>
    <w:next w:val="239"/>
    <w:qFormat/>
    <w:uiPriority w:val="0"/>
    <w:pPr>
      <w:spacing w:line="240" w:lineRule="auto"/>
      <w:ind w:firstLine="0"/>
      <w:jc w:val="center"/>
    </w:pPr>
    <w:rPr>
      <w:rFonts w:hAnsi="宋体"/>
      <w:sz w:val="21"/>
    </w:rPr>
  </w:style>
  <w:style w:type="paragraph" w:customStyle="1" w:styleId="2209">
    <w:name w:val="T标题5级"/>
    <w:basedOn w:val="8"/>
    <w:next w:val="1"/>
    <w:qFormat/>
    <w:uiPriority w:val="0"/>
    <w:pPr>
      <w:widowControl/>
      <w:tabs>
        <w:tab w:val="left" w:pos="233"/>
        <w:tab w:val="left" w:pos="1700"/>
      </w:tabs>
      <w:overflowPunct w:val="0"/>
      <w:autoSpaceDE w:val="0"/>
      <w:autoSpaceDN w:val="0"/>
      <w:adjustRightInd w:val="0"/>
      <w:spacing w:before="0" w:after="0" w:line="360" w:lineRule="auto"/>
      <w:ind w:left="1900"/>
      <w:jc w:val="left"/>
      <w:textAlignment w:val="baseline"/>
    </w:pPr>
    <w:rPr>
      <w:rFonts w:ascii="Times New Roman"/>
      <w:b w:val="0"/>
      <w:bCs w:val="0"/>
      <w:kern w:val="0"/>
      <w:sz w:val="24"/>
      <w:szCs w:val="24"/>
    </w:rPr>
  </w:style>
  <w:style w:type="paragraph" w:customStyle="1" w:styleId="2210">
    <w:name w:val="表格文字1"/>
    <w:basedOn w:val="1"/>
    <w:qFormat/>
    <w:uiPriority w:val="0"/>
    <w:pPr>
      <w:tabs>
        <w:tab w:val="left" w:pos="0"/>
      </w:tabs>
      <w:autoSpaceDE w:val="0"/>
      <w:autoSpaceDN w:val="0"/>
      <w:adjustRightInd w:val="0"/>
      <w:spacing w:before="60"/>
      <w:ind w:left="57" w:right="57"/>
      <w:jc w:val="center"/>
      <w:textAlignment w:val="baseline"/>
    </w:pPr>
  </w:style>
  <w:style w:type="paragraph" w:customStyle="1" w:styleId="2211">
    <w:name w:val="GM"/>
    <w:basedOn w:val="4"/>
    <w:qFormat/>
    <w:uiPriority w:val="0"/>
    <w:pPr>
      <w:keepLines w:val="0"/>
      <w:widowControl/>
      <w:tabs>
        <w:tab w:val="left" w:pos="455"/>
        <w:tab w:val="left" w:pos="1440"/>
        <w:tab w:val="left" w:pos="2040"/>
        <w:tab w:val="left" w:pos="2260"/>
        <w:tab w:val="left" w:pos="2820"/>
        <w:tab w:val="left" w:pos="3420"/>
      </w:tabs>
      <w:spacing w:before="240" w:after="120" w:line="240" w:lineRule="auto"/>
      <w:ind w:left="851" w:leftChars="800" w:right="-28" w:hanging="851" w:hangingChars="200"/>
    </w:pPr>
    <w:rPr>
      <w:rFonts w:ascii="Arial" w:hAnsi="Arial" w:cs="Arial"/>
      <w:bCs w:val="0"/>
      <w:color w:val="000000"/>
      <w:kern w:val="0"/>
      <w:sz w:val="22"/>
      <w:szCs w:val="28"/>
      <w:lang w:val="en-GB"/>
    </w:rPr>
  </w:style>
  <w:style w:type="paragraph" w:customStyle="1" w:styleId="2212">
    <w:name w:val="正文A"/>
    <w:qFormat/>
    <w:uiPriority w:val="0"/>
    <w:pPr>
      <w:tabs>
        <w:tab w:val="left" w:pos="0"/>
      </w:tabs>
      <w:adjustRightInd w:val="0"/>
      <w:spacing w:line="360" w:lineRule="auto"/>
      <w:ind w:firstLine="482"/>
      <w:jc w:val="both"/>
    </w:pPr>
    <w:rPr>
      <w:rFonts w:ascii="Times New Roman" w:hAnsi="Times New Roman" w:eastAsia="宋体" w:cs="Times New Roman"/>
      <w:snapToGrid w:val="0"/>
      <w:sz w:val="24"/>
      <w:lang w:val="en-US" w:eastAsia="zh-CN" w:bidi="ar-SA"/>
    </w:rPr>
  </w:style>
  <w:style w:type="paragraph" w:customStyle="1" w:styleId="2213">
    <w:name w:val="Char225"/>
    <w:basedOn w:val="1"/>
    <w:qFormat/>
    <w:uiPriority w:val="0"/>
    <w:pPr>
      <w:ind w:left="-48"/>
    </w:pPr>
  </w:style>
  <w:style w:type="paragraph" w:customStyle="1" w:styleId="2214">
    <w:name w:val="Char Char2 Char Char Char Char13"/>
    <w:basedOn w:val="1"/>
    <w:qFormat/>
    <w:uiPriority w:val="0"/>
  </w:style>
  <w:style w:type="paragraph" w:customStyle="1" w:styleId="2215">
    <w:name w:val="标题 2新"/>
    <w:basedOn w:val="5"/>
    <w:qFormat/>
    <w:uiPriority w:val="0"/>
    <w:pPr>
      <w:numPr>
        <w:ilvl w:val="0"/>
        <w:numId w:val="0"/>
      </w:numPr>
      <w:tabs>
        <w:tab w:val="left" w:pos="315"/>
        <w:tab w:val="left" w:pos="576"/>
        <w:tab w:val="clear" w:pos="0"/>
        <w:tab w:val="clear" w:pos="426"/>
      </w:tabs>
      <w:adjustRightInd w:val="0"/>
      <w:spacing w:beforeLines="0" w:afterLines="0" w:line="324" w:lineRule="auto"/>
      <w:ind w:left="576" w:hanging="576"/>
    </w:pPr>
    <w:rPr>
      <w:rFonts w:eastAsia="黑体" w:cs="宋体"/>
      <w:bCs/>
      <w:color w:val="auto"/>
      <w:spacing w:val="0"/>
      <w:sz w:val="28"/>
      <w:szCs w:val="28"/>
    </w:rPr>
  </w:style>
  <w:style w:type="paragraph" w:customStyle="1" w:styleId="2216">
    <w:name w:val="表内52"/>
    <w:basedOn w:val="1"/>
    <w:qFormat/>
    <w:uiPriority w:val="0"/>
    <w:pPr>
      <w:adjustRightInd w:val="0"/>
      <w:snapToGrid w:val="0"/>
      <w:spacing w:line="300" w:lineRule="auto"/>
      <w:jc w:val="left"/>
    </w:pPr>
    <w:rPr>
      <w:sz w:val="18"/>
    </w:rPr>
  </w:style>
  <w:style w:type="paragraph" w:customStyle="1" w:styleId="2217">
    <w:name w:val="黑体三号112"/>
    <w:basedOn w:val="239"/>
    <w:qFormat/>
    <w:uiPriority w:val="0"/>
    <w:pPr>
      <w:jc w:val="center"/>
    </w:pPr>
    <w:rPr>
      <w:rFonts w:ascii="黑体" w:hAnsi="宋体" w:eastAsia="黑体"/>
      <w:b/>
      <w:bCs/>
      <w:sz w:val="32"/>
      <w:szCs w:val="20"/>
    </w:rPr>
  </w:style>
  <w:style w:type="paragraph" w:customStyle="1" w:styleId="2218">
    <w:name w:val="book1_1"/>
    <w:basedOn w:val="5"/>
    <w:qFormat/>
    <w:uiPriority w:val="0"/>
    <w:pPr>
      <w:keepNext w:val="0"/>
      <w:numPr>
        <w:ilvl w:val="0"/>
        <w:numId w:val="0"/>
      </w:numPr>
      <w:tabs>
        <w:tab w:val="left" w:pos="233"/>
        <w:tab w:val="left" w:pos="622"/>
        <w:tab w:val="clear" w:pos="0"/>
        <w:tab w:val="clear" w:pos="426"/>
      </w:tabs>
      <w:spacing w:before="260" w:after="260" w:line="240" w:lineRule="auto"/>
      <w:ind w:left="233"/>
    </w:pPr>
    <w:rPr>
      <w:rFonts w:ascii="Arial" w:hAnsi="Arial" w:eastAsia="黑体"/>
      <w:b w:val="0"/>
      <w:bCs/>
      <w:color w:val="auto"/>
      <w:spacing w:val="0"/>
      <w:kern w:val="2"/>
      <w:sz w:val="24"/>
      <w:szCs w:val="32"/>
      <w:shd w:val="pct10" w:color="auto" w:fill="FFFFFF"/>
    </w:rPr>
  </w:style>
  <w:style w:type="paragraph" w:customStyle="1" w:styleId="2219">
    <w:name w:val="表内宋54"/>
    <w:basedOn w:val="2220"/>
    <w:qFormat/>
    <w:uiPriority w:val="0"/>
    <w:pPr>
      <w:widowControl/>
      <w:autoSpaceDE w:val="0"/>
      <w:autoSpaceDN w:val="0"/>
      <w:jc w:val="left"/>
      <w:textAlignment w:val="auto"/>
    </w:pPr>
    <w:rPr>
      <w:color w:val="auto"/>
      <w:w w:val="90"/>
    </w:rPr>
  </w:style>
  <w:style w:type="paragraph" w:customStyle="1" w:styleId="2220">
    <w:name w:val="表内宋5中"/>
    <w:basedOn w:val="1"/>
    <w:qFormat/>
    <w:uiPriority w:val="0"/>
    <w:pPr>
      <w:adjustRightInd w:val="0"/>
      <w:snapToGrid w:val="0"/>
      <w:textAlignment w:val="baseline"/>
    </w:pPr>
    <w:rPr>
      <w:color w:val="000000"/>
    </w:rPr>
  </w:style>
  <w:style w:type="paragraph" w:customStyle="1" w:styleId="2221">
    <w:name w:val="图题222"/>
    <w:basedOn w:val="239"/>
    <w:next w:val="239"/>
    <w:qFormat/>
    <w:uiPriority w:val="0"/>
    <w:pPr>
      <w:ind w:firstLine="0"/>
      <w:jc w:val="center"/>
    </w:pPr>
    <w:rPr>
      <w:rFonts w:ascii="黑体" w:hAnsi="宋体" w:eastAsia="黑体"/>
      <w:b/>
      <w:bCs/>
    </w:rPr>
  </w:style>
  <w:style w:type="paragraph" w:customStyle="1" w:styleId="2222">
    <w:name w:val="List Number 1"/>
    <w:basedOn w:val="1"/>
    <w:qFormat/>
    <w:uiPriority w:val="0"/>
    <w:pPr>
      <w:widowControl/>
      <w:tabs>
        <w:tab w:val="left" w:pos="360"/>
        <w:tab w:val="left" w:pos="714"/>
      </w:tabs>
      <w:spacing w:after="240"/>
    </w:pPr>
    <w:rPr>
      <w:rFonts w:ascii="Arial" w:hAnsi="Arial" w:eastAsia="MS Mincho"/>
      <w:sz w:val="22"/>
      <w:lang w:val="en-GB" w:eastAsia="en-US"/>
    </w:rPr>
  </w:style>
  <w:style w:type="paragraph" w:customStyle="1" w:styleId="2223">
    <w:name w:val="样式 正文文本 + 红色"/>
    <w:basedOn w:val="35"/>
    <w:qFormat/>
    <w:uiPriority w:val="0"/>
    <w:pPr>
      <w:adjustRightInd w:val="0"/>
      <w:snapToGrid w:val="0"/>
      <w:spacing w:before="60" w:after="60" w:line="264" w:lineRule="auto"/>
      <w:ind w:firstLine="200" w:firstLineChars="200"/>
      <w:textAlignment w:val="baseline"/>
    </w:pPr>
    <w:rPr>
      <w:rFonts w:eastAsia="仿宋_GB2312"/>
      <w:snapToGrid w:val="0"/>
      <w:color w:val="FF0000"/>
      <w:kern w:val="0"/>
      <w:sz w:val="24"/>
    </w:rPr>
  </w:style>
  <w:style w:type="paragraph" w:customStyle="1" w:styleId="2224">
    <w:name w:val="Char Char Char Char Char Char Char Char Char Char Char Char Char"/>
    <w:basedOn w:val="1"/>
    <w:qFormat/>
    <w:uiPriority w:val="0"/>
  </w:style>
  <w:style w:type="paragraph" w:customStyle="1" w:styleId="2225">
    <w:name w:val="默认段落字体 Para Char Char Char Char14"/>
    <w:basedOn w:val="1"/>
    <w:qFormat/>
    <w:uiPriority w:val="0"/>
  </w:style>
  <w:style w:type="paragraph" w:customStyle="1" w:styleId="2226">
    <w:name w:val="(文字) (文字)"/>
    <w:basedOn w:val="1"/>
    <w:qFormat/>
    <w:uiPriority w:val="0"/>
  </w:style>
  <w:style w:type="paragraph" w:customStyle="1" w:styleId="2227">
    <w:name w:val="Char3111"/>
    <w:basedOn w:val="1"/>
    <w:qFormat/>
    <w:uiPriority w:val="0"/>
    <w:pPr>
      <w:ind w:left="-48"/>
    </w:pPr>
  </w:style>
  <w:style w:type="paragraph" w:customStyle="1" w:styleId="2228">
    <w:name w:val="表内5323"/>
    <w:basedOn w:val="1"/>
    <w:qFormat/>
    <w:uiPriority w:val="0"/>
    <w:pPr>
      <w:adjustRightInd w:val="0"/>
      <w:snapToGrid w:val="0"/>
      <w:spacing w:line="300" w:lineRule="auto"/>
      <w:jc w:val="left"/>
    </w:pPr>
  </w:style>
  <w:style w:type="paragraph" w:customStyle="1" w:styleId="2229">
    <w:name w:val="Char Char Char Char Char Char Char119"/>
    <w:basedOn w:val="1"/>
    <w:qFormat/>
    <w:uiPriority w:val="0"/>
  </w:style>
  <w:style w:type="paragraph" w:customStyle="1" w:styleId="2230">
    <w:name w:val="表格内字体8"/>
    <w:basedOn w:val="239"/>
    <w:next w:val="239"/>
    <w:qFormat/>
    <w:uiPriority w:val="0"/>
    <w:pPr>
      <w:spacing w:line="240" w:lineRule="auto"/>
      <w:ind w:firstLine="0"/>
      <w:jc w:val="center"/>
    </w:pPr>
    <w:rPr>
      <w:rFonts w:hAnsi="宋体"/>
      <w:sz w:val="21"/>
    </w:rPr>
  </w:style>
  <w:style w:type="paragraph" w:customStyle="1" w:styleId="2231">
    <w:name w:val="6表(图)头(治)"/>
    <w:next w:val="1"/>
    <w:qFormat/>
    <w:uiPriority w:val="0"/>
    <w:pPr>
      <w:widowControl w:val="0"/>
      <w:spacing w:line="500" w:lineRule="exact"/>
      <w:ind w:firstLine="560" w:firstLineChars="200"/>
      <w:jc w:val="center"/>
    </w:pPr>
    <w:rPr>
      <w:rFonts w:ascii="宋体" w:hAnsi="宋体" w:eastAsia="宋体" w:cs="Times New Roman"/>
      <w:sz w:val="28"/>
      <w:lang w:val="en-US" w:eastAsia="zh-CN" w:bidi="ar-SA"/>
    </w:rPr>
  </w:style>
  <w:style w:type="paragraph" w:customStyle="1" w:styleId="2232">
    <w:name w:val="Char712"/>
    <w:basedOn w:val="1"/>
    <w:qFormat/>
    <w:uiPriority w:val="0"/>
    <w:pPr>
      <w:ind w:left="-48"/>
    </w:pPr>
  </w:style>
  <w:style w:type="paragraph" w:customStyle="1" w:styleId="2233">
    <w:name w:val="样式 表格1 + 段前: 4.65 磅"/>
    <w:basedOn w:val="245"/>
    <w:qFormat/>
    <w:uiPriority w:val="0"/>
    <w:pPr>
      <w:adjustRightInd w:val="0"/>
      <w:spacing w:line="360" w:lineRule="exact"/>
      <w:textAlignment w:val="baseline"/>
    </w:pPr>
    <w:rPr>
      <w:rFonts w:ascii="CG Times (W1)" w:hAnsi="CG Times (W1)" w:cs="宋体"/>
      <w:kern w:val="0"/>
      <w:sz w:val="24"/>
    </w:rPr>
  </w:style>
  <w:style w:type="paragraph" w:customStyle="1" w:styleId="2234">
    <w:name w:val="表格内字体43"/>
    <w:basedOn w:val="239"/>
    <w:next w:val="239"/>
    <w:qFormat/>
    <w:uiPriority w:val="0"/>
    <w:pPr>
      <w:spacing w:line="240" w:lineRule="auto"/>
      <w:ind w:firstLine="0"/>
      <w:jc w:val="center"/>
    </w:pPr>
    <w:rPr>
      <w:rFonts w:hAnsi="宋体"/>
      <w:sz w:val="21"/>
    </w:rPr>
  </w:style>
  <w:style w:type="paragraph" w:customStyle="1" w:styleId="2235">
    <w:name w:val="Char Char Char Char1 Char Char Char23"/>
    <w:basedOn w:val="1"/>
    <w:qFormat/>
    <w:uiPriority w:val="0"/>
    <w:pPr>
      <w:widowControl/>
      <w:spacing w:after="160" w:line="240" w:lineRule="exact"/>
      <w:jc w:val="left"/>
    </w:pPr>
    <w:rPr>
      <w:rFonts w:ascii="Verdana" w:hAnsi="Verdana"/>
      <w:sz w:val="20"/>
      <w:lang w:eastAsia="en-US"/>
    </w:rPr>
  </w:style>
  <w:style w:type="paragraph" w:customStyle="1" w:styleId="2236">
    <w:name w:val="默认段落字体 Para Char Char Char Char312"/>
    <w:basedOn w:val="1"/>
    <w:qFormat/>
    <w:uiPriority w:val="0"/>
  </w:style>
  <w:style w:type="paragraph" w:customStyle="1" w:styleId="2237">
    <w:name w:val="Char Char Char Char Char Char Char42"/>
    <w:basedOn w:val="1"/>
    <w:qFormat/>
    <w:uiPriority w:val="0"/>
  </w:style>
  <w:style w:type="paragraph" w:customStyle="1" w:styleId="2238">
    <w:name w:val="A标题"/>
    <w:basedOn w:val="7"/>
    <w:qFormat/>
    <w:uiPriority w:val="0"/>
    <w:pPr>
      <w:tabs>
        <w:tab w:val="left" w:pos="425"/>
        <w:tab w:val="left" w:pos="964"/>
      </w:tabs>
      <w:spacing w:before="60" w:after="40" w:line="264" w:lineRule="auto"/>
      <w:ind w:left="425" w:hanging="425"/>
      <w:jc w:val="left"/>
    </w:pPr>
    <w:rPr>
      <w:rFonts w:ascii="Times New Roman" w:hAnsi="Times New Roman" w:eastAsia="宋体"/>
      <w:color w:val="000000"/>
      <w:spacing w:val="20"/>
      <w:szCs w:val="20"/>
    </w:rPr>
  </w:style>
  <w:style w:type="paragraph" w:customStyle="1" w:styleId="2239">
    <w:name w:val="表格内容12"/>
    <w:qFormat/>
    <w:uiPriority w:val="0"/>
    <w:pPr>
      <w:jc w:val="center"/>
    </w:pPr>
    <w:rPr>
      <w:rFonts w:ascii="Times New Roman" w:hAnsi="Times New Roman" w:eastAsia="宋体" w:cs="Times New Roman"/>
      <w:kern w:val="2"/>
      <w:sz w:val="21"/>
      <w:szCs w:val="21"/>
      <w:lang w:val="en-US" w:eastAsia="zh-CN" w:bidi="ar-SA"/>
    </w:rPr>
  </w:style>
  <w:style w:type="paragraph" w:customStyle="1" w:styleId="2240">
    <w:name w:val="表格内字体42"/>
    <w:basedOn w:val="239"/>
    <w:next w:val="239"/>
    <w:qFormat/>
    <w:uiPriority w:val="0"/>
    <w:pPr>
      <w:spacing w:line="240" w:lineRule="auto"/>
      <w:ind w:firstLine="0"/>
      <w:jc w:val="center"/>
    </w:pPr>
    <w:rPr>
      <w:rFonts w:hAnsi="宋体"/>
      <w:sz w:val="21"/>
    </w:rPr>
  </w:style>
  <w:style w:type="paragraph" w:customStyle="1" w:styleId="2241">
    <w:name w:val="t表格文字居中"/>
    <w:basedOn w:val="1"/>
    <w:qFormat/>
    <w:uiPriority w:val="0"/>
    <w:pPr>
      <w:widowControl/>
      <w:overflowPunct w:val="0"/>
      <w:topLinePunct/>
      <w:autoSpaceDE w:val="0"/>
      <w:adjustRightInd w:val="0"/>
      <w:ind w:left="480"/>
      <w:jc w:val="center"/>
      <w:textAlignment w:val="center"/>
    </w:pPr>
    <w:rPr>
      <w:rFonts w:hAnsi="宋体" w:eastAsia="仿宋_GB2312"/>
      <w:szCs w:val="21"/>
    </w:rPr>
  </w:style>
  <w:style w:type="paragraph" w:customStyle="1" w:styleId="2242">
    <w:name w:val="表内5911"/>
    <w:basedOn w:val="1"/>
    <w:qFormat/>
    <w:uiPriority w:val="0"/>
    <w:pPr>
      <w:adjustRightInd w:val="0"/>
      <w:snapToGrid w:val="0"/>
      <w:spacing w:line="300" w:lineRule="auto"/>
      <w:jc w:val="center"/>
    </w:pPr>
    <w:rPr>
      <w:snapToGrid w:val="0"/>
      <w:szCs w:val="21"/>
    </w:rPr>
  </w:style>
  <w:style w:type="paragraph" w:customStyle="1" w:styleId="2243">
    <w:name w:val="Char131"/>
    <w:basedOn w:val="1"/>
    <w:qFormat/>
    <w:uiPriority w:val="0"/>
    <w:pPr>
      <w:ind w:left="-48"/>
    </w:pPr>
  </w:style>
  <w:style w:type="paragraph" w:customStyle="1" w:styleId="2244">
    <w:name w:val="正文.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45">
    <w:name w:val="表题31"/>
    <w:basedOn w:val="3"/>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2246">
    <w:name w:val="样式133"/>
    <w:basedOn w:val="2245"/>
    <w:qFormat/>
    <w:uiPriority w:val="0"/>
    <w:pPr>
      <w:spacing w:line="240" w:lineRule="auto"/>
      <w:ind w:firstLine="0"/>
      <w:jc w:val="center"/>
    </w:pPr>
    <w:rPr>
      <w:rFonts w:cs="Times New Roman"/>
      <w:b/>
      <w:color w:val="auto"/>
      <w:szCs w:val="20"/>
    </w:rPr>
  </w:style>
  <w:style w:type="paragraph" w:customStyle="1" w:styleId="2247">
    <w:name w:val="CM15"/>
    <w:basedOn w:val="247"/>
    <w:next w:val="247"/>
    <w:qFormat/>
    <w:uiPriority w:val="0"/>
    <w:pPr>
      <w:spacing w:line="548" w:lineRule="atLeast"/>
    </w:pPr>
    <w:rPr>
      <w:rFonts w:cs="Times New Roman"/>
      <w:color w:val="auto"/>
    </w:rPr>
  </w:style>
  <w:style w:type="paragraph" w:customStyle="1" w:styleId="2248">
    <w:name w:val="表题1411"/>
    <w:basedOn w:val="1"/>
    <w:qFormat/>
    <w:uiPriority w:val="0"/>
    <w:pPr>
      <w:widowControl/>
      <w:adjustRightInd w:val="0"/>
      <w:snapToGrid w:val="0"/>
      <w:jc w:val="center"/>
    </w:pPr>
    <w:rPr>
      <w:rFonts w:ascii="黑体" w:hAnsi="宋体" w:eastAsia="黑体" w:cs="宋体"/>
    </w:rPr>
  </w:style>
  <w:style w:type="paragraph" w:customStyle="1" w:styleId="2249">
    <w:name w:val="表格内字体212"/>
    <w:basedOn w:val="239"/>
    <w:next w:val="239"/>
    <w:qFormat/>
    <w:uiPriority w:val="0"/>
    <w:pPr>
      <w:spacing w:line="240" w:lineRule="auto"/>
      <w:ind w:firstLine="0"/>
      <w:jc w:val="center"/>
    </w:pPr>
    <w:rPr>
      <w:rFonts w:hAnsi="宋体"/>
      <w:sz w:val="21"/>
    </w:rPr>
  </w:style>
  <w:style w:type="paragraph" w:customStyle="1" w:styleId="2250">
    <w:name w:val="样式 左侧:  -0.16 厘米"/>
    <w:basedOn w:val="1"/>
    <w:qFormat/>
    <w:uiPriority w:val="0"/>
    <w:pPr>
      <w:ind w:left="-90"/>
    </w:pPr>
    <w:rPr>
      <w:rFonts w:hAnsi="宋体" w:cs="宋体"/>
      <w:snapToGrid w:val="0"/>
    </w:rPr>
  </w:style>
  <w:style w:type="paragraph" w:customStyle="1" w:styleId="2251">
    <w:name w:val="样式 正文文本 + 首行缩进:  2 字符4"/>
    <w:basedOn w:val="35"/>
    <w:qFormat/>
    <w:uiPriority w:val="0"/>
    <w:pPr>
      <w:adjustRightInd w:val="0"/>
      <w:spacing w:after="0"/>
      <w:textAlignment w:val="baseline"/>
    </w:pPr>
    <w:rPr>
      <w:rFonts w:eastAsia="仿宋_GB2312" w:cs="宋体"/>
      <w:color w:val="000000"/>
      <w:szCs w:val="21"/>
    </w:rPr>
  </w:style>
  <w:style w:type="paragraph" w:customStyle="1" w:styleId="2252">
    <w:name w:val="1.1.1.1-"/>
    <w:basedOn w:val="1"/>
    <w:qFormat/>
    <w:uiPriority w:val="0"/>
    <w:pPr>
      <w:tabs>
        <w:tab w:val="left" w:pos="398"/>
        <w:tab w:val="left" w:pos="2268"/>
      </w:tabs>
      <w:wordWrap w:val="0"/>
      <w:adjustRightInd w:val="0"/>
      <w:snapToGrid w:val="0"/>
      <w:spacing w:line="360" w:lineRule="atLeast"/>
      <w:ind w:left="398" w:firstLine="1587"/>
      <w:textAlignment w:val="baseline"/>
    </w:pPr>
    <w:rPr>
      <w:rFonts w:ascii="Arial" w:hAnsi="Arial" w:eastAsia="Gulim"/>
      <w:sz w:val="20"/>
    </w:rPr>
  </w:style>
  <w:style w:type="paragraph" w:customStyle="1" w:styleId="2253">
    <w:name w:val="表注五"/>
    <w:basedOn w:val="51"/>
    <w:qFormat/>
    <w:uiPriority w:val="0"/>
    <w:pPr>
      <w:tabs>
        <w:tab w:val="left" w:pos="-120"/>
      </w:tabs>
      <w:spacing w:before="60" w:after="60" w:line="240" w:lineRule="auto"/>
      <w:ind w:left="175" w:leftChars="175" w:firstLine="220" w:firstLineChars="100"/>
    </w:pPr>
    <w:rPr>
      <w:rFonts w:ascii="Times New Roman" w:eastAsia="宋体"/>
      <w:spacing w:val="20"/>
      <w:sz w:val="18"/>
      <w:szCs w:val="18"/>
    </w:rPr>
  </w:style>
  <w:style w:type="paragraph" w:customStyle="1" w:styleId="2254">
    <w:name w:val="正文格式＝111"/>
    <w:basedOn w:val="239"/>
    <w:next w:val="239"/>
    <w:qFormat/>
    <w:uiPriority w:val="0"/>
    <w:rPr>
      <w:rFonts w:hAnsi="宋体"/>
    </w:rPr>
  </w:style>
  <w:style w:type="paragraph" w:customStyle="1" w:styleId="2255">
    <w:name w:val="表内541113"/>
    <w:basedOn w:val="1"/>
    <w:qFormat/>
    <w:uiPriority w:val="0"/>
    <w:pPr>
      <w:adjustRightInd w:val="0"/>
      <w:snapToGrid w:val="0"/>
      <w:spacing w:line="300" w:lineRule="auto"/>
      <w:jc w:val="center"/>
    </w:pPr>
    <w:rPr>
      <w:rFonts w:hAnsi="宋体" w:cs="宋体"/>
    </w:rPr>
  </w:style>
  <w:style w:type="paragraph" w:customStyle="1" w:styleId="2256">
    <w:name w:val="表格内字体71"/>
    <w:basedOn w:val="239"/>
    <w:next w:val="239"/>
    <w:qFormat/>
    <w:uiPriority w:val="0"/>
    <w:pPr>
      <w:spacing w:line="240" w:lineRule="auto"/>
      <w:ind w:firstLine="0"/>
      <w:jc w:val="center"/>
    </w:pPr>
    <w:rPr>
      <w:rFonts w:hAnsi="宋体"/>
      <w:sz w:val="21"/>
    </w:rPr>
  </w:style>
  <w:style w:type="paragraph" w:customStyle="1" w:styleId="2257">
    <w:name w:val="标题4315"/>
    <w:basedOn w:val="1"/>
    <w:qFormat/>
    <w:uiPriority w:val="0"/>
    <w:pPr>
      <w:adjustRightInd w:val="0"/>
      <w:snapToGrid w:val="0"/>
      <w:spacing w:line="480" w:lineRule="exact"/>
      <w:jc w:val="center"/>
    </w:pPr>
    <w:rPr>
      <w:rFonts w:hAnsi="宋体" w:cs="宋体"/>
    </w:rPr>
  </w:style>
  <w:style w:type="paragraph" w:customStyle="1" w:styleId="2258">
    <w:name w:val="图题513"/>
    <w:basedOn w:val="239"/>
    <w:next w:val="239"/>
    <w:qFormat/>
    <w:uiPriority w:val="0"/>
    <w:pPr>
      <w:ind w:firstLine="0"/>
      <w:jc w:val="center"/>
    </w:pPr>
    <w:rPr>
      <w:rFonts w:ascii="黑体" w:hAnsi="宋体" w:eastAsia="黑体"/>
      <w:b/>
      <w:bCs/>
    </w:rPr>
  </w:style>
  <w:style w:type="paragraph" w:customStyle="1" w:styleId="2259">
    <w:name w:val="表题413"/>
    <w:basedOn w:val="3"/>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260">
    <w:name w:val="佛风险表"/>
    <w:basedOn w:val="2261"/>
    <w:qFormat/>
    <w:uiPriority w:val="0"/>
    <w:rPr>
      <w:color w:val="000000"/>
      <w:sz w:val="18"/>
      <w:szCs w:val="18"/>
      <w:lang w:val="sq-AL"/>
    </w:rPr>
  </w:style>
  <w:style w:type="paragraph" w:customStyle="1" w:styleId="2261">
    <w:name w:val="佛表"/>
    <w:basedOn w:val="66"/>
    <w:qFormat/>
    <w:uiPriority w:val="0"/>
    <w:pPr>
      <w:spacing w:line="0" w:lineRule="atLeast"/>
    </w:pPr>
    <w:rPr>
      <w:rFonts w:ascii="宋体" w:hAnsi="宋体" w:eastAsia="宋体"/>
      <w:b/>
      <w:kern w:val="0"/>
      <w:sz w:val="21"/>
      <w:szCs w:val="24"/>
    </w:rPr>
  </w:style>
  <w:style w:type="paragraph" w:customStyle="1" w:styleId="2262">
    <w:name w:val="样式 公式 + 左 段前: 0.5 行 段后: 0.5 行"/>
    <w:basedOn w:val="585"/>
    <w:qFormat/>
    <w:uiPriority w:val="0"/>
    <w:pPr>
      <w:widowControl w:val="0"/>
      <w:pBdr>
        <w:top w:val="single" w:color="auto" w:sz="4" w:space="1"/>
      </w:pBdr>
      <w:adjustRightInd w:val="0"/>
      <w:spacing w:line="360" w:lineRule="auto"/>
      <w:ind w:firstLine="360" w:firstLineChars="150"/>
      <w:jc w:val="left"/>
      <w:textAlignment w:val="baseline"/>
    </w:pPr>
    <w:rPr>
      <w:rFonts w:cs="宋体"/>
      <w:iCs/>
      <w:sz w:val="24"/>
      <w:szCs w:val="24"/>
    </w:rPr>
  </w:style>
  <w:style w:type="paragraph" w:customStyle="1" w:styleId="2263">
    <w:name w:val="正文格式＝31"/>
    <w:basedOn w:val="239"/>
    <w:next w:val="239"/>
    <w:qFormat/>
    <w:uiPriority w:val="0"/>
    <w:rPr>
      <w:rFonts w:hAnsi="宋体"/>
    </w:rPr>
  </w:style>
  <w:style w:type="paragraph" w:customStyle="1" w:styleId="2264">
    <w:name w:val="Char172"/>
    <w:basedOn w:val="1"/>
    <w:qFormat/>
    <w:uiPriority w:val="0"/>
    <w:pPr>
      <w:ind w:left="-48"/>
    </w:pPr>
  </w:style>
  <w:style w:type="paragraph" w:customStyle="1" w:styleId="2265">
    <w:name w:val="Char Char2 Char Char Char Char42"/>
    <w:basedOn w:val="1"/>
    <w:qFormat/>
    <w:uiPriority w:val="0"/>
  </w:style>
  <w:style w:type="paragraph" w:customStyle="1" w:styleId="2266">
    <w:name w:val="Char Char2 Char Char Char Char19"/>
    <w:basedOn w:val="1"/>
    <w:qFormat/>
    <w:uiPriority w:val="0"/>
  </w:style>
  <w:style w:type="paragraph" w:customStyle="1" w:styleId="2267">
    <w:name w:val="Style1"/>
    <w:basedOn w:val="1"/>
    <w:qFormat/>
    <w:uiPriority w:val="0"/>
    <w:pPr>
      <w:widowControl/>
      <w:overflowPunct w:val="0"/>
      <w:autoSpaceDE w:val="0"/>
      <w:autoSpaceDN w:val="0"/>
      <w:adjustRightInd w:val="0"/>
      <w:snapToGrid w:val="0"/>
      <w:ind w:left="1080"/>
      <w:textAlignment w:val="baseline"/>
    </w:pPr>
    <w:rPr>
      <w:sz w:val="22"/>
    </w:rPr>
  </w:style>
  <w:style w:type="paragraph" w:customStyle="1" w:styleId="2268">
    <w:name w:val="7表格(治)"/>
    <w:qFormat/>
    <w:uiPriority w:val="0"/>
    <w:pPr>
      <w:spacing w:line="400" w:lineRule="exact"/>
      <w:jc w:val="center"/>
    </w:pPr>
    <w:rPr>
      <w:rFonts w:ascii="宋体" w:hAnsi="宋体" w:eastAsia="宋体" w:cs="Times New Roman"/>
      <w:sz w:val="21"/>
      <w:lang w:val="en-US" w:eastAsia="zh-CN" w:bidi="ar-SA"/>
    </w:rPr>
  </w:style>
  <w:style w:type="paragraph" w:customStyle="1" w:styleId="2269">
    <w:name w:val="Bullet 1"/>
    <w:qFormat/>
    <w:uiPriority w:val="0"/>
    <w:pPr>
      <w:widowControl w:val="0"/>
      <w:autoSpaceDE w:val="0"/>
      <w:autoSpaceDN w:val="0"/>
      <w:adjustRightInd w:val="0"/>
      <w:ind w:left="576"/>
      <w:textAlignment w:val="baseline"/>
    </w:pPr>
    <w:rPr>
      <w:rFonts w:ascii="宋体" w:hAnsi="Times New Roman" w:eastAsia="宋体" w:cs="Times New Roman"/>
      <w:color w:val="000000"/>
      <w:sz w:val="24"/>
      <w:lang w:val="en-US" w:eastAsia="zh-CN" w:bidi="ar-SA"/>
    </w:rPr>
  </w:style>
  <w:style w:type="paragraph" w:customStyle="1" w:styleId="2270">
    <w:name w:val="Char Char Char Char Char Char Char Char Char Char Char"/>
    <w:basedOn w:val="1"/>
    <w:qFormat/>
    <w:uiPriority w:val="0"/>
    <w:rPr>
      <w:szCs w:val="21"/>
    </w:rPr>
  </w:style>
  <w:style w:type="paragraph" w:customStyle="1" w:styleId="2271">
    <w:name w:val="T标题1级"/>
    <w:basedOn w:val="4"/>
    <w:next w:val="1"/>
    <w:qFormat/>
    <w:uiPriority w:val="0"/>
    <w:pPr>
      <w:keepLines w:val="0"/>
      <w:widowControl/>
      <w:tabs>
        <w:tab w:val="center" w:pos="500"/>
        <w:tab w:val="left" w:pos="2040"/>
      </w:tabs>
      <w:overflowPunct w:val="0"/>
      <w:adjustRightInd w:val="0"/>
      <w:spacing w:beforeLines="50" w:afterLines="50" w:line="360" w:lineRule="auto"/>
      <w:ind w:left="-226" w:leftChars="800" w:hanging="425" w:hangingChars="200"/>
      <w:textAlignment w:val="center"/>
    </w:pPr>
    <w:rPr>
      <w:rFonts w:eastAsia="仿宋_GB2312"/>
      <w:bCs w:val="0"/>
      <w:sz w:val="28"/>
      <w:szCs w:val="28"/>
    </w:rPr>
  </w:style>
  <w:style w:type="paragraph" w:customStyle="1" w:styleId="2272">
    <w:name w:val="项目2"/>
    <w:basedOn w:val="1"/>
    <w:qFormat/>
    <w:uiPriority w:val="0"/>
    <w:pPr>
      <w:tabs>
        <w:tab w:val="left" w:pos="360"/>
      </w:tabs>
      <w:snapToGrid w:val="0"/>
      <w:spacing w:line="0" w:lineRule="atLeast"/>
      <w:ind w:left="340" w:hanging="340"/>
    </w:pPr>
    <w:rPr>
      <w:sz w:val="28"/>
    </w:rPr>
  </w:style>
  <w:style w:type="paragraph" w:customStyle="1" w:styleId="2273">
    <w:name w:val="Char Char Char Char Char Char Char24"/>
    <w:basedOn w:val="1"/>
    <w:qFormat/>
    <w:uiPriority w:val="0"/>
  </w:style>
  <w:style w:type="paragraph" w:customStyle="1" w:styleId="2274">
    <w:name w:val="Char Char Char Char Char Char Char118"/>
    <w:basedOn w:val="1"/>
    <w:qFormat/>
    <w:uiPriority w:val="0"/>
  </w:style>
  <w:style w:type="paragraph" w:customStyle="1" w:styleId="2275">
    <w:name w:val="正文修改42"/>
    <w:basedOn w:val="1264"/>
    <w:qFormat/>
    <w:uiPriority w:val="0"/>
    <w:rPr>
      <w:rFonts w:hAnsi="宋体"/>
      <w:color w:val="000000"/>
    </w:rPr>
  </w:style>
  <w:style w:type="paragraph" w:customStyle="1" w:styleId="2276">
    <w:name w:val="样式 表内小5 + 黑体 加粗 倾斜 下划线13"/>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2277">
    <w:name w:val="表内541111"/>
    <w:basedOn w:val="1"/>
    <w:qFormat/>
    <w:uiPriority w:val="0"/>
    <w:pPr>
      <w:adjustRightInd w:val="0"/>
      <w:snapToGrid w:val="0"/>
      <w:spacing w:line="300" w:lineRule="auto"/>
      <w:jc w:val="center"/>
    </w:pPr>
    <w:rPr>
      <w:rFonts w:hAnsi="宋体" w:cs="宋体"/>
    </w:rPr>
  </w:style>
  <w:style w:type="paragraph" w:customStyle="1" w:styleId="2278">
    <w:name w:val="默认段落字体 Para Char Char Char Char Char2"/>
    <w:basedOn w:val="1"/>
    <w:qFormat/>
    <w:uiPriority w:val="0"/>
  </w:style>
  <w:style w:type="paragraph" w:customStyle="1" w:styleId="2279">
    <w:name w:val="table"/>
    <w:basedOn w:val="66"/>
    <w:next w:val="86"/>
    <w:qFormat/>
    <w:uiPriority w:val="0"/>
    <w:pPr>
      <w:spacing w:line="360" w:lineRule="auto"/>
      <w:ind w:hanging="149"/>
    </w:pPr>
    <w:rPr>
      <w:rFonts w:ascii="Times New Roman" w:eastAsia="宋体"/>
      <w:b/>
      <w:kern w:val="0"/>
      <w:sz w:val="21"/>
      <w:szCs w:val="21"/>
    </w:rPr>
  </w:style>
  <w:style w:type="paragraph" w:customStyle="1" w:styleId="2280">
    <w:name w:val="表内文字边"/>
    <w:basedOn w:val="1"/>
    <w:qFormat/>
    <w:uiPriority w:val="0"/>
    <w:pPr>
      <w:widowControl/>
      <w:adjustRightInd w:val="0"/>
      <w:snapToGrid w:val="0"/>
      <w:spacing w:line="240" w:lineRule="atLeast"/>
      <w:ind w:left="-21" w:leftChars="-10" w:right="-42" w:rightChars="-20"/>
    </w:pPr>
    <w:rPr>
      <w:szCs w:val="21"/>
    </w:rPr>
  </w:style>
  <w:style w:type="paragraph" w:customStyle="1" w:styleId="2281">
    <w:name w:val="表中文字2"/>
    <w:basedOn w:val="1"/>
    <w:qFormat/>
    <w:uiPriority w:val="0"/>
    <w:pPr>
      <w:widowControl/>
      <w:adjustRightInd w:val="0"/>
      <w:spacing w:line="240" w:lineRule="atLeast"/>
      <w:ind w:right="-42" w:rightChars="-20"/>
      <w:jc w:val="center"/>
      <w:textAlignment w:val="baseline"/>
    </w:pPr>
    <w:rPr>
      <w:szCs w:val="21"/>
    </w:rPr>
  </w:style>
  <w:style w:type="paragraph" w:customStyle="1" w:styleId="2282">
    <w:name w:val="燕山正文22"/>
    <w:basedOn w:val="1"/>
    <w:qFormat/>
    <w:uiPriority w:val="0"/>
    <w:pPr>
      <w:tabs>
        <w:tab w:val="left" w:pos="4680"/>
      </w:tabs>
      <w:adjustRightInd w:val="0"/>
      <w:snapToGrid w:val="0"/>
      <w:spacing w:line="480" w:lineRule="exact"/>
    </w:pPr>
    <w:rPr>
      <w:rFonts w:cs="宋体"/>
    </w:rPr>
  </w:style>
  <w:style w:type="paragraph" w:customStyle="1" w:styleId="2283">
    <w:name w:val="字元 字元 字元"/>
    <w:basedOn w:val="1"/>
    <w:qFormat/>
    <w:uiPriority w:val="0"/>
    <w:rPr>
      <w:szCs w:val="21"/>
    </w:rPr>
  </w:style>
  <w:style w:type="paragraph" w:customStyle="1" w:styleId="2284">
    <w:name w:val="默认段落字体 Para Char Char Char Char Char13"/>
    <w:basedOn w:val="1"/>
    <w:qFormat/>
    <w:uiPriority w:val="0"/>
  </w:style>
  <w:style w:type="paragraph" w:customStyle="1" w:styleId="2285">
    <w:name w:val="Char312"/>
    <w:basedOn w:val="1"/>
    <w:qFormat/>
    <w:uiPriority w:val="0"/>
    <w:pPr>
      <w:ind w:left="-48"/>
    </w:pPr>
  </w:style>
  <w:style w:type="paragraph" w:customStyle="1" w:styleId="2286">
    <w:name w:val="正文格式＝21"/>
    <w:basedOn w:val="239"/>
    <w:next w:val="239"/>
    <w:qFormat/>
    <w:uiPriority w:val="0"/>
    <w:rPr>
      <w:rFonts w:hAnsi="宋体"/>
    </w:rPr>
  </w:style>
  <w:style w:type="paragraph" w:customStyle="1" w:styleId="2287">
    <w:name w:val="附件1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288">
    <w:name w:val="表中文字1113"/>
    <w:basedOn w:val="1"/>
    <w:qFormat/>
    <w:uiPriority w:val="0"/>
    <w:pPr>
      <w:widowControl/>
      <w:spacing w:line="240" w:lineRule="atLeast"/>
      <w:ind w:left="-24" w:leftChars="-10" w:right="-48" w:rightChars="-20"/>
      <w:jc w:val="center"/>
    </w:pPr>
    <w:rPr>
      <w:szCs w:val="21"/>
    </w:rPr>
  </w:style>
  <w:style w:type="paragraph" w:customStyle="1" w:styleId="2289">
    <w:name w:val="样式 样式 样式 样式 标题 4 + 段前: 0.5 行 段后: 0.5 行 + 段前: 0.5 行 段后: 0.5 行 + 段..."/>
    <w:basedOn w:val="2290"/>
    <w:qFormat/>
    <w:uiPriority w:val="0"/>
    <w:pPr>
      <w:adjustRightInd/>
      <w:spacing w:beforeLines="0" w:afterLines="0"/>
    </w:pPr>
  </w:style>
  <w:style w:type="paragraph" w:customStyle="1" w:styleId="2290">
    <w:name w:val="样式 样式 样式 标题 4 + 段前: 0.5 行 段后: 0.5 行 + 段前: 0.5 行 段后: 0.5 行 + 段前: ..."/>
    <w:basedOn w:val="2291"/>
    <w:qFormat/>
    <w:uiPriority w:val="0"/>
    <w:pPr>
      <w:adjustRightInd w:val="0"/>
    </w:pPr>
  </w:style>
  <w:style w:type="paragraph" w:customStyle="1" w:styleId="2291">
    <w:name w:val="样式 样式 标题 4 + 段前: 0.5 行 段后: 0.5 行 + 段前: 0.5 行 段后: 0.5 行"/>
    <w:basedOn w:val="2195"/>
    <w:qFormat/>
    <w:uiPriority w:val="0"/>
  </w:style>
  <w:style w:type="paragraph" w:customStyle="1" w:styleId="2292">
    <w:name w:val="表中文字54"/>
    <w:basedOn w:val="1"/>
    <w:qFormat/>
    <w:uiPriority w:val="0"/>
    <w:pPr>
      <w:widowControl/>
      <w:spacing w:line="240" w:lineRule="atLeast"/>
      <w:ind w:left="-24" w:leftChars="-10" w:right="-48" w:rightChars="-20"/>
      <w:jc w:val="center"/>
    </w:pPr>
    <w:rPr>
      <w:szCs w:val="21"/>
    </w:rPr>
  </w:style>
  <w:style w:type="paragraph" w:customStyle="1" w:styleId="2293">
    <w:name w:val="Char219"/>
    <w:basedOn w:val="1"/>
    <w:qFormat/>
    <w:uiPriority w:val="0"/>
    <w:pPr>
      <w:ind w:left="-48"/>
    </w:pPr>
  </w:style>
  <w:style w:type="paragraph" w:customStyle="1" w:styleId="2294">
    <w:name w:val="Char134"/>
    <w:basedOn w:val="1"/>
    <w:qFormat/>
    <w:uiPriority w:val="0"/>
    <w:pPr>
      <w:ind w:left="-48"/>
    </w:pPr>
  </w:style>
  <w:style w:type="paragraph" w:customStyle="1" w:styleId="2295">
    <w:name w:val="图题64"/>
    <w:basedOn w:val="239"/>
    <w:next w:val="239"/>
    <w:qFormat/>
    <w:uiPriority w:val="0"/>
    <w:pPr>
      <w:ind w:firstLine="0"/>
      <w:jc w:val="center"/>
    </w:pPr>
    <w:rPr>
      <w:rFonts w:ascii="黑体" w:hAnsi="宋体" w:eastAsia="黑体"/>
      <w:b/>
      <w:bCs/>
    </w:rPr>
  </w:style>
  <w:style w:type="paragraph" w:customStyle="1" w:styleId="2296">
    <w:name w:val="图名称"/>
    <w:basedOn w:val="1"/>
    <w:qFormat/>
    <w:uiPriority w:val="0"/>
    <w:pPr>
      <w:tabs>
        <w:tab w:val="left" w:pos="2600"/>
        <w:tab w:val="center" w:pos="6622"/>
      </w:tabs>
      <w:adjustRightInd w:val="0"/>
      <w:snapToGrid w:val="0"/>
      <w:spacing w:before="50" w:line="312" w:lineRule="auto"/>
      <w:jc w:val="center"/>
    </w:pPr>
    <w:rPr>
      <w:rFonts w:ascii="黑体" w:eastAsia="黑体"/>
      <w:bCs/>
      <w:color w:val="000000"/>
    </w:rPr>
  </w:style>
  <w:style w:type="paragraph" w:customStyle="1" w:styleId="2297">
    <w:name w:val="表中文字6"/>
    <w:basedOn w:val="1"/>
    <w:qFormat/>
    <w:uiPriority w:val="0"/>
    <w:pPr>
      <w:widowControl/>
      <w:spacing w:line="240" w:lineRule="atLeast"/>
      <w:ind w:left="-24" w:leftChars="-10" w:right="-48" w:rightChars="-20"/>
      <w:jc w:val="center"/>
    </w:pPr>
    <w:rPr>
      <w:szCs w:val="21"/>
    </w:rPr>
  </w:style>
  <w:style w:type="paragraph" w:customStyle="1" w:styleId="2298">
    <w:name w:val="Char143"/>
    <w:basedOn w:val="1"/>
    <w:qFormat/>
    <w:uiPriority w:val="0"/>
    <w:pPr>
      <w:ind w:left="-48"/>
    </w:pPr>
  </w:style>
  <w:style w:type="paragraph" w:customStyle="1" w:styleId="2299">
    <w:name w:val="Char Char Char Char Char Char Char10"/>
    <w:basedOn w:val="1"/>
    <w:qFormat/>
    <w:uiPriority w:val="0"/>
  </w:style>
  <w:style w:type="paragraph" w:customStyle="1" w:styleId="2300">
    <w:name w:val="图题411"/>
    <w:basedOn w:val="239"/>
    <w:next w:val="239"/>
    <w:qFormat/>
    <w:uiPriority w:val="0"/>
    <w:pPr>
      <w:ind w:firstLine="0"/>
      <w:jc w:val="center"/>
    </w:pPr>
    <w:rPr>
      <w:rFonts w:ascii="黑体" w:hAnsi="宋体" w:eastAsia="黑体"/>
      <w:b/>
      <w:bCs/>
    </w:rPr>
  </w:style>
  <w:style w:type="paragraph" w:customStyle="1" w:styleId="2301">
    <w:name w:val="表题3121"/>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02">
    <w:name w:val="环评正文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303">
    <w:name w:val="表中文字213"/>
    <w:basedOn w:val="1"/>
    <w:qFormat/>
    <w:uiPriority w:val="0"/>
    <w:pPr>
      <w:widowControl/>
      <w:adjustRightInd w:val="0"/>
      <w:spacing w:line="240" w:lineRule="atLeast"/>
      <w:ind w:right="-42" w:rightChars="-20"/>
      <w:jc w:val="center"/>
      <w:textAlignment w:val="baseline"/>
    </w:pPr>
    <w:rPr>
      <w:szCs w:val="21"/>
    </w:rPr>
  </w:style>
  <w:style w:type="paragraph" w:customStyle="1" w:styleId="2304">
    <w:name w:val="表题314"/>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05">
    <w:name w:val="Char Char Char Char Char Char Char8"/>
    <w:basedOn w:val="1"/>
    <w:qFormat/>
    <w:uiPriority w:val="0"/>
  </w:style>
  <w:style w:type="paragraph" w:customStyle="1" w:styleId="2306">
    <w:name w:val="xl244"/>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2307">
    <w:name w:val="样式 正文缩进 + 宋体 黑色 首行缩进:  2 字符3"/>
    <w:basedOn w:val="22"/>
    <w:qFormat/>
    <w:uiPriority w:val="0"/>
    <w:pPr>
      <w:spacing w:line="360" w:lineRule="auto"/>
      <w:ind w:firstLine="480"/>
      <w:jc w:val="left"/>
    </w:pPr>
    <w:rPr>
      <w:rFonts w:ascii="宋体" w:hAnsi="宋体" w:cs="宋体"/>
      <w:color w:val="FF00FF"/>
      <w:sz w:val="24"/>
      <w:szCs w:val="20"/>
    </w:rPr>
  </w:style>
  <w:style w:type="paragraph" w:customStyle="1" w:styleId="2308">
    <w:name w:val="白洋淀前言"/>
    <w:basedOn w:val="1"/>
    <w:next w:val="8"/>
    <w:qFormat/>
    <w:uiPriority w:val="0"/>
    <w:pPr>
      <w:pBdr>
        <w:top w:val="single" w:color="auto" w:sz="4" w:space="1"/>
      </w:pBdr>
      <w:spacing w:line="360" w:lineRule="auto"/>
      <w:ind w:firstLine="200" w:firstLineChars="200"/>
    </w:pPr>
    <w:rPr>
      <w:rFonts w:cs="宋体"/>
    </w:rPr>
  </w:style>
  <w:style w:type="paragraph" w:customStyle="1" w:styleId="2309">
    <w:name w:val="项目编号文字"/>
    <w:basedOn w:val="1"/>
    <w:next w:val="22"/>
    <w:qFormat/>
    <w:uiPriority w:val="0"/>
    <w:pPr>
      <w:spacing w:before="120" w:after="120" w:line="360" w:lineRule="auto"/>
      <w:ind w:left="1077"/>
    </w:pPr>
  </w:style>
  <w:style w:type="paragraph" w:customStyle="1" w:styleId="2310">
    <w:name w:val="表内5中13"/>
    <w:basedOn w:val="1"/>
    <w:qFormat/>
    <w:uiPriority w:val="0"/>
    <w:pPr>
      <w:adjustRightInd w:val="0"/>
      <w:snapToGrid w:val="0"/>
      <w:jc w:val="center"/>
    </w:pPr>
    <w:rPr>
      <w:rFonts w:hAnsi="宋体" w:cs="Arial"/>
      <w:snapToGrid w:val="0"/>
      <w:color w:val="000000"/>
      <w:szCs w:val="21"/>
    </w:rPr>
  </w:style>
  <w:style w:type="paragraph" w:customStyle="1" w:styleId="2311">
    <w:name w:val="表内文字小3122"/>
    <w:basedOn w:val="1"/>
    <w:qFormat/>
    <w:uiPriority w:val="0"/>
    <w:pPr>
      <w:adjustRightInd w:val="0"/>
      <w:snapToGrid w:val="0"/>
      <w:jc w:val="center"/>
    </w:pPr>
    <w:rPr>
      <w:rFonts w:hAnsi="Times" w:cs="宋体"/>
      <w:bCs/>
      <w:color w:val="003366"/>
    </w:rPr>
  </w:style>
  <w:style w:type="paragraph" w:customStyle="1" w:styleId="2312">
    <w:name w:val="表文字5112"/>
    <w:basedOn w:val="1"/>
    <w:qFormat/>
    <w:uiPriority w:val="0"/>
    <w:pPr>
      <w:adjustRightInd w:val="0"/>
      <w:jc w:val="left"/>
      <w:textAlignment w:val="baseline"/>
    </w:pPr>
  </w:style>
  <w:style w:type="paragraph" w:customStyle="1" w:styleId="2313">
    <w:name w:val="bg"/>
    <w:basedOn w:val="1"/>
    <w:qFormat/>
    <w:uiPriority w:val="0"/>
    <w:pPr>
      <w:widowControl/>
    </w:pPr>
  </w:style>
  <w:style w:type="paragraph" w:customStyle="1" w:styleId="2314">
    <w:name w:val="正文2111"/>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315">
    <w:name w:val="表题1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316">
    <w:name w:val="样式 样式 宋体 + 首行缩进:  2 字符1"/>
    <w:basedOn w:val="1"/>
    <w:qFormat/>
    <w:uiPriority w:val="0"/>
    <w:pPr>
      <w:spacing w:line="360" w:lineRule="auto"/>
      <w:ind w:firstLine="480" w:firstLineChars="200"/>
      <w:jc w:val="left"/>
    </w:pPr>
    <w:rPr>
      <w:rFonts w:cs="宋体"/>
    </w:rPr>
  </w:style>
  <w:style w:type="paragraph" w:customStyle="1" w:styleId="2317">
    <w:name w:val="中表格"/>
    <w:basedOn w:val="1"/>
    <w:qFormat/>
    <w:uiPriority w:val="0"/>
    <w:pPr>
      <w:spacing w:line="420" w:lineRule="exact"/>
      <w:jc w:val="center"/>
    </w:pPr>
    <w:rPr>
      <w:rFonts w:hAnsi="Arial"/>
    </w:rPr>
  </w:style>
  <w:style w:type="paragraph" w:customStyle="1" w:styleId="2318">
    <w:name w:val="默认段落字体 Para Char113"/>
    <w:basedOn w:val="1"/>
    <w:next w:val="1"/>
    <w:qFormat/>
    <w:uiPriority w:val="0"/>
    <w:pPr>
      <w:spacing w:line="480" w:lineRule="exact"/>
      <w:ind w:firstLine="200" w:firstLineChars="200"/>
      <w:jc w:val="left"/>
    </w:pPr>
    <w:rPr>
      <w:rFonts w:hAnsi="宋体" w:eastAsia="汉鼎简书宋" w:cs="宋体"/>
      <w:sz w:val="28"/>
    </w:rPr>
  </w:style>
  <w:style w:type="paragraph" w:customStyle="1" w:styleId="2319">
    <w:name w:val="表内文字小8"/>
    <w:basedOn w:val="1"/>
    <w:qFormat/>
    <w:uiPriority w:val="0"/>
    <w:pPr>
      <w:adjustRightInd w:val="0"/>
      <w:snapToGrid w:val="0"/>
      <w:jc w:val="center"/>
    </w:pPr>
    <w:rPr>
      <w:rFonts w:hAnsi="Times" w:cs="宋体"/>
    </w:rPr>
  </w:style>
  <w:style w:type="paragraph" w:customStyle="1" w:styleId="2320">
    <w:name w:val="表文字514"/>
    <w:basedOn w:val="1"/>
    <w:qFormat/>
    <w:uiPriority w:val="0"/>
    <w:pPr>
      <w:adjustRightInd w:val="0"/>
      <w:jc w:val="left"/>
      <w:textAlignment w:val="baseline"/>
    </w:pPr>
  </w:style>
  <w:style w:type="paragraph" w:customStyle="1" w:styleId="2321">
    <w:name w:val="表内宋511111"/>
    <w:basedOn w:val="81"/>
    <w:qFormat/>
    <w:uiPriority w:val="0"/>
    <w:pPr>
      <w:widowControl/>
      <w:adjustRightInd w:val="0"/>
      <w:snapToGrid w:val="0"/>
    </w:pPr>
    <w:rPr>
      <w:rFonts w:ascii="宋体" w:hAnsi="宋体" w:cs="宋体"/>
      <w:color w:val="000000"/>
      <w:kern w:val="0"/>
      <w:sz w:val="21"/>
    </w:rPr>
  </w:style>
  <w:style w:type="paragraph" w:customStyle="1" w:styleId="2322">
    <w:name w:val="23-47表名2"/>
    <w:basedOn w:val="1"/>
    <w:qFormat/>
    <w:uiPriority w:val="0"/>
    <w:pPr>
      <w:spacing w:afterLines="50" w:line="440" w:lineRule="exact"/>
      <w:jc w:val="center"/>
    </w:pPr>
    <w:rPr>
      <w:rFonts w:hAnsi="宋体"/>
      <w:b/>
    </w:rPr>
  </w:style>
  <w:style w:type="paragraph" w:customStyle="1" w:styleId="2323">
    <w:name w:val="表7"/>
    <w:basedOn w:val="1"/>
    <w:qFormat/>
    <w:uiPriority w:val="0"/>
    <w:pPr>
      <w:adjustRightInd w:val="0"/>
      <w:snapToGrid w:val="0"/>
      <w:jc w:val="center"/>
    </w:pPr>
    <w:rPr>
      <w:rFonts w:eastAsia="仿宋_GB2312"/>
    </w:rPr>
  </w:style>
  <w:style w:type="paragraph" w:customStyle="1" w:styleId="2324">
    <w:name w:val="一二三四五六"/>
    <w:basedOn w:val="1"/>
    <w:next w:val="1"/>
    <w:qFormat/>
    <w:uiPriority w:val="0"/>
    <w:pPr>
      <w:spacing w:before="100" w:after="100" w:line="480" w:lineRule="exact"/>
      <w:ind w:firstLine="200" w:firstLineChars="200"/>
      <w:jc w:val="left"/>
    </w:pPr>
    <w:rPr>
      <w:rFonts w:eastAsia="黑体"/>
      <w:sz w:val="28"/>
      <w:szCs w:val="28"/>
    </w:rPr>
  </w:style>
  <w:style w:type="paragraph" w:customStyle="1" w:styleId="2325">
    <w:name w:val="报告正文 Char"/>
    <w:basedOn w:val="1"/>
    <w:qFormat/>
    <w:uiPriority w:val="0"/>
    <w:pPr>
      <w:adjustRightInd w:val="0"/>
      <w:snapToGrid w:val="0"/>
      <w:spacing w:line="300" w:lineRule="auto"/>
    </w:pPr>
    <w:rPr>
      <w:sz w:val="28"/>
    </w:rPr>
  </w:style>
  <w:style w:type="paragraph" w:customStyle="1" w:styleId="2326">
    <w:name w:val="表文字542"/>
    <w:basedOn w:val="1"/>
    <w:qFormat/>
    <w:uiPriority w:val="0"/>
    <w:pPr>
      <w:adjustRightInd w:val="0"/>
      <w:jc w:val="left"/>
      <w:textAlignment w:val="baseline"/>
    </w:pPr>
  </w:style>
  <w:style w:type="paragraph" w:customStyle="1" w:styleId="2327">
    <w:name w:val="表内文字小3132"/>
    <w:basedOn w:val="1"/>
    <w:qFormat/>
    <w:uiPriority w:val="0"/>
    <w:pPr>
      <w:adjustRightInd w:val="0"/>
      <w:snapToGrid w:val="0"/>
      <w:jc w:val="center"/>
    </w:pPr>
    <w:rPr>
      <w:rFonts w:hAnsi="Times" w:cs="宋体"/>
      <w:bCs/>
      <w:color w:val="003366"/>
    </w:rPr>
  </w:style>
  <w:style w:type="paragraph" w:customStyle="1" w:styleId="2328">
    <w:name w:val="Char Char Char1 Char Char Char1 Char"/>
    <w:basedOn w:val="1"/>
    <w:qFormat/>
    <w:uiPriority w:val="0"/>
    <w:pPr>
      <w:spacing w:line="240" w:lineRule="exact"/>
      <w:ind w:firstLine="200" w:firstLineChars="200"/>
    </w:pPr>
    <w:rPr>
      <w:sz w:val="28"/>
      <w:szCs w:val="28"/>
    </w:rPr>
  </w:style>
  <w:style w:type="paragraph" w:customStyle="1" w:styleId="2329">
    <w:name w:val="表内文字小21213"/>
    <w:basedOn w:val="1"/>
    <w:qFormat/>
    <w:uiPriority w:val="0"/>
    <w:pPr>
      <w:adjustRightInd w:val="0"/>
      <w:snapToGrid w:val="0"/>
      <w:jc w:val="center"/>
    </w:pPr>
    <w:rPr>
      <w:rFonts w:hAnsi="Times"/>
      <w:bCs/>
      <w:color w:val="000000"/>
    </w:rPr>
  </w:style>
  <w:style w:type="paragraph" w:customStyle="1" w:styleId="2330">
    <w:name w:val="表文字512"/>
    <w:basedOn w:val="1"/>
    <w:qFormat/>
    <w:uiPriority w:val="0"/>
    <w:pPr>
      <w:adjustRightInd w:val="0"/>
      <w:jc w:val="left"/>
      <w:textAlignment w:val="baseline"/>
    </w:pPr>
  </w:style>
  <w:style w:type="paragraph" w:customStyle="1" w:styleId="2331">
    <w:name w:val="样式 宋体 四号 左 行距: 固定值 25 磅"/>
    <w:basedOn w:val="1"/>
    <w:qFormat/>
    <w:uiPriority w:val="0"/>
    <w:pPr>
      <w:spacing w:line="500" w:lineRule="exact"/>
      <w:ind w:firstLine="200" w:firstLineChars="200"/>
      <w:jc w:val="left"/>
    </w:pPr>
    <w:rPr>
      <w:rFonts w:cs="宋体"/>
      <w:sz w:val="28"/>
    </w:rPr>
  </w:style>
  <w:style w:type="paragraph" w:customStyle="1" w:styleId="2332">
    <w:name w:val="默认段落字体 Para Char4"/>
    <w:basedOn w:val="1"/>
    <w:next w:val="1"/>
    <w:qFormat/>
    <w:uiPriority w:val="0"/>
    <w:pPr>
      <w:spacing w:line="480" w:lineRule="exact"/>
      <w:ind w:firstLine="200" w:firstLineChars="200"/>
      <w:jc w:val="left"/>
    </w:pPr>
    <w:rPr>
      <w:rFonts w:hAnsi="宋体" w:eastAsia="汉鼎简书宋" w:cs="宋体"/>
      <w:sz w:val="28"/>
    </w:rPr>
  </w:style>
  <w:style w:type="paragraph" w:customStyle="1" w:styleId="2333">
    <w:name w:val="表题16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334">
    <w:name w:val="Char22"/>
    <w:basedOn w:val="1"/>
    <w:qFormat/>
    <w:uiPriority w:val="0"/>
    <w:pPr>
      <w:adjustRightInd w:val="0"/>
      <w:snapToGrid w:val="0"/>
      <w:spacing w:beforeLines="50" w:line="360" w:lineRule="auto"/>
    </w:pPr>
    <w:rPr>
      <w:rFonts w:ascii="黑体" w:eastAsia="黑体"/>
      <w:sz w:val="32"/>
      <w:szCs w:val="32"/>
    </w:rPr>
  </w:style>
  <w:style w:type="paragraph" w:customStyle="1" w:styleId="2335">
    <w:name w:val="标题一"/>
    <w:basedOn w:val="4"/>
    <w:qFormat/>
    <w:uiPriority w:val="0"/>
    <w:pPr>
      <w:keepNext w:val="0"/>
      <w:tabs>
        <w:tab w:val="left" w:pos="2040"/>
      </w:tabs>
      <w:spacing w:beforeLines="240" w:afterLines="160" w:line="360" w:lineRule="auto"/>
      <w:ind w:left="2040" w:leftChars="800" w:hanging="360" w:hangingChars="200"/>
      <w:jc w:val="center"/>
    </w:pPr>
  </w:style>
  <w:style w:type="paragraph" w:customStyle="1" w:styleId="2336">
    <w:name w:val="Char811"/>
    <w:basedOn w:val="1"/>
    <w:qFormat/>
    <w:uiPriority w:val="0"/>
    <w:pPr>
      <w:ind w:left="-48"/>
    </w:pPr>
  </w:style>
  <w:style w:type="paragraph" w:customStyle="1" w:styleId="2337">
    <w:name w:val="表中文字7"/>
    <w:basedOn w:val="1"/>
    <w:qFormat/>
    <w:uiPriority w:val="0"/>
    <w:pPr>
      <w:widowControl/>
      <w:spacing w:line="240" w:lineRule="atLeast"/>
      <w:ind w:left="-24" w:leftChars="-10" w:right="-48" w:rightChars="-20"/>
      <w:jc w:val="center"/>
    </w:pPr>
    <w:rPr>
      <w:szCs w:val="21"/>
    </w:rPr>
  </w:style>
  <w:style w:type="paragraph" w:customStyle="1" w:styleId="2338">
    <w:name w:val="样式 标题 2第一章 标题 2Heading 2 HiddenHeading 2 CCBSheading 2H2h2...2"/>
    <w:basedOn w:val="5"/>
    <w:qFormat/>
    <w:uiPriority w:val="0"/>
    <w:pPr>
      <w:numPr>
        <w:ilvl w:val="0"/>
        <w:numId w:val="0"/>
      </w:numPr>
      <w:tabs>
        <w:tab w:val="left" w:pos="233"/>
        <w:tab w:val="clear" w:pos="0"/>
        <w:tab w:val="clear" w:pos="426"/>
      </w:tabs>
      <w:spacing w:beforeLines="0" w:afterLines="0"/>
      <w:ind w:left="233"/>
    </w:pPr>
    <w:rPr>
      <w:bCs/>
      <w:color w:val="auto"/>
      <w:spacing w:val="0"/>
      <w:kern w:val="2"/>
      <w:sz w:val="28"/>
      <w:szCs w:val="32"/>
    </w:rPr>
  </w:style>
  <w:style w:type="paragraph" w:customStyle="1" w:styleId="2339">
    <w:name w:val="正文修改33"/>
    <w:basedOn w:val="1264"/>
    <w:qFormat/>
    <w:uiPriority w:val="0"/>
    <w:rPr>
      <w:rFonts w:hAnsi="宋体"/>
      <w:color w:val="000000"/>
    </w:rPr>
  </w:style>
  <w:style w:type="paragraph" w:customStyle="1" w:styleId="2340">
    <w:name w:val="表内54132"/>
    <w:basedOn w:val="1"/>
    <w:qFormat/>
    <w:uiPriority w:val="0"/>
    <w:pPr>
      <w:adjustRightInd w:val="0"/>
      <w:snapToGrid w:val="0"/>
      <w:spacing w:line="300" w:lineRule="auto"/>
      <w:jc w:val="center"/>
    </w:pPr>
    <w:rPr>
      <w:rFonts w:hAnsi="宋体" w:cs="宋体"/>
    </w:rPr>
  </w:style>
  <w:style w:type="paragraph" w:customStyle="1" w:styleId="2341">
    <w:name w:val="图题23"/>
    <w:basedOn w:val="239"/>
    <w:next w:val="239"/>
    <w:qFormat/>
    <w:uiPriority w:val="0"/>
    <w:pPr>
      <w:ind w:firstLine="0"/>
      <w:jc w:val="center"/>
    </w:pPr>
    <w:rPr>
      <w:rFonts w:ascii="黑体" w:hAnsi="宋体" w:eastAsia="黑体"/>
      <w:b/>
      <w:bCs/>
    </w:rPr>
  </w:style>
  <w:style w:type="paragraph" w:customStyle="1" w:styleId="2342">
    <w:name w:val="样式 表格文字 + (西文) 宋体 (中文) 华文仿宋 小四 黑色"/>
    <w:basedOn w:val="162"/>
    <w:qFormat/>
    <w:uiPriority w:val="0"/>
    <w:pPr>
      <w:tabs>
        <w:tab w:val="clear" w:pos="4153"/>
        <w:tab w:val="clear" w:pos="8306"/>
      </w:tabs>
      <w:adjustRightInd/>
      <w:snapToGrid/>
      <w:spacing w:line="400" w:lineRule="exact"/>
    </w:pPr>
    <w:rPr>
      <w:rFonts w:ascii="宋体" w:hAnsi="宋体" w:eastAsia="宋体" w:cs="宋体"/>
      <w:color w:val="000000"/>
      <w:kern w:val="0"/>
      <w:szCs w:val="20"/>
    </w:rPr>
  </w:style>
  <w:style w:type="paragraph" w:customStyle="1" w:styleId="2343">
    <w:name w:val="图题512"/>
    <w:basedOn w:val="239"/>
    <w:next w:val="239"/>
    <w:qFormat/>
    <w:uiPriority w:val="0"/>
    <w:pPr>
      <w:ind w:firstLine="0"/>
      <w:jc w:val="center"/>
    </w:pPr>
    <w:rPr>
      <w:rFonts w:ascii="黑体" w:hAnsi="宋体" w:eastAsia="黑体"/>
      <w:b/>
      <w:bCs/>
    </w:rPr>
  </w:style>
  <w:style w:type="paragraph" w:customStyle="1" w:styleId="2344">
    <w:name w:val="c_"/>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345">
    <w:name w:val="标题 二"/>
    <w:basedOn w:val="5"/>
    <w:qFormat/>
    <w:uiPriority w:val="0"/>
    <w:pPr>
      <w:numPr>
        <w:ilvl w:val="0"/>
        <w:numId w:val="0"/>
      </w:numPr>
      <w:tabs>
        <w:tab w:val="left" w:pos="233"/>
        <w:tab w:val="left" w:pos="315"/>
        <w:tab w:val="clear" w:pos="0"/>
        <w:tab w:val="clear" w:pos="426"/>
      </w:tabs>
      <w:spacing w:beforeLines="0" w:afterLines="0" w:line="520" w:lineRule="exact"/>
      <w:ind w:left="233"/>
    </w:pPr>
    <w:rPr>
      <w:rFonts w:hAnsi="华文中宋" w:eastAsia="华文中宋" w:cs="宋体"/>
      <w:bCs/>
      <w:color w:val="auto"/>
      <w:spacing w:val="0"/>
      <w:kern w:val="2"/>
      <w:sz w:val="28"/>
      <w:szCs w:val="28"/>
    </w:rPr>
  </w:style>
  <w:style w:type="paragraph" w:customStyle="1" w:styleId="2346">
    <w:name w:val="表格内字体712"/>
    <w:basedOn w:val="239"/>
    <w:next w:val="239"/>
    <w:qFormat/>
    <w:uiPriority w:val="0"/>
    <w:pPr>
      <w:spacing w:line="240" w:lineRule="auto"/>
      <w:ind w:firstLine="0"/>
      <w:jc w:val="center"/>
    </w:pPr>
    <w:rPr>
      <w:rFonts w:hAnsi="宋体"/>
      <w:sz w:val="21"/>
    </w:rPr>
  </w:style>
  <w:style w:type="paragraph" w:customStyle="1" w:styleId="2347">
    <w:name w:val="样式 标题3 + 小四"/>
    <w:basedOn w:val="6"/>
    <w:qFormat/>
    <w:uiPriority w:val="0"/>
    <w:pPr>
      <w:keepNext w:val="0"/>
      <w:keepLines w:val="0"/>
      <w:tabs>
        <w:tab w:val="left" w:pos="233"/>
        <w:tab w:val="left" w:pos="1740"/>
      </w:tabs>
      <w:spacing w:before="0" w:after="0" w:line="480" w:lineRule="auto"/>
      <w:ind w:left="1740" w:hanging="420"/>
      <w:jc w:val="left"/>
      <w:outlineLvl w:val="9"/>
    </w:pPr>
    <w:rPr>
      <w:rFonts w:ascii="Arial" w:hAnsi="Arial" w:eastAsia="仿宋_GB2312" w:cs="Arial"/>
      <w:sz w:val="28"/>
      <w:szCs w:val="24"/>
    </w:rPr>
  </w:style>
  <w:style w:type="paragraph" w:customStyle="1" w:styleId="2348">
    <w:name w:val="燕山正文121"/>
    <w:basedOn w:val="1"/>
    <w:qFormat/>
    <w:uiPriority w:val="0"/>
    <w:pPr>
      <w:tabs>
        <w:tab w:val="left" w:pos="4680"/>
      </w:tabs>
      <w:adjustRightInd w:val="0"/>
      <w:snapToGrid w:val="0"/>
      <w:spacing w:line="480" w:lineRule="exact"/>
    </w:pPr>
    <w:rPr>
      <w:rFonts w:cs="宋体"/>
    </w:rPr>
  </w:style>
  <w:style w:type="paragraph" w:customStyle="1" w:styleId="2349">
    <w:name w:val="Char Char2 Char Char Char Char113"/>
    <w:basedOn w:val="1"/>
    <w:qFormat/>
    <w:uiPriority w:val="0"/>
  </w:style>
  <w:style w:type="paragraph" w:customStyle="1" w:styleId="2350">
    <w:name w:val="样式21"/>
    <w:basedOn w:val="1"/>
    <w:qFormat/>
    <w:uiPriority w:val="0"/>
    <w:pPr>
      <w:adjustRightInd w:val="0"/>
      <w:spacing w:line="360" w:lineRule="auto"/>
      <w:jc w:val="center"/>
      <w:textAlignment w:val="baseline"/>
      <w:outlineLvl w:val="0"/>
    </w:pPr>
  </w:style>
  <w:style w:type="paragraph" w:customStyle="1" w:styleId="2351">
    <w:name w:val="标题415"/>
    <w:basedOn w:val="7"/>
    <w:next w:val="1"/>
    <w:qFormat/>
    <w:uiPriority w:val="0"/>
    <w:pPr>
      <w:spacing w:before="160" w:after="170" w:line="360" w:lineRule="auto"/>
    </w:pPr>
    <w:rPr>
      <w:rFonts w:ascii="黑体" w:eastAsia="黑体"/>
      <w:b/>
      <w:kern w:val="0"/>
      <w:sz w:val="24"/>
    </w:rPr>
  </w:style>
  <w:style w:type="paragraph" w:customStyle="1" w:styleId="2352">
    <w:name w:val="默认段落字体 Para Char12"/>
    <w:basedOn w:val="1"/>
    <w:next w:val="1"/>
    <w:qFormat/>
    <w:uiPriority w:val="0"/>
    <w:pPr>
      <w:spacing w:line="480" w:lineRule="exact"/>
      <w:ind w:firstLine="200" w:firstLineChars="200"/>
      <w:jc w:val="left"/>
    </w:pPr>
    <w:rPr>
      <w:rFonts w:hAnsi="宋体" w:eastAsia="汉鼎简书宋" w:cs="宋体"/>
      <w:sz w:val="28"/>
    </w:rPr>
  </w:style>
  <w:style w:type="paragraph" w:customStyle="1" w:styleId="2353">
    <w:name w:val="正文格式83"/>
    <w:basedOn w:val="1"/>
    <w:qFormat/>
    <w:uiPriority w:val="0"/>
    <w:pPr>
      <w:spacing w:line="360" w:lineRule="auto"/>
      <w:ind w:firstLine="482"/>
    </w:pPr>
    <w:rPr>
      <w:rFonts w:hAnsi="宋体"/>
    </w:rPr>
  </w:style>
  <w:style w:type="paragraph" w:customStyle="1" w:styleId="2354">
    <w:name w:val="标准3"/>
    <w:basedOn w:val="1"/>
    <w:qFormat/>
    <w:uiPriority w:val="0"/>
    <w:pPr>
      <w:adjustRightInd w:val="0"/>
      <w:spacing w:before="120" w:line="336" w:lineRule="auto"/>
      <w:jc w:val="center"/>
      <w:textAlignment w:val="baseline"/>
    </w:pPr>
    <w:rPr>
      <w:rFonts w:ascii="黑体" w:eastAsia="黑体"/>
    </w:rPr>
  </w:style>
  <w:style w:type="paragraph" w:customStyle="1" w:styleId="2355">
    <w:name w:val="正文格式82"/>
    <w:basedOn w:val="1"/>
    <w:qFormat/>
    <w:uiPriority w:val="0"/>
    <w:pPr>
      <w:spacing w:line="360" w:lineRule="auto"/>
      <w:ind w:firstLine="482"/>
    </w:pPr>
    <w:rPr>
      <w:rFonts w:hAnsi="宋体"/>
    </w:rPr>
  </w:style>
  <w:style w:type="paragraph" w:customStyle="1" w:styleId="2356">
    <w:name w:val="数据来源"/>
    <w:basedOn w:val="1"/>
    <w:qFormat/>
    <w:uiPriority w:val="0"/>
    <w:pPr>
      <w:snapToGrid w:val="0"/>
      <w:spacing w:line="280" w:lineRule="exact"/>
    </w:pPr>
    <w:rPr>
      <w:rFonts w:hAnsi="宋体" w:eastAsia="楷体_GB2312" w:cs="宋体"/>
    </w:rPr>
  </w:style>
  <w:style w:type="paragraph" w:customStyle="1" w:styleId="2357">
    <w:name w:val="23-47表名"/>
    <w:basedOn w:val="1"/>
    <w:qFormat/>
    <w:uiPriority w:val="0"/>
    <w:pPr>
      <w:spacing w:afterLines="50" w:line="440" w:lineRule="exact"/>
      <w:jc w:val="center"/>
    </w:pPr>
    <w:rPr>
      <w:rFonts w:hAnsi="宋体"/>
      <w:b/>
    </w:rPr>
  </w:style>
  <w:style w:type="paragraph" w:customStyle="1" w:styleId="2358">
    <w:name w:val="正文 0.85 厘米"/>
    <w:basedOn w:val="1"/>
    <w:qFormat/>
    <w:uiPriority w:val="0"/>
    <w:pPr>
      <w:ind w:firstLine="480"/>
      <w:outlineLvl w:val="0"/>
    </w:pPr>
    <w:rPr>
      <w:rFonts w:hAnsi="宋体"/>
    </w:rPr>
  </w:style>
  <w:style w:type="paragraph" w:customStyle="1" w:styleId="2359">
    <w:name w:val="已有表格"/>
    <w:basedOn w:val="1"/>
    <w:qFormat/>
    <w:uiPriority w:val="0"/>
    <w:pPr>
      <w:adjustRightInd w:val="0"/>
      <w:spacing w:before="40" w:after="40"/>
      <w:jc w:val="center"/>
      <w:textAlignment w:val="baseline"/>
    </w:pPr>
    <w:rPr>
      <w:b/>
    </w:rPr>
  </w:style>
  <w:style w:type="paragraph" w:customStyle="1" w:styleId="2360">
    <w:name w:val="Char Char2 Char Char Char Char31"/>
    <w:basedOn w:val="1"/>
    <w:qFormat/>
    <w:uiPriority w:val="0"/>
  </w:style>
  <w:style w:type="paragraph" w:customStyle="1" w:styleId="2361">
    <w:name w:val="前沿"/>
    <w:basedOn w:val="84"/>
    <w:qFormat/>
    <w:uiPriority w:val="0"/>
    <w:pPr>
      <w:pBdr>
        <w:top w:val="single" w:color="auto" w:sz="4" w:space="1"/>
      </w:pBdr>
      <w:adjustRightInd w:val="0"/>
      <w:spacing w:before="360" w:after="240" w:line="360" w:lineRule="atLeast"/>
      <w:textAlignment w:val="baseline"/>
    </w:pPr>
    <w:rPr>
      <w:rFonts w:hAnsi="Times New Roman" w:cs="宋体"/>
      <w:b w:val="0"/>
      <w:bCs w:val="0"/>
      <w:kern w:val="0"/>
      <w:sz w:val="30"/>
      <w:szCs w:val="30"/>
    </w:rPr>
  </w:style>
  <w:style w:type="paragraph" w:customStyle="1" w:styleId="2362">
    <w:name w:val="样式 样式4 + 段后: 0.5 行"/>
    <w:basedOn w:val="1"/>
    <w:qFormat/>
    <w:uiPriority w:val="0"/>
    <w:pPr>
      <w:keepNext/>
      <w:keepLines/>
      <w:overflowPunct w:val="0"/>
      <w:topLinePunct/>
      <w:autoSpaceDE w:val="0"/>
      <w:adjustRightInd w:val="0"/>
      <w:snapToGrid w:val="0"/>
      <w:spacing w:before="120" w:afterLines="50" w:line="500" w:lineRule="exact"/>
      <w:ind w:firstLine="560" w:firstLineChars="200"/>
      <w:jc w:val="left"/>
      <w:outlineLvl w:val="3"/>
    </w:pPr>
    <w:rPr>
      <w:rFonts w:ascii="Arial" w:hAnsi="Arial"/>
      <w:color w:val="000000"/>
      <w:spacing w:val="20"/>
    </w:rPr>
  </w:style>
  <w:style w:type="paragraph" w:customStyle="1" w:styleId="2363">
    <w:name w:val="Char Char Char Char1 Char Char Char5"/>
    <w:basedOn w:val="1"/>
    <w:qFormat/>
    <w:uiPriority w:val="0"/>
    <w:pPr>
      <w:widowControl/>
      <w:spacing w:after="160" w:line="240" w:lineRule="exact"/>
      <w:jc w:val="left"/>
    </w:pPr>
    <w:rPr>
      <w:rFonts w:ascii="Verdana" w:hAnsi="Verdana"/>
      <w:sz w:val="20"/>
      <w:lang w:eastAsia="en-US"/>
    </w:rPr>
  </w:style>
  <w:style w:type="paragraph" w:customStyle="1" w:styleId="2364">
    <w:name w:val="燕山正文412"/>
    <w:basedOn w:val="1"/>
    <w:qFormat/>
    <w:uiPriority w:val="0"/>
    <w:pPr>
      <w:tabs>
        <w:tab w:val="left" w:pos="4680"/>
      </w:tabs>
      <w:adjustRightInd w:val="0"/>
      <w:snapToGrid w:val="0"/>
      <w:spacing w:line="480" w:lineRule="exact"/>
    </w:pPr>
    <w:rPr>
      <w:rFonts w:cs="宋体"/>
    </w:rPr>
  </w:style>
  <w:style w:type="paragraph" w:customStyle="1" w:styleId="2365">
    <w:name w:val="附件311"/>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366">
    <w:name w:val="Char Char Char Char1 Char Char Char Char Char Char Char"/>
    <w:basedOn w:val="1"/>
    <w:qFormat/>
    <w:uiPriority w:val="0"/>
    <w:pPr>
      <w:tabs>
        <w:tab w:val="left" w:pos="360"/>
      </w:tabs>
      <w:snapToGrid w:val="0"/>
      <w:spacing w:line="360" w:lineRule="auto"/>
    </w:pPr>
    <w:rPr>
      <w:rFonts w:eastAsia="仿宋_GB2312" w:cs="宋体"/>
    </w:rPr>
  </w:style>
  <w:style w:type="paragraph" w:customStyle="1" w:styleId="2367">
    <w:name w:val="正文条目a"/>
    <w:basedOn w:val="1"/>
    <w:qFormat/>
    <w:uiPriority w:val="0"/>
    <w:pPr>
      <w:ind w:left="400" w:leftChars="300" w:hanging="100" w:hangingChars="100"/>
    </w:pPr>
  </w:style>
  <w:style w:type="paragraph" w:customStyle="1" w:styleId="2368">
    <w:name w:val="样式 标题 4无效格式无效格式1河石管道4H4H41小小节河石管道41H42H411小小节1河石管道42...113"/>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369">
    <w:name w:val="表格内字体713"/>
    <w:basedOn w:val="239"/>
    <w:next w:val="239"/>
    <w:qFormat/>
    <w:uiPriority w:val="0"/>
    <w:pPr>
      <w:spacing w:line="240" w:lineRule="auto"/>
      <w:ind w:firstLine="0"/>
      <w:jc w:val="center"/>
    </w:pPr>
    <w:rPr>
      <w:rFonts w:hAnsi="宋体"/>
      <w:sz w:val="21"/>
    </w:rPr>
  </w:style>
  <w:style w:type="paragraph" w:customStyle="1" w:styleId="2370">
    <w:name w:val="Char Char2 Char Char Char Char33"/>
    <w:basedOn w:val="1"/>
    <w:qFormat/>
    <w:uiPriority w:val="0"/>
  </w:style>
  <w:style w:type="paragraph" w:customStyle="1" w:styleId="2371">
    <w:name w:val="OIC1 Company Name"/>
    <w:basedOn w:val="1"/>
    <w:qFormat/>
    <w:uiPriority w:val="0"/>
    <w:pPr>
      <w:jc w:val="center"/>
    </w:pPr>
    <w:rPr>
      <w:rFonts w:ascii="Arial Black" w:hAnsi="Arial Black"/>
      <w:color w:val="000080"/>
      <w:spacing w:val="40"/>
      <w:sz w:val="28"/>
    </w:rPr>
  </w:style>
  <w:style w:type="paragraph" w:customStyle="1" w:styleId="2372">
    <w:name w:val="文档卷标"/>
    <w:basedOn w:val="2373"/>
    <w:qFormat/>
    <w:uiPriority w:val="0"/>
    <w:pPr>
      <w:spacing w:after="360"/>
    </w:pPr>
    <w:rPr>
      <w:rFonts w:ascii="Times New Roman" w:hAnsi="Times New Roman"/>
    </w:rPr>
  </w:style>
  <w:style w:type="paragraph" w:customStyle="1" w:styleId="2373">
    <w:name w:val="基准篇头"/>
    <w:basedOn w:val="1"/>
    <w:next w:val="35"/>
    <w:qFormat/>
    <w:uiPriority w:val="0"/>
    <w:pPr>
      <w:keepNext/>
      <w:widowControl/>
      <w:overflowPunct w:val="0"/>
      <w:autoSpaceDE w:val="0"/>
      <w:autoSpaceDN w:val="0"/>
      <w:adjustRightInd w:val="0"/>
      <w:spacing w:before="240" w:after="120"/>
      <w:jc w:val="left"/>
      <w:textAlignment w:val="baseline"/>
    </w:pPr>
    <w:rPr>
      <w:rFonts w:ascii="Arial" w:hAnsi="Arial"/>
      <w:b/>
      <w:kern w:val="28"/>
      <w:sz w:val="36"/>
    </w:rPr>
  </w:style>
  <w:style w:type="paragraph" w:customStyle="1" w:styleId="2374">
    <w:name w:val="批注主题 Char Char"/>
    <w:basedOn w:val="29"/>
    <w:next w:val="29"/>
    <w:qFormat/>
    <w:uiPriority w:val="0"/>
    <w:pPr>
      <w:adjustRightInd/>
      <w:spacing w:line="240" w:lineRule="auto"/>
      <w:textAlignment w:val="auto"/>
    </w:pPr>
    <w:rPr>
      <w:rFonts w:ascii="仿宋_GB2312" w:hAnsi="宋体" w:eastAsia="仿宋_GB2312"/>
      <w:b/>
      <w:kern w:val="2"/>
      <w:sz w:val="28"/>
      <w:szCs w:val="28"/>
    </w:rPr>
  </w:style>
  <w:style w:type="paragraph" w:customStyle="1" w:styleId="2375">
    <w:name w:val="燕山正文11313"/>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2376">
    <w:name w:val="正文格式＝613"/>
    <w:basedOn w:val="239"/>
    <w:next w:val="239"/>
    <w:qFormat/>
    <w:uiPriority w:val="0"/>
    <w:rPr>
      <w:rFonts w:hAnsi="宋体"/>
    </w:rPr>
  </w:style>
  <w:style w:type="paragraph" w:customStyle="1" w:styleId="2377">
    <w:name w:val="Char713"/>
    <w:basedOn w:val="1"/>
    <w:qFormat/>
    <w:uiPriority w:val="0"/>
    <w:pPr>
      <w:ind w:left="-48"/>
    </w:pPr>
  </w:style>
  <w:style w:type="paragraph" w:customStyle="1" w:styleId="2378">
    <w:name w:val="表题3134"/>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79">
    <w:name w:val="表中文字51"/>
    <w:basedOn w:val="1"/>
    <w:qFormat/>
    <w:uiPriority w:val="0"/>
    <w:pPr>
      <w:widowControl/>
      <w:spacing w:line="240" w:lineRule="atLeast"/>
      <w:ind w:left="-24" w:leftChars="-10" w:right="-48" w:rightChars="-20"/>
      <w:jc w:val="center"/>
    </w:pPr>
    <w:rPr>
      <w:szCs w:val="21"/>
    </w:rPr>
  </w:style>
  <w:style w:type="paragraph" w:customStyle="1" w:styleId="2380">
    <w:name w:val="Char Char Char Char Char Char Char19"/>
    <w:basedOn w:val="1"/>
    <w:qFormat/>
    <w:uiPriority w:val="0"/>
  </w:style>
  <w:style w:type="paragraph" w:customStyle="1" w:styleId="2381">
    <w:name w:val="正文修改14"/>
    <w:basedOn w:val="1264"/>
    <w:qFormat/>
    <w:uiPriority w:val="0"/>
    <w:rPr>
      <w:rFonts w:hAnsi="宋体"/>
      <w:color w:val="000000"/>
    </w:rPr>
  </w:style>
  <w:style w:type="paragraph" w:customStyle="1" w:styleId="2382">
    <w:name w:val="Char316"/>
    <w:basedOn w:val="1"/>
    <w:qFormat/>
    <w:uiPriority w:val="0"/>
    <w:pPr>
      <w:ind w:left="-48"/>
    </w:pPr>
  </w:style>
  <w:style w:type="paragraph" w:customStyle="1" w:styleId="2383">
    <w:name w:val="标题4312"/>
    <w:basedOn w:val="1"/>
    <w:qFormat/>
    <w:uiPriority w:val="0"/>
    <w:pPr>
      <w:adjustRightInd w:val="0"/>
      <w:snapToGrid w:val="0"/>
      <w:spacing w:line="480" w:lineRule="exact"/>
      <w:jc w:val="center"/>
    </w:pPr>
    <w:rPr>
      <w:rFonts w:hAnsi="宋体" w:cs="宋体"/>
    </w:rPr>
  </w:style>
  <w:style w:type="paragraph" w:customStyle="1" w:styleId="2384">
    <w:name w:val="燕山正文1124"/>
    <w:basedOn w:val="1"/>
    <w:qFormat/>
    <w:uiPriority w:val="0"/>
    <w:pPr>
      <w:tabs>
        <w:tab w:val="left" w:pos="4680"/>
      </w:tabs>
      <w:adjustRightInd w:val="0"/>
      <w:snapToGrid w:val="0"/>
      <w:spacing w:line="480" w:lineRule="exact"/>
    </w:pPr>
    <w:rPr>
      <w:rFonts w:hAnsi="宋体" w:cs="宋体"/>
      <w:bCs/>
      <w:color w:val="000000"/>
    </w:rPr>
  </w:style>
  <w:style w:type="paragraph" w:customStyle="1" w:styleId="2385">
    <w:name w:val="Char119"/>
    <w:basedOn w:val="1"/>
    <w:qFormat/>
    <w:uiPriority w:val="0"/>
    <w:pPr>
      <w:ind w:left="-48"/>
    </w:pPr>
  </w:style>
  <w:style w:type="paragraph" w:customStyle="1" w:styleId="2386">
    <w:name w:val="Char37"/>
    <w:basedOn w:val="1"/>
    <w:qFormat/>
    <w:uiPriority w:val="0"/>
    <w:pPr>
      <w:ind w:left="-48"/>
    </w:pPr>
  </w:style>
  <w:style w:type="paragraph" w:customStyle="1" w:styleId="2387">
    <w:name w:val="c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88">
    <w:name w:val="图题注2"/>
    <w:basedOn w:val="23"/>
    <w:qFormat/>
    <w:uiPriority w:val="0"/>
    <w:pPr>
      <w:tabs>
        <w:tab w:val="clear" w:pos="7380"/>
      </w:tabs>
      <w:overflowPunct/>
      <w:spacing w:before="0" w:after="0" w:afterLines="0"/>
      <w:jc w:val="center"/>
    </w:pPr>
    <w:rPr>
      <w:rFonts w:ascii="黑体" w:cs="宋体"/>
      <w:b/>
      <w:bCs/>
      <w:sz w:val="24"/>
      <w:szCs w:val="24"/>
    </w:rPr>
  </w:style>
  <w:style w:type="paragraph" w:customStyle="1" w:styleId="2389">
    <w:name w:val="样式 样式 标题 4 + 段前: 0.5 行 段后: 0.5 行 + 段前: 0.5 行 段后: 0.5 行4"/>
    <w:basedOn w:val="2195"/>
    <w:qFormat/>
    <w:uiPriority w:val="0"/>
  </w:style>
  <w:style w:type="paragraph" w:customStyle="1" w:styleId="2390">
    <w:name w:val="样式 标题 4无效格式无效格式1河石管道4H4H41小小节河石管道41H42H411小小节1河石管道42..."/>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2391">
    <w:name w:val="表题14112"/>
    <w:basedOn w:val="1"/>
    <w:qFormat/>
    <w:uiPriority w:val="0"/>
    <w:pPr>
      <w:widowControl/>
      <w:adjustRightInd w:val="0"/>
      <w:snapToGrid w:val="0"/>
      <w:jc w:val="center"/>
    </w:pPr>
    <w:rPr>
      <w:rFonts w:ascii="黑体" w:hAnsi="宋体" w:eastAsia="黑体" w:cs="宋体"/>
    </w:rPr>
  </w:style>
  <w:style w:type="paragraph" w:customStyle="1" w:styleId="2392">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2393">
    <w:name w:val="样式 标题 1 + 段前: 0.5 行 段后: 0.5 行"/>
    <w:basedOn w:val="4"/>
    <w:qFormat/>
    <w:uiPriority w:val="0"/>
    <w:pPr>
      <w:tabs>
        <w:tab w:val="left" w:pos="378"/>
        <w:tab w:val="left" w:pos="2040"/>
      </w:tabs>
      <w:spacing w:beforeLines="50" w:afterLines="50" w:line="480" w:lineRule="auto"/>
      <w:ind w:left="425" w:leftChars="800" w:hanging="425" w:hangingChars="200"/>
      <w:jc w:val="center"/>
    </w:pPr>
    <w:rPr>
      <w:rFonts w:eastAsia="黑体"/>
      <w:b w:val="0"/>
      <w:bCs w:val="0"/>
      <w:sz w:val="30"/>
      <w:szCs w:val="28"/>
    </w:rPr>
  </w:style>
  <w:style w:type="paragraph" w:customStyle="1" w:styleId="2394">
    <w:name w:val="报告书"/>
    <w:basedOn w:val="1"/>
    <w:qFormat/>
    <w:uiPriority w:val="0"/>
    <w:pPr>
      <w:adjustRightInd w:val="0"/>
      <w:spacing w:line="360" w:lineRule="auto"/>
      <w:ind w:firstLine="505"/>
      <w:jc w:val="left"/>
    </w:pPr>
    <w:rPr>
      <w:kern w:val="24"/>
    </w:rPr>
  </w:style>
  <w:style w:type="paragraph" w:customStyle="1" w:styleId="2395">
    <w:name w:val="表格内字体82"/>
    <w:basedOn w:val="239"/>
    <w:next w:val="239"/>
    <w:qFormat/>
    <w:uiPriority w:val="0"/>
    <w:pPr>
      <w:spacing w:line="240" w:lineRule="auto"/>
      <w:ind w:firstLine="0"/>
      <w:jc w:val="center"/>
    </w:pPr>
    <w:rPr>
      <w:rFonts w:hAnsi="宋体"/>
      <w:sz w:val="21"/>
    </w:rPr>
  </w:style>
  <w:style w:type="paragraph" w:customStyle="1" w:styleId="2396">
    <w:name w:val="正文文本5"/>
    <w:basedOn w:val="1"/>
    <w:qFormat/>
    <w:uiPriority w:val="0"/>
    <w:pPr>
      <w:spacing w:after="120"/>
    </w:pPr>
    <w:rPr>
      <w:rFonts w:hint="eastAsia"/>
    </w:rPr>
  </w:style>
  <w:style w:type="paragraph" w:customStyle="1" w:styleId="2397">
    <w:name w:val="样式124"/>
    <w:basedOn w:val="2245"/>
    <w:qFormat/>
    <w:uiPriority w:val="0"/>
    <w:pPr>
      <w:spacing w:line="240" w:lineRule="auto"/>
      <w:ind w:firstLine="0"/>
      <w:jc w:val="center"/>
    </w:pPr>
    <w:rPr>
      <w:rFonts w:cs="Times New Roman"/>
      <w:b/>
      <w:color w:val="auto"/>
      <w:szCs w:val="20"/>
    </w:rPr>
  </w:style>
  <w:style w:type="paragraph" w:customStyle="1" w:styleId="2398">
    <w:name w:val="bgbt3条标题"/>
    <w:basedOn w:val="2399"/>
    <w:next w:val="2402"/>
    <w:qFormat/>
    <w:uiPriority w:val="0"/>
    <w:pPr>
      <w:outlineLvl w:val="2"/>
    </w:pPr>
    <w:rPr>
      <w:sz w:val="28"/>
    </w:rPr>
  </w:style>
  <w:style w:type="paragraph" w:customStyle="1" w:styleId="2399">
    <w:name w:val="bgbt4款标题"/>
    <w:basedOn w:val="2400"/>
    <w:next w:val="2402"/>
    <w:qFormat/>
    <w:uiPriority w:val="0"/>
    <w:pPr>
      <w:spacing w:before="120" w:after="60"/>
      <w:ind w:firstLine="510"/>
      <w:jc w:val="both"/>
      <w:outlineLvl w:val="3"/>
    </w:pPr>
    <w:rPr>
      <w:sz w:val="24"/>
    </w:rPr>
  </w:style>
  <w:style w:type="paragraph" w:customStyle="1" w:styleId="2400">
    <w:name w:val="bgbt副标题"/>
    <w:basedOn w:val="2401"/>
    <w:next w:val="2401"/>
    <w:qFormat/>
    <w:uiPriority w:val="0"/>
    <w:pPr>
      <w:jc w:val="center"/>
    </w:pPr>
    <w:rPr>
      <w:rFonts w:eastAsia="黑体"/>
      <w:sz w:val="32"/>
    </w:rPr>
  </w:style>
  <w:style w:type="paragraph" w:customStyle="1" w:styleId="2401">
    <w:name w:val="bg正文"/>
    <w:basedOn w:val="1"/>
    <w:qFormat/>
    <w:uiPriority w:val="0"/>
    <w:pPr>
      <w:pBdr>
        <w:top w:val="single" w:color="auto" w:sz="4" w:space="1"/>
      </w:pBdr>
    </w:pPr>
  </w:style>
  <w:style w:type="paragraph" w:customStyle="1" w:styleId="2402">
    <w:name w:val="bg正文首行缩进"/>
    <w:basedOn w:val="1"/>
    <w:qFormat/>
    <w:uiPriority w:val="0"/>
    <w:pPr>
      <w:pBdr>
        <w:top w:val="single" w:color="auto" w:sz="4" w:space="1"/>
      </w:pBdr>
      <w:spacing w:line="400" w:lineRule="exact"/>
      <w:ind w:firstLine="482"/>
    </w:pPr>
  </w:style>
  <w:style w:type="paragraph" w:customStyle="1" w:styleId="2403">
    <w:name w:val="保留正文"/>
    <w:basedOn w:val="35"/>
    <w:qFormat/>
    <w:uiPriority w:val="0"/>
    <w:pPr>
      <w:keepNext/>
      <w:widowControl/>
      <w:overflowPunct w:val="0"/>
      <w:autoSpaceDE w:val="0"/>
      <w:autoSpaceDN w:val="0"/>
      <w:adjustRightInd w:val="0"/>
      <w:spacing w:after="160"/>
      <w:jc w:val="left"/>
      <w:textAlignment w:val="baseline"/>
    </w:pPr>
    <w:rPr>
      <w:kern w:val="0"/>
      <w:sz w:val="20"/>
      <w:szCs w:val="20"/>
    </w:rPr>
  </w:style>
  <w:style w:type="paragraph" w:customStyle="1" w:styleId="2404">
    <w:name w:val="表内55"/>
    <w:basedOn w:val="1"/>
    <w:qFormat/>
    <w:uiPriority w:val="0"/>
    <w:pPr>
      <w:adjustRightInd w:val="0"/>
      <w:snapToGrid w:val="0"/>
      <w:spacing w:line="300" w:lineRule="auto"/>
      <w:jc w:val="left"/>
    </w:pPr>
    <w:rPr>
      <w:sz w:val="18"/>
    </w:rPr>
  </w:style>
  <w:style w:type="paragraph" w:customStyle="1" w:styleId="2405">
    <w:name w:val="表题311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406">
    <w:name w:val="默认段落字体 Para Char Char Char Char413"/>
    <w:basedOn w:val="1"/>
    <w:qFormat/>
    <w:uiPriority w:val="0"/>
  </w:style>
  <w:style w:type="paragraph" w:customStyle="1" w:styleId="2407">
    <w:name w:val="Char34"/>
    <w:basedOn w:val="1"/>
    <w:qFormat/>
    <w:uiPriority w:val="0"/>
    <w:pPr>
      <w:ind w:left="-48"/>
    </w:pPr>
  </w:style>
  <w:style w:type="paragraph" w:customStyle="1" w:styleId="2408">
    <w:name w:val="Char323"/>
    <w:basedOn w:val="1"/>
    <w:qFormat/>
    <w:uiPriority w:val="0"/>
    <w:pPr>
      <w:ind w:left="-48"/>
    </w:pPr>
  </w:style>
  <w:style w:type="paragraph" w:customStyle="1" w:styleId="2409">
    <w:name w:val="表题913"/>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2410">
    <w:name w:val="Char Char Char Char1 Char Char Char16"/>
    <w:basedOn w:val="1"/>
    <w:qFormat/>
    <w:uiPriority w:val="0"/>
    <w:pPr>
      <w:widowControl/>
      <w:spacing w:after="160" w:line="240" w:lineRule="exact"/>
      <w:jc w:val="left"/>
    </w:pPr>
    <w:rPr>
      <w:rFonts w:ascii="Verdana" w:hAnsi="Verdana"/>
      <w:sz w:val="20"/>
      <w:lang w:eastAsia="en-US"/>
    </w:rPr>
  </w:style>
  <w:style w:type="paragraph" w:customStyle="1" w:styleId="2411">
    <w:name w:val="正文斜体12"/>
    <w:basedOn w:val="239"/>
    <w:next w:val="239"/>
    <w:qFormat/>
    <w:uiPriority w:val="0"/>
    <w:rPr>
      <w:rFonts w:hAnsi="宋体"/>
      <w:i/>
      <w:iCs/>
    </w:rPr>
  </w:style>
  <w:style w:type="paragraph" w:customStyle="1" w:styleId="2412">
    <w:name w:val="图题81"/>
    <w:basedOn w:val="239"/>
    <w:next w:val="239"/>
    <w:qFormat/>
    <w:uiPriority w:val="0"/>
    <w:pPr>
      <w:ind w:firstLine="0"/>
      <w:jc w:val="center"/>
    </w:pPr>
    <w:rPr>
      <w:rFonts w:ascii="黑体" w:hAnsi="宋体" w:eastAsia="黑体"/>
      <w:b/>
      <w:bCs/>
    </w:rPr>
  </w:style>
  <w:style w:type="paragraph" w:customStyle="1" w:styleId="2413">
    <w:name w:val="首行缩进:  0.99 厘米 + 首行缩进:  2 字符2"/>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2414">
    <w:name w:val="正文格式＝51"/>
    <w:basedOn w:val="239"/>
    <w:next w:val="239"/>
    <w:qFormat/>
    <w:uiPriority w:val="0"/>
    <w:rPr>
      <w:rFonts w:hAnsi="宋体"/>
    </w:rPr>
  </w:style>
  <w:style w:type="paragraph" w:customStyle="1" w:styleId="2415">
    <w:name w:val="正文修改52"/>
    <w:basedOn w:val="1264"/>
    <w:qFormat/>
    <w:uiPriority w:val="0"/>
    <w:rPr>
      <w:rFonts w:hAnsi="宋体"/>
      <w:color w:val="000000"/>
    </w:rPr>
  </w:style>
  <w:style w:type="paragraph" w:customStyle="1" w:styleId="2416">
    <w:name w:val="标题431111"/>
    <w:basedOn w:val="1"/>
    <w:qFormat/>
    <w:uiPriority w:val="0"/>
    <w:pPr>
      <w:adjustRightInd w:val="0"/>
      <w:snapToGrid w:val="0"/>
      <w:spacing w:line="480" w:lineRule="exact"/>
      <w:jc w:val="center"/>
    </w:pPr>
    <w:rPr>
      <w:rFonts w:hAnsi="宋体" w:cs="宋体"/>
    </w:rPr>
  </w:style>
  <w:style w:type="paragraph" w:customStyle="1" w:styleId="2417">
    <w:name w:val="Char213"/>
    <w:basedOn w:val="1"/>
    <w:qFormat/>
    <w:uiPriority w:val="0"/>
    <w:pPr>
      <w:ind w:left="-48"/>
    </w:pPr>
  </w:style>
  <w:style w:type="paragraph" w:customStyle="1" w:styleId="2418">
    <w:name w:val="表中文字513"/>
    <w:basedOn w:val="1"/>
    <w:qFormat/>
    <w:uiPriority w:val="0"/>
    <w:pPr>
      <w:widowControl/>
      <w:spacing w:line="240" w:lineRule="atLeast"/>
      <w:ind w:left="-24" w:leftChars="-10" w:right="-48" w:rightChars="-20"/>
      <w:jc w:val="center"/>
    </w:pPr>
    <w:rPr>
      <w:szCs w:val="21"/>
    </w:rPr>
  </w:style>
  <w:style w:type="paragraph" w:customStyle="1" w:styleId="2419">
    <w:name w:val="Char Char Char1 Char Char Char Char Char Char Char Char Char Char Char Char Char Char Char Char Char Char Char Char Char Char Char Char Char Char Char Char"/>
    <w:basedOn w:val="1"/>
    <w:qFormat/>
    <w:uiPriority w:val="0"/>
    <w:rPr>
      <w:szCs w:val="21"/>
    </w:rPr>
  </w:style>
  <w:style w:type="paragraph" w:customStyle="1" w:styleId="2420">
    <w:name w:val="表中文字114"/>
    <w:basedOn w:val="1"/>
    <w:qFormat/>
    <w:uiPriority w:val="0"/>
    <w:pPr>
      <w:widowControl/>
      <w:spacing w:line="240" w:lineRule="atLeast"/>
      <w:ind w:left="-24" w:leftChars="-10" w:right="-48" w:rightChars="-20"/>
      <w:jc w:val="center"/>
    </w:pPr>
    <w:rPr>
      <w:szCs w:val="21"/>
    </w:rPr>
  </w:style>
  <w:style w:type="paragraph" w:customStyle="1" w:styleId="2421">
    <w:name w:val="图表题3"/>
    <w:basedOn w:val="239"/>
    <w:next w:val="239"/>
    <w:qFormat/>
    <w:uiPriority w:val="0"/>
    <w:pPr>
      <w:ind w:firstLine="0"/>
      <w:jc w:val="center"/>
    </w:pPr>
    <w:rPr>
      <w:rFonts w:ascii="黑体" w:hAnsi="宋体" w:eastAsia="黑体"/>
      <w:b/>
      <w:bCs/>
    </w:rPr>
  </w:style>
  <w:style w:type="paragraph" w:customStyle="1" w:styleId="2422">
    <w:name w:val="正文格式＝412"/>
    <w:basedOn w:val="239"/>
    <w:next w:val="239"/>
    <w:qFormat/>
    <w:uiPriority w:val="0"/>
    <w:rPr>
      <w:rFonts w:hAnsi="宋体"/>
    </w:rPr>
  </w:style>
  <w:style w:type="paragraph" w:customStyle="1" w:styleId="2423">
    <w:name w:val="附件1"/>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424">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25">
    <w:name w:val="默认段落字体 Para Char Char Char Char44"/>
    <w:basedOn w:val="1"/>
    <w:qFormat/>
    <w:uiPriority w:val="0"/>
  </w:style>
  <w:style w:type="paragraph" w:customStyle="1" w:styleId="2426">
    <w:name w:val="表格标题3"/>
    <w:basedOn w:val="36"/>
    <w:qFormat/>
    <w:uiPriority w:val="0"/>
    <w:pPr>
      <w:pBdr>
        <w:top w:val="single" w:color="auto" w:sz="4" w:space="1"/>
      </w:pBdr>
      <w:tabs>
        <w:tab w:val="clear" w:pos="1200"/>
        <w:tab w:val="clear" w:pos="3240"/>
      </w:tabs>
      <w:adjustRightInd w:val="0"/>
      <w:spacing w:line="360" w:lineRule="auto"/>
      <w:ind w:left="0" w:firstLine="0"/>
      <w:jc w:val="center"/>
      <w:textAlignment w:val="baseline"/>
    </w:pPr>
  </w:style>
  <w:style w:type="paragraph" w:customStyle="1" w:styleId="2427">
    <w:name w:val="样式 标题 3 + 黑色"/>
    <w:basedOn w:val="6"/>
    <w:qFormat/>
    <w:uiPriority w:val="0"/>
    <w:pPr>
      <w:tabs>
        <w:tab w:val="left" w:pos="720"/>
      </w:tabs>
      <w:adjustRightInd w:val="0"/>
      <w:spacing w:before="0" w:after="0" w:line="360" w:lineRule="auto"/>
      <w:ind w:left="567" w:hanging="567"/>
      <w:textAlignment w:val="baseline"/>
    </w:pPr>
    <w:rPr>
      <w:color w:val="000000"/>
      <w:sz w:val="28"/>
      <w:szCs w:val="28"/>
    </w:rPr>
  </w:style>
  <w:style w:type="paragraph" w:customStyle="1" w:styleId="2428">
    <w:name w:val="框图-1 Char"/>
    <w:basedOn w:val="1"/>
    <w:qFormat/>
    <w:uiPriority w:val="0"/>
    <w:pPr>
      <w:jc w:val="center"/>
    </w:pPr>
    <w:rPr>
      <w:rFonts w:eastAsia="仿宋_GB2312"/>
      <w:bCs/>
      <w:snapToGrid w:val="0"/>
      <w:color w:val="000000"/>
    </w:rPr>
  </w:style>
  <w:style w:type="paragraph" w:customStyle="1" w:styleId="2429">
    <w:name w:val="表题21111"/>
    <w:basedOn w:val="1"/>
    <w:qFormat/>
    <w:uiPriority w:val="0"/>
    <w:pPr>
      <w:widowControl/>
      <w:adjustRightInd w:val="0"/>
      <w:snapToGrid w:val="0"/>
      <w:jc w:val="center"/>
    </w:pPr>
    <w:rPr>
      <w:rFonts w:ascii="黑体" w:hAnsi="宋体" w:eastAsia="黑体" w:cs="宋体"/>
    </w:rPr>
  </w:style>
  <w:style w:type="paragraph" w:customStyle="1" w:styleId="2430">
    <w:name w:val="表题3131"/>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431">
    <w:name w:val="表题3114"/>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432">
    <w:name w:val="黑体三号53"/>
    <w:basedOn w:val="239"/>
    <w:qFormat/>
    <w:uiPriority w:val="0"/>
    <w:pPr>
      <w:jc w:val="center"/>
    </w:pPr>
    <w:rPr>
      <w:rFonts w:ascii="黑体" w:hAnsi="宋体" w:eastAsia="黑体"/>
      <w:b/>
      <w:bCs/>
      <w:sz w:val="32"/>
      <w:szCs w:val="20"/>
    </w:rPr>
  </w:style>
  <w:style w:type="paragraph" w:customStyle="1" w:styleId="2433">
    <w:name w:val="Char3311"/>
    <w:basedOn w:val="1"/>
    <w:qFormat/>
    <w:uiPriority w:val="0"/>
    <w:pPr>
      <w:ind w:left="-48"/>
    </w:pPr>
  </w:style>
  <w:style w:type="paragraph" w:customStyle="1" w:styleId="2434">
    <w:name w:val="正文缩进 2字符"/>
    <w:basedOn w:val="1"/>
    <w:qFormat/>
    <w:uiPriority w:val="0"/>
    <w:pPr>
      <w:tabs>
        <w:tab w:val="left" w:pos="2160"/>
      </w:tabs>
      <w:snapToGrid w:val="0"/>
      <w:spacing w:before="120" w:after="120"/>
      <w:ind w:firstLine="480" w:firstLineChars="200"/>
    </w:pPr>
    <w:rPr>
      <w:rFonts w:eastAsia="仿宋_GB2312"/>
      <w:color w:val="000000"/>
      <w:szCs w:val="21"/>
    </w:rPr>
  </w:style>
  <w:style w:type="paragraph" w:customStyle="1" w:styleId="2435">
    <w:name w:val="首行缩进:  0.99 厘米 + 首行缩进:  2 字符"/>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2436">
    <w:name w:val="表题912"/>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2437">
    <w:name w:val="正文.2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38">
    <w:name w:val="Char35"/>
    <w:basedOn w:val="1"/>
    <w:qFormat/>
    <w:uiPriority w:val="0"/>
    <w:pPr>
      <w:ind w:left="-48"/>
    </w:pPr>
  </w:style>
  <w:style w:type="paragraph" w:customStyle="1" w:styleId="2439">
    <w:name w:val="表内53"/>
    <w:basedOn w:val="1"/>
    <w:qFormat/>
    <w:uiPriority w:val="0"/>
    <w:pPr>
      <w:adjustRightInd w:val="0"/>
      <w:snapToGrid w:val="0"/>
      <w:spacing w:line="300" w:lineRule="auto"/>
      <w:jc w:val="left"/>
    </w:pPr>
  </w:style>
  <w:style w:type="paragraph" w:customStyle="1" w:styleId="2440">
    <w:name w:val="样式 标题 2 + 段前: 6 磅"/>
    <w:basedOn w:val="5"/>
    <w:qFormat/>
    <w:uiPriority w:val="0"/>
    <w:pPr>
      <w:keepNext w:val="0"/>
      <w:keepLines w:val="0"/>
      <w:numPr>
        <w:ilvl w:val="0"/>
        <w:numId w:val="0"/>
      </w:numPr>
      <w:tabs>
        <w:tab w:val="left" w:pos="233"/>
        <w:tab w:val="left" w:pos="450"/>
        <w:tab w:val="left" w:pos="567"/>
        <w:tab w:val="clear" w:pos="0"/>
        <w:tab w:val="clear" w:pos="426"/>
      </w:tabs>
      <w:adjustRightInd w:val="0"/>
      <w:snapToGrid w:val="0"/>
      <w:spacing w:before="260" w:after="260"/>
      <w:ind w:left="567" w:hanging="567"/>
    </w:pPr>
    <w:rPr>
      <w:rFonts w:eastAsia="宋体" w:cs="宋体"/>
      <w:b w:val="0"/>
      <w:color w:val="auto"/>
      <w:spacing w:val="0"/>
      <w:kern w:val="2"/>
      <w:sz w:val="24"/>
    </w:rPr>
  </w:style>
  <w:style w:type="paragraph" w:customStyle="1" w:styleId="2441">
    <w:name w:val="默认段落字体 Para Char Char Char Char Char3"/>
    <w:basedOn w:val="1"/>
    <w:qFormat/>
    <w:uiPriority w:val="0"/>
  </w:style>
  <w:style w:type="paragraph" w:customStyle="1" w:styleId="2442">
    <w:name w:val="Char56"/>
    <w:basedOn w:val="1"/>
    <w:qFormat/>
    <w:uiPriority w:val="0"/>
    <w:pPr>
      <w:ind w:left="-48"/>
    </w:pPr>
  </w:style>
  <w:style w:type="paragraph" w:customStyle="1" w:styleId="2443">
    <w:name w:val="默认段落字体 Para Char Char Char Char4"/>
    <w:basedOn w:val="1"/>
    <w:qFormat/>
    <w:uiPriority w:val="0"/>
  </w:style>
  <w:style w:type="paragraph" w:customStyle="1" w:styleId="2444">
    <w:name w:val="Char Char Char Char Char Char Char Char Char1 Char Char Char"/>
    <w:basedOn w:val="1"/>
    <w:qFormat/>
    <w:uiPriority w:val="0"/>
    <w:rPr>
      <w:szCs w:val="21"/>
    </w:rPr>
  </w:style>
  <w:style w:type="paragraph" w:customStyle="1" w:styleId="2445">
    <w:name w:val="Char711"/>
    <w:basedOn w:val="1"/>
    <w:qFormat/>
    <w:uiPriority w:val="0"/>
    <w:pPr>
      <w:ind w:left="-48"/>
    </w:pPr>
  </w:style>
  <w:style w:type="paragraph" w:customStyle="1" w:styleId="2446">
    <w:name w:val="Char1 Char Char Char Char Char1 Char11"/>
    <w:basedOn w:val="1"/>
    <w:qFormat/>
    <w:uiPriority w:val="0"/>
    <w:rPr>
      <w:szCs w:val="21"/>
    </w:rPr>
  </w:style>
  <w:style w:type="paragraph" w:customStyle="1" w:styleId="2447">
    <w:name w:val="首行缩进:  0.99 厘米 + 首行缩进:  2 字符3"/>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2448">
    <w:name w:val="(文字) (文字)1"/>
    <w:basedOn w:val="1"/>
    <w:qFormat/>
    <w:uiPriority w:val="0"/>
    <w:pPr>
      <w:jc w:val="center"/>
    </w:pPr>
    <w:rPr>
      <w:rFonts w:ascii="仿宋_GB2312" w:eastAsia="仿宋_GB2312" w:cs="仿宋_GB2312"/>
      <w:b/>
      <w:bCs/>
      <w:sz w:val="32"/>
      <w:szCs w:val="32"/>
    </w:rPr>
  </w:style>
  <w:style w:type="paragraph" w:customStyle="1" w:styleId="2449">
    <w:name w:val="圖標題"/>
    <w:basedOn w:val="1"/>
    <w:qFormat/>
    <w:uiPriority w:val="0"/>
    <w:pPr>
      <w:topLinePunct/>
      <w:adjustRightInd w:val="0"/>
      <w:spacing w:line="384" w:lineRule="exact"/>
      <w:jc w:val="center"/>
      <w:textAlignment w:val="baseline"/>
    </w:pPr>
    <w:rPr>
      <w:rFonts w:ascii="Arial" w:hAnsi="Arial" w:eastAsia="華康粗黑體" w:cs="Arial"/>
      <w:kern w:val="20"/>
      <w:lang w:eastAsia="zh-TW"/>
    </w:rPr>
  </w:style>
  <w:style w:type="paragraph" w:customStyle="1" w:styleId="2450">
    <w:name w:val="正文4"/>
    <w:basedOn w:val="1"/>
    <w:qFormat/>
    <w:uiPriority w:val="0"/>
    <w:pPr>
      <w:autoSpaceDE w:val="0"/>
      <w:autoSpaceDN w:val="0"/>
      <w:spacing w:after="160" w:line="440" w:lineRule="exact"/>
      <w:ind w:left="567" w:hanging="567"/>
      <w:textAlignment w:val="bottom"/>
    </w:pPr>
    <w:rPr>
      <w:sz w:val="28"/>
    </w:rPr>
  </w:style>
  <w:style w:type="paragraph" w:customStyle="1" w:styleId="2451">
    <w:name w:val="表内54152"/>
    <w:basedOn w:val="1"/>
    <w:qFormat/>
    <w:uiPriority w:val="0"/>
    <w:pPr>
      <w:adjustRightInd w:val="0"/>
      <w:snapToGrid w:val="0"/>
      <w:spacing w:line="300" w:lineRule="auto"/>
      <w:jc w:val="center"/>
    </w:pPr>
    <w:rPr>
      <w:rFonts w:hAnsi="宋体" w:cs="宋体"/>
    </w:rPr>
  </w:style>
  <w:style w:type="paragraph" w:customStyle="1" w:styleId="2452">
    <w:name w:val="样式413"/>
    <w:basedOn w:val="35"/>
    <w:qFormat/>
    <w:uiPriority w:val="0"/>
    <w:pPr>
      <w:tabs>
        <w:tab w:val="left" w:pos="1820"/>
      </w:tabs>
      <w:snapToGrid w:val="0"/>
      <w:spacing w:after="0" w:line="240" w:lineRule="atLeast"/>
      <w:jc w:val="center"/>
    </w:pPr>
    <w:rPr>
      <w:rFonts w:eastAsia="幼圆"/>
      <w:kern w:val="0"/>
      <w:szCs w:val="20"/>
    </w:rPr>
  </w:style>
  <w:style w:type="paragraph" w:customStyle="1" w:styleId="2453">
    <w:name w:val="report"/>
    <w:basedOn w:val="1"/>
    <w:qFormat/>
    <w:uiPriority w:val="0"/>
    <w:pPr>
      <w:adjustRightInd w:val="0"/>
      <w:spacing w:before="60" w:after="60" w:line="300" w:lineRule="atLeast"/>
      <w:ind w:left="505"/>
      <w:textAlignment w:val="baseline"/>
    </w:pPr>
    <w:rPr>
      <w:sz w:val="22"/>
    </w:rPr>
  </w:style>
  <w:style w:type="paragraph" w:customStyle="1" w:styleId="2454">
    <w:name w:val="样式 标题 2标题 2 Char + 段前: 1 行 段后: 1 行"/>
    <w:basedOn w:val="5"/>
    <w:qFormat/>
    <w:uiPriority w:val="0"/>
    <w:pPr>
      <w:numPr>
        <w:ilvl w:val="0"/>
        <w:numId w:val="0"/>
      </w:numPr>
      <w:tabs>
        <w:tab w:val="left" w:pos="233"/>
        <w:tab w:val="left" w:pos="315"/>
        <w:tab w:val="left" w:pos="768"/>
        <w:tab w:val="clear" w:pos="0"/>
        <w:tab w:val="clear" w:pos="426"/>
      </w:tabs>
      <w:adjustRightInd w:val="0"/>
      <w:spacing w:beforeLines="80" w:afterLines="80" w:line="520" w:lineRule="exact"/>
      <w:ind w:left="233"/>
      <w:jc w:val="left"/>
      <w:textAlignment w:val="baseline"/>
    </w:pPr>
    <w:rPr>
      <w:rFonts w:ascii="黑体" w:eastAsia="黑体" w:cs="宋体"/>
      <w:bCs/>
      <w:color w:val="auto"/>
      <w:spacing w:val="0"/>
      <w:sz w:val="28"/>
      <w:szCs w:val="20"/>
    </w:rPr>
  </w:style>
  <w:style w:type="paragraph" w:customStyle="1" w:styleId="2455">
    <w:name w:val="正文修改1"/>
    <w:basedOn w:val="1264"/>
    <w:qFormat/>
    <w:uiPriority w:val="0"/>
    <w:rPr>
      <w:rFonts w:hAnsi="宋体"/>
      <w:color w:val="000000"/>
    </w:rPr>
  </w:style>
  <w:style w:type="paragraph" w:customStyle="1" w:styleId="2456">
    <w:name w:val="Char Char Char Char1 Char Char Char2"/>
    <w:basedOn w:val="1"/>
    <w:qFormat/>
    <w:uiPriority w:val="0"/>
    <w:pPr>
      <w:widowControl/>
      <w:spacing w:after="160" w:line="240" w:lineRule="exact"/>
      <w:jc w:val="left"/>
    </w:pPr>
    <w:rPr>
      <w:rFonts w:ascii="Verdana" w:hAnsi="Verdana"/>
      <w:sz w:val="20"/>
      <w:lang w:eastAsia="en-US"/>
    </w:rPr>
  </w:style>
  <w:style w:type="paragraph" w:customStyle="1" w:styleId="2457">
    <w:name w:val="Char Char Char Char Char Char Char26"/>
    <w:basedOn w:val="1"/>
    <w:qFormat/>
    <w:uiPriority w:val="0"/>
  </w:style>
  <w:style w:type="paragraph" w:customStyle="1" w:styleId="2458">
    <w:name w:val="标题43131"/>
    <w:basedOn w:val="1"/>
    <w:qFormat/>
    <w:uiPriority w:val="0"/>
    <w:pPr>
      <w:adjustRightInd w:val="0"/>
      <w:snapToGrid w:val="0"/>
      <w:spacing w:line="480" w:lineRule="exact"/>
      <w:jc w:val="center"/>
    </w:pPr>
    <w:rPr>
      <w:rFonts w:hAnsi="宋体" w:cs="宋体"/>
    </w:rPr>
  </w:style>
  <w:style w:type="paragraph" w:customStyle="1" w:styleId="2459">
    <w:name w:val="目录5"/>
    <w:basedOn w:val="1"/>
    <w:qFormat/>
    <w:uiPriority w:val="0"/>
    <w:rPr>
      <w:rFonts w:hAnsi="宋体"/>
      <w:szCs w:val="21"/>
    </w:rPr>
  </w:style>
  <w:style w:type="paragraph" w:customStyle="1" w:styleId="2460">
    <w:name w:val="统一正文"/>
    <w:basedOn w:val="1"/>
    <w:qFormat/>
    <w:uiPriority w:val="0"/>
    <w:pPr>
      <w:pBdr>
        <w:top w:val="single" w:color="auto" w:sz="4" w:space="1"/>
      </w:pBdr>
      <w:adjustRightInd w:val="0"/>
      <w:spacing w:line="360" w:lineRule="auto"/>
      <w:ind w:firstLine="480" w:firstLineChars="200"/>
      <w:jc w:val="left"/>
      <w:textAlignment w:val="baseline"/>
    </w:pPr>
  </w:style>
  <w:style w:type="paragraph" w:customStyle="1" w:styleId="2461">
    <w:name w:val="Char Char Char Char1 Char Char Char211"/>
    <w:basedOn w:val="1"/>
    <w:qFormat/>
    <w:uiPriority w:val="0"/>
    <w:pPr>
      <w:widowControl/>
      <w:spacing w:after="160" w:line="240" w:lineRule="exact"/>
      <w:jc w:val="left"/>
    </w:pPr>
    <w:rPr>
      <w:rFonts w:ascii="Verdana" w:hAnsi="Verdana"/>
      <w:sz w:val="20"/>
      <w:lang w:eastAsia="en-US"/>
    </w:rPr>
  </w:style>
  <w:style w:type="paragraph" w:customStyle="1" w:styleId="2462">
    <w:name w:val="燕山正文213"/>
    <w:basedOn w:val="1"/>
    <w:qFormat/>
    <w:uiPriority w:val="0"/>
    <w:pPr>
      <w:tabs>
        <w:tab w:val="left" w:pos="4680"/>
      </w:tabs>
      <w:adjustRightInd w:val="0"/>
      <w:snapToGrid w:val="0"/>
      <w:spacing w:line="480" w:lineRule="exact"/>
    </w:pPr>
    <w:rPr>
      <w:rFonts w:cs="宋体"/>
    </w:rPr>
  </w:style>
  <w:style w:type="paragraph" w:customStyle="1" w:styleId="2463">
    <w:name w:val="样式 标题 + 非加粗 黑色"/>
    <w:basedOn w:val="84"/>
    <w:qFormat/>
    <w:uiPriority w:val="0"/>
    <w:pPr>
      <w:pBdr>
        <w:top w:val="single" w:color="auto" w:sz="4" w:space="1"/>
      </w:pBdr>
      <w:adjustRightInd w:val="0"/>
      <w:spacing w:line="360" w:lineRule="atLeast"/>
      <w:textAlignment w:val="baseline"/>
    </w:pPr>
    <w:rPr>
      <w:rFonts w:hAnsi="Times New Roman"/>
      <w:b w:val="0"/>
      <w:kern w:val="0"/>
      <w:sz w:val="18"/>
      <w:szCs w:val="18"/>
    </w:rPr>
  </w:style>
  <w:style w:type="paragraph" w:customStyle="1" w:styleId="2464">
    <w:name w:val="标题43121"/>
    <w:basedOn w:val="1"/>
    <w:qFormat/>
    <w:uiPriority w:val="0"/>
    <w:pPr>
      <w:adjustRightInd w:val="0"/>
      <w:snapToGrid w:val="0"/>
      <w:spacing w:line="480" w:lineRule="exact"/>
      <w:jc w:val="center"/>
    </w:pPr>
    <w:rPr>
      <w:rFonts w:hAnsi="宋体" w:cs="宋体"/>
    </w:rPr>
  </w:style>
  <w:style w:type="paragraph" w:customStyle="1" w:styleId="2465">
    <w:name w:val="图题7"/>
    <w:basedOn w:val="239"/>
    <w:next w:val="239"/>
    <w:qFormat/>
    <w:uiPriority w:val="0"/>
    <w:pPr>
      <w:ind w:firstLine="0"/>
      <w:jc w:val="center"/>
    </w:pPr>
    <w:rPr>
      <w:rFonts w:ascii="黑体" w:hAnsi="宋体" w:eastAsia="黑体"/>
      <w:b/>
      <w:bCs/>
    </w:rPr>
  </w:style>
  <w:style w:type="paragraph" w:customStyle="1" w:styleId="2466">
    <w:name w:val="Char Char Char2 Char Char Char Char Char Char Char Char Char Char"/>
    <w:basedOn w:val="1"/>
    <w:qFormat/>
    <w:uiPriority w:val="0"/>
    <w:rPr>
      <w:szCs w:val="21"/>
    </w:rPr>
  </w:style>
  <w:style w:type="paragraph" w:customStyle="1" w:styleId="2467">
    <w:name w:val="封面标准文稿编辑信息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68">
    <w:name w:val="Char Char Char Char Char Char Char216"/>
    <w:basedOn w:val="1"/>
    <w:qFormat/>
    <w:uiPriority w:val="0"/>
  </w:style>
  <w:style w:type="paragraph" w:customStyle="1" w:styleId="2469">
    <w:name w:val="表内523"/>
    <w:basedOn w:val="1"/>
    <w:qFormat/>
    <w:uiPriority w:val="0"/>
    <w:pPr>
      <w:adjustRightInd w:val="0"/>
      <w:snapToGrid w:val="0"/>
      <w:spacing w:line="300" w:lineRule="auto"/>
      <w:jc w:val="left"/>
    </w:pPr>
    <w:rPr>
      <w:sz w:val="18"/>
    </w:rPr>
  </w:style>
  <w:style w:type="paragraph" w:customStyle="1" w:styleId="2470">
    <w:name w:val="样式 标题 4 + 行距: 多倍行距 1.3 字行"/>
    <w:basedOn w:val="7"/>
    <w:qFormat/>
    <w:uiPriority w:val="0"/>
    <w:pPr>
      <w:tabs>
        <w:tab w:val="left" w:pos="1200"/>
      </w:tabs>
      <w:snapToGrid w:val="0"/>
      <w:spacing w:before="20" w:after="20" w:line="300" w:lineRule="auto"/>
      <w:ind w:left="1200" w:leftChars="400" w:hanging="360" w:hangingChars="200"/>
    </w:pPr>
    <w:rPr>
      <w:bCs w:val="0"/>
    </w:rPr>
  </w:style>
  <w:style w:type="paragraph" w:customStyle="1" w:styleId="2471">
    <w:name w:val="正文编号"/>
    <w:basedOn w:val="1"/>
    <w:qFormat/>
    <w:uiPriority w:val="0"/>
    <w:pPr>
      <w:tabs>
        <w:tab w:val="left" w:pos="1200"/>
      </w:tabs>
      <w:adjustRightInd w:val="0"/>
      <w:spacing w:line="360" w:lineRule="auto"/>
      <w:ind w:left="1200" w:leftChars="400" w:hanging="360" w:hangingChars="200"/>
      <w:textAlignment w:val="baseline"/>
    </w:pPr>
    <w:rPr>
      <w:rFonts w:ascii="Arial" w:hAnsi="Arial" w:eastAsia="仿宋_GB2312"/>
      <w:szCs w:val="28"/>
    </w:rPr>
  </w:style>
  <w:style w:type="paragraph" w:customStyle="1" w:styleId="2472">
    <w:name w:val="正文格式＝512"/>
    <w:basedOn w:val="239"/>
    <w:next w:val="239"/>
    <w:qFormat/>
    <w:uiPriority w:val="0"/>
    <w:rPr>
      <w:rFonts w:hAnsi="宋体"/>
    </w:rPr>
  </w:style>
  <w:style w:type="paragraph" w:customStyle="1" w:styleId="2473">
    <w:name w:val="表格内字体21"/>
    <w:basedOn w:val="239"/>
    <w:next w:val="239"/>
    <w:qFormat/>
    <w:uiPriority w:val="0"/>
    <w:pPr>
      <w:adjustRightInd w:val="0"/>
      <w:snapToGrid w:val="0"/>
      <w:spacing w:line="240" w:lineRule="auto"/>
      <w:ind w:firstLine="0"/>
      <w:jc w:val="center"/>
    </w:pPr>
    <w:rPr>
      <w:rFonts w:hAnsi="宋体"/>
      <w:sz w:val="21"/>
    </w:rPr>
  </w:style>
  <w:style w:type="paragraph" w:customStyle="1" w:styleId="2474">
    <w:name w:val="表中文字412"/>
    <w:basedOn w:val="1"/>
    <w:qFormat/>
    <w:uiPriority w:val="0"/>
    <w:pPr>
      <w:snapToGrid w:val="0"/>
      <w:spacing w:line="340" w:lineRule="exact"/>
      <w:ind w:firstLine="480" w:firstLineChars="200"/>
      <w:jc w:val="center"/>
    </w:pPr>
    <w:rPr>
      <w:rFonts w:ascii="Arial" w:hAnsi="Arial"/>
      <w:sz w:val="20"/>
      <w:lang w:eastAsia="zh-TW"/>
    </w:rPr>
  </w:style>
  <w:style w:type="paragraph" w:customStyle="1" w:styleId="2475">
    <w:name w:val="Char Char Char Char Char Char Char224"/>
    <w:basedOn w:val="1"/>
    <w:qFormat/>
    <w:uiPriority w:val="0"/>
  </w:style>
  <w:style w:type="paragraph" w:customStyle="1" w:styleId="2476">
    <w:name w:val="Char1110"/>
    <w:basedOn w:val="1"/>
    <w:qFormat/>
    <w:uiPriority w:val="0"/>
    <w:pPr>
      <w:ind w:left="-48"/>
    </w:pPr>
  </w:style>
  <w:style w:type="paragraph" w:customStyle="1" w:styleId="2477">
    <w:name w:val="燕山正文11112"/>
    <w:basedOn w:val="1"/>
    <w:qFormat/>
    <w:uiPriority w:val="0"/>
    <w:pPr>
      <w:tabs>
        <w:tab w:val="left" w:pos="4680"/>
      </w:tabs>
      <w:adjustRightInd w:val="0"/>
      <w:snapToGrid w:val="0"/>
      <w:spacing w:line="480" w:lineRule="exact"/>
    </w:pPr>
    <w:rPr>
      <w:rFonts w:hAnsi="宋体" w:cs="宋体"/>
      <w:bCs/>
      <w:color w:val="000000"/>
    </w:rPr>
  </w:style>
  <w:style w:type="paragraph" w:customStyle="1" w:styleId="2478">
    <w:name w:val="c4"/>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79">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480">
    <w:name w:val="样式 标题 3 + 段前: 12 磅11"/>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481">
    <w:name w:val="黑体三号8"/>
    <w:basedOn w:val="239"/>
    <w:qFormat/>
    <w:uiPriority w:val="0"/>
    <w:pPr>
      <w:jc w:val="center"/>
    </w:pPr>
    <w:rPr>
      <w:rFonts w:ascii="黑体" w:hAnsi="宋体" w:eastAsia="黑体"/>
      <w:b/>
      <w:bCs/>
      <w:sz w:val="32"/>
      <w:szCs w:val="20"/>
    </w:rPr>
  </w:style>
  <w:style w:type="paragraph" w:customStyle="1" w:styleId="2482">
    <w:name w:val="样式 标题 3 + (西文) Times New Roman (中文) 宋体 行距: 固定值 24 磅1"/>
    <w:basedOn w:val="6"/>
    <w:qFormat/>
    <w:uiPriority w:val="0"/>
    <w:pPr>
      <w:keepNext w:val="0"/>
      <w:keepLines w:val="0"/>
      <w:tabs>
        <w:tab w:val="left" w:pos="233"/>
        <w:tab w:val="left" w:pos="1560"/>
      </w:tabs>
      <w:spacing w:before="0" w:after="0" w:line="500" w:lineRule="exact"/>
      <w:ind w:left="233" w:firstLine="615" w:firstLineChars="200"/>
      <w:outlineLvl w:val="9"/>
    </w:pPr>
    <w:rPr>
      <w:rFonts w:hAnsi="宋体" w:cs="宋体"/>
      <w:b w:val="0"/>
      <w:sz w:val="28"/>
      <w:szCs w:val="28"/>
    </w:rPr>
  </w:style>
  <w:style w:type="paragraph" w:customStyle="1" w:styleId="2483">
    <w:name w:val="样式 报告 + Times New Roman Char Char Char Char Char Char"/>
    <w:basedOn w:val="290"/>
    <w:qFormat/>
    <w:uiPriority w:val="0"/>
    <w:pPr>
      <w:spacing w:line="500" w:lineRule="exact"/>
    </w:pPr>
    <w:rPr>
      <w:rFonts w:ascii="Times New Roman" w:hAnsi="Times New Roman"/>
      <w:kern w:val="2"/>
      <w:sz w:val="28"/>
      <w:szCs w:val="28"/>
    </w:rPr>
  </w:style>
  <w:style w:type="paragraph" w:customStyle="1" w:styleId="2484">
    <w:name w:val="wmf-正文"/>
    <w:basedOn w:val="1"/>
    <w:qFormat/>
    <w:uiPriority w:val="0"/>
    <w:pPr>
      <w:adjustRightInd w:val="0"/>
      <w:snapToGrid w:val="0"/>
      <w:spacing w:line="360" w:lineRule="auto"/>
      <w:ind w:left="350" w:leftChars="350" w:firstLine="200" w:firstLineChars="200"/>
    </w:pPr>
    <w:rPr>
      <w:rFonts w:hAnsi="宋体"/>
      <w:spacing w:val="6"/>
    </w:rPr>
  </w:style>
  <w:style w:type="paragraph" w:customStyle="1" w:styleId="2485">
    <w:name w:val="默认段落字体 Para Char Char Char Char32"/>
    <w:basedOn w:val="1"/>
    <w:qFormat/>
    <w:uiPriority w:val="0"/>
  </w:style>
  <w:style w:type="paragraph" w:customStyle="1" w:styleId="2486">
    <w:name w:val="燕山正文2"/>
    <w:basedOn w:val="1"/>
    <w:qFormat/>
    <w:uiPriority w:val="0"/>
    <w:pPr>
      <w:tabs>
        <w:tab w:val="left" w:pos="4680"/>
      </w:tabs>
      <w:adjustRightInd w:val="0"/>
      <w:snapToGrid w:val="0"/>
      <w:spacing w:line="480" w:lineRule="exact"/>
    </w:pPr>
    <w:rPr>
      <w:rFonts w:cs="宋体"/>
    </w:rPr>
  </w:style>
  <w:style w:type="paragraph" w:customStyle="1" w:styleId="2487">
    <w:name w:val="Char126"/>
    <w:basedOn w:val="1"/>
    <w:qFormat/>
    <w:uiPriority w:val="0"/>
    <w:pPr>
      <w:ind w:left="-48"/>
    </w:pPr>
  </w:style>
  <w:style w:type="paragraph" w:customStyle="1" w:styleId="2488">
    <w:name w:val="Char Char Char Char Char Char Char311"/>
    <w:basedOn w:val="1"/>
    <w:qFormat/>
    <w:uiPriority w:val="0"/>
  </w:style>
  <w:style w:type="paragraph" w:customStyle="1" w:styleId="2489">
    <w:name w:val="默认段落字体 Para Char Char Char Char12"/>
    <w:basedOn w:val="1"/>
    <w:qFormat/>
    <w:uiPriority w:val="0"/>
  </w:style>
  <w:style w:type="paragraph" w:customStyle="1" w:styleId="2490">
    <w:name w:val="表格文字新"/>
    <w:basedOn w:val="159"/>
    <w:qFormat/>
    <w:uiPriority w:val="0"/>
    <w:pPr>
      <w:tabs>
        <w:tab w:val="left" w:pos="5580"/>
        <w:tab w:val="left" w:pos="5760"/>
        <w:tab w:val="clear" w:pos="1021"/>
        <w:tab w:val="clear" w:pos="2040"/>
      </w:tabs>
      <w:snapToGrid/>
      <w:spacing w:line="400" w:lineRule="exact"/>
      <w:ind w:left="0" w:leftChars="0" w:firstLine="0" w:firstLineChars="0"/>
      <w:jc w:val="center"/>
      <w:textAlignment w:val="baseline"/>
    </w:pPr>
    <w:rPr>
      <w:rFonts w:ascii="Times New Roman" w:eastAsia="宋体"/>
      <w:kern w:val="0"/>
      <w:sz w:val="21"/>
      <w:szCs w:val="21"/>
    </w:rPr>
  </w:style>
  <w:style w:type="paragraph" w:customStyle="1" w:styleId="2491">
    <w:name w:val="Char327"/>
    <w:basedOn w:val="1"/>
    <w:qFormat/>
    <w:uiPriority w:val="0"/>
    <w:pPr>
      <w:ind w:left="-48"/>
    </w:pPr>
  </w:style>
  <w:style w:type="paragraph" w:customStyle="1" w:styleId="2492">
    <w:name w:val="样式 样式 样式 标题 3条标题1.1.1Section标题 3 Char Char + 首行缩进:  2 字符 + 段前: 0..."/>
    <w:basedOn w:val="1"/>
    <w:qFormat/>
    <w:uiPriority w:val="0"/>
    <w:pPr>
      <w:keepNext/>
      <w:keepLines/>
      <w:snapToGrid w:val="0"/>
      <w:spacing w:beforeLines="30" w:afterLines="20"/>
      <w:jc w:val="left"/>
      <w:outlineLvl w:val="2"/>
    </w:pPr>
    <w:rPr>
      <w:b/>
      <w:bCs/>
      <w:sz w:val="28"/>
      <w:szCs w:val="28"/>
    </w:rPr>
  </w:style>
  <w:style w:type="paragraph" w:customStyle="1" w:styleId="2493">
    <w:name w:val="Char Char Char Char1 Char Char Char21"/>
    <w:basedOn w:val="1"/>
    <w:qFormat/>
    <w:uiPriority w:val="0"/>
    <w:pPr>
      <w:widowControl/>
      <w:spacing w:after="160" w:line="240" w:lineRule="exact"/>
      <w:jc w:val="left"/>
    </w:pPr>
    <w:rPr>
      <w:rFonts w:ascii="Verdana" w:hAnsi="Verdana"/>
      <w:sz w:val="20"/>
      <w:lang w:eastAsia="en-US"/>
    </w:rPr>
  </w:style>
  <w:style w:type="paragraph" w:customStyle="1" w:styleId="2494">
    <w:name w:val="Char Char Char Char Char Char Char21"/>
    <w:basedOn w:val="1"/>
    <w:qFormat/>
    <w:uiPriority w:val="0"/>
  </w:style>
  <w:style w:type="paragraph" w:customStyle="1" w:styleId="2495">
    <w:name w:val="表内54133"/>
    <w:basedOn w:val="1"/>
    <w:qFormat/>
    <w:uiPriority w:val="0"/>
    <w:pPr>
      <w:adjustRightInd w:val="0"/>
      <w:snapToGrid w:val="0"/>
      <w:spacing w:line="300" w:lineRule="auto"/>
      <w:jc w:val="center"/>
    </w:pPr>
    <w:rPr>
      <w:rFonts w:hAnsi="宋体" w:cs="宋体"/>
    </w:rPr>
  </w:style>
  <w:style w:type="paragraph" w:customStyle="1" w:styleId="2496">
    <w:name w:val="样式 标题 3 + (西文) Times New Roman (中文) 宋体 段前: 12.5 磅 行距: 固定值 24 磅"/>
    <w:basedOn w:val="6"/>
    <w:qFormat/>
    <w:uiPriority w:val="0"/>
    <w:pPr>
      <w:keepNext w:val="0"/>
      <w:keepLines w:val="0"/>
      <w:tabs>
        <w:tab w:val="left" w:pos="233"/>
        <w:tab w:val="left" w:pos="1260"/>
        <w:tab w:val="left" w:pos="1560"/>
      </w:tabs>
      <w:spacing w:beforeLines="20" w:afterLines="20" w:line="480" w:lineRule="exact"/>
      <w:ind w:left="233"/>
    </w:pPr>
    <w:rPr>
      <w:rFonts w:cs="宋体"/>
      <w:sz w:val="28"/>
      <w:szCs w:val="20"/>
    </w:rPr>
  </w:style>
  <w:style w:type="paragraph" w:customStyle="1" w:styleId="2497">
    <w:name w:val="封面标准文稿编辑信息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98">
    <w:name w:val="我的 标题 3 + 段前: 12 磅 段后: 12 磅 行距: 固定值 24 磅"/>
    <w:basedOn w:val="6"/>
    <w:qFormat/>
    <w:uiPriority w:val="0"/>
    <w:pPr>
      <w:tabs>
        <w:tab w:val="left" w:pos="233"/>
      </w:tabs>
      <w:spacing w:beforeLines="50" w:afterLines="50" w:line="480" w:lineRule="exact"/>
      <w:ind w:left="233"/>
    </w:pPr>
    <w:rPr>
      <w:rFonts w:cs="宋体"/>
      <w:bCs w:val="0"/>
      <w:sz w:val="28"/>
      <w:szCs w:val="20"/>
    </w:rPr>
  </w:style>
  <w:style w:type="paragraph" w:customStyle="1" w:styleId="2499">
    <w:name w:val="表内5416"/>
    <w:basedOn w:val="1"/>
    <w:qFormat/>
    <w:uiPriority w:val="0"/>
    <w:pPr>
      <w:adjustRightInd w:val="0"/>
      <w:snapToGrid w:val="0"/>
      <w:spacing w:line="300" w:lineRule="auto"/>
      <w:jc w:val="center"/>
    </w:pPr>
    <w:rPr>
      <w:rFonts w:hAnsi="宋体" w:cs="宋体"/>
    </w:rPr>
  </w:style>
  <w:style w:type="paragraph" w:customStyle="1" w:styleId="2500">
    <w:name w:val="Char48"/>
    <w:basedOn w:val="1"/>
    <w:qFormat/>
    <w:uiPriority w:val="0"/>
    <w:pPr>
      <w:ind w:left="-48"/>
    </w:pPr>
  </w:style>
  <w:style w:type="paragraph" w:customStyle="1" w:styleId="2501">
    <w:name w:val="列表引导"/>
    <w:basedOn w:val="66"/>
    <w:next w:val="66"/>
    <w:qFormat/>
    <w:uiPriority w:val="0"/>
    <w:pPr>
      <w:widowControl/>
      <w:tabs>
        <w:tab w:val="left" w:pos="720"/>
      </w:tabs>
      <w:overflowPunct w:val="0"/>
      <w:autoSpaceDE w:val="0"/>
      <w:autoSpaceDN w:val="0"/>
      <w:adjustRightInd w:val="0"/>
      <w:spacing w:before="80" w:after="80" w:line="240" w:lineRule="auto"/>
      <w:ind w:left="720" w:hanging="360"/>
      <w:jc w:val="left"/>
      <w:textAlignment w:val="baseline"/>
    </w:pPr>
    <w:rPr>
      <w:rFonts w:ascii="Times New Roman" w:eastAsia="宋体"/>
      <w:kern w:val="0"/>
      <w:sz w:val="20"/>
      <w:szCs w:val="24"/>
    </w:rPr>
  </w:style>
  <w:style w:type="paragraph" w:customStyle="1" w:styleId="2502">
    <w:name w:val="样式1）"/>
    <w:basedOn w:val="8"/>
    <w:qFormat/>
    <w:uiPriority w:val="0"/>
    <w:pPr>
      <w:tabs>
        <w:tab w:val="left" w:pos="1226"/>
      </w:tabs>
      <w:spacing w:beforeLines="50" w:afterLines="50" w:line="400" w:lineRule="exact"/>
      <w:ind w:left="821" w:leftChars="213" w:hanging="374" w:hangingChars="156"/>
    </w:pPr>
    <w:rPr>
      <w:rFonts w:ascii="Times New Roman" w:eastAsia="宋体"/>
      <w:b w:val="0"/>
      <w:sz w:val="24"/>
    </w:rPr>
  </w:style>
  <w:style w:type="paragraph" w:customStyle="1" w:styleId="2503">
    <w:name w:val="Char66"/>
    <w:basedOn w:val="1"/>
    <w:qFormat/>
    <w:uiPriority w:val="0"/>
    <w:pPr>
      <w:ind w:left="-48"/>
    </w:pPr>
  </w:style>
  <w:style w:type="paragraph" w:customStyle="1" w:styleId="2504">
    <w:name w:val="Char425"/>
    <w:basedOn w:val="1"/>
    <w:qFormat/>
    <w:uiPriority w:val="0"/>
    <w:pPr>
      <w:ind w:left="-48"/>
    </w:pPr>
  </w:style>
  <w:style w:type="paragraph" w:customStyle="1" w:styleId="2505">
    <w:name w:val="附件6"/>
    <w:basedOn w:val="4"/>
    <w:next w:val="239"/>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b w:val="0"/>
      <w:sz w:val="32"/>
      <w:szCs w:val="32"/>
    </w:rPr>
  </w:style>
  <w:style w:type="paragraph" w:customStyle="1" w:styleId="2506">
    <w:name w:val="edri-1).title"/>
    <w:basedOn w:val="2507"/>
    <w:qFormat/>
    <w:uiPriority w:val="0"/>
    <w:pPr>
      <w:tabs>
        <w:tab w:val="left" w:pos="0"/>
        <w:tab w:val="left" w:pos="945"/>
        <w:tab w:val="left" w:pos="1785"/>
        <w:tab w:val="left" w:pos="2250"/>
      </w:tabs>
      <w:ind w:left="2250" w:hanging="420"/>
      <w:outlineLvl w:val="4"/>
    </w:pPr>
  </w:style>
  <w:style w:type="paragraph" w:customStyle="1" w:styleId="2507">
    <w:name w:val="edri-A title Char1"/>
    <w:basedOn w:val="2508"/>
    <w:next w:val="2508"/>
    <w:qFormat/>
    <w:uiPriority w:val="0"/>
    <w:pPr>
      <w:tabs>
        <w:tab w:val="left" w:pos="0"/>
        <w:tab w:val="left" w:pos="945"/>
      </w:tabs>
      <w:ind w:left="1139" w:hanging="419"/>
      <w:outlineLvl w:val="3"/>
    </w:pPr>
  </w:style>
  <w:style w:type="paragraph" w:customStyle="1" w:styleId="2508">
    <w:name w:val="edri-title third Char1"/>
    <w:basedOn w:val="1"/>
    <w:qFormat/>
    <w:uiPriority w:val="0"/>
    <w:pPr>
      <w:tabs>
        <w:tab w:val="left" w:pos="0"/>
        <w:tab w:val="left" w:pos="945"/>
      </w:tabs>
      <w:spacing w:beforeLines="50" w:line="300" w:lineRule="auto"/>
      <w:ind w:left="964" w:hanging="964"/>
      <w:outlineLvl w:val="2"/>
    </w:pPr>
    <w:rPr>
      <w:bCs/>
    </w:rPr>
  </w:style>
  <w:style w:type="paragraph" w:customStyle="1" w:styleId="2509">
    <w:name w:val="Char132"/>
    <w:basedOn w:val="1"/>
    <w:qFormat/>
    <w:uiPriority w:val="0"/>
    <w:pPr>
      <w:ind w:left="-48"/>
    </w:pPr>
  </w:style>
  <w:style w:type="paragraph" w:customStyle="1" w:styleId="2510">
    <w:name w:val="Char3110"/>
    <w:basedOn w:val="1"/>
    <w:qFormat/>
    <w:uiPriority w:val="0"/>
    <w:pPr>
      <w:ind w:left="-48"/>
    </w:pPr>
  </w:style>
  <w:style w:type="paragraph" w:customStyle="1" w:styleId="2511">
    <w:name w:val="Char613"/>
    <w:basedOn w:val="1"/>
    <w:qFormat/>
    <w:uiPriority w:val="0"/>
    <w:pPr>
      <w:adjustRightInd w:val="0"/>
      <w:snapToGrid w:val="0"/>
      <w:spacing w:beforeLines="50" w:line="360" w:lineRule="auto"/>
    </w:pPr>
    <w:rPr>
      <w:rFonts w:ascii="黑体" w:eastAsia="黑体"/>
      <w:sz w:val="32"/>
      <w:szCs w:val="32"/>
    </w:rPr>
  </w:style>
  <w:style w:type="paragraph" w:customStyle="1" w:styleId="2512">
    <w:name w:val="Char2210"/>
    <w:basedOn w:val="1"/>
    <w:qFormat/>
    <w:uiPriority w:val="0"/>
    <w:pPr>
      <w:adjustRightInd w:val="0"/>
      <w:snapToGrid w:val="0"/>
      <w:spacing w:beforeLines="50" w:line="360" w:lineRule="auto"/>
    </w:pPr>
    <w:rPr>
      <w:rFonts w:ascii="黑体" w:eastAsia="黑体"/>
      <w:sz w:val="32"/>
      <w:szCs w:val="32"/>
    </w:rPr>
  </w:style>
  <w:style w:type="paragraph" w:customStyle="1" w:styleId="2513">
    <w:name w:val="表内文字小121"/>
    <w:basedOn w:val="1"/>
    <w:qFormat/>
    <w:uiPriority w:val="0"/>
    <w:pPr>
      <w:adjustRightInd w:val="0"/>
      <w:snapToGrid w:val="0"/>
      <w:jc w:val="center"/>
    </w:pPr>
    <w:rPr>
      <w:rFonts w:hAnsi="Times"/>
    </w:rPr>
  </w:style>
  <w:style w:type="paragraph" w:customStyle="1" w:styleId="2514">
    <w:name w:val="Char221"/>
    <w:basedOn w:val="1"/>
    <w:qFormat/>
    <w:uiPriority w:val="0"/>
    <w:pPr>
      <w:adjustRightInd w:val="0"/>
      <w:snapToGrid w:val="0"/>
      <w:spacing w:beforeLines="50" w:line="360" w:lineRule="auto"/>
    </w:pPr>
    <w:rPr>
      <w:rFonts w:ascii="黑体" w:eastAsia="黑体"/>
      <w:sz w:val="32"/>
      <w:szCs w:val="32"/>
    </w:rPr>
  </w:style>
  <w:style w:type="paragraph" w:customStyle="1" w:styleId="2515">
    <w:name w:val="表题14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516">
    <w:name w:val="Char63"/>
    <w:basedOn w:val="1"/>
    <w:qFormat/>
    <w:uiPriority w:val="0"/>
    <w:pPr>
      <w:adjustRightInd w:val="0"/>
      <w:snapToGrid w:val="0"/>
      <w:spacing w:beforeLines="50" w:line="360" w:lineRule="auto"/>
    </w:pPr>
    <w:rPr>
      <w:rFonts w:ascii="黑体" w:eastAsia="黑体"/>
      <w:sz w:val="32"/>
      <w:szCs w:val="32"/>
    </w:rPr>
  </w:style>
  <w:style w:type="paragraph" w:customStyle="1" w:styleId="2517">
    <w:name w:val="表内文字小312"/>
    <w:basedOn w:val="1"/>
    <w:qFormat/>
    <w:uiPriority w:val="0"/>
    <w:pPr>
      <w:adjustRightInd w:val="0"/>
      <w:snapToGrid w:val="0"/>
      <w:jc w:val="center"/>
    </w:pPr>
    <w:rPr>
      <w:rFonts w:hAnsi="Times" w:cs="宋体"/>
      <w:bCs/>
      <w:color w:val="003366"/>
    </w:rPr>
  </w:style>
  <w:style w:type="paragraph" w:customStyle="1" w:styleId="2518">
    <w:name w:val="表内文字小31213"/>
    <w:basedOn w:val="1"/>
    <w:qFormat/>
    <w:uiPriority w:val="0"/>
    <w:pPr>
      <w:adjustRightInd w:val="0"/>
      <w:snapToGrid w:val="0"/>
      <w:jc w:val="center"/>
    </w:pPr>
    <w:rPr>
      <w:rFonts w:hAnsi="Times" w:cs="宋体"/>
      <w:bCs/>
      <w:color w:val="003366"/>
    </w:rPr>
  </w:style>
  <w:style w:type="paragraph" w:customStyle="1" w:styleId="2519">
    <w:name w:val="谏壁chen表格内文字"/>
    <w:basedOn w:val="1"/>
    <w:qFormat/>
    <w:uiPriority w:val="0"/>
    <w:pPr>
      <w:spacing w:line="0" w:lineRule="atLeast"/>
      <w:jc w:val="center"/>
    </w:pPr>
    <w:rPr>
      <w:szCs w:val="21"/>
    </w:rPr>
  </w:style>
  <w:style w:type="paragraph" w:customStyle="1" w:styleId="2520">
    <w:name w:val="Char Char Char1 Char Char Char1 Char Char Char"/>
    <w:basedOn w:val="1"/>
    <w:qFormat/>
    <w:uiPriority w:val="0"/>
    <w:pPr>
      <w:spacing w:line="240" w:lineRule="exact"/>
      <w:ind w:firstLine="200" w:firstLineChars="200"/>
    </w:pPr>
    <w:rPr>
      <w:sz w:val="28"/>
      <w:szCs w:val="28"/>
    </w:rPr>
  </w:style>
  <w:style w:type="paragraph" w:customStyle="1" w:styleId="2521">
    <w:name w:val="默认段落字体 Para Char53"/>
    <w:basedOn w:val="1"/>
    <w:next w:val="1"/>
    <w:qFormat/>
    <w:uiPriority w:val="0"/>
    <w:pPr>
      <w:spacing w:line="480" w:lineRule="exact"/>
      <w:ind w:firstLine="200" w:firstLineChars="200"/>
      <w:jc w:val="left"/>
    </w:pPr>
    <w:rPr>
      <w:rFonts w:hAnsi="宋体" w:eastAsia="汉鼎简书宋" w:cs="宋体"/>
      <w:sz w:val="28"/>
    </w:rPr>
  </w:style>
  <w:style w:type="paragraph" w:customStyle="1" w:styleId="2522">
    <w:name w:val="文本框13"/>
    <w:basedOn w:val="1"/>
    <w:qFormat/>
    <w:uiPriority w:val="0"/>
    <w:pPr>
      <w:adjustRightInd w:val="0"/>
      <w:snapToGrid w:val="0"/>
      <w:spacing w:after="6"/>
      <w:jc w:val="center"/>
    </w:pPr>
    <w:rPr>
      <w:rFonts w:eastAsia="仿宋_GB2312"/>
    </w:rPr>
  </w:style>
  <w:style w:type="paragraph" w:customStyle="1" w:styleId="2523">
    <w:name w:val="表内宋5中122"/>
    <w:basedOn w:val="1"/>
    <w:qFormat/>
    <w:uiPriority w:val="0"/>
    <w:pPr>
      <w:adjustRightInd w:val="0"/>
      <w:snapToGrid w:val="0"/>
      <w:jc w:val="center"/>
      <w:textAlignment w:val="baseline"/>
    </w:pPr>
    <w:rPr>
      <w:rFonts w:hAnsi="宋体" w:cs="宋体"/>
    </w:rPr>
  </w:style>
  <w:style w:type="paragraph" w:customStyle="1" w:styleId="2524">
    <w:name w:val="表内文字小213"/>
    <w:basedOn w:val="1"/>
    <w:qFormat/>
    <w:uiPriority w:val="0"/>
    <w:pPr>
      <w:adjustRightInd w:val="0"/>
      <w:snapToGrid w:val="0"/>
      <w:jc w:val="center"/>
      <w:textAlignment w:val="baseline"/>
    </w:pPr>
    <w:rPr>
      <w:rFonts w:hAnsi="Times"/>
      <w:bCs/>
      <w:color w:val="000000"/>
    </w:rPr>
  </w:style>
  <w:style w:type="paragraph" w:customStyle="1" w:styleId="2525">
    <w:name w:val="bg编号和名称"/>
    <w:basedOn w:val="2402"/>
    <w:qFormat/>
    <w:uiPriority w:val="0"/>
    <w:pPr>
      <w:spacing w:line="240" w:lineRule="auto"/>
      <w:ind w:firstLine="0"/>
      <w:jc w:val="center"/>
    </w:pPr>
    <w:rPr>
      <w:rFonts w:eastAsia="黑体"/>
      <w:sz w:val="21"/>
    </w:rPr>
  </w:style>
  <w:style w:type="paragraph" w:customStyle="1" w:styleId="2526">
    <w:name w:val="表内文字小313"/>
    <w:basedOn w:val="1"/>
    <w:qFormat/>
    <w:uiPriority w:val="0"/>
    <w:pPr>
      <w:adjustRightInd w:val="0"/>
      <w:snapToGrid w:val="0"/>
      <w:jc w:val="center"/>
    </w:pPr>
    <w:rPr>
      <w:rFonts w:hAnsi="Times" w:cs="宋体"/>
      <w:bCs/>
      <w:color w:val="003366"/>
    </w:rPr>
  </w:style>
  <w:style w:type="paragraph" w:customStyle="1" w:styleId="2527">
    <w:name w:val="样式 表格内字体 +11"/>
    <w:basedOn w:val="1966"/>
    <w:qFormat/>
    <w:uiPriority w:val="0"/>
    <w:pPr>
      <w:spacing w:line="280" w:lineRule="exact"/>
      <w:ind w:firstLine="36"/>
      <w:jc w:val="both"/>
    </w:pPr>
    <w:rPr>
      <w:szCs w:val="24"/>
    </w:rPr>
  </w:style>
  <w:style w:type="paragraph" w:customStyle="1" w:styleId="2528">
    <w:name w:val="初设正文"/>
    <w:basedOn w:val="1"/>
    <w:qFormat/>
    <w:uiPriority w:val="0"/>
    <w:pPr>
      <w:spacing w:after="120" w:line="440" w:lineRule="exact"/>
      <w:ind w:left="425" w:firstLine="425"/>
    </w:pPr>
    <w:rPr>
      <w:rFonts w:ascii="Arial" w:hAnsi="Arial" w:cs="宋体"/>
    </w:rPr>
  </w:style>
  <w:style w:type="paragraph" w:customStyle="1" w:styleId="2529">
    <w:name w:val="表内文字小3114"/>
    <w:basedOn w:val="1"/>
    <w:qFormat/>
    <w:uiPriority w:val="0"/>
    <w:pPr>
      <w:adjustRightInd w:val="0"/>
      <w:snapToGrid w:val="0"/>
      <w:jc w:val="center"/>
    </w:pPr>
    <w:rPr>
      <w:rFonts w:hAnsi="Times" w:cs="宋体"/>
      <w:bCs/>
      <w:color w:val="003366"/>
    </w:rPr>
  </w:style>
  <w:style w:type="paragraph" w:customStyle="1" w:styleId="2530">
    <w:name w:val="表内5中41"/>
    <w:basedOn w:val="1"/>
    <w:qFormat/>
    <w:uiPriority w:val="0"/>
    <w:pPr>
      <w:adjustRightInd w:val="0"/>
      <w:snapToGrid w:val="0"/>
      <w:jc w:val="center"/>
    </w:pPr>
    <w:rPr>
      <w:bCs/>
    </w:rPr>
  </w:style>
  <w:style w:type="paragraph" w:customStyle="1" w:styleId="2531">
    <w:name w:val="正文 + 小四"/>
    <w:basedOn w:val="1"/>
    <w:qFormat/>
    <w:uiPriority w:val="0"/>
    <w:pPr>
      <w:pBdr>
        <w:top w:val="single" w:color="auto" w:sz="4" w:space="1"/>
      </w:pBdr>
      <w:spacing w:line="360" w:lineRule="auto"/>
      <w:ind w:firstLine="480" w:firstLineChars="200"/>
    </w:pPr>
  </w:style>
  <w:style w:type="paragraph" w:customStyle="1" w:styleId="2532">
    <w:name w:val="样式 正文缩进文本条款表格标题正文（首行缩进两字） Char Char Char Char Char Char Char..."/>
    <w:basedOn w:val="22"/>
    <w:qFormat/>
    <w:uiPriority w:val="0"/>
    <w:pPr>
      <w:adjustRightInd w:val="0"/>
      <w:spacing w:line="480" w:lineRule="exact"/>
      <w:ind w:firstLine="560"/>
    </w:pPr>
    <w:rPr>
      <w:sz w:val="28"/>
    </w:rPr>
  </w:style>
  <w:style w:type="paragraph" w:customStyle="1" w:styleId="2533">
    <w:name w:val="表内宋511112"/>
    <w:basedOn w:val="81"/>
    <w:qFormat/>
    <w:uiPriority w:val="0"/>
    <w:pPr>
      <w:widowControl/>
      <w:adjustRightInd w:val="0"/>
      <w:snapToGrid w:val="0"/>
    </w:pPr>
    <w:rPr>
      <w:rFonts w:ascii="宋体" w:hAnsi="宋体" w:cs="宋体"/>
      <w:color w:val="000000"/>
      <w:kern w:val="0"/>
      <w:sz w:val="21"/>
    </w:rPr>
  </w:style>
  <w:style w:type="paragraph" w:customStyle="1" w:styleId="2534">
    <w:name w:val="表题12"/>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535">
    <w:name w:val="样式44"/>
    <w:basedOn w:val="35"/>
    <w:qFormat/>
    <w:uiPriority w:val="0"/>
  </w:style>
  <w:style w:type="paragraph" w:customStyle="1" w:styleId="2536">
    <w:name w:val="标准12"/>
    <w:basedOn w:val="1"/>
    <w:qFormat/>
    <w:uiPriority w:val="0"/>
    <w:pPr>
      <w:adjustRightInd w:val="0"/>
      <w:spacing w:before="120" w:line="336" w:lineRule="auto"/>
      <w:jc w:val="center"/>
      <w:textAlignment w:val="baseline"/>
    </w:pPr>
    <w:rPr>
      <w:rFonts w:ascii="黑体" w:eastAsia="黑体"/>
    </w:rPr>
  </w:style>
  <w:style w:type="paragraph" w:customStyle="1" w:styleId="2537">
    <w:name w:val="正文格式103"/>
    <w:basedOn w:val="1"/>
    <w:qFormat/>
    <w:uiPriority w:val="0"/>
    <w:pPr>
      <w:spacing w:line="360" w:lineRule="auto"/>
      <w:ind w:firstLine="482"/>
    </w:pPr>
    <w:rPr>
      <w:rFonts w:hAnsi="宋体"/>
    </w:rPr>
  </w:style>
  <w:style w:type="paragraph" w:customStyle="1" w:styleId="2538">
    <w:name w:val="表内文字小2121"/>
    <w:basedOn w:val="1"/>
    <w:qFormat/>
    <w:uiPriority w:val="0"/>
    <w:pPr>
      <w:adjustRightInd w:val="0"/>
      <w:snapToGrid w:val="0"/>
      <w:jc w:val="center"/>
    </w:pPr>
    <w:rPr>
      <w:rFonts w:hAnsi="Times"/>
      <w:bCs/>
      <w:color w:val="000000"/>
    </w:rPr>
  </w:style>
  <w:style w:type="paragraph" w:customStyle="1" w:styleId="2539">
    <w:name w:val="样式 表格内字体 +13"/>
    <w:basedOn w:val="1966"/>
    <w:qFormat/>
    <w:uiPriority w:val="0"/>
    <w:pPr>
      <w:spacing w:line="280" w:lineRule="exact"/>
      <w:ind w:firstLine="36"/>
      <w:jc w:val="both"/>
    </w:pPr>
    <w:rPr>
      <w:szCs w:val="24"/>
    </w:rPr>
  </w:style>
  <w:style w:type="paragraph" w:customStyle="1" w:styleId="2540">
    <w:name w:val="默认段落字体 Para Char33"/>
    <w:basedOn w:val="1"/>
    <w:qFormat/>
    <w:uiPriority w:val="0"/>
    <w:pPr>
      <w:spacing w:line="360" w:lineRule="auto"/>
      <w:ind w:firstLine="200" w:firstLineChars="200"/>
    </w:pPr>
    <w:rPr>
      <w:rFonts w:hAnsi="宋体" w:cs="宋体"/>
    </w:rPr>
  </w:style>
  <w:style w:type="paragraph" w:customStyle="1" w:styleId="2541">
    <w:name w:val="表内文字小113"/>
    <w:basedOn w:val="1"/>
    <w:qFormat/>
    <w:uiPriority w:val="0"/>
    <w:pPr>
      <w:adjustRightInd w:val="0"/>
      <w:snapToGrid w:val="0"/>
    </w:pPr>
    <w:rPr>
      <w:rFonts w:hAnsi="Times" w:cs="宋体"/>
    </w:rPr>
  </w:style>
  <w:style w:type="paragraph" w:customStyle="1" w:styleId="2542">
    <w:name w:val="正文格式32"/>
    <w:basedOn w:val="1"/>
    <w:qFormat/>
    <w:uiPriority w:val="0"/>
    <w:pPr>
      <w:spacing w:line="360" w:lineRule="auto"/>
      <w:ind w:firstLine="482"/>
    </w:pPr>
    <w:rPr>
      <w:rFonts w:hAnsi="宋体"/>
    </w:rPr>
  </w:style>
  <w:style w:type="paragraph" w:customStyle="1" w:styleId="2543">
    <w:name w:val="表题151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544">
    <w:name w:val="图标"/>
    <w:basedOn w:val="3"/>
    <w:qFormat/>
    <w:uiPriority w:val="0"/>
    <w:pPr>
      <w:pBdr>
        <w:top w:val="single" w:color="auto" w:sz="4" w:space="1"/>
      </w:pBdr>
      <w:spacing w:after="0" w:line="360" w:lineRule="auto"/>
      <w:ind w:left="0" w:leftChars="0" w:firstLine="561" w:firstLineChars="200"/>
      <w:jc w:val="center"/>
    </w:pPr>
    <w:rPr>
      <w:b/>
      <w:sz w:val="24"/>
    </w:rPr>
  </w:style>
  <w:style w:type="paragraph" w:customStyle="1" w:styleId="2545">
    <w:name w:val="正文格式73"/>
    <w:basedOn w:val="1"/>
    <w:qFormat/>
    <w:uiPriority w:val="0"/>
    <w:pPr>
      <w:spacing w:line="360" w:lineRule="auto"/>
      <w:ind w:firstLine="482"/>
    </w:pPr>
    <w:rPr>
      <w:rFonts w:hAnsi="宋体"/>
    </w:rPr>
  </w:style>
  <w:style w:type="paragraph" w:customStyle="1" w:styleId="2546">
    <w:name w:val="表题131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547">
    <w:name w:val="表内文字小31111"/>
    <w:basedOn w:val="1"/>
    <w:qFormat/>
    <w:uiPriority w:val="0"/>
    <w:pPr>
      <w:adjustRightInd w:val="0"/>
      <w:snapToGrid w:val="0"/>
      <w:jc w:val="center"/>
    </w:pPr>
    <w:rPr>
      <w:rFonts w:hAnsi="Times" w:cs="宋体"/>
      <w:bCs/>
      <w:color w:val="003366"/>
    </w:rPr>
  </w:style>
  <w:style w:type="paragraph" w:customStyle="1" w:styleId="2548">
    <w:name w:val="Char122"/>
    <w:basedOn w:val="1"/>
    <w:qFormat/>
    <w:uiPriority w:val="0"/>
    <w:pPr>
      <w:adjustRightInd w:val="0"/>
      <w:snapToGrid w:val="0"/>
      <w:spacing w:line="360" w:lineRule="auto"/>
    </w:pPr>
  </w:style>
  <w:style w:type="paragraph" w:customStyle="1" w:styleId="2549">
    <w:name w:val="表42"/>
    <w:basedOn w:val="1"/>
    <w:qFormat/>
    <w:uiPriority w:val="0"/>
    <w:pPr>
      <w:adjustRightInd w:val="0"/>
      <w:snapToGrid w:val="0"/>
      <w:jc w:val="center"/>
    </w:pPr>
    <w:rPr>
      <w:rFonts w:eastAsia="仿宋_GB2312"/>
    </w:rPr>
  </w:style>
  <w:style w:type="paragraph" w:customStyle="1" w:styleId="2550">
    <w:name w:val="表文字534"/>
    <w:basedOn w:val="1"/>
    <w:qFormat/>
    <w:uiPriority w:val="0"/>
    <w:pPr>
      <w:adjustRightInd w:val="0"/>
      <w:jc w:val="left"/>
      <w:textAlignment w:val="baseline"/>
    </w:pPr>
  </w:style>
  <w:style w:type="paragraph" w:customStyle="1" w:styleId="2551">
    <w:name w:val="表题142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552">
    <w:name w:val="样式表"/>
    <w:basedOn w:val="1"/>
    <w:qFormat/>
    <w:uiPriority w:val="0"/>
    <w:pPr>
      <w:snapToGrid w:val="0"/>
      <w:spacing w:before="60" w:after="60"/>
      <w:jc w:val="center"/>
    </w:pPr>
  </w:style>
  <w:style w:type="paragraph" w:customStyle="1" w:styleId="2553">
    <w:name w:val="23-47表名4"/>
    <w:basedOn w:val="1"/>
    <w:qFormat/>
    <w:uiPriority w:val="0"/>
    <w:pPr>
      <w:spacing w:afterLines="50" w:line="440" w:lineRule="exact"/>
      <w:jc w:val="center"/>
    </w:pPr>
    <w:rPr>
      <w:rFonts w:hAnsi="宋体"/>
      <w:b/>
    </w:rPr>
  </w:style>
  <w:style w:type="paragraph" w:customStyle="1" w:styleId="2554">
    <w:name w:val="样式 表格内字体 +4"/>
    <w:basedOn w:val="1966"/>
    <w:qFormat/>
    <w:uiPriority w:val="0"/>
    <w:pPr>
      <w:spacing w:line="280" w:lineRule="exact"/>
      <w:ind w:firstLine="36"/>
      <w:jc w:val="both"/>
    </w:pPr>
    <w:rPr>
      <w:szCs w:val="24"/>
    </w:rPr>
  </w:style>
  <w:style w:type="paragraph" w:customStyle="1" w:styleId="2555">
    <w:name w:val="样式 (符号) 宋体 首行缩进:  0.99 厘米 行距: 固定值 25 磅1"/>
    <w:basedOn w:val="1"/>
    <w:qFormat/>
    <w:uiPriority w:val="0"/>
    <w:pPr>
      <w:spacing w:line="500" w:lineRule="exact"/>
      <w:ind w:firstLine="561"/>
    </w:pPr>
    <w:rPr>
      <w:rFonts w:hAnsi="宋体" w:cs="宋体"/>
      <w:spacing w:val="-2"/>
    </w:rPr>
  </w:style>
  <w:style w:type="paragraph" w:customStyle="1" w:styleId="2556">
    <w:name w:val="表内文字小21111"/>
    <w:basedOn w:val="1"/>
    <w:qFormat/>
    <w:uiPriority w:val="0"/>
    <w:pPr>
      <w:adjustRightInd w:val="0"/>
      <w:snapToGrid w:val="0"/>
      <w:jc w:val="center"/>
    </w:pPr>
    <w:rPr>
      <w:rFonts w:hAnsi="Times"/>
      <w:bCs/>
      <w:color w:val="000000"/>
    </w:rPr>
  </w:style>
  <w:style w:type="paragraph" w:customStyle="1" w:styleId="2557">
    <w:name w:val="注释12"/>
    <w:basedOn w:val="239"/>
    <w:next w:val="35"/>
    <w:qFormat/>
    <w:uiPriority w:val="0"/>
    <w:pPr>
      <w:spacing w:before="120" w:after="120" w:line="240" w:lineRule="auto"/>
      <w:ind w:firstLine="200" w:firstLineChars="200"/>
    </w:pPr>
    <w:rPr>
      <w:sz w:val="21"/>
      <w:szCs w:val="20"/>
    </w:rPr>
  </w:style>
  <w:style w:type="paragraph" w:customStyle="1" w:styleId="2558">
    <w:name w:val="表文字5212"/>
    <w:basedOn w:val="1"/>
    <w:qFormat/>
    <w:uiPriority w:val="0"/>
    <w:pPr>
      <w:adjustRightInd w:val="0"/>
      <w:jc w:val="left"/>
      <w:textAlignment w:val="baseline"/>
    </w:pPr>
  </w:style>
  <w:style w:type="paragraph" w:customStyle="1" w:styleId="2559">
    <w:name w:val="表内文字小311"/>
    <w:basedOn w:val="1"/>
    <w:qFormat/>
    <w:uiPriority w:val="0"/>
    <w:pPr>
      <w:adjustRightInd w:val="0"/>
      <w:snapToGrid w:val="0"/>
      <w:jc w:val="center"/>
    </w:pPr>
    <w:rPr>
      <w:rFonts w:hAnsi="Times" w:cs="宋体"/>
      <w:bCs/>
      <w:color w:val="003366"/>
    </w:rPr>
  </w:style>
  <w:style w:type="paragraph" w:customStyle="1" w:styleId="2560">
    <w:name w:val="表题1112"/>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561">
    <w:name w:val="表内文字小31313"/>
    <w:basedOn w:val="1"/>
    <w:qFormat/>
    <w:uiPriority w:val="0"/>
    <w:pPr>
      <w:adjustRightInd w:val="0"/>
      <w:snapToGrid w:val="0"/>
      <w:jc w:val="center"/>
    </w:pPr>
    <w:rPr>
      <w:rFonts w:hAnsi="Times" w:cs="宋体"/>
      <w:bCs/>
      <w:color w:val="003366"/>
    </w:rPr>
  </w:style>
  <w:style w:type="paragraph" w:customStyle="1" w:styleId="2562">
    <w:name w:val="样式 标题 3 + 段前: 0.3 行"/>
    <w:basedOn w:val="6"/>
    <w:qFormat/>
    <w:uiPriority w:val="0"/>
    <w:pPr>
      <w:keepNext w:val="0"/>
      <w:tabs>
        <w:tab w:val="left" w:pos="233"/>
      </w:tabs>
      <w:spacing w:beforeLines="50" w:afterLines="50" w:line="440" w:lineRule="exact"/>
      <w:ind w:left="233" w:firstLine="493"/>
    </w:pPr>
    <w:rPr>
      <w:rFonts w:ascii="Arial" w:hAnsi="Arial"/>
      <w:bCs w:val="0"/>
      <w:spacing w:val="16"/>
      <w:w w:val="95"/>
      <w:sz w:val="26"/>
      <w:szCs w:val="20"/>
    </w:rPr>
  </w:style>
  <w:style w:type="paragraph" w:customStyle="1" w:styleId="2563">
    <w:name w:val="Char Char Char1 Char Char Char1 Char Char Char1 Char Char Char Char"/>
    <w:basedOn w:val="1"/>
    <w:qFormat/>
    <w:uiPriority w:val="0"/>
    <w:pPr>
      <w:spacing w:line="240" w:lineRule="exact"/>
      <w:ind w:firstLine="200" w:firstLineChars="200"/>
    </w:pPr>
    <w:rPr>
      <w:sz w:val="28"/>
      <w:szCs w:val="28"/>
    </w:rPr>
  </w:style>
  <w:style w:type="paragraph" w:customStyle="1" w:styleId="2564">
    <w:name w:val="hhcwt正文 Char Char Char"/>
    <w:basedOn w:val="1"/>
    <w:qFormat/>
    <w:uiPriority w:val="0"/>
    <w:pPr>
      <w:spacing w:line="360" w:lineRule="auto"/>
      <w:ind w:firstLine="480" w:firstLineChars="200"/>
    </w:pPr>
    <w:rPr>
      <w:rFonts w:cs="宋体"/>
    </w:rPr>
  </w:style>
  <w:style w:type="paragraph" w:customStyle="1" w:styleId="2565">
    <w:name w:val="edri-正文3"/>
    <w:basedOn w:val="1"/>
    <w:qFormat/>
    <w:uiPriority w:val="0"/>
    <w:pPr>
      <w:spacing w:beforeLines="50" w:line="300" w:lineRule="auto"/>
      <w:ind w:left="2205" w:leftChars="1050"/>
    </w:pPr>
    <w:rPr>
      <w:snapToGrid w:val="0"/>
    </w:rPr>
  </w:style>
  <w:style w:type="paragraph" w:customStyle="1" w:styleId="2566">
    <w:name w:val="表文字57"/>
    <w:basedOn w:val="1"/>
    <w:qFormat/>
    <w:uiPriority w:val="0"/>
    <w:pPr>
      <w:adjustRightInd w:val="0"/>
      <w:jc w:val="left"/>
      <w:textAlignment w:val="baseline"/>
    </w:pPr>
  </w:style>
  <w:style w:type="paragraph" w:customStyle="1" w:styleId="2567">
    <w:name w:val="正文格式912"/>
    <w:basedOn w:val="1"/>
    <w:qFormat/>
    <w:uiPriority w:val="0"/>
    <w:pPr>
      <w:spacing w:line="360" w:lineRule="auto"/>
      <w:ind w:firstLine="482"/>
    </w:pPr>
    <w:rPr>
      <w:rFonts w:hAnsi="宋体"/>
    </w:rPr>
  </w:style>
  <w:style w:type="paragraph" w:customStyle="1" w:styleId="2568">
    <w:name w:val="表内宋5中1111"/>
    <w:basedOn w:val="1"/>
    <w:qFormat/>
    <w:uiPriority w:val="0"/>
    <w:pPr>
      <w:adjustRightInd w:val="0"/>
      <w:snapToGrid w:val="0"/>
      <w:jc w:val="center"/>
      <w:textAlignment w:val="baseline"/>
    </w:pPr>
    <w:rPr>
      <w:rFonts w:hAnsi="宋体" w:cs="宋体"/>
    </w:rPr>
  </w:style>
  <w:style w:type="paragraph" w:customStyle="1" w:styleId="2569">
    <w:name w:val="样式 样式 宋体 + 首行缩进:  2 字符113"/>
    <w:basedOn w:val="1"/>
    <w:qFormat/>
    <w:uiPriority w:val="0"/>
    <w:pPr>
      <w:spacing w:line="360" w:lineRule="auto"/>
      <w:ind w:firstLine="480" w:firstLineChars="200"/>
      <w:jc w:val="left"/>
    </w:pPr>
    <w:rPr>
      <w:rFonts w:cs="宋体"/>
    </w:rPr>
  </w:style>
  <w:style w:type="paragraph" w:customStyle="1" w:styleId="2570">
    <w:name w:val="表内文字小33"/>
    <w:basedOn w:val="1"/>
    <w:qFormat/>
    <w:uiPriority w:val="0"/>
    <w:pPr>
      <w:adjustRightInd w:val="0"/>
      <w:snapToGrid w:val="0"/>
      <w:jc w:val="center"/>
    </w:pPr>
    <w:rPr>
      <w:rFonts w:hAnsi="Times"/>
    </w:rPr>
  </w:style>
  <w:style w:type="paragraph" w:customStyle="1" w:styleId="2571">
    <w:name w:val="文本框4"/>
    <w:basedOn w:val="1"/>
    <w:qFormat/>
    <w:uiPriority w:val="0"/>
    <w:pPr>
      <w:adjustRightInd w:val="0"/>
      <w:snapToGrid w:val="0"/>
      <w:spacing w:after="6"/>
      <w:jc w:val="center"/>
    </w:pPr>
    <w:rPr>
      <w:rFonts w:eastAsia="仿宋_GB2312"/>
    </w:rPr>
  </w:style>
  <w:style w:type="paragraph" w:customStyle="1" w:styleId="2572">
    <w:name w:val="表题112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573">
    <w:name w:val="表内512"/>
    <w:basedOn w:val="1"/>
    <w:qFormat/>
    <w:uiPriority w:val="0"/>
    <w:pPr>
      <w:adjustRightInd w:val="0"/>
      <w:snapToGrid w:val="0"/>
      <w:jc w:val="center"/>
    </w:pPr>
    <w:rPr>
      <w:rFonts w:hAnsi="宋体"/>
      <w:sz w:val="20"/>
    </w:rPr>
  </w:style>
  <w:style w:type="paragraph" w:customStyle="1" w:styleId="2574">
    <w:name w:val="样式 +正文 + 宋体 小四 首行缩进:  2 字符 行距: 固定值 25 磅"/>
    <w:basedOn w:val="891"/>
    <w:qFormat/>
    <w:uiPriority w:val="0"/>
    <w:pPr>
      <w:spacing w:line="500" w:lineRule="exact"/>
      <w:ind w:firstLine="480"/>
    </w:pPr>
    <w:rPr>
      <w:rFonts w:ascii="宋体" w:cs="宋体"/>
      <w:sz w:val="24"/>
      <w:szCs w:val="20"/>
    </w:rPr>
  </w:style>
  <w:style w:type="paragraph" w:customStyle="1" w:styleId="2575">
    <w:name w:val="样式 标题 3小标题小节标题标题3H3h33rd level第二层条标题4 + 非加粗 左 段前: 6 磅..."/>
    <w:basedOn w:val="6"/>
    <w:qFormat/>
    <w:uiPriority w:val="0"/>
    <w:pPr>
      <w:tabs>
        <w:tab w:val="left" w:pos="233"/>
        <w:tab w:val="left" w:pos="993"/>
        <w:tab w:val="left" w:pos="1080"/>
      </w:tabs>
      <w:spacing w:before="0" w:after="0" w:line="360" w:lineRule="auto"/>
      <w:ind w:left="851" w:hanging="851"/>
    </w:pPr>
    <w:rPr>
      <w:rFonts w:ascii="Arial" w:hAnsi="Arial" w:cs="Arial"/>
      <w:b w:val="0"/>
      <w:color w:val="000000"/>
      <w:sz w:val="30"/>
      <w:szCs w:val="30"/>
    </w:rPr>
  </w:style>
  <w:style w:type="paragraph" w:customStyle="1" w:styleId="2576">
    <w:name w:val="样式 样式 题注 + 两端对齐 + 宋体"/>
    <w:basedOn w:val="1"/>
    <w:qFormat/>
    <w:uiPriority w:val="0"/>
    <w:pPr>
      <w:keepNext/>
      <w:spacing w:line="360" w:lineRule="auto"/>
      <w:jc w:val="center"/>
    </w:pPr>
    <w:rPr>
      <w:rFonts w:hAnsi="宋体"/>
      <w:snapToGrid w:val="0"/>
      <w:sz w:val="28"/>
    </w:rPr>
  </w:style>
  <w:style w:type="paragraph" w:customStyle="1" w:styleId="2577">
    <w:name w:val="报告2"/>
    <w:basedOn w:val="290"/>
    <w:qFormat/>
    <w:uiPriority w:val="0"/>
    <w:pPr>
      <w:tabs>
        <w:tab w:val="left" w:pos="895"/>
      </w:tabs>
      <w:ind w:left="895" w:hanging="390"/>
    </w:pPr>
    <w:rPr>
      <w:rFonts w:ascii="Times New Roman" w:hAnsi="Times New Roman"/>
      <w:kern w:val="2"/>
      <w:szCs w:val="24"/>
    </w:rPr>
  </w:style>
  <w:style w:type="paragraph" w:customStyle="1" w:styleId="2578">
    <w:name w:val="表内文字小81"/>
    <w:basedOn w:val="1"/>
    <w:qFormat/>
    <w:uiPriority w:val="0"/>
    <w:pPr>
      <w:adjustRightInd w:val="0"/>
      <w:snapToGrid w:val="0"/>
      <w:jc w:val="center"/>
    </w:pPr>
    <w:rPr>
      <w:rFonts w:hAnsi="Times" w:cs="宋体"/>
    </w:rPr>
  </w:style>
  <w:style w:type="paragraph" w:customStyle="1" w:styleId="2579">
    <w:name w:val="文本框5"/>
    <w:basedOn w:val="1"/>
    <w:qFormat/>
    <w:uiPriority w:val="0"/>
    <w:pPr>
      <w:adjustRightInd w:val="0"/>
      <w:snapToGrid w:val="0"/>
      <w:spacing w:after="6"/>
      <w:jc w:val="center"/>
    </w:pPr>
    <w:rPr>
      <w:rFonts w:eastAsia="仿宋_GB2312"/>
    </w:rPr>
  </w:style>
  <w:style w:type="paragraph" w:customStyle="1" w:styleId="2580">
    <w:name w:val="电镀正文"/>
    <w:basedOn w:val="22"/>
    <w:qFormat/>
    <w:uiPriority w:val="0"/>
    <w:pPr>
      <w:spacing w:line="312" w:lineRule="auto"/>
      <w:ind w:firstLine="200"/>
    </w:pPr>
    <w:rPr>
      <w:rFonts w:ascii="宋体" w:hAnsi="宋体"/>
      <w:sz w:val="24"/>
    </w:rPr>
  </w:style>
  <w:style w:type="paragraph" w:customStyle="1" w:styleId="2581">
    <w:name w:val="表题18"/>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582">
    <w:name w:val="Char4 Char Char"/>
    <w:basedOn w:val="1"/>
    <w:qFormat/>
    <w:uiPriority w:val="0"/>
    <w:pPr>
      <w:spacing w:line="240" w:lineRule="exact"/>
      <w:ind w:firstLine="200" w:firstLineChars="200"/>
    </w:pPr>
    <w:rPr>
      <w:sz w:val="28"/>
      <w:szCs w:val="28"/>
    </w:rPr>
  </w:style>
  <w:style w:type="paragraph" w:customStyle="1" w:styleId="2583">
    <w:name w:val="表内文字小214"/>
    <w:basedOn w:val="1"/>
    <w:qFormat/>
    <w:uiPriority w:val="0"/>
    <w:pPr>
      <w:adjustRightInd w:val="0"/>
      <w:snapToGrid w:val="0"/>
      <w:jc w:val="center"/>
    </w:pPr>
    <w:rPr>
      <w:rFonts w:hAnsi="Times"/>
      <w:bCs/>
      <w:color w:val="000000"/>
    </w:rPr>
  </w:style>
  <w:style w:type="paragraph" w:customStyle="1" w:styleId="2584">
    <w:name w:val="样式 样式 宋体 + 首行缩进:  2 字符111"/>
    <w:basedOn w:val="1"/>
    <w:qFormat/>
    <w:uiPriority w:val="0"/>
    <w:pPr>
      <w:spacing w:line="360" w:lineRule="auto"/>
      <w:ind w:firstLine="480" w:firstLineChars="200"/>
      <w:jc w:val="left"/>
    </w:pPr>
    <w:rPr>
      <w:rFonts w:cs="宋体"/>
    </w:rPr>
  </w:style>
  <w:style w:type="paragraph" w:customStyle="1" w:styleId="2585">
    <w:name w:val="表文字51111"/>
    <w:basedOn w:val="1"/>
    <w:qFormat/>
    <w:uiPriority w:val="0"/>
    <w:pPr>
      <w:adjustRightInd w:val="0"/>
      <w:jc w:val="left"/>
      <w:textAlignment w:val="baseline"/>
    </w:pPr>
  </w:style>
  <w:style w:type="paragraph" w:customStyle="1" w:styleId="2586">
    <w:name w:val="表内5中6"/>
    <w:basedOn w:val="1"/>
    <w:qFormat/>
    <w:uiPriority w:val="0"/>
    <w:pPr>
      <w:adjustRightInd w:val="0"/>
      <w:snapToGrid w:val="0"/>
      <w:jc w:val="center"/>
    </w:pPr>
    <w:rPr>
      <w:rFonts w:hAnsi="宋体" w:cs="Arial"/>
      <w:snapToGrid w:val="0"/>
      <w:color w:val="000000"/>
      <w:szCs w:val="21"/>
    </w:rPr>
  </w:style>
  <w:style w:type="paragraph" w:customStyle="1" w:styleId="2587">
    <w:name w:val="样式 样式 宋体 + 首行缩进:  2 字符13"/>
    <w:basedOn w:val="1"/>
    <w:qFormat/>
    <w:uiPriority w:val="0"/>
    <w:pPr>
      <w:spacing w:line="360" w:lineRule="auto"/>
      <w:ind w:firstLine="480" w:firstLineChars="200"/>
      <w:jc w:val="left"/>
    </w:pPr>
    <w:rPr>
      <w:rFonts w:cs="宋体"/>
    </w:rPr>
  </w:style>
  <w:style w:type="paragraph" w:customStyle="1" w:styleId="2588">
    <w:name w:val="样式 样式 标题 1 + 华文中宋 居中 段前: 12 磅 段后: 12 磅 行距: 多倍行距 1.4 字行 + 首行缩进:  ..."/>
    <w:basedOn w:val="1"/>
    <w:qFormat/>
    <w:uiPriority w:val="0"/>
    <w:pPr>
      <w:keepLines/>
      <w:pageBreakBefore/>
      <w:tabs>
        <w:tab w:val="left" w:pos="1155"/>
        <w:tab w:val="left" w:pos="2040"/>
      </w:tabs>
      <w:spacing w:before="240" w:after="240" w:line="360" w:lineRule="auto"/>
      <w:ind w:left="1155" w:leftChars="800" w:hanging="432" w:hangingChars="200"/>
      <w:jc w:val="center"/>
      <w:outlineLvl w:val="0"/>
    </w:pPr>
    <w:rPr>
      <w:rFonts w:ascii="华文中宋" w:hAnsi="华文中宋" w:eastAsia="楷体_GB2312"/>
      <w:b/>
      <w:bCs/>
      <w:kern w:val="44"/>
      <w:sz w:val="36"/>
    </w:rPr>
  </w:style>
  <w:style w:type="paragraph" w:customStyle="1" w:styleId="2589">
    <w:name w:val="表题111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590">
    <w:name w:val="Char Char Char Char Char Char Char411"/>
    <w:basedOn w:val="1"/>
    <w:qFormat/>
    <w:uiPriority w:val="0"/>
  </w:style>
  <w:style w:type="paragraph" w:customStyle="1" w:styleId="2591">
    <w:name w:val="表内宋51"/>
    <w:basedOn w:val="2220"/>
    <w:qFormat/>
    <w:uiPriority w:val="0"/>
    <w:pPr>
      <w:widowControl/>
      <w:autoSpaceDE w:val="0"/>
      <w:autoSpaceDN w:val="0"/>
      <w:jc w:val="left"/>
      <w:textAlignment w:val="auto"/>
    </w:pPr>
    <w:rPr>
      <w:color w:val="auto"/>
      <w:w w:val="90"/>
    </w:rPr>
  </w:style>
  <w:style w:type="paragraph" w:customStyle="1" w:styleId="2592">
    <w:name w:val="图题34"/>
    <w:basedOn w:val="239"/>
    <w:next w:val="239"/>
    <w:qFormat/>
    <w:uiPriority w:val="0"/>
    <w:pPr>
      <w:ind w:firstLine="0"/>
      <w:jc w:val="center"/>
    </w:pPr>
    <w:rPr>
      <w:rFonts w:ascii="黑体" w:hAnsi="宋体" w:eastAsia="黑体"/>
      <w:b/>
      <w:bCs/>
    </w:rPr>
  </w:style>
  <w:style w:type="paragraph" w:customStyle="1" w:styleId="2593">
    <w:name w:val="正文修改312"/>
    <w:basedOn w:val="1264"/>
    <w:qFormat/>
    <w:uiPriority w:val="0"/>
    <w:rPr>
      <w:rFonts w:hAnsi="宋体"/>
      <w:color w:val="000000"/>
    </w:rPr>
  </w:style>
  <w:style w:type="paragraph" w:customStyle="1" w:styleId="2594">
    <w:name w:val="标题41112"/>
    <w:basedOn w:val="1"/>
    <w:qFormat/>
    <w:uiPriority w:val="0"/>
    <w:pPr>
      <w:adjustRightInd w:val="0"/>
      <w:snapToGrid w:val="0"/>
      <w:spacing w:line="300" w:lineRule="auto"/>
      <w:jc w:val="left"/>
    </w:pPr>
    <w:rPr>
      <w:rFonts w:ascii="黑体" w:hAnsi="宋体" w:eastAsia="黑体" w:cs="宋体"/>
      <w:bCs/>
    </w:rPr>
  </w:style>
  <w:style w:type="paragraph" w:customStyle="1" w:styleId="2595">
    <w:name w:val="正文格式＝10"/>
    <w:basedOn w:val="239"/>
    <w:next w:val="239"/>
    <w:qFormat/>
    <w:uiPriority w:val="0"/>
    <w:rPr>
      <w:rFonts w:hAnsi="宋体"/>
    </w:rPr>
  </w:style>
  <w:style w:type="paragraph" w:customStyle="1" w:styleId="2596">
    <w:name w:val="样式 表格文字 + 居中"/>
    <w:basedOn w:val="162"/>
    <w:qFormat/>
    <w:uiPriority w:val="0"/>
    <w:pPr>
      <w:tabs>
        <w:tab w:val="clear" w:pos="4153"/>
        <w:tab w:val="clear" w:pos="8306"/>
      </w:tabs>
      <w:adjustRightInd/>
      <w:snapToGrid/>
      <w:spacing w:line="400" w:lineRule="exact"/>
    </w:pPr>
    <w:rPr>
      <w:rFonts w:eastAsia="宋体" w:cs="宋体"/>
      <w:color w:val="0000CC"/>
      <w:szCs w:val="20"/>
    </w:rPr>
  </w:style>
  <w:style w:type="paragraph" w:customStyle="1" w:styleId="2597">
    <w:name w:val="样式 表格内字体1 +1"/>
    <w:basedOn w:val="2166"/>
    <w:next w:val="1966"/>
    <w:qFormat/>
    <w:uiPriority w:val="0"/>
    <w:rPr>
      <w:rFonts w:hAnsi="Times New Roman"/>
      <w:szCs w:val="20"/>
    </w:rPr>
  </w:style>
  <w:style w:type="paragraph" w:customStyle="1" w:styleId="2598">
    <w:name w:val="正文修改212"/>
    <w:basedOn w:val="1264"/>
    <w:qFormat/>
    <w:uiPriority w:val="0"/>
    <w:rPr>
      <w:rFonts w:hAnsi="宋体"/>
      <w:color w:val="000000"/>
    </w:rPr>
  </w:style>
  <w:style w:type="paragraph" w:customStyle="1" w:styleId="2599">
    <w:name w:val="表中文字41"/>
    <w:basedOn w:val="1"/>
    <w:qFormat/>
    <w:uiPriority w:val="0"/>
    <w:pPr>
      <w:snapToGrid w:val="0"/>
      <w:spacing w:line="340" w:lineRule="exact"/>
      <w:ind w:firstLine="480" w:firstLineChars="200"/>
      <w:jc w:val="center"/>
    </w:pPr>
    <w:rPr>
      <w:rFonts w:ascii="Arial" w:hAnsi="Arial"/>
      <w:sz w:val="20"/>
      <w:lang w:eastAsia="zh-TW"/>
    </w:rPr>
  </w:style>
  <w:style w:type="paragraph" w:customStyle="1" w:styleId="2600">
    <w:name w:val="正文修改113"/>
    <w:basedOn w:val="1264"/>
    <w:qFormat/>
    <w:uiPriority w:val="0"/>
    <w:rPr>
      <w:rFonts w:hAnsi="宋体"/>
      <w:color w:val="000000"/>
    </w:rPr>
  </w:style>
  <w:style w:type="paragraph" w:customStyle="1" w:styleId="2601">
    <w:name w:val="Char Char Char Char1 Char Char Char9"/>
    <w:basedOn w:val="1"/>
    <w:qFormat/>
    <w:uiPriority w:val="0"/>
    <w:pPr>
      <w:widowControl/>
      <w:spacing w:after="160" w:line="240" w:lineRule="exact"/>
      <w:jc w:val="left"/>
    </w:pPr>
    <w:rPr>
      <w:rFonts w:ascii="Verdana" w:hAnsi="Verdana"/>
      <w:sz w:val="20"/>
      <w:lang w:eastAsia="en-US"/>
    </w:rPr>
  </w:style>
  <w:style w:type="paragraph" w:customStyle="1" w:styleId="2602">
    <w:name w:val="表内5314"/>
    <w:basedOn w:val="1"/>
    <w:qFormat/>
    <w:uiPriority w:val="0"/>
    <w:pPr>
      <w:adjustRightInd w:val="0"/>
      <w:snapToGrid w:val="0"/>
      <w:spacing w:line="300" w:lineRule="auto"/>
      <w:jc w:val="left"/>
    </w:pPr>
  </w:style>
  <w:style w:type="paragraph" w:customStyle="1" w:styleId="2603">
    <w:name w:val="表题414"/>
    <w:basedOn w:val="3"/>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604">
    <w:name w:val="Char49"/>
    <w:basedOn w:val="1"/>
    <w:qFormat/>
    <w:uiPriority w:val="0"/>
    <w:pPr>
      <w:ind w:left="-48"/>
    </w:pPr>
  </w:style>
  <w:style w:type="paragraph" w:customStyle="1" w:styleId="2605">
    <w:name w:val="默认段落字体 Para Char Char Char Char1"/>
    <w:basedOn w:val="1"/>
    <w:qFormat/>
    <w:uiPriority w:val="0"/>
  </w:style>
  <w:style w:type="paragraph" w:customStyle="1" w:styleId="2606">
    <w:name w:val="Char2111"/>
    <w:basedOn w:val="1"/>
    <w:qFormat/>
    <w:uiPriority w:val="0"/>
    <w:pPr>
      <w:ind w:left="-48"/>
    </w:pPr>
  </w:style>
  <w:style w:type="paragraph" w:customStyle="1" w:styleId="2607">
    <w:name w:val="c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608">
    <w:name w:val="燕山正文1134"/>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2609">
    <w:name w:val="Char Char2 Char Char Char Char29"/>
    <w:basedOn w:val="1"/>
    <w:qFormat/>
    <w:uiPriority w:val="0"/>
  </w:style>
  <w:style w:type="paragraph" w:customStyle="1" w:styleId="2610">
    <w:name w:val="样式 标题 4四 + Times New Roman 段前: 0 磅 段后: 0 磅 行距: 1.5 倍行距2"/>
    <w:basedOn w:val="7"/>
    <w:qFormat/>
    <w:uiPriority w:val="0"/>
    <w:pPr>
      <w:tabs>
        <w:tab w:val="left" w:pos="360"/>
        <w:tab w:val="left" w:pos="864"/>
      </w:tabs>
      <w:spacing w:line="360" w:lineRule="auto"/>
      <w:ind w:left="864" w:hanging="864"/>
    </w:pPr>
    <w:rPr>
      <w:rFonts w:hAnsi="Times New Roman"/>
      <w:b/>
      <w:sz w:val="30"/>
      <w:szCs w:val="36"/>
    </w:rPr>
  </w:style>
  <w:style w:type="paragraph" w:customStyle="1" w:styleId="2611">
    <w:name w:val="表格内字体32"/>
    <w:basedOn w:val="239"/>
    <w:next w:val="239"/>
    <w:qFormat/>
    <w:uiPriority w:val="0"/>
    <w:pPr>
      <w:spacing w:line="240" w:lineRule="auto"/>
      <w:ind w:firstLine="0"/>
      <w:jc w:val="center"/>
    </w:pPr>
    <w:rPr>
      <w:rFonts w:hAnsi="宋体"/>
      <w:sz w:val="21"/>
    </w:rPr>
  </w:style>
  <w:style w:type="paragraph" w:customStyle="1" w:styleId="2612">
    <w:name w:val="燕山正文11312"/>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2613">
    <w:name w:val="燕山正文11211"/>
    <w:basedOn w:val="1"/>
    <w:qFormat/>
    <w:uiPriority w:val="0"/>
    <w:pPr>
      <w:tabs>
        <w:tab w:val="left" w:pos="4680"/>
      </w:tabs>
      <w:adjustRightInd w:val="0"/>
      <w:snapToGrid w:val="0"/>
      <w:spacing w:line="480" w:lineRule="exact"/>
    </w:pPr>
    <w:rPr>
      <w:rFonts w:hAnsi="宋体" w:cs="宋体"/>
      <w:bCs/>
      <w:color w:val="000000"/>
    </w:rPr>
  </w:style>
  <w:style w:type="paragraph" w:customStyle="1" w:styleId="2614">
    <w:name w:val="表格标题7"/>
    <w:basedOn w:val="78"/>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2615">
    <w:name w:val="样式 报告 + Times New Roman Char Char Char Char Char Char Char Char Char Char"/>
    <w:basedOn w:val="290"/>
    <w:qFormat/>
    <w:uiPriority w:val="0"/>
    <w:pPr>
      <w:spacing w:line="500" w:lineRule="exact"/>
    </w:pPr>
    <w:rPr>
      <w:rFonts w:ascii="Times New Roman" w:hAnsi="Times New Roman"/>
      <w:kern w:val="2"/>
      <w:sz w:val="28"/>
      <w:szCs w:val="28"/>
    </w:rPr>
  </w:style>
  <w:style w:type="paragraph" w:customStyle="1" w:styleId="2616">
    <w:name w:val="B"/>
    <w:basedOn w:val="66"/>
    <w:qFormat/>
    <w:uiPriority w:val="0"/>
    <w:pPr>
      <w:spacing w:beforeLines="20" w:afterLines="20" w:line="240" w:lineRule="auto"/>
    </w:pPr>
    <w:rPr>
      <w:rFonts w:ascii="Times New Roman" w:eastAsia="宋体"/>
      <w:kern w:val="0"/>
      <w:sz w:val="21"/>
      <w:szCs w:val="21"/>
    </w:rPr>
  </w:style>
  <w:style w:type="paragraph" w:customStyle="1" w:styleId="2617">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hAnsi="宋体"/>
    </w:rPr>
  </w:style>
  <w:style w:type="paragraph" w:customStyle="1" w:styleId="2618">
    <w:name w:val="图题51"/>
    <w:basedOn w:val="239"/>
    <w:next w:val="239"/>
    <w:qFormat/>
    <w:uiPriority w:val="0"/>
    <w:pPr>
      <w:ind w:firstLine="0"/>
      <w:jc w:val="center"/>
    </w:pPr>
    <w:rPr>
      <w:rFonts w:ascii="黑体" w:hAnsi="宋体" w:eastAsia="黑体"/>
      <w:b/>
      <w:bCs/>
    </w:rPr>
  </w:style>
  <w:style w:type="paragraph" w:customStyle="1" w:styleId="2619">
    <w:name w:val="默认段落字体 Para Char Char Char Char24"/>
    <w:basedOn w:val="1"/>
    <w:qFormat/>
    <w:uiPriority w:val="0"/>
  </w:style>
  <w:style w:type="paragraph" w:customStyle="1" w:styleId="2620">
    <w:name w:val="Char74"/>
    <w:basedOn w:val="1"/>
    <w:qFormat/>
    <w:uiPriority w:val="0"/>
    <w:pPr>
      <w:ind w:left="-48"/>
    </w:pPr>
  </w:style>
  <w:style w:type="paragraph" w:customStyle="1" w:styleId="2621">
    <w:name w:val="附件313"/>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622">
    <w:name w:val="表中文字111"/>
    <w:basedOn w:val="1"/>
    <w:qFormat/>
    <w:uiPriority w:val="0"/>
    <w:pPr>
      <w:widowControl/>
      <w:spacing w:line="240" w:lineRule="atLeast"/>
      <w:ind w:left="-24" w:leftChars="-10" w:right="-48" w:rightChars="-20"/>
      <w:jc w:val="center"/>
    </w:pPr>
    <w:rPr>
      <w:szCs w:val="21"/>
    </w:rPr>
  </w:style>
  <w:style w:type="paragraph" w:customStyle="1" w:styleId="2623">
    <w:name w:val="wtext"/>
    <w:basedOn w:val="1"/>
    <w:qFormat/>
    <w:uiPriority w:val="0"/>
    <w:pPr>
      <w:widowControl/>
      <w:spacing w:before="100" w:beforeAutospacing="1" w:after="100" w:afterAutospacing="1"/>
      <w:ind w:firstLine="480"/>
      <w:jc w:val="left"/>
    </w:pPr>
    <w:rPr>
      <w:rFonts w:eastAsia="Arial Unicode MS" w:cs="Arial Unicode MS"/>
      <w:color w:val="000000"/>
      <w:sz w:val="22"/>
      <w:szCs w:val="22"/>
    </w:rPr>
  </w:style>
  <w:style w:type="paragraph" w:customStyle="1" w:styleId="2624">
    <w:name w:val="图题412"/>
    <w:basedOn w:val="239"/>
    <w:next w:val="239"/>
    <w:qFormat/>
    <w:uiPriority w:val="0"/>
    <w:pPr>
      <w:ind w:firstLine="0"/>
      <w:jc w:val="center"/>
    </w:pPr>
    <w:rPr>
      <w:rFonts w:ascii="黑体" w:hAnsi="宋体" w:eastAsia="黑体"/>
      <w:b/>
      <w:bCs/>
    </w:rPr>
  </w:style>
  <w:style w:type="paragraph" w:customStyle="1" w:styleId="2625">
    <w:name w:val="正文修改23"/>
    <w:basedOn w:val="1264"/>
    <w:qFormat/>
    <w:uiPriority w:val="0"/>
    <w:rPr>
      <w:rFonts w:hAnsi="宋体"/>
      <w:color w:val="000000"/>
    </w:rPr>
  </w:style>
  <w:style w:type="paragraph" w:customStyle="1" w:styleId="2626">
    <w:name w:val="正文格式＝53"/>
    <w:basedOn w:val="239"/>
    <w:next w:val="239"/>
    <w:qFormat/>
    <w:uiPriority w:val="0"/>
    <w:rPr>
      <w:rFonts w:hAnsi="宋体"/>
    </w:rPr>
  </w:style>
  <w:style w:type="paragraph" w:customStyle="1" w:styleId="2627">
    <w:name w:val="黑体三号311"/>
    <w:basedOn w:val="239"/>
    <w:qFormat/>
    <w:uiPriority w:val="0"/>
    <w:pPr>
      <w:jc w:val="center"/>
    </w:pPr>
    <w:rPr>
      <w:rFonts w:ascii="黑体" w:hAnsi="宋体" w:eastAsia="黑体"/>
      <w:b/>
      <w:bCs/>
      <w:sz w:val="32"/>
      <w:szCs w:val="20"/>
    </w:rPr>
  </w:style>
  <w:style w:type="paragraph" w:customStyle="1" w:styleId="2628">
    <w:name w:val="Char Char Char Char Char Char Char130"/>
    <w:basedOn w:val="1"/>
    <w:qFormat/>
    <w:uiPriority w:val="0"/>
  </w:style>
  <w:style w:type="paragraph" w:customStyle="1" w:styleId="2629">
    <w:name w:val="燕山正文132"/>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2630">
    <w:name w:val="标题45"/>
    <w:basedOn w:val="1"/>
    <w:qFormat/>
    <w:uiPriority w:val="0"/>
    <w:pPr>
      <w:adjustRightInd w:val="0"/>
      <w:snapToGrid w:val="0"/>
      <w:spacing w:line="300" w:lineRule="auto"/>
      <w:jc w:val="left"/>
    </w:pPr>
    <w:rPr>
      <w:rFonts w:ascii="黑体" w:eastAsia="黑体"/>
      <w:bCs/>
    </w:rPr>
  </w:style>
  <w:style w:type="paragraph" w:customStyle="1" w:styleId="2631">
    <w:name w:val="(文字) (文字) Char (文字) (文字) Char (文字) (文字) (文字) (文字)1"/>
    <w:basedOn w:val="1"/>
    <w:qFormat/>
    <w:uiPriority w:val="0"/>
    <w:pPr>
      <w:spacing w:line="360" w:lineRule="auto"/>
      <w:ind w:firstLine="200" w:firstLineChars="200"/>
    </w:pPr>
    <w:rPr>
      <w:rFonts w:hAnsi="宋体" w:cs="宋体"/>
    </w:rPr>
  </w:style>
  <w:style w:type="paragraph" w:customStyle="1" w:styleId="2632">
    <w:name w:val="表题15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633">
    <w:name w:val="正文格式63"/>
    <w:basedOn w:val="1"/>
    <w:qFormat/>
    <w:uiPriority w:val="0"/>
    <w:pPr>
      <w:spacing w:line="360" w:lineRule="auto"/>
      <w:ind w:firstLine="482"/>
    </w:pPr>
    <w:rPr>
      <w:rFonts w:hAnsi="宋体"/>
    </w:rPr>
  </w:style>
  <w:style w:type="paragraph" w:customStyle="1" w:styleId="2634">
    <w:name w:val="表内文字小2111"/>
    <w:basedOn w:val="1"/>
    <w:qFormat/>
    <w:uiPriority w:val="0"/>
    <w:pPr>
      <w:adjustRightInd w:val="0"/>
      <w:snapToGrid w:val="0"/>
      <w:jc w:val="center"/>
    </w:pPr>
    <w:rPr>
      <w:rFonts w:hAnsi="Times"/>
      <w:bCs/>
      <w:color w:val="000000"/>
    </w:rPr>
  </w:style>
  <w:style w:type="paragraph" w:customStyle="1" w:styleId="2635">
    <w:name w:val="表内文字小2122"/>
    <w:basedOn w:val="1"/>
    <w:qFormat/>
    <w:uiPriority w:val="0"/>
    <w:pPr>
      <w:adjustRightInd w:val="0"/>
      <w:snapToGrid w:val="0"/>
      <w:jc w:val="center"/>
    </w:pPr>
    <w:rPr>
      <w:rFonts w:hAnsi="Times"/>
      <w:bCs/>
      <w:color w:val="000000"/>
    </w:rPr>
  </w:style>
  <w:style w:type="paragraph" w:customStyle="1" w:styleId="2636">
    <w:name w:val="样式 标题 3 + 段前: 6 磅 段后: 3 磅 行距: 固定值 24 磅"/>
    <w:basedOn w:val="6"/>
    <w:qFormat/>
    <w:uiPriority w:val="0"/>
    <w:pPr>
      <w:tabs>
        <w:tab w:val="left" w:pos="233"/>
        <w:tab w:val="left" w:pos="900"/>
      </w:tabs>
      <w:spacing w:before="120" w:after="120" w:line="324" w:lineRule="auto"/>
      <w:ind w:left="233"/>
    </w:pPr>
    <w:rPr>
      <w:rFonts w:hAnsi="宋体" w:cs="宋体"/>
      <w:bCs w:val="0"/>
      <w:color w:val="000000"/>
      <w:sz w:val="28"/>
      <w:szCs w:val="30"/>
    </w:rPr>
  </w:style>
  <w:style w:type="paragraph" w:customStyle="1" w:styleId="2637">
    <w:name w:val="Char Char Char Char Char Char Char Char1"/>
    <w:basedOn w:val="1"/>
    <w:qFormat/>
    <w:uiPriority w:val="0"/>
    <w:pPr>
      <w:adjustRightInd w:val="0"/>
      <w:spacing w:line="400" w:lineRule="exact"/>
      <w:ind w:firstLine="601"/>
    </w:pPr>
    <w:rPr>
      <w:rFonts w:eastAsia="楷体_GB2312"/>
      <w:spacing w:val="8"/>
    </w:rPr>
  </w:style>
  <w:style w:type="paragraph" w:customStyle="1" w:styleId="2638">
    <w:name w:val="正文格式25"/>
    <w:basedOn w:val="1"/>
    <w:qFormat/>
    <w:uiPriority w:val="0"/>
    <w:pPr>
      <w:spacing w:line="360" w:lineRule="auto"/>
      <w:ind w:firstLine="482"/>
    </w:pPr>
    <w:rPr>
      <w:rFonts w:hAnsi="宋体"/>
    </w:rPr>
  </w:style>
  <w:style w:type="paragraph" w:customStyle="1" w:styleId="2639">
    <w:name w:val="表文字515"/>
    <w:basedOn w:val="1"/>
    <w:qFormat/>
    <w:uiPriority w:val="0"/>
    <w:pPr>
      <w:adjustRightInd w:val="0"/>
      <w:jc w:val="left"/>
      <w:textAlignment w:val="baseline"/>
    </w:pPr>
  </w:style>
  <w:style w:type="paragraph" w:customStyle="1" w:styleId="2640">
    <w:name w:val="表内宋5中114"/>
    <w:basedOn w:val="1"/>
    <w:qFormat/>
    <w:uiPriority w:val="0"/>
    <w:pPr>
      <w:adjustRightInd w:val="0"/>
      <w:snapToGrid w:val="0"/>
      <w:jc w:val="center"/>
      <w:textAlignment w:val="baseline"/>
    </w:pPr>
    <w:rPr>
      <w:rFonts w:hAnsi="宋体" w:cs="宋体"/>
    </w:rPr>
  </w:style>
  <w:style w:type="paragraph" w:customStyle="1" w:styleId="2641">
    <w:name w:val="表内5中411"/>
    <w:basedOn w:val="1"/>
    <w:qFormat/>
    <w:uiPriority w:val="0"/>
    <w:pPr>
      <w:adjustRightInd w:val="0"/>
      <w:snapToGrid w:val="0"/>
      <w:jc w:val="center"/>
    </w:pPr>
    <w:rPr>
      <w:bCs/>
    </w:rPr>
  </w:style>
  <w:style w:type="paragraph" w:customStyle="1" w:styleId="2642">
    <w:name w:val="ttxtl"/>
    <w:basedOn w:val="1"/>
    <w:qFormat/>
    <w:uiPriority w:val="0"/>
    <w:pPr>
      <w:widowControl/>
      <w:spacing w:before="100" w:beforeAutospacing="1" w:after="100" w:afterAutospacing="1"/>
      <w:jc w:val="left"/>
    </w:pPr>
    <w:rPr>
      <w:rFonts w:hAnsi="宋体"/>
    </w:rPr>
  </w:style>
  <w:style w:type="paragraph" w:customStyle="1" w:styleId="2643">
    <w:name w:val="表22"/>
    <w:basedOn w:val="1"/>
    <w:qFormat/>
    <w:uiPriority w:val="0"/>
    <w:pPr>
      <w:adjustRightInd w:val="0"/>
      <w:snapToGrid w:val="0"/>
      <w:jc w:val="center"/>
    </w:pPr>
    <w:rPr>
      <w:rFonts w:eastAsia="仿宋_GB2312"/>
    </w:rPr>
  </w:style>
  <w:style w:type="paragraph" w:customStyle="1" w:styleId="2644">
    <w:name w:val="钢铁表"/>
    <w:basedOn w:val="1"/>
    <w:qFormat/>
    <w:uiPriority w:val="0"/>
    <w:pPr>
      <w:adjustRightInd w:val="0"/>
      <w:snapToGrid w:val="0"/>
    </w:pPr>
  </w:style>
  <w:style w:type="paragraph" w:customStyle="1" w:styleId="2645">
    <w:name w:val="bg表内容"/>
    <w:basedOn w:val="2401"/>
    <w:next w:val="2402"/>
    <w:qFormat/>
    <w:uiPriority w:val="0"/>
    <w:pPr>
      <w:ind w:left="-113" w:right="-113"/>
      <w:jc w:val="center"/>
    </w:pPr>
    <w:rPr>
      <w:sz w:val="18"/>
    </w:rPr>
  </w:style>
  <w:style w:type="paragraph" w:customStyle="1" w:styleId="2646">
    <w:name w:val="xl631"/>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2647">
    <w:name w:val="表题151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648">
    <w:name w:val="小四居中行1"/>
    <w:basedOn w:val="1"/>
    <w:qFormat/>
    <w:uiPriority w:val="0"/>
    <w:pPr>
      <w:ind w:left="140"/>
      <w:jc w:val="center"/>
    </w:pPr>
    <w:rPr>
      <w:rFonts w:eastAsia="仿宋_GB2312"/>
    </w:rPr>
  </w:style>
  <w:style w:type="paragraph" w:customStyle="1" w:styleId="2649">
    <w:name w:val="Char4 Char Char Char Char Char Char Char Char Char Char Char Char Char Char Char Char Char1 Char Char Char Char Char Char1 Char Char Char Char"/>
    <w:basedOn w:val="1"/>
    <w:qFormat/>
    <w:uiPriority w:val="0"/>
    <w:pPr>
      <w:spacing w:line="240" w:lineRule="exact"/>
      <w:ind w:firstLine="200" w:firstLineChars="200"/>
    </w:pPr>
    <w:rPr>
      <w:sz w:val="28"/>
      <w:szCs w:val="28"/>
    </w:rPr>
  </w:style>
  <w:style w:type="paragraph" w:customStyle="1" w:styleId="2650">
    <w:name w:val="Char4 Char Char Char Char Char Char Char Char Char Char Char Char Char Char Char Char Char1 Char Char Char Char Char Char"/>
    <w:basedOn w:val="1"/>
    <w:qFormat/>
    <w:uiPriority w:val="0"/>
    <w:pPr>
      <w:spacing w:line="240" w:lineRule="exact"/>
      <w:ind w:firstLine="200" w:firstLineChars="200"/>
    </w:pPr>
    <w:rPr>
      <w:sz w:val="28"/>
      <w:szCs w:val="28"/>
    </w:rPr>
  </w:style>
  <w:style w:type="paragraph" w:customStyle="1" w:styleId="2651">
    <w:name w:val="正文格式2"/>
    <w:basedOn w:val="1"/>
    <w:qFormat/>
    <w:uiPriority w:val="0"/>
    <w:pPr>
      <w:spacing w:line="360" w:lineRule="auto"/>
      <w:ind w:firstLine="482"/>
    </w:pPr>
    <w:rPr>
      <w:rFonts w:hAnsi="宋体"/>
    </w:rPr>
  </w:style>
  <w:style w:type="paragraph" w:customStyle="1" w:styleId="2652">
    <w:name w:val="Char64"/>
    <w:basedOn w:val="1"/>
    <w:qFormat/>
    <w:uiPriority w:val="0"/>
    <w:pPr>
      <w:adjustRightInd w:val="0"/>
      <w:snapToGrid w:val="0"/>
      <w:spacing w:beforeLines="50" w:line="360" w:lineRule="auto"/>
    </w:pPr>
    <w:rPr>
      <w:rFonts w:ascii="黑体" w:eastAsia="黑体"/>
      <w:sz w:val="32"/>
      <w:szCs w:val="32"/>
    </w:rPr>
  </w:style>
  <w:style w:type="paragraph" w:customStyle="1" w:styleId="2653">
    <w:name w:val="表313"/>
    <w:basedOn w:val="1"/>
    <w:qFormat/>
    <w:uiPriority w:val="0"/>
    <w:pPr>
      <w:adjustRightInd w:val="0"/>
      <w:snapToGrid w:val="0"/>
      <w:jc w:val="center"/>
    </w:pPr>
    <w:rPr>
      <w:rFonts w:eastAsia="仿宋_GB2312"/>
    </w:rPr>
  </w:style>
  <w:style w:type="paragraph" w:customStyle="1" w:styleId="2654">
    <w:name w:val="Char51"/>
    <w:basedOn w:val="1"/>
    <w:qFormat/>
    <w:uiPriority w:val="0"/>
    <w:pPr>
      <w:adjustRightInd w:val="0"/>
      <w:snapToGrid w:val="0"/>
      <w:ind w:left="-45"/>
    </w:pPr>
  </w:style>
  <w:style w:type="paragraph" w:customStyle="1" w:styleId="2655">
    <w:name w:val="表内5中2"/>
    <w:basedOn w:val="1"/>
    <w:qFormat/>
    <w:uiPriority w:val="0"/>
    <w:pPr>
      <w:adjustRightInd w:val="0"/>
      <w:snapToGrid w:val="0"/>
      <w:jc w:val="center"/>
    </w:pPr>
    <w:rPr>
      <w:rFonts w:hAnsi="宋体" w:cs="Arial"/>
      <w:snapToGrid w:val="0"/>
      <w:color w:val="000000"/>
      <w:szCs w:val="21"/>
    </w:rPr>
  </w:style>
  <w:style w:type="paragraph" w:customStyle="1" w:styleId="2656">
    <w:name w:val="表内小5中13"/>
    <w:basedOn w:val="1"/>
    <w:qFormat/>
    <w:uiPriority w:val="0"/>
    <w:pPr>
      <w:adjustRightInd w:val="0"/>
      <w:snapToGrid w:val="0"/>
      <w:jc w:val="center"/>
    </w:pPr>
    <w:rPr>
      <w:rFonts w:hAnsi="宋体"/>
      <w:sz w:val="18"/>
    </w:rPr>
  </w:style>
  <w:style w:type="paragraph" w:customStyle="1" w:styleId="2657">
    <w:name w:val="Char Char Char Char Char Char Char25"/>
    <w:basedOn w:val="1"/>
    <w:qFormat/>
    <w:uiPriority w:val="0"/>
  </w:style>
  <w:style w:type="paragraph" w:customStyle="1" w:styleId="2658">
    <w:name w:val="黑体三号51"/>
    <w:basedOn w:val="239"/>
    <w:qFormat/>
    <w:uiPriority w:val="0"/>
    <w:pPr>
      <w:jc w:val="center"/>
    </w:pPr>
    <w:rPr>
      <w:rFonts w:ascii="黑体" w:hAnsi="宋体" w:eastAsia="黑体"/>
      <w:b/>
      <w:bCs/>
      <w:sz w:val="32"/>
      <w:szCs w:val="20"/>
    </w:rPr>
  </w:style>
  <w:style w:type="paragraph" w:customStyle="1" w:styleId="2659">
    <w:name w:val="表题14111"/>
    <w:basedOn w:val="1"/>
    <w:qFormat/>
    <w:uiPriority w:val="0"/>
    <w:pPr>
      <w:widowControl/>
      <w:adjustRightInd w:val="0"/>
      <w:snapToGrid w:val="0"/>
      <w:jc w:val="center"/>
    </w:pPr>
    <w:rPr>
      <w:rFonts w:ascii="黑体" w:hAnsi="宋体" w:eastAsia="黑体" w:cs="宋体"/>
    </w:rPr>
  </w:style>
  <w:style w:type="paragraph" w:customStyle="1" w:styleId="2660">
    <w:name w:val="标题423"/>
    <w:basedOn w:val="1"/>
    <w:qFormat/>
    <w:uiPriority w:val="0"/>
    <w:pPr>
      <w:adjustRightInd w:val="0"/>
      <w:snapToGrid w:val="0"/>
      <w:spacing w:line="300" w:lineRule="auto"/>
      <w:jc w:val="left"/>
    </w:pPr>
    <w:rPr>
      <w:rFonts w:ascii="黑体" w:eastAsia="黑体"/>
      <w:bCs/>
    </w:rPr>
  </w:style>
  <w:style w:type="paragraph" w:customStyle="1" w:styleId="2661">
    <w:name w:val="正文格式54"/>
    <w:basedOn w:val="1"/>
    <w:qFormat/>
    <w:uiPriority w:val="0"/>
    <w:pPr>
      <w:spacing w:line="360" w:lineRule="auto"/>
      <w:ind w:firstLine="482"/>
    </w:pPr>
    <w:rPr>
      <w:rFonts w:hAnsi="宋体"/>
    </w:rPr>
  </w:style>
  <w:style w:type="paragraph" w:customStyle="1" w:styleId="2662">
    <w:name w:val="表内文字小2142"/>
    <w:basedOn w:val="1"/>
    <w:qFormat/>
    <w:uiPriority w:val="0"/>
    <w:pPr>
      <w:adjustRightInd w:val="0"/>
      <w:snapToGrid w:val="0"/>
      <w:jc w:val="center"/>
    </w:pPr>
    <w:rPr>
      <w:rFonts w:hAnsi="Times"/>
      <w:bCs/>
      <w:color w:val="000000"/>
    </w:rPr>
  </w:style>
  <w:style w:type="paragraph" w:customStyle="1" w:styleId="2663">
    <w:name w:val="默认段落字体 Para Char212"/>
    <w:basedOn w:val="1"/>
    <w:next w:val="1"/>
    <w:qFormat/>
    <w:uiPriority w:val="0"/>
    <w:pPr>
      <w:spacing w:line="480" w:lineRule="exact"/>
      <w:ind w:firstLine="200" w:firstLineChars="200"/>
      <w:jc w:val="left"/>
    </w:pPr>
    <w:rPr>
      <w:rFonts w:hAnsi="宋体" w:eastAsia="汉鼎简书宋" w:cs="宋体"/>
      <w:sz w:val="28"/>
    </w:rPr>
  </w:style>
  <w:style w:type="paragraph" w:customStyle="1" w:styleId="2664">
    <w:name w:val="Char Char Char1 Char Char Char1 Char Char Char1"/>
    <w:basedOn w:val="1"/>
    <w:qFormat/>
    <w:uiPriority w:val="0"/>
    <w:pPr>
      <w:spacing w:line="240" w:lineRule="exact"/>
      <w:ind w:firstLine="200" w:firstLineChars="200"/>
    </w:pPr>
    <w:rPr>
      <w:sz w:val="28"/>
      <w:szCs w:val="28"/>
    </w:rPr>
  </w:style>
  <w:style w:type="paragraph" w:customStyle="1" w:styleId="2665">
    <w:name w:val="Char Char Char Char Char Char Char Char Char1 Char Char Char Char Char Char Char Char"/>
    <w:basedOn w:val="1"/>
    <w:qFormat/>
    <w:uiPriority w:val="0"/>
    <w:pPr>
      <w:snapToGrid w:val="0"/>
      <w:spacing w:line="360" w:lineRule="auto"/>
      <w:ind w:firstLine="200" w:firstLineChars="200"/>
    </w:pPr>
    <w:rPr>
      <w:rFonts w:eastAsia="仿宋_GB2312"/>
    </w:rPr>
  </w:style>
  <w:style w:type="paragraph" w:customStyle="1" w:styleId="2666">
    <w:name w:val="表内文字小811"/>
    <w:basedOn w:val="1"/>
    <w:qFormat/>
    <w:uiPriority w:val="0"/>
    <w:pPr>
      <w:adjustRightInd w:val="0"/>
      <w:snapToGrid w:val="0"/>
      <w:jc w:val="center"/>
    </w:pPr>
    <w:rPr>
      <w:rFonts w:hAnsi="Times" w:cs="宋体"/>
    </w:rPr>
  </w:style>
  <w:style w:type="paragraph" w:customStyle="1" w:styleId="2667">
    <w:name w:val="表文字5111"/>
    <w:basedOn w:val="1"/>
    <w:qFormat/>
    <w:uiPriority w:val="0"/>
    <w:pPr>
      <w:adjustRightInd w:val="0"/>
      <w:jc w:val="left"/>
      <w:textAlignment w:val="baseline"/>
    </w:pPr>
  </w:style>
  <w:style w:type="paragraph" w:customStyle="1" w:styleId="2668">
    <w:name w:val="表内宋51112"/>
    <w:basedOn w:val="81"/>
    <w:qFormat/>
    <w:uiPriority w:val="0"/>
    <w:pPr>
      <w:widowControl/>
      <w:adjustRightInd w:val="0"/>
      <w:snapToGrid w:val="0"/>
    </w:pPr>
    <w:rPr>
      <w:rFonts w:ascii="宋体" w:hAnsi="宋体" w:cs="宋体"/>
      <w:color w:val="000000"/>
      <w:kern w:val="0"/>
      <w:sz w:val="21"/>
    </w:rPr>
  </w:style>
  <w:style w:type="paragraph" w:customStyle="1" w:styleId="2669">
    <w:name w:val="样式 表格内字体 +2"/>
    <w:basedOn w:val="1966"/>
    <w:qFormat/>
    <w:uiPriority w:val="0"/>
    <w:pPr>
      <w:spacing w:line="280" w:lineRule="exact"/>
      <w:ind w:firstLine="36"/>
      <w:jc w:val="both"/>
    </w:pPr>
    <w:rPr>
      <w:szCs w:val="24"/>
    </w:rPr>
  </w:style>
  <w:style w:type="paragraph" w:customStyle="1" w:styleId="2670">
    <w:name w:val="表3"/>
    <w:basedOn w:val="1"/>
    <w:qFormat/>
    <w:uiPriority w:val="0"/>
    <w:pPr>
      <w:adjustRightInd w:val="0"/>
      <w:snapToGrid w:val="0"/>
      <w:jc w:val="center"/>
    </w:pPr>
    <w:rPr>
      <w:rFonts w:eastAsia="仿宋_GB2312"/>
    </w:rPr>
  </w:style>
  <w:style w:type="paragraph" w:customStyle="1" w:styleId="2671">
    <w:name w:val="Char Char Char1 Char Char Char"/>
    <w:basedOn w:val="1"/>
    <w:qFormat/>
    <w:uiPriority w:val="0"/>
    <w:pPr>
      <w:spacing w:line="240" w:lineRule="exact"/>
      <w:ind w:firstLine="200" w:firstLineChars="200"/>
    </w:pPr>
    <w:rPr>
      <w:sz w:val="28"/>
      <w:szCs w:val="28"/>
    </w:rPr>
  </w:style>
  <w:style w:type="paragraph" w:customStyle="1" w:styleId="2672">
    <w:name w:val="正文图五"/>
    <w:basedOn w:val="1"/>
    <w:qFormat/>
    <w:uiPriority w:val="0"/>
    <w:pPr>
      <w:adjustRightInd w:val="0"/>
      <w:snapToGrid w:val="0"/>
      <w:jc w:val="center"/>
    </w:pPr>
    <w:rPr>
      <w:rFonts w:ascii="Arial" w:hAnsi="Arial" w:eastAsia="仿宋_GB2312"/>
      <w:snapToGrid w:val="0"/>
      <w:spacing w:val="6"/>
      <w:szCs w:val="21"/>
    </w:rPr>
  </w:style>
  <w:style w:type="paragraph" w:customStyle="1" w:styleId="2673">
    <w:name w:val="Fax Header2"/>
    <w:basedOn w:val="1"/>
    <w:qFormat/>
    <w:uiPriority w:val="0"/>
    <w:pPr>
      <w:widowControl/>
      <w:spacing w:before="240" w:after="60"/>
      <w:jc w:val="left"/>
    </w:pPr>
    <w:rPr>
      <w:sz w:val="20"/>
    </w:rPr>
  </w:style>
  <w:style w:type="paragraph" w:customStyle="1" w:styleId="2674">
    <w:name w:val="表内文字小217"/>
    <w:basedOn w:val="1"/>
    <w:qFormat/>
    <w:uiPriority w:val="0"/>
    <w:pPr>
      <w:adjustRightInd w:val="0"/>
      <w:snapToGrid w:val="0"/>
      <w:jc w:val="center"/>
    </w:pPr>
    <w:rPr>
      <w:rFonts w:hAnsi="Times"/>
      <w:bCs/>
      <w:color w:val="000000"/>
    </w:rPr>
  </w:style>
  <w:style w:type="paragraph" w:customStyle="1" w:styleId="2675">
    <w:name w:val="表头四号 + 段前: 0.5 行 + 段前: 0.5 行"/>
    <w:basedOn w:val="1"/>
    <w:qFormat/>
    <w:uiPriority w:val="0"/>
    <w:pPr>
      <w:adjustRightInd w:val="0"/>
      <w:snapToGrid w:val="0"/>
      <w:spacing w:beforeLines="25" w:line="500" w:lineRule="atLeast"/>
    </w:pPr>
    <w:rPr>
      <w:rFonts w:hAnsi="宋体" w:cs="宋体"/>
      <w:b/>
      <w:bCs/>
      <w:sz w:val="28"/>
    </w:rPr>
  </w:style>
  <w:style w:type="paragraph" w:customStyle="1" w:styleId="2676">
    <w:name w:val="表内5112"/>
    <w:basedOn w:val="1"/>
    <w:qFormat/>
    <w:uiPriority w:val="0"/>
    <w:pPr>
      <w:adjustRightInd w:val="0"/>
      <w:snapToGrid w:val="0"/>
      <w:jc w:val="center"/>
    </w:pPr>
    <w:rPr>
      <w:rFonts w:hAnsi="宋体"/>
      <w:sz w:val="20"/>
    </w:rPr>
  </w:style>
  <w:style w:type="paragraph" w:customStyle="1" w:styleId="2677">
    <w:name w:val="正文文字首航缩2字"/>
    <w:basedOn w:val="1"/>
    <w:qFormat/>
    <w:uiPriority w:val="0"/>
    <w:pPr>
      <w:spacing w:line="360" w:lineRule="auto"/>
      <w:ind w:firstLine="200" w:firstLineChars="200"/>
    </w:pPr>
  </w:style>
  <w:style w:type="paragraph" w:customStyle="1" w:styleId="2678">
    <w:name w:val="Char1511"/>
    <w:basedOn w:val="1"/>
    <w:qFormat/>
    <w:uiPriority w:val="0"/>
    <w:pPr>
      <w:adjustRightInd w:val="0"/>
      <w:snapToGrid w:val="0"/>
      <w:spacing w:beforeLines="50" w:line="360" w:lineRule="auto"/>
    </w:pPr>
    <w:rPr>
      <w:rFonts w:ascii="黑体" w:eastAsia="黑体"/>
      <w:sz w:val="32"/>
      <w:szCs w:val="32"/>
    </w:rPr>
  </w:style>
  <w:style w:type="paragraph" w:customStyle="1" w:styleId="2679">
    <w:name w:val="图题1"/>
    <w:basedOn w:val="1"/>
    <w:next w:val="1"/>
    <w:qFormat/>
    <w:uiPriority w:val="0"/>
    <w:pPr>
      <w:spacing w:line="360" w:lineRule="auto"/>
      <w:ind w:firstLine="422" w:firstLineChars="200"/>
      <w:jc w:val="center"/>
    </w:pPr>
    <w:rPr>
      <w:rFonts w:cs="宋体"/>
      <w:b/>
      <w:bCs/>
    </w:rPr>
  </w:style>
  <w:style w:type="paragraph" w:customStyle="1" w:styleId="2680">
    <w:name w:val="文本框111"/>
    <w:basedOn w:val="1"/>
    <w:qFormat/>
    <w:uiPriority w:val="0"/>
    <w:pPr>
      <w:adjustRightInd w:val="0"/>
      <w:snapToGrid w:val="0"/>
      <w:spacing w:after="6"/>
      <w:jc w:val="center"/>
    </w:pPr>
    <w:rPr>
      <w:rFonts w:eastAsia="仿宋_GB2312"/>
    </w:rPr>
  </w:style>
  <w:style w:type="paragraph" w:customStyle="1" w:styleId="2681">
    <w:name w:val="样式 (符号) 宋体 首行缩进:  0.85 厘米 行距: 固定值 25 磅"/>
    <w:basedOn w:val="1"/>
    <w:qFormat/>
    <w:uiPriority w:val="0"/>
    <w:pPr>
      <w:spacing w:line="500" w:lineRule="exact"/>
      <w:ind w:firstLine="480"/>
    </w:pPr>
    <w:rPr>
      <w:rFonts w:hAnsi="宋体" w:cs="宋体"/>
    </w:rPr>
  </w:style>
  <w:style w:type="paragraph" w:customStyle="1" w:styleId="2682">
    <w:name w:val="正文格式17"/>
    <w:basedOn w:val="1"/>
    <w:qFormat/>
    <w:uiPriority w:val="0"/>
    <w:pPr>
      <w:spacing w:line="360" w:lineRule="auto"/>
      <w:ind w:firstLine="482"/>
    </w:pPr>
    <w:rPr>
      <w:rFonts w:hAnsi="宋体"/>
    </w:rPr>
  </w:style>
  <w:style w:type="paragraph" w:customStyle="1" w:styleId="2683">
    <w:name w:val="表内文字小21313"/>
    <w:basedOn w:val="1"/>
    <w:qFormat/>
    <w:uiPriority w:val="0"/>
    <w:pPr>
      <w:adjustRightInd w:val="0"/>
      <w:snapToGrid w:val="0"/>
      <w:jc w:val="center"/>
      <w:textAlignment w:val="baseline"/>
    </w:pPr>
    <w:rPr>
      <w:rFonts w:hAnsi="Times"/>
      <w:bCs/>
      <w:color w:val="000000"/>
    </w:rPr>
  </w:style>
  <w:style w:type="paragraph" w:customStyle="1" w:styleId="2684">
    <w:name w:val="Char214"/>
    <w:basedOn w:val="1"/>
    <w:qFormat/>
    <w:uiPriority w:val="0"/>
    <w:pPr>
      <w:adjustRightInd w:val="0"/>
      <w:snapToGrid w:val="0"/>
      <w:spacing w:beforeLines="50" w:line="360" w:lineRule="auto"/>
    </w:pPr>
    <w:rPr>
      <w:rFonts w:ascii="黑体" w:eastAsia="黑体"/>
      <w:sz w:val="32"/>
      <w:szCs w:val="32"/>
    </w:rPr>
  </w:style>
  <w:style w:type="paragraph" w:customStyle="1" w:styleId="2685">
    <w:name w:val="Char512"/>
    <w:basedOn w:val="1"/>
    <w:qFormat/>
    <w:uiPriority w:val="0"/>
    <w:pPr>
      <w:adjustRightInd w:val="0"/>
      <w:snapToGrid w:val="0"/>
      <w:ind w:left="-45"/>
    </w:pPr>
  </w:style>
  <w:style w:type="paragraph" w:customStyle="1" w:styleId="2686">
    <w:name w:val="白洋淀目录"/>
    <w:basedOn w:val="1"/>
    <w:next w:val="59"/>
    <w:qFormat/>
    <w:uiPriority w:val="0"/>
    <w:pPr>
      <w:pBdr>
        <w:top w:val="single" w:color="auto" w:sz="4" w:space="1"/>
      </w:pBdr>
      <w:spacing w:line="360" w:lineRule="auto"/>
      <w:ind w:firstLine="200" w:firstLineChars="200"/>
    </w:pPr>
    <w:rPr>
      <w:rFonts w:cs="宋体"/>
    </w:rPr>
  </w:style>
  <w:style w:type="paragraph" w:customStyle="1" w:styleId="2687">
    <w:name w:val="Table"/>
    <w:basedOn w:val="1"/>
    <w:next w:val="1"/>
    <w:qFormat/>
    <w:uiPriority w:val="0"/>
    <w:pPr>
      <w:widowControl/>
      <w:jc w:val="center"/>
    </w:pPr>
    <w:rPr>
      <w:sz w:val="20"/>
      <w:lang w:val="en-GB"/>
    </w:rPr>
  </w:style>
  <w:style w:type="paragraph" w:customStyle="1" w:styleId="2688">
    <w:name w:val="Char4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689">
    <w:name w:val="正文格式16"/>
    <w:basedOn w:val="1"/>
    <w:qFormat/>
    <w:uiPriority w:val="0"/>
    <w:pPr>
      <w:spacing w:line="360" w:lineRule="auto"/>
      <w:ind w:firstLine="482"/>
    </w:pPr>
    <w:rPr>
      <w:rFonts w:hAnsi="宋体"/>
    </w:rPr>
  </w:style>
  <w:style w:type="paragraph" w:customStyle="1" w:styleId="2690">
    <w:name w:val="1主报告正文格式"/>
    <w:basedOn w:val="1"/>
    <w:next w:val="1"/>
    <w:qFormat/>
    <w:uiPriority w:val="0"/>
    <w:pPr>
      <w:spacing w:line="480" w:lineRule="exact"/>
      <w:ind w:firstLine="200" w:firstLineChars="200"/>
      <w:jc w:val="left"/>
    </w:pPr>
    <w:rPr>
      <w:rFonts w:hAnsi="宋体"/>
    </w:rPr>
  </w:style>
  <w:style w:type="paragraph" w:customStyle="1" w:styleId="2691">
    <w:name w:val="样式 样式 宋体 + 首行缩进:  2 字符11"/>
    <w:basedOn w:val="1"/>
    <w:qFormat/>
    <w:uiPriority w:val="0"/>
    <w:pPr>
      <w:spacing w:line="360" w:lineRule="auto"/>
      <w:ind w:firstLine="480" w:firstLineChars="200"/>
      <w:jc w:val="left"/>
    </w:pPr>
    <w:rPr>
      <w:rFonts w:cs="宋体"/>
    </w:rPr>
  </w:style>
  <w:style w:type="paragraph" w:customStyle="1" w:styleId="2692">
    <w:name w:val="9 Char Char Char5"/>
    <w:basedOn w:val="1"/>
    <w:qFormat/>
    <w:uiPriority w:val="0"/>
    <w:pPr>
      <w:spacing w:line="240" w:lineRule="exact"/>
      <w:ind w:firstLine="200" w:firstLineChars="200"/>
    </w:pPr>
    <w:rPr>
      <w:sz w:val="28"/>
      <w:szCs w:val="28"/>
    </w:rPr>
  </w:style>
  <w:style w:type="paragraph" w:customStyle="1" w:styleId="2693">
    <w:name w:val="Char428"/>
    <w:basedOn w:val="1"/>
    <w:qFormat/>
    <w:uiPriority w:val="0"/>
    <w:pPr>
      <w:ind w:left="-48"/>
    </w:pPr>
  </w:style>
  <w:style w:type="paragraph" w:customStyle="1" w:styleId="2694">
    <w:name w:val="附件2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695">
    <w:name w:val="标题43"/>
    <w:basedOn w:val="1"/>
    <w:qFormat/>
    <w:uiPriority w:val="0"/>
    <w:pPr>
      <w:adjustRightInd w:val="0"/>
      <w:snapToGrid w:val="0"/>
      <w:spacing w:line="300" w:lineRule="auto"/>
      <w:jc w:val="left"/>
    </w:pPr>
    <w:rPr>
      <w:rFonts w:ascii="黑体" w:eastAsia="黑体"/>
      <w:bCs/>
    </w:rPr>
  </w:style>
  <w:style w:type="paragraph" w:customStyle="1" w:styleId="2696">
    <w:name w:val="Char328"/>
    <w:basedOn w:val="1"/>
    <w:qFormat/>
    <w:uiPriority w:val="0"/>
    <w:pPr>
      <w:ind w:left="-48"/>
    </w:pPr>
  </w:style>
  <w:style w:type="paragraph" w:customStyle="1" w:styleId="2697">
    <w:name w:val="附件113"/>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698">
    <w:name w:val="sss"/>
    <w:basedOn w:val="1"/>
    <w:qFormat/>
    <w:uiPriority w:val="0"/>
    <w:pPr>
      <w:tabs>
        <w:tab w:val="left" w:pos="480"/>
        <w:tab w:val="left" w:pos="648"/>
      </w:tabs>
      <w:autoSpaceDE w:val="0"/>
      <w:autoSpaceDN w:val="0"/>
      <w:adjustRightInd w:val="0"/>
      <w:ind w:left="432" w:hanging="144"/>
    </w:pPr>
    <w:rPr>
      <w:rFonts w:ascii="Bookman Old Style" w:hAnsi="Bookman Old Style" w:cs="Arial"/>
      <w:bCs/>
      <w:sz w:val="22"/>
    </w:rPr>
  </w:style>
  <w:style w:type="paragraph" w:customStyle="1" w:styleId="2699">
    <w:name w:val="正文格式＝511"/>
    <w:basedOn w:val="239"/>
    <w:next w:val="239"/>
    <w:qFormat/>
    <w:uiPriority w:val="0"/>
    <w:rPr>
      <w:rFonts w:hAnsi="宋体"/>
    </w:rPr>
  </w:style>
  <w:style w:type="paragraph" w:customStyle="1" w:styleId="2700">
    <w:name w:val="黑体三号41"/>
    <w:basedOn w:val="239"/>
    <w:qFormat/>
    <w:uiPriority w:val="0"/>
    <w:pPr>
      <w:jc w:val="center"/>
    </w:pPr>
    <w:rPr>
      <w:rFonts w:ascii="黑体" w:hAnsi="宋体" w:eastAsia="黑体"/>
      <w:b/>
      <w:bCs/>
      <w:sz w:val="32"/>
      <w:szCs w:val="20"/>
    </w:rPr>
  </w:style>
  <w:style w:type="paragraph" w:customStyle="1" w:styleId="2701">
    <w:name w:val="附件34"/>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702">
    <w:name w:val="Char218"/>
    <w:basedOn w:val="1"/>
    <w:qFormat/>
    <w:uiPriority w:val="0"/>
    <w:pPr>
      <w:ind w:left="-48"/>
    </w:pPr>
  </w:style>
  <w:style w:type="paragraph" w:customStyle="1" w:styleId="2703">
    <w:name w:val="图表题11"/>
    <w:basedOn w:val="239"/>
    <w:next w:val="239"/>
    <w:qFormat/>
    <w:uiPriority w:val="0"/>
    <w:pPr>
      <w:ind w:firstLine="0"/>
      <w:jc w:val="center"/>
    </w:pPr>
    <w:rPr>
      <w:rFonts w:ascii="黑体" w:hAnsi="宋体" w:eastAsia="黑体"/>
      <w:b/>
      <w:bCs/>
    </w:rPr>
  </w:style>
  <w:style w:type="paragraph" w:customStyle="1" w:styleId="2704">
    <w:name w:val="Char912"/>
    <w:basedOn w:val="1"/>
    <w:qFormat/>
    <w:uiPriority w:val="0"/>
    <w:pPr>
      <w:ind w:left="-48"/>
    </w:pPr>
  </w:style>
  <w:style w:type="paragraph" w:customStyle="1" w:styleId="2705">
    <w:name w:val="标题412"/>
    <w:basedOn w:val="7"/>
    <w:next w:val="1"/>
    <w:qFormat/>
    <w:uiPriority w:val="0"/>
    <w:pPr>
      <w:spacing w:before="160" w:after="170" w:line="360" w:lineRule="auto"/>
    </w:pPr>
    <w:rPr>
      <w:rFonts w:ascii="黑体" w:eastAsia="黑体"/>
      <w:b/>
      <w:kern w:val="0"/>
      <w:sz w:val="24"/>
    </w:rPr>
  </w:style>
  <w:style w:type="paragraph" w:customStyle="1" w:styleId="2706">
    <w:name w:val="表格内字体41"/>
    <w:basedOn w:val="239"/>
    <w:next w:val="239"/>
    <w:qFormat/>
    <w:uiPriority w:val="0"/>
    <w:pPr>
      <w:spacing w:line="240" w:lineRule="auto"/>
      <w:ind w:firstLine="0"/>
      <w:jc w:val="center"/>
    </w:pPr>
    <w:rPr>
      <w:rFonts w:hAnsi="宋体"/>
      <w:sz w:val="21"/>
    </w:rPr>
  </w:style>
  <w:style w:type="paragraph" w:customStyle="1" w:styleId="2707">
    <w:name w:val="黑体三号12"/>
    <w:basedOn w:val="239"/>
    <w:qFormat/>
    <w:uiPriority w:val="0"/>
    <w:pPr>
      <w:jc w:val="center"/>
    </w:pPr>
    <w:rPr>
      <w:rFonts w:ascii="黑体" w:hAnsi="宋体" w:eastAsia="黑体"/>
      <w:b/>
      <w:bCs/>
      <w:sz w:val="32"/>
      <w:szCs w:val="20"/>
    </w:rPr>
  </w:style>
  <w:style w:type="paragraph" w:customStyle="1" w:styleId="2708">
    <w:name w:val="表中文字313"/>
    <w:basedOn w:val="1"/>
    <w:qFormat/>
    <w:uiPriority w:val="0"/>
    <w:pPr>
      <w:widowControl/>
      <w:spacing w:line="240" w:lineRule="atLeast"/>
      <w:ind w:left="-24" w:leftChars="-10" w:right="-48" w:rightChars="-20"/>
      <w:jc w:val="center"/>
    </w:pPr>
    <w:rPr>
      <w:szCs w:val="21"/>
    </w:rPr>
  </w:style>
  <w:style w:type="paragraph" w:customStyle="1" w:styleId="2709">
    <w:name w:val="附件13"/>
    <w:basedOn w:val="4"/>
    <w:next w:val="239"/>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sz w:val="32"/>
      <w:szCs w:val="32"/>
    </w:rPr>
  </w:style>
  <w:style w:type="paragraph" w:customStyle="1" w:styleId="2710">
    <w:name w:val="Char Char2 Char Char Char Char211"/>
    <w:basedOn w:val="1"/>
    <w:qFormat/>
    <w:uiPriority w:val="0"/>
  </w:style>
  <w:style w:type="paragraph" w:customStyle="1" w:styleId="2711">
    <w:name w:val="正文.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12">
    <w:name w:val="图表名称"/>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2713">
    <w:name w:val="福建正文缩进12"/>
    <w:basedOn w:val="22"/>
    <w:qFormat/>
    <w:uiPriority w:val="0"/>
    <w:pPr>
      <w:adjustRightInd w:val="0"/>
      <w:snapToGrid w:val="0"/>
      <w:spacing w:line="360" w:lineRule="auto"/>
      <w:ind w:firstLine="567" w:firstLineChars="0"/>
    </w:pPr>
    <w:rPr>
      <w:rFonts w:ascii="宋体"/>
      <w:kern w:val="0"/>
      <w:sz w:val="24"/>
    </w:rPr>
  </w:style>
  <w:style w:type="paragraph" w:customStyle="1" w:styleId="2714">
    <w:name w:val="Char232"/>
    <w:basedOn w:val="1"/>
    <w:qFormat/>
    <w:uiPriority w:val="0"/>
    <w:pPr>
      <w:ind w:left="-48"/>
    </w:pPr>
  </w:style>
  <w:style w:type="paragraph" w:customStyle="1" w:styleId="2715">
    <w:name w:val="表格内容4"/>
    <w:qFormat/>
    <w:uiPriority w:val="0"/>
    <w:pPr>
      <w:jc w:val="center"/>
    </w:pPr>
    <w:rPr>
      <w:rFonts w:ascii="Times New Roman" w:hAnsi="Times New Roman" w:eastAsia="宋体" w:cs="Times New Roman"/>
      <w:kern w:val="2"/>
      <w:sz w:val="21"/>
      <w:szCs w:val="21"/>
      <w:lang w:val="en-US" w:eastAsia="zh-CN" w:bidi="ar-SA"/>
    </w:rPr>
  </w:style>
  <w:style w:type="paragraph" w:customStyle="1" w:styleId="2716">
    <w:name w:val="燕山正文1"/>
    <w:basedOn w:val="1"/>
    <w:qFormat/>
    <w:uiPriority w:val="0"/>
    <w:pPr>
      <w:tabs>
        <w:tab w:val="left" w:pos="4680"/>
      </w:tabs>
      <w:adjustRightInd w:val="0"/>
      <w:snapToGrid w:val="0"/>
      <w:spacing w:line="480" w:lineRule="exact"/>
    </w:pPr>
    <w:rPr>
      <w:rFonts w:cs="宋体"/>
    </w:rPr>
  </w:style>
  <w:style w:type="paragraph" w:customStyle="1" w:styleId="2717">
    <w:name w:val="燕山正文11213"/>
    <w:basedOn w:val="1"/>
    <w:qFormat/>
    <w:uiPriority w:val="0"/>
    <w:pPr>
      <w:tabs>
        <w:tab w:val="left" w:pos="4680"/>
      </w:tabs>
      <w:adjustRightInd w:val="0"/>
      <w:snapToGrid w:val="0"/>
      <w:spacing w:line="480" w:lineRule="exact"/>
    </w:pPr>
    <w:rPr>
      <w:rFonts w:hAnsi="宋体" w:cs="宋体"/>
      <w:bCs/>
      <w:color w:val="000000"/>
    </w:rPr>
  </w:style>
  <w:style w:type="paragraph" w:customStyle="1" w:styleId="2718">
    <w:name w:val="Char Char2 Char Char Char Char27"/>
    <w:basedOn w:val="1"/>
    <w:qFormat/>
    <w:uiPriority w:val="0"/>
  </w:style>
  <w:style w:type="paragraph" w:customStyle="1" w:styleId="2719">
    <w:name w:val="表格内字体12"/>
    <w:basedOn w:val="239"/>
    <w:next w:val="239"/>
    <w:qFormat/>
    <w:uiPriority w:val="0"/>
    <w:pPr>
      <w:spacing w:line="240" w:lineRule="auto"/>
      <w:ind w:firstLine="0"/>
      <w:jc w:val="center"/>
    </w:pPr>
    <w:rPr>
      <w:rFonts w:hAnsi="宋体"/>
      <w:sz w:val="21"/>
    </w:rPr>
  </w:style>
  <w:style w:type="paragraph" w:customStyle="1" w:styleId="2720">
    <w:name w:val="图题111"/>
    <w:basedOn w:val="239"/>
    <w:next w:val="239"/>
    <w:qFormat/>
    <w:uiPriority w:val="0"/>
    <w:pPr>
      <w:ind w:firstLine="0"/>
      <w:jc w:val="center"/>
    </w:pPr>
    <w:rPr>
      <w:rFonts w:ascii="黑体" w:hAnsi="宋体" w:eastAsia="黑体"/>
      <w:b/>
      <w:bCs/>
    </w:rPr>
  </w:style>
  <w:style w:type="paragraph" w:customStyle="1" w:styleId="2721">
    <w:name w:val="生物中文类名"/>
    <w:basedOn w:val="1"/>
    <w:qFormat/>
    <w:uiPriority w:val="0"/>
    <w:pPr>
      <w:tabs>
        <w:tab w:val="left" w:pos="-120"/>
      </w:tabs>
      <w:spacing w:before="60" w:line="310" w:lineRule="atLeast"/>
      <w:ind w:firstLine="562" w:firstLineChars="200"/>
    </w:pPr>
    <w:rPr>
      <w:rFonts w:hAnsi="宋体"/>
      <w:b/>
      <w:color w:val="000000"/>
      <w:spacing w:val="20"/>
    </w:rPr>
  </w:style>
  <w:style w:type="paragraph" w:customStyle="1" w:styleId="2722">
    <w:name w:val="黑体三号14"/>
    <w:basedOn w:val="239"/>
    <w:qFormat/>
    <w:uiPriority w:val="0"/>
    <w:pPr>
      <w:jc w:val="center"/>
    </w:pPr>
    <w:rPr>
      <w:rFonts w:ascii="黑体" w:hAnsi="宋体" w:eastAsia="黑体"/>
      <w:b/>
      <w:bCs/>
      <w:sz w:val="32"/>
      <w:szCs w:val="20"/>
    </w:rPr>
  </w:style>
  <w:style w:type="paragraph" w:customStyle="1" w:styleId="2723">
    <w:name w:val="样式 标题 3小标题小节标题标题3H3h33rd level第二层条标题4 + Arial Char Char"/>
    <w:basedOn w:val="6"/>
    <w:qFormat/>
    <w:uiPriority w:val="0"/>
    <w:pPr>
      <w:tabs>
        <w:tab w:val="left" w:pos="0"/>
        <w:tab w:val="left" w:pos="233"/>
        <w:tab w:val="left" w:pos="993"/>
      </w:tabs>
      <w:adjustRightInd w:val="0"/>
      <w:spacing w:before="120" w:after="60" w:line="240" w:lineRule="auto"/>
      <w:ind w:left="851"/>
      <w:jc w:val="left"/>
      <w:textAlignment w:val="baseline"/>
    </w:pPr>
    <w:rPr>
      <w:kern w:val="32"/>
      <w:sz w:val="30"/>
      <w:szCs w:val="20"/>
    </w:rPr>
  </w:style>
  <w:style w:type="paragraph" w:customStyle="1" w:styleId="2724">
    <w:name w:val="表中文字3"/>
    <w:basedOn w:val="1"/>
    <w:qFormat/>
    <w:uiPriority w:val="0"/>
    <w:pPr>
      <w:widowControl/>
      <w:spacing w:line="240" w:lineRule="atLeast"/>
      <w:ind w:left="-24" w:leftChars="-10" w:right="-48" w:rightChars="-20"/>
      <w:jc w:val="center"/>
    </w:pPr>
    <w:rPr>
      <w:szCs w:val="21"/>
    </w:rPr>
  </w:style>
  <w:style w:type="paragraph" w:customStyle="1" w:styleId="2725">
    <w:name w:val="样式 俺的正文 + 首行缩进:  2 字符"/>
    <w:basedOn w:val="1"/>
    <w:qFormat/>
    <w:uiPriority w:val="0"/>
    <w:pPr>
      <w:pBdr>
        <w:top w:val="single" w:color="auto" w:sz="4" w:space="1"/>
      </w:pBdr>
      <w:tabs>
        <w:tab w:val="left" w:pos="480"/>
      </w:tabs>
      <w:spacing w:line="360" w:lineRule="auto"/>
      <w:ind w:left="480"/>
    </w:pPr>
  </w:style>
  <w:style w:type="paragraph" w:customStyle="1" w:styleId="2726">
    <w:name w:val="正文格式＝43"/>
    <w:basedOn w:val="239"/>
    <w:next w:val="239"/>
    <w:qFormat/>
    <w:uiPriority w:val="0"/>
    <w:rPr>
      <w:rFonts w:hAnsi="宋体"/>
    </w:rPr>
  </w:style>
  <w:style w:type="paragraph" w:customStyle="1" w:styleId="2727">
    <w:name w:val="样式 标题 3 + 段前: 12 磅13"/>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728">
    <w:name w:val="表题141"/>
    <w:basedOn w:val="1"/>
    <w:qFormat/>
    <w:uiPriority w:val="0"/>
    <w:pPr>
      <w:widowControl/>
      <w:adjustRightInd w:val="0"/>
      <w:snapToGrid w:val="0"/>
      <w:jc w:val="center"/>
    </w:pPr>
    <w:rPr>
      <w:rFonts w:ascii="黑体" w:hAnsi="宋体" w:eastAsia="黑体" w:cs="宋体"/>
    </w:rPr>
  </w:style>
  <w:style w:type="paragraph" w:customStyle="1" w:styleId="2729">
    <w:name w:val="附件211"/>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730">
    <w:name w:val="正文格式＝312"/>
    <w:basedOn w:val="239"/>
    <w:next w:val="239"/>
    <w:qFormat/>
    <w:uiPriority w:val="0"/>
    <w:rPr>
      <w:rFonts w:hAnsi="宋体"/>
    </w:rPr>
  </w:style>
  <w:style w:type="paragraph" w:customStyle="1" w:styleId="2731">
    <w:name w:val="CM52"/>
    <w:basedOn w:val="1"/>
    <w:next w:val="1"/>
    <w:qFormat/>
    <w:uiPriority w:val="0"/>
    <w:pPr>
      <w:autoSpaceDE w:val="0"/>
      <w:autoSpaceDN w:val="0"/>
      <w:adjustRightInd w:val="0"/>
      <w:spacing w:after="173" w:line="500" w:lineRule="exact"/>
      <w:jc w:val="left"/>
    </w:pPr>
    <w:rPr>
      <w:rFonts w:ascii="黑体" w:eastAsia="黑体"/>
      <w:szCs w:val="28"/>
    </w:rPr>
  </w:style>
  <w:style w:type="paragraph" w:customStyle="1" w:styleId="2732">
    <w:name w:val="Char Char Char Char Char Char Char Char Char Char Char Char Char Char Char Char Char Char Char Char Char Char Char Char Char Char Char Char Char Char Char Char Char Char Char Char Char"/>
    <w:basedOn w:val="1"/>
    <w:qFormat/>
    <w:uiPriority w:val="0"/>
  </w:style>
  <w:style w:type="paragraph" w:customStyle="1" w:styleId="2733">
    <w:name w:val="燕山正文43"/>
    <w:basedOn w:val="1"/>
    <w:qFormat/>
    <w:uiPriority w:val="0"/>
    <w:pPr>
      <w:tabs>
        <w:tab w:val="left" w:pos="4680"/>
      </w:tabs>
      <w:adjustRightInd w:val="0"/>
      <w:snapToGrid w:val="0"/>
      <w:spacing w:line="480" w:lineRule="exact"/>
    </w:pPr>
    <w:rPr>
      <w:rFonts w:cs="宋体"/>
    </w:rPr>
  </w:style>
  <w:style w:type="paragraph" w:customStyle="1" w:styleId="2734">
    <w:name w:val="Char Char Char Char Char Char Char Char Char Char Char1 Char Char Char Char Char Char1 Char"/>
    <w:basedOn w:val="1"/>
    <w:qFormat/>
    <w:uiPriority w:val="0"/>
  </w:style>
  <w:style w:type="paragraph" w:customStyle="1" w:styleId="2735">
    <w:name w:val="正文 + 宋体 小四"/>
    <w:basedOn w:val="1"/>
    <w:qFormat/>
    <w:uiPriority w:val="0"/>
    <w:pPr>
      <w:adjustRightInd w:val="0"/>
      <w:snapToGrid w:val="0"/>
      <w:spacing w:line="360" w:lineRule="auto"/>
      <w:textAlignment w:val="baseline"/>
    </w:pPr>
    <w:rPr>
      <w:rFonts w:hAnsi="宋体" w:cs="华文行楷"/>
      <w:snapToGrid w:val="0"/>
    </w:rPr>
  </w:style>
  <w:style w:type="paragraph" w:customStyle="1" w:styleId="2736">
    <w:name w:val="q2"/>
    <w:basedOn w:val="1"/>
    <w:qFormat/>
    <w:uiPriority w:val="0"/>
    <w:pPr>
      <w:widowControl/>
      <w:spacing w:before="100" w:beforeAutospacing="1" w:after="100" w:afterAutospacing="1" w:line="270" w:lineRule="atLeast"/>
      <w:jc w:val="left"/>
    </w:pPr>
    <w:rPr>
      <w:rFonts w:ascii="Arial" w:hAnsi="Arial" w:cs="Arial"/>
      <w:color w:val="000000"/>
      <w:sz w:val="18"/>
      <w:szCs w:val="18"/>
    </w:rPr>
  </w:style>
  <w:style w:type="paragraph" w:customStyle="1" w:styleId="2737">
    <w:name w:val="样式 标题 3 + 段前: 12 磅4"/>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738">
    <w:name w:val="表题92"/>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2739">
    <w:name w:val="表内541412"/>
    <w:basedOn w:val="1"/>
    <w:qFormat/>
    <w:uiPriority w:val="0"/>
    <w:pPr>
      <w:adjustRightInd w:val="0"/>
      <w:snapToGrid w:val="0"/>
      <w:spacing w:line="300" w:lineRule="auto"/>
      <w:jc w:val="center"/>
    </w:pPr>
    <w:rPr>
      <w:rFonts w:hAnsi="宋体" w:cs="宋体"/>
    </w:rPr>
  </w:style>
  <w:style w:type="paragraph" w:customStyle="1" w:styleId="2740">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41">
    <w:name w:val="样式 表中文字 + 两端对齐"/>
    <w:basedOn w:val="1"/>
    <w:qFormat/>
    <w:uiPriority w:val="0"/>
    <w:pPr>
      <w:tabs>
        <w:tab w:val="left" w:pos="3286"/>
        <w:tab w:val="left" w:pos="8362"/>
      </w:tabs>
      <w:snapToGrid w:val="0"/>
      <w:spacing w:line="320" w:lineRule="exact"/>
    </w:pPr>
    <w:rPr>
      <w:rFonts w:ascii="Arial" w:hAnsi="Arial" w:eastAsia="楷体_GB2312" w:cs="宋体"/>
      <w:szCs w:val="21"/>
      <w:shd w:val="clear" w:color="auto" w:fill="FFFFFF"/>
    </w:rPr>
  </w:style>
  <w:style w:type="paragraph" w:customStyle="1" w:styleId="2742">
    <w:name w:val="字元"/>
    <w:basedOn w:val="1"/>
    <w:qFormat/>
    <w:uiPriority w:val="0"/>
    <w:rPr>
      <w:szCs w:val="21"/>
    </w:rPr>
  </w:style>
  <w:style w:type="paragraph" w:customStyle="1" w:styleId="2743">
    <w:name w:val="正文格式＝113"/>
    <w:basedOn w:val="239"/>
    <w:next w:val="239"/>
    <w:qFormat/>
    <w:uiPriority w:val="0"/>
    <w:rPr>
      <w:rFonts w:hAnsi="宋体"/>
    </w:rPr>
  </w:style>
  <w:style w:type="paragraph" w:customStyle="1" w:styleId="2744">
    <w:name w:val="Char Char Char Char Char Char Char120"/>
    <w:basedOn w:val="1"/>
    <w:qFormat/>
    <w:uiPriority w:val="0"/>
  </w:style>
  <w:style w:type="paragraph" w:customStyle="1" w:styleId="2745">
    <w:name w:val="Char230"/>
    <w:basedOn w:val="1"/>
    <w:qFormat/>
    <w:uiPriority w:val="0"/>
    <w:pPr>
      <w:ind w:left="-48"/>
    </w:pPr>
  </w:style>
  <w:style w:type="paragraph" w:customStyle="1" w:styleId="2746">
    <w:name w:val="b14-1-no"/>
    <w:basedOn w:val="1"/>
    <w:qFormat/>
    <w:uiPriority w:val="0"/>
    <w:pPr>
      <w:widowControl/>
      <w:spacing w:before="100" w:beforeAutospacing="1" w:after="100" w:afterAutospacing="1" w:line="270" w:lineRule="atLeast"/>
      <w:jc w:val="left"/>
    </w:pPr>
    <w:rPr>
      <w:rFonts w:eastAsia="Arial Unicode MS" w:cs="Arial Unicode MS"/>
      <w:color w:val="2E2E2E"/>
      <w:sz w:val="20"/>
    </w:rPr>
  </w:style>
  <w:style w:type="paragraph" w:customStyle="1" w:styleId="2747">
    <w:name w:val="正文修改411"/>
    <w:basedOn w:val="1264"/>
    <w:qFormat/>
    <w:uiPriority w:val="0"/>
    <w:rPr>
      <w:rFonts w:hAnsi="宋体"/>
      <w:color w:val="000000"/>
    </w:rPr>
  </w:style>
  <w:style w:type="paragraph" w:customStyle="1" w:styleId="2748">
    <w:name w:val="表题3111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749">
    <w:name w:val="Char Char Char Char Char Char Char51"/>
    <w:basedOn w:val="1"/>
    <w:qFormat/>
    <w:uiPriority w:val="0"/>
  </w:style>
  <w:style w:type="paragraph" w:customStyle="1" w:styleId="2750">
    <w:name w:val="表格内字体15"/>
    <w:basedOn w:val="239"/>
    <w:next w:val="239"/>
    <w:qFormat/>
    <w:uiPriority w:val="0"/>
    <w:pPr>
      <w:spacing w:line="240" w:lineRule="auto"/>
      <w:ind w:firstLine="0"/>
      <w:jc w:val="center"/>
    </w:pPr>
    <w:rPr>
      <w:rFonts w:hAnsi="宋体"/>
      <w:sz w:val="21"/>
    </w:rPr>
  </w:style>
  <w:style w:type="paragraph" w:customStyle="1" w:styleId="2751">
    <w:name w:val="Char Char Char Char Char Char Char221"/>
    <w:basedOn w:val="1"/>
    <w:qFormat/>
    <w:uiPriority w:val="0"/>
  </w:style>
  <w:style w:type="paragraph" w:customStyle="1" w:styleId="2752">
    <w:name w:val="正文.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53">
    <w:name w:val="Char6 Char Char Char1 Char Char"/>
    <w:basedOn w:val="1"/>
    <w:qFormat/>
    <w:uiPriority w:val="0"/>
    <w:rPr>
      <w:szCs w:val="21"/>
    </w:rPr>
  </w:style>
  <w:style w:type="paragraph" w:customStyle="1" w:styleId="2754">
    <w:name w:val="俺的题目三"/>
    <w:basedOn w:val="1442"/>
    <w:next w:val="1442"/>
    <w:qFormat/>
    <w:uiPriority w:val="0"/>
    <w:pPr>
      <w:outlineLvl w:val="2"/>
    </w:pPr>
    <w:rPr>
      <w:rFonts w:ascii="Calibri" w:hAnsi="Calibri" w:eastAsia="黑体"/>
      <w:b/>
      <w:bCs/>
    </w:rPr>
  </w:style>
  <w:style w:type="paragraph" w:customStyle="1" w:styleId="2755">
    <w:name w:val="样式 标题 3 + 五号 加粗 段前: 0 磅 段后: 0 磅 行距: 单倍行距"/>
    <w:basedOn w:val="6"/>
    <w:qFormat/>
    <w:uiPriority w:val="0"/>
    <w:pPr>
      <w:tabs>
        <w:tab w:val="left" w:pos="233"/>
      </w:tabs>
      <w:spacing w:before="0" w:after="0" w:line="240" w:lineRule="auto"/>
      <w:ind w:left="233"/>
    </w:pPr>
    <w:rPr>
      <w:rFonts w:cs="宋体"/>
      <w:b w:val="0"/>
      <w:sz w:val="28"/>
      <w:szCs w:val="21"/>
    </w:rPr>
  </w:style>
  <w:style w:type="paragraph" w:customStyle="1" w:styleId="2756">
    <w:name w:val="表题314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757">
    <w:name w:val="Char Char Char1 Char Char Char Char Char Char Char Char Char"/>
    <w:basedOn w:val="1"/>
    <w:qFormat/>
    <w:uiPriority w:val="0"/>
    <w:rPr>
      <w:rFonts w:ascii="黑体" w:hAnsi="黑体" w:eastAsia="黑体"/>
      <w:b/>
      <w:spacing w:val="10"/>
      <w:sz w:val="28"/>
    </w:rPr>
  </w:style>
  <w:style w:type="paragraph" w:customStyle="1" w:styleId="2758">
    <w:name w:val="样式 左侧:  -0.16 厘米1"/>
    <w:basedOn w:val="1"/>
    <w:qFormat/>
    <w:uiPriority w:val="0"/>
    <w:pPr>
      <w:ind w:left="-90"/>
    </w:pPr>
    <w:rPr>
      <w:rFonts w:hAnsi="宋体" w:cs="宋体"/>
      <w:snapToGrid w:val="0"/>
    </w:rPr>
  </w:style>
  <w:style w:type="paragraph" w:customStyle="1" w:styleId="2759">
    <w:name w:val="Char329"/>
    <w:basedOn w:val="1"/>
    <w:qFormat/>
    <w:uiPriority w:val="0"/>
    <w:pPr>
      <w:ind w:left="-48"/>
    </w:pPr>
  </w:style>
  <w:style w:type="paragraph" w:customStyle="1" w:styleId="2760">
    <w:name w:val="Char Char2 Char Char Char Char1111"/>
    <w:basedOn w:val="1"/>
    <w:qFormat/>
    <w:uiPriority w:val="0"/>
  </w:style>
  <w:style w:type="paragraph" w:customStyle="1" w:styleId="2761">
    <w:name w:val="表格内字体2113"/>
    <w:basedOn w:val="239"/>
    <w:next w:val="239"/>
    <w:qFormat/>
    <w:uiPriority w:val="0"/>
    <w:pPr>
      <w:spacing w:line="240" w:lineRule="auto"/>
      <w:ind w:firstLine="0"/>
      <w:jc w:val="center"/>
    </w:pPr>
    <w:rPr>
      <w:rFonts w:hAnsi="宋体"/>
      <w:sz w:val="21"/>
    </w:rPr>
  </w:style>
  <w:style w:type="paragraph" w:customStyle="1" w:styleId="2762">
    <w:name w:val="Char4111"/>
    <w:basedOn w:val="1"/>
    <w:qFormat/>
    <w:uiPriority w:val="0"/>
    <w:pPr>
      <w:ind w:left="-48"/>
    </w:pPr>
  </w:style>
  <w:style w:type="paragraph" w:customStyle="1" w:styleId="2763">
    <w:name w:val="Char Char Char Char Char Char Char125"/>
    <w:basedOn w:val="1"/>
    <w:qFormat/>
    <w:uiPriority w:val="0"/>
  </w:style>
  <w:style w:type="paragraph" w:customStyle="1" w:styleId="2764">
    <w:name w:val="A正文11"/>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2765">
    <w:name w:val="样式 样式 样式 样式 标题 4 + 段前: 0.5 行 段后: 0.5 行 + 段前: 0.5 行 段后: 0.5 行5 + ..."/>
    <w:basedOn w:val="2766"/>
    <w:qFormat/>
    <w:uiPriority w:val="0"/>
    <w:pPr>
      <w:spacing w:after="50"/>
    </w:pPr>
  </w:style>
  <w:style w:type="paragraph" w:customStyle="1" w:styleId="2766">
    <w:name w:val="样式 样式 样式 标题 4 + 段前: 0.5 行 段后: 0.5 行 + 段前: 0.5 行 段后: 0.5 行5 + 段前:...1"/>
    <w:basedOn w:val="2194"/>
    <w:qFormat/>
    <w:uiPriority w:val="0"/>
    <w:pPr>
      <w:adjustRightInd w:val="0"/>
      <w:spacing w:beforeLines="0" w:afterLines="0"/>
    </w:pPr>
  </w:style>
  <w:style w:type="paragraph" w:customStyle="1" w:styleId="2767">
    <w:name w:val="图题63"/>
    <w:basedOn w:val="239"/>
    <w:next w:val="239"/>
    <w:qFormat/>
    <w:uiPriority w:val="0"/>
    <w:pPr>
      <w:ind w:firstLine="0"/>
      <w:jc w:val="center"/>
    </w:pPr>
    <w:rPr>
      <w:rFonts w:ascii="黑体" w:hAnsi="宋体" w:eastAsia="黑体"/>
      <w:b/>
      <w:bCs/>
    </w:rPr>
  </w:style>
  <w:style w:type="paragraph" w:customStyle="1" w:styleId="2768">
    <w:name w:val="表格内字体54"/>
    <w:basedOn w:val="239"/>
    <w:next w:val="239"/>
    <w:qFormat/>
    <w:uiPriority w:val="0"/>
    <w:pPr>
      <w:adjustRightInd w:val="0"/>
      <w:snapToGrid w:val="0"/>
      <w:spacing w:line="240" w:lineRule="auto"/>
      <w:ind w:firstLine="0"/>
    </w:pPr>
    <w:rPr>
      <w:rFonts w:hAnsi="宋体"/>
      <w:sz w:val="21"/>
    </w:rPr>
  </w:style>
  <w:style w:type="paragraph" w:customStyle="1" w:styleId="2769">
    <w:name w:val="Char321"/>
    <w:basedOn w:val="1"/>
    <w:qFormat/>
    <w:uiPriority w:val="0"/>
    <w:pPr>
      <w:ind w:left="-48"/>
    </w:pPr>
  </w:style>
  <w:style w:type="paragraph" w:customStyle="1" w:styleId="2770">
    <w:name w:val="样式 标题 3小标题小节标题H3h33rd level第二层条标题4标题 3 Char标题 3 Char Ch..."/>
    <w:basedOn w:val="6"/>
    <w:qFormat/>
    <w:uiPriority w:val="0"/>
    <w:pPr>
      <w:tabs>
        <w:tab w:val="left" w:pos="233"/>
        <w:tab w:val="left" w:pos="993"/>
        <w:tab w:val="left" w:pos="1080"/>
      </w:tabs>
      <w:adjustRightInd w:val="0"/>
      <w:spacing w:before="0" w:after="0" w:line="500" w:lineRule="exact"/>
      <w:ind w:left="851" w:hanging="851"/>
      <w:textAlignment w:val="baseline"/>
    </w:pPr>
    <w:rPr>
      <w:rFonts w:ascii="Arial" w:hAnsi="Arial"/>
      <w:kern w:val="32"/>
      <w:sz w:val="28"/>
      <w:szCs w:val="28"/>
    </w:rPr>
  </w:style>
  <w:style w:type="paragraph" w:customStyle="1" w:styleId="2771">
    <w:name w:val="样式 正文文字 +"/>
    <w:basedOn w:val="1"/>
    <w:qFormat/>
    <w:uiPriority w:val="0"/>
    <w:pPr>
      <w:adjustRightInd w:val="0"/>
      <w:snapToGrid w:val="0"/>
      <w:spacing w:before="60" w:after="60" w:line="264" w:lineRule="auto"/>
      <w:ind w:firstLine="110" w:firstLineChars="110"/>
      <w:textAlignment w:val="baseline"/>
    </w:pPr>
    <w:rPr>
      <w:rFonts w:eastAsia="仿宋_GB2312"/>
      <w:snapToGrid w:val="0"/>
    </w:rPr>
  </w:style>
  <w:style w:type="paragraph" w:customStyle="1" w:styleId="2772">
    <w:name w:val="图题注12"/>
    <w:basedOn w:val="23"/>
    <w:qFormat/>
    <w:uiPriority w:val="0"/>
    <w:pPr>
      <w:tabs>
        <w:tab w:val="clear" w:pos="7380"/>
      </w:tabs>
      <w:overflowPunct/>
      <w:spacing w:before="0" w:after="0" w:afterLines="0"/>
      <w:jc w:val="center"/>
    </w:pPr>
    <w:rPr>
      <w:rFonts w:ascii="黑体" w:cs="宋体"/>
      <w:b/>
      <w:bCs/>
      <w:sz w:val="24"/>
      <w:szCs w:val="24"/>
    </w:rPr>
  </w:style>
  <w:style w:type="paragraph" w:customStyle="1" w:styleId="2773">
    <w:name w:val="列表结尾"/>
    <w:basedOn w:val="66"/>
    <w:next w:val="35"/>
    <w:qFormat/>
    <w:uiPriority w:val="0"/>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eastAsia="宋体"/>
      <w:kern w:val="0"/>
      <w:sz w:val="20"/>
      <w:szCs w:val="24"/>
    </w:rPr>
  </w:style>
  <w:style w:type="paragraph" w:customStyle="1" w:styleId="2774">
    <w:name w:val="表中居中文字"/>
    <w:basedOn w:val="1"/>
    <w:qFormat/>
    <w:uiPriority w:val="0"/>
    <w:pPr>
      <w:keepNext/>
      <w:widowControl/>
      <w:spacing w:line="360" w:lineRule="auto"/>
      <w:jc w:val="center"/>
    </w:pPr>
    <w:rPr>
      <w:rFonts w:hAnsi="宋体" w:cs="Arial"/>
      <w:szCs w:val="18"/>
    </w:rPr>
  </w:style>
  <w:style w:type="paragraph" w:customStyle="1" w:styleId="2775">
    <w:name w:val="表内541312"/>
    <w:basedOn w:val="1"/>
    <w:qFormat/>
    <w:uiPriority w:val="0"/>
    <w:pPr>
      <w:adjustRightInd w:val="0"/>
      <w:snapToGrid w:val="0"/>
      <w:spacing w:line="300" w:lineRule="auto"/>
      <w:jc w:val="center"/>
    </w:pPr>
    <w:rPr>
      <w:rFonts w:hAnsi="宋体" w:cs="宋体"/>
    </w:rPr>
  </w:style>
  <w:style w:type="paragraph" w:customStyle="1" w:styleId="2776">
    <w:name w:val="Char6 Char Char Char1 Char Char Char"/>
    <w:basedOn w:val="1"/>
    <w:qFormat/>
    <w:uiPriority w:val="0"/>
    <w:rPr>
      <w:szCs w:val="21"/>
    </w:rPr>
  </w:style>
  <w:style w:type="paragraph" w:customStyle="1" w:styleId="2777">
    <w:name w:val="表内54121"/>
    <w:basedOn w:val="1"/>
    <w:qFormat/>
    <w:uiPriority w:val="0"/>
    <w:pPr>
      <w:adjustRightInd w:val="0"/>
      <w:snapToGrid w:val="0"/>
      <w:spacing w:line="300" w:lineRule="auto"/>
      <w:jc w:val="center"/>
    </w:pPr>
    <w:rPr>
      <w:rFonts w:hAnsi="宋体" w:cs="宋体"/>
    </w:rPr>
  </w:style>
  <w:style w:type="paragraph" w:customStyle="1" w:styleId="2778">
    <w:name w:val="表内五中"/>
    <w:basedOn w:val="1"/>
    <w:qFormat/>
    <w:uiPriority w:val="0"/>
    <w:pPr>
      <w:tabs>
        <w:tab w:val="left" w:pos="-120"/>
      </w:tabs>
      <w:spacing w:before="60" w:line="310" w:lineRule="atLeast"/>
      <w:jc w:val="center"/>
    </w:pPr>
  </w:style>
  <w:style w:type="paragraph" w:customStyle="1" w:styleId="2779">
    <w:name w:val="Char72"/>
    <w:basedOn w:val="1"/>
    <w:qFormat/>
    <w:uiPriority w:val="0"/>
    <w:pPr>
      <w:ind w:left="-48"/>
    </w:pPr>
  </w:style>
  <w:style w:type="paragraph" w:customStyle="1" w:styleId="2780">
    <w:name w:val="Char133"/>
    <w:basedOn w:val="1"/>
    <w:qFormat/>
    <w:uiPriority w:val="0"/>
    <w:pPr>
      <w:ind w:left="-48"/>
    </w:pPr>
  </w:style>
  <w:style w:type="paragraph" w:customStyle="1" w:styleId="2781">
    <w:name w:val="图表题13"/>
    <w:basedOn w:val="239"/>
    <w:next w:val="239"/>
    <w:qFormat/>
    <w:uiPriority w:val="0"/>
    <w:pPr>
      <w:ind w:firstLine="0"/>
      <w:jc w:val="center"/>
    </w:pPr>
    <w:rPr>
      <w:rFonts w:ascii="黑体" w:hAnsi="宋体" w:eastAsia="黑体"/>
      <w:b/>
      <w:bCs/>
    </w:rPr>
  </w:style>
  <w:style w:type="paragraph" w:customStyle="1" w:styleId="2782">
    <w:name w:val="Char3211"/>
    <w:basedOn w:val="1"/>
    <w:qFormat/>
    <w:uiPriority w:val="0"/>
    <w:pPr>
      <w:ind w:left="-48"/>
    </w:pPr>
  </w:style>
  <w:style w:type="paragraph" w:customStyle="1" w:styleId="2783">
    <w:name w:val="黑体三号212"/>
    <w:basedOn w:val="239"/>
    <w:qFormat/>
    <w:uiPriority w:val="0"/>
    <w:pPr>
      <w:jc w:val="center"/>
    </w:pPr>
    <w:rPr>
      <w:rFonts w:ascii="黑体" w:hAnsi="宋体" w:eastAsia="黑体"/>
      <w:b/>
      <w:bCs/>
      <w:sz w:val="32"/>
      <w:szCs w:val="20"/>
    </w:rPr>
  </w:style>
  <w:style w:type="paragraph" w:customStyle="1" w:styleId="2784">
    <w:name w:val="Char419"/>
    <w:basedOn w:val="1"/>
    <w:qFormat/>
    <w:uiPriority w:val="0"/>
    <w:pPr>
      <w:ind w:left="-48"/>
    </w:pPr>
  </w:style>
  <w:style w:type="paragraph" w:customStyle="1" w:styleId="2785">
    <w:name w:val="Default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86">
    <w:name w:val="book1_1_1"/>
    <w:basedOn w:val="6"/>
    <w:qFormat/>
    <w:uiPriority w:val="0"/>
    <w:pPr>
      <w:keepNext w:val="0"/>
      <w:tabs>
        <w:tab w:val="left" w:pos="233"/>
        <w:tab w:val="left" w:pos="360"/>
        <w:tab w:val="left" w:pos="1050"/>
      </w:tabs>
      <w:spacing w:beforeLines="50" w:afterLines="50" w:line="400" w:lineRule="exact"/>
      <w:ind w:left="360"/>
    </w:pPr>
    <w:rPr>
      <w:b w:val="0"/>
      <w:sz w:val="24"/>
    </w:rPr>
  </w:style>
  <w:style w:type="paragraph" w:customStyle="1" w:styleId="2787">
    <w:name w:val="Char Char1 Char Char1 Char"/>
    <w:basedOn w:val="1"/>
    <w:qFormat/>
    <w:uiPriority w:val="0"/>
    <w:rPr>
      <w:szCs w:val="21"/>
    </w:rPr>
  </w:style>
  <w:style w:type="paragraph" w:customStyle="1" w:styleId="2788">
    <w:name w:val="表内531"/>
    <w:basedOn w:val="1"/>
    <w:qFormat/>
    <w:uiPriority w:val="0"/>
    <w:pPr>
      <w:adjustRightInd w:val="0"/>
      <w:snapToGrid w:val="0"/>
      <w:spacing w:line="300" w:lineRule="auto"/>
      <w:jc w:val="left"/>
    </w:pPr>
  </w:style>
  <w:style w:type="paragraph" w:customStyle="1" w:styleId="2789">
    <w:name w:val="样式 正文（首行缩进两字） Char + 首行缩进:  2 字符"/>
    <w:basedOn w:val="22"/>
    <w:qFormat/>
    <w:uiPriority w:val="0"/>
    <w:pPr>
      <w:snapToGrid w:val="0"/>
      <w:spacing w:line="360" w:lineRule="auto"/>
      <w:ind w:firstLine="200"/>
      <w:jc w:val="left"/>
    </w:pPr>
    <w:rPr>
      <w:rFonts w:ascii="宋体" w:hAnsi="宋体"/>
      <w:sz w:val="24"/>
      <w:szCs w:val="20"/>
    </w:rPr>
  </w:style>
  <w:style w:type="paragraph" w:customStyle="1" w:styleId="2790">
    <w:name w:val="标题44"/>
    <w:basedOn w:val="1"/>
    <w:qFormat/>
    <w:uiPriority w:val="0"/>
    <w:pPr>
      <w:adjustRightInd w:val="0"/>
      <w:snapToGrid w:val="0"/>
      <w:spacing w:line="300" w:lineRule="auto"/>
      <w:jc w:val="left"/>
    </w:pPr>
    <w:rPr>
      <w:rFonts w:ascii="黑体" w:eastAsia="黑体"/>
      <w:bCs/>
    </w:rPr>
  </w:style>
  <w:style w:type="paragraph" w:customStyle="1" w:styleId="2791">
    <w:name w:val="燕山正文1122"/>
    <w:basedOn w:val="1"/>
    <w:qFormat/>
    <w:uiPriority w:val="0"/>
    <w:pPr>
      <w:tabs>
        <w:tab w:val="left" w:pos="4680"/>
      </w:tabs>
      <w:adjustRightInd w:val="0"/>
      <w:snapToGrid w:val="0"/>
      <w:spacing w:line="480" w:lineRule="exact"/>
    </w:pPr>
    <w:rPr>
      <w:rFonts w:hAnsi="宋体" w:cs="宋体"/>
      <w:bCs/>
      <w:color w:val="000000"/>
    </w:rPr>
  </w:style>
  <w:style w:type="paragraph" w:customStyle="1" w:styleId="2792">
    <w:name w:val="表格内字体113"/>
    <w:basedOn w:val="239"/>
    <w:qFormat/>
    <w:uiPriority w:val="0"/>
    <w:pPr>
      <w:spacing w:line="240" w:lineRule="auto"/>
      <w:ind w:firstLine="0"/>
      <w:jc w:val="center"/>
    </w:pPr>
    <w:rPr>
      <w:sz w:val="21"/>
      <w:szCs w:val="20"/>
    </w:rPr>
  </w:style>
  <w:style w:type="paragraph" w:customStyle="1" w:styleId="2793">
    <w:name w:val="默认段落字体 Para Char Char Char Char8"/>
    <w:basedOn w:val="1"/>
    <w:qFormat/>
    <w:uiPriority w:val="0"/>
  </w:style>
  <w:style w:type="paragraph" w:customStyle="1" w:styleId="2794">
    <w:name w:val="表格内字体312"/>
    <w:basedOn w:val="239"/>
    <w:next w:val="239"/>
    <w:qFormat/>
    <w:uiPriority w:val="0"/>
    <w:pPr>
      <w:spacing w:line="240" w:lineRule="auto"/>
      <w:ind w:firstLine="0"/>
      <w:jc w:val="center"/>
    </w:pPr>
    <w:rPr>
      <w:rFonts w:hAnsi="宋体"/>
      <w:sz w:val="21"/>
    </w:rPr>
  </w:style>
  <w:style w:type="paragraph" w:customStyle="1" w:styleId="2795">
    <w:name w:val="样式122"/>
    <w:basedOn w:val="2245"/>
    <w:qFormat/>
    <w:uiPriority w:val="0"/>
    <w:pPr>
      <w:spacing w:line="240" w:lineRule="auto"/>
      <w:ind w:firstLine="0"/>
      <w:jc w:val="center"/>
    </w:pPr>
    <w:rPr>
      <w:rFonts w:cs="Times New Roman"/>
      <w:b/>
      <w:color w:val="auto"/>
      <w:szCs w:val="20"/>
    </w:rPr>
  </w:style>
  <w:style w:type="paragraph" w:customStyle="1" w:styleId="2796">
    <w:name w:val="Char413"/>
    <w:basedOn w:val="1"/>
    <w:qFormat/>
    <w:uiPriority w:val="0"/>
    <w:pPr>
      <w:ind w:left="-48"/>
    </w:pPr>
  </w:style>
  <w:style w:type="paragraph" w:customStyle="1" w:styleId="2797">
    <w:name w:val="Char Char Char Char Char Char Char36"/>
    <w:basedOn w:val="1"/>
    <w:qFormat/>
    <w:uiPriority w:val="0"/>
  </w:style>
  <w:style w:type="paragraph" w:customStyle="1" w:styleId="2798">
    <w:name w:val="燕山正文4"/>
    <w:basedOn w:val="1"/>
    <w:qFormat/>
    <w:uiPriority w:val="0"/>
    <w:pPr>
      <w:tabs>
        <w:tab w:val="left" w:pos="4680"/>
      </w:tabs>
      <w:adjustRightInd w:val="0"/>
      <w:snapToGrid w:val="0"/>
      <w:spacing w:line="480" w:lineRule="exact"/>
    </w:pPr>
    <w:rPr>
      <w:rFonts w:cs="宋体"/>
    </w:rPr>
  </w:style>
  <w:style w:type="paragraph" w:customStyle="1" w:styleId="2799">
    <w:name w:val="默认段落字体 Para Char Char Char1 Char Char Char Char"/>
    <w:basedOn w:val="1"/>
    <w:qFormat/>
    <w:uiPriority w:val="0"/>
  </w:style>
  <w:style w:type="paragraph" w:customStyle="1" w:styleId="2800">
    <w:name w:val="正文缩进 2字符1"/>
    <w:basedOn w:val="1"/>
    <w:qFormat/>
    <w:uiPriority w:val="0"/>
    <w:pPr>
      <w:tabs>
        <w:tab w:val="left" w:pos="2160"/>
      </w:tabs>
      <w:snapToGrid w:val="0"/>
      <w:spacing w:before="120" w:after="120"/>
      <w:ind w:firstLine="480" w:firstLineChars="200"/>
    </w:pPr>
    <w:rPr>
      <w:rFonts w:eastAsia="仿宋_GB2312"/>
      <w:color w:val="000000"/>
      <w:szCs w:val="21"/>
    </w:rPr>
  </w:style>
  <w:style w:type="paragraph" w:customStyle="1" w:styleId="2801">
    <w:name w:val="正文修改7"/>
    <w:basedOn w:val="1264"/>
    <w:qFormat/>
    <w:uiPriority w:val="0"/>
    <w:rPr>
      <w:rFonts w:hAnsi="宋体"/>
      <w:color w:val="000000"/>
    </w:rPr>
  </w:style>
  <w:style w:type="paragraph" w:customStyle="1" w:styleId="2802">
    <w:name w:val="表样"/>
    <w:basedOn w:val="1"/>
    <w:qFormat/>
    <w:uiPriority w:val="0"/>
    <w:pPr>
      <w:autoSpaceDE w:val="0"/>
      <w:autoSpaceDN w:val="0"/>
      <w:adjustRightInd w:val="0"/>
      <w:jc w:val="center"/>
      <w:textAlignment w:val="bottom"/>
    </w:pPr>
    <w:rPr>
      <w:rFonts w:ascii="Arial" w:hAnsi="Arial" w:cs="Arial"/>
      <w:color w:val="0000FF"/>
      <w:spacing w:val="-20"/>
    </w:rPr>
  </w:style>
  <w:style w:type="paragraph" w:customStyle="1" w:styleId="2803">
    <w:name w:val="表格内字体3"/>
    <w:basedOn w:val="239"/>
    <w:next w:val="239"/>
    <w:qFormat/>
    <w:uiPriority w:val="0"/>
    <w:pPr>
      <w:spacing w:line="240" w:lineRule="auto"/>
      <w:ind w:firstLine="0"/>
      <w:jc w:val="center"/>
    </w:pPr>
    <w:rPr>
      <w:rFonts w:hAnsi="宋体"/>
      <w:sz w:val="21"/>
    </w:rPr>
  </w:style>
  <w:style w:type="paragraph" w:customStyle="1" w:styleId="2804">
    <w:name w:val="Char117"/>
    <w:basedOn w:val="1"/>
    <w:qFormat/>
    <w:uiPriority w:val="0"/>
    <w:pPr>
      <w:ind w:left="-48"/>
    </w:pPr>
  </w:style>
  <w:style w:type="paragraph" w:customStyle="1" w:styleId="2805">
    <w:name w:val="附件11"/>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806">
    <w:name w:val="样式 样式 样式 样式 样式 标题 1章标题 1b1 + 非加粗 黑色 居中 段前: 15.6 磅 段后: 15.6 磅 + 段..."/>
    <w:basedOn w:val="1"/>
    <w:qFormat/>
    <w:uiPriority w:val="0"/>
    <w:pPr>
      <w:keepNext/>
      <w:keepLines/>
      <w:spacing w:beforeLines="100" w:afterLines="100"/>
      <w:jc w:val="center"/>
      <w:outlineLvl w:val="0"/>
    </w:pPr>
    <w:rPr>
      <w:rFonts w:eastAsia="黑体"/>
      <w:b/>
      <w:kern w:val="44"/>
      <w:sz w:val="44"/>
    </w:rPr>
  </w:style>
  <w:style w:type="paragraph" w:customStyle="1" w:styleId="2807">
    <w:name w:val="表格内字体211"/>
    <w:basedOn w:val="239"/>
    <w:next w:val="239"/>
    <w:qFormat/>
    <w:uiPriority w:val="0"/>
    <w:pPr>
      <w:spacing w:line="240" w:lineRule="auto"/>
      <w:ind w:firstLine="0"/>
      <w:jc w:val="center"/>
    </w:pPr>
    <w:rPr>
      <w:rFonts w:hAnsi="宋体"/>
      <w:sz w:val="21"/>
    </w:rPr>
  </w:style>
  <w:style w:type="paragraph" w:customStyle="1" w:styleId="2808">
    <w:name w:val="表1表2"/>
    <w:basedOn w:val="1"/>
    <w:qFormat/>
    <w:uiPriority w:val="0"/>
    <w:pPr>
      <w:autoSpaceDE w:val="0"/>
      <w:autoSpaceDN w:val="0"/>
      <w:adjustRightInd w:val="0"/>
      <w:spacing w:line="360" w:lineRule="auto"/>
      <w:jc w:val="center"/>
      <w:textAlignment w:val="center"/>
    </w:pPr>
    <w:rPr>
      <w:rFonts w:eastAsia="仿宋_GB2312"/>
      <w:szCs w:val="21"/>
    </w:rPr>
  </w:style>
  <w:style w:type="paragraph" w:customStyle="1" w:styleId="2809">
    <w:name w:val="表中文字63"/>
    <w:basedOn w:val="1"/>
    <w:qFormat/>
    <w:uiPriority w:val="0"/>
    <w:pPr>
      <w:widowControl/>
      <w:spacing w:line="240" w:lineRule="atLeast"/>
      <w:ind w:left="-24" w:leftChars="-10" w:right="-48" w:rightChars="-20"/>
      <w:jc w:val="center"/>
    </w:pPr>
    <w:rPr>
      <w:szCs w:val="21"/>
    </w:rPr>
  </w:style>
  <w:style w:type="paragraph" w:customStyle="1" w:styleId="2810">
    <w:name w:val="样式 表格内字体1 +2"/>
    <w:basedOn w:val="2166"/>
    <w:next w:val="1966"/>
    <w:qFormat/>
    <w:uiPriority w:val="0"/>
    <w:rPr>
      <w:rFonts w:hAnsi="Times New Roman"/>
      <w:szCs w:val="20"/>
    </w:rPr>
  </w:style>
  <w:style w:type="paragraph" w:customStyle="1" w:styleId="2811">
    <w:name w:val="样式1213"/>
    <w:basedOn w:val="2245"/>
    <w:qFormat/>
    <w:uiPriority w:val="0"/>
    <w:pPr>
      <w:spacing w:line="240" w:lineRule="auto"/>
      <w:ind w:firstLine="0"/>
      <w:jc w:val="center"/>
    </w:pPr>
    <w:rPr>
      <w:rFonts w:cs="Times New Roman"/>
      <w:b/>
      <w:color w:val="auto"/>
      <w:szCs w:val="20"/>
    </w:rPr>
  </w:style>
  <w:style w:type="paragraph" w:customStyle="1" w:styleId="2812">
    <w:name w:val="表内54124"/>
    <w:basedOn w:val="1"/>
    <w:qFormat/>
    <w:uiPriority w:val="0"/>
    <w:pPr>
      <w:adjustRightInd w:val="0"/>
      <w:snapToGrid w:val="0"/>
      <w:spacing w:line="300" w:lineRule="auto"/>
      <w:jc w:val="center"/>
    </w:pPr>
    <w:rPr>
      <w:rFonts w:hAnsi="宋体" w:cs="宋体"/>
    </w:rPr>
  </w:style>
  <w:style w:type="paragraph" w:customStyle="1" w:styleId="2813">
    <w:name w:val="Char135"/>
    <w:basedOn w:val="1"/>
    <w:qFormat/>
    <w:uiPriority w:val="0"/>
    <w:pPr>
      <w:ind w:left="-48"/>
    </w:pPr>
  </w:style>
  <w:style w:type="paragraph" w:customStyle="1" w:styleId="2814">
    <w:name w:val="表格内字体74"/>
    <w:basedOn w:val="239"/>
    <w:next w:val="239"/>
    <w:qFormat/>
    <w:uiPriority w:val="0"/>
    <w:pPr>
      <w:spacing w:line="240" w:lineRule="auto"/>
      <w:ind w:firstLine="0"/>
      <w:jc w:val="center"/>
    </w:pPr>
    <w:rPr>
      <w:rFonts w:hAnsi="宋体"/>
      <w:sz w:val="21"/>
    </w:rPr>
  </w:style>
  <w:style w:type="paragraph" w:customStyle="1" w:styleId="2815">
    <w:name w:val="样式qqq"/>
    <w:basedOn w:val="1"/>
    <w:qFormat/>
    <w:uiPriority w:val="0"/>
    <w:pPr>
      <w:spacing w:line="360" w:lineRule="auto"/>
    </w:pPr>
  </w:style>
  <w:style w:type="paragraph" w:customStyle="1" w:styleId="2816">
    <w:name w:val="样式24"/>
    <w:basedOn w:val="1"/>
    <w:qFormat/>
    <w:uiPriority w:val="0"/>
    <w:pPr>
      <w:adjustRightInd w:val="0"/>
      <w:spacing w:line="360" w:lineRule="auto"/>
      <w:jc w:val="center"/>
      <w:textAlignment w:val="baseline"/>
      <w:outlineLvl w:val="0"/>
    </w:pPr>
  </w:style>
  <w:style w:type="paragraph" w:customStyle="1" w:styleId="2817">
    <w:name w:val="燕山正文31"/>
    <w:basedOn w:val="1"/>
    <w:qFormat/>
    <w:uiPriority w:val="0"/>
    <w:pPr>
      <w:tabs>
        <w:tab w:val="left" w:pos="4680"/>
      </w:tabs>
      <w:adjustRightInd w:val="0"/>
      <w:snapToGrid w:val="0"/>
      <w:spacing w:line="480" w:lineRule="exact"/>
    </w:pPr>
    <w:rPr>
      <w:rFonts w:cs="宋体"/>
    </w:rPr>
  </w:style>
  <w:style w:type="paragraph" w:customStyle="1" w:styleId="2818">
    <w:name w:val="Default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819">
    <w:name w:val="样式 标题 4无效格式无效格式1河石管道4H4H41小小节河石管道41H42H411小小节1河石管道42...5"/>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2820">
    <w:name w:val="Char Char Char Char Char Char Char217"/>
    <w:basedOn w:val="1"/>
    <w:qFormat/>
    <w:uiPriority w:val="0"/>
  </w:style>
  <w:style w:type="paragraph" w:customStyle="1" w:styleId="2821">
    <w:name w:val="样式213"/>
    <w:basedOn w:val="1"/>
    <w:qFormat/>
    <w:uiPriority w:val="0"/>
    <w:pPr>
      <w:adjustRightInd w:val="0"/>
      <w:spacing w:line="360" w:lineRule="auto"/>
      <w:jc w:val="center"/>
      <w:textAlignment w:val="baseline"/>
      <w:outlineLvl w:val="0"/>
    </w:pPr>
  </w:style>
  <w:style w:type="paragraph" w:customStyle="1" w:styleId="2822">
    <w:name w:val="表中文字123"/>
    <w:basedOn w:val="1"/>
    <w:qFormat/>
    <w:uiPriority w:val="0"/>
    <w:pPr>
      <w:widowControl/>
      <w:spacing w:line="240" w:lineRule="atLeast"/>
      <w:ind w:left="-24" w:leftChars="-10" w:right="-48" w:rightChars="-20"/>
      <w:jc w:val="center"/>
    </w:pPr>
    <w:rPr>
      <w:szCs w:val="21"/>
    </w:rPr>
  </w:style>
  <w:style w:type="paragraph" w:customStyle="1" w:styleId="2823">
    <w:name w:val="样式 标题 4无效格式无效格式1河石管道4H4H41小小节河石管道41H42H411小小节1河石管道42...111"/>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824">
    <w:name w:val="样式 标题 4无效格式无效格式1河石管道4H4H41小小节河石管道41H42H411小小节1河石管道42...112"/>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825">
    <w:name w:val="+列表1"/>
    <w:basedOn w:val="1"/>
    <w:qFormat/>
    <w:uiPriority w:val="0"/>
    <w:pPr>
      <w:jc w:val="center"/>
    </w:pPr>
  </w:style>
  <w:style w:type="paragraph" w:customStyle="1" w:styleId="2826">
    <w:name w:val="标题431212"/>
    <w:basedOn w:val="1"/>
    <w:qFormat/>
    <w:uiPriority w:val="0"/>
    <w:pPr>
      <w:adjustRightInd w:val="0"/>
      <w:snapToGrid w:val="0"/>
      <w:spacing w:line="480" w:lineRule="exact"/>
      <w:jc w:val="center"/>
    </w:pPr>
    <w:rPr>
      <w:rFonts w:hAnsi="宋体" w:cs="宋体"/>
    </w:rPr>
  </w:style>
  <w:style w:type="paragraph" w:customStyle="1" w:styleId="2827">
    <w:name w:val="表题312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828">
    <w:name w:val="Char Char Char Char Char Char Char210"/>
    <w:basedOn w:val="1"/>
    <w:qFormat/>
    <w:uiPriority w:val="0"/>
  </w:style>
  <w:style w:type="paragraph" w:customStyle="1" w:styleId="2829">
    <w:name w:val="报告书责任表"/>
    <w:basedOn w:val="1"/>
    <w:next w:val="1"/>
    <w:qFormat/>
    <w:uiPriority w:val="0"/>
    <w:pPr>
      <w:jc w:val="center"/>
    </w:pPr>
    <w:rPr>
      <w:rFonts w:hAnsi="宋体" w:cs="宋体"/>
      <w:b/>
      <w:bCs/>
      <w:sz w:val="30"/>
    </w:rPr>
  </w:style>
  <w:style w:type="paragraph" w:customStyle="1" w:styleId="2830">
    <w:name w:val="Char41"/>
    <w:basedOn w:val="1"/>
    <w:qFormat/>
    <w:uiPriority w:val="0"/>
    <w:pPr>
      <w:ind w:left="-48"/>
    </w:pPr>
  </w:style>
  <w:style w:type="paragraph" w:customStyle="1" w:styleId="2831">
    <w:name w:val="表内宋5"/>
    <w:basedOn w:val="2220"/>
    <w:qFormat/>
    <w:uiPriority w:val="0"/>
    <w:pPr>
      <w:widowControl/>
      <w:autoSpaceDE w:val="0"/>
      <w:autoSpaceDN w:val="0"/>
      <w:jc w:val="left"/>
      <w:textAlignment w:val="auto"/>
    </w:pPr>
    <w:rPr>
      <w:color w:val="auto"/>
      <w:w w:val="90"/>
    </w:rPr>
  </w:style>
  <w:style w:type="paragraph" w:customStyle="1" w:styleId="2832">
    <w:name w:val="正文修改5"/>
    <w:basedOn w:val="1264"/>
    <w:qFormat/>
    <w:uiPriority w:val="0"/>
    <w:rPr>
      <w:rFonts w:hAnsi="宋体"/>
      <w:color w:val="000000"/>
    </w:rPr>
  </w:style>
  <w:style w:type="paragraph" w:customStyle="1" w:styleId="2833">
    <w:name w:val="表格112"/>
    <w:basedOn w:val="1"/>
    <w:qFormat/>
    <w:uiPriority w:val="0"/>
    <w:pPr>
      <w:adjustRightInd w:val="0"/>
      <w:jc w:val="center"/>
      <w:textAlignment w:val="baseline"/>
    </w:pPr>
  </w:style>
  <w:style w:type="paragraph" w:customStyle="1" w:styleId="2834">
    <w:name w:val="表文字53"/>
    <w:basedOn w:val="1"/>
    <w:qFormat/>
    <w:uiPriority w:val="0"/>
    <w:pPr>
      <w:adjustRightInd w:val="0"/>
      <w:jc w:val="left"/>
      <w:textAlignment w:val="baseline"/>
    </w:pPr>
  </w:style>
  <w:style w:type="paragraph" w:customStyle="1" w:styleId="2835">
    <w:name w:val="正文24"/>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836">
    <w:name w:val="样式 正文缩进 + 四号 Char Char Char"/>
    <w:basedOn w:val="22"/>
    <w:qFormat/>
    <w:uiPriority w:val="0"/>
    <w:pPr>
      <w:spacing w:line="480" w:lineRule="exact"/>
      <w:ind w:firstLine="0" w:firstLineChars="0"/>
    </w:pPr>
    <w:rPr>
      <w:sz w:val="28"/>
      <w:szCs w:val="20"/>
    </w:rPr>
  </w:style>
  <w:style w:type="paragraph" w:customStyle="1" w:styleId="2837">
    <w:name w:val="表内5中42"/>
    <w:basedOn w:val="1"/>
    <w:qFormat/>
    <w:uiPriority w:val="0"/>
    <w:pPr>
      <w:adjustRightInd w:val="0"/>
      <w:snapToGrid w:val="0"/>
      <w:jc w:val="center"/>
    </w:pPr>
    <w:rPr>
      <w:bCs/>
    </w:rPr>
  </w:style>
  <w:style w:type="paragraph" w:customStyle="1" w:styleId="2838">
    <w:name w:val="表内宋5中6"/>
    <w:basedOn w:val="1"/>
    <w:qFormat/>
    <w:uiPriority w:val="0"/>
    <w:pPr>
      <w:adjustRightInd w:val="0"/>
      <w:snapToGrid w:val="0"/>
      <w:textAlignment w:val="baseline"/>
    </w:pPr>
    <w:rPr>
      <w:color w:val="000000"/>
    </w:rPr>
  </w:style>
  <w:style w:type="paragraph" w:customStyle="1" w:styleId="2839">
    <w:name w:val="表内文字小3142"/>
    <w:basedOn w:val="1"/>
    <w:qFormat/>
    <w:uiPriority w:val="0"/>
    <w:pPr>
      <w:adjustRightInd w:val="0"/>
      <w:snapToGrid w:val="0"/>
      <w:jc w:val="center"/>
    </w:pPr>
    <w:rPr>
      <w:rFonts w:hAnsi="Times" w:cs="宋体"/>
      <w:bCs/>
      <w:color w:val="003366"/>
    </w:rPr>
  </w:style>
  <w:style w:type="paragraph" w:customStyle="1" w:styleId="2840">
    <w:name w:val="Char Char Char Char Char Char Char Char Char Char Char Char11"/>
    <w:basedOn w:val="1"/>
    <w:qFormat/>
    <w:uiPriority w:val="0"/>
    <w:pPr>
      <w:spacing w:line="240" w:lineRule="exact"/>
      <w:ind w:firstLine="200" w:firstLineChars="200"/>
    </w:pPr>
    <w:rPr>
      <w:sz w:val="28"/>
      <w:szCs w:val="28"/>
    </w:rPr>
  </w:style>
  <w:style w:type="paragraph" w:customStyle="1" w:styleId="2841">
    <w:name w:val="表题1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842">
    <w:name w:val="正文格式611"/>
    <w:basedOn w:val="1"/>
    <w:qFormat/>
    <w:uiPriority w:val="0"/>
    <w:pPr>
      <w:spacing w:line="360" w:lineRule="auto"/>
      <w:ind w:firstLine="482"/>
    </w:pPr>
    <w:rPr>
      <w:rFonts w:hAnsi="宋体"/>
    </w:rPr>
  </w:style>
  <w:style w:type="paragraph" w:customStyle="1" w:styleId="2843">
    <w:name w:val="新正文 Char Char Char Char"/>
    <w:basedOn w:val="1"/>
    <w:qFormat/>
    <w:uiPriority w:val="0"/>
    <w:pPr>
      <w:spacing w:line="480" w:lineRule="exact"/>
      <w:ind w:firstLine="482"/>
    </w:pPr>
    <w:rPr>
      <w:rFonts w:hint="eastAsia" w:ascii="仿宋_GB2312" w:eastAsia="仿宋_GB2312"/>
      <w:bCs/>
      <w:sz w:val="28"/>
    </w:rPr>
  </w:style>
  <w:style w:type="paragraph" w:customStyle="1" w:styleId="2844">
    <w:name w:val="正文格式411"/>
    <w:basedOn w:val="1"/>
    <w:qFormat/>
    <w:uiPriority w:val="0"/>
    <w:pPr>
      <w:spacing w:line="360" w:lineRule="auto"/>
      <w:ind w:firstLine="482"/>
    </w:pPr>
    <w:rPr>
      <w:rFonts w:hAnsi="宋体"/>
    </w:rPr>
  </w:style>
  <w:style w:type="paragraph" w:customStyle="1" w:styleId="2845">
    <w:name w:val="表内文字小34"/>
    <w:basedOn w:val="1"/>
    <w:qFormat/>
    <w:uiPriority w:val="0"/>
    <w:pPr>
      <w:adjustRightInd w:val="0"/>
      <w:snapToGrid w:val="0"/>
      <w:jc w:val="center"/>
    </w:pPr>
    <w:rPr>
      <w:rFonts w:hAnsi="Times"/>
    </w:rPr>
  </w:style>
  <w:style w:type="paragraph" w:customStyle="1" w:styleId="2846">
    <w:name w:val="text14 style1"/>
    <w:basedOn w:val="1"/>
    <w:qFormat/>
    <w:uiPriority w:val="0"/>
    <w:pPr>
      <w:widowControl/>
      <w:spacing w:before="100" w:beforeAutospacing="1" w:after="100" w:afterAutospacing="1"/>
      <w:jc w:val="left"/>
    </w:pPr>
    <w:rPr>
      <w:rFonts w:ascii="Arial Unicode MS" w:hAnsi="Arial Unicode MS" w:eastAsia="Arial Unicode MS" w:cs="Arial Unicode MS"/>
    </w:rPr>
  </w:style>
  <w:style w:type="paragraph" w:customStyle="1" w:styleId="2847">
    <w:name w:val="样式 标题 1h1H1PIM 1标书11.标题 1Section HeadHeader11st levell1..."/>
    <w:basedOn w:val="4"/>
    <w:qFormat/>
    <w:uiPriority w:val="0"/>
    <w:pPr>
      <w:tabs>
        <w:tab w:val="left" w:pos="2040"/>
      </w:tabs>
      <w:spacing w:before="240" w:after="240" w:line="500" w:lineRule="exact"/>
      <w:ind w:left="2040" w:leftChars="800" w:right="210" w:hanging="360" w:hangingChars="200"/>
    </w:pPr>
    <w:rPr>
      <w:rFonts w:eastAsia="黑体" w:cs="宋体"/>
      <w:color w:val="000000"/>
      <w:sz w:val="30"/>
      <w:szCs w:val="20"/>
    </w:rPr>
  </w:style>
  <w:style w:type="paragraph" w:customStyle="1" w:styleId="2848">
    <w:name w:val="texte"/>
    <w:basedOn w:val="1"/>
    <w:qFormat/>
    <w:uiPriority w:val="0"/>
    <w:pPr>
      <w:widowControl/>
      <w:ind w:left="1134" w:right="284"/>
    </w:pPr>
    <w:rPr>
      <w:lang w:val="en-GB" w:eastAsia="en-US"/>
    </w:rPr>
  </w:style>
  <w:style w:type="paragraph" w:customStyle="1" w:styleId="2849">
    <w:name w:val="样式 样式 宋体 + 首行缩进:  2 字符12"/>
    <w:basedOn w:val="1"/>
    <w:qFormat/>
    <w:uiPriority w:val="0"/>
    <w:pPr>
      <w:spacing w:line="360" w:lineRule="auto"/>
      <w:ind w:firstLine="480" w:firstLineChars="200"/>
      <w:jc w:val="left"/>
    </w:pPr>
    <w:rPr>
      <w:rFonts w:cs="宋体"/>
    </w:rPr>
  </w:style>
  <w:style w:type="paragraph" w:customStyle="1" w:styleId="2850">
    <w:name w:val="表题16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851">
    <w:name w:val="Char52"/>
    <w:basedOn w:val="1"/>
    <w:qFormat/>
    <w:uiPriority w:val="0"/>
    <w:pPr>
      <w:adjustRightInd w:val="0"/>
      <w:snapToGrid w:val="0"/>
      <w:ind w:left="-45"/>
    </w:pPr>
  </w:style>
  <w:style w:type="paragraph" w:customStyle="1" w:styleId="2852">
    <w:name w:val="表内宋51113"/>
    <w:basedOn w:val="81"/>
    <w:qFormat/>
    <w:uiPriority w:val="0"/>
    <w:pPr>
      <w:widowControl/>
      <w:adjustRightInd w:val="0"/>
      <w:snapToGrid w:val="0"/>
    </w:pPr>
    <w:rPr>
      <w:rFonts w:ascii="宋体" w:hAnsi="宋体" w:cs="宋体"/>
      <w:color w:val="000000"/>
      <w:kern w:val="0"/>
      <w:sz w:val="21"/>
    </w:rPr>
  </w:style>
  <w:style w:type="paragraph" w:customStyle="1" w:styleId="2853">
    <w:name w:val="表题19"/>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854">
    <w:name w:val="正文格式3"/>
    <w:basedOn w:val="1"/>
    <w:qFormat/>
    <w:uiPriority w:val="0"/>
    <w:pPr>
      <w:spacing w:line="360" w:lineRule="auto"/>
      <w:ind w:firstLine="482"/>
    </w:pPr>
    <w:rPr>
      <w:rFonts w:hAnsi="宋体"/>
    </w:rPr>
  </w:style>
  <w:style w:type="paragraph" w:customStyle="1" w:styleId="2855">
    <w:name w:val="表内5中44"/>
    <w:basedOn w:val="1"/>
    <w:qFormat/>
    <w:uiPriority w:val="0"/>
    <w:pPr>
      <w:adjustRightInd w:val="0"/>
      <w:snapToGrid w:val="0"/>
      <w:jc w:val="center"/>
    </w:pPr>
    <w:rPr>
      <w:bCs/>
    </w:rPr>
  </w:style>
  <w:style w:type="paragraph" w:customStyle="1" w:styleId="2856">
    <w:name w:val="表内文字小3123"/>
    <w:basedOn w:val="1"/>
    <w:qFormat/>
    <w:uiPriority w:val="0"/>
    <w:pPr>
      <w:adjustRightInd w:val="0"/>
      <w:snapToGrid w:val="0"/>
      <w:jc w:val="center"/>
    </w:pPr>
    <w:rPr>
      <w:rFonts w:hAnsi="Times" w:cs="宋体"/>
      <w:bCs/>
      <w:color w:val="003366"/>
    </w:rPr>
  </w:style>
  <w:style w:type="paragraph" w:customStyle="1" w:styleId="2857">
    <w:name w:val="表211"/>
    <w:basedOn w:val="1"/>
    <w:qFormat/>
    <w:uiPriority w:val="0"/>
    <w:pPr>
      <w:adjustRightInd w:val="0"/>
      <w:snapToGrid w:val="0"/>
      <w:jc w:val="center"/>
    </w:pPr>
    <w:rPr>
      <w:rFonts w:eastAsia="仿宋_GB2312"/>
    </w:rPr>
  </w:style>
  <w:style w:type="paragraph" w:customStyle="1" w:styleId="2858">
    <w:name w:val="Char118"/>
    <w:basedOn w:val="1"/>
    <w:qFormat/>
    <w:uiPriority w:val="0"/>
    <w:pPr>
      <w:adjustRightInd w:val="0"/>
      <w:snapToGrid w:val="0"/>
      <w:spacing w:beforeLines="50" w:line="360" w:lineRule="auto"/>
    </w:pPr>
    <w:rPr>
      <w:rFonts w:ascii="黑体" w:eastAsia="黑体"/>
      <w:sz w:val="32"/>
      <w:szCs w:val="32"/>
    </w:rPr>
  </w:style>
  <w:style w:type="paragraph" w:customStyle="1" w:styleId="2859">
    <w:name w:val="表内宋5中4"/>
    <w:basedOn w:val="1"/>
    <w:qFormat/>
    <w:uiPriority w:val="0"/>
    <w:pPr>
      <w:adjustRightInd w:val="0"/>
      <w:snapToGrid w:val="0"/>
      <w:textAlignment w:val="baseline"/>
    </w:pPr>
    <w:rPr>
      <w:color w:val="000000"/>
    </w:rPr>
  </w:style>
  <w:style w:type="paragraph" w:customStyle="1" w:styleId="2860">
    <w:name w:val="表内文字小26"/>
    <w:basedOn w:val="1"/>
    <w:qFormat/>
    <w:uiPriority w:val="0"/>
    <w:pPr>
      <w:adjustRightInd w:val="0"/>
      <w:snapToGrid w:val="0"/>
      <w:jc w:val="center"/>
    </w:pPr>
    <w:rPr>
      <w:rFonts w:hAnsi="Times"/>
      <w:bCs/>
      <w:color w:val="000000"/>
    </w:rPr>
  </w:style>
  <w:style w:type="paragraph" w:customStyle="1" w:styleId="2861">
    <w:name w:val="居中"/>
    <w:basedOn w:val="1"/>
    <w:qFormat/>
    <w:uiPriority w:val="0"/>
    <w:pPr>
      <w:spacing w:line="440" w:lineRule="exact"/>
      <w:jc w:val="center"/>
    </w:pPr>
  </w:style>
  <w:style w:type="paragraph" w:customStyle="1" w:styleId="2862">
    <w:name w:val="Char4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863">
    <w:name w:val="表内5中14"/>
    <w:basedOn w:val="1"/>
    <w:qFormat/>
    <w:uiPriority w:val="0"/>
    <w:pPr>
      <w:adjustRightInd w:val="0"/>
      <w:snapToGrid w:val="0"/>
      <w:jc w:val="center"/>
    </w:pPr>
    <w:rPr>
      <w:rFonts w:hAnsi="宋体" w:cs="Arial"/>
      <w:snapToGrid w:val="0"/>
      <w:color w:val="000000"/>
      <w:szCs w:val="21"/>
    </w:rPr>
  </w:style>
  <w:style w:type="paragraph" w:customStyle="1" w:styleId="2864">
    <w:name w:val="表题144"/>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2865">
    <w:name w:val="表内宋5中5"/>
    <w:basedOn w:val="1"/>
    <w:qFormat/>
    <w:uiPriority w:val="0"/>
    <w:pPr>
      <w:adjustRightInd w:val="0"/>
      <w:snapToGrid w:val="0"/>
      <w:textAlignment w:val="baseline"/>
    </w:pPr>
    <w:rPr>
      <w:color w:val="000000"/>
    </w:rPr>
  </w:style>
  <w:style w:type="paragraph" w:customStyle="1" w:styleId="2866">
    <w:name w:val="图框文"/>
    <w:basedOn w:val="1"/>
    <w:qFormat/>
    <w:uiPriority w:val="0"/>
    <w:pPr>
      <w:ind w:left="-57" w:right="-57"/>
      <w:jc w:val="center"/>
    </w:pPr>
    <w:rPr>
      <w:rFonts w:hAnsi="Arial Black"/>
    </w:rPr>
  </w:style>
  <w:style w:type="paragraph" w:customStyle="1" w:styleId="2867">
    <w:name w:val="表内宋5中12"/>
    <w:basedOn w:val="1"/>
    <w:qFormat/>
    <w:uiPriority w:val="0"/>
    <w:pPr>
      <w:adjustRightInd w:val="0"/>
      <w:snapToGrid w:val="0"/>
      <w:jc w:val="center"/>
      <w:textAlignment w:val="baseline"/>
    </w:pPr>
    <w:rPr>
      <w:rFonts w:hAnsi="宋体" w:cs="宋体"/>
    </w:rPr>
  </w:style>
  <w:style w:type="paragraph" w:customStyle="1" w:styleId="2868">
    <w:name w:val="表内小5中11"/>
    <w:basedOn w:val="1"/>
    <w:qFormat/>
    <w:uiPriority w:val="0"/>
    <w:pPr>
      <w:adjustRightInd w:val="0"/>
      <w:snapToGrid w:val="0"/>
      <w:jc w:val="center"/>
    </w:pPr>
    <w:rPr>
      <w:rFonts w:hAnsi="宋体"/>
      <w:sz w:val="18"/>
    </w:rPr>
  </w:style>
  <w:style w:type="paragraph" w:customStyle="1" w:styleId="2869">
    <w:name w:val="表内文字小314"/>
    <w:basedOn w:val="1"/>
    <w:qFormat/>
    <w:uiPriority w:val="0"/>
    <w:pPr>
      <w:adjustRightInd w:val="0"/>
      <w:snapToGrid w:val="0"/>
      <w:jc w:val="center"/>
    </w:pPr>
    <w:rPr>
      <w:rFonts w:hAnsi="Times" w:cs="宋体"/>
      <w:bCs/>
      <w:color w:val="003366"/>
    </w:rPr>
  </w:style>
  <w:style w:type="paragraph" w:customStyle="1" w:styleId="2870">
    <w:name w:val="正文新 Char"/>
    <w:basedOn w:val="1"/>
    <w:qFormat/>
    <w:uiPriority w:val="0"/>
    <w:pPr>
      <w:spacing w:line="360" w:lineRule="auto"/>
      <w:ind w:firstLine="480" w:firstLineChars="200"/>
    </w:pPr>
  </w:style>
  <w:style w:type="paragraph" w:customStyle="1" w:styleId="2871">
    <w:name w:val="Char Char Char1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872">
    <w:name w:val="表内文字小2212"/>
    <w:basedOn w:val="1"/>
    <w:qFormat/>
    <w:uiPriority w:val="0"/>
    <w:pPr>
      <w:adjustRightInd w:val="0"/>
      <w:snapToGrid w:val="0"/>
      <w:jc w:val="center"/>
    </w:pPr>
    <w:rPr>
      <w:rFonts w:hAnsi="Times"/>
      <w:bCs/>
      <w:color w:val="000000"/>
    </w:rPr>
  </w:style>
  <w:style w:type="paragraph" w:customStyle="1" w:styleId="2873">
    <w:name w:val="表题1212"/>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2874">
    <w:name w:val="样式 样式 宋体 + 首行缩进:  2 字符14"/>
    <w:basedOn w:val="1"/>
    <w:qFormat/>
    <w:uiPriority w:val="0"/>
    <w:pPr>
      <w:spacing w:line="360" w:lineRule="auto"/>
      <w:ind w:firstLine="480" w:firstLineChars="200"/>
      <w:jc w:val="left"/>
    </w:pPr>
    <w:rPr>
      <w:rFonts w:cs="宋体"/>
    </w:rPr>
  </w:style>
  <w:style w:type="paragraph" w:customStyle="1" w:styleId="2875">
    <w:name w:val="正文格式21"/>
    <w:basedOn w:val="1"/>
    <w:qFormat/>
    <w:uiPriority w:val="0"/>
    <w:pPr>
      <w:spacing w:line="360" w:lineRule="auto"/>
      <w:ind w:firstLine="482"/>
    </w:pPr>
    <w:rPr>
      <w:rFonts w:hAnsi="宋体"/>
    </w:rPr>
  </w:style>
  <w:style w:type="paragraph" w:customStyle="1" w:styleId="2876">
    <w:name w:val="正文格式312"/>
    <w:basedOn w:val="1"/>
    <w:qFormat/>
    <w:uiPriority w:val="0"/>
    <w:pPr>
      <w:spacing w:line="360" w:lineRule="auto"/>
      <w:ind w:firstLine="482"/>
    </w:pPr>
    <w:rPr>
      <w:rFonts w:hAnsi="宋体"/>
    </w:rPr>
  </w:style>
  <w:style w:type="paragraph" w:customStyle="1" w:styleId="2877">
    <w:name w:val="燕正文"/>
    <w:basedOn w:val="3"/>
    <w:qFormat/>
    <w:uiPriority w:val="0"/>
    <w:pPr>
      <w:pBdr>
        <w:top w:val="single" w:color="auto" w:sz="4" w:space="1"/>
      </w:pBdr>
      <w:spacing w:after="0" w:line="480" w:lineRule="atLeast"/>
      <w:ind w:left="0" w:leftChars="0" w:firstLine="480" w:firstLineChars="200"/>
    </w:pPr>
    <w:rPr>
      <w:rFonts w:cs="宋体"/>
      <w:sz w:val="24"/>
    </w:rPr>
  </w:style>
  <w:style w:type="paragraph" w:customStyle="1" w:styleId="2878">
    <w:name w:val="Char Char7 Char Char1 Char"/>
    <w:basedOn w:val="1"/>
    <w:qFormat/>
    <w:uiPriority w:val="0"/>
    <w:pPr>
      <w:spacing w:line="240" w:lineRule="exact"/>
      <w:ind w:firstLine="200" w:firstLineChars="200"/>
    </w:pPr>
    <w:rPr>
      <w:sz w:val="28"/>
      <w:szCs w:val="28"/>
    </w:rPr>
  </w:style>
  <w:style w:type="paragraph" w:customStyle="1" w:styleId="2879">
    <w:name w:val="表文字541"/>
    <w:basedOn w:val="1"/>
    <w:qFormat/>
    <w:uiPriority w:val="0"/>
    <w:pPr>
      <w:adjustRightInd w:val="0"/>
      <w:jc w:val="left"/>
      <w:textAlignment w:val="baseline"/>
    </w:pPr>
  </w:style>
  <w:style w:type="paragraph" w:customStyle="1" w:styleId="2880">
    <w:name w:val="正文格式613"/>
    <w:basedOn w:val="1"/>
    <w:qFormat/>
    <w:uiPriority w:val="0"/>
    <w:pPr>
      <w:spacing w:line="360" w:lineRule="auto"/>
      <w:ind w:firstLine="482"/>
    </w:pPr>
    <w:rPr>
      <w:rFonts w:hAnsi="宋体"/>
    </w:rPr>
  </w:style>
  <w:style w:type="paragraph" w:customStyle="1" w:styleId="2881">
    <w:name w:val="正文格式1"/>
    <w:basedOn w:val="1"/>
    <w:qFormat/>
    <w:uiPriority w:val="0"/>
    <w:pPr>
      <w:spacing w:line="360" w:lineRule="auto"/>
      <w:ind w:firstLine="482"/>
    </w:pPr>
    <w:rPr>
      <w:rFonts w:hAnsi="宋体"/>
    </w:rPr>
  </w:style>
  <w:style w:type="paragraph" w:customStyle="1" w:styleId="2882">
    <w:name w:val="23-47表名13"/>
    <w:basedOn w:val="1"/>
    <w:qFormat/>
    <w:uiPriority w:val="0"/>
    <w:pPr>
      <w:spacing w:afterLines="50" w:line="440" w:lineRule="exact"/>
      <w:jc w:val="center"/>
    </w:pPr>
    <w:rPr>
      <w:rFonts w:hAnsi="宋体"/>
      <w:b/>
    </w:rPr>
  </w:style>
  <w:style w:type="paragraph" w:customStyle="1" w:styleId="2883">
    <w:name w:val="表文字5313"/>
    <w:basedOn w:val="1"/>
    <w:qFormat/>
    <w:uiPriority w:val="0"/>
    <w:pPr>
      <w:adjustRightInd w:val="0"/>
      <w:jc w:val="left"/>
      <w:textAlignment w:val="baseline"/>
    </w:pPr>
  </w:style>
  <w:style w:type="paragraph" w:customStyle="1" w:styleId="2884">
    <w:name w:val="默认段落字体 Para Char41"/>
    <w:basedOn w:val="1"/>
    <w:next w:val="1"/>
    <w:qFormat/>
    <w:uiPriority w:val="0"/>
    <w:pPr>
      <w:spacing w:line="480" w:lineRule="exact"/>
      <w:ind w:firstLine="200" w:firstLineChars="200"/>
      <w:jc w:val="left"/>
    </w:pPr>
    <w:rPr>
      <w:rFonts w:hAnsi="宋体" w:eastAsia="汉鼎简书宋" w:cs="宋体"/>
      <w:sz w:val="28"/>
    </w:rPr>
  </w:style>
  <w:style w:type="paragraph" w:customStyle="1" w:styleId="2885">
    <w:name w:val="haydonli"/>
    <w:basedOn w:val="1"/>
    <w:qFormat/>
    <w:uiPriority w:val="0"/>
    <w:pPr>
      <w:snapToGrid w:val="0"/>
      <w:spacing w:line="360" w:lineRule="auto"/>
      <w:ind w:firstLine="200" w:firstLineChars="200"/>
    </w:pPr>
  </w:style>
  <w:style w:type="paragraph" w:customStyle="1" w:styleId="2886">
    <w:name w:val="样式 haydonli + 首行缩进:  2 字符"/>
    <w:basedOn w:val="2885"/>
    <w:qFormat/>
    <w:uiPriority w:val="0"/>
    <w:pPr>
      <w:adjustRightInd w:val="0"/>
      <w:spacing w:line="420" w:lineRule="exact"/>
      <w:ind w:firstLine="540" w:firstLineChars="225"/>
    </w:pPr>
    <w:rPr>
      <w:rFonts w:hAnsi="宋体" w:cs="宋体"/>
      <w:bCs/>
      <w:kern w:val="2"/>
    </w:rPr>
  </w:style>
  <w:style w:type="paragraph" w:customStyle="1" w:styleId="2887">
    <w:name w:val="正文格式214"/>
    <w:basedOn w:val="1"/>
    <w:qFormat/>
    <w:uiPriority w:val="0"/>
    <w:pPr>
      <w:spacing w:line="360" w:lineRule="auto"/>
      <w:ind w:firstLine="482"/>
    </w:pPr>
    <w:rPr>
      <w:rFonts w:hAnsi="宋体"/>
    </w:rPr>
  </w:style>
  <w:style w:type="paragraph" w:customStyle="1" w:styleId="2888">
    <w:name w:val="Char121"/>
    <w:basedOn w:val="1"/>
    <w:qFormat/>
    <w:uiPriority w:val="0"/>
    <w:pPr>
      <w:adjustRightInd w:val="0"/>
      <w:snapToGrid w:val="0"/>
      <w:spacing w:line="360" w:lineRule="auto"/>
    </w:pPr>
  </w:style>
  <w:style w:type="paragraph" w:customStyle="1" w:styleId="2889">
    <w:name w:val="Char Char7 Char Char1 Char Char Char"/>
    <w:basedOn w:val="1"/>
    <w:qFormat/>
    <w:uiPriority w:val="0"/>
    <w:pPr>
      <w:spacing w:line="240" w:lineRule="exact"/>
      <w:ind w:firstLine="200" w:firstLineChars="200"/>
    </w:pPr>
    <w:rPr>
      <w:sz w:val="28"/>
      <w:szCs w:val="28"/>
    </w:rPr>
  </w:style>
  <w:style w:type="paragraph" w:customStyle="1" w:styleId="2890">
    <w:name w:val="正文格式711"/>
    <w:basedOn w:val="1"/>
    <w:qFormat/>
    <w:uiPriority w:val="0"/>
    <w:pPr>
      <w:spacing w:line="360" w:lineRule="auto"/>
      <w:ind w:firstLine="482"/>
    </w:pPr>
    <w:rPr>
      <w:rFonts w:hAnsi="宋体"/>
    </w:rPr>
  </w:style>
  <w:style w:type="paragraph" w:customStyle="1" w:styleId="2891">
    <w:name w:val="表内宋51123"/>
    <w:basedOn w:val="81"/>
    <w:qFormat/>
    <w:uiPriority w:val="0"/>
    <w:pPr>
      <w:widowControl/>
      <w:adjustRightInd w:val="0"/>
      <w:snapToGrid w:val="0"/>
    </w:pPr>
    <w:rPr>
      <w:rFonts w:ascii="宋体" w:hAnsi="宋体" w:cs="宋体"/>
      <w:color w:val="000000"/>
      <w:kern w:val="0"/>
      <w:sz w:val="21"/>
    </w:rPr>
  </w:style>
  <w:style w:type="paragraph" w:customStyle="1" w:styleId="2892">
    <w:name w:val="表内宋5中3"/>
    <w:basedOn w:val="1"/>
    <w:qFormat/>
    <w:uiPriority w:val="0"/>
    <w:pPr>
      <w:adjustRightInd w:val="0"/>
      <w:snapToGrid w:val="0"/>
      <w:textAlignment w:val="baseline"/>
    </w:pPr>
    <w:rPr>
      <w:color w:val="000000"/>
    </w:rPr>
  </w:style>
  <w:style w:type="paragraph" w:customStyle="1" w:styleId="2893">
    <w:name w:val="表内文字小3"/>
    <w:basedOn w:val="1"/>
    <w:qFormat/>
    <w:uiPriority w:val="0"/>
    <w:pPr>
      <w:adjustRightInd w:val="0"/>
      <w:snapToGrid w:val="0"/>
      <w:jc w:val="center"/>
    </w:pPr>
    <w:rPr>
      <w:rFonts w:hAnsi="Times"/>
    </w:rPr>
  </w:style>
  <w:style w:type="paragraph" w:customStyle="1" w:styleId="2894">
    <w:name w:val="表内宋5中33"/>
    <w:basedOn w:val="1"/>
    <w:qFormat/>
    <w:uiPriority w:val="0"/>
    <w:pPr>
      <w:adjustRightInd w:val="0"/>
      <w:snapToGrid w:val="0"/>
      <w:textAlignment w:val="baseline"/>
    </w:pPr>
    <w:rPr>
      <w:color w:val="000000"/>
    </w:rPr>
  </w:style>
  <w:style w:type="paragraph" w:customStyle="1" w:styleId="2895">
    <w:name w:val="Char1011"/>
    <w:basedOn w:val="1"/>
    <w:qFormat/>
    <w:uiPriority w:val="0"/>
    <w:pPr>
      <w:adjustRightInd w:val="0"/>
      <w:snapToGrid w:val="0"/>
      <w:spacing w:line="360" w:lineRule="auto"/>
    </w:pPr>
  </w:style>
  <w:style w:type="paragraph" w:customStyle="1" w:styleId="2896">
    <w:name w:val="环评正文1"/>
    <w:basedOn w:val="283"/>
    <w:qFormat/>
    <w:uiPriority w:val="0"/>
    <w:pPr>
      <w:ind w:firstLine="0" w:firstLineChars="0"/>
    </w:pPr>
    <w:rPr>
      <w:rFonts w:hAnsi="宋体"/>
      <w:szCs w:val="28"/>
    </w:rPr>
  </w:style>
  <w:style w:type="paragraph" w:customStyle="1" w:styleId="2897">
    <w:name w:val="表内5中4"/>
    <w:basedOn w:val="1"/>
    <w:qFormat/>
    <w:uiPriority w:val="0"/>
    <w:pPr>
      <w:adjustRightInd w:val="0"/>
      <w:snapToGrid w:val="0"/>
      <w:jc w:val="center"/>
    </w:pPr>
    <w:rPr>
      <w:bCs/>
    </w:rPr>
  </w:style>
  <w:style w:type="paragraph" w:customStyle="1" w:styleId="2898">
    <w:name w:val="正文文字（首行缩进2字）"/>
    <w:basedOn w:val="1"/>
    <w:qFormat/>
    <w:uiPriority w:val="0"/>
    <w:pPr>
      <w:spacing w:line="360" w:lineRule="auto"/>
      <w:ind w:firstLine="200" w:firstLineChars="200"/>
    </w:pPr>
    <w:rPr>
      <w:rFonts w:ascii="Arial" w:hAnsi="Arial"/>
      <w:position w:val="-30"/>
      <w:sz w:val="28"/>
    </w:rPr>
  </w:style>
  <w:style w:type="paragraph" w:customStyle="1" w:styleId="2899">
    <w:name w:val="xl633"/>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2900">
    <w:name w:val="默认段落字体 Para Char13"/>
    <w:basedOn w:val="1"/>
    <w:next w:val="1"/>
    <w:qFormat/>
    <w:uiPriority w:val="0"/>
    <w:pPr>
      <w:spacing w:line="480" w:lineRule="exact"/>
      <w:ind w:firstLine="200" w:firstLineChars="200"/>
      <w:jc w:val="left"/>
    </w:pPr>
    <w:rPr>
      <w:rFonts w:hAnsi="宋体" w:eastAsia="汉鼎简书宋" w:cs="宋体"/>
      <w:sz w:val="28"/>
    </w:rPr>
  </w:style>
  <w:style w:type="paragraph" w:customStyle="1" w:styleId="2901">
    <w:name w:val="正文211"/>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902">
    <w:name w:val="表题3131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903">
    <w:name w:val="表名称"/>
    <w:basedOn w:val="1"/>
    <w:qFormat/>
    <w:uiPriority w:val="0"/>
    <w:pPr>
      <w:tabs>
        <w:tab w:val="left" w:pos="-120"/>
      </w:tabs>
      <w:overflowPunct w:val="0"/>
      <w:topLinePunct/>
      <w:autoSpaceDE w:val="0"/>
      <w:adjustRightInd w:val="0"/>
      <w:snapToGrid w:val="0"/>
      <w:spacing w:before="240" w:after="120"/>
      <w:jc w:val="center"/>
      <w:textAlignment w:val="baseline"/>
    </w:pPr>
    <w:rPr>
      <w:rFonts w:hAnsi="宋体"/>
      <w:b/>
      <w:bCs/>
      <w:color w:val="000000"/>
      <w:spacing w:val="16"/>
    </w:rPr>
  </w:style>
  <w:style w:type="paragraph" w:customStyle="1" w:styleId="2904">
    <w:name w:val="表内文字边11"/>
    <w:basedOn w:val="1"/>
    <w:qFormat/>
    <w:uiPriority w:val="0"/>
    <w:pPr>
      <w:widowControl/>
      <w:adjustRightInd w:val="0"/>
      <w:snapToGrid w:val="0"/>
      <w:spacing w:line="240" w:lineRule="atLeast"/>
      <w:ind w:left="-21" w:leftChars="-10" w:right="-42" w:rightChars="-20"/>
    </w:pPr>
    <w:rPr>
      <w:szCs w:val="21"/>
    </w:rPr>
  </w:style>
  <w:style w:type="paragraph" w:customStyle="1" w:styleId="2905">
    <w:name w:val="燕山正文1133"/>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2906">
    <w:name w:val="Char57"/>
    <w:basedOn w:val="1"/>
    <w:qFormat/>
    <w:uiPriority w:val="0"/>
    <w:pPr>
      <w:ind w:left="-48"/>
    </w:pPr>
  </w:style>
  <w:style w:type="paragraph" w:customStyle="1" w:styleId="2907">
    <w:name w:val="Char Char Char Char Char Char Char2211"/>
    <w:basedOn w:val="1"/>
    <w:qFormat/>
    <w:uiPriority w:val="0"/>
  </w:style>
  <w:style w:type="paragraph" w:customStyle="1" w:styleId="2908">
    <w:name w:val="正文格式＝73"/>
    <w:basedOn w:val="239"/>
    <w:next w:val="239"/>
    <w:qFormat/>
    <w:uiPriority w:val="0"/>
    <w:rPr>
      <w:rFonts w:hAnsi="宋体"/>
    </w:rPr>
  </w:style>
  <w:style w:type="paragraph" w:customStyle="1" w:styleId="2909">
    <w:name w:val="表格内字体5"/>
    <w:basedOn w:val="239"/>
    <w:next w:val="239"/>
    <w:qFormat/>
    <w:uiPriority w:val="0"/>
    <w:pPr>
      <w:adjustRightInd w:val="0"/>
      <w:snapToGrid w:val="0"/>
      <w:spacing w:line="240" w:lineRule="auto"/>
      <w:ind w:firstLine="0"/>
    </w:pPr>
    <w:rPr>
      <w:rFonts w:hAnsi="宋体"/>
      <w:sz w:val="21"/>
    </w:rPr>
  </w:style>
  <w:style w:type="paragraph" w:customStyle="1" w:styleId="2910">
    <w:name w:val="样式 加粗 行距: 1.5 倍行距"/>
    <w:basedOn w:val="1"/>
    <w:qFormat/>
    <w:uiPriority w:val="0"/>
    <w:pPr>
      <w:pBdr>
        <w:top w:val="single" w:color="auto" w:sz="4" w:space="1"/>
        <w:bottom w:val="threeDEngrave" w:color="auto" w:sz="12" w:space="1"/>
      </w:pBdr>
      <w:adjustRightInd w:val="0"/>
      <w:spacing w:line="360" w:lineRule="auto"/>
      <w:ind w:firstLine="480" w:firstLineChars="200"/>
      <w:jc w:val="left"/>
      <w:textAlignment w:val="baseline"/>
    </w:pPr>
    <w:rPr>
      <w:rFonts w:cs="宋体"/>
      <w:b/>
      <w:bCs/>
    </w:rPr>
  </w:style>
  <w:style w:type="paragraph" w:customStyle="1" w:styleId="2911">
    <w:name w:val="页眉3"/>
    <w:basedOn w:val="1"/>
    <w:qFormat/>
    <w:uiPriority w:val="0"/>
    <w:pPr>
      <w:pBdr>
        <w:bottom w:val="single" w:color="auto" w:sz="6" w:space="1"/>
      </w:pBdr>
      <w:tabs>
        <w:tab w:val="center" w:pos="4153"/>
        <w:tab w:val="right" w:pos="8306"/>
      </w:tabs>
      <w:snapToGrid w:val="0"/>
      <w:jc w:val="center"/>
    </w:pPr>
    <w:rPr>
      <w:rFonts w:hint="eastAsia" w:ascii="仿宋_GB2312" w:hAnsi="宋体" w:eastAsia="仿宋_GB2312"/>
      <w:sz w:val="18"/>
      <w:szCs w:val="28"/>
    </w:rPr>
  </w:style>
  <w:style w:type="paragraph" w:customStyle="1" w:styleId="2912">
    <w:name w:val="正文修改211"/>
    <w:basedOn w:val="1264"/>
    <w:qFormat/>
    <w:uiPriority w:val="0"/>
    <w:rPr>
      <w:rFonts w:hAnsi="宋体"/>
      <w:color w:val="000000"/>
    </w:rPr>
  </w:style>
  <w:style w:type="paragraph" w:customStyle="1" w:styleId="2913">
    <w:name w:val="表内593"/>
    <w:basedOn w:val="1"/>
    <w:qFormat/>
    <w:uiPriority w:val="0"/>
    <w:pPr>
      <w:adjustRightInd w:val="0"/>
      <w:snapToGrid w:val="0"/>
      <w:spacing w:line="300" w:lineRule="auto"/>
      <w:jc w:val="center"/>
    </w:pPr>
    <w:rPr>
      <w:snapToGrid w:val="0"/>
      <w:szCs w:val="21"/>
    </w:rPr>
  </w:style>
  <w:style w:type="paragraph" w:customStyle="1" w:styleId="2914">
    <w:name w:val="表格内字体1113"/>
    <w:basedOn w:val="239"/>
    <w:qFormat/>
    <w:uiPriority w:val="0"/>
    <w:pPr>
      <w:spacing w:line="240" w:lineRule="auto"/>
      <w:ind w:firstLine="0"/>
      <w:jc w:val="center"/>
    </w:pPr>
    <w:rPr>
      <w:sz w:val="21"/>
      <w:szCs w:val="20"/>
    </w:rPr>
  </w:style>
  <w:style w:type="paragraph" w:customStyle="1" w:styleId="2915">
    <w:name w:val="Char426"/>
    <w:basedOn w:val="1"/>
    <w:qFormat/>
    <w:uiPriority w:val="0"/>
    <w:pPr>
      <w:ind w:left="-48"/>
    </w:pPr>
  </w:style>
  <w:style w:type="paragraph" w:customStyle="1" w:styleId="2916">
    <w:name w:val="表格内字体9"/>
    <w:basedOn w:val="239"/>
    <w:next w:val="239"/>
    <w:qFormat/>
    <w:uiPriority w:val="0"/>
    <w:pPr>
      <w:spacing w:line="240" w:lineRule="auto"/>
      <w:ind w:firstLine="0"/>
      <w:jc w:val="center"/>
    </w:pPr>
    <w:rPr>
      <w:rFonts w:hAnsi="宋体"/>
      <w:sz w:val="21"/>
    </w:rPr>
  </w:style>
  <w:style w:type="paragraph" w:customStyle="1" w:styleId="2917">
    <w:name w:val="Char Char2 Char Char Char Char20"/>
    <w:basedOn w:val="1"/>
    <w:qFormat/>
    <w:uiPriority w:val="0"/>
  </w:style>
  <w:style w:type="paragraph" w:customStyle="1" w:styleId="2918">
    <w:name w:val="样式1111"/>
    <w:basedOn w:val="2245"/>
    <w:qFormat/>
    <w:uiPriority w:val="0"/>
    <w:pPr>
      <w:spacing w:line="240" w:lineRule="auto"/>
      <w:ind w:firstLine="0"/>
      <w:jc w:val="center"/>
    </w:pPr>
    <w:rPr>
      <w:rFonts w:cs="Times New Roman"/>
      <w:b/>
      <w:color w:val="auto"/>
      <w:szCs w:val="20"/>
    </w:rPr>
  </w:style>
  <w:style w:type="paragraph" w:customStyle="1" w:styleId="2919">
    <w:name w:val="表题211"/>
    <w:basedOn w:val="1"/>
    <w:qFormat/>
    <w:uiPriority w:val="0"/>
    <w:pPr>
      <w:widowControl/>
      <w:adjustRightInd w:val="0"/>
      <w:snapToGrid w:val="0"/>
      <w:jc w:val="center"/>
    </w:pPr>
    <w:rPr>
      <w:rFonts w:ascii="黑体" w:hAnsi="宋体" w:eastAsia="黑体" w:cs="宋体"/>
    </w:rPr>
  </w:style>
  <w:style w:type="paragraph" w:customStyle="1" w:styleId="2920">
    <w:name w:val="图题611"/>
    <w:basedOn w:val="239"/>
    <w:next w:val="239"/>
    <w:qFormat/>
    <w:uiPriority w:val="0"/>
    <w:pPr>
      <w:ind w:firstLine="0"/>
      <w:jc w:val="center"/>
    </w:pPr>
    <w:rPr>
      <w:rFonts w:ascii="黑体" w:hAnsi="宋体" w:eastAsia="黑体"/>
      <w:b/>
      <w:bCs/>
    </w:rPr>
  </w:style>
  <w:style w:type="paragraph" w:customStyle="1" w:styleId="2921">
    <w:name w:val="chen"/>
    <w:basedOn w:val="891"/>
    <w:qFormat/>
    <w:uiPriority w:val="0"/>
    <w:pPr>
      <w:spacing w:line="500" w:lineRule="exact"/>
    </w:pPr>
    <w:rPr>
      <w:rFonts w:hAnsi="Times New Roman"/>
      <w:color w:val="000000"/>
      <w:szCs w:val="24"/>
    </w:rPr>
  </w:style>
  <w:style w:type="paragraph" w:customStyle="1" w:styleId="2922">
    <w:name w:val="燕山正文134"/>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2923">
    <w:name w:val="字元1"/>
    <w:basedOn w:val="1"/>
    <w:qFormat/>
    <w:uiPriority w:val="0"/>
    <w:rPr>
      <w:szCs w:val="21"/>
    </w:rPr>
  </w:style>
  <w:style w:type="paragraph" w:customStyle="1" w:styleId="2924">
    <w:name w:val="Char Char Char Char Char Char Char1110"/>
    <w:basedOn w:val="1"/>
    <w:qFormat/>
    <w:uiPriority w:val="0"/>
  </w:style>
  <w:style w:type="paragraph" w:customStyle="1" w:styleId="2925">
    <w:name w:val="正文修改11"/>
    <w:basedOn w:val="1264"/>
    <w:qFormat/>
    <w:uiPriority w:val="0"/>
    <w:rPr>
      <w:rFonts w:hAnsi="宋体"/>
      <w:color w:val="000000"/>
    </w:rPr>
  </w:style>
  <w:style w:type="paragraph" w:customStyle="1" w:styleId="2926">
    <w:name w:val="图表名称2"/>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2927">
    <w:name w:val="小四表格"/>
    <w:basedOn w:val="1"/>
    <w:qFormat/>
    <w:uiPriority w:val="0"/>
    <w:pPr>
      <w:keepNext/>
      <w:autoSpaceDE w:val="0"/>
      <w:autoSpaceDN w:val="0"/>
      <w:adjustRightInd w:val="0"/>
      <w:spacing w:line="480" w:lineRule="atLeast"/>
      <w:jc w:val="center"/>
    </w:pPr>
    <w:rPr>
      <w:rFonts w:ascii="仿宋_GB2312" w:hAnsi="宋体" w:eastAsia="仿宋_GB2312"/>
      <w:color w:val="000000"/>
      <w:szCs w:val="28"/>
    </w:rPr>
  </w:style>
  <w:style w:type="paragraph" w:customStyle="1" w:styleId="2928">
    <w:name w:val="表内53113"/>
    <w:basedOn w:val="1"/>
    <w:qFormat/>
    <w:uiPriority w:val="0"/>
    <w:pPr>
      <w:adjustRightInd w:val="0"/>
      <w:snapToGrid w:val="0"/>
      <w:spacing w:line="300" w:lineRule="auto"/>
      <w:jc w:val="left"/>
    </w:pPr>
  </w:style>
  <w:style w:type="paragraph" w:customStyle="1" w:styleId="2929">
    <w:name w:val="Char1 Char Char Char Char Char"/>
    <w:basedOn w:val="1"/>
    <w:qFormat/>
    <w:uiPriority w:val="0"/>
    <w:pPr>
      <w:widowControl/>
      <w:spacing w:before="100" w:beforeAutospacing="1" w:after="100" w:afterAutospacing="1"/>
      <w:ind w:firstLine="200" w:firstLineChars="200"/>
      <w:jc w:val="left"/>
    </w:pPr>
    <w:rPr>
      <w:rFonts w:ascii="Verdana" w:hAnsi="Verdana" w:eastAsia="仿宋_GB2312"/>
      <w:sz w:val="20"/>
      <w:szCs w:val="21"/>
      <w:lang w:eastAsia="en-US"/>
    </w:rPr>
  </w:style>
  <w:style w:type="paragraph" w:customStyle="1" w:styleId="2930">
    <w:name w:val="Char Char Char Char Char Char Char122"/>
    <w:basedOn w:val="1"/>
    <w:qFormat/>
    <w:uiPriority w:val="0"/>
  </w:style>
  <w:style w:type="paragraph" w:customStyle="1" w:styleId="2931">
    <w:name w:val="图题2111"/>
    <w:basedOn w:val="239"/>
    <w:next w:val="239"/>
    <w:qFormat/>
    <w:uiPriority w:val="0"/>
    <w:pPr>
      <w:ind w:firstLine="0"/>
      <w:jc w:val="center"/>
    </w:pPr>
    <w:rPr>
      <w:rFonts w:ascii="黑体" w:hAnsi="宋体" w:eastAsia="黑体"/>
      <w:b/>
      <w:bCs/>
    </w:rPr>
  </w:style>
  <w:style w:type="paragraph" w:customStyle="1" w:styleId="2932">
    <w:name w:val="A正文3"/>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2933">
    <w:name w:val="图题73"/>
    <w:basedOn w:val="239"/>
    <w:next w:val="239"/>
    <w:qFormat/>
    <w:uiPriority w:val="0"/>
    <w:pPr>
      <w:ind w:firstLine="0"/>
      <w:jc w:val="center"/>
    </w:pPr>
    <w:rPr>
      <w:rFonts w:ascii="黑体" w:hAnsi="宋体" w:eastAsia="黑体"/>
      <w:b/>
      <w:bCs/>
    </w:rPr>
  </w:style>
  <w:style w:type="paragraph" w:customStyle="1" w:styleId="2934">
    <w:name w:val="Char Char Char Char Char Char Char43"/>
    <w:basedOn w:val="1"/>
    <w:qFormat/>
    <w:uiPriority w:val="0"/>
  </w:style>
  <w:style w:type="paragraph" w:customStyle="1" w:styleId="2935">
    <w:name w:val="首行缩进:  0.99 厘米 + 首行缩进:  2 字符4"/>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2936">
    <w:name w:val="表题31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937">
    <w:name w:val="默认段落字体 Para Char Char Char Char112"/>
    <w:basedOn w:val="1"/>
    <w:qFormat/>
    <w:uiPriority w:val="0"/>
  </w:style>
  <w:style w:type="paragraph" w:customStyle="1" w:styleId="2938">
    <w:name w:val="Char Char2 Char Char Char Char111"/>
    <w:basedOn w:val="1"/>
    <w:qFormat/>
    <w:uiPriority w:val="0"/>
  </w:style>
  <w:style w:type="paragraph" w:customStyle="1" w:styleId="2939">
    <w:name w:val="黑体三号31"/>
    <w:basedOn w:val="239"/>
    <w:qFormat/>
    <w:uiPriority w:val="0"/>
    <w:pPr>
      <w:jc w:val="center"/>
    </w:pPr>
    <w:rPr>
      <w:rFonts w:ascii="黑体" w:hAnsi="宋体" w:eastAsia="黑体"/>
      <w:b/>
      <w:bCs/>
      <w:sz w:val="32"/>
      <w:szCs w:val="20"/>
    </w:rPr>
  </w:style>
  <w:style w:type="paragraph" w:customStyle="1" w:styleId="2940">
    <w:name w:val="Char Char2 Char Char Char Char34"/>
    <w:basedOn w:val="1"/>
    <w:qFormat/>
    <w:uiPriority w:val="0"/>
  </w:style>
  <w:style w:type="paragraph" w:customStyle="1" w:styleId="2941">
    <w:name w:val="Char Char Char Char Char Char Char22"/>
    <w:basedOn w:val="1"/>
    <w:qFormat/>
    <w:uiPriority w:val="0"/>
  </w:style>
  <w:style w:type="paragraph" w:customStyle="1" w:styleId="2942">
    <w:name w:val="Char911"/>
    <w:basedOn w:val="1"/>
    <w:qFormat/>
    <w:uiPriority w:val="0"/>
    <w:pPr>
      <w:ind w:left="-48"/>
    </w:pPr>
  </w:style>
  <w:style w:type="paragraph" w:customStyle="1" w:styleId="294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rPr>
  </w:style>
  <w:style w:type="paragraph" w:customStyle="1" w:styleId="2944">
    <w:name w:val="Char324"/>
    <w:basedOn w:val="1"/>
    <w:qFormat/>
    <w:uiPriority w:val="0"/>
    <w:pPr>
      <w:ind w:left="-48"/>
    </w:pPr>
  </w:style>
  <w:style w:type="paragraph" w:customStyle="1" w:styleId="2945">
    <w:name w:val="列图"/>
    <w:basedOn w:val="66"/>
    <w:next w:val="1"/>
    <w:qFormat/>
    <w:uiPriority w:val="0"/>
    <w:pPr>
      <w:keepLines/>
      <w:adjustRightInd w:val="0"/>
      <w:snapToGrid w:val="0"/>
      <w:spacing w:before="120" w:line="276" w:lineRule="auto"/>
      <w:textAlignment w:val="baseline"/>
    </w:pPr>
    <w:rPr>
      <w:rFonts w:ascii="Times New Roman" w:eastAsia="宋体"/>
      <w:b/>
      <w:kern w:val="28"/>
      <w:szCs w:val="24"/>
    </w:rPr>
  </w:style>
  <w:style w:type="paragraph" w:customStyle="1" w:styleId="2946">
    <w:name w:val="样式42"/>
    <w:basedOn w:val="35"/>
    <w:qFormat/>
    <w:uiPriority w:val="0"/>
    <w:pPr>
      <w:tabs>
        <w:tab w:val="left" w:pos="1820"/>
      </w:tabs>
      <w:snapToGrid w:val="0"/>
      <w:spacing w:after="0" w:line="240" w:lineRule="atLeast"/>
      <w:jc w:val="center"/>
    </w:pPr>
    <w:rPr>
      <w:rFonts w:eastAsia="幼圆"/>
      <w:kern w:val="0"/>
      <w:szCs w:val="20"/>
    </w:rPr>
  </w:style>
  <w:style w:type="paragraph" w:customStyle="1" w:styleId="2947">
    <w:name w:val="项目"/>
    <w:basedOn w:val="22"/>
    <w:qFormat/>
    <w:uiPriority w:val="0"/>
    <w:pPr>
      <w:pBdr>
        <w:top w:val="single" w:color="auto" w:sz="4" w:space="1"/>
      </w:pBdr>
      <w:tabs>
        <w:tab w:val="left" w:pos="1021"/>
      </w:tabs>
      <w:ind w:left="900" w:leftChars="500" w:hanging="420" w:firstLineChars="0"/>
    </w:pPr>
    <w:rPr>
      <w:rFonts w:ascii="Verdana" w:hAnsi="Verdana" w:eastAsia="PMingLiU"/>
      <w:sz w:val="28"/>
      <w:szCs w:val="28"/>
    </w:rPr>
  </w:style>
  <w:style w:type="paragraph" w:customStyle="1" w:styleId="2948">
    <w:name w:val="默认段落字体 Para Char Char Char Char62"/>
    <w:basedOn w:val="1"/>
    <w:qFormat/>
    <w:uiPriority w:val="0"/>
  </w:style>
  <w:style w:type="paragraph" w:customStyle="1" w:styleId="2949">
    <w:name w:val="封面标准文稿编辑信息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950">
    <w:name w:val="表内5312"/>
    <w:basedOn w:val="1"/>
    <w:qFormat/>
    <w:uiPriority w:val="0"/>
    <w:pPr>
      <w:adjustRightInd w:val="0"/>
      <w:snapToGrid w:val="0"/>
      <w:spacing w:line="300" w:lineRule="auto"/>
      <w:jc w:val="left"/>
    </w:pPr>
  </w:style>
  <w:style w:type="paragraph" w:customStyle="1" w:styleId="2951">
    <w:name w:val="Default1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952">
    <w:name w:val="首页篇眉"/>
    <w:basedOn w:val="57"/>
    <w:qFormat/>
    <w:uiPriority w:val="0"/>
    <w:pPr>
      <w:keepLines/>
      <w:widowControl/>
      <w:pBdr>
        <w:bottom w:val="none" w:color="auto" w:sz="0" w:space="0"/>
      </w:pBdr>
      <w:tabs>
        <w:tab w:val="center" w:pos="72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2953">
    <w:name w:val="CM4"/>
    <w:basedOn w:val="247"/>
    <w:next w:val="247"/>
    <w:qFormat/>
    <w:uiPriority w:val="0"/>
    <w:pPr>
      <w:spacing w:line="468" w:lineRule="atLeast"/>
    </w:pPr>
    <w:rPr>
      <w:rFonts w:ascii="黑体" w:eastAsia="黑体" w:cs="Times New Roman"/>
      <w:color w:val="auto"/>
    </w:rPr>
  </w:style>
  <w:style w:type="paragraph" w:customStyle="1" w:styleId="2954">
    <w:name w:val="Char42"/>
    <w:basedOn w:val="1"/>
    <w:qFormat/>
    <w:uiPriority w:val="0"/>
    <w:pPr>
      <w:ind w:left="-48"/>
    </w:pPr>
  </w:style>
  <w:style w:type="paragraph" w:customStyle="1" w:styleId="2955">
    <w:name w:val="表格内字体1111"/>
    <w:basedOn w:val="239"/>
    <w:qFormat/>
    <w:uiPriority w:val="0"/>
    <w:pPr>
      <w:spacing w:line="240" w:lineRule="auto"/>
      <w:ind w:firstLine="0"/>
      <w:jc w:val="center"/>
    </w:pPr>
    <w:rPr>
      <w:sz w:val="21"/>
      <w:szCs w:val="20"/>
    </w:rPr>
  </w:style>
  <w:style w:type="paragraph" w:customStyle="1" w:styleId="2956">
    <w:name w:val="Char75"/>
    <w:basedOn w:val="1"/>
    <w:qFormat/>
    <w:uiPriority w:val="0"/>
    <w:pPr>
      <w:ind w:left="-48"/>
    </w:pPr>
  </w:style>
  <w:style w:type="paragraph" w:customStyle="1" w:styleId="2957">
    <w:name w:val="样式 标题 4无效格式无效格式1河石管道4H4H41小小节河石管道41H42H411小小节1河石管道42...3"/>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2958">
    <w:name w:val="样式 正文（首行缩进两字） + 首行缩进:  2 字符"/>
    <w:basedOn w:val="22"/>
    <w:qFormat/>
    <w:uiPriority w:val="0"/>
    <w:pPr>
      <w:snapToGrid w:val="0"/>
      <w:spacing w:line="360" w:lineRule="auto"/>
      <w:ind w:firstLine="480"/>
      <w:jc w:val="left"/>
    </w:pPr>
    <w:rPr>
      <w:rFonts w:hAnsi="宋体"/>
      <w:sz w:val="28"/>
      <w:szCs w:val="20"/>
    </w:rPr>
  </w:style>
  <w:style w:type="paragraph" w:customStyle="1" w:styleId="2959">
    <w:name w:val="图题31"/>
    <w:basedOn w:val="239"/>
    <w:next w:val="239"/>
    <w:qFormat/>
    <w:uiPriority w:val="0"/>
    <w:pPr>
      <w:ind w:firstLine="0"/>
      <w:jc w:val="center"/>
    </w:pPr>
    <w:rPr>
      <w:rFonts w:ascii="黑体" w:hAnsi="宋体" w:eastAsia="黑体"/>
      <w:b/>
      <w:bCs/>
    </w:rPr>
  </w:style>
  <w:style w:type="paragraph" w:customStyle="1" w:styleId="2960">
    <w:name w:val="图表题4"/>
    <w:basedOn w:val="239"/>
    <w:next w:val="239"/>
    <w:qFormat/>
    <w:uiPriority w:val="0"/>
    <w:pPr>
      <w:ind w:firstLine="0"/>
      <w:jc w:val="center"/>
    </w:pPr>
    <w:rPr>
      <w:rFonts w:ascii="黑体" w:hAnsi="宋体" w:eastAsia="黑体"/>
      <w:b/>
      <w:bCs/>
    </w:rPr>
  </w:style>
  <w:style w:type="paragraph" w:customStyle="1" w:styleId="2961">
    <w:name w:val="燕山正文1312"/>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2962">
    <w:name w:val="偶数页篇眉"/>
    <w:basedOn w:val="57"/>
    <w:qFormat/>
    <w:uiPriority w:val="0"/>
    <w:pPr>
      <w:keepLines/>
      <w:widowControl/>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0"/>
    </w:rPr>
  </w:style>
  <w:style w:type="paragraph" w:customStyle="1" w:styleId="2963">
    <w:name w:val="附件32"/>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964">
    <w:name w:val="表题411"/>
    <w:basedOn w:val="3"/>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965">
    <w:name w:val="Char116"/>
    <w:basedOn w:val="1"/>
    <w:qFormat/>
    <w:uiPriority w:val="0"/>
    <w:pPr>
      <w:ind w:left="-48"/>
    </w:pPr>
  </w:style>
  <w:style w:type="paragraph" w:customStyle="1" w:styleId="2966">
    <w:name w:val="表中文字212"/>
    <w:basedOn w:val="1"/>
    <w:qFormat/>
    <w:uiPriority w:val="0"/>
    <w:pPr>
      <w:widowControl/>
      <w:adjustRightInd w:val="0"/>
      <w:spacing w:line="240" w:lineRule="atLeast"/>
      <w:ind w:right="-42" w:rightChars="-20"/>
      <w:jc w:val="center"/>
      <w:textAlignment w:val="baseline"/>
    </w:pPr>
    <w:rPr>
      <w:szCs w:val="21"/>
    </w:rPr>
  </w:style>
  <w:style w:type="paragraph" w:customStyle="1" w:styleId="2967">
    <w:name w:val="Char Char Char Char1 Char Char Char10"/>
    <w:basedOn w:val="1"/>
    <w:qFormat/>
    <w:uiPriority w:val="0"/>
    <w:pPr>
      <w:widowControl/>
      <w:spacing w:after="160" w:line="240" w:lineRule="exact"/>
      <w:jc w:val="left"/>
    </w:pPr>
    <w:rPr>
      <w:rFonts w:ascii="Verdana" w:hAnsi="Verdana"/>
      <w:sz w:val="20"/>
      <w:lang w:eastAsia="en-US"/>
    </w:rPr>
  </w:style>
  <w:style w:type="paragraph" w:customStyle="1" w:styleId="2968">
    <w:name w:val="图题221"/>
    <w:basedOn w:val="239"/>
    <w:next w:val="239"/>
    <w:qFormat/>
    <w:uiPriority w:val="0"/>
    <w:pPr>
      <w:ind w:firstLine="0"/>
      <w:jc w:val="center"/>
    </w:pPr>
    <w:rPr>
      <w:rFonts w:ascii="黑体" w:hAnsi="宋体" w:eastAsia="黑体"/>
      <w:b/>
      <w:bCs/>
    </w:rPr>
  </w:style>
  <w:style w:type="paragraph" w:customStyle="1" w:styleId="2969">
    <w:name w:val="样式 表格标题 + 段后: 0.5 行"/>
    <w:basedOn w:val="1"/>
    <w:qFormat/>
    <w:uiPriority w:val="0"/>
    <w:pPr>
      <w:pBdr>
        <w:top w:val="single" w:color="auto" w:sz="4" w:space="1"/>
      </w:pBdr>
      <w:adjustRightInd w:val="0"/>
      <w:spacing w:line="324" w:lineRule="auto"/>
      <w:jc w:val="center"/>
      <w:textAlignment w:val="baseline"/>
    </w:pPr>
    <w:rPr>
      <w:rFonts w:eastAsia="黑体" w:cs="宋体"/>
      <w:b/>
      <w:bCs/>
    </w:rPr>
  </w:style>
  <w:style w:type="paragraph" w:customStyle="1" w:styleId="2970">
    <w:name w:val="表内宋514"/>
    <w:basedOn w:val="2220"/>
    <w:qFormat/>
    <w:uiPriority w:val="0"/>
    <w:pPr>
      <w:widowControl/>
      <w:autoSpaceDE w:val="0"/>
      <w:autoSpaceDN w:val="0"/>
      <w:jc w:val="left"/>
      <w:textAlignment w:val="auto"/>
    </w:pPr>
    <w:rPr>
      <w:color w:val="auto"/>
      <w:w w:val="90"/>
    </w:rPr>
  </w:style>
  <w:style w:type="paragraph" w:customStyle="1" w:styleId="2971">
    <w:name w:val="项目1"/>
    <w:basedOn w:val="1"/>
    <w:qFormat/>
    <w:uiPriority w:val="0"/>
    <w:pPr>
      <w:tabs>
        <w:tab w:val="left" w:pos="425"/>
      </w:tabs>
      <w:snapToGrid w:val="0"/>
      <w:spacing w:line="0" w:lineRule="atLeast"/>
      <w:ind w:left="425" w:hanging="425"/>
    </w:pPr>
    <w:rPr>
      <w:sz w:val="28"/>
    </w:rPr>
  </w:style>
  <w:style w:type="paragraph" w:customStyle="1" w:styleId="2972">
    <w:name w:val="Char53"/>
    <w:basedOn w:val="1"/>
    <w:qFormat/>
    <w:uiPriority w:val="0"/>
    <w:rPr>
      <w:szCs w:val="21"/>
    </w:rPr>
  </w:style>
  <w:style w:type="paragraph" w:customStyle="1" w:styleId="2973">
    <w:name w:val="Char Char Char Char1 Char Char Char7"/>
    <w:basedOn w:val="1"/>
    <w:qFormat/>
    <w:uiPriority w:val="0"/>
    <w:pPr>
      <w:widowControl/>
      <w:spacing w:after="160" w:line="240" w:lineRule="exact"/>
      <w:jc w:val="left"/>
    </w:pPr>
    <w:rPr>
      <w:rFonts w:ascii="Verdana" w:hAnsi="Verdana"/>
      <w:sz w:val="20"/>
      <w:lang w:eastAsia="en-US"/>
    </w:rPr>
  </w:style>
  <w:style w:type="paragraph" w:customStyle="1" w:styleId="2974">
    <w:name w:val="正文缩12"/>
    <w:basedOn w:val="1"/>
    <w:qFormat/>
    <w:uiPriority w:val="0"/>
    <w:pPr>
      <w:adjustRightInd w:val="0"/>
      <w:snapToGrid w:val="0"/>
      <w:spacing w:line="480" w:lineRule="atLeast"/>
      <w:ind w:firstLine="567"/>
      <w:textAlignment w:val="baseline"/>
    </w:pPr>
    <w:rPr>
      <w:color w:val="000080"/>
      <w:spacing w:val="6"/>
      <w:sz w:val="28"/>
    </w:rPr>
  </w:style>
  <w:style w:type="paragraph" w:customStyle="1" w:styleId="2975">
    <w:name w:val="样式 标题 3 + 黑色 Char Char Char"/>
    <w:basedOn w:val="6"/>
    <w:qFormat/>
    <w:uiPriority w:val="0"/>
    <w:pPr>
      <w:keepNext w:val="0"/>
      <w:keepLines w:val="0"/>
      <w:tabs>
        <w:tab w:val="left" w:pos="233"/>
        <w:tab w:val="left" w:pos="993"/>
        <w:tab w:val="left" w:pos="1260"/>
      </w:tabs>
      <w:adjustRightInd w:val="0"/>
      <w:snapToGrid w:val="0"/>
      <w:spacing w:before="0" w:after="0" w:line="360" w:lineRule="auto"/>
      <w:ind w:left="567" w:hanging="420"/>
    </w:pPr>
    <w:rPr>
      <w:b w:val="0"/>
      <w:bCs w:val="0"/>
      <w:color w:val="000000"/>
      <w:sz w:val="24"/>
      <w:szCs w:val="28"/>
    </w:rPr>
  </w:style>
  <w:style w:type="paragraph" w:customStyle="1" w:styleId="2976">
    <w:name w:val="Char127"/>
    <w:basedOn w:val="1"/>
    <w:qFormat/>
    <w:uiPriority w:val="0"/>
    <w:pPr>
      <w:ind w:left="-48"/>
    </w:pPr>
  </w:style>
  <w:style w:type="paragraph" w:customStyle="1" w:styleId="2977">
    <w:name w:val="燕山正文131"/>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2978">
    <w:name w:val="燕山正文116"/>
    <w:basedOn w:val="1"/>
    <w:qFormat/>
    <w:uiPriority w:val="0"/>
    <w:pPr>
      <w:tabs>
        <w:tab w:val="left" w:pos="4680"/>
      </w:tabs>
      <w:adjustRightInd w:val="0"/>
      <w:snapToGrid w:val="0"/>
      <w:spacing w:line="480" w:lineRule="exact"/>
    </w:pPr>
    <w:rPr>
      <w:rFonts w:hAnsi="宋体" w:cs="宋体"/>
      <w:bCs/>
      <w:color w:val="000000"/>
    </w:rPr>
  </w:style>
  <w:style w:type="paragraph" w:customStyle="1" w:styleId="2979">
    <w:name w:val="图题14"/>
    <w:basedOn w:val="239"/>
    <w:next w:val="239"/>
    <w:qFormat/>
    <w:uiPriority w:val="0"/>
    <w:pPr>
      <w:ind w:firstLine="0"/>
      <w:jc w:val="center"/>
    </w:pPr>
    <w:rPr>
      <w:rFonts w:ascii="黑体" w:hAnsi="宋体" w:eastAsia="黑体"/>
      <w:b/>
      <w:bCs/>
    </w:rPr>
  </w:style>
  <w:style w:type="paragraph" w:customStyle="1" w:styleId="2980">
    <w:name w:val="附件312"/>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981">
    <w:name w:val="Char4 Char Char Char Char"/>
    <w:basedOn w:val="1"/>
    <w:qFormat/>
    <w:uiPriority w:val="0"/>
  </w:style>
  <w:style w:type="paragraph" w:customStyle="1" w:styleId="2982">
    <w:name w:val="图题213"/>
    <w:basedOn w:val="239"/>
    <w:next w:val="239"/>
    <w:qFormat/>
    <w:uiPriority w:val="0"/>
    <w:pPr>
      <w:ind w:firstLine="0"/>
      <w:jc w:val="center"/>
    </w:pPr>
    <w:rPr>
      <w:rFonts w:ascii="黑体" w:hAnsi="宋体" w:eastAsia="黑体"/>
      <w:b/>
      <w:bCs/>
    </w:rPr>
  </w:style>
  <w:style w:type="paragraph" w:customStyle="1" w:styleId="2983">
    <w:name w:val="表内54153"/>
    <w:basedOn w:val="1"/>
    <w:qFormat/>
    <w:uiPriority w:val="0"/>
    <w:pPr>
      <w:adjustRightInd w:val="0"/>
      <w:snapToGrid w:val="0"/>
      <w:spacing w:line="300" w:lineRule="auto"/>
      <w:jc w:val="center"/>
    </w:pPr>
    <w:rPr>
      <w:rFonts w:hAnsi="宋体" w:cs="宋体"/>
    </w:rPr>
  </w:style>
  <w:style w:type="paragraph" w:customStyle="1" w:styleId="2984">
    <w:name w:val="Char Char Char Char1 Char Char Char17"/>
    <w:basedOn w:val="1"/>
    <w:qFormat/>
    <w:uiPriority w:val="0"/>
    <w:pPr>
      <w:widowControl/>
      <w:spacing w:after="160" w:line="240" w:lineRule="exact"/>
      <w:jc w:val="left"/>
    </w:pPr>
    <w:rPr>
      <w:rFonts w:ascii="Verdana" w:hAnsi="Verdana"/>
      <w:sz w:val="20"/>
      <w:lang w:eastAsia="en-US"/>
    </w:rPr>
  </w:style>
  <w:style w:type="paragraph" w:customStyle="1" w:styleId="2985">
    <w:name w:val="燕山正文1121"/>
    <w:basedOn w:val="1"/>
    <w:qFormat/>
    <w:uiPriority w:val="0"/>
    <w:pPr>
      <w:tabs>
        <w:tab w:val="left" w:pos="4680"/>
      </w:tabs>
      <w:adjustRightInd w:val="0"/>
      <w:snapToGrid w:val="0"/>
      <w:spacing w:line="480" w:lineRule="exact"/>
    </w:pPr>
    <w:rPr>
      <w:rFonts w:hAnsi="宋体" w:cs="宋体"/>
      <w:bCs/>
      <w:color w:val="000000"/>
    </w:rPr>
  </w:style>
  <w:style w:type="paragraph" w:customStyle="1" w:styleId="2986">
    <w:name w:val="正文修改32"/>
    <w:basedOn w:val="1264"/>
    <w:qFormat/>
    <w:uiPriority w:val="0"/>
    <w:rPr>
      <w:rFonts w:hAnsi="宋体"/>
      <w:color w:val="000000"/>
    </w:rPr>
  </w:style>
  <w:style w:type="paragraph" w:customStyle="1" w:styleId="2987">
    <w:name w:val="首行缩进:  0.99 厘米 + 首行缩进:  2 字符11"/>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2988">
    <w:name w:val="表格内字体72"/>
    <w:basedOn w:val="239"/>
    <w:next w:val="239"/>
    <w:qFormat/>
    <w:uiPriority w:val="0"/>
    <w:pPr>
      <w:spacing w:line="240" w:lineRule="auto"/>
      <w:ind w:firstLine="0"/>
      <w:jc w:val="center"/>
    </w:pPr>
    <w:rPr>
      <w:rFonts w:hAnsi="宋体"/>
      <w:sz w:val="21"/>
    </w:rPr>
  </w:style>
  <w:style w:type="paragraph" w:customStyle="1" w:styleId="2989">
    <w:name w:val="表格内字体44"/>
    <w:basedOn w:val="239"/>
    <w:next w:val="239"/>
    <w:qFormat/>
    <w:uiPriority w:val="0"/>
    <w:pPr>
      <w:spacing w:line="240" w:lineRule="auto"/>
      <w:ind w:firstLine="0"/>
      <w:jc w:val="center"/>
    </w:pPr>
    <w:rPr>
      <w:rFonts w:hAnsi="宋体"/>
      <w:sz w:val="21"/>
    </w:rPr>
  </w:style>
  <w:style w:type="paragraph" w:customStyle="1" w:styleId="2990">
    <w:name w:val="附件23"/>
    <w:basedOn w:val="4"/>
    <w:next w:val="239"/>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sz w:val="32"/>
      <w:szCs w:val="32"/>
    </w:rPr>
  </w:style>
  <w:style w:type="paragraph" w:customStyle="1" w:styleId="2991">
    <w:name w:val="Char Char Char Char Char Char Char212"/>
    <w:basedOn w:val="1"/>
    <w:qFormat/>
    <w:uiPriority w:val="0"/>
  </w:style>
  <w:style w:type="paragraph" w:customStyle="1" w:styleId="2992">
    <w:name w:val="表中文字122"/>
    <w:basedOn w:val="1"/>
    <w:qFormat/>
    <w:uiPriority w:val="0"/>
    <w:pPr>
      <w:widowControl/>
      <w:spacing w:line="240" w:lineRule="atLeast"/>
      <w:ind w:left="-24" w:leftChars="-10" w:right="-48" w:rightChars="-20"/>
      <w:jc w:val="center"/>
    </w:pPr>
    <w:rPr>
      <w:szCs w:val="21"/>
    </w:rPr>
  </w:style>
  <w:style w:type="paragraph" w:customStyle="1" w:styleId="2993">
    <w:name w:val="样式 五号 居中"/>
    <w:basedOn w:val="1"/>
    <w:qFormat/>
    <w:uiPriority w:val="0"/>
    <w:pPr>
      <w:jc w:val="center"/>
    </w:pPr>
    <w:rPr>
      <w:rFonts w:hAnsi="宋体" w:cs="宋体"/>
      <w:snapToGrid w:val="0"/>
      <w:szCs w:val="21"/>
    </w:rPr>
  </w:style>
  <w:style w:type="paragraph" w:customStyle="1" w:styleId="2994">
    <w:name w:val="图题313"/>
    <w:basedOn w:val="239"/>
    <w:next w:val="239"/>
    <w:qFormat/>
    <w:uiPriority w:val="0"/>
    <w:pPr>
      <w:ind w:firstLine="0"/>
      <w:jc w:val="center"/>
    </w:pPr>
    <w:rPr>
      <w:rFonts w:ascii="黑体" w:hAnsi="宋体" w:eastAsia="黑体"/>
      <w:b/>
      <w:bCs/>
    </w:rPr>
  </w:style>
  <w:style w:type="paragraph" w:customStyle="1" w:styleId="2995">
    <w:name w:val="Char Char2 Char Char Char Char15"/>
    <w:basedOn w:val="1"/>
    <w:qFormat/>
    <w:uiPriority w:val="0"/>
  </w:style>
  <w:style w:type="paragraph" w:customStyle="1" w:styleId="2996">
    <w:name w:val="Char Char Char Char Char Char Char Char Char1 Char Char Char Char Char Char Char"/>
    <w:basedOn w:val="1"/>
    <w:qFormat/>
    <w:uiPriority w:val="0"/>
  </w:style>
  <w:style w:type="paragraph" w:customStyle="1" w:styleId="2997">
    <w:name w:val="样式 表内小5 + 黑体 加粗 倾斜 下划线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2998">
    <w:name w:val="大表格"/>
    <w:basedOn w:val="2317"/>
    <w:qFormat/>
    <w:uiPriority w:val="0"/>
    <w:pPr>
      <w:spacing w:line="480" w:lineRule="exact"/>
    </w:pPr>
    <w:rPr>
      <w:sz w:val="28"/>
    </w:rPr>
  </w:style>
  <w:style w:type="paragraph" w:customStyle="1" w:styleId="2999">
    <w:name w:val="16"/>
    <w:basedOn w:val="1"/>
    <w:next w:val="76"/>
    <w:qFormat/>
    <w:uiPriority w:val="0"/>
  </w:style>
  <w:style w:type="paragraph" w:customStyle="1" w:styleId="3000">
    <w:name w:val="默认段落字体 Para Char Char Char Char7"/>
    <w:basedOn w:val="1"/>
    <w:qFormat/>
    <w:uiPriority w:val="0"/>
  </w:style>
  <w:style w:type="paragraph" w:customStyle="1" w:styleId="3001">
    <w:name w:val="样式 标题 1 + 居中"/>
    <w:basedOn w:val="4"/>
    <w:qFormat/>
    <w:uiPriority w:val="0"/>
    <w:pPr>
      <w:keepNext w:val="0"/>
      <w:tabs>
        <w:tab w:val="left" w:pos="92"/>
        <w:tab w:val="left" w:pos="432"/>
        <w:tab w:val="left" w:pos="2040"/>
      </w:tabs>
      <w:spacing w:before="360" w:after="240" w:line="360" w:lineRule="auto"/>
      <w:ind w:left="432" w:leftChars="800" w:hanging="432" w:hangingChars="200"/>
      <w:jc w:val="center"/>
    </w:pPr>
    <w:rPr>
      <w:rFonts w:cs="宋体"/>
      <w:szCs w:val="20"/>
    </w:rPr>
  </w:style>
  <w:style w:type="paragraph" w:customStyle="1" w:styleId="3002">
    <w:name w:val="正文修改44"/>
    <w:basedOn w:val="1264"/>
    <w:qFormat/>
    <w:uiPriority w:val="0"/>
    <w:rPr>
      <w:rFonts w:hAnsi="宋体"/>
      <w:color w:val="000000"/>
    </w:rPr>
  </w:style>
  <w:style w:type="paragraph" w:customStyle="1" w:styleId="3003">
    <w:name w:val="项目符号引导"/>
    <w:basedOn w:val="25"/>
    <w:next w:val="25"/>
    <w:qFormat/>
    <w:uiPriority w:val="0"/>
    <w:pPr>
      <w:widowControl/>
      <w:tabs>
        <w:tab w:val="clear" w:pos="1140"/>
      </w:tabs>
      <w:overflowPunct w:val="0"/>
      <w:autoSpaceDE w:val="0"/>
      <w:autoSpaceDN w:val="0"/>
      <w:adjustRightInd w:val="0"/>
      <w:spacing w:before="80" w:after="160"/>
      <w:ind w:left="720" w:hanging="360"/>
      <w:jc w:val="left"/>
      <w:textAlignment w:val="baseline"/>
    </w:pPr>
    <w:rPr>
      <w:b/>
      <w:sz w:val="20"/>
    </w:rPr>
  </w:style>
  <w:style w:type="paragraph" w:customStyle="1" w:styleId="3004">
    <w:name w:val="Char112"/>
    <w:basedOn w:val="1"/>
    <w:qFormat/>
    <w:uiPriority w:val="0"/>
    <w:pPr>
      <w:ind w:left="-48"/>
    </w:pPr>
  </w:style>
  <w:style w:type="paragraph" w:customStyle="1" w:styleId="3005">
    <w:name w:val="表题2114"/>
    <w:basedOn w:val="1"/>
    <w:qFormat/>
    <w:uiPriority w:val="0"/>
    <w:pPr>
      <w:widowControl/>
      <w:adjustRightInd w:val="0"/>
      <w:snapToGrid w:val="0"/>
      <w:jc w:val="center"/>
    </w:pPr>
    <w:rPr>
      <w:rFonts w:ascii="黑体" w:hAnsi="宋体" w:eastAsia="黑体" w:cs="宋体"/>
    </w:rPr>
  </w:style>
  <w:style w:type="paragraph" w:customStyle="1" w:styleId="3006">
    <w:name w:val="图题33"/>
    <w:basedOn w:val="239"/>
    <w:next w:val="239"/>
    <w:qFormat/>
    <w:uiPriority w:val="0"/>
    <w:pPr>
      <w:ind w:firstLine="0"/>
      <w:jc w:val="center"/>
    </w:pPr>
    <w:rPr>
      <w:rFonts w:ascii="黑体" w:hAnsi="宋体" w:eastAsia="黑体"/>
      <w:b/>
      <w:bCs/>
    </w:rPr>
  </w:style>
  <w:style w:type="paragraph" w:customStyle="1" w:styleId="3007">
    <w:name w:val="首行缩进:  0.99 厘米 + 首行缩进:  2 字符13"/>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3008">
    <w:name w:val="样式 目录 2 + 左侧:  2 字符"/>
    <w:basedOn w:val="74"/>
    <w:qFormat/>
    <w:uiPriority w:val="0"/>
    <w:pPr>
      <w:tabs>
        <w:tab w:val="right" w:leader="dot" w:pos="8296"/>
        <w:tab w:val="clear" w:pos="567"/>
        <w:tab w:val="clear" w:pos="630"/>
        <w:tab w:val="clear" w:pos="8302"/>
      </w:tabs>
      <w:adjustRightInd w:val="0"/>
      <w:snapToGrid w:val="0"/>
      <w:jc w:val="center"/>
    </w:pPr>
    <w:rPr>
      <w:rFonts w:hAnsi="宋体" w:cs="宋体"/>
      <w:smallCaps w:val="0"/>
      <w:szCs w:val="21"/>
    </w:rPr>
  </w:style>
  <w:style w:type="paragraph" w:customStyle="1" w:styleId="3009">
    <w:name w:val="Char124"/>
    <w:basedOn w:val="1"/>
    <w:qFormat/>
    <w:uiPriority w:val="0"/>
    <w:pPr>
      <w:ind w:left="-48"/>
    </w:pPr>
  </w:style>
  <w:style w:type="paragraph" w:customStyle="1" w:styleId="3010">
    <w:name w:val="CM16"/>
    <w:basedOn w:val="247"/>
    <w:next w:val="247"/>
    <w:qFormat/>
    <w:uiPriority w:val="0"/>
    <w:pPr>
      <w:spacing w:line="548" w:lineRule="atLeast"/>
    </w:pPr>
    <w:rPr>
      <w:rFonts w:cs="Times New Roman"/>
      <w:color w:val="auto"/>
    </w:rPr>
  </w:style>
  <w:style w:type="paragraph" w:customStyle="1" w:styleId="3011">
    <w:name w:val="Char Char Char Char Char Char Char1111"/>
    <w:basedOn w:val="1"/>
    <w:qFormat/>
    <w:uiPriority w:val="0"/>
  </w:style>
  <w:style w:type="paragraph" w:customStyle="1" w:styleId="3012">
    <w:name w:val="默认段落字体 Para Char Char Char Char412"/>
    <w:basedOn w:val="1"/>
    <w:qFormat/>
    <w:uiPriority w:val="0"/>
  </w:style>
  <w:style w:type="paragraph" w:customStyle="1" w:styleId="3013">
    <w:name w:val="HL22"/>
    <w:basedOn w:val="1"/>
    <w:qFormat/>
    <w:uiPriority w:val="0"/>
    <w:pPr>
      <w:keepNext/>
      <w:keepLines/>
      <w:spacing w:before="120" w:after="120" w:line="500" w:lineRule="exact"/>
      <w:outlineLvl w:val="1"/>
    </w:pPr>
    <w:rPr>
      <w:rFonts w:eastAsia="仿宋_GB2312"/>
      <w:b/>
      <w:bCs/>
      <w:color w:val="000000"/>
      <w:sz w:val="28"/>
      <w:szCs w:val="32"/>
    </w:rPr>
  </w:style>
  <w:style w:type="paragraph" w:customStyle="1" w:styleId="3014">
    <w:name w:val="c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15">
    <w:name w:val="标题414"/>
    <w:basedOn w:val="7"/>
    <w:next w:val="1"/>
    <w:qFormat/>
    <w:uiPriority w:val="0"/>
    <w:pPr>
      <w:spacing w:before="160" w:after="170" w:line="360" w:lineRule="auto"/>
    </w:pPr>
    <w:rPr>
      <w:rFonts w:ascii="黑体" w:eastAsia="黑体"/>
      <w:b/>
      <w:sz w:val="24"/>
    </w:rPr>
  </w:style>
  <w:style w:type="paragraph" w:customStyle="1" w:styleId="3016">
    <w:name w:val="表中文字9"/>
    <w:basedOn w:val="1"/>
    <w:qFormat/>
    <w:uiPriority w:val="0"/>
    <w:pPr>
      <w:widowControl/>
      <w:adjustRightInd w:val="0"/>
      <w:spacing w:line="240" w:lineRule="atLeast"/>
      <w:ind w:right="-42" w:rightChars="-20"/>
      <w:jc w:val="center"/>
      <w:textAlignment w:val="baseline"/>
    </w:pPr>
    <w:rPr>
      <w:szCs w:val="21"/>
    </w:rPr>
  </w:style>
  <w:style w:type="paragraph" w:customStyle="1" w:styleId="3017">
    <w:name w:val="正文格式52"/>
    <w:basedOn w:val="1"/>
    <w:qFormat/>
    <w:uiPriority w:val="0"/>
    <w:pPr>
      <w:spacing w:line="360" w:lineRule="auto"/>
      <w:ind w:firstLine="482"/>
    </w:pPr>
    <w:rPr>
      <w:rFonts w:hAnsi="宋体"/>
    </w:rPr>
  </w:style>
  <w:style w:type="paragraph" w:customStyle="1" w:styleId="3018">
    <w:name w:val="默认段落字体 Para Char21"/>
    <w:basedOn w:val="1"/>
    <w:next w:val="1"/>
    <w:qFormat/>
    <w:uiPriority w:val="0"/>
    <w:pPr>
      <w:spacing w:line="480" w:lineRule="exact"/>
      <w:ind w:firstLine="200" w:firstLineChars="200"/>
      <w:jc w:val="left"/>
    </w:pPr>
    <w:rPr>
      <w:rFonts w:hAnsi="宋体" w:eastAsia="汉鼎简书宋" w:cs="宋体"/>
      <w:sz w:val="28"/>
    </w:rPr>
  </w:style>
  <w:style w:type="paragraph" w:customStyle="1" w:styleId="3019">
    <w:name w:val="表内文字小6"/>
    <w:basedOn w:val="1"/>
    <w:qFormat/>
    <w:uiPriority w:val="0"/>
    <w:pPr>
      <w:adjustRightInd w:val="0"/>
      <w:snapToGrid w:val="0"/>
      <w:jc w:val="center"/>
    </w:pPr>
    <w:rPr>
      <w:rFonts w:hAnsi="Times"/>
    </w:rPr>
  </w:style>
  <w:style w:type="paragraph" w:customStyle="1" w:styleId="3020">
    <w:name w:val="表内文字小317"/>
    <w:basedOn w:val="1"/>
    <w:qFormat/>
    <w:uiPriority w:val="0"/>
    <w:pPr>
      <w:adjustRightInd w:val="0"/>
      <w:snapToGrid w:val="0"/>
      <w:jc w:val="center"/>
    </w:pPr>
    <w:rPr>
      <w:rFonts w:hAnsi="Times" w:cs="宋体"/>
      <w:bCs/>
      <w:color w:val="003366"/>
    </w:rPr>
  </w:style>
  <w:style w:type="paragraph" w:customStyle="1" w:styleId="3021">
    <w:name w:val="項目:(一)[a]1.[a](1)[a]"/>
    <w:basedOn w:val="1"/>
    <w:qFormat/>
    <w:uiPriority w:val="0"/>
    <w:pPr>
      <w:spacing w:line="320" w:lineRule="atLeast"/>
      <w:ind w:left="1038" w:firstLine="448"/>
    </w:pPr>
    <w:rPr>
      <w:rFonts w:eastAsia="MingLiU"/>
      <w:sz w:val="22"/>
      <w:lang w:eastAsia="zh-TW"/>
    </w:rPr>
  </w:style>
  <w:style w:type="paragraph" w:customStyle="1" w:styleId="3022">
    <w:name w:val="正文格式85"/>
    <w:basedOn w:val="1"/>
    <w:qFormat/>
    <w:uiPriority w:val="0"/>
    <w:pPr>
      <w:spacing w:line="360" w:lineRule="auto"/>
      <w:ind w:firstLine="482"/>
    </w:pPr>
    <w:rPr>
      <w:rFonts w:hAnsi="宋体"/>
    </w:rPr>
  </w:style>
  <w:style w:type="paragraph" w:customStyle="1" w:styleId="3023">
    <w:name w:val="黄桥正文"/>
    <w:basedOn w:val="1"/>
    <w:qFormat/>
    <w:uiPriority w:val="0"/>
    <w:pPr>
      <w:widowControl/>
      <w:spacing w:line="360" w:lineRule="auto"/>
      <w:ind w:firstLine="200" w:firstLineChars="200"/>
    </w:pPr>
    <w:rPr>
      <w:rFonts w:cs="宋体"/>
    </w:rPr>
  </w:style>
  <w:style w:type="paragraph" w:customStyle="1" w:styleId="3024">
    <w:name w:val="Char Char Char Char Char Char Char28"/>
    <w:basedOn w:val="1"/>
    <w:qFormat/>
    <w:uiPriority w:val="0"/>
  </w:style>
  <w:style w:type="paragraph" w:customStyle="1" w:styleId="3025">
    <w:name w:val="Char Char2 Char Char Char Char17"/>
    <w:basedOn w:val="1"/>
    <w:qFormat/>
    <w:uiPriority w:val="0"/>
  </w:style>
  <w:style w:type="paragraph" w:customStyle="1" w:styleId="3026">
    <w:name w:val="Char Char Char Char1 Char Char Char24"/>
    <w:basedOn w:val="1"/>
    <w:qFormat/>
    <w:uiPriority w:val="0"/>
    <w:pPr>
      <w:widowControl/>
      <w:spacing w:after="160" w:line="240" w:lineRule="exact"/>
      <w:jc w:val="left"/>
    </w:pPr>
    <w:rPr>
      <w:rFonts w:ascii="Verdana" w:hAnsi="Verdana"/>
      <w:sz w:val="20"/>
      <w:lang w:eastAsia="en-US"/>
    </w:rPr>
  </w:style>
  <w:style w:type="paragraph" w:customStyle="1" w:styleId="3027">
    <w:name w:val="表中文字11"/>
    <w:basedOn w:val="1"/>
    <w:qFormat/>
    <w:uiPriority w:val="0"/>
    <w:pPr>
      <w:widowControl/>
      <w:spacing w:line="240" w:lineRule="atLeast"/>
      <w:ind w:left="-24" w:leftChars="-10" w:right="-48" w:rightChars="-20"/>
      <w:jc w:val="center"/>
    </w:pPr>
    <w:rPr>
      <w:szCs w:val="21"/>
    </w:rPr>
  </w:style>
  <w:style w:type="paragraph" w:customStyle="1" w:styleId="3028">
    <w:name w:val="正文修改13"/>
    <w:basedOn w:val="1264"/>
    <w:qFormat/>
    <w:uiPriority w:val="0"/>
    <w:rPr>
      <w:rFonts w:hAnsi="宋体"/>
      <w:color w:val="000000"/>
    </w:rPr>
  </w:style>
  <w:style w:type="paragraph" w:customStyle="1" w:styleId="3029">
    <w:name w:val="图表名称3"/>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030">
    <w:name w:val="Char414"/>
    <w:basedOn w:val="1"/>
    <w:qFormat/>
    <w:uiPriority w:val="0"/>
    <w:pPr>
      <w:ind w:left="-48"/>
    </w:pPr>
  </w:style>
  <w:style w:type="paragraph" w:customStyle="1" w:styleId="3031">
    <w:name w:val="表题911"/>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3032">
    <w:name w:val="Char Char1 Char Char Char1 Char Char Char Char Char Char Char Char Char Char Char Char1"/>
    <w:basedOn w:val="1"/>
    <w:qFormat/>
    <w:uiPriority w:val="0"/>
  </w:style>
  <w:style w:type="paragraph" w:customStyle="1" w:styleId="3033">
    <w:name w:val="首行缩进:  0.99 厘米 + 首行缩进:  2 字符1"/>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3034">
    <w:name w:val="燕山正文112"/>
    <w:basedOn w:val="1"/>
    <w:qFormat/>
    <w:uiPriority w:val="0"/>
    <w:pPr>
      <w:tabs>
        <w:tab w:val="left" w:pos="4680"/>
      </w:tabs>
      <w:adjustRightInd w:val="0"/>
      <w:snapToGrid w:val="0"/>
      <w:spacing w:line="480" w:lineRule="exact"/>
    </w:pPr>
    <w:rPr>
      <w:rFonts w:hAnsi="宋体" w:cs="宋体"/>
      <w:bCs/>
      <w:color w:val="000000"/>
    </w:rPr>
  </w:style>
  <w:style w:type="paragraph" w:customStyle="1" w:styleId="3035">
    <w:name w:val="燕山正文1141"/>
    <w:basedOn w:val="1"/>
    <w:qFormat/>
    <w:uiPriority w:val="0"/>
    <w:pPr>
      <w:tabs>
        <w:tab w:val="left" w:pos="4680"/>
      </w:tabs>
      <w:adjustRightInd w:val="0"/>
      <w:snapToGrid w:val="0"/>
      <w:spacing w:line="480" w:lineRule="exact"/>
    </w:pPr>
    <w:rPr>
      <w:rFonts w:hAnsi="宋体" w:cs="宋体"/>
      <w:bCs/>
      <w:color w:val="000000"/>
    </w:rPr>
  </w:style>
  <w:style w:type="paragraph" w:customStyle="1" w:styleId="3036">
    <w:name w:val="Char59"/>
    <w:basedOn w:val="1"/>
    <w:qFormat/>
    <w:uiPriority w:val="0"/>
    <w:pPr>
      <w:ind w:left="-48"/>
    </w:pPr>
  </w:style>
  <w:style w:type="paragraph" w:customStyle="1" w:styleId="3037">
    <w:name w:val="燕山正文11111"/>
    <w:basedOn w:val="1"/>
    <w:qFormat/>
    <w:uiPriority w:val="0"/>
    <w:pPr>
      <w:tabs>
        <w:tab w:val="left" w:pos="4680"/>
      </w:tabs>
      <w:adjustRightInd w:val="0"/>
      <w:snapToGrid w:val="0"/>
      <w:spacing w:line="480" w:lineRule="exact"/>
    </w:pPr>
    <w:rPr>
      <w:rFonts w:hAnsi="宋体" w:cs="宋体"/>
      <w:bCs/>
      <w:color w:val="000000"/>
    </w:rPr>
  </w:style>
  <w:style w:type="paragraph" w:customStyle="1" w:styleId="3038">
    <w:name w:val="Char Char Char Char Char Char Char23"/>
    <w:basedOn w:val="1"/>
    <w:qFormat/>
    <w:uiPriority w:val="0"/>
  </w:style>
  <w:style w:type="paragraph" w:customStyle="1" w:styleId="3039">
    <w:name w:val="表内宋5中213"/>
    <w:basedOn w:val="1"/>
    <w:qFormat/>
    <w:uiPriority w:val="0"/>
    <w:pPr>
      <w:adjustRightInd w:val="0"/>
      <w:snapToGrid w:val="0"/>
      <w:jc w:val="center"/>
      <w:textAlignment w:val="baseline"/>
    </w:pPr>
    <w:rPr>
      <w:rFonts w:hAnsi="宋体"/>
    </w:rPr>
  </w:style>
  <w:style w:type="paragraph" w:customStyle="1" w:styleId="3040">
    <w:name w:val="正文格式24"/>
    <w:basedOn w:val="1"/>
    <w:qFormat/>
    <w:uiPriority w:val="0"/>
    <w:pPr>
      <w:spacing w:line="360" w:lineRule="auto"/>
      <w:ind w:firstLine="482"/>
    </w:pPr>
    <w:rPr>
      <w:rFonts w:hAnsi="宋体"/>
    </w:rPr>
  </w:style>
  <w:style w:type="paragraph" w:customStyle="1" w:styleId="3041">
    <w:name w:val="表题11112"/>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042">
    <w:name w:val="Char153"/>
    <w:basedOn w:val="1"/>
    <w:qFormat/>
    <w:uiPriority w:val="0"/>
    <w:pPr>
      <w:adjustRightInd w:val="0"/>
      <w:snapToGrid w:val="0"/>
      <w:spacing w:beforeLines="50" w:line="360" w:lineRule="auto"/>
    </w:pPr>
    <w:rPr>
      <w:rFonts w:ascii="黑体" w:eastAsia="黑体"/>
      <w:sz w:val="32"/>
      <w:szCs w:val="32"/>
    </w:rPr>
  </w:style>
  <w:style w:type="paragraph" w:customStyle="1" w:styleId="3043">
    <w:name w:val="表内文字小1112"/>
    <w:basedOn w:val="1"/>
    <w:qFormat/>
    <w:uiPriority w:val="0"/>
    <w:pPr>
      <w:adjustRightInd w:val="0"/>
      <w:snapToGrid w:val="0"/>
    </w:pPr>
    <w:rPr>
      <w:rFonts w:hAnsi="Times" w:cs="宋体"/>
    </w:rPr>
  </w:style>
  <w:style w:type="paragraph" w:customStyle="1" w:styleId="3044">
    <w:name w:val="Fax Header12"/>
    <w:basedOn w:val="1"/>
    <w:qFormat/>
    <w:uiPriority w:val="0"/>
    <w:pPr>
      <w:widowControl/>
      <w:spacing w:before="240" w:after="60"/>
      <w:jc w:val="left"/>
    </w:pPr>
    <w:rPr>
      <w:sz w:val="20"/>
    </w:rPr>
  </w:style>
  <w:style w:type="paragraph" w:customStyle="1" w:styleId="3045">
    <w:name w:val="表文字5114"/>
    <w:basedOn w:val="1"/>
    <w:qFormat/>
    <w:uiPriority w:val="0"/>
    <w:pPr>
      <w:adjustRightInd w:val="0"/>
      <w:jc w:val="left"/>
      <w:textAlignment w:val="baseline"/>
    </w:pPr>
  </w:style>
  <w:style w:type="paragraph" w:customStyle="1" w:styleId="3046">
    <w:name w:val="样式 报告表正文 + 首行缩进:  2 字符 行距: 1.5 倍行距"/>
    <w:basedOn w:val="1"/>
    <w:qFormat/>
    <w:uiPriority w:val="0"/>
    <w:pPr>
      <w:adjustRightInd w:val="0"/>
      <w:spacing w:line="360" w:lineRule="auto"/>
      <w:ind w:left="113" w:right="113" w:firstLine="480" w:firstLineChars="200"/>
    </w:pPr>
    <w:rPr>
      <w:rFonts w:cs="宋体"/>
    </w:rPr>
  </w:style>
  <w:style w:type="paragraph" w:customStyle="1" w:styleId="3047">
    <w:name w:val="正文格式71"/>
    <w:basedOn w:val="1"/>
    <w:qFormat/>
    <w:uiPriority w:val="0"/>
    <w:pPr>
      <w:spacing w:line="360" w:lineRule="auto"/>
      <w:ind w:firstLine="482"/>
    </w:pPr>
    <w:rPr>
      <w:rFonts w:hAnsi="宋体"/>
    </w:rPr>
  </w:style>
  <w:style w:type="paragraph" w:customStyle="1" w:styleId="3048">
    <w:name w:val="edri-7 title"/>
    <w:basedOn w:val="2565"/>
    <w:qFormat/>
    <w:uiPriority w:val="0"/>
    <w:pPr>
      <w:tabs>
        <w:tab w:val="left" w:pos="425"/>
      </w:tabs>
      <w:ind w:left="425" w:leftChars="0" w:hanging="425"/>
    </w:pPr>
  </w:style>
  <w:style w:type="paragraph" w:customStyle="1" w:styleId="3049">
    <w:name w:val="样式 行距: 固定值 25 磅"/>
    <w:basedOn w:val="1"/>
    <w:qFormat/>
    <w:uiPriority w:val="0"/>
    <w:pPr>
      <w:spacing w:line="500" w:lineRule="exact"/>
      <w:ind w:firstLine="420" w:firstLineChars="200"/>
    </w:pPr>
    <w:rPr>
      <w:rFonts w:cs="宋体"/>
    </w:rPr>
  </w:style>
  <w:style w:type="paragraph" w:customStyle="1" w:styleId="3050">
    <w:name w:val="样式 正文缩进 + 宋体 黑色 首行缩进:  2 字符11"/>
    <w:basedOn w:val="22"/>
    <w:qFormat/>
    <w:uiPriority w:val="0"/>
    <w:pPr>
      <w:spacing w:line="360" w:lineRule="auto"/>
      <w:ind w:firstLine="480"/>
      <w:jc w:val="left"/>
    </w:pPr>
    <w:rPr>
      <w:rFonts w:ascii="宋体" w:hAnsi="宋体" w:cs="宋体"/>
      <w:color w:val="FF00FF"/>
      <w:sz w:val="24"/>
      <w:szCs w:val="20"/>
    </w:rPr>
  </w:style>
  <w:style w:type="paragraph" w:customStyle="1" w:styleId="3051">
    <w:name w:val="表题115"/>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052">
    <w:name w:val="表内5中12"/>
    <w:basedOn w:val="1"/>
    <w:qFormat/>
    <w:uiPriority w:val="0"/>
    <w:pPr>
      <w:adjustRightInd w:val="0"/>
      <w:snapToGrid w:val="0"/>
      <w:jc w:val="center"/>
    </w:pPr>
    <w:rPr>
      <w:rFonts w:hAnsi="宋体" w:cs="Arial"/>
      <w:snapToGrid w:val="0"/>
      <w:color w:val="000000"/>
      <w:szCs w:val="21"/>
    </w:rPr>
  </w:style>
  <w:style w:type="paragraph" w:customStyle="1" w:styleId="3053">
    <w:name w:val="表文字523"/>
    <w:basedOn w:val="1"/>
    <w:qFormat/>
    <w:uiPriority w:val="0"/>
    <w:pPr>
      <w:adjustRightInd w:val="0"/>
      <w:jc w:val="left"/>
      <w:textAlignment w:val="baseline"/>
    </w:pPr>
  </w:style>
  <w:style w:type="paragraph" w:customStyle="1" w:styleId="3054">
    <w:name w:val="Char1210"/>
    <w:basedOn w:val="1"/>
    <w:qFormat/>
    <w:uiPriority w:val="0"/>
    <w:pPr>
      <w:adjustRightInd w:val="0"/>
      <w:snapToGrid w:val="0"/>
      <w:spacing w:line="360" w:lineRule="auto"/>
    </w:pPr>
  </w:style>
  <w:style w:type="paragraph" w:customStyle="1" w:styleId="3055">
    <w:name w:val="表内文字小31212"/>
    <w:basedOn w:val="1"/>
    <w:qFormat/>
    <w:uiPriority w:val="0"/>
    <w:pPr>
      <w:adjustRightInd w:val="0"/>
      <w:snapToGrid w:val="0"/>
      <w:jc w:val="center"/>
    </w:pPr>
    <w:rPr>
      <w:rFonts w:hAnsi="Times" w:cs="宋体"/>
      <w:bCs/>
      <w:color w:val="003366"/>
    </w:rPr>
  </w:style>
  <w:style w:type="paragraph" w:customStyle="1" w:styleId="3056">
    <w:name w:val="Char25"/>
    <w:basedOn w:val="1"/>
    <w:qFormat/>
    <w:uiPriority w:val="0"/>
    <w:pPr>
      <w:adjustRightInd w:val="0"/>
      <w:snapToGrid w:val="0"/>
      <w:spacing w:beforeLines="50" w:line="360" w:lineRule="auto"/>
    </w:pPr>
    <w:rPr>
      <w:rFonts w:ascii="黑体" w:eastAsia="黑体"/>
      <w:sz w:val="32"/>
      <w:szCs w:val="32"/>
    </w:rPr>
  </w:style>
  <w:style w:type="paragraph" w:customStyle="1" w:styleId="3057">
    <w:name w:val="正文格式212"/>
    <w:basedOn w:val="1"/>
    <w:qFormat/>
    <w:uiPriority w:val="0"/>
    <w:pPr>
      <w:spacing w:line="360" w:lineRule="auto"/>
      <w:ind w:firstLine="482"/>
    </w:pPr>
    <w:rPr>
      <w:rFonts w:hAnsi="宋体"/>
    </w:rPr>
  </w:style>
  <w:style w:type="paragraph" w:customStyle="1" w:styleId="3058">
    <w:name w:val="表题131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059">
    <w:name w:val="表内宋5中211"/>
    <w:basedOn w:val="1"/>
    <w:qFormat/>
    <w:uiPriority w:val="0"/>
    <w:pPr>
      <w:adjustRightInd w:val="0"/>
      <w:snapToGrid w:val="0"/>
      <w:jc w:val="center"/>
      <w:textAlignment w:val="baseline"/>
    </w:pPr>
    <w:rPr>
      <w:rFonts w:hAnsi="宋体"/>
    </w:rPr>
  </w:style>
  <w:style w:type="paragraph" w:customStyle="1" w:styleId="3060">
    <w:name w:val="表、图名宋旭峰"/>
    <w:basedOn w:val="1"/>
    <w:qFormat/>
    <w:uiPriority w:val="0"/>
    <w:pPr>
      <w:spacing w:beforeLines="50" w:line="360" w:lineRule="auto"/>
      <w:jc w:val="center"/>
    </w:pPr>
    <w:rPr>
      <w:rFonts w:ascii="黑体" w:hAnsi="宋体" w:eastAsia="黑体"/>
      <w:snapToGrid w:val="0"/>
      <w:szCs w:val="21"/>
    </w:rPr>
  </w:style>
  <w:style w:type="paragraph" w:customStyle="1" w:styleId="3061">
    <w:name w:val="正文格式513"/>
    <w:basedOn w:val="1"/>
    <w:qFormat/>
    <w:uiPriority w:val="0"/>
    <w:pPr>
      <w:spacing w:line="360" w:lineRule="auto"/>
      <w:ind w:firstLine="482"/>
    </w:pPr>
    <w:rPr>
      <w:rFonts w:hAnsi="宋体"/>
    </w:rPr>
  </w:style>
  <w:style w:type="paragraph" w:customStyle="1" w:styleId="3062">
    <w:name w:val="表内文字小31312"/>
    <w:basedOn w:val="1"/>
    <w:qFormat/>
    <w:uiPriority w:val="0"/>
    <w:pPr>
      <w:adjustRightInd w:val="0"/>
      <w:snapToGrid w:val="0"/>
      <w:jc w:val="center"/>
    </w:pPr>
    <w:rPr>
      <w:rFonts w:hAnsi="Times" w:cs="宋体"/>
      <w:bCs/>
      <w:color w:val="003366"/>
    </w:rPr>
  </w:style>
  <w:style w:type="paragraph" w:customStyle="1" w:styleId="3063">
    <w:name w:val="样式 标题 1 + 行距: 最小值 12 磅"/>
    <w:basedOn w:val="4"/>
    <w:qFormat/>
    <w:uiPriority w:val="0"/>
    <w:pPr>
      <w:keepNext w:val="0"/>
      <w:tabs>
        <w:tab w:val="left" w:pos="2040"/>
      </w:tabs>
      <w:spacing w:before="360" w:after="240" w:line="240" w:lineRule="atLeast"/>
      <w:ind w:left="2040" w:leftChars="800" w:hanging="360" w:hangingChars="200"/>
      <w:jc w:val="center"/>
    </w:pPr>
    <w:rPr>
      <w:rFonts w:cs="宋体"/>
      <w:sz w:val="32"/>
      <w:szCs w:val="32"/>
    </w:rPr>
  </w:style>
  <w:style w:type="paragraph" w:customStyle="1" w:styleId="3064">
    <w:name w:val="表113"/>
    <w:basedOn w:val="1"/>
    <w:qFormat/>
    <w:uiPriority w:val="0"/>
    <w:pPr>
      <w:adjustRightInd w:val="0"/>
      <w:snapToGrid w:val="0"/>
      <w:jc w:val="center"/>
    </w:pPr>
    <w:rPr>
      <w:rFonts w:eastAsia="仿宋_GB2312"/>
    </w:rPr>
  </w:style>
  <w:style w:type="paragraph" w:customStyle="1" w:styleId="3065">
    <w:name w:val="表题142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066">
    <w:name w:val="默认段落字体 Para Char411"/>
    <w:basedOn w:val="1"/>
    <w:next w:val="1"/>
    <w:qFormat/>
    <w:uiPriority w:val="0"/>
    <w:pPr>
      <w:spacing w:line="480" w:lineRule="exact"/>
      <w:ind w:firstLine="200" w:firstLineChars="200"/>
      <w:jc w:val="left"/>
    </w:pPr>
    <w:rPr>
      <w:rFonts w:hAnsi="宋体" w:eastAsia="汉鼎简书宋" w:cs="宋体"/>
      <w:sz w:val="28"/>
    </w:rPr>
  </w:style>
  <w:style w:type="paragraph" w:customStyle="1" w:styleId="3067">
    <w:name w:val="默认段落字体 Para Char5"/>
    <w:basedOn w:val="1"/>
    <w:next w:val="1"/>
    <w:qFormat/>
    <w:uiPriority w:val="0"/>
    <w:pPr>
      <w:spacing w:line="480" w:lineRule="exact"/>
      <w:ind w:firstLine="200" w:firstLineChars="200"/>
      <w:jc w:val="left"/>
    </w:pPr>
    <w:rPr>
      <w:rFonts w:hAnsi="宋体" w:eastAsia="汉鼎简书宋" w:cs="宋体"/>
      <w:sz w:val="28"/>
    </w:rPr>
  </w:style>
  <w:style w:type="paragraph" w:customStyle="1" w:styleId="3068">
    <w:name w:val="表内宋5中121"/>
    <w:basedOn w:val="1"/>
    <w:qFormat/>
    <w:uiPriority w:val="0"/>
    <w:pPr>
      <w:adjustRightInd w:val="0"/>
      <w:snapToGrid w:val="0"/>
      <w:jc w:val="center"/>
      <w:textAlignment w:val="baseline"/>
    </w:pPr>
    <w:rPr>
      <w:rFonts w:hAnsi="宋体" w:cs="宋体"/>
    </w:rPr>
  </w:style>
  <w:style w:type="paragraph" w:customStyle="1" w:styleId="3069">
    <w:name w:val="表文字511"/>
    <w:basedOn w:val="1"/>
    <w:qFormat/>
    <w:uiPriority w:val="0"/>
    <w:pPr>
      <w:adjustRightInd w:val="0"/>
      <w:jc w:val="left"/>
      <w:textAlignment w:val="baseline"/>
    </w:pPr>
  </w:style>
  <w:style w:type="paragraph" w:customStyle="1" w:styleId="3070">
    <w:name w:val="样式 表格内字体 +12"/>
    <w:basedOn w:val="1966"/>
    <w:qFormat/>
    <w:uiPriority w:val="0"/>
    <w:pPr>
      <w:spacing w:line="280" w:lineRule="exact"/>
      <w:ind w:firstLine="36"/>
      <w:jc w:val="both"/>
    </w:pPr>
    <w:rPr>
      <w:szCs w:val="24"/>
    </w:rPr>
  </w:style>
  <w:style w:type="paragraph" w:customStyle="1" w:styleId="3071">
    <w:name w:val="正文格式713"/>
    <w:basedOn w:val="1"/>
    <w:qFormat/>
    <w:uiPriority w:val="0"/>
    <w:pPr>
      <w:spacing w:line="360" w:lineRule="auto"/>
      <w:ind w:firstLine="482"/>
    </w:pPr>
    <w:rPr>
      <w:rFonts w:hAnsi="宋体"/>
    </w:rPr>
  </w:style>
  <w:style w:type="paragraph" w:customStyle="1" w:styleId="3072">
    <w:name w:val="表13"/>
    <w:basedOn w:val="1"/>
    <w:qFormat/>
    <w:uiPriority w:val="0"/>
    <w:pPr>
      <w:adjustRightInd w:val="0"/>
      <w:snapToGrid w:val="0"/>
      <w:jc w:val="center"/>
    </w:pPr>
    <w:rPr>
      <w:rFonts w:eastAsia="仿宋_GB2312"/>
    </w:rPr>
  </w:style>
  <w:style w:type="paragraph" w:customStyle="1" w:styleId="3073">
    <w:name w:val="資料來源"/>
    <w:basedOn w:val="1"/>
    <w:qFormat/>
    <w:uiPriority w:val="0"/>
    <w:pPr>
      <w:adjustRightInd w:val="0"/>
      <w:snapToGrid w:val="0"/>
      <w:spacing w:before="60"/>
      <w:textAlignment w:val="baseline"/>
    </w:pPr>
    <w:rPr>
      <w:rFonts w:eastAsia="華康中明體"/>
      <w:sz w:val="18"/>
      <w:lang w:eastAsia="zh-TW"/>
    </w:rPr>
  </w:style>
  <w:style w:type="paragraph" w:customStyle="1" w:styleId="3074">
    <w:name w:val="表内宋5113"/>
    <w:basedOn w:val="81"/>
    <w:qFormat/>
    <w:uiPriority w:val="0"/>
    <w:pPr>
      <w:widowControl/>
      <w:adjustRightInd w:val="0"/>
      <w:snapToGrid w:val="0"/>
    </w:pPr>
    <w:rPr>
      <w:rFonts w:ascii="宋体" w:hAnsi="宋体" w:cs="宋体"/>
      <w:color w:val="000000"/>
      <w:kern w:val="0"/>
      <w:sz w:val="21"/>
    </w:rPr>
  </w:style>
  <w:style w:type="paragraph" w:customStyle="1" w:styleId="3075">
    <w:name w:val="9 Char Char Char6 Char"/>
    <w:basedOn w:val="1"/>
    <w:qFormat/>
    <w:uiPriority w:val="0"/>
    <w:pPr>
      <w:spacing w:line="240" w:lineRule="exact"/>
      <w:ind w:firstLine="200" w:firstLineChars="200"/>
    </w:pPr>
    <w:rPr>
      <w:sz w:val="28"/>
      <w:szCs w:val="28"/>
    </w:rPr>
  </w:style>
  <w:style w:type="paragraph" w:customStyle="1" w:styleId="3076">
    <w:name w:val="谏壁标题4(chen) Char Char"/>
    <w:basedOn w:val="1"/>
    <w:qFormat/>
    <w:uiPriority w:val="0"/>
    <w:pPr>
      <w:snapToGrid w:val="0"/>
      <w:spacing w:beforeLines="50" w:line="360" w:lineRule="auto"/>
      <w:outlineLvl w:val="3"/>
    </w:pPr>
    <w:rPr>
      <w:rFonts w:eastAsia="楷体_GB2312"/>
      <w:sz w:val="28"/>
    </w:rPr>
  </w:style>
  <w:style w:type="paragraph" w:customStyle="1" w:styleId="3077">
    <w:name w:val="表23"/>
    <w:basedOn w:val="1"/>
    <w:qFormat/>
    <w:uiPriority w:val="0"/>
    <w:pPr>
      <w:adjustRightInd w:val="0"/>
      <w:snapToGrid w:val="0"/>
      <w:jc w:val="center"/>
    </w:pPr>
    <w:rPr>
      <w:rFonts w:eastAsia="仿宋_GB2312"/>
    </w:rPr>
  </w:style>
  <w:style w:type="paragraph" w:customStyle="1" w:styleId="3078">
    <w:name w:val="表格文字小四"/>
    <w:basedOn w:val="1"/>
    <w:qFormat/>
    <w:uiPriority w:val="0"/>
    <w:pPr>
      <w:adjustRightInd w:val="0"/>
      <w:snapToGrid w:val="0"/>
      <w:spacing w:beforeLines="10" w:afterLines="10"/>
      <w:jc w:val="center"/>
    </w:pPr>
    <w:rPr>
      <w:rFonts w:ascii="Arial" w:hAnsi="Arial" w:cs="Arial"/>
      <w:snapToGrid w:val="0"/>
    </w:rPr>
  </w:style>
  <w:style w:type="paragraph" w:customStyle="1" w:styleId="3079">
    <w:name w:val="样式 标题 2mystyle2style2 + 四号 非加粗 居中 行距: 多倍行距 1.73 字行"/>
    <w:basedOn w:val="5"/>
    <w:qFormat/>
    <w:uiPriority w:val="0"/>
    <w:pPr>
      <w:numPr>
        <w:ilvl w:val="0"/>
        <w:numId w:val="0"/>
      </w:numPr>
      <w:tabs>
        <w:tab w:val="left" w:pos="233"/>
        <w:tab w:val="clear" w:pos="0"/>
        <w:tab w:val="clear" w:pos="426"/>
      </w:tabs>
      <w:spacing w:beforeLines="0" w:afterLines="0" w:line="413" w:lineRule="auto"/>
      <w:ind w:left="233"/>
      <w:jc w:val="center"/>
    </w:pPr>
    <w:rPr>
      <w:rFonts w:ascii="Arial" w:hAnsi="Arial" w:eastAsia="黑体" w:cs="Century"/>
      <w:b w:val="0"/>
      <w:color w:val="auto"/>
      <w:spacing w:val="0"/>
      <w:kern w:val="2"/>
      <w:sz w:val="28"/>
      <w:szCs w:val="20"/>
    </w:rPr>
  </w:style>
  <w:style w:type="paragraph" w:customStyle="1" w:styleId="3080">
    <w:name w:val="表内宋5中11"/>
    <w:basedOn w:val="1"/>
    <w:qFormat/>
    <w:uiPriority w:val="0"/>
    <w:pPr>
      <w:adjustRightInd w:val="0"/>
      <w:snapToGrid w:val="0"/>
      <w:jc w:val="center"/>
      <w:textAlignment w:val="baseline"/>
    </w:pPr>
    <w:rPr>
      <w:rFonts w:hAnsi="宋体" w:cs="宋体"/>
    </w:rPr>
  </w:style>
  <w:style w:type="paragraph" w:customStyle="1" w:styleId="3081">
    <w:name w:val="表内文字小21212"/>
    <w:basedOn w:val="1"/>
    <w:qFormat/>
    <w:uiPriority w:val="0"/>
    <w:pPr>
      <w:adjustRightInd w:val="0"/>
      <w:snapToGrid w:val="0"/>
      <w:jc w:val="center"/>
    </w:pPr>
    <w:rPr>
      <w:rFonts w:hAnsi="Times"/>
      <w:bCs/>
      <w:color w:val="000000"/>
    </w:rPr>
  </w:style>
  <w:style w:type="paragraph" w:customStyle="1" w:styleId="3082">
    <w:name w:val="表内宋5中113"/>
    <w:basedOn w:val="1"/>
    <w:qFormat/>
    <w:uiPriority w:val="0"/>
    <w:pPr>
      <w:adjustRightInd w:val="0"/>
      <w:snapToGrid w:val="0"/>
      <w:jc w:val="center"/>
      <w:textAlignment w:val="baseline"/>
    </w:pPr>
    <w:rPr>
      <w:rFonts w:hAnsi="宋体" w:cs="宋体"/>
    </w:rPr>
  </w:style>
  <w:style w:type="paragraph" w:customStyle="1" w:styleId="3083">
    <w:name w:val="正文格式113"/>
    <w:basedOn w:val="1"/>
    <w:qFormat/>
    <w:uiPriority w:val="0"/>
    <w:pPr>
      <w:spacing w:line="360" w:lineRule="auto"/>
      <w:ind w:firstLine="482"/>
    </w:pPr>
    <w:rPr>
      <w:rFonts w:hAnsi="宋体"/>
    </w:rPr>
  </w:style>
  <w:style w:type="paragraph" w:customStyle="1" w:styleId="3084">
    <w:name w:val="淮安正文样式 小四 行距: 1.5 倍行距 首行缩进:  2 字符"/>
    <w:basedOn w:val="1"/>
    <w:qFormat/>
    <w:uiPriority w:val="0"/>
    <w:pPr>
      <w:adjustRightInd w:val="0"/>
      <w:snapToGrid w:val="0"/>
      <w:ind w:firstLine="480" w:firstLineChars="200"/>
    </w:pPr>
    <w:rPr>
      <w:snapToGrid w:val="0"/>
      <w:color w:val="0000FF"/>
      <w:szCs w:val="28"/>
    </w:rPr>
  </w:style>
  <w:style w:type="paragraph" w:customStyle="1" w:styleId="3085">
    <w:name w:val="表内文字小212"/>
    <w:basedOn w:val="1"/>
    <w:qFormat/>
    <w:uiPriority w:val="0"/>
    <w:pPr>
      <w:adjustRightInd w:val="0"/>
      <w:snapToGrid w:val="0"/>
      <w:jc w:val="center"/>
    </w:pPr>
    <w:rPr>
      <w:rFonts w:hAnsi="Times"/>
      <w:bCs/>
      <w:color w:val="000000"/>
    </w:rPr>
  </w:style>
  <w:style w:type="paragraph" w:customStyle="1" w:styleId="3086">
    <w:name w:val="Char Char Char1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087">
    <w:name w:val="论文正文"/>
    <w:basedOn w:val="1"/>
    <w:qFormat/>
    <w:uiPriority w:val="0"/>
    <w:pPr>
      <w:spacing w:line="300" w:lineRule="auto"/>
      <w:ind w:firstLine="420" w:firstLineChars="200"/>
    </w:pPr>
    <w:rPr>
      <w:rFonts w:hAnsi="宋体"/>
      <w:szCs w:val="21"/>
    </w:rPr>
  </w:style>
  <w:style w:type="paragraph" w:customStyle="1" w:styleId="3088">
    <w:name w:val="样式 宋体 首行缩进:  0.93 厘米 段前: 6 磅 段后: 6 磅 行距: 固定值 16 磅"/>
    <w:basedOn w:val="1"/>
    <w:qFormat/>
    <w:uiPriority w:val="0"/>
    <w:pPr>
      <w:snapToGrid w:val="0"/>
      <w:spacing w:before="160" w:after="160" w:line="320" w:lineRule="exact"/>
      <w:ind w:firstLine="527"/>
    </w:pPr>
    <w:rPr>
      <w:rFonts w:hAnsi="宋体" w:cs="宋体"/>
    </w:rPr>
  </w:style>
  <w:style w:type="paragraph" w:customStyle="1" w:styleId="3089">
    <w:name w:val="bgbt5附表标题"/>
    <w:basedOn w:val="2399"/>
    <w:next w:val="2402"/>
    <w:qFormat/>
    <w:uiPriority w:val="0"/>
    <w:pPr>
      <w:spacing w:before="60" w:after="0"/>
      <w:ind w:firstLine="0"/>
      <w:jc w:val="center"/>
      <w:outlineLvl w:val="4"/>
    </w:pPr>
    <w:rPr>
      <w:sz w:val="21"/>
    </w:rPr>
  </w:style>
  <w:style w:type="paragraph" w:customStyle="1" w:styleId="3090">
    <w:name w:val="小五"/>
    <w:qFormat/>
    <w:uiPriority w:val="0"/>
    <w:pPr>
      <w:widowControl w:val="0"/>
      <w:spacing w:line="360" w:lineRule="auto"/>
      <w:jc w:val="both"/>
    </w:pPr>
    <w:rPr>
      <w:rFonts w:ascii="Times New Roman" w:hAnsi="Times New Roman" w:eastAsia="仿宋_GB2312" w:cs="Times New Roman"/>
      <w:kern w:val="2"/>
      <w:sz w:val="21"/>
      <w:szCs w:val="24"/>
      <w:lang w:val="en-US" w:eastAsia="zh-CN" w:bidi="ar-SA"/>
    </w:rPr>
  </w:style>
  <w:style w:type="paragraph" w:customStyle="1" w:styleId="3091">
    <w:name w:val="表注-西江"/>
    <w:basedOn w:val="2903"/>
    <w:qFormat/>
    <w:uiPriority w:val="0"/>
    <w:pPr>
      <w:spacing w:before="120"/>
      <w:jc w:val="both"/>
    </w:pPr>
    <w:rPr>
      <w:b w:val="0"/>
      <w:sz w:val="21"/>
      <w:szCs w:val="21"/>
    </w:rPr>
  </w:style>
  <w:style w:type="paragraph" w:customStyle="1" w:styleId="3092">
    <w:name w:val="正文格式6"/>
    <w:basedOn w:val="1"/>
    <w:qFormat/>
    <w:uiPriority w:val="0"/>
    <w:pPr>
      <w:spacing w:line="360" w:lineRule="auto"/>
      <w:ind w:firstLine="482"/>
    </w:pPr>
    <w:rPr>
      <w:rFonts w:hAnsi="宋体"/>
    </w:rPr>
  </w:style>
  <w:style w:type="paragraph" w:customStyle="1" w:styleId="3093">
    <w:name w:val="表格文本"/>
    <w:basedOn w:val="1"/>
    <w:next w:val="1"/>
    <w:qFormat/>
    <w:uiPriority w:val="0"/>
    <w:pPr>
      <w:spacing w:before="60" w:after="60" w:line="312" w:lineRule="auto"/>
      <w:jc w:val="center"/>
    </w:pPr>
    <w:rPr>
      <w:rFonts w:ascii="Arial" w:hAnsi="Arial"/>
    </w:rPr>
  </w:style>
  <w:style w:type="paragraph" w:customStyle="1" w:styleId="3094">
    <w:name w:val="Char101"/>
    <w:basedOn w:val="1"/>
    <w:qFormat/>
    <w:uiPriority w:val="0"/>
    <w:pPr>
      <w:adjustRightInd w:val="0"/>
      <w:snapToGrid w:val="0"/>
      <w:spacing w:line="360" w:lineRule="auto"/>
    </w:pPr>
  </w:style>
  <w:style w:type="paragraph" w:customStyle="1" w:styleId="3095">
    <w:name w:val="样式 正文缩进 + 宋体 黑色3"/>
    <w:basedOn w:val="22"/>
    <w:qFormat/>
    <w:uiPriority w:val="0"/>
    <w:pPr>
      <w:spacing w:line="360" w:lineRule="auto"/>
      <w:ind w:firstLine="200"/>
      <w:jc w:val="left"/>
    </w:pPr>
    <w:rPr>
      <w:rFonts w:ascii="宋体" w:hAnsi="宋体"/>
      <w:color w:val="000000"/>
      <w:sz w:val="24"/>
    </w:rPr>
  </w:style>
  <w:style w:type="paragraph" w:customStyle="1" w:styleId="3096">
    <w:name w:val="Char Char Char Char Char Char Char Char Char Char Char Char1 Char Char Char Char Char Char Char Char Char Char Char Char"/>
    <w:basedOn w:val="1"/>
    <w:qFormat/>
    <w:uiPriority w:val="0"/>
    <w:pPr>
      <w:spacing w:line="240" w:lineRule="exact"/>
      <w:ind w:firstLine="200" w:firstLineChars="200"/>
    </w:pPr>
    <w:rPr>
      <w:sz w:val="28"/>
      <w:szCs w:val="28"/>
    </w:rPr>
  </w:style>
  <w:style w:type="paragraph" w:customStyle="1" w:styleId="3097">
    <w:name w:val="正文格式10"/>
    <w:basedOn w:val="1"/>
    <w:qFormat/>
    <w:uiPriority w:val="0"/>
    <w:pPr>
      <w:spacing w:line="360" w:lineRule="auto"/>
      <w:ind w:firstLine="482"/>
    </w:pPr>
    <w:rPr>
      <w:rFonts w:hAnsi="宋体"/>
    </w:rPr>
  </w:style>
  <w:style w:type="paragraph" w:customStyle="1" w:styleId="3098">
    <w:name w:val="默认段落字体 Para Char112"/>
    <w:basedOn w:val="1"/>
    <w:next w:val="1"/>
    <w:qFormat/>
    <w:uiPriority w:val="0"/>
    <w:pPr>
      <w:spacing w:line="480" w:lineRule="exact"/>
      <w:ind w:firstLine="200" w:firstLineChars="200"/>
      <w:jc w:val="left"/>
    </w:pPr>
    <w:rPr>
      <w:rFonts w:hAnsi="宋体" w:eastAsia="汉鼎简书宋" w:cs="宋体"/>
      <w:sz w:val="28"/>
    </w:rPr>
  </w:style>
  <w:style w:type="paragraph" w:customStyle="1" w:styleId="3099">
    <w:name w:val="正文格式111"/>
    <w:basedOn w:val="1"/>
    <w:qFormat/>
    <w:uiPriority w:val="0"/>
    <w:pPr>
      <w:spacing w:line="360" w:lineRule="auto"/>
      <w:ind w:firstLine="482"/>
    </w:pPr>
    <w:rPr>
      <w:rFonts w:hAnsi="宋体"/>
    </w:rPr>
  </w:style>
  <w:style w:type="paragraph" w:customStyle="1" w:styleId="3100">
    <w:name w:val="正文格式102"/>
    <w:basedOn w:val="1"/>
    <w:qFormat/>
    <w:uiPriority w:val="0"/>
    <w:pPr>
      <w:spacing w:line="360" w:lineRule="auto"/>
      <w:ind w:firstLine="482"/>
    </w:pPr>
    <w:rPr>
      <w:rFonts w:hAnsi="宋体"/>
    </w:rPr>
  </w:style>
  <w:style w:type="paragraph" w:customStyle="1" w:styleId="3101">
    <w:name w:val="文本框11"/>
    <w:basedOn w:val="1"/>
    <w:qFormat/>
    <w:uiPriority w:val="0"/>
    <w:pPr>
      <w:adjustRightInd w:val="0"/>
      <w:snapToGrid w:val="0"/>
      <w:spacing w:after="6"/>
      <w:jc w:val="center"/>
    </w:pPr>
    <w:rPr>
      <w:rFonts w:eastAsia="仿宋_GB2312"/>
    </w:rPr>
  </w:style>
  <w:style w:type="paragraph" w:customStyle="1" w:styleId="3102">
    <w:name w:val="正文格式8"/>
    <w:basedOn w:val="1"/>
    <w:qFormat/>
    <w:uiPriority w:val="0"/>
    <w:pPr>
      <w:spacing w:line="360" w:lineRule="auto"/>
      <w:ind w:firstLine="482"/>
    </w:pPr>
    <w:rPr>
      <w:rFonts w:hAnsi="宋体"/>
    </w:rPr>
  </w:style>
  <w:style w:type="paragraph" w:customStyle="1" w:styleId="3103">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3104">
    <w:name w:val="表内小5中3"/>
    <w:basedOn w:val="1"/>
    <w:qFormat/>
    <w:uiPriority w:val="0"/>
    <w:pPr>
      <w:adjustRightInd w:val="0"/>
      <w:snapToGrid w:val="0"/>
      <w:jc w:val="center"/>
    </w:pPr>
    <w:rPr>
      <w:rFonts w:hAnsi="宋体"/>
      <w:sz w:val="18"/>
    </w:rPr>
  </w:style>
  <w:style w:type="paragraph" w:customStyle="1" w:styleId="3105">
    <w:name w:val="正文214"/>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106">
    <w:name w:val="表11"/>
    <w:basedOn w:val="1"/>
    <w:qFormat/>
    <w:uiPriority w:val="0"/>
    <w:pPr>
      <w:adjustRightInd w:val="0"/>
      <w:snapToGrid w:val="0"/>
      <w:jc w:val="center"/>
    </w:pPr>
    <w:rPr>
      <w:rFonts w:eastAsia="仿宋_GB2312"/>
    </w:rPr>
  </w:style>
  <w:style w:type="paragraph" w:customStyle="1" w:styleId="3107">
    <w:name w:val="附件3"/>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3108">
    <w:name w:val="燕山正文212"/>
    <w:basedOn w:val="1"/>
    <w:qFormat/>
    <w:uiPriority w:val="0"/>
    <w:pPr>
      <w:tabs>
        <w:tab w:val="left" w:pos="4680"/>
      </w:tabs>
      <w:adjustRightInd w:val="0"/>
      <w:snapToGrid w:val="0"/>
      <w:spacing w:line="480" w:lineRule="exact"/>
    </w:pPr>
    <w:rPr>
      <w:rFonts w:cs="宋体"/>
    </w:rPr>
  </w:style>
  <w:style w:type="paragraph" w:customStyle="1" w:styleId="3109">
    <w:name w:val="表题315"/>
    <w:basedOn w:val="3"/>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110">
    <w:name w:val="正文格式＝213"/>
    <w:basedOn w:val="239"/>
    <w:next w:val="239"/>
    <w:qFormat/>
    <w:uiPriority w:val="0"/>
    <w:rPr>
      <w:rFonts w:hAnsi="宋体"/>
    </w:rPr>
  </w:style>
  <w:style w:type="paragraph" w:customStyle="1" w:styleId="3111">
    <w:name w:val="样式132"/>
    <w:basedOn w:val="2245"/>
    <w:qFormat/>
    <w:uiPriority w:val="0"/>
    <w:pPr>
      <w:spacing w:line="240" w:lineRule="auto"/>
      <w:ind w:firstLine="0"/>
      <w:jc w:val="center"/>
    </w:pPr>
    <w:rPr>
      <w:rFonts w:cs="Times New Roman"/>
      <w:b/>
      <w:color w:val="auto"/>
      <w:szCs w:val="20"/>
    </w:rPr>
  </w:style>
  <w:style w:type="paragraph" w:customStyle="1" w:styleId="3112">
    <w:name w:val="福建正文缩进13"/>
    <w:basedOn w:val="22"/>
    <w:qFormat/>
    <w:uiPriority w:val="0"/>
    <w:pPr>
      <w:adjustRightInd w:val="0"/>
      <w:snapToGrid w:val="0"/>
      <w:spacing w:line="360" w:lineRule="auto"/>
      <w:ind w:firstLine="567" w:firstLineChars="0"/>
    </w:pPr>
    <w:rPr>
      <w:rFonts w:ascii="宋体"/>
      <w:kern w:val="0"/>
      <w:sz w:val="24"/>
    </w:rPr>
  </w:style>
  <w:style w:type="paragraph" w:customStyle="1" w:styleId="3113">
    <w:name w:val="程序"/>
    <w:basedOn w:val="1"/>
    <w:qFormat/>
    <w:uiPriority w:val="0"/>
    <w:pPr>
      <w:adjustRightInd w:val="0"/>
      <w:spacing w:line="240" w:lineRule="atLeast"/>
      <w:ind w:firstLine="601"/>
      <w:textAlignment w:val="baseline"/>
    </w:pPr>
    <w:rPr>
      <w:rFonts w:ascii="Courier New" w:hAnsi="Courier New"/>
      <w:spacing w:val="10"/>
    </w:rPr>
  </w:style>
  <w:style w:type="paragraph" w:customStyle="1" w:styleId="3114">
    <w:name w:val="表格内字体14"/>
    <w:basedOn w:val="239"/>
    <w:next w:val="239"/>
    <w:qFormat/>
    <w:uiPriority w:val="0"/>
    <w:pPr>
      <w:spacing w:line="240" w:lineRule="auto"/>
      <w:ind w:firstLine="0"/>
      <w:jc w:val="center"/>
    </w:pPr>
    <w:rPr>
      <w:rFonts w:hAnsi="宋体"/>
      <w:sz w:val="21"/>
    </w:rPr>
  </w:style>
  <w:style w:type="paragraph" w:customStyle="1" w:styleId="3115">
    <w:name w:val="Char Char Char Char Char Char Char110"/>
    <w:basedOn w:val="1"/>
    <w:qFormat/>
    <w:uiPriority w:val="0"/>
  </w:style>
  <w:style w:type="paragraph" w:customStyle="1" w:styleId="3116">
    <w:name w:val="Char233"/>
    <w:basedOn w:val="1"/>
    <w:qFormat/>
    <w:uiPriority w:val="0"/>
    <w:pPr>
      <w:ind w:left="-48"/>
    </w:pPr>
  </w:style>
  <w:style w:type="paragraph" w:customStyle="1" w:styleId="3117">
    <w:name w:val="表内5321"/>
    <w:basedOn w:val="1"/>
    <w:qFormat/>
    <w:uiPriority w:val="0"/>
    <w:pPr>
      <w:adjustRightInd w:val="0"/>
      <w:snapToGrid w:val="0"/>
      <w:spacing w:line="300" w:lineRule="auto"/>
      <w:jc w:val="left"/>
    </w:pPr>
  </w:style>
  <w:style w:type="paragraph" w:customStyle="1" w:styleId="3118">
    <w:name w:val="表中文字511"/>
    <w:basedOn w:val="1"/>
    <w:qFormat/>
    <w:uiPriority w:val="0"/>
    <w:pPr>
      <w:widowControl/>
      <w:spacing w:line="240" w:lineRule="atLeast"/>
      <w:ind w:left="-24" w:leftChars="-10" w:right="-48" w:rightChars="-20"/>
      <w:jc w:val="center"/>
    </w:pPr>
    <w:rPr>
      <w:szCs w:val="21"/>
    </w:rPr>
  </w:style>
  <w:style w:type="paragraph" w:customStyle="1" w:styleId="3119">
    <w:name w:val="正文楷体"/>
    <w:basedOn w:val="1"/>
    <w:qFormat/>
    <w:uiPriority w:val="0"/>
    <w:rPr>
      <w:rFonts w:eastAsia="楷体_GB2312"/>
    </w:rPr>
  </w:style>
  <w:style w:type="paragraph" w:customStyle="1" w:styleId="3120">
    <w:name w:val="默认段落字体 Para Char Char Char Char Char1"/>
    <w:basedOn w:val="1"/>
    <w:qFormat/>
    <w:uiPriority w:val="0"/>
  </w:style>
  <w:style w:type="paragraph" w:customStyle="1" w:styleId="3121">
    <w:name w:val="Char141"/>
    <w:basedOn w:val="1"/>
    <w:qFormat/>
    <w:uiPriority w:val="0"/>
    <w:pPr>
      <w:ind w:left="-48"/>
    </w:pPr>
  </w:style>
  <w:style w:type="paragraph" w:customStyle="1" w:styleId="3122">
    <w:name w:val="Char38"/>
    <w:basedOn w:val="1"/>
    <w:qFormat/>
    <w:uiPriority w:val="0"/>
    <w:pPr>
      <w:ind w:left="-48"/>
    </w:pPr>
  </w:style>
  <w:style w:type="paragraph" w:customStyle="1" w:styleId="3123">
    <w:name w:val="样式114"/>
    <w:basedOn w:val="2245"/>
    <w:qFormat/>
    <w:uiPriority w:val="0"/>
    <w:pPr>
      <w:spacing w:line="240" w:lineRule="auto"/>
      <w:ind w:firstLine="0"/>
      <w:jc w:val="center"/>
    </w:pPr>
    <w:rPr>
      <w:rFonts w:cs="Times New Roman"/>
      <w:b/>
      <w:color w:val="auto"/>
      <w:szCs w:val="20"/>
    </w:rPr>
  </w:style>
  <w:style w:type="paragraph" w:customStyle="1" w:styleId="3124">
    <w:name w:val="Char Char1 Char Char Char1 Char Char Char Char Char Char Char Char Char Char Char Char Char"/>
    <w:basedOn w:val="1"/>
    <w:qFormat/>
    <w:uiPriority w:val="0"/>
  </w:style>
  <w:style w:type="paragraph" w:customStyle="1" w:styleId="3125">
    <w:name w:val="表题2112"/>
    <w:basedOn w:val="1"/>
    <w:qFormat/>
    <w:uiPriority w:val="0"/>
    <w:pPr>
      <w:widowControl/>
      <w:adjustRightInd w:val="0"/>
      <w:snapToGrid w:val="0"/>
      <w:jc w:val="center"/>
    </w:pPr>
    <w:rPr>
      <w:rFonts w:ascii="黑体" w:hAnsi="宋体" w:eastAsia="黑体" w:cs="宋体"/>
    </w:rPr>
  </w:style>
  <w:style w:type="paragraph" w:customStyle="1" w:styleId="3126">
    <w:name w:val="样式 标题 3 + 黑色 段前: 0行 段后: 0 行"/>
    <w:basedOn w:val="6"/>
    <w:qFormat/>
    <w:uiPriority w:val="0"/>
    <w:pPr>
      <w:tabs>
        <w:tab w:val="left" w:pos="233"/>
        <w:tab w:val="left" w:pos="1080"/>
      </w:tabs>
      <w:adjustRightInd w:val="0"/>
      <w:snapToGrid w:val="0"/>
      <w:spacing w:beforeLines="50" w:afterLines="50" w:line="312" w:lineRule="auto"/>
      <w:ind w:left="233"/>
    </w:pPr>
    <w:rPr>
      <w:rFonts w:ascii="仿宋_GB2312" w:eastAsia="仿宋_GB2312"/>
      <w:b w:val="0"/>
      <w:bCs w:val="0"/>
      <w:color w:val="000000"/>
      <w:sz w:val="28"/>
      <w:szCs w:val="20"/>
    </w:rPr>
  </w:style>
  <w:style w:type="paragraph" w:customStyle="1" w:styleId="3127">
    <w:name w:val="Char46"/>
    <w:basedOn w:val="1"/>
    <w:qFormat/>
    <w:uiPriority w:val="0"/>
    <w:pPr>
      <w:ind w:left="-48"/>
    </w:pPr>
  </w:style>
  <w:style w:type="paragraph" w:customStyle="1" w:styleId="3128">
    <w:name w:val="样式 标题 3标题 3 Char CharH3h33rd level标题3 + 段前: 0.5 行"/>
    <w:basedOn w:val="6"/>
    <w:qFormat/>
    <w:uiPriority w:val="0"/>
    <w:pPr>
      <w:keepNext w:val="0"/>
      <w:keepLines w:val="0"/>
      <w:widowControl/>
      <w:tabs>
        <w:tab w:val="left" w:pos="233"/>
      </w:tabs>
      <w:spacing w:before="0" w:after="0" w:line="480" w:lineRule="exact"/>
      <w:ind w:left="233" w:firstLine="560" w:firstLineChars="200"/>
      <w:outlineLvl w:val="9"/>
    </w:pPr>
    <w:rPr>
      <w:rFonts w:ascii="楷体_GB2312" w:hAnsi="宋体" w:eastAsia="楷体_GB2312"/>
      <w:b w:val="0"/>
      <w:color w:val="FF0000"/>
      <w:sz w:val="28"/>
      <w:szCs w:val="28"/>
    </w:rPr>
  </w:style>
  <w:style w:type="paragraph" w:customStyle="1" w:styleId="3129">
    <w:name w:val="表中文字23"/>
    <w:basedOn w:val="1"/>
    <w:qFormat/>
    <w:uiPriority w:val="0"/>
    <w:pPr>
      <w:widowControl/>
      <w:adjustRightInd w:val="0"/>
      <w:spacing w:line="240" w:lineRule="atLeast"/>
      <w:ind w:right="-42" w:rightChars="-20"/>
      <w:jc w:val="center"/>
      <w:textAlignment w:val="baseline"/>
    </w:pPr>
    <w:rPr>
      <w:szCs w:val="21"/>
    </w:rPr>
  </w:style>
  <w:style w:type="paragraph" w:customStyle="1" w:styleId="3130">
    <w:name w:val="表中文字112"/>
    <w:basedOn w:val="1"/>
    <w:qFormat/>
    <w:uiPriority w:val="0"/>
    <w:pPr>
      <w:widowControl/>
      <w:spacing w:line="240" w:lineRule="atLeast"/>
      <w:ind w:left="-24" w:leftChars="-10" w:right="-48" w:rightChars="-20"/>
      <w:jc w:val="center"/>
    </w:pPr>
    <w:rPr>
      <w:szCs w:val="21"/>
    </w:rPr>
  </w:style>
  <w:style w:type="paragraph" w:customStyle="1" w:styleId="3131">
    <w:name w:val="样式 标题 4无效格式无效格式1河石管道4H4H41小小节河石管道41H42H411小小节1河石管道42...1"/>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132">
    <w:name w:val="样式 样式 标题 4 + 段前: 0.5 行 段后: 0.5 行 + 段前: 0.5 行 段后: 0.5 行1"/>
    <w:basedOn w:val="2195"/>
    <w:qFormat/>
    <w:uiPriority w:val="0"/>
    <w:pPr>
      <w:adjustRightInd w:val="0"/>
      <w:spacing w:beforeLines="0" w:afterLines="0"/>
    </w:pPr>
  </w:style>
  <w:style w:type="paragraph" w:customStyle="1" w:styleId="3133">
    <w:name w:val="md正文"/>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3134">
    <w:name w:val="正文.1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135">
    <w:name w:val="表格内字体4"/>
    <w:basedOn w:val="239"/>
    <w:next w:val="239"/>
    <w:qFormat/>
    <w:uiPriority w:val="0"/>
    <w:pPr>
      <w:spacing w:line="240" w:lineRule="auto"/>
      <w:ind w:firstLine="0"/>
      <w:jc w:val="center"/>
    </w:pPr>
    <w:rPr>
      <w:rFonts w:hAnsi="宋体"/>
      <w:sz w:val="21"/>
    </w:rPr>
  </w:style>
  <w:style w:type="paragraph" w:customStyle="1" w:styleId="3136">
    <w:name w:val="Char40"/>
    <w:basedOn w:val="1"/>
    <w:qFormat/>
    <w:uiPriority w:val="0"/>
    <w:pPr>
      <w:ind w:left="-48"/>
    </w:pPr>
  </w:style>
  <w:style w:type="paragraph" w:customStyle="1" w:styleId="3137">
    <w:name w:val="样式 样式1 + 五号 黑色 段前: 4 磅 段后: 4 磅 行距: 单倍行距"/>
    <w:basedOn w:val="1"/>
    <w:qFormat/>
    <w:uiPriority w:val="0"/>
    <w:pPr>
      <w:pBdr>
        <w:top w:val="single" w:color="auto" w:sz="4" w:space="1"/>
      </w:pBdr>
      <w:spacing w:before="80" w:after="80"/>
    </w:pPr>
    <w:rPr>
      <w:szCs w:val="21"/>
    </w:rPr>
  </w:style>
  <w:style w:type="paragraph" w:customStyle="1" w:styleId="3138">
    <w:name w:val="附件43"/>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139">
    <w:name w:val="样式 表格内字体1 +12"/>
    <w:basedOn w:val="2166"/>
    <w:next w:val="1966"/>
    <w:qFormat/>
    <w:uiPriority w:val="0"/>
    <w:rPr>
      <w:rFonts w:hAnsi="Times New Roman"/>
      <w:szCs w:val="20"/>
    </w:rPr>
  </w:style>
  <w:style w:type="paragraph" w:customStyle="1" w:styleId="3140">
    <w:name w:val="表题31111"/>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141">
    <w:name w:val="燕山正文34"/>
    <w:basedOn w:val="1"/>
    <w:qFormat/>
    <w:uiPriority w:val="0"/>
    <w:pPr>
      <w:tabs>
        <w:tab w:val="left" w:pos="4680"/>
      </w:tabs>
      <w:adjustRightInd w:val="0"/>
      <w:snapToGrid w:val="0"/>
      <w:spacing w:line="480" w:lineRule="exact"/>
    </w:pPr>
    <w:rPr>
      <w:rFonts w:cs="宋体"/>
    </w:rPr>
  </w:style>
  <w:style w:type="paragraph" w:customStyle="1" w:styleId="3142">
    <w:name w:val="表格内字体13"/>
    <w:basedOn w:val="239"/>
    <w:next w:val="239"/>
    <w:qFormat/>
    <w:uiPriority w:val="0"/>
    <w:pPr>
      <w:spacing w:line="240" w:lineRule="auto"/>
      <w:ind w:firstLine="0"/>
      <w:jc w:val="center"/>
    </w:pPr>
    <w:rPr>
      <w:rFonts w:hAnsi="宋体"/>
      <w:sz w:val="21"/>
    </w:rPr>
  </w:style>
  <w:style w:type="paragraph" w:customStyle="1" w:styleId="3143">
    <w:name w:val="表格内字体513"/>
    <w:basedOn w:val="239"/>
    <w:next w:val="239"/>
    <w:qFormat/>
    <w:uiPriority w:val="0"/>
    <w:pPr>
      <w:adjustRightInd w:val="0"/>
      <w:snapToGrid w:val="0"/>
      <w:spacing w:line="240" w:lineRule="auto"/>
      <w:ind w:firstLine="0"/>
    </w:pPr>
    <w:rPr>
      <w:rFonts w:hAnsi="宋体"/>
      <w:sz w:val="21"/>
    </w:rPr>
  </w:style>
  <w:style w:type="paragraph" w:customStyle="1" w:styleId="3144">
    <w:name w:val="Char94"/>
    <w:basedOn w:val="1"/>
    <w:qFormat/>
    <w:uiPriority w:val="0"/>
    <w:pPr>
      <w:ind w:left="-48"/>
    </w:pPr>
  </w:style>
  <w:style w:type="paragraph" w:customStyle="1" w:styleId="3145">
    <w:name w:val="燕山正文13"/>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3146">
    <w:name w:val="Char1 Char Char Char Char Char Char Char Char 字元 字元 Char Char Char Char Char"/>
    <w:basedOn w:val="1"/>
    <w:qFormat/>
    <w:uiPriority w:val="0"/>
  </w:style>
  <w:style w:type="paragraph" w:customStyle="1" w:styleId="3147">
    <w:name w:val="标题431"/>
    <w:basedOn w:val="1"/>
    <w:qFormat/>
    <w:uiPriority w:val="0"/>
    <w:pPr>
      <w:adjustRightInd w:val="0"/>
      <w:snapToGrid w:val="0"/>
      <w:spacing w:line="480" w:lineRule="exact"/>
      <w:jc w:val="center"/>
    </w:pPr>
    <w:rPr>
      <w:rFonts w:hAnsi="宋体" w:cs="宋体"/>
    </w:rPr>
  </w:style>
  <w:style w:type="paragraph" w:customStyle="1" w:styleId="3148">
    <w:name w:val="Char1311"/>
    <w:basedOn w:val="1"/>
    <w:qFormat/>
    <w:uiPriority w:val="0"/>
    <w:pPr>
      <w:ind w:left="-48"/>
    </w:pPr>
  </w:style>
  <w:style w:type="paragraph" w:customStyle="1" w:styleId="3149">
    <w:name w:val="Char162"/>
    <w:basedOn w:val="1"/>
    <w:qFormat/>
    <w:uiPriority w:val="0"/>
    <w:pPr>
      <w:ind w:left="-48"/>
    </w:pPr>
  </w:style>
  <w:style w:type="paragraph" w:customStyle="1" w:styleId="3150">
    <w:name w:val="表内54122"/>
    <w:basedOn w:val="1"/>
    <w:qFormat/>
    <w:uiPriority w:val="0"/>
    <w:pPr>
      <w:adjustRightInd w:val="0"/>
      <w:snapToGrid w:val="0"/>
      <w:spacing w:line="300" w:lineRule="auto"/>
      <w:jc w:val="center"/>
    </w:pPr>
    <w:rPr>
      <w:rFonts w:hAnsi="宋体" w:cs="宋体"/>
    </w:rPr>
  </w:style>
  <w:style w:type="paragraph" w:customStyle="1" w:styleId="3151">
    <w:name w:val="表格内字体11"/>
    <w:basedOn w:val="239"/>
    <w:qFormat/>
    <w:uiPriority w:val="0"/>
    <w:pPr>
      <w:spacing w:line="240" w:lineRule="auto"/>
      <w:ind w:firstLine="0"/>
      <w:jc w:val="center"/>
    </w:pPr>
    <w:rPr>
      <w:sz w:val="21"/>
      <w:szCs w:val="20"/>
    </w:rPr>
  </w:style>
  <w:style w:type="paragraph" w:customStyle="1" w:styleId="3152">
    <w:name w:val="黑体三号5"/>
    <w:basedOn w:val="239"/>
    <w:qFormat/>
    <w:uiPriority w:val="0"/>
    <w:pPr>
      <w:jc w:val="center"/>
    </w:pPr>
    <w:rPr>
      <w:rFonts w:ascii="黑体" w:hAnsi="宋体" w:eastAsia="黑体"/>
      <w:b/>
      <w:bCs/>
      <w:sz w:val="32"/>
      <w:szCs w:val="20"/>
    </w:rPr>
  </w:style>
  <w:style w:type="paragraph" w:customStyle="1" w:styleId="3153">
    <w:name w:val="标题43132"/>
    <w:basedOn w:val="1"/>
    <w:qFormat/>
    <w:uiPriority w:val="0"/>
    <w:pPr>
      <w:adjustRightInd w:val="0"/>
      <w:snapToGrid w:val="0"/>
      <w:spacing w:line="480" w:lineRule="exact"/>
      <w:jc w:val="center"/>
    </w:pPr>
    <w:rPr>
      <w:rFonts w:hAnsi="宋体" w:cs="宋体"/>
    </w:rPr>
  </w:style>
  <w:style w:type="paragraph" w:customStyle="1" w:styleId="3154">
    <w:name w:val="表题1413"/>
    <w:basedOn w:val="1"/>
    <w:qFormat/>
    <w:uiPriority w:val="0"/>
    <w:pPr>
      <w:widowControl/>
      <w:adjustRightInd w:val="0"/>
      <w:snapToGrid w:val="0"/>
      <w:jc w:val="center"/>
    </w:pPr>
    <w:rPr>
      <w:rFonts w:ascii="黑体" w:hAnsi="宋体" w:eastAsia="黑体" w:cs="宋体"/>
    </w:rPr>
  </w:style>
  <w:style w:type="paragraph" w:customStyle="1" w:styleId="3155">
    <w:name w:val="图题613"/>
    <w:basedOn w:val="239"/>
    <w:next w:val="239"/>
    <w:qFormat/>
    <w:uiPriority w:val="0"/>
    <w:pPr>
      <w:ind w:firstLine="0"/>
      <w:jc w:val="center"/>
    </w:pPr>
    <w:rPr>
      <w:rFonts w:ascii="黑体" w:hAnsi="宋体" w:eastAsia="黑体"/>
      <w:b/>
      <w:bCs/>
    </w:rPr>
  </w:style>
  <w:style w:type="paragraph" w:customStyle="1" w:styleId="3156">
    <w:name w:val="样式 标题 2 + 行距: 最小值 12 磅"/>
    <w:basedOn w:val="5"/>
    <w:qFormat/>
    <w:uiPriority w:val="0"/>
    <w:pPr>
      <w:numPr>
        <w:ilvl w:val="0"/>
        <w:numId w:val="0"/>
      </w:numPr>
      <w:tabs>
        <w:tab w:val="left" w:pos="233"/>
        <w:tab w:val="left" w:pos="315"/>
        <w:tab w:val="left" w:pos="768"/>
        <w:tab w:val="clear" w:pos="0"/>
        <w:tab w:val="clear" w:pos="426"/>
      </w:tabs>
      <w:adjustRightInd w:val="0"/>
      <w:spacing w:beforeLines="100" w:afterLines="100" w:line="240" w:lineRule="atLeast"/>
      <w:ind w:left="233"/>
      <w:jc w:val="left"/>
      <w:textAlignment w:val="baseline"/>
    </w:pPr>
    <w:rPr>
      <w:rFonts w:ascii="黑体" w:eastAsia="黑体" w:cs="宋体"/>
      <w:color w:val="auto"/>
      <w:spacing w:val="0"/>
      <w:sz w:val="28"/>
      <w:szCs w:val="28"/>
    </w:rPr>
  </w:style>
  <w:style w:type="paragraph" w:customStyle="1" w:styleId="3157">
    <w:name w:val="样式 表内小5 + 黑体 加粗 倾斜 下划线4"/>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158">
    <w:name w:val="表内5418"/>
    <w:basedOn w:val="1"/>
    <w:qFormat/>
    <w:uiPriority w:val="0"/>
    <w:pPr>
      <w:adjustRightInd w:val="0"/>
      <w:snapToGrid w:val="0"/>
      <w:spacing w:line="300" w:lineRule="auto"/>
      <w:jc w:val="center"/>
    </w:pPr>
    <w:rPr>
      <w:rFonts w:hAnsi="宋体" w:cs="宋体"/>
    </w:rPr>
  </w:style>
  <w:style w:type="paragraph" w:customStyle="1" w:styleId="3159">
    <w:name w:val="图题10"/>
    <w:basedOn w:val="239"/>
    <w:next w:val="239"/>
    <w:qFormat/>
    <w:uiPriority w:val="0"/>
    <w:pPr>
      <w:ind w:firstLine="0"/>
      <w:jc w:val="center"/>
    </w:pPr>
    <w:rPr>
      <w:rFonts w:ascii="黑体" w:hAnsi="宋体" w:eastAsia="黑体"/>
      <w:b/>
      <w:bCs/>
    </w:rPr>
  </w:style>
  <w:style w:type="paragraph" w:customStyle="1" w:styleId="3160">
    <w:name w:val="表格标题10"/>
    <w:basedOn w:val="78"/>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3161">
    <w:name w:val="Char Char Char Char Char Char Char Char Char1 Char Char Char Char Char Char"/>
    <w:basedOn w:val="1"/>
    <w:qFormat/>
    <w:uiPriority w:val="0"/>
    <w:rPr>
      <w:szCs w:val="21"/>
    </w:rPr>
  </w:style>
  <w:style w:type="paragraph" w:customStyle="1" w:styleId="3162">
    <w:name w:val="Char411"/>
    <w:basedOn w:val="1"/>
    <w:qFormat/>
    <w:uiPriority w:val="0"/>
    <w:pPr>
      <w:ind w:left="-48"/>
    </w:pPr>
  </w:style>
  <w:style w:type="paragraph" w:customStyle="1" w:styleId="3163">
    <w:name w:val="bgbt6插图标题"/>
    <w:basedOn w:val="3089"/>
    <w:next w:val="2402"/>
    <w:qFormat/>
    <w:uiPriority w:val="0"/>
    <w:pPr>
      <w:spacing w:before="0" w:after="60"/>
      <w:outlineLvl w:val="5"/>
    </w:pPr>
  </w:style>
  <w:style w:type="paragraph" w:customStyle="1" w:styleId="3164">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3165">
    <w:name w:val="Char Char Char Char Char Char Char114"/>
    <w:basedOn w:val="1"/>
    <w:qFormat/>
    <w:uiPriority w:val="0"/>
  </w:style>
  <w:style w:type="paragraph" w:customStyle="1" w:styleId="3166">
    <w:name w:val="c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167">
    <w:name w:val="A正文4"/>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3168">
    <w:name w:val="表题91"/>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3169">
    <w:name w:val="正文格式＝311"/>
    <w:basedOn w:val="239"/>
    <w:next w:val="239"/>
    <w:qFormat/>
    <w:uiPriority w:val="0"/>
    <w:rPr>
      <w:rFonts w:hAnsi="宋体"/>
    </w:rPr>
  </w:style>
  <w:style w:type="paragraph" w:customStyle="1" w:styleId="3170">
    <w:name w:val="Char6 Char Char Char1 Char Char Char1"/>
    <w:basedOn w:val="1"/>
    <w:qFormat/>
    <w:uiPriority w:val="0"/>
    <w:rPr>
      <w:szCs w:val="21"/>
    </w:rPr>
  </w:style>
  <w:style w:type="paragraph" w:customStyle="1" w:styleId="3171">
    <w:name w:val="正文修改4"/>
    <w:basedOn w:val="1264"/>
    <w:qFormat/>
    <w:uiPriority w:val="0"/>
    <w:rPr>
      <w:rFonts w:hAnsi="宋体"/>
      <w:color w:val="000000"/>
    </w:rPr>
  </w:style>
  <w:style w:type="paragraph" w:customStyle="1" w:styleId="3172">
    <w:name w:val="Char43"/>
    <w:basedOn w:val="1"/>
    <w:qFormat/>
    <w:uiPriority w:val="0"/>
    <w:pPr>
      <w:ind w:left="-48"/>
    </w:pPr>
  </w:style>
  <w:style w:type="paragraph" w:customStyle="1" w:styleId="3173">
    <w:name w:val="样式 表格标题 + 段后: 0.5 行1"/>
    <w:basedOn w:val="1"/>
    <w:qFormat/>
    <w:uiPriority w:val="0"/>
    <w:pPr>
      <w:pBdr>
        <w:top w:val="single" w:color="auto" w:sz="4" w:space="1"/>
      </w:pBdr>
      <w:adjustRightInd w:val="0"/>
      <w:spacing w:afterLines="50" w:line="480" w:lineRule="exact"/>
      <w:jc w:val="center"/>
      <w:textAlignment w:val="baseline"/>
    </w:pPr>
    <w:rPr>
      <w:rFonts w:cs="宋体"/>
      <w:b/>
      <w:bCs/>
    </w:rPr>
  </w:style>
  <w:style w:type="paragraph" w:customStyle="1" w:styleId="3174">
    <w:name w:val="附件14"/>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175">
    <w:name w:val="bg表头"/>
    <w:basedOn w:val="2645"/>
    <w:next w:val="2402"/>
    <w:qFormat/>
    <w:uiPriority w:val="0"/>
    <w:rPr>
      <w:rFonts w:eastAsia="黑体"/>
    </w:rPr>
  </w:style>
  <w:style w:type="paragraph" w:customStyle="1" w:styleId="3176">
    <w:name w:val="黑体三号11"/>
    <w:basedOn w:val="239"/>
    <w:qFormat/>
    <w:uiPriority w:val="0"/>
    <w:pPr>
      <w:jc w:val="center"/>
    </w:pPr>
    <w:rPr>
      <w:rFonts w:ascii="黑体" w:hAnsi="宋体" w:eastAsia="黑体"/>
      <w:b/>
      <w:bCs/>
      <w:sz w:val="32"/>
      <w:szCs w:val="20"/>
    </w:rPr>
  </w:style>
  <w:style w:type="paragraph" w:customStyle="1" w:styleId="3177">
    <w:name w:val="Char Char2 Char Char Char Char12"/>
    <w:basedOn w:val="1"/>
    <w:qFormat/>
    <w:uiPriority w:val="0"/>
  </w:style>
  <w:style w:type="paragraph" w:customStyle="1" w:styleId="3178">
    <w:name w:val="Char120"/>
    <w:basedOn w:val="1"/>
    <w:qFormat/>
    <w:uiPriority w:val="0"/>
    <w:pPr>
      <w:ind w:left="-48"/>
    </w:pPr>
  </w:style>
  <w:style w:type="paragraph" w:customStyle="1" w:styleId="3179">
    <w:name w:val="Char Char Char Char Char Char Char111"/>
    <w:basedOn w:val="1"/>
    <w:qFormat/>
    <w:uiPriority w:val="0"/>
  </w:style>
  <w:style w:type="paragraph" w:customStyle="1" w:styleId="3180">
    <w:name w:val="(文字) (文字)2"/>
    <w:basedOn w:val="1"/>
    <w:qFormat/>
    <w:uiPriority w:val="0"/>
  </w:style>
  <w:style w:type="paragraph" w:customStyle="1" w:styleId="3181">
    <w:name w:val="项目符号结尾"/>
    <w:basedOn w:val="25"/>
    <w:next w:val="35"/>
    <w:qFormat/>
    <w:uiPriority w:val="0"/>
    <w:pPr>
      <w:widowControl/>
      <w:tabs>
        <w:tab w:val="clear" w:pos="1140"/>
      </w:tabs>
      <w:overflowPunct w:val="0"/>
      <w:autoSpaceDE w:val="0"/>
      <w:autoSpaceDN w:val="0"/>
      <w:adjustRightInd w:val="0"/>
      <w:spacing w:after="240"/>
      <w:ind w:left="720" w:hanging="360"/>
      <w:jc w:val="left"/>
      <w:textAlignment w:val="baseline"/>
    </w:pPr>
    <w:rPr>
      <w:b/>
      <w:sz w:val="20"/>
    </w:rPr>
  </w:style>
  <w:style w:type="paragraph" w:customStyle="1" w:styleId="3182">
    <w:name w:val="表格内字体2"/>
    <w:basedOn w:val="239"/>
    <w:next w:val="239"/>
    <w:qFormat/>
    <w:uiPriority w:val="0"/>
    <w:pPr>
      <w:spacing w:line="240" w:lineRule="auto"/>
      <w:ind w:firstLine="0"/>
      <w:jc w:val="center"/>
    </w:pPr>
    <w:rPr>
      <w:rFonts w:hAnsi="宋体"/>
      <w:sz w:val="21"/>
    </w:rPr>
  </w:style>
  <w:style w:type="paragraph" w:customStyle="1" w:styleId="3183">
    <w:name w:val="图题注1"/>
    <w:basedOn w:val="23"/>
    <w:qFormat/>
    <w:uiPriority w:val="0"/>
    <w:pPr>
      <w:tabs>
        <w:tab w:val="clear" w:pos="7380"/>
      </w:tabs>
      <w:overflowPunct/>
      <w:spacing w:before="0" w:after="0" w:afterLines="0"/>
      <w:jc w:val="center"/>
    </w:pPr>
    <w:rPr>
      <w:rFonts w:ascii="黑体" w:cs="宋体"/>
      <w:b/>
      <w:bCs/>
      <w:sz w:val="24"/>
      <w:szCs w:val="24"/>
    </w:rPr>
  </w:style>
  <w:style w:type="paragraph" w:customStyle="1" w:styleId="3184">
    <w:name w:val="表格标题4"/>
    <w:basedOn w:val="47"/>
    <w:qFormat/>
    <w:uiPriority w:val="0"/>
    <w:pPr>
      <w:pBdr>
        <w:top w:val="single" w:color="auto" w:sz="4" w:space="1"/>
      </w:pBdr>
      <w:tabs>
        <w:tab w:val="clear" w:pos="432"/>
      </w:tabs>
      <w:adjustRightInd w:val="0"/>
      <w:spacing w:line="360" w:lineRule="auto"/>
      <w:ind w:left="0" w:firstLine="0"/>
      <w:jc w:val="center"/>
      <w:textAlignment w:val="baseline"/>
    </w:pPr>
    <w:rPr>
      <w:b/>
    </w:rPr>
  </w:style>
  <w:style w:type="paragraph" w:customStyle="1" w:styleId="3185">
    <w:name w:val="题4"/>
    <w:basedOn w:val="84"/>
    <w:qFormat/>
    <w:uiPriority w:val="0"/>
    <w:pPr>
      <w:adjustRightInd w:val="0"/>
      <w:snapToGrid w:val="0"/>
      <w:spacing w:before="120" w:after="120" w:line="360" w:lineRule="auto"/>
      <w:jc w:val="left"/>
      <w:outlineLvl w:val="3"/>
    </w:pPr>
    <w:rPr>
      <w:rFonts w:ascii="Times New Roman" w:hAnsi="Times New Roman"/>
      <w:sz w:val="24"/>
      <w:szCs w:val="24"/>
    </w:rPr>
  </w:style>
  <w:style w:type="paragraph" w:customStyle="1" w:styleId="3186">
    <w:name w:val="燕山正文8"/>
    <w:basedOn w:val="1"/>
    <w:qFormat/>
    <w:uiPriority w:val="0"/>
    <w:pPr>
      <w:tabs>
        <w:tab w:val="left" w:pos="4680"/>
      </w:tabs>
      <w:adjustRightInd w:val="0"/>
      <w:snapToGrid w:val="0"/>
      <w:spacing w:line="480" w:lineRule="exact"/>
    </w:pPr>
    <w:rPr>
      <w:rFonts w:cs="宋体"/>
    </w:rPr>
  </w:style>
  <w:style w:type="paragraph" w:customStyle="1" w:styleId="3187">
    <w:name w:val="标题4111"/>
    <w:basedOn w:val="1"/>
    <w:qFormat/>
    <w:uiPriority w:val="0"/>
    <w:pPr>
      <w:adjustRightInd w:val="0"/>
      <w:snapToGrid w:val="0"/>
      <w:spacing w:line="300" w:lineRule="auto"/>
      <w:jc w:val="left"/>
    </w:pPr>
    <w:rPr>
      <w:rFonts w:ascii="黑体" w:hAnsi="宋体" w:eastAsia="黑体" w:cs="宋体"/>
      <w:bCs/>
    </w:rPr>
  </w:style>
  <w:style w:type="paragraph" w:customStyle="1" w:styleId="3188">
    <w:name w:val="表格内字体112"/>
    <w:basedOn w:val="239"/>
    <w:qFormat/>
    <w:uiPriority w:val="0"/>
    <w:pPr>
      <w:spacing w:line="240" w:lineRule="auto"/>
      <w:ind w:firstLine="0"/>
      <w:jc w:val="center"/>
    </w:pPr>
    <w:rPr>
      <w:sz w:val="21"/>
      <w:szCs w:val="20"/>
    </w:rPr>
  </w:style>
  <w:style w:type="paragraph" w:customStyle="1" w:styleId="3189">
    <w:name w:val="Char Char Char Char Char Char Char218"/>
    <w:basedOn w:val="1"/>
    <w:qFormat/>
    <w:uiPriority w:val="0"/>
  </w:style>
  <w:style w:type="paragraph" w:customStyle="1" w:styleId="3190">
    <w:name w:val="样式一"/>
    <w:basedOn w:val="1"/>
    <w:qFormat/>
    <w:uiPriority w:val="0"/>
    <w:pPr>
      <w:tabs>
        <w:tab w:val="left" w:pos="454"/>
      </w:tabs>
      <w:spacing w:beforeLines="50" w:afterLines="50" w:line="300" w:lineRule="auto"/>
      <w:ind w:firstLine="567"/>
    </w:pPr>
    <w:rPr>
      <w:rFonts w:eastAsia="黑体"/>
      <w:sz w:val="28"/>
    </w:rPr>
  </w:style>
  <w:style w:type="paragraph" w:customStyle="1" w:styleId="3191">
    <w:name w:val="表格内字体114"/>
    <w:basedOn w:val="239"/>
    <w:qFormat/>
    <w:uiPriority w:val="0"/>
    <w:pPr>
      <w:spacing w:line="240" w:lineRule="auto"/>
      <w:ind w:firstLine="0"/>
      <w:jc w:val="center"/>
    </w:pPr>
    <w:rPr>
      <w:sz w:val="21"/>
      <w:szCs w:val="20"/>
    </w:rPr>
  </w:style>
  <w:style w:type="paragraph" w:customStyle="1" w:styleId="3192">
    <w:name w:val="Char421"/>
    <w:basedOn w:val="1"/>
    <w:qFormat/>
    <w:uiPriority w:val="0"/>
    <w:pPr>
      <w:ind w:left="-48"/>
    </w:pPr>
  </w:style>
  <w:style w:type="paragraph" w:customStyle="1" w:styleId="3193">
    <w:name w:val="正文格式＝23"/>
    <w:basedOn w:val="239"/>
    <w:next w:val="239"/>
    <w:qFormat/>
    <w:uiPriority w:val="0"/>
    <w:rPr>
      <w:rFonts w:hAnsi="宋体"/>
    </w:rPr>
  </w:style>
  <w:style w:type="paragraph" w:customStyle="1" w:styleId="3194">
    <w:name w:val="默认段落字体 Para Char Char Char Char Char4"/>
    <w:basedOn w:val="1"/>
    <w:qFormat/>
    <w:uiPriority w:val="0"/>
  </w:style>
  <w:style w:type="paragraph" w:customStyle="1" w:styleId="3195">
    <w:name w:val="Char Char Char Char Char Char Char Char Char Char Char Char Char Char Char Char Char Char Char Char Char Char Char Char Char Char Char Char Char Char Char Char Char Char"/>
    <w:basedOn w:val="1"/>
    <w:qFormat/>
    <w:uiPriority w:val="0"/>
  </w:style>
  <w:style w:type="paragraph" w:customStyle="1" w:styleId="3196">
    <w:name w:val="Char431"/>
    <w:basedOn w:val="1"/>
    <w:qFormat/>
    <w:uiPriority w:val="0"/>
    <w:pPr>
      <w:ind w:left="-48"/>
    </w:pPr>
  </w:style>
  <w:style w:type="paragraph" w:customStyle="1" w:styleId="3197">
    <w:name w:val="Char Char Char Char Char Char Char126"/>
    <w:basedOn w:val="1"/>
    <w:qFormat/>
    <w:uiPriority w:val="0"/>
  </w:style>
  <w:style w:type="paragraph" w:customStyle="1" w:styleId="3198">
    <w:name w:val="表格内字体81"/>
    <w:basedOn w:val="239"/>
    <w:next w:val="239"/>
    <w:qFormat/>
    <w:uiPriority w:val="0"/>
    <w:pPr>
      <w:spacing w:line="240" w:lineRule="auto"/>
      <w:ind w:firstLine="0"/>
      <w:jc w:val="center"/>
    </w:pPr>
    <w:rPr>
      <w:rFonts w:hAnsi="宋体"/>
      <w:sz w:val="21"/>
    </w:rPr>
  </w:style>
  <w:style w:type="paragraph" w:customStyle="1" w:styleId="3199">
    <w:name w:val="1标2"/>
    <w:basedOn w:val="1"/>
    <w:qFormat/>
    <w:uiPriority w:val="0"/>
    <w:pPr>
      <w:keepNext/>
      <w:keepLines/>
      <w:pBdr>
        <w:top w:val="single" w:color="auto" w:sz="4" w:space="1"/>
      </w:pBdr>
      <w:adjustRightInd w:val="0"/>
      <w:spacing w:before="240" w:after="120" w:line="480" w:lineRule="exact"/>
      <w:jc w:val="left"/>
      <w:textAlignment w:val="baseline"/>
      <w:outlineLvl w:val="1"/>
    </w:pPr>
    <w:rPr>
      <w:rFonts w:eastAsia="黑体"/>
      <w:b/>
      <w:sz w:val="32"/>
      <w:szCs w:val="32"/>
    </w:rPr>
  </w:style>
  <w:style w:type="paragraph" w:customStyle="1" w:styleId="3200">
    <w:name w:val="正文格式＝14"/>
    <w:basedOn w:val="239"/>
    <w:next w:val="239"/>
    <w:qFormat/>
    <w:uiPriority w:val="0"/>
    <w:rPr>
      <w:rFonts w:hAnsi="宋体"/>
    </w:rPr>
  </w:style>
  <w:style w:type="paragraph" w:customStyle="1" w:styleId="3201">
    <w:name w:val="Content"/>
    <w:basedOn w:val="1"/>
    <w:qFormat/>
    <w:uiPriority w:val="0"/>
    <w:pPr>
      <w:widowControl/>
      <w:tabs>
        <w:tab w:val="left" w:pos="9480"/>
        <w:tab w:val="left" w:pos="9600"/>
      </w:tabs>
      <w:spacing w:before="120" w:after="360" w:line="240" w:lineRule="atLeast"/>
      <w:ind w:left="1804" w:right="-238" w:hanging="1503"/>
      <w:jc w:val="center"/>
    </w:pPr>
    <w:rPr>
      <w:rFonts w:ascii="Arial" w:hAnsi="Arial"/>
      <w:b/>
      <w:sz w:val="28"/>
      <w:lang w:val="fr-FR"/>
    </w:rPr>
  </w:style>
  <w:style w:type="paragraph" w:customStyle="1" w:styleId="3202">
    <w:name w:val="表题3121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203">
    <w:name w:val="燕山正文413"/>
    <w:basedOn w:val="1"/>
    <w:qFormat/>
    <w:uiPriority w:val="0"/>
    <w:pPr>
      <w:tabs>
        <w:tab w:val="left" w:pos="4680"/>
      </w:tabs>
      <w:adjustRightInd w:val="0"/>
      <w:snapToGrid w:val="0"/>
      <w:spacing w:line="480" w:lineRule="exact"/>
    </w:pPr>
    <w:rPr>
      <w:rFonts w:cs="宋体"/>
    </w:rPr>
  </w:style>
  <w:style w:type="paragraph" w:customStyle="1" w:styleId="3204">
    <w:name w:val="样式 标题 4无效格式无效格式1河石管道4H4H41小小节河石管道41H42H411小小节1河石管道42...11"/>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205">
    <w:name w:val="TITLE-2"/>
    <w:basedOn w:val="1"/>
    <w:qFormat/>
    <w:uiPriority w:val="0"/>
    <w:pPr>
      <w:adjustRightInd w:val="0"/>
      <w:spacing w:line="480" w:lineRule="atLeast"/>
      <w:ind w:left="284" w:hanging="284"/>
      <w:textAlignment w:val="baseline"/>
    </w:pPr>
    <w:rPr>
      <w:rFonts w:ascii="華康中楷體" w:eastAsia="華康中楷體"/>
      <w:sz w:val="28"/>
      <w:lang w:eastAsia="zh-TW"/>
    </w:rPr>
  </w:style>
  <w:style w:type="paragraph" w:customStyle="1" w:styleId="3206">
    <w:name w:val="图表题2"/>
    <w:basedOn w:val="239"/>
    <w:next w:val="239"/>
    <w:qFormat/>
    <w:uiPriority w:val="0"/>
    <w:pPr>
      <w:ind w:firstLine="0"/>
      <w:jc w:val="center"/>
    </w:pPr>
    <w:rPr>
      <w:rFonts w:ascii="黑体" w:hAnsi="宋体" w:eastAsia="黑体"/>
      <w:b/>
      <w:bCs/>
    </w:rPr>
  </w:style>
  <w:style w:type="paragraph" w:customStyle="1" w:styleId="3207">
    <w:name w:val="样式 报告书表格 + 黑色"/>
    <w:basedOn w:val="229"/>
    <w:qFormat/>
    <w:uiPriority w:val="0"/>
    <w:rPr>
      <w:rFonts w:eastAsia="仿宋_GB2312"/>
      <w:color w:val="000000"/>
    </w:rPr>
  </w:style>
  <w:style w:type="paragraph" w:customStyle="1" w:styleId="3208">
    <w:name w:val="Char Char Char Char Char Char Char18"/>
    <w:basedOn w:val="1"/>
    <w:qFormat/>
    <w:uiPriority w:val="0"/>
  </w:style>
  <w:style w:type="paragraph" w:customStyle="1" w:styleId="3209">
    <w:name w:val="正文斜体3"/>
    <w:basedOn w:val="239"/>
    <w:next w:val="239"/>
    <w:qFormat/>
    <w:uiPriority w:val="0"/>
    <w:rPr>
      <w:rFonts w:hAnsi="宋体"/>
      <w:i/>
      <w:iCs/>
    </w:rPr>
  </w:style>
  <w:style w:type="paragraph" w:customStyle="1" w:styleId="3210">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11">
    <w:name w:val="表内522"/>
    <w:basedOn w:val="1"/>
    <w:qFormat/>
    <w:uiPriority w:val="0"/>
    <w:pPr>
      <w:adjustRightInd w:val="0"/>
      <w:snapToGrid w:val="0"/>
      <w:spacing w:line="300" w:lineRule="auto"/>
      <w:jc w:val="left"/>
    </w:pPr>
    <w:rPr>
      <w:sz w:val="18"/>
    </w:rPr>
  </w:style>
  <w:style w:type="paragraph" w:customStyle="1" w:styleId="3212">
    <w:name w:val="正文缩"/>
    <w:basedOn w:val="1"/>
    <w:qFormat/>
    <w:uiPriority w:val="0"/>
    <w:pPr>
      <w:adjustRightInd w:val="0"/>
      <w:snapToGrid w:val="0"/>
      <w:spacing w:line="480" w:lineRule="atLeast"/>
      <w:ind w:firstLine="567"/>
      <w:textAlignment w:val="baseline"/>
    </w:pPr>
    <w:rPr>
      <w:color w:val="000080"/>
      <w:spacing w:val="6"/>
      <w:sz w:val="28"/>
    </w:rPr>
  </w:style>
  <w:style w:type="paragraph" w:customStyle="1" w:styleId="3213">
    <w:name w:val="默认段落字体 Para Char211"/>
    <w:basedOn w:val="1"/>
    <w:next w:val="1"/>
    <w:qFormat/>
    <w:uiPriority w:val="0"/>
    <w:pPr>
      <w:spacing w:line="480" w:lineRule="exact"/>
      <w:ind w:firstLine="200" w:firstLineChars="200"/>
      <w:jc w:val="left"/>
    </w:pPr>
    <w:rPr>
      <w:rFonts w:hAnsi="宋体" w:eastAsia="汉鼎简书宋" w:cs="宋体"/>
      <w:sz w:val="28"/>
    </w:rPr>
  </w:style>
  <w:style w:type="paragraph" w:customStyle="1" w:styleId="3214">
    <w:name w:val="正文格式64"/>
    <w:basedOn w:val="1"/>
    <w:qFormat/>
    <w:uiPriority w:val="0"/>
    <w:pPr>
      <w:spacing w:line="360" w:lineRule="auto"/>
      <w:ind w:firstLine="482"/>
    </w:pPr>
    <w:rPr>
      <w:rFonts w:hAnsi="宋体"/>
    </w:rPr>
  </w:style>
  <w:style w:type="paragraph" w:customStyle="1" w:styleId="3215">
    <w:name w:val="默认段落字体 Para Char313"/>
    <w:basedOn w:val="1"/>
    <w:qFormat/>
    <w:uiPriority w:val="0"/>
    <w:pPr>
      <w:spacing w:line="360" w:lineRule="auto"/>
      <w:ind w:firstLine="200" w:firstLineChars="200"/>
    </w:pPr>
    <w:rPr>
      <w:rFonts w:hAnsi="宋体" w:cs="宋体"/>
    </w:rPr>
  </w:style>
  <w:style w:type="paragraph" w:customStyle="1" w:styleId="3216">
    <w:name w:val="正文格式311"/>
    <w:basedOn w:val="1"/>
    <w:qFormat/>
    <w:uiPriority w:val="0"/>
    <w:pPr>
      <w:spacing w:line="360" w:lineRule="auto"/>
      <w:ind w:firstLine="482"/>
    </w:pPr>
    <w:rPr>
      <w:rFonts w:hAnsi="宋体"/>
    </w:rPr>
  </w:style>
  <w:style w:type="paragraph" w:customStyle="1" w:styleId="3217">
    <w:name w:val="表内文字小2141"/>
    <w:basedOn w:val="1"/>
    <w:qFormat/>
    <w:uiPriority w:val="0"/>
    <w:pPr>
      <w:adjustRightInd w:val="0"/>
      <w:snapToGrid w:val="0"/>
      <w:jc w:val="center"/>
    </w:pPr>
    <w:rPr>
      <w:rFonts w:hAnsi="Times"/>
      <w:bCs/>
      <w:color w:val="000000"/>
    </w:rPr>
  </w:style>
  <w:style w:type="paragraph" w:customStyle="1" w:styleId="3218">
    <w:name w:val="Char222"/>
    <w:basedOn w:val="1"/>
    <w:qFormat/>
    <w:uiPriority w:val="0"/>
    <w:pPr>
      <w:adjustRightInd w:val="0"/>
      <w:snapToGrid w:val="0"/>
      <w:spacing w:beforeLines="50" w:line="360" w:lineRule="auto"/>
    </w:pPr>
    <w:rPr>
      <w:rFonts w:ascii="黑体" w:eastAsia="黑体"/>
      <w:sz w:val="32"/>
      <w:szCs w:val="32"/>
    </w:rPr>
  </w:style>
  <w:style w:type="paragraph" w:customStyle="1" w:styleId="3219">
    <w:name w:val="正文格式74"/>
    <w:basedOn w:val="1"/>
    <w:qFormat/>
    <w:uiPriority w:val="0"/>
    <w:pPr>
      <w:spacing w:line="360" w:lineRule="auto"/>
      <w:ind w:firstLine="482"/>
    </w:pPr>
    <w:rPr>
      <w:rFonts w:hAnsi="宋体"/>
    </w:rPr>
  </w:style>
  <w:style w:type="paragraph" w:customStyle="1" w:styleId="3220">
    <w:name w:val="9 Char Char Char3"/>
    <w:basedOn w:val="1"/>
    <w:qFormat/>
    <w:uiPriority w:val="0"/>
    <w:pPr>
      <w:spacing w:line="240" w:lineRule="exact"/>
      <w:ind w:firstLine="200" w:firstLineChars="200"/>
    </w:pPr>
    <w:rPr>
      <w:sz w:val="28"/>
      <w:szCs w:val="28"/>
    </w:rPr>
  </w:style>
  <w:style w:type="paragraph" w:customStyle="1" w:styleId="3221">
    <w:name w:val="正文格式41"/>
    <w:basedOn w:val="1"/>
    <w:qFormat/>
    <w:uiPriority w:val="0"/>
    <w:pPr>
      <w:spacing w:line="360" w:lineRule="auto"/>
      <w:ind w:firstLine="482"/>
    </w:pPr>
    <w:rPr>
      <w:rFonts w:hAnsi="宋体"/>
    </w:rPr>
  </w:style>
  <w:style w:type="paragraph" w:customStyle="1" w:styleId="3222">
    <w:name w:val="my样式"/>
    <w:basedOn w:val="1"/>
    <w:qFormat/>
    <w:uiPriority w:val="0"/>
    <w:pPr>
      <w:spacing w:beforeLines="50" w:afterLines="50" w:line="360" w:lineRule="auto"/>
      <w:ind w:firstLine="440" w:firstLineChars="200"/>
    </w:pPr>
    <w:rPr>
      <w:sz w:val="22"/>
      <w:szCs w:val="22"/>
    </w:rPr>
  </w:style>
  <w:style w:type="paragraph" w:customStyle="1" w:styleId="3223">
    <w:name w:val="表内宋5112"/>
    <w:basedOn w:val="81"/>
    <w:qFormat/>
    <w:uiPriority w:val="0"/>
    <w:pPr>
      <w:widowControl/>
      <w:adjustRightInd w:val="0"/>
      <w:snapToGrid w:val="0"/>
    </w:pPr>
    <w:rPr>
      <w:rFonts w:ascii="宋体" w:hAnsi="宋体" w:cs="宋体"/>
      <w:color w:val="000000"/>
      <w:kern w:val="0"/>
      <w:sz w:val="21"/>
    </w:rPr>
  </w:style>
  <w:style w:type="paragraph" w:customStyle="1" w:styleId="3224">
    <w:name w:val="表21"/>
    <w:basedOn w:val="1"/>
    <w:qFormat/>
    <w:uiPriority w:val="0"/>
    <w:pPr>
      <w:adjustRightInd w:val="0"/>
      <w:snapToGrid w:val="0"/>
      <w:jc w:val="center"/>
    </w:pPr>
    <w:rPr>
      <w:rFonts w:eastAsia="仿宋_GB2312"/>
    </w:rPr>
  </w:style>
  <w:style w:type="paragraph" w:customStyle="1" w:styleId="3225">
    <w:name w:val="表41"/>
    <w:basedOn w:val="1"/>
    <w:qFormat/>
    <w:uiPriority w:val="0"/>
    <w:pPr>
      <w:adjustRightInd w:val="0"/>
      <w:snapToGrid w:val="0"/>
      <w:jc w:val="center"/>
    </w:pPr>
    <w:rPr>
      <w:rFonts w:eastAsia="仿宋_GB2312"/>
    </w:rPr>
  </w:style>
  <w:style w:type="paragraph" w:customStyle="1" w:styleId="3226">
    <w:name w:val="Char612"/>
    <w:basedOn w:val="1"/>
    <w:qFormat/>
    <w:uiPriority w:val="0"/>
    <w:pPr>
      <w:adjustRightInd w:val="0"/>
      <w:snapToGrid w:val="0"/>
      <w:spacing w:beforeLines="50" w:line="360" w:lineRule="auto"/>
    </w:pPr>
    <w:rPr>
      <w:rFonts w:ascii="黑体" w:eastAsia="黑体"/>
      <w:sz w:val="32"/>
      <w:szCs w:val="32"/>
    </w:rPr>
  </w:style>
  <w:style w:type="paragraph" w:customStyle="1" w:styleId="3227">
    <w:name w:val="标题四"/>
    <w:basedOn w:val="7"/>
    <w:qFormat/>
    <w:uiPriority w:val="0"/>
    <w:pPr>
      <w:spacing w:before="100" w:beforeAutospacing="1" w:after="100" w:afterAutospacing="1" w:line="480" w:lineRule="exact"/>
    </w:pPr>
    <w:rPr>
      <w:rFonts w:ascii="Times New Roman" w:hAnsi="Times New Roman" w:eastAsia="楷体_GB2312" w:cs="宋体"/>
      <w:color w:val="000000"/>
      <w:spacing w:val="6"/>
      <w:kern w:val="44"/>
      <w:sz w:val="24"/>
      <w:szCs w:val="24"/>
    </w:rPr>
  </w:style>
  <w:style w:type="paragraph" w:customStyle="1" w:styleId="3228">
    <w:name w:val="默认段落字体 Para Char311"/>
    <w:basedOn w:val="1"/>
    <w:qFormat/>
    <w:uiPriority w:val="0"/>
    <w:pPr>
      <w:spacing w:line="360" w:lineRule="auto"/>
      <w:ind w:firstLine="200" w:firstLineChars="200"/>
    </w:pPr>
    <w:rPr>
      <w:rFonts w:hAnsi="宋体" w:cs="宋体"/>
    </w:rPr>
  </w:style>
  <w:style w:type="paragraph" w:customStyle="1" w:styleId="3229">
    <w:name w:val="文本框23"/>
    <w:basedOn w:val="1"/>
    <w:qFormat/>
    <w:uiPriority w:val="0"/>
    <w:pPr>
      <w:adjustRightInd w:val="0"/>
      <w:snapToGrid w:val="0"/>
      <w:spacing w:after="6"/>
      <w:jc w:val="center"/>
    </w:pPr>
    <w:rPr>
      <w:rFonts w:eastAsia="仿宋_GB2312"/>
    </w:rPr>
  </w:style>
  <w:style w:type="paragraph" w:customStyle="1" w:styleId="3230">
    <w:name w:val="正文格式81"/>
    <w:basedOn w:val="1"/>
    <w:qFormat/>
    <w:uiPriority w:val="0"/>
    <w:pPr>
      <w:spacing w:line="360" w:lineRule="auto"/>
      <w:ind w:firstLine="482"/>
    </w:pPr>
    <w:rPr>
      <w:rFonts w:hAnsi="宋体"/>
    </w:rPr>
  </w:style>
  <w:style w:type="paragraph" w:customStyle="1" w:styleId="3231">
    <w:name w:val="表内宋5中21"/>
    <w:basedOn w:val="1"/>
    <w:qFormat/>
    <w:uiPriority w:val="0"/>
    <w:pPr>
      <w:adjustRightInd w:val="0"/>
      <w:snapToGrid w:val="0"/>
      <w:jc w:val="center"/>
      <w:textAlignment w:val="baseline"/>
    </w:pPr>
    <w:rPr>
      <w:rFonts w:hAnsi="宋体"/>
    </w:rPr>
  </w:style>
  <w:style w:type="paragraph" w:customStyle="1" w:styleId="3232">
    <w:name w:val="表格文字左"/>
    <w:basedOn w:val="2774"/>
    <w:qFormat/>
    <w:uiPriority w:val="0"/>
    <w:pPr>
      <w:ind w:firstLine="180" w:firstLineChars="75"/>
      <w:jc w:val="left"/>
    </w:pPr>
  </w:style>
  <w:style w:type="paragraph" w:customStyle="1" w:styleId="3233">
    <w:name w:val="表内宋5中24"/>
    <w:basedOn w:val="1"/>
    <w:qFormat/>
    <w:uiPriority w:val="0"/>
    <w:pPr>
      <w:adjustRightInd w:val="0"/>
      <w:snapToGrid w:val="0"/>
      <w:jc w:val="center"/>
      <w:textAlignment w:val="baseline"/>
    </w:pPr>
    <w:rPr>
      <w:rFonts w:hAnsi="宋体"/>
    </w:rPr>
  </w:style>
  <w:style w:type="paragraph" w:customStyle="1" w:styleId="3234">
    <w:name w:val="表格113"/>
    <w:basedOn w:val="1"/>
    <w:qFormat/>
    <w:uiPriority w:val="0"/>
    <w:pPr>
      <w:adjustRightInd w:val="0"/>
      <w:jc w:val="center"/>
      <w:textAlignment w:val="baseline"/>
    </w:pPr>
  </w:style>
  <w:style w:type="paragraph" w:customStyle="1" w:styleId="3235">
    <w:name w:val="表文字5211"/>
    <w:basedOn w:val="1"/>
    <w:qFormat/>
    <w:uiPriority w:val="0"/>
    <w:pPr>
      <w:adjustRightInd w:val="0"/>
      <w:jc w:val="left"/>
      <w:textAlignment w:val="baseline"/>
    </w:pPr>
  </w:style>
  <w:style w:type="paragraph" w:customStyle="1" w:styleId="3236">
    <w:name w:val="默认段落字体 Para Char44"/>
    <w:basedOn w:val="1"/>
    <w:next w:val="1"/>
    <w:qFormat/>
    <w:uiPriority w:val="0"/>
    <w:pPr>
      <w:spacing w:line="480" w:lineRule="exact"/>
      <w:ind w:firstLine="200" w:firstLineChars="200"/>
      <w:jc w:val="left"/>
    </w:pPr>
    <w:rPr>
      <w:rFonts w:hAnsi="宋体" w:eastAsia="汉鼎简书宋" w:cs="宋体"/>
      <w:sz w:val="28"/>
    </w:rPr>
  </w:style>
  <w:style w:type="paragraph" w:customStyle="1" w:styleId="3237">
    <w:name w:val="正文2 Char Char"/>
    <w:basedOn w:val="1"/>
    <w:qFormat/>
    <w:uiPriority w:val="0"/>
    <w:pPr>
      <w:spacing w:beforeLines="50" w:afterLines="100" w:line="440" w:lineRule="exact"/>
      <w:ind w:firstLine="480" w:firstLineChars="200"/>
    </w:pPr>
    <w:rPr>
      <w:rFonts w:eastAsia="仿宋_GB2312"/>
    </w:rPr>
  </w:style>
  <w:style w:type="paragraph" w:customStyle="1" w:styleId="3238">
    <w:name w:val="样式 样式 宋体 + 首行缩进:  2 字符112"/>
    <w:basedOn w:val="1"/>
    <w:qFormat/>
    <w:uiPriority w:val="0"/>
    <w:pPr>
      <w:spacing w:line="360" w:lineRule="auto"/>
      <w:ind w:firstLine="480" w:firstLineChars="200"/>
      <w:jc w:val="left"/>
    </w:pPr>
    <w:rPr>
      <w:rFonts w:cs="宋体"/>
    </w:rPr>
  </w:style>
  <w:style w:type="paragraph" w:customStyle="1" w:styleId="3239">
    <w:name w:val="9 Char Char Char2"/>
    <w:basedOn w:val="1"/>
    <w:qFormat/>
    <w:uiPriority w:val="0"/>
    <w:pPr>
      <w:spacing w:line="240" w:lineRule="exact"/>
      <w:ind w:firstLine="200" w:firstLineChars="200"/>
    </w:pPr>
    <w:rPr>
      <w:sz w:val="28"/>
      <w:szCs w:val="28"/>
    </w:rPr>
  </w:style>
  <w:style w:type="paragraph" w:customStyle="1" w:styleId="3240">
    <w:name w:val="表文字5123"/>
    <w:basedOn w:val="1"/>
    <w:qFormat/>
    <w:uiPriority w:val="0"/>
    <w:pPr>
      <w:adjustRightInd w:val="0"/>
      <w:jc w:val="left"/>
      <w:textAlignment w:val="baseline"/>
    </w:pPr>
  </w:style>
  <w:style w:type="paragraph" w:customStyle="1" w:styleId="3241">
    <w:name w:val="Char39"/>
    <w:basedOn w:val="1"/>
    <w:qFormat/>
    <w:uiPriority w:val="0"/>
    <w:pPr>
      <w:adjustRightInd w:val="0"/>
      <w:snapToGrid w:val="0"/>
      <w:spacing w:beforeLines="50" w:line="360" w:lineRule="auto"/>
    </w:pPr>
    <w:rPr>
      <w:rFonts w:ascii="黑体" w:eastAsia="黑体"/>
      <w:sz w:val="32"/>
      <w:szCs w:val="32"/>
    </w:rPr>
  </w:style>
  <w:style w:type="paragraph" w:customStyle="1" w:styleId="3242">
    <w:name w:val="样式xiaojie"/>
    <w:basedOn w:val="1"/>
    <w:qFormat/>
    <w:uiPriority w:val="0"/>
    <w:pPr>
      <w:spacing w:line="360" w:lineRule="auto"/>
      <w:ind w:right="220" w:rightChars="105"/>
    </w:pPr>
    <w:rPr>
      <w:rFonts w:eastAsia="仿宋_GB2312"/>
      <w:color w:val="000000"/>
      <w:sz w:val="28"/>
    </w:rPr>
  </w:style>
  <w:style w:type="paragraph" w:customStyle="1" w:styleId="3243">
    <w:name w:val="Char Char Char1 Char Char Char1 Char1"/>
    <w:basedOn w:val="1"/>
    <w:qFormat/>
    <w:uiPriority w:val="0"/>
    <w:pPr>
      <w:spacing w:line="240" w:lineRule="exact"/>
      <w:ind w:firstLine="200" w:firstLineChars="200"/>
    </w:pPr>
    <w:rPr>
      <w:sz w:val="28"/>
      <w:szCs w:val="28"/>
    </w:rPr>
  </w:style>
  <w:style w:type="paragraph" w:customStyle="1" w:styleId="3244">
    <w:name w:val="样式 首行缩进:  0.77 厘米 行距: 1.5 倍行距"/>
    <w:basedOn w:val="1"/>
    <w:qFormat/>
    <w:uiPriority w:val="0"/>
    <w:pPr>
      <w:spacing w:line="360" w:lineRule="auto"/>
      <w:ind w:firstLine="435"/>
    </w:pPr>
    <w:rPr>
      <w:rFonts w:hAnsi="宋体" w:cs="宋体"/>
      <w:snapToGrid w:val="0"/>
    </w:rPr>
  </w:style>
  <w:style w:type="paragraph" w:customStyle="1" w:styleId="3245">
    <w:name w:val="正文格式2113"/>
    <w:basedOn w:val="1"/>
    <w:qFormat/>
    <w:uiPriority w:val="0"/>
    <w:pPr>
      <w:spacing w:line="360" w:lineRule="auto"/>
      <w:ind w:firstLine="482"/>
    </w:pPr>
    <w:rPr>
      <w:rFonts w:hAnsi="宋体"/>
    </w:rPr>
  </w:style>
  <w:style w:type="paragraph" w:customStyle="1" w:styleId="3246">
    <w:name w:val="表14"/>
    <w:basedOn w:val="1"/>
    <w:qFormat/>
    <w:uiPriority w:val="0"/>
    <w:pPr>
      <w:adjustRightInd w:val="0"/>
      <w:snapToGrid w:val="0"/>
      <w:jc w:val="center"/>
    </w:pPr>
    <w:rPr>
      <w:rFonts w:eastAsia="仿宋_GB2312"/>
    </w:rPr>
  </w:style>
  <w:style w:type="paragraph" w:customStyle="1" w:styleId="3247">
    <w:name w:val="标题 正文"/>
    <w:basedOn w:val="7"/>
    <w:qFormat/>
    <w:uiPriority w:val="0"/>
    <w:pPr>
      <w:spacing w:before="280" w:after="290" w:line="374" w:lineRule="auto"/>
    </w:pPr>
    <w:rPr>
      <w:rFonts w:ascii="Arial" w:eastAsia="黑体"/>
      <w:bCs w:val="0"/>
      <w:sz w:val="24"/>
    </w:rPr>
  </w:style>
  <w:style w:type="paragraph" w:customStyle="1" w:styleId="3248">
    <w:name w:val="Char511"/>
    <w:basedOn w:val="1"/>
    <w:qFormat/>
    <w:uiPriority w:val="0"/>
    <w:pPr>
      <w:adjustRightInd w:val="0"/>
      <w:snapToGrid w:val="0"/>
      <w:ind w:left="-45"/>
    </w:pPr>
  </w:style>
  <w:style w:type="paragraph" w:customStyle="1" w:styleId="3249">
    <w:name w:val="样式 标题2 + 仿宋_GB2312 段前: 6 磅 段后: 6 磅"/>
    <w:basedOn w:val="5"/>
    <w:qFormat/>
    <w:uiPriority w:val="0"/>
    <w:pPr>
      <w:numPr>
        <w:ilvl w:val="0"/>
        <w:numId w:val="0"/>
      </w:numPr>
      <w:tabs>
        <w:tab w:val="left" w:pos="233"/>
        <w:tab w:val="clear" w:pos="0"/>
        <w:tab w:val="clear" w:pos="426"/>
      </w:tabs>
      <w:spacing w:beforeLines="0" w:afterLines="0"/>
      <w:ind w:left="233" w:firstLine="200" w:firstLineChars="200"/>
    </w:pPr>
    <w:rPr>
      <w:rFonts w:ascii="仿宋_GB2312" w:cs="宋体"/>
      <w:bCs/>
      <w:color w:val="auto"/>
      <w:spacing w:val="0"/>
      <w:kern w:val="2"/>
      <w:sz w:val="28"/>
      <w:szCs w:val="20"/>
    </w:rPr>
  </w:style>
  <w:style w:type="paragraph" w:customStyle="1" w:styleId="3250">
    <w:name w:val="正文格式223"/>
    <w:basedOn w:val="1"/>
    <w:qFormat/>
    <w:uiPriority w:val="0"/>
    <w:pPr>
      <w:spacing w:line="360" w:lineRule="auto"/>
      <w:ind w:firstLine="482"/>
    </w:pPr>
    <w:rPr>
      <w:rFonts w:hAnsi="宋体"/>
    </w:rPr>
  </w:style>
  <w:style w:type="paragraph" w:customStyle="1" w:styleId="3251">
    <w:name w:val="样式 正文缩进 + 宋体 黑色 首行缩进:  2 字符4"/>
    <w:basedOn w:val="22"/>
    <w:qFormat/>
    <w:uiPriority w:val="0"/>
    <w:pPr>
      <w:spacing w:line="360" w:lineRule="auto"/>
      <w:ind w:firstLine="480"/>
      <w:jc w:val="left"/>
    </w:pPr>
    <w:rPr>
      <w:rFonts w:ascii="宋体" w:hAnsi="宋体" w:cs="宋体"/>
      <w:color w:val="FF00FF"/>
      <w:sz w:val="24"/>
      <w:szCs w:val="20"/>
    </w:rPr>
  </w:style>
  <w:style w:type="paragraph" w:customStyle="1" w:styleId="3252">
    <w:name w:val="9 Char"/>
    <w:basedOn w:val="1"/>
    <w:qFormat/>
    <w:uiPriority w:val="0"/>
    <w:pPr>
      <w:spacing w:line="240" w:lineRule="exact"/>
      <w:ind w:firstLine="200" w:firstLineChars="200"/>
    </w:pPr>
    <w:rPr>
      <w:sz w:val="28"/>
      <w:szCs w:val="28"/>
    </w:rPr>
  </w:style>
  <w:style w:type="paragraph" w:customStyle="1" w:styleId="3253">
    <w:name w:val="样式 正文缩进 + 宋体 黑色 首行缩进:  2 字符13"/>
    <w:basedOn w:val="22"/>
    <w:qFormat/>
    <w:uiPriority w:val="0"/>
    <w:pPr>
      <w:spacing w:line="360" w:lineRule="auto"/>
      <w:ind w:firstLine="480"/>
      <w:jc w:val="left"/>
    </w:pPr>
    <w:rPr>
      <w:rFonts w:ascii="宋体" w:hAnsi="宋体" w:cs="宋体"/>
      <w:color w:val="FF00FF"/>
      <w:sz w:val="24"/>
      <w:szCs w:val="20"/>
    </w:rPr>
  </w:style>
  <w:style w:type="paragraph" w:customStyle="1" w:styleId="325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3255">
    <w:name w:val="表题16"/>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256">
    <w:name w:val="Char4 Char Char Char Char Char Char Char Char Char Char Char Char Char Char Char Char Char1 Char Char Char Char Char Char1"/>
    <w:basedOn w:val="1"/>
    <w:qFormat/>
    <w:uiPriority w:val="0"/>
    <w:pPr>
      <w:spacing w:line="240" w:lineRule="exact"/>
      <w:ind w:firstLine="200" w:firstLineChars="200"/>
    </w:pPr>
    <w:rPr>
      <w:sz w:val="28"/>
      <w:szCs w:val="28"/>
    </w:rPr>
  </w:style>
  <w:style w:type="paragraph" w:customStyle="1" w:styleId="3257">
    <w:name w:val="样式 正文缩进文本条款表格标题正文（首行缩进两字） Char Char Char Char Char Char Char...2"/>
    <w:basedOn w:val="22"/>
    <w:qFormat/>
    <w:uiPriority w:val="0"/>
    <w:pPr>
      <w:snapToGrid w:val="0"/>
      <w:spacing w:line="520" w:lineRule="atLeast"/>
      <w:ind w:firstLine="200"/>
    </w:pPr>
    <w:rPr>
      <w:rFonts w:cs="宋体"/>
      <w:color w:val="000000"/>
      <w:sz w:val="28"/>
      <w:szCs w:val="20"/>
    </w:rPr>
  </w:style>
  <w:style w:type="paragraph" w:customStyle="1" w:styleId="3258">
    <w:name w:val="样式 标题 3小标题小节标题H3h33rd level第二层条标题4标题 3 Char标题 3 Char Ch... Char Char Char"/>
    <w:basedOn w:val="6"/>
    <w:qFormat/>
    <w:uiPriority w:val="0"/>
    <w:pPr>
      <w:tabs>
        <w:tab w:val="left" w:pos="0"/>
        <w:tab w:val="left" w:pos="993"/>
      </w:tabs>
      <w:adjustRightInd w:val="0"/>
      <w:spacing w:before="120" w:after="120" w:line="240" w:lineRule="auto"/>
      <w:jc w:val="left"/>
      <w:textAlignment w:val="baseline"/>
    </w:pPr>
    <w:rPr>
      <w:rFonts w:ascii="Arial" w:hAnsi="Arial"/>
      <w:kern w:val="32"/>
    </w:rPr>
  </w:style>
  <w:style w:type="paragraph" w:customStyle="1" w:styleId="3259">
    <w:name w:val="Char Char Char Char Char Char Char9"/>
    <w:basedOn w:val="1"/>
    <w:qFormat/>
    <w:uiPriority w:val="0"/>
  </w:style>
  <w:style w:type="paragraph" w:customStyle="1" w:styleId="3260">
    <w:name w:val="样式 标题 3小标题小节标题标题3H3h33rd level第二层条标题4标题 3 Char标题 3 Cha..."/>
    <w:basedOn w:val="6"/>
    <w:qFormat/>
    <w:uiPriority w:val="0"/>
    <w:pPr>
      <w:tabs>
        <w:tab w:val="left" w:pos="0"/>
        <w:tab w:val="left" w:pos="233"/>
        <w:tab w:val="left" w:pos="709"/>
        <w:tab w:val="left" w:pos="993"/>
        <w:tab w:val="left" w:pos="1364"/>
      </w:tabs>
      <w:adjustRightInd w:val="0"/>
      <w:spacing w:before="0" w:after="0" w:line="500" w:lineRule="exact"/>
      <w:ind w:left="1135"/>
      <w:textAlignment w:val="baseline"/>
    </w:pPr>
    <w:rPr>
      <w:rFonts w:cs="宋体"/>
      <w:color w:val="000000"/>
      <w:kern w:val="32"/>
      <w:sz w:val="28"/>
      <w:szCs w:val="28"/>
    </w:rPr>
  </w:style>
  <w:style w:type="paragraph" w:customStyle="1" w:styleId="3261">
    <w:name w:val="标题43113"/>
    <w:basedOn w:val="1"/>
    <w:qFormat/>
    <w:uiPriority w:val="0"/>
    <w:pPr>
      <w:adjustRightInd w:val="0"/>
      <w:snapToGrid w:val="0"/>
      <w:spacing w:line="480" w:lineRule="exact"/>
      <w:jc w:val="center"/>
    </w:pPr>
    <w:rPr>
      <w:rFonts w:hAnsi="宋体" w:cs="宋体"/>
    </w:rPr>
  </w:style>
  <w:style w:type="paragraph" w:customStyle="1" w:styleId="3262">
    <w:name w:val="黑体三号21"/>
    <w:basedOn w:val="239"/>
    <w:qFormat/>
    <w:uiPriority w:val="0"/>
    <w:pPr>
      <w:jc w:val="center"/>
    </w:pPr>
    <w:rPr>
      <w:rFonts w:ascii="黑体" w:hAnsi="宋体" w:eastAsia="黑体"/>
      <w:b/>
      <w:bCs/>
      <w:sz w:val="32"/>
      <w:szCs w:val="20"/>
    </w:rPr>
  </w:style>
  <w:style w:type="paragraph" w:customStyle="1" w:styleId="3263">
    <w:name w:val="样式 标题 2 + (中文) 宋体"/>
    <w:basedOn w:val="5"/>
    <w:qFormat/>
    <w:uiPriority w:val="0"/>
    <w:pPr>
      <w:keepNext w:val="0"/>
      <w:keepLines w:val="0"/>
      <w:numPr>
        <w:ilvl w:val="0"/>
        <w:numId w:val="0"/>
      </w:numPr>
      <w:tabs>
        <w:tab w:val="left" w:pos="233"/>
        <w:tab w:val="left" w:pos="576"/>
        <w:tab w:val="clear" w:pos="0"/>
        <w:tab w:val="clear" w:pos="426"/>
      </w:tabs>
      <w:adjustRightInd w:val="0"/>
      <w:snapToGrid w:val="0"/>
      <w:spacing w:before="260" w:after="260"/>
      <w:ind w:left="567" w:hanging="567"/>
    </w:pPr>
    <w:rPr>
      <w:rFonts w:eastAsia="宋体"/>
      <w:b w:val="0"/>
      <w:bCs/>
      <w:color w:val="auto"/>
      <w:spacing w:val="0"/>
      <w:kern w:val="2"/>
      <w:sz w:val="28"/>
      <w:szCs w:val="28"/>
    </w:rPr>
  </w:style>
  <w:style w:type="paragraph" w:customStyle="1" w:styleId="3264">
    <w:name w:val="Char813"/>
    <w:basedOn w:val="1"/>
    <w:qFormat/>
    <w:uiPriority w:val="0"/>
    <w:pPr>
      <w:ind w:left="-48"/>
    </w:pPr>
  </w:style>
  <w:style w:type="paragraph" w:customStyle="1" w:styleId="3265">
    <w:name w:val="正文格式＝411"/>
    <w:basedOn w:val="239"/>
    <w:next w:val="239"/>
    <w:qFormat/>
    <w:uiPriority w:val="0"/>
    <w:rPr>
      <w:rFonts w:hAnsi="宋体"/>
    </w:rPr>
  </w:style>
  <w:style w:type="paragraph" w:customStyle="1" w:styleId="3266">
    <w:name w:val="Char Char Char1 Char Char Char Char Char Char"/>
    <w:basedOn w:val="1"/>
    <w:qFormat/>
    <w:uiPriority w:val="0"/>
    <w:rPr>
      <w:rFonts w:ascii="黑体" w:hAnsi="黑体" w:eastAsia="黑体"/>
      <w:b/>
      <w:spacing w:val="10"/>
      <w:sz w:val="28"/>
    </w:rPr>
  </w:style>
  <w:style w:type="paragraph" w:customStyle="1" w:styleId="3267">
    <w:name w:val="首行缩进:  0.99 厘米 + 首行缩进:  2 字符12"/>
    <w:basedOn w:val="1"/>
    <w:qFormat/>
    <w:uiPriority w:val="0"/>
    <w:pPr>
      <w:widowControl/>
      <w:topLinePunct/>
      <w:spacing w:line="480" w:lineRule="exact"/>
      <w:ind w:firstLine="420" w:firstLineChars="200"/>
      <w:jc w:val="center"/>
    </w:pPr>
    <w:rPr>
      <w:rFonts w:cs="宋体"/>
      <w:snapToGrid w:val="0"/>
      <w:color w:val="FF0000"/>
      <w:szCs w:val="21"/>
    </w:rPr>
  </w:style>
  <w:style w:type="paragraph" w:customStyle="1" w:styleId="3268">
    <w:name w:val="Char416"/>
    <w:basedOn w:val="1"/>
    <w:qFormat/>
    <w:uiPriority w:val="0"/>
    <w:pPr>
      <w:ind w:left="-48"/>
    </w:pPr>
  </w:style>
  <w:style w:type="paragraph" w:customStyle="1" w:styleId="3269">
    <w:name w:val="表中文字211"/>
    <w:basedOn w:val="1"/>
    <w:qFormat/>
    <w:uiPriority w:val="0"/>
    <w:pPr>
      <w:widowControl/>
      <w:adjustRightInd w:val="0"/>
      <w:spacing w:line="240" w:lineRule="atLeast"/>
      <w:ind w:right="-42" w:rightChars="-20"/>
      <w:jc w:val="center"/>
      <w:textAlignment w:val="baseline"/>
    </w:pPr>
    <w:rPr>
      <w:szCs w:val="21"/>
    </w:rPr>
  </w:style>
  <w:style w:type="paragraph" w:customStyle="1" w:styleId="3270">
    <w:name w:val="样式 标题 3 + (西文)粗体"/>
    <w:basedOn w:val="6"/>
    <w:qFormat/>
    <w:uiPriority w:val="0"/>
    <w:pPr>
      <w:tabs>
        <w:tab w:val="left" w:pos="233"/>
      </w:tabs>
      <w:spacing w:line="415" w:lineRule="auto"/>
      <w:ind w:left="233"/>
    </w:pPr>
    <w:rPr>
      <w:rFonts w:ascii="Arial" w:hAnsi="Arial" w:eastAsia="仿宋_GB2312" w:cs="Angsana New"/>
      <w:sz w:val="24"/>
      <w:lang w:bidi="th-TH"/>
    </w:rPr>
  </w:style>
  <w:style w:type="paragraph" w:customStyle="1" w:styleId="3271">
    <w:name w:val="Char Char2 Char Char Char Char9"/>
    <w:basedOn w:val="1"/>
    <w:qFormat/>
    <w:uiPriority w:val="0"/>
  </w:style>
  <w:style w:type="paragraph" w:customStyle="1" w:styleId="3272">
    <w:name w:val="表内5912"/>
    <w:basedOn w:val="1"/>
    <w:qFormat/>
    <w:uiPriority w:val="0"/>
    <w:pPr>
      <w:adjustRightInd w:val="0"/>
      <w:snapToGrid w:val="0"/>
      <w:spacing w:line="300" w:lineRule="auto"/>
      <w:jc w:val="center"/>
    </w:pPr>
    <w:rPr>
      <w:snapToGrid w:val="0"/>
      <w:szCs w:val="21"/>
    </w:rPr>
  </w:style>
  <w:style w:type="paragraph" w:customStyle="1" w:styleId="3273">
    <w:name w:val="Char Char Char Char Char Char Char30"/>
    <w:basedOn w:val="1"/>
    <w:qFormat/>
    <w:uiPriority w:val="0"/>
  </w:style>
  <w:style w:type="paragraph" w:customStyle="1" w:styleId="3274">
    <w:name w:val="5文章(治)"/>
    <w:basedOn w:val="1"/>
    <w:qFormat/>
    <w:uiPriority w:val="0"/>
    <w:pPr>
      <w:spacing w:line="500" w:lineRule="exact"/>
    </w:pPr>
    <w:rPr>
      <w:rFonts w:hint="eastAsia" w:ascii="仿宋_GB2312" w:hAnsi="宋体" w:eastAsia="仿宋_GB2312"/>
      <w:sz w:val="28"/>
      <w:szCs w:val="28"/>
    </w:rPr>
  </w:style>
  <w:style w:type="paragraph" w:customStyle="1" w:styleId="3275">
    <w:name w:val="表内文字边3"/>
    <w:basedOn w:val="1"/>
    <w:qFormat/>
    <w:uiPriority w:val="0"/>
    <w:pPr>
      <w:widowControl/>
      <w:adjustRightInd w:val="0"/>
      <w:snapToGrid w:val="0"/>
      <w:spacing w:line="240" w:lineRule="atLeast"/>
      <w:ind w:left="-21" w:leftChars="-10" w:right="-42" w:rightChars="-20"/>
    </w:pPr>
    <w:rPr>
      <w:szCs w:val="21"/>
    </w:rPr>
  </w:style>
  <w:style w:type="paragraph" w:customStyle="1" w:styleId="3276">
    <w:name w:val="Char4311"/>
    <w:basedOn w:val="1"/>
    <w:qFormat/>
    <w:uiPriority w:val="0"/>
    <w:pPr>
      <w:ind w:left="-48"/>
    </w:pPr>
  </w:style>
  <w:style w:type="paragraph" w:customStyle="1" w:styleId="3277">
    <w:name w:val="Char325"/>
    <w:basedOn w:val="1"/>
    <w:qFormat/>
    <w:uiPriority w:val="0"/>
    <w:pPr>
      <w:ind w:left="-48"/>
    </w:pPr>
  </w:style>
  <w:style w:type="paragraph" w:customStyle="1" w:styleId="3278">
    <w:name w:val="默认段落字体 Para Char Char Char Char3"/>
    <w:basedOn w:val="1"/>
    <w:qFormat/>
    <w:uiPriority w:val="0"/>
  </w:style>
  <w:style w:type="paragraph" w:customStyle="1" w:styleId="3279">
    <w:name w:val="Char4211"/>
    <w:basedOn w:val="1"/>
    <w:qFormat/>
    <w:uiPriority w:val="0"/>
    <w:pPr>
      <w:ind w:left="-48"/>
    </w:pPr>
  </w:style>
  <w:style w:type="paragraph" w:customStyle="1" w:styleId="3280">
    <w:name w:val="表格内字体25"/>
    <w:basedOn w:val="239"/>
    <w:next w:val="239"/>
    <w:qFormat/>
    <w:uiPriority w:val="0"/>
    <w:pPr>
      <w:spacing w:line="240" w:lineRule="auto"/>
      <w:ind w:firstLine="0"/>
      <w:jc w:val="center"/>
    </w:pPr>
    <w:rPr>
      <w:rFonts w:hAnsi="宋体"/>
      <w:sz w:val="21"/>
    </w:rPr>
  </w:style>
  <w:style w:type="paragraph" w:customStyle="1" w:styleId="3281">
    <w:name w:val="Char226"/>
    <w:basedOn w:val="1"/>
    <w:qFormat/>
    <w:uiPriority w:val="0"/>
    <w:pPr>
      <w:ind w:left="-48"/>
    </w:pPr>
  </w:style>
  <w:style w:type="paragraph" w:customStyle="1" w:styleId="3282">
    <w:name w:val="Char128"/>
    <w:basedOn w:val="1"/>
    <w:qFormat/>
    <w:uiPriority w:val="0"/>
    <w:pPr>
      <w:ind w:left="-48"/>
    </w:pPr>
  </w:style>
  <w:style w:type="paragraph" w:customStyle="1" w:styleId="3283">
    <w:name w:val="表格内字体22"/>
    <w:basedOn w:val="239"/>
    <w:next w:val="239"/>
    <w:qFormat/>
    <w:uiPriority w:val="0"/>
    <w:pPr>
      <w:spacing w:line="240" w:lineRule="auto"/>
      <w:ind w:firstLine="0"/>
      <w:jc w:val="center"/>
    </w:pPr>
    <w:rPr>
      <w:rFonts w:hAnsi="宋体"/>
      <w:sz w:val="21"/>
    </w:rPr>
  </w:style>
  <w:style w:type="paragraph" w:customStyle="1" w:styleId="3284">
    <w:name w:val="燕山正文53"/>
    <w:basedOn w:val="1"/>
    <w:qFormat/>
    <w:uiPriority w:val="0"/>
    <w:pPr>
      <w:tabs>
        <w:tab w:val="left" w:pos="4680"/>
      </w:tabs>
      <w:adjustRightInd w:val="0"/>
      <w:snapToGrid w:val="0"/>
      <w:spacing w:line="480" w:lineRule="exact"/>
    </w:pPr>
    <w:rPr>
      <w:rFonts w:cs="宋体"/>
    </w:rPr>
  </w:style>
  <w:style w:type="paragraph" w:customStyle="1" w:styleId="3285">
    <w:name w:val="Char47"/>
    <w:basedOn w:val="1"/>
    <w:qFormat/>
    <w:uiPriority w:val="0"/>
    <w:pPr>
      <w:ind w:left="-48"/>
    </w:pPr>
  </w:style>
  <w:style w:type="paragraph" w:customStyle="1" w:styleId="3286">
    <w:name w:val="福建正文缩进1"/>
    <w:basedOn w:val="22"/>
    <w:qFormat/>
    <w:uiPriority w:val="0"/>
    <w:pPr>
      <w:adjustRightInd w:val="0"/>
      <w:snapToGrid w:val="0"/>
      <w:spacing w:line="360" w:lineRule="auto"/>
      <w:ind w:firstLine="567" w:firstLineChars="0"/>
    </w:pPr>
    <w:rPr>
      <w:rFonts w:ascii="宋体"/>
      <w:kern w:val="0"/>
      <w:sz w:val="24"/>
    </w:rPr>
  </w:style>
  <w:style w:type="paragraph" w:customStyle="1" w:styleId="3287">
    <w:name w:val="Char Char2 Char Char Char Char2"/>
    <w:basedOn w:val="1"/>
    <w:qFormat/>
    <w:uiPriority w:val="0"/>
  </w:style>
  <w:style w:type="paragraph" w:customStyle="1" w:styleId="3288">
    <w:name w:val="Char Char2 Char Char Char Char1"/>
    <w:basedOn w:val="1"/>
    <w:qFormat/>
    <w:uiPriority w:val="0"/>
  </w:style>
  <w:style w:type="paragraph" w:customStyle="1" w:styleId="3289">
    <w:name w:val="图题61"/>
    <w:basedOn w:val="239"/>
    <w:next w:val="239"/>
    <w:qFormat/>
    <w:uiPriority w:val="0"/>
    <w:pPr>
      <w:ind w:firstLine="0"/>
      <w:jc w:val="center"/>
    </w:pPr>
    <w:rPr>
      <w:rFonts w:ascii="黑体" w:hAnsi="宋体" w:eastAsia="黑体"/>
      <w:b/>
      <w:bCs/>
    </w:rPr>
  </w:style>
  <w:style w:type="paragraph" w:customStyle="1" w:styleId="3290">
    <w:name w:val="样式412"/>
    <w:basedOn w:val="35"/>
    <w:qFormat/>
    <w:uiPriority w:val="0"/>
    <w:pPr>
      <w:tabs>
        <w:tab w:val="left" w:pos="1820"/>
      </w:tabs>
      <w:snapToGrid w:val="0"/>
      <w:spacing w:after="0" w:line="240" w:lineRule="atLeast"/>
      <w:jc w:val="center"/>
    </w:pPr>
    <w:rPr>
      <w:rFonts w:eastAsia="幼圆"/>
      <w:kern w:val="0"/>
      <w:szCs w:val="20"/>
    </w:rPr>
  </w:style>
  <w:style w:type="paragraph" w:customStyle="1" w:styleId="3291">
    <w:name w:val="图题211"/>
    <w:basedOn w:val="239"/>
    <w:next w:val="239"/>
    <w:qFormat/>
    <w:uiPriority w:val="0"/>
    <w:pPr>
      <w:ind w:firstLine="0"/>
      <w:jc w:val="center"/>
    </w:pPr>
    <w:rPr>
      <w:rFonts w:ascii="黑体" w:hAnsi="宋体" w:eastAsia="黑体"/>
      <w:b/>
      <w:bCs/>
    </w:rPr>
  </w:style>
  <w:style w:type="paragraph" w:customStyle="1" w:styleId="3292">
    <w:name w:val="黑体三号52"/>
    <w:basedOn w:val="239"/>
    <w:qFormat/>
    <w:uiPriority w:val="0"/>
    <w:pPr>
      <w:jc w:val="center"/>
    </w:pPr>
    <w:rPr>
      <w:rFonts w:ascii="黑体" w:hAnsi="宋体" w:eastAsia="黑体"/>
      <w:b/>
      <w:bCs/>
      <w:sz w:val="32"/>
      <w:szCs w:val="20"/>
    </w:rPr>
  </w:style>
  <w:style w:type="paragraph" w:customStyle="1" w:styleId="3293">
    <w:name w:val="图题62"/>
    <w:basedOn w:val="239"/>
    <w:next w:val="239"/>
    <w:qFormat/>
    <w:uiPriority w:val="0"/>
    <w:pPr>
      <w:ind w:firstLine="0"/>
      <w:jc w:val="center"/>
    </w:pPr>
    <w:rPr>
      <w:rFonts w:ascii="黑体" w:hAnsi="宋体" w:eastAsia="黑体"/>
      <w:b/>
      <w:bCs/>
    </w:rPr>
  </w:style>
  <w:style w:type="paragraph" w:customStyle="1" w:styleId="3294">
    <w:name w:val="book1_1_1_1"/>
    <w:basedOn w:val="7"/>
    <w:qFormat/>
    <w:uiPriority w:val="0"/>
    <w:pPr>
      <w:keepNext w:val="0"/>
      <w:tabs>
        <w:tab w:val="left" w:pos="360"/>
      </w:tabs>
      <w:spacing w:beforeLines="50" w:afterLines="50" w:line="400" w:lineRule="exact"/>
      <w:ind w:left="536" w:hanging="360" w:hangingChars="200"/>
    </w:pPr>
    <w:rPr>
      <w:rFonts w:ascii="宋体" w:hAnsi="宋体" w:eastAsia="宋体" w:cs="Arial"/>
      <w:sz w:val="24"/>
    </w:rPr>
  </w:style>
  <w:style w:type="paragraph" w:customStyle="1" w:styleId="3295">
    <w:name w:val="表内宋513"/>
    <w:basedOn w:val="2220"/>
    <w:qFormat/>
    <w:uiPriority w:val="0"/>
    <w:pPr>
      <w:widowControl/>
      <w:autoSpaceDE w:val="0"/>
      <w:autoSpaceDN w:val="0"/>
      <w:jc w:val="left"/>
      <w:textAlignment w:val="auto"/>
    </w:pPr>
    <w:rPr>
      <w:color w:val="auto"/>
      <w:w w:val="90"/>
    </w:rPr>
  </w:style>
  <w:style w:type="paragraph" w:customStyle="1" w:styleId="3296">
    <w:name w:val="CDM B/TEXT"/>
    <w:basedOn w:val="1"/>
    <w:qFormat/>
    <w:uiPriority w:val="0"/>
    <w:pPr>
      <w:widowControl/>
      <w:spacing w:after="240" w:line="280" w:lineRule="exact"/>
      <w:jc w:val="left"/>
    </w:pPr>
    <w:rPr>
      <w:rFonts w:ascii="Book Antiqua" w:hAnsi="Book Antiqua" w:eastAsia="Times New Roman"/>
      <w:sz w:val="22"/>
      <w:lang w:eastAsia="en-US"/>
    </w:rPr>
  </w:style>
  <w:style w:type="paragraph" w:customStyle="1" w:styleId="3297">
    <w:name w:val="样式 表格标题 + 段后: 0.5 行2"/>
    <w:basedOn w:val="1"/>
    <w:qFormat/>
    <w:uiPriority w:val="0"/>
    <w:pPr>
      <w:pBdr>
        <w:top w:val="single" w:color="auto" w:sz="4" w:space="1"/>
      </w:pBdr>
      <w:adjustRightInd w:val="0"/>
      <w:spacing w:line="324" w:lineRule="auto"/>
      <w:jc w:val="center"/>
      <w:textAlignment w:val="baseline"/>
    </w:pPr>
    <w:rPr>
      <w:rFonts w:eastAsia="黑体" w:cs="宋体"/>
      <w:b/>
      <w:bCs/>
    </w:rPr>
  </w:style>
  <w:style w:type="paragraph" w:customStyle="1" w:styleId="3298">
    <w:name w:val="附件24"/>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299">
    <w:name w:val="Char Char Char Char1 Char Char Char11"/>
    <w:basedOn w:val="1"/>
    <w:qFormat/>
    <w:uiPriority w:val="0"/>
    <w:pPr>
      <w:widowControl/>
      <w:spacing w:after="160" w:line="240" w:lineRule="exact"/>
      <w:jc w:val="left"/>
    </w:pPr>
    <w:rPr>
      <w:rFonts w:ascii="Verdana" w:hAnsi="Verdana"/>
      <w:sz w:val="20"/>
      <w:lang w:eastAsia="en-US"/>
    </w:rPr>
  </w:style>
  <w:style w:type="paragraph" w:customStyle="1" w:styleId="3300">
    <w:name w:val="正文格式＝9"/>
    <w:basedOn w:val="239"/>
    <w:next w:val="239"/>
    <w:qFormat/>
    <w:uiPriority w:val="0"/>
    <w:rPr>
      <w:rFonts w:hAnsi="宋体"/>
    </w:rPr>
  </w:style>
  <w:style w:type="paragraph" w:customStyle="1" w:styleId="3301">
    <w:name w:val="附件5"/>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302">
    <w:name w:val="燕山正文117"/>
    <w:basedOn w:val="1"/>
    <w:qFormat/>
    <w:uiPriority w:val="0"/>
    <w:pPr>
      <w:tabs>
        <w:tab w:val="left" w:pos="4680"/>
      </w:tabs>
      <w:adjustRightInd w:val="0"/>
      <w:snapToGrid w:val="0"/>
      <w:spacing w:line="480" w:lineRule="exact"/>
    </w:pPr>
    <w:rPr>
      <w:rFonts w:hAnsi="宋体" w:cs="宋体"/>
      <w:bCs/>
      <w:color w:val="000000"/>
    </w:rPr>
  </w:style>
  <w:style w:type="paragraph" w:customStyle="1" w:styleId="3303">
    <w:name w:val="Char76"/>
    <w:basedOn w:val="1"/>
    <w:qFormat/>
    <w:uiPriority w:val="0"/>
    <w:pPr>
      <w:ind w:left="-48"/>
    </w:pPr>
  </w:style>
  <w:style w:type="paragraph" w:customStyle="1" w:styleId="3304">
    <w:name w:val="图标标题"/>
    <w:basedOn w:val="25"/>
    <w:qFormat/>
    <w:uiPriority w:val="0"/>
    <w:pPr>
      <w:pBdr>
        <w:top w:val="single" w:color="auto" w:sz="4" w:space="1"/>
      </w:pBdr>
      <w:tabs>
        <w:tab w:val="clear" w:pos="1140"/>
      </w:tabs>
      <w:adjustRightInd w:val="0"/>
      <w:spacing w:line="360" w:lineRule="auto"/>
      <w:ind w:left="0" w:firstLine="0"/>
      <w:jc w:val="center"/>
      <w:textAlignment w:val="baseline"/>
    </w:pPr>
    <w:rPr>
      <w:b/>
    </w:rPr>
  </w:style>
  <w:style w:type="paragraph" w:customStyle="1" w:styleId="3305">
    <w:name w:val="表题94"/>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3306">
    <w:name w:val="Char71"/>
    <w:basedOn w:val="1"/>
    <w:qFormat/>
    <w:uiPriority w:val="0"/>
    <w:pPr>
      <w:ind w:left="-48"/>
    </w:pPr>
  </w:style>
  <w:style w:type="paragraph" w:customStyle="1" w:styleId="3307">
    <w:name w:val="Char6 Char Char Char"/>
    <w:basedOn w:val="1"/>
    <w:qFormat/>
    <w:uiPriority w:val="0"/>
    <w:rPr>
      <w:szCs w:val="21"/>
    </w:rPr>
  </w:style>
  <w:style w:type="paragraph" w:customStyle="1" w:styleId="3308">
    <w:name w:val="表格内字体64"/>
    <w:basedOn w:val="239"/>
    <w:next w:val="239"/>
    <w:qFormat/>
    <w:uiPriority w:val="0"/>
    <w:pPr>
      <w:spacing w:line="240" w:lineRule="auto"/>
      <w:ind w:firstLine="0"/>
      <w:jc w:val="center"/>
    </w:pPr>
    <w:rPr>
      <w:rFonts w:hAnsi="宋体"/>
      <w:sz w:val="21"/>
    </w:rPr>
  </w:style>
  <w:style w:type="paragraph" w:customStyle="1" w:styleId="3309">
    <w:name w:val="样式 标题 4无效格式无效格式1河石管道4H4H41小小节河石管道41H42H411小小节1河石管道42...12"/>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310">
    <w:name w:val="横线"/>
    <w:basedOn w:val="22"/>
    <w:qFormat/>
    <w:uiPriority w:val="0"/>
    <w:pPr>
      <w:tabs>
        <w:tab w:val="left" w:pos="504"/>
      </w:tabs>
      <w:adjustRightInd w:val="0"/>
      <w:snapToGrid w:val="0"/>
      <w:spacing w:line="360" w:lineRule="auto"/>
      <w:ind w:left="1276" w:hanging="709" w:firstLineChars="0"/>
      <w:jc w:val="left"/>
      <w:textAlignment w:val="baseline"/>
    </w:pPr>
    <w:rPr>
      <w:b/>
      <w:snapToGrid w:val="0"/>
      <w:kern w:val="0"/>
      <w:sz w:val="24"/>
      <w:szCs w:val="20"/>
    </w:rPr>
  </w:style>
  <w:style w:type="paragraph" w:customStyle="1" w:styleId="3311">
    <w:name w:val="Char171"/>
    <w:basedOn w:val="1"/>
    <w:qFormat/>
    <w:uiPriority w:val="0"/>
    <w:pPr>
      <w:ind w:left="-48"/>
    </w:pPr>
  </w:style>
  <w:style w:type="paragraph" w:customStyle="1" w:styleId="3312">
    <w:name w:val="Char81"/>
    <w:basedOn w:val="1"/>
    <w:qFormat/>
    <w:uiPriority w:val="0"/>
    <w:pPr>
      <w:ind w:left="-48"/>
    </w:pPr>
  </w:style>
  <w:style w:type="paragraph" w:customStyle="1" w:styleId="3313">
    <w:name w:val="Char427"/>
    <w:basedOn w:val="1"/>
    <w:qFormat/>
    <w:uiPriority w:val="0"/>
    <w:pPr>
      <w:ind w:left="-48"/>
    </w:pPr>
  </w:style>
  <w:style w:type="paragraph" w:customStyle="1" w:styleId="3314">
    <w:name w:val="Char Char2 Char Char Char Char23"/>
    <w:basedOn w:val="1"/>
    <w:qFormat/>
    <w:uiPriority w:val="0"/>
  </w:style>
  <w:style w:type="paragraph" w:customStyle="1" w:styleId="3315">
    <w:name w:val="xl243"/>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3316">
    <w:name w:val="Char Char2 Char Char Char Char112"/>
    <w:basedOn w:val="1"/>
    <w:qFormat/>
    <w:uiPriority w:val="0"/>
  </w:style>
  <w:style w:type="paragraph" w:customStyle="1" w:styleId="3317">
    <w:name w:val="燕山正文313"/>
    <w:basedOn w:val="1"/>
    <w:qFormat/>
    <w:uiPriority w:val="0"/>
    <w:pPr>
      <w:tabs>
        <w:tab w:val="left" w:pos="4680"/>
      </w:tabs>
      <w:adjustRightInd w:val="0"/>
      <w:snapToGrid w:val="0"/>
      <w:spacing w:line="480" w:lineRule="exact"/>
    </w:pPr>
    <w:rPr>
      <w:rFonts w:cs="宋体"/>
    </w:rPr>
  </w:style>
  <w:style w:type="paragraph" w:customStyle="1" w:styleId="3318">
    <w:name w:val="Char Char Char Char Char Char Char17"/>
    <w:basedOn w:val="1"/>
    <w:qFormat/>
    <w:uiPriority w:val="0"/>
  </w:style>
  <w:style w:type="paragraph" w:customStyle="1" w:styleId="3319">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3320">
    <w:name w:val="主题线"/>
    <w:basedOn w:val="1"/>
    <w:next w:val="35"/>
    <w:qFormat/>
    <w:uiPriority w:val="0"/>
    <w:pPr>
      <w:widowControl/>
      <w:overflowPunct w:val="0"/>
      <w:autoSpaceDE w:val="0"/>
      <w:autoSpaceDN w:val="0"/>
      <w:adjustRightInd w:val="0"/>
      <w:jc w:val="left"/>
      <w:textAlignment w:val="baseline"/>
    </w:pPr>
    <w:rPr>
      <w:i/>
      <w:sz w:val="20"/>
      <w:u w:val="single"/>
    </w:rPr>
  </w:style>
  <w:style w:type="paragraph" w:customStyle="1" w:styleId="3321">
    <w:name w:val="燕山正文11311"/>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3322">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323">
    <w:name w:val="样式212"/>
    <w:basedOn w:val="1"/>
    <w:qFormat/>
    <w:uiPriority w:val="0"/>
    <w:pPr>
      <w:adjustRightInd w:val="0"/>
      <w:spacing w:line="360" w:lineRule="auto"/>
      <w:jc w:val="center"/>
      <w:textAlignment w:val="baseline"/>
      <w:outlineLvl w:val="0"/>
    </w:pPr>
  </w:style>
  <w:style w:type="paragraph" w:customStyle="1" w:styleId="3324">
    <w:name w:val="标题41111"/>
    <w:basedOn w:val="1"/>
    <w:qFormat/>
    <w:uiPriority w:val="0"/>
    <w:pPr>
      <w:adjustRightInd w:val="0"/>
      <w:snapToGrid w:val="0"/>
      <w:spacing w:line="300" w:lineRule="auto"/>
      <w:jc w:val="left"/>
    </w:pPr>
    <w:rPr>
      <w:rFonts w:ascii="黑体" w:hAnsi="宋体" w:eastAsia="黑体" w:cs="宋体"/>
      <w:bCs/>
    </w:rPr>
  </w:style>
  <w:style w:type="paragraph" w:customStyle="1" w:styleId="3325">
    <w:name w:val="样式 标题 2节标题 1.11.1标题2b200000000000000000000000000000000000000..."/>
    <w:basedOn w:val="5"/>
    <w:qFormat/>
    <w:uiPriority w:val="0"/>
    <w:pPr>
      <w:numPr>
        <w:ilvl w:val="0"/>
        <w:numId w:val="0"/>
      </w:numPr>
      <w:tabs>
        <w:tab w:val="left" w:pos="233"/>
        <w:tab w:val="left" w:pos="840"/>
        <w:tab w:val="clear" w:pos="0"/>
        <w:tab w:val="clear" w:pos="426"/>
      </w:tabs>
      <w:snapToGrid w:val="0"/>
      <w:spacing w:before="260" w:afterLines="30" w:line="240" w:lineRule="auto"/>
      <w:ind w:left="840" w:hanging="420"/>
      <w:jc w:val="left"/>
    </w:pPr>
    <w:rPr>
      <w:rFonts w:eastAsia="宋体" w:cs="宋体"/>
      <w:bCs/>
      <w:color w:val="auto"/>
      <w:spacing w:val="0"/>
      <w:kern w:val="2"/>
      <w:sz w:val="28"/>
      <w:szCs w:val="20"/>
    </w:rPr>
  </w:style>
  <w:style w:type="paragraph" w:customStyle="1" w:styleId="3326">
    <w:name w:val="Char58"/>
    <w:basedOn w:val="1"/>
    <w:qFormat/>
    <w:uiPriority w:val="0"/>
    <w:pPr>
      <w:ind w:left="-48"/>
    </w:pPr>
  </w:style>
  <w:style w:type="paragraph" w:customStyle="1" w:styleId="3327">
    <w:name w:val="Char Char Char Char Char Char Char141"/>
    <w:basedOn w:val="1"/>
    <w:qFormat/>
    <w:uiPriority w:val="0"/>
  </w:style>
  <w:style w:type="paragraph" w:customStyle="1" w:styleId="3328">
    <w:name w:val="Char Char Char Char Char Char Char115"/>
    <w:basedOn w:val="1"/>
    <w:qFormat/>
    <w:uiPriority w:val="0"/>
  </w:style>
  <w:style w:type="paragraph" w:customStyle="1" w:styleId="3329">
    <w:name w:val="表内56"/>
    <w:basedOn w:val="1"/>
    <w:qFormat/>
    <w:uiPriority w:val="0"/>
    <w:pPr>
      <w:adjustRightInd w:val="0"/>
      <w:snapToGrid w:val="0"/>
      <w:spacing w:line="300" w:lineRule="auto"/>
      <w:jc w:val="left"/>
    </w:pPr>
    <w:rPr>
      <w:sz w:val="18"/>
    </w:rPr>
  </w:style>
  <w:style w:type="paragraph" w:customStyle="1" w:styleId="3330">
    <w:name w:val="msolistparagraph"/>
    <w:basedOn w:val="1"/>
    <w:qFormat/>
    <w:uiPriority w:val="0"/>
    <w:pPr>
      <w:ind w:firstLine="420" w:firstLineChars="200"/>
    </w:pPr>
    <w:rPr>
      <w:rFonts w:ascii="Calibri" w:hAnsi="Calibri"/>
    </w:rPr>
  </w:style>
  <w:style w:type="paragraph" w:customStyle="1" w:styleId="3331">
    <w:name w:val="正文修改21"/>
    <w:basedOn w:val="1264"/>
    <w:qFormat/>
    <w:uiPriority w:val="0"/>
    <w:rPr>
      <w:rFonts w:hAnsi="宋体"/>
      <w:color w:val="000000"/>
    </w:rPr>
  </w:style>
  <w:style w:type="paragraph" w:customStyle="1" w:styleId="3332">
    <w:name w:val="表格内字体122"/>
    <w:basedOn w:val="239"/>
    <w:next w:val="239"/>
    <w:qFormat/>
    <w:uiPriority w:val="0"/>
    <w:pPr>
      <w:spacing w:line="240" w:lineRule="auto"/>
      <w:ind w:firstLine="0"/>
      <w:jc w:val="center"/>
    </w:pPr>
    <w:rPr>
      <w:rFonts w:hAnsi="宋体"/>
      <w:sz w:val="21"/>
    </w:rPr>
  </w:style>
  <w:style w:type="paragraph" w:customStyle="1" w:styleId="3333">
    <w:name w:val="表题3124"/>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334">
    <w:name w:val="默认段落字体 Para Char Char Char Char21"/>
    <w:basedOn w:val="1"/>
    <w:qFormat/>
    <w:uiPriority w:val="0"/>
  </w:style>
  <w:style w:type="paragraph" w:customStyle="1" w:styleId="3335">
    <w:name w:val="表内宋53"/>
    <w:basedOn w:val="2220"/>
    <w:qFormat/>
    <w:uiPriority w:val="0"/>
    <w:pPr>
      <w:widowControl/>
      <w:autoSpaceDE w:val="0"/>
      <w:autoSpaceDN w:val="0"/>
      <w:jc w:val="left"/>
      <w:textAlignment w:val="auto"/>
    </w:pPr>
    <w:rPr>
      <w:color w:val="auto"/>
      <w:w w:val="90"/>
    </w:rPr>
  </w:style>
  <w:style w:type="paragraph" w:customStyle="1" w:styleId="3336">
    <w:name w:val="xl2411"/>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3337">
    <w:name w:val="表中文字52"/>
    <w:basedOn w:val="1"/>
    <w:qFormat/>
    <w:uiPriority w:val="0"/>
    <w:pPr>
      <w:widowControl/>
      <w:spacing w:line="240" w:lineRule="atLeast"/>
      <w:ind w:left="-24" w:leftChars="-10" w:right="-48" w:rightChars="-20"/>
      <w:jc w:val="center"/>
    </w:pPr>
    <w:rPr>
      <w:szCs w:val="21"/>
    </w:rPr>
  </w:style>
  <w:style w:type="paragraph" w:customStyle="1" w:styleId="3338">
    <w:name w:val="表内5411"/>
    <w:basedOn w:val="1"/>
    <w:qFormat/>
    <w:uiPriority w:val="0"/>
    <w:pPr>
      <w:adjustRightInd w:val="0"/>
      <w:snapToGrid w:val="0"/>
      <w:spacing w:line="300" w:lineRule="auto"/>
      <w:jc w:val="center"/>
    </w:pPr>
    <w:rPr>
      <w:rFonts w:hAnsi="宋体" w:cs="宋体"/>
    </w:rPr>
  </w:style>
  <w:style w:type="paragraph" w:customStyle="1" w:styleId="3339">
    <w:name w:val="正文缩11"/>
    <w:basedOn w:val="1"/>
    <w:qFormat/>
    <w:uiPriority w:val="0"/>
    <w:pPr>
      <w:adjustRightInd w:val="0"/>
      <w:snapToGrid w:val="0"/>
      <w:spacing w:line="480" w:lineRule="atLeast"/>
      <w:ind w:firstLine="567"/>
      <w:textAlignment w:val="baseline"/>
    </w:pPr>
    <w:rPr>
      <w:color w:val="000080"/>
      <w:spacing w:val="6"/>
      <w:sz w:val="28"/>
    </w:rPr>
  </w:style>
  <w:style w:type="paragraph" w:customStyle="1" w:styleId="3340">
    <w:name w:val="A正文12"/>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3341">
    <w:name w:val="样式 标题 2 + 段前: 0.5 行"/>
    <w:basedOn w:val="5"/>
    <w:qFormat/>
    <w:uiPriority w:val="0"/>
    <w:pPr>
      <w:keepNext w:val="0"/>
      <w:keepLines w:val="0"/>
      <w:numPr>
        <w:ilvl w:val="0"/>
        <w:numId w:val="0"/>
      </w:numPr>
      <w:tabs>
        <w:tab w:val="left" w:pos="233"/>
        <w:tab w:val="left" w:pos="540"/>
        <w:tab w:val="clear" w:pos="0"/>
        <w:tab w:val="clear" w:pos="426"/>
      </w:tabs>
      <w:snapToGrid w:val="0"/>
      <w:spacing w:before="260" w:after="260"/>
      <w:ind w:left="540" w:hanging="540"/>
    </w:pPr>
    <w:rPr>
      <w:rFonts w:eastAsia="宋体" w:cs="宋体"/>
      <w:b w:val="0"/>
      <w:color w:val="auto"/>
      <w:spacing w:val="0"/>
      <w:kern w:val="2"/>
      <w:sz w:val="24"/>
    </w:rPr>
  </w:style>
  <w:style w:type="paragraph" w:customStyle="1" w:styleId="3342">
    <w:name w:val="样式 样式 样式 样式 标题 4 + 段前: 0.5 行 段后: 0.5 行 + 段前: 0.5 行 段后: 0.5 行6 + ..."/>
    <w:basedOn w:val="3343"/>
    <w:qFormat/>
    <w:uiPriority w:val="0"/>
  </w:style>
  <w:style w:type="paragraph" w:customStyle="1" w:styleId="3343">
    <w:name w:val="样式 样式 样式 标题 4 + 段前: 0.5 行 段后: 0.5 行 + 段前: 0.5 行 段后: 0.5 行6 + 段前:..."/>
    <w:basedOn w:val="3344"/>
    <w:qFormat/>
    <w:uiPriority w:val="0"/>
  </w:style>
  <w:style w:type="paragraph" w:customStyle="1" w:styleId="3344">
    <w:name w:val="样式 样式 标题 4 + 段前: 0.5 行 段后: 0.5 行 + 段前: 0.5 行 段后: 0.5 行6"/>
    <w:basedOn w:val="2195"/>
    <w:qFormat/>
    <w:uiPriority w:val="0"/>
  </w:style>
  <w:style w:type="paragraph" w:customStyle="1" w:styleId="3345">
    <w:name w:val="Char Char Char Char Char Char Char225"/>
    <w:basedOn w:val="1"/>
    <w:qFormat/>
    <w:uiPriority w:val="0"/>
  </w:style>
  <w:style w:type="paragraph" w:customStyle="1" w:styleId="3346">
    <w:name w:val="Body Single"/>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3347">
    <w:name w:val="Char Char Char Char Char Char Char Char Char1"/>
    <w:basedOn w:val="1"/>
    <w:qFormat/>
    <w:uiPriority w:val="0"/>
    <w:rPr>
      <w:szCs w:val="21"/>
    </w:rPr>
  </w:style>
  <w:style w:type="paragraph" w:customStyle="1" w:styleId="3348">
    <w:name w:val="正文+首行缩进"/>
    <w:basedOn w:val="1"/>
    <w:qFormat/>
    <w:uiPriority w:val="0"/>
    <w:pPr>
      <w:overflowPunct w:val="0"/>
      <w:topLinePunct/>
      <w:adjustRightInd w:val="0"/>
      <w:spacing w:line="460" w:lineRule="atLeast"/>
      <w:ind w:firstLine="200" w:firstLineChars="200"/>
      <w:jc w:val="left"/>
      <w:textAlignment w:val="baseline"/>
    </w:pPr>
    <w:rPr>
      <w:sz w:val="28"/>
    </w:rPr>
  </w:style>
  <w:style w:type="paragraph" w:customStyle="1" w:styleId="3349">
    <w:name w:val="正文格式＝11"/>
    <w:basedOn w:val="239"/>
    <w:next w:val="239"/>
    <w:qFormat/>
    <w:uiPriority w:val="0"/>
    <w:rPr>
      <w:rFonts w:hAnsi="宋体"/>
    </w:rPr>
  </w:style>
  <w:style w:type="paragraph" w:customStyle="1" w:styleId="3350">
    <w:name w:val="Char Char Char Char1 Char Char Char26"/>
    <w:basedOn w:val="1"/>
    <w:qFormat/>
    <w:uiPriority w:val="0"/>
    <w:pPr>
      <w:widowControl/>
      <w:spacing w:after="160" w:line="240" w:lineRule="exact"/>
      <w:jc w:val="left"/>
    </w:pPr>
    <w:rPr>
      <w:rFonts w:ascii="Verdana" w:hAnsi="Verdana"/>
      <w:sz w:val="20"/>
      <w:lang w:eastAsia="en-US"/>
    </w:rPr>
  </w:style>
  <w:style w:type="paragraph" w:customStyle="1" w:styleId="3351">
    <w:name w:val="Char Char Char Char Char Char Char5"/>
    <w:basedOn w:val="1"/>
    <w:qFormat/>
    <w:uiPriority w:val="0"/>
  </w:style>
  <w:style w:type="paragraph" w:customStyle="1" w:styleId="3352">
    <w:name w:val="附件11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353">
    <w:name w:val="样式 标题 1 + 宋体 小三 段前: 2.5 磅 段后: 0 磅 行距: 固定值 26 磅"/>
    <w:basedOn w:val="4"/>
    <w:qFormat/>
    <w:uiPriority w:val="0"/>
    <w:pPr>
      <w:tabs>
        <w:tab w:val="left" w:pos="2040"/>
      </w:tabs>
      <w:spacing w:before="120" w:after="120" w:line="520" w:lineRule="exact"/>
      <w:ind w:left="2040" w:leftChars="800" w:hanging="360" w:hangingChars="200"/>
    </w:pPr>
    <w:rPr>
      <w:rFonts w:ascii="宋体" w:hAnsi="宋体" w:cs="宋体"/>
      <w:spacing w:val="40"/>
      <w:sz w:val="30"/>
      <w:szCs w:val="28"/>
    </w:rPr>
  </w:style>
  <w:style w:type="paragraph" w:customStyle="1" w:styleId="3354">
    <w:name w:val="Char415"/>
    <w:basedOn w:val="1"/>
    <w:qFormat/>
    <w:uiPriority w:val="0"/>
    <w:pPr>
      <w:ind w:left="-48"/>
    </w:pPr>
  </w:style>
  <w:style w:type="paragraph" w:customStyle="1" w:styleId="3355">
    <w:name w:val="样式 样式 样式 样式 样式 标题 4 + 段前: 0.5 行 段后: 0.5 行 + 段前: 0.5 行 段后: 0.5 行5..."/>
    <w:basedOn w:val="2765"/>
    <w:qFormat/>
    <w:uiPriority w:val="0"/>
    <w:pPr>
      <w:adjustRightInd/>
    </w:pPr>
  </w:style>
  <w:style w:type="paragraph" w:customStyle="1" w:styleId="3356">
    <w:name w:val="表中文字15"/>
    <w:basedOn w:val="1"/>
    <w:qFormat/>
    <w:uiPriority w:val="0"/>
    <w:pPr>
      <w:widowControl/>
      <w:spacing w:line="240" w:lineRule="atLeast"/>
      <w:ind w:left="-24" w:leftChars="-10" w:right="-48" w:rightChars="-20"/>
      <w:jc w:val="center"/>
    </w:pPr>
    <w:rPr>
      <w:szCs w:val="21"/>
    </w:rPr>
  </w:style>
  <w:style w:type="paragraph" w:customStyle="1" w:styleId="3357">
    <w:name w:val="样式 标题 3 + 段前: 0.25 行 段后: 0.25 行2"/>
    <w:basedOn w:val="6"/>
    <w:qFormat/>
    <w:uiPriority w:val="0"/>
    <w:pPr>
      <w:keepNext w:val="0"/>
      <w:suppressLineNumbers/>
      <w:tabs>
        <w:tab w:val="left" w:pos="233"/>
        <w:tab w:val="left" w:pos="720"/>
        <w:tab w:val="left" w:pos="1134"/>
      </w:tabs>
      <w:suppressAutoHyphens/>
      <w:topLinePunct/>
      <w:adjustRightInd w:val="0"/>
      <w:snapToGrid w:val="0"/>
      <w:spacing w:beforeLines="25" w:afterLines="25" w:line="500" w:lineRule="exact"/>
      <w:ind w:left="1418" w:hanging="720"/>
      <w:jc w:val="left"/>
      <w:textAlignment w:val="baseline"/>
    </w:pPr>
    <w:rPr>
      <w:b w:val="0"/>
      <w:sz w:val="28"/>
      <w:szCs w:val="20"/>
    </w:rPr>
  </w:style>
  <w:style w:type="paragraph" w:customStyle="1" w:styleId="3358">
    <w:name w:val="样式 标题 2 + (西文) Times New Roman (中文) 宋体 加粗 段后: 2 磅 行距: 单倍行距"/>
    <w:basedOn w:val="5"/>
    <w:qFormat/>
    <w:uiPriority w:val="0"/>
    <w:pPr>
      <w:keepNext w:val="0"/>
      <w:keepLines w:val="0"/>
      <w:numPr>
        <w:ilvl w:val="0"/>
        <w:numId w:val="0"/>
      </w:numPr>
      <w:tabs>
        <w:tab w:val="left" w:pos="233"/>
        <w:tab w:val="left" w:pos="840"/>
        <w:tab w:val="clear" w:pos="0"/>
        <w:tab w:val="clear" w:pos="426"/>
      </w:tabs>
      <w:spacing w:before="260" w:after="260" w:line="240" w:lineRule="auto"/>
      <w:ind w:left="840" w:hanging="420"/>
    </w:pPr>
    <w:rPr>
      <w:rFonts w:eastAsia="宋体" w:cs="宋体"/>
      <w:bCs/>
      <w:color w:val="auto"/>
      <w:spacing w:val="0"/>
      <w:kern w:val="2"/>
      <w:sz w:val="28"/>
      <w:szCs w:val="20"/>
    </w:rPr>
  </w:style>
  <w:style w:type="paragraph" w:customStyle="1" w:styleId="3359">
    <w:name w:val="样式 标题 3 + 左侧:  0 厘米 首行缩进:  0 厘米"/>
    <w:basedOn w:val="6"/>
    <w:qFormat/>
    <w:uiPriority w:val="0"/>
    <w:pPr>
      <w:tabs>
        <w:tab w:val="left" w:pos="233"/>
        <w:tab w:val="left" w:pos="709"/>
        <w:tab w:val="left" w:pos="993"/>
      </w:tabs>
      <w:adjustRightInd w:val="0"/>
      <w:spacing w:before="0" w:after="0" w:line="500" w:lineRule="exact"/>
      <w:ind w:left="709" w:hanging="709"/>
      <w:textAlignment w:val="baseline"/>
    </w:pPr>
    <w:rPr>
      <w:rFonts w:cs="宋体"/>
      <w:kern w:val="32"/>
      <w:sz w:val="28"/>
      <w:szCs w:val="28"/>
    </w:rPr>
  </w:style>
  <w:style w:type="paragraph" w:customStyle="1" w:styleId="3360">
    <w:name w:val="图表名称4"/>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361">
    <w:name w:val="Char Char Char Char1 Char Char Char110"/>
    <w:basedOn w:val="1"/>
    <w:qFormat/>
    <w:uiPriority w:val="0"/>
    <w:pPr>
      <w:widowControl/>
      <w:spacing w:after="160" w:line="240" w:lineRule="exact"/>
      <w:jc w:val="left"/>
    </w:pPr>
    <w:rPr>
      <w:rFonts w:ascii="Verdana" w:hAnsi="Verdana"/>
      <w:sz w:val="20"/>
      <w:lang w:eastAsia="en-US"/>
    </w:rPr>
  </w:style>
  <w:style w:type="paragraph" w:customStyle="1" w:styleId="3362">
    <w:name w:val="Char1 Char Char Char Char Char Char Char Char"/>
    <w:basedOn w:val="1"/>
    <w:qFormat/>
    <w:uiPriority w:val="0"/>
  </w:style>
  <w:style w:type="paragraph" w:customStyle="1" w:styleId="3363">
    <w:name w:val="樣式6"/>
    <w:basedOn w:val="1"/>
    <w:qFormat/>
    <w:uiPriority w:val="0"/>
    <w:pPr>
      <w:adjustRightInd w:val="0"/>
      <w:spacing w:line="0" w:lineRule="atLeast"/>
      <w:ind w:left="57"/>
      <w:jc w:val="left"/>
      <w:textAlignment w:val="baseline"/>
    </w:pPr>
    <w:rPr>
      <w:rFonts w:ascii="Arial" w:hAnsi="Arial" w:eastAsia="MingLiU"/>
      <w:b/>
      <w:lang w:eastAsia="zh-TW"/>
    </w:rPr>
  </w:style>
  <w:style w:type="paragraph" w:customStyle="1" w:styleId="3364">
    <w:name w:val="样式 表内小5 + 黑体 加粗 倾斜 下划线1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365">
    <w:name w:val="Char Char Char Char Char Char Char2111"/>
    <w:basedOn w:val="1"/>
    <w:qFormat/>
    <w:uiPriority w:val="0"/>
  </w:style>
  <w:style w:type="paragraph" w:customStyle="1" w:styleId="3366">
    <w:name w:val="图题214"/>
    <w:basedOn w:val="239"/>
    <w:next w:val="239"/>
    <w:qFormat/>
    <w:uiPriority w:val="0"/>
    <w:pPr>
      <w:ind w:firstLine="0"/>
      <w:jc w:val="center"/>
    </w:pPr>
    <w:rPr>
      <w:rFonts w:ascii="黑体" w:hAnsi="宋体" w:eastAsia="黑体"/>
      <w:b/>
      <w:bCs/>
    </w:rPr>
  </w:style>
  <w:style w:type="paragraph" w:customStyle="1" w:styleId="3367">
    <w:name w:val="样式 标题 4无效格式无效格式1河石管道4H4H41小小节河石管道41H42H411小小节1河石管道42...21"/>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3368">
    <w:name w:val="默认段落字体 Para Char Char Char Char Char12"/>
    <w:basedOn w:val="1"/>
    <w:qFormat/>
    <w:uiPriority w:val="0"/>
  </w:style>
  <w:style w:type="paragraph" w:customStyle="1" w:styleId="3369">
    <w:name w:val="图题83"/>
    <w:basedOn w:val="239"/>
    <w:next w:val="239"/>
    <w:qFormat/>
    <w:uiPriority w:val="0"/>
    <w:pPr>
      <w:ind w:firstLine="0"/>
      <w:jc w:val="center"/>
    </w:pPr>
    <w:rPr>
      <w:rFonts w:ascii="黑体" w:hAnsi="宋体" w:eastAsia="黑体"/>
      <w:b/>
      <w:bCs/>
    </w:rPr>
  </w:style>
  <w:style w:type="paragraph" w:customStyle="1" w:styleId="3370">
    <w:name w:val="样式 标题 4无效格式无效格式1河石管道4H4H41小小节河石管道41H42H411小小节1河石管道42...14"/>
    <w:basedOn w:val="7"/>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371">
    <w:name w:val="表格内字体63"/>
    <w:basedOn w:val="239"/>
    <w:next w:val="239"/>
    <w:qFormat/>
    <w:uiPriority w:val="0"/>
    <w:pPr>
      <w:spacing w:line="240" w:lineRule="auto"/>
      <w:ind w:firstLine="0"/>
      <w:jc w:val="center"/>
    </w:pPr>
    <w:rPr>
      <w:rFonts w:hAnsi="宋体"/>
      <w:sz w:val="21"/>
    </w:rPr>
  </w:style>
  <w:style w:type="paragraph" w:customStyle="1" w:styleId="3372">
    <w:name w:val="表内5中43"/>
    <w:basedOn w:val="1"/>
    <w:qFormat/>
    <w:uiPriority w:val="0"/>
    <w:pPr>
      <w:adjustRightInd w:val="0"/>
      <w:snapToGrid w:val="0"/>
      <w:jc w:val="center"/>
    </w:pPr>
    <w:rPr>
      <w:bCs/>
    </w:rPr>
  </w:style>
  <w:style w:type="paragraph" w:customStyle="1" w:styleId="3373">
    <w:name w:val="表题113"/>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374">
    <w:name w:val="xl634"/>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3375">
    <w:name w:val="表内宋51111"/>
    <w:basedOn w:val="81"/>
    <w:qFormat/>
    <w:uiPriority w:val="0"/>
    <w:pPr>
      <w:widowControl/>
      <w:adjustRightInd w:val="0"/>
      <w:snapToGrid w:val="0"/>
    </w:pPr>
    <w:rPr>
      <w:rFonts w:ascii="宋体" w:hAnsi="宋体" w:cs="宋体"/>
      <w:color w:val="000000"/>
      <w:kern w:val="0"/>
      <w:sz w:val="21"/>
    </w:rPr>
  </w:style>
  <w:style w:type="paragraph" w:customStyle="1" w:styleId="3376">
    <w:name w:val="內文縮排 2"/>
    <w:basedOn w:val="22"/>
    <w:qFormat/>
    <w:uiPriority w:val="0"/>
    <w:pPr>
      <w:spacing w:before="120" w:line="300" w:lineRule="auto"/>
      <w:ind w:left="794" w:firstLine="0" w:firstLineChars="0"/>
    </w:pPr>
    <w:rPr>
      <w:rFonts w:ascii="Arial" w:hAnsi="Arial"/>
      <w:bCs/>
      <w:spacing w:val="20"/>
      <w:sz w:val="24"/>
      <w:szCs w:val="20"/>
      <w:lang w:eastAsia="zh-TW"/>
    </w:rPr>
  </w:style>
  <w:style w:type="paragraph" w:customStyle="1" w:styleId="3377">
    <w:name w:val="表体宋旭峰"/>
    <w:basedOn w:val="1"/>
    <w:qFormat/>
    <w:uiPriority w:val="0"/>
    <w:pPr>
      <w:overflowPunct w:val="0"/>
      <w:spacing w:line="320" w:lineRule="exact"/>
      <w:jc w:val="center"/>
      <w:textAlignment w:val="baseline"/>
    </w:pPr>
    <w:rPr>
      <w:rFonts w:ascii="楷体_GB2312" w:eastAsia="楷体_GB2312" w:cs="Courier New"/>
      <w:snapToGrid w:val="0"/>
      <w:spacing w:val="-20"/>
      <w:szCs w:val="21"/>
    </w:rPr>
  </w:style>
  <w:style w:type="paragraph" w:customStyle="1" w:styleId="3378">
    <w:name w:val="表文字5312"/>
    <w:basedOn w:val="1"/>
    <w:qFormat/>
    <w:uiPriority w:val="0"/>
    <w:pPr>
      <w:adjustRightInd w:val="0"/>
      <w:jc w:val="left"/>
      <w:textAlignment w:val="baseline"/>
    </w:pPr>
  </w:style>
  <w:style w:type="paragraph" w:customStyle="1" w:styleId="3379">
    <w:name w:val="表内文字小31311"/>
    <w:basedOn w:val="1"/>
    <w:qFormat/>
    <w:uiPriority w:val="0"/>
    <w:pPr>
      <w:adjustRightInd w:val="0"/>
      <w:snapToGrid w:val="0"/>
      <w:jc w:val="center"/>
    </w:pPr>
    <w:rPr>
      <w:rFonts w:hAnsi="Times" w:cs="宋体"/>
      <w:bCs/>
      <w:color w:val="003366"/>
    </w:rPr>
  </w:style>
  <w:style w:type="paragraph" w:customStyle="1" w:styleId="3380">
    <w:name w:val="表内5中"/>
    <w:basedOn w:val="45"/>
    <w:qFormat/>
    <w:uiPriority w:val="0"/>
    <w:pPr>
      <w:adjustRightInd w:val="0"/>
      <w:snapToGrid w:val="0"/>
      <w:jc w:val="center"/>
    </w:pPr>
    <w:rPr>
      <w:rFonts w:ascii="Times New Roman" w:hAnsi="Times New Roman" w:cs="Times New Roman"/>
      <w:szCs w:val="20"/>
    </w:rPr>
  </w:style>
  <w:style w:type="paragraph" w:customStyle="1" w:styleId="3381">
    <w:name w:val="表题13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382">
    <w:name w:val="样式 正文缩进 + 宋体 黑色 首行缩进:  2 字符12"/>
    <w:basedOn w:val="22"/>
    <w:qFormat/>
    <w:uiPriority w:val="0"/>
    <w:pPr>
      <w:spacing w:line="360" w:lineRule="auto"/>
      <w:ind w:firstLine="480"/>
      <w:jc w:val="left"/>
    </w:pPr>
    <w:rPr>
      <w:rFonts w:ascii="宋体" w:hAnsi="宋体" w:cs="宋体"/>
      <w:color w:val="FF00FF"/>
      <w:sz w:val="24"/>
      <w:szCs w:val="20"/>
    </w:rPr>
  </w:style>
  <w:style w:type="paragraph" w:customStyle="1" w:styleId="3383">
    <w:name w:val="內(1)"/>
    <w:basedOn w:val="1"/>
    <w:qFormat/>
    <w:uiPriority w:val="0"/>
    <w:pPr>
      <w:snapToGrid w:val="0"/>
      <w:spacing w:line="420" w:lineRule="atLeast"/>
      <w:ind w:left="1531" w:firstLine="520" w:firstLineChars="200"/>
    </w:pPr>
    <w:rPr>
      <w:rFonts w:eastAsia="DFKai-SB"/>
      <w:sz w:val="26"/>
      <w:lang w:eastAsia="zh-TW"/>
    </w:rPr>
  </w:style>
  <w:style w:type="paragraph" w:customStyle="1" w:styleId="3384">
    <w:name w:val="正文格式44"/>
    <w:basedOn w:val="1"/>
    <w:qFormat/>
    <w:uiPriority w:val="0"/>
    <w:pPr>
      <w:spacing w:line="360" w:lineRule="auto"/>
      <w:ind w:firstLine="482"/>
    </w:pPr>
    <w:rPr>
      <w:rFonts w:hAnsi="宋体"/>
    </w:rPr>
  </w:style>
  <w:style w:type="paragraph" w:customStyle="1" w:styleId="3385">
    <w:name w:val="正文编号1"/>
    <w:basedOn w:val="1"/>
    <w:qFormat/>
    <w:uiPriority w:val="0"/>
    <w:pPr>
      <w:spacing w:line="360" w:lineRule="auto"/>
      <w:ind w:firstLine="567"/>
    </w:pPr>
    <w:rPr>
      <w:rFonts w:ascii="Arial" w:hAnsi="Arial" w:eastAsia="仿宋_GB2312"/>
      <w:sz w:val="28"/>
      <w:szCs w:val="28"/>
    </w:rPr>
  </w:style>
  <w:style w:type="paragraph" w:customStyle="1" w:styleId="3386">
    <w:name w:val="正文格式4"/>
    <w:basedOn w:val="1"/>
    <w:qFormat/>
    <w:uiPriority w:val="0"/>
    <w:pPr>
      <w:spacing w:line="360" w:lineRule="auto"/>
      <w:ind w:firstLine="482"/>
    </w:pPr>
    <w:rPr>
      <w:rFonts w:hAnsi="宋体"/>
    </w:rPr>
  </w:style>
  <w:style w:type="paragraph" w:customStyle="1" w:styleId="3387">
    <w:name w:val="样式 首行缩进:  1.71 字符"/>
    <w:basedOn w:val="1"/>
    <w:qFormat/>
    <w:uiPriority w:val="0"/>
    <w:pPr>
      <w:spacing w:line="360" w:lineRule="auto"/>
      <w:jc w:val="center"/>
    </w:pPr>
    <w:rPr>
      <w:rFonts w:hAnsi="宋体"/>
      <w:color w:val="000000"/>
      <w:szCs w:val="21"/>
    </w:rPr>
  </w:style>
  <w:style w:type="paragraph" w:customStyle="1" w:styleId="3388">
    <w:name w:val="表内文字小221"/>
    <w:basedOn w:val="1"/>
    <w:qFormat/>
    <w:uiPriority w:val="0"/>
    <w:pPr>
      <w:adjustRightInd w:val="0"/>
      <w:snapToGrid w:val="0"/>
      <w:jc w:val="center"/>
    </w:pPr>
    <w:rPr>
      <w:rFonts w:hAnsi="Times"/>
      <w:bCs/>
      <w:color w:val="000000"/>
    </w:rPr>
  </w:style>
  <w:style w:type="paragraph" w:customStyle="1" w:styleId="3389">
    <w:name w:val="正文格式13"/>
    <w:basedOn w:val="1"/>
    <w:qFormat/>
    <w:uiPriority w:val="0"/>
    <w:pPr>
      <w:spacing w:line="360" w:lineRule="auto"/>
      <w:ind w:firstLine="482"/>
    </w:pPr>
    <w:rPr>
      <w:rFonts w:hAnsi="宋体"/>
    </w:rPr>
  </w:style>
  <w:style w:type="paragraph" w:customStyle="1" w:styleId="3390">
    <w:name w:val="正文22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91">
    <w:name w:val="表题1123"/>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392">
    <w:name w:val="Char Char Char1 Char Char Char1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393">
    <w:name w:val="(一)內文"/>
    <w:basedOn w:val="1"/>
    <w:qFormat/>
    <w:uiPriority w:val="0"/>
    <w:pPr>
      <w:snapToGrid w:val="0"/>
      <w:spacing w:line="480" w:lineRule="atLeast"/>
      <w:ind w:left="1202" w:firstLine="601"/>
    </w:pPr>
    <w:rPr>
      <w:rFonts w:eastAsia="DFKai-SB"/>
      <w:sz w:val="28"/>
      <w:lang w:eastAsia="zh-TW"/>
    </w:rPr>
  </w:style>
  <w:style w:type="paragraph" w:customStyle="1" w:styleId="3394">
    <w:name w:val="23-47表名3"/>
    <w:basedOn w:val="1"/>
    <w:qFormat/>
    <w:uiPriority w:val="0"/>
    <w:pPr>
      <w:spacing w:afterLines="50" w:line="440" w:lineRule="exact"/>
      <w:jc w:val="center"/>
    </w:pPr>
    <w:rPr>
      <w:rFonts w:hAnsi="宋体"/>
      <w:b/>
    </w:rPr>
  </w:style>
  <w:style w:type="paragraph" w:customStyle="1" w:styleId="3395">
    <w:name w:val="Char Char Char1 Char Char Char1"/>
    <w:basedOn w:val="1"/>
    <w:qFormat/>
    <w:uiPriority w:val="0"/>
    <w:pPr>
      <w:spacing w:line="240" w:lineRule="exact"/>
      <w:ind w:firstLine="200" w:firstLineChars="200"/>
    </w:pPr>
    <w:rPr>
      <w:sz w:val="28"/>
      <w:szCs w:val="28"/>
    </w:rPr>
  </w:style>
  <w:style w:type="paragraph" w:customStyle="1" w:styleId="3396">
    <w:name w:val="表内文字小2113"/>
    <w:basedOn w:val="1"/>
    <w:qFormat/>
    <w:uiPriority w:val="0"/>
    <w:pPr>
      <w:adjustRightInd w:val="0"/>
      <w:snapToGrid w:val="0"/>
      <w:jc w:val="center"/>
    </w:pPr>
    <w:rPr>
      <w:rFonts w:hAnsi="Times"/>
      <w:bCs/>
      <w:color w:val="000000"/>
    </w:rPr>
  </w:style>
  <w:style w:type="paragraph" w:customStyle="1" w:styleId="3397">
    <w:name w:val="样式 (中文) 楷体_GB2312 居中 行距: 固定值 12 磅"/>
    <w:basedOn w:val="1"/>
    <w:qFormat/>
    <w:uiPriority w:val="0"/>
    <w:pPr>
      <w:spacing w:line="240" w:lineRule="exact"/>
      <w:jc w:val="center"/>
    </w:pPr>
    <w:rPr>
      <w:rFonts w:eastAsia="楷体_GB2312"/>
    </w:rPr>
  </w:style>
  <w:style w:type="paragraph" w:customStyle="1" w:styleId="3398">
    <w:name w:val="表内文字小21113"/>
    <w:basedOn w:val="1"/>
    <w:qFormat/>
    <w:uiPriority w:val="0"/>
    <w:pPr>
      <w:adjustRightInd w:val="0"/>
      <w:snapToGrid w:val="0"/>
      <w:jc w:val="center"/>
    </w:pPr>
    <w:rPr>
      <w:rFonts w:hAnsi="Times"/>
      <w:bCs/>
      <w:color w:val="000000"/>
    </w:rPr>
  </w:style>
  <w:style w:type="paragraph" w:customStyle="1" w:styleId="3399">
    <w:name w:val="Char4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400">
    <w:name w:val="表题114"/>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401">
    <w:name w:val="表内文字小111"/>
    <w:basedOn w:val="1"/>
    <w:qFormat/>
    <w:uiPriority w:val="0"/>
    <w:pPr>
      <w:adjustRightInd w:val="0"/>
      <w:snapToGrid w:val="0"/>
    </w:pPr>
    <w:rPr>
      <w:rFonts w:hAnsi="Times" w:cs="宋体"/>
    </w:rPr>
  </w:style>
  <w:style w:type="paragraph" w:customStyle="1" w:styleId="3402">
    <w:name w:val="Char2211"/>
    <w:basedOn w:val="1"/>
    <w:qFormat/>
    <w:uiPriority w:val="0"/>
    <w:pPr>
      <w:adjustRightInd w:val="0"/>
      <w:snapToGrid w:val="0"/>
      <w:spacing w:beforeLines="50" w:line="360" w:lineRule="auto"/>
    </w:pPr>
    <w:rPr>
      <w:rFonts w:ascii="黑体" w:eastAsia="黑体"/>
      <w:sz w:val="32"/>
      <w:szCs w:val="32"/>
    </w:rPr>
  </w:style>
  <w:style w:type="paragraph" w:customStyle="1" w:styleId="3403">
    <w:name w:val="表内文字小13"/>
    <w:basedOn w:val="1"/>
    <w:qFormat/>
    <w:uiPriority w:val="0"/>
    <w:pPr>
      <w:adjustRightInd w:val="0"/>
      <w:snapToGrid w:val="0"/>
      <w:jc w:val="center"/>
    </w:pPr>
    <w:rPr>
      <w:rFonts w:hAnsi="Times"/>
    </w:rPr>
  </w:style>
  <w:style w:type="paragraph" w:customStyle="1" w:styleId="3404">
    <w:name w:val="正文 居中"/>
    <w:basedOn w:val="1"/>
    <w:qFormat/>
    <w:uiPriority w:val="0"/>
    <w:pPr>
      <w:spacing w:before="48" w:after="48" w:line="360" w:lineRule="auto"/>
      <w:jc w:val="center"/>
    </w:pPr>
    <w:rPr>
      <w:rFonts w:hAnsi="宋体" w:eastAsia="仿宋_GB2312"/>
      <w:snapToGrid w:val="0"/>
      <w:szCs w:val="28"/>
    </w:rPr>
  </w:style>
  <w:style w:type="paragraph" w:customStyle="1" w:styleId="3405">
    <w:name w:val="表内文字小3133"/>
    <w:basedOn w:val="1"/>
    <w:qFormat/>
    <w:uiPriority w:val="0"/>
    <w:pPr>
      <w:adjustRightInd w:val="0"/>
      <w:snapToGrid w:val="0"/>
      <w:jc w:val="center"/>
    </w:pPr>
    <w:rPr>
      <w:rFonts w:hAnsi="Times" w:cs="宋体"/>
      <w:bCs/>
      <w:color w:val="003366"/>
    </w:rPr>
  </w:style>
  <w:style w:type="paragraph" w:customStyle="1" w:styleId="3406">
    <w:name w:val="样式 首行缩进:  2 字符 Char"/>
    <w:basedOn w:val="1"/>
    <w:qFormat/>
    <w:uiPriority w:val="0"/>
    <w:pPr>
      <w:spacing w:line="480" w:lineRule="exact"/>
      <w:ind w:firstLine="560" w:firstLineChars="200"/>
    </w:pPr>
    <w:rPr>
      <w:kern w:val="28"/>
      <w:sz w:val="28"/>
    </w:rPr>
  </w:style>
  <w:style w:type="paragraph" w:customStyle="1" w:styleId="3407">
    <w:name w:val="a3"/>
    <w:basedOn w:val="1"/>
    <w:qFormat/>
    <w:uiPriority w:val="0"/>
    <w:pPr>
      <w:widowControl/>
      <w:spacing w:before="100" w:beforeAutospacing="1" w:after="100" w:afterAutospacing="1"/>
      <w:jc w:val="left"/>
    </w:pPr>
    <w:rPr>
      <w:rFonts w:hAnsi="宋体"/>
      <w:color w:val="000000"/>
    </w:rPr>
  </w:style>
  <w:style w:type="paragraph" w:customStyle="1" w:styleId="3408">
    <w:name w:val="正文格式112"/>
    <w:basedOn w:val="1"/>
    <w:qFormat/>
    <w:uiPriority w:val="0"/>
    <w:pPr>
      <w:spacing w:line="360" w:lineRule="auto"/>
      <w:ind w:firstLine="482"/>
    </w:pPr>
    <w:rPr>
      <w:rFonts w:hAnsi="宋体"/>
    </w:rPr>
  </w:style>
  <w:style w:type="paragraph" w:customStyle="1" w:styleId="3409">
    <w:name w:val="重钢院"/>
    <w:basedOn w:val="1"/>
    <w:qFormat/>
    <w:uiPriority w:val="0"/>
    <w:pPr>
      <w:adjustRightInd w:val="0"/>
      <w:spacing w:line="372" w:lineRule="auto"/>
      <w:textAlignment w:val="baseline"/>
    </w:pPr>
    <w:rPr>
      <w:spacing w:val="10"/>
      <w:sz w:val="28"/>
    </w:rPr>
  </w:style>
  <w:style w:type="paragraph" w:customStyle="1" w:styleId="3410">
    <w:name w:val="表内文字小2114"/>
    <w:basedOn w:val="1"/>
    <w:qFormat/>
    <w:uiPriority w:val="0"/>
    <w:pPr>
      <w:adjustRightInd w:val="0"/>
      <w:snapToGrid w:val="0"/>
      <w:jc w:val="center"/>
    </w:pPr>
    <w:rPr>
      <w:rFonts w:hAnsi="Times"/>
      <w:bCs/>
      <w:color w:val="000000"/>
    </w:rPr>
  </w:style>
  <w:style w:type="paragraph" w:customStyle="1" w:styleId="3411">
    <w:name w:val="默认段落字体 Para Char412"/>
    <w:basedOn w:val="1"/>
    <w:next w:val="1"/>
    <w:qFormat/>
    <w:uiPriority w:val="0"/>
    <w:pPr>
      <w:spacing w:line="480" w:lineRule="exact"/>
      <w:ind w:firstLine="200" w:firstLineChars="200"/>
      <w:jc w:val="left"/>
    </w:pPr>
    <w:rPr>
      <w:rFonts w:hAnsi="宋体" w:eastAsia="汉鼎简书宋" w:cs="宋体"/>
      <w:sz w:val="28"/>
    </w:rPr>
  </w:style>
  <w:style w:type="paragraph" w:customStyle="1" w:styleId="3412">
    <w:name w:val="表文字521"/>
    <w:basedOn w:val="1"/>
    <w:qFormat/>
    <w:uiPriority w:val="0"/>
    <w:pPr>
      <w:adjustRightInd w:val="0"/>
      <w:jc w:val="left"/>
      <w:textAlignment w:val="baseline"/>
    </w:pPr>
  </w:style>
  <w:style w:type="paragraph" w:customStyle="1" w:styleId="3413">
    <w:name w:val="表内文字小1111"/>
    <w:basedOn w:val="1"/>
    <w:qFormat/>
    <w:uiPriority w:val="0"/>
    <w:pPr>
      <w:adjustRightInd w:val="0"/>
      <w:snapToGrid w:val="0"/>
    </w:pPr>
    <w:rPr>
      <w:rFonts w:hAnsi="Times" w:cs="宋体"/>
    </w:rPr>
  </w:style>
  <w:style w:type="paragraph" w:customStyle="1" w:styleId="3414">
    <w:name w:val="表文字5113"/>
    <w:basedOn w:val="1"/>
    <w:qFormat/>
    <w:uiPriority w:val="0"/>
    <w:pPr>
      <w:adjustRightInd w:val="0"/>
      <w:jc w:val="left"/>
      <w:textAlignment w:val="baseline"/>
    </w:pPr>
  </w:style>
  <w:style w:type="paragraph" w:customStyle="1" w:styleId="3415">
    <w:name w:val="表文字5"/>
    <w:basedOn w:val="1"/>
    <w:qFormat/>
    <w:uiPriority w:val="0"/>
    <w:pPr>
      <w:adjustRightInd w:val="0"/>
      <w:jc w:val="left"/>
      <w:textAlignment w:val="baseline"/>
    </w:pPr>
  </w:style>
  <w:style w:type="paragraph" w:customStyle="1" w:styleId="3416">
    <w:name w:val="样式 正文缩进 + 宋体 黑色11"/>
    <w:basedOn w:val="22"/>
    <w:qFormat/>
    <w:uiPriority w:val="0"/>
    <w:pPr>
      <w:spacing w:line="360" w:lineRule="auto"/>
      <w:ind w:firstLine="200"/>
      <w:jc w:val="left"/>
    </w:pPr>
    <w:rPr>
      <w:rFonts w:ascii="宋体" w:hAnsi="宋体"/>
      <w:color w:val="000000"/>
      <w:sz w:val="24"/>
    </w:rPr>
  </w:style>
  <w:style w:type="paragraph" w:customStyle="1" w:styleId="3417">
    <w:name w:val="正文格式91"/>
    <w:basedOn w:val="1"/>
    <w:qFormat/>
    <w:uiPriority w:val="0"/>
    <w:pPr>
      <w:spacing w:line="360" w:lineRule="auto"/>
      <w:ind w:firstLine="482"/>
    </w:pPr>
    <w:rPr>
      <w:rFonts w:hAnsi="宋体"/>
    </w:rPr>
  </w:style>
  <w:style w:type="paragraph" w:customStyle="1" w:styleId="3418">
    <w:name w:val="正文25"/>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419">
    <w:name w:val="正文格式512"/>
    <w:basedOn w:val="1"/>
    <w:qFormat/>
    <w:uiPriority w:val="0"/>
    <w:pPr>
      <w:spacing w:line="360" w:lineRule="auto"/>
      <w:ind w:firstLine="482"/>
    </w:pPr>
    <w:rPr>
      <w:rFonts w:hAnsi="宋体"/>
    </w:rPr>
  </w:style>
  <w:style w:type="paragraph" w:customStyle="1" w:styleId="3420">
    <w:name w:val="表内小5中12"/>
    <w:basedOn w:val="1"/>
    <w:qFormat/>
    <w:uiPriority w:val="0"/>
    <w:pPr>
      <w:adjustRightInd w:val="0"/>
      <w:snapToGrid w:val="0"/>
      <w:jc w:val="center"/>
    </w:pPr>
    <w:rPr>
      <w:rFonts w:hAnsi="宋体"/>
      <w:sz w:val="18"/>
    </w:rPr>
  </w:style>
  <w:style w:type="paragraph" w:customStyle="1" w:styleId="3421">
    <w:name w:val="正文格式9"/>
    <w:basedOn w:val="1"/>
    <w:qFormat/>
    <w:uiPriority w:val="0"/>
    <w:pPr>
      <w:spacing w:line="360" w:lineRule="auto"/>
      <w:ind w:firstLine="482"/>
    </w:pPr>
    <w:rPr>
      <w:rFonts w:hAnsi="宋体"/>
    </w:rPr>
  </w:style>
  <w:style w:type="paragraph" w:customStyle="1" w:styleId="3422">
    <w:name w:val="注释3"/>
    <w:basedOn w:val="239"/>
    <w:next w:val="35"/>
    <w:qFormat/>
    <w:uiPriority w:val="0"/>
    <w:pPr>
      <w:spacing w:before="120" w:after="120" w:line="240" w:lineRule="auto"/>
      <w:ind w:firstLine="200" w:firstLineChars="200"/>
    </w:pPr>
    <w:rPr>
      <w:sz w:val="21"/>
      <w:szCs w:val="20"/>
    </w:rPr>
  </w:style>
  <w:style w:type="paragraph" w:customStyle="1" w:styleId="3423">
    <w:name w:val="正文211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424">
    <w:name w:val="样式 俺的题目三 + 首行缩进:  2 字符"/>
    <w:basedOn w:val="2754"/>
    <w:qFormat/>
    <w:uiPriority w:val="0"/>
    <w:pPr>
      <w:spacing w:line="520" w:lineRule="exact"/>
      <w:ind w:firstLine="0" w:firstLineChars="0"/>
      <w:jc w:val="center"/>
    </w:pPr>
    <w:rPr>
      <w:rFonts w:cs="宋体"/>
      <w:sz w:val="30"/>
      <w:szCs w:val="30"/>
    </w:rPr>
  </w:style>
  <w:style w:type="paragraph" w:customStyle="1" w:styleId="3425">
    <w:name w:val="Char Char319"/>
    <w:basedOn w:val="1"/>
    <w:qFormat/>
    <w:uiPriority w:val="0"/>
    <w:pPr>
      <w:spacing w:line="240" w:lineRule="exact"/>
      <w:ind w:firstLine="200" w:firstLineChars="200"/>
    </w:pPr>
    <w:rPr>
      <w:sz w:val="28"/>
      <w:szCs w:val="28"/>
    </w:rPr>
  </w:style>
  <w:style w:type="paragraph" w:customStyle="1" w:styleId="3426">
    <w:name w:val="表内文字小31113"/>
    <w:basedOn w:val="1"/>
    <w:qFormat/>
    <w:uiPriority w:val="0"/>
    <w:pPr>
      <w:adjustRightInd w:val="0"/>
      <w:snapToGrid w:val="0"/>
      <w:jc w:val="center"/>
    </w:pPr>
    <w:rPr>
      <w:rFonts w:hAnsi="Times" w:cs="宋体"/>
      <w:bCs/>
      <w:color w:val="003366"/>
    </w:rPr>
  </w:style>
  <w:style w:type="paragraph" w:customStyle="1" w:styleId="3427">
    <w:name w:val="Char4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428">
    <w:name w:val="表内宋5中22"/>
    <w:basedOn w:val="1"/>
    <w:qFormat/>
    <w:uiPriority w:val="0"/>
    <w:pPr>
      <w:adjustRightInd w:val="0"/>
      <w:snapToGrid w:val="0"/>
      <w:jc w:val="center"/>
      <w:textAlignment w:val="baseline"/>
    </w:pPr>
    <w:rPr>
      <w:rFonts w:hAnsi="宋体"/>
    </w:rPr>
  </w:style>
  <w:style w:type="paragraph" w:customStyle="1" w:styleId="3429">
    <w:name w:val="表32"/>
    <w:basedOn w:val="1"/>
    <w:qFormat/>
    <w:uiPriority w:val="0"/>
    <w:pPr>
      <w:adjustRightInd w:val="0"/>
      <w:snapToGrid w:val="0"/>
      <w:jc w:val="center"/>
    </w:pPr>
    <w:rPr>
      <w:rFonts w:eastAsia="仿宋_GB2312"/>
    </w:rPr>
  </w:style>
  <w:style w:type="paragraph" w:customStyle="1" w:styleId="3430">
    <w:name w:val="正文格式22"/>
    <w:basedOn w:val="1"/>
    <w:qFormat/>
    <w:uiPriority w:val="0"/>
    <w:pPr>
      <w:spacing w:line="360" w:lineRule="auto"/>
      <w:ind w:firstLine="482"/>
    </w:pPr>
    <w:rPr>
      <w:rFonts w:hAnsi="宋体"/>
    </w:rPr>
  </w:style>
  <w:style w:type="paragraph" w:customStyle="1" w:styleId="3431">
    <w:name w:val="表题123"/>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432">
    <w:name w:val="能力-正文"/>
    <w:basedOn w:val="1"/>
    <w:qFormat/>
    <w:uiPriority w:val="0"/>
    <w:pPr>
      <w:spacing w:line="360" w:lineRule="auto"/>
      <w:ind w:firstLine="200" w:firstLineChars="200"/>
    </w:pPr>
    <w:rPr>
      <w:szCs w:val="22"/>
    </w:rPr>
  </w:style>
  <w:style w:type="paragraph" w:customStyle="1" w:styleId="3433">
    <w:name w:val="表文字533"/>
    <w:basedOn w:val="1"/>
    <w:qFormat/>
    <w:uiPriority w:val="0"/>
    <w:pPr>
      <w:adjustRightInd w:val="0"/>
      <w:jc w:val="left"/>
      <w:textAlignment w:val="baseline"/>
    </w:pPr>
  </w:style>
  <w:style w:type="paragraph" w:customStyle="1" w:styleId="3434">
    <w:name w:val="表内文字小2133"/>
    <w:basedOn w:val="1"/>
    <w:qFormat/>
    <w:uiPriority w:val="0"/>
    <w:pPr>
      <w:adjustRightInd w:val="0"/>
      <w:snapToGrid w:val="0"/>
      <w:jc w:val="center"/>
      <w:textAlignment w:val="baseline"/>
    </w:pPr>
    <w:rPr>
      <w:rFonts w:hAnsi="Times"/>
      <w:bCs/>
      <w:color w:val="000000"/>
    </w:rPr>
  </w:style>
  <w:style w:type="paragraph" w:customStyle="1" w:styleId="3435">
    <w:name w:val="表内宋5中1113"/>
    <w:basedOn w:val="1"/>
    <w:qFormat/>
    <w:uiPriority w:val="0"/>
    <w:pPr>
      <w:adjustRightInd w:val="0"/>
      <w:snapToGrid w:val="0"/>
      <w:jc w:val="center"/>
      <w:textAlignment w:val="baseline"/>
    </w:pPr>
    <w:rPr>
      <w:rFonts w:hAnsi="宋体" w:cs="宋体"/>
    </w:rPr>
  </w:style>
  <w:style w:type="paragraph" w:customStyle="1" w:styleId="3436">
    <w:name w:val="样式 (符号) 宋体 行距: 固定值 25 磅"/>
    <w:basedOn w:val="1"/>
    <w:qFormat/>
    <w:uiPriority w:val="0"/>
    <w:pPr>
      <w:spacing w:line="500" w:lineRule="exact"/>
      <w:ind w:firstLine="473" w:firstLineChars="225"/>
    </w:pPr>
    <w:rPr>
      <w:rFonts w:hAnsi="宋体" w:cs="宋体"/>
    </w:rPr>
  </w:style>
  <w:style w:type="paragraph" w:customStyle="1" w:styleId="3437">
    <w:name w:val="Char4 Char Char Char Char Char Char Char Char Char Char Char Char Char Char Char Char Char1 Char Char Char Char"/>
    <w:basedOn w:val="1"/>
    <w:qFormat/>
    <w:uiPriority w:val="0"/>
    <w:pPr>
      <w:spacing w:line="240" w:lineRule="exact"/>
      <w:ind w:firstLine="200" w:firstLineChars="200"/>
    </w:pPr>
    <w:rPr>
      <w:sz w:val="28"/>
      <w:szCs w:val="28"/>
    </w:rPr>
  </w:style>
  <w:style w:type="paragraph" w:customStyle="1" w:styleId="3438">
    <w:name w:val="表内文字小15"/>
    <w:basedOn w:val="1"/>
    <w:qFormat/>
    <w:uiPriority w:val="0"/>
    <w:pPr>
      <w:adjustRightInd w:val="0"/>
      <w:snapToGrid w:val="0"/>
      <w:jc w:val="center"/>
    </w:pPr>
    <w:rPr>
      <w:rFonts w:hAnsi="Times"/>
    </w:rPr>
  </w:style>
  <w:style w:type="paragraph" w:customStyle="1" w:styleId="3439">
    <w:name w:val="默认段落字体 Para Char31"/>
    <w:basedOn w:val="1"/>
    <w:qFormat/>
    <w:uiPriority w:val="0"/>
    <w:pPr>
      <w:spacing w:line="360" w:lineRule="auto"/>
      <w:ind w:firstLine="200" w:firstLineChars="200"/>
    </w:pPr>
    <w:rPr>
      <w:rFonts w:hAnsi="宋体" w:cs="宋体"/>
    </w:rPr>
  </w:style>
  <w:style w:type="paragraph" w:customStyle="1" w:styleId="3440">
    <w:name w:val="表题1111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441">
    <w:name w:val="表内文字小813"/>
    <w:basedOn w:val="1"/>
    <w:qFormat/>
    <w:uiPriority w:val="0"/>
    <w:pPr>
      <w:adjustRightInd w:val="0"/>
      <w:snapToGrid w:val="0"/>
      <w:jc w:val="center"/>
    </w:pPr>
    <w:rPr>
      <w:rFonts w:hAnsi="Times" w:cs="宋体"/>
    </w:rPr>
  </w:style>
  <w:style w:type="paragraph" w:customStyle="1" w:styleId="3442">
    <w:name w:val="我的正文"/>
    <w:basedOn w:val="3"/>
    <w:qFormat/>
    <w:uiPriority w:val="0"/>
    <w:pPr>
      <w:pBdr>
        <w:top w:val="single" w:color="auto" w:sz="4" w:space="1"/>
      </w:pBdr>
      <w:spacing w:after="0" w:line="360" w:lineRule="auto"/>
      <w:ind w:left="0" w:leftChars="0" w:firstLine="200" w:firstLineChars="200"/>
    </w:pPr>
    <w:rPr>
      <w:sz w:val="24"/>
    </w:rPr>
  </w:style>
  <w:style w:type="paragraph" w:customStyle="1" w:styleId="3443">
    <w:name w:val="表内宋5中1"/>
    <w:basedOn w:val="1"/>
    <w:qFormat/>
    <w:uiPriority w:val="0"/>
    <w:pPr>
      <w:adjustRightInd w:val="0"/>
      <w:snapToGrid w:val="0"/>
      <w:jc w:val="center"/>
      <w:textAlignment w:val="baseline"/>
    </w:pPr>
    <w:rPr>
      <w:rFonts w:hAnsi="宋体" w:cs="宋体"/>
    </w:rPr>
  </w:style>
  <w:style w:type="paragraph" w:customStyle="1" w:styleId="3444">
    <w:name w:val="ttop"/>
    <w:basedOn w:val="1"/>
    <w:qFormat/>
    <w:uiPriority w:val="0"/>
    <w:pPr>
      <w:widowControl/>
      <w:spacing w:before="100" w:beforeAutospacing="1" w:after="100" w:afterAutospacing="1"/>
      <w:jc w:val="left"/>
    </w:pPr>
    <w:rPr>
      <w:rFonts w:hAnsi="宋体"/>
    </w:rPr>
  </w:style>
  <w:style w:type="paragraph" w:customStyle="1" w:styleId="3445">
    <w:name w:val="23-47表名12"/>
    <w:basedOn w:val="1"/>
    <w:qFormat/>
    <w:uiPriority w:val="0"/>
    <w:pPr>
      <w:spacing w:afterLines="50" w:line="440" w:lineRule="exact"/>
      <w:jc w:val="center"/>
    </w:pPr>
    <w:rPr>
      <w:rFonts w:hAnsi="宋体"/>
      <w:b/>
    </w:rPr>
  </w:style>
  <w:style w:type="paragraph" w:customStyle="1" w:styleId="3446">
    <w:name w:val="表内文字小2132"/>
    <w:basedOn w:val="1"/>
    <w:qFormat/>
    <w:uiPriority w:val="0"/>
    <w:pPr>
      <w:adjustRightInd w:val="0"/>
      <w:snapToGrid w:val="0"/>
      <w:jc w:val="center"/>
      <w:textAlignment w:val="baseline"/>
    </w:pPr>
    <w:rPr>
      <w:rFonts w:hAnsi="Times"/>
      <w:bCs/>
      <w:color w:val="000000"/>
    </w:rPr>
  </w:style>
  <w:style w:type="paragraph" w:customStyle="1" w:styleId="3447">
    <w:name w:val="正文格式62"/>
    <w:basedOn w:val="1"/>
    <w:qFormat/>
    <w:uiPriority w:val="0"/>
    <w:pPr>
      <w:spacing w:line="360" w:lineRule="auto"/>
      <w:ind w:firstLine="482"/>
    </w:pPr>
    <w:rPr>
      <w:rFonts w:hAnsi="宋体"/>
    </w:rPr>
  </w:style>
  <w:style w:type="paragraph" w:customStyle="1" w:styleId="3448">
    <w:name w:val="表内文字小21312"/>
    <w:basedOn w:val="1"/>
    <w:qFormat/>
    <w:uiPriority w:val="0"/>
    <w:pPr>
      <w:adjustRightInd w:val="0"/>
      <w:snapToGrid w:val="0"/>
      <w:jc w:val="center"/>
      <w:textAlignment w:val="baseline"/>
    </w:pPr>
    <w:rPr>
      <w:rFonts w:hAnsi="Times"/>
      <w:bCs/>
      <w:color w:val="000000"/>
    </w:rPr>
  </w:style>
  <w:style w:type="paragraph" w:customStyle="1" w:styleId="3449">
    <w:name w:val="表格文字五"/>
    <w:basedOn w:val="1"/>
    <w:qFormat/>
    <w:uiPriority w:val="0"/>
    <w:pPr>
      <w:adjustRightInd w:val="0"/>
      <w:snapToGrid w:val="0"/>
      <w:spacing w:beforeLines="20" w:afterLines="20"/>
      <w:jc w:val="center"/>
    </w:pPr>
    <w:rPr>
      <w:rFonts w:eastAsia="仿宋_GB2312"/>
      <w:snapToGrid w:val="0"/>
      <w:szCs w:val="21"/>
    </w:rPr>
  </w:style>
  <w:style w:type="paragraph" w:customStyle="1" w:styleId="3450">
    <w:name w:val="默认段落字体 Para Char52"/>
    <w:basedOn w:val="1"/>
    <w:next w:val="1"/>
    <w:qFormat/>
    <w:uiPriority w:val="0"/>
    <w:pPr>
      <w:spacing w:line="480" w:lineRule="exact"/>
      <w:ind w:firstLine="200" w:firstLineChars="200"/>
      <w:jc w:val="left"/>
    </w:pPr>
    <w:rPr>
      <w:rFonts w:hAnsi="宋体" w:eastAsia="汉鼎简书宋" w:cs="宋体"/>
      <w:sz w:val="28"/>
    </w:rPr>
  </w:style>
  <w:style w:type="paragraph" w:customStyle="1" w:styleId="3451">
    <w:name w:val="表题13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452">
    <w:name w:val="题注2"/>
    <w:basedOn w:val="23"/>
    <w:next w:val="23"/>
    <w:qFormat/>
    <w:uiPriority w:val="0"/>
    <w:pPr>
      <w:tabs>
        <w:tab w:val="clear" w:pos="7380"/>
      </w:tabs>
      <w:overflowPunct/>
      <w:spacing w:before="0" w:after="0" w:afterLines="0" w:line="324" w:lineRule="auto"/>
      <w:ind w:firstLine="400" w:firstLineChars="200"/>
      <w:jc w:val="both"/>
    </w:pPr>
    <w:rPr>
      <w:rFonts w:eastAsia="宋体" w:cs="Times New Roman"/>
      <w:sz w:val="21"/>
    </w:rPr>
  </w:style>
  <w:style w:type="paragraph" w:customStyle="1" w:styleId="3453">
    <w:name w:val="沥青表"/>
    <w:basedOn w:val="1"/>
    <w:qFormat/>
    <w:uiPriority w:val="0"/>
    <w:pPr>
      <w:adjustRightInd w:val="0"/>
      <w:spacing w:line="0" w:lineRule="atLeast"/>
      <w:jc w:val="center"/>
      <w:textAlignment w:val="baseline"/>
    </w:pPr>
    <w:rPr>
      <w:bCs/>
      <w:spacing w:val="10"/>
      <w:szCs w:val="21"/>
    </w:rPr>
  </w:style>
  <w:style w:type="paragraph" w:customStyle="1" w:styleId="3454">
    <w:name w:val="默认段落字体 Para Char42"/>
    <w:basedOn w:val="1"/>
    <w:next w:val="1"/>
    <w:qFormat/>
    <w:uiPriority w:val="0"/>
    <w:pPr>
      <w:spacing w:line="480" w:lineRule="exact"/>
      <w:ind w:firstLine="200" w:firstLineChars="200"/>
      <w:jc w:val="left"/>
    </w:pPr>
    <w:rPr>
      <w:rFonts w:hAnsi="宋体" w:eastAsia="汉鼎简书宋" w:cs="宋体"/>
      <w:sz w:val="28"/>
    </w:rPr>
  </w:style>
  <w:style w:type="paragraph" w:customStyle="1" w:styleId="3455">
    <w:name w:val="样式 仿宋_GB2312 小四 居中 行距: 固定值 20 磅"/>
    <w:basedOn w:val="1"/>
    <w:qFormat/>
    <w:uiPriority w:val="0"/>
    <w:pPr>
      <w:spacing w:line="400" w:lineRule="exact"/>
      <w:jc w:val="center"/>
    </w:pPr>
    <w:rPr>
      <w:rFonts w:ascii="仿宋_GB2312" w:hAnsi="宋体" w:eastAsia="仿宋_GB2312" w:cs="宋体"/>
    </w:rPr>
  </w:style>
  <w:style w:type="paragraph" w:customStyle="1" w:styleId="3456">
    <w:name w:val="正文格式72"/>
    <w:basedOn w:val="1"/>
    <w:qFormat/>
    <w:uiPriority w:val="0"/>
    <w:pPr>
      <w:spacing w:line="360" w:lineRule="auto"/>
      <w:ind w:firstLine="482"/>
    </w:pPr>
    <w:rPr>
      <w:rFonts w:hAnsi="宋体"/>
    </w:rPr>
  </w:style>
  <w:style w:type="paragraph" w:customStyle="1" w:styleId="3457">
    <w:name w:val="表文字524"/>
    <w:basedOn w:val="1"/>
    <w:qFormat/>
    <w:uiPriority w:val="0"/>
    <w:pPr>
      <w:adjustRightInd w:val="0"/>
      <w:jc w:val="left"/>
      <w:textAlignment w:val="baseline"/>
    </w:pPr>
  </w:style>
  <w:style w:type="paragraph" w:customStyle="1" w:styleId="3458">
    <w:name w:val="正文格式821"/>
    <w:basedOn w:val="1"/>
    <w:qFormat/>
    <w:uiPriority w:val="0"/>
    <w:pPr>
      <w:spacing w:line="360" w:lineRule="auto"/>
      <w:ind w:firstLine="482"/>
    </w:pPr>
    <w:rPr>
      <w:rFonts w:hAnsi="宋体"/>
    </w:rPr>
  </w:style>
  <w:style w:type="paragraph" w:customStyle="1" w:styleId="3459">
    <w:name w:val="样式 表头样式1 + 首行缩进:  2 字符 段前: 0.5 行"/>
    <w:basedOn w:val="266"/>
    <w:qFormat/>
    <w:uiPriority w:val="0"/>
    <w:pPr>
      <w:snapToGrid/>
      <w:spacing w:before="0" w:after="100" w:afterLines="0" w:afterAutospacing="1"/>
    </w:pPr>
    <w:rPr>
      <w:rFonts w:ascii="Times New Roman" w:hAnsi="Times New Roman" w:cs="宋体"/>
      <w:bCs/>
      <w:color w:val="000000"/>
      <w:lang w:eastAsia="zh-TW"/>
    </w:rPr>
  </w:style>
  <w:style w:type="paragraph" w:customStyle="1" w:styleId="3460">
    <w:name w:val="表内宋51122"/>
    <w:basedOn w:val="81"/>
    <w:qFormat/>
    <w:uiPriority w:val="0"/>
    <w:pPr>
      <w:widowControl/>
      <w:adjustRightInd w:val="0"/>
      <w:snapToGrid w:val="0"/>
    </w:pPr>
    <w:rPr>
      <w:rFonts w:ascii="宋体" w:hAnsi="宋体" w:cs="宋体"/>
      <w:color w:val="000000"/>
      <w:kern w:val="0"/>
      <w:sz w:val="21"/>
    </w:rPr>
  </w:style>
  <w:style w:type="paragraph" w:customStyle="1" w:styleId="3461">
    <w:name w:val="xl6311"/>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3462">
    <w:name w:val="样式 正文缩进 + 宋体 黑色 首行缩进:  2 字符2"/>
    <w:basedOn w:val="22"/>
    <w:qFormat/>
    <w:uiPriority w:val="0"/>
    <w:pPr>
      <w:spacing w:line="360" w:lineRule="auto"/>
      <w:ind w:firstLine="480"/>
      <w:jc w:val="left"/>
    </w:pPr>
    <w:rPr>
      <w:rFonts w:ascii="宋体" w:hAnsi="宋体" w:cs="宋体"/>
      <w:color w:val="FF00FF"/>
      <w:sz w:val="24"/>
      <w:szCs w:val="20"/>
    </w:rPr>
  </w:style>
  <w:style w:type="paragraph" w:customStyle="1" w:styleId="3463">
    <w:name w:val="正文格式11"/>
    <w:basedOn w:val="1"/>
    <w:qFormat/>
    <w:uiPriority w:val="0"/>
    <w:pPr>
      <w:spacing w:line="360" w:lineRule="auto"/>
      <w:ind w:firstLine="482"/>
    </w:pPr>
    <w:rPr>
      <w:rFonts w:hAnsi="宋体"/>
    </w:rPr>
  </w:style>
  <w:style w:type="paragraph" w:customStyle="1" w:styleId="3464">
    <w:name w:val="bg附录1标题"/>
    <w:basedOn w:val="1"/>
    <w:next w:val="2402"/>
    <w:qFormat/>
    <w:uiPriority w:val="0"/>
    <w:pPr>
      <w:pBdr>
        <w:top w:val="single" w:color="auto" w:sz="4" w:space="1"/>
      </w:pBdr>
      <w:spacing w:before="120"/>
      <w:ind w:firstLine="482"/>
      <w:outlineLvl w:val="2"/>
    </w:pPr>
    <w:rPr>
      <w:rFonts w:eastAsia="黑体"/>
      <w:sz w:val="28"/>
    </w:rPr>
  </w:style>
  <w:style w:type="paragraph" w:customStyle="1" w:styleId="3465">
    <w:name w:val="文本框1"/>
    <w:basedOn w:val="1"/>
    <w:qFormat/>
    <w:uiPriority w:val="0"/>
    <w:pPr>
      <w:adjustRightInd w:val="0"/>
      <w:snapToGrid w:val="0"/>
      <w:spacing w:after="6"/>
      <w:jc w:val="center"/>
    </w:pPr>
    <w:rPr>
      <w:rFonts w:eastAsia="仿宋_GB2312"/>
    </w:rPr>
  </w:style>
  <w:style w:type="paragraph" w:customStyle="1" w:styleId="3466">
    <w:name w:val="样式 表格内字体 +1"/>
    <w:basedOn w:val="1966"/>
    <w:qFormat/>
    <w:uiPriority w:val="0"/>
    <w:pPr>
      <w:spacing w:line="280" w:lineRule="exact"/>
      <w:ind w:firstLine="36"/>
      <w:jc w:val="both"/>
    </w:pPr>
    <w:rPr>
      <w:szCs w:val="24"/>
    </w:rPr>
  </w:style>
  <w:style w:type="paragraph" w:customStyle="1" w:styleId="3467">
    <w:name w:val="表内文字小3141"/>
    <w:basedOn w:val="1"/>
    <w:qFormat/>
    <w:uiPriority w:val="0"/>
    <w:pPr>
      <w:adjustRightInd w:val="0"/>
      <w:snapToGrid w:val="0"/>
      <w:jc w:val="center"/>
    </w:pPr>
    <w:rPr>
      <w:rFonts w:hAnsi="Times" w:cs="宋体"/>
      <w:bCs/>
      <w:color w:val="003366"/>
    </w:rPr>
  </w:style>
  <w:style w:type="paragraph" w:customStyle="1" w:styleId="3468">
    <w:name w:val="表题112"/>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469">
    <w:name w:val="表内文字小84"/>
    <w:basedOn w:val="1"/>
    <w:qFormat/>
    <w:uiPriority w:val="0"/>
    <w:pPr>
      <w:adjustRightInd w:val="0"/>
      <w:snapToGrid w:val="0"/>
      <w:jc w:val="center"/>
    </w:pPr>
    <w:rPr>
      <w:rFonts w:hAnsi="Times" w:cs="宋体"/>
    </w:rPr>
  </w:style>
  <w:style w:type="paragraph" w:customStyle="1" w:styleId="3470">
    <w:name w:val="表题14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471">
    <w:name w:val="表内文字小223"/>
    <w:basedOn w:val="1"/>
    <w:qFormat/>
    <w:uiPriority w:val="0"/>
    <w:pPr>
      <w:adjustRightInd w:val="0"/>
      <w:snapToGrid w:val="0"/>
      <w:jc w:val="center"/>
    </w:pPr>
    <w:rPr>
      <w:rFonts w:hAnsi="Times"/>
      <w:bCs/>
      <w:color w:val="000000"/>
    </w:rPr>
  </w:style>
  <w:style w:type="paragraph" w:customStyle="1" w:styleId="3472">
    <w:name w:val="样式 标题 4 + 段前: 0.5 行 段后: 0.5 行1"/>
    <w:basedOn w:val="7"/>
    <w:qFormat/>
    <w:uiPriority w:val="0"/>
    <w:pPr>
      <w:spacing w:beforeLines="50" w:afterLines="50" w:line="480" w:lineRule="exact"/>
    </w:pPr>
    <w:rPr>
      <w:rFonts w:ascii="楷体_GB2312" w:hAnsi="Times New Roman" w:eastAsia="楷体_GB2312" w:cs="宋体"/>
      <w:color w:val="000000"/>
      <w:spacing w:val="-6"/>
      <w:kern w:val="0"/>
      <w:sz w:val="24"/>
      <w:szCs w:val="20"/>
    </w:rPr>
  </w:style>
  <w:style w:type="paragraph" w:customStyle="1" w:styleId="3473">
    <w:name w:val="表内文字小21311"/>
    <w:basedOn w:val="1"/>
    <w:qFormat/>
    <w:uiPriority w:val="0"/>
    <w:pPr>
      <w:adjustRightInd w:val="0"/>
      <w:snapToGrid w:val="0"/>
      <w:jc w:val="center"/>
      <w:textAlignment w:val="baseline"/>
    </w:pPr>
    <w:rPr>
      <w:rFonts w:hAnsi="Times"/>
      <w:bCs/>
      <w:color w:val="000000"/>
    </w:rPr>
  </w:style>
  <w:style w:type="paragraph" w:customStyle="1" w:styleId="3474">
    <w:name w:val="表312"/>
    <w:basedOn w:val="1"/>
    <w:qFormat/>
    <w:uiPriority w:val="0"/>
    <w:pPr>
      <w:adjustRightInd w:val="0"/>
      <w:snapToGrid w:val="0"/>
      <w:jc w:val="center"/>
    </w:pPr>
    <w:rPr>
      <w:rFonts w:eastAsia="仿宋_GB2312"/>
    </w:rPr>
  </w:style>
  <w:style w:type="paragraph" w:customStyle="1" w:styleId="3475">
    <w:name w:val="表内文字小23"/>
    <w:basedOn w:val="1"/>
    <w:qFormat/>
    <w:uiPriority w:val="0"/>
    <w:pPr>
      <w:adjustRightInd w:val="0"/>
      <w:snapToGrid w:val="0"/>
      <w:jc w:val="center"/>
    </w:pPr>
    <w:rPr>
      <w:rFonts w:hAnsi="Times"/>
      <w:bCs/>
      <w:color w:val="000000"/>
    </w:rPr>
  </w:style>
  <w:style w:type="paragraph" w:customStyle="1" w:styleId="3476">
    <w:name w:val="表内5中21"/>
    <w:basedOn w:val="1"/>
    <w:qFormat/>
    <w:uiPriority w:val="0"/>
    <w:pPr>
      <w:adjustRightInd w:val="0"/>
      <w:snapToGrid w:val="0"/>
      <w:jc w:val="center"/>
    </w:pPr>
    <w:rPr>
      <w:rFonts w:hAnsi="宋体" w:cs="Arial"/>
      <w:snapToGrid w:val="0"/>
      <w:color w:val="000000"/>
      <w:szCs w:val="21"/>
    </w:rPr>
  </w:style>
  <w:style w:type="paragraph" w:customStyle="1" w:styleId="3477">
    <w:name w:val="表题1113"/>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478">
    <w:name w:val="9 Char Char Char1"/>
    <w:basedOn w:val="1"/>
    <w:qFormat/>
    <w:uiPriority w:val="0"/>
    <w:pPr>
      <w:spacing w:line="240" w:lineRule="exact"/>
      <w:ind w:firstLine="200" w:firstLineChars="200"/>
    </w:pPr>
    <w:rPr>
      <w:sz w:val="28"/>
      <w:szCs w:val="28"/>
    </w:rPr>
  </w:style>
  <w:style w:type="paragraph" w:customStyle="1" w:styleId="3479">
    <w:name w:val="表题145"/>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480">
    <w:name w:val="默认段落字体 Para Char111"/>
    <w:basedOn w:val="1"/>
    <w:next w:val="1"/>
    <w:qFormat/>
    <w:uiPriority w:val="0"/>
    <w:pPr>
      <w:spacing w:line="480" w:lineRule="exact"/>
      <w:ind w:firstLine="200" w:firstLineChars="200"/>
      <w:jc w:val="left"/>
    </w:pPr>
    <w:rPr>
      <w:rFonts w:hAnsi="宋体" w:eastAsia="汉鼎简书宋" w:cs="宋体"/>
      <w:sz w:val="28"/>
    </w:rPr>
  </w:style>
  <w:style w:type="paragraph" w:customStyle="1" w:styleId="3481">
    <w:name w:val="表文字56"/>
    <w:basedOn w:val="1"/>
    <w:qFormat/>
    <w:uiPriority w:val="0"/>
    <w:pPr>
      <w:adjustRightInd w:val="0"/>
      <w:jc w:val="left"/>
      <w:textAlignment w:val="baseline"/>
    </w:pPr>
  </w:style>
  <w:style w:type="paragraph" w:customStyle="1" w:styleId="3482">
    <w:name w:val="表内文字小21211"/>
    <w:basedOn w:val="1"/>
    <w:qFormat/>
    <w:uiPriority w:val="0"/>
    <w:pPr>
      <w:adjustRightInd w:val="0"/>
      <w:snapToGrid w:val="0"/>
      <w:jc w:val="center"/>
    </w:pPr>
    <w:rPr>
      <w:rFonts w:hAnsi="Times"/>
      <w:bCs/>
      <w:color w:val="000000"/>
    </w:rPr>
  </w:style>
  <w:style w:type="paragraph" w:customStyle="1" w:styleId="3483">
    <w:name w:val="正文格式12"/>
    <w:basedOn w:val="1"/>
    <w:qFormat/>
    <w:uiPriority w:val="0"/>
    <w:pPr>
      <w:spacing w:line="360" w:lineRule="auto"/>
      <w:ind w:firstLine="482"/>
    </w:pPr>
    <w:rPr>
      <w:rFonts w:hAnsi="宋体"/>
    </w:rPr>
  </w:style>
  <w:style w:type="paragraph" w:customStyle="1" w:styleId="3484">
    <w:name w:val="表内宋51114"/>
    <w:basedOn w:val="81"/>
    <w:qFormat/>
    <w:uiPriority w:val="0"/>
    <w:pPr>
      <w:widowControl/>
      <w:adjustRightInd w:val="0"/>
      <w:snapToGrid w:val="0"/>
    </w:pPr>
    <w:rPr>
      <w:rFonts w:ascii="宋体" w:hAnsi="宋体" w:cs="宋体"/>
      <w:color w:val="000000"/>
      <w:kern w:val="0"/>
      <w:sz w:val="21"/>
    </w:rPr>
  </w:style>
  <w:style w:type="paragraph" w:customStyle="1" w:styleId="3485">
    <w:name w:val="Dot1"/>
    <w:basedOn w:val="1"/>
    <w:qFormat/>
    <w:uiPriority w:val="0"/>
    <w:pPr>
      <w:tabs>
        <w:tab w:val="left" w:pos="1668"/>
      </w:tabs>
      <w:ind w:left="1668" w:hanging="420"/>
    </w:pPr>
    <w:rPr>
      <w:rFonts w:eastAsia="MS Mincho"/>
      <w:sz w:val="26"/>
      <w:lang w:val="en-GB" w:eastAsia="ja-JP"/>
    </w:rPr>
  </w:style>
  <w:style w:type="paragraph" w:customStyle="1" w:styleId="3486">
    <w:name w:val="Char102"/>
    <w:basedOn w:val="1"/>
    <w:qFormat/>
    <w:uiPriority w:val="0"/>
    <w:pPr>
      <w:adjustRightInd w:val="0"/>
      <w:snapToGrid w:val="0"/>
      <w:spacing w:line="360" w:lineRule="auto"/>
    </w:pPr>
  </w:style>
  <w:style w:type="paragraph" w:customStyle="1" w:styleId="3487">
    <w:name w:val="正文格式94"/>
    <w:basedOn w:val="1"/>
    <w:qFormat/>
    <w:uiPriority w:val="0"/>
    <w:pPr>
      <w:spacing w:line="360" w:lineRule="auto"/>
      <w:ind w:firstLine="482"/>
    </w:pPr>
    <w:rPr>
      <w:rFonts w:hAnsi="宋体"/>
    </w:rPr>
  </w:style>
  <w:style w:type="paragraph" w:customStyle="1" w:styleId="3488">
    <w:name w:val="文本框14"/>
    <w:basedOn w:val="1"/>
    <w:qFormat/>
    <w:uiPriority w:val="0"/>
    <w:pPr>
      <w:adjustRightInd w:val="0"/>
      <w:snapToGrid w:val="0"/>
      <w:spacing w:after="6"/>
      <w:jc w:val="center"/>
    </w:pPr>
    <w:rPr>
      <w:rFonts w:eastAsia="仿宋_GB2312"/>
    </w:rPr>
  </w:style>
  <w:style w:type="paragraph" w:customStyle="1" w:styleId="3489">
    <w:name w:val="默认段落字体 Para Char34"/>
    <w:basedOn w:val="1"/>
    <w:qFormat/>
    <w:uiPriority w:val="0"/>
    <w:pPr>
      <w:spacing w:line="360" w:lineRule="auto"/>
      <w:ind w:firstLine="200" w:firstLineChars="200"/>
    </w:pPr>
    <w:rPr>
      <w:rFonts w:hAnsi="宋体" w:cs="宋体"/>
    </w:rPr>
  </w:style>
  <w:style w:type="paragraph" w:customStyle="1" w:styleId="3490">
    <w:name w:val="码头表"/>
    <w:basedOn w:val="1"/>
    <w:qFormat/>
    <w:uiPriority w:val="0"/>
    <w:pPr>
      <w:adjustRightInd w:val="0"/>
      <w:spacing w:line="20" w:lineRule="atLeast"/>
      <w:jc w:val="center"/>
      <w:textAlignment w:val="baseline"/>
    </w:pPr>
    <w:rPr>
      <w:rFonts w:ascii="CG Times (W1)" w:hAnsi="CG Times (W1)"/>
      <w:color w:val="0000FF"/>
    </w:rPr>
  </w:style>
  <w:style w:type="paragraph" w:customStyle="1" w:styleId="3491">
    <w:name w:val="Fax Header3"/>
    <w:basedOn w:val="1"/>
    <w:qFormat/>
    <w:uiPriority w:val="0"/>
    <w:pPr>
      <w:widowControl/>
      <w:spacing w:before="240" w:after="60"/>
      <w:jc w:val="left"/>
    </w:pPr>
    <w:rPr>
      <w:sz w:val="20"/>
    </w:rPr>
  </w:style>
  <w:style w:type="paragraph" w:customStyle="1" w:styleId="3492">
    <w:name w:val="Char4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493">
    <w:name w:val="表内宋5中112"/>
    <w:basedOn w:val="1"/>
    <w:qFormat/>
    <w:uiPriority w:val="0"/>
    <w:pPr>
      <w:adjustRightInd w:val="0"/>
      <w:snapToGrid w:val="0"/>
      <w:jc w:val="center"/>
      <w:textAlignment w:val="baseline"/>
    </w:pPr>
    <w:rPr>
      <w:rFonts w:hAnsi="宋体" w:cs="宋体"/>
    </w:rPr>
  </w:style>
  <w:style w:type="paragraph" w:customStyle="1" w:styleId="3494">
    <w:name w:val="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3495">
    <w:name w:val="表题154"/>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496">
    <w:name w:val="表内文字小2211"/>
    <w:basedOn w:val="1"/>
    <w:qFormat/>
    <w:uiPriority w:val="0"/>
    <w:pPr>
      <w:adjustRightInd w:val="0"/>
      <w:snapToGrid w:val="0"/>
      <w:jc w:val="center"/>
    </w:pPr>
    <w:rPr>
      <w:rFonts w:hAnsi="Times"/>
      <w:bCs/>
      <w:color w:val="000000"/>
    </w:rPr>
  </w:style>
  <w:style w:type="paragraph" w:customStyle="1" w:styleId="3497">
    <w:name w:val="表内文字小122"/>
    <w:basedOn w:val="1"/>
    <w:qFormat/>
    <w:uiPriority w:val="0"/>
    <w:pPr>
      <w:adjustRightInd w:val="0"/>
      <w:snapToGrid w:val="0"/>
      <w:jc w:val="center"/>
    </w:pPr>
    <w:rPr>
      <w:rFonts w:hAnsi="Times"/>
    </w:rPr>
  </w:style>
  <w:style w:type="paragraph" w:customStyle="1" w:styleId="3498">
    <w:name w:val="图题511"/>
    <w:basedOn w:val="239"/>
    <w:next w:val="239"/>
    <w:qFormat/>
    <w:uiPriority w:val="0"/>
    <w:pPr>
      <w:ind w:firstLine="0"/>
      <w:jc w:val="center"/>
    </w:pPr>
    <w:rPr>
      <w:rFonts w:ascii="黑体" w:hAnsi="宋体" w:eastAsia="黑体"/>
      <w:b/>
      <w:bCs/>
    </w:rPr>
  </w:style>
  <w:style w:type="paragraph" w:customStyle="1" w:styleId="3499">
    <w:name w:val="燕山正文211"/>
    <w:basedOn w:val="1"/>
    <w:qFormat/>
    <w:uiPriority w:val="0"/>
    <w:pPr>
      <w:tabs>
        <w:tab w:val="left" w:pos="4680"/>
      </w:tabs>
      <w:adjustRightInd w:val="0"/>
      <w:snapToGrid w:val="0"/>
      <w:spacing w:line="480" w:lineRule="exact"/>
    </w:pPr>
    <w:rPr>
      <w:rFonts w:cs="宋体"/>
    </w:rPr>
  </w:style>
  <w:style w:type="paragraph" w:customStyle="1" w:styleId="3500">
    <w:name w:val="－列表2"/>
    <w:basedOn w:val="1"/>
    <w:qFormat/>
    <w:uiPriority w:val="0"/>
    <w:pPr>
      <w:jc w:val="center"/>
    </w:pPr>
    <w:rPr>
      <w:szCs w:val="21"/>
    </w:rPr>
  </w:style>
  <w:style w:type="paragraph" w:customStyle="1" w:styleId="3501">
    <w:name w:val="列表 2B"/>
    <w:basedOn w:val="37"/>
    <w:qFormat/>
    <w:uiPriority w:val="0"/>
    <w:pPr>
      <w:tabs>
        <w:tab w:val="left" w:pos="737"/>
      </w:tabs>
      <w:spacing w:line="288" w:lineRule="auto"/>
      <w:ind w:left="737" w:leftChars="0" w:hanging="567" w:firstLineChars="0"/>
    </w:pPr>
    <w:rPr>
      <w:rFonts w:ascii="Arial" w:hAnsi="Arial"/>
      <w:color w:val="FFFF99"/>
    </w:rPr>
  </w:style>
  <w:style w:type="paragraph" w:customStyle="1" w:styleId="3502">
    <w:name w:val="Indent1"/>
    <w:basedOn w:val="1"/>
    <w:qFormat/>
    <w:uiPriority w:val="0"/>
    <w:pPr>
      <w:overflowPunct w:val="0"/>
      <w:autoSpaceDE w:val="0"/>
      <w:autoSpaceDN w:val="0"/>
      <w:adjustRightInd w:val="0"/>
      <w:ind w:left="1440" w:hanging="720"/>
      <w:jc w:val="left"/>
      <w:textAlignment w:val="baseline"/>
    </w:pPr>
    <w:rPr>
      <w:rFonts w:ascii="Arial" w:hAnsi="Arial"/>
      <w:sz w:val="22"/>
    </w:rPr>
  </w:style>
  <w:style w:type="paragraph" w:customStyle="1" w:styleId="3503">
    <w:name w:val="附件213"/>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504">
    <w:name w:val="样式 正文文本 + 红色 Char Char Char Char Char"/>
    <w:basedOn w:val="1"/>
    <w:qFormat/>
    <w:uiPriority w:val="0"/>
    <w:pPr>
      <w:adjustRightInd w:val="0"/>
      <w:snapToGrid w:val="0"/>
      <w:spacing w:before="60" w:after="60" w:line="264" w:lineRule="auto"/>
      <w:ind w:firstLine="200" w:firstLineChars="200"/>
      <w:textAlignment w:val="baseline"/>
    </w:pPr>
    <w:rPr>
      <w:rFonts w:eastAsia="仿宋_GB2312"/>
      <w:snapToGrid w:val="0"/>
      <w:color w:val="FF0000"/>
    </w:rPr>
  </w:style>
  <w:style w:type="paragraph" w:customStyle="1" w:styleId="3505">
    <w:name w:val="偶数页脚注"/>
    <w:basedOn w:val="55"/>
    <w:qFormat/>
    <w:uiPriority w:val="0"/>
    <w:pPr>
      <w:keepLines/>
      <w:widowControl/>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4"/>
    </w:rPr>
  </w:style>
  <w:style w:type="paragraph" w:customStyle="1" w:styleId="3506">
    <w:name w:val="Char227"/>
    <w:basedOn w:val="1"/>
    <w:qFormat/>
    <w:uiPriority w:val="0"/>
    <w:pPr>
      <w:ind w:left="-48"/>
    </w:pPr>
  </w:style>
  <w:style w:type="paragraph" w:customStyle="1" w:styleId="3507">
    <w:name w:val="正文.1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08">
    <w:name w:val="Char220"/>
    <w:basedOn w:val="1"/>
    <w:qFormat/>
    <w:uiPriority w:val="0"/>
    <w:pPr>
      <w:ind w:left="-48"/>
    </w:pPr>
  </w:style>
  <w:style w:type="paragraph" w:customStyle="1" w:styleId="3509">
    <w:name w:val="正文修改311"/>
    <w:basedOn w:val="1264"/>
    <w:qFormat/>
    <w:uiPriority w:val="0"/>
    <w:rPr>
      <w:rFonts w:hAnsi="宋体"/>
      <w:color w:val="000000"/>
    </w:rPr>
  </w:style>
  <w:style w:type="paragraph" w:customStyle="1" w:styleId="3510">
    <w:name w:val="表内5"/>
    <w:basedOn w:val="3380"/>
    <w:qFormat/>
    <w:uiPriority w:val="0"/>
    <w:pPr>
      <w:jc w:val="both"/>
    </w:pPr>
  </w:style>
  <w:style w:type="paragraph" w:customStyle="1" w:styleId="3511">
    <w:name w:val="表格内字体2112"/>
    <w:basedOn w:val="239"/>
    <w:next w:val="239"/>
    <w:qFormat/>
    <w:uiPriority w:val="0"/>
    <w:pPr>
      <w:spacing w:line="240" w:lineRule="auto"/>
      <w:ind w:firstLine="0"/>
      <w:jc w:val="center"/>
    </w:pPr>
    <w:rPr>
      <w:rFonts w:hAnsi="宋体"/>
      <w:sz w:val="21"/>
    </w:rPr>
  </w:style>
  <w:style w:type="paragraph" w:customStyle="1" w:styleId="3512">
    <w:name w:val="表内541212"/>
    <w:basedOn w:val="1"/>
    <w:qFormat/>
    <w:uiPriority w:val="0"/>
    <w:pPr>
      <w:adjustRightInd w:val="0"/>
      <w:snapToGrid w:val="0"/>
      <w:spacing w:line="300" w:lineRule="auto"/>
      <w:jc w:val="center"/>
    </w:pPr>
    <w:rPr>
      <w:rFonts w:hAnsi="宋体" w:cs="宋体"/>
    </w:rPr>
  </w:style>
  <w:style w:type="paragraph" w:customStyle="1" w:styleId="3513">
    <w:name w:val="T标题4级"/>
    <w:basedOn w:val="7"/>
    <w:next w:val="1"/>
    <w:qFormat/>
    <w:uiPriority w:val="0"/>
    <w:pPr>
      <w:widowControl/>
      <w:tabs>
        <w:tab w:val="left" w:pos="233"/>
      </w:tabs>
      <w:overflowPunct w:val="0"/>
      <w:autoSpaceDE w:val="0"/>
      <w:autoSpaceDN w:val="0"/>
      <w:spacing w:beforeLines="50" w:afterLines="50" w:line="360" w:lineRule="auto"/>
      <w:ind w:left="2520" w:hanging="420" w:hangingChars="200"/>
      <w:jc w:val="left"/>
      <w:textAlignment w:val="baseline"/>
    </w:pPr>
    <w:rPr>
      <w:rFonts w:ascii="宋体" w:hAnsi="宋体" w:eastAsia="宋体"/>
      <w:b/>
      <w:bCs w:val="0"/>
      <w:color w:val="000000"/>
      <w:spacing w:val="-6"/>
      <w:kern w:val="0"/>
      <w:sz w:val="30"/>
      <w:szCs w:val="24"/>
    </w:rPr>
  </w:style>
  <w:style w:type="paragraph" w:customStyle="1" w:styleId="3514">
    <w:name w:val="表内53112"/>
    <w:basedOn w:val="1"/>
    <w:qFormat/>
    <w:uiPriority w:val="0"/>
    <w:pPr>
      <w:adjustRightInd w:val="0"/>
      <w:snapToGrid w:val="0"/>
      <w:spacing w:line="300" w:lineRule="auto"/>
      <w:jc w:val="left"/>
    </w:pPr>
  </w:style>
  <w:style w:type="paragraph" w:customStyle="1" w:styleId="3515">
    <w:name w:val="正文修改112"/>
    <w:basedOn w:val="1264"/>
    <w:qFormat/>
    <w:uiPriority w:val="0"/>
    <w:rPr>
      <w:rFonts w:hAnsi="宋体"/>
      <w:color w:val="000000"/>
    </w:rPr>
  </w:style>
  <w:style w:type="paragraph" w:customStyle="1" w:styleId="3516">
    <w:name w:val="Char3 Char Char Char Char Char Char Char Char Char"/>
    <w:basedOn w:val="1"/>
    <w:qFormat/>
    <w:uiPriority w:val="0"/>
    <w:rPr>
      <w:szCs w:val="21"/>
    </w:rPr>
  </w:style>
  <w:style w:type="paragraph" w:customStyle="1" w:styleId="3517">
    <w:name w:val="Char Char Char1 Char Char Char Char Char Char Char"/>
    <w:basedOn w:val="1"/>
    <w:qFormat/>
    <w:uiPriority w:val="0"/>
    <w:rPr>
      <w:rFonts w:ascii="Tahoma" w:hAnsi="Tahoma"/>
    </w:rPr>
  </w:style>
  <w:style w:type="paragraph" w:customStyle="1" w:styleId="3518">
    <w:name w:val="+标题1"/>
    <w:basedOn w:val="4"/>
    <w:qFormat/>
    <w:uiPriority w:val="0"/>
    <w:pPr>
      <w:pageBreakBefore/>
      <w:tabs>
        <w:tab w:val="left" w:pos="432"/>
        <w:tab w:val="left" w:pos="2040"/>
      </w:tabs>
      <w:spacing w:beforeLines="100" w:afterLines="100" w:line="360" w:lineRule="auto"/>
      <w:ind w:left="432" w:leftChars="800" w:hanging="632" w:hangingChars="200"/>
      <w:jc w:val="center"/>
    </w:pPr>
    <w:rPr>
      <w:rFonts w:ascii="仿宋_GB2312" w:eastAsia="仿宋_GB2312"/>
      <w:bCs w:val="0"/>
      <w:color w:val="FF0000"/>
      <w:sz w:val="32"/>
      <w:szCs w:val="32"/>
    </w:rPr>
  </w:style>
  <w:style w:type="paragraph" w:customStyle="1" w:styleId="3519">
    <w:name w:val="标题4311"/>
    <w:basedOn w:val="1"/>
    <w:qFormat/>
    <w:uiPriority w:val="0"/>
    <w:pPr>
      <w:adjustRightInd w:val="0"/>
      <w:snapToGrid w:val="0"/>
      <w:spacing w:line="480" w:lineRule="exact"/>
      <w:jc w:val="center"/>
    </w:pPr>
    <w:rPr>
      <w:rFonts w:hAnsi="宋体" w:cs="宋体"/>
    </w:rPr>
  </w:style>
  <w:style w:type="paragraph" w:customStyle="1" w:styleId="3520">
    <w:name w:val="Char Char Char Char Char Char Char Char Char Char Char Char Char Char Char Char Char Char Char Char Char Char Char Char Char Char Char Char"/>
    <w:basedOn w:val="1"/>
    <w:qFormat/>
    <w:uiPriority w:val="0"/>
  </w:style>
  <w:style w:type="paragraph" w:customStyle="1" w:styleId="3521">
    <w:name w:val="默认段落字体 Para Char Char Char Char41"/>
    <w:basedOn w:val="1"/>
    <w:qFormat/>
    <w:uiPriority w:val="0"/>
  </w:style>
  <w:style w:type="paragraph" w:customStyle="1" w:styleId="3522">
    <w:name w:val="默认段落字体 Para Char Char Char Char63"/>
    <w:basedOn w:val="1"/>
    <w:qFormat/>
    <w:uiPriority w:val="0"/>
  </w:style>
  <w:style w:type="paragraph" w:customStyle="1" w:styleId="3523">
    <w:name w:val="Char Char Char Char Char Char Char213"/>
    <w:basedOn w:val="1"/>
    <w:qFormat/>
    <w:uiPriority w:val="0"/>
  </w:style>
  <w:style w:type="paragraph" w:customStyle="1" w:styleId="3524">
    <w:name w:val="Char Char Char Char Char Char Char127"/>
    <w:basedOn w:val="1"/>
    <w:qFormat/>
    <w:uiPriority w:val="0"/>
  </w:style>
  <w:style w:type="paragraph" w:customStyle="1" w:styleId="3525">
    <w:name w:val="edri-title secong"/>
    <w:basedOn w:val="1"/>
    <w:qFormat/>
    <w:uiPriority w:val="0"/>
    <w:pPr>
      <w:tabs>
        <w:tab w:val="left" w:pos="2"/>
        <w:tab w:val="left" w:pos="945"/>
      </w:tabs>
      <w:spacing w:beforeLines="50" w:line="300" w:lineRule="auto"/>
      <w:ind w:left="966" w:hanging="964"/>
      <w:outlineLvl w:val="1"/>
    </w:pPr>
    <w:rPr>
      <w:rFonts w:ascii="Arial Narrow" w:hAnsi="Arial Narrow"/>
      <w:b/>
      <w:bCs/>
      <w:sz w:val="28"/>
    </w:rPr>
  </w:style>
  <w:style w:type="paragraph" w:customStyle="1" w:styleId="3526">
    <w:name w:val="表题314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527">
    <w:name w:val="表题1414"/>
    <w:basedOn w:val="1"/>
    <w:qFormat/>
    <w:uiPriority w:val="0"/>
    <w:pPr>
      <w:widowControl/>
      <w:adjustRightInd w:val="0"/>
      <w:snapToGrid w:val="0"/>
      <w:jc w:val="center"/>
    </w:pPr>
    <w:rPr>
      <w:rFonts w:ascii="黑体" w:hAnsi="宋体" w:eastAsia="黑体" w:cs="宋体"/>
    </w:rPr>
  </w:style>
  <w:style w:type="paragraph" w:customStyle="1" w:styleId="3528">
    <w:name w:val="正文修改51"/>
    <w:basedOn w:val="1264"/>
    <w:qFormat/>
    <w:uiPriority w:val="0"/>
    <w:rPr>
      <w:rFonts w:hAnsi="宋体"/>
      <w:color w:val="000000"/>
    </w:rPr>
  </w:style>
  <w:style w:type="paragraph" w:customStyle="1" w:styleId="3529">
    <w:name w:val="样式 标题 3小标题小节标题标题3H3h33rd level第二层条标题4 + Arial 两端对齐"/>
    <w:basedOn w:val="6"/>
    <w:qFormat/>
    <w:uiPriority w:val="0"/>
    <w:pPr>
      <w:tabs>
        <w:tab w:val="left" w:pos="233"/>
        <w:tab w:val="left" w:pos="993"/>
        <w:tab w:val="left" w:pos="1050"/>
        <w:tab w:val="left" w:pos="1111"/>
      </w:tabs>
      <w:adjustRightInd w:val="0"/>
      <w:spacing w:before="0" w:after="0" w:line="360" w:lineRule="auto"/>
      <w:ind w:left="851" w:hanging="851"/>
      <w:textAlignment w:val="baseline"/>
    </w:pPr>
    <w:rPr>
      <w:rFonts w:ascii="Arial" w:hAnsi="Arial" w:cs="宋体"/>
      <w:color w:val="000000"/>
      <w:sz w:val="30"/>
      <w:szCs w:val="30"/>
    </w:rPr>
  </w:style>
  <w:style w:type="paragraph" w:customStyle="1" w:styleId="3530">
    <w:name w:val="首页页眉样式"/>
    <w:basedOn w:val="57"/>
    <w:qFormat/>
    <w:uiPriority w:val="0"/>
    <w:pPr>
      <w:pBdr>
        <w:bottom w:val="none" w:color="auto" w:sz="0" w:space="0"/>
      </w:pBdr>
      <w:tabs>
        <w:tab w:val="clear" w:pos="4153"/>
        <w:tab w:val="clear" w:pos="8306"/>
      </w:tabs>
      <w:adjustRightInd w:val="0"/>
      <w:spacing w:line="360" w:lineRule="auto"/>
      <w:textAlignment w:val="baseline"/>
    </w:pPr>
    <w:rPr>
      <w:rFonts w:ascii="楷体_GB2312" w:hAnsi="Alaska" w:eastAsia="楷体_GB2312"/>
      <w:spacing w:val="-20"/>
      <w:kern w:val="0"/>
      <w:szCs w:val="20"/>
    </w:rPr>
  </w:style>
  <w:style w:type="paragraph" w:customStyle="1" w:styleId="3531">
    <w:name w:val="Char Char Char Char1 Char Char Char18"/>
    <w:basedOn w:val="1"/>
    <w:qFormat/>
    <w:uiPriority w:val="0"/>
    <w:pPr>
      <w:widowControl/>
      <w:spacing w:after="160" w:line="240" w:lineRule="exact"/>
      <w:jc w:val="left"/>
    </w:pPr>
    <w:rPr>
      <w:rFonts w:ascii="Verdana" w:hAnsi="Verdana"/>
      <w:sz w:val="20"/>
      <w:lang w:eastAsia="en-US"/>
    </w:rPr>
  </w:style>
  <w:style w:type="paragraph" w:customStyle="1" w:styleId="3532">
    <w:name w:val="样式1212"/>
    <w:basedOn w:val="2245"/>
    <w:qFormat/>
    <w:uiPriority w:val="0"/>
    <w:pPr>
      <w:spacing w:line="240" w:lineRule="auto"/>
      <w:ind w:firstLine="0"/>
      <w:jc w:val="center"/>
    </w:pPr>
    <w:rPr>
      <w:rFonts w:cs="Times New Roman"/>
      <w:b/>
      <w:color w:val="auto"/>
      <w:szCs w:val="20"/>
    </w:rPr>
  </w:style>
  <w:style w:type="paragraph" w:customStyle="1" w:styleId="3533">
    <w:name w:val="Char92"/>
    <w:basedOn w:val="1"/>
    <w:qFormat/>
    <w:uiPriority w:val="0"/>
    <w:pPr>
      <w:ind w:left="-48"/>
    </w:pPr>
  </w:style>
  <w:style w:type="paragraph" w:customStyle="1" w:styleId="3534">
    <w:name w:val="标题422"/>
    <w:basedOn w:val="1"/>
    <w:qFormat/>
    <w:uiPriority w:val="0"/>
    <w:pPr>
      <w:adjustRightInd w:val="0"/>
      <w:snapToGrid w:val="0"/>
      <w:spacing w:line="300" w:lineRule="auto"/>
      <w:jc w:val="left"/>
    </w:pPr>
    <w:rPr>
      <w:rFonts w:ascii="黑体" w:eastAsia="黑体"/>
      <w:bCs/>
    </w:rPr>
  </w:style>
  <w:style w:type="paragraph" w:customStyle="1" w:styleId="3535">
    <w:name w:val="图题312"/>
    <w:basedOn w:val="239"/>
    <w:next w:val="239"/>
    <w:qFormat/>
    <w:uiPriority w:val="0"/>
    <w:pPr>
      <w:ind w:firstLine="0"/>
      <w:jc w:val="center"/>
    </w:pPr>
    <w:rPr>
      <w:rFonts w:ascii="黑体" w:hAnsi="宋体" w:eastAsia="黑体"/>
      <w:b/>
      <w:bCs/>
    </w:rPr>
  </w:style>
  <w:style w:type="paragraph" w:customStyle="1" w:styleId="3536">
    <w:name w:val="图题41"/>
    <w:basedOn w:val="239"/>
    <w:next w:val="239"/>
    <w:qFormat/>
    <w:uiPriority w:val="0"/>
    <w:pPr>
      <w:ind w:firstLine="0"/>
      <w:jc w:val="center"/>
    </w:pPr>
    <w:rPr>
      <w:rFonts w:ascii="黑体" w:hAnsi="宋体" w:eastAsia="黑体"/>
      <w:b/>
      <w:bCs/>
    </w:rPr>
  </w:style>
  <w:style w:type="paragraph" w:customStyle="1" w:styleId="3537">
    <w:name w:val="编号引导"/>
    <w:basedOn w:val="21"/>
    <w:next w:val="21"/>
    <w:qFormat/>
    <w:uiPriority w:val="0"/>
    <w:pPr>
      <w:widowControl/>
      <w:tabs>
        <w:tab w:val="clear" w:pos="360"/>
      </w:tabs>
      <w:overflowPunct w:val="0"/>
      <w:autoSpaceDE w:val="0"/>
      <w:autoSpaceDN w:val="0"/>
      <w:adjustRightInd w:val="0"/>
      <w:spacing w:before="80" w:after="160"/>
      <w:ind w:left="720" w:firstLine="0" w:firstLineChars="0"/>
      <w:jc w:val="left"/>
      <w:textAlignment w:val="baseline"/>
    </w:pPr>
    <w:rPr>
      <w:b/>
      <w:sz w:val="20"/>
    </w:rPr>
  </w:style>
  <w:style w:type="paragraph" w:customStyle="1" w:styleId="3538">
    <w:name w:val="表内5913"/>
    <w:basedOn w:val="1"/>
    <w:qFormat/>
    <w:uiPriority w:val="0"/>
    <w:pPr>
      <w:adjustRightInd w:val="0"/>
      <w:snapToGrid w:val="0"/>
      <w:spacing w:line="300" w:lineRule="auto"/>
      <w:jc w:val="center"/>
    </w:pPr>
    <w:rPr>
      <w:snapToGrid w:val="0"/>
      <w:szCs w:val="21"/>
    </w:rPr>
  </w:style>
  <w:style w:type="paragraph" w:customStyle="1" w:styleId="3539">
    <w:name w:val="表格内字体311"/>
    <w:basedOn w:val="239"/>
    <w:next w:val="239"/>
    <w:qFormat/>
    <w:uiPriority w:val="0"/>
    <w:pPr>
      <w:spacing w:line="240" w:lineRule="auto"/>
      <w:ind w:firstLine="0"/>
      <w:jc w:val="center"/>
    </w:pPr>
    <w:rPr>
      <w:rFonts w:hAnsi="宋体"/>
      <w:sz w:val="21"/>
    </w:rPr>
  </w:style>
  <w:style w:type="paragraph" w:customStyle="1" w:styleId="3540">
    <w:name w:val="黑体三号23"/>
    <w:basedOn w:val="239"/>
    <w:qFormat/>
    <w:uiPriority w:val="0"/>
    <w:pPr>
      <w:jc w:val="center"/>
    </w:pPr>
    <w:rPr>
      <w:rFonts w:ascii="黑体" w:hAnsi="宋体" w:eastAsia="黑体"/>
      <w:b/>
      <w:bCs/>
      <w:sz w:val="32"/>
      <w:szCs w:val="20"/>
    </w:rPr>
  </w:style>
  <w:style w:type="paragraph" w:customStyle="1" w:styleId="3541">
    <w:name w:val="默认段落字体 Para Char Char Char Char22"/>
    <w:basedOn w:val="1"/>
    <w:qFormat/>
    <w:uiPriority w:val="0"/>
  </w:style>
  <w:style w:type="paragraph" w:customStyle="1" w:styleId="3542">
    <w:name w:val="表格内字体413"/>
    <w:basedOn w:val="239"/>
    <w:next w:val="239"/>
    <w:qFormat/>
    <w:uiPriority w:val="0"/>
    <w:pPr>
      <w:spacing w:line="240" w:lineRule="auto"/>
      <w:ind w:firstLine="0"/>
      <w:jc w:val="center"/>
    </w:pPr>
    <w:rPr>
      <w:rFonts w:hAnsi="宋体"/>
      <w:sz w:val="21"/>
    </w:rPr>
  </w:style>
  <w:style w:type="paragraph" w:customStyle="1" w:styleId="3543">
    <w:name w:val="样式 表内小5 + 黑体 加粗 倾斜 下划线2"/>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544">
    <w:name w:val="表题312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545">
    <w:name w:val="表格内字体611"/>
    <w:basedOn w:val="239"/>
    <w:next w:val="239"/>
    <w:qFormat/>
    <w:uiPriority w:val="0"/>
    <w:pPr>
      <w:spacing w:line="240" w:lineRule="auto"/>
      <w:ind w:firstLine="0"/>
      <w:jc w:val="center"/>
    </w:pPr>
    <w:rPr>
      <w:rFonts w:hAnsi="宋体"/>
      <w:sz w:val="21"/>
    </w:rPr>
  </w:style>
  <w:style w:type="paragraph" w:customStyle="1" w:styleId="3546">
    <w:name w:val="Char Char Char Char Char Char Char38"/>
    <w:basedOn w:val="1"/>
    <w:qFormat/>
    <w:uiPriority w:val="0"/>
  </w:style>
  <w:style w:type="paragraph" w:customStyle="1" w:styleId="3547">
    <w:name w:val="Char Char2 Char Char Char Char11"/>
    <w:basedOn w:val="1"/>
    <w:qFormat/>
    <w:uiPriority w:val="0"/>
  </w:style>
  <w:style w:type="paragraph" w:customStyle="1" w:styleId="3548">
    <w:name w:val="空行"/>
    <w:basedOn w:val="1"/>
    <w:qFormat/>
    <w:uiPriority w:val="0"/>
    <w:pPr>
      <w:overflowPunct w:val="0"/>
      <w:topLinePunct/>
      <w:autoSpaceDE w:val="0"/>
      <w:adjustRightInd w:val="0"/>
      <w:snapToGrid w:val="0"/>
      <w:spacing w:line="360" w:lineRule="auto"/>
    </w:pPr>
    <w:rPr>
      <w:b/>
    </w:rPr>
  </w:style>
  <w:style w:type="paragraph" w:customStyle="1" w:styleId="3549">
    <w:name w:val="图题32"/>
    <w:basedOn w:val="239"/>
    <w:next w:val="239"/>
    <w:qFormat/>
    <w:uiPriority w:val="0"/>
    <w:pPr>
      <w:ind w:firstLine="0"/>
      <w:jc w:val="center"/>
    </w:pPr>
    <w:rPr>
      <w:rFonts w:ascii="黑体" w:hAnsi="宋体" w:eastAsia="黑体"/>
      <w:b/>
      <w:bCs/>
    </w:rPr>
  </w:style>
  <w:style w:type="paragraph" w:customStyle="1" w:styleId="3550">
    <w:name w:val="附件4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551">
    <w:name w:val="Char Char Char Char Char Char Char37"/>
    <w:basedOn w:val="1"/>
    <w:qFormat/>
    <w:uiPriority w:val="0"/>
  </w:style>
  <w:style w:type="paragraph" w:customStyle="1" w:styleId="3552">
    <w:name w:val="图题15"/>
    <w:basedOn w:val="239"/>
    <w:next w:val="239"/>
    <w:qFormat/>
    <w:uiPriority w:val="0"/>
    <w:pPr>
      <w:ind w:firstLine="0"/>
      <w:jc w:val="center"/>
    </w:pPr>
    <w:rPr>
      <w:rFonts w:ascii="黑体" w:hAnsi="宋体" w:eastAsia="黑体"/>
      <w:b/>
      <w:bCs/>
    </w:rPr>
  </w:style>
  <w:style w:type="paragraph" w:customStyle="1" w:styleId="3553">
    <w:name w:val="Char Char Char Char Char Char Char151"/>
    <w:basedOn w:val="1"/>
    <w:qFormat/>
    <w:uiPriority w:val="0"/>
  </w:style>
  <w:style w:type="paragraph" w:customStyle="1" w:styleId="3554">
    <w:name w:val="样式 正文文本 + (中文) 黑体 红色 Char Char Char Char Char"/>
    <w:basedOn w:val="1"/>
    <w:qFormat/>
    <w:uiPriority w:val="0"/>
    <w:pPr>
      <w:adjustRightInd w:val="0"/>
      <w:snapToGrid w:val="0"/>
      <w:spacing w:before="60" w:after="60" w:line="264" w:lineRule="auto"/>
      <w:ind w:firstLine="200" w:firstLineChars="200"/>
      <w:textAlignment w:val="baseline"/>
    </w:pPr>
    <w:rPr>
      <w:rFonts w:eastAsia="黑体"/>
      <w:snapToGrid w:val="0"/>
      <w:color w:val="FF0000"/>
    </w:rPr>
  </w:style>
  <w:style w:type="paragraph" w:customStyle="1" w:styleId="3555">
    <w:name w:val="8--"/>
    <w:basedOn w:val="1"/>
    <w:qFormat/>
    <w:uiPriority w:val="0"/>
    <w:pPr>
      <w:pBdr>
        <w:top w:val="single" w:color="auto" w:sz="4" w:space="1"/>
      </w:pBdr>
      <w:adjustRightInd w:val="0"/>
      <w:spacing w:line="360" w:lineRule="atLeast"/>
      <w:jc w:val="left"/>
      <w:textAlignment w:val="baseline"/>
    </w:pPr>
  </w:style>
  <w:style w:type="paragraph" w:customStyle="1" w:styleId="3556">
    <w:name w:val="表格内字体1112"/>
    <w:basedOn w:val="239"/>
    <w:qFormat/>
    <w:uiPriority w:val="0"/>
    <w:pPr>
      <w:spacing w:line="240" w:lineRule="auto"/>
      <w:ind w:firstLine="0"/>
      <w:jc w:val="center"/>
    </w:pPr>
    <w:rPr>
      <w:sz w:val="21"/>
      <w:szCs w:val="20"/>
    </w:rPr>
  </w:style>
  <w:style w:type="paragraph" w:customStyle="1" w:styleId="3557">
    <w:name w:val="黑体三号13"/>
    <w:basedOn w:val="239"/>
    <w:qFormat/>
    <w:uiPriority w:val="0"/>
    <w:pPr>
      <w:jc w:val="center"/>
    </w:pPr>
    <w:rPr>
      <w:rFonts w:ascii="黑体" w:hAnsi="宋体" w:eastAsia="黑体"/>
      <w:b/>
      <w:bCs/>
      <w:sz w:val="32"/>
      <w:szCs w:val="20"/>
    </w:rPr>
  </w:style>
  <w:style w:type="paragraph" w:customStyle="1" w:styleId="3558">
    <w:name w:val="表内文字边2"/>
    <w:basedOn w:val="1"/>
    <w:qFormat/>
    <w:uiPriority w:val="0"/>
    <w:pPr>
      <w:widowControl/>
      <w:adjustRightInd w:val="0"/>
      <w:snapToGrid w:val="0"/>
      <w:spacing w:line="240" w:lineRule="atLeast"/>
      <w:ind w:left="-21" w:leftChars="-10" w:right="-42" w:rightChars="-20"/>
    </w:pPr>
    <w:rPr>
      <w:szCs w:val="21"/>
    </w:rPr>
  </w:style>
  <w:style w:type="paragraph" w:customStyle="1" w:styleId="3559">
    <w:name w:val="表格内字体223"/>
    <w:basedOn w:val="239"/>
    <w:next w:val="239"/>
    <w:qFormat/>
    <w:uiPriority w:val="0"/>
    <w:pPr>
      <w:spacing w:line="240" w:lineRule="auto"/>
      <w:ind w:firstLine="0"/>
      <w:jc w:val="center"/>
    </w:pPr>
    <w:rPr>
      <w:rFonts w:hAnsi="宋体"/>
      <w:sz w:val="21"/>
    </w:rPr>
  </w:style>
  <w:style w:type="paragraph" w:customStyle="1" w:styleId="3560">
    <w:name w:val="Char Char Char Char Char Char Char16"/>
    <w:basedOn w:val="1"/>
    <w:qFormat/>
    <w:uiPriority w:val="0"/>
  </w:style>
  <w:style w:type="paragraph" w:customStyle="1" w:styleId="3561">
    <w:name w:val="Char1 Char Char Char Char Char Char Char Char Char Char Char"/>
    <w:basedOn w:val="1"/>
    <w:qFormat/>
    <w:uiPriority w:val="0"/>
    <w:pPr>
      <w:spacing w:line="480" w:lineRule="exact"/>
    </w:pPr>
  </w:style>
  <w:style w:type="paragraph" w:customStyle="1" w:styleId="3562">
    <w:name w:val="Char23"/>
    <w:basedOn w:val="1"/>
    <w:qFormat/>
    <w:uiPriority w:val="0"/>
    <w:pPr>
      <w:ind w:left="-48"/>
    </w:pPr>
  </w:style>
  <w:style w:type="paragraph" w:customStyle="1" w:styleId="3563">
    <w:name w:val="样式2－王鹏"/>
    <w:basedOn w:val="1"/>
    <w:qFormat/>
    <w:uiPriority w:val="0"/>
    <w:pPr>
      <w:pBdr>
        <w:top w:val="single" w:color="auto" w:sz="4" w:space="1"/>
      </w:pBdr>
      <w:autoSpaceDE w:val="0"/>
      <w:autoSpaceDN w:val="0"/>
      <w:adjustRightInd w:val="0"/>
      <w:snapToGrid w:val="0"/>
      <w:spacing w:line="300" w:lineRule="auto"/>
      <w:jc w:val="center"/>
      <w:textAlignment w:val="baseline"/>
    </w:pPr>
    <w:rPr>
      <w:szCs w:val="21"/>
    </w:rPr>
  </w:style>
  <w:style w:type="paragraph" w:customStyle="1" w:styleId="3564">
    <w:name w:val="燕山正文7"/>
    <w:basedOn w:val="1"/>
    <w:qFormat/>
    <w:uiPriority w:val="0"/>
    <w:pPr>
      <w:tabs>
        <w:tab w:val="left" w:pos="4680"/>
      </w:tabs>
      <w:adjustRightInd w:val="0"/>
      <w:snapToGrid w:val="0"/>
      <w:spacing w:line="480" w:lineRule="exact"/>
    </w:pPr>
    <w:rPr>
      <w:rFonts w:cs="宋体"/>
    </w:rPr>
  </w:style>
  <w:style w:type="paragraph" w:customStyle="1" w:styleId="3565">
    <w:name w:val="标题 4PIM 4h4第三层条标题 4 Char Char Char Char CharH4bulletbl...1"/>
    <w:basedOn w:val="7"/>
    <w:qFormat/>
    <w:uiPriority w:val="0"/>
    <w:pPr>
      <w:keepNext w:val="0"/>
      <w:keepLines w:val="0"/>
      <w:spacing w:line="360" w:lineRule="auto"/>
      <w:ind w:firstLine="567"/>
    </w:pPr>
    <w:rPr>
      <w:rFonts w:hAnsi="仿宋_GB2312"/>
    </w:rPr>
  </w:style>
  <w:style w:type="paragraph" w:customStyle="1" w:styleId="3566">
    <w:name w:val="couv"/>
    <w:basedOn w:val="1"/>
    <w:qFormat/>
    <w:uiPriority w:val="0"/>
    <w:pPr>
      <w:widowControl/>
      <w:spacing w:before="120" w:after="120"/>
      <w:ind w:firstLine="200" w:firstLineChars="200"/>
      <w:jc w:val="center"/>
    </w:pPr>
    <w:rPr>
      <w:b/>
      <w:sz w:val="40"/>
      <w:lang w:val="en-GB"/>
    </w:rPr>
  </w:style>
  <w:style w:type="paragraph" w:customStyle="1" w:styleId="3567">
    <w:name w:val="表中文字14"/>
    <w:basedOn w:val="1"/>
    <w:qFormat/>
    <w:uiPriority w:val="0"/>
    <w:pPr>
      <w:widowControl/>
      <w:spacing w:line="240" w:lineRule="atLeast"/>
      <w:ind w:left="-24" w:leftChars="-10" w:right="-48" w:rightChars="-20"/>
      <w:jc w:val="center"/>
    </w:pPr>
    <w:rPr>
      <w:szCs w:val="21"/>
    </w:rPr>
  </w:style>
  <w:style w:type="paragraph" w:customStyle="1" w:styleId="3568">
    <w:name w:val="燕山正文11212"/>
    <w:basedOn w:val="1"/>
    <w:qFormat/>
    <w:uiPriority w:val="0"/>
    <w:pPr>
      <w:tabs>
        <w:tab w:val="left" w:pos="4680"/>
      </w:tabs>
      <w:adjustRightInd w:val="0"/>
      <w:snapToGrid w:val="0"/>
      <w:spacing w:line="480" w:lineRule="exact"/>
    </w:pPr>
    <w:rPr>
      <w:rFonts w:hAnsi="宋体" w:cs="宋体"/>
      <w:bCs/>
      <w:color w:val="000000"/>
    </w:rPr>
  </w:style>
  <w:style w:type="paragraph" w:customStyle="1" w:styleId="3569">
    <w:name w:val="表格标题11"/>
    <w:basedOn w:val="60"/>
    <w:qFormat/>
    <w:uiPriority w:val="0"/>
    <w:pPr>
      <w:pBdr>
        <w:top w:val="single" w:color="auto" w:sz="4" w:space="1"/>
      </w:pBdr>
      <w:tabs>
        <w:tab w:val="left" w:pos="0"/>
      </w:tabs>
      <w:adjustRightInd w:val="0"/>
      <w:spacing w:before="0" w:after="0" w:line="240" w:lineRule="atLeast"/>
      <w:ind w:left="0" w:firstLine="0"/>
      <w:jc w:val="center"/>
      <w:textAlignment w:val="baseline"/>
    </w:pPr>
    <w:rPr>
      <w:rFonts w:ascii="Times New Roman" w:hAnsi="Times New Roman" w:eastAsia="宋体"/>
      <w:b/>
    </w:rPr>
  </w:style>
  <w:style w:type="paragraph" w:customStyle="1" w:styleId="3570">
    <w:name w:val="表格内字体7"/>
    <w:basedOn w:val="239"/>
    <w:next w:val="239"/>
    <w:qFormat/>
    <w:uiPriority w:val="0"/>
    <w:pPr>
      <w:spacing w:line="240" w:lineRule="auto"/>
      <w:ind w:firstLine="0"/>
      <w:jc w:val="center"/>
    </w:pPr>
    <w:rPr>
      <w:rFonts w:hAnsi="宋体"/>
      <w:sz w:val="21"/>
    </w:rPr>
  </w:style>
  <w:style w:type="paragraph" w:customStyle="1" w:styleId="3571">
    <w:name w:val="Char332"/>
    <w:basedOn w:val="1"/>
    <w:qFormat/>
    <w:uiPriority w:val="0"/>
    <w:pPr>
      <w:ind w:left="-48"/>
    </w:pPr>
  </w:style>
  <w:style w:type="paragraph" w:customStyle="1" w:styleId="3572">
    <w:name w:val="Char113"/>
    <w:basedOn w:val="1"/>
    <w:qFormat/>
    <w:uiPriority w:val="0"/>
    <w:pPr>
      <w:ind w:left="-48"/>
    </w:pPr>
  </w:style>
  <w:style w:type="paragraph" w:customStyle="1" w:styleId="3573">
    <w:name w:val="表内5415"/>
    <w:basedOn w:val="1"/>
    <w:qFormat/>
    <w:uiPriority w:val="0"/>
    <w:pPr>
      <w:adjustRightInd w:val="0"/>
      <w:snapToGrid w:val="0"/>
      <w:spacing w:line="300" w:lineRule="auto"/>
      <w:jc w:val="center"/>
    </w:pPr>
    <w:rPr>
      <w:rFonts w:hAnsi="宋体" w:cs="宋体"/>
    </w:rPr>
  </w:style>
  <w:style w:type="paragraph" w:customStyle="1" w:styleId="3574">
    <w:name w:val="默认段落字体 Para Char Char Char Char31"/>
    <w:basedOn w:val="1"/>
    <w:qFormat/>
    <w:uiPriority w:val="0"/>
  </w:style>
  <w:style w:type="paragraph" w:customStyle="1" w:styleId="3575">
    <w:name w:val="样式 标题 3 + 段前: 12 磅1"/>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3576">
    <w:name w:val="正文修改24"/>
    <w:basedOn w:val="1264"/>
    <w:qFormat/>
    <w:uiPriority w:val="0"/>
    <w:rPr>
      <w:rFonts w:hAnsi="宋体"/>
      <w:color w:val="000000"/>
    </w:rPr>
  </w:style>
  <w:style w:type="paragraph" w:customStyle="1" w:styleId="3577">
    <w:name w:val="燕山正文3"/>
    <w:basedOn w:val="1"/>
    <w:qFormat/>
    <w:uiPriority w:val="0"/>
    <w:pPr>
      <w:tabs>
        <w:tab w:val="left" w:pos="4680"/>
      </w:tabs>
      <w:adjustRightInd w:val="0"/>
      <w:snapToGrid w:val="0"/>
      <w:spacing w:line="480" w:lineRule="exact"/>
    </w:pPr>
    <w:rPr>
      <w:rFonts w:cs="宋体"/>
    </w:rPr>
  </w:style>
  <w:style w:type="paragraph" w:customStyle="1" w:styleId="3578">
    <w:name w:val="A正文13"/>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3579">
    <w:name w:val="1pt line"/>
    <w:qFormat/>
    <w:uiPriority w:val="0"/>
    <w:pPr>
      <w:pBdr>
        <w:bottom w:val="single" w:color="auto" w:sz="8" w:space="1"/>
      </w:pBdr>
      <w:spacing w:line="20" w:lineRule="exact"/>
    </w:pPr>
    <w:rPr>
      <w:rFonts w:ascii="Times New Roman" w:hAnsi="Times New Roman" w:eastAsia="PMingLiU" w:cs="Times New Roman"/>
      <w:lang w:val="en-US" w:eastAsia="zh-TW" w:bidi="ar-SA"/>
    </w:rPr>
  </w:style>
  <w:style w:type="paragraph" w:customStyle="1" w:styleId="3580">
    <w:name w:val="Char313"/>
    <w:basedOn w:val="1"/>
    <w:qFormat/>
    <w:uiPriority w:val="0"/>
    <w:pPr>
      <w:ind w:left="-48"/>
    </w:pPr>
  </w:style>
  <w:style w:type="paragraph" w:customStyle="1" w:styleId="3581">
    <w:name w:val="正文格式＝611"/>
    <w:basedOn w:val="239"/>
    <w:next w:val="239"/>
    <w:qFormat/>
    <w:uiPriority w:val="0"/>
    <w:rPr>
      <w:rFonts w:hAnsi="宋体"/>
    </w:rPr>
  </w:style>
  <w:style w:type="paragraph" w:customStyle="1" w:styleId="358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583">
    <w:name w:val="样式 标题 4 + 两端对齐"/>
    <w:basedOn w:val="7"/>
    <w:qFormat/>
    <w:uiPriority w:val="0"/>
    <w:pPr>
      <w:keepLines w:val="0"/>
      <w:tabs>
        <w:tab w:val="left" w:pos="0"/>
        <w:tab w:val="left" w:pos="233"/>
      </w:tabs>
      <w:adjustRightInd w:val="0"/>
      <w:snapToGrid w:val="0"/>
      <w:spacing w:afterLines="50" w:line="240" w:lineRule="auto"/>
      <w:ind w:left="-624" w:hanging="200" w:hangingChars="200"/>
    </w:pPr>
    <w:rPr>
      <w:rFonts w:ascii="Arial" w:eastAsia="宋体" w:cs="宋体"/>
      <w:bCs w:val="0"/>
      <w:position w:val="-30"/>
      <w:szCs w:val="20"/>
    </w:rPr>
  </w:style>
  <w:style w:type="paragraph" w:customStyle="1" w:styleId="3584">
    <w:name w:val="Char Char2 Char Char Char Char210"/>
    <w:basedOn w:val="1"/>
    <w:qFormat/>
    <w:uiPriority w:val="0"/>
  </w:style>
  <w:style w:type="paragraph" w:customStyle="1" w:styleId="3585">
    <w:name w:val="封面标准文稿编辑信息1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586">
    <w:name w:val="表中文字43"/>
    <w:basedOn w:val="1"/>
    <w:qFormat/>
    <w:uiPriority w:val="0"/>
    <w:pPr>
      <w:snapToGrid w:val="0"/>
      <w:spacing w:line="340" w:lineRule="exact"/>
      <w:ind w:firstLine="480" w:firstLineChars="200"/>
      <w:jc w:val="center"/>
    </w:pPr>
    <w:rPr>
      <w:rFonts w:ascii="Arial" w:hAnsi="Arial"/>
      <w:sz w:val="20"/>
      <w:lang w:eastAsia="zh-TW"/>
    </w:rPr>
  </w:style>
  <w:style w:type="paragraph" w:customStyle="1" w:styleId="3587">
    <w:name w:val="正文修改412"/>
    <w:basedOn w:val="1264"/>
    <w:qFormat/>
    <w:uiPriority w:val="0"/>
    <w:rPr>
      <w:rFonts w:hAnsi="宋体"/>
      <w:color w:val="000000"/>
    </w:rPr>
  </w:style>
  <w:style w:type="paragraph" w:customStyle="1" w:styleId="3588">
    <w:name w:val="样式 标题 2节 + 宋体 加粗"/>
    <w:basedOn w:val="5"/>
    <w:qFormat/>
    <w:uiPriority w:val="0"/>
    <w:pPr>
      <w:numPr>
        <w:ilvl w:val="0"/>
        <w:numId w:val="0"/>
      </w:numPr>
      <w:tabs>
        <w:tab w:val="left" w:pos="233"/>
        <w:tab w:val="left" w:pos="1505"/>
        <w:tab w:val="clear" w:pos="0"/>
        <w:tab w:val="clear" w:pos="426"/>
      </w:tabs>
      <w:adjustRightInd w:val="0"/>
      <w:snapToGrid w:val="0"/>
      <w:spacing w:beforeLines="0" w:afterLines="0" w:line="360" w:lineRule="auto"/>
      <w:ind w:left="200" w:hanging="200"/>
    </w:pPr>
    <w:rPr>
      <w:rFonts w:ascii="宋体" w:hAnsi="宋体" w:eastAsia="宋体"/>
      <w:color w:val="auto"/>
      <w:spacing w:val="0"/>
      <w:kern w:val="2"/>
      <w:sz w:val="28"/>
      <w:szCs w:val="20"/>
    </w:rPr>
  </w:style>
  <w:style w:type="paragraph" w:customStyle="1" w:styleId="3589">
    <w:name w:val="Char Char Char Char1 Char Char Char"/>
    <w:basedOn w:val="1"/>
    <w:qFormat/>
    <w:uiPriority w:val="0"/>
    <w:pPr>
      <w:widowControl/>
      <w:spacing w:after="160" w:line="240" w:lineRule="exact"/>
      <w:jc w:val="left"/>
    </w:pPr>
    <w:rPr>
      <w:rFonts w:ascii="Verdana" w:hAnsi="Verdana"/>
      <w:sz w:val="20"/>
      <w:lang w:eastAsia="en-US"/>
    </w:rPr>
  </w:style>
  <w:style w:type="paragraph" w:customStyle="1" w:styleId="3590">
    <w:name w:val="Char Char Char Char Char Char Char222"/>
    <w:basedOn w:val="1"/>
    <w:qFormat/>
    <w:uiPriority w:val="0"/>
  </w:style>
  <w:style w:type="paragraph" w:customStyle="1" w:styleId="3591">
    <w:name w:val="正文格式＝64"/>
    <w:basedOn w:val="239"/>
    <w:next w:val="239"/>
    <w:qFormat/>
    <w:uiPriority w:val="0"/>
    <w:rPr>
      <w:rFonts w:hAnsi="宋体"/>
    </w:rPr>
  </w:style>
  <w:style w:type="paragraph" w:customStyle="1" w:styleId="3592">
    <w:name w:val="表内54144"/>
    <w:basedOn w:val="1"/>
    <w:qFormat/>
    <w:uiPriority w:val="0"/>
    <w:pPr>
      <w:adjustRightInd w:val="0"/>
      <w:snapToGrid w:val="0"/>
      <w:spacing w:line="300" w:lineRule="auto"/>
      <w:jc w:val="center"/>
    </w:pPr>
    <w:rPr>
      <w:rFonts w:hAnsi="宋体" w:cs="宋体"/>
    </w:rPr>
  </w:style>
  <w:style w:type="paragraph" w:customStyle="1" w:styleId="3593">
    <w:name w:val="Char2110"/>
    <w:basedOn w:val="1"/>
    <w:qFormat/>
    <w:uiPriority w:val="0"/>
    <w:pPr>
      <w:ind w:left="-48"/>
    </w:pPr>
  </w:style>
  <w:style w:type="paragraph" w:customStyle="1" w:styleId="3594">
    <w:name w:val="Char44"/>
    <w:basedOn w:val="1"/>
    <w:qFormat/>
    <w:uiPriority w:val="0"/>
    <w:pPr>
      <w:ind w:left="-48"/>
    </w:pPr>
  </w:style>
  <w:style w:type="paragraph" w:customStyle="1" w:styleId="3595">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596">
    <w:name w:val="Char Char Char Char Char Char Char44"/>
    <w:basedOn w:val="1"/>
    <w:qFormat/>
    <w:uiPriority w:val="0"/>
  </w:style>
  <w:style w:type="paragraph" w:customStyle="1" w:styleId="3597">
    <w:name w:val="正文修改31"/>
    <w:basedOn w:val="1264"/>
    <w:qFormat/>
    <w:uiPriority w:val="0"/>
    <w:rPr>
      <w:rFonts w:hAnsi="宋体"/>
      <w:color w:val="000000"/>
    </w:rPr>
  </w:style>
  <w:style w:type="paragraph" w:customStyle="1" w:styleId="3598">
    <w:name w:val="正文样式"/>
    <w:basedOn w:val="1"/>
    <w:qFormat/>
    <w:uiPriority w:val="0"/>
    <w:pPr>
      <w:tabs>
        <w:tab w:val="left" w:pos="7755"/>
      </w:tabs>
      <w:adjustRightInd w:val="0"/>
      <w:snapToGrid w:val="0"/>
      <w:spacing w:beforeLines="50" w:afterLines="50" w:line="312" w:lineRule="auto"/>
    </w:pPr>
    <w:rPr>
      <w:rFonts w:hAnsi="宋体"/>
    </w:rPr>
  </w:style>
  <w:style w:type="paragraph" w:customStyle="1" w:styleId="3599">
    <w:name w:val="黑体三号313"/>
    <w:basedOn w:val="239"/>
    <w:qFormat/>
    <w:uiPriority w:val="0"/>
    <w:pPr>
      <w:jc w:val="center"/>
    </w:pPr>
    <w:rPr>
      <w:rFonts w:ascii="黑体" w:hAnsi="宋体" w:eastAsia="黑体"/>
      <w:b/>
      <w:bCs/>
      <w:sz w:val="32"/>
      <w:szCs w:val="20"/>
    </w:rPr>
  </w:style>
  <w:style w:type="paragraph" w:customStyle="1" w:styleId="3600">
    <w:name w:val="hhcwt标题2"/>
    <w:basedOn w:val="1"/>
    <w:qFormat/>
    <w:uiPriority w:val="0"/>
    <w:pPr>
      <w:keepNext/>
      <w:keepLines/>
      <w:spacing w:before="120" w:after="120" w:line="336" w:lineRule="auto"/>
      <w:outlineLvl w:val="1"/>
    </w:pPr>
    <w:rPr>
      <w:rFonts w:eastAsia="黑体" w:cs="宋体"/>
      <w:sz w:val="32"/>
    </w:rPr>
  </w:style>
  <w:style w:type="paragraph" w:customStyle="1" w:styleId="3601">
    <w:name w:val="标题4113"/>
    <w:basedOn w:val="1"/>
    <w:qFormat/>
    <w:uiPriority w:val="0"/>
    <w:pPr>
      <w:adjustRightInd w:val="0"/>
      <w:snapToGrid w:val="0"/>
      <w:spacing w:line="300" w:lineRule="auto"/>
      <w:jc w:val="left"/>
    </w:pPr>
    <w:rPr>
      <w:rFonts w:ascii="黑体" w:hAnsi="宋体" w:eastAsia="黑体" w:cs="宋体"/>
      <w:bCs/>
    </w:rPr>
  </w:style>
  <w:style w:type="paragraph" w:customStyle="1" w:styleId="3602">
    <w:name w:val="样式 标题 4 + 四号 段前: 1 行"/>
    <w:basedOn w:val="7"/>
    <w:qFormat/>
    <w:uiPriority w:val="0"/>
    <w:pPr>
      <w:widowControl/>
      <w:tabs>
        <w:tab w:val="left" w:pos="1680"/>
      </w:tabs>
      <w:spacing w:beforeLines="100" w:line="420" w:lineRule="exact"/>
      <w:ind w:left="560"/>
    </w:pPr>
    <w:rPr>
      <w:rFonts w:ascii="Arial" w:eastAsia="黑体"/>
      <w:bCs w:val="0"/>
      <w:kern w:val="0"/>
      <w:szCs w:val="20"/>
    </w:rPr>
  </w:style>
  <w:style w:type="paragraph" w:customStyle="1" w:styleId="3603">
    <w:name w:val="CM7"/>
    <w:basedOn w:val="247"/>
    <w:next w:val="247"/>
    <w:qFormat/>
    <w:uiPriority w:val="0"/>
    <w:pPr>
      <w:spacing w:line="468" w:lineRule="atLeast"/>
    </w:pPr>
    <w:rPr>
      <w:rFonts w:ascii="黑体" w:eastAsia="黑体" w:cs="Times New Roman"/>
      <w:color w:val="auto"/>
    </w:rPr>
  </w:style>
  <w:style w:type="paragraph" w:customStyle="1" w:styleId="3604">
    <w:name w:val="表格2"/>
    <w:basedOn w:val="245"/>
    <w:next w:val="245"/>
    <w:qFormat/>
    <w:uiPriority w:val="0"/>
    <w:pPr>
      <w:adjustRightInd w:val="0"/>
      <w:spacing w:beforeLines="10" w:afterLines="10" w:line="280" w:lineRule="exact"/>
      <w:textAlignment w:val="baseline"/>
    </w:pPr>
    <w:rPr>
      <w:rFonts w:ascii="Times New Roman"/>
      <w:spacing w:val="-8"/>
      <w:kern w:val="0"/>
      <w:sz w:val="21"/>
    </w:rPr>
  </w:style>
  <w:style w:type="paragraph" w:customStyle="1" w:styleId="3605">
    <w:name w:val="封面项目名称"/>
    <w:basedOn w:val="1"/>
    <w:next w:val="1"/>
    <w:qFormat/>
    <w:uiPriority w:val="0"/>
    <w:pPr>
      <w:adjustRightInd w:val="0"/>
      <w:snapToGrid w:val="0"/>
      <w:spacing w:line="480" w:lineRule="exact"/>
      <w:ind w:firstLine="567"/>
      <w:jc w:val="center"/>
    </w:pPr>
    <w:rPr>
      <w:rFonts w:ascii="黑体" w:eastAsia="黑体"/>
      <w:sz w:val="44"/>
    </w:rPr>
  </w:style>
  <w:style w:type="paragraph" w:customStyle="1" w:styleId="3606">
    <w:name w:val="Char318"/>
    <w:basedOn w:val="1"/>
    <w:qFormat/>
    <w:uiPriority w:val="0"/>
    <w:pPr>
      <w:ind w:left="-48"/>
    </w:pPr>
  </w:style>
  <w:style w:type="paragraph" w:customStyle="1" w:styleId="3607">
    <w:name w:val="附件31"/>
    <w:basedOn w:val="4"/>
    <w:next w:val="239"/>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3608">
    <w:name w:val="样式 样式 标题 4 + 段前: 0.5 行 段后: 0.5 行 + 段前: 0.5 行 段后: 0.5 行2"/>
    <w:basedOn w:val="2195"/>
    <w:qFormat/>
    <w:uiPriority w:val="0"/>
    <w:pPr>
      <w:spacing w:beforeLines="0" w:afterLines="0"/>
    </w:pPr>
  </w:style>
  <w:style w:type="paragraph" w:customStyle="1" w:styleId="3609">
    <w:name w:val="燕山正文113"/>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3610">
    <w:name w:val="封面标准文稿编辑信息1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11">
    <w:name w:val="CM1"/>
    <w:basedOn w:val="247"/>
    <w:next w:val="247"/>
    <w:qFormat/>
    <w:uiPriority w:val="0"/>
    <w:pPr>
      <w:spacing w:line="780" w:lineRule="atLeast"/>
    </w:pPr>
    <w:rPr>
      <w:rFonts w:cs="Times New Roman"/>
      <w:color w:val="auto"/>
    </w:rPr>
  </w:style>
  <w:style w:type="paragraph" w:customStyle="1" w:styleId="3612">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13">
    <w:name w:val="Char142"/>
    <w:basedOn w:val="1"/>
    <w:qFormat/>
    <w:uiPriority w:val="0"/>
    <w:pPr>
      <w:ind w:left="-48"/>
    </w:pPr>
  </w:style>
  <w:style w:type="paragraph" w:customStyle="1" w:styleId="3614">
    <w:name w:val="表内541311"/>
    <w:basedOn w:val="1"/>
    <w:qFormat/>
    <w:uiPriority w:val="0"/>
    <w:pPr>
      <w:adjustRightInd w:val="0"/>
      <w:snapToGrid w:val="0"/>
      <w:spacing w:line="300" w:lineRule="auto"/>
      <w:jc w:val="center"/>
    </w:pPr>
    <w:rPr>
      <w:rFonts w:hAnsi="宋体" w:cs="宋体"/>
    </w:rPr>
  </w:style>
  <w:style w:type="paragraph" w:customStyle="1" w:styleId="3615">
    <w:name w:val="Char82"/>
    <w:basedOn w:val="1"/>
    <w:qFormat/>
    <w:uiPriority w:val="0"/>
    <w:pPr>
      <w:ind w:left="-48"/>
    </w:pPr>
  </w:style>
  <w:style w:type="paragraph" w:customStyle="1" w:styleId="3616">
    <w:name w:val="标题43133"/>
    <w:basedOn w:val="1"/>
    <w:qFormat/>
    <w:uiPriority w:val="0"/>
    <w:pPr>
      <w:adjustRightInd w:val="0"/>
      <w:snapToGrid w:val="0"/>
      <w:spacing w:line="480" w:lineRule="exact"/>
      <w:jc w:val="center"/>
    </w:pPr>
    <w:rPr>
      <w:rFonts w:hAnsi="宋体" w:cs="宋体"/>
    </w:rPr>
  </w:style>
  <w:style w:type="paragraph" w:customStyle="1" w:styleId="3617">
    <w:name w:val="表内5412"/>
    <w:basedOn w:val="1"/>
    <w:qFormat/>
    <w:uiPriority w:val="0"/>
    <w:pPr>
      <w:adjustRightInd w:val="0"/>
      <w:snapToGrid w:val="0"/>
      <w:spacing w:line="300" w:lineRule="auto"/>
      <w:jc w:val="center"/>
    </w:pPr>
    <w:rPr>
      <w:rFonts w:hAnsi="宋体" w:cs="宋体"/>
    </w:rPr>
  </w:style>
  <w:style w:type="paragraph" w:customStyle="1" w:styleId="3618">
    <w:name w:val="样式jie"/>
    <w:basedOn w:val="5"/>
    <w:qFormat/>
    <w:uiPriority w:val="0"/>
    <w:pPr>
      <w:numPr>
        <w:ilvl w:val="0"/>
        <w:numId w:val="0"/>
      </w:numPr>
      <w:tabs>
        <w:tab w:val="left" w:pos="233"/>
        <w:tab w:val="clear" w:pos="0"/>
        <w:tab w:val="clear" w:pos="426"/>
      </w:tabs>
      <w:spacing w:beforeLines="0" w:afterLines="0" w:line="360" w:lineRule="auto"/>
      <w:ind w:left="233"/>
    </w:pPr>
    <w:rPr>
      <w:b w:val="0"/>
      <w:bCs/>
      <w:color w:val="auto"/>
      <w:spacing w:val="0"/>
      <w:kern w:val="2"/>
      <w:sz w:val="28"/>
      <w:szCs w:val="32"/>
    </w:rPr>
  </w:style>
  <w:style w:type="paragraph" w:customStyle="1" w:styleId="3619">
    <w:name w:val="Char Char2 Char Char Char Char311"/>
    <w:basedOn w:val="1"/>
    <w:qFormat/>
    <w:uiPriority w:val="0"/>
  </w:style>
  <w:style w:type="paragraph" w:customStyle="1" w:styleId="3620">
    <w:name w:val="xl2412"/>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3621">
    <w:name w:val="燕山正文123"/>
    <w:basedOn w:val="1"/>
    <w:qFormat/>
    <w:uiPriority w:val="0"/>
    <w:pPr>
      <w:tabs>
        <w:tab w:val="left" w:pos="4680"/>
      </w:tabs>
      <w:adjustRightInd w:val="0"/>
      <w:snapToGrid w:val="0"/>
      <w:spacing w:line="480" w:lineRule="exact"/>
    </w:pPr>
    <w:rPr>
      <w:rFonts w:cs="宋体"/>
    </w:rPr>
  </w:style>
  <w:style w:type="paragraph" w:customStyle="1" w:styleId="3622">
    <w:name w:val="Char67"/>
    <w:basedOn w:val="1"/>
    <w:qFormat/>
    <w:uiPriority w:val="0"/>
    <w:pPr>
      <w:ind w:left="-48"/>
    </w:pPr>
  </w:style>
  <w:style w:type="paragraph" w:customStyle="1" w:styleId="3623">
    <w:name w:val="表前文字"/>
    <w:basedOn w:val="1"/>
    <w:qFormat/>
    <w:uiPriority w:val="0"/>
    <w:pPr>
      <w:jc w:val="center"/>
    </w:pPr>
  </w:style>
  <w:style w:type="paragraph" w:customStyle="1" w:styleId="3624">
    <w:name w:val="标题4121"/>
    <w:basedOn w:val="7"/>
    <w:next w:val="1"/>
    <w:qFormat/>
    <w:uiPriority w:val="0"/>
    <w:pPr>
      <w:spacing w:before="160" w:after="170" w:line="360" w:lineRule="auto"/>
    </w:pPr>
    <w:rPr>
      <w:rFonts w:ascii="黑体" w:eastAsia="黑体"/>
      <w:b/>
      <w:kern w:val="0"/>
      <w:sz w:val="24"/>
    </w:rPr>
  </w:style>
  <w:style w:type="paragraph" w:customStyle="1" w:styleId="3625">
    <w:name w:val="样式 四号 左 行距: 固定值 24 磅"/>
    <w:basedOn w:val="1"/>
    <w:qFormat/>
    <w:uiPriority w:val="0"/>
    <w:pPr>
      <w:tabs>
        <w:tab w:val="left" w:pos="432"/>
      </w:tabs>
      <w:spacing w:line="480" w:lineRule="exact"/>
      <w:ind w:left="432" w:hanging="432"/>
      <w:jc w:val="left"/>
    </w:pPr>
    <w:rPr>
      <w:rFonts w:cs="宋体"/>
      <w:sz w:val="28"/>
    </w:rPr>
  </w:style>
  <w:style w:type="paragraph" w:customStyle="1" w:styleId="3626">
    <w:name w:val="表中文字312"/>
    <w:basedOn w:val="1"/>
    <w:qFormat/>
    <w:uiPriority w:val="0"/>
    <w:pPr>
      <w:widowControl/>
      <w:spacing w:line="240" w:lineRule="atLeast"/>
      <w:ind w:left="-24" w:leftChars="-10" w:right="-48" w:rightChars="-20"/>
      <w:jc w:val="center"/>
    </w:pPr>
    <w:rPr>
      <w:szCs w:val="21"/>
    </w:rPr>
  </w:style>
  <w:style w:type="paragraph" w:customStyle="1" w:styleId="3627">
    <w:name w:val="黑体三号113"/>
    <w:basedOn w:val="239"/>
    <w:qFormat/>
    <w:uiPriority w:val="0"/>
    <w:pPr>
      <w:jc w:val="center"/>
    </w:pPr>
    <w:rPr>
      <w:rFonts w:ascii="黑体" w:hAnsi="宋体" w:eastAsia="黑体"/>
      <w:b/>
      <w:bCs/>
      <w:sz w:val="32"/>
      <w:szCs w:val="20"/>
    </w:rPr>
  </w:style>
  <w:style w:type="paragraph" w:customStyle="1" w:styleId="3628">
    <w:name w:val="Char6 Char Char Char1 Char Char Char2"/>
    <w:basedOn w:val="1"/>
    <w:qFormat/>
    <w:uiPriority w:val="0"/>
    <w:rPr>
      <w:szCs w:val="21"/>
    </w:rPr>
  </w:style>
  <w:style w:type="paragraph" w:customStyle="1" w:styleId="3629">
    <w:name w:val="标题4n"/>
    <w:basedOn w:val="6"/>
    <w:qFormat/>
    <w:uiPriority w:val="0"/>
    <w:pPr>
      <w:keepNext w:val="0"/>
      <w:keepLines w:val="0"/>
      <w:tabs>
        <w:tab w:val="left" w:pos="0"/>
        <w:tab w:val="left" w:pos="233"/>
      </w:tabs>
      <w:spacing w:before="0" w:after="0" w:line="360" w:lineRule="auto"/>
      <w:ind w:left="233" w:firstLine="567"/>
    </w:pPr>
    <w:rPr>
      <w:rFonts w:ascii="仿宋_GB2312" w:hAnsi="Arial" w:eastAsia="仿宋_GB2312"/>
      <w:b w:val="0"/>
      <w:sz w:val="28"/>
      <w:szCs w:val="28"/>
    </w:rPr>
  </w:style>
  <w:style w:type="paragraph" w:customStyle="1" w:styleId="3630">
    <w:name w:val="样式131"/>
    <w:basedOn w:val="2245"/>
    <w:qFormat/>
    <w:uiPriority w:val="0"/>
    <w:pPr>
      <w:spacing w:line="240" w:lineRule="auto"/>
      <w:ind w:firstLine="0"/>
      <w:jc w:val="center"/>
    </w:pPr>
    <w:rPr>
      <w:rFonts w:cs="Times New Roman"/>
      <w:b/>
      <w:color w:val="auto"/>
      <w:szCs w:val="20"/>
    </w:rPr>
  </w:style>
  <w:style w:type="paragraph" w:customStyle="1" w:styleId="3631">
    <w:name w:val="Char Char Char Char Char Char Char1211"/>
    <w:basedOn w:val="1"/>
    <w:qFormat/>
    <w:uiPriority w:val="0"/>
  </w:style>
  <w:style w:type="paragraph" w:customStyle="1" w:styleId="3632">
    <w:name w:val="Char Char2 Char Char Char Char14"/>
    <w:basedOn w:val="1"/>
    <w:qFormat/>
    <w:uiPriority w:val="0"/>
  </w:style>
  <w:style w:type="paragraph" w:customStyle="1" w:styleId="3633">
    <w:name w:val="表内535"/>
    <w:basedOn w:val="1"/>
    <w:qFormat/>
    <w:uiPriority w:val="0"/>
    <w:pPr>
      <w:adjustRightInd w:val="0"/>
      <w:snapToGrid w:val="0"/>
      <w:spacing w:line="300" w:lineRule="auto"/>
      <w:jc w:val="left"/>
    </w:pPr>
  </w:style>
  <w:style w:type="paragraph" w:customStyle="1" w:styleId="3634">
    <w:name w:val="表中文字32"/>
    <w:basedOn w:val="1"/>
    <w:qFormat/>
    <w:uiPriority w:val="0"/>
    <w:pPr>
      <w:widowControl/>
      <w:spacing w:line="240" w:lineRule="atLeast"/>
      <w:ind w:left="-24" w:leftChars="-10" w:right="-48" w:rightChars="-20"/>
      <w:jc w:val="center"/>
    </w:pPr>
    <w:rPr>
      <w:szCs w:val="21"/>
    </w:rPr>
  </w:style>
  <w:style w:type="paragraph" w:customStyle="1" w:styleId="3635">
    <w:name w:val="表文字内容"/>
    <w:basedOn w:val="1"/>
    <w:qFormat/>
    <w:uiPriority w:val="0"/>
    <w:rPr>
      <w:rFonts w:eastAsia="仿宋_GB2312" w:cs="宋体"/>
      <w:lang w:val="en-GB"/>
    </w:rPr>
  </w:style>
  <w:style w:type="paragraph" w:customStyle="1" w:styleId="3636">
    <w:name w:val="默认段落字体 Para Char Char Char Char51"/>
    <w:basedOn w:val="1"/>
    <w:qFormat/>
    <w:uiPriority w:val="0"/>
  </w:style>
  <w:style w:type="paragraph" w:customStyle="1" w:styleId="3637">
    <w:name w:val="图表题12"/>
    <w:basedOn w:val="239"/>
    <w:next w:val="239"/>
    <w:qFormat/>
    <w:uiPriority w:val="0"/>
    <w:pPr>
      <w:ind w:firstLine="0"/>
      <w:jc w:val="center"/>
    </w:pPr>
    <w:rPr>
      <w:rFonts w:ascii="黑体" w:hAnsi="宋体" w:eastAsia="黑体"/>
      <w:b/>
      <w:bCs/>
    </w:rPr>
  </w:style>
  <w:style w:type="paragraph" w:customStyle="1" w:styleId="3638">
    <w:name w:val="标题4123"/>
    <w:basedOn w:val="7"/>
    <w:next w:val="1"/>
    <w:qFormat/>
    <w:uiPriority w:val="0"/>
    <w:pPr>
      <w:spacing w:before="160" w:after="170" w:line="360" w:lineRule="auto"/>
    </w:pPr>
    <w:rPr>
      <w:rFonts w:ascii="黑体" w:eastAsia="黑体"/>
      <w:b/>
      <w:kern w:val="0"/>
      <w:sz w:val="24"/>
    </w:rPr>
  </w:style>
  <w:style w:type="paragraph" w:customStyle="1" w:styleId="3639">
    <w:name w:val="tian"/>
    <w:basedOn w:val="1"/>
    <w:qFormat/>
    <w:uiPriority w:val="0"/>
  </w:style>
  <w:style w:type="paragraph" w:customStyle="1" w:styleId="3640">
    <w:name w:val="图表名称13"/>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641">
    <w:name w:val="Char Char Char Char Char Char Char219"/>
    <w:basedOn w:val="1"/>
    <w:qFormat/>
    <w:uiPriority w:val="0"/>
  </w:style>
  <w:style w:type="paragraph" w:customStyle="1" w:styleId="3642">
    <w:name w:val="表格内字体24"/>
    <w:basedOn w:val="239"/>
    <w:next w:val="239"/>
    <w:qFormat/>
    <w:uiPriority w:val="0"/>
    <w:pPr>
      <w:spacing w:line="240" w:lineRule="auto"/>
      <w:ind w:firstLine="0"/>
      <w:jc w:val="center"/>
    </w:pPr>
    <w:rPr>
      <w:rFonts w:hAnsi="宋体"/>
      <w:sz w:val="21"/>
    </w:rPr>
  </w:style>
  <w:style w:type="paragraph" w:customStyle="1" w:styleId="3643">
    <w:name w:val="图题413"/>
    <w:basedOn w:val="239"/>
    <w:next w:val="239"/>
    <w:qFormat/>
    <w:uiPriority w:val="0"/>
    <w:pPr>
      <w:ind w:firstLine="0"/>
      <w:jc w:val="center"/>
    </w:pPr>
    <w:rPr>
      <w:rFonts w:ascii="黑体" w:hAnsi="宋体" w:eastAsia="黑体"/>
      <w:b/>
      <w:bCs/>
    </w:rPr>
  </w:style>
  <w:style w:type="paragraph" w:customStyle="1" w:styleId="3644">
    <w:name w:val="表题21113"/>
    <w:basedOn w:val="1"/>
    <w:qFormat/>
    <w:uiPriority w:val="0"/>
    <w:pPr>
      <w:widowControl/>
      <w:adjustRightInd w:val="0"/>
      <w:snapToGrid w:val="0"/>
      <w:jc w:val="center"/>
    </w:pPr>
    <w:rPr>
      <w:rFonts w:ascii="黑体" w:hAnsi="宋体" w:eastAsia="黑体" w:cs="宋体"/>
    </w:rPr>
  </w:style>
  <w:style w:type="paragraph" w:customStyle="1" w:styleId="3645">
    <w:name w:val="正文格式＝61"/>
    <w:basedOn w:val="239"/>
    <w:next w:val="239"/>
    <w:qFormat/>
    <w:uiPriority w:val="0"/>
    <w:rPr>
      <w:rFonts w:hAnsi="宋体"/>
    </w:rPr>
  </w:style>
  <w:style w:type="paragraph" w:customStyle="1" w:styleId="3646">
    <w:name w:val="默认段落字体 Para Char Char Char Char111"/>
    <w:basedOn w:val="1"/>
    <w:qFormat/>
    <w:uiPriority w:val="0"/>
  </w:style>
  <w:style w:type="paragraph" w:customStyle="1" w:styleId="3647">
    <w:name w:val="图题52"/>
    <w:basedOn w:val="239"/>
    <w:next w:val="239"/>
    <w:qFormat/>
    <w:uiPriority w:val="0"/>
    <w:pPr>
      <w:ind w:firstLine="0"/>
      <w:jc w:val="center"/>
    </w:pPr>
    <w:rPr>
      <w:rFonts w:ascii="黑体" w:hAnsi="宋体" w:eastAsia="黑体"/>
      <w:b/>
      <w:bCs/>
    </w:rPr>
  </w:style>
  <w:style w:type="paragraph" w:customStyle="1" w:styleId="3648">
    <w:name w:val="样式 chen + 首行缩进:  2 字符"/>
    <w:basedOn w:val="2921"/>
    <w:qFormat/>
    <w:uiPriority w:val="0"/>
    <w:pPr>
      <w:ind w:firstLine="560"/>
    </w:pPr>
    <w:rPr>
      <w:rFonts w:cs="宋体"/>
      <w:szCs w:val="20"/>
    </w:rPr>
  </w:style>
  <w:style w:type="paragraph" w:customStyle="1" w:styleId="3649">
    <w:name w:val="正文格式＝33"/>
    <w:basedOn w:val="239"/>
    <w:next w:val="239"/>
    <w:qFormat/>
    <w:uiPriority w:val="0"/>
    <w:rPr>
      <w:rFonts w:hAnsi="宋体"/>
    </w:rPr>
  </w:style>
  <w:style w:type="paragraph" w:customStyle="1" w:styleId="3650">
    <w:name w:val="表格内字体613"/>
    <w:basedOn w:val="239"/>
    <w:next w:val="239"/>
    <w:qFormat/>
    <w:uiPriority w:val="0"/>
    <w:pPr>
      <w:spacing w:line="240" w:lineRule="auto"/>
      <w:ind w:firstLine="0"/>
      <w:jc w:val="center"/>
    </w:pPr>
    <w:rPr>
      <w:rFonts w:hAnsi="宋体"/>
      <w:sz w:val="21"/>
    </w:rPr>
  </w:style>
  <w:style w:type="paragraph" w:customStyle="1" w:styleId="3651">
    <w:name w:val="表格内字体121"/>
    <w:basedOn w:val="239"/>
    <w:next w:val="239"/>
    <w:qFormat/>
    <w:uiPriority w:val="0"/>
    <w:pPr>
      <w:spacing w:line="240" w:lineRule="auto"/>
      <w:ind w:firstLine="0"/>
      <w:jc w:val="center"/>
    </w:pPr>
    <w:rPr>
      <w:rFonts w:hAnsi="宋体"/>
      <w:sz w:val="21"/>
    </w:rPr>
  </w:style>
  <w:style w:type="paragraph" w:customStyle="1" w:styleId="3652">
    <w:name w:val="默认段落字体 Para Char Char Char Char2"/>
    <w:basedOn w:val="1"/>
    <w:qFormat/>
    <w:uiPriority w:val="0"/>
  </w:style>
  <w:style w:type="paragraph" w:customStyle="1" w:styleId="3653">
    <w:name w:val="表内宋52"/>
    <w:basedOn w:val="2220"/>
    <w:qFormat/>
    <w:uiPriority w:val="0"/>
    <w:pPr>
      <w:widowControl/>
      <w:autoSpaceDE w:val="0"/>
      <w:autoSpaceDN w:val="0"/>
      <w:jc w:val="left"/>
      <w:textAlignment w:val="auto"/>
    </w:pPr>
    <w:rPr>
      <w:color w:val="auto"/>
      <w:w w:val="90"/>
    </w:rPr>
  </w:style>
  <w:style w:type="paragraph" w:customStyle="1" w:styleId="3654">
    <w:name w:val="正文修改12"/>
    <w:basedOn w:val="1264"/>
    <w:qFormat/>
    <w:uiPriority w:val="0"/>
    <w:rPr>
      <w:rFonts w:hAnsi="宋体"/>
      <w:color w:val="000000"/>
    </w:rPr>
  </w:style>
  <w:style w:type="paragraph" w:customStyle="1" w:styleId="3655">
    <w:name w:val="默认段落字体 Para Char Char Char Char213"/>
    <w:basedOn w:val="1"/>
    <w:qFormat/>
    <w:uiPriority w:val="0"/>
  </w:style>
  <w:style w:type="paragraph" w:customStyle="1" w:styleId="3656">
    <w:name w:val="表内宋5中32"/>
    <w:basedOn w:val="1"/>
    <w:qFormat/>
    <w:uiPriority w:val="0"/>
    <w:pPr>
      <w:adjustRightInd w:val="0"/>
      <w:snapToGrid w:val="0"/>
      <w:textAlignment w:val="baseline"/>
    </w:pPr>
    <w:rPr>
      <w:color w:val="000000"/>
    </w:rPr>
  </w:style>
  <w:style w:type="paragraph" w:customStyle="1" w:styleId="3657">
    <w:name w:val="正文格式23"/>
    <w:basedOn w:val="1"/>
    <w:qFormat/>
    <w:uiPriority w:val="0"/>
    <w:pPr>
      <w:spacing w:line="360" w:lineRule="auto"/>
      <w:ind w:firstLine="482"/>
    </w:pPr>
    <w:rPr>
      <w:rFonts w:hAnsi="宋体"/>
    </w:rPr>
  </w:style>
  <w:style w:type="paragraph" w:customStyle="1" w:styleId="3658">
    <w:name w:val="表格14"/>
    <w:basedOn w:val="1"/>
    <w:qFormat/>
    <w:uiPriority w:val="0"/>
    <w:pPr>
      <w:adjustRightInd w:val="0"/>
      <w:jc w:val="center"/>
      <w:textAlignment w:val="baseline"/>
    </w:pPr>
  </w:style>
  <w:style w:type="paragraph" w:customStyle="1" w:styleId="3659">
    <w:name w:val="表内文字小31211"/>
    <w:basedOn w:val="1"/>
    <w:qFormat/>
    <w:uiPriority w:val="0"/>
    <w:pPr>
      <w:adjustRightInd w:val="0"/>
      <w:snapToGrid w:val="0"/>
      <w:jc w:val="center"/>
    </w:pPr>
    <w:rPr>
      <w:rFonts w:hAnsi="Times" w:cs="宋体"/>
      <w:bCs/>
      <w:color w:val="003366"/>
    </w:rPr>
  </w:style>
  <w:style w:type="paragraph" w:customStyle="1" w:styleId="3660">
    <w:name w:val="正文格式101"/>
    <w:basedOn w:val="1"/>
    <w:qFormat/>
    <w:uiPriority w:val="0"/>
    <w:pPr>
      <w:spacing w:line="360" w:lineRule="auto"/>
      <w:ind w:firstLine="482"/>
    </w:pPr>
    <w:rPr>
      <w:rFonts w:hAnsi="宋体"/>
    </w:rPr>
  </w:style>
  <w:style w:type="paragraph" w:customStyle="1" w:styleId="3661">
    <w:name w:val="表题121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3662">
    <w:name w:val="默认段落字体 Para Char51"/>
    <w:basedOn w:val="1"/>
    <w:next w:val="1"/>
    <w:qFormat/>
    <w:uiPriority w:val="0"/>
    <w:pPr>
      <w:spacing w:line="480" w:lineRule="exact"/>
      <w:ind w:firstLine="200" w:firstLineChars="200"/>
      <w:jc w:val="left"/>
    </w:pPr>
    <w:rPr>
      <w:rFonts w:hAnsi="宋体" w:eastAsia="汉鼎简书宋" w:cs="宋体"/>
      <w:sz w:val="28"/>
    </w:rPr>
  </w:style>
  <w:style w:type="paragraph" w:customStyle="1" w:styleId="3663">
    <w:name w:val="样式 标题 3 + 黑体 小四 左侧:  0.86 厘米 首行缩进:  0 厘米"/>
    <w:basedOn w:val="6"/>
    <w:qFormat/>
    <w:uiPriority w:val="0"/>
    <w:pPr>
      <w:keepLines w:val="0"/>
      <w:tabs>
        <w:tab w:val="left" w:pos="233"/>
      </w:tabs>
      <w:spacing w:before="0" w:after="0" w:line="360" w:lineRule="auto"/>
      <w:ind w:left="233"/>
      <w:jc w:val="left"/>
    </w:pPr>
    <w:rPr>
      <w:rFonts w:ascii="黑体" w:eastAsia="黑体"/>
      <w:b w:val="0"/>
      <w:color w:val="000000"/>
      <w:sz w:val="24"/>
      <w:szCs w:val="24"/>
      <w:lang w:val="en-GB"/>
    </w:rPr>
  </w:style>
  <w:style w:type="paragraph" w:customStyle="1" w:styleId="3664">
    <w:name w:val="little"/>
    <w:basedOn w:val="1"/>
    <w:qFormat/>
    <w:uiPriority w:val="0"/>
    <w:pPr>
      <w:widowControl/>
      <w:spacing w:before="100" w:beforeAutospacing="1" w:after="100" w:afterAutospacing="1"/>
      <w:jc w:val="left"/>
    </w:pPr>
    <w:rPr>
      <w:rFonts w:hAnsi="宋体" w:cs="宋体"/>
    </w:rPr>
  </w:style>
  <w:style w:type="paragraph" w:customStyle="1" w:styleId="3665">
    <w:name w:val="样式 标题 3 + 黑体 小四 左侧:  0.86 厘米 首行缩进:  0 厘米 Char Char Char"/>
    <w:basedOn w:val="6"/>
    <w:qFormat/>
    <w:uiPriority w:val="0"/>
    <w:pPr>
      <w:keepLines w:val="0"/>
      <w:tabs>
        <w:tab w:val="left" w:pos="233"/>
      </w:tabs>
      <w:spacing w:before="0" w:after="0" w:line="360" w:lineRule="auto"/>
      <w:ind w:left="233"/>
      <w:jc w:val="left"/>
    </w:pPr>
    <w:rPr>
      <w:rFonts w:ascii="黑体" w:eastAsia="黑体"/>
      <w:b w:val="0"/>
      <w:color w:val="000000"/>
      <w:sz w:val="24"/>
      <w:szCs w:val="24"/>
      <w:lang w:val="en-GB"/>
    </w:rPr>
  </w:style>
  <w:style w:type="paragraph" w:customStyle="1" w:styleId="3666">
    <w:name w:val="表题15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667">
    <w:name w:val="11 Char Char Char Char Char Char Char Char Char Char Char Char Char Char Char1 Char"/>
    <w:basedOn w:val="1"/>
    <w:qFormat/>
    <w:uiPriority w:val="0"/>
    <w:pPr>
      <w:snapToGrid w:val="0"/>
      <w:spacing w:line="360" w:lineRule="auto"/>
      <w:ind w:firstLine="200" w:firstLineChars="200"/>
    </w:pPr>
    <w:rPr>
      <w:rFonts w:eastAsia="仿宋_GB2312"/>
    </w:rPr>
  </w:style>
  <w:style w:type="paragraph" w:customStyle="1" w:styleId="3668">
    <w:name w:val="(文字) (文字) Char (文字) (文字) Char (文字) (文字) (文字) (文字)"/>
    <w:basedOn w:val="1"/>
    <w:qFormat/>
    <w:uiPriority w:val="0"/>
    <w:pPr>
      <w:spacing w:line="360" w:lineRule="auto"/>
      <w:ind w:firstLine="200" w:firstLineChars="200"/>
    </w:pPr>
    <w:rPr>
      <w:rFonts w:hAnsi="宋体" w:cs="宋体"/>
    </w:rPr>
  </w:style>
  <w:style w:type="paragraph" w:customStyle="1" w:styleId="3669">
    <w:name w:val="正文格式 Char Char1"/>
    <w:basedOn w:val="1"/>
    <w:qFormat/>
    <w:uiPriority w:val="0"/>
    <w:pPr>
      <w:spacing w:line="360" w:lineRule="auto"/>
      <w:ind w:firstLine="482"/>
    </w:pPr>
    <w:rPr>
      <w:rFonts w:cs="宋体"/>
    </w:rPr>
  </w:style>
  <w:style w:type="paragraph" w:customStyle="1" w:styleId="3670">
    <w:name w:val="正文格式15"/>
    <w:basedOn w:val="1"/>
    <w:qFormat/>
    <w:uiPriority w:val="0"/>
    <w:pPr>
      <w:spacing w:line="360" w:lineRule="auto"/>
      <w:ind w:firstLine="482"/>
    </w:pPr>
    <w:rPr>
      <w:rFonts w:hAnsi="宋体"/>
    </w:rPr>
  </w:style>
  <w:style w:type="paragraph" w:customStyle="1" w:styleId="3671">
    <w:name w:val="正文格式712"/>
    <w:basedOn w:val="1"/>
    <w:qFormat/>
    <w:uiPriority w:val="0"/>
    <w:pPr>
      <w:spacing w:line="360" w:lineRule="auto"/>
      <w:ind w:firstLine="482"/>
    </w:pPr>
    <w:rPr>
      <w:rFonts w:hAnsi="宋体"/>
    </w:rPr>
  </w:style>
  <w:style w:type="paragraph" w:customStyle="1" w:styleId="3672">
    <w:name w:val="表格chenbb"/>
    <w:basedOn w:val="1"/>
    <w:qFormat/>
    <w:uiPriority w:val="0"/>
    <w:pPr>
      <w:spacing w:line="320" w:lineRule="exact"/>
      <w:jc w:val="center"/>
    </w:pPr>
    <w:rPr>
      <w:rFonts w:eastAsia="仿宋_GB2312"/>
      <w:b/>
      <w:szCs w:val="21"/>
    </w:rPr>
  </w:style>
  <w:style w:type="paragraph" w:customStyle="1" w:styleId="3673">
    <w:name w:val="Char Char Char1 Char Char Char1 Char Char Char1 Char Char Char Char1"/>
    <w:basedOn w:val="1"/>
    <w:qFormat/>
    <w:uiPriority w:val="0"/>
    <w:pPr>
      <w:spacing w:line="240" w:lineRule="exact"/>
      <w:ind w:firstLine="200" w:firstLineChars="200"/>
    </w:pPr>
    <w:rPr>
      <w:sz w:val="28"/>
      <w:szCs w:val="28"/>
    </w:rPr>
  </w:style>
  <w:style w:type="paragraph" w:customStyle="1" w:styleId="3674">
    <w:name w:val="表内文字小82"/>
    <w:basedOn w:val="1"/>
    <w:qFormat/>
    <w:uiPriority w:val="0"/>
    <w:pPr>
      <w:adjustRightInd w:val="0"/>
      <w:snapToGrid w:val="0"/>
      <w:jc w:val="center"/>
    </w:pPr>
    <w:rPr>
      <w:rFonts w:hAnsi="Times" w:cs="宋体"/>
    </w:rPr>
  </w:style>
  <w:style w:type="paragraph" w:customStyle="1" w:styleId="3675">
    <w:name w:val="正文格式612"/>
    <w:basedOn w:val="1"/>
    <w:qFormat/>
    <w:uiPriority w:val="0"/>
    <w:pPr>
      <w:spacing w:line="360" w:lineRule="auto"/>
      <w:ind w:firstLine="482"/>
    </w:pPr>
    <w:rPr>
      <w:rFonts w:hAnsi="宋体"/>
    </w:rPr>
  </w:style>
  <w:style w:type="paragraph" w:customStyle="1" w:styleId="3676">
    <w:name w:val="表内文字小233"/>
    <w:basedOn w:val="1"/>
    <w:qFormat/>
    <w:uiPriority w:val="0"/>
    <w:pPr>
      <w:adjustRightInd w:val="0"/>
      <w:snapToGrid w:val="0"/>
      <w:jc w:val="center"/>
    </w:pPr>
    <w:rPr>
      <w:rFonts w:hAnsi="Times"/>
      <w:bCs/>
      <w:color w:val="000000"/>
    </w:rPr>
  </w:style>
  <w:style w:type="paragraph" w:customStyle="1" w:styleId="3677">
    <w:name w:val="表格小4"/>
    <w:basedOn w:val="1"/>
    <w:next w:val="35"/>
    <w:qFormat/>
    <w:uiPriority w:val="0"/>
    <w:pPr>
      <w:adjustRightInd w:val="0"/>
      <w:snapToGrid w:val="0"/>
      <w:spacing w:before="60" w:after="60" w:line="320" w:lineRule="atLeast"/>
    </w:pPr>
    <w:rPr>
      <w:rFonts w:cs="宋体"/>
    </w:rPr>
  </w:style>
  <w:style w:type="paragraph" w:customStyle="1" w:styleId="3678">
    <w:name w:val="表112"/>
    <w:basedOn w:val="1"/>
    <w:qFormat/>
    <w:uiPriority w:val="0"/>
    <w:pPr>
      <w:adjustRightInd w:val="0"/>
      <w:snapToGrid w:val="0"/>
      <w:jc w:val="center"/>
    </w:pPr>
    <w:rPr>
      <w:rFonts w:eastAsia="仿宋_GB2312"/>
    </w:rPr>
  </w:style>
  <w:style w:type="paragraph" w:customStyle="1" w:styleId="3679">
    <w:name w:val="表文字51113"/>
    <w:basedOn w:val="1"/>
    <w:qFormat/>
    <w:uiPriority w:val="0"/>
    <w:pPr>
      <w:adjustRightInd w:val="0"/>
      <w:jc w:val="left"/>
      <w:textAlignment w:val="baseline"/>
    </w:pPr>
  </w:style>
  <w:style w:type="paragraph" w:customStyle="1" w:styleId="3680">
    <w:name w:val="Char103"/>
    <w:basedOn w:val="1"/>
    <w:qFormat/>
    <w:uiPriority w:val="0"/>
    <w:pPr>
      <w:spacing w:line="240" w:lineRule="exact"/>
      <w:ind w:firstLine="200" w:firstLineChars="200"/>
    </w:pPr>
    <w:rPr>
      <w:sz w:val="28"/>
      <w:szCs w:val="28"/>
    </w:rPr>
  </w:style>
  <w:style w:type="paragraph" w:customStyle="1" w:styleId="3681">
    <w:name w:val="edri-正文"/>
    <w:basedOn w:val="1"/>
    <w:qFormat/>
    <w:uiPriority w:val="0"/>
    <w:pPr>
      <w:spacing w:beforeLines="50" w:line="300" w:lineRule="auto"/>
      <w:ind w:left="899" w:leftChars="428"/>
    </w:pPr>
    <w:rPr>
      <w:snapToGrid w:val="0"/>
    </w:rPr>
  </w:style>
  <w:style w:type="paragraph" w:customStyle="1" w:styleId="3682">
    <w:name w:val="正文格式5"/>
    <w:basedOn w:val="1"/>
    <w:qFormat/>
    <w:uiPriority w:val="0"/>
    <w:pPr>
      <w:spacing w:line="360" w:lineRule="auto"/>
      <w:ind w:firstLine="482"/>
    </w:pPr>
    <w:rPr>
      <w:rFonts w:hAnsi="宋体"/>
    </w:rPr>
  </w:style>
  <w:style w:type="paragraph" w:customStyle="1" w:styleId="3683">
    <w:name w:val="正文格式84"/>
    <w:basedOn w:val="1"/>
    <w:qFormat/>
    <w:uiPriority w:val="0"/>
    <w:pPr>
      <w:spacing w:line="360" w:lineRule="auto"/>
      <w:ind w:firstLine="482"/>
    </w:pPr>
    <w:rPr>
      <w:rFonts w:hAnsi="宋体"/>
    </w:rPr>
  </w:style>
  <w:style w:type="paragraph" w:customStyle="1" w:styleId="3684">
    <w:name w:val="样式 正文缩进 + 宋体 黑色 首行缩进:  2 字符"/>
    <w:basedOn w:val="22"/>
    <w:qFormat/>
    <w:uiPriority w:val="0"/>
    <w:pPr>
      <w:spacing w:line="360" w:lineRule="auto"/>
      <w:ind w:firstLine="480"/>
      <w:jc w:val="left"/>
    </w:pPr>
    <w:rPr>
      <w:rFonts w:ascii="宋体" w:hAnsi="宋体" w:cs="宋体"/>
      <w:color w:val="FF00FF"/>
      <w:sz w:val="24"/>
      <w:szCs w:val="20"/>
    </w:rPr>
  </w:style>
  <w:style w:type="paragraph" w:customStyle="1" w:styleId="3685">
    <w:name w:val="文本框3"/>
    <w:basedOn w:val="1"/>
    <w:qFormat/>
    <w:uiPriority w:val="0"/>
    <w:pPr>
      <w:adjustRightInd w:val="0"/>
      <w:snapToGrid w:val="0"/>
      <w:spacing w:after="6"/>
      <w:jc w:val="center"/>
    </w:pPr>
    <w:rPr>
      <w:rFonts w:eastAsia="仿宋_GB2312"/>
    </w:rPr>
  </w:style>
  <w:style w:type="paragraph" w:customStyle="1" w:styleId="3686">
    <w:name w:val="表24"/>
    <w:basedOn w:val="1"/>
    <w:qFormat/>
    <w:uiPriority w:val="0"/>
    <w:pPr>
      <w:adjustRightInd w:val="0"/>
      <w:snapToGrid w:val="0"/>
      <w:jc w:val="center"/>
    </w:pPr>
    <w:rPr>
      <w:rFonts w:eastAsia="仿宋_GB2312"/>
    </w:rPr>
  </w:style>
  <w:style w:type="paragraph" w:customStyle="1" w:styleId="3687">
    <w:name w:val="表内5中11"/>
    <w:basedOn w:val="1"/>
    <w:qFormat/>
    <w:uiPriority w:val="0"/>
    <w:pPr>
      <w:adjustRightInd w:val="0"/>
      <w:snapToGrid w:val="0"/>
      <w:jc w:val="center"/>
    </w:pPr>
    <w:rPr>
      <w:rFonts w:hAnsi="宋体" w:cs="Arial"/>
      <w:snapToGrid w:val="0"/>
      <w:color w:val="000000"/>
      <w:szCs w:val="21"/>
    </w:rPr>
  </w:style>
  <w:style w:type="paragraph" w:customStyle="1" w:styleId="3688">
    <w:name w:val="样式 样式 Times New Roman 小四 行距: 1.5 倍行距 + 左侧:  0 厘米 首行缩进:  0 厘米"/>
    <w:basedOn w:val="1"/>
    <w:qFormat/>
    <w:uiPriority w:val="0"/>
    <w:pPr>
      <w:pBdr>
        <w:top w:val="single" w:color="auto" w:sz="4" w:space="1"/>
      </w:pBdr>
      <w:spacing w:line="324" w:lineRule="auto"/>
      <w:ind w:firstLine="480" w:firstLineChars="200"/>
    </w:pPr>
  </w:style>
  <w:style w:type="paragraph" w:customStyle="1" w:styleId="3689">
    <w:name w:val="表内文字小211"/>
    <w:basedOn w:val="1"/>
    <w:qFormat/>
    <w:uiPriority w:val="0"/>
    <w:pPr>
      <w:adjustRightInd w:val="0"/>
      <w:snapToGrid w:val="0"/>
      <w:jc w:val="center"/>
    </w:pPr>
    <w:rPr>
      <w:rFonts w:hAnsi="Times"/>
      <w:bCs/>
      <w:color w:val="000000"/>
    </w:rPr>
  </w:style>
  <w:style w:type="paragraph" w:customStyle="1" w:styleId="3690">
    <w:name w:val="默认段落字体 Para Char32"/>
    <w:basedOn w:val="1"/>
    <w:qFormat/>
    <w:uiPriority w:val="0"/>
    <w:pPr>
      <w:spacing w:line="360" w:lineRule="auto"/>
      <w:ind w:firstLine="200" w:firstLineChars="200"/>
    </w:pPr>
    <w:rPr>
      <w:rFonts w:hAnsi="宋体" w:cs="宋体"/>
    </w:rPr>
  </w:style>
  <w:style w:type="paragraph" w:customStyle="1" w:styleId="3691">
    <w:name w:val="表内文字小316"/>
    <w:basedOn w:val="1"/>
    <w:qFormat/>
    <w:uiPriority w:val="0"/>
    <w:pPr>
      <w:adjustRightInd w:val="0"/>
      <w:snapToGrid w:val="0"/>
      <w:jc w:val="center"/>
    </w:pPr>
    <w:rPr>
      <w:rFonts w:hAnsi="Times" w:cs="宋体"/>
      <w:bCs/>
      <w:color w:val="003366"/>
    </w:rPr>
  </w:style>
  <w:style w:type="paragraph" w:customStyle="1" w:styleId="3692">
    <w:name w:val="body 1"/>
    <w:basedOn w:val="1"/>
    <w:qFormat/>
    <w:uiPriority w:val="0"/>
    <w:pPr>
      <w:adjustRightInd w:val="0"/>
      <w:spacing w:line="360" w:lineRule="atLeast"/>
      <w:textAlignment w:val="baseline"/>
    </w:pPr>
    <w:rPr>
      <w:rFonts w:ascii="華康中楷體" w:eastAsia="華康中楷體"/>
      <w:spacing w:val="60"/>
      <w:lang w:eastAsia="zh-TW"/>
    </w:rPr>
  </w:style>
  <w:style w:type="paragraph" w:customStyle="1" w:styleId="3693">
    <w:name w:val="表内文字小25"/>
    <w:basedOn w:val="1"/>
    <w:qFormat/>
    <w:uiPriority w:val="0"/>
    <w:pPr>
      <w:adjustRightInd w:val="0"/>
      <w:snapToGrid w:val="0"/>
      <w:jc w:val="center"/>
    </w:pPr>
    <w:rPr>
      <w:rFonts w:hAnsi="Times"/>
      <w:bCs/>
      <w:color w:val="000000"/>
    </w:rPr>
  </w:style>
  <w:style w:type="paragraph" w:customStyle="1" w:styleId="3694">
    <w:name w:val="表12"/>
    <w:basedOn w:val="1"/>
    <w:qFormat/>
    <w:uiPriority w:val="0"/>
    <w:pPr>
      <w:adjustRightInd w:val="0"/>
      <w:snapToGrid w:val="0"/>
      <w:jc w:val="center"/>
    </w:pPr>
    <w:rPr>
      <w:rFonts w:eastAsia="仿宋_GB2312"/>
    </w:rPr>
  </w:style>
  <w:style w:type="paragraph" w:customStyle="1" w:styleId="3695">
    <w:name w:val="正文格式 Char Char Char Char"/>
    <w:basedOn w:val="1"/>
    <w:qFormat/>
    <w:uiPriority w:val="0"/>
    <w:pPr>
      <w:spacing w:line="360" w:lineRule="auto"/>
      <w:ind w:firstLine="482"/>
    </w:pPr>
    <w:rPr>
      <w:rFonts w:cs="宋体"/>
    </w:rPr>
  </w:style>
  <w:style w:type="paragraph" w:customStyle="1" w:styleId="3696">
    <w:name w:val="谏壁chen表格内文字 Char Char Char"/>
    <w:basedOn w:val="1"/>
    <w:qFormat/>
    <w:uiPriority w:val="0"/>
    <w:pPr>
      <w:spacing w:line="0" w:lineRule="atLeast"/>
      <w:jc w:val="center"/>
    </w:pPr>
    <w:rPr>
      <w:szCs w:val="21"/>
    </w:rPr>
  </w:style>
  <w:style w:type="paragraph" w:customStyle="1" w:styleId="3697">
    <w:name w:val="表内宋5中15"/>
    <w:basedOn w:val="1"/>
    <w:qFormat/>
    <w:uiPriority w:val="0"/>
    <w:pPr>
      <w:adjustRightInd w:val="0"/>
      <w:snapToGrid w:val="0"/>
      <w:jc w:val="center"/>
      <w:textAlignment w:val="baseline"/>
    </w:pPr>
    <w:rPr>
      <w:rFonts w:hAnsi="宋体" w:cs="宋体"/>
    </w:rPr>
  </w:style>
  <w:style w:type="paragraph" w:customStyle="1" w:styleId="3698">
    <w:name w:val="标题431211"/>
    <w:basedOn w:val="1"/>
    <w:qFormat/>
    <w:uiPriority w:val="0"/>
    <w:pPr>
      <w:adjustRightInd w:val="0"/>
      <w:snapToGrid w:val="0"/>
      <w:spacing w:line="480" w:lineRule="exact"/>
      <w:jc w:val="center"/>
    </w:pPr>
    <w:rPr>
      <w:rFonts w:hAnsi="宋体" w:cs="宋体"/>
    </w:rPr>
  </w:style>
  <w:style w:type="paragraph" w:customStyle="1" w:styleId="3699">
    <w:name w:val="Char Char Char Char1 Char Char Char13"/>
    <w:basedOn w:val="1"/>
    <w:qFormat/>
    <w:uiPriority w:val="0"/>
    <w:pPr>
      <w:widowControl/>
      <w:spacing w:after="160" w:line="240" w:lineRule="exact"/>
      <w:jc w:val="left"/>
    </w:pPr>
    <w:rPr>
      <w:rFonts w:ascii="Verdana" w:hAnsi="Verdana"/>
      <w:sz w:val="20"/>
      <w:lang w:eastAsia="en-US"/>
    </w:rPr>
  </w:style>
  <w:style w:type="paragraph" w:customStyle="1" w:styleId="3700">
    <w:name w:val="附件"/>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701">
    <w:name w:val="xl6313"/>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3702">
    <w:name w:val="chen正文111"/>
    <w:basedOn w:val="1"/>
    <w:qFormat/>
    <w:uiPriority w:val="0"/>
    <w:pPr>
      <w:adjustRightInd w:val="0"/>
      <w:snapToGrid w:val="0"/>
      <w:spacing w:line="500" w:lineRule="exact"/>
      <w:ind w:firstLine="560" w:firstLineChars="200"/>
    </w:pPr>
    <w:rPr>
      <w:rFonts w:eastAsia="仿宋_GB2312"/>
      <w:bCs/>
      <w:color w:val="000000"/>
      <w:sz w:val="28"/>
      <w:szCs w:val="28"/>
    </w:rPr>
  </w:style>
  <w:style w:type="paragraph" w:customStyle="1" w:styleId="3703">
    <w:name w:val="样式 （一）标题 + 段前: 0.5 行"/>
    <w:basedOn w:val="1"/>
    <w:qFormat/>
    <w:uiPriority w:val="0"/>
    <w:pPr>
      <w:pBdr>
        <w:top w:val="single" w:color="auto" w:sz="4" w:space="1"/>
      </w:pBdr>
      <w:adjustRightInd w:val="0"/>
      <w:spacing w:line="360" w:lineRule="auto"/>
      <w:jc w:val="left"/>
      <w:textAlignment w:val="baseline"/>
    </w:pPr>
    <w:rPr>
      <w:rFonts w:cs="宋体"/>
      <w:b/>
      <w:bCs/>
    </w:rPr>
  </w:style>
  <w:style w:type="paragraph" w:customStyle="1" w:styleId="3704">
    <w:name w:val="Char Char Char Char Char Char Char112"/>
    <w:basedOn w:val="1"/>
    <w:qFormat/>
    <w:uiPriority w:val="0"/>
  </w:style>
  <w:style w:type="paragraph" w:customStyle="1" w:styleId="3705">
    <w:name w:val="report1"/>
    <w:basedOn w:val="1"/>
    <w:qFormat/>
    <w:uiPriority w:val="0"/>
    <w:pPr>
      <w:tabs>
        <w:tab w:val="left" w:pos="1009"/>
      </w:tabs>
      <w:adjustRightInd w:val="0"/>
      <w:spacing w:before="60" w:after="60" w:line="300" w:lineRule="exact"/>
      <w:ind w:left="1009" w:hanging="504"/>
      <w:textAlignment w:val="baseline"/>
    </w:pPr>
    <w:rPr>
      <w:sz w:val="22"/>
    </w:rPr>
  </w:style>
  <w:style w:type="paragraph" w:customStyle="1" w:styleId="3706">
    <w:name w:val="Char Char Char2 Char Char Char Char"/>
    <w:basedOn w:val="1"/>
    <w:qFormat/>
    <w:uiPriority w:val="0"/>
    <w:rPr>
      <w:szCs w:val="21"/>
    </w:rPr>
  </w:style>
  <w:style w:type="paragraph" w:customStyle="1" w:styleId="3707">
    <w:name w:val="Char410"/>
    <w:basedOn w:val="1"/>
    <w:qFormat/>
    <w:uiPriority w:val="0"/>
    <w:pPr>
      <w:ind w:left="-48"/>
    </w:pPr>
  </w:style>
  <w:style w:type="paragraph" w:customStyle="1" w:styleId="3708">
    <w:name w:val="正文格式＝41"/>
    <w:basedOn w:val="239"/>
    <w:next w:val="239"/>
    <w:qFormat/>
    <w:uiPriority w:val="0"/>
    <w:rPr>
      <w:rFonts w:hAnsi="宋体"/>
    </w:rPr>
  </w:style>
  <w:style w:type="paragraph" w:customStyle="1" w:styleId="3709">
    <w:name w:val="样式 标题 1 + (中文) 黑体 四号 居中 段前: 0 磅 段后: 0 磅 行距: 2 倍行距1"/>
    <w:basedOn w:val="4"/>
    <w:qFormat/>
    <w:uiPriority w:val="0"/>
    <w:pPr>
      <w:tabs>
        <w:tab w:val="left" w:pos="432"/>
        <w:tab w:val="left" w:pos="2040"/>
      </w:tabs>
      <w:spacing w:beforeLines="50" w:afterLines="50" w:line="480" w:lineRule="auto"/>
      <w:ind w:left="432" w:leftChars="800" w:hanging="432" w:hangingChars="200"/>
      <w:jc w:val="center"/>
    </w:pPr>
    <w:rPr>
      <w:rFonts w:ascii="仿宋_GB2312" w:eastAsia="仿宋_GB2312"/>
      <w:bCs w:val="0"/>
      <w:color w:val="FF0000"/>
      <w:sz w:val="36"/>
      <w:szCs w:val="36"/>
    </w:rPr>
  </w:style>
  <w:style w:type="paragraph" w:customStyle="1" w:styleId="3710">
    <w:name w:val="表内521"/>
    <w:basedOn w:val="1"/>
    <w:qFormat/>
    <w:uiPriority w:val="0"/>
    <w:pPr>
      <w:adjustRightInd w:val="0"/>
      <w:snapToGrid w:val="0"/>
      <w:spacing w:line="300" w:lineRule="auto"/>
      <w:jc w:val="left"/>
    </w:pPr>
    <w:rPr>
      <w:sz w:val="18"/>
    </w:rPr>
  </w:style>
  <w:style w:type="paragraph" w:customStyle="1" w:styleId="3711">
    <w:name w:val="Char Char Char Char Char Char1 Char Char Char Char Char Char3 Char"/>
    <w:basedOn w:val="6"/>
    <w:qFormat/>
    <w:uiPriority w:val="0"/>
    <w:pPr>
      <w:tabs>
        <w:tab w:val="left" w:pos="233"/>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712">
    <w:name w:val="样式 标题 3 + 段前: 12 磅2"/>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3713">
    <w:name w:val="Char Char Char Char Char Char Char310"/>
    <w:basedOn w:val="1"/>
    <w:qFormat/>
    <w:uiPriority w:val="0"/>
  </w:style>
  <w:style w:type="paragraph" w:customStyle="1" w:styleId="3714">
    <w:name w:val="CM18"/>
    <w:basedOn w:val="247"/>
    <w:next w:val="247"/>
    <w:qFormat/>
    <w:uiPriority w:val="0"/>
    <w:pPr>
      <w:spacing w:line="546" w:lineRule="atLeast"/>
    </w:pPr>
    <w:rPr>
      <w:rFonts w:cs="Times New Roman"/>
      <w:color w:val="auto"/>
    </w:rPr>
  </w:style>
  <w:style w:type="paragraph" w:customStyle="1" w:styleId="3715">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716">
    <w:name w:val="黑体三号33"/>
    <w:basedOn w:val="239"/>
    <w:qFormat/>
    <w:uiPriority w:val="0"/>
    <w:pPr>
      <w:jc w:val="center"/>
    </w:pPr>
    <w:rPr>
      <w:rFonts w:ascii="黑体" w:hAnsi="宋体" w:eastAsia="黑体"/>
      <w:b/>
      <w:bCs/>
      <w:sz w:val="32"/>
      <w:szCs w:val="20"/>
    </w:rPr>
  </w:style>
  <w:style w:type="paragraph" w:customStyle="1" w:styleId="3717">
    <w:name w:val="Char Char2 Char Char Char Char6"/>
    <w:basedOn w:val="1"/>
    <w:qFormat/>
    <w:uiPriority w:val="0"/>
  </w:style>
  <w:style w:type="paragraph" w:customStyle="1" w:styleId="3718">
    <w:name w:val="Char Char Char Char1 Char Char Char25"/>
    <w:basedOn w:val="1"/>
    <w:qFormat/>
    <w:uiPriority w:val="0"/>
    <w:pPr>
      <w:widowControl/>
      <w:spacing w:after="160" w:line="240" w:lineRule="exact"/>
      <w:jc w:val="left"/>
    </w:pPr>
    <w:rPr>
      <w:rFonts w:ascii="Verdana" w:hAnsi="Verdana"/>
      <w:sz w:val="20"/>
      <w:lang w:eastAsia="en-US"/>
    </w:rPr>
  </w:style>
  <w:style w:type="paragraph" w:customStyle="1" w:styleId="3719">
    <w:name w:val="默认段落字体 Para Char Char Char Char6"/>
    <w:basedOn w:val="1"/>
    <w:qFormat/>
    <w:uiPriority w:val="0"/>
  </w:style>
  <w:style w:type="paragraph" w:customStyle="1" w:styleId="3720">
    <w:name w:val="表格内字体73"/>
    <w:basedOn w:val="239"/>
    <w:next w:val="239"/>
    <w:qFormat/>
    <w:uiPriority w:val="0"/>
    <w:pPr>
      <w:spacing w:line="240" w:lineRule="auto"/>
      <w:ind w:firstLine="0"/>
      <w:jc w:val="center"/>
    </w:pPr>
    <w:rPr>
      <w:rFonts w:hAnsi="宋体"/>
      <w:sz w:val="21"/>
    </w:rPr>
  </w:style>
  <w:style w:type="paragraph" w:customStyle="1" w:styleId="3721">
    <w:name w:val="表内541211"/>
    <w:basedOn w:val="1"/>
    <w:qFormat/>
    <w:uiPriority w:val="0"/>
    <w:pPr>
      <w:adjustRightInd w:val="0"/>
      <w:snapToGrid w:val="0"/>
      <w:spacing w:line="300" w:lineRule="auto"/>
      <w:jc w:val="center"/>
    </w:pPr>
    <w:rPr>
      <w:rFonts w:hAnsi="宋体" w:cs="宋体"/>
    </w:rPr>
  </w:style>
  <w:style w:type="paragraph" w:customStyle="1" w:styleId="3722">
    <w:name w:val="图表名称1"/>
    <w:basedOn w:val="86"/>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723">
    <w:name w:val="Char Char2 Char Char Char Char24"/>
    <w:basedOn w:val="1"/>
    <w:qFormat/>
    <w:uiPriority w:val="0"/>
  </w:style>
  <w:style w:type="paragraph" w:customStyle="1" w:styleId="3724">
    <w:name w:val="Char84"/>
    <w:basedOn w:val="1"/>
    <w:qFormat/>
    <w:uiPriority w:val="0"/>
    <w:pPr>
      <w:ind w:left="-48"/>
    </w:pPr>
  </w:style>
  <w:style w:type="paragraph" w:customStyle="1" w:styleId="3725">
    <w:name w:val="Char Char2 Char Char Char Char7"/>
    <w:basedOn w:val="1"/>
    <w:qFormat/>
    <w:uiPriority w:val="0"/>
  </w:style>
  <w:style w:type="paragraph" w:customStyle="1" w:styleId="3726">
    <w:name w:val="表题31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727">
    <w:name w:val="样式 标题 2节 + 宋体 左"/>
    <w:basedOn w:val="5"/>
    <w:qFormat/>
    <w:uiPriority w:val="0"/>
    <w:pPr>
      <w:numPr>
        <w:ilvl w:val="0"/>
        <w:numId w:val="0"/>
      </w:numPr>
      <w:tabs>
        <w:tab w:val="left" w:pos="233"/>
        <w:tab w:val="left" w:pos="567"/>
        <w:tab w:val="clear" w:pos="0"/>
        <w:tab w:val="clear" w:pos="426"/>
      </w:tabs>
      <w:spacing w:beforeLines="0" w:afterLines="0" w:line="360" w:lineRule="auto"/>
      <w:ind w:left="567" w:hanging="567"/>
      <w:jc w:val="left"/>
    </w:pPr>
    <w:rPr>
      <w:rFonts w:ascii="宋体" w:hAnsi="宋体" w:eastAsia="宋体" w:cs="宋体"/>
      <w:bCs/>
      <w:color w:val="auto"/>
      <w:spacing w:val="0"/>
      <w:kern w:val="2"/>
      <w:sz w:val="28"/>
      <w:szCs w:val="24"/>
    </w:rPr>
  </w:style>
  <w:style w:type="paragraph" w:customStyle="1" w:styleId="3728">
    <w:name w:val="Char Char2 Char Char Char Char4"/>
    <w:basedOn w:val="1"/>
    <w:qFormat/>
    <w:uiPriority w:val="0"/>
  </w:style>
  <w:style w:type="paragraph" w:customStyle="1" w:styleId="3729">
    <w:name w:val="Char210"/>
    <w:basedOn w:val="1"/>
    <w:qFormat/>
    <w:uiPriority w:val="0"/>
    <w:pPr>
      <w:ind w:left="-48"/>
    </w:pPr>
  </w:style>
  <w:style w:type="paragraph" w:customStyle="1" w:styleId="3730">
    <w:name w:val="标题431113"/>
    <w:basedOn w:val="1"/>
    <w:qFormat/>
    <w:uiPriority w:val="0"/>
    <w:pPr>
      <w:adjustRightInd w:val="0"/>
      <w:snapToGrid w:val="0"/>
      <w:spacing w:line="480" w:lineRule="exact"/>
      <w:jc w:val="center"/>
    </w:pPr>
    <w:rPr>
      <w:rFonts w:hAnsi="宋体" w:cs="宋体"/>
    </w:rPr>
  </w:style>
  <w:style w:type="paragraph" w:customStyle="1" w:styleId="3731">
    <w:name w:val="Char Char Char Char Char Char Char Char Char Char Char Char Char Char Char Char Char Char Char Char Char Char Char Char Char Char Char Char Char Char Char Char Char Char Char Char Char Char Char Char"/>
    <w:basedOn w:val="1"/>
    <w:qFormat/>
    <w:uiPriority w:val="0"/>
  </w:style>
  <w:style w:type="paragraph" w:customStyle="1" w:styleId="3732">
    <w:name w:val="表格内字体52"/>
    <w:basedOn w:val="239"/>
    <w:next w:val="239"/>
    <w:qFormat/>
    <w:uiPriority w:val="0"/>
    <w:pPr>
      <w:adjustRightInd w:val="0"/>
      <w:snapToGrid w:val="0"/>
      <w:spacing w:line="240" w:lineRule="auto"/>
      <w:ind w:firstLine="0"/>
    </w:pPr>
    <w:rPr>
      <w:rFonts w:hAnsi="宋体"/>
      <w:sz w:val="21"/>
    </w:rPr>
  </w:style>
  <w:style w:type="paragraph" w:customStyle="1" w:styleId="3733">
    <w:name w:val="表格内字体512"/>
    <w:basedOn w:val="239"/>
    <w:next w:val="239"/>
    <w:qFormat/>
    <w:uiPriority w:val="0"/>
    <w:pPr>
      <w:adjustRightInd w:val="0"/>
      <w:snapToGrid w:val="0"/>
      <w:spacing w:line="240" w:lineRule="auto"/>
      <w:ind w:firstLine="0"/>
    </w:pPr>
    <w:rPr>
      <w:rFonts w:hAnsi="宋体"/>
      <w:sz w:val="21"/>
    </w:rPr>
  </w:style>
  <w:style w:type="paragraph" w:customStyle="1" w:styleId="3734">
    <w:name w:val="表中文字5"/>
    <w:basedOn w:val="1"/>
    <w:qFormat/>
    <w:uiPriority w:val="0"/>
    <w:pPr>
      <w:widowControl/>
      <w:spacing w:line="240" w:lineRule="atLeast"/>
      <w:ind w:left="-24" w:leftChars="-10" w:right="-48" w:rightChars="-20"/>
      <w:jc w:val="center"/>
    </w:pPr>
    <w:rPr>
      <w:szCs w:val="21"/>
    </w:rPr>
  </w:style>
  <w:style w:type="paragraph" w:customStyle="1" w:styleId="3735">
    <w:name w:val="Char Char2 Char Char Char Char35"/>
    <w:basedOn w:val="1"/>
    <w:qFormat/>
    <w:uiPriority w:val="0"/>
  </w:style>
  <w:style w:type="paragraph" w:customStyle="1" w:styleId="3736">
    <w:name w:val="图题711"/>
    <w:basedOn w:val="239"/>
    <w:next w:val="239"/>
    <w:qFormat/>
    <w:uiPriority w:val="0"/>
    <w:pPr>
      <w:ind w:firstLine="0"/>
      <w:jc w:val="center"/>
    </w:pPr>
    <w:rPr>
      <w:rFonts w:ascii="黑体" w:hAnsi="宋体" w:eastAsia="黑体"/>
      <w:b/>
      <w:bCs/>
    </w:rPr>
  </w:style>
  <w:style w:type="paragraph" w:customStyle="1" w:styleId="3737">
    <w:name w:val="图题9"/>
    <w:basedOn w:val="239"/>
    <w:next w:val="239"/>
    <w:qFormat/>
    <w:uiPriority w:val="0"/>
    <w:pPr>
      <w:ind w:firstLine="0"/>
      <w:jc w:val="center"/>
    </w:pPr>
    <w:rPr>
      <w:rFonts w:ascii="黑体" w:hAnsi="宋体" w:eastAsia="黑体"/>
      <w:b/>
      <w:bCs/>
    </w:rPr>
  </w:style>
  <w:style w:type="paragraph" w:customStyle="1" w:styleId="3738">
    <w:name w:val="A正文2"/>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rPr>
  </w:style>
  <w:style w:type="paragraph" w:customStyle="1" w:styleId="3739">
    <w:name w:val="Char429"/>
    <w:basedOn w:val="1"/>
    <w:qFormat/>
    <w:uiPriority w:val="0"/>
    <w:pPr>
      <w:ind w:left="-48"/>
    </w:pPr>
  </w:style>
  <w:style w:type="paragraph" w:customStyle="1" w:styleId="3740">
    <w:name w:val="表题317"/>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741">
    <w:name w:val="文本123"/>
    <w:basedOn w:val="22"/>
    <w:qFormat/>
    <w:uiPriority w:val="0"/>
    <w:pPr>
      <w:tabs>
        <w:tab w:val="left" w:pos="958"/>
      </w:tabs>
      <w:spacing w:line="460" w:lineRule="exact"/>
      <w:ind w:left="958" w:hanging="420" w:firstLineChars="0"/>
      <w:outlineLvl w:val="7"/>
    </w:pPr>
    <w:rPr>
      <w:sz w:val="24"/>
      <w:szCs w:val="20"/>
    </w:rPr>
  </w:style>
  <w:style w:type="paragraph" w:customStyle="1" w:styleId="3742">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spacing w:val="80"/>
      <w:sz w:val="20"/>
    </w:rPr>
  </w:style>
  <w:style w:type="paragraph" w:customStyle="1" w:styleId="3743">
    <w:name w:val="表题313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744">
    <w:name w:val="正文格式＝22"/>
    <w:basedOn w:val="239"/>
    <w:next w:val="239"/>
    <w:qFormat/>
    <w:uiPriority w:val="0"/>
    <w:rPr>
      <w:rFonts w:hAnsi="宋体"/>
    </w:rPr>
  </w:style>
  <w:style w:type="paragraph" w:customStyle="1" w:styleId="3745">
    <w:name w:val="Char115"/>
    <w:basedOn w:val="1"/>
    <w:qFormat/>
    <w:uiPriority w:val="0"/>
    <w:pPr>
      <w:ind w:left="-48"/>
    </w:pPr>
  </w:style>
  <w:style w:type="paragraph" w:customStyle="1" w:styleId="3746">
    <w:name w:val="样式 标题 4无效格式无效格式1河石管道4H4H41小小节河石管道41H42H411小小节1河石管道42...4"/>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3747">
    <w:name w:val="图题21"/>
    <w:basedOn w:val="239"/>
    <w:next w:val="239"/>
    <w:qFormat/>
    <w:uiPriority w:val="0"/>
    <w:pPr>
      <w:ind w:firstLine="0"/>
      <w:jc w:val="center"/>
    </w:pPr>
    <w:rPr>
      <w:rFonts w:ascii="黑体" w:hAnsi="宋体" w:eastAsia="黑体"/>
      <w:b/>
      <w:bCs/>
    </w:rPr>
  </w:style>
  <w:style w:type="paragraph" w:customStyle="1" w:styleId="3748">
    <w:name w:val="图题3"/>
    <w:basedOn w:val="239"/>
    <w:next w:val="239"/>
    <w:qFormat/>
    <w:uiPriority w:val="0"/>
    <w:pPr>
      <w:ind w:firstLine="0"/>
      <w:jc w:val="center"/>
    </w:pPr>
    <w:rPr>
      <w:rFonts w:ascii="黑体" w:hAnsi="宋体" w:eastAsia="黑体"/>
      <w:b/>
      <w:bCs/>
    </w:rPr>
  </w:style>
  <w:style w:type="paragraph" w:customStyle="1" w:styleId="3749">
    <w:name w:val="正文格式＝7"/>
    <w:basedOn w:val="239"/>
    <w:next w:val="239"/>
    <w:qFormat/>
    <w:uiPriority w:val="0"/>
    <w:rPr>
      <w:rFonts w:hAnsi="宋体"/>
    </w:rPr>
  </w:style>
  <w:style w:type="paragraph" w:customStyle="1" w:styleId="3750">
    <w:name w:val="m3"/>
    <w:basedOn w:val="1"/>
    <w:qFormat/>
    <w:uiPriority w:val="0"/>
    <w:pPr>
      <w:pBdr>
        <w:top w:val="single" w:color="auto" w:sz="4" w:space="1"/>
      </w:pBdr>
      <w:adjustRightInd w:val="0"/>
      <w:spacing w:line="400" w:lineRule="atLeast"/>
      <w:jc w:val="center"/>
      <w:textAlignment w:val="bottom"/>
    </w:pPr>
    <w:rPr>
      <w:rFonts w:eastAsia="楷体"/>
      <w:sz w:val="28"/>
    </w:rPr>
  </w:style>
  <w:style w:type="paragraph" w:customStyle="1" w:styleId="3751">
    <w:name w:val="正文格式＝72"/>
    <w:basedOn w:val="239"/>
    <w:next w:val="239"/>
    <w:qFormat/>
    <w:uiPriority w:val="0"/>
    <w:rPr>
      <w:rFonts w:hAnsi="宋体"/>
    </w:rPr>
  </w:style>
  <w:style w:type="paragraph" w:customStyle="1" w:styleId="3752">
    <w:name w:val="Char211"/>
    <w:basedOn w:val="1"/>
    <w:qFormat/>
    <w:uiPriority w:val="0"/>
    <w:pPr>
      <w:ind w:left="-48"/>
    </w:pPr>
  </w:style>
  <w:style w:type="paragraph" w:customStyle="1" w:styleId="3753">
    <w:name w:val="表中文字12"/>
    <w:basedOn w:val="1"/>
    <w:qFormat/>
    <w:uiPriority w:val="0"/>
    <w:pPr>
      <w:widowControl/>
      <w:spacing w:line="240" w:lineRule="atLeast"/>
      <w:ind w:left="-24" w:leftChars="-10" w:right="-48" w:rightChars="-20"/>
      <w:jc w:val="center"/>
    </w:pPr>
    <w:rPr>
      <w:szCs w:val="21"/>
    </w:rPr>
  </w:style>
  <w:style w:type="paragraph" w:customStyle="1" w:styleId="3754">
    <w:name w:val="Char215"/>
    <w:basedOn w:val="1"/>
    <w:qFormat/>
    <w:uiPriority w:val="0"/>
    <w:pPr>
      <w:ind w:left="-48"/>
    </w:pPr>
  </w:style>
  <w:style w:type="paragraph" w:customStyle="1" w:styleId="3755">
    <w:name w:val="奇数页篇眉"/>
    <w:basedOn w:val="57"/>
    <w:qFormat/>
    <w:uiPriority w:val="0"/>
    <w:pPr>
      <w:keepLines/>
      <w:widowControl/>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3756">
    <w:name w:val="Char Char2 Char Char Char Char16"/>
    <w:basedOn w:val="1"/>
    <w:qFormat/>
    <w:uiPriority w:val="0"/>
  </w:style>
  <w:style w:type="paragraph" w:customStyle="1" w:styleId="3757">
    <w:name w:val="Char423"/>
    <w:basedOn w:val="1"/>
    <w:qFormat/>
    <w:uiPriority w:val="0"/>
    <w:pPr>
      <w:ind w:left="-48"/>
    </w:pPr>
  </w:style>
  <w:style w:type="paragraph" w:customStyle="1" w:styleId="3758">
    <w:name w:val="表格内字体6"/>
    <w:basedOn w:val="239"/>
    <w:next w:val="239"/>
    <w:qFormat/>
    <w:uiPriority w:val="0"/>
    <w:pPr>
      <w:spacing w:line="240" w:lineRule="auto"/>
      <w:ind w:firstLine="0"/>
      <w:jc w:val="center"/>
    </w:pPr>
    <w:rPr>
      <w:rFonts w:hAnsi="宋体"/>
      <w:sz w:val="21"/>
    </w:rPr>
  </w:style>
  <w:style w:type="paragraph" w:customStyle="1" w:styleId="3759">
    <w:name w:val="燕山正文1311"/>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3760">
    <w:name w:val="表格内字体23"/>
    <w:basedOn w:val="239"/>
    <w:next w:val="239"/>
    <w:qFormat/>
    <w:uiPriority w:val="0"/>
    <w:pPr>
      <w:spacing w:line="240" w:lineRule="auto"/>
      <w:ind w:firstLine="0"/>
      <w:jc w:val="center"/>
    </w:pPr>
    <w:rPr>
      <w:rFonts w:hAnsi="宋体"/>
      <w:sz w:val="21"/>
    </w:rPr>
  </w:style>
  <w:style w:type="paragraph" w:customStyle="1" w:styleId="3761">
    <w:name w:val="图题612"/>
    <w:basedOn w:val="239"/>
    <w:next w:val="239"/>
    <w:qFormat/>
    <w:uiPriority w:val="0"/>
    <w:pPr>
      <w:ind w:firstLine="0"/>
      <w:jc w:val="center"/>
    </w:pPr>
    <w:rPr>
      <w:rFonts w:ascii="黑体" w:hAnsi="宋体" w:eastAsia="黑体"/>
      <w:b/>
      <w:bCs/>
    </w:rPr>
  </w:style>
  <w:style w:type="paragraph" w:customStyle="1" w:styleId="3762">
    <w:name w:val="表题4111"/>
    <w:basedOn w:val="3"/>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763">
    <w:name w:val="燕山正文6"/>
    <w:basedOn w:val="1"/>
    <w:qFormat/>
    <w:uiPriority w:val="0"/>
    <w:pPr>
      <w:tabs>
        <w:tab w:val="left" w:pos="4680"/>
      </w:tabs>
      <w:adjustRightInd w:val="0"/>
      <w:snapToGrid w:val="0"/>
      <w:spacing w:line="480" w:lineRule="exact"/>
    </w:pPr>
    <w:rPr>
      <w:rFonts w:cs="宋体"/>
    </w:rPr>
  </w:style>
  <w:style w:type="paragraph" w:customStyle="1" w:styleId="3764">
    <w:name w:val="mp"/>
    <w:basedOn w:val="1"/>
    <w:qFormat/>
    <w:uiPriority w:val="0"/>
    <w:pPr>
      <w:widowControl/>
      <w:spacing w:before="100" w:beforeAutospacing="1" w:after="100" w:afterAutospacing="1" w:line="400" w:lineRule="atLeast"/>
      <w:ind w:firstLine="360"/>
    </w:pPr>
    <w:rPr>
      <w:rFonts w:ascii="ˎ̥" w:hAnsi="ˎ̥" w:cs="宋体"/>
      <w:color w:val="454D63"/>
    </w:rPr>
  </w:style>
  <w:style w:type="paragraph" w:customStyle="1" w:styleId="3765">
    <w:name w:val="Char Char2 Char Char Char Char28"/>
    <w:basedOn w:val="1"/>
    <w:qFormat/>
    <w:uiPriority w:val="0"/>
  </w:style>
  <w:style w:type="paragraph" w:customStyle="1" w:styleId="3766">
    <w:name w:val="默认段落字体 Para Char Char Char Char511"/>
    <w:basedOn w:val="1"/>
    <w:qFormat/>
    <w:uiPriority w:val="0"/>
  </w:style>
  <w:style w:type="paragraph" w:customStyle="1" w:styleId="3767">
    <w:name w:val="燕山正文21"/>
    <w:basedOn w:val="1"/>
    <w:qFormat/>
    <w:uiPriority w:val="0"/>
    <w:pPr>
      <w:tabs>
        <w:tab w:val="left" w:pos="4680"/>
      </w:tabs>
      <w:adjustRightInd w:val="0"/>
      <w:snapToGrid w:val="0"/>
      <w:spacing w:line="480" w:lineRule="exact"/>
    </w:pPr>
    <w:rPr>
      <w:rFonts w:cs="宋体"/>
    </w:rPr>
  </w:style>
  <w:style w:type="paragraph" w:customStyle="1" w:styleId="3768">
    <w:name w:val="表内54142"/>
    <w:basedOn w:val="1"/>
    <w:qFormat/>
    <w:uiPriority w:val="0"/>
    <w:pPr>
      <w:adjustRightInd w:val="0"/>
      <w:snapToGrid w:val="0"/>
      <w:spacing w:line="300" w:lineRule="auto"/>
      <w:jc w:val="center"/>
    </w:pPr>
    <w:rPr>
      <w:rFonts w:hAnsi="宋体" w:cs="宋体"/>
    </w:rPr>
  </w:style>
  <w:style w:type="paragraph" w:customStyle="1" w:styleId="3769">
    <w:name w:val="样式 标题 4无效格式无效格式1河石管道4H4H41小小节河石管道41H42H411小小节1河石管道42...22"/>
    <w:basedOn w:val="7"/>
    <w:qFormat/>
    <w:uiPriority w:val="0"/>
    <w:pPr>
      <w:adjustRightInd w:val="0"/>
      <w:snapToGrid w:val="0"/>
      <w:spacing w:line="360" w:lineRule="auto"/>
      <w:ind w:left="664" w:hanging="864"/>
    </w:pPr>
    <w:rPr>
      <w:rFonts w:ascii="黑体" w:eastAsia="黑体"/>
      <w:bCs w:val="0"/>
      <w:sz w:val="24"/>
      <w:szCs w:val="24"/>
    </w:rPr>
  </w:style>
  <w:style w:type="paragraph" w:customStyle="1" w:styleId="3770">
    <w:name w:val="表中文字411"/>
    <w:basedOn w:val="1"/>
    <w:qFormat/>
    <w:uiPriority w:val="0"/>
    <w:pPr>
      <w:snapToGrid w:val="0"/>
      <w:spacing w:line="340" w:lineRule="exact"/>
      <w:ind w:firstLine="480" w:firstLineChars="200"/>
      <w:jc w:val="center"/>
    </w:pPr>
    <w:rPr>
      <w:rFonts w:ascii="Arial" w:hAnsi="Arial"/>
      <w:sz w:val="20"/>
      <w:lang w:eastAsia="zh-TW"/>
    </w:rPr>
  </w:style>
  <w:style w:type="paragraph" w:customStyle="1" w:styleId="3771">
    <w:name w:val="Char114"/>
    <w:basedOn w:val="1"/>
    <w:qFormat/>
    <w:uiPriority w:val="0"/>
    <w:pPr>
      <w:ind w:left="-48"/>
    </w:pPr>
  </w:style>
  <w:style w:type="paragraph" w:customStyle="1" w:styleId="3772">
    <w:name w:val="表格标题9"/>
    <w:basedOn w:val="82"/>
    <w:qFormat/>
    <w:uiPriority w:val="0"/>
    <w:pPr>
      <w:pBdr>
        <w:top w:val="single" w:color="auto" w:sz="4" w:space="1"/>
      </w:pBdr>
      <w:tabs>
        <w:tab w:val="left" w:pos="0"/>
      </w:tabs>
      <w:wordWrap w:val="0"/>
      <w:adjustRightInd w:val="0"/>
      <w:spacing w:before="0" w:after="0" w:line="240" w:lineRule="atLeast"/>
      <w:ind w:left="0" w:firstLine="0"/>
      <w:jc w:val="center"/>
      <w:textAlignment w:val="baseline"/>
    </w:pPr>
    <w:rPr>
      <w:rFonts w:ascii="Times New Roman" w:hAnsi="Times New Roman" w:eastAsia="宋体"/>
      <w:b/>
    </w:rPr>
  </w:style>
  <w:style w:type="paragraph" w:customStyle="1" w:styleId="3773">
    <w:name w:val="表题21112"/>
    <w:basedOn w:val="1"/>
    <w:qFormat/>
    <w:uiPriority w:val="0"/>
    <w:pPr>
      <w:widowControl/>
      <w:adjustRightInd w:val="0"/>
      <w:snapToGrid w:val="0"/>
      <w:jc w:val="center"/>
    </w:pPr>
    <w:rPr>
      <w:rFonts w:ascii="黑体" w:hAnsi="宋体" w:eastAsia="黑体" w:cs="宋体"/>
    </w:rPr>
  </w:style>
  <w:style w:type="paragraph" w:customStyle="1" w:styleId="3774">
    <w:name w:val="Char Char Char Char Char Char Char Char Char1 Char Char Char Char Char Char1"/>
    <w:basedOn w:val="1"/>
    <w:qFormat/>
    <w:uiPriority w:val="0"/>
    <w:rPr>
      <w:szCs w:val="21"/>
    </w:rPr>
  </w:style>
  <w:style w:type="paragraph" w:customStyle="1" w:styleId="3775">
    <w:name w:val="表题3141"/>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776">
    <w:name w:val="Char Char Char Char Char Char Char214"/>
    <w:basedOn w:val="1"/>
    <w:qFormat/>
    <w:uiPriority w:val="0"/>
  </w:style>
  <w:style w:type="paragraph" w:customStyle="1" w:styleId="3777">
    <w:name w:val="正文格式＝4"/>
    <w:basedOn w:val="239"/>
    <w:next w:val="239"/>
    <w:qFormat/>
    <w:uiPriority w:val="0"/>
    <w:rPr>
      <w:rFonts w:hAnsi="宋体"/>
    </w:rPr>
  </w:style>
  <w:style w:type="paragraph" w:customStyle="1" w:styleId="3778">
    <w:name w:val="表内5中5"/>
    <w:basedOn w:val="1"/>
    <w:qFormat/>
    <w:uiPriority w:val="0"/>
    <w:pPr>
      <w:adjustRightInd w:val="0"/>
      <w:snapToGrid w:val="0"/>
      <w:jc w:val="center"/>
    </w:pPr>
    <w:rPr>
      <w:rFonts w:hAnsi="宋体" w:cs="Arial"/>
      <w:snapToGrid w:val="0"/>
      <w:color w:val="000000"/>
      <w:szCs w:val="21"/>
    </w:rPr>
  </w:style>
  <w:style w:type="paragraph" w:customStyle="1" w:styleId="3779">
    <w:name w:val="Char4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3780">
    <w:name w:val="表内宋511"/>
    <w:basedOn w:val="81"/>
    <w:qFormat/>
    <w:uiPriority w:val="0"/>
    <w:pPr>
      <w:widowControl/>
      <w:adjustRightInd w:val="0"/>
      <w:snapToGrid w:val="0"/>
    </w:pPr>
    <w:rPr>
      <w:rFonts w:ascii="宋体" w:hAnsi="宋体" w:cs="宋体"/>
      <w:color w:val="000000"/>
      <w:kern w:val="0"/>
      <w:sz w:val="21"/>
    </w:rPr>
  </w:style>
  <w:style w:type="paragraph" w:customStyle="1" w:styleId="3781">
    <w:name w:val="Char611"/>
    <w:basedOn w:val="1"/>
    <w:qFormat/>
    <w:uiPriority w:val="0"/>
    <w:pPr>
      <w:adjustRightInd w:val="0"/>
      <w:snapToGrid w:val="0"/>
      <w:spacing w:beforeLines="50" w:line="360" w:lineRule="auto"/>
    </w:pPr>
    <w:rPr>
      <w:rFonts w:ascii="黑体" w:eastAsia="黑体"/>
      <w:sz w:val="32"/>
      <w:szCs w:val="32"/>
    </w:rPr>
  </w:style>
  <w:style w:type="paragraph" w:customStyle="1" w:styleId="3782">
    <w:name w:val="标题B"/>
    <w:qFormat/>
    <w:uiPriority w:val="0"/>
    <w:pPr>
      <w:adjustRightInd w:val="0"/>
      <w:spacing w:line="720" w:lineRule="auto"/>
      <w:outlineLvl w:val="1"/>
    </w:pPr>
    <w:rPr>
      <w:rFonts w:ascii="Times New Roman" w:hAnsi="Times New Roman" w:eastAsia="宋体" w:cs="Times New Roman"/>
      <w:b/>
      <w:sz w:val="30"/>
      <w:lang w:val="en-US" w:eastAsia="zh-CN" w:bidi="ar-SA"/>
    </w:rPr>
  </w:style>
  <w:style w:type="paragraph" w:customStyle="1" w:styleId="3783">
    <w:name w:val="表内宋5中212"/>
    <w:basedOn w:val="1"/>
    <w:qFormat/>
    <w:uiPriority w:val="0"/>
    <w:pPr>
      <w:adjustRightInd w:val="0"/>
      <w:snapToGrid w:val="0"/>
      <w:jc w:val="center"/>
      <w:textAlignment w:val="baseline"/>
    </w:pPr>
    <w:rPr>
      <w:rFonts w:hAnsi="宋体"/>
    </w:rPr>
  </w:style>
  <w:style w:type="paragraph" w:customStyle="1" w:styleId="3784">
    <w:name w:val="正文格式31"/>
    <w:basedOn w:val="1"/>
    <w:qFormat/>
    <w:uiPriority w:val="0"/>
    <w:pPr>
      <w:spacing w:line="360" w:lineRule="auto"/>
      <w:ind w:firstLine="482"/>
    </w:pPr>
    <w:rPr>
      <w:rFonts w:hAnsi="宋体"/>
    </w:rPr>
  </w:style>
  <w:style w:type="paragraph" w:customStyle="1" w:styleId="3785">
    <w:name w:val="Char61"/>
    <w:basedOn w:val="1"/>
    <w:qFormat/>
    <w:uiPriority w:val="0"/>
    <w:pPr>
      <w:adjustRightInd w:val="0"/>
      <w:snapToGrid w:val="0"/>
      <w:spacing w:beforeLines="50" w:line="360" w:lineRule="auto"/>
    </w:pPr>
    <w:rPr>
      <w:rFonts w:ascii="黑体" w:eastAsia="黑体"/>
      <w:sz w:val="32"/>
      <w:szCs w:val="32"/>
    </w:rPr>
  </w:style>
  <w:style w:type="paragraph" w:customStyle="1" w:styleId="3786">
    <w:name w:val="表内文字小1"/>
    <w:basedOn w:val="1"/>
    <w:qFormat/>
    <w:uiPriority w:val="0"/>
    <w:pPr>
      <w:adjustRightInd w:val="0"/>
      <w:snapToGrid w:val="0"/>
      <w:jc w:val="center"/>
    </w:pPr>
    <w:rPr>
      <w:rFonts w:hAnsi="Times"/>
    </w:rPr>
  </w:style>
  <w:style w:type="paragraph" w:customStyle="1" w:styleId="3787">
    <w:name w:val="表内5S"/>
    <w:basedOn w:val="1"/>
    <w:qFormat/>
    <w:uiPriority w:val="0"/>
    <w:pPr>
      <w:pBdr>
        <w:top w:val="single" w:color="auto" w:sz="4" w:space="1"/>
      </w:pBdr>
      <w:spacing w:line="300" w:lineRule="atLeast"/>
      <w:jc w:val="center"/>
    </w:pPr>
    <w:rPr>
      <w:rFonts w:eastAsia="方正宋三简体"/>
    </w:rPr>
  </w:style>
  <w:style w:type="paragraph" w:customStyle="1" w:styleId="3788">
    <w:name w:val="Char104"/>
    <w:basedOn w:val="1"/>
    <w:qFormat/>
    <w:uiPriority w:val="0"/>
    <w:pPr>
      <w:adjustRightInd w:val="0"/>
      <w:snapToGrid w:val="0"/>
      <w:spacing w:line="360" w:lineRule="auto"/>
    </w:pPr>
  </w:style>
  <w:style w:type="paragraph" w:customStyle="1" w:styleId="3789">
    <w:name w:val="表题15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790">
    <w:name w:val="样式 标题 1章标题标题1章节H1NMP Heading 1 + Arial 左 段前: 12 磅 段后: 6 ..."/>
    <w:basedOn w:val="4"/>
    <w:qFormat/>
    <w:uiPriority w:val="0"/>
    <w:pPr>
      <w:tabs>
        <w:tab w:val="left" w:pos="2040"/>
      </w:tabs>
      <w:spacing w:before="240" w:after="240" w:line="240" w:lineRule="auto"/>
      <w:ind w:left="170" w:leftChars="800" w:hanging="170" w:hangingChars="200"/>
      <w:jc w:val="left"/>
    </w:pPr>
    <w:rPr>
      <w:rFonts w:ascii="黑体" w:eastAsia="黑体"/>
      <w:spacing w:val="-12"/>
      <w:sz w:val="32"/>
    </w:rPr>
  </w:style>
  <w:style w:type="paragraph" w:customStyle="1" w:styleId="3791">
    <w:name w:val="正文首缩"/>
    <w:basedOn w:val="35"/>
    <w:qFormat/>
    <w:uiPriority w:val="0"/>
    <w:pPr>
      <w:snapToGrid w:val="0"/>
      <w:spacing w:after="80" w:line="288" w:lineRule="auto"/>
      <w:ind w:firstLine="454"/>
    </w:pPr>
    <w:rPr>
      <w:sz w:val="24"/>
      <w:szCs w:val="20"/>
    </w:rPr>
  </w:style>
  <w:style w:type="paragraph" w:customStyle="1" w:styleId="3792">
    <w:name w:val="表题134"/>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793">
    <w:name w:val="正文格式92"/>
    <w:basedOn w:val="1"/>
    <w:qFormat/>
    <w:uiPriority w:val="0"/>
    <w:pPr>
      <w:spacing w:line="360" w:lineRule="auto"/>
      <w:ind w:firstLine="482"/>
    </w:pPr>
    <w:rPr>
      <w:rFonts w:hAnsi="宋体"/>
    </w:rPr>
  </w:style>
  <w:style w:type="paragraph" w:customStyle="1" w:styleId="3794">
    <w:name w:val="Char4 Char Char Char Char Char Char Char Char Char Char Char Char Char Char Char Char Char1 Char Char Char Char Char Char1 Char"/>
    <w:basedOn w:val="1"/>
    <w:qFormat/>
    <w:uiPriority w:val="0"/>
    <w:pPr>
      <w:spacing w:line="240" w:lineRule="exact"/>
      <w:ind w:firstLine="200" w:firstLineChars="200"/>
    </w:pPr>
    <w:rPr>
      <w:sz w:val="28"/>
      <w:szCs w:val="28"/>
    </w:rPr>
  </w:style>
  <w:style w:type="paragraph" w:customStyle="1" w:styleId="3795">
    <w:name w:val="燕山正文1111"/>
    <w:basedOn w:val="1"/>
    <w:qFormat/>
    <w:uiPriority w:val="0"/>
    <w:pPr>
      <w:tabs>
        <w:tab w:val="left" w:pos="4680"/>
      </w:tabs>
      <w:adjustRightInd w:val="0"/>
      <w:snapToGrid w:val="0"/>
      <w:spacing w:line="480" w:lineRule="exact"/>
    </w:pPr>
    <w:rPr>
      <w:rFonts w:hAnsi="宋体" w:cs="宋体"/>
      <w:bCs/>
      <w:color w:val="000000"/>
    </w:rPr>
  </w:style>
  <w:style w:type="paragraph" w:customStyle="1" w:styleId="3796">
    <w:name w:val="c1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797">
    <w:name w:val="燕山正文41"/>
    <w:basedOn w:val="1"/>
    <w:qFormat/>
    <w:uiPriority w:val="0"/>
    <w:pPr>
      <w:tabs>
        <w:tab w:val="left" w:pos="4680"/>
      </w:tabs>
      <w:adjustRightInd w:val="0"/>
      <w:snapToGrid w:val="0"/>
      <w:spacing w:line="480" w:lineRule="exact"/>
    </w:pPr>
    <w:rPr>
      <w:rFonts w:cs="宋体"/>
    </w:rPr>
  </w:style>
  <w:style w:type="paragraph" w:customStyle="1" w:styleId="3798">
    <w:name w:val="标题421"/>
    <w:basedOn w:val="1"/>
    <w:qFormat/>
    <w:uiPriority w:val="0"/>
    <w:pPr>
      <w:adjustRightInd w:val="0"/>
      <w:snapToGrid w:val="0"/>
      <w:spacing w:line="300" w:lineRule="auto"/>
      <w:jc w:val="left"/>
    </w:pPr>
    <w:rPr>
      <w:rFonts w:ascii="黑体" w:eastAsia="黑体"/>
      <w:bCs/>
    </w:rPr>
  </w:style>
  <w:style w:type="paragraph" w:customStyle="1" w:styleId="3799">
    <w:name w:val="Char Char Char Char Char Char Char1311"/>
    <w:basedOn w:val="1"/>
    <w:qFormat/>
    <w:uiPriority w:val="0"/>
  </w:style>
  <w:style w:type="paragraph" w:customStyle="1" w:styleId="3800">
    <w:name w:val="表内文字边13"/>
    <w:basedOn w:val="1"/>
    <w:qFormat/>
    <w:uiPriority w:val="0"/>
    <w:pPr>
      <w:widowControl/>
      <w:adjustRightInd w:val="0"/>
      <w:snapToGrid w:val="0"/>
      <w:spacing w:line="240" w:lineRule="atLeast"/>
      <w:ind w:left="-21" w:leftChars="-10" w:right="-42" w:rightChars="-20"/>
    </w:pPr>
    <w:rPr>
      <w:szCs w:val="21"/>
    </w:rPr>
  </w:style>
  <w:style w:type="paragraph" w:customStyle="1" w:styleId="3801">
    <w:name w:val="表内541411"/>
    <w:basedOn w:val="1"/>
    <w:qFormat/>
    <w:uiPriority w:val="0"/>
    <w:pPr>
      <w:adjustRightInd w:val="0"/>
      <w:snapToGrid w:val="0"/>
      <w:spacing w:line="300" w:lineRule="auto"/>
      <w:jc w:val="center"/>
    </w:pPr>
    <w:rPr>
      <w:rFonts w:hAnsi="宋体" w:cs="宋体"/>
    </w:rPr>
  </w:style>
  <w:style w:type="paragraph" w:customStyle="1" w:styleId="3802">
    <w:name w:val="黑体三号43"/>
    <w:basedOn w:val="239"/>
    <w:qFormat/>
    <w:uiPriority w:val="0"/>
    <w:pPr>
      <w:jc w:val="center"/>
    </w:pPr>
    <w:rPr>
      <w:rFonts w:ascii="黑体" w:hAnsi="宋体" w:eastAsia="黑体"/>
      <w:b/>
      <w:bCs/>
      <w:sz w:val="32"/>
      <w:szCs w:val="20"/>
    </w:rPr>
  </w:style>
  <w:style w:type="paragraph" w:customStyle="1" w:styleId="3803">
    <w:name w:val="Char311"/>
    <w:basedOn w:val="1"/>
    <w:qFormat/>
    <w:uiPriority w:val="0"/>
    <w:pPr>
      <w:ind w:left="-48"/>
    </w:pPr>
  </w:style>
  <w:style w:type="paragraph" w:customStyle="1" w:styleId="3804">
    <w:name w:val="黑体三号411"/>
    <w:basedOn w:val="239"/>
    <w:qFormat/>
    <w:uiPriority w:val="0"/>
    <w:pPr>
      <w:jc w:val="center"/>
    </w:pPr>
    <w:rPr>
      <w:rFonts w:ascii="黑体" w:hAnsi="宋体" w:eastAsia="黑体"/>
      <w:b/>
      <w:bCs/>
      <w:sz w:val="32"/>
      <w:szCs w:val="20"/>
    </w:rPr>
  </w:style>
  <w:style w:type="paragraph" w:customStyle="1" w:styleId="3805">
    <w:name w:val="燕山正文1113"/>
    <w:basedOn w:val="1"/>
    <w:qFormat/>
    <w:uiPriority w:val="0"/>
    <w:pPr>
      <w:tabs>
        <w:tab w:val="left" w:pos="4680"/>
      </w:tabs>
      <w:adjustRightInd w:val="0"/>
      <w:snapToGrid w:val="0"/>
      <w:spacing w:line="480" w:lineRule="exact"/>
    </w:pPr>
    <w:rPr>
      <w:rFonts w:hAnsi="宋体" w:cs="宋体"/>
      <w:bCs/>
      <w:color w:val="000000"/>
    </w:rPr>
  </w:style>
  <w:style w:type="paragraph" w:customStyle="1" w:styleId="3806">
    <w:name w:val="FHDI中文报告正文缩进"/>
    <w:basedOn w:val="1"/>
    <w:next w:val="1"/>
    <w:qFormat/>
    <w:uiPriority w:val="0"/>
    <w:pPr>
      <w:adjustRightInd w:val="0"/>
      <w:snapToGrid w:val="0"/>
      <w:spacing w:beforeLines="50" w:line="312" w:lineRule="auto"/>
      <w:ind w:left="2" w:firstLine="538" w:firstLineChars="224"/>
      <w:jc w:val="left"/>
    </w:pPr>
    <w:rPr>
      <w:rFonts w:hAnsi="宋体"/>
    </w:rPr>
  </w:style>
  <w:style w:type="paragraph" w:customStyle="1" w:styleId="3807">
    <w:name w:val="燕山正文1142"/>
    <w:basedOn w:val="1"/>
    <w:qFormat/>
    <w:uiPriority w:val="0"/>
    <w:pPr>
      <w:tabs>
        <w:tab w:val="left" w:pos="4680"/>
      </w:tabs>
      <w:adjustRightInd w:val="0"/>
      <w:snapToGrid w:val="0"/>
      <w:spacing w:line="480" w:lineRule="exact"/>
    </w:pPr>
    <w:rPr>
      <w:rFonts w:hAnsi="宋体" w:cs="宋体"/>
      <w:bCs/>
      <w:color w:val="000000"/>
    </w:rPr>
  </w:style>
  <w:style w:type="paragraph" w:customStyle="1" w:styleId="3808">
    <w:name w:val="燕山正文411"/>
    <w:basedOn w:val="1"/>
    <w:qFormat/>
    <w:uiPriority w:val="0"/>
    <w:pPr>
      <w:tabs>
        <w:tab w:val="left" w:pos="4680"/>
      </w:tabs>
      <w:adjustRightInd w:val="0"/>
      <w:snapToGrid w:val="0"/>
      <w:spacing w:line="480" w:lineRule="exact"/>
    </w:pPr>
    <w:rPr>
      <w:rFonts w:cs="宋体"/>
    </w:rPr>
  </w:style>
  <w:style w:type="paragraph" w:customStyle="1" w:styleId="3809">
    <w:name w:val="表内54114"/>
    <w:basedOn w:val="1"/>
    <w:qFormat/>
    <w:uiPriority w:val="0"/>
    <w:pPr>
      <w:adjustRightInd w:val="0"/>
      <w:snapToGrid w:val="0"/>
      <w:spacing w:line="300" w:lineRule="auto"/>
      <w:jc w:val="center"/>
    </w:pPr>
    <w:rPr>
      <w:rFonts w:hAnsi="宋体" w:cs="宋体"/>
    </w:rPr>
  </w:style>
  <w:style w:type="paragraph" w:customStyle="1" w:styleId="3810">
    <w:name w:val="谏壁标题2(chen）"/>
    <w:basedOn w:val="1"/>
    <w:qFormat/>
    <w:uiPriority w:val="0"/>
    <w:pPr>
      <w:keepNext/>
      <w:keepLines/>
      <w:spacing w:after="120" w:line="360" w:lineRule="auto"/>
      <w:outlineLvl w:val="1"/>
    </w:pPr>
    <w:rPr>
      <w:rFonts w:eastAsia="黑体"/>
      <w:sz w:val="32"/>
      <w:szCs w:val="32"/>
    </w:rPr>
  </w:style>
  <w:style w:type="paragraph" w:customStyle="1" w:styleId="3811">
    <w:name w:val="表内文字边4"/>
    <w:basedOn w:val="1"/>
    <w:qFormat/>
    <w:uiPriority w:val="0"/>
    <w:pPr>
      <w:widowControl/>
      <w:adjustRightInd w:val="0"/>
      <w:snapToGrid w:val="0"/>
      <w:spacing w:line="240" w:lineRule="atLeast"/>
      <w:ind w:left="-21" w:leftChars="-10" w:right="-42" w:rightChars="-20"/>
    </w:pPr>
    <w:rPr>
      <w:szCs w:val="21"/>
    </w:rPr>
  </w:style>
  <w:style w:type="paragraph" w:customStyle="1" w:styleId="3812">
    <w:name w:val="Char Char2 Char Char Char Char32"/>
    <w:basedOn w:val="1"/>
    <w:qFormat/>
    <w:uiPriority w:val="0"/>
  </w:style>
  <w:style w:type="paragraph" w:customStyle="1" w:styleId="3813">
    <w:name w:val="Char Char Char Char Char Char Char215"/>
    <w:basedOn w:val="1"/>
    <w:qFormat/>
    <w:uiPriority w:val="0"/>
  </w:style>
  <w:style w:type="paragraph" w:customStyle="1" w:styleId="3814">
    <w:name w:val="黑体三号6"/>
    <w:basedOn w:val="239"/>
    <w:qFormat/>
    <w:uiPriority w:val="0"/>
    <w:pPr>
      <w:jc w:val="center"/>
    </w:pPr>
    <w:rPr>
      <w:rFonts w:ascii="黑体" w:hAnsi="宋体" w:eastAsia="黑体"/>
      <w:b/>
      <w:bCs/>
      <w:sz w:val="32"/>
      <w:szCs w:val="20"/>
    </w:rPr>
  </w:style>
  <w:style w:type="paragraph" w:customStyle="1" w:styleId="3815">
    <w:name w:val="样式 前沿 + 段前: 2 行 段后: 2 行"/>
    <w:basedOn w:val="2361"/>
    <w:qFormat/>
    <w:uiPriority w:val="0"/>
    <w:pPr>
      <w:spacing w:beforeLines="400" w:afterLines="200"/>
    </w:pPr>
    <w:rPr>
      <w:szCs w:val="20"/>
    </w:rPr>
  </w:style>
  <w:style w:type="paragraph" w:customStyle="1" w:styleId="3816">
    <w:name w:val="Char Char Char Char Char Char Char14"/>
    <w:basedOn w:val="1"/>
    <w:qFormat/>
    <w:uiPriority w:val="0"/>
  </w:style>
  <w:style w:type="paragraph" w:customStyle="1" w:styleId="3817">
    <w:name w:val="字元 字元"/>
    <w:basedOn w:val="1"/>
    <w:qFormat/>
    <w:uiPriority w:val="0"/>
  </w:style>
  <w:style w:type="paragraph" w:customStyle="1" w:styleId="3818">
    <w:name w:val="Char Char Char Char Char Char Char121"/>
    <w:basedOn w:val="1"/>
    <w:qFormat/>
    <w:uiPriority w:val="0"/>
  </w:style>
  <w:style w:type="paragraph" w:customStyle="1" w:styleId="3819">
    <w:name w:val="Char Char Char Char Char Char Char227"/>
    <w:basedOn w:val="1"/>
    <w:qFormat/>
    <w:uiPriority w:val="0"/>
  </w:style>
  <w:style w:type="paragraph" w:customStyle="1" w:styleId="3820">
    <w:name w:val="Char50"/>
    <w:basedOn w:val="1"/>
    <w:qFormat/>
    <w:uiPriority w:val="0"/>
    <w:pPr>
      <w:ind w:left="-48"/>
    </w:pPr>
  </w:style>
  <w:style w:type="paragraph" w:customStyle="1" w:styleId="3821">
    <w:name w:val="正文缩3"/>
    <w:basedOn w:val="1"/>
    <w:qFormat/>
    <w:uiPriority w:val="0"/>
    <w:pPr>
      <w:adjustRightInd w:val="0"/>
      <w:snapToGrid w:val="0"/>
      <w:spacing w:line="480" w:lineRule="atLeast"/>
      <w:ind w:firstLine="567"/>
      <w:textAlignment w:val="baseline"/>
    </w:pPr>
    <w:rPr>
      <w:color w:val="000080"/>
      <w:spacing w:val="6"/>
      <w:sz w:val="28"/>
    </w:rPr>
  </w:style>
  <w:style w:type="paragraph" w:customStyle="1" w:styleId="3822">
    <w:name w:val="样式 表内小5 + 黑体 加粗 倾斜 下划线3"/>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823">
    <w:name w:val="图题71"/>
    <w:basedOn w:val="239"/>
    <w:next w:val="239"/>
    <w:qFormat/>
    <w:uiPriority w:val="0"/>
    <w:pPr>
      <w:ind w:firstLine="0"/>
      <w:jc w:val="center"/>
    </w:pPr>
    <w:rPr>
      <w:rFonts w:ascii="黑体" w:hAnsi="宋体" w:eastAsia="黑体"/>
      <w:b/>
      <w:bCs/>
    </w:rPr>
  </w:style>
  <w:style w:type="paragraph" w:customStyle="1" w:styleId="3824">
    <w:name w:val="表头文字格式"/>
    <w:basedOn w:val="1"/>
    <w:next w:val="1"/>
    <w:qFormat/>
    <w:uiPriority w:val="0"/>
    <w:pPr>
      <w:widowControl/>
      <w:spacing w:beforeLines="50" w:afterLines="50" w:line="480" w:lineRule="exact"/>
      <w:jc w:val="center"/>
    </w:pPr>
    <w:rPr>
      <w:rFonts w:eastAsia="黑体"/>
      <w:szCs w:val="28"/>
    </w:rPr>
  </w:style>
  <w:style w:type="paragraph" w:customStyle="1" w:styleId="3825">
    <w:name w:val="表内54131"/>
    <w:basedOn w:val="1"/>
    <w:qFormat/>
    <w:uiPriority w:val="0"/>
    <w:pPr>
      <w:adjustRightInd w:val="0"/>
      <w:snapToGrid w:val="0"/>
      <w:spacing w:line="300" w:lineRule="auto"/>
      <w:jc w:val="center"/>
    </w:pPr>
    <w:rPr>
      <w:rFonts w:hAnsi="宋体" w:cs="宋体"/>
    </w:rPr>
  </w:style>
  <w:style w:type="paragraph" w:customStyle="1" w:styleId="3826">
    <w:name w:val="样式 样式 标题 4 + 段前: 0.5 行 段后: 0.5 行1 + 段前: 0.5 行 段后: 0.5 行"/>
    <w:basedOn w:val="3472"/>
    <w:qFormat/>
    <w:uiPriority w:val="0"/>
  </w:style>
  <w:style w:type="paragraph" w:customStyle="1" w:styleId="3827">
    <w:name w:val="Char68"/>
    <w:basedOn w:val="1"/>
    <w:qFormat/>
    <w:uiPriority w:val="0"/>
    <w:pPr>
      <w:ind w:left="-48"/>
    </w:pPr>
  </w:style>
  <w:style w:type="paragraph" w:customStyle="1" w:styleId="3828">
    <w:name w:val="字元 字元 字元1"/>
    <w:basedOn w:val="1"/>
    <w:qFormat/>
    <w:uiPriority w:val="0"/>
    <w:rPr>
      <w:szCs w:val="21"/>
    </w:rPr>
  </w:style>
  <w:style w:type="paragraph" w:customStyle="1" w:styleId="3829">
    <w:name w:val="表中文字61"/>
    <w:basedOn w:val="1"/>
    <w:qFormat/>
    <w:uiPriority w:val="0"/>
    <w:pPr>
      <w:widowControl/>
      <w:spacing w:line="240" w:lineRule="atLeast"/>
      <w:ind w:left="-24" w:leftChars="-10" w:right="-48" w:rightChars="-20"/>
      <w:jc w:val="center"/>
    </w:pPr>
    <w:rPr>
      <w:szCs w:val="21"/>
    </w:rPr>
  </w:style>
  <w:style w:type="paragraph" w:customStyle="1" w:styleId="3830">
    <w:name w:val="附件2"/>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831">
    <w:name w:val="Char Char2 Char Char Char Char3"/>
    <w:basedOn w:val="1"/>
    <w:qFormat/>
    <w:uiPriority w:val="0"/>
  </w:style>
  <w:style w:type="paragraph" w:customStyle="1" w:styleId="3832">
    <w:name w:val="表格文字2"/>
    <w:basedOn w:val="1"/>
    <w:qFormat/>
    <w:uiPriority w:val="0"/>
    <w:pPr>
      <w:tabs>
        <w:tab w:val="left" w:pos="277"/>
        <w:tab w:val="left" w:pos="600"/>
        <w:tab w:val="left" w:pos="780"/>
        <w:tab w:val="left" w:pos="2517"/>
      </w:tabs>
      <w:adjustRightInd w:val="0"/>
      <w:spacing w:before="60"/>
      <w:jc w:val="center"/>
      <w:textAlignment w:val="baseline"/>
    </w:pPr>
    <w:rPr>
      <w:szCs w:val="21"/>
    </w:rPr>
  </w:style>
  <w:style w:type="paragraph" w:customStyle="1" w:styleId="3833">
    <w:name w:val="样式 样式4 + 首行缩进:  0.75 字符"/>
    <w:basedOn w:val="1"/>
    <w:qFormat/>
    <w:uiPriority w:val="0"/>
    <w:pPr>
      <w:adjustRightInd w:val="0"/>
      <w:snapToGrid w:val="0"/>
      <w:spacing w:beforeLines="100" w:line="240" w:lineRule="atLeast"/>
      <w:jc w:val="left"/>
    </w:pPr>
  </w:style>
  <w:style w:type="paragraph" w:customStyle="1" w:styleId="3834">
    <w:name w:val="图题53"/>
    <w:basedOn w:val="239"/>
    <w:next w:val="239"/>
    <w:qFormat/>
    <w:uiPriority w:val="0"/>
    <w:pPr>
      <w:ind w:firstLine="0"/>
      <w:jc w:val="center"/>
    </w:pPr>
    <w:rPr>
      <w:rFonts w:ascii="黑体" w:hAnsi="宋体" w:eastAsia="黑体"/>
      <w:b/>
      <w:bCs/>
    </w:rPr>
  </w:style>
  <w:style w:type="paragraph" w:customStyle="1" w:styleId="3835">
    <w:name w:val="图题713"/>
    <w:basedOn w:val="239"/>
    <w:next w:val="239"/>
    <w:qFormat/>
    <w:uiPriority w:val="0"/>
    <w:pPr>
      <w:ind w:firstLine="0"/>
      <w:jc w:val="center"/>
    </w:pPr>
    <w:rPr>
      <w:rFonts w:ascii="黑体" w:hAnsi="宋体" w:eastAsia="黑体"/>
      <w:b/>
      <w:bCs/>
    </w:rPr>
  </w:style>
  <w:style w:type="paragraph" w:customStyle="1" w:styleId="3836">
    <w:name w:val="标题4114"/>
    <w:basedOn w:val="1"/>
    <w:qFormat/>
    <w:uiPriority w:val="0"/>
    <w:pPr>
      <w:adjustRightInd w:val="0"/>
      <w:snapToGrid w:val="0"/>
      <w:spacing w:line="300" w:lineRule="auto"/>
      <w:jc w:val="left"/>
    </w:pPr>
    <w:rPr>
      <w:rFonts w:ascii="黑体" w:hAnsi="宋体" w:eastAsia="黑体" w:cs="宋体"/>
      <w:bCs/>
    </w:rPr>
  </w:style>
  <w:style w:type="paragraph" w:customStyle="1" w:styleId="3837">
    <w:name w:val="dot"/>
    <w:qFormat/>
    <w:uiPriority w:val="0"/>
    <w:pPr>
      <w:tabs>
        <w:tab w:val="left" w:pos="720"/>
      </w:tabs>
      <w:spacing w:before="40" w:after="40"/>
    </w:pPr>
    <w:rPr>
      <w:rFonts w:ascii="Times New Roman" w:hAnsi="Times New Roman" w:eastAsia="宋体" w:cs="Times New Roman"/>
      <w:b/>
      <w:sz w:val="24"/>
      <w:lang w:val="en-US" w:eastAsia="zh-CN" w:bidi="ar-SA"/>
    </w:rPr>
  </w:style>
  <w:style w:type="paragraph" w:customStyle="1" w:styleId="3838">
    <w:name w:val="Char93"/>
    <w:basedOn w:val="1"/>
    <w:qFormat/>
    <w:uiPriority w:val="0"/>
    <w:pPr>
      <w:ind w:left="-48"/>
    </w:pPr>
  </w:style>
  <w:style w:type="paragraph" w:customStyle="1" w:styleId="3839">
    <w:name w:val="样式 标题 2 + 首行缩进:  2 字符"/>
    <w:basedOn w:val="5"/>
    <w:qFormat/>
    <w:uiPriority w:val="0"/>
    <w:pPr>
      <w:numPr>
        <w:ilvl w:val="0"/>
        <w:numId w:val="0"/>
      </w:numPr>
      <w:tabs>
        <w:tab w:val="left" w:pos="233"/>
        <w:tab w:val="clear" w:pos="0"/>
        <w:tab w:val="clear" w:pos="426"/>
      </w:tabs>
      <w:spacing w:beforeLines="0" w:afterLines="0"/>
      <w:ind w:left="233"/>
    </w:pPr>
    <w:rPr>
      <w:rFonts w:ascii="Arial" w:hAnsi="Arial" w:eastAsia="黑体" w:cs="宋体"/>
      <w:bCs/>
      <w:color w:val="auto"/>
      <w:spacing w:val="0"/>
      <w:kern w:val="2"/>
      <w:szCs w:val="20"/>
    </w:rPr>
  </w:style>
  <w:style w:type="paragraph" w:customStyle="1" w:styleId="3840">
    <w:name w:val="样式 表格内字体1 +3"/>
    <w:basedOn w:val="2166"/>
    <w:next w:val="1966"/>
    <w:qFormat/>
    <w:uiPriority w:val="0"/>
    <w:rPr>
      <w:rFonts w:hAnsi="Times New Roman"/>
      <w:szCs w:val="20"/>
    </w:rPr>
  </w:style>
  <w:style w:type="paragraph" w:customStyle="1" w:styleId="3841">
    <w:name w:val="表中文字21"/>
    <w:basedOn w:val="1"/>
    <w:qFormat/>
    <w:uiPriority w:val="0"/>
    <w:pPr>
      <w:widowControl/>
      <w:adjustRightInd w:val="0"/>
      <w:spacing w:line="240" w:lineRule="atLeast"/>
      <w:ind w:right="-42" w:rightChars="-20"/>
      <w:jc w:val="center"/>
      <w:textAlignment w:val="baseline"/>
    </w:pPr>
    <w:rPr>
      <w:szCs w:val="21"/>
    </w:rPr>
  </w:style>
  <w:style w:type="paragraph" w:customStyle="1" w:styleId="3842">
    <w:name w:val="正文修改43"/>
    <w:basedOn w:val="1264"/>
    <w:qFormat/>
    <w:uiPriority w:val="0"/>
    <w:rPr>
      <w:rFonts w:hAnsi="宋体"/>
      <w:color w:val="000000"/>
    </w:rPr>
  </w:style>
  <w:style w:type="paragraph" w:customStyle="1" w:styleId="3843">
    <w:name w:val="燕山正文111"/>
    <w:basedOn w:val="1"/>
    <w:qFormat/>
    <w:uiPriority w:val="0"/>
    <w:pPr>
      <w:tabs>
        <w:tab w:val="left" w:pos="4680"/>
      </w:tabs>
      <w:adjustRightInd w:val="0"/>
      <w:snapToGrid w:val="0"/>
      <w:spacing w:line="480" w:lineRule="exact"/>
    </w:pPr>
    <w:rPr>
      <w:rFonts w:hAnsi="宋体" w:cs="宋体"/>
      <w:bCs/>
      <w:color w:val="000000"/>
    </w:rPr>
  </w:style>
  <w:style w:type="paragraph" w:customStyle="1" w:styleId="3844">
    <w:name w:val="正文格式＝13"/>
    <w:basedOn w:val="239"/>
    <w:next w:val="239"/>
    <w:qFormat/>
    <w:uiPriority w:val="0"/>
    <w:rPr>
      <w:rFonts w:hAnsi="宋体"/>
    </w:rPr>
  </w:style>
  <w:style w:type="paragraph" w:customStyle="1" w:styleId="3845">
    <w:name w:val="表中文字512"/>
    <w:basedOn w:val="1"/>
    <w:qFormat/>
    <w:uiPriority w:val="0"/>
    <w:pPr>
      <w:widowControl/>
      <w:spacing w:line="240" w:lineRule="atLeast"/>
      <w:ind w:left="-24" w:leftChars="-10" w:right="-48" w:rightChars="-20"/>
      <w:jc w:val="center"/>
    </w:pPr>
    <w:rPr>
      <w:szCs w:val="21"/>
    </w:rPr>
  </w:style>
  <w:style w:type="paragraph" w:customStyle="1" w:styleId="3846">
    <w:name w:val="样式1211"/>
    <w:basedOn w:val="2245"/>
    <w:qFormat/>
    <w:uiPriority w:val="0"/>
    <w:pPr>
      <w:spacing w:line="240" w:lineRule="auto"/>
      <w:ind w:firstLine="0"/>
      <w:jc w:val="center"/>
    </w:pPr>
    <w:rPr>
      <w:rFonts w:cs="Times New Roman"/>
      <w:b/>
      <w:color w:val="auto"/>
      <w:szCs w:val="20"/>
    </w:rPr>
  </w:style>
  <w:style w:type="paragraph" w:customStyle="1" w:styleId="3847">
    <w:name w:val="默认段落字体 Para Char Char Char Char54"/>
    <w:basedOn w:val="1"/>
    <w:qFormat/>
    <w:uiPriority w:val="0"/>
  </w:style>
  <w:style w:type="paragraph" w:customStyle="1" w:styleId="3848">
    <w:name w:val="表内文字边1"/>
    <w:basedOn w:val="1"/>
    <w:qFormat/>
    <w:uiPriority w:val="0"/>
    <w:pPr>
      <w:widowControl/>
      <w:adjustRightInd w:val="0"/>
      <w:snapToGrid w:val="0"/>
      <w:spacing w:line="240" w:lineRule="atLeast"/>
      <w:ind w:left="-21" w:leftChars="-10" w:right="-42" w:rightChars="-20"/>
    </w:pPr>
    <w:rPr>
      <w:szCs w:val="21"/>
    </w:rPr>
  </w:style>
  <w:style w:type="paragraph" w:customStyle="1" w:styleId="3849">
    <w:name w:val="表格标题5"/>
    <w:basedOn w:val="65"/>
    <w:qFormat/>
    <w:uiPriority w:val="0"/>
    <w:pPr>
      <w:pBdr>
        <w:top w:val="single" w:color="auto" w:sz="4" w:space="1"/>
      </w:pBdr>
      <w:tabs>
        <w:tab w:val="clear" w:pos="2040"/>
      </w:tabs>
      <w:adjustRightInd w:val="0"/>
      <w:spacing w:line="360" w:lineRule="auto"/>
      <w:ind w:left="0" w:firstLine="0"/>
      <w:jc w:val="center"/>
      <w:textAlignment w:val="baseline"/>
    </w:pPr>
    <w:rPr>
      <w:b/>
    </w:rPr>
  </w:style>
  <w:style w:type="paragraph" w:customStyle="1" w:styleId="3850">
    <w:name w:val="表题9"/>
    <w:basedOn w:val="45"/>
    <w:qFormat/>
    <w:uiPriority w:val="0"/>
    <w:pPr>
      <w:adjustRightInd w:val="0"/>
      <w:snapToGrid w:val="0"/>
      <w:spacing w:line="300" w:lineRule="auto"/>
      <w:jc w:val="center"/>
    </w:pPr>
    <w:rPr>
      <w:rFonts w:ascii="黑体" w:eastAsia="黑体" w:cs="Times New Roman"/>
      <w:sz w:val="24"/>
      <w:szCs w:val="20"/>
    </w:rPr>
  </w:style>
  <w:style w:type="paragraph" w:customStyle="1" w:styleId="3851">
    <w:name w:val="湛江沥青表"/>
    <w:basedOn w:val="1"/>
    <w:qFormat/>
    <w:uiPriority w:val="0"/>
    <w:pPr>
      <w:autoSpaceDE w:val="0"/>
      <w:autoSpaceDN w:val="0"/>
      <w:spacing w:before="100" w:line="0" w:lineRule="atLeast"/>
      <w:ind w:left="102" w:hanging="102"/>
      <w:jc w:val="center"/>
    </w:pPr>
    <w:rPr>
      <w:szCs w:val="21"/>
    </w:rPr>
  </w:style>
  <w:style w:type="paragraph" w:customStyle="1" w:styleId="3852">
    <w:name w:val="标题（一）"/>
    <w:basedOn w:val="4"/>
    <w:qFormat/>
    <w:uiPriority w:val="0"/>
    <w:pPr>
      <w:keepNext w:val="0"/>
      <w:tabs>
        <w:tab w:val="left" w:pos="480"/>
        <w:tab w:val="left" w:pos="2040"/>
      </w:tabs>
      <w:adjustRightInd w:val="0"/>
      <w:spacing w:before="360" w:after="240" w:line="360" w:lineRule="auto"/>
      <w:ind w:left="2040" w:leftChars="800" w:hanging="360" w:hangingChars="200"/>
      <w:jc w:val="center"/>
      <w:textAlignment w:val="baseline"/>
    </w:pPr>
    <w:rPr>
      <w:rFonts w:ascii="黑体" w:eastAsia="黑体" w:cs="宋体"/>
      <w:sz w:val="30"/>
      <w:szCs w:val="30"/>
    </w:rPr>
  </w:style>
  <w:style w:type="paragraph" w:customStyle="1" w:styleId="3853">
    <w:name w:val="图题212"/>
    <w:basedOn w:val="239"/>
    <w:next w:val="239"/>
    <w:qFormat/>
    <w:uiPriority w:val="0"/>
    <w:pPr>
      <w:ind w:firstLine="0"/>
      <w:jc w:val="center"/>
    </w:pPr>
    <w:rPr>
      <w:rFonts w:ascii="黑体" w:hAnsi="宋体" w:eastAsia="黑体"/>
      <w:b/>
      <w:bCs/>
    </w:rPr>
  </w:style>
  <w:style w:type="paragraph" w:customStyle="1" w:styleId="3854">
    <w:name w:val="Char Char Char Char Char Char Char41"/>
    <w:basedOn w:val="1"/>
    <w:qFormat/>
    <w:uiPriority w:val="0"/>
  </w:style>
  <w:style w:type="paragraph" w:customStyle="1" w:styleId="3855">
    <w:name w:val="图题113"/>
    <w:basedOn w:val="239"/>
    <w:next w:val="239"/>
    <w:qFormat/>
    <w:uiPriority w:val="0"/>
    <w:pPr>
      <w:ind w:firstLine="0"/>
      <w:jc w:val="center"/>
    </w:pPr>
    <w:rPr>
      <w:rFonts w:ascii="黑体" w:hAnsi="宋体" w:eastAsia="黑体"/>
      <w:b/>
      <w:bCs/>
    </w:rPr>
  </w:style>
  <w:style w:type="paragraph" w:customStyle="1" w:styleId="3856">
    <w:name w:val="Char27"/>
    <w:basedOn w:val="1"/>
    <w:qFormat/>
    <w:uiPriority w:val="0"/>
    <w:pPr>
      <w:ind w:left="-48"/>
    </w:pPr>
  </w:style>
  <w:style w:type="paragraph" w:customStyle="1" w:styleId="3857">
    <w:name w:val="BG1"/>
    <w:basedOn w:val="1"/>
    <w:qFormat/>
    <w:uiPriority w:val="0"/>
    <w:pPr>
      <w:pBdr>
        <w:top w:val="single" w:color="auto" w:sz="4" w:space="1"/>
      </w:pBdr>
      <w:adjustRightInd w:val="0"/>
      <w:ind w:left="-17" w:hanging="126"/>
      <w:jc w:val="center"/>
    </w:pPr>
    <w:rPr>
      <w:szCs w:val="21"/>
    </w:rPr>
  </w:style>
  <w:style w:type="paragraph" w:customStyle="1" w:styleId="3858">
    <w:name w:val="标题43114"/>
    <w:basedOn w:val="1"/>
    <w:qFormat/>
    <w:uiPriority w:val="0"/>
    <w:pPr>
      <w:adjustRightInd w:val="0"/>
      <w:snapToGrid w:val="0"/>
      <w:spacing w:line="480" w:lineRule="exact"/>
      <w:jc w:val="center"/>
    </w:pPr>
    <w:rPr>
      <w:rFonts w:hAnsi="宋体" w:cs="宋体"/>
    </w:rPr>
  </w:style>
  <w:style w:type="paragraph" w:customStyle="1" w:styleId="3859">
    <w:name w:val="正文格式＝42"/>
    <w:basedOn w:val="239"/>
    <w:next w:val="239"/>
    <w:qFormat/>
    <w:uiPriority w:val="0"/>
    <w:rPr>
      <w:rFonts w:hAnsi="宋体"/>
    </w:rPr>
  </w:style>
  <w:style w:type="paragraph" w:customStyle="1" w:styleId="3860">
    <w:name w:val="样式43"/>
    <w:basedOn w:val="35"/>
    <w:qFormat/>
    <w:uiPriority w:val="0"/>
    <w:pPr>
      <w:tabs>
        <w:tab w:val="left" w:pos="1820"/>
      </w:tabs>
      <w:snapToGrid w:val="0"/>
      <w:spacing w:after="0" w:line="240" w:lineRule="atLeast"/>
      <w:jc w:val="center"/>
    </w:pPr>
    <w:rPr>
      <w:rFonts w:eastAsia="幼圆"/>
      <w:kern w:val="0"/>
      <w:szCs w:val="20"/>
    </w:rPr>
  </w:style>
  <w:style w:type="paragraph" w:customStyle="1" w:styleId="3861">
    <w:name w:val="附件4"/>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862">
    <w:name w:val="燕山正文23"/>
    <w:basedOn w:val="1"/>
    <w:qFormat/>
    <w:uiPriority w:val="0"/>
    <w:pPr>
      <w:tabs>
        <w:tab w:val="left" w:pos="4680"/>
      </w:tabs>
      <w:adjustRightInd w:val="0"/>
      <w:snapToGrid w:val="0"/>
      <w:spacing w:line="480" w:lineRule="exact"/>
    </w:pPr>
    <w:rPr>
      <w:rFonts w:cs="宋体"/>
    </w:rPr>
  </w:style>
  <w:style w:type="paragraph" w:customStyle="1" w:styleId="3863">
    <w:name w:val="表格单位"/>
    <w:basedOn w:val="22"/>
    <w:qFormat/>
    <w:uiPriority w:val="0"/>
    <w:pPr>
      <w:pBdr>
        <w:top w:val="single" w:color="auto" w:sz="4" w:space="1"/>
      </w:pBdr>
      <w:ind w:firstLine="0" w:firstLineChars="0"/>
      <w:jc w:val="right"/>
    </w:pPr>
  </w:style>
  <w:style w:type="paragraph" w:customStyle="1" w:styleId="3864">
    <w:name w:val="正文31"/>
    <w:basedOn w:val="277"/>
    <w:qFormat/>
    <w:uiPriority w:val="0"/>
    <w:pPr>
      <w:autoSpaceDE w:val="0"/>
      <w:autoSpaceDN w:val="0"/>
      <w:spacing w:after="160" w:line="440" w:lineRule="exact"/>
      <w:ind w:left="567" w:hanging="340"/>
      <w:textAlignment w:val="bottom"/>
    </w:pPr>
    <w:rPr>
      <w:color w:val="000000"/>
      <w:sz w:val="28"/>
    </w:rPr>
  </w:style>
  <w:style w:type="paragraph" w:customStyle="1" w:styleId="3865">
    <w:name w:val="图题44"/>
    <w:basedOn w:val="239"/>
    <w:next w:val="239"/>
    <w:qFormat/>
    <w:uiPriority w:val="0"/>
    <w:pPr>
      <w:ind w:firstLine="0"/>
      <w:jc w:val="center"/>
    </w:pPr>
    <w:rPr>
      <w:rFonts w:ascii="黑体" w:hAnsi="宋体" w:eastAsia="黑体"/>
      <w:b/>
      <w:bCs/>
    </w:rPr>
  </w:style>
  <w:style w:type="paragraph" w:customStyle="1" w:styleId="3866">
    <w:name w:val="附件21"/>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867">
    <w:name w:val="表内小四"/>
    <w:basedOn w:val="2204"/>
    <w:qFormat/>
    <w:uiPriority w:val="0"/>
    <w:pPr>
      <w:widowControl/>
      <w:snapToGrid/>
      <w:ind w:left="-50" w:right="0"/>
      <w:jc w:val="left"/>
    </w:pPr>
  </w:style>
  <w:style w:type="paragraph" w:customStyle="1" w:styleId="3868">
    <w:name w:val="图题4"/>
    <w:basedOn w:val="239"/>
    <w:next w:val="239"/>
    <w:qFormat/>
    <w:uiPriority w:val="0"/>
    <w:pPr>
      <w:ind w:firstLine="0"/>
      <w:jc w:val="center"/>
    </w:pPr>
    <w:rPr>
      <w:rFonts w:ascii="黑体" w:hAnsi="宋体" w:eastAsia="黑体"/>
      <w:b/>
      <w:bCs/>
    </w:rPr>
  </w:style>
  <w:style w:type="paragraph" w:customStyle="1" w:styleId="3869">
    <w:name w:val="燕山正文16"/>
    <w:basedOn w:val="1"/>
    <w:qFormat/>
    <w:uiPriority w:val="0"/>
    <w:pPr>
      <w:tabs>
        <w:tab w:val="left" w:pos="4680"/>
      </w:tabs>
      <w:adjustRightInd w:val="0"/>
      <w:snapToGrid w:val="0"/>
      <w:spacing w:line="480" w:lineRule="exact"/>
    </w:pPr>
    <w:rPr>
      <w:rFonts w:cs="宋体"/>
    </w:rPr>
  </w:style>
  <w:style w:type="paragraph" w:customStyle="1" w:styleId="3870">
    <w:name w:val="正文格式＝212"/>
    <w:basedOn w:val="239"/>
    <w:next w:val="239"/>
    <w:qFormat/>
    <w:uiPriority w:val="0"/>
    <w:rPr>
      <w:rFonts w:hAnsi="宋体"/>
    </w:rPr>
  </w:style>
  <w:style w:type="paragraph" w:customStyle="1" w:styleId="3871">
    <w:name w:val="Char Char Char Char Char Char Char123"/>
    <w:basedOn w:val="1"/>
    <w:qFormat/>
    <w:uiPriority w:val="0"/>
  </w:style>
  <w:style w:type="paragraph" w:customStyle="1" w:styleId="3872">
    <w:name w:val="Char Char Char Char Char Char Char33"/>
    <w:basedOn w:val="1"/>
    <w:qFormat/>
    <w:uiPriority w:val="0"/>
  </w:style>
  <w:style w:type="paragraph" w:customStyle="1" w:styleId="3873">
    <w:name w:val="Char314"/>
    <w:basedOn w:val="1"/>
    <w:qFormat/>
    <w:uiPriority w:val="0"/>
    <w:pPr>
      <w:ind w:left="-48"/>
    </w:pPr>
  </w:style>
  <w:style w:type="paragraph" w:customStyle="1" w:styleId="3874">
    <w:name w:val="燕山正文15"/>
    <w:basedOn w:val="1"/>
    <w:qFormat/>
    <w:uiPriority w:val="0"/>
    <w:pPr>
      <w:tabs>
        <w:tab w:val="left" w:pos="4680"/>
      </w:tabs>
      <w:adjustRightInd w:val="0"/>
      <w:snapToGrid w:val="0"/>
      <w:spacing w:line="480" w:lineRule="exact"/>
    </w:pPr>
    <w:rPr>
      <w:rFonts w:cs="宋体"/>
    </w:rPr>
  </w:style>
  <w:style w:type="paragraph" w:customStyle="1" w:styleId="3875">
    <w:name w:val="表文"/>
    <w:basedOn w:val="1"/>
    <w:qFormat/>
    <w:uiPriority w:val="0"/>
    <w:pPr>
      <w:adjustRightInd w:val="0"/>
      <w:snapToGrid w:val="0"/>
      <w:spacing w:line="160" w:lineRule="atLeast"/>
      <w:jc w:val="center"/>
    </w:pPr>
    <w:rPr>
      <w:sz w:val="28"/>
    </w:rPr>
  </w:style>
  <w:style w:type="paragraph" w:customStyle="1" w:styleId="3876">
    <w:name w:val="Char123"/>
    <w:basedOn w:val="1"/>
    <w:qFormat/>
    <w:uiPriority w:val="0"/>
    <w:pPr>
      <w:ind w:left="-48"/>
    </w:pPr>
  </w:style>
  <w:style w:type="paragraph" w:customStyle="1" w:styleId="3877">
    <w:name w:val="标题4314"/>
    <w:basedOn w:val="1"/>
    <w:qFormat/>
    <w:uiPriority w:val="0"/>
    <w:pPr>
      <w:adjustRightInd w:val="0"/>
      <w:snapToGrid w:val="0"/>
      <w:spacing w:line="480" w:lineRule="exact"/>
      <w:jc w:val="center"/>
    </w:pPr>
    <w:rPr>
      <w:rFonts w:hAnsi="宋体" w:cs="宋体"/>
    </w:rPr>
  </w:style>
  <w:style w:type="paragraph" w:customStyle="1" w:styleId="3878">
    <w:name w:val="Char Char Char Char Char Char Char12"/>
    <w:basedOn w:val="1"/>
    <w:qFormat/>
    <w:uiPriority w:val="0"/>
  </w:style>
  <w:style w:type="paragraph" w:customStyle="1" w:styleId="3879">
    <w:name w:val="Char3210"/>
    <w:basedOn w:val="1"/>
    <w:qFormat/>
    <w:uiPriority w:val="0"/>
    <w:pPr>
      <w:ind w:left="-48"/>
    </w:pPr>
  </w:style>
  <w:style w:type="paragraph" w:customStyle="1" w:styleId="3880">
    <w:name w:val="表格内字体2111"/>
    <w:basedOn w:val="239"/>
    <w:next w:val="239"/>
    <w:qFormat/>
    <w:uiPriority w:val="0"/>
    <w:pPr>
      <w:spacing w:line="240" w:lineRule="auto"/>
      <w:ind w:firstLine="0"/>
      <w:jc w:val="center"/>
    </w:pPr>
    <w:rPr>
      <w:rFonts w:hAnsi="宋体"/>
      <w:sz w:val="21"/>
    </w:rPr>
  </w:style>
  <w:style w:type="paragraph" w:customStyle="1" w:styleId="3881">
    <w:name w:val="正文修改111"/>
    <w:basedOn w:val="1264"/>
    <w:qFormat/>
    <w:uiPriority w:val="0"/>
    <w:rPr>
      <w:rFonts w:hAnsi="宋体"/>
      <w:color w:val="000000"/>
    </w:rPr>
  </w:style>
  <w:style w:type="paragraph" w:customStyle="1" w:styleId="3882">
    <w:name w:val="图题72"/>
    <w:basedOn w:val="239"/>
    <w:next w:val="239"/>
    <w:qFormat/>
    <w:uiPriority w:val="0"/>
    <w:pPr>
      <w:ind w:firstLine="0"/>
      <w:jc w:val="center"/>
    </w:pPr>
    <w:rPr>
      <w:rFonts w:ascii="黑体" w:hAnsi="宋体" w:eastAsia="黑体"/>
      <w:b/>
      <w:bCs/>
    </w:rPr>
  </w:style>
  <w:style w:type="paragraph" w:customStyle="1" w:styleId="3883">
    <w:name w:val="正文格式＝52"/>
    <w:basedOn w:val="239"/>
    <w:next w:val="239"/>
    <w:qFormat/>
    <w:uiPriority w:val="0"/>
    <w:rPr>
      <w:rFonts w:hAnsi="宋体"/>
    </w:rPr>
  </w:style>
  <w:style w:type="paragraph" w:customStyle="1" w:styleId="3884">
    <w:name w:val="环评正文4"/>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85">
    <w:name w:val="表格两端对齐"/>
    <w:basedOn w:val="3886"/>
    <w:qFormat/>
    <w:uiPriority w:val="0"/>
    <w:pPr>
      <w:spacing w:line="360" w:lineRule="auto"/>
    </w:pPr>
  </w:style>
  <w:style w:type="paragraph" w:customStyle="1" w:styleId="3886">
    <w:name w:val="表格居中"/>
    <w:basedOn w:val="1"/>
    <w:qFormat/>
    <w:uiPriority w:val="0"/>
    <w:pPr>
      <w:jc w:val="center"/>
    </w:pPr>
    <w:rPr>
      <w:rFonts w:hAnsi="宋体" w:eastAsia="仿宋_GB2312"/>
      <w:snapToGrid w:val="0"/>
      <w:kern w:val="18"/>
      <w:sz w:val="28"/>
      <w:szCs w:val="28"/>
      <w:u w:color="FF0000"/>
    </w:rPr>
  </w:style>
  <w:style w:type="paragraph" w:customStyle="1" w:styleId="3887">
    <w:name w:val="表题3133"/>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888">
    <w:name w:val="正文修改413"/>
    <w:basedOn w:val="1264"/>
    <w:qFormat/>
    <w:uiPriority w:val="0"/>
    <w:rPr>
      <w:rFonts w:hAnsi="宋体"/>
      <w:color w:val="000000"/>
    </w:rPr>
  </w:style>
  <w:style w:type="paragraph" w:customStyle="1" w:styleId="3889">
    <w:name w:val="Char136"/>
    <w:basedOn w:val="1"/>
    <w:qFormat/>
    <w:uiPriority w:val="0"/>
    <w:pPr>
      <w:ind w:left="-48"/>
    </w:pPr>
  </w:style>
  <w:style w:type="paragraph" w:customStyle="1" w:styleId="3890">
    <w:name w:val="5号表文"/>
    <w:qFormat/>
    <w:uiPriority w:val="0"/>
    <w:pPr>
      <w:ind w:left="720" w:hanging="720"/>
      <w:jc w:val="both"/>
    </w:pPr>
    <w:rPr>
      <w:rFonts w:ascii="宋体" w:hAnsi="Times New Roman" w:eastAsia="宋体" w:cs="Times New Roman"/>
      <w:snapToGrid w:val="0"/>
      <w:sz w:val="18"/>
      <w:lang w:val="en-US" w:eastAsia="zh-CN" w:bidi="ar-SA"/>
    </w:rPr>
  </w:style>
  <w:style w:type="paragraph" w:customStyle="1" w:styleId="3891">
    <w:name w:val="样式211"/>
    <w:basedOn w:val="1"/>
    <w:qFormat/>
    <w:uiPriority w:val="0"/>
    <w:pPr>
      <w:adjustRightInd w:val="0"/>
      <w:spacing w:line="360" w:lineRule="auto"/>
      <w:jc w:val="center"/>
      <w:textAlignment w:val="baseline"/>
      <w:outlineLvl w:val="0"/>
    </w:pPr>
  </w:style>
  <w:style w:type="paragraph" w:customStyle="1" w:styleId="3892">
    <w:name w:val="样式 表格1 + 首行缩进:  2 字符"/>
    <w:basedOn w:val="245"/>
    <w:qFormat/>
    <w:uiPriority w:val="0"/>
    <w:pPr>
      <w:adjustRightInd w:val="0"/>
      <w:spacing w:line="400" w:lineRule="exact"/>
      <w:textAlignment w:val="baseline"/>
    </w:pPr>
    <w:rPr>
      <w:rFonts w:ascii="CG Times (W1)" w:hAnsi="CG Times (W1)" w:cs="宋体"/>
      <w:kern w:val="0"/>
      <w:sz w:val="24"/>
    </w:rPr>
  </w:style>
  <w:style w:type="paragraph" w:customStyle="1" w:styleId="3893">
    <w:name w:val="Char Char Char Char Char Char Char20"/>
    <w:basedOn w:val="1"/>
    <w:qFormat/>
    <w:uiPriority w:val="0"/>
  </w:style>
  <w:style w:type="paragraph" w:customStyle="1" w:styleId="3894">
    <w:name w:val="燕山正文12"/>
    <w:basedOn w:val="1"/>
    <w:qFormat/>
    <w:uiPriority w:val="0"/>
    <w:pPr>
      <w:tabs>
        <w:tab w:val="left" w:pos="4680"/>
      </w:tabs>
      <w:adjustRightInd w:val="0"/>
      <w:snapToGrid w:val="0"/>
      <w:spacing w:line="480" w:lineRule="exact"/>
    </w:pPr>
    <w:rPr>
      <w:rFonts w:cs="宋体"/>
    </w:rPr>
  </w:style>
  <w:style w:type="paragraph" w:customStyle="1" w:styleId="3895">
    <w:name w:val="燕山正文11113"/>
    <w:basedOn w:val="1"/>
    <w:qFormat/>
    <w:uiPriority w:val="0"/>
    <w:pPr>
      <w:tabs>
        <w:tab w:val="left" w:pos="4680"/>
      </w:tabs>
      <w:adjustRightInd w:val="0"/>
      <w:snapToGrid w:val="0"/>
      <w:spacing w:line="480" w:lineRule="exact"/>
    </w:pPr>
    <w:rPr>
      <w:rFonts w:hAnsi="宋体" w:cs="宋体"/>
      <w:bCs/>
      <w:color w:val="000000"/>
    </w:rPr>
  </w:style>
  <w:style w:type="paragraph" w:customStyle="1" w:styleId="3896">
    <w:name w:val="表中文字413"/>
    <w:basedOn w:val="1"/>
    <w:qFormat/>
    <w:uiPriority w:val="0"/>
    <w:pPr>
      <w:snapToGrid w:val="0"/>
      <w:spacing w:line="340" w:lineRule="exact"/>
      <w:ind w:firstLine="480" w:firstLineChars="200"/>
      <w:jc w:val="center"/>
    </w:pPr>
    <w:rPr>
      <w:rFonts w:ascii="Arial" w:hAnsi="Arial"/>
      <w:sz w:val="20"/>
      <w:lang w:eastAsia="zh-TW"/>
    </w:rPr>
  </w:style>
  <w:style w:type="paragraph" w:customStyle="1" w:styleId="3897">
    <w:name w:val="MG"/>
    <w:basedOn w:val="4"/>
    <w:qFormat/>
    <w:uiPriority w:val="0"/>
    <w:pPr>
      <w:keepLines w:val="0"/>
      <w:widowControl/>
      <w:tabs>
        <w:tab w:val="left" w:pos="455"/>
        <w:tab w:val="left" w:pos="1440"/>
        <w:tab w:val="left" w:pos="2040"/>
        <w:tab w:val="left" w:pos="2260"/>
        <w:tab w:val="left" w:pos="2820"/>
        <w:tab w:val="left" w:pos="3420"/>
      </w:tabs>
      <w:spacing w:before="440" w:after="120" w:line="240" w:lineRule="auto"/>
      <w:ind w:left="851" w:leftChars="800" w:right="-28" w:hanging="851" w:hangingChars="200"/>
    </w:pPr>
    <w:rPr>
      <w:rFonts w:ascii="Arial" w:hAnsi="Arial" w:cs="Arial"/>
      <w:bCs w:val="0"/>
      <w:color w:val="000000"/>
      <w:kern w:val="0"/>
      <w:sz w:val="22"/>
      <w:szCs w:val="28"/>
      <w:lang w:val="en-GB"/>
    </w:rPr>
  </w:style>
  <w:style w:type="paragraph" w:customStyle="1" w:styleId="3898">
    <w:name w:val="燕山正文312"/>
    <w:basedOn w:val="1"/>
    <w:qFormat/>
    <w:uiPriority w:val="0"/>
    <w:pPr>
      <w:tabs>
        <w:tab w:val="left" w:pos="4680"/>
      </w:tabs>
      <w:adjustRightInd w:val="0"/>
      <w:snapToGrid w:val="0"/>
      <w:spacing w:line="480" w:lineRule="exact"/>
    </w:pPr>
    <w:rPr>
      <w:rFonts w:cs="宋体"/>
    </w:rPr>
  </w:style>
  <w:style w:type="paragraph" w:customStyle="1" w:styleId="3899">
    <w:name w:val="样式 (西文) Arial 五号 居中 首行缩进:  2 字符"/>
    <w:basedOn w:val="1"/>
    <w:qFormat/>
    <w:uiPriority w:val="0"/>
    <w:pPr>
      <w:snapToGrid w:val="0"/>
      <w:spacing w:line="400" w:lineRule="exact"/>
      <w:ind w:firstLine="460" w:firstLineChars="200"/>
      <w:jc w:val="center"/>
    </w:pPr>
    <w:rPr>
      <w:spacing w:val="10"/>
      <w:kern w:val="24"/>
      <w:szCs w:val="21"/>
    </w:rPr>
  </w:style>
  <w:style w:type="paragraph" w:customStyle="1" w:styleId="3900">
    <w:name w:val="Char Char Char Char Char Char Char39"/>
    <w:basedOn w:val="1"/>
    <w:qFormat/>
    <w:uiPriority w:val="0"/>
  </w:style>
  <w:style w:type="paragraph" w:customStyle="1" w:styleId="3901">
    <w:name w:val="正文格式＝12"/>
    <w:basedOn w:val="239"/>
    <w:next w:val="239"/>
    <w:qFormat/>
    <w:uiPriority w:val="0"/>
    <w:rPr>
      <w:rFonts w:hAnsi="宋体"/>
    </w:rPr>
  </w:style>
  <w:style w:type="paragraph" w:customStyle="1" w:styleId="3902">
    <w:name w:val="环评样式"/>
    <w:basedOn w:val="1"/>
    <w:qFormat/>
    <w:uiPriority w:val="0"/>
    <w:pPr>
      <w:overflowPunct w:val="0"/>
      <w:adjustRightInd w:val="0"/>
      <w:snapToGrid w:val="0"/>
      <w:spacing w:line="360" w:lineRule="auto"/>
      <w:textAlignment w:val="baseline"/>
      <w:outlineLvl w:val="0"/>
    </w:pPr>
    <w:rPr>
      <w:rFonts w:ascii="仿宋_GB2312" w:hAnsi="Alaska" w:eastAsia="仿宋_GB2312"/>
      <w:snapToGrid w:val="0"/>
      <w:sz w:val="30"/>
    </w:rPr>
  </w:style>
  <w:style w:type="paragraph" w:customStyle="1" w:styleId="3903">
    <w:name w:val="Table Title Char1 Char1"/>
    <w:basedOn w:val="1"/>
    <w:qFormat/>
    <w:uiPriority w:val="0"/>
    <w:pPr>
      <w:widowControl/>
      <w:snapToGrid w:val="0"/>
      <w:spacing w:beforeLines="50" w:afterLines="50" w:line="400" w:lineRule="exact"/>
      <w:jc w:val="center"/>
    </w:pPr>
    <w:rPr>
      <w:lang w:eastAsia="en-US"/>
    </w:rPr>
  </w:style>
  <w:style w:type="paragraph" w:customStyle="1" w:styleId="3904">
    <w:name w:val="默认段落字体 Para Char Char Char Char212"/>
    <w:basedOn w:val="1"/>
    <w:qFormat/>
    <w:uiPriority w:val="0"/>
  </w:style>
  <w:style w:type="paragraph" w:customStyle="1" w:styleId="3905">
    <w:name w:val="Char Char Char Char Char Char Char Char Char Char Char Char Char Char Char Char Char Char1 Char Char Char Char"/>
    <w:basedOn w:val="1"/>
    <w:qFormat/>
    <w:uiPriority w:val="0"/>
  </w:style>
  <w:style w:type="paragraph" w:customStyle="1" w:styleId="3906">
    <w:name w:val="Char228"/>
    <w:basedOn w:val="1"/>
    <w:qFormat/>
    <w:uiPriority w:val="0"/>
    <w:pPr>
      <w:ind w:left="-48"/>
    </w:pPr>
  </w:style>
  <w:style w:type="paragraph" w:customStyle="1" w:styleId="3907">
    <w:name w:val="表内宋512"/>
    <w:basedOn w:val="2220"/>
    <w:qFormat/>
    <w:uiPriority w:val="0"/>
    <w:pPr>
      <w:widowControl/>
      <w:autoSpaceDE w:val="0"/>
      <w:autoSpaceDN w:val="0"/>
      <w:jc w:val="left"/>
      <w:textAlignment w:val="auto"/>
    </w:pPr>
    <w:rPr>
      <w:color w:val="auto"/>
      <w:w w:val="90"/>
    </w:rPr>
  </w:style>
  <w:style w:type="paragraph" w:customStyle="1" w:styleId="3908">
    <w:name w:val="样式113"/>
    <w:basedOn w:val="2245"/>
    <w:qFormat/>
    <w:uiPriority w:val="0"/>
    <w:pPr>
      <w:spacing w:line="240" w:lineRule="auto"/>
      <w:ind w:firstLine="0"/>
      <w:jc w:val="center"/>
    </w:pPr>
    <w:rPr>
      <w:rFonts w:cs="Times New Roman"/>
      <w:b/>
      <w:color w:val="auto"/>
      <w:szCs w:val="20"/>
    </w:rPr>
  </w:style>
  <w:style w:type="paragraph" w:customStyle="1" w:styleId="3909">
    <w:name w:val="正文斜体11"/>
    <w:basedOn w:val="239"/>
    <w:next w:val="239"/>
    <w:qFormat/>
    <w:uiPriority w:val="0"/>
    <w:rPr>
      <w:rFonts w:hAnsi="宋体"/>
      <w:i/>
      <w:iCs/>
    </w:rPr>
  </w:style>
  <w:style w:type="paragraph" w:customStyle="1" w:styleId="3910">
    <w:name w:val="Char Char Char Char Char Char Char226"/>
    <w:basedOn w:val="1"/>
    <w:qFormat/>
    <w:uiPriority w:val="0"/>
  </w:style>
  <w:style w:type="paragraph" w:customStyle="1" w:styleId="3911">
    <w:name w:val="CM17"/>
    <w:basedOn w:val="1"/>
    <w:next w:val="1"/>
    <w:qFormat/>
    <w:uiPriority w:val="0"/>
    <w:pPr>
      <w:autoSpaceDE w:val="0"/>
      <w:autoSpaceDN w:val="0"/>
      <w:adjustRightInd w:val="0"/>
      <w:spacing w:line="468" w:lineRule="atLeast"/>
      <w:jc w:val="left"/>
    </w:pPr>
    <w:rPr>
      <w:rFonts w:ascii="黑体" w:eastAsia="黑体"/>
      <w:szCs w:val="28"/>
    </w:rPr>
  </w:style>
  <w:style w:type="paragraph" w:customStyle="1" w:styleId="3912">
    <w:name w:val="默认段落字体 Para Char Char Char Char52"/>
    <w:basedOn w:val="1"/>
    <w:qFormat/>
    <w:uiPriority w:val="0"/>
  </w:style>
  <w:style w:type="paragraph" w:customStyle="1" w:styleId="3913">
    <w:name w:val="样式1113"/>
    <w:basedOn w:val="2245"/>
    <w:qFormat/>
    <w:uiPriority w:val="0"/>
    <w:pPr>
      <w:spacing w:line="240" w:lineRule="auto"/>
      <w:ind w:firstLine="0"/>
      <w:jc w:val="center"/>
    </w:pPr>
    <w:rPr>
      <w:rFonts w:cs="Times New Roman"/>
      <w:b/>
      <w:color w:val="auto"/>
      <w:szCs w:val="20"/>
    </w:rPr>
  </w:style>
  <w:style w:type="paragraph" w:customStyle="1" w:styleId="3914">
    <w:name w:val="Char24"/>
    <w:basedOn w:val="1"/>
    <w:qFormat/>
    <w:uiPriority w:val="0"/>
    <w:pPr>
      <w:ind w:left="-48"/>
    </w:pPr>
  </w:style>
  <w:style w:type="paragraph" w:customStyle="1" w:styleId="3915">
    <w:name w:val="默认段落字体 Para Char Char Char Char Char Char Char Char Char Char"/>
    <w:basedOn w:val="1"/>
    <w:qFormat/>
    <w:uiPriority w:val="0"/>
  </w:style>
  <w:style w:type="paragraph" w:customStyle="1" w:styleId="3916">
    <w:name w:val="副题封页"/>
    <w:basedOn w:val="3917"/>
    <w:next w:val="35"/>
    <w:qFormat/>
    <w:uiPriority w:val="0"/>
    <w:pPr>
      <w:spacing w:before="240" w:after="480"/>
    </w:pPr>
    <w:rPr>
      <w:rFonts w:ascii="Times New Roman" w:hAnsi="Times New Roman"/>
      <w:b w:val="0"/>
      <w:i/>
      <w:sz w:val="32"/>
    </w:rPr>
  </w:style>
  <w:style w:type="paragraph" w:customStyle="1" w:styleId="3917">
    <w:name w:val="主题封页"/>
    <w:basedOn w:val="2373"/>
    <w:next w:val="3916"/>
    <w:qFormat/>
    <w:uiPriority w:val="0"/>
    <w:pPr>
      <w:spacing w:before="720" w:after="160"/>
      <w:jc w:val="center"/>
    </w:pPr>
    <w:rPr>
      <w:sz w:val="40"/>
    </w:rPr>
  </w:style>
  <w:style w:type="paragraph" w:customStyle="1" w:styleId="3918">
    <w:name w:val="样式 表格内字体1 +"/>
    <w:basedOn w:val="2166"/>
    <w:next w:val="1966"/>
    <w:qFormat/>
    <w:uiPriority w:val="0"/>
    <w:rPr>
      <w:rFonts w:hAnsi="Times New Roman"/>
      <w:szCs w:val="20"/>
    </w:rPr>
  </w:style>
  <w:style w:type="paragraph" w:customStyle="1" w:styleId="3919">
    <w:name w:val="黑体三号"/>
    <w:basedOn w:val="239"/>
    <w:qFormat/>
    <w:uiPriority w:val="0"/>
    <w:pPr>
      <w:jc w:val="center"/>
    </w:pPr>
    <w:rPr>
      <w:rFonts w:ascii="黑体" w:hAnsi="宋体" w:eastAsia="黑体"/>
      <w:b/>
      <w:bCs/>
      <w:sz w:val="32"/>
      <w:szCs w:val="20"/>
    </w:rPr>
  </w:style>
  <w:style w:type="paragraph" w:customStyle="1" w:styleId="3920">
    <w:name w:val="表题31312"/>
    <w:basedOn w:val="3"/>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921">
    <w:name w:val="Char Char Char Char Char Char Char48"/>
    <w:basedOn w:val="1"/>
    <w:qFormat/>
    <w:uiPriority w:val="0"/>
  </w:style>
  <w:style w:type="paragraph" w:customStyle="1" w:styleId="3922">
    <w:name w:val="表格内字体111"/>
    <w:basedOn w:val="239"/>
    <w:qFormat/>
    <w:uiPriority w:val="0"/>
    <w:pPr>
      <w:spacing w:line="240" w:lineRule="auto"/>
      <w:ind w:firstLine="0"/>
      <w:jc w:val="center"/>
    </w:pPr>
    <w:rPr>
      <w:sz w:val="21"/>
      <w:szCs w:val="20"/>
    </w:rPr>
  </w:style>
  <w:style w:type="paragraph" w:customStyle="1" w:styleId="3923">
    <w:name w:val="表内5417"/>
    <w:basedOn w:val="1"/>
    <w:qFormat/>
    <w:uiPriority w:val="0"/>
    <w:pPr>
      <w:adjustRightInd w:val="0"/>
      <w:snapToGrid w:val="0"/>
      <w:spacing w:line="300" w:lineRule="auto"/>
      <w:jc w:val="center"/>
    </w:pPr>
    <w:rPr>
      <w:rFonts w:hAnsi="宋体" w:cs="宋体"/>
    </w:rPr>
  </w:style>
  <w:style w:type="paragraph" w:customStyle="1" w:styleId="3924">
    <w:name w:val="Char Char Char Char Char Char Char6"/>
    <w:basedOn w:val="1"/>
    <w:qFormat/>
    <w:uiPriority w:val="0"/>
  </w:style>
  <w:style w:type="paragraph" w:customStyle="1" w:styleId="3925">
    <w:name w:val="普通2"/>
    <w:basedOn w:val="45"/>
    <w:qFormat/>
    <w:uiPriority w:val="0"/>
    <w:pPr>
      <w:jc w:val="center"/>
    </w:pPr>
    <w:rPr>
      <w:rFonts w:ascii="Times New Roman" w:hAnsi="Times New Roman" w:cs="Times New Roman"/>
      <w:color w:val="000000"/>
      <w:kern w:val="0"/>
      <w:szCs w:val="24"/>
    </w:rPr>
  </w:style>
  <w:style w:type="paragraph" w:customStyle="1" w:styleId="3926">
    <w:name w:val="正文格式＝54"/>
    <w:basedOn w:val="239"/>
    <w:next w:val="239"/>
    <w:qFormat/>
    <w:uiPriority w:val="0"/>
    <w:rPr>
      <w:rFonts w:hAnsi="宋体"/>
    </w:rPr>
  </w:style>
  <w:style w:type="paragraph" w:customStyle="1" w:styleId="3927">
    <w:name w:val="标题43112"/>
    <w:basedOn w:val="1"/>
    <w:qFormat/>
    <w:uiPriority w:val="0"/>
    <w:pPr>
      <w:adjustRightInd w:val="0"/>
      <w:snapToGrid w:val="0"/>
      <w:spacing w:line="480" w:lineRule="exact"/>
      <w:jc w:val="center"/>
    </w:pPr>
    <w:rPr>
      <w:rFonts w:hAnsi="宋体" w:cs="宋体"/>
    </w:rPr>
  </w:style>
  <w:style w:type="paragraph" w:customStyle="1" w:styleId="3928">
    <w:name w:val="Char330"/>
    <w:basedOn w:val="1"/>
    <w:qFormat/>
    <w:uiPriority w:val="0"/>
    <w:pPr>
      <w:ind w:left="-48"/>
    </w:pPr>
  </w:style>
  <w:style w:type="paragraph" w:customStyle="1" w:styleId="3929">
    <w:name w:val="谏壁标题1(chen）"/>
    <w:basedOn w:val="1"/>
    <w:qFormat/>
    <w:uiPriority w:val="0"/>
    <w:pPr>
      <w:keepNext/>
      <w:keepLines/>
      <w:pageBreakBefore/>
      <w:spacing w:after="300" w:line="360" w:lineRule="auto"/>
      <w:outlineLvl w:val="0"/>
    </w:pPr>
    <w:rPr>
      <w:rFonts w:eastAsia="黑体"/>
      <w:bCs/>
      <w:kern w:val="44"/>
      <w:sz w:val="36"/>
      <w:szCs w:val="44"/>
    </w:rPr>
  </w:style>
  <w:style w:type="paragraph" w:customStyle="1" w:styleId="3930">
    <w:name w:val="Char231"/>
    <w:basedOn w:val="1"/>
    <w:qFormat/>
    <w:uiPriority w:val="0"/>
    <w:pPr>
      <w:ind w:left="-48"/>
    </w:pPr>
  </w:style>
  <w:style w:type="paragraph" w:customStyle="1" w:styleId="3931">
    <w:name w:val="正文格式＝8"/>
    <w:basedOn w:val="239"/>
    <w:next w:val="239"/>
    <w:qFormat/>
    <w:uiPriority w:val="0"/>
    <w:rPr>
      <w:rFonts w:hAnsi="宋体"/>
    </w:rPr>
  </w:style>
  <w:style w:type="paragraph" w:customStyle="1" w:styleId="3932">
    <w:name w:val="默认段落字体 Para Char Char Char Char33"/>
    <w:basedOn w:val="1"/>
    <w:qFormat/>
    <w:uiPriority w:val="0"/>
  </w:style>
  <w:style w:type="paragraph" w:customStyle="1" w:styleId="3933">
    <w:name w:val="表题14113"/>
    <w:basedOn w:val="1"/>
    <w:qFormat/>
    <w:uiPriority w:val="0"/>
    <w:pPr>
      <w:widowControl/>
      <w:adjustRightInd w:val="0"/>
      <w:snapToGrid w:val="0"/>
      <w:jc w:val="center"/>
    </w:pPr>
    <w:rPr>
      <w:rFonts w:ascii="黑体" w:hAnsi="宋体" w:eastAsia="黑体" w:cs="宋体"/>
    </w:rPr>
  </w:style>
  <w:style w:type="paragraph" w:customStyle="1" w:styleId="3934">
    <w:name w:val="Char223"/>
    <w:basedOn w:val="1"/>
    <w:qFormat/>
    <w:uiPriority w:val="0"/>
    <w:pPr>
      <w:ind w:left="-48"/>
    </w:pPr>
  </w:style>
  <w:style w:type="paragraph" w:customStyle="1" w:styleId="3935">
    <w:name w:val="样式 样式 标题 2 + 段前: 0.5 行4 + 段前: 0.5 行"/>
    <w:basedOn w:val="1"/>
    <w:qFormat/>
    <w:uiPriority w:val="0"/>
    <w:pPr>
      <w:tabs>
        <w:tab w:val="left" w:pos="540"/>
      </w:tabs>
      <w:adjustRightInd w:val="0"/>
      <w:spacing w:before="163" w:line="360" w:lineRule="auto"/>
      <w:ind w:left="567" w:hanging="540"/>
      <w:outlineLvl w:val="1"/>
    </w:pPr>
    <w:rPr>
      <w:rFonts w:eastAsia="黑体" w:cs="宋体"/>
    </w:rPr>
  </w:style>
  <w:style w:type="paragraph" w:customStyle="1" w:styleId="3936">
    <w:name w:val="表格内字体62"/>
    <w:basedOn w:val="239"/>
    <w:next w:val="239"/>
    <w:qFormat/>
    <w:uiPriority w:val="0"/>
    <w:pPr>
      <w:spacing w:line="240" w:lineRule="auto"/>
      <w:ind w:firstLine="0"/>
      <w:jc w:val="center"/>
    </w:pPr>
    <w:rPr>
      <w:rFonts w:hAnsi="宋体"/>
      <w:sz w:val="21"/>
    </w:rPr>
  </w:style>
  <w:style w:type="paragraph" w:customStyle="1" w:styleId="3937">
    <w:name w:val="正方"/>
    <w:basedOn w:val="1"/>
    <w:qFormat/>
    <w:uiPriority w:val="0"/>
    <w:pPr>
      <w:tabs>
        <w:tab w:val="left" w:pos="240"/>
      </w:tabs>
      <w:autoSpaceDE w:val="0"/>
      <w:autoSpaceDN w:val="0"/>
      <w:adjustRightInd w:val="0"/>
      <w:spacing w:line="360" w:lineRule="auto"/>
    </w:pPr>
    <w:rPr>
      <w:rFonts w:ascii="Bookman Old Style" w:hAnsi="Bookman Old Style" w:cs="Arial"/>
    </w:rPr>
  </w:style>
  <w:style w:type="paragraph" w:customStyle="1" w:styleId="3938">
    <w:name w:val="图题注3"/>
    <w:basedOn w:val="23"/>
    <w:qFormat/>
    <w:uiPriority w:val="0"/>
    <w:pPr>
      <w:tabs>
        <w:tab w:val="clear" w:pos="7380"/>
      </w:tabs>
      <w:overflowPunct/>
      <w:spacing w:before="0" w:after="0" w:afterLines="0"/>
      <w:jc w:val="center"/>
    </w:pPr>
    <w:rPr>
      <w:rFonts w:ascii="黑体" w:cs="宋体"/>
      <w:b/>
      <w:bCs/>
      <w:sz w:val="24"/>
      <w:szCs w:val="24"/>
    </w:rPr>
  </w:style>
  <w:style w:type="paragraph" w:customStyle="1" w:styleId="3939">
    <w:name w:val="Char Char Char Char1 Char Char Char12"/>
    <w:basedOn w:val="1"/>
    <w:qFormat/>
    <w:uiPriority w:val="0"/>
    <w:pPr>
      <w:widowControl/>
      <w:spacing w:after="160" w:line="240" w:lineRule="exact"/>
      <w:jc w:val="left"/>
    </w:pPr>
    <w:rPr>
      <w:rFonts w:ascii="Verdana" w:hAnsi="Verdana"/>
      <w:sz w:val="20"/>
      <w:lang w:eastAsia="en-US"/>
    </w:rPr>
  </w:style>
  <w:style w:type="paragraph" w:customStyle="1" w:styleId="3940">
    <w:name w:val="附件111"/>
    <w:basedOn w:val="4"/>
    <w:next w:val="239"/>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941">
    <w:name w:val="默认段落字体 Para Char Char Char Char34"/>
    <w:basedOn w:val="1"/>
    <w:qFormat/>
    <w:uiPriority w:val="0"/>
  </w:style>
  <w:style w:type="paragraph" w:customStyle="1" w:styleId="3942">
    <w:name w:val="表中文字113"/>
    <w:basedOn w:val="1"/>
    <w:qFormat/>
    <w:uiPriority w:val="0"/>
    <w:pPr>
      <w:widowControl/>
      <w:spacing w:line="240" w:lineRule="atLeast"/>
      <w:ind w:left="-24" w:leftChars="-10" w:right="-48" w:rightChars="-20"/>
      <w:jc w:val="center"/>
    </w:pPr>
    <w:rPr>
      <w:szCs w:val="21"/>
    </w:rPr>
  </w:style>
  <w:style w:type="paragraph" w:customStyle="1" w:styleId="3943">
    <w:name w:val="图题11"/>
    <w:basedOn w:val="239"/>
    <w:next w:val="239"/>
    <w:qFormat/>
    <w:uiPriority w:val="0"/>
    <w:pPr>
      <w:ind w:firstLine="0"/>
      <w:jc w:val="center"/>
    </w:pPr>
    <w:rPr>
      <w:rFonts w:ascii="黑体" w:hAnsi="宋体" w:eastAsia="黑体"/>
      <w:b/>
      <w:bCs/>
    </w:rPr>
  </w:style>
  <w:style w:type="paragraph" w:customStyle="1" w:styleId="3944">
    <w:name w:val="燕山正文5"/>
    <w:basedOn w:val="1"/>
    <w:qFormat/>
    <w:uiPriority w:val="0"/>
    <w:pPr>
      <w:tabs>
        <w:tab w:val="left" w:pos="4680"/>
      </w:tabs>
      <w:adjustRightInd w:val="0"/>
      <w:snapToGrid w:val="0"/>
      <w:spacing w:line="480" w:lineRule="exact"/>
    </w:pPr>
    <w:rPr>
      <w:rFonts w:cs="宋体"/>
    </w:rPr>
  </w:style>
  <w:style w:type="paragraph" w:customStyle="1" w:styleId="3945">
    <w:name w:val="Char Char Char Char1 Char Char Char22"/>
    <w:basedOn w:val="1"/>
    <w:qFormat/>
    <w:uiPriority w:val="0"/>
    <w:pPr>
      <w:widowControl/>
      <w:spacing w:after="160" w:line="240" w:lineRule="exact"/>
      <w:jc w:val="left"/>
    </w:pPr>
    <w:rPr>
      <w:rFonts w:ascii="Verdana" w:hAnsi="Verdana"/>
      <w:sz w:val="20"/>
      <w:lang w:eastAsia="en-US"/>
    </w:rPr>
  </w:style>
  <w:style w:type="paragraph" w:customStyle="1" w:styleId="3946">
    <w:name w:val="Char424"/>
    <w:basedOn w:val="1"/>
    <w:qFormat/>
    <w:uiPriority w:val="0"/>
    <w:pPr>
      <w:ind w:left="-48"/>
    </w:pPr>
  </w:style>
  <w:style w:type="paragraph" w:customStyle="1" w:styleId="3947">
    <w:name w:val="Char Char Char Char Char Char Char211"/>
    <w:basedOn w:val="1"/>
    <w:qFormat/>
    <w:uiPriority w:val="0"/>
  </w:style>
  <w:style w:type="paragraph" w:customStyle="1" w:styleId="3948">
    <w:name w:val="大标题"/>
    <w:qFormat/>
    <w:uiPriority w:val="0"/>
    <w:rPr>
      <w:rFonts w:ascii="Times New Roman" w:hAnsi="Times New Roman" w:eastAsia="楷体_GB2312" w:cs="Times New Roman"/>
      <w:b/>
      <w:bCs/>
      <w:kern w:val="44"/>
      <w:sz w:val="32"/>
      <w:szCs w:val="44"/>
      <w:lang w:val="en-US" w:eastAsia="zh-CN" w:bidi="ar-SA"/>
    </w:rPr>
  </w:style>
  <w:style w:type="paragraph" w:customStyle="1" w:styleId="3949">
    <w:name w:val="List Letter M2"/>
    <w:basedOn w:val="1"/>
    <w:qFormat/>
    <w:uiPriority w:val="0"/>
    <w:pPr>
      <w:widowControl/>
      <w:tabs>
        <w:tab w:val="left" w:pos="1074"/>
      </w:tabs>
      <w:spacing w:after="240"/>
      <w:ind w:left="1072" w:hanging="358"/>
    </w:pPr>
    <w:rPr>
      <w:rFonts w:ascii="Arial" w:hAnsi="Arial" w:eastAsia="MS Mincho"/>
      <w:sz w:val="22"/>
      <w:lang w:val="en-GB" w:eastAsia="en-US"/>
    </w:rPr>
  </w:style>
  <w:style w:type="paragraph" w:customStyle="1" w:styleId="3950">
    <w:name w:val="Char417"/>
    <w:basedOn w:val="1"/>
    <w:qFormat/>
    <w:uiPriority w:val="0"/>
    <w:pPr>
      <w:ind w:left="-48"/>
    </w:pPr>
  </w:style>
  <w:style w:type="paragraph" w:customStyle="1" w:styleId="3951">
    <w:name w:val="Char Char Char Char Char Char Char27"/>
    <w:basedOn w:val="1"/>
    <w:qFormat/>
    <w:uiPriority w:val="0"/>
  </w:style>
  <w:style w:type="paragraph" w:customStyle="1" w:styleId="3952">
    <w:name w:val="燕山正文133"/>
    <w:basedOn w:val="1"/>
    <w:qFormat/>
    <w:uiPriority w:val="0"/>
    <w:pPr>
      <w:tabs>
        <w:tab w:val="left" w:pos="4680"/>
      </w:tabs>
      <w:adjustRightInd w:val="0"/>
      <w:snapToGrid w:val="0"/>
      <w:spacing w:line="360" w:lineRule="auto"/>
      <w:ind w:firstLine="480" w:firstLineChars="200"/>
    </w:pPr>
    <w:rPr>
      <w:rFonts w:hAnsi="宋体" w:cs="宋体"/>
      <w:bCs/>
      <w:color w:val="000000"/>
    </w:rPr>
  </w:style>
  <w:style w:type="paragraph" w:customStyle="1" w:styleId="3953">
    <w:name w:val="黑体三号413"/>
    <w:basedOn w:val="239"/>
    <w:qFormat/>
    <w:uiPriority w:val="0"/>
    <w:pPr>
      <w:jc w:val="center"/>
    </w:pPr>
    <w:rPr>
      <w:rFonts w:ascii="黑体" w:hAnsi="宋体" w:eastAsia="黑体"/>
      <w:b/>
      <w:bCs/>
      <w:sz w:val="32"/>
      <w:szCs w:val="20"/>
    </w:rPr>
  </w:style>
  <w:style w:type="paragraph" w:customStyle="1" w:styleId="3954">
    <w:name w:val="燕山正文1132"/>
    <w:basedOn w:val="1"/>
    <w:qFormat/>
    <w:uiPriority w:val="0"/>
    <w:pPr>
      <w:tabs>
        <w:tab w:val="left" w:pos="4680"/>
      </w:tabs>
      <w:adjustRightInd w:val="0"/>
      <w:snapToGrid w:val="0"/>
      <w:spacing w:line="360" w:lineRule="auto"/>
      <w:ind w:firstLine="480" w:firstLineChars="200"/>
    </w:pPr>
    <w:rPr>
      <w:rFonts w:hAnsi="宋体" w:cs="宋体"/>
      <w:bCs/>
      <w:snapToGrid w:val="0"/>
      <w:color w:val="000000"/>
    </w:rPr>
  </w:style>
  <w:style w:type="paragraph" w:customStyle="1" w:styleId="3955">
    <w:name w:val="小表格"/>
    <w:basedOn w:val="166"/>
    <w:qFormat/>
    <w:uiPriority w:val="0"/>
    <w:pPr>
      <w:autoSpaceDE w:val="0"/>
      <w:autoSpaceDN w:val="0"/>
      <w:spacing w:before="0" w:beforeLines="0" w:line="360" w:lineRule="auto"/>
    </w:pPr>
    <w:rPr>
      <w:rFonts w:ascii="仿宋_GB2312"/>
      <w:snapToGrid/>
      <w:kern w:val="0"/>
      <w:szCs w:val="20"/>
    </w:rPr>
  </w:style>
  <w:style w:type="paragraph" w:customStyle="1" w:styleId="3956">
    <w:name w:val="燕山正文1123"/>
    <w:basedOn w:val="1"/>
    <w:qFormat/>
    <w:uiPriority w:val="0"/>
    <w:pPr>
      <w:tabs>
        <w:tab w:val="left" w:pos="4680"/>
      </w:tabs>
      <w:adjustRightInd w:val="0"/>
      <w:snapToGrid w:val="0"/>
      <w:spacing w:line="480" w:lineRule="exact"/>
    </w:pPr>
    <w:rPr>
      <w:rFonts w:hAnsi="宋体" w:cs="宋体"/>
      <w:bCs/>
      <w:color w:val="000000"/>
    </w:rPr>
  </w:style>
  <w:style w:type="paragraph" w:customStyle="1" w:styleId="3957">
    <w:name w:val="Char62"/>
    <w:basedOn w:val="1"/>
    <w:qFormat/>
    <w:uiPriority w:val="0"/>
    <w:rPr>
      <w:szCs w:val="21"/>
    </w:rPr>
  </w:style>
  <w:style w:type="paragraph" w:customStyle="1" w:styleId="3958">
    <w:name w:val="福建正文缩进2"/>
    <w:basedOn w:val="22"/>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rPr>
  </w:style>
  <w:style w:type="paragraph" w:customStyle="1" w:styleId="3959">
    <w:name w:val="Char Char Char Char1 Char Char Char14"/>
    <w:basedOn w:val="1"/>
    <w:qFormat/>
    <w:uiPriority w:val="0"/>
    <w:pPr>
      <w:widowControl/>
      <w:spacing w:after="160" w:line="240" w:lineRule="exact"/>
      <w:jc w:val="left"/>
    </w:pPr>
    <w:rPr>
      <w:rFonts w:ascii="Verdana" w:hAnsi="Verdana"/>
      <w:sz w:val="20"/>
      <w:lang w:eastAsia="en-US"/>
    </w:rPr>
  </w:style>
  <w:style w:type="paragraph" w:customStyle="1" w:styleId="3960">
    <w:name w:val="Char26"/>
    <w:basedOn w:val="1"/>
    <w:qFormat/>
    <w:uiPriority w:val="0"/>
    <w:pPr>
      <w:ind w:left="-48"/>
    </w:pPr>
  </w:style>
  <w:style w:type="paragraph" w:customStyle="1" w:styleId="3961">
    <w:name w:val="图题8"/>
    <w:basedOn w:val="239"/>
    <w:next w:val="239"/>
    <w:qFormat/>
    <w:uiPriority w:val="0"/>
    <w:pPr>
      <w:ind w:firstLine="0"/>
      <w:jc w:val="center"/>
    </w:pPr>
    <w:rPr>
      <w:rFonts w:ascii="黑体" w:hAnsi="宋体" w:eastAsia="黑体"/>
      <w:b/>
      <w:bCs/>
    </w:rPr>
  </w:style>
  <w:style w:type="paragraph" w:customStyle="1" w:styleId="3962">
    <w:name w:val="码头正文"/>
    <w:basedOn w:val="22"/>
    <w:qFormat/>
    <w:uiPriority w:val="0"/>
    <w:pPr>
      <w:spacing w:line="400" w:lineRule="exact"/>
      <w:ind w:firstLine="480"/>
    </w:pPr>
    <w:rPr>
      <w:rFonts w:ascii="宋体"/>
      <w:bCs/>
      <w:kern w:val="0"/>
      <w:sz w:val="24"/>
      <w:u w:color="000000"/>
    </w:rPr>
  </w:style>
  <w:style w:type="paragraph" w:customStyle="1" w:styleId="3963">
    <w:name w:val="正文格式＝1"/>
    <w:basedOn w:val="239"/>
    <w:next w:val="239"/>
    <w:qFormat/>
    <w:uiPriority w:val="0"/>
    <w:rPr>
      <w:rFonts w:hAnsi="宋体"/>
    </w:rPr>
  </w:style>
  <w:style w:type="paragraph" w:customStyle="1" w:styleId="3964">
    <w:name w:val="样式 标题 1 + 段后: 6 磅"/>
    <w:basedOn w:val="4"/>
    <w:qFormat/>
    <w:uiPriority w:val="0"/>
    <w:pPr>
      <w:tabs>
        <w:tab w:val="left" w:pos="360"/>
        <w:tab w:val="left" w:pos="2040"/>
      </w:tabs>
      <w:spacing w:after="120" w:line="240" w:lineRule="auto"/>
      <w:ind w:left="170" w:leftChars="800" w:hanging="170" w:hangingChars="200"/>
      <w:jc w:val="left"/>
    </w:pPr>
    <w:rPr>
      <w:rFonts w:eastAsia="黑体" w:cs="宋体"/>
      <w:sz w:val="84"/>
      <w:szCs w:val="30"/>
    </w:rPr>
  </w:style>
  <w:style w:type="paragraph" w:customStyle="1" w:styleId="3965">
    <w:name w:val="正文212"/>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966">
    <w:name w:val="样式 正文缩进 + 宋体 黑色2"/>
    <w:basedOn w:val="22"/>
    <w:qFormat/>
    <w:uiPriority w:val="0"/>
    <w:pPr>
      <w:spacing w:line="360" w:lineRule="auto"/>
      <w:ind w:firstLine="200"/>
      <w:jc w:val="left"/>
    </w:pPr>
    <w:rPr>
      <w:rFonts w:ascii="宋体" w:hAnsi="宋体"/>
      <w:color w:val="000000"/>
      <w:sz w:val="24"/>
    </w:rPr>
  </w:style>
  <w:style w:type="paragraph" w:customStyle="1" w:styleId="3967">
    <w:name w:val="Char151"/>
    <w:basedOn w:val="1"/>
    <w:qFormat/>
    <w:uiPriority w:val="0"/>
    <w:pPr>
      <w:adjustRightInd w:val="0"/>
      <w:snapToGrid w:val="0"/>
      <w:spacing w:beforeLines="50" w:line="360" w:lineRule="auto"/>
    </w:pPr>
    <w:rPr>
      <w:rFonts w:ascii="黑体" w:eastAsia="黑体"/>
      <w:sz w:val="32"/>
      <w:szCs w:val="32"/>
    </w:rPr>
  </w:style>
  <w:style w:type="paragraph" w:customStyle="1" w:styleId="3968">
    <w:name w:val="正文格式413"/>
    <w:basedOn w:val="1"/>
    <w:qFormat/>
    <w:uiPriority w:val="0"/>
    <w:pPr>
      <w:spacing w:line="360" w:lineRule="auto"/>
      <w:ind w:firstLine="482"/>
    </w:pPr>
    <w:rPr>
      <w:rFonts w:hAnsi="宋体"/>
    </w:rPr>
  </w:style>
  <w:style w:type="paragraph" w:customStyle="1" w:styleId="3969">
    <w:name w:val="表内文字小232"/>
    <w:basedOn w:val="1"/>
    <w:qFormat/>
    <w:uiPriority w:val="0"/>
    <w:pPr>
      <w:adjustRightInd w:val="0"/>
      <w:snapToGrid w:val="0"/>
      <w:jc w:val="center"/>
    </w:pPr>
    <w:rPr>
      <w:rFonts w:hAnsi="Times"/>
      <w:bCs/>
      <w:color w:val="000000"/>
    </w:rPr>
  </w:style>
  <w:style w:type="paragraph" w:customStyle="1" w:styleId="3970">
    <w:name w:val="表内文字小24"/>
    <w:basedOn w:val="1"/>
    <w:qFormat/>
    <w:uiPriority w:val="0"/>
    <w:pPr>
      <w:adjustRightInd w:val="0"/>
      <w:snapToGrid w:val="0"/>
      <w:jc w:val="center"/>
    </w:pPr>
    <w:rPr>
      <w:rFonts w:hAnsi="Times"/>
      <w:bCs/>
      <w:color w:val="000000"/>
    </w:rPr>
  </w:style>
  <w:style w:type="paragraph" w:customStyle="1" w:styleId="3971">
    <w:name w:val="Char Char Char Char Char Char Char Char Char Char1 Char Char"/>
    <w:basedOn w:val="1"/>
    <w:qFormat/>
    <w:uiPriority w:val="0"/>
    <w:pPr>
      <w:spacing w:line="240" w:lineRule="exact"/>
      <w:ind w:firstLine="200" w:firstLineChars="200"/>
    </w:pPr>
    <w:rPr>
      <w:sz w:val="28"/>
      <w:szCs w:val="28"/>
    </w:rPr>
  </w:style>
  <w:style w:type="paragraph" w:customStyle="1" w:styleId="3972">
    <w:name w:val="表格结尾"/>
    <w:basedOn w:val="1"/>
    <w:qFormat/>
    <w:uiPriority w:val="0"/>
    <w:pPr>
      <w:snapToGrid w:val="0"/>
      <w:spacing w:line="0" w:lineRule="atLeast"/>
    </w:pPr>
    <w:rPr>
      <w:sz w:val="10"/>
    </w:rPr>
  </w:style>
  <w:style w:type="paragraph" w:customStyle="1" w:styleId="3973">
    <w:name w:val="表内文字小2123"/>
    <w:basedOn w:val="1"/>
    <w:qFormat/>
    <w:uiPriority w:val="0"/>
    <w:pPr>
      <w:adjustRightInd w:val="0"/>
      <w:snapToGrid w:val="0"/>
      <w:jc w:val="center"/>
    </w:pPr>
    <w:rPr>
      <w:rFonts w:hAnsi="Times"/>
      <w:bCs/>
      <w:color w:val="000000"/>
    </w:rPr>
  </w:style>
  <w:style w:type="paragraph" w:customStyle="1" w:styleId="3974">
    <w:name w:val="表内文字小3121"/>
    <w:basedOn w:val="1"/>
    <w:qFormat/>
    <w:uiPriority w:val="0"/>
    <w:pPr>
      <w:adjustRightInd w:val="0"/>
      <w:snapToGrid w:val="0"/>
      <w:jc w:val="center"/>
    </w:pPr>
    <w:rPr>
      <w:rFonts w:hAnsi="Times" w:cs="宋体"/>
      <w:bCs/>
      <w:color w:val="003366"/>
    </w:rPr>
  </w:style>
  <w:style w:type="paragraph" w:customStyle="1" w:styleId="3975">
    <w:name w:val="表格样式"/>
    <w:basedOn w:val="1"/>
    <w:qFormat/>
    <w:uiPriority w:val="0"/>
    <w:pPr>
      <w:adjustRightInd w:val="0"/>
      <w:snapToGrid w:val="0"/>
      <w:jc w:val="center"/>
      <w:textAlignment w:val="baseline"/>
    </w:pPr>
    <w:rPr>
      <w:snapToGrid w:val="0"/>
      <w:color w:val="000000"/>
    </w:rPr>
  </w:style>
  <w:style w:type="paragraph" w:customStyle="1" w:styleId="3976">
    <w:name w:val="引言"/>
    <w:basedOn w:val="1"/>
    <w:next w:val="1"/>
    <w:qFormat/>
    <w:uiPriority w:val="0"/>
    <w:pPr>
      <w:snapToGrid w:val="0"/>
      <w:jc w:val="center"/>
    </w:pPr>
    <w:rPr>
      <w:rFonts w:ascii="仿宋_GB2312" w:eastAsia="仿宋_GB2312"/>
      <w:color w:val="000000"/>
    </w:rPr>
  </w:style>
  <w:style w:type="paragraph" w:customStyle="1" w:styleId="3977">
    <w:name w:val="OIC1 Address"/>
    <w:basedOn w:val="1"/>
    <w:qFormat/>
    <w:uiPriority w:val="0"/>
    <w:pPr>
      <w:tabs>
        <w:tab w:val="left" w:pos="1440"/>
      </w:tabs>
      <w:jc w:val="center"/>
    </w:pPr>
    <w:rPr>
      <w:rFonts w:ascii="Arial" w:hAnsi="Arial"/>
      <w:color w:val="000080"/>
      <w:sz w:val="20"/>
    </w:rPr>
  </w:style>
  <w:style w:type="paragraph" w:customStyle="1" w:styleId="3978">
    <w:name w:val="表文字5213"/>
    <w:basedOn w:val="1"/>
    <w:qFormat/>
    <w:uiPriority w:val="0"/>
    <w:pPr>
      <w:adjustRightInd w:val="0"/>
      <w:jc w:val="left"/>
      <w:textAlignment w:val="baseline"/>
    </w:pPr>
  </w:style>
  <w:style w:type="paragraph" w:customStyle="1" w:styleId="3979">
    <w:name w:val="正文格式61"/>
    <w:basedOn w:val="1"/>
    <w:qFormat/>
    <w:uiPriority w:val="0"/>
    <w:pPr>
      <w:spacing w:line="360" w:lineRule="auto"/>
      <w:ind w:firstLine="482"/>
    </w:pPr>
    <w:rPr>
      <w:rFonts w:hAnsi="宋体"/>
    </w:rPr>
  </w:style>
  <w:style w:type="paragraph" w:customStyle="1" w:styleId="3980">
    <w:name w:val="样式表头"/>
    <w:basedOn w:val="1"/>
    <w:qFormat/>
    <w:uiPriority w:val="0"/>
    <w:pPr>
      <w:snapToGrid w:val="0"/>
      <w:spacing w:line="312" w:lineRule="auto"/>
      <w:jc w:val="center"/>
    </w:pPr>
    <w:rPr>
      <w:rFonts w:ascii="黑体" w:hAnsi="宋体" w:eastAsia="黑体"/>
      <w:b/>
      <w:bCs/>
      <w:spacing w:val="6"/>
      <w:sz w:val="32"/>
      <w:szCs w:val="32"/>
    </w:rPr>
  </w:style>
  <w:style w:type="paragraph" w:customStyle="1" w:styleId="3981">
    <w:name w:val="表文字532"/>
    <w:basedOn w:val="1"/>
    <w:qFormat/>
    <w:uiPriority w:val="0"/>
    <w:pPr>
      <w:adjustRightInd w:val="0"/>
      <w:jc w:val="left"/>
      <w:textAlignment w:val="baseline"/>
    </w:pPr>
  </w:style>
  <w:style w:type="paragraph" w:customStyle="1" w:styleId="3982">
    <w:name w:val="样式 报告 + 行距: 固定值 25 磅"/>
    <w:basedOn w:val="290"/>
    <w:qFormat/>
    <w:uiPriority w:val="0"/>
    <w:pPr>
      <w:spacing w:line="500" w:lineRule="exact"/>
      <w:ind w:firstLine="560" w:firstLineChars="200"/>
    </w:pPr>
    <w:rPr>
      <w:rFonts w:ascii="Times New Roman" w:hAnsi="Times New Roman" w:cs="宋体"/>
      <w:kern w:val="2"/>
      <w:sz w:val="28"/>
      <w:szCs w:val="28"/>
    </w:rPr>
  </w:style>
  <w:style w:type="paragraph" w:customStyle="1" w:styleId="3983">
    <w:name w:val="正文格式53"/>
    <w:basedOn w:val="1"/>
    <w:qFormat/>
    <w:uiPriority w:val="0"/>
    <w:pPr>
      <w:spacing w:line="360" w:lineRule="auto"/>
      <w:ind w:firstLine="482"/>
    </w:pPr>
    <w:rPr>
      <w:rFonts w:hAnsi="宋体"/>
    </w:rPr>
  </w:style>
  <w:style w:type="paragraph" w:customStyle="1" w:styleId="3984">
    <w:name w:val="正文格式222"/>
    <w:basedOn w:val="1"/>
    <w:qFormat/>
    <w:uiPriority w:val="0"/>
    <w:pPr>
      <w:spacing w:line="360" w:lineRule="auto"/>
      <w:ind w:firstLine="482"/>
    </w:pPr>
    <w:rPr>
      <w:rFonts w:hAnsi="宋体"/>
    </w:rPr>
  </w:style>
  <w:style w:type="paragraph" w:customStyle="1" w:styleId="3985">
    <w:name w:val="表题17"/>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986">
    <w:name w:val="表内宋5中13"/>
    <w:basedOn w:val="1"/>
    <w:qFormat/>
    <w:uiPriority w:val="0"/>
    <w:pPr>
      <w:adjustRightInd w:val="0"/>
      <w:snapToGrid w:val="0"/>
      <w:jc w:val="center"/>
      <w:textAlignment w:val="baseline"/>
    </w:pPr>
    <w:rPr>
      <w:rFonts w:hAnsi="宋体" w:cs="宋体"/>
    </w:rPr>
  </w:style>
  <w:style w:type="paragraph" w:customStyle="1" w:styleId="3987">
    <w:name w:val="样式 正文文字 + 首行缩进:  2 字符"/>
    <w:basedOn w:val="35"/>
    <w:qFormat/>
    <w:uiPriority w:val="0"/>
    <w:pPr>
      <w:spacing w:after="0" w:line="500" w:lineRule="exact"/>
      <w:ind w:firstLine="560" w:firstLineChars="200"/>
    </w:pPr>
    <w:rPr>
      <w:sz w:val="28"/>
      <w:szCs w:val="20"/>
    </w:rPr>
  </w:style>
  <w:style w:type="paragraph" w:customStyle="1" w:styleId="3988">
    <w:name w:val="样式 正文缩进 + 宋体 黑色1"/>
    <w:basedOn w:val="22"/>
    <w:qFormat/>
    <w:uiPriority w:val="0"/>
    <w:pPr>
      <w:spacing w:line="360" w:lineRule="auto"/>
      <w:ind w:firstLine="200"/>
      <w:jc w:val="left"/>
    </w:pPr>
    <w:rPr>
      <w:rFonts w:ascii="宋体" w:hAnsi="宋体"/>
      <w:color w:val="000000"/>
      <w:sz w:val="24"/>
    </w:rPr>
  </w:style>
  <w:style w:type="paragraph" w:customStyle="1" w:styleId="3989">
    <w:name w:val="表 头"/>
    <w:basedOn w:val="1"/>
    <w:qFormat/>
    <w:uiPriority w:val="0"/>
    <w:pPr>
      <w:adjustRightInd w:val="0"/>
      <w:spacing w:before="120" w:after="120" w:line="360" w:lineRule="atLeast"/>
      <w:jc w:val="center"/>
    </w:pPr>
    <w:rPr>
      <w:rFonts w:eastAsia="黑体"/>
      <w:spacing w:val="10"/>
    </w:rPr>
  </w:style>
  <w:style w:type="paragraph" w:customStyle="1" w:styleId="3990">
    <w:name w:val="表33"/>
    <w:basedOn w:val="1"/>
    <w:qFormat/>
    <w:uiPriority w:val="0"/>
    <w:pPr>
      <w:adjustRightInd w:val="0"/>
      <w:snapToGrid w:val="0"/>
      <w:jc w:val="center"/>
    </w:pPr>
    <w:rPr>
      <w:rFonts w:eastAsia="仿宋_GB2312"/>
    </w:rPr>
  </w:style>
  <w:style w:type="paragraph" w:customStyle="1" w:styleId="3991">
    <w:name w:val="文本框22"/>
    <w:basedOn w:val="1"/>
    <w:qFormat/>
    <w:uiPriority w:val="0"/>
    <w:pPr>
      <w:adjustRightInd w:val="0"/>
      <w:snapToGrid w:val="0"/>
      <w:spacing w:after="6"/>
      <w:jc w:val="center"/>
    </w:pPr>
    <w:rPr>
      <w:rFonts w:eastAsia="仿宋_GB2312"/>
    </w:rPr>
  </w:style>
  <w:style w:type="paragraph" w:customStyle="1" w:styleId="3992">
    <w:name w:val="样式 正文缩进 + 宋体 黑色13"/>
    <w:basedOn w:val="22"/>
    <w:qFormat/>
    <w:uiPriority w:val="0"/>
    <w:pPr>
      <w:spacing w:line="360" w:lineRule="auto"/>
      <w:ind w:firstLine="200"/>
      <w:jc w:val="left"/>
    </w:pPr>
    <w:rPr>
      <w:rFonts w:ascii="宋体" w:hAnsi="宋体"/>
      <w:color w:val="000000"/>
      <w:sz w:val="24"/>
    </w:rPr>
  </w:style>
  <w:style w:type="paragraph" w:customStyle="1" w:styleId="3993">
    <w:name w:val="表内宋511113"/>
    <w:basedOn w:val="81"/>
    <w:qFormat/>
    <w:uiPriority w:val="0"/>
    <w:pPr>
      <w:widowControl/>
      <w:adjustRightInd w:val="0"/>
      <w:snapToGrid w:val="0"/>
    </w:pPr>
    <w:rPr>
      <w:rFonts w:ascii="宋体" w:hAnsi="宋体" w:cs="宋体"/>
      <w:color w:val="000000"/>
      <w:kern w:val="0"/>
      <w:sz w:val="21"/>
    </w:rPr>
  </w:style>
  <w:style w:type="paragraph" w:customStyle="1" w:styleId="3994">
    <w:name w:val="默认段落字体 Para Char6"/>
    <w:basedOn w:val="1"/>
    <w:next w:val="1"/>
    <w:qFormat/>
    <w:uiPriority w:val="0"/>
    <w:pPr>
      <w:spacing w:line="480" w:lineRule="exact"/>
      <w:ind w:firstLine="200" w:firstLineChars="200"/>
      <w:jc w:val="left"/>
    </w:pPr>
    <w:rPr>
      <w:rFonts w:hAnsi="宋体" w:eastAsia="汉鼎简书宋" w:cs="宋体"/>
      <w:sz w:val="28"/>
    </w:rPr>
  </w:style>
  <w:style w:type="paragraph" w:customStyle="1" w:styleId="3995">
    <w:name w:val="Char1111"/>
    <w:basedOn w:val="1"/>
    <w:qFormat/>
    <w:uiPriority w:val="0"/>
    <w:pPr>
      <w:adjustRightInd w:val="0"/>
      <w:snapToGrid w:val="0"/>
      <w:spacing w:beforeLines="50" w:line="360" w:lineRule="auto"/>
    </w:pPr>
    <w:rPr>
      <w:rFonts w:ascii="黑体" w:eastAsia="黑体"/>
      <w:sz w:val="32"/>
      <w:szCs w:val="32"/>
    </w:rPr>
  </w:style>
  <w:style w:type="paragraph" w:customStyle="1" w:styleId="3996">
    <w:name w:val="表文字5122"/>
    <w:basedOn w:val="1"/>
    <w:qFormat/>
    <w:uiPriority w:val="0"/>
    <w:pPr>
      <w:adjustRightInd w:val="0"/>
      <w:jc w:val="left"/>
      <w:textAlignment w:val="baseline"/>
    </w:pPr>
  </w:style>
  <w:style w:type="paragraph" w:customStyle="1" w:styleId="3997">
    <w:name w:val="表题1423"/>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3998">
    <w:name w:val="样式 标题 4 + 段前: 7.8 磅"/>
    <w:basedOn w:val="7"/>
    <w:qFormat/>
    <w:uiPriority w:val="0"/>
    <w:pPr>
      <w:outlineLvl w:val="0"/>
    </w:pPr>
    <w:rPr>
      <w:rFonts w:ascii="Arial" w:cs="Arial"/>
      <w:b/>
      <w:bCs w:val="0"/>
      <w:sz w:val="24"/>
      <w:szCs w:val="21"/>
    </w:rPr>
  </w:style>
  <w:style w:type="paragraph" w:customStyle="1" w:styleId="3999">
    <w:name w:val="谏壁表头"/>
    <w:basedOn w:val="2014"/>
    <w:qFormat/>
    <w:uiPriority w:val="0"/>
    <w:pPr>
      <w:ind w:firstLine="482"/>
      <w:jc w:val="center"/>
    </w:pPr>
    <w:rPr>
      <w:rFonts w:ascii="Calibri" w:hAnsi="Calibri"/>
      <w:b/>
    </w:rPr>
  </w:style>
  <w:style w:type="paragraph" w:customStyle="1" w:styleId="4000">
    <w:name w:val="默认段落字体 Para Char22"/>
    <w:basedOn w:val="1"/>
    <w:next w:val="1"/>
    <w:qFormat/>
    <w:uiPriority w:val="0"/>
    <w:pPr>
      <w:spacing w:line="480" w:lineRule="exact"/>
      <w:ind w:firstLine="200" w:firstLineChars="200"/>
      <w:jc w:val="left"/>
    </w:pPr>
    <w:rPr>
      <w:rFonts w:hAnsi="宋体" w:eastAsia="汉鼎简书宋" w:cs="宋体"/>
      <w:sz w:val="28"/>
    </w:rPr>
  </w:style>
  <w:style w:type="paragraph" w:customStyle="1" w:styleId="4001">
    <w:name w:val="Fax Header"/>
    <w:basedOn w:val="1"/>
    <w:qFormat/>
    <w:uiPriority w:val="0"/>
    <w:pPr>
      <w:widowControl/>
      <w:spacing w:before="240" w:after="60"/>
      <w:jc w:val="left"/>
    </w:pPr>
    <w:rPr>
      <w:sz w:val="20"/>
    </w:rPr>
  </w:style>
  <w:style w:type="paragraph" w:customStyle="1" w:styleId="4002">
    <w:name w:val="表内文字小83"/>
    <w:basedOn w:val="1"/>
    <w:qFormat/>
    <w:uiPriority w:val="0"/>
    <w:pPr>
      <w:adjustRightInd w:val="0"/>
      <w:snapToGrid w:val="0"/>
      <w:jc w:val="center"/>
    </w:pPr>
    <w:rPr>
      <w:rFonts w:hAnsi="Times" w:cs="宋体"/>
    </w:rPr>
  </w:style>
  <w:style w:type="paragraph" w:customStyle="1" w:styleId="4003">
    <w:name w:val="样式 (西文) 仿宋_GB2312 (中文) 仿宋_GB2312 四号 首行缩进:  0.98 厘米 行距: 固定值 2..."/>
    <w:basedOn w:val="1"/>
    <w:qFormat/>
    <w:uiPriority w:val="0"/>
    <w:pPr>
      <w:spacing w:line="480" w:lineRule="exact"/>
      <w:ind w:firstLine="555"/>
    </w:pPr>
    <w:rPr>
      <w:rFonts w:ascii="仿宋_GB2312" w:eastAsia="仿宋_GB2312" w:cs="宋体"/>
      <w:sz w:val="44"/>
      <w:shd w:val="clear" w:color="auto" w:fill="000080"/>
    </w:rPr>
  </w:style>
  <w:style w:type="paragraph" w:customStyle="1" w:styleId="4004">
    <w:name w:val="表文字51112"/>
    <w:basedOn w:val="1"/>
    <w:qFormat/>
    <w:uiPriority w:val="0"/>
    <w:pPr>
      <w:adjustRightInd w:val="0"/>
      <w:jc w:val="left"/>
      <w:textAlignment w:val="baseline"/>
    </w:pPr>
  </w:style>
  <w:style w:type="paragraph" w:customStyle="1" w:styleId="4005">
    <w:name w:val="表文字513"/>
    <w:basedOn w:val="1"/>
    <w:qFormat/>
    <w:uiPriority w:val="0"/>
    <w:pPr>
      <w:adjustRightInd w:val="0"/>
      <w:jc w:val="left"/>
      <w:textAlignment w:val="baseline"/>
    </w:pPr>
  </w:style>
  <w:style w:type="paragraph" w:customStyle="1" w:styleId="4006">
    <w:name w:val="样式 样式 标题 4第三层条PIM 4h4标题 4 Char + 右侧:  1 字符 + 左侧:  1.87 厘米"/>
    <w:basedOn w:val="1"/>
    <w:qFormat/>
    <w:uiPriority w:val="0"/>
    <w:pPr>
      <w:tabs>
        <w:tab w:val="left" w:pos="851"/>
      </w:tabs>
      <w:ind w:left="851" w:hanging="851"/>
    </w:pPr>
  </w:style>
  <w:style w:type="paragraph" w:customStyle="1" w:styleId="4007">
    <w:name w:val="xl749"/>
    <w:basedOn w:val="1"/>
    <w:qFormat/>
    <w:uiPriority w:val="0"/>
    <w:pPr>
      <w:widowControl/>
      <w:spacing w:before="100" w:beforeAutospacing="1" w:after="100" w:afterAutospacing="1"/>
      <w:jc w:val="center"/>
    </w:pPr>
    <w:rPr>
      <w:rFonts w:ascii="Courier New" w:hAnsi="Courier New" w:eastAsia="Arial Unicode MS"/>
      <w:b/>
      <w:bCs/>
      <w:sz w:val="44"/>
      <w:szCs w:val="44"/>
    </w:rPr>
  </w:style>
  <w:style w:type="paragraph" w:customStyle="1" w:styleId="4008">
    <w:name w:val="表内文字小3131"/>
    <w:basedOn w:val="1"/>
    <w:qFormat/>
    <w:uiPriority w:val="0"/>
    <w:pPr>
      <w:adjustRightInd w:val="0"/>
      <w:snapToGrid w:val="0"/>
      <w:jc w:val="center"/>
    </w:pPr>
    <w:rPr>
      <w:rFonts w:hAnsi="Times" w:cs="宋体"/>
      <w:bCs/>
      <w:color w:val="003366"/>
    </w:rPr>
  </w:style>
  <w:style w:type="paragraph" w:customStyle="1" w:styleId="4009">
    <w:name w:val="正文格式811"/>
    <w:basedOn w:val="1"/>
    <w:qFormat/>
    <w:uiPriority w:val="0"/>
    <w:pPr>
      <w:spacing w:line="360" w:lineRule="auto"/>
      <w:ind w:firstLine="482"/>
    </w:pPr>
    <w:rPr>
      <w:rFonts w:hAnsi="宋体"/>
    </w:rPr>
  </w:style>
  <w:style w:type="paragraph" w:customStyle="1" w:styleId="4010">
    <w:name w:val="xl632"/>
    <w:basedOn w:val="1"/>
    <w:qFormat/>
    <w:uiPriority w:val="0"/>
    <w:pPr>
      <w:widowControl/>
      <w:spacing w:before="100" w:beforeAutospacing="1" w:after="100" w:afterAutospacing="1"/>
      <w:jc w:val="center"/>
      <w:textAlignment w:val="center"/>
    </w:pPr>
    <w:rPr>
      <w:rFonts w:hint="eastAsia" w:ascii="黑体" w:hAnsi="宋体" w:eastAsia="黑体"/>
    </w:rPr>
  </w:style>
  <w:style w:type="paragraph" w:customStyle="1" w:styleId="4011">
    <w:name w:val="正文格式7"/>
    <w:basedOn w:val="1"/>
    <w:qFormat/>
    <w:uiPriority w:val="0"/>
    <w:pPr>
      <w:spacing w:line="360" w:lineRule="auto"/>
      <w:ind w:firstLine="482"/>
    </w:pPr>
    <w:rPr>
      <w:rFonts w:hAnsi="宋体"/>
    </w:rPr>
  </w:style>
  <w:style w:type="paragraph" w:customStyle="1" w:styleId="4012">
    <w:name w:val="默认段落字体 Para Char312"/>
    <w:basedOn w:val="1"/>
    <w:qFormat/>
    <w:uiPriority w:val="0"/>
    <w:pPr>
      <w:spacing w:line="360" w:lineRule="auto"/>
      <w:ind w:firstLine="200" w:firstLineChars="200"/>
    </w:pPr>
    <w:rPr>
      <w:rFonts w:hAnsi="宋体" w:cs="宋体"/>
    </w:rPr>
  </w:style>
  <w:style w:type="paragraph" w:customStyle="1" w:styleId="4013">
    <w:name w:val="表题121"/>
    <w:basedOn w:val="23"/>
    <w:qFormat/>
    <w:uiPriority w:val="0"/>
    <w:pPr>
      <w:tabs>
        <w:tab w:val="clear" w:pos="7380"/>
      </w:tabs>
      <w:overflowPunct/>
      <w:spacing w:before="0" w:after="0" w:afterLines="0" w:line="360" w:lineRule="auto"/>
      <w:jc w:val="center"/>
    </w:pPr>
    <w:rPr>
      <w:rFonts w:ascii="黑体"/>
      <w:sz w:val="24"/>
      <w:szCs w:val="24"/>
    </w:rPr>
  </w:style>
  <w:style w:type="paragraph" w:customStyle="1" w:styleId="4014">
    <w:name w:val="默认段落字体 Para Char11"/>
    <w:basedOn w:val="1"/>
    <w:next w:val="1"/>
    <w:qFormat/>
    <w:uiPriority w:val="0"/>
    <w:pPr>
      <w:spacing w:line="480" w:lineRule="exact"/>
      <w:ind w:firstLine="200" w:firstLineChars="200"/>
      <w:jc w:val="left"/>
    </w:pPr>
    <w:rPr>
      <w:rFonts w:hAnsi="宋体" w:eastAsia="汉鼎简书宋" w:cs="宋体"/>
      <w:sz w:val="28"/>
    </w:rPr>
  </w:style>
  <w:style w:type="paragraph" w:customStyle="1" w:styleId="4015">
    <w:name w:val="表内宋5中1112"/>
    <w:basedOn w:val="1"/>
    <w:qFormat/>
    <w:uiPriority w:val="0"/>
    <w:pPr>
      <w:adjustRightInd w:val="0"/>
      <w:snapToGrid w:val="0"/>
      <w:jc w:val="center"/>
      <w:textAlignment w:val="baseline"/>
    </w:pPr>
    <w:rPr>
      <w:rFonts w:hAnsi="宋体" w:cs="宋体"/>
    </w:rPr>
  </w:style>
  <w:style w:type="paragraph" w:customStyle="1" w:styleId="4016">
    <w:name w:val="表内文字小2112"/>
    <w:basedOn w:val="1"/>
    <w:qFormat/>
    <w:uiPriority w:val="0"/>
    <w:pPr>
      <w:adjustRightInd w:val="0"/>
      <w:snapToGrid w:val="0"/>
      <w:jc w:val="center"/>
    </w:pPr>
    <w:rPr>
      <w:rFonts w:hAnsi="Times"/>
      <w:bCs/>
      <w:color w:val="000000"/>
    </w:rPr>
  </w:style>
  <w:style w:type="paragraph" w:customStyle="1" w:styleId="4017">
    <w:name w:val="湛宝标题"/>
    <w:basedOn w:val="23"/>
    <w:qFormat/>
    <w:uiPriority w:val="0"/>
    <w:pPr>
      <w:tabs>
        <w:tab w:val="clear" w:pos="7380"/>
      </w:tabs>
      <w:overflowPunct/>
      <w:spacing w:before="0" w:after="0" w:afterLines="0" w:line="360" w:lineRule="auto"/>
      <w:jc w:val="center"/>
    </w:pPr>
    <w:rPr>
      <w:rFonts w:eastAsia="宋体"/>
      <w:sz w:val="24"/>
    </w:rPr>
  </w:style>
  <w:style w:type="paragraph" w:customStyle="1" w:styleId="4018">
    <w:name w:val="正文格式2112"/>
    <w:basedOn w:val="1"/>
    <w:qFormat/>
    <w:uiPriority w:val="0"/>
    <w:pPr>
      <w:spacing w:line="360" w:lineRule="auto"/>
      <w:ind w:firstLine="482"/>
    </w:pPr>
    <w:rPr>
      <w:rFonts w:hAnsi="宋体"/>
    </w:rPr>
  </w:style>
  <w:style w:type="paragraph" w:customStyle="1" w:styleId="4019">
    <w:name w:val="佛山正文"/>
    <w:basedOn w:val="1"/>
    <w:qFormat/>
    <w:uiPriority w:val="0"/>
    <w:pPr>
      <w:spacing w:line="400" w:lineRule="exact"/>
      <w:ind w:firstLine="200" w:firstLineChars="200"/>
    </w:pPr>
  </w:style>
  <w:style w:type="paragraph" w:customStyle="1" w:styleId="4020">
    <w:name w:val="表题1512"/>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4021">
    <w:name w:val="默认段落字体 Para Char1"/>
    <w:basedOn w:val="1"/>
    <w:next w:val="1"/>
    <w:qFormat/>
    <w:uiPriority w:val="0"/>
    <w:pPr>
      <w:spacing w:line="480" w:lineRule="exact"/>
      <w:ind w:firstLine="200" w:firstLineChars="200"/>
      <w:jc w:val="left"/>
    </w:pPr>
    <w:rPr>
      <w:rFonts w:hAnsi="宋体" w:eastAsia="汉鼎简书宋" w:cs="宋体"/>
      <w:sz w:val="28"/>
    </w:rPr>
  </w:style>
  <w:style w:type="paragraph" w:customStyle="1" w:styleId="4022">
    <w:name w:val="文本框113"/>
    <w:basedOn w:val="1"/>
    <w:qFormat/>
    <w:uiPriority w:val="0"/>
    <w:pPr>
      <w:adjustRightInd w:val="0"/>
      <w:snapToGrid w:val="0"/>
      <w:spacing w:after="6"/>
      <w:jc w:val="center"/>
    </w:pPr>
    <w:rPr>
      <w:rFonts w:eastAsia="仿宋_GB2312"/>
    </w:rPr>
  </w:style>
  <w:style w:type="paragraph" w:customStyle="1" w:styleId="4023">
    <w:name w:val="注释13"/>
    <w:basedOn w:val="239"/>
    <w:next w:val="35"/>
    <w:qFormat/>
    <w:uiPriority w:val="0"/>
    <w:pPr>
      <w:spacing w:before="120" w:after="120" w:line="240" w:lineRule="auto"/>
      <w:ind w:firstLine="200" w:firstLineChars="200"/>
    </w:pPr>
    <w:rPr>
      <w:sz w:val="21"/>
      <w:szCs w:val="20"/>
    </w:rPr>
  </w:style>
  <w:style w:type="paragraph" w:customStyle="1" w:styleId="4024">
    <w:name w:val="表内文字小3113"/>
    <w:basedOn w:val="1"/>
    <w:qFormat/>
    <w:uiPriority w:val="0"/>
    <w:pPr>
      <w:adjustRightInd w:val="0"/>
      <w:snapToGrid w:val="0"/>
      <w:jc w:val="center"/>
    </w:pPr>
    <w:rPr>
      <w:rFonts w:hAnsi="Times" w:cs="宋体"/>
      <w:bCs/>
      <w:color w:val="003366"/>
    </w:rPr>
  </w:style>
  <w:style w:type="paragraph" w:customStyle="1" w:styleId="4025">
    <w:name w:val="表6"/>
    <w:basedOn w:val="1"/>
    <w:qFormat/>
    <w:uiPriority w:val="0"/>
    <w:pPr>
      <w:adjustRightInd w:val="0"/>
      <w:snapToGrid w:val="0"/>
      <w:jc w:val="center"/>
    </w:pPr>
    <w:rPr>
      <w:rFonts w:eastAsia="仿宋_GB2312"/>
    </w:rPr>
  </w:style>
  <w:style w:type="paragraph" w:customStyle="1" w:styleId="4026">
    <w:name w:val="Char1211"/>
    <w:basedOn w:val="1"/>
    <w:qFormat/>
    <w:uiPriority w:val="0"/>
    <w:pPr>
      <w:adjustRightInd w:val="0"/>
      <w:snapToGrid w:val="0"/>
      <w:spacing w:line="360" w:lineRule="auto"/>
    </w:pPr>
  </w:style>
  <w:style w:type="paragraph" w:customStyle="1" w:styleId="4027">
    <w:name w:val="表内宋5中2"/>
    <w:basedOn w:val="1"/>
    <w:qFormat/>
    <w:uiPriority w:val="0"/>
    <w:pPr>
      <w:adjustRightInd w:val="0"/>
      <w:snapToGrid w:val="0"/>
      <w:jc w:val="center"/>
      <w:textAlignment w:val="baseline"/>
    </w:pPr>
    <w:rPr>
      <w:rFonts w:hAnsi="宋体"/>
    </w:rPr>
  </w:style>
  <w:style w:type="paragraph" w:customStyle="1" w:styleId="4028">
    <w:name w:val="表内5中111"/>
    <w:basedOn w:val="1"/>
    <w:qFormat/>
    <w:uiPriority w:val="0"/>
    <w:pPr>
      <w:adjustRightInd w:val="0"/>
      <w:snapToGrid w:val="0"/>
      <w:jc w:val="center"/>
    </w:pPr>
    <w:rPr>
      <w:rFonts w:hAnsi="宋体" w:cs="Arial"/>
      <w:snapToGrid w:val="0"/>
      <w:color w:val="000000"/>
      <w:szCs w:val="21"/>
    </w:rPr>
  </w:style>
  <w:style w:type="paragraph" w:customStyle="1" w:styleId="4029">
    <w:name w:val="表内文字小32"/>
    <w:basedOn w:val="1"/>
    <w:qFormat/>
    <w:uiPriority w:val="0"/>
    <w:pPr>
      <w:adjustRightInd w:val="0"/>
      <w:snapToGrid w:val="0"/>
      <w:jc w:val="center"/>
    </w:pPr>
    <w:rPr>
      <w:rFonts w:hAnsi="Times"/>
    </w:rPr>
  </w:style>
  <w:style w:type="paragraph" w:customStyle="1" w:styleId="4030">
    <w:name w:val="inhalt1"/>
    <w:basedOn w:val="1"/>
    <w:qFormat/>
    <w:uiPriority w:val="0"/>
    <w:pPr>
      <w:widowControl/>
      <w:spacing w:before="100" w:beforeAutospacing="1" w:after="100" w:afterAutospacing="1"/>
      <w:jc w:val="left"/>
    </w:pPr>
    <w:rPr>
      <w:rFonts w:hAnsi="宋体"/>
      <w:color w:val="000000"/>
    </w:rPr>
  </w:style>
  <w:style w:type="paragraph" w:customStyle="1" w:styleId="4031">
    <w:name w:val="正文图"/>
    <w:basedOn w:val="1"/>
    <w:qFormat/>
    <w:uiPriority w:val="0"/>
    <w:pPr>
      <w:adjustRightInd w:val="0"/>
      <w:snapToGrid w:val="0"/>
      <w:jc w:val="center"/>
      <w:textAlignment w:val="baseline"/>
    </w:pPr>
  </w:style>
  <w:style w:type="paragraph" w:customStyle="1" w:styleId="4032">
    <w:name w:val="样式 样式 样式 标题 4 + 段前: 0.5 行 段后: 0.5 行 + 段前: 0.5 行 段后: 0.5 行4 + 段前:..."/>
    <w:basedOn w:val="2389"/>
    <w:qFormat/>
    <w:uiPriority w:val="0"/>
    <w:pPr>
      <w:tabs>
        <w:tab w:val="left" w:pos="1680"/>
      </w:tabs>
      <w:adjustRightInd w:val="0"/>
      <w:spacing w:beforeLines="0" w:afterLines="0"/>
      <w:ind w:left="1680"/>
    </w:pPr>
  </w:style>
  <w:style w:type="paragraph" w:customStyle="1" w:styleId="4033">
    <w:name w:val="正文2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4034">
    <w:name w:val="項目:(一)[a]1.[a](1)[a]圈[a]A"/>
    <w:basedOn w:val="1"/>
    <w:qFormat/>
    <w:uiPriority w:val="0"/>
    <w:pPr>
      <w:spacing w:line="320" w:lineRule="atLeast"/>
      <w:ind w:left="1548" w:hanging="289"/>
    </w:pPr>
    <w:rPr>
      <w:rFonts w:eastAsia="MingLiU"/>
      <w:sz w:val="22"/>
      <w:lang w:eastAsia="zh-TW"/>
    </w:rPr>
  </w:style>
  <w:style w:type="paragraph" w:customStyle="1" w:styleId="4035">
    <w:name w:val="小标题@"/>
    <w:basedOn w:val="1"/>
    <w:qFormat/>
    <w:uiPriority w:val="0"/>
    <w:pPr>
      <w:adjustRightInd w:val="0"/>
      <w:spacing w:before="60" w:after="60"/>
      <w:textAlignment w:val="baseline"/>
    </w:pPr>
  </w:style>
  <w:style w:type="paragraph" w:customStyle="1" w:styleId="4036">
    <w:name w:val="标题三"/>
    <w:basedOn w:val="6"/>
    <w:qFormat/>
    <w:uiPriority w:val="0"/>
    <w:pPr>
      <w:tabs>
        <w:tab w:val="left" w:pos="233"/>
        <w:tab w:val="left" w:pos="900"/>
      </w:tabs>
      <w:spacing w:before="120" w:after="60" w:line="480" w:lineRule="exact"/>
      <w:ind w:left="233"/>
    </w:pPr>
    <w:rPr>
      <w:rFonts w:hAnsi="宋体" w:eastAsia="华文中宋"/>
      <w:color w:val="000000"/>
      <w:sz w:val="28"/>
      <w:szCs w:val="30"/>
    </w:rPr>
  </w:style>
  <w:style w:type="paragraph" w:customStyle="1" w:styleId="4037">
    <w:name w:val="表头1"/>
    <w:basedOn w:val="45"/>
    <w:qFormat/>
    <w:uiPriority w:val="0"/>
    <w:pPr>
      <w:adjustRightInd w:val="0"/>
      <w:spacing w:before="120"/>
      <w:jc w:val="center"/>
      <w:textAlignment w:val="baseline"/>
    </w:pPr>
    <w:rPr>
      <w:rFonts w:ascii="Times New Roman" w:hAnsi="Times New Roman" w:cs="Times New Roman"/>
      <w:color w:val="000000"/>
      <w:kern w:val="0"/>
      <w:sz w:val="24"/>
      <w:szCs w:val="20"/>
    </w:rPr>
  </w:style>
  <w:style w:type="paragraph" w:customStyle="1" w:styleId="4038">
    <w:name w:val="表内文字小21112"/>
    <w:basedOn w:val="1"/>
    <w:qFormat/>
    <w:uiPriority w:val="0"/>
    <w:pPr>
      <w:adjustRightInd w:val="0"/>
      <w:snapToGrid w:val="0"/>
      <w:jc w:val="center"/>
    </w:pPr>
    <w:rPr>
      <w:rFonts w:hAnsi="Times"/>
      <w:bCs/>
      <w:color w:val="000000"/>
    </w:rPr>
  </w:style>
  <w:style w:type="paragraph" w:customStyle="1" w:styleId="4039">
    <w:name w:val="默认段落字体 Para Char2"/>
    <w:basedOn w:val="1"/>
    <w:next w:val="1"/>
    <w:qFormat/>
    <w:uiPriority w:val="0"/>
    <w:pPr>
      <w:spacing w:line="480" w:lineRule="exact"/>
      <w:ind w:firstLine="200" w:firstLineChars="200"/>
      <w:jc w:val="left"/>
    </w:pPr>
    <w:rPr>
      <w:rFonts w:hAnsi="宋体" w:eastAsia="汉鼎简书宋" w:cs="宋体"/>
      <w:sz w:val="28"/>
    </w:rPr>
  </w:style>
  <w:style w:type="paragraph" w:customStyle="1" w:styleId="4040">
    <w:name w:val="表内文字小216"/>
    <w:basedOn w:val="1"/>
    <w:qFormat/>
    <w:uiPriority w:val="0"/>
    <w:pPr>
      <w:adjustRightInd w:val="0"/>
      <w:snapToGrid w:val="0"/>
      <w:jc w:val="center"/>
    </w:pPr>
    <w:rPr>
      <w:rFonts w:hAnsi="Times"/>
      <w:bCs/>
      <w:color w:val="000000"/>
    </w:rPr>
  </w:style>
  <w:style w:type="paragraph" w:customStyle="1" w:styleId="4041">
    <w:name w:val="表题161"/>
    <w:basedOn w:val="23"/>
    <w:qFormat/>
    <w:uiPriority w:val="0"/>
    <w:pPr>
      <w:tabs>
        <w:tab w:val="clear" w:pos="7380"/>
      </w:tabs>
      <w:overflowPunct/>
      <w:spacing w:before="0" w:after="0" w:afterLines="0" w:line="360" w:lineRule="auto"/>
      <w:jc w:val="center"/>
    </w:pPr>
    <w:rPr>
      <w:rFonts w:ascii="黑体"/>
      <w:b/>
      <w:sz w:val="24"/>
      <w:szCs w:val="24"/>
    </w:rPr>
  </w:style>
  <w:style w:type="paragraph" w:customStyle="1" w:styleId="4042">
    <w:name w:val="表格11"/>
    <w:basedOn w:val="1"/>
    <w:qFormat/>
    <w:uiPriority w:val="0"/>
    <w:pPr>
      <w:adjustRightInd w:val="0"/>
      <w:jc w:val="center"/>
      <w:textAlignment w:val="baseline"/>
    </w:pPr>
  </w:style>
  <w:style w:type="paragraph" w:customStyle="1" w:styleId="4043">
    <w:name w:val="表内513"/>
    <w:basedOn w:val="1"/>
    <w:qFormat/>
    <w:uiPriority w:val="0"/>
    <w:pPr>
      <w:adjustRightInd w:val="0"/>
      <w:snapToGrid w:val="0"/>
      <w:jc w:val="center"/>
    </w:pPr>
    <w:rPr>
      <w:rFonts w:hAnsi="宋体"/>
      <w:szCs w:val="21"/>
    </w:rPr>
  </w:style>
  <w:style w:type="paragraph" w:customStyle="1" w:styleId="4044">
    <w:name w:val="标题411"/>
    <w:basedOn w:val="1"/>
    <w:qFormat/>
    <w:uiPriority w:val="0"/>
    <w:pPr>
      <w:adjustRightInd w:val="0"/>
      <w:snapToGrid w:val="0"/>
      <w:spacing w:line="300" w:lineRule="auto"/>
      <w:jc w:val="left"/>
    </w:pPr>
    <w:rPr>
      <w:rFonts w:ascii="黑体" w:hAnsi="宋体" w:eastAsia="黑体" w:cs="宋体"/>
      <w:bCs/>
    </w:rPr>
  </w:style>
  <w:style w:type="paragraph" w:customStyle="1" w:styleId="4045">
    <w:name w:val="正文格式＝5"/>
    <w:basedOn w:val="239"/>
    <w:next w:val="239"/>
    <w:qFormat/>
    <w:uiPriority w:val="0"/>
    <w:rPr>
      <w:rFonts w:hAnsi="宋体"/>
    </w:rPr>
  </w:style>
  <w:style w:type="paragraph" w:customStyle="1" w:styleId="4046">
    <w:name w:val="默认段落字体 Para Char Char Char Char9"/>
    <w:basedOn w:val="1"/>
    <w:qFormat/>
    <w:uiPriority w:val="0"/>
  </w:style>
  <w:style w:type="paragraph" w:customStyle="1" w:styleId="4047">
    <w:name w:val="图名称 Char Char Char Char Char Char Char Char Char Char"/>
    <w:basedOn w:val="1"/>
    <w:qFormat/>
    <w:uiPriority w:val="0"/>
    <w:pPr>
      <w:tabs>
        <w:tab w:val="left" w:pos="-120"/>
      </w:tabs>
      <w:spacing w:before="60" w:line="310" w:lineRule="atLeast"/>
      <w:jc w:val="center"/>
    </w:pPr>
    <w:rPr>
      <w:bCs/>
      <w:w w:val="90"/>
      <w:sz w:val="28"/>
      <w:szCs w:val="28"/>
    </w:rPr>
  </w:style>
  <w:style w:type="paragraph" w:customStyle="1" w:styleId="4048">
    <w:name w:val="內文-1"/>
    <w:basedOn w:val="1"/>
    <w:qFormat/>
    <w:uiPriority w:val="0"/>
    <w:pPr>
      <w:topLinePunct/>
      <w:adjustRightInd w:val="0"/>
      <w:spacing w:line="384" w:lineRule="exact"/>
      <w:ind w:firstLine="482"/>
      <w:textAlignment w:val="baseline"/>
    </w:pPr>
    <w:rPr>
      <w:rFonts w:eastAsia="華康中明體"/>
      <w:kern w:val="20"/>
      <w:lang w:eastAsia="zh-TW"/>
    </w:rPr>
  </w:style>
  <w:style w:type="paragraph" w:customStyle="1" w:styleId="4049">
    <w:name w:val="环评正文1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050">
    <w:name w:val="表内宋5111"/>
    <w:basedOn w:val="81"/>
    <w:qFormat/>
    <w:uiPriority w:val="0"/>
    <w:pPr>
      <w:widowControl/>
      <w:adjustRightInd w:val="0"/>
      <w:snapToGrid w:val="0"/>
    </w:pPr>
    <w:rPr>
      <w:rFonts w:ascii="宋体" w:hAnsi="宋体" w:cs="宋体"/>
      <w:color w:val="000000"/>
      <w:kern w:val="0"/>
      <w:sz w:val="21"/>
    </w:rPr>
  </w:style>
  <w:style w:type="paragraph" w:customStyle="1" w:styleId="4051">
    <w:name w:val="标题正1"/>
    <w:basedOn w:val="1"/>
    <w:qFormat/>
    <w:uiPriority w:val="0"/>
    <w:pPr>
      <w:spacing w:line="400" w:lineRule="exact"/>
      <w:jc w:val="center"/>
    </w:pPr>
    <w:rPr>
      <w:rFonts w:ascii="黑体" w:eastAsia="黑体"/>
      <w:sz w:val="32"/>
      <w:szCs w:val="28"/>
    </w:rPr>
  </w:style>
  <w:style w:type="paragraph" w:customStyle="1" w:styleId="4052">
    <w:name w:val="Char Char Char Char1 Char Char Char6"/>
    <w:basedOn w:val="1"/>
    <w:qFormat/>
    <w:uiPriority w:val="0"/>
    <w:pPr>
      <w:widowControl/>
      <w:spacing w:after="160" w:line="240" w:lineRule="exact"/>
      <w:jc w:val="left"/>
    </w:pPr>
    <w:rPr>
      <w:rFonts w:ascii="Verdana" w:hAnsi="Verdana"/>
      <w:sz w:val="20"/>
      <w:lang w:eastAsia="en-US"/>
    </w:rPr>
  </w:style>
  <w:style w:type="paragraph" w:customStyle="1" w:styleId="4053">
    <w:name w:val="xl241"/>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4054">
    <w:name w:val="È±Ê¡ÎÄ±¾"/>
    <w:basedOn w:val="1"/>
    <w:qFormat/>
    <w:uiPriority w:val="0"/>
    <w:pPr>
      <w:widowControl/>
      <w:overflowPunct w:val="0"/>
      <w:autoSpaceDE w:val="0"/>
      <w:autoSpaceDN w:val="0"/>
      <w:adjustRightInd w:val="0"/>
      <w:jc w:val="left"/>
      <w:textAlignment w:val="baseline"/>
    </w:pPr>
  </w:style>
  <w:style w:type="paragraph" w:customStyle="1" w:styleId="4055">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4056">
    <w:name w:val="表内54113"/>
    <w:basedOn w:val="1"/>
    <w:qFormat/>
    <w:uiPriority w:val="0"/>
    <w:pPr>
      <w:adjustRightInd w:val="0"/>
      <w:snapToGrid w:val="0"/>
      <w:spacing w:line="300" w:lineRule="auto"/>
      <w:jc w:val="center"/>
    </w:pPr>
    <w:rPr>
      <w:rFonts w:hAnsi="宋体" w:cs="宋体"/>
    </w:rPr>
  </w:style>
  <w:style w:type="paragraph" w:customStyle="1" w:styleId="4057">
    <w:name w:val="封面单位"/>
    <w:basedOn w:val="1"/>
    <w:qFormat/>
    <w:uiPriority w:val="0"/>
    <w:pPr>
      <w:tabs>
        <w:tab w:val="center" w:pos="8222"/>
      </w:tabs>
      <w:spacing w:line="360" w:lineRule="auto"/>
      <w:jc w:val="center"/>
    </w:pPr>
    <w:rPr>
      <w:rFonts w:ascii="楷体_GB2312" w:eastAsia="楷体_GB2312" w:cs="楷体_GB2312"/>
      <w:b/>
      <w:bCs/>
      <w:sz w:val="36"/>
      <w:szCs w:val="36"/>
    </w:rPr>
  </w:style>
  <w:style w:type="paragraph" w:customStyle="1" w:styleId="4058">
    <w:name w:val="图题注11"/>
    <w:basedOn w:val="23"/>
    <w:qFormat/>
    <w:uiPriority w:val="0"/>
    <w:pPr>
      <w:tabs>
        <w:tab w:val="clear" w:pos="7380"/>
      </w:tabs>
      <w:overflowPunct/>
      <w:spacing w:before="0" w:after="0" w:afterLines="0"/>
      <w:jc w:val="center"/>
    </w:pPr>
    <w:rPr>
      <w:rFonts w:ascii="黑体" w:cs="宋体"/>
      <w:b/>
      <w:bCs/>
      <w:sz w:val="24"/>
      <w:szCs w:val="24"/>
    </w:rPr>
  </w:style>
  <w:style w:type="paragraph" w:customStyle="1" w:styleId="4059">
    <w:name w:val="表格内字体412"/>
    <w:basedOn w:val="239"/>
    <w:next w:val="239"/>
    <w:qFormat/>
    <w:uiPriority w:val="0"/>
    <w:pPr>
      <w:spacing w:line="240" w:lineRule="auto"/>
      <w:ind w:firstLine="0"/>
      <w:jc w:val="center"/>
    </w:pPr>
    <w:rPr>
      <w:rFonts w:hAnsi="宋体"/>
      <w:sz w:val="21"/>
    </w:rPr>
  </w:style>
  <w:style w:type="paragraph" w:customStyle="1" w:styleId="4060">
    <w:name w:val="正文格式＝34"/>
    <w:basedOn w:val="239"/>
    <w:next w:val="239"/>
    <w:qFormat/>
    <w:uiPriority w:val="0"/>
    <w:rPr>
      <w:rFonts w:hAnsi="宋体"/>
    </w:rPr>
  </w:style>
  <w:style w:type="paragraph" w:customStyle="1" w:styleId="4061">
    <w:name w:val="图题2"/>
    <w:basedOn w:val="239"/>
    <w:next w:val="239"/>
    <w:qFormat/>
    <w:uiPriority w:val="0"/>
    <w:pPr>
      <w:ind w:firstLine="0"/>
      <w:jc w:val="center"/>
    </w:pPr>
    <w:rPr>
      <w:rFonts w:ascii="黑体" w:hAnsi="宋体" w:eastAsia="黑体"/>
      <w:b/>
      <w:bCs/>
    </w:rPr>
  </w:style>
  <w:style w:type="paragraph" w:customStyle="1" w:styleId="4062">
    <w:name w:val="表题41"/>
    <w:basedOn w:val="3"/>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4063">
    <w:name w:val="图题22"/>
    <w:basedOn w:val="239"/>
    <w:next w:val="239"/>
    <w:qFormat/>
    <w:uiPriority w:val="0"/>
    <w:pPr>
      <w:ind w:firstLine="0"/>
      <w:jc w:val="center"/>
    </w:pPr>
    <w:rPr>
      <w:rFonts w:ascii="黑体" w:hAnsi="宋体" w:eastAsia="黑体"/>
      <w:b/>
      <w:bCs/>
    </w:rPr>
  </w:style>
  <w:style w:type="paragraph" w:customStyle="1" w:styleId="4064">
    <w:name w:val="样式 标题 3 + 段前: 12 磅3"/>
    <w:basedOn w:val="6"/>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4065">
    <w:name w:val="正文缩2"/>
    <w:basedOn w:val="1"/>
    <w:qFormat/>
    <w:uiPriority w:val="0"/>
    <w:pPr>
      <w:adjustRightInd w:val="0"/>
      <w:snapToGrid w:val="0"/>
      <w:spacing w:line="480" w:lineRule="atLeast"/>
      <w:ind w:firstLine="567"/>
      <w:textAlignment w:val="baseline"/>
    </w:pPr>
    <w:rPr>
      <w:color w:val="000080"/>
      <w:spacing w:val="6"/>
      <w:sz w:val="28"/>
    </w:rPr>
  </w:style>
  <w:style w:type="paragraph" w:customStyle="1" w:styleId="4066">
    <w:name w:val="标题4313"/>
    <w:basedOn w:val="1"/>
    <w:qFormat/>
    <w:uiPriority w:val="0"/>
    <w:pPr>
      <w:adjustRightInd w:val="0"/>
      <w:snapToGrid w:val="0"/>
      <w:spacing w:line="480" w:lineRule="exact"/>
      <w:jc w:val="center"/>
    </w:pPr>
    <w:rPr>
      <w:rFonts w:hAnsi="宋体" w:cs="宋体"/>
    </w:rPr>
  </w:style>
  <w:style w:type="paragraph" w:customStyle="1" w:styleId="4067">
    <w:name w:val="正文格式＝62"/>
    <w:basedOn w:val="239"/>
    <w:next w:val="239"/>
    <w:qFormat/>
    <w:uiPriority w:val="0"/>
    <w:rPr>
      <w:rFonts w:hAnsi="宋体"/>
    </w:rPr>
  </w:style>
  <w:style w:type="paragraph" w:customStyle="1" w:styleId="4068">
    <w:name w:val="正文修改22"/>
    <w:basedOn w:val="1264"/>
    <w:qFormat/>
    <w:uiPriority w:val="0"/>
    <w:rPr>
      <w:rFonts w:hAnsi="宋体"/>
      <w:color w:val="000000"/>
    </w:rPr>
  </w:style>
  <w:style w:type="paragraph" w:customStyle="1" w:styleId="4069">
    <w:name w:val="表内54141"/>
    <w:basedOn w:val="1"/>
    <w:qFormat/>
    <w:uiPriority w:val="0"/>
    <w:pPr>
      <w:adjustRightInd w:val="0"/>
      <w:snapToGrid w:val="0"/>
      <w:spacing w:line="300" w:lineRule="auto"/>
      <w:jc w:val="center"/>
    </w:pPr>
    <w:rPr>
      <w:rFonts w:hAnsi="宋体" w:cs="宋体"/>
    </w:rPr>
  </w:style>
  <w:style w:type="paragraph" w:customStyle="1" w:styleId="4070">
    <w:name w:val="图题42"/>
    <w:basedOn w:val="239"/>
    <w:next w:val="239"/>
    <w:qFormat/>
    <w:uiPriority w:val="0"/>
    <w:pPr>
      <w:ind w:firstLine="0"/>
      <w:jc w:val="center"/>
    </w:pPr>
    <w:rPr>
      <w:rFonts w:ascii="黑体" w:hAnsi="宋体" w:eastAsia="黑体"/>
      <w:b/>
      <w:bCs/>
    </w:rPr>
  </w:style>
  <w:style w:type="paragraph" w:customStyle="1" w:styleId="4071">
    <w:name w:val="样式 公式 + 段前: 0.5 行 段后: 0.5 行"/>
    <w:basedOn w:val="585"/>
    <w:qFormat/>
    <w:uiPriority w:val="0"/>
    <w:pPr>
      <w:widowControl w:val="0"/>
      <w:pBdr>
        <w:top w:val="single" w:color="auto" w:sz="4" w:space="1"/>
      </w:pBdr>
      <w:adjustRightInd w:val="0"/>
      <w:spacing w:line="360" w:lineRule="auto"/>
      <w:ind w:firstLine="360" w:firstLineChars="150"/>
      <w:jc w:val="left"/>
      <w:textAlignment w:val="baseline"/>
    </w:pPr>
    <w:rPr>
      <w:rFonts w:cs="宋体"/>
      <w:iCs/>
      <w:sz w:val="24"/>
      <w:szCs w:val="24"/>
    </w:rPr>
  </w:style>
  <w:style w:type="paragraph" w:customStyle="1" w:styleId="4072">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073">
    <w:name w:val="Char241"/>
    <w:basedOn w:val="1"/>
    <w:qFormat/>
    <w:uiPriority w:val="0"/>
    <w:pPr>
      <w:ind w:left="-48"/>
    </w:pPr>
  </w:style>
  <w:style w:type="paragraph" w:customStyle="1" w:styleId="4074">
    <w:name w:val="edri-title first"/>
    <w:basedOn w:val="1"/>
    <w:qFormat/>
    <w:uiPriority w:val="0"/>
    <w:pPr>
      <w:tabs>
        <w:tab w:val="left" w:pos="2"/>
        <w:tab w:val="left" w:pos="945"/>
      </w:tabs>
      <w:spacing w:beforeLines="50" w:line="300" w:lineRule="auto"/>
      <w:ind w:left="966" w:hanging="964"/>
      <w:outlineLvl w:val="0"/>
    </w:pPr>
    <w:rPr>
      <w:rFonts w:ascii="Arial Narrow" w:hAnsi="Arial Narrow"/>
      <w:b/>
      <w:bCs/>
      <w:sz w:val="30"/>
    </w:rPr>
  </w:style>
  <w:style w:type="paragraph" w:customStyle="1" w:styleId="4075">
    <w:name w:val="福建正文缩进4"/>
    <w:basedOn w:val="22"/>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rPr>
  </w:style>
  <w:style w:type="paragraph" w:customStyle="1" w:styleId="4076">
    <w:name w:val="黑体三号24"/>
    <w:basedOn w:val="239"/>
    <w:qFormat/>
    <w:uiPriority w:val="0"/>
    <w:pPr>
      <w:jc w:val="center"/>
    </w:pPr>
    <w:rPr>
      <w:rFonts w:ascii="黑体" w:hAnsi="宋体" w:eastAsia="黑体"/>
      <w:b/>
      <w:bCs/>
      <w:sz w:val="32"/>
      <w:szCs w:val="20"/>
    </w:rPr>
  </w:style>
  <w:style w:type="paragraph" w:customStyle="1" w:styleId="4077">
    <w:name w:val="Char Char Char Char Char Char Char Char Char Char Char Char Char Char Char Char Char1 Char Char Char Char Char Char Char Char"/>
    <w:basedOn w:val="1"/>
    <w:qFormat/>
    <w:uiPriority w:val="0"/>
    <w:rPr>
      <w:szCs w:val="21"/>
    </w:rPr>
  </w:style>
  <w:style w:type="paragraph" w:customStyle="1" w:styleId="4078">
    <w:name w:val="表格字体"/>
    <w:basedOn w:val="1"/>
    <w:qFormat/>
    <w:uiPriority w:val="0"/>
    <w:pPr>
      <w:widowControl/>
      <w:jc w:val="center"/>
      <w:textAlignment w:val="bottom"/>
    </w:pPr>
    <w:rPr>
      <w:rFonts w:ascii="Times New Roman"/>
      <w:szCs w:val="21"/>
    </w:rPr>
  </w:style>
  <w:style w:type="character" w:customStyle="1" w:styleId="4079">
    <w:name w:val="要点1"/>
    <w:qFormat/>
    <w:uiPriority w:val="0"/>
    <w:rPr>
      <w:rFonts w:hint="eastAsia" w:ascii="仿宋_GB2312" w:eastAsia="仿宋_GB2312" w:cs="仿宋_GB2312"/>
      <w:bCs/>
      <w:sz w:val="24"/>
    </w:rPr>
  </w:style>
  <w:style w:type="paragraph" w:customStyle="1" w:styleId="4080">
    <w:name w:val="绿岛正文"/>
    <w:basedOn w:val="1"/>
    <w:qFormat/>
    <w:uiPriority w:val="0"/>
    <w:pPr>
      <w:adjustRightInd w:val="0"/>
      <w:snapToGrid w:val="0"/>
      <w:spacing w:line="500" w:lineRule="exact"/>
      <w:ind w:firstLine="200" w:firstLineChars="200"/>
    </w:pPr>
    <w:rPr>
      <w:rFonts w:ascii="Times New Roman" w:eastAsia="仿宋_GB2312"/>
      <w:sz w:val="28"/>
      <w:szCs w:val="28"/>
    </w:rPr>
  </w:style>
  <w:style w:type="paragraph" w:customStyle="1" w:styleId="4081">
    <w:name w:val="单学凯段落格式"/>
    <w:basedOn w:val="1"/>
    <w:qFormat/>
    <w:uiPriority w:val="0"/>
    <w:pPr>
      <w:adjustRightInd w:val="0"/>
      <w:snapToGrid w:val="0"/>
      <w:spacing w:line="500" w:lineRule="exact"/>
      <w:ind w:firstLine="560" w:firstLineChars="200"/>
      <w:jc w:val="left"/>
    </w:pPr>
    <w:rPr>
      <w:rFonts w:eastAsia="仿宋_GB2312"/>
      <w:color w:val="000000"/>
      <w:sz w:val="28"/>
      <w:szCs w:val="28"/>
    </w:rPr>
  </w:style>
  <w:style w:type="character" w:customStyle="1" w:styleId="4082">
    <w:name w:val="font01"/>
    <w:qFormat/>
    <w:uiPriority w:val="0"/>
    <w:rPr>
      <w:rFonts w:hint="default" w:ascii="Times New Roman" w:hAnsi="Times New Roman" w:cs="Times New Roman"/>
      <w:color w:val="000000"/>
      <w:sz w:val="21"/>
      <w:szCs w:val="21"/>
      <w:u w:val="none"/>
    </w:rPr>
  </w:style>
  <w:style w:type="character" w:customStyle="1" w:styleId="4083">
    <w:name w:val="font21"/>
    <w:qFormat/>
    <w:uiPriority w:val="0"/>
    <w:rPr>
      <w:rFonts w:hint="eastAsia" w:ascii="宋体" w:hAnsi="宋体" w:eastAsia="宋体" w:cs="宋体"/>
      <w:color w:val="000000"/>
      <w:sz w:val="24"/>
      <w:szCs w:val="24"/>
      <w:u w:val="none"/>
    </w:rPr>
  </w:style>
  <w:style w:type="character" w:customStyle="1" w:styleId="4084">
    <w:name w:val="font61"/>
    <w:qFormat/>
    <w:uiPriority w:val="0"/>
    <w:rPr>
      <w:rFonts w:hint="default" w:ascii="Times New Roman" w:hAnsi="Times New Roman" w:cs="Times New Roman"/>
      <w:color w:val="000000"/>
      <w:sz w:val="21"/>
      <w:szCs w:val="21"/>
      <w:u w:val="none"/>
    </w:rPr>
  </w:style>
  <w:style w:type="character" w:customStyle="1" w:styleId="4085">
    <w:name w:val="font41"/>
    <w:qFormat/>
    <w:uiPriority w:val="0"/>
    <w:rPr>
      <w:rFonts w:hint="default" w:ascii="Times New Roman" w:hAnsi="Times New Roman" w:cs="Times New Roman"/>
      <w:color w:val="000000"/>
      <w:sz w:val="24"/>
      <w:szCs w:val="24"/>
      <w:u w:val="none"/>
    </w:rPr>
  </w:style>
  <w:style w:type="paragraph" w:customStyle="1" w:styleId="4086">
    <w:name w:val="Table Paragraph"/>
    <w:basedOn w:val="1"/>
    <w:qFormat/>
    <w:uiPriority w:val="1"/>
    <w:pPr>
      <w:jc w:val="center"/>
    </w:pPr>
    <w:rPr>
      <w:rFonts w:eastAsia="Times New Roman"/>
    </w:rPr>
  </w:style>
  <w:style w:type="character" w:customStyle="1" w:styleId="4087">
    <w:name w:val="正文文本缩进 2 Char"/>
    <w:qFormat/>
    <w:uiPriority w:val="0"/>
    <w:rPr>
      <w:rFonts w:hint="default" w:ascii="Courier New" w:hAnsi="Courier New" w:cs="Courier New"/>
      <w:kern w:val="2"/>
      <w:sz w:val="24"/>
      <w:szCs w:val="24"/>
    </w:rPr>
  </w:style>
  <w:style w:type="paragraph" w:customStyle="1" w:styleId="4088">
    <w:name w:val="无间隔1"/>
    <w:basedOn w:val="1"/>
    <w:qFormat/>
    <w:uiPriority w:val="0"/>
    <w:pPr>
      <w:ind w:firstLine="200" w:firstLineChars="200"/>
      <w:jc w:val="left"/>
    </w:pPr>
    <w:rPr>
      <w:rFonts w:ascii="Tms Rmn" w:hAnsi="Tms Rmn" w:eastAsia="Tms Rmn"/>
      <w:kern w:val="2"/>
      <w:sz w:val="28"/>
      <w:szCs w:val="21"/>
    </w:rPr>
  </w:style>
  <w:style w:type="character" w:customStyle="1" w:styleId="4089">
    <w:name w:val="题注 Char"/>
    <w:qFormat/>
    <w:uiPriority w:val="0"/>
    <w:rPr>
      <w:rFonts w:ascii="Courier New" w:hAnsi="MingLiU" w:cs="MingLiU"/>
      <w:kern w:val="2"/>
      <w:sz w:val="24"/>
      <w:szCs w:val="21"/>
    </w:rPr>
  </w:style>
  <w:style w:type="character" w:customStyle="1" w:styleId="4090">
    <w:name w:val="正文文本缩进 3 Char"/>
    <w:qFormat/>
    <w:uiPriority w:val="0"/>
    <w:rPr>
      <w:kern w:val="2"/>
      <w:sz w:val="24"/>
      <w:szCs w:val="24"/>
    </w:rPr>
  </w:style>
  <w:style w:type="character" w:customStyle="1" w:styleId="4091">
    <w:name w:val="创业正文 Char"/>
    <w:qFormat/>
    <w:uiPriority w:val="0"/>
    <w:rPr>
      <w:bCs/>
      <w:spacing w:val="5"/>
      <w:sz w:val="24"/>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bin"/><Relationship Id="rId98" Type="http://schemas.openxmlformats.org/officeDocument/2006/relationships/image" Target="media/image62.png"/><Relationship Id="rId97" Type="http://schemas.openxmlformats.org/officeDocument/2006/relationships/image" Target="media/image61.png"/><Relationship Id="rId96" Type="http://schemas.openxmlformats.org/officeDocument/2006/relationships/image" Target="media/image60.png"/><Relationship Id="rId95" Type="http://schemas.openxmlformats.org/officeDocument/2006/relationships/image" Target="media/image59.jpeg"/><Relationship Id="rId94" Type="http://schemas.openxmlformats.org/officeDocument/2006/relationships/image" Target="media/image58.jpeg"/><Relationship Id="rId93" Type="http://schemas.openxmlformats.org/officeDocument/2006/relationships/image" Target="media/image57.jpeg"/><Relationship Id="rId92" Type="http://schemas.openxmlformats.org/officeDocument/2006/relationships/image" Target="media/image56.jpeg"/><Relationship Id="rId91" Type="http://schemas.openxmlformats.org/officeDocument/2006/relationships/image" Target="media/image55.jpeg"/><Relationship Id="rId90" Type="http://schemas.openxmlformats.org/officeDocument/2006/relationships/image" Target="media/image54.jpeg"/><Relationship Id="rId9" Type="http://schemas.openxmlformats.org/officeDocument/2006/relationships/footer" Target="footer4.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wmf"/><Relationship Id="rId85" Type="http://schemas.openxmlformats.org/officeDocument/2006/relationships/oleObject" Target="embeddings/oleObject3.bin"/><Relationship Id="rId84" Type="http://schemas.openxmlformats.org/officeDocument/2006/relationships/image" Target="media/image49.png"/><Relationship Id="rId83" Type="http://schemas.openxmlformats.org/officeDocument/2006/relationships/image" Target="media/image48.jpeg"/><Relationship Id="rId82" Type="http://schemas.openxmlformats.org/officeDocument/2006/relationships/image" Target="media/image47.jpeg"/><Relationship Id="rId81" Type="http://schemas.openxmlformats.org/officeDocument/2006/relationships/image" Target="media/image46.jpeg"/><Relationship Id="rId80" Type="http://schemas.openxmlformats.org/officeDocument/2006/relationships/image" Target="media/image45.wmf"/><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wmf"/><Relationship Id="rId71" Type="http://schemas.openxmlformats.org/officeDocument/2006/relationships/oleObject" Target="embeddings/oleObject2.bin"/><Relationship Id="rId70" Type="http://schemas.openxmlformats.org/officeDocument/2006/relationships/image" Target="media/image36.emf"/><Relationship Id="rId7" Type="http://schemas.openxmlformats.org/officeDocument/2006/relationships/footer" Target="footer2.xml"/><Relationship Id="rId69" Type="http://schemas.openxmlformats.org/officeDocument/2006/relationships/image" Target="media/image35.emf"/><Relationship Id="rId68" Type="http://schemas.openxmlformats.org/officeDocument/2006/relationships/image" Target="media/image34.emf"/><Relationship Id="rId67" Type="http://schemas.openxmlformats.org/officeDocument/2006/relationships/image" Target="media/image33.emf"/><Relationship Id="rId66" Type="http://schemas.openxmlformats.org/officeDocument/2006/relationships/image" Target="media/image32.emf"/><Relationship Id="rId65" Type="http://schemas.openxmlformats.org/officeDocument/2006/relationships/image" Target="media/image31.emf"/><Relationship Id="rId64" Type="http://schemas.openxmlformats.org/officeDocument/2006/relationships/image" Target="media/image30.emf"/><Relationship Id="rId63" Type="http://schemas.openxmlformats.org/officeDocument/2006/relationships/image" Target="media/image29.emf"/><Relationship Id="rId62" Type="http://schemas.openxmlformats.org/officeDocument/2006/relationships/image" Target="media/image28.emf"/><Relationship Id="rId61" Type="http://schemas.openxmlformats.org/officeDocument/2006/relationships/image" Target="media/image27.png"/><Relationship Id="rId60" Type="http://schemas.openxmlformats.org/officeDocument/2006/relationships/image" Target="media/image26.png"/><Relationship Id="rId6" Type="http://schemas.openxmlformats.org/officeDocument/2006/relationships/header" Target="header3.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2.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jpeg"/><Relationship Id="rId40" Type="http://schemas.openxmlformats.org/officeDocument/2006/relationships/image" Target="media/image6.jpeg"/><Relationship Id="rId4" Type="http://schemas.openxmlformats.org/officeDocument/2006/relationships/footer" Target="footer1.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emf"/><Relationship Id="rId36" Type="http://schemas.openxmlformats.org/officeDocument/2006/relationships/oleObject" Target="embeddings/oleObject1.bin"/><Relationship Id="rId35" Type="http://schemas.openxmlformats.org/officeDocument/2006/relationships/image" Target="media/image2.jpe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header" Target="header10.xml"/><Relationship Id="rId31" Type="http://schemas.openxmlformats.org/officeDocument/2006/relationships/header" Target="header9.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header" Target="header8.xml"/><Relationship Id="rId27" Type="http://schemas.openxmlformats.org/officeDocument/2006/relationships/header" Target="header7.xml"/><Relationship Id="rId26" Type="http://schemas.openxmlformats.org/officeDocument/2006/relationships/header" Target="header6.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header" Target="header5.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footer" Target="footer6.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70.png"/><Relationship Id="rId106" Type="http://schemas.openxmlformats.org/officeDocument/2006/relationships/image" Target="media/image69.emf"/><Relationship Id="rId105" Type="http://schemas.openxmlformats.org/officeDocument/2006/relationships/image" Target="media/image68.jpeg"/><Relationship Id="rId104" Type="http://schemas.openxmlformats.org/officeDocument/2006/relationships/image" Target="media/image67.png"/><Relationship Id="rId103" Type="http://schemas.openxmlformats.org/officeDocument/2006/relationships/image" Target="media/image66.png"/><Relationship Id="rId102" Type="http://schemas.openxmlformats.org/officeDocument/2006/relationships/image" Target="media/image65.png"/><Relationship Id="rId101" Type="http://schemas.openxmlformats.org/officeDocument/2006/relationships/image" Target="media/image64.png"/><Relationship Id="rId100" Type="http://schemas.openxmlformats.org/officeDocument/2006/relationships/image" Target="media/image63.wmf"/><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CEBC55-2BD7-4730-9C24-2AD2684199B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241</Pages>
  <Words>1960</Words>
  <Characters>2371</Characters>
  <Lines>2260</Lines>
  <Paragraphs>636</Paragraphs>
  <TotalTime>61</TotalTime>
  <ScaleCrop>false</ScaleCrop>
  <LinksUpToDate>false</LinksUpToDate>
  <CharactersWithSpaces>2435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2024-10-11T06:08:00Z</dcterms:created>
  <dc:creator>dreamsummit</dc:creator>
  <cp:lastModifiedBy>球球</cp:lastModifiedBy>
  <cp:lastPrinted>2025-02-12T08:14:00Z</cp:lastPrinted>
  <dcterms:modified xsi:type="dcterms:W3CDTF">2025-04-17T07:08:06Z</dcterms:modified>
  <dc:title>寅盛药业</dc:title>
  <cp:revision>213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A27CFD902EC74344A0EB599D2C80BC53_13</vt:lpwstr>
  </property>
  <property fmtid="{D5CDD505-2E9C-101B-9397-08002B2CF9AE}" pid="4" name="KSOTemplateDocerSaveRecord">
    <vt:lpwstr>eyJoZGlkIjoiYWZhMzA0MTE2MGQ3ODcwOTgyMWY3NzY0ZDhkYzQxODciLCJ1c2VySWQiOiIzODk2NzQyOTcifQ==</vt:lpwstr>
  </property>
</Properties>
</file>